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EAC5D5" w14:textId="77777777" w:rsidR="00AE0598" w:rsidRDefault="0069255A">
      <w:pPr>
        <w:pStyle w:val="Ttulo1"/>
        <w:spacing w:before="74"/>
        <w:ind w:left="166"/>
      </w:pPr>
      <w:r>
        <w:rPr>
          <w:color w:val="231F20"/>
          <w:spacing w:val="-4"/>
          <w:w w:val="105"/>
        </w:rPr>
        <w:t>Sport</w:t>
      </w:r>
      <w:r>
        <w:rPr>
          <w:color w:val="231F20"/>
          <w:spacing w:val="-33"/>
          <w:w w:val="105"/>
        </w:rPr>
        <w:t xml:space="preserve"> </w:t>
      </w:r>
      <w:r>
        <w:rPr>
          <w:color w:val="231F20"/>
          <w:spacing w:val="-4"/>
          <w:w w:val="105"/>
        </w:rPr>
        <w:t>Tourism</w:t>
      </w:r>
      <w:r>
        <w:rPr>
          <w:color w:val="231F20"/>
          <w:spacing w:val="-32"/>
          <w:w w:val="105"/>
        </w:rPr>
        <w:t xml:space="preserve"> </w:t>
      </w:r>
      <w:r>
        <w:rPr>
          <w:color w:val="231F20"/>
          <w:spacing w:val="-4"/>
          <w:w w:val="105"/>
        </w:rPr>
        <w:t>Development</w:t>
      </w:r>
    </w:p>
    <w:p w14:paraId="50B448F4" w14:textId="77777777" w:rsidR="00AE0598" w:rsidRDefault="00AE0598">
      <w:pPr>
        <w:sectPr w:rsidR="00AE0598">
          <w:type w:val="continuous"/>
          <w:pgSz w:w="8850" w:h="13270"/>
          <w:pgMar w:top="1080" w:right="1080" w:bottom="280" w:left="1080" w:header="720" w:footer="720" w:gutter="0"/>
          <w:cols w:space="720"/>
        </w:sectPr>
      </w:pPr>
    </w:p>
    <w:p w14:paraId="2F5FAAE8" w14:textId="77777777" w:rsidR="00AE0598" w:rsidRDefault="0069255A">
      <w:pPr>
        <w:spacing w:before="75"/>
        <w:ind w:left="223"/>
        <w:jc w:val="both"/>
        <w:rPr>
          <w:b/>
          <w:sz w:val="21"/>
        </w:rPr>
      </w:pPr>
      <w:r>
        <w:rPr>
          <w:b/>
          <w:color w:val="231F20"/>
          <w:w w:val="105"/>
          <w:sz w:val="21"/>
        </w:rPr>
        <w:lastRenderedPageBreak/>
        <w:t xml:space="preserve">ASPECTS OF </w:t>
      </w:r>
      <w:r>
        <w:rPr>
          <w:b/>
          <w:color w:val="231F20"/>
          <w:spacing w:val="-2"/>
          <w:w w:val="105"/>
          <w:sz w:val="21"/>
        </w:rPr>
        <w:t>TOURISM</w:t>
      </w:r>
    </w:p>
    <w:p w14:paraId="042C6033" w14:textId="77777777" w:rsidR="00AE0598" w:rsidRDefault="00AE0598">
      <w:pPr>
        <w:pStyle w:val="Corpodetexto"/>
        <w:spacing w:before="5"/>
        <w:rPr>
          <w:b/>
          <w:sz w:val="20"/>
        </w:rPr>
      </w:pPr>
    </w:p>
    <w:p w14:paraId="357336CE" w14:textId="77777777" w:rsidR="00AE0598" w:rsidRDefault="0069255A">
      <w:pPr>
        <w:spacing w:line="232" w:lineRule="auto"/>
        <w:ind w:left="223" w:right="164"/>
        <w:jc w:val="both"/>
        <w:rPr>
          <w:i/>
          <w:sz w:val="21"/>
        </w:rPr>
      </w:pPr>
      <w:r>
        <w:rPr>
          <w:b/>
          <w:i/>
          <w:color w:val="231F20"/>
          <w:sz w:val="21"/>
        </w:rPr>
        <w:t>Series</w:t>
      </w:r>
      <w:r>
        <w:rPr>
          <w:b/>
          <w:i/>
          <w:color w:val="231F20"/>
          <w:spacing w:val="-12"/>
          <w:sz w:val="21"/>
        </w:rPr>
        <w:t xml:space="preserve"> </w:t>
      </w:r>
      <w:r>
        <w:rPr>
          <w:b/>
          <w:i/>
          <w:color w:val="231F20"/>
          <w:sz w:val="21"/>
        </w:rPr>
        <w:t>Editors</w:t>
      </w:r>
      <w:r>
        <w:rPr>
          <w:color w:val="231F20"/>
          <w:sz w:val="21"/>
        </w:rPr>
        <w:t>:</w:t>
      </w:r>
      <w:r>
        <w:rPr>
          <w:color w:val="231F20"/>
          <w:spacing w:val="-12"/>
          <w:sz w:val="21"/>
        </w:rPr>
        <w:t xml:space="preserve"> </w:t>
      </w:r>
      <w:r>
        <w:rPr>
          <w:b/>
          <w:color w:val="231F20"/>
          <w:sz w:val="21"/>
        </w:rPr>
        <w:t>Chris</w:t>
      </w:r>
      <w:r>
        <w:rPr>
          <w:b/>
          <w:color w:val="231F20"/>
          <w:spacing w:val="-11"/>
          <w:sz w:val="21"/>
        </w:rPr>
        <w:t xml:space="preserve"> </w:t>
      </w:r>
      <w:r>
        <w:rPr>
          <w:b/>
          <w:color w:val="231F20"/>
          <w:sz w:val="21"/>
        </w:rPr>
        <w:t>Cooper</w:t>
      </w:r>
      <w:r>
        <w:rPr>
          <w:b/>
          <w:color w:val="231F20"/>
          <w:spacing w:val="-12"/>
          <w:sz w:val="21"/>
        </w:rPr>
        <w:t xml:space="preserve"> </w:t>
      </w:r>
      <w:r>
        <w:rPr>
          <w:i/>
          <w:color w:val="231F20"/>
          <w:sz w:val="21"/>
        </w:rPr>
        <w:t>(Leeds</w:t>
      </w:r>
      <w:r>
        <w:rPr>
          <w:i/>
          <w:color w:val="231F20"/>
          <w:spacing w:val="-11"/>
          <w:sz w:val="21"/>
        </w:rPr>
        <w:t xml:space="preserve"> </w:t>
      </w:r>
      <w:r>
        <w:rPr>
          <w:i/>
          <w:color w:val="231F20"/>
          <w:sz w:val="21"/>
        </w:rPr>
        <w:t>Beckett</w:t>
      </w:r>
      <w:r>
        <w:rPr>
          <w:i/>
          <w:color w:val="231F20"/>
          <w:spacing w:val="-12"/>
          <w:sz w:val="21"/>
        </w:rPr>
        <w:t xml:space="preserve"> </w:t>
      </w:r>
      <w:r>
        <w:rPr>
          <w:i/>
          <w:color w:val="231F20"/>
          <w:sz w:val="21"/>
        </w:rPr>
        <w:t>University,</w:t>
      </w:r>
      <w:r>
        <w:rPr>
          <w:i/>
          <w:color w:val="231F20"/>
          <w:spacing w:val="-11"/>
          <w:sz w:val="21"/>
        </w:rPr>
        <w:t xml:space="preserve"> </w:t>
      </w:r>
      <w:r>
        <w:rPr>
          <w:i/>
          <w:color w:val="231F20"/>
          <w:sz w:val="21"/>
        </w:rPr>
        <w:t>UK)</w:t>
      </w:r>
      <w:r>
        <w:rPr>
          <w:color w:val="231F20"/>
          <w:sz w:val="21"/>
        </w:rPr>
        <w:t>,</w:t>
      </w:r>
      <w:r>
        <w:rPr>
          <w:color w:val="231F20"/>
          <w:spacing w:val="-12"/>
          <w:sz w:val="21"/>
        </w:rPr>
        <w:t xml:space="preserve"> </w:t>
      </w:r>
      <w:r>
        <w:rPr>
          <w:b/>
          <w:color w:val="231F20"/>
          <w:sz w:val="21"/>
        </w:rPr>
        <w:t>C.</w:t>
      </w:r>
      <w:r>
        <w:rPr>
          <w:b/>
          <w:color w:val="231F20"/>
          <w:spacing w:val="-12"/>
          <w:sz w:val="21"/>
        </w:rPr>
        <w:t xml:space="preserve"> </w:t>
      </w:r>
      <w:r>
        <w:rPr>
          <w:b/>
          <w:color w:val="231F20"/>
          <w:sz w:val="21"/>
        </w:rPr>
        <w:t xml:space="preserve">Michael Hall </w:t>
      </w:r>
      <w:r>
        <w:rPr>
          <w:i/>
          <w:color w:val="231F20"/>
          <w:sz w:val="21"/>
        </w:rPr>
        <w:t xml:space="preserve">(University of Canterbury, New Zealand) </w:t>
      </w:r>
      <w:r>
        <w:rPr>
          <w:color w:val="231F20"/>
          <w:sz w:val="21"/>
        </w:rPr>
        <w:t xml:space="preserve">and </w:t>
      </w:r>
      <w:r>
        <w:rPr>
          <w:b/>
          <w:color w:val="231F20"/>
          <w:sz w:val="21"/>
        </w:rPr>
        <w:t xml:space="preserve">Dallen J. Timothy </w:t>
      </w:r>
      <w:r>
        <w:rPr>
          <w:i/>
          <w:color w:val="231F20"/>
          <w:sz w:val="21"/>
        </w:rPr>
        <w:t>(Arizona State University, USA)</w:t>
      </w:r>
    </w:p>
    <w:p w14:paraId="200A521B" w14:textId="77777777" w:rsidR="00AE0598" w:rsidRDefault="00AE0598">
      <w:pPr>
        <w:pStyle w:val="Corpodetexto"/>
        <w:spacing w:before="9"/>
        <w:rPr>
          <w:i/>
          <w:sz w:val="20"/>
        </w:rPr>
      </w:pPr>
    </w:p>
    <w:p w14:paraId="46FCA469" w14:textId="77777777" w:rsidR="00AE0598" w:rsidRDefault="0069255A">
      <w:pPr>
        <w:pStyle w:val="Corpodetexto"/>
        <w:spacing w:line="232" w:lineRule="auto"/>
        <w:ind w:left="223" w:right="164"/>
        <w:jc w:val="both"/>
      </w:pPr>
      <w:r>
        <w:rPr>
          <w:b/>
          <w:color w:val="231F20"/>
          <w:w w:val="95"/>
        </w:rPr>
        <w:t>Aspects</w:t>
      </w:r>
      <w:r>
        <w:rPr>
          <w:b/>
          <w:color w:val="231F20"/>
          <w:spacing w:val="-10"/>
          <w:w w:val="95"/>
        </w:rPr>
        <w:t xml:space="preserve"> </w:t>
      </w:r>
      <w:r>
        <w:rPr>
          <w:b/>
          <w:color w:val="231F20"/>
          <w:w w:val="95"/>
        </w:rPr>
        <w:t>of</w:t>
      </w:r>
      <w:r>
        <w:rPr>
          <w:b/>
          <w:color w:val="231F20"/>
          <w:spacing w:val="-9"/>
          <w:w w:val="95"/>
        </w:rPr>
        <w:t xml:space="preserve"> </w:t>
      </w:r>
      <w:r>
        <w:rPr>
          <w:b/>
          <w:color w:val="231F20"/>
          <w:w w:val="95"/>
        </w:rPr>
        <w:t>Tourism</w:t>
      </w:r>
      <w:r>
        <w:rPr>
          <w:b/>
          <w:color w:val="231F20"/>
          <w:spacing w:val="-9"/>
          <w:w w:val="95"/>
        </w:rPr>
        <w:t xml:space="preserve"> </w:t>
      </w:r>
      <w:r>
        <w:rPr>
          <w:color w:val="231F20"/>
          <w:w w:val="95"/>
        </w:rPr>
        <w:t>is</w:t>
      </w:r>
      <w:r>
        <w:rPr>
          <w:color w:val="231F20"/>
          <w:spacing w:val="-9"/>
          <w:w w:val="95"/>
        </w:rPr>
        <w:t xml:space="preserve"> </w:t>
      </w:r>
      <w:r>
        <w:rPr>
          <w:color w:val="231F20"/>
          <w:w w:val="95"/>
        </w:rPr>
        <w:t>an</w:t>
      </w:r>
      <w:r>
        <w:rPr>
          <w:color w:val="231F20"/>
          <w:spacing w:val="-10"/>
          <w:w w:val="95"/>
        </w:rPr>
        <w:t xml:space="preserve"> </w:t>
      </w:r>
      <w:r>
        <w:rPr>
          <w:color w:val="231F20"/>
          <w:w w:val="95"/>
        </w:rPr>
        <w:t>innovative,</w:t>
      </w:r>
      <w:r>
        <w:rPr>
          <w:color w:val="231F20"/>
          <w:spacing w:val="-9"/>
          <w:w w:val="95"/>
        </w:rPr>
        <w:t xml:space="preserve"> </w:t>
      </w:r>
      <w:r>
        <w:rPr>
          <w:color w:val="231F20"/>
          <w:w w:val="95"/>
        </w:rPr>
        <w:t>multifaceted</w:t>
      </w:r>
      <w:r>
        <w:rPr>
          <w:color w:val="231F20"/>
          <w:spacing w:val="-9"/>
          <w:w w:val="95"/>
        </w:rPr>
        <w:t xml:space="preserve"> </w:t>
      </w:r>
      <w:r>
        <w:rPr>
          <w:color w:val="231F20"/>
          <w:w w:val="95"/>
        </w:rPr>
        <w:t>series,</w:t>
      </w:r>
      <w:r>
        <w:rPr>
          <w:color w:val="231F20"/>
          <w:spacing w:val="-9"/>
          <w:w w:val="95"/>
        </w:rPr>
        <w:t xml:space="preserve"> </w:t>
      </w:r>
      <w:r>
        <w:rPr>
          <w:color w:val="231F20"/>
          <w:w w:val="95"/>
        </w:rPr>
        <w:t>which</w:t>
      </w:r>
      <w:r>
        <w:rPr>
          <w:color w:val="231F20"/>
          <w:spacing w:val="-10"/>
          <w:w w:val="95"/>
        </w:rPr>
        <w:t xml:space="preserve"> </w:t>
      </w:r>
      <w:r>
        <w:rPr>
          <w:color w:val="231F20"/>
          <w:w w:val="95"/>
        </w:rPr>
        <w:t xml:space="preserve">comprises </w:t>
      </w:r>
      <w:r>
        <w:rPr>
          <w:color w:val="231F20"/>
        </w:rPr>
        <w:t>authoritative</w:t>
      </w:r>
      <w:r>
        <w:rPr>
          <w:color w:val="231F20"/>
          <w:spacing w:val="-9"/>
        </w:rPr>
        <w:t xml:space="preserve"> </w:t>
      </w:r>
      <w:r>
        <w:rPr>
          <w:color w:val="231F20"/>
        </w:rPr>
        <w:t>reference</w:t>
      </w:r>
      <w:r>
        <w:rPr>
          <w:color w:val="231F20"/>
          <w:spacing w:val="-9"/>
        </w:rPr>
        <w:t xml:space="preserve"> </w:t>
      </w:r>
      <w:r>
        <w:rPr>
          <w:color w:val="231F20"/>
        </w:rPr>
        <w:t>handbooks</w:t>
      </w:r>
      <w:r>
        <w:rPr>
          <w:color w:val="231F20"/>
          <w:spacing w:val="-9"/>
        </w:rPr>
        <w:t xml:space="preserve"> </w:t>
      </w:r>
      <w:r>
        <w:rPr>
          <w:color w:val="231F20"/>
        </w:rPr>
        <w:t>on</w:t>
      </w:r>
      <w:r>
        <w:rPr>
          <w:color w:val="231F20"/>
          <w:spacing w:val="-9"/>
        </w:rPr>
        <w:t xml:space="preserve"> </w:t>
      </w:r>
      <w:r>
        <w:rPr>
          <w:color w:val="231F20"/>
        </w:rPr>
        <w:t>global</w:t>
      </w:r>
      <w:r>
        <w:rPr>
          <w:color w:val="231F20"/>
          <w:spacing w:val="-9"/>
        </w:rPr>
        <w:t xml:space="preserve"> </w:t>
      </w:r>
      <w:r>
        <w:rPr>
          <w:color w:val="231F20"/>
        </w:rPr>
        <w:t>tourism</w:t>
      </w:r>
      <w:r>
        <w:rPr>
          <w:color w:val="231F20"/>
          <w:spacing w:val="-9"/>
        </w:rPr>
        <w:t xml:space="preserve"> </w:t>
      </w:r>
      <w:r>
        <w:rPr>
          <w:color w:val="231F20"/>
        </w:rPr>
        <w:t>regions,</w:t>
      </w:r>
      <w:r>
        <w:rPr>
          <w:color w:val="231F20"/>
          <w:spacing w:val="-9"/>
        </w:rPr>
        <w:t xml:space="preserve"> </w:t>
      </w:r>
      <w:r>
        <w:rPr>
          <w:color w:val="231F20"/>
        </w:rPr>
        <w:t>research volumes,</w:t>
      </w:r>
      <w:r>
        <w:rPr>
          <w:color w:val="231F20"/>
          <w:spacing w:val="-2"/>
        </w:rPr>
        <w:t xml:space="preserve"> </w:t>
      </w:r>
      <w:r>
        <w:rPr>
          <w:color w:val="231F20"/>
        </w:rPr>
        <w:t>texts</w:t>
      </w:r>
      <w:r>
        <w:rPr>
          <w:color w:val="231F20"/>
          <w:spacing w:val="-2"/>
        </w:rPr>
        <w:t xml:space="preserve"> </w:t>
      </w:r>
      <w:r>
        <w:rPr>
          <w:color w:val="231F20"/>
        </w:rPr>
        <w:t>and</w:t>
      </w:r>
      <w:r>
        <w:rPr>
          <w:color w:val="231F20"/>
          <w:spacing w:val="-2"/>
        </w:rPr>
        <w:t xml:space="preserve"> </w:t>
      </w:r>
      <w:r>
        <w:rPr>
          <w:color w:val="231F20"/>
        </w:rPr>
        <w:t>monographs.</w:t>
      </w:r>
      <w:r>
        <w:rPr>
          <w:color w:val="231F20"/>
          <w:spacing w:val="-2"/>
        </w:rPr>
        <w:t xml:space="preserve"> </w:t>
      </w:r>
      <w:r>
        <w:rPr>
          <w:color w:val="231F20"/>
        </w:rPr>
        <w:t>It</w:t>
      </w:r>
      <w:r>
        <w:rPr>
          <w:color w:val="231F20"/>
          <w:spacing w:val="-2"/>
        </w:rPr>
        <w:t xml:space="preserve"> </w:t>
      </w:r>
      <w:r>
        <w:rPr>
          <w:color w:val="231F20"/>
        </w:rPr>
        <w:t>is</w:t>
      </w:r>
      <w:r>
        <w:rPr>
          <w:color w:val="231F20"/>
          <w:spacing w:val="-2"/>
        </w:rPr>
        <w:t xml:space="preserve"> </w:t>
      </w:r>
      <w:r>
        <w:rPr>
          <w:color w:val="231F20"/>
        </w:rPr>
        <w:t>designed</w:t>
      </w:r>
      <w:r>
        <w:rPr>
          <w:color w:val="231F20"/>
          <w:spacing w:val="-2"/>
        </w:rPr>
        <w:t xml:space="preserve"> </w:t>
      </w:r>
      <w:r>
        <w:rPr>
          <w:color w:val="231F20"/>
        </w:rPr>
        <w:t>to</w:t>
      </w:r>
      <w:r>
        <w:rPr>
          <w:color w:val="231F20"/>
          <w:spacing w:val="-2"/>
        </w:rPr>
        <w:t xml:space="preserve"> </w:t>
      </w:r>
      <w:r>
        <w:rPr>
          <w:color w:val="231F20"/>
        </w:rPr>
        <w:t>provide</w:t>
      </w:r>
      <w:r>
        <w:rPr>
          <w:color w:val="231F20"/>
          <w:spacing w:val="-2"/>
        </w:rPr>
        <w:t xml:space="preserve"> </w:t>
      </w:r>
      <w:r>
        <w:rPr>
          <w:color w:val="231F20"/>
        </w:rPr>
        <w:t>readers</w:t>
      </w:r>
      <w:r>
        <w:rPr>
          <w:color w:val="231F20"/>
          <w:spacing w:val="-2"/>
        </w:rPr>
        <w:t xml:space="preserve"> </w:t>
      </w:r>
      <w:r>
        <w:rPr>
          <w:color w:val="231F20"/>
        </w:rPr>
        <w:t>with the</w:t>
      </w:r>
      <w:r>
        <w:rPr>
          <w:color w:val="231F20"/>
          <w:spacing w:val="-12"/>
        </w:rPr>
        <w:t xml:space="preserve"> </w:t>
      </w:r>
      <w:r>
        <w:rPr>
          <w:color w:val="231F20"/>
        </w:rPr>
        <w:t>latest</w:t>
      </w:r>
      <w:r>
        <w:rPr>
          <w:color w:val="231F20"/>
          <w:spacing w:val="-12"/>
        </w:rPr>
        <w:t xml:space="preserve"> </w:t>
      </w:r>
      <w:r>
        <w:rPr>
          <w:color w:val="231F20"/>
        </w:rPr>
        <w:t>thinking</w:t>
      </w:r>
      <w:r>
        <w:rPr>
          <w:color w:val="231F20"/>
          <w:spacing w:val="-11"/>
        </w:rPr>
        <w:t xml:space="preserve"> </w:t>
      </w:r>
      <w:r>
        <w:rPr>
          <w:color w:val="231F20"/>
        </w:rPr>
        <w:t>on</w:t>
      </w:r>
      <w:r>
        <w:rPr>
          <w:color w:val="231F20"/>
          <w:spacing w:val="-12"/>
        </w:rPr>
        <w:t xml:space="preserve"> </w:t>
      </w:r>
      <w:r>
        <w:rPr>
          <w:color w:val="231F20"/>
        </w:rPr>
        <w:t>tourism</w:t>
      </w:r>
      <w:r>
        <w:rPr>
          <w:color w:val="231F20"/>
          <w:spacing w:val="-11"/>
        </w:rPr>
        <w:t xml:space="preserve"> </w:t>
      </w:r>
      <w:r>
        <w:rPr>
          <w:color w:val="231F20"/>
        </w:rPr>
        <w:t>worldwide</w:t>
      </w:r>
      <w:r>
        <w:rPr>
          <w:color w:val="231F20"/>
          <w:spacing w:val="-12"/>
        </w:rPr>
        <w:t xml:space="preserve"> </w:t>
      </w:r>
      <w:r>
        <w:rPr>
          <w:color w:val="231F20"/>
        </w:rPr>
        <w:t>and</w:t>
      </w:r>
      <w:r>
        <w:rPr>
          <w:color w:val="231F20"/>
          <w:spacing w:val="-11"/>
        </w:rPr>
        <w:t xml:space="preserve"> </w:t>
      </w:r>
      <w:r>
        <w:rPr>
          <w:color w:val="231F20"/>
        </w:rPr>
        <w:t>in</w:t>
      </w:r>
      <w:r>
        <w:rPr>
          <w:color w:val="231F20"/>
          <w:spacing w:val="-12"/>
        </w:rPr>
        <w:t xml:space="preserve"> </w:t>
      </w:r>
      <w:r>
        <w:rPr>
          <w:color w:val="231F20"/>
        </w:rPr>
        <w:t>so</w:t>
      </w:r>
      <w:r>
        <w:rPr>
          <w:color w:val="231F20"/>
          <w:spacing w:val="-12"/>
        </w:rPr>
        <w:t xml:space="preserve"> </w:t>
      </w:r>
      <w:r>
        <w:rPr>
          <w:color w:val="231F20"/>
        </w:rPr>
        <w:t>doing</w:t>
      </w:r>
      <w:r>
        <w:rPr>
          <w:color w:val="231F20"/>
          <w:spacing w:val="-11"/>
        </w:rPr>
        <w:t xml:space="preserve"> </w:t>
      </w:r>
      <w:r>
        <w:rPr>
          <w:color w:val="231F20"/>
        </w:rPr>
        <w:t>will</w:t>
      </w:r>
      <w:r>
        <w:rPr>
          <w:color w:val="231F20"/>
          <w:spacing w:val="-12"/>
        </w:rPr>
        <w:t xml:space="preserve"> </w:t>
      </w:r>
      <w:r>
        <w:rPr>
          <w:color w:val="231F20"/>
        </w:rPr>
        <w:t>push</w:t>
      </w:r>
      <w:r>
        <w:rPr>
          <w:color w:val="231F20"/>
          <w:spacing w:val="-11"/>
        </w:rPr>
        <w:t xml:space="preserve"> </w:t>
      </w:r>
      <w:r>
        <w:rPr>
          <w:color w:val="231F20"/>
        </w:rPr>
        <w:t xml:space="preserve">back the frontiers of tourism knowledge. The series also introduces a new generation of international tourism authors writing on leading edge </w:t>
      </w:r>
      <w:r>
        <w:rPr>
          <w:color w:val="231F20"/>
          <w:spacing w:val="-2"/>
        </w:rPr>
        <w:t>topics.</w:t>
      </w:r>
    </w:p>
    <w:p w14:paraId="653C1860" w14:textId="77777777" w:rsidR="00AE0598" w:rsidRDefault="0069255A">
      <w:pPr>
        <w:pStyle w:val="Corpodetexto"/>
        <w:spacing w:before="128" w:line="232" w:lineRule="auto"/>
        <w:ind w:left="223" w:right="164"/>
        <w:jc w:val="both"/>
      </w:pPr>
      <w:r>
        <w:rPr>
          <w:color w:val="231F20"/>
          <w:spacing w:val="-2"/>
        </w:rPr>
        <w:t>The</w:t>
      </w:r>
      <w:r>
        <w:rPr>
          <w:color w:val="231F20"/>
          <w:spacing w:val="-9"/>
        </w:rPr>
        <w:t xml:space="preserve"> </w:t>
      </w:r>
      <w:r>
        <w:rPr>
          <w:color w:val="231F20"/>
          <w:spacing w:val="-2"/>
        </w:rPr>
        <w:t>volumes</w:t>
      </w:r>
      <w:r>
        <w:rPr>
          <w:color w:val="231F20"/>
          <w:spacing w:val="-9"/>
        </w:rPr>
        <w:t xml:space="preserve"> </w:t>
      </w:r>
      <w:r>
        <w:rPr>
          <w:color w:val="231F20"/>
          <w:spacing w:val="-2"/>
        </w:rPr>
        <w:t>are</w:t>
      </w:r>
      <w:r>
        <w:rPr>
          <w:color w:val="231F20"/>
          <w:spacing w:val="-9"/>
        </w:rPr>
        <w:t xml:space="preserve"> </w:t>
      </w:r>
      <w:r>
        <w:rPr>
          <w:color w:val="231F20"/>
          <w:spacing w:val="-2"/>
        </w:rPr>
        <w:t>authoritative,</w:t>
      </w:r>
      <w:r>
        <w:rPr>
          <w:color w:val="231F20"/>
          <w:spacing w:val="-9"/>
        </w:rPr>
        <w:t xml:space="preserve"> </w:t>
      </w:r>
      <w:r>
        <w:rPr>
          <w:color w:val="231F20"/>
          <w:spacing w:val="-2"/>
        </w:rPr>
        <w:t>rea</w:t>
      </w:r>
      <w:r>
        <w:rPr>
          <w:color w:val="231F20"/>
          <w:spacing w:val="-2"/>
        </w:rPr>
        <w:t>dable</w:t>
      </w:r>
      <w:r>
        <w:rPr>
          <w:color w:val="231F20"/>
          <w:spacing w:val="-9"/>
        </w:rPr>
        <w:t xml:space="preserve"> </w:t>
      </w:r>
      <w:r>
        <w:rPr>
          <w:color w:val="231F20"/>
          <w:spacing w:val="-2"/>
        </w:rPr>
        <w:t>and</w:t>
      </w:r>
      <w:r>
        <w:rPr>
          <w:color w:val="231F20"/>
          <w:spacing w:val="-9"/>
        </w:rPr>
        <w:t xml:space="preserve"> </w:t>
      </w:r>
      <w:r>
        <w:rPr>
          <w:color w:val="231F20"/>
          <w:spacing w:val="-2"/>
        </w:rPr>
        <w:t>user-friendly,</w:t>
      </w:r>
      <w:r>
        <w:rPr>
          <w:color w:val="231F20"/>
          <w:spacing w:val="-9"/>
        </w:rPr>
        <w:t xml:space="preserve"> </w:t>
      </w:r>
      <w:r>
        <w:rPr>
          <w:color w:val="231F20"/>
          <w:spacing w:val="-2"/>
        </w:rPr>
        <w:t>providing</w:t>
      </w:r>
      <w:r>
        <w:rPr>
          <w:color w:val="231F20"/>
          <w:spacing w:val="-9"/>
        </w:rPr>
        <w:t xml:space="preserve"> </w:t>
      </w:r>
      <w:r>
        <w:rPr>
          <w:color w:val="231F20"/>
          <w:spacing w:val="-2"/>
        </w:rPr>
        <w:t xml:space="preserve">ac- </w:t>
      </w:r>
      <w:r>
        <w:rPr>
          <w:color w:val="231F20"/>
          <w:spacing w:val="-2"/>
          <w:w w:val="95"/>
        </w:rPr>
        <w:t xml:space="preserve">cessible sources for further research. Books in the series are commissioned </w:t>
      </w:r>
      <w:r>
        <w:rPr>
          <w:color w:val="231F20"/>
          <w:w w:val="95"/>
        </w:rPr>
        <w:t>to</w:t>
      </w:r>
      <w:r>
        <w:rPr>
          <w:color w:val="231F20"/>
          <w:spacing w:val="-3"/>
          <w:w w:val="95"/>
        </w:rPr>
        <w:t xml:space="preserve"> </w:t>
      </w:r>
      <w:r>
        <w:rPr>
          <w:color w:val="231F20"/>
          <w:w w:val="95"/>
        </w:rPr>
        <w:t>probe</w:t>
      </w:r>
      <w:r>
        <w:rPr>
          <w:color w:val="231F20"/>
          <w:spacing w:val="-3"/>
          <w:w w:val="95"/>
        </w:rPr>
        <w:t xml:space="preserve"> </w:t>
      </w:r>
      <w:r>
        <w:rPr>
          <w:color w:val="231F20"/>
          <w:w w:val="95"/>
        </w:rPr>
        <w:t>the</w:t>
      </w:r>
      <w:r>
        <w:rPr>
          <w:color w:val="231F20"/>
          <w:spacing w:val="-3"/>
          <w:w w:val="95"/>
        </w:rPr>
        <w:t xml:space="preserve"> </w:t>
      </w:r>
      <w:r>
        <w:rPr>
          <w:color w:val="231F20"/>
          <w:w w:val="95"/>
        </w:rPr>
        <w:t>relationship</w:t>
      </w:r>
      <w:r>
        <w:rPr>
          <w:color w:val="231F20"/>
          <w:spacing w:val="-3"/>
          <w:w w:val="95"/>
        </w:rPr>
        <w:t xml:space="preserve"> </w:t>
      </w:r>
      <w:r>
        <w:rPr>
          <w:color w:val="231F20"/>
          <w:w w:val="95"/>
        </w:rPr>
        <w:t>between</w:t>
      </w:r>
      <w:r>
        <w:rPr>
          <w:color w:val="231F20"/>
          <w:spacing w:val="-3"/>
          <w:w w:val="95"/>
        </w:rPr>
        <w:t xml:space="preserve"> </w:t>
      </w:r>
      <w:r>
        <w:rPr>
          <w:color w:val="231F20"/>
          <w:w w:val="95"/>
        </w:rPr>
        <w:t>tourism</w:t>
      </w:r>
      <w:r>
        <w:rPr>
          <w:color w:val="231F20"/>
          <w:spacing w:val="-3"/>
          <w:w w:val="95"/>
        </w:rPr>
        <w:t xml:space="preserve"> </w:t>
      </w:r>
      <w:r>
        <w:rPr>
          <w:color w:val="231F20"/>
          <w:w w:val="95"/>
        </w:rPr>
        <w:t>and</w:t>
      </w:r>
      <w:r>
        <w:rPr>
          <w:color w:val="231F20"/>
          <w:spacing w:val="-3"/>
          <w:w w:val="95"/>
        </w:rPr>
        <w:t xml:space="preserve"> </w:t>
      </w:r>
      <w:r>
        <w:rPr>
          <w:color w:val="231F20"/>
          <w:w w:val="95"/>
        </w:rPr>
        <w:t>cognate</w:t>
      </w:r>
      <w:r>
        <w:rPr>
          <w:color w:val="231F20"/>
          <w:spacing w:val="-3"/>
          <w:w w:val="95"/>
        </w:rPr>
        <w:t xml:space="preserve"> </w:t>
      </w:r>
      <w:r>
        <w:rPr>
          <w:color w:val="231F20"/>
          <w:w w:val="95"/>
        </w:rPr>
        <w:t>subject</w:t>
      </w:r>
      <w:r>
        <w:rPr>
          <w:color w:val="231F20"/>
          <w:spacing w:val="-3"/>
          <w:w w:val="95"/>
        </w:rPr>
        <w:t xml:space="preserve"> </w:t>
      </w:r>
      <w:r>
        <w:rPr>
          <w:color w:val="231F20"/>
          <w:w w:val="95"/>
        </w:rPr>
        <w:t>areas</w:t>
      </w:r>
      <w:r>
        <w:rPr>
          <w:color w:val="231F20"/>
          <w:spacing w:val="-3"/>
          <w:w w:val="95"/>
        </w:rPr>
        <w:t xml:space="preserve"> </w:t>
      </w:r>
      <w:r>
        <w:rPr>
          <w:color w:val="231F20"/>
          <w:w w:val="95"/>
        </w:rPr>
        <w:t>such as strategy, development, retailing, sport and environmental studies</w:t>
      </w:r>
      <w:r>
        <w:rPr>
          <w:color w:val="231F20"/>
          <w:w w:val="95"/>
        </w:rPr>
        <w:t>. The publisher</w:t>
      </w:r>
      <w:r>
        <w:rPr>
          <w:color w:val="231F20"/>
          <w:spacing w:val="-10"/>
          <w:w w:val="95"/>
        </w:rPr>
        <w:t xml:space="preserve"> </w:t>
      </w:r>
      <w:r>
        <w:rPr>
          <w:color w:val="231F20"/>
          <w:w w:val="95"/>
        </w:rPr>
        <w:t>and</w:t>
      </w:r>
      <w:r>
        <w:rPr>
          <w:color w:val="231F20"/>
          <w:spacing w:val="-9"/>
          <w:w w:val="95"/>
        </w:rPr>
        <w:t xml:space="preserve"> </w:t>
      </w:r>
      <w:r>
        <w:rPr>
          <w:color w:val="231F20"/>
          <w:w w:val="95"/>
        </w:rPr>
        <w:t>series</w:t>
      </w:r>
      <w:r>
        <w:rPr>
          <w:color w:val="231F20"/>
          <w:spacing w:val="-9"/>
          <w:w w:val="95"/>
        </w:rPr>
        <w:t xml:space="preserve"> </w:t>
      </w:r>
      <w:r>
        <w:rPr>
          <w:color w:val="231F20"/>
          <w:w w:val="95"/>
        </w:rPr>
        <w:t>editors</w:t>
      </w:r>
      <w:r>
        <w:rPr>
          <w:color w:val="231F20"/>
          <w:spacing w:val="-9"/>
          <w:w w:val="95"/>
        </w:rPr>
        <w:t xml:space="preserve"> </w:t>
      </w:r>
      <w:r>
        <w:rPr>
          <w:color w:val="231F20"/>
          <w:w w:val="95"/>
        </w:rPr>
        <w:t>welcome</w:t>
      </w:r>
      <w:r>
        <w:rPr>
          <w:color w:val="231F20"/>
          <w:spacing w:val="-10"/>
          <w:w w:val="95"/>
        </w:rPr>
        <w:t xml:space="preserve"> </w:t>
      </w:r>
      <w:r>
        <w:rPr>
          <w:color w:val="231F20"/>
          <w:w w:val="95"/>
        </w:rPr>
        <w:t>proposals</w:t>
      </w:r>
      <w:r>
        <w:rPr>
          <w:color w:val="231F20"/>
          <w:spacing w:val="-9"/>
          <w:w w:val="95"/>
        </w:rPr>
        <w:t xml:space="preserve"> </w:t>
      </w:r>
      <w:r>
        <w:rPr>
          <w:color w:val="231F20"/>
          <w:w w:val="95"/>
        </w:rPr>
        <w:t>from</w:t>
      </w:r>
      <w:r>
        <w:rPr>
          <w:color w:val="231F20"/>
          <w:spacing w:val="-9"/>
          <w:w w:val="95"/>
        </w:rPr>
        <w:t xml:space="preserve"> </w:t>
      </w:r>
      <w:r>
        <w:rPr>
          <w:color w:val="231F20"/>
          <w:w w:val="95"/>
        </w:rPr>
        <w:t>writers</w:t>
      </w:r>
      <w:r>
        <w:rPr>
          <w:color w:val="231F20"/>
          <w:spacing w:val="-9"/>
          <w:w w:val="95"/>
        </w:rPr>
        <w:t xml:space="preserve"> </w:t>
      </w:r>
      <w:r>
        <w:rPr>
          <w:color w:val="231F20"/>
          <w:w w:val="95"/>
        </w:rPr>
        <w:t>with</w:t>
      </w:r>
      <w:r>
        <w:rPr>
          <w:color w:val="231F20"/>
          <w:spacing w:val="-10"/>
          <w:w w:val="95"/>
        </w:rPr>
        <w:t xml:space="preserve"> </w:t>
      </w:r>
      <w:r>
        <w:rPr>
          <w:color w:val="231F20"/>
          <w:w w:val="95"/>
        </w:rPr>
        <w:t xml:space="preserve">projects </w:t>
      </w:r>
      <w:r>
        <w:rPr>
          <w:color w:val="231F20"/>
        </w:rPr>
        <w:t>on the above topics.</w:t>
      </w:r>
    </w:p>
    <w:p w14:paraId="4D7FF89C" w14:textId="77777777" w:rsidR="00AE0598" w:rsidRDefault="0069255A">
      <w:pPr>
        <w:pStyle w:val="Corpodetexto"/>
        <w:spacing w:before="122"/>
        <w:ind w:left="223"/>
        <w:jc w:val="both"/>
      </w:pPr>
      <w:r>
        <w:rPr>
          <w:color w:val="231F20"/>
          <w:w w:val="95"/>
        </w:rPr>
        <w:t>All</w:t>
      </w:r>
      <w:r>
        <w:rPr>
          <w:color w:val="231F20"/>
          <w:spacing w:val="-1"/>
          <w:w w:val="95"/>
        </w:rPr>
        <w:t xml:space="preserve"> </w:t>
      </w:r>
      <w:r>
        <w:rPr>
          <w:color w:val="231F20"/>
          <w:w w:val="95"/>
        </w:rPr>
        <w:t>books</w:t>
      </w:r>
      <w:r>
        <w:rPr>
          <w:color w:val="231F20"/>
          <w:spacing w:val="-2"/>
        </w:rPr>
        <w:t xml:space="preserve"> </w:t>
      </w:r>
      <w:r>
        <w:rPr>
          <w:color w:val="231F20"/>
          <w:w w:val="95"/>
        </w:rPr>
        <w:t>in</w:t>
      </w:r>
      <w:r>
        <w:rPr>
          <w:color w:val="231F20"/>
          <w:spacing w:val="-2"/>
        </w:rPr>
        <w:t xml:space="preserve"> </w:t>
      </w:r>
      <w:r>
        <w:rPr>
          <w:color w:val="231F20"/>
          <w:w w:val="95"/>
        </w:rPr>
        <w:t>this</w:t>
      </w:r>
      <w:r>
        <w:rPr>
          <w:color w:val="231F20"/>
          <w:spacing w:val="-3"/>
        </w:rPr>
        <w:t xml:space="preserve"> </w:t>
      </w:r>
      <w:r>
        <w:rPr>
          <w:color w:val="231F20"/>
          <w:w w:val="95"/>
        </w:rPr>
        <w:t>series</w:t>
      </w:r>
      <w:r>
        <w:rPr>
          <w:color w:val="231F20"/>
          <w:spacing w:val="-2"/>
        </w:rPr>
        <w:t xml:space="preserve"> </w:t>
      </w:r>
      <w:r>
        <w:rPr>
          <w:color w:val="231F20"/>
          <w:w w:val="95"/>
        </w:rPr>
        <w:t>are</w:t>
      </w:r>
      <w:r>
        <w:rPr>
          <w:color w:val="231F20"/>
          <w:spacing w:val="-2"/>
        </w:rPr>
        <w:t xml:space="preserve"> </w:t>
      </w:r>
      <w:r>
        <w:rPr>
          <w:color w:val="231F20"/>
          <w:w w:val="95"/>
        </w:rPr>
        <w:t>externally</w:t>
      </w:r>
      <w:r>
        <w:rPr>
          <w:color w:val="231F20"/>
          <w:spacing w:val="-3"/>
        </w:rPr>
        <w:t xml:space="preserve"> </w:t>
      </w:r>
      <w:r>
        <w:rPr>
          <w:color w:val="231F20"/>
          <w:w w:val="95"/>
        </w:rPr>
        <w:t>peer-</w:t>
      </w:r>
      <w:r>
        <w:rPr>
          <w:color w:val="231F20"/>
          <w:spacing w:val="-2"/>
          <w:w w:val="95"/>
        </w:rPr>
        <w:t>reviewed.</w:t>
      </w:r>
    </w:p>
    <w:p w14:paraId="41715B6D" w14:textId="77777777" w:rsidR="00AE0598" w:rsidRDefault="0069255A">
      <w:pPr>
        <w:pStyle w:val="Corpodetexto"/>
        <w:spacing w:before="119" w:line="232" w:lineRule="auto"/>
        <w:ind w:left="223" w:right="164"/>
        <w:jc w:val="both"/>
      </w:pPr>
      <w:r>
        <w:rPr>
          <w:color w:val="231F20"/>
          <w:spacing w:val="-2"/>
        </w:rPr>
        <w:t>Full</w:t>
      </w:r>
      <w:r>
        <w:rPr>
          <w:color w:val="231F20"/>
          <w:spacing w:val="-9"/>
        </w:rPr>
        <w:t xml:space="preserve"> </w:t>
      </w:r>
      <w:r>
        <w:rPr>
          <w:color w:val="231F20"/>
          <w:spacing w:val="-2"/>
        </w:rPr>
        <w:t>details</w:t>
      </w:r>
      <w:r>
        <w:rPr>
          <w:color w:val="231F20"/>
          <w:spacing w:val="-9"/>
        </w:rPr>
        <w:t xml:space="preserve"> </w:t>
      </w:r>
      <w:r>
        <w:rPr>
          <w:color w:val="231F20"/>
          <w:spacing w:val="-2"/>
        </w:rPr>
        <w:t>of</w:t>
      </w:r>
      <w:r>
        <w:rPr>
          <w:color w:val="231F20"/>
          <w:spacing w:val="3"/>
        </w:rPr>
        <w:t xml:space="preserve"> </w:t>
      </w:r>
      <w:r>
        <w:rPr>
          <w:color w:val="231F20"/>
          <w:spacing w:val="-2"/>
        </w:rPr>
        <w:t>all</w:t>
      </w:r>
      <w:r>
        <w:rPr>
          <w:color w:val="231F20"/>
          <w:spacing w:val="-9"/>
        </w:rPr>
        <w:t xml:space="preserve"> </w:t>
      </w:r>
      <w:r>
        <w:rPr>
          <w:color w:val="231F20"/>
          <w:spacing w:val="-2"/>
        </w:rPr>
        <w:t>the</w:t>
      </w:r>
      <w:r>
        <w:rPr>
          <w:color w:val="231F20"/>
          <w:spacing w:val="-9"/>
        </w:rPr>
        <w:t xml:space="preserve"> </w:t>
      </w:r>
      <w:r>
        <w:rPr>
          <w:color w:val="231F20"/>
          <w:spacing w:val="-2"/>
        </w:rPr>
        <w:t>books</w:t>
      </w:r>
      <w:r>
        <w:rPr>
          <w:color w:val="231F20"/>
          <w:spacing w:val="-9"/>
        </w:rPr>
        <w:t xml:space="preserve"> </w:t>
      </w:r>
      <w:r>
        <w:rPr>
          <w:color w:val="231F20"/>
          <w:spacing w:val="-2"/>
        </w:rPr>
        <w:t>in</w:t>
      </w:r>
      <w:r>
        <w:rPr>
          <w:color w:val="231F20"/>
          <w:spacing w:val="-9"/>
        </w:rPr>
        <w:t xml:space="preserve"> </w:t>
      </w:r>
      <w:r>
        <w:rPr>
          <w:color w:val="231F20"/>
          <w:spacing w:val="-2"/>
        </w:rPr>
        <w:t>this</w:t>
      </w:r>
      <w:r>
        <w:rPr>
          <w:color w:val="231F20"/>
          <w:spacing w:val="-9"/>
        </w:rPr>
        <w:t xml:space="preserve"> </w:t>
      </w:r>
      <w:r>
        <w:rPr>
          <w:color w:val="231F20"/>
          <w:spacing w:val="-2"/>
        </w:rPr>
        <w:t>series</w:t>
      </w:r>
      <w:r>
        <w:rPr>
          <w:color w:val="231F20"/>
          <w:spacing w:val="-9"/>
        </w:rPr>
        <w:t xml:space="preserve"> </w:t>
      </w:r>
      <w:r>
        <w:rPr>
          <w:color w:val="231F20"/>
          <w:spacing w:val="-2"/>
        </w:rPr>
        <w:t>and</w:t>
      </w:r>
      <w:r>
        <w:rPr>
          <w:color w:val="231F20"/>
          <w:spacing w:val="-9"/>
        </w:rPr>
        <w:t xml:space="preserve"> </w:t>
      </w:r>
      <w:r>
        <w:rPr>
          <w:color w:val="231F20"/>
          <w:spacing w:val="-2"/>
        </w:rPr>
        <w:t>of</w:t>
      </w:r>
      <w:r>
        <w:rPr>
          <w:color w:val="231F20"/>
          <w:spacing w:val="3"/>
        </w:rPr>
        <w:t xml:space="preserve"> </w:t>
      </w:r>
      <w:r>
        <w:rPr>
          <w:color w:val="231F20"/>
          <w:spacing w:val="-2"/>
        </w:rPr>
        <w:t>all</w:t>
      </w:r>
      <w:r>
        <w:rPr>
          <w:color w:val="231F20"/>
          <w:spacing w:val="-9"/>
        </w:rPr>
        <w:t xml:space="preserve"> </w:t>
      </w:r>
      <w:r>
        <w:rPr>
          <w:color w:val="231F20"/>
          <w:spacing w:val="-2"/>
        </w:rPr>
        <w:t>our</w:t>
      </w:r>
      <w:r>
        <w:rPr>
          <w:color w:val="231F20"/>
          <w:spacing w:val="-9"/>
        </w:rPr>
        <w:t xml:space="preserve"> </w:t>
      </w:r>
      <w:r>
        <w:rPr>
          <w:color w:val="231F20"/>
          <w:spacing w:val="-2"/>
        </w:rPr>
        <w:t>other</w:t>
      </w:r>
      <w:r>
        <w:rPr>
          <w:color w:val="231F20"/>
          <w:spacing w:val="-9"/>
        </w:rPr>
        <w:t xml:space="preserve"> </w:t>
      </w:r>
      <w:r>
        <w:rPr>
          <w:color w:val="231F20"/>
          <w:spacing w:val="-2"/>
        </w:rPr>
        <w:t xml:space="preserve">publications </w:t>
      </w:r>
      <w:r>
        <w:rPr>
          <w:color w:val="231F20"/>
          <w:w w:val="95"/>
        </w:rPr>
        <w:t xml:space="preserve">can be found on </w:t>
      </w:r>
      <w:hyperlink r:id="rId5">
        <w:r>
          <w:rPr>
            <w:color w:val="231F20"/>
            <w:w w:val="95"/>
          </w:rPr>
          <w:t xml:space="preserve">http://www.channelviewpublications.com, </w:t>
        </w:r>
      </w:hyperlink>
      <w:r>
        <w:rPr>
          <w:color w:val="231F20"/>
          <w:w w:val="95"/>
        </w:rPr>
        <w:t xml:space="preserve">or by writing </w:t>
      </w:r>
      <w:r>
        <w:rPr>
          <w:color w:val="231F20"/>
        </w:rPr>
        <w:t>to Channel View Publications, St Nicholas House, 31-34 High Street, Bristol BS1 2AW, UK.</w:t>
      </w:r>
    </w:p>
    <w:p w14:paraId="34CD4DDF" w14:textId="77777777" w:rsidR="00AE0598" w:rsidRDefault="00AE0598">
      <w:pPr>
        <w:spacing w:line="232" w:lineRule="auto"/>
        <w:jc w:val="both"/>
        <w:sectPr w:rsidR="00AE0598">
          <w:pgSz w:w="8850" w:h="13270"/>
          <w:pgMar w:top="1120" w:right="1080" w:bottom="280" w:left="1080" w:header="720" w:footer="720" w:gutter="0"/>
          <w:cols w:space="720"/>
        </w:sectPr>
      </w:pPr>
    </w:p>
    <w:p w14:paraId="433145B8" w14:textId="77777777" w:rsidR="00AE0598" w:rsidRDefault="0069255A">
      <w:pPr>
        <w:spacing w:before="75"/>
        <w:ind w:left="166"/>
        <w:rPr>
          <w:b/>
          <w:sz w:val="21"/>
        </w:rPr>
      </w:pPr>
      <w:r>
        <w:rPr>
          <w:b/>
          <w:color w:val="231F20"/>
          <w:sz w:val="21"/>
        </w:rPr>
        <w:lastRenderedPageBreak/>
        <w:t>ASPECTS</w:t>
      </w:r>
      <w:r>
        <w:rPr>
          <w:b/>
          <w:color w:val="231F20"/>
          <w:spacing w:val="45"/>
          <w:sz w:val="21"/>
        </w:rPr>
        <w:t xml:space="preserve"> </w:t>
      </w:r>
      <w:r>
        <w:rPr>
          <w:b/>
          <w:color w:val="231F20"/>
          <w:sz w:val="21"/>
        </w:rPr>
        <w:t>OF</w:t>
      </w:r>
      <w:r>
        <w:rPr>
          <w:b/>
          <w:color w:val="231F20"/>
          <w:spacing w:val="45"/>
          <w:sz w:val="21"/>
        </w:rPr>
        <w:t xml:space="preserve"> </w:t>
      </w:r>
      <w:r>
        <w:rPr>
          <w:b/>
          <w:color w:val="231F20"/>
          <w:sz w:val="21"/>
        </w:rPr>
        <w:t>TOURISM:</w:t>
      </w:r>
      <w:r>
        <w:rPr>
          <w:b/>
          <w:color w:val="231F20"/>
          <w:spacing w:val="45"/>
          <w:sz w:val="21"/>
        </w:rPr>
        <w:t xml:space="preserve"> </w:t>
      </w:r>
      <w:r>
        <w:rPr>
          <w:b/>
          <w:color w:val="231F20"/>
          <w:spacing w:val="-5"/>
          <w:sz w:val="21"/>
        </w:rPr>
        <w:t>84</w:t>
      </w:r>
    </w:p>
    <w:p w14:paraId="544C7849" w14:textId="77777777" w:rsidR="00AE0598" w:rsidRDefault="00AE0598">
      <w:pPr>
        <w:pStyle w:val="Corpodetexto"/>
        <w:rPr>
          <w:b/>
          <w:sz w:val="24"/>
        </w:rPr>
      </w:pPr>
    </w:p>
    <w:p w14:paraId="14AF7D8F" w14:textId="77777777" w:rsidR="00AE0598" w:rsidRDefault="00AE0598">
      <w:pPr>
        <w:pStyle w:val="Corpodetexto"/>
        <w:rPr>
          <w:b/>
          <w:sz w:val="24"/>
        </w:rPr>
      </w:pPr>
    </w:p>
    <w:p w14:paraId="2B70A626" w14:textId="77777777" w:rsidR="00AE0598" w:rsidRDefault="00AE0598">
      <w:pPr>
        <w:pStyle w:val="Corpodetexto"/>
        <w:spacing w:before="9"/>
        <w:rPr>
          <w:b/>
          <w:sz w:val="22"/>
        </w:rPr>
      </w:pPr>
    </w:p>
    <w:p w14:paraId="1BA2D96C" w14:textId="77777777" w:rsidR="00AE0598" w:rsidRDefault="0069255A">
      <w:pPr>
        <w:pStyle w:val="Ttulo"/>
        <w:spacing w:line="247" w:lineRule="auto"/>
      </w:pPr>
      <w:r>
        <w:rPr>
          <w:color w:val="231F20"/>
          <w:spacing w:val="-6"/>
          <w:w w:val="105"/>
        </w:rPr>
        <w:t>Sport</w:t>
      </w:r>
      <w:r>
        <w:rPr>
          <w:color w:val="231F20"/>
          <w:spacing w:val="-42"/>
          <w:w w:val="105"/>
        </w:rPr>
        <w:t xml:space="preserve"> </w:t>
      </w:r>
      <w:r>
        <w:rPr>
          <w:color w:val="231F20"/>
          <w:spacing w:val="-6"/>
          <w:w w:val="105"/>
        </w:rPr>
        <w:t xml:space="preserve">Tourism </w:t>
      </w:r>
      <w:r>
        <w:rPr>
          <w:color w:val="231F20"/>
          <w:spacing w:val="-2"/>
          <w:w w:val="105"/>
        </w:rPr>
        <w:t>Development</w:t>
      </w:r>
    </w:p>
    <w:p w14:paraId="517BC100" w14:textId="77777777" w:rsidR="00AE0598" w:rsidRDefault="00AE0598">
      <w:pPr>
        <w:pStyle w:val="Corpodetexto"/>
        <w:spacing w:before="7"/>
        <w:rPr>
          <w:rFonts w:ascii="Trebuchet MS"/>
          <w:sz w:val="64"/>
        </w:rPr>
      </w:pPr>
    </w:p>
    <w:p w14:paraId="13A802C1" w14:textId="77777777" w:rsidR="00AE0598" w:rsidRDefault="0069255A">
      <w:pPr>
        <w:ind w:left="166"/>
        <w:rPr>
          <w:rFonts w:ascii="Trebuchet MS"/>
          <w:sz w:val="36"/>
        </w:rPr>
      </w:pPr>
      <w:r>
        <w:rPr>
          <w:rFonts w:ascii="Trebuchet MS"/>
          <w:color w:val="231F20"/>
          <w:w w:val="105"/>
          <w:sz w:val="36"/>
        </w:rPr>
        <w:t>3rd</w:t>
      </w:r>
      <w:r>
        <w:rPr>
          <w:rFonts w:ascii="Trebuchet MS"/>
          <w:color w:val="231F20"/>
          <w:spacing w:val="-19"/>
          <w:w w:val="105"/>
          <w:sz w:val="36"/>
        </w:rPr>
        <w:t xml:space="preserve"> </w:t>
      </w:r>
      <w:r>
        <w:rPr>
          <w:rFonts w:ascii="Trebuchet MS"/>
          <w:color w:val="231F20"/>
          <w:spacing w:val="-2"/>
          <w:w w:val="105"/>
          <w:sz w:val="36"/>
        </w:rPr>
        <w:t>Edition</w:t>
      </w:r>
    </w:p>
    <w:p w14:paraId="2F7E7337" w14:textId="77777777" w:rsidR="00AE0598" w:rsidRDefault="00AE0598">
      <w:pPr>
        <w:pStyle w:val="Corpodetexto"/>
        <w:rPr>
          <w:rFonts w:ascii="Trebuchet MS"/>
          <w:sz w:val="42"/>
        </w:rPr>
      </w:pPr>
    </w:p>
    <w:p w14:paraId="2116DB4D" w14:textId="77777777" w:rsidR="00AE0598" w:rsidRDefault="00AE0598">
      <w:pPr>
        <w:pStyle w:val="Corpodetexto"/>
        <w:rPr>
          <w:rFonts w:ascii="Trebuchet MS"/>
          <w:sz w:val="42"/>
        </w:rPr>
      </w:pPr>
    </w:p>
    <w:p w14:paraId="04E7D60B" w14:textId="77777777" w:rsidR="00AE0598" w:rsidRDefault="00AE0598">
      <w:pPr>
        <w:pStyle w:val="Corpodetexto"/>
        <w:rPr>
          <w:rFonts w:ascii="Trebuchet MS"/>
          <w:sz w:val="42"/>
        </w:rPr>
      </w:pPr>
    </w:p>
    <w:p w14:paraId="4D0B18E5" w14:textId="77777777" w:rsidR="00AE0598" w:rsidRDefault="00AE0598">
      <w:pPr>
        <w:pStyle w:val="Corpodetexto"/>
        <w:spacing w:before="3"/>
        <w:rPr>
          <w:rFonts w:ascii="Trebuchet MS"/>
          <w:sz w:val="41"/>
        </w:rPr>
      </w:pPr>
    </w:p>
    <w:p w14:paraId="3DC6EC2C" w14:textId="77777777" w:rsidR="00AE0598" w:rsidRDefault="0069255A">
      <w:pPr>
        <w:ind w:left="166"/>
        <w:rPr>
          <w:rFonts w:ascii="Trebuchet MS"/>
          <w:b/>
          <w:sz w:val="36"/>
        </w:rPr>
      </w:pPr>
      <w:r>
        <w:rPr>
          <w:rFonts w:ascii="Trebuchet MS"/>
          <w:b/>
          <w:color w:val="231F20"/>
          <w:sz w:val="36"/>
        </w:rPr>
        <w:t>James</w:t>
      </w:r>
      <w:r>
        <w:rPr>
          <w:rFonts w:ascii="Trebuchet MS"/>
          <w:b/>
          <w:color w:val="231F20"/>
          <w:spacing w:val="-9"/>
          <w:sz w:val="36"/>
        </w:rPr>
        <w:t xml:space="preserve"> </w:t>
      </w:r>
      <w:r>
        <w:rPr>
          <w:rFonts w:ascii="Trebuchet MS"/>
          <w:b/>
          <w:color w:val="231F20"/>
          <w:sz w:val="36"/>
        </w:rPr>
        <w:t>Higham</w:t>
      </w:r>
      <w:r>
        <w:rPr>
          <w:rFonts w:ascii="Trebuchet MS"/>
          <w:b/>
          <w:color w:val="231F20"/>
          <w:spacing w:val="-8"/>
          <w:sz w:val="36"/>
        </w:rPr>
        <w:t xml:space="preserve"> </w:t>
      </w:r>
      <w:r>
        <w:rPr>
          <w:rFonts w:ascii="Trebuchet MS"/>
          <w:b/>
          <w:color w:val="231F20"/>
          <w:sz w:val="36"/>
        </w:rPr>
        <w:t>and</w:t>
      </w:r>
      <w:r>
        <w:rPr>
          <w:rFonts w:ascii="Trebuchet MS"/>
          <w:b/>
          <w:color w:val="231F20"/>
          <w:spacing w:val="-9"/>
          <w:sz w:val="36"/>
        </w:rPr>
        <w:t xml:space="preserve"> </w:t>
      </w:r>
      <w:r>
        <w:rPr>
          <w:rFonts w:ascii="Trebuchet MS"/>
          <w:b/>
          <w:color w:val="231F20"/>
          <w:sz w:val="36"/>
        </w:rPr>
        <w:t>Tom</w:t>
      </w:r>
      <w:r>
        <w:rPr>
          <w:rFonts w:ascii="Trebuchet MS"/>
          <w:b/>
          <w:color w:val="231F20"/>
          <w:spacing w:val="-8"/>
          <w:sz w:val="36"/>
        </w:rPr>
        <w:t xml:space="preserve"> </w:t>
      </w:r>
      <w:r>
        <w:rPr>
          <w:rFonts w:ascii="Trebuchet MS"/>
          <w:b/>
          <w:color w:val="231F20"/>
          <w:spacing w:val="-2"/>
          <w:sz w:val="36"/>
        </w:rPr>
        <w:t>Hinch</w:t>
      </w:r>
    </w:p>
    <w:p w14:paraId="135F2BCE" w14:textId="77777777" w:rsidR="00AE0598" w:rsidRDefault="00AE0598">
      <w:pPr>
        <w:pStyle w:val="Corpodetexto"/>
        <w:rPr>
          <w:rFonts w:ascii="Trebuchet MS"/>
          <w:b/>
          <w:sz w:val="42"/>
        </w:rPr>
      </w:pPr>
    </w:p>
    <w:p w14:paraId="45202CD1" w14:textId="77777777" w:rsidR="00AE0598" w:rsidRDefault="00AE0598">
      <w:pPr>
        <w:pStyle w:val="Corpodetexto"/>
        <w:rPr>
          <w:rFonts w:ascii="Trebuchet MS"/>
          <w:b/>
          <w:sz w:val="42"/>
        </w:rPr>
      </w:pPr>
    </w:p>
    <w:p w14:paraId="7E64237E" w14:textId="77777777" w:rsidR="00AE0598" w:rsidRDefault="00AE0598">
      <w:pPr>
        <w:pStyle w:val="Corpodetexto"/>
        <w:rPr>
          <w:rFonts w:ascii="Trebuchet MS"/>
          <w:b/>
          <w:sz w:val="42"/>
        </w:rPr>
      </w:pPr>
    </w:p>
    <w:p w14:paraId="62B2833F" w14:textId="77777777" w:rsidR="00AE0598" w:rsidRDefault="00AE0598">
      <w:pPr>
        <w:pStyle w:val="Corpodetexto"/>
        <w:rPr>
          <w:rFonts w:ascii="Trebuchet MS"/>
          <w:b/>
          <w:sz w:val="42"/>
        </w:rPr>
      </w:pPr>
    </w:p>
    <w:p w14:paraId="7561E612" w14:textId="77777777" w:rsidR="00AE0598" w:rsidRDefault="00AE0598">
      <w:pPr>
        <w:pStyle w:val="Corpodetexto"/>
        <w:rPr>
          <w:rFonts w:ascii="Trebuchet MS"/>
          <w:b/>
          <w:sz w:val="42"/>
        </w:rPr>
      </w:pPr>
    </w:p>
    <w:p w14:paraId="47C426BE" w14:textId="77777777" w:rsidR="00AE0598" w:rsidRDefault="00AE0598">
      <w:pPr>
        <w:pStyle w:val="Corpodetexto"/>
        <w:rPr>
          <w:rFonts w:ascii="Trebuchet MS"/>
          <w:b/>
          <w:sz w:val="42"/>
        </w:rPr>
      </w:pPr>
    </w:p>
    <w:p w14:paraId="4B0F1792" w14:textId="77777777" w:rsidR="00AE0598" w:rsidRDefault="00AE0598">
      <w:pPr>
        <w:pStyle w:val="Corpodetexto"/>
        <w:rPr>
          <w:rFonts w:ascii="Trebuchet MS"/>
          <w:b/>
          <w:sz w:val="42"/>
        </w:rPr>
      </w:pPr>
    </w:p>
    <w:p w14:paraId="1D081FFF" w14:textId="77777777" w:rsidR="00AE0598" w:rsidRDefault="00AE0598">
      <w:pPr>
        <w:pStyle w:val="Corpodetexto"/>
        <w:rPr>
          <w:rFonts w:ascii="Trebuchet MS"/>
          <w:b/>
          <w:sz w:val="42"/>
        </w:rPr>
      </w:pPr>
    </w:p>
    <w:p w14:paraId="5BC038F3" w14:textId="77777777" w:rsidR="00AE0598" w:rsidRDefault="0069255A">
      <w:pPr>
        <w:spacing w:before="330" w:line="275" w:lineRule="exact"/>
        <w:ind w:left="166"/>
        <w:rPr>
          <w:b/>
          <w:sz w:val="24"/>
        </w:rPr>
      </w:pPr>
      <w:r>
        <w:rPr>
          <w:b/>
          <w:color w:val="231F20"/>
          <w:w w:val="105"/>
          <w:sz w:val="24"/>
        </w:rPr>
        <w:t>CHANNEL</w:t>
      </w:r>
      <w:r>
        <w:rPr>
          <w:b/>
          <w:color w:val="231F20"/>
          <w:spacing w:val="50"/>
          <w:w w:val="105"/>
          <w:sz w:val="24"/>
        </w:rPr>
        <w:t xml:space="preserve"> </w:t>
      </w:r>
      <w:r>
        <w:rPr>
          <w:b/>
          <w:color w:val="231F20"/>
          <w:w w:val="105"/>
          <w:sz w:val="24"/>
        </w:rPr>
        <w:t>VIEW</w:t>
      </w:r>
      <w:r>
        <w:rPr>
          <w:b/>
          <w:color w:val="231F20"/>
          <w:spacing w:val="50"/>
          <w:w w:val="105"/>
          <w:sz w:val="24"/>
        </w:rPr>
        <w:t xml:space="preserve"> </w:t>
      </w:r>
      <w:r>
        <w:rPr>
          <w:b/>
          <w:color w:val="231F20"/>
          <w:spacing w:val="-2"/>
          <w:w w:val="105"/>
          <w:sz w:val="24"/>
        </w:rPr>
        <w:t>PUBLICATIONS</w:t>
      </w:r>
    </w:p>
    <w:p w14:paraId="7855AEC5" w14:textId="77777777" w:rsidR="00AE0598" w:rsidRDefault="0069255A">
      <w:pPr>
        <w:pStyle w:val="Corpodetexto"/>
        <w:spacing w:line="240" w:lineRule="exact"/>
        <w:ind w:left="166"/>
      </w:pPr>
      <w:r>
        <w:rPr>
          <w:color w:val="231F20"/>
          <w:w w:val="95"/>
        </w:rPr>
        <w:t>Bristol</w:t>
      </w:r>
      <w:r>
        <w:rPr>
          <w:color w:val="231F20"/>
          <w:spacing w:val="2"/>
        </w:rPr>
        <w:t xml:space="preserve"> </w:t>
      </w:r>
      <w:r>
        <w:rPr>
          <w:color w:val="231F20"/>
          <w:w w:val="95"/>
        </w:rPr>
        <w:t>•</w:t>
      </w:r>
      <w:r>
        <w:rPr>
          <w:color w:val="231F20"/>
          <w:spacing w:val="2"/>
        </w:rPr>
        <w:t xml:space="preserve"> </w:t>
      </w:r>
      <w:r>
        <w:rPr>
          <w:color w:val="231F20"/>
          <w:w w:val="95"/>
        </w:rPr>
        <w:t>Blue</w:t>
      </w:r>
      <w:r>
        <w:rPr>
          <w:color w:val="231F20"/>
          <w:spacing w:val="2"/>
        </w:rPr>
        <w:t xml:space="preserve"> </w:t>
      </w:r>
      <w:r>
        <w:rPr>
          <w:color w:val="231F20"/>
          <w:w w:val="95"/>
        </w:rPr>
        <w:t>Ridge</w:t>
      </w:r>
      <w:r>
        <w:rPr>
          <w:color w:val="231F20"/>
          <w:spacing w:val="2"/>
        </w:rPr>
        <w:t xml:space="preserve"> </w:t>
      </w:r>
      <w:r>
        <w:rPr>
          <w:color w:val="231F20"/>
          <w:spacing w:val="-2"/>
          <w:w w:val="95"/>
        </w:rPr>
        <w:t>Summit</w:t>
      </w:r>
    </w:p>
    <w:p w14:paraId="0A1EBC5F" w14:textId="77777777" w:rsidR="00AE0598" w:rsidRDefault="00AE0598">
      <w:pPr>
        <w:spacing w:line="240" w:lineRule="exact"/>
        <w:sectPr w:rsidR="00AE0598">
          <w:pgSz w:w="8850" w:h="13270"/>
          <w:pgMar w:top="1120" w:right="1080" w:bottom="280" w:left="1080" w:header="720" w:footer="720" w:gutter="0"/>
          <w:cols w:space="720"/>
        </w:sectPr>
      </w:pPr>
    </w:p>
    <w:p w14:paraId="582D4547" w14:textId="77777777" w:rsidR="00AE0598" w:rsidRDefault="00AE0598">
      <w:pPr>
        <w:pStyle w:val="Corpodetexto"/>
        <w:rPr>
          <w:sz w:val="20"/>
        </w:rPr>
      </w:pPr>
    </w:p>
    <w:p w14:paraId="5BC79A8B" w14:textId="77777777" w:rsidR="00AE0598" w:rsidRDefault="00AE0598">
      <w:pPr>
        <w:pStyle w:val="Corpodetexto"/>
        <w:spacing w:before="9"/>
        <w:rPr>
          <w:sz w:val="26"/>
        </w:rPr>
      </w:pPr>
    </w:p>
    <w:p w14:paraId="1380B9F7" w14:textId="77777777" w:rsidR="00AE0598" w:rsidRDefault="0069255A">
      <w:pPr>
        <w:spacing w:before="96"/>
        <w:ind w:left="223"/>
        <w:rPr>
          <w:sz w:val="18"/>
        </w:rPr>
      </w:pPr>
      <w:r>
        <w:rPr>
          <w:color w:val="231F20"/>
          <w:sz w:val="18"/>
        </w:rPr>
        <w:t>DOI</w:t>
      </w:r>
      <w:r>
        <w:rPr>
          <w:color w:val="231F20"/>
          <w:spacing w:val="44"/>
          <w:sz w:val="18"/>
        </w:rPr>
        <w:t xml:space="preserve"> </w:t>
      </w:r>
      <w:r>
        <w:rPr>
          <w:color w:val="231F20"/>
          <w:spacing w:val="-2"/>
          <w:w w:val="95"/>
          <w:sz w:val="18"/>
        </w:rPr>
        <w:t>https://doi.org/10.21832/HIGHAM6553</w:t>
      </w:r>
    </w:p>
    <w:p w14:paraId="4C6AE8AF" w14:textId="77777777" w:rsidR="00AE0598" w:rsidRDefault="0069255A">
      <w:pPr>
        <w:spacing w:before="9"/>
        <w:ind w:left="223"/>
        <w:rPr>
          <w:b/>
          <w:sz w:val="18"/>
        </w:rPr>
      </w:pPr>
      <w:r>
        <w:rPr>
          <w:b/>
          <w:color w:val="231F20"/>
          <w:w w:val="90"/>
          <w:sz w:val="18"/>
        </w:rPr>
        <w:t>Library</w:t>
      </w:r>
      <w:r>
        <w:rPr>
          <w:b/>
          <w:color w:val="231F20"/>
          <w:spacing w:val="3"/>
          <w:sz w:val="18"/>
        </w:rPr>
        <w:t xml:space="preserve"> </w:t>
      </w:r>
      <w:r>
        <w:rPr>
          <w:b/>
          <w:color w:val="231F20"/>
          <w:w w:val="90"/>
          <w:sz w:val="18"/>
        </w:rPr>
        <w:t>of</w:t>
      </w:r>
      <w:r>
        <w:rPr>
          <w:b/>
          <w:color w:val="231F20"/>
          <w:spacing w:val="20"/>
          <w:sz w:val="18"/>
        </w:rPr>
        <w:t xml:space="preserve"> </w:t>
      </w:r>
      <w:r>
        <w:rPr>
          <w:b/>
          <w:color w:val="231F20"/>
          <w:w w:val="90"/>
          <w:sz w:val="18"/>
        </w:rPr>
        <w:t>Congress</w:t>
      </w:r>
      <w:r>
        <w:rPr>
          <w:b/>
          <w:color w:val="231F20"/>
          <w:spacing w:val="4"/>
          <w:sz w:val="18"/>
        </w:rPr>
        <w:t xml:space="preserve"> </w:t>
      </w:r>
      <w:r>
        <w:rPr>
          <w:b/>
          <w:color w:val="231F20"/>
          <w:w w:val="90"/>
          <w:sz w:val="18"/>
        </w:rPr>
        <w:t>Cataloging</w:t>
      </w:r>
      <w:r>
        <w:rPr>
          <w:b/>
          <w:color w:val="231F20"/>
          <w:spacing w:val="3"/>
          <w:sz w:val="18"/>
        </w:rPr>
        <w:t xml:space="preserve"> </w:t>
      </w:r>
      <w:r>
        <w:rPr>
          <w:b/>
          <w:color w:val="231F20"/>
          <w:w w:val="90"/>
          <w:sz w:val="18"/>
        </w:rPr>
        <w:t>in</w:t>
      </w:r>
      <w:r>
        <w:rPr>
          <w:b/>
          <w:color w:val="231F20"/>
          <w:spacing w:val="3"/>
          <w:sz w:val="18"/>
        </w:rPr>
        <w:t xml:space="preserve"> </w:t>
      </w:r>
      <w:r>
        <w:rPr>
          <w:b/>
          <w:color w:val="231F20"/>
          <w:w w:val="90"/>
          <w:sz w:val="18"/>
        </w:rPr>
        <w:t>Publication</w:t>
      </w:r>
      <w:r>
        <w:rPr>
          <w:b/>
          <w:color w:val="231F20"/>
          <w:spacing w:val="4"/>
          <w:sz w:val="18"/>
        </w:rPr>
        <w:t xml:space="preserve"> </w:t>
      </w:r>
      <w:r>
        <w:rPr>
          <w:b/>
          <w:color w:val="231F20"/>
          <w:spacing w:val="-4"/>
          <w:w w:val="90"/>
          <w:sz w:val="18"/>
        </w:rPr>
        <w:t>Data</w:t>
      </w:r>
    </w:p>
    <w:p w14:paraId="3C6D6501" w14:textId="77777777" w:rsidR="00AE0598" w:rsidRDefault="0069255A">
      <w:pPr>
        <w:spacing w:before="9" w:line="249" w:lineRule="auto"/>
        <w:ind w:left="223" w:right="638"/>
        <w:rPr>
          <w:sz w:val="18"/>
        </w:rPr>
      </w:pPr>
      <w:r>
        <w:rPr>
          <w:color w:val="231F20"/>
          <w:spacing w:val="-2"/>
          <w:sz w:val="18"/>
        </w:rPr>
        <w:t>A</w:t>
      </w:r>
      <w:r>
        <w:rPr>
          <w:color w:val="231F20"/>
          <w:spacing w:val="-5"/>
          <w:sz w:val="18"/>
        </w:rPr>
        <w:t xml:space="preserve"> </w:t>
      </w:r>
      <w:r>
        <w:rPr>
          <w:color w:val="231F20"/>
          <w:spacing w:val="-2"/>
          <w:sz w:val="18"/>
        </w:rPr>
        <w:t>catalog</w:t>
      </w:r>
      <w:r>
        <w:rPr>
          <w:color w:val="231F20"/>
          <w:spacing w:val="-5"/>
          <w:sz w:val="18"/>
        </w:rPr>
        <w:t xml:space="preserve"> </w:t>
      </w:r>
      <w:r>
        <w:rPr>
          <w:color w:val="231F20"/>
          <w:spacing w:val="-2"/>
          <w:sz w:val="18"/>
        </w:rPr>
        <w:t>record</w:t>
      </w:r>
      <w:r>
        <w:rPr>
          <w:color w:val="231F20"/>
          <w:spacing w:val="-5"/>
          <w:sz w:val="18"/>
        </w:rPr>
        <w:t xml:space="preserve"> </w:t>
      </w:r>
      <w:r>
        <w:rPr>
          <w:color w:val="231F20"/>
          <w:spacing w:val="-2"/>
          <w:sz w:val="18"/>
        </w:rPr>
        <w:t>for</w:t>
      </w:r>
      <w:r>
        <w:rPr>
          <w:color w:val="231F20"/>
          <w:spacing w:val="-5"/>
          <w:sz w:val="18"/>
        </w:rPr>
        <w:t xml:space="preserve"> </w:t>
      </w:r>
      <w:r>
        <w:rPr>
          <w:color w:val="231F20"/>
          <w:spacing w:val="-2"/>
          <w:sz w:val="18"/>
        </w:rPr>
        <w:t>this</w:t>
      </w:r>
      <w:r>
        <w:rPr>
          <w:color w:val="231F20"/>
          <w:spacing w:val="-5"/>
          <w:sz w:val="18"/>
        </w:rPr>
        <w:t xml:space="preserve"> </w:t>
      </w:r>
      <w:r>
        <w:rPr>
          <w:color w:val="231F20"/>
          <w:spacing w:val="-2"/>
          <w:sz w:val="18"/>
        </w:rPr>
        <w:t>book</w:t>
      </w:r>
      <w:r>
        <w:rPr>
          <w:color w:val="231F20"/>
          <w:spacing w:val="-5"/>
          <w:sz w:val="18"/>
        </w:rPr>
        <w:t xml:space="preserve"> </w:t>
      </w:r>
      <w:r>
        <w:rPr>
          <w:color w:val="231F20"/>
          <w:spacing w:val="-2"/>
          <w:sz w:val="18"/>
        </w:rPr>
        <w:t>is</w:t>
      </w:r>
      <w:r>
        <w:rPr>
          <w:color w:val="231F20"/>
          <w:spacing w:val="-5"/>
          <w:sz w:val="18"/>
        </w:rPr>
        <w:t xml:space="preserve"> </w:t>
      </w:r>
      <w:r>
        <w:rPr>
          <w:color w:val="231F20"/>
          <w:spacing w:val="-2"/>
          <w:sz w:val="18"/>
        </w:rPr>
        <w:t>available</w:t>
      </w:r>
      <w:r>
        <w:rPr>
          <w:color w:val="231F20"/>
          <w:spacing w:val="-5"/>
          <w:sz w:val="18"/>
        </w:rPr>
        <w:t xml:space="preserve"> </w:t>
      </w:r>
      <w:r>
        <w:rPr>
          <w:color w:val="231F20"/>
          <w:spacing w:val="-2"/>
          <w:sz w:val="18"/>
        </w:rPr>
        <w:t>from</w:t>
      </w:r>
      <w:r>
        <w:rPr>
          <w:color w:val="231F20"/>
          <w:spacing w:val="-5"/>
          <w:sz w:val="18"/>
        </w:rPr>
        <w:t xml:space="preserve"> </w:t>
      </w:r>
      <w:r>
        <w:rPr>
          <w:color w:val="231F20"/>
          <w:spacing w:val="-2"/>
          <w:sz w:val="18"/>
        </w:rPr>
        <w:t>the</w:t>
      </w:r>
      <w:r>
        <w:rPr>
          <w:color w:val="231F20"/>
          <w:spacing w:val="-5"/>
          <w:sz w:val="18"/>
        </w:rPr>
        <w:t xml:space="preserve"> </w:t>
      </w:r>
      <w:r>
        <w:rPr>
          <w:color w:val="231F20"/>
          <w:spacing w:val="-2"/>
          <w:sz w:val="18"/>
        </w:rPr>
        <w:t>Library</w:t>
      </w:r>
      <w:r>
        <w:rPr>
          <w:color w:val="231F20"/>
          <w:spacing w:val="-5"/>
          <w:sz w:val="18"/>
        </w:rPr>
        <w:t xml:space="preserve"> </w:t>
      </w:r>
      <w:r>
        <w:rPr>
          <w:color w:val="231F20"/>
          <w:spacing w:val="-2"/>
          <w:sz w:val="18"/>
        </w:rPr>
        <w:t>of</w:t>
      </w:r>
      <w:r>
        <w:rPr>
          <w:color w:val="231F20"/>
          <w:spacing w:val="7"/>
          <w:sz w:val="18"/>
        </w:rPr>
        <w:t xml:space="preserve"> </w:t>
      </w:r>
      <w:r>
        <w:rPr>
          <w:color w:val="231F20"/>
          <w:spacing w:val="-2"/>
          <w:sz w:val="18"/>
        </w:rPr>
        <w:t>Congress.</w:t>
      </w:r>
      <w:r>
        <w:rPr>
          <w:color w:val="231F20"/>
          <w:spacing w:val="40"/>
          <w:sz w:val="18"/>
        </w:rPr>
        <w:t xml:space="preserve"> </w:t>
      </w:r>
      <w:r>
        <w:rPr>
          <w:color w:val="231F20"/>
          <w:sz w:val="18"/>
        </w:rPr>
        <w:t>Names: Higham, James E.S., author. | Hinch, Thomas, author.</w:t>
      </w:r>
    </w:p>
    <w:p w14:paraId="4BC8B2A0" w14:textId="77777777" w:rsidR="00AE0598" w:rsidRDefault="0069255A">
      <w:pPr>
        <w:spacing w:before="1" w:line="249" w:lineRule="auto"/>
        <w:ind w:left="223" w:right="1496"/>
        <w:rPr>
          <w:sz w:val="18"/>
        </w:rPr>
      </w:pPr>
      <w:r>
        <w:rPr>
          <w:color w:val="231F20"/>
          <w:spacing w:val="-2"/>
          <w:sz w:val="18"/>
        </w:rPr>
        <w:t>Title:</w:t>
      </w:r>
      <w:r>
        <w:rPr>
          <w:color w:val="231F20"/>
          <w:spacing w:val="-6"/>
          <w:sz w:val="18"/>
        </w:rPr>
        <w:t xml:space="preserve"> </w:t>
      </w:r>
      <w:r>
        <w:rPr>
          <w:color w:val="231F20"/>
          <w:spacing w:val="-2"/>
          <w:sz w:val="18"/>
        </w:rPr>
        <w:t>Sport</w:t>
      </w:r>
      <w:r>
        <w:rPr>
          <w:color w:val="231F20"/>
          <w:spacing w:val="-6"/>
          <w:sz w:val="18"/>
        </w:rPr>
        <w:t xml:space="preserve"> </w:t>
      </w:r>
      <w:r>
        <w:rPr>
          <w:color w:val="231F20"/>
          <w:spacing w:val="-2"/>
          <w:sz w:val="18"/>
        </w:rPr>
        <w:t>Tourism</w:t>
      </w:r>
      <w:r>
        <w:rPr>
          <w:color w:val="231F20"/>
          <w:spacing w:val="-6"/>
          <w:sz w:val="18"/>
        </w:rPr>
        <w:t xml:space="preserve"> </w:t>
      </w:r>
      <w:r>
        <w:rPr>
          <w:color w:val="231F20"/>
          <w:spacing w:val="-2"/>
          <w:sz w:val="18"/>
        </w:rPr>
        <w:t>Development/James</w:t>
      </w:r>
      <w:r>
        <w:rPr>
          <w:color w:val="231F20"/>
          <w:spacing w:val="-6"/>
          <w:sz w:val="18"/>
        </w:rPr>
        <w:t xml:space="preserve"> </w:t>
      </w:r>
      <w:r>
        <w:rPr>
          <w:color w:val="231F20"/>
          <w:spacing w:val="-2"/>
          <w:sz w:val="18"/>
        </w:rPr>
        <w:t>Higham</w:t>
      </w:r>
      <w:r>
        <w:rPr>
          <w:color w:val="231F20"/>
          <w:spacing w:val="-6"/>
          <w:sz w:val="18"/>
        </w:rPr>
        <w:t xml:space="preserve"> </w:t>
      </w:r>
      <w:r>
        <w:rPr>
          <w:color w:val="231F20"/>
          <w:spacing w:val="-2"/>
          <w:sz w:val="18"/>
        </w:rPr>
        <w:t>and</w:t>
      </w:r>
      <w:r>
        <w:rPr>
          <w:color w:val="231F20"/>
          <w:spacing w:val="-6"/>
          <w:sz w:val="18"/>
        </w:rPr>
        <w:t xml:space="preserve"> </w:t>
      </w:r>
      <w:r>
        <w:rPr>
          <w:color w:val="231F20"/>
          <w:spacing w:val="-2"/>
          <w:sz w:val="18"/>
        </w:rPr>
        <w:t>Tom</w:t>
      </w:r>
      <w:r>
        <w:rPr>
          <w:color w:val="231F20"/>
          <w:spacing w:val="-6"/>
          <w:sz w:val="18"/>
        </w:rPr>
        <w:t xml:space="preserve"> </w:t>
      </w:r>
      <w:r>
        <w:rPr>
          <w:color w:val="231F20"/>
          <w:spacing w:val="-2"/>
          <w:sz w:val="18"/>
        </w:rPr>
        <w:t>Hinch.</w:t>
      </w:r>
      <w:r>
        <w:rPr>
          <w:color w:val="231F20"/>
          <w:spacing w:val="40"/>
          <w:sz w:val="18"/>
        </w:rPr>
        <w:t xml:space="preserve"> </w:t>
      </w:r>
      <w:r>
        <w:rPr>
          <w:color w:val="231F20"/>
          <w:sz w:val="18"/>
        </w:rPr>
        <w:t>Other titles: Aspects of Tourism.</w:t>
      </w:r>
    </w:p>
    <w:p w14:paraId="6D79871A" w14:textId="77777777" w:rsidR="00AE0598" w:rsidRDefault="0069255A">
      <w:pPr>
        <w:spacing w:before="2"/>
        <w:ind w:left="223"/>
        <w:rPr>
          <w:sz w:val="18"/>
        </w:rPr>
      </w:pPr>
      <w:r>
        <w:rPr>
          <w:color w:val="231F20"/>
          <w:w w:val="95"/>
          <w:sz w:val="18"/>
        </w:rPr>
        <w:t>Description:</w:t>
      </w:r>
      <w:r>
        <w:rPr>
          <w:color w:val="231F20"/>
          <w:spacing w:val="10"/>
          <w:sz w:val="18"/>
        </w:rPr>
        <w:t xml:space="preserve"> </w:t>
      </w:r>
      <w:r>
        <w:rPr>
          <w:color w:val="231F20"/>
          <w:w w:val="95"/>
          <w:sz w:val="18"/>
        </w:rPr>
        <w:t>Third</w:t>
      </w:r>
      <w:r>
        <w:rPr>
          <w:color w:val="231F20"/>
          <w:spacing w:val="11"/>
          <w:sz w:val="18"/>
        </w:rPr>
        <w:t xml:space="preserve"> </w:t>
      </w:r>
      <w:r>
        <w:rPr>
          <w:color w:val="231F20"/>
          <w:w w:val="95"/>
          <w:sz w:val="18"/>
        </w:rPr>
        <w:t>edition.</w:t>
      </w:r>
      <w:r>
        <w:rPr>
          <w:color w:val="231F20"/>
          <w:spacing w:val="11"/>
          <w:sz w:val="18"/>
        </w:rPr>
        <w:t xml:space="preserve"> </w:t>
      </w:r>
      <w:r>
        <w:rPr>
          <w:color w:val="231F20"/>
          <w:w w:val="95"/>
          <w:sz w:val="18"/>
        </w:rPr>
        <w:t>|</w:t>
      </w:r>
      <w:r>
        <w:rPr>
          <w:color w:val="231F20"/>
          <w:spacing w:val="11"/>
          <w:sz w:val="18"/>
        </w:rPr>
        <w:t xml:space="preserve"> </w:t>
      </w:r>
      <w:r>
        <w:rPr>
          <w:color w:val="231F20"/>
          <w:w w:val="95"/>
          <w:sz w:val="18"/>
        </w:rPr>
        <w:t>Blue</w:t>
      </w:r>
      <w:r>
        <w:rPr>
          <w:color w:val="231F20"/>
          <w:spacing w:val="10"/>
          <w:sz w:val="18"/>
        </w:rPr>
        <w:t xml:space="preserve"> </w:t>
      </w:r>
      <w:r>
        <w:rPr>
          <w:color w:val="231F20"/>
          <w:w w:val="95"/>
          <w:sz w:val="18"/>
        </w:rPr>
        <w:t>Ridge</w:t>
      </w:r>
      <w:r>
        <w:rPr>
          <w:color w:val="231F20"/>
          <w:spacing w:val="11"/>
          <w:sz w:val="18"/>
        </w:rPr>
        <w:t xml:space="preserve"> </w:t>
      </w:r>
      <w:r>
        <w:rPr>
          <w:color w:val="231F20"/>
          <w:w w:val="95"/>
          <w:sz w:val="18"/>
        </w:rPr>
        <w:t>Summit,</w:t>
      </w:r>
      <w:r>
        <w:rPr>
          <w:color w:val="231F20"/>
          <w:spacing w:val="11"/>
          <w:sz w:val="18"/>
        </w:rPr>
        <w:t xml:space="preserve"> </w:t>
      </w:r>
      <w:r>
        <w:rPr>
          <w:color w:val="231F20"/>
          <w:spacing w:val="-2"/>
          <w:w w:val="95"/>
          <w:sz w:val="18"/>
        </w:rPr>
        <w:t>Pennsylvania:</w:t>
      </w:r>
    </w:p>
    <w:p w14:paraId="6A40EE9F" w14:textId="77777777" w:rsidR="00AE0598" w:rsidRDefault="0069255A">
      <w:pPr>
        <w:spacing w:before="8" w:line="249" w:lineRule="auto"/>
        <w:ind w:left="403" w:right="582"/>
        <w:jc w:val="both"/>
        <w:rPr>
          <w:sz w:val="18"/>
        </w:rPr>
      </w:pPr>
      <w:r>
        <w:rPr>
          <w:color w:val="231F20"/>
          <w:sz w:val="18"/>
        </w:rPr>
        <w:t>CHANNEL VIEW PUBLICATIONS, [2018] | Series: Aspects of Tourism: 84 |</w:t>
      </w:r>
      <w:r>
        <w:rPr>
          <w:color w:val="231F20"/>
          <w:spacing w:val="40"/>
          <w:sz w:val="18"/>
        </w:rPr>
        <w:t xml:space="preserve"> </w:t>
      </w:r>
      <w:r>
        <w:rPr>
          <w:color w:val="231F20"/>
          <w:spacing w:val="-2"/>
          <w:sz w:val="18"/>
        </w:rPr>
        <w:t>Previous edition: 2011. | Includes bibliographical references and index.</w:t>
      </w:r>
    </w:p>
    <w:p w14:paraId="580F4578" w14:textId="77777777" w:rsidR="00AE0598" w:rsidRDefault="0069255A">
      <w:pPr>
        <w:spacing w:before="2" w:line="249" w:lineRule="auto"/>
        <w:ind w:left="403" w:right="1184" w:hanging="180"/>
        <w:jc w:val="both"/>
        <w:rPr>
          <w:sz w:val="18"/>
        </w:rPr>
      </w:pPr>
      <w:r>
        <w:rPr>
          <w:color w:val="231F20"/>
          <w:w w:val="95"/>
          <w:sz w:val="18"/>
        </w:rPr>
        <w:t>Identifiers:</w:t>
      </w:r>
      <w:r>
        <w:rPr>
          <w:color w:val="231F20"/>
          <w:spacing w:val="-8"/>
          <w:w w:val="95"/>
          <w:sz w:val="18"/>
        </w:rPr>
        <w:t xml:space="preserve"> </w:t>
      </w:r>
      <w:r>
        <w:rPr>
          <w:color w:val="231F20"/>
          <w:w w:val="95"/>
          <w:sz w:val="18"/>
        </w:rPr>
        <w:t>LCCN</w:t>
      </w:r>
      <w:r>
        <w:rPr>
          <w:color w:val="231F20"/>
          <w:spacing w:val="-8"/>
          <w:w w:val="95"/>
          <w:sz w:val="18"/>
        </w:rPr>
        <w:t xml:space="preserve"> </w:t>
      </w:r>
      <w:r>
        <w:rPr>
          <w:color w:val="231F20"/>
          <w:w w:val="95"/>
          <w:sz w:val="18"/>
        </w:rPr>
        <w:t>2017054575|</w:t>
      </w:r>
      <w:r>
        <w:rPr>
          <w:color w:val="231F20"/>
          <w:spacing w:val="-8"/>
          <w:w w:val="95"/>
          <w:sz w:val="18"/>
        </w:rPr>
        <w:t xml:space="preserve"> </w:t>
      </w:r>
      <w:r>
        <w:rPr>
          <w:color w:val="231F20"/>
          <w:w w:val="95"/>
          <w:sz w:val="18"/>
        </w:rPr>
        <w:t>ISBN</w:t>
      </w:r>
      <w:r>
        <w:rPr>
          <w:color w:val="231F20"/>
          <w:spacing w:val="-8"/>
          <w:w w:val="95"/>
          <w:sz w:val="18"/>
        </w:rPr>
        <w:t xml:space="preserve"> </w:t>
      </w:r>
      <w:r>
        <w:rPr>
          <w:color w:val="231F20"/>
          <w:w w:val="95"/>
          <w:sz w:val="18"/>
        </w:rPr>
        <w:t>9781845416546</w:t>
      </w:r>
      <w:r>
        <w:rPr>
          <w:color w:val="231F20"/>
          <w:spacing w:val="-8"/>
          <w:w w:val="95"/>
          <w:sz w:val="18"/>
        </w:rPr>
        <w:t xml:space="preserve"> </w:t>
      </w:r>
      <w:r>
        <w:rPr>
          <w:color w:val="231F20"/>
          <w:w w:val="95"/>
          <w:sz w:val="18"/>
        </w:rPr>
        <w:t>(pbk</w:t>
      </w:r>
      <w:r>
        <w:rPr>
          <w:color w:val="231F20"/>
          <w:spacing w:val="-8"/>
          <w:w w:val="95"/>
          <w:sz w:val="18"/>
        </w:rPr>
        <w:t xml:space="preserve"> </w:t>
      </w:r>
      <w:r>
        <w:rPr>
          <w:color w:val="231F20"/>
          <w:w w:val="95"/>
          <w:sz w:val="18"/>
        </w:rPr>
        <w:t>:</w:t>
      </w:r>
      <w:r>
        <w:rPr>
          <w:color w:val="231F20"/>
          <w:spacing w:val="-8"/>
          <w:w w:val="95"/>
          <w:sz w:val="18"/>
        </w:rPr>
        <w:t xml:space="preserve"> </w:t>
      </w:r>
      <w:r>
        <w:rPr>
          <w:color w:val="231F20"/>
          <w:w w:val="95"/>
          <w:sz w:val="18"/>
        </w:rPr>
        <w:t>alk.</w:t>
      </w:r>
      <w:r>
        <w:rPr>
          <w:color w:val="231F20"/>
          <w:spacing w:val="-8"/>
          <w:w w:val="95"/>
          <w:sz w:val="18"/>
        </w:rPr>
        <w:t xml:space="preserve"> </w:t>
      </w:r>
      <w:r>
        <w:rPr>
          <w:color w:val="231F20"/>
          <w:w w:val="95"/>
          <w:sz w:val="18"/>
        </w:rPr>
        <w:t>paper)</w:t>
      </w:r>
      <w:r>
        <w:rPr>
          <w:color w:val="231F20"/>
          <w:spacing w:val="-8"/>
          <w:w w:val="95"/>
          <w:sz w:val="18"/>
        </w:rPr>
        <w:t xml:space="preserve"> </w:t>
      </w:r>
      <w:r>
        <w:rPr>
          <w:color w:val="231F20"/>
          <w:w w:val="95"/>
          <w:sz w:val="18"/>
        </w:rPr>
        <w:t>|</w:t>
      </w:r>
      <w:r>
        <w:rPr>
          <w:color w:val="231F20"/>
          <w:spacing w:val="40"/>
          <w:sz w:val="18"/>
        </w:rPr>
        <w:t xml:space="preserve"> </w:t>
      </w:r>
      <w:r>
        <w:rPr>
          <w:color w:val="231F20"/>
          <w:spacing w:val="-2"/>
          <w:w w:val="95"/>
          <w:sz w:val="18"/>
        </w:rPr>
        <w:t>ISBN 9781845416553 (hbk : alk. paper) | ISBN</w:t>
      </w:r>
      <w:r>
        <w:rPr>
          <w:color w:val="231F20"/>
          <w:spacing w:val="-2"/>
          <w:w w:val="95"/>
          <w:sz w:val="18"/>
        </w:rPr>
        <w:t xml:space="preserve"> 9781845416560 (pdf) |</w:t>
      </w:r>
      <w:r>
        <w:rPr>
          <w:color w:val="231F20"/>
          <w:spacing w:val="40"/>
          <w:sz w:val="18"/>
        </w:rPr>
        <w:t xml:space="preserve"> </w:t>
      </w:r>
      <w:r>
        <w:rPr>
          <w:color w:val="231F20"/>
          <w:w w:val="95"/>
          <w:sz w:val="18"/>
        </w:rPr>
        <w:t>ISBN</w:t>
      </w:r>
      <w:r>
        <w:rPr>
          <w:color w:val="231F20"/>
          <w:spacing w:val="-2"/>
          <w:w w:val="95"/>
          <w:sz w:val="18"/>
        </w:rPr>
        <w:t xml:space="preserve"> </w:t>
      </w:r>
      <w:r>
        <w:rPr>
          <w:color w:val="231F20"/>
          <w:w w:val="95"/>
          <w:sz w:val="18"/>
        </w:rPr>
        <w:t>9781845416577</w:t>
      </w:r>
      <w:r>
        <w:rPr>
          <w:color w:val="231F20"/>
          <w:spacing w:val="-2"/>
          <w:w w:val="95"/>
          <w:sz w:val="18"/>
        </w:rPr>
        <w:t xml:space="preserve"> </w:t>
      </w:r>
      <w:r>
        <w:rPr>
          <w:color w:val="231F20"/>
          <w:w w:val="95"/>
          <w:sz w:val="18"/>
        </w:rPr>
        <w:t>(epub)</w:t>
      </w:r>
      <w:r>
        <w:rPr>
          <w:color w:val="231F20"/>
          <w:spacing w:val="-2"/>
          <w:w w:val="95"/>
          <w:sz w:val="18"/>
        </w:rPr>
        <w:t xml:space="preserve"> </w:t>
      </w:r>
      <w:r>
        <w:rPr>
          <w:color w:val="231F20"/>
          <w:w w:val="95"/>
          <w:sz w:val="18"/>
        </w:rPr>
        <w:t>|</w:t>
      </w:r>
      <w:r>
        <w:rPr>
          <w:color w:val="231F20"/>
          <w:spacing w:val="-2"/>
          <w:w w:val="95"/>
          <w:sz w:val="18"/>
        </w:rPr>
        <w:t xml:space="preserve"> </w:t>
      </w:r>
      <w:r>
        <w:rPr>
          <w:color w:val="231F20"/>
          <w:w w:val="95"/>
          <w:sz w:val="18"/>
        </w:rPr>
        <w:t>ISBN</w:t>
      </w:r>
      <w:r>
        <w:rPr>
          <w:color w:val="231F20"/>
          <w:spacing w:val="-2"/>
          <w:w w:val="95"/>
          <w:sz w:val="18"/>
        </w:rPr>
        <w:t xml:space="preserve"> </w:t>
      </w:r>
      <w:r>
        <w:rPr>
          <w:color w:val="231F20"/>
          <w:w w:val="95"/>
          <w:sz w:val="18"/>
        </w:rPr>
        <w:t>9781845416584</w:t>
      </w:r>
      <w:r>
        <w:rPr>
          <w:color w:val="231F20"/>
          <w:spacing w:val="-2"/>
          <w:w w:val="95"/>
          <w:sz w:val="18"/>
        </w:rPr>
        <w:t xml:space="preserve"> </w:t>
      </w:r>
      <w:r>
        <w:rPr>
          <w:color w:val="231F20"/>
          <w:w w:val="95"/>
          <w:sz w:val="18"/>
        </w:rPr>
        <w:t>(kindle)</w:t>
      </w:r>
    </w:p>
    <w:p w14:paraId="5CE8E229" w14:textId="77777777" w:rsidR="00AE0598" w:rsidRDefault="0069255A">
      <w:pPr>
        <w:spacing w:before="1"/>
        <w:ind w:left="223"/>
        <w:jc w:val="both"/>
        <w:rPr>
          <w:sz w:val="18"/>
        </w:rPr>
      </w:pPr>
      <w:r>
        <w:rPr>
          <w:color w:val="231F20"/>
          <w:sz w:val="18"/>
        </w:rPr>
        <w:t>Subjects:</w:t>
      </w:r>
      <w:r>
        <w:rPr>
          <w:color w:val="231F20"/>
          <w:spacing w:val="34"/>
          <w:sz w:val="18"/>
        </w:rPr>
        <w:t xml:space="preserve"> </w:t>
      </w:r>
      <w:r>
        <w:rPr>
          <w:color w:val="231F20"/>
          <w:sz w:val="18"/>
        </w:rPr>
        <w:t>LCSH:</w:t>
      </w:r>
      <w:r>
        <w:rPr>
          <w:color w:val="231F20"/>
          <w:spacing w:val="-3"/>
          <w:sz w:val="18"/>
        </w:rPr>
        <w:t xml:space="preserve"> </w:t>
      </w:r>
      <w:r>
        <w:rPr>
          <w:color w:val="231F20"/>
          <w:sz w:val="18"/>
        </w:rPr>
        <w:t>Sports</w:t>
      </w:r>
      <w:r>
        <w:rPr>
          <w:color w:val="231F20"/>
          <w:spacing w:val="-2"/>
          <w:sz w:val="18"/>
        </w:rPr>
        <w:t xml:space="preserve"> </w:t>
      </w:r>
      <w:r>
        <w:rPr>
          <w:color w:val="231F20"/>
          <w:sz w:val="18"/>
        </w:rPr>
        <w:t>and</w:t>
      </w:r>
      <w:r>
        <w:rPr>
          <w:color w:val="231F20"/>
          <w:spacing w:val="-3"/>
          <w:sz w:val="18"/>
        </w:rPr>
        <w:t xml:space="preserve"> </w:t>
      </w:r>
      <w:r>
        <w:rPr>
          <w:color w:val="231F20"/>
          <w:spacing w:val="-2"/>
          <w:sz w:val="18"/>
        </w:rPr>
        <w:t>tourism.</w:t>
      </w:r>
    </w:p>
    <w:p w14:paraId="6D39295D" w14:textId="77777777" w:rsidR="00AE0598" w:rsidRDefault="0069255A">
      <w:pPr>
        <w:spacing w:before="9" w:line="249" w:lineRule="auto"/>
        <w:ind w:left="223" w:right="189"/>
        <w:jc w:val="both"/>
        <w:rPr>
          <w:sz w:val="18"/>
        </w:rPr>
      </w:pPr>
      <w:r>
        <w:rPr>
          <w:color w:val="231F20"/>
          <w:w w:val="95"/>
          <w:sz w:val="18"/>
        </w:rPr>
        <w:t>Classification: LCC G155.A1 H56 2018 | DDC 338.4/791--dc23 LC record available at</w:t>
      </w:r>
      <w:r>
        <w:rPr>
          <w:color w:val="231F20"/>
          <w:spacing w:val="40"/>
          <w:sz w:val="18"/>
        </w:rPr>
        <w:t xml:space="preserve"> </w:t>
      </w:r>
      <w:r>
        <w:rPr>
          <w:color w:val="231F20"/>
          <w:spacing w:val="-2"/>
          <w:w w:val="95"/>
          <w:sz w:val="18"/>
        </w:rPr>
        <w:t>https://lccn.loc.gov/2017054575</w:t>
      </w:r>
    </w:p>
    <w:p w14:paraId="44F4D942" w14:textId="77777777" w:rsidR="00AE0598" w:rsidRDefault="00AE0598">
      <w:pPr>
        <w:pStyle w:val="Corpodetexto"/>
        <w:spacing w:before="10"/>
        <w:rPr>
          <w:sz w:val="18"/>
        </w:rPr>
      </w:pPr>
    </w:p>
    <w:p w14:paraId="003F9837" w14:textId="77777777" w:rsidR="00AE0598" w:rsidRDefault="0069255A">
      <w:pPr>
        <w:ind w:left="223"/>
        <w:jc w:val="both"/>
        <w:rPr>
          <w:b/>
          <w:sz w:val="18"/>
        </w:rPr>
      </w:pPr>
      <w:r>
        <w:rPr>
          <w:b/>
          <w:color w:val="231F20"/>
          <w:w w:val="90"/>
          <w:sz w:val="18"/>
        </w:rPr>
        <w:t>British</w:t>
      </w:r>
      <w:r>
        <w:rPr>
          <w:b/>
          <w:color w:val="231F20"/>
          <w:spacing w:val="-3"/>
          <w:sz w:val="18"/>
        </w:rPr>
        <w:t xml:space="preserve"> </w:t>
      </w:r>
      <w:r>
        <w:rPr>
          <w:b/>
          <w:color w:val="231F20"/>
          <w:w w:val="90"/>
          <w:sz w:val="18"/>
        </w:rPr>
        <w:t>Library</w:t>
      </w:r>
      <w:r>
        <w:rPr>
          <w:b/>
          <w:color w:val="231F20"/>
          <w:spacing w:val="-3"/>
          <w:sz w:val="18"/>
        </w:rPr>
        <w:t xml:space="preserve"> </w:t>
      </w:r>
      <w:r>
        <w:rPr>
          <w:b/>
          <w:color w:val="231F20"/>
          <w:w w:val="90"/>
          <w:sz w:val="18"/>
        </w:rPr>
        <w:t>Cataloguing</w:t>
      </w:r>
      <w:r>
        <w:rPr>
          <w:b/>
          <w:color w:val="231F20"/>
          <w:spacing w:val="-3"/>
          <w:sz w:val="18"/>
        </w:rPr>
        <w:t xml:space="preserve"> </w:t>
      </w:r>
      <w:r>
        <w:rPr>
          <w:b/>
          <w:color w:val="231F20"/>
          <w:w w:val="90"/>
          <w:sz w:val="18"/>
        </w:rPr>
        <w:t>in</w:t>
      </w:r>
      <w:r>
        <w:rPr>
          <w:b/>
          <w:color w:val="231F20"/>
          <w:spacing w:val="-2"/>
          <w:sz w:val="18"/>
        </w:rPr>
        <w:t xml:space="preserve"> </w:t>
      </w:r>
      <w:r>
        <w:rPr>
          <w:b/>
          <w:color w:val="231F20"/>
          <w:w w:val="90"/>
          <w:sz w:val="18"/>
        </w:rPr>
        <w:t>Publication</w:t>
      </w:r>
      <w:r>
        <w:rPr>
          <w:b/>
          <w:color w:val="231F20"/>
          <w:spacing w:val="-3"/>
          <w:sz w:val="18"/>
        </w:rPr>
        <w:t xml:space="preserve"> </w:t>
      </w:r>
      <w:r>
        <w:rPr>
          <w:b/>
          <w:color w:val="231F20"/>
          <w:spacing w:val="-4"/>
          <w:w w:val="90"/>
          <w:sz w:val="18"/>
        </w:rPr>
        <w:t>Data</w:t>
      </w:r>
    </w:p>
    <w:p w14:paraId="22BF244A" w14:textId="77777777" w:rsidR="00AE0598" w:rsidRDefault="0069255A">
      <w:pPr>
        <w:spacing w:before="9"/>
        <w:ind w:left="223"/>
        <w:rPr>
          <w:sz w:val="18"/>
        </w:rPr>
      </w:pPr>
      <w:r>
        <w:rPr>
          <w:color w:val="231F20"/>
          <w:w w:val="95"/>
          <w:sz w:val="18"/>
        </w:rPr>
        <w:t>A</w:t>
      </w:r>
      <w:r>
        <w:rPr>
          <w:color w:val="231F20"/>
          <w:spacing w:val="2"/>
          <w:sz w:val="18"/>
        </w:rPr>
        <w:t xml:space="preserve"> </w:t>
      </w:r>
      <w:r>
        <w:rPr>
          <w:color w:val="231F20"/>
          <w:w w:val="95"/>
          <w:sz w:val="18"/>
        </w:rPr>
        <w:t>catalogue</w:t>
      </w:r>
      <w:r>
        <w:rPr>
          <w:color w:val="231F20"/>
          <w:spacing w:val="2"/>
          <w:sz w:val="18"/>
        </w:rPr>
        <w:t xml:space="preserve"> </w:t>
      </w:r>
      <w:r>
        <w:rPr>
          <w:color w:val="231F20"/>
          <w:w w:val="95"/>
          <w:sz w:val="18"/>
        </w:rPr>
        <w:t>entry</w:t>
      </w:r>
      <w:r>
        <w:rPr>
          <w:color w:val="231F20"/>
          <w:spacing w:val="2"/>
          <w:sz w:val="18"/>
        </w:rPr>
        <w:t xml:space="preserve"> </w:t>
      </w:r>
      <w:r>
        <w:rPr>
          <w:color w:val="231F20"/>
          <w:w w:val="95"/>
          <w:sz w:val="18"/>
        </w:rPr>
        <w:t>for</w:t>
      </w:r>
      <w:r>
        <w:rPr>
          <w:color w:val="231F20"/>
          <w:spacing w:val="3"/>
          <w:sz w:val="18"/>
        </w:rPr>
        <w:t xml:space="preserve"> </w:t>
      </w:r>
      <w:r>
        <w:rPr>
          <w:color w:val="231F20"/>
          <w:w w:val="95"/>
          <w:sz w:val="18"/>
        </w:rPr>
        <w:t>this</w:t>
      </w:r>
      <w:r>
        <w:rPr>
          <w:color w:val="231F20"/>
          <w:spacing w:val="2"/>
          <w:sz w:val="18"/>
        </w:rPr>
        <w:t xml:space="preserve"> </w:t>
      </w:r>
      <w:r>
        <w:rPr>
          <w:color w:val="231F20"/>
          <w:w w:val="95"/>
          <w:sz w:val="18"/>
        </w:rPr>
        <w:t>book</w:t>
      </w:r>
      <w:r>
        <w:rPr>
          <w:color w:val="231F20"/>
          <w:spacing w:val="2"/>
          <w:sz w:val="18"/>
        </w:rPr>
        <w:t xml:space="preserve"> </w:t>
      </w:r>
      <w:r>
        <w:rPr>
          <w:color w:val="231F20"/>
          <w:w w:val="95"/>
          <w:sz w:val="18"/>
        </w:rPr>
        <w:t>is</w:t>
      </w:r>
      <w:r>
        <w:rPr>
          <w:color w:val="231F20"/>
          <w:spacing w:val="3"/>
          <w:sz w:val="18"/>
        </w:rPr>
        <w:t xml:space="preserve"> </w:t>
      </w:r>
      <w:r>
        <w:rPr>
          <w:color w:val="231F20"/>
          <w:w w:val="95"/>
          <w:sz w:val="18"/>
        </w:rPr>
        <w:t>available</w:t>
      </w:r>
      <w:r>
        <w:rPr>
          <w:color w:val="231F20"/>
          <w:spacing w:val="2"/>
          <w:sz w:val="18"/>
        </w:rPr>
        <w:t xml:space="preserve"> </w:t>
      </w:r>
      <w:r>
        <w:rPr>
          <w:color w:val="231F20"/>
          <w:w w:val="95"/>
          <w:sz w:val="18"/>
        </w:rPr>
        <w:t>from</w:t>
      </w:r>
      <w:r>
        <w:rPr>
          <w:color w:val="231F20"/>
          <w:spacing w:val="2"/>
          <w:sz w:val="18"/>
        </w:rPr>
        <w:t xml:space="preserve"> </w:t>
      </w:r>
      <w:r>
        <w:rPr>
          <w:color w:val="231F20"/>
          <w:w w:val="95"/>
          <w:sz w:val="18"/>
        </w:rPr>
        <w:t>the</w:t>
      </w:r>
      <w:r>
        <w:rPr>
          <w:color w:val="231F20"/>
          <w:spacing w:val="3"/>
          <w:sz w:val="18"/>
        </w:rPr>
        <w:t xml:space="preserve"> </w:t>
      </w:r>
      <w:r>
        <w:rPr>
          <w:color w:val="231F20"/>
          <w:w w:val="95"/>
          <w:sz w:val="18"/>
        </w:rPr>
        <w:t>British</w:t>
      </w:r>
      <w:r>
        <w:rPr>
          <w:color w:val="231F20"/>
          <w:spacing w:val="2"/>
          <w:sz w:val="18"/>
        </w:rPr>
        <w:t xml:space="preserve"> </w:t>
      </w:r>
      <w:r>
        <w:rPr>
          <w:color w:val="231F20"/>
          <w:spacing w:val="-2"/>
          <w:w w:val="95"/>
          <w:sz w:val="18"/>
        </w:rPr>
        <w:t>Library.</w:t>
      </w:r>
    </w:p>
    <w:p w14:paraId="19DFE81A" w14:textId="77777777" w:rsidR="00AE0598" w:rsidRDefault="00AE0598">
      <w:pPr>
        <w:pStyle w:val="Corpodetexto"/>
        <w:spacing w:before="6"/>
        <w:rPr>
          <w:sz w:val="19"/>
        </w:rPr>
      </w:pPr>
    </w:p>
    <w:p w14:paraId="3DD7FEAB" w14:textId="77777777" w:rsidR="00AE0598" w:rsidRDefault="0069255A">
      <w:pPr>
        <w:ind w:left="223"/>
        <w:jc w:val="both"/>
        <w:rPr>
          <w:sz w:val="18"/>
        </w:rPr>
      </w:pPr>
      <w:r>
        <w:rPr>
          <w:color w:val="231F20"/>
          <w:w w:val="90"/>
          <w:sz w:val="18"/>
        </w:rPr>
        <w:t>ISBN-13:</w:t>
      </w:r>
      <w:r>
        <w:rPr>
          <w:color w:val="231F20"/>
          <w:spacing w:val="11"/>
          <w:sz w:val="18"/>
        </w:rPr>
        <w:t xml:space="preserve"> </w:t>
      </w:r>
      <w:r>
        <w:rPr>
          <w:color w:val="231F20"/>
          <w:w w:val="90"/>
          <w:sz w:val="18"/>
        </w:rPr>
        <w:t>978-1-84541-655-3</w:t>
      </w:r>
      <w:r>
        <w:rPr>
          <w:color w:val="231F20"/>
          <w:spacing w:val="12"/>
          <w:sz w:val="18"/>
        </w:rPr>
        <w:t xml:space="preserve"> </w:t>
      </w:r>
      <w:r>
        <w:rPr>
          <w:color w:val="231F20"/>
          <w:spacing w:val="-2"/>
          <w:w w:val="90"/>
          <w:sz w:val="18"/>
        </w:rPr>
        <w:t>(hbk)</w:t>
      </w:r>
    </w:p>
    <w:p w14:paraId="2251BC11" w14:textId="77777777" w:rsidR="00AE0598" w:rsidRDefault="0069255A">
      <w:pPr>
        <w:spacing w:before="9"/>
        <w:ind w:left="223"/>
        <w:jc w:val="both"/>
        <w:rPr>
          <w:sz w:val="18"/>
        </w:rPr>
      </w:pPr>
      <w:r>
        <w:rPr>
          <w:color w:val="231F20"/>
          <w:w w:val="90"/>
          <w:sz w:val="18"/>
        </w:rPr>
        <w:t>ISBN-13:</w:t>
      </w:r>
      <w:r>
        <w:rPr>
          <w:color w:val="231F20"/>
          <w:spacing w:val="11"/>
          <w:sz w:val="18"/>
        </w:rPr>
        <w:t xml:space="preserve"> </w:t>
      </w:r>
      <w:r>
        <w:rPr>
          <w:color w:val="231F20"/>
          <w:w w:val="90"/>
          <w:sz w:val="18"/>
        </w:rPr>
        <w:t>978-1-84541-654-6</w:t>
      </w:r>
      <w:r>
        <w:rPr>
          <w:color w:val="231F20"/>
          <w:spacing w:val="12"/>
          <w:sz w:val="18"/>
        </w:rPr>
        <w:t xml:space="preserve"> </w:t>
      </w:r>
      <w:r>
        <w:rPr>
          <w:color w:val="231F20"/>
          <w:spacing w:val="-4"/>
          <w:w w:val="90"/>
          <w:sz w:val="18"/>
        </w:rPr>
        <w:t>(pbk)</w:t>
      </w:r>
    </w:p>
    <w:p w14:paraId="34A898C4" w14:textId="77777777" w:rsidR="00AE0598" w:rsidRDefault="00AE0598">
      <w:pPr>
        <w:pStyle w:val="Corpodetexto"/>
        <w:spacing w:before="6"/>
        <w:rPr>
          <w:sz w:val="19"/>
        </w:rPr>
      </w:pPr>
    </w:p>
    <w:p w14:paraId="42F960B5" w14:textId="77777777" w:rsidR="00AE0598" w:rsidRDefault="0069255A">
      <w:pPr>
        <w:ind w:left="223"/>
        <w:jc w:val="both"/>
        <w:rPr>
          <w:b/>
          <w:sz w:val="18"/>
        </w:rPr>
      </w:pPr>
      <w:r>
        <w:rPr>
          <w:b/>
          <w:color w:val="231F20"/>
          <w:w w:val="90"/>
          <w:sz w:val="18"/>
        </w:rPr>
        <w:t>Channel</w:t>
      </w:r>
      <w:r>
        <w:rPr>
          <w:b/>
          <w:color w:val="231F20"/>
          <w:spacing w:val="12"/>
          <w:sz w:val="18"/>
        </w:rPr>
        <w:t xml:space="preserve"> </w:t>
      </w:r>
      <w:r>
        <w:rPr>
          <w:b/>
          <w:color w:val="231F20"/>
          <w:w w:val="90"/>
          <w:sz w:val="18"/>
        </w:rPr>
        <w:t>View</w:t>
      </w:r>
      <w:r>
        <w:rPr>
          <w:b/>
          <w:color w:val="231F20"/>
          <w:spacing w:val="13"/>
          <w:sz w:val="18"/>
        </w:rPr>
        <w:t xml:space="preserve"> </w:t>
      </w:r>
      <w:r>
        <w:rPr>
          <w:b/>
          <w:color w:val="231F20"/>
          <w:spacing w:val="-2"/>
          <w:w w:val="90"/>
          <w:sz w:val="18"/>
        </w:rPr>
        <w:t>Publications</w:t>
      </w:r>
    </w:p>
    <w:p w14:paraId="73FFE0DC" w14:textId="77777777" w:rsidR="00AE0598" w:rsidRDefault="0069255A">
      <w:pPr>
        <w:spacing w:before="9" w:line="249" w:lineRule="auto"/>
        <w:ind w:left="223" w:right="1496"/>
        <w:rPr>
          <w:sz w:val="18"/>
        </w:rPr>
      </w:pPr>
      <w:r>
        <w:rPr>
          <w:color w:val="231F20"/>
          <w:sz w:val="18"/>
        </w:rPr>
        <w:t>UK:</w:t>
      </w:r>
      <w:r>
        <w:rPr>
          <w:color w:val="231F20"/>
          <w:spacing w:val="-8"/>
          <w:sz w:val="18"/>
        </w:rPr>
        <w:t xml:space="preserve"> </w:t>
      </w:r>
      <w:r>
        <w:rPr>
          <w:color w:val="231F20"/>
          <w:sz w:val="18"/>
        </w:rPr>
        <w:t>St</w:t>
      </w:r>
      <w:r>
        <w:rPr>
          <w:color w:val="231F20"/>
          <w:spacing w:val="-8"/>
          <w:sz w:val="18"/>
        </w:rPr>
        <w:t xml:space="preserve"> </w:t>
      </w:r>
      <w:r>
        <w:rPr>
          <w:color w:val="231F20"/>
          <w:sz w:val="18"/>
        </w:rPr>
        <w:t>Nicholas</w:t>
      </w:r>
      <w:r>
        <w:rPr>
          <w:color w:val="231F20"/>
          <w:spacing w:val="-8"/>
          <w:sz w:val="18"/>
        </w:rPr>
        <w:t xml:space="preserve"> </w:t>
      </w:r>
      <w:r>
        <w:rPr>
          <w:color w:val="231F20"/>
          <w:sz w:val="18"/>
        </w:rPr>
        <w:t>House,</w:t>
      </w:r>
      <w:r>
        <w:rPr>
          <w:color w:val="231F20"/>
          <w:spacing w:val="-8"/>
          <w:sz w:val="18"/>
        </w:rPr>
        <w:t xml:space="preserve"> </w:t>
      </w:r>
      <w:r>
        <w:rPr>
          <w:color w:val="231F20"/>
          <w:sz w:val="18"/>
        </w:rPr>
        <w:t>31-34</w:t>
      </w:r>
      <w:r>
        <w:rPr>
          <w:color w:val="231F20"/>
          <w:spacing w:val="-8"/>
          <w:sz w:val="18"/>
        </w:rPr>
        <w:t xml:space="preserve"> </w:t>
      </w:r>
      <w:r>
        <w:rPr>
          <w:color w:val="231F20"/>
          <w:sz w:val="18"/>
        </w:rPr>
        <w:t>High</w:t>
      </w:r>
      <w:r>
        <w:rPr>
          <w:color w:val="231F20"/>
          <w:spacing w:val="-8"/>
          <w:sz w:val="18"/>
        </w:rPr>
        <w:t xml:space="preserve"> </w:t>
      </w:r>
      <w:r>
        <w:rPr>
          <w:color w:val="231F20"/>
          <w:sz w:val="18"/>
        </w:rPr>
        <w:t>Street,</w:t>
      </w:r>
      <w:r>
        <w:rPr>
          <w:color w:val="231F20"/>
          <w:spacing w:val="-8"/>
          <w:sz w:val="18"/>
        </w:rPr>
        <w:t xml:space="preserve"> </w:t>
      </w:r>
      <w:r>
        <w:rPr>
          <w:color w:val="231F20"/>
          <w:sz w:val="18"/>
        </w:rPr>
        <w:t>Bristol,</w:t>
      </w:r>
      <w:r>
        <w:rPr>
          <w:color w:val="231F20"/>
          <w:spacing w:val="-8"/>
          <w:sz w:val="18"/>
        </w:rPr>
        <w:t xml:space="preserve"> </w:t>
      </w:r>
      <w:r>
        <w:rPr>
          <w:color w:val="231F20"/>
          <w:sz w:val="18"/>
        </w:rPr>
        <w:t>BS1</w:t>
      </w:r>
      <w:r>
        <w:rPr>
          <w:color w:val="231F20"/>
          <w:spacing w:val="-8"/>
          <w:sz w:val="18"/>
        </w:rPr>
        <w:t xml:space="preserve"> </w:t>
      </w:r>
      <w:r>
        <w:rPr>
          <w:color w:val="231F20"/>
          <w:sz w:val="18"/>
        </w:rPr>
        <w:t>2AW,</w:t>
      </w:r>
      <w:r>
        <w:rPr>
          <w:color w:val="231F20"/>
          <w:spacing w:val="-8"/>
          <w:sz w:val="18"/>
        </w:rPr>
        <w:t xml:space="preserve"> </w:t>
      </w:r>
      <w:r>
        <w:rPr>
          <w:color w:val="231F20"/>
          <w:sz w:val="18"/>
        </w:rPr>
        <w:t>UK.</w:t>
      </w:r>
      <w:r>
        <w:rPr>
          <w:color w:val="231F20"/>
          <w:spacing w:val="40"/>
          <w:sz w:val="18"/>
        </w:rPr>
        <w:t xml:space="preserve"> </w:t>
      </w:r>
      <w:r>
        <w:rPr>
          <w:color w:val="231F20"/>
          <w:sz w:val="18"/>
        </w:rPr>
        <w:t>USA: NBN, Blue Ridge Summit, PA, USA.</w:t>
      </w:r>
    </w:p>
    <w:p w14:paraId="3A624159" w14:textId="77777777" w:rsidR="00AE0598" w:rsidRDefault="00AE0598">
      <w:pPr>
        <w:pStyle w:val="Corpodetexto"/>
        <w:spacing w:before="10"/>
        <w:rPr>
          <w:sz w:val="18"/>
        </w:rPr>
      </w:pPr>
    </w:p>
    <w:p w14:paraId="6671BCAF" w14:textId="77777777" w:rsidR="00AE0598" w:rsidRDefault="0069255A">
      <w:pPr>
        <w:spacing w:before="1" w:line="249" w:lineRule="auto"/>
        <w:ind w:left="223" w:right="2690"/>
        <w:rPr>
          <w:sz w:val="18"/>
        </w:rPr>
      </w:pPr>
      <w:r>
        <w:rPr>
          <w:color w:val="231F20"/>
          <w:w w:val="95"/>
          <w:sz w:val="18"/>
        </w:rPr>
        <w:t>Website:</w:t>
      </w:r>
      <w:r>
        <w:rPr>
          <w:color w:val="231F20"/>
          <w:spacing w:val="-8"/>
          <w:w w:val="95"/>
          <w:sz w:val="18"/>
        </w:rPr>
        <w:t xml:space="preserve"> </w:t>
      </w:r>
      <w:hyperlink r:id="rId6">
        <w:r>
          <w:rPr>
            <w:color w:val="231F20"/>
            <w:w w:val="95"/>
            <w:sz w:val="18"/>
          </w:rPr>
          <w:t>www.channelviewpublications.com</w:t>
        </w:r>
      </w:hyperlink>
      <w:r>
        <w:rPr>
          <w:color w:val="231F20"/>
          <w:spacing w:val="40"/>
          <w:sz w:val="18"/>
        </w:rPr>
        <w:t xml:space="preserve"> </w:t>
      </w:r>
      <w:r>
        <w:rPr>
          <w:color w:val="231F20"/>
          <w:sz w:val="18"/>
        </w:rPr>
        <w:t>Twitter: Channel_View</w:t>
      </w:r>
    </w:p>
    <w:p w14:paraId="34607F1C" w14:textId="77777777" w:rsidR="00AE0598" w:rsidRDefault="0069255A">
      <w:pPr>
        <w:spacing w:before="1" w:line="249" w:lineRule="auto"/>
        <w:ind w:left="223" w:right="1496"/>
        <w:rPr>
          <w:sz w:val="18"/>
        </w:rPr>
      </w:pPr>
      <w:r>
        <w:rPr>
          <w:color w:val="231F20"/>
          <w:spacing w:val="-2"/>
          <w:w w:val="95"/>
          <w:sz w:val="18"/>
        </w:rPr>
        <w:t xml:space="preserve">Facebook: </w:t>
      </w:r>
      <w:hyperlink r:id="rId7">
        <w:r>
          <w:rPr>
            <w:color w:val="231F20"/>
            <w:spacing w:val="-2"/>
            <w:w w:val="95"/>
            <w:sz w:val="18"/>
          </w:rPr>
          <w:t>https://ww</w:t>
        </w:r>
      </w:hyperlink>
      <w:r>
        <w:rPr>
          <w:color w:val="231F20"/>
          <w:spacing w:val="-2"/>
          <w:w w:val="95"/>
          <w:sz w:val="18"/>
        </w:rPr>
        <w:t>w.face</w:t>
      </w:r>
      <w:hyperlink r:id="rId8">
        <w:r>
          <w:rPr>
            <w:color w:val="231F20"/>
            <w:spacing w:val="-2"/>
            <w:w w:val="95"/>
            <w:sz w:val="18"/>
          </w:rPr>
          <w:t>book.com/channelviewpublications</w:t>
        </w:r>
      </w:hyperlink>
      <w:r>
        <w:rPr>
          <w:color w:val="231F20"/>
          <w:spacing w:val="40"/>
          <w:sz w:val="18"/>
        </w:rPr>
        <w:t xml:space="preserve"> </w:t>
      </w:r>
      <w:r>
        <w:rPr>
          <w:color w:val="231F20"/>
          <w:sz w:val="18"/>
        </w:rPr>
        <w:t>Blog:</w:t>
      </w:r>
      <w:r>
        <w:rPr>
          <w:color w:val="231F20"/>
          <w:spacing w:val="-10"/>
          <w:sz w:val="18"/>
        </w:rPr>
        <w:t xml:space="preserve"> </w:t>
      </w:r>
      <w:hyperlink r:id="rId9">
        <w:r>
          <w:rPr>
            <w:color w:val="231F20"/>
            <w:sz w:val="18"/>
          </w:rPr>
          <w:t>www.channelviewpublications.wordpress.com</w:t>
        </w:r>
      </w:hyperlink>
    </w:p>
    <w:p w14:paraId="74F92079" w14:textId="77777777" w:rsidR="00AE0598" w:rsidRDefault="00AE0598">
      <w:pPr>
        <w:pStyle w:val="Corpodetexto"/>
        <w:spacing w:before="9"/>
        <w:rPr>
          <w:sz w:val="18"/>
        </w:rPr>
      </w:pPr>
    </w:p>
    <w:p w14:paraId="145FB0DB" w14:textId="77777777" w:rsidR="00AE0598" w:rsidRDefault="0069255A">
      <w:pPr>
        <w:spacing w:before="1"/>
        <w:ind w:left="223"/>
        <w:rPr>
          <w:sz w:val="18"/>
        </w:rPr>
      </w:pPr>
      <w:r>
        <w:rPr>
          <w:color w:val="231F20"/>
          <w:w w:val="95"/>
          <w:sz w:val="18"/>
        </w:rPr>
        <w:t>Copyright</w:t>
      </w:r>
      <w:r>
        <w:rPr>
          <w:color w:val="231F20"/>
          <w:spacing w:val="8"/>
          <w:sz w:val="18"/>
        </w:rPr>
        <w:t xml:space="preserve"> </w:t>
      </w:r>
      <w:r>
        <w:rPr>
          <w:color w:val="231F20"/>
          <w:w w:val="95"/>
          <w:sz w:val="18"/>
        </w:rPr>
        <w:t>©</w:t>
      </w:r>
      <w:r>
        <w:rPr>
          <w:color w:val="231F20"/>
          <w:spacing w:val="9"/>
          <w:sz w:val="18"/>
        </w:rPr>
        <w:t xml:space="preserve"> </w:t>
      </w:r>
      <w:r>
        <w:rPr>
          <w:color w:val="231F20"/>
          <w:w w:val="95"/>
          <w:sz w:val="18"/>
        </w:rPr>
        <w:t>2018</w:t>
      </w:r>
      <w:r>
        <w:rPr>
          <w:color w:val="231F20"/>
          <w:spacing w:val="9"/>
          <w:sz w:val="18"/>
        </w:rPr>
        <w:t xml:space="preserve"> </w:t>
      </w:r>
      <w:r>
        <w:rPr>
          <w:color w:val="231F20"/>
          <w:w w:val="95"/>
          <w:sz w:val="18"/>
        </w:rPr>
        <w:t>James</w:t>
      </w:r>
      <w:r>
        <w:rPr>
          <w:color w:val="231F20"/>
          <w:spacing w:val="8"/>
          <w:sz w:val="18"/>
        </w:rPr>
        <w:t xml:space="preserve"> </w:t>
      </w:r>
      <w:r>
        <w:rPr>
          <w:color w:val="231F20"/>
          <w:w w:val="95"/>
          <w:sz w:val="18"/>
        </w:rPr>
        <w:t>Higham</w:t>
      </w:r>
      <w:r>
        <w:rPr>
          <w:color w:val="231F20"/>
          <w:spacing w:val="9"/>
          <w:sz w:val="18"/>
        </w:rPr>
        <w:t xml:space="preserve"> </w:t>
      </w:r>
      <w:r>
        <w:rPr>
          <w:color w:val="231F20"/>
          <w:w w:val="95"/>
          <w:sz w:val="18"/>
        </w:rPr>
        <w:t>and</w:t>
      </w:r>
      <w:r>
        <w:rPr>
          <w:color w:val="231F20"/>
          <w:spacing w:val="9"/>
          <w:sz w:val="18"/>
        </w:rPr>
        <w:t xml:space="preserve"> </w:t>
      </w:r>
      <w:r>
        <w:rPr>
          <w:color w:val="231F20"/>
          <w:w w:val="95"/>
          <w:sz w:val="18"/>
        </w:rPr>
        <w:t>Tom</w:t>
      </w:r>
      <w:r>
        <w:rPr>
          <w:color w:val="231F20"/>
          <w:spacing w:val="8"/>
          <w:sz w:val="18"/>
        </w:rPr>
        <w:t xml:space="preserve"> </w:t>
      </w:r>
      <w:r>
        <w:rPr>
          <w:color w:val="231F20"/>
          <w:spacing w:val="-2"/>
          <w:w w:val="95"/>
          <w:sz w:val="18"/>
        </w:rPr>
        <w:t>Hinch.</w:t>
      </w:r>
    </w:p>
    <w:p w14:paraId="36106E71" w14:textId="77777777" w:rsidR="00AE0598" w:rsidRDefault="00AE0598">
      <w:pPr>
        <w:pStyle w:val="Corpodetexto"/>
        <w:spacing w:before="6"/>
        <w:rPr>
          <w:sz w:val="19"/>
        </w:rPr>
      </w:pPr>
    </w:p>
    <w:p w14:paraId="2F69B753" w14:textId="77777777" w:rsidR="00AE0598" w:rsidRDefault="0069255A">
      <w:pPr>
        <w:spacing w:line="249" w:lineRule="auto"/>
        <w:ind w:left="223"/>
        <w:rPr>
          <w:sz w:val="18"/>
        </w:rPr>
      </w:pPr>
      <w:r>
        <w:rPr>
          <w:color w:val="231F20"/>
          <w:spacing w:val="-2"/>
          <w:sz w:val="18"/>
        </w:rPr>
        <w:t>All</w:t>
      </w:r>
      <w:r>
        <w:rPr>
          <w:color w:val="231F20"/>
          <w:spacing w:val="-7"/>
          <w:sz w:val="18"/>
        </w:rPr>
        <w:t xml:space="preserve"> </w:t>
      </w:r>
      <w:r>
        <w:rPr>
          <w:color w:val="231F20"/>
          <w:spacing w:val="-2"/>
          <w:sz w:val="18"/>
        </w:rPr>
        <w:t>rights</w:t>
      </w:r>
      <w:r>
        <w:rPr>
          <w:color w:val="231F20"/>
          <w:spacing w:val="-7"/>
          <w:sz w:val="18"/>
        </w:rPr>
        <w:t xml:space="preserve"> </w:t>
      </w:r>
      <w:r>
        <w:rPr>
          <w:color w:val="231F20"/>
          <w:spacing w:val="-2"/>
          <w:sz w:val="18"/>
        </w:rPr>
        <w:t>reserved.</w:t>
      </w:r>
      <w:r>
        <w:rPr>
          <w:color w:val="231F20"/>
          <w:spacing w:val="-7"/>
          <w:sz w:val="18"/>
        </w:rPr>
        <w:t xml:space="preserve"> </w:t>
      </w:r>
      <w:r>
        <w:rPr>
          <w:color w:val="231F20"/>
          <w:spacing w:val="-2"/>
          <w:sz w:val="18"/>
        </w:rPr>
        <w:t>No</w:t>
      </w:r>
      <w:r>
        <w:rPr>
          <w:color w:val="231F20"/>
          <w:spacing w:val="-7"/>
          <w:sz w:val="18"/>
        </w:rPr>
        <w:t xml:space="preserve"> </w:t>
      </w:r>
      <w:r>
        <w:rPr>
          <w:color w:val="231F20"/>
          <w:spacing w:val="-2"/>
          <w:sz w:val="18"/>
        </w:rPr>
        <w:t>part</w:t>
      </w:r>
      <w:r>
        <w:rPr>
          <w:color w:val="231F20"/>
          <w:spacing w:val="-7"/>
          <w:sz w:val="18"/>
        </w:rPr>
        <w:t xml:space="preserve"> </w:t>
      </w:r>
      <w:r>
        <w:rPr>
          <w:color w:val="231F20"/>
          <w:spacing w:val="-2"/>
          <w:sz w:val="18"/>
        </w:rPr>
        <w:t>of</w:t>
      </w:r>
      <w:r>
        <w:rPr>
          <w:color w:val="231F20"/>
          <w:spacing w:val="4"/>
          <w:sz w:val="18"/>
        </w:rPr>
        <w:t xml:space="preserve"> </w:t>
      </w:r>
      <w:r>
        <w:rPr>
          <w:color w:val="231F20"/>
          <w:spacing w:val="-2"/>
          <w:sz w:val="18"/>
        </w:rPr>
        <w:t>this</w:t>
      </w:r>
      <w:r>
        <w:rPr>
          <w:color w:val="231F20"/>
          <w:spacing w:val="-7"/>
          <w:sz w:val="18"/>
        </w:rPr>
        <w:t xml:space="preserve"> </w:t>
      </w:r>
      <w:r>
        <w:rPr>
          <w:color w:val="231F20"/>
          <w:spacing w:val="-2"/>
          <w:sz w:val="18"/>
        </w:rPr>
        <w:t>work</w:t>
      </w:r>
      <w:r>
        <w:rPr>
          <w:color w:val="231F20"/>
          <w:spacing w:val="-7"/>
          <w:sz w:val="18"/>
        </w:rPr>
        <w:t xml:space="preserve"> </w:t>
      </w:r>
      <w:r>
        <w:rPr>
          <w:color w:val="231F20"/>
          <w:spacing w:val="-2"/>
          <w:sz w:val="18"/>
        </w:rPr>
        <w:t>may</w:t>
      </w:r>
      <w:r>
        <w:rPr>
          <w:color w:val="231F20"/>
          <w:spacing w:val="-7"/>
          <w:sz w:val="18"/>
        </w:rPr>
        <w:t xml:space="preserve"> </w:t>
      </w:r>
      <w:r>
        <w:rPr>
          <w:color w:val="231F20"/>
          <w:spacing w:val="-2"/>
          <w:sz w:val="18"/>
        </w:rPr>
        <w:t>be</w:t>
      </w:r>
      <w:r>
        <w:rPr>
          <w:color w:val="231F20"/>
          <w:spacing w:val="-7"/>
          <w:sz w:val="18"/>
        </w:rPr>
        <w:t xml:space="preserve"> </w:t>
      </w:r>
      <w:r>
        <w:rPr>
          <w:color w:val="231F20"/>
          <w:spacing w:val="-2"/>
          <w:sz w:val="18"/>
        </w:rPr>
        <w:t>reproduced</w:t>
      </w:r>
      <w:r>
        <w:rPr>
          <w:color w:val="231F20"/>
          <w:spacing w:val="-7"/>
          <w:sz w:val="18"/>
        </w:rPr>
        <w:t xml:space="preserve"> </w:t>
      </w:r>
      <w:r>
        <w:rPr>
          <w:color w:val="231F20"/>
          <w:spacing w:val="-2"/>
          <w:sz w:val="18"/>
        </w:rPr>
        <w:t>in</w:t>
      </w:r>
      <w:r>
        <w:rPr>
          <w:color w:val="231F20"/>
          <w:spacing w:val="-7"/>
          <w:sz w:val="18"/>
        </w:rPr>
        <w:t xml:space="preserve"> </w:t>
      </w:r>
      <w:r>
        <w:rPr>
          <w:color w:val="231F20"/>
          <w:spacing w:val="-2"/>
          <w:sz w:val="18"/>
        </w:rPr>
        <w:t>any</w:t>
      </w:r>
      <w:r>
        <w:rPr>
          <w:color w:val="231F20"/>
          <w:spacing w:val="-7"/>
          <w:sz w:val="18"/>
        </w:rPr>
        <w:t xml:space="preserve"> </w:t>
      </w:r>
      <w:r>
        <w:rPr>
          <w:color w:val="231F20"/>
          <w:spacing w:val="-2"/>
          <w:sz w:val="18"/>
        </w:rPr>
        <w:t>form</w:t>
      </w:r>
      <w:r>
        <w:rPr>
          <w:color w:val="231F20"/>
          <w:spacing w:val="-7"/>
          <w:sz w:val="18"/>
        </w:rPr>
        <w:t xml:space="preserve"> </w:t>
      </w:r>
      <w:r>
        <w:rPr>
          <w:color w:val="231F20"/>
          <w:spacing w:val="-2"/>
          <w:sz w:val="18"/>
        </w:rPr>
        <w:t>or</w:t>
      </w:r>
      <w:r>
        <w:rPr>
          <w:color w:val="231F20"/>
          <w:spacing w:val="-7"/>
          <w:sz w:val="18"/>
        </w:rPr>
        <w:t xml:space="preserve"> </w:t>
      </w:r>
      <w:r>
        <w:rPr>
          <w:color w:val="231F20"/>
          <w:spacing w:val="-2"/>
          <w:sz w:val="18"/>
        </w:rPr>
        <w:t>by</w:t>
      </w:r>
      <w:r>
        <w:rPr>
          <w:color w:val="231F20"/>
          <w:spacing w:val="-7"/>
          <w:sz w:val="18"/>
        </w:rPr>
        <w:t xml:space="preserve"> </w:t>
      </w:r>
      <w:r>
        <w:rPr>
          <w:color w:val="231F20"/>
          <w:spacing w:val="-2"/>
          <w:sz w:val="18"/>
        </w:rPr>
        <w:t>any</w:t>
      </w:r>
      <w:r>
        <w:rPr>
          <w:color w:val="231F20"/>
          <w:spacing w:val="40"/>
          <w:sz w:val="18"/>
        </w:rPr>
        <w:t xml:space="preserve"> </w:t>
      </w:r>
      <w:r>
        <w:rPr>
          <w:color w:val="231F20"/>
          <w:sz w:val="18"/>
        </w:rPr>
        <w:t>means</w:t>
      </w:r>
      <w:r>
        <w:rPr>
          <w:color w:val="231F20"/>
          <w:spacing w:val="-6"/>
          <w:sz w:val="18"/>
        </w:rPr>
        <w:t xml:space="preserve"> </w:t>
      </w:r>
      <w:r>
        <w:rPr>
          <w:color w:val="231F20"/>
          <w:sz w:val="18"/>
        </w:rPr>
        <w:t>without</w:t>
      </w:r>
      <w:r>
        <w:rPr>
          <w:color w:val="231F20"/>
          <w:spacing w:val="-6"/>
          <w:sz w:val="18"/>
        </w:rPr>
        <w:t xml:space="preserve"> </w:t>
      </w:r>
      <w:r>
        <w:rPr>
          <w:color w:val="231F20"/>
          <w:sz w:val="18"/>
        </w:rPr>
        <w:t>permission</w:t>
      </w:r>
      <w:r>
        <w:rPr>
          <w:color w:val="231F20"/>
          <w:spacing w:val="-6"/>
          <w:sz w:val="18"/>
        </w:rPr>
        <w:t xml:space="preserve"> </w:t>
      </w:r>
      <w:r>
        <w:rPr>
          <w:color w:val="231F20"/>
          <w:sz w:val="18"/>
        </w:rPr>
        <w:t>in</w:t>
      </w:r>
      <w:r>
        <w:rPr>
          <w:color w:val="231F20"/>
          <w:spacing w:val="-6"/>
          <w:sz w:val="18"/>
        </w:rPr>
        <w:t xml:space="preserve"> </w:t>
      </w:r>
      <w:r>
        <w:rPr>
          <w:color w:val="231F20"/>
          <w:sz w:val="18"/>
        </w:rPr>
        <w:t>writing</w:t>
      </w:r>
      <w:r>
        <w:rPr>
          <w:color w:val="231F20"/>
          <w:spacing w:val="-6"/>
          <w:sz w:val="18"/>
        </w:rPr>
        <w:t xml:space="preserve"> </w:t>
      </w:r>
      <w:r>
        <w:rPr>
          <w:color w:val="231F20"/>
          <w:sz w:val="18"/>
        </w:rPr>
        <w:t>from</w:t>
      </w:r>
      <w:r>
        <w:rPr>
          <w:color w:val="231F20"/>
          <w:spacing w:val="-6"/>
          <w:sz w:val="18"/>
        </w:rPr>
        <w:t xml:space="preserve"> </w:t>
      </w:r>
      <w:r>
        <w:rPr>
          <w:color w:val="231F20"/>
          <w:sz w:val="18"/>
        </w:rPr>
        <w:t>the</w:t>
      </w:r>
      <w:r>
        <w:rPr>
          <w:color w:val="231F20"/>
          <w:spacing w:val="-6"/>
          <w:sz w:val="18"/>
        </w:rPr>
        <w:t xml:space="preserve"> </w:t>
      </w:r>
      <w:r>
        <w:rPr>
          <w:color w:val="231F20"/>
          <w:sz w:val="18"/>
        </w:rPr>
        <w:t>publisher.</w:t>
      </w:r>
    </w:p>
    <w:p w14:paraId="05AAAF91" w14:textId="77777777" w:rsidR="00AE0598" w:rsidRDefault="00AE0598">
      <w:pPr>
        <w:pStyle w:val="Corpodetexto"/>
        <w:spacing w:before="10"/>
        <w:rPr>
          <w:sz w:val="18"/>
        </w:rPr>
      </w:pPr>
    </w:p>
    <w:p w14:paraId="001DFAF0" w14:textId="77777777" w:rsidR="00AE0598" w:rsidRDefault="0069255A">
      <w:pPr>
        <w:spacing w:line="249" w:lineRule="auto"/>
        <w:ind w:left="223" w:right="256"/>
        <w:rPr>
          <w:sz w:val="18"/>
        </w:rPr>
      </w:pPr>
      <w:r>
        <w:rPr>
          <w:color w:val="231F20"/>
          <w:w w:val="95"/>
          <w:sz w:val="18"/>
        </w:rPr>
        <w:t>The policy of</w:t>
      </w:r>
      <w:r>
        <w:rPr>
          <w:color w:val="231F20"/>
          <w:sz w:val="18"/>
        </w:rPr>
        <w:t xml:space="preserve"> </w:t>
      </w:r>
      <w:r>
        <w:rPr>
          <w:color w:val="231F20"/>
          <w:w w:val="95"/>
          <w:sz w:val="18"/>
        </w:rPr>
        <w:t>Multilingual Matters/Channel View Publications is to use papers that</w:t>
      </w:r>
      <w:r>
        <w:rPr>
          <w:color w:val="231F20"/>
          <w:spacing w:val="40"/>
          <w:sz w:val="18"/>
        </w:rPr>
        <w:t xml:space="preserve"> </w:t>
      </w:r>
      <w:r>
        <w:rPr>
          <w:color w:val="231F20"/>
          <w:w w:val="95"/>
          <w:sz w:val="18"/>
        </w:rPr>
        <w:t>are natural, renewable and recyclable products, made from wood grown in</w:t>
      </w:r>
      <w:r>
        <w:rPr>
          <w:color w:val="231F20"/>
          <w:w w:val="95"/>
          <w:sz w:val="18"/>
        </w:rPr>
        <w:t xml:space="preserve"> sustain-</w:t>
      </w:r>
      <w:r>
        <w:rPr>
          <w:color w:val="231F20"/>
          <w:spacing w:val="40"/>
          <w:sz w:val="18"/>
        </w:rPr>
        <w:t xml:space="preserve"> </w:t>
      </w:r>
      <w:r>
        <w:rPr>
          <w:color w:val="231F20"/>
          <w:w w:val="95"/>
          <w:sz w:val="18"/>
        </w:rPr>
        <w:t>able forests. In the manufacturing process of</w:t>
      </w:r>
      <w:r>
        <w:rPr>
          <w:color w:val="231F20"/>
          <w:sz w:val="18"/>
        </w:rPr>
        <w:t xml:space="preserve"> </w:t>
      </w:r>
      <w:r>
        <w:rPr>
          <w:color w:val="231F20"/>
          <w:w w:val="95"/>
          <w:sz w:val="18"/>
        </w:rPr>
        <w:t>our books, and to further support our</w:t>
      </w:r>
      <w:r>
        <w:rPr>
          <w:color w:val="231F20"/>
          <w:spacing w:val="40"/>
          <w:sz w:val="18"/>
        </w:rPr>
        <w:t xml:space="preserve"> </w:t>
      </w:r>
      <w:r>
        <w:rPr>
          <w:color w:val="231F20"/>
          <w:sz w:val="18"/>
        </w:rPr>
        <w:t>policy,</w:t>
      </w:r>
      <w:r>
        <w:rPr>
          <w:color w:val="231F20"/>
          <w:spacing w:val="-2"/>
          <w:sz w:val="18"/>
        </w:rPr>
        <w:t xml:space="preserve"> </w:t>
      </w:r>
      <w:r>
        <w:rPr>
          <w:color w:val="231F20"/>
          <w:sz w:val="18"/>
        </w:rPr>
        <w:t>preference</w:t>
      </w:r>
      <w:r>
        <w:rPr>
          <w:color w:val="231F20"/>
          <w:spacing w:val="-2"/>
          <w:sz w:val="18"/>
        </w:rPr>
        <w:t xml:space="preserve"> </w:t>
      </w:r>
      <w:r>
        <w:rPr>
          <w:color w:val="231F20"/>
          <w:sz w:val="18"/>
        </w:rPr>
        <w:t>is</w:t>
      </w:r>
      <w:r>
        <w:rPr>
          <w:color w:val="231F20"/>
          <w:spacing w:val="-2"/>
          <w:sz w:val="18"/>
        </w:rPr>
        <w:t xml:space="preserve"> </w:t>
      </w:r>
      <w:r>
        <w:rPr>
          <w:color w:val="231F20"/>
          <w:sz w:val="18"/>
        </w:rPr>
        <w:t>given</w:t>
      </w:r>
      <w:r>
        <w:rPr>
          <w:color w:val="231F20"/>
          <w:spacing w:val="-2"/>
          <w:sz w:val="18"/>
        </w:rPr>
        <w:t xml:space="preserve"> </w:t>
      </w:r>
      <w:r>
        <w:rPr>
          <w:color w:val="231F20"/>
          <w:sz w:val="18"/>
        </w:rPr>
        <w:t>to</w:t>
      </w:r>
      <w:r>
        <w:rPr>
          <w:color w:val="231F20"/>
          <w:spacing w:val="-2"/>
          <w:sz w:val="18"/>
        </w:rPr>
        <w:t xml:space="preserve"> </w:t>
      </w:r>
      <w:r>
        <w:rPr>
          <w:color w:val="231F20"/>
          <w:sz w:val="18"/>
        </w:rPr>
        <w:t>printers</w:t>
      </w:r>
      <w:r>
        <w:rPr>
          <w:color w:val="231F20"/>
          <w:spacing w:val="-2"/>
          <w:sz w:val="18"/>
        </w:rPr>
        <w:t xml:space="preserve"> </w:t>
      </w:r>
      <w:r>
        <w:rPr>
          <w:color w:val="231F20"/>
          <w:sz w:val="18"/>
        </w:rPr>
        <w:t>that</w:t>
      </w:r>
      <w:r>
        <w:rPr>
          <w:color w:val="231F20"/>
          <w:spacing w:val="-2"/>
          <w:sz w:val="18"/>
        </w:rPr>
        <w:t xml:space="preserve"> </w:t>
      </w:r>
      <w:r>
        <w:rPr>
          <w:color w:val="231F20"/>
          <w:sz w:val="18"/>
        </w:rPr>
        <w:t>have</w:t>
      </w:r>
      <w:r>
        <w:rPr>
          <w:color w:val="231F20"/>
          <w:spacing w:val="-2"/>
          <w:sz w:val="18"/>
        </w:rPr>
        <w:t xml:space="preserve"> </w:t>
      </w:r>
      <w:r>
        <w:rPr>
          <w:color w:val="231F20"/>
          <w:sz w:val="18"/>
        </w:rPr>
        <w:t>FSC</w:t>
      </w:r>
      <w:r>
        <w:rPr>
          <w:color w:val="231F20"/>
          <w:spacing w:val="-2"/>
          <w:sz w:val="18"/>
        </w:rPr>
        <w:t xml:space="preserve"> </w:t>
      </w:r>
      <w:r>
        <w:rPr>
          <w:color w:val="231F20"/>
          <w:sz w:val="18"/>
        </w:rPr>
        <w:t>and</w:t>
      </w:r>
      <w:r>
        <w:rPr>
          <w:color w:val="231F20"/>
          <w:spacing w:val="-2"/>
          <w:sz w:val="18"/>
        </w:rPr>
        <w:t xml:space="preserve"> </w:t>
      </w:r>
      <w:r>
        <w:rPr>
          <w:color w:val="231F20"/>
          <w:sz w:val="18"/>
        </w:rPr>
        <w:t>PEFC</w:t>
      </w:r>
      <w:r>
        <w:rPr>
          <w:color w:val="231F20"/>
          <w:spacing w:val="-2"/>
          <w:sz w:val="18"/>
        </w:rPr>
        <w:t xml:space="preserve"> </w:t>
      </w:r>
      <w:r>
        <w:rPr>
          <w:color w:val="231F20"/>
          <w:sz w:val="18"/>
        </w:rPr>
        <w:t>Chain</w:t>
      </w:r>
      <w:r>
        <w:rPr>
          <w:color w:val="231F20"/>
          <w:spacing w:val="-2"/>
          <w:sz w:val="18"/>
        </w:rPr>
        <w:t xml:space="preserve"> </w:t>
      </w:r>
      <w:r>
        <w:rPr>
          <w:color w:val="231F20"/>
          <w:sz w:val="18"/>
        </w:rPr>
        <w:t>of Custody</w:t>
      </w:r>
      <w:r>
        <w:rPr>
          <w:color w:val="231F20"/>
          <w:spacing w:val="40"/>
          <w:sz w:val="18"/>
        </w:rPr>
        <w:t xml:space="preserve"> </w:t>
      </w:r>
      <w:r>
        <w:rPr>
          <w:color w:val="231F20"/>
          <w:sz w:val="18"/>
        </w:rPr>
        <w:t>certification.</w:t>
      </w:r>
      <w:r>
        <w:rPr>
          <w:color w:val="231F20"/>
          <w:spacing w:val="-1"/>
          <w:sz w:val="18"/>
        </w:rPr>
        <w:t xml:space="preserve"> </w:t>
      </w:r>
      <w:r>
        <w:rPr>
          <w:color w:val="231F20"/>
          <w:sz w:val="18"/>
        </w:rPr>
        <w:t>The</w:t>
      </w:r>
      <w:r>
        <w:rPr>
          <w:color w:val="231F20"/>
          <w:spacing w:val="-1"/>
          <w:sz w:val="18"/>
        </w:rPr>
        <w:t xml:space="preserve"> </w:t>
      </w:r>
      <w:r>
        <w:rPr>
          <w:color w:val="231F20"/>
          <w:sz w:val="18"/>
        </w:rPr>
        <w:t>FSC</w:t>
      </w:r>
      <w:r>
        <w:rPr>
          <w:color w:val="231F20"/>
          <w:spacing w:val="-1"/>
          <w:sz w:val="18"/>
        </w:rPr>
        <w:t xml:space="preserve"> </w:t>
      </w:r>
      <w:r>
        <w:rPr>
          <w:color w:val="231F20"/>
          <w:sz w:val="18"/>
        </w:rPr>
        <w:t>and/or</w:t>
      </w:r>
      <w:r>
        <w:rPr>
          <w:color w:val="231F20"/>
          <w:spacing w:val="-1"/>
          <w:sz w:val="18"/>
        </w:rPr>
        <w:t xml:space="preserve"> </w:t>
      </w:r>
      <w:r>
        <w:rPr>
          <w:color w:val="231F20"/>
          <w:sz w:val="18"/>
        </w:rPr>
        <w:t>PEFC</w:t>
      </w:r>
      <w:r>
        <w:rPr>
          <w:color w:val="231F20"/>
          <w:spacing w:val="-1"/>
          <w:sz w:val="18"/>
        </w:rPr>
        <w:t xml:space="preserve"> </w:t>
      </w:r>
      <w:r>
        <w:rPr>
          <w:color w:val="231F20"/>
          <w:sz w:val="18"/>
        </w:rPr>
        <w:t>logos</w:t>
      </w:r>
      <w:r>
        <w:rPr>
          <w:color w:val="231F20"/>
          <w:spacing w:val="-1"/>
          <w:sz w:val="18"/>
        </w:rPr>
        <w:t xml:space="preserve"> </w:t>
      </w:r>
      <w:r>
        <w:rPr>
          <w:color w:val="231F20"/>
          <w:sz w:val="18"/>
        </w:rPr>
        <w:t>will</w:t>
      </w:r>
      <w:r>
        <w:rPr>
          <w:color w:val="231F20"/>
          <w:spacing w:val="-1"/>
          <w:sz w:val="18"/>
        </w:rPr>
        <w:t xml:space="preserve"> </w:t>
      </w:r>
      <w:r>
        <w:rPr>
          <w:color w:val="231F20"/>
          <w:sz w:val="18"/>
        </w:rPr>
        <w:t>appear</w:t>
      </w:r>
      <w:r>
        <w:rPr>
          <w:color w:val="231F20"/>
          <w:spacing w:val="-1"/>
          <w:sz w:val="18"/>
        </w:rPr>
        <w:t xml:space="preserve"> </w:t>
      </w:r>
      <w:r>
        <w:rPr>
          <w:color w:val="231F20"/>
          <w:sz w:val="18"/>
        </w:rPr>
        <w:t>on</w:t>
      </w:r>
      <w:r>
        <w:rPr>
          <w:color w:val="231F20"/>
          <w:spacing w:val="-1"/>
          <w:sz w:val="18"/>
        </w:rPr>
        <w:t xml:space="preserve"> </w:t>
      </w:r>
      <w:r>
        <w:rPr>
          <w:color w:val="231F20"/>
          <w:sz w:val="18"/>
        </w:rPr>
        <w:t>those</w:t>
      </w:r>
      <w:r>
        <w:rPr>
          <w:color w:val="231F20"/>
          <w:spacing w:val="-1"/>
          <w:sz w:val="18"/>
        </w:rPr>
        <w:t xml:space="preserve"> </w:t>
      </w:r>
      <w:r>
        <w:rPr>
          <w:color w:val="231F20"/>
          <w:sz w:val="18"/>
        </w:rPr>
        <w:t>books</w:t>
      </w:r>
      <w:r>
        <w:rPr>
          <w:color w:val="231F20"/>
          <w:spacing w:val="-1"/>
          <w:sz w:val="18"/>
        </w:rPr>
        <w:t xml:space="preserve"> </w:t>
      </w:r>
      <w:r>
        <w:rPr>
          <w:color w:val="231F20"/>
          <w:sz w:val="18"/>
        </w:rPr>
        <w:t>where</w:t>
      </w:r>
      <w:r>
        <w:rPr>
          <w:color w:val="231F20"/>
          <w:spacing w:val="-1"/>
          <w:sz w:val="18"/>
        </w:rPr>
        <w:t xml:space="preserve"> </w:t>
      </w:r>
      <w:r>
        <w:rPr>
          <w:color w:val="231F20"/>
          <w:sz w:val="18"/>
        </w:rPr>
        <w:t>full</w:t>
      </w:r>
      <w:r>
        <w:rPr>
          <w:color w:val="231F20"/>
          <w:spacing w:val="40"/>
          <w:sz w:val="18"/>
        </w:rPr>
        <w:t xml:space="preserve"> </w:t>
      </w:r>
      <w:r>
        <w:rPr>
          <w:color w:val="231F20"/>
          <w:sz w:val="18"/>
        </w:rPr>
        <w:t>certification</w:t>
      </w:r>
      <w:r>
        <w:rPr>
          <w:color w:val="231F20"/>
          <w:spacing w:val="-6"/>
          <w:sz w:val="18"/>
        </w:rPr>
        <w:t xml:space="preserve"> </w:t>
      </w:r>
      <w:r>
        <w:rPr>
          <w:color w:val="231F20"/>
          <w:sz w:val="18"/>
        </w:rPr>
        <w:t>has</w:t>
      </w:r>
      <w:r>
        <w:rPr>
          <w:color w:val="231F20"/>
          <w:spacing w:val="-6"/>
          <w:sz w:val="18"/>
        </w:rPr>
        <w:t xml:space="preserve"> </w:t>
      </w:r>
      <w:r>
        <w:rPr>
          <w:color w:val="231F20"/>
          <w:sz w:val="18"/>
        </w:rPr>
        <w:t>been</w:t>
      </w:r>
      <w:r>
        <w:rPr>
          <w:color w:val="231F20"/>
          <w:spacing w:val="-6"/>
          <w:sz w:val="18"/>
        </w:rPr>
        <w:t xml:space="preserve"> </w:t>
      </w:r>
      <w:r>
        <w:rPr>
          <w:color w:val="231F20"/>
          <w:sz w:val="18"/>
        </w:rPr>
        <w:t>granted</w:t>
      </w:r>
      <w:r>
        <w:rPr>
          <w:color w:val="231F20"/>
          <w:spacing w:val="-6"/>
          <w:sz w:val="18"/>
        </w:rPr>
        <w:t xml:space="preserve"> </w:t>
      </w:r>
      <w:r>
        <w:rPr>
          <w:color w:val="231F20"/>
          <w:sz w:val="18"/>
        </w:rPr>
        <w:t>to</w:t>
      </w:r>
      <w:r>
        <w:rPr>
          <w:color w:val="231F20"/>
          <w:spacing w:val="-6"/>
          <w:sz w:val="18"/>
        </w:rPr>
        <w:t xml:space="preserve"> </w:t>
      </w:r>
      <w:r>
        <w:rPr>
          <w:color w:val="231F20"/>
          <w:sz w:val="18"/>
        </w:rPr>
        <w:t>the</w:t>
      </w:r>
      <w:r>
        <w:rPr>
          <w:color w:val="231F20"/>
          <w:spacing w:val="-6"/>
          <w:sz w:val="18"/>
        </w:rPr>
        <w:t xml:space="preserve"> </w:t>
      </w:r>
      <w:r>
        <w:rPr>
          <w:color w:val="231F20"/>
          <w:sz w:val="18"/>
        </w:rPr>
        <w:t>printer</w:t>
      </w:r>
      <w:r>
        <w:rPr>
          <w:color w:val="231F20"/>
          <w:spacing w:val="-6"/>
          <w:sz w:val="18"/>
        </w:rPr>
        <w:t xml:space="preserve"> </w:t>
      </w:r>
      <w:r>
        <w:rPr>
          <w:color w:val="231F20"/>
          <w:sz w:val="18"/>
        </w:rPr>
        <w:t>concerned.</w:t>
      </w:r>
    </w:p>
    <w:p w14:paraId="19307194" w14:textId="77777777" w:rsidR="00AE0598" w:rsidRDefault="00AE0598">
      <w:pPr>
        <w:pStyle w:val="Corpodetexto"/>
        <w:rPr>
          <w:sz w:val="19"/>
        </w:rPr>
      </w:pPr>
    </w:p>
    <w:p w14:paraId="7281EA92" w14:textId="77777777" w:rsidR="00AE0598" w:rsidRDefault="0069255A">
      <w:pPr>
        <w:spacing w:line="249" w:lineRule="auto"/>
        <w:ind w:left="223" w:right="1963"/>
        <w:rPr>
          <w:sz w:val="18"/>
        </w:rPr>
      </w:pPr>
      <w:r>
        <w:rPr>
          <w:color w:val="231F20"/>
          <w:w w:val="95"/>
          <w:sz w:val="18"/>
        </w:rPr>
        <w:t>Typeset by Deanta Global Publishing Services Limited.</w:t>
      </w:r>
      <w:r>
        <w:rPr>
          <w:color w:val="231F20"/>
          <w:spacing w:val="40"/>
          <w:sz w:val="18"/>
        </w:rPr>
        <w:t xml:space="preserve"> </w:t>
      </w:r>
      <w:r>
        <w:rPr>
          <w:color w:val="231F20"/>
          <w:sz w:val="18"/>
        </w:rPr>
        <w:t>Printed</w:t>
      </w:r>
      <w:r>
        <w:rPr>
          <w:color w:val="231F20"/>
          <w:spacing w:val="-1"/>
          <w:sz w:val="18"/>
        </w:rPr>
        <w:t xml:space="preserve"> </w:t>
      </w:r>
      <w:r>
        <w:rPr>
          <w:color w:val="231F20"/>
          <w:sz w:val="18"/>
        </w:rPr>
        <w:t>and</w:t>
      </w:r>
      <w:r>
        <w:rPr>
          <w:color w:val="231F20"/>
          <w:spacing w:val="-1"/>
          <w:sz w:val="18"/>
        </w:rPr>
        <w:t xml:space="preserve"> </w:t>
      </w:r>
      <w:r>
        <w:rPr>
          <w:color w:val="231F20"/>
          <w:sz w:val="18"/>
        </w:rPr>
        <w:t>bound</w:t>
      </w:r>
      <w:r>
        <w:rPr>
          <w:color w:val="231F20"/>
          <w:spacing w:val="-1"/>
          <w:sz w:val="18"/>
        </w:rPr>
        <w:t xml:space="preserve"> </w:t>
      </w:r>
      <w:r>
        <w:rPr>
          <w:color w:val="231F20"/>
          <w:sz w:val="18"/>
        </w:rPr>
        <w:t>in</w:t>
      </w:r>
      <w:r>
        <w:rPr>
          <w:color w:val="231F20"/>
          <w:spacing w:val="-1"/>
          <w:sz w:val="18"/>
        </w:rPr>
        <w:t xml:space="preserve"> </w:t>
      </w:r>
      <w:r>
        <w:rPr>
          <w:color w:val="231F20"/>
          <w:sz w:val="18"/>
        </w:rPr>
        <w:t>the</w:t>
      </w:r>
      <w:r>
        <w:rPr>
          <w:color w:val="231F20"/>
          <w:spacing w:val="-1"/>
          <w:sz w:val="18"/>
        </w:rPr>
        <w:t xml:space="preserve"> </w:t>
      </w:r>
      <w:r>
        <w:rPr>
          <w:color w:val="231F20"/>
          <w:sz w:val="18"/>
        </w:rPr>
        <w:t>UK</w:t>
      </w:r>
      <w:r>
        <w:rPr>
          <w:color w:val="231F20"/>
          <w:spacing w:val="-1"/>
          <w:sz w:val="18"/>
        </w:rPr>
        <w:t xml:space="preserve"> </w:t>
      </w:r>
      <w:r>
        <w:rPr>
          <w:color w:val="231F20"/>
          <w:sz w:val="18"/>
        </w:rPr>
        <w:t>by</w:t>
      </w:r>
      <w:r>
        <w:rPr>
          <w:color w:val="231F20"/>
          <w:spacing w:val="-1"/>
          <w:sz w:val="18"/>
        </w:rPr>
        <w:t xml:space="preserve"> </w:t>
      </w:r>
      <w:r>
        <w:rPr>
          <w:color w:val="231F20"/>
          <w:sz w:val="18"/>
        </w:rPr>
        <w:t>Short</w:t>
      </w:r>
      <w:r>
        <w:rPr>
          <w:color w:val="231F20"/>
          <w:spacing w:val="-1"/>
          <w:sz w:val="18"/>
        </w:rPr>
        <w:t xml:space="preserve"> </w:t>
      </w:r>
      <w:r>
        <w:rPr>
          <w:color w:val="231F20"/>
          <w:sz w:val="18"/>
        </w:rPr>
        <w:t>Run</w:t>
      </w:r>
      <w:r>
        <w:rPr>
          <w:color w:val="231F20"/>
          <w:spacing w:val="-1"/>
          <w:sz w:val="18"/>
        </w:rPr>
        <w:t xml:space="preserve"> </w:t>
      </w:r>
      <w:r>
        <w:rPr>
          <w:color w:val="231F20"/>
          <w:sz w:val="18"/>
        </w:rPr>
        <w:t>Press</w:t>
      </w:r>
      <w:r>
        <w:rPr>
          <w:color w:val="231F20"/>
          <w:spacing w:val="-1"/>
          <w:sz w:val="18"/>
        </w:rPr>
        <w:t xml:space="preserve"> </w:t>
      </w:r>
      <w:r>
        <w:rPr>
          <w:color w:val="231F20"/>
          <w:sz w:val="18"/>
        </w:rPr>
        <w:t>Ltd.</w:t>
      </w:r>
    </w:p>
    <w:p w14:paraId="7D10C6E5" w14:textId="77777777" w:rsidR="00AE0598" w:rsidRDefault="0069255A">
      <w:pPr>
        <w:spacing w:before="1"/>
        <w:ind w:left="223"/>
        <w:rPr>
          <w:sz w:val="18"/>
        </w:rPr>
      </w:pPr>
      <w:r>
        <w:rPr>
          <w:color w:val="231F20"/>
          <w:w w:val="95"/>
          <w:sz w:val="18"/>
        </w:rPr>
        <w:t>Printed</w:t>
      </w:r>
      <w:r>
        <w:rPr>
          <w:color w:val="231F20"/>
          <w:spacing w:val="1"/>
          <w:sz w:val="18"/>
        </w:rPr>
        <w:t xml:space="preserve"> </w:t>
      </w:r>
      <w:r>
        <w:rPr>
          <w:color w:val="231F20"/>
          <w:w w:val="95"/>
          <w:sz w:val="18"/>
        </w:rPr>
        <w:t>and</w:t>
      </w:r>
      <w:r>
        <w:rPr>
          <w:color w:val="231F20"/>
          <w:spacing w:val="1"/>
          <w:sz w:val="18"/>
        </w:rPr>
        <w:t xml:space="preserve"> </w:t>
      </w:r>
      <w:r>
        <w:rPr>
          <w:color w:val="231F20"/>
          <w:w w:val="95"/>
          <w:sz w:val="18"/>
        </w:rPr>
        <w:t>bound</w:t>
      </w:r>
      <w:r>
        <w:rPr>
          <w:color w:val="231F20"/>
          <w:spacing w:val="2"/>
          <w:sz w:val="18"/>
        </w:rPr>
        <w:t xml:space="preserve"> </w:t>
      </w:r>
      <w:r>
        <w:rPr>
          <w:color w:val="231F20"/>
          <w:w w:val="95"/>
          <w:sz w:val="18"/>
        </w:rPr>
        <w:t>in</w:t>
      </w:r>
      <w:r>
        <w:rPr>
          <w:color w:val="231F20"/>
          <w:spacing w:val="1"/>
          <w:sz w:val="18"/>
        </w:rPr>
        <w:t xml:space="preserve"> </w:t>
      </w:r>
      <w:r>
        <w:rPr>
          <w:color w:val="231F20"/>
          <w:w w:val="95"/>
          <w:sz w:val="18"/>
        </w:rPr>
        <w:t>the</w:t>
      </w:r>
      <w:r>
        <w:rPr>
          <w:color w:val="231F20"/>
          <w:spacing w:val="2"/>
          <w:sz w:val="18"/>
        </w:rPr>
        <w:t xml:space="preserve"> </w:t>
      </w:r>
      <w:r>
        <w:rPr>
          <w:color w:val="231F20"/>
          <w:w w:val="95"/>
          <w:sz w:val="18"/>
        </w:rPr>
        <w:t>US</w:t>
      </w:r>
      <w:r>
        <w:rPr>
          <w:color w:val="231F20"/>
          <w:spacing w:val="1"/>
          <w:sz w:val="18"/>
        </w:rPr>
        <w:t xml:space="preserve"> </w:t>
      </w:r>
      <w:r>
        <w:rPr>
          <w:color w:val="231F20"/>
          <w:w w:val="95"/>
          <w:sz w:val="18"/>
        </w:rPr>
        <w:t>by</w:t>
      </w:r>
      <w:r>
        <w:rPr>
          <w:color w:val="231F20"/>
          <w:spacing w:val="1"/>
          <w:sz w:val="18"/>
        </w:rPr>
        <w:t xml:space="preserve"> </w:t>
      </w:r>
      <w:r>
        <w:rPr>
          <w:color w:val="231F20"/>
          <w:w w:val="95"/>
          <w:sz w:val="18"/>
        </w:rPr>
        <w:t>Edwards</w:t>
      </w:r>
      <w:r>
        <w:rPr>
          <w:color w:val="231F20"/>
          <w:spacing w:val="2"/>
          <w:sz w:val="18"/>
        </w:rPr>
        <w:t xml:space="preserve"> </w:t>
      </w:r>
      <w:r>
        <w:rPr>
          <w:color w:val="231F20"/>
          <w:w w:val="95"/>
          <w:sz w:val="18"/>
        </w:rPr>
        <w:t>Brothers</w:t>
      </w:r>
      <w:r>
        <w:rPr>
          <w:color w:val="231F20"/>
          <w:spacing w:val="1"/>
          <w:sz w:val="18"/>
        </w:rPr>
        <w:t xml:space="preserve"> </w:t>
      </w:r>
      <w:r>
        <w:rPr>
          <w:color w:val="231F20"/>
          <w:w w:val="95"/>
          <w:sz w:val="18"/>
        </w:rPr>
        <w:t>Malloy,</w:t>
      </w:r>
      <w:r>
        <w:rPr>
          <w:color w:val="231F20"/>
          <w:spacing w:val="2"/>
          <w:sz w:val="18"/>
        </w:rPr>
        <w:t xml:space="preserve"> </w:t>
      </w:r>
      <w:r>
        <w:rPr>
          <w:color w:val="231F20"/>
          <w:spacing w:val="-4"/>
          <w:w w:val="95"/>
          <w:sz w:val="18"/>
        </w:rPr>
        <w:t>Inc.</w:t>
      </w:r>
    </w:p>
    <w:p w14:paraId="07AB4C23" w14:textId="77777777" w:rsidR="00AE0598" w:rsidRDefault="00AE0598">
      <w:pPr>
        <w:rPr>
          <w:sz w:val="18"/>
        </w:rPr>
        <w:sectPr w:rsidR="00AE0598">
          <w:pgSz w:w="8850" w:h="13270"/>
          <w:pgMar w:top="1240" w:right="1080" w:bottom="280" w:left="1080" w:header="720" w:footer="720" w:gutter="0"/>
          <w:cols w:space="720"/>
        </w:sectPr>
      </w:pPr>
    </w:p>
    <w:p w14:paraId="51948174" w14:textId="77777777" w:rsidR="00AE0598" w:rsidRDefault="0069255A">
      <w:pPr>
        <w:pStyle w:val="Ttulo1"/>
        <w:spacing w:before="74"/>
        <w:ind w:left="166"/>
      </w:pPr>
      <w:bookmarkStart w:id="0" w:name="Contents"/>
      <w:bookmarkEnd w:id="0"/>
      <w:r>
        <w:rPr>
          <w:color w:val="231F20"/>
          <w:spacing w:val="-2"/>
          <w:w w:val="105"/>
        </w:rPr>
        <w:lastRenderedPageBreak/>
        <w:t>Contents</w:t>
      </w:r>
    </w:p>
    <w:p w14:paraId="49371575" w14:textId="77777777" w:rsidR="00AE0598" w:rsidRDefault="00AE0598">
      <w:pPr>
        <w:pStyle w:val="Corpodetexto"/>
        <w:rPr>
          <w:rFonts w:ascii="Trebuchet MS"/>
          <w:sz w:val="54"/>
        </w:rPr>
      </w:pPr>
    </w:p>
    <w:p w14:paraId="613F0CEF" w14:textId="77777777" w:rsidR="00AE0598" w:rsidRDefault="00AE0598">
      <w:pPr>
        <w:pStyle w:val="Corpodetexto"/>
        <w:rPr>
          <w:rFonts w:ascii="Trebuchet MS"/>
          <w:sz w:val="54"/>
        </w:rPr>
      </w:pPr>
    </w:p>
    <w:p w14:paraId="4AE00816" w14:textId="77777777" w:rsidR="00AE0598" w:rsidRDefault="00AE0598">
      <w:pPr>
        <w:pStyle w:val="Corpodetexto"/>
        <w:rPr>
          <w:rFonts w:ascii="Trebuchet MS"/>
          <w:sz w:val="52"/>
        </w:rPr>
      </w:pPr>
    </w:p>
    <w:sdt>
      <w:sdtPr>
        <w:id w:val="1865321744"/>
        <w:docPartObj>
          <w:docPartGallery w:val="Table of Contents"/>
          <w:docPartUnique/>
        </w:docPartObj>
      </w:sdtPr>
      <w:sdtEndPr/>
      <w:sdtContent>
        <w:p w14:paraId="0FA316FA" w14:textId="77777777" w:rsidR="00AE0598" w:rsidRDefault="0069255A">
          <w:pPr>
            <w:pStyle w:val="Sumrio1"/>
            <w:tabs>
              <w:tab w:val="right" w:pos="6459"/>
            </w:tabs>
            <w:spacing w:before="0"/>
            <w:ind w:left="166" w:firstLine="0"/>
          </w:pPr>
          <w:hyperlink w:anchor="_TOC_250016" w:history="1">
            <w:r>
              <w:rPr>
                <w:color w:val="231F20"/>
                <w:w w:val="95"/>
              </w:rPr>
              <w:t>Figures</w:t>
            </w:r>
            <w:r>
              <w:rPr>
                <w:color w:val="231F20"/>
                <w:spacing w:val="-3"/>
              </w:rPr>
              <w:t xml:space="preserve"> </w:t>
            </w:r>
            <w:r>
              <w:rPr>
                <w:color w:val="231F20"/>
                <w:w w:val="95"/>
              </w:rPr>
              <w:t>and</w:t>
            </w:r>
            <w:r>
              <w:rPr>
                <w:color w:val="231F20"/>
                <w:spacing w:val="-2"/>
              </w:rPr>
              <w:t xml:space="preserve"> </w:t>
            </w:r>
            <w:r>
              <w:rPr>
                <w:color w:val="231F20"/>
                <w:spacing w:val="-2"/>
                <w:w w:val="95"/>
              </w:rPr>
              <w:t>Tables</w:t>
            </w:r>
            <w:r>
              <w:rPr>
                <w:color w:val="231F20"/>
              </w:rPr>
              <w:tab/>
            </w:r>
            <w:r>
              <w:rPr>
                <w:color w:val="231F20"/>
                <w:spacing w:val="-5"/>
              </w:rPr>
              <w:t>vii</w:t>
            </w:r>
          </w:hyperlink>
        </w:p>
        <w:p w14:paraId="7EB52645" w14:textId="77777777" w:rsidR="00AE0598" w:rsidRDefault="0069255A">
          <w:pPr>
            <w:pStyle w:val="Sumrio1"/>
            <w:tabs>
              <w:tab w:val="right" w:pos="6459"/>
            </w:tabs>
            <w:ind w:left="166" w:firstLine="0"/>
          </w:pPr>
          <w:hyperlink w:anchor="_TOC_250015" w:history="1">
            <w:r>
              <w:rPr>
                <w:color w:val="231F20"/>
                <w:w w:val="95"/>
              </w:rPr>
              <w:t>Case</w:t>
            </w:r>
            <w:r>
              <w:rPr>
                <w:color w:val="231F20"/>
                <w:spacing w:val="5"/>
              </w:rPr>
              <w:t xml:space="preserve"> </w:t>
            </w:r>
            <w:r>
              <w:rPr>
                <w:color w:val="231F20"/>
                <w:w w:val="95"/>
              </w:rPr>
              <w:t>Study</w:t>
            </w:r>
            <w:r>
              <w:rPr>
                <w:color w:val="231F20"/>
                <w:spacing w:val="5"/>
              </w:rPr>
              <w:t xml:space="preserve"> </w:t>
            </w:r>
            <w:r>
              <w:rPr>
                <w:color w:val="231F20"/>
                <w:w w:val="95"/>
              </w:rPr>
              <w:t>and</w:t>
            </w:r>
            <w:r>
              <w:rPr>
                <w:color w:val="231F20"/>
                <w:spacing w:val="6"/>
              </w:rPr>
              <w:t xml:space="preserve"> </w:t>
            </w:r>
            <w:r>
              <w:rPr>
                <w:color w:val="231F20"/>
                <w:w w:val="95"/>
              </w:rPr>
              <w:t>Focus</w:t>
            </w:r>
            <w:r>
              <w:rPr>
                <w:color w:val="231F20"/>
                <w:spacing w:val="5"/>
              </w:rPr>
              <w:t xml:space="preserve"> </w:t>
            </w:r>
            <w:r>
              <w:rPr>
                <w:color w:val="231F20"/>
                <w:w w:val="95"/>
              </w:rPr>
              <w:t>Point</w:t>
            </w:r>
            <w:r>
              <w:rPr>
                <w:color w:val="231F20"/>
                <w:spacing w:val="6"/>
              </w:rPr>
              <w:t xml:space="preserve"> </w:t>
            </w:r>
            <w:r>
              <w:rPr>
                <w:color w:val="231F20"/>
                <w:spacing w:val="-2"/>
                <w:w w:val="95"/>
              </w:rPr>
              <w:t>Contributors</w:t>
            </w:r>
            <w:r>
              <w:rPr>
                <w:color w:val="231F20"/>
              </w:rPr>
              <w:tab/>
            </w:r>
            <w:r>
              <w:rPr>
                <w:color w:val="231F20"/>
                <w:spacing w:val="-5"/>
              </w:rPr>
              <w:t>ix</w:t>
            </w:r>
          </w:hyperlink>
        </w:p>
        <w:p w14:paraId="068A20C7" w14:textId="77777777" w:rsidR="00AE0598" w:rsidRDefault="0069255A">
          <w:pPr>
            <w:pStyle w:val="Sumrio1"/>
            <w:tabs>
              <w:tab w:val="right" w:pos="6459"/>
            </w:tabs>
            <w:ind w:left="166" w:firstLine="0"/>
          </w:pPr>
          <w:hyperlink w:anchor="_TOC_250014" w:history="1">
            <w:r>
              <w:rPr>
                <w:color w:val="231F20"/>
                <w:spacing w:val="-2"/>
              </w:rPr>
              <w:t>Acknowledgements</w:t>
            </w:r>
            <w:r>
              <w:rPr>
                <w:color w:val="231F20"/>
              </w:rPr>
              <w:tab/>
            </w:r>
            <w:r>
              <w:rPr>
                <w:color w:val="231F20"/>
                <w:spacing w:val="-5"/>
              </w:rPr>
              <w:t>xi</w:t>
            </w:r>
          </w:hyperlink>
        </w:p>
        <w:p w14:paraId="7C182192" w14:textId="77777777" w:rsidR="00AE0598" w:rsidRDefault="0069255A">
          <w:pPr>
            <w:pStyle w:val="Sumrio2"/>
          </w:pPr>
          <w:hyperlink w:anchor="_TOC_250013" w:history="1">
            <w:r>
              <w:rPr>
                <w:color w:val="231F20"/>
                <w:w w:val="90"/>
              </w:rPr>
              <w:t>Part</w:t>
            </w:r>
            <w:r>
              <w:rPr>
                <w:color w:val="231F20"/>
                <w:spacing w:val="-7"/>
                <w:w w:val="90"/>
              </w:rPr>
              <w:t xml:space="preserve"> </w:t>
            </w:r>
            <w:r>
              <w:rPr>
                <w:color w:val="231F20"/>
                <w:w w:val="90"/>
              </w:rPr>
              <w:t>1:</w:t>
            </w:r>
            <w:r>
              <w:rPr>
                <w:color w:val="231F20"/>
                <w:spacing w:val="-6"/>
                <w:w w:val="90"/>
              </w:rPr>
              <w:t xml:space="preserve"> </w:t>
            </w:r>
            <w:r>
              <w:rPr>
                <w:color w:val="231F20"/>
                <w:spacing w:val="-2"/>
                <w:w w:val="90"/>
              </w:rPr>
              <w:t>Introduction</w:t>
            </w:r>
          </w:hyperlink>
        </w:p>
        <w:p w14:paraId="44CCCF7B" w14:textId="77777777" w:rsidR="00AE0598" w:rsidRDefault="0069255A">
          <w:pPr>
            <w:pStyle w:val="Sumrio1"/>
            <w:numPr>
              <w:ilvl w:val="0"/>
              <w:numId w:val="20"/>
            </w:numPr>
            <w:tabs>
              <w:tab w:val="left" w:pos="526"/>
              <w:tab w:val="left" w:pos="527"/>
              <w:tab w:val="right" w:pos="6459"/>
            </w:tabs>
            <w:spacing w:before="194"/>
            <w:ind w:hanging="361"/>
          </w:pPr>
          <w:hyperlink w:anchor="_TOC_250012" w:history="1">
            <w:r>
              <w:rPr>
                <w:color w:val="231F20"/>
              </w:rPr>
              <w:t>Sport</w:t>
            </w:r>
            <w:r>
              <w:rPr>
                <w:color w:val="231F20"/>
                <w:spacing w:val="-11"/>
              </w:rPr>
              <w:t xml:space="preserve"> </w:t>
            </w:r>
            <w:r>
              <w:rPr>
                <w:color w:val="231F20"/>
              </w:rPr>
              <w:t>Tourism</w:t>
            </w:r>
            <w:r>
              <w:rPr>
                <w:color w:val="231F20"/>
                <w:spacing w:val="-10"/>
              </w:rPr>
              <w:t xml:space="preserve"> </w:t>
            </w:r>
            <w:r>
              <w:rPr>
                <w:color w:val="231F20"/>
              </w:rPr>
              <w:t>in</w:t>
            </w:r>
            <w:r>
              <w:rPr>
                <w:color w:val="231F20"/>
                <w:spacing w:val="-11"/>
              </w:rPr>
              <w:t xml:space="preserve"> </w:t>
            </w:r>
            <w:r>
              <w:rPr>
                <w:color w:val="231F20"/>
              </w:rPr>
              <w:t>Times</w:t>
            </w:r>
            <w:r>
              <w:rPr>
                <w:color w:val="231F20"/>
                <w:spacing w:val="-10"/>
              </w:rPr>
              <w:t xml:space="preserve"> </w:t>
            </w:r>
            <w:r>
              <w:rPr>
                <w:color w:val="231F20"/>
              </w:rPr>
              <w:t>of</w:t>
            </w:r>
            <w:r>
              <w:rPr>
                <w:color w:val="231F20"/>
                <w:spacing w:val="1"/>
              </w:rPr>
              <w:t xml:space="preserve"> </w:t>
            </w:r>
            <w:r>
              <w:rPr>
                <w:color w:val="231F20"/>
                <w:spacing w:val="-2"/>
              </w:rPr>
              <w:t>Change</w:t>
            </w:r>
            <w:r>
              <w:rPr>
                <w:color w:val="231F20"/>
              </w:rPr>
              <w:tab/>
            </w:r>
            <w:r>
              <w:rPr>
                <w:color w:val="231F20"/>
                <w:spacing w:val="-10"/>
              </w:rPr>
              <w:t>3</w:t>
            </w:r>
          </w:hyperlink>
        </w:p>
        <w:p w14:paraId="00407BD4" w14:textId="77777777" w:rsidR="00AE0598" w:rsidRDefault="0069255A">
          <w:pPr>
            <w:pStyle w:val="Sumrio2"/>
            <w:spacing w:before="193"/>
          </w:pPr>
          <w:r>
            <w:rPr>
              <w:color w:val="231F20"/>
              <w:w w:val="90"/>
            </w:rPr>
            <w:t>Part</w:t>
          </w:r>
          <w:r>
            <w:rPr>
              <w:color w:val="231F20"/>
              <w:spacing w:val="-2"/>
              <w:w w:val="90"/>
            </w:rPr>
            <w:t xml:space="preserve"> </w:t>
          </w:r>
          <w:r>
            <w:rPr>
              <w:color w:val="231F20"/>
              <w:w w:val="90"/>
            </w:rPr>
            <w:t>2:</w:t>
          </w:r>
          <w:r>
            <w:rPr>
              <w:color w:val="231F20"/>
              <w:spacing w:val="-1"/>
              <w:w w:val="90"/>
            </w:rPr>
            <w:t xml:space="preserve"> </w:t>
          </w:r>
          <w:r>
            <w:rPr>
              <w:color w:val="231F20"/>
              <w:w w:val="90"/>
            </w:rPr>
            <w:t>Foundations</w:t>
          </w:r>
          <w:r>
            <w:rPr>
              <w:color w:val="231F20"/>
              <w:spacing w:val="-1"/>
              <w:w w:val="90"/>
            </w:rPr>
            <w:t xml:space="preserve"> </w:t>
          </w:r>
          <w:r>
            <w:rPr>
              <w:color w:val="231F20"/>
              <w:w w:val="90"/>
            </w:rPr>
            <w:t>of</w:t>
          </w:r>
          <w:r>
            <w:rPr>
              <w:color w:val="231F20"/>
              <w:spacing w:val="10"/>
            </w:rPr>
            <w:t xml:space="preserve"> </w:t>
          </w:r>
          <w:r>
            <w:rPr>
              <w:color w:val="231F20"/>
              <w:w w:val="90"/>
            </w:rPr>
            <w:t>Sport</w:t>
          </w:r>
          <w:r>
            <w:rPr>
              <w:color w:val="231F20"/>
              <w:spacing w:val="-2"/>
              <w:w w:val="90"/>
            </w:rPr>
            <w:t xml:space="preserve"> </w:t>
          </w:r>
          <w:r>
            <w:rPr>
              <w:color w:val="231F20"/>
              <w:w w:val="90"/>
            </w:rPr>
            <w:t>Tourism</w:t>
          </w:r>
          <w:r>
            <w:rPr>
              <w:color w:val="231F20"/>
              <w:spacing w:val="-1"/>
              <w:w w:val="90"/>
            </w:rPr>
            <w:t xml:space="preserve"> </w:t>
          </w:r>
          <w:r>
            <w:rPr>
              <w:color w:val="231F20"/>
              <w:spacing w:val="-2"/>
              <w:w w:val="90"/>
            </w:rPr>
            <w:t>Development</w:t>
          </w:r>
        </w:p>
        <w:p w14:paraId="44DB14D6" w14:textId="77777777" w:rsidR="00AE0598" w:rsidRDefault="0069255A">
          <w:pPr>
            <w:pStyle w:val="Sumrio1"/>
            <w:numPr>
              <w:ilvl w:val="0"/>
              <w:numId w:val="20"/>
            </w:numPr>
            <w:tabs>
              <w:tab w:val="left" w:pos="526"/>
              <w:tab w:val="left" w:pos="527"/>
              <w:tab w:val="right" w:pos="6459"/>
            </w:tabs>
            <w:spacing w:before="194"/>
            <w:ind w:hanging="361"/>
          </w:pPr>
          <w:hyperlink w:anchor="_TOC_250011" w:history="1">
            <w:r>
              <w:rPr>
                <w:color w:val="231F20"/>
              </w:rPr>
              <w:t>The</w:t>
            </w:r>
            <w:r>
              <w:rPr>
                <w:color w:val="231F20"/>
                <w:spacing w:val="-7"/>
              </w:rPr>
              <w:t xml:space="preserve"> </w:t>
            </w:r>
            <w:r>
              <w:rPr>
                <w:color w:val="231F20"/>
              </w:rPr>
              <w:t>Study</w:t>
            </w:r>
            <w:r>
              <w:rPr>
                <w:color w:val="231F20"/>
                <w:spacing w:val="-6"/>
              </w:rPr>
              <w:t xml:space="preserve"> </w:t>
            </w:r>
            <w:r>
              <w:rPr>
                <w:color w:val="231F20"/>
              </w:rPr>
              <w:t>of</w:t>
            </w:r>
            <w:r>
              <w:rPr>
                <w:color w:val="231F20"/>
                <w:spacing w:val="7"/>
              </w:rPr>
              <w:t xml:space="preserve"> </w:t>
            </w:r>
            <w:r>
              <w:rPr>
                <w:color w:val="231F20"/>
              </w:rPr>
              <w:t>Sport</w:t>
            </w:r>
            <w:r>
              <w:rPr>
                <w:color w:val="231F20"/>
                <w:spacing w:val="-6"/>
              </w:rPr>
              <w:t xml:space="preserve"> </w:t>
            </w:r>
            <w:r>
              <w:rPr>
                <w:color w:val="231F20"/>
                <w:spacing w:val="-2"/>
                <w:w w:val="95"/>
              </w:rPr>
              <w:t>Tourism</w:t>
            </w:r>
            <w:r>
              <w:rPr>
                <w:color w:val="231F20"/>
              </w:rPr>
              <w:tab/>
            </w:r>
            <w:r>
              <w:rPr>
                <w:color w:val="231F20"/>
                <w:spacing w:val="-5"/>
              </w:rPr>
              <w:t>19</w:t>
            </w:r>
          </w:hyperlink>
        </w:p>
        <w:p w14:paraId="23BB1EA7" w14:textId="77777777" w:rsidR="00AE0598" w:rsidRDefault="0069255A">
          <w:pPr>
            <w:pStyle w:val="Sumrio1"/>
            <w:numPr>
              <w:ilvl w:val="0"/>
              <w:numId w:val="20"/>
            </w:numPr>
            <w:tabs>
              <w:tab w:val="left" w:pos="526"/>
              <w:tab w:val="left" w:pos="527"/>
              <w:tab w:val="right" w:pos="6459"/>
            </w:tabs>
            <w:ind w:hanging="361"/>
          </w:pPr>
          <w:hyperlink w:anchor="_TOC_250010" w:history="1">
            <w:r>
              <w:rPr>
                <w:color w:val="231F20"/>
                <w:w w:val="95"/>
              </w:rPr>
              <w:t>Sport</w:t>
            </w:r>
            <w:r>
              <w:rPr>
                <w:color w:val="231F20"/>
                <w:spacing w:val="5"/>
              </w:rPr>
              <w:t xml:space="preserve"> </w:t>
            </w:r>
            <w:r>
              <w:rPr>
                <w:color w:val="231F20"/>
                <w:w w:val="95"/>
              </w:rPr>
              <w:t>Tourism</w:t>
            </w:r>
            <w:r>
              <w:rPr>
                <w:color w:val="231F20"/>
                <w:spacing w:val="5"/>
              </w:rPr>
              <w:t xml:space="preserve"> </w:t>
            </w:r>
            <w:r>
              <w:rPr>
                <w:color w:val="231F20"/>
                <w:spacing w:val="-2"/>
                <w:w w:val="95"/>
              </w:rPr>
              <w:t>Markets</w:t>
            </w:r>
            <w:r>
              <w:rPr>
                <w:color w:val="231F20"/>
              </w:rPr>
              <w:tab/>
            </w:r>
            <w:r>
              <w:rPr>
                <w:color w:val="231F20"/>
                <w:spacing w:val="-5"/>
              </w:rPr>
              <w:t>38</w:t>
            </w:r>
          </w:hyperlink>
        </w:p>
        <w:p w14:paraId="5C93A46A" w14:textId="77777777" w:rsidR="00AE0598" w:rsidRDefault="0069255A">
          <w:pPr>
            <w:pStyle w:val="Sumrio1"/>
            <w:numPr>
              <w:ilvl w:val="0"/>
              <w:numId w:val="20"/>
            </w:numPr>
            <w:tabs>
              <w:tab w:val="left" w:pos="526"/>
              <w:tab w:val="left" w:pos="527"/>
              <w:tab w:val="right" w:pos="6459"/>
            </w:tabs>
            <w:ind w:hanging="361"/>
          </w:pPr>
          <w:hyperlink w:anchor="_TOC_250009" w:history="1">
            <w:r>
              <w:rPr>
                <w:color w:val="231F20"/>
                <w:w w:val="95"/>
              </w:rPr>
              <w:t>Development</w:t>
            </w:r>
            <w:r>
              <w:rPr>
                <w:color w:val="231F20"/>
                <w:spacing w:val="-10"/>
                <w:w w:val="95"/>
              </w:rPr>
              <w:t xml:space="preserve"> </w:t>
            </w:r>
            <w:r>
              <w:rPr>
                <w:color w:val="231F20"/>
                <w:w w:val="95"/>
              </w:rPr>
              <w:t>Processes</w:t>
            </w:r>
            <w:r>
              <w:rPr>
                <w:color w:val="231F20"/>
                <w:spacing w:val="-9"/>
                <w:w w:val="95"/>
              </w:rPr>
              <w:t xml:space="preserve"> </w:t>
            </w:r>
            <w:r>
              <w:rPr>
                <w:color w:val="231F20"/>
                <w:w w:val="95"/>
              </w:rPr>
              <w:t>and</w:t>
            </w:r>
            <w:r>
              <w:rPr>
                <w:color w:val="231F20"/>
                <w:spacing w:val="-9"/>
                <w:w w:val="95"/>
              </w:rPr>
              <w:t xml:space="preserve"> </w:t>
            </w:r>
            <w:r>
              <w:rPr>
                <w:color w:val="231F20"/>
                <w:spacing w:val="-2"/>
                <w:w w:val="95"/>
              </w:rPr>
              <w:t>Issues</w:t>
            </w:r>
            <w:r>
              <w:rPr>
                <w:color w:val="231F20"/>
              </w:rPr>
              <w:tab/>
            </w:r>
            <w:r>
              <w:rPr>
                <w:color w:val="231F20"/>
                <w:spacing w:val="-5"/>
              </w:rPr>
              <w:t>63</w:t>
            </w:r>
          </w:hyperlink>
        </w:p>
        <w:p w14:paraId="271755BE" w14:textId="77777777" w:rsidR="00AE0598" w:rsidRDefault="0069255A">
          <w:pPr>
            <w:pStyle w:val="Sumrio2"/>
          </w:pPr>
          <w:r>
            <w:rPr>
              <w:color w:val="231F20"/>
              <w:w w:val="90"/>
            </w:rPr>
            <w:t>Part</w:t>
          </w:r>
          <w:r>
            <w:rPr>
              <w:color w:val="231F20"/>
              <w:spacing w:val="-6"/>
              <w:w w:val="90"/>
            </w:rPr>
            <w:t xml:space="preserve"> </w:t>
          </w:r>
          <w:r>
            <w:rPr>
              <w:color w:val="231F20"/>
              <w:w w:val="90"/>
            </w:rPr>
            <w:t>3:</w:t>
          </w:r>
          <w:r>
            <w:rPr>
              <w:color w:val="231F20"/>
              <w:spacing w:val="-6"/>
              <w:w w:val="90"/>
            </w:rPr>
            <w:t xml:space="preserve"> </w:t>
          </w:r>
          <w:r>
            <w:rPr>
              <w:color w:val="231F20"/>
              <w:w w:val="90"/>
            </w:rPr>
            <w:t>Sport</w:t>
          </w:r>
          <w:r>
            <w:rPr>
              <w:color w:val="231F20"/>
              <w:spacing w:val="-6"/>
              <w:w w:val="90"/>
            </w:rPr>
            <w:t xml:space="preserve"> </w:t>
          </w:r>
          <w:r>
            <w:rPr>
              <w:color w:val="231F20"/>
              <w:w w:val="90"/>
            </w:rPr>
            <w:t>Tourism</w:t>
          </w:r>
          <w:r>
            <w:rPr>
              <w:color w:val="231F20"/>
              <w:spacing w:val="-5"/>
              <w:w w:val="90"/>
            </w:rPr>
            <w:t xml:space="preserve"> </w:t>
          </w:r>
          <w:r>
            <w:rPr>
              <w:color w:val="231F20"/>
              <w:w w:val="90"/>
            </w:rPr>
            <w:t>Development</w:t>
          </w:r>
          <w:r>
            <w:rPr>
              <w:color w:val="231F20"/>
              <w:spacing w:val="-6"/>
              <w:w w:val="90"/>
            </w:rPr>
            <w:t xml:space="preserve"> </w:t>
          </w:r>
          <w:r>
            <w:rPr>
              <w:color w:val="231F20"/>
              <w:w w:val="90"/>
            </w:rPr>
            <w:t>and</w:t>
          </w:r>
          <w:r>
            <w:rPr>
              <w:color w:val="231F20"/>
              <w:spacing w:val="-6"/>
              <w:w w:val="90"/>
            </w:rPr>
            <w:t xml:space="preserve"> </w:t>
          </w:r>
          <w:r>
            <w:rPr>
              <w:color w:val="231F20"/>
              <w:spacing w:val="-2"/>
              <w:w w:val="90"/>
            </w:rPr>
            <w:t>Space</w:t>
          </w:r>
        </w:p>
        <w:p w14:paraId="45412EB1" w14:textId="77777777" w:rsidR="00AE0598" w:rsidRDefault="0069255A">
          <w:pPr>
            <w:pStyle w:val="Sumrio1"/>
            <w:numPr>
              <w:ilvl w:val="0"/>
              <w:numId w:val="20"/>
            </w:numPr>
            <w:tabs>
              <w:tab w:val="left" w:pos="526"/>
              <w:tab w:val="left" w:pos="527"/>
              <w:tab w:val="right" w:pos="6459"/>
            </w:tabs>
            <w:spacing w:before="193"/>
            <w:ind w:hanging="361"/>
          </w:pPr>
          <w:hyperlink w:anchor="_TOC_250008" w:history="1">
            <w:r>
              <w:rPr>
                <w:color w:val="231F20"/>
                <w:w w:val="95"/>
              </w:rPr>
              <w:t>Space:</w:t>
            </w:r>
            <w:r>
              <w:rPr>
                <w:color w:val="231F20"/>
                <w:spacing w:val="4"/>
              </w:rPr>
              <w:t xml:space="preserve"> </w:t>
            </w:r>
            <w:r>
              <w:rPr>
                <w:color w:val="231F20"/>
                <w:w w:val="95"/>
              </w:rPr>
              <w:t>Location</w:t>
            </w:r>
            <w:r>
              <w:rPr>
                <w:color w:val="231F20"/>
                <w:spacing w:val="4"/>
              </w:rPr>
              <w:t xml:space="preserve"> </w:t>
            </w:r>
            <w:r>
              <w:rPr>
                <w:color w:val="231F20"/>
                <w:w w:val="95"/>
              </w:rPr>
              <w:t>and</w:t>
            </w:r>
            <w:r>
              <w:rPr>
                <w:color w:val="231F20"/>
                <w:spacing w:val="4"/>
              </w:rPr>
              <w:t xml:space="preserve"> </w:t>
            </w:r>
            <w:r>
              <w:rPr>
                <w:color w:val="231F20"/>
                <w:w w:val="95"/>
              </w:rPr>
              <w:t>Travel</w:t>
            </w:r>
            <w:r>
              <w:rPr>
                <w:color w:val="231F20"/>
                <w:spacing w:val="4"/>
              </w:rPr>
              <w:t xml:space="preserve"> </w:t>
            </w:r>
            <w:r>
              <w:rPr>
                <w:color w:val="231F20"/>
                <w:spacing w:val="-4"/>
                <w:w w:val="95"/>
              </w:rPr>
              <w:t>Flows</w:t>
            </w:r>
            <w:r>
              <w:rPr>
                <w:color w:val="231F20"/>
              </w:rPr>
              <w:tab/>
            </w:r>
            <w:r>
              <w:rPr>
                <w:color w:val="231F20"/>
                <w:spacing w:val="-5"/>
              </w:rPr>
              <w:t>89</w:t>
            </w:r>
          </w:hyperlink>
        </w:p>
        <w:p w14:paraId="70A91FE1" w14:textId="77777777" w:rsidR="00AE0598" w:rsidRDefault="0069255A">
          <w:pPr>
            <w:pStyle w:val="Sumrio1"/>
            <w:numPr>
              <w:ilvl w:val="0"/>
              <w:numId w:val="20"/>
            </w:numPr>
            <w:tabs>
              <w:tab w:val="left" w:pos="526"/>
              <w:tab w:val="left" w:pos="527"/>
              <w:tab w:val="right" w:pos="6459"/>
            </w:tabs>
            <w:ind w:hanging="361"/>
          </w:pPr>
          <w:hyperlink w:anchor="_TOC_250007" w:history="1">
            <w:r>
              <w:rPr>
                <w:color w:val="231F20"/>
                <w:w w:val="95"/>
              </w:rPr>
              <w:t>Place,</w:t>
            </w:r>
            <w:r>
              <w:rPr>
                <w:color w:val="231F20"/>
                <w:spacing w:val="9"/>
              </w:rPr>
              <w:t xml:space="preserve"> </w:t>
            </w:r>
            <w:r>
              <w:rPr>
                <w:color w:val="231F20"/>
                <w:w w:val="95"/>
              </w:rPr>
              <w:t>Sport</w:t>
            </w:r>
            <w:r>
              <w:rPr>
                <w:color w:val="231F20"/>
                <w:spacing w:val="10"/>
              </w:rPr>
              <w:t xml:space="preserve"> </w:t>
            </w:r>
            <w:r>
              <w:rPr>
                <w:color w:val="231F20"/>
                <w:w w:val="95"/>
              </w:rPr>
              <w:t>and</w:t>
            </w:r>
            <w:r>
              <w:rPr>
                <w:color w:val="231F20"/>
                <w:spacing w:val="10"/>
              </w:rPr>
              <w:t xml:space="preserve"> </w:t>
            </w:r>
            <w:r>
              <w:rPr>
                <w:color w:val="231F20"/>
                <w:spacing w:val="-2"/>
                <w:w w:val="95"/>
              </w:rPr>
              <w:t>Culture</w:t>
            </w:r>
            <w:r>
              <w:rPr>
                <w:color w:val="231F20"/>
              </w:rPr>
              <w:tab/>
            </w:r>
            <w:r>
              <w:rPr>
                <w:color w:val="231F20"/>
                <w:spacing w:val="-5"/>
              </w:rPr>
              <w:t>112</w:t>
            </w:r>
          </w:hyperlink>
        </w:p>
        <w:p w14:paraId="2338E3F1" w14:textId="77777777" w:rsidR="00AE0598" w:rsidRDefault="0069255A">
          <w:pPr>
            <w:pStyle w:val="Sumrio1"/>
            <w:numPr>
              <w:ilvl w:val="0"/>
              <w:numId w:val="20"/>
            </w:numPr>
            <w:tabs>
              <w:tab w:val="left" w:pos="526"/>
              <w:tab w:val="left" w:pos="527"/>
              <w:tab w:val="right" w:pos="6459"/>
            </w:tabs>
            <w:ind w:hanging="361"/>
          </w:pPr>
          <w:hyperlink w:anchor="_TOC_250006" w:history="1">
            <w:r>
              <w:rPr>
                <w:color w:val="231F20"/>
                <w:w w:val="95"/>
              </w:rPr>
              <w:t>Environment:</w:t>
            </w:r>
            <w:r>
              <w:rPr>
                <w:color w:val="231F20"/>
                <w:spacing w:val="1"/>
              </w:rPr>
              <w:t xml:space="preserve"> </w:t>
            </w:r>
            <w:r>
              <w:rPr>
                <w:color w:val="231F20"/>
                <w:w w:val="95"/>
              </w:rPr>
              <w:t>Landscape,</w:t>
            </w:r>
            <w:r>
              <w:rPr>
                <w:color w:val="231F20"/>
                <w:spacing w:val="2"/>
              </w:rPr>
              <w:t xml:space="preserve"> </w:t>
            </w:r>
            <w:r>
              <w:rPr>
                <w:color w:val="231F20"/>
                <w:w w:val="95"/>
              </w:rPr>
              <w:t>Resources</w:t>
            </w:r>
            <w:r>
              <w:rPr>
                <w:color w:val="231F20"/>
                <w:spacing w:val="1"/>
              </w:rPr>
              <w:t xml:space="preserve"> </w:t>
            </w:r>
            <w:r>
              <w:rPr>
                <w:color w:val="231F20"/>
                <w:w w:val="95"/>
              </w:rPr>
              <w:t>and</w:t>
            </w:r>
            <w:r>
              <w:rPr>
                <w:color w:val="231F20"/>
                <w:spacing w:val="2"/>
              </w:rPr>
              <w:t xml:space="preserve"> </w:t>
            </w:r>
            <w:r>
              <w:rPr>
                <w:color w:val="231F20"/>
                <w:spacing w:val="-2"/>
                <w:w w:val="95"/>
              </w:rPr>
              <w:t>Impacts</w:t>
            </w:r>
            <w:r>
              <w:rPr>
                <w:color w:val="231F20"/>
              </w:rPr>
              <w:tab/>
            </w:r>
            <w:r>
              <w:rPr>
                <w:color w:val="231F20"/>
                <w:spacing w:val="-5"/>
              </w:rPr>
              <w:t>132</w:t>
            </w:r>
          </w:hyperlink>
        </w:p>
        <w:p w14:paraId="588D48ED" w14:textId="77777777" w:rsidR="00AE0598" w:rsidRDefault="0069255A">
          <w:pPr>
            <w:pStyle w:val="Sumrio2"/>
          </w:pPr>
          <w:r>
            <w:rPr>
              <w:color w:val="231F20"/>
              <w:w w:val="90"/>
            </w:rPr>
            <w:t>Part</w:t>
          </w:r>
          <w:r>
            <w:rPr>
              <w:color w:val="231F20"/>
              <w:spacing w:val="-6"/>
              <w:w w:val="90"/>
            </w:rPr>
            <w:t xml:space="preserve"> </w:t>
          </w:r>
          <w:r>
            <w:rPr>
              <w:color w:val="231F20"/>
              <w:w w:val="90"/>
            </w:rPr>
            <w:t>4:</w:t>
          </w:r>
          <w:r>
            <w:rPr>
              <w:color w:val="231F20"/>
              <w:spacing w:val="-6"/>
              <w:w w:val="90"/>
            </w:rPr>
            <w:t xml:space="preserve"> </w:t>
          </w:r>
          <w:r>
            <w:rPr>
              <w:color w:val="231F20"/>
              <w:w w:val="90"/>
            </w:rPr>
            <w:t>Sport</w:t>
          </w:r>
          <w:r>
            <w:rPr>
              <w:color w:val="231F20"/>
              <w:spacing w:val="-6"/>
              <w:w w:val="90"/>
            </w:rPr>
            <w:t xml:space="preserve"> </w:t>
          </w:r>
          <w:r>
            <w:rPr>
              <w:color w:val="231F20"/>
              <w:w w:val="90"/>
            </w:rPr>
            <w:t>Tourism</w:t>
          </w:r>
          <w:r>
            <w:rPr>
              <w:color w:val="231F20"/>
              <w:spacing w:val="-5"/>
              <w:w w:val="90"/>
            </w:rPr>
            <w:t xml:space="preserve"> </w:t>
          </w:r>
          <w:r>
            <w:rPr>
              <w:color w:val="231F20"/>
              <w:w w:val="90"/>
            </w:rPr>
            <w:t>Development</w:t>
          </w:r>
          <w:r>
            <w:rPr>
              <w:color w:val="231F20"/>
              <w:spacing w:val="-6"/>
              <w:w w:val="90"/>
            </w:rPr>
            <w:t xml:space="preserve"> </w:t>
          </w:r>
          <w:r>
            <w:rPr>
              <w:color w:val="231F20"/>
              <w:w w:val="90"/>
            </w:rPr>
            <w:t>and</w:t>
          </w:r>
          <w:r>
            <w:rPr>
              <w:color w:val="231F20"/>
              <w:spacing w:val="-6"/>
              <w:w w:val="90"/>
            </w:rPr>
            <w:t xml:space="preserve"> </w:t>
          </w:r>
          <w:r>
            <w:rPr>
              <w:color w:val="231F20"/>
              <w:spacing w:val="-4"/>
              <w:w w:val="90"/>
            </w:rPr>
            <w:t>Time</w:t>
          </w:r>
        </w:p>
        <w:p w14:paraId="3F3384AA" w14:textId="77777777" w:rsidR="00AE0598" w:rsidRDefault="0069255A">
          <w:pPr>
            <w:pStyle w:val="Sumrio1"/>
            <w:numPr>
              <w:ilvl w:val="0"/>
              <w:numId w:val="20"/>
            </w:numPr>
            <w:tabs>
              <w:tab w:val="left" w:pos="526"/>
              <w:tab w:val="left" w:pos="527"/>
              <w:tab w:val="right" w:pos="6459"/>
            </w:tabs>
            <w:spacing w:before="194"/>
            <w:ind w:hanging="361"/>
          </w:pPr>
          <w:hyperlink w:anchor="_TOC_250005" w:history="1">
            <w:r>
              <w:rPr>
                <w:color w:val="231F20"/>
                <w:w w:val="95"/>
              </w:rPr>
              <w:t>Sport</w:t>
            </w:r>
            <w:r>
              <w:rPr>
                <w:color w:val="231F20"/>
                <w:spacing w:val="1"/>
              </w:rPr>
              <w:t xml:space="preserve"> </w:t>
            </w:r>
            <w:r>
              <w:rPr>
                <w:color w:val="231F20"/>
                <w:w w:val="95"/>
              </w:rPr>
              <w:t>and</w:t>
            </w:r>
            <w:r>
              <w:rPr>
                <w:color w:val="231F20"/>
                <w:spacing w:val="2"/>
              </w:rPr>
              <w:t xml:space="preserve"> </w:t>
            </w:r>
            <w:r>
              <w:rPr>
                <w:color w:val="231F20"/>
                <w:w w:val="95"/>
              </w:rPr>
              <w:t>the</w:t>
            </w:r>
            <w:r>
              <w:rPr>
                <w:color w:val="231F20"/>
                <w:spacing w:val="2"/>
              </w:rPr>
              <w:t xml:space="preserve"> </w:t>
            </w:r>
            <w:r>
              <w:rPr>
                <w:color w:val="231F20"/>
                <w:w w:val="95"/>
              </w:rPr>
              <w:t>Tourist</w:t>
            </w:r>
            <w:r>
              <w:rPr>
                <w:color w:val="231F20"/>
                <w:spacing w:val="2"/>
              </w:rPr>
              <w:t xml:space="preserve"> </w:t>
            </w:r>
            <w:r>
              <w:rPr>
                <w:color w:val="231F20"/>
                <w:spacing w:val="-2"/>
                <w:w w:val="95"/>
              </w:rPr>
              <w:t>Experience</w:t>
            </w:r>
            <w:r>
              <w:rPr>
                <w:color w:val="231F20"/>
              </w:rPr>
              <w:tab/>
            </w:r>
            <w:r>
              <w:rPr>
                <w:color w:val="231F20"/>
                <w:spacing w:val="-5"/>
              </w:rPr>
              <w:t>155</w:t>
            </w:r>
          </w:hyperlink>
        </w:p>
        <w:p w14:paraId="36753C0F" w14:textId="77777777" w:rsidR="00AE0598" w:rsidRDefault="0069255A">
          <w:pPr>
            <w:pStyle w:val="Sumrio1"/>
            <w:numPr>
              <w:ilvl w:val="0"/>
              <w:numId w:val="20"/>
            </w:numPr>
            <w:tabs>
              <w:tab w:val="left" w:pos="526"/>
              <w:tab w:val="left" w:pos="527"/>
              <w:tab w:val="right" w:pos="6459"/>
            </w:tabs>
            <w:spacing w:before="113"/>
            <w:ind w:hanging="361"/>
          </w:pPr>
          <w:hyperlink w:anchor="_TOC_250004" w:history="1">
            <w:r>
              <w:rPr>
                <w:color w:val="231F20"/>
                <w:w w:val="95"/>
              </w:rPr>
              <w:t>Seasonality,</w:t>
            </w:r>
            <w:r>
              <w:rPr>
                <w:color w:val="231F20"/>
                <w:spacing w:val="-1"/>
              </w:rPr>
              <w:t xml:space="preserve"> </w:t>
            </w:r>
            <w:r>
              <w:rPr>
                <w:color w:val="231F20"/>
                <w:w w:val="95"/>
              </w:rPr>
              <w:t>Sport</w:t>
            </w:r>
            <w:r>
              <w:rPr>
                <w:color w:val="231F20"/>
              </w:rPr>
              <w:t xml:space="preserve"> </w:t>
            </w:r>
            <w:r>
              <w:rPr>
                <w:color w:val="231F20"/>
                <w:w w:val="95"/>
              </w:rPr>
              <w:t>and</w:t>
            </w:r>
            <w:r>
              <w:rPr>
                <w:color w:val="231F20"/>
              </w:rPr>
              <w:t xml:space="preserve"> </w:t>
            </w:r>
            <w:r>
              <w:rPr>
                <w:color w:val="231F20"/>
                <w:spacing w:val="-2"/>
                <w:w w:val="95"/>
              </w:rPr>
              <w:t>Tourism</w:t>
            </w:r>
            <w:r>
              <w:rPr>
                <w:color w:val="231F20"/>
              </w:rPr>
              <w:tab/>
            </w:r>
            <w:r>
              <w:rPr>
                <w:color w:val="231F20"/>
                <w:spacing w:val="-5"/>
              </w:rPr>
              <w:t>179</w:t>
            </w:r>
          </w:hyperlink>
        </w:p>
        <w:p w14:paraId="4A8DDE2B" w14:textId="77777777" w:rsidR="00AE0598" w:rsidRDefault="0069255A">
          <w:pPr>
            <w:pStyle w:val="Sumrio1"/>
            <w:numPr>
              <w:ilvl w:val="0"/>
              <w:numId w:val="20"/>
            </w:numPr>
            <w:tabs>
              <w:tab w:val="left" w:pos="527"/>
              <w:tab w:val="right" w:pos="6459"/>
            </w:tabs>
            <w:ind w:hanging="361"/>
          </w:pPr>
          <w:hyperlink w:anchor="_TOC_250003" w:history="1">
            <w:r>
              <w:rPr>
                <w:color w:val="231F20"/>
                <w:w w:val="95"/>
              </w:rPr>
              <w:t>Evolutionary</w:t>
            </w:r>
            <w:r>
              <w:rPr>
                <w:color w:val="231F20"/>
                <w:spacing w:val="1"/>
              </w:rPr>
              <w:t xml:space="preserve"> </w:t>
            </w:r>
            <w:r>
              <w:rPr>
                <w:color w:val="231F20"/>
                <w:w w:val="95"/>
              </w:rPr>
              <w:t>Trends</w:t>
            </w:r>
            <w:r>
              <w:rPr>
                <w:color w:val="231F20"/>
                <w:spacing w:val="2"/>
              </w:rPr>
              <w:t xml:space="preserve"> </w:t>
            </w:r>
            <w:r>
              <w:rPr>
                <w:color w:val="231F20"/>
                <w:w w:val="95"/>
              </w:rPr>
              <w:t>in</w:t>
            </w:r>
            <w:r>
              <w:rPr>
                <w:color w:val="231F20"/>
                <w:spacing w:val="2"/>
              </w:rPr>
              <w:t xml:space="preserve"> </w:t>
            </w:r>
            <w:r>
              <w:rPr>
                <w:color w:val="231F20"/>
                <w:w w:val="95"/>
              </w:rPr>
              <w:t>Sport</w:t>
            </w:r>
            <w:r>
              <w:rPr>
                <w:color w:val="231F20"/>
                <w:spacing w:val="2"/>
              </w:rPr>
              <w:t xml:space="preserve"> </w:t>
            </w:r>
            <w:r>
              <w:rPr>
                <w:color w:val="231F20"/>
                <w:spacing w:val="-2"/>
                <w:w w:val="95"/>
              </w:rPr>
              <w:t>Tourism</w:t>
            </w:r>
            <w:r>
              <w:rPr>
                <w:color w:val="231F20"/>
              </w:rPr>
              <w:tab/>
            </w:r>
            <w:r>
              <w:rPr>
                <w:color w:val="231F20"/>
                <w:spacing w:val="-5"/>
              </w:rPr>
              <w:t>199</w:t>
            </w:r>
          </w:hyperlink>
        </w:p>
        <w:p w14:paraId="3F9105D7" w14:textId="77777777" w:rsidR="00AE0598" w:rsidRDefault="0069255A">
          <w:pPr>
            <w:pStyle w:val="Sumrio2"/>
          </w:pPr>
          <w:hyperlink w:anchor="_TOC_250002" w:history="1">
            <w:r>
              <w:rPr>
                <w:color w:val="231F20"/>
                <w:w w:val="90"/>
              </w:rPr>
              <w:t>Part</w:t>
            </w:r>
            <w:r>
              <w:rPr>
                <w:color w:val="231F20"/>
                <w:spacing w:val="-7"/>
                <w:w w:val="90"/>
              </w:rPr>
              <w:t xml:space="preserve"> </w:t>
            </w:r>
            <w:r>
              <w:rPr>
                <w:color w:val="231F20"/>
                <w:w w:val="90"/>
              </w:rPr>
              <w:t>5:</w:t>
            </w:r>
            <w:r>
              <w:rPr>
                <w:color w:val="231F20"/>
                <w:spacing w:val="-6"/>
                <w:w w:val="90"/>
              </w:rPr>
              <w:t xml:space="preserve"> </w:t>
            </w:r>
            <w:r>
              <w:rPr>
                <w:color w:val="231F20"/>
                <w:spacing w:val="-2"/>
                <w:w w:val="90"/>
              </w:rPr>
              <w:t>Conclusions</w:t>
            </w:r>
          </w:hyperlink>
        </w:p>
        <w:p w14:paraId="3999EA5D" w14:textId="77777777" w:rsidR="00AE0598" w:rsidRDefault="0069255A">
          <w:pPr>
            <w:pStyle w:val="Sumrio1"/>
            <w:numPr>
              <w:ilvl w:val="0"/>
              <w:numId w:val="20"/>
            </w:numPr>
            <w:tabs>
              <w:tab w:val="left" w:pos="527"/>
            </w:tabs>
            <w:spacing w:before="194" w:line="243" w:lineRule="exact"/>
            <w:ind w:hanging="361"/>
          </w:pPr>
          <w:r>
            <w:rPr>
              <w:color w:val="231F20"/>
              <w:spacing w:val="-2"/>
            </w:rPr>
            <w:t>Shifting</w:t>
          </w:r>
          <w:r>
            <w:rPr>
              <w:color w:val="231F20"/>
              <w:spacing w:val="-7"/>
            </w:rPr>
            <w:t xml:space="preserve"> </w:t>
          </w:r>
          <w:r>
            <w:rPr>
              <w:color w:val="231F20"/>
              <w:spacing w:val="-2"/>
            </w:rPr>
            <w:t>Goal</w:t>
          </w:r>
          <w:r>
            <w:rPr>
              <w:color w:val="231F20"/>
              <w:spacing w:val="-6"/>
            </w:rPr>
            <w:t xml:space="preserve"> </w:t>
          </w:r>
          <w:r>
            <w:rPr>
              <w:color w:val="231F20"/>
              <w:spacing w:val="-2"/>
            </w:rPr>
            <w:t>Posts</w:t>
          </w:r>
          <w:r>
            <w:rPr>
              <w:color w:val="231F20"/>
              <w:spacing w:val="-6"/>
            </w:rPr>
            <w:t xml:space="preserve"> </w:t>
          </w:r>
          <w:r>
            <w:rPr>
              <w:color w:val="231F20"/>
              <w:spacing w:val="-2"/>
            </w:rPr>
            <w:t>and</w:t>
          </w:r>
          <w:r>
            <w:rPr>
              <w:color w:val="231F20"/>
              <w:spacing w:val="-7"/>
            </w:rPr>
            <w:t xml:space="preserve"> </w:t>
          </w:r>
          <w:r>
            <w:rPr>
              <w:color w:val="231F20"/>
              <w:spacing w:val="-2"/>
            </w:rPr>
            <w:t>Moving</w:t>
          </w:r>
          <w:r>
            <w:rPr>
              <w:color w:val="231F20"/>
              <w:spacing w:val="-6"/>
            </w:rPr>
            <w:t xml:space="preserve"> </w:t>
          </w:r>
          <w:r>
            <w:rPr>
              <w:color w:val="231F20"/>
              <w:spacing w:val="-2"/>
            </w:rPr>
            <w:t>Targets:</w:t>
          </w:r>
          <w:r>
            <w:rPr>
              <w:color w:val="231F20"/>
              <w:spacing w:val="-6"/>
            </w:rPr>
            <w:t xml:space="preserve"> </w:t>
          </w:r>
          <w:r>
            <w:rPr>
              <w:color w:val="231F20"/>
              <w:spacing w:val="-2"/>
            </w:rPr>
            <w:t>The</w:t>
          </w:r>
          <w:r>
            <w:rPr>
              <w:color w:val="231F20"/>
              <w:spacing w:val="-7"/>
            </w:rPr>
            <w:t xml:space="preserve"> </w:t>
          </w:r>
          <w:r>
            <w:rPr>
              <w:color w:val="231F20"/>
              <w:spacing w:val="-2"/>
            </w:rPr>
            <w:t>Ever-Evolving</w:t>
          </w:r>
        </w:p>
        <w:p w14:paraId="60C0C2C8" w14:textId="77777777" w:rsidR="00AE0598" w:rsidRDefault="0069255A">
          <w:pPr>
            <w:pStyle w:val="Sumrio3"/>
            <w:tabs>
              <w:tab w:val="right" w:pos="6459"/>
            </w:tabs>
          </w:pPr>
          <w:r>
            <w:rPr>
              <w:color w:val="231F20"/>
              <w:spacing w:val="-2"/>
            </w:rPr>
            <w:t>Worlds</w:t>
          </w:r>
          <w:r>
            <w:rPr>
              <w:color w:val="231F20"/>
              <w:spacing w:val="-7"/>
            </w:rPr>
            <w:t xml:space="preserve"> </w:t>
          </w:r>
          <w:r>
            <w:rPr>
              <w:color w:val="231F20"/>
              <w:spacing w:val="-2"/>
            </w:rPr>
            <w:t>of</w:t>
          </w:r>
          <w:r>
            <w:rPr>
              <w:color w:val="231F20"/>
              <w:spacing w:val="5"/>
            </w:rPr>
            <w:t xml:space="preserve"> </w:t>
          </w:r>
          <w:r>
            <w:rPr>
              <w:color w:val="231F20"/>
              <w:spacing w:val="-2"/>
            </w:rPr>
            <w:t>Sport</w:t>
          </w:r>
          <w:r>
            <w:rPr>
              <w:color w:val="231F20"/>
              <w:spacing w:val="-6"/>
            </w:rPr>
            <w:t xml:space="preserve"> </w:t>
          </w:r>
          <w:r>
            <w:rPr>
              <w:color w:val="231F20"/>
              <w:spacing w:val="-2"/>
            </w:rPr>
            <w:t>and</w:t>
          </w:r>
          <w:r>
            <w:rPr>
              <w:color w:val="231F20"/>
              <w:spacing w:val="-7"/>
            </w:rPr>
            <w:t xml:space="preserve"> </w:t>
          </w:r>
          <w:r>
            <w:rPr>
              <w:color w:val="231F20"/>
              <w:spacing w:val="-2"/>
            </w:rPr>
            <w:t>Tourism</w:t>
          </w:r>
          <w:r>
            <w:rPr>
              <w:color w:val="231F20"/>
            </w:rPr>
            <w:tab/>
          </w:r>
          <w:r>
            <w:rPr>
              <w:color w:val="231F20"/>
              <w:spacing w:val="-5"/>
            </w:rPr>
            <w:t>227</w:t>
          </w:r>
        </w:p>
        <w:p w14:paraId="5DFD5A0E" w14:textId="77777777" w:rsidR="00AE0598" w:rsidRDefault="0069255A">
          <w:pPr>
            <w:pStyle w:val="Sumrio1"/>
            <w:tabs>
              <w:tab w:val="right" w:pos="6459"/>
            </w:tabs>
            <w:ind w:left="166" w:firstLine="0"/>
          </w:pPr>
          <w:hyperlink w:anchor="_TOC_250001" w:history="1">
            <w:r>
              <w:rPr>
                <w:color w:val="231F20"/>
                <w:spacing w:val="-2"/>
              </w:rPr>
              <w:t>References</w:t>
            </w:r>
            <w:r>
              <w:rPr>
                <w:color w:val="231F20"/>
              </w:rPr>
              <w:tab/>
            </w:r>
            <w:r>
              <w:rPr>
                <w:color w:val="231F20"/>
                <w:spacing w:val="-5"/>
              </w:rPr>
              <w:t>238</w:t>
            </w:r>
          </w:hyperlink>
        </w:p>
        <w:p w14:paraId="5B74BE66" w14:textId="77777777" w:rsidR="00AE0598" w:rsidRDefault="0069255A">
          <w:pPr>
            <w:pStyle w:val="Sumrio1"/>
            <w:tabs>
              <w:tab w:val="right" w:pos="6459"/>
            </w:tabs>
            <w:spacing w:before="113"/>
            <w:ind w:left="166" w:firstLine="0"/>
          </w:pPr>
          <w:hyperlink w:anchor="_TOC_250000" w:history="1">
            <w:r>
              <w:rPr>
                <w:color w:val="231F20"/>
                <w:spacing w:val="-2"/>
              </w:rPr>
              <w:t>Index</w:t>
            </w:r>
            <w:r>
              <w:rPr>
                <w:color w:val="231F20"/>
              </w:rPr>
              <w:tab/>
            </w:r>
            <w:r>
              <w:rPr>
                <w:color w:val="231F20"/>
                <w:spacing w:val="-5"/>
              </w:rPr>
              <w:t>281</w:t>
            </w:r>
          </w:hyperlink>
        </w:p>
      </w:sdtContent>
    </w:sdt>
    <w:p w14:paraId="28B93DCD" w14:textId="77777777" w:rsidR="00AE0598" w:rsidRDefault="0069255A">
      <w:pPr>
        <w:spacing w:before="257"/>
        <w:ind w:right="54"/>
        <w:jc w:val="center"/>
        <w:rPr>
          <w:rFonts w:ascii="Trebuchet MS"/>
          <w:sz w:val="14"/>
        </w:rPr>
      </w:pPr>
      <w:r>
        <w:rPr>
          <w:rFonts w:ascii="Trebuchet MS"/>
          <w:color w:val="231F20"/>
          <w:w w:val="102"/>
          <w:sz w:val="14"/>
        </w:rPr>
        <w:t>v</w:t>
      </w:r>
    </w:p>
    <w:p w14:paraId="6584A6C8" w14:textId="77777777" w:rsidR="00AE0598" w:rsidRDefault="00AE0598">
      <w:pPr>
        <w:jc w:val="center"/>
        <w:rPr>
          <w:rFonts w:ascii="Trebuchet MS"/>
          <w:sz w:val="14"/>
        </w:rPr>
        <w:sectPr w:rsidR="00AE0598">
          <w:pgSz w:w="8850" w:h="13270"/>
          <w:pgMar w:top="1080" w:right="1080" w:bottom="280" w:left="1080" w:header="720" w:footer="720" w:gutter="0"/>
          <w:cols w:space="720"/>
        </w:sectPr>
      </w:pPr>
    </w:p>
    <w:p w14:paraId="2CFF212C" w14:textId="77777777" w:rsidR="00AE0598" w:rsidRDefault="00AE0598">
      <w:pPr>
        <w:pStyle w:val="Corpodetexto"/>
        <w:spacing w:before="2"/>
        <w:rPr>
          <w:rFonts w:ascii="Trebuchet MS"/>
          <w:sz w:val="17"/>
        </w:rPr>
      </w:pPr>
    </w:p>
    <w:p w14:paraId="52A858A5" w14:textId="77777777" w:rsidR="00AE0598" w:rsidRDefault="00AE0598">
      <w:pPr>
        <w:rPr>
          <w:rFonts w:ascii="Trebuchet MS"/>
          <w:sz w:val="17"/>
        </w:rPr>
        <w:sectPr w:rsidR="00AE0598">
          <w:pgSz w:w="8850" w:h="13270"/>
          <w:pgMar w:top="1240" w:right="1080" w:bottom="280" w:left="1080" w:header="720" w:footer="720" w:gutter="0"/>
          <w:cols w:space="720"/>
        </w:sectPr>
      </w:pPr>
    </w:p>
    <w:p w14:paraId="1F5D8C9B" w14:textId="77777777" w:rsidR="00AE0598" w:rsidRDefault="0069255A">
      <w:pPr>
        <w:pStyle w:val="Ttulo1"/>
        <w:spacing w:before="74"/>
        <w:ind w:left="166"/>
      </w:pPr>
      <w:bookmarkStart w:id="1" w:name="_TOC_250016"/>
      <w:r>
        <w:rPr>
          <w:color w:val="231F20"/>
          <w:w w:val="105"/>
        </w:rPr>
        <w:lastRenderedPageBreak/>
        <w:t>Figures</w:t>
      </w:r>
      <w:r>
        <w:rPr>
          <w:color w:val="231F20"/>
          <w:spacing w:val="-36"/>
          <w:w w:val="105"/>
        </w:rPr>
        <w:t xml:space="preserve"> </w:t>
      </w:r>
      <w:r>
        <w:rPr>
          <w:color w:val="231F20"/>
          <w:w w:val="105"/>
        </w:rPr>
        <w:t>and</w:t>
      </w:r>
      <w:r>
        <w:rPr>
          <w:color w:val="231F20"/>
          <w:spacing w:val="-35"/>
          <w:w w:val="105"/>
        </w:rPr>
        <w:t xml:space="preserve"> </w:t>
      </w:r>
      <w:bookmarkEnd w:id="1"/>
      <w:r>
        <w:rPr>
          <w:color w:val="231F20"/>
          <w:spacing w:val="-2"/>
          <w:w w:val="105"/>
        </w:rPr>
        <w:t>Tables</w:t>
      </w:r>
    </w:p>
    <w:p w14:paraId="62E7E7E7" w14:textId="77777777" w:rsidR="00AE0598" w:rsidRDefault="00AE0598">
      <w:pPr>
        <w:pStyle w:val="Corpodetexto"/>
        <w:rPr>
          <w:rFonts w:ascii="Trebuchet MS"/>
          <w:sz w:val="20"/>
        </w:rPr>
      </w:pPr>
    </w:p>
    <w:p w14:paraId="75B881B3" w14:textId="77777777" w:rsidR="00AE0598" w:rsidRDefault="00AE0598">
      <w:pPr>
        <w:pStyle w:val="Corpodetexto"/>
        <w:rPr>
          <w:rFonts w:ascii="Trebuchet MS"/>
          <w:sz w:val="20"/>
        </w:rPr>
      </w:pPr>
    </w:p>
    <w:p w14:paraId="4254A8BD" w14:textId="77777777" w:rsidR="00AE0598" w:rsidRDefault="00AE0598">
      <w:pPr>
        <w:pStyle w:val="Corpodetexto"/>
        <w:rPr>
          <w:rFonts w:ascii="Trebuchet MS"/>
          <w:sz w:val="20"/>
        </w:rPr>
      </w:pPr>
    </w:p>
    <w:p w14:paraId="44DA261D" w14:textId="77777777" w:rsidR="00AE0598" w:rsidRDefault="00AE0598">
      <w:pPr>
        <w:pStyle w:val="Corpodetexto"/>
        <w:rPr>
          <w:rFonts w:ascii="Trebuchet MS"/>
          <w:sz w:val="20"/>
        </w:rPr>
      </w:pPr>
    </w:p>
    <w:p w14:paraId="7FF4FD00" w14:textId="77777777" w:rsidR="00AE0598" w:rsidRDefault="00AE0598">
      <w:pPr>
        <w:pStyle w:val="Corpodetexto"/>
        <w:rPr>
          <w:rFonts w:ascii="Trebuchet MS"/>
          <w:sz w:val="20"/>
        </w:rPr>
      </w:pPr>
    </w:p>
    <w:p w14:paraId="749ADA5D" w14:textId="77777777" w:rsidR="00AE0598" w:rsidRDefault="00AE0598">
      <w:pPr>
        <w:pStyle w:val="Corpodetexto"/>
        <w:rPr>
          <w:rFonts w:ascii="Trebuchet MS"/>
          <w:sz w:val="20"/>
        </w:rPr>
      </w:pPr>
    </w:p>
    <w:p w14:paraId="73B81B3E" w14:textId="77777777" w:rsidR="00AE0598" w:rsidRDefault="00AE0598">
      <w:pPr>
        <w:pStyle w:val="Corpodetexto"/>
        <w:rPr>
          <w:rFonts w:ascii="Trebuchet MS"/>
          <w:sz w:val="20"/>
        </w:rPr>
      </w:pPr>
    </w:p>
    <w:p w14:paraId="78FA044B" w14:textId="77777777" w:rsidR="00AE0598" w:rsidRDefault="00AE0598">
      <w:pPr>
        <w:pStyle w:val="Corpodetexto"/>
        <w:spacing w:before="8"/>
        <w:rPr>
          <w:rFonts w:ascii="Trebuchet MS"/>
        </w:rPr>
      </w:pPr>
    </w:p>
    <w:tbl>
      <w:tblPr>
        <w:tblStyle w:val="TableNormal"/>
        <w:tblW w:w="0" w:type="auto"/>
        <w:tblInd w:w="124" w:type="dxa"/>
        <w:tblLayout w:type="fixed"/>
        <w:tblLook w:val="01E0" w:firstRow="1" w:lastRow="1" w:firstColumn="1" w:lastColumn="1" w:noHBand="0" w:noVBand="0"/>
      </w:tblPr>
      <w:tblGrid>
        <w:gridCol w:w="1066"/>
        <w:gridCol w:w="4881"/>
        <w:gridCol w:w="445"/>
      </w:tblGrid>
      <w:tr w:rsidR="00AE0598" w14:paraId="12FF441D" w14:textId="77777777">
        <w:trPr>
          <w:trHeight w:val="243"/>
        </w:trPr>
        <w:tc>
          <w:tcPr>
            <w:tcW w:w="1066" w:type="dxa"/>
          </w:tcPr>
          <w:p w14:paraId="2A83AB4E" w14:textId="77777777" w:rsidR="00AE0598" w:rsidRDefault="0069255A">
            <w:pPr>
              <w:pStyle w:val="TableParagraph"/>
              <w:spacing w:line="224" w:lineRule="exact"/>
              <w:ind w:left="50"/>
              <w:rPr>
                <w:rFonts w:ascii="Cambria"/>
                <w:sz w:val="21"/>
              </w:rPr>
            </w:pPr>
            <w:r>
              <w:rPr>
                <w:rFonts w:ascii="Cambria"/>
                <w:color w:val="231F20"/>
                <w:spacing w:val="-5"/>
                <w:sz w:val="21"/>
              </w:rPr>
              <w:t>Table</w:t>
            </w:r>
            <w:r>
              <w:rPr>
                <w:rFonts w:ascii="Cambria"/>
                <w:color w:val="231F20"/>
                <w:spacing w:val="-2"/>
                <w:sz w:val="21"/>
              </w:rPr>
              <w:t xml:space="preserve"> </w:t>
            </w:r>
            <w:r>
              <w:rPr>
                <w:rFonts w:ascii="Cambria"/>
                <w:color w:val="231F20"/>
                <w:spacing w:val="-5"/>
                <w:sz w:val="21"/>
              </w:rPr>
              <w:t>1.1</w:t>
            </w:r>
          </w:p>
        </w:tc>
        <w:tc>
          <w:tcPr>
            <w:tcW w:w="4881" w:type="dxa"/>
          </w:tcPr>
          <w:p w14:paraId="184FA522" w14:textId="77777777" w:rsidR="00AE0598" w:rsidRDefault="0069255A">
            <w:pPr>
              <w:pStyle w:val="TableParagraph"/>
              <w:spacing w:line="224" w:lineRule="exact"/>
              <w:ind w:left="164"/>
              <w:rPr>
                <w:rFonts w:ascii="Cambria"/>
                <w:sz w:val="21"/>
              </w:rPr>
            </w:pPr>
            <w:r>
              <w:rPr>
                <w:rFonts w:ascii="Cambria"/>
                <w:color w:val="231F20"/>
                <w:w w:val="95"/>
                <w:sz w:val="21"/>
              </w:rPr>
              <w:t>Contemporary</w:t>
            </w:r>
            <w:r>
              <w:rPr>
                <w:rFonts w:ascii="Cambria"/>
                <w:color w:val="231F20"/>
                <w:spacing w:val="1"/>
                <w:sz w:val="21"/>
              </w:rPr>
              <w:t xml:space="preserve"> </w:t>
            </w:r>
            <w:r>
              <w:rPr>
                <w:rFonts w:ascii="Cambria"/>
                <w:color w:val="231F20"/>
                <w:w w:val="95"/>
                <w:sz w:val="21"/>
              </w:rPr>
              <w:t>trends</w:t>
            </w:r>
            <w:r>
              <w:rPr>
                <w:rFonts w:ascii="Cambria"/>
                <w:color w:val="231F20"/>
                <w:spacing w:val="2"/>
                <w:sz w:val="21"/>
              </w:rPr>
              <w:t xml:space="preserve"> </w:t>
            </w:r>
            <w:r>
              <w:rPr>
                <w:rFonts w:ascii="Cambria"/>
                <w:color w:val="231F20"/>
                <w:w w:val="95"/>
                <w:sz w:val="21"/>
              </w:rPr>
              <w:t>in</w:t>
            </w:r>
            <w:r>
              <w:rPr>
                <w:rFonts w:ascii="Cambria"/>
                <w:color w:val="231F20"/>
                <w:spacing w:val="1"/>
                <w:sz w:val="21"/>
              </w:rPr>
              <w:t xml:space="preserve"> </w:t>
            </w:r>
            <w:r>
              <w:rPr>
                <w:rFonts w:ascii="Cambria"/>
                <w:color w:val="231F20"/>
                <w:w w:val="95"/>
                <w:sz w:val="21"/>
              </w:rPr>
              <w:t>sports</w:t>
            </w:r>
            <w:r>
              <w:rPr>
                <w:rFonts w:ascii="Cambria"/>
                <w:color w:val="231F20"/>
                <w:spacing w:val="2"/>
                <w:sz w:val="21"/>
              </w:rPr>
              <w:t xml:space="preserve"> </w:t>
            </w:r>
            <w:r>
              <w:rPr>
                <w:rFonts w:ascii="Cambria"/>
                <w:color w:val="231F20"/>
                <w:spacing w:val="-2"/>
                <w:w w:val="95"/>
                <w:sz w:val="21"/>
              </w:rPr>
              <w:t>participation</w:t>
            </w:r>
          </w:p>
        </w:tc>
        <w:tc>
          <w:tcPr>
            <w:tcW w:w="445" w:type="dxa"/>
          </w:tcPr>
          <w:p w14:paraId="427EBC01" w14:textId="77777777" w:rsidR="00AE0598" w:rsidRDefault="00AE0598">
            <w:pPr>
              <w:pStyle w:val="TableParagraph"/>
              <w:rPr>
                <w:rFonts w:ascii="Times New Roman"/>
                <w:sz w:val="16"/>
              </w:rPr>
            </w:pPr>
          </w:p>
        </w:tc>
      </w:tr>
      <w:tr w:rsidR="00AE0598" w14:paraId="0F0F954D" w14:textId="77777777">
        <w:trPr>
          <w:trHeight w:val="240"/>
        </w:trPr>
        <w:tc>
          <w:tcPr>
            <w:tcW w:w="1066" w:type="dxa"/>
          </w:tcPr>
          <w:p w14:paraId="65E4C687" w14:textId="77777777" w:rsidR="00AE0598" w:rsidRDefault="00AE0598">
            <w:pPr>
              <w:pStyle w:val="TableParagraph"/>
              <w:rPr>
                <w:rFonts w:ascii="Times New Roman"/>
                <w:sz w:val="16"/>
              </w:rPr>
            </w:pPr>
          </w:p>
        </w:tc>
        <w:tc>
          <w:tcPr>
            <w:tcW w:w="4881" w:type="dxa"/>
          </w:tcPr>
          <w:p w14:paraId="14A11983" w14:textId="77777777" w:rsidR="00AE0598" w:rsidRDefault="0069255A">
            <w:pPr>
              <w:pStyle w:val="TableParagraph"/>
              <w:spacing w:line="220" w:lineRule="exact"/>
              <w:ind w:left="163"/>
              <w:rPr>
                <w:rFonts w:ascii="Cambria"/>
                <w:sz w:val="21"/>
              </w:rPr>
            </w:pPr>
            <w:r>
              <w:rPr>
                <w:rFonts w:ascii="Cambria"/>
                <w:color w:val="231F20"/>
                <w:w w:val="95"/>
                <w:sz w:val="21"/>
              </w:rPr>
              <w:t>and</w:t>
            </w:r>
            <w:r>
              <w:rPr>
                <w:rFonts w:ascii="Cambria"/>
                <w:color w:val="231F20"/>
                <w:spacing w:val="5"/>
                <w:sz w:val="21"/>
              </w:rPr>
              <w:t xml:space="preserve"> </w:t>
            </w:r>
            <w:r>
              <w:rPr>
                <w:rFonts w:ascii="Cambria"/>
                <w:color w:val="231F20"/>
                <w:w w:val="95"/>
                <w:sz w:val="21"/>
              </w:rPr>
              <w:t>tourism</w:t>
            </w:r>
            <w:r>
              <w:rPr>
                <w:rFonts w:ascii="Cambria"/>
                <w:color w:val="231F20"/>
                <w:spacing w:val="6"/>
                <w:sz w:val="21"/>
              </w:rPr>
              <w:t xml:space="preserve"> </w:t>
            </w:r>
            <w:r>
              <w:rPr>
                <w:rFonts w:ascii="Cambria"/>
                <w:color w:val="231F20"/>
                <w:spacing w:val="-2"/>
                <w:w w:val="95"/>
                <w:sz w:val="21"/>
              </w:rPr>
              <w:t>development</w:t>
            </w:r>
          </w:p>
        </w:tc>
        <w:tc>
          <w:tcPr>
            <w:tcW w:w="445" w:type="dxa"/>
          </w:tcPr>
          <w:p w14:paraId="035C82B9" w14:textId="77777777" w:rsidR="00AE0598" w:rsidRDefault="0069255A">
            <w:pPr>
              <w:pStyle w:val="TableParagraph"/>
              <w:spacing w:line="220" w:lineRule="exact"/>
              <w:ind w:right="47"/>
              <w:jc w:val="right"/>
              <w:rPr>
                <w:rFonts w:ascii="Cambria"/>
                <w:sz w:val="21"/>
              </w:rPr>
            </w:pPr>
            <w:r>
              <w:rPr>
                <w:rFonts w:ascii="Cambria"/>
                <w:color w:val="231F20"/>
                <w:w w:val="86"/>
                <w:sz w:val="21"/>
              </w:rPr>
              <w:t>6</w:t>
            </w:r>
          </w:p>
        </w:tc>
      </w:tr>
      <w:tr w:rsidR="00AE0598" w14:paraId="4BC89EF6" w14:textId="77777777">
        <w:trPr>
          <w:trHeight w:val="240"/>
        </w:trPr>
        <w:tc>
          <w:tcPr>
            <w:tcW w:w="1066" w:type="dxa"/>
          </w:tcPr>
          <w:p w14:paraId="63DF773F" w14:textId="77777777" w:rsidR="00AE0598" w:rsidRDefault="0069255A">
            <w:pPr>
              <w:pStyle w:val="TableParagraph"/>
              <w:spacing w:line="220" w:lineRule="exact"/>
              <w:ind w:left="50"/>
              <w:rPr>
                <w:rFonts w:ascii="Cambria"/>
                <w:sz w:val="21"/>
              </w:rPr>
            </w:pPr>
            <w:r>
              <w:rPr>
                <w:rFonts w:ascii="Cambria"/>
                <w:color w:val="231F20"/>
                <w:w w:val="95"/>
                <w:sz w:val="21"/>
              </w:rPr>
              <w:t>Figure</w:t>
            </w:r>
            <w:r>
              <w:rPr>
                <w:rFonts w:ascii="Cambria"/>
                <w:color w:val="231F20"/>
                <w:spacing w:val="-3"/>
                <w:w w:val="95"/>
                <w:sz w:val="21"/>
              </w:rPr>
              <w:t xml:space="preserve"> </w:t>
            </w:r>
            <w:r>
              <w:rPr>
                <w:rFonts w:ascii="Cambria"/>
                <w:color w:val="231F20"/>
                <w:spacing w:val="-5"/>
                <w:sz w:val="21"/>
              </w:rPr>
              <w:t>1.1</w:t>
            </w:r>
          </w:p>
        </w:tc>
        <w:tc>
          <w:tcPr>
            <w:tcW w:w="4881" w:type="dxa"/>
          </w:tcPr>
          <w:p w14:paraId="0EEEA8A5" w14:textId="77777777" w:rsidR="00AE0598" w:rsidRDefault="0069255A">
            <w:pPr>
              <w:pStyle w:val="TableParagraph"/>
              <w:spacing w:line="220" w:lineRule="exact"/>
              <w:ind w:left="163"/>
              <w:rPr>
                <w:rFonts w:ascii="Cambria" w:hAnsi="Cambria"/>
                <w:sz w:val="21"/>
              </w:rPr>
            </w:pPr>
            <w:r>
              <w:rPr>
                <w:rFonts w:ascii="Cambria" w:hAnsi="Cambria"/>
                <w:color w:val="231F20"/>
                <w:w w:val="95"/>
                <w:sz w:val="21"/>
              </w:rPr>
              <w:t>Conceptual</w:t>
            </w:r>
            <w:r>
              <w:rPr>
                <w:rFonts w:ascii="Cambria" w:hAnsi="Cambria"/>
                <w:color w:val="231F20"/>
                <w:spacing w:val="7"/>
                <w:sz w:val="21"/>
              </w:rPr>
              <w:t xml:space="preserve"> </w:t>
            </w:r>
            <w:r>
              <w:rPr>
                <w:rFonts w:ascii="Cambria" w:hAnsi="Cambria"/>
                <w:color w:val="231F20"/>
                <w:w w:val="95"/>
                <w:sz w:val="21"/>
              </w:rPr>
              <w:t>framework</w:t>
            </w:r>
            <w:r>
              <w:rPr>
                <w:rFonts w:ascii="Cambria" w:hAnsi="Cambria"/>
                <w:color w:val="231F20"/>
                <w:spacing w:val="8"/>
                <w:sz w:val="21"/>
              </w:rPr>
              <w:t xml:space="preserve"> </w:t>
            </w:r>
            <w:r>
              <w:rPr>
                <w:rFonts w:ascii="Cambria" w:hAnsi="Cambria"/>
                <w:color w:val="231F20"/>
                <w:w w:val="95"/>
                <w:sz w:val="21"/>
              </w:rPr>
              <w:t>providing</w:t>
            </w:r>
            <w:r>
              <w:rPr>
                <w:rFonts w:ascii="Cambria" w:hAnsi="Cambria"/>
                <w:color w:val="231F20"/>
                <w:spacing w:val="7"/>
                <w:sz w:val="21"/>
              </w:rPr>
              <w:t xml:space="preserve"> </w:t>
            </w:r>
            <w:r>
              <w:rPr>
                <w:rFonts w:ascii="Cambria" w:hAnsi="Cambria"/>
                <w:color w:val="231F20"/>
                <w:w w:val="95"/>
                <w:sz w:val="21"/>
              </w:rPr>
              <w:t>the</w:t>
            </w:r>
            <w:r>
              <w:rPr>
                <w:rFonts w:ascii="Cambria" w:hAnsi="Cambria"/>
                <w:color w:val="231F20"/>
                <w:spacing w:val="8"/>
                <w:sz w:val="21"/>
              </w:rPr>
              <w:t xml:space="preserve"> </w:t>
            </w:r>
            <w:r>
              <w:rPr>
                <w:rFonts w:ascii="Cambria" w:hAnsi="Cambria"/>
                <w:color w:val="231F20"/>
                <w:w w:val="95"/>
                <w:sz w:val="21"/>
              </w:rPr>
              <w:t>book’s</w:t>
            </w:r>
            <w:r>
              <w:rPr>
                <w:rFonts w:ascii="Cambria" w:hAnsi="Cambria"/>
                <w:color w:val="231F20"/>
                <w:spacing w:val="7"/>
                <w:sz w:val="21"/>
              </w:rPr>
              <w:t xml:space="preserve"> </w:t>
            </w:r>
            <w:r>
              <w:rPr>
                <w:rFonts w:ascii="Cambria" w:hAnsi="Cambria"/>
                <w:color w:val="231F20"/>
                <w:spacing w:val="-2"/>
                <w:w w:val="95"/>
                <w:sz w:val="21"/>
              </w:rPr>
              <w:t>structure</w:t>
            </w:r>
          </w:p>
        </w:tc>
        <w:tc>
          <w:tcPr>
            <w:tcW w:w="445" w:type="dxa"/>
          </w:tcPr>
          <w:p w14:paraId="74C885F9" w14:textId="77777777" w:rsidR="00AE0598" w:rsidRDefault="0069255A">
            <w:pPr>
              <w:pStyle w:val="TableParagraph"/>
              <w:spacing w:line="220" w:lineRule="exact"/>
              <w:ind w:right="47"/>
              <w:jc w:val="right"/>
              <w:rPr>
                <w:rFonts w:ascii="Cambria"/>
                <w:sz w:val="21"/>
              </w:rPr>
            </w:pPr>
            <w:r>
              <w:rPr>
                <w:rFonts w:ascii="Cambria"/>
                <w:color w:val="231F20"/>
                <w:spacing w:val="-5"/>
                <w:w w:val="95"/>
                <w:sz w:val="21"/>
              </w:rPr>
              <w:t>15</w:t>
            </w:r>
          </w:p>
        </w:tc>
      </w:tr>
      <w:tr w:rsidR="00AE0598" w14:paraId="2E794F97" w14:textId="77777777">
        <w:trPr>
          <w:trHeight w:val="240"/>
        </w:trPr>
        <w:tc>
          <w:tcPr>
            <w:tcW w:w="1066" w:type="dxa"/>
          </w:tcPr>
          <w:p w14:paraId="6A8726CB" w14:textId="77777777" w:rsidR="00AE0598" w:rsidRDefault="0069255A">
            <w:pPr>
              <w:pStyle w:val="TableParagraph"/>
              <w:spacing w:line="220" w:lineRule="exact"/>
              <w:ind w:left="50"/>
              <w:rPr>
                <w:rFonts w:ascii="Cambria"/>
                <w:sz w:val="21"/>
              </w:rPr>
            </w:pPr>
            <w:r>
              <w:rPr>
                <w:rFonts w:ascii="Cambria"/>
                <w:color w:val="231F20"/>
                <w:w w:val="95"/>
                <w:sz w:val="21"/>
              </w:rPr>
              <w:t>Figure</w:t>
            </w:r>
            <w:r>
              <w:rPr>
                <w:rFonts w:ascii="Cambria"/>
                <w:color w:val="231F20"/>
                <w:spacing w:val="-3"/>
                <w:w w:val="95"/>
                <w:sz w:val="21"/>
              </w:rPr>
              <w:t xml:space="preserve"> </w:t>
            </w:r>
            <w:r>
              <w:rPr>
                <w:rFonts w:ascii="Cambria"/>
                <w:color w:val="231F20"/>
                <w:spacing w:val="-5"/>
                <w:sz w:val="21"/>
              </w:rPr>
              <w:t>2.1</w:t>
            </w:r>
          </w:p>
        </w:tc>
        <w:tc>
          <w:tcPr>
            <w:tcW w:w="4881" w:type="dxa"/>
          </w:tcPr>
          <w:p w14:paraId="5DE83B5F" w14:textId="77777777" w:rsidR="00AE0598" w:rsidRDefault="0069255A">
            <w:pPr>
              <w:pStyle w:val="TableParagraph"/>
              <w:spacing w:line="220" w:lineRule="exact"/>
              <w:ind w:left="163"/>
              <w:rPr>
                <w:rFonts w:ascii="Cambria"/>
                <w:sz w:val="21"/>
              </w:rPr>
            </w:pPr>
            <w:r>
              <w:rPr>
                <w:rFonts w:ascii="Cambria"/>
                <w:color w:val="231F20"/>
                <w:w w:val="95"/>
                <w:sz w:val="21"/>
              </w:rPr>
              <w:t>The</w:t>
            </w:r>
            <w:r>
              <w:rPr>
                <w:rFonts w:ascii="Cambria"/>
                <w:color w:val="231F20"/>
                <w:spacing w:val="8"/>
                <w:sz w:val="21"/>
              </w:rPr>
              <w:t xml:space="preserve"> </w:t>
            </w:r>
            <w:r>
              <w:rPr>
                <w:rFonts w:ascii="Cambria"/>
                <w:color w:val="231F20"/>
                <w:w w:val="95"/>
                <w:sz w:val="21"/>
              </w:rPr>
              <w:t>sport</w:t>
            </w:r>
            <w:r>
              <w:rPr>
                <w:rFonts w:ascii="Cambria"/>
                <w:color w:val="231F20"/>
                <w:spacing w:val="9"/>
                <w:sz w:val="21"/>
              </w:rPr>
              <w:t xml:space="preserve"> </w:t>
            </w:r>
            <w:r>
              <w:rPr>
                <w:rFonts w:ascii="Cambria"/>
                <w:color w:val="231F20"/>
                <w:w w:val="95"/>
                <w:sz w:val="21"/>
              </w:rPr>
              <w:t>tourism</w:t>
            </w:r>
            <w:r>
              <w:rPr>
                <w:rFonts w:ascii="Cambria"/>
                <w:color w:val="231F20"/>
                <w:spacing w:val="9"/>
                <w:sz w:val="21"/>
              </w:rPr>
              <w:t xml:space="preserve"> </w:t>
            </w:r>
            <w:r>
              <w:rPr>
                <w:rFonts w:ascii="Cambria"/>
                <w:color w:val="231F20"/>
                <w:w w:val="95"/>
                <w:sz w:val="21"/>
              </w:rPr>
              <w:t>attraction</w:t>
            </w:r>
            <w:r>
              <w:rPr>
                <w:rFonts w:ascii="Cambria"/>
                <w:color w:val="231F20"/>
                <w:spacing w:val="9"/>
                <w:sz w:val="21"/>
              </w:rPr>
              <w:t xml:space="preserve"> </w:t>
            </w:r>
            <w:r>
              <w:rPr>
                <w:rFonts w:ascii="Cambria"/>
                <w:color w:val="231F20"/>
                <w:spacing w:val="-2"/>
                <w:w w:val="95"/>
                <w:sz w:val="21"/>
              </w:rPr>
              <w:t>system</w:t>
            </w:r>
          </w:p>
        </w:tc>
        <w:tc>
          <w:tcPr>
            <w:tcW w:w="445" w:type="dxa"/>
          </w:tcPr>
          <w:p w14:paraId="313A8E7E" w14:textId="77777777" w:rsidR="00AE0598" w:rsidRDefault="0069255A">
            <w:pPr>
              <w:pStyle w:val="TableParagraph"/>
              <w:spacing w:line="220" w:lineRule="exact"/>
              <w:ind w:right="47"/>
              <w:jc w:val="right"/>
              <w:rPr>
                <w:rFonts w:ascii="Cambria"/>
                <w:sz w:val="21"/>
              </w:rPr>
            </w:pPr>
            <w:r>
              <w:rPr>
                <w:rFonts w:ascii="Cambria"/>
                <w:color w:val="231F20"/>
                <w:spacing w:val="-5"/>
                <w:w w:val="95"/>
                <w:sz w:val="21"/>
              </w:rPr>
              <w:t>24</w:t>
            </w:r>
          </w:p>
        </w:tc>
      </w:tr>
      <w:tr w:rsidR="00AE0598" w14:paraId="686523A6" w14:textId="77777777">
        <w:trPr>
          <w:trHeight w:val="240"/>
        </w:trPr>
        <w:tc>
          <w:tcPr>
            <w:tcW w:w="1066" w:type="dxa"/>
          </w:tcPr>
          <w:p w14:paraId="7EEF2932" w14:textId="77777777" w:rsidR="00AE0598" w:rsidRDefault="0069255A">
            <w:pPr>
              <w:pStyle w:val="TableParagraph"/>
              <w:spacing w:line="220" w:lineRule="exact"/>
              <w:ind w:left="50"/>
              <w:rPr>
                <w:rFonts w:ascii="Cambria"/>
                <w:sz w:val="21"/>
              </w:rPr>
            </w:pPr>
            <w:r>
              <w:rPr>
                <w:rFonts w:ascii="Cambria"/>
                <w:color w:val="231F20"/>
                <w:w w:val="95"/>
                <w:sz w:val="21"/>
              </w:rPr>
              <w:t>Figure</w:t>
            </w:r>
            <w:r>
              <w:rPr>
                <w:rFonts w:ascii="Cambria"/>
                <w:color w:val="231F20"/>
                <w:spacing w:val="-3"/>
                <w:w w:val="95"/>
                <w:sz w:val="21"/>
              </w:rPr>
              <w:t xml:space="preserve"> </w:t>
            </w:r>
            <w:r>
              <w:rPr>
                <w:rFonts w:ascii="Cambria"/>
                <w:color w:val="231F20"/>
                <w:spacing w:val="-5"/>
                <w:sz w:val="21"/>
              </w:rPr>
              <w:t>2.2</w:t>
            </w:r>
          </w:p>
        </w:tc>
        <w:tc>
          <w:tcPr>
            <w:tcW w:w="4881" w:type="dxa"/>
          </w:tcPr>
          <w:p w14:paraId="380C5F19" w14:textId="77777777" w:rsidR="00AE0598" w:rsidRDefault="0069255A">
            <w:pPr>
              <w:pStyle w:val="TableParagraph"/>
              <w:spacing w:line="220" w:lineRule="exact"/>
              <w:ind w:left="163"/>
              <w:rPr>
                <w:rFonts w:ascii="Cambria"/>
                <w:sz w:val="21"/>
              </w:rPr>
            </w:pPr>
            <w:r>
              <w:rPr>
                <w:rFonts w:ascii="Cambria"/>
                <w:color w:val="231F20"/>
                <w:w w:val="95"/>
                <w:sz w:val="21"/>
              </w:rPr>
              <w:t>Sport</w:t>
            </w:r>
            <w:r>
              <w:rPr>
                <w:rFonts w:ascii="Cambria"/>
                <w:color w:val="231F20"/>
                <w:spacing w:val="4"/>
                <w:sz w:val="21"/>
              </w:rPr>
              <w:t xml:space="preserve"> </w:t>
            </w:r>
            <w:r>
              <w:rPr>
                <w:rFonts w:ascii="Cambria"/>
                <w:color w:val="231F20"/>
                <w:w w:val="95"/>
                <w:sz w:val="21"/>
              </w:rPr>
              <w:t>tourism</w:t>
            </w:r>
            <w:r>
              <w:rPr>
                <w:rFonts w:ascii="Cambria"/>
                <w:color w:val="231F20"/>
                <w:spacing w:val="5"/>
                <w:sz w:val="21"/>
              </w:rPr>
              <w:t xml:space="preserve"> </w:t>
            </w:r>
            <w:r>
              <w:rPr>
                <w:rFonts w:ascii="Cambria"/>
                <w:color w:val="231F20"/>
                <w:w w:val="95"/>
                <w:sz w:val="21"/>
              </w:rPr>
              <w:t>and</w:t>
            </w:r>
            <w:r>
              <w:rPr>
                <w:rFonts w:ascii="Cambria"/>
                <w:color w:val="231F20"/>
                <w:spacing w:val="5"/>
                <w:sz w:val="21"/>
              </w:rPr>
              <w:t xml:space="preserve"> </w:t>
            </w:r>
            <w:r>
              <w:rPr>
                <w:rFonts w:ascii="Cambria"/>
                <w:color w:val="231F20"/>
                <w:w w:val="95"/>
                <w:sz w:val="21"/>
              </w:rPr>
              <w:t>related</w:t>
            </w:r>
            <w:r>
              <w:rPr>
                <w:rFonts w:ascii="Cambria"/>
                <w:color w:val="231F20"/>
                <w:spacing w:val="5"/>
                <w:sz w:val="21"/>
              </w:rPr>
              <w:t xml:space="preserve"> </w:t>
            </w:r>
            <w:r>
              <w:rPr>
                <w:rFonts w:ascii="Cambria"/>
                <w:color w:val="231F20"/>
                <w:w w:val="95"/>
                <w:sz w:val="21"/>
              </w:rPr>
              <w:t>contextual</w:t>
            </w:r>
            <w:r>
              <w:rPr>
                <w:rFonts w:ascii="Cambria"/>
                <w:color w:val="231F20"/>
                <w:spacing w:val="5"/>
                <w:sz w:val="21"/>
              </w:rPr>
              <w:t xml:space="preserve"> </w:t>
            </w:r>
            <w:r>
              <w:rPr>
                <w:rFonts w:ascii="Cambria"/>
                <w:color w:val="231F20"/>
                <w:spacing w:val="-2"/>
                <w:w w:val="95"/>
                <w:sz w:val="21"/>
              </w:rPr>
              <w:t>domains</w:t>
            </w:r>
          </w:p>
        </w:tc>
        <w:tc>
          <w:tcPr>
            <w:tcW w:w="445" w:type="dxa"/>
          </w:tcPr>
          <w:p w14:paraId="4DA90657" w14:textId="77777777" w:rsidR="00AE0598" w:rsidRDefault="0069255A">
            <w:pPr>
              <w:pStyle w:val="TableParagraph"/>
              <w:spacing w:line="220" w:lineRule="exact"/>
              <w:ind w:right="47"/>
              <w:jc w:val="right"/>
              <w:rPr>
                <w:rFonts w:ascii="Cambria"/>
                <w:sz w:val="21"/>
              </w:rPr>
            </w:pPr>
            <w:r>
              <w:rPr>
                <w:rFonts w:ascii="Cambria"/>
                <w:color w:val="231F20"/>
                <w:spacing w:val="-5"/>
                <w:w w:val="95"/>
                <w:sz w:val="21"/>
              </w:rPr>
              <w:t>30</w:t>
            </w:r>
          </w:p>
        </w:tc>
      </w:tr>
      <w:tr w:rsidR="00AE0598" w14:paraId="66C8D96F" w14:textId="77777777">
        <w:trPr>
          <w:trHeight w:val="240"/>
        </w:trPr>
        <w:tc>
          <w:tcPr>
            <w:tcW w:w="1066" w:type="dxa"/>
          </w:tcPr>
          <w:p w14:paraId="0B1594AA" w14:textId="77777777" w:rsidR="00AE0598" w:rsidRDefault="0069255A">
            <w:pPr>
              <w:pStyle w:val="TableParagraph"/>
              <w:spacing w:line="220" w:lineRule="exact"/>
              <w:ind w:left="50"/>
              <w:rPr>
                <w:rFonts w:ascii="Cambria"/>
                <w:sz w:val="21"/>
              </w:rPr>
            </w:pPr>
            <w:r>
              <w:rPr>
                <w:rFonts w:ascii="Cambria"/>
                <w:color w:val="231F20"/>
                <w:spacing w:val="-5"/>
                <w:sz w:val="21"/>
              </w:rPr>
              <w:t>Table</w:t>
            </w:r>
            <w:r>
              <w:rPr>
                <w:rFonts w:ascii="Cambria"/>
                <w:color w:val="231F20"/>
                <w:spacing w:val="-2"/>
                <w:sz w:val="21"/>
              </w:rPr>
              <w:t xml:space="preserve"> </w:t>
            </w:r>
            <w:r>
              <w:rPr>
                <w:rFonts w:ascii="Cambria"/>
                <w:color w:val="231F20"/>
                <w:spacing w:val="-5"/>
                <w:sz w:val="21"/>
              </w:rPr>
              <w:t>3.1</w:t>
            </w:r>
          </w:p>
        </w:tc>
        <w:tc>
          <w:tcPr>
            <w:tcW w:w="4881" w:type="dxa"/>
          </w:tcPr>
          <w:p w14:paraId="55F4ECD0" w14:textId="77777777" w:rsidR="00AE0598" w:rsidRDefault="0069255A">
            <w:pPr>
              <w:pStyle w:val="TableParagraph"/>
              <w:spacing w:line="220" w:lineRule="exact"/>
              <w:ind w:left="164"/>
              <w:rPr>
                <w:rFonts w:ascii="Cambria"/>
                <w:sz w:val="21"/>
              </w:rPr>
            </w:pPr>
            <w:r>
              <w:rPr>
                <w:rFonts w:ascii="Cambria"/>
                <w:color w:val="231F20"/>
                <w:w w:val="95"/>
                <w:sz w:val="21"/>
              </w:rPr>
              <w:t>Sport</w:t>
            </w:r>
            <w:r>
              <w:rPr>
                <w:rFonts w:ascii="Cambria"/>
                <w:color w:val="231F20"/>
                <w:spacing w:val="2"/>
                <w:sz w:val="21"/>
              </w:rPr>
              <w:t xml:space="preserve"> </w:t>
            </w:r>
            <w:r>
              <w:rPr>
                <w:rFonts w:ascii="Cambria"/>
                <w:color w:val="231F20"/>
                <w:w w:val="95"/>
                <w:sz w:val="21"/>
              </w:rPr>
              <w:t>tourism</w:t>
            </w:r>
            <w:r>
              <w:rPr>
                <w:rFonts w:ascii="Cambria"/>
                <w:color w:val="231F20"/>
                <w:spacing w:val="3"/>
                <w:sz w:val="21"/>
              </w:rPr>
              <w:t xml:space="preserve"> </w:t>
            </w:r>
            <w:r>
              <w:rPr>
                <w:rFonts w:ascii="Cambria"/>
                <w:color w:val="231F20"/>
                <w:w w:val="95"/>
                <w:sz w:val="21"/>
              </w:rPr>
              <w:t>demand</w:t>
            </w:r>
            <w:r>
              <w:rPr>
                <w:rFonts w:ascii="Cambria"/>
                <w:color w:val="231F20"/>
                <w:spacing w:val="3"/>
                <w:sz w:val="21"/>
              </w:rPr>
              <w:t xml:space="preserve"> </w:t>
            </w:r>
            <w:r>
              <w:rPr>
                <w:rFonts w:ascii="Cambria"/>
                <w:color w:val="231F20"/>
                <w:w w:val="95"/>
                <w:sz w:val="21"/>
              </w:rPr>
              <w:t>groups</w:t>
            </w:r>
            <w:r>
              <w:rPr>
                <w:rFonts w:ascii="Cambria"/>
                <w:color w:val="231F20"/>
                <w:spacing w:val="3"/>
                <w:sz w:val="21"/>
              </w:rPr>
              <w:t xml:space="preserve"> </w:t>
            </w:r>
            <w:r>
              <w:rPr>
                <w:rFonts w:ascii="Cambria"/>
                <w:color w:val="231F20"/>
                <w:w w:val="95"/>
                <w:sz w:val="21"/>
              </w:rPr>
              <w:t>and</w:t>
            </w:r>
            <w:r>
              <w:rPr>
                <w:rFonts w:ascii="Cambria"/>
                <w:color w:val="231F20"/>
                <w:spacing w:val="2"/>
                <w:sz w:val="21"/>
              </w:rPr>
              <w:t xml:space="preserve"> </w:t>
            </w:r>
            <w:r>
              <w:rPr>
                <w:rFonts w:ascii="Cambria"/>
                <w:color w:val="231F20"/>
                <w:spacing w:val="-2"/>
                <w:w w:val="95"/>
                <w:sz w:val="21"/>
              </w:rPr>
              <w:t>requisite</w:t>
            </w:r>
          </w:p>
        </w:tc>
        <w:tc>
          <w:tcPr>
            <w:tcW w:w="445" w:type="dxa"/>
          </w:tcPr>
          <w:p w14:paraId="302DC41A" w14:textId="77777777" w:rsidR="00AE0598" w:rsidRDefault="00AE0598">
            <w:pPr>
              <w:pStyle w:val="TableParagraph"/>
              <w:rPr>
                <w:rFonts w:ascii="Times New Roman"/>
                <w:sz w:val="16"/>
              </w:rPr>
            </w:pPr>
          </w:p>
        </w:tc>
      </w:tr>
      <w:tr w:rsidR="00AE0598" w14:paraId="5B230DFE" w14:textId="77777777">
        <w:trPr>
          <w:trHeight w:val="240"/>
        </w:trPr>
        <w:tc>
          <w:tcPr>
            <w:tcW w:w="1066" w:type="dxa"/>
          </w:tcPr>
          <w:p w14:paraId="424A55CF" w14:textId="77777777" w:rsidR="00AE0598" w:rsidRDefault="00AE0598">
            <w:pPr>
              <w:pStyle w:val="TableParagraph"/>
              <w:rPr>
                <w:rFonts w:ascii="Times New Roman"/>
                <w:sz w:val="16"/>
              </w:rPr>
            </w:pPr>
          </w:p>
        </w:tc>
        <w:tc>
          <w:tcPr>
            <w:tcW w:w="4881" w:type="dxa"/>
          </w:tcPr>
          <w:p w14:paraId="38CAC1EA" w14:textId="77777777" w:rsidR="00AE0598" w:rsidRDefault="0069255A">
            <w:pPr>
              <w:pStyle w:val="TableParagraph"/>
              <w:spacing w:line="220" w:lineRule="exact"/>
              <w:ind w:left="163"/>
              <w:rPr>
                <w:rFonts w:ascii="Cambria"/>
                <w:sz w:val="21"/>
              </w:rPr>
            </w:pPr>
            <w:r>
              <w:rPr>
                <w:rFonts w:ascii="Cambria"/>
                <w:color w:val="231F20"/>
                <w:w w:val="95"/>
                <w:sz w:val="21"/>
              </w:rPr>
              <w:t>visitor</w:t>
            </w:r>
            <w:r>
              <w:rPr>
                <w:rFonts w:ascii="Cambria"/>
                <w:color w:val="231F20"/>
                <w:spacing w:val="-2"/>
                <w:sz w:val="21"/>
              </w:rPr>
              <w:t xml:space="preserve"> facilities</w:t>
            </w:r>
          </w:p>
        </w:tc>
        <w:tc>
          <w:tcPr>
            <w:tcW w:w="445" w:type="dxa"/>
          </w:tcPr>
          <w:p w14:paraId="557DEE12" w14:textId="77777777" w:rsidR="00AE0598" w:rsidRDefault="0069255A">
            <w:pPr>
              <w:pStyle w:val="TableParagraph"/>
              <w:spacing w:line="220" w:lineRule="exact"/>
              <w:ind w:right="47"/>
              <w:jc w:val="right"/>
              <w:rPr>
                <w:rFonts w:ascii="Cambria"/>
                <w:sz w:val="21"/>
              </w:rPr>
            </w:pPr>
            <w:r>
              <w:rPr>
                <w:rFonts w:ascii="Cambria"/>
                <w:color w:val="231F20"/>
                <w:spacing w:val="-5"/>
                <w:w w:val="95"/>
                <w:sz w:val="21"/>
              </w:rPr>
              <w:t>40</w:t>
            </w:r>
          </w:p>
        </w:tc>
      </w:tr>
      <w:tr w:rsidR="00AE0598" w14:paraId="35E0AD16" w14:textId="77777777">
        <w:trPr>
          <w:trHeight w:val="240"/>
        </w:trPr>
        <w:tc>
          <w:tcPr>
            <w:tcW w:w="1066" w:type="dxa"/>
          </w:tcPr>
          <w:p w14:paraId="6ADCA0DD" w14:textId="77777777" w:rsidR="00AE0598" w:rsidRDefault="0069255A">
            <w:pPr>
              <w:pStyle w:val="TableParagraph"/>
              <w:spacing w:line="220" w:lineRule="exact"/>
              <w:ind w:left="50"/>
              <w:rPr>
                <w:rFonts w:ascii="Cambria"/>
                <w:sz w:val="21"/>
              </w:rPr>
            </w:pPr>
            <w:r>
              <w:rPr>
                <w:rFonts w:ascii="Cambria"/>
                <w:color w:val="231F20"/>
                <w:spacing w:val="-5"/>
                <w:sz w:val="21"/>
              </w:rPr>
              <w:t>Table</w:t>
            </w:r>
            <w:r>
              <w:rPr>
                <w:rFonts w:ascii="Cambria"/>
                <w:color w:val="231F20"/>
                <w:spacing w:val="-2"/>
                <w:sz w:val="21"/>
              </w:rPr>
              <w:t xml:space="preserve"> </w:t>
            </w:r>
            <w:r>
              <w:rPr>
                <w:rFonts w:ascii="Cambria"/>
                <w:color w:val="231F20"/>
                <w:spacing w:val="-5"/>
                <w:sz w:val="21"/>
              </w:rPr>
              <w:t>3.2</w:t>
            </w:r>
          </w:p>
        </w:tc>
        <w:tc>
          <w:tcPr>
            <w:tcW w:w="4881" w:type="dxa"/>
          </w:tcPr>
          <w:p w14:paraId="2D142517" w14:textId="77777777" w:rsidR="00AE0598" w:rsidRDefault="0069255A">
            <w:pPr>
              <w:pStyle w:val="TableParagraph"/>
              <w:spacing w:line="220" w:lineRule="exact"/>
              <w:ind w:left="164"/>
              <w:rPr>
                <w:rFonts w:ascii="Cambria"/>
                <w:sz w:val="21"/>
              </w:rPr>
            </w:pPr>
            <w:r>
              <w:rPr>
                <w:rFonts w:ascii="Cambria"/>
                <w:color w:val="231F20"/>
                <w:w w:val="95"/>
                <w:sz w:val="21"/>
              </w:rPr>
              <w:t>Sport</w:t>
            </w:r>
            <w:r>
              <w:rPr>
                <w:rFonts w:ascii="Cambria"/>
                <w:color w:val="231F20"/>
                <w:spacing w:val="1"/>
                <w:sz w:val="21"/>
              </w:rPr>
              <w:t xml:space="preserve"> </w:t>
            </w:r>
            <w:r>
              <w:rPr>
                <w:rFonts w:ascii="Cambria"/>
                <w:color w:val="231F20"/>
                <w:w w:val="95"/>
                <w:sz w:val="21"/>
              </w:rPr>
              <w:t>tourism</w:t>
            </w:r>
            <w:r>
              <w:rPr>
                <w:rFonts w:ascii="Cambria"/>
                <w:color w:val="231F20"/>
                <w:spacing w:val="1"/>
                <w:sz w:val="21"/>
              </w:rPr>
              <w:t xml:space="preserve"> </w:t>
            </w:r>
            <w:r>
              <w:rPr>
                <w:rFonts w:ascii="Cambria"/>
                <w:color w:val="231F20"/>
                <w:w w:val="95"/>
                <w:sz w:val="21"/>
              </w:rPr>
              <w:t>types</w:t>
            </w:r>
            <w:r>
              <w:rPr>
                <w:rFonts w:ascii="Cambria"/>
                <w:color w:val="231F20"/>
                <w:spacing w:val="2"/>
                <w:sz w:val="21"/>
              </w:rPr>
              <w:t xml:space="preserve"> </w:t>
            </w:r>
            <w:r>
              <w:rPr>
                <w:rFonts w:ascii="Cambria"/>
                <w:color w:val="231F20"/>
                <w:w w:val="95"/>
                <w:sz w:val="21"/>
              </w:rPr>
              <w:t>and</w:t>
            </w:r>
            <w:r>
              <w:rPr>
                <w:rFonts w:ascii="Cambria"/>
                <w:color w:val="231F20"/>
                <w:spacing w:val="1"/>
                <w:sz w:val="21"/>
              </w:rPr>
              <w:t xml:space="preserve"> </w:t>
            </w:r>
            <w:r>
              <w:rPr>
                <w:rFonts w:ascii="Cambria"/>
                <w:color w:val="231F20"/>
                <w:w w:val="95"/>
                <w:sz w:val="21"/>
              </w:rPr>
              <w:t>visitor</w:t>
            </w:r>
            <w:r>
              <w:rPr>
                <w:rFonts w:ascii="Cambria"/>
                <w:color w:val="231F20"/>
                <w:spacing w:val="1"/>
                <w:sz w:val="21"/>
              </w:rPr>
              <w:t xml:space="preserve"> </w:t>
            </w:r>
            <w:r>
              <w:rPr>
                <w:rFonts w:ascii="Cambria"/>
                <w:color w:val="231F20"/>
                <w:spacing w:val="-2"/>
                <w:w w:val="95"/>
                <w:sz w:val="21"/>
              </w:rPr>
              <w:t>profiles</w:t>
            </w:r>
          </w:p>
        </w:tc>
        <w:tc>
          <w:tcPr>
            <w:tcW w:w="445" w:type="dxa"/>
          </w:tcPr>
          <w:p w14:paraId="78DF9EEC" w14:textId="77777777" w:rsidR="00AE0598" w:rsidRDefault="0069255A">
            <w:pPr>
              <w:pStyle w:val="TableParagraph"/>
              <w:spacing w:line="220" w:lineRule="exact"/>
              <w:ind w:right="47"/>
              <w:jc w:val="right"/>
              <w:rPr>
                <w:rFonts w:ascii="Cambria"/>
                <w:sz w:val="21"/>
              </w:rPr>
            </w:pPr>
            <w:r>
              <w:rPr>
                <w:rFonts w:ascii="Cambria"/>
                <w:color w:val="231F20"/>
                <w:spacing w:val="-5"/>
                <w:w w:val="95"/>
                <w:sz w:val="21"/>
              </w:rPr>
              <w:t>42</w:t>
            </w:r>
          </w:p>
        </w:tc>
      </w:tr>
      <w:tr w:rsidR="00AE0598" w14:paraId="22A1DE80" w14:textId="77777777">
        <w:trPr>
          <w:trHeight w:val="240"/>
        </w:trPr>
        <w:tc>
          <w:tcPr>
            <w:tcW w:w="1066" w:type="dxa"/>
          </w:tcPr>
          <w:p w14:paraId="075CE775" w14:textId="77777777" w:rsidR="00AE0598" w:rsidRDefault="0069255A">
            <w:pPr>
              <w:pStyle w:val="TableParagraph"/>
              <w:spacing w:line="220" w:lineRule="exact"/>
              <w:ind w:left="50"/>
              <w:rPr>
                <w:rFonts w:ascii="Cambria"/>
                <w:sz w:val="21"/>
              </w:rPr>
            </w:pPr>
            <w:r>
              <w:rPr>
                <w:rFonts w:ascii="Cambria"/>
                <w:color w:val="231F20"/>
                <w:spacing w:val="-5"/>
                <w:sz w:val="21"/>
              </w:rPr>
              <w:t>Table</w:t>
            </w:r>
            <w:r>
              <w:rPr>
                <w:rFonts w:ascii="Cambria"/>
                <w:color w:val="231F20"/>
                <w:spacing w:val="-2"/>
                <w:sz w:val="21"/>
              </w:rPr>
              <w:t xml:space="preserve"> </w:t>
            </w:r>
            <w:r>
              <w:rPr>
                <w:rFonts w:ascii="Cambria"/>
                <w:color w:val="231F20"/>
                <w:spacing w:val="-5"/>
                <w:sz w:val="21"/>
              </w:rPr>
              <w:t>3.3</w:t>
            </w:r>
          </w:p>
        </w:tc>
        <w:tc>
          <w:tcPr>
            <w:tcW w:w="4881" w:type="dxa"/>
          </w:tcPr>
          <w:p w14:paraId="12282B67" w14:textId="77777777" w:rsidR="00AE0598" w:rsidRDefault="0069255A">
            <w:pPr>
              <w:pStyle w:val="TableParagraph"/>
              <w:spacing w:line="220" w:lineRule="exact"/>
              <w:ind w:left="164"/>
              <w:rPr>
                <w:rFonts w:ascii="Cambria"/>
                <w:sz w:val="21"/>
              </w:rPr>
            </w:pPr>
            <w:r>
              <w:rPr>
                <w:rFonts w:ascii="Cambria"/>
                <w:color w:val="231F20"/>
                <w:w w:val="95"/>
                <w:sz w:val="21"/>
              </w:rPr>
              <w:t>Conceptualisation</w:t>
            </w:r>
            <w:r>
              <w:rPr>
                <w:rFonts w:ascii="Cambria"/>
                <w:color w:val="231F20"/>
                <w:spacing w:val="10"/>
                <w:sz w:val="21"/>
              </w:rPr>
              <w:t xml:space="preserve"> </w:t>
            </w:r>
            <w:r>
              <w:rPr>
                <w:rFonts w:ascii="Cambria"/>
                <w:color w:val="231F20"/>
                <w:w w:val="95"/>
                <w:sz w:val="21"/>
              </w:rPr>
              <w:t>of</w:t>
            </w:r>
            <w:r>
              <w:rPr>
                <w:rFonts w:ascii="Cambria"/>
                <w:color w:val="231F20"/>
                <w:spacing w:val="28"/>
                <w:sz w:val="21"/>
              </w:rPr>
              <w:t xml:space="preserve"> </w:t>
            </w:r>
            <w:r>
              <w:rPr>
                <w:rFonts w:ascii="Cambria"/>
                <w:color w:val="231F20"/>
                <w:w w:val="95"/>
                <w:sz w:val="21"/>
              </w:rPr>
              <w:t>sport</w:t>
            </w:r>
            <w:r>
              <w:rPr>
                <w:rFonts w:ascii="Cambria"/>
                <w:color w:val="231F20"/>
                <w:spacing w:val="10"/>
                <w:sz w:val="21"/>
              </w:rPr>
              <w:t xml:space="preserve"> </w:t>
            </w:r>
            <w:r>
              <w:rPr>
                <w:rFonts w:ascii="Cambria"/>
                <w:color w:val="231F20"/>
                <w:w w:val="95"/>
                <w:sz w:val="21"/>
              </w:rPr>
              <w:t>tourists</w:t>
            </w:r>
            <w:r>
              <w:rPr>
                <w:rFonts w:ascii="Cambria"/>
                <w:color w:val="231F20"/>
                <w:spacing w:val="10"/>
                <w:sz w:val="21"/>
              </w:rPr>
              <w:t xml:space="preserve"> </w:t>
            </w:r>
            <w:r>
              <w:rPr>
                <w:rFonts w:ascii="Cambria"/>
                <w:color w:val="231F20"/>
                <w:spacing w:val="-4"/>
                <w:w w:val="95"/>
                <w:sz w:val="21"/>
              </w:rPr>
              <w:t>based</w:t>
            </w:r>
          </w:p>
        </w:tc>
        <w:tc>
          <w:tcPr>
            <w:tcW w:w="445" w:type="dxa"/>
          </w:tcPr>
          <w:p w14:paraId="2A15D53A" w14:textId="77777777" w:rsidR="00AE0598" w:rsidRDefault="00AE0598">
            <w:pPr>
              <w:pStyle w:val="TableParagraph"/>
              <w:rPr>
                <w:rFonts w:ascii="Times New Roman"/>
                <w:sz w:val="16"/>
              </w:rPr>
            </w:pPr>
          </w:p>
        </w:tc>
      </w:tr>
      <w:tr w:rsidR="00AE0598" w14:paraId="339A0FDF" w14:textId="77777777">
        <w:trPr>
          <w:trHeight w:val="240"/>
        </w:trPr>
        <w:tc>
          <w:tcPr>
            <w:tcW w:w="1066" w:type="dxa"/>
          </w:tcPr>
          <w:p w14:paraId="36E19277" w14:textId="77777777" w:rsidR="00AE0598" w:rsidRDefault="00AE0598">
            <w:pPr>
              <w:pStyle w:val="TableParagraph"/>
              <w:rPr>
                <w:rFonts w:ascii="Times New Roman"/>
                <w:sz w:val="16"/>
              </w:rPr>
            </w:pPr>
          </w:p>
        </w:tc>
        <w:tc>
          <w:tcPr>
            <w:tcW w:w="4881" w:type="dxa"/>
          </w:tcPr>
          <w:p w14:paraId="06BCC164" w14:textId="77777777" w:rsidR="00AE0598" w:rsidRDefault="0069255A">
            <w:pPr>
              <w:pStyle w:val="TableParagraph"/>
              <w:spacing w:line="220" w:lineRule="exact"/>
              <w:ind w:left="163"/>
              <w:rPr>
                <w:rFonts w:ascii="Cambria"/>
                <w:sz w:val="21"/>
              </w:rPr>
            </w:pPr>
            <w:r>
              <w:rPr>
                <w:rFonts w:ascii="Cambria"/>
                <w:color w:val="231F20"/>
                <w:w w:val="95"/>
                <w:sz w:val="21"/>
              </w:rPr>
              <w:t>on</w:t>
            </w:r>
            <w:r>
              <w:rPr>
                <w:rFonts w:ascii="Cambria"/>
                <w:color w:val="231F20"/>
                <w:spacing w:val="-1"/>
                <w:w w:val="95"/>
                <w:sz w:val="21"/>
              </w:rPr>
              <w:t xml:space="preserve"> </w:t>
            </w:r>
            <w:r>
              <w:rPr>
                <w:rFonts w:ascii="Cambria"/>
                <w:color w:val="231F20"/>
                <w:w w:val="95"/>
                <w:sz w:val="21"/>
              </w:rPr>
              <w:t>sport</w:t>
            </w:r>
            <w:r>
              <w:rPr>
                <w:rFonts w:ascii="Cambria"/>
                <w:color w:val="231F20"/>
                <w:spacing w:val="-1"/>
                <w:w w:val="95"/>
                <w:sz w:val="21"/>
              </w:rPr>
              <w:t xml:space="preserve"> </w:t>
            </w:r>
            <w:r>
              <w:rPr>
                <w:rFonts w:ascii="Cambria"/>
                <w:color w:val="231F20"/>
                <w:w w:val="95"/>
                <w:sz w:val="21"/>
              </w:rPr>
              <w:t>and</w:t>
            </w:r>
            <w:r>
              <w:rPr>
                <w:rFonts w:ascii="Cambria"/>
                <w:color w:val="231F20"/>
                <w:spacing w:val="-1"/>
                <w:w w:val="95"/>
                <w:sz w:val="21"/>
              </w:rPr>
              <w:t xml:space="preserve"> </w:t>
            </w:r>
            <w:r>
              <w:rPr>
                <w:rFonts w:ascii="Cambria"/>
                <w:color w:val="231F20"/>
                <w:w w:val="95"/>
                <w:sz w:val="21"/>
              </w:rPr>
              <w:t>travel</w:t>
            </w:r>
            <w:r>
              <w:rPr>
                <w:rFonts w:ascii="Cambria"/>
                <w:color w:val="231F20"/>
                <w:spacing w:val="-1"/>
                <w:w w:val="95"/>
                <w:sz w:val="21"/>
              </w:rPr>
              <w:t xml:space="preserve"> </w:t>
            </w:r>
            <w:r>
              <w:rPr>
                <w:rFonts w:ascii="Cambria"/>
                <w:color w:val="231F20"/>
                <w:spacing w:val="-2"/>
                <w:w w:val="95"/>
                <w:sz w:val="21"/>
              </w:rPr>
              <w:t>motivations</w:t>
            </w:r>
          </w:p>
        </w:tc>
        <w:tc>
          <w:tcPr>
            <w:tcW w:w="445" w:type="dxa"/>
          </w:tcPr>
          <w:p w14:paraId="1253CADC" w14:textId="77777777" w:rsidR="00AE0598" w:rsidRDefault="0069255A">
            <w:pPr>
              <w:pStyle w:val="TableParagraph"/>
              <w:spacing w:line="220" w:lineRule="exact"/>
              <w:ind w:right="47"/>
              <w:jc w:val="right"/>
              <w:rPr>
                <w:rFonts w:ascii="Cambria"/>
                <w:sz w:val="21"/>
              </w:rPr>
            </w:pPr>
            <w:r>
              <w:rPr>
                <w:rFonts w:ascii="Cambria"/>
                <w:color w:val="231F20"/>
                <w:spacing w:val="-5"/>
                <w:w w:val="95"/>
                <w:sz w:val="21"/>
              </w:rPr>
              <w:t>43</w:t>
            </w:r>
          </w:p>
        </w:tc>
      </w:tr>
      <w:tr w:rsidR="00AE0598" w14:paraId="06F90C27" w14:textId="77777777">
        <w:trPr>
          <w:trHeight w:val="240"/>
        </w:trPr>
        <w:tc>
          <w:tcPr>
            <w:tcW w:w="1066" w:type="dxa"/>
          </w:tcPr>
          <w:p w14:paraId="385FAF76" w14:textId="77777777" w:rsidR="00AE0598" w:rsidRDefault="0069255A">
            <w:pPr>
              <w:pStyle w:val="TableParagraph"/>
              <w:spacing w:line="220" w:lineRule="exact"/>
              <w:ind w:left="50"/>
              <w:rPr>
                <w:rFonts w:ascii="Cambria"/>
                <w:sz w:val="21"/>
              </w:rPr>
            </w:pPr>
            <w:r>
              <w:rPr>
                <w:rFonts w:ascii="Cambria"/>
                <w:color w:val="231F20"/>
                <w:spacing w:val="-5"/>
                <w:sz w:val="21"/>
              </w:rPr>
              <w:t>Table</w:t>
            </w:r>
            <w:r>
              <w:rPr>
                <w:rFonts w:ascii="Cambria"/>
                <w:color w:val="231F20"/>
                <w:spacing w:val="-2"/>
                <w:sz w:val="21"/>
              </w:rPr>
              <w:t xml:space="preserve"> </w:t>
            </w:r>
            <w:r>
              <w:rPr>
                <w:rFonts w:ascii="Cambria"/>
                <w:color w:val="231F20"/>
                <w:spacing w:val="-5"/>
                <w:sz w:val="21"/>
              </w:rPr>
              <w:t>3.4</w:t>
            </w:r>
          </w:p>
        </w:tc>
        <w:tc>
          <w:tcPr>
            <w:tcW w:w="4881" w:type="dxa"/>
          </w:tcPr>
          <w:p w14:paraId="49DB065A" w14:textId="77777777" w:rsidR="00AE0598" w:rsidRDefault="0069255A">
            <w:pPr>
              <w:pStyle w:val="TableParagraph"/>
              <w:spacing w:line="220" w:lineRule="exact"/>
              <w:ind w:left="164"/>
              <w:rPr>
                <w:rFonts w:ascii="Cambria"/>
                <w:sz w:val="21"/>
              </w:rPr>
            </w:pPr>
            <w:r>
              <w:rPr>
                <w:rFonts w:ascii="Cambria"/>
                <w:color w:val="231F20"/>
                <w:w w:val="95"/>
                <w:sz w:val="21"/>
              </w:rPr>
              <w:t>Sport</w:t>
            </w:r>
            <w:r>
              <w:rPr>
                <w:rFonts w:ascii="Cambria"/>
                <w:color w:val="231F20"/>
                <w:sz w:val="21"/>
              </w:rPr>
              <w:t xml:space="preserve"> </w:t>
            </w:r>
            <w:r>
              <w:rPr>
                <w:rFonts w:ascii="Cambria"/>
                <w:color w:val="231F20"/>
                <w:w w:val="95"/>
                <w:sz w:val="21"/>
              </w:rPr>
              <w:t>tourism</w:t>
            </w:r>
            <w:r>
              <w:rPr>
                <w:rFonts w:ascii="Cambria"/>
                <w:color w:val="231F20"/>
                <w:spacing w:val="1"/>
                <w:sz w:val="21"/>
              </w:rPr>
              <w:t xml:space="preserve"> </w:t>
            </w:r>
            <w:r>
              <w:rPr>
                <w:rFonts w:ascii="Cambria"/>
                <w:color w:val="231F20"/>
                <w:w w:val="95"/>
                <w:sz w:val="21"/>
              </w:rPr>
              <w:t>activities</w:t>
            </w:r>
            <w:r>
              <w:rPr>
                <w:rFonts w:ascii="Cambria"/>
                <w:color w:val="231F20"/>
                <w:spacing w:val="1"/>
                <w:sz w:val="21"/>
              </w:rPr>
              <w:t xml:space="preserve"> </w:t>
            </w:r>
            <w:r>
              <w:rPr>
                <w:rFonts w:ascii="Cambria"/>
                <w:color w:val="231F20"/>
                <w:spacing w:val="-2"/>
                <w:w w:val="95"/>
                <w:sz w:val="21"/>
              </w:rPr>
              <w:t>classification</w:t>
            </w:r>
          </w:p>
        </w:tc>
        <w:tc>
          <w:tcPr>
            <w:tcW w:w="445" w:type="dxa"/>
          </w:tcPr>
          <w:p w14:paraId="728F8548" w14:textId="77777777" w:rsidR="00AE0598" w:rsidRDefault="0069255A">
            <w:pPr>
              <w:pStyle w:val="TableParagraph"/>
              <w:spacing w:line="220" w:lineRule="exact"/>
              <w:ind w:right="47"/>
              <w:jc w:val="right"/>
              <w:rPr>
                <w:rFonts w:ascii="Cambria"/>
                <w:sz w:val="21"/>
              </w:rPr>
            </w:pPr>
            <w:r>
              <w:rPr>
                <w:rFonts w:ascii="Cambria"/>
                <w:color w:val="231F20"/>
                <w:spacing w:val="-5"/>
                <w:w w:val="95"/>
                <w:sz w:val="21"/>
              </w:rPr>
              <w:t>43</w:t>
            </w:r>
          </w:p>
        </w:tc>
      </w:tr>
      <w:tr w:rsidR="00AE0598" w14:paraId="03AAE0FB" w14:textId="77777777">
        <w:trPr>
          <w:trHeight w:val="240"/>
        </w:trPr>
        <w:tc>
          <w:tcPr>
            <w:tcW w:w="1066" w:type="dxa"/>
          </w:tcPr>
          <w:p w14:paraId="1B53E459" w14:textId="77777777" w:rsidR="00AE0598" w:rsidRDefault="0069255A">
            <w:pPr>
              <w:pStyle w:val="TableParagraph"/>
              <w:spacing w:line="220" w:lineRule="exact"/>
              <w:ind w:left="50"/>
              <w:rPr>
                <w:rFonts w:ascii="Cambria"/>
                <w:sz w:val="21"/>
              </w:rPr>
            </w:pPr>
            <w:r>
              <w:rPr>
                <w:rFonts w:ascii="Cambria"/>
                <w:color w:val="231F20"/>
                <w:w w:val="95"/>
                <w:sz w:val="21"/>
              </w:rPr>
              <w:t>Figure</w:t>
            </w:r>
            <w:r>
              <w:rPr>
                <w:rFonts w:ascii="Cambria"/>
                <w:color w:val="231F20"/>
                <w:spacing w:val="-3"/>
                <w:w w:val="95"/>
                <w:sz w:val="21"/>
              </w:rPr>
              <w:t xml:space="preserve"> </w:t>
            </w:r>
            <w:r>
              <w:rPr>
                <w:rFonts w:ascii="Cambria"/>
                <w:color w:val="231F20"/>
                <w:spacing w:val="-5"/>
                <w:sz w:val="21"/>
              </w:rPr>
              <w:t>3.1</w:t>
            </w:r>
          </w:p>
        </w:tc>
        <w:tc>
          <w:tcPr>
            <w:tcW w:w="4881" w:type="dxa"/>
          </w:tcPr>
          <w:p w14:paraId="7C6BFC4D" w14:textId="77777777" w:rsidR="00AE0598" w:rsidRDefault="0069255A">
            <w:pPr>
              <w:pStyle w:val="TableParagraph"/>
              <w:spacing w:line="220" w:lineRule="exact"/>
              <w:ind w:left="163"/>
              <w:rPr>
                <w:rFonts w:ascii="Cambria"/>
                <w:sz w:val="21"/>
              </w:rPr>
            </w:pPr>
            <w:r>
              <w:rPr>
                <w:rFonts w:ascii="Cambria"/>
                <w:color w:val="231F20"/>
                <w:w w:val="95"/>
                <w:sz w:val="21"/>
              </w:rPr>
              <w:t>Sport</w:t>
            </w:r>
            <w:r>
              <w:rPr>
                <w:rFonts w:ascii="Cambria"/>
                <w:color w:val="231F20"/>
                <w:spacing w:val="3"/>
                <w:sz w:val="21"/>
              </w:rPr>
              <w:t xml:space="preserve"> </w:t>
            </w:r>
            <w:r>
              <w:rPr>
                <w:rFonts w:ascii="Cambria"/>
                <w:color w:val="231F20"/>
                <w:w w:val="95"/>
                <w:sz w:val="21"/>
              </w:rPr>
              <w:t>tourism</w:t>
            </w:r>
            <w:r>
              <w:rPr>
                <w:rFonts w:ascii="Cambria"/>
                <w:color w:val="231F20"/>
                <w:spacing w:val="4"/>
                <w:sz w:val="21"/>
              </w:rPr>
              <w:t xml:space="preserve"> </w:t>
            </w:r>
            <w:r>
              <w:rPr>
                <w:rFonts w:ascii="Cambria"/>
                <w:color w:val="231F20"/>
                <w:w w:val="95"/>
                <w:sz w:val="21"/>
              </w:rPr>
              <w:t>as</w:t>
            </w:r>
            <w:r>
              <w:rPr>
                <w:rFonts w:ascii="Cambria"/>
                <w:color w:val="231F20"/>
                <w:spacing w:val="4"/>
                <w:sz w:val="21"/>
              </w:rPr>
              <w:t xml:space="preserve"> </w:t>
            </w:r>
            <w:r>
              <w:rPr>
                <w:rFonts w:ascii="Cambria"/>
                <w:color w:val="231F20"/>
                <w:w w:val="95"/>
                <w:sz w:val="21"/>
              </w:rPr>
              <w:t>an</w:t>
            </w:r>
            <w:r>
              <w:rPr>
                <w:rFonts w:ascii="Cambria"/>
                <w:color w:val="231F20"/>
                <w:spacing w:val="4"/>
                <w:sz w:val="21"/>
              </w:rPr>
              <w:t xml:space="preserve"> </w:t>
            </w:r>
            <w:r>
              <w:rPr>
                <w:rFonts w:ascii="Cambria"/>
                <w:color w:val="231F20"/>
                <w:w w:val="95"/>
                <w:sz w:val="21"/>
              </w:rPr>
              <w:t>interplay</w:t>
            </w:r>
            <w:r>
              <w:rPr>
                <w:rFonts w:ascii="Cambria"/>
                <w:color w:val="231F20"/>
                <w:spacing w:val="4"/>
                <w:sz w:val="21"/>
              </w:rPr>
              <w:t xml:space="preserve"> </w:t>
            </w:r>
            <w:r>
              <w:rPr>
                <w:rFonts w:ascii="Cambria"/>
                <w:color w:val="231F20"/>
                <w:w w:val="95"/>
                <w:sz w:val="21"/>
              </w:rPr>
              <w:t>of</w:t>
            </w:r>
            <w:r>
              <w:rPr>
                <w:rFonts w:ascii="Cambria"/>
                <w:color w:val="231F20"/>
                <w:spacing w:val="20"/>
                <w:sz w:val="21"/>
              </w:rPr>
              <w:t xml:space="preserve"> </w:t>
            </w:r>
            <w:r>
              <w:rPr>
                <w:rFonts w:ascii="Cambria"/>
                <w:color w:val="231F20"/>
                <w:spacing w:val="-2"/>
                <w:w w:val="95"/>
                <w:sz w:val="21"/>
              </w:rPr>
              <w:t>activity,</w:t>
            </w:r>
          </w:p>
        </w:tc>
        <w:tc>
          <w:tcPr>
            <w:tcW w:w="445" w:type="dxa"/>
          </w:tcPr>
          <w:p w14:paraId="55BB0B3C" w14:textId="77777777" w:rsidR="00AE0598" w:rsidRDefault="00AE0598">
            <w:pPr>
              <w:pStyle w:val="TableParagraph"/>
              <w:rPr>
                <w:rFonts w:ascii="Times New Roman"/>
                <w:sz w:val="16"/>
              </w:rPr>
            </w:pPr>
          </w:p>
        </w:tc>
      </w:tr>
      <w:tr w:rsidR="00AE0598" w14:paraId="5BBD37B1" w14:textId="77777777">
        <w:trPr>
          <w:trHeight w:val="240"/>
        </w:trPr>
        <w:tc>
          <w:tcPr>
            <w:tcW w:w="1066" w:type="dxa"/>
          </w:tcPr>
          <w:p w14:paraId="4D85AB0A" w14:textId="77777777" w:rsidR="00AE0598" w:rsidRDefault="00AE0598">
            <w:pPr>
              <w:pStyle w:val="TableParagraph"/>
              <w:rPr>
                <w:rFonts w:ascii="Times New Roman"/>
                <w:sz w:val="16"/>
              </w:rPr>
            </w:pPr>
          </w:p>
        </w:tc>
        <w:tc>
          <w:tcPr>
            <w:tcW w:w="4881" w:type="dxa"/>
          </w:tcPr>
          <w:p w14:paraId="1BFF7EC5" w14:textId="77777777" w:rsidR="00AE0598" w:rsidRDefault="0069255A">
            <w:pPr>
              <w:pStyle w:val="TableParagraph"/>
              <w:spacing w:line="220" w:lineRule="exact"/>
              <w:ind w:left="163"/>
              <w:rPr>
                <w:rFonts w:ascii="Cambria"/>
                <w:sz w:val="21"/>
              </w:rPr>
            </w:pPr>
            <w:r>
              <w:rPr>
                <w:rFonts w:ascii="Cambria"/>
                <w:color w:val="231F20"/>
                <w:w w:val="95"/>
                <w:sz w:val="21"/>
              </w:rPr>
              <w:t>people</w:t>
            </w:r>
            <w:r>
              <w:rPr>
                <w:rFonts w:ascii="Cambria"/>
                <w:color w:val="231F20"/>
                <w:spacing w:val="2"/>
                <w:sz w:val="21"/>
              </w:rPr>
              <w:t xml:space="preserve"> </w:t>
            </w:r>
            <w:r>
              <w:rPr>
                <w:rFonts w:ascii="Cambria"/>
                <w:color w:val="231F20"/>
                <w:w w:val="95"/>
                <w:sz w:val="21"/>
              </w:rPr>
              <w:t>and</w:t>
            </w:r>
            <w:r>
              <w:rPr>
                <w:rFonts w:ascii="Cambria"/>
                <w:color w:val="231F20"/>
                <w:spacing w:val="3"/>
                <w:sz w:val="21"/>
              </w:rPr>
              <w:t xml:space="preserve"> </w:t>
            </w:r>
            <w:r>
              <w:rPr>
                <w:rFonts w:ascii="Cambria"/>
                <w:color w:val="231F20"/>
                <w:spacing w:val="-2"/>
                <w:w w:val="95"/>
                <w:sz w:val="21"/>
              </w:rPr>
              <w:t>place</w:t>
            </w:r>
          </w:p>
        </w:tc>
        <w:tc>
          <w:tcPr>
            <w:tcW w:w="445" w:type="dxa"/>
          </w:tcPr>
          <w:p w14:paraId="33AF00C4" w14:textId="77777777" w:rsidR="00AE0598" w:rsidRDefault="0069255A">
            <w:pPr>
              <w:pStyle w:val="TableParagraph"/>
              <w:spacing w:line="220" w:lineRule="exact"/>
              <w:ind w:right="47"/>
              <w:jc w:val="right"/>
              <w:rPr>
                <w:rFonts w:ascii="Cambria"/>
                <w:sz w:val="21"/>
              </w:rPr>
            </w:pPr>
            <w:r>
              <w:rPr>
                <w:rFonts w:ascii="Cambria"/>
                <w:color w:val="231F20"/>
                <w:spacing w:val="-5"/>
                <w:w w:val="95"/>
                <w:sz w:val="21"/>
              </w:rPr>
              <w:t>45</w:t>
            </w:r>
          </w:p>
        </w:tc>
      </w:tr>
      <w:tr w:rsidR="00AE0598" w14:paraId="5F542909" w14:textId="77777777">
        <w:trPr>
          <w:trHeight w:val="240"/>
        </w:trPr>
        <w:tc>
          <w:tcPr>
            <w:tcW w:w="1066" w:type="dxa"/>
          </w:tcPr>
          <w:p w14:paraId="050E6F00" w14:textId="77777777" w:rsidR="00AE0598" w:rsidRDefault="0069255A">
            <w:pPr>
              <w:pStyle w:val="TableParagraph"/>
              <w:spacing w:line="220" w:lineRule="exact"/>
              <w:ind w:left="50"/>
              <w:rPr>
                <w:rFonts w:ascii="Cambria"/>
                <w:sz w:val="21"/>
              </w:rPr>
            </w:pPr>
            <w:r>
              <w:rPr>
                <w:rFonts w:ascii="Cambria"/>
                <w:color w:val="231F20"/>
                <w:w w:val="95"/>
                <w:sz w:val="21"/>
              </w:rPr>
              <w:t>Figure</w:t>
            </w:r>
            <w:r>
              <w:rPr>
                <w:rFonts w:ascii="Cambria"/>
                <w:color w:val="231F20"/>
                <w:spacing w:val="-3"/>
                <w:w w:val="95"/>
                <w:sz w:val="21"/>
              </w:rPr>
              <w:t xml:space="preserve"> </w:t>
            </w:r>
            <w:r>
              <w:rPr>
                <w:rFonts w:ascii="Cambria"/>
                <w:color w:val="231F20"/>
                <w:spacing w:val="-5"/>
                <w:sz w:val="21"/>
              </w:rPr>
              <w:t>3.2</w:t>
            </w:r>
          </w:p>
        </w:tc>
        <w:tc>
          <w:tcPr>
            <w:tcW w:w="4881" w:type="dxa"/>
          </w:tcPr>
          <w:p w14:paraId="15C5037B" w14:textId="77777777" w:rsidR="00AE0598" w:rsidRDefault="0069255A">
            <w:pPr>
              <w:pStyle w:val="TableParagraph"/>
              <w:spacing w:line="220" w:lineRule="exact"/>
              <w:ind w:left="163"/>
              <w:rPr>
                <w:rFonts w:ascii="Cambria"/>
                <w:sz w:val="21"/>
              </w:rPr>
            </w:pPr>
            <w:r>
              <w:rPr>
                <w:rFonts w:ascii="Cambria"/>
                <w:color w:val="231F20"/>
                <w:w w:val="95"/>
                <w:sz w:val="21"/>
              </w:rPr>
              <w:t>Conceptualisation</w:t>
            </w:r>
            <w:r>
              <w:rPr>
                <w:rFonts w:ascii="Cambria"/>
                <w:color w:val="231F20"/>
                <w:spacing w:val="4"/>
                <w:sz w:val="21"/>
              </w:rPr>
              <w:t xml:space="preserve"> </w:t>
            </w:r>
            <w:r>
              <w:rPr>
                <w:rFonts w:ascii="Cambria"/>
                <w:color w:val="231F20"/>
                <w:w w:val="95"/>
                <w:sz w:val="21"/>
              </w:rPr>
              <w:t>of</w:t>
            </w:r>
            <w:r>
              <w:rPr>
                <w:rFonts w:ascii="Cambria"/>
                <w:color w:val="231F20"/>
                <w:spacing w:val="21"/>
                <w:sz w:val="21"/>
              </w:rPr>
              <w:t xml:space="preserve"> </w:t>
            </w:r>
            <w:r>
              <w:rPr>
                <w:rFonts w:ascii="Cambria"/>
                <w:color w:val="231F20"/>
                <w:w w:val="95"/>
                <w:sz w:val="21"/>
              </w:rPr>
              <w:t>the</w:t>
            </w:r>
            <w:r>
              <w:rPr>
                <w:rFonts w:ascii="Cambria"/>
                <w:color w:val="231F20"/>
                <w:spacing w:val="5"/>
                <w:sz w:val="21"/>
              </w:rPr>
              <w:t xml:space="preserve"> </w:t>
            </w:r>
            <w:r>
              <w:rPr>
                <w:rFonts w:ascii="Cambria"/>
                <w:color w:val="231F20"/>
                <w:w w:val="95"/>
                <w:sz w:val="21"/>
              </w:rPr>
              <w:t>relative</w:t>
            </w:r>
            <w:r>
              <w:rPr>
                <w:rFonts w:ascii="Cambria"/>
                <w:color w:val="231F20"/>
                <w:spacing w:val="5"/>
                <w:sz w:val="21"/>
              </w:rPr>
              <w:t xml:space="preserve"> </w:t>
            </w:r>
            <w:r>
              <w:rPr>
                <w:rFonts w:ascii="Cambria"/>
                <w:color w:val="231F20"/>
                <w:spacing w:val="-2"/>
                <w:w w:val="95"/>
                <w:sz w:val="21"/>
              </w:rPr>
              <w:t>engagement</w:t>
            </w:r>
          </w:p>
        </w:tc>
        <w:tc>
          <w:tcPr>
            <w:tcW w:w="445" w:type="dxa"/>
          </w:tcPr>
          <w:p w14:paraId="42234D2A" w14:textId="77777777" w:rsidR="00AE0598" w:rsidRDefault="00AE0598">
            <w:pPr>
              <w:pStyle w:val="TableParagraph"/>
              <w:rPr>
                <w:rFonts w:ascii="Times New Roman"/>
                <w:sz w:val="16"/>
              </w:rPr>
            </w:pPr>
          </w:p>
        </w:tc>
      </w:tr>
      <w:tr w:rsidR="00AE0598" w14:paraId="3B77C3FB" w14:textId="77777777">
        <w:trPr>
          <w:trHeight w:val="240"/>
        </w:trPr>
        <w:tc>
          <w:tcPr>
            <w:tcW w:w="1066" w:type="dxa"/>
          </w:tcPr>
          <w:p w14:paraId="3AB723DF" w14:textId="77777777" w:rsidR="00AE0598" w:rsidRDefault="00AE0598">
            <w:pPr>
              <w:pStyle w:val="TableParagraph"/>
              <w:rPr>
                <w:rFonts w:ascii="Times New Roman"/>
                <w:sz w:val="16"/>
              </w:rPr>
            </w:pPr>
          </w:p>
        </w:tc>
        <w:tc>
          <w:tcPr>
            <w:tcW w:w="4881" w:type="dxa"/>
          </w:tcPr>
          <w:p w14:paraId="1EE8078B" w14:textId="77777777" w:rsidR="00AE0598" w:rsidRDefault="0069255A">
            <w:pPr>
              <w:pStyle w:val="TableParagraph"/>
              <w:spacing w:line="220" w:lineRule="exact"/>
              <w:ind w:left="163"/>
              <w:rPr>
                <w:rFonts w:ascii="Cambria"/>
                <w:sz w:val="21"/>
              </w:rPr>
            </w:pPr>
            <w:r>
              <w:rPr>
                <w:rFonts w:ascii="Cambria"/>
                <w:color w:val="231F20"/>
                <w:w w:val="95"/>
                <w:sz w:val="21"/>
              </w:rPr>
              <w:t>of</w:t>
            </w:r>
            <w:r>
              <w:rPr>
                <w:rFonts w:ascii="Cambria"/>
                <w:color w:val="231F20"/>
                <w:spacing w:val="17"/>
                <w:sz w:val="21"/>
              </w:rPr>
              <w:t xml:space="preserve"> </w:t>
            </w:r>
            <w:r>
              <w:rPr>
                <w:rFonts w:ascii="Cambria"/>
                <w:color w:val="231F20"/>
                <w:w w:val="95"/>
                <w:sz w:val="21"/>
              </w:rPr>
              <w:t>spectators</w:t>
            </w:r>
            <w:r>
              <w:rPr>
                <w:rFonts w:ascii="Cambria"/>
                <w:color w:val="231F20"/>
                <w:spacing w:val="1"/>
                <w:sz w:val="21"/>
              </w:rPr>
              <w:t xml:space="preserve"> </w:t>
            </w:r>
            <w:r>
              <w:rPr>
                <w:rFonts w:ascii="Cambria"/>
                <w:color w:val="231F20"/>
                <w:w w:val="95"/>
                <w:sz w:val="21"/>
              </w:rPr>
              <w:t>and</w:t>
            </w:r>
            <w:r>
              <w:rPr>
                <w:rFonts w:ascii="Cambria"/>
                <w:color w:val="231F20"/>
                <w:spacing w:val="2"/>
                <w:sz w:val="21"/>
              </w:rPr>
              <w:t xml:space="preserve"> </w:t>
            </w:r>
            <w:r>
              <w:rPr>
                <w:rFonts w:ascii="Cambria"/>
                <w:color w:val="231F20"/>
                <w:w w:val="95"/>
                <w:sz w:val="21"/>
              </w:rPr>
              <w:t>participants</w:t>
            </w:r>
            <w:r>
              <w:rPr>
                <w:rFonts w:ascii="Cambria"/>
                <w:color w:val="231F20"/>
                <w:spacing w:val="2"/>
                <w:sz w:val="21"/>
              </w:rPr>
              <w:t xml:space="preserve"> </w:t>
            </w:r>
            <w:r>
              <w:rPr>
                <w:rFonts w:ascii="Cambria"/>
                <w:color w:val="231F20"/>
                <w:w w:val="95"/>
                <w:sz w:val="21"/>
              </w:rPr>
              <w:t>in</w:t>
            </w:r>
            <w:r>
              <w:rPr>
                <w:rFonts w:ascii="Cambria"/>
                <w:color w:val="231F20"/>
                <w:spacing w:val="2"/>
                <w:sz w:val="21"/>
              </w:rPr>
              <w:t xml:space="preserve"> </w:t>
            </w:r>
            <w:r>
              <w:rPr>
                <w:rFonts w:ascii="Cambria"/>
                <w:color w:val="231F20"/>
                <w:w w:val="95"/>
                <w:sz w:val="21"/>
              </w:rPr>
              <w:t>elite</w:t>
            </w:r>
            <w:r>
              <w:rPr>
                <w:rFonts w:ascii="Cambria"/>
                <w:color w:val="231F20"/>
                <w:spacing w:val="2"/>
                <w:sz w:val="21"/>
              </w:rPr>
              <w:t xml:space="preserve"> </w:t>
            </w:r>
            <w:r>
              <w:rPr>
                <w:rFonts w:ascii="Cambria"/>
                <w:color w:val="231F20"/>
                <w:spacing w:val="-5"/>
                <w:w w:val="95"/>
                <w:sz w:val="21"/>
              </w:rPr>
              <w:t>and</w:t>
            </w:r>
          </w:p>
        </w:tc>
        <w:tc>
          <w:tcPr>
            <w:tcW w:w="445" w:type="dxa"/>
          </w:tcPr>
          <w:p w14:paraId="467617B1" w14:textId="77777777" w:rsidR="00AE0598" w:rsidRDefault="00AE0598">
            <w:pPr>
              <w:pStyle w:val="TableParagraph"/>
              <w:rPr>
                <w:rFonts w:ascii="Times New Roman"/>
                <w:sz w:val="16"/>
              </w:rPr>
            </w:pPr>
          </w:p>
        </w:tc>
      </w:tr>
      <w:tr w:rsidR="00AE0598" w14:paraId="3E05B880" w14:textId="77777777">
        <w:trPr>
          <w:trHeight w:val="240"/>
        </w:trPr>
        <w:tc>
          <w:tcPr>
            <w:tcW w:w="1066" w:type="dxa"/>
          </w:tcPr>
          <w:p w14:paraId="7CA6567C" w14:textId="77777777" w:rsidR="00AE0598" w:rsidRDefault="00AE0598">
            <w:pPr>
              <w:pStyle w:val="TableParagraph"/>
              <w:rPr>
                <w:rFonts w:ascii="Times New Roman"/>
                <w:sz w:val="16"/>
              </w:rPr>
            </w:pPr>
          </w:p>
        </w:tc>
        <w:tc>
          <w:tcPr>
            <w:tcW w:w="4881" w:type="dxa"/>
          </w:tcPr>
          <w:p w14:paraId="1450DF3E" w14:textId="77777777" w:rsidR="00AE0598" w:rsidRDefault="0069255A">
            <w:pPr>
              <w:pStyle w:val="TableParagraph"/>
              <w:spacing w:line="220" w:lineRule="exact"/>
              <w:ind w:left="163"/>
              <w:rPr>
                <w:rFonts w:ascii="Cambria"/>
                <w:sz w:val="21"/>
              </w:rPr>
            </w:pPr>
            <w:r>
              <w:rPr>
                <w:rFonts w:ascii="Cambria"/>
                <w:color w:val="231F20"/>
                <w:w w:val="95"/>
                <w:sz w:val="21"/>
              </w:rPr>
              <w:t>non-elite</w:t>
            </w:r>
            <w:r>
              <w:rPr>
                <w:rFonts w:ascii="Cambria"/>
                <w:color w:val="231F20"/>
                <w:spacing w:val="-3"/>
                <w:sz w:val="21"/>
              </w:rPr>
              <w:t xml:space="preserve"> </w:t>
            </w:r>
            <w:r>
              <w:rPr>
                <w:rFonts w:ascii="Cambria"/>
                <w:color w:val="231F20"/>
                <w:w w:val="95"/>
                <w:sz w:val="21"/>
              </w:rPr>
              <w:t>sport</w:t>
            </w:r>
            <w:r>
              <w:rPr>
                <w:rFonts w:ascii="Cambria"/>
                <w:color w:val="231F20"/>
                <w:spacing w:val="-2"/>
                <w:sz w:val="21"/>
              </w:rPr>
              <w:t xml:space="preserve"> </w:t>
            </w:r>
            <w:r>
              <w:rPr>
                <w:rFonts w:ascii="Cambria"/>
                <w:color w:val="231F20"/>
                <w:spacing w:val="-2"/>
                <w:w w:val="95"/>
                <w:sz w:val="21"/>
              </w:rPr>
              <w:t>events</w:t>
            </w:r>
          </w:p>
        </w:tc>
        <w:tc>
          <w:tcPr>
            <w:tcW w:w="445" w:type="dxa"/>
          </w:tcPr>
          <w:p w14:paraId="7D90FB4D" w14:textId="77777777" w:rsidR="00AE0598" w:rsidRDefault="0069255A">
            <w:pPr>
              <w:pStyle w:val="TableParagraph"/>
              <w:spacing w:line="220" w:lineRule="exact"/>
              <w:ind w:right="47"/>
              <w:jc w:val="right"/>
              <w:rPr>
                <w:rFonts w:ascii="Cambria"/>
                <w:sz w:val="21"/>
              </w:rPr>
            </w:pPr>
            <w:r>
              <w:rPr>
                <w:rFonts w:ascii="Cambria"/>
                <w:color w:val="231F20"/>
                <w:spacing w:val="-5"/>
                <w:w w:val="95"/>
                <w:sz w:val="21"/>
              </w:rPr>
              <w:t>49</w:t>
            </w:r>
          </w:p>
        </w:tc>
      </w:tr>
      <w:tr w:rsidR="00AE0598" w14:paraId="4F986556" w14:textId="77777777">
        <w:trPr>
          <w:trHeight w:val="240"/>
        </w:trPr>
        <w:tc>
          <w:tcPr>
            <w:tcW w:w="1066" w:type="dxa"/>
          </w:tcPr>
          <w:p w14:paraId="7C83E654" w14:textId="77777777" w:rsidR="00AE0598" w:rsidRDefault="0069255A">
            <w:pPr>
              <w:pStyle w:val="TableParagraph"/>
              <w:spacing w:line="220" w:lineRule="exact"/>
              <w:ind w:left="50"/>
              <w:rPr>
                <w:rFonts w:ascii="Cambria"/>
                <w:sz w:val="21"/>
              </w:rPr>
            </w:pPr>
            <w:r>
              <w:rPr>
                <w:rFonts w:ascii="Cambria"/>
                <w:color w:val="231F20"/>
                <w:w w:val="95"/>
                <w:sz w:val="21"/>
              </w:rPr>
              <w:t>Figure</w:t>
            </w:r>
            <w:r>
              <w:rPr>
                <w:rFonts w:ascii="Cambria"/>
                <w:color w:val="231F20"/>
                <w:spacing w:val="-3"/>
                <w:w w:val="95"/>
                <w:sz w:val="21"/>
              </w:rPr>
              <w:t xml:space="preserve"> </w:t>
            </w:r>
            <w:r>
              <w:rPr>
                <w:rFonts w:ascii="Cambria"/>
                <w:color w:val="231F20"/>
                <w:spacing w:val="-5"/>
                <w:sz w:val="21"/>
              </w:rPr>
              <w:t>4.1</w:t>
            </w:r>
          </w:p>
        </w:tc>
        <w:tc>
          <w:tcPr>
            <w:tcW w:w="4881" w:type="dxa"/>
          </w:tcPr>
          <w:p w14:paraId="6B2830EE" w14:textId="77777777" w:rsidR="00AE0598" w:rsidRDefault="0069255A">
            <w:pPr>
              <w:pStyle w:val="TableParagraph"/>
              <w:spacing w:line="220" w:lineRule="exact"/>
              <w:ind w:left="163"/>
              <w:rPr>
                <w:rFonts w:ascii="Cambria"/>
                <w:sz w:val="21"/>
              </w:rPr>
            </w:pPr>
            <w:r>
              <w:rPr>
                <w:rFonts w:ascii="Cambria"/>
                <w:color w:val="231F20"/>
                <w:w w:val="95"/>
                <w:sz w:val="21"/>
              </w:rPr>
              <w:t>Sustainable</w:t>
            </w:r>
            <w:r>
              <w:rPr>
                <w:rFonts w:ascii="Cambria"/>
                <w:color w:val="231F20"/>
                <w:spacing w:val="-3"/>
                <w:w w:val="95"/>
                <w:sz w:val="21"/>
              </w:rPr>
              <w:t xml:space="preserve"> </w:t>
            </w:r>
            <w:r>
              <w:rPr>
                <w:rFonts w:ascii="Cambria"/>
                <w:color w:val="231F20"/>
                <w:w w:val="95"/>
                <w:sz w:val="21"/>
              </w:rPr>
              <w:t>sport</w:t>
            </w:r>
            <w:r>
              <w:rPr>
                <w:rFonts w:ascii="Cambria"/>
                <w:color w:val="231F20"/>
                <w:spacing w:val="-3"/>
                <w:w w:val="95"/>
                <w:sz w:val="21"/>
              </w:rPr>
              <w:t xml:space="preserve"> </w:t>
            </w:r>
            <w:r>
              <w:rPr>
                <w:rFonts w:ascii="Cambria"/>
                <w:color w:val="231F20"/>
                <w:spacing w:val="-2"/>
                <w:w w:val="95"/>
                <w:sz w:val="21"/>
              </w:rPr>
              <w:t>tourism</w:t>
            </w:r>
          </w:p>
        </w:tc>
        <w:tc>
          <w:tcPr>
            <w:tcW w:w="445" w:type="dxa"/>
          </w:tcPr>
          <w:p w14:paraId="7FEA0395" w14:textId="77777777" w:rsidR="00AE0598" w:rsidRDefault="0069255A">
            <w:pPr>
              <w:pStyle w:val="TableParagraph"/>
              <w:spacing w:line="220" w:lineRule="exact"/>
              <w:ind w:right="47"/>
              <w:jc w:val="right"/>
              <w:rPr>
                <w:rFonts w:ascii="Cambria"/>
                <w:sz w:val="21"/>
              </w:rPr>
            </w:pPr>
            <w:r>
              <w:rPr>
                <w:rFonts w:ascii="Cambria"/>
                <w:color w:val="231F20"/>
                <w:spacing w:val="-5"/>
                <w:w w:val="95"/>
                <w:sz w:val="21"/>
              </w:rPr>
              <w:t>66</w:t>
            </w:r>
          </w:p>
        </w:tc>
      </w:tr>
      <w:tr w:rsidR="00AE0598" w14:paraId="6D1C24C6" w14:textId="77777777">
        <w:trPr>
          <w:trHeight w:val="240"/>
        </w:trPr>
        <w:tc>
          <w:tcPr>
            <w:tcW w:w="1066" w:type="dxa"/>
          </w:tcPr>
          <w:p w14:paraId="247477F9" w14:textId="77777777" w:rsidR="00AE0598" w:rsidRDefault="0069255A">
            <w:pPr>
              <w:pStyle w:val="TableParagraph"/>
              <w:spacing w:line="220" w:lineRule="exact"/>
              <w:ind w:left="50"/>
              <w:rPr>
                <w:rFonts w:ascii="Cambria"/>
                <w:sz w:val="21"/>
              </w:rPr>
            </w:pPr>
            <w:r>
              <w:rPr>
                <w:rFonts w:ascii="Cambria"/>
                <w:color w:val="231F20"/>
                <w:spacing w:val="-5"/>
                <w:sz w:val="21"/>
              </w:rPr>
              <w:t>Table</w:t>
            </w:r>
            <w:r>
              <w:rPr>
                <w:rFonts w:ascii="Cambria"/>
                <w:color w:val="231F20"/>
                <w:spacing w:val="-2"/>
                <w:sz w:val="21"/>
              </w:rPr>
              <w:t xml:space="preserve"> </w:t>
            </w:r>
            <w:r>
              <w:rPr>
                <w:rFonts w:ascii="Cambria"/>
                <w:color w:val="231F20"/>
                <w:spacing w:val="-5"/>
                <w:sz w:val="21"/>
              </w:rPr>
              <w:t>4.1</w:t>
            </w:r>
          </w:p>
        </w:tc>
        <w:tc>
          <w:tcPr>
            <w:tcW w:w="4881" w:type="dxa"/>
          </w:tcPr>
          <w:p w14:paraId="232B5C3B" w14:textId="77777777" w:rsidR="00AE0598" w:rsidRDefault="0069255A">
            <w:pPr>
              <w:pStyle w:val="TableParagraph"/>
              <w:spacing w:line="220" w:lineRule="exact"/>
              <w:ind w:left="164"/>
              <w:rPr>
                <w:rFonts w:ascii="Cambria" w:hAnsi="Cambria"/>
                <w:sz w:val="21"/>
              </w:rPr>
            </w:pPr>
            <w:r>
              <w:rPr>
                <w:rFonts w:ascii="Cambria" w:hAnsi="Cambria"/>
                <w:color w:val="231F20"/>
                <w:spacing w:val="-2"/>
                <w:sz w:val="21"/>
              </w:rPr>
              <w:t>UN</w:t>
            </w:r>
            <w:r>
              <w:rPr>
                <w:rFonts w:ascii="Cambria" w:hAnsi="Cambria"/>
                <w:color w:val="231F20"/>
                <w:spacing w:val="-3"/>
                <w:sz w:val="21"/>
              </w:rPr>
              <w:t xml:space="preserve"> </w:t>
            </w:r>
            <w:r>
              <w:rPr>
                <w:rFonts w:ascii="Cambria" w:hAnsi="Cambria"/>
                <w:color w:val="231F20"/>
                <w:spacing w:val="-2"/>
                <w:sz w:val="21"/>
              </w:rPr>
              <w:t>Sustainable Development Goals (2015–2030)</w:t>
            </w:r>
          </w:p>
        </w:tc>
        <w:tc>
          <w:tcPr>
            <w:tcW w:w="445" w:type="dxa"/>
          </w:tcPr>
          <w:p w14:paraId="517E15EE" w14:textId="77777777" w:rsidR="00AE0598" w:rsidRDefault="0069255A">
            <w:pPr>
              <w:pStyle w:val="TableParagraph"/>
              <w:spacing w:line="220" w:lineRule="exact"/>
              <w:ind w:right="48"/>
              <w:jc w:val="right"/>
              <w:rPr>
                <w:rFonts w:ascii="Cambria"/>
                <w:sz w:val="21"/>
              </w:rPr>
            </w:pPr>
            <w:r>
              <w:rPr>
                <w:rFonts w:ascii="Cambria"/>
                <w:color w:val="231F20"/>
                <w:spacing w:val="-5"/>
                <w:w w:val="95"/>
                <w:sz w:val="21"/>
              </w:rPr>
              <w:t>69</w:t>
            </w:r>
          </w:p>
        </w:tc>
      </w:tr>
      <w:tr w:rsidR="00AE0598" w14:paraId="4F5423BD" w14:textId="77777777">
        <w:trPr>
          <w:trHeight w:val="240"/>
        </w:trPr>
        <w:tc>
          <w:tcPr>
            <w:tcW w:w="1066" w:type="dxa"/>
          </w:tcPr>
          <w:p w14:paraId="6BBBAD8C" w14:textId="77777777" w:rsidR="00AE0598" w:rsidRDefault="0069255A">
            <w:pPr>
              <w:pStyle w:val="TableParagraph"/>
              <w:spacing w:line="220" w:lineRule="exact"/>
              <w:ind w:left="50"/>
              <w:rPr>
                <w:rFonts w:ascii="Cambria"/>
                <w:sz w:val="21"/>
              </w:rPr>
            </w:pPr>
            <w:r>
              <w:rPr>
                <w:rFonts w:ascii="Cambria"/>
                <w:color w:val="231F20"/>
                <w:spacing w:val="-5"/>
                <w:sz w:val="21"/>
              </w:rPr>
              <w:t>Table</w:t>
            </w:r>
            <w:r>
              <w:rPr>
                <w:rFonts w:ascii="Cambria"/>
                <w:color w:val="231F20"/>
                <w:spacing w:val="-2"/>
                <w:sz w:val="21"/>
              </w:rPr>
              <w:t xml:space="preserve"> </w:t>
            </w:r>
            <w:r>
              <w:rPr>
                <w:rFonts w:ascii="Cambria"/>
                <w:color w:val="231F20"/>
                <w:spacing w:val="-5"/>
                <w:sz w:val="21"/>
              </w:rPr>
              <w:t>5.1</w:t>
            </w:r>
          </w:p>
        </w:tc>
        <w:tc>
          <w:tcPr>
            <w:tcW w:w="4881" w:type="dxa"/>
          </w:tcPr>
          <w:p w14:paraId="19FDCA2C" w14:textId="77777777" w:rsidR="00AE0598" w:rsidRDefault="0069255A">
            <w:pPr>
              <w:pStyle w:val="TableParagraph"/>
              <w:spacing w:line="220" w:lineRule="exact"/>
              <w:ind w:left="164"/>
              <w:rPr>
                <w:rFonts w:ascii="Cambria"/>
                <w:sz w:val="21"/>
              </w:rPr>
            </w:pPr>
            <w:r>
              <w:rPr>
                <w:rFonts w:ascii="Cambria"/>
                <w:color w:val="231F20"/>
                <w:w w:val="95"/>
                <w:sz w:val="21"/>
              </w:rPr>
              <w:t>Theory</w:t>
            </w:r>
            <w:r>
              <w:rPr>
                <w:rFonts w:ascii="Cambria"/>
                <w:color w:val="231F20"/>
                <w:spacing w:val="9"/>
                <w:sz w:val="21"/>
              </w:rPr>
              <w:t xml:space="preserve"> </w:t>
            </w:r>
            <w:r>
              <w:rPr>
                <w:rFonts w:ascii="Cambria"/>
                <w:color w:val="231F20"/>
                <w:w w:val="95"/>
                <w:sz w:val="21"/>
              </w:rPr>
              <w:t>of</w:t>
            </w:r>
            <w:r>
              <w:rPr>
                <w:rFonts w:ascii="Cambria"/>
                <w:color w:val="231F20"/>
                <w:spacing w:val="27"/>
                <w:sz w:val="21"/>
              </w:rPr>
              <w:t xml:space="preserve"> </w:t>
            </w:r>
            <w:r>
              <w:rPr>
                <w:rFonts w:ascii="Cambria"/>
                <w:color w:val="231F20"/>
                <w:w w:val="95"/>
                <w:sz w:val="21"/>
              </w:rPr>
              <w:t>sports</w:t>
            </w:r>
            <w:r>
              <w:rPr>
                <w:rFonts w:ascii="Cambria"/>
                <w:color w:val="231F20"/>
                <w:spacing w:val="10"/>
                <w:sz w:val="21"/>
              </w:rPr>
              <w:t xml:space="preserve"> </w:t>
            </w:r>
            <w:r>
              <w:rPr>
                <w:rFonts w:ascii="Cambria"/>
                <w:color w:val="231F20"/>
                <w:spacing w:val="-2"/>
                <w:w w:val="95"/>
                <w:sz w:val="21"/>
              </w:rPr>
              <w:t>locations</w:t>
            </w:r>
          </w:p>
        </w:tc>
        <w:tc>
          <w:tcPr>
            <w:tcW w:w="445" w:type="dxa"/>
          </w:tcPr>
          <w:p w14:paraId="3841CCA2" w14:textId="77777777" w:rsidR="00AE0598" w:rsidRDefault="0069255A">
            <w:pPr>
              <w:pStyle w:val="TableParagraph"/>
              <w:spacing w:line="220" w:lineRule="exact"/>
              <w:ind w:right="47"/>
              <w:jc w:val="right"/>
              <w:rPr>
                <w:rFonts w:ascii="Cambria"/>
                <w:sz w:val="21"/>
              </w:rPr>
            </w:pPr>
            <w:r>
              <w:rPr>
                <w:rFonts w:ascii="Cambria"/>
                <w:color w:val="231F20"/>
                <w:spacing w:val="-5"/>
                <w:w w:val="95"/>
                <w:sz w:val="21"/>
              </w:rPr>
              <w:t>93</w:t>
            </w:r>
          </w:p>
        </w:tc>
      </w:tr>
      <w:tr w:rsidR="00AE0598" w14:paraId="2FECEC54" w14:textId="77777777">
        <w:trPr>
          <w:trHeight w:val="240"/>
        </w:trPr>
        <w:tc>
          <w:tcPr>
            <w:tcW w:w="1066" w:type="dxa"/>
          </w:tcPr>
          <w:p w14:paraId="69EBEF09" w14:textId="77777777" w:rsidR="00AE0598" w:rsidRDefault="0069255A">
            <w:pPr>
              <w:pStyle w:val="TableParagraph"/>
              <w:spacing w:line="220" w:lineRule="exact"/>
              <w:ind w:left="50"/>
              <w:rPr>
                <w:rFonts w:ascii="Cambria"/>
                <w:sz w:val="21"/>
              </w:rPr>
            </w:pPr>
            <w:r>
              <w:rPr>
                <w:rFonts w:ascii="Cambria"/>
                <w:color w:val="231F20"/>
                <w:spacing w:val="-5"/>
                <w:sz w:val="21"/>
              </w:rPr>
              <w:t>Table</w:t>
            </w:r>
            <w:r>
              <w:rPr>
                <w:rFonts w:ascii="Cambria"/>
                <w:color w:val="231F20"/>
                <w:spacing w:val="-2"/>
                <w:sz w:val="21"/>
              </w:rPr>
              <w:t xml:space="preserve"> </w:t>
            </w:r>
            <w:r>
              <w:rPr>
                <w:rFonts w:ascii="Cambria"/>
                <w:color w:val="231F20"/>
                <w:spacing w:val="-5"/>
                <w:sz w:val="21"/>
              </w:rPr>
              <w:t>5.2</w:t>
            </w:r>
          </w:p>
        </w:tc>
        <w:tc>
          <w:tcPr>
            <w:tcW w:w="4881" w:type="dxa"/>
          </w:tcPr>
          <w:p w14:paraId="1B3E2342" w14:textId="77777777" w:rsidR="00AE0598" w:rsidRDefault="0069255A">
            <w:pPr>
              <w:pStyle w:val="TableParagraph"/>
              <w:spacing w:line="220" w:lineRule="exact"/>
              <w:ind w:left="164"/>
              <w:rPr>
                <w:rFonts w:ascii="Cambria"/>
                <w:sz w:val="21"/>
              </w:rPr>
            </w:pPr>
            <w:r>
              <w:rPr>
                <w:rFonts w:ascii="Cambria"/>
                <w:color w:val="231F20"/>
                <w:w w:val="95"/>
                <w:sz w:val="21"/>
              </w:rPr>
              <w:t>Spatial</w:t>
            </w:r>
            <w:r>
              <w:rPr>
                <w:rFonts w:ascii="Cambria"/>
                <w:color w:val="231F20"/>
                <w:spacing w:val="8"/>
                <w:sz w:val="21"/>
              </w:rPr>
              <w:t xml:space="preserve"> </w:t>
            </w:r>
            <w:r>
              <w:rPr>
                <w:rFonts w:ascii="Cambria"/>
                <w:color w:val="231F20"/>
                <w:w w:val="95"/>
                <w:sz w:val="21"/>
              </w:rPr>
              <w:t>dynamics</w:t>
            </w:r>
            <w:r>
              <w:rPr>
                <w:rFonts w:ascii="Cambria"/>
                <w:color w:val="231F20"/>
                <w:spacing w:val="9"/>
                <w:sz w:val="21"/>
              </w:rPr>
              <w:t xml:space="preserve"> </w:t>
            </w:r>
            <w:r>
              <w:rPr>
                <w:rFonts w:ascii="Cambria"/>
                <w:color w:val="231F20"/>
                <w:w w:val="95"/>
                <w:sz w:val="21"/>
              </w:rPr>
              <w:t>of</w:t>
            </w:r>
            <w:r>
              <w:rPr>
                <w:rFonts w:ascii="Cambria"/>
                <w:color w:val="231F20"/>
                <w:spacing w:val="26"/>
                <w:sz w:val="21"/>
              </w:rPr>
              <w:t xml:space="preserve"> </w:t>
            </w:r>
            <w:r>
              <w:rPr>
                <w:rFonts w:ascii="Cambria"/>
                <w:color w:val="231F20"/>
                <w:w w:val="95"/>
                <w:sz w:val="21"/>
              </w:rPr>
              <w:t>sport</w:t>
            </w:r>
            <w:r>
              <w:rPr>
                <w:rFonts w:ascii="Cambria"/>
                <w:color w:val="231F20"/>
                <w:spacing w:val="9"/>
                <w:sz w:val="21"/>
              </w:rPr>
              <w:t xml:space="preserve"> </w:t>
            </w:r>
            <w:r>
              <w:rPr>
                <w:rFonts w:ascii="Cambria"/>
                <w:color w:val="231F20"/>
                <w:spacing w:val="-2"/>
                <w:w w:val="95"/>
                <w:sz w:val="21"/>
              </w:rPr>
              <w:t>tourism</w:t>
            </w:r>
          </w:p>
        </w:tc>
        <w:tc>
          <w:tcPr>
            <w:tcW w:w="445" w:type="dxa"/>
          </w:tcPr>
          <w:p w14:paraId="39DB5F89" w14:textId="77777777" w:rsidR="00AE0598" w:rsidRDefault="00AE0598">
            <w:pPr>
              <w:pStyle w:val="TableParagraph"/>
              <w:rPr>
                <w:rFonts w:ascii="Times New Roman"/>
                <w:sz w:val="16"/>
              </w:rPr>
            </w:pPr>
          </w:p>
        </w:tc>
      </w:tr>
      <w:tr w:rsidR="00AE0598" w14:paraId="3CEC5D10" w14:textId="77777777">
        <w:trPr>
          <w:trHeight w:val="240"/>
        </w:trPr>
        <w:tc>
          <w:tcPr>
            <w:tcW w:w="1066" w:type="dxa"/>
          </w:tcPr>
          <w:p w14:paraId="2F331906" w14:textId="77777777" w:rsidR="00AE0598" w:rsidRDefault="00AE0598">
            <w:pPr>
              <w:pStyle w:val="TableParagraph"/>
              <w:rPr>
                <w:rFonts w:ascii="Times New Roman"/>
                <w:sz w:val="16"/>
              </w:rPr>
            </w:pPr>
          </w:p>
        </w:tc>
        <w:tc>
          <w:tcPr>
            <w:tcW w:w="4881" w:type="dxa"/>
          </w:tcPr>
          <w:p w14:paraId="5653D218" w14:textId="77777777" w:rsidR="00AE0598" w:rsidRDefault="0069255A">
            <w:pPr>
              <w:pStyle w:val="TableParagraph"/>
              <w:spacing w:line="220" w:lineRule="exact"/>
              <w:ind w:left="163"/>
              <w:rPr>
                <w:rFonts w:ascii="Cambria"/>
                <w:sz w:val="21"/>
              </w:rPr>
            </w:pPr>
            <w:r>
              <w:rPr>
                <w:rFonts w:ascii="Cambria"/>
                <w:color w:val="231F20"/>
                <w:w w:val="95"/>
                <w:sz w:val="21"/>
              </w:rPr>
              <w:t>in</w:t>
            </w:r>
            <w:r>
              <w:rPr>
                <w:rFonts w:ascii="Cambria"/>
                <w:color w:val="231F20"/>
                <w:spacing w:val="-5"/>
                <w:w w:val="95"/>
                <w:sz w:val="21"/>
              </w:rPr>
              <w:t xml:space="preserve"> </w:t>
            </w:r>
            <w:r>
              <w:rPr>
                <w:rFonts w:ascii="Cambria"/>
                <w:color w:val="231F20"/>
                <w:w w:val="95"/>
                <w:sz w:val="21"/>
              </w:rPr>
              <w:t>peripheral</w:t>
            </w:r>
            <w:r>
              <w:rPr>
                <w:rFonts w:ascii="Cambria"/>
                <w:color w:val="231F20"/>
                <w:spacing w:val="-5"/>
                <w:w w:val="95"/>
                <w:sz w:val="21"/>
              </w:rPr>
              <w:t xml:space="preserve"> </w:t>
            </w:r>
            <w:r>
              <w:rPr>
                <w:rFonts w:ascii="Cambria"/>
                <w:color w:val="231F20"/>
                <w:spacing w:val="-2"/>
                <w:w w:val="95"/>
                <w:sz w:val="21"/>
              </w:rPr>
              <w:t>areas</w:t>
            </w:r>
          </w:p>
        </w:tc>
        <w:tc>
          <w:tcPr>
            <w:tcW w:w="445" w:type="dxa"/>
          </w:tcPr>
          <w:p w14:paraId="68AFD788" w14:textId="77777777" w:rsidR="00AE0598" w:rsidRDefault="0069255A">
            <w:pPr>
              <w:pStyle w:val="TableParagraph"/>
              <w:spacing w:line="220" w:lineRule="exact"/>
              <w:ind w:right="47"/>
              <w:jc w:val="right"/>
              <w:rPr>
                <w:rFonts w:ascii="Cambria"/>
                <w:sz w:val="21"/>
              </w:rPr>
            </w:pPr>
            <w:r>
              <w:rPr>
                <w:rFonts w:ascii="Cambria"/>
                <w:color w:val="231F20"/>
                <w:spacing w:val="-5"/>
                <w:w w:val="95"/>
                <w:sz w:val="21"/>
              </w:rPr>
              <w:t>108</w:t>
            </w:r>
          </w:p>
        </w:tc>
      </w:tr>
      <w:tr w:rsidR="00AE0598" w14:paraId="1E869FCA" w14:textId="77777777">
        <w:trPr>
          <w:trHeight w:val="240"/>
        </w:trPr>
        <w:tc>
          <w:tcPr>
            <w:tcW w:w="1066" w:type="dxa"/>
          </w:tcPr>
          <w:p w14:paraId="52BB14CA" w14:textId="77777777" w:rsidR="00AE0598" w:rsidRDefault="0069255A">
            <w:pPr>
              <w:pStyle w:val="TableParagraph"/>
              <w:spacing w:line="220" w:lineRule="exact"/>
              <w:ind w:left="50"/>
              <w:rPr>
                <w:rFonts w:ascii="Cambria"/>
                <w:sz w:val="21"/>
              </w:rPr>
            </w:pPr>
            <w:r>
              <w:rPr>
                <w:rFonts w:ascii="Cambria"/>
                <w:color w:val="231F20"/>
                <w:spacing w:val="-5"/>
                <w:sz w:val="21"/>
              </w:rPr>
              <w:t>Table</w:t>
            </w:r>
            <w:r>
              <w:rPr>
                <w:rFonts w:ascii="Cambria"/>
                <w:color w:val="231F20"/>
                <w:spacing w:val="-2"/>
                <w:sz w:val="21"/>
              </w:rPr>
              <w:t xml:space="preserve"> </w:t>
            </w:r>
            <w:r>
              <w:rPr>
                <w:rFonts w:ascii="Cambria"/>
                <w:color w:val="231F20"/>
                <w:spacing w:val="-5"/>
                <w:sz w:val="21"/>
              </w:rPr>
              <w:t>6.1</w:t>
            </w:r>
          </w:p>
        </w:tc>
        <w:tc>
          <w:tcPr>
            <w:tcW w:w="4881" w:type="dxa"/>
          </w:tcPr>
          <w:p w14:paraId="6E196B63" w14:textId="77777777" w:rsidR="00AE0598" w:rsidRDefault="0069255A">
            <w:pPr>
              <w:pStyle w:val="TableParagraph"/>
              <w:spacing w:line="220" w:lineRule="exact"/>
              <w:ind w:left="164"/>
              <w:rPr>
                <w:rFonts w:ascii="Cambria"/>
                <w:sz w:val="21"/>
              </w:rPr>
            </w:pPr>
            <w:r>
              <w:rPr>
                <w:rFonts w:ascii="Cambria"/>
                <w:color w:val="231F20"/>
                <w:w w:val="95"/>
                <w:sz w:val="21"/>
              </w:rPr>
              <w:t>Characteristics</w:t>
            </w:r>
            <w:r>
              <w:rPr>
                <w:rFonts w:ascii="Cambria"/>
                <w:color w:val="231F20"/>
                <w:spacing w:val="7"/>
                <w:sz w:val="21"/>
              </w:rPr>
              <w:t xml:space="preserve"> </w:t>
            </w:r>
            <w:r>
              <w:rPr>
                <w:rFonts w:ascii="Cambria"/>
                <w:color w:val="231F20"/>
                <w:w w:val="95"/>
                <w:sz w:val="21"/>
              </w:rPr>
              <w:t>and</w:t>
            </w:r>
            <w:r>
              <w:rPr>
                <w:rFonts w:ascii="Cambria"/>
                <w:color w:val="231F20"/>
                <w:spacing w:val="7"/>
                <w:sz w:val="21"/>
              </w:rPr>
              <w:t xml:space="preserve"> </w:t>
            </w:r>
            <w:r>
              <w:rPr>
                <w:rFonts w:ascii="Cambria"/>
                <w:color w:val="231F20"/>
                <w:w w:val="95"/>
                <w:sz w:val="21"/>
              </w:rPr>
              <w:t>types</w:t>
            </w:r>
            <w:r>
              <w:rPr>
                <w:rFonts w:ascii="Cambria"/>
                <w:color w:val="231F20"/>
                <w:spacing w:val="7"/>
                <w:sz w:val="21"/>
              </w:rPr>
              <w:t xml:space="preserve"> </w:t>
            </w:r>
            <w:r>
              <w:rPr>
                <w:rFonts w:ascii="Cambria"/>
                <w:color w:val="231F20"/>
                <w:w w:val="95"/>
                <w:sz w:val="21"/>
              </w:rPr>
              <w:t>of</w:t>
            </w:r>
            <w:r>
              <w:rPr>
                <w:rFonts w:ascii="Cambria"/>
                <w:color w:val="231F20"/>
                <w:spacing w:val="24"/>
                <w:sz w:val="21"/>
              </w:rPr>
              <w:t xml:space="preserve"> </w:t>
            </w:r>
            <w:r>
              <w:rPr>
                <w:rFonts w:ascii="Cambria"/>
                <w:color w:val="231F20"/>
                <w:spacing w:val="-2"/>
                <w:w w:val="95"/>
                <w:sz w:val="21"/>
              </w:rPr>
              <w:t>participation</w:t>
            </w:r>
          </w:p>
        </w:tc>
        <w:tc>
          <w:tcPr>
            <w:tcW w:w="445" w:type="dxa"/>
          </w:tcPr>
          <w:p w14:paraId="6039A548" w14:textId="77777777" w:rsidR="00AE0598" w:rsidRDefault="00AE0598">
            <w:pPr>
              <w:pStyle w:val="TableParagraph"/>
              <w:rPr>
                <w:rFonts w:ascii="Times New Roman"/>
                <w:sz w:val="16"/>
              </w:rPr>
            </w:pPr>
          </w:p>
        </w:tc>
      </w:tr>
      <w:tr w:rsidR="00AE0598" w14:paraId="73FFB104" w14:textId="77777777">
        <w:trPr>
          <w:trHeight w:val="240"/>
        </w:trPr>
        <w:tc>
          <w:tcPr>
            <w:tcW w:w="1066" w:type="dxa"/>
          </w:tcPr>
          <w:p w14:paraId="2DACB9B0" w14:textId="77777777" w:rsidR="00AE0598" w:rsidRDefault="00AE0598">
            <w:pPr>
              <w:pStyle w:val="TableParagraph"/>
              <w:rPr>
                <w:rFonts w:ascii="Times New Roman"/>
                <w:sz w:val="16"/>
              </w:rPr>
            </w:pPr>
          </w:p>
        </w:tc>
        <w:tc>
          <w:tcPr>
            <w:tcW w:w="4881" w:type="dxa"/>
          </w:tcPr>
          <w:p w14:paraId="565C5C58" w14:textId="77777777" w:rsidR="00AE0598" w:rsidRDefault="0069255A">
            <w:pPr>
              <w:pStyle w:val="TableParagraph"/>
              <w:spacing w:line="220" w:lineRule="exact"/>
              <w:ind w:left="163"/>
              <w:rPr>
                <w:rFonts w:ascii="Cambria"/>
                <w:sz w:val="21"/>
              </w:rPr>
            </w:pPr>
            <w:r>
              <w:rPr>
                <w:rFonts w:ascii="Cambria"/>
                <w:color w:val="231F20"/>
                <w:w w:val="95"/>
                <w:sz w:val="21"/>
              </w:rPr>
              <w:t>in</w:t>
            </w:r>
            <w:r>
              <w:rPr>
                <w:rFonts w:ascii="Cambria"/>
                <w:color w:val="231F20"/>
                <w:spacing w:val="4"/>
                <w:sz w:val="21"/>
              </w:rPr>
              <w:t xml:space="preserve"> </w:t>
            </w:r>
            <w:r>
              <w:rPr>
                <w:rFonts w:ascii="Cambria"/>
                <w:color w:val="231F20"/>
                <w:w w:val="95"/>
                <w:sz w:val="21"/>
              </w:rPr>
              <w:t>a</w:t>
            </w:r>
            <w:r>
              <w:rPr>
                <w:rFonts w:ascii="Cambria"/>
                <w:color w:val="231F20"/>
                <w:spacing w:val="4"/>
                <w:sz w:val="21"/>
              </w:rPr>
              <w:t xml:space="preserve"> </w:t>
            </w:r>
            <w:r>
              <w:rPr>
                <w:rFonts w:ascii="Cambria"/>
                <w:color w:val="231F20"/>
                <w:w w:val="95"/>
                <w:sz w:val="21"/>
              </w:rPr>
              <w:t>distance</w:t>
            </w:r>
            <w:r>
              <w:rPr>
                <w:rFonts w:ascii="Cambria"/>
                <w:color w:val="231F20"/>
                <w:spacing w:val="4"/>
                <w:sz w:val="21"/>
              </w:rPr>
              <w:t xml:space="preserve"> </w:t>
            </w:r>
            <w:r>
              <w:rPr>
                <w:rFonts w:ascii="Cambria"/>
                <w:color w:val="231F20"/>
                <w:w w:val="95"/>
                <w:sz w:val="21"/>
              </w:rPr>
              <w:t>running</w:t>
            </w:r>
            <w:r>
              <w:rPr>
                <w:rFonts w:ascii="Cambria"/>
                <w:color w:val="231F20"/>
                <w:spacing w:val="4"/>
                <w:sz w:val="21"/>
              </w:rPr>
              <w:t xml:space="preserve"> </w:t>
            </w:r>
            <w:r>
              <w:rPr>
                <w:rFonts w:ascii="Cambria"/>
                <w:color w:val="231F20"/>
                <w:w w:val="95"/>
                <w:sz w:val="21"/>
              </w:rPr>
              <w:t>social</w:t>
            </w:r>
            <w:r>
              <w:rPr>
                <w:rFonts w:ascii="Cambria"/>
                <w:color w:val="231F20"/>
                <w:spacing w:val="4"/>
                <w:sz w:val="21"/>
              </w:rPr>
              <w:t xml:space="preserve"> </w:t>
            </w:r>
            <w:r>
              <w:rPr>
                <w:rFonts w:ascii="Cambria"/>
                <w:color w:val="231F20"/>
                <w:spacing w:val="-2"/>
                <w:w w:val="95"/>
                <w:sz w:val="21"/>
              </w:rPr>
              <w:t>world</w:t>
            </w:r>
          </w:p>
        </w:tc>
        <w:tc>
          <w:tcPr>
            <w:tcW w:w="445" w:type="dxa"/>
          </w:tcPr>
          <w:p w14:paraId="304F79C8" w14:textId="77777777" w:rsidR="00AE0598" w:rsidRDefault="0069255A">
            <w:pPr>
              <w:pStyle w:val="TableParagraph"/>
              <w:spacing w:line="220" w:lineRule="exact"/>
              <w:ind w:right="47"/>
              <w:jc w:val="right"/>
              <w:rPr>
                <w:rFonts w:ascii="Cambria"/>
                <w:sz w:val="21"/>
              </w:rPr>
            </w:pPr>
            <w:r>
              <w:rPr>
                <w:rFonts w:ascii="Cambria"/>
                <w:color w:val="231F20"/>
                <w:spacing w:val="-5"/>
                <w:w w:val="95"/>
                <w:sz w:val="21"/>
              </w:rPr>
              <w:t>127</w:t>
            </w:r>
          </w:p>
        </w:tc>
      </w:tr>
      <w:tr w:rsidR="00AE0598" w14:paraId="6CDAB776" w14:textId="77777777">
        <w:trPr>
          <w:trHeight w:val="240"/>
        </w:trPr>
        <w:tc>
          <w:tcPr>
            <w:tcW w:w="1066" w:type="dxa"/>
          </w:tcPr>
          <w:p w14:paraId="3336CB9C" w14:textId="77777777" w:rsidR="00AE0598" w:rsidRDefault="0069255A">
            <w:pPr>
              <w:pStyle w:val="TableParagraph"/>
              <w:spacing w:line="220" w:lineRule="exact"/>
              <w:ind w:left="50"/>
              <w:rPr>
                <w:rFonts w:ascii="Cambria"/>
                <w:sz w:val="21"/>
              </w:rPr>
            </w:pPr>
            <w:r>
              <w:rPr>
                <w:rFonts w:ascii="Cambria"/>
                <w:color w:val="231F20"/>
                <w:spacing w:val="-5"/>
                <w:sz w:val="21"/>
              </w:rPr>
              <w:t>Table</w:t>
            </w:r>
            <w:r>
              <w:rPr>
                <w:rFonts w:ascii="Cambria"/>
                <w:color w:val="231F20"/>
                <w:spacing w:val="-2"/>
                <w:sz w:val="21"/>
              </w:rPr>
              <w:t xml:space="preserve"> </w:t>
            </w:r>
            <w:r>
              <w:rPr>
                <w:rFonts w:ascii="Cambria"/>
                <w:color w:val="231F20"/>
                <w:spacing w:val="-5"/>
                <w:sz w:val="21"/>
              </w:rPr>
              <w:t>7.1</w:t>
            </w:r>
          </w:p>
        </w:tc>
        <w:tc>
          <w:tcPr>
            <w:tcW w:w="4881" w:type="dxa"/>
          </w:tcPr>
          <w:p w14:paraId="582DDB8A" w14:textId="77777777" w:rsidR="00AE0598" w:rsidRDefault="0069255A">
            <w:pPr>
              <w:pStyle w:val="TableParagraph"/>
              <w:spacing w:line="220" w:lineRule="exact"/>
              <w:ind w:left="164"/>
              <w:rPr>
                <w:rFonts w:ascii="Cambria"/>
                <w:sz w:val="21"/>
              </w:rPr>
            </w:pPr>
            <w:r>
              <w:rPr>
                <w:rFonts w:ascii="Cambria"/>
                <w:color w:val="231F20"/>
                <w:w w:val="95"/>
                <w:sz w:val="21"/>
              </w:rPr>
              <w:t>Interpretations</w:t>
            </w:r>
            <w:r>
              <w:rPr>
                <w:rFonts w:ascii="Cambria"/>
                <w:color w:val="231F20"/>
                <w:spacing w:val="-1"/>
                <w:sz w:val="21"/>
              </w:rPr>
              <w:t xml:space="preserve"> </w:t>
            </w:r>
            <w:r>
              <w:rPr>
                <w:rFonts w:ascii="Cambria"/>
                <w:color w:val="231F20"/>
                <w:w w:val="95"/>
                <w:sz w:val="21"/>
              </w:rPr>
              <w:t>of</w:t>
            </w:r>
            <w:r>
              <w:rPr>
                <w:rFonts w:ascii="Cambria"/>
                <w:color w:val="231F20"/>
                <w:spacing w:val="14"/>
                <w:sz w:val="21"/>
              </w:rPr>
              <w:t xml:space="preserve"> </w:t>
            </w:r>
            <w:r>
              <w:rPr>
                <w:rFonts w:ascii="Cambria"/>
                <w:color w:val="231F20"/>
                <w:w w:val="95"/>
                <w:sz w:val="21"/>
              </w:rPr>
              <w:t>sport</w:t>
            </w:r>
            <w:r>
              <w:rPr>
                <w:rFonts w:ascii="Cambria"/>
                <w:color w:val="231F20"/>
                <w:spacing w:val="-1"/>
                <w:sz w:val="21"/>
              </w:rPr>
              <w:t xml:space="preserve"> </w:t>
            </w:r>
            <w:r>
              <w:rPr>
                <w:rFonts w:ascii="Cambria"/>
                <w:color w:val="231F20"/>
                <w:spacing w:val="-2"/>
                <w:w w:val="95"/>
                <w:sz w:val="21"/>
              </w:rPr>
              <w:t>landscapes</w:t>
            </w:r>
          </w:p>
        </w:tc>
        <w:tc>
          <w:tcPr>
            <w:tcW w:w="445" w:type="dxa"/>
          </w:tcPr>
          <w:p w14:paraId="724C1BFD" w14:textId="77777777" w:rsidR="00AE0598" w:rsidRDefault="0069255A">
            <w:pPr>
              <w:pStyle w:val="TableParagraph"/>
              <w:spacing w:line="220" w:lineRule="exact"/>
              <w:ind w:right="47"/>
              <w:jc w:val="right"/>
              <w:rPr>
                <w:rFonts w:ascii="Cambria"/>
                <w:sz w:val="21"/>
              </w:rPr>
            </w:pPr>
            <w:r>
              <w:rPr>
                <w:rFonts w:ascii="Cambria"/>
                <w:color w:val="231F20"/>
                <w:spacing w:val="-5"/>
                <w:w w:val="95"/>
                <w:sz w:val="21"/>
              </w:rPr>
              <w:t>136</w:t>
            </w:r>
          </w:p>
        </w:tc>
      </w:tr>
      <w:tr w:rsidR="00AE0598" w14:paraId="49405259" w14:textId="77777777">
        <w:trPr>
          <w:trHeight w:val="240"/>
        </w:trPr>
        <w:tc>
          <w:tcPr>
            <w:tcW w:w="1066" w:type="dxa"/>
          </w:tcPr>
          <w:p w14:paraId="1DBD2221" w14:textId="77777777" w:rsidR="00AE0598" w:rsidRDefault="0069255A">
            <w:pPr>
              <w:pStyle w:val="TableParagraph"/>
              <w:spacing w:line="220" w:lineRule="exact"/>
              <w:ind w:left="50"/>
              <w:rPr>
                <w:rFonts w:ascii="Cambria"/>
                <w:sz w:val="21"/>
              </w:rPr>
            </w:pPr>
            <w:r>
              <w:rPr>
                <w:rFonts w:ascii="Cambria"/>
                <w:color w:val="231F20"/>
                <w:spacing w:val="-5"/>
                <w:sz w:val="21"/>
              </w:rPr>
              <w:t>Table</w:t>
            </w:r>
            <w:r>
              <w:rPr>
                <w:rFonts w:ascii="Cambria"/>
                <w:color w:val="231F20"/>
                <w:spacing w:val="-2"/>
                <w:sz w:val="21"/>
              </w:rPr>
              <w:t xml:space="preserve"> </w:t>
            </w:r>
            <w:r>
              <w:rPr>
                <w:rFonts w:ascii="Cambria"/>
                <w:color w:val="231F20"/>
                <w:spacing w:val="-5"/>
                <w:sz w:val="21"/>
              </w:rPr>
              <w:t>7.2</w:t>
            </w:r>
          </w:p>
        </w:tc>
        <w:tc>
          <w:tcPr>
            <w:tcW w:w="4881" w:type="dxa"/>
          </w:tcPr>
          <w:p w14:paraId="7BD313FE" w14:textId="77777777" w:rsidR="00AE0598" w:rsidRDefault="0069255A">
            <w:pPr>
              <w:pStyle w:val="TableParagraph"/>
              <w:spacing w:line="220" w:lineRule="exact"/>
              <w:ind w:left="164"/>
              <w:rPr>
                <w:rFonts w:ascii="Cambria"/>
                <w:sz w:val="21"/>
              </w:rPr>
            </w:pPr>
            <w:r>
              <w:rPr>
                <w:rFonts w:ascii="Cambria"/>
                <w:color w:val="231F20"/>
                <w:w w:val="95"/>
                <w:sz w:val="21"/>
              </w:rPr>
              <w:t>Resource-base</w:t>
            </w:r>
            <w:r>
              <w:rPr>
                <w:rFonts w:ascii="Cambria"/>
                <w:color w:val="231F20"/>
                <w:spacing w:val="-1"/>
                <w:w w:val="95"/>
                <w:sz w:val="21"/>
              </w:rPr>
              <w:t xml:space="preserve"> </w:t>
            </w:r>
            <w:r>
              <w:rPr>
                <w:rFonts w:ascii="Cambria"/>
                <w:color w:val="231F20"/>
                <w:w w:val="95"/>
                <w:sz w:val="21"/>
              </w:rPr>
              <w:t>for</w:t>
            </w:r>
            <w:r>
              <w:rPr>
                <w:rFonts w:ascii="Cambria"/>
                <w:color w:val="231F20"/>
                <w:spacing w:val="-1"/>
                <w:w w:val="95"/>
                <w:sz w:val="21"/>
              </w:rPr>
              <w:t xml:space="preserve"> </w:t>
            </w:r>
            <w:r>
              <w:rPr>
                <w:rFonts w:ascii="Cambria"/>
                <w:color w:val="231F20"/>
                <w:w w:val="95"/>
                <w:sz w:val="21"/>
              </w:rPr>
              <w:t>sport</w:t>
            </w:r>
            <w:r>
              <w:rPr>
                <w:rFonts w:ascii="Cambria"/>
                <w:color w:val="231F20"/>
                <w:spacing w:val="-1"/>
                <w:w w:val="95"/>
                <w:sz w:val="21"/>
              </w:rPr>
              <w:t xml:space="preserve"> </w:t>
            </w:r>
            <w:r>
              <w:rPr>
                <w:rFonts w:ascii="Cambria"/>
                <w:color w:val="231F20"/>
                <w:w w:val="95"/>
                <w:sz w:val="21"/>
              </w:rPr>
              <w:t>tourism</w:t>
            </w:r>
            <w:r>
              <w:rPr>
                <w:rFonts w:ascii="Cambria"/>
                <w:color w:val="231F20"/>
                <w:spacing w:val="-1"/>
                <w:w w:val="95"/>
                <w:sz w:val="21"/>
              </w:rPr>
              <w:t xml:space="preserve"> </w:t>
            </w:r>
            <w:r>
              <w:rPr>
                <w:rFonts w:ascii="Cambria"/>
                <w:color w:val="231F20"/>
                <w:spacing w:val="-2"/>
                <w:w w:val="95"/>
                <w:sz w:val="21"/>
              </w:rPr>
              <w:t>development</w:t>
            </w:r>
          </w:p>
        </w:tc>
        <w:tc>
          <w:tcPr>
            <w:tcW w:w="445" w:type="dxa"/>
          </w:tcPr>
          <w:p w14:paraId="6BB2E677" w14:textId="77777777" w:rsidR="00AE0598" w:rsidRDefault="0069255A">
            <w:pPr>
              <w:pStyle w:val="TableParagraph"/>
              <w:spacing w:line="220" w:lineRule="exact"/>
              <w:ind w:right="48"/>
              <w:jc w:val="right"/>
              <w:rPr>
                <w:rFonts w:ascii="Cambria"/>
                <w:sz w:val="21"/>
              </w:rPr>
            </w:pPr>
            <w:r>
              <w:rPr>
                <w:rFonts w:ascii="Cambria"/>
                <w:color w:val="231F20"/>
                <w:spacing w:val="-5"/>
                <w:w w:val="95"/>
                <w:sz w:val="21"/>
              </w:rPr>
              <w:t>137</w:t>
            </w:r>
          </w:p>
        </w:tc>
      </w:tr>
      <w:tr w:rsidR="00AE0598" w14:paraId="7F53A563" w14:textId="77777777">
        <w:trPr>
          <w:trHeight w:val="240"/>
        </w:trPr>
        <w:tc>
          <w:tcPr>
            <w:tcW w:w="1066" w:type="dxa"/>
          </w:tcPr>
          <w:p w14:paraId="43A4088F" w14:textId="77777777" w:rsidR="00AE0598" w:rsidRDefault="0069255A">
            <w:pPr>
              <w:pStyle w:val="TableParagraph"/>
              <w:spacing w:line="220" w:lineRule="exact"/>
              <w:ind w:left="50"/>
              <w:rPr>
                <w:rFonts w:ascii="Cambria"/>
                <w:sz w:val="21"/>
              </w:rPr>
            </w:pPr>
            <w:r>
              <w:rPr>
                <w:rFonts w:ascii="Cambria"/>
                <w:color w:val="231F20"/>
                <w:spacing w:val="-5"/>
                <w:sz w:val="21"/>
              </w:rPr>
              <w:t>Table</w:t>
            </w:r>
            <w:r>
              <w:rPr>
                <w:rFonts w:ascii="Cambria"/>
                <w:color w:val="231F20"/>
                <w:spacing w:val="-2"/>
                <w:sz w:val="21"/>
              </w:rPr>
              <w:t xml:space="preserve"> </w:t>
            </w:r>
            <w:r>
              <w:rPr>
                <w:rFonts w:ascii="Cambria"/>
                <w:color w:val="231F20"/>
                <w:spacing w:val="-5"/>
                <w:sz w:val="21"/>
              </w:rPr>
              <w:t>8.1</w:t>
            </w:r>
          </w:p>
        </w:tc>
        <w:tc>
          <w:tcPr>
            <w:tcW w:w="4881" w:type="dxa"/>
          </w:tcPr>
          <w:p w14:paraId="06E922D4" w14:textId="77777777" w:rsidR="00AE0598" w:rsidRDefault="0069255A">
            <w:pPr>
              <w:pStyle w:val="TableParagraph"/>
              <w:spacing w:line="220" w:lineRule="exact"/>
              <w:ind w:left="164"/>
              <w:rPr>
                <w:rFonts w:ascii="Cambria"/>
                <w:sz w:val="21"/>
              </w:rPr>
            </w:pPr>
            <w:r>
              <w:rPr>
                <w:rFonts w:ascii="Cambria"/>
                <w:color w:val="231F20"/>
                <w:w w:val="95"/>
                <w:sz w:val="21"/>
              </w:rPr>
              <w:t>Sport</w:t>
            </w:r>
            <w:r>
              <w:rPr>
                <w:rFonts w:ascii="Cambria"/>
                <w:color w:val="231F20"/>
                <w:spacing w:val="2"/>
                <w:sz w:val="21"/>
              </w:rPr>
              <w:t xml:space="preserve"> </w:t>
            </w:r>
            <w:r>
              <w:rPr>
                <w:rFonts w:ascii="Cambria"/>
                <w:color w:val="231F20"/>
                <w:w w:val="95"/>
                <w:sz w:val="21"/>
              </w:rPr>
              <w:t>tourist</w:t>
            </w:r>
            <w:r>
              <w:rPr>
                <w:rFonts w:ascii="Cambria"/>
                <w:color w:val="231F20"/>
                <w:spacing w:val="3"/>
                <w:sz w:val="21"/>
              </w:rPr>
              <w:t xml:space="preserve"> </w:t>
            </w:r>
            <w:r>
              <w:rPr>
                <w:rFonts w:ascii="Cambria"/>
                <w:color w:val="231F20"/>
                <w:spacing w:val="-2"/>
                <w:w w:val="95"/>
                <w:sz w:val="21"/>
              </w:rPr>
              <w:t>typologies</w:t>
            </w:r>
          </w:p>
        </w:tc>
        <w:tc>
          <w:tcPr>
            <w:tcW w:w="445" w:type="dxa"/>
          </w:tcPr>
          <w:p w14:paraId="38E9E06E" w14:textId="77777777" w:rsidR="00AE0598" w:rsidRDefault="0069255A">
            <w:pPr>
              <w:pStyle w:val="TableParagraph"/>
              <w:spacing w:line="220" w:lineRule="exact"/>
              <w:ind w:right="47"/>
              <w:jc w:val="right"/>
              <w:rPr>
                <w:rFonts w:ascii="Cambria"/>
                <w:sz w:val="21"/>
              </w:rPr>
            </w:pPr>
            <w:r>
              <w:rPr>
                <w:rFonts w:ascii="Cambria"/>
                <w:color w:val="231F20"/>
                <w:spacing w:val="-5"/>
                <w:w w:val="95"/>
                <w:sz w:val="21"/>
              </w:rPr>
              <w:t>156</w:t>
            </w:r>
          </w:p>
        </w:tc>
      </w:tr>
      <w:tr w:rsidR="00AE0598" w14:paraId="5C9F6224" w14:textId="77777777">
        <w:trPr>
          <w:trHeight w:val="240"/>
        </w:trPr>
        <w:tc>
          <w:tcPr>
            <w:tcW w:w="1066" w:type="dxa"/>
          </w:tcPr>
          <w:p w14:paraId="46FCC777" w14:textId="77777777" w:rsidR="00AE0598" w:rsidRDefault="0069255A">
            <w:pPr>
              <w:pStyle w:val="TableParagraph"/>
              <w:spacing w:line="220" w:lineRule="exact"/>
              <w:ind w:left="50"/>
              <w:rPr>
                <w:rFonts w:ascii="Cambria"/>
                <w:sz w:val="21"/>
              </w:rPr>
            </w:pPr>
            <w:r>
              <w:rPr>
                <w:rFonts w:ascii="Cambria"/>
                <w:color w:val="231F20"/>
                <w:w w:val="95"/>
                <w:sz w:val="21"/>
              </w:rPr>
              <w:t>Figure</w:t>
            </w:r>
            <w:r>
              <w:rPr>
                <w:rFonts w:ascii="Cambria"/>
                <w:color w:val="231F20"/>
                <w:spacing w:val="-3"/>
                <w:w w:val="95"/>
                <w:sz w:val="21"/>
              </w:rPr>
              <w:t xml:space="preserve"> </w:t>
            </w:r>
            <w:r>
              <w:rPr>
                <w:rFonts w:ascii="Cambria"/>
                <w:color w:val="231F20"/>
                <w:spacing w:val="-5"/>
                <w:sz w:val="21"/>
              </w:rPr>
              <w:t>8.1</w:t>
            </w:r>
          </w:p>
        </w:tc>
        <w:tc>
          <w:tcPr>
            <w:tcW w:w="4881" w:type="dxa"/>
          </w:tcPr>
          <w:p w14:paraId="6A7D0DD9" w14:textId="77777777" w:rsidR="00AE0598" w:rsidRDefault="0069255A">
            <w:pPr>
              <w:pStyle w:val="TableParagraph"/>
              <w:spacing w:line="220" w:lineRule="exact"/>
              <w:ind w:left="163"/>
              <w:rPr>
                <w:rFonts w:ascii="Cambria"/>
                <w:sz w:val="21"/>
              </w:rPr>
            </w:pPr>
            <w:r>
              <w:rPr>
                <w:rFonts w:ascii="Cambria"/>
                <w:color w:val="231F20"/>
                <w:w w:val="95"/>
                <w:sz w:val="21"/>
              </w:rPr>
              <w:t>The</w:t>
            </w:r>
            <w:r>
              <w:rPr>
                <w:rFonts w:ascii="Cambria"/>
                <w:color w:val="231F20"/>
                <w:sz w:val="21"/>
              </w:rPr>
              <w:t xml:space="preserve"> </w:t>
            </w:r>
            <w:r>
              <w:rPr>
                <w:rFonts w:ascii="Cambria"/>
                <w:color w:val="231F20"/>
                <w:w w:val="95"/>
                <w:sz w:val="21"/>
              </w:rPr>
              <w:t>experience</w:t>
            </w:r>
            <w:r>
              <w:rPr>
                <w:rFonts w:ascii="Cambria"/>
                <w:color w:val="231F20"/>
                <w:spacing w:val="1"/>
                <w:sz w:val="21"/>
              </w:rPr>
              <w:t xml:space="preserve"> </w:t>
            </w:r>
            <w:r>
              <w:rPr>
                <w:rFonts w:ascii="Cambria"/>
                <w:color w:val="231F20"/>
                <w:spacing w:val="-2"/>
                <w:w w:val="95"/>
                <w:sz w:val="21"/>
              </w:rPr>
              <w:t>space</w:t>
            </w:r>
          </w:p>
        </w:tc>
        <w:tc>
          <w:tcPr>
            <w:tcW w:w="445" w:type="dxa"/>
          </w:tcPr>
          <w:p w14:paraId="5A893411" w14:textId="77777777" w:rsidR="00AE0598" w:rsidRDefault="0069255A">
            <w:pPr>
              <w:pStyle w:val="TableParagraph"/>
              <w:spacing w:line="220" w:lineRule="exact"/>
              <w:ind w:right="47"/>
              <w:jc w:val="right"/>
              <w:rPr>
                <w:rFonts w:ascii="Cambria"/>
                <w:sz w:val="21"/>
              </w:rPr>
            </w:pPr>
            <w:r>
              <w:rPr>
                <w:rFonts w:ascii="Cambria"/>
                <w:color w:val="231F20"/>
                <w:spacing w:val="-5"/>
                <w:w w:val="95"/>
                <w:sz w:val="21"/>
              </w:rPr>
              <w:t>160</w:t>
            </w:r>
          </w:p>
        </w:tc>
      </w:tr>
      <w:tr w:rsidR="00AE0598" w14:paraId="4DF63CC8" w14:textId="77777777">
        <w:trPr>
          <w:trHeight w:val="240"/>
        </w:trPr>
        <w:tc>
          <w:tcPr>
            <w:tcW w:w="1066" w:type="dxa"/>
          </w:tcPr>
          <w:p w14:paraId="6984E37B" w14:textId="77777777" w:rsidR="00AE0598" w:rsidRDefault="0069255A">
            <w:pPr>
              <w:pStyle w:val="TableParagraph"/>
              <w:spacing w:line="220" w:lineRule="exact"/>
              <w:ind w:left="50"/>
              <w:rPr>
                <w:rFonts w:ascii="Cambria"/>
                <w:sz w:val="21"/>
              </w:rPr>
            </w:pPr>
            <w:r>
              <w:rPr>
                <w:rFonts w:ascii="Cambria"/>
                <w:color w:val="231F20"/>
                <w:spacing w:val="-5"/>
                <w:sz w:val="21"/>
              </w:rPr>
              <w:t>Table</w:t>
            </w:r>
            <w:r>
              <w:rPr>
                <w:rFonts w:ascii="Cambria"/>
                <w:color w:val="231F20"/>
                <w:spacing w:val="-2"/>
                <w:sz w:val="21"/>
              </w:rPr>
              <w:t xml:space="preserve"> </w:t>
            </w:r>
            <w:r>
              <w:rPr>
                <w:rFonts w:ascii="Cambria"/>
                <w:color w:val="231F20"/>
                <w:spacing w:val="-5"/>
                <w:sz w:val="21"/>
              </w:rPr>
              <w:t>8.2</w:t>
            </w:r>
          </w:p>
        </w:tc>
        <w:tc>
          <w:tcPr>
            <w:tcW w:w="4881" w:type="dxa"/>
          </w:tcPr>
          <w:p w14:paraId="2A17CECF" w14:textId="77777777" w:rsidR="00AE0598" w:rsidRDefault="0069255A">
            <w:pPr>
              <w:pStyle w:val="TableParagraph"/>
              <w:spacing w:line="220" w:lineRule="exact"/>
              <w:ind w:left="164"/>
              <w:rPr>
                <w:rFonts w:ascii="Cambria"/>
                <w:sz w:val="21"/>
              </w:rPr>
            </w:pPr>
            <w:r>
              <w:rPr>
                <w:rFonts w:ascii="Cambria"/>
                <w:color w:val="231F20"/>
                <w:w w:val="95"/>
                <w:sz w:val="21"/>
              </w:rPr>
              <w:t>Sport</w:t>
            </w:r>
            <w:r>
              <w:rPr>
                <w:rFonts w:ascii="Cambria"/>
                <w:color w:val="231F20"/>
                <w:spacing w:val="2"/>
                <w:sz w:val="21"/>
              </w:rPr>
              <w:t xml:space="preserve"> </w:t>
            </w:r>
            <w:r>
              <w:rPr>
                <w:rFonts w:ascii="Cambria"/>
                <w:color w:val="231F20"/>
                <w:w w:val="95"/>
                <w:sz w:val="21"/>
              </w:rPr>
              <w:t>motivation</w:t>
            </w:r>
            <w:r>
              <w:rPr>
                <w:rFonts w:ascii="Cambria"/>
                <w:color w:val="231F20"/>
                <w:spacing w:val="3"/>
                <w:sz w:val="21"/>
              </w:rPr>
              <w:t xml:space="preserve"> </w:t>
            </w:r>
            <w:r>
              <w:rPr>
                <w:rFonts w:ascii="Cambria"/>
                <w:color w:val="231F20"/>
                <w:w w:val="95"/>
                <w:sz w:val="21"/>
              </w:rPr>
              <w:t>profiles</w:t>
            </w:r>
            <w:r>
              <w:rPr>
                <w:rFonts w:ascii="Cambria"/>
                <w:color w:val="231F20"/>
                <w:spacing w:val="2"/>
                <w:sz w:val="21"/>
              </w:rPr>
              <w:t xml:space="preserve"> </w:t>
            </w:r>
            <w:r>
              <w:rPr>
                <w:rFonts w:ascii="Cambria"/>
                <w:color w:val="231F20"/>
                <w:w w:val="95"/>
                <w:sz w:val="21"/>
              </w:rPr>
              <w:t>of</w:t>
            </w:r>
            <w:r>
              <w:rPr>
                <w:rFonts w:ascii="Cambria"/>
                <w:color w:val="231F20"/>
                <w:spacing w:val="18"/>
                <w:sz w:val="21"/>
              </w:rPr>
              <w:t xml:space="preserve"> </w:t>
            </w:r>
            <w:r>
              <w:rPr>
                <w:rFonts w:ascii="Cambria"/>
                <w:color w:val="231F20"/>
                <w:w w:val="95"/>
                <w:sz w:val="21"/>
              </w:rPr>
              <w:t>sport</w:t>
            </w:r>
            <w:r>
              <w:rPr>
                <w:rFonts w:ascii="Cambria"/>
                <w:color w:val="231F20"/>
                <w:spacing w:val="3"/>
                <w:sz w:val="21"/>
              </w:rPr>
              <w:t xml:space="preserve"> </w:t>
            </w:r>
            <w:r>
              <w:rPr>
                <w:rFonts w:ascii="Cambria"/>
                <w:color w:val="231F20"/>
                <w:spacing w:val="-2"/>
                <w:w w:val="95"/>
                <w:sz w:val="21"/>
              </w:rPr>
              <w:t>tourists</w:t>
            </w:r>
          </w:p>
        </w:tc>
        <w:tc>
          <w:tcPr>
            <w:tcW w:w="445" w:type="dxa"/>
          </w:tcPr>
          <w:p w14:paraId="6E65AEF7" w14:textId="77777777" w:rsidR="00AE0598" w:rsidRDefault="00AE0598">
            <w:pPr>
              <w:pStyle w:val="TableParagraph"/>
              <w:rPr>
                <w:rFonts w:ascii="Times New Roman"/>
                <w:sz w:val="16"/>
              </w:rPr>
            </w:pPr>
          </w:p>
        </w:tc>
      </w:tr>
      <w:tr w:rsidR="00AE0598" w14:paraId="74350C0A" w14:textId="77777777">
        <w:trPr>
          <w:trHeight w:val="240"/>
        </w:trPr>
        <w:tc>
          <w:tcPr>
            <w:tcW w:w="1066" w:type="dxa"/>
          </w:tcPr>
          <w:p w14:paraId="7A8692A7" w14:textId="77777777" w:rsidR="00AE0598" w:rsidRDefault="00AE0598">
            <w:pPr>
              <w:pStyle w:val="TableParagraph"/>
              <w:rPr>
                <w:rFonts w:ascii="Times New Roman"/>
                <w:sz w:val="16"/>
              </w:rPr>
            </w:pPr>
          </w:p>
        </w:tc>
        <w:tc>
          <w:tcPr>
            <w:tcW w:w="4881" w:type="dxa"/>
          </w:tcPr>
          <w:p w14:paraId="17B5143F" w14:textId="77777777" w:rsidR="00AE0598" w:rsidRDefault="0069255A">
            <w:pPr>
              <w:pStyle w:val="TableParagraph"/>
              <w:spacing w:line="220" w:lineRule="exact"/>
              <w:ind w:left="164"/>
              <w:rPr>
                <w:rFonts w:ascii="Cambria"/>
                <w:sz w:val="21"/>
              </w:rPr>
            </w:pPr>
            <w:r>
              <w:rPr>
                <w:rFonts w:ascii="Cambria"/>
                <w:color w:val="231F20"/>
                <w:w w:val="95"/>
                <w:sz w:val="21"/>
              </w:rPr>
              <w:t>who</w:t>
            </w:r>
            <w:r>
              <w:rPr>
                <w:rFonts w:ascii="Cambria"/>
                <w:color w:val="231F20"/>
                <w:spacing w:val="-1"/>
                <w:sz w:val="21"/>
              </w:rPr>
              <w:t xml:space="preserve"> </w:t>
            </w:r>
            <w:r>
              <w:rPr>
                <w:rFonts w:ascii="Cambria"/>
                <w:color w:val="231F20"/>
                <w:w w:val="95"/>
                <w:sz w:val="21"/>
              </w:rPr>
              <w:t>play</w:t>
            </w:r>
            <w:r>
              <w:rPr>
                <w:rFonts w:ascii="Cambria"/>
                <w:color w:val="231F20"/>
                <w:sz w:val="21"/>
              </w:rPr>
              <w:t xml:space="preserve"> </w:t>
            </w:r>
            <w:r>
              <w:rPr>
                <w:rFonts w:ascii="Cambria"/>
                <w:color w:val="231F20"/>
                <w:spacing w:val="-4"/>
                <w:w w:val="95"/>
                <w:sz w:val="21"/>
              </w:rPr>
              <w:t>golf</w:t>
            </w:r>
          </w:p>
        </w:tc>
        <w:tc>
          <w:tcPr>
            <w:tcW w:w="445" w:type="dxa"/>
          </w:tcPr>
          <w:p w14:paraId="18D666DE" w14:textId="77777777" w:rsidR="00AE0598" w:rsidRDefault="0069255A">
            <w:pPr>
              <w:pStyle w:val="TableParagraph"/>
              <w:spacing w:line="220" w:lineRule="exact"/>
              <w:ind w:right="47"/>
              <w:jc w:val="right"/>
              <w:rPr>
                <w:rFonts w:ascii="Cambria"/>
                <w:sz w:val="21"/>
              </w:rPr>
            </w:pPr>
            <w:r>
              <w:rPr>
                <w:rFonts w:ascii="Cambria"/>
                <w:color w:val="231F20"/>
                <w:spacing w:val="-5"/>
                <w:w w:val="95"/>
                <w:sz w:val="21"/>
              </w:rPr>
              <w:t>173</w:t>
            </w:r>
          </w:p>
        </w:tc>
      </w:tr>
      <w:tr w:rsidR="00AE0598" w14:paraId="22FE0EDE" w14:textId="77777777">
        <w:trPr>
          <w:trHeight w:val="240"/>
        </w:trPr>
        <w:tc>
          <w:tcPr>
            <w:tcW w:w="1066" w:type="dxa"/>
          </w:tcPr>
          <w:p w14:paraId="321BE115" w14:textId="77777777" w:rsidR="00AE0598" w:rsidRDefault="0069255A">
            <w:pPr>
              <w:pStyle w:val="TableParagraph"/>
              <w:spacing w:line="220" w:lineRule="exact"/>
              <w:ind w:left="50"/>
              <w:rPr>
                <w:rFonts w:ascii="Cambria"/>
                <w:sz w:val="21"/>
              </w:rPr>
            </w:pPr>
            <w:r>
              <w:rPr>
                <w:rFonts w:ascii="Cambria"/>
                <w:color w:val="231F20"/>
                <w:w w:val="95"/>
                <w:sz w:val="21"/>
              </w:rPr>
              <w:t>Figure</w:t>
            </w:r>
            <w:r>
              <w:rPr>
                <w:rFonts w:ascii="Cambria"/>
                <w:color w:val="231F20"/>
                <w:spacing w:val="-3"/>
                <w:w w:val="95"/>
                <w:sz w:val="21"/>
              </w:rPr>
              <w:t xml:space="preserve"> </w:t>
            </w:r>
            <w:r>
              <w:rPr>
                <w:rFonts w:ascii="Cambria"/>
                <w:color w:val="231F20"/>
                <w:spacing w:val="-5"/>
                <w:sz w:val="21"/>
              </w:rPr>
              <w:t>8.2</w:t>
            </w:r>
          </w:p>
        </w:tc>
        <w:tc>
          <w:tcPr>
            <w:tcW w:w="4881" w:type="dxa"/>
          </w:tcPr>
          <w:p w14:paraId="7296A96F" w14:textId="77777777" w:rsidR="00AE0598" w:rsidRDefault="0069255A">
            <w:pPr>
              <w:pStyle w:val="TableParagraph"/>
              <w:spacing w:line="220" w:lineRule="exact"/>
              <w:ind w:left="163"/>
              <w:rPr>
                <w:rFonts w:ascii="Cambria"/>
                <w:sz w:val="21"/>
              </w:rPr>
            </w:pPr>
            <w:r>
              <w:rPr>
                <w:rFonts w:ascii="Cambria"/>
                <w:color w:val="231F20"/>
                <w:w w:val="95"/>
                <w:sz w:val="21"/>
              </w:rPr>
              <w:t>Factors</w:t>
            </w:r>
            <w:r>
              <w:rPr>
                <w:rFonts w:ascii="Cambria"/>
                <w:color w:val="231F20"/>
                <w:spacing w:val="-2"/>
                <w:w w:val="95"/>
                <w:sz w:val="21"/>
              </w:rPr>
              <w:t xml:space="preserve"> </w:t>
            </w:r>
            <w:r>
              <w:rPr>
                <w:rFonts w:ascii="Cambria"/>
                <w:color w:val="231F20"/>
                <w:w w:val="95"/>
                <w:sz w:val="21"/>
              </w:rPr>
              <w:t>influencing</w:t>
            </w:r>
            <w:r>
              <w:rPr>
                <w:rFonts w:ascii="Cambria"/>
                <w:color w:val="231F20"/>
                <w:spacing w:val="-1"/>
                <w:w w:val="95"/>
                <w:sz w:val="21"/>
              </w:rPr>
              <w:t xml:space="preserve"> </w:t>
            </w:r>
            <w:r>
              <w:rPr>
                <w:rFonts w:ascii="Cambria"/>
                <w:color w:val="231F20"/>
                <w:w w:val="95"/>
                <w:sz w:val="21"/>
              </w:rPr>
              <w:t>the</w:t>
            </w:r>
            <w:r>
              <w:rPr>
                <w:rFonts w:ascii="Cambria"/>
                <w:color w:val="231F20"/>
                <w:spacing w:val="-1"/>
                <w:w w:val="95"/>
                <w:sz w:val="21"/>
              </w:rPr>
              <w:t xml:space="preserve"> </w:t>
            </w:r>
            <w:r>
              <w:rPr>
                <w:rFonts w:ascii="Cambria"/>
                <w:color w:val="231F20"/>
                <w:w w:val="95"/>
                <w:sz w:val="21"/>
              </w:rPr>
              <w:t>sport</w:t>
            </w:r>
            <w:r>
              <w:rPr>
                <w:rFonts w:ascii="Cambria"/>
                <w:color w:val="231F20"/>
                <w:spacing w:val="-1"/>
                <w:w w:val="95"/>
                <w:sz w:val="21"/>
              </w:rPr>
              <w:t xml:space="preserve"> </w:t>
            </w:r>
            <w:r>
              <w:rPr>
                <w:rFonts w:ascii="Cambria"/>
                <w:color w:val="231F20"/>
                <w:spacing w:val="-2"/>
                <w:w w:val="95"/>
                <w:sz w:val="21"/>
              </w:rPr>
              <w:t>tourism</w:t>
            </w:r>
          </w:p>
        </w:tc>
        <w:tc>
          <w:tcPr>
            <w:tcW w:w="445" w:type="dxa"/>
          </w:tcPr>
          <w:p w14:paraId="18EEFA1E" w14:textId="77777777" w:rsidR="00AE0598" w:rsidRDefault="00AE0598">
            <w:pPr>
              <w:pStyle w:val="TableParagraph"/>
              <w:rPr>
                <w:rFonts w:ascii="Times New Roman"/>
                <w:sz w:val="16"/>
              </w:rPr>
            </w:pPr>
          </w:p>
        </w:tc>
      </w:tr>
      <w:tr w:rsidR="00AE0598" w14:paraId="416E48BC" w14:textId="77777777">
        <w:trPr>
          <w:trHeight w:val="240"/>
        </w:trPr>
        <w:tc>
          <w:tcPr>
            <w:tcW w:w="1066" w:type="dxa"/>
          </w:tcPr>
          <w:p w14:paraId="078D1672" w14:textId="77777777" w:rsidR="00AE0598" w:rsidRDefault="00AE0598">
            <w:pPr>
              <w:pStyle w:val="TableParagraph"/>
              <w:rPr>
                <w:rFonts w:ascii="Times New Roman"/>
                <w:sz w:val="16"/>
              </w:rPr>
            </w:pPr>
          </w:p>
        </w:tc>
        <w:tc>
          <w:tcPr>
            <w:tcW w:w="4881" w:type="dxa"/>
          </w:tcPr>
          <w:p w14:paraId="4AA2C4F1" w14:textId="77777777" w:rsidR="00AE0598" w:rsidRDefault="0069255A">
            <w:pPr>
              <w:pStyle w:val="TableParagraph"/>
              <w:spacing w:line="220" w:lineRule="exact"/>
              <w:ind w:left="164"/>
              <w:rPr>
                <w:rFonts w:ascii="Cambria"/>
                <w:sz w:val="21"/>
              </w:rPr>
            </w:pPr>
            <w:r>
              <w:rPr>
                <w:rFonts w:ascii="Cambria"/>
                <w:color w:val="231F20"/>
                <w:w w:val="95"/>
                <w:sz w:val="21"/>
              </w:rPr>
              <w:t>visitor</w:t>
            </w:r>
            <w:r>
              <w:rPr>
                <w:rFonts w:ascii="Cambria"/>
                <w:color w:val="231F20"/>
                <w:spacing w:val="-2"/>
                <w:sz w:val="21"/>
              </w:rPr>
              <w:t xml:space="preserve"> experience</w:t>
            </w:r>
          </w:p>
        </w:tc>
        <w:tc>
          <w:tcPr>
            <w:tcW w:w="445" w:type="dxa"/>
          </w:tcPr>
          <w:p w14:paraId="616A2DDC" w14:textId="77777777" w:rsidR="00AE0598" w:rsidRDefault="0069255A">
            <w:pPr>
              <w:pStyle w:val="TableParagraph"/>
              <w:spacing w:line="220" w:lineRule="exact"/>
              <w:ind w:right="47"/>
              <w:jc w:val="right"/>
              <w:rPr>
                <w:rFonts w:ascii="Cambria"/>
                <w:sz w:val="21"/>
              </w:rPr>
            </w:pPr>
            <w:r>
              <w:rPr>
                <w:rFonts w:ascii="Cambria"/>
                <w:color w:val="231F20"/>
                <w:spacing w:val="-5"/>
                <w:w w:val="95"/>
                <w:sz w:val="21"/>
              </w:rPr>
              <w:t>176</w:t>
            </w:r>
          </w:p>
        </w:tc>
      </w:tr>
      <w:tr w:rsidR="00AE0598" w14:paraId="3BAA307F" w14:textId="77777777">
        <w:trPr>
          <w:trHeight w:val="240"/>
        </w:trPr>
        <w:tc>
          <w:tcPr>
            <w:tcW w:w="1066" w:type="dxa"/>
          </w:tcPr>
          <w:p w14:paraId="3EE918C8" w14:textId="77777777" w:rsidR="00AE0598" w:rsidRDefault="0069255A">
            <w:pPr>
              <w:pStyle w:val="TableParagraph"/>
              <w:spacing w:line="220" w:lineRule="exact"/>
              <w:ind w:left="50"/>
              <w:rPr>
                <w:rFonts w:ascii="Cambria"/>
                <w:sz w:val="21"/>
              </w:rPr>
            </w:pPr>
            <w:r>
              <w:rPr>
                <w:rFonts w:ascii="Cambria"/>
                <w:color w:val="231F20"/>
                <w:w w:val="95"/>
                <w:sz w:val="21"/>
              </w:rPr>
              <w:t>Figure</w:t>
            </w:r>
            <w:r>
              <w:rPr>
                <w:rFonts w:ascii="Cambria"/>
                <w:color w:val="231F20"/>
                <w:spacing w:val="-3"/>
                <w:w w:val="95"/>
                <w:sz w:val="21"/>
              </w:rPr>
              <w:t xml:space="preserve"> </w:t>
            </w:r>
            <w:r>
              <w:rPr>
                <w:rFonts w:ascii="Cambria"/>
                <w:color w:val="231F20"/>
                <w:spacing w:val="-5"/>
                <w:sz w:val="21"/>
              </w:rPr>
              <w:t>9.1</w:t>
            </w:r>
          </w:p>
        </w:tc>
        <w:tc>
          <w:tcPr>
            <w:tcW w:w="4881" w:type="dxa"/>
          </w:tcPr>
          <w:p w14:paraId="0F688B3F" w14:textId="77777777" w:rsidR="00AE0598" w:rsidRDefault="0069255A">
            <w:pPr>
              <w:pStyle w:val="TableParagraph"/>
              <w:spacing w:line="220" w:lineRule="exact"/>
              <w:ind w:left="164"/>
              <w:rPr>
                <w:rFonts w:ascii="Cambria"/>
                <w:sz w:val="21"/>
              </w:rPr>
            </w:pPr>
            <w:r>
              <w:rPr>
                <w:rFonts w:ascii="Cambria"/>
                <w:color w:val="231F20"/>
                <w:sz w:val="21"/>
              </w:rPr>
              <w:t>The</w:t>
            </w:r>
            <w:r>
              <w:rPr>
                <w:rFonts w:ascii="Cambria"/>
                <w:color w:val="231F20"/>
                <w:spacing w:val="-8"/>
                <w:sz w:val="21"/>
              </w:rPr>
              <w:t xml:space="preserve"> </w:t>
            </w:r>
            <w:r>
              <w:rPr>
                <w:rFonts w:ascii="Cambria"/>
                <w:color w:val="231F20"/>
                <w:sz w:val="21"/>
              </w:rPr>
              <w:t>expansion</w:t>
            </w:r>
            <w:r>
              <w:rPr>
                <w:rFonts w:ascii="Cambria"/>
                <w:color w:val="231F20"/>
                <w:spacing w:val="-8"/>
                <w:sz w:val="21"/>
              </w:rPr>
              <w:t xml:space="preserve"> </w:t>
            </w:r>
            <w:r>
              <w:rPr>
                <w:rFonts w:ascii="Cambria"/>
                <w:color w:val="231F20"/>
                <w:sz w:val="21"/>
              </w:rPr>
              <w:t>of</w:t>
            </w:r>
            <w:r>
              <w:rPr>
                <w:rFonts w:ascii="Cambria"/>
                <w:color w:val="231F20"/>
                <w:spacing w:val="4"/>
                <w:sz w:val="21"/>
              </w:rPr>
              <w:t xml:space="preserve"> </w:t>
            </w:r>
            <w:r>
              <w:rPr>
                <w:rFonts w:ascii="Cambria"/>
                <w:color w:val="231F20"/>
                <w:sz w:val="21"/>
              </w:rPr>
              <w:t>the</w:t>
            </w:r>
            <w:r>
              <w:rPr>
                <w:rFonts w:ascii="Cambria"/>
                <w:color w:val="231F20"/>
                <w:spacing w:val="-8"/>
                <w:sz w:val="21"/>
              </w:rPr>
              <w:t xml:space="preserve"> </w:t>
            </w:r>
            <w:r>
              <w:rPr>
                <w:rFonts w:ascii="Cambria"/>
                <w:color w:val="231F20"/>
                <w:sz w:val="21"/>
              </w:rPr>
              <w:t>New</w:t>
            </w:r>
            <w:r>
              <w:rPr>
                <w:rFonts w:ascii="Cambria"/>
                <w:color w:val="231F20"/>
                <w:spacing w:val="-7"/>
                <w:sz w:val="21"/>
              </w:rPr>
              <w:t xml:space="preserve"> </w:t>
            </w:r>
            <w:r>
              <w:rPr>
                <w:rFonts w:ascii="Cambria"/>
                <w:color w:val="231F20"/>
                <w:spacing w:val="-2"/>
                <w:sz w:val="21"/>
              </w:rPr>
              <w:t>Zealand</w:t>
            </w:r>
          </w:p>
        </w:tc>
        <w:tc>
          <w:tcPr>
            <w:tcW w:w="445" w:type="dxa"/>
          </w:tcPr>
          <w:p w14:paraId="38B2BA84" w14:textId="77777777" w:rsidR="00AE0598" w:rsidRDefault="00AE0598">
            <w:pPr>
              <w:pStyle w:val="TableParagraph"/>
              <w:rPr>
                <w:rFonts w:ascii="Times New Roman"/>
                <w:sz w:val="16"/>
              </w:rPr>
            </w:pPr>
          </w:p>
        </w:tc>
      </w:tr>
      <w:tr w:rsidR="00AE0598" w14:paraId="145A4032" w14:textId="77777777">
        <w:trPr>
          <w:trHeight w:val="243"/>
        </w:trPr>
        <w:tc>
          <w:tcPr>
            <w:tcW w:w="1066" w:type="dxa"/>
          </w:tcPr>
          <w:p w14:paraId="0B134A1D" w14:textId="77777777" w:rsidR="00AE0598" w:rsidRDefault="00AE0598">
            <w:pPr>
              <w:pStyle w:val="TableParagraph"/>
              <w:rPr>
                <w:rFonts w:ascii="Times New Roman"/>
                <w:sz w:val="16"/>
              </w:rPr>
            </w:pPr>
          </w:p>
        </w:tc>
        <w:tc>
          <w:tcPr>
            <w:tcW w:w="4881" w:type="dxa"/>
          </w:tcPr>
          <w:p w14:paraId="7E0EE311" w14:textId="77777777" w:rsidR="00AE0598" w:rsidRDefault="0069255A">
            <w:pPr>
              <w:pStyle w:val="TableParagraph"/>
              <w:spacing w:line="224" w:lineRule="exact"/>
              <w:ind w:left="164"/>
              <w:rPr>
                <w:rFonts w:ascii="Cambria" w:hAnsi="Cambria"/>
                <w:sz w:val="21"/>
              </w:rPr>
            </w:pPr>
            <w:r>
              <w:rPr>
                <w:rFonts w:ascii="Cambria" w:hAnsi="Cambria"/>
                <w:color w:val="231F20"/>
                <w:w w:val="90"/>
                <w:sz w:val="21"/>
              </w:rPr>
              <w:t>representative</w:t>
            </w:r>
            <w:r>
              <w:rPr>
                <w:rFonts w:ascii="Cambria" w:hAnsi="Cambria"/>
                <w:color w:val="231F20"/>
                <w:spacing w:val="7"/>
                <w:sz w:val="21"/>
              </w:rPr>
              <w:t xml:space="preserve"> </w:t>
            </w:r>
            <w:r>
              <w:rPr>
                <w:rFonts w:ascii="Cambria" w:hAnsi="Cambria"/>
                <w:color w:val="231F20"/>
                <w:w w:val="90"/>
                <w:sz w:val="21"/>
              </w:rPr>
              <w:t>rugby</w:t>
            </w:r>
            <w:r>
              <w:rPr>
                <w:rFonts w:ascii="Cambria" w:hAnsi="Cambria"/>
                <w:color w:val="231F20"/>
                <w:spacing w:val="7"/>
                <w:sz w:val="21"/>
              </w:rPr>
              <w:t xml:space="preserve"> </w:t>
            </w:r>
            <w:r>
              <w:rPr>
                <w:rFonts w:ascii="Cambria" w:hAnsi="Cambria"/>
                <w:color w:val="231F20"/>
                <w:w w:val="90"/>
                <w:sz w:val="21"/>
              </w:rPr>
              <w:t>season</w:t>
            </w:r>
            <w:r>
              <w:rPr>
                <w:rFonts w:ascii="Cambria" w:hAnsi="Cambria"/>
                <w:color w:val="231F20"/>
                <w:spacing w:val="8"/>
                <w:sz w:val="21"/>
              </w:rPr>
              <w:t xml:space="preserve"> </w:t>
            </w:r>
            <w:r>
              <w:rPr>
                <w:rFonts w:ascii="Cambria" w:hAnsi="Cambria"/>
                <w:color w:val="231F20"/>
                <w:w w:val="90"/>
                <w:sz w:val="21"/>
              </w:rPr>
              <w:t>(1975–2002,</w:t>
            </w:r>
            <w:r>
              <w:rPr>
                <w:rFonts w:ascii="Cambria" w:hAnsi="Cambria"/>
                <w:color w:val="231F20"/>
                <w:spacing w:val="7"/>
                <w:sz w:val="21"/>
              </w:rPr>
              <w:t xml:space="preserve"> </w:t>
            </w:r>
            <w:r>
              <w:rPr>
                <w:rFonts w:ascii="Cambria" w:hAnsi="Cambria"/>
                <w:color w:val="231F20"/>
                <w:w w:val="90"/>
                <w:sz w:val="21"/>
              </w:rPr>
              <w:t>2010,</w:t>
            </w:r>
            <w:r>
              <w:rPr>
                <w:rFonts w:ascii="Cambria" w:hAnsi="Cambria"/>
                <w:color w:val="231F20"/>
                <w:spacing w:val="7"/>
                <w:sz w:val="21"/>
              </w:rPr>
              <w:t xml:space="preserve"> </w:t>
            </w:r>
            <w:r>
              <w:rPr>
                <w:rFonts w:ascii="Cambria" w:hAnsi="Cambria"/>
                <w:color w:val="231F20"/>
                <w:spacing w:val="-4"/>
                <w:w w:val="90"/>
                <w:sz w:val="21"/>
              </w:rPr>
              <w:t>2017)</w:t>
            </w:r>
          </w:p>
        </w:tc>
        <w:tc>
          <w:tcPr>
            <w:tcW w:w="445" w:type="dxa"/>
          </w:tcPr>
          <w:p w14:paraId="1C2A0DA5" w14:textId="77777777" w:rsidR="00AE0598" w:rsidRDefault="0069255A">
            <w:pPr>
              <w:pStyle w:val="TableParagraph"/>
              <w:spacing w:line="224" w:lineRule="exact"/>
              <w:ind w:right="46"/>
              <w:jc w:val="right"/>
              <w:rPr>
                <w:rFonts w:ascii="Cambria"/>
                <w:sz w:val="21"/>
              </w:rPr>
            </w:pPr>
            <w:r>
              <w:rPr>
                <w:rFonts w:ascii="Cambria"/>
                <w:color w:val="231F20"/>
                <w:spacing w:val="-5"/>
                <w:w w:val="95"/>
                <w:sz w:val="21"/>
              </w:rPr>
              <w:t>182</w:t>
            </w:r>
          </w:p>
        </w:tc>
      </w:tr>
    </w:tbl>
    <w:p w14:paraId="655D7C0E" w14:textId="77777777" w:rsidR="00AE0598" w:rsidRDefault="00AE0598">
      <w:pPr>
        <w:pStyle w:val="Corpodetexto"/>
        <w:rPr>
          <w:rFonts w:ascii="Trebuchet MS"/>
          <w:sz w:val="16"/>
        </w:rPr>
      </w:pPr>
    </w:p>
    <w:p w14:paraId="4E6D0046" w14:textId="77777777" w:rsidR="00AE0598" w:rsidRDefault="00AE0598">
      <w:pPr>
        <w:pStyle w:val="Corpodetexto"/>
        <w:rPr>
          <w:rFonts w:ascii="Trebuchet MS"/>
          <w:sz w:val="16"/>
        </w:rPr>
      </w:pPr>
    </w:p>
    <w:p w14:paraId="46B05971" w14:textId="77777777" w:rsidR="00AE0598" w:rsidRDefault="00AE0598">
      <w:pPr>
        <w:pStyle w:val="Corpodetexto"/>
        <w:rPr>
          <w:rFonts w:ascii="Trebuchet MS"/>
          <w:sz w:val="16"/>
        </w:rPr>
      </w:pPr>
    </w:p>
    <w:p w14:paraId="76641FFC" w14:textId="77777777" w:rsidR="00AE0598" w:rsidRDefault="00AE0598">
      <w:pPr>
        <w:pStyle w:val="Corpodetexto"/>
        <w:spacing w:before="7"/>
        <w:rPr>
          <w:rFonts w:ascii="Trebuchet MS"/>
          <w:sz w:val="20"/>
        </w:rPr>
      </w:pPr>
    </w:p>
    <w:p w14:paraId="7A2C01E0" w14:textId="77777777" w:rsidR="00AE0598" w:rsidRDefault="0069255A">
      <w:pPr>
        <w:spacing w:before="1"/>
        <w:ind w:left="376" w:right="430"/>
        <w:jc w:val="center"/>
        <w:rPr>
          <w:rFonts w:ascii="Trebuchet MS"/>
          <w:sz w:val="14"/>
        </w:rPr>
      </w:pPr>
      <w:r>
        <w:rPr>
          <w:rFonts w:ascii="Trebuchet MS"/>
          <w:color w:val="231F20"/>
          <w:spacing w:val="-5"/>
          <w:sz w:val="14"/>
        </w:rPr>
        <w:t>vii</w:t>
      </w:r>
    </w:p>
    <w:p w14:paraId="0550EDFB" w14:textId="77777777" w:rsidR="00AE0598" w:rsidRDefault="00AE0598">
      <w:pPr>
        <w:jc w:val="center"/>
        <w:rPr>
          <w:rFonts w:ascii="Trebuchet MS"/>
          <w:sz w:val="14"/>
        </w:rPr>
        <w:sectPr w:rsidR="00AE0598">
          <w:pgSz w:w="8850" w:h="13270"/>
          <w:pgMar w:top="1080" w:right="1080" w:bottom="280" w:left="1080" w:header="720" w:footer="720" w:gutter="0"/>
          <w:cols w:space="720"/>
        </w:sectPr>
      </w:pPr>
    </w:p>
    <w:p w14:paraId="0CC6768D" w14:textId="77777777" w:rsidR="00AE0598" w:rsidRDefault="0069255A">
      <w:pPr>
        <w:spacing w:before="80"/>
        <w:ind w:left="223"/>
        <w:rPr>
          <w:rFonts w:ascii="Trebuchet MS"/>
          <w:sz w:val="14"/>
        </w:rPr>
      </w:pPr>
      <w:r>
        <w:rPr>
          <w:rFonts w:ascii="Trebuchet MS"/>
          <w:color w:val="231F20"/>
          <w:w w:val="105"/>
          <w:sz w:val="14"/>
        </w:rPr>
        <w:lastRenderedPageBreak/>
        <w:t>viii</w:t>
      </w:r>
      <w:r>
        <w:rPr>
          <w:rFonts w:ascii="Trebuchet MS"/>
          <w:color w:val="231F20"/>
          <w:spacing w:val="34"/>
          <w:w w:val="105"/>
          <w:sz w:val="14"/>
        </w:rPr>
        <w:t xml:space="preserve">  </w:t>
      </w:r>
      <w:r>
        <w:rPr>
          <w:rFonts w:ascii="Trebuchet MS"/>
          <w:color w:val="231F20"/>
          <w:w w:val="105"/>
          <w:sz w:val="14"/>
        </w:rPr>
        <w:t>Figures</w:t>
      </w:r>
      <w:r>
        <w:rPr>
          <w:rFonts w:ascii="Trebuchet MS"/>
          <w:color w:val="231F20"/>
          <w:spacing w:val="1"/>
          <w:w w:val="105"/>
          <w:sz w:val="14"/>
        </w:rPr>
        <w:t xml:space="preserve"> </w:t>
      </w:r>
      <w:r>
        <w:rPr>
          <w:rFonts w:ascii="Trebuchet MS"/>
          <w:color w:val="231F20"/>
          <w:w w:val="105"/>
          <w:sz w:val="14"/>
        </w:rPr>
        <w:t>and</w:t>
      </w:r>
      <w:r>
        <w:rPr>
          <w:rFonts w:ascii="Trebuchet MS"/>
          <w:color w:val="231F20"/>
          <w:spacing w:val="1"/>
          <w:w w:val="105"/>
          <w:sz w:val="14"/>
        </w:rPr>
        <w:t xml:space="preserve"> </w:t>
      </w:r>
      <w:r>
        <w:rPr>
          <w:rFonts w:ascii="Trebuchet MS"/>
          <w:color w:val="231F20"/>
          <w:spacing w:val="-2"/>
          <w:w w:val="105"/>
          <w:sz w:val="14"/>
        </w:rPr>
        <w:t>Tables</w:t>
      </w:r>
    </w:p>
    <w:p w14:paraId="34BEB3D3" w14:textId="77777777" w:rsidR="00AE0598" w:rsidRDefault="0069255A">
      <w:pPr>
        <w:pStyle w:val="Corpodetexto"/>
        <w:tabs>
          <w:tab w:val="left" w:pos="1403"/>
          <w:tab w:val="right" w:pos="6516"/>
        </w:tabs>
        <w:spacing w:before="312" w:line="243" w:lineRule="exact"/>
        <w:ind w:left="223"/>
      </w:pPr>
      <w:r>
        <w:rPr>
          <w:color w:val="231F20"/>
          <w:w w:val="95"/>
        </w:rPr>
        <w:t>Figure</w:t>
      </w:r>
      <w:r>
        <w:rPr>
          <w:color w:val="231F20"/>
          <w:spacing w:val="-3"/>
          <w:w w:val="95"/>
        </w:rPr>
        <w:t xml:space="preserve"> </w:t>
      </w:r>
      <w:r>
        <w:rPr>
          <w:color w:val="231F20"/>
          <w:spacing w:val="-5"/>
        </w:rPr>
        <w:t>9.2</w:t>
      </w:r>
      <w:r>
        <w:rPr>
          <w:color w:val="231F20"/>
        </w:rPr>
        <w:tab/>
      </w:r>
      <w:r>
        <w:rPr>
          <w:color w:val="231F20"/>
          <w:w w:val="95"/>
        </w:rPr>
        <w:t>Sport</w:t>
      </w:r>
      <w:r>
        <w:rPr>
          <w:color w:val="231F20"/>
          <w:spacing w:val="-1"/>
        </w:rPr>
        <w:t xml:space="preserve"> </w:t>
      </w:r>
      <w:r>
        <w:rPr>
          <w:color w:val="231F20"/>
          <w:w w:val="95"/>
        </w:rPr>
        <w:t>influences</w:t>
      </w:r>
      <w:r>
        <w:rPr>
          <w:color w:val="231F20"/>
          <w:spacing w:val="-1"/>
        </w:rPr>
        <w:t xml:space="preserve"> </w:t>
      </w:r>
      <w:r>
        <w:rPr>
          <w:color w:val="231F20"/>
          <w:w w:val="95"/>
        </w:rPr>
        <w:t>on</w:t>
      </w:r>
      <w:r>
        <w:rPr>
          <w:color w:val="231F20"/>
          <w:spacing w:val="-1"/>
        </w:rPr>
        <w:t xml:space="preserve"> </w:t>
      </w:r>
      <w:r>
        <w:rPr>
          <w:color w:val="231F20"/>
          <w:w w:val="95"/>
        </w:rPr>
        <w:t>patterns</w:t>
      </w:r>
      <w:r>
        <w:rPr>
          <w:color w:val="231F20"/>
          <w:spacing w:val="-1"/>
        </w:rPr>
        <w:t xml:space="preserve"> </w:t>
      </w:r>
      <w:r>
        <w:rPr>
          <w:color w:val="231F20"/>
          <w:w w:val="95"/>
        </w:rPr>
        <w:t>of</w:t>
      </w:r>
      <w:r>
        <w:rPr>
          <w:color w:val="231F20"/>
          <w:spacing w:val="14"/>
        </w:rPr>
        <w:t xml:space="preserve"> </w:t>
      </w:r>
      <w:r>
        <w:rPr>
          <w:color w:val="231F20"/>
          <w:w w:val="95"/>
        </w:rPr>
        <w:t>tourist</w:t>
      </w:r>
      <w:r>
        <w:rPr>
          <w:color w:val="231F20"/>
          <w:spacing w:val="-1"/>
        </w:rPr>
        <w:t xml:space="preserve"> </w:t>
      </w:r>
      <w:r>
        <w:rPr>
          <w:color w:val="231F20"/>
          <w:spacing w:val="-2"/>
          <w:w w:val="95"/>
        </w:rPr>
        <w:t>seasonality</w:t>
      </w:r>
      <w:r>
        <w:rPr>
          <w:color w:val="231F20"/>
        </w:rPr>
        <w:tab/>
      </w:r>
      <w:r>
        <w:rPr>
          <w:color w:val="231F20"/>
          <w:spacing w:val="-5"/>
        </w:rPr>
        <w:t>186</w:t>
      </w:r>
    </w:p>
    <w:p w14:paraId="13056CC3" w14:textId="77777777" w:rsidR="00AE0598" w:rsidRDefault="0069255A">
      <w:pPr>
        <w:pStyle w:val="Corpodetexto"/>
        <w:tabs>
          <w:tab w:val="left" w:pos="1403"/>
        </w:tabs>
        <w:spacing w:line="240" w:lineRule="exact"/>
        <w:ind w:left="223"/>
      </w:pPr>
      <w:r>
        <w:rPr>
          <w:color w:val="231F20"/>
          <w:w w:val="95"/>
        </w:rPr>
        <w:t>Figure</w:t>
      </w:r>
      <w:r>
        <w:rPr>
          <w:color w:val="231F20"/>
          <w:spacing w:val="-3"/>
          <w:w w:val="95"/>
        </w:rPr>
        <w:t xml:space="preserve"> </w:t>
      </w:r>
      <w:r>
        <w:rPr>
          <w:color w:val="231F20"/>
          <w:spacing w:val="-5"/>
        </w:rPr>
        <w:t>9.3</w:t>
      </w:r>
      <w:r>
        <w:rPr>
          <w:color w:val="231F20"/>
        </w:rPr>
        <w:tab/>
      </w:r>
      <w:r>
        <w:rPr>
          <w:color w:val="231F20"/>
          <w:w w:val="95"/>
        </w:rPr>
        <w:t>Hierarchical</w:t>
      </w:r>
      <w:r>
        <w:rPr>
          <w:color w:val="231F20"/>
          <w:spacing w:val="8"/>
        </w:rPr>
        <w:t xml:space="preserve"> </w:t>
      </w:r>
      <w:r>
        <w:rPr>
          <w:color w:val="231F20"/>
          <w:w w:val="95"/>
        </w:rPr>
        <w:t>model</w:t>
      </w:r>
      <w:r>
        <w:rPr>
          <w:color w:val="231F20"/>
          <w:spacing w:val="8"/>
        </w:rPr>
        <w:t xml:space="preserve"> </w:t>
      </w:r>
      <w:r>
        <w:rPr>
          <w:color w:val="231F20"/>
          <w:w w:val="95"/>
        </w:rPr>
        <w:t>of</w:t>
      </w:r>
      <w:r>
        <w:rPr>
          <w:color w:val="231F20"/>
          <w:spacing w:val="26"/>
        </w:rPr>
        <w:t xml:space="preserve"> </w:t>
      </w:r>
      <w:r>
        <w:rPr>
          <w:color w:val="231F20"/>
          <w:w w:val="95"/>
        </w:rPr>
        <w:t>seasonal</w:t>
      </w:r>
      <w:r>
        <w:rPr>
          <w:color w:val="231F20"/>
          <w:spacing w:val="8"/>
        </w:rPr>
        <w:t xml:space="preserve"> </w:t>
      </w:r>
      <w:r>
        <w:rPr>
          <w:color w:val="231F20"/>
          <w:spacing w:val="-4"/>
          <w:w w:val="95"/>
        </w:rPr>
        <w:t>sport</w:t>
      </w:r>
    </w:p>
    <w:p w14:paraId="522A36C7" w14:textId="77777777" w:rsidR="00AE0598" w:rsidRDefault="0069255A">
      <w:pPr>
        <w:pStyle w:val="Corpodetexto"/>
        <w:tabs>
          <w:tab w:val="right" w:pos="6516"/>
        </w:tabs>
        <w:spacing w:line="240" w:lineRule="exact"/>
        <w:ind w:left="1403"/>
      </w:pPr>
      <w:r>
        <w:rPr>
          <w:color w:val="231F20"/>
          <w:w w:val="95"/>
        </w:rPr>
        <w:t>tourism</w:t>
      </w:r>
      <w:r>
        <w:rPr>
          <w:color w:val="231F20"/>
          <w:spacing w:val="4"/>
        </w:rPr>
        <w:t xml:space="preserve"> </w:t>
      </w:r>
      <w:r>
        <w:rPr>
          <w:color w:val="231F20"/>
          <w:spacing w:val="-2"/>
          <w:w w:val="95"/>
        </w:rPr>
        <w:t>constraints</w:t>
      </w:r>
      <w:r>
        <w:rPr>
          <w:color w:val="231F20"/>
        </w:rPr>
        <w:tab/>
      </w:r>
      <w:r>
        <w:rPr>
          <w:color w:val="231F20"/>
          <w:spacing w:val="-5"/>
        </w:rPr>
        <w:t>196</w:t>
      </w:r>
    </w:p>
    <w:p w14:paraId="38844423" w14:textId="77777777" w:rsidR="00AE0598" w:rsidRDefault="0069255A">
      <w:pPr>
        <w:pStyle w:val="Corpodetexto"/>
        <w:tabs>
          <w:tab w:val="left" w:pos="1403"/>
          <w:tab w:val="right" w:pos="6516"/>
        </w:tabs>
        <w:spacing w:line="240" w:lineRule="exact"/>
        <w:ind w:left="223"/>
      </w:pPr>
      <w:r>
        <w:rPr>
          <w:color w:val="231F20"/>
          <w:w w:val="95"/>
        </w:rPr>
        <w:t>Figure</w:t>
      </w:r>
      <w:r>
        <w:rPr>
          <w:color w:val="231F20"/>
          <w:spacing w:val="-3"/>
          <w:w w:val="95"/>
        </w:rPr>
        <w:t xml:space="preserve"> </w:t>
      </w:r>
      <w:r>
        <w:rPr>
          <w:color w:val="231F20"/>
          <w:spacing w:val="-4"/>
        </w:rPr>
        <w:t>10.1</w:t>
      </w:r>
      <w:r>
        <w:rPr>
          <w:color w:val="231F20"/>
        </w:rPr>
        <w:tab/>
      </w:r>
      <w:r>
        <w:rPr>
          <w:color w:val="231F20"/>
          <w:w w:val="95"/>
        </w:rPr>
        <w:t>Innovation</w:t>
      </w:r>
      <w:r>
        <w:rPr>
          <w:color w:val="231F20"/>
          <w:spacing w:val="1"/>
        </w:rPr>
        <w:t xml:space="preserve"> </w:t>
      </w:r>
      <w:r>
        <w:rPr>
          <w:color w:val="231F20"/>
          <w:w w:val="95"/>
        </w:rPr>
        <w:t>in</w:t>
      </w:r>
      <w:r>
        <w:rPr>
          <w:color w:val="231F20"/>
          <w:spacing w:val="2"/>
        </w:rPr>
        <w:t xml:space="preserve"> </w:t>
      </w:r>
      <w:r>
        <w:rPr>
          <w:color w:val="231F20"/>
          <w:spacing w:val="-4"/>
          <w:w w:val="95"/>
        </w:rPr>
        <w:t>sport</w:t>
      </w:r>
      <w:r>
        <w:rPr>
          <w:color w:val="231F20"/>
        </w:rPr>
        <w:tab/>
      </w:r>
      <w:r>
        <w:rPr>
          <w:color w:val="231F20"/>
          <w:spacing w:val="-5"/>
        </w:rPr>
        <w:t>208</w:t>
      </w:r>
    </w:p>
    <w:p w14:paraId="4536D65F" w14:textId="77777777" w:rsidR="00AE0598" w:rsidRDefault="0069255A">
      <w:pPr>
        <w:pStyle w:val="Corpodetexto"/>
        <w:tabs>
          <w:tab w:val="left" w:pos="1403"/>
          <w:tab w:val="right" w:pos="6516"/>
        </w:tabs>
        <w:spacing w:line="243" w:lineRule="exact"/>
        <w:ind w:left="223"/>
      </w:pPr>
      <w:r>
        <w:rPr>
          <w:color w:val="231F20"/>
          <w:spacing w:val="-5"/>
        </w:rPr>
        <w:t>Table</w:t>
      </w:r>
      <w:r>
        <w:rPr>
          <w:color w:val="231F20"/>
          <w:spacing w:val="-2"/>
        </w:rPr>
        <w:t xml:space="preserve"> </w:t>
      </w:r>
      <w:r>
        <w:rPr>
          <w:color w:val="231F20"/>
          <w:spacing w:val="-4"/>
        </w:rPr>
        <w:t>10.1</w:t>
      </w:r>
      <w:r>
        <w:rPr>
          <w:color w:val="231F20"/>
        </w:rPr>
        <w:tab/>
      </w:r>
      <w:r>
        <w:rPr>
          <w:color w:val="231F20"/>
          <w:w w:val="95"/>
        </w:rPr>
        <w:t>A</w:t>
      </w:r>
      <w:r>
        <w:rPr>
          <w:color w:val="231F20"/>
          <w:spacing w:val="8"/>
        </w:rPr>
        <w:t xml:space="preserve"> </w:t>
      </w:r>
      <w:r>
        <w:rPr>
          <w:color w:val="231F20"/>
          <w:w w:val="95"/>
        </w:rPr>
        <w:t>comparison</w:t>
      </w:r>
      <w:r>
        <w:rPr>
          <w:color w:val="231F20"/>
          <w:spacing w:val="8"/>
        </w:rPr>
        <w:t xml:space="preserve"> </w:t>
      </w:r>
      <w:r>
        <w:rPr>
          <w:color w:val="231F20"/>
          <w:w w:val="95"/>
        </w:rPr>
        <w:t>of</w:t>
      </w:r>
      <w:r>
        <w:rPr>
          <w:color w:val="231F20"/>
          <w:spacing w:val="25"/>
        </w:rPr>
        <w:t xml:space="preserve"> </w:t>
      </w:r>
      <w:r>
        <w:rPr>
          <w:color w:val="231F20"/>
          <w:w w:val="95"/>
        </w:rPr>
        <w:t>modern</w:t>
      </w:r>
      <w:r>
        <w:rPr>
          <w:color w:val="231F20"/>
          <w:spacing w:val="8"/>
        </w:rPr>
        <w:t xml:space="preserve"> </w:t>
      </w:r>
      <w:r>
        <w:rPr>
          <w:color w:val="231F20"/>
          <w:w w:val="95"/>
        </w:rPr>
        <w:t>and</w:t>
      </w:r>
      <w:r>
        <w:rPr>
          <w:color w:val="231F20"/>
          <w:spacing w:val="8"/>
        </w:rPr>
        <w:t xml:space="preserve"> </w:t>
      </w:r>
      <w:r>
        <w:rPr>
          <w:color w:val="231F20"/>
          <w:w w:val="95"/>
        </w:rPr>
        <w:t>postmodern</w:t>
      </w:r>
      <w:r>
        <w:rPr>
          <w:color w:val="231F20"/>
          <w:spacing w:val="9"/>
        </w:rPr>
        <w:t xml:space="preserve"> </w:t>
      </w:r>
      <w:r>
        <w:rPr>
          <w:color w:val="231F20"/>
          <w:spacing w:val="-4"/>
          <w:w w:val="95"/>
        </w:rPr>
        <w:t>sport</w:t>
      </w:r>
      <w:r>
        <w:rPr>
          <w:color w:val="231F20"/>
        </w:rPr>
        <w:tab/>
      </w:r>
      <w:r>
        <w:rPr>
          <w:color w:val="231F20"/>
          <w:spacing w:val="-5"/>
        </w:rPr>
        <w:t>219</w:t>
      </w:r>
    </w:p>
    <w:p w14:paraId="63CAC450" w14:textId="77777777" w:rsidR="00AE0598" w:rsidRDefault="00AE0598">
      <w:pPr>
        <w:spacing w:line="243" w:lineRule="exact"/>
        <w:sectPr w:rsidR="00AE0598">
          <w:pgSz w:w="8850" w:h="13270"/>
          <w:pgMar w:top="640" w:right="1080" w:bottom="280" w:left="1080" w:header="720" w:footer="720" w:gutter="0"/>
          <w:cols w:space="720"/>
        </w:sectPr>
      </w:pPr>
    </w:p>
    <w:p w14:paraId="74DA2E0A" w14:textId="77777777" w:rsidR="00AE0598" w:rsidRDefault="0069255A">
      <w:pPr>
        <w:pStyle w:val="Ttulo1"/>
        <w:spacing w:before="74" w:line="252" w:lineRule="auto"/>
        <w:ind w:left="166"/>
      </w:pPr>
      <w:bookmarkStart w:id="2" w:name="_TOC_250015"/>
      <w:r>
        <w:rPr>
          <w:color w:val="231F20"/>
          <w:spacing w:val="-2"/>
          <w:w w:val="105"/>
        </w:rPr>
        <w:lastRenderedPageBreak/>
        <w:t>Case</w:t>
      </w:r>
      <w:r>
        <w:rPr>
          <w:color w:val="231F20"/>
          <w:spacing w:val="-35"/>
          <w:w w:val="105"/>
        </w:rPr>
        <w:t xml:space="preserve"> </w:t>
      </w:r>
      <w:r>
        <w:rPr>
          <w:color w:val="231F20"/>
          <w:spacing w:val="-2"/>
          <w:w w:val="105"/>
        </w:rPr>
        <w:t>Study</w:t>
      </w:r>
      <w:r>
        <w:rPr>
          <w:color w:val="231F20"/>
          <w:spacing w:val="-34"/>
          <w:w w:val="105"/>
        </w:rPr>
        <w:t xml:space="preserve"> </w:t>
      </w:r>
      <w:r>
        <w:rPr>
          <w:color w:val="231F20"/>
          <w:spacing w:val="-2"/>
          <w:w w:val="105"/>
        </w:rPr>
        <w:t>and</w:t>
      </w:r>
      <w:r>
        <w:rPr>
          <w:color w:val="231F20"/>
          <w:spacing w:val="-35"/>
          <w:w w:val="105"/>
        </w:rPr>
        <w:t xml:space="preserve"> </w:t>
      </w:r>
      <w:r>
        <w:rPr>
          <w:color w:val="231F20"/>
          <w:spacing w:val="-2"/>
          <w:w w:val="105"/>
        </w:rPr>
        <w:t>Focus</w:t>
      </w:r>
      <w:r>
        <w:rPr>
          <w:color w:val="231F20"/>
          <w:spacing w:val="-34"/>
          <w:w w:val="105"/>
        </w:rPr>
        <w:t xml:space="preserve"> </w:t>
      </w:r>
      <w:bookmarkEnd w:id="2"/>
      <w:r>
        <w:rPr>
          <w:color w:val="231F20"/>
          <w:spacing w:val="-2"/>
          <w:w w:val="105"/>
        </w:rPr>
        <w:t>Point Contributors</w:t>
      </w:r>
    </w:p>
    <w:p w14:paraId="712534EF" w14:textId="77777777" w:rsidR="00AE0598" w:rsidRDefault="00AE0598">
      <w:pPr>
        <w:pStyle w:val="Corpodetexto"/>
        <w:rPr>
          <w:rFonts w:ascii="Trebuchet MS"/>
          <w:sz w:val="54"/>
        </w:rPr>
      </w:pPr>
    </w:p>
    <w:p w14:paraId="3B6CA60B" w14:textId="77777777" w:rsidR="00AE0598" w:rsidRDefault="00AE0598">
      <w:pPr>
        <w:pStyle w:val="Corpodetexto"/>
        <w:rPr>
          <w:rFonts w:ascii="Trebuchet MS"/>
          <w:sz w:val="54"/>
        </w:rPr>
      </w:pPr>
    </w:p>
    <w:p w14:paraId="522AB927" w14:textId="77777777" w:rsidR="00AE0598" w:rsidRDefault="0069255A">
      <w:pPr>
        <w:pStyle w:val="Corpodetexto"/>
        <w:spacing w:before="463" w:line="232" w:lineRule="auto"/>
        <w:ind w:left="166" w:right="221"/>
        <w:jc w:val="both"/>
      </w:pPr>
      <w:r>
        <w:rPr>
          <w:b/>
          <w:color w:val="231F20"/>
        </w:rPr>
        <w:t>Mike</w:t>
      </w:r>
      <w:r>
        <w:rPr>
          <w:b/>
          <w:color w:val="231F20"/>
          <w:spacing w:val="-12"/>
        </w:rPr>
        <w:t xml:space="preserve"> </w:t>
      </w:r>
      <w:r>
        <w:rPr>
          <w:b/>
          <w:color w:val="231F20"/>
        </w:rPr>
        <w:t>Boyes.</w:t>
      </w:r>
      <w:r>
        <w:rPr>
          <w:b/>
          <w:color w:val="231F20"/>
          <w:spacing w:val="-12"/>
        </w:rPr>
        <w:t xml:space="preserve"> </w:t>
      </w:r>
      <w:r>
        <w:rPr>
          <w:color w:val="231F20"/>
        </w:rPr>
        <w:t>School</w:t>
      </w:r>
      <w:r>
        <w:rPr>
          <w:color w:val="231F20"/>
          <w:spacing w:val="-11"/>
        </w:rPr>
        <w:t xml:space="preserve"> </w:t>
      </w:r>
      <w:r>
        <w:rPr>
          <w:color w:val="231F20"/>
        </w:rPr>
        <w:t>of</w:t>
      </w:r>
      <w:r>
        <w:rPr>
          <w:color w:val="231F20"/>
          <w:spacing w:val="-9"/>
        </w:rPr>
        <w:t xml:space="preserve"> </w:t>
      </w:r>
      <w:r>
        <w:rPr>
          <w:color w:val="231F20"/>
        </w:rPr>
        <w:t>Physical</w:t>
      </w:r>
      <w:r>
        <w:rPr>
          <w:color w:val="231F20"/>
          <w:spacing w:val="-11"/>
        </w:rPr>
        <w:t xml:space="preserve"> </w:t>
      </w:r>
      <w:r>
        <w:rPr>
          <w:color w:val="231F20"/>
        </w:rPr>
        <w:t>Education,</w:t>
      </w:r>
      <w:r>
        <w:rPr>
          <w:color w:val="231F20"/>
          <w:spacing w:val="-12"/>
        </w:rPr>
        <w:t xml:space="preserve"> </w:t>
      </w:r>
      <w:r>
        <w:rPr>
          <w:color w:val="231F20"/>
        </w:rPr>
        <w:t>Sport</w:t>
      </w:r>
      <w:r>
        <w:rPr>
          <w:color w:val="231F20"/>
          <w:spacing w:val="-11"/>
        </w:rPr>
        <w:t xml:space="preserve"> </w:t>
      </w:r>
      <w:r>
        <w:rPr>
          <w:color w:val="231F20"/>
        </w:rPr>
        <w:t>and</w:t>
      </w:r>
      <w:r>
        <w:rPr>
          <w:color w:val="231F20"/>
          <w:spacing w:val="-12"/>
        </w:rPr>
        <w:t xml:space="preserve"> </w:t>
      </w:r>
      <w:r>
        <w:rPr>
          <w:color w:val="231F20"/>
        </w:rPr>
        <w:t>Exercise</w:t>
      </w:r>
      <w:r>
        <w:rPr>
          <w:color w:val="231F20"/>
          <w:spacing w:val="-11"/>
        </w:rPr>
        <w:t xml:space="preserve"> </w:t>
      </w:r>
      <w:r>
        <w:rPr>
          <w:color w:val="231F20"/>
        </w:rPr>
        <w:t>Sciences, University</w:t>
      </w:r>
      <w:r>
        <w:rPr>
          <w:color w:val="231F20"/>
          <w:spacing w:val="-5"/>
        </w:rPr>
        <w:t xml:space="preserve"> </w:t>
      </w:r>
      <w:r>
        <w:rPr>
          <w:color w:val="231F20"/>
        </w:rPr>
        <w:t>of Otago,</w:t>
      </w:r>
      <w:r>
        <w:rPr>
          <w:color w:val="231F20"/>
          <w:spacing w:val="-5"/>
        </w:rPr>
        <w:t xml:space="preserve"> </w:t>
      </w:r>
      <w:r>
        <w:rPr>
          <w:color w:val="231F20"/>
        </w:rPr>
        <w:t>Dunedin,</w:t>
      </w:r>
      <w:r>
        <w:rPr>
          <w:color w:val="231F20"/>
          <w:spacing w:val="-5"/>
        </w:rPr>
        <w:t xml:space="preserve"> </w:t>
      </w:r>
      <w:r>
        <w:rPr>
          <w:color w:val="231F20"/>
        </w:rPr>
        <w:t>New</w:t>
      </w:r>
      <w:r>
        <w:rPr>
          <w:color w:val="231F20"/>
          <w:spacing w:val="-5"/>
        </w:rPr>
        <w:t xml:space="preserve"> </w:t>
      </w:r>
      <w:r>
        <w:rPr>
          <w:color w:val="231F20"/>
        </w:rPr>
        <w:t>Zealand.</w:t>
      </w:r>
      <w:r>
        <w:rPr>
          <w:color w:val="231F20"/>
          <w:spacing w:val="-5"/>
        </w:rPr>
        <w:t xml:space="preserve"> </w:t>
      </w:r>
      <w:r>
        <w:rPr>
          <w:color w:val="231F20"/>
        </w:rPr>
        <w:t>Email:</w:t>
      </w:r>
      <w:r>
        <w:rPr>
          <w:color w:val="231F20"/>
          <w:spacing w:val="-5"/>
        </w:rPr>
        <w:t xml:space="preserve"> </w:t>
      </w:r>
      <w:r>
        <w:rPr>
          <w:color w:val="231F20"/>
        </w:rPr>
        <w:t xml:space="preserve">mike.boyes@otago. </w:t>
      </w:r>
      <w:r>
        <w:rPr>
          <w:color w:val="231F20"/>
          <w:spacing w:val="-2"/>
        </w:rPr>
        <w:t>ac.nz</w:t>
      </w:r>
    </w:p>
    <w:p w14:paraId="4C0E001C" w14:textId="77777777" w:rsidR="00AE0598" w:rsidRDefault="0069255A">
      <w:pPr>
        <w:pStyle w:val="Corpodetexto"/>
        <w:spacing w:before="173" w:line="232" w:lineRule="auto"/>
        <w:ind w:left="166" w:right="221"/>
        <w:jc w:val="both"/>
      </w:pPr>
      <w:r>
        <w:rPr>
          <w:b/>
          <w:color w:val="231F20"/>
        </w:rPr>
        <w:t xml:space="preserve">Inge Derom. </w:t>
      </w:r>
      <w:r>
        <w:rPr>
          <w:color w:val="231F20"/>
        </w:rPr>
        <w:t>Department of Sport Management and Policy, Vrije Universiteit,</w:t>
      </w:r>
      <w:r>
        <w:rPr>
          <w:color w:val="231F20"/>
          <w:spacing w:val="-7"/>
        </w:rPr>
        <w:t xml:space="preserve"> </w:t>
      </w:r>
      <w:r>
        <w:rPr>
          <w:color w:val="231F20"/>
        </w:rPr>
        <w:t>Brussels,</w:t>
      </w:r>
      <w:r>
        <w:rPr>
          <w:color w:val="231F20"/>
          <w:spacing w:val="-7"/>
        </w:rPr>
        <w:t xml:space="preserve"> </w:t>
      </w:r>
      <w:r>
        <w:rPr>
          <w:color w:val="231F20"/>
        </w:rPr>
        <w:t>Belgium.</w:t>
      </w:r>
      <w:r>
        <w:rPr>
          <w:color w:val="231F20"/>
          <w:spacing w:val="-7"/>
        </w:rPr>
        <w:t xml:space="preserve"> </w:t>
      </w:r>
      <w:r>
        <w:rPr>
          <w:color w:val="231F20"/>
        </w:rPr>
        <w:t>Email:</w:t>
      </w:r>
      <w:r>
        <w:rPr>
          <w:color w:val="231F20"/>
          <w:spacing w:val="-7"/>
        </w:rPr>
        <w:t xml:space="preserve"> </w:t>
      </w:r>
      <w:hyperlink r:id="rId10">
        <w:r>
          <w:rPr>
            <w:color w:val="231F20"/>
          </w:rPr>
          <w:t>inge.derom@vub.be</w:t>
        </w:r>
      </w:hyperlink>
    </w:p>
    <w:p w14:paraId="5026FE13" w14:textId="77777777" w:rsidR="00AE0598" w:rsidRDefault="0069255A">
      <w:pPr>
        <w:pStyle w:val="Corpodetexto"/>
        <w:spacing w:before="173" w:line="232" w:lineRule="auto"/>
        <w:ind w:left="166" w:right="221"/>
        <w:jc w:val="both"/>
      </w:pPr>
      <w:r>
        <w:rPr>
          <w:b/>
          <w:color w:val="231F20"/>
        </w:rPr>
        <w:t xml:space="preserve">Adam Doering. </w:t>
      </w:r>
      <w:r>
        <w:rPr>
          <w:color w:val="231F20"/>
        </w:rPr>
        <w:t>Centre for Tourism Research, Faculty of Tourism, Wakayama University, Wakayama, Japan. Emai</w:t>
      </w:r>
      <w:r>
        <w:rPr>
          <w:color w:val="231F20"/>
        </w:rPr>
        <w:t xml:space="preserve">l: adoering@center. </w:t>
      </w:r>
      <w:r>
        <w:rPr>
          <w:color w:val="231F20"/>
          <w:spacing w:val="-2"/>
        </w:rPr>
        <w:t>wakayama-u.ac.jp</w:t>
      </w:r>
    </w:p>
    <w:p w14:paraId="02EDF8D2" w14:textId="77777777" w:rsidR="00AE0598" w:rsidRDefault="0069255A">
      <w:pPr>
        <w:pStyle w:val="Corpodetexto"/>
        <w:spacing w:before="173" w:line="232" w:lineRule="auto"/>
        <w:ind w:left="166" w:right="221"/>
        <w:jc w:val="both"/>
      </w:pPr>
      <w:r>
        <w:rPr>
          <w:b/>
          <w:color w:val="231F20"/>
        </w:rPr>
        <w:t xml:space="preserve">Debbie Hopkins. </w:t>
      </w:r>
      <w:r>
        <w:rPr>
          <w:color w:val="231F20"/>
        </w:rPr>
        <w:t>Department of Geography and the Environment, University</w:t>
      </w:r>
      <w:r>
        <w:rPr>
          <w:color w:val="231F20"/>
          <w:spacing w:val="-12"/>
        </w:rPr>
        <w:t xml:space="preserve"> </w:t>
      </w:r>
      <w:r>
        <w:rPr>
          <w:color w:val="231F20"/>
        </w:rPr>
        <w:t>of</w:t>
      </w:r>
      <w:r>
        <w:rPr>
          <w:color w:val="231F20"/>
          <w:spacing w:val="-5"/>
        </w:rPr>
        <w:t xml:space="preserve"> </w:t>
      </w:r>
      <w:r>
        <w:rPr>
          <w:color w:val="231F20"/>
        </w:rPr>
        <w:t>Oxford,</w:t>
      </w:r>
      <w:r>
        <w:rPr>
          <w:color w:val="231F20"/>
          <w:spacing w:val="-12"/>
        </w:rPr>
        <w:t xml:space="preserve"> </w:t>
      </w:r>
      <w:r>
        <w:rPr>
          <w:color w:val="231F20"/>
        </w:rPr>
        <w:t>Oxford,</w:t>
      </w:r>
      <w:r>
        <w:rPr>
          <w:color w:val="231F20"/>
          <w:spacing w:val="-11"/>
        </w:rPr>
        <w:t xml:space="preserve"> </w:t>
      </w:r>
      <w:r>
        <w:rPr>
          <w:color w:val="231F20"/>
        </w:rPr>
        <w:t>United</w:t>
      </w:r>
      <w:r>
        <w:rPr>
          <w:color w:val="231F20"/>
          <w:spacing w:val="-12"/>
        </w:rPr>
        <w:t xml:space="preserve"> </w:t>
      </w:r>
      <w:r>
        <w:rPr>
          <w:color w:val="231F20"/>
        </w:rPr>
        <w:t>Kingdom.</w:t>
      </w:r>
      <w:r>
        <w:rPr>
          <w:color w:val="231F20"/>
          <w:spacing w:val="-12"/>
        </w:rPr>
        <w:t xml:space="preserve"> </w:t>
      </w:r>
      <w:r>
        <w:rPr>
          <w:color w:val="231F20"/>
        </w:rPr>
        <w:t>Email:</w:t>
      </w:r>
      <w:r>
        <w:rPr>
          <w:color w:val="231F20"/>
          <w:spacing w:val="-11"/>
        </w:rPr>
        <w:t xml:space="preserve"> </w:t>
      </w:r>
      <w:r>
        <w:rPr>
          <w:color w:val="231F20"/>
        </w:rPr>
        <w:t xml:space="preserve">debbie.hopkins@ </w:t>
      </w:r>
      <w:r>
        <w:rPr>
          <w:color w:val="231F20"/>
          <w:spacing w:val="-2"/>
        </w:rPr>
        <w:t>ouce.ox.ac.uk</w:t>
      </w:r>
    </w:p>
    <w:p w14:paraId="7E6F4290" w14:textId="77777777" w:rsidR="00AE0598" w:rsidRDefault="0069255A">
      <w:pPr>
        <w:pStyle w:val="Corpodetexto"/>
        <w:spacing w:before="174" w:line="232" w:lineRule="auto"/>
        <w:ind w:left="166" w:right="221"/>
        <w:jc w:val="both"/>
      </w:pPr>
      <w:r>
        <w:rPr>
          <w:b/>
          <w:color w:val="231F20"/>
        </w:rPr>
        <w:t xml:space="preserve">Eiji Ito. </w:t>
      </w:r>
      <w:r>
        <w:rPr>
          <w:color w:val="231F20"/>
        </w:rPr>
        <w:t xml:space="preserve">Faculty of Tourism, Wakayama University, Wakayama, Japan. Email: </w:t>
      </w:r>
      <w:hyperlink r:id="rId11">
        <w:r>
          <w:rPr>
            <w:color w:val="231F20"/>
          </w:rPr>
          <w:t>eijito@center.wakayama-u.ac.jp</w:t>
        </w:r>
      </w:hyperlink>
    </w:p>
    <w:p w14:paraId="0D5989F3" w14:textId="77777777" w:rsidR="00AE0598" w:rsidRDefault="0069255A">
      <w:pPr>
        <w:pStyle w:val="Corpodetexto"/>
        <w:spacing w:before="173" w:line="232" w:lineRule="auto"/>
        <w:ind w:left="166" w:right="221"/>
        <w:jc w:val="both"/>
      </w:pPr>
      <w:r>
        <w:rPr>
          <w:b/>
          <w:color w:val="231F20"/>
        </w:rPr>
        <w:t xml:space="preserve">Daniel Evans. </w:t>
      </w:r>
      <w:r>
        <w:rPr>
          <w:color w:val="231F20"/>
        </w:rPr>
        <w:t xml:space="preserve">Department of Geography, York University, Toronto, Canada. Email: </w:t>
      </w:r>
      <w:hyperlink r:id="rId12">
        <w:r>
          <w:rPr>
            <w:color w:val="231F20"/>
          </w:rPr>
          <w:t>devans05@yorku.ca</w:t>
        </w:r>
      </w:hyperlink>
    </w:p>
    <w:p w14:paraId="3F0DEE98" w14:textId="77777777" w:rsidR="00AE0598" w:rsidRDefault="0069255A">
      <w:pPr>
        <w:pStyle w:val="Corpodetexto"/>
        <w:spacing w:before="172" w:line="232" w:lineRule="auto"/>
        <w:ind w:left="166" w:right="221"/>
        <w:jc w:val="both"/>
      </w:pPr>
      <w:r>
        <w:rPr>
          <w:b/>
          <w:color w:val="231F20"/>
          <w:w w:val="95"/>
        </w:rPr>
        <w:t>Scarlett</w:t>
      </w:r>
      <w:r>
        <w:rPr>
          <w:b/>
          <w:color w:val="231F20"/>
          <w:spacing w:val="-10"/>
          <w:w w:val="95"/>
        </w:rPr>
        <w:t xml:space="preserve"> </w:t>
      </w:r>
      <w:r>
        <w:rPr>
          <w:b/>
          <w:color w:val="231F20"/>
          <w:w w:val="95"/>
        </w:rPr>
        <w:t>Hagen.</w:t>
      </w:r>
      <w:r>
        <w:rPr>
          <w:b/>
          <w:color w:val="231F20"/>
          <w:spacing w:val="-9"/>
          <w:w w:val="95"/>
        </w:rPr>
        <w:t xml:space="preserve"> </w:t>
      </w:r>
      <w:r>
        <w:rPr>
          <w:color w:val="231F20"/>
          <w:w w:val="95"/>
        </w:rPr>
        <w:t>School</w:t>
      </w:r>
      <w:r>
        <w:rPr>
          <w:color w:val="231F20"/>
          <w:spacing w:val="-9"/>
          <w:w w:val="95"/>
        </w:rPr>
        <w:t xml:space="preserve"> </w:t>
      </w:r>
      <w:r>
        <w:rPr>
          <w:color w:val="231F20"/>
          <w:w w:val="95"/>
        </w:rPr>
        <w:t>of</w:t>
      </w:r>
      <w:r>
        <w:rPr>
          <w:color w:val="231F20"/>
          <w:spacing w:val="3"/>
        </w:rPr>
        <w:t xml:space="preserve"> </w:t>
      </w:r>
      <w:r>
        <w:rPr>
          <w:color w:val="231F20"/>
          <w:w w:val="95"/>
        </w:rPr>
        <w:t>Physical</w:t>
      </w:r>
      <w:r>
        <w:rPr>
          <w:color w:val="231F20"/>
          <w:spacing w:val="-10"/>
          <w:w w:val="95"/>
        </w:rPr>
        <w:t xml:space="preserve"> </w:t>
      </w:r>
      <w:r>
        <w:rPr>
          <w:color w:val="231F20"/>
          <w:w w:val="95"/>
        </w:rPr>
        <w:t>Education,</w:t>
      </w:r>
      <w:r>
        <w:rPr>
          <w:color w:val="231F20"/>
          <w:spacing w:val="-9"/>
          <w:w w:val="95"/>
        </w:rPr>
        <w:t xml:space="preserve"> </w:t>
      </w:r>
      <w:r>
        <w:rPr>
          <w:color w:val="231F20"/>
          <w:w w:val="95"/>
        </w:rPr>
        <w:t>Sport</w:t>
      </w:r>
      <w:r>
        <w:rPr>
          <w:color w:val="231F20"/>
          <w:spacing w:val="-9"/>
          <w:w w:val="95"/>
        </w:rPr>
        <w:t xml:space="preserve"> </w:t>
      </w:r>
      <w:r>
        <w:rPr>
          <w:color w:val="231F20"/>
          <w:w w:val="95"/>
        </w:rPr>
        <w:t>and</w:t>
      </w:r>
      <w:r>
        <w:rPr>
          <w:color w:val="231F20"/>
          <w:spacing w:val="-9"/>
          <w:w w:val="95"/>
        </w:rPr>
        <w:t xml:space="preserve"> </w:t>
      </w:r>
      <w:r>
        <w:rPr>
          <w:color w:val="231F20"/>
          <w:w w:val="95"/>
        </w:rPr>
        <w:t>Exercise</w:t>
      </w:r>
      <w:r>
        <w:rPr>
          <w:color w:val="231F20"/>
          <w:spacing w:val="-10"/>
          <w:w w:val="95"/>
        </w:rPr>
        <w:t xml:space="preserve"> </w:t>
      </w:r>
      <w:r>
        <w:rPr>
          <w:color w:val="231F20"/>
          <w:w w:val="95"/>
        </w:rPr>
        <w:t xml:space="preserve">Sciences, </w:t>
      </w:r>
      <w:r>
        <w:rPr>
          <w:color w:val="231F20"/>
        </w:rPr>
        <w:t xml:space="preserve">University of Otago, Dunedin, New Zealand. Email: scarlett.hagen@ </w:t>
      </w:r>
      <w:r>
        <w:rPr>
          <w:color w:val="231F20"/>
          <w:spacing w:val="-2"/>
        </w:rPr>
        <w:t>otago.ac.nz</w:t>
      </w:r>
    </w:p>
    <w:p w14:paraId="1487035B" w14:textId="77777777" w:rsidR="00AE0598" w:rsidRDefault="0069255A">
      <w:pPr>
        <w:pStyle w:val="Corpodetexto"/>
        <w:spacing w:before="174" w:line="232" w:lineRule="auto"/>
        <w:ind w:left="166" w:right="221"/>
        <w:jc w:val="both"/>
      </w:pPr>
      <w:r>
        <w:rPr>
          <w:b/>
          <w:color w:val="231F20"/>
          <w:spacing w:val="-2"/>
          <w:w w:val="95"/>
        </w:rPr>
        <w:t>Millicent</w:t>
      </w:r>
      <w:r>
        <w:rPr>
          <w:b/>
          <w:color w:val="231F20"/>
          <w:spacing w:val="-3"/>
          <w:w w:val="95"/>
        </w:rPr>
        <w:t xml:space="preserve"> </w:t>
      </w:r>
      <w:r>
        <w:rPr>
          <w:b/>
          <w:color w:val="231F20"/>
          <w:spacing w:val="-2"/>
          <w:w w:val="95"/>
        </w:rPr>
        <w:t>Kennelly.</w:t>
      </w:r>
      <w:r>
        <w:rPr>
          <w:b/>
          <w:color w:val="231F20"/>
          <w:spacing w:val="-3"/>
          <w:w w:val="95"/>
        </w:rPr>
        <w:t xml:space="preserve"> </w:t>
      </w:r>
      <w:r>
        <w:rPr>
          <w:color w:val="231F20"/>
          <w:spacing w:val="-2"/>
          <w:w w:val="95"/>
        </w:rPr>
        <w:t>Department</w:t>
      </w:r>
      <w:r>
        <w:rPr>
          <w:color w:val="231F20"/>
          <w:spacing w:val="-3"/>
          <w:w w:val="95"/>
        </w:rPr>
        <w:t xml:space="preserve"> </w:t>
      </w:r>
      <w:r>
        <w:rPr>
          <w:color w:val="231F20"/>
          <w:spacing w:val="-2"/>
          <w:w w:val="95"/>
        </w:rPr>
        <w:t>of</w:t>
      </w:r>
      <w:r>
        <w:rPr>
          <w:color w:val="231F20"/>
          <w:spacing w:val="21"/>
        </w:rPr>
        <w:t xml:space="preserve"> </w:t>
      </w:r>
      <w:r>
        <w:rPr>
          <w:color w:val="231F20"/>
          <w:spacing w:val="-2"/>
          <w:w w:val="95"/>
        </w:rPr>
        <w:t>Tourism,</w:t>
      </w:r>
      <w:r>
        <w:rPr>
          <w:color w:val="231F20"/>
          <w:spacing w:val="-3"/>
          <w:w w:val="95"/>
        </w:rPr>
        <w:t xml:space="preserve"> </w:t>
      </w:r>
      <w:r>
        <w:rPr>
          <w:color w:val="231F20"/>
          <w:spacing w:val="-2"/>
          <w:w w:val="95"/>
        </w:rPr>
        <w:t>Sport</w:t>
      </w:r>
      <w:r>
        <w:rPr>
          <w:color w:val="231F20"/>
          <w:spacing w:val="-3"/>
          <w:w w:val="95"/>
        </w:rPr>
        <w:t xml:space="preserve"> </w:t>
      </w:r>
      <w:r>
        <w:rPr>
          <w:color w:val="231F20"/>
          <w:spacing w:val="-2"/>
          <w:w w:val="95"/>
        </w:rPr>
        <w:t>and</w:t>
      </w:r>
      <w:r>
        <w:rPr>
          <w:color w:val="231F20"/>
          <w:spacing w:val="-3"/>
          <w:w w:val="95"/>
        </w:rPr>
        <w:t xml:space="preserve"> </w:t>
      </w:r>
      <w:r>
        <w:rPr>
          <w:color w:val="231F20"/>
          <w:spacing w:val="-2"/>
          <w:w w:val="95"/>
        </w:rPr>
        <w:t>Hotel</w:t>
      </w:r>
      <w:r>
        <w:rPr>
          <w:color w:val="231F20"/>
          <w:spacing w:val="-3"/>
          <w:w w:val="95"/>
        </w:rPr>
        <w:t xml:space="preserve"> </w:t>
      </w:r>
      <w:r>
        <w:rPr>
          <w:color w:val="231F20"/>
          <w:spacing w:val="-2"/>
          <w:w w:val="95"/>
        </w:rPr>
        <w:t xml:space="preserve">Management, </w:t>
      </w:r>
      <w:r>
        <w:rPr>
          <w:color w:val="231F20"/>
          <w:spacing w:val="-2"/>
        </w:rPr>
        <w:t>Griffith</w:t>
      </w:r>
      <w:r>
        <w:rPr>
          <w:color w:val="231F20"/>
        </w:rPr>
        <w:t xml:space="preserve"> </w:t>
      </w:r>
      <w:r>
        <w:rPr>
          <w:color w:val="231F20"/>
          <w:spacing w:val="-2"/>
        </w:rPr>
        <w:t>University,</w:t>
      </w:r>
      <w:r>
        <w:rPr>
          <w:color w:val="231F20"/>
          <w:spacing w:val="1"/>
        </w:rPr>
        <w:t xml:space="preserve"> </w:t>
      </w:r>
      <w:r>
        <w:rPr>
          <w:color w:val="231F20"/>
          <w:spacing w:val="-2"/>
        </w:rPr>
        <w:t>Nathan,</w:t>
      </w:r>
      <w:r>
        <w:rPr>
          <w:color w:val="231F20"/>
          <w:spacing w:val="1"/>
        </w:rPr>
        <w:t xml:space="preserve"> </w:t>
      </w:r>
      <w:r>
        <w:rPr>
          <w:color w:val="231F20"/>
          <w:spacing w:val="-2"/>
        </w:rPr>
        <w:t>Australia.</w:t>
      </w:r>
      <w:r>
        <w:rPr>
          <w:color w:val="231F20"/>
          <w:spacing w:val="1"/>
        </w:rPr>
        <w:t xml:space="preserve"> </w:t>
      </w:r>
      <w:r>
        <w:rPr>
          <w:color w:val="231F20"/>
          <w:spacing w:val="-2"/>
        </w:rPr>
        <w:t>Email:</w:t>
      </w:r>
      <w:r>
        <w:rPr>
          <w:color w:val="231F20"/>
          <w:spacing w:val="1"/>
        </w:rPr>
        <w:t xml:space="preserve"> </w:t>
      </w:r>
      <w:hyperlink r:id="rId13">
        <w:r>
          <w:rPr>
            <w:color w:val="231F20"/>
            <w:spacing w:val="-2"/>
            <w:w w:val="95"/>
          </w:rPr>
          <w:t>m.kennelly@griffith.edu.au</w:t>
        </w:r>
      </w:hyperlink>
    </w:p>
    <w:p w14:paraId="1A986E23" w14:textId="77777777" w:rsidR="00AE0598" w:rsidRDefault="0069255A">
      <w:pPr>
        <w:pStyle w:val="Corpodetexto"/>
        <w:spacing w:before="172" w:line="232" w:lineRule="auto"/>
        <w:ind w:left="166" w:right="221"/>
        <w:jc w:val="both"/>
      </w:pPr>
      <w:r>
        <w:rPr>
          <w:b/>
          <w:color w:val="231F20"/>
        </w:rPr>
        <w:t xml:space="preserve">Brendon Knott. </w:t>
      </w:r>
      <w:r>
        <w:rPr>
          <w:color w:val="231F20"/>
        </w:rPr>
        <w:t xml:space="preserve">Department of Sport Management, Cape Peninsula </w:t>
      </w:r>
      <w:r>
        <w:rPr>
          <w:color w:val="231F20"/>
          <w:w w:val="95"/>
        </w:rPr>
        <w:t>University</w:t>
      </w:r>
      <w:r>
        <w:rPr>
          <w:color w:val="231F20"/>
          <w:spacing w:val="-10"/>
          <w:w w:val="95"/>
        </w:rPr>
        <w:t xml:space="preserve"> </w:t>
      </w:r>
      <w:r>
        <w:rPr>
          <w:color w:val="231F20"/>
          <w:w w:val="95"/>
        </w:rPr>
        <w:t>of</w:t>
      </w:r>
      <w:r>
        <w:rPr>
          <w:color w:val="231F20"/>
          <w:spacing w:val="-1"/>
        </w:rPr>
        <w:t xml:space="preserve"> </w:t>
      </w:r>
      <w:r>
        <w:rPr>
          <w:color w:val="231F20"/>
          <w:w w:val="95"/>
        </w:rPr>
        <w:t>Technology,</w:t>
      </w:r>
      <w:r>
        <w:rPr>
          <w:color w:val="231F20"/>
          <w:spacing w:val="-9"/>
          <w:w w:val="95"/>
        </w:rPr>
        <w:t xml:space="preserve"> </w:t>
      </w:r>
      <w:r>
        <w:rPr>
          <w:color w:val="231F20"/>
          <w:w w:val="95"/>
        </w:rPr>
        <w:t>Cape</w:t>
      </w:r>
      <w:r>
        <w:rPr>
          <w:color w:val="231F20"/>
          <w:spacing w:val="-10"/>
          <w:w w:val="95"/>
        </w:rPr>
        <w:t xml:space="preserve"> </w:t>
      </w:r>
      <w:r>
        <w:rPr>
          <w:color w:val="231F20"/>
          <w:w w:val="95"/>
        </w:rPr>
        <w:t>Town,</w:t>
      </w:r>
      <w:r>
        <w:rPr>
          <w:color w:val="231F20"/>
          <w:spacing w:val="-9"/>
          <w:w w:val="95"/>
        </w:rPr>
        <w:t xml:space="preserve"> </w:t>
      </w:r>
      <w:r>
        <w:rPr>
          <w:color w:val="231F20"/>
          <w:w w:val="95"/>
        </w:rPr>
        <w:t>South</w:t>
      </w:r>
      <w:r>
        <w:rPr>
          <w:color w:val="231F20"/>
          <w:spacing w:val="-9"/>
          <w:w w:val="95"/>
        </w:rPr>
        <w:t xml:space="preserve"> </w:t>
      </w:r>
      <w:r>
        <w:rPr>
          <w:color w:val="231F20"/>
          <w:w w:val="95"/>
        </w:rPr>
        <w:t>Africa.</w:t>
      </w:r>
      <w:r>
        <w:rPr>
          <w:color w:val="231F20"/>
          <w:spacing w:val="-9"/>
          <w:w w:val="95"/>
        </w:rPr>
        <w:t xml:space="preserve"> </w:t>
      </w:r>
      <w:r>
        <w:rPr>
          <w:color w:val="231F20"/>
          <w:w w:val="95"/>
        </w:rPr>
        <w:t>Email:</w:t>
      </w:r>
      <w:r>
        <w:rPr>
          <w:color w:val="231F20"/>
          <w:spacing w:val="-10"/>
          <w:w w:val="95"/>
        </w:rPr>
        <w:t xml:space="preserve"> </w:t>
      </w:r>
      <w:r>
        <w:rPr>
          <w:color w:val="231F20"/>
          <w:w w:val="95"/>
        </w:rPr>
        <w:t xml:space="preserve">brendonknott@ </w:t>
      </w:r>
      <w:r>
        <w:rPr>
          <w:color w:val="231F20"/>
          <w:spacing w:val="-2"/>
        </w:rPr>
        <w:t>gmail.com</w:t>
      </w:r>
    </w:p>
    <w:p w14:paraId="64C5F168" w14:textId="77777777" w:rsidR="00AE0598" w:rsidRDefault="0069255A">
      <w:pPr>
        <w:pStyle w:val="Corpodetexto"/>
        <w:spacing w:before="174" w:line="232" w:lineRule="auto"/>
        <w:ind w:left="166" w:right="238"/>
        <w:jc w:val="both"/>
      </w:pPr>
      <w:r>
        <w:rPr>
          <w:b/>
          <w:color w:val="231F20"/>
          <w:w w:val="95"/>
        </w:rPr>
        <w:t xml:space="preserve">Cory Kulczycki. </w:t>
      </w:r>
      <w:r>
        <w:rPr>
          <w:color w:val="231F20"/>
          <w:w w:val="95"/>
        </w:rPr>
        <w:t>Faculty of</w:t>
      </w:r>
      <w:r>
        <w:rPr>
          <w:color w:val="231F20"/>
        </w:rPr>
        <w:t xml:space="preserve"> </w:t>
      </w:r>
      <w:r>
        <w:rPr>
          <w:color w:val="231F20"/>
          <w:w w:val="95"/>
        </w:rPr>
        <w:t xml:space="preserve">Kinesiology and Health Studies, University of </w:t>
      </w:r>
      <w:r>
        <w:rPr>
          <w:color w:val="231F20"/>
        </w:rPr>
        <w:t xml:space="preserve">Regina, Saskatchewan, Canada. Email: </w:t>
      </w:r>
      <w:hyperlink r:id="rId14">
        <w:r>
          <w:rPr>
            <w:color w:val="231F20"/>
          </w:rPr>
          <w:t>Cory.Kulczycki@uregina.ca</w:t>
        </w:r>
      </w:hyperlink>
    </w:p>
    <w:p w14:paraId="18CB0191" w14:textId="77777777" w:rsidR="00AE0598" w:rsidRDefault="00AE0598">
      <w:pPr>
        <w:pStyle w:val="Corpodetexto"/>
        <w:rPr>
          <w:sz w:val="20"/>
        </w:rPr>
      </w:pPr>
    </w:p>
    <w:p w14:paraId="3F07E8E6" w14:textId="77777777" w:rsidR="00AE0598" w:rsidRDefault="00AE0598">
      <w:pPr>
        <w:pStyle w:val="Corpodetexto"/>
        <w:rPr>
          <w:sz w:val="20"/>
        </w:rPr>
      </w:pPr>
    </w:p>
    <w:p w14:paraId="2D7E9580" w14:textId="77777777" w:rsidR="00AE0598" w:rsidRDefault="00AE0598">
      <w:pPr>
        <w:pStyle w:val="Corpodetexto"/>
        <w:rPr>
          <w:sz w:val="17"/>
        </w:rPr>
      </w:pPr>
    </w:p>
    <w:p w14:paraId="6C3A1016" w14:textId="77777777" w:rsidR="00AE0598" w:rsidRDefault="0069255A">
      <w:pPr>
        <w:spacing w:before="100"/>
        <w:ind w:left="376" w:right="426"/>
        <w:jc w:val="center"/>
        <w:rPr>
          <w:rFonts w:ascii="Trebuchet MS"/>
          <w:sz w:val="14"/>
        </w:rPr>
      </w:pPr>
      <w:r>
        <w:rPr>
          <w:rFonts w:ascii="Trebuchet MS"/>
          <w:color w:val="231F20"/>
          <w:spacing w:val="-5"/>
          <w:sz w:val="14"/>
        </w:rPr>
        <w:t>ix</w:t>
      </w:r>
    </w:p>
    <w:p w14:paraId="0A880BDD" w14:textId="77777777" w:rsidR="00AE0598" w:rsidRDefault="00AE0598">
      <w:pPr>
        <w:jc w:val="center"/>
        <w:rPr>
          <w:rFonts w:ascii="Trebuchet MS"/>
          <w:sz w:val="14"/>
        </w:rPr>
        <w:sectPr w:rsidR="00AE0598">
          <w:pgSz w:w="8850" w:h="13270"/>
          <w:pgMar w:top="1080" w:right="1080" w:bottom="280" w:left="1080" w:header="720" w:footer="720" w:gutter="0"/>
          <w:cols w:space="720"/>
        </w:sectPr>
      </w:pPr>
    </w:p>
    <w:p w14:paraId="203BD81B" w14:textId="77777777" w:rsidR="00AE0598" w:rsidRDefault="0069255A">
      <w:pPr>
        <w:spacing w:before="80"/>
        <w:ind w:left="223"/>
        <w:jc w:val="both"/>
        <w:rPr>
          <w:rFonts w:ascii="Trebuchet MS"/>
          <w:sz w:val="14"/>
        </w:rPr>
      </w:pPr>
      <w:r>
        <w:rPr>
          <w:rFonts w:ascii="Trebuchet MS"/>
          <w:color w:val="231F20"/>
          <w:w w:val="105"/>
          <w:sz w:val="14"/>
        </w:rPr>
        <w:lastRenderedPageBreak/>
        <w:t>x</w:t>
      </w:r>
      <w:r>
        <w:rPr>
          <w:rFonts w:ascii="Trebuchet MS"/>
          <w:color w:val="231F20"/>
          <w:spacing w:val="34"/>
          <w:w w:val="105"/>
          <w:sz w:val="14"/>
        </w:rPr>
        <w:t xml:space="preserve">  </w:t>
      </w:r>
      <w:r>
        <w:rPr>
          <w:rFonts w:ascii="Trebuchet MS"/>
          <w:color w:val="231F20"/>
          <w:w w:val="105"/>
          <w:sz w:val="14"/>
        </w:rPr>
        <w:t>Case</w:t>
      </w:r>
      <w:r>
        <w:rPr>
          <w:rFonts w:ascii="Trebuchet MS"/>
          <w:color w:val="231F20"/>
          <w:spacing w:val="1"/>
          <w:w w:val="105"/>
          <w:sz w:val="14"/>
        </w:rPr>
        <w:t xml:space="preserve"> </w:t>
      </w:r>
      <w:r>
        <w:rPr>
          <w:rFonts w:ascii="Trebuchet MS"/>
          <w:color w:val="231F20"/>
          <w:w w:val="105"/>
          <w:sz w:val="14"/>
        </w:rPr>
        <w:t>Study</w:t>
      </w:r>
      <w:r>
        <w:rPr>
          <w:rFonts w:ascii="Trebuchet MS"/>
          <w:color w:val="231F20"/>
          <w:spacing w:val="2"/>
          <w:w w:val="105"/>
          <w:sz w:val="14"/>
        </w:rPr>
        <w:t xml:space="preserve"> </w:t>
      </w:r>
      <w:r>
        <w:rPr>
          <w:rFonts w:ascii="Trebuchet MS"/>
          <w:color w:val="231F20"/>
          <w:w w:val="105"/>
          <w:sz w:val="14"/>
        </w:rPr>
        <w:t>and</w:t>
      </w:r>
      <w:r>
        <w:rPr>
          <w:rFonts w:ascii="Trebuchet MS"/>
          <w:color w:val="231F20"/>
          <w:spacing w:val="1"/>
          <w:w w:val="105"/>
          <w:sz w:val="14"/>
        </w:rPr>
        <w:t xml:space="preserve"> </w:t>
      </w:r>
      <w:r>
        <w:rPr>
          <w:rFonts w:ascii="Trebuchet MS"/>
          <w:color w:val="231F20"/>
          <w:w w:val="105"/>
          <w:sz w:val="14"/>
        </w:rPr>
        <w:t>Focus</w:t>
      </w:r>
      <w:r>
        <w:rPr>
          <w:rFonts w:ascii="Trebuchet MS"/>
          <w:color w:val="231F20"/>
          <w:spacing w:val="1"/>
          <w:w w:val="105"/>
          <w:sz w:val="14"/>
        </w:rPr>
        <w:t xml:space="preserve"> </w:t>
      </w:r>
      <w:r>
        <w:rPr>
          <w:rFonts w:ascii="Trebuchet MS"/>
          <w:color w:val="231F20"/>
          <w:w w:val="105"/>
          <w:sz w:val="14"/>
        </w:rPr>
        <w:t>Point</w:t>
      </w:r>
      <w:r>
        <w:rPr>
          <w:rFonts w:ascii="Trebuchet MS"/>
          <w:color w:val="231F20"/>
          <w:spacing w:val="1"/>
          <w:w w:val="105"/>
          <w:sz w:val="14"/>
        </w:rPr>
        <w:t xml:space="preserve"> </w:t>
      </w:r>
      <w:r>
        <w:rPr>
          <w:rFonts w:ascii="Trebuchet MS"/>
          <w:color w:val="231F20"/>
          <w:spacing w:val="-2"/>
          <w:w w:val="105"/>
          <w:sz w:val="14"/>
        </w:rPr>
        <w:t>Contributors</w:t>
      </w:r>
    </w:p>
    <w:p w14:paraId="32DE4DD7" w14:textId="77777777" w:rsidR="00AE0598" w:rsidRDefault="00AE0598">
      <w:pPr>
        <w:pStyle w:val="Corpodetexto"/>
        <w:rPr>
          <w:rFonts w:ascii="Trebuchet MS"/>
          <w:sz w:val="16"/>
        </w:rPr>
      </w:pPr>
    </w:p>
    <w:p w14:paraId="155CF644" w14:textId="77777777" w:rsidR="00AE0598" w:rsidRDefault="0069255A">
      <w:pPr>
        <w:pStyle w:val="Corpodetexto"/>
        <w:spacing w:before="132" w:line="232" w:lineRule="auto"/>
        <w:ind w:left="223" w:right="164"/>
        <w:jc w:val="both"/>
      </w:pPr>
      <w:r>
        <w:rPr>
          <w:b/>
          <w:color w:val="231F20"/>
        </w:rPr>
        <w:t xml:space="preserve">Matthew Lamont. </w:t>
      </w:r>
      <w:r>
        <w:rPr>
          <w:color w:val="231F20"/>
        </w:rPr>
        <w:t>School of Business and Tourism, Southern Cross University,</w:t>
      </w:r>
      <w:r>
        <w:rPr>
          <w:color w:val="231F20"/>
          <w:spacing w:val="-11"/>
        </w:rPr>
        <w:t xml:space="preserve"> </w:t>
      </w:r>
      <w:r>
        <w:rPr>
          <w:color w:val="231F20"/>
        </w:rPr>
        <w:t>Lismore,</w:t>
      </w:r>
      <w:r>
        <w:rPr>
          <w:color w:val="231F20"/>
          <w:spacing w:val="-11"/>
        </w:rPr>
        <w:t xml:space="preserve"> </w:t>
      </w:r>
      <w:r>
        <w:rPr>
          <w:color w:val="231F20"/>
        </w:rPr>
        <w:t>Australia.</w:t>
      </w:r>
      <w:r>
        <w:rPr>
          <w:color w:val="231F20"/>
          <w:spacing w:val="-11"/>
        </w:rPr>
        <w:t xml:space="preserve"> </w:t>
      </w:r>
      <w:r>
        <w:rPr>
          <w:color w:val="231F20"/>
        </w:rPr>
        <w:t>Email:</w:t>
      </w:r>
      <w:r>
        <w:rPr>
          <w:color w:val="231F20"/>
          <w:spacing w:val="-11"/>
        </w:rPr>
        <w:t xml:space="preserve"> </w:t>
      </w:r>
      <w:hyperlink r:id="rId15">
        <w:r>
          <w:rPr>
            <w:color w:val="231F20"/>
          </w:rPr>
          <w:t>matthew</w:t>
        </w:r>
      </w:hyperlink>
      <w:hyperlink r:id="rId16">
        <w:r>
          <w:rPr>
            <w:color w:val="231F20"/>
          </w:rPr>
          <w:t>.lamont@scu.edu.au</w:t>
        </w:r>
      </w:hyperlink>
    </w:p>
    <w:p w14:paraId="2A605B48" w14:textId="77777777" w:rsidR="00AE0598" w:rsidRDefault="0069255A">
      <w:pPr>
        <w:pStyle w:val="Corpodetexto"/>
        <w:spacing w:before="173" w:line="232" w:lineRule="auto"/>
        <w:ind w:left="223" w:right="164"/>
        <w:jc w:val="both"/>
      </w:pPr>
      <w:r>
        <w:rPr>
          <w:b/>
          <w:color w:val="231F20"/>
        </w:rPr>
        <w:t>Brent</w:t>
      </w:r>
      <w:r>
        <w:rPr>
          <w:b/>
          <w:color w:val="231F20"/>
          <w:spacing w:val="-11"/>
        </w:rPr>
        <w:t xml:space="preserve"> </w:t>
      </w:r>
      <w:r>
        <w:rPr>
          <w:b/>
          <w:color w:val="231F20"/>
        </w:rPr>
        <w:t>Moyle,</w:t>
      </w:r>
      <w:r>
        <w:rPr>
          <w:b/>
          <w:color w:val="231F20"/>
          <w:spacing w:val="-11"/>
        </w:rPr>
        <w:t xml:space="preserve"> </w:t>
      </w:r>
      <w:r>
        <w:rPr>
          <w:color w:val="231F20"/>
        </w:rPr>
        <w:t>Griffith</w:t>
      </w:r>
      <w:r>
        <w:rPr>
          <w:color w:val="231F20"/>
          <w:spacing w:val="-11"/>
        </w:rPr>
        <w:t xml:space="preserve"> </w:t>
      </w:r>
      <w:r>
        <w:rPr>
          <w:color w:val="231F20"/>
        </w:rPr>
        <w:t>Institute</w:t>
      </w:r>
      <w:r>
        <w:rPr>
          <w:color w:val="231F20"/>
          <w:spacing w:val="-11"/>
        </w:rPr>
        <w:t xml:space="preserve"> </w:t>
      </w:r>
      <w:r>
        <w:rPr>
          <w:color w:val="231F20"/>
        </w:rPr>
        <w:t>for</w:t>
      </w:r>
      <w:r>
        <w:rPr>
          <w:color w:val="231F20"/>
          <w:spacing w:val="-11"/>
        </w:rPr>
        <w:t xml:space="preserve"> </w:t>
      </w:r>
      <w:r>
        <w:rPr>
          <w:color w:val="231F20"/>
        </w:rPr>
        <w:t>Tourism,</w:t>
      </w:r>
      <w:r>
        <w:rPr>
          <w:color w:val="231F20"/>
          <w:spacing w:val="-11"/>
        </w:rPr>
        <w:t xml:space="preserve"> </w:t>
      </w:r>
      <w:r>
        <w:rPr>
          <w:color w:val="231F20"/>
        </w:rPr>
        <w:t>Griffith</w:t>
      </w:r>
      <w:r>
        <w:rPr>
          <w:color w:val="231F20"/>
          <w:spacing w:val="-11"/>
        </w:rPr>
        <w:t xml:space="preserve"> </w:t>
      </w:r>
      <w:r>
        <w:rPr>
          <w:color w:val="231F20"/>
        </w:rPr>
        <w:t>University,</w:t>
      </w:r>
      <w:r>
        <w:rPr>
          <w:color w:val="231F20"/>
          <w:spacing w:val="-11"/>
        </w:rPr>
        <w:t xml:space="preserve"> </w:t>
      </w:r>
      <w:r>
        <w:rPr>
          <w:color w:val="231F20"/>
        </w:rPr>
        <w:t xml:space="preserve">Nathan, Australia. Email: </w:t>
      </w:r>
      <w:hyperlink r:id="rId17">
        <w:r>
          <w:rPr>
            <w:color w:val="231F20"/>
          </w:rPr>
          <w:t>b.moyle@griffith.edu.au</w:t>
        </w:r>
      </w:hyperlink>
    </w:p>
    <w:p w14:paraId="4D9AA50F" w14:textId="77777777" w:rsidR="00AE0598" w:rsidRDefault="0069255A">
      <w:pPr>
        <w:pStyle w:val="Corpodetexto"/>
        <w:spacing w:before="172" w:line="232" w:lineRule="auto"/>
        <w:ind w:left="223" w:right="164"/>
        <w:jc w:val="both"/>
      </w:pPr>
      <w:r>
        <w:rPr>
          <w:b/>
          <w:color w:val="231F20"/>
        </w:rPr>
        <w:t xml:space="preserve">Glen Norcliff. </w:t>
      </w:r>
      <w:r>
        <w:rPr>
          <w:color w:val="231F20"/>
        </w:rPr>
        <w:t xml:space="preserve">Department of Geography, York University, Toronto, Canada. Email: </w:t>
      </w:r>
      <w:hyperlink r:id="rId18">
        <w:r>
          <w:rPr>
            <w:color w:val="231F20"/>
          </w:rPr>
          <w:t>gnorcliff@york.ca</w:t>
        </w:r>
      </w:hyperlink>
    </w:p>
    <w:p w14:paraId="40BB0A5D" w14:textId="77777777" w:rsidR="00AE0598" w:rsidRDefault="0069255A">
      <w:pPr>
        <w:pStyle w:val="Corpodetexto"/>
        <w:spacing w:before="173" w:line="232" w:lineRule="auto"/>
        <w:ind w:left="223" w:right="163"/>
        <w:jc w:val="both"/>
      </w:pPr>
      <w:r>
        <w:rPr>
          <w:b/>
          <w:color w:val="231F20"/>
          <w:w w:val="95"/>
        </w:rPr>
        <w:t xml:space="preserve">Gregory Ramshaw. </w:t>
      </w:r>
      <w:r>
        <w:rPr>
          <w:color w:val="231F20"/>
          <w:w w:val="95"/>
        </w:rPr>
        <w:t xml:space="preserve">Parks, Recreation &amp; Tourism Management, Clemson </w:t>
      </w:r>
      <w:r>
        <w:rPr>
          <w:color w:val="231F20"/>
        </w:rPr>
        <w:t xml:space="preserve">University, Clemson, South Carolina. Email: </w:t>
      </w:r>
      <w:hyperlink r:id="rId19">
        <w:r>
          <w:rPr>
            <w:color w:val="231F20"/>
          </w:rPr>
          <w:t>gramsha@clemson.edu</w:t>
        </w:r>
      </w:hyperlink>
    </w:p>
    <w:p w14:paraId="62896A6C" w14:textId="77777777" w:rsidR="00AE0598" w:rsidRDefault="0069255A">
      <w:pPr>
        <w:pStyle w:val="Corpodetexto"/>
        <w:spacing w:before="172" w:line="232" w:lineRule="auto"/>
        <w:ind w:left="223" w:right="164"/>
        <w:jc w:val="both"/>
      </w:pPr>
      <w:r>
        <w:rPr>
          <w:b/>
          <w:color w:val="231F20"/>
          <w:w w:val="95"/>
        </w:rPr>
        <w:t>Arianne</w:t>
      </w:r>
      <w:r>
        <w:rPr>
          <w:b/>
          <w:color w:val="231F20"/>
          <w:spacing w:val="-9"/>
          <w:w w:val="95"/>
        </w:rPr>
        <w:t xml:space="preserve"> </w:t>
      </w:r>
      <w:r>
        <w:rPr>
          <w:b/>
          <w:color w:val="231F20"/>
          <w:w w:val="95"/>
        </w:rPr>
        <w:t>C.</w:t>
      </w:r>
      <w:r>
        <w:rPr>
          <w:b/>
          <w:color w:val="231F20"/>
          <w:spacing w:val="-9"/>
          <w:w w:val="95"/>
        </w:rPr>
        <w:t xml:space="preserve"> </w:t>
      </w:r>
      <w:r>
        <w:rPr>
          <w:b/>
          <w:color w:val="231F20"/>
          <w:w w:val="95"/>
        </w:rPr>
        <w:t>Reis.</w:t>
      </w:r>
      <w:r>
        <w:rPr>
          <w:b/>
          <w:color w:val="231F20"/>
          <w:spacing w:val="-9"/>
          <w:w w:val="95"/>
        </w:rPr>
        <w:t xml:space="preserve"> </w:t>
      </w:r>
      <w:r>
        <w:rPr>
          <w:color w:val="231F20"/>
          <w:w w:val="95"/>
        </w:rPr>
        <w:t>School</w:t>
      </w:r>
      <w:r>
        <w:rPr>
          <w:color w:val="231F20"/>
          <w:spacing w:val="-9"/>
          <w:w w:val="95"/>
        </w:rPr>
        <w:t xml:space="preserve"> </w:t>
      </w:r>
      <w:r>
        <w:rPr>
          <w:color w:val="231F20"/>
          <w:w w:val="95"/>
        </w:rPr>
        <w:t>of</w:t>
      </w:r>
      <w:r>
        <w:rPr>
          <w:color w:val="231F20"/>
          <w:spacing w:val="3"/>
        </w:rPr>
        <w:t xml:space="preserve"> </w:t>
      </w:r>
      <w:r>
        <w:rPr>
          <w:color w:val="231F20"/>
          <w:w w:val="95"/>
        </w:rPr>
        <w:t>Science</w:t>
      </w:r>
      <w:r>
        <w:rPr>
          <w:color w:val="231F20"/>
          <w:spacing w:val="-9"/>
          <w:w w:val="95"/>
        </w:rPr>
        <w:t xml:space="preserve"> </w:t>
      </w:r>
      <w:r>
        <w:rPr>
          <w:color w:val="231F20"/>
          <w:w w:val="95"/>
        </w:rPr>
        <w:t>and</w:t>
      </w:r>
      <w:r>
        <w:rPr>
          <w:color w:val="231F20"/>
          <w:spacing w:val="-9"/>
          <w:w w:val="95"/>
        </w:rPr>
        <w:t xml:space="preserve"> </w:t>
      </w:r>
      <w:r>
        <w:rPr>
          <w:color w:val="231F20"/>
          <w:w w:val="95"/>
        </w:rPr>
        <w:t>Health,</w:t>
      </w:r>
      <w:r>
        <w:rPr>
          <w:color w:val="231F20"/>
          <w:spacing w:val="-9"/>
          <w:w w:val="95"/>
        </w:rPr>
        <w:t xml:space="preserve"> </w:t>
      </w:r>
      <w:r>
        <w:rPr>
          <w:color w:val="231F20"/>
          <w:w w:val="95"/>
        </w:rPr>
        <w:t>Western</w:t>
      </w:r>
      <w:r>
        <w:rPr>
          <w:color w:val="231F20"/>
          <w:spacing w:val="-9"/>
          <w:w w:val="95"/>
        </w:rPr>
        <w:t xml:space="preserve"> </w:t>
      </w:r>
      <w:r>
        <w:rPr>
          <w:color w:val="231F20"/>
          <w:w w:val="95"/>
        </w:rPr>
        <w:t>Sydney</w:t>
      </w:r>
      <w:r>
        <w:rPr>
          <w:color w:val="231F20"/>
          <w:spacing w:val="-9"/>
          <w:w w:val="95"/>
        </w:rPr>
        <w:t xml:space="preserve"> </w:t>
      </w:r>
      <w:r>
        <w:rPr>
          <w:color w:val="231F20"/>
          <w:w w:val="95"/>
        </w:rPr>
        <w:t xml:space="preserve">University, </w:t>
      </w:r>
      <w:r>
        <w:rPr>
          <w:color w:val="231F20"/>
        </w:rPr>
        <w:t>Penrith,</w:t>
      </w:r>
      <w:r>
        <w:rPr>
          <w:color w:val="231F20"/>
          <w:spacing w:val="-11"/>
        </w:rPr>
        <w:t xml:space="preserve"> </w:t>
      </w:r>
      <w:r>
        <w:rPr>
          <w:color w:val="231F20"/>
        </w:rPr>
        <w:t>Australia</w:t>
      </w:r>
      <w:r>
        <w:rPr>
          <w:color w:val="231F20"/>
          <w:spacing w:val="-11"/>
        </w:rPr>
        <w:t xml:space="preserve"> </w:t>
      </w:r>
      <w:r>
        <w:rPr>
          <w:color w:val="231F20"/>
        </w:rPr>
        <w:t>and</w:t>
      </w:r>
      <w:r>
        <w:rPr>
          <w:color w:val="231F20"/>
          <w:spacing w:val="-11"/>
        </w:rPr>
        <w:t xml:space="preserve"> </w:t>
      </w:r>
      <w:r>
        <w:rPr>
          <w:color w:val="231F20"/>
        </w:rPr>
        <w:t>Adjunct</w:t>
      </w:r>
      <w:r>
        <w:rPr>
          <w:color w:val="231F20"/>
          <w:spacing w:val="-11"/>
        </w:rPr>
        <w:t xml:space="preserve"> </w:t>
      </w:r>
      <w:r>
        <w:rPr>
          <w:color w:val="231F20"/>
        </w:rPr>
        <w:t>Research</w:t>
      </w:r>
      <w:r>
        <w:rPr>
          <w:color w:val="231F20"/>
          <w:spacing w:val="-11"/>
        </w:rPr>
        <w:t xml:space="preserve"> </w:t>
      </w:r>
      <w:r>
        <w:rPr>
          <w:color w:val="231F20"/>
        </w:rPr>
        <w:t>Fellow,</w:t>
      </w:r>
      <w:r>
        <w:rPr>
          <w:color w:val="231F20"/>
          <w:spacing w:val="-11"/>
        </w:rPr>
        <w:t xml:space="preserve"> </w:t>
      </w:r>
      <w:r>
        <w:rPr>
          <w:color w:val="231F20"/>
        </w:rPr>
        <w:t>School</w:t>
      </w:r>
      <w:r>
        <w:rPr>
          <w:color w:val="231F20"/>
          <w:spacing w:val="-11"/>
        </w:rPr>
        <w:t xml:space="preserve"> </w:t>
      </w:r>
      <w:r>
        <w:rPr>
          <w:color w:val="231F20"/>
        </w:rPr>
        <w:t>of</w:t>
      </w:r>
      <w:r>
        <w:rPr>
          <w:color w:val="231F20"/>
          <w:spacing w:val="-3"/>
        </w:rPr>
        <w:t xml:space="preserve"> </w:t>
      </w:r>
      <w:r>
        <w:rPr>
          <w:color w:val="231F20"/>
        </w:rPr>
        <w:t>Business</w:t>
      </w:r>
      <w:r>
        <w:rPr>
          <w:color w:val="231F20"/>
          <w:spacing w:val="-11"/>
        </w:rPr>
        <w:t xml:space="preserve"> </w:t>
      </w:r>
      <w:r>
        <w:rPr>
          <w:color w:val="231F20"/>
        </w:rPr>
        <w:t xml:space="preserve">and </w:t>
      </w:r>
      <w:r>
        <w:rPr>
          <w:color w:val="231F20"/>
          <w:spacing w:val="-2"/>
        </w:rPr>
        <w:t>Tourism, Southern Cross University, Lismore, Australia. Email: A.Reis@ westernsydney.edu.au</w:t>
      </w:r>
    </w:p>
    <w:p w14:paraId="4CC4ACDE" w14:textId="77777777" w:rsidR="00AE0598" w:rsidRDefault="0069255A">
      <w:pPr>
        <w:pStyle w:val="Corpodetexto"/>
        <w:spacing w:before="175" w:line="232" w:lineRule="auto"/>
        <w:ind w:left="223" w:right="164"/>
        <w:jc w:val="both"/>
      </w:pPr>
      <w:r>
        <w:rPr>
          <w:b/>
          <w:color w:val="231F20"/>
          <w:w w:val="95"/>
        </w:rPr>
        <w:t xml:space="preserve">Michelle Rutty. </w:t>
      </w:r>
      <w:r>
        <w:rPr>
          <w:color w:val="231F20"/>
          <w:w w:val="95"/>
        </w:rPr>
        <w:t>Department of</w:t>
      </w:r>
      <w:r>
        <w:rPr>
          <w:color w:val="231F20"/>
        </w:rPr>
        <w:t xml:space="preserve"> </w:t>
      </w:r>
      <w:r>
        <w:rPr>
          <w:color w:val="231F20"/>
          <w:w w:val="95"/>
        </w:rPr>
        <w:t>Community Sustainability, Michigan S</w:t>
      </w:r>
      <w:r>
        <w:rPr>
          <w:color w:val="231F20"/>
          <w:w w:val="95"/>
        </w:rPr>
        <w:t xml:space="preserve">tate </w:t>
      </w:r>
      <w:r>
        <w:rPr>
          <w:color w:val="231F20"/>
        </w:rPr>
        <w:t xml:space="preserve">University, Lansing, Michigan. Email: </w:t>
      </w:r>
      <w:hyperlink r:id="rId20">
        <w:r>
          <w:rPr>
            <w:color w:val="231F20"/>
          </w:rPr>
          <w:t>mrutty@anr.msu.edu</w:t>
        </w:r>
      </w:hyperlink>
    </w:p>
    <w:p w14:paraId="30288F40" w14:textId="77777777" w:rsidR="00AE0598" w:rsidRDefault="0069255A">
      <w:pPr>
        <w:pStyle w:val="Corpodetexto"/>
        <w:spacing w:before="172" w:line="232" w:lineRule="auto"/>
        <w:ind w:left="223" w:right="164"/>
        <w:jc w:val="both"/>
      </w:pPr>
      <w:r>
        <w:rPr>
          <w:b/>
          <w:color w:val="231F20"/>
          <w:w w:val="90"/>
        </w:rPr>
        <w:t xml:space="preserve">Richard Shipway. </w:t>
      </w:r>
      <w:r>
        <w:rPr>
          <w:color w:val="231F20"/>
          <w:w w:val="90"/>
        </w:rPr>
        <w:t>Department of</w:t>
      </w:r>
      <w:r>
        <w:rPr>
          <w:color w:val="231F20"/>
          <w:spacing w:val="40"/>
        </w:rPr>
        <w:t xml:space="preserve"> </w:t>
      </w:r>
      <w:r>
        <w:rPr>
          <w:color w:val="231F20"/>
          <w:w w:val="90"/>
        </w:rPr>
        <w:t xml:space="preserve">Sport and Physical Activity, Bournemouth </w:t>
      </w:r>
      <w:r>
        <w:rPr>
          <w:color w:val="231F20"/>
        </w:rPr>
        <w:t xml:space="preserve">University, Poole, United Kingdom. Email: RShipway@bournemouth. </w:t>
      </w:r>
      <w:r>
        <w:rPr>
          <w:color w:val="231F20"/>
          <w:spacing w:val="-2"/>
        </w:rPr>
        <w:t>ac.uk</w:t>
      </w:r>
    </w:p>
    <w:p w14:paraId="1F0C527C" w14:textId="77777777" w:rsidR="00AE0598" w:rsidRDefault="0069255A">
      <w:pPr>
        <w:pStyle w:val="Corpodetexto"/>
        <w:spacing w:before="174" w:line="232" w:lineRule="auto"/>
        <w:ind w:left="223" w:right="164"/>
        <w:jc w:val="both"/>
      </w:pPr>
      <w:r>
        <w:rPr>
          <w:b/>
          <w:color w:val="231F20"/>
          <w:spacing w:val="-2"/>
        </w:rPr>
        <w:t>Robert</w:t>
      </w:r>
      <w:r>
        <w:rPr>
          <w:b/>
          <w:color w:val="231F20"/>
          <w:spacing w:val="-4"/>
        </w:rPr>
        <w:t xml:space="preserve"> </w:t>
      </w:r>
      <w:r>
        <w:rPr>
          <w:b/>
          <w:color w:val="231F20"/>
          <w:spacing w:val="-2"/>
        </w:rPr>
        <w:t>Steiger.</w:t>
      </w:r>
      <w:r>
        <w:rPr>
          <w:b/>
          <w:color w:val="231F20"/>
          <w:spacing w:val="-4"/>
        </w:rPr>
        <w:t xml:space="preserve"> </w:t>
      </w:r>
      <w:r>
        <w:rPr>
          <w:color w:val="231F20"/>
          <w:spacing w:val="-2"/>
        </w:rPr>
        <w:t>Department</w:t>
      </w:r>
      <w:r>
        <w:rPr>
          <w:color w:val="231F20"/>
          <w:spacing w:val="-4"/>
        </w:rPr>
        <w:t xml:space="preserve"> </w:t>
      </w:r>
      <w:r>
        <w:rPr>
          <w:color w:val="231F20"/>
          <w:spacing w:val="-2"/>
        </w:rPr>
        <w:t>of Public</w:t>
      </w:r>
      <w:r>
        <w:rPr>
          <w:color w:val="231F20"/>
          <w:spacing w:val="-4"/>
        </w:rPr>
        <w:t xml:space="preserve"> </w:t>
      </w:r>
      <w:r>
        <w:rPr>
          <w:color w:val="231F20"/>
          <w:spacing w:val="-2"/>
        </w:rPr>
        <w:t>Finance,</w:t>
      </w:r>
      <w:r>
        <w:rPr>
          <w:color w:val="231F20"/>
          <w:spacing w:val="-4"/>
        </w:rPr>
        <w:t xml:space="preserve"> </w:t>
      </w:r>
      <w:r>
        <w:rPr>
          <w:color w:val="231F20"/>
          <w:spacing w:val="-2"/>
        </w:rPr>
        <w:t>University</w:t>
      </w:r>
      <w:r>
        <w:rPr>
          <w:color w:val="231F20"/>
          <w:spacing w:val="-4"/>
        </w:rPr>
        <w:t xml:space="preserve"> </w:t>
      </w:r>
      <w:r>
        <w:rPr>
          <w:color w:val="231F20"/>
          <w:spacing w:val="-2"/>
        </w:rPr>
        <w:t xml:space="preserve">of Innsbruck, </w:t>
      </w:r>
      <w:r>
        <w:rPr>
          <w:color w:val="231F20"/>
        </w:rPr>
        <w:t xml:space="preserve">Innsbruck, Austria. Email: </w:t>
      </w:r>
      <w:hyperlink r:id="rId21">
        <w:r>
          <w:rPr>
            <w:color w:val="231F20"/>
          </w:rPr>
          <w:t>Robert.Steiger@uibk.ac.at</w:t>
        </w:r>
      </w:hyperlink>
    </w:p>
    <w:p w14:paraId="36C5166B" w14:textId="77777777" w:rsidR="00AE0598" w:rsidRDefault="00AE0598">
      <w:pPr>
        <w:spacing w:line="232" w:lineRule="auto"/>
        <w:jc w:val="both"/>
        <w:sectPr w:rsidR="00AE0598">
          <w:pgSz w:w="8850" w:h="13270"/>
          <w:pgMar w:top="640" w:right="1080" w:bottom="280" w:left="1080" w:header="720" w:footer="720" w:gutter="0"/>
          <w:cols w:space="720"/>
        </w:sectPr>
      </w:pPr>
    </w:p>
    <w:p w14:paraId="41F9E9A0" w14:textId="77777777" w:rsidR="00AE0598" w:rsidRDefault="0069255A">
      <w:pPr>
        <w:pStyle w:val="Ttulo1"/>
        <w:spacing w:before="74"/>
        <w:ind w:left="166"/>
      </w:pPr>
      <w:bookmarkStart w:id="3" w:name="_TOC_250014"/>
      <w:bookmarkEnd w:id="3"/>
      <w:r>
        <w:rPr>
          <w:color w:val="231F20"/>
          <w:spacing w:val="-2"/>
          <w:w w:val="105"/>
        </w:rPr>
        <w:lastRenderedPageBreak/>
        <w:t>Acknowledgements</w:t>
      </w:r>
    </w:p>
    <w:p w14:paraId="2B848867" w14:textId="77777777" w:rsidR="00AE0598" w:rsidRDefault="00AE0598">
      <w:pPr>
        <w:pStyle w:val="Corpodetexto"/>
        <w:rPr>
          <w:rFonts w:ascii="Trebuchet MS"/>
          <w:sz w:val="54"/>
        </w:rPr>
      </w:pPr>
    </w:p>
    <w:p w14:paraId="167192C4" w14:textId="77777777" w:rsidR="00AE0598" w:rsidRDefault="00AE0598">
      <w:pPr>
        <w:pStyle w:val="Corpodetexto"/>
        <w:rPr>
          <w:rFonts w:ascii="Trebuchet MS"/>
          <w:sz w:val="54"/>
        </w:rPr>
      </w:pPr>
    </w:p>
    <w:p w14:paraId="1E181749" w14:textId="77777777" w:rsidR="00AE0598" w:rsidRDefault="00AE0598">
      <w:pPr>
        <w:pStyle w:val="Corpodetexto"/>
        <w:spacing w:before="2"/>
        <w:rPr>
          <w:rFonts w:ascii="Trebuchet MS"/>
          <w:sz w:val="42"/>
        </w:rPr>
      </w:pPr>
    </w:p>
    <w:p w14:paraId="1D421A32" w14:textId="77777777" w:rsidR="00AE0598" w:rsidRDefault="0069255A">
      <w:pPr>
        <w:pStyle w:val="Corpodetexto"/>
        <w:spacing w:line="232" w:lineRule="auto"/>
        <w:ind w:left="166" w:right="220"/>
        <w:jc w:val="both"/>
      </w:pPr>
      <w:r>
        <w:rPr>
          <w:color w:val="231F20"/>
        </w:rPr>
        <w:t>This third edition, like the two that preceded it, has only come to fruition</w:t>
      </w:r>
      <w:r>
        <w:rPr>
          <w:color w:val="231F20"/>
          <w:spacing w:val="-3"/>
        </w:rPr>
        <w:t xml:space="preserve"> </w:t>
      </w:r>
      <w:r>
        <w:rPr>
          <w:color w:val="231F20"/>
        </w:rPr>
        <w:t>due</w:t>
      </w:r>
      <w:r>
        <w:rPr>
          <w:color w:val="231F20"/>
          <w:spacing w:val="-3"/>
        </w:rPr>
        <w:t xml:space="preserve"> </w:t>
      </w:r>
      <w:r>
        <w:rPr>
          <w:color w:val="231F20"/>
        </w:rPr>
        <w:t>to</w:t>
      </w:r>
      <w:r>
        <w:rPr>
          <w:color w:val="231F20"/>
          <w:spacing w:val="-3"/>
        </w:rPr>
        <w:t xml:space="preserve"> </w:t>
      </w:r>
      <w:r>
        <w:rPr>
          <w:color w:val="231F20"/>
        </w:rPr>
        <w:t>the</w:t>
      </w:r>
      <w:r>
        <w:rPr>
          <w:color w:val="231F20"/>
          <w:spacing w:val="-3"/>
        </w:rPr>
        <w:t xml:space="preserve"> </w:t>
      </w:r>
      <w:r>
        <w:rPr>
          <w:color w:val="231F20"/>
        </w:rPr>
        <w:t>encouragement,</w:t>
      </w:r>
      <w:r>
        <w:rPr>
          <w:color w:val="231F20"/>
          <w:spacing w:val="-3"/>
        </w:rPr>
        <w:t xml:space="preserve"> </w:t>
      </w:r>
      <w:r>
        <w:rPr>
          <w:color w:val="231F20"/>
        </w:rPr>
        <w:t>contributions</w:t>
      </w:r>
      <w:r>
        <w:rPr>
          <w:color w:val="231F20"/>
          <w:spacing w:val="-3"/>
        </w:rPr>
        <w:t xml:space="preserve"> </w:t>
      </w:r>
      <w:r>
        <w:rPr>
          <w:color w:val="231F20"/>
        </w:rPr>
        <w:t>and</w:t>
      </w:r>
      <w:r>
        <w:rPr>
          <w:color w:val="231F20"/>
          <w:spacing w:val="-3"/>
        </w:rPr>
        <w:t xml:space="preserve"> </w:t>
      </w:r>
      <w:r>
        <w:rPr>
          <w:color w:val="231F20"/>
        </w:rPr>
        <w:t>support</w:t>
      </w:r>
      <w:r>
        <w:rPr>
          <w:color w:val="231F20"/>
          <w:spacing w:val="-3"/>
        </w:rPr>
        <w:t xml:space="preserve"> </w:t>
      </w:r>
      <w:r>
        <w:rPr>
          <w:color w:val="231F20"/>
        </w:rPr>
        <w:t>of</w:t>
      </w:r>
      <w:r>
        <w:rPr>
          <w:color w:val="231F20"/>
          <w:spacing w:val="-3"/>
        </w:rPr>
        <w:t xml:space="preserve"> </w:t>
      </w:r>
      <w:r>
        <w:rPr>
          <w:color w:val="231F20"/>
        </w:rPr>
        <w:t>many friends and colleagues. We would like to acknowledge the support of Sarah Williams, Elinor Robertson and Flo McClelland</w:t>
      </w:r>
      <w:r>
        <w:rPr>
          <w:color w:val="231F20"/>
        </w:rPr>
        <w:t xml:space="preserve"> (Channel View Publications) and the Aspects of Tourism series editors, Chris Cooper (Leeds Beckett University), Michael Hall (University of Canterbury) and Dallen Timothy (Arizona State University). Work on the planning </w:t>
      </w:r>
      <w:r>
        <w:rPr>
          <w:color w:val="231F20"/>
          <w:w w:val="95"/>
        </w:rPr>
        <w:t>and writing of this third edition t</w:t>
      </w:r>
      <w:r>
        <w:rPr>
          <w:color w:val="231F20"/>
          <w:w w:val="95"/>
        </w:rPr>
        <w:t>ook place during periods of study leave</w:t>
      </w:r>
      <w:r>
        <w:rPr>
          <w:color w:val="231F20"/>
        </w:rPr>
        <w:t xml:space="preserve"> in February 2017 (Dunedin, New Zealand) and June 2017 (Edmonton, Canada) for which we acknowledge the support of the University of Otago and the University of Alberta. James also acknowledges the support</w:t>
      </w:r>
      <w:r>
        <w:rPr>
          <w:color w:val="231F20"/>
          <w:spacing w:val="-11"/>
        </w:rPr>
        <w:t xml:space="preserve"> </w:t>
      </w:r>
      <w:r>
        <w:rPr>
          <w:color w:val="231F20"/>
        </w:rPr>
        <w:t>of</w:t>
      </w:r>
      <w:r>
        <w:rPr>
          <w:color w:val="231F20"/>
          <w:spacing w:val="-11"/>
        </w:rPr>
        <w:t xml:space="preserve"> </w:t>
      </w:r>
      <w:r>
        <w:rPr>
          <w:color w:val="231F20"/>
        </w:rPr>
        <w:t>the</w:t>
      </w:r>
      <w:r>
        <w:rPr>
          <w:color w:val="231F20"/>
          <w:spacing w:val="-11"/>
        </w:rPr>
        <w:t xml:space="preserve"> </w:t>
      </w:r>
      <w:r>
        <w:rPr>
          <w:color w:val="231F20"/>
        </w:rPr>
        <w:t>Unive</w:t>
      </w:r>
      <w:r>
        <w:rPr>
          <w:color w:val="231F20"/>
        </w:rPr>
        <w:t>rsity</w:t>
      </w:r>
      <w:r>
        <w:rPr>
          <w:color w:val="231F20"/>
          <w:spacing w:val="-11"/>
        </w:rPr>
        <w:t xml:space="preserve"> </w:t>
      </w:r>
      <w:r>
        <w:rPr>
          <w:color w:val="231F20"/>
        </w:rPr>
        <w:t>of</w:t>
      </w:r>
      <w:r>
        <w:rPr>
          <w:color w:val="231F20"/>
          <w:spacing w:val="-11"/>
        </w:rPr>
        <w:t xml:space="preserve"> </w:t>
      </w:r>
      <w:r>
        <w:rPr>
          <w:color w:val="231F20"/>
        </w:rPr>
        <w:t>Stavanger</w:t>
      </w:r>
      <w:r>
        <w:rPr>
          <w:color w:val="231F20"/>
          <w:spacing w:val="-11"/>
        </w:rPr>
        <w:t xml:space="preserve"> </w:t>
      </w:r>
      <w:r>
        <w:rPr>
          <w:color w:val="231F20"/>
        </w:rPr>
        <w:t>(Norway)</w:t>
      </w:r>
      <w:r>
        <w:rPr>
          <w:color w:val="231F20"/>
          <w:spacing w:val="-11"/>
        </w:rPr>
        <w:t xml:space="preserve"> </w:t>
      </w:r>
      <w:r>
        <w:rPr>
          <w:color w:val="231F20"/>
        </w:rPr>
        <w:t>Visiting</w:t>
      </w:r>
      <w:r>
        <w:rPr>
          <w:color w:val="231F20"/>
          <w:spacing w:val="-11"/>
        </w:rPr>
        <w:t xml:space="preserve"> </w:t>
      </w:r>
      <w:r>
        <w:rPr>
          <w:color w:val="231F20"/>
        </w:rPr>
        <w:t>Professorship and the University of Queensland (Australia) Jim Whyte Fellowship, and Tom his position at Wakayama University (Japan) as a visiting Distinguished University Professor.</w:t>
      </w:r>
    </w:p>
    <w:p w14:paraId="0BF3BF5E" w14:textId="77777777" w:rsidR="00AE0598" w:rsidRDefault="0069255A">
      <w:pPr>
        <w:pStyle w:val="Corpodetexto"/>
        <w:spacing w:before="18" w:line="232" w:lineRule="auto"/>
        <w:ind w:left="166" w:right="219" w:firstLine="320"/>
        <w:jc w:val="both"/>
      </w:pPr>
      <w:r>
        <w:rPr>
          <w:color w:val="231F20"/>
        </w:rPr>
        <w:t>We are grateful for the case study c</w:t>
      </w:r>
      <w:r>
        <w:rPr>
          <w:color w:val="231F20"/>
        </w:rPr>
        <w:t>ontributions of Richard Shipway</w:t>
      </w:r>
      <w:r>
        <w:rPr>
          <w:color w:val="231F20"/>
          <w:spacing w:val="-9"/>
        </w:rPr>
        <w:t xml:space="preserve"> </w:t>
      </w:r>
      <w:r>
        <w:rPr>
          <w:color w:val="231F20"/>
        </w:rPr>
        <w:t>(University</w:t>
      </w:r>
      <w:r>
        <w:rPr>
          <w:color w:val="231F20"/>
          <w:spacing w:val="-9"/>
        </w:rPr>
        <w:t xml:space="preserve"> </w:t>
      </w:r>
      <w:r>
        <w:rPr>
          <w:color w:val="231F20"/>
        </w:rPr>
        <w:t>of</w:t>
      </w:r>
      <w:r>
        <w:rPr>
          <w:color w:val="231F20"/>
          <w:spacing w:val="-9"/>
        </w:rPr>
        <w:t xml:space="preserve"> </w:t>
      </w:r>
      <w:r>
        <w:rPr>
          <w:color w:val="231F20"/>
        </w:rPr>
        <w:t>Bournemouth),</w:t>
      </w:r>
      <w:r>
        <w:rPr>
          <w:color w:val="231F20"/>
          <w:spacing w:val="-9"/>
        </w:rPr>
        <w:t xml:space="preserve"> </w:t>
      </w:r>
      <w:r>
        <w:rPr>
          <w:color w:val="231F20"/>
        </w:rPr>
        <w:t>Eiji</w:t>
      </w:r>
      <w:r>
        <w:rPr>
          <w:color w:val="231F20"/>
          <w:spacing w:val="-9"/>
        </w:rPr>
        <w:t xml:space="preserve"> </w:t>
      </w:r>
      <w:r>
        <w:rPr>
          <w:color w:val="231F20"/>
        </w:rPr>
        <w:t>Ito</w:t>
      </w:r>
      <w:r>
        <w:rPr>
          <w:color w:val="231F20"/>
          <w:spacing w:val="-9"/>
        </w:rPr>
        <w:t xml:space="preserve"> </w:t>
      </w:r>
      <w:r>
        <w:rPr>
          <w:color w:val="231F20"/>
        </w:rPr>
        <w:t>(Wakayama</w:t>
      </w:r>
      <w:r>
        <w:rPr>
          <w:color w:val="231F20"/>
          <w:spacing w:val="-9"/>
        </w:rPr>
        <w:t xml:space="preserve"> </w:t>
      </w:r>
      <w:r>
        <w:rPr>
          <w:color w:val="231F20"/>
        </w:rPr>
        <w:t>University), Brendon Knott (Cape Peninsula University of Technology), Arianne Reis (University of Western Sydney), Daniel Evans (York University), Debbie Hopkins (University of Oxford), Brent Moyle (University of the Sunshine Coast), Robert Steiger (Univer</w:t>
      </w:r>
      <w:r>
        <w:rPr>
          <w:color w:val="231F20"/>
        </w:rPr>
        <w:t>sity of Innsbruck) and Adam Doering</w:t>
      </w:r>
      <w:r>
        <w:rPr>
          <w:color w:val="231F20"/>
          <w:spacing w:val="40"/>
        </w:rPr>
        <w:t xml:space="preserve"> </w:t>
      </w:r>
      <w:r>
        <w:rPr>
          <w:color w:val="231F20"/>
        </w:rPr>
        <w:t>(Wakayama</w:t>
      </w:r>
      <w:r>
        <w:rPr>
          <w:color w:val="231F20"/>
          <w:spacing w:val="40"/>
        </w:rPr>
        <w:t xml:space="preserve"> </w:t>
      </w:r>
      <w:r>
        <w:rPr>
          <w:color w:val="231F20"/>
        </w:rPr>
        <w:t>University)</w:t>
      </w:r>
      <w:r>
        <w:rPr>
          <w:color w:val="231F20"/>
          <w:spacing w:val="40"/>
        </w:rPr>
        <w:t xml:space="preserve"> </w:t>
      </w:r>
      <w:r>
        <w:rPr>
          <w:color w:val="231F20"/>
        </w:rPr>
        <w:t>and</w:t>
      </w:r>
      <w:r>
        <w:rPr>
          <w:color w:val="231F20"/>
          <w:spacing w:val="40"/>
        </w:rPr>
        <w:t xml:space="preserve"> </w:t>
      </w:r>
      <w:r>
        <w:rPr>
          <w:color w:val="231F20"/>
        </w:rPr>
        <w:t>the</w:t>
      </w:r>
      <w:r>
        <w:rPr>
          <w:color w:val="231F20"/>
          <w:spacing w:val="40"/>
        </w:rPr>
        <w:t xml:space="preserve"> </w:t>
      </w:r>
      <w:r>
        <w:rPr>
          <w:color w:val="231F20"/>
        </w:rPr>
        <w:t>focus</w:t>
      </w:r>
      <w:r>
        <w:rPr>
          <w:color w:val="231F20"/>
          <w:spacing w:val="40"/>
        </w:rPr>
        <w:t xml:space="preserve"> </w:t>
      </w:r>
      <w:r>
        <w:rPr>
          <w:color w:val="231F20"/>
        </w:rPr>
        <w:t>point</w:t>
      </w:r>
      <w:r>
        <w:rPr>
          <w:color w:val="231F20"/>
          <w:spacing w:val="40"/>
        </w:rPr>
        <w:t xml:space="preserve"> </w:t>
      </w:r>
      <w:r>
        <w:rPr>
          <w:color w:val="231F20"/>
        </w:rPr>
        <w:t>contributions of Cory Kulczycki (University of Regina), Greg Ramshaw (Clemson University),</w:t>
      </w:r>
      <w:r>
        <w:rPr>
          <w:color w:val="231F20"/>
          <w:spacing w:val="-9"/>
        </w:rPr>
        <w:t xml:space="preserve"> </w:t>
      </w:r>
      <w:r>
        <w:rPr>
          <w:color w:val="231F20"/>
        </w:rPr>
        <w:t>Inge</w:t>
      </w:r>
      <w:r>
        <w:rPr>
          <w:color w:val="231F20"/>
          <w:spacing w:val="-9"/>
        </w:rPr>
        <w:t xml:space="preserve"> </w:t>
      </w:r>
      <w:r>
        <w:rPr>
          <w:color w:val="231F20"/>
        </w:rPr>
        <w:t>Derom</w:t>
      </w:r>
      <w:r>
        <w:rPr>
          <w:color w:val="231F20"/>
          <w:spacing w:val="-9"/>
        </w:rPr>
        <w:t xml:space="preserve"> </w:t>
      </w:r>
      <w:r>
        <w:rPr>
          <w:color w:val="231F20"/>
        </w:rPr>
        <w:t>(Vrije</w:t>
      </w:r>
      <w:r>
        <w:rPr>
          <w:color w:val="231F20"/>
          <w:spacing w:val="-9"/>
        </w:rPr>
        <w:t xml:space="preserve"> </w:t>
      </w:r>
      <w:r>
        <w:rPr>
          <w:color w:val="231F20"/>
        </w:rPr>
        <w:t>Universiteit</w:t>
      </w:r>
      <w:r>
        <w:rPr>
          <w:color w:val="231F20"/>
          <w:spacing w:val="-9"/>
        </w:rPr>
        <w:t xml:space="preserve"> </w:t>
      </w:r>
      <w:r>
        <w:rPr>
          <w:color w:val="231F20"/>
        </w:rPr>
        <w:t>Brussel),</w:t>
      </w:r>
      <w:r>
        <w:rPr>
          <w:color w:val="231F20"/>
          <w:spacing w:val="-9"/>
        </w:rPr>
        <w:t xml:space="preserve"> </w:t>
      </w:r>
      <w:r>
        <w:rPr>
          <w:color w:val="231F20"/>
        </w:rPr>
        <w:t>Millicent</w:t>
      </w:r>
      <w:r>
        <w:rPr>
          <w:color w:val="231F20"/>
          <w:spacing w:val="-9"/>
        </w:rPr>
        <w:t xml:space="preserve"> </w:t>
      </w:r>
      <w:r>
        <w:rPr>
          <w:color w:val="231F20"/>
        </w:rPr>
        <w:t xml:space="preserve">Kennelly (Griffith University) Matt </w:t>
      </w:r>
      <w:r>
        <w:rPr>
          <w:color w:val="231F20"/>
        </w:rPr>
        <w:t>Lamont (Southern Cross University), Glen Norcliff, (York University), Michelle Rutty (Michigan State University) and Scarlett Hagen and Mike Boyes (University of Otago). Their</w:t>
      </w:r>
      <w:r>
        <w:rPr>
          <w:color w:val="231F20"/>
          <w:spacing w:val="40"/>
        </w:rPr>
        <w:t xml:space="preserve"> </w:t>
      </w:r>
      <w:r>
        <w:rPr>
          <w:color w:val="231F20"/>
        </w:rPr>
        <w:t>critical</w:t>
      </w:r>
      <w:r>
        <w:rPr>
          <w:color w:val="231F20"/>
          <w:spacing w:val="-1"/>
        </w:rPr>
        <w:t xml:space="preserve"> </w:t>
      </w:r>
      <w:r>
        <w:rPr>
          <w:color w:val="231F20"/>
        </w:rPr>
        <w:t>insights</w:t>
      </w:r>
      <w:r>
        <w:rPr>
          <w:color w:val="231F20"/>
          <w:spacing w:val="-1"/>
        </w:rPr>
        <w:t xml:space="preserve"> </w:t>
      </w:r>
      <w:r>
        <w:rPr>
          <w:color w:val="231F20"/>
        </w:rPr>
        <w:t>have</w:t>
      </w:r>
      <w:r>
        <w:rPr>
          <w:color w:val="231F20"/>
          <w:spacing w:val="-1"/>
        </w:rPr>
        <w:t xml:space="preserve"> </w:t>
      </w:r>
      <w:r>
        <w:rPr>
          <w:color w:val="231F20"/>
        </w:rPr>
        <w:t>stimulated</w:t>
      </w:r>
      <w:r>
        <w:rPr>
          <w:color w:val="231F20"/>
          <w:spacing w:val="-1"/>
        </w:rPr>
        <w:t xml:space="preserve"> </w:t>
      </w:r>
      <w:r>
        <w:rPr>
          <w:color w:val="231F20"/>
        </w:rPr>
        <w:t>our</w:t>
      </w:r>
      <w:r>
        <w:rPr>
          <w:color w:val="231F20"/>
          <w:spacing w:val="-1"/>
        </w:rPr>
        <w:t xml:space="preserve"> </w:t>
      </w:r>
      <w:r>
        <w:rPr>
          <w:color w:val="231F20"/>
        </w:rPr>
        <w:t>work</w:t>
      </w:r>
      <w:r>
        <w:rPr>
          <w:color w:val="231F20"/>
          <w:spacing w:val="-1"/>
        </w:rPr>
        <w:t xml:space="preserve"> </w:t>
      </w:r>
      <w:r>
        <w:rPr>
          <w:color w:val="231F20"/>
        </w:rPr>
        <w:t>in</w:t>
      </w:r>
      <w:r>
        <w:rPr>
          <w:color w:val="231F20"/>
          <w:spacing w:val="-1"/>
        </w:rPr>
        <w:t xml:space="preserve"> </w:t>
      </w:r>
      <w:r>
        <w:rPr>
          <w:color w:val="231F20"/>
        </w:rPr>
        <w:t>the</w:t>
      </w:r>
      <w:r>
        <w:rPr>
          <w:color w:val="231F20"/>
          <w:spacing w:val="-1"/>
        </w:rPr>
        <w:t xml:space="preserve"> </w:t>
      </w:r>
      <w:r>
        <w:rPr>
          <w:color w:val="231F20"/>
        </w:rPr>
        <w:t>field</w:t>
      </w:r>
      <w:r>
        <w:rPr>
          <w:color w:val="231F20"/>
          <w:spacing w:val="-1"/>
        </w:rPr>
        <w:t xml:space="preserve"> </w:t>
      </w:r>
      <w:r>
        <w:rPr>
          <w:color w:val="231F20"/>
        </w:rPr>
        <w:t>of</w:t>
      </w:r>
      <w:r>
        <w:rPr>
          <w:color w:val="231F20"/>
          <w:spacing w:val="-1"/>
        </w:rPr>
        <w:t xml:space="preserve"> </w:t>
      </w:r>
      <w:r>
        <w:rPr>
          <w:color w:val="231F20"/>
        </w:rPr>
        <w:t>sport</w:t>
      </w:r>
      <w:r>
        <w:rPr>
          <w:color w:val="231F20"/>
          <w:spacing w:val="-1"/>
        </w:rPr>
        <w:t xml:space="preserve"> </w:t>
      </w:r>
      <w:r>
        <w:rPr>
          <w:color w:val="231F20"/>
        </w:rPr>
        <w:t>tourism, and co</w:t>
      </w:r>
      <w:r>
        <w:rPr>
          <w:color w:val="231F20"/>
        </w:rPr>
        <w:t>ntributed theoretical and empirical insights that illustrate and advance the discussions that we present in this edition. We are also indebted to Sabine Parry (University of Otago), Aisulu Abdykadyrova (University of Alberta) and all of our colleagues at t</w:t>
      </w:r>
      <w:r>
        <w:rPr>
          <w:color w:val="231F20"/>
        </w:rPr>
        <w:t>he Department of Tourism,</w:t>
      </w:r>
      <w:r>
        <w:rPr>
          <w:color w:val="231F20"/>
          <w:spacing w:val="-6"/>
        </w:rPr>
        <w:t xml:space="preserve"> </w:t>
      </w:r>
      <w:r>
        <w:rPr>
          <w:color w:val="231F20"/>
        </w:rPr>
        <w:t>University</w:t>
      </w:r>
      <w:r>
        <w:rPr>
          <w:color w:val="231F20"/>
          <w:spacing w:val="-6"/>
        </w:rPr>
        <w:t xml:space="preserve"> </w:t>
      </w:r>
      <w:r>
        <w:rPr>
          <w:color w:val="231F20"/>
        </w:rPr>
        <w:t>of</w:t>
      </w:r>
      <w:r>
        <w:rPr>
          <w:color w:val="231F20"/>
          <w:spacing w:val="-6"/>
        </w:rPr>
        <w:t xml:space="preserve"> </w:t>
      </w:r>
      <w:r>
        <w:rPr>
          <w:color w:val="231F20"/>
        </w:rPr>
        <w:t>Otago</w:t>
      </w:r>
      <w:r>
        <w:rPr>
          <w:color w:val="231F20"/>
          <w:spacing w:val="-6"/>
        </w:rPr>
        <w:t xml:space="preserve"> </w:t>
      </w:r>
      <w:r>
        <w:rPr>
          <w:color w:val="231F20"/>
        </w:rPr>
        <w:t>and</w:t>
      </w:r>
      <w:r>
        <w:rPr>
          <w:color w:val="231F20"/>
          <w:spacing w:val="-6"/>
        </w:rPr>
        <w:t xml:space="preserve"> </w:t>
      </w:r>
      <w:r>
        <w:rPr>
          <w:color w:val="231F20"/>
        </w:rPr>
        <w:t>the</w:t>
      </w:r>
      <w:r>
        <w:rPr>
          <w:color w:val="231F20"/>
          <w:spacing w:val="-6"/>
        </w:rPr>
        <w:t xml:space="preserve"> </w:t>
      </w:r>
      <w:r>
        <w:rPr>
          <w:color w:val="231F20"/>
        </w:rPr>
        <w:t>Faculty</w:t>
      </w:r>
      <w:r>
        <w:rPr>
          <w:color w:val="231F20"/>
          <w:spacing w:val="-6"/>
        </w:rPr>
        <w:t xml:space="preserve"> </w:t>
      </w:r>
      <w:r>
        <w:rPr>
          <w:color w:val="231F20"/>
        </w:rPr>
        <w:t>of</w:t>
      </w:r>
      <w:r>
        <w:rPr>
          <w:color w:val="231F20"/>
          <w:spacing w:val="-6"/>
        </w:rPr>
        <w:t xml:space="preserve"> </w:t>
      </w:r>
      <w:r>
        <w:rPr>
          <w:color w:val="231F20"/>
        </w:rPr>
        <w:t>Kinesiology,</w:t>
      </w:r>
      <w:r>
        <w:rPr>
          <w:color w:val="231F20"/>
          <w:spacing w:val="-6"/>
        </w:rPr>
        <w:t xml:space="preserve"> </w:t>
      </w:r>
      <w:r>
        <w:rPr>
          <w:color w:val="231F20"/>
        </w:rPr>
        <w:t>Sport,</w:t>
      </w:r>
      <w:r>
        <w:rPr>
          <w:color w:val="231F20"/>
          <w:spacing w:val="-6"/>
        </w:rPr>
        <w:t xml:space="preserve"> </w:t>
      </w:r>
      <w:r>
        <w:rPr>
          <w:color w:val="231F20"/>
        </w:rPr>
        <w:t>and Recreation, University of Alberta.</w:t>
      </w:r>
    </w:p>
    <w:p w14:paraId="21012C67" w14:textId="77777777" w:rsidR="00AE0598" w:rsidRDefault="00AE0598">
      <w:pPr>
        <w:pStyle w:val="Corpodetexto"/>
        <w:rPr>
          <w:sz w:val="20"/>
        </w:rPr>
      </w:pPr>
    </w:p>
    <w:p w14:paraId="4511282F" w14:textId="77777777" w:rsidR="00AE0598" w:rsidRDefault="00AE0598">
      <w:pPr>
        <w:pStyle w:val="Corpodetexto"/>
        <w:rPr>
          <w:sz w:val="20"/>
        </w:rPr>
      </w:pPr>
    </w:p>
    <w:p w14:paraId="3E3F78D4" w14:textId="77777777" w:rsidR="00AE0598" w:rsidRDefault="00AE0598">
      <w:pPr>
        <w:pStyle w:val="Corpodetexto"/>
        <w:spacing w:before="5"/>
      </w:pPr>
    </w:p>
    <w:p w14:paraId="240B2A1E" w14:textId="77777777" w:rsidR="00AE0598" w:rsidRDefault="0069255A">
      <w:pPr>
        <w:ind w:left="376" w:right="426"/>
        <w:jc w:val="center"/>
        <w:rPr>
          <w:rFonts w:ascii="Trebuchet MS"/>
          <w:sz w:val="14"/>
        </w:rPr>
      </w:pPr>
      <w:r>
        <w:rPr>
          <w:rFonts w:ascii="Trebuchet MS"/>
          <w:color w:val="231F20"/>
          <w:spacing w:val="-5"/>
          <w:sz w:val="14"/>
        </w:rPr>
        <w:t>xi</w:t>
      </w:r>
    </w:p>
    <w:p w14:paraId="5B5B9737" w14:textId="77777777" w:rsidR="00AE0598" w:rsidRDefault="00AE0598">
      <w:pPr>
        <w:jc w:val="center"/>
        <w:rPr>
          <w:rFonts w:ascii="Trebuchet MS"/>
          <w:sz w:val="14"/>
        </w:rPr>
        <w:sectPr w:rsidR="00AE0598">
          <w:pgSz w:w="8850" w:h="13270"/>
          <w:pgMar w:top="1080" w:right="1080" w:bottom="280" w:left="1080" w:header="720" w:footer="720" w:gutter="0"/>
          <w:cols w:space="720"/>
        </w:sectPr>
      </w:pPr>
    </w:p>
    <w:p w14:paraId="63C4FC69" w14:textId="77777777" w:rsidR="00AE0598" w:rsidRDefault="0069255A">
      <w:pPr>
        <w:spacing w:before="80"/>
        <w:ind w:left="223"/>
        <w:rPr>
          <w:rFonts w:ascii="Trebuchet MS"/>
          <w:sz w:val="14"/>
        </w:rPr>
      </w:pPr>
      <w:r>
        <w:rPr>
          <w:rFonts w:ascii="Trebuchet MS"/>
          <w:color w:val="231F20"/>
          <w:w w:val="105"/>
          <w:sz w:val="14"/>
        </w:rPr>
        <w:lastRenderedPageBreak/>
        <w:t>xii</w:t>
      </w:r>
      <w:r>
        <w:rPr>
          <w:rFonts w:ascii="Trebuchet MS"/>
          <w:color w:val="231F20"/>
          <w:spacing w:val="74"/>
          <w:w w:val="150"/>
          <w:sz w:val="14"/>
        </w:rPr>
        <w:t xml:space="preserve"> </w:t>
      </w:r>
      <w:r>
        <w:rPr>
          <w:rFonts w:ascii="Trebuchet MS"/>
          <w:color w:val="231F20"/>
          <w:spacing w:val="-2"/>
          <w:w w:val="105"/>
          <w:sz w:val="14"/>
        </w:rPr>
        <w:t>Acknowledgements</w:t>
      </w:r>
    </w:p>
    <w:p w14:paraId="17142369" w14:textId="77777777" w:rsidR="00AE0598" w:rsidRDefault="00AE0598">
      <w:pPr>
        <w:pStyle w:val="Corpodetexto"/>
        <w:rPr>
          <w:rFonts w:ascii="Trebuchet MS"/>
          <w:sz w:val="16"/>
        </w:rPr>
      </w:pPr>
    </w:p>
    <w:p w14:paraId="7A9F2FC2" w14:textId="77777777" w:rsidR="00AE0598" w:rsidRDefault="0069255A">
      <w:pPr>
        <w:pStyle w:val="Corpodetexto"/>
        <w:spacing w:before="111" w:line="232" w:lineRule="auto"/>
        <w:ind w:left="223" w:right="164" w:firstLine="319"/>
        <w:jc w:val="both"/>
      </w:pPr>
      <w:r>
        <w:rPr>
          <w:color w:val="231F20"/>
        </w:rPr>
        <w:t>Finally, the support of our immediate families, Linda, Alexandra, Kate</w:t>
      </w:r>
      <w:r>
        <w:rPr>
          <w:color w:val="231F20"/>
          <w:spacing w:val="-4"/>
        </w:rPr>
        <w:t xml:space="preserve"> </w:t>
      </w:r>
      <w:r>
        <w:rPr>
          <w:color w:val="231F20"/>
        </w:rPr>
        <w:t>and</w:t>
      </w:r>
      <w:r>
        <w:rPr>
          <w:color w:val="231F20"/>
          <w:spacing w:val="-4"/>
        </w:rPr>
        <w:t xml:space="preserve"> </w:t>
      </w:r>
      <w:r>
        <w:rPr>
          <w:color w:val="231F20"/>
        </w:rPr>
        <w:t>George,</w:t>
      </w:r>
      <w:r>
        <w:rPr>
          <w:color w:val="231F20"/>
          <w:spacing w:val="-4"/>
        </w:rPr>
        <w:t xml:space="preserve"> </w:t>
      </w:r>
      <w:r>
        <w:rPr>
          <w:color w:val="231F20"/>
        </w:rPr>
        <w:t>and</w:t>
      </w:r>
      <w:r>
        <w:rPr>
          <w:color w:val="231F20"/>
          <w:spacing w:val="-4"/>
        </w:rPr>
        <w:t xml:space="preserve"> </w:t>
      </w:r>
      <w:r>
        <w:rPr>
          <w:color w:val="231F20"/>
        </w:rPr>
        <w:t>Lorraine,</w:t>
      </w:r>
      <w:r>
        <w:rPr>
          <w:color w:val="231F20"/>
          <w:spacing w:val="-4"/>
        </w:rPr>
        <w:t xml:space="preserve"> </w:t>
      </w:r>
      <w:r>
        <w:rPr>
          <w:color w:val="231F20"/>
        </w:rPr>
        <w:t>Lindsay</w:t>
      </w:r>
      <w:r>
        <w:rPr>
          <w:color w:val="231F20"/>
          <w:spacing w:val="-4"/>
        </w:rPr>
        <w:t xml:space="preserve"> </w:t>
      </w:r>
      <w:r>
        <w:rPr>
          <w:color w:val="231F20"/>
        </w:rPr>
        <w:t>and</w:t>
      </w:r>
      <w:r>
        <w:rPr>
          <w:color w:val="231F20"/>
          <w:spacing w:val="-4"/>
        </w:rPr>
        <w:t xml:space="preserve"> </w:t>
      </w:r>
      <w:r>
        <w:rPr>
          <w:color w:val="231F20"/>
        </w:rPr>
        <w:t>Gillian,</w:t>
      </w:r>
      <w:r>
        <w:rPr>
          <w:color w:val="231F20"/>
          <w:spacing w:val="-4"/>
        </w:rPr>
        <w:t xml:space="preserve"> </w:t>
      </w:r>
      <w:r>
        <w:rPr>
          <w:color w:val="231F20"/>
        </w:rPr>
        <w:t>has</w:t>
      </w:r>
      <w:r>
        <w:rPr>
          <w:color w:val="231F20"/>
          <w:spacing w:val="-4"/>
        </w:rPr>
        <w:t xml:space="preserve"> </w:t>
      </w:r>
      <w:r>
        <w:rPr>
          <w:color w:val="231F20"/>
        </w:rPr>
        <w:t>been</w:t>
      </w:r>
      <w:r>
        <w:rPr>
          <w:color w:val="231F20"/>
          <w:spacing w:val="-4"/>
        </w:rPr>
        <w:t xml:space="preserve"> </w:t>
      </w:r>
      <w:r>
        <w:rPr>
          <w:color w:val="231F20"/>
        </w:rPr>
        <w:t>critical</w:t>
      </w:r>
      <w:r>
        <w:rPr>
          <w:color w:val="231F20"/>
          <w:spacing w:val="-4"/>
        </w:rPr>
        <w:t xml:space="preserve"> </w:t>
      </w:r>
      <w:r>
        <w:rPr>
          <w:color w:val="231F20"/>
        </w:rPr>
        <w:t>to the completion of this third edition.</w:t>
      </w:r>
    </w:p>
    <w:p w14:paraId="47F823A8" w14:textId="77777777" w:rsidR="00AE0598" w:rsidRDefault="00AE0598">
      <w:pPr>
        <w:pStyle w:val="Corpodetexto"/>
        <w:spacing w:before="5"/>
        <w:rPr>
          <w:sz w:val="30"/>
        </w:rPr>
      </w:pPr>
    </w:p>
    <w:p w14:paraId="157CB961" w14:textId="77777777" w:rsidR="00AE0598" w:rsidRDefault="0069255A">
      <w:pPr>
        <w:pStyle w:val="Corpodetexto"/>
        <w:tabs>
          <w:tab w:val="left" w:pos="5367"/>
        </w:tabs>
        <w:spacing w:before="1" w:line="243" w:lineRule="exact"/>
        <w:ind w:left="376"/>
        <w:jc w:val="center"/>
      </w:pPr>
      <w:r>
        <w:rPr>
          <w:color w:val="231F20"/>
        </w:rPr>
        <w:t>James</w:t>
      </w:r>
      <w:r>
        <w:rPr>
          <w:color w:val="231F20"/>
          <w:spacing w:val="-9"/>
        </w:rPr>
        <w:t xml:space="preserve"> </w:t>
      </w:r>
      <w:r>
        <w:rPr>
          <w:color w:val="231F20"/>
          <w:spacing w:val="-2"/>
        </w:rPr>
        <w:t>Higham</w:t>
      </w:r>
      <w:r>
        <w:rPr>
          <w:color w:val="231F20"/>
        </w:rPr>
        <w:tab/>
      </w:r>
      <w:r>
        <w:rPr>
          <w:color w:val="231F20"/>
          <w:spacing w:val="-2"/>
        </w:rPr>
        <w:t>Tom</w:t>
      </w:r>
      <w:r>
        <w:rPr>
          <w:color w:val="231F20"/>
          <w:spacing w:val="-7"/>
        </w:rPr>
        <w:t xml:space="preserve"> </w:t>
      </w:r>
      <w:r>
        <w:rPr>
          <w:color w:val="231F20"/>
          <w:spacing w:val="-2"/>
        </w:rPr>
        <w:t>Hinch</w:t>
      </w:r>
    </w:p>
    <w:p w14:paraId="6CE06D71" w14:textId="77777777" w:rsidR="00AE0598" w:rsidRDefault="0069255A">
      <w:pPr>
        <w:pStyle w:val="Corpodetexto"/>
        <w:tabs>
          <w:tab w:val="left" w:pos="4654"/>
        </w:tabs>
        <w:spacing w:line="243" w:lineRule="exact"/>
        <w:ind w:left="376"/>
        <w:jc w:val="center"/>
      </w:pPr>
      <w:r>
        <w:rPr>
          <w:color w:val="231F20"/>
        </w:rPr>
        <w:t xml:space="preserve">Dunedin, New </w:t>
      </w:r>
      <w:r>
        <w:rPr>
          <w:color w:val="231F20"/>
          <w:spacing w:val="-2"/>
        </w:rPr>
        <w:t>Zealand</w:t>
      </w:r>
      <w:r>
        <w:rPr>
          <w:color w:val="231F20"/>
        </w:rPr>
        <w:tab/>
      </w:r>
      <w:r>
        <w:rPr>
          <w:color w:val="231F20"/>
          <w:w w:val="95"/>
        </w:rPr>
        <w:t>Edmonton,</w:t>
      </w:r>
      <w:r>
        <w:rPr>
          <w:color w:val="231F20"/>
          <w:spacing w:val="33"/>
        </w:rPr>
        <w:t xml:space="preserve"> </w:t>
      </w:r>
      <w:r>
        <w:rPr>
          <w:color w:val="231F20"/>
          <w:spacing w:val="-2"/>
        </w:rPr>
        <w:t>Canada</w:t>
      </w:r>
    </w:p>
    <w:p w14:paraId="78D37285" w14:textId="77777777" w:rsidR="00AE0598" w:rsidRDefault="00AE0598">
      <w:pPr>
        <w:pStyle w:val="Corpodetexto"/>
        <w:spacing w:before="5"/>
        <w:rPr>
          <w:sz w:val="20"/>
        </w:rPr>
      </w:pPr>
    </w:p>
    <w:p w14:paraId="62DD5CDD" w14:textId="77777777" w:rsidR="00AE0598" w:rsidRDefault="0069255A">
      <w:pPr>
        <w:pStyle w:val="Corpodetexto"/>
        <w:spacing w:line="232" w:lineRule="auto"/>
        <w:ind w:left="2411" w:right="2032"/>
        <w:jc w:val="center"/>
      </w:pPr>
      <w:r>
        <w:rPr>
          <w:color w:val="231F20"/>
          <w:spacing w:val="-2"/>
        </w:rPr>
        <w:t>This</w:t>
      </w:r>
      <w:r>
        <w:rPr>
          <w:color w:val="231F20"/>
          <w:spacing w:val="-10"/>
        </w:rPr>
        <w:t xml:space="preserve"> </w:t>
      </w:r>
      <w:r>
        <w:rPr>
          <w:color w:val="231F20"/>
          <w:spacing w:val="-2"/>
        </w:rPr>
        <w:t>book</w:t>
      </w:r>
      <w:r>
        <w:rPr>
          <w:color w:val="231F20"/>
          <w:spacing w:val="-9"/>
        </w:rPr>
        <w:t xml:space="preserve"> </w:t>
      </w:r>
      <w:r>
        <w:rPr>
          <w:color w:val="231F20"/>
          <w:spacing w:val="-2"/>
        </w:rPr>
        <w:t>is</w:t>
      </w:r>
      <w:r>
        <w:rPr>
          <w:color w:val="231F20"/>
          <w:spacing w:val="-10"/>
        </w:rPr>
        <w:t xml:space="preserve"> </w:t>
      </w:r>
      <w:r>
        <w:rPr>
          <w:color w:val="231F20"/>
          <w:spacing w:val="-2"/>
        </w:rPr>
        <w:t>dedicated</w:t>
      </w:r>
      <w:r>
        <w:rPr>
          <w:color w:val="231F20"/>
          <w:spacing w:val="-9"/>
        </w:rPr>
        <w:t xml:space="preserve"> </w:t>
      </w:r>
      <w:r>
        <w:rPr>
          <w:color w:val="231F20"/>
          <w:spacing w:val="-2"/>
        </w:rPr>
        <w:t xml:space="preserve">to: </w:t>
      </w:r>
      <w:r>
        <w:rPr>
          <w:color w:val="231F20"/>
        </w:rPr>
        <w:t>Hawea and Lac Lu</w:t>
      </w:r>
    </w:p>
    <w:p w14:paraId="61407090" w14:textId="77777777" w:rsidR="00AE0598" w:rsidRDefault="00AE0598">
      <w:pPr>
        <w:spacing w:line="232" w:lineRule="auto"/>
        <w:jc w:val="center"/>
        <w:sectPr w:rsidR="00AE0598">
          <w:pgSz w:w="8850" w:h="13270"/>
          <w:pgMar w:top="640" w:right="1080" w:bottom="280" w:left="1080" w:header="720" w:footer="720" w:gutter="0"/>
          <w:cols w:space="720"/>
        </w:sectPr>
      </w:pPr>
    </w:p>
    <w:p w14:paraId="002B1BD5" w14:textId="77777777" w:rsidR="00AE0598" w:rsidRDefault="0069255A">
      <w:pPr>
        <w:pStyle w:val="Ttulo1"/>
        <w:spacing w:line="252" w:lineRule="auto"/>
        <w:ind w:right="3922"/>
      </w:pPr>
      <w:bookmarkStart w:id="4" w:name="_TOC_250013"/>
      <w:r>
        <w:rPr>
          <w:color w:val="231F20"/>
          <w:w w:val="105"/>
        </w:rPr>
        <w:lastRenderedPageBreak/>
        <w:t xml:space="preserve">Part 1 </w:t>
      </w:r>
      <w:bookmarkEnd w:id="4"/>
      <w:r>
        <w:rPr>
          <w:color w:val="231F20"/>
          <w:spacing w:val="-2"/>
          <w:w w:val="105"/>
        </w:rPr>
        <w:t>Introduction</w:t>
      </w:r>
    </w:p>
    <w:p w14:paraId="10D773DA" w14:textId="77777777" w:rsidR="00AE0598" w:rsidRDefault="00AE0598">
      <w:pPr>
        <w:spacing w:line="252" w:lineRule="auto"/>
        <w:sectPr w:rsidR="00AE0598">
          <w:pgSz w:w="8850" w:h="13270"/>
          <w:pgMar w:top="1020" w:right="1080" w:bottom="280" w:left="1080" w:header="720" w:footer="720" w:gutter="0"/>
          <w:cols w:space="720"/>
        </w:sectPr>
      </w:pPr>
    </w:p>
    <w:p w14:paraId="348431E3" w14:textId="77777777" w:rsidR="00AE0598" w:rsidRDefault="00AE0598">
      <w:pPr>
        <w:pStyle w:val="Corpodetexto"/>
        <w:spacing w:before="2"/>
        <w:rPr>
          <w:rFonts w:ascii="Trebuchet MS"/>
          <w:sz w:val="17"/>
        </w:rPr>
      </w:pPr>
    </w:p>
    <w:p w14:paraId="4E7AA271" w14:textId="77777777" w:rsidR="00AE0598" w:rsidRDefault="00AE0598">
      <w:pPr>
        <w:rPr>
          <w:rFonts w:ascii="Trebuchet MS"/>
          <w:sz w:val="17"/>
        </w:rPr>
        <w:sectPr w:rsidR="00AE0598">
          <w:pgSz w:w="8850" w:h="13270"/>
          <w:pgMar w:top="1240" w:right="1080" w:bottom="280" w:left="1080" w:header="720" w:footer="720" w:gutter="0"/>
          <w:cols w:space="720"/>
        </w:sectPr>
      </w:pPr>
    </w:p>
    <w:p w14:paraId="51B6B852" w14:textId="77777777" w:rsidR="00AE0598" w:rsidRDefault="0069255A">
      <w:pPr>
        <w:pStyle w:val="Ttulo1"/>
        <w:spacing w:line="252" w:lineRule="auto"/>
        <w:ind w:left="595" w:right="890" w:hanging="486"/>
      </w:pPr>
      <w:bookmarkStart w:id="5" w:name="1._Sport_Tourism_in_Times_of_Change"/>
      <w:bookmarkStart w:id="6" w:name="_TOC_250012"/>
      <w:bookmarkEnd w:id="5"/>
      <w:r>
        <w:rPr>
          <w:color w:val="231F20"/>
          <w:w w:val="105"/>
        </w:rPr>
        <w:lastRenderedPageBreak/>
        <w:t>1</w:t>
      </w:r>
      <w:r>
        <w:rPr>
          <w:color w:val="231F20"/>
          <w:spacing w:val="3"/>
          <w:w w:val="105"/>
        </w:rPr>
        <w:t xml:space="preserve"> </w:t>
      </w:r>
      <w:r>
        <w:rPr>
          <w:color w:val="231F20"/>
          <w:w w:val="105"/>
        </w:rPr>
        <w:t>Sport</w:t>
      </w:r>
      <w:r>
        <w:rPr>
          <w:color w:val="231F20"/>
          <w:spacing w:val="-37"/>
          <w:w w:val="105"/>
        </w:rPr>
        <w:t xml:space="preserve"> </w:t>
      </w:r>
      <w:r>
        <w:rPr>
          <w:color w:val="231F20"/>
          <w:w w:val="105"/>
        </w:rPr>
        <w:t>Tourism</w:t>
      </w:r>
      <w:r>
        <w:rPr>
          <w:color w:val="231F20"/>
          <w:spacing w:val="-36"/>
          <w:w w:val="105"/>
        </w:rPr>
        <w:t xml:space="preserve"> </w:t>
      </w:r>
      <w:r>
        <w:rPr>
          <w:color w:val="231F20"/>
          <w:w w:val="105"/>
        </w:rPr>
        <w:t>in</w:t>
      </w:r>
      <w:r>
        <w:rPr>
          <w:color w:val="231F20"/>
          <w:spacing w:val="-37"/>
          <w:w w:val="105"/>
        </w:rPr>
        <w:t xml:space="preserve"> </w:t>
      </w:r>
      <w:bookmarkEnd w:id="6"/>
      <w:r>
        <w:rPr>
          <w:color w:val="231F20"/>
          <w:w w:val="105"/>
        </w:rPr>
        <w:t>Times of Change</w:t>
      </w:r>
    </w:p>
    <w:p w14:paraId="69C9F183" w14:textId="77777777" w:rsidR="00AE0598" w:rsidRDefault="00AE0598">
      <w:pPr>
        <w:pStyle w:val="Corpodetexto"/>
        <w:spacing w:before="2"/>
        <w:rPr>
          <w:rFonts w:ascii="Trebuchet MS"/>
          <w:sz w:val="78"/>
        </w:rPr>
      </w:pPr>
    </w:p>
    <w:p w14:paraId="034312A0" w14:textId="77777777" w:rsidR="00AE0598" w:rsidRDefault="0069255A">
      <w:pPr>
        <w:spacing w:line="228" w:lineRule="auto"/>
        <w:ind w:left="1595" w:right="108" w:hanging="88"/>
        <w:jc w:val="right"/>
        <w:rPr>
          <w:i/>
          <w:sz w:val="18"/>
        </w:rPr>
      </w:pPr>
      <w:r>
        <w:rPr>
          <w:i/>
          <w:color w:val="231F20"/>
          <w:sz w:val="18"/>
        </w:rPr>
        <w:t>In terms of popular participation, and in some aspects of practice,</w:t>
      </w:r>
      <w:r>
        <w:rPr>
          <w:i/>
          <w:color w:val="231F20"/>
          <w:spacing w:val="40"/>
          <w:sz w:val="18"/>
        </w:rPr>
        <w:t xml:space="preserve"> </w:t>
      </w:r>
      <w:r>
        <w:rPr>
          <w:i/>
          <w:color w:val="231F20"/>
          <w:sz w:val="18"/>
        </w:rPr>
        <w:t>(sport</w:t>
      </w:r>
      <w:r>
        <w:rPr>
          <w:i/>
          <w:color w:val="231F20"/>
          <w:spacing w:val="9"/>
          <w:sz w:val="18"/>
        </w:rPr>
        <w:t xml:space="preserve"> </w:t>
      </w:r>
      <w:r>
        <w:rPr>
          <w:i/>
          <w:color w:val="231F20"/>
          <w:sz w:val="18"/>
        </w:rPr>
        <w:t>and</w:t>
      </w:r>
      <w:r>
        <w:rPr>
          <w:i/>
          <w:color w:val="231F20"/>
          <w:spacing w:val="9"/>
          <w:sz w:val="18"/>
        </w:rPr>
        <w:t xml:space="preserve"> </w:t>
      </w:r>
      <w:r>
        <w:rPr>
          <w:i/>
          <w:color w:val="231F20"/>
          <w:sz w:val="18"/>
        </w:rPr>
        <w:t>tourism)</w:t>
      </w:r>
      <w:r>
        <w:rPr>
          <w:i/>
          <w:color w:val="231F20"/>
          <w:spacing w:val="9"/>
          <w:sz w:val="18"/>
        </w:rPr>
        <w:t xml:space="preserve"> </w:t>
      </w:r>
      <w:r>
        <w:rPr>
          <w:i/>
          <w:color w:val="231F20"/>
          <w:sz w:val="18"/>
        </w:rPr>
        <w:t>are</w:t>
      </w:r>
      <w:r>
        <w:rPr>
          <w:i/>
          <w:color w:val="231F20"/>
          <w:spacing w:val="9"/>
          <w:sz w:val="18"/>
        </w:rPr>
        <w:t xml:space="preserve"> </w:t>
      </w:r>
      <w:r>
        <w:rPr>
          <w:i/>
          <w:color w:val="231F20"/>
          <w:sz w:val="18"/>
        </w:rPr>
        <w:t>inextricably</w:t>
      </w:r>
      <w:r>
        <w:rPr>
          <w:i/>
          <w:color w:val="231F20"/>
          <w:spacing w:val="9"/>
          <w:sz w:val="18"/>
        </w:rPr>
        <w:t xml:space="preserve"> </w:t>
      </w:r>
      <w:r>
        <w:rPr>
          <w:i/>
          <w:color w:val="231F20"/>
          <w:sz w:val="18"/>
        </w:rPr>
        <w:t>linked...</w:t>
      </w:r>
      <w:r>
        <w:rPr>
          <w:i/>
          <w:color w:val="231F20"/>
          <w:spacing w:val="10"/>
          <w:sz w:val="18"/>
        </w:rPr>
        <w:t xml:space="preserve"> </w:t>
      </w:r>
      <w:r>
        <w:rPr>
          <w:i/>
          <w:color w:val="231F20"/>
          <w:sz w:val="18"/>
        </w:rPr>
        <w:t>and</w:t>
      </w:r>
      <w:r>
        <w:rPr>
          <w:i/>
          <w:color w:val="231F20"/>
          <w:spacing w:val="9"/>
          <w:sz w:val="18"/>
        </w:rPr>
        <w:t xml:space="preserve"> </w:t>
      </w:r>
      <w:r>
        <w:rPr>
          <w:i/>
          <w:color w:val="231F20"/>
          <w:sz w:val="18"/>
        </w:rPr>
        <w:t>there</w:t>
      </w:r>
      <w:r>
        <w:rPr>
          <w:i/>
          <w:color w:val="231F20"/>
          <w:spacing w:val="9"/>
          <w:sz w:val="18"/>
        </w:rPr>
        <w:t xml:space="preserve"> </w:t>
      </w:r>
      <w:r>
        <w:rPr>
          <w:i/>
          <w:color w:val="231F20"/>
          <w:sz w:val="18"/>
        </w:rPr>
        <w:t>are</w:t>
      </w:r>
      <w:r>
        <w:rPr>
          <w:i/>
          <w:color w:val="231F20"/>
          <w:spacing w:val="9"/>
          <w:sz w:val="18"/>
        </w:rPr>
        <w:t xml:space="preserve"> </w:t>
      </w:r>
      <w:r>
        <w:rPr>
          <w:i/>
          <w:color w:val="231F20"/>
          <w:spacing w:val="-4"/>
          <w:sz w:val="18"/>
        </w:rPr>
        <w:t>sound</w:t>
      </w:r>
    </w:p>
    <w:p w14:paraId="3F2E240B" w14:textId="77777777" w:rsidR="00AE0598" w:rsidRDefault="0069255A">
      <w:pPr>
        <w:spacing w:line="196" w:lineRule="exact"/>
        <w:ind w:right="108"/>
        <w:jc w:val="right"/>
        <w:rPr>
          <w:i/>
          <w:sz w:val="18"/>
        </w:rPr>
      </w:pPr>
      <w:r>
        <w:rPr>
          <w:i/>
          <w:color w:val="231F20"/>
          <w:sz w:val="18"/>
        </w:rPr>
        <w:t>reasons</w:t>
      </w:r>
      <w:r>
        <w:rPr>
          <w:i/>
          <w:color w:val="231F20"/>
          <w:spacing w:val="9"/>
          <w:sz w:val="18"/>
        </w:rPr>
        <w:t xml:space="preserve"> </w:t>
      </w:r>
      <w:r>
        <w:rPr>
          <w:i/>
          <w:color w:val="231F20"/>
          <w:sz w:val="18"/>
        </w:rPr>
        <w:t>for</w:t>
      </w:r>
      <w:r>
        <w:rPr>
          <w:i/>
          <w:color w:val="231F20"/>
          <w:spacing w:val="12"/>
          <w:sz w:val="18"/>
        </w:rPr>
        <w:t xml:space="preserve"> </w:t>
      </w:r>
      <w:r>
        <w:rPr>
          <w:i/>
          <w:color w:val="231F20"/>
          <w:sz w:val="18"/>
        </w:rPr>
        <w:t>those</w:t>
      </w:r>
      <w:r>
        <w:rPr>
          <w:i/>
          <w:color w:val="231F20"/>
          <w:spacing w:val="12"/>
          <w:sz w:val="18"/>
        </w:rPr>
        <w:t xml:space="preserve"> </w:t>
      </w:r>
      <w:r>
        <w:rPr>
          <w:i/>
          <w:color w:val="231F20"/>
          <w:sz w:val="18"/>
        </w:rPr>
        <w:t>links</w:t>
      </w:r>
      <w:r>
        <w:rPr>
          <w:i/>
          <w:color w:val="231F20"/>
          <w:spacing w:val="12"/>
          <w:sz w:val="18"/>
        </w:rPr>
        <w:t xml:space="preserve"> </w:t>
      </w:r>
      <w:r>
        <w:rPr>
          <w:i/>
          <w:color w:val="231F20"/>
          <w:sz w:val="18"/>
        </w:rPr>
        <w:t>to</w:t>
      </w:r>
      <w:r>
        <w:rPr>
          <w:i/>
          <w:color w:val="231F20"/>
          <w:spacing w:val="12"/>
          <w:sz w:val="18"/>
        </w:rPr>
        <w:t xml:space="preserve"> </w:t>
      </w:r>
      <w:r>
        <w:rPr>
          <w:i/>
          <w:color w:val="231F20"/>
          <w:spacing w:val="-2"/>
          <w:sz w:val="18"/>
        </w:rPr>
        <w:t>strengthen.</w:t>
      </w:r>
    </w:p>
    <w:p w14:paraId="6829A25F" w14:textId="77777777" w:rsidR="00AE0598" w:rsidRDefault="0069255A">
      <w:pPr>
        <w:spacing w:line="206" w:lineRule="exact"/>
        <w:ind w:right="108"/>
        <w:jc w:val="right"/>
        <w:rPr>
          <w:sz w:val="18"/>
        </w:rPr>
      </w:pPr>
      <w:r>
        <w:rPr>
          <w:color w:val="231F20"/>
          <w:w w:val="95"/>
          <w:sz w:val="18"/>
        </w:rPr>
        <w:t>Glyptis,</w:t>
      </w:r>
      <w:r>
        <w:rPr>
          <w:color w:val="231F20"/>
          <w:spacing w:val="25"/>
          <w:sz w:val="18"/>
        </w:rPr>
        <w:t xml:space="preserve"> </w:t>
      </w:r>
      <w:r>
        <w:rPr>
          <w:color w:val="231F20"/>
          <w:w w:val="95"/>
          <w:sz w:val="18"/>
        </w:rPr>
        <w:t>1989:</w:t>
      </w:r>
      <w:r>
        <w:rPr>
          <w:color w:val="231F20"/>
          <w:spacing w:val="25"/>
          <w:sz w:val="18"/>
        </w:rPr>
        <w:t xml:space="preserve"> </w:t>
      </w:r>
      <w:r>
        <w:rPr>
          <w:color w:val="231F20"/>
          <w:spacing w:val="-5"/>
          <w:w w:val="95"/>
          <w:sz w:val="18"/>
        </w:rPr>
        <w:t>165</w:t>
      </w:r>
    </w:p>
    <w:p w14:paraId="20470854" w14:textId="77777777" w:rsidR="00AE0598" w:rsidRDefault="00AE0598">
      <w:pPr>
        <w:pStyle w:val="Corpodetexto"/>
        <w:rPr>
          <w:sz w:val="20"/>
        </w:rPr>
      </w:pPr>
    </w:p>
    <w:p w14:paraId="601754FB" w14:textId="77777777" w:rsidR="00AE0598" w:rsidRDefault="00AE0598">
      <w:pPr>
        <w:pStyle w:val="Corpodetexto"/>
        <w:rPr>
          <w:sz w:val="22"/>
        </w:rPr>
      </w:pPr>
    </w:p>
    <w:p w14:paraId="7A24128C" w14:textId="77777777" w:rsidR="00AE0598" w:rsidRDefault="0069255A">
      <w:pPr>
        <w:ind w:left="110"/>
        <w:rPr>
          <w:rFonts w:ascii="Trebuchet MS"/>
          <w:b/>
          <w:sz w:val="20"/>
        </w:rPr>
      </w:pPr>
      <w:r>
        <w:rPr>
          <w:rFonts w:ascii="Trebuchet MS"/>
          <w:b/>
          <w:color w:val="231F20"/>
          <w:spacing w:val="-2"/>
          <w:sz w:val="20"/>
        </w:rPr>
        <w:t>Introduction</w:t>
      </w:r>
    </w:p>
    <w:p w14:paraId="54E87E3E" w14:textId="77777777" w:rsidR="00AE0598" w:rsidRDefault="0069255A">
      <w:pPr>
        <w:pStyle w:val="Corpodetexto"/>
        <w:spacing w:before="122" w:line="232" w:lineRule="auto"/>
        <w:ind w:left="110" w:right="107" w:firstLine="320"/>
        <w:jc w:val="both"/>
      </w:pPr>
      <w:r>
        <w:rPr>
          <w:color w:val="231F20"/>
        </w:rPr>
        <w:t xml:space="preserve">In June 336 BC, Philip of Macedon (382–336 BC) made preparations for the wedding of his daughter Cleopatra to King Alexander of Epirus. </w:t>
      </w:r>
      <w:r>
        <w:rPr>
          <w:color w:val="231F20"/>
          <w:w w:val="95"/>
        </w:rPr>
        <w:t xml:space="preserve">He intended, according to Green (1992), to make the wedding a lavish and </w:t>
      </w:r>
      <w:r>
        <w:rPr>
          <w:color w:val="231F20"/>
        </w:rPr>
        <w:t>ostentatious display of propaganda, in order to</w:t>
      </w:r>
      <w:r>
        <w:rPr>
          <w:color w:val="231F20"/>
        </w:rPr>
        <w:t xml:space="preserve"> impress the Greeks into reimagining Philip as a ‘civilised and generous statesman’, rather than a military</w:t>
      </w:r>
      <w:r>
        <w:rPr>
          <w:color w:val="231F20"/>
          <w:spacing w:val="-4"/>
        </w:rPr>
        <w:t xml:space="preserve"> </w:t>
      </w:r>
      <w:r>
        <w:rPr>
          <w:color w:val="231F20"/>
        </w:rPr>
        <w:t>tyrant</w:t>
      </w:r>
      <w:r>
        <w:rPr>
          <w:color w:val="231F20"/>
          <w:spacing w:val="-4"/>
        </w:rPr>
        <w:t xml:space="preserve"> </w:t>
      </w:r>
      <w:r>
        <w:rPr>
          <w:color w:val="231F20"/>
        </w:rPr>
        <w:t>and</w:t>
      </w:r>
      <w:r>
        <w:rPr>
          <w:color w:val="231F20"/>
          <w:spacing w:val="-4"/>
        </w:rPr>
        <w:t xml:space="preserve"> </w:t>
      </w:r>
      <w:r>
        <w:rPr>
          <w:color w:val="231F20"/>
        </w:rPr>
        <w:t>autocrat.</w:t>
      </w:r>
      <w:r>
        <w:rPr>
          <w:color w:val="231F20"/>
          <w:spacing w:val="-4"/>
        </w:rPr>
        <w:t xml:space="preserve"> </w:t>
      </w:r>
      <w:r>
        <w:rPr>
          <w:color w:val="231F20"/>
        </w:rPr>
        <w:t>Philip</w:t>
      </w:r>
      <w:r>
        <w:rPr>
          <w:color w:val="231F20"/>
          <w:spacing w:val="-4"/>
        </w:rPr>
        <w:t xml:space="preserve"> </w:t>
      </w:r>
      <w:r>
        <w:rPr>
          <w:color w:val="231F20"/>
        </w:rPr>
        <w:t>gathered</w:t>
      </w:r>
      <w:r>
        <w:rPr>
          <w:color w:val="231F20"/>
          <w:spacing w:val="-4"/>
        </w:rPr>
        <w:t xml:space="preserve"> </w:t>
      </w:r>
      <w:r>
        <w:rPr>
          <w:color w:val="231F20"/>
        </w:rPr>
        <w:t>his</w:t>
      </w:r>
      <w:r>
        <w:rPr>
          <w:color w:val="231F20"/>
          <w:spacing w:val="-4"/>
        </w:rPr>
        <w:t xml:space="preserve"> </w:t>
      </w:r>
      <w:r>
        <w:rPr>
          <w:color w:val="231F20"/>
        </w:rPr>
        <w:t>Macedonian</w:t>
      </w:r>
      <w:r>
        <w:rPr>
          <w:color w:val="231F20"/>
          <w:spacing w:val="-4"/>
        </w:rPr>
        <w:t xml:space="preserve"> </w:t>
      </w:r>
      <w:r>
        <w:rPr>
          <w:color w:val="231F20"/>
        </w:rPr>
        <w:t>barons</w:t>
      </w:r>
      <w:r>
        <w:rPr>
          <w:color w:val="231F20"/>
          <w:spacing w:val="-4"/>
        </w:rPr>
        <w:t xml:space="preserve"> </w:t>
      </w:r>
      <w:r>
        <w:rPr>
          <w:color w:val="231F20"/>
        </w:rPr>
        <w:t xml:space="preserve">and </w:t>
      </w:r>
      <w:r>
        <w:rPr>
          <w:color w:val="231F20"/>
          <w:w w:val="95"/>
        </w:rPr>
        <w:t xml:space="preserve">invited all manner of distinguish Greek visitors. No expense was spared in hosting banquets and entertaining his visitors with musical performances </w:t>
      </w:r>
      <w:r>
        <w:rPr>
          <w:color w:val="231F20"/>
        </w:rPr>
        <w:t>and</w:t>
      </w:r>
      <w:r>
        <w:rPr>
          <w:color w:val="231F20"/>
          <w:spacing w:val="-10"/>
        </w:rPr>
        <w:t xml:space="preserve"> </w:t>
      </w:r>
      <w:r>
        <w:rPr>
          <w:color w:val="231F20"/>
        </w:rPr>
        <w:t>extravagant</w:t>
      </w:r>
      <w:r>
        <w:rPr>
          <w:color w:val="231F20"/>
          <w:spacing w:val="-10"/>
        </w:rPr>
        <w:t xml:space="preserve"> </w:t>
      </w:r>
      <w:r>
        <w:rPr>
          <w:color w:val="231F20"/>
        </w:rPr>
        <w:t>sacrifices</w:t>
      </w:r>
      <w:r>
        <w:rPr>
          <w:color w:val="231F20"/>
          <w:spacing w:val="-10"/>
        </w:rPr>
        <w:t xml:space="preserve"> </w:t>
      </w:r>
      <w:r>
        <w:rPr>
          <w:color w:val="231F20"/>
        </w:rPr>
        <w:t>to</w:t>
      </w:r>
      <w:r>
        <w:rPr>
          <w:color w:val="231F20"/>
          <w:spacing w:val="-10"/>
        </w:rPr>
        <w:t xml:space="preserve"> </w:t>
      </w:r>
      <w:r>
        <w:rPr>
          <w:color w:val="231F20"/>
        </w:rPr>
        <w:t>the</w:t>
      </w:r>
      <w:r>
        <w:rPr>
          <w:color w:val="231F20"/>
          <w:spacing w:val="-10"/>
        </w:rPr>
        <w:t xml:space="preserve"> </w:t>
      </w:r>
      <w:r>
        <w:rPr>
          <w:color w:val="231F20"/>
        </w:rPr>
        <w:t>Gods</w:t>
      </w:r>
      <w:r>
        <w:rPr>
          <w:color w:val="231F20"/>
          <w:spacing w:val="-10"/>
        </w:rPr>
        <w:t xml:space="preserve"> </w:t>
      </w:r>
      <w:r>
        <w:rPr>
          <w:color w:val="231F20"/>
        </w:rPr>
        <w:t>(Green,</w:t>
      </w:r>
      <w:r>
        <w:rPr>
          <w:color w:val="231F20"/>
          <w:spacing w:val="-10"/>
        </w:rPr>
        <w:t xml:space="preserve"> </w:t>
      </w:r>
      <w:r>
        <w:rPr>
          <w:color w:val="231F20"/>
        </w:rPr>
        <w:t>1992).</w:t>
      </w:r>
      <w:r>
        <w:rPr>
          <w:color w:val="231F20"/>
          <w:spacing w:val="-10"/>
        </w:rPr>
        <w:t xml:space="preserve"> </w:t>
      </w:r>
      <w:r>
        <w:rPr>
          <w:color w:val="231F20"/>
        </w:rPr>
        <w:t>Interestingly,</w:t>
      </w:r>
      <w:r>
        <w:rPr>
          <w:color w:val="231F20"/>
          <w:spacing w:val="-10"/>
        </w:rPr>
        <w:t xml:space="preserve"> </w:t>
      </w:r>
      <w:r>
        <w:rPr>
          <w:color w:val="231F20"/>
        </w:rPr>
        <w:t>in</w:t>
      </w:r>
      <w:r>
        <w:rPr>
          <w:color w:val="231F20"/>
          <w:spacing w:val="-10"/>
        </w:rPr>
        <w:t xml:space="preserve"> </w:t>
      </w:r>
      <w:r>
        <w:rPr>
          <w:color w:val="231F20"/>
        </w:rPr>
        <w:t>the context of this book, public gam</w:t>
      </w:r>
      <w:r>
        <w:rPr>
          <w:color w:val="231F20"/>
        </w:rPr>
        <w:t xml:space="preserve">es and displays of competitive sporting </w:t>
      </w:r>
      <w:r>
        <w:rPr>
          <w:color w:val="231F20"/>
          <w:w w:val="95"/>
        </w:rPr>
        <w:t xml:space="preserve">excellence were other important elements of Philip’s strategy, although the </w:t>
      </w:r>
      <w:r>
        <w:rPr>
          <w:color w:val="231F20"/>
        </w:rPr>
        <w:t>celebrations</w:t>
      </w:r>
      <w:r>
        <w:rPr>
          <w:color w:val="231F20"/>
          <w:spacing w:val="-5"/>
        </w:rPr>
        <w:t xml:space="preserve"> </w:t>
      </w:r>
      <w:r>
        <w:rPr>
          <w:color w:val="231F20"/>
        </w:rPr>
        <w:t>were</w:t>
      </w:r>
      <w:r>
        <w:rPr>
          <w:color w:val="231F20"/>
          <w:spacing w:val="-5"/>
        </w:rPr>
        <w:t xml:space="preserve"> </w:t>
      </w:r>
      <w:r>
        <w:rPr>
          <w:color w:val="231F20"/>
        </w:rPr>
        <w:t>cut</w:t>
      </w:r>
      <w:r>
        <w:rPr>
          <w:color w:val="231F20"/>
          <w:spacing w:val="-5"/>
        </w:rPr>
        <w:t xml:space="preserve"> </w:t>
      </w:r>
      <w:r>
        <w:rPr>
          <w:color w:val="231F20"/>
        </w:rPr>
        <w:t>short</w:t>
      </w:r>
      <w:r>
        <w:rPr>
          <w:color w:val="231F20"/>
          <w:spacing w:val="-5"/>
        </w:rPr>
        <w:t xml:space="preserve"> </w:t>
      </w:r>
      <w:r>
        <w:rPr>
          <w:color w:val="231F20"/>
        </w:rPr>
        <w:t>by</w:t>
      </w:r>
      <w:r>
        <w:rPr>
          <w:color w:val="231F20"/>
          <w:spacing w:val="-5"/>
        </w:rPr>
        <w:t xml:space="preserve"> </w:t>
      </w:r>
      <w:r>
        <w:rPr>
          <w:color w:val="231F20"/>
        </w:rPr>
        <w:t>his</w:t>
      </w:r>
      <w:r>
        <w:rPr>
          <w:color w:val="231F20"/>
          <w:spacing w:val="-5"/>
        </w:rPr>
        <w:t xml:space="preserve"> </w:t>
      </w:r>
      <w:r>
        <w:rPr>
          <w:color w:val="231F20"/>
        </w:rPr>
        <w:t>violent</w:t>
      </w:r>
      <w:r>
        <w:rPr>
          <w:color w:val="231F20"/>
          <w:spacing w:val="-5"/>
        </w:rPr>
        <w:t xml:space="preserve"> </w:t>
      </w:r>
      <w:r>
        <w:rPr>
          <w:color w:val="231F20"/>
        </w:rPr>
        <w:t>assassination.</w:t>
      </w:r>
    </w:p>
    <w:p w14:paraId="763FF440" w14:textId="77777777" w:rsidR="00AE0598" w:rsidRDefault="0069255A">
      <w:pPr>
        <w:pStyle w:val="Corpodetexto"/>
        <w:spacing w:before="15" w:line="232" w:lineRule="auto"/>
        <w:ind w:left="110" w:right="106" w:firstLine="320"/>
        <w:jc w:val="both"/>
      </w:pPr>
      <w:r>
        <w:rPr>
          <w:color w:val="231F20"/>
        </w:rPr>
        <w:t>Two years later, in 334 BC, Philip’s son and successor, Alexander the Great (365–3</w:t>
      </w:r>
      <w:r>
        <w:rPr>
          <w:color w:val="231F20"/>
        </w:rPr>
        <w:t xml:space="preserve">23 BC) hosted the ‘so-called “Olympian Games”, a nine day festival in honour of Zeus and the Muses held at Aegae or Dium’ (Green, </w:t>
      </w:r>
      <w:r>
        <w:rPr>
          <w:color w:val="231F20"/>
          <w:w w:val="95"/>
        </w:rPr>
        <w:t>1992: 163). His intentions were to dispel rumours of Macedonian financial ruin with splendid banquets hosted in enormous marqu</w:t>
      </w:r>
      <w:r>
        <w:rPr>
          <w:color w:val="231F20"/>
          <w:w w:val="95"/>
        </w:rPr>
        <w:t xml:space="preserve">ees set against the </w:t>
      </w:r>
      <w:r>
        <w:rPr>
          <w:color w:val="231F20"/>
        </w:rPr>
        <w:t>backdrop of Mount Olympus, and to impress and win the favour of his senior officers and Greek city state ambassadors on the eve of his great Persian campaign. But, above all, Alexander sought through hosting the ‘Olympian Games’ to impr</w:t>
      </w:r>
      <w:r>
        <w:rPr>
          <w:color w:val="231F20"/>
        </w:rPr>
        <w:t>ess upon all onlookers his (self)image as a golden</w:t>
      </w:r>
      <w:r>
        <w:rPr>
          <w:color w:val="231F20"/>
          <w:spacing w:val="-9"/>
        </w:rPr>
        <w:t xml:space="preserve"> </w:t>
      </w:r>
      <w:r>
        <w:rPr>
          <w:color w:val="231F20"/>
        </w:rPr>
        <w:t>demigod</w:t>
      </w:r>
      <w:r>
        <w:rPr>
          <w:color w:val="231F20"/>
          <w:spacing w:val="-9"/>
        </w:rPr>
        <w:t xml:space="preserve"> </w:t>
      </w:r>
      <w:r>
        <w:rPr>
          <w:color w:val="231F20"/>
        </w:rPr>
        <w:t>of</w:t>
      </w:r>
      <w:r>
        <w:rPr>
          <w:color w:val="231F20"/>
          <w:spacing w:val="-9"/>
        </w:rPr>
        <w:t xml:space="preserve"> </w:t>
      </w:r>
      <w:r>
        <w:rPr>
          <w:color w:val="231F20"/>
        </w:rPr>
        <w:t>Hellenism,</w:t>
      </w:r>
      <w:r>
        <w:rPr>
          <w:color w:val="231F20"/>
          <w:spacing w:val="-9"/>
        </w:rPr>
        <w:t xml:space="preserve"> </w:t>
      </w:r>
      <w:r>
        <w:rPr>
          <w:color w:val="231F20"/>
        </w:rPr>
        <w:t>beyond</w:t>
      </w:r>
      <w:r>
        <w:rPr>
          <w:color w:val="231F20"/>
          <w:spacing w:val="-9"/>
        </w:rPr>
        <w:t xml:space="preserve"> </w:t>
      </w:r>
      <w:r>
        <w:rPr>
          <w:color w:val="231F20"/>
        </w:rPr>
        <w:t>mortal</w:t>
      </w:r>
      <w:r>
        <w:rPr>
          <w:color w:val="231F20"/>
          <w:spacing w:val="-9"/>
        </w:rPr>
        <w:t xml:space="preserve"> </w:t>
      </w:r>
      <w:r>
        <w:rPr>
          <w:color w:val="231F20"/>
        </w:rPr>
        <w:t>scale.</w:t>
      </w:r>
      <w:r>
        <w:rPr>
          <w:color w:val="231F20"/>
          <w:spacing w:val="-9"/>
        </w:rPr>
        <w:t xml:space="preserve"> </w:t>
      </w:r>
      <w:r>
        <w:rPr>
          <w:color w:val="231F20"/>
        </w:rPr>
        <w:t>Clearly,</w:t>
      </w:r>
      <w:r>
        <w:rPr>
          <w:color w:val="231F20"/>
          <w:spacing w:val="-9"/>
        </w:rPr>
        <w:t xml:space="preserve"> </w:t>
      </w:r>
      <w:r>
        <w:rPr>
          <w:color w:val="231F20"/>
        </w:rPr>
        <w:t>hosting</w:t>
      </w:r>
      <w:r>
        <w:rPr>
          <w:color w:val="231F20"/>
          <w:spacing w:val="-9"/>
        </w:rPr>
        <w:t xml:space="preserve"> </w:t>
      </w:r>
      <w:r>
        <w:rPr>
          <w:color w:val="231F20"/>
        </w:rPr>
        <w:t xml:space="preserve">sport </w:t>
      </w:r>
      <w:r>
        <w:rPr>
          <w:color w:val="231F20"/>
          <w:w w:val="95"/>
        </w:rPr>
        <w:t>competitions, as well as royalty, politicians, ambassadors and dignitaries,</w:t>
      </w:r>
      <w:r>
        <w:rPr>
          <w:color w:val="231F20"/>
          <w:spacing w:val="40"/>
        </w:rPr>
        <w:t xml:space="preserve"> </w:t>
      </w:r>
      <w:r>
        <w:rPr>
          <w:color w:val="231F20"/>
        </w:rPr>
        <w:t>all seeking some form of association with sports events, is his</w:t>
      </w:r>
      <w:r>
        <w:rPr>
          <w:color w:val="231F20"/>
        </w:rPr>
        <w:t>torically longstanding (Green, 1992; Keller, 2001).</w:t>
      </w:r>
    </w:p>
    <w:p w14:paraId="0E8A3264" w14:textId="77777777" w:rsidR="00AE0598" w:rsidRDefault="0069255A">
      <w:pPr>
        <w:pStyle w:val="Corpodetexto"/>
        <w:spacing w:before="15" w:line="232" w:lineRule="auto"/>
        <w:ind w:left="110" w:right="105" w:firstLine="320"/>
        <w:jc w:val="both"/>
      </w:pPr>
      <w:r>
        <w:rPr>
          <w:color w:val="231F20"/>
          <w:w w:val="90"/>
        </w:rPr>
        <w:t xml:space="preserve">Sports, particularly large-scale sporting events dating back to the ancient </w:t>
      </w:r>
      <w:r>
        <w:rPr>
          <w:color w:val="231F20"/>
        </w:rPr>
        <w:t xml:space="preserve">Olympian Games, have long influenced travel (Keller, 2001). However, </w:t>
      </w:r>
      <w:r>
        <w:rPr>
          <w:color w:val="231F20"/>
          <w:w w:val="95"/>
        </w:rPr>
        <w:t>few definitions of sport adequately express its diverse and</w:t>
      </w:r>
      <w:r>
        <w:rPr>
          <w:color w:val="231F20"/>
          <w:w w:val="95"/>
        </w:rPr>
        <w:t xml:space="preserve"> dynamic nature and</w:t>
      </w:r>
      <w:r>
        <w:rPr>
          <w:color w:val="231F20"/>
          <w:spacing w:val="35"/>
        </w:rPr>
        <w:t xml:space="preserve"> </w:t>
      </w:r>
      <w:r>
        <w:rPr>
          <w:color w:val="231F20"/>
          <w:w w:val="95"/>
        </w:rPr>
        <w:t>its</w:t>
      </w:r>
      <w:r>
        <w:rPr>
          <w:color w:val="231F20"/>
          <w:spacing w:val="36"/>
        </w:rPr>
        <w:t xml:space="preserve"> </w:t>
      </w:r>
      <w:r>
        <w:rPr>
          <w:color w:val="231F20"/>
          <w:w w:val="95"/>
        </w:rPr>
        <w:t>changing</w:t>
      </w:r>
      <w:r>
        <w:rPr>
          <w:color w:val="231F20"/>
          <w:spacing w:val="36"/>
        </w:rPr>
        <w:t xml:space="preserve"> </w:t>
      </w:r>
      <w:r>
        <w:rPr>
          <w:color w:val="231F20"/>
          <w:w w:val="95"/>
        </w:rPr>
        <w:t>functions</w:t>
      </w:r>
      <w:r>
        <w:rPr>
          <w:color w:val="231F20"/>
          <w:spacing w:val="36"/>
        </w:rPr>
        <w:t xml:space="preserve"> </w:t>
      </w:r>
      <w:r>
        <w:rPr>
          <w:color w:val="231F20"/>
          <w:w w:val="95"/>
        </w:rPr>
        <w:t>in</w:t>
      </w:r>
      <w:r>
        <w:rPr>
          <w:color w:val="231F20"/>
          <w:spacing w:val="36"/>
        </w:rPr>
        <w:t xml:space="preserve"> </w:t>
      </w:r>
      <w:r>
        <w:rPr>
          <w:color w:val="231F20"/>
          <w:w w:val="95"/>
        </w:rPr>
        <w:t>different</w:t>
      </w:r>
      <w:r>
        <w:rPr>
          <w:color w:val="231F20"/>
          <w:spacing w:val="36"/>
        </w:rPr>
        <w:t xml:space="preserve"> </w:t>
      </w:r>
      <w:r>
        <w:rPr>
          <w:color w:val="231F20"/>
          <w:w w:val="95"/>
        </w:rPr>
        <w:t>societies</w:t>
      </w:r>
      <w:r>
        <w:rPr>
          <w:color w:val="231F20"/>
          <w:spacing w:val="36"/>
        </w:rPr>
        <w:t xml:space="preserve"> </w:t>
      </w:r>
      <w:r>
        <w:rPr>
          <w:color w:val="231F20"/>
          <w:w w:val="95"/>
        </w:rPr>
        <w:t>over</w:t>
      </w:r>
      <w:r>
        <w:rPr>
          <w:color w:val="231F20"/>
          <w:spacing w:val="36"/>
        </w:rPr>
        <w:t xml:space="preserve"> </w:t>
      </w:r>
      <w:r>
        <w:rPr>
          <w:color w:val="231F20"/>
          <w:w w:val="95"/>
        </w:rPr>
        <w:t>time.</w:t>
      </w:r>
      <w:r>
        <w:rPr>
          <w:color w:val="231F20"/>
          <w:spacing w:val="36"/>
        </w:rPr>
        <w:t xml:space="preserve"> </w:t>
      </w:r>
      <w:r>
        <w:rPr>
          <w:color w:val="231F20"/>
          <w:w w:val="95"/>
        </w:rPr>
        <w:t>While</w:t>
      </w:r>
      <w:r>
        <w:rPr>
          <w:color w:val="231F20"/>
          <w:spacing w:val="36"/>
        </w:rPr>
        <w:t xml:space="preserve"> </w:t>
      </w:r>
      <w:r>
        <w:rPr>
          <w:color w:val="231F20"/>
          <w:spacing w:val="-2"/>
          <w:w w:val="95"/>
        </w:rPr>
        <w:t>sports</w:t>
      </w:r>
    </w:p>
    <w:p w14:paraId="66BBD29C" w14:textId="77777777" w:rsidR="00AE0598" w:rsidRDefault="00AE0598">
      <w:pPr>
        <w:pStyle w:val="Corpodetexto"/>
        <w:rPr>
          <w:sz w:val="20"/>
        </w:rPr>
      </w:pPr>
    </w:p>
    <w:p w14:paraId="4E8B91EC" w14:textId="77777777" w:rsidR="00AE0598" w:rsidRDefault="00AE0598">
      <w:pPr>
        <w:pStyle w:val="Corpodetexto"/>
        <w:spacing w:before="9"/>
        <w:rPr>
          <w:sz w:val="17"/>
        </w:rPr>
      </w:pPr>
    </w:p>
    <w:p w14:paraId="5B69F01C" w14:textId="77777777" w:rsidR="00AE0598" w:rsidRDefault="0069255A">
      <w:pPr>
        <w:spacing w:before="100"/>
        <w:ind w:right="5"/>
        <w:jc w:val="center"/>
        <w:rPr>
          <w:rFonts w:ascii="Trebuchet MS"/>
          <w:sz w:val="16"/>
        </w:rPr>
      </w:pPr>
      <w:r>
        <w:rPr>
          <w:rFonts w:ascii="Trebuchet MS"/>
          <w:color w:val="231F20"/>
          <w:w w:val="106"/>
          <w:sz w:val="16"/>
        </w:rPr>
        <w:t>3</w:t>
      </w:r>
    </w:p>
    <w:p w14:paraId="0A2D5929" w14:textId="77777777" w:rsidR="00AE0598" w:rsidRDefault="00AE0598">
      <w:pPr>
        <w:jc w:val="center"/>
        <w:rPr>
          <w:rFonts w:ascii="Trebuchet MS"/>
          <w:sz w:val="16"/>
        </w:rPr>
        <w:sectPr w:rsidR="00AE0598">
          <w:pgSz w:w="8850" w:h="13270"/>
          <w:pgMar w:top="1020" w:right="1080" w:bottom="280" w:left="1080" w:header="720" w:footer="720" w:gutter="0"/>
          <w:cols w:space="720"/>
        </w:sectPr>
      </w:pPr>
    </w:p>
    <w:p w14:paraId="08C23E75" w14:textId="77777777" w:rsidR="00AE0598" w:rsidRDefault="0069255A">
      <w:pPr>
        <w:spacing w:before="87"/>
        <w:ind w:left="108"/>
        <w:rPr>
          <w:rFonts w:ascii="Trebuchet MS"/>
          <w:sz w:val="14"/>
        </w:rPr>
      </w:pPr>
      <w:r>
        <w:rPr>
          <w:rFonts w:ascii="Trebuchet MS"/>
          <w:color w:val="231F20"/>
          <w:w w:val="105"/>
          <w:sz w:val="14"/>
        </w:rPr>
        <w:lastRenderedPageBreak/>
        <w:t>4</w:t>
      </w:r>
      <w:r>
        <w:rPr>
          <w:rFonts w:ascii="Trebuchet MS"/>
          <w:color w:val="231F20"/>
          <w:spacing w:val="78"/>
          <w:w w:val="105"/>
          <w:sz w:val="14"/>
        </w:rPr>
        <w:t xml:space="preserve"> </w:t>
      </w:r>
      <w:r>
        <w:rPr>
          <w:rFonts w:ascii="Trebuchet MS"/>
          <w:color w:val="231F20"/>
          <w:w w:val="105"/>
          <w:sz w:val="14"/>
        </w:rPr>
        <w:t>Part</w:t>
      </w:r>
      <w:r>
        <w:rPr>
          <w:rFonts w:ascii="Trebuchet MS"/>
          <w:color w:val="231F20"/>
          <w:spacing w:val="-10"/>
          <w:w w:val="105"/>
          <w:sz w:val="14"/>
        </w:rPr>
        <w:t xml:space="preserve"> </w:t>
      </w:r>
      <w:r>
        <w:rPr>
          <w:rFonts w:ascii="Trebuchet MS"/>
          <w:color w:val="231F20"/>
          <w:w w:val="105"/>
          <w:sz w:val="14"/>
        </w:rPr>
        <w:t>1:</w:t>
      </w:r>
      <w:r>
        <w:rPr>
          <w:rFonts w:ascii="Trebuchet MS"/>
          <w:color w:val="231F20"/>
          <w:spacing w:val="-11"/>
          <w:w w:val="105"/>
          <w:sz w:val="14"/>
        </w:rPr>
        <w:t xml:space="preserve"> </w:t>
      </w:r>
      <w:r>
        <w:rPr>
          <w:rFonts w:ascii="Trebuchet MS"/>
          <w:color w:val="231F20"/>
          <w:spacing w:val="-2"/>
          <w:w w:val="105"/>
          <w:sz w:val="14"/>
        </w:rPr>
        <w:t>Introduction</w:t>
      </w:r>
    </w:p>
    <w:p w14:paraId="1EE2C9B3" w14:textId="77777777" w:rsidR="00AE0598" w:rsidRDefault="00AE0598">
      <w:pPr>
        <w:pStyle w:val="Corpodetexto"/>
        <w:rPr>
          <w:rFonts w:ascii="Trebuchet MS"/>
          <w:sz w:val="16"/>
        </w:rPr>
      </w:pPr>
    </w:p>
    <w:p w14:paraId="7D609E88" w14:textId="77777777" w:rsidR="00AE0598" w:rsidRDefault="0069255A">
      <w:pPr>
        <w:pStyle w:val="Corpodetexto"/>
        <w:spacing w:before="118" w:line="232" w:lineRule="auto"/>
        <w:ind w:left="110" w:right="106"/>
        <w:jc w:val="both"/>
      </w:pPr>
      <w:r>
        <w:rPr>
          <w:color w:val="231F20"/>
        </w:rPr>
        <w:t>are as old as civilisation (Coakley, 2017), and the defining qualities of sports</w:t>
      </w:r>
      <w:r>
        <w:rPr>
          <w:color w:val="231F20"/>
          <w:spacing w:val="-7"/>
        </w:rPr>
        <w:t xml:space="preserve"> </w:t>
      </w:r>
      <w:r>
        <w:rPr>
          <w:color w:val="231F20"/>
        </w:rPr>
        <w:t>are</w:t>
      </w:r>
      <w:r>
        <w:rPr>
          <w:color w:val="231F20"/>
          <w:spacing w:val="-7"/>
        </w:rPr>
        <w:t xml:space="preserve"> </w:t>
      </w:r>
      <w:r>
        <w:rPr>
          <w:color w:val="231F20"/>
        </w:rPr>
        <w:t>well</w:t>
      </w:r>
      <w:r>
        <w:rPr>
          <w:color w:val="231F20"/>
          <w:spacing w:val="-7"/>
        </w:rPr>
        <w:t xml:space="preserve"> </w:t>
      </w:r>
      <w:r>
        <w:rPr>
          <w:color w:val="231F20"/>
        </w:rPr>
        <w:t>established,</w:t>
      </w:r>
      <w:r>
        <w:rPr>
          <w:color w:val="231F20"/>
          <w:spacing w:val="-7"/>
        </w:rPr>
        <w:t xml:space="preserve"> </w:t>
      </w:r>
      <w:r>
        <w:rPr>
          <w:color w:val="231F20"/>
        </w:rPr>
        <w:t>few</w:t>
      </w:r>
      <w:r>
        <w:rPr>
          <w:color w:val="231F20"/>
          <w:spacing w:val="-7"/>
        </w:rPr>
        <w:t xml:space="preserve"> </w:t>
      </w:r>
      <w:r>
        <w:rPr>
          <w:color w:val="231F20"/>
        </w:rPr>
        <w:t>definitions</w:t>
      </w:r>
      <w:r>
        <w:rPr>
          <w:color w:val="231F20"/>
          <w:spacing w:val="-7"/>
        </w:rPr>
        <w:t xml:space="preserve"> </w:t>
      </w:r>
      <w:r>
        <w:rPr>
          <w:color w:val="231F20"/>
        </w:rPr>
        <w:t>of</w:t>
      </w:r>
      <w:r>
        <w:rPr>
          <w:color w:val="231F20"/>
          <w:spacing w:val="-7"/>
        </w:rPr>
        <w:t xml:space="preserve"> </w:t>
      </w:r>
      <w:r>
        <w:rPr>
          <w:color w:val="231F20"/>
        </w:rPr>
        <w:t>sport</w:t>
      </w:r>
      <w:r>
        <w:rPr>
          <w:color w:val="231F20"/>
          <w:spacing w:val="-7"/>
        </w:rPr>
        <w:t xml:space="preserve"> </w:t>
      </w:r>
      <w:r>
        <w:rPr>
          <w:color w:val="231F20"/>
        </w:rPr>
        <w:t>capture</w:t>
      </w:r>
      <w:r>
        <w:rPr>
          <w:color w:val="231F20"/>
          <w:spacing w:val="-7"/>
        </w:rPr>
        <w:t xml:space="preserve"> </w:t>
      </w:r>
      <w:r>
        <w:rPr>
          <w:color w:val="231F20"/>
        </w:rPr>
        <w:t>the</w:t>
      </w:r>
      <w:r>
        <w:rPr>
          <w:color w:val="231F20"/>
          <w:spacing w:val="-7"/>
        </w:rPr>
        <w:t xml:space="preserve"> </w:t>
      </w:r>
      <w:r>
        <w:rPr>
          <w:color w:val="231F20"/>
        </w:rPr>
        <w:t xml:space="preserve">changing place of sports in societies. As Andrews (2006: 1) observes, ‘although </w:t>
      </w:r>
      <w:r>
        <w:rPr>
          <w:color w:val="231F20"/>
          <w:w w:val="95"/>
        </w:rPr>
        <w:t>physically-based competitive activities are a feature of virtually all human civilisations, the popular myth of sport as a fixed and immutable category</w:t>
      </w:r>
      <w:r>
        <w:rPr>
          <w:color w:val="231F20"/>
          <w:spacing w:val="80"/>
          <w:w w:val="150"/>
        </w:rPr>
        <w:t xml:space="preserve"> </w:t>
      </w:r>
      <w:r>
        <w:rPr>
          <w:color w:val="231F20"/>
        </w:rPr>
        <w:t>is little more than a pe</w:t>
      </w:r>
      <w:r>
        <w:rPr>
          <w:color w:val="231F20"/>
        </w:rPr>
        <w:t>rvasive, if compelling, fiction’. Instead, Andrews (2006) recommends interpretive approaches to understanding sports, whereby</w:t>
      </w:r>
      <w:r>
        <w:rPr>
          <w:color w:val="231F20"/>
          <w:spacing w:val="-5"/>
        </w:rPr>
        <w:t xml:space="preserve"> </w:t>
      </w:r>
      <w:r>
        <w:rPr>
          <w:color w:val="231F20"/>
        </w:rPr>
        <w:t>the</w:t>
      </w:r>
      <w:r>
        <w:rPr>
          <w:color w:val="231F20"/>
          <w:spacing w:val="-5"/>
        </w:rPr>
        <w:t xml:space="preserve"> </w:t>
      </w:r>
      <w:r>
        <w:rPr>
          <w:color w:val="231F20"/>
        </w:rPr>
        <w:t>study</w:t>
      </w:r>
      <w:r>
        <w:rPr>
          <w:color w:val="231F20"/>
          <w:spacing w:val="-5"/>
        </w:rPr>
        <w:t xml:space="preserve"> </w:t>
      </w:r>
      <w:r>
        <w:rPr>
          <w:color w:val="231F20"/>
        </w:rPr>
        <w:t>of</w:t>
      </w:r>
      <w:r>
        <w:rPr>
          <w:color w:val="231F20"/>
          <w:spacing w:val="-5"/>
        </w:rPr>
        <w:t xml:space="preserve"> </w:t>
      </w:r>
      <w:r>
        <w:rPr>
          <w:color w:val="231F20"/>
        </w:rPr>
        <w:t>sport</w:t>
      </w:r>
      <w:r>
        <w:rPr>
          <w:color w:val="231F20"/>
          <w:spacing w:val="-5"/>
        </w:rPr>
        <w:t xml:space="preserve"> </w:t>
      </w:r>
      <w:r>
        <w:rPr>
          <w:color w:val="231F20"/>
        </w:rPr>
        <w:t>and</w:t>
      </w:r>
      <w:r>
        <w:rPr>
          <w:color w:val="231F20"/>
          <w:spacing w:val="-5"/>
        </w:rPr>
        <w:t xml:space="preserve"> </w:t>
      </w:r>
      <w:r>
        <w:rPr>
          <w:color w:val="231F20"/>
        </w:rPr>
        <w:t>sport</w:t>
      </w:r>
      <w:r>
        <w:rPr>
          <w:color w:val="231F20"/>
          <w:spacing w:val="-5"/>
        </w:rPr>
        <w:t xml:space="preserve"> </w:t>
      </w:r>
      <w:r>
        <w:rPr>
          <w:color w:val="231F20"/>
        </w:rPr>
        <w:t>experiences</w:t>
      </w:r>
      <w:r>
        <w:rPr>
          <w:color w:val="231F20"/>
          <w:spacing w:val="-5"/>
        </w:rPr>
        <w:t xml:space="preserve"> </w:t>
      </w:r>
      <w:r>
        <w:rPr>
          <w:color w:val="231F20"/>
        </w:rPr>
        <w:t>are</w:t>
      </w:r>
      <w:r>
        <w:rPr>
          <w:color w:val="231F20"/>
          <w:spacing w:val="-5"/>
        </w:rPr>
        <w:t xml:space="preserve"> </w:t>
      </w:r>
      <w:r>
        <w:rPr>
          <w:color w:val="231F20"/>
        </w:rPr>
        <w:t>firmly</w:t>
      </w:r>
      <w:r>
        <w:rPr>
          <w:color w:val="231F20"/>
          <w:spacing w:val="-5"/>
        </w:rPr>
        <w:t xml:space="preserve"> </w:t>
      </w:r>
      <w:r>
        <w:rPr>
          <w:color w:val="231F20"/>
        </w:rPr>
        <w:t>anchored</w:t>
      </w:r>
      <w:r>
        <w:rPr>
          <w:color w:val="231F20"/>
          <w:spacing w:val="-5"/>
        </w:rPr>
        <w:t xml:space="preserve"> </w:t>
      </w:r>
      <w:r>
        <w:rPr>
          <w:color w:val="231F20"/>
        </w:rPr>
        <w:t xml:space="preserve">in </w:t>
      </w:r>
      <w:r>
        <w:rPr>
          <w:color w:val="231F20"/>
          <w:w w:val="95"/>
        </w:rPr>
        <w:t xml:space="preserve">an understanding of socio-historical context. Sports, then, are a </w:t>
      </w:r>
      <w:r>
        <w:rPr>
          <w:color w:val="231F20"/>
          <w:w w:val="95"/>
        </w:rPr>
        <w:t>reflection</w:t>
      </w:r>
      <w:r>
        <w:rPr>
          <w:color w:val="231F20"/>
          <w:spacing w:val="80"/>
        </w:rPr>
        <w:t xml:space="preserve"> </w:t>
      </w:r>
      <w:r>
        <w:rPr>
          <w:color w:val="231F20"/>
        </w:rPr>
        <w:t>of</w:t>
      </w:r>
      <w:r>
        <w:rPr>
          <w:color w:val="231F20"/>
          <w:spacing w:val="-3"/>
        </w:rPr>
        <w:t xml:space="preserve"> </w:t>
      </w:r>
      <w:r>
        <w:rPr>
          <w:color w:val="231F20"/>
        </w:rPr>
        <w:t>their</w:t>
      </w:r>
      <w:r>
        <w:rPr>
          <w:color w:val="231F20"/>
          <w:spacing w:val="-3"/>
        </w:rPr>
        <w:t xml:space="preserve"> </w:t>
      </w:r>
      <w:r>
        <w:rPr>
          <w:color w:val="231F20"/>
        </w:rPr>
        <w:t>historical</w:t>
      </w:r>
      <w:r>
        <w:rPr>
          <w:color w:val="231F20"/>
          <w:spacing w:val="-3"/>
        </w:rPr>
        <w:t xml:space="preserve"> </w:t>
      </w:r>
      <w:r>
        <w:rPr>
          <w:color w:val="231F20"/>
        </w:rPr>
        <w:t>and</w:t>
      </w:r>
      <w:r>
        <w:rPr>
          <w:color w:val="231F20"/>
          <w:spacing w:val="-3"/>
        </w:rPr>
        <w:t xml:space="preserve"> </w:t>
      </w:r>
      <w:r>
        <w:rPr>
          <w:color w:val="231F20"/>
        </w:rPr>
        <w:t>social</w:t>
      </w:r>
      <w:r>
        <w:rPr>
          <w:color w:val="231F20"/>
          <w:spacing w:val="-3"/>
        </w:rPr>
        <w:t xml:space="preserve"> </w:t>
      </w:r>
      <w:r>
        <w:rPr>
          <w:color w:val="231F20"/>
        </w:rPr>
        <w:t>circumstances.</w:t>
      </w:r>
      <w:r>
        <w:rPr>
          <w:color w:val="231F20"/>
          <w:spacing w:val="-3"/>
        </w:rPr>
        <w:t xml:space="preserve"> </w:t>
      </w:r>
      <w:r>
        <w:rPr>
          <w:color w:val="231F20"/>
        </w:rPr>
        <w:t>This</w:t>
      </w:r>
      <w:r>
        <w:rPr>
          <w:color w:val="231F20"/>
          <w:spacing w:val="-3"/>
        </w:rPr>
        <w:t xml:space="preserve"> </w:t>
      </w:r>
      <w:r>
        <w:rPr>
          <w:color w:val="231F20"/>
        </w:rPr>
        <w:t>point</w:t>
      </w:r>
      <w:r>
        <w:rPr>
          <w:color w:val="231F20"/>
          <w:spacing w:val="-3"/>
        </w:rPr>
        <w:t xml:space="preserve"> </w:t>
      </w:r>
      <w:r>
        <w:rPr>
          <w:color w:val="231F20"/>
        </w:rPr>
        <w:t>is</w:t>
      </w:r>
      <w:r>
        <w:rPr>
          <w:color w:val="231F20"/>
          <w:spacing w:val="-3"/>
        </w:rPr>
        <w:t xml:space="preserve"> </w:t>
      </w:r>
      <w:r>
        <w:rPr>
          <w:color w:val="231F20"/>
        </w:rPr>
        <w:t>rooted</w:t>
      </w:r>
      <w:r>
        <w:rPr>
          <w:color w:val="231F20"/>
          <w:spacing w:val="-3"/>
        </w:rPr>
        <w:t xml:space="preserve"> </w:t>
      </w:r>
      <w:r>
        <w:rPr>
          <w:color w:val="231F20"/>
        </w:rPr>
        <w:t>in</w:t>
      </w:r>
      <w:r>
        <w:rPr>
          <w:color w:val="231F20"/>
          <w:spacing w:val="-3"/>
        </w:rPr>
        <w:t xml:space="preserve"> </w:t>
      </w:r>
      <w:r>
        <w:rPr>
          <w:color w:val="231F20"/>
        </w:rPr>
        <w:t xml:space="preserve">Bale’s </w:t>
      </w:r>
      <w:r>
        <w:rPr>
          <w:color w:val="231F20"/>
          <w:w w:val="95"/>
        </w:rPr>
        <w:t xml:space="preserve">(1989) simple but useful notion that sport is defined by what features on a </w:t>
      </w:r>
      <w:r>
        <w:rPr>
          <w:color w:val="231F20"/>
        </w:rPr>
        <w:t>day-to-day</w:t>
      </w:r>
      <w:r>
        <w:rPr>
          <w:color w:val="231F20"/>
          <w:spacing w:val="-10"/>
        </w:rPr>
        <w:t xml:space="preserve"> </w:t>
      </w:r>
      <w:r>
        <w:rPr>
          <w:color w:val="231F20"/>
        </w:rPr>
        <w:t>basis</w:t>
      </w:r>
      <w:r>
        <w:rPr>
          <w:color w:val="231F20"/>
          <w:spacing w:val="-10"/>
        </w:rPr>
        <w:t xml:space="preserve"> </w:t>
      </w:r>
      <w:r>
        <w:rPr>
          <w:color w:val="231F20"/>
        </w:rPr>
        <w:t>in</w:t>
      </w:r>
      <w:r>
        <w:rPr>
          <w:color w:val="231F20"/>
          <w:spacing w:val="-10"/>
        </w:rPr>
        <w:t xml:space="preserve"> </w:t>
      </w:r>
      <w:r>
        <w:rPr>
          <w:color w:val="231F20"/>
        </w:rPr>
        <w:t>the</w:t>
      </w:r>
      <w:r>
        <w:rPr>
          <w:color w:val="231F20"/>
          <w:spacing w:val="-10"/>
        </w:rPr>
        <w:t xml:space="preserve"> </w:t>
      </w:r>
      <w:r>
        <w:rPr>
          <w:color w:val="231F20"/>
        </w:rPr>
        <w:t>sports</w:t>
      </w:r>
      <w:r>
        <w:rPr>
          <w:color w:val="231F20"/>
          <w:spacing w:val="-10"/>
        </w:rPr>
        <w:t xml:space="preserve"> </w:t>
      </w:r>
      <w:r>
        <w:rPr>
          <w:color w:val="231F20"/>
        </w:rPr>
        <w:t>section</w:t>
      </w:r>
      <w:r>
        <w:rPr>
          <w:color w:val="231F20"/>
          <w:spacing w:val="-10"/>
        </w:rPr>
        <w:t xml:space="preserve"> </w:t>
      </w:r>
      <w:r>
        <w:rPr>
          <w:color w:val="231F20"/>
        </w:rPr>
        <w:t>of</w:t>
      </w:r>
      <w:r>
        <w:rPr>
          <w:color w:val="231F20"/>
          <w:spacing w:val="-10"/>
        </w:rPr>
        <w:t xml:space="preserve"> </w:t>
      </w:r>
      <w:r>
        <w:rPr>
          <w:color w:val="231F20"/>
        </w:rPr>
        <w:t>local</w:t>
      </w:r>
      <w:r>
        <w:rPr>
          <w:color w:val="231F20"/>
          <w:spacing w:val="-10"/>
        </w:rPr>
        <w:t xml:space="preserve"> </w:t>
      </w:r>
      <w:r>
        <w:rPr>
          <w:color w:val="231F20"/>
        </w:rPr>
        <w:t>newspapers.</w:t>
      </w:r>
      <w:r>
        <w:rPr>
          <w:color w:val="231F20"/>
          <w:spacing w:val="-10"/>
        </w:rPr>
        <w:t xml:space="preserve"> </w:t>
      </w:r>
      <w:r>
        <w:rPr>
          <w:color w:val="231F20"/>
        </w:rPr>
        <w:t>The</w:t>
      </w:r>
      <w:r>
        <w:rPr>
          <w:color w:val="231F20"/>
          <w:spacing w:val="-10"/>
        </w:rPr>
        <w:t xml:space="preserve"> </w:t>
      </w:r>
      <w:r>
        <w:rPr>
          <w:color w:val="231F20"/>
        </w:rPr>
        <w:t>content</w:t>
      </w:r>
      <w:r>
        <w:rPr>
          <w:color w:val="231F20"/>
          <w:spacing w:val="-10"/>
        </w:rPr>
        <w:t xml:space="preserve"> </w:t>
      </w:r>
      <w:r>
        <w:rPr>
          <w:color w:val="231F20"/>
        </w:rPr>
        <w:t xml:space="preserve">of </w:t>
      </w:r>
      <w:r>
        <w:rPr>
          <w:color w:val="231F20"/>
          <w:w w:val="95"/>
        </w:rPr>
        <w:t>any daily newspaper will be a reflection of its historical and social context.</w:t>
      </w:r>
      <w:r>
        <w:rPr>
          <w:color w:val="231F20"/>
          <w:spacing w:val="40"/>
        </w:rPr>
        <w:t xml:space="preserve"> </w:t>
      </w:r>
      <w:r>
        <w:rPr>
          <w:color w:val="231F20"/>
        </w:rPr>
        <w:t>If</w:t>
      </w:r>
      <w:r>
        <w:rPr>
          <w:color w:val="231F20"/>
          <w:spacing w:val="-6"/>
        </w:rPr>
        <w:t xml:space="preserve"> </w:t>
      </w:r>
      <w:r>
        <w:rPr>
          <w:color w:val="231F20"/>
        </w:rPr>
        <w:t>nothing</w:t>
      </w:r>
      <w:r>
        <w:rPr>
          <w:color w:val="231F20"/>
          <w:spacing w:val="-6"/>
        </w:rPr>
        <w:t xml:space="preserve"> </w:t>
      </w:r>
      <w:r>
        <w:rPr>
          <w:color w:val="231F20"/>
        </w:rPr>
        <w:t>else,</w:t>
      </w:r>
      <w:r>
        <w:rPr>
          <w:color w:val="231F20"/>
          <w:spacing w:val="-6"/>
        </w:rPr>
        <w:t xml:space="preserve"> </w:t>
      </w:r>
      <w:r>
        <w:rPr>
          <w:color w:val="231F20"/>
        </w:rPr>
        <w:t>scrutiny</w:t>
      </w:r>
      <w:r>
        <w:rPr>
          <w:color w:val="231F20"/>
          <w:spacing w:val="-6"/>
        </w:rPr>
        <w:t xml:space="preserve"> </w:t>
      </w:r>
      <w:r>
        <w:rPr>
          <w:color w:val="231F20"/>
        </w:rPr>
        <w:t>of</w:t>
      </w:r>
      <w:r>
        <w:rPr>
          <w:color w:val="231F20"/>
          <w:spacing w:val="-6"/>
        </w:rPr>
        <w:t xml:space="preserve"> </w:t>
      </w:r>
      <w:r>
        <w:rPr>
          <w:color w:val="231F20"/>
        </w:rPr>
        <w:t>the</w:t>
      </w:r>
      <w:r>
        <w:rPr>
          <w:color w:val="231F20"/>
          <w:spacing w:val="-6"/>
        </w:rPr>
        <w:t xml:space="preserve"> </w:t>
      </w:r>
      <w:r>
        <w:rPr>
          <w:color w:val="231F20"/>
        </w:rPr>
        <w:t>sports</w:t>
      </w:r>
      <w:r>
        <w:rPr>
          <w:color w:val="231F20"/>
          <w:spacing w:val="-6"/>
        </w:rPr>
        <w:t xml:space="preserve"> </w:t>
      </w:r>
      <w:r>
        <w:rPr>
          <w:color w:val="231F20"/>
        </w:rPr>
        <w:t>pages</w:t>
      </w:r>
      <w:r>
        <w:rPr>
          <w:color w:val="231F20"/>
          <w:spacing w:val="-6"/>
        </w:rPr>
        <w:t xml:space="preserve"> </w:t>
      </w:r>
      <w:r>
        <w:rPr>
          <w:color w:val="231F20"/>
        </w:rPr>
        <w:t>of</w:t>
      </w:r>
      <w:r>
        <w:rPr>
          <w:color w:val="231F20"/>
          <w:spacing w:val="-6"/>
        </w:rPr>
        <w:t xml:space="preserve"> </w:t>
      </w:r>
      <w:r>
        <w:rPr>
          <w:color w:val="231F20"/>
        </w:rPr>
        <w:t>local</w:t>
      </w:r>
      <w:r>
        <w:rPr>
          <w:color w:val="231F20"/>
          <w:spacing w:val="-6"/>
        </w:rPr>
        <w:t xml:space="preserve"> </w:t>
      </w:r>
      <w:r>
        <w:rPr>
          <w:color w:val="231F20"/>
        </w:rPr>
        <w:t>newspapers</w:t>
      </w:r>
      <w:r>
        <w:rPr>
          <w:color w:val="231F20"/>
          <w:spacing w:val="-6"/>
        </w:rPr>
        <w:t xml:space="preserve"> </w:t>
      </w:r>
      <w:r>
        <w:rPr>
          <w:color w:val="231F20"/>
        </w:rPr>
        <w:t>confirms the vast diversity of sports relative to their situation in place and time (Higham &amp; Hinch, 2009), alt</w:t>
      </w:r>
      <w:r>
        <w:rPr>
          <w:color w:val="231F20"/>
        </w:rPr>
        <w:t xml:space="preserve">hough the function of newspapers as a local </w:t>
      </w:r>
      <w:r>
        <w:rPr>
          <w:color w:val="231F20"/>
          <w:w w:val="95"/>
        </w:rPr>
        <w:t xml:space="preserve">voice has been diluted by the growth of online newsfeeds, blogs and social </w:t>
      </w:r>
      <w:r>
        <w:rPr>
          <w:color w:val="231F20"/>
        </w:rPr>
        <w:t>media that are far less spatially defined.</w:t>
      </w:r>
    </w:p>
    <w:p w14:paraId="7EAEC4AF" w14:textId="77777777" w:rsidR="00AE0598" w:rsidRDefault="0069255A">
      <w:pPr>
        <w:pStyle w:val="Corpodetexto"/>
        <w:spacing w:before="22" w:line="232" w:lineRule="auto"/>
        <w:ind w:left="110" w:right="105" w:firstLine="320"/>
        <w:jc w:val="both"/>
      </w:pPr>
      <w:r>
        <w:rPr>
          <w:color w:val="231F20"/>
        </w:rPr>
        <w:t>Alexander’s use of the ‘Olympian Games’ as a display of personal godliness has, since 1896, th</w:t>
      </w:r>
      <w:r>
        <w:rPr>
          <w:color w:val="231F20"/>
        </w:rPr>
        <w:t>rown up many political and commercial parallels in the modern Olympic Games. It is also clear that the scale, complexity and potential of sport tourism, as well as the expanding mutual</w:t>
      </w:r>
      <w:r>
        <w:rPr>
          <w:color w:val="231F20"/>
          <w:spacing w:val="-7"/>
        </w:rPr>
        <w:t xml:space="preserve"> </w:t>
      </w:r>
      <w:r>
        <w:rPr>
          <w:color w:val="231F20"/>
        </w:rPr>
        <w:t>interests</w:t>
      </w:r>
      <w:r>
        <w:rPr>
          <w:color w:val="231F20"/>
          <w:spacing w:val="-7"/>
        </w:rPr>
        <w:t xml:space="preserve"> </w:t>
      </w:r>
      <w:r>
        <w:rPr>
          <w:color w:val="231F20"/>
        </w:rPr>
        <w:t>of</w:t>
      </w:r>
      <w:r>
        <w:rPr>
          <w:color w:val="231F20"/>
          <w:spacing w:val="-7"/>
        </w:rPr>
        <w:t xml:space="preserve"> </w:t>
      </w:r>
      <w:r>
        <w:rPr>
          <w:color w:val="231F20"/>
        </w:rPr>
        <w:t>the</w:t>
      </w:r>
      <w:r>
        <w:rPr>
          <w:color w:val="231F20"/>
          <w:spacing w:val="-7"/>
        </w:rPr>
        <w:t xml:space="preserve"> </w:t>
      </w:r>
      <w:r>
        <w:rPr>
          <w:color w:val="231F20"/>
        </w:rPr>
        <w:t>sport</w:t>
      </w:r>
      <w:r>
        <w:rPr>
          <w:color w:val="231F20"/>
          <w:spacing w:val="-7"/>
        </w:rPr>
        <w:t xml:space="preserve"> </w:t>
      </w:r>
      <w:r>
        <w:rPr>
          <w:color w:val="231F20"/>
        </w:rPr>
        <w:t>and</w:t>
      </w:r>
      <w:r>
        <w:rPr>
          <w:color w:val="231F20"/>
          <w:spacing w:val="-7"/>
        </w:rPr>
        <w:t xml:space="preserve"> </w:t>
      </w:r>
      <w:r>
        <w:rPr>
          <w:color w:val="231F20"/>
        </w:rPr>
        <w:t>tourism</w:t>
      </w:r>
      <w:r>
        <w:rPr>
          <w:color w:val="231F20"/>
          <w:spacing w:val="-7"/>
        </w:rPr>
        <w:t xml:space="preserve"> </w:t>
      </w:r>
      <w:r>
        <w:rPr>
          <w:color w:val="231F20"/>
        </w:rPr>
        <w:t>industries</w:t>
      </w:r>
      <w:r>
        <w:rPr>
          <w:color w:val="231F20"/>
          <w:spacing w:val="-7"/>
        </w:rPr>
        <w:t xml:space="preserve"> </w:t>
      </w:r>
      <w:r>
        <w:rPr>
          <w:color w:val="231F20"/>
        </w:rPr>
        <w:t>that</w:t>
      </w:r>
      <w:r>
        <w:rPr>
          <w:color w:val="231F20"/>
          <w:spacing w:val="-7"/>
        </w:rPr>
        <w:t xml:space="preserve"> </w:t>
      </w:r>
      <w:r>
        <w:rPr>
          <w:color w:val="231F20"/>
        </w:rPr>
        <w:t>have</w:t>
      </w:r>
      <w:r>
        <w:rPr>
          <w:color w:val="231F20"/>
          <w:spacing w:val="-7"/>
        </w:rPr>
        <w:t xml:space="preserve"> </w:t>
      </w:r>
      <w:r>
        <w:rPr>
          <w:color w:val="231F20"/>
        </w:rPr>
        <w:t xml:space="preserve">developed as a </w:t>
      </w:r>
      <w:r>
        <w:rPr>
          <w:color w:val="231F20"/>
        </w:rPr>
        <w:t xml:space="preserve">consequence, demand critical academic attention (UNWTO, 2017). This book is about sport tourism and its manifestations in space and time. It articulates the defining qualities of sport that explain its unique </w:t>
      </w:r>
      <w:r>
        <w:rPr>
          <w:color w:val="231F20"/>
          <w:w w:val="95"/>
        </w:rPr>
        <w:t>contribution to tourism. It then applies touris</w:t>
      </w:r>
      <w:r>
        <w:rPr>
          <w:color w:val="231F20"/>
          <w:w w:val="95"/>
        </w:rPr>
        <w:t xml:space="preserve">m development concepts and </w:t>
      </w:r>
      <w:r>
        <w:rPr>
          <w:color w:val="231F20"/>
        </w:rPr>
        <w:t xml:space="preserve">themes to the study of sport tourism. Three key questions structure our </w:t>
      </w:r>
      <w:r>
        <w:rPr>
          <w:color w:val="231F20"/>
          <w:w w:val="95"/>
        </w:rPr>
        <w:t xml:space="preserve">discussions of sport tourism development in this book: ‘What makes sport </w:t>
      </w:r>
      <w:r>
        <w:rPr>
          <w:color w:val="231F20"/>
        </w:rPr>
        <w:t>unique</w:t>
      </w:r>
      <w:r>
        <w:rPr>
          <w:color w:val="231F20"/>
          <w:spacing w:val="-10"/>
        </w:rPr>
        <w:t xml:space="preserve"> </w:t>
      </w:r>
      <w:r>
        <w:rPr>
          <w:color w:val="231F20"/>
        </w:rPr>
        <w:t>as</w:t>
      </w:r>
      <w:r>
        <w:rPr>
          <w:color w:val="231F20"/>
          <w:spacing w:val="-10"/>
        </w:rPr>
        <w:t xml:space="preserve"> </w:t>
      </w:r>
      <w:r>
        <w:rPr>
          <w:color w:val="231F20"/>
        </w:rPr>
        <w:t>a</w:t>
      </w:r>
      <w:r>
        <w:rPr>
          <w:color w:val="231F20"/>
          <w:spacing w:val="-10"/>
        </w:rPr>
        <w:t xml:space="preserve"> </w:t>
      </w:r>
      <w:r>
        <w:rPr>
          <w:color w:val="231F20"/>
        </w:rPr>
        <w:t>tourist</w:t>
      </w:r>
      <w:r>
        <w:rPr>
          <w:color w:val="231F20"/>
          <w:spacing w:val="-10"/>
        </w:rPr>
        <w:t xml:space="preserve"> </w:t>
      </w:r>
      <w:r>
        <w:rPr>
          <w:color w:val="231F20"/>
        </w:rPr>
        <w:t>attraction</w:t>
      </w:r>
      <w:r>
        <w:rPr>
          <w:color w:val="231F20"/>
          <w:spacing w:val="-10"/>
        </w:rPr>
        <w:t xml:space="preserve"> </w:t>
      </w:r>
      <w:r>
        <w:rPr>
          <w:color w:val="231F20"/>
        </w:rPr>
        <w:t>or</w:t>
      </w:r>
      <w:r>
        <w:rPr>
          <w:color w:val="231F20"/>
          <w:spacing w:val="-10"/>
        </w:rPr>
        <w:t xml:space="preserve"> </w:t>
      </w:r>
      <w:r>
        <w:rPr>
          <w:color w:val="231F20"/>
        </w:rPr>
        <w:t>activity?’,</w:t>
      </w:r>
      <w:r>
        <w:rPr>
          <w:color w:val="231F20"/>
          <w:spacing w:val="-10"/>
        </w:rPr>
        <w:t xml:space="preserve"> </w:t>
      </w:r>
      <w:r>
        <w:rPr>
          <w:color w:val="231F20"/>
        </w:rPr>
        <w:t>‘How</w:t>
      </w:r>
      <w:r>
        <w:rPr>
          <w:color w:val="231F20"/>
          <w:spacing w:val="-10"/>
        </w:rPr>
        <w:t xml:space="preserve"> </w:t>
      </w:r>
      <w:r>
        <w:rPr>
          <w:color w:val="231F20"/>
        </w:rPr>
        <w:t>is</w:t>
      </w:r>
      <w:r>
        <w:rPr>
          <w:color w:val="231F20"/>
          <w:spacing w:val="-10"/>
        </w:rPr>
        <w:t xml:space="preserve"> </w:t>
      </w:r>
      <w:r>
        <w:rPr>
          <w:color w:val="231F20"/>
        </w:rPr>
        <w:t>sport</w:t>
      </w:r>
      <w:r>
        <w:rPr>
          <w:color w:val="231F20"/>
          <w:spacing w:val="-10"/>
        </w:rPr>
        <w:t xml:space="preserve"> </w:t>
      </w:r>
      <w:r>
        <w:rPr>
          <w:color w:val="231F20"/>
        </w:rPr>
        <w:t>tourism</w:t>
      </w:r>
      <w:r>
        <w:rPr>
          <w:color w:val="231F20"/>
          <w:spacing w:val="-10"/>
        </w:rPr>
        <w:t xml:space="preserve"> </w:t>
      </w:r>
      <w:r>
        <w:rPr>
          <w:color w:val="231F20"/>
        </w:rPr>
        <w:t>manifest in spac</w:t>
      </w:r>
      <w:r>
        <w:rPr>
          <w:color w:val="231F20"/>
        </w:rPr>
        <w:t>e?’ and ‘How do these manifestations change over time?’</w:t>
      </w:r>
    </w:p>
    <w:p w14:paraId="11BC6264" w14:textId="77777777" w:rsidR="00AE0598" w:rsidRDefault="0069255A">
      <w:pPr>
        <w:pStyle w:val="Corpodetexto"/>
        <w:spacing w:before="15" w:line="232" w:lineRule="auto"/>
        <w:ind w:left="110" w:right="107" w:firstLine="320"/>
        <w:jc w:val="both"/>
      </w:pPr>
      <w:r>
        <w:rPr>
          <w:color w:val="231F20"/>
        </w:rPr>
        <w:t xml:space="preserve">The chapters that comprise this book are organised into five parts. </w:t>
      </w:r>
      <w:r>
        <w:rPr>
          <w:color w:val="231F20"/>
          <w:w w:val="95"/>
        </w:rPr>
        <w:t xml:space="preserve">This chapter (Part 1: Introduction) introduces the purpose and structure of </w:t>
      </w:r>
      <w:r>
        <w:rPr>
          <w:color w:val="231F20"/>
        </w:rPr>
        <w:t>the</w:t>
      </w:r>
      <w:r>
        <w:rPr>
          <w:color w:val="231F20"/>
          <w:spacing w:val="-5"/>
        </w:rPr>
        <w:t xml:space="preserve"> </w:t>
      </w:r>
      <w:r>
        <w:rPr>
          <w:color w:val="231F20"/>
        </w:rPr>
        <w:t>book.</w:t>
      </w:r>
      <w:r>
        <w:rPr>
          <w:color w:val="231F20"/>
          <w:spacing w:val="-5"/>
        </w:rPr>
        <w:t xml:space="preserve"> </w:t>
      </w:r>
      <w:r>
        <w:rPr>
          <w:color w:val="231F20"/>
        </w:rPr>
        <w:t>It</w:t>
      </w:r>
      <w:r>
        <w:rPr>
          <w:color w:val="231F20"/>
          <w:spacing w:val="-5"/>
        </w:rPr>
        <w:t xml:space="preserve"> </w:t>
      </w:r>
      <w:r>
        <w:rPr>
          <w:color w:val="231F20"/>
        </w:rPr>
        <w:t>describes</w:t>
      </w:r>
      <w:r>
        <w:rPr>
          <w:color w:val="231F20"/>
          <w:spacing w:val="-5"/>
        </w:rPr>
        <w:t xml:space="preserve"> </w:t>
      </w:r>
      <w:r>
        <w:rPr>
          <w:color w:val="231F20"/>
        </w:rPr>
        <w:t>the</w:t>
      </w:r>
      <w:r>
        <w:rPr>
          <w:color w:val="231F20"/>
          <w:spacing w:val="-5"/>
        </w:rPr>
        <w:t xml:space="preserve"> </w:t>
      </w:r>
      <w:r>
        <w:rPr>
          <w:color w:val="231F20"/>
        </w:rPr>
        <w:t>development</w:t>
      </w:r>
      <w:r>
        <w:rPr>
          <w:color w:val="231F20"/>
          <w:spacing w:val="-5"/>
        </w:rPr>
        <w:t xml:space="preserve"> </w:t>
      </w:r>
      <w:r>
        <w:rPr>
          <w:color w:val="231F20"/>
        </w:rPr>
        <w:t>and</w:t>
      </w:r>
      <w:r>
        <w:rPr>
          <w:color w:val="231F20"/>
          <w:spacing w:val="-5"/>
        </w:rPr>
        <w:t xml:space="preserve"> </w:t>
      </w:r>
      <w:r>
        <w:rPr>
          <w:color w:val="231F20"/>
        </w:rPr>
        <w:t>growth</w:t>
      </w:r>
      <w:r>
        <w:rPr>
          <w:color w:val="231F20"/>
          <w:spacing w:val="-5"/>
        </w:rPr>
        <w:t xml:space="preserve"> </w:t>
      </w:r>
      <w:r>
        <w:rPr>
          <w:color w:val="231F20"/>
        </w:rPr>
        <w:t>of sport</w:t>
      </w:r>
      <w:r>
        <w:rPr>
          <w:color w:val="231F20"/>
          <w:spacing w:val="-5"/>
        </w:rPr>
        <w:t xml:space="preserve"> </w:t>
      </w:r>
      <w:r>
        <w:rPr>
          <w:color w:val="231F20"/>
        </w:rPr>
        <w:t>tourism,</w:t>
      </w:r>
      <w:r>
        <w:rPr>
          <w:color w:val="231F20"/>
          <w:spacing w:val="-5"/>
        </w:rPr>
        <w:t xml:space="preserve"> </w:t>
      </w:r>
      <w:r>
        <w:rPr>
          <w:color w:val="231F20"/>
        </w:rPr>
        <w:t>and then</w:t>
      </w:r>
      <w:r>
        <w:rPr>
          <w:color w:val="231F20"/>
          <w:spacing w:val="-12"/>
        </w:rPr>
        <w:t xml:space="preserve"> </w:t>
      </w:r>
      <w:r>
        <w:rPr>
          <w:color w:val="231F20"/>
        </w:rPr>
        <w:t>raises</w:t>
      </w:r>
      <w:r>
        <w:rPr>
          <w:color w:val="231F20"/>
          <w:spacing w:val="-12"/>
        </w:rPr>
        <w:t xml:space="preserve"> </w:t>
      </w:r>
      <w:r>
        <w:rPr>
          <w:color w:val="231F20"/>
        </w:rPr>
        <w:t>questions</w:t>
      </w:r>
      <w:r>
        <w:rPr>
          <w:color w:val="231F20"/>
          <w:spacing w:val="-11"/>
        </w:rPr>
        <w:t xml:space="preserve"> </w:t>
      </w:r>
      <w:r>
        <w:rPr>
          <w:color w:val="231F20"/>
        </w:rPr>
        <w:t>that</w:t>
      </w:r>
      <w:r>
        <w:rPr>
          <w:color w:val="231F20"/>
          <w:spacing w:val="-12"/>
        </w:rPr>
        <w:t xml:space="preserve"> </w:t>
      </w:r>
      <w:r>
        <w:rPr>
          <w:color w:val="231F20"/>
        </w:rPr>
        <w:t>are</w:t>
      </w:r>
      <w:r>
        <w:rPr>
          <w:color w:val="231F20"/>
          <w:spacing w:val="-11"/>
        </w:rPr>
        <w:t xml:space="preserve"> </w:t>
      </w:r>
      <w:r>
        <w:rPr>
          <w:color w:val="231F20"/>
        </w:rPr>
        <w:t>intended</w:t>
      </w:r>
      <w:r>
        <w:rPr>
          <w:color w:val="231F20"/>
          <w:spacing w:val="-12"/>
        </w:rPr>
        <w:t xml:space="preserve"> </w:t>
      </w:r>
      <w:r>
        <w:rPr>
          <w:color w:val="231F20"/>
        </w:rPr>
        <w:t>to</w:t>
      </w:r>
      <w:r>
        <w:rPr>
          <w:color w:val="231F20"/>
          <w:spacing w:val="-11"/>
        </w:rPr>
        <w:t xml:space="preserve"> </w:t>
      </w:r>
      <w:r>
        <w:rPr>
          <w:color w:val="231F20"/>
        </w:rPr>
        <w:t>demonstrate</w:t>
      </w:r>
      <w:r>
        <w:rPr>
          <w:color w:val="231F20"/>
          <w:spacing w:val="-12"/>
        </w:rPr>
        <w:t xml:space="preserve"> </w:t>
      </w:r>
      <w:r>
        <w:rPr>
          <w:color w:val="231F20"/>
        </w:rPr>
        <w:t>the</w:t>
      </w:r>
      <w:r>
        <w:rPr>
          <w:color w:val="231F20"/>
          <w:spacing w:val="-12"/>
        </w:rPr>
        <w:t xml:space="preserve"> </w:t>
      </w:r>
      <w:r>
        <w:rPr>
          <w:color w:val="231F20"/>
        </w:rPr>
        <w:t>relevance</w:t>
      </w:r>
      <w:r>
        <w:rPr>
          <w:color w:val="231F20"/>
          <w:spacing w:val="-11"/>
        </w:rPr>
        <w:t xml:space="preserve"> </w:t>
      </w:r>
      <w:r>
        <w:rPr>
          <w:color w:val="231F20"/>
        </w:rPr>
        <w:t xml:space="preserve">and </w:t>
      </w:r>
      <w:r>
        <w:rPr>
          <w:color w:val="231F20"/>
          <w:w w:val="95"/>
        </w:rPr>
        <w:t xml:space="preserve">challenge the assumptions that the reader may have on this subject. Part 2: Foundations of Sport Tourism Development comprises Chapters 2–4. This </w:t>
      </w:r>
      <w:r>
        <w:rPr>
          <w:color w:val="231F20"/>
        </w:rPr>
        <w:t>section</w:t>
      </w:r>
      <w:r>
        <w:rPr>
          <w:color w:val="231F20"/>
          <w:spacing w:val="-4"/>
        </w:rPr>
        <w:t xml:space="preserve"> </w:t>
      </w:r>
      <w:r>
        <w:rPr>
          <w:color w:val="231F20"/>
        </w:rPr>
        <w:t>is</w:t>
      </w:r>
      <w:r>
        <w:rPr>
          <w:color w:val="231F20"/>
          <w:spacing w:val="-4"/>
        </w:rPr>
        <w:t xml:space="preserve"> </w:t>
      </w:r>
      <w:r>
        <w:rPr>
          <w:color w:val="231F20"/>
        </w:rPr>
        <w:t>inte</w:t>
      </w:r>
      <w:r>
        <w:rPr>
          <w:color w:val="231F20"/>
        </w:rPr>
        <w:t>nded</w:t>
      </w:r>
      <w:r>
        <w:rPr>
          <w:color w:val="231F20"/>
          <w:spacing w:val="-4"/>
        </w:rPr>
        <w:t xml:space="preserve"> </w:t>
      </w:r>
      <w:r>
        <w:rPr>
          <w:color w:val="231F20"/>
        </w:rPr>
        <w:t>to</w:t>
      </w:r>
      <w:r>
        <w:rPr>
          <w:color w:val="231F20"/>
          <w:spacing w:val="-4"/>
        </w:rPr>
        <w:t xml:space="preserve"> </w:t>
      </w:r>
      <w:r>
        <w:rPr>
          <w:color w:val="231F20"/>
        </w:rPr>
        <w:t>provide</w:t>
      </w:r>
      <w:r>
        <w:rPr>
          <w:color w:val="231F20"/>
          <w:spacing w:val="-4"/>
        </w:rPr>
        <w:t xml:space="preserve"> </w:t>
      </w:r>
      <w:r>
        <w:rPr>
          <w:color w:val="231F20"/>
        </w:rPr>
        <w:t>the</w:t>
      </w:r>
      <w:r>
        <w:rPr>
          <w:color w:val="231F20"/>
          <w:spacing w:val="-4"/>
        </w:rPr>
        <w:t xml:space="preserve"> </w:t>
      </w:r>
      <w:r>
        <w:rPr>
          <w:color w:val="231F20"/>
        </w:rPr>
        <w:t>reader</w:t>
      </w:r>
      <w:r>
        <w:rPr>
          <w:color w:val="231F20"/>
          <w:spacing w:val="-4"/>
        </w:rPr>
        <w:t xml:space="preserve"> </w:t>
      </w:r>
      <w:r>
        <w:rPr>
          <w:color w:val="231F20"/>
        </w:rPr>
        <w:t>with</w:t>
      </w:r>
      <w:r>
        <w:rPr>
          <w:color w:val="231F20"/>
          <w:spacing w:val="-4"/>
        </w:rPr>
        <w:t xml:space="preserve"> </w:t>
      </w:r>
      <w:r>
        <w:rPr>
          <w:color w:val="231F20"/>
        </w:rPr>
        <w:t>fundamentals</w:t>
      </w:r>
      <w:r>
        <w:rPr>
          <w:color w:val="231F20"/>
          <w:spacing w:val="-4"/>
        </w:rPr>
        <w:t xml:space="preserve"> </w:t>
      </w:r>
      <w:r>
        <w:rPr>
          <w:color w:val="231F20"/>
        </w:rPr>
        <w:t>in</w:t>
      </w:r>
      <w:r>
        <w:rPr>
          <w:color w:val="231F20"/>
          <w:spacing w:val="-4"/>
        </w:rPr>
        <w:t xml:space="preserve"> </w:t>
      </w:r>
      <w:r>
        <w:rPr>
          <w:color w:val="231F20"/>
        </w:rPr>
        <w:t>the</w:t>
      </w:r>
      <w:r>
        <w:rPr>
          <w:color w:val="231F20"/>
          <w:spacing w:val="-4"/>
        </w:rPr>
        <w:t xml:space="preserve"> </w:t>
      </w:r>
      <w:r>
        <w:rPr>
          <w:color w:val="231F20"/>
        </w:rPr>
        <w:t>study of sport</w:t>
      </w:r>
      <w:r>
        <w:rPr>
          <w:color w:val="231F20"/>
          <w:spacing w:val="-6"/>
        </w:rPr>
        <w:t xml:space="preserve"> </w:t>
      </w:r>
      <w:r>
        <w:rPr>
          <w:color w:val="231F20"/>
        </w:rPr>
        <w:t>tourism,</w:t>
      </w:r>
      <w:r>
        <w:rPr>
          <w:color w:val="231F20"/>
          <w:spacing w:val="-6"/>
        </w:rPr>
        <w:t xml:space="preserve"> </w:t>
      </w:r>
      <w:r>
        <w:rPr>
          <w:color w:val="231F20"/>
        </w:rPr>
        <w:t>sport</w:t>
      </w:r>
      <w:r>
        <w:rPr>
          <w:color w:val="231F20"/>
          <w:spacing w:val="-6"/>
        </w:rPr>
        <w:t xml:space="preserve"> </w:t>
      </w:r>
      <w:r>
        <w:rPr>
          <w:color w:val="231F20"/>
        </w:rPr>
        <w:t>tourism</w:t>
      </w:r>
      <w:r>
        <w:rPr>
          <w:color w:val="231F20"/>
          <w:spacing w:val="-6"/>
        </w:rPr>
        <w:t xml:space="preserve"> </w:t>
      </w:r>
      <w:r>
        <w:rPr>
          <w:color w:val="231F20"/>
        </w:rPr>
        <w:t>markets</w:t>
      </w:r>
      <w:r>
        <w:rPr>
          <w:color w:val="231F20"/>
          <w:spacing w:val="-6"/>
        </w:rPr>
        <w:t xml:space="preserve"> </w:t>
      </w:r>
      <w:r>
        <w:rPr>
          <w:color w:val="231F20"/>
        </w:rPr>
        <w:t>and</w:t>
      </w:r>
      <w:r>
        <w:rPr>
          <w:color w:val="231F20"/>
          <w:spacing w:val="-6"/>
        </w:rPr>
        <w:t xml:space="preserve"> </w:t>
      </w:r>
      <w:r>
        <w:rPr>
          <w:color w:val="231F20"/>
        </w:rPr>
        <w:t>development</w:t>
      </w:r>
      <w:r>
        <w:rPr>
          <w:color w:val="231F20"/>
          <w:spacing w:val="-6"/>
        </w:rPr>
        <w:t xml:space="preserve"> </w:t>
      </w:r>
      <w:r>
        <w:rPr>
          <w:color w:val="231F20"/>
        </w:rPr>
        <w:t>processes</w:t>
      </w:r>
      <w:r>
        <w:rPr>
          <w:color w:val="231F20"/>
          <w:spacing w:val="-6"/>
        </w:rPr>
        <w:t xml:space="preserve"> </w:t>
      </w:r>
      <w:r>
        <w:rPr>
          <w:color w:val="231F20"/>
        </w:rPr>
        <w:t xml:space="preserve">and </w:t>
      </w:r>
      <w:r>
        <w:rPr>
          <w:color w:val="231F20"/>
          <w:w w:val="95"/>
        </w:rPr>
        <w:t xml:space="preserve">issues relating to sport tourism. Much progress has been made in the study </w:t>
      </w:r>
      <w:r>
        <w:rPr>
          <w:color w:val="231F20"/>
        </w:rPr>
        <w:t>of sport and tourism in recent years (e.g. Fyall &amp; Jago, 2009; Gammon, 2015;</w:t>
      </w:r>
      <w:r>
        <w:rPr>
          <w:color w:val="231F20"/>
          <w:spacing w:val="-5"/>
        </w:rPr>
        <w:t xml:space="preserve"> </w:t>
      </w:r>
      <w:r>
        <w:rPr>
          <w:color w:val="231F20"/>
        </w:rPr>
        <w:t>Gammon</w:t>
      </w:r>
      <w:r>
        <w:rPr>
          <w:color w:val="231F20"/>
          <w:spacing w:val="-3"/>
        </w:rPr>
        <w:t xml:space="preserve"> </w:t>
      </w:r>
      <w:r>
        <w:rPr>
          <w:i/>
          <w:color w:val="231F20"/>
        </w:rPr>
        <w:t>et</w:t>
      </w:r>
      <w:r>
        <w:rPr>
          <w:i/>
          <w:color w:val="231F20"/>
          <w:spacing w:val="-4"/>
        </w:rPr>
        <w:t xml:space="preserve"> </w:t>
      </w:r>
      <w:r>
        <w:rPr>
          <w:i/>
          <w:color w:val="231F20"/>
        </w:rPr>
        <w:t>al</w:t>
      </w:r>
      <w:r>
        <w:rPr>
          <w:color w:val="231F20"/>
        </w:rPr>
        <w:t>.,</w:t>
      </w:r>
      <w:r>
        <w:rPr>
          <w:color w:val="231F20"/>
          <w:spacing w:val="-4"/>
        </w:rPr>
        <w:t xml:space="preserve"> </w:t>
      </w:r>
      <w:r>
        <w:rPr>
          <w:color w:val="231F20"/>
        </w:rPr>
        <w:t>2013;</w:t>
      </w:r>
      <w:r>
        <w:rPr>
          <w:color w:val="231F20"/>
          <w:spacing w:val="-4"/>
        </w:rPr>
        <w:t xml:space="preserve"> </w:t>
      </w:r>
      <w:r>
        <w:rPr>
          <w:color w:val="231F20"/>
        </w:rPr>
        <w:t>Gibson,</w:t>
      </w:r>
      <w:r>
        <w:rPr>
          <w:color w:val="231F20"/>
          <w:spacing w:val="-4"/>
        </w:rPr>
        <w:t xml:space="preserve"> </w:t>
      </w:r>
      <w:r>
        <w:rPr>
          <w:color w:val="231F20"/>
        </w:rPr>
        <w:t>2005;</w:t>
      </w:r>
      <w:r>
        <w:rPr>
          <w:color w:val="231F20"/>
          <w:spacing w:val="-4"/>
        </w:rPr>
        <w:t xml:space="preserve"> </w:t>
      </w:r>
      <w:r>
        <w:rPr>
          <w:color w:val="231F20"/>
        </w:rPr>
        <w:t>Hallmann</w:t>
      </w:r>
      <w:r>
        <w:rPr>
          <w:color w:val="231F20"/>
          <w:spacing w:val="-4"/>
        </w:rPr>
        <w:t xml:space="preserve"> </w:t>
      </w:r>
      <w:r>
        <w:rPr>
          <w:i/>
          <w:color w:val="231F20"/>
        </w:rPr>
        <w:t>et</w:t>
      </w:r>
      <w:r>
        <w:rPr>
          <w:i/>
          <w:color w:val="231F20"/>
          <w:spacing w:val="-4"/>
        </w:rPr>
        <w:t xml:space="preserve"> </w:t>
      </w:r>
      <w:r>
        <w:rPr>
          <w:i/>
          <w:color w:val="231F20"/>
        </w:rPr>
        <w:t>al</w:t>
      </w:r>
      <w:r>
        <w:rPr>
          <w:color w:val="231F20"/>
        </w:rPr>
        <w:t>.,</w:t>
      </w:r>
      <w:r>
        <w:rPr>
          <w:color w:val="231F20"/>
          <w:spacing w:val="-4"/>
        </w:rPr>
        <w:t xml:space="preserve"> </w:t>
      </w:r>
      <w:r>
        <w:rPr>
          <w:color w:val="231F20"/>
        </w:rPr>
        <w:t>2015;</w:t>
      </w:r>
      <w:r>
        <w:rPr>
          <w:color w:val="231F20"/>
          <w:spacing w:val="-4"/>
        </w:rPr>
        <w:t xml:space="preserve"> </w:t>
      </w:r>
      <w:r>
        <w:rPr>
          <w:color w:val="231F20"/>
          <w:spacing w:val="-2"/>
        </w:rPr>
        <w:t>Higham</w:t>
      </w:r>
    </w:p>
    <w:p w14:paraId="031750B4" w14:textId="77777777" w:rsidR="00AE0598" w:rsidRDefault="0069255A">
      <w:pPr>
        <w:pStyle w:val="Corpodetexto"/>
        <w:spacing w:before="13" w:line="232" w:lineRule="auto"/>
        <w:ind w:left="110" w:right="108"/>
        <w:jc w:val="both"/>
      </w:pPr>
      <w:r>
        <w:rPr>
          <w:color w:val="231F20"/>
        </w:rPr>
        <w:t>&amp;</w:t>
      </w:r>
      <w:r>
        <w:rPr>
          <w:color w:val="231F20"/>
          <w:spacing w:val="-12"/>
        </w:rPr>
        <w:t xml:space="preserve"> </w:t>
      </w:r>
      <w:r>
        <w:rPr>
          <w:color w:val="231F20"/>
        </w:rPr>
        <w:t>Hinch,</w:t>
      </w:r>
      <w:r>
        <w:rPr>
          <w:color w:val="231F20"/>
          <w:spacing w:val="-12"/>
        </w:rPr>
        <w:t xml:space="preserve"> </w:t>
      </w:r>
      <w:r>
        <w:rPr>
          <w:color w:val="231F20"/>
        </w:rPr>
        <w:t>2009;</w:t>
      </w:r>
      <w:r>
        <w:rPr>
          <w:color w:val="231F20"/>
          <w:spacing w:val="-11"/>
        </w:rPr>
        <w:t xml:space="preserve"> </w:t>
      </w:r>
      <w:r>
        <w:rPr>
          <w:color w:val="231F20"/>
        </w:rPr>
        <w:t>Lamont,</w:t>
      </w:r>
      <w:r>
        <w:rPr>
          <w:color w:val="231F20"/>
          <w:spacing w:val="-12"/>
        </w:rPr>
        <w:t xml:space="preserve"> </w:t>
      </w:r>
      <w:r>
        <w:rPr>
          <w:color w:val="231F20"/>
        </w:rPr>
        <w:t>2014;</w:t>
      </w:r>
      <w:r>
        <w:rPr>
          <w:color w:val="231F20"/>
          <w:spacing w:val="-11"/>
        </w:rPr>
        <w:t xml:space="preserve"> </w:t>
      </w:r>
      <w:r>
        <w:rPr>
          <w:color w:val="231F20"/>
        </w:rPr>
        <w:t>Preuss,</w:t>
      </w:r>
      <w:r>
        <w:rPr>
          <w:color w:val="231F20"/>
          <w:spacing w:val="-12"/>
        </w:rPr>
        <w:t xml:space="preserve"> </w:t>
      </w:r>
      <w:r>
        <w:rPr>
          <w:color w:val="231F20"/>
        </w:rPr>
        <w:t>2015;</w:t>
      </w:r>
      <w:r>
        <w:rPr>
          <w:color w:val="231F20"/>
          <w:spacing w:val="-11"/>
        </w:rPr>
        <w:t xml:space="preserve"> </w:t>
      </w:r>
      <w:r>
        <w:rPr>
          <w:color w:val="231F20"/>
        </w:rPr>
        <w:t>Taks,</w:t>
      </w:r>
      <w:r>
        <w:rPr>
          <w:color w:val="231F20"/>
          <w:spacing w:val="-12"/>
        </w:rPr>
        <w:t xml:space="preserve"> </w:t>
      </w:r>
      <w:r>
        <w:rPr>
          <w:color w:val="231F20"/>
        </w:rPr>
        <w:t>2013;</w:t>
      </w:r>
      <w:r>
        <w:rPr>
          <w:color w:val="231F20"/>
          <w:spacing w:val="-12"/>
        </w:rPr>
        <w:t xml:space="preserve"> </w:t>
      </w:r>
      <w:r>
        <w:rPr>
          <w:color w:val="231F20"/>
        </w:rPr>
        <w:t>Taks</w:t>
      </w:r>
      <w:r>
        <w:rPr>
          <w:color w:val="231F20"/>
          <w:spacing w:val="-11"/>
        </w:rPr>
        <w:t xml:space="preserve"> </w:t>
      </w:r>
      <w:r>
        <w:rPr>
          <w:i/>
          <w:color w:val="231F20"/>
        </w:rPr>
        <w:t>et</w:t>
      </w:r>
      <w:r>
        <w:rPr>
          <w:i/>
          <w:color w:val="231F20"/>
          <w:spacing w:val="-12"/>
        </w:rPr>
        <w:t xml:space="preserve"> </w:t>
      </w:r>
      <w:r>
        <w:rPr>
          <w:i/>
          <w:color w:val="231F20"/>
        </w:rPr>
        <w:t>al</w:t>
      </w:r>
      <w:r>
        <w:rPr>
          <w:color w:val="231F20"/>
        </w:rPr>
        <w:t>.,</w:t>
      </w:r>
      <w:r>
        <w:rPr>
          <w:color w:val="231F20"/>
          <w:spacing w:val="-11"/>
        </w:rPr>
        <w:t xml:space="preserve"> </w:t>
      </w:r>
      <w:r>
        <w:rPr>
          <w:color w:val="231F20"/>
        </w:rPr>
        <w:t xml:space="preserve">2015; </w:t>
      </w:r>
      <w:r>
        <w:rPr>
          <w:color w:val="231F20"/>
          <w:w w:val="95"/>
        </w:rPr>
        <w:t>Weed,</w:t>
      </w:r>
      <w:r>
        <w:rPr>
          <w:color w:val="231F20"/>
          <w:spacing w:val="-7"/>
          <w:w w:val="95"/>
        </w:rPr>
        <w:t xml:space="preserve"> </w:t>
      </w:r>
      <w:r>
        <w:rPr>
          <w:color w:val="231F20"/>
          <w:w w:val="95"/>
        </w:rPr>
        <w:t>2007;</w:t>
      </w:r>
      <w:r>
        <w:rPr>
          <w:color w:val="231F20"/>
          <w:spacing w:val="-7"/>
          <w:w w:val="95"/>
        </w:rPr>
        <w:t xml:space="preserve"> </w:t>
      </w:r>
      <w:r>
        <w:rPr>
          <w:color w:val="231F20"/>
          <w:w w:val="95"/>
        </w:rPr>
        <w:t>Weed</w:t>
      </w:r>
      <w:r>
        <w:rPr>
          <w:color w:val="231F20"/>
          <w:spacing w:val="-6"/>
          <w:w w:val="95"/>
        </w:rPr>
        <w:t xml:space="preserve"> </w:t>
      </w:r>
      <w:r>
        <w:rPr>
          <w:color w:val="231F20"/>
          <w:w w:val="95"/>
        </w:rPr>
        <w:t>&amp;</w:t>
      </w:r>
      <w:r>
        <w:rPr>
          <w:color w:val="231F20"/>
          <w:spacing w:val="-7"/>
          <w:w w:val="95"/>
        </w:rPr>
        <w:t xml:space="preserve"> </w:t>
      </w:r>
      <w:r>
        <w:rPr>
          <w:color w:val="231F20"/>
          <w:w w:val="95"/>
        </w:rPr>
        <w:t>Bull,</w:t>
      </w:r>
      <w:r>
        <w:rPr>
          <w:color w:val="231F20"/>
          <w:spacing w:val="-6"/>
          <w:w w:val="95"/>
        </w:rPr>
        <w:t xml:space="preserve"> </w:t>
      </w:r>
      <w:r>
        <w:rPr>
          <w:color w:val="231F20"/>
          <w:w w:val="95"/>
        </w:rPr>
        <w:t>2012;</w:t>
      </w:r>
      <w:r>
        <w:rPr>
          <w:color w:val="231F20"/>
          <w:spacing w:val="-7"/>
          <w:w w:val="95"/>
        </w:rPr>
        <w:t xml:space="preserve"> </w:t>
      </w:r>
      <w:r>
        <w:rPr>
          <w:color w:val="231F20"/>
          <w:w w:val="95"/>
        </w:rPr>
        <w:t>Weed</w:t>
      </w:r>
      <w:r>
        <w:rPr>
          <w:color w:val="231F20"/>
          <w:spacing w:val="-7"/>
          <w:w w:val="95"/>
        </w:rPr>
        <w:t xml:space="preserve"> </w:t>
      </w:r>
      <w:r>
        <w:rPr>
          <w:i/>
          <w:color w:val="231F20"/>
          <w:w w:val="95"/>
        </w:rPr>
        <w:t>et</w:t>
      </w:r>
      <w:r>
        <w:rPr>
          <w:i/>
          <w:color w:val="231F20"/>
          <w:spacing w:val="-6"/>
          <w:w w:val="95"/>
        </w:rPr>
        <w:t xml:space="preserve"> </w:t>
      </w:r>
      <w:r>
        <w:rPr>
          <w:i/>
          <w:color w:val="231F20"/>
          <w:w w:val="95"/>
        </w:rPr>
        <w:t>al</w:t>
      </w:r>
      <w:r>
        <w:rPr>
          <w:color w:val="231F20"/>
          <w:w w:val="95"/>
        </w:rPr>
        <w:t>.,</w:t>
      </w:r>
      <w:r>
        <w:rPr>
          <w:color w:val="231F20"/>
          <w:spacing w:val="-7"/>
          <w:w w:val="95"/>
        </w:rPr>
        <w:t xml:space="preserve"> </w:t>
      </w:r>
      <w:r>
        <w:rPr>
          <w:color w:val="231F20"/>
          <w:w w:val="95"/>
        </w:rPr>
        <w:t>2014).</w:t>
      </w:r>
      <w:r>
        <w:rPr>
          <w:color w:val="231F20"/>
          <w:spacing w:val="-6"/>
          <w:w w:val="95"/>
        </w:rPr>
        <w:t xml:space="preserve"> </w:t>
      </w:r>
      <w:r>
        <w:rPr>
          <w:color w:val="231F20"/>
          <w:w w:val="95"/>
        </w:rPr>
        <w:t>Chapters</w:t>
      </w:r>
      <w:r>
        <w:rPr>
          <w:color w:val="231F20"/>
          <w:spacing w:val="-7"/>
          <w:w w:val="95"/>
        </w:rPr>
        <w:t xml:space="preserve"> </w:t>
      </w:r>
      <w:r>
        <w:rPr>
          <w:color w:val="231F20"/>
          <w:w w:val="95"/>
        </w:rPr>
        <w:t>2–4</w:t>
      </w:r>
      <w:r>
        <w:rPr>
          <w:color w:val="231F20"/>
          <w:spacing w:val="-7"/>
          <w:w w:val="95"/>
        </w:rPr>
        <w:t xml:space="preserve"> </w:t>
      </w:r>
      <w:r>
        <w:rPr>
          <w:color w:val="231F20"/>
          <w:w w:val="95"/>
        </w:rPr>
        <w:t>provide</w:t>
      </w:r>
      <w:r>
        <w:rPr>
          <w:color w:val="231F20"/>
          <w:spacing w:val="-6"/>
          <w:w w:val="95"/>
        </w:rPr>
        <w:t xml:space="preserve"> </w:t>
      </w:r>
      <w:r>
        <w:rPr>
          <w:color w:val="231F20"/>
          <w:spacing w:val="-5"/>
          <w:w w:val="95"/>
        </w:rPr>
        <w:t>an</w:t>
      </w:r>
    </w:p>
    <w:p w14:paraId="307FA99C" w14:textId="77777777" w:rsidR="00AE0598" w:rsidRDefault="00AE0598">
      <w:pPr>
        <w:spacing w:line="232" w:lineRule="auto"/>
        <w:jc w:val="both"/>
        <w:sectPr w:rsidR="00AE0598">
          <w:pgSz w:w="8850" w:h="13270"/>
          <w:pgMar w:top="720" w:right="1080" w:bottom="280" w:left="1080" w:header="720" w:footer="720" w:gutter="0"/>
          <w:cols w:space="720"/>
        </w:sectPr>
      </w:pPr>
    </w:p>
    <w:p w14:paraId="2C9AA390" w14:textId="77777777" w:rsidR="00AE0598" w:rsidRDefault="0069255A">
      <w:pPr>
        <w:spacing w:before="87"/>
        <w:ind w:left="4169"/>
        <w:rPr>
          <w:rFonts w:ascii="Trebuchet MS"/>
          <w:sz w:val="14"/>
        </w:rPr>
      </w:pPr>
      <w:r>
        <w:rPr>
          <w:rFonts w:ascii="Trebuchet MS"/>
          <w:color w:val="231F20"/>
          <w:w w:val="105"/>
          <w:sz w:val="14"/>
        </w:rPr>
        <w:lastRenderedPageBreak/>
        <w:t>Sport</w:t>
      </w:r>
      <w:r>
        <w:rPr>
          <w:rFonts w:ascii="Trebuchet MS"/>
          <w:color w:val="231F20"/>
          <w:spacing w:val="-9"/>
          <w:w w:val="105"/>
          <w:sz w:val="14"/>
        </w:rPr>
        <w:t xml:space="preserve"> </w:t>
      </w:r>
      <w:r>
        <w:rPr>
          <w:rFonts w:ascii="Trebuchet MS"/>
          <w:color w:val="231F20"/>
          <w:w w:val="105"/>
          <w:sz w:val="14"/>
        </w:rPr>
        <w:t>Tourism</w:t>
      </w:r>
      <w:r>
        <w:rPr>
          <w:rFonts w:ascii="Trebuchet MS"/>
          <w:color w:val="231F20"/>
          <w:spacing w:val="-8"/>
          <w:w w:val="105"/>
          <w:sz w:val="14"/>
        </w:rPr>
        <w:t xml:space="preserve"> </w:t>
      </w:r>
      <w:r>
        <w:rPr>
          <w:rFonts w:ascii="Trebuchet MS"/>
          <w:color w:val="231F20"/>
          <w:w w:val="105"/>
          <w:sz w:val="14"/>
        </w:rPr>
        <w:t>in</w:t>
      </w:r>
      <w:r>
        <w:rPr>
          <w:rFonts w:ascii="Trebuchet MS"/>
          <w:color w:val="231F20"/>
          <w:spacing w:val="-9"/>
          <w:w w:val="105"/>
          <w:sz w:val="14"/>
        </w:rPr>
        <w:t xml:space="preserve"> </w:t>
      </w:r>
      <w:r>
        <w:rPr>
          <w:rFonts w:ascii="Trebuchet MS"/>
          <w:color w:val="231F20"/>
          <w:w w:val="105"/>
          <w:sz w:val="14"/>
        </w:rPr>
        <w:t>Times</w:t>
      </w:r>
      <w:r>
        <w:rPr>
          <w:rFonts w:ascii="Trebuchet MS"/>
          <w:color w:val="231F20"/>
          <w:spacing w:val="-9"/>
          <w:w w:val="105"/>
          <w:sz w:val="14"/>
        </w:rPr>
        <w:t xml:space="preserve"> </w:t>
      </w:r>
      <w:r>
        <w:rPr>
          <w:rFonts w:ascii="Trebuchet MS"/>
          <w:color w:val="231F20"/>
          <w:w w:val="105"/>
          <w:sz w:val="14"/>
        </w:rPr>
        <w:t>of</w:t>
      </w:r>
      <w:r>
        <w:rPr>
          <w:rFonts w:ascii="Trebuchet MS"/>
          <w:color w:val="231F20"/>
          <w:spacing w:val="-8"/>
          <w:w w:val="105"/>
          <w:sz w:val="14"/>
        </w:rPr>
        <w:t xml:space="preserve"> </w:t>
      </w:r>
      <w:r>
        <w:rPr>
          <w:rFonts w:ascii="Trebuchet MS"/>
          <w:color w:val="231F20"/>
          <w:w w:val="105"/>
          <w:sz w:val="14"/>
        </w:rPr>
        <w:t>Change</w:t>
      </w:r>
      <w:r>
        <w:rPr>
          <w:rFonts w:ascii="Trebuchet MS"/>
          <w:color w:val="231F20"/>
          <w:spacing w:val="67"/>
          <w:w w:val="150"/>
          <w:sz w:val="14"/>
        </w:rPr>
        <w:t xml:space="preserve"> </w:t>
      </w:r>
      <w:r>
        <w:rPr>
          <w:rFonts w:ascii="Trebuchet MS"/>
          <w:color w:val="231F20"/>
          <w:spacing w:val="-10"/>
          <w:w w:val="105"/>
          <w:sz w:val="14"/>
        </w:rPr>
        <w:t>5</w:t>
      </w:r>
    </w:p>
    <w:p w14:paraId="43818648" w14:textId="77777777" w:rsidR="00AE0598" w:rsidRDefault="00AE0598">
      <w:pPr>
        <w:pStyle w:val="Corpodetexto"/>
        <w:rPr>
          <w:rFonts w:ascii="Trebuchet MS"/>
          <w:sz w:val="16"/>
        </w:rPr>
      </w:pPr>
    </w:p>
    <w:p w14:paraId="5B09501F" w14:textId="77777777" w:rsidR="00AE0598" w:rsidRDefault="0069255A">
      <w:pPr>
        <w:pStyle w:val="Corpodetexto"/>
        <w:spacing w:before="118" w:line="232" w:lineRule="auto"/>
        <w:ind w:left="110" w:right="108"/>
        <w:jc w:val="both"/>
      </w:pPr>
      <w:r>
        <w:rPr>
          <w:color w:val="231F20"/>
          <w:w w:val="95"/>
        </w:rPr>
        <w:t xml:space="preserve">opportunity to review current insights into sport tourism as a basis for the </w:t>
      </w:r>
      <w:r>
        <w:rPr>
          <w:color w:val="231F20"/>
        </w:rPr>
        <w:t>discussions that follow.</w:t>
      </w:r>
    </w:p>
    <w:p w14:paraId="0F53988C" w14:textId="77777777" w:rsidR="00AE0598" w:rsidRDefault="0069255A">
      <w:pPr>
        <w:pStyle w:val="Corpodetexto"/>
        <w:spacing w:before="2" w:line="232" w:lineRule="auto"/>
        <w:ind w:left="110" w:right="108" w:firstLine="320"/>
        <w:jc w:val="both"/>
      </w:pPr>
      <w:r>
        <w:rPr>
          <w:color w:val="231F20"/>
          <w:w w:val="95"/>
        </w:rPr>
        <w:t>Part</w:t>
      </w:r>
      <w:r>
        <w:rPr>
          <w:color w:val="231F20"/>
          <w:spacing w:val="-9"/>
          <w:w w:val="95"/>
        </w:rPr>
        <w:t xml:space="preserve"> </w:t>
      </w:r>
      <w:r>
        <w:rPr>
          <w:color w:val="231F20"/>
          <w:w w:val="95"/>
        </w:rPr>
        <w:t>3:</w:t>
      </w:r>
      <w:r>
        <w:rPr>
          <w:color w:val="231F20"/>
          <w:spacing w:val="-9"/>
          <w:w w:val="95"/>
        </w:rPr>
        <w:t xml:space="preserve"> </w:t>
      </w:r>
      <w:r>
        <w:rPr>
          <w:color w:val="231F20"/>
          <w:w w:val="95"/>
        </w:rPr>
        <w:t>Sport</w:t>
      </w:r>
      <w:r>
        <w:rPr>
          <w:color w:val="231F20"/>
          <w:spacing w:val="-9"/>
          <w:w w:val="95"/>
        </w:rPr>
        <w:t xml:space="preserve"> </w:t>
      </w:r>
      <w:r>
        <w:rPr>
          <w:color w:val="231F20"/>
          <w:w w:val="95"/>
        </w:rPr>
        <w:t>Tourism</w:t>
      </w:r>
      <w:r>
        <w:rPr>
          <w:color w:val="231F20"/>
          <w:spacing w:val="-9"/>
          <w:w w:val="95"/>
        </w:rPr>
        <w:t xml:space="preserve"> </w:t>
      </w:r>
      <w:r>
        <w:rPr>
          <w:color w:val="231F20"/>
          <w:w w:val="95"/>
        </w:rPr>
        <w:t>Development</w:t>
      </w:r>
      <w:r>
        <w:rPr>
          <w:color w:val="231F20"/>
          <w:spacing w:val="-9"/>
          <w:w w:val="95"/>
        </w:rPr>
        <w:t xml:space="preserve"> </w:t>
      </w:r>
      <w:r>
        <w:rPr>
          <w:color w:val="231F20"/>
          <w:w w:val="95"/>
        </w:rPr>
        <w:t>and</w:t>
      </w:r>
      <w:r>
        <w:rPr>
          <w:color w:val="231F20"/>
          <w:spacing w:val="-9"/>
          <w:w w:val="95"/>
        </w:rPr>
        <w:t xml:space="preserve"> </w:t>
      </w:r>
      <w:r>
        <w:rPr>
          <w:color w:val="231F20"/>
          <w:w w:val="95"/>
        </w:rPr>
        <w:t>Space</w:t>
      </w:r>
      <w:r>
        <w:rPr>
          <w:color w:val="231F20"/>
          <w:spacing w:val="-9"/>
          <w:w w:val="95"/>
        </w:rPr>
        <w:t xml:space="preserve"> </w:t>
      </w:r>
      <w:r>
        <w:rPr>
          <w:color w:val="231F20"/>
          <w:w w:val="95"/>
        </w:rPr>
        <w:t>(Chapters</w:t>
      </w:r>
      <w:r>
        <w:rPr>
          <w:color w:val="231F20"/>
          <w:spacing w:val="-9"/>
          <w:w w:val="95"/>
        </w:rPr>
        <w:t xml:space="preserve"> </w:t>
      </w:r>
      <w:r>
        <w:rPr>
          <w:color w:val="231F20"/>
          <w:w w:val="95"/>
        </w:rPr>
        <w:t>5–7)</w:t>
      </w:r>
      <w:r>
        <w:rPr>
          <w:color w:val="231F20"/>
          <w:spacing w:val="-9"/>
          <w:w w:val="95"/>
        </w:rPr>
        <w:t xml:space="preserve"> </w:t>
      </w:r>
      <w:r>
        <w:rPr>
          <w:color w:val="231F20"/>
          <w:w w:val="95"/>
        </w:rPr>
        <w:t>focuses</w:t>
      </w:r>
      <w:r>
        <w:rPr>
          <w:color w:val="231F20"/>
          <w:spacing w:val="-9"/>
          <w:w w:val="95"/>
        </w:rPr>
        <w:t xml:space="preserve"> </w:t>
      </w:r>
      <w:r>
        <w:rPr>
          <w:color w:val="231F20"/>
          <w:w w:val="95"/>
        </w:rPr>
        <w:t>on the</w:t>
      </w:r>
      <w:r>
        <w:rPr>
          <w:color w:val="231F20"/>
          <w:spacing w:val="-1"/>
          <w:w w:val="95"/>
        </w:rPr>
        <w:t xml:space="preserve"> </w:t>
      </w:r>
      <w:r>
        <w:rPr>
          <w:color w:val="231F20"/>
          <w:w w:val="95"/>
        </w:rPr>
        <w:t>spatial</w:t>
      </w:r>
      <w:r>
        <w:rPr>
          <w:color w:val="231F20"/>
          <w:spacing w:val="-1"/>
          <w:w w:val="95"/>
        </w:rPr>
        <w:t xml:space="preserve"> </w:t>
      </w:r>
      <w:r>
        <w:rPr>
          <w:color w:val="231F20"/>
          <w:w w:val="95"/>
        </w:rPr>
        <w:t>elements</w:t>
      </w:r>
      <w:r>
        <w:rPr>
          <w:color w:val="231F20"/>
          <w:spacing w:val="-1"/>
          <w:w w:val="95"/>
        </w:rPr>
        <w:t xml:space="preserve"> </w:t>
      </w:r>
      <w:r>
        <w:rPr>
          <w:color w:val="231F20"/>
          <w:w w:val="95"/>
        </w:rPr>
        <w:t>of</w:t>
      </w:r>
      <w:r>
        <w:rPr>
          <w:color w:val="231F20"/>
          <w:spacing w:val="-1"/>
          <w:w w:val="95"/>
        </w:rPr>
        <w:t xml:space="preserve"> </w:t>
      </w:r>
      <w:r>
        <w:rPr>
          <w:color w:val="231F20"/>
          <w:w w:val="95"/>
        </w:rPr>
        <w:t>sport</w:t>
      </w:r>
      <w:r>
        <w:rPr>
          <w:color w:val="231F20"/>
          <w:spacing w:val="-1"/>
          <w:w w:val="95"/>
        </w:rPr>
        <w:t xml:space="preserve"> </w:t>
      </w:r>
      <w:r>
        <w:rPr>
          <w:color w:val="231F20"/>
          <w:w w:val="95"/>
        </w:rPr>
        <w:t>tourism</w:t>
      </w:r>
      <w:r>
        <w:rPr>
          <w:color w:val="231F20"/>
          <w:spacing w:val="-1"/>
          <w:w w:val="95"/>
        </w:rPr>
        <w:t xml:space="preserve"> </w:t>
      </w:r>
      <w:r>
        <w:rPr>
          <w:color w:val="231F20"/>
          <w:w w:val="95"/>
        </w:rPr>
        <w:t>development.</w:t>
      </w:r>
      <w:r>
        <w:rPr>
          <w:color w:val="231F20"/>
          <w:spacing w:val="-1"/>
          <w:w w:val="95"/>
        </w:rPr>
        <w:t xml:space="preserve"> </w:t>
      </w:r>
      <w:r>
        <w:rPr>
          <w:color w:val="231F20"/>
          <w:w w:val="95"/>
        </w:rPr>
        <w:t>These</w:t>
      </w:r>
      <w:r>
        <w:rPr>
          <w:color w:val="231F20"/>
          <w:spacing w:val="-1"/>
          <w:w w:val="95"/>
        </w:rPr>
        <w:t xml:space="preserve"> </w:t>
      </w:r>
      <w:r>
        <w:rPr>
          <w:color w:val="231F20"/>
          <w:w w:val="95"/>
        </w:rPr>
        <w:t>chapters</w:t>
      </w:r>
      <w:r>
        <w:rPr>
          <w:color w:val="231F20"/>
          <w:spacing w:val="-1"/>
          <w:w w:val="95"/>
        </w:rPr>
        <w:t xml:space="preserve"> </w:t>
      </w:r>
      <w:r>
        <w:rPr>
          <w:color w:val="231F20"/>
          <w:w w:val="95"/>
        </w:rPr>
        <w:t xml:space="preserve">examine sport tourism development in relation to space, place and the environment. </w:t>
      </w:r>
      <w:r>
        <w:rPr>
          <w:color w:val="231F20"/>
        </w:rPr>
        <w:t>Each of these topics represents important geographical aspects of sport and</w:t>
      </w:r>
      <w:r>
        <w:rPr>
          <w:color w:val="231F20"/>
          <w:spacing w:val="-6"/>
        </w:rPr>
        <w:t xml:space="preserve"> </w:t>
      </w:r>
      <w:r>
        <w:rPr>
          <w:color w:val="231F20"/>
        </w:rPr>
        <w:t>tourism</w:t>
      </w:r>
      <w:r>
        <w:rPr>
          <w:color w:val="231F20"/>
          <w:spacing w:val="-6"/>
        </w:rPr>
        <w:t xml:space="preserve"> </w:t>
      </w:r>
      <w:r>
        <w:rPr>
          <w:color w:val="231F20"/>
        </w:rPr>
        <w:t>development.</w:t>
      </w:r>
      <w:r>
        <w:rPr>
          <w:color w:val="231F20"/>
          <w:spacing w:val="-6"/>
        </w:rPr>
        <w:t xml:space="preserve"> </w:t>
      </w:r>
      <w:r>
        <w:rPr>
          <w:color w:val="231F20"/>
        </w:rPr>
        <w:t>Part</w:t>
      </w:r>
      <w:r>
        <w:rPr>
          <w:color w:val="231F20"/>
          <w:spacing w:val="-6"/>
        </w:rPr>
        <w:t xml:space="preserve"> </w:t>
      </w:r>
      <w:r>
        <w:rPr>
          <w:color w:val="231F20"/>
        </w:rPr>
        <w:t>4:</w:t>
      </w:r>
      <w:r>
        <w:rPr>
          <w:color w:val="231F20"/>
          <w:spacing w:val="-6"/>
        </w:rPr>
        <w:t xml:space="preserve"> </w:t>
      </w:r>
      <w:r>
        <w:rPr>
          <w:color w:val="231F20"/>
        </w:rPr>
        <w:t>Sport</w:t>
      </w:r>
      <w:r>
        <w:rPr>
          <w:color w:val="231F20"/>
          <w:spacing w:val="-6"/>
        </w:rPr>
        <w:t xml:space="preserve"> </w:t>
      </w:r>
      <w:r>
        <w:rPr>
          <w:color w:val="231F20"/>
        </w:rPr>
        <w:t>Tourism</w:t>
      </w:r>
      <w:r>
        <w:rPr>
          <w:color w:val="231F20"/>
          <w:spacing w:val="-6"/>
        </w:rPr>
        <w:t xml:space="preserve"> </w:t>
      </w:r>
      <w:r>
        <w:rPr>
          <w:color w:val="231F20"/>
        </w:rPr>
        <w:t>Development</w:t>
      </w:r>
      <w:r>
        <w:rPr>
          <w:color w:val="231F20"/>
          <w:spacing w:val="-6"/>
        </w:rPr>
        <w:t xml:space="preserve"> </w:t>
      </w:r>
      <w:r>
        <w:rPr>
          <w:color w:val="231F20"/>
        </w:rPr>
        <w:t>and</w:t>
      </w:r>
      <w:r>
        <w:rPr>
          <w:color w:val="231F20"/>
          <w:spacing w:val="-6"/>
        </w:rPr>
        <w:t xml:space="preserve"> </w:t>
      </w:r>
      <w:r>
        <w:rPr>
          <w:color w:val="231F20"/>
        </w:rPr>
        <w:t xml:space="preserve">Time </w:t>
      </w:r>
      <w:r>
        <w:rPr>
          <w:color w:val="231F20"/>
          <w:w w:val="95"/>
        </w:rPr>
        <w:t xml:space="preserve">(Chapters 8–10) examines sport tourism development in relation to time. </w:t>
      </w:r>
      <w:r>
        <w:rPr>
          <w:color w:val="231F20"/>
        </w:rPr>
        <w:t xml:space="preserve">The short-term, medium-term and long-term time horizons provide a temporal framework that frames our considerations of the immediate </w:t>
      </w:r>
      <w:r>
        <w:rPr>
          <w:color w:val="231F20"/>
          <w:w w:val="95"/>
        </w:rPr>
        <w:t>sport t</w:t>
      </w:r>
      <w:r>
        <w:rPr>
          <w:color w:val="231F20"/>
          <w:w w:val="95"/>
        </w:rPr>
        <w:t xml:space="preserve">ourism experience; sport tourism and seasonality; and the dynamic interrelationship between sport and tourism within long-term evolutionary frameworks. Part 5: Conclusions (Chapter 11) concludes by reviewing the </w:t>
      </w:r>
      <w:r>
        <w:rPr>
          <w:color w:val="231F20"/>
        </w:rPr>
        <w:t>preceding discussions to serve as a platform</w:t>
      </w:r>
      <w:r>
        <w:rPr>
          <w:color w:val="231F20"/>
        </w:rPr>
        <w:t xml:space="preserve"> from which to consider the future of sport and tourism, and sport tourism research. This structure provides a framework that raises questions relating to sport tourism </w:t>
      </w:r>
      <w:r>
        <w:rPr>
          <w:color w:val="231F20"/>
          <w:w w:val="95"/>
        </w:rPr>
        <w:t xml:space="preserve">development in space and time and to address these questions through the </w:t>
      </w:r>
      <w:r>
        <w:rPr>
          <w:color w:val="231F20"/>
        </w:rPr>
        <w:t>application of</w:t>
      </w:r>
      <w:r>
        <w:rPr>
          <w:color w:val="231F20"/>
        </w:rPr>
        <w:t xml:space="preserve"> relevant theory.</w:t>
      </w:r>
    </w:p>
    <w:p w14:paraId="150FD9D3" w14:textId="77777777" w:rsidR="00AE0598" w:rsidRDefault="00AE0598">
      <w:pPr>
        <w:pStyle w:val="Corpodetexto"/>
        <w:spacing w:before="7"/>
        <w:rPr>
          <w:sz w:val="22"/>
        </w:rPr>
      </w:pPr>
    </w:p>
    <w:p w14:paraId="1C243884" w14:textId="77777777" w:rsidR="00AE0598" w:rsidRDefault="0069255A">
      <w:pPr>
        <w:ind w:left="110"/>
        <w:jc w:val="both"/>
        <w:rPr>
          <w:rFonts w:ascii="Trebuchet MS"/>
          <w:b/>
          <w:sz w:val="20"/>
        </w:rPr>
      </w:pPr>
      <w:r>
        <w:rPr>
          <w:rFonts w:ascii="Trebuchet MS"/>
          <w:b/>
          <w:color w:val="231F20"/>
          <w:sz w:val="20"/>
        </w:rPr>
        <w:t>Sport</w:t>
      </w:r>
      <w:r>
        <w:rPr>
          <w:rFonts w:ascii="Trebuchet MS"/>
          <w:b/>
          <w:color w:val="231F20"/>
          <w:spacing w:val="-4"/>
          <w:sz w:val="20"/>
        </w:rPr>
        <w:t xml:space="preserve"> </w:t>
      </w:r>
      <w:r>
        <w:rPr>
          <w:rFonts w:ascii="Trebuchet MS"/>
          <w:b/>
          <w:color w:val="231F20"/>
          <w:sz w:val="20"/>
        </w:rPr>
        <w:t>Tourism</w:t>
      </w:r>
      <w:r>
        <w:rPr>
          <w:rFonts w:ascii="Trebuchet MS"/>
          <w:b/>
          <w:color w:val="231F20"/>
          <w:spacing w:val="-4"/>
          <w:sz w:val="20"/>
        </w:rPr>
        <w:t xml:space="preserve"> </w:t>
      </w:r>
      <w:r>
        <w:rPr>
          <w:rFonts w:ascii="Trebuchet MS"/>
          <w:b/>
          <w:color w:val="231F20"/>
          <w:sz w:val="20"/>
        </w:rPr>
        <w:t>in</w:t>
      </w:r>
      <w:r>
        <w:rPr>
          <w:rFonts w:ascii="Trebuchet MS"/>
          <w:b/>
          <w:color w:val="231F20"/>
          <w:spacing w:val="-4"/>
          <w:sz w:val="20"/>
        </w:rPr>
        <w:t xml:space="preserve"> </w:t>
      </w:r>
      <w:r>
        <w:rPr>
          <w:rFonts w:ascii="Trebuchet MS"/>
          <w:b/>
          <w:color w:val="231F20"/>
          <w:sz w:val="20"/>
        </w:rPr>
        <w:t>Times</w:t>
      </w:r>
      <w:r>
        <w:rPr>
          <w:rFonts w:ascii="Trebuchet MS"/>
          <w:b/>
          <w:color w:val="231F20"/>
          <w:spacing w:val="-4"/>
          <w:sz w:val="20"/>
        </w:rPr>
        <w:t xml:space="preserve"> </w:t>
      </w:r>
      <w:r>
        <w:rPr>
          <w:rFonts w:ascii="Trebuchet MS"/>
          <w:b/>
          <w:color w:val="231F20"/>
          <w:sz w:val="20"/>
        </w:rPr>
        <w:t>of</w:t>
      </w:r>
      <w:r>
        <w:rPr>
          <w:rFonts w:ascii="Trebuchet MS"/>
          <w:b/>
          <w:color w:val="231F20"/>
          <w:spacing w:val="-4"/>
          <w:sz w:val="20"/>
        </w:rPr>
        <w:t xml:space="preserve"> </w:t>
      </w:r>
      <w:r>
        <w:rPr>
          <w:rFonts w:ascii="Trebuchet MS"/>
          <w:b/>
          <w:color w:val="231F20"/>
          <w:spacing w:val="-2"/>
          <w:sz w:val="20"/>
        </w:rPr>
        <w:t>Change</w:t>
      </w:r>
    </w:p>
    <w:p w14:paraId="3498D0A8" w14:textId="77777777" w:rsidR="00AE0598" w:rsidRDefault="0069255A">
      <w:pPr>
        <w:pStyle w:val="Corpodetexto"/>
        <w:spacing w:before="122" w:line="232" w:lineRule="auto"/>
        <w:ind w:left="110" w:right="104" w:firstLine="320"/>
        <w:jc w:val="both"/>
      </w:pPr>
      <w:r>
        <w:rPr>
          <w:color w:val="231F20"/>
        </w:rPr>
        <w:t xml:space="preserve">The Football World Cup, hosted in recent years by Germany (2006), South Africa (2010) and Brazil (2014), is one of the world’s truly mega sports events. It is a month-long showcase of football skill, and a stage </w:t>
      </w:r>
      <w:r>
        <w:rPr>
          <w:color w:val="231F20"/>
          <w:w w:val="95"/>
        </w:rPr>
        <w:t xml:space="preserve">upon which collective identities are forged </w:t>
      </w:r>
      <w:r>
        <w:rPr>
          <w:color w:val="231F20"/>
          <w:w w:val="95"/>
        </w:rPr>
        <w:t xml:space="preserve">and nationalisms are expressed </w:t>
      </w:r>
      <w:r>
        <w:rPr>
          <w:color w:val="231F20"/>
        </w:rPr>
        <w:t>(Giulianotti, 1995a, 1995b, 1996). Indeed, it is a stage that is shared by individual</w:t>
      </w:r>
      <w:r>
        <w:rPr>
          <w:color w:val="231F20"/>
          <w:spacing w:val="-11"/>
        </w:rPr>
        <w:t xml:space="preserve"> </w:t>
      </w:r>
      <w:r>
        <w:rPr>
          <w:color w:val="231F20"/>
        </w:rPr>
        <w:t>players</w:t>
      </w:r>
      <w:r>
        <w:rPr>
          <w:color w:val="231F20"/>
          <w:spacing w:val="-11"/>
        </w:rPr>
        <w:t xml:space="preserve"> </w:t>
      </w:r>
      <w:r>
        <w:rPr>
          <w:color w:val="231F20"/>
        </w:rPr>
        <w:t>and</w:t>
      </w:r>
      <w:r>
        <w:rPr>
          <w:color w:val="231F20"/>
          <w:spacing w:val="-11"/>
        </w:rPr>
        <w:t xml:space="preserve"> </w:t>
      </w:r>
      <w:r>
        <w:rPr>
          <w:color w:val="231F20"/>
        </w:rPr>
        <w:t>national</w:t>
      </w:r>
      <w:r>
        <w:rPr>
          <w:color w:val="231F20"/>
          <w:spacing w:val="-11"/>
        </w:rPr>
        <w:t xml:space="preserve"> </w:t>
      </w:r>
      <w:r>
        <w:rPr>
          <w:color w:val="231F20"/>
        </w:rPr>
        <w:t>teams,</w:t>
      </w:r>
      <w:r>
        <w:rPr>
          <w:color w:val="231F20"/>
          <w:spacing w:val="-11"/>
        </w:rPr>
        <w:t xml:space="preserve"> </w:t>
      </w:r>
      <w:r>
        <w:rPr>
          <w:color w:val="231F20"/>
        </w:rPr>
        <w:t>as</w:t>
      </w:r>
      <w:r>
        <w:rPr>
          <w:color w:val="231F20"/>
          <w:spacing w:val="-11"/>
        </w:rPr>
        <w:t xml:space="preserve"> </w:t>
      </w:r>
      <w:r>
        <w:rPr>
          <w:color w:val="231F20"/>
        </w:rPr>
        <w:t>well</w:t>
      </w:r>
      <w:r>
        <w:rPr>
          <w:color w:val="231F20"/>
          <w:spacing w:val="-11"/>
        </w:rPr>
        <w:t xml:space="preserve"> </w:t>
      </w:r>
      <w:r>
        <w:rPr>
          <w:color w:val="231F20"/>
        </w:rPr>
        <w:t>as</w:t>
      </w:r>
      <w:r>
        <w:rPr>
          <w:color w:val="231F20"/>
          <w:spacing w:val="-11"/>
        </w:rPr>
        <w:t xml:space="preserve"> </w:t>
      </w:r>
      <w:r>
        <w:rPr>
          <w:color w:val="231F20"/>
        </w:rPr>
        <w:t>politicians,</w:t>
      </w:r>
      <w:r>
        <w:rPr>
          <w:color w:val="231F20"/>
          <w:spacing w:val="-11"/>
        </w:rPr>
        <w:t xml:space="preserve"> </w:t>
      </w:r>
      <w:r>
        <w:rPr>
          <w:color w:val="231F20"/>
        </w:rPr>
        <w:t>civic</w:t>
      </w:r>
      <w:r>
        <w:rPr>
          <w:color w:val="231F20"/>
          <w:spacing w:val="-11"/>
        </w:rPr>
        <w:t xml:space="preserve"> </w:t>
      </w:r>
      <w:r>
        <w:rPr>
          <w:color w:val="231F20"/>
        </w:rPr>
        <w:t xml:space="preserve">leaders, </w:t>
      </w:r>
      <w:r>
        <w:rPr>
          <w:color w:val="231F20"/>
          <w:w w:val="95"/>
        </w:rPr>
        <w:t>multinational corporate actors, media corporations, spectators and touri</w:t>
      </w:r>
      <w:r>
        <w:rPr>
          <w:color w:val="231F20"/>
          <w:w w:val="95"/>
        </w:rPr>
        <w:t>sts (Cornelissen,</w:t>
      </w:r>
      <w:r>
        <w:rPr>
          <w:color w:val="231F20"/>
          <w:spacing w:val="-3"/>
          <w:w w:val="95"/>
        </w:rPr>
        <w:t xml:space="preserve"> </w:t>
      </w:r>
      <w:r>
        <w:rPr>
          <w:color w:val="231F20"/>
          <w:w w:val="95"/>
        </w:rPr>
        <w:t>2010).</w:t>
      </w:r>
      <w:r>
        <w:rPr>
          <w:color w:val="231F20"/>
          <w:spacing w:val="-3"/>
          <w:w w:val="95"/>
        </w:rPr>
        <w:t xml:space="preserve"> </w:t>
      </w:r>
      <w:r>
        <w:rPr>
          <w:color w:val="231F20"/>
          <w:w w:val="95"/>
        </w:rPr>
        <w:t>Events</w:t>
      </w:r>
      <w:r>
        <w:rPr>
          <w:color w:val="231F20"/>
          <w:spacing w:val="-3"/>
          <w:w w:val="95"/>
        </w:rPr>
        <w:t xml:space="preserve"> </w:t>
      </w:r>
      <w:r>
        <w:rPr>
          <w:color w:val="231F20"/>
          <w:w w:val="95"/>
        </w:rPr>
        <w:t>such</w:t>
      </w:r>
      <w:r>
        <w:rPr>
          <w:color w:val="231F20"/>
          <w:spacing w:val="-3"/>
          <w:w w:val="95"/>
        </w:rPr>
        <w:t xml:space="preserve"> </w:t>
      </w:r>
      <w:r>
        <w:rPr>
          <w:color w:val="231F20"/>
          <w:w w:val="95"/>
        </w:rPr>
        <w:t>as</w:t>
      </w:r>
      <w:r>
        <w:rPr>
          <w:color w:val="231F20"/>
          <w:spacing w:val="-3"/>
          <w:w w:val="95"/>
        </w:rPr>
        <w:t xml:space="preserve"> </w:t>
      </w:r>
      <w:r>
        <w:rPr>
          <w:color w:val="231F20"/>
          <w:w w:val="95"/>
        </w:rPr>
        <w:t>the</w:t>
      </w:r>
      <w:r>
        <w:rPr>
          <w:color w:val="231F20"/>
          <w:spacing w:val="-3"/>
          <w:w w:val="95"/>
        </w:rPr>
        <w:t xml:space="preserve"> </w:t>
      </w:r>
      <w:r>
        <w:rPr>
          <w:color w:val="231F20"/>
          <w:w w:val="95"/>
        </w:rPr>
        <w:t>Football</w:t>
      </w:r>
      <w:r>
        <w:rPr>
          <w:color w:val="231F20"/>
          <w:spacing w:val="-3"/>
          <w:w w:val="95"/>
        </w:rPr>
        <w:t xml:space="preserve"> </w:t>
      </w:r>
      <w:r>
        <w:rPr>
          <w:color w:val="231F20"/>
          <w:w w:val="95"/>
        </w:rPr>
        <w:t>World</w:t>
      </w:r>
      <w:r>
        <w:rPr>
          <w:color w:val="231F20"/>
          <w:spacing w:val="-3"/>
          <w:w w:val="95"/>
        </w:rPr>
        <w:t xml:space="preserve"> </w:t>
      </w:r>
      <w:r>
        <w:rPr>
          <w:color w:val="231F20"/>
          <w:w w:val="95"/>
        </w:rPr>
        <w:t>Cup</w:t>
      </w:r>
      <w:r>
        <w:rPr>
          <w:color w:val="231F20"/>
          <w:spacing w:val="-3"/>
          <w:w w:val="95"/>
        </w:rPr>
        <w:t xml:space="preserve"> </w:t>
      </w:r>
      <w:r>
        <w:rPr>
          <w:color w:val="231F20"/>
          <w:w w:val="95"/>
        </w:rPr>
        <w:t>and</w:t>
      </w:r>
      <w:r>
        <w:rPr>
          <w:color w:val="231F20"/>
          <w:spacing w:val="-3"/>
          <w:w w:val="95"/>
        </w:rPr>
        <w:t xml:space="preserve"> </w:t>
      </w:r>
      <w:r>
        <w:rPr>
          <w:color w:val="231F20"/>
          <w:w w:val="95"/>
        </w:rPr>
        <w:t>the</w:t>
      </w:r>
      <w:r>
        <w:rPr>
          <w:color w:val="231F20"/>
          <w:spacing w:val="-3"/>
          <w:w w:val="95"/>
        </w:rPr>
        <w:t xml:space="preserve"> </w:t>
      </w:r>
      <w:r>
        <w:rPr>
          <w:color w:val="231F20"/>
          <w:w w:val="95"/>
        </w:rPr>
        <w:t xml:space="preserve">Olympic </w:t>
      </w:r>
      <w:r>
        <w:rPr>
          <w:color w:val="231F20"/>
        </w:rPr>
        <w:t>Games</w:t>
      </w:r>
      <w:r>
        <w:rPr>
          <w:color w:val="231F20"/>
          <w:spacing w:val="-5"/>
        </w:rPr>
        <w:t xml:space="preserve"> </w:t>
      </w:r>
      <w:r>
        <w:rPr>
          <w:color w:val="231F20"/>
        </w:rPr>
        <w:t>represent</w:t>
      </w:r>
      <w:r>
        <w:rPr>
          <w:color w:val="231F20"/>
          <w:spacing w:val="-5"/>
        </w:rPr>
        <w:t xml:space="preserve"> </w:t>
      </w:r>
      <w:r>
        <w:rPr>
          <w:color w:val="231F20"/>
        </w:rPr>
        <w:t>the</w:t>
      </w:r>
      <w:r>
        <w:rPr>
          <w:color w:val="231F20"/>
          <w:spacing w:val="-5"/>
        </w:rPr>
        <w:t xml:space="preserve"> </w:t>
      </w:r>
      <w:r>
        <w:rPr>
          <w:color w:val="231F20"/>
        </w:rPr>
        <w:t>apex</w:t>
      </w:r>
      <w:r>
        <w:rPr>
          <w:color w:val="231F20"/>
          <w:spacing w:val="-5"/>
        </w:rPr>
        <w:t xml:space="preserve"> </w:t>
      </w:r>
      <w:r>
        <w:rPr>
          <w:color w:val="231F20"/>
        </w:rPr>
        <w:t>of</w:t>
      </w:r>
      <w:r>
        <w:rPr>
          <w:color w:val="231F20"/>
          <w:spacing w:val="-5"/>
        </w:rPr>
        <w:t xml:space="preserve"> </w:t>
      </w:r>
      <w:r>
        <w:rPr>
          <w:color w:val="231F20"/>
        </w:rPr>
        <w:t>elite</w:t>
      </w:r>
      <w:r>
        <w:rPr>
          <w:color w:val="231F20"/>
          <w:spacing w:val="-5"/>
        </w:rPr>
        <w:t xml:space="preserve"> </w:t>
      </w:r>
      <w:r>
        <w:rPr>
          <w:color w:val="231F20"/>
        </w:rPr>
        <w:t>competitive</w:t>
      </w:r>
      <w:r>
        <w:rPr>
          <w:color w:val="231F20"/>
          <w:spacing w:val="-5"/>
        </w:rPr>
        <w:t xml:space="preserve"> </w:t>
      </w:r>
      <w:r>
        <w:rPr>
          <w:color w:val="231F20"/>
        </w:rPr>
        <w:t>sport.</w:t>
      </w:r>
      <w:r>
        <w:rPr>
          <w:color w:val="231F20"/>
          <w:spacing w:val="-5"/>
        </w:rPr>
        <w:t xml:space="preserve"> </w:t>
      </w:r>
      <w:r>
        <w:rPr>
          <w:color w:val="231F20"/>
        </w:rPr>
        <w:t>However,</w:t>
      </w:r>
      <w:r>
        <w:rPr>
          <w:color w:val="231F20"/>
          <w:spacing w:val="-5"/>
        </w:rPr>
        <w:t xml:space="preserve"> </w:t>
      </w:r>
      <w:r>
        <w:rPr>
          <w:color w:val="231F20"/>
        </w:rPr>
        <w:t>they</w:t>
      </w:r>
      <w:r>
        <w:rPr>
          <w:color w:val="231F20"/>
          <w:spacing w:val="-5"/>
        </w:rPr>
        <w:t xml:space="preserve"> </w:t>
      </w:r>
      <w:r>
        <w:rPr>
          <w:color w:val="231F20"/>
        </w:rPr>
        <w:t xml:space="preserve">exist </w:t>
      </w:r>
      <w:r>
        <w:rPr>
          <w:color w:val="231F20"/>
          <w:w w:val="95"/>
        </w:rPr>
        <w:t xml:space="preserve">upon a superstructure of ever-expanding and diversifying participation in </w:t>
      </w:r>
      <w:r>
        <w:rPr>
          <w:color w:val="231F20"/>
        </w:rPr>
        <w:t>sport</w:t>
      </w:r>
      <w:r>
        <w:rPr>
          <w:color w:val="231F20"/>
          <w:spacing w:val="-9"/>
        </w:rPr>
        <w:t xml:space="preserve"> </w:t>
      </w:r>
      <w:r>
        <w:rPr>
          <w:color w:val="231F20"/>
        </w:rPr>
        <w:t>and</w:t>
      </w:r>
      <w:r>
        <w:rPr>
          <w:color w:val="231F20"/>
          <w:spacing w:val="-9"/>
        </w:rPr>
        <w:t xml:space="preserve"> </w:t>
      </w:r>
      <w:r>
        <w:rPr>
          <w:color w:val="231F20"/>
        </w:rPr>
        <w:t>recreational</w:t>
      </w:r>
      <w:r>
        <w:rPr>
          <w:color w:val="231F20"/>
          <w:spacing w:val="-9"/>
        </w:rPr>
        <w:t xml:space="preserve"> </w:t>
      </w:r>
      <w:r>
        <w:rPr>
          <w:color w:val="231F20"/>
        </w:rPr>
        <w:t>activity,</w:t>
      </w:r>
      <w:r>
        <w:rPr>
          <w:color w:val="231F20"/>
          <w:spacing w:val="-9"/>
        </w:rPr>
        <w:t xml:space="preserve"> </w:t>
      </w:r>
      <w:r>
        <w:rPr>
          <w:color w:val="231F20"/>
        </w:rPr>
        <w:t>and</w:t>
      </w:r>
      <w:r>
        <w:rPr>
          <w:color w:val="231F20"/>
          <w:spacing w:val="-9"/>
        </w:rPr>
        <w:t xml:space="preserve"> </w:t>
      </w:r>
      <w:r>
        <w:rPr>
          <w:color w:val="231F20"/>
        </w:rPr>
        <w:t>as</w:t>
      </w:r>
      <w:r>
        <w:rPr>
          <w:color w:val="231F20"/>
          <w:spacing w:val="-9"/>
        </w:rPr>
        <w:t xml:space="preserve"> </w:t>
      </w:r>
      <w:r>
        <w:rPr>
          <w:color w:val="231F20"/>
        </w:rPr>
        <w:t>one</w:t>
      </w:r>
      <w:r>
        <w:rPr>
          <w:color w:val="231F20"/>
          <w:spacing w:val="-9"/>
        </w:rPr>
        <w:t xml:space="preserve"> </w:t>
      </w:r>
      <w:r>
        <w:rPr>
          <w:color w:val="231F20"/>
        </w:rPr>
        <w:t>part</w:t>
      </w:r>
      <w:r>
        <w:rPr>
          <w:color w:val="231F20"/>
          <w:spacing w:val="-9"/>
        </w:rPr>
        <w:t xml:space="preserve"> </w:t>
      </w:r>
      <w:r>
        <w:rPr>
          <w:color w:val="231F20"/>
        </w:rPr>
        <w:t>of</w:t>
      </w:r>
      <w:r>
        <w:rPr>
          <w:color w:val="231F20"/>
          <w:spacing w:val="-9"/>
        </w:rPr>
        <w:t xml:space="preserve"> </w:t>
      </w:r>
      <w:r>
        <w:rPr>
          <w:color w:val="231F20"/>
        </w:rPr>
        <w:t>an</w:t>
      </w:r>
      <w:r>
        <w:rPr>
          <w:color w:val="231F20"/>
          <w:spacing w:val="-9"/>
        </w:rPr>
        <w:t xml:space="preserve"> </w:t>
      </w:r>
      <w:r>
        <w:rPr>
          <w:color w:val="231F20"/>
        </w:rPr>
        <w:t>ever-evolving</w:t>
      </w:r>
      <w:r>
        <w:rPr>
          <w:color w:val="231F20"/>
          <w:spacing w:val="-9"/>
        </w:rPr>
        <w:t xml:space="preserve"> </w:t>
      </w:r>
      <w:r>
        <w:rPr>
          <w:color w:val="231F20"/>
        </w:rPr>
        <w:t xml:space="preserve">global </w:t>
      </w:r>
      <w:r>
        <w:rPr>
          <w:color w:val="231F20"/>
          <w:w w:val="95"/>
        </w:rPr>
        <w:t>tourism industry. Once, sport-related international travel was the domain</w:t>
      </w:r>
      <w:r>
        <w:rPr>
          <w:color w:val="231F20"/>
          <w:spacing w:val="80"/>
        </w:rPr>
        <w:t xml:space="preserve"> </w:t>
      </w:r>
      <w:r>
        <w:rPr>
          <w:color w:val="231F20"/>
          <w:w w:val="95"/>
        </w:rPr>
        <w:t xml:space="preserve">of elite athletes, representing </w:t>
      </w:r>
      <w:r>
        <w:rPr>
          <w:color w:val="231F20"/>
          <w:w w:val="95"/>
        </w:rPr>
        <w:t>their countries in international competition. With expanded personal mobilities in developed societies has come sport- related</w:t>
      </w:r>
      <w:r>
        <w:rPr>
          <w:color w:val="231F20"/>
          <w:spacing w:val="-4"/>
          <w:w w:val="95"/>
        </w:rPr>
        <w:t xml:space="preserve"> </w:t>
      </w:r>
      <w:r>
        <w:rPr>
          <w:color w:val="231F20"/>
          <w:w w:val="95"/>
        </w:rPr>
        <w:t>travel</w:t>
      </w:r>
      <w:r>
        <w:rPr>
          <w:color w:val="231F20"/>
          <w:spacing w:val="-4"/>
          <w:w w:val="95"/>
        </w:rPr>
        <w:t xml:space="preserve"> </w:t>
      </w:r>
      <w:r>
        <w:rPr>
          <w:color w:val="231F20"/>
          <w:w w:val="95"/>
        </w:rPr>
        <w:t>that</w:t>
      </w:r>
      <w:r>
        <w:rPr>
          <w:color w:val="231F20"/>
          <w:spacing w:val="-4"/>
          <w:w w:val="95"/>
        </w:rPr>
        <w:t xml:space="preserve"> </w:t>
      </w:r>
      <w:r>
        <w:rPr>
          <w:color w:val="231F20"/>
          <w:w w:val="95"/>
        </w:rPr>
        <w:t>extends</w:t>
      </w:r>
      <w:r>
        <w:rPr>
          <w:color w:val="231F20"/>
          <w:spacing w:val="-4"/>
          <w:w w:val="95"/>
        </w:rPr>
        <w:t xml:space="preserve"> </w:t>
      </w:r>
      <w:r>
        <w:rPr>
          <w:color w:val="231F20"/>
          <w:w w:val="95"/>
        </w:rPr>
        <w:t>across</w:t>
      </w:r>
      <w:r>
        <w:rPr>
          <w:color w:val="231F20"/>
          <w:spacing w:val="-4"/>
          <w:w w:val="95"/>
        </w:rPr>
        <w:t xml:space="preserve"> </w:t>
      </w:r>
      <w:r>
        <w:rPr>
          <w:color w:val="231F20"/>
          <w:w w:val="95"/>
        </w:rPr>
        <w:t>all</w:t>
      </w:r>
      <w:r>
        <w:rPr>
          <w:color w:val="231F20"/>
          <w:spacing w:val="-4"/>
          <w:w w:val="95"/>
        </w:rPr>
        <w:t xml:space="preserve"> </w:t>
      </w:r>
      <w:r>
        <w:rPr>
          <w:color w:val="231F20"/>
          <w:w w:val="95"/>
        </w:rPr>
        <w:t>spatial</w:t>
      </w:r>
      <w:r>
        <w:rPr>
          <w:color w:val="231F20"/>
          <w:spacing w:val="-4"/>
          <w:w w:val="95"/>
        </w:rPr>
        <w:t xml:space="preserve"> </w:t>
      </w:r>
      <w:r>
        <w:rPr>
          <w:color w:val="231F20"/>
          <w:w w:val="95"/>
        </w:rPr>
        <w:t>scales,</w:t>
      </w:r>
      <w:r>
        <w:rPr>
          <w:color w:val="231F20"/>
          <w:spacing w:val="-4"/>
          <w:w w:val="95"/>
        </w:rPr>
        <w:t xml:space="preserve"> </w:t>
      </w:r>
      <w:r>
        <w:rPr>
          <w:color w:val="231F20"/>
          <w:w w:val="95"/>
        </w:rPr>
        <w:t>levels</w:t>
      </w:r>
      <w:r>
        <w:rPr>
          <w:color w:val="231F20"/>
          <w:spacing w:val="-4"/>
          <w:w w:val="95"/>
        </w:rPr>
        <w:t xml:space="preserve"> </w:t>
      </w:r>
      <w:r>
        <w:rPr>
          <w:color w:val="231F20"/>
          <w:w w:val="95"/>
        </w:rPr>
        <w:t>of</w:t>
      </w:r>
      <w:r>
        <w:rPr>
          <w:color w:val="231F20"/>
          <w:spacing w:val="-4"/>
          <w:w w:val="95"/>
        </w:rPr>
        <w:t xml:space="preserve"> </w:t>
      </w:r>
      <w:r>
        <w:rPr>
          <w:color w:val="231F20"/>
          <w:w w:val="95"/>
        </w:rPr>
        <w:t>competition</w:t>
      </w:r>
      <w:r>
        <w:rPr>
          <w:color w:val="231F20"/>
          <w:spacing w:val="-4"/>
          <w:w w:val="95"/>
        </w:rPr>
        <w:t xml:space="preserve"> </w:t>
      </w:r>
      <w:r>
        <w:rPr>
          <w:color w:val="231F20"/>
          <w:w w:val="95"/>
        </w:rPr>
        <w:t>and competitive–participatory, serious–casual and active–pas</w:t>
      </w:r>
      <w:r>
        <w:rPr>
          <w:color w:val="231F20"/>
          <w:w w:val="95"/>
        </w:rPr>
        <w:t>sive dimensions</w:t>
      </w:r>
      <w:r>
        <w:rPr>
          <w:color w:val="231F20"/>
          <w:spacing w:val="80"/>
        </w:rPr>
        <w:t xml:space="preserve"> </w:t>
      </w:r>
      <w:r>
        <w:rPr>
          <w:color w:val="231F20"/>
        </w:rPr>
        <w:t>of engagement (Higham &amp; Hinch, 2009). Thus, the Football World Cup and</w:t>
      </w:r>
      <w:r>
        <w:rPr>
          <w:color w:val="231F20"/>
          <w:spacing w:val="-9"/>
        </w:rPr>
        <w:t xml:space="preserve"> </w:t>
      </w:r>
      <w:r>
        <w:rPr>
          <w:color w:val="231F20"/>
        </w:rPr>
        <w:t>mega</w:t>
      </w:r>
      <w:r>
        <w:rPr>
          <w:color w:val="231F20"/>
          <w:spacing w:val="-9"/>
        </w:rPr>
        <w:t xml:space="preserve"> </w:t>
      </w:r>
      <w:r>
        <w:rPr>
          <w:color w:val="231F20"/>
        </w:rPr>
        <w:t>sports</w:t>
      </w:r>
      <w:r>
        <w:rPr>
          <w:color w:val="231F20"/>
          <w:spacing w:val="-9"/>
        </w:rPr>
        <w:t xml:space="preserve"> </w:t>
      </w:r>
      <w:r>
        <w:rPr>
          <w:color w:val="231F20"/>
        </w:rPr>
        <w:t>events</w:t>
      </w:r>
      <w:r>
        <w:rPr>
          <w:color w:val="231F20"/>
          <w:spacing w:val="-9"/>
        </w:rPr>
        <w:t xml:space="preserve"> </w:t>
      </w:r>
      <w:r>
        <w:rPr>
          <w:color w:val="231F20"/>
        </w:rPr>
        <w:t>more</w:t>
      </w:r>
      <w:r>
        <w:rPr>
          <w:color w:val="231F20"/>
          <w:spacing w:val="-9"/>
        </w:rPr>
        <w:t xml:space="preserve"> </w:t>
      </w:r>
      <w:r>
        <w:rPr>
          <w:color w:val="231F20"/>
        </w:rPr>
        <w:t>generally,</w:t>
      </w:r>
      <w:r>
        <w:rPr>
          <w:color w:val="231F20"/>
          <w:spacing w:val="-9"/>
        </w:rPr>
        <w:t xml:space="preserve"> </w:t>
      </w:r>
      <w:r>
        <w:rPr>
          <w:color w:val="231F20"/>
        </w:rPr>
        <w:t>must</w:t>
      </w:r>
      <w:r>
        <w:rPr>
          <w:color w:val="231F20"/>
          <w:spacing w:val="-9"/>
        </w:rPr>
        <w:t xml:space="preserve"> </w:t>
      </w:r>
      <w:r>
        <w:rPr>
          <w:color w:val="231F20"/>
        </w:rPr>
        <w:t>be</w:t>
      </w:r>
      <w:r>
        <w:rPr>
          <w:color w:val="231F20"/>
          <w:spacing w:val="-9"/>
        </w:rPr>
        <w:t xml:space="preserve"> </w:t>
      </w:r>
      <w:r>
        <w:rPr>
          <w:color w:val="231F20"/>
        </w:rPr>
        <w:t>recognised</w:t>
      </w:r>
      <w:r>
        <w:rPr>
          <w:color w:val="231F20"/>
          <w:spacing w:val="-9"/>
        </w:rPr>
        <w:t xml:space="preserve"> </w:t>
      </w:r>
      <w:r>
        <w:rPr>
          <w:color w:val="231F20"/>
        </w:rPr>
        <w:t>as</w:t>
      </w:r>
      <w:r>
        <w:rPr>
          <w:color w:val="231F20"/>
          <w:spacing w:val="-9"/>
        </w:rPr>
        <w:t xml:space="preserve"> </w:t>
      </w:r>
      <w:r>
        <w:rPr>
          <w:color w:val="231F20"/>
        </w:rPr>
        <w:t>but</w:t>
      </w:r>
      <w:r>
        <w:rPr>
          <w:color w:val="231F20"/>
          <w:spacing w:val="-9"/>
        </w:rPr>
        <w:t xml:space="preserve"> </w:t>
      </w:r>
      <w:r>
        <w:rPr>
          <w:color w:val="231F20"/>
        </w:rPr>
        <w:t>one</w:t>
      </w:r>
      <w:r>
        <w:rPr>
          <w:color w:val="231F20"/>
          <w:spacing w:val="-9"/>
        </w:rPr>
        <w:t xml:space="preserve"> </w:t>
      </w:r>
      <w:r>
        <w:rPr>
          <w:color w:val="231F20"/>
        </w:rPr>
        <w:t>of the manifold diverse forms of sport-related tourism.</w:t>
      </w:r>
    </w:p>
    <w:p w14:paraId="6589996A" w14:textId="77777777" w:rsidR="00AE0598" w:rsidRDefault="0069255A">
      <w:pPr>
        <w:pStyle w:val="Corpodetexto"/>
        <w:spacing w:before="23" w:line="232" w:lineRule="auto"/>
        <w:ind w:left="110" w:right="106" w:firstLine="320"/>
        <w:jc w:val="both"/>
      </w:pPr>
      <w:r>
        <w:rPr>
          <w:color w:val="231F20"/>
          <w:w w:val="95"/>
        </w:rPr>
        <w:t>Democratisation, the process of opening access t</w:t>
      </w:r>
      <w:r>
        <w:rPr>
          <w:color w:val="231F20"/>
          <w:w w:val="95"/>
        </w:rPr>
        <w:t xml:space="preserve">o previously restricted </w:t>
      </w:r>
      <w:r>
        <w:rPr>
          <w:color w:val="231F20"/>
        </w:rPr>
        <w:t>opportunities,</w:t>
      </w:r>
      <w:r>
        <w:rPr>
          <w:color w:val="231F20"/>
          <w:spacing w:val="-5"/>
        </w:rPr>
        <w:t xml:space="preserve"> </w:t>
      </w:r>
      <w:r>
        <w:rPr>
          <w:color w:val="231F20"/>
        </w:rPr>
        <w:t>applies</w:t>
      </w:r>
      <w:r>
        <w:rPr>
          <w:color w:val="231F20"/>
          <w:spacing w:val="-4"/>
        </w:rPr>
        <w:t xml:space="preserve"> </w:t>
      </w:r>
      <w:r>
        <w:rPr>
          <w:color w:val="231F20"/>
        </w:rPr>
        <w:t>to</w:t>
      </w:r>
      <w:r>
        <w:rPr>
          <w:color w:val="231F20"/>
          <w:spacing w:val="-5"/>
        </w:rPr>
        <w:t xml:space="preserve"> </w:t>
      </w:r>
      <w:r>
        <w:rPr>
          <w:color w:val="231F20"/>
        </w:rPr>
        <w:t>the</w:t>
      </w:r>
      <w:r>
        <w:rPr>
          <w:color w:val="231F20"/>
          <w:spacing w:val="-4"/>
        </w:rPr>
        <w:t xml:space="preserve"> </w:t>
      </w:r>
      <w:r>
        <w:rPr>
          <w:color w:val="231F20"/>
        </w:rPr>
        <w:t>development</w:t>
      </w:r>
      <w:r>
        <w:rPr>
          <w:color w:val="231F20"/>
          <w:spacing w:val="-4"/>
        </w:rPr>
        <w:t xml:space="preserve"> </w:t>
      </w:r>
      <w:r>
        <w:rPr>
          <w:color w:val="231F20"/>
        </w:rPr>
        <w:t>of</w:t>
      </w:r>
      <w:r>
        <w:rPr>
          <w:color w:val="231F20"/>
          <w:spacing w:val="-5"/>
        </w:rPr>
        <w:t xml:space="preserve"> </w:t>
      </w:r>
      <w:r>
        <w:rPr>
          <w:color w:val="231F20"/>
        </w:rPr>
        <w:t>sport</w:t>
      </w:r>
      <w:r>
        <w:rPr>
          <w:color w:val="231F20"/>
          <w:spacing w:val="-4"/>
        </w:rPr>
        <w:t xml:space="preserve"> </w:t>
      </w:r>
      <w:r>
        <w:rPr>
          <w:color w:val="231F20"/>
        </w:rPr>
        <w:t>and</w:t>
      </w:r>
      <w:r>
        <w:rPr>
          <w:color w:val="231F20"/>
          <w:spacing w:val="-4"/>
        </w:rPr>
        <w:t xml:space="preserve"> </w:t>
      </w:r>
      <w:r>
        <w:rPr>
          <w:color w:val="231F20"/>
        </w:rPr>
        <w:t>tourism</w:t>
      </w:r>
      <w:r>
        <w:rPr>
          <w:color w:val="231F20"/>
          <w:spacing w:val="-4"/>
        </w:rPr>
        <w:t xml:space="preserve"> </w:t>
      </w:r>
      <w:r>
        <w:rPr>
          <w:color w:val="231F20"/>
        </w:rPr>
        <w:t>in</w:t>
      </w:r>
      <w:r>
        <w:rPr>
          <w:color w:val="231F20"/>
          <w:spacing w:val="-5"/>
        </w:rPr>
        <w:t xml:space="preserve"> </w:t>
      </w:r>
      <w:r>
        <w:rPr>
          <w:color w:val="231F20"/>
        </w:rPr>
        <w:t xml:space="preserve">recent decades (Standeven &amp; De Knop, 1999). Participation in some sports </w:t>
      </w:r>
      <w:r>
        <w:rPr>
          <w:color w:val="231F20"/>
          <w:w w:val="95"/>
        </w:rPr>
        <w:t>remains</w:t>
      </w:r>
      <w:r>
        <w:rPr>
          <w:color w:val="231F20"/>
          <w:spacing w:val="18"/>
        </w:rPr>
        <w:t xml:space="preserve"> </w:t>
      </w:r>
      <w:r>
        <w:rPr>
          <w:color w:val="231F20"/>
          <w:w w:val="95"/>
        </w:rPr>
        <w:t>defined</w:t>
      </w:r>
      <w:r>
        <w:rPr>
          <w:color w:val="231F20"/>
          <w:spacing w:val="19"/>
        </w:rPr>
        <w:t xml:space="preserve"> </w:t>
      </w:r>
      <w:r>
        <w:rPr>
          <w:color w:val="231F20"/>
          <w:w w:val="95"/>
        </w:rPr>
        <w:t>by</w:t>
      </w:r>
      <w:r>
        <w:rPr>
          <w:color w:val="231F20"/>
          <w:spacing w:val="19"/>
        </w:rPr>
        <w:t xml:space="preserve"> </w:t>
      </w:r>
      <w:r>
        <w:rPr>
          <w:color w:val="231F20"/>
          <w:w w:val="95"/>
        </w:rPr>
        <w:t>factors</w:t>
      </w:r>
      <w:r>
        <w:rPr>
          <w:color w:val="231F20"/>
          <w:spacing w:val="18"/>
        </w:rPr>
        <w:t xml:space="preserve"> </w:t>
      </w:r>
      <w:r>
        <w:rPr>
          <w:color w:val="231F20"/>
          <w:w w:val="95"/>
        </w:rPr>
        <w:t>such</w:t>
      </w:r>
      <w:r>
        <w:rPr>
          <w:color w:val="231F20"/>
          <w:spacing w:val="19"/>
        </w:rPr>
        <w:t xml:space="preserve"> </w:t>
      </w:r>
      <w:r>
        <w:rPr>
          <w:color w:val="231F20"/>
          <w:w w:val="95"/>
        </w:rPr>
        <w:t>as</w:t>
      </w:r>
      <w:r>
        <w:rPr>
          <w:color w:val="231F20"/>
          <w:spacing w:val="19"/>
        </w:rPr>
        <w:t xml:space="preserve"> </w:t>
      </w:r>
      <w:r>
        <w:rPr>
          <w:color w:val="231F20"/>
          <w:w w:val="95"/>
        </w:rPr>
        <w:t>social</w:t>
      </w:r>
      <w:r>
        <w:rPr>
          <w:color w:val="231F20"/>
          <w:spacing w:val="18"/>
        </w:rPr>
        <w:t xml:space="preserve"> </w:t>
      </w:r>
      <w:r>
        <w:rPr>
          <w:color w:val="231F20"/>
          <w:w w:val="95"/>
        </w:rPr>
        <w:t>class;</w:t>
      </w:r>
      <w:r>
        <w:rPr>
          <w:color w:val="231F20"/>
          <w:spacing w:val="19"/>
        </w:rPr>
        <w:t xml:space="preserve"> </w:t>
      </w:r>
      <w:r>
        <w:rPr>
          <w:color w:val="231F20"/>
          <w:w w:val="95"/>
        </w:rPr>
        <w:t>‘Irrespective</w:t>
      </w:r>
      <w:r>
        <w:rPr>
          <w:color w:val="231F20"/>
          <w:spacing w:val="19"/>
        </w:rPr>
        <w:t xml:space="preserve"> </w:t>
      </w:r>
      <w:r>
        <w:rPr>
          <w:color w:val="231F20"/>
          <w:w w:val="95"/>
        </w:rPr>
        <w:t>of</w:t>
      </w:r>
      <w:r>
        <w:rPr>
          <w:color w:val="231F20"/>
          <w:spacing w:val="18"/>
        </w:rPr>
        <w:t xml:space="preserve"> </w:t>
      </w:r>
      <w:r>
        <w:rPr>
          <w:color w:val="231F20"/>
          <w:w w:val="95"/>
        </w:rPr>
        <w:t>culture</w:t>
      </w:r>
      <w:r>
        <w:rPr>
          <w:color w:val="231F20"/>
          <w:spacing w:val="19"/>
        </w:rPr>
        <w:t xml:space="preserve"> </w:t>
      </w:r>
      <w:r>
        <w:rPr>
          <w:color w:val="231F20"/>
          <w:spacing w:val="-5"/>
          <w:w w:val="95"/>
        </w:rPr>
        <w:t>or</w:t>
      </w:r>
    </w:p>
    <w:p w14:paraId="6ACF7649" w14:textId="77777777" w:rsidR="00AE0598" w:rsidRDefault="00AE0598">
      <w:pPr>
        <w:spacing w:line="232" w:lineRule="auto"/>
        <w:jc w:val="both"/>
        <w:sectPr w:rsidR="00AE0598">
          <w:pgSz w:w="8850" w:h="13270"/>
          <w:pgMar w:top="720" w:right="1080" w:bottom="280" w:left="1080" w:header="720" w:footer="720" w:gutter="0"/>
          <w:cols w:space="720"/>
        </w:sectPr>
      </w:pPr>
    </w:p>
    <w:p w14:paraId="33F9B53F" w14:textId="77777777" w:rsidR="00AE0598" w:rsidRDefault="0069255A">
      <w:pPr>
        <w:spacing w:before="87"/>
        <w:ind w:left="108"/>
        <w:rPr>
          <w:rFonts w:ascii="Trebuchet MS"/>
          <w:sz w:val="14"/>
        </w:rPr>
      </w:pPr>
      <w:r>
        <w:rPr>
          <w:rFonts w:ascii="Trebuchet MS"/>
          <w:color w:val="231F20"/>
          <w:w w:val="105"/>
          <w:sz w:val="14"/>
        </w:rPr>
        <w:lastRenderedPageBreak/>
        <w:t>6</w:t>
      </w:r>
      <w:r>
        <w:rPr>
          <w:rFonts w:ascii="Trebuchet MS"/>
          <w:color w:val="231F20"/>
          <w:spacing w:val="78"/>
          <w:w w:val="105"/>
          <w:sz w:val="14"/>
        </w:rPr>
        <w:t xml:space="preserve"> </w:t>
      </w:r>
      <w:r>
        <w:rPr>
          <w:rFonts w:ascii="Trebuchet MS"/>
          <w:color w:val="231F20"/>
          <w:w w:val="105"/>
          <w:sz w:val="14"/>
        </w:rPr>
        <w:t>Part</w:t>
      </w:r>
      <w:r>
        <w:rPr>
          <w:rFonts w:ascii="Trebuchet MS"/>
          <w:color w:val="231F20"/>
          <w:spacing w:val="-10"/>
          <w:w w:val="105"/>
          <w:sz w:val="14"/>
        </w:rPr>
        <w:t xml:space="preserve"> </w:t>
      </w:r>
      <w:r>
        <w:rPr>
          <w:rFonts w:ascii="Trebuchet MS"/>
          <w:color w:val="231F20"/>
          <w:w w:val="105"/>
          <w:sz w:val="14"/>
        </w:rPr>
        <w:t>1:</w:t>
      </w:r>
      <w:r>
        <w:rPr>
          <w:rFonts w:ascii="Trebuchet MS"/>
          <w:color w:val="231F20"/>
          <w:spacing w:val="-11"/>
          <w:w w:val="105"/>
          <w:sz w:val="14"/>
        </w:rPr>
        <w:t xml:space="preserve"> </w:t>
      </w:r>
      <w:r>
        <w:rPr>
          <w:rFonts w:ascii="Trebuchet MS"/>
          <w:color w:val="231F20"/>
          <w:spacing w:val="-2"/>
          <w:w w:val="105"/>
          <w:sz w:val="14"/>
        </w:rPr>
        <w:t>Introduction</w:t>
      </w:r>
    </w:p>
    <w:p w14:paraId="0DAB0CEE" w14:textId="77777777" w:rsidR="00AE0598" w:rsidRDefault="00AE0598">
      <w:pPr>
        <w:pStyle w:val="Corpodetexto"/>
        <w:rPr>
          <w:rFonts w:ascii="Trebuchet MS"/>
          <w:sz w:val="16"/>
        </w:rPr>
      </w:pPr>
    </w:p>
    <w:p w14:paraId="761BAE2C" w14:textId="77777777" w:rsidR="00AE0598" w:rsidRDefault="0069255A">
      <w:pPr>
        <w:pStyle w:val="Corpodetexto"/>
        <w:spacing w:before="118" w:line="232" w:lineRule="auto"/>
        <w:ind w:left="110" w:right="107"/>
        <w:jc w:val="both"/>
      </w:pPr>
      <w:r>
        <w:rPr>
          <w:color w:val="231F20"/>
          <w:w w:val="95"/>
        </w:rPr>
        <w:t xml:space="preserve">historical period, people use sport to distinguish themselves and to reflect </w:t>
      </w:r>
      <w:r>
        <w:rPr>
          <w:color w:val="231F20"/>
        </w:rPr>
        <w:t>their status and prestige’ (Booth &amp; Loy, 1999: 1). The existence of post- class egalitarian consumer cultures in sport is balanced by the fact that similar</w:t>
      </w:r>
      <w:r>
        <w:rPr>
          <w:color w:val="231F20"/>
          <w:spacing w:val="-6"/>
        </w:rPr>
        <w:t xml:space="preserve"> </w:t>
      </w:r>
      <w:r>
        <w:rPr>
          <w:color w:val="231F20"/>
        </w:rPr>
        <w:t>status</w:t>
      </w:r>
      <w:r>
        <w:rPr>
          <w:color w:val="231F20"/>
          <w:spacing w:val="-6"/>
        </w:rPr>
        <w:t xml:space="preserve"> </w:t>
      </w:r>
      <w:r>
        <w:rPr>
          <w:color w:val="231F20"/>
        </w:rPr>
        <w:t>groups</w:t>
      </w:r>
      <w:r>
        <w:rPr>
          <w:color w:val="231F20"/>
          <w:spacing w:val="-6"/>
        </w:rPr>
        <w:t xml:space="preserve"> </w:t>
      </w:r>
      <w:r>
        <w:rPr>
          <w:color w:val="231F20"/>
        </w:rPr>
        <w:t>generally</w:t>
      </w:r>
      <w:r>
        <w:rPr>
          <w:color w:val="231F20"/>
          <w:spacing w:val="-6"/>
        </w:rPr>
        <w:t xml:space="preserve"> </w:t>
      </w:r>
      <w:r>
        <w:rPr>
          <w:color w:val="231F20"/>
        </w:rPr>
        <w:t>share</w:t>
      </w:r>
      <w:r>
        <w:rPr>
          <w:color w:val="231F20"/>
          <w:spacing w:val="-6"/>
        </w:rPr>
        <w:t xml:space="preserve"> </w:t>
      </w:r>
      <w:r>
        <w:rPr>
          <w:color w:val="231F20"/>
        </w:rPr>
        <w:t>lifestyle</w:t>
      </w:r>
      <w:r>
        <w:rPr>
          <w:color w:val="231F20"/>
          <w:spacing w:val="-6"/>
        </w:rPr>
        <w:t xml:space="preserve"> </w:t>
      </w:r>
      <w:r>
        <w:rPr>
          <w:color w:val="231F20"/>
        </w:rPr>
        <w:t>and</w:t>
      </w:r>
      <w:r>
        <w:rPr>
          <w:color w:val="231F20"/>
          <w:spacing w:val="-6"/>
        </w:rPr>
        <w:t xml:space="preserve"> </w:t>
      </w:r>
      <w:r>
        <w:rPr>
          <w:color w:val="231F20"/>
        </w:rPr>
        <w:t>consumption</w:t>
      </w:r>
      <w:r>
        <w:rPr>
          <w:color w:val="231F20"/>
          <w:spacing w:val="-6"/>
        </w:rPr>
        <w:t xml:space="preserve"> </w:t>
      </w:r>
      <w:r>
        <w:rPr>
          <w:color w:val="231F20"/>
        </w:rPr>
        <w:t>patterns (Booth &amp; Loy, 1999). The links that</w:t>
      </w:r>
      <w:r>
        <w:rPr>
          <w:color w:val="231F20"/>
        </w:rPr>
        <w:t xml:space="preserve"> exist between socio-demographic status,</w:t>
      </w:r>
      <w:r>
        <w:rPr>
          <w:color w:val="231F20"/>
          <w:spacing w:val="-4"/>
        </w:rPr>
        <w:t xml:space="preserve"> </w:t>
      </w:r>
      <w:r>
        <w:rPr>
          <w:color w:val="231F20"/>
        </w:rPr>
        <w:t>lifestyle</w:t>
      </w:r>
      <w:r>
        <w:rPr>
          <w:color w:val="231F20"/>
          <w:spacing w:val="-4"/>
        </w:rPr>
        <w:t xml:space="preserve"> </w:t>
      </w:r>
      <w:r>
        <w:rPr>
          <w:color w:val="231F20"/>
        </w:rPr>
        <w:t>and</w:t>
      </w:r>
      <w:r>
        <w:rPr>
          <w:color w:val="231F20"/>
          <w:spacing w:val="-4"/>
        </w:rPr>
        <w:t xml:space="preserve"> </w:t>
      </w:r>
      <w:r>
        <w:rPr>
          <w:color w:val="231F20"/>
        </w:rPr>
        <w:t>consumption</w:t>
      </w:r>
      <w:r>
        <w:rPr>
          <w:color w:val="231F20"/>
          <w:spacing w:val="-4"/>
        </w:rPr>
        <w:t xml:space="preserve"> </w:t>
      </w:r>
      <w:r>
        <w:rPr>
          <w:color w:val="231F20"/>
        </w:rPr>
        <w:t>patterns</w:t>
      </w:r>
      <w:r>
        <w:rPr>
          <w:color w:val="231F20"/>
          <w:spacing w:val="-4"/>
        </w:rPr>
        <w:t xml:space="preserve"> </w:t>
      </w:r>
      <w:r>
        <w:rPr>
          <w:color w:val="231F20"/>
        </w:rPr>
        <w:t>in</w:t>
      </w:r>
      <w:r>
        <w:rPr>
          <w:color w:val="231F20"/>
          <w:spacing w:val="-4"/>
        </w:rPr>
        <w:t xml:space="preserve"> </w:t>
      </w:r>
      <w:r>
        <w:rPr>
          <w:color w:val="231F20"/>
        </w:rPr>
        <w:t>sport</w:t>
      </w:r>
      <w:r>
        <w:rPr>
          <w:color w:val="231F20"/>
          <w:spacing w:val="-4"/>
        </w:rPr>
        <w:t xml:space="preserve"> </w:t>
      </w:r>
      <w:r>
        <w:rPr>
          <w:color w:val="231F20"/>
        </w:rPr>
        <w:t>and</w:t>
      </w:r>
      <w:r>
        <w:rPr>
          <w:color w:val="231F20"/>
          <w:spacing w:val="-4"/>
        </w:rPr>
        <w:t xml:space="preserve"> </w:t>
      </w:r>
      <w:r>
        <w:rPr>
          <w:color w:val="231F20"/>
        </w:rPr>
        <w:t>tourism</w:t>
      </w:r>
      <w:r>
        <w:rPr>
          <w:color w:val="231F20"/>
          <w:spacing w:val="-4"/>
        </w:rPr>
        <w:t xml:space="preserve"> </w:t>
      </w:r>
      <w:r>
        <w:rPr>
          <w:color w:val="231F20"/>
        </w:rPr>
        <w:t>heighten the value and utility of defining sport tourism markets in practice.</w:t>
      </w:r>
    </w:p>
    <w:p w14:paraId="1EF5B22A" w14:textId="77777777" w:rsidR="00AE0598" w:rsidRDefault="0069255A">
      <w:pPr>
        <w:pStyle w:val="Corpodetexto"/>
        <w:spacing w:before="8" w:line="232" w:lineRule="auto"/>
        <w:ind w:left="110" w:right="107" w:firstLine="320"/>
        <w:jc w:val="both"/>
      </w:pPr>
      <w:r>
        <w:rPr>
          <w:color w:val="231F20"/>
          <w:w w:val="95"/>
        </w:rPr>
        <w:t>That</w:t>
      </w:r>
      <w:r>
        <w:rPr>
          <w:color w:val="231F20"/>
          <w:spacing w:val="-3"/>
          <w:w w:val="95"/>
        </w:rPr>
        <w:t xml:space="preserve"> </w:t>
      </w:r>
      <w:r>
        <w:rPr>
          <w:color w:val="231F20"/>
          <w:w w:val="95"/>
        </w:rPr>
        <w:t>said,</w:t>
      </w:r>
      <w:r>
        <w:rPr>
          <w:color w:val="231F20"/>
          <w:spacing w:val="-3"/>
          <w:w w:val="95"/>
        </w:rPr>
        <w:t xml:space="preserve"> </w:t>
      </w:r>
      <w:r>
        <w:rPr>
          <w:color w:val="231F20"/>
          <w:w w:val="95"/>
        </w:rPr>
        <w:t>the</w:t>
      </w:r>
      <w:r>
        <w:rPr>
          <w:color w:val="231F20"/>
          <w:spacing w:val="-3"/>
          <w:w w:val="95"/>
        </w:rPr>
        <w:t xml:space="preserve"> </w:t>
      </w:r>
      <w:r>
        <w:rPr>
          <w:color w:val="231F20"/>
          <w:w w:val="95"/>
        </w:rPr>
        <w:t>forces</w:t>
      </w:r>
      <w:r>
        <w:rPr>
          <w:color w:val="231F20"/>
          <w:spacing w:val="-3"/>
          <w:w w:val="95"/>
        </w:rPr>
        <w:t xml:space="preserve"> </w:t>
      </w:r>
      <w:r>
        <w:rPr>
          <w:color w:val="231F20"/>
          <w:w w:val="95"/>
        </w:rPr>
        <w:t>of</w:t>
      </w:r>
      <w:r>
        <w:rPr>
          <w:color w:val="231F20"/>
          <w:spacing w:val="15"/>
        </w:rPr>
        <w:t xml:space="preserve"> </w:t>
      </w:r>
      <w:r>
        <w:rPr>
          <w:color w:val="231F20"/>
          <w:w w:val="95"/>
        </w:rPr>
        <w:t>globalisation</w:t>
      </w:r>
      <w:r>
        <w:rPr>
          <w:color w:val="231F20"/>
          <w:spacing w:val="-3"/>
          <w:w w:val="95"/>
        </w:rPr>
        <w:t xml:space="preserve"> </w:t>
      </w:r>
      <w:r>
        <w:rPr>
          <w:color w:val="231F20"/>
          <w:w w:val="95"/>
        </w:rPr>
        <w:t>(Bernstein,</w:t>
      </w:r>
      <w:r>
        <w:rPr>
          <w:color w:val="231F20"/>
          <w:spacing w:val="-3"/>
          <w:w w:val="95"/>
        </w:rPr>
        <w:t xml:space="preserve"> </w:t>
      </w:r>
      <w:r>
        <w:rPr>
          <w:color w:val="231F20"/>
          <w:w w:val="95"/>
        </w:rPr>
        <w:t>2000;</w:t>
      </w:r>
      <w:r>
        <w:rPr>
          <w:color w:val="231F20"/>
          <w:spacing w:val="-3"/>
          <w:w w:val="95"/>
        </w:rPr>
        <w:t xml:space="preserve"> </w:t>
      </w:r>
      <w:r>
        <w:rPr>
          <w:color w:val="231F20"/>
          <w:w w:val="95"/>
        </w:rPr>
        <w:t>Milne</w:t>
      </w:r>
      <w:r>
        <w:rPr>
          <w:color w:val="231F20"/>
          <w:spacing w:val="-3"/>
          <w:w w:val="95"/>
        </w:rPr>
        <w:t xml:space="preserve"> </w:t>
      </w:r>
      <w:r>
        <w:rPr>
          <w:color w:val="231F20"/>
          <w:w w:val="95"/>
        </w:rPr>
        <w:t>&amp;</w:t>
      </w:r>
      <w:r>
        <w:rPr>
          <w:color w:val="231F20"/>
          <w:spacing w:val="-3"/>
          <w:w w:val="95"/>
        </w:rPr>
        <w:t xml:space="preserve"> </w:t>
      </w:r>
      <w:r>
        <w:rPr>
          <w:color w:val="231F20"/>
          <w:w w:val="95"/>
        </w:rPr>
        <w:t xml:space="preserve">Ateljevic, </w:t>
      </w:r>
      <w:r>
        <w:rPr>
          <w:color w:val="231F20"/>
          <w:w w:val="90"/>
        </w:rPr>
        <w:t>2004;</w:t>
      </w:r>
      <w:r>
        <w:rPr>
          <w:color w:val="231F20"/>
          <w:w w:val="90"/>
        </w:rPr>
        <w:t xml:space="preserve"> Thibault, 2009) and democratisation (Standeven &amp; De Knop, 1999) have </w:t>
      </w:r>
      <w:r>
        <w:rPr>
          <w:color w:val="231F20"/>
          <w:w w:val="95"/>
        </w:rPr>
        <w:t>had significant implications for the consumption of</w:t>
      </w:r>
      <w:r>
        <w:rPr>
          <w:color w:val="231F20"/>
        </w:rPr>
        <w:t xml:space="preserve"> </w:t>
      </w:r>
      <w:r>
        <w:rPr>
          <w:color w:val="231F20"/>
          <w:w w:val="95"/>
        </w:rPr>
        <w:t xml:space="preserve">sport and development processes in sport tourism (Chapter 4). The modern development of sport </w:t>
      </w:r>
      <w:r>
        <w:rPr>
          <w:color w:val="231F20"/>
          <w:spacing w:val="-2"/>
        </w:rPr>
        <w:t>tourism,</w:t>
      </w:r>
      <w:r>
        <w:rPr>
          <w:color w:val="231F20"/>
          <w:spacing w:val="-7"/>
        </w:rPr>
        <w:t xml:space="preserve"> </w:t>
      </w:r>
      <w:r>
        <w:rPr>
          <w:color w:val="231F20"/>
          <w:spacing w:val="-2"/>
        </w:rPr>
        <w:t>then,</w:t>
      </w:r>
      <w:r>
        <w:rPr>
          <w:color w:val="231F20"/>
          <w:spacing w:val="-7"/>
        </w:rPr>
        <w:t xml:space="preserve"> </w:t>
      </w:r>
      <w:r>
        <w:rPr>
          <w:color w:val="231F20"/>
          <w:spacing w:val="-2"/>
        </w:rPr>
        <w:t>stands</w:t>
      </w:r>
      <w:r>
        <w:rPr>
          <w:color w:val="231F20"/>
          <w:spacing w:val="-7"/>
        </w:rPr>
        <w:t xml:space="preserve"> </w:t>
      </w:r>
      <w:r>
        <w:rPr>
          <w:color w:val="231F20"/>
          <w:spacing w:val="-2"/>
        </w:rPr>
        <w:t>at</w:t>
      </w:r>
      <w:r>
        <w:rPr>
          <w:color w:val="231F20"/>
          <w:spacing w:val="-7"/>
        </w:rPr>
        <w:t xml:space="preserve"> </w:t>
      </w:r>
      <w:r>
        <w:rPr>
          <w:color w:val="231F20"/>
          <w:spacing w:val="-2"/>
        </w:rPr>
        <w:t>the</w:t>
      </w:r>
      <w:r>
        <w:rPr>
          <w:color w:val="231F20"/>
          <w:spacing w:val="-7"/>
        </w:rPr>
        <w:t xml:space="preserve"> </w:t>
      </w:r>
      <w:r>
        <w:rPr>
          <w:color w:val="231F20"/>
          <w:spacing w:val="-2"/>
        </w:rPr>
        <w:t>cross</w:t>
      </w:r>
      <w:r>
        <w:rPr>
          <w:color w:val="231F20"/>
          <w:spacing w:val="-7"/>
        </w:rPr>
        <w:t xml:space="preserve"> </w:t>
      </w:r>
      <w:r>
        <w:rPr>
          <w:color w:val="231F20"/>
          <w:spacing w:val="-2"/>
        </w:rPr>
        <w:t>section</w:t>
      </w:r>
      <w:r>
        <w:rPr>
          <w:color w:val="231F20"/>
          <w:spacing w:val="-7"/>
        </w:rPr>
        <w:t xml:space="preserve"> </w:t>
      </w:r>
      <w:r>
        <w:rPr>
          <w:color w:val="231F20"/>
          <w:spacing w:val="-2"/>
        </w:rPr>
        <w:t>of</w:t>
      </w:r>
      <w:r>
        <w:rPr>
          <w:color w:val="231F20"/>
        </w:rPr>
        <w:t xml:space="preserve"> </w:t>
      </w:r>
      <w:r>
        <w:rPr>
          <w:color w:val="231F20"/>
          <w:spacing w:val="-2"/>
        </w:rPr>
        <w:t>a</w:t>
      </w:r>
      <w:r>
        <w:rPr>
          <w:color w:val="231F20"/>
          <w:spacing w:val="-7"/>
        </w:rPr>
        <w:t xml:space="preserve"> </w:t>
      </w:r>
      <w:r>
        <w:rPr>
          <w:color w:val="231F20"/>
          <w:spacing w:val="-2"/>
        </w:rPr>
        <w:t>wide</w:t>
      </w:r>
      <w:r>
        <w:rPr>
          <w:color w:val="231F20"/>
          <w:spacing w:val="-7"/>
        </w:rPr>
        <w:t xml:space="preserve"> </w:t>
      </w:r>
      <w:r>
        <w:rPr>
          <w:color w:val="231F20"/>
          <w:spacing w:val="-2"/>
        </w:rPr>
        <w:t>range</w:t>
      </w:r>
      <w:r>
        <w:rPr>
          <w:color w:val="231F20"/>
          <w:spacing w:val="-7"/>
        </w:rPr>
        <w:t xml:space="preserve"> </w:t>
      </w:r>
      <w:r>
        <w:rPr>
          <w:color w:val="231F20"/>
          <w:spacing w:val="-2"/>
        </w:rPr>
        <w:t>of</w:t>
      </w:r>
      <w:r>
        <w:rPr>
          <w:color w:val="231F20"/>
        </w:rPr>
        <w:t xml:space="preserve"> </w:t>
      </w:r>
      <w:r>
        <w:rPr>
          <w:color w:val="231F20"/>
          <w:spacing w:val="-2"/>
        </w:rPr>
        <w:t>contemporary trends in sports participation and tourism development (Table 1.1).</w:t>
      </w:r>
    </w:p>
    <w:p w14:paraId="52C0C98D" w14:textId="77777777" w:rsidR="00AE0598" w:rsidRDefault="0069255A">
      <w:pPr>
        <w:pStyle w:val="Corpodetexto"/>
        <w:spacing w:before="8" w:line="232" w:lineRule="auto"/>
        <w:ind w:left="110" w:right="107" w:firstLine="320"/>
        <w:jc w:val="both"/>
      </w:pPr>
      <w:r>
        <w:rPr>
          <w:color w:val="231F20"/>
        </w:rPr>
        <w:t>These</w:t>
      </w:r>
      <w:r>
        <w:rPr>
          <w:color w:val="231F20"/>
          <w:spacing w:val="-6"/>
        </w:rPr>
        <w:t xml:space="preserve"> </w:t>
      </w:r>
      <w:r>
        <w:rPr>
          <w:color w:val="231F20"/>
        </w:rPr>
        <w:t>processes</w:t>
      </w:r>
      <w:r>
        <w:rPr>
          <w:color w:val="231F20"/>
          <w:spacing w:val="-6"/>
        </w:rPr>
        <w:t xml:space="preserve"> </w:t>
      </w:r>
      <w:r>
        <w:rPr>
          <w:color w:val="231F20"/>
        </w:rPr>
        <w:t>have</w:t>
      </w:r>
      <w:r>
        <w:rPr>
          <w:color w:val="231F20"/>
          <w:spacing w:val="-6"/>
        </w:rPr>
        <w:t xml:space="preserve"> </w:t>
      </w:r>
      <w:r>
        <w:rPr>
          <w:color w:val="231F20"/>
        </w:rPr>
        <w:t>been</w:t>
      </w:r>
      <w:r>
        <w:rPr>
          <w:color w:val="231F20"/>
          <w:spacing w:val="-6"/>
        </w:rPr>
        <w:t xml:space="preserve"> </w:t>
      </w:r>
      <w:r>
        <w:rPr>
          <w:color w:val="231F20"/>
        </w:rPr>
        <w:t>driven</w:t>
      </w:r>
      <w:r>
        <w:rPr>
          <w:color w:val="231F20"/>
          <w:spacing w:val="-6"/>
        </w:rPr>
        <w:t xml:space="preserve"> </w:t>
      </w:r>
      <w:r>
        <w:rPr>
          <w:color w:val="231F20"/>
        </w:rPr>
        <w:t>by</w:t>
      </w:r>
      <w:r>
        <w:rPr>
          <w:color w:val="231F20"/>
          <w:spacing w:val="-6"/>
        </w:rPr>
        <w:t xml:space="preserve"> </w:t>
      </w:r>
      <w:r>
        <w:rPr>
          <w:color w:val="231F20"/>
        </w:rPr>
        <w:t>neoliberal</w:t>
      </w:r>
      <w:r>
        <w:rPr>
          <w:color w:val="231F20"/>
          <w:spacing w:val="-6"/>
        </w:rPr>
        <w:t xml:space="preserve"> </w:t>
      </w:r>
      <w:r>
        <w:rPr>
          <w:color w:val="231F20"/>
        </w:rPr>
        <w:t>economic</w:t>
      </w:r>
      <w:r>
        <w:rPr>
          <w:color w:val="231F20"/>
          <w:spacing w:val="-6"/>
        </w:rPr>
        <w:t xml:space="preserve"> </w:t>
      </w:r>
      <w:r>
        <w:rPr>
          <w:color w:val="231F20"/>
        </w:rPr>
        <w:t>and</w:t>
      </w:r>
      <w:r>
        <w:rPr>
          <w:color w:val="231F20"/>
          <w:spacing w:val="-6"/>
        </w:rPr>
        <w:t xml:space="preserve"> </w:t>
      </w:r>
      <w:r>
        <w:rPr>
          <w:color w:val="231F20"/>
        </w:rPr>
        <w:t xml:space="preserve">global </w:t>
      </w:r>
      <w:r>
        <w:rPr>
          <w:color w:val="231F20"/>
          <w:w w:val="95"/>
        </w:rPr>
        <w:t xml:space="preserve">political forces (Collins, 1991; Cooper </w:t>
      </w:r>
      <w:r>
        <w:rPr>
          <w:i/>
          <w:color w:val="231F20"/>
          <w:w w:val="95"/>
        </w:rPr>
        <w:t>et al</w:t>
      </w:r>
      <w:r>
        <w:rPr>
          <w:color w:val="231F20"/>
          <w:w w:val="95"/>
        </w:rPr>
        <w:t>., 1993; Gibson, 1998a; Nauright, 19</w:t>
      </w:r>
      <w:r>
        <w:rPr>
          <w:color w:val="231F20"/>
          <w:w w:val="95"/>
        </w:rPr>
        <w:t xml:space="preserve">96), as well as changing social attitudes and values (Jackson </w:t>
      </w:r>
      <w:r>
        <w:rPr>
          <w:i/>
          <w:color w:val="231F20"/>
          <w:w w:val="95"/>
        </w:rPr>
        <w:t>et al</w:t>
      </w:r>
      <w:r>
        <w:rPr>
          <w:color w:val="231F20"/>
          <w:w w:val="95"/>
        </w:rPr>
        <w:t>., 2001; Redmond,</w:t>
      </w:r>
      <w:r>
        <w:rPr>
          <w:color w:val="231F20"/>
          <w:spacing w:val="-1"/>
          <w:w w:val="95"/>
        </w:rPr>
        <w:t xml:space="preserve"> </w:t>
      </w:r>
      <w:r>
        <w:rPr>
          <w:color w:val="231F20"/>
          <w:w w:val="95"/>
        </w:rPr>
        <w:t>1991).</w:t>
      </w:r>
      <w:r>
        <w:rPr>
          <w:color w:val="231F20"/>
          <w:spacing w:val="-1"/>
          <w:w w:val="95"/>
        </w:rPr>
        <w:t xml:space="preserve"> </w:t>
      </w:r>
      <w:r>
        <w:rPr>
          <w:color w:val="231F20"/>
          <w:w w:val="95"/>
        </w:rPr>
        <w:t>They</w:t>
      </w:r>
      <w:r>
        <w:rPr>
          <w:color w:val="231F20"/>
          <w:spacing w:val="-1"/>
          <w:w w:val="95"/>
        </w:rPr>
        <w:t xml:space="preserve"> </w:t>
      </w:r>
      <w:r>
        <w:rPr>
          <w:color w:val="231F20"/>
          <w:w w:val="95"/>
        </w:rPr>
        <w:t>have</w:t>
      </w:r>
      <w:r>
        <w:rPr>
          <w:color w:val="231F20"/>
          <w:spacing w:val="-1"/>
          <w:w w:val="95"/>
        </w:rPr>
        <w:t xml:space="preserve"> </w:t>
      </w:r>
      <w:r>
        <w:rPr>
          <w:color w:val="231F20"/>
          <w:w w:val="95"/>
        </w:rPr>
        <w:t>also</w:t>
      </w:r>
      <w:r>
        <w:rPr>
          <w:color w:val="231F20"/>
          <w:spacing w:val="-1"/>
          <w:w w:val="95"/>
        </w:rPr>
        <w:t xml:space="preserve"> </w:t>
      </w:r>
      <w:r>
        <w:rPr>
          <w:color w:val="231F20"/>
          <w:w w:val="95"/>
        </w:rPr>
        <w:t>been</w:t>
      </w:r>
      <w:r>
        <w:rPr>
          <w:color w:val="231F20"/>
          <w:spacing w:val="-1"/>
          <w:w w:val="95"/>
        </w:rPr>
        <w:t xml:space="preserve"> </w:t>
      </w:r>
      <w:r>
        <w:rPr>
          <w:color w:val="231F20"/>
          <w:w w:val="95"/>
        </w:rPr>
        <w:t>facilitated</w:t>
      </w:r>
      <w:r>
        <w:rPr>
          <w:color w:val="231F20"/>
          <w:spacing w:val="-1"/>
          <w:w w:val="95"/>
        </w:rPr>
        <w:t xml:space="preserve"> </w:t>
      </w:r>
      <w:r>
        <w:rPr>
          <w:color w:val="231F20"/>
          <w:w w:val="95"/>
        </w:rPr>
        <w:t>by</w:t>
      </w:r>
      <w:r>
        <w:rPr>
          <w:color w:val="231F20"/>
          <w:spacing w:val="-1"/>
          <w:w w:val="95"/>
        </w:rPr>
        <w:t xml:space="preserve"> </w:t>
      </w:r>
      <w:r>
        <w:rPr>
          <w:color w:val="231F20"/>
          <w:w w:val="95"/>
        </w:rPr>
        <w:t>technological</w:t>
      </w:r>
      <w:r>
        <w:rPr>
          <w:color w:val="231F20"/>
          <w:spacing w:val="-1"/>
          <w:w w:val="95"/>
        </w:rPr>
        <w:t xml:space="preserve"> </w:t>
      </w:r>
      <w:r>
        <w:rPr>
          <w:color w:val="231F20"/>
          <w:w w:val="95"/>
        </w:rPr>
        <w:t xml:space="preserve">advances, </w:t>
      </w:r>
      <w:r>
        <w:rPr>
          <w:color w:val="231F20"/>
          <w:spacing w:val="-2"/>
          <w:w w:val="95"/>
        </w:rPr>
        <w:t>such as satellite television broadcasting and internet live streaming that have</w:t>
      </w:r>
    </w:p>
    <w:p w14:paraId="49010D53" w14:textId="77777777" w:rsidR="00AE0598" w:rsidRDefault="00AE0598">
      <w:pPr>
        <w:pStyle w:val="Corpodetexto"/>
        <w:spacing w:before="7"/>
        <w:rPr>
          <w:sz w:val="24"/>
        </w:rPr>
      </w:pPr>
    </w:p>
    <w:p w14:paraId="48690098" w14:textId="77777777" w:rsidR="00AE0598" w:rsidRDefault="0069255A">
      <w:pPr>
        <w:spacing w:before="99"/>
        <w:ind w:left="110"/>
        <w:rPr>
          <w:rFonts w:ascii="Trebuchet MS"/>
          <w:sz w:val="16"/>
        </w:rPr>
      </w:pPr>
      <w:r>
        <w:rPr>
          <w:rFonts w:ascii="Trebuchet MS"/>
          <w:b/>
          <w:color w:val="231F20"/>
          <w:sz w:val="16"/>
        </w:rPr>
        <w:t>Table</w:t>
      </w:r>
      <w:r>
        <w:rPr>
          <w:rFonts w:ascii="Trebuchet MS"/>
          <w:b/>
          <w:color w:val="231F20"/>
          <w:spacing w:val="16"/>
          <w:sz w:val="16"/>
        </w:rPr>
        <w:t xml:space="preserve"> </w:t>
      </w:r>
      <w:r>
        <w:rPr>
          <w:rFonts w:ascii="Trebuchet MS"/>
          <w:b/>
          <w:color w:val="231F20"/>
          <w:sz w:val="16"/>
        </w:rPr>
        <w:t>1.1</w:t>
      </w:r>
      <w:r>
        <w:rPr>
          <w:rFonts w:ascii="Trebuchet MS"/>
          <w:b/>
          <w:color w:val="231F20"/>
          <w:spacing w:val="67"/>
          <w:sz w:val="16"/>
        </w:rPr>
        <w:t xml:space="preserve"> </w:t>
      </w:r>
      <w:r>
        <w:rPr>
          <w:rFonts w:ascii="Trebuchet MS"/>
          <w:color w:val="231F20"/>
          <w:sz w:val="16"/>
        </w:rPr>
        <w:t>Contemporary</w:t>
      </w:r>
      <w:r>
        <w:rPr>
          <w:rFonts w:ascii="Trebuchet MS"/>
          <w:color w:val="231F20"/>
          <w:spacing w:val="16"/>
          <w:sz w:val="16"/>
        </w:rPr>
        <w:t xml:space="preserve"> </w:t>
      </w:r>
      <w:r>
        <w:rPr>
          <w:rFonts w:ascii="Trebuchet MS"/>
          <w:color w:val="231F20"/>
          <w:sz w:val="16"/>
        </w:rPr>
        <w:t>trends</w:t>
      </w:r>
      <w:r>
        <w:rPr>
          <w:rFonts w:ascii="Trebuchet MS"/>
          <w:color w:val="231F20"/>
          <w:spacing w:val="16"/>
          <w:sz w:val="16"/>
        </w:rPr>
        <w:t xml:space="preserve"> </w:t>
      </w:r>
      <w:r>
        <w:rPr>
          <w:rFonts w:ascii="Trebuchet MS"/>
          <w:color w:val="231F20"/>
          <w:sz w:val="16"/>
        </w:rPr>
        <w:t>in</w:t>
      </w:r>
      <w:r>
        <w:rPr>
          <w:rFonts w:ascii="Trebuchet MS"/>
          <w:color w:val="231F20"/>
          <w:spacing w:val="16"/>
          <w:sz w:val="16"/>
        </w:rPr>
        <w:t xml:space="preserve"> </w:t>
      </w:r>
      <w:r>
        <w:rPr>
          <w:rFonts w:ascii="Trebuchet MS"/>
          <w:color w:val="231F20"/>
          <w:sz w:val="16"/>
        </w:rPr>
        <w:t>sports</w:t>
      </w:r>
      <w:r>
        <w:rPr>
          <w:rFonts w:ascii="Trebuchet MS"/>
          <w:color w:val="231F20"/>
          <w:spacing w:val="16"/>
          <w:sz w:val="16"/>
        </w:rPr>
        <w:t xml:space="preserve"> </w:t>
      </w:r>
      <w:r>
        <w:rPr>
          <w:rFonts w:ascii="Trebuchet MS"/>
          <w:color w:val="231F20"/>
          <w:sz w:val="16"/>
        </w:rPr>
        <w:t>participation</w:t>
      </w:r>
      <w:r>
        <w:rPr>
          <w:rFonts w:ascii="Trebuchet MS"/>
          <w:color w:val="231F20"/>
          <w:spacing w:val="16"/>
          <w:sz w:val="16"/>
        </w:rPr>
        <w:t xml:space="preserve"> </w:t>
      </w:r>
      <w:r>
        <w:rPr>
          <w:rFonts w:ascii="Trebuchet MS"/>
          <w:color w:val="231F20"/>
          <w:sz w:val="16"/>
        </w:rPr>
        <w:t>and</w:t>
      </w:r>
      <w:r>
        <w:rPr>
          <w:rFonts w:ascii="Trebuchet MS"/>
          <w:color w:val="231F20"/>
          <w:spacing w:val="16"/>
          <w:sz w:val="16"/>
        </w:rPr>
        <w:t xml:space="preserve"> </w:t>
      </w:r>
      <w:r>
        <w:rPr>
          <w:rFonts w:ascii="Trebuchet MS"/>
          <w:color w:val="231F20"/>
          <w:sz w:val="16"/>
        </w:rPr>
        <w:t>tourism</w:t>
      </w:r>
      <w:r>
        <w:rPr>
          <w:rFonts w:ascii="Trebuchet MS"/>
          <w:color w:val="231F20"/>
          <w:spacing w:val="16"/>
          <w:sz w:val="16"/>
        </w:rPr>
        <w:t xml:space="preserve"> </w:t>
      </w:r>
      <w:r>
        <w:rPr>
          <w:rFonts w:ascii="Trebuchet MS"/>
          <w:color w:val="231F20"/>
          <w:spacing w:val="-2"/>
          <w:sz w:val="16"/>
        </w:rPr>
        <w:t>development</w:t>
      </w:r>
    </w:p>
    <w:p w14:paraId="7F48A015" w14:textId="77777777" w:rsidR="00AE0598" w:rsidRDefault="0069255A">
      <w:pPr>
        <w:spacing w:before="138"/>
        <w:ind w:left="110"/>
        <w:rPr>
          <w:rFonts w:ascii="Trebuchet MS"/>
          <w:b/>
          <w:sz w:val="14"/>
        </w:rPr>
      </w:pPr>
      <w:r>
        <w:rPr>
          <w:rFonts w:ascii="Trebuchet MS"/>
          <w:b/>
          <w:color w:val="231F20"/>
          <w:sz w:val="14"/>
        </w:rPr>
        <w:t>Sports</w:t>
      </w:r>
      <w:r>
        <w:rPr>
          <w:rFonts w:ascii="Trebuchet MS"/>
          <w:b/>
          <w:color w:val="231F20"/>
          <w:spacing w:val="20"/>
          <w:sz w:val="14"/>
        </w:rPr>
        <w:t xml:space="preserve"> </w:t>
      </w:r>
      <w:r>
        <w:rPr>
          <w:rFonts w:ascii="Trebuchet MS"/>
          <w:b/>
          <w:color w:val="231F20"/>
          <w:spacing w:val="-2"/>
          <w:sz w:val="14"/>
        </w:rPr>
        <w:t>participation</w:t>
      </w:r>
    </w:p>
    <w:p w14:paraId="20322FCE" w14:textId="1D10AF4C" w:rsidR="00AE0598" w:rsidRDefault="0069255A">
      <w:pPr>
        <w:pStyle w:val="Corpodetexto"/>
        <w:spacing w:before="7"/>
        <w:rPr>
          <w:rFonts w:ascii="Trebuchet MS"/>
          <w:b/>
          <w:sz w:val="5"/>
        </w:rPr>
      </w:pPr>
      <w:r>
        <w:rPr>
          <w:noProof/>
        </w:rPr>
        <mc:AlternateContent>
          <mc:Choice Requires="wps">
            <w:drawing>
              <wp:anchor distT="0" distB="0" distL="0" distR="0" simplePos="0" relativeHeight="487587840" behindDoc="1" locked="0" layoutInCell="1" allowOverlap="1" wp14:anchorId="1B3C876D" wp14:editId="51E6C497">
                <wp:simplePos x="0" y="0"/>
                <wp:positionH relativeFrom="page">
                  <wp:posOffset>755650</wp:posOffset>
                </wp:positionH>
                <wp:positionV relativeFrom="paragraph">
                  <wp:posOffset>56515</wp:posOffset>
                </wp:positionV>
                <wp:extent cx="4104005" cy="1270"/>
                <wp:effectExtent l="0" t="0" r="0" b="0"/>
                <wp:wrapTopAndBottom/>
                <wp:docPr id="382" name="docshape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104005" cy="1270"/>
                        </a:xfrm>
                        <a:custGeom>
                          <a:avLst/>
                          <a:gdLst>
                            <a:gd name="T0" fmla="+- 0 1190 1190"/>
                            <a:gd name="T1" fmla="*/ T0 w 6463"/>
                            <a:gd name="T2" fmla="+- 0 7653 1190"/>
                            <a:gd name="T3" fmla="*/ T2 w 6463"/>
                          </a:gdLst>
                          <a:ahLst/>
                          <a:cxnLst>
                            <a:cxn ang="0">
                              <a:pos x="T1" y="0"/>
                            </a:cxn>
                            <a:cxn ang="0">
                              <a:pos x="T3" y="0"/>
                            </a:cxn>
                          </a:cxnLst>
                          <a:rect l="0" t="0" r="r" b="b"/>
                          <a:pathLst>
                            <a:path w="6463">
                              <a:moveTo>
                                <a:pt x="0" y="0"/>
                              </a:moveTo>
                              <a:lnTo>
                                <a:pt x="6463" y="0"/>
                              </a:lnTo>
                            </a:path>
                          </a:pathLst>
                        </a:custGeom>
                        <a:noFill/>
                        <a:ln w="3175">
                          <a:solidFill>
                            <a:srgbClr val="231F2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5EF175" id="docshape1" o:spid="_x0000_s1026" style="position:absolute;margin-left:59.5pt;margin-top:4.45pt;width:323.15pt;height:.1pt;z-index:-157286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46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" path="m,l6463,e" filled="f" strokecolor="#231f20" strokeweight=".25pt">
                <v:path arrowok="t" o:connecttype="custom" o:connectlocs="0,0;4104005,0" o:connectangles="0,0"/>
                <w10:wrap type="topAndBottom" anchorx="page"/>
              </v:shape>
            </w:pict>
          </mc:Fallback>
        </mc:AlternateContent>
      </w:r>
    </w:p>
    <w:p w14:paraId="4060B426" w14:textId="77777777" w:rsidR="00AE0598" w:rsidRDefault="0069255A">
      <w:pPr>
        <w:pStyle w:val="PargrafodaLista"/>
        <w:numPr>
          <w:ilvl w:val="0"/>
          <w:numId w:val="19"/>
        </w:numPr>
        <w:tabs>
          <w:tab w:val="left" w:pos="312"/>
        </w:tabs>
        <w:spacing w:before="31" w:after="29"/>
        <w:rPr>
          <w:sz w:val="14"/>
        </w:rPr>
      </w:pPr>
      <w:r>
        <w:rPr>
          <w:color w:val="231F20"/>
          <w:sz w:val="14"/>
        </w:rPr>
        <w:t>The</w:t>
      </w:r>
      <w:r>
        <w:rPr>
          <w:color w:val="231F20"/>
          <w:spacing w:val="25"/>
          <w:sz w:val="14"/>
        </w:rPr>
        <w:t xml:space="preserve"> </w:t>
      </w:r>
      <w:r>
        <w:rPr>
          <w:color w:val="231F20"/>
          <w:sz w:val="14"/>
        </w:rPr>
        <w:t>expanding</w:t>
      </w:r>
      <w:r>
        <w:rPr>
          <w:color w:val="231F20"/>
          <w:spacing w:val="25"/>
          <w:sz w:val="14"/>
        </w:rPr>
        <w:t xml:space="preserve"> </w:t>
      </w:r>
      <w:r>
        <w:rPr>
          <w:color w:val="231F20"/>
          <w:sz w:val="14"/>
        </w:rPr>
        <w:t>demographic</w:t>
      </w:r>
      <w:r>
        <w:rPr>
          <w:color w:val="231F20"/>
          <w:spacing w:val="26"/>
          <w:sz w:val="14"/>
        </w:rPr>
        <w:t xml:space="preserve"> </w:t>
      </w:r>
      <w:r>
        <w:rPr>
          <w:color w:val="231F20"/>
          <w:sz w:val="14"/>
        </w:rPr>
        <w:t>profile</w:t>
      </w:r>
      <w:r>
        <w:rPr>
          <w:color w:val="231F20"/>
          <w:spacing w:val="25"/>
          <w:sz w:val="14"/>
        </w:rPr>
        <w:t xml:space="preserve"> </w:t>
      </w:r>
      <w:r>
        <w:rPr>
          <w:color w:val="231F20"/>
          <w:sz w:val="14"/>
        </w:rPr>
        <w:t>of</w:t>
      </w:r>
      <w:r>
        <w:rPr>
          <w:color w:val="231F20"/>
          <w:spacing w:val="25"/>
          <w:sz w:val="14"/>
        </w:rPr>
        <w:t xml:space="preserve"> </w:t>
      </w:r>
      <w:r>
        <w:rPr>
          <w:color w:val="231F20"/>
          <w:sz w:val="14"/>
        </w:rPr>
        <w:t>participants</w:t>
      </w:r>
      <w:r>
        <w:rPr>
          <w:color w:val="231F20"/>
          <w:spacing w:val="26"/>
          <w:sz w:val="14"/>
        </w:rPr>
        <w:t xml:space="preserve"> </w:t>
      </w:r>
      <w:r>
        <w:rPr>
          <w:color w:val="231F20"/>
          <w:sz w:val="14"/>
        </w:rPr>
        <w:t>in</w:t>
      </w:r>
      <w:r>
        <w:rPr>
          <w:color w:val="231F20"/>
          <w:spacing w:val="25"/>
          <w:sz w:val="14"/>
        </w:rPr>
        <w:t xml:space="preserve"> </w:t>
      </w:r>
      <w:r>
        <w:rPr>
          <w:color w:val="231F20"/>
          <w:sz w:val="14"/>
        </w:rPr>
        <w:t>sports</w:t>
      </w:r>
      <w:r>
        <w:rPr>
          <w:color w:val="231F20"/>
          <w:spacing w:val="25"/>
          <w:sz w:val="14"/>
        </w:rPr>
        <w:t xml:space="preserve"> </w:t>
      </w:r>
      <w:r>
        <w:rPr>
          <w:color w:val="231F20"/>
          <w:sz w:val="14"/>
        </w:rPr>
        <w:t>(Glyptis,</w:t>
      </w:r>
      <w:r>
        <w:rPr>
          <w:color w:val="231F20"/>
          <w:spacing w:val="26"/>
          <w:sz w:val="14"/>
        </w:rPr>
        <w:t xml:space="preserve"> </w:t>
      </w:r>
      <w:r>
        <w:rPr>
          <w:color w:val="231F20"/>
          <w:spacing w:val="-2"/>
          <w:sz w:val="14"/>
        </w:rPr>
        <w:t>1989).</w:t>
      </w:r>
    </w:p>
    <w:p w14:paraId="58EBE620" w14:textId="66E374BE" w:rsidR="00AE0598" w:rsidRDefault="0069255A">
      <w:pPr>
        <w:pStyle w:val="Corpodetexto"/>
        <w:spacing w:line="20" w:lineRule="exact"/>
        <w:ind w:left="110"/>
        <w:rPr>
          <w:rFonts w:ascii="Trebuchet MS"/>
          <w:sz w:val="2"/>
        </w:rPr>
      </w:pPr>
      <w:r>
        <w:rPr>
          <w:rFonts w:ascii="Trebuchet MS"/>
          <w:noProof/>
          <w:sz w:val="2"/>
        </w:rPr>
        <mc:AlternateContent>
          <mc:Choice Requires="wpg">
            <w:drawing>
              <wp:inline distT="0" distB="0" distL="0" distR="0" wp14:anchorId="7C2412CC" wp14:editId="268F6A08">
                <wp:extent cx="4104005" cy="3175"/>
                <wp:effectExtent l="12700" t="7620" r="7620" b="8255"/>
                <wp:docPr id="380" name="docshapegroup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04005" cy="3175"/>
                          <a:chOff x="0" y="0"/>
                          <a:chExt cx="6463" cy="5"/>
                        </a:xfrm>
                      </wpg:grpSpPr>
                      <wps:wsp>
                        <wps:cNvPr id="381" name="Line 382"/>
                        <wps:cNvCnPr>
                          <a:cxnSpLocks noChangeShapeType="1"/>
                        </wps:cNvCnPr>
                        <wps:spPr bwMode="auto">
                          <a:xfrm>
                            <a:off x="0" y="3"/>
                            <a:ext cx="6463" cy="0"/>
                          </a:xfrm>
                          <a:prstGeom prst="line">
                            <a:avLst/>
                          </a:prstGeom>
                          <a:noFill/>
                          <a:ln w="3175">
                            <a:solidFill>
                              <a:srgbClr val="231F2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2687BA1E" id="docshapegroup2" o:spid="_x0000_s1026" style="width:323.15pt;height:.25pt;mso-position-horizontal-relative:char;mso-position-vertical-relative:line" coordsize="64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">
                <v:line id="Line 382" o:spid="_x0000_s1027" style="position:absolute;visibility:visible;mso-wrap-style:square" from="0,3" to="646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" strokecolor="#231f20" strokeweight=".25pt"/>
                <w10:anchorlock/>
              </v:group>
            </w:pict>
          </mc:Fallback>
        </mc:AlternateContent>
      </w:r>
    </w:p>
    <w:p w14:paraId="6CE84F09" w14:textId="62A31394" w:rsidR="00AE0598" w:rsidRDefault="0069255A">
      <w:pPr>
        <w:pStyle w:val="PargrafodaLista"/>
        <w:numPr>
          <w:ilvl w:val="0"/>
          <w:numId w:val="19"/>
        </w:numPr>
        <w:tabs>
          <w:tab w:val="left" w:pos="323"/>
        </w:tabs>
        <w:spacing w:before="16" w:line="235" w:lineRule="auto"/>
        <w:ind w:left="322" w:right="578" w:hanging="213"/>
        <w:rPr>
          <w:sz w:val="14"/>
        </w:rPr>
      </w:pPr>
      <w:r>
        <w:rPr>
          <w:noProof/>
        </w:rPr>
        <mc:AlternateContent>
          <mc:Choice Requires="wps">
            <w:drawing>
              <wp:anchor distT="0" distB="0" distL="0" distR="0" simplePos="0" relativeHeight="487588864" behindDoc="1" locked="0" layoutInCell="1" allowOverlap="1" wp14:anchorId="777A4EB9" wp14:editId="1C5777FE">
                <wp:simplePos x="0" y="0"/>
                <wp:positionH relativeFrom="page">
                  <wp:posOffset>755650</wp:posOffset>
                </wp:positionH>
                <wp:positionV relativeFrom="paragraph">
                  <wp:posOffset>231775</wp:posOffset>
                </wp:positionV>
                <wp:extent cx="4104005" cy="1270"/>
                <wp:effectExtent l="0" t="0" r="0" b="0"/>
                <wp:wrapTopAndBottom/>
                <wp:docPr id="379" name="docshape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104005" cy="1270"/>
                        </a:xfrm>
                        <a:custGeom>
                          <a:avLst/>
                          <a:gdLst>
                            <a:gd name="T0" fmla="+- 0 1190 1190"/>
                            <a:gd name="T1" fmla="*/ T0 w 6463"/>
                            <a:gd name="T2" fmla="+- 0 7653 1190"/>
                            <a:gd name="T3" fmla="*/ T2 w 6463"/>
                          </a:gdLst>
                          <a:ahLst/>
                          <a:cxnLst>
                            <a:cxn ang="0">
                              <a:pos x="T1" y="0"/>
                            </a:cxn>
                            <a:cxn ang="0">
                              <a:pos x="T3" y="0"/>
                            </a:cxn>
                          </a:cxnLst>
                          <a:rect l="0" t="0" r="r" b="b"/>
                          <a:pathLst>
                            <a:path w="6463">
                              <a:moveTo>
                                <a:pt x="0" y="0"/>
                              </a:moveTo>
                              <a:lnTo>
                                <a:pt x="6463" y="0"/>
                              </a:lnTo>
                            </a:path>
                          </a:pathLst>
                        </a:custGeom>
                        <a:noFill/>
                        <a:ln w="3175">
                          <a:solidFill>
                            <a:srgbClr val="231F2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374514" id="docshape3" o:spid="_x0000_s1026" style="position:absolute;margin-left:59.5pt;margin-top:18.25pt;width:323.15pt;height:.1pt;z-index:-157276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46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" path="m,l6463,e" filled="f" strokecolor="#231f20" strokeweight=".25pt">
                <v:path arrowok="t" o:connecttype="custom" o:connectlocs="0,0;4104005,0" o:connectangles="0,0"/>
                <w10:wrap type="topAndBottom" anchorx="page"/>
              </v:shape>
            </w:pict>
          </mc:Fallback>
        </mc:AlternateContent>
      </w:r>
      <w:r>
        <w:rPr>
          <w:color w:val="231F20"/>
          <w:w w:val="105"/>
          <w:sz w:val="14"/>
        </w:rPr>
        <w:t>Heightened</w:t>
      </w:r>
      <w:r>
        <w:rPr>
          <w:color w:val="231F20"/>
          <w:spacing w:val="-3"/>
          <w:w w:val="105"/>
          <w:sz w:val="14"/>
        </w:rPr>
        <w:t xml:space="preserve"> </w:t>
      </w:r>
      <w:r>
        <w:rPr>
          <w:color w:val="231F20"/>
          <w:w w:val="105"/>
          <w:sz w:val="14"/>
        </w:rPr>
        <w:t>interests</w:t>
      </w:r>
      <w:r>
        <w:rPr>
          <w:color w:val="231F20"/>
          <w:spacing w:val="-3"/>
          <w:w w:val="105"/>
          <w:sz w:val="14"/>
        </w:rPr>
        <w:t xml:space="preserve"> </w:t>
      </w:r>
      <w:r>
        <w:rPr>
          <w:color w:val="231F20"/>
          <w:w w:val="105"/>
          <w:sz w:val="14"/>
        </w:rPr>
        <w:t>in</w:t>
      </w:r>
      <w:r>
        <w:rPr>
          <w:color w:val="231F20"/>
          <w:spacing w:val="-3"/>
          <w:w w:val="105"/>
          <w:sz w:val="14"/>
        </w:rPr>
        <w:t xml:space="preserve"> </w:t>
      </w:r>
      <w:r>
        <w:rPr>
          <w:color w:val="231F20"/>
          <w:w w:val="105"/>
          <w:sz w:val="14"/>
        </w:rPr>
        <w:t>health</w:t>
      </w:r>
      <w:r>
        <w:rPr>
          <w:color w:val="231F20"/>
          <w:spacing w:val="-3"/>
          <w:w w:val="105"/>
          <w:sz w:val="14"/>
        </w:rPr>
        <w:t xml:space="preserve"> </w:t>
      </w:r>
      <w:r>
        <w:rPr>
          <w:color w:val="231F20"/>
          <w:w w:val="105"/>
          <w:sz w:val="14"/>
        </w:rPr>
        <w:t>and</w:t>
      </w:r>
      <w:r>
        <w:rPr>
          <w:color w:val="231F20"/>
          <w:spacing w:val="-3"/>
          <w:w w:val="105"/>
          <w:sz w:val="14"/>
        </w:rPr>
        <w:t xml:space="preserve"> </w:t>
      </w:r>
      <w:r>
        <w:rPr>
          <w:color w:val="231F20"/>
          <w:w w:val="105"/>
          <w:sz w:val="14"/>
        </w:rPr>
        <w:t>fitness</w:t>
      </w:r>
      <w:r>
        <w:rPr>
          <w:color w:val="231F20"/>
          <w:spacing w:val="-3"/>
          <w:w w:val="105"/>
          <w:sz w:val="14"/>
        </w:rPr>
        <w:t xml:space="preserve"> </w:t>
      </w:r>
      <w:r>
        <w:rPr>
          <w:color w:val="231F20"/>
          <w:w w:val="105"/>
          <w:sz w:val="14"/>
        </w:rPr>
        <w:t>in</w:t>
      </w:r>
      <w:r>
        <w:rPr>
          <w:color w:val="231F20"/>
          <w:spacing w:val="-3"/>
          <w:w w:val="105"/>
          <w:sz w:val="14"/>
        </w:rPr>
        <w:t xml:space="preserve"> </w:t>
      </w:r>
      <w:r>
        <w:rPr>
          <w:color w:val="231F20"/>
          <w:w w:val="105"/>
          <w:sz w:val="14"/>
        </w:rPr>
        <w:t>Western</w:t>
      </w:r>
      <w:r>
        <w:rPr>
          <w:color w:val="231F20"/>
          <w:spacing w:val="-3"/>
          <w:w w:val="105"/>
          <w:sz w:val="14"/>
        </w:rPr>
        <w:t xml:space="preserve"> </w:t>
      </w:r>
      <w:r>
        <w:rPr>
          <w:color w:val="231F20"/>
          <w:w w:val="105"/>
          <w:sz w:val="14"/>
        </w:rPr>
        <w:t>societies</w:t>
      </w:r>
      <w:r>
        <w:rPr>
          <w:color w:val="231F20"/>
          <w:spacing w:val="-3"/>
          <w:w w:val="105"/>
          <w:sz w:val="14"/>
        </w:rPr>
        <w:t xml:space="preserve"> </w:t>
      </w:r>
      <w:r>
        <w:rPr>
          <w:color w:val="231F20"/>
          <w:w w:val="105"/>
          <w:sz w:val="14"/>
        </w:rPr>
        <w:t>since</w:t>
      </w:r>
      <w:r>
        <w:rPr>
          <w:color w:val="231F20"/>
          <w:spacing w:val="-3"/>
          <w:w w:val="105"/>
          <w:sz w:val="14"/>
        </w:rPr>
        <w:t xml:space="preserve"> </w:t>
      </w:r>
      <w:r>
        <w:rPr>
          <w:color w:val="231F20"/>
          <w:w w:val="105"/>
          <w:sz w:val="14"/>
        </w:rPr>
        <w:t>the</w:t>
      </w:r>
      <w:r>
        <w:rPr>
          <w:color w:val="231F20"/>
          <w:spacing w:val="-3"/>
          <w:w w:val="105"/>
          <w:sz w:val="14"/>
        </w:rPr>
        <w:t xml:space="preserve"> </w:t>
      </w:r>
      <w:r>
        <w:rPr>
          <w:color w:val="231F20"/>
          <w:w w:val="105"/>
          <w:sz w:val="14"/>
        </w:rPr>
        <w:t>1970s</w:t>
      </w:r>
      <w:r>
        <w:rPr>
          <w:color w:val="231F20"/>
          <w:spacing w:val="-3"/>
          <w:w w:val="105"/>
          <w:sz w:val="14"/>
        </w:rPr>
        <w:t xml:space="preserve"> </w:t>
      </w:r>
      <w:r>
        <w:rPr>
          <w:color w:val="231F20"/>
          <w:w w:val="105"/>
          <w:sz w:val="14"/>
        </w:rPr>
        <w:t xml:space="preserve">(Collins, </w:t>
      </w:r>
      <w:r>
        <w:rPr>
          <w:color w:val="231F20"/>
          <w:spacing w:val="-2"/>
          <w:w w:val="105"/>
          <w:sz w:val="14"/>
        </w:rPr>
        <w:t>1991).</w:t>
      </w:r>
    </w:p>
    <w:p w14:paraId="272CFE50" w14:textId="77777777" w:rsidR="00AE0598" w:rsidRDefault="0069255A">
      <w:pPr>
        <w:pStyle w:val="PargrafodaLista"/>
        <w:numPr>
          <w:ilvl w:val="0"/>
          <w:numId w:val="19"/>
        </w:numPr>
        <w:tabs>
          <w:tab w:val="left" w:pos="322"/>
        </w:tabs>
        <w:spacing w:before="33" w:after="31" w:line="235" w:lineRule="auto"/>
        <w:ind w:left="321" w:right="417" w:hanging="212"/>
        <w:rPr>
          <w:sz w:val="14"/>
        </w:rPr>
      </w:pPr>
      <w:r>
        <w:rPr>
          <w:color w:val="231F20"/>
          <w:sz w:val="14"/>
        </w:rPr>
        <w:t>Increasing</w:t>
      </w:r>
      <w:r>
        <w:rPr>
          <w:color w:val="231F20"/>
          <w:spacing w:val="30"/>
          <w:sz w:val="14"/>
        </w:rPr>
        <w:t xml:space="preserve"> </w:t>
      </w:r>
      <w:r>
        <w:rPr>
          <w:color w:val="231F20"/>
          <w:sz w:val="14"/>
        </w:rPr>
        <w:t>demand</w:t>
      </w:r>
      <w:r>
        <w:rPr>
          <w:color w:val="231F20"/>
          <w:spacing w:val="30"/>
          <w:sz w:val="14"/>
        </w:rPr>
        <w:t xml:space="preserve"> </w:t>
      </w:r>
      <w:r>
        <w:rPr>
          <w:color w:val="231F20"/>
          <w:sz w:val="14"/>
        </w:rPr>
        <w:t>for</w:t>
      </w:r>
      <w:r>
        <w:rPr>
          <w:color w:val="231F20"/>
          <w:spacing w:val="30"/>
          <w:sz w:val="14"/>
        </w:rPr>
        <w:t xml:space="preserve"> </w:t>
      </w:r>
      <w:r>
        <w:rPr>
          <w:color w:val="231F20"/>
          <w:sz w:val="14"/>
        </w:rPr>
        <w:t>active</w:t>
      </w:r>
      <w:r>
        <w:rPr>
          <w:color w:val="231F20"/>
          <w:spacing w:val="30"/>
          <w:sz w:val="14"/>
        </w:rPr>
        <w:t xml:space="preserve"> </w:t>
      </w:r>
      <w:r>
        <w:rPr>
          <w:color w:val="231F20"/>
          <w:sz w:val="14"/>
        </w:rPr>
        <w:t>engagement</w:t>
      </w:r>
      <w:r>
        <w:rPr>
          <w:color w:val="231F20"/>
          <w:spacing w:val="30"/>
          <w:sz w:val="14"/>
        </w:rPr>
        <w:t xml:space="preserve"> </w:t>
      </w:r>
      <w:r>
        <w:rPr>
          <w:color w:val="231F20"/>
          <w:sz w:val="14"/>
        </w:rPr>
        <w:t>in</w:t>
      </w:r>
      <w:r>
        <w:rPr>
          <w:color w:val="231F20"/>
          <w:spacing w:val="30"/>
          <w:sz w:val="14"/>
        </w:rPr>
        <w:t xml:space="preserve"> </w:t>
      </w:r>
      <w:r>
        <w:rPr>
          <w:color w:val="231F20"/>
          <w:sz w:val="14"/>
        </w:rPr>
        <w:t>recreational</w:t>
      </w:r>
      <w:r>
        <w:rPr>
          <w:color w:val="231F20"/>
          <w:spacing w:val="30"/>
          <w:sz w:val="14"/>
        </w:rPr>
        <w:t xml:space="preserve"> </w:t>
      </w:r>
      <w:r>
        <w:rPr>
          <w:color w:val="231F20"/>
          <w:sz w:val="14"/>
        </w:rPr>
        <w:t>pursuits</w:t>
      </w:r>
      <w:r>
        <w:rPr>
          <w:color w:val="231F20"/>
          <w:spacing w:val="30"/>
          <w:sz w:val="14"/>
        </w:rPr>
        <w:t xml:space="preserve"> </w:t>
      </w:r>
      <w:r>
        <w:rPr>
          <w:color w:val="231F20"/>
          <w:sz w:val="14"/>
        </w:rPr>
        <w:t>while</w:t>
      </w:r>
      <w:r>
        <w:rPr>
          <w:color w:val="231F20"/>
          <w:spacing w:val="30"/>
          <w:sz w:val="14"/>
        </w:rPr>
        <w:t xml:space="preserve"> </w:t>
      </w:r>
      <w:r>
        <w:rPr>
          <w:color w:val="231F20"/>
          <w:sz w:val="14"/>
        </w:rPr>
        <w:t>on</w:t>
      </w:r>
      <w:r>
        <w:rPr>
          <w:color w:val="231F20"/>
          <w:spacing w:val="30"/>
          <w:sz w:val="14"/>
        </w:rPr>
        <w:t xml:space="preserve"> </w:t>
      </w:r>
      <w:r>
        <w:rPr>
          <w:color w:val="231F20"/>
          <w:sz w:val="14"/>
        </w:rPr>
        <w:t>holiday</w:t>
      </w:r>
      <w:r>
        <w:rPr>
          <w:color w:val="231F20"/>
          <w:spacing w:val="30"/>
          <w:sz w:val="14"/>
        </w:rPr>
        <w:t xml:space="preserve"> </w:t>
      </w:r>
      <w:r>
        <w:rPr>
          <w:color w:val="231F20"/>
          <w:sz w:val="14"/>
        </w:rPr>
        <w:t>since the 1980s (Priestley, 1995; Standeven &amp; De Knop, 1999).</w:t>
      </w:r>
    </w:p>
    <w:p w14:paraId="0425083A" w14:textId="6E09964C" w:rsidR="00AE0598" w:rsidRDefault="0069255A">
      <w:pPr>
        <w:pStyle w:val="Corpodetexto"/>
        <w:spacing w:line="20" w:lineRule="exact"/>
        <w:ind w:left="110"/>
        <w:rPr>
          <w:rFonts w:ascii="Trebuchet MS"/>
          <w:sz w:val="2"/>
        </w:rPr>
      </w:pPr>
      <w:r>
        <w:rPr>
          <w:rFonts w:ascii="Trebuchet MS"/>
          <w:noProof/>
          <w:sz w:val="2"/>
        </w:rPr>
        <mc:AlternateContent>
          <mc:Choice Requires="wpg">
            <w:drawing>
              <wp:inline distT="0" distB="0" distL="0" distR="0" wp14:anchorId="2A2B0466" wp14:editId="31BB005C">
                <wp:extent cx="4104005" cy="3175"/>
                <wp:effectExtent l="12700" t="10160" r="7620" b="5715"/>
                <wp:docPr id="377" name="docshapegroup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04005" cy="3175"/>
                          <a:chOff x="0" y="0"/>
                          <a:chExt cx="6463" cy="5"/>
                        </a:xfrm>
                      </wpg:grpSpPr>
                      <wps:wsp>
                        <wps:cNvPr id="378" name="Line 379"/>
                        <wps:cNvCnPr>
                          <a:cxnSpLocks noChangeShapeType="1"/>
                        </wps:cNvCnPr>
                        <wps:spPr bwMode="auto">
                          <a:xfrm>
                            <a:off x="0" y="3"/>
                            <a:ext cx="6463" cy="0"/>
                          </a:xfrm>
                          <a:prstGeom prst="line">
                            <a:avLst/>
                          </a:prstGeom>
                          <a:noFill/>
                          <a:ln w="3175">
                            <a:solidFill>
                              <a:srgbClr val="231F2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2568AB58" id="docshapegroup4" o:spid="_x0000_s1026" style="width:323.15pt;height:.25pt;mso-position-horizontal-relative:char;mso-position-vertical-relative:line" coordsize="64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">
                <v:line id="Line 379" o:spid="_x0000_s1027" style="position:absolute;visibility:visible;mso-wrap-style:square" from="0,3" to="646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" strokecolor="#231f20" strokeweight=".25pt"/>
                <w10:anchorlock/>
              </v:group>
            </w:pict>
          </mc:Fallback>
        </mc:AlternateContent>
      </w:r>
    </w:p>
    <w:p w14:paraId="1BB93F49" w14:textId="26DF8E40" w:rsidR="00AE0598" w:rsidRDefault="0069255A">
      <w:pPr>
        <w:pStyle w:val="PargrafodaLista"/>
        <w:numPr>
          <w:ilvl w:val="0"/>
          <w:numId w:val="19"/>
        </w:numPr>
        <w:tabs>
          <w:tab w:val="left" w:pos="321"/>
        </w:tabs>
        <w:spacing w:before="13"/>
        <w:ind w:left="320" w:hanging="211"/>
        <w:rPr>
          <w:sz w:val="14"/>
        </w:rPr>
      </w:pPr>
      <w:r>
        <w:rPr>
          <w:noProof/>
        </w:rPr>
        <mc:AlternateContent>
          <mc:Choice Requires="wps">
            <w:drawing>
              <wp:anchor distT="0" distB="0" distL="0" distR="0" simplePos="0" relativeHeight="487589888" behindDoc="1" locked="0" layoutInCell="1" allowOverlap="1" wp14:anchorId="75EC5D63" wp14:editId="4221D46F">
                <wp:simplePos x="0" y="0"/>
                <wp:positionH relativeFrom="page">
                  <wp:posOffset>755650</wp:posOffset>
                </wp:positionH>
                <wp:positionV relativeFrom="paragraph">
                  <wp:posOffset>129540</wp:posOffset>
                </wp:positionV>
                <wp:extent cx="4104005" cy="1270"/>
                <wp:effectExtent l="0" t="0" r="0" b="0"/>
                <wp:wrapTopAndBottom/>
                <wp:docPr id="376" name="docshape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104005" cy="1270"/>
                        </a:xfrm>
                        <a:custGeom>
                          <a:avLst/>
                          <a:gdLst>
                            <a:gd name="T0" fmla="+- 0 1190 1190"/>
                            <a:gd name="T1" fmla="*/ T0 w 6463"/>
                            <a:gd name="T2" fmla="+- 0 7653 1190"/>
                            <a:gd name="T3" fmla="*/ T2 w 6463"/>
                          </a:gdLst>
                          <a:ahLst/>
                          <a:cxnLst>
                            <a:cxn ang="0">
                              <a:pos x="T1" y="0"/>
                            </a:cxn>
                            <a:cxn ang="0">
                              <a:pos x="T3" y="0"/>
                            </a:cxn>
                          </a:cxnLst>
                          <a:rect l="0" t="0" r="r" b="b"/>
                          <a:pathLst>
                            <a:path w="6463">
                              <a:moveTo>
                                <a:pt x="0" y="0"/>
                              </a:moveTo>
                              <a:lnTo>
                                <a:pt x="6463" y="0"/>
                              </a:lnTo>
                            </a:path>
                          </a:pathLst>
                        </a:custGeom>
                        <a:noFill/>
                        <a:ln w="3175">
                          <a:solidFill>
                            <a:srgbClr val="231F2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64B0B1" id="docshape5" o:spid="_x0000_s1026" style="position:absolute;margin-left:59.5pt;margin-top:10.2pt;width:323.15pt;height:.1pt;z-index:-157265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46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" path="m,l6463,e" filled="f" strokecolor="#231f20" strokeweight=".25pt">
                <v:path arrowok="t" o:connecttype="custom" o:connectlocs="0,0;4104005,0" o:connectangles="0,0"/>
                <w10:wrap type="topAndBottom" anchorx="page"/>
              </v:shape>
            </w:pict>
          </mc:Fallback>
        </mc:AlternateContent>
      </w:r>
      <w:r>
        <w:rPr>
          <w:color w:val="231F20"/>
          <w:w w:val="105"/>
          <w:sz w:val="14"/>
        </w:rPr>
        <w:t>Professionalisation</w:t>
      </w:r>
      <w:r>
        <w:rPr>
          <w:color w:val="231F20"/>
          <w:spacing w:val="1"/>
          <w:w w:val="105"/>
          <w:sz w:val="14"/>
        </w:rPr>
        <w:t xml:space="preserve"> </w:t>
      </w:r>
      <w:r>
        <w:rPr>
          <w:color w:val="231F20"/>
          <w:w w:val="105"/>
          <w:sz w:val="14"/>
        </w:rPr>
        <w:t>of</w:t>
      </w:r>
      <w:r>
        <w:rPr>
          <w:color w:val="231F20"/>
          <w:spacing w:val="2"/>
          <w:w w:val="105"/>
          <w:sz w:val="14"/>
        </w:rPr>
        <w:t xml:space="preserve"> </w:t>
      </w:r>
      <w:r>
        <w:rPr>
          <w:color w:val="231F20"/>
          <w:w w:val="105"/>
          <w:sz w:val="14"/>
        </w:rPr>
        <w:t>power</w:t>
      </w:r>
      <w:r>
        <w:rPr>
          <w:color w:val="231F20"/>
          <w:spacing w:val="2"/>
          <w:w w:val="105"/>
          <w:sz w:val="14"/>
        </w:rPr>
        <w:t xml:space="preserve"> </w:t>
      </w:r>
      <w:r>
        <w:rPr>
          <w:color w:val="231F20"/>
          <w:w w:val="105"/>
          <w:sz w:val="14"/>
        </w:rPr>
        <w:t>and</w:t>
      </w:r>
      <w:r>
        <w:rPr>
          <w:color w:val="231F20"/>
          <w:spacing w:val="2"/>
          <w:w w:val="105"/>
          <w:sz w:val="14"/>
        </w:rPr>
        <w:t xml:space="preserve"> </w:t>
      </w:r>
      <w:r>
        <w:rPr>
          <w:color w:val="231F20"/>
          <w:w w:val="105"/>
          <w:sz w:val="14"/>
        </w:rPr>
        <w:t>performance</w:t>
      </w:r>
      <w:r>
        <w:rPr>
          <w:color w:val="231F20"/>
          <w:spacing w:val="2"/>
          <w:w w:val="105"/>
          <w:sz w:val="14"/>
        </w:rPr>
        <w:t xml:space="preserve"> </w:t>
      </w:r>
      <w:r>
        <w:rPr>
          <w:color w:val="231F20"/>
          <w:w w:val="105"/>
          <w:sz w:val="14"/>
        </w:rPr>
        <w:t>sports</w:t>
      </w:r>
      <w:r>
        <w:rPr>
          <w:color w:val="231F20"/>
          <w:spacing w:val="2"/>
          <w:w w:val="105"/>
          <w:sz w:val="14"/>
        </w:rPr>
        <w:t xml:space="preserve"> </w:t>
      </w:r>
      <w:r>
        <w:rPr>
          <w:color w:val="231F20"/>
          <w:w w:val="105"/>
          <w:sz w:val="14"/>
        </w:rPr>
        <w:t>(Coakley,</w:t>
      </w:r>
      <w:r>
        <w:rPr>
          <w:color w:val="231F20"/>
          <w:spacing w:val="2"/>
          <w:w w:val="105"/>
          <w:sz w:val="14"/>
        </w:rPr>
        <w:t xml:space="preserve"> </w:t>
      </w:r>
      <w:r>
        <w:rPr>
          <w:color w:val="231F20"/>
          <w:spacing w:val="-2"/>
          <w:w w:val="105"/>
          <w:sz w:val="14"/>
        </w:rPr>
        <w:t>2017).</w:t>
      </w:r>
    </w:p>
    <w:p w14:paraId="2CBD9F6C" w14:textId="77777777" w:rsidR="00AE0598" w:rsidRDefault="0069255A">
      <w:pPr>
        <w:pStyle w:val="PargrafodaLista"/>
        <w:numPr>
          <w:ilvl w:val="0"/>
          <w:numId w:val="19"/>
        </w:numPr>
        <w:tabs>
          <w:tab w:val="left" w:pos="324"/>
        </w:tabs>
        <w:spacing w:before="31" w:after="29"/>
        <w:ind w:left="323" w:hanging="214"/>
        <w:rPr>
          <w:sz w:val="14"/>
        </w:rPr>
      </w:pPr>
      <w:r>
        <w:rPr>
          <w:color w:val="231F20"/>
          <w:w w:val="105"/>
          <w:sz w:val="14"/>
        </w:rPr>
        <w:t>Rapid</w:t>
      </w:r>
      <w:r>
        <w:rPr>
          <w:color w:val="231F20"/>
          <w:spacing w:val="1"/>
          <w:w w:val="105"/>
          <w:sz w:val="14"/>
        </w:rPr>
        <w:t xml:space="preserve"> </w:t>
      </w:r>
      <w:r>
        <w:rPr>
          <w:color w:val="231F20"/>
          <w:w w:val="105"/>
          <w:sz w:val="14"/>
        </w:rPr>
        <w:t>growth</w:t>
      </w:r>
      <w:r>
        <w:rPr>
          <w:color w:val="231F20"/>
          <w:spacing w:val="2"/>
          <w:w w:val="105"/>
          <w:sz w:val="14"/>
        </w:rPr>
        <w:t xml:space="preserve"> </w:t>
      </w:r>
      <w:r>
        <w:rPr>
          <w:color w:val="231F20"/>
          <w:w w:val="105"/>
          <w:sz w:val="14"/>
        </w:rPr>
        <w:t>of</w:t>
      </w:r>
      <w:r>
        <w:rPr>
          <w:color w:val="231F20"/>
          <w:spacing w:val="1"/>
          <w:w w:val="105"/>
          <w:sz w:val="14"/>
        </w:rPr>
        <w:t xml:space="preserve"> </w:t>
      </w:r>
      <w:r>
        <w:rPr>
          <w:color w:val="231F20"/>
          <w:w w:val="105"/>
          <w:sz w:val="14"/>
        </w:rPr>
        <w:t>participation</w:t>
      </w:r>
      <w:r>
        <w:rPr>
          <w:color w:val="231F20"/>
          <w:spacing w:val="2"/>
          <w:w w:val="105"/>
          <w:sz w:val="14"/>
        </w:rPr>
        <w:t xml:space="preserve"> </w:t>
      </w:r>
      <w:r>
        <w:rPr>
          <w:color w:val="231F20"/>
          <w:w w:val="105"/>
          <w:sz w:val="14"/>
        </w:rPr>
        <w:t>and</w:t>
      </w:r>
      <w:r>
        <w:rPr>
          <w:color w:val="231F20"/>
          <w:spacing w:val="1"/>
          <w:w w:val="105"/>
          <w:sz w:val="14"/>
        </w:rPr>
        <w:t xml:space="preserve"> </w:t>
      </w:r>
      <w:r>
        <w:rPr>
          <w:color w:val="231F20"/>
          <w:w w:val="105"/>
          <w:sz w:val="14"/>
        </w:rPr>
        <w:t>pleasure</w:t>
      </w:r>
      <w:r>
        <w:rPr>
          <w:color w:val="231F20"/>
          <w:spacing w:val="2"/>
          <w:w w:val="105"/>
          <w:sz w:val="14"/>
        </w:rPr>
        <w:t xml:space="preserve"> </w:t>
      </w:r>
      <w:r>
        <w:rPr>
          <w:color w:val="231F20"/>
          <w:w w:val="105"/>
          <w:sz w:val="14"/>
        </w:rPr>
        <w:t>sports</w:t>
      </w:r>
      <w:r>
        <w:rPr>
          <w:color w:val="231F20"/>
          <w:spacing w:val="2"/>
          <w:w w:val="105"/>
          <w:sz w:val="14"/>
        </w:rPr>
        <w:t xml:space="preserve"> </w:t>
      </w:r>
      <w:r>
        <w:rPr>
          <w:color w:val="231F20"/>
          <w:w w:val="105"/>
          <w:sz w:val="14"/>
        </w:rPr>
        <w:t>(Coakley,</w:t>
      </w:r>
      <w:r>
        <w:rPr>
          <w:color w:val="231F20"/>
          <w:spacing w:val="1"/>
          <w:w w:val="105"/>
          <w:sz w:val="14"/>
        </w:rPr>
        <w:t xml:space="preserve"> </w:t>
      </w:r>
      <w:r>
        <w:rPr>
          <w:color w:val="231F20"/>
          <w:spacing w:val="-2"/>
          <w:w w:val="105"/>
          <w:sz w:val="14"/>
        </w:rPr>
        <w:t>2017).</w:t>
      </w:r>
    </w:p>
    <w:p w14:paraId="0199CC27" w14:textId="6417FFA2" w:rsidR="00AE0598" w:rsidRDefault="0069255A">
      <w:pPr>
        <w:pStyle w:val="Corpodetexto"/>
        <w:spacing w:line="20" w:lineRule="exact"/>
        <w:ind w:left="110"/>
        <w:rPr>
          <w:rFonts w:ascii="Trebuchet MS"/>
          <w:sz w:val="2"/>
        </w:rPr>
      </w:pPr>
      <w:r>
        <w:rPr>
          <w:rFonts w:ascii="Trebuchet MS"/>
          <w:noProof/>
          <w:sz w:val="2"/>
        </w:rPr>
        <mc:AlternateContent>
          <mc:Choice Requires="wpg">
            <w:drawing>
              <wp:inline distT="0" distB="0" distL="0" distR="0" wp14:anchorId="07C782D9" wp14:editId="6F42788F">
                <wp:extent cx="4104005" cy="3175"/>
                <wp:effectExtent l="12700" t="9525" r="7620" b="6350"/>
                <wp:docPr id="374" name="docshapegroup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04005" cy="3175"/>
                          <a:chOff x="0" y="0"/>
                          <a:chExt cx="6463" cy="5"/>
                        </a:xfrm>
                      </wpg:grpSpPr>
                      <wps:wsp>
                        <wps:cNvPr id="375" name="Line 376"/>
                        <wps:cNvCnPr>
                          <a:cxnSpLocks noChangeShapeType="1"/>
                        </wps:cNvCnPr>
                        <wps:spPr bwMode="auto">
                          <a:xfrm>
                            <a:off x="0" y="3"/>
                            <a:ext cx="6463" cy="0"/>
                          </a:xfrm>
                          <a:prstGeom prst="line">
                            <a:avLst/>
                          </a:prstGeom>
                          <a:noFill/>
                          <a:ln w="3175">
                            <a:solidFill>
                              <a:srgbClr val="231F2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22C7E59F" id="docshapegroup6" o:spid="_x0000_s1026" style="width:323.15pt;height:.25pt;mso-position-horizontal-relative:char;mso-position-vertical-relative:line" coordsize="64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">
                <v:line id="Line 376" o:spid="_x0000_s1027" style="position:absolute;visibility:visible;mso-wrap-style:square" from="0,3" to="646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" strokecolor="#231f20" strokeweight=".25pt"/>
                <w10:anchorlock/>
              </v:group>
            </w:pict>
          </mc:Fallback>
        </mc:AlternateContent>
      </w:r>
    </w:p>
    <w:p w14:paraId="0439A673" w14:textId="5CAF71F4" w:rsidR="00AE0598" w:rsidRDefault="0069255A">
      <w:pPr>
        <w:pStyle w:val="PargrafodaLista"/>
        <w:numPr>
          <w:ilvl w:val="0"/>
          <w:numId w:val="19"/>
        </w:numPr>
        <w:tabs>
          <w:tab w:val="left" w:pos="323"/>
        </w:tabs>
        <w:spacing w:before="16" w:line="235" w:lineRule="auto"/>
        <w:ind w:left="322" w:right="289" w:hanging="213"/>
        <w:jc w:val="both"/>
        <w:rPr>
          <w:sz w:val="14"/>
        </w:rPr>
      </w:pPr>
      <w:r>
        <w:rPr>
          <w:noProof/>
        </w:rPr>
        <mc:AlternateContent>
          <mc:Choice Requires="wps">
            <w:drawing>
              <wp:anchor distT="0" distB="0" distL="0" distR="0" simplePos="0" relativeHeight="487590912" behindDoc="1" locked="0" layoutInCell="1" allowOverlap="1" wp14:anchorId="1632C9D7" wp14:editId="74542F82">
                <wp:simplePos x="0" y="0"/>
                <wp:positionH relativeFrom="page">
                  <wp:posOffset>755650</wp:posOffset>
                </wp:positionH>
                <wp:positionV relativeFrom="paragraph">
                  <wp:posOffset>231775</wp:posOffset>
                </wp:positionV>
                <wp:extent cx="4104005" cy="1270"/>
                <wp:effectExtent l="0" t="0" r="0" b="0"/>
                <wp:wrapTopAndBottom/>
                <wp:docPr id="373" name="docshape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104005" cy="1270"/>
                        </a:xfrm>
                        <a:custGeom>
                          <a:avLst/>
                          <a:gdLst>
                            <a:gd name="T0" fmla="+- 0 1190 1190"/>
                            <a:gd name="T1" fmla="*/ T0 w 6463"/>
                            <a:gd name="T2" fmla="+- 0 7653 1190"/>
                            <a:gd name="T3" fmla="*/ T2 w 6463"/>
                          </a:gdLst>
                          <a:ahLst/>
                          <a:cxnLst>
                            <a:cxn ang="0">
                              <a:pos x="T1" y="0"/>
                            </a:cxn>
                            <a:cxn ang="0">
                              <a:pos x="T3" y="0"/>
                            </a:cxn>
                          </a:cxnLst>
                          <a:rect l="0" t="0" r="r" b="b"/>
                          <a:pathLst>
                            <a:path w="6463">
                              <a:moveTo>
                                <a:pt x="0" y="0"/>
                              </a:moveTo>
                              <a:lnTo>
                                <a:pt x="6463" y="0"/>
                              </a:lnTo>
                            </a:path>
                          </a:pathLst>
                        </a:custGeom>
                        <a:noFill/>
                        <a:ln w="3175">
                          <a:solidFill>
                            <a:srgbClr val="231F2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CB63339" id="docshape7" o:spid="_x0000_s1026" style="position:absolute;margin-left:59.5pt;margin-top:18.25pt;width:323.15pt;height:.1pt;z-index:-157255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46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" path="m,l6463,e" filled="f" strokecolor="#231f20" strokeweight=".25pt">
                <v:path arrowok="t" o:connecttype="custom" o:connectlocs="0,0;4104005,0" o:connectangles="0,0"/>
                <w10:wrap type="topAndBottom" anchorx="page"/>
              </v:shape>
            </w:pict>
          </mc:Fallback>
        </mc:AlternateContent>
      </w:r>
      <w:r>
        <w:rPr>
          <w:color w:val="231F20"/>
          <w:sz w:val="14"/>
        </w:rPr>
        <w:t>Expanding participation in lifestyle sports with interests in personal and collective identity formation (Gilchrist &amp; Wheaton, 2011; Wheaton, 2004).</w:t>
      </w:r>
    </w:p>
    <w:p w14:paraId="32B338AF" w14:textId="77777777" w:rsidR="00AE0598" w:rsidRDefault="0069255A">
      <w:pPr>
        <w:pStyle w:val="PargrafodaLista"/>
        <w:numPr>
          <w:ilvl w:val="0"/>
          <w:numId w:val="19"/>
        </w:numPr>
        <w:tabs>
          <w:tab w:val="left" w:pos="328"/>
        </w:tabs>
        <w:spacing w:before="33" w:after="32" w:line="235" w:lineRule="auto"/>
        <w:ind w:left="327" w:right="304" w:hanging="218"/>
        <w:jc w:val="both"/>
        <w:rPr>
          <w:sz w:val="14"/>
        </w:rPr>
      </w:pPr>
      <w:r>
        <w:rPr>
          <w:color w:val="231F20"/>
          <w:sz w:val="14"/>
        </w:rPr>
        <w:t>Widening</w:t>
      </w:r>
      <w:r>
        <w:rPr>
          <w:color w:val="231F20"/>
          <w:spacing w:val="29"/>
          <w:sz w:val="14"/>
        </w:rPr>
        <w:t xml:space="preserve"> </w:t>
      </w:r>
      <w:r>
        <w:rPr>
          <w:color w:val="231F20"/>
          <w:sz w:val="14"/>
        </w:rPr>
        <w:t>scope</w:t>
      </w:r>
      <w:r>
        <w:rPr>
          <w:color w:val="231F20"/>
          <w:spacing w:val="29"/>
          <w:sz w:val="14"/>
        </w:rPr>
        <w:t xml:space="preserve"> </w:t>
      </w:r>
      <w:r>
        <w:rPr>
          <w:color w:val="231F20"/>
          <w:sz w:val="14"/>
        </w:rPr>
        <w:t>of</w:t>
      </w:r>
      <w:r>
        <w:rPr>
          <w:color w:val="231F20"/>
          <w:spacing w:val="29"/>
          <w:sz w:val="14"/>
        </w:rPr>
        <w:t xml:space="preserve"> </w:t>
      </w:r>
      <w:r>
        <w:rPr>
          <w:color w:val="231F20"/>
          <w:sz w:val="14"/>
        </w:rPr>
        <w:t>performance</w:t>
      </w:r>
      <w:r>
        <w:rPr>
          <w:color w:val="231F20"/>
          <w:spacing w:val="29"/>
          <w:sz w:val="14"/>
        </w:rPr>
        <w:t xml:space="preserve"> </w:t>
      </w:r>
      <w:r>
        <w:rPr>
          <w:color w:val="231F20"/>
          <w:sz w:val="14"/>
        </w:rPr>
        <w:t>sports</w:t>
      </w:r>
      <w:r>
        <w:rPr>
          <w:color w:val="231F20"/>
          <w:spacing w:val="29"/>
          <w:sz w:val="14"/>
        </w:rPr>
        <w:t xml:space="preserve"> </w:t>
      </w:r>
      <w:r>
        <w:rPr>
          <w:color w:val="231F20"/>
          <w:sz w:val="14"/>
        </w:rPr>
        <w:t>participation</w:t>
      </w:r>
      <w:r>
        <w:rPr>
          <w:color w:val="231F20"/>
          <w:spacing w:val="29"/>
          <w:sz w:val="14"/>
        </w:rPr>
        <w:t xml:space="preserve"> </w:t>
      </w:r>
      <w:r>
        <w:rPr>
          <w:color w:val="231F20"/>
          <w:sz w:val="14"/>
        </w:rPr>
        <w:t>beyond</w:t>
      </w:r>
      <w:r>
        <w:rPr>
          <w:color w:val="231F20"/>
          <w:spacing w:val="29"/>
          <w:sz w:val="14"/>
        </w:rPr>
        <w:t xml:space="preserve"> </w:t>
      </w:r>
      <w:r>
        <w:rPr>
          <w:color w:val="231F20"/>
          <w:sz w:val="14"/>
        </w:rPr>
        <w:t>elite</w:t>
      </w:r>
      <w:r>
        <w:rPr>
          <w:color w:val="231F20"/>
          <w:spacing w:val="29"/>
          <w:sz w:val="14"/>
        </w:rPr>
        <w:t xml:space="preserve"> </w:t>
      </w:r>
      <w:r>
        <w:rPr>
          <w:color w:val="231F20"/>
          <w:sz w:val="14"/>
        </w:rPr>
        <w:t>professional</w:t>
      </w:r>
      <w:r>
        <w:rPr>
          <w:color w:val="231F20"/>
          <w:spacing w:val="29"/>
          <w:sz w:val="14"/>
        </w:rPr>
        <w:t xml:space="preserve"> </w:t>
      </w:r>
      <w:r>
        <w:rPr>
          <w:color w:val="231F20"/>
          <w:sz w:val="14"/>
        </w:rPr>
        <w:t>sportspeo- ple,</w:t>
      </w:r>
      <w:r>
        <w:rPr>
          <w:color w:val="231F20"/>
          <w:spacing w:val="27"/>
          <w:sz w:val="14"/>
        </w:rPr>
        <w:t xml:space="preserve"> </w:t>
      </w:r>
      <w:r>
        <w:rPr>
          <w:color w:val="231F20"/>
          <w:sz w:val="14"/>
        </w:rPr>
        <w:t>to</w:t>
      </w:r>
      <w:r>
        <w:rPr>
          <w:color w:val="231F20"/>
          <w:spacing w:val="27"/>
          <w:sz w:val="14"/>
        </w:rPr>
        <w:t xml:space="preserve"> </w:t>
      </w:r>
      <w:r>
        <w:rPr>
          <w:color w:val="231F20"/>
          <w:sz w:val="14"/>
        </w:rPr>
        <w:t>now</w:t>
      </w:r>
      <w:r>
        <w:rPr>
          <w:color w:val="231F20"/>
          <w:spacing w:val="27"/>
          <w:sz w:val="14"/>
        </w:rPr>
        <w:t xml:space="preserve"> </w:t>
      </w:r>
      <w:r>
        <w:rPr>
          <w:color w:val="231F20"/>
          <w:sz w:val="14"/>
        </w:rPr>
        <w:t>include</w:t>
      </w:r>
      <w:r>
        <w:rPr>
          <w:color w:val="231F20"/>
          <w:spacing w:val="27"/>
          <w:sz w:val="14"/>
        </w:rPr>
        <w:t xml:space="preserve"> </w:t>
      </w:r>
      <w:r>
        <w:rPr>
          <w:color w:val="231F20"/>
          <w:sz w:val="14"/>
        </w:rPr>
        <w:t>semi-professional</w:t>
      </w:r>
      <w:r>
        <w:rPr>
          <w:color w:val="231F20"/>
          <w:spacing w:val="27"/>
          <w:sz w:val="14"/>
        </w:rPr>
        <w:t xml:space="preserve"> </w:t>
      </w:r>
      <w:r>
        <w:rPr>
          <w:color w:val="231F20"/>
          <w:sz w:val="14"/>
        </w:rPr>
        <w:t>athletes</w:t>
      </w:r>
      <w:r>
        <w:rPr>
          <w:color w:val="231F20"/>
          <w:spacing w:val="27"/>
          <w:sz w:val="14"/>
        </w:rPr>
        <w:t xml:space="preserve"> </w:t>
      </w:r>
      <w:r>
        <w:rPr>
          <w:color w:val="231F20"/>
          <w:sz w:val="14"/>
        </w:rPr>
        <w:t>and</w:t>
      </w:r>
      <w:r>
        <w:rPr>
          <w:color w:val="231F20"/>
          <w:spacing w:val="27"/>
          <w:sz w:val="14"/>
        </w:rPr>
        <w:t xml:space="preserve"> </w:t>
      </w:r>
      <w:r>
        <w:rPr>
          <w:color w:val="231F20"/>
          <w:sz w:val="14"/>
        </w:rPr>
        <w:t>those</w:t>
      </w:r>
      <w:r>
        <w:rPr>
          <w:color w:val="231F20"/>
          <w:spacing w:val="27"/>
          <w:sz w:val="14"/>
        </w:rPr>
        <w:t xml:space="preserve"> </w:t>
      </w:r>
      <w:r>
        <w:rPr>
          <w:color w:val="231F20"/>
          <w:sz w:val="14"/>
        </w:rPr>
        <w:t>who</w:t>
      </w:r>
      <w:r>
        <w:rPr>
          <w:color w:val="231F20"/>
          <w:spacing w:val="27"/>
          <w:sz w:val="14"/>
        </w:rPr>
        <w:t xml:space="preserve"> </w:t>
      </w:r>
      <w:r>
        <w:rPr>
          <w:color w:val="231F20"/>
          <w:sz w:val="14"/>
        </w:rPr>
        <w:t>engage</w:t>
      </w:r>
      <w:r>
        <w:rPr>
          <w:color w:val="231F20"/>
          <w:spacing w:val="27"/>
          <w:sz w:val="14"/>
        </w:rPr>
        <w:t xml:space="preserve"> </w:t>
      </w:r>
      <w:r>
        <w:rPr>
          <w:color w:val="231F20"/>
          <w:sz w:val="14"/>
        </w:rPr>
        <w:t>in</w:t>
      </w:r>
      <w:r>
        <w:rPr>
          <w:color w:val="231F20"/>
          <w:spacing w:val="27"/>
          <w:sz w:val="14"/>
        </w:rPr>
        <w:t xml:space="preserve"> </w:t>
      </w:r>
      <w:r>
        <w:rPr>
          <w:color w:val="231F20"/>
          <w:sz w:val="14"/>
        </w:rPr>
        <w:t>amateur</w:t>
      </w:r>
      <w:r>
        <w:rPr>
          <w:color w:val="231F20"/>
          <w:spacing w:val="27"/>
          <w:sz w:val="14"/>
        </w:rPr>
        <w:t xml:space="preserve"> </w:t>
      </w:r>
      <w:r>
        <w:rPr>
          <w:color w:val="231F20"/>
          <w:sz w:val="14"/>
        </w:rPr>
        <w:t>sports</w:t>
      </w:r>
      <w:r>
        <w:rPr>
          <w:color w:val="231F20"/>
          <w:spacing w:val="27"/>
          <w:sz w:val="14"/>
        </w:rPr>
        <w:t xml:space="preserve"> </w:t>
      </w:r>
      <w:r>
        <w:rPr>
          <w:color w:val="231F20"/>
          <w:sz w:val="14"/>
        </w:rPr>
        <w:t xml:space="preserve">as a form of serious leisure (Kennelly </w:t>
      </w:r>
      <w:r>
        <w:rPr>
          <w:i/>
          <w:color w:val="231F20"/>
          <w:sz w:val="14"/>
        </w:rPr>
        <w:t>et al</w:t>
      </w:r>
      <w:r>
        <w:rPr>
          <w:color w:val="231F20"/>
          <w:sz w:val="14"/>
        </w:rPr>
        <w:t xml:space="preserve">., 2013; Lamont </w:t>
      </w:r>
      <w:r>
        <w:rPr>
          <w:i/>
          <w:color w:val="231F20"/>
          <w:sz w:val="14"/>
        </w:rPr>
        <w:t>et al</w:t>
      </w:r>
      <w:r>
        <w:rPr>
          <w:color w:val="231F20"/>
          <w:sz w:val="14"/>
        </w:rPr>
        <w:t>., 2014).</w:t>
      </w:r>
    </w:p>
    <w:p w14:paraId="20926BAC" w14:textId="56A91463" w:rsidR="00AE0598" w:rsidRDefault="0069255A">
      <w:pPr>
        <w:pStyle w:val="Corpodetexto"/>
        <w:spacing w:line="20" w:lineRule="exact"/>
        <w:ind w:left="110"/>
        <w:rPr>
          <w:rFonts w:ascii="Trebuchet MS"/>
          <w:sz w:val="2"/>
        </w:rPr>
      </w:pPr>
      <w:r>
        <w:rPr>
          <w:rFonts w:ascii="Trebuchet MS"/>
          <w:noProof/>
          <w:sz w:val="2"/>
        </w:rPr>
        <mc:AlternateContent>
          <mc:Choice Requires="wpg">
            <w:drawing>
              <wp:inline distT="0" distB="0" distL="0" distR="0" wp14:anchorId="3575ECB0" wp14:editId="3163A476">
                <wp:extent cx="4104005" cy="3175"/>
                <wp:effectExtent l="12700" t="9525" r="7620" b="6350"/>
                <wp:docPr id="371" name="docshapegroup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04005" cy="3175"/>
                          <a:chOff x="0" y="0"/>
                          <a:chExt cx="6463" cy="5"/>
                        </a:xfrm>
                      </wpg:grpSpPr>
                      <wps:wsp>
                        <wps:cNvPr id="372" name="Line 373"/>
                        <wps:cNvCnPr>
                          <a:cxnSpLocks noChangeShapeType="1"/>
                        </wps:cNvCnPr>
                        <wps:spPr bwMode="auto">
                          <a:xfrm>
                            <a:off x="0" y="3"/>
                            <a:ext cx="6463" cy="0"/>
                          </a:xfrm>
                          <a:prstGeom prst="line">
                            <a:avLst/>
                          </a:prstGeom>
                          <a:noFill/>
                          <a:ln w="3175">
                            <a:solidFill>
                              <a:srgbClr val="231F2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27E7E847" id="docshapegroup8" o:spid="_x0000_s1026" style="width:323.15pt;height:.25pt;mso-position-horizontal-relative:char;mso-position-vertical-relative:line" coordsize="64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">
                <v:line id="Line 373" o:spid="_x0000_s1027" style="position:absolute;visibility:visible;mso-wrap-style:square" from="0,3" to="646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" strokecolor="#231f20" strokeweight=".25pt"/>
                <w10:anchorlock/>
              </v:group>
            </w:pict>
          </mc:Fallback>
        </mc:AlternateContent>
      </w:r>
    </w:p>
    <w:p w14:paraId="2C3974B9" w14:textId="792CB630" w:rsidR="00AE0598" w:rsidRDefault="0069255A">
      <w:pPr>
        <w:pStyle w:val="PargrafodaLista"/>
        <w:numPr>
          <w:ilvl w:val="0"/>
          <w:numId w:val="19"/>
        </w:numPr>
        <w:tabs>
          <w:tab w:val="left" w:pos="324"/>
        </w:tabs>
        <w:spacing w:before="36" w:line="235" w:lineRule="auto"/>
        <w:ind w:left="323" w:right="336" w:hanging="213"/>
        <w:jc w:val="both"/>
        <w:rPr>
          <w:sz w:val="14"/>
        </w:rPr>
      </w:pPr>
      <w:r>
        <w:rPr>
          <w:noProof/>
        </w:rPr>
        <mc:AlternateContent>
          <mc:Choice Requires="wps">
            <w:drawing>
              <wp:anchor distT="0" distB="0" distL="0" distR="0" simplePos="0" relativeHeight="487591936" behindDoc="1" locked="0" layoutInCell="1" allowOverlap="1" wp14:anchorId="63E9F08C" wp14:editId="394DCFE1">
                <wp:simplePos x="0" y="0"/>
                <wp:positionH relativeFrom="page">
                  <wp:posOffset>755650</wp:posOffset>
                </wp:positionH>
                <wp:positionV relativeFrom="paragraph">
                  <wp:posOffset>257175</wp:posOffset>
                </wp:positionV>
                <wp:extent cx="4104005" cy="1270"/>
                <wp:effectExtent l="0" t="0" r="0" b="0"/>
                <wp:wrapTopAndBottom/>
                <wp:docPr id="370" name="docshape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104005" cy="1270"/>
                        </a:xfrm>
                        <a:custGeom>
                          <a:avLst/>
                          <a:gdLst>
                            <a:gd name="T0" fmla="+- 0 1190 1190"/>
                            <a:gd name="T1" fmla="*/ T0 w 6463"/>
                            <a:gd name="T2" fmla="+- 0 7653 1190"/>
                            <a:gd name="T3" fmla="*/ T2 w 6463"/>
                          </a:gdLst>
                          <a:ahLst/>
                          <a:cxnLst>
                            <a:cxn ang="0">
                              <a:pos x="T1" y="0"/>
                            </a:cxn>
                            <a:cxn ang="0">
                              <a:pos x="T3" y="0"/>
                            </a:cxn>
                          </a:cxnLst>
                          <a:rect l="0" t="0" r="r" b="b"/>
                          <a:pathLst>
                            <a:path w="6463">
                              <a:moveTo>
                                <a:pt x="0" y="0"/>
                              </a:moveTo>
                              <a:lnTo>
                                <a:pt x="6463" y="0"/>
                              </a:lnTo>
                            </a:path>
                          </a:pathLst>
                        </a:custGeom>
                        <a:noFill/>
                        <a:ln w="3175">
                          <a:solidFill>
                            <a:srgbClr val="231F2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93556D4" id="docshape9" o:spid="_x0000_s1026" style="position:absolute;margin-left:59.5pt;margin-top:20.25pt;width:323.15pt;height:.1pt;z-index:-157245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46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" path="m,l6463,e" filled="f" strokecolor="#231f20" strokeweight=".25pt">
                <v:path arrowok="t" o:connecttype="custom" o:connectlocs="0,0;4104005,0" o:connectangles="0,0"/>
                <w10:wrap type="topAndBottom" anchorx="page"/>
              </v:shape>
            </w:pict>
          </mc:Fallback>
        </mc:AlternateContent>
      </w:r>
      <w:r>
        <w:rPr>
          <w:color w:val="231F20"/>
          <w:w w:val="105"/>
          <w:sz w:val="14"/>
        </w:rPr>
        <w:t>Expanding spatial mobilities associated with all forms of engagement in sports (Higham &amp; Hinch,</w:t>
      </w:r>
      <w:r>
        <w:rPr>
          <w:color w:val="231F20"/>
          <w:spacing w:val="-9"/>
          <w:w w:val="105"/>
          <w:sz w:val="14"/>
        </w:rPr>
        <w:t xml:space="preserve"> </w:t>
      </w:r>
      <w:r>
        <w:rPr>
          <w:color w:val="231F20"/>
          <w:w w:val="105"/>
          <w:sz w:val="14"/>
        </w:rPr>
        <w:t>2009).</w:t>
      </w:r>
    </w:p>
    <w:p w14:paraId="333FA720" w14:textId="77777777" w:rsidR="00AE0598" w:rsidRDefault="0069255A">
      <w:pPr>
        <w:spacing w:before="91"/>
        <w:ind w:left="110"/>
        <w:rPr>
          <w:rFonts w:ascii="Trebuchet MS"/>
          <w:b/>
          <w:sz w:val="14"/>
        </w:rPr>
      </w:pPr>
      <w:r>
        <w:rPr>
          <w:rFonts w:ascii="Trebuchet MS"/>
          <w:b/>
          <w:color w:val="231F20"/>
          <w:sz w:val="14"/>
        </w:rPr>
        <w:t>Sports</w:t>
      </w:r>
      <w:r>
        <w:rPr>
          <w:rFonts w:ascii="Trebuchet MS"/>
          <w:b/>
          <w:color w:val="231F20"/>
          <w:spacing w:val="13"/>
          <w:sz w:val="14"/>
        </w:rPr>
        <w:t xml:space="preserve"> </w:t>
      </w:r>
      <w:r>
        <w:rPr>
          <w:rFonts w:ascii="Trebuchet MS"/>
          <w:b/>
          <w:color w:val="231F20"/>
          <w:sz w:val="14"/>
        </w:rPr>
        <w:t>and</w:t>
      </w:r>
      <w:r>
        <w:rPr>
          <w:rFonts w:ascii="Trebuchet MS"/>
          <w:b/>
          <w:color w:val="231F20"/>
          <w:spacing w:val="14"/>
          <w:sz w:val="14"/>
        </w:rPr>
        <w:t xml:space="preserve"> </w:t>
      </w:r>
      <w:r>
        <w:rPr>
          <w:rFonts w:ascii="Trebuchet MS"/>
          <w:b/>
          <w:color w:val="231F20"/>
          <w:sz w:val="14"/>
        </w:rPr>
        <w:t>tourism</w:t>
      </w:r>
      <w:r>
        <w:rPr>
          <w:rFonts w:ascii="Trebuchet MS"/>
          <w:b/>
          <w:color w:val="231F20"/>
          <w:spacing w:val="14"/>
          <w:sz w:val="14"/>
        </w:rPr>
        <w:t xml:space="preserve"> </w:t>
      </w:r>
      <w:r>
        <w:rPr>
          <w:rFonts w:ascii="Trebuchet MS"/>
          <w:b/>
          <w:color w:val="231F20"/>
          <w:spacing w:val="-2"/>
          <w:sz w:val="14"/>
        </w:rPr>
        <w:t>development</w:t>
      </w:r>
    </w:p>
    <w:p w14:paraId="2BFB4484" w14:textId="07273A8A" w:rsidR="00AE0598" w:rsidRDefault="0069255A">
      <w:pPr>
        <w:pStyle w:val="Corpodetexto"/>
        <w:spacing w:before="6"/>
        <w:rPr>
          <w:rFonts w:ascii="Trebuchet MS"/>
          <w:b/>
          <w:sz w:val="5"/>
        </w:rPr>
      </w:pPr>
      <w:r>
        <w:rPr>
          <w:noProof/>
        </w:rPr>
        <mc:AlternateContent>
          <mc:Choice Requires="wps">
            <w:drawing>
              <wp:anchor distT="0" distB="0" distL="0" distR="0" simplePos="0" relativeHeight="487592448" behindDoc="1" locked="0" layoutInCell="1" allowOverlap="1" wp14:anchorId="20BE0BF8" wp14:editId="68D3245F">
                <wp:simplePos x="0" y="0"/>
                <wp:positionH relativeFrom="page">
                  <wp:posOffset>755650</wp:posOffset>
                </wp:positionH>
                <wp:positionV relativeFrom="paragraph">
                  <wp:posOffset>56515</wp:posOffset>
                </wp:positionV>
                <wp:extent cx="4104005" cy="1270"/>
                <wp:effectExtent l="0" t="0" r="0" b="0"/>
                <wp:wrapTopAndBottom/>
                <wp:docPr id="369" name="docshape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104005" cy="1270"/>
                        </a:xfrm>
                        <a:custGeom>
                          <a:avLst/>
                          <a:gdLst>
                            <a:gd name="T0" fmla="+- 0 1190 1190"/>
                            <a:gd name="T1" fmla="*/ T0 w 6463"/>
                            <a:gd name="T2" fmla="+- 0 7653 1190"/>
                            <a:gd name="T3" fmla="*/ T2 w 6463"/>
                          </a:gdLst>
                          <a:ahLst/>
                          <a:cxnLst>
                            <a:cxn ang="0">
                              <a:pos x="T1" y="0"/>
                            </a:cxn>
                            <a:cxn ang="0">
                              <a:pos x="T3" y="0"/>
                            </a:cxn>
                          </a:cxnLst>
                          <a:rect l="0" t="0" r="r" b="b"/>
                          <a:pathLst>
                            <a:path w="6463">
                              <a:moveTo>
                                <a:pt x="0" y="0"/>
                              </a:moveTo>
                              <a:lnTo>
                                <a:pt x="6463" y="0"/>
                              </a:lnTo>
                            </a:path>
                          </a:pathLst>
                        </a:custGeom>
                        <a:noFill/>
                        <a:ln w="3175">
                          <a:solidFill>
                            <a:srgbClr val="231F2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7815F4" id="docshape10" o:spid="_x0000_s1026" style="position:absolute;margin-left:59.5pt;margin-top:4.45pt;width:323.15pt;height:.1pt;z-index:-157240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46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" path="m,l6463,e" filled="f" strokecolor="#231f20" strokeweight=".25pt">
                <v:path arrowok="t" o:connecttype="custom" o:connectlocs="0,0;4104005,0" o:connectangles="0,0"/>
                <w10:wrap type="topAndBottom" anchorx="page"/>
              </v:shape>
            </w:pict>
          </mc:Fallback>
        </mc:AlternateContent>
      </w:r>
    </w:p>
    <w:p w14:paraId="61803B87" w14:textId="77777777" w:rsidR="00AE0598" w:rsidRDefault="0069255A">
      <w:pPr>
        <w:pStyle w:val="PargrafodaLista"/>
        <w:numPr>
          <w:ilvl w:val="0"/>
          <w:numId w:val="18"/>
        </w:numPr>
        <w:tabs>
          <w:tab w:val="left" w:pos="312"/>
        </w:tabs>
        <w:spacing w:before="33" w:after="31" w:line="235" w:lineRule="auto"/>
        <w:ind w:right="514"/>
        <w:rPr>
          <w:sz w:val="14"/>
        </w:rPr>
      </w:pPr>
      <w:r>
        <w:rPr>
          <w:color w:val="231F20"/>
          <w:w w:val="105"/>
          <w:sz w:val="14"/>
        </w:rPr>
        <w:t>Recognition of the association between specific sports and unique tourism destinations (Hinch &amp; Higham, 2004).</w:t>
      </w:r>
    </w:p>
    <w:p w14:paraId="0F789BC0" w14:textId="0024AD7B" w:rsidR="00AE0598" w:rsidRDefault="0069255A">
      <w:pPr>
        <w:pStyle w:val="Corpodetexto"/>
        <w:spacing w:line="20" w:lineRule="exact"/>
        <w:ind w:left="110"/>
        <w:rPr>
          <w:rFonts w:ascii="Trebuchet MS"/>
          <w:sz w:val="2"/>
        </w:rPr>
      </w:pPr>
      <w:r>
        <w:rPr>
          <w:rFonts w:ascii="Trebuchet MS"/>
          <w:noProof/>
          <w:sz w:val="2"/>
        </w:rPr>
        <mc:AlternateContent>
          <mc:Choice Requires="wpg">
            <w:drawing>
              <wp:inline distT="0" distB="0" distL="0" distR="0" wp14:anchorId="35DDEC28" wp14:editId="176E5E4F">
                <wp:extent cx="4104005" cy="3175"/>
                <wp:effectExtent l="12700" t="8890" r="7620" b="6985"/>
                <wp:docPr id="367" name="docshapegroup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04005" cy="3175"/>
                          <a:chOff x="0" y="0"/>
                          <a:chExt cx="6463" cy="5"/>
                        </a:xfrm>
                      </wpg:grpSpPr>
                      <wps:wsp>
                        <wps:cNvPr id="368" name="Line 369"/>
                        <wps:cNvCnPr>
                          <a:cxnSpLocks noChangeShapeType="1"/>
                        </wps:cNvCnPr>
                        <wps:spPr bwMode="auto">
                          <a:xfrm>
                            <a:off x="0" y="3"/>
                            <a:ext cx="6463" cy="0"/>
                          </a:xfrm>
                          <a:prstGeom prst="line">
                            <a:avLst/>
                          </a:prstGeom>
                          <a:noFill/>
                          <a:ln w="3175">
                            <a:solidFill>
                              <a:srgbClr val="231F2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65EBB765" id="docshapegroup11" o:spid="_x0000_s1026" style="width:323.15pt;height:.25pt;mso-position-horizontal-relative:char;mso-position-vertical-relative:line" coordsize="64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">
                <v:line id="Line 369" o:spid="_x0000_s1027" style="position:absolute;visibility:visible;mso-wrap-style:square" from="0,3" to="646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" strokecolor="#231f20" strokeweight=".25pt"/>
                <w10:anchorlock/>
              </v:group>
            </w:pict>
          </mc:Fallback>
        </mc:AlternateContent>
      </w:r>
    </w:p>
    <w:p w14:paraId="20FBCD8C" w14:textId="22887B7B" w:rsidR="00AE0598" w:rsidRDefault="0069255A">
      <w:pPr>
        <w:pStyle w:val="PargrafodaLista"/>
        <w:numPr>
          <w:ilvl w:val="0"/>
          <w:numId w:val="18"/>
        </w:numPr>
        <w:tabs>
          <w:tab w:val="left" w:pos="323"/>
        </w:tabs>
        <w:spacing w:before="16" w:line="235" w:lineRule="auto"/>
        <w:ind w:left="322" w:right="589" w:hanging="213"/>
        <w:rPr>
          <w:sz w:val="14"/>
        </w:rPr>
      </w:pPr>
      <w:r>
        <w:rPr>
          <w:noProof/>
        </w:rPr>
        <mc:AlternateContent>
          <mc:Choice Requires="wps">
            <w:drawing>
              <wp:anchor distT="0" distB="0" distL="0" distR="0" simplePos="0" relativeHeight="487593472" behindDoc="1" locked="0" layoutInCell="1" allowOverlap="1" wp14:anchorId="71028EC3" wp14:editId="45CB47A6">
                <wp:simplePos x="0" y="0"/>
                <wp:positionH relativeFrom="page">
                  <wp:posOffset>755650</wp:posOffset>
                </wp:positionH>
                <wp:positionV relativeFrom="paragraph">
                  <wp:posOffset>231775</wp:posOffset>
                </wp:positionV>
                <wp:extent cx="4104005" cy="1270"/>
                <wp:effectExtent l="0" t="0" r="0" b="0"/>
                <wp:wrapTopAndBottom/>
                <wp:docPr id="366" name="docshape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104005" cy="1270"/>
                        </a:xfrm>
                        <a:custGeom>
                          <a:avLst/>
                          <a:gdLst>
                            <a:gd name="T0" fmla="+- 0 1190 1190"/>
                            <a:gd name="T1" fmla="*/ T0 w 6463"/>
                            <a:gd name="T2" fmla="+- 0 7653 1190"/>
                            <a:gd name="T3" fmla="*/ T2 w 6463"/>
                          </a:gdLst>
                          <a:ahLst/>
                          <a:cxnLst>
                            <a:cxn ang="0">
                              <a:pos x="T1" y="0"/>
                            </a:cxn>
                            <a:cxn ang="0">
                              <a:pos x="T3" y="0"/>
                            </a:cxn>
                          </a:cxnLst>
                          <a:rect l="0" t="0" r="r" b="b"/>
                          <a:pathLst>
                            <a:path w="6463">
                              <a:moveTo>
                                <a:pt x="0" y="0"/>
                              </a:moveTo>
                              <a:lnTo>
                                <a:pt x="6463" y="0"/>
                              </a:lnTo>
                            </a:path>
                          </a:pathLst>
                        </a:custGeom>
                        <a:noFill/>
                        <a:ln w="3175">
                          <a:solidFill>
                            <a:srgbClr val="231F2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B11A731" id="docshape12" o:spid="_x0000_s1026" style="position:absolute;margin-left:59.5pt;margin-top:18.25pt;width:323.15pt;height:.1pt;z-index:-157230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46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" path="m,l6463,e" filled="f" strokecolor="#231f20" strokeweight=".25pt">
                <v:path arrowok="t" o:connecttype="custom" o:connectlocs="0,0;4104005,0" o:connectangles="0,0"/>
                <w10:wrap type="topAndBottom" anchorx="page"/>
              </v:shape>
            </w:pict>
          </mc:Fallback>
        </mc:AlternateContent>
      </w:r>
      <w:r>
        <w:rPr>
          <w:color w:val="231F20"/>
          <w:sz w:val="14"/>
        </w:rPr>
        <w:t xml:space="preserve">Critical insights into the travel flows associated with sport events (Gratton </w:t>
      </w:r>
      <w:r>
        <w:rPr>
          <w:i/>
          <w:color w:val="231F20"/>
          <w:sz w:val="14"/>
        </w:rPr>
        <w:t>e</w:t>
      </w:r>
      <w:r>
        <w:rPr>
          <w:i/>
          <w:color w:val="231F20"/>
          <w:sz w:val="14"/>
        </w:rPr>
        <w:t>t al</w:t>
      </w:r>
      <w:r>
        <w:rPr>
          <w:color w:val="231F20"/>
          <w:sz w:val="14"/>
        </w:rPr>
        <w:t>., 2006;</w:t>
      </w:r>
      <w:r>
        <w:rPr>
          <w:color w:val="231F20"/>
          <w:spacing w:val="40"/>
          <w:sz w:val="14"/>
        </w:rPr>
        <w:t xml:space="preserve"> </w:t>
      </w:r>
      <w:r>
        <w:rPr>
          <w:color w:val="231F20"/>
          <w:sz w:val="14"/>
        </w:rPr>
        <w:t>Preuss, 2005; Weed, 2007).</w:t>
      </w:r>
    </w:p>
    <w:p w14:paraId="7709418F" w14:textId="77777777" w:rsidR="00AE0598" w:rsidRDefault="0069255A">
      <w:pPr>
        <w:pStyle w:val="PargrafodaLista"/>
        <w:numPr>
          <w:ilvl w:val="0"/>
          <w:numId w:val="18"/>
        </w:numPr>
        <w:tabs>
          <w:tab w:val="left" w:pos="322"/>
        </w:tabs>
        <w:spacing w:before="33" w:after="31" w:line="235" w:lineRule="auto"/>
        <w:ind w:left="322" w:right="502" w:hanging="212"/>
        <w:rPr>
          <w:sz w:val="14"/>
        </w:rPr>
      </w:pPr>
      <w:r>
        <w:rPr>
          <w:color w:val="231F20"/>
          <w:w w:val="105"/>
          <w:sz w:val="14"/>
        </w:rPr>
        <w:t xml:space="preserve">The role of sports in urban regeneration (Gratton </w:t>
      </w:r>
      <w:r>
        <w:rPr>
          <w:i/>
          <w:color w:val="231F20"/>
          <w:w w:val="105"/>
          <w:sz w:val="14"/>
        </w:rPr>
        <w:t>et al</w:t>
      </w:r>
      <w:r>
        <w:rPr>
          <w:color w:val="231F20"/>
          <w:w w:val="105"/>
          <w:sz w:val="14"/>
        </w:rPr>
        <w:t>., 2005) and destination develop- ment (Mason &amp; Duquette, 2008).</w:t>
      </w:r>
    </w:p>
    <w:p w14:paraId="3924F2A7" w14:textId="6EA3A49F" w:rsidR="00AE0598" w:rsidRDefault="0069255A">
      <w:pPr>
        <w:pStyle w:val="Corpodetexto"/>
        <w:spacing w:line="20" w:lineRule="exact"/>
        <w:ind w:left="110"/>
        <w:rPr>
          <w:rFonts w:ascii="Trebuchet MS"/>
          <w:sz w:val="2"/>
        </w:rPr>
      </w:pPr>
      <w:r>
        <w:rPr>
          <w:rFonts w:ascii="Trebuchet MS"/>
          <w:noProof/>
          <w:sz w:val="2"/>
        </w:rPr>
        <mc:AlternateContent>
          <mc:Choice Requires="wpg">
            <w:drawing>
              <wp:inline distT="0" distB="0" distL="0" distR="0" wp14:anchorId="0A2BC4A1" wp14:editId="0701E465">
                <wp:extent cx="4104005" cy="3175"/>
                <wp:effectExtent l="12700" t="11430" r="7620" b="4445"/>
                <wp:docPr id="364" name="docshapegroup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04005" cy="3175"/>
                          <a:chOff x="0" y="0"/>
                          <a:chExt cx="6463" cy="5"/>
                        </a:xfrm>
                      </wpg:grpSpPr>
                      <wps:wsp>
                        <wps:cNvPr id="365" name="Line 366"/>
                        <wps:cNvCnPr>
                          <a:cxnSpLocks noChangeShapeType="1"/>
                        </wps:cNvCnPr>
                        <wps:spPr bwMode="auto">
                          <a:xfrm>
                            <a:off x="0" y="3"/>
                            <a:ext cx="6463" cy="0"/>
                          </a:xfrm>
                          <a:prstGeom prst="line">
                            <a:avLst/>
                          </a:prstGeom>
                          <a:noFill/>
                          <a:ln w="3175">
                            <a:solidFill>
                              <a:srgbClr val="231F2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30CEF543" id="docshapegroup13" o:spid="_x0000_s1026" style="width:323.15pt;height:.25pt;mso-position-horizontal-relative:char;mso-position-vertical-relative:line" coordsize="64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">
                <v:line id="Line 366" o:spid="_x0000_s1027" style="position:absolute;visibility:visible;mso-wrap-style:square" from="0,3" to="646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" strokecolor="#231f20" strokeweight=".25pt"/>
                <w10:anchorlock/>
              </v:group>
            </w:pict>
          </mc:Fallback>
        </mc:AlternateContent>
      </w:r>
    </w:p>
    <w:p w14:paraId="597DB321" w14:textId="1161DFFC" w:rsidR="00AE0598" w:rsidRDefault="0069255A">
      <w:pPr>
        <w:pStyle w:val="PargrafodaLista"/>
        <w:numPr>
          <w:ilvl w:val="0"/>
          <w:numId w:val="18"/>
        </w:numPr>
        <w:tabs>
          <w:tab w:val="left" w:pos="321"/>
        </w:tabs>
        <w:spacing w:before="16" w:line="235" w:lineRule="auto"/>
        <w:ind w:left="320" w:right="411" w:hanging="211"/>
        <w:rPr>
          <w:sz w:val="14"/>
        </w:rPr>
      </w:pPr>
      <w:r>
        <w:rPr>
          <w:noProof/>
        </w:rPr>
        <mc:AlternateContent>
          <mc:Choice Requires="wps">
            <w:drawing>
              <wp:anchor distT="0" distB="0" distL="0" distR="0" simplePos="0" relativeHeight="487594496" behindDoc="1" locked="0" layoutInCell="1" allowOverlap="1" wp14:anchorId="7A0EBCB5" wp14:editId="5EA23F43">
                <wp:simplePos x="0" y="0"/>
                <wp:positionH relativeFrom="page">
                  <wp:posOffset>755650</wp:posOffset>
                </wp:positionH>
                <wp:positionV relativeFrom="paragraph">
                  <wp:posOffset>231775</wp:posOffset>
                </wp:positionV>
                <wp:extent cx="4104005" cy="1270"/>
                <wp:effectExtent l="0" t="0" r="0" b="0"/>
                <wp:wrapTopAndBottom/>
                <wp:docPr id="363" name="docshape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104005" cy="1270"/>
                        </a:xfrm>
                        <a:custGeom>
                          <a:avLst/>
                          <a:gdLst>
                            <a:gd name="T0" fmla="+- 0 1190 1190"/>
                            <a:gd name="T1" fmla="*/ T0 w 6463"/>
                            <a:gd name="T2" fmla="+- 0 7653 1190"/>
                            <a:gd name="T3" fmla="*/ T2 w 6463"/>
                          </a:gdLst>
                          <a:ahLst/>
                          <a:cxnLst>
                            <a:cxn ang="0">
                              <a:pos x="T1" y="0"/>
                            </a:cxn>
                            <a:cxn ang="0">
                              <a:pos x="T3" y="0"/>
                            </a:cxn>
                          </a:cxnLst>
                          <a:rect l="0" t="0" r="r" b="b"/>
                          <a:pathLst>
                            <a:path w="6463">
                              <a:moveTo>
                                <a:pt x="0" y="0"/>
                              </a:moveTo>
                              <a:lnTo>
                                <a:pt x="6463" y="0"/>
                              </a:lnTo>
                            </a:path>
                          </a:pathLst>
                        </a:custGeom>
                        <a:noFill/>
                        <a:ln w="3175">
                          <a:solidFill>
                            <a:srgbClr val="231F2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417FF9" id="docshape14" o:spid="_x0000_s1026" style="position:absolute;margin-left:59.5pt;margin-top:18.25pt;width:323.15pt;height:.1pt;z-index:-157219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46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" path="m,l6463,e" filled="f" strokecolor="#231f20" strokeweight=".25pt">
                <v:path arrowok="t" o:connecttype="custom" o:connectlocs="0,0;4104005,0" o:connectangles="0,0"/>
                <w10:wrap type="topAndBottom" anchorx="page"/>
              </v:shape>
            </w:pict>
          </mc:Fallback>
        </mc:AlternateContent>
      </w:r>
      <w:r>
        <w:rPr>
          <w:color w:val="231F20"/>
          <w:w w:val="105"/>
          <w:sz w:val="14"/>
        </w:rPr>
        <w:t>The</w:t>
      </w:r>
      <w:r>
        <w:rPr>
          <w:color w:val="231F20"/>
          <w:spacing w:val="-2"/>
          <w:w w:val="105"/>
          <w:sz w:val="14"/>
        </w:rPr>
        <w:t xml:space="preserve"> </w:t>
      </w:r>
      <w:r>
        <w:rPr>
          <w:color w:val="231F20"/>
          <w:w w:val="105"/>
          <w:sz w:val="14"/>
        </w:rPr>
        <w:t>potential</w:t>
      </w:r>
      <w:r>
        <w:rPr>
          <w:color w:val="231F20"/>
          <w:spacing w:val="-2"/>
          <w:w w:val="105"/>
          <w:sz w:val="14"/>
        </w:rPr>
        <w:t xml:space="preserve"> </w:t>
      </w:r>
      <w:r>
        <w:rPr>
          <w:color w:val="231F20"/>
          <w:w w:val="105"/>
          <w:sz w:val="14"/>
        </w:rPr>
        <w:t>contributions</w:t>
      </w:r>
      <w:r>
        <w:rPr>
          <w:color w:val="231F20"/>
          <w:spacing w:val="-2"/>
          <w:w w:val="105"/>
          <w:sz w:val="14"/>
        </w:rPr>
        <w:t xml:space="preserve"> </w:t>
      </w:r>
      <w:r>
        <w:rPr>
          <w:color w:val="231F20"/>
          <w:w w:val="105"/>
          <w:sz w:val="14"/>
        </w:rPr>
        <w:t>of</w:t>
      </w:r>
      <w:r>
        <w:rPr>
          <w:color w:val="231F20"/>
          <w:spacing w:val="-2"/>
          <w:w w:val="105"/>
          <w:sz w:val="14"/>
        </w:rPr>
        <w:t xml:space="preserve"> </w:t>
      </w:r>
      <w:r>
        <w:rPr>
          <w:color w:val="231F20"/>
          <w:w w:val="105"/>
          <w:sz w:val="14"/>
        </w:rPr>
        <w:t>sport</w:t>
      </w:r>
      <w:r>
        <w:rPr>
          <w:color w:val="231F20"/>
          <w:spacing w:val="-2"/>
          <w:w w:val="105"/>
          <w:sz w:val="14"/>
        </w:rPr>
        <w:t xml:space="preserve"> </w:t>
      </w:r>
      <w:r>
        <w:rPr>
          <w:color w:val="231F20"/>
          <w:w w:val="105"/>
          <w:sz w:val="14"/>
        </w:rPr>
        <w:t>to</w:t>
      </w:r>
      <w:r>
        <w:rPr>
          <w:color w:val="231F20"/>
          <w:spacing w:val="-2"/>
          <w:w w:val="105"/>
          <w:sz w:val="14"/>
        </w:rPr>
        <w:t xml:space="preserve"> </w:t>
      </w:r>
      <w:r>
        <w:rPr>
          <w:color w:val="231F20"/>
          <w:w w:val="105"/>
          <w:sz w:val="14"/>
        </w:rPr>
        <w:t>destination</w:t>
      </w:r>
      <w:r>
        <w:rPr>
          <w:color w:val="231F20"/>
          <w:spacing w:val="-2"/>
          <w:w w:val="105"/>
          <w:sz w:val="14"/>
        </w:rPr>
        <w:t xml:space="preserve"> </w:t>
      </w:r>
      <w:r>
        <w:rPr>
          <w:color w:val="231F20"/>
          <w:w w:val="105"/>
          <w:sz w:val="14"/>
        </w:rPr>
        <w:t>image,</w:t>
      </w:r>
      <w:r>
        <w:rPr>
          <w:color w:val="231F20"/>
          <w:spacing w:val="-2"/>
          <w:w w:val="105"/>
          <w:sz w:val="14"/>
        </w:rPr>
        <w:t xml:space="preserve"> </w:t>
      </w:r>
      <w:r>
        <w:rPr>
          <w:color w:val="231F20"/>
          <w:w w:val="105"/>
          <w:sz w:val="14"/>
        </w:rPr>
        <w:t>intention</w:t>
      </w:r>
      <w:r>
        <w:rPr>
          <w:color w:val="231F20"/>
          <w:spacing w:val="-2"/>
          <w:w w:val="105"/>
          <w:sz w:val="14"/>
        </w:rPr>
        <w:t xml:space="preserve"> </w:t>
      </w:r>
      <w:r>
        <w:rPr>
          <w:color w:val="231F20"/>
          <w:w w:val="105"/>
          <w:sz w:val="14"/>
        </w:rPr>
        <w:t>to</w:t>
      </w:r>
      <w:r>
        <w:rPr>
          <w:color w:val="231F20"/>
          <w:spacing w:val="-2"/>
          <w:w w:val="105"/>
          <w:sz w:val="14"/>
        </w:rPr>
        <w:t xml:space="preserve"> </w:t>
      </w:r>
      <w:r>
        <w:rPr>
          <w:color w:val="231F20"/>
          <w:w w:val="105"/>
          <w:sz w:val="14"/>
        </w:rPr>
        <w:t>visit</w:t>
      </w:r>
      <w:r>
        <w:rPr>
          <w:color w:val="231F20"/>
          <w:spacing w:val="-2"/>
          <w:w w:val="105"/>
          <w:sz w:val="14"/>
        </w:rPr>
        <w:t xml:space="preserve"> </w:t>
      </w:r>
      <w:r>
        <w:rPr>
          <w:color w:val="231F20"/>
          <w:w w:val="105"/>
          <w:sz w:val="14"/>
        </w:rPr>
        <w:t>(Chalip</w:t>
      </w:r>
      <w:r>
        <w:rPr>
          <w:color w:val="231F20"/>
          <w:spacing w:val="-2"/>
          <w:w w:val="105"/>
          <w:sz w:val="14"/>
        </w:rPr>
        <w:t xml:space="preserve"> </w:t>
      </w:r>
      <w:r>
        <w:rPr>
          <w:i/>
          <w:color w:val="231F20"/>
          <w:w w:val="105"/>
          <w:sz w:val="14"/>
        </w:rPr>
        <w:t>et</w:t>
      </w:r>
      <w:r>
        <w:rPr>
          <w:i/>
          <w:color w:val="231F20"/>
          <w:spacing w:val="-2"/>
          <w:w w:val="105"/>
          <w:sz w:val="14"/>
        </w:rPr>
        <w:t xml:space="preserve"> </w:t>
      </w:r>
      <w:r>
        <w:rPr>
          <w:i/>
          <w:color w:val="231F20"/>
          <w:w w:val="105"/>
          <w:sz w:val="14"/>
        </w:rPr>
        <w:t>al</w:t>
      </w:r>
      <w:r>
        <w:rPr>
          <w:color w:val="231F20"/>
          <w:w w:val="105"/>
          <w:sz w:val="14"/>
        </w:rPr>
        <w:t>., 2003; Kaplanidou &amp; Vogt, 2007) and choice of destination (Humphreys, 2011).</w:t>
      </w:r>
    </w:p>
    <w:p w14:paraId="464DD73F" w14:textId="77777777" w:rsidR="00AE0598" w:rsidRDefault="0069255A">
      <w:pPr>
        <w:pStyle w:val="PargrafodaLista"/>
        <w:numPr>
          <w:ilvl w:val="0"/>
          <w:numId w:val="18"/>
        </w:numPr>
        <w:tabs>
          <w:tab w:val="left" w:pos="324"/>
        </w:tabs>
        <w:spacing w:before="33" w:after="32" w:line="235" w:lineRule="auto"/>
        <w:ind w:left="323" w:right="444" w:hanging="214"/>
        <w:rPr>
          <w:sz w:val="14"/>
        </w:rPr>
      </w:pPr>
      <w:r>
        <w:rPr>
          <w:color w:val="231F20"/>
          <w:w w:val="105"/>
          <w:sz w:val="14"/>
        </w:rPr>
        <w:t>The potential for sports to offer destination marketing synergies (Harrison-Hill &amp; Chalip, 2005) thr</w:t>
      </w:r>
      <w:r>
        <w:rPr>
          <w:color w:val="231F20"/>
          <w:w w:val="105"/>
          <w:sz w:val="14"/>
        </w:rPr>
        <w:t>ough branding (Chalip &amp; Costa, 2005), leveraging (O’Brien &amp; Chalip, 2007) and bundling (Chalip &amp; McGuirty, 2004).</w:t>
      </w:r>
    </w:p>
    <w:p w14:paraId="3347790F" w14:textId="2ABDF364" w:rsidR="00AE0598" w:rsidRDefault="0069255A">
      <w:pPr>
        <w:pStyle w:val="Corpodetexto"/>
        <w:spacing w:line="20" w:lineRule="exact"/>
        <w:ind w:left="110"/>
        <w:rPr>
          <w:rFonts w:ascii="Trebuchet MS"/>
          <w:sz w:val="2"/>
        </w:rPr>
      </w:pPr>
      <w:r>
        <w:rPr>
          <w:rFonts w:ascii="Trebuchet MS"/>
          <w:noProof/>
          <w:sz w:val="2"/>
        </w:rPr>
        <mc:AlternateContent>
          <mc:Choice Requires="wpg">
            <w:drawing>
              <wp:inline distT="0" distB="0" distL="0" distR="0" wp14:anchorId="226A52A2" wp14:editId="2BB3C5F4">
                <wp:extent cx="4104005" cy="3175"/>
                <wp:effectExtent l="12700" t="11430" r="7620" b="4445"/>
                <wp:docPr id="361" name="docshapegroup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04005" cy="3175"/>
                          <a:chOff x="0" y="0"/>
                          <a:chExt cx="6463" cy="5"/>
                        </a:xfrm>
                      </wpg:grpSpPr>
                      <wps:wsp>
                        <wps:cNvPr id="362" name="Line 363"/>
                        <wps:cNvCnPr>
                          <a:cxnSpLocks noChangeShapeType="1"/>
                        </wps:cNvCnPr>
                        <wps:spPr bwMode="auto">
                          <a:xfrm>
                            <a:off x="0" y="3"/>
                            <a:ext cx="6463" cy="0"/>
                          </a:xfrm>
                          <a:prstGeom prst="line">
                            <a:avLst/>
                          </a:prstGeom>
                          <a:noFill/>
                          <a:ln w="3175">
                            <a:solidFill>
                              <a:srgbClr val="231F2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7C17988E" id="docshapegroup15" o:spid="_x0000_s1026" style="width:323.15pt;height:.25pt;mso-position-horizontal-relative:char;mso-position-vertical-relative:line" coordsize="64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">
                <v:line id="Line 363" o:spid="_x0000_s1027" style="position:absolute;visibility:visible;mso-wrap-style:square" from="0,3" to="646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" strokecolor="#231f20" strokeweight=".25pt"/>
                <w10:anchorlock/>
              </v:group>
            </w:pict>
          </mc:Fallback>
        </mc:AlternateContent>
      </w:r>
    </w:p>
    <w:p w14:paraId="57FC00E0" w14:textId="77777777" w:rsidR="00AE0598" w:rsidRDefault="00AE0598">
      <w:pPr>
        <w:spacing w:line="20" w:lineRule="exact"/>
        <w:rPr>
          <w:rFonts w:ascii="Trebuchet MS"/>
          <w:sz w:val="2"/>
        </w:rPr>
        <w:sectPr w:rsidR="00AE0598">
          <w:pgSz w:w="8850" w:h="13270"/>
          <w:pgMar w:top="720" w:right="1080" w:bottom="280" w:left="1080" w:header="720" w:footer="720" w:gutter="0"/>
          <w:cols w:space="720"/>
        </w:sectPr>
      </w:pPr>
    </w:p>
    <w:p w14:paraId="79BA75B3" w14:textId="77777777" w:rsidR="00AE0598" w:rsidRDefault="0069255A">
      <w:pPr>
        <w:spacing w:before="87"/>
        <w:ind w:left="4169"/>
        <w:rPr>
          <w:rFonts w:ascii="Trebuchet MS"/>
          <w:sz w:val="14"/>
        </w:rPr>
      </w:pPr>
      <w:r>
        <w:rPr>
          <w:rFonts w:ascii="Trebuchet MS"/>
          <w:color w:val="231F20"/>
          <w:w w:val="105"/>
          <w:sz w:val="14"/>
        </w:rPr>
        <w:lastRenderedPageBreak/>
        <w:t>Sport</w:t>
      </w:r>
      <w:r>
        <w:rPr>
          <w:rFonts w:ascii="Trebuchet MS"/>
          <w:color w:val="231F20"/>
          <w:spacing w:val="-9"/>
          <w:w w:val="105"/>
          <w:sz w:val="14"/>
        </w:rPr>
        <w:t xml:space="preserve"> </w:t>
      </w:r>
      <w:r>
        <w:rPr>
          <w:rFonts w:ascii="Trebuchet MS"/>
          <w:color w:val="231F20"/>
          <w:w w:val="105"/>
          <w:sz w:val="14"/>
        </w:rPr>
        <w:t>Tourism</w:t>
      </w:r>
      <w:r>
        <w:rPr>
          <w:rFonts w:ascii="Trebuchet MS"/>
          <w:color w:val="231F20"/>
          <w:spacing w:val="-8"/>
          <w:w w:val="105"/>
          <w:sz w:val="14"/>
        </w:rPr>
        <w:t xml:space="preserve"> </w:t>
      </w:r>
      <w:r>
        <w:rPr>
          <w:rFonts w:ascii="Trebuchet MS"/>
          <w:color w:val="231F20"/>
          <w:w w:val="105"/>
          <w:sz w:val="14"/>
        </w:rPr>
        <w:t>in</w:t>
      </w:r>
      <w:r>
        <w:rPr>
          <w:rFonts w:ascii="Trebuchet MS"/>
          <w:color w:val="231F20"/>
          <w:spacing w:val="-9"/>
          <w:w w:val="105"/>
          <w:sz w:val="14"/>
        </w:rPr>
        <w:t xml:space="preserve"> </w:t>
      </w:r>
      <w:r>
        <w:rPr>
          <w:rFonts w:ascii="Trebuchet MS"/>
          <w:color w:val="231F20"/>
          <w:w w:val="105"/>
          <w:sz w:val="14"/>
        </w:rPr>
        <w:t>Times</w:t>
      </w:r>
      <w:r>
        <w:rPr>
          <w:rFonts w:ascii="Trebuchet MS"/>
          <w:color w:val="231F20"/>
          <w:spacing w:val="-9"/>
          <w:w w:val="105"/>
          <w:sz w:val="14"/>
        </w:rPr>
        <w:t xml:space="preserve"> </w:t>
      </w:r>
      <w:r>
        <w:rPr>
          <w:rFonts w:ascii="Trebuchet MS"/>
          <w:color w:val="231F20"/>
          <w:w w:val="105"/>
          <w:sz w:val="14"/>
        </w:rPr>
        <w:t>of</w:t>
      </w:r>
      <w:r>
        <w:rPr>
          <w:rFonts w:ascii="Trebuchet MS"/>
          <w:color w:val="231F20"/>
          <w:spacing w:val="-8"/>
          <w:w w:val="105"/>
          <w:sz w:val="14"/>
        </w:rPr>
        <w:t xml:space="preserve"> </w:t>
      </w:r>
      <w:r>
        <w:rPr>
          <w:rFonts w:ascii="Trebuchet MS"/>
          <w:color w:val="231F20"/>
          <w:w w:val="105"/>
          <w:sz w:val="14"/>
        </w:rPr>
        <w:t>Change</w:t>
      </w:r>
      <w:r>
        <w:rPr>
          <w:rFonts w:ascii="Trebuchet MS"/>
          <w:color w:val="231F20"/>
          <w:spacing w:val="67"/>
          <w:w w:val="150"/>
          <w:sz w:val="14"/>
        </w:rPr>
        <w:t xml:space="preserve"> </w:t>
      </w:r>
      <w:r>
        <w:rPr>
          <w:rFonts w:ascii="Trebuchet MS"/>
          <w:color w:val="231F20"/>
          <w:spacing w:val="-10"/>
          <w:w w:val="105"/>
          <w:sz w:val="14"/>
        </w:rPr>
        <w:t>7</w:t>
      </w:r>
    </w:p>
    <w:p w14:paraId="01425C8D" w14:textId="77777777" w:rsidR="00AE0598" w:rsidRDefault="00AE0598">
      <w:pPr>
        <w:pStyle w:val="Corpodetexto"/>
        <w:rPr>
          <w:rFonts w:ascii="Trebuchet MS"/>
          <w:sz w:val="16"/>
        </w:rPr>
      </w:pPr>
    </w:p>
    <w:p w14:paraId="69E53EE6" w14:textId="77777777" w:rsidR="00AE0598" w:rsidRDefault="0069255A">
      <w:pPr>
        <w:pStyle w:val="Corpodetexto"/>
        <w:spacing w:before="118" w:line="232" w:lineRule="auto"/>
        <w:ind w:left="110" w:right="107" w:hanging="1"/>
        <w:jc w:val="both"/>
      </w:pPr>
      <w:r>
        <w:rPr>
          <w:color w:val="231F20"/>
          <w:w w:val="95"/>
        </w:rPr>
        <w:t>influenced</w:t>
      </w:r>
      <w:r>
        <w:rPr>
          <w:color w:val="231F20"/>
          <w:spacing w:val="-3"/>
          <w:w w:val="95"/>
        </w:rPr>
        <w:t xml:space="preserve"> </w:t>
      </w:r>
      <w:r>
        <w:rPr>
          <w:color w:val="231F20"/>
          <w:w w:val="95"/>
        </w:rPr>
        <w:t>the</w:t>
      </w:r>
      <w:r>
        <w:rPr>
          <w:color w:val="231F20"/>
          <w:spacing w:val="-3"/>
          <w:w w:val="95"/>
        </w:rPr>
        <w:t xml:space="preserve"> </w:t>
      </w:r>
      <w:r>
        <w:rPr>
          <w:color w:val="231F20"/>
          <w:w w:val="95"/>
        </w:rPr>
        <w:t>‘sportification</w:t>
      </w:r>
      <w:r>
        <w:rPr>
          <w:color w:val="231F20"/>
          <w:spacing w:val="-3"/>
          <w:w w:val="95"/>
        </w:rPr>
        <w:t xml:space="preserve"> </w:t>
      </w:r>
      <w:r>
        <w:rPr>
          <w:color w:val="231F20"/>
          <w:w w:val="95"/>
        </w:rPr>
        <w:t>of</w:t>
      </w:r>
      <w:r>
        <w:rPr>
          <w:color w:val="231F20"/>
          <w:spacing w:val="14"/>
        </w:rPr>
        <w:t xml:space="preserve"> </w:t>
      </w:r>
      <w:r>
        <w:rPr>
          <w:color w:val="231F20"/>
          <w:w w:val="95"/>
        </w:rPr>
        <w:t>society’</w:t>
      </w:r>
      <w:r>
        <w:rPr>
          <w:color w:val="231F20"/>
          <w:spacing w:val="-3"/>
          <w:w w:val="95"/>
        </w:rPr>
        <w:t xml:space="preserve"> </w:t>
      </w:r>
      <w:r>
        <w:rPr>
          <w:color w:val="231F20"/>
          <w:w w:val="95"/>
        </w:rPr>
        <w:t>(Halberstam,</w:t>
      </w:r>
      <w:r>
        <w:rPr>
          <w:color w:val="231F20"/>
          <w:spacing w:val="-3"/>
          <w:w w:val="95"/>
        </w:rPr>
        <w:t xml:space="preserve"> </w:t>
      </w:r>
      <w:r>
        <w:rPr>
          <w:color w:val="231F20"/>
          <w:w w:val="95"/>
        </w:rPr>
        <w:t>1999;</w:t>
      </w:r>
      <w:r>
        <w:rPr>
          <w:color w:val="231F20"/>
          <w:spacing w:val="-3"/>
          <w:w w:val="95"/>
        </w:rPr>
        <w:t xml:space="preserve"> </w:t>
      </w:r>
      <w:r>
        <w:rPr>
          <w:color w:val="231F20"/>
          <w:w w:val="95"/>
        </w:rPr>
        <w:t>Standeven</w:t>
      </w:r>
      <w:r>
        <w:rPr>
          <w:color w:val="231F20"/>
          <w:spacing w:val="-3"/>
          <w:w w:val="95"/>
        </w:rPr>
        <w:t xml:space="preserve"> </w:t>
      </w:r>
      <w:r>
        <w:rPr>
          <w:color w:val="231F20"/>
          <w:w w:val="95"/>
        </w:rPr>
        <w:t>&amp;</w:t>
      </w:r>
      <w:r>
        <w:rPr>
          <w:color w:val="231F20"/>
          <w:spacing w:val="-3"/>
          <w:w w:val="95"/>
        </w:rPr>
        <w:t xml:space="preserve"> </w:t>
      </w:r>
      <w:r>
        <w:rPr>
          <w:color w:val="231F20"/>
          <w:w w:val="95"/>
        </w:rPr>
        <w:t xml:space="preserve">De </w:t>
      </w:r>
      <w:r>
        <w:rPr>
          <w:color w:val="231F20"/>
        </w:rPr>
        <w:t>Knop,</w:t>
      </w:r>
      <w:r>
        <w:rPr>
          <w:color w:val="231F20"/>
          <w:spacing w:val="-12"/>
        </w:rPr>
        <w:t xml:space="preserve"> </w:t>
      </w:r>
      <w:r>
        <w:rPr>
          <w:color w:val="231F20"/>
        </w:rPr>
        <w:t>1999),</w:t>
      </w:r>
      <w:r>
        <w:rPr>
          <w:color w:val="231F20"/>
          <w:spacing w:val="-12"/>
        </w:rPr>
        <w:t xml:space="preserve"> </w:t>
      </w:r>
      <w:r>
        <w:rPr>
          <w:color w:val="231F20"/>
        </w:rPr>
        <w:t>and</w:t>
      </w:r>
      <w:r>
        <w:rPr>
          <w:color w:val="231F20"/>
          <w:spacing w:val="-11"/>
        </w:rPr>
        <w:t xml:space="preserve"> </w:t>
      </w:r>
      <w:r>
        <w:rPr>
          <w:color w:val="231F20"/>
        </w:rPr>
        <w:t>the</w:t>
      </w:r>
      <w:r>
        <w:rPr>
          <w:color w:val="231F20"/>
          <w:spacing w:val="-12"/>
        </w:rPr>
        <w:t xml:space="preserve"> </w:t>
      </w:r>
      <w:r>
        <w:rPr>
          <w:color w:val="231F20"/>
        </w:rPr>
        <w:t>forces</w:t>
      </w:r>
      <w:r>
        <w:rPr>
          <w:color w:val="231F20"/>
          <w:spacing w:val="-11"/>
        </w:rPr>
        <w:t xml:space="preserve"> </w:t>
      </w:r>
      <w:r>
        <w:rPr>
          <w:color w:val="231F20"/>
        </w:rPr>
        <w:t>of</w:t>
      </w:r>
      <w:r>
        <w:rPr>
          <w:color w:val="231F20"/>
          <w:spacing w:val="-12"/>
        </w:rPr>
        <w:t xml:space="preserve"> </w:t>
      </w:r>
      <w:r>
        <w:rPr>
          <w:color w:val="231F20"/>
        </w:rPr>
        <w:t>globalisation,</w:t>
      </w:r>
      <w:r>
        <w:rPr>
          <w:color w:val="231F20"/>
          <w:spacing w:val="-11"/>
        </w:rPr>
        <w:t xml:space="preserve"> </w:t>
      </w:r>
      <w:r>
        <w:rPr>
          <w:color w:val="231F20"/>
        </w:rPr>
        <w:t>which</w:t>
      </w:r>
      <w:r>
        <w:rPr>
          <w:color w:val="231F20"/>
          <w:spacing w:val="-12"/>
        </w:rPr>
        <w:t xml:space="preserve"> </w:t>
      </w:r>
      <w:r>
        <w:rPr>
          <w:color w:val="231F20"/>
        </w:rPr>
        <w:t>have</w:t>
      </w:r>
      <w:r>
        <w:rPr>
          <w:color w:val="231F20"/>
          <w:spacing w:val="-12"/>
        </w:rPr>
        <w:t xml:space="preserve"> </w:t>
      </w:r>
      <w:r>
        <w:rPr>
          <w:color w:val="231F20"/>
        </w:rPr>
        <w:t>had</w:t>
      </w:r>
      <w:r>
        <w:rPr>
          <w:color w:val="231F20"/>
          <w:spacing w:val="-11"/>
        </w:rPr>
        <w:t xml:space="preserve"> </w:t>
      </w:r>
      <w:r>
        <w:rPr>
          <w:color w:val="231F20"/>
        </w:rPr>
        <w:t>fundamental implications for personal and collective identity (re)formation (Higham &amp; Hinch, 2009). The political events of 2016, inc</w:t>
      </w:r>
      <w:r>
        <w:rPr>
          <w:color w:val="231F20"/>
        </w:rPr>
        <w:t xml:space="preserve">luding the Brexit vote </w:t>
      </w:r>
      <w:r>
        <w:rPr>
          <w:color w:val="231F20"/>
          <w:w w:val="95"/>
        </w:rPr>
        <w:t>(23</w:t>
      </w:r>
      <w:r>
        <w:rPr>
          <w:color w:val="231F20"/>
          <w:spacing w:val="-2"/>
          <w:w w:val="95"/>
        </w:rPr>
        <w:t xml:space="preserve"> </w:t>
      </w:r>
      <w:r>
        <w:rPr>
          <w:color w:val="231F20"/>
          <w:w w:val="95"/>
        </w:rPr>
        <w:t>June</w:t>
      </w:r>
      <w:r>
        <w:rPr>
          <w:color w:val="231F20"/>
          <w:spacing w:val="-2"/>
          <w:w w:val="95"/>
        </w:rPr>
        <w:t xml:space="preserve"> </w:t>
      </w:r>
      <w:r>
        <w:rPr>
          <w:color w:val="231F20"/>
          <w:w w:val="95"/>
        </w:rPr>
        <w:t>2016)</w:t>
      </w:r>
      <w:r>
        <w:rPr>
          <w:color w:val="231F20"/>
          <w:spacing w:val="-2"/>
          <w:w w:val="95"/>
        </w:rPr>
        <w:t xml:space="preserve"> </w:t>
      </w:r>
      <w:r>
        <w:rPr>
          <w:color w:val="231F20"/>
          <w:w w:val="95"/>
        </w:rPr>
        <w:t>and</w:t>
      </w:r>
      <w:r>
        <w:rPr>
          <w:color w:val="231F20"/>
          <w:spacing w:val="-2"/>
          <w:w w:val="95"/>
        </w:rPr>
        <w:t xml:space="preserve"> </w:t>
      </w:r>
      <w:r>
        <w:rPr>
          <w:color w:val="231F20"/>
          <w:w w:val="95"/>
        </w:rPr>
        <w:t>the</w:t>
      </w:r>
      <w:r>
        <w:rPr>
          <w:color w:val="231F20"/>
          <w:spacing w:val="-2"/>
          <w:w w:val="95"/>
        </w:rPr>
        <w:t xml:space="preserve"> </w:t>
      </w:r>
      <w:r>
        <w:rPr>
          <w:color w:val="231F20"/>
          <w:w w:val="95"/>
        </w:rPr>
        <w:t>US</w:t>
      </w:r>
      <w:r>
        <w:rPr>
          <w:color w:val="231F20"/>
          <w:spacing w:val="-2"/>
          <w:w w:val="95"/>
        </w:rPr>
        <w:t xml:space="preserve"> </w:t>
      </w:r>
      <w:r>
        <w:rPr>
          <w:color w:val="231F20"/>
          <w:w w:val="95"/>
        </w:rPr>
        <w:t>presidential</w:t>
      </w:r>
      <w:r>
        <w:rPr>
          <w:color w:val="231F20"/>
          <w:spacing w:val="-2"/>
          <w:w w:val="95"/>
        </w:rPr>
        <w:t xml:space="preserve"> </w:t>
      </w:r>
      <w:r>
        <w:rPr>
          <w:color w:val="231F20"/>
          <w:w w:val="95"/>
        </w:rPr>
        <w:t>elections</w:t>
      </w:r>
      <w:r>
        <w:rPr>
          <w:color w:val="231F20"/>
          <w:spacing w:val="-2"/>
          <w:w w:val="95"/>
        </w:rPr>
        <w:t xml:space="preserve"> </w:t>
      </w:r>
      <w:r>
        <w:rPr>
          <w:color w:val="231F20"/>
          <w:w w:val="95"/>
        </w:rPr>
        <w:t>(8</w:t>
      </w:r>
      <w:r>
        <w:rPr>
          <w:color w:val="231F20"/>
          <w:spacing w:val="-2"/>
          <w:w w:val="95"/>
        </w:rPr>
        <w:t xml:space="preserve"> </w:t>
      </w:r>
      <w:r>
        <w:rPr>
          <w:color w:val="231F20"/>
          <w:w w:val="95"/>
        </w:rPr>
        <w:t>November</w:t>
      </w:r>
      <w:r>
        <w:rPr>
          <w:color w:val="231F20"/>
          <w:spacing w:val="-2"/>
          <w:w w:val="95"/>
        </w:rPr>
        <w:t xml:space="preserve"> </w:t>
      </w:r>
      <w:r>
        <w:rPr>
          <w:color w:val="231F20"/>
          <w:w w:val="95"/>
        </w:rPr>
        <w:t>2016),</w:t>
      </w:r>
      <w:r>
        <w:rPr>
          <w:color w:val="231F20"/>
          <w:spacing w:val="-2"/>
          <w:w w:val="95"/>
        </w:rPr>
        <w:t xml:space="preserve"> </w:t>
      </w:r>
      <w:r>
        <w:rPr>
          <w:color w:val="231F20"/>
          <w:w w:val="95"/>
        </w:rPr>
        <w:t xml:space="preserve">which signalled new directions in economic protectionism and the strengthening </w:t>
      </w:r>
      <w:r>
        <w:rPr>
          <w:color w:val="231F20"/>
        </w:rPr>
        <w:t>of international border processes for visitors and migrants, will have significant</w:t>
      </w:r>
      <w:r>
        <w:rPr>
          <w:color w:val="231F20"/>
          <w:spacing w:val="-8"/>
        </w:rPr>
        <w:t xml:space="preserve"> </w:t>
      </w:r>
      <w:r>
        <w:rPr>
          <w:color w:val="231F20"/>
        </w:rPr>
        <w:t>implications</w:t>
      </w:r>
      <w:r>
        <w:rPr>
          <w:color w:val="231F20"/>
          <w:spacing w:val="-8"/>
        </w:rPr>
        <w:t xml:space="preserve"> </w:t>
      </w:r>
      <w:r>
        <w:rPr>
          <w:color w:val="231F20"/>
        </w:rPr>
        <w:t>for</w:t>
      </w:r>
      <w:r>
        <w:rPr>
          <w:color w:val="231F20"/>
          <w:spacing w:val="-8"/>
        </w:rPr>
        <w:t xml:space="preserve"> </w:t>
      </w:r>
      <w:r>
        <w:rPr>
          <w:color w:val="231F20"/>
        </w:rPr>
        <w:t>sport-related</w:t>
      </w:r>
      <w:r>
        <w:rPr>
          <w:color w:val="231F20"/>
          <w:spacing w:val="-8"/>
        </w:rPr>
        <w:t xml:space="preserve"> </w:t>
      </w:r>
      <w:r>
        <w:rPr>
          <w:color w:val="231F20"/>
        </w:rPr>
        <w:t>tourism</w:t>
      </w:r>
      <w:r>
        <w:rPr>
          <w:color w:val="231F20"/>
          <w:spacing w:val="-8"/>
        </w:rPr>
        <w:t xml:space="preserve"> </w:t>
      </w:r>
      <w:r>
        <w:rPr>
          <w:color w:val="231F20"/>
        </w:rPr>
        <w:t>and</w:t>
      </w:r>
      <w:r>
        <w:rPr>
          <w:color w:val="231F20"/>
          <w:spacing w:val="-8"/>
        </w:rPr>
        <w:t xml:space="preserve"> </w:t>
      </w:r>
      <w:r>
        <w:rPr>
          <w:color w:val="231F20"/>
        </w:rPr>
        <w:t>mobilities</w:t>
      </w:r>
      <w:r>
        <w:rPr>
          <w:color w:val="231F20"/>
          <w:spacing w:val="-8"/>
        </w:rPr>
        <w:t xml:space="preserve"> </w:t>
      </w:r>
      <w:r>
        <w:rPr>
          <w:color w:val="231F20"/>
        </w:rPr>
        <w:t>over</w:t>
      </w:r>
      <w:r>
        <w:rPr>
          <w:color w:val="231F20"/>
          <w:spacing w:val="-8"/>
        </w:rPr>
        <w:t xml:space="preserve"> </w:t>
      </w:r>
      <w:r>
        <w:rPr>
          <w:color w:val="231F20"/>
        </w:rPr>
        <w:t xml:space="preserve">the </w:t>
      </w:r>
      <w:r>
        <w:rPr>
          <w:color w:val="231F20"/>
          <w:w w:val="95"/>
        </w:rPr>
        <w:t xml:space="preserve">coming years, particularly sport labour migration. The global sports arena </w:t>
      </w:r>
      <w:r>
        <w:rPr>
          <w:color w:val="231F20"/>
        </w:rPr>
        <w:t>may become less global (Bale &amp; Magu</w:t>
      </w:r>
      <w:r>
        <w:rPr>
          <w:color w:val="231F20"/>
        </w:rPr>
        <w:t>ire, 2013), as some demonstrate resistance</w:t>
      </w:r>
      <w:r>
        <w:rPr>
          <w:color w:val="231F20"/>
          <w:spacing w:val="-3"/>
        </w:rPr>
        <w:t xml:space="preserve"> </w:t>
      </w:r>
      <w:r>
        <w:rPr>
          <w:color w:val="231F20"/>
        </w:rPr>
        <w:t>to</w:t>
      </w:r>
      <w:r>
        <w:rPr>
          <w:color w:val="231F20"/>
          <w:spacing w:val="-3"/>
        </w:rPr>
        <w:t xml:space="preserve"> </w:t>
      </w:r>
      <w:r>
        <w:rPr>
          <w:color w:val="231F20"/>
        </w:rPr>
        <w:t>the</w:t>
      </w:r>
      <w:r>
        <w:rPr>
          <w:color w:val="231F20"/>
          <w:spacing w:val="-3"/>
        </w:rPr>
        <w:t xml:space="preserve"> </w:t>
      </w:r>
      <w:r>
        <w:rPr>
          <w:color w:val="231F20"/>
        </w:rPr>
        <w:t>forces</w:t>
      </w:r>
      <w:r>
        <w:rPr>
          <w:color w:val="231F20"/>
          <w:spacing w:val="-3"/>
        </w:rPr>
        <w:t xml:space="preserve"> </w:t>
      </w:r>
      <w:r>
        <w:rPr>
          <w:color w:val="231F20"/>
        </w:rPr>
        <w:t>of globalisation</w:t>
      </w:r>
      <w:r>
        <w:rPr>
          <w:color w:val="231F20"/>
          <w:spacing w:val="-3"/>
        </w:rPr>
        <w:t xml:space="preserve"> </w:t>
      </w:r>
      <w:r>
        <w:rPr>
          <w:color w:val="231F20"/>
        </w:rPr>
        <w:t>and</w:t>
      </w:r>
      <w:r>
        <w:rPr>
          <w:color w:val="231F20"/>
          <w:spacing w:val="-3"/>
        </w:rPr>
        <w:t xml:space="preserve"> </w:t>
      </w:r>
      <w:r>
        <w:rPr>
          <w:color w:val="231F20"/>
        </w:rPr>
        <w:t>show</w:t>
      </w:r>
      <w:r>
        <w:rPr>
          <w:color w:val="231F20"/>
          <w:spacing w:val="-3"/>
        </w:rPr>
        <w:t xml:space="preserve"> </w:t>
      </w:r>
      <w:r>
        <w:rPr>
          <w:color w:val="231F20"/>
        </w:rPr>
        <w:t>signs</w:t>
      </w:r>
      <w:r>
        <w:rPr>
          <w:color w:val="231F20"/>
          <w:spacing w:val="-3"/>
        </w:rPr>
        <w:t xml:space="preserve"> </w:t>
      </w:r>
      <w:r>
        <w:rPr>
          <w:color w:val="231F20"/>
        </w:rPr>
        <w:t>of becoming</w:t>
      </w:r>
      <w:r>
        <w:rPr>
          <w:color w:val="231F20"/>
          <w:spacing w:val="-3"/>
        </w:rPr>
        <w:t xml:space="preserve"> </w:t>
      </w:r>
      <w:r>
        <w:rPr>
          <w:color w:val="231F20"/>
        </w:rPr>
        <w:t>less global in outlook.</w:t>
      </w:r>
    </w:p>
    <w:p w14:paraId="1AAAE7CF" w14:textId="77777777" w:rsidR="00AE0598" w:rsidRDefault="0069255A">
      <w:pPr>
        <w:pStyle w:val="Corpodetexto"/>
        <w:spacing w:before="14" w:line="232" w:lineRule="auto"/>
        <w:ind w:left="110" w:right="107" w:firstLine="320"/>
        <w:jc w:val="both"/>
      </w:pPr>
      <w:r>
        <w:rPr>
          <w:color w:val="231F20"/>
        </w:rPr>
        <w:t>Nevertheless, it remains the case that ‘the geographical extent and volume</w:t>
      </w:r>
      <w:r>
        <w:rPr>
          <w:color w:val="231F20"/>
          <w:spacing w:val="40"/>
        </w:rPr>
        <w:t xml:space="preserve"> </w:t>
      </w:r>
      <w:r>
        <w:rPr>
          <w:color w:val="231F20"/>
        </w:rPr>
        <w:t>of</w:t>
      </w:r>
      <w:r>
        <w:rPr>
          <w:color w:val="231F20"/>
          <w:spacing w:val="40"/>
        </w:rPr>
        <w:t xml:space="preserve"> </w:t>
      </w:r>
      <w:r>
        <w:rPr>
          <w:color w:val="231F20"/>
        </w:rPr>
        <w:t>sports</w:t>
      </w:r>
      <w:r>
        <w:rPr>
          <w:color w:val="231F20"/>
          <w:spacing w:val="40"/>
        </w:rPr>
        <w:t xml:space="preserve"> </w:t>
      </w:r>
      <w:r>
        <w:rPr>
          <w:color w:val="231F20"/>
        </w:rPr>
        <w:t>related</w:t>
      </w:r>
      <w:r>
        <w:rPr>
          <w:color w:val="231F20"/>
          <w:spacing w:val="40"/>
        </w:rPr>
        <w:t xml:space="preserve"> </w:t>
      </w:r>
      <w:r>
        <w:rPr>
          <w:color w:val="231F20"/>
        </w:rPr>
        <w:t>travel</w:t>
      </w:r>
      <w:r>
        <w:rPr>
          <w:color w:val="231F20"/>
          <w:spacing w:val="40"/>
        </w:rPr>
        <w:t xml:space="preserve"> </w:t>
      </w:r>
      <w:r>
        <w:rPr>
          <w:color w:val="231F20"/>
        </w:rPr>
        <w:t>has</w:t>
      </w:r>
      <w:r>
        <w:rPr>
          <w:color w:val="231F20"/>
          <w:spacing w:val="40"/>
        </w:rPr>
        <w:t xml:space="preserve"> </w:t>
      </w:r>
      <w:r>
        <w:rPr>
          <w:color w:val="231F20"/>
        </w:rPr>
        <w:t>grown</w:t>
      </w:r>
      <w:r>
        <w:rPr>
          <w:color w:val="231F20"/>
          <w:spacing w:val="40"/>
        </w:rPr>
        <w:t xml:space="preserve"> </w:t>
      </w:r>
      <w:r>
        <w:rPr>
          <w:color w:val="231F20"/>
        </w:rPr>
        <w:t>exponentially’</w:t>
      </w:r>
      <w:r>
        <w:rPr>
          <w:color w:val="231F20"/>
          <w:spacing w:val="40"/>
        </w:rPr>
        <w:t xml:space="preserve"> </w:t>
      </w:r>
      <w:r>
        <w:rPr>
          <w:color w:val="231F20"/>
        </w:rPr>
        <w:t>(Faulk</w:t>
      </w:r>
      <w:r>
        <w:rPr>
          <w:color w:val="231F20"/>
        </w:rPr>
        <w:t xml:space="preserve">ner </w:t>
      </w:r>
      <w:r>
        <w:rPr>
          <w:i/>
          <w:color w:val="231F20"/>
        </w:rPr>
        <w:t>et al</w:t>
      </w:r>
      <w:r>
        <w:rPr>
          <w:color w:val="231F20"/>
        </w:rPr>
        <w:t xml:space="preserve">., 1998: 3). Glyptis (1989) was one of the earlier scholars to provide an indication of these trends. She notes in a study of western European </w:t>
      </w:r>
      <w:r>
        <w:rPr>
          <w:color w:val="231F20"/>
          <w:w w:val="95"/>
        </w:rPr>
        <w:t xml:space="preserve">countries that all had experienced strong growth in interest in recreational </w:t>
      </w:r>
      <w:r>
        <w:rPr>
          <w:color w:val="231F20"/>
        </w:rPr>
        <w:t>sport during the 1980s. Furthermore, participation was increasing in all social</w:t>
      </w:r>
      <w:r>
        <w:rPr>
          <w:color w:val="231F20"/>
          <w:spacing w:val="-5"/>
        </w:rPr>
        <w:t xml:space="preserve"> </w:t>
      </w:r>
      <w:r>
        <w:rPr>
          <w:color w:val="231F20"/>
        </w:rPr>
        <w:t>strata,</w:t>
      </w:r>
      <w:r>
        <w:rPr>
          <w:color w:val="231F20"/>
          <w:spacing w:val="-5"/>
        </w:rPr>
        <w:t xml:space="preserve"> </w:t>
      </w:r>
      <w:r>
        <w:rPr>
          <w:color w:val="231F20"/>
        </w:rPr>
        <w:t>most</w:t>
      </w:r>
      <w:r>
        <w:rPr>
          <w:color w:val="231F20"/>
          <w:spacing w:val="-5"/>
        </w:rPr>
        <w:t xml:space="preserve"> </w:t>
      </w:r>
      <w:r>
        <w:rPr>
          <w:color w:val="231F20"/>
        </w:rPr>
        <w:t>sports</w:t>
      </w:r>
      <w:r>
        <w:rPr>
          <w:color w:val="231F20"/>
          <w:spacing w:val="-5"/>
        </w:rPr>
        <w:t xml:space="preserve"> </w:t>
      </w:r>
      <w:r>
        <w:rPr>
          <w:color w:val="231F20"/>
        </w:rPr>
        <w:t>were</w:t>
      </w:r>
      <w:r>
        <w:rPr>
          <w:color w:val="231F20"/>
          <w:spacing w:val="-5"/>
        </w:rPr>
        <w:t xml:space="preserve"> </w:t>
      </w:r>
      <w:r>
        <w:rPr>
          <w:color w:val="231F20"/>
        </w:rPr>
        <w:t>receiving</w:t>
      </w:r>
      <w:r>
        <w:rPr>
          <w:color w:val="231F20"/>
          <w:spacing w:val="-5"/>
        </w:rPr>
        <w:t xml:space="preserve"> </w:t>
      </w:r>
      <w:r>
        <w:rPr>
          <w:color w:val="231F20"/>
        </w:rPr>
        <w:t>participants</w:t>
      </w:r>
      <w:r>
        <w:rPr>
          <w:color w:val="231F20"/>
          <w:spacing w:val="-5"/>
        </w:rPr>
        <w:t xml:space="preserve"> </w:t>
      </w:r>
      <w:r>
        <w:rPr>
          <w:color w:val="231F20"/>
        </w:rPr>
        <w:t>from</w:t>
      </w:r>
      <w:r>
        <w:rPr>
          <w:color w:val="231F20"/>
          <w:spacing w:val="-5"/>
        </w:rPr>
        <w:t xml:space="preserve"> </w:t>
      </w:r>
      <w:r>
        <w:rPr>
          <w:color w:val="231F20"/>
        </w:rPr>
        <w:t>an</w:t>
      </w:r>
      <w:r>
        <w:rPr>
          <w:color w:val="231F20"/>
          <w:spacing w:val="-5"/>
        </w:rPr>
        <w:t xml:space="preserve"> </w:t>
      </w:r>
      <w:r>
        <w:rPr>
          <w:color w:val="231F20"/>
        </w:rPr>
        <w:t>expanding social spectrum and all had recorded significant increases in youth holidays, short breaks and multiple annual</w:t>
      </w:r>
      <w:r>
        <w:rPr>
          <w:color w:val="231F20"/>
        </w:rPr>
        <w:t xml:space="preserve"> holidays. The two and a half decades</w:t>
      </w:r>
      <w:r>
        <w:rPr>
          <w:color w:val="231F20"/>
          <w:spacing w:val="-7"/>
        </w:rPr>
        <w:t xml:space="preserve"> </w:t>
      </w:r>
      <w:r>
        <w:rPr>
          <w:color w:val="231F20"/>
        </w:rPr>
        <w:t>that</w:t>
      </w:r>
      <w:r>
        <w:rPr>
          <w:color w:val="231F20"/>
          <w:spacing w:val="-7"/>
        </w:rPr>
        <w:t xml:space="preserve"> </w:t>
      </w:r>
      <w:r>
        <w:rPr>
          <w:color w:val="231F20"/>
        </w:rPr>
        <w:t>have</w:t>
      </w:r>
      <w:r>
        <w:rPr>
          <w:color w:val="231F20"/>
          <w:spacing w:val="-7"/>
        </w:rPr>
        <w:t xml:space="preserve"> </w:t>
      </w:r>
      <w:r>
        <w:rPr>
          <w:color w:val="231F20"/>
        </w:rPr>
        <w:t>followed</w:t>
      </w:r>
      <w:r>
        <w:rPr>
          <w:color w:val="231F20"/>
          <w:spacing w:val="-7"/>
        </w:rPr>
        <w:t xml:space="preserve"> </w:t>
      </w:r>
      <w:r>
        <w:rPr>
          <w:color w:val="231F20"/>
        </w:rPr>
        <w:t>have</w:t>
      </w:r>
      <w:r>
        <w:rPr>
          <w:color w:val="231F20"/>
          <w:spacing w:val="-7"/>
        </w:rPr>
        <w:t xml:space="preserve"> </w:t>
      </w:r>
      <w:r>
        <w:rPr>
          <w:color w:val="231F20"/>
        </w:rPr>
        <w:t>served</w:t>
      </w:r>
      <w:r>
        <w:rPr>
          <w:color w:val="231F20"/>
          <w:spacing w:val="-7"/>
        </w:rPr>
        <w:t xml:space="preserve"> </w:t>
      </w:r>
      <w:r>
        <w:rPr>
          <w:color w:val="231F20"/>
        </w:rPr>
        <w:t>to</w:t>
      </w:r>
      <w:r>
        <w:rPr>
          <w:color w:val="231F20"/>
          <w:spacing w:val="-7"/>
        </w:rPr>
        <w:t xml:space="preserve"> </w:t>
      </w:r>
      <w:r>
        <w:rPr>
          <w:color w:val="231F20"/>
        </w:rPr>
        <w:t>strengthen</w:t>
      </w:r>
      <w:r>
        <w:rPr>
          <w:color w:val="231F20"/>
          <w:spacing w:val="-7"/>
        </w:rPr>
        <w:t xml:space="preserve"> </w:t>
      </w:r>
      <w:r>
        <w:rPr>
          <w:color w:val="231F20"/>
        </w:rPr>
        <w:t>these</w:t>
      </w:r>
      <w:r>
        <w:rPr>
          <w:color w:val="231F20"/>
          <w:spacing w:val="-7"/>
        </w:rPr>
        <w:t xml:space="preserve"> </w:t>
      </w:r>
      <w:r>
        <w:rPr>
          <w:color w:val="231F20"/>
        </w:rPr>
        <w:t>trends</w:t>
      </w:r>
      <w:r>
        <w:rPr>
          <w:color w:val="231F20"/>
          <w:spacing w:val="-7"/>
        </w:rPr>
        <w:t xml:space="preserve"> </w:t>
      </w:r>
      <w:r>
        <w:rPr>
          <w:color w:val="231F20"/>
        </w:rPr>
        <w:t>(Hall, 1992a, 1992b; International Olympic Committee &amp; World Tourism Organisation, 2001; UNWTO, 2017). Much has continued to change in the</w:t>
      </w:r>
      <w:r>
        <w:rPr>
          <w:color w:val="231F20"/>
          <w:spacing w:val="-8"/>
        </w:rPr>
        <w:t xml:space="preserve"> </w:t>
      </w:r>
      <w:r>
        <w:rPr>
          <w:color w:val="231F20"/>
        </w:rPr>
        <w:t>study</w:t>
      </w:r>
      <w:r>
        <w:rPr>
          <w:color w:val="231F20"/>
          <w:spacing w:val="-8"/>
        </w:rPr>
        <w:t xml:space="preserve"> </w:t>
      </w:r>
      <w:r>
        <w:rPr>
          <w:color w:val="231F20"/>
        </w:rPr>
        <w:t>of</w:t>
      </w:r>
      <w:r>
        <w:rPr>
          <w:color w:val="231F20"/>
          <w:spacing w:val="-8"/>
        </w:rPr>
        <w:t xml:space="preserve"> </w:t>
      </w:r>
      <w:r>
        <w:rPr>
          <w:color w:val="231F20"/>
        </w:rPr>
        <w:t>sport</w:t>
      </w:r>
      <w:r>
        <w:rPr>
          <w:color w:val="231F20"/>
          <w:spacing w:val="-8"/>
        </w:rPr>
        <w:t xml:space="preserve"> </w:t>
      </w:r>
      <w:r>
        <w:rPr>
          <w:color w:val="231F20"/>
        </w:rPr>
        <w:t>and</w:t>
      </w:r>
      <w:r>
        <w:rPr>
          <w:color w:val="231F20"/>
          <w:spacing w:val="-8"/>
        </w:rPr>
        <w:t xml:space="preserve"> </w:t>
      </w:r>
      <w:r>
        <w:rPr>
          <w:color w:val="231F20"/>
        </w:rPr>
        <w:t>to</w:t>
      </w:r>
      <w:r>
        <w:rPr>
          <w:color w:val="231F20"/>
        </w:rPr>
        <w:t>urism.</w:t>
      </w:r>
      <w:r>
        <w:rPr>
          <w:color w:val="231F20"/>
          <w:spacing w:val="-8"/>
        </w:rPr>
        <w:t xml:space="preserve"> </w:t>
      </w:r>
      <w:r>
        <w:rPr>
          <w:color w:val="231F20"/>
        </w:rPr>
        <w:t>Intensifying</w:t>
      </w:r>
      <w:r>
        <w:rPr>
          <w:color w:val="231F20"/>
          <w:spacing w:val="-8"/>
        </w:rPr>
        <w:t xml:space="preserve"> </w:t>
      </w:r>
      <w:r>
        <w:rPr>
          <w:color w:val="231F20"/>
        </w:rPr>
        <w:t>commercial</w:t>
      </w:r>
      <w:r>
        <w:rPr>
          <w:color w:val="231F20"/>
          <w:spacing w:val="-8"/>
        </w:rPr>
        <w:t xml:space="preserve"> </w:t>
      </w:r>
      <w:r>
        <w:rPr>
          <w:color w:val="231F20"/>
        </w:rPr>
        <w:t>demands</w:t>
      </w:r>
      <w:r>
        <w:rPr>
          <w:color w:val="231F20"/>
          <w:spacing w:val="-8"/>
        </w:rPr>
        <w:t xml:space="preserve"> </w:t>
      </w:r>
      <w:r>
        <w:rPr>
          <w:color w:val="231F20"/>
        </w:rPr>
        <w:t>in</w:t>
      </w:r>
      <w:r>
        <w:rPr>
          <w:color w:val="231F20"/>
          <w:spacing w:val="-8"/>
        </w:rPr>
        <w:t xml:space="preserve"> </w:t>
      </w:r>
      <w:r>
        <w:rPr>
          <w:color w:val="231F20"/>
        </w:rPr>
        <w:t xml:space="preserve">elite sport, the development of hybrid and innovation of new sports and the growth of lifestyle sports (Gilchrist &amp; Wheaton, 2016; Wheaton, 2004) among other things, have changed the relationship between sport and </w:t>
      </w:r>
      <w:r>
        <w:rPr>
          <w:color w:val="231F20"/>
          <w:w w:val="95"/>
        </w:rPr>
        <w:t xml:space="preserve">the environment, sport and place, sports fans and their teams, and sports </w:t>
      </w:r>
      <w:r>
        <w:rPr>
          <w:color w:val="231F20"/>
        </w:rPr>
        <w:t>participants</w:t>
      </w:r>
      <w:r>
        <w:rPr>
          <w:color w:val="231F20"/>
          <w:spacing w:val="-3"/>
        </w:rPr>
        <w:t xml:space="preserve"> </w:t>
      </w:r>
      <w:r>
        <w:rPr>
          <w:color w:val="231F20"/>
        </w:rPr>
        <w:t>and</w:t>
      </w:r>
      <w:r>
        <w:rPr>
          <w:color w:val="231F20"/>
          <w:spacing w:val="-3"/>
        </w:rPr>
        <w:t xml:space="preserve"> </w:t>
      </w:r>
      <w:r>
        <w:rPr>
          <w:color w:val="231F20"/>
        </w:rPr>
        <w:t>their</w:t>
      </w:r>
      <w:r>
        <w:rPr>
          <w:color w:val="231F20"/>
          <w:spacing w:val="-3"/>
        </w:rPr>
        <w:t xml:space="preserve"> </w:t>
      </w:r>
      <w:r>
        <w:rPr>
          <w:color w:val="231F20"/>
        </w:rPr>
        <w:t>constructions</w:t>
      </w:r>
      <w:r>
        <w:rPr>
          <w:color w:val="231F20"/>
          <w:spacing w:val="-3"/>
        </w:rPr>
        <w:t xml:space="preserve"> </w:t>
      </w:r>
      <w:r>
        <w:rPr>
          <w:color w:val="231F20"/>
        </w:rPr>
        <w:t>of</w:t>
      </w:r>
      <w:r>
        <w:rPr>
          <w:color w:val="231F20"/>
          <w:spacing w:val="-3"/>
        </w:rPr>
        <w:t xml:space="preserve"> </w:t>
      </w:r>
      <w:r>
        <w:rPr>
          <w:color w:val="231F20"/>
        </w:rPr>
        <w:t>identity</w:t>
      </w:r>
      <w:r>
        <w:rPr>
          <w:color w:val="231F20"/>
          <w:spacing w:val="-3"/>
        </w:rPr>
        <w:t xml:space="preserve"> </w:t>
      </w:r>
      <w:r>
        <w:rPr>
          <w:color w:val="231F20"/>
        </w:rPr>
        <w:t>(Higham</w:t>
      </w:r>
      <w:r>
        <w:rPr>
          <w:color w:val="231F20"/>
          <w:spacing w:val="-3"/>
        </w:rPr>
        <w:t xml:space="preserve"> </w:t>
      </w:r>
      <w:r>
        <w:rPr>
          <w:color w:val="231F20"/>
        </w:rPr>
        <w:t>&amp;</w:t>
      </w:r>
      <w:r>
        <w:rPr>
          <w:color w:val="231F20"/>
          <w:spacing w:val="-3"/>
        </w:rPr>
        <w:t xml:space="preserve"> </w:t>
      </w:r>
      <w:r>
        <w:rPr>
          <w:color w:val="231F20"/>
        </w:rPr>
        <w:t>Hinch,</w:t>
      </w:r>
      <w:r>
        <w:rPr>
          <w:color w:val="231F20"/>
          <w:spacing w:val="-3"/>
        </w:rPr>
        <w:t xml:space="preserve"> </w:t>
      </w:r>
      <w:r>
        <w:rPr>
          <w:color w:val="231F20"/>
        </w:rPr>
        <w:t>2009).</w:t>
      </w:r>
    </w:p>
    <w:p w14:paraId="298B9E82" w14:textId="77777777" w:rsidR="00AE0598" w:rsidRDefault="00AE0598">
      <w:pPr>
        <w:pStyle w:val="Corpodetexto"/>
        <w:spacing w:before="4"/>
        <w:rPr>
          <w:sz w:val="31"/>
        </w:rPr>
      </w:pPr>
    </w:p>
    <w:p w14:paraId="6C4C9E71" w14:textId="77777777" w:rsidR="00AE0598" w:rsidRDefault="0069255A">
      <w:pPr>
        <w:ind w:left="110"/>
        <w:jc w:val="both"/>
        <w:rPr>
          <w:rFonts w:ascii="Trebuchet MS"/>
          <w:b/>
          <w:sz w:val="20"/>
        </w:rPr>
      </w:pPr>
      <w:r>
        <w:rPr>
          <w:rFonts w:ascii="Trebuchet MS"/>
          <w:b/>
          <w:color w:val="231F20"/>
          <w:sz w:val="20"/>
        </w:rPr>
        <w:t>The Foundations of Sport</w:t>
      </w:r>
      <w:r>
        <w:rPr>
          <w:rFonts w:ascii="Trebuchet MS"/>
          <w:b/>
          <w:color w:val="231F20"/>
          <w:spacing w:val="1"/>
          <w:sz w:val="20"/>
        </w:rPr>
        <w:t xml:space="preserve"> </w:t>
      </w:r>
      <w:r>
        <w:rPr>
          <w:rFonts w:ascii="Trebuchet MS"/>
          <w:b/>
          <w:color w:val="231F20"/>
          <w:sz w:val="20"/>
        </w:rPr>
        <w:t xml:space="preserve">Tourism </w:t>
      </w:r>
      <w:r>
        <w:rPr>
          <w:rFonts w:ascii="Trebuchet MS"/>
          <w:b/>
          <w:color w:val="231F20"/>
          <w:spacing w:val="-2"/>
          <w:sz w:val="20"/>
        </w:rPr>
        <w:t>Development</w:t>
      </w:r>
    </w:p>
    <w:p w14:paraId="52673E40" w14:textId="77777777" w:rsidR="00AE0598" w:rsidRDefault="0069255A">
      <w:pPr>
        <w:pStyle w:val="Corpodetexto"/>
        <w:spacing w:before="122" w:line="232" w:lineRule="auto"/>
        <w:ind w:left="110" w:right="106" w:firstLine="320"/>
        <w:jc w:val="both"/>
      </w:pPr>
      <w:r>
        <w:rPr>
          <w:color w:val="231F20"/>
          <w:spacing w:val="-2"/>
        </w:rPr>
        <w:t xml:space="preserve">The growth of sport tourism justifies critical consideration of relevant </w:t>
      </w:r>
      <w:r>
        <w:rPr>
          <w:color w:val="231F20"/>
        </w:rPr>
        <w:t>development</w:t>
      </w:r>
      <w:r>
        <w:rPr>
          <w:color w:val="231F20"/>
          <w:spacing w:val="-3"/>
        </w:rPr>
        <w:t xml:space="preserve"> </w:t>
      </w:r>
      <w:r>
        <w:rPr>
          <w:color w:val="231F20"/>
        </w:rPr>
        <w:t>issues.</w:t>
      </w:r>
      <w:r>
        <w:rPr>
          <w:color w:val="231F20"/>
          <w:spacing w:val="-3"/>
        </w:rPr>
        <w:t xml:space="preserve"> </w:t>
      </w:r>
      <w:r>
        <w:rPr>
          <w:color w:val="231F20"/>
        </w:rPr>
        <w:t>This</w:t>
      </w:r>
      <w:r>
        <w:rPr>
          <w:color w:val="231F20"/>
          <w:spacing w:val="-3"/>
        </w:rPr>
        <w:t xml:space="preserve"> </w:t>
      </w:r>
      <w:r>
        <w:rPr>
          <w:color w:val="231F20"/>
        </w:rPr>
        <w:t>task</w:t>
      </w:r>
      <w:r>
        <w:rPr>
          <w:color w:val="231F20"/>
          <w:spacing w:val="-3"/>
        </w:rPr>
        <w:t xml:space="preserve"> </w:t>
      </w:r>
      <w:r>
        <w:rPr>
          <w:color w:val="231F20"/>
        </w:rPr>
        <w:t>requires</w:t>
      </w:r>
      <w:r>
        <w:rPr>
          <w:color w:val="231F20"/>
          <w:spacing w:val="-3"/>
        </w:rPr>
        <w:t xml:space="preserve"> </w:t>
      </w:r>
      <w:r>
        <w:rPr>
          <w:color w:val="231F20"/>
        </w:rPr>
        <w:t>that</w:t>
      </w:r>
      <w:r>
        <w:rPr>
          <w:color w:val="231F20"/>
          <w:spacing w:val="-3"/>
        </w:rPr>
        <w:t xml:space="preserve"> </w:t>
      </w:r>
      <w:r>
        <w:rPr>
          <w:color w:val="231F20"/>
        </w:rPr>
        <w:t>sport</w:t>
      </w:r>
      <w:r>
        <w:rPr>
          <w:color w:val="231F20"/>
          <w:spacing w:val="-3"/>
        </w:rPr>
        <w:t xml:space="preserve"> </w:t>
      </w:r>
      <w:r>
        <w:rPr>
          <w:color w:val="231F20"/>
        </w:rPr>
        <w:t>tourism</w:t>
      </w:r>
      <w:r>
        <w:rPr>
          <w:color w:val="231F20"/>
          <w:spacing w:val="-3"/>
        </w:rPr>
        <w:t xml:space="preserve"> </w:t>
      </w:r>
      <w:r>
        <w:rPr>
          <w:color w:val="231F20"/>
        </w:rPr>
        <w:t>is</w:t>
      </w:r>
      <w:r>
        <w:rPr>
          <w:color w:val="231F20"/>
          <w:spacing w:val="-3"/>
        </w:rPr>
        <w:t xml:space="preserve"> </w:t>
      </w:r>
      <w:r>
        <w:rPr>
          <w:color w:val="231F20"/>
        </w:rPr>
        <w:t>defined</w:t>
      </w:r>
      <w:r>
        <w:rPr>
          <w:color w:val="231F20"/>
          <w:spacing w:val="-3"/>
        </w:rPr>
        <w:t xml:space="preserve"> </w:t>
      </w:r>
      <w:r>
        <w:rPr>
          <w:color w:val="231F20"/>
        </w:rPr>
        <w:t>and conceptualised</w:t>
      </w:r>
      <w:r>
        <w:rPr>
          <w:color w:val="231F20"/>
          <w:spacing w:val="-12"/>
        </w:rPr>
        <w:t xml:space="preserve"> </w:t>
      </w:r>
      <w:r>
        <w:rPr>
          <w:color w:val="231F20"/>
        </w:rPr>
        <w:t>in</w:t>
      </w:r>
      <w:r>
        <w:rPr>
          <w:color w:val="231F20"/>
          <w:spacing w:val="-12"/>
        </w:rPr>
        <w:t xml:space="preserve"> </w:t>
      </w:r>
      <w:r>
        <w:rPr>
          <w:color w:val="231F20"/>
        </w:rPr>
        <w:t>ways</w:t>
      </w:r>
      <w:r>
        <w:rPr>
          <w:color w:val="231F20"/>
          <w:spacing w:val="-11"/>
        </w:rPr>
        <w:t xml:space="preserve"> </w:t>
      </w:r>
      <w:r>
        <w:rPr>
          <w:color w:val="231F20"/>
        </w:rPr>
        <w:t>that</w:t>
      </w:r>
      <w:r>
        <w:rPr>
          <w:color w:val="231F20"/>
          <w:spacing w:val="-12"/>
        </w:rPr>
        <w:t xml:space="preserve"> </w:t>
      </w:r>
      <w:r>
        <w:rPr>
          <w:color w:val="231F20"/>
        </w:rPr>
        <w:t>highlight</w:t>
      </w:r>
      <w:r>
        <w:rPr>
          <w:color w:val="231F20"/>
          <w:spacing w:val="-11"/>
        </w:rPr>
        <w:t xml:space="preserve"> </w:t>
      </w:r>
      <w:r>
        <w:rPr>
          <w:color w:val="231F20"/>
        </w:rPr>
        <w:t>rather</w:t>
      </w:r>
      <w:r>
        <w:rPr>
          <w:color w:val="231F20"/>
          <w:spacing w:val="-12"/>
        </w:rPr>
        <w:t xml:space="preserve"> </w:t>
      </w:r>
      <w:r>
        <w:rPr>
          <w:color w:val="231F20"/>
        </w:rPr>
        <w:t>than</w:t>
      </w:r>
      <w:r>
        <w:rPr>
          <w:color w:val="231F20"/>
          <w:spacing w:val="-11"/>
        </w:rPr>
        <w:t xml:space="preserve"> </w:t>
      </w:r>
      <w:r>
        <w:rPr>
          <w:color w:val="231F20"/>
        </w:rPr>
        <w:t>obscure</w:t>
      </w:r>
      <w:r>
        <w:rPr>
          <w:color w:val="231F20"/>
          <w:spacing w:val="-12"/>
        </w:rPr>
        <w:t xml:space="preserve"> </w:t>
      </w:r>
      <w:r>
        <w:rPr>
          <w:color w:val="231F20"/>
        </w:rPr>
        <w:t>the</w:t>
      </w:r>
      <w:r>
        <w:rPr>
          <w:color w:val="231F20"/>
          <w:spacing w:val="-12"/>
        </w:rPr>
        <w:t xml:space="preserve"> </w:t>
      </w:r>
      <w:r>
        <w:rPr>
          <w:color w:val="231F20"/>
        </w:rPr>
        <w:t>diversity</w:t>
      </w:r>
      <w:r>
        <w:rPr>
          <w:color w:val="231F20"/>
          <w:spacing w:val="-11"/>
        </w:rPr>
        <w:t xml:space="preserve"> </w:t>
      </w:r>
      <w:r>
        <w:rPr>
          <w:color w:val="231F20"/>
        </w:rPr>
        <w:t>of interests</w:t>
      </w:r>
      <w:r>
        <w:rPr>
          <w:color w:val="231F20"/>
          <w:spacing w:val="-1"/>
        </w:rPr>
        <w:t xml:space="preserve"> </w:t>
      </w:r>
      <w:r>
        <w:rPr>
          <w:color w:val="231F20"/>
        </w:rPr>
        <w:t>in</w:t>
      </w:r>
      <w:r>
        <w:rPr>
          <w:color w:val="231F20"/>
          <w:spacing w:val="-1"/>
        </w:rPr>
        <w:t xml:space="preserve"> </w:t>
      </w:r>
      <w:r>
        <w:rPr>
          <w:color w:val="231F20"/>
        </w:rPr>
        <w:t>sport</w:t>
      </w:r>
      <w:r>
        <w:rPr>
          <w:color w:val="231F20"/>
          <w:spacing w:val="-1"/>
        </w:rPr>
        <w:t xml:space="preserve"> </w:t>
      </w:r>
      <w:r>
        <w:rPr>
          <w:color w:val="231F20"/>
        </w:rPr>
        <w:t>and</w:t>
      </w:r>
      <w:r>
        <w:rPr>
          <w:color w:val="231F20"/>
          <w:spacing w:val="-1"/>
        </w:rPr>
        <w:t xml:space="preserve"> </w:t>
      </w:r>
      <w:r>
        <w:rPr>
          <w:color w:val="231F20"/>
        </w:rPr>
        <w:t>tourism.</w:t>
      </w:r>
      <w:r>
        <w:rPr>
          <w:color w:val="231F20"/>
          <w:spacing w:val="-1"/>
        </w:rPr>
        <w:t xml:space="preserve"> </w:t>
      </w:r>
      <w:r>
        <w:rPr>
          <w:color w:val="231F20"/>
        </w:rPr>
        <w:t>A</w:t>
      </w:r>
      <w:r>
        <w:rPr>
          <w:color w:val="231F20"/>
          <w:spacing w:val="-1"/>
        </w:rPr>
        <w:t xml:space="preserve"> </w:t>
      </w:r>
      <w:r>
        <w:rPr>
          <w:color w:val="231F20"/>
        </w:rPr>
        <w:t>n</w:t>
      </w:r>
      <w:r>
        <w:rPr>
          <w:color w:val="231F20"/>
        </w:rPr>
        <w:t>umber</w:t>
      </w:r>
      <w:r>
        <w:rPr>
          <w:color w:val="231F20"/>
          <w:spacing w:val="-1"/>
        </w:rPr>
        <w:t xml:space="preserve"> </w:t>
      </w:r>
      <w:r>
        <w:rPr>
          <w:color w:val="231F20"/>
        </w:rPr>
        <w:t>of</w:t>
      </w:r>
      <w:r>
        <w:rPr>
          <w:color w:val="231F20"/>
          <w:spacing w:val="-1"/>
        </w:rPr>
        <w:t xml:space="preserve"> </w:t>
      </w:r>
      <w:r>
        <w:rPr>
          <w:color w:val="231F20"/>
        </w:rPr>
        <w:t>definitions</w:t>
      </w:r>
      <w:r>
        <w:rPr>
          <w:color w:val="231F20"/>
          <w:spacing w:val="-1"/>
        </w:rPr>
        <w:t xml:space="preserve"> </w:t>
      </w:r>
      <w:r>
        <w:rPr>
          <w:color w:val="231F20"/>
        </w:rPr>
        <w:t>exist</w:t>
      </w:r>
      <w:r>
        <w:rPr>
          <w:color w:val="231F20"/>
          <w:spacing w:val="-1"/>
        </w:rPr>
        <w:t xml:space="preserve"> </w:t>
      </w:r>
      <w:r>
        <w:rPr>
          <w:color w:val="231F20"/>
        </w:rPr>
        <w:t>in</w:t>
      </w:r>
      <w:r>
        <w:rPr>
          <w:color w:val="231F20"/>
          <w:spacing w:val="-1"/>
        </w:rPr>
        <w:t xml:space="preserve"> </w:t>
      </w:r>
      <w:r>
        <w:rPr>
          <w:color w:val="231F20"/>
        </w:rPr>
        <w:t>this</w:t>
      </w:r>
      <w:r>
        <w:rPr>
          <w:color w:val="231F20"/>
          <w:spacing w:val="-1"/>
        </w:rPr>
        <w:t xml:space="preserve"> </w:t>
      </w:r>
      <w:r>
        <w:rPr>
          <w:color w:val="231F20"/>
        </w:rPr>
        <w:t xml:space="preserve">field, which afford the opportunity to study sport tourism from a variety of </w:t>
      </w:r>
      <w:r>
        <w:rPr>
          <w:color w:val="231F20"/>
          <w:w w:val="95"/>
        </w:rPr>
        <w:t xml:space="preserve">perspectives. For the purposes of this book, sport tourism is conceptualised by considering sport as a tourist attraction, and by highlighting the defining </w:t>
      </w:r>
      <w:r>
        <w:rPr>
          <w:color w:val="231F20"/>
        </w:rPr>
        <w:t xml:space="preserve">qualities of sport that collectively constitute a unique contribution to </w:t>
      </w:r>
      <w:r>
        <w:rPr>
          <w:color w:val="231F20"/>
          <w:w w:val="95"/>
        </w:rPr>
        <w:t>tourism</w:t>
      </w:r>
      <w:r>
        <w:rPr>
          <w:color w:val="231F20"/>
          <w:spacing w:val="-1"/>
          <w:w w:val="95"/>
        </w:rPr>
        <w:t xml:space="preserve"> </w:t>
      </w:r>
      <w:r>
        <w:rPr>
          <w:color w:val="231F20"/>
          <w:w w:val="95"/>
        </w:rPr>
        <w:t>(Chapter</w:t>
      </w:r>
      <w:r>
        <w:rPr>
          <w:color w:val="231F20"/>
          <w:spacing w:val="-1"/>
          <w:w w:val="95"/>
        </w:rPr>
        <w:t xml:space="preserve"> </w:t>
      </w:r>
      <w:r>
        <w:rPr>
          <w:color w:val="231F20"/>
          <w:w w:val="95"/>
        </w:rPr>
        <w:t>2:</w:t>
      </w:r>
      <w:r>
        <w:rPr>
          <w:color w:val="231F20"/>
          <w:spacing w:val="-1"/>
          <w:w w:val="95"/>
        </w:rPr>
        <w:t xml:space="preserve"> </w:t>
      </w:r>
      <w:r>
        <w:rPr>
          <w:color w:val="231F20"/>
          <w:w w:val="95"/>
        </w:rPr>
        <w:t>The</w:t>
      </w:r>
      <w:r>
        <w:rPr>
          <w:color w:val="231F20"/>
          <w:spacing w:val="-1"/>
          <w:w w:val="95"/>
        </w:rPr>
        <w:t xml:space="preserve"> </w:t>
      </w:r>
      <w:r>
        <w:rPr>
          <w:color w:val="231F20"/>
          <w:w w:val="95"/>
        </w:rPr>
        <w:t>Stu</w:t>
      </w:r>
      <w:r>
        <w:rPr>
          <w:color w:val="231F20"/>
          <w:w w:val="95"/>
        </w:rPr>
        <w:t>dy</w:t>
      </w:r>
      <w:r>
        <w:rPr>
          <w:color w:val="231F20"/>
          <w:spacing w:val="-1"/>
          <w:w w:val="95"/>
        </w:rPr>
        <w:t xml:space="preserve"> </w:t>
      </w:r>
      <w:r>
        <w:rPr>
          <w:color w:val="231F20"/>
          <w:w w:val="95"/>
        </w:rPr>
        <w:t>of</w:t>
      </w:r>
      <w:r>
        <w:rPr>
          <w:color w:val="231F20"/>
          <w:spacing w:val="-1"/>
          <w:w w:val="95"/>
        </w:rPr>
        <w:t xml:space="preserve"> </w:t>
      </w:r>
      <w:r>
        <w:rPr>
          <w:color w:val="231F20"/>
          <w:w w:val="95"/>
        </w:rPr>
        <w:t>Sport</w:t>
      </w:r>
      <w:r>
        <w:rPr>
          <w:color w:val="231F20"/>
          <w:spacing w:val="-1"/>
          <w:w w:val="95"/>
        </w:rPr>
        <w:t xml:space="preserve"> </w:t>
      </w:r>
      <w:r>
        <w:rPr>
          <w:color w:val="231F20"/>
          <w:w w:val="95"/>
        </w:rPr>
        <w:t>Tourism).</w:t>
      </w:r>
      <w:r>
        <w:rPr>
          <w:color w:val="231F20"/>
          <w:spacing w:val="-1"/>
          <w:w w:val="95"/>
        </w:rPr>
        <w:t xml:space="preserve"> </w:t>
      </w:r>
      <w:r>
        <w:rPr>
          <w:color w:val="231F20"/>
          <w:w w:val="95"/>
        </w:rPr>
        <w:t>This</w:t>
      </w:r>
      <w:r>
        <w:rPr>
          <w:color w:val="231F20"/>
          <w:spacing w:val="-1"/>
          <w:w w:val="95"/>
        </w:rPr>
        <w:t xml:space="preserve"> </w:t>
      </w:r>
      <w:r>
        <w:rPr>
          <w:color w:val="231F20"/>
          <w:w w:val="95"/>
        </w:rPr>
        <w:t>approach</w:t>
      </w:r>
      <w:r>
        <w:rPr>
          <w:color w:val="231F20"/>
          <w:spacing w:val="-1"/>
          <w:w w:val="95"/>
        </w:rPr>
        <w:t xml:space="preserve"> </w:t>
      </w:r>
      <w:r>
        <w:rPr>
          <w:color w:val="231F20"/>
          <w:w w:val="95"/>
        </w:rPr>
        <w:t>is</w:t>
      </w:r>
      <w:r>
        <w:rPr>
          <w:color w:val="231F20"/>
          <w:spacing w:val="-1"/>
          <w:w w:val="95"/>
        </w:rPr>
        <w:t xml:space="preserve"> </w:t>
      </w:r>
      <w:r>
        <w:rPr>
          <w:color w:val="231F20"/>
          <w:w w:val="95"/>
        </w:rPr>
        <w:t>intended to</w:t>
      </w:r>
      <w:r>
        <w:rPr>
          <w:color w:val="231F20"/>
          <w:spacing w:val="-3"/>
          <w:w w:val="95"/>
        </w:rPr>
        <w:t xml:space="preserve"> </w:t>
      </w:r>
      <w:r>
        <w:rPr>
          <w:color w:val="231F20"/>
          <w:w w:val="95"/>
        </w:rPr>
        <w:t>give</w:t>
      </w:r>
      <w:r>
        <w:rPr>
          <w:color w:val="231F20"/>
          <w:spacing w:val="-3"/>
          <w:w w:val="95"/>
        </w:rPr>
        <w:t xml:space="preserve"> </w:t>
      </w:r>
      <w:r>
        <w:rPr>
          <w:color w:val="231F20"/>
          <w:w w:val="95"/>
        </w:rPr>
        <w:t>prominence</w:t>
      </w:r>
      <w:r>
        <w:rPr>
          <w:color w:val="231F20"/>
          <w:spacing w:val="-3"/>
          <w:w w:val="95"/>
        </w:rPr>
        <w:t xml:space="preserve"> </w:t>
      </w:r>
      <w:r>
        <w:rPr>
          <w:color w:val="231F20"/>
          <w:w w:val="95"/>
        </w:rPr>
        <w:t>to</w:t>
      </w:r>
      <w:r>
        <w:rPr>
          <w:color w:val="231F20"/>
          <w:spacing w:val="-3"/>
          <w:w w:val="95"/>
        </w:rPr>
        <w:t xml:space="preserve"> </w:t>
      </w:r>
      <w:r>
        <w:rPr>
          <w:color w:val="231F20"/>
          <w:w w:val="95"/>
        </w:rPr>
        <w:t>the</w:t>
      </w:r>
      <w:r>
        <w:rPr>
          <w:color w:val="231F20"/>
          <w:spacing w:val="-3"/>
          <w:w w:val="95"/>
        </w:rPr>
        <w:t xml:space="preserve"> </w:t>
      </w:r>
      <w:r>
        <w:rPr>
          <w:color w:val="231F20"/>
          <w:w w:val="95"/>
        </w:rPr>
        <w:t>diverse,</w:t>
      </w:r>
      <w:r>
        <w:rPr>
          <w:color w:val="231F20"/>
          <w:spacing w:val="-3"/>
          <w:w w:val="95"/>
        </w:rPr>
        <w:t xml:space="preserve"> </w:t>
      </w:r>
      <w:r>
        <w:rPr>
          <w:color w:val="231F20"/>
          <w:w w:val="95"/>
        </w:rPr>
        <w:t>dynamic</w:t>
      </w:r>
      <w:r>
        <w:rPr>
          <w:color w:val="231F20"/>
          <w:spacing w:val="-3"/>
          <w:w w:val="95"/>
        </w:rPr>
        <w:t xml:space="preserve"> </w:t>
      </w:r>
      <w:r>
        <w:rPr>
          <w:color w:val="231F20"/>
          <w:w w:val="95"/>
        </w:rPr>
        <w:t>and</w:t>
      </w:r>
      <w:r>
        <w:rPr>
          <w:color w:val="231F20"/>
          <w:spacing w:val="-3"/>
          <w:w w:val="95"/>
        </w:rPr>
        <w:t xml:space="preserve"> </w:t>
      </w:r>
      <w:r>
        <w:rPr>
          <w:color w:val="231F20"/>
          <w:w w:val="95"/>
        </w:rPr>
        <w:t>complex</w:t>
      </w:r>
      <w:r>
        <w:rPr>
          <w:color w:val="231F20"/>
          <w:spacing w:val="-3"/>
          <w:w w:val="95"/>
        </w:rPr>
        <w:t xml:space="preserve"> </w:t>
      </w:r>
      <w:r>
        <w:rPr>
          <w:color w:val="231F20"/>
          <w:w w:val="95"/>
        </w:rPr>
        <w:t>nature</w:t>
      </w:r>
      <w:r>
        <w:rPr>
          <w:color w:val="231F20"/>
          <w:spacing w:val="-3"/>
          <w:w w:val="95"/>
        </w:rPr>
        <w:t xml:space="preserve"> </w:t>
      </w:r>
      <w:r>
        <w:rPr>
          <w:color w:val="231F20"/>
          <w:w w:val="95"/>
        </w:rPr>
        <w:t>of</w:t>
      </w:r>
      <w:r>
        <w:rPr>
          <w:color w:val="231F20"/>
          <w:spacing w:val="-3"/>
          <w:w w:val="95"/>
        </w:rPr>
        <w:t xml:space="preserve"> </w:t>
      </w:r>
      <w:r>
        <w:rPr>
          <w:color w:val="231F20"/>
          <w:w w:val="95"/>
        </w:rPr>
        <w:t>sport</w:t>
      </w:r>
      <w:r>
        <w:rPr>
          <w:color w:val="231F20"/>
          <w:spacing w:val="-3"/>
          <w:w w:val="95"/>
        </w:rPr>
        <w:t xml:space="preserve"> </w:t>
      </w:r>
      <w:r>
        <w:rPr>
          <w:color w:val="231F20"/>
          <w:w w:val="95"/>
        </w:rPr>
        <w:t xml:space="preserve">and </w:t>
      </w:r>
      <w:r>
        <w:rPr>
          <w:color w:val="231F20"/>
        </w:rPr>
        <w:t>tourism,</w:t>
      </w:r>
      <w:r>
        <w:rPr>
          <w:color w:val="231F20"/>
          <w:spacing w:val="-12"/>
        </w:rPr>
        <w:t xml:space="preserve"> </w:t>
      </w:r>
      <w:r>
        <w:rPr>
          <w:color w:val="231F20"/>
        </w:rPr>
        <w:t>thereby</w:t>
      </w:r>
      <w:r>
        <w:rPr>
          <w:color w:val="231F20"/>
          <w:spacing w:val="-11"/>
        </w:rPr>
        <w:t xml:space="preserve"> </w:t>
      </w:r>
      <w:r>
        <w:rPr>
          <w:color w:val="231F20"/>
        </w:rPr>
        <w:t>helping</w:t>
      </w:r>
      <w:r>
        <w:rPr>
          <w:color w:val="231F20"/>
          <w:spacing w:val="-12"/>
        </w:rPr>
        <w:t xml:space="preserve"> </w:t>
      </w:r>
      <w:r>
        <w:rPr>
          <w:color w:val="231F20"/>
        </w:rPr>
        <w:t>to</w:t>
      </w:r>
      <w:r>
        <w:rPr>
          <w:color w:val="231F20"/>
          <w:spacing w:val="-11"/>
        </w:rPr>
        <w:t xml:space="preserve"> </w:t>
      </w:r>
      <w:r>
        <w:rPr>
          <w:color w:val="231F20"/>
        </w:rPr>
        <w:t>clarify</w:t>
      </w:r>
      <w:r>
        <w:rPr>
          <w:color w:val="231F20"/>
          <w:spacing w:val="-12"/>
        </w:rPr>
        <w:t xml:space="preserve"> </w:t>
      </w:r>
      <w:r>
        <w:rPr>
          <w:color w:val="231F20"/>
        </w:rPr>
        <w:t>the</w:t>
      </w:r>
      <w:r>
        <w:rPr>
          <w:color w:val="231F20"/>
          <w:spacing w:val="-11"/>
        </w:rPr>
        <w:t xml:space="preserve"> </w:t>
      </w:r>
      <w:r>
        <w:rPr>
          <w:color w:val="231F20"/>
        </w:rPr>
        <w:t>parameters</w:t>
      </w:r>
      <w:r>
        <w:rPr>
          <w:color w:val="231F20"/>
          <w:spacing w:val="-12"/>
        </w:rPr>
        <w:t xml:space="preserve"> </w:t>
      </w:r>
      <w:r>
        <w:rPr>
          <w:color w:val="231F20"/>
        </w:rPr>
        <w:t>and</w:t>
      </w:r>
      <w:r>
        <w:rPr>
          <w:color w:val="231F20"/>
          <w:spacing w:val="-11"/>
        </w:rPr>
        <w:t xml:space="preserve"> </w:t>
      </w:r>
      <w:r>
        <w:rPr>
          <w:color w:val="231F20"/>
        </w:rPr>
        <w:t>scope</w:t>
      </w:r>
      <w:r>
        <w:rPr>
          <w:color w:val="231F20"/>
          <w:spacing w:val="-12"/>
        </w:rPr>
        <w:t xml:space="preserve"> </w:t>
      </w:r>
      <w:r>
        <w:rPr>
          <w:color w:val="231F20"/>
        </w:rPr>
        <w:t>of</w:t>
      </w:r>
      <w:r>
        <w:rPr>
          <w:color w:val="231F20"/>
          <w:spacing w:val="-11"/>
        </w:rPr>
        <w:t xml:space="preserve"> </w:t>
      </w:r>
      <w:r>
        <w:rPr>
          <w:color w:val="231F20"/>
        </w:rPr>
        <w:t>this</w:t>
      </w:r>
      <w:r>
        <w:rPr>
          <w:color w:val="231F20"/>
          <w:spacing w:val="-12"/>
        </w:rPr>
        <w:t xml:space="preserve"> </w:t>
      </w:r>
      <w:r>
        <w:rPr>
          <w:color w:val="231F20"/>
        </w:rPr>
        <w:t>book.</w:t>
      </w:r>
    </w:p>
    <w:p w14:paraId="5DCBF7FD" w14:textId="77777777" w:rsidR="00AE0598" w:rsidRDefault="00AE0598">
      <w:pPr>
        <w:spacing w:line="232" w:lineRule="auto"/>
        <w:jc w:val="both"/>
        <w:sectPr w:rsidR="00AE0598">
          <w:pgSz w:w="8850" w:h="13270"/>
          <w:pgMar w:top="720" w:right="1080" w:bottom="280" w:left="1080" w:header="720" w:footer="720" w:gutter="0"/>
          <w:cols w:space="720"/>
        </w:sectPr>
      </w:pPr>
    </w:p>
    <w:p w14:paraId="74F57D79" w14:textId="77777777" w:rsidR="00AE0598" w:rsidRDefault="0069255A">
      <w:pPr>
        <w:spacing w:before="87"/>
        <w:ind w:left="108"/>
        <w:rPr>
          <w:rFonts w:ascii="Trebuchet MS"/>
          <w:sz w:val="14"/>
        </w:rPr>
      </w:pPr>
      <w:r>
        <w:rPr>
          <w:rFonts w:ascii="Trebuchet MS"/>
          <w:color w:val="231F20"/>
          <w:w w:val="105"/>
          <w:sz w:val="14"/>
        </w:rPr>
        <w:lastRenderedPageBreak/>
        <w:t>8</w:t>
      </w:r>
      <w:r>
        <w:rPr>
          <w:rFonts w:ascii="Trebuchet MS"/>
          <w:color w:val="231F20"/>
          <w:spacing w:val="78"/>
          <w:w w:val="105"/>
          <w:sz w:val="14"/>
        </w:rPr>
        <w:t xml:space="preserve"> </w:t>
      </w:r>
      <w:r>
        <w:rPr>
          <w:rFonts w:ascii="Trebuchet MS"/>
          <w:color w:val="231F20"/>
          <w:w w:val="105"/>
          <w:sz w:val="14"/>
        </w:rPr>
        <w:t>Part</w:t>
      </w:r>
      <w:r>
        <w:rPr>
          <w:rFonts w:ascii="Trebuchet MS"/>
          <w:color w:val="231F20"/>
          <w:spacing w:val="-10"/>
          <w:w w:val="105"/>
          <w:sz w:val="14"/>
        </w:rPr>
        <w:t xml:space="preserve"> </w:t>
      </w:r>
      <w:r>
        <w:rPr>
          <w:rFonts w:ascii="Trebuchet MS"/>
          <w:color w:val="231F20"/>
          <w:w w:val="105"/>
          <w:sz w:val="14"/>
        </w:rPr>
        <w:t>1:</w:t>
      </w:r>
      <w:r>
        <w:rPr>
          <w:rFonts w:ascii="Trebuchet MS"/>
          <w:color w:val="231F20"/>
          <w:spacing w:val="-11"/>
          <w:w w:val="105"/>
          <w:sz w:val="14"/>
        </w:rPr>
        <w:t xml:space="preserve"> </w:t>
      </w:r>
      <w:r>
        <w:rPr>
          <w:rFonts w:ascii="Trebuchet MS"/>
          <w:color w:val="231F20"/>
          <w:spacing w:val="-2"/>
          <w:w w:val="105"/>
          <w:sz w:val="14"/>
        </w:rPr>
        <w:t>Introduction</w:t>
      </w:r>
    </w:p>
    <w:p w14:paraId="08DB7FA0" w14:textId="77777777" w:rsidR="00AE0598" w:rsidRDefault="00AE0598">
      <w:pPr>
        <w:pStyle w:val="Corpodetexto"/>
        <w:rPr>
          <w:rFonts w:ascii="Trebuchet MS"/>
          <w:sz w:val="16"/>
        </w:rPr>
      </w:pPr>
    </w:p>
    <w:p w14:paraId="67BBC98E" w14:textId="77777777" w:rsidR="00AE0598" w:rsidRDefault="0069255A">
      <w:pPr>
        <w:pStyle w:val="Corpodetexto"/>
        <w:spacing w:before="118" w:line="232" w:lineRule="auto"/>
        <w:ind w:left="110" w:right="106" w:firstLine="320"/>
        <w:jc w:val="both"/>
      </w:pPr>
      <w:r>
        <w:rPr>
          <w:color w:val="231F20"/>
        </w:rPr>
        <w:t>The</w:t>
      </w:r>
      <w:r>
        <w:rPr>
          <w:color w:val="231F20"/>
          <w:spacing w:val="-12"/>
        </w:rPr>
        <w:t xml:space="preserve"> </w:t>
      </w:r>
      <w:r>
        <w:rPr>
          <w:color w:val="231F20"/>
        </w:rPr>
        <w:t>diversity</w:t>
      </w:r>
      <w:r>
        <w:rPr>
          <w:color w:val="231F20"/>
          <w:spacing w:val="-12"/>
        </w:rPr>
        <w:t xml:space="preserve"> </w:t>
      </w:r>
      <w:r>
        <w:rPr>
          <w:color w:val="231F20"/>
        </w:rPr>
        <w:t>of</w:t>
      </w:r>
      <w:r>
        <w:rPr>
          <w:color w:val="231F20"/>
          <w:spacing w:val="-10"/>
        </w:rPr>
        <w:t xml:space="preserve"> </w:t>
      </w:r>
      <w:r>
        <w:rPr>
          <w:color w:val="231F20"/>
        </w:rPr>
        <w:t>sport</w:t>
      </w:r>
      <w:r>
        <w:rPr>
          <w:color w:val="231F20"/>
          <w:spacing w:val="-11"/>
        </w:rPr>
        <w:t xml:space="preserve"> </w:t>
      </w:r>
      <w:r>
        <w:rPr>
          <w:color w:val="231F20"/>
        </w:rPr>
        <w:t>tourism</w:t>
      </w:r>
      <w:r>
        <w:rPr>
          <w:color w:val="231F20"/>
          <w:spacing w:val="-12"/>
        </w:rPr>
        <w:t xml:space="preserve"> </w:t>
      </w:r>
      <w:r>
        <w:rPr>
          <w:color w:val="231F20"/>
        </w:rPr>
        <w:t>markets</w:t>
      </w:r>
      <w:r>
        <w:rPr>
          <w:color w:val="231F20"/>
          <w:spacing w:val="-12"/>
        </w:rPr>
        <w:t xml:space="preserve"> </w:t>
      </w:r>
      <w:r>
        <w:rPr>
          <w:color w:val="231F20"/>
        </w:rPr>
        <w:t>is</w:t>
      </w:r>
      <w:r>
        <w:rPr>
          <w:color w:val="231F20"/>
          <w:spacing w:val="-11"/>
        </w:rPr>
        <w:t xml:space="preserve"> </w:t>
      </w:r>
      <w:r>
        <w:rPr>
          <w:color w:val="231F20"/>
        </w:rPr>
        <w:t>explored</w:t>
      </w:r>
      <w:r>
        <w:rPr>
          <w:color w:val="231F20"/>
          <w:spacing w:val="-12"/>
        </w:rPr>
        <w:t xml:space="preserve"> </w:t>
      </w:r>
      <w:r>
        <w:rPr>
          <w:color w:val="231F20"/>
        </w:rPr>
        <w:t>in</w:t>
      </w:r>
      <w:r>
        <w:rPr>
          <w:color w:val="231F20"/>
          <w:spacing w:val="-11"/>
        </w:rPr>
        <w:t xml:space="preserve"> </w:t>
      </w:r>
      <w:r>
        <w:rPr>
          <w:color w:val="231F20"/>
        </w:rPr>
        <w:t>Chapter</w:t>
      </w:r>
      <w:r>
        <w:rPr>
          <w:color w:val="231F20"/>
          <w:spacing w:val="-12"/>
        </w:rPr>
        <w:t xml:space="preserve"> </w:t>
      </w:r>
      <w:r>
        <w:rPr>
          <w:color w:val="231F20"/>
        </w:rPr>
        <w:t>3:</w:t>
      </w:r>
      <w:r>
        <w:rPr>
          <w:color w:val="231F20"/>
          <w:spacing w:val="-11"/>
        </w:rPr>
        <w:t xml:space="preserve"> </w:t>
      </w:r>
      <w:r>
        <w:rPr>
          <w:color w:val="231F20"/>
        </w:rPr>
        <w:t>Sport Tourism Markets, which highlights the rich diversity of motivations,</w:t>
      </w:r>
      <w:r>
        <w:rPr>
          <w:color w:val="231F20"/>
          <w:spacing w:val="80"/>
        </w:rPr>
        <w:t xml:space="preserve"> </w:t>
      </w:r>
      <w:r>
        <w:rPr>
          <w:color w:val="231F20"/>
        </w:rPr>
        <w:t>and</w:t>
      </w:r>
      <w:r>
        <w:rPr>
          <w:color w:val="231F20"/>
          <w:spacing w:val="-12"/>
        </w:rPr>
        <w:t xml:space="preserve"> </w:t>
      </w:r>
      <w:r>
        <w:rPr>
          <w:color w:val="231F20"/>
        </w:rPr>
        <w:t>therefore</w:t>
      </w:r>
      <w:r>
        <w:rPr>
          <w:color w:val="231F20"/>
          <w:spacing w:val="-12"/>
        </w:rPr>
        <w:t xml:space="preserve"> </w:t>
      </w:r>
      <w:r>
        <w:rPr>
          <w:color w:val="231F20"/>
        </w:rPr>
        <w:t>the</w:t>
      </w:r>
      <w:r>
        <w:rPr>
          <w:color w:val="231F20"/>
          <w:spacing w:val="-11"/>
        </w:rPr>
        <w:t xml:space="preserve"> </w:t>
      </w:r>
      <w:r>
        <w:rPr>
          <w:color w:val="231F20"/>
        </w:rPr>
        <w:t>varied</w:t>
      </w:r>
      <w:r>
        <w:rPr>
          <w:color w:val="231F20"/>
          <w:spacing w:val="-12"/>
        </w:rPr>
        <w:t xml:space="preserve"> </w:t>
      </w:r>
      <w:r>
        <w:rPr>
          <w:color w:val="231F20"/>
        </w:rPr>
        <w:t>approaches</w:t>
      </w:r>
      <w:r>
        <w:rPr>
          <w:color w:val="231F20"/>
          <w:spacing w:val="-11"/>
        </w:rPr>
        <w:t xml:space="preserve"> </w:t>
      </w:r>
      <w:r>
        <w:rPr>
          <w:color w:val="231F20"/>
        </w:rPr>
        <w:t>to</w:t>
      </w:r>
      <w:r>
        <w:rPr>
          <w:color w:val="231F20"/>
          <w:spacing w:val="-12"/>
        </w:rPr>
        <w:t xml:space="preserve"> </w:t>
      </w:r>
      <w:r>
        <w:rPr>
          <w:color w:val="231F20"/>
        </w:rPr>
        <w:t>market</w:t>
      </w:r>
      <w:r>
        <w:rPr>
          <w:color w:val="231F20"/>
          <w:spacing w:val="-11"/>
        </w:rPr>
        <w:t xml:space="preserve"> </w:t>
      </w:r>
      <w:r>
        <w:rPr>
          <w:color w:val="231F20"/>
        </w:rPr>
        <w:t>segmentation</w:t>
      </w:r>
      <w:r>
        <w:rPr>
          <w:color w:val="231F20"/>
          <w:spacing w:val="-12"/>
        </w:rPr>
        <w:t xml:space="preserve"> </w:t>
      </w:r>
      <w:r>
        <w:rPr>
          <w:color w:val="231F20"/>
        </w:rPr>
        <w:t>that</w:t>
      </w:r>
      <w:r>
        <w:rPr>
          <w:color w:val="231F20"/>
          <w:spacing w:val="-12"/>
        </w:rPr>
        <w:t xml:space="preserve"> </w:t>
      </w:r>
      <w:r>
        <w:rPr>
          <w:color w:val="231F20"/>
        </w:rPr>
        <w:t>exist</w:t>
      </w:r>
      <w:r>
        <w:rPr>
          <w:color w:val="231F20"/>
          <w:spacing w:val="-11"/>
        </w:rPr>
        <w:t xml:space="preserve"> </w:t>
      </w:r>
      <w:r>
        <w:rPr>
          <w:color w:val="231F20"/>
        </w:rPr>
        <w:t>in sport</w:t>
      </w:r>
      <w:r>
        <w:rPr>
          <w:color w:val="231F20"/>
          <w:spacing w:val="-1"/>
        </w:rPr>
        <w:t xml:space="preserve"> </w:t>
      </w:r>
      <w:r>
        <w:rPr>
          <w:color w:val="231F20"/>
        </w:rPr>
        <w:t>tourism.</w:t>
      </w:r>
      <w:r>
        <w:rPr>
          <w:color w:val="231F20"/>
          <w:spacing w:val="-1"/>
        </w:rPr>
        <w:t xml:space="preserve"> </w:t>
      </w:r>
      <w:r>
        <w:rPr>
          <w:color w:val="231F20"/>
        </w:rPr>
        <w:t>Bale</w:t>
      </w:r>
      <w:r>
        <w:rPr>
          <w:color w:val="231F20"/>
          <w:spacing w:val="-1"/>
        </w:rPr>
        <w:t xml:space="preserve"> </w:t>
      </w:r>
      <w:r>
        <w:rPr>
          <w:color w:val="231F20"/>
        </w:rPr>
        <w:t>(1989:</w:t>
      </w:r>
      <w:r>
        <w:rPr>
          <w:color w:val="231F20"/>
          <w:spacing w:val="-1"/>
        </w:rPr>
        <w:t xml:space="preserve"> </w:t>
      </w:r>
      <w:r>
        <w:rPr>
          <w:color w:val="231F20"/>
        </w:rPr>
        <w:t>9)</w:t>
      </w:r>
      <w:r>
        <w:rPr>
          <w:color w:val="231F20"/>
          <w:spacing w:val="-1"/>
        </w:rPr>
        <w:t xml:space="preserve"> </w:t>
      </w:r>
      <w:r>
        <w:rPr>
          <w:color w:val="231F20"/>
        </w:rPr>
        <w:t>notes</w:t>
      </w:r>
      <w:r>
        <w:rPr>
          <w:color w:val="231F20"/>
          <w:spacing w:val="-1"/>
        </w:rPr>
        <w:t xml:space="preserve"> </w:t>
      </w:r>
      <w:r>
        <w:rPr>
          <w:color w:val="231F20"/>
        </w:rPr>
        <w:t>that</w:t>
      </w:r>
      <w:r>
        <w:rPr>
          <w:color w:val="231F20"/>
          <w:spacing w:val="-1"/>
        </w:rPr>
        <w:t xml:space="preserve"> </w:t>
      </w:r>
      <w:r>
        <w:rPr>
          <w:color w:val="231F20"/>
        </w:rPr>
        <w:t>‘work-play,</w:t>
      </w:r>
      <w:r>
        <w:rPr>
          <w:color w:val="231F20"/>
          <w:spacing w:val="-1"/>
        </w:rPr>
        <w:t xml:space="preserve"> </w:t>
      </w:r>
      <w:r>
        <w:rPr>
          <w:color w:val="231F20"/>
        </w:rPr>
        <w:t xml:space="preserve">freedom-constraint, </w:t>
      </w:r>
      <w:r>
        <w:rPr>
          <w:color w:val="231F20"/>
          <w:w w:val="95"/>
        </w:rPr>
        <w:t xml:space="preserve">competition-recreation, and process-product are only some of the continua </w:t>
      </w:r>
      <w:r>
        <w:rPr>
          <w:color w:val="231F20"/>
        </w:rPr>
        <w:t xml:space="preserve">on which sports can be located’. Thus, the experiences of sport tourists are likely to vary considerably with the motivations that travellers hold </w:t>
      </w:r>
      <w:r>
        <w:rPr>
          <w:color w:val="231F20"/>
          <w:w w:val="95"/>
        </w:rPr>
        <w:t>tow</w:t>
      </w:r>
      <w:r>
        <w:rPr>
          <w:color w:val="231F20"/>
          <w:w w:val="95"/>
        </w:rPr>
        <w:t>ards</w:t>
      </w:r>
      <w:r>
        <w:rPr>
          <w:color w:val="231F20"/>
          <w:spacing w:val="-1"/>
          <w:w w:val="95"/>
        </w:rPr>
        <w:t xml:space="preserve"> </w:t>
      </w:r>
      <w:r>
        <w:rPr>
          <w:color w:val="231F20"/>
          <w:w w:val="95"/>
        </w:rPr>
        <w:t>their</w:t>
      </w:r>
      <w:r>
        <w:rPr>
          <w:color w:val="231F20"/>
          <w:spacing w:val="-1"/>
          <w:w w:val="95"/>
        </w:rPr>
        <w:t xml:space="preserve"> </w:t>
      </w:r>
      <w:r>
        <w:rPr>
          <w:color w:val="231F20"/>
          <w:w w:val="95"/>
        </w:rPr>
        <w:t>chosen</w:t>
      </w:r>
      <w:r>
        <w:rPr>
          <w:color w:val="231F20"/>
          <w:spacing w:val="-1"/>
          <w:w w:val="95"/>
        </w:rPr>
        <w:t xml:space="preserve"> </w:t>
      </w:r>
      <w:r>
        <w:rPr>
          <w:color w:val="231F20"/>
          <w:w w:val="95"/>
        </w:rPr>
        <w:t>sports.</w:t>
      </w:r>
      <w:r>
        <w:rPr>
          <w:color w:val="231F20"/>
          <w:spacing w:val="-1"/>
          <w:w w:val="95"/>
        </w:rPr>
        <w:t xml:space="preserve"> </w:t>
      </w:r>
      <w:r>
        <w:rPr>
          <w:color w:val="231F20"/>
          <w:w w:val="95"/>
        </w:rPr>
        <w:t>The</w:t>
      </w:r>
      <w:r>
        <w:rPr>
          <w:color w:val="231F20"/>
          <w:spacing w:val="-1"/>
          <w:w w:val="95"/>
        </w:rPr>
        <w:t xml:space="preserve"> </w:t>
      </w:r>
      <w:r>
        <w:rPr>
          <w:color w:val="231F20"/>
          <w:w w:val="95"/>
        </w:rPr>
        <w:t>motivations</w:t>
      </w:r>
      <w:r>
        <w:rPr>
          <w:color w:val="231F20"/>
          <w:spacing w:val="-1"/>
          <w:w w:val="95"/>
        </w:rPr>
        <w:t xml:space="preserve"> </w:t>
      </w:r>
      <w:r>
        <w:rPr>
          <w:color w:val="231F20"/>
          <w:w w:val="95"/>
        </w:rPr>
        <w:t>associated</w:t>
      </w:r>
      <w:r>
        <w:rPr>
          <w:color w:val="231F20"/>
          <w:spacing w:val="-1"/>
          <w:w w:val="95"/>
        </w:rPr>
        <w:t xml:space="preserve"> </w:t>
      </w:r>
      <w:r>
        <w:rPr>
          <w:color w:val="231F20"/>
          <w:w w:val="95"/>
        </w:rPr>
        <w:t>with</w:t>
      </w:r>
      <w:r>
        <w:rPr>
          <w:color w:val="231F20"/>
          <w:spacing w:val="-1"/>
          <w:w w:val="95"/>
        </w:rPr>
        <w:t xml:space="preserve"> </w:t>
      </w:r>
      <w:r>
        <w:rPr>
          <w:color w:val="231F20"/>
          <w:w w:val="95"/>
        </w:rPr>
        <w:t>sport</w:t>
      </w:r>
      <w:r>
        <w:rPr>
          <w:color w:val="231F20"/>
          <w:spacing w:val="-1"/>
          <w:w w:val="95"/>
        </w:rPr>
        <w:t xml:space="preserve"> </w:t>
      </w:r>
      <w:r>
        <w:rPr>
          <w:color w:val="231F20"/>
          <w:w w:val="95"/>
        </w:rPr>
        <w:t xml:space="preserve">tourism </w:t>
      </w:r>
      <w:r>
        <w:rPr>
          <w:color w:val="231F20"/>
        </w:rPr>
        <w:t>niche</w:t>
      </w:r>
      <w:r>
        <w:rPr>
          <w:color w:val="231F20"/>
          <w:spacing w:val="-3"/>
        </w:rPr>
        <w:t xml:space="preserve"> </w:t>
      </w:r>
      <w:r>
        <w:rPr>
          <w:color w:val="231F20"/>
        </w:rPr>
        <w:t>markets</w:t>
      </w:r>
      <w:r>
        <w:rPr>
          <w:color w:val="231F20"/>
          <w:spacing w:val="-3"/>
        </w:rPr>
        <w:t xml:space="preserve"> </w:t>
      </w:r>
      <w:r>
        <w:rPr>
          <w:color w:val="231F20"/>
        </w:rPr>
        <w:t>raise</w:t>
      </w:r>
      <w:r>
        <w:rPr>
          <w:color w:val="231F20"/>
          <w:spacing w:val="-3"/>
        </w:rPr>
        <w:t xml:space="preserve"> </w:t>
      </w:r>
      <w:r>
        <w:rPr>
          <w:color w:val="231F20"/>
        </w:rPr>
        <w:t>intriguing</w:t>
      </w:r>
      <w:r>
        <w:rPr>
          <w:color w:val="231F20"/>
          <w:spacing w:val="-3"/>
        </w:rPr>
        <w:t xml:space="preserve"> </w:t>
      </w:r>
      <w:r>
        <w:rPr>
          <w:color w:val="231F20"/>
        </w:rPr>
        <w:t>questions</w:t>
      </w:r>
      <w:r>
        <w:rPr>
          <w:color w:val="231F20"/>
          <w:spacing w:val="-3"/>
        </w:rPr>
        <w:t xml:space="preserve"> </w:t>
      </w:r>
      <w:r>
        <w:rPr>
          <w:color w:val="231F20"/>
        </w:rPr>
        <w:t>for</w:t>
      </w:r>
      <w:r>
        <w:rPr>
          <w:color w:val="231F20"/>
          <w:spacing w:val="-3"/>
        </w:rPr>
        <w:t xml:space="preserve"> </w:t>
      </w:r>
      <w:r>
        <w:rPr>
          <w:color w:val="231F20"/>
        </w:rPr>
        <w:t>sports</w:t>
      </w:r>
      <w:r>
        <w:rPr>
          <w:color w:val="231F20"/>
          <w:spacing w:val="-3"/>
        </w:rPr>
        <w:t xml:space="preserve"> </w:t>
      </w:r>
      <w:r>
        <w:rPr>
          <w:color w:val="231F20"/>
        </w:rPr>
        <w:t>event</w:t>
      </w:r>
      <w:r>
        <w:rPr>
          <w:color w:val="231F20"/>
          <w:spacing w:val="-3"/>
        </w:rPr>
        <w:t xml:space="preserve"> </w:t>
      </w:r>
      <w:r>
        <w:rPr>
          <w:color w:val="231F20"/>
        </w:rPr>
        <w:t>organisers</w:t>
      </w:r>
      <w:r>
        <w:rPr>
          <w:color w:val="231F20"/>
          <w:spacing w:val="-3"/>
        </w:rPr>
        <w:t xml:space="preserve"> </w:t>
      </w:r>
      <w:r>
        <w:rPr>
          <w:color w:val="231F20"/>
        </w:rPr>
        <w:t>and promoters,</w:t>
      </w:r>
      <w:r>
        <w:rPr>
          <w:color w:val="231F20"/>
          <w:spacing w:val="-12"/>
        </w:rPr>
        <w:t xml:space="preserve"> </w:t>
      </w:r>
      <w:r>
        <w:rPr>
          <w:color w:val="231F20"/>
        </w:rPr>
        <w:t>sports</w:t>
      </w:r>
      <w:r>
        <w:rPr>
          <w:color w:val="231F20"/>
          <w:spacing w:val="-12"/>
        </w:rPr>
        <w:t xml:space="preserve"> </w:t>
      </w:r>
      <w:r>
        <w:rPr>
          <w:color w:val="231F20"/>
        </w:rPr>
        <w:t>associations,</w:t>
      </w:r>
      <w:r>
        <w:rPr>
          <w:color w:val="231F20"/>
          <w:spacing w:val="-11"/>
        </w:rPr>
        <w:t xml:space="preserve"> </w:t>
      </w:r>
      <w:r>
        <w:rPr>
          <w:color w:val="231F20"/>
        </w:rPr>
        <w:t>managers</w:t>
      </w:r>
      <w:r>
        <w:rPr>
          <w:color w:val="231F20"/>
          <w:spacing w:val="-12"/>
        </w:rPr>
        <w:t xml:space="preserve"> </w:t>
      </w:r>
      <w:r>
        <w:rPr>
          <w:color w:val="231F20"/>
        </w:rPr>
        <w:t>of</w:t>
      </w:r>
      <w:r>
        <w:rPr>
          <w:color w:val="231F20"/>
          <w:spacing w:val="-11"/>
        </w:rPr>
        <w:t xml:space="preserve"> </w:t>
      </w:r>
      <w:r>
        <w:rPr>
          <w:color w:val="231F20"/>
        </w:rPr>
        <w:t>sporting</w:t>
      </w:r>
      <w:r>
        <w:rPr>
          <w:color w:val="231F20"/>
          <w:spacing w:val="-12"/>
        </w:rPr>
        <w:t xml:space="preserve"> </w:t>
      </w:r>
      <w:r>
        <w:rPr>
          <w:color w:val="231F20"/>
        </w:rPr>
        <w:t>venues,</w:t>
      </w:r>
      <w:r>
        <w:rPr>
          <w:color w:val="231F20"/>
          <w:spacing w:val="-11"/>
        </w:rPr>
        <w:t xml:space="preserve"> </w:t>
      </w:r>
      <w:r>
        <w:rPr>
          <w:color w:val="231F20"/>
        </w:rPr>
        <w:t xml:space="preserve">destination </w:t>
      </w:r>
      <w:r>
        <w:rPr>
          <w:color w:val="231F20"/>
          <w:w w:val="95"/>
        </w:rPr>
        <w:t>managers and tourism marketers (Higham</w:t>
      </w:r>
      <w:r>
        <w:rPr>
          <w:color w:val="231F20"/>
          <w:w w:val="95"/>
        </w:rPr>
        <w:t xml:space="preserve"> &amp; Hinch, 2009). To what extent, </w:t>
      </w:r>
      <w:r>
        <w:rPr>
          <w:color w:val="231F20"/>
          <w:spacing w:val="-2"/>
          <w:w w:val="95"/>
        </w:rPr>
        <w:t xml:space="preserve">for example, are highly competitive professional athletes interested in tourist </w:t>
      </w:r>
      <w:r>
        <w:rPr>
          <w:color w:val="231F20"/>
          <w:w w:val="95"/>
        </w:rPr>
        <w:t>experiences</w:t>
      </w:r>
      <w:r>
        <w:rPr>
          <w:color w:val="231F20"/>
          <w:spacing w:val="-4"/>
          <w:w w:val="95"/>
        </w:rPr>
        <w:t xml:space="preserve"> </w:t>
      </w:r>
      <w:r>
        <w:rPr>
          <w:color w:val="231F20"/>
          <w:w w:val="95"/>
        </w:rPr>
        <w:t>at</w:t>
      </w:r>
      <w:r>
        <w:rPr>
          <w:color w:val="231F20"/>
          <w:spacing w:val="-4"/>
          <w:w w:val="95"/>
        </w:rPr>
        <w:t xml:space="preserve"> </w:t>
      </w:r>
      <w:r>
        <w:rPr>
          <w:color w:val="231F20"/>
          <w:w w:val="95"/>
        </w:rPr>
        <w:t>a</w:t>
      </w:r>
      <w:r>
        <w:rPr>
          <w:color w:val="231F20"/>
          <w:spacing w:val="-4"/>
          <w:w w:val="95"/>
        </w:rPr>
        <w:t xml:space="preserve"> </w:t>
      </w:r>
      <w:r>
        <w:rPr>
          <w:color w:val="231F20"/>
          <w:w w:val="95"/>
        </w:rPr>
        <w:t>sport</w:t>
      </w:r>
      <w:r>
        <w:rPr>
          <w:color w:val="231F20"/>
          <w:spacing w:val="-4"/>
          <w:w w:val="95"/>
        </w:rPr>
        <w:t xml:space="preserve"> </w:t>
      </w:r>
      <w:r>
        <w:rPr>
          <w:color w:val="231F20"/>
          <w:w w:val="95"/>
        </w:rPr>
        <w:t>destination,</w:t>
      </w:r>
      <w:r>
        <w:rPr>
          <w:color w:val="231F20"/>
          <w:spacing w:val="-4"/>
          <w:w w:val="95"/>
        </w:rPr>
        <w:t xml:space="preserve"> </w:t>
      </w:r>
      <w:r>
        <w:rPr>
          <w:color w:val="231F20"/>
          <w:w w:val="95"/>
        </w:rPr>
        <w:t>and</w:t>
      </w:r>
      <w:r>
        <w:rPr>
          <w:color w:val="231F20"/>
          <w:spacing w:val="-4"/>
          <w:w w:val="95"/>
        </w:rPr>
        <w:t xml:space="preserve"> </w:t>
      </w:r>
      <w:r>
        <w:rPr>
          <w:color w:val="231F20"/>
          <w:w w:val="95"/>
        </w:rPr>
        <w:t>how</w:t>
      </w:r>
      <w:r>
        <w:rPr>
          <w:color w:val="231F20"/>
          <w:spacing w:val="-4"/>
          <w:w w:val="95"/>
        </w:rPr>
        <w:t xml:space="preserve"> </w:t>
      </w:r>
      <w:r>
        <w:rPr>
          <w:color w:val="231F20"/>
          <w:w w:val="95"/>
        </w:rPr>
        <w:t>may</w:t>
      </w:r>
      <w:r>
        <w:rPr>
          <w:color w:val="231F20"/>
          <w:spacing w:val="-4"/>
          <w:w w:val="95"/>
        </w:rPr>
        <w:t xml:space="preserve"> </w:t>
      </w:r>
      <w:r>
        <w:rPr>
          <w:color w:val="231F20"/>
          <w:w w:val="95"/>
        </w:rPr>
        <w:t>the</w:t>
      </w:r>
      <w:r>
        <w:rPr>
          <w:color w:val="231F20"/>
          <w:spacing w:val="-4"/>
          <w:w w:val="95"/>
        </w:rPr>
        <w:t xml:space="preserve"> </w:t>
      </w:r>
      <w:r>
        <w:rPr>
          <w:color w:val="231F20"/>
          <w:w w:val="95"/>
        </w:rPr>
        <w:t>potential</w:t>
      </w:r>
      <w:r>
        <w:rPr>
          <w:color w:val="231F20"/>
          <w:spacing w:val="-4"/>
          <w:w w:val="95"/>
        </w:rPr>
        <w:t xml:space="preserve"> </w:t>
      </w:r>
      <w:r>
        <w:rPr>
          <w:color w:val="231F20"/>
          <w:w w:val="95"/>
        </w:rPr>
        <w:t>of</w:t>
      </w:r>
      <w:r>
        <w:rPr>
          <w:color w:val="231F20"/>
          <w:spacing w:val="9"/>
        </w:rPr>
        <w:t xml:space="preserve"> </w:t>
      </w:r>
      <w:r>
        <w:rPr>
          <w:color w:val="231F20"/>
          <w:w w:val="95"/>
        </w:rPr>
        <w:t>this</w:t>
      </w:r>
      <w:r>
        <w:rPr>
          <w:color w:val="231F20"/>
          <w:spacing w:val="-4"/>
          <w:w w:val="95"/>
        </w:rPr>
        <w:t xml:space="preserve"> </w:t>
      </w:r>
      <w:r>
        <w:rPr>
          <w:color w:val="231F20"/>
          <w:w w:val="95"/>
        </w:rPr>
        <w:t xml:space="preserve">market </w:t>
      </w:r>
      <w:r>
        <w:rPr>
          <w:color w:val="231F20"/>
        </w:rPr>
        <w:t xml:space="preserve">be fully achieved? The promotional opportunities that derive from the </w:t>
      </w:r>
      <w:r>
        <w:rPr>
          <w:color w:val="231F20"/>
          <w:w w:val="95"/>
        </w:rPr>
        <w:t>association</w:t>
      </w:r>
      <w:r>
        <w:rPr>
          <w:color w:val="231F20"/>
          <w:spacing w:val="-8"/>
          <w:w w:val="95"/>
        </w:rPr>
        <w:t xml:space="preserve"> </w:t>
      </w:r>
      <w:r>
        <w:rPr>
          <w:color w:val="231F20"/>
          <w:w w:val="95"/>
        </w:rPr>
        <w:t>of</w:t>
      </w:r>
      <w:r>
        <w:rPr>
          <w:color w:val="231F20"/>
        </w:rPr>
        <w:t xml:space="preserve"> </w:t>
      </w:r>
      <w:r>
        <w:rPr>
          <w:color w:val="231F20"/>
          <w:w w:val="95"/>
        </w:rPr>
        <w:t>high-profile</w:t>
      </w:r>
      <w:r>
        <w:rPr>
          <w:color w:val="231F20"/>
          <w:spacing w:val="-8"/>
          <w:w w:val="95"/>
        </w:rPr>
        <w:t xml:space="preserve"> </w:t>
      </w:r>
      <w:r>
        <w:rPr>
          <w:color w:val="231F20"/>
          <w:w w:val="95"/>
        </w:rPr>
        <w:t>athletes</w:t>
      </w:r>
      <w:r>
        <w:rPr>
          <w:color w:val="231F20"/>
          <w:spacing w:val="-8"/>
          <w:w w:val="95"/>
        </w:rPr>
        <w:t xml:space="preserve"> </w:t>
      </w:r>
      <w:r>
        <w:rPr>
          <w:color w:val="231F20"/>
          <w:w w:val="95"/>
        </w:rPr>
        <w:t>with</w:t>
      </w:r>
      <w:r>
        <w:rPr>
          <w:color w:val="231F20"/>
          <w:spacing w:val="-8"/>
          <w:w w:val="95"/>
        </w:rPr>
        <w:t xml:space="preserve"> </w:t>
      </w:r>
      <w:r>
        <w:rPr>
          <w:color w:val="231F20"/>
          <w:w w:val="95"/>
        </w:rPr>
        <w:t>specific</w:t>
      </w:r>
      <w:r>
        <w:rPr>
          <w:color w:val="231F20"/>
          <w:spacing w:val="-8"/>
          <w:w w:val="95"/>
        </w:rPr>
        <w:t xml:space="preserve"> </w:t>
      </w:r>
      <w:r>
        <w:rPr>
          <w:color w:val="231F20"/>
          <w:w w:val="95"/>
        </w:rPr>
        <w:t>tourist</w:t>
      </w:r>
      <w:r>
        <w:rPr>
          <w:color w:val="231F20"/>
          <w:spacing w:val="-8"/>
          <w:w w:val="95"/>
        </w:rPr>
        <w:t xml:space="preserve"> </w:t>
      </w:r>
      <w:r>
        <w:rPr>
          <w:color w:val="231F20"/>
          <w:w w:val="95"/>
        </w:rPr>
        <w:t>destinations</w:t>
      </w:r>
      <w:r>
        <w:rPr>
          <w:color w:val="231F20"/>
          <w:spacing w:val="-8"/>
          <w:w w:val="95"/>
        </w:rPr>
        <w:t xml:space="preserve"> </w:t>
      </w:r>
      <w:r>
        <w:rPr>
          <w:color w:val="231F20"/>
          <w:w w:val="95"/>
        </w:rPr>
        <w:t>are</w:t>
      </w:r>
      <w:r>
        <w:rPr>
          <w:color w:val="231F20"/>
          <w:spacing w:val="-8"/>
          <w:w w:val="95"/>
        </w:rPr>
        <w:t xml:space="preserve"> </w:t>
      </w:r>
      <w:r>
        <w:rPr>
          <w:color w:val="231F20"/>
          <w:w w:val="95"/>
        </w:rPr>
        <w:t xml:space="preserve">part </w:t>
      </w:r>
      <w:r>
        <w:rPr>
          <w:color w:val="231F20"/>
        </w:rPr>
        <w:t>of</w:t>
      </w:r>
      <w:r>
        <w:rPr>
          <w:color w:val="231F20"/>
          <w:spacing w:val="-12"/>
        </w:rPr>
        <w:t xml:space="preserve"> </w:t>
      </w:r>
      <w:r>
        <w:rPr>
          <w:color w:val="231F20"/>
        </w:rPr>
        <w:t>this</w:t>
      </w:r>
      <w:r>
        <w:rPr>
          <w:color w:val="231F20"/>
          <w:spacing w:val="-12"/>
        </w:rPr>
        <w:t xml:space="preserve"> </w:t>
      </w:r>
      <w:r>
        <w:rPr>
          <w:color w:val="231F20"/>
        </w:rPr>
        <w:t>potential</w:t>
      </w:r>
      <w:r>
        <w:rPr>
          <w:color w:val="231F20"/>
          <w:spacing w:val="-11"/>
        </w:rPr>
        <w:t xml:space="preserve"> </w:t>
      </w:r>
      <w:r>
        <w:rPr>
          <w:color w:val="231F20"/>
        </w:rPr>
        <w:t>(Chalip,</w:t>
      </w:r>
      <w:r>
        <w:rPr>
          <w:color w:val="231F20"/>
          <w:spacing w:val="-12"/>
        </w:rPr>
        <w:t xml:space="preserve"> </w:t>
      </w:r>
      <w:r>
        <w:rPr>
          <w:color w:val="231F20"/>
        </w:rPr>
        <w:t>2004a).</w:t>
      </w:r>
      <w:r>
        <w:rPr>
          <w:color w:val="231F20"/>
          <w:spacing w:val="-11"/>
        </w:rPr>
        <w:t xml:space="preserve"> </w:t>
      </w:r>
      <w:r>
        <w:rPr>
          <w:color w:val="231F20"/>
        </w:rPr>
        <w:t>How</w:t>
      </w:r>
      <w:r>
        <w:rPr>
          <w:color w:val="231F20"/>
          <w:spacing w:val="-12"/>
        </w:rPr>
        <w:t xml:space="preserve"> </w:t>
      </w:r>
      <w:r>
        <w:rPr>
          <w:color w:val="231F20"/>
        </w:rPr>
        <w:t>does</w:t>
      </w:r>
      <w:r>
        <w:rPr>
          <w:color w:val="231F20"/>
          <w:spacing w:val="-11"/>
        </w:rPr>
        <w:t xml:space="preserve"> </w:t>
      </w:r>
      <w:r>
        <w:rPr>
          <w:color w:val="231F20"/>
        </w:rPr>
        <w:t>tourism</w:t>
      </w:r>
      <w:r>
        <w:rPr>
          <w:color w:val="231F20"/>
          <w:spacing w:val="-12"/>
        </w:rPr>
        <w:t xml:space="preserve"> </w:t>
      </w:r>
      <w:r>
        <w:rPr>
          <w:color w:val="231F20"/>
        </w:rPr>
        <w:t>based</w:t>
      </w:r>
      <w:r>
        <w:rPr>
          <w:color w:val="231F20"/>
          <w:spacing w:val="-12"/>
        </w:rPr>
        <w:t xml:space="preserve"> </w:t>
      </w:r>
      <w:r>
        <w:rPr>
          <w:color w:val="231F20"/>
        </w:rPr>
        <w:t>on</w:t>
      </w:r>
      <w:r>
        <w:rPr>
          <w:color w:val="231F20"/>
          <w:spacing w:val="-11"/>
        </w:rPr>
        <w:t xml:space="preserve"> </w:t>
      </w:r>
      <w:r>
        <w:rPr>
          <w:color w:val="231F20"/>
        </w:rPr>
        <w:t>professional sport</w:t>
      </w:r>
      <w:r>
        <w:rPr>
          <w:color w:val="231F20"/>
          <w:spacing w:val="-12"/>
        </w:rPr>
        <w:t xml:space="preserve"> </w:t>
      </w:r>
      <w:r>
        <w:rPr>
          <w:color w:val="231F20"/>
        </w:rPr>
        <w:t>differ</w:t>
      </w:r>
      <w:r>
        <w:rPr>
          <w:color w:val="231F20"/>
          <w:spacing w:val="-11"/>
        </w:rPr>
        <w:t xml:space="preserve"> </w:t>
      </w:r>
      <w:r>
        <w:rPr>
          <w:color w:val="231F20"/>
        </w:rPr>
        <w:t>from</w:t>
      </w:r>
      <w:r>
        <w:rPr>
          <w:color w:val="231F20"/>
          <w:spacing w:val="-12"/>
        </w:rPr>
        <w:t xml:space="preserve"> </w:t>
      </w:r>
      <w:r>
        <w:rPr>
          <w:color w:val="231F20"/>
        </w:rPr>
        <w:t>the</w:t>
      </w:r>
      <w:r>
        <w:rPr>
          <w:color w:val="231F20"/>
          <w:spacing w:val="-11"/>
        </w:rPr>
        <w:t xml:space="preserve"> </w:t>
      </w:r>
      <w:r>
        <w:rPr>
          <w:color w:val="231F20"/>
        </w:rPr>
        <w:t>tourism</w:t>
      </w:r>
      <w:r>
        <w:rPr>
          <w:color w:val="231F20"/>
          <w:spacing w:val="-12"/>
        </w:rPr>
        <w:t xml:space="preserve"> </w:t>
      </w:r>
      <w:r>
        <w:rPr>
          <w:color w:val="231F20"/>
        </w:rPr>
        <w:t>d</w:t>
      </w:r>
      <w:r>
        <w:rPr>
          <w:color w:val="231F20"/>
        </w:rPr>
        <w:t>evelopment</w:t>
      </w:r>
      <w:r>
        <w:rPr>
          <w:color w:val="231F20"/>
          <w:spacing w:val="-11"/>
        </w:rPr>
        <w:t xml:space="preserve"> </w:t>
      </w:r>
      <w:r>
        <w:rPr>
          <w:color w:val="231F20"/>
        </w:rPr>
        <w:t>opportunities</w:t>
      </w:r>
      <w:r>
        <w:rPr>
          <w:color w:val="231F20"/>
          <w:spacing w:val="-12"/>
        </w:rPr>
        <w:t xml:space="preserve"> </w:t>
      </w:r>
      <w:r>
        <w:rPr>
          <w:color w:val="231F20"/>
        </w:rPr>
        <w:t>associated</w:t>
      </w:r>
      <w:r>
        <w:rPr>
          <w:color w:val="231F20"/>
          <w:spacing w:val="-11"/>
        </w:rPr>
        <w:t xml:space="preserve"> </w:t>
      </w:r>
      <w:r>
        <w:rPr>
          <w:color w:val="231F20"/>
        </w:rPr>
        <w:t>with recreational</w:t>
      </w:r>
      <w:r>
        <w:rPr>
          <w:color w:val="231F20"/>
          <w:spacing w:val="-6"/>
        </w:rPr>
        <w:t xml:space="preserve"> </w:t>
      </w:r>
      <w:r>
        <w:rPr>
          <w:color w:val="231F20"/>
        </w:rPr>
        <w:t>sport?</w:t>
      </w:r>
      <w:r>
        <w:rPr>
          <w:color w:val="231F20"/>
          <w:spacing w:val="-6"/>
        </w:rPr>
        <w:t xml:space="preserve"> </w:t>
      </w:r>
      <w:r>
        <w:rPr>
          <w:color w:val="231F20"/>
        </w:rPr>
        <w:t>Tourist</w:t>
      </w:r>
      <w:r>
        <w:rPr>
          <w:color w:val="231F20"/>
          <w:spacing w:val="-6"/>
        </w:rPr>
        <w:t xml:space="preserve"> </w:t>
      </w:r>
      <w:r>
        <w:rPr>
          <w:color w:val="231F20"/>
        </w:rPr>
        <w:t>experiences</w:t>
      </w:r>
      <w:r>
        <w:rPr>
          <w:color w:val="231F20"/>
          <w:spacing w:val="-6"/>
        </w:rPr>
        <w:t xml:space="preserve"> </w:t>
      </w:r>
      <w:r>
        <w:rPr>
          <w:color w:val="231F20"/>
        </w:rPr>
        <w:t>relating</w:t>
      </w:r>
      <w:r>
        <w:rPr>
          <w:color w:val="231F20"/>
          <w:spacing w:val="-6"/>
        </w:rPr>
        <w:t xml:space="preserve"> </w:t>
      </w:r>
      <w:r>
        <w:rPr>
          <w:color w:val="231F20"/>
        </w:rPr>
        <w:t>to</w:t>
      </w:r>
      <w:r>
        <w:rPr>
          <w:color w:val="231F20"/>
          <w:spacing w:val="-6"/>
        </w:rPr>
        <w:t xml:space="preserve"> </w:t>
      </w:r>
      <w:r>
        <w:rPr>
          <w:color w:val="231F20"/>
        </w:rPr>
        <w:t>sport</w:t>
      </w:r>
      <w:r>
        <w:rPr>
          <w:color w:val="231F20"/>
          <w:spacing w:val="-6"/>
        </w:rPr>
        <w:t xml:space="preserve"> </w:t>
      </w:r>
      <w:r>
        <w:rPr>
          <w:color w:val="231F20"/>
        </w:rPr>
        <w:t>vary</w:t>
      </w:r>
      <w:r>
        <w:rPr>
          <w:color w:val="231F20"/>
          <w:spacing w:val="-6"/>
        </w:rPr>
        <w:t xml:space="preserve"> </w:t>
      </w:r>
      <w:r>
        <w:rPr>
          <w:color w:val="231F20"/>
        </w:rPr>
        <w:t>within</w:t>
      </w:r>
      <w:r>
        <w:rPr>
          <w:color w:val="231F20"/>
          <w:spacing w:val="-6"/>
        </w:rPr>
        <w:t xml:space="preserve"> </w:t>
      </w:r>
      <w:r>
        <w:rPr>
          <w:color w:val="231F20"/>
        </w:rPr>
        <w:t>and between</w:t>
      </w:r>
      <w:r>
        <w:rPr>
          <w:color w:val="231F20"/>
          <w:spacing w:val="-3"/>
        </w:rPr>
        <w:t xml:space="preserve"> </w:t>
      </w:r>
      <w:r>
        <w:rPr>
          <w:color w:val="231F20"/>
        </w:rPr>
        <w:t>niche</w:t>
      </w:r>
      <w:r>
        <w:rPr>
          <w:color w:val="231F20"/>
          <w:spacing w:val="-3"/>
        </w:rPr>
        <w:t xml:space="preserve"> </w:t>
      </w:r>
      <w:r>
        <w:rPr>
          <w:color w:val="231F20"/>
        </w:rPr>
        <w:t>market</w:t>
      </w:r>
      <w:r>
        <w:rPr>
          <w:color w:val="231F20"/>
          <w:spacing w:val="-3"/>
        </w:rPr>
        <w:t xml:space="preserve"> </w:t>
      </w:r>
      <w:r>
        <w:rPr>
          <w:color w:val="231F20"/>
        </w:rPr>
        <w:t>segments,</w:t>
      </w:r>
      <w:r>
        <w:rPr>
          <w:color w:val="231F20"/>
          <w:spacing w:val="-3"/>
        </w:rPr>
        <w:t xml:space="preserve"> </w:t>
      </w:r>
      <w:r>
        <w:rPr>
          <w:color w:val="231F20"/>
        </w:rPr>
        <w:t>which</w:t>
      </w:r>
      <w:r>
        <w:rPr>
          <w:color w:val="231F20"/>
          <w:spacing w:val="-3"/>
        </w:rPr>
        <w:t xml:space="preserve"> </w:t>
      </w:r>
      <w:r>
        <w:rPr>
          <w:color w:val="231F20"/>
        </w:rPr>
        <w:t>raises</w:t>
      </w:r>
      <w:r>
        <w:rPr>
          <w:color w:val="231F20"/>
          <w:spacing w:val="-3"/>
        </w:rPr>
        <w:t xml:space="preserve"> </w:t>
      </w:r>
      <w:r>
        <w:rPr>
          <w:color w:val="231F20"/>
        </w:rPr>
        <w:t>questions</w:t>
      </w:r>
      <w:r>
        <w:rPr>
          <w:color w:val="231F20"/>
          <w:spacing w:val="-3"/>
        </w:rPr>
        <w:t xml:space="preserve"> </w:t>
      </w:r>
      <w:r>
        <w:rPr>
          <w:color w:val="231F20"/>
        </w:rPr>
        <w:t>as</w:t>
      </w:r>
      <w:r>
        <w:rPr>
          <w:color w:val="231F20"/>
          <w:spacing w:val="-3"/>
        </w:rPr>
        <w:t xml:space="preserve"> </w:t>
      </w:r>
      <w:r>
        <w:rPr>
          <w:color w:val="231F20"/>
        </w:rPr>
        <w:t>to</w:t>
      </w:r>
      <w:r>
        <w:rPr>
          <w:color w:val="231F20"/>
          <w:spacing w:val="-3"/>
        </w:rPr>
        <w:t xml:space="preserve"> </w:t>
      </w:r>
      <w:r>
        <w:rPr>
          <w:color w:val="231F20"/>
        </w:rPr>
        <w:t>how</w:t>
      </w:r>
      <w:r>
        <w:rPr>
          <w:color w:val="231F20"/>
          <w:spacing w:val="-3"/>
        </w:rPr>
        <w:t xml:space="preserve"> </w:t>
      </w:r>
      <w:r>
        <w:rPr>
          <w:color w:val="231F20"/>
        </w:rPr>
        <w:t xml:space="preserve">these </w:t>
      </w:r>
      <w:r>
        <w:rPr>
          <w:color w:val="231F20"/>
          <w:w w:val="95"/>
        </w:rPr>
        <w:t>markets</w:t>
      </w:r>
      <w:r>
        <w:rPr>
          <w:color w:val="231F20"/>
          <w:spacing w:val="-1"/>
          <w:w w:val="95"/>
        </w:rPr>
        <w:t xml:space="preserve"> </w:t>
      </w:r>
      <w:r>
        <w:rPr>
          <w:color w:val="231F20"/>
          <w:w w:val="95"/>
        </w:rPr>
        <w:t>can</w:t>
      </w:r>
      <w:r>
        <w:rPr>
          <w:color w:val="231F20"/>
          <w:spacing w:val="-1"/>
          <w:w w:val="95"/>
        </w:rPr>
        <w:t xml:space="preserve"> </w:t>
      </w:r>
      <w:r>
        <w:rPr>
          <w:color w:val="231F20"/>
          <w:w w:val="95"/>
        </w:rPr>
        <w:t>be</w:t>
      </w:r>
      <w:r>
        <w:rPr>
          <w:color w:val="231F20"/>
          <w:spacing w:val="-1"/>
          <w:w w:val="95"/>
        </w:rPr>
        <w:t xml:space="preserve"> </w:t>
      </w:r>
      <w:r>
        <w:rPr>
          <w:color w:val="231F20"/>
          <w:w w:val="95"/>
        </w:rPr>
        <w:t>better</w:t>
      </w:r>
      <w:r>
        <w:rPr>
          <w:color w:val="231F20"/>
          <w:spacing w:val="-1"/>
          <w:w w:val="95"/>
        </w:rPr>
        <w:t xml:space="preserve"> </w:t>
      </w:r>
      <w:r>
        <w:rPr>
          <w:color w:val="231F20"/>
          <w:w w:val="95"/>
        </w:rPr>
        <w:t>understood</w:t>
      </w:r>
      <w:r>
        <w:rPr>
          <w:color w:val="231F20"/>
          <w:spacing w:val="-1"/>
          <w:w w:val="95"/>
        </w:rPr>
        <w:t xml:space="preserve"> </w:t>
      </w:r>
      <w:r>
        <w:rPr>
          <w:color w:val="231F20"/>
          <w:w w:val="95"/>
        </w:rPr>
        <w:t>by</w:t>
      </w:r>
      <w:r>
        <w:rPr>
          <w:color w:val="231F20"/>
          <w:spacing w:val="-1"/>
          <w:w w:val="95"/>
        </w:rPr>
        <w:t xml:space="preserve"> </w:t>
      </w:r>
      <w:r>
        <w:rPr>
          <w:color w:val="231F20"/>
          <w:w w:val="95"/>
        </w:rPr>
        <w:t>sport</w:t>
      </w:r>
      <w:r>
        <w:rPr>
          <w:color w:val="231F20"/>
          <w:spacing w:val="-1"/>
          <w:w w:val="95"/>
        </w:rPr>
        <w:t xml:space="preserve"> </w:t>
      </w:r>
      <w:r>
        <w:rPr>
          <w:color w:val="231F20"/>
          <w:w w:val="95"/>
        </w:rPr>
        <w:t>and</w:t>
      </w:r>
      <w:r>
        <w:rPr>
          <w:color w:val="231F20"/>
          <w:spacing w:val="-1"/>
          <w:w w:val="95"/>
        </w:rPr>
        <w:t xml:space="preserve"> </w:t>
      </w:r>
      <w:r>
        <w:rPr>
          <w:color w:val="231F20"/>
          <w:w w:val="95"/>
        </w:rPr>
        <w:t>tourism</w:t>
      </w:r>
      <w:r>
        <w:rPr>
          <w:color w:val="231F20"/>
          <w:spacing w:val="-1"/>
          <w:w w:val="95"/>
        </w:rPr>
        <w:t xml:space="preserve"> </w:t>
      </w:r>
      <w:r>
        <w:rPr>
          <w:color w:val="231F20"/>
          <w:w w:val="95"/>
        </w:rPr>
        <w:t>managers</w:t>
      </w:r>
      <w:r>
        <w:rPr>
          <w:color w:val="231F20"/>
          <w:spacing w:val="-1"/>
          <w:w w:val="95"/>
        </w:rPr>
        <w:t xml:space="preserve"> </w:t>
      </w:r>
      <w:r>
        <w:rPr>
          <w:color w:val="231F20"/>
          <w:w w:val="95"/>
        </w:rPr>
        <w:t>who</w:t>
      </w:r>
      <w:r>
        <w:rPr>
          <w:color w:val="231F20"/>
          <w:spacing w:val="-1"/>
          <w:w w:val="95"/>
        </w:rPr>
        <w:t xml:space="preserve"> </w:t>
      </w:r>
      <w:r>
        <w:rPr>
          <w:color w:val="231F20"/>
          <w:w w:val="95"/>
        </w:rPr>
        <w:t xml:space="preserve">seek </w:t>
      </w:r>
      <w:r>
        <w:rPr>
          <w:color w:val="231F20"/>
        </w:rPr>
        <w:t>to</w:t>
      </w:r>
      <w:r>
        <w:rPr>
          <w:color w:val="231F20"/>
          <w:spacing w:val="-12"/>
        </w:rPr>
        <w:t xml:space="preserve"> </w:t>
      </w:r>
      <w:r>
        <w:rPr>
          <w:color w:val="231F20"/>
        </w:rPr>
        <w:t>meet</w:t>
      </w:r>
      <w:r>
        <w:rPr>
          <w:color w:val="231F20"/>
          <w:spacing w:val="-12"/>
        </w:rPr>
        <w:t xml:space="preserve"> </w:t>
      </w:r>
      <w:r>
        <w:rPr>
          <w:color w:val="231F20"/>
        </w:rPr>
        <w:t>changing</w:t>
      </w:r>
      <w:r>
        <w:rPr>
          <w:color w:val="231F20"/>
          <w:spacing w:val="-11"/>
        </w:rPr>
        <w:t xml:space="preserve"> </w:t>
      </w:r>
      <w:r>
        <w:rPr>
          <w:color w:val="231F20"/>
        </w:rPr>
        <w:t>sport</w:t>
      </w:r>
      <w:r>
        <w:rPr>
          <w:color w:val="231F20"/>
          <w:spacing w:val="-12"/>
        </w:rPr>
        <w:t xml:space="preserve"> </w:t>
      </w:r>
      <w:r>
        <w:rPr>
          <w:color w:val="231F20"/>
        </w:rPr>
        <w:t>and</w:t>
      </w:r>
      <w:r>
        <w:rPr>
          <w:color w:val="231F20"/>
          <w:spacing w:val="-11"/>
        </w:rPr>
        <w:t xml:space="preserve"> </w:t>
      </w:r>
      <w:r>
        <w:rPr>
          <w:color w:val="231F20"/>
        </w:rPr>
        <w:t>travel</w:t>
      </w:r>
      <w:r>
        <w:rPr>
          <w:color w:val="231F20"/>
          <w:spacing w:val="-12"/>
        </w:rPr>
        <w:t xml:space="preserve"> </w:t>
      </w:r>
      <w:r>
        <w:rPr>
          <w:color w:val="231F20"/>
        </w:rPr>
        <w:t>preferences.</w:t>
      </w:r>
    </w:p>
    <w:p w14:paraId="2A3041C7" w14:textId="77777777" w:rsidR="00AE0598" w:rsidRDefault="0069255A">
      <w:pPr>
        <w:pStyle w:val="Corpodetexto"/>
        <w:spacing w:before="25" w:line="232" w:lineRule="auto"/>
        <w:ind w:left="110" w:right="107" w:firstLine="320"/>
        <w:jc w:val="both"/>
      </w:pPr>
      <w:r>
        <w:rPr>
          <w:color w:val="231F20"/>
        </w:rPr>
        <w:t>The</w:t>
      </w:r>
      <w:r>
        <w:rPr>
          <w:color w:val="231F20"/>
          <w:spacing w:val="36"/>
        </w:rPr>
        <w:t xml:space="preserve"> </w:t>
      </w:r>
      <w:r>
        <w:rPr>
          <w:color w:val="231F20"/>
        </w:rPr>
        <w:t>logical</w:t>
      </w:r>
      <w:r>
        <w:rPr>
          <w:color w:val="231F20"/>
          <w:spacing w:val="36"/>
        </w:rPr>
        <w:t xml:space="preserve"> </w:t>
      </w:r>
      <w:r>
        <w:rPr>
          <w:color w:val="231F20"/>
        </w:rPr>
        <w:t>extension</w:t>
      </w:r>
      <w:r>
        <w:rPr>
          <w:color w:val="231F20"/>
          <w:spacing w:val="36"/>
        </w:rPr>
        <w:t xml:space="preserve"> </w:t>
      </w:r>
      <w:r>
        <w:rPr>
          <w:color w:val="231F20"/>
        </w:rPr>
        <w:t>of</w:t>
      </w:r>
      <w:r>
        <w:rPr>
          <w:color w:val="231F20"/>
          <w:spacing w:val="40"/>
        </w:rPr>
        <w:t xml:space="preserve"> </w:t>
      </w:r>
      <w:r>
        <w:rPr>
          <w:color w:val="231F20"/>
        </w:rPr>
        <w:t>this</w:t>
      </w:r>
      <w:r>
        <w:rPr>
          <w:color w:val="231F20"/>
          <w:spacing w:val="36"/>
        </w:rPr>
        <w:t xml:space="preserve"> </w:t>
      </w:r>
      <w:r>
        <w:rPr>
          <w:color w:val="231F20"/>
        </w:rPr>
        <w:t>market</w:t>
      </w:r>
      <w:r>
        <w:rPr>
          <w:color w:val="231F20"/>
          <w:spacing w:val="36"/>
        </w:rPr>
        <w:t xml:space="preserve"> </w:t>
      </w:r>
      <w:r>
        <w:rPr>
          <w:color w:val="231F20"/>
        </w:rPr>
        <w:t>analysis</w:t>
      </w:r>
      <w:r>
        <w:rPr>
          <w:color w:val="231F20"/>
          <w:spacing w:val="36"/>
        </w:rPr>
        <w:t xml:space="preserve"> </w:t>
      </w:r>
      <w:r>
        <w:rPr>
          <w:color w:val="231F20"/>
        </w:rPr>
        <w:t>is</w:t>
      </w:r>
      <w:r>
        <w:rPr>
          <w:color w:val="231F20"/>
          <w:spacing w:val="36"/>
        </w:rPr>
        <w:t xml:space="preserve"> </w:t>
      </w:r>
      <w:r>
        <w:rPr>
          <w:color w:val="231F20"/>
        </w:rPr>
        <w:t>the</w:t>
      </w:r>
      <w:r>
        <w:rPr>
          <w:color w:val="231F20"/>
          <w:spacing w:val="36"/>
        </w:rPr>
        <w:t xml:space="preserve"> </w:t>
      </w:r>
      <w:r>
        <w:rPr>
          <w:color w:val="231F20"/>
        </w:rPr>
        <w:t>consideration of development processes, sustainability and planning interventions. Development issues are of particular interest to sport and tourism practitioners.</w:t>
      </w:r>
      <w:r>
        <w:rPr>
          <w:color w:val="231F20"/>
          <w:spacing w:val="-4"/>
        </w:rPr>
        <w:t xml:space="preserve"> </w:t>
      </w:r>
      <w:r>
        <w:rPr>
          <w:color w:val="231F20"/>
        </w:rPr>
        <w:t>This</w:t>
      </w:r>
      <w:r>
        <w:rPr>
          <w:color w:val="231F20"/>
          <w:spacing w:val="-4"/>
        </w:rPr>
        <w:t xml:space="preserve"> </w:t>
      </w:r>
      <w:r>
        <w:rPr>
          <w:color w:val="231F20"/>
        </w:rPr>
        <w:t>is</w:t>
      </w:r>
      <w:r>
        <w:rPr>
          <w:color w:val="231F20"/>
          <w:spacing w:val="-4"/>
        </w:rPr>
        <w:t xml:space="preserve"> </w:t>
      </w:r>
      <w:r>
        <w:rPr>
          <w:color w:val="231F20"/>
        </w:rPr>
        <w:t>made</w:t>
      </w:r>
      <w:r>
        <w:rPr>
          <w:color w:val="231F20"/>
          <w:spacing w:val="-4"/>
        </w:rPr>
        <w:t xml:space="preserve"> </w:t>
      </w:r>
      <w:r>
        <w:rPr>
          <w:color w:val="231F20"/>
        </w:rPr>
        <w:t>most</w:t>
      </w:r>
      <w:r>
        <w:rPr>
          <w:color w:val="231F20"/>
          <w:spacing w:val="-4"/>
        </w:rPr>
        <w:t xml:space="preserve"> </w:t>
      </w:r>
      <w:r>
        <w:rPr>
          <w:color w:val="231F20"/>
        </w:rPr>
        <w:t>evident</w:t>
      </w:r>
      <w:r>
        <w:rPr>
          <w:color w:val="231F20"/>
          <w:spacing w:val="-4"/>
        </w:rPr>
        <w:t xml:space="preserve"> </w:t>
      </w:r>
      <w:r>
        <w:rPr>
          <w:color w:val="231F20"/>
        </w:rPr>
        <w:t>by</w:t>
      </w:r>
      <w:r>
        <w:rPr>
          <w:color w:val="231F20"/>
          <w:spacing w:val="-4"/>
        </w:rPr>
        <w:t xml:space="preserve"> </w:t>
      </w:r>
      <w:r>
        <w:rPr>
          <w:color w:val="231F20"/>
        </w:rPr>
        <w:t>the</w:t>
      </w:r>
      <w:r>
        <w:rPr>
          <w:color w:val="231F20"/>
          <w:spacing w:val="-4"/>
        </w:rPr>
        <w:t xml:space="preserve"> </w:t>
      </w:r>
      <w:r>
        <w:rPr>
          <w:color w:val="231F20"/>
        </w:rPr>
        <w:t>publication</w:t>
      </w:r>
      <w:r>
        <w:rPr>
          <w:color w:val="231F20"/>
          <w:spacing w:val="-4"/>
        </w:rPr>
        <w:t xml:space="preserve"> </w:t>
      </w:r>
      <w:r>
        <w:rPr>
          <w:color w:val="231F20"/>
        </w:rPr>
        <w:t>of the</w:t>
      </w:r>
      <w:r>
        <w:rPr>
          <w:color w:val="231F20"/>
          <w:spacing w:val="-4"/>
        </w:rPr>
        <w:t xml:space="preserve"> </w:t>
      </w:r>
      <w:r>
        <w:rPr>
          <w:color w:val="231F20"/>
        </w:rPr>
        <w:t>United Nations World Tourism Organisati</w:t>
      </w:r>
      <w:r>
        <w:rPr>
          <w:color w:val="231F20"/>
        </w:rPr>
        <w:t xml:space="preserve">on (UNWTO, 2017) Global Report on </w:t>
      </w:r>
      <w:r>
        <w:rPr>
          <w:color w:val="231F20"/>
          <w:spacing w:val="-4"/>
        </w:rPr>
        <w:t>Sport</w:t>
      </w:r>
      <w:r>
        <w:rPr>
          <w:color w:val="231F20"/>
          <w:spacing w:val="-8"/>
        </w:rPr>
        <w:t xml:space="preserve"> </w:t>
      </w:r>
      <w:r>
        <w:rPr>
          <w:color w:val="231F20"/>
          <w:spacing w:val="-4"/>
        </w:rPr>
        <w:t>Tourism</w:t>
      </w:r>
      <w:r>
        <w:rPr>
          <w:color w:val="231F20"/>
          <w:spacing w:val="-8"/>
        </w:rPr>
        <w:t xml:space="preserve"> </w:t>
      </w:r>
      <w:r>
        <w:rPr>
          <w:color w:val="231F20"/>
          <w:spacing w:val="-4"/>
        </w:rPr>
        <w:t>(Focus</w:t>
      </w:r>
      <w:r>
        <w:rPr>
          <w:color w:val="231F20"/>
          <w:spacing w:val="-7"/>
        </w:rPr>
        <w:t xml:space="preserve"> </w:t>
      </w:r>
      <w:r>
        <w:rPr>
          <w:color w:val="231F20"/>
          <w:spacing w:val="-4"/>
        </w:rPr>
        <w:t>Point</w:t>
      </w:r>
      <w:r>
        <w:rPr>
          <w:color w:val="231F20"/>
          <w:spacing w:val="-8"/>
        </w:rPr>
        <w:t xml:space="preserve"> </w:t>
      </w:r>
      <w:r>
        <w:rPr>
          <w:color w:val="231F20"/>
          <w:spacing w:val="-4"/>
        </w:rPr>
        <w:t>1.1).</w:t>
      </w:r>
      <w:r>
        <w:rPr>
          <w:color w:val="231F20"/>
          <w:spacing w:val="-7"/>
        </w:rPr>
        <w:t xml:space="preserve"> </w:t>
      </w:r>
      <w:r>
        <w:rPr>
          <w:color w:val="231F20"/>
          <w:spacing w:val="-4"/>
        </w:rPr>
        <w:t>This</w:t>
      </w:r>
      <w:r>
        <w:rPr>
          <w:color w:val="231F20"/>
          <w:spacing w:val="-8"/>
        </w:rPr>
        <w:t xml:space="preserve"> </w:t>
      </w:r>
      <w:r>
        <w:rPr>
          <w:color w:val="231F20"/>
          <w:spacing w:val="-4"/>
        </w:rPr>
        <w:t>report</w:t>
      </w:r>
      <w:r>
        <w:rPr>
          <w:color w:val="231F20"/>
          <w:spacing w:val="-7"/>
        </w:rPr>
        <w:t xml:space="preserve"> </w:t>
      </w:r>
      <w:r>
        <w:rPr>
          <w:color w:val="231F20"/>
          <w:spacing w:val="-4"/>
        </w:rPr>
        <w:t>was</w:t>
      </w:r>
      <w:r>
        <w:rPr>
          <w:color w:val="231F20"/>
          <w:spacing w:val="-8"/>
        </w:rPr>
        <w:t xml:space="preserve"> </w:t>
      </w:r>
      <w:r>
        <w:rPr>
          <w:color w:val="231F20"/>
          <w:spacing w:val="-4"/>
        </w:rPr>
        <w:t>developed</w:t>
      </w:r>
      <w:r>
        <w:rPr>
          <w:color w:val="231F20"/>
          <w:spacing w:val="-8"/>
        </w:rPr>
        <w:t xml:space="preserve"> </w:t>
      </w:r>
      <w:r>
        <w:rPr>
          <w:color w:val="231F20"/>
          <w:spacing w:val="-4"/>
        </w:rPr>
        <w:t>with</w:t>
      </w:r>
      <w:r>
        <w:rPr>
          <w:color w:val="231F20"/>
          <w:spacing w:val="-7"/>
        </w:rPr>
        <w:t xml:space="preserve"> </w:t>
      </w:r>
      <w:r>
        <w:rPr>
          <w:color w:val="231F20"/>
          <w:spacing w:val="-4"/>
        </w:rPr>
        <w:t>the</w:t>
      </w:r>
      <w:r>
        <w:rPr>
          <w:color w:val="231F20"/>
          <w:spacing w:val="-8"/>
        </w:rPr>
        <w:t xml:space="preserve"> </w:t>
      </w:r>
      <w:r>
        <w:rPr>
          <w:color w:val="231F20"/>
          <w:spacing w:val="-4"/>
        </w:rPr>
        <w:t>goal</w:t>
      </w:r>
      <w:r>
        <w:rPr>
          <w:color w:val="231F20"/>
          <w:spacing w:val="-7"/>
        </w:rPr>
        <w:t xml:space="preserve"> </w:t>
      </w:r>
      <w:r>
        <w:rPr>
          <w:color w:val="231F20"/>
          <w:spacing w:val="-4"/>
        </w:rPr>
        <w:t xml:space="preserve">of </w:t>
      </w:r>
      <w:r>
        <w:rPr>
          <w:color w:val="231F20"/>
          <w:spacing w:val="-2"/>
          <w:w w:val="95"/>
        </w:rPr>
        <w:t>providing</w:t>
      </w:r>
      <w:r>
        <w:rPr>
          <w:color w:val="231F20"/>
          <w:spacing w:val="-8"/>
          <w:w w:val="95"/>
        </w:rPr>
        <w:t xml:space="preserve"> </w:t>
      </w:r>
      <w:r>
        <w:rPr>
          <w:color w:val="231F20"/>
          <w:spacing w:val="-2"/>
          <w:w w:val="95"/>
        </w:rPr>
        <w:t>timely</w:t>
      </w:r>
      <w:r>
        <w:rPr>
          <w:color w:val="231F20"/>
          <w:spacing w:val="-7"/>
          <w:w w:val="95"/>
        </w:rPr>
        <w:t xml:space="preserve"> </w:t>
      </w:r>
      <w:r>
        <w:rPr>
          <w:color w:val="231F20"/>
          <w:spacing w:val="-2"/>
          <w:w w:val="95"/>
        </w:rPr>
        <w:t>and</w:t>
      </w:r>
      <w:r>
        <w:rPr>
          <w:color w:val="231F20"/>
          <w:spacing w:val="-7"/>
          <w:w w:val="95"/>
        </w:rPr>
        <w:t xml:space="preserve"> </w:t>
      </w:r>
      <w:r>
        <w:rPr>
          <w:color w:val="231F20"/>
          <w:spacing w:val="-2"/>
          <w:w w:val="95"/>
        </w:rPr>
        <w:t>practical</w:t>
      </w:r>
      <w:r>
        <w:rPr>
          <w:color w:val="231F20"/>
          <w:spacing w:val="-7"/>
          <w:w w:val="95"/>
        </w:rPr>
        <w:t xml:space="preserve"> </w:t>
      </w:r>
      <w:r>
        <w:rPr>
          <w:color w:val="231F20"/>
          <w:spacing w:val="-2"/>
          <w:w w:val="95"/>
        </w:rPr>
        <w:t>insights</w:t>
      </w:r>
      <w:r>
        <w:rPr>
          <w:color w:val="231F20"/>
          <w:spacing w:val="-8"/>
          <w:w w:val="95"/>
        </w:rPr>
        <w:t xml:space="preserve"> </w:t>
      </w:r>
      <w:r>
        <w:rPr>
          <w:color w:val="231F20"/>
          <w:spacing w:val="-2"/>
          <w:w w:val="95"/>
        </w:rPr>
        <w:t>into</w:t>
      </w:r>
      <w:r>
        <w:rPr>
          <w:color w:val="231F20"/>
          <w:spacing w:val="-7"/>
          <w:w w:val="95"/>
        </w:rPr>
        <w:t xml:space="preserve"> </w:t>
      </w:r>
      <w:r>
        <w:rPr>
          <w:color w:val="231F20"/>
          <w:spacing w:val="-2"/>
          <w:w w:val="95"/>
        </w:rPr>
        <w:t>such</w:t>
      </w:r>
      <w:r>
        <w:rPr>
          <w:color w:val="231F20"/>
          <w:spacing w:val="-7"/>
          <w:w w:val="95"/>
        </w:rPr>
        <w:t xml:space="preserve"> </w:t>
      </w:r>
      <w:r>
        <w:rPr>
          <w:color w:val="231F20"/>
          <w:spacing w:val="-2"/>
          <w:w w:val="95"/>
        </w:rPr>
        <w:t>matters</w:t>
      </w:r>
      <w:r>
        <w:rPr>
          <w:color w:val="231F20"/>
          <w:spacing w:val="-7"/>
          <w:w w:val="95"/>
        </w:rPr>
        <w:t xml:space="preserve"> </w:t>
      </w:r>
      <w:r>
        <w:rPr>
          <w:color w:val="231F20"/>
          <w:spacing w:val="-2"/>
          <w:w w:val="95"/>
        </w:rPr>
        <w:t>as</w:t>
      </w:r>
      <w:r>
        <w:rPr>
          <w:color w:val="231F20"/>
          <w:spacing w:val="-8"/>
          <w:w w:val="95"/>
        </w:rPr>
        <w:t xml:space="preserve"> </w:t>
      </w:r>
      <w:r>
        <w:rPr>
          <w:color w:val="231F20"/>
          <w:spacing w:val="-2"/>
          <w:w w:val="95"/>
        </w:rPr>
        <w:t>infrastructure</w:t>
      </w:r>
      <w:r>
        <w:rPr>
          <w:color w:val="231F20"/>
          <w:spacing w:val="-7"/>
          <w:w w:val="95"/>
        </w:rPr>
        <w:t xml:space="preserve"> </w:t>
      </w:r>
      <w:r>
        <w:rPr>
          <w:color w:val="231F20"/>
          <w:spacing w:val="-2"/>
          <w:w w:val="95"/>
        </w:rPr>
        <w:t xml:space="preserve">and facilities planning, collaboration between sport and tourism agencies, public– </w:t>
      </w:r>
      <w:r>
        <w:rPr>
          <w:color w:val="231F20"/>
          <w:spacing w:val="-4"/>
        </w:rPr>
        <w:t xml:space="preserve">private partnerships (PPP) in sport tourism and new trends (and emerging </w:t>
      </w:r>
      <w:r>
        <w:rPr>
          <w:color w:val="231F20"/>
        </w:rPr>
        <w:t>markets)</w:t>
      </w:r>
      <w:r>
        <w:rPr>
          <w:color w:val="231F20"/>
          <w:spacing w:val="-10"/>
        </w:rPr>
        <w:t xml:space="preserve"> </w:t>
      </w:r>
      <w:r>
        <w:rPr>
          <w:color w:val="231F20"/>
        </w:rPr>
        <w:t>in</w:t>
      </w:r>
      <w:r>
        <w:rPr>
          <w:color w:val="231F20"/>
          <w:spacing w:val="-10"/>
        </w:rPr>
        <w:t xml:space="preserve"> </w:t>
      </w:r>
      <w:r>
        <w:rPr>
          <w:color w:val="231F20"/>
        </w:rPr>
        <w:t>sport</w:t>
      </w:r>
      <w:r>
        <w:rPr>
          <w:color w:val="231F20"/>
          <w:spacing w:val="-10"/>
        </w:rPr>
        <w:t xml:space="preserve"> </w:t>
      </w:r>
      <w:r>
        <w:rPr>
          <w:color w:val="231F20"/>
        </w:rPr>
        <w:t>and</w:t>
      </w:r>
      <w:r>
        <w:rPr>
          <w:color w:val="231F20"/>
          <w:spacing w:val="-10"/>
        </w:rPr>
        <w:t xml:space="preserve"> </w:t>
      </w:r>
      <w:r>
        <w:rPr>
          <w:color w:val="231F20"/>
        </w:rPr>
        <w:t>tourism.</w:t>
      </w:r>
      <w:r>
        <w:rPr>
          <w:color w:val="231F20"/>
          <w:spacing w:val="-10"/>
        </w:rPr>
        <w:t xml:space="preserve"> </w:t>
      </w:r>
      <w:r>
        <w:rPr>
          <w:color w:val="231F20"/>
        </w:rPr>
        <w:t>Other</w:t>
      </w:r>
      <w:r>
        <w:rPr>
          <w:color w:val="231F20"/>
          <w:spacing w:val="-10"/>
        </w:rPr>
        <w:t xml:space="preserve"> </w:t>
      </w:r>
      <w:r>
        <w:rPr>
          <w:color w:val="231F20"/>
        </w:rPr>
        <w:t>critical</w:t>
      </w:r>
      <w:r>
        <w:rPr>
          <w:color w:val="231F20"/>
          <w:spacing w:val="-10"/>
        </w:rPr>
        <w:t xml:space="preserve"> </w:t>
      </w:r>
      <w:r>
        <w:rPr>
          <w:color w:val="231F20"/>
        </w:rPr>
        <w:t>development</w:t>
      </w:r>
      <w:r>
        <w:rPr>
          <w:color w:val="231F20"/>
          <w:spacing w:val="-10"/>
        </w:rPr>
        <w:t xml:space="preserve"> </w:t>
      </w:r>
      <w:r>
        <w:rPr>
          <w:color w:val="231F20"/>
        </w:rPr>
        <w:t>issues</w:t>
      </w:r>
      <w:r>
        <w:rPr>
          <w:color w:val="231F20"/>
          <w:spacing w:val="-10"/>
        </w:rPr>
        <w:t xml:space="preserve"> </w:t>
      </w:r>
      <w:r>
        <w:rPr>
          <w:color w:val="231F20"/>
        </w:rPr>
        <w:t>in</w:t>
      </w:r>
      <w:r>
        <w:rPr>
          <w:color w:val="231F20"/>
          <w:spacing w:val="-10"/>
        </w:rPr>
        <w:t xml:space="preserve"> </w:t>
      </w:r>
      <w:r>
        <w:rPr>
          <w:color w:val="231F20"/>
        </w:rPr>
        <w:t xml:space="preserve">sport </w:t>
      </w:r>
      <w:r>
        <w:rPr>
          <w:color w:val="231F20"/>
          <w:w w:val="95"/>
        </w:rPr>
        <w:t>tourism relate to commodif</w:t>
      </w:r>
      <w:r>
        <w:rPr>
          <w:color w:val="231F20"/>
          <w:w w:val="95"/>
        </w:rPr>
        <w:t xml:space="preserve">ication/authenticity and global–local processes. </w:t>
      </w:r>
      <w:r>
        <w:rPr>
          <w:color w:val="231F20"/>
        </w:rPr>
        <w:t>Hitherto,</w:t>
      </w:r>
      <w:r>
        <w:rPr>
          <w:color w:val="231F20"/>
          <w:spacing w:val="-8"/>
        </w:rPr>
        <w:t xml:space="preserve"> </w:t>
      </w:r>
      <w:r>
        <w:rPr>
          <w:color w:val="231F20"/>
        </w:rPr>
        <w:t>little</w:t>
      </w:r>
      <w:r>
        <w:rPr>
          <w:color w:val="231F20"/>
          <w:spacing w:val="-8"/>
        </w:rPr>
        <w:t xml:space="preserve"> </w:t>
      </w:r>
      <w:r>
        <w:rPr>
          <w:color w:val="231F20"/>
        </w:rPr>
        <w:t>consideration</w:t>
      </w:r>
      <w:r>
        <w:rPr>
          <w:color w:val="231F20"/>
          <w:spacing w:val="-8"/>
        </w:rPr>
        <w:t xml:space="preserve"> </w:t>
      </w:r>
      <w:r>
        <w:rPr>
          <w:color w:val="231F20"/>
        </w:rPr>
        <w:t>has</w:t>
      </w:r>
      <w:r>
        <w:rPr>
          <w:color w:val="231F20"/>
          <w:spacing w:val="-8"/>
        </w:rPr>
        <w:t xml:space="preserve"> </w:t>
      </w:r>
      <w:r>
        <w:rPr>
          <w:color w:val="231F20"/>
        </w:rPr>
        <w:t>been</w:t>
      </w:r>
      <w:r>
        <w:rPr>
          <w:color w:val="231F20"/>
          <w:spacing w:val="-8"/>
        </w:rPr>
        <w:t xml:space="preserve"> </w:t>
      </w:r>
      <w:r>
        <w:rPr>
          <w:color w:val="231F20"/>
        </w:rPr>
        <w:t>given</w:t>
      </w:r>
      <w:r>
        <w:rPr>
          <w:color w:val="231F20"/>
          <w:spacing w:val="-8"/>
        </w:rPr>
        <w:t xml:space="preserve"> </w:t>
      </w:r>
      <w:r>
        <w:rPr>
          <w:color w:val="231F20"/>
        </w:rPr>
        <w:t>to</w:t>
      </w:r>
      <w:r>
        <w:rPr>
          <w:color w:val="231F20"/>
          <w:spacing w:val="-8"/>
        </w:rPr>
        <w:t xml:space="preserve"> </w:t>
      </w:r>
      <w:r>
        <w:rPr>
          <w:color w:val="231F20"/>
        </w:rPr>
        <w:t>the</w:t>
      </w:r>
      <w:r>
        <w:rPr>
          <w:color w:val="231F20"/>
          <w:spacing w:val="-8"/>
        </w:rPr>
        <w:t xml:space="preserve"> </w:t>
      </w:r>
      <w:r>
        <w:rPr>
          <w:color w:val="231F20"/>
        </w:rPr>
        <w:t>modification</w:t>
      </w:r>
      <w:r>
        <w:rPr>
          <w:color w:val="231F20"/>
          <w:spacing w:val="-8"/>
        </w:rPr>
        <w:t xml:space="preserve"> </w:t>
      </w:r>
      <w:r>
        <w:rPr>
          <w:color w:val="231F20"/>
        </w:rPr>
        <w:t xml:space="preserve">of sports </w:t>
      </w:r>
      <w:r>
        <w:rPr>
          <w:color w:val="231F20"/>
          <w:w w:val="95"/>
        </w:rPr>
        <w:t>competitions</w:t>
      </w:r>
      <w:r>
        <w:rPr>
          <w:color w:val="231F20"/>
          <w:spacing w:val="-10"/>
          <w:w w:val="95"/>
        </w:rPr>
        <w:t xml:space="preserve"> </w:t>
      </w:r>
      <w:r>
        <w:rPr>
          <w:color w:val="231F20"/>
          <w:w w:val="95"/>
        </w:rPr>
        <w:t>(e.g.</w:t>
      </w:r>
      <w:r>
        <w:rPr>
          <w:color w:val="231F20"/>
          <w:spacing w:val="-9"/>
          <w:w w:val="95"/>
        </w:rPr>
        <w:t xml:space="preserve"> </w:t>
      </w:r>
      <w:r>
        <w:rPr>
          <w:color w:val="231F20"/>
          <w:w w:val="95"/>
        </w:rPr>
        <w:t>through</w:t>
      </w:r>
      <w:r>
        <w:rPr>
          <w:color w:val="231F20"/>
          <w:spacing w:val="-9"/>
          <w:w w:val="95"/>
        </w:rPr>
        <w:t xml:space="preserve"> </w:t>
      </w:r>
      <w:r>
        <w:rPr>
          <w:color w:val="231F20"/>
          <w:w w:val="95"/>
        </w:rPr>
        <w:t>rule</w:t>
      </w:r>
      <w:r>
        <w:rPr>
          <w:color w:val="231F20"/>
          <w:spacing w:val="-9"/>
          <w:w w:val="95"/>
        </w:rPr>
        <w:t xml:space="preserve"> </w:t>
      </w:r>
      <w:r>
        <w:rPr>
          <w:color w:val="231F20"/>
          <w:w w:val="95"/>
        </w:rPr>
        <w:t>changes,</w:t>
      </w:r>
      <w:r>
        <w:rPr>
          <w:color w:val="231F20"/>
          <w:spacing w:val="-10"/>
          <w:w w:val="95"/>
        </w:rPr>
        <w:t xml:space="preserve"> </w:t>
      </w:r>
      <w:r>
        <w:rPr>
          <w:color w:val="231F20"/>
          <w:w w:val="95"/>
        </w:rPr>
        <w:t>length</w:t>
      </w:r>
      <w:r>
        <w:rPr>
          <w:color w:val="231F20"/>
          <w:spacing w:val="-9"/>
          <w:w w:val="95"/>
        </w:rPr>
        <w:t xml:space="preserve"> </w:t>
      </w:r>
      <w:r>
        <w:rPr>
          <w:color w:val="231F20"/>
          <w:w w:val="95"/>
        </w:rPr>
        <w:t>and</w:t>
      </w:r>
      <w:r>
        <w:rPr>
          <w:color w:val="231F20"/>
          <w:spacing w:val="-9"/>
          <w:w w:val="95"/>
        </w:rPr>
        <w:t xml:space="preserve"> </w:t>
      </w:r>
      <w:r>
        <w:rPr>
          <w:color w:val="231F20"/>
          <w:w w:val="95"/>
        </w:rPr>
        <w:t>timing</w:t>
      </w:r>
      <w:r>
        <w:rPr>
          <w:color w:val="231F20"/>
          <w:spacing w:val="-9"/>
          <w:w w:val="95"/>
        </w:rPr>
        <w:t xml:space="preserve"> </w:t>
      </w:r>
      <w:r>
        <w:rPr>
          <w:color w:val="231F20"/>
          <w:w w:val="95"/>
        </w:rPr>
        <w:t>of</w:t>
      </w:r>
      <w:r>
        <w:rPr>
          <w:color w:val="231F20"/>
          <w:spacing w:val="-10"/>
          <w:w w:val="95"/>
        </w:rPr>
        <w:t xml:space="preserve"> </w:t>
      </w:r>
      <w:r>
        <w:rPr>
          <w:color w:val="231F20"/>
          <w:w w:val="95"/>
        </w:rPr>
        <w:t>the</w:t>
      </w:r>
      <w:r>
        <w:rPr>
          <w:color w:val="231F20"/>
          <w:spacing w:val="-9"/>
          <w:w w:val="95"/>
        </w:rPr>
        <w:t xml:space="preserve"> </w:t>
      </w:r>
      <w:r>
        <w:rPr>
          <w:color w:val="231F20"/>
          <w:w w:val="95"/>
        </w:rPr>
        <w:t xml:space="preserve">competition </w:t>
      </w:r>
      <w:r>
        <w:rPr>
          <w:color w:val="231F20"/>
        </w:rPr>
        <w:t>season</w:t>
      </w:r>
      <w:r>
        <w:rPr>
          <w:color w:val="231F20"/>
          <w:spacing w:val="-10"/>
        </w:rPr>
        <w:t xml:space="preserve"> </w:t>
      </w:r>
      <w:r>
        <w:rPr>
          <w:color w:val="231F20"/>
        </w:rPr>
        <w:t>and</w:t>
      </w:r>
      <w:r>
        <w:rPr>
          <w:color w:val="231F20"/>
          <w:spacing w:val="-10"/>
        </w:rPr>
        <w:t xml:space="preserve"> </w:t>
      </w:r>
      <w:r>
        <w:rPr>
          <w:color w:val="231F20"/>
        </w:rPr>
        <w:t>the</w:t>
      </w:r>
      <w:r>
        <w:rPr>
          <w:color w:val="231F20"/>
          <w:spacing w:val="-10"/>
        </w:rPr>
        <w:t xml:space="preserve"> </w:t>
      </w:r>
      <w:r>
        <w:rPr>
          <w:color w:val="231F20"/>
        </w:rPr>
        <w:t>televising/streaming</w:t>
      </w:r>
      <w:r>
        <w:rPr>
          <w:color w:val="231F20"/>
          <w:spacing w:val="-10"/>
        </w:rPr>
        <w:t xml:space="preserve"> </w:t>
      </w:r>
      <w:r>
        <w:rPr>
          <w:color w:val="231F20"/>
        </w:rPr>
        <w:t>of</w:t>
      </w:r>
      <w:r>
        <w:rPr>
          <w:color w:val="231F20"/>
          <w:spacing w:val="-3"/>
        </w:rPr>
        <w:t xml:space="preserve"> </w:t>
      </w:r>
      <w:r>
        <w:rPr>
          <w:color w:val="231F20"/>
        </w:rPr>
        <w:t>live</w:t>
      </w:r>
      <w:r>
        <w:rPr>
          <w:color w:val="231F20"/>
          <w:spacing w:val="-10"/>
        </w:rPr>
        <w:t xml:space="preserve"> </w:t>
      </w:r>
      <w:r>
        <w:rPr>
          <w:color w:val="231F20"/>
        </w:rPr>
        <w:t>sport),</w:t>
      </w:r>
      <w:r>
        <w:rPr>
          <w:color w:val="231F20"/>
          <w:spacing w:val="-10"/>
        </w:rPr>
        <w:t xml:space="preserve"> </w:t>
      </w:r>
      <w:r>
        <w:rPr>
          <w:color w:val="231F20"/>
        </w:rPr>
        <w:t>or</w:t>
      </w:r>
      <w:r>
        <w:rPr>
          <w:color w:val="231F20"/>
          <w:spacing w:val="-10"/>
        </w:rPr>
        <w:t xml:space="preserve"> </w:t>
      </w:r>
      <w:r>
        <w:rPr>
          <w:color w:val="231F20"/>
        </w:rPr>
        <w:t>the</w:t>
      </w:r>
      <w:r>
        <w:rPr>
          <w:color w:val="231F20"/>
          <w:spacing w:val="-10"/>
        </w:rPr>
        <w:t xml:space="preserve"> </w:t>
      </w:r>
      <w:r>
        <w:rPr>
          <w:color w:val="231F20"/>
        </w:rPr>
        <w:t>development</w:t>
      </w:r>
      <w:r>
        <w:rPr>
          <w:color w:val="231F20"/>
          <w:spacing w:val="-10"/>
        </w:rPr>
        <w:t xml:space="preserve"> </w:t>
      </w:r>
      <w:r>
        <w:rPr>
          <w:color w:val="231F20"/>
        </w:rPr>
        <w:t>of new or hybrid sports, specifically in terms of the potential development opportunities</w:t>
      </w:r>
      <w:r>
        <w:rPr>
          <w:color w:val="231F20"/>
          <w:spacing w:val="-7"/>
        </w:rPr>
        <w:t xml:space="preserve"> </w:t>
      </w:r>
      <w:r>
        <w:rPr>
          <w:color w:val="231F20"/>
        </w:rPr>
        <w:t>for</w:t>
      </w:r>
      <w:r>
        <w:rPr>
          <w:color w:val="231F20"/>
          <w:spacing w:val="-7"/>
        </w:rPr>
        <w:t xml:space="preserve"> </w:t>
      </w:r>
      <w:r>
        <w:rPr>
          <w:color w:val="231F20"/>
        </w:rPr>
        <w:t>tourism</w:t>
      </w:r>
      <w:r>
        <w:rPr>
          <w:color w:val="231F20"/>
          <w:spacing w:val="-7"/>
        </w:rPr>
        <w:t xml:space="preserve"> </w:t>
      </w:r>
      <w:r>
        <w:rPr>
          <w:color w:val="231F20"/>
        </w:rPr>
        <w:t>destinations</w:t>
      </w:r>
      <w:r>
        <w:rPr>
          <w:color w:val="231F20"/>
          <w:spacing w:val="-7"/>
        </w:rPr>
        <w:t xml:space="preserve"> </w:t>
      </w:r>
      <w:r>
        <w:rPr>
          <w:color w:val="231F20"/>
        </w:rPr>
        <w:t>(Higham</w:t>
      </w:r>
      <w:r>
        <w:rPr>
          <w:color w:val="231F20"/>
          <w:spacing w:val="-7"/>
        </w:rPr>
        <w:t xml:space="preserve"> </w:t>
      </w:r>
      <w:r>
        <w:rPr>
          <w:color w:val="231F20"/>
        </w:rPr>
        <w:t>&amp;</w:t>
      </w:r>
      <w:r>
        <w:rPr>
          <w:color w:val="231F20"/>
          <w:spacing w:val="-7"/>
        </w:rPr>
        <w:t xml:space="preserve"> </w:t>
      </w:r>
      <w:r>
        <w:rPr>
          <w:color w:val="231F20"/>
        </w:rPr>
        <w:t>Hinch,</w:t>
      </w:r>
      <w:r>
        <w:rPr>
          <w:color w:val="231F20"/>
          <w:spacing w:val="-7"/>
        </w:rPr>
        <w:t xml:space="preserve"> </w:t>
      </w:r>
      <w:r>
        <w:rPr>
          <w:color w:val="231F20"/>
        </w:rPr>
        <w:t>2002a,</w:t>
      </w:r>
      <w:r>
        <w:rPr>
          <w:color w:val="231F20"/>
          <w:spacing w:val="-7"/>
        </w:rPr>
        <w:t xml:space="preserve"> </w:t>
      </w:r>
      <w:r>
        <w:rPr>
          <w:color w:val="231F20"/>
        </w:rPr>
        <w:t xml:space="preserve">2002b). </w:t>
      </w:r>
      <w:r>
        <w:rPr>
          <w:color w:val="231F20"/>
          <w:w w:val="95"/>
        </w:rPr>
        <w:t>The</w:t>
      </w:r>
      <w:r>
        <w:rPr>
          <w:color w:val="231F20"/>
          <w:spacing w:val="-10"/>
          <w:w w:val="95"/>
        </w:rPr>
        <w:t xml:space="preserve"> </w:t>
      </w:r>
      <w:r>
        <w:rPr>
          <w:color w:val="231F20"/>
          <w:w w:val="95"/>
        </w:rPr>
        <w:t>implications</w:t>
      </w:r>
      <w:r>
        <w:rPr>
          <w:color w:val="231F20"/>
          <w:spacing w:val="-9"/>
          <w:w w:val="95"/>
        </w:rPr>
        <w:t xml:space="preserve"> </w:t>
      </w:r>
      <w:r>
        <w:rPr>
          <w:color w:val="231F20"/>
          <w:w w:val="95"/>
        </w:rPr>
        <w:t>for</w:t>
      </w:r>
      <w:r>
        <w:rPr>
          <w:color w:val="231F20"/>
          <w:spacing w:val="-9"/>
          <w:w w:val="95"/>
        </w:rPr>
        <w:t xml:space="preserve"> </w:t>
      </w:r>
      <w:r>
        <w:rPr>
          <w:color w:val="231F20"/>
          <w:w w:val="95"/>
        </w:rPr>
        <w:t>tourism</w:t>
      </w:r>
      <w:r>
        <w:rPr>
          <w:color w:val="231F20"/>
          <w:spacing w:val="-9"/>
          <w:w w:val="95"/>
        </w:rPr>
        <w:t xml:space="preserve"> </w:t>
      </w:r>
      <w:r>
        <w:rPr>
          <w:color w:val="231F20"/>
          <w:w w:val="95"/>
        </w:rPr>
        <w:t>destinations</w:t>
      </w:r>
      <w:r>
        <w:rPr>
          <w:color w:val="231F20"/>
          <w:spacing w:val="-10"/>
          <w:w w:val="95"/>
        </w:rPr>
        <w:t xml:space="preserve"> </w:t>
      </w:r>
      <w:r>
        <w:rPr>
          <w:color w:val="231F20"/>
          <w:w w:val="95"/>
        </w:rPr>
        <w:t>may</w:t>
      </w:r>
      <w:r>
        <w:rPr>
          <w:color w:val="231F20"/>
          <w:spacing w:val="-9"/>
          <w:w w:val="95"/>
        </w:rPr>
        <w:t xml:space="preserve"> </w:t>
      </w:r>
      <w:r>
        <w:rPr>
          <w:color w:val="231F20"/>
          <w:w w:val="95"/>
        </w:rPr>
        <w:t>include</w:t>
      </w:r>
      <w:r>
        <w:rPr>
          <w:color w:val="231F20"/>
          <w:spacing w:val="-9"/>
          <w:w w:val="95"/>
        </w:rPr>
        <w:t xml:space="preserve"> </w:t>
      </w:r>
      <w:r>
        <w:rPr>
          <w:color w:val="231F20"/>
          <w:w w:val="95"/>
        </w:rPr>
        <w:t>the</w:t>
      </w:r>
      <w:r>
        <w:rPr>
          <w:color w:val="231F20"/>
          <w:spacing w:val="-9"/>
          <w:w w:val="95"/>
        </w:rPr>
        <w:t xml:space="preserve"> </w:t>
      </w:r>
      <w:r>
        <w:rPr>
          <w:color w:val="231F20"/>
          <w:w w:val="95"/>
        </w:rPr>
        <w:t>emergence</w:t>
      </w:r>
      <w:r>
        <w:rPr>
          <w:color w:val="231F20"/>
          <w:spacing w:val="-10"/>
          <w:w w:val="95"/>
        </w:rPr>
        <w:t xml:space="preserve"> </w:t>
      </w:r>
      <w:r>
        <w:rPr>
          <w:color w:val="231F20"/>
          <w:w w:val="95"/>
        </w:rPr>
        <w:t>of</w:t>
      </w:r>
      <w:r>
        <w:rPr>
          <w:color w:val="231F20"/>
          <w:spacing w:val="-6"/>
          <w:w w:val="95"/>
        </w:rPr>
        <w:t xml:space="preserve"> </w:t>
      </w:r>
      <w:r>
        <w:rPr>
          <w:color w:val="231F20"/>
          <w:w w:val="95"/>
        </w:rPr>
        <w:t xml:space="preserve">new </w:t>
      </w:r>
      <w:r>
        <w:rPr>
          <w:color w:val="231F20"/>
          <w:spacing w:val="-2"/>
          <w:w w:val="95"/>
        </w:rPr>
        <w:t xml:space="preserve">visitor markets, altered seasonal travel flows, elevated or altered perceptions </w:t>
      </w:r>
      <w:r>
        <w:rPr>
          <w:color w:val="231F20"/>
        </w:rPr>
        <w:t>of</w:t>
      </w:r>
      <w:r>
        <w:rPr>
          <w:color w:val="231F20"/>
          <w:spacing w:val="-2"/>
        </w:rPr>
        <w:t xml:space="preserve"> </w:t>
      </w:r>
      <w:r>
        <w:rPr>
          <w:color w:val="231F20"/>
        </w:rPr>
        <w:t>place,</w:t>
      </w:r>
      <w:r>
        <w:rPr>
          <w:color w:val="231F20"/>
          <w:spacing w:val="-10"/>
        </w:rPr>
        <w:t xml:space="preserve"> </w:t>
      </w:r>
      <w:r>
        <w:rPr>
          <w:color w:val="231F20"/>
        </w:rPr>
        <w:t>close</w:t>
      </w:r>
      <w:r>
        <w:rPr>
          <w:color w:val="231F20"/>
          <w:spacing w:val="-10"/>
        </w:rPr>
        <w:t xml:space="preserve"> </w:t>
      </w:r>
      <w:r>
        <w:rPr>
          <w:color w:val="231F20"/>
        </w:rPr>
        <w:t>alignment</w:t>
      </w:r>
      <w:r>
        <w:rPr>
          <w:color w:val="231F20"/>
          <w:spacing w:val="-10"/>
        </w:rPr>
        <w:t xml:space="preserve"> </w:t>
      </w:r>
      <w:r>
        <w:rPr>
          <w:color w:val="231F20"/>
        </w:rPr>
        <w:t>with</w:t>
      </w:r>
      <w:r>
        <w:rPr>
          <w:color w:val="231F20"/>
          <w:spacing w:val="-10"/>
        </w:rPr>
        <w:t xml:space="preserve"> </w:t>
      </w:r>
      <w:r>
        <w:rPr>
          <w:color w:val="231F20"/>
        </w:rPr>
        <w:t>the</w:t>
      </w:r>
      <w:r>
        <w:rPr>
          <w:color w:val="231F20"/>
          <w:spacing w:val="-10"/>
        </w:rPr>
        <w:t xml:space="preserve"> </w:t>
      </w:r>
      <w:r>
        <w:rPr>
          <w:color w:val="231F20"/>
        </w:rPr>
        <w:t>interests</w:t>
      </w:r>
      <w:r>
        <w:rPr>
          <w:color w:val="231F20"/>
          <w:spacing w:val="-10"/>
        </w:rPr>
        <w:t xml:space="preserve"> </w:t>
      </w:r>
      <w:r>
        <w:rPr>
          <w:color w:val="231F20"/>
        </w:rPr>
        <w:t>of</w:t>
      </w:r>
      <w:r>
        <w:rPr>
          <w:color w:val="231F20"/>
          <w:spacing w:val="-2"/>
        </w:rPr>
        <w:t xml:space="preserve"> </w:t>
      </w:r>
      <w:r>
        <w:rPr>
          <w:color w:val="231F20"/>
        </w:rPr>
        <w:t>local</w:t>
      </w:r>
      <w:r>
        <w:rPr>
          <w:color w:val="231F20"/>
          <w:spacing w:val="-10"/>
        </w:rPr>
        <w:t xml:space="preserve"> </w:t>
      </w:r>
      <w:r>
        <w:rPr>
          <w:color w:val="231F20"/>
        </w:rPr>
        <w:t>communities</w:t>
      </w:r>
      <w:r>
        <w:rPr>
          <w:color w:val="231F20"/>
          <w:spacing w:val="-10"/>
        </w:rPr>
        <w:t xml:space="preserve"> </w:t>
      </w:r>
      <w:r>
        <w:rPr>
          <w:color w:val="231F20"/>
        </w:rPr>
        <w:t>and</w:t>
      </w:r>
      <w:r>
        <w:rPr>
          <w:color w:val="231F20"/>
          <w:spacing w:val="-10"/>
        </w:rPr>
        <w:t xml:space="preserve"> </w:t>
      </w:r>
      <w:r>
        <w:rPr>
          <w:color w:val="231F20"/>
        </w:rPr>
        <w:t xml:space="preserve">new </w:t>
      </w:r>
      <w:r>
        <w:rPr>
          <w:color w:val="231F20"/>
          <w:spacing w:val="-4"/>
          <w:w w:val="95"/>
        </w:rPr>
        <w:t>elements of</w:t>
      </w:r>
      <w:r>
        <w:rPr>
          <w:color w:val="231F20"/>
          <w:spacing w:val="16"/>
        </w:rPr>
        <w:t xml:space="preserve"> </w:t>
      </w:r>
      <w:r>
        <w:rPr>
          <w:color w:val="231F20"/>
          <w:spacing w:val="-4"/>
          <w:w w:val="95"/>
        </w:rPr>
        <w:t>destination imagery associated with sports. The relevance of</w:t>
      </w:r>
      <w:r>
        <w:rPr>
          <w:color w:val="231F20"/>
          <w:spacing w:val="16"/>
        </w:rPr>
        <w:t xml:space="preserve"> </w:t>
      </w:r>
      <w:r>
        <w:rPr>
          <w:color w:val="231F20"/>
          <w:spacing w:val="-4"/>
          <w:w w:val="95"/>
        </w:rPr>
        <w:t>these</w:t>
      </w:r>
      <w:r>
        <w:rPr>
          <w:color w:val="231F20"/>
          <w:w w:val="95"/>
        </w:rPr>
        <w:t xml:space="preserve"> processes</w:t>
      </w:r>
      <w:r>
        <w:rPr>
          <w:color w:val="231F20"/>
          <w:spacing w:val="-10"/>
          <w:w w:val="95"/>
        </w:rPr>
        <w:t xml:space="preserve"> </w:t>
      </w:r>
      <w:r>
        <w:rPr>
          <w:color w:val="231F20"/>
          <w:w w:val="95"/>
        </w:rPr>
        <w:t>and</w:t>
      </w:r>
      <w:r>
        <w:rPr>
          <w:color w:val="231F20"/>
          <w:spacing w:val="-9"/>
          <w:w w:val="95"/>
        </w:rPr>
        <w:t xml:space="preserve"> </w:t>
      </w:r>
      <w:r>
        <w:rPr>
          <w:color w:val="231F20"/>
          <w:w w:val="95"/>
        </w:rPr>
        <w:t>issues</w:t>
      </w:r>
      <w:r>
        <w:rPr>
          <w:color w:val="231F20"/>
          <w:spacing w:val="-9"/>
          <w:w w:val="95"/>
        </w:rPr>
        <w:t xml:space="preserve"> </w:t>
      </w:r>
      <w:r>
        <w:rPr>
          <w:color w:val="231F20"/>
          <w:w w:val="95"/>
        </w:rPr>
        <w:t>are</w:t>
      </w:r>
      <w:r>
        <w:rPr>
          <w:color w:val="231F20"/>
          <w:spacing w:val="-9"/>
          <w:w w:val="95"/>
        </w:rPr>
        <w:t xml:space="preserve"> </w:t>
      </w:r>
      <w:r>
        <w:rPr>
          <w:color w:val="231F20"/>
          <w:w w:val="95"/>
        </w:rPr>
        <w:t>introduced</w:t>
      </w:r>
      <w:r>
        <w:rPr>
          <w:color w:val="231F20"/>
          <w:spacing w:val="-10"/>
          <w:w w:val="95"/>
        </w:rPr>
        <w:t xml:space="preserve"> </w:t>
      </w:r>
      <w:r>
        <w:rPr>
          <w:color w:val="231F20"/>
          <w:w w:val="95"/>
        </w:rPr>
        <w:t>to</w:t>
      </w:r>
      <w:r>
        <w:rPr>
          <w:color w:val="231F20"/>
          <w:spacing w:val="-9"/>
          <w:w w:val="95"/>
        </w:rPr>
        <w:t xml:space="preserve"> </w:t>
      </w:r>
      <w:r>
        <w:rPr>
          <w:color w:val="231F20"/>
          <w:w w:val="95"/>
        </w:rPr>
        <w:t>the</w:t>
      </w:r>
      <w:r>
        <w:rPr>
          <w:color w:val="231F20"/>
          <w:spacing w:val="-9"/>
          <w:w w:val="95"/>
        </w:rPr>
        <w:t xml:space="preserve"> </w:t>
      </w:r>
      <w:r>
        <w:rPr>
          <w:color w:val="231F20"/>
          <w:w w:val="95"/>
        </w:rPr>
        <w:t>reader,</w:t>
      </w:r>
      <w:r>
        <w:rPr>
          <w:color w:val="231F20"/>
          <w:spacing w:val="-9"/>
          <w:w w:val="95"/>
        </w:rPr>
        <w:t xml:space="preserve"> </w:t>
      </w:r>
      <w:r>
        <w:rPr>
          <w:color w:val="231F20"/>
          <w:w w:val="95"/>
        </w:rPr>
        <w:t>and</w:t>
      </w:r>
      <w:r>
        <w:rPr>
          <w:color w:val="231F20"/>
          <w:spacing w:val="-10"/>
          <w:w w:val="95"/>
        </w:rPr>
        <w:t xml:space="preserve"> </w:t>
      </w:r>
      <w:r>
        <w:rPr>
          <w:color w:val="231F20"/>
          <w:w w:val="95"/>
        </w:rPr>
        <w:t>explored</w:t>
      </w:r>
      <w:r>
        <w:rPr>
          <w:color w:val="231F20"/>
          <w:spacing w:val="-9"/>
          <w:w w:val="95"/>
        </w:rPr>
        <w:t xml:space="preserve"> </w:t>
      </w:r>
      <w:r>
        <w:rPr>
          <w:color w:val="231F20"/>
          <w:w w:val="95"/>
        </w:rPr>
        <w:t>in</w:t>
      </w:r>
      <w:r>
        <w:rPr>
          <w:color w:val="231F20"/>
          <w:spacing w:val="-9"/>
          <w:w w:val="95"/>
        </w:rPr>
        <w:t xml:space="preserve"> </w:t>
      </w:r>
      <w:r>
        <w:rPr>
          <w:color w:val="231F20"/>
          <w:w w:val="95"/>
        </w:rPr>
        <w:t>Chapter</w:t>
      </w:r>
      <w:r>
        <w:rPr>
          <w:color w:val="231F20"/>
          <w:spacing w:val="-9"/>
          <w:w w:val="95"/>
        </w:rPr>
        <w:t xml:space="preserve"> </w:t>
      </w:r>
      <w:r>
        <w:rPr>
          <w:color w:val="231F20"/>
          <w:w w:val="95"/>
        </w:rPr>
        <w:t xml:space="preserve">4: </w:t>
      </w:r>
      <w:r>
        <w:rPr>
          <w:color w:val="231F20"/>
          <w:spacing w:val="-2"/>
        </w:rPr>
        <w:t>Development</w:t>
      </w:r>
      <w:r>
        <w:rPr>
          <w:color w:val="231F20"/>
          <w:spacing w:val="-3"/>
        </w:rPr>
        <w:t xml:space="preserve"> </w:t>
      </w:r>
      <w:r>
        <w:rPr>
          <w:color w:val="231F20"/>
          <w:spacing w:val="-2"/>
        </w:rPr>
        <w:t>Processes</w:t>
      </w:r>
      <w:r>
        <w:rPr>
          <w:color w:val="231F20"/>
          <w:spacing w:val="-3"/>
        </w:rPr>
        <w:t xml:space="preserve"> </w:t>
      </w:r>
      <w:r>
        <w:rPr>
          <w:color w:val="231F20"/>
          <w:spacing w:val="-2"/>
        </w:rPr>
        <w:t>and</w:t>
      </w:r>
      <w:r>
        <w:rPr>
          <w:color w:val="231F20"/>
          <w:spacing w:val="-3"/>
        </w:rPr>
        <w:t xml:space="preserve"> </w:t>
      </w:r>
      <w:r>
        <w:rPr>
          <w:color w:val="231F20"/>
          <w:spacing w:val="-2"/>
        </w:rPr>
        <w:t>Issues.</w:t>
      </w:r>
      <w:r>
        <w:rPr>
          <w:color w:val="231F20"/>
          <w:spacing w:val="-3"/>
        </w:rPr>
        <w:t xml:space="preserve"> </w:t>
      </w:r>
      <w:r>
        <w:rPr>
          <w:color w:val="231F20"/>
          <w:spacing w:val="-2"/>
        </w:rPr>
        <w:t>These</w:t>
      </w:r>
      <w:r>
        <w:rPr>
          <w:color w:val="231F20"/>
          <w:spacing w:val="-3"/>
        </w:rPr>
        <w:t xml:space="preserve"> </w:t>
      </w:r>
      <w:r>
        <w:rPr>
          <w:color w:val="231F20"/>
          <w:spacing w:val="-2"/>
        </w:rPr>
        <w:t>preliminary</w:t>
      </w:r>
      <w:r>
        <w:rPr>
          <w:color w:val="231F20"/>
          <w:spacing w:val="-3"/>
        </w:rPr>
        <w:t xml:space="preserve"> </w:t>
      </w:r>
      <w:r>
        <w:rPr>
          <w:color w:val="231F20"/>
          <w:spacing w:val="-2"/>
        </w:rPr>
        <w:t>chapters</w:t>
      </w:r>
      <w:r>
        <w:rPr>
          <w:color w:val="231F20"/>
          <w:spacing w:val="-3"/>
        </w:rPr>
        <w:t xml:space="preserve"> </w:t>
      </w:r>
      <w:r>
        <w:rPr>
          <w:color w:val="231F20"/>
          <w:spacing w:val="-2"/>
        </w:rPr>
        <w:t>provide</w:t>
      </w:r>
      <w:r>
        <w:rPr>
          <w:color w:val="231F20"/>
          <w:spacing w:val="-3"/>
        </w:rPr>
        <w:t xml:space="preserve"> </w:t>
      </w:r>
      <w:r>
        <w:rPr>
          <w:color w:val="231F20"/>
          <w:spacing w:val="-2"/>
        </w:rPr>
        <w:t xml:space="preserve">a </w:t>
      </w:r>
      <w:r>
        <w:rPr>
          <w:color w:val="231F20"/>
          <w:w w:val="95"/>
        </w:rPr>
        <w:t>foundation</w:t>
      </w:r>
      <w:r>
        <w:rPr>
          <w:color w:val="231F20"/>
          <w:spacing w:val="-2"/>
          <w:w w:val="95"/>
        </w:rPr>
        <w:t xml:space="preserve"> </w:t>
      </w:r>
      <w:r>
        <w:rPr>
          <w:color w:val="231F20"/>
          <w:w w:val="95"/>
        </w:rPr>
        <w:t>upon</w:t>
      </w:r>
      <w:r>
        <w:rPr>
          <w:color w:val="231F20"/>
          <w:spacing w:val="-2"/>
          <w:w w:val="95"/>
        </w:rPr>
        <w:t xml:space="preserve"> </w:t>
      </w:r>
      <w:r>
        <w:rPr>
          <w:color w:val="231F20"/>
          <w:w w:val="95"/>
        </w:rPr>
        <w:t>which</w:t>
      </w:r>
      <w:r>
        <w:rPr>
          <w:color w:val="231F20"/>
          <w:spacing w:val="-2"/>
          <w:w w:val="95"/>
        </w:rPr>
        <w:t xml:space="preserve"> </w:t>
      </w:r>
      <w:r>
        <w:rPr>
          <w:color w:val="231F20"/>
          <w:w w:val="95"/>
        </w:rPr>
        <w:t>the</w:t>
      </w:r>
      <w:r>
        <w:rPr>
          <w:color w:val="231F20"/>
          <w:spacing w:val="-2"/>
          <w:w w:val="95"/>
        </w:rPr>
        <w:t xml:space="preserve"> </w:t>
      </w:r>
      <w:r>
        <w:rPr>
          <w:color w:val="231F20"/>
          <w:w w:val="95"/>
        </w:rPr>
        <w:t>subsequent</w:t>
      </w:r>
      <w:r>
        <w:rPr>
          <w:color w:val="231F20"/>
          <w:spacing w:val="-2"/>
          <w:w w:val="95"/>
        </w:rPr>
        <w:t xml:space="preserve"> </w:t>
      </w:r>
      <w:r>
        <w:rPr>
          <w:color w:val="231F20"/>
          <w:w w:val="95"/>
        </w:rPr>
        <w:t>chapters</w:t>
      </w:r>
      <w:r>
        <w:rPr>
          <w:color w:val="231F20"/>
          <w:spacing w:val="-2"/>
          <w:w w:val="95"/>
        </w:rPr>
        <w:t xml:space="preserve"> </w:t>
      </w:r>
      <w:r>
        <w:rPr>
          <w:color w:val="231F20"/>
          <w:w w:val="95"/>
        </w:rPr>
        <w:t>(Chapters</w:t>
      </w:r>
      <w:r>
        <w:rPr>
          <w:color w:val="231F20"/>
          <w:spacing w:val="-2"/>
          <w:w w:val="95"/>
        </w:rPr>
        <w:t xml:space="preserve"> </w:t>
      </w:r>
      <w:r>
        <w:rPr>
          <w:color w:val="231F20"/>
          <w:w w:val="95"/>
        </w:rPr>
        <w:t>5–10)</w:t>
      </w:r>
      <w:r>
        <w:rPr>
          <w:color w:val="231F20"/>
          <w:spacing w:val="-2"/>
          <w:w w:val="95"/>
        </w:rPr>
        <w:t xml:space="preserve"> </w:t>
      </w:r>
      <w:r>
        <w:rPr>
          <w:color w:val="231F20"/>
          <w:w w:val="95"/>
        </w:rPr>
        <w:t>build.</w:t>
      </w:r>
    </w:p>
    <w:p w14:paraId="18582611" w14:textId="77777777" w:rsidR="00AE0598" w:rsidRDefault="00AE0598">
      <w:pPr>
        <w:spacing w:line="232" w:lineRule="auto"/>
        <w:jc w:val="both"/>
        <w:sectPr w:rsidR="00AE0598">
          <w:pgSz w:w="8850" w:h="13270"/>
          <w:pgMar w:top="720" w:right="1080" w:bottom="280" w:left="1080" w:header="720" w:footer="720" w:gutter="0"/>
          <w:cols w:space="720"/>
        </w:sectPr>
      </w:pPr>
    </w:p>
    <w:p w14:paraId="08B92B8D" w14:textId="2B6B6427" w:rsidR="00AE0598" w:rsidRDefault="0069255A">
      <w:pPr>
        <w:spacing w:before="87"/>
        <w:ind w:left="4169"/>
        <w:rPr>
          <w:rFonts w:ascii="Trebuchet MS"/>
          <w:sz w:val="14"/>
        </w:rPr>
      </w:pPr>
      <w:r>
        <w:rPr>
          <w:noProof/>
        </w:rPr>
        <w:lastRenderedPageBreak/>
        <mc:AlternateContent>
          <mc:Choice Requires="wps">
            <w:drawing>
              <wp:anchor distT="0" distB="0" distL="114300" distR="114300" simplePos="0" relativeHeight="483660288" behindDoc="1" locked="0" layoutInCell="1" allowOverlap="1" wp14:anchorId="28ED4211" wp14:editId="710D6F15">
                <wp:simplePos x="0" y="0"/>
                <wp:positionH relativeFrom="page">
                  <wp:posOffset>755650</wp:posOffset>
                </wp:positionH>
                <wp:positionV relativeFrom="page">
                  <wp:posOffset>838200</wp:posOffset>
                </wp:positionV>
                <wp:extent cx="4104005" cy="6718935"/>
                <wp:effectExtent l="0" t="0" r="0" b="0"/>
                <wp:wrapNone/>
                <wp:docPr id="360" name="docshape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04005" cy="6718935"/>
                        </a:xfrm>
                        <a:prstGeom prst="rect">
                          <a:avLst/>
                        </a:prstGeom>
                        <a:solidFill>
                          <a:srgbClr val="DCDDD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BC8FBC" id="docshape16" o:spid="_x0000_s1026" style="position:absolute;margin-left:59.5pt;margin-top:66pt;width:323.15pt;height:529.05pt;z-index:-19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" fillcolor="#dcddde" stroked="f">
                <w10:wrap anchorx="page" anchory="page"/>
              </v:rect>
            </w:pict>
          </mc:Fallback>
        </mc:AlternateContent>
      </w:r>
      <w:r>
        <w:rPr>
          <w:rFonts w:ascii="Trebuchet MS"/>
          <w:color w:val="231F20"/>
          <w:w w:val="105"/>
          <w:sz w:val="14"/>
        </w:rPr>
        <w:t>Sport</w:t>
      </w:r>
      <w:r>
        <w:rPr>
          <w:rFonts w:ascii="Trebuchet MS"/>
          <w:color w:val="231F20"/>
          <w:spacing w:val="-9"/>
          <w:w w:val="105"/>
          <w:sz w:val="14"/>
        </w:rPr>
        <w:t xml:space="preserve"> </w:t>
      </w:r>
      <w:r>
        <w:rPr>
          <w:rFonts w:ascii="Trebuchet MS"/>
          <w:color w:val="231F20"/>
          <w:w w:val="105"/>
          <w:sz w:val="14"/>
        </w:rPr>
        <w:t>Tourism</w:t>
      </w:r>
      <w:r>
        <w:rPr>
          <w:rFonts w:ascii="Trebuchet MS"/>
          <w:color w:val="231F20"/>
          <w:spacing w:val="-8"/>
          <w:w w:val="105"/>
          <w:sz w:val="14"/>
        </w:rPr>
        <w:t xml:space="preserve"> </w:t>
      </w:r>
      <w:r>
        <w:rPr>
          <w:rFonts w:ascii="Trebuchet MS"/>
          <w:color w:val="231F20"/>
          <w:w w:val="105"/>
          <w:sz w:val="14"/>
        </w:rPr>
        <w:t>in</w:t>
      </w:r>
      <w:r>
        <w:rPr>
          <w:rFonts w:ascii="Trebuchet MS"/>
          <w:color w:val="231F20"/>
          <w:spacing w:val="-9"/>
          <w:w w:val="105"/>
          <w:sz w:val="14"/>
        </w:rPr>
        <w:t xml:space="preserve"> </w:t>
      </w:r>
      <w:r>
        <w:rPr>
          <w:rFonts w:ascii="Trebuchet MS"/>
          <w:color w:val="231F20"/>
          <w:w w:val="105"/>
          <w:sz w:val="14"/>
        </w:rPr>
        <w:t>Times</w:t>
      </w:r>
      <w:r>
        <w:rPr>
          <w:rFonts w:ascii="Trebuchet MS"/>
          <w:color w:val="231F20"/>
          <w:spacing w:val="-9"/>
          <w:w w:val="105"/>
          <w:sz w:val="14"/>
        </w:rPr>
        <w:t xml:space="preserve"> </w:t>
      </w:r>
      <w:r>
        <w:rPr>
          <w:rFonts w:ascii="Trebuchet MS"/>
          <w:color w:val="231F20"/>
          <w:w w:val="105"/>
          <w:sz w:val="14"/>
        </w:rPr>
        <w:t>of</w:t>
      </w:r>
      <w:r>
        <w:rPr>
          <w:rFonts w:ascii="Trebuchet MS"/>
          <w:color w:val="231F20"/>
          <w:spacing w:val="-8"/>
          <w:w w:val="105"/>
          <w:sz w:val="14"/>
        </w:rPr>
        <w:t xml:space="preserve"> </w:t>
      </w:r>
      <w:r>
        <w:rPr>
          <w:rFonts w:ascii="Trebuchet MS"/>
          <w:color w:val="231F20"/>
          <w:w w:val="105"/>
          <w:sz w:val="14"/>
        </w:rPr>
        <w:t>Change</w:t>
      </w:r>
      <w:r>
        <w:rPr>
          <w:rFonts w:ascii="Trebuchet MS"/>
          <w:color w:val="231F20"/>
          <w:spacing w:val="67"/>
          <w:w w:val="150"/>
          <w:sz w:val="14"/>
        </w:rPr>
        <w:t xml:space="preserve"> </w:t>
      </w:r>
      <w:r>
        <w:rPr>
          <w:rFonts w:ascii="Trebuchet MS"/>
          <w:color w:val="231F20"/>
          <w:spacing w:val="-10"/>
          <w:w w:val="105"/>
          <w:sz w:val="14"/>
        </w:rPr>
        <w:t>9</w:t>
      </w:r>
    </w:p>
    <w:p w14:paraId="42C87DBD" w14:textId="77777777" w:rsidR="00AE0598" w:rsidRDefault="00AE0598">
      <w:pPr>
        <w:pStyle w:val="Corpodetexto"/>
        <w:spacing w:before="7"/>
        <w:rPr>
          <w:rFonts w:ascii="Trebuchet MS"/>
          <w:sz w:val="27"/>
        </w:rPr>
      </w:pPr>
    </w:p>
    <w:p w14:paraId="208C9A5F" w14:textId="77777777" w:rsidR="00AE0598" w:rsidRDefault="0069255A">
      <w:pPr>
        <w:spacing w:before="99"/>
        <w:ind w:left="223"/>
        <w:jc w:val="both"/>
        <w:rPr>
          <w:rFonts w:ascii="Trebuchet MS"/>
          <w:sz w:val="20"/>
        </w:rPr>
      </w:pPr>
      <w:r>
        <w:rPr>
          <w:rFonts w:ascii="Trebuchet MS"/>
          <w:color w:val="231F20"/>
          <w:w w:val="105"/>
          <w:sz w:val="20"/>
        </w:rPr>
        <w:t>Focus</w:t>
      </w:r>
      <w:r>
        <w:rPr>
          <w:rFonts w:ascii="Trebuchet MS"/>
          <w:color w:val="231F20"/>
          <w:spacing w:val="-10"/>
          <w:w w:val="105"/>
          <w:sz w:val="20"/>
        </w:rPr>
        <w:t xml:space="preserve"> </w:t>
      </w:r>
      <w:r>
        <w:rPr>
          <w:rFonts w:ascii="Trebuchet MS"/>
          <w:color w:val="231F20"/>
          <w:w w:val="105"/>
          <w:sz w:val="20"/>
        </w:rPr>
        <w:t>Point</w:t>
      </w:r>
      <w:r>
        <w:rPr>
          <w:rFonts w:ascii="Trebuchet MS"/>
          <w:color w:val="231F20"/>
          <w:spacing w:val="-9"/>
          <w:w w:val="105"/>
          <w:sz w:val="20"/>
        </w:rPr>
        <w:t xml:space="preserve"> </w:t>
      </w:r>
      <w:r>
        <w:rPr>
          <w:rFonts w:ascii="Trebuchet MS"/>
          <w:color w:val="231F20"/>
          <w:w w:val="105"/>
          <w:sz w:val="20"/>
        </w:rPr>
        <w:t>1.1:</w:t>
      </w:r>
      <w:r>
        <w:rPr>
          <w:rFonts w:ascii="Trebuchet MS"/>
          <w:color w:val="231F20"/>
          <w:spacing w:val="-9"/>
          <w:w w:val="105"/>
          <w:sz w:val="20"/>
        </w:rPr>
        <w:t xml:space="preserve"> </w:t>
      </w:r>
      <w:r>
        <w:rPr>
          <w:rFonts w:ascii="Trebuchet MS"/>
          <w:color w:val="231F20"/>
          <w:w w:val="105"/>
          <w:sz w:val="20"/>
        </w:rPr>
        <w:t>UNWTO</w:t>
      </w:r>
      <w:r>
        <w:rPr>
          <w:rFonts w:ascii="Trebuchet MS"/>
          <w:color w:val="231F20"/>
          <w:spacing w:val="-9"/>
          <w:w w:val="105"/>
          <w:sz w:val="20"/>
        </w:rPr>
        <w:t xml:space="preserve"> </w:t>
      </w:r>
      <w:r>
        <w:rPr>
          <w:rFonts w:ascii="Trebuchet MS"/>
          <w:color w:val="231F20"/>
          <w:w w:val="105"/>
          <w:sz w:val="20"/>
        </w:rPr>
        <w:t>Global</w:t>
      </w:r>
      <w:r>
        <w:rPr>
          <w:rFonts w:ascii="Trebuchet MS"/>
          <w:color w:val="231F20"/>
          <w:spacing w:val="-9"/>
          <w:w w:val="105"/>
          <w:sz w:val="20"/>
        </w:rPr>
        <w:t xml:space="preserve"> </w:t>
      </w:r>
      <w:r>
        <w:rPr>
          <w:rFonts w:ascii="Trebuchet MS"/>
          <w:color w:val="231F20"/>
          <w:w w:val="105"/>
          <w:sz w:val="20"/>
        </w:rPr>
        <w:t>Report</w:t>
      </w:r>
      <w:r>
        <w:rPr>
          <w:rFonts w:ascii="Trebuchet MS"/>
          <w:color w:val="231F20"/>
          <w:spacing w:val="-9"/>
          <w:w w:val="105"/>
          <w:sz w:val="20"/>
        </w:rPr>
        <w:t xml:space="preserve"> </w:t>
      </w:r>
      <w:r>
        <w:rPr>
          <w:rFonts w:ascii="Trebuchet MS"/>
          <w:color w:val="231F20"/>
          <w:w w:val="105"/>
          <w:sz w:val="20"/>
        </w:rPr>
        <w:t>on</w:t>
      </w:r>
      <w:r>
        <w:rPr>
          <w:rFonts w:ascii="Trebuchet MS"/>
          <w:color w:val="231F20"/>
          <w:spacing w:val="-9"/>
          <w:w w:val="105"/>
          <w:sz w:val="20"/>
        </w:rPr>
        <w:t xml:space="preserve"> </w:t>
      </w:r>
      <w:r>
        <w:rPr>
          <w:rFonts w:ascii="Trebuchet MS"/>
          <w:color w:val="231F20"/>
          <w:w w:val="105"/>
          <w:sz w:val="20"/>
        </w:rPr>
        <w:t>Sport</w:t>
      </w:r>
      <w:r>
        <w:rPr>
          <w:rFonts w:ascii="Trebuchet MS"/>
          <w:color w:val="231F20"/>
          <w:spacing w:val="-9"/>
          <w:w w:val="105"/>
          <w:sz w:val="20"/>
        </w:rPr>
        <w:t xml:space="preserve"> </w:t>
      </w:r>
      <w:r>
        <w:rPr>
          <w:rFonts w:ascii="Trebuchet MS"/>
          <w:color w:val="231F20"/>
          <w:spacing w:val="-2"/>
          <w:w w:val="105"/>
          <w:sz w:val="20"/>
        </w:rPr>
        <w:t>Tourism</w:t>
      </w:r>
    </w:p>
    <w:p w14:paraId="4D0AF8C4" w14:textId="77777777" w:rsidR="00AE0598" w:rsidRDefault="0069255A">
      <w:pPr>
        <w:pStyle w:val="Corpodetexto"/>
        <w:spacing w:before="122" w:line="232" w:lineRule="auto"/>
        <w:ind w:left="223" w:right="220"/>
        <w:jc w:val="both"/>
      </w:pPr>
      <w:r>
        <w:rPr>
          <w:color w:val="231F20"/>
        </w:rPr>
        <w:t>In 2017, the United Nations World Tourism Organisation (UNWTO) announced</w:t>
      </w:r>
      <w:r>
        <w:rPr>
          <w:color w:val="231F20"/>
          <w:spacing w:val="40"/>
        </w:rPr>
        <w:t xml:space="preserve"> </w:t>
      </w:r>
      <w:r>
        <w:rPr>
          <w:color w:val="231F20"/>
        </w:rPr>
        <w:t>that</w:t>
      </w:r>
      <w:r>
        <w:rPr>
          <w:color w:val="231F20"/>
          <w:spacing w:val="40"/>
        </w:rPr>
        <w:t xml:space="preserve"> </w:t>
      </w:r>
      <w:r>
        <w:rPr>
          <w:color w:val="231F20"/>
        </w:rPr>
        <w:t>it</w:t>
      </w:r>
      <w:r>
        <w:rPr>
          <w:color w:val="231F20"/>
          <w:spacing w:val="40"/>
        </w:rPr>
        <w:t xml:space="preserve"> </w:t>
      </w:r>
      <w:r>
        <w:rPr>
          <w:color w:val="231F20"/>
        </w:rPr>
        <w:t>was</w:t>
      </w:r>
      <w:r>
        <w:rPr>
          <w:color w:val="231F20"/>
          <w:spacing w:val="40"/>
        </w:rPr>
        <w:t xml:space="preserve"> </w:t>
      </w:r>
      <w:r>
        <w:rPr>
          <w:color w:val="231F20"/>
        </w:rPr>
        <w:t>preparing</w:t>
      </w:r>
      <w:r>
        <w:rPr>
          <w:color w:val="231F20"/>
          <w:spacing w:val="40"/>
        </w:rPr>
        <w:t xml:space="preserve"> </w:t>
      </w:r>
      <w:r>
        <w:rPr>
          <w:color w:val="231F20"/>
        </w:rPr>
        <w:t>the</w:t>
      </w:r>
      <w:r>
        <w:rPr>
          <w:color w:val="231F20"/>
          <w:spacing w:val="40"/>
        </w:rPr>
        <w:t xml:space="preserve"> </w:t>
      </w:r>
      <w:r>
        <w:rPr>
          <w:color w:val="231F20"/>
        </w:rPr>
        <w:t>UNWTO</w:t>
      </w:r>
      <w:r>
        <w:rPr>
          <w:color w:val="231F20"/>
          <w:spacing w:val="40"/>
        </w:rPr>
        <w:t xml:space="preserve"> </w:t>
      </w:r>
      <w:r>
        <w:rPr>
          <w:color w:val="231F20"/>
        </w:rPr>
        <w:t>Global</w:t>
      </w:r>
      <w:r>
        <w:rPr>
          <w:color w:val="231F20"/>
          <w:spacing w:val="40"/>
        </w:rPr>
        <w:t xml:space="preserve"> </w:t>
      </w:r>
      <w:r>
        <w:rPr>
          <w:color w:val="231F20"/>
        </w:rPr>
        <w:t>Report</w:t>
      </w:r>
      <w:r>
        <w:rPr>
          <w:color w:val="231F20"/>
          <w:spacing w:val="40"/>
        </w:rPr>
        <w:t xml:space="preserve"> </w:t>
      </w:r>
      <w:r>
        <w:rPr>
          <w:color w:val="231F20"/>
        </w:rPr>
        <w:t>on Sport Tourism in a project intended to provide systemic insights into the multifaceted and dynamic links between the sport and tourism</w:t>
      </w:r>
      <w:r>
        <w:rPr>
          <w:color w:val="231F20"/>
        </w:rPr>
        <w:t xml:space="preserve"> sectors. Working in collaboration with the Ostelea School of Tourism and Hospitality (Spain), the report set out to overview the manifold possibilities arising from sport, particularly in terms of economic</w:t>
      </w:r>
      <w:r>
        <w:rPr>
          <w:color w:val="231F20"/>
          <w:spacing w:val="80"/>
          <w:w w:val="150"/>
        </w:rPr>
        <w:t xml:space="preserve"> </w:t>
      </w:r>
      <w:r>
        <w:rPr>
          <w:color w:val="231F20"/>
        </w:rPr>
        <w:t>and socio-cultural development in tourism. Furthe</w:t>
      </w:r>
      <w:r>
        <w:rPr>
          <w:color w:val="231F20"/>
        </w:rPr>
        <w:t>rmore, the report was intended to critically examine the ‘challenges and opportunities inherent</w:t>
      </w:r>
      <w:r>
        <w:rPr>
          <w:color w:val="231F20"/>
          <w:spacing w:val="-7"/>
        </w:rPr>
        <w:t xml:space="preserve"> </w:t>
      </w:r>
      <w:r>
        <w:rPr>
          <w:color w:val="231F20"/>
        </w:rPr>
        <w:t>in</w:t>
      </w:r>
      <w:r>
        <w:rPr>
          <w:color w:val="231F20"/>
          <w:spacing w:val="-7"/>
        </w:rPr>
        <w:t xml:space="preserve"> </w:t>
      </w:r>
      <w:r>
        <w:rPr>
          <w:color w:val="231F20"/>
        </w:rPr>
        <w:t>Sport</w:t>
      </w:r>
      <w:r>
        <w:rPr>
          <w:color w:val="231F20"/>
          <w:spacing w:val="-7"/>
        </w:rPr>
        <w:t xml:space="preserve"> </w:t>
      </w:r>
      <w:r>
        <w:rPr>
          <w:color w:val="231F20"/>
        </w:rPr>
        <w:t>Tourism</w:t>
      </w:r>
      <w:r>
        <w:rPr>
          <w:color w:val="231F20"/>
          <w:spacing w:val="-7"/>
        </w:rPr>
        <w:t xml:space="preserve"> </w:t>
      </w:r>
      <w:r>
        <w:rPr>
          <w:color w:val="231F20"/>
        </w:rPr>
        <w:t>and</w:t>
      </w:r>
      <w:r>
        <w:rPr>
          <w:color w:val="231F20"/>
          <w:spacing w:val="-7"/>
        </w:rPr>
        <w:t xml:space="preserve"> </w:t>
      </w:r>
      <w:r>
        <w:rPr>
          <w:color w:val="231F20"/>
        </w:rPr>
        <w:t>identify</w:t>
      </w:r>
      <w:r>
        <w:rPr>
          <w:color w:val="231F20"/>
          <w:spacing w:val="-7"/>
        </w:rPr>
        <w:t xml:space="preserve"> </w:t>
      </w:r>
      <w:r>
        <w:rPr>
          <w:color w:val="231F20"/>
        </w:rPr>
        <w:t>the</w:t>
      </w:r>
      <w:r>
        <w:rPr>
          <w:color w:val="231F20"/>
          <w:spacing w:val="-7"/>
        </w:rPr>
        <w:t xml:space="preserve"> </w:t>
      </w:r>
      <w:r>
        <w:rPr>
          <w:color w:val="231F20"/>
        </w:rPr>
        <w:t>key</w:t>
      </w:r>
      <w:r>
        <w:rPr>
          <w:color w:val="231F20"/>
          <w:spacing w:val="-7"/>
        </w:rPr>
        <w:t xml:space="preserve"> </w:t>
      </w:r>
      <w:r>
        <w:rPr>
          <w:color w:val="231F20"/>
        </w:rPr>
        <w:t>elements</w:t>
      </w:r>
      <w:r>
        <w:rPr>
          <w:color w:val="231F20"/>
          <w:spacing w:val="-7"/>
        </w:rPr>
        <w:t xml:space="preserve"> </w:t>
      </w:r>
      <w:r>
        <w:rPr>
          <w:color w:val="231F20"/>
        </w:rPr>
        <w:t>necessary</w:t>
      </w:r>
      <w:r>
        <w:rPr>
          <w:color w:val="231F20"/>
          <w:spacing w:val="-7"/>
        </w:rPr>
        <w:t xml:space="preserve"> </w:t>
      </w:r>
      <w:r>
        <w:rPr>
          <w:color w:val="231F20"/>
        </w:rPr>
        <w:t xml:space="preserve">for </w:t>
      </w:r>
      <w:r>
        <w:rPr>
          <w:color w:val="231F20"/>
          <w:w w:val="95"/>
        </w:rPr>
        <w:t xml:space="preserve">the successful design and implementation of development strategies in </w:t>
      </w:r>
      <w:r>
        <w:rPr>
          <w:color w:val="231F20"/>
        </w:rPr>
        <w:t>Sport</w:t>
      </w:r>
      <w:r>
        <w:rPr>
          <w:color w:val="231F20"/>
          <w:spacing w:val="-4"/>
        </w:rPr>
        <w:t xml:space="preserve"> </w:t>
      </w:r>
      <w:r>
        <w:rPr>
          <w:color w:val="231F20"/>
        </w:rPr>
        <w:t>Tourism,</w:t>
      </w:r>
      <w:r>
        <w:rPr>
          <w:color w:val="231F20"/>
          <w:spacing w:val="-4"/>
        </w:rPr>
        <w:t xml:space="preserve"> </w:t>
      </w:r>
      <w:r>
        <w:rPr>
          <w:color w:val="231F20"/>
        </w:rPr>
        <w:t>both</w:t>
      </w:r>
      <w:r>
        <w:rPr>
          <w:color w:val="231F20"/>
          <w:spacing w:val="-4"/>
        </w:rPr>
        <w:t xml:space="preserve"> </w:t>
      </w:r>
      <w:r>
        <w:rPr>
          <w:color w:val="231F20"/>
        </w:rPr>
        <w:t>from</w:t>
      </w:r>
      <w:r>
        <w:rPr>
          <w:color w:val="231F20"/>
          <w:spacing w:val="-4"/>
        </w:rPr>
        <w:t xml:space="preserve"> </w:t>
      </w:r>
      <w:r>
        <w:rPr>
          <w:color w:val="231F20"/>
        </w:rPr>
        <w:t>a</w:t>
      </w:r>
      <w:r>
        <w:rPr>
          <w:color w:val="231F20"/>
          <w:spacing w:val="-4"/>
        </w:rPr>
        <w:t xml:space="preserve"> </w:t>
      </w:r>
      <w:r>
        <w:rPr>
          <w:color w:val="231F20"/>
        </w:rPr>
        <w:t>pu</w:t>
      </w:r>
      <w:r>
        <w:rPr>
          <w:color w:val="231F20"/>
        </w:rPr>
        <w:t>blic</w:t>
      </w:r>
      <w:r>
        <w:rPr>
          <w:color w:val="231F20"/>
          <w:spacing w:val="-4"/>
        </w:rPr>
        <w:t xml:space="preserve"> </w:t>
      </w:r>
      <w:r>
        <w:rPr>
          <w:color w:val="231F20"/>
        </w:rPr>
        <w:t>and</w:t>
      </w:r>
      <w:r>
        <w:rPr>
          <w:color w:val="231F20"/>
          <w:spacing w:val="-4"/>
        </w:rPr>
        <w:t xml:space="preserve"> </w:t>
      </w:r>
      <w:r>
        <w:rPr>
          <w:color w:val="231F20"/>
        </w:rPr>
        <w:t>private</w:t>
      </w:r>
      <w:r>
        <w:rPr>
          <w:color w:val="231F20"/>
          <w:spacing w:val="-4"/>
        </w:rPr>
        <w:t xml:space="preserve"> </w:t>
      </w:r>
      <w:r>
        <w:rPr>
          <w:color w:val="231F20"/>
        </w:rPr>
        <w:t>perspectives’</w:t>
      </w:r>
      <w:r>
        <w:rPr>
          <w:color w:val="231F20"/>
          <w:spacing w:val="-4"/>
        </w:rPr>
        <w:t xml:space="preserve"> </w:t>
      </w:r>
      <w:r>
        <w:rPr>
          <w:color w:val="231F20"/>
        </w:rPr>
        <w:t>(UNWTO, 2017 online). Among other things, the UNWTO Global Report on</w:t>
      </w:r>
      <w:r>
        <w:rPr>
          <w:color w:val="231F20"/>
          <w:spacing w:val="40"/>
        </w:rPr>
        <w:t xml:space="preserve"> </w:t>
      </w:r>
      <w:r>
        <w:rPr>
          <w:color w:val="231F20"/>
        </w:rPr>
        <w:t>Sport Tourism was undertaken to address:</w:t>
      </w:r>
    </w:p>
    <w:p w14:paraId="38F65145" w14:textId="77777777" w:rsidR="00AE0598" w:rsidRDefault="00AE0598">
      <w:pPr>
        <w:pStyle w:val="Corpodetexto"/>
        <w:spacing w:before="10"/>
      </w:pPr>
    </w:p>
    <w:p w14:paraId="5C988447" w14:textId="77777777" w:rsidR="00AE0598" w:rsidRDefault="0069255A">
      <w:pPr>
        <w:pStyle w:val="PargrafodaLista"/>
        <w:numPr>
          <w:ilvl w:val="0"/>
          <w:numId w:val="1"/>
        </w:numPr>
        <w:tabs>
          <w:tab w:val="left" w:pos="744"/>
        </w:tabs>
        <w:spacing w:before="1" w:line="232" w:lineRule="auto"/>
        <w:ind w:right="222"/>
        <w:jc w:val="left"/>
        <w:rPr>
          <w:rFonts w:ascii="Cambria"/>
          <w:sz w:val="21"/>
        </w:rPr>
      </w:pPr>
      <w:r>
        <w:rPr>
          <w:rFonts w:ascii="Cambria"/>
          <w:color w:val="231F20"/>
          <w:sz w:val="21"/>
        </w:rPr>
        <w:t>Local</w:t>
      </w:r>
      <w:r>
        <w:rPr>
          <w:rFonts w:ascii="Cambria"/>
          <w:color w:val="231F20"/>
          <w:spacing w:val="64"/>
          <w:sz w:val="21"/>
        </w:rPr>
        <w:t xml:space="preserve"> </w:t>
      </w:r>
      <w:r>
        <w:rPr>
          <w:rFonts w:ascii="Cambria"/>
          <w:color w:val="231F20"/>
          <w:sz w:val="21"/>
        </w:rPr>
        <w:t>resident</w:t>
      </w:r>
      <w:r>
        <w:rPr>
          <w:rFonts w:ascii="Cambria"/>
          <w:color w:val="231F20"/>
          <w:spacing w:val="64"/>
          <w:sz w:val="21"/>
        </w:rPr>
        <w:t xml:space="preserve"> </w:t>
      </w:r>
      <w:r>
        <w:rPr>
          <w:rFonts w:ascii="Cambria"/>
          <w:color w:val="231F20"/>
          <w:sz w:val="21"/>
        </w:rPr>
        <w:t>participation</w:t>
      </w:r>
      <w:r>
        <w:rPr>
          <w:rFonts w:ascii="Cambria"/>
          <w:color w:val="231F20"/>
          <w:spacing w:val="64"/>
          <w:sz w:val="21"/>
        </w:rPr>
        <w:t xml:space="preserve"> </w:t>
      </w:r>
      <w:r>
        <w:rPr>
          <w:rFonts w:ascii="Cambria"/>
          <w:color w:val="231F20"/>
          <w:sz w:val="21"/>
        </w:rPr>
        <w:t>in</w:t>
      </w:r>
      <w:r>
        <w:rPr>
          <w:rFonts w:ascii="Cambria"/>
          <w:color w:val="231F20"/>
          <w:spacing w:val="64"/>
          <w:sz w:val="21"/>
        </w:rPr>
        <w:t xml:space="preserve"> </w:t>
      </w:r>
      <w:r>
        <w:rPr>
          <w:rFonts w:ascii="Cambria"/>
          <w:color w:val="231F20"/>
          <w:sz w:val="21"/>
        </w:rPr>
        <w:t>the</w:t>
      </w:r>
      <w:r>
        <w:rPr>
          <w:rFonts w:ascii="Cambria"/>
          <w:color w:val="231F20"/>
          <w:spacing w:val="64"/>
          <w:sz w:val="21"/>
        </w:rPr>
        <w:t xml:space="preserve"> </w:t>
      </w:r>
      <w:r>
        <w:rPr>
          <w:rFonts w:ascii="Cambria"/>
          <w:color w:val="231F20"/>
          <w:sz w:val="21"/>
        </w:rPr>
        <w:t>design</w:t>
      </w:r>
      <w:r>
        <w:rPr>
          <w:rFonts w:ascii="Cambria"/>
          <w:color w:val="231F20"/>
          <w:spacing w:val="64"/>
          <w:sz w:val="21"/>
        </w:rPr>
        <w:t xml:space="preserve"> </w:t>
      </w:r>
      <w:r>
        <w:rPr>
          <w:rFonts w:ascii="Cambria"/>
          <w:color w:val="231F20"/>
          <w:sz w:val="21"/>
        </w:rPr>
        <w:t>of</w:t>
      </w:r>
      <w:r>
        <w:rPr>
          <w:rFonts w:ascii="Cambria"/>
          <w:color w:val="231F20"/>
          <w:spacing w:val="64"/>
          <w:sz w:val="21"/>
        </w:rPr>
        <w:t xml:space="preserve"> </w:t>
      </w:r>
      <w:r>
        <w:rPr>
          <w:rFonts w:ascii="Cambria"/>
          <w:color w:val="231F20"/>
          <w:sz w:val="21"/>
        </w:rPr>
        <w:t>sport</w:t>
      </w:r>
      <w:r>
        <w:rPr>
          <w:rFonts w:ascii="Cambria"/>
          <w:color w:val="231F20"/>
          <w:spacing w:val="64"/>
          <w:sz w:val="21"/>
        </w:rPr>
        <w:t xml:space="preserve"> </w:t>
      </w:r>
      <w:r>
        <w:rPr>
          <w:rFonts w:ascii="Cambria"/>
          <w:color w:val="231F20"/>
          <w:sz w:val="21"/>
        </w:rPr>
        <w:t xml:space="preserve">tourism </w:t>
      </w:r>
      <w:r>
        <w:rPr>
          <w:rFonts w:ascii="Cambria"/>
          <w:color w:val="231F20"/>
          <w:spacing w:val="-2"/>
          <w:sz w:val="21"/>
        </w:rPr>
        <w:t>programmes.</w:t>
      </w:r>
    </w:p>
    <w:p w14:paraId="62178B2E" w14:textId="77777777" w:rsidR="00AE0598" w:rsidRDefault="0069255A">
      <w:pPr>
        <w:pStyle w:val="PargrafodaLista"/>
        <w:numPr>
          <w:ilvl w:val="0"/>
          <w:numId w:val="1"/>
        </w:numPr>
        <w:tabs>
          <w:tab w:val="left" w:pos="744"/>
        </w:tabs>
        <w:spacing w:before="2" w:line="232" w:lineRule="auto"/>
        <w:ind w:right="223"/>
        <w:jc w:val="left"/>
        <w:rPr>
          <w:rFonts w:ascii="Cambria"/>
          <w:sz w:val="21"/>
        </w:rPr>
      </w:pPr>
      <w:r>
        <w:rPr>
          <w:rFonts w:ascii="Cambria"/>
          <w:color w:val="231F20"/>
          <w:w w:val="95"/>
          <w:sz w:val="21"/>
        </w:rPr>
        <w:t>Infrastructure</w:t>
      </w:r>
      <w:r>
        <w:rPr>
          <w:rFonts w:ascii="Cambria"/>
          <w:color w:val="231F20"/>
          <w:sz w:val="21"/>
        </w:rPr>
        <w:t xml:space="preserve"> </w:t>
      </w:r>
      <w:r>
        <w:rPr>
          <w:rFonts w:ascii="Cambria"/>
          <w:color w:val="231F20"/>
          <w:w w:val="95"/>
          <w:sz w:val="21"/>
        </w:rPr>
        <w:t>and</w:t>
      </w:r>
      <w:r>
        <w:rPr>
          <w:rFonts w:ascii="Cambria"/>
          <w:color w:val="231F20"/>
          <w:sz w:val="21"/>
        </w:rPr>
        <w:t xml:space="preserve"> </w:t>
      </w:r>
      <w:r>
        <w:rPr>
          <w:rFonts w:ascii="Cambria"/>
          <w:color w:val="231F20"/>
          <w:w w:val="95"/>
          <w:sz w:val="21"/>
        </w:rPr>
        <w:t>facilities</w:t>
      </w:r>
      <w:r>
        <w:rPr>
          <w:rFonts w:ascii="Cambria"/>
          <w:color w:val="231F20"/>
          <w:sz w:val="21"/>
        </w:rPr>
        <w:t xml:space="preserve"> </w:t>
      </w:r>
      <w:r>
        <w:rPr>
          <w:rFonts w:ascii="Cambria"/>
          <w:color w:val="231F20"/>
          <w:w w:val="95"/>
          <w:sz w:val="21"/>
        </w:rPr>
        <w:t>planning</w:t>
      </w:r>
      <w:r>
        <w:rPr>
          <w:rFonts w:ascii="Cambria"/>
          <w:color w:val="231F20"/>
          <w:sz w:val="21"/>
        </w:rPr>
        <w:t xml:space="preserve"> </w:t>
      </w:r>
      <w:r>
        <w:rPr>
          <w:rFonts w:ascii="Cambria"/>
          <w:color w:val="231F20"/>
          <w:w w:val="95"/>
          <w:sz w:val="21"/>
        </w:rPr>
        <w:t>and</w:t>
      </w:r>
      <w:r>
        <w:rPr>
          <w:rFonts w:ascii="Cambria"/>
          <w:color w:val="231F20"/>
          <w:sz w:val="21"/>
        </w:rPr>
        <w:t xml:space="preserve"> </w:t>
      </w:r>
      <w:r>
        <w:rPr>
          <w:rFonts w:ascii="Cambria"/>
          <w:color w:val="231F20"/>
          <w:w w:val="95"/>
          <w:sz w:val="21"/>
        </w:rPr>
        <w:t>development</w:t>
      </w:r>
      <w:r>
        <w:rPr>
          <w:rFonts w:ascii="Cambria"/>
          <w:color w:val="231F20"/>
          <w:sz w:val="21"/>
        </w:rPr>
        <w:t xml:space="preserve"> </w:t>
      </w:r>
      <w:r>
        <w:rPr>
          <w:rFonts w:ascii="Cambria"/>
          <w:color w:val="231F20"/>
          <w:w w:val="95"/>
          <w:sz w:val="21"/>
        </w:rPr>
        <w:t>for</w:t>
      </w:r>
      <w:r>
        <w:rPr>
          <w:rFonts w:ascii="Cambria"/>
          <w:color w:val="231F20"/>
          <w:sz w:val="21"/>
        </w:rPr>
        <w:t xml:space="preserve"> </w:t>
      </w:r>
      <w:r>
        <w:rPr>
          <w:rFonts w:ascii="Cambria"/>
          <w:color w:val="231F20"/>
          <w:w w:val="95"/>
          <w:sz w:val="21"/>
        </w:rPr>
        <w:t>sport</w:t>
      </w:r>
      <w:r>
        <w:rPr>
          <w:rFonts w:ascii="Cambria"/>
          <w:color w:val="231F20"/>
          <w:spacing w:val="40"/>
          <w:sz w:val="21"/>
        </w:rPr>
        <w:t xml:space="preserve"> </w:t>
      </w:r>
      <w:r>
        <w:rPr>
          <w:rFonts w:ascii="Cambria"/>
          <w:color w:val="231F20"/>
          <w:spacing w:val="-2"/>
          <w:sz w:val="21"/>
        </w:rPr>
        <w:t>tourism.</w:t>
      </w:r>
    </w:p>
    <w:p w14:paraId="3C43596D" w14:textId="77777777" w:rsidR="00AE0598" w:rsidRDefault="0069255A">
      <w:pPr>
        <w:pStyle w:val="PargrafodaLista"/>
        <w:numPr>
          <w:ilvl w:val="0"/>
          <w:numId w:val="1"/>
        </w:numPr>
        <w:tabs>
          <w:tab w:val="left" w:pos="744"/>
        </w:tabs>
        <w:spacing w:line="240" w:lineRule="exact"/>
        <w:ind w:hanging="415"/>
        <w:jc w:val="left"/>
        <w:rPr>
          <w:rFonts w:ascii="Cambria"/>
          <w:sz w:val="21"/>
        </w:rPr>
      </w:pPr>
      <w:r>
        <w:rPr>
          <w:rFonts w:ascii="Cambria"/>
          <w:color w:val="231F20"/>
          <w:w w:val="95"/>
          <w:sz w:val="21"/>
        </w:rPr>
        <w:t>Collaboration</w:t>
      </w:r>
      <w:r>
        <w:rPr>
          <w:rFonts w:ascii="Cambria"/>
          <w:color w:val="231F20"/>
          <w:spacing w:val="17"/>
          <w:sz w:val="21"/>
        </w:rPr>
        <w:t xml:space="preserve"> </w:t>
      </w:r>
      <w:r>
        <w:rPr>
          <w:rFonts w:ascii="Cambria"/>
          <w:color w:val="231F20"/>
          <w:w w:val="95"/>
          <w:sz w:val="21"/>
        </w:rPr>
        <w:t>between</w:t>
      </w:r>
      <w:r>
        <w:rPr>
          <w:rFonts w:ascii="Cambria"/>
          <w:color w:val="231F20"/>
          <w:spacing w:val="18"/>
          <w:sz w:val="21"/>
        </w:rPr>
        <w:t xml:space="preserve"> </w:t>
      </w:r>
      <w:r>
        <w:rPr>
          <w:rFonts w:ascii="Cambria"/>
          <w:color w:val="231F20"/>
          <w:w w:val="95"/>
          <w:sz w:val="21"/>
        </w:rPr>
        <w:t>sport</w:t>
      </w:r>
      <w:r>
        <w:rPr>
          <w:rFonts w:ascii="Cambria"/>
          <w:color w:val="231F20"/>
          <w:spacing w:val="18"/>
          <w:sz w:val="21"/>
        </w:rPr>
        <w:t xml:space="preserve"> </w:t>
      </w:r>
      <w:r>
        <w:rPr>
          <w:rFonts w:ascii="Cambria"/>
          <w:color w:val="231F20"/>
          <w:w w:val="95"/>
          <w:sz w:val="21"/>
        </w:rPr>
        <w:t>and</w:t>
      </w:r>
      <w:r>
        <w:rPr>
          <w:rFonts w:ascii="Cambria"/>
          <w:color w:val="231F20"/>
          <w:spacing w:val="18"/>
          <w:sz w:val="21"/>
        </w:rPr>
        <w:t xml:space="preserve"> </w:t>
      </w:r>
      <w:r>
        <w:rPr>
          <w:rFonts w:ascii="Cambria"/>
          <w:color w:val="231F20"/>
          <w:w w:val="95"/>
          <w:sz w:val="21"/>
        </w:rPr>
        <w:t>tourism</w:t>
      </w:r>
      <w:r>
        <w:rPr>
          <w:rFonts w:ascii="Cambria"/>
          <w:color w:val="231F20"/>
          <w:spacing w:val="18"/>
          <w:sz w:val="21"/>
        </w:rPr>
        <w:t xml:space="preserve"> </w:t>
      </w:r>
      <w:r>
        <w:rPr>
          <w:rFonts w:ascii="Cambria"/>
          <w:color w:val="231F20"/>
          <w:spacing w:val="-2"/>
          <w:w w:val="95"/>
          <w:sz w:val="21"/>
        </w:rPr>
        <w:t>agencies.</w:t>
      </w:r>
    </w:p>
    <w:p w14:paraId="7ECA6BC8" w14:textId="77777777" w:rsidR="00AE0598" w:rsidRDefault="0069255A">
      <w:pPr>
        <w:pStyle w:val="PargrafodaLista"/>
        <w:numPr>
          <w:ilvl w:val="0"/>
          <w:numId w:val="1"/>
        </w:numPr>
        <w:tabs>
          <w:tab w:val="left" w:pos="744"/>
        </w:tabs>
        <w:spacing w:line="240" w:lineRule="exact"/>
        <w:ind w:hanging="415"/>
        <w:jc w:val="left"/>
        <w:rPr>
          <w:rFonts w:ascii="Cambria"/>
          <w:sz w:val="21"/>
        </w:rPr>
      </w:pPr>
      <w:r>
        <w:rPr>
          <w:rFonts w:ascii="Cambria"/>
          <w:color w:val="231F20"/>
          <w:w w:val="95"/>
          <w:sz w:val="21"/>
        </w:rPr>
        <w:t>Successful</w:t>
      </w:r>
      <w:r>
        <w:rPr>
          <w:rFonts w:ascii="Cambria"/>
          <w:color w:val="231F20"/>
          <w:spacing w:val="8"/>
          <w:sz w:val="21"/>
        </w:rPr>
        <w:t xml:space="preserve"> </w:t>
      </w:r>
      <w:r>
        <w:rPr>
          <w:rFonts w:ascii="Cambria"/>
          <w:color w:val="231F20"/>
          <w:w w:val="95"/>
          <w:sz w:val="21"/>
        </w:rPr>
        <w:t>PPP</w:t>
      </w:r>
      <w:r>
        <w:rPr>
          <w:rFonts w:ascii="Cambria"/>
          <w:color w:val="231F20"/>
          <w:spacing w:val="9"/>
          <w:sz w:val="21"/>
        </w:rPr>
        <w:t xml:space="preserve"> </w:t>
      </w:r>
      <w:r>
        <w:rPr>
          <w:rFonts w:ascii="Cambria"/>
          <w:color w:val="231F20"/>
          <w:w w:val="95"/>
          <w:sz w:val="21"/>
        </w:rPr>
        <w:t>in</w:t>
      </w:r>
      <w:r>
        <w:rPr>
          <w:rFonts w:ascii="Cambria"/>
          <w:color w:val="231F20"/>
          <w:spacing w:val="8"/>
          <w:sz w:val="21"/>
        </w:rPr>
        <w:t xml:space="preserve"> </w:t>
      </w:r>
      <w:r>
        <w:rPr>
          <w:rFonts w:ascii="Cambria"/>
          <w:color w:val="231F20"/>
          <w:w w:val="95"/>
          <w:sz w:val="21"/>
        </w:rPr>
        <w:t>sport</w:t>
      </w:r>
      <w:r>
        <w:rPr>
          <w:rFonts w:ascii="Cambria"/>
          <w:color w:val="231F20"/>
          <w:spacing w:val="9"/>
          <w:sz w:val="21"/>
        </w:rPr>
        <w:t xml:space="preserve"> </w:t>
      </w:r>
      <w:r>
        <w:rPr>
          <w:rFonts w:ascii="Cambria"/>
          <w:color w:val="231F20"/>
          <w:spacing w:val="-2"/>
          <w:w w:val="95"/>
          <w:sz w:val="21"/>
        </w:rPr>
        <w:t>tourism.</w:t>
      </w:r>
    </w:p>
    <w:p w14:paraId="3695D8E9" w14:textId="77777777" w:rsidR="00AE0598" w:rsidRDefault="0069255A">
      <w:pPr>
        <w:pStyle w:val="PargrafodaLista"/>
        <w:numPr>
          <w:ilvl w:val="0"/>
          <w:numId w:val="1"/>
        </w:numPr>
        <w:tabs>
          <w:tab w:val="left" w:pos="744"/>
        </w:tabs>
        <w:spacing w:line="240" w:lineRule="exact"/>
        <w:ind w:hanging="415"/>
        <w:jc w:val="left"/>
        <w:rPr>
          <w:rFonts w:ascii="Cambria"/>
          <w:sz w:val="21"/>
        </w:rPr>
      </w:pPr>
      <w:r>
        <w:rPr>
          <w:rFonts w:ascii="Cambria"/>
          <w:color w:val="231F20"/>
          <w:w w:val="95"/>
          <w:sz w:val="21"/>
        </w:rPr>
        <w:t>Social</w:t>
      </w:r>
      <w:r>
        <w:rPr>
          <w:rFonts w:ascii="Cambria"/>
          <w:color w:val="231F20"/>
          <w:spacing w:val="12"/>
          <w:sz w:val="21"/>
        </w:rPr>
        <w:t xml:space="preserve"> </w:t>
      </w:r>
      <w:r>
        <w:rPr>
          <w:rFonts w:ascii="Cambria"/>
          <w:color w:val="231F20"/>
          <w:w w:val="95"/>
          <w:sz w:val="21"/>
        </w:rPr>
        <w:t>and</w:t>
      </w:r>
      <w:r>
        <w:rPr>
          <w:rFonts w:ascii="Cambria"/>
          <w:color w:val="231F20"/>
          <w:spacing w:val="12"/>
          <w:sz w:val="21"/>
        </w:rPr>
        <w:t xml:space="preserve"> </w:t>
      </w:r>
      <w:r>
        <w:rPr>
          <w:rFonts w:ascii="Cambria"/>
          <w:color w:val="231F20"/>
          <w:w w:val="95"/>
          <w:sz w:val="21"/>
        </w:rPr>
        <w:t>economic</w:t>
      </w:r>
      <w:r>
        <w:rPr>
          <w:rFonts w:ascii="Cambria"/>
          <w:color w:val="231F20"/>
          <w:spacing w:val="13"/>
          <w:sz w:val="21"/>
        </w:rPr>
        <w:t xml:space="preserve"> </w:t>
      </w:r>
      <w:r>
        <w:rPr>
          <w:rFonts w:ascii="Cambria"/>
          <w:color w:val="231F20"/>
          <w:w w:val="95"/>
          <w:sz w:val="21"/>
        </w:rPr>
        <w:t>development</w:t>
      </w:r>
      <w:r>
        <w:rPr>
          <w:rFonts w:ascii="Cambria"/>
          <w:color w:val="231F20"/>
          <w:spacing w:val="12"/>
          <w:sz w:val="21"/>
        </w:rPr>
        <w:t xml:space="preserve"> </w:t>
      </w:r>
      <w:r>
        <w:rPr>
          <w:rFonts w:ascii="Cambria"/>
          <w:color w:val="231F20"/>
          <w:w w:val="95"/>
          <w:sz w:val="21"/>
        </w:rPr>
        <w:t>through</w:t>
      </w:r>
      <w:r>
        <w:rPr>
          <w:rFonts w:ascii="Cambria"/>
          <w:color w:val="231F20"/>
          <w:spacing w:val="13"/>
          <w:sz w:val="21"/>
        </w:rPr>
        <w:t xml:space="preserve"> </w:t>
      </w:r>
      <w:r>
        <w:rPr>
          <w:rFonts w:ascii="Cambria"/>
          <w:color w:val="231F20"/>
          <w:w w:val="95"/>
          <w:sz w:val="21"/>
        </w:rPr>
        <w:t>sport</w:t>
      </w:r>
      <w:r>
        <w:rPr>
          <w:rFonts w:ascii="Cambria"/>
          <w:color w:val="231F20"/>
          <w:spacing w:val="12"/>
          <w:sz w:val="21"/>
        </w:rPr>
        <w:t xml:space="preserve"> </w:t>
      </w:r>
      <w:r>
        <w:rPr>
          <w:rFonts w:ascii="Cambria"/>
          <w:color w:val="231F20"/>
          <w:spacing w:val="-2"/>
          <w:w w:val="95"/>
          <w:sz w:val="21"/>
        </w:rPr>
        <w:t>activities.</w:t>
      </w:r>
    </w:p>
    <w:p w14:paraId="2DAF22DC" w14:textId="77777777" w:rsidR="00AE0598" w:rsidRDefault="0069255A">
      <w:pPr>
        <w:pStyle w:val="PargrafodaLista"/>
        <w:numPr>
          <w:ilvl w:val="0"/>
          <w:numId w:val="1"/>
        </w:numPr>
        <w:tabs>
          <w:tab w:val="left" w:pos="744"/>
        </w:tabs>
        <w:spacing w:line="240" w:lineRule="exact"/>
        <w:ind w:hanging="415"/>
        <w:jc w:val="left"/>
        <w:rPr>
          <w:rFonts w:ascii="Cambria"/>
          <w:sz w:val="21"/>
        </w:rPr>
      </w:pPr>
      <w:r>
        <w:rPr>
          <w:rFonts w:ascii="Cambria"/>
          <w:color w:val="231F20"/>
          <w:w w:val="95"/>
          <w:sz w:val="21"/>
        </w:rPr>
        <w:t>Sport</w:t>
      </w:r>
      <w:r>
        <w:rPr>
          <w:rFonts w:ascii="Cambria"/>
          <w:color w:val="231F20"/>
          <w:spacing w:val="9"/>
          <w:sz w:val="21"/>
        </w:rPr>
        <w:t xml:space="preserve"> </w:t>
      </w:r>
      <w:r>
        <w:rPr>
          <w:rFonts w:ascii="Cambria"/>
          <w:color w:val="231F20"/>
          <w:w w:val="95"/>
          <w:sz w:val="21"/>
        </w:rPr>
        <w:t>tourism</w:t>
      </w:r>
      <w:r>
        <w:rPr>
          <w:rFonts w:ascii="Cambria"/>
          <w:color w:val="231F20"/>
          <w:spacing w:val="10"/>
          <w:sz w:val="21"/>
        </w:rPr>
        <w:t xml:space="preserve"> </w:t>
      </w:r>
      <w:r>
        <w:rPr>
          <w:rFonts w:ascii="Cambria"/>
          <w:color w:val="231F20"/>
          <w:w w:val="95"/>
          <w:sz w:val="21"/>
        </w:rPr>
        <w:t>activities</w:t>
      </w:r>
      <w:r>
        <w:rPr>
          <w:rFonts w:ascii="Cambria"/>
          <w:color w:val="231F20"/>
          <w:spacing w:val="10"/>
          <w:sz w:val="21"/>
        </w:rPr>
        <w:t xml:space="preserve"> </w:t>
      </w:r>
      <w:r>
        <w:rPr>
          <w:rFonts w:ascii="Cambria"/>
          <w:color w:val="231F20"/>
          <w:w w:val="95"/>
          <w:sz w:val="21"/>
        </w:rPr>
        <w:t>as</w:t>
      </w:r>
      <w:r>
        <w:rPr>
          <w:rFonts w:ascii="Cambria"/>
          <w:color w:val="231F20"/>
          <w:spacing w:val="10"/>
          <w:sz w:val="21"/>
        </w:rPr>
        <w:t xml:space="preserve"> </w:t>
      </w:r>
      <w:r>
        <w:rPr>
          <w:rFonts w:ascii="Cambria"/>
          <w:color w:val="231F20"/>
          <w:w w:val="95"/>
          <w:sz w:val="21"/>
        </w:rPr>
        <w:t>a</w:t>
      </w:r>
      <w:r>
        <w:rPr>
          <w:rFonts w:ascii="Cambria"/>
          <w:color w:val="231F20"/>
          <w:spacing w:val="10"/>
          <w:sz w:val="21"/>
        </w:rPr>
        <w:t xml:space="preserve"> </w:t>
      </w:r>
      <w:r>
        <w:rPr>
          <w:rFonts w:ascii="Cambria"/>
          <w:color w:val="231F20"/>
          <w:w w:val="95"/>
          <w:sz w:val="21"/>
        </w:rPr>
        <w:t>driver</w:t>
      </w:r>
      <w:r>
        <w:rPr>
          <w:rFonts w:ascii="Cambria"/>
          <w:color w:val="231F20"/>
          <w:spacing w:val="10"/>
          <w:sz w:val="21"/>
        </w:rPr>
        <w:t xml:space="preserve"> </w:t>
      </w:r>
      <w:r>
        <w:rPr>
          <w:rFonts w:ascii="Cambria"/>
          <w:color w:val="231F20"/>
          <w:w w:val="95"/>
          <w:sz w:val="21"/>
        </w:rPr>
        <w:t>of</w:t>
      </w:r>
      <w:r>
        <w:rPr>
          <w:rFonts w:ascii="Cambria"/>
          <w:color w:val="231F20"/>
          <w:spacing w:val="10"/>
          <w:sz w:val="21"/>
        </w:rPr>
        <w:t xml:space="preserve"> </w:t>
      </w:r>
      <w:r>
        <w:rPr>
          <w:rFonts w:ascii="Cambria"/>
          <w:color w:val="231F20"/>
          <w:w w:val="95"/>
          <w:sz w:val="21"/>
        </w:rPr>
        <w:t>local</w:t>
      </w:r>
      <w:r>
        <w:rPr>
          <w:rFonts w:ascii="Cambria"/>
          <w:color w:val="231F20"/>
          <w:spacing w:val="10"/>
          <w:sz w:val="21"/>
        </w:rPr>
        <w:t xml:space="preserve"> </w:t>
      </w:r>
      <w:r>
        <w:rPr>
          <w:rFonts w:ascii="Cambria"/>
          <w:color w:val="231F20"/>
          <w:spacing w:val="-2"/>
          <w:w w:val="95"/>
          <w:sz w:val="21"/>
        </w:rPr>
        <w:t>development.</w:t>
      </w:r>
    </w:p>
    <w:p w14:paraId="32D91EF3" w14:textId="77777777" w:rsidR="00AE0598" w:rsidRDefault="0069255A">
      <w:pPr>
        <w:pStyle w:val="PargrafodaLista"/>
        <w:numPr>
          <w:ilvl w:val="0"/>
          <w:numId w:val="1"/>
        </w:numPr>
        <w:tabs>
          <w:tab w:val="left" w:pos="744"/>
        </w:tabs>
        <w:spacing w:line="240" w:lineRule="exact"/>
        <w:ind w:hanging="418"/>
        <w:jc w:val="left"/>
        <w:rPr>
          <w:rFonts w:ascii="Cambria"/>
          <w:sz w:val="21"/>
        </w:rPr>
      </w:pPr>
      <w:r>
        <w:rPr>
          <w:rFonts w:ascii="Cambria"/>
          <w:color w:val="231F20"/>
          <w:w w:val="90"/>
          <w:sz w:val="21"/>
        </w:rPr>
        <w:t>Sport</w:t>
      </w:r>
      <w:r>
        <w:rPr>
          <w:rFonts w:ascii="Cambria"/>
          <w:color w:val="231F20"/>
          <w:spacing w:val="2"/>
          <w:sz w:val="21"/>
        </w:rPr>
        <w:t xml:space="preserve"> </w:t>
      </w:r>
      <w:r>
        <w:rPr>
          <w:rFonts w:ascii="Cambria"/>
          <w:color w:val="231F20"/>
          <w:w w:val="90"/>
          <w:sz w:val="21"/>
        </w:rPr>
        <w:t>tourism</w:t>
      </w:r>
      <w:r>
        <w:rPr>
          <w:rFonts w:ascii="Cambria"/>
          <w:color w:val="231F20"/>
          <w:spacing w:val="3"/>
          <w:sz w:val="21"/>
        </w:rPr>
        <w:t xml:space="preserve"> </w:t>
      </w:r>
      <w:r>
        <w:rPr>
          <w:rFonts w:ascii="Cambria"/>
          <w:color w:val="231F20"/>
          <w:w w:val="90"/>
          <w:sz w:val="21"/>
        </w:rPr>
        <w:t>and</w:t>
      </w:r>
      <w:r>
        <w:rPr>
          <w:rFonts w:ascii="Cambria"/>
          <w:color w:val="231F20"/>
          <w:spacing w:val="3"/>
          <w:sz w:val="21"/>
        </w:rPr>
        <w:t xml:space="preserve"> </w:t>
      </w:r>
      <w:r>
        <w:rPr>
          <w:rFonts w:ascii="Cambria"/>
          <w:color w:val="231F20"/>
          <w:w w:val="90"/>
          <w:sz w:val="21"/>
        </w:rPr>
        <w:t>overcoming</w:t>
      </w:r>
      <w:r>
        <w:rPr>
          <w:rFonts w:ascii="Cambria"/>
          <w:color w:val="231F20"/>
          <w:spacing w:val="3"/>
          <w:sz w:val="21"/>
        </w:rPr>
        <w:t xml:space="preserve"> </w:t>
      </w:r>
      <w:r>
        <w:rPr>
          <w:rFonts w:ascii="Cambria"/>
          <w:color w:val="231F20"/>
          <w:w w:val="90"/>
          <w:sz w:val="21"/>
        </w:rPr>
        <w:t>seasonality</w:t>
      </w:r>
      <w:r>
        <w:rPr>
          <w:rFonts w:ascii="Cambria"/>
          <w:color w:val="231F20"/>
          <w:spacing w:val="3"/>
          <w:sz w:val="21"/>
        </w:rPr>
        <w:t xml:space="preserve"> </w:t>
      </w:r>
      <w:r>
        <w:rPr>
          <w:rFonts w:ascii="Cambria"/>
          <w:color w:val="231F20"/>
          <w:w w:val="90"/>
          <w:sz w:val="21"/>
        </w:rPr>
        <w:t>challenges</w:t>
      </w:r>
      <w:r>
        <w:rPr>
          <w:rFonts w:ascii="Cambria"/>
          <w:color w:val="231F20"/>
          <w:spacing w:val="3"/>
          <w:sz w:val="21"/>
        </w:rPr>
        <w:t xml:space="preserve"> </w:t>
      </w:r>
      <w:r>
        <w:rPr>
          <w:rFonts w:ascii="Cambria"/>
          <w:color w:val="231F20"/>
          <w:w w:val="90"/>
          <w:sz w:val="21"/>
        </w:rPr>
        <w:t>at</w:t>
      </w:r>
      <w:r>
        <w:rPr>
          <w:rFonts w:ascii="Cambria"/>
          <w:color w:val="231F20"/>
          <w:spacing w:val="3"/>
          <w:sz w:val="21"/>
        </w:rPr>
        <w:t xml:space="preserve"> </w:t>
      </w:r>
      <w:r>
        <w:rPr>
          <w:rFonts w:ascii="Cambria"/>
          <w:color w:val="231F20"/>
          <w:spacing w:val="-2"/>
          <w:w w:val="90"/>
          <w:sz w:val="21"/>
        </w:rPr>
        <w:t>destinations.</w:t>
      </w:r>
    </w:p>
    <w:p w14:paraId="4E851FA0" w14:textId="77777777" w:rsidR="00AE0598" w:rsidRDefault="0069255A">
      <w:pPr>
        <w:pStyle w:val="PargrafodaLista"/>
        <w:numPr>
          <w:ilvl w:val="0"/>
          <w:numId w:val="1"/>
        </w:numPr>
        <w:tabs>
          <w:tab w:val="left" w:pos="744"/>
        </w:tabs>
        <w:spacing w:before="3" w:line="232" w:lineRule="auto"/>
        <w:ind w:right="221" w:hanging="415"/>
        <w:jc w:val="left"/>
        <w:rPr>
          <w:rFonts w:ascii="Cambria"/>
          <w:sz w:val="21"/>
        </w:rPr>
      </w:pPr>
      <w:r>
        <w:rPr>
          <w:rFonts w:ascii="Cambria"/>
          <w:color w:val="231F20"/>
          <w:sz w:val="21"/>
        </w:rPr>
        <w:t>Sport</w:t>
      </w:r>
      <w:r>
        <w:rPr>
          <w:rFonts w:ascii="Cambria"/>
          <w:color w:val="231F20"/>
          <w:spacing w:val="56"/>
          <w:sz w:val="21"/>
        </w:rPr>
        <w:t xml:space="preserve"> </w:t>
      </w:r>
      <w:r>
        <w:rPr>
          <w:rFonts w:ascii="Cambria"/>
          <w:color w:val="231F20"/>
          <w:sz w:val="21"/>
        </w:rPr>
        <w:t>tourism</w:t>
      </w:r>
      <w:r>
        <w:rPr>
          <w:rFonts w:ascii="Cambria"/>
          <w:color w:val="231F20"/>
          <w:spacing w:val="57"/>
          <w:sz w:val="21"/>
        </w:rPr>
        <w:t xml:space="preserve"> </w:t>
      </w:r>
      <w:r>
        <w:rPr>
          <w:rFonts w:ascii="Cambria"/>
          <w:color w:val="231F20"/>
          <w:sz w:val="21"/>
        </w:rPr>
        <w:t>and</w:t>
      </w:r>
      <w:r>
        <w:rPr>
          <w:rFonts w:ascii="Cambria"/>
          <w:color w:val="231F20"/>
          <w:spacing w:val="56"/>
          <w:sz w:val="21"/>
        </w:rPr>
        <w:t xml:space="preserve"> </w:t>
      </w:r>
      <w:r>
        <w:rPr>
          <w:rFonts w:ascii="Cambria"/>
          <w:color w:val="231F20"/>
          <w:sz w:val="21"/>
        </w:rPr>
        <w:t>sustainability:</w:t>
      </w:r>
      <w:r>
        <w:rPr>
          <w:rFonts w:ascii="Cambria"/>
          <w:color w:val="231F20"/>
          <w:spacing w:val="57"/>
          <w:sz w:val="21"/>
        </w:rPr>
        <w:t xml:space="preserve"> </w:t>
      </w:r>
      <w:r>
        <w:rPr>
          <w:rFonts w:ascii="Cambria"/>
          <w:color w:val="231F20"/>
          <w:sz w:val="21"/>
        </w:rPr>
        <w:t>overcoming</w:t>
      </w:r>
      <w:r>
        <w:rPr>
          <w:rFonts w:ascii="Cambria"/>
          <w:color w:val="231F20"/>
          <w:spacing w:val="57"/>
          <w:sz w:val="21"/>
        </w:rPr>
        <w:t xml:space="preserve"> </w:t>
      </w:r>
      <w:r>
        <w:rPr>
          <w:rFonts w:ascii="Cambria"/>
          <w:color w:val="231F20"/>
          <w:sz w:val="21"/>
        </w:rPr>
        <w:t xml:space="preserve">environmental </w:t>
      </w:r>
      <w:r>
        <w:rPr>
          <w:rFonts w:ascii="Cambria"/>
          <w:color w:val="231F20"/>
          <w:spacing w:val="-2"/>
          <w:sz w:val="21"/>
        </w:rPr>
        <w:t>degradation.</w:t>
      </w:r>
    </w:p>
    <w:p w14:paraId="641B24AD" w14:textId="77777777" w:rsidR="00AE0598" w:rsidRDefault="0069255A">
      <w:pPr>
        <w:pStyle w:val="PargrafodaLista"/>
        <w:numPr>
          <w:ilvl w:val="0"/>
          <w:numId w:val="1"/>
        </w:numPr>
        <w:tabs>
          <w:tab w:val="left" w:pos="745"/>
        </w:tabs>
        <w:spacing w:before="2" w:line="232" w:lineRule="auto"/>
        <w:ind w:right="222"/>
        <w:jc w:val="left"/>
        <w:rPr>
          <w:rFonts w:ascii="Cambria"/>
          <w:sz w:val="21"/>
        </w:rPr>
      </w:pPr>
      <w:r>
        <w:rPr>
          <w:rFonts w:ascii="Cambria"/>
          <w:color w:val="231F20"/>
          <w:w w:val="95"/>
          <w:sz w:val="21"/>
        </w:rPr>
        <w:t xml:space="preserve">Small-scale sport tourism activities and events as mechanisms of </w:t>
      </w:r>
      <w:r>
        <w:rPr>
          <w:rFonts w:ascii="Cambria"/>
          <w:color w:val="231F20"/>
          <w:sz w:val="21"/>
        </w:rPr>
        <w:t>local economic development and local identity building.</w:t>
      </w:r>
    </w:p>
    <w:p w14:paraId="005ADBBD" w14:textId="77777777" w:rsidR="00AE0598" w:rsidRDefault="0069255A">
      <w:pPr>
        <w:pStyle w:val="PargrafodaLista"/>
        <w:numPr>
          <w:ilvl w:val="0"/>
          <w:numId w:val="1"/>
        </w:numPr>
        <w:tabs>
          <w:tab w:val="left" w:pos="724"/>
        </w:tabs>
        <w:spacing w:before="3" w:line="232" w:lineRule="auto"/>
        <w:ind w:left="723" w:right="222" w:hanging="501"/>
        <w:jc w:val="left"/>
        <w:rPr>
          <w:rFonts w:ascii="Cambria"/>
          <w:sz w:val="21"/>
        </w:rPr>
      </w:pPr>
      <w:r>
        <w:rPr>
          <w:rFonts w:ascii="Cambria"/>
          <w:color w:val="231F20"/>
          <w:sz w:val="21"/>
        </w:rPr>
        <w:t>New</w:t>
      </w:r>
      <w:r>
        <w:rPr>
          <w:rFonts w:ascii="Cambria"/>
          <w:color w:val="231F20"/>
          <w:spacing w:val="26"/>
          <w:sz w:val="21"/>
        </w:rPr>
        <w:t xml:space="preserve"> </w:t>
      </w:r>
      <w:r>
        <w:rPr>
          <w:rFonts w:ascii="Cambria"/>
          <w:color w:val="231F20"/>
          <w:sz w:val="21"/>
        </w:rPr>
        <w:t>trends</w:t>
      </w:r>
      <w:r>
        <w:rPr>
          <w:rFonts w:ascii="Cambria"/>
          <w:color w:val="231F20"/>
          <w:spacing w:val="26"/>
          <w:sz w:val="21"/>
        </w:rPr>
        <w:t xml:space="preserve"> </w:t>
      </w:r>
      <w:r>
        <w:rPr>
          <w:rFonts w:ascii="Cambria"/>
          <w:color w:val="231F20"/>
          <w:sz w:val="21"/>
        </w:rPr>
        <w:t>and</w:t>
      </w:r>
      <w:r>
        <w:rPr>
          <w:rFonts w:ascii="Cambria"/>
          <w:color w:val="231F20"/>
          <w:spacing w:val="26"/>
          <w:sz w:val="21"/>
        </w:rPr>
        <w:t xml:space="preserve"> </w:t>
      </w:r>
      <w:r>
        <w:rPr>
          <w:rFonts w:ascii="Cambria"/>
          <w:color w:val="231F20"/>
          <w:sz w:val="21"/>
        </w:rPr>
        <w:t>emerging</w:t>
      </w:r>
      <w:r>
        <w:rPr>
          <w:rFonts w:ascii="Cambria"/>
          <w:color w:val="231F20"/>
          <w:spacing w:val="26"/>
          <w:sz w:val="21"/>
        </w:rPr>
        <w:t xml:space="preserve"> </w:t>
      </w:r>
      <w:r>
        <w:rPr>
          <w:rFonts w:ascii="Cambria"/>
          <w:color w:val="231F20"/>
          <w:sz w:val="21"/>
        </w:rPr>
        <w:t>markets</w:t>
      </w:r>
      <w:r>
        <w:rPr>
          <w:rFonts w:ascii="Cambria"/>
          <w:color w:val="231F20"/>
          <w:spacing w:val="26"/>
          <w:sz w:val="21"/>
        </w:rPr>
        <w:t xml:space="preserve"> </w:t>
      </w:r>
      <w:r>
        <w:rPr>
          <w:rFonts w:ascii="Cambria"/>
          <w:color w:val="231F20"/>
          <w:sz w:val="21"/>
        </w:rPr>
        <w:t>in</w:t>
      </w:r>
      <w:r>
        <w:rPr>
          <w:rFonts w:ascii="Cambria"/>
          <w:color w:val="231F20"/>
          <w:spacing w:val="26"/>
          <w:sz w:val="21"/>
        </w:rPr>
        <w:t xml:space="preserve"> </w:t>
      </w:r>
      <w:r>
        <w:rPr>
          <w:rFonts w:ascii="Cambria"/>
          <w:color w:val="231F20"/>
          <w:sz w:val="21"/>
        </w:rPr>
        <w:t>sport</w:t>
      </w:r>
      <w:r>
        <w:rPr>
          <w:rFonts w:ascii="Cambria"/>
          <w:color w:val="231F20"/>
          <w:spacing w:val="26"/>
          <w:sz w:val="21"/>
        </w:rPr>
        <w:t xml:space="preserve"> </w:t>
      </w:r>
      <w:r>
        <w:rPr>
          <w:rFonts w:ascii="Cambria"/>
          <w:color w:val="231F20"/>
          <w:sz w:val="21"/>
        </w:rPr>
        <w:t>tourism</w:t>
      </w:r>
      <w:r>
        <w:rPr>
          <w:rFonts w:ascii="Cambria"/>
          <w:color w:val="231F20"/>
          <w:spacing w:val="26"/>
          <w:sz w:val="21"/>
        </w:rPr>
        <w:t xml:space="preserve"> </w:t>
      </w:r>
      <w:r>
        <w:rPr>
          <w:rFonts w:ascii="Cambria"/>
          <w:color w:val="231F20"/>
          <w:sz w:val="21"/>
        </w:rPr>
        <w:t>(e.g.</w:t>
      </w:r>
      <w:r>
        <w:rPr>
          <w:rFonts w:ascii="Cambria"/>
          <w:color w:val="231F20"/>
          <w:spacing w:val="26"/>
          <w:sz w:val="21"/>
        </w:rPr>
        <w:t xml:space="preserve"> </w:t>
      </w:r>
      <w:r>
        <w:rPr>
          <w:rFonts w:ascii="Cambria"/>
          <w:color w:val="231F20"/>
          <w:sz w:val="21"/>
        </w:rPr>
        <w:t>surf, drones, yoga, extreme sports, invention of new styles of sports).</w:t>
      </w:r>
    </w:p>
    <w:p w14:paraId="38ACA1CD" w14:textId="77777777" w:rsidR="00AE0598" w:rsidRDefault="0069255A">
      <w:pPr>
        <w:pStyle w:val="PargrafodaLista"/>
        <w:numPr>
          <w:ilvl w:val="0"/>
          <w:numId w:val="1"/>
        </w:numPr>
        <w:tabs>
          <w:tab w:val="left" w:pos="724"/>
        </w:tabs>
        <w:spacing w:before="2" w:line="232" w:lineRule="auto"/>
        <w:ind w:left="723" w:right="221" w:hanging="501"/>
        <w:jc w:val="left"/>
        <w:rPr>
          <w:rFonts w:ascii="Cambria"/>
          <w:sz w:val="21"/>
        </w:rPr>
      </w:pPr>
      <w:r>
        <w:rPr>
          <w:rFonts w:ascii="Cambria"/>
          <w:color w:val="231F20"/>
          <w:sz w:val="21"/>
        </w:rPr>
        <w:t>Diversif</w:t>
      </w:r>
      <w:r>
        <w:rPr>
          <w:rFonts w:ascii="Cambria"/>
          <w:color w:val="231F20"/>
          <w:sz w:val="21"/>
        </w:rPr>
        <w:t>ication</w:t>
      </w:r>
      <w:r>
        <w:rPr>
          <w:rFonts w:ascii="Cambria"/>
          <w:color w:val="231F20"/>
          <w:spacing w:val="80"/>
          <w:sz w:val="21"/>
        </w:rPr>
        <w:t xml:space="preserve"> </w:t>
      </w:r>
      <w:r>
        <w:rPr>
          <w:rFonts w:ascii="Cambria"/>
          <w:color w:val="231F20"/>
          <w:sz w:val="21"/>
        </w:rPr>
        <w:t>of</w:t>
      </w:r>
      <w:r>
        <w:rPr>
          <w:rFonts w:ascii="Cambria"/>
          <w:color w:val="231F20"/>
          <w:spacing w:val="80"/>
          <w:sz w:val="21"/>
        </w:rPr>
        <w:t xml:space="preserve"> </w:t>
      </w:r>
      <w:r>
        <w:rPr>
          <w:rFonts w:ascii="Cambria"/>
          <w:color w:val="231F20"/>
          <w:sz w:val="21"/>
        </w:rPr>
        <w:t>products</w:t>
      </w:r>
      <w:r>
        <w:rPr>
          <w:rFonts w:ascii="Cambria"/>
          <w:color w:val="231F20"/>
          <w:spacing w:val="80"/>
          <w:sz w:val="21"/>
        </w:rPr>
        <w:t xml:space="preserve"> </w:t>
      </w:r>
      <w:r>
        <w:rPr>
          <w:rFonts w:ascii="Cambria"/>
          <w:color w:val="231F20"/>
          <w:sz w:val="21"/>
        </w:rPr>
        <w:t>and</w:t>
      </w:r>
      <w:r>
        <w:rPr>
          <w:rFonts w:ascii="Cambria"/>
          <w:color w:val="231F20"/>
          <w:spacing w:val="80"/>
          <w:sz w:val="21"/>
        </w:rPr>
        <w:t xml:space="preserve"> </w:t>
      </w:r>
      <w:r>
        <w:rPr>
          <w:rFonts w:ascii="Cambria"/>
          <w:color w:val="231F20"/>
          <w:sz w:val="21"/>
        </w:rPr>
        <w:t>destinations</w:t>
      </w:r>
      <w:r>
        <w:rPr>
          <w:rFonts w:ascii="Cambria"/>
          <w:color w:val="231F20"/>
          <w:spacing w:val="80"/>
          <w:sz w:val="21"/>
        </w:rPr>
        <w:t xml:space="preserve"> </w:t>
      </w:r>
      <w:r>
        <w:rPr>
          <w:rFonts w:ascii="Cambria"/>
          <w:color w:val="231F20"/>
          <w:sz w:val="21"/>
        </w:rPr>
        <w:t>through</w:t>
      </w:r>
      <w:r>
        <w:rPr>
          <w:rFonts w:ascii="Cambria"/>
          <w:color w:val="231F20"/>
          <w:spacing w:val="80"/>
          <w:sz w:val="21"/>
        </w:rPr>
        <w:t xml:space="preserve"> </w:t>
      </w:r>
      <w:r>
        <w:rPr>
          <w:rFonts w:ascii="Cambria"/>
          <w:color w:val="231F20"/>
          <w:sz w:val="21"/>
        </w:rPr>
        <w:t xml:space="preserve">sport </w:t>
      </w:r>
      <w:r>
        <w:rPr>
          <w:rFonts w:ascii="Cambria"/>
          <w:color w:val="231F20"/>
          <w:spacing w:val="-2"/>
          <w:sz w:val="21"/>
        </w:rPr>
        <w:t>tourism.</w:t>
      </w:r>
    </w:p>
    <w:p w14:paraId="51C7FB88" w14:textId="77777777" w:rsidR="00AE0598" w:rsidRDefault="0069255A">
      <w:pPr>
        <w:pStyle w:val="PargrafodaLista"/>
        <w:numPr>
          <w:ilvl w:val="0"/>
          <w:numId w:val="1"/>
        </w:numPr>
        <w:tabs>
          <w:tab w:val="left" w:pos="724"/>
        </w:tabs>
        <w:spacing w:line="240" w:lineRule="exact"/>
        <w:ind w:left="723" w:hanging="501"/>
        <w:jc w:val="left"/>
        <w:rPr>
          <w:rFonts w:ascii="Cambria"/>
          <w:sz w:val="21"/>
        </w:rPr>
      </w:pPr>
      <w:r>
        <w:rPr>
          <w:rFonts w:ascii="Cambria"/>
          <w:color w:val="231F20"/>
          <w:w w:val="95"/>
          <w:sz w:val="21"/>
        </w:rPr>
        <w:t>Destination</w:t>
      </w:r>
      <w:r>
        <w:rPr>
          <w:rFonts w:ascii="Cambria"/>
          <w:color w:val="231F20"/>
          <w:spacing w:val="16"/>
          <w:sz w:val="21"/>
        </w:rPr>
        <w:t xml:space="preserve"> </w:t>
      </w:r>
      <w:r>
        <w:rPr>
          <w:rFonts w:ascii="Cambria"/>
          <w:color w:val="231F20"/>
          <w:w w:val="95"/>
          <w:sz w:val="21"/>
        </w:rPr>
        <w:t>branding</w:t>
      </w:r>
      <w:r>
        <w:rPr>
          <w:rFonts w:ascii="Cambria"/>
          <w:color w:val="231F20"/>
          <w:spacing w:val="16"/>
          <w:sz w:val="21"/>
        </w:rPr>
        <w:t xml:space="preserve"> </w:t>
      </w:r>
      <w:r>
        <w:rPr>
          <w:rFonts w:ascii="Cambria"/>
          <w:color w:val="231F20"/>
          <w:w w:val="95"/>
          <w:sz w:val="21"/>
        </w:rPr>
        <w:t>and</w:t>
      </w:r>
      <w:r>
        <w:rPr>
          <w:rFonts w:ascii="Cambria"/>
          <w:color w:val="231F20"/>
          <w:spacing w:val="16"/>
          <w:sz w:val="21"/>
        </w:rPr>
        <w:t xml:space="preserve"> </w:t>
      </w:r>
      <w:r>
        <w:rPr>
          <w:rFonts w:ascii="Cambria"/>
          <w:color w:val="231F20"/>
          <w:w w:val="95"/>
          <w:sz w:val="21"/>
        </w:rPr>
        <w:t>sport</w:t>
      </w:r>
      <w:r>
        <w:rPr>
          <w:rFonts w:ascii="Cambria"/>
          <w:color w:val="231F20"/>
          <w:spacing w:val="16"/>
          <w:sz w:val="21"/>
        </w:rPr>
        <w:t xml:space="preserve"> </w:t>
      </w:r>
      <w:r>
        <w:rPr>
          <w:rFonts w:ascii="Cambria"/>
          <w:color w:val="231F20"/>
          <w:w w:val="95"/>
          <w:sz w:val="21"/>
        </w:rPr>
        <w:t>tourism</w:t>
      </w:r>
      <w:r>
        <w:rPr>
          <w:rFonts w:ascii="Cambria"/>
          <w:color w:val="231F20"/>
          <w:spacing w:val="16"/>
          <w:sz w:val="21"/>
        </w:rPr>
        <w:t xml:space="preserve"> </w:t>
      </w:r>
      <w:r>
        <w:rPr>
          <w:rFonts w:ascii="Cambria"/>
          <w:color w:val="231F20"/>
          <w:spacing w:val="-2"/>
          <w:w w:val="95"/>
          <w:sz w:val="21"/>
        </w:rPr>
        <w:t>markets.</w:t>
      </w:r>
    </w:p>
    <w:p w14:paraId="00097244" w14:textId="77777777" w:rsidR="00AE0598" w:rsidRDefault="0069255A">
      <w:pPr>
        <w:pStyle w:val="PargrafodaLista"/>
        <w:numPr>
          <w:ilvl w:val="0"/>
          <w:numId w:val="1"/>
        </w:numPr>
        <w:tabs>
          <w:tab w:val="left" w:pos="724"/>
        </w:tabs>
        <w:spacing w:line="240" w:lineRule="exact"/>
        <w:ind w:left="723" w:hanging="501"/>
        <w:jc w:val="left"/>
        <w:rPr>
          <w:rFonts w:ascii="Cambria"/>
          <w:sz w:val="21"/>
        </w:rPr>
      </w:pPr>
      <w:r>
        <w:rPr>
          <w:rFonts w:ascii="Cambria"/>
          <w:color w:val="231F20"/>
          <w:w w:val="95"/>
          <w:sz w:val="21"/>
        </w:rPr>
        <w:t>Sport</w:t>
      </w:r>
      <w:r>
        <w:rPr>
          <w:rFonts w:ascii="Cambria"/>
          <w:color w:val="231F20"/>
          <w:spacing w:val="9"/>
          <w:sz w:val="21"/>
        </w:rPr>
        <w:t xml:space="preserve"> </w:t>
      </w:r>
      <w:r>
        <w:rPr>
          <w:rFonts w:ascii="Cambria"/>
          <w:color w:val="231F20"/>
          <w:w w:val="95"/>
          <w:sz w:val="21"/>
        </w:rPr>
        <w:t>tourism</w:t>
      </w:r>
      <w:r>
        <w:rPr>
          <w:rFonts w:ascii="Cambria"/>
          <w:color w:val="231F20"/>
          <w:spacing w:val="10"/>
          <w:sz w:val="21"/>
        </w:rPr>
        <w:t xml:space="preserve"> </w:t>
      </w:r>
      <w:r>
        <w:rPr>
          <w:rFonts w:ascii="Cambria"/>
          <w:color w:val="231F20"/>
          <w:w w:val="95"/>
          <w:sz w:val="21"/>
        </w:rPr>
        <w:t>and</w:t>
      </w:r>
      <w:r>
        <w:rPr>
          <w:rFonts w:ascii="Cambria"/>
          <w:color w:val="231F20"/>
          <w:spacing w:val="10"/>
          <w:sz w:val="21"/>
        </w:rPr>
        <w:t xml:space="preserve"> </w:t>
      </w:r>
      <w:r>
        <w:rPr>
          <w:rFonts w:ascii="Cambria"/>
          <w:color w:val="231F20"/>
          <w:w w:val="95"/>
          <w:sz w:val="21"/>
        </w:rPr>
        <w:t>experiences</w:t>
      </w:r>
      <w:r>
        <w:rPr>
          <w:rFonts w:ascii="Cambria"/>
          <w:color w:val="231F20"/>
          <w:spacing w:val="10"/>
          <w:sz w:val="21"/>
        </w:rPr>
        <w:t xml:space="preserve"> </w:t>
      </w:r>
      <w:r>
        <w:rPr>
          <w:rFonts w:ascii="Cambria"/>
          <w:color w:val="231F20"/>
          <w:w w:val="95"/>
          <w:sz w:val="21"/>
        </w:rPr>
        <w:t>of</w:t>
      </w:r>
      <w:r>
        <w:rPr>
          <w:rFonts w:ascii="Cambria"/>
          <w:color w:val="231F20"/>
          <w:spacing w:val="10"/>
          <w:sz w:val="21"/>
        </w:rPr>
        <w:t xml:space="preserve"> </w:t>
      </w:r>
      <w:r>
        <w:rPr>
          <w:rFonts w:ascii="Cambria"/>
          <w:color w:val="231F20"/>
          <w:w w:val="95"/>
          <w:sz w:val="21"/>
        </w:rPr>
        <w:t>culture</w:t>
      </w:r>
      <w:r>
        <w:rPr>
          <w:rFonts w:ascii="Cambria"/>
          <w:color w:val="231F20"/>
          <w:spacing w:val="10"/>
          <w:sz w:val="21"/>
        </w:rPr>
        <w:t xml:space="preserve"> </w:t>
      </w:r>
      <w:r>
        <w:rPr>
          <w:rFonts w:ascii="Cambria"/>
          <w:color w:val="231F20"/>
          <w:w w:val="95"/>
          <w:sz w:val="21"/>
        </w:rPr>
        <w:t>at</w:t>
      </w:r>
      <w:r>
        <w:rPr>
          <w:rFonts w:ascii="Cambria"/>
          <w:color w:val="231F20"/>
          <w:spacing w:val="10"/>
          <w:sz w:val="21"/>
        </w:rPr>
        <w:t xml:space="preserve"> </w:t>
      </w:r>
      <w:r>
        <w:rPr>
          <w:rFonts w:ascii="Cambria"/>
          <w:color w:val="231F20"/>
          <w:spacing w:val="-2"/>
          <w:w w:val="95"/>
          <w:sz w:val="21"/>
        </w:rPr>
        <w:t>destinations.</w:t>
      </w:r>
    </w:p>
    <w:p w14:paraId="057156B9" w14:textId="77777777" w:rsidR="00AE0598" w:rsidRDefault="0069255A">
      <w:pPr>
        <w:pStyle w:val="PargrafodaLista"/>
        <w:numPr>
          <w:ilvl w:val="0"/>
          <w:numId w:val="1"/>
        </w:numPr>
        <w:tabs>
          <w:tab w:val="left" w:pos="724"/>
        </w:tabs>
        <w:spacing w:line="240" w:lineRule="exact"/>
        <w:ind w:left="723" w:hanging="501"/>
        <w:jc w:val="left"/>
        <w:rPr>
          <w:rFonts w:ascii="Cambria"/>
          <w:sz w:val="21"/>
        </w:rPr>
      </w:pPr>
      <w:r>
        <w:rPr>
          <w:rFonts w:ascii="Cambria"/>
          <w:color w:val="231F20"/>
          <w:w w:val="95"/>
          <w:sz w:val="21"/>
        </w:rPr>
        <w:t>Sport</w:t>
      </w:r>
      <w:r>
        <w:rPr>
          <w:rFonts w:ascii="Cambria"/>
          <w:color w:val="231F20"/>
          <w:spacing w:val="9"/>
          <w:sz w:val="21"/>
        </w:rPr>
        <w:t xml:space="preserve"> </w:t>
      </w:r>
      <w:r>
        <w:rPr>
          <w:rFonts w:ascii="Cambria"/>
          <w:color w:val="231F20"/>
          <w:w w:val="95"/>
          <w:sz w:val="21"/>
        </w:rPr>
        <w:t>tourism</w:t>
      </w:r>
      <w:r>
        <w:rPr>
          <w:rFonts w:ascii="Cambria"/>
          <w:color w:val="231F20"/>
          <w:spacing w:val="10"/>
          <w:sz w:val="21"/>
        </w:rPr>
        <w:t xml:space="preserve"> </w:t>
      </w:r>
      <w:r>
        <w:rPr>
          <w:rFonts w:ascii="Cambria"/>
          <w:color w:val="231F20"/>
          <w:w w:val="95"/>
          <w:sz w:val="21"/>
        </w:rPr>
        <w:t>initiatives</w:t>
      </w:r>
      <w:r>
        <w:rPr>
          <w:rFonts w:ascii="Cambria"/>
          <w:color w:val="231F20"/>
          <w:spacing w:val="9"/>
          <w:sz w:val="21"/>
        </w:rPr>
        <w:t xml:space="preserve"> </w:t>
      </w:r>
      <w:r>
        <w:rPr>
          <w:rFonts w:ascii="Cambria"/>
          <w:color w:val="231F20"/>
          <w:w w:val="95"/>
          <w:sz w:val="21"/>
        </w:rPr>
        <w:t>relating</w:t>
      </w:r>
      <w:r>
        <w:rPr>
          <w:rFonts w:ascii="Cambria"/>
          <w:color w:val="231F20"/>
          <w:spacing w:val="10"/>
          <w:sz w:val="21"/>
        </w:rPr>
        <w:t xml:space="preserve"> </w:t>
      </w:r>
      <w:r>
        <w:rPr>
          <w:rFonts w:ascii="Cambria"/>
          <w:color w:val="231F20"/>
          <w:w w:val="95"/>
          <w:sz w:val="21"/>
        </w:rPr>
        <w:t>to</w:t>
      </w:r>
      <w:r>
        <w:rPr>
          <w:rFonts w:ascii="Cambria"/>
          <w:color w:val="231F20"/>
          <w:spacing w:val="10"/>
          <w:sz w:val="21"/>
        </w:rPr>
        <w:t xml:space="preserve"> </w:t>
      </w:r>
      <w:r>
        <w:rPr>
          <w:rFonts w:ascii="Cambria"/>
          <w:color w:val="231F20"/>
          <w:w w:val="95"/>
          <w:sz w:val="21"/>
        </w:rPr>
        <w:t>health</w:t>
      </w:r>
      <w:r>
        <w:rPr>
          <w:rFonts w:ascii="Cambria"/>
          <w:color w:val="231F20"/>
          <w:spacing w:val="9"/>
          <w:sz w:val="21"/>
        </w:rPr>
        <w:t xml:space="preserve"> </w:t>
      </w:r>
      <w:r>
        <w:rPr>
          <w:rFonts w:ascii="Cambria"/>
          <w:color w:val="231F20"/>
          <w:w w:val="95"/>
          <w:sz w:val="21"/>
        </w:rPr>
        <w:t>and</w:t>
      </w:r>
      <w:r>
        <w:rPr>
          <w:rFonts w:ascii="Cambria"/>
          <w:color w:val="231F20"/>
          <w:spacing w:val="10"/>
          <w:sz w:val="21"/>
        </w:rPr>
        <w:t xml:space="preserve"> </w:t>
      </w:r>
      <w:r>
        <w:rPr>
          <w:rFonts w:ascii="Cambria"/>
          <w:color w:val="231F20"/>
          <w:spacing w:val="-2"/>
          <w:w w:val="95"/>
          <w:sz w:val="21"/>
        </w:rPr>
        <w:t>wellness.</w:t>
      </w:r>
    </w:p>
    <w:p w14:paraId="6818BDA4" w14:textId="77777777" w:rsidR="00AE0598" w:rsidRDefault="0069255A">
      <w:pPr>
        <w:pStyle w:val="PargrafodaLista"/>
        <w:numPr>
          <w:ilvl w:val="0"/>
          <w:numId w:val="1"/>
        </w:numPr>
        <w:tabs>
          <w:tab w:val="left" w:pos="724"/>
        </w:tabs>
        <w:spacing w:before="3" w:line="232" w:lineRule="auto"/>
        <w:ind w:left="723" w:right="222" w:hanging="501"/>
        <w:jc w:val="left"/>
        <w:rPr>
          <w:rFonts w:ascii="Cambria"/>
          <w:sz w:val="21"/>
        </w:rPr>
      </w:pPr>
      <w:r>
        <w:rPr>
          <w:rFonts w:ascii="Cambria"/>
          <w:color w:val="231F20"/>
          <w:w w:val="95"/>
          <w:sz w:val="21"/>
        </w:rPr>
        <w:t xml:space="preserve">Challenges and opportunities to develop competitive sport tourism </w:t>
      </w:r>
      <w:r>
        <w:rPr>
          <w:rFonts w:ascii="Cambria"/>
          <w:color w:val="231F20"/>
          <w:spacing w:val="-2"/>
          <w:sz w:val="21"/>
        </w:rPr>
        <w:t>destinations.</w:t>
      </w:r>
    </w:p>
    <w:p w14:paraId="18301A2F" w14:textId="77777777" w:rsidR="00AE0598" w:rsidRDefault="0069255A">
      <w:pPr>
        <w:pStyle w:val="PargrafodaLista"/>
        <w:numPr>
          <w:ilvl w:val="0"/>
          <w:numId w:val="1"/>
        </w:numPr>
        <w:tabs>
          <w:tab w:val="left" w:pos="724"/>
        </w:tabs>
        <w:spacing w:before="2" w:line="232" w:lineRule="auto"/>
        <w:ind w:left="723" w:right="221" w:hanging="501"/>
        <w:jc w:val="left"/>
        <w:rPr>
          <w:rFonts w:ascii="Cambria"/>
          <w:sz w:val="21"/>
        </w:rPr>
      </w:pPr>
      <w:r>
        <w:rPr>
          <w:rFonts w:ascii="Cambria"/>
          <w:color w:val="231F20"/>
          <w:sz w:val="21"/>
        </w:rPr>
        <w:t>The</w:t>
      </w:r>
      <w:r>
        <w:rPr>
          <w:rFonts w:ascii="Cambria"/>
          <w:color w:val="231F20"/>
          <w:spacing w:val="80"/>
          <w:sz w:val="21"/>
        </w:rPr>
        <w:t xml:space="preserve"> </w:t>
      </w:r>
      <w:r>
        <w:rPr>
          <w:rFonts w:ascii="Cambria"/>
          <w:color w:val="231F20"/>
          <w:sz w:val="21"/>
        </w:rPr>
        <w:t>role</w:t>
      </w:r>
      <w:r>
        <w:rPr>
          <w:rFonts w:ascii="Cambria"/>
          <w:color w:val="231F20"/>
          <w:spacing w:val="80"/>
          <w:sz w:val="21"/>
        </w:rPr>
        <w:t xml:space="preserve"> </w:t>
      </w:r>
      <w:r>
        <w:rPr>
          <w:rFonts w:ascii="Cambria"/>
          <w:color w:val="231F20"/>
          <w:sz w:val="21"/>
        </w:rPr>
        <w:t>of</w:t>
      </w:r>
      <w:r>
        <w:rPr>
          <w:rFonts w:ascii="Cambria"/>
          <w:color w:val="231F20"/>
          <w:spacing w:val="80"/>
          <w:sz w:val="21"/>
        </w:rPr>
        <w:t xml:space="preserve"> </w:t>
      </w:r>
      <w:r>
        <w:rPr>
          <w:rFonts w:ascii="Cambria"/>
          <w:color w:val="231F20"/>
          <w:sz w:val="21"/>
        </w:rPr>
        <w:t>policymakers</w:t>
      </w:r>
      <w:r>
        <w:rPr>
          <w:rFonts w:ascii="Cambria"/>
          <w:color w:val="231F20"/>
          <w:spacing w:val="80"/>
          <w:sz w:val="21"/>
        </w:rPr>
        <w:t xml:space="preserve"> </w:t>
      </w:r>
      <w:r>
        <w:rPr>
          <w:rFonts w:ascii="Cambria"/>
          <w:color w:val="231F20"/>
          <w:sz w:val="21"/>
        </w:rPr>
        <w:t>and</w:t>
      </w:r>
      <w:r>
        <w:rPr>
          <w:rFonts w:ascii="Cambria"/>
          <w:color w:val="231F20"/>
          <w:spacing w:val="80"/>
          <w:sz w:val="21"/>
        </w:rPr>
        <w:t xml:space="preserve"> </w:t>
      </w:r>
      <w:r>
        <w:rPr>
          <w:rFonts w:ascii="Cambria"/>
          <w:color w:val="231F20"/>
          <w:sz w:val="21"/>
        </w:rPr>
        <w:t>industry</w:t>
      </w:r>
      <w:r>
        <w:rPr>
          <w:rFonts w:ascii="Cambria"/>
          <w:color w:val="231F20"/>
          <w:spacing w:val="80"/>
          <w:sz w:val="21"/>
        </w:rPr>
        <w:t xml:space="preserve"> </w:t>
      </w:r>
      <w:r>
        <w:rPr>
          <w:rFonts w:ascii="Cambria"/>
          <w:color w:val="231F20"/>
          <w:sz w:val="21"/>
        </w:rPr>
        <w:t>in</w:t>
      </w:r>
      <w:r>
        <w:rPr>
          <w:rFonts w:ascii="Cambria"/>
          <w:color w:val="231F20"/>
          <w:spacing w:val="80"/>
          <w:sz w:val="21"/>
        </w:rPr>
        <w:t xml:space="preserve"> </w:t>
      </w:r>
      <w:r>
        <w:rPr>
          <w:rFonts w:ascii="Cambria"/>
          <w:color w:val="231F20"/>
          <w:sz w:val="21"/>
        </w:rPr>
        <w:t>the</w:t>
      </w:r>
      <w:r>
        <w:rPr>
          <w:rFonts w:ascii="Cambria"/>
          <w:color w:val="231F20"/>
          <w:spacing w:val="80"/>
          <w:sz w:val="21"/>
        </w:rPr>
        <w:t xml:space="preserve"> </w:t>
      </w:r>
      <w:r>
        <w:rPr>
          <w:rFonts w:ascii="Cambria"/>
          <w:color w:val="231F20"/>
          <w:sz w:val="21"/>
        </w:rPr>
        <w:t>successful management of sustainable sport tourism facilities.</w:t>
      </w:r>
    </w:p>
    <w:p w14:paraId="08694A07" w14:textId="77777777" w:rsidR="00AE0598" w:rsidRDefault="0069255A">
      <w:pPr>
        <w:pStyle w:val="PargrafodaLista"/>
        <w:numPr>
          <w:ilvl w:val="0"/>
          <w:numId w:val="1"/>
        </w:numPr>
        <w:tabs>
          <w:tab w:val="left" w:pos="724"/>
        </w:tabs>
        <w:spacing w:before="3" w:line="232" w:lineRule="auto"/>
        <w:ind w:left="723" w:right="220" w:hanging="501"/>
        <w:jc w:val="left"/>
        <w:rPr>
          <w:rFonts w:ascii="Cambria"/>
          <w:sz w:val="21"/>
        </w:rPr>
      </w:pPr>
      <w:r>
        <w:rPr>
          <w:rFonts w:ascii="Cambria"/>
          <w:color w:val="231F20"/>
          <w:sz w:val="21"/>
        </w:rPr>
        <w:t>Loyalty</w:t>
      </w:r>
      <w:r>
        <w:rPr>
          <w:rFonts w:ascii="Cambria"/>
          <w:color w:val="231F20"/>
          <w:spacing w:val="40"/>
          <w:sz w:val="21"/>
        </w:rPr>
        <w:t xml:space="preserve"> </w:t>
      </w:r>
      <w:r>
        <w:rPr>
          <w:rFonts w:ascii="Cambria"/>
          <w:color w:val="231F20"/>
          <w:sz w:val="21"/>
        </w:rPr>
        <w:t>of</w:t>
      </w:r>
      <w:r>
        <w:rPr>
          <w:rFonts w:ascii="Cambria"/>
          <w:color w:val="231F20"/>
          <w:spacing w:val="40"/>
          <w:sz w:val="21"/>
        </w:rPr>
        <w:t xml:space="preserve"> </w:t>
      </w:r>
      <w:r>
        <w:rPr>
          <w:rFonts w:ascii="Cambria"/>
          <w:color w:val="231F20"/>
          <w:sz w:val="21"/>
        </w:rPr>
        <w:t>high-end</w:t>
      </w:r>
      <w:r>
        <w:rPr>
          <w:rFonts w:ascii="Cambria"/>
          <w:color w:val="231F20"/>
          <w:spacing w:val="40"/>
          <w:sz w:val="21"/>
        </w:rPr>
        <w:t xml:space="preserve"> </w:t>
      </w:r>
      <w:r>
        <w:rPr>
          <w:rFonts w:ascii="Cambria"/>
          <w:color w:val="231F20"/>
          <w:sz w:val="21"/>
        </w:rPr>
        <w:t>consumers</w:t>
      </w:r>
      <w:r>
        <w:rPr>
          <w:rFonts w:ascii="Cambria"/>
          <w:color w:val="231F20"/>
          <w:spacing w:val="40"/>
          <w:sz w:val="21"/>
        </w:rPr>
        <w:t xml:space="preserve"> </w:t>
      </w:r>
      <w:r>
        <w:rPr>
          <w:rFonts w:ascii="Cambria"/>
          <w:color w:val="231F20"/>
          <w:sz w:val="21"/>
        </w:rPr>
        <w:t>in</w:t>
      </w:r>
      <w:r>
        <w:rPr>
          <w:rFonts w:ascii="Cambria"/>
          <w:color w:val="231F20"/>
          <w:spacing w:val="40"/>
          <w:sz w:val="21"/>
        </w:rPr>
        <w:t xml:space="preserve"> </w:t>
      </w:r>
      <w:r>
        <w:rPr>
          <w:rFonts w:ascii="Cambria"/>
          <w:color w:val="231F20"/>
          <w:sz w:val="21"/>
        </w:rPr>
        <w:t>sport</w:t>
      </w:r>
      <w:r>
        <w:rPr>
          <w:rFonts w:ascii="Cambria"/>
          <w:color w:val="231F20"/>
          <w:spacing w:val="40"/>
          <w:sz w:val="21"/>
        </w:rPr>
        <w:t xml:space="preserve"> </w:t>
      </w:r>
      <w:r>
        <w:rPr>
          <w:rFonts w:ascii="Cambria"/>
          <w:color w:val="231F20"/>
          <w:sz w:val="21"/>
        </w:rPr>
        <w:t>tourism</w:t>
      </w:r>
      <w:r>
        <w:rPr>
          <w:rFonts w:ascii="Cambria"/>
          <w:color w:val="231F20"/>
          <w:spacing w:val="40"/>
          <w:sz w:val="21"/>
        </w:rPr>
        <w:t xml:space="preserve"> </w:t>
      </w:r>
      <w:r>
        <w:rPr>
          <w:rFonts w:ascii="Cambria"/>
          <w:color w:val="231F20"/>
          <w:sz w:val="21"/>
        </w:rPr>
        <w:t>(e.g.</w:t>
      </w:r>
      <w:r>
        <w:rPr>
          <w:rFonts w:ascii="Cambria"/>
          <w:color w:val="231F20"/>
          <w:spacing w:val="40"/>
          <w:sz w:val="21"/>
        </w:rPr>
        <w:t xml:space="preserve"> </w:t>
      </w:r>
      <w:r>
        <w:rPr>
          <w:rFonts w:ascii="Cambria"/>
          <w:color w:val="231F20"/>
          <w:sz w:val="21"/>
        </w:rPr>
        <w:t>repeat participation in marathons events).</w:t>
      </w:r>
    </w:p>
    <w:p w14:paraId="4A49B6EC" w14:textId="77777777" w:rsidR="00AE0598" w:rsidRDefault="0069255A">
      <w:pPr>
        <w:spacing w:before="7"/>
        <w:ind w:right="221"/>
        <w:jc w:val="right"/>
        <w:rPr>
          <w:rFonts w:ascii="Trebuchet MS"/>
          <w:i/>
          <w:sz w:val="18"/>
        </w:rPr>
      </w:pPr>
      <w:r>
        <w:rPr>
          <w:rFonts w:ascii="Trebuchet MS"/>
          <w:i/>
          <w:color w:val="231F20"/>
          <w:spacing w:val="-2"/>
          <w:sz w:val="18"/>
        </w:rPr>
        <w:t>(Continued)</w:t>
      </w:r>
    </w:p>
    <w:p w14:paraId="08FB6769" w14:textId="77777777" w:rsidR="00AE0598" w:rsidRDefault="00AE0598">
      <w:pPr>
        <w:jc w:val="right"/>
        <w:rPr>
          <w:rFonts w:ascii="Trebuchet MS"/>
          <w:sz w:val="18"/>
        </w:rPr>
        <w:sectPr w:rsidR="00AE0598">
          <w:pgSz w:w="8850" w:h="13270"/>
          <w:pgMar w:top="720" w:right="1080" w:bottom="280" w:left="1080" w:header="720" w:footer="720" w:gutter="0"/>
          <w:cols w:space="720"/>
        </w:sectPr>
      </w:pPr>
    </w:p>
    <w:p w14:paraId="2FBADB4C" w14:textId="77777777" w:rsidR="00AE0598" w:rsidRDefault="0069255A">
      <w:pPr>
        <w:spacing w:before="87"/>
        <w:ind w:left="108"/>
        <w:rPr>
          <w:rFonts w:ascii="Trebuchet MS"/>
          <w:sz w:val="14"/>
        </w:rPr>
      </w:pPr>
      <w:r>
        <w:rPr>
          <w:rFonts w:ascii="Trebuchet MS"/>
          <w:color w:val="231F20"/>
          <w:w w:val="105"/>
          <w:sz w:val="14"/>
        </w:rPr>
        <w:lastRenderedPageBreak/>
        <w:t>10</w:t>
      </w:r>
      <w:r>
        <w:rPr>
          <w:rFonts w:ascii="Trebuchet MS"/>
          <w:color w:val="231F20"/>
          <w:spacing w:val="79"/>
          <w:w w:val="105"/>
          <w:sz w:val="14"/>
        </w:rPr>
        <w:t xml:space="preserve"> </w:t>
      </w:r>
      <w:r>
        <w:rPr>
          <w:rFonts w:ascii="Trebuchet MS"/>
          <w:color w:val="231F20"/>
          <w:w w:val="105"/>
          <w:sz w:val="14"/>
        </w:rPr>
        <w:t>Part</w:t>
      </w:r>
      <w:r>
        <w:rPr>
          <w:rFonts w:ascii="Trebuchet MS"/>
          <w:color w:val="231F20"/>
          <w:spacing w:val="-10"/>
          <w:w w:val="105"/>
          <w:sz w:val="14"/>
        </w:rPr>
        <w:t xml:space="preserve"> </w:t>
      </w:r>
      <w:r>
        <w:rPr>
          <w:rFonts w:ascii="Trebuchet MS"/>
          <w:color w:val="231F20"/>
          <w:w w:val="105"/>
          <w:sz w:val="14"/>
        </w:rPr>
        <w:t>1:</w:t>
      </w:r>
      <w:r>
        <w:rPr>
          <w:rFonts w:ascii="Trebuchet MS"/>
          <w:color w:val="231F20"/>
          <w:spacing w:val="-11"/>
          <w:w w:val="105"/>
          <w:sz w:val="14"/>
        </w:rPr>
        <w:t xml:space="preserve"> </w:t>
      </w:r>
      <w:r>
        <w:rPr>
          <w:rFonts w:ascii="Trebuchet MS"/>
          <w:color w:val="231F20"/>
          <w:spacing w:val="-2"/>
          <w:w w:val="105"/>
          <w:sz w:val="14"/>
        </w:rPr>
        <w:t>Introduction</w:t>
      </w:r>
    </w:p>
    <w:p w14:paraId="2E7BB645" w14:textId="39296F05" w:rsidR="00AE0598" w:rsidRDefault="0069255A">
      <w:pPr>
        <w:pStyle w:val="Corpodetexto"/>
        <w:spacing w:before="6"/>
        <w:rPr>
          <w:rFonts w:ascii="Trebuchet MS"/>
          <w:sz w:val="27"/>
        </w:rPr>
      </w:pPr>
      <w:r>
        <w:rPr>
          <w:noProof/>
        </w:rPr>
        <mc:AlternateContent>
          <mc:Choice Requires="wps">
            <w:drawing>
              <wp:anchor distT="0" distB="0" distL="0" distR="0" simplePos="0" relativeHeight="487596032" behindDoc="1" locked="0" layoutInCell="1" allowOverlap="1" wp14:anchorId="310C44BE" wp14:editId="5309C723">
                <wp:simplePos x="0" y="0"/>
                <wp:positionH relativeFrom="page">
                  <wp:posOffset>755650</wp:posOffset>
                </wp:positionH>
                <wp:positionV relativeFrom="paragraph">
                  <wp:posOffset>218440</wp:posOffset>
                </wp:positionV>
                <wp:extent cx="4104005" cy="1530350"/>
                <wp:effectExtent l="0" t="0" r="0" b="0"/>
                <wp:wrapTopAndBottom/>
                <wp:docPr id="359" name="docshape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04005" cy="1530350"/>
                        </a:xfrm>
                        <a:prstGeom prst="rect">
                          <a:avLst/>
                        </a:prstGeom>
                        <a:solidFill>
                          <a:srgbClr val="DCDDD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85B0276" w14:textId="77777777" w:rsidR="00AE0598" w:rsidRDefault="0069255A">
                            <w:pPr>
                              <w:spacing w:before="79"/>
                              <w:ind w:left="113"/>
                              <w:rPr>
                                <w:rFonts w:ascii="Trebuchet MS"/>
                                <w:color w:val="000000"/>
                                <w:sz w:val="18"/>
                              </w:rPr>
                            </w:pPr>
                            <w:r>
                              <w:rPr>
                                <w:rFonts w:ascii="Trebuchet MS"/>
                                <w:color w:val="231F20"/>
                                <w:sz w:val="18"/>
                              </w:rPr>
                              <w:t>Focus</w:t>
                            </w:r>
                            <w:r>
                              <w:rPr>
                                <w:rFonts w:ascii="Trebuchet MS"/>
                                <w:color w:val="231F20"/>
                                <w:spacing w:val="-9"/>
                                <w:sz w:val="18"/>
                              </w:rPr>
                              <w:t xml:space="preserve"> </w:t>
                            </w:r>
                            <w:r>
                              <w:rPr>
                                <w:rFonts w:ascii="Trebuchet MS"/>
                                <w:color w:val="231F20"/>
                                <w:sz w:val="18"/>
                              </w:rPr>
                              <w:t>Point</w:t>
                            </w:r>
                            <w:r>
                              <w:rPr>
                                <w:rFonts w:ascii="Trebuchet MS"/>
                                <w:color w:val="231F20"/>
                                <w:spacing w:val="-9"/>
                                <w:sz w:val="18"/>
                              </w:rPr>
                              <w:t xml:space="preserve"> </w:t>
                            </w:r>
                            <w:r>
                              <w:rPr>
                                <w:rFonts w:ascii="Trebuchet MS"/>
                                <w:color w:val="231F20"/>
                                <w:sz w:val="18"/>
                              </w:rPr>
                              <w:t>1.1:</w:t>
                            </w:r>
                            <w:r>
                              <w:rPr>
                                <w:rFonts w:ascii="Trebuchet MS"/>
                                <w:color w:val="231F20"/>
                                <w:spacing w:val="-10"/>
                                <w:sz w:val="18"/>
                              </w:rPr>
                              <w:t xml:space="preserve"> </w:t>
                            </w:r>
                            <w:r>
                              <w:rPr>
                                <w:rFonts w:ascii="Trebuchet MS"/>
                                <w:color w:val="231F20"/>
                                <w:spacing w:val="-2"/>
                                <w:sz w:val="18"/>
                              </w:rPr>
                              <w:t>(Continued)</w:t>
                            </w:r>
                          </w:p>
                          <w:p w14:paraId="067A5272" w14:textId="77777777" w:rsidR="00AE0598" w:rsidRDefault="00AE0598">
                            <w:pPr>
                              <w:pStyle w:val="Corpodetexto"/>
                              <w:spacing w:before="10"/>
                              <w:rPr>
                                <w:rFonts w:ascii="Trebuchet MS"/>
                                <w:color w:val="000000"/>
                                <w:sz w:val="16"/>
                              </w:rPr>
                            </w:pPr>
                          </w:p>
                          <w:p w14:paraId="1DB99045" w14:textId="77777777" w:rsidR="00AE0598" w:rsidRDefault="0069255A">
                            <w:pPr>
                              <w:pStyle w:val="Corpodetexto"/>
                              <w:spacing w:line="232" w:lineRule="auto"/>
                              <w:ind w:left="113" w:right="110" w:firstLine="320"/>
                              <w:jc w:val="both"/>
                              <w:rPr>
                                <w:color w:val="000000"/>
                              </w:rPr>
                            </w:pPr>
                            <w:r>
                              <w:rPr>
                                <w:color w:val="231F20"/>
                              </w:rPr>
                              <w:t xml:space="preserve">The UNWTO Global Report on Sport Tourism provides insights into sport tourism phenomena in relation to policy and planning for </w:t>
                            </w:r>
                            <w:r>
                              <w:rPr>
                                <w:color w:val="231F20"/>
                                <w:w w:val="95"/>
                              </w:rPr>
                              <w:t>development, and highlights the expanding intergovernmental interest</w:t>
                            </w:r>
                            <w:r>
                              <w:rPr>
                                <w:color w:val="231F20"/>
                                <w:spacing w:val="40"/>
                              </w:rPr>
                              <w:t xml:space="preserve"> </w:t>
                            </w:r>
                            <w:r>
                              <w:rPr>
                                <w:color w:val="231F20"/>
                              </w:rPr>
                              <w:t>in sport and tourism in relation to economic and socio-cultu</w:t>
                            </w:r>
                            <w:r>
                              <w:rPr>
                                <w:color w:val="231F20"/>
                              </w:rPr>
                              <w:t>ral development at the global scale.</w:t>
                            </w:r>
                          </w:p>
                          <w:p w14:paraId="72E06B06" w14:textId="77777777" w:rsidR="00AE0598" w:rsidRDefault="0069255A">
                            <w:pPr>
                              <w:pStyle w:val="Corpodetexto"/>
                              <w:spacing w:before="146" w:line="232" w:lineRule="auto"/>
                              <w:ind w:left="113"/>
                              <w:rPr>
                                <w:color w:val="000000"/>
                              </w:rPr>
                            </w:pPr>
                            <w:r>
                              <w:rPr>
                                <w:color w:val="231F20"/>
                                <w:spacing w:val="-2"/>
                                <w:w w:val="95"/>
                              </w:rPr>
                              <w:t>Source:</w:t>
                            </w:r>
                            <w:r>
                              <w:rPr>
                                <w:color w:val="231F20"/>
                                <w:spacing w:val="45"/>
                              </w:rPr>
                              <w:t xml:space="preserve"> </w:t>
                            </w:r>
                            <w:r>
                              <w:rPr>
                                <w:color w:val="231F20"/>
                                <w:spacing w:val="-2"/>
                                <w:w w:val="95"/>
                              </w:rPr>
                              <w:t>UNWTO</w:t>
                            </w:r>
                            <w:r>
                              <w:rPr>
                                <w:color w:val="231F20"/>
                                <w:spacing w:val="45"/>
                              </w:rPr>
                              <w:t xml:space="preserve"> </w:t>
                            </w:r>
                            <w:r>
                              <w:rPr>
                                <w:color w:val="231F20"/>
                                <w:spacing w:val="-2"/>
                                <w:w w:val="95"/>
                              </w:rPr>
                              <w:t>(2017)</w:t>
                            </w:r>
                            <w:r>
                              <w:rPr>
                                <w:color w:val="231F20"/>
                                <w:spacing w:val="45"/>
                              </w:rPr>
                              <w:t xml:space="preserve"> </w:t>
                            </w:r>
                            <w:hyperlink r:id="rId22">
                              <w:r>
                                <w:rPr>
                                  <w:color w:val="231F20"/>
                                  <w:spacing w:val="-2"/>
                                  <w:w w:val="95"/>
                                </w:rPr>
                                <w:t>http://affiliatemembers.unwto.org/publications</w:t>
                              </w:r>
                            </w:hyperlink>
                            <w:r>
                              <w:rPr>
                                <w:color w:val="231F20"/>
                                <w:spacing w:val="-2"/>
                                <w:w w:val="95"/>
                              </w:rPr>
                              <w:t xml:space="preserve"> </w:t>
                            </w:r>
                            <w:r>
                              <w:rPr>
                                <w:color w:val="231F20"/>
                                <w:spacing w:val="-2"/>
                              </w:rPr>
                              <w:t>(accessed</w:t>
                            </w:r>
                            <w:r>
                              <w:rPr>
                                <w:color w:val="231F20"/>
                                <w:spacing w:val="-10"/>
                              </w:rPr>
                              <w:t xml:space="preserve"> </w:t>
                            </w:r>
                            <w:r>
                              <w:rPr>
                                <w:color w:val="231F20"/>
                                <w:spacing w:val="-2"/>
                              </w:rPr>
                              <w:t>12</w:t>
                            </w:r>
                            <w:r>
                              <w:rPr>
                                <w:color w:val="231F20"/>
                                <w:spacing w:val="-10"/>
                              </w:rPr>
                              <w:t xml:space="preserve"> </w:t>
                            </w:r>
                            <w:r>
                              <w:rPr>
                                <w:color w:val="231F20"/>
                                <w:spacing w:val="-2"/>
                              </w:rPr>
                              <w:t>June</w:t>
                            </w:r>
                            <w:r>
                              <w:rPr>
                                <w:color w:val="231F20"/>
                                <w:spacing w:val="-9"/>
                              </w:rPr>
                              <w:t xml:space="preserve"> </w:t>
                            </w:r>
                            <w:r>
                              <w:rPr>
                                <w:color w:val="231F20"/>
                                <w:spacing w:val="-2"/>
                              </w:rPr>
                              <w:t>2017).</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10C44BE" id="_x0000_t202" coordsize="21600,21600" o:spt="202" path="m,l,21600r21600,l21600,xe">
                <v:stroke joinstyle="miter"/>
                <v:path gradientshapeok="t" o:connecttype="rect"/>
              </v:shapetype>
              <v:shape id="docshape17" o:spid="_x0000_s1026" type="#_x0000_t202" style="position:absolute;margin-left:59.5pt;margin-top:17.2pt;width:323.15pt;height:120.5pt;z-index:-157204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" fillcolor="#dcddde" stroked="f">
                <v:textbox inset="0,0,0,0">
                  <w:txbxContent>
                    <w:p w14:paraId="685B0276" w14:textId="77777777" w:rsidR="00AE0598" w:rsidRDefault="0069255A">
                      <w:pPr>
                        <w:spacing w:before="79"/>
                        <w:ind w:left="113"/>
                        <w:rPr>
                          <w:rFonts w:ascii="Trebuchet MS"/>
                          <w:color w:val="000000"/>
                          <w:sz w:val="18"/>
                        </w:rPr>
                      </w:pPr>
                      <w:r>
                        <w:rPr>
                          <w:rFonts w:ascii="Trebuchet MS"/>
                          <w:color w:val="231F20"/>
                          <w:sz w:val="18"/>
                        </w:rPr>
                        <w:t>Focus</w:t>
                      </w:r>
                      <w:r>
                        <w:rPr>
                          <w:rFonts w:ascii="Trebuchet MS"/>
                          <w:color w:val="231F20"/>
                          <w:spacing w:val="-9"/>
                          <w:sz w:val="18"/>
                        </w:rPr>
                        <w:t xml:space="preserve"> </w:t>
                      </w:r>
                      <w:r>
                        <w:rPr>
                          <w:rFonts w:ascii="Trebuchet MS"/>
                          <w:color w:val="231F20"/>
                          <w:sz w:val="18"/>
                        </w:rPr>
                        <w:t>Point</w:t>
                      </w:r>
                      <w:r>
                        <w:rPr>
                          <w:rFonts w:ascii="Trebuchet MS"/>
                          <w:color w:val="231F20"/>
                          <w:spacing w:val="-9"/>
                          <w:sz w:val="18"/>
                        </w:rPr>
                        <w:t xml:space="preserve"> </w:t>
                      </w:r>
                      <w:r>
                        <w:rPr>
                          <w:rFonts w:ascii="Trebuchet MS"/>
                          <w:color w:val="231F20"/>
                          <w:sz w:val="18"/>
                        </w:rPr>
                        <w:t>1.1:</w:t>
                      </w:r>
                      <w:r>
                        <w:rPr>
                          <w:rFonts w:ascii="Trebuchet MS"/>
                          <w:color w:val="231F20"/>
                          <w:spacing w:val="-10"/>
                          <w:sz w:val="18"/>
                        </w:rPr>
                        <w:t xml:space="preserve"> </w:t>
                      </w:r>
                      <w:r>
                        <w:rPr>
                          <w:rFonts w:ascii="Trebuchet MS"/>
                          <w:color w:val="231F20"/>
                          <w:spacing w:val="-2"/>
                          <w:sz w:val="18"/>
                        </w:rPr>
                        <w:t>(Continued)</w:t>
                      </w:r>
                    </w:p>
                    <w:p w14:paraId="067A5272" w14:textId="77777777" w:rsidR="00AE0598" w:rsidRDefault="00AE0598">
                      <w:pPr>
                        <w:pStyle w:val="Corpodetexto"/>
                        <w:spacing w:before="10"/>
                        <w:rPr>
                          <w:rFonts w:ascii="Trebuchet MS"/>
                          <w:color w:val="000000"/>
                          <w:sz w:val="16"/>
                        </w:rPr>
                      </w:pPr>
                    </w:p>
                    <w:p w14:paraId="1DB99045" w14:textId="77777777" w:rsidR="00AE0598" w:rsidRDefault="0069255A">
                      <w:pPr>
                        <w:pStyle w:val="Corpodetexto"/>
                        <w:spacing w:line="232" w:lineRule="auto"/>
                        <w:ind w:left="113" w:right="110" w:firstLine="320"/>
                        <w:jc w:val="both"/>
                        <w:rPr>
                          <w:color w:val="000000"/>
                        </w:rPr>
                      </w:pPr>
                      <w:r>
                        <w:rPr>
                          <w:color w:val="231F20"/>
                        </w:rPr>
                        <w:t xml:space="preserve">The UNWTO Global Report on Sport Tourism provides insights into sport tourism phenomena in relation to policy and planning for </w:t>
                      </w:r>
                      <w:r>
                        <w:rPr>
                          <w:color w:val="231F20"/>
                          <w:w w:val="95"/>
                        </w:rPr>
                        <w:t>development, and highlights the expanding intergovernmental interest</w:t>
                      </w:r>
                      <w:r>
                        <w:rPr>
                          <w:color w:val="231F20"/>
                          <w:spacing w:val="40"/>
                        </w:rPr>
                        <w:t xml:space="preserve"> </w:t>
                      </w:r>
                      <w:r>
                        <w:rPr>
                          <w:color w:val="231F20"/>
                        </w:rPr>
                        <w:t>in sport and tourism in relation to economic and socio-cultu</w:t>
                      </w:r>
                      <w:r>
                        <w:rPr>
                          <w:color w:val="231F20"/>
                        </w:rPr>
                        <w:t>ral development at the global scale.</w:t>
                      </w:r>
                    </w:p>
                    <w:p w14:paraId="72E06B06" w14:textId="77777777" w:rsidR="00AE0598" w:rsidRDefault="0069255A">
                      <w:pPr>
                        <w:pStyle w:val="Corpodetexto"/>
                        <w:spacing w:before="146" w:line="232" w:lineRule="auto"/>
                        <w:ind w:left="113"/>
                        <w:rPr>
                          <w:color w:val="000000"/>
                        </w:rPr>
                      </w:pPr>
                      <w:r>
                        <w:rPr>
                          <w:color w:val="231F20"/>
                          <w:spacing w:val="-2"/>
                          <w:w w:val="95"/>
                        </w:rPr>
                        <w:t>Source:</w:t>
                      </w:r>
                      <w:r>
                        <w:rPr>
                          <w:color w:val="231F20"/>
                          <w:spacing w:val="45"/>
                        </w:rPr>
                        <w:t xml:space="preserve"> </w:t>
                      </w:r>
                      <w:r>
                        <w:rPr>
                          <w:color w:val="231F20"/>
                          <w:spacing w:val="-2"/>
                          <w:w w:val="95"/>
                        </w:rPr>
                        <w:t>UNWTO</w:t>
                      </w:r>
                      <w:r>
                        <w:rPr>
                          <w:color w:val="231F20"/>
                          <w:spacing w:val="45"/>
                        </w:rPr>
                        <w:t xml:space="preserve"> </w:t>
                      </w:r>
                      <w:r>
                        <w:rPr>
                          <w:color w:val="231F20"/>
                          <w:spacing w:val="-2"/>
                          <w:w w:val="95"/>
                        </w:rPr>
                        <w:t>(2017)</w:t>
                      </w:r>
                      <w:r>
                        <w:rPr>
                          <w:color w:val="231F20"/>
                          <w:spacing w:val="45"/>
                        </w:rPr>
                        <w:t xml:space="preserve"> </w:t>
                      </w:r>
                      <w:hyperlink r:id="rId23">
                        <w:r>
                          <w:rPr>
                            <w:color w:val="231F20"/>
                            <w:spacing w:val="-2"/>
                            <w:w w:val="95"/>
                          </w:rPr>
                          <w:t>http://affiliatemembers.unwto.org/publications</w:t>
                        </w:r>
                      </w:hyperlink>
                      <w:r>
                        <w:rPr>
                          <w:color w:val="231F20"/>
                          <w:spacing w:val="-2"/>
                          <w:w w:val="95"/>
                        </w:rPr>
                        <w:t xml:space="preserve"> </w:t>
                      </w:r>
                      <w:r>
                        <w:rPr>
                          <w:color w:val="231F20"/>
                          <w:spacing w:val="-2"/>
                        </w:rPr>
                        <w:t>(accessed</w:t>
                      </w:r>
                      <w:r>
                        <w:rPr>
                          <w:color w:val="231F20"/>
                          <w:spacing w:val="-10"/>
                        </w:rPr>
                        <w:t xml:space="preserve"> </w:t>
                      </w:r>
                      <w:r>
                        <w:rPr>
                          <w:color w:val="231F20"/>
                          <w:spacing w:val="-2"/>
                        </w:rPr>
                        <w:t>12</w:t>
                      </w:r>
                      <w:r>
                        <w:rPr>
                          <w:color w:val="231F20"/>
                          <w:spacing w:val="-10"/>
                        </w:rPr>
                        <w:t xml:space="preserve"> </w:t>
                      </w:r>
                      <w:r>
                        <w:rPr>
                          <w:color w:val="231F20"/>
                          <w:spacing w:val="-2"/>
                        </w:rPr>
                        <w:t>June</w:t>
                      </w:r>
                      <w:r>
                        <w:rPr>
                          <w:color w:val="231F20"/>
                          <w:spacing w:val="-9"/>
                        </w:rPr>
                        <w:t xml:space="preserve"> </w:t>
                      </w:r>
                      <w:r>
                        <w:rPr>
                          <w:color w:val="231F20"/>
                          <w:spacing w:val="-2"/>
                        </w:rPr>
                        <w:t>2017).</w:t>
                      </w:r>
                    </w:p>
                  </w:txbxContent>
                </v:textbox>
                <w10:wrap type="topAndBottom" anchorx="page"/>
              </v:shape>
            </w:pict>
          </mc:Fallback>
        </mc:AlternateContent>
      </w:r>
    </w:p>
    <w:p w14:paraId="5B0C4FBA" w14:textId="77777777" w:rsidR="00AE0598" w:rsidRDefault="00AE0598">
      <w:pPr>
        <w:pStyle w:val="Corpodetexto"/>
        <w:spacing w:before="6"/>
        <w:rPr>
          <w:rFonts w:ascii="Trebuchet MS"/>
          <w:sz w:val="10"/>
        </w:rPr>
      </w:pPr>
    </w:p>
    <w:p w14:paraId="025B8A89" w14:textId="77777777" w:rsidR="00AE0598" w:rsidRDefault="0069255A">
      <w:pPr>
        <w:spacing w:before="100"/>
        <w:ind w:left="110"/>
        <w:rPr>
          <w:rFonts w:ascii="Trebuchet MS"/>
          <w:b/>
          <w:sz w:val="20"/>
        </w:rPr>
      </w:pPr>
      <w:r>
        <w:rPr>
          <w:rFonts w:ascii="Trebuchet MS"/>
          <w:b/>
          <w:color w:val="231F20"/>
          <w:sz w:val="20"/>
        </w:rPr>
        <w:t>Sport</w:t>
      </w:r>
      <w:r>
        <w:rPr>
          <w:rFonts w:ascii="Trebuchet MS"/>
          <w:b/>
          <w:color w:val="231F20"/>
          <w:spacing w:val="5"/>
          <w:sz w:val="20"/>
        </w:rPr>
        <w:t xml:space="preserve"> </w:t>
      </w:r>
      <w:r>
        <w:rPr>
          <w:rFonts w:ascii="Trebuchet MS"/>
          <w:b/>
          <w:color w:val="231F20"/>
          <w:sz w:val="20"/>
        </w:rPr>
        <w:t>Tourism</w:t>
      </w:r>
      <w:r>
        <w:rPr>
          <w:rFonts w:ascii="Trebuchet MS"/>
          <w:b/>
          <w:color w:val="231F20"/>
          <w:spacing w:val="6"/>
          <w:sz w:val="20"/>
        </w:rPr>
        <w:t xml:space="preserve"> </w:t>
      </w:r>
      <w:r>
        <w:rPr>
          <w:rFonts w:ascii="Trebuchet MS"/>
          <w:b/>
          <w:color w:val="231F20"/>
          <w:sz w:val="20"/>
        </w:rPr>
        <w:t>Development</w:t>
      </w:r>
      <w:r>
        <w:rPr>
          <w:rFonts w:ascii="Trebuchet MS"/>
          <w:b/>
          <w:color w:val="231F20"/>
          <w:spacing w:val="6"/>
          <w:sz w:val="20"/>
        </w:rPr>
        <w:t xml:space="preserve"> </w:t>
      </w:r>
      <w:r>
        <w:rPr>
          <w:rFonts w:ascii="Trebuchet MS"/>
          <w:b/>
          <w:color w:val="231F20"/>
          <w:sz w:val="20"/>
        </w:rPr>
        <w:t>and</w:t>
      </w:r>
      <w:r>
        <w:rPr>
          <w:rFonts w:ascii="Trebuchet MS"/>
          <w:b/>
          <w:color w:val="231F20"/>
          <w:spacing w:val="6"/>
          <w:sz w:val="20"/>
        </w:rPr>
        <w:t xml:space="preserve"> </w:t>
      </w:r>
      <w:r>
        <w:rPr>
          <w:rFonts w:ascii="Trebuchet MS"/>
          <w:b/>
          <w:color w:val="231F20"/>
          <w:spacing w:val="-4"/>
          <w:sz w:val="20"/>
        </w:rPr>
        <w:t>Space</w:t>
      </w:r>
    </w:p>
    <w:p w14:paraId="0CDE55D5" w14:textId="77777777" w:rsidR="00AE0598" w:rsidRDefault="0069255A">
      <w:pPr>
        <w:pStyle w:val="Corpodetexto"/>
        <w:spacing w:before="122" w:line="232" w:lineRule="auto"/>
        <w:ind w:left="110" w:right="112" w:firstLine="320"/>
        <w:jc w:val="both"/>
      </w:pPr>
      <w:r>
        <w:rPr>
          <w:color w:val="231F20"/>
        </w:rPr>
        <w:t>Chapters 5–8 consider how sport tourism is manifest in space and how</w:t>
      </w:r>
      <w:r>
        <w:rPr>
          <w:color w:val="231F20"/>
          <w:spacing w:val="-2"/>
        </w:rPr>
        <w:t xml:space="preserve"> </w:t>
      </w:r>
      <w:r>
        <w:rPr>
          <w:color w:val="231F20"/>
        </w:rPr>
        <w:t>these</w:t>
      </w:r>
      <w:r>
        <w:rPr>
          <w:color w:val="231F20"/>
          <w:spacing w:val="-2"/>
        </w:rPr>
        <w:t xml:space="preserve"> </w:t>
      </w:r>
      <w:r>
        <w:rPr>
          <w:color w:val="231F20"/>
        </w:rPr>
        <w:t>manifestations</w:t>
      </w:r>
      <w:r>
        <w:rPr>
          <w:color w:val="231F20"/>
          <w:spacing w:val="-2"/>
        </w:rPr>
        <w:t xml:space="preserve"> </w:t>
      </w:r>
      <w:r>
        <w:rPr>
          <w:color w:val="231F20"/>
        </w:rPr>
        <w:t>may</w:t>
      </w:r>
      <w:r>
        <w:rPr>
          <w:color w:val="231F20"/>
          <w:spacing w:val="-2"/>
        </w:rPr>
        <w:t xml:space="preserve"> </w:t>
      </w:r>
      <w:r>
        <w:rPr>
          <w:color w:val="231F20"/>
        </w:rPr>
        <w:t>be</w:t>
      </w:r>
      <w:r>
        <w:rPr>
          <w:color w:val="231F20"/>
          <w:spacing w:val="-2"/>
        </w:rPr>
        <w:t xml:space="preserve"> </w:t>
      </w:r>
      <w:r>
        <w:rPr>
          <w:color w:val="231F20"/>
        </w:rPr>
        <w:t>influenced.</w:t>
      </w:r>
      <w:r>
        <w:rPr>
          <w:color w:val="231F20"/>
          <w:spacing w:val="-2"/>
        </w:rPr>
        <w:t xml:space="preserve"> </w:t>
      </w:r>
      <w:r>
        <w:rPr>
          <w:color w:val="231F20"/>
        </w:rPr>
        <w:t>Chapter</w:t>
      </w:r>
      <w:r>
        <w:rPr>
          <w:color w:val="231F20"/>
          <w:spacing w:val="-2"/>
        </w:rPr>
        <w:t xml:space="preserve"> </w:t>
      </w:r>
      <w:r>
        <w:rPr>
          <w:color w:val="231F20"/>
        </w:rPr>
        <w:t>5:</w:t>
      </w:r>
      <w:r>
        <w:rPr>
          <w:color w:val="231F20"/>
          <w:spacing w:val="-2"/>
        </w:rPr>
        <w:t xml:space="preserve"> </w:t>
      </w:r>
      <w:r>
        <w:rPr>
          <w:color w:val="231F20"/>
        </w:rPr>
        <w:t>Space:</w:t>
      </w:r>
      <w:r>
        <w:rPr>
          <w:color w:val="231F20"/>
          <w:spacing w:val="-2"/>
        </w:rPr>
        <w:t xml:space="preserve"> </w:t>
      </w:r>
      <w:r>
        <w:rPr>
          <w:color w:val="231F20"/>
        </w:rPr>
        <w:t xml:space="preserve">Location and Travel Flows explores the interrelationships linking sport tourism- </w:t>
      </w:r>
      <w:r>
        <w:rPr>
          <w:color w:val="231F20"/>
          <w:w w:val="95"/>
        </w:rPr>
        <w:t>generating areas and destinations, and the trave</w:t>
      </w:r>
      <w:r>
        <w:rPr>
          <w:color w:val="231F20"/>
          <w:w w:val="95"/>
        </w:rPr>
        <w:t xml:space="preserve">l patterns associated with </w:t>
      </w:r>
      <w:r>
        <w:rPr>
          <w:color w:val="231F20"/>
        </w:rPr>
        <w:t>sport tourism markets. The basic concepts and themes for this chapter have</w:t>
      </w:r>
      <w:r>
        <w:rPr>
          <w:color w:val="231F20"/>
          <w:spacing w:val="-5"/>
        </w:rPr>
        <w:t xml:space="preserve"> </w:t>
      </w:r>
      <w:r>
        <w:rPr>
          <w:color w:val="231F20"/>
        </w:rPr>
        <w:t>their</w:t>
      </w:r>
      <w:r>
        <w:rPr>
          <w:color w:val="231F20"/>
          <w:spacing w:val="-4"/>
        </w:rPr>
        <w:t xml:space="preserve"> </w:t>
      </w:r>
      <w:r>
        <w:rPr>
          <w:color w:val="231F20"/>
        </w:rPr>
        <w:t>roots</w:t>
      </w:r>
      <w:r>
        <w:rPr>
          <w:color w:val="231F20"/>
          <w:spacing w:val="-4"/>
        </w:rPr>
        <w:t xml:space="preserve"> </w:t>
      </w:r>
      <w:r>
        <w:rPr>
          <w:color w:val="231F20"/>
        </w:rPr>
        <w:t>in</w:t>
      </w:r>
      <w:r>
        <w:rPr>
          <w:color w:val="231F20"/>
          <w:spacing w:val="-5"/>
        </w:rPr>
        <w:t xml:space="preserve"> </w:t>
      </w:r>
      <w:r>
        <w:rPr>
          <w:color w:val="231F20"/>
        </w:rPr>
        <w:t>economic</w:t>
      </w:r>
      <w:r>
        <w:rPr>
          <w:color w:val="231F20"/>
          <w:spacing w:val="-5"/>
        </w:rPr>
        <w:t xml:space="preserve"> </w:t>
      </w:r>
      <w:r>
        <w:rPr>
          <w:color w:val="231F20"/>
        </w:rPr>
        <w:t>geography.</w:t>
      </w:r>
      <w:r>
        <w:rPr>
          <w:color w:val="231F20"/>
          <w:spacing w:val="-5"/>
        </w:rPr>
        <w:t xml:space="preserve"> </w:t>
      </w:r>
      <w:r>
        <w:rPr>
          <w:color w:val="231F20"/>
        </w:rPr>
        <w:t>These</w:t>
      </w:r>
      <w:r>
        <w:rPr>
          <w:color w:val="231F20"/>
          <w:spacing w:val="-4"/>
        </w:rPr>
        <w:t xml:space="preserve"> </w:t>
      </w:r>
      <w:r>
        <w:rPr>
          <w:color w:val="231F20"/>
        </w:rPr>
        <w:t>concepts</w:t>
      </w:r>
      <w:r>
        <w:rPr>
          <w:color w:val="231F20"/>
          <w:spacing w:val="-5"/>
        </w:rPr>
        <w:t xml:space="preserve"> </w:t>
      </w:r>
      <w:r>
        <w:rPr>
          <w:color w:val="231F20"/>
        </w:rPr>
        <w:t>are</w:t>
      </w:r>
      <w:r>
        <w:rPr>
          <w:color w:val="231F20"/>
          <w:spacing w:val="-4"/>
        </w:rPr>
        <w:t xml:space="preserve"> </w:t>
      </w:r>
      <w:r>
        <w:rPr>
          <w:color w:val="231F20"/>
        </w:rPr>
        <w:t>drawn</w:t>
      </w:r>
      <w:r>
        <w:rPr>
          <w:color w:val="231F20"/>
          <w:spacing w:val="-4"/>
        </w:rPr>
        <w:t xml:space="preserve"> </w:t>
      </w:r>
      <w:r>
        <w:rPr>
          <w:color w:val="231F20"/>
        </w:rPr>
        <w:t xml:space="preserve">from </w:t>
      </w:r>
      <w:r>
        <w:rPr>
          <w:color w:val="231F20"/>
          <w:w w:val="95"/>
        </w:rPr>
        <w:t>the study of sports geography and the spatial analysis of sports (Bale, 1989, 1993), whic</w:t>
      </w:r>
      <w:r>
        <w:rPr>
          <w:color w:val="231F20"/>
          <w:w w:val="95"/>
        </w:rPr>
        <w:t xml:space="preserve">h inform, for example, the allocation of professional sport team </w:t>
      </w:r>
      <w:r>
        <w:rPr>
          <w:color w:val="231F20"/>
        </w:rPr>
        <w:t>franchises</w:t>
      </w:r>
      <w:r>
        <w:rPr>
          <w:color w:val="231F20"/>
          <w:spacing w:val="-7"/>
        </w:rPr>
        <w:t xml:space="preserve"> </w:t>
      </w:r>
      <w:r>
        <w:rPr>
          <w:color w:val="231F20"/>
        </w:rPr>
        <w:t>within</w:t>
      </w:r>
      <w:r>
        <w:rPr>
          <w:color w:val="231F20"/>
          <w:spacing w:val="-7"/>
        </w:rPr>
        <w:t xml:space="preserve"> </w:t>
      </w:r>
      <w:r>
        <w:rPr>
          <w:color w:val="231F20"/>
        </w:rPr>
        <w:t>a</w:t>
      </w:r>
      <w:r>
        <w:rPr>
          <w:color w:val="231F20"/>
          <w:spacing w:val="-7"/>
        </w:rPr>
        <w:t xml:space="preserve"> </w:t>
      </w:r>
      <w:r>
        <w:rPr>
          <w:color w:val="231F20"/>
        </w:rPr>
        <w:t>sports</w:t>
      </w:r>
      <w:r>
        <w:rPr>
          <w:color w:val="231F20"/>
          <w:spacing w:val="-7"/>
        </w:rPr>
        <w:t xml:space="preserve"> </w:t>
      </w:r>
      <w:r>
        <w:rPr>
          <w:color w:val="231F20"/>
        </w:rPr>
        <w:t>league</w:t>
      </w:r>
      <w:r>
        <w:rPr>
          <w:color w:val="231F20"/>
          <w:spacing w:val="-7"/>
        </w:rPr>
        <w:t xml:space="preserve"> </w:t>
      </w:r>
      <w:r>
        <w:rPr>
          <w:color w:val="231F20"/>
        </w:rPr>
        <w:t>or</w:t>
      </w:r>
      <w:r>
        <w:rPr>
          <w:color w:val="231F20"/>
          <w:spacing w:val="-7"/>
        </w:rPr>
        <w:t xml:space="preserve"> </w:t>
      </w:r>
      <w:r>
        <w:rPr>
          <w:color w:val="231F20"/>
        </w:rPr>
        <w:t>decisions</w:t>
      </w:r>
      <w:r>
        <w:rPr>
          <w:color w:val="231F20"/>
          <w:spacing w:val="-7"/>
        </w:rPr>
        <w:t xml:space="preserve"> </w:t>
      </w:r>
      <w:r>
        <w:rPr>
          <w:color w:val="231F20"/>
        </w:rPr>
        <w:t>on</w:t>
      </w:r>
      <w:r>
        <w:rPr>
          <w:color w:val="231F20"/>
          <w:spacing w:val="-7"/>
        </w:rPr>
        <w:t xml:space="preserve"> </w:t>
      </w:r>
      <w:r>
        <w:rPr>
          <w:color w:val="231F20"/>
        </w:rPr>
        <w:t>where</w:t>
      </w:r>
      <w:r>
        <w:rPr>
          <w:color w:val="231F20"/>
          <w:spacing w:val="-7"/>
        </w:rPr>
        <w:t xml:space="preserve"> </w:t>
      </w:r>
      <w:r>
        <w:rPr>
          <w:color w:val="231F20"/>
        </w:rPr>
        <w:t>to</w:t>
      </w:r>
      <w:r>
        <w:rPr>
          <w:color w:val="231F20"/>
          <w:spacing w:val="-7"/>
        </w:rPr>
        <w:t xml:space="preserve"> </w:t>
      </w:r>
      <w:r>
        <w:rPr>
          <w:color w:val="231F20"/>
        </w:rPr>
        <w:t>build,</w:t>
      </w:r>
      <w:r>
        <w:rPr>
          <w:color w:val="231F20"/>
          <w:spacing w:val="-7"/>
        </w:rPr>
        <w:t xml:space="preserve"> </w:t>
      </w:r>
      <w:r>
        <w:rPr>
          <w:color w:val="231F20"/>
        </w:rPr>
        <w:t xml:space="preserve">develop or enhance sport resources and facilities. The ways in which sports may </w:t>
      </w:r>
      <w:r>
        <w:rPr>
          <w:color w:val="231F20"/>
          <w:w w:val="95"/>
        </w:rPr>
        <w:t xml:space="preserve">influence the spatial travel patterns and itineraries of visitors travelling to and within a destination, whether sport functions as a primary, secondary </w:t>
      </w:r>
      <w:r>
        <w:rPr>
          <w:color w:val="231F20"/>
        </w:rPr>
        <w:t>or</w:t>
      </w:r>
      <w:r>
        <w:rPr>
          <w:color w:val="231F20"/>
          <w:spacing w:val="-5"/>
        </w:rPr>
        <w:t xml:space="preserve"> </w:t>
      </w:r>
      <w:r>
        <w:rPr>
          <w:color w:val="231F20"/>
        </w:rPr>
        <w:t>tertiary</w:t>
      </w:r>
      <w:r>
        <w:rPr>
          <w:color w:val="231F20"/>
          <w:spacing w:val="-5"/>
        </w:rPr>
        <w:t xml:space="preserve"> </w:t>
      </w:r>
      <w:r>
        <w:rPr>
          <w:color w:val="231F20"/>
        </w:rPr>
        <w:t>attraction</w:t>
      </w:r>
      <w:r>
        <w:rPr>
          <w:color w:val="231F20"/>
        </w:rPr>
        <w:t>,</w:t>
      </w:r>
      <w:r>
        <w:rPr>
          <w:color w:val="231F20"/>
          <w:spacing w:val="-5"/>
        </w:rPr>
        <w:t xml:space="preserve"> </w:t>
      </w:r>
      <w:r>
        <w:rPr>
          <w:color w:val="231F20"/>
        </w:rPr>
        <w:t>are</w:t>
      </w:r>
      <w:r>
        <w:rPr>
          <w:color w:val="231F20"/>
          <w:spacing w:val="-5"/>
        </w:rPr>
        <w:t xml:space="preserve"> </w:t>
      </w:r>
      <w:r>
        <w:rPr>
          <w:color w:val="231F20"/>
        </w:rPr>
        <w:t>also</w:t>
      </w:r>
      <w:r>
        <w:rPr>
          <w:color w:val="231F20"/>
          <w:spacing w:val="-5"/>
        </w:rPr>
        <w:t xml:space="preserve"> </w:t>
      </w:r>
      <w:r>
        <w:rPr>
          <w:color w:val="231F20"/>
        </w:rPr>
        <w:t>discussed.</w:t>
      </w:r>
      <w:r>
        <w:rPr>
          <w:color w:val="231F20"/>
          <w:spacing w:val="-5"/>
        </w:rPr>
        <w:t xml:space="preserve"> </w:t>
      </w:r>
      <w:r>
        <w:rPr>
          <w:color w:val="231F20"/>
        </w:rPr>
        <w:t>The</w:t>
      </w:r>
      <w:r>
        <w:rPr>
          <w:color w:val="231F20"/>
          <w:spacing w:val="-5"/>
        </w:rPr>
        <w:t xml:space="preserve"> </w:t>
      </w:r>
      <w:r>
        <w:rPr>
          <w:color w:val="231F20"/>
        </w:rPr>
        <w:t>rapidly</w:t>
      </w:r>
      <w:r>
        <w:rPr>
          <w:color w:val="231F20"/>
          <w:spacing w:val="-5"/>
        </w:rPr>
        <w:t xml:space="preserve"> </w:t>
      </w:r>
      <w:r>
        <w:rPr>
          <w:color w:val="231F20"/>
        </w:rPr>
        <w:t>expanding</w:t>
      </w:r>
      <w:r>
        <w:rPr>
          <w:color w:val="231F20"/>
          <w:spacing w:val="-5"/>
        </w:rPr>
        <w:t xml:space="preserve"> </w:t>
      </w:r>
      <w:r>
        <w:rPr>
          <w:color w:val="231F20"/>
        </w:rPr>
        <w:t>world</w:t>
      </w:r>
      <w:r>
        <w:rPr>
          <w:color w:val="231F20"/>
          <w:spacing w:val="-5"/>
        </w:rPr>
        <w:t xml:space="preserve"> </w:t>
      </w:r>
      <w:r>
        <w:rPr>
          <w:color w:val="231F20"/>
        </w:rPr>
        <w:t xml:space="preserve">of </w:t>
      </w:r>
      <w:r>
        <w:rPr>
          <w:color w:val="231F20"/>
          <w:w w:val="95"/>
        </w:rPr>
        <w:t>e-sports</w:t>
      </w:r>
      <w:r>
        <w:rPr>
          <w:color w:val="231F20"/>
          <w:spacing w:val="-1"/>
          <w:w w:val="95"/>
        </w:rPr>
        <w:t xml:space="preserve"> </w:t>
      </w:r>
      <w:r>
        <w:rPr>
          <w:color w:val="231F20"/>
          <w:w w:val="95"/>
        </w:rPr>
        <w:t>and</w:t>
      </w:r>
      <w:r>
        <w:rPr>
          <w:color w:val="231F20"/>
          <w:spacing w:val="-2"/>
          <w:w w:val="95"/>
        </w:rPr>
        <w:t xml:space="preserve"> </w:t>
      </w:r>
      <w:r>
        <w:rPr>
          <w:color w:val="231F20"/>
          <w:w w:val="95"/>
        </w:rPr>
        <w:t>virtual</w:t>
      </w:r>
      <w:r>
        <w:rPr>
          <w:color w:val="231F20"/>
          <w:spacing w:val="-2"/>
          <w:w w:val="95"/>
        </w:rPr>
        <w:t xml:space="preserve"> </w:t>
      </w:r>
      <w:r>
        <w:rPr>
          <w:color w:val="231F20"/>
          <w:w w:val="95"/>
        </w:rPr>
        <w:t>reality</w:t>
      </w:r>
      <w:r>
        <w:rPr>
          <w:color w:val="231F20"/>
          <w:spacing w:val="-2"/>
          <w:w w:val="95"/>
        </w:rPr>
        <w:t xml:space="preserve"> </w:t>
      </w:r>
      <w:r>
        <w:rPr>
          <w:color w:val="231F20"/>
          <w:w w:val="95"/>
        </w:rPr>
        <w:t>in</w:t>
      </w:r>
      <w:r>
        <w:rPr>
          <w:color w:val="231F20"/>
          <w:spacing w:val="-1"/>
          <w:w w:val="95"/>
        </w:rPr>
        <w:t xml:space="preserve"> </w:t>
      </w:r>
      <w:r>
        <w:rPr>
          <w:color w:val="231F20"/>
          <w:w w:val="95"/>
        </w:rPr>
        <w:t>sport</w:t>
      </w:r>
      <w:r>
        <w:rPr>
          <w:color w:val="231F20"/>
          <w:spacing w:val="-2"/>
          <w:w w:val="95"/>
        </w:rPr>
        <w:t xml:space="preserve"> </w:t>
      </w:r>
      <w:r>
        <w:rPr>
          <w:color w:val="231F20"/>
          <w:w w:val="95"/>
        </w:rPr>
        <w:t>experiences</w:t>
      </w:r>
      <w:r>
        <w:rPr>
          <w:color w:val="231F20"/>
          <w:spacing w:val="-2"/>
          <w:w w:val="95"/>
        </w:rPr>
        <w:t xml:space="preserve"> </w:t>
      </w:r>
      <w:r>
        <w:rPr>
          <w:color w:val="231F20"/>
          <w:w w:val="95"/>
        </w:rPr>
        <w:t>raises</w:t>
      </w:r>
      <w:r>
        <w:rPr>
          <w:color w:val="231F20"/>
          <w:spacing w:val="-1"/>
          <w:w w:val="95"/>
        </w:rPr>
        <w:t xml:space="preserve"> </w:t>
      </w:r>
      <w:r>
        <w:rPr>
          <w:color w:val="231F20"/>
          <w:w w:val="95"/>
        </w:rPr>
        <w:t>interesting</w:t>
      </w:r>
      <w:r>
        <w:rPr>
          <w:color w:val="231F20"/>
          <w:spacing w:val="-2"/>
          <w:w w:val="95"/>
        </w:rPr>
        <w:t xml:space="preserve"> </w:t>
      </w:r>
      <w:r>
        <w:rPr>
          <w:color w:val="231F20"/>
          <w:w w:val="95"/>
        </w:rPr>
        <w:t xml:space="preserve">questions </w:t>
      </w:r>
      <w:r>
        <w:rPr>
          <w:color w:val="231F20"/>
        </w:rPr>
        <w:t>regarding</w:t>
      </w:r>
      <w:r>
        <w:rPr>
          <w:color w:val="231F20"/>
          <w:spacing w:val="-3"/>
        </w:rPr>
        <w:t xml:space="preserve"> </w:t>
      </w:r>
      <w:r>
        <w:rPr>
          <w:color w:val="231F20"/>
        </w:rPr>
        <w:t>the</w:t>
      </w:r>
      <w:r>
        <w:rPr>
          <w:color w:val="231F20"/>
          <w:spacing w:val="-3"/>
        </w:rPr>
        <w:t xml:space="preserve"> </w:t>
      </w:r>
      <w:r>
        <w:rPr>
          <w:color w:val="231F20"/>
        </w:rPr>
        <w:t>relationship</w:t>
      </w:r>
      <w:r>
        <w:rPr>
          <w:color w:val="231F20"/>
          <w:spacing w:val="-3"/>
        </w:rPr>
        <w:t xml:space="preserve"> </w:t>
      </w:r>
      <w:r>
        <w:rPr>
          <w:color w:val="231F20"/>
        </w:rPr>
        <w:t>between</w:t>
      </w:r>
      <w:r>
        <w:rPr>
          <w:color w:val="231F20"/>
          <w:spacing w:val="-3"/>
        </w:rPr>
        <w:t xml:space="preserve"> </w:t>
      </w:r>
      <w:r>
        <w:rPr>
          <w:color w:val="231F20"/>
        </w:rPr>
        <w:t>sport</w:t>
      </w:r>
      <w:r>
        <w:rPr>
          <w:color w:val="231F20"/>
          <w:spacing w:val="-3"/>
        </w:rPr>
        <w:t xml:space="preserve"> </w:t>
      </w:r>
      <w:r>
        <w:rPr>
          <w:color w:val="231F20"/>
        </w:rPr>
        <w:t>and</w:t>
      </w:r>
      <w:r>
        <w:rPr>
          <w:color w:val="231F20"/>
          <w:spacing w:val="-3"/>
        </w:rPr>
        <w:t xml:space="preserve"> </w:t>
      </w:r>
      <w:r>
        <w:rPr>
          <w:color w:val="231F20"/>
        </w:rPr>
        <w:t>space.</w:t>
      </w:r>
    </w:p>
    <w:p w14:paraId="488F785D" w14:textId="77777777" w:rsidR="00AE0598" w:rsidRDefault="0069255A">
      <w:pPr>
        <w:pStyle w:val="Corpodetexto"/>
        <w:spacing w:before="18" w:line="232" w:lineRule="auto"/>
        <w:ind w:left="110" w:right="116" w:firstLine="320"/>
        <w:jc w:val="both"/>
      </w:pPr>
      <w:r>
        <w:rPr>
          <w:color w:val="231F20"/>
          <w:w w:val="95"/>
        </w:rPr>
        <w:t>The</w:t>
      </w:r>
      <w:r>
        <w:rPr>
          <w:color w:val="231F20"/>
          <w:spacing w:val="-8"/>
          <w:w w:val="95"/>
        </w:rPr>
        <w:t xml:space="preserve"> </w:t>
      </w:r>
      <w:r>
        <w:rPr>
          <w:color w:val="231F20"/>
          <w:w w:val="95"/>
        </w:rPr>
        <w:t>sports</w:t>
      </w:r>
      <w:r>
        <w:rPr>
          <w:color w:val="231F20"/>
          <w:spacing w:val="-8"/>
          <w:w w:val="95"/>
        </w:rPr>
        <w:t xml:space="preserve"> </w:t>
      </w:r>
      <w:r>
        <w:rPr>
          <w:color w:val="231F20"/>
          <w:w w:val="95"/>
        </w:rPr>
        <w:t>played</w:t>
      </w:r>
      <w:r>
        <w:rPr>
          <w:color w:val="231F20"/>
          <w:spacing w:val="-8"/>
          <w:w w:val="95"/>
        </w:rPr>
        <w:t xml:space="preserve"> </w:t>
      </w:r>
      <w:r>
        <w:rPr>
          <w:color w:val="231F20"/>
          <w:w w:val="95"/>
        </w:rPr>
        <w:t>in</w:t>
      </w:r>
      <w:r>
        <w:rPr>
          <w:color w:val="231F20"/>
          <w:spacing w:val="-8"/>
          <w:w w:val="95"/>
        </w:rPr>
        <w:t xml:space="preserve"> </w:t>
      </w:r>
      <w:r>
        <w:rPr>
          <w:color w:val="231F20"/>
          <w:w w:val="95"/>
        </w:rPr>
        <w:t>a</w:t>
      </w:r>
      <w:r>
        <w:rPr>
          <w:color w:val="231F20"/>
          <w:spacing w:val="-8"/>
          <w:w w:val="95"/>
        </w:rPr>
        <w:t xml:space="preserve"> </w:t>
      </w:r>
      <w:r>
        <w:rPr>
          <w:color w:val="231F20"/>
          <w:w w:val="95"/>
        </w:rPr>
        <w:t>region</w:t>
      </w:r>
      <w:r>
        <w:rPr>
          <w:color w:val="231F20"/>
          <w:spacing w:val="-8"/>
          <w:w w:val="95"/>
        </w:rPr>
        <w:t xml:space="preserve"> </w:t>
      </w:r>
      <w:r>
        <w:rPr>
          <w:color w:val="231F20"/>
          <w:w w:val="95"/>
        </w:rPr>
        <w:t>influence</w:t>
      </w:r>
      <w:r>
        <w:rPr>
          <w:color w:val="231F20"/>
          <w:spacing w:val="-8"/>
          <w:w w:val="95"/>
        </w:rPr>
        <w:t xml:space="preserve"> </w:t>
      </w:r>
      <w:r>
        <w:rPr>
          <w:color w:val="231F20"/>
          <w:w w:val="95"/>
        </w:rPr>
        <w:t>the</w:t>
      </w:r>
      <w:r>
        <w:rPr>
          <w:color w:val="231F20"/>
          <w:spacing w:val="-8"/>
          <w:w w:val="95"/>
        </w:rPr>
        <w:t xml:space="preserve"> </w:t>
      </w:r>
      <w:r>
        <w:rPr>
          <w:color w:val="231F20"/>
          <w:w w:val="95"/>
        </w:rPr>
        <w:t>meanings</w:t>
      </w:r>
      <w:r>
        <w:rPr>
          <w:color w:val="231F20"/>
          <w:spacing w:val="-8"/>
          <w:w w:val="95"/>
        </w:rPr>
        <w:t xml:space="preserve"> </w:t>
      </w:r>
      <w:r>
        <w:rPr>
          <w:color w:val="231F20"/>
          <w:w w:val="95"/>
        </w:rPr>
        <w:t>that</w:t>
      </w:r>
      <w:r>
        <w:rPr>
          <w:color w:val="231F20"/>
          <w:spacing w:val="-8"/>
          <w:w w:val="95"/>
        </w:rPr>
        <w:t xml:space="preserve"> </w:t>
      </w:r>
      <w:r>
        <w:rPr>
          <w:color w:val="231F20"/>
          <w:w w:val="95"/>
        </w:rPr>
        <w:t>are</w:t>
      </w:r>
      <w:r>
        <w:rPr>
          <w:color w:val="231F20"/>
          <w:spacing w:val="-8"/>
          <w:w w:val="95"/>
        </w:rPr>
        <w:t xml:space="preserve"> </w:t>
      </w:r>
      <w:r>
        <w:rPr>
          <w:color w:val="231F20"/>
          <w:w w:val="95"/>
        </w:rPr>
        <w:t>attached</w:t>
      </w:r>
      <w:r>
        <w:rPr>
          <w:color w:val="231F20"/>
          <w:spacing w:val="-8"/>
          <w:w w:val="95"/>
        </w:rPr>
        <w:t xml:space="preserve"> </w:t>
      </w:r>
      <w:r>
        <w:rPr>
          <w:color w:val="231F20"/>
          <w:w w:val="95"/>
        </w:rPr>
        <w:t xml:space="preserve">to </w:t>
      </w:r>
      <w:r>
        <w:rPr>
          <w:color w:val="231F20"/>
          <w:spacing w:val="-2"/>
          <w:w w:val="95"/>
        </w:rPr>
        <w:t>space.</w:t>
      </w:r>
      <w:r>
        <w:rPr>
          <w:color w:val="231F20"/>
          <w:spacing w:val="-6"/>
          <w:w w:val="95"/>
        </w:rPr>
        <w:t xml:space="preserve"> </w:t>
      </w:r>
      <w:r>
        <w:rPr>
          <w:color w:val="231F20"/>
          <w:spacing w:val="-2"/>
          <w:w w:val="95"/>
        </w:rPr>
        <w:t>Concepts</w:t>
      </w:r>
      <w:r>
        <w:rPr>
          <w:color w:val="231F20"/>
          <w:spacing w:val="-6"/>
          <w:w w:val="95"/>
        </w:rPr>
        <w:t xml:space="preserve"> </w:t>
      </w:r>
      <w:r>
        <w:rPr>
          <w:color w:val="231F20"/>
          <w:spacing w:val="-2"/>
          <w:w w:val="95"/>
        </w:rPr>
        <w:t>of</w:t>
      </w:r>
      <w:r>
        <w:rPr>
          <w:color w:val="231F20"/>
          <w:spacing w:val="9"/>
        </w:rPr>
        <w:t xml:space="preserve"> </w:t>
      </w:r>
      <w:r>
        <w:rPr>
          <w:color w:val="231F20"/>
          <w:spacing w:val="-2"/>
          <w:w w:val="95"/>
        </w:rPr>
        <w:t>place,</w:t>
      </w:r>
      <w:r>
        <w:rPr>
          <w:color w:val="231F20"/>
          <w:spacing w:val="-6"/>
          <w:w w:val="95"/>
        </w:rPr>
        <w:t xml:space="preserve"> </w:t>
      </w:r>
      <w:r>
        <w:rPr>
          <w:color w:val="231F20"/>
          <w:spacing w:val="-2"/>
          <w:w w:val="95"/>
        </w:rPr>
        <w:t>culture</w:t>
      </w:r>
      <w:r>
        <w:rPr>
          <w:color w:val="231F20"/>
          <w:spacing w:val="-6"/>
          <w:w w:val="95"/>
        </w:rPr>
        <w:t xml:space="preserve"> </w:t>
      </w:r>
      <w:r>
        <w:rPr>
          <w:color w:val="231F20"/>
          <w:spacing w:val="-2"/>
          <w:w w:val="95"/>
        </w:rPr>
        <w:t>and</w:t>
      </w:r>
      <w:r>
        <w:rPr>
          <w:color w:val="231F20"/>
          <w:spacing w:val="-6"/>
          <w:w w:val="95"/>
        </w:rPr>
        <w:t xml:space="preserve"> </w:t>
      </w:r>
      <w:r>
        <w:rPr>
          <w:color w:val="231F20"/>
          <w:spacing w:val="-2"/>
          <w:w w:val="95"/>
        </w:rPr>
        <w:t>place</w:t>
      </w:r>
      <w:r>
        <w:rPr>
          <w:color w:val="231F20"/>
          <w:spacing w:val="-6"/>
          <w:w w:val="95"/>
        </w:rPr>
        <w:t xml:space="preserve"> </w:t>
      </w:r>
      <w:r>
        <w:rPr>
          <w:color w:val="231F20"/>
          <w:spacing w:val="-2"/>
          <w:w w:val="95"/>
        </w:rPr>
        <w:t>promotion</w:t>
      </w:r>
      <w:r>
        <w:rPr>
          <w:color w:val="231F20"/>
          <w:spacing w:val="-6"/>
          <w:w w:val="95"/>
        </w:rPr>
        <w:t xml:space="preserve"> </w:t>
      </w:r>
      <w:r>
        <w:rPr>
          <w:color w:val="231F20"/>
          <w:spacing w:val="-2"/>
          <w:w w:val="95"/>
        </w:rPr>
        <w:t>are</w:t>
      </w:r>
      <w:r>
        <w:rPr>
          <w:color w:val="231F20"/>
          <w:spacing w:val="-6"/>
          <w:w w:val="95"/>
        </w:rPr>
        <w:t xml:space="preserve"> </w:t>
      </w:r>
      <w:r>
        <w:rPr>
          <w:color w:val="231F20"/>
          <w:spacing w:val="-2"/>
          <w:w w:val="95"/>
        </w:rPr>
        <w:t>explored</w:t>
      </w:r>
      <w:r>
        <w:rPr>
          <w:color w:val="231F20"/>
          <w:spacing w:val="-6"/>
          <w:w w:val="95"/>
        </w:rPr>
        <w:t xml:space="preserve"> </w:t>
      </w:r>
      <w:r>
        <w:rPr>
          <w:color w:val="231F20"/>
          <w:spacing w:val="-2"/>
          <w:w w:val="95"/>
        </w:rPr>
        <w:t>in</w:t>
      </w:r>
      <w:r>
        <w:rPr>
          <w:color w:val="231F20"/>
          <w:spacing w:val="-6"/>
          <w:w w:val="95"/>
        </w:rPr>
        <w:t xml:space="preserve"> </w:t>
      </w:r>
      <w:r>
        <w:rPr>
          <w:color w:val="231F20"/>
          <w:spacing w:val="-2"/>
          <w:w w:val="95"/>
        </w:rPr>
        <w:t xml:space="preserve">Chapter </w:t>
      </w:r>
      <w:r>
        <w:rPr>
          <w:color w:val="231F20"/>
          <w:w w:val="95"/>
        </w:rPr>
        <w:t>6:</w:t>
      </w:r>
      <w:r>
        <w:rPr>
          <w:color w:val="231F20"/>
          <w:spacing w:val="-3"/>
          <w:w w:val="95"/>
        </w:rPr>
        <w:t xml:space="preserve"> </w:t>
      </w:r>
      <w:r>
        <w:rPr>
          <w:color w:val="231F20"/>
          <w:w w:val="95"/>
        </w:rPr>
        <w:t>Place,</w:t>
      </w:r>
      <w:r>
        <w:rPr>
          <w:color w:val="231F20"/>
          <w:spacing w:val="-3"/>
          <w:w w:val="95"/>
        </w:rPr>
        <w:t xml:space="preserve"> </w:t>
      </w:r>
      <w:r>
        <w:rPr>
          <w:color w:val="231F20"/>
          <w:w w:val="95"/>
        </w:rPr>
        <w:t>Sport</w:t>
      </w:r>
      <w:r>
        <w:rPr>
          <w:color w:val="231F20"/>
          <w:spacing w:val="-3"/>
          <w:w w:val="95"/>
        </w:rPr>
        <w:t xml:space="preserve"> </w:t>
      </w:r>
      <w:r>
        <w:rPr>
          <w:color w:val="231F20"/>
          <w:w w:val="95"/>
        </w:rPr>
        <w:t>and</w:t>
      </w:r>
      <w:r>
        <w:rPr>
          <w:color w:val="231F20"/>
          <w:spacing w:val="-3"/>
          <w:w w:val="95"/>
        </w:rPr>
        <w:t xml:space="preserve"> </w:t>
      </w:r>
      <w:r>
        <w:rPr>
          <w:color w:val="231F20"/>
          <w:w w:val="95"/>
        </w:rPr>
        <w:t>Culture</w:t>
      </w:r>
      <w:r>
        <w:rPr>
          <w:i/>
          <w:color w:val="231F20"/>
          <w:w w:val="95"/>
        </w:rPr>
        <w:t>.</w:t>
      </w:r>
      <w:r>
        <w:rPr>
          <w:i/>
          <w:color w:val="231F20"/>
          <w:spacing w:val="-3"/>
          <w:w w:val="95"/>
        </w:rPr>
        <w:t xml:space="preserve"> </w:t>
      </w:r>
      <w:r>
        <w:rPr>
          <w:color w:val="231F20"/>
          <w:w w:val="95"/>
        </w:rPr>
        <w:t>In</w:t>
      </w:r>
      <w:r>
        <w:rPr>
          <w:color w:val="231F20"/>
          <w:spacing w:val="-3"/>
          <w:w w:val="95"/>
        </w:rPr>
        <w:t xml:space="preserve"> </w:t>
      </w:r>
      <w:r>
        <w:rPr>
          <w:color w:val="231F20"/>
          <w:w w:val="95"/>
        </w:rPr>
        <w:t>many</w:t>
      </w:r>
      <w:r>
        <w:rPr>
          <w:color w:val="231F20"/>
          <w:spacing w:val="-3"/>
          <w:w w:val="95"/>
        </w:rPr>
        <w:t xml:space="preserve"> </w:t>
      </w:r>
      <w:r>
        <w:rPr>
          <w:color w:val="231F20"/>
          <w:w w:val="95"/>
        </w:rPr>
        <w:t>ways,</w:t>
      </w:r>
      <w:r>
        <w:rPr>
          <w:color w:val="231F20"/>
          <w:spacing w:val="-3"/>
          <w:w w:val="95"/>
        </w:rPr>
        <w:t xml:space="preserve"> </w:t>
      </w:r>
      <w:r>
        <w:rPr>
          <w:color w:val="231F20"/>
          <w:w w:val="95"/>
        </w:rPr>
        <w:t>sport</w:t>
      </w:r>
      <w:r>
        <w:rPr>
          <w:color w:val="231F20"/>
          <w:spacing w:val="-3"/>
          <w:w w:val="95"/>
        </w:rPr>
        <w:t xml:space="preserve"> </w:t>
      </w:r>
      <w:r>
        <w:rPr>
          <w:color w:val="231F20"/>
          <w:w w:val="95"/>
        </w:rPr>
        <w:t>infuses</w:t>
      </w:r>
      <w:r>
        <w:rPr>
          <w:color w:val="231F20"/>
          <w:spacing w:val="-3"/>
          <w:w w:val="95"/>
        </w:rPr>
        <w:t xml:space="preserve"> </w:t>
      </w:r>
      <w:r>
        <w:rPr>
          <w:color w:val="231F20"/>
          <w:w w:val="95"/>
        </w:rPr>
        <w:t>tourism</w:t>
      </w:r>
      <w:r>
        <w:rPr>
          <w:color w:val="231F20"/>
          <w:spacing w:val="-3"/>
          <w:w w:val="95"/>
        </w:rPr>
        <w:t xml:space="preserve"> </w:t>
      </w:r>
      <w:r>
        <w:rPr>
          <w:color w:val="231F20"/>
          <w:w w:val="95"/>
        </w:rPr>
        <w:t>spaces</w:t>
      </w:r>
      <w:r>
        <w:rPr>
          <w:color w:val="231F20"/>
          <w:spacing w:val="-3"/>
          <w:w w:val="95"/>
        </w:rPr>
        <w:t xml:space="preserve"> </w:t>
      </w:r>
      <w:r>
        <w:rPr>
          <w:color w:val="231F20"/>
          <w:w w:val="95"/>
        </w:rPr>
        <w:t>with one</w:t>
      </w:r>
      <w:r>
        <w:rPr>
          <w:color w:val="231F20"/>
          <w:spacing w:val="-3"/>
          <w:w w:val="95"/>
        </w:rPr>
        <w:t xml:space="preserve"> </w:t>
      </w:r>
      <w:r>
        <w:rPr>
          <w:color w:val="231F20"/>
          <w:w w:val="95"/>
        </w:rPr>
        <w:t>of the</w:t>
      </w:r>
      <w:r>
        <w:rPr>
          <w:color w:val="231F20"/>
          <w:spacing w:val="-3"/>
          <w:w w:val="95"/>
        </w:rPr>
        <w:t xml:space="preserve"> </w:t>
      </w:r>
      <w:r>
        <w:rPr>
          <w:color w:val="231F20"/>
          <w:w w:val="95"/>
        </w:rPr>
        <w:t>most</w:t>
      </w:r>
      <w:r>
        <w:rPr>
          <w:color w:val="231F20"/>
          <w:spacing w:val="-3"/>
          <w:w w:val="95"/>
        </w:rPr>
        <w:t xml:space="preserve"> </w:t>
      </w:r>
      <w:r>
        <w:rPr>
          <w:color w:val="231F20"/>
          <w:w w:val="95"/>
        </w:rPr>
        <w:t>authentic</w:t>
      </w:r>
      <w:r>
        <w:rPr>
          <w:color w:val="231F20"/>
          <w:spacing w:val="-3"/>
          <w:w w:val="95"/>
        </w:rPr>
        <w:t xml:space="preserve"> </w:t>
      </w:r>
      <w:r>
        <w:rPr>
          <w:color w:val="231F20"/>
          <w:w w:val="95"/>
        </w:rPr>
        <w:t>types</w:t>
      </w:r>
      <w:r>
        <w:rPr>
          <w:color w:val="231F20"/>
          <w:spacing w:val="-3"/>
          <w:w w:val="95"/>
        </w:rPr>
        <w:t xml:space="preserve"> </w:t>
      </w:r>
      <w:r>
        <w:rPr>
          <w:color w:val="231F20"/>
          <w:w w:val="95"/>
        </w:rPr>
        <w:t>of attractions.</w:t>
      </w:r>
      <w:r>
        <w:rPr>
          <w:color w:val="231F20"/>
          <w:spacing w:val="-3"/>
          <w:w w:val="95"/>
        </w:rPr>
        <w:t xml:space="preserve"> </w:t>
      </w:r>
      <w:r>
        <w:rPr>
          <w:color w:val="231F20"/>
          <w:w w:val="95"/>
        </w:rPr>
        <w:t>The</w:t>
      </w:r>
      <w:r>
        <w:rPr>
          <w:color w:val="231F20"/>
          <w:spacing w:val="-3"/>
          <w:w w:val="95"/>
        </w:rPr>
        <w:t xml:space="preserve"> </w:t>
      </w:r>
      <w:r>
        <w:rPr>
          <w:color w:val="231F20"/>
          <w:w w:val="95"/>
        </w:rPr>
        <w:t>link</w:t>
      </w:r>
      <w:r>
        <w:rPr>
          <w:color w:val="231F20"/>
          <w:spacing w:val="-3"/>
          <w:w w:val="95"/>
        </w:rPr>
        <w:t xml:space="preserve"> </w:t>
      </w:r>
      <w:r>
        <w:rPr>
          <w:color w:val="231F20"/>
          <w:w w:val="95"/>
        </w:rPr>
        <w:t>between</w:t>
      </w:r>
      <w:r>
        <w:rPr>
          <w:color w:val="231F20"/>
          <w:spacing w:val="-3"/>
          <w:w w:val="95"/>
        </w:rPr>
        <w:t xml:space="preserve"> </w:t>
      </w:r>
      <w:r>
        <w:rPr>
          <w:color w:val="231F20"/>
          <w:w w:val="95"/>
        </w:rPr>
        <w:t>culture</w:t>
      </w:r>
      <w:r>
        <w:rPr>
          <w:color w:val="231F20"/>
          <w:spacing w:val="-3"/>
          <w:w w:val="95"/>
        </w:rPr>
        <w:t xml:space="preserve"> </w:t>
      </w:r>
      <w:r>
        <w:rPr>
          <w:color w:val="231F20"/>
          <w:w w:val="95"/>
        </w:rPr>
        <w:t xml:space="preserve">and </w:t>
      </w:r>
      <w:r>
        <w:rPr>
          <w:color w:val="231F20"/>
          <w:spacing w:val="-2"/>
        </w:rPr>
        <w:t>sport</w:t>
      </w:r>
      <w:r>
        <w:rPr>
          <w:color w:val="231F20"/>
          <w:spacing w:val="-7"/>
        </w:rPr>
        <w:t xml:space="preserve"> </w:t>
      </w:r>
      <w:r>
        <w:rPr>
          <w:color w:val="231F20"/>
          <w:spacing w:val="-2"/>
        </w:rPr>
        <w:t>takes</w:t>
      </w:r>
      <w:r>
        <w:rPr>
          <w:color w:val="231F20"/>
          <w:spacing w:val="-8"/>
        </w:rPr>
        <w:t xml:space="preserve"> </w:t>
      </w:r>
      <w:r>
        <w:rPr>
          <w:color w:val="231F20"/>
          <w:spacing w:val="-2"/>
        </w:rPr>
        <w:t>many</w:t>
      </w:r>
      <w:r>
        <w:rPr>
          <w:color w:val="231F20"/>
          <w:spacing w:val="-7"/>
        </w:rPr>
        <w:t xml:space="preserve"> </w:t>
      </w:r>
      <w:r>
        <w:rPr>
          <w:color w:val="231F20"/>
          <w:spacing w:val="-2"/>
        </w:rPr>
        <w:t>forms.</w:t>
      </w:r>
      <w:r>
        <w:rPr>
          <w:color w:val="231F20"/>
          <w:spacing w:val="-8"/>
        </w:rPr>
        <w:t xml:space="preserve"> </w:t>
      </w:r>
      <w:r>
        <w:rPr>
          <w:color w:val="231F20"/>
          <w:spacing w:val="-2"/>
        </w:rPr>
        <w:t>In</w:t>
      </w:r>
      <w:r>
        <w:rPr>
          <w:color w:val="231F20"/>
          <w:spacing w:val="-7"/>
        </w:rPr>
        <w:t xml:space="preserve"> </w:t>
      </w:r>
      <w:r>
        <w:rPr>
          <w:color w:val="231F20"/>
          <w:spacing w:val="-2"/>
        </w:rPr>
        <w:t>Chapter</w:t>
      </w:r>
      <w:r>
        <w:rPr>
          <w:color w:val="231F20"/>
          <w:spacing w:val="-8"/>
        </w:rPr>
        <w:t xml:space="preserve"> </w:t>
      </w:r>
      <w:r>
        <w:rPr>
          <w:color w:val="231F20"/>
          <w:spacing w:val="-2"/>
        </w:rPr>
        <w:t>6,</w:t>
      </w:r>
      <w:r>
        <w:rPr>
          <w:color w:val="231F20"/>
          <w:spacing w:val="-7"/>
        </w:rPr>
        <w:t xml:space="preserve"> </w:t>
      </w:r>
      <w:r>
        <w:rPr>
          <w:color w:val="231F20"/>
          <w:spacing w:val="-2"/>
        </w:rPr>
        <w:t>we</w:t>
      </w:r>
      <w:r>
        <w:rPr>
          <w:color w:val="231F20"/>
          <w:spacing w:val="-8"/>
        </w:rPr>
        <w:t xml:space="preserve"> </w:t>
      </w:r>
      <w:r>
        <w:rPr>
          <w:color w:val="231F20"/>
          <w:spacing w:val="-2"/>
        </w:rPr>
        <w:t>explore</w:t>
      </w:r>
      <w:r>
        <w:rPr>
          <w:color w:val="231F20"/>
          <w:spacing w:val="-7"/>
        </w:rPr>
        <w:t xml:space="preserve"> </w:t>
      </w:r>
      <w:r>
        <w:rPr>
          <w:color w:val="231F20"/>
          <w:spacing w:val="-2"/>
        </w:rPr>
        <w:t>the</w:t>
      </w:r>
      <w:r>
        <w:rPr>
          <w:color w:val="231F20"/>
          <w:spacing w:val="-8"/>
        </w:rPr>
        <w:t xml:space="preserve"> </w:t>
      </w:r>
      <w:r>
        <w:rPr>
          <w:color w:val="231F20"/>
          <w:spacing w:val="-2"/>
        </w:rPr>
        <w:t>notions</w:t>
      </w:r>
      <w:r>
        <w:rPr>
          <w:color w:val="231F20"/>
          <w:spacing w:val="-7"/>
        </w:rPr>
        <w:t xml:space="preserve"> </w:t>
      </w:r>
      <w:r>
        <w:rPr>
          <w:color w:val="231F20"/>
          <w:spacing w:val="-2"/>
        </w:rPr>
        <w:t>of</w:t>
      </w:r>
      <w:r>
        <w:rPr>
          <w:color w:val="231F20"/>
        </w:rPr>
        <w:t xml:space="preserve"> </w:t>
      </w:r>
      <w:r>
        <w:rPr>
          <w:color w:val="231F20"/>
          <w:spacing w:val="-2"/>
        </w:rPr>
        <w:t>‘sport</w:t>
      </w:r>
      <w:r>
        <w:rPr>
          <w:color w:val="231F20"/>
          <w:spacing w:val="-7"/>
        </w:rPr>
        <w:t xml:space="preserve"> </w:t>
      </w:r>
      <w:r>
        <w:rPr>
          <w:color w:val="231F20"/>
          <w:spacing w:val="-2"/>
        </w:rPr>
        <w:t xml:space="preserve">and </w:t>
      </w:r>
      <w:r>
        <w:rPr>
          <w:color w:val="231F20"/>
        </w:rPr>
        <w:t xml:space="preserve">culture’, ‘sport as culture’ and ‘sport subcultures’. All of these variations </w:t>
      </w:r>
      <w:r>
        <w:rPr>
          <w:color w:val="231F20"/>
          <w:w w:val="95"/>
        </w:rPr>
        <w:t>contribute</w:t>
      </w:r>
      <w:r>
        <w:rPr>
          <w:color w:val="231F20"/>
          <w:spacing w:val="-10"/>
          <w:w w:val="95"/>
        </w:rPr>
        <w:t xml:space="preserve"> </w:t>
      </w:r>
      <w:r>
        <w:rPr>
          <w:color w:val="231F20"/>
          <w:w w:val="95"/>
        </w:rPr>
        <w:t>to</w:t>
      </w:r>
      <w:r>
        <w:rPr>
          <w:color w:val="231F20"/>
          <w:spacing w:val="-9"/>
          <w:w w:val="95"/>
        </w:rPr>
        <w:t xml:space="preserve"> </w:t>
      </w:r>
      <w:r>
        <w:rPr>
          <w:color w:val="231F20"/>
          <w:w w:val="95"/>
        </w:rPr>
        <w:t>the</w:t>
      </w:r>
      <w:r>
        <w:rPr>
          <w:color w:val="231F20"/>
          <w:spacing w:val="-9"/>
          <w:w w:val="95"/>
        </w:rPr>
        <w:t xml:space="preserve"> </w:t>
      </w:r>
      <w:r>
        <w:rPr>
          <w:color w:val="231F20"/>
          <w:w w:val="95"/>
        </w:rPr>
        <w:t>meaning</w:t>
      </w:r>
      <w:r>
        <w:rPr>
          <w:color w:val="231F20"/>
          <w:spacing w:val="-9"/>
          <w:w w:val="95"/>
        </w:rPr>
        <w:t xml:space="preserve"> </w:t>
      </w:r>
      <w:r>
        <w:rPr>
          <w:color w:val="231F20"/>
          <w:w w:val="95"/>
        </w:rPr>
        <w:t>attached</w:t>
      </w:r>
      <w:r>
        <w:rPr>
          <w:color w:val="231F20"/>
          <w:spacing w:val="-10"/>
          <w:w w:val="95"/>
        </w:rPr>
        <w:t xml:space="preserve"> </w:t>
      </w:r>
      <w:r>
        <w:rPr>
          <w:color w:val="231F20"/>
          <w:w w:val="95"/>
        </w:rPr>
        <w:t>to</w:t>
      </w:r>
      <w:r>
        <w:rPr>
          <w:color w:val="231F20"/>
          <w:spacing w:val="-9"/>
          <w:w w:val="95"/>
        </w:rPr>
        <w:t xml:space="preserve"> </w:t>
      </w:r>
      <w:r>
        <w:rPr>
          <w:color w:val="231F20"/>
          <w:w w:val="95"/>
        </w:rPr>
        <w:t>sport</w:t>
      </w:r>
      <w:r>
        <w:rPr>
          <w:color w:val="231F20"/>
          <w:spacing w:val="-9"/>
          <w:w w:val="95"/>
        </w:rPr>
        <w:t xml:space="preserve"> </w:t>
      </w:r>
      <w:r>
        <w:rPr>
          <w:color w:val="231F20"/>
          <w:w w:val="95"/>
        </w:rPr>
        <w:t>tourism</w:t>
      </w:r>
      <w:r>
        <w:rPr>
          <w:color w:val="231F20"/>
          <w:spacing w:val="-9"/>
          <w:w w:val="95"/>
        </w:rPr>
        <w:t xml:space="preserve"> </w:t>
      </w:r>
      <w:r>
        <w:rPr>
          <w:color w:val="231F20"/>
          <w:w w:val="95"/>
        </w:rPr>
        <w:t>places</w:t>
      </w:r>
      <w:r>
        <w:rPr>
          <w:color w:val="231F20"/>
          <w:spacing w:val="-10"/>
          <w:w w:val="95"/>
        </w:rPr>
        <w:t xml:space="preserve"> </w:t>
      </w:r>
      <w:r>
        <w:rPr>
          <w:color w:val="231F20"/>
          <w:w w:val="95"/>
        </w:rPr>
        <w:t>(Focus</w:t>
      </w:r>
      <w:r>
        <w:rPr>
          <w:color w:val="231F20"/>
          <w:spacing w:val="-9"/>
          <w:w w:val="95"/>
        </w:rPr>
        <w:t xml:space="preserve"> </w:t>
      </w:r>
      <w:r>
        <w:rPr>
          <w:color w:val="231F20"/>
          <w:w w:val="95"/>
        </w:rPr>
        <w:t>Point</w:t>
      </w:r>
      <w:r>
        <w:rPr>
          <w:color w:val="231F20"/>
          <w:spacing w:val="-9"/>
          <w:w w:val="95"/>
        </w:rPr>
        <w:t xml:space="preserve"> </w:t>
      </w:r>
      <w:r>
        <w:rPr>
          <w:color w:val="231F20"/>
          <w:w w:val="95"/>
        </w:rPr>
        <w:t>1.2). Strategies</w:t>
      </w:r>
      <w:r>
        <w:rPr>
          <w:color w:val="231F20"/>
          <w:spacing w:val="-1"/>
          <w:w w:val="95"/>
        </w:rPr>
        <w:t xml:space="preserve"> </w:t>
      </w:r>
      <w:r>
        <w:rPr>
          <w:color w:val="231F20"/>
          <w:w w:val="95"/>
        </w:rPr>
        <w:t>that</w:t>
      </w:r>
      <w:r>
        <w:rPr>
          <w:color w:val="231F20"/>
          <w:spacing w:val="-1"/>
          <w:w w:val="95"/>
        </w:rPr>
        <w:t xml:space="preserve"> </w:t>
      </w:r>
      <w:r>
        <w:rPr>
          <w:color w:val="231F20"/>
          <w:w w:val="95"/>
        </w:rPr>
        <w:t>incorporate</w:t>
      </w:r>
      <w:r>
        <w:rPr>
          <w:color w:val="231F20"/>
          <w:spacing w:val="-1"/>
          <w:w w:val="95"/>
        </w:rPr>
        <w:t xml:space="preserve"> </w:t>
      </w:r>
      <w:r>
        <w:rPr>
          <w:color w:val="231F20"/>
          <w:w w:val="95"/>
        </w:rPr>
        <w:t>the</w:t>
      </w:r>
      <w:r>
        <w:rPr>
          <w:color w:val="231F20"/>
          <w:w w:val="95"/>
        </w:rPr>
        <w:t>se</w:t>
      </w:r>
      <w:r>
        <w:rPr>
          <w:color w:val="231F20"/>
          <w:spacing w:val="-1"/>
          <w:w w:val="95"/>
        </w:rPr>
        <w:t xml:space="preserve"> </w:t>
      </w:r>
      <w:r>
        <w:rPr>
          <w:color w:val="231F20"/>
          <w:w w:val="95"/>
        </w:rPr>
        <w:t>cultural</w:t>
      </w:r>
      <w:r>
        <w:rPr>
          <w:color w:val="231F20"/>
          <w:spacing w:val="-1"/>
          <w:w w:val="95"/>
        </w:rPr>
        <w:t xml:space="preserve"> </w:t>
      </w:r>
      <w:r>
        <w:rPr>
          <w:color w:val="231F20"/>
          <w:w w:val="95"/>
        </w:rPr>
        <w:t>variations</w:t>
      </w:r>
      <w:r>
        <w:rPr>
          <w:color w:val="231F20"/>
          <w:spacing w:val="-1"/>
          <w:w w:val="95"/>
        </w:rPr>
        <w:t xml:space="preserve"> </w:t>
      </w:r>
      <w:r>
        <w:rPr>
          <w:color w:val="231F20"/>
          <w:w w:val="95"/>
        </w:rPr>
        <w:t>can</w:t>
      </w:r>
      <w:r>
        <w:rPr>
          <w:color w:val="231F20"/>
          <w:spacing w:val="-1"/>
          <w:w w:val="95"/>
        </w:rPr>
        <w:t xml:space="preserve"> </w:t>
      </w:r>
      <w:r>
        <w:rPr>
          <w:color w:val="231F20"/>
          <w:w w:val="95"/>
        </w:rPr>
        <w:t>be</w:t>
      </w:r>
      <w:r>
        <w:rPr>
          <w:color w:val="231F20"/>
          <w:spacing w:val="-1"/>
          <w:w w:val="95"/>
        </w:rPr>
        <w:t xml:space="preserve"> </w:t>
      </w:r>
      <w:r>
        <w:rPr>
          <w:color w:val="231F20"/>
          <w:w w:val="95"/>
        </w:rPr>
        <w:t>used</w:t>
      </w:r>
      <w:r>
        <w:rPr>
          <w:color w:val="231F20"/>
          <w:spacing w:val="-1"/>
          <w:w w:val="95"/>
        </w:rPr>
        <w:t xml:space="preserve"> </w:t>
      </w:r>
      <w:r>
        <w:rPr>
          <w:color w:val="231F20"/>
          <w:w w:val="95"/>
        </w:rPr>
        <w:t>to</w:t>
      </w:r>
      <w:r>
        <w:rPr>
          <w:color w:val="231F20"/>
          <w:spacing w:val="-1"/>
          <w:w w:val="95"/>
        </w:rPr>
        <w:t xml:space="preserve"> </w:t>
      </w:r>
      <w:r>
        <w:rPr>
          <w:color w:val="231F20"/>
          <w:w w:val="95"/>
        </w:rPr>
        <w:t xml:space="preserve">promote </w:t>
      </w:r>
      <w:r>
        <w:rPr>
          <w:color w:val="231F20"/>
        </w:rPr>
        <w:t xml:space="preserve">place to a variety of markets. There are, however, significant challenges </w:t>
      </w:r>
      <w:r>
        <w:rPr>
          <w:color w:val="231F20"/>
          <w:spacing w:val="-2"/>
          <w:w w:val="95"/>
        </w:rPr>
        <w:t>associated</w:t>
      </w:r>
      <w:r>
        <w:rPr>
          <w:color w:val="231F20"/>
          <w:spacing w:val="-3"/>
        </w:rPr>
        <w:t xml:space="preserve"> </w:t>
      </w:r>
      <w:r>
        <w:rPr>
          <w:color w:val="231F20"/>
          <w:spacing w:val="-2"/>
          <w:w w:val="95"/>
        </w:rPr>
        <w:t>with</w:t>
      </w:r>
      <w:r>
        <w:rPr>
          <w:color w:val="231F20"/>
          <w:spacing w:val="-3"/>
        </w:rPr>
        <w:t xml:space="preserve"> </w:t>
      </w:r>
      <w:r>
        <w:rPr>
          <w:color w:val="231F20"/>
          <w:spacing w:val="-2"/>
          <w:w w:val="95"/>
        </w:rPr>
        <w:t>the</w:t>
      </w:r>
      <w:r>
        <w:rPr>
          <w:color w:val="231F20"/>
          <w:spacing w:val="-3"/>
        </w:rPr>
        <w:t xml:space="preserve"> </w:t>
      </w:r>
      <w:r>
        <w:rPr>
          <w:color w:val="231F20"/>
          <w:spacing w:val="-2"/>
          <w:w w:val="95"/>
        </w:rPr>
        <w:t>commodification</w:t>
      </w:r>
      <w:r>
        <w:rPr>
          <w:color w:val="231F20"/>
          <w:spacing w:val="-3"/>
        </w:rPr>
        <w:t xml:space="preserve"> </w:t>
      </w:r>
      <w:r>
        <w:rPr>
          <w:color w:val="231F20"/>
          <w:spacing w:val="-2"/>
          <w:w w:val="95"/>
        </w:rPr>
        <w:t>of</w:t>
      </w:r>
      <w:r>
        <w:rPr>
          <w:color w:val="231F20"/>
          <w:spacing w:val="13"/>
        </w:rPr>
        <w:t xml:space="preserve"> </w:t>
      </w:r>
      <w:r>
        <w:rPr>
          <w:color w:val="231F20"/>
          <w:spacing w:val="-2"/>
          <w:w w:val="95"/>
        </w:rPr>
        <w:t>culture</w:t>
      </w:r>
      <w:r>
        <w:rPr>
          <w:color w:val="231F20"/>
          <w:spacing w:val="-3"/>
        </w:rPr>
        <w:t xml:space="preserve"> </w:t>
      </w:r>
      <w:r>
        <w:rPr>
          <w:color w:val="231F20"/>
          <w:spacing w:val="-2"/>
          <w:w w:val="95"/>
        </w:rPr>
        <w:t>in</w:t>
      </w:r>
      <w:r>
        <w:rPr>
          <w:color w:val="231F20"/>
          <w:spacing w:val="-3"/>
        </w:rPr>
        <w:t xml:space="preserve"> </w:t>
      </w:r>
      <w:r>
        <w:rPr>
          <w:color w:val="231F20"/>
          <w:spacing w:val="-2"/>
          <w:w w:val="95"/>
        </w:rPr>
        <w:t>sport</w:t>
      </w:r>
      <w:r>
        <w:rPr>
          <w:color w:val="231F20"/>
          <w:spacing w:val="-3"/>
        </w:rPr>
        <w:t xml:space="preserve"> </w:t>
      </w:r>
      <w:r>
        <w:rPr>
          <w:color w:val="231F20"/>
          <w:spacing w:val="-2"/>
          <w:w w:val="95"/>
        </w:rPr>
        <w:t>(Jackson</w:t>
      </w:r>
      <w:r>
        <w:rPr>
          <w:color w:val="231F20"/>
          <w:spacing w:val="-3"/>
        </w:rPr>
        <w:t xml:space="preserve"> </w:t>
      </w:r>
      <w:r>
        <w:rPr>
          <w:i/>
          <w:color w:val="231F20"/>
          <w:spacing w:val="-2"/>
          <w:w w:val="95"/>
        </w:rPr>
        <w:t>et</w:t>
      </w:r>
      <w:r>
        <w:rPr>
          <w:i/>
          <w:color w:val="231F20"/>
          <w:spacing w:val="-3"/>
        </w:rPr>
        <w:t xml:space="preserve"> </w:t>
      </w:r>
      <w:r>
        <w:rPr>
          <w:i/>
          <w:color w:val="231F20"/>
          <w:spacing w:val="-2"/>
          <w:w w:val="95"/>
        </w:rPr>
        <w:t>al</w:t>
      </w:r>
      <w:r>
        <w:rPr>
          <w:color w:val="231F20"/>
          <w:spacing w:val="-2"/>
          <w:w w:val="95"/>
        </w:rPr>
        <w:t>.,</w:t>
      </w:r>
      <w:r>
        <w:rPr>
          <w:color w:val="231F20"/>
          <w:spacing w:val="-3"/>
        </w:rPr>
        <w:t xml:space="preserve"> </w:t>
      </w:r>
      <w:r>
        <w:rPr>
          <w:color w:val="231F20"/>
          <w:spacing w:val="-2"/>
          <w:w w:val="95"/>
        </w:rPr>
        <w:t>2001).</w:t>
      </w:r>
    </w:p>
    <w:p w14:paraId="43096A28" w14:textId="3AD2AE09" w:rsidR="00AE0598" w:rsidRDefault="0069255A">
      <w:pPr>
        <w:pStyle w:val="Corpodetexto"/>
        <w:spacing w:before="7"/>
        <w:rPr>
          <w:sz w:val="20"/>
        </w:rPr>
      </w:pPr>
      <w:r>
        <w:rPr>
          <w:noProof/>
        </w:rPr>
        <mc:AlternateContent>
          <mc:Choice Requires="wps">
            <w:drawing>
              <wp:anchor distT="0" distB="0" distL="0" distR="0" simplePos="0" relativeHeight="487596544" behindDoc="1" locked="0" layoutInCell="1" allowOverlap="1" wp14:anchorId="3EB5FA33" wp14:editId="599EC404">
                <wp:simplePos x="0" y="0"/>
                <wp:positionH relativeFrom="page">
                  <wp:posOffset>755650</wp:posOffset>
                </wp:positionH>
                <wp:positionV relativeFrom="paragraph">
                  <wp:posOffset>168275</wp:posOffset>
                </wp:positionV>
                <wp:extent cx="4104005" cy="777240"/>
                <wp:effectExtent l="0" t="0" r="0" b="0"/>
                <wp:wrapTopAndBottom/>
                <wp:docPr id="358" name="docshape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04005" cy="777240"/>
                        </a:xfrm>
                        <a:prstGeom prst="rect">
                          <a:avLst/>
                        </a:prstGeom>
                        <a:solidFill>
                          <a:srgbClr val="DCDDD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40C431B" w14:textId="77777777" w:rsidR="00AE0598" w:rsidRDefault="0069255A">
                            <w:pPr>
                              <w:spacing w:before="75"/>
                              <w:ind w:left="113"/>
                              <w:jc w:val="both"/>
                              <w:rPr>
                                <w:rFonts w:ascii="Trebuchet MS"/>
                                <w:color w:val="000000"/>
                                <w:sz w:val="20"/>
                              </w:rPr>
                            </w:pPr>
                            <w:r>
                              <w:rPr>
                                <w:rFonts w:ascii="Trebuchet MS"/>
                                <w:color w:val="231F20"/>
                                <w:sz w:val="20"/>
                              </w:rPr>
                              <w:t>Focus</w:t>
                            </w:r>
                            <w:r>
                              <w:rPr>
                                <w:rFonts w:ascii="Trebuchet MS"/>
                                <w:color w:val="231F20"/>
                                <w:spacing w:val="9"/>
                                <w:sz w:val="20"/>
                              </w:rPr>
                              <w:t xml:space="preserve"> </w:t>
                            </w:r>
                            <w:r>
                              <w:rPr>
                                <w:rFonts w:ascii="Trebuchet MS"/>
                                <w:color w:val="231F20"/>
                                <w:sz w:val="20"/>
                              </w:rPr>
                              <w:t>Point</w:t>
                            </w:r>
                            <w:r>
                              <w:rPr>
                                <w:rFonts w:ascii="Trebuchet MS"/>
                                <w:color w:val="231F20"/>
                                <w:spacing w:val="9"/>
                                <w:sz w:val="20"/>
                              </w:rPr>
                              <w:t xml:space="preserve"> </w:t>
                            </w:r>
                            <w:r>
                              <w:rPr>
                                <w:rFonts w:ascii="Trebuchet MS"/>
                                <w:color w:val="231F20"/>
                                <w:sz w:val="20"/>
                              </w:rPr>
                              <w:t>1.2:</w:t>
                            </w:r>
                            <w:r>
                              <w:rPr>
                                <w:rFonts w:ascii="Trebuchet MS"/>
                                <w:color w:val="231F20"/>
                                <w:spacing w:val="10"/>
                                <w:sz w:val="20"/>
                              </w:rPr>
                              <w:t xml:space="preserve"> </w:t>
                            </w:r>
                            <w:r>
                              <w:rPr>
                                <w:rFonts w:ascii="Trebuchet MS"/>
                                <w:color w:val="231F20"/>
                                <w:sz w:val="20"/>
                              </w:rPr>
                              <w:t>Sport,</w:t>
                            </w:r>
                            <w:r>
                              <w:rPr>
                                <w:rFonts w:ascii="Trebuchet MS"/>
                                <w:color w:val="231F20"/>
                                <w:spacing w:val="9"/>
                                <w:sz w:val="20"/>
                              </w:rPr>
                              <w:t xml:space="preserve"> </w:t>
                            </w:r>
                            <w:r>
                              <w:rPr>
                                <w:rFonts w:ascii="Trebuchet MS"/>
                                <w:color w:val="231F20"/>
                                <w:sz w:val="20"/>
                              </w:rPr>
                              <w:t>Heritage</w:t>
                            </w:r>
                            <w:r>
                              <w:rPr>
                                <w:rFonts w:ascii="Trebuchet MS"/>
                                <w:color w:val="231F20"/>
                                <w:spacing w:val="10"/>
                                <w:sz w:val="20"/>
                              </w:rPr>
                              <w:t xml:space="preserve"> </w:t>
                            </w:r>
                            <w:r>
                              <w:rPr>
                                <w:rFonts w:ascii="Trebuchet MS"/>
                                <w:color w:val="231F20"/>
                                <w:sz w:val="20"/>
                              </w:rPr>
                              <w:t>and</w:t>
                            </w:r>
                            <w:r>
                              <w:rPr>
                                <w:rFonts w:ascii="Trebuchet MS"/>
                                <w:color w:val="231F20"/>
                                <w:spacing w:val="9"/>
                                <w:sz w:val="20"/>
                              </w:rPr>
                              <w:t xml:space="preserve"> </w:t>
                            </w:r>
                            <w:r>
                              <w:rPr>
                                <w:rFonts w:ascii="Trebuchet MS"/>
                                <w:color w:val="231F20"/>
                                <w:spacing w:val="-2"/>
                                <w:sz w:val="20"/>
                              </w:rPr>
                              <w:t>Culture</w:t>
                            </w:r>
                          </w:p>
                          <w:p w14:paraId="557744AA" w14:textId="77777777" w:rsidR="00AE0598" w:rsidRDefault="0069255A">
                            <w:pPr>
                              <w:pStyle w:val="Corpodetexto"/>
                              <w:spacing w:before="122" w:line="232" w:lineRule="auto"/>
                              <w:ind w:left="113" w:right="111"/>
                              <w:jc w:val="both"/>
                              <w:rPr>
                                <w:color w:val="000000"/>
                              </w:rPr>
                            </w:pPr>
                            <w:r>
                              <w:rPr>
                                <w:color w:val="231F20"/>
                                <w:w w:val="95"/>
                              </w:rPr>
                              <w:t xml:space="preserve">Heritage and culture contribute to making tourism destinations unique. </w:t>
                            </w:r>
                            <w:r>
                              <w:rPr>
                                <w:color w:val="231F20"/>
                              </w:rPr>
                              <w:t>Sport and sports venues may represent a unique expression of the heritage</w:t>
                            </w:r>
                            <w:r>
                              <w:rPr>
                                <w:color w:val="231F20"/>
                                <w:spacing w:val="29"/>
                              </w:rPr>
                              <w:t xml:space="preserve"> </w:t>
                            </w:r>
                            <w:r>
                              <w:rPr>
                                <w:color w:val="231F20"/>
                              </w:rPr>
                              <w:t>of</w:t>
                            </w:r>
                            <w:r>
                              <w:rPr>
                                <w:color w:val="231F20"/>
                                <w:spacing w:val="29"/>
                              </w:rPr>
                              <w:t xml:space="preserve"> </w:t>
                            </w:r>
                            <w:r>
                              <w:rPr>
                                <w:color w:val="231F20"/>
                              </w:rPr>
                              <w:t>place.</w:t>
                            </w:r>
                            <w:r>
                              <w:rPr>
                                <w:color w:val="231F20"/>
                                <w:spacing w:val="30"/>
                              </w:rPr>
                              <w:t xml:space="preserve"> </w:t>
                            </w:r>
                            <w:r>
                              <w:rPr>
                                <w:color w:val="231F20"/>
                              </w:rPr>
                              <w:t>Sports</w:t>
                            </w:r>
                            <w:r>
                              <w:rPr>
                                <w:color w:val="231F20"/>
                                <w:spacing w:val="29"/>
                              </w:rPr>
                              <w:t xml:space="preserve"> </w:t>
                            </w:r>
                            <w:r>
                              <w:rPr>
                                <w:color w:val="231F20"/>
                              </w:rPr>
                              <w:t>venues</w:t>
                            </w:r>
                            <w:r>
                              <w:rPr>
                                <w:color w:val="231F20"/>
                                <w:spacing w:val="30"/>
                              </w:rPr>
                              <w:t xml:space="preserve"> </w:t>
                            </w:r>
                            <w:r>
                              <w:rPr>
                                <w:color w:val="231F20"/>
                              </w:rPr>
                              <w:t>in</w:t>
                            </w:r>
                            <w:r>
                              <w:rPr>
                                <w:color w:val="231F20"/>
                                <w:spacing w:val="29"/>
                              </w:rPr>
                              <w:t xml:space="preserve"> </w:t>
                            </w:r>
                            <w:r>
                              <w:rPr>
                                <w:color w:val="231F20"/>
                              </w:rPr>
                              <w:t>the</w:t>
                            </w:r>
                            <w:r>
                              <w:rPr>
                                <w:color w:val="231F20"/>
                                <w:spacing w:val="30"/>
                              </w:rPr>
                              <w:t xml:space="preserve"> </w:t>
                            </w:r>
                            <w:r>
                              <w:rPr>
                                <w:color w:val="231F20"/>
                              </w:rPr>
                              <w:t>UK,</w:t>
                            </w:r>
                            <w:r>
                              <w:rPr>
                                <w:color w:val="231F20"/>
                                <w:spacing w:val="29"/>
                              </w:rPr>
                              <w:t xml:space="preserve"> </w:t>
                            </w:r>
                            <w:r>
                              <w:rPr>
                                <w:color w:val="231F20"/>
                              </w:rPr>
                              <w:t>such</w:t>
                            </w:r>
                            <w:r>
                              <w:rPr>
                                <w:color w:val="231F20"/>
                                <w:spacing w:val="30"/>
                              </w:rPr>
                              <w:t xml:space="preserve"> </w:t>
                            </w:r>
                            <w:r>
                              <w:rPr>
                                <w:color w:val="231F20"/>
                              </w:rPr>
                              <w:t>as</w:t>
                            </w:r>
                            <w:r>
                              <w:rPr>
                                <w:color w:val="231F20"/>
                                <w:spacing w:val="29"/>
                              </w:rPr>
                              <w:t xml:space="preserve"> </w:t>
                            </w:r>
                            <w:r>
                              <w:rPr>
                                <w:color w:val="231F20"/>
                              </w:rPr>
                              <w:t>Lord’s</w:t>
                            </w:r>
                            <w:r>
                              <w:rPr>
                                <w:color w:val="231F20"/>
                                <w:spacing w:val="30"/>
                              </w:rPr>
                              <w:t xml:space="preserve"> </w:t>
                            </w:r>
                            <w:r>
                              <w:rPr>
                                <w:color w:val="231F20"/>
                                <w:spacing w:val="-2"/>
                              </w:rPr>
                              <w:t>(cricket),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B5FA33" id="docshape18" o:spid="_x0000_s1027" type="#_x0000_t202" style="position:absolute;margin-left:59.5pt;margin-top:13.25pt;width:323.15pt;height:61.2pt;z-index:-157199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" fillcolor="#dcddde" stroked="f">
                <v:textbox inset="0,0,0,0">
                  <w:txbxContent>
                    <w:p w14:paraId="340C431B" w14:textId="77777777" w:rsidR="00AE0598" w:rsidRDefault="0069255A">
                      <w:pPr>
                        <w:spacing w:before="75"/>
                        <w:ind w:left="113"/>
                        <w:jc w:val="both"/>
                        <w:rPr>
                          <w:rFonts w:ascii="Trebuchet MS"/>
                          <w:color w:val="000000"/>
                          <w:sz w:val="20"/>
                        </w:rPr>
                      </w:pPr>
                      <w:r>
                        <w:rPr>
                          <w:rFonts w:ascii="Trebuchet MS"/>
                          <w:color w:val="231F20"/>
                          <w:sz w:val="20"/>
                        </w:rPr>
                        <w:t>Focus</w:t>
                      </w:r>
                      <w:r>
                        <w:rPr>
                          <w:rFonts w:ascii="Trebuchet MS"/>
                          <w:color w:val="231F20"/>
                          <w:spacing w:val="9"/>
                          <w:sz w:val="20"/>
                        </w:rPr>
                        <w:t xml:space="preserve"> </w:t>
                      </w:r>
                      <w:r>
                        <w:rPr>
                          <w:rFonts w:ascii="Trebuchet MS"/>
                          <w:color w:val="231F20"/>
                          <w:sz w:val="20"/>
                        </w:rPr>
                        <w:t>Point</w:t>
                      </w:r>
                      <w:r>
                        <w:rPr>
                          <w:rFonts w:ascii="Trebuchet MS"/>
                          <w:color w:val="231F20"/>
                          <w:spacing w:val="9"/>
                          <w:sz w:val="20"/>
                        </w:rPr>
                        <w:t xml:space="preserve"> </w:t>
                      </w:r>
                      <w:r>
                        <w:rPr>
                          <w:rFonts w:ascii="Trebuchet MS"/>
                          <w:color w:val="231F20"/>
                          <w:sz w:val="20"/>
                        </w:rPr>
                        <w:t>1.2:</w:t>
                      </w:r>
                      <w:r>
                        <w:rPr>
                          <w:rFonts w:ascii="Trebuchet MS"/>
                          <w:color w:val="231F20"/>
                          <w:spacing w:val="10"/>
                          <w:sz w:val="20"/>
                        </w:rPr>
                        <w:t xml:space="preserve"> </w:t>
                      </w:r>
                      <w:r>
                        <w:rPr>
                          <w:rFonts w:ascii="Trebuchet MS"/>
                          <w:color w:val="231F20"/>
                          <w:sz w:val="20"/>
                        </w:rPr>
                        <w:t>Sport,</w:t>
                      </w:r>
                      <w:r>
                        <w:rPr>
                          <w:rFonts w:ascii="Trebuchet MS"/>
                          <w:color w:val="231F20"/>
                          <w:spacing w:val="9"/>
                          <w:sz w:val="20"/>
                        </w:rPr>
                        <w:t xml:space="preserve"> </w:t>
                      </w:r>
                      <w:r>
                        <w:rPr>
                          <w:rFonts w:ascii="Trebuchet MS"/>
                          <w:color w:val="231F20"/>
                          <w:sz w:val="20"/>
                        </w:rPr>
                        <w:t>Heritage</w:t>
                      </w:r>
                      <w:r>
                        <w:rPr>
                          <w:rFonts w:ascii="Trebuchet MS"/>
                          <w:color w:val="231F20"/>
                          <w:spacing w:val="10"/>
                          <w:sz w:val="20"/>
                        </w:rPr>
                        <w:t xml:space="preserve"> </w:t>
                      </w:r>
                      <w:r>
                        <w:rPr>
                          <w:rFonts w:ascii="Trebuchet MS"/>
                          <w:color w:val="231F20"/>
                          <w:sz w:val="20"/>
                        </w:rPr>
                        <w:t>and</w:t>
                      </w:r>
                      <w:r>
                        <w:rPr>
                          <w:rFonts w:ascii="Trebuchet MS"/>
                          <w:color w:val="231F20"/>
                          <w:spacing w:val="9"/>
                          <w:sz w:val="20"/>
                        </w:rPr>
                        <w:t xml:space="preserve"> </w:t>
                      </w:r>
                      <w:r>
                        <w:rPr>
                          <w:rFonts w:ascii="Trebuchet MS"/>
                          <w:color w:val="231F20"/>
                          <w:spacing w:val="-2"/>
                          <w:sz w:val="20"/>
                        </w:rPr>
                        <w:t>Culture</w:t>
                      </w:r>
                    </w:p>
                    <w:p w14:paraId="557744AA" w14:textId="77777777" w:rsidR="00AE0598" w:rsidRDefault="0069255A">
                      <w:pPr>
                        <w:pStyle w:val="Corpodetexto"/>
                        <w:spacing w:before="122" w:line="232" w:lineRule="auto"/>
                        <w:ind w:left="113" w:right="111"/>
                        <w:jc w:val="both"/>
                        <w:rPr>
                          <w:color w:val="000000"/>
                        </w:rPr>
                      </w:pPr>
                      <w:r>
                        <w:rPr>
                          <w:color w:val="231F20"/>
                          <w:w w:val="95"/>
                        </w:rPr>
                        <w:t xml:space="preserve">Heritage and culture contribute to making tourism destinations unique. </w:t>
                      </w:r>
                      <w:r>
                        <w:rPr>
                          <w:color w:val="231F20"/>
                        </w:rPr>
                        <w:t>Sport and sports venues may represent a unique expression of the heritage</w:t>
                      </w:r>
                      <w:r>
                        <w:rPr>
                          <w:color w:val="231F20"/>
                          <w:spacing w:val="29"/>
                        </w:rPr>
                        <w:t xml:space="preserve"> </w:t>
                      </w:r>
                      <w:r>
                        <w:rPr>
                          <w:color w:val="231F20"/>
                        </w:rPr>
                        <w:t>of</w:t>
                      </w:r>
                      <w:r>
                        <w:rPr>
                          <w:color w:val="231F20"/>
                          <w:spacing w:val="29"/>
                        </w:rPr>
                        <w:t xml:space="preserve"> </w:t>
                      </w:r>
                      <w:r>
                        <w:rPr>
                          <w:color w:val="231F20"/>
                        </w:rPr>
                        <w:t>place.</w:t>
                      </w:r>
                      <w:r>
                        <w:rPr>
                          <w:color w:val="231F20"/>
                          <w:spacing w:val="30"/>
                        </w:rPr>
                        <w:t xml:space="preserve"> </w:t>
                      </w:r>
                      <w:r>
                        <w:rPr>
                          <w:color w:val="231F20"/>
                        </w:rPr>
                        <w:t>Sports</w:t>
                      </w:r>
                      <w:r>
                        <w:rPr>
                          <w:color w:val="231F20"/>
                          <w:spacing w:val="29"/>
                        </w:rPr>
                        <w:t xml:space="preserve"> </w:t>
                      </w:r>
                      <w:r>
                        <w:rPr>
                          <w:color w:val="231F20"/>
                        </w:rPr>
                        <w:t>venues</w:t>
                      </w:r>
                      <w:r>
                        <w:rPr>
                          <w:color w:val="231F20"/>
                          <w:spacing w:val="30"/>
                        </w:rPr>
                        <w:t xml:space="preserve"> </w:t>
                      </w:r>
                      <w:r>
                        <w:rPr>
                          <w:color w:val="231F20"/>
                        </w:rPr>
                        <w:t>in</w:t>
                      </w:r>
                      <w:r>
                        <w:rPr>
                          <w:color w:val="231F20"/>
                          <w:spacing w:val="29"/>
                        </w:rPr>
                        <w:t xml:space="preserve"> </w:t>
                      </w:r>
                      <w:r>
                        <w:rPr>
                          <w:color w:val="231F20"/>
                        </w:rPr>
                        <w:t>the</w:t>
                      </w:r>
                      <w:r>
                        <w:rPr>
                          <w:color w:val="231F20"/>
                          <w:spacing w:val="30"/>
                        </w:rPr>
                        <w:t xml:space="preserve"> </w:t>
                      </w:r>
                      <w:r>
                        <w:rPr>
                          <w:color w:val="231F20"/>
                        </w:rPr>
                        <w:t>UK,</w:t>
                      </w:r>
                      <w:r>
                        <w:rPr>
                          <w:color w:val="231F20"/>
                          <w:spacing w:val="29"/>
                        </w:rPr>
                        <w:t xml:space="preserve"> </w:t>
                      </w:r>
                      <w:r>
                        <w:rPr>
                          <w:color w:val="231F20"/>
                        </w:rPr>
                        <w:t>such</w:t>
                      </w:r>
                      <w:r>
                        <w:rPr>
                          <w:color w:val="231F20"/>
                          <w:spacing w:val="30"/>
                        </w:rPr>
                        <w:t xml:space="preserve"> </w:t>
                      </w:r>
                      <w:r>
                        <w:rPr>
                          <w:color w:val="231F20"/>
                        </w:rPr>
                        <w:t>as</w:t>
                      </w:r>
                      <w:r>
                        <w:rPr>
                          <w:color w:val="231F20"/>
                          <w:spacing w:val="29"/>
                        </w:rPr>
                        <w:t xml:space="preserve"> </w:t>
                      </w:r>
                      <w:r>
                        <w:rPr>
                          <w:color w:val="231F20"/>
                        </w:rPr>
                        <w:t>Lord’s</w:t>
                      </w:r>
                      <w:r>
                        <w:rPr>
                          <w:color w:val="231F20"/>
                          <w:spacing w:val="30"/>
                        </w:rPr>
                        <w:t xml:space="preserve"> </w:t>
                      </w:r>
                      <w:r>
                        <w:rPr>
                          <w:color w:val="231F20"/>
                          <w:spacing w:val="-2"/>
                        </w:rPr>
                        <w:t>(cricket),</w:t>
                      </w:r>
                    </w:p>
                  </w:txbxContent>
                </v:textbox>
                <w10:wrap type="topAndBottom" anchorx="page"/>
              </v:shape>
            </w:pict>
          </mc:Fallback>
        </mc:AlternateContent>
      </w:r>
    </w:p>
    <w:p w14:paraId="5B3A5E0A" w14:textId="77777777" w:rsidR="00AE0598" w:rsidRDefault="00AE0598">
      <w:pPr>
        <w:rPr>
          <w:sz w:val="20"/>
        </w:rPr>
        <w:sectPr w:rsidR="00AE0598">
          <w:pgSz w:w="8850" w:h="13270"/>
          <w:pgMar w:top="720" w:right="1080" w:bottom="280" w:left="1080" w:header="720" w:footer="720" w:gutter="0"/>
          <w:cols w:space="720"/>
        </w:sectPr>
      </w:pPr>
    </w:p>
    <w:p w14:paraId="693699D8" w14:textId="58DCDBF4" w:rsidR="00AE0598" w:rsidRDefault="0069255A">
      <w:pPr>
        <w:spacing w:before="87"/>
        <w:ind w:left="4091"/>
        <w:rPr>
          <w:rFonts w:ascii="Trebuchet MS"/>
          <w:sz w:val="14"/>
        </w:rPr>
      </w:pPr>
      <w:r>
        <w:rPr>
          <w:noProof/>
        </w:rPr>
        <w:lastRenderedPageBreak/>
        <mc:AlternateContent>
          <mc:Choice Requires="wps">
            <w:drawing>
              <wp:anchor distT="0" distB="0" distL="114300" distR="114300" simplePos="0" relativeHeight="483661824" behindDoc="1" locked="0" layoutInCell="1" allowOverlap="1" wp14:anchorId="664C53D0" wp14:editId="250F592D">
                <wp:simplePos x="0" y="0"/>
                <wp:positionH relativeFrom="page">
                  <wp:posOffset>755650</wp:posOffset>
                </wp:positionH>
                <wp:positionV relativeFrom="page">
                  <wp:posOffset>838200</wp:posOffset>
                </wp:positionV>
                <wp:extent cx="4104005" cy="6645910"/>
                <wp:effectExtent l="0" t="0" r="0" b="0"/>
                <wp:wrapNone/>
                <wp:docPr id="357" name="docshape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04005" cy="6645910"/>
                        </a:xfrm>
                        <a:prstGeom prst="rect">
                          <a:avLst/>
                        </a:prstGeom>
                        <a:solidFill>
                          <a:srgbClr val="DCDDD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E95A8B" id="docshape19" o:spid="_x0000_s1026" style="position:absolute;margin-left:59.5pt;margin-top:66pt;width:323.15pt;height:523.3pt;z-index:-196546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" fillcolor="#dcddde" stroked="f">
                <w10:wrap anchorx="page" anchory="page"/>
              </v:rect>
            </w:pict>
          </mc:Fallback>
        </mc:AlternateContent>
      </w:r>
      <w:r>
        <w:rPr>
          <w:rFonts w:ascii="Trebuchet MS"/>
          <w:color w:val="231F20"/>
          <w:w w:val="105"/>
          <w:sz w:val="14"/>
        </w:rPr>
        <w:t>Sport</w:t>
      </w:r>
      <w:r>
        <w:rPr>
          <w:rFonts w:ascii="Trebuchet MS"/>
          <w:color w:val="231F20"/>
          <w:spacing w:val="-9"/>
          <w:w w:val="105"/>
          <w:sz w:val="14"/>
        </w:rPr>
        <w:t xml:space="preserve"> </w:t>
      </w:r>
      <w:r>
        <w:rPr>
          <w:rFonts w:ascii="Trebuchet MS"/>
          <w:color w:val="231F20"/>
          <w:w w:val="105"/>
          <w:sz w:val="14"/>
        </w:rPr>
        <w:t>Tourism</w:t>
      </w:r>
      <w:r>
        <w:rPr>
          <w:rFonts w:ascii="Trebuchet MS"/>
          <w:color w:val="231F20"/>
          <w:spacing w:val="-8"/>
          <w:w w:val="105"/>
          <w:sz w:val="14"/>
        </w:rPr>
        <w:t xml:space="preserve"> </w:t>
      </w:r>
      <w:r>
        <w:rPr>
          <w:rFonts w:ascii="Trebuchet MS"/>
          <w:color w:val="231F20"/>
          <w:w w:val="105"/>
          <w:sz w:val="14"/>
        </w:rPr>
        <w:t>in</w:t>
      </w:r>
      <w:r>
        <w:rPr>
          <w:rFonts w:ascii="Trebuchet MS"/>
          <w:color w:val="231F20"/>
          <w:spacing w:val="-9"/>
          <w:w w:val="105"/>
          <w:sz w:val="14"/>
        </w:rPr>
        <w:t xml:space="preserve"> </w:t>
      </w:r>
      <w:r>
        <w:rPr>
          <w:rFonts w:ascii="Trebuchet MS"/>
          <w:color w:val="231F20"/>
          <w:w w:val="105"/>
          <w:sz w:val="14"/>
        </w:rPr>
        <w:t>Times</w:t>
      </w:r>
      <w:r>
        <w:rPr>
          <w:rFonts w:ascii="Trebuchet MS"/>
          <w:color w:val="231F20"/>
          <w:spacing w:val="-9"/>
          <w:w w:val="105"/>
          <w:sz w:val="14"/>
        </w:rPr>
        <w:t xml:space="preserve"> </w:t>
      </w:r>
      <w:r>
        <w:rPr>
          <w:rFonts w:ascii="Trebuchet MS"/>
          <w:color w:val="231F20"/>
          <w:w w:val="105"/>
          <w:sz w:val="14"/>
        </w:rPr>
        <w:t>of</w:t>
      </w:r>
      <w:r>
        <w:rPr>
          <w:rFonts w:ascii="Trebuchet MS"/>
          <w:color w:val="231F20"/>
          <w:spacing w:val="-8"/>
          <w:w w:val="105"/>
          <w:sz w:val="14"/>
        </w:rPr>
        <w:t xml:space="preserve"> </w:t>
      </w:r>
      <w:r>
        <w:rPr>
          <w:rFonts w:ascii="Trebuchet MS"/>
          <w:color w:val="231F20"/>
          <w:w w:val="105"/>
          <w:sz w:val="14"/>
        </w:rPr>
        <w:t>Change</w:t>
      </w:r>
      <w:r>
        <w:rPr>
          <w:rFonts w:ascii="Trebuchet MS"/>
          <w:color w:val="231F20"/>
          <w:spacing w:val="67"/>
          <w:w w:val="150"/>
          <w:sz w:val="14"/>
        </w:rPr>
        <w:t xml:space="preserve"> </w:t>
      </w:r>
      <w:r>
        <w:rPr>
          <w:rFonts w:ascii="Trebuchet MS"/>
          <w:color w:val="231F20"/>
          <w:spacing w:val="-5"/>
          <w:w w:val="105"/>
          <w:sz w:val="14"/>
        </w:rPr>
        <w:t>11</w:t>
      </w:r>
    </w:p>
    <w:p w14:paraId="6EB8E91B" w14:textId="77777777" w:rsidR="00AE0598" w:rsidRDefault="00AE0598">
      <w:pPr>
        <w:pStyle w:val="Corpodetexto"/>
        <w:spacing w:before="1"/>
        <w:rPr>
          <w:rFonts w:ascii="Trebuchet MS"/>
          <w:sz w:val="27"/>
        </w:rPr>
      </w:pPr>
    </w:p>
    <w:p w14:paraId="46D39164" w14:textId="77777777" w:rsidR="00AE0598" w:rsidRDefault="0069255A">
      <w:pPr>
        <w:pStyle w:val="Corpodetexto"/>
        <w:spacing w:before="103" w:line="232" w:lineRule="auto"/>
        <w:ind w:left="223" w:right="220"/>
        <w:jc w:val="both"/>
      </w:pPr>
      <w:r>
        <w:rPr>
          <w:color w:val="231F20"/>
        </w:rPr>
        <w:t>Wimbledon (lawn tennis), Twickenham (rugby union), St Andrews (golf), Wembley (football) and Royal Ascot (horse racing) are widely recognised as the spiritual homes of their sports. Some of sport’s</w:t>
      </w:r>
      <w:r>
        <w:rPr>
          <w:color w:val="231F20"/>
          <w:spacing w:val="40"/>
        </w:rPr>
        <w:t xml:space="preserve"> </w:t>
      </w:r>
      <w:r>
        <w:rPr>
          <w:color w:val="231F20"/>
        </w:rPr>
        <w:t>most prestigious tournaments are contested at these venues</w:t>
      </w:r>
      <w:r>
        <w:rPr>
          <w:color w:val="231F20"/>
        </w:rPr>
        <w:t>. With time, each has developed its own aura of tradition. Each represents a significant expression of the heritage and culture of Britain (British Tourist</w:t>
      </w:r>
      <w:r>
        <w:rPr>
          <w:color w:val="231F20"/>
          <w:spacing w:val="-3"/>
        </w:rPr>
        <w:t xml:space="preserve"> </w:t>
      </w:r>
      <w:r>
        <w:rPr>
          <w:color w:val="231F20"/>
        </w:rPr>
        <w:t>Authority,</w:t>
      </w:r>
      <w:r>
        <w:rPr>
          <w:color w:val="231F20"/>
          <w:spacing w:val="-3"/>
        </w:rPr>
        <w:t xml:space="preserve"> </w:t>
      </w:r>
      <w:r>
        <w:rPr>
          <w:color w:val="231F20"/>
        </w:rPr>
        <w:t>2000)</w:t>
      </w:r>
      <w:r>
        <w:rPr>
          <w:color w:val="231F20"/>
          <w:spacing w:val="-3"/>
        </w:rPr>
        <w:t xml:space="preserve"> </w:t>
      </w:r>
      <w:r>
        <w:rPr>
          <w:color w:val="231F20"/>
        </w:rPr>
        <w:t>and</w:t>
      </w:r>
      <w:r>
        <w:rPr>
          <w:color w:val="231F20"/>
          <w:spacing w:val="-3"/>
        </w:rPr>
        <w:t xml:space="preserve"> </w:t>
      </w:r>
      <w:r>
        <w:rPr>
          <w:color w:val="231F20"/>
        </w:rPr>
        <w:t>many</w:t>
      </w:r>
      <w:r>
        <w:rPr>
          <w:color w:val="231F20"/>
          <w:spacing w:val="-3"/>
        </w:rPr>
        <w:t xml:space="preserve"> </w:t>
      </w:r>
      <w:r>
        <w:rPr>
          <w:color w:val="231F20"/>
        </w:rPr>
        <w:t>have</w:t>
      </w:r>
      <w:r>
        <w:rPr>
          <w:color w:val="231F20"/>
          <w:spacing w:val="-3"/>
        </w:rPr>
        <w:t xml:space="preserve"> </w:t>
      </w:r>
      <w:r>
        <w:rPr>
          <w:color w:val="231F20"/>
        </w:rPr>
        <w:t>developed</w:t>
      </w:r>
      <w:r>
        <w:rPr>
          <w:color w:val="231F20"/>
          <w:spacing w:val="-3"/>
        </w:rPr>
        <w:t xml:space="preserve"> </w:t>
      </w:r>
      <w:r>
        <w:rPr>
          <w:color w:val="231F20"/>
        </w:rPr>
        <w:t>museums,</w:t>
      </w:r>
      <w:r>
        <w:rPr>
          <w:color w:val="231F20"/>
          <w:spacing w:val="-3"/>
        </w:rPr>
        <w:t xml:space="preserve"> </w:t>
      </w:r>
      <w:r>
        <w:rPr>
          <w:color w:val="231F20"/>
        </w:rPr>
        <w:t>halls</w:t>
      </w:r>
      <w:r>
        <w:rPr>
          <w:color w:val="231F20"/>
          <w:spacing w:val="-3"/>
        </w:rPr>
        <w:t xml:space="preserve"> </w:t>
      </w:r>
      <w:r>
        <w:rPr>
          <w:color w:val="231F20"/>
        </w:rPr>
        <w:t>of fame and venue tours to foster visitor ex</w:t>
      </w:r>
      <w:r>
        <w:rPr>
          <w:color w:val="231F20"/>
        </w:rPr>
        <w:t xml:space="preserve">periences and to cement this </w:t>
      </w:r>
      <w:r>
        <w:rPr>
          <w:color w:val="231F20"/>
          <w:w w:val="95"/>
        </w:rPr>
        <w:t xml:space="preserve">spiritual status. Other sports represent distinctive cultural elements of a regional or national destination. The examples are universal and include </w:t>
      </w:r>
      <w:r>
        <w:rPr>
          <w:color w:val="231F20"/>
        </w:rPr>
        <w:t>football</w:t>
      </w:r>
      <w:r>
        <w:rPr>
          <w:color w:val="231F20"/>
          <w:spacing w:val="-11"/>
        </w:rPr>
        <w:t xml:space="preserve"> </w:t>
      </w:r>
      <w:r>
        <w:rPr>
          <w:color w:val="231F20"/>
        </w:rPr>
        <w:t>(Brazil),</w:t>
      </w:r>
      <w:r>
        <w:rPr>
          <w:color w:val="231F20"/>
          <w:spacing w:val="-11"/>
        </w:rPr>
        <w:t xml:space="preserve"> </w:t>
      </w:r>
      <w:r>
        <w:rPr>
          <w:color w:val="231F20"/>
        </w:rPr>
        <w:t>ice</w:t>
      </w:r>
      <w:r>
        <w:rPr>
          <w:color w:val="231F20"/>
          <w:spacing w:val="-11"/>
        </w:rPr>
        <w:t xml:space="preserve"> </w:t>
      </w:r>
      <w:r>
        <w:rPr>
          <w:color w:val="231F20"/>
        </w:rPr>
        <w:t>hockey</w:t>
      </w:r>
      <w:r>
        <w:rPr>
          <w:color w:val="231F20"/>
          <w:spacing w:val="-11"/>
        </w:rPr>
        <w:t xml:space="preserve"> </w:t>
      </w:r>
      <w:r>
        <w:rPr>
          <w:color w:val="231F20"/>
        </w:rPr>
        <w:t>(Canada),</w:t>
      </w:r>
      <w:r>
        <w:rPr>
          <w:color w:val="231F20"/>
          <w:spacing w:val="-11"/>
        </w:rPr>
        <w:t xml:space="preserve"> </w:t>
      </w:r>
      <w:r>
        <w:rPr>
          <w:color w:val="231F20"/>
        </w:rPr>
        <w:t>baseball</w:t>
      </w:r>
      <w:r>
        <w:rPr>
          <w:color w:val="231F20"/>
          <w:spacing w:val="-11"/>
        </w:rPr>
        <w:t xml:space="preserve"> </w:t>
      </w:r>
      <w:r>
        <w:rPr>
          <w:color w:val="231F20"/>
        </w:rPr>
        <w:t>(USA),</w:t>
      </w:r>
      <w:r>
        <w:rPr>
          <w:color w:val="231F20"/>
          <w:spacing w:val="-11"/>
        </w:rPr>
        <w:t xml:space="preserve"> </w:t>
      </w:r>
      <w:r>
        <w:rPr>
          <w:color w:val="231F20"/>
        </w:rPr>
        <w:t>Australian</w:t>
      </w:r>
      <w:r>
        <w:rPr>
          <w:color w:val="231F20"/>
          <w:spacing w:val="-11"/>
        </w:rPr>
        <w:t xml:space="preserve"> </w:t>
      </w:r>
      <w:r>
        <w:rPr>
          <w:color w:val="231F20"/>
        </w:rPr>
        <w:t>Rules footb</w:t>
      </w:r>
      <w:r>
        <w:rPr>
          <w:color w:val="231F20"/>
        </w:rPr>
        <w:t>all (Australia), Rugby Sevens (Fiji), sumo wrestling (Japan) and Thai boxing (Thailand).</w:t>
      </w:r>
    </w:p>
    <w:p w14:paraId="3D7D886A" w14:textId="77777777" w:rsidR="00AE0598" w:rsidRDefault="0069255A">
      <w:pPr>
        <w:pStyle w:val="Corpodetexto"/>
        <w:spacing w:before="15" w:line="232" w:lineRule="auto"/>
        <w:ind w:left="223" w:right="221" w:firstLine="320"/>
        <w:jc w:val="both"/>
      </w:pPr>
      <w:r>
        <w:rPr>
          <w:color w:val="231F20"/>
        </w:rPr>
        <w:t xml:space="preserve">These sports allow ready access to the culture of a destination. In Brazil, football legend is built upon ‘ginga’, a term used by Pele (three </w:t>
      </w:r>
      <w:r>
        <w:rPr>
          <w:color w:val="231F20"/>
          <w:w w:val="95"/>
        </w:rPr>
        <w:t>times FIFA World Cup winn</w:t>
      </w:r>
      <w:r>
        <w:rPr>
          <w:color w:val="231F20"/>
          <w:w w:val="95"/>
        </w:rPr>
        <w:t>er and World Footballer of</w:t>
      </w:r>
      <w:r>
        <w:rPr>
          <w:color w:val="231F20"/>
        </w:rPr>
        <w:t xml:space="preserve"> </w:t>
      </w:r>
      <w:r>
        <w:rPr>
          <w:color w:val="231F20"/>
          <w:w w:val="95"/>
        </w:rPr>
        <w:t>the 20th century) from the Portuguese word for ‘sway’ that came to describe a style of</w:t>
      </w:r>
      <w:r>
        <w:rPr>
          <w:color w:val="231F20"/>
        </w:rPr>
        <w:t xml:space="preserve"> </w:t>
      </w:r>
      <w:r>
        <w:rPr>
          <w:color w:val="231F20"/>
          <w:w w:val="95"/>
        </w:rPr>
        <w:t xml:space="preserve">play based on flowing creativity and the rare individual brilliance that arises </w:t>
      </w:r>
      <w:r>
        <w:rPr>
          <w:color w:val="231F20"/>
        </w:rPr>
        <w:t>in</w:t>
      </w:r>
      <w:r>
        <w:rPr>
          <w:color w:val="231F20"/>
          <w:spacing w:val="-4"/>
        </w:rPr>
        <w:t xml:space="preserve"> </w:t>
      </w:r>
      <w:r>
        <w:rPr>
          <w:color w:val="231F20"/>
        </w:rPr>
        <w:t>some</w:t>
      </w:r>
      <w:r>
        <w:rPr>
          <w:color w:val="231F20"/>
          <w:spacing w:val="-4"/>
        </w:rPr>
        <w:t xml:space="preserve"> </w:t>
      </w:r>
      <w:r>
        <w:rPr>
          <w:color w:val="231F20"/>
        </w:rPr>
        <w:t>Brazilian</w:t>
      </w:r>
      <w:r>
        <w:rPr>
          <w:color w:val="231F20"/>
          <w:spacing w:val="-4"/>
        </w:rPr>
        <w:t xml:space="preserve"> </w:t>
      </w:r>
      <w:r>
        <w:rPr>
          <w:color w:val="231F20"/>
        </w:rPr>
        <w:t>players.</w:t>
      </w:r>
      <w:r>
        <w:rPr>
          <w:color w:val="231F20"/>
          <w:spacing w:val="-4"/>
        </w:rPr>
        <w:t xml:space="preserve"> </w:t>
      </w:r>
      <w:r>
        <w:rPr>
          <w:color w:val="231F20"/>
        </w:rPr>
        <w:t>In</w:t>
      </w:r>
      <w:r>
        <w:rPr>
          <w:color w:val="231F20"/>
          <w:spacing w:val="-4"/>
        </w:rPr>
        <w:t xml:space="preserve"> </w:t>
      </w:r>
      <w:r>
        <w:rPr>
          <w:color w:val="231F20"/>
        </w:rPr>
        <w:t>Fiji,</w:t>
      </w:r>
      <w:r>
        <w:rPr>
          <w:color w:val="231F20"/>
          <w:spacing w:val="-4"/>
        </w:rPr>
        <w:t xml:space="preserve"> </w:t>
      </w:r>
      <w:r>
        <w:rPr>
          <w:color w:val="231F20"/>
        </w:rPr>
        <w:t>Rugby</w:t>
      </w:r>
      <w:r>
        <w:rPr>
          <w:color w:val="231F20"/>
          <w:spacing w:val="-4"/>
        </w:rPr>
        <w:t xml:space="preserve"> </w:t>
      </w:r>
      <w:r>
        <w:rPr>
          <w:color w:val="231F20"/>
        </w:rPr>
        <w:t>Sevens</w:t>
      </w:r>
      <w:r>
        <w:rPr>
          <w:color w:val="231F20"/>
          <w:spacing w:val="-4"/>
        </w:rPr>
        <w:t xml:space="preserve"> </w:t>
      </w:r>
      <w:r>
        <w:rPr>
          <w:color w:val="231F20"/>
        </w:rPr>
        <w:t>is</w:t>
      </w:r>
      <w:r>
        <w:rPr>
          <w:color w:val="231F20"/>
          <w:spacing w:val="-4"/>
        </w:rPr>
        <w:t xml:space="preserve"> </w:t>
      </w:r>
      <w:r>
        <w:rPr>
          <w:color w:val="231F20"/>
        </w:rPr>
        <w:t>an</w:t>
      </w:r>
      <w:r>
        <w:rPr>
          <w:color w:val="231F20"/>
          <w:spacing w:val="-4"/>
        </w:rPr>
        <w:t xml:space="preserve"> </w:t>
      </w:r>
      <w:r>
        <w:rPr>
          <w:color w:val="231F20"/>
        </w:rPr>
        <w:t>express</w:t>
      </w:r>
      <w:r>
        <w:rPr>
          <w:color w:val="231F20"/>
        </w:rPr>
        <w:t>ion</w:t>
      </w:r>
      <w:r>
        <w:rPr>
          <w:color w:val="231F20"/>
          <w:spacing w:val="-4"/>
        </w:rPr>
        <w:t xml:space="preserve"> </w:t>
      </w:r>
      <w:r>
        <w:rPr>
          <w:color w:val="231F20"/>
        </w:rPr>
        <w:t xml:space="preserve">of the </w:t>
      </w:r>
      <w:r>
        <w:rPr>
          <w:color w:val="231F20"/>
          <w:w w:val="95"/>
        </w:rPr>
        <w:t>flair and style of</w:t>
      </w:r>
      <w:r>
        <w:rPr>
          <w:color w:val="231F20"/>
        </w:rPr>
        <w:t xml:space="preserve"> </w:t>
      </w:r>
      <w:r>
        <w:rPr>
          <w:color w:val="231F20"/>
          <w:w w:val="95"/>
        </w:rPr>
        <w:t>Melanesian and Polynesian rugby, combining individual speed</w:t>
      </w:r>
      <w:r>
        <w:rPr>
          <w:color w:val="231F20"/>
          <w:spacing w:val="-7"/>
          <w:w w:val="95"/>
        </w:rPr>
        <w:t xml:space="preserve"> </w:t>
      </w:r>
      <w:r>
        <w:rPr>
          <w:color w:val="231F20"/>
          <w:w w:val="95"/>
        </w:rPr>
        <w:t>and</w:t>
      </w:r>
      <w:r>
        <w:rPr>
          <w:color w:val="231F20"/>
          <w:spacing w:val="-7"/>
          <w:w w:val="95"/>
        </w:rPr>
        <w:t xml:space="preserve"> </w:t>
      </w:r>
      <w:r>
        <w:rPr>
          <w:color w:val="231F20"/>
          <w:w w:val="95"/>
        </w:rPr>
        <w:t>strength</w:t>
      </w:r>
      <w:r>
        <w:rPr>
          <w:color w:val="231F20"/>
          <w:spacing w:val="-7"/>
          <w:w w:val="95"/>
        </w:rPr>
        <w:t xml:space="preserve"> </w:t>
      </w:r>
      <w:r>
        <w:rPr>
          <w:color w:val="231F20"/>
          <w:w w:val="95"/>
        </w:rPr>
        <w:t>with</w:t>
      </w:r>
      <w:r>
        <w:rPr>
          <w:color w:val="231F20"/>
          <w:spacing w:val="-7"/>
          <w:w w:val="95"/>
        </w:rPr>
        <w:t xml:space="preserve"> </w:t>
      </w:r>
      <w:r>
        <w:rPr>
          <w:color w:val="231F20"/>
          <w:w w:val="95"/>
        </w:rPr>
        <w:t>a</w:t>
      </w:r>
      <w:r>
        <w:rPr>
          <w:color w:val="231F20"/>
          <w:spacing w:val="-7"/>
          <w:w w:val="95"/>
        </w:rPr>
        <w:t xml:space="preserve"> </w:t>
      </w:r>
      <w:r>
        <w:rPr>
          <w:color w:val="231F20"/>
          <w:w w:val="95"/>
        </w:rPr>
        <w:t>willingness</w:t>
      </w:r>
      <w:r>
        <w:rPr>
          <w:color w:val="231F20"/>
          <w:spacing w:val="-7"/>
          <w:w w:val="95"/>
        </w:rPr>
        <w:t xml:space="preserve"> </w:t>
      </w:r>
      <w:r>
        <w:rPr>
          <w:color w:val="231F20"/>
          <w:w w:val="95"/>
        </w:rPr>
        <w:t>to</w:t>
      </w:r>
      <w:r>
        <w:rPr>
          <w:color w:val="231F20"/>
          <w:spacing w:val="-7"/>
          <w:w w:val="95"/>
        </w:rPr>
        <w:t xml:space="preserve"> </w:t>
      </w:r>
      <w:r>
        <w:rPr>
          <w:color w:val="231F20"/>
          <w:w w:val="95"/>
        </w:rPr>
        <w:t>play</w:t>
      </w:r>
      <w:r>
        <w:rPr>
          <w:color w:val="231F20"/>
          <w:spacing w:val="-7"/>
          <w:w w:val="95"/>
        </w:rPr>
        <w:t xml:space="preserve"> </w:t>
      </w:r>
      <w:r>
        <w:rPr>
          <w:color w:val="231F20"/>
          <w:w w:val="95"/>
        </w:rPr>
        <w:t>a</w:t>
      </w:r>
      <w:r>
        <w:rPr>
          <w:color w:val="231F20"/>
          <w:spacing w:val="-7"/>
          <w:w w:val="95"/>
        </w:rPr>
        <w:t xml:space="preserve"> </w:t>
      </w:r>
      <w:r>
        <w:rPr>
          <w:color w:val="231F20"/>
          <w:w w:val="95"/>
        </w:rPr>
        <w:t>fast</w:t>
      </w:r>
      <w:r>
        <w:rPr>
          <w:color w:val="231F20"/>
          <w:spacing w:val="-7"/>
          <w:w w:val="95"/>
        </w:rPr>
        <w:t xml:space="preserve"> </w:t>
      </w:r>
      <w:r>
        <w:rPr>
          <w:color w:val="231F20"/>
          <w:w w:val="95"/>
        </w:rPr>
        <w:t>pace,</w:t>
      </w:r>
      <w:r>
        <w:rPr>
          <w:color w:val="231F20"/>
          <w:spacing w:val="-7"/>
          <w:w w:val="95"/>
        </w:rPr>
        <w:t xml:space="preserve"> </w:t>
      </w:r>
      <w:r>
        <w:rPr>
          <w:color w:val="231F20"/>
          <w:w w:val="95"/>
        </w:rPr>
        <w:t>high</w:t>
      </w:r>
      <w:r>
        <w:rPr>
          <w:color w:val="231F20"/>
          <w:spacing w:val="-7"/>
          <w:w w:val="95"/>
        </w:rPr>
        <w:t xml:space="preserve"> </w:t>
      </w:r>
      <w:r>
        <w:rPr>
          <w:color w:val="231F20"/>
          <w:w w:val="95"/>
        </w:rPr>
        <w:t>risk</w:t>
      </w:r>
      <w:r>
        <w:rPr>
          <w:color w:val="231F20"/>
          <w:spacing w:val="-7"/>
          <w:w w:val="95"/>
        </w:rPr>
        <w:t xml:space="preserve"> </w:t>
      </w:r>
      <w:r>
        <w:rPr>
          <w:color w:val="231F20"/>
          <w:w w:val="95"/>
        </w:rPr>
        <w:t xml:space="preserve">passing </w:t>
      </w:r>
      <w:r>
        <w:rPr>
          <w:color w:val="231F20"/>
        </w:rPr>
        <w:t>game.</w:t>
      </w:r>
      <w:r>
        <w:rPr>
          <w:color w:val="231F20"/>
          <w:spacing w:val="-9"/>
        </w:rPr>
        <w:t xml:space="preserve"> </w:t>
      </w:r>
      <w:r>
        <w:rPr>
          <w:color w:val="231F20"/>
        </w:rPr>
        <w:t>The</w:t>
      </w:r>
      <w:r>
        <w:rPr>
          <w:color w:val="231F20"/>
          <w:spacing w:val="-9"/>
        </w:rPr>
        <w:t xml:space="preserve"> </w:t>
      </w:r>
      <w:r>
        <w:rPr>
          <w:color w:val="231F20"/>
        </w:rPr>
        <w:t>brilliance</w:t>
      </w:r>
      <w:r>
        <w:rPr>
          <w:color w:val="231F20"/>
          <w:spacing w:val="-9"/>
        </w:rPr>
        <w:t xml:space="preserve"> </w:t>
      </w:r>
      <w:r>
        <w:rPr>
          <w:color w:val="231F20"/>
        </w:rPr>
        <w:t>of Fijian</w:t>
      </w:r>
      <w:r>
        <w:rPr>
          <w:color w:val="231F20"/>
          <w:spacing w:val="-9"/>
        </w:rPr>
        <w:t xml:space="preserve"> </w:t>
      </w:r>
      <w:r>
        <w:rPr>
          <w:color w:val="231F20"/>
        </w:rPr>
        <w:t>Rugby</w:t>
      </w:r>
      <w:r>
        <w:rPr>
          <w:color w:val="231F20"/>
          <w:spacing w:val="-9"/>
        </w:rPr>
        <w:t xml:space="preserve"> </w:t>
      </w:r>
      <w:r>
        <w:rPr>
          <w:color w:val="231F20"/>
        </w:rPr>
        <w:t>Sevens</w:t>
      </w:r>
      <w:r>
        <w:rPr>
          <w:color w:val="231F20"/>
          <w:spacing w:val="-9"/>
        </w:rPr>
        <w:t xml:space="preserve"> </w:t>
      </w:r>
      <w:r>
        <w:rPr>
          <w:color w:val="231F20"/>
        </w:rPr>
        <w:t>culminated</w:t>
      </w:r>
      <w:r>
        <w:rPr>
          <w:color w:val="231F20"/>
          <w:spacing w:val="-9"/>
        </w:rPr>
        <w:t xml:space="preserve"> </w:t>
      </w:r>
      <w:r>
        <w:rPr>
          <w:color w:val="231F20"/>
        </w:rPr>
        <w:t>in</w:t>
      </w:r>
      <w:r>
        <w:rPr>
          <w:color w:val="231F20"/>
          <w:spacing w:val="-9"/>
        </w:rPr>
        <w:t xml:space="preserve"> </w:t>
      </w:r>
      <w:r>
        <w:rPr>
          <w:color w:val="231F20"/>
        </w:rPr>
        <w:t>Rio</w:t>
      </w:r>
      <w:r>
        <w:rPr>
          <w:color w:val="231F20"/>
          <w:spacing w:val="-9"/>
        </w:rPr>
        <w:t xml:space="preserve"> </w:t>
      </w:r>
      <w:r>
        <w:rPr>
          <w:color w:val="231F20"/>
        </w:rPr>
        <w:t xml:space="preserve">Olympic </w:t>
      </w:r>
      <w:r>
        <w:rPr>
          <w:color w:val="231F20"/>
          <w:spacing w:val="-2"/>
        </w:rPr>
        <w:t>gold</w:t>
      </w:r>
      <w:r>
        <w:rPr>
          <w:color w:val="231F20"/>
          <w:spacing w:val="-6"/>
        </w:rPr>
        <w:t xml:space="preserve"> </w:t>
      </w:r>
      <w:r>
        <w:rPr>
          <w:color w:val="231F20"/>
          <w:spacing w:val="-2"/>
        </w:rPr>
        <w:t>in</w:t>
      </w:r>
      <w:r>
        <w:rPr>
          <w:color w:val="231F20"/>
          <w:spacing w:val="-6"/>
        </w:rPr>
        <w:t xml:space="preserve"> </w:t>
      </w:r>
      <w:r>
        <w:rPr>
          <w:color w:val="231F20"/>
          <w:spacing w:val="-2"/>
        </w:rPr>
        <w:t>2016;</w:t>
      </w:r>
      <w:r>
        <w:rPr>
          <w:color w:val="231F20"/>
          <w:spacing w:val="-6"/>
        </w:rPr>
        <w:t xml:space="preserve"> </w:t>
      </w:r>
      <w:r>
        <w:rPr>
          <w:color w:val="231F20"/>
          <w:spacing w:val="-2"/>
        </w:rPr>
        <w:t>a</w:t>
      </w:r>
      <w:r>
        <w:rPr>
          <w:color w:val="231F20"/>
          <w:spacing w:val="-6"/>
        </w:rPr>
        <w:t xml:space="preserve"> </w:t>
      </w:r>
      <w:r>
        <w:rPr>
          <w:color w:val="231F20"/>
          <w:spacing w:val="-2"/>
        </w:rPr>
        <w:t>remarkable</w:t>
      </w:r>
      <w:r>
        <w:rPr>
          <w:color w:val="231F20"/>
          <w:spacing w:val="-6"/>
        </w:rPr>
        <w:t xml:space="preserve"> </w:t>
      </w:r>
      <w:r>
        <w:rPr>
          <w:color w:val="231F20"/>
          <w:spacing w:val="-2"/>
        </w:rPr>
        <w:t>feat</w:t>
      </w:r>
      <w:r>
        <w:rPr>
          <w:color w:val="231F20"/>
          <w:spacing w:val="-6"/>
        </w:rPr>
        <w:t xml:space="preserve"> </w:t>
      </w:r>
      <w:r>
        <w:rPr>
          <w:color w:val="231F20"/>
          <w:spacing w:val="-2"/>
        </w:rPr>
        <w:t>for</w:t>
      </w:r>
      <w:r>
        <w:rPr>
          <w:color w:val="231F20"/>
          <w:spacing w:val="-6"/>
        </w:rPr>
        <w:t xml:space="preserve"> </w:t>
      </w:r>
      <w:r>
        <w:rPr>
          <w:color w:val="231F20"/>
          <w:spacing w:val="-2"/>
        </w:rPr>
        <w:t>a</w:t>
      </w:r>
      <w:r>
        <w:rPr>
          <w:color w:val="231F20"/>
          <w:spacing w:val="-6"/>
        </w:rPr>
        <w:t xml:space="preserve"> </w:t>
      </w:r>
      <w:r>
        <w:rPr>
          <w:color w:val="231F20"/>
          <w:spacing w:val="-2"/>
        </w:rPr>
        <w:t>small</w:t>
      </w:r>
      <w:r>
        <w:rPr>
          <w:color w:val="231F20"/>
          <w:spacing w:val="-6"/>
        </w:rPr>
        <w:t xml:space="preserve"> </w:t>
      </w:r>
      <w:r>
        <w:rPr>
          <w:color w:val="231F20"/>
          <w:spacing w:val="-2"/>
        </w:rPr>
        <w:t>and</w:t>
      </w:r>
      <w:r>
        <w:rPr>
          <w:color w:val="231F20"/>
          <w:spacing w:val="-6"/>
        </w:rPr>
        <w:t xml:space="preserve"> </w:t>
      </w:r>
      <w:r>
        <w:rPr>
          <w:color w:val="231F20"/>
          <w:spacing w:val="-2"/>
        </w:rPr>
        <w:t>poorly</w:t>
      </w:r>
      <w:r>
        <w:rPr>
          <w:color w:val="231F20"/>
          <w:spacing w:val="-6"/>
        </w:rPr>
        <w:t xml:space="preserve"> </w:t>
      </w:r>
      <w:r>
        <w:rPr>
          <w:color w:val="231F20"/>
          <w:spacing w:val="-2"/>
        </w:rPr>
        <w:t>resourced</w:t>
      </w:r>
      <w:r>
        <w:rPr>
          <w:color w:val="231F20"/>
          <w:spacing w:val="-6"/>
        </w:rPr>
        <w:t xml:space="preserve"> </w:t>
      </w:r>
      <w:r>
        <w:rPr>
          <w:color w:val="231F20"/>
          <w:spacing w:val="-2"/>
        </w:rPr>
        <w:t xml:space="preserve">Pacific </w:t>
      </w:r>
      <w:r>
        <w:rPr>
          <w:color w:val="231F20"/>
        </w:rPr>
        <w:t>Island nation. In reference to M</w:t>
      </w:r>
      <w:r>
        <w:rPr>
          <w:rFonts w:ascii="Times New Roman" w:hAnsi="Times New Roman"/>
          <w:color w:val="231F20"/>
        </w:rPr>
        <w:t>ā</w:t>
      </w:r>
      <w:r>
        <w:rPr>
          <w:color w:val="231F20"/>
        </w:rPr>
        <w:t xml:space="preserve">ori </w:t>
      </w:r>
      <w:r>
        <w:rPr>
          <w:i/>
          <w:color w:val="231F20"/>
        </w:rPr>
        <w:t xml:space="preserve">haka </w:t>
      </w:r>
      <w:r>
        <w:rPr>
          <w:color w:val="231F20"/>
        </w:rPr>
        <w:t xml:space="preserve">(challenge), Laidlaw (2010) notes that since the 1980s the All Blacks performance of </w:t>
      </w:r>
      <w:r>
        <w:rPr>
          <w:i/>
          <w:color w:val="231F20"/>
        </w:rPr>
        <w:t xml:space="preserve">haka </w:t>
      </w:r>
      <w:r>
        <w:rPr>
          <w:color w:val="231F20"/>
        </w:rPr>
        <w:t xml:space="preserve">before </w:t>
      </w:r>
      <w:r>
        <w:rPr>
          <w:color w:val="231F20"/>
          <w:w w:val="95"/>
        </w:rPr>
        <w:t>rugby</w:t>
      </w:r>
      <w:r>
        <w:rPr>
          <w:color w:val="231F20"/>
          <w:spacing w:val="-9"/>
          <w:w w:val="95"/>
        </w:rPr>
        <w:t xml:space="preserve"> </w:t>
      </w:r>
      <w:r>
        <w:rPr>
          <w:color w:val="231F20"/>
          <w:w w:val="95"/>
        </w:rPr>
        <w:t>internationals</w:t>
      </w:r>
      <w:r>
        <w:rPr>
          <w:color w:val="231F20"/>
          <w:spacing w:val="-9"/>
          <w:w w:val="95"/>
        </w:rPr>
        <w:t xml:space="preserve"> </w:t>
      </w:r>
      <w:r>
        <w:rPr>
          <w:color w:val="231F20"/>
          <w:w w:val="95"/>
        </w:rPr>
        <w:t>has</w:t>
      </w:r>
      <w:r>
        <w:rPr>
          <w:color w:val="231F20"/>
          <w:spacing w:val="-9"/>
          <w:w w:val="95"/>
        </w:rPr>
        <w:t xml:space="preserve"> </w:t>
      </w:r>
      <w:r>
        <w:rPr>
          <w:color w:val="231F20"/>
          <w:w w:val="95"/>
        </w:rPr>
        <w:t>been</w:t>
      </w:r>
      <w:r>
        <w:rPr>
          <w:color w:val="231F20"/>
          <w:spacing w:val="-9"/>
          <w:w w:val="95"/>
        </w:rPr>
        <w:t xml:space="preserve"> </w:t>
      </w:r>
      <w:r>
        <w:rPr>
          <w:color w:val="231F20"/>
          <w:w w:val="95"/>
        </w:rPr>
        <w:t>performed</w:t>
      </w:r>
      <w:r>
        <w:rPr>
          <w:color w:val="231F20"/>
          <w:spacing w:val="-9"/>
          <w:w w:val="95"/>
        </w:rPr>
        <w:t xml:space="preserve"> </w:t>
      </w:r>
      <w:r>
        <w:rPr>
          <w:color w:val="231F20"/>
          <w:w w:val="95"/>
        </w:rPr>
        <w:t>with</w:t>
      </w:r>
      <w:r>
        <w:rPr>
          <w:color w:val="231F20"/>
          <w:spacing w:val="-9"/>
          <w:w w:val="95"/>
        </w:rPr>
        <w:t xml:space="preserve"> </w:t>
      </w:r>
      <w:r>
        <w:rPr>
          <w:color w:val="231F20"/>
          <w:w w:val="95"/>
        </w:rPr>
        <w:t>‘genuine</w:t>
      </w:r>
      <w:r>
        <w:rPr>
          <w:color w:val="231F20"/>
          <w:spacing w:val="-9"/>
          <w:w w:val="95"/>
        </w:rPr>
        <w:t xml:space="preserve"> </w:t>
      </w:r>
      <w:r>
        <w:rPr>
          <w:color w:val="231F20"/>
          <w:w w:val="95"/>
        </w:rPr>
        <w:t>cultural</w:t>
      </w:r>
      <w:r>
        <w:rPr>
          <w:color w:val="231F20"/>
          <w:spacing w:val="-9"/>
          <w:w w:val="95"/>
        </w:rPr>
        <w:t xml:space="preserve"> </w:t>
      </w:r>
      <w:r>
        <w:rPr>
          <w:color w:val="231F20"/>
          <w:w w:val="95"/>
        </w:rPr>
        <w:t xml:space="preserve">meaning’. </w:t>
      </w:r>
      <w:r>
        <w:rPr>
          <w:color w:val="231F20"/>
        </w:rPr>
        <w:t xml:space="preserve">This has included the creation of a new All Blacks </w:t>
      </w:r>
      <w:r>
        <w:rPr>
          <w:i/>
          <w:color w:val="231F20"/>
        </w:rPr>
        <w:t>haka</w:t>
      </w:r>
      <w:r>
        <w:rPr>
          <w:color w:val="231F20"/>
        </w:rPr>
        <w:t xml:space="preserve">, </w:t>
      </w:r>
      <w:r>
        <w:rPr>
          <w:i/>
          <w:color w:val="231F20"/>
        </w:rPr>
        <w:t xml:space="preserve">Kapa o Pango </w:t>
      </w:r>
      <w:r>
        <w:rPr>
          <w:color w:val="231F20"/>
        </w:rPr>
        <w:t>(translated</w:t>
      </w:r>
      <w:r>
        <w:rPr>
          <w:color w:val="231F20"/>
          <w:spacing w:val="-11"/>
        </w:rPr>
        <w:t xml:space="preserve"> </w:t>
      </w:r>
      <w:r>
        <w:rPr>
          <w:color w:val="231F20"/>
        </w:rPr>
        <w:t>to</w:t>
      </w:r>
      <w:r>
        <w:rPr>
          <w:color w:val="231F20"/>
          <w:spacing w:val="-11"/>
        </w:rPr>
        <w:t xml:space="preserve"> </w:t>
      </w:r>
      <w:r>
        <w:rPr>
          <w:color w:val="231F20"/>
        </w:rPr>
        <w:t>‘the</w:t>
      </w:r>
      <w:r>
        <w:rPr>
          <w:color w:val="231F20"/>
          <w:spacing w:val="-11"/>
        </w:rPr>
        <w:t xml:space="preserve"> </w:t>
      </w:r>
      <w:r>
        <w:rPr>
          <w:color w:val="231F20"/>
        </w:rPr>
        <w:t>group</w:t>
      </w:r>
      <w:r>
        <w:rPr>
          <w:color w:val="231F20"/>
          <w:spacing w:val="-11"/>
        </w:rPr>
        <w:t xml:space="preserve"> </w:t>
      </w:r>
      <w:r>
        <w:rPr>
          <w:color w:val="231F20"/>
        </w:rPr>
        <w:t>in</w:t>
      </w:r>
      <w:r>
        <w:rPr>
          <w:color w:val="231F20"/>
          <w:spacing w:val="-11"/>
        </w:rPr>
        <w:t xml:space="preserve"> </w:t>
      </w:r>
      <w:r>
        <w:rPr>
          <w:color w:val="231F20"/>
        </w:rPr>
        <w:t>black’),</w:t>
      </w:r>
      <w:r>
        <w:rPr>
          <w:color w:val="231F20"/>
          <w:spacing w:val="-11"/>
        </w:rPr>
        <w:t xml:space="preserve"> </w:t>
      </w:r>
      <w:r>
        <w:rPr>
          <w:color w:val="231F20"/>
        </w:rPr>
        <w:t>to</w:t>
      </w:r>
      <w:r>
        <w:rPr>
          <w:color w:val="231F20"/>
          <w:spacing w:val="-11"/>
        </w:rPr>
        <w:t xml:space="preserve"> </w:t>
      </w:r>
      <w:r>
        <w:rPr>
          <w:color w:val="231F20"/>
        </w:rPr>
        <w:t>sit</w:t>
      </w:r>
      <w:r>
        <w:rPr>
          <w:color w:val="231F20"/>
          <w:spacing w:val="-11"/>
        </w:rPr>
        <w:t xml:space="preserve"> </w:t>
      </w:r>
      <w:r>
        <w:rPr>
          <w:color w:val="231F20"/>
        </w:rPr>
        <w:t>alongside</w:t>
      </w:r>
      <w:r>
        <w:rPr>
          <w:color w:val="231F20"/>
          <w:spacing w:val="-11"/>
        </w:rPr>
        <w:t xml:space="preserve"> </w:t>
      </w:r>
      <w:r>
        <w:rPr>
          <w:color w:val="231F20"/>
        </w:rPr>
        <w:t>the</w:t>
      </w:r>
      <w:r>
        <w:rPr>
          <w:color w:val="231F20"/>
          <w:spacing w:val="-11"/>
        </w:rPr>
        <w:t xml:space="preserve"> </w:t>
      </w:r>
      <w:r>
        <w:rPr>
          <w:color w:val="231F20"/>
        </w:rPr>
        <w:t>traditional</w:t>
      </w:r>
      <w:r>
        <w:rPr>
          <w:color w:val="231F20"/>
          <w:spacing w:val="-11"/>
        </w:rPr>
        <w:t xml:space="preserve"> </w:t>
      </w:r>
      <w:r>
        <w:rPr>
          <w:i/>
          <w:color w:val="231F20"/>
        </w:rPr>
        <w:t xml:space="preserve">haka </w:t>
      </w:r>
      <w:r>
        <w:rPr>
          <w:color w:val="231F20"/>
          <w:w w:val="95"/>
        </w:rPr>
        <w:t>(</w:t>
      </w:r>
      <w:r>
        <w:rPr>
          <w:i/>
          <w:color w:val="231F20"/>
          <w:w w:val="95"/>
        </w:rPr>
        <w:t>Ka</w:t>
      </w:r>
      <w:r>
        <w:rPr>
          <w:i/>
          <w:color w:val="231F20"/>
          <w:spacing w:val="-2"/>
          <w:w w:val="95"/>
        </w:rPr>
        <w:t xml:space="preserve"> </w:t>
      </w:r>
      <w:r>
        <w:rPr>
          <w:i/>
          <w:color w:val="231F20"/>
          <w:w w:val="95"/>
        </w:rPr>
        <w:t>Mate</w:t>
      </w:r>
      <w:r>
        <w:rPr>
          <w:color w:val="231F20"/>
          <w:w w:val="95"/>
        </w:rPr>
        <w:t>).</w:t>
      </w:r>
      <w:r>
        <w:rPr>
          <w:color w:val="231F20"/>
          <w:spacing w:val="-2"/>
          <w:w w:val="95"/>
        </w:rPr>
        <w:t xml:space="preserve"> </w:t>
      </w:r>
      <w:r>
        <w:rPr>
          <w:color w:val="231F20"/>
          <w:w w:val="95"/>
        </w:rPr>
        <w:t>‘It’s</w:t>
      </w:r>
      <w:r>
        <w:rPr>
          <w:color w:val="231F20"/>
          <w:spacing w:val="-2"/>
          <w:w w:val="95"/>
        </w:rPr>
        <w:t xml:space="preserve"> </w:t>
      </w:r>
      <w:r>
        <w:rPr>
          <w:color w:val="231F20"/>
          <w:w w:val="95"/>
        </w:rPr>
        <w:t>evolution</w:t>
      </w:r>
      <w:r>
        <w:rPr>
          <w:color w:val="231F20"/>
          <w:spacing w:val="-2"/>
          <w:w w:val="95"/>
        </w:rPr>
        <w:t xml:space="preserve"> </w:t>
      </w:r>
      <w:r>
        <w:rPr>
          <w:color w:val="231F20"/>
          <w:w w:val="95"/>
        </w:rPr>
        <w:t>mirrors</w:t>
      </w:r>
      <w:r>
        <w:rPr>
          <w:color w:val="231F20"/>
          <w:spacing w:val="-2"/>
          <w:w w:val="95"/>
        </w:rPr>
        <w:t xml:space="preserve"> </w:t>
      </w:r>
      <w:r>
        <w:rPr>
          <w:color w:val="231F20"/>
          <w:w w:val="95"/>
        </w:rPr>
        <w:t>perfectly</w:t>
      </w:r>
      <w:r>
        <w:rPr>
          <w:color w:val="231F20"/>
          <w:spacing w:val="-2"/>
          <w:w w:val="95"/>
        </w:rPr>
        <w:t xml:space="preserve"> </w:t>
      </w:r>
      <w:r>
        <w:rPr>
          <w:color w:val="231F20"/>
          <w:w w:val="95"/>
        </w:rPr>
        <w:t>the</w:t>
      </w:r>
      <w:r>
        <w:rPr>
          <w:color w:val="231F20"/>
          <w:spacing w:val="-2"/>
          <w:w w:val="95"/>
        </w:rPr>
        <w:t xml:space="preserve"> </w:t>
      </w:r>
      <w:r>
        <w:rPr>
          <w:color w:val="231F20"/>
          <w:w w:val="95"/>
        </w:rPr>
        <w:t>cultural</w:t>
      </w:r>
      <w:r>
        <w:rPr>
          <w:color w:val="231F20"/>
          <w:spacing w:val="-2"/>
          <w:w w:val="95"/>
        </w:rPr>
        <w:t xml:space="preserve"> </w:t>
      </w:r>
      <w:r>
        <w:rPr>
          <w:color w:val="231F20"/>
          <w:w w:val="95"/>
        </w:rPr>
        <w:t>renaissance</w:t>
      </w:r>
      <w:r>
        <w:rPr>
          <w:color w:val="231F20"/>
          <w:spacing w:val="-2"/>
          <w:w w:val="95"/>
        </w:rPr>
        <w:t xml:space="preserve"> </w:t>
      </w:r>
      <w:r>
        <w:rPr>
          <w:color w:val="231F20"/>
          <w:w w:val="95"/>
        </w:rPr>
        <w:t>of</w:t>
      </w:r>
      <w:r>
        <w:rPr>
          <w:color w:val="231F20"/>
        </w:rPr>
        <w:t xml:space="preserve"> </w:t>
      </w:r>
      <w:r>
        <w:rPr>
          <w:color w:val="231F20"/>
          <w:w w:val="95"/>
        </w:rPr>
        <w:t xml:space="preserve">the </w:t>
      </w:r>
      <w:r>
        <w:rPr>
          <w:color w:val="231F20"/>
        </w:rPr>
        <w:t>M</w:t>
      </w:r>
      <w:r>
        <w:rPr>
          <w:rFonts w:ascii="Times New Roman" w:hAnsi="Times New Roman"/>
          <w:color w:val="231F20"/>
        </w:rPr>
        <w:t>ā</w:t>
      </w:r>
      <w:r>
        <w:rPr>
          <w:color w:val="231F20"/>
        </w:rPr>
        <w:t>ori</w:t>
      </w:r>
      <w:r>
        <w:rPr>
          <w:color w:val="231F20"/>
          <w:spacing w:val="-7"/>
        </w:rPr>
        <w:t xml:space="preserve"> </w:t>
      </w:r>
      <w:r>
        <w:rPr>
          <w:color w:val="231F20"/>
        </w:rPr>
        <w:t>in</w:t>
      </w:r>
      <w:r>
        <w:rPr>
          <w:color w:val="231F20"/>
          <w:spacing w:val="-7"/>
        </w:rPr>
        <w:t xml:space="preserve"> </w:t>
      </w:r>
      <w:r>
        <w:rPr>
          <w:color w:val="231F20"/>
        </w:rPr>
        <w:t>New</w:t>
      </w:r>
      <w:r>
        <w:rPr>
          <w:color w:val="231F20"/>
          <w:spacing w:val="-7"/>
        </w:rPr>
        <w:t xml:space="preserve"> </w:t>
      </w:r>
      <w:r>
        <w:rPr>
          <w:color w:val="231F20"/>
        </w:rPr>
        <w:t>Zealand’</w:t>
      </w:r>
      <w:r>
        <w:rPr>
          <w:color w:val="231F20"/>
          <w:spacing w:val="-7"/>
        </w:rPr>
        <w:t xml:space="preserve"> </w:t>
      </w:r>
      <w:r>
        <w:rPr>
          <w:color w:val="231F20"/>
        </w:rPr>
        <w:t>(Laidlaw,</w:t>
      </w:r>
      <w:r>
        <w:rPr>
          <w:color w:val="231F20"/>
          <w:spacing w:val="-7"/>
        </w:rPr>
        <w:t xml:space="preserve"> </w:t>
      </w:r>
      <w:r>
        <w:rPr>
          <w:color w:val="231F20"/>
        </w:rPr>
        <w:t>2010:</w:t>
      </w:r>
      <w:r>
        <w:rPr>
          <w:color w:val="231F20"/>
          <w:spacing w:val="-7"/>
        </w:rPr>
        <w:t xml:space="preserve"> </w:t>
      </w:r>
      <w:r>
        <w:rPr>
          <w:color w:val="231F20"/>
        </w:rPr>
        <w:t>186).</w:t>
      </w:r>
      <w:r>
        <w:rPr>
          <w:color w:val="231F20"/>
          <w:spacing w:val="-7"/>
        </w:rPr>
        <w:t xml:space="preserve"> </w:t>
      </w:r>
      <w:r>
        <w:rPr>
          <w:color w:val="231F20"/>
        </w:rPr>
        <w:t>The</w:t>
      </w:r>
      <w:r>
        <w:rPr>
          <w:color w:val="231F20"/>
          <w:spacing w:val="-7"/>
        </w:rPr>
        <w:t xml:space="preserve"> </w:t>
      </w:r>
      <w:r>
        <w:rPr>
          <w:color w:val="231F20"/>
        </w:rPr>
        <w:t>performance</w:t>
      </w:r>
      <w:r>
        <w:rPr>
          <w:color w:val="231F20"/>
          <w:spacing w:val="-7"/>
        </w:rPr>
        <w:t xml:space="preserve"> </w:t>
      </w:r>
      <w:r>
        <w:rPr>
          <w:color w:val="231F20"/>
        </w:rPr>
        <w:t xml:space="preserve">of </w:t>
      </w:r>
      <w:r>
        <w:rPr>
          <w:i/>
          <w:color w:val="231F20"/>
        </w:rPr>
        <w:t xml:space="preserve">haka </w:t>
      </w:r>
      <w:r>
        <w:rPr>
          <w:color w:val="231F20"/>
        </w:rPr>
        <w:t xml:space="preserve">by sports teams, including the All Blacks, contributes to both national </w:t>
      </w:r>
      <w:r>
        <w:rPr>
          <w:color w:val="231F20"/>
          <w:w w:val="95"/>
        </w:rPr>
        <w:t>identity</w:t>
      </w:r>
      <w:r>
        <w:rPr>
          <w:color w:val="231F20"/>
          <w:spacing w:val="-9"/>
          <w:w w:val="95"/>
        </w:rPr>
        <w:t xml:space="preserve"> </w:t>
      </w:r>
      <w:r>
        <w:rPr>
          <w:color w:val="231F20"/>
          <w:w w:val="95"/>
        </w:rPr>
        <w:t>and</w:t>
      </w:r>
      <w:r>
        <w:rPr>
          <w:color w:val="231F20"/>
          <w:spacing w:val="-9"/>
          <w:w w:val="95"/>
        </w:rPr>
        <w:t xml:space="preserve"> </w:t>
      </w:r>
      <w:r>
        <w:rPr>
          <w:color w:val="231F20"/>
          <w:w w:val="95"/>
        </w:rPr>
        <w:t>tourist</w:t>
      </w:r>
      <w:r>
        <w:rPr>
          <w:color w:val="231F20"/>
          <w:spacing w:val="-9"/>
          <w:w w:val="95"/>
        </w:rPr>
        <w:t xml:space="preserve"> </w:t>
      </w:r>
      <w:r>
        <w:rPr>
          <w:color w:val="231F20"/>
          <w:w w:val="95"/>
        </w:rPr>
        <w:t>experiences,</w:t>
      </w:r>
      <w:r>
        <w:rPr>
          <w:color w:val="231F20"/>
          <w:spacing w:val="-9"/>
          <w:w w:val="95"/>
        </w:rPr>
        <w:t xml:space="preserve"> </w:t>
      </w:r>
      <w:r>
        <w:rPr>
          <w:color w:val="231F20"/>
          <w:w w:val="95"/>
        </w:rPr>
        <w:t>representing</w:t>
      </w:r>
      <w:r>
        <w:rPr>
          <w:color w:val="231F20"/>
          <w:spacing w:val="-9"/>
          <w:w w:val="95"/>
        </w:rPr>
        <w:t xml:space="preserve"> </w:t>
      </w:r>
      <w:r>
        <w:rPr>
          <w:color w:val="231F20"/>
          <w:w w:val="95"/>
        </w:rPr>
        <w:t>one</w:t>
      </w:r>
      <w:r>
        <w:rPr>
          <w:color w:val="231F20"/>
          <w:spacing w:val="-9"/>
          <w:w w:val="95"/>
        </w:rPr>
        <w:t xml:space="preserve"> </w:t>
      </w:r>
      <w:r>
        <w:rPr>
          <w:color w:val="231F20"/>
          <w:w w:val="95"/>
        </w:rPr>
        <w:t>of</w:t>
      </w:r>
      <w:r>
        <w:rPr>
          <w:color w:val="231F20"/>
        </w:rPr>
        <w:t xml:space="preserve"> </w:t>
      </w:r>
      <w:r>
        <w:rPr>
          <w:color w:val="231F20"/>
          <w:w w:val="95"/>
        </w:rPr>
        <w:t>the</w:t>
      </w:r>
      <w:r>
        <w:rPr>
          <w:color w:val="231F20"/>
          <w:spacing w:val="-9"/>
          <w:w w:val="95"/>
        </w:rPr>
        <w:t xml:space="preserve"> </w:t>
      </w:r>
      <w:r>
        <w:rPr>
          <w:color w:val="231F20"/>
          <w:w w:val="95"/>
        </w:rPr>
        <w:t>more</w:t>
      </w:r>
      <w:r>
        <w:rPr>
          <w:color w:val="231F20"/>
          <w:spacing w:val="-9"/>
          <w:w w:val="95"/>
        </w:rPr>
        <w:t xml:space="preserve"> </w:t>
      </w:r>
      <w:r>
        <w:rPr>
          <w:color w:val="231F20"/>
          <w:w w:val="95"/>
        </w:rPr>
        <w:t xml:space="preserve">prominent, </w:t>
      </w:r>
      <w:r>
        <w:rPr>
          <w:color w:val="231F20"/>
        </w:rPr>
        <w:t xml:space="preserve">unique and important parts of the cultural experiences of visitors to </w:t>
      </w:r>
      <w:r>
        <w:rPr>
          <w:i/>
          <w:color w:val="231F20"/>
        </w:rPr>
        <w:t xml:space="preserve">Aoetaroa </w:t>
      </w:r>
      <w:r>
        <w:rPr>
          <w:color w:val="231F20"/>
        </w:rPr>
        <w:t xml:space="preserve">New Zealand (see also Jackson </w:t>
      </w:r>
      <w:r>
        <w:rPr>
          <w:i/>
          <w:color w:val="231F20"/>
        </w:rPr>
        <w:t>et al</w:t>
      </w:r>
      <w:r>
        <w:rPr>
          <w:color w:val="231F20"/>
        </w:rPr>
        <w:t>., 2001).</w:t>
      </w:r>
    </w:p>
    <w:p w14:paraId="13E7113E" w14:textId="77777777" w:rsidR="00AE0598" w:rsidRDefault="00AE0598">
      <w:pPr>
        <w:pStyle w:val="Corpodetexto"/>
        <w:rPr>
          <w:sz w:val="24"/>
        </w:rPr>
      </w:pPr>
    </w:p>
    <w:p w14:paraId="228D3CFC" w14:textId="77777777" w:rsidR="00AE0598" w:rsidRDefault="00AE0598">
      <w:pPr>
        <w:pStyle w:val="Corpodetexto"/>
        <w:spacing w:before="7"/>
        <w:rPr>
          <w:sz w:val="19"/>
        </w:rPr>
      </w:pPr>
    </w:p>
    <w:p w14:paraId="1F6951A3" w14:textId="77777777" w:rsidR="00AE0598" w:rsidRDefault="0069255A">
      <w:pPr>
        <w:ind w:left="223"/>
        <w:jc w:val="both"/>
        <w:rPr>
          <w:rFonts w:ascii="Trebuchet MS"/>
          <w:sz w:val="20"/>
        </w:rPr>
      </w:pPr>
      <w:r>
        <w:rPr>
          <w:rFonts w:ascii="Trebuchet MS"/>
          <w:color w:val="231F20"/>
          <w:w w:val="105"/>
          <w:sz w:val="20"/>
        </w:rPr>
        <w:t>Key</w:t>
      </w:r>
      <w:r>
        <w:rPr>
          <w:rFonts w:ascii="Trebuchet MS"/>
          <w:color w:val="231F20"/>
          <w:spacing w:val="-11"/>
          <w:w w:val="105"/>
          <w:sz w:val="20"/>
        </w:rPr>
        <w:t xml:space="preserve"> </w:t>
      </w:r>
      <w:r>
        <w:rPr>
          <w:rFonts w:ascii="Trebuchet MS"/>
          <w:color w:val="231F20"/>
          <w:spacing w:val="-2"/>
          <w:w w:val="105"/>
          <w:sz w:val="20"/>
        </w:rPr>
        <w:t>Reading</w:t>
      </w:r>
    </w:p>
    <w:p w14:paraId="266D95A3" w14:textId="77777777" w:rsidR="00AE0598" w:rsidRDefault="0069255A">
      <w:pPr>
        <w:spacing w:before="122" w:line="232" w:lineRule="auto"/>
        <w:ind w:left="223" w:right="221"/>
        <w:jc w:val="both"/>
        <w:rPr>
          <w:sz w:val="21"/>
        </w:rPr>
      </w:pPr>
      <w:r>
        <w:rPr>
          <w:color w:val="231F20"/>
          <w:sz w:val="21"/>
        </w:rPr>
        <w:t xml:space="preserve">Jackson, </w:t>
      </w:r>
      <w:r>
        <w:rPr>
          <w:color w:val="231F20"/>
          <w:w w:val="110"/>
          <w:sz w:val="21"/>
        </w:rPr>
        <w:t xml:space="preserve">S.J., </w:t>
      </w:r>
      <w:r>
        <w:rPr>
          <w:color w:val="231F20"/>
          <w:sz w:val="21"/>
        </w:rPr>
        <w:t xml:space="preserve">Batty, </w:t>
      </w:r>
      <w:r>
        <w:rPr>
          <w:color w:val="231F20"/>
          <w:w w:val="110"/>
          <w:sz w:val="21"/>
        </w:rPr>
        <w:t xml:space="preserve">R. </w:t>
      </w:r>
      <w:r>
        <w:rPr>
          <w:color w:val="231F20"/>
          <w:sz w:val="21"/>
        </w:rPr>
        <w:t xml:space="preserve">and Scherer, </w:t>
      </w:r>
      <w:r>
        <w:rPr>
          <w:color w:val="231F20"/>
          <w:w w:val="110"/>
          <w:sz w:val="21"/>
        </w:rPr>
        <w:t xml:space="preserve">J. </w:t>
      </w:r>
      <w:r>
        <w:rPr>
          <w:color w:val="231F20"/>
          <w:sz w:val="21"/>
        </w:rPr>
        <w:t xml:space="preserve">(2001) Transnational sport marketing at the global/local nexus: The Adidasification of the New Zealand All Blacks. </w:t>
      </w:r>
      <w:r>
        <w:rPr>
          <w:i/>
          <w:color w:val="231F20"/>
          <w:sz w:val="21"/>
        </w:rPr>
        <w:t xml:space="preserve">International Journal of Sports Marketing and Sponsorship </w:t>
      </w:r>
      <w:r>
        <w:rPr>
          <w:color w:val="231F20"/>
          <w:sz w:val="21"/>
        </w:rPr>
        <w:t>3 (2), 55–71.</w:t>
      </w:r>
    </w:p>
    <w:p w14:paraId="55124343" w14:textId="77777777" w:rsidR="00AE0598" w:rsidRDefault="0069255A">
      <w:pPr>
        <w:spacing w:before="119"/>
        <w:ind w:left="223"/>
        <w:jc w:val="both"/>
        <w:rPr>
          <w:sz w:val="21"/>
        </w:rPr>
      </w:pPr>
      <w:r>
        <w:rPr>
          <w:color w:val="231F20"/>
          <w:sz w:val="21"/>
        </w:rPr>
        <w:t>Laidlaw,</w:t>
      </w:r>
      <w:r>
        <w:rPr>
          <w:color w:val="231F20"/>
          <w:spacing w:val="13"/>
          <w:sz w:val="21"/>
        </w:rPr>
        <w:t xml:space="preserve"> </w:t>
      </w:r>
      <w:r>
        <w:rPr>
          <w:color w:val="231F20"/>
          <w:sz w:val="21"/>
        </w:rPr>
        <w:t>C.</w:t>
      </w:r>
      <w:r>
        <w:rPr>
          <w:color w:val="231F20"/>
          <w:spacing w:val="14"/>
          <w:sz w:val="21"/>
        </w:rPr>
        <w:t xml:space="preserve"> </w:t>
      </w:r>
      <w:r>
        <w:rPr>
          <w:color w:val="231F20"/>
          <w:sz w:val="21"/>
        </w:rPr>
        <w:t>(2010)</w:t>
      </w:r>
      <w:r>
        <w:rPr>
          <w:color w:val="231F20"/>
          <w:spacing w:val="14"/>
          <w:sz w:val="21"/>
        </w:rPr>
        <w:t xml:space="preserve"> </w:t>
      </w:r>
      <w:r>
        <w:rPr>
          <w:i/>
          <w:color w:val="231F20"/>
          <w:sz w:val="21"/>
        </w:rPr>
        <w:t>Somebody</w:t>
      </w:r>
      <w:r>
        <w:rPr>
          <w:i/>
          <w:color w:val="231F20"/>
          <w:spacing w:val="14"/>
          <w:sz w:val="21"/>
        </w:rPr>
        <w:t xml:space="preserve"> </w:t>
      </w:r>
      <w:r>
        <w:rPr>
          <w:i/>
          <w:color w:val="231F20"/>
          <w:sz w:val="21"/>
        </w:rPr>
        <w:t>Stole</w:t>
      </w:r>
      <w:r>
        <w:rPr>
          <w:i/>
          <w:color w:val="231F20"/>
          <w:spacing w:val="14"/>
          <w:sz w:val="21"/>
        </w:rPr>
        <w:t xml:space="preserve"> </w:t>
      </w:r>
      <w:r>
        <w:rPr>
          <w:i/>
          <w:color w:val="231F20"/>
          <w:sz w:val="21"/>
        </w:rPr>
        <w:t>My</w:t>
      </w:r>
      <w:r>
        <w:rPr>
          <w:i/>
          <w:color w:val="231F20"/>
          <w:spacing w:val="14"/>
          <w:sz w:val="21"/>
        </w:rPr>
        <w:t xml:space="preserve"> </w:t>
      </w:r>
      <w:r>
        <w:rPr>
          <w:i/>
          <w:color w:val="231F20"/>
          <w:sz w:val="21"/>
        </w:rPr>
        <w:t>Game.</w:t>
      </w:r>
      <w:r>
        <w:rPr>
          <w:i/>
          <w:color w:val="231F20"/>
          <w:spacing w:val="12"/>
          <w:sz w:val="21"/>
        </w:rPr>
        <w:t xml:space="preserve"> </w:t>
      </w:r>
      <w:r>
        <w:rPr>
          <w:color w:val="231F20"/>
          <w:sz w:val="21"/>
        </w:rPr>
        <w:t>New</w:t>
      </w:r>
      <w:r>
        <w:rPr>
          <w:color w:val="231F20"/>
          <w:spacing w:val="14"/>
          <w:sz w:val="21"/>
        </w:rPr>
        <w:t xml:space="preserve"> </w:t>
      </w:r>
      <w:r>
        <w:rPr>
          <w:color w:val="231F20"/>
          <w:sz w:val="21"/>
        </w:rPr>
        <w:t>York:</w:t>
      </w:r>
      <w:r>
        <w:rPr>
          <w:color w:val="231F20"/>
          <w:spacing w:val="14"/>
          <w:sz w:val="21"/>
        </w:rPr>
        <w:t xml:space="preserve"> </w:t>
      </w:r>
      <w:r>
        <w:rPr>
          <w:color w:val="231F20"/>
          <w:spacing w:val="-2"/>
          <w:sz w:val="21"/>
        </w:rPr>
        <w:t>Hachette.</w:t>
      </w:r>
    </w:p>
    <w:p w14:paraId="38AB5242" w14:textId="77777777" w:rsidR="00AE0598" w:rsidRDefault="00AE0598">
      <w:pPr>
        <w:jc w:val="both"/>
        <w:rPr>
          <w:sz w:val="21"/>
        </w:rPr>
        <w:sectPr w:rsidR="00AE0598">
          <w:pgSz w:w="8850" w:h="13270"/>
          <w:pgMar w:top="720" w:right="1080" w:bottom="280" w:left="1080" w:header="720" w:footer="720" w:gutter="0"/>
          <w:cols w:space="720"/>
        </w:sectPr>
      </w:pPr>
    </w:p>
    <w:p w14:paraId="1F7F7D8D" w14:textId="77777777" w:rsidR="00AE0598" w:rsidRDefault="0069255A">
      <w:pPr>
        <w:spacing w:before="87"/>
        <w:ind w:left="108"/>
        <w:rPr>
          <w:rFonts w:ascii="Trebuchet MS"/>
          <w:sz w:val="14"/>
        </w:rPr>
      </w:pPr>
      <w:r>
        <w:rPr>
          <w:rFonts w:ascii="Trebuchet MS"/>
          <w:color w:val="231F20"/>
          <w:w w:val="105"/>
          <w:sz w:val="14"/>
        </w:rPr>
        <w:lastRenderedPageBreak/>
        <w:t>12</w:t>
      </w:r>
      <w:r>
        <w:rPr>
          <w:rFonts w:ascii="Trebuchet MS"/>
          <w:color w:val="231F20"/>
          <w:spacing w:val="79"/>
          <w:w w:val="105"/>
          <w:sz w:val="14"/>
        </w:rPr>
        <w:t xml:space="preserve"> </w:t>
      </w:r>
      <w:r>
        <w:rPr>
          <w:rFonts w:ascii="Trebuchet MS"/>
          <w:color w:val="231F20"/>
          <w:w w:val="105"/>
          <w:sz w:val="14"/>
        </w:rPr>
        <w:t>Part</w:t>
      </w:r>
      <w:r>
        <w:rPr>
          <w:rFonts w:ascii="Trebuchet MS"/>
          <w:color w:val="231F20"/>
          <w:spacing w:val="-10"/>
          <w:w w:val="105"/>
          <w:sz w:val="14"/>
        </w:rPr>
        <w:t xml:space="preserve"> </w:t>
      </w:r>
      <w:r>
        <w:rPr>
          <w:rFonts w:ascii="Trebuchet MS"/>
          <w:color w:val="231F20"/>
          <w:w w:val="105"/>
          <w:sz w:val="14"/>
        </w:rPr>
        <w:t>1:</w:t>
      </w:r>
      <w:r>
        <w:rPr>
          <w:rFonts w:ascii="Trebuchet MS"/>
          <w:color w:val="231F20"/>
          <w:spacing w:val="-11"/>
          <w:w w:val="105"/>
          <w:sz w:val="14"/>
        </w:rPr>
        <w:t xml:space="preserve"> </w:t>
      </w:r>
      <w:r>
        <w:rPr>
          <w:rFonts w:ascii="Trebuchet MS"/>
          <w:color w:val="231F20"/>
          <w:spacing w:val="-2"/>
          <w:w w:val="105"/>
          <w:sz w:val="14"/>
        </w:rPr>
        <w:t>Introduction</w:t>
      </w:r>
    </w:p>
    <w:p w14:paraId="79006050" w14:textId="77777777" w:rsidR="00AE0598" w:rsidRDefault="00AE0598">
      <w:pPr>
        <w:pStyle w:val="Corpodetexto"/>
        <w:rPr>
          <w:rFonts w:ascii="Trebuchet MS"/>
          <w:sz w:val="16"/>
        </w:rPr>
      </w:pPr>
    </w:p>
    <w:p w14:paraId="1E7BD1F4" w14:textId="77777777" w:rsidR="00AE0598" w:rsidRDefault="0069255A">
      <w:pPr>
        <w:pStyle w:val="Corpodetexto"/>
        <w:spacing w:before="118" w:line="232" w:lineRule="auto"/>
        <w:ind w:left="110" w:right="104" w:firstLine="320"/>
        <w:jc w:val="both"/>
      </w:pPr>
      <w:r>
        <w:rPr>
          <w:color w:val="231F20"/>
          <w:w w:val="95"/>
        </w:rPr>
        <w:t>The</w:t>
      </w:r>
      <w:r>
        <w:rPr>
          <w:color w:val="231F20"/>
          <w:spacing w:val="-8"/>
          <w:w w:val="95"/>
        </w:rPr>
        <w:t xml:space="preserve"> </w:t>
      </w:r>
      <w:r>
        <w:rPr>
          <w:color w:val="231F20"/>
          <w:w w:val="95"/>
        </w:rPr>
        <w:t>environment</w:t>
      </w:r>
      <w:r>
        <w:rPr>
          <w:color w:val="231F20"/>
          <w:spacing w:val="-8"/>
          <w:w w:val="95"/>
        </w:rPr>
        <w:t xml:space="preserve"> </w:t>
      </w:r>
      <w:r>
        <w:rPr>
          <w:color w:val="231F20"/>
          <w:w w:val="95"/>
        </w:rPr>
        <w:t>is</w:t>
      </w:r>
      <w:r>
        <w:rPr>
          <w:color w:val="231F20"/>
          <w:spacing w:val="-8"/>
          <w:w w:val="95"/>
        </w:rPr>
        <w:t xml:space="preserve"> </w:t>
      </w:r>
      <w:r>
        <w:rPr>
          <w:color w:val="231F20"/>
          <w:w w:val="95"/>
        </w:rPr>
        <w:t>the</w:t>
      </w:r>
      <w:r>
        <w:rPr>
          <w:color w:val="231F20"/>
          <w:spacing w:val="-8"/>
          <w:w w:val="95"/>
        </w:rPr>
        <w:t xml:space="preserve"> </w:t>
      </w:r>
      <w:r>
        <w:rPr>
          <w:color w:val="231F20"/>
          <w:w w:val="95"/>
        </w:rPr>
        <w:t>subject</w:t>
      </w:r>
      <w:r>
        <w:rPr>
          <w:color w:val="231F20"/>
          <w:spacing w:val="-8"/>
          <w:w w:val="95"/>
        </w:rPr>
        <w:t xml:space="preserve"> </w:t>
      </w:r>
      <w:r>
        <w:rPr>
          <w:color w:val="231F20"/>
          <w:w w:val="95"/>
        </w:rPr>
        <w:t>of</w:t>
      </w:r>
      <w:r>
        <w:rPr>
          <w:color w:val="231F20"/>
          <w:spacing w:val="-8"/>
          <w:w w:val="95"/>
        </w:rPr>
        <w:t xml:space="preserve"> </w:t>
      </w:r>
      <w:r>
        <w:rPr>
          <w:color w:val="231F20"/>
          <w:w w:val="95"/>
        </w:rPr>
        <w:t>the</w:t>
      </w:r>
      <w:r>
        <w:rPr>
          <w:color w:val="231F20"/>
          <w:spacing w:val="-8"/>
          <w:w w:val="95"/>
        </w:rPr>
        <w:t xml:space="preserve"> </w:t>
      </w:r>
      <w:r>
        <w:rPr>
          <w:color w:val="231F20"/>
          <w:w w:val="95"/>
        </w:rPr>
        <w:t>third</w:t>
      </w:r>
      <w:r>
        <w:rPr>
          <w:color w:val="231F20"/>
          <w:spacing w:val="-8"/>
          <w:w w:val="95"/>
        </w:rPr>
        <w:t xml:space="preserve"> </w:t>
      </w:r>
      <w:r>
        <w:rPr>
          <w:color w:val="231F20"/>
          <w:w w:val="95"/>
        </w:rPr>
        <w:t>spatial</w:t>
      </w:r>
      <w:r>
        <w:rPr>
          <w:color w:val="231F20"/>
          <w:spacing w:val="-8"/>
          <w:w w:val="95"/>
        </w:rPr>
        <w:t xml:space="preserve"> </w:t>
      </w:r>
      <w:r>
        <w:rPr>
          <w:color w:val="231F20"/>
          <w:w w:val="95"/>
        </w:rPr>
        <w:t>dimension</w:t>
      </w:r>
      <w:r>
        <w:rPr>
          <w:color w:val="231F20"/>
          <w:spacing w:val="-8"/>
          <w:w w:val="95"/>
        </w:rPr>
        <w:t xml:space="preserve"> </w:t>
      </w:r>
      <w:r>
        <w:rPr>
          <w:color w:val="231F20"/>
          <w:w w:val="95"/>
        </w:rPr>
        <w:t>(Chapter</w:t>
      </w:r>
      <w:r>
        <w:rPr>
          <w:color w:val="231F20"/>
          <w:spacing w:val="-8"/>
          <w:w w:val="95"/>
        </w:rPr>
        <w:t xml:space="preserve"> </w:t>
      </w:r>
      <w:r>
        <w:rPr>
          <w:color w:val="231F20"/>
          <w:w w:val="95"/>
        </w:rPr>
        <w:t>7: Environment: Landscapes, Resources and Impacts). This chapter considers the resource base for sport and tourism facilities and infrastructure. Quite different issues are associated with natural resources and built facilities in sport tourism. Outdoor sp</w:t>
      </w:r>
      <w:r>
        <w:rPr>
          <w:color w:val="231F20"/>
          <w:w w:val="95"/>
        </w:rPr>
        <w:t xml:space="preserve">orts such as downhill skiing and snowboarding, </w:t>
      </w:r>
      <w:r>
        <w:rPr>
          <w:color w:val="231F20"/>
        </w:rPr>
        <w:t>for example, tend to be dependent on specific types of landscape, with the potential for environmental impacts. Other types of sport are more transportable</w:t>
      </w:r>
      <w:r>
        <w:rPr>
          <w:color w:val="231F20"/>
          <w:spacing w:val="-10"/>
        </w:rPr>
        <w:t xml:space="preserve"> </w:t>
      </w:r>
      <w:r>
        <w:rPr>
          <w:color w:val="231F20"/>
        </w:rPr>
        <w:t>and</w:t>
      </w:r>
      <w:r>
        <w:rPr>
          <w:color w:val="231F20"/>
          <w:spacing w:val="-10"/>
        </w:rPr>
        <w:t xml:space="preserve"> </w:t>
      </w:r>
      <w:r>
        <w:rPr>
          <w:color w:val="231F20"/>
        </w:rPr>
        <w:t>feature</w:t>
      </w:r>
      <w:r>
        <w:rPr>
          <w:color w:val="231F20"/>
          <w:spacing w:val="-10"/>
        </w:rPr>
        <w:t xml:space="preserve"> </w:t>
      </w:r>
      <w:r>
        <w:rPr>
          <w:color w:val="231F20"/>
        </w:rPr>
        <w:t>standard</w:t>
      </w:r>
      <w:r>
        <w:rPr>
          <w:color w:val="231F20"/>
          <w:spacing w:val="-10"/>
        </w:rPr>
        <w:t xml:space="preserve"> </w:t>
      </w:r>
      <w:r>
        <w:rPr>
          <w:color w:val="231F20"/>
        </w:rPr>
        <w:t>facilities</w:t>
      </w:r>
      <w:r>
        <w:rPr>
          <w:color w:val="231F20"/>
          <w:spacing w:val="-10"/>
        </w:rPr>
        <w:t xml:space="preserve"> </w:t>
      </w:r>
      <w:r>
        <w:rPr>
          <w:color w:val="231F20"/>
        </w:rPr>
        <w:t>that</w:t>
      </w:r>
      <w:r>
        <w:rPr>
          <w:color w:val="231F20"/>
          <w:spacing w:val="-10"/>
        </w:rPr>
        <w:t xml:space="preserve"> </w:t>
      </w:r>
      <w:r>
        <w:rPr>
          <w:color w:val="231F20"/>
        </w:rPr>
        <w:t>can</w:t>
      </w:r>
      <w:r>
        <w:rPr>
          <w:color w:val="231F20"/>
          <w:spacing w:val="-10"/>
        </w:rPr>
        <w:t xml:space="preserve"> </w:t>
      </w:r>
      <w:r>
        <w:rPr>
          <w:color w:val="231F20"/>
        </w:rPr>
        <w:t>be</w:t>
      </w:r>
      <w:r>
        <w:rPr>
          <w:color w:val="231F20"/>
          <w:spacing w:val="-10"/>
        </w:rPr>
        <w:t xml:space="preserve"> </w:t>
      </w:r>
      <w:r>
        <w:rPr>
          <w:color w:val="231F20"/>
        </w:rPr>
        <w:t>built</w:t>
      </w:r>
      <w:r>
        <w:rPr>
          <w:color w:val="231F20"/>
          <w:spacing w:val="-10"/>
        </w:rPr>
        <w:t xml:space="preserve"> </w:t>
      </w:r>
      <w:r>
        <w:rPr>
          <w:color w:val="231F20"/>
        </w:rPr>
        <w:t>in</w:t>
      </w:r>
      <w:r>
        <w:rPr>
          <w:color w:val="231F20"/>
          <w:spacing w:val="-10"/>
        </w:rPr>
        <w:t xml:space="preserve"> </w:t>
      </w:r>
      <w:r>
        <w:rPr>
          <w:color w:val="231F20"/>
        </w:rPr>
        <w:t xml:space="preserve">locations </w:t>
      </w:r>
      <w:r>
        <w:rPr>
          <w:color w:val="231F20"/>
          <w:w w:val="95"/>
        </w:rPr>
        <w:t>designed to maximise market access. The development of built resources</w:t>
      </w:r>
      <w:r>
        <w:rPr>
          <w:color w:val="231F20"/>
          <w:spacing w:val="40"/>
        </w:rPr>
        <w:t xml:space="preserve"> </w:t>
      </w:r>
      <w:r>
        <w:rPr>
          <w:color w:val="231F20"/>
        </w:rPr>
        <w:t xml:space="preserve">for sport, and the shift towards artificial, enclosed and controlled sports environments, has been a significant trend for the last two decades. The </w:t>
      </w:r>
      <w:r>
        <w:rPr>
          <w:color w:val="231F20"/>
          <w:w w:val="95"/>
        </w:rPr>
        <w:t>question is, to what exten</w:t>
      </w:r>
      <w:r>
        <w:rPr>
          <w:color w:val="231F20"/>
          <w:w w:val="95"/>
        </w:rPr>
        <w:t>t can nature be removed from sports, and sports from</w:t>
      </w:r>
      <w:r>
        <w:rPr>
          <w:color w:val="231F20"/>
          <w:spacing w:val="-1"/>
          <w:w w:val="95"/>
        </w:rPr>
        <w:t xml:space="preserve"> </w:t>
      </w:r>
      <w:r>
        <w:rPr>
          <w:color w:val="231F20"/>
          <w:w w:val="95"/>
        </w:rPr>
        <w:t>nature,</w:t>
      </w:r>
      <w:r>
        <w:rPr>
          <w:color w:val="231F20"/>
          <w:spacing w:val="-1"/>
          <w:w w:val="95"/>
        </w:rPr>
        <w:t xml:space="preserve"> </w:t>
      </w:r>
      <w:r>
        <w:rPr>
          <w:color w:val="231F20"/>
          <w:w w:val="95"/>
        </w:rPr>
        <w:t>and</w:t>
      </w:r>
      <w:r>
        <w:rPr>
          <w:color w:val="231F20"/>
          <w:spacing w:val="-1"/>
          <w:w w:val="95"/>
        </w:rPr>
        <w:t xml:space="preserve"> </w:t>
      </w:r>
      <w:r>
        <w:rPr>
          <w:color w:val="231F20"/>
          <w:w w:val="95"/>
        </w:rPr>
        <w:t>will</w:t>
      </w:r>
      <w:r>
        <w:rPr>
          <w:color w:val="231F20"/>
          <w:spacing w:val="-1"/>
          <w:w w:val="95"/>
        </w:rPr>
        <w:t xml:space="preserve"> </w:t>
      </w:r>
      <w:r>
        <w:rPr>
          <w:color w:val="231F20"/>
          <w:w w:val="95"/>
        </w:rPr>
        <w:t>there</w:t>
      </w:r>
      <w:r>
        <w:rPr>
          <w:color w:val="231F20"/>
          <w:spacing w:val="-1"/>
          <w:w w:val="95"/>
        </w:rPr>
        <w:t xml:space="preserve"> </w:t>
      </w:r>
      <w:r>
        <w:rPr>
          <w:color w:val="231F20"/>
          <w:w w:val="95"/>
        </w:rPr>
        <w:t>be</w:t>
      </w:r>
      <w:r>
        <w:rPr>
          <w:color w:val="231F20"/>
          <w:spacing w:val="-1"/>
          <w:w w:val="95"/>
        </w:rPr>
        <w:t xml:space="preserve"> </w:t>
      </w:r>
      <w:r>
        <w:rPr>
          <w:color w:val="231F20"/>
          <w:w w:val="95"/>
        </w:rPr>
        <w:t>a</w:t>
      </w:r>
      <w:r>
        <w:rPr>
          <w:color w:val="231F20"/>
          <w:spacing w:val="-1"/>
          <w:w w:val="95"/>
        </w:rPr>
        <w:t xml:space="preserve"> </w:t>
      </w:r>
      <w:r>
        <w:rPr>
          <w:color w:val="231F20"/>
          <w:w w:val="95"/>
        </w:rPr>
        <w:t>backlash?</w:t>
      </w:r>
      <w:r>
        <w:rPr>
          <w:color w:val="231F20"/>
          <w:spacing w:val="-1"/>
          <w:w w:val="95"/>
        </w:rPr>
        <w:t xml:space="preserve"> </w:t>
      </w:r>
      <w:r>
        <w:rPr>
          <w:color w:val="231F20"/>
          <w:w w:val="95"/>
        </w:rPr>
        <w:t>It</w:t>
      </w:r>
      <w:r>
        <w:rPr>
          <w:color w:val="231F20"/>
          <w:spacing w:val="-1"/>
          <w:w w:val="95"/>
        </w:rPr>
        <w:t xml:space="preserve"> </w:t>
      </w:r>
      <w:r>
        <w:rPr>
          <w:color w:val="231F20"/>
          <w:w w:val="95"/>
        </w:rPr>
        <w:t>has</w:t>
      </w:r>
      <w:r>
        <w:rPr>
          <w:color w:val="231F20"/>
          <w:spacing w:val="-1"/>
          <w:w w:val="95"/>
        </w:rPr>
        <w:t xml:space="preserve"> </w:t>
      </w:r>
      <w:r>
        <w:rPr>
          <w:color w:val="231F20"/>
          <w:w w:val="95"/>
        </w:rPr>
        <w:t>been</w:t>
      </w:r>
      <w:r>
        <w:rPr>
          <w:color w:val="231F20"/>
          <w:spacing w:val="-1"/>
          <w:w w:val="95"/>
        </w:rPr>
        <w:t xml:space="preserve"> </w:t>
      </w:r>
      <w:r>
        <w:rPr>
          <w:color w:val="231F20"/>
          <w:w w:val="95"/>
        </w:rPr>
        <w:t>interesting</w:t>
      </w:r>
      <w:r>
        <w:rPr>
          <w:color w:val="231F20"/>
          <w:spacing w:val="-1"/>
          <w:w w:val="95"/>
        </w:rPr>
        <w:t xml:space="preserve"> </w:t>
      </w:r>
      <w:r>
        <w:rPr>
          <w:color w:val="231F20"/>
          <w:w w:val="95"/>
        </w:rPr>
        <w:t>to</w:t>
      </w:r>
      <w:r>
        <w:rPr>
          <w:color w:val="231F20"/>
          <w:spacing w:val="-1"/>
          <w:w w:val="95"/>
        </w:rPr>
        <w:t xml:space="preserve"> </w:t>
      </w:r>
      <w:r>
        <w:rPr>
          <w:color w:val="231F20"/>
          <w:w w:val="95"/>
        </w:rPr>
        <w:t>observe academic exploration of the interplay of sports and nature, for example, in influencing sports participants to better understand h</w:t>
      </w:r>
      <w:r>
        <w:rPr>
          <w:color w:val="231F20"/>
          <w:w w:val="95"/>
        </w:rPr>
        <w:t xml:space="preserve">uman relationships </w:t>
      </w:r>
      <w:r>
        <w:rPr>
          <w:color w:val="231F20"/>
        </w:rPr>
        <w:t>with the natural environment (Krein, 2008).</w:t>
      </w:r>
    </w:p>
    <w:p w14:paraId="0F323EE8" w14:textId="77777777" w:rsidR="00AE0598" w:rsidRDefault="00AE0598">
      <w:pPr>
        <w:pStyle w:val="Corpodetexto"/>
        <w:spacing w:before="1"/>
        <w:rPr>
          <w:sz w:val="31"/>
        </w:rPr>
      </w:pPr>
    </w:p>
    <w:p w14:paraId="15A405C7" w14:textId="77777777" w:rsidR="00AE0598" w:rsidRDefault="0069255A">
      <w:pPr>
        <w:ind w:left="110"/>
        <w:rPr>
          <w:rFonts w:ascii="Trebuchet MS"/>
          <w:b/>
          <w:sz w:val="20"/>
        </w:rPr>
      </w:pPr>
      <w:r>
        <w:rPr>
          <w:rFonts w:ascii="Trebuchet MS"/>
          <w:b/>
          <w:color w:val="231F20"/>
          <w:sz w:val="20"/>
        </w:rPr>
        <w:t>Sport</w:t>
      </w:r>
      <w:r>
        <w:rPr>
          <w:rFonts w:ascii="Trebuchet MS"/>
          <w:b/>
          <w:color w:val="231F20"/>
          <w:spacing w:val="5"/>
          <w:sz w:val="20"/>
        </w:rPr>
        <w:t xml:space="preserve"> </w:t>
      </w:r>
      <w:r>
        <w:rPr>
          <w:rFonts w:ascii="Trebuchet MS"/>
          <w:b/>
          <w:color w:val="231F20"/>
          <w:sz w:val="20"/>
        </w:rPr>
        <w:t>Tourism</w:t>
      </w:r>
      <w:r>
        <w:rPr>
          <w:rFonts w:ascii="Trebuchet MS"/>
          <w:b/>
          <w:color w:val="231F20"/>
          <w:spacing w:val="6"/>
          <w:sz w:val="20"/>
        </w:rPr>
        <w:t xml:space="preserve"> </w:t>
      </w:r>
      <w:r>
        <w:rPr>
          <w:rFonts w:ascii="Trebuchet MS"/>
          <w:b/>
          <w:color w:val="231F20"/>
          <w:sz w:val="20"/>
        </w:rPr>
        <w:t>Development</w:t>
      </w:r>
      <w:r>
        <w:rPr>
          <w:rFonts w:ascii="Trebuchet MS"/>
          <w:b/>
          <w:color w:val="231F20"/>
          <w:spacing w:val="6"/>
          <w:sz w:val="20"/>
        </w:rPr>
        <w:t xml:space="preserve"> </w:t>
      </w:r>
      <w:r>
        <w:rPr>
          <w:rFonts w:ascii="Trebuchet MS"/>
          <w:b/>
          <w:color w:val="231F20"/>
          <w:sz w:val="20"/>
        </w:rPr>
        <w:t>and</w:t>
      </w:r>
      <w:r>
        <w:rPr>
          <w:rFonts w:ascii="Trebuchet MS"/>
          <w:b/>
          <w:color w:val="231F20"/>
          <w:spacing w:val="6"/>
          <w:sz w:val="20"/>
        </w:rPr>
        <w:t xml:space="preserve"> </w:t>
      </w:r>
      <w:r>
        <w:rPr>
          <w:rFonts w:ascii="Trebuchet MS"/>
          <w:b/>
          <w:color w:val="231F20"/>
          <w:spacing w:val="-4"/>
          <w:sz w:val="20"/>
        </w:rPr>
        <w:t>Time</w:t>
      </w:r>
    </w:p>
    <w:p w14:paraId="507E5F4F" w14:textId="77777777" w:rsidR="00AE0598" w:rsidRDefault="0069255A">
      <w:pPr>
        <w:pStyle w:val="Corpodetexto"/>
        <w:spacing w:before="122" w:line="232" w:lineRule="auto"/>
        <w:ind w:left="110" w:right="106" w:firstLine="320"/>
        <w:jc w:val="right"/>
      </w:pPr>
      <w:r>
        <w:rPr>
          <w:color w:val="231F20"/>
          <w:spacing w:val="-2"/>
        </w:rPr>
        <w:t>Chapters</w:t>
      </w:r>
      <w:r>
        <w:rPr>
          <w:color w:val="231F20"/>
          <w:spacing w:val="18"/>
        </w:rPr>
        <w:t xml:space="preserve"> </w:t>
      </w:r>
      <w:r>
        <w:rPr>
          <w:color w:val="231F20"/>
          <w:spacing w:val="-2"/>
        </w:rPr>
        <w:t>8–10</w:t>
      </w:r>
      <w:r>
        <w:rPr>
          <w:color w:val="231F20"/>
          <w:spacing w:val="18"/>
        </w:rPr>
        <w:t xml:space="preserve"> </w:t>
      </w:r>
      <w:r>
        <w:rPr>
          <w:color w:val="231F20"/>
          <w:spacing w:val="-2"/>
        </w:rPr>
        <w:t>consider</w:t>
      </w:r>
      <w:r>
        <w:rPr>
          <w:color w:val="231F20"/>
          <w:spacing w:val="18"/>
        </w:rPr>
        <w:t xml:space="preserve"> </w:t>
      </w:r>
      <w:r>
        <w:rPr>
          <w:color w:val="231F20"/>
          <w:spacing w:val="-2"/>
        </w:rPr>
        <w:t>the</w:t>
      </w:r>
      <w:r>
        <w:rPr>
          <w:color w:val="231F20"/>
          <w:spacing w:val="18"/>
        </w:rPr>
        <w:t xml:space="preserve"> </w:t>
      </w:r>
      <w:r>
        <w:rPr>
          <w:color w:val="231F20"/>
          <w:spacing w:val="-2"/>
        </w:rPr>
        <w:t>manifestations</w:t>
      </w:r>
      <w:r>
        <w:rPr>
          <w:color w:val="231F20"/>
          <w:spacing w:val="18"/>
        </w:rPr>
        <w:t xml:space="preserve"> </w:t>
      </w:r>
      <w:r>
        <w:rPr>
          <w:color w:val="231F20"/>
          <w:spacing w:val="-2"/>
        </w:rPr>
        <w:t>of</w:t>
      </w:r>
      <w:r>
        <w:rPr>
          <w:color w:val="231F20"/>
          <w:spacing w:val="29"/>
        </w:rPr>
        <w:t xml:space="preserve"> </w:t>
      </w:r>
      <w:r>
        <w:rPr>
          <w:color w:val="231F20"/>
          <w:spacing w:val="-2"/>
        </w:rPr>
        <w:t>sport</w:t>
      </w:r>
      <w:r>
        <w:rPr>
          <w:color w:val="231F20"/>
          <w:spacing w:val="18"/>
        </w:rPr>
        <w:t xml:space="preserve"> </w:t>
      </w:r>
      <w:r>
        <w:rPr>
          <w:color w:val="231F20"/>
          <w:spacing w:val="-2"/>
        </w:rPr>
        <w:t>tourism</w:t>
      </w:r>
      <w:r>
        <w:rPr>
          <w:color w:val="231F20"/>
          <w:spacing w:val="18"/>
        </w:rPr>
        <w:t xml:space="preserve"> </w:t>
      </w:r>
      <w:r>
        <w:rPr>
          <w:color w:val="231F20"/>
          <w:spacing w:val="-2"/>
        </w:rPr>
        <w:t>in</w:t>
      </w:r>
      <w:r>
        <w:rPr>
          <w:color w:val="231F20"/>
          <w:spacing w:val="18"/>
        </w:rPr>
        <w:t xml:space="preserve"> </w:t>
      </w:r>
      <w:r>
        <w:rPr>
          <w:color w:val="231F20"/>
          <w:spacing w:val="-2"/>
        </w:rPr>
        <w:t xml:space="preserve">time. </w:t>
      </w:r>
      <w:r>
        <w:rPr>
          <w:color w:val="231F20"/>
        </w:rPr>
        <w:t>Chapter</w:t>
      </w:r>
      <w:r>
        <w:rPr>
          <w:color w:val="231F20"/>
          <w:spacing w:val="35"/>
        </w:rPr>
        <w:t xml:space="preserve"> </w:t>
      </w:r>
      <w:r>
        <w:rPr>
          <w:color w:val="231F20"/>
        </w:rPr>
        <w:t>8:</w:t>
      </w:r>
      <w:r>
        <w:rPr>
          <w:color w:val="231F20"/>
          <w:spacing w:val="35"/>
        </w:rPr>
        <w:t xml:space="preserve"> </w:t>
      </w:r>
      <w:r>
        <w:rPr>
          <w:color w:val="231F20"/>
        </w:rPr>
        <w:t>Sport</w:t>
      </w:r>
      <w:r>
        <w:rPr>
          <w:color w:val="231F20"/>
          <w:spacing w:val="35"/>
        </w:rPr>
        <w:t xml:space="preserve"> </w:t>
      </w:r>
      <w:r>
        <w:rPr>
          <w:color w:val="231F20"/>
        </w:rPr>
        <w:t>and</w:t>
      </w:r>
      <w:r>
        <w:rPr>
          <w:color w:val="231F20"/>
          <w:spacing w:val="35"/>
        </w:rPr>
        <w:t xml:space="preserve"> </w:t>
      </w:r>
      <w:r>
        <w:rPr>
          <w:color w:val="231F20"/>
        </w:rPr>
        <w:t>the</w:t>
      </w:r>
      <w:r>
        <w:rPr>
          <w:color w:val="231F20"/>
          <w:spacing w:val="35"/>
        </w:rPr>
        <w:t xml:space="preserve"> </w:t>
      </w:r>
      <w:r>
        <w:rPr>
          <w:color w:val="231F20"/>
        </w:rPr>
        <w:t>Tourist</w:t>
      </w:r>
      <w:r>
        <w:rPr>
          <w:color w:val="231F20"/>
          <w:spacing w:val="35"/>
        </w:rPr>
        <w:t xml:space="preserve"> </w:t>
      </w:r>
      <w:r>
        <w:rPr>
          <w:color w:val="231F20"/>
        </w:rPr>
        <w:t>Experience</w:t>
      </w:r>
      <w:r>
        <w:rPr>
          <w:color w:val="231F20"/>
          <w:spacing w:val="35"/>
        </w:rPr>
        <w:t xml:space="preserve"> </w:t>
      </w:r>
      <w:r>
        <w:rPr>
          <w:color w:val="231F20"/>
        </w:rPr>
        <w:t>explores</w:t>
      </w:r>
      <w:r>
        <w:rPr>
          <w:color w:val="231F20"/>
          <w:spacing w:val="35"/>
        </w:rPr>
        <w:t xml:space="preserve"> </w:t>
      </w:r>
      <w:r>
        <w:rPr>
          <w:color w:val="231F20"/>
        </w:rPr>
        <w:t>the</w:t>
      </w:r>
      <w:r>
        <w:rPr>
          <w:color w:val="231F20"/>
          <w:spacing w:val="35"/>
        </w:rPr>
        <w:t xml:space="preserve"> </w:t>
      </w:r>
      <w:r>
        <w:rPr>
          <w:color w:val="231F20"/>
        </w:rPr>
        <w:t xml:space="preserve">short-term </w:t>
      </w:r>
      <w:r>
        <w:rPr>
          <w:color w:val="231F20"/>
          <w:w w:val="95"/>
        </w:rPr>
        <w:t>temporal</w:t>
      </w:r>
      <w:r>
        <w:rPr>
          <w:color w:val="231F20"/>
          <w:spacing w:val="-4"/>
          <w:w w:val="95"/>
        </w:rPr>
        <w:t xml:space="preserve"> </w:t>
      </w:r>
      <w:r>
        <w:rPr>
          <w:color w:val="231F20"/>
          <w:w w:val="95"/>
        </w:rPr>
        <w:t>horizon</w:t>
      </w:r>
      <w:r>
        <w:rPr>
          <w:color w:val="231F20"/>
          <w:spacing w:val="-4"/>
          <w:w w:val="95"/>
        </w:rPr>
        <w:t xml:space="preserve"> </w:t>
      </w:r>
      <w:r>
        <w:rPr>
          <w:color w:val="231F20"/>
          <w:w w:val="95"/>
        </w:rPr>
        <w:t>of</w:t>
      </w:r>
      <w:r>
        <w:rPr>
          <w:color w:val="231F20"/>
        </w:rPr>
        <w:t xml:space="preserve"> </w:t>
      </w:r>
      <w:r>
        <w:rPr>
          <w:color w:val="231F20"/>
          <w:w w:val="95"/>
        </w:rPr>
        <w:t>sport</w:t>
      </w:r>
      <w:r>
        <w:rPr>
          <w:color w:val="231F20"/>
          <w:spacing w:val="-4"/>
          <w:w w:val="95"/>
        </w:rPr>
        <w:t xml:space="preserve"> </w:t>
      </w:r>
      <w:r>
        <w:rPr>
          <w:color w:val="231F20"/>
          <w:w w:val="95"/>
        </w:rPr>
        <w:t>tourism.</w:t>
      </w:r>
      <w:r>
        <w:rPr>
          <w:color w:val="231F20"/>
          <w:spacing w:val="-4"/>
          <w:w w:val="95"/>
        </w:rPr>
        <w:t xml:space="preserve"> </w:t>
      </w:r>
      <w:r>
        <w:rPr>
          <w:color w:val="231F20"/>
          <w:w w:val="95"/>
        </w:rPr>
        <w:t>The</w:t>
      </w:r>
      <w:r>
        <w:rPr>
          <w:color w:val="231F20"/>
          <w:spacing w:val="-4"/>
          <w:w w:val="95"/>
        </w:rPr>
        <w:t xml:space="preserve"> </w:t>
      </w:r>
      <w:r>
        <w:rPr>
          <w:color w:val="231F20"/>
          <w:w w:val="95"/>
        </w:rPr>
        <w:t>visitor</w:t>
      </w:r>
      <w:r>
        <w:rPr>
          <w:color w:val="231F20"/>
          <w:spacing w:val="-4"/>
          <w:w w:val="95"/>
        </w:rPr>
        <w:t xml:space="preserve"> </w:t>
      </w:r>
      <w:r>
        <w:rPr>
          <w:color w:val="231F20"/>
          <w:w w:val="95"/>
        </w:rPr>
        <w:t>experience</w:t>
      </w:r>
      <w:r>
        <w:rPr>
          <w:color w:val="231F20"/>
          <w:spacing w:val="-4"/>
          <w:w w:val="95"/>
        </w:rPr>
        <w:t xml:space="preserve"> </w:t>
      </w:r>
      <w:r>
        <w:rPr>
          <w:color w:val="231F20"/>
          <w:w w:val="95"/>
        </w:rPr>
        <w:t>is</w:t>
      </w:r>
      <w:r>
        <w:rPr>
          <w:color w:val="231F20"/>
          <w:spacing w:val="-4"/>
          <w:w w:val="95"/>
        </w:rPr>
        <w:t xml:space="preserve"> </w:t>
      </w:r>
      <w:r>
        <w:rPr>
          <w:color w:val="231F20"/>
          <w:w w:val="95"/>
        </w:rPr>
        <w:t>concerned</w:t>
      </w:r>
      <w:r>
        <w:rPr>
          <w:color w:val="231F20"/>
          <w:spacing w:val="-4"/>
          <w:w w:val="95"/>
        </w:rPr>
        <w:t xml:space="preserve"> </w:t>
      </w:r>
      <w:r>
        <w:rPr>
          <w:color w:val="231F20"/>
          <w:w w:val="95"/>
        </w:rPr>
        <w:t xml:space="preserve">with </w:t>
      </w:r>
      <w:r>
        <w:rPr>
          <w:color w:val="231F20"/>
          <w:spacing w:val="-2"/>
        </w:rPr>
        <w:t>the</w:t>
      </w:r>
      <w:r>
        <w:rPr>
          <w:color w:val="231F20"/>
          <w:spacing w:val="8"/>
        </w:rPr>
        <w:t xml:space="preserve"> </w:t>
      </w:r>
      <w:r>
        <w:rPr>
          <w:color w:val="231F20"/>
          <w:spacing w:val="-2"/>
        </w:rPr>
        <w:t>timing</w:t>
      </w:r>
      <w:r>
        <w:rPr>
          <w:color w:val="231F20"/>
          <w:spacing w:val="8"/>
        </w:rPr>
        <w:t xml:space="preserve"> </w:t>
      </w:r>
      <w:r>
        <w:rPr>
          <w:color w:val="231F20"/>
          <w:spacing w:val="-2"/>
        </w:rPr>
        <w:t>and</w:t>
      </w:r>
      <w:r>
        <w:rPr>
          <w:color w:val="231F20"/>
          <w:spacing w:val="8"/>
        </w:rPr>
        <w:t xml:space="preserve"> </w:t>
      </w:r>
      <w:r>
        <w:rPr>
          <w:color w:val="231F20"/>
          <w:spacing w:val="-2"/>
        </w:rPr>
        <w:t>duration</w:t>
      </w:r>
      <w:r>
        <w:rPr>
          <w:color w:val="231F20"/>
          <w:spacing w:val="8"/>
        </w:rPr>
        <w:t xml:space="preserve"> </w:t>
      </w:r>
      <w:r>
        <w:rPr>
          <w:color w:val="231F20"/>
          <w:spacing w:val="-2"/>
        </w:rPr>
        <w:t>of</w:t>
      </w:r>
      <w:r>
        <w:rPr>
          <w:color w:val="231F20"/>
          <w:spacing w:val="19"/>
        </w:rPr>
        <w:t xml:space="preserve"> </w:t>
      </w:r>
      <w:r>
        <w:rPr>
          <w:color w:val="231F20"/>
          <w:spacing w:val="-2"/>
        </w:rPr>
        <w:t>visits,</w:t>
      </w:r>
      <w:r>
        <w:rPr>
          <w:color w:val="231F20"/>
          <w:spacing w:val="8"/>
        </w:rPr>
        <w:t xml:space="preserve"> </w:t>
      </w:r>
      <w:r>
        <w:rPr>
          <w:color w:val="231F20"/>
          <w:spacing w:val="-2"/>
        </w:rPr>
        <w:t>engagement</w:t>
      </w:r>
      <w:r>
        <w:rPr>
          <w:color w:val="231F20"/>
          <w:spacing w:val="8"/>
        </w:rPr>
        <w:t xml:space="preserve"> </w:t>
      </w:r>
      <w:r>
        <w:rPr>
          <w:color w:val="231F20"/>
          <w:spacing w:val="-2"/>
        </w:rPr>
        <w:t>in</w:t>
      </w:r>
      <w:r>
        <w:rPr>
          <w:color w:val="231F20"/>
          <w:spacing w:val="8"/>
        </w:rPr>
        <w:t xml:space="preserve"> </w:t>
      </w:r>
      <w:r>
        <w:rPr>
          <w:color w:val="231F20"/>
          <w:spacing w:val="-2"/>
        </w:rPr>
        <w:t>sports</w:t>
      </w:r>
      <w:r>
        <w:rPr>
          <w:color w:val="231F20"/>
          <w:spacing w:val="8"/>
        </w:rPr>
        <w:t xml:space="preserve"> </w:t>
      </w:r>
      <w:r>
        <w:rPr>
          <w:color w:val="231F20"/>
          <w:spacing w:val="-2"/>
        </w:rPr>
        <w:t>and</w:t>
      </w:r>
      <w:r>
        <w:rPr>
          <w:color w:val="231F20"/>
          <w:spacing w:val="8"/>
        </w:rPr>
        <w:t xml:space="preserve"> </w:t>
      </w:r>
      <w:r>
        <w:rPr>
          <w:color w:val="231F20"/>
          <w:spacing w:val="-2"/>
        </w:rPr>
        <w:t>touristic</w:t>
      </w:r>
      <w:r>
        <w:rPr>
          <w:color w:val="231F20"/>
          <w:spacing w:val="8"/>
        </w:rPr>
        <w:t xml:space="preserve"> </w:t>
      </w:r>
      <w:r>
        <w:rPr>
          <w:color w:val="231F20"/>
          <w:spacing w:val="-2"/>
        </w:rPr>
        <w:t xml:space="preserve">and </w:t>
      </w:r>
      <w:r>
        <w:rPr>
          <w:color w:val="231F20"/>
          <w:w w:val="95"/>
        </w:rPr>
        <w:t>leisure</w:t>
      </w:r>
      <w:r>
        <w:rPr>
          <w:color w:val="231F20"/>
          <w:spacing w:val="-10"/>
          <w:w w:val="95"/>
        </w:rPr>
        <w:t xml:space="preserve"> </w:t>
      </w:r>
      <w:r>
        <w:rPr>
          <w:color w:val="231F20"/>
          <w:w w:val="95"/>
        </w:rPr>
        <w:t>activities</w:t>
      </w:r>
      <w:r>
        <w:rPr>
          <w:color w:val="231F20"/>
          <w:spacing w:val="-9"/>
          <w:w w:val="95"/>
        </w:rPr>
        <w:t xml:space="preserve"> </w:t>
      </w:r>
      <w:r>
        <w:rPr>
          <w:color w:val="231F20"/>
          <w:w w:val="95"/>
        </w:rPr>
        <w:t>at</w:t>
      </w:r>
      <w:r>
        <w:rPr>
          <w:color w:val="231F20"/>
          <w:spacing w:val="-9"/>
          <w:w w:val="95"/>
        </w:rPr>
        <w:t xml:space="preserve"> </w:t>
      </w:r>
      <w:r>
        <w:rPr>
          <w:color w:val="231F20"/>
          <w:w w:val="95"/>
        </w:rPr>
        <w:t>the</w:t>
      </w:r>
      <w:r>
        <w:rPr>
          <w:color w:val="231F20"/>
          <w:spacing w:val="-9"/>
          <w:w w:val="95"/>
        </w:rPr>
        <w:t xml:space="preserve"> </w:t>
      </w:r>
      <w:r>
        <w:rPr>
          <w:color w:val="231F20"/>
          <w:w w:val="95"/>
        </w:rPr>
        <w:t>destination.</w:t>
      </w:r>
      <w:r>
        <w:rPr>
          <w:color w:val="231F20"/>
          <w:spacing w:val="-10"/>
          <w:w w:val="95"/>
        </w:rPr>
        <w:t xml:space="preserve"> </w:t>
      </w:r>
      <w:r>
        <w:rPr>
          <w:color w:val="231F20"/>
          <w:w w:val="95"/>
        </w:rPr>
        <w:t>Different</w:t>
      </w:r>
      <w:r>
        <w:rPr>
          <w:color w:val="231F20"/>
          <w:spacing w:val="-9"/>
          <w:w w:val="95"/>
        </w:rPr>
        <w:t xml:space="preserve"> </w:t>
      </w:r>
      <w:r>
        <w:rPr>
          <w:color w:val="231F20"/>
          <w:w w:val="95"/>
        </w:rPr>
        <w:t>forms</w:t>
      </w:r>
      <w:r>
        <w:rPr>
          <w:color w:val="231F20"/>
          <w:spacing w:val="-9"/>
          <w:w w:val="95"/>
        </w:rPr>
        <w:t xml:space="preserve"> </w:t>
      </w:r>
      <w:r>
        <w:rPr>
          <w:color w:val="231F20"/>
          <w:w w:val="95"/>
        </w:rPr>
        <w:t>of</w:t>
      </w:r>
      <w:r>
        <w:rPr>
          <w:color w:val="231F20"/>
          <w:spacing w:val="-8"/>
          <w:w w:val="95"/>
        </w:rPr>
        <w:t xml:space="preserve"> </w:t>
      </w:r>
      <w:r>
        <w:rPr>
          <w:color w:val="231F20"/>
          <w:w w:val="95"/>
        </w:rPr>
        <w:t>sport</w:t>
      </w:r>
      <w:r>
        <w:rPr>
          <w:color w:val="231F20"/>
          <w:spacing w:val="-10"/>
          <w:w w:val="95"/>
        </w:rPr>
        <w:t xml:space="preserve"> </w:t>
      </w:r>
      <w:r>
        <w:rPr>
          <w:color w:val="231F20"/>
          <w:w w:val="95"/>
        </w:rPr>
        <w:t>tourism</w:t>
      </w:r>
      <w:r>
        <w:rPr>
          <w:color w:val="231F20"/>
          <w:spacing w:val="-9"/>
          <w:w w:val="95"/>
        </w:rPr>
        <w:t xml:space="preserve"> </w:t>
      </w:r>
      <w:r>
        <w:rPr>
          <w:color w:val="231F20"/>
          <w:w w:val="95"/>
        </w:rPr>
        <w:t xml:space="preserve">manifest </w:t>
      </w:r>
      <w:r>
        <w:rPr>
          <w:color w:val="231F20"/>
          <w:spacing w:val="-2"/>
          <w:w w:val="95"/>
        </w:rPr>
        <w:t>themselves</w:t>
      </w:r>
      <w:r>
        <w:rPr>
          <w:color w:val="231F20"/>
          <w:spacing w:val="-8"/>
          <w:w w:val="95"/>
        </w:rPr>
        <w:t xml:space="preserve"> </w:t>
      </w:r>
      <w:r>
        <w:rPr>
          <w:color w:val="231F20"/>
          <w:spacing w:val="-2"/>
          <w:w w:val="95"/>
        </w:rPr>
        <w:t>in</w:t>
      </w:r>
      <w:r>
        <w:rPr>
          <w:color w:val="231F20"/>
          <w:spacing w:val="-7"/>
          <w:w w:val="95"/>
        </w:rPr>
        <w:t xml:space="preserve"> </w:t>
      </w:r>
      <w:r>
        <w:rPr>
          <w:color w:val="231F20"/>
          <w:spacing w:val="-2"/>
          <w:w w:val="95"/>
        </w:rPr>
        <w:t>contrasting</w:t>
      </w:r>
      <w:r>
        <w:rPr>
          <w:color w:val="231F20"/>
          <w:spacing w:val="-7"/>
          <w:w w:val="95"/>
        </w:rPr>
        <w:t xml:space="preserve"> </w:t>
      </w:r>
      <w:r>
        <w:rPr>
          <w:color w:val="231F20"/>
          <w:spacing w:val="-2"/>
          <w:w w:val="95"/>
        </w:rPr>
        <w:t>tourist</w:t>
      </w:r>
      <w:r>
        <w:rPr>
          <w:color w:val="231F20"/>
          <w:spacing w:val="-7"/>
          <w:w w:val="95"/>
        </w:rPr>
        <w:t xml:space="preserve"> </w:t>
      </w:r>
      <w:r>
        <w:rPr>
          <w:color w:val="231F20"/>
          <w:spacing w:val="-2"/>
          <w:w w:val="95"/>
        </w:rPr>
        <w:t>experiences.</w:t>
      </w:r>
      <w:r>
        <w:rPr>
          <w:color w:val="231F20"/>
          <w:spacing w:val="-8"/>
          <w:w w:val="95"/>
        </w:rPr>
        <w:t xml:space="preserve"> </w:t>
      </w:r>
      <w:r>
        <w:rPr>
          <w:color w:val="231F20"/>
          <w:spacing w:val="-2"/>
          <w:w w:val="95"/>
        </w:rPr>
        <w:t>Sport</w:t>
      </w:r>
      <w:r>
        <w:rPr>
          <w:color w:val="231F20"/>
          <w:spacing w:val="-7"/>
          <w:w w:val="95"/>
        </w:rPr>
        <w:t xml:space="preserve"> </w:t>
      </w:r>
      <w:r>
        <w:rPr>
          <w:color w:val="231F20"/>
          <w:spacing w:val="-2"/>
          <w:w w:val="95"/>
        </w:rPr>
        <w:t>experiences</w:t>
      </w:r>
      <w:r>
        <w:rPr>
          <w:color w:val="231F20"/>
          <w:spacing w:val="-7"/>
          <w:w w:val="95"/>
        </w:rPr>
        <w:t xml:space="preserve"> </w:t>
      </w:r>
      <w:r>
        <w:rPr>
          <w:color w:val="231F20"/>
          <w:spacing w:val="-2"/>
          <w:w w:val="95"/>
        </w:rPr>
        <w:t>derived</w:t>
      </w:r>
      <w:r>
        <w:rPr>
          <w:color w:val="231F20"/>
          <w:spacing w:val="-7"/>
          <w:w w:val="95"/>
        </w:rPr>
        <w:t xml:space="preserve"> </w:t>
      </w:r>
      <w:r>
        <w:rPr>
          <w:color w:val="231F20"/>
          <w:spacing w:val="-2"/>
          <w:w w:val="95"/>
        </w:rPr>
        <w:t xml:space="preserve">from </w:t>
      </w:r>
      <w:r>
        <w:rPr>
          <w:color w:val="231F20"/>
          <w:w w:val="95"/>
        </w:rPr>
        <w:t>spectator</w:t>
      </w:r>
      <w:r>
        <w:rPr>
          <w:color w:val="231F20"/>
          <w:spacing w:val="38"/>
        </w:rPr>
        <w:t xml:space="preserve"> </w:t>
      </w:r>
      <w:r>
        <w:rPr>
          <w:color w:val="231F20"/>
          <w:w w:val="95"/>
        </w:rPr>
        <w:t>events,</w:t>
      </w:r>
      <w:r>
        <w:rPr>
          <w:color w:val="231F20"/>
          <w:spacing w:val="38"/>
        </w:rPr>
        <w:t xml:space="preserve"> </w:t>
      </w:r>
      <w:r>
        <w:rPr>
          <w:color w:val="231F20"/>
          <w:w w:val="95"/>
        </w:rPr>
        <w:t>competitive</w:t>
      </w:r>
      <w:r>
        <w:rPr>
          <w:color w:val="231F20"/>
          <w:spacing w:val="38"/>
        </w:rPr>
        <w:t xml:space="preserve"> </w:t>
      </w:r>
      <w:r>
        <w:rPr>
          <w:color w:val="231F20"/>
          <w:w w:val="95"/>
        </w:rPr>
        <w:t>engagement</w:t>
      </w:r>
      <w:r>
        <w:rPr>
          <w:color w:val="231F20"/>
          <w:spacing w:val="38"/>
        </w:rPr>
        <w:t xml:space="preserve"> </w:t>
      </w:r>
      <w:r>
        <w:rPr>
          <w:color w:val="231F20"/>
          <w:w w:val="95"/>
        </w:rPr>
        <w:t>in</w:t>
      </w:r>
      <w:r>
        <w:rPr>
          <w:color w:val="231F20"/>
          <w:spacing w:val="38"/>
        </w:rPr>
        <w:t xml:space="preserve"> </w:t>
      </w:r>
      <w:r>
        <w:rPr>
          <w:color w:val="231F20"/>
          <w:w w:val="95"/>
        </w:rPr>
        <w:t>events,</w:t>
      </w:r>
      <w:r>
        <w:rPr>
          <w:color w:val="231F20"/>
          <w:spacing w:val="38"/>
        </w:rPr>
        <w:t xml:space="preserve"> </w:t>
      </w:r>
      <w:r>
        <w:rPr>
          <w:color w:val="231F20"/>
          <w:w w:val="95"/>
        </w:rPr>
        <w:t>active</w:t>
      </w:r>
      <w:r>
        <w:rPr>
          <w:color w:val="231F20"/>
          <w:spacing w:val="38"/>
        </w:rPr>
        <w:t xml:space="preserve"> </w:t>
      </w:r>
      <w:r>
        <w:rPr>
          <w:color w:val="231F20"/>
          <w:w w:val="95"/>
        </w:rPr>
        <w:t xml:space="preserve">participation </w:t>
      </w:r>
      <w:r>
        <w:rPr>
          <w:color w:val="231F20"/>
          <w:spacing w:val="-2"/>
        </w:rPr>
        <w:t>in</w:t>
      </w:r>
      <w:r>
        <w:rPr>
          <w:color w:val="231F20"/>
          <w:spacing w:val="34"/>
        </w:rPr>
        <w:t xml:space="preserve"> </w:t>
      </w:r>
      <w:r>
        <w:rPr>
          <w:color w:val="231F20"/>
          <w:spacing w:val="-2"/>
        </w:rPr>
        <w:t>recreational</w:t>
      </w:r>
      <w:r>
        <w:rPr>
          <w:color w:val="231F20"/>
          <w:spacing w:val="34"/>
        </w:rPr>
        <w:t xml:space="preserve"> </w:t>
      </w:r>
      <w:r>
        <w:rPr>
          <w:color w:val="231F20"/>
          <w:spacing w:val="-2"/>
        </w:rPr>
        <w:t>sports</w:t>
      </w:r>
      <w:r>
        <w:rPr>
          <w:color w:val="231F20"/>
          <w:spacing w:val="34"/>
        </w:rPr>
        <w:t xml:space="preserve"> </w:t>
      </w:r>
      <w:r>
        <w:rPr>
          <w:color w:val="231F20"/>
          <w:spacing w:val="-2"/>
        </w:rPr>
        <w:t>and</w:t>
      </w:r>
      <w:r>
        <w:rPr>
          <w:color w:val="231F20"/>
          <w:spacing w:val="34"/>
        </w:rPr>
        <w:t xml:space="preserve"> </w:t>
      </w:r>
      <w:r>
        <w:rPr>
          <w:color w:val="231F20"/>
          <w:spacing w:val="-2"/>
        </w:rPr>
        <w:t>sports</w:t>
      </w:r>
      <w:r>
        <w:rPr>
          <w:color w:val="231F20"/>
          <w:spacing w:val="34"/>
        </w:rPr>
        <w:t xml:space="preserve"> </w:t>
      </w:r>
      <w:r>
        <w:rPr>
          <w:color w:val="231F20"/>
          <w:spacing w:val="-2"/>
        </w:rPr>
        <w:t>heritage</w:t>
      </w:r>
      <w:r>
        <w:rPr>
          <w:color w:val="231F20"/>
          <w:spacing w:val="34"/>
        </w:rPr>
        <w:t xml:space="preserve"> </w:t>
      </w:r>
      <w:r>
        <w:rPr>
          <w:color w:val="231F20"/>
          <w:spacing w:val="-2"/>
        </w:rPr>
        <w:t>and</w:t>
      </w:r>
      <w:r>
        <w:rPr>
          <w:color w:val="231F20"/>
          <w:spacing w:val="34"/>
        </w:rPr>
        <w:t xml:space="preserve"> </w:t>
      </w:r>
      <w:r>
        <w:rPr>
          <w:color w:val="231F20"/>
          <w:spacing w:val="-2"/>
        </w:rPr>
        <w:t>nostalgia</w:t>
      </w:r>
      <w:r>
        <w:rPr>
          <w:color w:val="231F20"/>
          <w:spacing w:val="34"/>
        </w:rPr>
        <w:t xml:space="preserve"> </w:t>
      </w:r>
      <w:r>
        <w:rPr>
          <w:color w:val="231F20"/>
          <w:spacing w:val="-2"/>
        </w:rPr>
        <w:t>give</w:t>
      </w:r>
      <w:r>
        <w:rPr>
          <w:color w:val="231F20"/>
          <w:spacing w:val="34"/>
        </w:rPr>
        <w:t xml:space="preserve"> </w:t>
      </w:r>
      <w:r>
        <w:rPr>
          <w:color w:val="231F20"/>
          <w:spacing w:val="-2"/>
        </w:rPr>
        <w:t>structure to</w:t>
      </w:r>
      <w:r>
        <w:rPr>
          <w:color w:val="231F20"/>
          <w:spacing w:val="7"/>
        </w:rPr>
        <w:t xml:space="preserve"> </w:t>
      </w:r>
      <w:r>
        <w:rPr>
          <w:color w:val="231F20"/>
          <w:spacing w:val="-2"/>
        </w:rPr>
        <w:t>the</w:t>
      </w:r>
      <w:r>
        <w:rPr>
          <w:color w:val="231F20"/>
          <w:spacing w:val="7"/>
        </w:rPr>
        <w:t xml:space="preserve"> </w:t>
      </w:r>
      <w:r>
        <w:rPr>
          <w:color w:val="231F20"/>
          <w:spacing w:val="-2"/>
        </w:rPr>
        <w:t>discussions</w:t>
      </w:r>
      <w:r>
        <w:rPr>
          <w:color w:val="231F20"/>
          <w:spacing w:val="7"/>
        </w:rPr>
        <w:t xml:space="preserve"> </w:t>
      </w:r>
      <w:r>
        <w:rPr>
          <w:color w:val="231F20"/>
          <w:spacing w:val="-2"/>
        </w:rPr>
        <w:t>presented</w:t>
      </w:r>
      <w:r>
        <w:rPr>
          <w:color w:val="231F20"/>
          <w:spacing w:val="7"/>
        </w:rPr>
        <w:t xml:space="preserve"> </w:t>
      </w:r>
      <w:r>
        <w:rPr>
          <w:color w:val="231F20"/>
          <w:spacing w:val="-2"/>
        </w:rPr>
        <w:t>in</w:t>
      </w:r>
      <w:r>
        <w:rPr>
          <w:color w:val="231F20"/>
          <w:spacing w:val="7"/>
        </w:rPr>
        <w:t xml:space="preserve"> </w:t>
      </w:r>
      <w:r>
        <w:rPr>
          <w:color w:val="231F20"/>
          <w:spacing w:val="-2"/>
        </w:rPr>
        <w:t>Chapter</w:t>
      </w:r>
      <w:r>
        <w:rPr>
          <w:color w:val="231F20"/>
          <w:spacing w:val="7"/>
        </w:rPr>
        <w:t xml:space="preserve"> </w:t>
      </w:r>
      <w:r>
        <w:rPr>
          <w:color w:val="231F20"/>
          <w:spacing w:val="-2"/>
        </w:rPr>
        <w:t>8.</w:t>
      </w:r>
      <w:r>
        <w:rPr>
          <w:color w:val="231F20"/>
          <w:spacing w:val="7"/>
        </w:rPr>
        <w:t xml:space="preserve"> </w:t>
      </w:r>
      <w:r>
        <w:rPr>
          <w:color w:val="231F20"/>
          <w:spacing w:val="-2"/>
        </w:rPr>
        <w:t>This</w:t>
      </w:r>
      <w:r>
        <w:rPr>
          <w:color w:val="231F20"/>
          <w:spacing w:val="7"/>
        </w:rPr>
        <w:t xml:space="preserve"> </w:t>
      </w:r>
      <w:r>
        <w:rPr>
          <w:color w:val="231F20"/>
          <w:spacing w:val="-2"/>
        </w:rPr>
        <w:t>framework</w:t>
      </w:r>
      <w:r>
        <w:rPr>
          <w:color w:val="231F20"/>
          <w:spacing w:val="7"/>
        </w:rPr>
        <w:t xml:space="preserve"> </w:t>
      </w:r>
      <w:r>
        <w:rPr>
          <w:color w:val="231F20"/>
          <w:spacing w:val="-2"/>
        </w:rPr>
        <w:t>lends</w:t>
      </w:r>
      <w:r>
        <w:rPr>
          <w:color w:val="231F20"/>
          <w:spacing w:val="7"/>
        </w:rPr>
        <w:t xml:space="preserve"> </w:t>
      </w:r>
      <w:r>
        <w:rPr>
          <w:color w:val="231F20"/>
          <w:spacing w:val="-2"/>
        </w:rPr>
        <w:t>itself</w:t>
      </w:r>
      <w:r>
        <w:rPr>
          <w:color w:val="231F20"/>
          <w:spacing w:val="18"/>
        </w:rPr>
        <w:t xml:space="preserve"> </w:t>
      </w:r>
      <w:r>
        <w:rPr>
          <w:color w:val="231F20"/>
          <w:spacing w:val="-2"/>
        </w:rPr>
        <w:t xml:space="preserve">to </w:t>
      </w:r>
      <w:r>
        <w:rPr>
          <w:color w:val="231F20"/>
        </w:rPr>
        <w:t>consideration</w:t>
      </w:r>
      <w:r>
        <w:rPr>
          <w:color w:val="231F20"/>
          <w:spacing w:val="21"/>
        </w:rPr>
        <w:t xml:space="preserve"> </w:t>
      </w:r>
      <w:r>
        <w:rPr>
          <w:color w:val="231F20"/>
        </w:rPr>
        <w:t>of</w:t>
      </w:r>
      <w:r>
        <w:rPr>
          <w:color w:val="231F20"/>
          <w:spacing w:val="32"/>
        </w:rPr>
        <w:t xml:space="preserve"> </w:t>
      </w:r>
      <w:r>
        <w:rPr>
          <w:color w:val="231F20"/>
        </w:rPr>
        <w:t>the</w:t>
      </w:r>
      <w:r>
        <w:rPr>
          <w:color w:val="231F20"/>
          <w:spacing w:val="21"/>
        </w:rPr>
        <w:t xml:space="preserve"> </w:t>
      </w:r>
      <w:r>
        <w:rPr>
          <w:color w:val="231F20"/>
        </w:rPr>
        <w:t>co-creation</w:t>
      </w:r>
      <w:r>
        <w:rPr>
          <w:color w:val="231F20"/>
          <w:spacing w:val="22"/>
        </w:rPr>
        <w:t xml:space="preserve"> </w:t>
      </w:r>
      <w:r>
        <w:rPr>
          <w:color w:val="231F20"/>
        </w:rPr>
        <w:t>of</w:t>
      </w:r>
      <w:r>
        <w:rPr>
          <w:color w:val="231F20"/>
          <w:spacing w:val="32"/>
        </w:rPr>
        <w:t xml:space="preserve"> </w:t>
      </w:r>
      <w:r>
        <w:rPr>
          <w:color w:val="231F20"/>
        </w:rPr>
        <w:t>sports</w:t>
      </w:r>
      <w:r>
        <w:rPr>
          <w:color w:val="231F20"/>
          <w:spacing w:val="21"/>
        </w:rPr>
        <w:t xml:space="preserve"> </w:t>
      </w:r>
      <w:r>
        <w:rPr>
          <w:color w:val="231F20"/>
        </w:rPr>
        <w:t>experiences</w:t>
      </w:r>
      <w:r>
        <w:rPr>
          <w:color w:val="231F20"/>
          <w:spacing w:val="22"/>
        </w:rPr>
        <w:t xml:space="preserve"> </w:t>
      </w:r>
      <w:r>
        <w:rPr>
          <w:color w:val="231F20"/>
        </w:rPr>
        <w:t>at</w:t>
      </w:r>
      <w:r>
        <w:rPr>
          <w:color w:val="231F20"/>
          <w:spacing w:val="21"/>
        </w:rPr>
        <w:t xml:space="preserve"> </w:t>
      </w:r>
      <w:r>
        <w:rPr>
          <w:color w:val="231F20"/>
        </w:rPr>
        <w:t>a</w:t>
      </w:r>
      <w:r>
        <w:rPr>
          <w:color w:val="231F20"/>
          <w:spacing w:val="22"/>
        </w:rPr>
        <w:t xml:space="preserve"> </w:t>
      </w:r>
      <w:r>
        <w:rPr>
          <w:color w:val="231F20"/>
        </w:rPr>
        <w:t xml:space="preserve">destination </w:t>
      </w:r>
      <w:r>
        <w:rPr>
          <w:color w:val="231F20"/>
          <w:w w:val="95"/>
        </w:rPr>
        <w:t>(Morgan,</w:t>
      </w:r>
      <w:r>
        <w:rPr>
          <w:color w:val="231F20"/>
          <w:spacing w:val="-2"/>
          <w:w w:val="95"/>
        </w:rPr>
        <w:t xml:space="preserve"> </w:t>
      </w:r>
      <w:r>
        <w:rPr>
          <w:color w:val="231F20"/>
          <w:w w:val="95"/>
        </w:rPr>
        <w:t>2007),</w:t>
      </w:r>
      <w:r>
        <w:rPr>
          <w:color w:val="231F20"/>
          <w:spacing w:val="-2"/>
          <w:w w:val="95"/>
        </w:rPr>
        <w:t xml:space="preserve"> </w:t>
      </w:r>
      <w:r>
        <w:rPr>
          <w:color w:val="231F20"/>
          <w:w w:val="95"/>
        </w:rPr>
        <w:t>and</w:t>
      </w:r>
      <w:r>
        <w:rPr>
          <w:color w:val="231F20"/>
          <w:spacing w:val="-2"/>
          <w:w w:val="95"/>
        </w:rPr>
        <w:t xml:space="preserve"> </w:t>
      </w:r>
      <w:r>
        <w:rPr>
          <w:color w:val="231F20"/>
          <w:w w:val="95"/>
        </w:rPr>
        <w:t>situates</w:t>
      </w:r>
      <w:r>
        <w:rPr>
          <w:color w:val="231F20"/>
          <w:spacing w:val="-2"/>
          <w:w w:val="95"/>
        </w:rPr>
        <w:t xml:space="preserve"> </w:t>
      </w:r>
      <w:r>
        <w:rPr>
          <w:color w:val="231F20"/>
          <w:w w:val="95"/>
        </w:rPr>
        <w:t>the</w:t>
      </w:r>
      <w:r>
        <w:rPr>
          <w:color w:val="231F20"/>
          <w:spacing w:val="-2"/>
          <w:w w:val="95"/>
        </w:rPr>
        <w:t xml:space="preserve"> </w:t>
      </w:r>
      <w:r>
        <w:rPr>
          <w:color w:val="231F20"/>
          <w:w w:val="95"/>
        </w:rPr>
        <w:t>experience</w:t>
      </w:r>
      <w:r>
        <w:rPr>
          <w:color w:val="231F20"/>
          <w:spacing w:val="-2"/>
          <w:w w:val="95"/>
        </w:rPr>
        <w:t xml:space="preserve"> </w:t>
      </w:r>
      <w:r>
        <w:rPr>
          <w:color w:val="231F20"/>
          <w:w w:val="95"/>
        </w:rPr>
        <w:t>of</w:t>
      </w:r>
      <w:r>
        <w:rPr>
          <w:color w:val="231F20"/>
        </w:rPr>
        <w:t xml:space="preserve"> </w:t>
      </w:r>
      <w:r>
        <w:rPr>
          <w:color w:val="231F20"/>
          <w:w w:val="95"/>
        </w:rPr>
        <w:t>sport</w:t>
      </w:r>
      <w:r>
        <w:rPr>
          <w:color w:val="231F20"/>
          <w:spacing w:val="-2"/>
          <w:w w:val="95"/>
        </w:rPr>
        <w:t xml:space="preserve"> </w:t>
      </w:r>
      <w:r>
        <w:rPr>
          <w:color w:val="231F20"/>
          <w:w w:val="95"/>
        </w:rPr>
        <w:t>tourism</w:t>
      </w:r>
      <w:r>
        <w:rPr>
          <w:color w:val="231F20"/>
          <w:spacing w:val="-2"/>
          <w:w w:val="95"/>
        </w:rPr>
        <w:t xml:space="preserve"> </w:t>
      </w:r>
      <w:r>
        <w:rPr>
          <w:color w:val="231F20"/>
          <w:w w:val="95"/>
        </w:rPr>
        <w:t>within</w:t>
      </w:r>
      <w:r>
        <w:rPr>
          <w:color w:val="231F20"/>
          <w:spacing w:val="-2"/>
          <w:w w:val="95"/>
        </w:rPr>
        <w:t xml:space="preserve"> </w:t>
      </w:r>
      <w:r>
        <w:rPr>
          <w:color w:val="231F20"/>
          <w:w w:val="95"/>
        </w:rPr>
        <w:t>Weed’s (2005) interplay of</w:t>
      </w:r>
      <w:r>
        <w:rPr>
          <w:color w:val="231F20"/>
          <w:spacing w:val="22"/>
        </w:rPr>
        <w:t xml:space="preserve"> </w:t>
      </w:r>
      <w:r>
        <w:rPr>
          <w:color w:val="231F20"/>
          <w:w w:val="95"/>
        </w:rPr>
        <w:t>activity, people and place. Chapter 8 also examines the relevance</w:t>
      </w:r>
      <w:r>
        <w:rPr>
          <w:color w:val="231F20"/>
          <w:spacing w:val="15"/>
        </w:rPr>
        <w:t xml:space="preserve"> </w:t>
      </w:r>
      <w:r>
        <w:rPr>
          <w:color w:val="231F20"/>
          <w:w w:val="95"/>
        </w:rPr>
        <w:t>of</w:t>
      </w:r>
      <w:r>
        <w:rPr>
          <w:color w:val="231F20"/>
          <w:spacing w:val="29"/>
        </w:rPr>
        <w:t xml:space="preserve"> </w:t>
      </w:r>
      <w:r>
        <w:rPr>
          <w:color w:val="231F20"/>
          <w:w w:val="95"/>
        </w:rPr>
        <w:t>the</w:t>
      </w:r>
      <w:r>
        <w:rPr>
          <w:color w:val="231F20"/>
          <w:spacing w:val="15"/>
        </w:rPr>
        <w:t xml:space="preserve"> </w:t>
      </w:r>
      <w:r>
        <w:rPr>
          <w:color w:val="231F20"/>
          <w:w w:val="95"/>
        </w:rPr>
        <w:t>sport</w:t>
      </w:r>
      <w:r>
        <w:rPr>
          <w:color w:val="231F20"/>
          <w:spacing w:val="15"/>
        </w:rPr>
        <w:t xml:space="preserve"> </w:t>
      </w:r>
      <w:r>
        <w:rPr>
          <w:color w:val="231F20"/>
          <w:w w:val="95"/>
        </w:rPr>
        <w:t>and</w:t>
      </w:r>
      <w:r>
        <w:rPr>
          <w:color w:val="231F20"/>
          <w:spacing w:val="15"/>
        </w:rPr>
        <w:t xml:space="preserve"> </w:t>
      </w:r>
      <w:r>
        <w:rPr>
          <w:color w:val="231F20"/>
          <w:w w:val="95"/>
        </w:rPr>
        <w:t>tourism</w:t>
      </w:r>
      <w:r>
        <w:rPr>
          <w:color w:val="231F20"/>
          <w:spacing w:val="15"/>
        </w:rPr>
        <w:t xml:space="preserve"> </w:t>
      </w:r>
      <w:r>
        <w:rPr>
          <w:color w:val="231F20"/>
          <w:w w:val="95"/>
        </w:rPr>
        <w:t>systems</w:t>
      </w:r>
      <w:r>
        <w:rPr>
          <w:color w:val="231F20"/>
          <w:spacing w:val="15"/>
        </w:rPr>
        <w:t xml:space="preserve"> </w:t>
      </w:r>
      <w:r>
        <w:rPr>
          <w:color w:val="231F20"/>
          <w:w w:val="95"/>
        </w:rPr>
        <w:t>that</w:t>
      </w:r>
      <w:r>
        <w:rPr>
          <w:color w:val="231F20"/>
          <w:spacing w:val="15"/>
        </w:rPr>
        <w:t xml:space="preserve"> </w:t>
      </w:r>
      <w:r>
        <w:rPr>
          <w:color w:val="231F20"/>
          <w:w w:val="95"/>
        </w:rPr>
        <w:t>mediate</w:t>
      </w:r>
      <w:r>
        <w:rPr>
          <w:color w:val="231F20"/>
          <w:spacing w:val="15"/>
        </w:rPr>
        <w:t xml:space="preserve"> </w:t>
      </w:r>
      <w:r>
        <w:rPr>
          <w:color w:val="231F20"/>
          <w:w w:val="95"/>
        </w:rPr>
        <w:t>the</w:t>
      </w:r>
      <w:r>
        <w:rPr>
          <w:color w:val="231F20"/>
          <w:spacing w:val="15"/>
        </w:rPr>
        <w:t xml:space="preserve"> </w:t>
      </w:r>
      <w:r>
        <w:rPr>
          <w:color w:val="231F20"/>
          <w:w w:val="95"/>
        </w:rPr>
        <w:t>sport</w:t>
      </w:r>
      <w:r>
        <w:rPr>
          <w:color w:val="231F20"/>
          <w:spacing w:val="15"/>
        </w:rPr>
        <w:t xml:space="preserve"> </w:t>
      </w:r>
      <w:r>
        <w:rPr>
          <w:color w:val="231F20"/>
          <w:w w:val="95"/>
        </w:rPr>
        <w:t xml:space="preserve">tourist </w:t>
      </w:r>
      <w:r>
        <w:rPr>
          <w:color w:val="231F20"/>
          <w:spacing w:val="-2"/>
          <w:w w:val="95"/>
        </w:rPr>
        <w:t>experience</w:t>
      </w:r>
      <w:r>
        <w:rPr>
          <w:color w:val="231F20"/>
          <w:spacing w:val="-4"/>
          <w:w w:val="95"/>
        </w:rPr>
        <w:t xml:space="preserve"> </w:t>
      </w:r>
      <w:r>
        <w:rPr>
          <w:color w:val="231F20"/>
          <w:spacing w:val="-2"/>
          <w:w w:val="95"/>
        </w:rPr>
        <w:t>at</w:t>
      </w:r>
      <w:r>
        <w:rPr>
          <w:color w:val="231F20"/>
          <w:spacing w:val="-4"/>
          <w:w w:val="95"/>
        </w:rPr>
        <w:t xml:space="preserve"> </w:t>
      </w:r>
      <w:r>
        <w:rPr>
          <w:color w:val="231F20"/>
          <w:spacing w:val="-2"/>
          <w:w w:val="95"/>
        </w:rPr>
        <w:t>a</w:t>
      </w:r>
      <w:r>
        <w:rPr>
          <w:color w:val="231F20"/>
          <w:spacing w:val="-4"/>
          <w:w w:val="95"/>
        </w:rPr>
        <w:t xml:space="preserve"> </w:t>
      </w:r>
      <w:r>
        <w:rPr>
          <w:color w:val="231F20"/>
          <w:spacing w:val="-2"/>
          <w:w w:val="95"/>
        </w:rPr>
        <w:t>destination.</w:t>
      </w:r>
      <w:r>
        <w:rPr>
          <w:color w:val="231F20"/>
          <w:spacing w:val="-4"/>
          <w:w w:val="95"/>
        </w:rPr>
        <w:t xml:space="preserve"> </w:t>
      </w:r>
      <w:r>
        <w:rPr>
          <w:color w:val="231F20"/>
          <w:spacing w:val="-2"/>
          <w:w w:val="95"/>
        </w:rPr>
        <w:t>This</w:t>
      </w:r>
      <w:r>
        <w:rPr>
          <w:color w:val="231F20"/>
          <w:spacing w:val="-4"/>
          <w:w w:val="95"/>
        </w:rPr>
        <w:t xml:space="preserve"> </w:t>
      </w:r>
      <w:r>
        <w:rPr>
          <w:color w:val="231F20"/>
          <w:spacing w:val="-2"/>
          <w:w w:val="95"/>
        </w:rPr>
        <w:t>approach</w:t>
      </w:r>
      <w:r>
        <w:rPr>
          <w:color w:val="231F20"/>
          <w:spacing w:val="-4"/>
          <w:w w:val="95"/>
        </w:rPr>
        <w:t xml:space="preserve"> </w:t>
      </w:r>
      <w:r>
        <w:rPr>
          <w:color w:val="231F20"/>
          <w:spacing w:val="-2"/>
          <w:w w:val="95"/>
        </w:rPr>
        <w:t>is</w:t>
      </w:r>
      <w:r>
        <w:rPr>
          <w:color w:val="231F20"/>
          <w:spacing w:val="-4"/>
          <w:w w:val="95"/>
        </w:rPr>
        <w:t xml:space="preserve"> </w:t>
      </w:r>
      <w:r>
        <w:rPr>
          <w:color w:val="231F20"/>
          <w:spacing w:val="-2"/>
          <w:w w:val="95"/>
        </w:rPr>
        <w:t>intended</w:t>
      </w:r>
      <w:r>
        <w:rPr>
          <w:color w:val="231F20"/>
          <w:spacing w:val="-4"/>
          <w:w w:val="95"/>
        </w:rPr>
        <w:t xml:space="preserve"> </w:t>
      </w:r>
      <w:r>
        <w:rPr>
          <w:color w:val="231F20"/>
          <w:spacing w:val="-2"/>
          <w:w w:val="95"/>
        </w:rPr>
        <w:t>to</w:t>
      </w:r>
      <w:r>
        <w:rPr>
          <w:color w:val="231F20"/>
          <w:spacing w:val="-4"/>
          <w:w w:val="95"/>
        </w:rPr>
        <w:t xml:space="preserve"> </w:t>
      </w:r>
      <w:r>
        <w:rPr>
          <w:color w:val="231F20"/>
          <w:spacing w:val="-2"/>
          <w:w w:val="95"/>
        </w:rPr>
        <w:t>provide</w:t>
      </w:r>
      <w:r>
        <w:rPr>
          <w:color w:val="231F20"/>
          <w:spacing w:val="-4"/>
          <w:w w:val="95"/>
        </w:rPr>
        <w:t xml:space="preserve"> </w:t>
      </w:r>
      <w:r>
        <w:rPr>
          <w:color w:val="231F20"/>
          <w:spacing w:val="-2"/>
          <w:w w:val="95"/>
        </w:rPr>
        <w:t>insights</w:t>
      </w:r>
      <w:r>
        <w:rPr>
          <w:color w:val="231F20"/>
          <w:spacing w:val="-4"/>
          <w:w w:val="95"/>
        </w:rPr>
        <w:t xml:space="preserve"> </w:t>
      </w:r>
      <w:r>
        <w:rPr>
          <w:color w:val="231F20"/>
          <w:spacing w:val="-2"/>
          <w:w w:val="95"/>
        </w:rPr>
        <w:t xml:space="preserve">into </w:t>
      </w:r>
      <w:r>
        <w:rPr>
          <w:color w:val="231F20"/>
          <w:w w:val="95"/>
        </w:rPr>
        <w:t>strategies</w:t>
      </w:r>
      <w:r>
        <w:rPr>
          <w:color w:val="231F20"/>
          <w:spacing w:val="-10"/>
          <w:w w:val="95"/>
        </w:rPr>
        <w:t xml:space="preserve"> </w:t>
      </w:r>
      <w:r>
        <w:rPr>
          <w:color w:val="231F20"/>
          <w:w w:val="95"/>
        </w:rPr>
        <w:t>that</w:t>
      </w:r>
      <w:r>
        <w:rPr>
          <w:color w:val="231F20"/>
          <w:spacing w:val="-9"/>
          <w:w w:val="95"/>
        </w:rPr>
        <w:t xml:space="preserve"> </w:t>
      </w:r>
      <w:r>
        <w:rPr>
          <w:color w:val="231F20"/>
          <w:w w:val="95"/>
        </w:rPr>
        <w:t>may</w:t>
      </w:r>
      <w:r>
        <w:rPr>
          <w:color w:val="231F20"/>
          <w:spacing w:val="-9"/>
          <w:w w:val="95"/>
        </w:rPr>
        <w:t xml:space="preserve"> </w:t>
      </w:r>
      <w:r>
        <w:rPr>
          <w:color w:val="231F20"/>
          <w:w w:val="95"/>
        </w:rPr>
        <w:t>influence</w:t>
      </w:r>
      <w:r>
        <w:rPr>
          <w:color w:val="231F20"/>
          <w:spacing w:val="-9"/>
          <w:w w:val="95"/>
        </w:rPr>
        <w:t xml:space="preserve"> </w:t>
      </w:r>
      <w:r>
        <w:rPr>
          <w:color w:val="231F20"/>
          <w:w w:val="95"/>
        </w:rPr>
        <w:t>and</w:t>
      </w:r>
      <w:r>
        <w:rPr>
          <w:color w:val="231F20"/>
          <w:spacing w:val="-10"/>
          <w:w w:val="95"/>
        </w:rPr>
        <w:t xml:space="preserve"> </w:t>
      </w:r>
      <w:r>
        <w:rPr>
          <w:color w:val="231F20"/>
          <w:w w:val="95"/>
        </w:rPr>
        <w:t>enhance</w:t>
      </w:r>
      <w:r>
        <w:rPr>
          <w:color w:val="231F20"/>
          <w:spacing w:val="-9"/>
          <w:w w:val="95"/>
        </w:rPr>
        <w:t xml:space="preserve"> </w:t>
      </w:r>
      <w:r>
        <w:rPr>
          <w:color w:val="231F20"/>
          <w:w w:val="95"/>
        </w:rPr>
        <w:t>sport</w:t>
      </w:r>
      <w:r>
        <w:rPr>
          <w:color w:val="231F20"/>
          <w:spacing w:val="-9"/>
          <w:w w:val="95"/>
        </w:rPr>
        <w:t xml:space="preserve"> </w:t>
      </w:r>
      <w:r>
        <w:rPr>
          <w:color w:val="231F20"/>
          <w:w w:val="95"/>
        </w:rPr>
        <w:t>tourism</w:t>
      </w:r>
      <w:r>
        <w:rPr>
          <w:color w:val="231F20"/>
          <w:spacing w:val="-9"/>
          <w:w w:val="95"/>
        </w:rPr>
        <w:t xml:space="preserve"> </w:t>
      </w:r>
      <w:r>
        <w:rPr>
          <w:color w:val="231F20"/>
          <w:w w:val="95"/>
        </w:rPr>
        <w:t>visitor</w:t>
      </w:r>
      <w:r>
        <w:rPr>
          <w:color w:val="231F20"/>
          <w:spacing w:val="-9"/>
          <w:w w:val="95"/>
        </w:rPr>
        <w:t xml:space="preserve"> </w:t>
      </w:r>
      <w:r>
        <w:rPr>
          <w:color w:val="231F20"/>
          <w:spacing w:val="-2"/>
          <w:w w:val="95"/>
        </w:rPr>
        <w:t>experiences.</w:t>
      </w:r>
    </w:p>
    <w:p w14:paraId="1B1B467F" w14:textId="77777777" w:rsidR="00AE0598" w:rsidRDefault="0069255A">
      <w:pPr>
        <w:pStyle w:val="Corpodetexto"/>
        <w:spacing w:before="18" w:line="232" w:lineRule="auto"/>
        <w:ind w:left="110" w:right="107" w:firstLine="320"/>
        <w:jc w:val="both"/>
      </w:pPr>
      <w:r>
        <w:rPr>
          <w:color w:val="231F20"/>
          <w:w w:val="95"/>
        </w:rPr>
        <w:t>The medium term or seasonal dimension of</w:t>
      </w:r>
      <w:r>
        <w:rPr>
          <w:color w:val="231F20"/>
        </w:rPr>
        <w:t xml:space="preserve"> </w:t>
      </w:r>
      <w:r>
        <w:rPr>
          <w:color w:val="231F20"/>
          <w:w w:val="95"/>
        </w:rPr>
        <w:t>sport tourism is the subject of</w:t>
      </w:r>
      <w:r>
        <w:rPr>
          <w:color w:val="231F20"/>
        </w:rPr>
        <w:t xml:space="preserve"> </w:t>
      </w:r>
      <w:r>
        <w:rPr>
          <w:color w:val="231F20"/>
          <w:w w:val="95"/>
        </w:rPr>
        <w:t>Chapter 9: Seasonality, Sport and Tourism. Few tourism destinations are unaffected by systematic seasonal fluctuations in the tourism phenom</w:t>
      </w:r>
      <w:r>
        <w:rPr>
          <w:color w:val="231F20"/>
          <w:w w:val="95"/>
        </w:rPr>
        <w:t xml:space="preserve">enon. </w:t>
      </w:r>
      <w:r>
        <w:rPr>
          <w:color w:val="231F20"/>
        </w:rPr>
        <w:t>Little</w:t>
      </w:r>
      <w:r>
        <w:rPr>
          <w:color w:val="231F20"/>
          <w:spacing w:val="-12"/>
        </w:rPr>
        <w:t xml:space="preserve"> </w:t>
      </w:r>
      <w:r>
        <w:rPr>
          <w:color w:val="231F20"/>
        </w:rPr>
        <w:t>is</w:t>
      </w:r>
      <w:r>
        <w:rPr>
          <w:color w:val="231F20"/>
          <w:spacing w:val="-12"/>
        </w:rPr>
        <w:t xml:space="preserve"> </w:t>
      </w:r>
      <w:r>
        <w:rPr>
          <w:color w:val="231F20"/>
        </w:rPr>
        <w:t>known</w:t>
      </w:r>
      <w:r>
        <w:rPr>
          <w:color w:val="231F20"/>
          <w:spacing w:val="-11"/>
        </w:rPr>
        <w:t xml:space="preserve"> </w:t>
      </w:r>
      <w:r>
        <w:rPr>
          <w:color w:val="231F20"/>
        </w:rPr>
        <w:t>about</w:t>
      </w:r>
      <w:r>
        <w:rPr>
          <w:color w:val="231F20"/>
          <w:spacing w:val="-12"/>
        </w:rPr>
        <w:t xml:space="preserve"> </w:t>
      </w:r>
      <w:r>
        <w:rPr>
          <w:color w:val="231F20"/>
        </w:rPr>
        <w:t>how</w:t>
      </w:r>
      <w:r>
        <w:rPr>
          <w:color w:val="231F20"/>
          <w:spacing w:val="-11"/>
        </w:rPr>
        <w:t xml:space="preserve"> </w:t>
      </w:r>
      <w:r>
        <w:rPr>
          <w:color w:val="231F20"/>
        </w:rPr>
        <w:t>climate</w:t>
      </w:r>
      <w:r>
        <w:rPr>
          <w:color w:val="231F20"/>
          <w:spacing w:val="-12"/>
        </w:rPr>
        <w:t xml:space="preserve"> </w:t>
      </w:r>
      <w:r>
        <w:rPr>
          <w:color w:val="231F20"/>
        </w:rPr>
        <w:t>change</w:t>
      </w:r>
      <w:r>
        <w:rPr>
          <w:color w:val="231F20"/>
          <w:spacing w:val="-11"/>
        </w:rPr>
        <w:t xml:space="preserve"> </w:t>
      </w:r>
      <w:r>
        <w:rPr>
          <w:color w:val="231F20"/>
        </w:rPr>
        <w:t>is</w:t>
      </w:r>
      <w:r>
        <w:rPr>
          <w:color w:val="231F20"/>
          <w:spacing w:val="-12"/>
        </w:rPr>
        <w:t xml:space="preserve"> </w:t>
      </w:r>
      <w:r>
        <w:rPr>
          <w:color w:val="231F20"/>
        </w:rPr>
        <w:t>giving</w:t>
      </w:r>
      <w:r>
        <w:rPr>
          <w:color w:val="231F20"/>
          <w:spacing w:val="-12"/>
        </w:rPr>
        <w:t xml:space="preserve"> </w:t>
      </w:r>
      <w:r>
        <w:rPr>
          <w:color w:val="231F20"/>
        </w:rPr>
        <w:t>rise</w:t>
      </w:r>
      <w:r>
        <w:rPr>
          <w:color w:val="231F20"/>
          <w:spacing w:val="-11"/>
        </w:rPr>
        <w:t xml:space="preserve"> </w:t>
      </w:r>
      <w:r>
        <w:rPr>
          <w:color w:val="231F20"/>
        </w:rPr>
        <w:t>to</w:t>
      </w:r>
      <w:r>
        <w:rPr>
          <w:color w:val="231F20"/>
          <w:spacing w:val="-12"/>
        </w:rPr>
        <w:t xml:space="preserve"> </w:t>
      </w:r>
      <w:r>
        <w:rPr>
          <w:color w:val="231F20"/>
        </w:rPr>
        <w:t>less</w:t>
      </w:r>
      <w:r>
        <w:rPr>
          <w:color w:val="231F20"/>
          <w:spacing w:val="-11"/>
        </w:rPr>
        <w:t xml:space="preserve"> </w:t>
      </w:r>
      <w:r>
        <w:rPr>
          <w:color w:val="231F20"/>
        </w:rPr>
        <w:t xml:space="preserve">predictable </w:t>
      </w:r>
      <w:r>
        <w:rPr>
          <w:color w:val="231F20"/>
          <w:w w:val="95"/>
        </w:rPr>
        <w:t xml:space="preserve">seasonal weather patterns, contributing to regional vulnerabilities in terms </w:t>
      </w:r>
      <w:r>
        <w:rPr>
          <w:color w:val="231F20"/>
        </w:rPr>
        <w:t>of the</w:t>
      </w:r>
      <w:r>
        <w:rPr>
          <w:color w:val="231F20"/>
          <w:spacing w:val="-2"/>
        </w:rPr>
        <w:t xml:space="preserve"> </w:t>
      </w:r>
      <w:r>
        <w:rPr>
          <w:color w:val="231F20"/>
        </w:rPr>
        <w:t>expanding</w:t>
      </w:r>
      <w:r>
        <w:rPr>
          <w:color w:val="231F20"/>
          <w:spacing w:val="-2"/>
        </w:rPr>
        <w:t xml:space="preserve"> </w:t>
      </w:r>
      <w:r>
        <w:rPr>
          <w:color w:val="231F20"/>
        </w:rPr>
        <w:t>or</w:t>
      </w:r>
      <w:r>
        <w:rPr>
          <w:color w:val="231F20"/>
          <w:spacing w:val="-2"/>
        </w:rPr>
        <w:t xml:space="preserve"> </w:t>
      </w:r>
      <w:r>
        <w:rPr>
          <w:color w:val="231F20"/>
        </w:rPr>
        <w:t>contracting</w:t>
      </w:r>
      <w:r>
        <w:rPr>
          <w:color w:val="231F20"/>
          <w:spacing w:val="-2"/>
        </w:rPr>
        <w:t xml:space="preserve"> </w:t>
      </w:r>
      <w:r>
        <w:rPr>
          <w:color w:val="231F20"/>
        </w:rPr>
        <w:t>availability</w:t>
      </w:r>
      <w:r>
        <w:rPr>
          <w:color w:val="231F20"/>
          <w:spacing w:val="-2"/>
        </w:rPr>
        <w:t xml:space="preserve"> </w:t>
      </w:r>
      <w:r>
        <w:rPr>
          <w:color w:val="231F20"/>
        </w:rPr>
        <w:t>of seasonal</w:t>
      </w:r>
      <w:r>
        <w:rPr>
          <w:color w:val="231F20"/>
          <w:spacing w:val="-2"/>
        </w:rPr>
        <w:t xml:space="preserve"> </w:t>
      </w:r>
      <w:r>
        <w:rPr>
          <w:color w:val="231F20"/>
        </w:rPr>
        <w:t>sports</w:t>
      </w:r>
      <w:r>
        <w:rPr>
          <w:color w:val="231F20"/>
          <w:spacing w:val="-2"/>
        </w:rPr>
        <w:t xml:space="preserve"> </w:t>
      </w:r>
      <w:r>
        <w:rPr>
          <w:color w:val="231F20"/>
        </w:rPr>
        <w:t>resources (Hopkins</w:t>
      </w:r>
      <w:r>
        <w:rPr>
          <w:color w:val="231F20"/>
          <w:spacing w:val="-7"/>
        </w:rPr>
        <w:t xml:space="preserve"> </w:t>
      </w:r>
      <w:r>
        <w:rPr>
          <w:i/>
          <w:color w:val="231F20"/>
        </w:rPr>
        <w:t>et</w:t>
      </w:r>
      <w:r>
        <w:rPr>
          <w:i/>
          <w:color w:val="231F20"/>
          <w:spacing w:val="-7"/>
        </w:rPr>
        <w:t xml:space="preserve"> </w:t>
      </w:r>
      <w:r>
        <w:rPr>
          <w:i/>
          <w:color w:val="231F20"/>
        </w:rPr>
        <w:t>al</w:t>
      </w:r>
      <w:r>
        <w:rPr>
          <w:color w:val="231F20"/>
        </w:rPr>
        <w:t>.,</w:t>
      </w:r>
      <w:r>
        <w:rPr>
          <w:color w:val="231F20"/>
          <w:spacing w:val="-7"/>
        </w:rPr>
        <w:t xml:space="preserve"> </w:t>
      </w:r>
      <w:r>
        <w:rPr>
          <w:color w:val="231F20"/>
        </w:rPr>
        <w:t>2013).</w:t>
      </w:r>
      <w:r>
        <w:rPr>
          <w:color w:val="231F20"/>
          <w:spacing w:val="-7"/>
        </w:rPr>
        <w:t xml:space="preserve"> </w:t>
      </w:r>
      <w:r>
        <w:rPr>
          <w:color w:val="231F20"/>
        </w:rPr>
        <w:t>Strategies</w:t>
      </w:r>
      <w:r>
        <w:rPr>
          <w:color w:val="231F20"/>
          <w:spacing w:val="-7"/>
        </w:rPr>
        <w:t xml:space="preserve"> </w:t>
      </w:r>
      <w:r>
        <w:rPr>
          <w:color w:val="231F20"/>
        </w:rPr>
        <w:t>designed</w:t>
      </w:r>
      <w:r>
        <w:rPr>
          <w:color w:val="231F20"/>
          <w:spacing w:val="-7"/>
        </w:rPr>
        <w:t xml:space="preserve"> </w:t>
      </w:r>
      <w:r>
        <w:rPr>
          <w:color w:val="231F20"/>
        </w:rPr>
        <w:t>to</w:t>
      </w:r>
      <w:r>
        <w:rPr>
          <w:color w:val="231F20"/>
          <w:spacing w:val="-7"/>
        </w:rPr>
        <w:t xml:space="preserve"> </w:t>
      </w:r>
      <w:r>
        <w:rPr>
          <w:color w:val="231F20"/>
        </w:rPr>
        <w:t>extend</w:t>
      </w:r>
      <w:r>
        <w:rPr>
          <w:color w:val="231F20"/>
          <w:spacing w:val="-7"/>
        </w:rPr>
        <w:t xml:space="preserve"> </w:t>
      </w:r>
      <w:r>
        <w:rPr>
          <w:color w:val="231F20"/>
        </w:rPr>
        <w:t>shoulder</w:t>
      </w:r>
      <w:r>
        <w:rPr>
          <w:color w:val="231F20"/>
          <w:spacing w:val="-7"/>
        </w:rPr>
        <w:t xml:space="preserve"> </w:t>
      </w:r>
      <w:r>
        <w:rPr>
          <w:color w:val="231F20"/>
        </w:rPr>
        <w:t>seasons</w:t>
      </w:r>
      <w:r>
        <w:rPr>
          <w:color w:val="231F20"/>
          <w:spacing w:val="-7"/>
        </w:rPr>
        <w:t xml:space="preserve"> </w:t>
      </w:r>
      <w:r>
        <w:rPr>
          <w:color w:val="231F20"/>
        </w:rPr>
        <w:t>or create</w:t>
      </w:r>
      <w:r>
        <w:rPr>
          <w:color w:val="231F20"/>
          <w:spacing w:val="-12"/>
        </w:rPr>
        <w:t xml:space="preserve"> </w:t>
      </w:r>
      <w:r>
        <w:rPr>
          <w:color w:val="231F20"/>
        </w:rPr>
        <w:t>all-season</w:t>
      </w:r>
      <w:r>
        <w:rPr>
          <w:color w:val="231F20"/>
          <w:spacing w:val="-12"/>
        </w:rPr>
        <w:t xml:space="preserve"> </w:t>
      </w:r>
      <w:r>
        <w:rPr>
          <w:color w:val="231F20"/>
        </w:rPr>
        <w:t>destinations</w:t>
      </w:r>
      <w:r>
        <w:rPr>
          <w:color w:val="231F20"/>
          <w:spacing w:val="-11"/>
        </w:rPr>
        <w:t xml:space="preserve"> </w:t>
      </w:r>
      <w:r>
        <w:rPr>
          <w:color w:val="231F20"/>
        </w:rPr>
        <w:t>are</w:t>
      </w:r>
      <w:r>
        <w:rPr>
          <w:color w:val="231F20"/>
          <w:spacing w:val="-12"/>
        </w:rPr>
        <w:t xml:space="preserve"> </w:t>
      </w:r>
      <w:r>
        <w:rPr>
          <w:color w:val="231F20"/>
        </w:rPr>
        <w:t>commonplace</w:t>
      </w:r>
      <w:r>
        <w:rPr>
          <w:color w:val="231F20"/>
          <w:spacing w:val="-11"/>
        </w:rPr>
        <w:t xml:space="preserve"> </w:t>
      </w:r>
      <w:r>
        <w:rPr>
          <w:color w:val="231F20"/>
        </w:rPr>
        <w:t>(Hudson</w:t>
      </w:r>
      <w:r>
        <w:rPr>
          <w:color w:val="231F20"/>
          <w:spacing w:val="-12"/>
        </w:rPr>
        <w:t xml:space="preserve"> </w:t>
      </w:r>
      <w:r>
        <w:rPr>
          <w:color w:val="231F20"/>
        </w:rPr>
        <w:t>&amp;</w:t>
      </w:r>
      <w:r>
        <w:rPr>
          <w:color w:val="231F20"/>
          <w:spacing w:val="-11"/>
        </w:rPr>
        <w:t xml:space="preserve"> </w:t>
      </w:r>
      <w:r>
        <w:rPr>
          <w:color w:val="231F20"/>
        </w:rPr>
        <w:t>Cross,</w:t>
      </w:r>
      <w:r>
        <w:rPr>
          <w:color w:val="231F20"/>
          <w:spacing w:val="-12"/>
        </w:rPr>
        <w:t xml:space="preserve"> </w:t>
      </w:r>
      <w:r>
        <w:rPr>
          <w:color w:val="231F20"/>
        </w:rPr>
        <w:t xml:space="preserve">2007). </w:t>
      </w:r>
      <w:r>
        <w:rPr>
          <w:color w:val="231F20"/>
          <w:w w:val="95"/>
        </w:rPr>
        <w:t>Therefore,</w:t>
      </w:r>
      <w:r>
        <w:rPr>
          <w:color w:val="231F20"/>
          <w:spacing w:val="-1"/>
          <w:w w:val="95"/>
        </w:rPr>
        <w:t xml:space="preserve"> </w:t>
      </w:r>
      <w:r>
        <w:rPr>
          <w:color w:val="231F20"/>
          <w:w w:val="95"/>
        </w:rPr>
        <w:t>given</w:t>
      </w:r>
      <w:r>
        <w:rPr>
          <w:color w:val="231F20"/>
          <w:spacing w:val="-1"/>
          <w:w w:val="95"/>
        </w:rPr>
        <w:t xml:space="preserve"> </w:t>
      </w:r>
      <w:r>
        <w:rPr>
          <w:color w:val="231F20"/>
          <w:w w:val="95"/>
        </w:rPr>
        <w:t>the</w:t>
      </w:r>
      <w:r>
        <w:rPr>
          <w:color w:val="231F20"/>
          <w:spacing w:val="-1"/>
          <w:w w:val="95"/>
        </w:rPr>
        <w:t xml:space="preserve"> </w:t>
      </w:r>
      <w:r>
        <w:rPr>
          <w:color w:val="231F20"/>
          <w:w w:val="95"/>
        </w:rPr>
        <w:t>uncertainties</w:t>
      </w:r>
      <w:r>
        <w:rPr>
          <w:color w:val="231F20"/>
          <w:spacing w:val="-1"/>
          <w:w w:val="95"/>
        </w:rPr>
        <w:t xml:space="preserve"> </w:t>
      </w:r>
      <w:r>
        <w:rPr>
          <w:color w:val="231F20"/>
          <w:w w:val="95"/>
        </w:rPr>
        <w:t>of</w:t>
      </w:r>
      <w:r>
        <w:rPr>
          <w:color w:val="231F20"/>
        </w:rPr>
        <w:t xml:space="preserve"> </w:t>
      </w:r>
      <w:r>
        <w:rPr>
          <w:color w:val="231F20"/>
          <w:w w:val="95"/>
        </w:rPr>
        <w:t>climate</w:t>
      </w:r>
      <w:r>
        <w:rPr>
          <w:color w:val="231F20"/>
          <w:spacing w:val="-1"/>
          <w:w w:val="95"/>
        </w:rPr>
        <w:t xml:space="preserve"> </w:t>
      </w:r>
      <w:r>
        <w:rPr>
          <w:color w:val="231F20"/>
          <w:w w:val="95"/>
        </w:rPr>
        <w:t>change</w:t>
      </w:r>
      <w:r>
        <w:rPr>
          <w:color w:val="231F20"/>
          <w:spacing w:val="-1"/>
          <w:w w:val="95"/>
        </w:rPr>
        <w:t xml:space="preserve"> </w:t>
      </w:r>
      <w:r>
        <w:rPr>
          <w:color w:val="231F20"/>
          <w:w w:val="95"/>
        </w:rPr>
        <w:t>in</w:t>
      </w:r>
      <w:r>
        <w:rPr>
          <w:color w:val="231F20"/>
          <w:spacing w:val="-1"/>
          <w:w w:val="95"/>
        </w:rPr>
        <w:t xml:space="preserve"> </w:t>
      </w:r>
      <w:r>
        <w:rPr>
          <w:color w:val="231F20"/>
          <w:w w:val="95"/>
        </w:rPr>
        <w:t>relation</w:t>
      </w:r>
      <w:r>
        <w:rPr>
          <w:color w:val="231F20"/>
          <w:spacing w:val="-1"/>
          <w:w w:val="95"/>
        </w:rPr>
        <w:t xml:space="preserve"> </w:t>
      </w:r>
      <w:r>
        <w:rPr>
          <w:color w:val="231F20"/>
          <w:w w:val="95"/>
        </w:rPr>
        <w:t>to</w:t>
      </w:r>
      <w:r>
        <w:rPr>
          <w:color w:val="231F20"/>
          <w:spacing w:val="-1"/>
          <w:w w:val="95"/>
        </w:rPr>
        <w:t xml:space="preserve"> </w:t>
      </w:r>
      <w:r>
        <w:rPr>
          <w:color w:val="231F20"/>
          <w:w w:val="95"/>
        </w:rPr>
        <w:t>sport</w:t>
      </w:r>
      <w:r>
        <w:rPr>
          <w:color w:val="231F20"/>
          <w:spacing w:val="-1"/>
          <w:w w:val="95"/>
        </w:rPr>
        <w:t xml:space="preserve"> </w:t>
      </w:r>
      <w:r>
        <w:rPr>
          <w:color w:val="231F20"/>
          <w:w w:val="95"/>
        </w:rPr>
        <w:t>and tourism</w:t>
      </w:r>
      <w:r>
        <w:rPr>
          <w:color w:val="231F20"/>
          <w:spacing w:val="6"/>
        </w:rPr>
        <w:t xml:space="preserve"> </w:t>
      </w:r>
      <w:r>
        <w:rPr>
          <w:color w:val="231F20"/>
          <w:w w:val="95"/>
        </w:rPr>
        <w:t>(Hopkins,</w:t>
      </w:r>
      <w:r>
        <w:rPr>
          <w:color w:val="231F20"/>
          <w:spacing w:val="6"/>
        </w:rPr>
        <w:t xml:space="preserve"> </w:t>
      </w:r>
      <w:r>
        <w:rPr>
          <w:color w:val="231F20"/>
          <w:w w:val="95"/>
        </w:rPr>
        <w:t>2014),</w:t>
      </w:r>
      <w:r>
        <w:rPr>
          <w:color w:val="231F20"/>
          <w:spacing w:val="6"/>
        </w:rPr>
        <w:t xml:space="preserve"> </w:t>
      </w:r>
      <w:r>
        <w:rPr>
          <w:color w:val="231F20"/>
          <w:w w:val="95"/>
        </w:rPr>
        <w:t>the</w:t>
      </w:r>
      <w:r>
        <w:rPr>
          <w:color w:val="231F20"/>
          <w:spacing w:val="7"/>
        </w:rPr>
        <w:t xml:space="preserve"> </w:t>
      </w:r>
      <w:r>
        <w:rPr>
          <w:color w:val="231F20"/>
          <w:w w:val="95"/>
        </w:rPr>
        <w:t>manner</w:t>
      </w:r>
      <w:r>
        <w:rPr>
          <w:color w:val="231F20"/>
          <w:spacing w:val="6"/>
        </w:rPr>
        <w:t xml:space="preserve"> </w:t>
      </w:r>
      <w:r>
        <w:rPr>
          <w:color w:val="231F20"/>
          <w:w w:val="95"/>
        </w:rPr>
        <w:t>in</w:t>
      </w:r>
      <w:r>
        <w:rPr>
          <w:color w:val="231F20"/>
          <w:spacing w:val="6"/>
        </w:rPr>
        <w:t xml:space="preserve"> </w:t>
      </w:r>
      <w:r>
        <w:rPr>
          <w:color w:val="231F20"/>
          <w:w w:val="95"/>
        </w:rPr>
        <w:t>which</w:t>
      </w:r>
      <w:r>
        <w:rPr>
          <w:color w:val="231F20"/>
          <w:spacing w:val="7"/>
        </w:rPr>
        <w:t xml:space="preserve"> </w:t>
      </w:r>
      <w:r>
        <w:rPr>
          <w:color w:val="231F20"/>
          <w:w w:val="95"/>
        </w:rPr>
        <w:t>sports</w:t>
      </w:r>
      <w:r>
        <w:rPr>
          <w:color w:val="231F20"/>
          <w:spacing w:val="6"/>
        </w:rPr>
        <w:t xml:space="preserve"> </w:t>
      </w:r>
      <w:r>
        <w:rPr>
          <w:color w:val="231F20"/>
          <w:w w:val="95"/>
        </w:rPr>
        <w:t>moderate,</w:t>
      </w:r>
      <w:r>
        <w:rPr>
          <w:color w:val="231F20"/>
          <w:spacing w:val="6"/>
        </w:rPr>
        <w:t xml:space="preserve"> </w:t>
      </w:r>
      <w:r>
        <w:rPr>
          <w:color w:val="231F20"/>
          <w:w w:val="95"/>
        </w:rPr>
        <w:t>or</w:t>
      </w:r>
      <w:r>
        <w:rPr>
          <w:color w:val="231F20"/>
          <w:spacing w:val="6"/>
        </w:rPr>
        <w:t xml:space="preserve"> </w:t>
      </w:r>
      <w:r>
        <w:rPr>
          <w:color w:val="231F20"/>
          <w:w w:val="95"/>
        </w:rPr>
        <w:t>may</w:t>
      </w:r>
      <w:r>
        <w:rPr>
          <w:color w:val="231F20"/>
          <w:spacing w:val="7"/>
        </w:rPr>
        <w:t xml:space="preserve"> </w:t>
      </w:r>
      <w:r>
        <w:rPr>
          <w:color w:val="231F20"/>
          <w:spacing w:val="-5"/>
          <w:w w:val="95"/>
        </w:rPr>
        <w:t>be</w:t>
      </w:r>
    </w:p>
    <w:p w14:paraId="006C4617" w14:textId="77777777" w:rsidR="00AE0598" w:rsidRDefault="00AE0598">
      <w:pPr>
        <w:spacing w:line="232" w:lineRule="auto"/>
        <w:jc w:val="both"/>
        <w:sectPr w:rsidR="00AE0598">
          <w:pgSz w:w="8850" w:h="13270"/>
          <w:pgMar w:top="720" w:right="1080" w:bottom="280" w:left="1080" w:header="720" w:footer="720" w:gutter="0"/>
          <w:cols w:space="720"/>
        </w:sectPr>
      </w:pPr>
    </w:p>
    <w:p w14:paraId="54C98C90" w14:textId="77777777" w:rsidR="00AE0598" w:rsidRDefault="0069255A">
      <w:pPr>
        <w:spacing w:before="87"/>
        <w:ind w:left="4091"/>
        <w:rPr>
          <w:rFonts w:ascii="Trebuchet MS"/>
          <w:sz w:val="14"/>
        </w:rPr>
      </w:pPr>
      <w:r>
        <w:rPr>
          <w:rFonts w:ascii="Trebuchet MS"/>
          <w:color w:val="231F20"/>
          <w:w w:val="105"/>
          <w:sz w:val="14"/>
        </w:rPr>
        <w:lastRenderedPageBreak/>
        <w:t>Sport</w:t>
      </w:r>
      <w:r>
        <w:rPr>
          <w:rFonts w:ascii="Trebuchet MS"/>
          <w:color w:val="231F20"/>
          <w:spacing w:val="-9"/>
          <w:w w:val="105"/>
          <w:sz w:val="14"/>
        </w:rPr>
        <w:t xml:space="preserve"> </w:t>
      </w:r>
      <w:r>
        <w:rPr>
          <w:rFonts w:ascii="Trebuchet MS"/>
          <w:color w:val="231F20"/>
          <w:w w:val="105"/>
          <w:sz w:val="14"/>
        </w:rPr>
        <w:t>Tourism</w:t>
      </w:r>
      <w:r>
        <w:rPr>
          <w:rFonts w:ascii="Trebuchet MS"/>
          <w:color w:val="231F20"/>
          <w:spacing w:val="-8"/>
          <w:w w:val="105"/>
          <w:sz w:val="14"/>
        </w:rPr>
        <w:t xml:space="preserve"> </w:t>
      </w:r>
      <w:r>
        <w:rPr>
          <w:rFonts w:ascii="Trebuchet MS"/>
          <w:color w:val="231F20"/>
          <w:w w:val="105"/>
          <w:sz w:val="14"/>
        </w:rPr>
        <w:t>in</w:t>
      </w:r>
      <w:r>
        <w:rPr>
          <w:rFonts w:ascii="Trebuchet MS"/>
          <w:color w:val="231F20"/>
          <w:spacing w:val="-9"/>
          <w:w w:val="105"/>
          <w:sz w:val="14"/>
        </w:rPr>
        <w:t xml:space="preserve"> </w:t>
      </w:r>
      <w:r>
        <w:rPr>
          <w:rFonts w:ascii="Trebuchet MS"/>
          <w:color w:val="231F20"/>
          <w:w w:val="105"/>
          <w:sz w:val="14"/>
        </w:rPr>
        <w:t>Times</w:t>
      </w:r>
      <w:r>
        <w:rPr>
          <w:rFonts w:ascii="Trebuchet MS"/>
          <w:color w:val="231F20"/>
          <w:spacing w:val="-9"/>
          <w:w w:val="105"/>
          <w:sz w:val="14"/>
        </w:rPr>
        <w:t xml:space="preserve"> </w:t>
      </w:r>
      <w:r>
        <w:rPr>
          <w:rFonts w:ascii="Trebuchet MS"/>
          <w:color w:val="231F20"/>
          <w:w w:val="105"/>
          <w:sz w:val="14"/>
        </w:rPr>
        <w:t>of</w:t>
      </w:r>
      <w:r>
        <w:rPr>
          <w:rFonts w:ascii="Trebuchet MS"/>
          <w:color w:val="231F20"/>
          <w:spacing w:val="-8"/>
          <w:w w:val="105"/>
          <w:sz w:val="14"/>
        </w:rPr>
        <w:t xml:space="preserve"> </w:t>
      </w:r>
      <w:r>
        <w:rPr>
          <w:rFonts w:ascii="Trebuchet MS"/>
          <w:color w:val="231F20"/>
          <w:w w:val="105"/>
          <w:sz w:val="14"/>
        </w:rPr>
        <w:t>Change</w:t>
      </w:r>
      <w:r>
        <w:rPr>
          <w:rFonts w:ascii="Trebuchet MS"/>
          <w:color w:val="231F20"/>
          <w:spacing w:val="67"/>
          <w:w w:val="150"/>
          <w:sz w:val="14"/>
        </w:rPr>
        <w:t xml:space="preserve"> </w:t>
      </w:r>
      <w:r>
        <w:rPr>
          <w:rFonts w:ascii="Trebuchet MS"/>
          <w:color w:val="231F20"/>
          <w:spacing w:val="-5"/>
          <w:w w:val="105"/>
          <w:sz w:val="14"/>
        </w:rPr>
        <w:t>13</w:t>
      </w:r>
    </w:p>
    <w:p w14:paraId="53225098" w14:textId="77777777" w:rsidR="00AE0598" w:rsidRDefault="00AE0598">
      <w:pPr>
        <w:pStyle w:val="Corpodetexto"/>
        <w:rPr>
          <w:rFonts w:ascii="Trebuchet MS"/>
          <w:sz w:val="16"/>
        </w:rPr>
      </w:pPr>
    </w:p>
    <w:p w14:paraId="667ACC2E" w14:textId="77777777" w:rsidR="00AE0598" w:rsidRDefault="0069255A">
      <w:pPr>
        <w:pStyle w:val="Corpodetexto"/>
        <w:spacing w:before="118" w:line="232" w:lineRule="auto"/>
        <w:ind w:left="110" w:right="107"/>
        <w:jc w:val="both"/>
      </w:pPr>
      <w:r>
        <w:rPr>
          <w:color w:val="231F20"/>
          <w:w w:val="95"/>
        </w:rPr>
        <w:t>engineered to alter seasonal patterns of</w:t>
      </w:r>
      <w:r>
        <w:rPr>
          <w:color w:val="231F20"/>
          <w:spacing w:val="17"/>
        </w:rPr>
        <w:t xml:space="preserve"> </w:t>
      </w:r>
      <w:r>
        <w:rPr>
          <w:color w:val="231F20"/>
          <w:w w:val="95"/>
        </w:rPr>
        <w:t>visitation (Higham &amp; Hinch, 2002a, 2002b),</w:t>
      </w:r>
      <w:r>
        <w:rPr>
          <w:color w:val="231F20"/>
          <w:spacing w:val="-7"/>
          <w:w w:val="95"/>
        </w:rPr>
        <w:t xml:space="preserve"> </w:t>
      </w:r>
      <w:r>
        <w:rPr>
          <w:color w:val="231F20"/>
          <w:w w:val="95"/>
        </w:rPr>
        <w:t>is</w:t>
      </w:r>
      <w:r>
        <w:rPr>
          <w:color w:val="231F20"/>
          <w:spacing w:val="-7"/>
          <w:w w:val="95"/>
        </w:rPr>
        <w:t xml:space="preserve"> </w:t>
      </w:r>
      <w:r>
        <w:rPr>
          <w:color w:val="231F20"/>
          <w:w w:val="95"/>
        </w:rPr>
        <w:t>now</w:t>
      </w:r>
      <w:r>
        <w:rPr>
          <w:color w:val="231F20"/>
          <w:spacing w:val="-7"/>
          <w:w w:val="95"/>
        </w:rPr>
        <w:t xml:space="preserve"> </w:t>
      </w:r>
      <w:r>
        <w:rPr>
          <w:color w:val="231F20"/>
          <w:w w:val="95"/>
        </w:rPr>
        <w:t>more</w:t>
      </w:r>
      <w:r>
        <w:rPr>
          <w:color w:val="231F20"/>
          <w:spacing w:val="-7"/>
          <w:w w:val="95"/>
        </w:rPr>
        <w:t xml:space="preserve"> </w:t>
      </w:r>
      <w:r>
        <w:rPr>
          <w:color w:val="231F20"/>
          <w:w w:val="95"/>
        </w:rPr>
        <w:t>important</w:t>
      </w:r>
      <w:r>
        <w:rPr>
          <w:color w:val="231F20"/>
          <w:spacing w:val="-7"/>
          <w:w w:val="95"/>
        </w:rPr>
        <w:t xml:space="preserve"> </w:t>
      </w:r>
      <w:r>
        <w:rPr>
          <w:color w:val="231F20"/>
          <w:w w:val="95"/>
        </w:rPr>
        <w:t>than</w:t>
      </w:r>
      <w:r>
        <w:rPr>
          <w:color w:val="231F20"/>
          <w:spacing w:val="-7"/>
          <w:w w:val="95"/>
        </w:rPr>
        <w:t xml:space="preserve"> </w:t>
      </w:r>
      <w:r>
        <w:rPr>
          <w:color w:val="231F20"/>
          <w:w w:val="95"/>
        </w:rPr>
        <w:t>ever.</w:t>
      </w:r>
      <w:r>
        <w:rPr>
          <w:color w:val="231F20"/>
          <w:spacing w:val="-7"/>
          <w:w w:val="95"/>
        </w:rPr>
        <w:t xml:space="preserve"> </w:t>
      </w:r>
      <w:r>
        <w:rPr>
          <w:color w:val="231F20"/>
          <w:w w:val="95"/>
        </w:rPr>
        <w:t>The</w:t>
      </w:r>
      <w:r>
        <w:rPr>
          <w:color w:val="231F20"/>
          <w:spacing w:val="-7"/>
          <w:w w:val="95"/>
        </w:rPr>
        <w:t xml:space="preserve"> </w:t>
      </w:r>
      <w:r>
        <w:rPr>
          <w:color w:val="231F20"/>
          <w:w w:val="95"/>
        </w:rPr>
        <w:t>reverse</w:t>
      </w:r>
      <w:r>
        <w:rPr>
          <w:color w:val="231F20"/>
          <w:spacing w:val="-7"/>
          <w:w w:val="95"/>
        </w:rPr>
        <w:t xml:space="preserve"> </w:t>
      </w:r>
      <w:r>
        <w:rPr>
          <w:color w:val="231F20"/>
          <w:w w:val="95"/>
        </w:rPr>
        <w:t>also</w:t>
      </w:r>
      <w:r>
        <w:rPr>
          <w:color w:val="231F20"/>
          <w:spacing w:val="-7"/>
          <w:w w:val="95"/>
        </w:rPr>
        <w:t xml:space="preserve"> </w:t>
      </w:r>
      <w:r>
        <w:rPr>
          <w:color w:val="231F20"/>
          <w:w w:val="95"/>
        </w:rPr>
        <w:t>applies,</w:t>
      </w:r>
      <w:r>
        <w:rPr>
          <w:color w:val="231F20"/>
          <w:spacing w:val="-7"/>
          <w:w w:val="95"/>
        </w:rPr>
        <w:t xml:space="preserve"> </w:t>
      </w:r>
      <w:r>
        <w:rPr>
          <w:color w:val="231F20"/>
          <w:w w:val="95"/>
        </w:rPr>
        <w:t xml:space="preserve">whereby </w:t>
      </w:r>
      <w:r>
        <w:rPr>
          <w:color w:val="231F20"/>
        </w:rPr>
        <w:t>tourism</w:t>
      </w:r>
      <w:r>
        <w:rPr>
          <w:color w:val="231F20"/>
          <w:spacing w:val="-12"/>
        </w:rPr>
        <w:t xml:space="preserve"> </w:t>
      </w:r>
      <w:r>
        <w:rPr>
          <w:color w:val="231F20"/>
        </w:rPr>
        <w:t>may</w:t>
      </w:r>
      <w:r>
        <w:rPr>
          <w:color w:val="231F20"/>
          <w:spacing w:val="-12"/>
        </w:rPr>
        <w:t xml:space="preserve"> </w:t>
      </w:r>
      <w:r>
        <w:rPr>
          <w:color w:val="231F20"/>
        </w:rPr>
        <w:t>influence</w:t>
      </w:r>
      <w:r>
        <w:rPr>
          <w:color w:val="231F20"/>
          <w:spacing w:val="-11"/>
        </w:rPr>
        <w:t xml:space="preserve"> </w:t>
      </w:r>
      <w:r>
        <w:rPr>
          <w:color w:val="231F20"/>
        </w:rPr>
        <w:t>patterns</w:t>
      </w:r>
      <w:r>
        <w:rPr>
          <w:color w:val="231F20"/>
          <w:spacing w:val="-12"/>
        </w:rPr>
        <w:t xml:space="preserve"> </w:t>
      </w:r>
      <w:r>
        <w:rPr>
          <w:color w:val="231F20"/>
        </w:rPr>
        <w:t>of</w:t>
      </w:r>
      <w:r>
        <w:rPr>
          <w:color w:val="231F20"/>
          <w:spacing w:val="-11"/>
        </w:rPr>
        <w:t xml:space="preserve"> </w:t>
      </w:r>
      <w:r>
        <w:rPr>
          <w:color w:val="231F20"/>
        </w:rPr>
        <w:t>seasonal</w:t>
      </w:r>
      <w:r>
        <w:rPr>
          <w:color w:val="231F20"/>
          <w:spacing w:val="-12"/>
        </w:rPr>
        <w:t xml:space="preserve"> </w:t>
      </w:r>
      <w:r>
        <w:rPr>
          <w:color w:val="231F20"/>
        </w:rPr>
        <w:t>participation</w:t>
      </w:r>
      <w:r>
        <w:rPr>
          <w:color w:val="231F20"/>
          <w:spacing w:val="-11"/>
        </w:rPr>
        <w:t xml:space="preserve"> </w:t>
      </w:r>
      <w:r>
        <w:rPr>
          <w:color w:val="231F20"/>
        </w:rPr>
        <w:t>in</w:t>
      </w:r>
      <w:r>
        <w:rPr>
          <w:color w:val="231F20"/>
          <w:spacing w:val="-12"/>
        </w:rPr>
        <w:t xml:space="preserve"> </w:t>
      </w:r>
      <w:r>
        <w:rPr>
          <w:color w:val="231F20"/>
        </w:rPr>
        <w:t>sport.</w:t>
      </w:r>
      <w:r>
        <w:rPr>
          <w:color w:val="231F20"/>
          <w:spacing w:val="-12"/>
        </w:rPr>
        <w:t xml:space="preserve"> </w:t>
      </w:r>
      <w:r>
        <w:rPr>
          <w:color w:val="231F20"/>
        </w:rPr>
        <w:t>It</w:t>
      </w:r>
      <w:r>
        <w:rPr>
          <w:color w:val="231F20"/>
          <w:spacing w:val="-11"/>
        </w:rPr>
        <w:t xml:space="preserve"> </w:t>
      </w:r>
      <w:r>
        <w:rPr>
          <w:color w:val="231F20"/>
        </w:rPr>
        <w:t>is</w:t>
      </w:r>
      <w:r>
        <w:rPr>
          <w:color w:val="231F20"/>
          <w:spacing w:val="-12"/>
        </w:rPr>
        <w:t xml:space="preserve"> </w:t>
      </w:r>
      <w:r>
        <w:rPr>
          <w:color w:val="231F20"/>
        </w:rPr>
        <w:t>not enough</w:t>
      </w:r>
      <w:r>
        <w:rPr>
          <w:color w:val="231F20"/>
          <w:spacing w:val="-2"/>
        </w:rPr>
        <w:t xml:space="preserve"> </w:t>
      </w:r>
      <w:r>
        <w:rPr>
          <w:color w:val="231F20"/>
        </w:rPr>
        <w:t>to</w:t>
      </w:r>
      <w:r>
        <w:rPr>
          <w:color w:val="231F20"/>
          <w:spacing w:val="-2"/>
        </w:rPr>
        <w:t xml:space="preserve"> </w:t>
      </w:r>
      <w:r>
        <w:rPr>
          <w:color w:val="231F20"/>
        </w:rPr>
        <w:t>know</w:t>
      </w:r>
      <w:r>
        <w:rPr>
          <w:color w:val="231F20"/>
          <w:spacing w:val="-2"/>
        </w:rPr>
        <w:t xml:space="preserve"> </w:t>
      </w:r>
      <w:r>
        <w:rPr>
          <w:color w:val="231F20"/>
        </w:rPr>
        <w:t>that</w:t>
      </w:r>
      <w:r>
        <w:rPr>
          <w:color w:val="231F20"/>
          <w:spacing w:val="-2"/>
        </w:rPr>
        <w:t xml:space="preserve"> </w:t>
      </w:r>
      <w:r>
        <w:rPr>
          <w:color w:val="231F20"/>
        </w:rPr>
        <w:t>there</w:t>
      </w:r>
      <w:r>
        <w:rPr>
          <w:color w:val="231F20"/>
          <w:spacing w:val="-2"/>
        </w:rPr>
        <w:t xml:space="preserve"> </w:t>
      </w:r>
      <w:r>
        <w:rPr>
          <w:color w:val="231F20"/>
        </w:rPr>
        <w:t>are</w:t>
      </w:r>
      <w:r>
        <w:rPr>
          <w:color w:val="231F20"/>
          <w:spacing w:val="-2"/>
        </w:rPr>
        <w:t xml:space="preserve"> </w:t>
      </w:r>
      <w:r>
        <w:rPr>
          <w:color w:val="231F20"/>
        </w:rPr>
        <w:t>seasonal</w:t>
      </w:r>
      <w:r>
        <w:rPr>
          <w:color w:val="231F20"/>
          <w:spacing w:val="-2"/>
        </w:rPr>
        <w:t xml:space="preserve"> </w:t>
      </w:r>
      <w:r>
        <w:rPr>
          <w:color w:val="231F20"/>
        </w:rPr>
        <w:t>patterns</w:t>
      </w:r>
      <w:r>
        <w:rPr>
          <w:color w:val="231F20"/>
          <w:spacing w:val="-2"/>
        </w:rPr>
        <w:t xml:space="preserve"> </w:t>
      </w:r>
      <w:r>
        <w:rPr>
          <w:color w:val="231F20"/>
        </w:rPr>
        <w:t>of sport</w:t>
      </w:r>
      <w:r>
        <w:rPr>
          <w:color w:val="231F20"/>
          <w:spacing w:val="-2"/>
        </w:rPr>
        <w:t xml:space="preserve"> </w:t>
      </w:r>
      <w:r>
        <w:rPr>
          <w:color w:val="231F20"/>
        </w:rPr>
        <w:t>and</w:t>
      </w:r>
      <w:r>
        <w:rPr>
          <w:color w:val="231F20"/>
          <w:spacing w:val="-2"/>
        </w:rPr>
        <w:t xml:space="preserve"> </w:t>
      </w:r>
      <w:r>
        <w:rPr>
          <w:color w:val="231F20"/>
        </w:rPr>
        <w:t>tourism,</w:t>
      </w:r>
      <w:r>
        <w:rPr>
          <w:color w:val="231F20"/>
          <w:spacing w:val="-2"/>
        </w:rPr>
        <w:t xml:space="preserve"> </w:t>
      </w:r>
      <w:r>
        <w:rPr>
          <w:color w:val="231F20"/>
        </w:rPr>
        <w:t>it is also important to understand the reasons for those patterns. Leisure constraints</w:t>
      </w:r>
      <w:r>
        <w:rPr>
          <w:color w:val="231F20"/>
          <w:spacing w:val="-11"/>
        </w:rPr>
        <w:t xml:space="preserve"> </w:t>
      </w:r>
      <w:r>
        <w:rPr>
          <w:color w:val="231F20"/>
        </w:rPr>
        <w:t>theory</w:t>
      </w:r>
      <w:r>
        <w:rPr>
          <w:color w:val="231F20"/>
          <w:spacing w:val="-11"/>
        </w:rPr>
        <w:t xml:space="preserve"> </w:t>
      </w:r>
      <w:r>
        <w:rPr>
          <w:color w:val="231F20"/>
        </w:rPr>
        <w:t>provides</w:t>
      </w:r>
      <w:r>
        <w:rPr>
          <w:color w:val="231F20"/>
          <w:spacing w:val="-11"/>
        </w:rPr>
        <w:t xml:space="preserve"> </w:t>
      </w:r>
      <w:r>
        <w:rPr>
          <w:color w:val="231F20"/>
        </w:rPr>
        <w:t>insights</w:t>
      </w:r>
      <w:r>
        <w:rPr>
          <w:color w:val="231F20"/>
          <w:spacing w:val="-11"/>
        </w:rPr>
        <w:t xml:space="preserve"> </w:t>
      </w:r>
      <w:r>
        <w:rPr>
          <w:color w:val="231F20"/>
        </w:rPr>
        <w:t>into</w:t>
      </w:r>
      <w:r>
        <w:rPr>
          <w:color w:val="231F20"/>
          <w:spacing w:val="-11"/>
        </w:rPr>
        <w:t xml:space="preserve"> </w:t>
      </w:r>
      <w:r>
        <w:rPr>
          <w:color w:val="231F20"/>
        </w:rPr>
        <w:t>such</w:t>
      </w:r>
      <w:r>
        <w:rPr>
          <w:color w:val="231F20"/>
          <w:spacing w:val="-11"/>
        </w:rPr>
        <w:t xml:space="preserve"> </w:t>
      </w:r>
      <w:r>
        <w:rPr>
          <w:color w:val="231F20"/>
        </w:rPr>
        <w:t>patterns</w:t>
      </w:r>
      <w:r>
        <w:rPr>
          <w:color w:val="231F20"/>
          <w:spacing w:val="-11"/>
        </w:rPr>
        <w:t xml:space="preserve"> </w:t>
      </w:r>
      <w:r>
        <w:rPr>
          <w:color w:val="231F20"/>
        </w:rPr>
        <w:t>(Hinch</w:t>
      </w:r>
      <w:r>
        <w:rPr>
          <w:color w:val="231F20"/>
          <w:spacing w:val="-11"/>
        </w:rPr>
        <w:t xml:space="preserve"> </w:t>
      </w:r>
      <w:r>
        <w:rPr>
          <w:color w:val="231F20"/>
        </w:rPr>
        <w:t>&amp;</w:t>
      </w:r>
      <w:r>
        <w:rPr>
          <w:color w:val="231F20"/>
          <w:spacing w:val="-11"/>
        </w:rPr>
        <w:t xml:space="preserve"> </w:t>
      </w:r>
      <w:r>
        <w:rPr>
          <w:color w:val="231F20"/>
        </w:rPr>
        <w:t xml:space="preserve">Jackson, </w:t>
      </w:r>
      <w:r>
        <w:rPr>
          <w:color w:val="231F20"/>
          <w:w w:val="95"/>
        </w:rPr>
        <w:t xml:space="preserve">2000). Consideration can then be given to strategies, such as facility design, </w:t>
      </w:r>
      <w:r>
        <w:rPr>
          <w:color w:val="231F20"/>
          <w:spacing w:val="-2"/>
        </w:rPr>
        <w:t>pricing</w:t>
      </w:r>
      <w:r>
        <w:rPr>
          <w:color w:val="231F20"/>
          <w:spacing w:val="-4"/>
        </w:rPr>
        <w:t xml:space="preserve"> </w:t>
      </w:r>
      <w:r>
        <w:rPr>
          <w:color w:val="231F20"/>
          <w:spacing w:val="-2"/>
        </w:rPr>
        <w:t>and</w:t>
      </w:r>
      <w:r>
        <w:rPr>
          <w:color w:val="231F20"/>
          <w:spacing w:val="-4"/>
        </w:rPr>
        <w:t xml:space="preserve"> </w:t>
      </w:r>
      <w:r>
        <w:rPr>
          <w:color w:val="231F20"/>
          <w:spacing w:val="-2"/>
        </w:rPr>
        <w:t>promotions,</w:t>
      </w:r>
      <w:r>
        <w:rPr>
          <w:color w:val="231F20"/>
          <w:spacing w:val="-4"/>
        </w:rPr>
        <w:t xml:space="preserve"> </w:t>
      </w:r>
      <w:r>
        <w:rPr>
          <w:color w:val="231F20"/>
          <w:spacing w:val="-2"/>
        </w:rPr>
        <w:t>and</w:t>
      </w:r>
      <w:r>
        <w:rPr>
          <w:color w:val="231F20"/>
          <w:spacing w:val="-4"/>
        </w:rPr>
        <w:t xml:space="preserve"> </w:t>
      </w:r>
      <w:r>
        <w:rPr>
          <w:color w:val="231F20"/>
          <w:spacing w:val="-2"/>
        </w:rPr>
        <w:t>event</w:t>
      </w:r>
      <w:r>
        <w:rPr>
          <w:color w:val="231F20"/>
          <w:spacing w:val="-4"/>
        </w:rPr>
        <w:t xml:space="preserve"> </w:t>
      </w:r>
      <w:r>
        <w:rPr>
          <w:color w:val="231F20"/>
          <w:spacing w:val="-2"/>
        </w:rPr>
        <w:t>production</w:t>
      </w:r>
      <w:r>
        <w:rPr>
          <w:color w:val="231F20"/>
          <w:spacing w:val="-4"/>
        </w:rPr>
        <w:t xml:space="preserve"> </w:t>
      </w:r>
      <w:r>
        <w:rPr>
          <w:color w:val="231F20"/>
          <w:spacing w:val="-2"/>
        </w:rPr>
        <w:t>that</w:t>
      </w:r>
      <w:r>
        <w:rPr>
          <w:color w:val="231F20"/>
          <w:spacing w:val="-4"/>
        </w:rPr>
        <w:t xml:space="preserve"> </w:t>
      </w:r>
      <w:r>
        <w:rPr>
          <w:color w:val="231F20"/>
          <w:spacing w:val="-2"/>
        </w:rPr>
        <w:t>may</w:t>
      </w:r>
      <w:r>
        <w:rPr>
          <w:color w:val="231F20"/>
          <w:spacing w:val="-4"/>
        </w:rPr>
        <w:t xml:space="preserve"> </w:t>
      </w:r>
      <w:r>
        <w:rPr>
          <w:color w:val="231F20"/>
          <w:spacing w:val="-2"/>
        </w:rPr>
        <w:t>moderate</w:t>
      </w:r>
      <w:r>
        <w:rPr>
          <w:color w:val="231F20"/>
          <w:spacing w:val="-4"/>
        </w:rPr>
        <w:t xml:space="preserve"> </w:t>
      </w:r>
      <w:r>
        <w:rPr>
          <w:color w:val="231F20"/>
          <w:spacing w:val="-2"/>
        </w:rPr>
        <w:t>or</w:t>
      </w:r>
      <w:r>
        <w:rPr>
          <w:color w:val="231F20"/>
          <w:spacing w:val="-4"/>
        </w:rPr>
        <w:t xml:space="preserve"> </w:t>
      </w:r>
      <w:r>
        <w:rPr>
          <w:color w:val="231F20"/>
          <w:spacing w:val="-2"/>
        </w:rPr>
        <w:t xml:space="preserve">alter </w:t>
      </w:r>
      <w:r>
        <w:rPr>
          <w:color w:val="231F20"/>
        </w:rPr>
        <w:t>patterns</w:t>
      </w:r>
      <w:r>
        <w:rPr>
          <w:color w:val="231F20"/>
          <w:spacing w:val="-8"/>
        </w:rPr>
        <w:t xml:space="preserve"> </w:t>
      </w:r>
      <w:r>
        <w:rPr>
          <w:color w:val="231F20"/>
        </w:rPr>
        <w:t>of seasonality</w:t>
      </w:r>
      <w:r>
        <w:rPr>
          <w:color w:val="231F20"/>
          <w:spacing w:val="-8"/>
        </w:rPr>
        <w:t xml:space="preserve"> </w:t>
      </w:r>
      <w:r>
        <w:rPr>
          <w:color w:val="231F20"/>
        </w:rPr>
        <w:t>in</w:t>
      </w:r>
      <w:r>
        <w:rPr>
          <w:color w:val="231F20"/>
          <w:spacing w:val="-8"/>
        </w:rPr>
        <w:t xml:space="preserve"> </w:t>
      </w:r>
      <w:r>
        <w:rPr>
          <w:color w:val="231F20"/>
        </w:rPr>
        <w:t>sport</w:t>
      </w:r>
      <w:r>
        <w:rPr>
          <w:color w:val="231F20"/>
          <w:spacing w:val="-8"/>
        </w:rPr>
        <w:t xml:space="preserve"> </w:t>
      </w:r>
      <w:r>
        <w:rPr>
          <w:color w:val="231F20"/>
        </w:rPr>
        <w:t>and</w:t>
      </w:r>
      <w:r>
        <w:rPr>
          <w:color w:val="231F20"/>
          <w:spacing w:val="-8"/>
        </w:rPr>
        <w:t xml:space="preserve"> </w:t>
      </w:r>
      <w:r>
        <w:rPr>
          <w:color w:val="231F20"/>
        </w:rPr>
        <w:t>tourism</w:t>
      </w:r>
      <w:r>
        <w:rPr>
          <w:color w:val="231F20"/>
          <w:spacing w:val="-8"/>
        </w:rPr>
        <w:t xml:space="preserve"> </w:t>
      </w:r>
      <w:r>
        <w:rPr>
          <w:color w:val="231F20"/>
        </w:rPr>
        <w:t>(Focus</w:t>
      </w:r>
      <w:r>
        <w:rPr>
          <w:color w:val="231F20"/>
          <w:spacing w:val="-8"/>
        </w:rPr>
        <w:t xml:space="preserve"> </w:t>
      </w:r>
      <w:r>
        <w:rPr>
          <w:color w:val="231F20"/>
        </w:rPr>
        <w:t>Point</w:t>
      </w:r>
      <w:r>
        <w:rPr>
          <w:color w:val="231F20"/>
          <w:spacing w:val="-8"/>
        </w:rPr>
        <w:t xml:space="preserve"> </w:t>
      </w:r>
      <w:r>
        <w:rPr>
          <w:color w:val="231F20"/>
        </w:rPr>
        <w:t>1.3).</w:t>
      </w:r>
    </w:p>
    <w:p w14:paraId="0FF7EF4F" w14:textId="77777777" w:rsidR="00AE0598" w:rsidRDefault="00AE0598">
      <w:pPr>
        <w:pStyle w:val="Corpodetexto"/>
        <w:spacing w:before="2"/>
        <w:rPr>
          <w:sz w:val="16"/>
        </w:rPr>
      </w:pPr>
    </w:p>
    <w:p w14:paraId="35A46112" w14:textId="1CF4D0B8" w:rsidR="00AE0598" w:rsidRDefault="0069255A">
      <w:pPr>
        <w:spacing w:before="99"/>
        <w:ind w:left="223"/>
        <w:jc w:val="both"/>
        <w:rPr>
          <w:rFonts w:ascii="Trebuchet MS"/>
          <w:sz w:val="20"/>
        </w:rPr>
      </w:pPr>
      <w:r>
        <w:rPr>
          <w:noProof/>
        </w:rPr>
        <mc:AlternateContent>
          <mc:Choice Requires="wps">
            <w:drawing>
              <wp:anchor distT="0" distB="0" distL="114300" distR="114300" simplePos="0" relativeHeight="483662336" behindDoc="1" locked="0" layoutInCell="1" allowOverlap="1" wp14:anchorId="193831E0" wp14:editId="4736D0CB">
                <wp:simplePos x="0" y="0"/>
                <wp:positionH relativeFrom="page">
                  <wp:posOffset>755650</wp:posOffset>
                </wp:positionH>
                <wp:positionV relativeFrom="paragraph">
                  <wp:posOffset>14605</wp:posOffset>
                </wp:positionV>
                <wp:extent cx="4104005" cy="5232400"/>
                <wp:effectExtent l="0" t="0" r="0" b="0"/>
                <wp:wrapNone/>
                <wp:docPr id="356" name="docshape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04005" cy="5232400"/>
                        </a:xfrm>
                        <a:prstGeom prst="rect">
                          <a:avLst/>
                        </a:prstGeom>
                        <a:solidFill>
                          <a:srgbClr val="DCDDD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393BE9" id="docshape20" o:spid="_x0000_s1026" style="position:absolute;margin-left:59.5pt;margin-top:1.15pt;width:323.15pt;height:412pt;z-index:-196541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" fillcolor="#dcddde" stroked="f">
                <w10:wrap anchorx="page"/>
              </v:rect>
            </w:pict>
          </mc:Fallback>
        </mc:AlternateContent>
      </w:r>
      <w:r>
        <w:rPr>
          <w:rFonts w:ascii="Trebuchet MS"/>
          <w:color w:val="231F20"/>
          <w:w w:val="105"/>
          <w:sz w:val="20"/>
        </w:rPr>
        <w:t>Focus</w:t>
      </w:r>
      <w:r>
        <w:rPr>
          <w:rFonts w:ascii="Trebuchet MS"/>
          <w:color w:val="231F20"/>
          <w:spacing w:val="-10"/>
          <w:w w:val="105"/>
          <w:sz w:val="20"/>
        </w:rPr>
        <w:t xml:space="preserve"> </w:t>
      </w:r>
      <w:r>
        <w:rPr>
          <w:rFonts w:ascii="Trebuchet MS"/>
          <w:color w:val="231F20"/>
          <w:w w:val="105"/>
          <w:sz w:val="20"/>
        </w:rPr>
        <w:t>Point</w:t>
      </w:r>
      <w:r>
        <w:rPr>
          <w:rFonts w:ascii="Trebuchet MS"/>
          <w:color w:val="231F20"/>
          <w:spacing w:val="-10"/>
          <w:w w:val="105"/>
          <w:sz w:val="20"/>
        </w:rPr>
        <w:t xml:space="preserve"> </w:t>
      </w:r>
      <w:r>
        <w:rPr>
          <w:rFonts w:ascii="Trebuchet MS"/>
          <w:color w:val="231F20"/>
          <w:w w:val="105"/>
          <w:sz w:val="20"/>
        </w:rPr>
        <w:t>1.3:</w:t>
      </w:r>
      <w:r>
        <w:rPr>
          <w:rFonts w:ascii="Trebuchet MS"/>
          <w:color w:val="231F20"/>
          <w:spacing w:val="-10"/>
          <w:w w:val="105"/>
          <w:sz w:val="20"/>
        </w:rPr>
        <w:t xml:space="preserve"> </w:t>
      </w:r>
      <w:r>
        <w:rPr>
          <w:rFonts w:ascii="Trebuchet MS"/>
          <w:color w:val="231F20"/>
          <w:w w:val="105"/>
          <w:sz w:val="20"/>
        </w:rPr>
        <w:t>Sport</w:t>
      </w:r>
      <w:r>
        <w:rPr>
          <w:rFonts w:ascii="Trebuchet MS"/>
          <w:color w:val="231F20"/>
          <w:spacing w:val="-10"/>
          <w:w w:val="105"/>
          <w:sz w:val="20"/>
        </w:rPr>
        <w:t xml:space="preserve"> </w:t>
      </w:r>
      <w:r>
        <w:rPr>
          <w:rFonts w:ascii="Trebuchet MS"/>
          <w:color w:val="231F20"/>
          <w:w w:val="105"/>
          <w:sz w:val="20"/>
        </w:rPr>
        <w:t>and</w:t>
      </w:r>
      <w:r>
        <w:rPr>
          <w:rFonts w:ascii="Trebuchet MS"/>
          <w:color w:val="231F20"/>
          <w:spacing w:val="-10"/>
          <w:w w:val="105"/>
          <w:sz w:val="20"/>
        </w:rPr>
        <w:t xml:space="preserve"> </w:t>
      </w:r>
      <w:r>
        <w:rPr>
          <w:rFonts w:ascii="Trebuchet MS"/>
          <w:color w:val="231F20"/>
          <w:w w:val="105"/>
          <w:sz w:val="20"/>
        </w:rPr>
        <w:t>the</w:t>
      </w:r>
      <w:r>
        <w:rPr>
          <w:rFonts w:ascii="Trebuchet MS"/>
          <w:color w:val="231F20"/>
          <w:spacing w:val="-10"/>
          <w:w w:val="105"/>
          <w:sz w:val="20"/>
        </w:rPr>
        <w:t xml:space="preserve"> </w:t>
      </w:r>
      <w:r>
        <w:rPr>
          <w:rFonts w:ascii="Trebuchet MS"/>
          <w:color w:val="231F20"/>
          <w:w w:val="105"/>
          <w:sz w:val="20"/>
        </w:rPr>
        <w:t>Subjugation</w:t>
      </w:r>
      <w:r>
        <w:rPr>
          <w:rFonts w:ascii="Trebuchet MS"/>
          <w:color w:val="231F20"/>
          <w:spacing w:val="-10"/>
          <w:w w:val="105"/>
          <w:sz w:val="20"/>
        </w:rPr>
        <w:t xml:space="preserve"> </w:t>
      </w:r>
      <w:r>
        <w:rPr>
          <w:rFonts w:ascii="Trebuchet MS"/>
          <w:color w:val="231F20"/>
          <w:w w:val="105"/>
          <w:sz w:val="20"/>
        </w:rPr>
        <w:t>of</w:t>
      </w:r>
      <w:r>
        <w:rPr>
          <w:rFonts w:ascii="Trebuchet MS"/>
          <w:color w:val="231F20"/>
          <w:spacing w:val="-10"/>
          <w:w w:val="105"/>
          <w:sz w:val="20"/>
        </w:rPr>
        <w:t xml:space="preserve"> </w:t>
      </w:r>
      <w:r>
        <w:rPr>
          <w:rFonts w:ascii="Trebuchet MS"/>
          <w:color w:val="231F20"/>
          <w:spacing w:val="-2"/>
          <w:w w:val="105"/>
          <w:sz w:val="20"/>
        </w:rPr>
        <w:t>Nature</w:t>
      </w:r>
    </w:p>
    <w:p w14:paraId="7E2CD24B" w14:textId="77777777" w:rsidR="00AE0598" w:rsidRDefault="0069255A">
      <w:pPr>
        <w:pStyle w:val="Corpodetexto"/>
        <w:spacing w:before="122" w:line="232" w:lineRule="auto"/>
        <w:ind w:left="223" w:right="217"/>
        <w:jc w:val="both"/>
      </w:pPr>
      <w:r>
        <w:rPr>
          <w:color w:val="231F20"/>
          <w:w w:val="95"/>
        </w:rPr>
        <w:t xml:space="preserve">Increasingly, built sports resources are becoming removed from nature. </w:t>
      </w:r>
      <w:r>
        <w:rPr>
          <w:color w:val="231F20"/>
          <w:spacing w:val="-2"/>
          <w:w w:val="95"/>
        </w:rPr>
        <w:t>Enclosed stadiums simultaneously represent the protection of sports from weather-related</w:t>
      </w:r>
      <w:r>
        <w:rPr>
          <w:color w:val="231F20"/>
          <w:spacing w:val="-7"/>
          <w:w w:val="95"/>
        </w:rPr>
        <w:t xml:space="preserve"> </w:t>
      </w:r>
      <w:r>
        <w:rPr>
          <w:color w:val="231F20"/>
          <w:spacing w:val="-2"/>
          <w:w w:val="95"/>
        </w:rPr>
        <w:t>interruption,</w:t>
      </w:r>
      <w:r>
        <w:rPr>
          <w:color w:val="231F20"/>
          <w:spacing w:val="-7"/>
          <w:w w:val="95"/>
        </w:rPr>
        <w:t xml:space="preserve"> </w:t>
      </w:r>
      <w:r>
        <w:rPr>
          <w:color w:val="231F20"/>
          <w:spacing w:val="-2"/>
          <w:w w:val="95"/>
        </w:rPr>
        <w:t>and</w:t>
      </w:r>
      <w:r>
        <w:rPr>
          <w:color w:val="231F20"/>
          <w:spacing w:val="-7"/>
          <w:w w:val="95"/>
        </w:rPr>
        <w:t xml:space="preserve"> </w:t>
      </w:r>
      <w:r>
        <w:rPr>
          <w:color w:val="231F20"/>
          <w:spacing w:val="-2"/>
          <w:w w:val="95"/>
        </w:rPr>
        <w:t>the</w:t>
      </w:r>
      <w:r>
        <w:rPr>
          <w:color w:val="231F20"/>
          <w:spacing w:val="-7"/>
          <w:w w:val="95"/>
        </w:rPr>
        <w:t xml:space="preserve"> </w:t>
      </w:r>
      <w:r>
        <w:rPr>
          <w:color w:val="231F20"/>
          <w:spacing w:val="-2"/>
          <w:w w:val="95"/>
        </w:rPr>
        <w:t>removal</w:t>
      </w:r>
      <w:r>
        <w:rPr>
          <w:color w:val="231F20"/>
          <w:spacing w:val="-7"/>
          <w:w w:val="95"/>
        </w:rPr>
        <w:t xml:space="preserve"> </w:t>
      </w:r>
      <w:r>
        <w:rPr>
          <w:color w:val="231F20"/>
          <w:spacing w:val="-2"/>
          <w:w w:val="95"/>
        </w:rPr>
        <w:t>of</w:t>
      </w:r>
      <w:r>
        <w:rPr>
          <w:color w:val="231F20"/>
          <w:spacing w:val="-7"/>
          <w:w w:val="95"/>
        </w:rPr>
        <w:t xml:space="preserve"> </w:t>
      </w:r>
      <w:r>
        <w:rPr>
          <w:color w:val="231F20"/>
          <w:spacing w:val="-2"/>
          <w:w w:val="95"/>
        </w:rPr>
        <w:t>sports</w:t>
      </w:r>
      <w:r>
        <w:rPr>
          <w:color w:val="231F20"/>
          <w:spacing w:val="-7"/>
          <w:w w:val="95"/>
        </w:rPr>
        <w:t xml:space="preserve"> </w:t>
      </w:r>
      <w:r>
        <w:rPr>
          <w:color w:val="231F20"/>
          <w:spacing w:val="-2"/>
          <w:w w:val="95"/>
        </w:rPr>
        <w:t>from</w:t>
      </w:r>
      <w:r>
        <w:rPr>
          <w:color w:val="231F20"/>
          <w:spacing w:val="-7"/>
          <w:w w:val="95"/>
        </w:rPr>
        <w:t xml:space="preserve"> </w:t>
      </w:r>
      <w:r>
        <w:rPr>
          <w:color w:val="231F20"/>
          <w:spacing w:val="-2"/>
          <w:w w:val="95"/>
        </w:rPr>
        <w:t>unique</w:t>
      </w:r>
      <w:r>
        <w:rPr>
          <w:color w:val="231F20"/>
          <w:spacing w:val="-7"/>
          <w:w w:val="95"/>
        </w:rPr>
        <w:t xml:space="preserve"> </w:t>
      </w:r>
      <w:r>
        <w:rPr>
          <w:color w:val="231F20"/>
          <w:spacing w:val="-2"/>
          <w:w w:val="95"/>
        </w:rPr>
        <w:t xml:space="preserve">place- </w:t>
      </w:r>
      <w:r>
        <w:rPr>
          <w:color w:val="231F20"/>
          <w:w w:val="95"/>
        </w:rPr>
        <w:t>specific</w:t>
      </w:r>
      <w:r>
        <w:rPr>
          <w:color w:val="231F20"/>
          <w:spacing w:val="-7"/>
          <w:w w:val="95"/>
        </w:rPr>
        <w:t xml:space="preserve"> </w:t>
      </w:r>
      <w:r>
        <w:rPr>
          <w:color w:val="231F20"/>
          <w:w w:val="95"/>
        </w:rPr>
        <w:t>weather</w:t>
      </w:r>
      <w:r>
        <w:rPr>
          <w:color w:val="231F20"/>
          <w:spacing w:val="-7"/>
          <w:w w:val="95"/>
        </w:rPr>
        <w:t xml:space="preserve"> </w:t>
      </w:r>
      <w:r>
        <w:rPr>
          <w:color w:val="231F20"/>
          <w:w w:val="95"/>
        </w:rPr>
        <w:t>conditions.</w:t>
      </w:r>
      <w:r>
        <w:rPr>
          <w:color w:val="231F20"/>
          <w:spacing w:val="-7"/>
          <w:w w:val="95"/>
        </w:rPr>
        <w:t xml:space="preserve"> </w:t>
      </w:r>
      <w:r>
        <w:rPr>
          <w:color w:val="231F20"/>
          <w:w w:val="95"/>
        </w:rPr>
        <w:t>In</w:t>
      </w:r>
      <w:r>
        <w:rPr>
          <w:color w:val="231F20"/>
          <w:spacing w:val="-7"/>
          <w:w w:val="95"/>
        </w:rPr>
        <w:t xml:space="preserve"> </w:t>
      </w:r>
      <w:r>
        <w:rPr>
          <w:color w:val="231F20"/>
          <w:w w:val="95"/>
        </w:rPr>
        <w:t>2010,</w:t>
      </w:r>
      <w:r>
        <w:rPr>
          <w:color w:val="231F20"/>
          <w:spacing w:val="-7"/>
          <w:w w:val="95"/>
        </w:rPr>
        <w:t xml:space="preserve"> </w:t>
      </w:r>
      <w:r>
        <w:rPr>
          <w:color w:val="231F20"/>
          <w:w w:val="95"/>
        </w:rPr>
        <w:t>Wimbledon</w:t>
      </w:r>
      <w:r>
        <w:rPr>
          <w:color w:val="231F20"/>
          <w:spacing w:val="-7"/>
          <w:w w:val="95"/>
        </w:rPr>
        <w:t xml:space="preserve"> </w:t>
      </w:r>
      <w:r>
        <w:rPr>
          <w:color w:val="231F20"/>
          <w:w w:val="95"/>
        </w:rPr>
        <w:t>revealed</w:t>
      </w:r>
      <w:r>
        <w:rPr>
          <w:color w:val="231F20"/>
          <w:spacing w:val="-7"/>
          <w:w w:val="95"/>
        </w:rPr>
        <w:t xml:space="preserve"> </w:t>
      </w:r>
      <w:r>
        <w:rPr>
          <w:color w:val="231F20"/>
          <w:w w:val="95"/>
        </w:rPr>
        <w:t>the</w:t>
      </w:r>
      <w:r>
        <w:rPr>
          <w:color w:val="231F20"/>
          <w:spacing w:val="-7"/>
          <w:w w:val="95"/>
        </w:rPr>
        <w:t xml:space="preserve"> </w:t>
      </w:r>
      <w:r>
        <w:rPr>
          <w:color w:val="231F20"/>
          <w:w w:val="95"/>
        </w:rPr>
        <w:t>completion of</w:t>
      </w:r>
      <w:r>
        <w:rPr>
          <w:color w:val="231F20"/>
          <w:spacing w:val="-10"/>
          <w:w w:val="95"/>
        </w:rPr>
        <w:t xml:space="preserve"> </w:t>
      </w:r>
      <w:r>
        <w:rPr>
          <w:color w:val="231F20"/>
          <w:w w:val="95"/>
        </w:rPr>
        <w:t>a</w:t>
      </w:r>
      <w:r>
        <w:rPr>
          <w:color w:val="231F20"/>
          <w:spacing w:val="-9"/>
          <w:w w:val="95"/>
        </w:rPr>
        <w:t xml:space="preserve"> </w:t>
      </w:r>
      <w:r>
        <w:rPr>
          <w:color w:val="231F20"/>
          <w:w w:val="95"/>
        </w:rPr>
        <w:t>roof</w:t>
      </w:r>
      <w:r>
        <w:rPr>
          <w:color w:val="231F20"/>
          <w:spacing w:val="-9"/>
          <w:w w:val="95"/>
        </w:rPr>
        <w:t xml:space="preserve"> </w:t>
      </w:r>
      <w:r>
        <w:rPr>
          <w:color w:val="231F20"/>
          <w:w w:val="95"/>
        </w:rPr>
        <w:t>enclosing</w:t>
      </w:r>
      <w:r>
        <w:rPr>
          <w:color w:val="231F20"/>
          <w:spacing w:val="-9"/>
          <w:w w:val="95"/>
        </w:rPr>
        <w:t xml:space="preserve"> </w:t>
      </w:r>
      <w:r>
        <w:rPr>
          <w:color w:val="231F20"/>
          <w:w w:val="95"/>
        </w:rPr>
        <w:t>the</w:t>
      </w:r>
      <w:r>
        <w:rPr>
          <w:color w:val="231F20"/>
          <w:spacing w:val="-10"/>
          <w:w w:val="95"/>
        </w:rPr>
        <w:t xml:space="preserve"> </w:t>
      </w:r>
      <w:r>
        <w:rPr>
          <w:color w:val="231F20"/>
          <w:w w:val="95"/>
        </w:rPr>
        <w:t>historic</w:t>
      </w:r>
      <w:r>
        <w:rPr>
          <w:color w:val="231F20"/>
          <w:spacing w:val="-9"/>
          <w:w w:val="95"/>
        </w:rPr>
        <w:t xml:space="preserve"> </w:t>
      </w:r>
      <w:r>
        <w:rPr>
          <w:color w:val="231F20"/>
          <w:w w:val="95"/>
        </w:rPr>
        <w:t>centre</w:t>
      </w:r>
      <w:r>
        <w:rPr>
          <w:color w:val="231F20"/>
          <w:spacing w:val="-9"/>
          <w:w w:val="95"/>
        </w:rPr>
        <w:t xml:space="preserve"> </w:t>
      </w:r>
      <w:r>
        <w:rPr>
          <w:color w:val="231F20"/>
          <w:w w:val="95"/>
        </w:rPr>
        <w:t>court,</w:t>
      </w:r>
      <w:r>
        <w:rPr>
          <w:color w:val="231F20"/>
          <w:spacing w:val="-9"/>
          <w:w w:val="95"/>
        </w:rPr>
        <w:t xml:space="preserve"> </w:t>
      </w:r>
      <w:r>
        <w:rPr>
          <w:color w:val="231F20"/>
          <w:w w:val="95"/>
        </w:rPr>
        <w:t>departing</w:t>
      </w:r>
      <w:r>
        <w:rPr>
          <w:color w:val="231F20"/>
          <w:spacing w:val="-10"/>
          <w:w w:val="95"/>
        </w:rPr>
        <w:t xml:space="preserve"> </w:t>
      </w:r>
      <w:r>
        <w:rPr>
          <w:color w:val="231F20"/>
          <w:w w:val="95"/>
        </w:rPr>
        <w:t>from</w:t>
      </w:r>
      <w:r>
        <w:rPr>
          <w:color w:val="231F20"/>
          <w:spacing w:val="-9"/>
          <w:w w:val="95"/>
        </w:rPr>
        <w:t xml:space="preserve"> </w:t>
      </w:r>
      <w:r>
        <w:rPr>
          <w:color w:val="231F20"/>
          <w:w w:val="95"/>
        </w:rPr>
        <w:t>the</w:t>
      </w:r>
      <w:r>
        <w:rPr>
          <w:color w:val="231F20"/>
          <w:spacing w:val="-9"/>
          <w:w w:val="95"/>
        </w:rPr>
        <w:t xml:space="preserve"> </w:t>
      </w:r>
      <w:r>
        <w:rPr>
          <w:color w:val="231F20"/>
          <w:w w:val="95"/>
        </w:rPr>
        <w:t>continuing tradition</w:t>
      </w:r>
      <w:r>
        <w:rPr>
          <w:color w:val="231F20"/>
          <w:spacing w:val="-1"/>
          <w:w w:val="95"/>
        </w:rPr>
        <w:t xml:space="preserve"> </w:t>
      </w:r>
      <w:r>
        <w:rPr>
          <w:color w:val="231F20"/>
          <w:w w:val="95"/>
        </w:rPr>
        <w:t>at</w:t>
      </w:r>
      <w:r>
        <w:rPr>
          <w:color w:val="231F20"/>
          <w:spacing w:val="-1"/>
          <w:w w:val="95"/>
        </w:rPr>
        <w:t xml:space="preserve"> </w:t>
      </w:r>
      <w:r>
        <w:rPr>
          <w:color w:val="231F20"/>
          <w:w w:val="95"/>
        </w:rPr>
        <w:t>the</w:t>
      </w:r>
      <w:r>
        <w:rPr>
          <w:color w:val="231F20"/>
          <w:spacing w:val="-1"/>
          <w:w w:val="95"/>
        </w:rPr>
        <w:t xml:space="preserve"> </w:t>
      </w:r>
      <w:r>
        <w:rPr>
          <w:color w:val="231F20"/>
          <w:w w:val="95"/>
        </w:rPr>
        <w:t>US</w:t>
      </w:r>
      <w:r>
        <w:rPr>
          <w:color w:val="231F20"/>
          <w:spacing w:val="-1"/>
          <w:w w:val="95"/>
        </w:rPr>
        <w:t xml:space="preserve"> </w:t>
      </w:r>
      <w:r>
        <w:rPr>
          <w:color w:val="231F20"/>
          <w:w w:val="95"/>
        </w:rPr>
        <w:t>and</w:t>
      </w:r>
      <w:r>
        <w:rPr>
          <w:color w:val="231F20"/>
          <w:spacing w:val="-1"/>
          <w:w w:val="95"/>
        </w:rPr>
        <w:t xml:space="preserve"> </w:t>
      </w:r>
      <w:r>
        <w:rPr>
          <w:color w:val="231F20"/>
          <w:w w:val="95"/>
        </w:rPr>
        <w:t>French</w:t>
      </w:r>
      <w:r>
        <w:rPr>
          <w:color w:val="231F20"/>
          <w:spacing w:val="-1"/>
          <w:w w:val="95"/>
        </w:rPr>
        <w:t xml:space="preserve"> </w:t>
      </w:r>
      <w:r>
        <w:rPr>
          <w:color w:val="231F20"/>
          <w:w w:val="95"/>
        </w:rPr>
        <w:t>Opens</w:t>
      </w:r>
      <w:r>
        <w:rPr>
          <w:color w:val="231F20"/>
          <w:spacing w:val="-1"/>
          <w:w w:val="95"/>
        </w:rPr>
        <w:t xml:space="preserve"> </w:t>
      </w:r>
      <w:r>
        <w:rPr>
          <w:color w:val="231F20"/>
          <w:w w:val="95"/>
        </w:rPr>
        <w:t>where</w:t>
      </w:r>
      <w:r>
        <w:rPr>
          <w:color w:val="231F20"/>
          <w:spacing w:val="-1"/>
          <w:w w:val="95"/>
        </w:rPr>
        <w:t xml:space="preserve"> </w:t>
      </w:r>
      <w:r>
        <w:rPr>
          <w:color w:val="231F20"/>
          <w:w w:val="95"/>
        </w:rPr>
        <w:t>the</w:t>
      </w:r>
      <w:r>
        <w:rPr>
          <w:color w:val="231F20"/>
          <w:spacing w:val="-1"/>
          <w:w w:val="95"/>
        </w:rPr>
        <w:t xml:space="preserve"> </w:t>
      </w:r>
      <w:r>
        <w:rPr>
          <w:color w:val="231F20"/>
          <w:w w:val="95"/>
        </w:rPr>
        <w:t>Grand</w:t>
      </w:r>
      <w:r>
        <w:rPr>
          <w:color w:val="231F20"/>
          <w:spacing w:val="-1"/>
          <w:w w:val="95"/>
        </w:rPr>
        <w:t xml:space="preserve"> </w:t>
      </w:r>
      <w:r>
        <w:rPr>
          <w:color w:val="231F20"/>
          <w:w w:val="95"/>
        </w:rPr>
        <w:t>Slam</w:t>
      </w:r>
      <w:r>
        <w:rPr>
          <w:color w:val="231F20"/>
          <w:spacing w:val="-1"/>
          <w:w w:val="95"/>
        </w:rPr>
        <w:t xml:space="preserve"> </w:t>
      </w:r>
      <w:r>
        <w:rPr>
          <w:color w:val="231F20"/>
          <w:w w:val="95"/>
        </w:rPr>
        <w:t>tournaments remained outdoors (Melb</w:t>
      </w:r>
      <w:r>
        <w:rPr>
          <w:color w:val="231F20"/>
          <w:w w:val="95"/>
        </w:rPr>
        <w:t>ourne Park, home of the Australian Open has a retractable</w:t>
      </w:r>
      <w:r>
        <w:rPr>
          <w:color w:val="231F20"/>
          <w:spacing w:val="-7"/>
          <w:w w:val="95"/>
        </w:rPr>
        <w:t xml:space="preserve"> </w:t>
      </w:r>
      <w:r>
        <w:rPr>
          <w:color w:val="231F20"/>
          <w:w w:val="95"/>
        </w:rPr>
        <w:t>roof</w:t>
      </w:r>
      <w:r>
        <w:rPr>
          <w:color w:val="231F20"/>
          <w:spacing w:val="-7"/>
          <w:w w:val="95"/>
        </w:rPr>
        <w:t xml:space="preserve"> </w:t>
      </w:r>
      <w:r>
        <w:rPr>
          <w:color w:val="231F20"/>
          <w:w w:val="95"/>
        </w:rPr>
        <w:t>which</w:t>
      </w:r>
      <w:r>
        <w:rPr>
          <w:color w:val="231F20"/>
          <w:spacing w:val="-7"/>
          <w:w w:val="95"/>
        </w:rPr>
        <w:t xml:space="preserve"> </w:t>
      </w:r>
      <w:r>
        <w:rPr>
          <w:color w:val="231F20"/>
          <w:w w:val="95"/>
        </w:rPr>
        <w:t>is</w:t>
      </w:r>
      <w:r>
        <w:rPr>
          <w:color w:val="231F20"/>
          <w:spacing w:val="-7"/>
          <w:w w:val="95"/>
        </w:rPr>
        <w:t xml:space="preserve"> </w:t>
      </w:r>
      <w:r>
        <w:rPr>
          <w:color w:val="231F20"/>
          <w:w w:val="95"/>
        </w:rPr>
        <w:t>often</w:t>
      </w:r>
      <w:r>
        <w:rPr>
          <w:color w:val="231F20"/>
          <w:spacing w:val="-7"/>
          <w:w w:val="95"/>
        </w:rPr>
        <w:t xml:space="preserve"> </w:t>
      </w:r>
      <w:r>
        <w:rPr>
          <w:color w:val="231F20"/>
          <w:w w:val="95"/>
        </w:rPr>
        <w:t>used</w:t>
      </w:r>
      <w:r>
        <w:rPr>
          <w:color w:val="231F20"/>
          <w:spacing w:val="-7"/>
          <w:w w:val="95"/>
        </w:rPr>
        <w:t xml:space="preserve"> </w:t>
      </w:r>
      <w:r>
        <w:rPr>
          <w:color w:val="231F20"/>
          <w:w w:val="95"/>
        </w:rPr>
        <w:t>to</w:t>
      </w:r>
      <w:r>
        <w:rPr>
          <w:color w:val="231F20"/>
          <w:spacing w:val="-7"/>
          <w:w w:val="95"/>
        </w:rPr>
        <w:t xml:space="preserve"> </w:t>
      </w:r>
      <w:r>
        <w:rPr>
          <w:color w:val="231F20"/>
          <w:w w:val="95"/>
        </w:rPr>
        <w:t>protect</w:t>
      </w:r>
      <w:r>
        <w:rPr>
          <w:color w:val="231F20"/>
          <w:spacing w:val="-7"/>
          <w:w w:val="95"/>
        </w:rPr>
        <w:t xml:space="preserve"> </w:t>
      </w:r>
      <w:r>
        <w:rPr>
          <w:color w:val="231F20"/>
          <w:w w:val="95"/>
        </w:rPr>
        <w:t>players</w:t>
      </w:r>
      <w:r>
        <w:rPr>
          <w:color w:val="231F20"/>
          <w:spacing w:val="-7"/>
          <w:w w:val="95"/>
        </w:rPr>
        <w:t xml:space="preserve"> </w:t>
      </w:r>
      <w:r>
        <w:rPr>
          <w:color w:val="231F20"/>
          <w:w w:val="95"/>
        </w:rPr>
        <w:t>from</w:t>
      </w:r>
      <w:r>
        <w:rPr>
          <w:color w:val="231F20"/>
          <w:spacing w:val="-7"/>
          <w:w w:val="95"/>
        </w:rPr>
        <w:t xml:space="preserve"> </w:t>
      </w:r>
      <w:r>
        <w:rPr>
          <w:color w:val="231F20"/>
          <w:w w:val="95"/>
        </w:rPr>
        <w:t>the</w:t>
      </w:r>
      <w:r>
        <w:rPr>
          <w:color w:val="231F20"/>
          <w:spacing w:val="-7"/>
          <w:w w:val="95"/>
        </w:rPr>
        <w:t xml:space="preserve"> </w:t>
      </w:r>
      <w:r>
        <w:rPr>
          <w:color w:val="231F20"/>
          <w:w w:val="95"/>
        </w:rPr>
        <w:t>heat</w:t>
      </w:r>
      <w:r>
        <w:rPr>
          <w:color w:val="231F20"/>
          <w:spacing w:val="-7"/>
          <w:w w:val="95"/>
        </w:rPr>
        <w:t xml:space="preserve"> </w:t>
      </w:r>
      <w:r>
        <w:rPr>
          <w:color w:val="231F20"/>
          <w:w w:val="95"/>
        </w:rPr>
        <w:t>of</w:t>
      </w:r>
      <w:r>
        <w:rPr>
          <w:color w:val="231F20"/>
          <w:spacing w:val="-7"/>
          <w:w w:val="95"/>
        </w:rPr>
        <w:t xml:space="preserve"> </w:t>
      </w:r>
      <w:r>
        <w:rPr>
          <w:color w:val="231F20"/>
          <w:w w:val="95"/>
        </w:rPr>
        <w:t xml:space="preserve">the sun). While Wimbledon has regularly been subject to rain interruptions, </w:t>
      </w:r>
      <w:r>
        <w:rPr>
          <w:color w:val="231F20"/>
        </w:rPr>
        <w:t>there</w:t>
      </w:r>
      <w:r>
        <w:rPr>
          <w:color w:val="231F20"/>
          <w:spacing w:val="-5"/>
        </w:rPr>
        <w:t xml:space="preserve"> </w:t>
      </w:r>
      <w:r>
        <w:rPr>
          <w:color w:val="231F20"/>
        </w:rPr>
        <w:t>are</w:t>
      </w:r>
      <w:r>
        <w:rPr>
          <w:color w:val="231F20"/>
          <w:spacing w:val="-5"/>
        </w:rPr>
        <w:t xml:space="preserve"> </w:t>
      </w:r>
      <w:r>
        <w:rPr>
          <w:color w:val="231F20"/>
        </w:rPr>
        <w:t>elements</w:t>
      </w:r>
      <w:r>
        <w:rPr>
          <w:color w:val="231F20"/>
          <w:spacing w:val="-5"/>
        </w:rPr>
        <w:t xml:space="preserve"> </w:t>
      </w:r>
      <w:r>
        <w:rPr>
          <w:color w:val="231F20"/>
        </w:rPr>
        <w:t>of</w:t>
      </w:r>
      <w:r>
        <w:rPr>
          <w:color w:val="231F20"/>
          <w:spacing w:val="-5"/>
        </w:rPr>
        <w:t xml:space="preserve"> </w:t>
      </w:r>
      <w:r>
        <w:rPr>
          <w:color w:val="231F20"/>
        </w:rPr>
        <w:t>nostalgia</w:t>
      </w:r>
      <w:r>
        <w:rPr>
          <w:color w:val="231F20"/>
          <w:spacing w:val="-5"/>
        </w:rPr>
        <w:t xml:space="preserve"> </w:t>
      </w:r>
      <w:r>
        <w:rPr>
          <w:color w:val="231F20"/>
        </w:rPr>
        <w:t>associated</w:t>
      </w:r>
      <w:r>
        <w:rPr>
          <w:color w:val="231F20"/>
          <w:spacing w:val="-5"/>
        </w:rPr>
        <w:t xml:space="preserve"> </w:t>
      </w:r>
      <w:r>
        <w:rPr>
          <w:color w:val="231F20"/>
        </w:rPr>
        <w:t>with</w:t>
      </w:r>
      <w:r>
        <w:rPr>
          <w:color w:val="231F20"/>
          <w:spacing w:val="-5"/>
        </w:rPr>
        <w:t xml:space="preserve"> </w:t>
      </w:r>
      <w:r>
        <w:rPr>
          <w:color w:val="231F20"/>
        </w:rPr>
        <w:t>weather</w:t>
      </w:r>
      <w:r>
        <w:rPr>
          <w:color w:val="231F20"/>
          <w:spacing w:val="-5"/>
        </w:rPr>
        <w:t xml:space="preserve"> </w:t>
      </w:r>
      <w:r>
        <w:rPr>
          <w:color w:val="231F20"/>
        </w:rPr>
        <w:t>delays,</w:t>
      </w:r>
      <w:r>
        <w:rPr>
          <w:color w:val="231F20"/>
          <w:spacing w:val="-5"/>
        </w:rPr>
        <w:t xml:space="preserve"> </w:t>
      </w:r>
      <w:r>
        <w:rPr>
          <w:color w:val="231F20"/>
        </w:rPr>
        <w:t>which allow</w:t>
      </w:r>
      <w:r>
        <w:rPr>
          <w:color w:val="231F20"/>
          <w:spacing w:val="-12"/>
        </w:rPr>
        <w:t xml:space="preserve"> </w:t>
      </w:r>
      <w:r>
        <w:rPr>
          <w:color w:val="231F20"/>
        </w:rPr>
        <w:t>for</w:t>
      </w:r>
      <w:r>
        <w:rPr>
          <w:color w:val="231F20"/>
          <w:spacing w:val="-12"/>
        </w:rPr>
        <w:t xml:space="preserve"> </w:t>
      </w:r>
      <w:r>
        <w:rPr>
          <w:color w:val="231F20"/>
        </w:rPr>
        <w:t>a</w:t>
      </w:r>
      <w:r>
        <w:rPr>
          <w:color w:val="231F20"/>
          <w:spacing w:val="-11"/>
        </w:rPr>
        <w:t xml:space="preserve"> </w:t>
      </w:r>
      <w:r>
        <w:rPr>
          <w:color w:val="231F20"/>
        </w:rPr>
        <w:t>pint</w:t>
      </w:r>
      <w:r>
        <w:rPr>
          <w:color w:val="231F20"/>
          <w:spacing w:val="-12"/>
        </w:rPr>
        <w:t xml:space="preserve"> </w:t>
      </w:r>
      <w:r>
        <w:rPr>
          <w:color w:val="231F20"/>
        </w:rPr>
        <w:t>of</w:t>
      </w:r>
      <w:r>
        <w:rPr>
          <w:color w:val="231F20"/>
          <w:spacing w:val="-11"/>
        </w:rPr>
        <w:t xml:space="preserve"> </w:t>
      </w:r>
      <w:r>
        <w:rPr>
          <w:color w:val="231F20"/>
        </w:rPr>
        <w:t>lager</w:t>
      </w:r>
      <w:r>
        <w:rPr>
          <w:color w:val="231F20"/>
          <w:spacing w:val="-12"/>
        </w:rPr>
        <w:t xml:space="preserve"> </w:t>
      </w:r>
      <w:r>
        <w:rPr>
          <w:color w:val="231F20"/>
        </w:rPr>
        <w:t>on</w:t>
      </w:r>
      <w:r>
        <w:rPr>
          <w:color w:val="231F20"/>
          <w:spacing w:val="-11"/>
        </w:rPr>
        <w:t xml:space="preserve"> </w:t>
      </w:r>
      <w:r>
        <w:rPr>
          <w:color w:val="231F20"/>
        </w:rPr>
        <w:t>the</w:t>
      </w:r>
      <w:r>
        <w:rPr>
          <w:color w:val="231F20"/>
          <w:spacing w:val="-12"/>
        </w:rPr>
        <w:t xml:space="preserve"> </w:t>
      </w:r>
      <w:r>
        <w:rPr>
          <w:color w:val="231F20"/>
        </w:rPr>
        <w:t>hill,</w:t>
      </w:r>
      <w:r>
        <w:rPr>
          <w:color w:val="231F20"/>
          <w:spacing w:val="-12"/>
        </w:rPr>
        <w:t xml:space="preserve"> </w:t>
      </w:r>
      <w:r>
        <w:rPr>
          <w:color w:val="231F20"/>
        </w:rPr>
        <w:t>or</w:t>
      </w:r>
      <w:r>
        <w:rPr>
          <w:color w:val="231F20"/>
          <w:spacing w:val="-11"/>
        </w:rPr>
        <w:t xml:space="preserve"> </w:t>
      </w:r>
      <w:r>
        <w:rPr>
          <w:color w:val="231F20"/>
        </w:rPr>
        <w:t>strawberries</w:t>
      </w:r>
      <w:r>
        <w:rPr>
          <w:color w:val="231F20"/>
          <w:spacing w:val="-12"/>
        </w:rPr>
        <w:t xml:space="preserve"> </w:t>
      </w:r>
      <w:r>
        <w:rPr>
          <w:color w:val="231F20"/>
        </w:rPr>
        <w:t>and</w:t>
      </w:r>
      <w:r>
        <w:rPr>
          <w:color w:val="231F20"/>
          <w:spacing w:val="-11"/>
        </w:rPr>
        <w:t xml:space="preserve"> </w:t>
      </w:r>
      <w:r>
        <w:rPr>
          <w:color w:val="231F20"/>
        </w:rPr>
        <w:t>cream</w:t>
      </w:r>
      <w:r>
        <w:rPr>
          <w:color w:val="231F20"/>
          <w:spacing w:val="-12"/>
        </w:rPr>
        <w:t xml:space="preserve"> </w:t>
      </w:r>
      <w:r>
        <w:rPr>
          <w:color w:val="231F20"/>
        </w:rPr>
        <w:t>while</w:t>
      </w:r>
      <w:r>
        <w:rPr>
          <w:color w:val="231F20"/>
          <w:spacing w:val="-11"/>
        </w:rPr>
        <w:t xml:space="preserve"> </w:t>
      </w:r>
      <w:r>
        <w:rPr>
          <w:color w:val="231F20"/>
        </w:rPr>
        <w:t xml:space="preserve">the players take shelter, and the ball </w:t>
      </w:r>
      <w:r>
        <w:rPr>
          <w:color w:val="231F20"/>
        </w:rPr>
        <w:t>boys and girls bring the covers onto Centre</w:t>
      </w:r>
      <w:r>
        <w:rPr>
          <w:color w:val="231F20"/>
          <w:spacing w:val="-8"/>
        </w:rPr>
        <w:t xml:space="preserve"> </w:t>
      </w:r>
      <w:r>
        <w:rPr>
          <w:color w:val="231F20"/>
        </w:rPr>
        <w:t>Court.</w:t>
      </w:r>
      <w:r>
        <w:rPr>
          <w:color w:val="231F20"/>
          <w:spacing w:val="-8"/>
        </w:rPr>
        <w:t xml:space="preserve"> </w:t>
      </w:r>
      <w:r>
        <w:rPr>
          <w:color w:val="231F20"/>
        </w:rPr>
        <w:t>Weather</w:t>
      </w:r>
      <w:r>
        <w:rPr>
          <w:color w:val="231F20"/>
          <w:spacing w:val="-9"/>
        </w:rPr>
        <w:t xml:space="preserve"> </w:t>
      </w:r>
      <w:r>
        <w:rPr>
          <w:color w:val="231F20"/>
        </w:rPr>
        <w:t>interruptions</w:t>
      </w:r>
      <w:r>
        <w:rPr>
          <w:color w:val="231F20"/>
          <w:spacing w:val="-8"/>
        </w:rPr>
        <w:t xml:space="preserve"> </w:t>
      </w:r>
      <w:r>
        <w:rPr>
          <w:color w:val="231F20"/>
        </w:rPr>
        <w:t>have</w:t>
      </w:r>
      <w:r>
        <w:rPr>
          <w:color w:val="231F20"/>
          <w:spacing w:val="-8"/>
        </w:rPr>
        <w:t xml:space="preserve"> </w:t>
      </w:r>
      <w:r>
        <w:rPr>
          <w:color w:val="231F20"/>
        </w:rPr>
        <w:t>also</w:t>
      </w:r>
      <w:r>
        <w:rPr>
          <w:color w:val="231F20"/>
          <w:spacing w:val="-9"/>
        </w:rPr>
        <w:t xml:space="preserve"> </w:t>
      </w:r>
      <w:r>
        <w:rPr>
          <w:color w:val="231F20"/>
        </w:rPr>
        <w:t>played</w:t>
      </w:r>
      <w:r>
        <w:rPr>
          <w:color w:val="231F20"/>
          <w:spacing w:val="-8"/>
        </w:rPr>
        <w:t xml:space="preserve"> </w:t>
      </w:r>
      <w:r>
        <w:rPr>
          <w:color w:val="231F20"/>
        </w:rPr>
        <w:t>a</w:t>
      </w:r>
      <w:r>
        <w:rPr>
          <w:color w:val="231F20"/>
          <w:spacing w:val="-8"/>
        </w:rPr>
        <w:t xml:space="preserve"> </w:t>
      </w:r>
      <w:r>
        <w:rPr>
          <w:color w:val="231F20"/>
        </w:rPr>
        <w:t>part</w:t>
      </w:r>
      <w:r>
        <w:rPr>
          <w:color w:val="231F20"/>
          <w:spacing w:val="-9"/>
        </w:rPr>
        <w:t xml:space="preserve"> </w:t>
      </w:r>
      <w:r>
        <w:rPr>
          <w:color w:val="231F20"/>
        </w:rPr>
        <w:t>in</w:t>
      </w:r>
      <w:r>
        <w:rPr>
          <w:color w:val="231F20"/>
          <w:spacing w:val="-8"/>
        </w:rPr>
        <w:t xml:space="preserve"> </w:t>
      </w:r>
      <w:r>
        <w:rPr>
          <w:color w:val="231F20"/>
        </w:rPr>
        <w:t>the</w:t>
      </w:r>
      <w:r>
        <w:rPr>
          <w:color w:val="231F20"/>
          <w:spacing w:val="-8"/>
        </w:rPr>
        <w:t xml:space="preserve"> </w:t>
      </w:r>
      <w:r>
        <w:rPr>
          <w:color w:val="231F20"/>
        </w:rPr>
        <w:t xml:space="preserve">ebb and flow of historic games, and influenced the outcome of matches in </w:t>
      </w:r>
      <w:r>
        <w:rPr>
          <w:color w:val="231F20"/>
          <w:spacing w:val="-2"/>
        </w:rPr>
        <w:t>some</w:t>
      </w:r>
      <w:r>
        <w:rPr>
          <w:color w:val="231F20"/>
          <w:spacing w:val="-5"/>
        </w:rPr>
        <w:t xml:space="preserve"> </w:t>
      </w:r>
      <w:r>
        <w:rPr>
          <w:color w:val="231F20"/>
          <w:spacing w:val="-2"/>
        </w:rPr>
        <w:t>unforgettable</w:t>
      </w:r>
      <w:r>
        <w:rPr>
          <w:color w:val="231F20"/>
          <w:spacing w:val="-5"/>
        </w:rPr>
        <w:t xml:space="preserve"> </w:t>
      </w:r>
      <w:r>
        <w:rPr>
          <w:color w:val="231F20"/>
          <w:spacing w:val="-2"/>
        </w:rPr>
        <w:t>chapters</w:t>
      </w:r>
      <w:r>
        <w:rPr>
          <w:color w:val="231F20"/>
          <w:spacing w:val="-5"/>
        </w:rPr>
        <w:t xml:space="preserve"> </w:t>
      </w:r>
      <w:r>
        <w:rPr>
          <w:color w:val="231F20"/>
          <w:spacing w:val="-2"/>
        </w:rPr>
        <w:t>of</w:t>
      </w:r>
      <w:r>
        <w:rPr>
          <w:color w:val="231F20"/>
          <w:spacing w:val="-5"/>
        </w:rPr>
        <w:t xml:space="preserve"> </w:t>
      </w:r>
      <w:r>
        <w:rPr>
          <w:color w:val="231F20"/>
          <w:spacing w:val="-2"/>
        </w:rPr>
        <w:t>the</w:t>
      </w:r>
      <w:r>
        <w:rPr>
          <w:color w:val="231F20"/>
          <w:spacing w:val="-5"/>
        </w:rPr>
        <w:t xml:space="preserve"> </w:t>
      </w:r>
      <w:r>
        <w:rPr>
          <w:color w:val="231F20"/>
          <w:spacing w:val="-2"/>
        </w:rPr>
        <w:t>tournament’s</w:t>
      </w:r>
      <w:r>
        <w:rPr>
          <w:color w:val="231F20"/>
          <w:spacing w:val="-5"/>
        </w:rPr>
        <w:t xml:space="preserve"> </w:t>
      </w:r>
      <w:r>
        <w:rPr>
          <w:color w:val="231F20"/>
          <w:spacing w:val="-2"/>
        </w:rPr>
        <w:t>history.</w:t>
      </w:r>
    </w:p>
    <w:p w14:paraId="188C7086" w14:textId="77777777" w:rsidR="00AE0598" w:rsidRDefault="0069255A">
      <w:pPr>
        <w:pStyle w:val="Corpodetexto"/>
        <w:spacing w:before="18" w:line="232" w:lineRule="auto"/>
        <w:ind w:left="223" w:right="219" w:firstLine="320"/>
        <w:jc w:val="both"/>
      </w:pPr>
      <w:r>
        <w:rPr>
          <w:color w:val="231F20"/>
          <w:w w:val="95"/>
        </w:rPr>
        <w:t>The technology of modern stadiums and arenas allows many sports</w:t>
      </w:r>
      <w:r>
        <w:rPr>
          <w:color w:val="231F20"/>
          <w:spacing w:val="40"/>
        </w:rPr>
        <w:t xml:space="preserve"> </w:t>
      </w:r>
      <w:r>
        <w:rPr>
          <w:color w:val="231F20"/>
        </w:rPr>
        <w:t>to be performed without interference or interruption caused by the natural elements. The extent to which sports may become detached from the influences of the weather is, in many cases, so com</w:t>
      </w:r>
      <w:r>
        <w:rPr>
          <w:color w:val="231F20"/>
        </w:rPr>
        <w:t>plete that sports managers may moderate the seasonal context of sports. The retractable stadium roof has significant implications for sport and tourism seasonality. Indeed, the first international rugby and cricket fixtures contested indoors took place out</w:t>
      </w:r>
      <w:r>
        <w:rPr>
          <w:color w:val="231F20"/>
        </w:rPr>
        <w:t xml:space="preserve"> of season at Millennium Stadium, Cardiff (Wales) in October 1999 and Colonial Stadium, Melbourne (Australia) in July 2001, respectively. The former features a playing surface that rests on pallets which can be removed and replaced when necessary. Followin</w:t>
      </w:r>
      <w:r>
        <w:rPr>
          <w:color w:val="231F20"/>
        </w:rPr>
        <w:t>g these vanguard examples, the cases</w:t>
      </w:r>
      <w:r>
        <w:rPr>
          <w:color w:val="231F20"/>
          <w:spacing w:val="-8"/>
        </w:rPr>
        <w:t xml:space="preserve"> </w:t>
      </w:r>
      <w:r>
        <w:rPr>
          <w:color w:val="231F20"/>
        </w:rPr>
        <w:t>of</w:t>
      </w:r>
      <w:r>
        <w:rPr>
          <w:color w:val="231F20"/>
          <w:spacing w:val="-8"/>
        </w:rPr>
        <w:t xml:space="preserve"> </w:t>
      </w:r>
      <w:r>
        <w:rPr>
          <w:color w:val="231F20"/>
        </w:rPr>
        <w:t>enclosed</w:t>
      </w:r>
      <w:r>
        <w:rPr>
          <w:color w:val="231F20"/>
          <w:spacing w:val="-8"/>
        </w:rPr>
        <w:t xml:space="preserve"> </w:t>
      </w:r>
      <w:r>
        <w:rPr>
          <w:color w:val="231F20"/>
        </w:rPr>
        <w:t>stadiums</w:t>
      </w:r>
      <w:r>
        <w:rPr>
          <w:color w:val="231F20"/>
          <w:spacing w:val="-8"/>
        </w:rPr>
        <w:t xml:space="preserve"> </w:t>
      </w:r>
      <w:r>
        <w:rPr>
          <w:color w:val="231F20"/>
        </w:rPr>
        <w:t>have</w:t>
      </w:r>
      <w:r>
        <w:rPr>
          <w:color w:val="231F20"/>
          <w:spacing w:val="-8"/>
        </w:rPr>
        <w:t xml:space="preserve"> </w:t>
      </w:r>
      <w:r>
        <w:rPr>
          <w:color w:val="231F20"/>
        </w:rPr>
        <w:t>proliferated</w:t>
      </w:r>
      <w:r>
        <w:rPr>
          <w:color w:val="231F20"/>
          <w:spacing w:val="-8"/>
        </w:rPr>
        <w:t xml:space="preserve"> </w:t>
      </w:r>
      <w:r>
        <w:rPr>
          <w:color w:val="231F20"/>
        </w:rPr>
        <w:t>worldwide.</w:t>
      </w:r>
      <w:r>
        <w:rPr>
          <w:color w:val="231F20"/>
          <w:spacing w:val="-8"/>
        </w:rPr>
        <w:t xml:space="preserve"> </w:t>
      </w:r>
      <w:r>
        <w:rPr>
          <w:color w:val="231F20"/>
        </w:rPr>
        <w:t>For</w:t>
      </w:r>
      <w:r>
        <w:rPr>
          <w:color w:val="231F20"/>
          <w:spacing w:val="-8"/>
        </w:rPr>
        <w:t xml:space="preserve"> </w:t>
      </w:r>
      <w:r>
        <w:rPr>
          <w:color w:val="231F20"/>
        </w:rPr>
        <w:t>example, Sapporo,</w:t>
      </w:r>
      <w:r>
        <w:rPr>
          <w:color w:val="231F20"/>
          <w:spacing w:val="-1"/>
        </w:rPr>
        <w:t xml:space="preserve"> </w:t>
      </w:r>
      <w:r>
        <w:rPr>
          <w:color w:val="231F20"/>
        </w:rPr>
        <w:t>situated</w:t>
      </w:r>
      <w:r>
        <w:rPr>
          <w:color w:val="231F20"/>
          <w:spacing w:val="-1"/>
        </w:rPr>
        <w:t xml:space="preserve"> </w:t>
      </w:r>
      <w:r>
        <w:rPr>
          <w:color w:val="231F20"/>
        </w:rPr>
        <w:t>in</w:t>
      </w:r>
      <w:r>
        <w:rPr>
          <w:color w:val="231F20"/>
          <w:spacing w:val="-1"/>
        </w:rPr>
        <w:t xml:space="preserve"> </w:t>
      </w:r>
      <w:r>
        <w:rPr>
          <w:color w:val="231F20"/>
        </w:rPr>
        <w:t>Hokkaido,</w:t>
      </w:r>
      <w:r>
        <w:rPr>
          <w:color w:val="231F20"/>
          <w:spacing w:val="-1"/>
        </w:rPr>
        <w:t xml:space="preserve"> </w:t>
      </w:r>
      <w:r>
        <w:rPr>
          <w:color w:val="231F20"/>
        </w:rPr>
        <w:t>Japan’s</w:t>
      </w:r>
      <w:r>
        <w:rPr>
          <w:color w:val="231F20"/>
          <w:spacing w:val="-1"/>
        </w:rPr>
        <w:t xml:space="preserve"> </w:t>
      </w:r>
      <w:r>
        <w:rPr>
          <w:color w:val="231F20"/>
        </w:rPr>
        <w:t>northern-most</w:t>
      </w:r>
      <w:r>
        <w:rPr>
          <w:color w:val="231F20"/>
          <w:spacing w:val="-1"/>
        </w:rPr>
        <w:t xml:space="preserve"> </w:t>
      </w:r>
      <w:r>
        <w:rPr>
          <w:color w:val="231F20"/>
        </w:rPr>
        <w:t>island,</w:t>
      </w:r>
      <w:r>
        <w:rPr>
          <w:color w:val="231F20"/>
          <w:spacing w:val="-1"/>
        </w:rPr>
        <w:t xml:space="preserve"> </w:t>
      </w:r>
      <w:r>
        <w:rPr>
          <w:color w:val="231F20"/>
        </w:rPr>
        <w:t>features a futuristic dome, where World Cup matches were played in 2002.</w:t>
      </w:r>
      <w:r>
        <w:rPr>
          <w:color w:val="231F20"/>
          <w:spacing w:val="40"/>
        </w:rPr>
        <w:t xml:space="preserve"> </w:t>
      </w:r>
      <w:r>
        <w:rPr>
          <w:color w:val="231F20"/>
          <w:w w:val="95"/>
        </w:rPr>
        <w:t>The</w:t>
      </w:r>
      <w:r>
        <w:rPr>
          <w:color w:val="231F20"/>
          <w:spacing w:val="22"/>
        </w:rPr>
        <w:t xml:space="preserve"> </w:t>
      </w:r>
      <w:r>
        <w:rPr>
          <w:color w:val="231F20"/>
          <w:w w:val="95"/>
        </w:rPr>
        <w:t>Sapporo</w:t>
      </w:r>
      <w:r>
        <w:rPr>
          <w:color w:val="231F20"/>
          <w:spacing w:val="23"/>
        </w:rPr>
        <w:t xml:space="preserve"> </w:t>
      </w:r>
      <w:r>
        <w:rPr>
          <w:color w:val="231F20"/>
          <w:w w:val="95"/>
        </w:rPr>
        <w:t>Dome</w:t>
      </w:r>
      <w:r>
        <w:rPr>
          <w:color w:val="231F20"/>
          <w:spacing w:val="23"/>
        </w:rPr>
        <w:t xml:space="preserve"> </w:t>
      </w:r>
      <w:r>
        <w:rPr>
          <w:color w:val="231F20"/>
          <w:w w:val="95"/>
        </w:rPr>
        <w:t>is</w:t>
      </w:r>
      <w:r>
        <w:rPr>
          <w:color w:val="231F20"/>
          <w:spacing w:val="23"/>
        </w:rPr>
        <w:t xml:space="preserve"> </w:t>
      </w:r>
      <w:r>
        <w:rPr>
          <w:color w:val="231F20"/>
          <w:w w:val="95"/>
        </w:rPr>
        <w:t>an</w:t>
      </w:r>
      <w:r>
        <w:rPr>
          <w:color w:val="231F20"/>
          <w:spacing w:val="23"/>
        </w:rPr>
        <w:t xml:space="preserve"> </w:t>
      </w:r>
      <w:r>
        <w:rPr>
          <w:color w:val="231F20"/>
          <w:w w:val="95"/>
        </w:rPr>
        <w:t>all-weather</w:t>
      </w:r>
      <w:r>
        <w:rPr>
          <w:color w:val="231F20"/>
          <w:spacing w:val="23"/>
        </w:rPr>
        <w:t xml:space="preserve"> </w:t>
      </w:r>
      <w:r>
        <w:rPr>
          <w:color w:val="231F20"/>
          <w:w w:val="95"/>
        </w:rPr>
        <w:t>covered</w:t>
      </w:r>
      <w:r>
        <w:rPr>
          <w:color w:val="231F20"/>
          <w:spacing w:val="23"/>
        </w:rPr>
        <w:t xml:space="preserve"> </w:t>
      </w:r>
      <w:r>
        <w:rPr>
          <w:color w:val="231F20"/>
          <w:w w:val="95"/>
        </w:rPr>
        <w:t>stadium</w:t>
      </w:r>
      <w:r>
        <w:rPr>
          <w:color w:val="231F20"/>
          <w:spacing w:val="23"/>
        </w:rPr>
        <w:t xml:space="preserve"> </w:t>
      </w:r>
      <w:r>
        <w:rPr>
          <w:color w:val="231F20"/>
          <w:w w:val="95"/>
        </w:rPr>
        <w:t>designed</w:t>
      </w:r>
      <w:r>
        <w:rPr>
          <w:color w:val="231F20"/>
          <w:spacing w:val="23"/>
        </w:rPr>
        <w:t xml:space="preserve"> </w:t>
      </w:r>
      <w:r>
        <w:rPr>
          <w:color w:val="231F20"/>
          <w:w w:val="95"/>
        </w:rPr>
        <w:t>with</w:t>
      </w:r>
      <w:r>
        <w:rPr>
          <w:color w:val="231F20"/>
          <w:spacing w:val="23"/>
        </w:rPr>
        <w:t xml:space="preserve"> </w:t>
      </w:r>
      <w:r>
        <w:rPr>
          <w:color w:val="231F20"/>
          <w:spacing w:val="-10"/>
          <w:w w:val="95"/>
        </w:rPr>
        <w:t>a</w:t>
      </w:r>
    </w:p>
    <w:p w14:paraId="5EC58019" w14:textId="77777777" w:rsidR="00AE0598" w:rsidRDefault="0069255A">
      <w:pPr>
        <w:spacing w:before="101"/>
        <w:ind w:right="221"/>
        <w:jc w:val="right"/>
        <w:rPr>
          <w:rFonts w:ascii="Trebuchet MS"/>
          <w:i/>
          <w:sz w:val="18"/>
        </w:rPr>
      </w:pPr>
      <w:r>
        <w:rPr>
          <w:rFonts w:ascii="Trebuchet MS"/>
          <w:i/>
          <w:color w:val="231F20"/>
          <w:spacing w:val="-2"/>
          <w:sz w:val="18"/>
        </w:rPr>
        <w:t>(Continued)</w:t>
      </w:r>
    </w:p>
    <w:p w14:paraId="59D01A7E" w14:textId="77777777" w:rsidR="00AE0598" w:rsidRDefault="00AE0598">
      <w:pPr>
        <w:jc w:val="right"/>
        <w:rPr>
          <w:rFonts w:ascii="Trebuchet MS"/>
          <w:sz w:val="18"/>
        </w:rPr>
        <w:sectPr w:rsidR="00AE0598">
          <w:pgSz w:w="8850" w:h="13270"/>
          <w:pgMar w:top="720" w:right="1080" w:bottom="280" w:left="1080" w:header="720" w:footer="720" w:gutter="0"/>
          <w:cols w:space="720"/>
        </w:sectPr>
      </w:pPr>
    </w:p>
    <w:p w14:paraId="1F9544B1" w14:textId="77777777" w:rsidR="00AE0598" w:rsidRDefault="0069255A">
      <w:pPr>
        <w:spacing w:before="87"/>
        <w:ind w:left="108"/>
        <w:rPr>
          <w:rFonts w:ascii="Trebuchet MS"/>
          <w:sz w:val="14"/>
        </w:rPr>
      </w:pPr>
      <w:r>
        <w:rPr>
          <w:rFonts w:ascii="Trebuchet MS"/>
          <w:color w:val="231F20"/>
          <w:w w:val="105"/>
          <w:sz w:val="14"/>
        </w:rPr>
        <w:lastRenderedPageBreak/>
        <w:t>14</w:t>
      </w:r>
      <w:r>
        <w:rPr>
          <w:rFonts w:ascii="Trebuchet MS"/>
          <w:color w:val="231F20"/>
          <w:spacing w:val="79"/>
          <w:w w:val="105"/>
          <w:sz w:val="14"/>
        </w:rPr>
        <w:t xml:space="preserve"> </w:t>
      </w:r>
      <w:r>
        <w:rPr>
          <w:rFonts w:ascii="Trebuchet MS"/>
          <w:color w:val="231F20"/>
          <w:w w:val="105"/>
          <w:sz w:val="14"/>
        </w:rPr>
        <w:t>Part</w:t>
      </w:r>
      <w:r>
        <w:rPr>
          <w:rFonts w:ascii="Trebuchet MS"/>
          <w:color w:val="231F20"/>
          <w:spacing w:val="-10"/>
          <w:w w:val="105"/>
          <w:sz w:val="14"/>
        </w:rPr>
        <w:t xml:space="preserve"> </w:t>
      </w:r>
      <w:r>
        <w:rPr>
          <w:rFonts w:ascii="Trebuchet MS"/>
          <w:color w:val="231F20"/>
          <w:w w:val="105"/>
          <w:sz w:val="14"/>
        </w:rPr>
        <w:t>1:</w:t>
      </w:r>
      <w:r>
        <w:rPr>
          <w:rFonts w:ascii="Trebuchet MS"/>
          <w:color w:val="231F20"/>
          <w:spacing w:val="-11"/>
          <w:w w:val="105"/>
          <w:sz w:val="14"/>
        </w:rPr>
        <w:t xml:space="preserve"> </w:t>
      </w:r>
      <w:r>
        <w:rPr>
          <w:rFonts w:ascii="Trebuchet MS"/>
          <w:color w:val="231F20"/>
          <w:spacing w:val="-2"/>
          <w:w w:val="105"/>
          <w:sz w:val="14"/>
        </w:rPr>
        <w:t>Introduction</w:t>
      </w:r>
    </w:p>
    <w:p w14:paraId="3C7909E0" w14:textId="73DF54B0" w:rsidR="00AE0598" w:rsidRDefault="0069255A">
      <w:pPr>
        <w:pStyle w:val="Corpodetexto"/>
        <w:spacing w:before="6"/>
        <w:rPr>
          <w:rFonts w:ascii="Trebuchet MS"/>
          <w:sz w:val="27"/>
        </w:rPr>
      </w:pPr>
      <w:r>
        <w:rPr>
          <w:noProof/>
        </w:rPr>
        <mc:AlternateContent>
          <mc:Choice Requires="wps">
            <w:drawing>
              <wp:anchor distT="0" distB="0" distL="0" distR="0" simplePos="0" relativeHeight="487598080" behindDoc="1" locked="0" layoutInCell="1" allowOverlap="1" wp14:anchorId="1BDE13A7" wp14:editId="797AB785">
                <wp:simplePos x="0" y="0"/>
                <wp:positionH relativeFrom="page">
                  <wp:posOffset>755650</wp:posOffset>
                </wp:positionH>
                <wp:positionV relativeFrom="paragraph">
                  <wp:posOffset>218440</wp:posOffset>
                </wp:positionV>
                <wp:extent cx="4104005" cy="3359785"/>
                <wp:effectExtent l="0" t="0" r="0" b="0"/>
                <wp:wrapTopAndBottom/>
                <wp:docPr id="355" name="docshape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04005" cy="3359785"/>
                        </a:xfrm>
                        <a:prstGeom prst="rect">
                          <a:avLst/>
                        </a:prstGeom>
                        <a:solidFill>
                          <a:srgbClr val="DCDDD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D81FB84" w14:textId="77777777" w:rsidR="00AE0598" w:rsidRDefault="0069255A">
                            <w:pPr>
                              <w:spacing w:before="79"/>
                              <w:ind w:left="113"/>
                              <w:jc w:val="both"/>
                              <w:rPr>
                                <w:rFonts w:ascii="Trebuchet MS"/>
                                <w:color w:val="000000"/>
                                <w:sz w:val="18"/>
                              </w:rPr>
                            </w:pPr>
                            <w:r>
                              <w:rPr>
                                <w:rFonts w:ascii="Trebuchet MS"/>
                                <w:color w:val="231F20"/>
                                <w:sz w:val="18"/>
                              </w:rPr>
                              <w:t>Focus</w:t>
                            </w:r>
                            <w:r>
                              <w:rPr>
                                <w:rFonts w:ascii="Trebuchet MS"/>
                                <w:color w:val="231F20"/>
                                <w:spacing w:val="-1"/>
                                <w:sz w:val="18"/>
                              </w:rPr>
                              <w:t xml:space="preserve"> </w:t>
                            </w:r>
                            <w:r>
                              <w:rPr>
                                <w:rFonts w:ascii="Trebuchet MS"/>
                                <w:color w:val="231F20"/>
                                <w:sz w:val="18"/>
                              </w:rPr>
                              <w:t>Point</w:t>
                            </w:r>
                            <w:r>
                              <w:rPr>
                                <w:rFonts w:ascii="Trebuchet MS"/>
                                <w:color w:val="231F20"/>
                                <w:spacing w:val="-1"/>
                                <w:sz w:val="18"/>
                              </w:rPr>
                              <w:t xml:space="preserve"> </w:t>
                            </w:r>
                            <w:r>
                              <w:rPr>
                                <w:rFonts w:ascii="Trebuchet MS"/>
                                <w:color w:val="231F20"/>
                                <w:sz w:val="18"/>
                              </w:rPr>
                              <w:t>1.3:</w:t>
                            </w:r>
                            <w:r>
                              <w:rPr>
                                <w:rFonts w:ascii="Trebuchet MS"/>
                                <w:color w:val="231F20"/>
                                <w:spacing w:val="-2"/>
                                <w:sz w:val="18"/>
                              </w:rPr>
                              <w:t xml:space="preserve"> (Continued)</w:t>
                            </w:r>
                          </w:p>
                          <w:p w14:paraId="4E9AA08A" w14:textId="77777777" w:rsidR="00AE0598" w:rsidRDefault="00AE0598">
                            <w:pPr>
                              <w:pStyle w:val="Corpodetexto"/>
                              <w:spacing w:before="10"/>
                              <w:rPr>
                                <w:rFonts w:ascii="Trebuchet MS"/>
                                <w:color w:val="000000"/>
                                <w:sz w:val="16"/>
                              </w:rPr>
                            </w:pPr>
                          </w:p>
                          <w:p w14:paraId="1D0DA0B5" w14:textId="77777777" w:rsidR="00AE0598" w:rsidRDefault="0069255A">
                            <w:pPr>
                              <w:pStyle w:val="Corpodetexto"/>
                              <w:spacing w:line="232" w:lineRule="auto"/>
                              <w:ind w:left="113" w:right="108"/>
                              <w:jc w:val="both"/>
                              <w:rPr>
                                <w:color w:val="000000"/>
                              </w:rPr>
                            </w:pPr>
                            <w:r>
                              <w:rPr>
                                <w:color w:val="231F20"/>
                                <w:w w:val="95"/>
                              </w:rPr>
                              <w:t xml:space="preserve">view to the local climate conditions, particularly heavy snow in winter. </w:t>
                            </w:r>
                            <w:r>
                              <w:rPr>
                                <w:color w:val="231F20"/>
                              </w:rPr>
                              <w:t>This hi-tech facility, which combines indoor and outdoor arenas and an</w:t>
                            </w:r>
                            <w:r>
                              <w:rPr>
                                <w:color w:val="231F20"/>
                                <w:spacing w:val="-4"/>
                              </w:rPr>
                              <w:t xml:space="preserve"> </w:t>
                            </w:r>
                            <w:r>
                              <w:rPr>
                                <w:color w:val="231F20"/>
                              </w:rPr>
                              <w:t>unprecedented</w:t>
                            </w:r>
                            <w:r>
                              <w:rPr>
                                <w:color w:val="231F20"/>
                                <w:spacing w:val="-4"/>
                              </w:rPr>
                              <w:t xml:space="preserve"> </w:t>
                            </w:r>
                            <w:r>
                              <w:rPr>
                                <w:color w:val="231F20"/>
                              </w:rPr>
                              <w:t>hovering</w:t>
                            </w:r>
                            <w:r>
                              <w:rPr>
                                <w:color w:val="231F20"/>
                                <w:spacing w:val="-4"/>
                              </w:rPr>
                              <w:t xml:space="preserve"> </w:t>
                            </w:r>
                            <w:r>
                              <w:rPr>
                                <w:color w:val="231F20"/>
                              </w:rPr>
                              <w:t>football</w:t>
                            </w:r>
                            <w:r>
                              <w:rPr>
                                <w:color w:val="231F20"/>
                                <w:spacing w:val="-4"/>
                              </w:rPr>
                              <w:t xml:space="preserve"> </w:t>
                            </w:r>
                            <w:r>
                              <w:rPr>
                                <w:color w:val="231F20"/>
                              </w:rPr>
                              <w:t>stage,</w:t>
                            </w:r>
                            <w:r>
                              <w:rPr>
                                <w:color w:val="231F20"/>
                                <w:spacing w:val="-4"/>
                              </w:rPr>
                              <w:t xml:space="preserve"> </w:t>
                            </w:r>
                            <w:r>
                              <w:rPr>
                                <w:color w:val="231F20"/>
                              </w:rPr>
                              <w:t>makes</w:t>
                            </w:r>
                            <w:r>
                              <w:rPr>
                                <w:color w:val="231F20"/>
                                <w:spacing w:val="-4"/>
                              </w:rPr>
                              <w:t xml:space="preserve"> </w:t>
                            </w:r>
                            <w:r>
                              <w:rPr>
                                <w:color w:val="231F20"/>
                              </w:rPr>
                              <w:t>it</w:t>
                            </w:r>
                            <w:r>
                              <w:rPr>
                                <w:color w:val="231F20"/>
                                <w:spacing w:val="-4"/>
                              </w:rPr>
                              <w:t xml:space="preserve"> </w:t>
                            </w:r>
                            <w:r>
                              <w:rPr>
                                <w:color w:val="231F20"/>
                              </w:rPr>
                              <w:t>possible</w:t>
                            </w:r>
                            <w:r>
                              <w:rPr>
                                <w:color w:val="231F20"/>
                                <w:spacing w:val="-4"/>
                              </w:rPr>
                              <w:t xml:space="preserve"> </w:t>
                            </w:r>
                            <w:r>
                              <w:rPr>
                                <w:color w:val="231F20"/>
                              </w:rPr>
                              <w:t>to</w:t>
                            </w:r>
                            <w:r>
                              <w:rPr>
                                <w:color w:val="231F20"/>
                                <w:spacing w:val="-4"/>
                              </w:rPr>
                              <w:t xml:space="preserve"> </w:t>
                            </w:r>
                            <w:r>
                              <w:rPr>
                                <w:color w:val="231F20"/>
                              </w:rPr>
                              <w:t>play</w:t>
                            </w:r>
                            <w:r>
                              <w:rPr>
                                <w:color w:val="231F20"/>
                                <w:spacing w:val="-4"/>
                              </w:rPr>
                              <w:t xml:space="preserve"> </w:t>
                            </w:r>
                            <w:r>
                              <w:rPr>
                                <w:color w:val="231F20"/>
                              </w:rPr>
                              <w:t xml:space="preserve">at any time of year regardless of the weather. </w:t>
                            </w:r>
                            <w:r>
                              <w:rPr>
                                <w:color w:val="231F20"/>
                              </w:rPr>
                              <w:t>The natural grass playing surface can be moved in and out of the stadium, being kept outside the dome to allow the grass to grow when not in use and then moved inside</w:t>
                            </w:r>
                            <w:r>
                              <w:rPr>
                                <w:color w:val="231F20"/>
                                <w:spacing w:val="-4"/>
                              </w:rPr>
                              <w:t xml:space="preserve"> </w:t>
                            </w:r>
                            <w:r>
                              <w:rPr>
                                <w:color w:val="231F20"/>
                              </w:rPr>
                              <w:t>when</w:t>
                            </w:r>
                            <w:r>
                              <w:rPr>
                                <w:color w:val="231F20"/>
                                <w:spacing w:val="-4"/>
                              </w:rPr>
                              <w:t xml:space="preserve"> </w:t>
                            </w:r>
                            <w:r>
                              <w:rPr>
                                <w:color w:val="231F20"/>
                              </w:rPr>
                              <w:t>needed.</w:t>
                            </w:r>
                            <w:r>
                              <w:rPr>
                                <w:color w:val="231F20"/>
                                <w:spacing w:val="-4"/>
                              </w:rPr>
                              <w:t xml:space="preserve"> </w:t>
                            </w:r>
                            <w:r>
                              <w:rPr>
                                <w:color w:val="231F20"/>
                              </w:rPr>
                              <w:t>The</w:t>
                            </w:r>
                            <w:r>
                              <w:rPr>
                                <w:color w:val="231F20"/>
                                <w:spacing w:val="-4"/>
                              </w:rPr>
                              <w:t xml:space="preserve"> </w:t>
                            </w:r>
                            <w:r>
                              <w:rPr>
                                <w:color w:val="231F20"/>
                              </w:rPr>
                              <w:t>entire</w:t>
                            </w:r>
                            <w:r>
                              <w:rPr>
                                <w:color w:val="231F20"/>
                                <w:spacing w:val="-4"/>
                              </w:rPr>
                              <w:t xml:space="preserve"> </w:t>
                            </w:r>
                            <w:r>
                              <w:rPr>
                                <w:color w:val="231F20"/>
                              </w:rPr>
                              <w:t>lower</w:t>
                            </w:r>
                            <w:r>
                              <w:rPr>
                                <w:color w:val="231F20"/>
                                <w:spacing w:val="-4"/>
                              </w:rPr>
                              <w:t xml:space="preserve"> </w:t>
                            </w:r>
                            <w:r>
                              <w:rPr>
                                <w:color w:val="231F20"/>
                              </w:rPr>
                              <w:t>section</w:t>
                            </w:r>
                            <w:r>
                              <w:rPr>
                                <w:color w:val="231F20"/>
                                <w:spacing w:val="-4"/>
                              </w:rPr>
                              <w:t xml:space="preserve"> </w:t>
                            </w:r>
                            <w:r>
                              <w:rPr>
                                <w:color w:val="231F20"/>
                              </w:rPr>
                              <w:t>of</w:t>
                            </w:r>
                            <w:r>
                              <w:rPr>
                                <w:color w:val="231F20"/>
                                <w:spacing w:val="-4"/>
                              </w:rPr>
                              <w:t xml:space="preserve"> </w:t>
                            </w:r>
                            <w:r>
                              <w:rPr>
                                <w:color w:val="231F20"/>
                              </w:rPr>
                              <w:t>the</w:t>
                            </w:r>
                            <w:r>
                              <w:rPr>
                                <w:color w:val="231F20"/>
                                <w:spacing w:val="-4"/>
                              </w:rPr>
                              <w:t xml:space="preserve"> </w:t>
                            </w:r>
                            <w:r>
                              <w:rPr>
                                <w:color w:val="231F20"/>
                              </w:rPr>
                              <w:t>field</w:t>
                            </w:r>
                            <w:r>
                              <w:rPr>
                                <w:color w:val="231F20"/>
                                <w:spacing w:val="-4"/>
                              </w:rPr>
                              <w:t xml:space="preserve"> </w:t>
                            </w:r>
                            <w:r>
                              <w:rPr>
                                <w:color w:val="231F20"/>
                              </w:rPr>
                              <w:t>is</w:t>
                            </w:r>
                            <w:r>
                              <w:rPr>
                                <w:color w:val="231F20"/>
                                <w:spacing w:val="-4"/>
                              </w:rPr>
                              <w:t xml:space="preserve"> </w:t>
                            </w:r>
                            <w:r>
                              <w:rPr>
                                <w:color w:val="231F20"/>
                              </w:rPr>
                              <w:t>rolled</w:t>
                            </w:r>
                            <w:r>
                              <w:rPr>
                                <w:color w:val="231F20"/>
                                <w:spacing w:val="-4"/>
                              </w:rPr>
                              <w:t xml:space="preserve"> </w:t>
                            </w:r>
                            <w:r>
                              <w:rPr>
                                <w:color w:val="231F20"/>
                              </w:rPr>
                              <w:t>into the dome on a cushion o</w:t>
                            </w:r>
                            <w:r>
                              <w:rPr>
                                <w:color w:val="231F20"/>
                              </w:rPr>
                              <w:t xml:space="preserve">f air. As it does so, a rotating seat system </w:t>
                            </w:r>
                            <w:r>
                              <w:rPr>
                                <w:color w:val="231F20"/>
                                <w:w w:val="95"/>
                              </w:rPr>
                              <w:t xml:space="preserve">moves aside before the pitch turns sideways on its axis and the seating </w:t>
                            </w:r>
                            <w:r>
                              <w:rPr>
                                <w:color w:val="231F20"/>
                              </w:rPr>
                              <w:t>areas</w:t>
                            </w:r>
                            <w:r>
                              <w:rPr>
                                <w:color w:val="231F20"/>
                                <w:spacing w:val="-2"/>
                              </w:rPr>
                              <w:t xml:space="preserve"> </w:t>
                            </w:r>
                            <w:r>
                              <w:rPr>
                                <w:color w:val="231F20"/>
                              </w:rPr>
                              <w:t>automatically</w:t>
                            </w:r>
                            <w:r>
                              <w:rPr>
                                <w:color w:val="231F20"/>
                                <w:spacing w:val="-2"/>
                              </w:rPr>
                              <w:t xml:space="preserve"> </w:t>
                            </w:r>
                            <w:r>
                              <w:rPr>
                                <w:color w:val="231F20"/>
                              </w:rPr>
                              <w:t>slide</w:t>
                            </w:r>
                            <w:r>
                              <w:rPr>
                                <w:color w:val="231F20"/>
                                <w:spacing w:val="-2"/>
                              </w:rPr>
                              <w:t xml:space="preserve"> </w:t>
                            </w:r>
                            <w:r>
                              <w:rPr>
                                <w:color w:val="231F20"/>
                              </w:rPr>
                              <w:t>back</w:t>
                            </w:r>
                            <w:r>
                              <w:rPr>
                                <w:color w:val="231F20"/>
                                <w:spacing w:val="-2"/>
                              </w:rPr>
                              <w:t xml:space="preserve"> </w:t>
                            </w:r>
                            <w:r>
                              <w:rPr>
                                <w:color w:val="231F20"/>
                              </w:rPr>
                              <w:t>into</w:t>
                            </w:r>
                            <w:r>
                              <w:rPr>
                                <w:color w:val="231F20"/>
                                <w:spacing w:val="-2"/>
                              </w:rPr>
                              <w:t xml:space="preserve"> </w:t>
                            </w:r>
                            <w:r>
                              <w:rPr>
                                <w:color w:val="231F20"/>
                              </w:rPr>
                              <w:t>place.</w:t>
                            </w:r>
                            <w:r>
                              <w:rPr>
                                <w:color w:val="231F20"/>
                                <w:spacing w:val="-2"/>
                              </w:rPr>
                              <w:t xml:space="preserve"> </w:t>
                            </w:r>
                            <w:r>
                              <w:rPr>
                                <w:color w:val="231F20"/>
                              </w:rPr>
                              <w:t>The</w:t>
                            </w:r>
                            <w:r>
                              <w:rPr>
                                <w:color w:val="231F20"/>
                                <w:spacing w:val="-2"/>
                              </w:rPr>
                              <w:t xml:space="preserve"> </w:t>
                            </w:r>
                            <w:r>
                              <w:rPr>
                                <w:color w:val="231F20"/>
                              </w:rPr>
                              <w:t>entire</w:t>
                            </w:r>
                            <w:r>
                              <w:rPr>
                                <w:color w:val="231F20"/>
                                <w:spacing w:val="-2"/>
                              </w:rPr>
                              <w:t xml:space="preserve"> </w:t>
                            </w:r>
                            <w:r>
                              <w:rPr>
                                <w:color w:val="231F20"/>
                              </w:rPr>
                              <w:t>manoeuvre</w:t>
                            </w:r>
                            <w:r>
                              <w:rPr>
                                <w:color w:val="231F20"/>
                                <w:spacing w:val="-2"/>
                              </w:rPr>
                              <w:t xml:space="preserve"> </w:t>
                            </w:r>
                            <w:r>
                              <w:rPr>
                                <w:color w:val="231F20"/>
                              </w:rPr>
                              <w:t xml:space="preserve">takes two hours to complete. The air inside is moderated and controlled by </w:t>
                            </w:r>
                            <w:r>
                              <w:rPr>
                                <w:color w:val="231F20"/>
                              </w:rPr>
                              <w:t>air-conditioning and a natural ventilation system in summer, while spectators</w:t>
                            </w:r>
                            <w:r>
                              <w:rPr>
                                <w:color w:val="231F20"/>
                                <w:spacing w:val="-6"/>
                              </w:rPr>
                              <w:t xml:space="preserve"> </w:t>
                            </w:r>
                            <w:r>
                              <w:rPr>
                                <w:color w:val="231F20"/>
                              </w:rPr>
                              <w:t>are</w:t>
                            </w:r>
                            <w:r>
                              <w:rPr>
                                <w:color w:val="231F20"/>
                                <w:spacing w:val="-6"/>
                              </w:rPr>
                              <w:t xml:space="preserve"> </w:t>
                            </w:r>
                            <w:r>
                              <w:rPr>
                                <w:color w:val="231F20"/>
                              </w:rPr>
                              <w:t>kept</w:t>
                            </w:r>
                            <w:r>
                              <w:rPr>
                                <w:color w:val="231F20"/>
                                <w:spacing w:val="-6"/>
                              </w:rPr>
                              <w:t xml:space="preserve"> </w:t>
                            </w:r>
                            <w:r>
                              <w:rPr>
                                <w:color w:val="231F20"/>
                              </w:rPr>
                              <w:t>comfortable</w:t>
                            </w:r>
                            <w:r>
                              <w:rPr>
                                <w:color w:val="231F20"/>
                                <w:spacing w:val="-6"/>
                              </w:rPr>
                              <w:t xml:space="preserve"> </w:t>
                            </w:r>
                            <w:r>
                              <w:rPr>
                                <w:color w:val="231F20"/>
                              </w:rPr>
                              <w:t>in</w:t>
                            </w:r>
                            <w:r>
                              <w:rPr>
                                <w:color w:val="231F20"/>
                                <w:spacing w:val="-6"/>
                              </w:rPr>
                              <w:t xml:space="preserve"> </w:t>
                            </w:r>
                            <w:r>
                              <w:rPr>
                                <w:color w:val="231F20"/>
                              </w:rPr>
                              <w:t>winter</w:t>
                            </w:r>
                            <w:r>
                              <w:rPr>
                                <w:color w:val="231F20"/>
                                <w:spacing w:val="-6"/>
                              </w:rPr>
                              <w:t xml:space="preserve"> </w:t>
                            </w:r>
                            <w:r>
                              <w:rPr>
                                <w:color w:val="231F20"/>
                              </w:rPr>
                              <w:t>by</w:t>
                            </w:r>
                            <w:r>
                              <w:rPr>
                                <w:color w:val="231F20"/>
                                <w:spacing w:val="-6"/>
                              </w:rPr>
                              <w:t xml:space="preserve"> </w:t>
                            </w:r>
                            <w:r>
                              <w:rPr>
                                <w:color w:val="231F20"/>
                              </w:rPr>
                              <w:t>a</w:t>
                            </w:r>
                            <w:r>
                              <w:rPr>
                                <w:color w:val="231F20"/>
                                <w:spacing w:val="-6"/>
                              </w:rPr>
                              <w:t xml:space="preserve"> </w:t>
                            </w:r>
                            <w:r>
                              <w:rPr>
                                <w:color w:val="231F20"/>
                              </w:rPr>
                              <w:t>heating</w:t>
                            </w:r>
                            <w:r>
                              <w:rPr>
                                <w:color w:val="231F20"/>
                                <w:spacing w:val="-6"/>
                              </w:rPr>
                              <w:t xml:space="preserve"> </w:t>
                            </w:r>
                            <w:r>
                              <w:rPr>
                                <w:color w:val="231F20"/>
                              </w:rPr>
                              <w:t>system</w:t>
                            </w:r>
                            <w:r>
                              <w:rPr>
                                <w:color w:val="231F20"/>
                                <w:spacing w:val="-6"/>
                              </w:rPr>
                              <w:t xml:space="preserve"> </w:t>
                            </w:r>
                            <w:r>
                              <w:rPr>
                                <w:color w:val="231F20"/>
                              </w:rPr>
                              <w:t>applied directly to the seats. The ‘hovering stage’ and ‘moving wall’ features allow the natural turf soccer pitch to be replaced with a baseball diamond</w:t>
                            </w:r>
                            <w:r>
                              <w:rPr>
                                <w:color w:val="231F20"/>
                                <w:spacing w:val="-2"/>
                              </w:rPr>
                              <w:t xml:space="preserve"> </w:t>
                            </w:r>
                            <w:r>
                              <w:rPr>
                                <w:color w:val="231F20"/>
                              </w:rPr>
                              <w:t>and</w:t>
                            </w:r>
                            <w:r>
                              <w:rPr>
                                <w:color w:val="231F20"/>
                                <w:spacing w:val="-2"/>
                              </w:rPr>
                              <w:t xml:space="preserve"> </w:t>
                            </w:r>
                            <w:r>
                              <w:rPr>
                                <w:color w:val="231F20"/>
                              </w:rPr>
                              <w:t>outfield,</w:t>
                            </w:r>
                            <w:r>
                              <w:rPr>
                                <w:color w:val="231F20"/>
                                <w:spacing w:val="-2"/>
                              </w:rPr>
                              <w:t xml:space="preserve"> </w:t>
                            </w:r>
                            <w:r>
                              <w:rPr>
                                <w:color w:val="231F20"/>
                              </w:rPr>
                              <w:t>with</w:t>
                            </w:r>
                            <w:r>
                              <w:rPr>
                                <w:color w:val="231F20"/>
                                <w:spacing w:val="-2"/>
                              </w:rPr>
                              <w:t xml:space="preserve"> </w:t>
                            </w:r>
                            <w:r>
                              <w:rPr>
                                <w:color w:val="231F20"/>
                              </w:rPr>
                              <w:t>the</w:t>
                            </w:r>
                            <w:r>
                              <w:rPr>
                                <w:color w:val="231F20"/>
                                <w:spacing w:val="-2"/>
                              </w:rPr>
                              <w:t xml:space="preserve"> </w:t>
                            </w:r>
                            <w:r>
                              <w:rPr>
                                <w:color w:val="231F20"/>
                              </w:rPr>
                              <w:t>open</w:t>
                            </w:r>
                            <w:r>
                              <w:rPr>
                                <w:color w:val="231F20"/>
                                <w:spacing w:val="-2"/>
                              </w:rPr>
                              <w:t xml:space="preserve"> </w:t>
                            </w:r>
                            <w:r>
                              <w:rPr>
                                <w:color w:val="231F20"/>
                              </w:rPr>
                              <w:t>area</w:t>
                            </w:r>
                            <w:r>
                              <w:rPr>
                                <w:color w:val="231F20"/>
                                <w:spacing w:val="-2"/>
                              </w:rPr>
                              <w:t xml:space="preserve"> </w:t>
                            </w:r>
                            <w:r>
                              <w:rPr>
                                <w:color w:val="231F20"/>
                              </w:rPr>
                              <w:t>outside</w:t>
                            </w:r>
                            <w:r>
                              <w:rPr>
                                <w:color w:val="231F20"/>
                                <w:spacing w:val="-2"/>
                              </w:rPr>
                              <w:t xml:space="preserve"> </w:t>
                            </w:r>
                            <w:r>
                              <w:rPr>
                                <w:color w:val="231F20"/>
                              </w:rPr>
                              <w:t>the</w:t>
                            </w:r>
                            <w:r>
                              <w:rPr>
                                <w:color w:val="231F20"/>
                                <w:spacing w:val="-2"/>
                              </w:rPr>
                              <w:t xml:space="preserve"> </w:t>
                            </w:r>
                            <w:r>
                              <w:rPr>
                                <w:color w:val="231F20"/>
                              </w:rPr>
                              <w:t>stadium</w:t>
                            </w:r>
                            <w:r>
                              <w:rPr>
                                <w:color w:val="231F20"/>
                                <w:spacing w:val="-2"/>
                              </w:rPr>
                              <w:t xml:space="preserve"> </w:t>
                            </w:r>
                            <w:r>
                              <w:rPr>
                                <w:color w:val="231F20"/>
                              </w:rPr>
                              <w:t>used</w:t>
                            </w:r>
                            <w:r>
                              <w:rPr>
                                <w:color w:val="231F20"/>
                                <w:spacing w:val="-2"/>
                              </w:rPr>
                              <w:t xml:space="preserve"> </w:t>
                            </w:r>
                            <w:r>
                              <w:rPr>
                                <w:color w:val="231F20"/>
                              </w:rPr>
                              <w:t xml:space="preserve">to grow the turf when the stadium is not in </w:t>
                            </w:r>
                            <w:r>
                              <w:rPr>
                                <w:color w:val="231F20"/>
                              </w:rPr>
                              <w:t>use.</w:t>
                            </w:r>
                          </w:p>
                          <w:p w14:paraId="2EDAF9AD" w14:textId="77777777" w:rsidR="00AE0598" w:rsidRDefault="0069255A">
                            <w:pPr>
                              <w:pStyle w:val="Corpodetexto"/>
                              <w:spacing w:before="180" w:line="232" w:lineRule="auto"/>
                              <w:ind w:left="113" w:right="109"/>
                              <w:jc w:val="both"/>
                              <w:rPr>
                                <w:color w:val="000000"/>
                              </w:rPr>
                            </w:pPr>
                            <w:r>
                              <w:rPr>
                                <w:color w:val="231F20"/>
                                <w:w w:val="95"/>
                              </w:rPr>
                              <w:t xml:space="preserve">Source: </w:t>
                            </w:r>
                            <w:hyperlink r:id="rId24">
                              <w:r>
                                <w:rPr>
                                  <w:color w:val="231F20"/>
                                  <w:spacing w:val="-2"/>
                                  <w:w w:val="97"/>
                                </w:rPr>
                                <w:t>h</w:t>
                              </w:r>
                              <w:r>
                                <w:rPr>
                                  <w:color w:val="231F20"/>
                                  <w:spacing w:val="5"/>
                                  <w:w w:val="96"/>
                                </w:rPr>
                                <w:t>t</w:t>
                              </w:r>
                              <w:r>
                                <w:rPr>
                                  <w:color w:val="231F20"/>
                                  <w:spacing w:val="4"/>
                                  <w:w w:val="96"/>
                                </w:rPr>
                                <w:t>t</w:t>
                              </w:r>
                              <w:r>
                                <w:rPr>
                                  <w:color w:val="231F20"/>
                                  <w:spacing w:val="-2"/>
                                  <w:w w:val="96"/>
                                </w:rPr>
                                <w:t>p</w:t>
                              </w:r>
                              <w:r>
                                <w:rPr>
                                  <w:color w:val="231F20"/>
                                  <w:spacing w:val="6"/>
                                  <w:w w:val="103"/>
                                </w:rPr>
                                <w:t>:</w:t>
                              </w:r>
                              <w:r>
                                <w:rPr>
                                  <w:color w:val="231F20"/>
                                  <w:spacing w:val="-4"/>
                                  <w:w w:val="58"/>
                                </w:rPr>
                                <w:t>/</w:t>
                              </w:r>
                              <w:r>
                                <w:rPr>
                                  <w:color w:val="231F20"/>
                                  <w:spacing w:val="-2"/>
                                  <w:w w:val="58"/>
                                </w:rPr>
                                <w:t>/</w:t>
                              </w:r>
                              <w:r>
                                <w:rPr>
                                  <w:color w:val="231F20"/>
                                  <w:w w:val="92"/>
                                </w:rPr>
                                <w:t>f</w:t>
                              </w:r>
                              <w:r>
                                <w:rPr>
                                  <w:color w:val="231F20"/>
                                  <w:spacing w:val="8"/>
                                  <w:w w:val="92"/>
                                </w:rPr>
                                <w:t>i</w:t>
                              </w:r>
                              <w:r>
                                <w:rPr>
                                  <w:color w:val="231F20"/>
                                  <w:w w:val="107"/>
                                </w:rPr>
                                <w:t>f</w:t>
                              </w:r>
                              <w:r>
                                <w:rPr>
                                  <w:color w:val="231F20"/>
                                  <w:spacing w:val="-5"/>
                                  <w:w w:val="99"/>
                                </w:rPr>
                                <w:t>a</w:t>
                              </w:r>
                              <w:r>
                                <w:rPr>
                                  <w:color w:val="231F20"/>
                                  <w:spacing w:val="-4"/>
                                  <w:w w:val="97"/>
                                </w:rPr>
                                <w:t>w</w:t>
                              </w:r>
                              <w:r>
                                <w:rPr>
                                  <w:color w:val="231F20"/>
                                  <w:spacing w:val="-1"/>
                                  <w:w w:val="101"/>
                                </w:rPr>
                                <w:t>o</w:t>
                              </w:r>
                              <w:r>
                                <w:rPr>
                                  <w:color w:val="231F20"/>
                                  <w:spacing w:val="-2"/>
                                  <w:w w:val="91"/>
                                </w:rPr>
                                <w:t>r</w:t>
                              </w:r>
                              <w:r>
                                <w:rPr>
                                  <w:color w:val="231F20"/>
                                  <w:spacing w:val="-1"/>
                                </w:rPr>
                                <w:t>l</w:t>
                              </w:r>
                              <w:r>
                                <w:rPr>
                                  <w:color w:val="231F20"/>
                                  <w:spacing w:val="-1"/>
                                  <w:w w:val="96"/>
                                </w:rPr>
                                <w:t>d</w:t>
                              </w:r>
                              <w:r>
                                <w:rPr>
                                  <w:color w:val="231F20"/>
                                  <w:spacing w:val="3"/>
                                  <w:w w:val="97"/>
                                </w:rPr>
                                <w:t>c</w:t>
                              </w:r>
                              <w:r>
                                <w:rPr>
                                  <w:color w:val="231F20"/>
                                  <w:spacing w:val="-1"/>
                                  <w:w w:val="97"/>
                                </w:rPr>
                                <w:t>u</w:t>
                              </w:r>
                              <w:r>
                                <w:rPr>
                                  <w:color w:val="231F20"/>
                                  <w:spacing w:val="-3"/>
                                  <w:w w:val="96"/>
                                </w:rPr>
                                <w:t>p</w:t>
                              </w:r>
                              <w:r>
                                <w:rPr>
                                  <w:color w:val="231F20"/>
                                  <w:spacing w:val="-10"/>
                                  <w:w w:val="133"/>
                                </w:rPr>
                                <w:t>.</w:t>
                              </w:r>
                              <w:r>
                                <w:rPr>
                                  <w:color w:val="231F20"/>
                                  <w:spacing w:val="-4"/>
                                  <w:w w:val="96"/>
                                </w:rPr>
                                <w:t>y</w:t>
                              </w:r>
                              <w:r>
                                <w:rPr>
                                  <w:color w:val="231F20"/>
                                  <w:spacing w:val="4"/>
                                  <w:w w:val="99"/>
                                </w:rPr>
                                <w:t>a</w:t>
                              </w:r>
                              <w:r>
                                <w:rPr>
                                  <w:color w:val="231F20"/>
                                  <w:spacing w:val="-1"/>
                                  <w:w w:val="97"/>
                                </w:rPr>
                                <w:t>h</w:t>
                              </w:r>
                              <w:r>
                                <w:rPr>
                                  <w:color w:val="231F20"/>
                                  <w:spacing w:val="2"/>
                                  <w:w w:val="101"/>
                                </w:rPr>
                                <w:t>o</w:t>
                              </w:r>
                              <w:r>
                                <w:rPr>
                                  <w:color w:val="231F20"/>
                                  <w:spacing w:val="-1"/>
                                  <w:w w:val="101"/>
                                </w:rPr>
                                <w:t>o</w:t>
                              </w:r>
                              <w:r>
                                <w:rPr>
                                  <w:color w:val="231F20"/>
                                  <w:w w:val="133"/>
                                </w:rPr>
                                <w:t>.</w:t>
                              </w:r>
                              <w:r>
                                <w:rPr>
                                  <w:color w:val="231F20"/>
                                  <w:spacing w:val="1"/>
                                  <w:w w:val="97"/>
                                </w:rPr>
                                <w:t>c</w:t>
                              </w:r>
                              <w:r>
                                <w:rPr>
                                  <w:color w:val="231F20"/>
                                  <w:spacing w:val="-2"/>
                                  <w:w w:val="101"/>
                                </w:rPr>
                                <w:t>o</w:t>
                              </w:r>
                              <w:r>
                                <w:rPr>
                                  <w:color w:val="231F20"/>
                                  <w:spacing w:val="9"/>
                                  <w:w w:val="97"/>
                                </w:rPr>
                                <w:t>m</w:t>
                              </w:r>
                              <w:r>
                                <w:rPr>
                                  <w:color w:val="231F20"/>
                                  <w:spacing w:val="-6"/>
                                  <w:w w:val="58"/>
                                </w:rPr>
                                <w:t>/</w:t>
                              </w:r>
                              <w:r>
                                <w:rPr>
                                  <w:color w:val="231F20"/>
                                  <w:spacing w:val="1"/>
                                  <w:w w:val="88"/>
                                </w:rPr>
                                <w:t>e</w:t>
                              </w:r>
                              <w:r>
                                <w:rPr>
                                  <w:color w:val="231F20"/>
                                  <w:spacing w:val="9"/>
                                  <w:w w:val="96"/>
                                </w:rPr>
                                <w:t>n</w:t>
                              </w:r>
                              <w:r>
                                <w:rPr>
                                  <w:color w:val="231F20"/>
                                  <w:spacing w:val="-7"/>
                                  <w:w w:val="58"/>
                                </w:rPr>
                                <w:t>/</w:t>
                              </w:r>
                              <w:r>
                                <w:rPr>
                                  <w:color w:val="231F20"/>
                                  <w:spacing w:val="2"/>
                                  <w:w w:val="97"/>
                                </w:rPr>
                                <w:t>d</w:t>
                              </w:r>
                              <w:r>
                                <w:rPr>
                                  <w:color w:val="231F20"/>
                                  <w:spacing w:val="8"/>
                                  <w:w w:val="97"/>
                                </w:rPr>
                                <w:t>a</w:t>
                              </w:r>
                              <w:r>
                                <w:rPr>
                                  <w:color w:val="231F20"/>
                                  <w:spacing w:val="-8"/>
                                  <w:w w:val="58"/>
                                </w:rPr>
                                <w:t>/</w:t>
                              </w:r>
                              <w:r>
                                <w:rPr>
                                  <w:color w:val="231F20"/>
                                  <w:spacing w:val="8"/>
                                  <w:w w:val="97"/>
                                </w:rPr>
                                <w:t>c</w:t>
                              </w:r>
                              <w:r>
                                <w:rPr>
                                  <w:color w:val="231F20"/>
                                  <w:spacing w:val="-6"/>
                                  <w:w w:val="58"/>
                                </w:rPr>
                                <w:t>/</w:t>
                              </w:r>
                              <w:r>
                                <w:rPr>
                                  <w:color w:val="231F20"/>
                                  <w:spacing w:val="1"/>
                                  <w:w w:val="88"/>
                                </w:rPr>
                                <w:t>s</w:t>
                              </w:r>
                              <w:r>
                                <w:rPr>
                                  <w:color w:val="231F20"/>
                                  <w:spacing w:val="-2"/>
                                  <w:w w:val="99"/>
                                </w:rPr>
                                <w:t>a</w:t>
                              </w:r>
                              <w:r>
                                <w:rPr>
                                  <w:color w:val="231F20"/>
                                  <w:spacing w:val="-1"/>
                                  <w:w w:val="96"/>
                                </w:rPr>
                                <w:t>p</w:t>
                              </w:r>
                              <w:r>
                                <w:rPr>
                                  <w:color w:val="231F20"/>
                                  <w:spacing w:val="2"/>
                                  <w:w w:val="98"/>
                                </w:rPr>
                                <w:t>p</w:t>
                              </w:r>
                              <w:r>
                                <w:rPr>
                                  <w:color w:val="231F20"/>
                                  <w:spacing w:val="-1"/>
                                  <w:w w:val="98"/>
                                </w:rPr>
                                <w:t>o</w:t>
                              </w:r>
                              <w:r>
                                <w:rPr>
                                  <w:color w:val="231F20"/>
                                  <w:spacing w:val="-1"/>
                                  <w:w w:val="91"/>
                                </w:rPr>
                                <w:t>r</w:t>
                              </w:r>
                              <w:r>
                                <w:rPr>
                                  <w:color w:val="231F20"/>
                                  <w:spacing w:val="-1"/>
                                  <w:w w:val="101"/>
                                </w:rPr>
                                <w:t>o</w:t>
                              </w:r>
                              <w:r>
                                <w:rPr>
                                  <w:color w:val="231F20"/>
                                  <w:spacing w:val="2"/>
                                  <w:w w:val="106"/>
                                </w:rPr>
                                <w:t>.</w:t>
                              </w:r>
                              <w:r>
                                <w:rPr>
                                  <w:color w:val="231F20"/>
                                  <w:spacing w:val="-2"/>
                                  <w:w w:val="106"/>
                                </w:rPr>
                                <w:t>h</w:t>
                              </w:r>
                              <w:r>
                                <w:rPr>
                                  <w:color w:val="231F20"/>
                                  <w:spacing w:val="2"/>
                                  <w:w w:val="97"/>
                                </w:rPr>
                                <w:t>t</w:t>
                              </w:r>
                              <w:r>
                                <w:rPr>
                                  <w:color w:val="231F20"/>
                                  <w:spacing w:val="4"/>
                                  <w:w w:val="97"/>
                                </w:rPr>
                                <w:t>m</w:t>
                              </w:r>
                              <w:r>
                                <w:rPr>
                                  <w:color w:val="231F20"/>
                                </w:rPr>
                                <w:t>l</w:t>
                              </w:r>
                            </w:hyperlink>
                            <w:r>
                              <w:rPr>
                                <w:color w:val="231F20"/>
                                <w:w w:val="94"/>
                              </w:rPr>
                              <w:t xml:space="preserve"> </w:t>
                            </w:r>
                            <w:r>
                              <w:rPr>
                                <w:color w:val="231F20"/>
                                <w:w w:val="95"/>
                              </w:rPr>
                              <w:t xml:space="preserve">(accessed </w:t>
                            </w:r>
                            <w:r>
                              <w:rPr>
                                <w:color w:val="231F20"/>
                              </w:rPr>
                              <w:t>28 August 2012).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DE13A7" id="docshape21" o:spid="_x0000_s1028" type="#_x0000_t202" style="position:absolute;margin-left:59.5pt;margin-top:17.2pt;width:323.15pt;height:264.55pt;z-index:-157184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" fillcolor="#dcddde" stroked="f">
                <v:textbox inset="0,0,0,0">
                  <w:txbxContent>
                    <w:p w14:paraId="0D81FB84" w14:textId="77777777" w:rsidR="00AE0598" w:rsidRDefault="0069255A">
                      <w:pPr>
                        <w:spacing w:before="79"/>
                        <w:ind w:left="113"/>
                        <w:jc w:val="both"/>
                        <w:rPr>
                          <w:rFonts w:ascii="Trebuchet MS"/>
                          <w:color w:val="000000"/>
                          <w:sz w:val="18"/>
                        </w:rPr>
                      </w:pPr>
                      <w:r>
                        <w:rPr>
                          <w:rFonts w:ascii="Trebuchet MS"/>
                          <w:color w:val="231F20"/>
                          <w:sz w:val="18"/>
                        </w:rPr>
                        <w:t>Focus</w:t>
                      </w:r>
                      <w:r>
                        <w:rPr>
                          <w:rFonts w:ascii="Trebuchet MS"/>
                          <w:color w:val="231F20"/>
                          <w:spacing w:val="-1"/>
                          <w:sz w:val="18"/>
                        </w:rPr>
                        <w:t xml:space="preserve"> </w:t>
                      </w:r>
                      <w:r>
                        <w:rPr>
                          <w:rFonts w:ascii="Trebuchet MS"/>
                          <w:color w:val="231F20"/>
                          <w:sz w:val="18"/>
                        </w:rPr>
                        <w:t>Point</w:t>
                      </w:r>
                      <w:r>
                        <w:rPr>
                          <w:rFonts w:ascii="Trebuchet MS"/>
                          <w:color w:val="231F20"/>
                          <w:spacing w:val="-1"/>
                          <w:sz w:val="18"/>
                        </w:rPr>
                        <w:t xml:space="preserve"> </w:t>
                      </w:r>
                      <w:r>
                        <w:rPr>
                          <w:rFonts w:ascii="Trebuchet MS"/>
                          <w:color w:val="231F20"/>
                          <w:sz w:val="18"/>
                        </w:rPr>
                        <w:t>1.3:</w:t>
                      </w:r>
                      <w:r>
                        <w:rPr>
                          <w:rFonts w:ascii="Trebuchet MS"/>
                          <w:color w:val="231F20"/>
                          <w:spacing w:val="-2"/>
                          <w:sz w:val="18"/>
                        </w:rPr>
                        <w:t xml:space="preserve"> (Continued)</w:t>
                      </w:r>
                    </w:p>
                    <w:p w14:paraId="4E9AA08A" w14:textId="77777777" w:rsidR="00AE0598" w:rsidRDefault="00AE0598">
                      <w:pPr>
                        <w:pStyle w:val="Corpodetexto"/>
                        <w:spacing w:before="10"/>
                        <w:rPr>
                          <w:rFonts w:ascii="Trebuchet MS"/>
                          <w:color w:val="000000"/>
                          <w:sz w:val="16"/>
                        </w:rPr>
                      </w:pPr>
                    </w:p>
                    <w:p w14:paraId="1D0DA0B5" w14:textId="77777777" w:rsidR="00AE0598" w:rsidRDefault="0069255A">
                      <w:pPr>
                        <w:pStyle w:val="Corpodetexto"/>
                        <w:spacing w:line="232" w:lineRule="auto"/>
                        <w:ind w:left="113" w:right="108"/>
                        <w:jc w:val="both"/>
                        <w:rPr>
                          <w:color w:val="000000"/>
                        </w:rPr>
                      </w:pPr>
                      <w:r>
                        <w:rPr>
                          <w:color w:val="231F20"/>
                          <w:w w:val="95"/>
                        </w:rPr>
                        <w:t xml:space="preserve">view to the local climate conditions, particularly heavy snow in winter. </w:t>
                      </w:r>
                      <w:r>
                        <w:rPr>
                          <w:color w:val="231F20"/>
                        </w:rPr>
                        <w:t>This hi-tech facility, which combines indoor and outdoor arenas and an</w:t>
                      </w:r>
                      <w:r>
                        <w:rPr>
                          <w:color w:val="231F20"/>
                          <w:spacing w:val="-4"/>
                        </w:rPr>
                        <w:t xml:space="preserve"> </w:t>
                      </w:r>
                      <w:r>
                        <w:rPr>
                          <w:color w:val="231F20"/>
                        </w:rPr>
                        <w:t>unprecedented</w:t>
                      </w:r>
                      <w:r>
                        <w:rPr>
                          <w:color w:val="231F20"/>
                          <w:spacing w:val="-4"/>
                        </w:rPr>
                        <w:t xml:space="preserve"> </w:t>
                      </w:r>
                      <w:r>
                        <w:rPr>
                          <w:color w:val="231F20"/>
                        </w:rPr>
                        <w:t>hovering</w:t>
                      </w:r>
                      <w:r>
                        <w:rPr>
                          <w:color w:val="231F20"/>
                          <w:spacing w:val="-4"/>
                        </w:rPr>
                        <w:t xml:space="preserve"> </w:t>
                      </w:r>
                      <w:r>
                        <w:rPr>
                          <w:color w:val="231F20"/>
                        </w:rPr>
                        <w:t>football</w:t>
                      </w:r>
                      <w:r>
                        <w:rPr>
                          <w:color w:val="231F20"/>
                          <w:spacing w:val="-4"/>
                        </w:rPr>
                        <w:t xml:space="preserve"> </w:t>
                      </w:r>
                      <w:r>
                        <w:rPr>
                          <w:color w:val="231F20"/>
                        </w:rPr>
                        <w:t>stage,</w:t>
                      </w:r>
                      <w:r>
                        <w:rPr>
                          <w:color w:val="231F20"/>
                          <w:spacing w:val="-4"/>
                        </w:rPr>
                        <w:t xml:space="preserve"> </w:t>
                      </w:r>
                      <w:r>
                        <w:rPr>
                          <w:color w:val="231F20"/>
                        </w:rPr>
                        <w:t>makes</w:t>
                      </w:r>
                      <w:r>
                        <w:rPr>
                          <w:color w:val="231F20"/>
                          <w:spacing w:val="-4"/>
                        </w:rPr>
                        <w:t xml:space="preserve"> </w:t>
                      </w:r>
                      <w:r>
                        <w:rPr>
                          <w:color w:val="231F20"/>
                        </w:rPr>
                        <w:t>it</w:t>
                      </w:r>
                      <w:r>
                        <w:rPr>
                          <w:color w:val="231F20"/>
                          <w:spacing w:val="-4"/>
                        </w:rPr>
                        <w:t xml:space="preserve"> </w:t>
                      </w:r>
                      <w:r>
                        <w:rPr>
                          <w:color w:val="231F20"/>
                        </w:rPr>
                        <w:t>possible</w:t>
                      </w:r>
                      <w:r>
                        <w:rPr>
                          <w:color w:val="231F20"/>
                          <w:spacing w:val="-4"/>
                        </w:rPr>
                        <w:t xml:space="preserve"> </w:t>
                      </w:r>
                      <w:r>
                        <w:rPr>
                          <w:color w:val="231F20"/>
                        </w:rPr>
                        <w:t>to</w:t>
                      </w:r>
                      <w:r>
                        <w:rPr>
                          <w:color w:val="231F20"/>
                          <w:spacing w:val="-4"/>
                        </w:rPr>
                        <w:t xml:space="preserve"> </w:t>
                      </w:r>
                      <w:r>
                        <w:rPr>
                          <w:color w:val="231F20"/>
                        </w:rPr>
                        <w:t>play</w:t>
                      </w:r>
                      <w:r>
                        <w:rPr>
                          <w:color w:val="231F20"/>
                          <w:spacing w:val="-4"/>
                        </w:rPr>
                        <w:t xml:space="preserve"> </w:t>
                      </w:r>
                      <w:r>
                        <w:rPr>
                          <w:color w:val="231F20"/>
                        </w:rPr>
                        <w:t xml:space="preserve">at any time of year regardless of the weather. </w:t>
                      </w:r>
                      <w:r>
                        <w:rPr>
                          <w:color w:val="231F20"/>
                        </w:rPr>
                        <w:t>The natural grass playing surface can be moved in and out of the stadium, being kept outside the dome to allow the grass to grow when not in use and then moved inside</w:t>
                      </w:r>
                      <w:r>
                        <w:rPr>
                          <w:color w:val="231F20"/>
                          <w:spacing w:val="-4"/>
                        </w:rPr>
                        <w:t xml:space="preserve"> </w:t>
                      </w:r>
                      <w:r>
                        <w:rPr>
                          <w:color w:val="231F20"/>
                        </w:rPr>
                        <w:t>when</w:t>
                      </w:r>
                      <w:r>
                        <w:rPr>
                          <w:color w:val="231F20"/>
                          <w:spacing w:val="-4"/>
                        </w:rPr>
                        <w:t xml:space="preserve"> </w:t>
                      </w:r>
                      <w:r>
                        <w:rPr>
                          <w:color w:val="231F20"/>
                        </w:rPr>
                        <w:t>needed.</w:t>
                      </w:r>
                      <w:r>
                        <w:rPr>
                          <w:color w:val="231F20"/>
                          <w:spacing w:val="-4"/>
                        </w:rPr>
                        <w:t xml:space="preserve"> </w:t>
                      </w:r>
                      <w:r>
                        <w:rPr>
                          <w:color w:val="231F20"/>
                        </w:rPr>
                        <w:t>The</w:t>
                      </w:r>
                      <w:r>
                        <w:rPr>
                          <w:color w:val="231F20"/>
                          <w:spacing w:val="-4"/>
                        </w:rPr>
                        <w:t xml:space="preserve"> </w:t>
                      </w:r>
                      <w:r>
                        <w:rPr>
                          <w:color w:val="231F20"/>
                        </w:rPr>
                        <w:t>entire</w:t>
                      </w:r>
                      <w:r>
                        <w:rPr>
                          <w:color w:val="231F20"/>
                          <w:spacing w:val="-4"/>
                        </w:rPr>
                        <w:t xml:space="preserve"> </w:t>
                      </w:r>
                      <w:r>
                        <w:rPr>
                          <w:color w:val="231F20"/>
                        </w:rPr>
                        <w:t>lower</w:t>
                      </w:r>
                      <w:r>
                        <w:rPr>
                          <w:color w:val="231F20"/>
                          <w:spacing w:val="-4"/>
                        </w:rPr>
                        <w:t xml:space="preserve"> </w:t>
                      </w:r>
                      <w:r>
                        <w:rPr>
                          <w:color w:val="231F20"/>
                        </w:rPr>
                        <w:t>section</w:t>
                      </w:r>
                      <w:r>
                        <w:rPr>
                          <w:color w:val="231F20"/>
                          <w:spacing w:val="-4"/>
                        </w:rPr>
                        <w:t xml:space="preserve"> </w:t>
                      </w:r>
                      <w:r>
                        <w:rPr>
                          <w:color w:val="231F20"/>
                        </w:rPr>
                        <w:t>of</w:t>
                      </w:r>
                      <w:r>
                        <w:rPr>
                          <w:color w:val="231F20"/>
                          <w:spacing w:val="-4"/>
                        </w:rPr>
                        <w:t xml:space="preserve"> </w:t>
                      </w:r>
                      <w:r>
                        <w:rPr>
                          <w:color w:val="231F20"/>
                        </w:rPr>
                        <w:t>the</w:t>
                      </w:r>
                      <w:r>
                        <w:rPr>
                          <w:color w:val="231F20"/>
                          <w:spacing w:val="-4"/>
                        </w:rPr>
                        <w:t xml:space="preserve"> </w:t>
                      </w:r>
                      <w:r>
                        <w:rPr>
                          <w:color w:val="231F20"/>
                        </w:rPr>
                        <w:t>field</w:t>
                      </w:r>
                      <w:r>
                        <w:rPr>
                          <w:color w:val="231F20"/>
                          <w:spacing w:val="-4"/>
                        </w:rPr>
                        <w:t xml:space="preserve"> </w:t>
                      </w:r>
                      <w:r>
                        <w:rPr>
                          <w:color w:val="231F20"/>
                        </w:rPr>
                        <w:t>is</w:t>
                      </w:r>
                      <w:r>
                        <w:rPr>
                          <w:color w:val="231F20"/>
                          <w:spacing w:val="-4"/>
                        </w:rPr>
                        <w:t xml:space="preserve"> </w:t>
                      </w:r>
                      <w:r>
                        <w:rPr>
                          <w:color w:val="231F20"/>
                        </w:rPr>
                        <w:t>rolled</w:t>
                      </w:r>
                      <w:r>
                        <w:rPr>
                          <w:color w:val="231F20"/>
                          <w:spacing w:val="-4"/>
                        </w:rPr>
                        <w:t xml:space="preserve"> </w:t>
                      </w:r>
                      <w:r>
                        <w:rPr>
                          <w:color w:val="231F20"/>
                        </w:rPr>
                        <w:t>into the dome on a cushion o</w:t>
                      </w:r>
                      <w:r>
                        <w:rPr>
                          <w:color w:val="231F20"/>
                        </w:rPr>
                        <w:t xml:space="preserve">f air. As it does so, a rotating seat system </w:t>
                      </w:r>
                      <w:r>
                        <w:rPr>
                          <w:color w:val="231F20"/>
                          <w:w w:val="95"/>
                        </w:rPr>
                        <w:t xml:space="preserve">moves aside before the pitch turns sideways on its axis and the seating </w:t>
                      </w:r>
                      <w:r>
                        <w:rPr>
                          <w:color w:val="231F20"/>
                        </w:rPr>
                        <w:t>areas</w:t>
                      </w:r>
                      <w:r>
                        <w:rPr>
                          <w:color w:val="231F20"/>
                          <w:spacing w:val="-2"/>
                        </w:rPr>
                        <w:t xml:space="preserve"> </w:t>
                      </w:r>
                      <w:r>
                        <w:rPr>
                          <w:color w:val="231F20"/>
                        </w:rPr>
                        <w:t>automatically</w:t>
                      </w:r>
                      <w:r>
                        <w:rPr>
                          <w:color w:val="231F20"/>
                          <w:spacing w:val="-2"/>
                        </w:rPr>
                        <w:t xml:space="preserve"> </w:t>
                      </w:r>
                      <w:r>
                        <w:rPr>
                          <w:color w:val="231F20"/>
                        </w:rPr>
                        <w:t>slide</w:t>
                      </w:r>
                      <w:r>
                        <w:rPr>
                          <w:color w:val="231F20"/>
                          <w:spacing w:val="-2"/>
                        </w:rPr>
                        <w:t xml:space="preserve"> </w:t>
                      </w:r>
                      <w:r>
                        <w:rPr>
                          <w:color w:val="231F20"/>
                        </w:rPr>
                        <w:t>back</w:t>
                      </w:r>
                      <w:r>
                        <w:rPr>
                          <w:color w:val="231F20"/>
                          <w:spacing w:val="-2"/>
                        </w:rPr>
                        <w:t xml:space="preserve"> </w:t>
                      </w:r>
                      <w:r>
                        <w:rPr>
                          <w:color w:val="231F20"/>
                        </w:rPr>
                        <w:t>into</w:t>
                      </w:r>
                      <w:r>
                        <w:rPr>
                          <w:color w:val="231F20"/>
                          <w:spacing w:val="-2"/>
                        </w:rPr>
                        <w:t xml:space="preserve"> </w:t>
                      </w:r>
                      <w:r>
                        <w:rPr>
                          <w:color w:val="231F20"/>
                        </w:rPr>
                        <w:t>place.</w:t>
                      </w:r>
                      <w:r>
                        <w:rPr>
                          <w:color w:val="231F20"/>
                          <w:spacing w:val="-2"/>
                        </w:rPr>
                        <w:t xml:space="preserve"> </w:t>
                      </w:r>
                      <w:r>
                        <w:rPr>
                          <w:color w:val="231F20"/>
                        </w:rPr>
                        <w:t>The</w:t>
                      </w:r>
                      <w:r>
                        <w:rPr>
                          <w:color w:val="231F20"/>
                          <w:spacing w:val="-2"/>
                        </w:rPr>
                        <w:t xml:space="preserve"> </w:t>
                      </w:r>
                      <w:r>
                        <w:rPr>
                          <w:color w:val="231F20"/>
                        </w:rPr>
                        <w:t>entire</w:t>
                      </w:r>
                      <w:r>
                        <w:rPr>
                          <w:color w:val="231F20"/>
                          <w:spacing w:val="-2"/>
                        </w:rPr>
                        <w:t xml:space="preserve"> </w:t>
                      </w:r>
                      <w:r>
                        <w:rPr>
                          <w:color w:val="231F20"/>
                        </w:rPr>
                        <w:t>manoeuvre</w:t>
                      </w:r>
                      <w:r>
                        <w:rPr>
                          <w:color w:val="231F20"/>
                          <w:spacing w:val="-2"/>
                        </w:rPr>
                        <w:t xml:space="preserve"> </w:t>
                      </w:r>
                      <w:r>
                        <w:rPr>
                          <w:color w:val="231F20"/>
                        </w:rPr>
                        <w:t xml:space="preserve">takes two hours to complete. The air inside is moderated and controlled by </w:t>
                      </w:r>
                      <w:r>
                        <w:rPr>
                          <w:color w:val="231F20"/>
                        </w:rPr>
                        <w:t>air-conditioning and a natural ventilation system in summer, while spectators</w:t>
                      </w:r>
                      <w:r>
                        <w:rPr>
                          <w:color w:val="231F20"/>
                          <w:spacing w:val="-6"/>
                        </w:rPr>
                        <w:t xml:space="preserve"> </w:t>
                      </w:r>
                      <w:r>
                        <w:rPr>
                          <w:color w:val="231F20"/>
                        </w:rPr>
                        <w:t>are</w:t>
                      </w:r>
                      <w:r>
                        <w:rPr>
                          <w:color w:val="231F20"/>
                          <w:spacing w:val="-6"/>
                        </w:rPr>
                        <w:t xml:space="preserve"> </w:t>
                      </w:r>
                      <w:r>
                        <w:rPr>
                          <w:color w:val="231F20"/>
                        </w:rPr>
                        <w:t>kept</w:t>
                      </w:r>
                      <w:r>
                        <w:rPr>
                          <w:color w:val="231F20"/>
                          <w:spacing w:val="-6"/>
                        </w:rPr>
                        <w:t xml:space="preserve"> </w:t>
                      </w:r>
                      <w:r>
                        <w:rPr>
                          <w:color w:val="231F20"/>
                        </w:rPr>
                        <w:t>comfortable</w:t>
                      </w:r>
                      <w:r>
                        <w:rPr>
                          <w:color w:val="231F20"/>
                          <w:spacing w:val="-6"/>
                        </w:rPr>
                        <w:t xml:space="preserve"> </w:t>
                      </w:r>
                      <w:r>
                        <w:rPr>
                          <w:color w:val="231F20"/>
                        </w:rPr>
                        <w:t>in</w:t>
                      </w:r>
                      <w:r>
                        <w:rPr>
                          <w:color w:val="231F20"/>
                          <w:spacing w:val="-6"/>
                        </w:rPr>
                        <w:t xml:space="preserve"> </w:t>
                      </w:r>
                      <w:r>
                        <w:rPr>
                          <w:color w:val="231F20"/>
                        </w:rPr>
                        <w:t>winter</w:t>
                      </w:r>
                      <w:r>
                        <w:rPr>
                          <w:color w:val="231F20"/>
                          <w:spacing w:val="-6"/>
                        </w:rPr>
                        <w:t xml:space="preserve"> </w:t>
                      </w:r>
                      <w:r>
                        <w:rPr>
                          <w:color w:val="231F20"/>
                        </w:rPr>
                        <w:t>by</w:t>
                      </w:r>
                      <w:r>
                        <w:rPr>
                          <w:color w:val="231F20"/>
                          <w:spacing w:val="-6"/>
                        </w:rPr>
                        <w:t xml:space="preserve"> </w:t>
                      </w:r>
                      <w:r>
                        <w:rPr>
                          <w:color w:val="231F20"/>
                        </w:rPr>
                        <w:t>a</w:t>
                      </w:r>
                      <w:r>
                        <w:rPr>
                          <w:color w:val="231F20"/>
                          <w:spacing w:val="-6"/>
                        </w:rPr>
                        <w:t xml:space="preserve"> </w:t>
                      </w:r>
                      <w:r>
                        <w:rPr>
                          <w:color w:val="231F20"/>
                        </w:rPr>
                        <w:t>heating</w:t>
                      </w:r>
                      <w:r>
                        <w:rPr>
                          <w:color w:val="231F20"/>
                          <w:spacing w:val="-6"/>
                        </w:rPr>
                        <w:t xml:space="preserve"> </w:t>
                      </w:r>
                      <w:r>
                        <w:rPr>
                          <w:color w:val="231F20"/>
                        </w:rPr>
                        <w:t>system</w:t>
                      </w:r>
                      <w:r>
                        <w:rPr>
                          <w:color w:val="231F20"/>
                          <w:spacing w:val="-6"/>
                        </w:rPr>
                        <w:t xml:space="preserve"> </w:t>
                      </w:r>
                      <w:r>
                        <w:rPr>
                          <w:color w:val="231F20"/>
                        </w:rPr>
                        <w:t>applied directly to the seats. The ‘hovering stage’ and ‘moving wall’ features allow the natural turf soccer pitch to be replaced with a baseball diamond</w:t>
                      </w:r>
                      <w:r>
                        <w:rPr>
                          <w:color w:val="231F20"/>
                          <w:spacing w:val="-2"/>
                        </w:rPr>
                        <w:t xml:space="preserve"> </w:t>
                      </w:r>
                      <w:r>
                        <w:rPr>
                          <w:color w:val="231F20"/>
                        </w:rPr>
                        <w:t>and</w:t>
                      </w:r>
                      <w:r>
                        <w:rPr>
                          <w:color w:val="231F20"/>
                          <w:spacing w:val="-2"/>
                        </w:rPr>
                        <w:t xml:space="preserve"> </w:t>
                      </w:r>
                      <w:r>
                        <w:rPr>
                          <w:color w:val="231F20"/>
                        </w:rPr>
                        <w:t>outfield,</w:t>
                      </w:r>
                      <w:r>
                        <w:rPr>
                          <w:color w:val="231F20"/>
                          <w:spacing w:val="-2"/>
                        </w:rPr>
                        <w:t xml:space="preserve"> </w:t>
                      </w:r>
                      <w:r>
                        <w:rPr>
                          <w:color w:val="231F20"/>
                        </w:rPr>
                        <w:t>with</w:t>
                      </w:r>
                      <w:r>
                        <w:rPr>
                          <w:color w:val="231F20"/>
                          <w:spacing w:val="-2"/>
                        </w:rPr>
                        <w:t xml:space="preserve"> </w:t>
                      </w:r>
                      <w:r>
                        <w:rPr>
                          <w:color w:val="231F20"/>
                        </w:rPr>
                        <w:t>the</w:t>
                      </w:r>
                      <w:r>
                        <w:rPr>
                          <w:color w:val="231F20"/>
                          <w:spacing w:val="-2"/>
                        </w:rPr>
                        <w:t xml:space="preserve"> </w:t>
                      </w:r>
                      <w:r>
                        <w:rPr>
                          <w:color w:val="231F20"/>
                        </w:rPr>
                        <w:t>open</w:t>
                      </w:r>
                      <w:r>
                        <w:rPr>
                          <w:color w:val="231F20"/>
                          <w:spacing w:val="-2"/>
                        </w:rPr>
                        <w:t xml:space="preserve"> </w:t>
                      </w:r>
                      <w:r>
                        <w:rPr>
                          <w:color w:val="231F20"/>
                        </w:rPr>
                        <w:t>area</w:t>
                      </w:r>
                      <w:r>
                        <w:rPr>
                          <w:color w:val="231F20"/>
                          <w:spacing w:val="-2"/>
                        </w:rPr>
                        <w:t xml:space="preserve"> </w:t>
                      </w:r>
                      <w:r>
                        <w:rPr>
                          <w:color w:val="231F20"/>
                        </w:rPr>
                        <w:t>outside</w:t>
                      </w:r>
                      <w:r>
                        <w:rPr>
                          <w:color w:val="231F20"/>
                          <w:spacing w:val="-2"/>
                        </w:rPr>
                        <w:t xml:space="preserve"> </w:t>
                      </w:r>
                      <w:r>
                        <w:rPr>
                          <w:color w:val="231F20"/>
                        </w:rPr>
                        <w:t>the</w:t>
                      </w:r>
                      <w:r>
                        <w:rPr>
                          <w:color w:val="231F20"/>
                          <w:spacing w:val="-2"/>
                        </w:rPr>
                        <w:t xml:space="preserve"> </w:t>
                      </w:r>
                      <w:r>
                        <w:rPr>
                          <w:color w:val="231F20"/>
                        </w:rPr>
                        <w:t>stadium</w:t>
                      </w:r>
                      <w:r>
                        <w:rPr>
                          <w:color w:val="231F20"/>
                          <w:spacing w:val="-2"/>
                        </w:rPr>
                        <w:t xml:space="preserve"> </w:t>
                      </w:r>
                      <w:r>
                        <w:rPr>
                          <w:color w:val="231F20"/>
                        </w:rPr>
                        <w:t>used</w:t>
                      </w:r>
                      <w:r>
                        <w:rPr>
                          <w:color w:val="231F20"/>
                          <w:spacing w:val="-2"/>
                        </w:rPr>
                        <w:t xml:space="preserve"> </w:t>
                      </w:r>
                      <w:r>
                        <w:rPr>
                          <w:color w:val="231F20"/>
                        </w:rPr>
                        <w:t xml:space="preserve">to grow the turf when the stadium is not in </w:t>
                      </w:r>
                      <w:r>
                        <w:rPr>
                          <w:color w:val="231F20"/>
                        </w:rPr>
                        <w:t>use.</w:t>
                      </w:r>
                    </w:p>
                    <w:p w14:paraId="2EDAF9AD" w14:textId="77777777" w:rsidR="00AE0598" w:rsidRDefault="0069255A">
                      <w:pPr>
                        <w:pStyle w:val="Corpodetexto"/>
                        <w:spacing w:before="180" w:line="232" w:lineRule="auto"/>
                        <w:ind w:left="113" w:right="109"/>
                        <w:jc w:val="both"/>
                        <w:rPr>
                          <w:color w:val="000000"/>
                        </w:rPr>
                      </w:pPr>
                      <w:r>
                        <w:rPr>
                          <w:color w:val="231F20"/>
                          <w:w w:val="95"/>
                        </w:rPr>
                        <w:t xml:space="preserve">Source: </w:t>
                      </w:r>
                      <w:hyperlink r:id="rId25">
                        <w:r>
                          <w:rPr>
                            <w:color w:val="231F20"/>
                            <w:spacing w:val="-2"/>
                            <w:w w:val="97"/>
                          </w:rPr>
                          <w:t>h</w:t>
                        </w:r>
                        <w:r>
                          <w:rPr>
                            <w:color w:val="231F20"/>
                            <w:spacing w:val="5"/>
                            <w:w w:val="96"/>
                          </w:rPr>
                          <w:t>t</w:t>
                        </w:r>
                        <w:r>
                          <w:rPr>
                            <w:color w:val="231F20"/>
                            <w:spacing w:val="4"/>
                            <w:w w:val="96"/>
                          </w:rPr>
                          <w:t>t</w:t>
                        </w:r>
                        <w:r>
                          <w:rPr>
                            <w:color w:val="231F20"/>
                            <w:spacing w:val="-2"/>
                            <w:w w:val="96"/>
                          </w:rPr>
                          <w:t>p</w:t>
                        </w:r>
                        <w:r>
                          <w:rPr>
                            <w:color w:val="231F20"/>
                            <w:spacing w:val="6"/>
                            <w:w w:val="103"/>
                          </w:rPr>
                          <w:t>:</w:t>
                        </w:r>
                        <w:r>
                          <w:rPr>
                            <w:color w:val="231F20"/>
                            <w:spacing w:val="-4"/>
                            <w:w w:val="58"/>
                          </w:rPr>
                          <w:t>/</w:t>
                        </w:r>
                        <w:r>
                          <w:rPr>
                            <w:color w:val="231F20"/>
                            <w:spacing w:val="-2"/>
                            <w:w w:val="58"/>
                          </w:rPr>
                          <w:t>/</w:t>
                        </w:r>
                        <w:r>
                          <w:rPr>
                            <w:color w:val="231F20"/>
                            <w:w w:val="92"/>
                          </w:rPr>
                          <w:t>f</w:t>
                        </w:r>
                        <w:r>
                          <w:rPr>
                            <w:color w:val="231F20"/>
                            <w:spacing w:val="8"/>
                            <w:w w:val="92"/>
                          </w:rPr>
                          <w:t>i</w:t>
                        </w:r>
                        <w:r>
                          <w:rPr>
                            <w:color w:val="231F20"/>
                            <w:w w:val="107"/>
                          </w:rPr>
                          <w:t>f</w:t>
                        </w:r>
                        <w:r>
                          <w:rPr>
                            <w:color w:val="231F20"/>
                            <w:spacing w:val="-5"/>
                            <w:w w:val="99"/>
                          </w:rPr>
                          <w:t>a</w:t>
                        </w:r>
                        <w:r>
                          <w:rPr>
                            <w:color w:val="231F20"/>
                            <w:spacing w:val="-4"/>
                            <w:w w:val="97"/>
                          </w:rPr>
                          <w:t>w</w:t>
                        </w:r>
                        <w:r>
                          <w:rPr>
                            <w:color w:val="231F20"/>
                            <w:spacing w:val="-1"/>
                            <w:w w:val="101"/>
                          </w:rPr>
                          <w:t>o</w:t>
                        </w:r>
                        <w:r>
                          <w:rPr>
                            <w:color w:val="231F20"/>
                            <w:spacing w:val="-2"/>
                            <w:w w:val="91"/>
                          </w:rPr>
                          <w:t>r</w:t>
                        </w:r>
                        <w:r>
                          <w:rPr>
                            <w:color w:val="231F20"/>
                            <w:spacing w:val="-1"/>
                          </w:rPr>
                          <w:t>l</w:t>
                        </w:r>
                        <w:r>
                          <w:rPr>
                            <w:color w:val="231F20"/>
                            <w:spacing w:val="-1"/>
                            <w:w w:val="96"/>
                          </w:rPr>
                          <w:t>d</w:t>
                        </w:r>
                        <w:r>
                          <w:rPr>
                            <w:color w:val="231F20"/>
                            <w:spacing w:val="3"/>
                            <w:w w:val="97"/>
                          </w:rPr>
                          <w:t>c</w:t>
                        </w:r>
                        <w:r>
                          <w:rPr>
                            <w:color w:val="231F20"/>
                            <w:spacing w:val="-1"/>
                            <w:w w:val="97"/>
                          </w:rPr>
                          <w:t>u</w:t>
                        </w:r>
                        <w:r>
                          <w:rPr>
                            <w:color w:val="231F20"/>
                            <w:spacing w:val="-3"/>
                            <w:w w:val="96"/>
                          </w:rPr>
                          <w:t>p</w:t>
                        </w:r>
                        <w:r>
                          <w:rPr>
                            <w:color w:val="231F20"/>
                            <w:spacing w:val="-10"/>
                            <w:w w:val="133"/>
                          </w:rPr>
                          <w:t>.</w:t>
                        </w:r>
                        <w:r>
                          <w:rPr>
                            <w:color w:val="231F20"/>
                            <w:spacing w:val="-4"/>
                            <w:w w:val="96"/>
                          </w:rPr>
                          <w:t>y</w:t>
                        </w:r>
                        <w:r>
                          <w:rPr>
                            <w:color w:val="231F20"/>
                            <w:spacing w:val="4"/>
                            <w:w w:val="99"/>
                          </w:rPr>
                          <w:t>a</w:t>
                        </w:r>
                        <w:r>
                          <w:rPr>
                            <w:color w:val="231F20"/>
                            <w:spacing w:val="-1"/>
                            <w:w w:val="97"/>
                          </w:rPr>
                          <w:t>h</w:t>
                        </w:r>
                        <w:r>
                          <w:rPr>
                            <w:color w:val="231F20"/>
                            <w:spacing w:val="2"/>
                            <w:w w:val="101"/>
                          </w:rPr>
                          <w:t>o</w:t>
                        </w:r>
                        <w:r>
                          <w:rPr>
                            <w:color w:val="231F20"/>
                            <w:spacing w:val="-1"/>
                            <w:w w:val="101"/>
                          </w:rPr>
                          <w:t>o</w:t>
                        </w:r>
                        <w:r>
                          <w:rPr>
                            <w:color w:val="231F20"/>
                            <w:w w:val="133"/>
                          </w:rPr>
                          <w:t>.</w:t>
                        </w:r>
                        <w:r>
                          <w:rPr>
                            <w:color w:val="231F20"/>
                            <w:spacing w:val="1"/>
                            <w:w w:val="97"/>
                          </w:rPr>
                          <w:t>c</w:t>
                        </w:r>
                        <w:r>
                          <w:rPr>
                            <w:color w:val="231F20"/>
                            <w:spacing w:val="-2"/>
                            <w:w w:val="101"/>
                          </w:rPr>
                          <w:t>o</w:t>
                        </w:r>
                        <w:r>
                          <w:rPr>
                            <w:color w:val="231F20"/>
                            <w:spacing w:val="9"/>
                            <w:w w:val="97"/>
                          </w:rPr>
                          <w:t>m</w:t>
                        </w:r>
                        <w:r>
                          <w:rPr>
                            <w:color w:val="231F20"/>
                            <w:spacing w:val="-6"/>
                            <w:w w:val="58"/>
                          </w:rPr>
                          <w:t>/</w:t>
                        </w:r>
                        <w:r>
                          <w:rPr>
                            <w:color w:val="231F20"/>
                            <w:spacing w:val="1"/>
                            <w:w w:val="88"/>
                          </w:rPr>
                          <w:t>e</w:t>
                        </w:r>
                        <w:r>
                          <w:rPr>
                            <w:color w:val="231F20"/>
                            <w:spacing w:val="9"/>
                            <w:w w:val="96"/>
                          </w:rPr>
                          <w:t>n</w:t>
                        </w:r>
                        <w:r>
                          <w:rPr>
                            <w:color w:val="231F20"/>
                            <w:spacing w:val="-7"/>
                            <w:w w:val="58"/>
                          </w:rPr>
                          <w:t>/</w:t>
                        </w:r>
                        <w:r>
                          <w:rPr>
                            <w:color w:val="231F20"/>
                            <w:spacing w:val="2"/>
                            <w:w w:val="97"/>
                          </w:rPr>
                          <w:t>d</w:t>
                        </w:r>
                        <w:r>
                          <w:rPr>
                            <w:color w:val="231F20"/>
                            <w:spacing w:val="8"/>
                            <w:w w:val="97"/>
                          </w:rPr>
                          <w:t>a</w:t>
                        </w:r>
                        <w:r>
                          <w:rPr>
                            <w:color w:val="231F20"/>
                            <w:spacing w:val="-8"/>
                            <w:w w:val="58"/>
                          </w:rPr>
                          <w:t>/</w:t>
                        </w:r>
                        <w:r>
                          <w:rPr>
                            <w:color w:val="231F20"/>
                            <w:spacing w:val="8"/>
                            <w:w w:val="97"/>
                          </w:rPr>
                          <w:t>c</w:t>
                        </w:r>
                        <w:r>
                          <w:rPr>
                            <w:color w:val="231F20"/>
                            <w:spacing w:val="-6"/>
                            <w:w w:val="58"/>
                          </w:rPr>
                          <w:t>/</w:t>
                        </w:r>
                        <w:r>
                          <w:rPr>
                            <w:color w:val="231F20"/>
                            <w:spacing w:val="1"/>
                            <w:w w:val="88"/>
                          </w:rPr>
                          <w:t>s</w:t>
                        </w:r>
                        <w:r>
                          <w:rPr>
                            <w:color w:val="231F20"/>
                            <w:spacing w:val="-2"/>
                            <w:w w:val="99"/>
                          </w:rPr>
                          <w:t>a</w:t>
                        </w:r>
                        <w:r>
                          <w:rPr>
                            <w:color w:val="231F20"/>
                            <w:spacing w:val="-1"/>
                            <w:w w:val="96"/>
                          </w:rPr>
                          <w:t>p</w:t>
                        </w:r>
                        <w:r>
                          <w:rPr>
                            <w:color w:val="231F20"/>
                            <w:spacing w:val="2"/>
                            <w:w w:val="98"/>
                          </w:rPr>
                          <w:t>p</w:t>
                        </w:r>
                        <w:r>
                          <w:rPr>
                            <w:color w:val="231F20"/>
                            <w:spacing w:val="-1"/>
                            <w:w w:val="98"/>
                          </w:rPr>
                          <w:t>o</w:t>
                        </w:r>
                        <w:r>
                          <w:rPr>
                            <w:color w:val="231F20"/>
                            <w:spacing w:val="-1"/>
                            <w:w w:val="91"/>
                          </w:rPr>
                          <w:t>r</w:t>
                        </w:r>
                        <w:r>
                          <w:rPr>
                            <w:color w:val="231F20"/>
                            <w:spacing w:val="-1"/>
                            <w:w w:val="101"/>
                          </w:rPr>
                          <w:t>o</w:t>
                        </w:r>
                        <w:r>
                          <w:rPr>
                            <w:color w:val="231F20"/>
                            <w:spacing w:val="2"/>
                            <w:w w:val="106"/>
                          </w:rPr>
                          <w:t>.</w:t>
                        </w:r>
                        <w:r>
                          <w:rPr>
                            <w:color w:val="231F20"/>
                            <w:spacing w:val="-2"/>
                            <w:w w:val="106"/>
                          </w:rPr>
                          <w:t>h</w:t>
                        </w:r>
                        <w:r>
                          <w:rPr>
                            <w:color w:val="231F20"/>
                            <w:spacing w:val="2"/>
                            <w:w w:val="97"/>
                          </w:rPr>
                          <w:t>t</w:t>
                        </w:r>
                        <w:r>
                          <w:rPr>
                            <w:color w:val="231F20"/>
                            <w:spacing w:val="4"/>
                            <w:w w:val="97"/>
                          </w:rPr>
                          <w:t>m</w:t>
                        </w:r>
                        <w:r>
                          <w:rPr>
                            <w:color w:val="231F20"/>
                          </w:rPr>
                          <w:t>l</w:t>
                        </w:r>
                      </w:hyperlink>
                      <w:r>
                        <w:rPr>
                          <w:color w:val="231F20"/>
                          <w:w w:val="94"/>
                        </w:rPr>
                        <w:t xml:space="preserve"> </w:t>
                      </w:r>
                      <w:r>
                        <w:rPr>
                          <w:color w:val="231F20"/>
                          <w:w w:val="95"/>
                        </w:rPr>
                        <w:t xml:space="preserve">(accessed </w:t>
                      </w:r>
                      <w:r>
                        <w:rPr>
                          <w:color w:val="231F20"/>
                        </w:rPr>
                        <w:t>28 August 2012).</w:t>
                      </w:r>
                    </w:p>
                  </w:txbxContent>
                </v:textbox>
                <w10:wrap type="topAndBottom" anchorx="page"/>
              </v:shape>
            </w:pict>
          </mc:Fallback>
        </mc:AlternateContent>
      </w:r>
    </w:p>
    <w:p w14:paraId="0A7CAC79" w14:textId="77777777" w:rsidR="00AE0598" w:rsidRDefault="00AE0598">
      <w:pPr>
        <w:pStyle w:val="Corpodetexto"/>
        <w:spacing w:before="6"/>
        <w:rPr>
          <w:rFonts w:ascii="Trebuchet MS"/>
          <w:sz w:val="26"/>
        </w:rPr>
      </w:pPr>
    </w:p>
    <w:p w14:paraId="6BF1461E" w14:textId="77777777" w:rsidR="00AE0598" w:rsidRDefault="0069255A">
      <w:pPr>
        <w:pStyle w:val="Corpodetexto"/>
        <w:spacing w:before="103" w:line="232" w:lineRule="auto"/>
        <w:ind w:left="110" w:right="106" w:firstLine="320"/>
        <w:jc w:val="both"/>
      </w:pPr>
      <w:r>
        <w:rPr>
          <w:color w:val="231F20"/>
        </w:rPr>
        <w:t>Chapter 10: Evolutionary Trends in Sport Tourism examines the interrelationship between sport and tourism within an evolutionary or long-term</w:t>
      </w:r>
      <w:r>
        <w:rPr>
          <w:color w:val="231F20"/>
          <w:spacing w:val="-11"/>
        </w:rPr>
        <w:t xml:space="preserve"> </w:t>
      </w:r>
      <w:r>
        <w:rPr>
          <w:color w:val="231F20"/>
        </w:rPr>
        <w:t>context.</w:t>
      </w:r>
      <w:r>
        <w:rPr>
          <w:color w:val="231F20"/>
          <w:spacing w:val="-11"/>
        </w:rPr>
        <w:t xml:space="preserve"> </w:t>
      </w:r>
      <w:r>
        <w:rPr>
          <w:color w:val="231F20"/>
        </w:rPr>
        <w:t>Tourism</w:t>
      </w:r>
      <w:r>
        <w:rPr>
          <w:color w:val="231F20"/>
          <w:spacing w:val="-11"/>
        </w:rPr>
        <w:t xml:space="preserve"> </w:t>
      </w:r>
      <w:r>
        <w:rPr>
          <w:color w:val="231F20"/>
        </w:rPr>
        <w:t>development</w:t>
      </w:r>
      <w:r>
        <w:rPr>
          <w:color w:val="231F20"/>
          <w:spacing w:val="-11"/>
        </w:rPr>
        <w:t xml:space="preserve"> </w:t>
      </w:r>
      <w:r>
        <w:rPr>
          <w:color w:val="231F20"/>
        </w:rPr>
        <w:t>processes,</w:t>
      </w:r>
      <w:r>
        <w:rPr>
          <w:color w:val="231F20"/>
          <w:spacing w:val="-11"/>
        </w:rPr>
        <w:t xml:space="preserve"> </w:t>
      </w:r>
      <w:r>
        <w:rPr>
          <w:color w:val="231F20"/>
        </w:rPr>
        <w:t>as</w:t>
      </w:r>
      <w:r>
        <w:rPr>
          <w:color w:val="231F20"/>
          <w:spacing w:val="-11"/>
        </w:rPr>
        <w:t xml:space="preserve"> </w:t>
      </w:r>
      <w:r>
        <w:rPr>
          <w:color w:val="231F20"/>
        </w:rPr>
        <w:t>conceptualised</w:t>
      </w:r>
      <w:r>
        <w:rPr>
          <w:color w:val="231F20"/>
          <w:spacing w:val="-11"/>
        </w:rPr>
        <w:t xml:space="preserve"> </w:t>
      </w:r>
      <w:r>
        <w:rPr>
          <w:color w:val="231F20"/>
        </w:rPr>
        <w:t>in the evolution in tourism destinations through a life cycle (Butler, 1980), may be influenced by the powerful dynamics of sport. For example, evolving spatial patterns of sport may have a direct bearing on tourism development. The reverse is also true, a</w:t>
      </w:r>
      <w:r>
        <w:rPr>
          <w:color w:val="231F20"/>
        </w:rPr>
        <w:t>s tourism may impact upon the types of sports practiced in destination areas. Surfing serves as a good illustration of this process given its diffusion from its spiritual home of Hawai’i into new regions throughout the world in response to local and non-lo</w:t>
      </w:r>
      <w:r>
        <w:rPr>
          <w:color w:val="231F20"/>
        </w:rPr>
        <w:t xml:space="preserve">cal (tourist) demand. Heritage sport tourism is a unique form of tourism, which over time may offer tourism development opportunities </w:t>
      </w:r>
      <w:r>
        <w:rPr>
          <w:color w:val="231F20"/>
          <w:w w:val="95"/>
        </w:rPr>
        <w:t xml:space="preserve">associated with the search for sporting experiences associated with earlier </w:t>
      </w:r>
      <w:r>
        <w:rPr>
          <w:color w:val="231F20"/>
        </w:rPr>
        <w:t>periods (Gammon &amp; Ramshaw, 2007).</w:t>
      </w:r>
    </w:p>
    <w:p w14:paraId="221BD487" w14:textId="77777777" w:rsidR="00AE0598" w:rsidRDefault="0069255A">
      <w:pPr>
        <w:pStyle w:val="Corpodetexto"/>
        <w:spacing w:before="16" w:line="232" w:lineRule="auto"/>
        <w:ind w:left="110" w:right="108" w:firstLine="320"/>
        <w:jc w:val="both"/>
      </w:pPr>
      <w:r>
        <w:rPr>
          <w:color w:val="231F20"/>
        </w:rPr>
        <w:t>The</w:t>
      </w:r>
      <w:r>
        <w:rPr>
          <w:color w:val="231F20"/>
          <w:spacing w:val="-12"/>
        </w:rPr>
        <w:t xml:space="preserve"> </w:t>
      </w:r>
      <w:r>
        <w:rPr>
          <w:color w:val="231F20"/>
        </w:rPr>
        <w:t>last</w:t>
      </w:r>
      <w:r>
        <w:rPr>
          <w:color w:val="231F20"/>
          <w:spacing w:val="-11"/>
        </w:rPr>
        <w:t xml:space="preserve"> </w:t>
      </w:r>
      <w:r>
        <w:rPr>
          <w:color w:val="231F20"/>
        </w:rPr>
        <w:t>dec</w:t>
      </w:r>
      <w:r>
        <w:rPr>
          <w:color w:val="231F20"/>
        </w:rPr>
        <w:t>ade</w:t>
      </w:r>
      <w:r>
        <w:rPr>
          <w:color w:val="231F20"/>
          <w:spacing w:val="-12"/>
        </w:rPr>
        <w:t xml:space="preserve"> </w:t>
      </w:r>
      <w:r>
        <w:rPr>
          <w:color w:val="231F20"/>
        </w:rPr>
        <w:t>has</w:t>
      </w:r>
      <w:r>
        <w:rPr>
          <w:color w:val="231F20"/>
          <w:spacing w:val="-11"/>
        </w:rPr>
        <w:t xml:space="preserve"> </w:t>
      </w:r>
      <w:r>
        <w:rPr>
          <w:color w:val="231F20"/>
        </w:rPr>
        <w:t>confirmed</w:t>
      </w:r>
      <w:r>
        <w:rPr>
          <w:color w:val="231F20"/>
          <w:spacing w:val="-12"/>
        </w:rPr>
        <w:t xml:space="preserve"> </w:t>
      </w:r>
      <w:r>
        <w:rPr>
          <w:color w:val="231F20"/>
        </w:rPr>
        <w:t>a</w:t>
      </w:r>
      <w:r>
        <w:rPr>
          <w:color w:val="231F20"/>
          <w:spacing w:val="-11"/>
        </w:rPr>
        <w:t xml:space="preserve"> </w:t>
      </w:r>
      <w:r>
        <w:rPr>
          <w:color w:val="231F20"/>
        </w:rPr>
        <w:t>surge</w:t>
      </w:r>
      <w:r>
        <w:rPr>
          <w:color w:val="231F20"/>
          <w:spacing w:val="-12"/>
        </w:rPr>
        <w:t xml:space="preserve"> </w:t>
      </w:r>
      <w:r>
        <w:rPr>
          <w:color w:val="231F20"/>
        </w:rPr>
        <w:t>in</w:t>
      </w:r>
      <w:r>
        <w:rPr>
          <w:color w:val="231F20"/>
          <w:spacing w:val="-11"/>
        </w:rPr>
        <w:t xml:space="preserve"> </w:t>
      </w:r>
      <w:r>
        <w:rPr>
          <w:color w:val="231F20"/>
        </w:rPr>
        <w:t>demand</w:t>
      </w:r>
      <w:r>
        <w:rPr>
          <w:color w:val="231F20"/>
          <w:spacing w:val="-12"/>
        </w:rPr>
        <w:t xml:space="preserve"> </w:t>
      </w:r>
      <w:r>
        <w:rPr>
          <w:color w:val="231F20"/>
        </w:rPr>
        <w:t>for</w:t>
      </w:r>
      <w:r>
        <w:rPr>
          <w:color w:val="231F20"/>
          <w:spacing w:val="-11"/>
        </w:rPr>
        <w:t xml:space="preserve"> </w:t>
      </w:r>
      <w:r>
        <w:rPr>
          <w:color w:val="231F20"/>
        </w:rPr>
        <w:t>heritage</w:t>
      </w:r>
      <w:r>
        <w:rPr>
          <w:color w:val="231F20"/>
          <w:spacing w:val="-12"/>
        </w:rPr>
        <w:t xml:space="preserve"> </w:t>
      </w:r>
      <w:r>
        <w:rPr>
          <w:color w:val="231F20"/>
        </w:rPr>
        <w:t>in</w:t>
      </w:r>
      <w:r>
        <w:rPr>
          <w:color w:val="231F20"/>
          <w:spacing w:val="-11"/>
        </w:rPr>
        <w:t xml:space="preserve"> </w:t>
      </w:r>
      <w:r>
        <w:rPr>
          <w:color w:val="231F20"/>
        </w:rPr>
        <w:t>sport (Ramshaw &amp; Gammon, 2016). Perhaps this is a response to the growing dominance</w:t>
      </w:r>
      <w:r>
        <w:rPr>
          <w:color w:val="231F20"/>
          <w:spacing w:val="-7"/>
        </w:rPr>
        <w:t xml:space="preserve"> </w:t>
      </w:r>
      <w:r>
        <w:rPr>
          <w:color w:val="231F20"/>
        </w:rPr>
        <w:t>of commercial</w:t>
      </w:r>
      <w:r>
        <w:rPr>
          <w:color w:val="231F20"/>
          <w:spacing w:val="-7"/>
        </w:rPr>
        <w:t xml:space="preserve"> </w:t>
      </w:r>
      <w:r>
        <w:rPr>
          <w:color w:val="231F20"/>
        </w:rPr>
        <w:t>interest</w:t>
      </w:r>
      <w:r>
        <w:rPr>
          <w:color w:val="231F20"/>
          <w:spacing w:val="-7"/>
        </w:rPr>
        <w:t xml:space="preserve"> </w:t>
      </w:r>
      <w:r>
        <w:rPr>
          <w:color w:val="231F20"/>
        </w:rPr>
        <w:t>in</w:t>
      </w:r>
      <w:r>
        <w:rPr>
          <w:color w:val="231F20"/>
          <w:spacing w:val="-7"/>
        </w:rPr>
        <w:t xml:space="preserve"> </w:t>
      </w:r>
      <w:r>
        <w:rPr>
          <w:color w:val="231F20"/>
        </w:rPr>
        <w:t>sport,</w:t>
      </w:r>
      <w:r>
        <w:rPr>
          <w:color w:val="231F20"/>
          <w:spacing w:val="-7"/>
        </w:rPr>
        <w:t xml:space="preserve"> </w:t>
      </w:r>
      <w:r>
        <w:rPr>
          <w:color w:val="231F20"/>
        </w:rPr>
        <w:t>reigning</w:t>
      </w:r>
      <w:r>
        <w:rPr>
          <w:color w:val="231F20"/>
          <w:spacing w:val="-7"/>
        </w:rPr>
        <w:t xml:space="preserve"> </w:t>
      </w:r>
      <w:r>
        <w:rPr>
          <w:color w:val="231F20"/>
        </w:rPr>
        <w:t>over</w:t>
      </w:r>
      <w:r>
        <w:rPr>
          <w:color w:val="231F20"/>
          <w:spacing w:val="-7"/>
        </w:rPr>
        <w:t xml:space="preserve"> </w:t>
      </w:r>
      <w:r>
        <w:rPr>
          <w:color w:val="231F20"/>
        </w:rPr>
        <w:t>the</w:t>
      </w:r>
      <w:r>
        <w:rPr>
          <w:color w:val="231F20"/>
          <w:spacing w:val="-7"/>
        </w:rPr>
        <w:t xml:space="preserve"> </w:t>
      </w:r>
      <w:r>
        <w:rPr>
          <w:color w:val="231F20"/>
        </w:rPr>
        <w:t>interests</w:t>
      </w:r>
      <w:r>
        <w:rPr>
          <w:color w:val="231F20"/>
          <w:spacing w:val="-7"/>
        </w:rPr>
        <w:t xml:space="preserve"> </w:t>
      </w:r>
      <w:r>
        <w:rPr>
          <w:color w:val="231F20"/>
        </w:rPr>
        <w:t>of fans</w:t>
      </w:r>
      <w:r>
        <w:rPr>
          <w:color w:val="231F20"/>
          <w:spacing w:val="-4"/>
        </w:rPr>
        <w:t xml:space="preserve"> </w:t>
      </w:r>
      <w:r>
        <w:rPr>
          <w:color w:val="231F20"/>
        </w:rPr>
        <w:t>and</w:t>
      </w:r>
      <w:r>
        <w:rPr>
          <w:color w:val="231F20"/>
          <w:spacing w:val="-4"/>
        </w:rPr>
        <w:t xml:space="preserve"> </w:t>
      </w:r>
      <w:r>
        <w:rPr>
          <w:color w:val="231F20"/>
        </w:rPr>
        <w:t>participants</w:t>
      </w:r>
      <w:r>
        <w:rPr>
          <w:color w:val="231F20"/>
          <w:spacing w:val="-4"/>
        </w:rPr>
        <w:t xml:space="preserve"> </w:t>
      </w:r>
      <w:r>
        <w:rPr>
          <w:color w:val="231F20"/>
        </w:rPr>
        <w:t>(Laidlaw,</w:t>
      </w:r>
      <w:r>
        <w:rPr>
          <w:color w:val="231F20"/>
          <w:spacing w:val="-4"/>
        </w:rPr>
        <w:t xml:space="preserve"> </w:t>
      </w:r>
      <w:r>
        <w:rPr>
          <w:color w:val="231F20"/>
        </w:rPr>
        <w:t>2010).</w:t>
      </w:r>
      <w:r>
        <w:rPr>
          <w:color w:val="231F20"/>
          <w:spacing w:val="-4"/>
        </w:rPr>
        <w:t xml:space="preserve"> </w:t>
      </w:r>
      <w:r>
        <w:rPr>
          <w:color w:val="231F20"/>
        </w:rPr>
        <w:t>Clearly,</w:t>
      </w:r>
      <w:r>
        <w:rPr>
          <w:color w:val="231F20"/>
          <w:spacing w:val="-4"/>
        </w:rPr>
        <w:t xml:space="preserve"> </w:t>
      </w:r>
      <w:r>
        <w:rPr>
          <w:color w:val="231F20"/>
        </w:rPr>
        <w:t>sport</w:t>
      </w:r>
      <w:r>
        <w:rPr>
          <w:color w:val="231F20"/>
          <w:spacing w:val="-4"/>
        </w:rPr>
        <w:t xml:space="preserve"> </w:t>
      </w:r>
      <w:r>
        <w:rPr>
          <w:color w:val="231F20"/>
        </w:rPr>
        <w:t>is</w:t>
      </w:r>
      <w:r>
        <w:rPr>
          <w:color w:val="231F20"/>
          <w:spacing w:val="-4"/>
        </w:rPr>
        <w:t xml:space="preserve"> </w:t>
      </w:r>
      <w:r>
        <w:rPr>
          <w:color w:val="231F20"/>
        </w:rPr>
        <w:t>a</w:t>
      </w:r>
      <w:r>
        <w:rPr>
          <w:color w:val="231F20"/>
          <w:spacing w:val="-4"/>
        </w:rPr>
        <w:t xml:space="preserve"> </w:t>
      </w:r>
      <w:r>
        <w:rPr>
          <w:color w:val="231F20"/>
        </w:rPr>
        <w:t>dynamic</w:t>
      </w:r>
      <w:r>
        <w:rPr>
          <w:color w:val="231F20"/>
          <w:spacing w:val="-4"/>
        </w:rPr>
        <w:t xml:space="preserve"> </w:t>
      </w:r>
      <w:r>
        <w:rPr>
          <w:color w:val="231F20"/>
        </w:rPr>
        <w:t>field</w:t>
      </w:r>
      <w:r>
        <w:rPr>
          <w:color w:val="231F20"/>
          <w:spacing w:val="-4"/>
        </w:rPr>
        <w:t xml:space="preserve"> </w:t>
      </w:r>
      <w:r>
        <w:rPr>
          <w:color w:val="231F20"/>
        </w:rPr>
        <w:t xml:space="preserve">of study in terms of its manifestations in space and time and the interplay </w:t>
      </w:r>
      <w:r>
        <w:rPr>
          <w:color w:val="231F20"/>
          <w:w w:val="95"/>
        </w:rPr>
        <w:t>between</w:t>
      </w:r>
      <w:r>
        <w:rPr>
          <w:color w:val="231F20"/>
          <w:spacing w:val="30"/>
        </w:rPr>
        <w:t xml:space="preserve"> </w:t>
      </w:r>
      <w:r>
        <w:rPr>
          <w:color w:val="231F20"/>
          <w:w w:val="95"/>
        </w:rPr>
        <w:t>sport</w:t>
      </w:r>
      <w:r>
        <w:rPr>
          <w:color w:val="231F20"/>
          <w:spacing w:val="31"/>
        </w:rPr>
        <w:t xml:space="preserve"> </w:t>
      </w:r>
      <w:r>
        <w:rPr>
          <w:color w:val="231F20"/>
          <w:w w:val="95"/>
        </w:rPr>
        <w:t>and</w:t>
      </w:r>
      <w:r>
        <w:rPr>
          <w:color w:val="231F20"/>
          <w:spacing w:val="30"/>
        </w:rPr>
        <w:t xml:space="preserve"> </w:t>
      </w:r>
      <w:r>
        <w:rPr>
          <w:color w:val="231F20"/>
          <w:w w:val="95"/>
        </w:rPr>
        <w:t>tourism.</w:t>
      </w:r>
      <w:r>
        <w:rPr>
          <w:color w:val="231F20"/>
          <w:spacing w:val="31"/>
        </w:rPr>
        <w:t xml:space="preserve"> </w:t>
      </w:r>
      <w:r>
        <w:rPr>
          <w:color w:val="231F20"/>
          <w:w w:val="95"/>
        </w:rPr>
        <w:t>For</w:t>
      </w:r>
      <w:r>
        <w:rPr>
          <w:color w:val="231F20"/>
          <w:spacing w:val="30"/>
        </w:rPr>
        <w:t xml:space="preserve"> </w:t>
      </w:r>
      <w:r>
        <w:rPr>
          <w:color w:val="231F20"/>
          <w:w w:val="95"/>
        </w:rPr>
        <w:t>example,</w:t>
      </w:r>
      <w:r>
        <w:rPr>
          <w:color w:val="231F20"/>
          <w:spacing w:val="31"/>
        </w:rPr>
        <w:t xml:space="preserve"> </w:t>
      </w:r>
      <w:r>
        <w:rPr>
          <w:color w:val="231F20"/>
          <w:w w:val="95"/>
        </w:rPr>
        <w:t>the</w:t>
      </w:r>
      <w:r>
        <w:rPr>
          <w:color w:val="231F20"/>
          <w:spacing w:val="31"/>
        </w:rPr>
        <w:t xml:space="preserve"> </w:t>
      </w:r>
      <w:r>
        <w:rPr>
          <w:color w:val="231F20"/>
          <w:w w:val="95"/>
        </w:rPr>
        <w:t>challenges</w:t>
      </w:r>
      <w:r>
        <w:rPr>
          <w:color w:val="231F20"/>
          <w:spacing w:val="30"/>
        </w:rPr>
        <w:t xml:space="preserve"> </w:t>
      </w:r>
      <w:r>
        <w:rPr>
          <w:color w:val="231F20"/>
          <w:w w:val="95"/>
        </w:rPr>
        <w:t>associated</w:t>
      </w:r>
      <w:r>
        <w:rPr>
          <w:color w:val="231F20"/>
          <w:spacing w:val="31"/>
        </w:rPr>
        <w:t xml:space="preserve"> </w:t>
      </w:r>
      <w:r>
        <w:rPr>
          <w:color w:val="231F20"/>
          <w:spacing w:val="-4"/>
          <w:w w:val="95"/>
        </w:rPr>
        <w:t>with</w:t>
      </w:r>
    </w:p>
    <w:p w14:paraId="20B4FA9D" w14:textId="77777777" w:rsidR="00AE0598" w:rsidRDefault="00AE0598">
      <w:pPr>
        <w:spacing w:line="232" w:lineRule="auto"/>
        <w:jc w:val="both"/>
        <w:sectPr w:rsidR="00AE0598">
          <w:pgSz w:w="8850" w:h="13270"/>
          <w:pgMar w:top="720" w:right="1080" w:bottom="280" w:left="1080" w:header="720" w:footer="720" w:gutter="0"/>
          <w:cols w:space="720"/>
        </w:sectPr>
      </w:pPr>
    </w:p>
    <w:p w14:paraId="59FF1C05" w14:textId="77777777" w:rsidR="00AE0598" w:rsidRDefault="0069255A">
      <w:pPr>
        <w:spacing w:before="87"/>
        <w:ind w:left="4091"/>
        <w:rPr>
          <w:rFonts w:ascii="Trebuchet MS"/>
          <w:sz w:val="14"/>
        </w:rPr>
      </w:pPr>
      <w:r>
        <w:rPr>
          <w:rFonts w:ascii="Trebuchet MS"/>
          <w:color w:val="231F20"/>
          <w:w w:val="105"/>
          <w:sz w:val="14"/>
        </w:rPr>
        <w:lastRenderedPageBreak/>
        <w:t>Sport</w:t>
      </w:r>
      <w:r>
        <w:rPr>
          <w:rFonts w:ascii="Trebuchet MS"/>
          <w:color w:val="231F20"/>
          <w:spacing w:val="-9"/>
          <w:w w:val="105"/>
          <w:sz w:val="14"/>
        </w:rPr>
        <w:t xml:space="preserve"> </w:t>
      </w:r>
      <w:r>
        <w:rPr>
          <w:rFonts w:ascii="Trebuchet MS"/>
          <w:color w:val="231F20"/>
          <w:w w:val="105"/>
          <w:sz w:val="14"/>
        </w:rPr>
        <w:t>Tourism</w:t>
      </w:r>
      <w:r>
        <w:rPr>
          <w:rFonts w:ascii="Trebuchet MS"/>
          <w:color w:val="231F20"/>
          <w:spacing w:val="-8"/>
          <w:w w:val="105"/>
          <w:sz w:val="14"/>
        </w:rPr>
        <w:t xml:space="preserve"> </w:t>
      </w:r>
      <w:r>
        <w:rPr>
          <w:rFonts w:ascii="Trebuchet MS"/>
          <w:color w:val="231F20"/>
          <w:w w:val="105"/>
          <w:sz w:val="14"/>
        </w:rPr>
        <w:t>in</w:t>
      </w:r>
      <w:r>
        <w:rPr>
          <w:rFonts w:ascii="Trebuchet MS"/>
          <w:color w:val="231F20"/>
          <w:spacing w:val="-9"/>
          <w:w w:val="105"/>
          <w:sz w:val="14"/>
        </w:rPr>
        <w:t xml:space="preserve"> </w:t>
      </w:r>
      <w:r>
        <w:rPr>
          <w:rFonts w:ascii="Trebuchet MS"/>
          <w:color w:val="231F20"/>
          <w:w w:val="105"/>
          <w:sz w:val="14"/>
        </w:rPr>
        <w:t>Times</w:t>
      </w:r>
      <w:r>
        <w:rPr>
          <w:rFonts w:ascii="Trebuchet MS"/>
          <w:color w:val="231F20"/>
          <w:spacing w:val="-9"/>
          <w:w w:val="105"/>
          <w:sz w:val="14"/>
        </w:rPr>
        <w:t xml:space="preserve"> </w:t>
      </w:r>
      <w:r>
        <w:rPr>
          <w:rFonts w:ascii="Trebuchet MS"/>
          <w:color w:val="231F20"/>
          <w:w w:val="105"/>
          <w:sz w:val="14"/>
        </w:rPr>
        <w:t>of</w:t>
      </w:r>
      <w:r>
        <w:rPr>
          <w:rFonts w:ascii="Trebuchet MS"/>
          <w:color w:val="231F20"/>
          <w:spacing w:val="-8"/>
          <w:w w:val="105"/>
          <w:sz w:val="14"/>
        </w:rPr>
        <w:t xml:space="preserve"> </w:t>
      </w:r>
      <w:r>
        <w:rPr>
          <w:rFonts w:ascii="Trebuchet MS"/>
          <w:color w:val="231F20"/>
          <w:w w:val="105"/>
          <w:sz w:val="14"/>
        </w:rPr>
        <w:t>Change</w:t>
      </w:r>
      <w:r>
        <w:rPr>
          <w:rFonts w:ascii="Trebuchet MS"/>
          <w:color w:val="231F20"/>
          <w:spacing w:val="67"/>
          <w:w w:val="150"/>
          <w:sz w:val="14"/>
        </w:rPr>
        <w:t xml:space="preserve"> </w:t>
      </w:r>
      <w:r>
        <w:rPr>
          <w:rFonts w:ascii="Trebuchet MS"/>
          <w:color w:val="231F20"/>
          <w:spacing w:val="-5"/>
          <w:w w:val="105"/>
          <w:sz w:val="14"/>
        </w:rPr>
        <w:t>15</w:t>
      </w:r>
    </w:p>
    <w:p w14:paraId="2AE2D47E" w14:textId="77777777" w:rsidR="00AE0598" w:rsidRDefault="00AE0598">
      <w:pPr>
        <w:pStyle w:val="Corpodetexto"/>
        <w:spacing w:before="7"/>
        <w:rPr>
          <w:rFonts w:ascii="Trebuchet MS"/>
          <w:sz w:val="19"/>
        </w:rPr>
      </w:pPr>
    </w:p>
    <w:p w14:paraId="5AFEB618" w14:textId="77777777" w:rsidR="00AE0598" w:rsidRDefault="0069255A">
      <w:pPr>
        <w:spacing w:before="81"/>
        <w:ind w:left="376" w:right="415"/>
        <w:jc w:val="center"/>
        <w:rPr>
          <w:rFonts w:ascii="Segoe UI Symbol"/>
          <w:sz w:val="16"/>
        </w:rPr>
      </w:pPr>
      <w:r>
        <w:rPr>
          <w:rFonts w:ascii="Segoe UI Symbol"/>
          <w:color w:val="231F20"/>
          <w:w w:val="105"/>
          <w:sz w:val="16"/>
        </w:rPr>
        <w:t>SPORT</w:t>
      </w:r>
      <w:r>
        <w:rPr>
          <w:rFonts w:ascii="Segoe UI Symbol"/>
          <w:color w:val="231F20"/>
          <w:spacing w:val="6"/>
          <w:w w:val="110"/>
          <w:sz w:val="16"/>
        </w:rPr>
        <w:t xml:space="preserve"> </w:t>
      </w:r>
      <w:r>
        <w:rPr>
          <w:rFonts w:ascii="Segoe UI Symbol"/>
          <w:color w:val="231F20"/>
          <w:spacing w:val="-2"/>
          <w:w w:val="110"/>
          <w:sz w:val="16"/>
        </w:rPr>
        <w:t>TOURISM</w:t>
      </w:r>
    </w:p>
    <w:p w14:paraId="789CAC21" w14:textId="6DCE377A" w:rsidR="00AE0598" w:rsidRDefault="0069255A">
      <w:pPr>
        <w:pStyle w:val="Corpodetexto"/>
        <w:spacing w:before="11"/>
        <w:rPr>
          <w:rFonts w:ascii="Segoe UI Symbol"/>
          <w:sz w:val="3"/>
        </w:rPr>
      </w:pPr>
      <w:r>
        <w:rPr>
          <w:noProof/>
        </w:rPr>
        <mc:AlternateContent>
          <mc:Choice Requires="wpg">
            <w:drawing>
              <wp:anchor distT="0" distB="0" distL="0" distR="0" simplePos="0" relativeHeight="487598592" behindDoc="1" locked="0" layoutInCell="1" allowOverlap="1" wp14:anchorId="31A4A6C4" wp14:editId="605D13D2">
                <wp:simplePos x="0" y="0"/>
                <wp:positionH relativeFrom="page">
                  <wp:posOffset>1318260</wp:posOffset>
                </wp:positionH>
                <wp:positionV relativeFrom="paragraph">
                  <wp:posOffset>60960</wp:posOffset>
                </wp:positionV>
                <wp:extent cx="2978785" cy="3007360"/>
                <wp:effectExtent l="0" t="0" r="0" b="0"/>
                <wp:wrapTopAndBottom/>
                <wp:docPr id="346" name="docshapegroup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978785" cy="3007360"/>
                          <a:chOff x="2076" y="96"/>
                          <a:chExt cx="4691" cy="4736"/>
                        </a:xfrm>
                      </wpg:grpSpPr>
                      <wps:wsp>
                        <wps:cNvPr id="347" name="docshape23"/>
                        <wps:cNvSpPr>
                          <a:spLocks/>
                        </wps:cNvSpPr>
                        <wps:spPr bwMode="auto">
                          <a:xfrm>
                            <a:off x="2081" y="116"/>
                            <a:ext cx="4681" cy="4711"/>
                          </a:xfrm>
                          <a:custGeom>
                            <a:avLst/>
                            <a:gdLst>
                              <a:gd name="T0" fmla="+- 0 2092 2081"/>
                              <a:gd name="T1" fmla="*/ T0 w 4681"/>
                              <a:gd name="T2" fmla="+- 0 2245 116"/>
                              <a:gd name="T3" fmla="*/ 2245 h 4711"/>
                              <a:gd name="T4" fmla="+- 0 2138 2081"/>
                              <a:gd name="T5" fmla="*/ T4 w 4681"/>
                              <a:gd name="T6" fmla="+- 0 1952 116"/>
                              <a:gd name="T7" fmla="*/ 1952 h 4711"/>
                              <a:gd name="T8" fmla="+- 0 2219 2081"/>
                              <a:gd name="T9" fmla="*/ T8 w 4681"/>
                              <a:gd name="T10" fmla="+- 0 1672 116"/>
                              <a:gd name="T11" fmla="*/ 1672 h 4711"/>
                              <a:gd name="T12" fmla="+- 0 2333 2081"/>
                              <a:gd name="T13" fmla="*/ T12 w 4681"/>
                              <a:gd name="T14" fmla="+- 0 1408 116"/>
                              <a:gd name="T15" fmla="*/ 1408 h 4711"/>
                              <a:gd name="T16" fmla="+- 0 2476 2081"/>
                              <a:gd name="T17" fmla="*/ T16 w 4681"/>
                              <a:gd name="T18" fmla="+- 0 1162 116"/>
                              <a:gd name="T19" fmla="*/ 1162 h 4711"/>
                              <a:gd name="T20" fmla="+- 0 2647 2081"/>
                              <a:gd name="T21" fmla="*/ T20 w 4681"/>
                              <a:gd name="T22" fmla="+- 0 936 116"/>
                              <a:gd name="T23" fmla="*/ 936 h 4711"/>
                              <a:gd name="T24" fmla="+- 0 2843 2081"/>
                              <a:gd name="T25" fmla="*/ T24 w 4681"/>
                              <a:gd name="T26" fmla="+- 0 733 116"/>
                              <a:gd name="T27" fmla="*/ 733 h 4711"/>
                              <a:gd name="T28" fmla="+- 0 3062 2081"/>
                              <a:gd name="T29" fmla="*/ T28 w 4681"/>
                              <a:gd name="T30" fmla="+- 0 554 116"/>
                              <a:gd name="T31" fmla="*/ 554 h 4711"/>
                              <a:gd name="T32" fmla="+- 0 3302 2081"/>
                              <a:gd name="T33" fmla="*/ T32 w 4681"/>
                              <a:gd name="T34" fmla="+- 0 403 116"/>
                              <a:gd name="T35" fmla="*/ 403 h 4711"/>
                              <a:gd name="T36" fmla="+- 0 3560 2081"/>
                              <a:gd name="T37" fmla="*/ T36 w 4681"/>
                              <a:gd name="T38" fmla="+- 0 281 116"/>
                              <a:gd name="T39" fmla="*/ 281 h 4711"/>
                              <a:gd name="T40" fmla="+- 0 3835 2081"/>
                              <a:gd name="T41" fmla="*/ T40 w 4681"/>
                              <a:gd name="T42" fmla="+- 0 191 116"/>
                              <a:gd name="T43" fmla="*/ 191 h 4711"/>
                              <a:gd name="T44" fmla="+- 0 4122 2081"/>
                              <a:gd name="T45" fmla="*/ T44 w 4681"/>
                              <a:gd name="T46" fmla="+- 0 135 116"/>
                              <a:gd name="T47" fmla="*/ 135 h 4711"/>
                              <a:gd name="T48" fmla="+- 0 4422 2081"/>
                              <a:gd name="T49" fmla="*/ T48 w 4681"/>
                              <a:gd name="T50" fmla="+- 0 116 116"/>
                              <a:gd name="T51" fmla="*/ 116 h 4711"/>
                              <a:gd name="T52" fmla="+- 0 4721 2081"/>
                              <a:gd name="T53" fmla="*/ T52 w 4681"/>
                              <a:gd name="T54" fmla="+- 0 135 116"/>
                              <a:gd name="T55" fmla="*/ 135 h 4711"/>
                              <a:gd name="T56" fmla="+- 0 5009 2081"/>
                              <a:gd name="T57" fmla="*/ T56 w 4681"/>
                              <a:gd name="T58" fmla="+- 0 191 116"/>
                              <a:gd name="T59" fmla="*/ 191 h 4711"/>
                              <a:gd name="T60" fmla="+- 0 5283 2081"/>
                              <a:gd name="T61" fmla="*/ T60 w 4681"/>
                              <a:gd name="T62" fmla="+- 0 281 116"/>
                              <a:gd name="T63" fmla="*/ 281 h 4711"/>
                              <a:gd name="T64" fmla="+- 0 5541 2081"/>
                              <a:gd name="T65" fmla="*/ T64 w 4681"/>
                              <a:gd name="T66" fmla="+- 0 403 116"/>
                              <a:gd name="T67" fmla="*/ 403 h 4711"/>
                              <a:gd name="T68" fmla="+- 0 5781 2081"/>
                              <a:gd name="T69" fmla="*/ T68 w 4681"/>
                              <a:gd name="T70" fmla="+- 0 554 116"/>
                              <a:gd name="T71" fmla="*/ 554 h 4711"/>
                              <a:gd name="T72" fmla="+- 0 6000 2081"/>
                              <a:gd name="T73" fmla="*/ T72 w 4681"/>
                              <a:gd name="T74" fmla="+- 0 733 116"/>
                              <a:gd name="T75" fmla="*/ 733 h 4711"/>
                              <a:gd name="T76" fmla="+- 0 6196 2081"/>
                              <a:gd name="T77" fmla="*/ T76 w 4681"/>
                              <a:gd name="T78" fmla="+- 0 936 116"/>
                              <a:gd name="T79" fmla="*/ 936 h 4711"/>
                              <a:gd name="T80" fmla="+- 0 6367 2081"/>
                              <a:gd name="T81" fmla="*/ T80 w 4681"/>
                              <a:gd name="T82" fmla="+- 0 1162 116"/>
                              <a:gd name="T83" fmla="*/ 1162 h 4711"/>
                              <a:gd name="T84" fmla="+- 0 6510 2081"/>
                              <a:gd name="T85" fmla="*/ T84 w 4681"/>
                              <a:gd name="T86" fmla="+- 0 1408 116"/>
                              <a:gd name="T87" fmla="*/ 1408 h 4711"/>
                              <a:gd name="T88" fmla="+- 0 6624 2081"/>
                              <a:gd name="T89" fmla="*/ T88 w 4681"/>
                              <a:gd name="T90" fmla="+- 0 1672 116"/>
                              <a:gd name="T91" fmla="*/ 1672 h 4711"/>
                              <a:gd name="T92" fmla="+- 0 6705 2081"/>
                              <a:gd name="T93" fmla="*/ T92 w 4681"/>
                              <a:gd name="T94" fmla="+- 0 1952 116"/>
                              <a:gd name="T95" fmla="*/ 1952 h 4711"/>
                              <a:gd name="T96" fmla="+- 0 6751 2081"/>
                              <a:gd name="T97" fmla="*/ T96 w 4681"/>
                              <a:gd name="T98" fmla="+- 0 2245 116"/>
                              <a:gd name="T99" fmla="*/ 2245 h 4711"/>
                              <a:gd name="T100" fmla="+- 0 6761 2081"/>
                              <a:gd name="T101" fmla="*/ T100 w 4681"/>
                              <a:gd name="T102" fmla="+- 0 2548 116"/>
                              <a:gd name="T103" fmla="*/ 2548 h 4711"/>
                              <a:gd name="T104" fmla="+- 0 6732 2081"/>
                              <a:gd name="T105" fmla="*/ T104 w 4681"/>
                              <a:gd name="T106" fmla="+- 0 2846 116"/>
                              <a:gd name="T107" fmla="*/ 2846 h 4711"/>
                              <a:gd name="T108" fmla="+- 0 6668 2081"/>
                              <a:gd name="T109" fmla="*/ T108 w 4681"/>
                              <a:gd name="T110" fmla="+- 0 3133 116"/>
                              <a:gd name="T111" fmla="*/ 3133 h 4711"/>
                              <a:gd name="T112" fmla="+- 0 6571 2081"/>
                              <a:gd name="T113" fmla="*/ T112 w 4681"/>
                              <a:gd name="T114" fmla="+- 0 3405 116"/>
                              <a:gd name="T115" fmla="*/ 3405 h 4711"/>
                              <a:gd name="T116" fmla="+- 0 6442 2081"/>
                              <a:gd name="T117" fmla="*/ T116 w 4681"/>
                              <a:gd name="T118" fmla="+- 0 3660 116"/>
                              <a:gd name="T119" fmla="*/ 3660 h 4711"/>
                              <a:gd name="T120" fmla="+- 0 6285 2081"/>
                              <a:gd name="T121" fmla="*/ T120 w 4681"/>
                              <a:gd name="T122" fmla="+- 0 3896 116"/>
                              <a:gd name="T123" fmla="*/ 3896 h 4711"/>
                              <a:gd name="T124" fmla="+- 0 6101 2081"/>
                              <a:gd name="T125" fmla="*/ T124 w 4681"/>
                              <a:gd name="T126" fmla="+- 0 4111 116"/>
                              <a:gd name="T127" fmla="*/ 4111 h 4711"/>
                              <a:gd name="T128" fmla="+- 0 5893 2081"/>
                              <a:gd name="T129" fmla="*/ T128 w 4681"/>
                              <a:gd name="T130" fmla="+- 0 4303 116"/>
                              <a:gd name="T131" fmla="*/ 4303 h 4711"/>
                              <a:gd name="T132" fmla="+- 0 5663 2081"/>
                              <a:gd name="T133" fmla="*/ T132 w 4681"/>
                              <a:gd name="T134" fmla="+- 0 4468 116"/>
                              <a:gd name="T135" fmla="*/ 4468 h 4711"/>
                              <a:gd name="T136" fmla="+- 0 5414 2081"/>
                              <a:gd name="T137" fmla="*/ T136 w 4681"/>
                              <a:gd name="T138" fmla="+- 0 4605 116"/>
                              <a:gd name="T139" fmla="*/ 4605 h 4711"/>
                              <a:gd name="T140" fmla="+- 0 5148 2081"/>
                              <a:gd name="T141" fmla="*/ T140 w 4681"/>
                              <a:gd name="T142" fmla="+- 0 4711 116"/>
                              <a:gd name="T143" fmla="*/ 4711 h 4711"/>
                              <a:gd name="T144" fmla="+- 0 4866 2081"/>
                              <a:gd name="T145" fmla="*/ T144 w 4681"/>
                              <a:gd name="T146" fmla="+- 0 4784 116"/>
                              <a:gd name="T147" fmla="*/ 4784 h 4711"/>
                              <a:gd name="T148" fmla="+- 0 4573 2081"/>
                              <a:gd name="T149" fmla="*/ T148 w 4681"/>
                              <a:gd name="T150" fmla="+- 0 4822 116"/>
                              <a:gd name="T151" fmla="*/ 4822 h 4711"/>
                              <a:gd name="T152" fmla="+- 0 4271 2081"/>
                              <a:gd name="T153" fmla="*/ T152 w 4681"/>
                              <a:gd name="T154" fmla="+- 0 4822 116"/>
                              <a:gd name="T155" fmla="*/ 4822 h 4711"/>
                              <a:gd name="T156" fmla="+- 0 3977 2081"/>
                              <a:gd name="T157" fmla="*/ T156 w 4681"/>
                              <a:gd name="T158" fmla="+- 0 4784 116"/>
                              <a:gd name="T159" fmla="*/ 4784 h 4711"/>
                              <a:gd name="T160" fmla="+- 0 3696 2081"/>
                              <a:gd name="T161" fmla="*/ T160 w 4681"/>
                              <a:gd name="T162" fmla="+- 0 4711 116"/>
                              <a:gd name="T163" fmla="*/ 4711 h 4711"/>
                              <a:gd name="T164" fmla="+- 0 3429 2081"/>
                              <a:gd name="T165" fmla="*/ T164 w 4681"/>
                              <a:gd name="T166" fmla="+- 0 4605 116"/>
                              <a:gd name="T167" fmla="*/ 4605 h 4711"/>
                              <a:gd name="T168" fmla="+- 0 3180 2081"/>
                              <a:gd name="T169" fmla="*/ T168 w 4681"/>
                              <a:gd name="T170" fmla="+- 0 4468 116"/>
                              <a:gd name="T171" fmla="*/ 4468 h 4711"/>
                              <a:gd name="T172" fmla="+- 0 2950 2081"/>
                              <a:gd name="T173" fmla="*/ T172 w 4681"/>
                              <a:gd name="T174" fmla="+- 0 4303 116"/>
                              <a:gd name="T175" fmla="*/ 4303 h 4711"/>
                              <a:gd name="T176" fmla="+- 0 2742 2081"/>
                              <a:gd name="T177" fmla="*/ T176 w 4681"/>
                              <a:gd name="T178" fmla="+- 0 4111 116"/>
                              <a:gd name="T179" fmla="*/ 4111 h 4711"/>
                              <a:gd name="T180" fmla="+- 0 2558 2081"/>
                              <a:gd name="T181" fmla="*/ T180 w 4681"/>
                              <a:gd name="T182" fmla="+- 0 3896 116"/>
                              <a:gd name="T183" fmla="*/ 3896 h 4711"/>
                              <a:gd name="T184" fmla="+- 0 2401 2081"/>
                              <a:gd name="T185" fmla="*/ T184 w 4681"/>
                              <a:gd name="T186" fmla="+- 0 3660 116"/>
                              <a:gd name="T187" fmla="*/ 3660 h 4711"/>
                              <a:gd name="T188" fmla="+- 0 2272 2081"/>
                              <a:gd name="T189" fmla="*/ T188 w 4681"/>
                              <a:gd name="T190" fmla="+- 0 3405 116"/>
                              <a:gd name="T191" fmla="*/ 3405 h 4711"/>
                              <a:gd name="T192" fmla="+- 0 2175 2081"/>
                              <a:gd name="T193" fmla="*/ T192 w 4681"/>
                              <a:gd name="T194" fmla="+- 0 3133 116"/>
                              <a:gd name="T195" fmla="*/ 3133 h 4711"/>
                              <a:gd name="T196" fmla="+- 0 2111 2081"/>
                              <a:gd name="T197" fmla="*/ T196 w 4681"/>
                              <a:gd name="T198" fmla="+- 0 2846 116"/>
                              <a:gd name="T199" fmla="*/ 2846 h 4711"/>
                              <a:gd name="T200" fmla="+- 0 2082 2081"/>
                              <a:gd name="T201" fmla="*/ T200 w 4681"/>
                              <a:gd name="T202" fmla="+- 0 2548 116"/>
                              <a:gd name="T203" fmla="*/ 2548 h 47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Lst>
                            <a:rect l="0" t="0" r="r" b="b"/>
                            <a:pathLst>
                              <a:path w="4681" h="4711">
                                <a:moveTo>
                                  <a:pt x="0" y="2355"/>
                                </a:moveTo>
                                <a:lnTo>
                                  <a:pt x="1" y="2279"/>
                                </a:lnTo>
                                <a:lnTo>
                                  <a:pt x="5" y="2204"/>
                                </a:lnTo>
                                <a:lnTo>
                                  <a:pt x="11" y="2129"/>
                                </a:lnTo>
                                <a:lnTo>
                                  <a:pt x="19" y="2054"/>
                                </a:lnTo>
                                <a:lnTo>
                                  <a:pt x="30" y="1981"/>
                                </a:lnTo>
                                <a:lnTo>
                                  <a:pt x="42" y="1908"/>
                                </a:lnTo>
                                <a:lnTo>
                                  <a:pt x="57" y="1836"/>
                                </a:lnTo>
                                <a:lnTo>
                                  <a:pt x="74" y="1765"/>
                                </a:lnTo>
                                <a:lnTo>
                                  <a:pt x="94" y="1694"/>
                                </a:lnTo>
                                <a:lnTo>
                                  <a:pt x="115" y="1625"/>
                                </a:lnTo>
                                <a:lnTo>
                                  <a:pt x="138" y="1556"/>
                                </a:lnTo>
                                <a:lnTo>
                                  <a:pt x="164" y="1489"/>
                                </a:lnTo>
                                <a:lnTo>
                                  <a:pt x="191" y="1422"/>
                                </a:lnTo>
                                <a:lnTo>
                                  <a:pt x="221" y="1357"/>
                                </a:lnTo>
                                <a:lnTo>
                                  <a:pt x="252" y="1292"/>
                                </a:lnTo>
                                <a:lnTo>
                                  <a:pt x="285" y="1229"/>
                                </a:lnTo>
                                <a:lnTo>
                                  <a:pt x="320" y="1167"/>
                                </a:lnTo>
                                <a:lnTo>
                                  <a:pt x="357" y="1106"/>
                                </a:lnTo>
                                <a:lnTo>
                                  <a:pt x="395" y="1046"/>
                                </a:lnTo>
                                <a:lnTo>
                                  <a:pt x="435" y="988"/>
                                </a:lnTo>
                                <a:lnTo>
                                  <a:pt x="477" y="930"/>
                                </a:lnTo>
                                <a:lnTo>
                                  <a:pt x="521" y="875"/>
                                </a:lnTo>
                                <a:lnTo>
                                  <a:pt x="566" y="820"/>
                                </a:lnTo>
                                <a:lnTo>
                                  <a:pt x="613" y="767"/>
                                </a:lnTo>
                                <a:lnTo>
                                  <a:pt x="661" y="715"/>
                                </a:lnTo>
                                <a:lnTo>
                                  <a:pt x="711" y="665"/>
                                </a:lnTo>
                                <a:lnTo>
                                  <a:pt x="762" y="617"/>
                                </a:lnTo>
                                <a:lnTo>
                                  <a:pt x="815" y="570"/>
                                </a:lnTo>
                                <a:lnTo>
                                  <a:pt x="869" y="524"/>
                                </a:lnTo>
                                <a:lnTo>
                                  <a:pt x="925" y="480"/>
                                </a:lnTo>
                                <a:lnTo>
                                  <a:pt x="981" y="438"/>
                                </a:lnTo>
                                <a:lnTo>
                                  <a:pt x="1039" y="398"/>
                                </a:lnTo>
                                <a:lnTo>
                                  <a:pt x="1099" y="359"/>
                                </a:lnTo>
                                <a:lnTo>
                                  <a:pt x="1159" y="322"/>
                                </a:lnTo>
                                <a:lnTo>
                                  <a:pt x="1221" y="287"/>
                                </a:lnTo>
                                <a:lnTo>
                                  <a:pt x="1284" y="253"/>
                                </a:lnTo>
                                <a:lnTo>
                                  <a:pt x="1348" y="222"/>
                                </a:lnTo>
                                <a:lnTo>
                                  <a:pt x="1413" y="193"/>
                                </a:lnTo>
                                <a:lnTo>
                                  <a:pt x="1479" y="165"/>
                                </a:lnTo>
                                <a:lnTo>
                                  <a:pt x="1546" y="139"/>
                                </a:lnTo>
                                <a:lnTo>
                                  <a:pt x="1615" y="116"/>
                                </a:lnTo>
                                <a:lnTo>
                                  <a:pt x="1684" y="94"/>
                                </a:lnTo>
                                <a:lnTo>
                                  <a:pt x="1754" y="75"/>
                                </a:lnTo>
                                <a:lnTo>
                                  <a:pt x="1824" y="58"/>
                                </a:lnTo>
                                <a:lnTo>
                                  <a:pt x="1896" y="43"/>
                                </a:lnTo>
                                <a:lnTo>
                                  <a:pt x="1968" y="30"/>
                                </a:lnTo>
                                <a:lnTo>
                                  <a:pt x="2041" y="19"/>
                                </a:lnTo>
                                <a:lnTo>
                                  <a:pt x="2115" y="11"/>
                                </a:lnTo>
                                <a:lnTo>
                                  <a:pt x="2190" y="5"/>
                                </a:lnTo>
                                <a:lnTo>
                                  <a:pt x="2265" y="2"/>
                                </a:lnTo>
                                <a:lnTo>
                                  <a:pt x="2341" y="0"/>
                                </a:lnTo>
                                <a:lnTo>
                                  <a:pt x="2416" y="2"/>
                                </a:lnTo>
                                <a:lnTo>
                                  <a:pt x="2492" y="5"/>
                                </a:lnTo>
                                <a:lnTo>
                                  <a:pt x="2566" y="11"/>
                                </a:lnTo>
                                <a:lnTo>
                                  <a:pt x="2640" y="19"/>
                                </a:lnTo>
                                <a:lnTo>
                                  <a:pt x="2713" y="30"/>
                                </a:lnTo>
                                <a:lnTo>
                                  <a:pt x="2785" y="43"/>
                                </a:lnTo>
                                <a:lnTo>
                                  <a:pt x="2857" y="58"/>
                                </a:lnTo>
                                <a:lnTo>
                                  <a:pt x="2928" y="75"/>
                                </a:lnTo>
                                <a:lnTo>
                                  <a:pt x="2998" y="94"/>
                                </a:lnTo>
                                <a:lnTo>
                                  <a:pt x="3067" y="116"/>
                                </a:lnTo>
                                <a:lnTo>
                                  <a:pt x="3135" y="139"/>
                                </a:lnTo>
                                <a:lnTo>
                                  <a:pt x="3202" y="165"/>
                                </a:lnTo>
                                <a:lnTo>
                                  <a:pt x="3268" y="193"/>
                                </a:lnTo>
                                <a:lnTo>
                                  <a:pt x="3333" y="222"/>
                                </a:lnTo>
                                <a:lnTo>
                                  <a:pt x="3397" y="253"/>
                                </a:lnTo>
                                <a:lnTo>
                                  <a:pt x="3460" y="287"/>
                                </a:lnTo>
                                <a:lnTo>
                                  <a:pt x="3522" y="322"/>
                                </a:lnTo>
                                <a:lnTo>
                                  <a:pt x="3582" y="359"/>
                                </a:lnTo>
                                <a:lnTo>
                                  <a:pt x="3642" y="398"/>
                                </a:lnTo>
                                <a:lnTo>
                                  <a:pt x="3700" y="438"/>
                                </a:lnTo>
                                <a:lnTo>
                                  <a:pt x="3757" y="480"/>
                                </a:lnTo>
                                <a:lnTo>
                                  <a:pt x="3812" y="524"/>
                                </a:lnTo>
                                <a:lnTo>
                                  <a:pt x="3866" y="570"/>
                                </a:lnTo>
                                <a:lnTo>
                                  <a:pt x="3919" y="617"/>
                                </a:lnTo>
                                <a:lnTo>
                                  <a:pt x="3970" y="665"/>
                                </a:lnTo>
                                <a:lnTo>
                                  <a:pt x="4020" y="715"/>
                                </a:lnTo>
                                <a:lnTo>
                                  <a:pt x="4068" y="767"/>
                                </a:lnTo>
                                <a:lnTo>
                                  <a:pt x="4115" y="820"/>
                                </a:lnTo>
                                <a:lnTo>
                                  <a:pt x="4160" y="875"/>
                                </a:lnTo>
                                <a:lnTo>
                                  <a:pt x="4204" y="930"/>
                                </a:lnTo>
                                <a:lnTo>
                                  <a:pt x="4246" y="988"/>
                                </a:lnTo>
                                <a:lnTo>
                                  <a:pt x="4286" y="1046"/>
                                </a:lnTo>
                                <a:lnTo>
                                  <a:pt x="4325" y="1106"/>
                                </a:lnTo>
                                <a:lnTo>
                                  <a:pt x="4361" y="1167"/>
                                </a:lnTo>
                                <a:lnTo>
                                  <a:pt x="4396" y="1229"/>
                                </a:lnTo>
                                <a:lnTo>
                                  <a:pt x="4429" y="1292"/>
                                </a:lnTo>
                                <a:lnTo>
                                  <a:pt x="4461" y="1357"/>
                                </a:lnTo>
                                <a:lnTo>
                                  <a:pt x="4490" y="1422"/>
                                </a:lnTo>
                                <a:lnTo>
                                  <a:pt x="4517" y="1489"/>
                                </a:lnTo>
                                <a:lnTo>
                                  <a:pt x="4543" y="1556"/>
                                </a:lnTo>
                                <a:lnTo>
                                  <a:pt x="4566" y="1625"/>
                                </a:lnTo>
                                <a:lnTo>
                                  <a:pt x="4587" y="1694"/>
                                </a:lnTo>
                                <a:lnTo>
                                  <a:pt x="4607" y="1765"/>
                                </a:lnTo>
                                <a:lnTo>
                                  <a:pt x="4624" y="1836"/>
                                </a:lnTo>
                                <a:lnTo>
                                  <a:pt x="4639" y="1908"/>
                                </a:lnTo>
                                <a:lnTo>
                                  <a:pt x="4651" y="1981"/>
                                </a:lnTo>
                                <a:lnTo>
                                  <a:pt x="4662" y="2054"/>
                                </a:lnTo>
                                <a:lnTo>
                                  <a:pt x="4670" y="2129"/>
                                </a:lnTo>
                                <a:lnTo>
                                  <a:pt x="4676" y="2204"/>
                                </a:lnTo>
                                <a:lnTo>
                                  <a:pt x="4680" y="2279"/>
                                </a:lnTo>
                                <a:lnTo>
                                  <a:pt x="4681" y="2355"/>
                                </a:lnTo>
                                <a:lnTo>
                                  <a:pt x="4680" y="2432"/>
                                </a:lnTo>
                                <a:lnTo>
                                  <a:pt x="4676" y="2507"/>
                                </a:lnTo>
                                <a:lnTo>
                                  <a:pt x="4670" y="2582"/>
                                </a:lnTo>
                                <a:lnTo>
                                  <a:pt x="4662" y="2657"/>
                                </a:lnTo>
                                <a:lnTo>
                                  <a:pt x="4651" y="2730"/>
                                </a:lnTo>
                                <a:lnTo>
                                  <a:pt x="4639" y="2803"/>
                                </a:lnTo>
                                <a:lnTo>
                                  <a:pt x="4624" y="2875"/>
                                </a:lnTo>
                                <a:lnTo>
                                  <a:pt x="4607" y="2946"/>
                                </a:lnTo>
                                <a:lnTo>
                                  <a:pt x="4587" y="3017"/>
                                </a:lnTo>
                                <a:lnTo>
                                  <a:pt x="4566" y="3086"/>
                                </a:lnTo>
                                <a:lnTo>
                                  <a:pt x="4543" y="3155"/>
                                </a:lnTo>
                                <a:lnTo>
                                  <a:pt x="4517" y="3222"/>
                                </a:lnTo>
                                <a:lnTo>
                                  <a:pt x="4490" y="3289"/>
                                </a:lnTo>
                                <a:lnTo>
                                  <a:pt x="4461" y="3354"/>
                                </a:lnTo>
                                <a:lnTo>
                                  <a:pt x="4429" y="3419"/>
                                </a:lnTo>
                                <a:lnTo>
                                  <a:pt x="4396" y="3482"/>
                                </a:lnTo>
                                <a:lnTo>
                                  <a:pt x="4361" y="3544"/>
                                </a:lnTo>
                                <a:lnTo>
                                  <a:pt x="4325" y="3605"/>
                                </a:lnTo>
                                <a:lnTo>
                                  <a:pt x="4286" y="3665"/>
                                </a:lnTo>
                                <a:lnTo>
                                  <a:pt x="4246" y="3723"/>
                                </a:lnTo>
                                <a:lnTo>
                                  <a:pt x="4204" y="3780"/>
                                </a:lnTo>
                                <a:lnTo>
                                  <a:pt x="4160" y="3836"/>
                                </a:lnTo>
                                <a:lnTo>
                                  <a:pt x="4115" y="3891"/>
                                </a:lnTo>
                                <a:lnTo>
                                  <a:pt x="4068" y="3944"/>
                                </a:lnTo>
                                <a:lnTo>
                                  <a:pt x="4020" y="3995"/>
                                </a:lnTo>
                                <a:lnTo>
                                  <a:pt x="3970" y="4046"/>
                                </a:lnTo>
                                <a:lnTo>
                                  <a:pt x="3919" y="4094"/>
                                </a:lnTo>
                                <a:lnTo>
                                  <a:pt x="3866" y="4141"/>
                                </a:lnTo>
                                <a:lnTo>
                                  <a:pt x="3812" y="4187"/>
                                </a:lnTo>
                                <a:lnTo>
                                  <a:pt x="3757" y="4231"/>
                                </a:lnTo>
                                <a:lnTo>
                                  <a:pt x="3700" y="4273"/>
                                </a:lnTo>
                                <a:lnTo>
                                  <a:pt x="3642" y="4313"/>
                                </a:lnTo>
                                <a:lnTo>
                                  <a:pt x="3582" y="4352"/>
                                </a:lnTo>
                                <a:lnTo>
                                  <a:pt x="3522" y="4389"/>
                                </a:lnTo>
                                <a:lnTo>
                                  <a:pt x="3460" y="4424"/>
                                </a:lnTo>
                                <a:lnTo>
                                  <a:pt x="3397" y="4457"/>
                                </a:lnTo>
                                <a:lnTo>
                                  <a:pt x="3333" y="4489"/>
                                </a:lnTo>
                                <a:lnTo>
                                  <a:pt x="3268" y="4518"/>
                                </a:lnTo>
                                <a:lnTo>
                                  <a:pt x="3202" y="4546"/>
                                </a:lnTo>
                                <a:lnTo>
                                  <a:pt x="3135" y="4571"/>
                                </a:lnTo>
                                <a:lnTo>
                                  <a:pt x="3067" y="4595"/>
                                </a:lnTo>
                                <a:lnTo>
                                  <a:pt x="2998" y="4616"/>
                                </a:lnTo>
                                <a:lnTo>
                                  <a:pt x="2928" y="4636"/>
                                </a:lnTo>
                                <a:lnTo>
                                  <a:pt x="2857" y="4653"/>
                                </a:lnTo>
                                <a:lnTo>
                                  <a:pt x="2785" y="4668"/>
                                </a:lnTo>
                                <a:lnTo>
                                  <a:pt x="2713" y="4681"/>
                                </a:lnTo>
                                <a:lnTo>
                                  <a:pt x="2640" y="4691"/>
                                </a:lnTo>
                                <a:lnTo>
                                  <a:pt x="2566" y="4700"/>
                                </a:lnTo>
                                <a:lnTo>
                                  <a:pt x="2492" y="4706"/>
                                </a:lnTo>
                                <a:lnTo>
                                  <a:pt x="2416" y="4709"/>
                                </a:lnTo>
                                <a:lnTo>
                                  <a:pt x="2341" y="4710"/>
                                </a:lnTo>
                                <a:lnTo>
                                  <a:pt x="2265" y="4709"/>
                                </a:lnTo>
                                <a:lnTo>
                                  <a:pt x="2190" y="4706"/>
                                </a:lnTo>
                                <a:lnTo>
                                  <a:pt x="2115" y="4700"/>
                                </a:lnTo>
                                <a:lnTo>
                                  <a:pt x="2041" y="4691"/>
                                </a:lnTo>
                                <a:lnTo>
                                  <a:pt x="1968" y="4681"/>
                                </a:lnTo>
                                <a:lnTo>
                                  <a:pt x="1896" y="4668"/>
                                </a:lnTo>
                                <a:lnTo>
                                  <a:pt x="1824" y="4653"/>
                                </a:lnTo>
                                <a:lnTo>
                                  <a:pt x="1754" y="4636"/>
                                </a:lnTo>
                                <a:lnTo>
                                  <a:pt x="1684" y="4616"/>
                                </a:lnTo>
                                <a:lnTo>
                                  <a:pt x="1615" y="4595"/>
                                </a:lnTo>
                                <a:lnTo>
                                  <a:pt x="1546" y="4571"/>
                                </a:lnTo>
                                <a:lnTo>
                                  <a:pt x="1479" y="4546"/>
                                </a:lnTo>
                                <a:lnTo>
                                  <a:pt x="1413" y="4518"/>
                                </a:lnTo>
                                <a:lnTo>
                                  <a:pt x="1348" y="4489"/>
                                </a:lnTo>
                                <a:lnTo>
                                  <a:pt x="1284" y="4457"/>
                                </a:lnTo>
                                <a:lnTo>
                                  <a:pt x="1221" y="4424"/>
                                </a:lnTo>
                                <a:lnTo>
                                  <a:pt x="1159" y="4389"/>
                                </a:lnTo>
                                <a:lnTo>
                                  <a:pt x="1099" y="4352"/>
                                </a:lnTo>
                                <a:lnTo>
                                  <a:pt x="1039" y="4313"/>
                                </a:lnTo>
                                <a:lnTo>
                                  <a:pt x="981" y="4273"/>
                                </a:lnTo>
                                <a:lnTo>
                                  <a:pt x="925" y="4231"/>
                                </a:lnTo>
                                <a:lnTo>
                                  <a:pt x="869" y="4187"/>
                                </a:lnTo>
                                <a:lnTo>
                                  <a:pt x="815" y="4141"/>
                                </a:lnTo>
                                <a:lnTo>
                                  <a:pt x="762" y="4094"/>
                                </a:lnTo>
                                <a:lnTo>
                                  <a:pt x="711" y="4046"/>
                                </a:lnTo>
                                <a:lnTo>
                                  <a:pt x="661" y="3995"/>
                                </a:lnTo>
                                <a:lnTo>
                                  <a:pt x="613" y="3944"/>
                                </a:lnTo>
                                <a:lnTo>
                                  <a:pt x="566" y="3891"/>
                                </a:lnTo>
                                <a:lnTo>
                                  <a:pt x="521" y="3836"/>
                                </a:lnTo>
                                <a:lnTo>
                                  <a:pt x="477" y="3780"/>
                                </a:lnTo>
                                <a:lnTo>
                                  <a:pt x="435" y="3723"/>
                                </a:lnTo>
                                <a:lnTo>
                                  <a:pt x="395" y="3665"/>
                                </a:lnTo>
                                <a:lnTo>
                                  <a:pt x="357" y="3605"/>
                                </a:lnTo>
                                <a:lnTo>
                                  <a:pt x="320" y="3544"/>
                                </a:lnTo>
                                <a:lnTo>
                                  <a:pt x="285" y="3482"/>
                                </a:lnTo>
                                <a:lnTo>
                                  <a:pt x="252" y="3419"/>
                                </a:lnTo>
                                <a:lnTo>
                                  <a:pt x="221" y="3354"/>
                                </a:lnTo>
                                <a:lnTo>
                                  <a:pt x="191" y="3289"/>
                                </a:lnTo>
                                <a:lnTo>
                                  <a:pt x="164" y="3222"/>
                                </a:lnTo>
                                <a:lnTo>
                                  <a:pt x="138" y="3155"/>
                                </a:lnTo>
                                <a:lnTo>
                                  <a:pt x="115" y="3086"/>
                                </a:lnTo>
                                <a:lnTo>
                                  <a:pt x="94" y="3017"/>
                                </a:lnTo>
                                <a:lnTo>
                                  <a:pt x="74" y="2946"/>
                                </a:lnTo>
                                <a:lnTo>
                                  <a:pt x="57" y="2875"/>
                                </a:lnTo>
                                <a:lnTo>
                                  <a:pt x="42" y="2803"/>
                                </a:lnTo>
                                <a:lnTo>
                                  <a:pt x="30" y="2730"/>
                                </a:lnTo>
                                <a:lnTo>
                                  <a:pt x="19" y="2657"/>
                                </a:lnTo>
                                <a:lnTo>
                                  <a:pt x="11" y="2582"/>
                                </a:lnTo>
                                <a:lnTo>
                                  <a:pt x="5" y="2507"/>
                                </a:lnTo>
                                <a:lnTo>
                                  <a:pt x="1" y="2432"/>
                                </a:lnTo>
                                <a:lnTo>
                                  <a:pt x="0" y="2355"/>
                                </a:lnTo>
                                <a:close/>
                              </a:path>
                            </a:pathLst>
                          </a:custGeom>
                          <a:noFill/>
                          <a:ln w="6350">
                            <a:solidFill>
                              <a:srgbClr val="231F2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8" name="docshape24"/>
                        <wps:cNvSpPr>
                          <a:spLocks/>
                        </wps:cNvSpPr>
                        <wps:spPr bwMode="auto">
                          <a:xfrm>
                            <a:off x="4421" y="96"/>
                            <a:ext cx="2" cy="2306"/>
                          </a:xfrm>
                          <a:custGeom>
                            <a:avLst/>
                            <a:gdLst>
                              <a:gd name="T0" fmla="+- 0 2263 96"/>
                              <a:gd name="T1" fmla="*/ 2263 h 2306"/>
                              <a:gd name="T2" fmla="+- 0 2402 96"/>
                              <a:gd name="T3" fmla="*/ 2402 h 2306"/>
                              <a:gd name="T4" fmla="+- 0 96 96"/>
                              <a:gd name="T5" fmla="*/ 96 h 2306"/>
                              <a:gd name="T6" fmla="+- 0 1368 96"/>
                              <a:gd name="T7" fmla="*/ 1368 h 2306"/>
                            </a:gdLst>
                            <a:ahLst/>
                            <a:cxnLst>
                              <a:cxn ang="0">
                                <a:pos x="0" y="T1"/>
                              </a:cxn>
                              <a:cxn ang="0">
                                <a:pos x="0" y="T3"/>
                              </a:cxn>
                              <a:cxn ang="0">
                                <a:pos x="0" y="T5"/>
                              </a:cxn>
                              <a:cxn ang="0">
                                <a:pos x="0" y="T7"/>
                              </a:cxn>
                            </a:cxnLst>
                            <a:rect l="0" t="0" r="r" b="b"/>
                            <a:pathLst>
                              <a:path h="2306">
                                <a:moveTo>
                                  <a:pt x="0" y="2167"/>
                                </a:moveTo>
                                <a:lnTo>
                                  <a:pt x="0" y="2306"/>
                                </a:lnTo>
                                <a:moveTo>
                                  <a:pt x="0" y="0"/>
                                </a:moveTo>
                                <a:lnTo>
                                  <a:pt x="0" y="1272"/>
                                </a:lnTo>
                              </a:path>
                            </a:pathLst>
                          </a:custGeom>
                          <a:noFill/>
                          <a:ln w="25819">
                            <a:solidFill>
                              <a:srgbClr val="231F2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9" name="docshape25"/>
                        <wps:cNvSpPr>
                          <a:spLocks/>
                        </wps:cNvSpPr>
                        <wps:spPr bwMode="auto">
                          <a:xfrm>
                            <a:off x="2286" y="2382"/>
                            <a:ext cx="4248" cy="1103"/>
                          </a:xfrm>
                          <a:custGeom>
                            <a:avLst/>
                            <a:gdLst>
                              <a:gd name="T0" fmla="+- 0 4422 2287"/>
                              <a:gd name="T1" fmla="*/ T0 w 4248"/>
                              <a:gd name="T2" fmla="+- 0 2383 2382"/>
                              <a:gd name="T3" fmla="*/ 2383 h 1103"/>
                              <a:gd name="T4" fmla="+- 0 6535 2287"/>
                              <a:gd name="T5" fmla="*/ T4 w 4248"/>
                              <a:gd name="T6" fmla="+- 0 3485 2382"/>
                              <a:gd name="T7" fmla="*/ 3485 h 1103"/>
                              <a:gd name="T8" fmla="+- 0 4419 2287"/>
                              <a:gd name="T9" fmla="*/ T8 w 4248"/>
                              <a:gd name="T10" fmla="+- 0 2382 2382"/>
                              <a:gd name="T11" fmla="*/ 2382 h 1103"/>
                              <a:gd name="T12" fmla="+- 0 2287 2287"/>
                              <a:gd name="T13" fmla="*/ T12 w 4248"/>
                              <a:gd name="T14" fmla="+- 0 3438 2382"/>
                              <a:gd name="T15" fmla="*/ 3438 h 1103"/>
                            </a:gdLst>
                            <a:ahLst/>
                            <a:cxnLst>
                              <a:cxn ang="0">
                                <a:pos x="T1" y="T3"/>
                              </a:cxn>
                              <a:cxn ang="0">
                                <a:pos x="T5" y="T7"/>
                              </a:cxn>
                              <a:cxn ang="0">
                                <a:pos x="T9" y="T11"/>
                              </a:cxn>
                              <a:cxn ang="0">
                                <a:pos x="T13" y="T15"/>
                              </a:cxn>
                            </a:cxnLst>
                            <a:rect l="0" t="0" r="r" b="b"/>
                            <a:pathLst>
                              <a:path w="4248" h="1103">
                                <a:moveTo>
                                  <a:pt x="2135" y="1"/>
                                </a:moveTo>
                                <a:lnTo>
                                  <a:pt x="4248" y="1103"/>
                                </a:lnTo>
                                <a:moveTo>
                                  <a:pt x="2132" y="0"/>
                                </a:moveTo>
                                <a:lnTo>
                                  <a:pt x="0" y="1056"/>
                                </a:lnTo>
                              </a:path>
                            </a:pathLst>
                          </a:custGeom>
                          <a:noFill/>
                          <a:ln w="25400">
                            <a:solidFill>
                              <a:srgbClr val="231F2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0" name="docshape26"/>
                        <wps:cNvSpPr txBox="1">
                          <a:spLocks noChangeArrowheads="1"/>
                        </wps:cNvSpPr>
                        <wps:spPr bwMode="auto">
                          <a:xfrm>
                            <a:off x="3018" y="892"/>
                            <a:ext cx="950" cy="1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FCA7CB" w14:textId="77777777" w:rsidR="00AE0598" w:rsidRDefault="0069255A">
                              <w:pPr>
                                <w:spacing w:line="194" w:lineRule="exact"/>
                                <w:rPr>
                                  <w:rFonts w:ascii="Segoe UI Symbol"/>
                                  <w:sz w:val="16"/>
                                </w:rPr>
                              </w:pPr>
                              <w:r>
                                <w:rPr>
                                  <w:rFonts w:ascii="Segoe UI Symbol"/>
                                  <w:color w:val="231F20"/>
                                  <w:spacing w:val="-2"/>
                                  <w:sz w:val="16"/>
                                </w:rPr>
                                <w:t>Development</w:t>
                              </w:r>
                            </w:p>
                          </w:txbxContent>
                        </wps:txbx>
                        <wps:bodyPr rot="0" vert="horz" wrap="square" lIns="0" tIns="0" rIns="0" bIns="0" anchor="t" anchorCtr="0" upright="1">
                          <a:noAutofit/>
                        </wps:bodyPr>
                      </wps:wsp>
                      <wps:wsp>
                        <wps:cNvPr id="351" name="docshape27"/>
                        <wps:cNvSpPr txBox="1">
                          <a:spLocks noChangeArrowheads="1"/>
                        </wps:cNvSpPr>
                        <wps:spPr bwMode="auto">
                          <a:xfrm>
                            <a:off x="4939" y="892"/>
                            <a:ext cx="626" cy="1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D9F8C0" w14:textId="77777777" w:rsidR="00AE0598" w:rsidRDefault="0069255A">
                              <w:pPr>
                                <w:spacing w:line="194" w:lineRule="exact"/>
                                <w:rPr>
                                  <w:rFonts w:ascii="Segoe UI Symbol"/>
                                  <w:sz w:val="16"/>
                                </w:rPr>
                              </w:pPr>
                              <w:r>
                                <w:rPr>
                                  <w:rFonts w:ascii="Segoe UI Symbol"/>
                                  <w:color w:val="231F20"/>
                                  <w:spacing w:val="-2"/>
                                  <w:sz w:val="16"/>
                                </w:rPr>
                                <w:t>Planning</w:t>
                              </w:r>
                            </w:p>
                          </w:txbxContent>
                        </wps:txbx>
                        <wps:bodyPr rot="0" vert="horz" wrap="square" lIns="0" tIns="0" rIns="0" bIns="0" anchor="t" anchorCtr="0" upright="1">
                          <a:noAutofit/>
                        </wps:bodyPr>
                      </wps:wsp>
                      <wps:wsp>
                        <wps:cNvPr id="352" name="docshape28"/>
                        <wps:cNvSpPr txBox="1">
                          <a:spLocks noChangeArrowheads="1"/>
                        </wps:cNvSpPr>
                        <wps:spPr bwMode="auto">
                          <a:xfrm>
                            <a:off x="4175" y="4166"/>
                            <a:ext cx="590" cy="1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011A13" w14:textId="77777777" w:rsidR="00AE0598" w:rsidRDefault="0069255A">
                              <w:pPr>
                                <w:spacing w:line="194" w:lineRule="exact"/>
                                <w:rPr>
                                  <w:rFonts w:ascii="Segoe UI Symbol"/>
                                  <w:sz w:val="16"/>
                                </w:rPr>
                              </w:pPr>
                              <w:r>
                                <w:rPr>
                                  <w:rFonts w:ascii="Segoe UI Symbol"/>
                                  <w:color w:val="231F20"/>
                                  <w:spacing w:val="-2"/>
                                  <w:sz w:val="16"/>
                                </w:rPr>
                                <w:t>Markets</w:t>
                              </w:r>
                            </w:p>
                          </w:txbxContent>
                        </wps:txbx>
                        <wps:bodyPr rot="0" vert="horz" wrap="square" lIns="0" tIns="0" rIns="0" bIns="0" anchor="t" anchorCtr="0" upright="1">
                          <a:noAutofit/>
                        </wps:bodyPr>
                      </wps:wsp>
                      <wps:wsp>
                        <wps:cNvPr id="353" name="docshape29"/>
                        <wps:cNvSpPr txBox="1">
                          <a:spLocks noChangeArrowheads="1"/>
                        </wps:cNvSpPr>
                        <wps:spPr bwMode="auto">
                          <a:xfrm>
                            <a:off x="3051" y="1368"/>
                            <a:ext cx="2797" cy="895"/>
                          </a:xfrm>
                          <a:prstGeom prst="rect">
                            <a:avLst/>
                          </a:prstGeom>
                          <a:solidFill>
                            <a:srgbClr val="D1D3D4"/>
                          </a:solidFill>
                          <a:ln w="6350">
                            <a:solidFill>
                              <a:srgbClr val="231F20"/>
                            </a:solidFill>
                            <a:prstDash val="solid"/>
                            <a:miter lim="800000"/>
                            <a:headEnd/>
                            <a:tailEnd/>
                          </a:ln>
                        </wps:spPr>
                        <wps:txbx>
                          <w:txbxContent>
                            <w:p w14:paraId="13F165E2" w14:textId="77777777" w:rsidR="00AE0598" w:rsidRDefault="00AE0598">
                              <w:pPr>
                                <w:spacing w:before="8"/>
                                <w:rPr>
                                  <w:rFonts w:ascii="Segoe UI Symbol"/>
                                  <w:color w:val="000000"/>
                                  <w:sz w:val="17"/>
                                </w:rPr>
                              </w:pPr>
                            </w:p>
                            <w:p w14:paraId="2EDE572F" w14:textId="77777777" w:rsidR="00AE0598" w:rsidRDefault="0069255A">
                              <w:pPr>
                                <w:spacing w:line="210" w:lineRule="exact"/>
                                <w:ind w:left="57" w:right="44"/>
                                <w:jc w:val="center"/>
                                <w:rPr>
                                  <w:rFonts w:ascii="Segoe UI Symbol"/>
                                  <w:color w:val="000000"/>
                                  <w:sz w:val="16"/>
                                </w:rPr>
                              </w:pPr>
                              <w:r>
                                <w:rPr>
                                  <w:rFonts w:ascii="Segoe UI Symbol"/>
                                  <w:color w:val="231F20"/>
                                  <w:sz w:val="16"/>
                                </w:rPr>
                                <w:t>Spatial</w:t>
                              </w:r>
                              <w:r>
                                <w:rPr>
                                  <w:rFonts w:ascii="Segoe UI Symbol"/>
                                  <w:color w:val="231F20"/>
                                  <w:spacing w:val="-3"/>
                                  <w:sz w:val="16"/>
                                </w:rPr>
                                <w:t xml:space="preserve"> </w:t>
                              </w:r>
                              <w:r>
                                <w:rPr>
                                  <w:rFonts w:ascii="Segoe UI Symbol"/>
                                  <w:color w:val="231F20"/>
                                  <w:spacing w:val="-2"/>
                                  <w:sz w:val="16"/>
                                </w:rPr>
                                <w:t>dimension</w:t>
                              </w:r>
                            </w:p>
                            <w:p w14:paraId="22C375E0" w14:textId="77777777" w:rsidR="00AE0598" w:rsidRDefault="0069255A">
                              <w:pPr>
                                <w:tabs>
                                  <w:tab w:val="left" w:pos="687"/>
                                  <w:tab w:val="left" w:pos="1295"/>
                                </w:tabs>
                                <w:spacing w:line="185" w:lineRule="exact"/>
                                <w:ind w:right="44"/>
                                <w:jc w:val="center"/>
                                <w:rPr>
                                  <w:i/>
                                  <w:color w:val="000000"/>
                                  <w:sz w:val="16"/>
                                </w:rPr>
                              </w:pPr>
                              <w:r>
                                <w:rPr>
                                  <w:i/>
                                  <w:color w:val="231F20"/>
                                  <w:spacing w:val="-2"/>
                                  <w:sz w:val="16"/>
                                </w:rPr>
                                <w:t>Space</w:t>
                              </w:r>
                              <w:r>
                                <w:rPr>
                                  <w:i/>
                                  <w:color w:val="231F20"/>
                                  <w:sz w:val="16"/>
                                </w:rPr>
                                <w:tab/>
                              </w:r>
                              <w:r>
                                <w:rPr>
                                  <w:i/>
                                  <w:color w:val="231F20"/>
                                  <w:spacing w:val="-2"/>
                                  <w:sz w:val="16"/>
                                </w:rPr>
                                <w:t>Place</w:t>
                              </w:r>
                              <w:r>
                                <w:rPr>
                                  <w:i/>
                                  <w:color w:val="231F20"/>
                                  <w:sz w:val="16"/>
                                </w:rPr>
                                <w:tab/>
                              </w:r>
                              <w:r>
                                <w:rPr>
                                  <w:i/>
                                  <w:color w:val="231F20"/>
                                  <w:spacing w:val="-2"/>
                                  <w:sz w:val="16"/>
                                </w:rPr>
                                <w:t>Environment</w:t>
                              </w:r>
                            </w:p>
                          </w:txbxContent>
                        </wps:txbx>
                        <wps:bodyPr rot="0" vert="horz" wrap="square" lIns="0" tIns="0" rIns="0" bIns="0" anchor="t" anchorCtr="0" upright="1">
                          <a:noAutofit/>
                        </wps:bodyPr>
                      </wps:wsp>
                      <wps:wsp>
                        <wps:cNvPr id="354" name="docshape30"/>
                        <wps:cNvSpPr txBox="1">
                          <a:spLocks noChangeArrowheads="1"/>
                        </wps:cNvSpPr>
                        <wps:spPr bwMode="auto">
                          <a:xfrm>
                            <a:off x="3000" y="2627"/>
                            <a:ext cx="2797" cy="894"/>
                          </a:xfrm>
                          <a:prstGeom prst="rect">
                            <a:avLst/>
                          </a:prstGeom>
                          <a:solidFill>
                            <a:srgbClr val="D1D3D4"/>
                          </a:solidFill>
                          <a:ln w="6350">
                            <a:solidFill>
                              <a:srgbClr val="231F20"/>
                            </a:solidFill>
                            <a:prstDash val="solid"/>
                            <a:miter lim="800000"/>
                            <a:headEnd/>
                            <a:tailEnd/>
                          </a:ln>
                        </wps:spPr>
                        <wps:txbx>
                          <w:txbxContent>
                            <w:p w14:paraId="3F7E5040" w14:textId="77777777" w:rsidR="00AE0598" w:rsidRDefault="00AE0598">
                              <w:pPr>
                                <w:spacing w:before="7"/>
                                <w:rPr>
                                  <w:rFonts w:ascii="Segoe UI Symbol"/>
                                  <w:color w:val="000000"/>
                                  <w:sz w:val="17"/>
                                </w:rPr>
                              </w:pPr>
                            </w:p>
                            <w:p w14:paraId="6BD98FFF" w14:textId="77777777" w:rsidR="00AE0598" w:rsidRDefault="0069255A">
                              <w:pPr>
                                <w:spacing w:before="1" w:line="211" w:lineRule="exact"/>
                                <w:ind w:left="44" w:right="44"/>
                                <w:jc w:val="center"/>
                                <w:rPr>
                                  <w:rFonts w:ascii="Segoe UI Symbol"/>
                                  <w:color w:val="000000"/>
                                  <w:sz w:val="16"/>
                                </w:rPr>
                              </w:pPr>
                              <w:r>
                                <w:rPr>
                                  <w:rFonts w:ascii="Segoe UI Symbol"/>
                                  <w:color w:val="231F20"/>
                                  <w:spacing w:val="-4"/>
                                  <w:sz w:val="16"/>
                                </w:rPr>
                                <w:t>Temporal</w:t>
                              </w:r>
                              <w:r>
                                <w:rPr>
                                  <w:rFonts w:ascii="Segoe UI Symbol"/>
                                  <w:color w:val="231F20"/>
                                  <w:sz w:val="16"/>
                                </w:rPr>
                                <w:t xml:space="preserve"> </w:t>
                              </w:r>
                              <w:r>
                                <w:rPr>
                                  <w:rFonts w:ascii="Segoe UI Symbol"/>
                                  <w:color w:val="231F20"/>
                                  <w:spacing w:val="-2"/>
                                  <w:sz w:val="16"/>
                                </w:rPr>
                                <w:t>dimension</w:t>
                              </w:r>
                            </w:p>
                            <w:p w14:paraId="1476274B" w14:textId="77777777" w:rsidR="00AE0598" w:rsidRDefault="0069255A">
                              <w:pPr>
                                <w:tabs>
                                  <w:tab w:val="left" w:pos="1009"/>
                                  <w:tab w:val="left" w:pos="1779"/>
                                </w:tabs>
                                <w:spacing w:line="185" w:lineRule="exact"/>
                                <w:ind w:right="47"/>
                                <w:jc w:val="center"/>
                                <w:rPr>
                                  <w:i/>
                                  <w:color w:val="000000"/>
                                  <w:sz w:val="16"/>
                                </w:rPr>
                              </w:pPr>
                              <w:r>
                                <w:rPr>
                                  <w:i/>
                                  <w:color w:val="231F20"/>
                                  <w:spacing w:val="-2"/>
                                  <w:sz w:val="16"/>
                                </w:rPr>
                                <w:t>Experience</w:t>
                              </w:r>
                              <w:r>
                                <w:rPr>
                                  <w:i/>
                                  <w:color w:val="231F20"/>
                                  <w:sz w:val="16"/>
                                </w:rPr>
                                <w:tab/>
                              </w:r>
                              <w:r>
                                <w:rPr>
                                  <w:i/>
                                  <w:color w:val="231F20"/>
                                  <w:spacing w:val="-2"/>
                                  <w:sz w:val="16"/>
                                </w:rPr>
                                <w:t>Seasons</w:t>
                              </w:r>
                              <w:r>
                                <w:rPr>
                                  <w:i/>
                                  <w:color w:val="231F20"/>
                                  <w:sz w:val="16"/>
                                </w:rPr>
                                <w:tab/>
                              </w:r>
                              <w:r>
                                <w:rPr>
                                  <w:i/>
                                  <w:color w:val="231F20"/>
                                  <w:spacing w:val="-2"/>
                                  <w:sz w:val="16"/>
                                </w:rPr>
                                <w:t>Evolution</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1A4A6C4" id="docshapegroup22" o:spid="_x0000_s1029" style="position:absolute;margin-left:103.8pt;margin-top:4.8pt;width:234.55pt;height:236.8pt;z-index:-15717888;mso-wrap-distance-left:0;mso-wrap-distance-right:0;mso-position-horizontal-relative:page" coordorigin="2076,96" coordsize="4691,4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">
                <v:shape id="docshape23" o:spid="_x0000_s1030" style="position:absolute;left:2081;top:116;width:4681;height:4711;visibility:visible;mso-wrap-style:square;v-text-anchor:top" coordsize="4681,47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" path="m,2355r1,-76l5,2204r6,-75l19,2054r11,-73l42,1908r15,-72l74,1765r20,-71l115,1625r23,-69l164,1489r27,-67l221,1357r31,-65l285,1229r35,-62l357,1106r38,-60l435,988r42,-58l521,875r45,-55l613,767r48,-52l711,665r51,-48l815,570r54,-46l925,480r56,-42l1039,398r60,-39l1159,322r62,-35l1284,253r64,-31l1413,193r66,-28l1546,139r69,-23l1684,94r70,-19l1824,58r72,-15l1968,30r73,-11l2115,11r75,-6l2265,2,2341,r75,2l2492,5r74,6l2640,19r73,11l2785,43r72,15l2928,75r70,19l3067,116r68,23l3202,165r66,28l3333,222r64,31l3460,287r62,35l3582,359r60,39l3700,438r57,42l3812,524r54,46l3919,617r51,48l4020,715r48,52l4115,820r45,55l4204,930r42,58l4286,1046r39,60l4361,1167r35,62l4429,1292r32,65l4490,1422r27,67l4543,1556r23,69l4587,1694r20,71l4624,1836r15,72l4651,1981r11,73l4670,2129r6,75l4680,2279r1,76l4680,2432r-4,75l4670,2582r-8,75l4651,2730r-12,73l4624,2875r-17,71l4587,3017r-21,69l4543,3155r-26,67l4490,3289r-29,65l4429,3419r-33,63l4361,3544r-36,61l4286,3665r-40,58l4204,3780r-44,56l4115,3891r-47,53l4020,3995r-50,51l3919,4094r-53,47l3812,4187r-55,44l3700,4273r-58,40l3582,4352r-60,37l3460,4424r-63,33l3333,4489r-65,29l3202,4546r-67,25l3067,4595r-69,21l2928,4636r-71,17l2785,4668r-72,13l2640,4691r-74,9l2492,4706r-76,3l2341,4710r-76,-1l2190,4706r-75,-6l2041,4691r-73,-10l1896,4668r-72,-15l1754,4636r-70,-20l1615,4595r-69,-24l1479,4546r-66,-28l1348,4489r-64,-32l1221,4424r-62,-35l1099,4352r-60,-39l981,4273r-56,-42l869,4187r-54,-46l762,4094r-51,-48l661,3995r-48,-51l566,3891r-45,-55l477,3780r-42,-57l395,3665r-38,-60l320,3544r-35,-62l252,3419r-31,-65l191,3289r-27,-67l138,3155r-23,-69l94,3017,74,2946,57,2875,42,2803,30,2730,19,2657r-8,-75l5,2507,1,2432,,2355xe" filled="f" strokecolor="#231f20" strokeweight=".5pt">
                  <v:path arrowok="t" o:connecttype="custom" o:connectlocs="11,2245;57,1952;138,1672;252,1408;395,1162;566,936;762,733;981,554;1221,403;1479,281;1754,191;2041,135;2341,116;2640,135;2928,191;3202,281;3460,403;3700,554;3919,733;4115,936;4286,1162;4429,1408;4543,1672;4624,1952;4670,2245;4680,2548;4651,2846;4587,3133;4490,3405;4361,3660;4204,3896;4020,4111;3812,4303;3582,4468;3333,4605;3067,4711;2785,4784;2492,4822;2190,4822;1896,4784;1615,4711;1348,4605;1099,4468;869,4303;661,4111;477,3896;320,3660;191,3405;94,3133;30,2846;1,2548" o:connectangles="0,0,0,0,0,0,0,0,0,0,0,0,0,0,0,0,0,0,0,0,0,0,0,0,0,0,0,0,0,0,0,0,0,0,0,0,0,0,0,0,0,0,0,0,0,0,0,0,0,0,0"/>
                </v:shape>
                <v:shape id="docshape24" o:spid="_x0000_s1031" style="position:absolute;left:4421;top:96;width:2;height:2306;visibility:visible;mso-wrap-style:square;v-text-anchor:top" coordsize="2,2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" path="m,2167r,139m,l,1272e" filled="f" strokecolor="#231f20" strokeweight=".71719mm">
                  <v:path arrowok="t" o:connecttype="custom" o:connectlocs="0,2263;0,2402;0,96;0,1368" o:connectangles="0,0,0,0"/>
                </v:shape>
                <v:shape id="docshape25" o:spid="_x0000_s1032" style="position:absolute;left:2286;top:2382;width:4248;height:1103;visibility:visible;mso-wrap-style:square;v-text-anchor:top" coordsize="4248,1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" path="m2135,1l4248,1103m2132,l,1056e" filled="f" strokecolor="#231f20" strokeweight="2pt">
                  <v:path arrowok="t" o:connecttype="custom" o:connectlocs="2135,2383;4248,3485;2132,2382;0,3438" o:connectangles="0,0,0,0"/>
                </v:shape>
                <v:shape id="docshape26" o:spid="_x0000_s1033" type="#_x0000_t202" style="position:absolute;left:3018;top:892;width:950;height:1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" filled="f" stroked="f">
                  <v:textbox inset="0,0,0,0">
                    <w:txbxContent>
                      <w:p w14:paraId="70FCA7CB" w14:textId="77777777" w:rsidR="00AE0598" w:rsidRDefault="0069255A">
                        <w:pPr>
                          <w:spacing w:line="194" w:lineRule="exact"/>
                          <w:rPr>
                            <w:rFonts w:ascii="Segoe UI Symbol"/>
                            <w:sz w:val="16"/>
                          </w:rPr>
                        </w:pPr>
                        <w:r>
                          <w:rPr>
                            <w:rFonts w:ascii="Segoe UI Symbol"/>
                            <w:color w:val="231F20"/>
                            <w:spacing w:val="-2"/>
                            <w:sz w:val="16"/>
                          </w:rPr>
                          <w:t>Development</w:t>
                        </w:r>
                      </w:p>
                    </w:txbxContent>
                  </v:textbox>
                </v:shape>
                <v:shape id="docshape27" o:spid="_x0000_s1034" type="#_x0000_t202" style="position:absolute;left:4939;top:892;width:626;height:1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" filled="f" stroked="f">
                  <v:textbox inset="0,0,0,0">
                    <w:txbxContent>
                      <w:p w14:paraId="3FD9F8C0" w14:textId="77777777" w:rsidR="00AE0598" w:rsidRDefault="0069255A">
                        <w:pPr>
                          <w:spacing w:line="194" w:lineRule="exact"/>
                          <w:rPr>
                            <w:rFonts w:ascii="Segoe UI Symbol"/>
                            <w:sz w:val="16"/>
                          </w:rPr>
                        </w:pPr>
                        <w:r>
                          <w:rPr>
                            <w:rFonts w:ascii="Segoe UI Symbol"/>
                            <w:color w:val="231F20"/>
                            <w:spacing w:val="-2"/>
                            <w:sz w:val="16"/>
                          </w:rPr>
                          <w:t>Planning</w:t>
                        </w:r>
                      </w:p>
                    </w:txbxContent>
                  </v:textbox>
                </v:shape>
                <v:shape id="docshape28" o:spid="_x0000_s1035" type="#_x0000_t202" style="position:absolute;left:4175;top:4166;width:590;height:1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" filled="f" stroked="f">
                  <v:textbox inset="0,0,0,0">
                    <w:txbxContent>
                      <w:p w14:paraId="3C011A13" w14:textId="77777777" w:rsidR="00AE0598" w:rsidRDefault="0069255A">
                        <w:pPr>
                          <w:spacing w:line="194" w:lineRule="exact"/>
                          <w:rPr>
                            <w:rFonts w:ascii="Segoe UI Symbol"/>
                            <w:sz w:val="16"/>
                          </w:rPr>
                        </w:pPr>
                        <w:r>
                          <w:rPr>
                            <w:rFonts w:ascii="Segoe UI Symbol"/>
                            <w:color w:val="231F20"/>
                            <w:spacing w:val="-2"/>
                            <w:sz w:val="16"/>
                          </w:rPr>
                          <w:t>Markets</w:t>
                        </w:r>
                      </w:p>
                    </w:txbxContent>
                  </v:textbox>
                </v:shape>
                <v:shape id="docshape29" o:spid="_x0000_s1036" type="#_x0000_t202" style="position:absolute;left:3051;top:1368;width:2797;height: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" fillcolor="#d1d3d4" strokecolor="#231f20" strokeweight=".5pt">
                  <v:textbox inset="0,0,0,0">
                    <w:txbxContent>
                      <w:p w14:paraId="13F165E2" w14:textId="77777777" w:rsidR="00AE0598" w:rsidRDefault="00AE0598">
                        <w:pPr>
                          <w:spacing w:before="8"/>
                          <w:rPr>
                            <w:rFonts w:ascii="Segoe UI Symbol"/>
                            <w:color w:val="000000"/>
                            <w:sz w:val="17"/>
                          </w:rPr>
                        </w:pPr>
                      </w:p>
                      <w:p w14:paraId="2EDE572F" w14:textId="77777777" w:rsidR="00AE0598" w:rsidRDefault="0069255A">
                        <w:pPr>
                          <w:spacing w:line="210" w:lineRule="exact"/>
                          <w:ind w:left="57" w:right="44"/>
                          <w:jc w:val="center"/>
                          <w:rPr>
                            <w:rFonts w:ascii="Segoe UI Symbol"/>
                            <w:color w:val="000000"/>
                            <w:sz w:val="16"/>
                          </w:rPr>
                        </w:pPr>
                        <w:r>
                          <w:rPr>
                            <w:rFonts w:ascii="Segoe UI Symbol"/>
                            <w:color w:val="231F20"/>
                            <w:sz w:val="16"/>
                          </w:rPr>
                          <w:t>Spatial</w:t>
                        </w:r>
                        <w:r>
                          <w:rPr>
                            <w:rFonts w:ascii="Segoe UI Symbol"/>
                            <w:color w:val="231F20"/>
                            <w:spacing w:val="-3"/>
                            <w:sz w:val="16"/>
                          </w:rPr>
                          <w:t xml:space="preserve"> </w:t>
                        </w:r>
                        <w:r>
                          <w:rPr>
                            <w:rFonts w:ascii="Segoe UI Symbol"/>
                            <w:color w:val="231F20"/>
                            <w:spacing w:val="-2"/>
                            <w:sz w:val="16"/>
                          </w:rPr>
                          <w:t>dimension</w:t>
                        </w:r>
                      </w:p>
                      <w:p w14:paraId="22C375E0" w14:textId="77777777" w:rsidR="00AE0598" w:rsidRDefault="0069255A">
                        <w:pPr>
                          <w:tabs>
                            <w:tab w:val="left" w:pos="687"/>
                            <w:tab w:val="left" w:pos="1295"/>
                          </w:tabs>
                          <w:spacing w:line="185" w:lineRule="exact"/>
                          <w:ind w:right="44"/>
                          <w:jc w:val="center"/>
                          <w:rPr>
                            <w:i/>
                            <w:color w:val="000000"/>
                            <w:sz w:val="16"/>
                          </w:rPr>
                        </w:pPr>
                        <w:r>
                          <w:rPr>
                            <w:i/>
                            <w:color w:val="231F20"/>
                            <w:spacing w:val="-2"/>
                            <w:sz w:val="16"/>
                          </w:rPr>
                          <w:t>Space</w:t>
                        </w:r>
                        <w:r>
                          <w:rPr>
                            <w:i/>
                            <w:color w:val="231F20"/>
                            <w:sz w:val="16"/>
                          </w:rPr>
                          <w:tab/>
                        </w:r>
                        <w:r>
                          <w:rPr>
                            <w:i/>
                            <w:color w:val="231F20"/>
                            <w:spacing w:val="-2"/>
                            <w:sz w:val="16"/>
                          </w:rPr>
                          <w:t>Place</w:t>
                        </w:r>
                        <w:r>
                          <w:rPr>
                            <w:i/>
                            <w:color w:val="231F20"/>
                            <w:sz w:val="16"/>
                          </w:rPr>
                          <w:tab/>
                        </w:r>
                        <w:r>
                          <w:rPr>
                            <w:i/>
                            <w:color w:val="231F20"/>
                            <w:spacing w:val="-2"/>
                            <w:sz w:val="16"/>
                          </w:rPr>
                          <w:t>Environment</w:t>
                        </w:r>
                      </w:p>
                    </w:txbxContent>
                  </v:textbox>
                </v:shape>
                <v:shape id="docshape30" o:spid="_x0000_s1037" type="#_x0000_t202" style="position:absolute;left:3000;top:2627;width:2797;height:8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" fillcolor="#d1d3d4" strokecolor="#231f20" strokeweight=".5pt">
                  <v:textbox inset="0,0,0,0">
                    <w:txbxContent>
                      <w:p w14:paraId="3F7E5040" w14:textId="77777777" w:rsidR="00AE0598" w:rsidRDefault="00AE0598">
                        <w:pPr>
                          <w:spacing w:before="7"/>
                          <w:rPr>
                            <w:rFonts w:ascii="Segoe UI Symbol"/>
                            <w:color w:val="000000"/>
                            <w:sz w:val="17"/>
                          </w:rPr>
                        </w:pPr>
                      </w:p>
                      <w:p w14:paraId="6BD98FFF" w14:textId="77777777" w:rsidR="00AE0598" w:rsidRDefault="0069255A">
                        <w:pPr>
                          <w:spacing w:before="1" w:line="211" w:lineRule="exact"/>
                          <w:ind w:left="44" w:right="44"/>
                          <w:jc w:val="center"/>
                          <w:rPr>
                            <w:rFonts w:ascii="Segoe UI Symbol"/>
                            <w:color w:val="000000"/>
                            <w:sz w:val="16"/>
                          </w:rPr>
                        </w:pPr>
                        <w:r>
                          <w:rPr>
                            <w:rFonts w:ascii="Segoe UI Symbol"/>
                            <w:color w:val="231F20"/>
                            <w:spacing w:val="-4"/>
                            <w:sz w:val="16"/>
                          </w:rPr>
                          <w:t>Temporal</w:t>
                        </w:r>
                        <w:r>
                          <w:rPr>
                            <w:rFonts w:ascii="Segoe UI Symbol"/>
                            <w:color w:val="231F20"/>
                            <w:sz w:val="16"/>
                          </w:rPr>
                          <w:t xml:space="preserve"> </w:t>
                        </w:r>
                        <w:r>
                          <w:rPr>
                            <w:rFonts w:ascii="Segoe UI Symbol"/>
                            <w:color w:val="231F20"/>
                            <w:spacing w:val="-2"/>
                            <w:sz w:val="16"/>
                          </w:rPr>
                          <w:t>dimension</w:t>
                        </w:r>
                      </w:p>
                      <w:p w14:paraId="1476274B" w14:textId="77777777" w:rsidR="00AE0598" w:rsidRDefault="0069255A">
                        <w:pPr>
                          <w:tabs>
                            <w:tab w:val="left" w:pos="1009"/>
                            <w:tab w:val="left" w:pos="1779"/>
                          </w:tabs>
                          <w:spacing w:line="185" w:lineRule="exact"/>
                          <w:ind w:right="47"/>
                          <w:jc w:val="center"/>
                          <w:rPr>
                            <w:i/>
                            <w:color w:val="000000"/>
                            <w:sz w:val="16"/>
                          </w:rPr>
                        </w:pPr>
                        <w:r>
                          <w:rPr>
                            <w:i/>
                            <w:color w:val="231F20"/>
                            <w:spacing w:val="-2"/>
                            <w:sz w:val="16"/>
                          </w:rPr>
                          <w:t>Experience</w:t>
                        </w:r>
                        <w:r>
                          <w:rPr>
                            <w:i/>
                            <w:color w:val="231F20"/>
                            <w:sz w:val="16"/>
                          </w:rPr>
                          <w:tab/>
                        </w:r>
                        <w:r>
                          <w:rPr>
                            <w:i/>
                            <w:color w:val="231F20"/>
                            <w:spacing w:val="-2"/>
                            <w:sz w:val="16"/>
                          </w:rPr>
                          <w:t>Seasons</w:t>
                        </w:r>
                        <w:r>
                          <w:rPr>
                            <w:i/>
                            <w:color w:val="231F20"/>
                            <w:sz w:val="16"/>
                          </w:rPr>
                          <w:tab/>
                        </w:r>
                        <w:r>
                          <w:rPr>
                            <w:i/>
                            <w:color w:val="231F20"/>
                            <w:spacing w:val="-2"/>
                            <w:sz w:val="16"/>
                          </w:rPr>
                          <w:t>Evolution</w:t>
                        </w:r>
                      </w:p>
                    </w:txbxContent>
                  </v:textbox>
                </v:shape>
                <w10:wrap type="topAndBottom" anchorx="page"/>
              </v:group>
            </w:pict>
          </mc:Fallback>
        </mc:AlternateContent>
      </w:r>
    </w:p>
    <w:p w14:paraId="2D846008" w14:textId="77777777" w:rsidR="00AE0598" w:rsidRDefault="00AE0598">
      <w:pPr>
        <w:pStyle w:val="Corpodetexto"/>
        <w:spacing w:before="9"/>
        <w:rPr>
          <w:rFonts w:ascii="Segoe UI Symbol"/>
          <w:sz w:val="10"/>
        </w:rPr>
      </w:pPr>
    </w:p>
    <w:p w14:paraId="4A64D811" w14:textId="77777777" w:rsidR="00AE0598" w:rsidRDefault="0069255A">
      <w:pPr>
        <w:spacing w:before="99"/>
        <w:ind w:left="110"/>
        <w:rPr>
          <w:rFonts w:ascii="Trebuchet MS" w:hAnsi="Trebuchet MS"/>
          <w:sz w:val="14"/>
        </w:rPr>
      </w:pPr>
      <w:r>
        <w:rPr>
          <w:rFonts w:ascii="Trebuchet MS" w:hAnsi="Trebuchet MS"/>
          <w:b/>
          <w:color w:val="231F20"/>
          <w:w w:val="105"/>
          <w:sz w:val="16"/>
        </w:rPr>
        <w:t>Figure</w:t>
      </w:r>
      <w:r>
        <w:rPr>
          <w:rFonts w:ascii="Trebuchet MS" w:hAnsi="Trebuchet MS"/>
          <w:b/>
          <w:color w:val="231F20"/>
          <w:spacing w:val="-7"/>
          <w:w w:val="105"/>
          <w:sz w:val="16"/>
        </w:rPr>
        <w:t xml:space="preserve"> </w:t>
      </w:r>
      <w:r>
        <w:rPr>
          <w:rFonts w:ascii="Trebuchet MS" w:hAnsi="Trebuchet MS"/>
          <w:b/>
          <w:color w:val="231F20"/>
          <w:w w:val="105"/>
          <w:sz w:val="16"/>
        </w:rPr>
        <w:t>1.1</w:t>
      </w:r>
      <w:r>
        <w:rPr>
          <w:rFonts w:ascii="Trebuchet MS" w:hAnsi="Trebuchet MS"/>
          <w:b/>
          <w:color w:val="231F20"/>
          <w:spacing w:val="28"/>
          <w:w w:val="105"/>
          <w:sz w:val="16"/>
        </w:rPr>
        <w:t xml:space="preserve"> </w:t>
      </w:r>
      <w:r>
        <w:rPr>
          <w:rFonts w:ascii="Trebuchet MS" w:hAnsi="Trebuchet MS"/>
          <w:color w:val="231F20"/>
          <w:w w:val="105"/>
          <w:sz w:val="14"/>
        </w:rPr>
        <w:t>Conceptual</w:t>
      </w:r>
      <w:r>
        <w:rPr>
          <w:rFonts w:ascii="Trebuchet MS" w:hAnsi="Trebuchet MS"/>
          <w:color w:val="231F20"/>
          <w:spacing w:val="-7"/>
          <w:w w:val="105"/>
          <w:sz w:val="14"/>
        </w:rPr>
        <w:t xml:space="preserve"> </w:t>
      </w:r>
      <w:r>
        <w:rPr>
          <w:rFonts w:ascii="Trebuchet MS" w:hAnsi="Trebuchet MS"/>
          <w:color w:val="231F20"/>
          <w:w w:val="105"/>
          <w:sz w:val="14"/>
        </w:rPr>
        <w:t>framework</w:t>
      </w:r>
      <w:r>
        <w:rPr>
          <w:rFonts w:ascii="Trebuchet MS" w:hAnsi="Trebuchet MS"/>
          <w:color w:val="231F20"/>
          <w:spacing w:val="-6"/>
          <w:w w:val="105"/>
          <w:sz w:val="14"/>
        </w:rPr>
        <w:t xml:space="preserve"> </w:t>
      </w:r>
      <w:r>
        <w:rPr>
          <w:rFonts w:ascii="Trebuchet MS" w:hAnsi="Trebuchet MS"/>
          <w:color w:val="231F20"/>
          <w:w w:val="105"/>
          <w:sz w:val="14"/>
        </w:rPr>
        <w:t>providing</w:t>
      </w:r>
      <w:r>
        <w:rPr>
          <w:rFonts w:ascii="Trebuchet MS" w:hAnsi="Trebuchet MS"/>
          <w:color w:val="231F20"/>
          <w:spacing w:val="-7"/>
          <w:w w:val="105"/>
          <w:sz w:val="14"/>
        </w:rPr>
        <w:t xml:space="preserve"> </w:t>
      </w:r>
      <w:r>
        <w:rPr>
          <w:rFonts w:ascii="Trebuchet MS" w:hAnsi="Trebuchet MS"/>
          <w:color w:val="231F20"/>
          <w:w w:val="105"/>
          <w:sz w:val="14"/>
        </w:rPr>
        <w:t>the</w:t>
      </w:r>
      <w:r>
        <w:rPr>
          <w:rFonts w:ascii="Trebuchet MS" w:hAnsi="Trebuchet MS"/>
          <w:color w:val="231F20"/>
          <w:spacing w:val="-6"/>
          <w:w w:val="105"/>
          <w:sz w:val="14"/>
        </w:rPr>
        <w:t xml:space="preserve"> </w:t>
      </w:r>
      <w:r>
        <w:rPr>
          <w:rFonts w:ascii="Trebuchet MS" w:hAnsi="Trebuchet MS"/>
          <w:color w:val="231F20"/>
          <w:w w:val="105"/>
          <w:sz w:val="14"/>
        </w:rPr>
        <w:t>book’s</w:t>
      </w:r>
      <w:r>
        <w:rPr>
          <w:rFonts w:ascii="Trebuchet MS" w:hAnsi="Trebuchet MS"/>
          <w:color w:val="231F20"/>
          <w:spacing w:val="-7"/>
          <w:w w:val="105"/>
          <w:sz w:val="14"/>
        </w:rPr>
        <w:t xml:space="preserve"> </w:t>
      </w:r>
      <w:r>
        <w:rPr>
          <w:rFonts w:ascii="Trebuchet MS" w:hAnsi="Trebuchet MS"/>
          <w:color w:val="231F20"/>
          <w:spacing w:val="-2"/>
          <w:w w:val="105"/>
          <w:sz w:val="14"/>
        </w:rPr>
        <w:t>structure</w:t>
      </w:r>
    </w:p>
    <w:p w14:paraId="19C1D0C1" w14:textId="77777777" w:rsidR="00AE0598" w:rsidRDefault="00AE0598">
      <w:pPr>
        <w:pStyle w:val="Corpodetexto"/>
        <w:rPr>
          <w:rFonts w:ascii="Trebuchet MS"/>
          <w:sz w:val="14"/>
        </w:rPr>
      </w:pPr>
    </w:p>
    <w:p w14:paraId="3B724804" w14:textId="77777777" w:rsidR="00AE0598" w:rsidRDefault="0069255A">
      <w:pPr>
        <w:pStyle w:val="Corpodetexto"/>
        <w:spacing w:before="102" w:line="232" w:lineRule="auto"/>
        <w:ind w:left="110" w:right="107"/>
        <w:jc w:val="both"/>
      </w:pPr>
      <w:r>
        <w:rPr>
          <w:color w:val="231F20"/>
          <w:w w:val="95"/>
        </w:rPr>
        <w:t>commodification – finding a balance between progress and tradition – and contrasting</w:t>
      </w:r>
      <w:r>
        <w:rPr>
          <w:color w:val="231F20"/>
          <w:spacing w:val="-10"/>
          <w:w w:val="95"/>
        </w:rPr>
        <w:t xml:space="preserve"> </w:t>
      </w:r>
      <w:r>
        <w:rPr>
          <w:color w:val="231F20"/>
          <w:w w:val="95"/>
        </w:rPr>
        <w:t>local–global</w:t>
      </w:r>
      <w:r>
        <w:rPr>
          <w:color w:val="231F20"/>
          <w:spacing w:val="-9"/>
          <w:w w:val="95"/>
        </w:rPr>
        <w:t xml:space="preserve"> </w:t>
      </w:r>
      <w:r>
        <w:rPr>
          <w:color w:val="231F20"/>
          <w:w w:val="95"/>
        </w:rPr>
        <w:t>interests</w:t>
      </w:r>
      <w:r>
        <w:rPr>
          <w:color w:val="231F20"/>
          <w:spacing w:val="-9"/>
          <w:w w:val="95"/>
        </w:rPr>
        <w:t xml:space="preserve"> </w:t>
      </w:r>
      <w:r>
        <w:rPr>
          <w:color w:val="231F20"/>
          <w:w w:val="95"/>
        </w:rPr>
        <w:t>in</w:t>
      </w:r>
      <w:r>
        <w:rPr>
          <w:color w:val="231F20"/>
          <w:spacing w:val="-9"/>
          <w:w w:val="95"/>
        </w:rPr>
        <w:t xml:space="preserve"> </w:t>
      </w:r>
      <w:r>
        <w:rPr>
          <w:color w:val="231F20"/>
          <w:w w:val="95"/>
        </w:rPr>
        <w:t>sport</w:t>
      </w:r>
      <w:r>
        <w:rPr>
          <w:color w:val="231F20"/>
          <w:spacing w:val="-10"/>
          <w:w w:val="95"/>
        </w:rPr>
        <w:t xml:space="preserve"> </w:t>
      </w:r>
      <w:r>
        <w:rPr>
          <w:color w:val="231F20"/>
          <w:w w:val="95"/>
        </w:rPr>
        <w:t>need</w:t>
      </w:r>
      <w:r>
        <w:rPr>
          <w:color w:val="231F20"/>
          <w:spacing w:val="-9"/>
          <w:w w:val="95"/>
        </w:rPr>
        <w:t xml:space="preserve"> </w:t>
      </w:r>
      <w:r>
        <w:rPr>
          <w:color w:val="231F20"/>
          <w:w w:val="95"/>
        </w:rPr>
        <w:t>to</w:t>
      </w:r>
      <w:r>
        <w:rPr>
          <w:color w:val="231F20"/>
          <w:spacing w:val="-9"/>
          <w:w w:val="95"/>
        </w:rPr>
        <w:t xml:space="preserve"> </w:t>
      </w:r>
      <w:r>
        <w:rPr>
          <w:color w:val="231F20"/>
          <w:w w:val="95"/>
        </w:rPr>
        <w:t>be</w:t>
      </w:r>
      <w:r>
        <w:rPr>
          <w:color w:val="231F20"/>
          <w:spacing w:val="-9"/>
          <w:w w:val="95"/>
        </w:rPr>
        <w:t xml:space="preserve"> </w:t>
      </w:r>
      <w:r>
        <w:rPr>
          <w:color w:val="231F20"/>
          <w:w w:val="95"/>
        </w:rPr>
        <w:t>systematically</w:t>
      </w:r>
      <w:r>
        <w:rPr>
          <w:color w:val="231F20"/>
          <w:spacing w:val="-10"/>
          <w:w w:val="95"/>
        </w:rPr>
        <w:t xml:space="preserve"> </w:t>
      </w:r>
      <w:r>
        <w:rPr>
          <w:color w:val="231F20"/>
          <w:w w:val="95"/>
        </w:rPr>
        <w:t xml:space="preserve">explored </w:t>
      </w:r>
      <w:r>
        <w:rPr>
          <w:color w:val="231F20"/>
        </w:rPr>
        <w:t>with</w:t>
      </w:r>
      <w:r>
        <w:rPr>
          <w:color w:val="231F20"/>
          <w:spacing w:val="-3"/>
        </w:rPr>
        <w:t xml:space="preserve"> </w:t>
      </w:r>
      <w:r>
        <w:rPr>
          <w:color w:val="231F20"/>
        </w:rPr>
        <w:t>direct</w:t>
      </w:r>
      <w:r>
        <w:rPr>
          <w:color w:val="231F20"/>
          <w:spacing w:val="-3"/>
        </w:rPr>
        <w:t xml:space="preserve"> </w:t>
      </w:r>
      <w:r>
        <w:rPr>
          <w:color w:val="231F20"/>
        </w:rPr>
        <w:t>reference</w:t>
      </w:r>
      <w:r>
        <w:rPr>
          <w:color w:val="231F20"/>
          <w:spacing w:val="-3"/>
        </w:rPr>
        <w:t xml:space="preserve"> </w:t>
      </w:r>
      <w:r>
        <w:rPr>
          <w:color w:val="231F20"/>
        </w:rPr>
        <w:t>to</w:t>
      </w:r>
      <w:r>
        <w:rPr>
          <w:color w:val="231F20"/>
          <w:spacing w:val="-3"/>
        </w:rPr>
        <w:t xml:space="preserve"> </w:t>
      </w:r>
      <w:r>
        <w:rPr>
          <w:color w:val="231F20"/>
        </w:rPr>
        <w:t>the</w:t>
      </w:r>
      <w:r>
        <w:rPr>
          <w:color w:val="231F20"/>
          <w:spacing w:val="-3"/>
        </w:rPr>
        <w:t xml:space="preserve"> </w:t>
      </w:r>
      <w:r>
        <w:rPr>
          <w:color w:val="231F20"/>
        </w:rPr>
        <w:t>study</w:t>
      </w:r>
      <w:r>
        <w:rPr>
          <w:color w:val="231F20"/>
          <w:spacing w:val="-3"/>
        </w:rPr>
        <w:t xml:space="preserve"> </w:t>
      </w:r>
      <w:r>
        <w:rPr>
          <w:color w:val="231F20"/>
        </w:rPr>
        <w:t>of tourism.</w:t>
      </w:r>
    </w:p>
    <w:p w14:paraId="2A419B5E" w14:textId="77777777" w:rsidR="00AE0598" w:rsidRDefault="0069255A">
      <w:pPr>
        <w:pStyle w:val="Corpodetexto"/>
        <w:spacing w:before="4" w:line="232" w:lineRule="auto"/>
        <w:ind w:left="110" w:right="107" w:firstLine="320"/>
        <w:jc w:val="both"/>
      </w:pPr>
      <w:r>
        <w:rPr>
          <w:color w:val="231F20"/>
        </w:rPr>
        <w:t>Figure 1.1 presents a framework that provides the structure for the chapters that follow. These spatial (space, place and environment) and temporal</w:t>
      </w:r>
      <w:r>
        <w:rPr>
          <w:color w:val="231F20"/>
          <w:spacing w:val="-7"/>
        </w:rPr>
        <w:t xml:space="preserve"> </w:t>
      </w:r>
      <w:r>
        <w:rPr>
          <w:color w:val="231F20"/>
        </w:rPr>
        <w:t>(experience,</w:t>
      </w:r>
      <w:r>
        <w:rPr>
          <w:color w:val="231F20"/>
          <w:spacing w:val="-7"/>
        </w:rPr>
        <w:t xml:space="preserve"> </w:t>
      </w:r>
      <w:r>
        <w:rPr>
          <w:color w:val="231F20"/>
        </w:rPr>
        <w:t>seasons</w:t>
      </w:r>
      <w:r>
        <w:rPr>
          <w:color w:val="231F20"/>
          <w:spacing w:val="-7"/>
        </w:rPr>
        <w:t xml:space="preserve"> </w:t>
      </w:r>
      <w:r>
        <w:rPr>
          <w:color w:val="231F20"/>
        </w:rPr>
        <w:t>and</w:t>
      </w:r>
      <w:r>
        <w:rPr>
          <w:color w:val="231F20"/>
          <w:spacing w:val="-7"/>
        </w:rPr>
        <w:t xml:space="preserve"> </w:t>
      </w:r>
      <w:r>
        <w:rPr>
          <w:color w:val="231F20"/>
        </w:rPr>
        <w:t>evolution)</w:t>
      </w:r>
      <w:r>
        <w:rPr>
          <w:color w:val="231F20"/>
          <w:spacing w:val="-7"/>
        </w:rPr>
        <w:t xml:space="preserve"> </w:t>
      </w:r>
      <w:r>
        <w:rPr>
          <w:color w:val="231F20"/>
        </w:rPr>
        <w:t>themes</w:t>
      </w:r>
      <w:r>
        <w:rPr>
          <w:color w:val="231F20"/>
          <w:spacing w:val="-7"/>
        </w:rPr>
        <w:t xml:space="preserve"> </w:t>
      </w:r>
      <w:r>
        <w:rPr>
          <w:color w:val="231F20"/>
        </w:rPr>
        <w:t>form</w:t>
      </w:r>
      <w:r>
        <w:rPr>
          <w:color w:val="231F20"/>
          <w:spacing w:val="-7"/>
        </w:rPr>
        <w:t xml:space="preserve"> </w:t>
      </w:r>
      <w:r>
        <w:rPr>
          <w:color w:val="231F20"/>
        </w:rPr>
        <w:t>the</w:t>
      </w:r>
      <w:r>
        <w:rPr>
          <w:color w:val="231F20"/>
          <w:spacing w:val="-7"/>
        </w:rPr>
        <w:t xml:space="preserve"> </w:t>
      </w:r>
      <w:r>
        <w:rPr>
          <w:color w:val="231F20"/>
        </w:rPr>
        <w:t>structure of</w:t>
      </w:r>
      <w:r>
        <w:rPr>
          <w:color w:val="231F20"/>
          <w:spacing w:val="-1"/>
        </w:rPr>
        <w:t xml:space="preserve"> </w:t>
      </w:r>
      <w:r>
        <w:rPr>
          <w:color w:val="231F20"/>
        </w:rPr>
        <w:t>Chapters</w:t>
      </w:r>
      <w:r>
        <w:rPr>
          <w:color w:val="231F20"/>
          <w:spacing w:val="-10"/>
        </w:rPr>
        <w:t xml:space="preserve"> </w:t>
      </w:r>
      <w:r>
        <w:rPr>
          <w:color w:val="231F20"/>
        </w:rPr>
        <w:t>5–7</w:t>
      </w:r>
      <w:r>
        <w:rPr>
          <w:color w:val="231F20"/>
          <w:spacing w:val="-10"/>
        </w:rPr>
        <w:t xml:space="preserve"> </w:t>
      </w:r>
      <w:r>
        <w:rPr>
          <w:color w:val="231F20"/>
        </w:rPr>
        <w:t>(Part</w:t>
      </w:r>
      <w:r>
        <w:rPr>
          <w:color w:val="231F20"/>
          <w:spacing w:val="-10"/>
        </w:rPr>
        <w:t xml:space="preserve"> </w:t>
      </w:r>
      <w:r>
        <w:rPr>
          <w:color w:val="231F20"/>
        </w:rPr>
        <w:t>3)</w:t>
      </w:r>
      <w:r>
        <w:rPr>
          <w:color w:val="231F20"/>
          <w:spacing w:val="-10"/>
        </w:rPr>
        <w:t xml:space="preserve"> </w:t>
      </w:r>
      <w:r>
        <w:rPr>
          <w:color w:val="231F20"/>
        </w:rPr>
        <w:t>and</w:t>
      </w:r>
      <w:r>
        <w:rPr>
          <w:color w:val="231F20"/>
          <w:spacing w:val="-10"/>
        </w:rPr>
        <w:t xml:space="preserve"> </w:t>
      </w:r>
      <w:r>
        <w:rPr>
          <w:color w:val="231F20"/>
        </w:rPr>
        <w:t>8–10</w:t>
      </w:r>
      <w:r>
        <w:rPr>
          <w:color w:val="231F20"/>
          <w:spacing w:val="-10"/>
        </w:rPr>
        <w:t xml:space="preserve"> </w:t>
      </w:r>
      <w:r>
        <w:rPr>
          <w:color w:val="231F20"/>
        </w:rPr>
        <w:t>(Part</w:t>
      </w:r>
      <w:r>
        <w:rPr>
          <w:color w:val="231F20"/>
          <w:spacing w:val="-10"/>
        </w:rPr>
        <w:t xml:space="preserve"> </w:t>
      </w:r>
      <w:r>
        <w:rPr>
          <w:color w:val="231F20"/>
        </w:rPr>
        <w:t>4),</w:t>
      </w:r>
      <w:r>
        <w:rPr>
          <w:color w:val="231F20"/>
          <w:spacing w:val="-10"/>
        </w:rPr>
        <w:t xml:space="preserve"> </w:t>
      </w:r>
      <w:r>
        <w:rPr>
          <w:color w:val="231F20"/>
        </w:rPr>
        <w:t>re</w:t>
      </w:r>
      <w:r>
        <w:rPr>
          <w:color w:val="231F20"/>
        </w:rPr>
        <w:t>spectively.</w:t>
      </w:r>
      <w:r>
        <w:rPr>
          <w:color w:val="231F20"/>
          <w:spacing w:val="-10"/>
        </w:rPr>
        <w:t xml:space="preserve"> </w:t>
      </w:r>
      <w:r>
        <w:rPr>
          <w:color w:val="231F20"/>
        </w:rPr>
        <w:t>The</w:t>
      </w:r>
      <w:r>
        <w:rPr>
          <w:color w:val="231F20"/>
          <w:spacing w:val="-10"/>
        </w:rPr>
        <w:t xml:space="preserve"> </w:t>
      </w:r>
      <w:r>
        <w:rPr>
          <w:color w:val="231F20"/>
        </w:rPr>
        <w:t xml:space="preserve">foundations of the book, then, lie in the geographical principles of space, place and environment. The application of these themes to sport tourism requires a multidisciplinary approach. This book draws from the fields of sport </w:t>
      </w:r>
      <w:r>
        <w:rPr>
          <w:color w:val="231F20"/>
          <w:w w:val="95"/>
        </w:rPr>
        <w:t>management;</w:t>
      </w:r>
      <w:r>
        <w:rPr>
          <w:color w:val="231F20"/>
          <w:spacing w:val="-10"/>
          <w:w w:val="95"/>
        </w:rPr>
        <w:t xml:space="preserve"> </w:t>
      </w:r>
      <w:r>
        <w:rPr>
          <w:color w:val="231F20"/>
          <w:w w:val="95"/>
        </w:rPr>
        <w:t>the</w:t>
      </w:r>
      <w:r>
        <w:rPr>
          <w:color w:val="231F20"/>
          <w:spacing w:val="-9"/>
          <w:w w:val="95"/>
        </w:rPr>
        <w:t xml:space="preserve"> </w:t>
      </w:r>
      <w:r>
        <w:rPr>
          <w:color w:val="231F20"/>
          <w:w w:val="95"/>
        </w:rPr>
        <w:t>sociology</w:t>
      </w:r>
      <w:r>
        <w:rPr>
          <w:color w:val="231F20"/>
          <w:spacing w:val="-9"/>
          <w:w w:val="95"/>
        </w:rPr>
        <w:t xml:space="preserve"> </w:t>
      </w:r>
      <w:r>
        <w:rPr>
          <w:color w:val="231F20"/>
          <w:w w:val="95"/>
        </w:rPr>
        <w:t>of</w:t>
      </w:r>
      <w:r>
        <w:rPr>
          <w:color w:val="231F20"/>
          <w:spacing w:val="-3"/>
          <w:w w:val="95"/>
        </w:rPr>
        <w:t xml:space="preserve"> </w:t>
      </w:r>
      <w:r>
        <w:rPr>
          <w:color w:val="231F20"/>
          <w:w w:val="95"/>
        </w:rPr>
        <w:t>sport;</w:t>
      </w:r>
      <w:r>
        <w:rPr>
          <w:color w:val="231F20"/>
          <w:spacing w:val="-9"/>
          <w:w w:val="95"/>
        </w:rPr>
        <w:t xml:space="preserve"> </w:t>
      </w:r>
      <w:r>
        <w:rPr>
          <w:color w:val="231F20"/>
          <w:w w:val="95"/>
        </w:rPr>
        <w:t>consumer</w:t>
      </w:r>
      <w:r>
        <w:rPr>
          <w:color w:val="231F20"/>
          <w:spacing w:val="-10"/>
          <w:w w:val="95"/>
        </w:rPr>
        <w:t xml:space="preserve"> </w:t>
      </w:r>
      <w:r>
        <w:rPr>
          <w:color w:val="231F20"/>
          <w:w w:val="95"/>
        </w:rPr>
        <w:t>behaviour;</w:t>
      </w:r>
      <w:r>
        <w:rPr>
          <w:color w:val="231F20"/>
          <w:spacing w:val="-9"/>
          <w:w w:val="95"/>
        </w:rPr>
        <w:t xml:space="preserve"> </w:t>
      </w:r>
      <w:r>
        <w:rPr>
          <w:color w:val="231F20"/>
          <w:w w:val="95"/>
        </w:rPr>
        <w:t>sports</w:t>
      </w:r>
      <w:r>
        <w:rPr>
          <w:color w:val="231F20"/>
          <w:spacing w:val="-9"/>
          <w:w w:val="95"/>
        </w:rPr>
        <w:t xml:space="preserve"> </w:t>
      </w:r>
      <w:r>
        <w:rPr>
          <w:color w:val="231F20"/>
          <w:w w:val="95"/>
        </w:rPr>
        <w:t xml:space="preserve">marketing; </w:t>
      </w:r>
      <w:r>
        <w:rPr>
          <w:color w:val="231F20"/>
        </w:rPr>
        <w:t>economic,</w:t>
      </w:r>
      <w:r>
        <w:rPr>
          <w:color w:val="231F20"/>
          <w:spacing w:val="-12"/>
        </w:rPr>
        <w:t xml:space="preserve"> </w:t>
      </w:r>
      <w:r>
        <w:rPr>
          <w:color w:val="231F20"/>
        </w:rPr>
        <w:t>urban</w:t>
      </w:r>
      <w:r>
        <w:rPr>
          <w:color w:val="231F20"/>
          <w:spacing w:val="-12"/>
        </w:rPr>
        <w:t xml:space="preserve"> </w:t>
      </w:r>
      <w:r>
        <w:rPr>
          <w:color w:val="231F20"/>
        </w:rPr>
        <w:t>and</w:t>
      </w:r>
      <w:r>
        <w:rPr>
          <w:color w:val="231F20"/>
          <w:spacing w:val="-11"/>
        </w:rPr>
        <w:t xml:space="preserve"> </w:t>
      </w:r>
      <w:r>
        <w:rPr>
          <w:color w:val="231F20"/>
        </w:rPr>
        <w:t>sports</w:t>
      </w:r>
      <w:r>
        <w:rPr>
          <w:color w:val="231F20"/>
          <w:spacing w:val="-12"/>
        </w:rPr>
        <w:t xml:space="preserve"> </w:t>
      </w:r>
      <w:r>
        <w:rPr>
          <w:color w:val="231F20"/>
        </w:rPr>
        <w:t>geography;</w:t>
      </w:r>
      <w:r>
        <w:rPr>
          <w:color w:val="231F20"/>
          <w:spacing w:val="-11"/>
        </w:rPr>
        <w:t xml:space="preserve"> </w:t>
      </w:r>
      <w:r>
        <w:rPr>
          <w:color w:val="231F20"/>
        </w:rPr>
        <w:t>and</w:t>
      </w:r>
      <w:r>
        <w:rPr>
          <w:color w:val="231F20"/>
          <w:spacing w:val="-12"/>
        </w:rPr>
        <w:t xml:space="preserve"> </w:t>
      </w:r>
      <w:r>
        <w:rPr>
          <w:color w:val="231F20"/>
        </w:rPr>
        <w:t>tourism</w:t>
      </w:r>
      <w:r>
        <w:rPr>
          <w:color w:val="231F20"/>
          <w:spacing w:val="-11"/>
        </w:rPr>
        <w:t xml:space="preserve"> </w:t>
      </w:r>
      <w:r>
        <w:rPr>
          <w:color w:val="231F20"/>
        </w:rPr>
        <w:t>studies</w:t>
      </w:r>
      <w:r>
        <w:rPr>
          <w:color w:val="231F20"/>
          <w:spacing w:val="-12"/>
        </w:rPr>
        <w:t xml:space="preserve"> </w:t>
      </w:r>
      <w:r>
        <w:rPr>
          <w:color w:val="231F20"/>
        </w:rPr>
        <w:t>in</w:t>
      </w:r>
      <w:r>
        <w:rPr>
          <w:color w:val="231F20"/>
          <w:spacing w:val="-12"/>
        </w:rPr>
        <w:t xml:space="preserve"> </w:t>
      </w:r>
      <w:r>
        <w:rPr>
          <w:color w:val="231F20"/>
        </w:rPr>
        <w:t xml:space="preserve">discussing the manifestations of sport tourism development in space and time. To </w:t>
      </w:r>
      <w:r>
        <w:rPr>
          <w:color w:val="231F20"/>
          <w:w w:val="95"/>
        </w:rPr>
        <w:t xml:space="preserve">illustrate points of discussion, Chapters 2–10 include case studies provided </w:t>
      </w:r>
      <w:r>
        <w:rPr>
          <w:color w:val="231F20"/>
        </w:rPr>
        <w:t>by</w:t>
      </w:r>
      <w:r>
        <w:rPr>
          <w:color w:val="231F20"/>
          <w:spacing w:val="-4"/>
        </w:rPr>
        <w:t xml:space="preserve"> </w:t>
      </w:r>
      <w:r>
        <w:rPr>
          <w:color w:val="231F20"/>
        </w:rPr>
        <w:t>leading</w:t>
      </w:r>
      <w:r>
        <w:rPr>
          <w:color w:val="231F20"/>
          <w:spacing w:val="-4"/>
        </w:rPr>
        <w:t xml:space="preserve"> </w:t>
      </w:r>
      <w:r>
        <w:rPr>
          <w:color w:val="231F20"/>
        </w:rPr>
        <w:t>and</w:t>
      </w:r>
      <w:r>
        <w:rPr>
          <w:color w:val="231F20"/>
          <w:spacing w:val="-4"/>
        </w:rPr>
        <w:t xml:space="preserve"> </w:t>
      </w:r>
      <w:r>
        <w:rPr>
          <w:color w:val="231F20"/>
        </w:rPr>
        <w:t>emerging</w:t>
      </w:r>
      <w:r>
        <w:rPr>
          <w:color w:val="231F20"/>
          <w:spacing w:val="-4"/>
        </w:rPr>
        <w:t xml:space="preserve"> </w:t>
      </w:r>
      <w:r>
        <w:rPr>
          <w:color w:val="231F20"/>
        </w:rPr>
        <w:t>scholars</w:t>
      </w:r>
      <w:r>
        <w:rPr>
          <w:color w:val="231F20"/>
          <w:spacing w:val="-4"/>
        </w:rPr>
        <w:t xml:space="preserve"> </w:t>
      </w:r>
      <w:r>
        <w:rPr>
          <w:color w:val="231F20"/>
        </w:rPr>
        <w:t>in</w:t>
      </w:r>
      <w:r>
        <w:rPr>
          <w:color w:val="231F20"/>
          <w:spacing w:val="-4"/>
        </w:rPr>
        <w:t xml:space="preserve"> </w:t>
      </w:r>
      <w:r>
        <w:rPr>
          <w:color w:val="231F20"/>
        </w:rPr>
        <w:t>the</w:t>
      </w:r>
      <w:r>
        <w:rPr>
          <w:color w:val="231F20"/>
          <w:spacing w:val="-4"/>
        </w:rPr>
        <w:t xml:space="preserve"> </w:t>
      </w:r>
      <w:r>
        <w:rPr>
          <w:color w:val="231F20"/>
        </w:rPr>
        <w:t>study</w:t>
      </w:r>
      <w:r>
        <w:rPr>
          <w:color w:val="231F20"/>
          <w:spacing w:val="-4"/>
        </w:rPr>
        <w:t xml:space="preserve"> </w:t>
      </w:r>
      <w:r>
        <w:rPr>
          <w:color w:val="231F20"/>
        </w:rPr>
        <w:t>of sport</w:t>
      </w:r>
      <w:r>
        <w:rPr>
          <w:color w:val="231F20"/>
          <w:spacing w:val="-4"/>
        </w:rPr>
        <w:t xml:space="preserve"> </w:t>
      </w:r>
      <w:r>
        <w:rPr>
          <w:color w:val="231F20"/>
        </w:rPr>
        <w:t>and</w:t>
      </w:r>
      <w:r>
        <w:rPr>
          <w:color w:val="231F20"/>
          <w:spacing w:val="-4"/>
        </w:rPr>
        <w:t xml:space="preserve"> </w:t>
      </w:r>
      <w:r>
        <w:rPr>
          <w:color w:val="231F20"/>
        </w:rPr>
        <w:t>tourism</w:t>
      </w:r>
      <w:r>
        <w:rPr>
          <w:color w:val="231F20"/>
          <w:spacing w:val="-4"/>
        </w:rPr>
        <w:t xml:space="preserve"> </w:t>
      </w:r>
      <w:r>
        <w:rPr>
          <w:color w:val="231F20"/>
        </w:rPr>
        <w:t>from a</w:t>
      </w:r>
      <w:r>
        <w:rPr>
          <w:color w:val="231F20"/>
          <w:spacing w:val="-11"/>
        </w:rPr>
        <w:t xml:space="preserve"> </w:t>
      </w:r>
      <w:r>
        <w:rPr>
          <w:color w:val="231F20"/>
        </w:rPr>
        <w:t>range</w:t>
      </w:r>
      <w:r>
        <w:rPr>
          <w:color w:val="231F20"/>
          <w:spacing w:val="-11"/>
        </w:rPr>
        <w:t xml:space="preserve"> </w:t>
      </w:r>
      <w:r>
        <w:rPr>
          <w:color w:val="231F20"/>
        </w:rPr>
        <w:t>of</w:t>
      </w:r>
      <w:r>
        <w:rPr>
          <w:color w:val="231F20"/>
          <w:spacing w:val="-3"/>
        </w:rPr>
        <w:t xml:space="preserve"> </w:t>
      </w:r>
      <w:r>
        <w:rPr>
          <w:color w:val="231F20"/>
        </w:rPr>
        <w:t>disciplines.</w:t>
      </w:r>
      <w:r>
        <w:rPr>
          <w:color w:val="231F20"/>
          <w:spacing w:val="-11"/>
        </w:rPr>
        <w:t xml:space="preserve"> </w:t>
      </w:r>
      <w:r>
        <w:rPr>
          <w:color w:val="231F20"/>
        </w:rPr>
        <w:t>‘F</w:t>
      </w:r>
      <w:r>
        <w:rPr>
          <w:color w:val="231F20"/>
        </w:rPr>
        <w:t>ocus</w:t>
      </w:r>
      <w:r>
        <w:rPr>
          <w:color w:val="231F20"/>
          <w:spacing w:val="-11"/>
        </w:rPr>
        <w:t xml:space="preserve"> </w:t>
      </w:r>
      <w:r>
        <w:rPr>
          <w:color w:val="231F20"/>
        </w:rPr>
        <w:t>Points’</w:t>
      </w:r>
      <w:r>
        <w:rPr>
          <w:color w:val="231F20"/>
          <w:spacing w:val="-11"/>
        </w:rPr>
        <w:t xml:space="preserve"> </w:t>
      </w:r>
      <w:r>
        <w:rPr>
          <w:color w:val="231F20"/>
        </w:rPr>
        <w:t>are</w:t>
      </w:r>
      <w:r>
        <w:rPr>
          <w:color w:val="231F20"/>
          <w:spacing w:val="-11"/>
        </w:rPr>
        <w:t xml:space="preserve"> </w:t>
      </w:r>
      <w:r>
        <w:rPr>
          <w:color w:val="231F20"/>
        </w:rPr>
        <w:t>also</w:t>
      </w:r>
      <w:r>
        <w:rPr>
          <w:color w:val="231F20"/>
          <w:spacing w:val="-11"/>
        </w:rPr>
        <w:t xml:space="preserve"> </w:t>
      </w:r>
      <w:r>
        <w:rPr>
          <w:color w:val="231F20"/>
        </w:rPr>
        <w:t>integrated</w:t>
      </w:r>
      <w:r>
        <w:rPr>
          <w:color w:val="231F20"/>
          <w:spacing w:val="-11"/>
        </w:rPr>
        <w:t xml:space="preserve"> </w:t>
      </w:r>
      <w:r>
        <w:rPr>
          <w:color w:val="231F20"/>
        </w:rPr>
        <w:t>into</w:t>
      </w:r>
      <w:r>
        <w:rPr>
          <w:color w:val="231F20"/>
          <w:spacing w:val="-11"/>
        </w:rPr>
        <w:t xml:space="preserve"> </w:t>
      </w:r>
      <w:r>
        <w:rPr>
          <w:color w:val="231F20"/>
        </w:rPr>
        <w:t>each</w:t>
      </w:r>
      <w:r>
        <w:rPr>
          <w:color w:val="231F20"/>
          <w:spacing w:val="-11"/>
        </w:rPr>
        <w:t xml:space="preserve"> </w:t>
      </w:r>
      <w:r>
        <w:rPr>
          <w:color w:val="231F20"/>
        </w:rPr>
        <w:t>of</w:t>
      </w:r>
      <w:r>
        <w:rPr>
          <w:color w:val="231F20"/>
          <w:spacing w:val="-3"/>
        </w:rPr>
        <w:t xml:space="preserve"> </w:t>
      </w:r>
      <w:r>
        <w:rPr>
          <w:color w:val="231F20"/>
        </w:rPr>
        <w:t>these chapters</w:t>
      </w:r>
      <w:r>
        <w:rPr>
          <w:color w:val="231F20"/>
          <w:spacing w:val="-5"/>
        </w:rPr>
        <w:t xml:space="preserve"> </w:t>
      </w:r>
      <w:r>
        <w:rPr>
          <w:color w:val="231F20"/>
        </w:rPr>
        <w:t>in</w:t>
      </w:r>
      <w:r>
        <w:rPr>
          <w:color w:val="231F20"/>
          <w:spacing w:val="-5"/>
        </w:rPr>
        <w:t xml:space="preserve"> </w:t>
      </w:r>
      <w:r>
        <w:rPr>
          <w:color w:val="231F20"/>
        </w:rPr>
        <w:t>an</w:t>
      </w:r>
      <w:r>
        <w:rPr>
          <w:color w:val="231F20"/>
          <w:spacing w:val="-5"/>
        </w:rPr>
        <w:t xml:space="preserve"> </w:t>
      </w:r>
      <w:r>
        <w:rPr>
          <w:color w:val="231F20"/>
        </w:rPr>
        <w:t>attempt</w:t>
      </w:r>
      <w:r>
        <w:rPr>
          <w:color w:val="231F20"/>
          <w:spacing w:val="-5"/>
        </w:rPr>
        <w:t xml:space="preserve"> </w:t>
      </w:r>
      <w:r>
        <w:rPr>
          <w:color w:val="231F20"/>
        </w:rPr>
        <w:t>to</w:t>
      </w:r>
      <w:r>
        <w:rPr>
          <w:color w:val="231F20"/>
          <w:spacing w:val="-5"/>
        </w:rPr>
        <w:t xml:space="preserve"> </w:t>
      </w:r>
      <w:r>
        <w:rPr>
          <w:color w:val="231F20"/>
        </w:rPr>
        <w:t>illustrate</w:t>
      </w:r>
      <w:r>
        <w:rPr>
          <w:color w:val="231F20"/>
          <w:spacing w:val="-5"/>
        </w:rPr>
        <w:t xml:space="preserve"> </w:t>
      </w:r>
      <w:r>
        <w:rPr>
          <w:color w:val="231F20"/>
        </w:rPr>
        <w:t>key</w:t>
      </w:r>
      <w:r>
        <w:rPr>
          <w:color w:val="231F20"/>
          <w:spacing w:val="-5"/>
        </w:rPr>
        <w:t xml:space="preserve"> </w:t>
      </w:r>
      <w:r>
        <w:rPr>
          <w:color w:val="231F20"/>
        </w:rPr>
        <w:t>points</w:t>
      </w:r>
      <w:r>
        <w:rPr>
          <w:color w:val="231F20"/>
          <w:spacing w:val="-5"/>
        </w:rPr>
        <w:t xml:space="preserve"> </w:t>
      </w:r>
      <w:r>
        <w:rPr>
          <w:color w:val="231F20"/>
        </w:rPr>
        <w:t>with</w:t>
      </w:r>
      <w:r>
        <w:rPr>
          <w:color w:val="231F20"/>
          <w:spacing w:val="-5"/>
        </w:rPr>
        <w:t xml:space="preserve"> </w:t>
      </w:r>
      <w:r>
        <w:rPr>
          <w:color w:val="231F20"/>
        </w:rPr>
        <w:t>real-world</w:t>
      </w:r>
      <w:r>
        <w:rPr>
          <w:color w:val="231F20"/>
          <w:spacing w:val="-5"/>
        </w:rPr>
        <w:t xml:space="preserve"> </w:t>
      </w:r>
      <w:r>
        <w:rPr>
          <w:color w:val="231F20"/>
        </w:rPr>
        <w:t>examples. The</w:t>
      </w:r>
      <w:r>
        <w:rPr>
          <w:color w:val="231F20"/>
          <w:spacing w:val="-1"/>
        </w:rPr>
        <w:t xml:space="preserve"> </w:t>
      </w:r>
      <w:r>
        <w:rPr>
          <w:color w:val="231F20"/>
        </w:rPr>
        <w:t>overarching</w:t>
      </w:r>
      <w:r>
        <w:rPr>
          <w:color w:val="231F20"/>
          <w:spacing w:val="-1"/>
        </w:rPr>
        <w:t xml:space="preserve"> </w:t>
      </w:r>
      <w:r>
        <w:rPr>
          <w:color w:val="231F20"/>
        </w:rPr>
        <w:t>goal</w:t>
      </w:r>
      <w:r>
        <w:rPr>
          <w:color w:val="231F20"/>
          <w:spacing w:val="-1"/>
        </w:rPr>
        <w:t xml:space="preserve"> </w:t>
      </w:r>
      <w:r>
        <w:rPr>
          <w:color w:val="231F20"/>
        </w:rPr>
        <w:t>is</w:t>
      </w:r>
      <w:r>
        <w:rPr>
          <w:color w:val="231F20"/>
          <w:spacing w:val="-1"/>
        </w:rPr>
        <w:t xml:space="preserve"> </w:t>
      </w:r>
      <w:r>
        <w:rPr>
          <w:color w:val="231F20"/>
        </w:rPr>
        <w:t>to</w:t>
      </w:r>
      <w:r>
        <w:rPr>
          <w:color w:val="231F20"/>
          <w:spacing w:val="-1"/>
        </w:rPr>
        <w:t xml:space="preserve"> </w:t>
      </w:r>
      <w:r>
        <w:rPr>
          <w:color w:val="231F20"/>
        </w:rPr>
        <w:t>advance</w:t>
      </w:r>
      <w:r>
        <w:rPr>
          <w:color w:val="231F20"/>
          <w:spacing w:val="-1"/>
        </w:rPr>
        <w:t xml:space="preserve"> </w:t>
      </w:r>
      <w:r>
        <w:rPr>
          <w:color w:val="231F20"/>
        </w:rPr>
        <w:t>theoretical</w:t>
      </w:r>
      <w:r>
        <w:rPr>
          <w:color w:val="231F20"/>
          <w:spacing w:val="-1"/>
        </w:rPr>
        <w:t xml:space="preserve"> </w:t>
      </w:r>
      <w:r>
        <w:rPr>
          <w:color w:val="231F20"/>
        </w:rPr>
        <w:t>thinking</w:t>
      </w:r>
      <w:r>
        <w:rPr>
          <w:color w:val="231F20"/>
          <w:spacing w:val="-1"/>
        </w:rPr>
        <w:t xml:space="preserve"> </w:t>
      </w:r>
      <w:r>
        <w:rPr>
          <w:color w:val="231F20"/>
        </w:rPr>
        <w:t>on</w:t>
      </w:r>
      <w:r>
        <w:rPr>
          <w:color w:val="231F20"/>
          <w:spacing w:val="-1"/>
        </w:rPr>
        <w:t xml:space="preserve"> </w:t>
      </w:r>
      <w:r>
        <w:rPr>
          <w:color w:val="231F20"/>
        </w:rPr>
        <w:t>the</w:t>
      </w:r>
      <w:r>
        <w:rPr>
          <w:color w:val="231F20"/>
          <w:spacing w:val="-1"/>
        </w:rPr>
        <w:t xml:space="preserve"> </w:t>
      </w:r>
      <w:r>
        <w:rPr>
          <w:color w:val="231F20"/>
        </w:rPr>
        <w:t>subject</w:t>
      </w:r>
      <w:r>
        <w:rPr>
          <w:color w:val="231F20"/>
          <w:spacing w:val="-1"/>
        </w:rPr>
        <w:t xml:space="preserve"> </w:t>
      </w:r>
      <w:r>
        <w:rPr>
          <w:color w:val="231F20"/>
        </w:rPr>
        <w:t xml:space="preserve">of </w:t>
      </w:r>
      <w:r>
        <w:rPr>
          <w:color w:val="231F20"/>
          <w:w w:val="95"/>
        </w:rPr>
        <w:t xml:space="preserve">sport tourism development generally, and critical thinking on the interplay </w:t>
      </w:r>
      <w:r>
        <w:rPr>
          <w:color w:val="231F20"/>
        </w:rPr>
        <w:t>of local</w:t>
      </w:r>
      <w:r>
        <w:rPr>
          <w:color w:val="231F20"/>
          <w:spacing w:val="-2"/>
        </w:rPr>
        <w:t xml:space="preserve"> </w:t>
      </w:r>
      <w:r>
        <w:rPr>
          <w:color w:val="231F20"/>
        </w:rPr>
        <w:t>and</w:t>
      </w:r>
      <w:r>
        <w:rPr>
          <w:color w:val="231F20"/>
          <w:spacing w:val="-2"/>
        </w:rPr>
        <w:t xml:space="preserve"> </w:t>
      </w:r>
      <w:r>
        <w:rPr>
          <w:color w:val="231F20"/>
        </w:rPr>
        <w:t>global</w:t>
      </w:r>
      <w:r>
        <w:rPr>
          <w:color w:val="231F20"/>
          <w:spacing w:val="-2"/>
        </w:rPr>
        <w:t xml:space="preserve"> </w:t>
      </w:r>
      <w:r>
        <w:rPr>
          <w:color w:val="231F20"/>
        </w:rPr>
        <w:t>forces</w:t>
      </w:r>
      <w:r>
        <w:rPr>
          <w:color w:val="231F20"/>
          <w:spacing w:val="-2"/>
        </w:rPr>
        <w:t xml:space="preserve"> </w:t>
      </w:r>
      <w:r>
        <w:rPr>
          <w:color w:val="231F20"/>
        </w:rPr>
        <w:t>in</w:t>
      </w:r>
      <w:r>
        <w:rPr>
          <w:color w:val="231F20"/>
          <w:spacing w:val="-2"/>
        </w:rPr>
        <w:t xml:space="preserve"> </w:t>
      </w:r>
      <w:r>
        <w:rPr>
          <w:color w:val="231F20"/>
        </w:rPr>
        <w:t>sport</w:t>
      </w:r>
      <w:r>
        <w:rPr>
          <w:color w:val="231F20"/>
          <w:spacing w:val="-2"/>
        </w:rPr>
        <w:t xml:space="preserve"> </w:t>
      </w:r>
      <w:r>
        <w:rPr>
          <w:color w:val="231F20"/>
        </w:rPr>
        <w:t>and</w:t>
      </w:r>
      <w:r>
        <w:rPr>
          <w:color w:val="231F20"/>
          <w:spacing w:val="-2"/>
        </w:rPr>
        <w:t xml:space="preserve"> </w:t>
      </w:r>
      <w:r>
        <w:rPr>
          <w:color w:val="231F20"/>
        </w:rPr>
        <w:t>tourism</w:t>
      </w:r>
      <w:r>
        <w:rPr>
          <w:color w:val="231F20"/>
          <w:spacing w:val="-2"/>
        </w:rPr>
        <w:t xml:space="preserve"> </w:t>
      </w:r>
      <w:r>
        <w:rPr>
          <w:color w:val="231F20"/>
        </w:rPr>
        <w:t>development.</w:t>
      </w:r>
    </w:p>
    <w:p w14:paraId="31F23DCA" w14:textId="77777777" w:rsidR="00AE0598" w:rsidRDefault="00AE0598">
      <w:pPr>
        <w:spacing w:line="232" w:lineRule="auto"/>
        <w:jc w:val="both"/>
        <w:sectPr w:rsidR="00AE0598">
          <w:pgSz w:w="8850" w:h="13270"/>
          <w:pgMar w:top="720" w:right="1080" w:bottom="280" w:left="1080" w:header="720" w:footer="720" w:gutter="0"/>
          <w:cols w:space="720"/>
        </w:sectPr>
      </w:pPr>
    </w:p>
    <w:p w14:paraId="353943A7" w14:textId="77777777" w:rsidR="00AE0598" w:rsidRDefault="00AE0598">
      <w:pPr>
        <w:pStyle w:val="Corpodetexto"/>
        <w:rPr>
          <w:sz w:val="17"/>
        </w:rPr>
      </w:pPr>
    </w:p>
    <w:p w14:paraId="70E52C44" w14:textId="77777777" w:rsidR="00AE0598" w:rsidRDefault="00AE0598">
      <w:pPr>
        <w:rPr>
          <w:sz w:val="17"/>
        </w:rPr>
        <w:sectPr w:rsidR="00AE0598">
          <w:pgSz w:w="8850" w:h="13270"/>
          <w:pgMar w:top="1240" w:right="1080" w:bottom="280" w:left="1080" w:header="720" w:footer="720" w:gutter="0"/>
          <w:cols w:space="720"/>
        </w:sectPr>
      </w:pPr>
    </w:p>
    <w:p w14:paraId="22E01B4D" w14:textId="77777777" w:rsidR="00AE0598" w:rsidRDefault="0069255A">
      <w:pPr>
        <w:spacing w:before="77"/>
        <w:ind w:left="110"/>
        <w:rPr>
          <w:rFonts w:ascii="Trebuchet MS"/>
          <w:sz w:val="46"/>
        </w:rPr>
      </w:pPr>
      <w:r>
        <w:rPr>
          <w:rFonts w:ascii="Trebuchet MS"/>
          <w:color w:val="231F20"/>
          <w:sz w:val="46"/>
        </w:rPr>
        <w:lastRenderedPageBreak/>
        <w:t>Part</w:t>
      </w:r>
      <w:r>
        <w:rPr>
          <w:rFonts w:ascii="Trebuchet MS"/>
          <w:color w:val="231F20"/>
          <w:spacing w:val="-9"/>
          <w:sz w:val="46"/>
        </w:rPr>
        <w:t xml:space="preserve"> </w:t>
      </w:r>
      <w:r>
        <w:rPr>
          <w:rFonts w:ascii="Trebuchet MS"/>
          <w:color w:val="231F20"/>
          <w:spacing w:val="-12"/>
          <w:w w:val="105"/>
          <w:sz w:val="46"/>
        </w:rPr>
        <w:t>2</w:t>
      </w:r>
    </w:p>
    <w:p w14:paraId="0A841059" w14:textId="77777777" w:rsidR="00AE0598" w:rsidRDefault="0069255A">
      <w:pPr>
        <w:spacing w:before="26" w:line="252" w:lineRule="auto"/>
        <w:ind w:left="110" w:right="1496"/>
        <w:rPr>
          <w:rFonts w:ascii="Trebuchet MS"/>
          <w:sz w:val="46"/>
        </w:rPr>
      </w:pPr>
      <w:r>
        <w:rPr>
          <w:rFonts w:ascii="Trebuchet MS"/>
          <w:color w:val="231F20"/>
          <w:w w:val="105"/>
          <w:sz w:val="46"/>
        </w:rPr>
        <w:t xml:space="preserve">Foundations of Sport </w:t>
      </w:r>
      <w:r>
        <w:rPr>
          <w:rFonts w:ascii="Trebuchet MS"/>
          <w:color w:val="231F20"/>
          <w:spacing w:val="-4"/>
          <w:w w:val="105"/>
          <w:sz w:val="46"/>
        </w:rPr>
        <w:t>Tourism</w:t>
      </w:r>
      <w:r>
        <w:rPr>
          <w:rFonts w:ascii="Trebuchet MS"/>
          <w:color w:val="231F20"/>
          <w:spacing w:val="-33"/>
          <w:w w:val="105"/>
          <w:sz w:val="46"/>
        </w:rPr>
        <w:t xml:space="preserve"> </w:t>
      </w:r>
      <w:r>
        <w:rPr>
          <w:rFonts w:ascii="Trebuchet MS"/>
          <w:color w:val="231F20"/>
          <w:spacing w:val="-4"/>
          <w:w w:val="105"/>
          <w:sz w:val="46"/>
        </w:rPr>
        <w:t>Development</w:t>
      </w:r>
    </w:p>
    <w:p w14:paraId="0773E2BA" w14:textId="77777777" w:rsidR="00AE0598" w:rsidRDefault="00AE0598">
      <w:pPr>
        <w:spacing w:line="252" w:lineRule="auto"/>
        <w:rPr>
          <w:rFonts w:ascii="Trebuchet MS"/>
          <w:sz w:val="46"/>
        </w:rPr>
        <w:sectPr w:rsidR="00AE0598">
          <w:pgSz w:w="8850" w:h="13270"/>
          <w:pgMar w:top="1020" w:right="1080" w:bottom="280" w:left="1080" w:header="720" w:footer="720" w:gutter="0"/>
          <w:cols w:space="720"/>
        </w:sectPr>
      </w:pPr>
    </w:p>
    <w:p w14:paraId="03CDBC7C" w14:textId="77777777" w:rsidR="00AE0598" w:rsidRDefault="00AE0598">
      <w:pPr>
        <w:pStyle w:val="Corpodetexto"/>
        <w:spacing w:before="2"/>
        <w:rPr>
          <w:rFonts w:ascii="Trebuchet MS"/>
          <w:sz w:val="17"/>
        </w:rPr>
      </w:pPr>
    </w:p>
    <w:p w14:paraId="06C49C65" w14:textId="77777777" w:rsidR="00AE0598" w:rsidRDefault="00AE0598">
      <w:pPr>
        <w:rPr>
          <w:rFonts w:ascii="Trebuchet MS"/>
          <w:sz w:val="17"/>
        </w:rPr>
        <w:sectPr w:rsidR="00AE0598">
          <w:pgSz w:w="8850" w:h="13270"/>
          <w:pgMar w:top="1240" w:right="1080" w:bottom="280" w:left="1080" w:header="720" w:footer="720" w:gutter="0"/>
          <w:cols w:space="720"/>
        </w:sectPr>
      </w:pPr>
    </w:p>
    <w:p w14:paraId="3FB07CC6" w14:textId="77777777" w:rsidR="00AE0598" w:rsidRDefault="0069255A">
      <w:pPr>
        <w:pStyle w:val="Ttulo1"/>
      </w:pPr>
      <w:bookmarkStart w:id="7" w:name="2._The_Study_of_Sport_Tourism"/>
      <w:bookmarkStart w:id="8" w:name="_TOC_250011"/>
      <w:bookmarkEnd w:id="7"/>
      <w:r>
        <w:rPr>
          <w:color w:val="231F20"/>
          <w:w w:val="105"/>
        </w:rPr>
        <w:lastRenderedPageBreak/>
        <w:t>2</w:t>
      </w:r>
      <w:r>
        <w:rPr>
          <w:color w:val="231F20"/>
          <w:spacing w:val="74"/>
          <w:w w:val="105"/>
        </w:rPr>
        <w:t xml:space="preserve"> </w:t>
      </w:r>
      <w:r>
        <w:rPr>
          <w:color w:val="231F20"/>
          <w:w w:val="105"/>
        </w:rPr>
        <w:t>The</w:t>
      </w:r>
      <w:r>
        <w:rPr>
          <w:color w:val="231F20"/>
          <w:spacing w:val="-23"/>
          <w:w w:val="105"/>
        </w:rPr>
        <w:t xml:space="preserve"> </w:t>
      </w:r>
      <w:r>
        <w:rPr>
          <w:color w:val="231F20"/>
          <w:w w:val="105"/>
        </w:rPr>
        <w:t>Study</w:t>
      </w:r>
      <w:r>
        <w:rPr>
          <w:color w:val="231F20"/>
          <w:spacing w:val="-23"/>
          <w:w w:val="105"/>
        </w:rPr>
        <w:t xml:space="preserve"> </w:t>
      </w:r>
      <w:r>
        <w:rPr>
          <w:color w:val="231F20"/>
          <w:w w:val="105"/>
        </w:rPr>
        <w:t>of</w:t>
      </w:r>
      <w:r>
        <w:rPr>
          <w:color w:val="231F20"/>
          <w:spacing w:val="-22"/>
          <w:w w:val="105"/>
        </w:rPr>
        <w:t xml:space="preserve"> </w:t>
      </w:r>
      <w:r>
        <w:rPr>
          <w:color w:val="231F20"/>
          <w:w w:val="105"/>
        </w:rPr>
        <w:t>Sport</w:t>
      </w:r>
      <w:r>
        <w:rPr>
          <w:color w:val="231F20"/>
          <w:spacing w:val="-23"/>
          <w:w w:val="105"/>
        </w:rPr>
        <w:t xml:space="preserve"> </w:t>
      </w:r>
      <w:bookmarkEnd w:id="8"/>
      <w:r>
        <w:rPr>
          <w:color w:val="231F20"/>
          <w:spacing w:val="-2"/>
          <w:w w:val="105"/>
        </w:rPr>
        <w:t>Tourism</w:t>
      </w:r>
    </w:p>
    <w:p w14:paraId="70AF869A" w14:textId="77777777" w:rsidR="00AE0598" w:rsidRDefault="00AE0598">
      <w:pPr>
        <w:pStyle w:val="Corpodetexto"/>
        <w:spacing w:before="6"/>
        <w:rPr>
          <w:rFonts w:ascii="Trebuchet MS"/>
          <w:sz w:val="80"/>
        </w:rPr>
      </w:pPr>
    </w:p>
    <w:p w14:paraId="18CBB783" w14:textId="77777777" w:rsidR="00AE0598" w:rsidRDefault="0069255A">
      <w:pPr>
        <w:spacing w:before="1" w:line="228" w:lineRule="auto"/>
        <w:ind w:left="701" w:right="108" w:firstLine="362"/>
        <w:jc w:val="right"/>
        <w:rPr>
          <w:i/>
          <w:sz w:val="18"/>
        </w:rPr>
      </w:pPr>
      <w:r>
        <w:rPr>
          <w:i/>
          <w:color w:val="231F20"/>
          <w:sz w:val="18"/>
        </w:rPr>
        <w:t>From the stand point of theory, it is necessary to understand what sport</w:t>
      </w:r>
      <w:r>
        <w:rPr>
          <w:i/>
          <w:color w:val="231F20"/>
          <w:spacing w:val="40"/>
          <w:sz w:val="18"/>
        </w:rPr>
        <w:t xml:space="preserve"> </w:t>
      </w:r>
      <w:r>
        <w:rPr>
          <w:i/>
          <w:color w:val="231F20"/>
          <w:sz w:val="18"/>
        </w:rPr>
        <w:t>tourism</w:t>
      </w:r>
      <w:r>
        <w:rPr>
          <w:i/>
          <w:color w:val="231F20"/>
          <w:spacing w:val="9"/>
          <w:sz w:val="18"/>
        </w:rPr>
        <w:t xml:space="preserve"> </w:t>
      </w:r>
      <w:r>
        <w:rPr>
          <w:i/>
          <w:color w:val="231F20"/>
          <w:sz w:val="18"/>
        </w:rPr>
        <w:t>shares</w:t>
      </w:r>
      <w:r>
        <w:rPr>
          <w:i/>
          <w:color w:val="231F20"/>
          <w:spacing w:val="10"/>
          <w:sz w:val="18"/>
        </w:rPr>
        <w:t xml:space="preserve"> </w:t>
      </w:r>
      <w:r>
        <w:rPr>
          <w:i/>
          <w:color w:val="231F20"/>
          <w:sz w:val="18"/>
        </w:rPr>
        <w:t>with,</w:t>
      </w:r>
      <w:r>
        <w:rPr>
          <w:i/>
          <w:color w:val="231F20"/>
          <w:spacing w:val="10"/>
          <w:sz w:val="18"/>
        </w:rPr>
        <w:t xml:space="preserve"> </w:t>
      </w:r>
      <w:r>
        <w:rPr>
          <w:i/>
          <w:color w:val="231F20"/>
          <w:sz w:val="18"/>
        </w:rPr>
        <w:t>and</w:t>
      </w:r>
      <w:r>
        <w:rPr>
          <w:i/>
          <w:color w:val="231F20"/>
          <w:spacing w:val="10"/>
          <w:sz w:val="18"/>
        </w:rPr>
        <w:t xml:space="preserve"> </w:t>
      </w:r>
      <w:r>
        <w:rPr>
          <w:i/>
          <w:color w:val="231F20"/>
          <w:sz w:val="18"/>
        </w:rPr>
        <w:t>what</w:t>
      </w:r>
      <w:r>
        <w:rPr>
          <w:i/>
          <w:color w:val="231F20"/>
          <w:spacing w:val="10"/>
          <w:sz w:val="18"/>
        </w:rPr>
        <w:t xml:space="preserve"> </w:t>
      </w:r>
      <w:r>
        <w:rPr>
          <w:i/>
          <w:color w:val="231F20"/>
          <w:sz w:val="18"/>
        </w:rPr>
        <w:t>distinguishes</w:t>
      </w:r>
      <w:r>
        <w:rPr>
          <w:i/>
          <w:color w:val="231F20"/>
          <w:spacing w:val="10"/>
          <w:sz w:val="18"/>
        </w:rPr>
        <w:t xml:space="preserve"> </w:t>
      </w:r>
      <w:r>
        <w:rPr>
          <w:i/>
          <w:color w:val="231F20"/>
          <w:sz w:val="18"/>
        </w:rPr>
        <w:t>it</w:t>
      </w:r>
      <w:r>
        <w:rPr>
          <w:i/>
          <w:color w:val="231F20"/>
          <w:spacing w:val="10"/>
          <w:sz w:val="18"/>
        </w:rPr>
        <w:t xml:space="preserve"> </w:t>
      </w:r>
      <w:r>
        <w:rPr>
          <w:i/>
          <w:color w:val="231F20"/>
          <w:sz w:val="18"/>
        </w:rPr>
        <w:t>from</w:t>
      </w:r>
      <w:r>
        <w:rPr>
          <w:i/>
          <w:color w:val="231F20"/>
          <w:spacing w:val="10"/>
          <w:sz w:val="18"/>
        </w:rPr>
        <w:t xml:space="preserve"> </w:t>
      </w:r>
      <w:r>
        <w:rPr>
          <w:i/>
          <w:color w:val="231F20"/>
          <w:sz w:val="18"/>
        </w:rPr>
        <w:t>other</w:t>
      </w:r>
      <w:r>
        <w:rPr>
          <w:i/>
          <w:color w:val="231F20"/>
          <w:spacing w:val="10"/>
          <w:sz w:val="18"/>
        </w:rPr>
        <w:t xml:space="preserve"> </w:t>
      </w:r>
      <w:r>
        <w:rPr>
          <w:i/>
          <w:color w:val="231F20"/>
          <w:sz w:val="18"/>
        </w:rPr>
        <w:t>touristic</w:t>
      </w:r>
      <w:r>
        <w:rPr>
          <w:i/>
          <w:color w:val="231F20"/>
          <w:spacing w:val="10"/>
          <w:sz w:val="18"/>
        </w:rPr>
        <w:t xml:space="preserve"> </w:t>
      </w:r>
      <w:r>
        <w:rPr>
          <w:i/>
          <w:color w:val="231F20"/>
          <w:spacing w:val="-2"/>
          <w:sz w:val="18"/>
        </w:rPr>
        <w:t>activities.</w:t>
      </w:r>
    </w:p>
    <w:p w14:paraId="5A4BCFEA" w14:textId="77777777" w:rsidR="00AE0598" w:rsidRDefault="0069255A">
      <w:pPr>
        <w:spacing w:line="202" w:lineRule="exact"/>
        <w:ind w:right="108"/>
        <w:jc w:val="right"/>
        <w:rPr>
          <w:sz w:val="18"/>
        </w:rPr>
      </w:pPr>
      <w:r>
        <w:rPr>
          <w:color w:val="231F20"/>
          <w:sz w:val="18"/>
        </w:rPr>
        <w:t>Green</w:t>
      </w:r>
      <w:r>
        <w:rPr>
          <w:color w:val="231F20"/>
          <w:spacing w:val="2"/>
          <w:sz w:val="18"/>
        </w:rPr>
        <w:t xml:space="preserve"> </w:t>
      </w:r>
      <w:r>
        <w:rPr>
          <w:color w:val="231F20"/>
          <w:sz w:val="18"/>
        </w:rPr>
        <w:t>and</w:t>
      </w:r>
      <w:r>
        <w:rPr>
          <w:color w:val="231F20"/>
          <w:spacing w:val="2"/>
          <w:sz w:val="18"/>
        </w:rPr>
        <w:t xml:space="preserve"> </w:t>
      </w:r>
      <w:r>
        <w:rPr>
          <w:color w:val="231F20"/>
          <w:sz w:val="18"/>
        </w:rPr>
        <w:t>Chalip,</w:t>
      </w:r>
      <w:r>
        <w:rPr>
          <w:color w:val="231F20"/>
          <w:spacing w:val="3"/>
          <w:sz w:val="18"/>
        </w:rPr>
        <w:t xml:space="preserve"> </w:t>
      </w:r>
      <w:r>
        <w:rPr>
          <w:color w:val="231F20"/>
          <w:sz w:val="18"/>
        </w:rPr>
        <w:t>1998:</w:t>
      </w:r>
      <w:r>
        <w:rPr>
          <w:color w:val="231F20"/>
          <w:spacing w:val="2"/>
          <w:sz w:val="18"/>
        </w:rPr>
        <w:t xml:space="preserve"> </w:t>
      </w:r>
      <w:r>
        <w:rPr>
          <w:color w:val="231F20"/>
          <w:spacing w:val="-5"/>
          <w:sz w:val="18"/>
        </w:rPr>
        <w:t>276</w:t>
      </w:r>
    </w:p>
    <w:p w14:paraId="29742E1C" w14:textId="77777777" w:rsidR="00AE0598" w:rsidRDefault="00AE0598">
      <w:pPr>
        <w:pStyle w:val="Corpodetexto"/>
        <w:rPr>
          <w:sz w:val="20"/>
        </w:rPr>
      </w:pPr>
    </w:p>
    <w:p w14:paraId="6919A370" w14:textId="77777777" w:rsidR="00AE0598" w:rsidRDefault="00AE0598">
      <w:pPr>
        <w:pStyle w:val="Corpodetexto"/>
        <w:spacing w:before="11"/>
      </w:pPr>
    </w:p>
    <w:p w14:paraId="179FF388" w14:textId="77777777" w:rsidR="00AE0598" w:rsidRDefault="0069255A">
      <w:pPr>
        <w:ind w:left="110"/>
        <w:rPr>
          <w:rFonts w:ascii="Trebuchet MS"/>
          <w:b/>
          <w:sz w:val="20"/>
        </w:rPr>
      </w:pPr>
      <w:r>
        <w:rPr>
          <w:rFonts w:ascii="Trebuchet MS"/>
          <w:b/>
          <w:color w:val="231F20"/>
          <w:spacing w:val="-2"/>
          <w:sz w:val="20"/>
        </w:rPr>
        <w:t>Introduction</w:t>
      </w:r>
    </w:p>
    <w:p w14:paraId="6E4E54D6" w14:textId="77777777" w:rsidR="00AE0598" w:rsidRDefault="0069255A">
      <w:pPr>
        <w:pStyle w:val="Corpodetexto"/>
        <w:spacing w:before="122" w:line="232" w:lineRule="auto"/>
        <w:ind w:left="110" w:right="106" w:firstLine="320"/>
        <w:jc w:val="both"/>
      </w:pPr>
      <w:r>
        <w:rPr>
          <w:color w:val="231F20"/>
        </w:rPr>
        <w:t xml:space="preserve">The phenomenon of sport-related tourism and the implications of </w:t>
      </w:r>
      <w:r>
        <w:rPr>
          <w:color w:val="231F20"/>
          <w:w w:val="95"/>
        </w:rPr>
        <w:t xml:space="preserve">these activities for people and places, justify targeted scholarly attention. </w:t>
      </w:r>
      <w:r>
        <w:rPr>
          <w:color w:val="231F20"/>
        </w:rPr>
        <w:t xml:space="preserve">Theoretical and empirical research offers the opportunity to examine </w:t>
      </w:r>
      <w:r>
        <w:rPr>
          <w:color w:val="231F20"/>
          <w:w w:val="95"/>
        </w:rPr>
        <w:t>untested assumptions, develop an understandin</w:t>
      </w:r>
      <w:r>
        <w:rPr>
          <w:color w:val="231F20"/>
          <w:w w:val="95"/>
        </w:rPr>
        <w:t xml:space="preserve">g of complex relationships </w:t>
      </w:r>
      <w:r>
        <w:rPr>
          <w:color w:val="231F20"/>
        </w:rPr>
        <w:t xml:space="preserve">and processes, and influence outcomes resulting from the interplay of sport and tourism. A focused approach to studying sport tourism will </w:t>
      </w:r>
      <w:r>
        <w:rPr>
          <w:color w:val="231F20"/>
          <w:w w:val="95"/>
        </w:rPr>
        <w:t xml:space="preserve">capture synergies leading to new insights into this phenomenon that would </w:t>
      </w:r>
      <w:r>
        <w:rPr>
          <w:color w:val="231F20"/>
        </w:rPr>
        <w:t>not otherwise em</w:t>
      </w:r>
      <w:r>
        <w:rPr>
          <w:color w:val="231F20"/>
        </w:rPr>
        <w:t xml:space="preserve">erge. Chapter 2 is an articulation of this argument. It examines the conceptual foundations of the study of sport and tourism, arguing in support of directed scholarly attention and consideration of </w:t>
      </w:r>
      <w:r>
        <w:rPr>
          <w:color w:val="231F20"/>
          <w:w w:val="95"/>
        </w:rPr>
        <w:t>sport within a tourist attraction framework. Richard Ship</w:t>
      </w:r>
      <w:r>
        <w:rPr>
          <w:color w:val="231F20"/>
          <w:w w:val="95"/>
        </w:rPr>
        <w:t>way’s case study</w:t>
      </w:r>
      <w:r>
        <w:rPr>
          <w:color w:val="231F20"/>
          <w:spacing w:val="40"/>
        </w:rPr>
        <w:t xml:space="preserve"> </w:t>
      </w:r>
      <w:r>
        <w:rPr>
          <w:color w:val="231F20"/>
          <w:w w:val="95"/>
        </w:rPr>
        <w:t xml:space="preserve">of Bournemouth University’s well-established and successful sport tourism </w:t>
      </w:r>
      <w:r>
        <w:rPr>
          <w:color w:val="231F20"/>
        </w:rPr>
        <w:t>programme highlights the development and merit of dedicated sport tourism units in tertiary academic degrees (Case Study 2.1).</w:t>
      </w:r>
    </w:p>
    <w:p w14:paraId="4E198AEE" w14:textId="77777777" w:rsidR="00AE0598" w:rsidRDefault="00AE0598">
      <w:pPr>
        <w:pStyle w:val="Corpodetexto"/>
        <w:spacing w:before="4"/>
        <w:rPr>
          <w:sz w:val="22"/>
        </w:rPr>
      </w:pPr>
    </w:p>
    <w:p w14:paraId="44F3A999" w14:textId="77777777" w:rsidR="00AE0598" w:rsidRDefault="0069255A">
      <w:pPr>
        <w:spacing w:before="1"/>
        <w:ind w:left="110"/>
        <w:rPr>
          <w:rFonts w:ascii="Trebuchet MS"/>
          <w:b/>
          <w:sz w:val="20"/>
        </w:rPr>
      </w:pPr>
      <w:r>
        <w:rPr>
          <w:rFonts w:ascii="Trebuchet MS"/>
          <w:b/>
          <w:color w:val="231F20"/>
          <w:sz w:val="20"/>
        </w:rPr>
        <w:t>Conceptual</w:t>
      </w:r>
      <w:r>
        <w:rPr>
          <w:rFonts w:ascii="Trebuchet MS"/>
          <w:b/>
          <w:color w:val="231F20"/>
          <w:spacing w:val="-4"/>
          <w:sz w:val="20"/>
        </w:rPr>
        <w:t xml:space="preserve"> </w:t>
      </w:r>
      <w:r>
        <w:rPr>
          <w:rFonts w:ascii="Trebuchet MS"/>
          <w:b/>
          <w:color w:val="231F20"/>
          <w:spacing w:val="-2"/>
          <w:sz w:val="20"/>
        </w:rPr>
        <w:t>Foundations</w:t>
      </w:r>
    </w:p>
    <w:p w14:paraId="52BE23F4" w14:textId="77777777" w:rsidR="00AE0598" w:rsidRDefault="0069255A">
      <w:pPr>
        <w:pStyle w:val="Corpodetexto"/>
        <w:spacing w:before="122" w:line="232" w:lineRule="auto"/>
        <w:ind w:left="110" w:right="106" w:firstLine="320"/>
        <w:jc w:val="both"/>
      </w:pPr>
      <w:r>
        <w:rPr>
          <w:color w:val="231F20"/>
        </w:rPr>
        <w:t>The logical st</w:t>
      </w:r>
      <w:r>
        <w:rPr>
          <w:color w:val="231F20"/>
        </w:rPr>
        <w:t>arting point to understanding the confluence of sport and tourism is to articulate the essence of each of the parent fields of study.</w:t>
      </w:r>
      <w:r>
        <w:rPr>
          <w:color w:val="231F20"/>
          <w:spacing w:val="-9"/>
        </w:rPr>
        <w:t xml:space="preserve"> </w:t>
      </w:r>
      <w:r>
        <w:rPr>
          <w:color w:val="231F20"/>
        </w:rPr>
        <w:t>This</w:t>
      </w:r>
      <w:r>
        <w:rPr>
          <w:color w:val="231F20"/>
          <w:spacing w:val="-9"/>
        </w:rPr>
        <w:t xml:space="preserve"> </w:t>
      </w:r>
      <w:r>
        <w:rPr>
          <w:color w:val="231F20"/>
        </w:rPr>
        <w:t>is</w:t>
      </w:r>
      <w:r>
        <w:rPr>
          <w:color w:val="231F20"/>
          <w:spacing w:val="-9"/>
        </w:rPr>
        <w:t xml:space="preserve"> </w:t>
      </w:r>
      <w:r>
        <w:rPr>
          <w:color w:val="231F20"/>
        </w:rPr>
        <w:t>not</w:t>
      </w:r>
      <w:r>
        <w:rPr>
          <w:color w:val="231F20"/>
          <w:spacing w:val="-9"/>
        </w:rPr>
        <w:t xml:space="preserve"> </w:t>
      </w:r>
      <w:r>
        <w:rPr>
          <w:color w:val="231F20"/>
        </w:rPr>
        <w:t>a</w:t>
      </w:r>
      <w:r>
        <w:rPr>
          <w:color w:val="231F20"/>
          <w:spacing w:val="-9"/>
        </w:rPr>
        <w:t xml:space="preserve"> </w:t>
      </w:r>
      <w:r>
        <w:rPr>
          <w:color w:val="231F20"/>
        </w:rPr>
        <w:t>simple</w:t>
      </w:r>
      <w:r>
        <w:rPr>
          <w:color w:val="231F20"/>
          <w:spacing w:val="-9"/>
        </w:rPr>
        <w:t xml:space="preserve"> </w:t>
      </w:r>
      <w:r>
        <w:rPr>
          <w:color w:val="231F20"/>
        </w:rPr>
        <w:t>task,</w:t>
      </w:r>
      <w:r>
        <w:rPr>
          <w:color w:val="231F20"/>
          <w:spacing w:val="-9"/>
        </w:rPr>
        <w:t xml:space="preserve"> </w:t>
      </w:r>
      <w:r>
        <w:rPr>
          <w:color w:val="231F20"/>
        </w:rPr>
        <w:t>as</w:t>
      </w:r>
      <w:r>
        <w:rPr>
          <w:color w:val="231F20"/>
          <w:spacing w:val="-9"/>
        </w:rPr>
        <w:t xml:space="preserve"> </w:t>
      </w:r>
      <w:r>
        <w:rPr>
          <w:color w:val="231F20"/>
        </w:rPr>
        <w:t>there</w:t>
      </w:r>
      <w:r>
        <w:rPr>
          <w:color w:val="231F20"/>
          <w:spacing w:val="-9"/>
        </w:rPr>
        <w:t xml:space="preserve"> </w:t>
      </w:r>
      <w:r>
        <w:rPr>
          <w:color w:val="231F20"/>
        </w:rPr>
        <w:t>are</w:t>
      </w:r>
      <w:r>
        <w:rPr>
          <w:color w:val="231F20"/>
          <w:spacing w:val="-9"/>
        </w:rPr>
        <w:t xml:space="preserve"> </w:t>
      </w:r>
      <w:r>
        <w:rPr>
          <w:color w:val="231F20"/>
        </w:rPr>
        <w:t>multiple</w:t>
      </w:r>
      <w:r>
        <w:rPr>
          <w:color w:val="231F20"/>
          <w:spacing w:val="-9"/>
        </w:rPr>
        <w:t xml:space="preserve"> </w:t>
      </w:r>
      <w:r>
        <w:rPr>
          <w:color w:val="231F20"/>
        </w:rPr>
        <w:t>perspectives</w:t>
      </w:r>
      <w:r>
        <w:rPr>
          <w:color w:val="231F20"/>
          <w:spacing w:val="-9"/>
        </w:rPr>
        <w:t xml:space="preserve"> </w:t>
      </w:r>
      <w:r>
        <w:rPr>
          <w:color w:val="231F20"/>
        </w:rPr>
        <w:t>of</w:t>
      </w:r>
      <w:r>
        <w:rPr>
          <w:color w:val="231F20"/>
          <w:spacing w:val="-9"/>
        </w:rPr>
        <w:t xml:space="preserve"> </w:t>
      </w:r>
      <w:r>
        <w:rPr>
          <w:color w:val="231F20"/>
        </w:rPr>
        <w:t>each realm (Hinch &amp; Higham, 2001). A range of definitions for sport and tourism</w:t>
      </w:r>
      <w:r>
        <w:rPr>
          <w:color w:val="231F20"/>
          <w:spacing w:val="-1"/>
        </w:rPr>
        <w:t xml:space="preserve"> </w:t>
      </w:r>
      <w:r>
        <w:rPr>
          <w:color w:val="231F20"/>
        </w:rPr>
        <w:t>can</w:t>
      </w:r>
      <w:r>
        <w:rPr>
          <w:color w:val="231F20"/>
          <w:spacing w:val="-1"/>
        </w:rPr>
        <w:t xml:space="preserve"> </w:t>
      </w:r>
      <w:r>
        <w:rPr>
          <w:color w:val="231F20"/>
        </w:rPr>
        <w:t>be</w:t>
      </w:r>
      <w:r>
        <w:rPr>
          <w:color w:val="231F20"/>
          <w:spacing w:val="-1"/>
        </w:rPr>
        <w:t xml:space="preserve"> </w:t>
      </w:r>
      <w:r>
        <w:rPr>
          <w:color w:val="231F20"/>
        </w:rPr>
        <w:t>justified</w:t>
      </w:r>
      <w:r>
        <w:rPr>
          <w:color w:val="231F20"/>
          <w:spacing w:val="-1"/>
        </w:rPr>
        <w:t xml:space="preserve"> </w:t>
      </w:r>
      <w:r>
        <w:rPr>
          <w:color w:val="231F20"/>
        </w:rPr>
        <w:t>in</w:t>
      </w:r>
      <w:r>
        <w:rPr>
          <w:color w:val="231F20"/>
          <w:spacing w:val="-1"/>
        </w:rPr>
        <w:t xml:space="preserve"> </w:t>
      </w:r>
      <w:r>
        <w:rPr>
          <w:color w:val="231F20"/>
        </w:rPr>
        <w:t>different</w:t>
      </w:r>
      <w:r>
        <w:rPr>
          <w:color w:val="231F20"/>
          <w:spacing w:val="-1"/>
        </w:rPr>
        <w:t xml:space="preserve"> </w:t>
      </w:r>
      <w:r>
        <w:rPr>
          <w:color w:val="231F20"/>
        </w:rPr>
        <w:t>contexts.</w:t>
      </w:r>
      <w:r>
        <w:rPr>
          <w:color w:val="231F20"/>
          <w:spacing w:val="-1"/>
        </w:rPr>
        <w:t xml:space="preserve"> </w:t>
      </w:r>
      <w:r>
        <w:rPr>
          <w:color w:val="231F20"/>
        </w:rPr>
        <w:t>In</w:t>
      </w:r>
      <w:r>
        <w:rPr>
          <w:color w:val="231F20"/>
          <w:spacing w:val="-1"/>
        </w:rPr>
        <w:t xml:space="preserve"> </w:t>
      </w:r>
      <w:r>
        <w:rPr>
          <w:color w:val="231F20"/>
        </w:rPr>
        <w:t>revisiting</w:t>
      </w:r>
      <w:r>
        <w:rPr>
          <w:color w:val="231F20"/>
          <w:spacing w:val="-1"/>
        </w:rPr>
        <w:t xml:space="preserve"> </w:t>
      </w:r>
      <w:r>
        <w:rPr>
          <w:color w:val="231F20"/>
        </w:rPr>
        <w:t>the</w:t>
      </w:r>
      <w:r>
        <w:rPr>
          <w:color w:val="231F20"/>
          <w:spacing w:val="-1"/>
        </w:rPr>
        <w:t xml:space="preserve"> </w:t>
      </w:r>
      <w:r>
        <w:rPr>
          <w:color w:val="231F20"/>
        </w:rPr>
        <w:t>concept</w:t>
      </w:r>
      <w:r>
        <w:rPr>
          <w:color w:val="231F20"/>
          <w:spacing w:val="-1"/>
        </w:rPr>
        <w:t xml:space="preserve"> </w:t>
      </w:r>
      <w:r>
        <w:rPr>
          <w:color w:val="231F20"/>
        </w:rPr>
        <w:t>of sport, Hsu (2005) categorised efforts to define sport as narrow (closed) or</w:t>
      </w:r>
      <w:r>
        <w:rPr>
          <w:color w:val="231F20"/>
          <w:spacing w:val="-4"/>
        </w:rPr>
        <w:t xml:space="preserve"> </w:t>
      </w:r>
      <w:r>
        <w:rPr>
          <w:color w:val="231F20"/>
        </w:rPr>
        <w:t>broad</w:t>
      </w:r>
      <w:r>
        <w:rPr>
          <w:color w:val="231F20"/>
          <w:spacing w:val="-3"/>
        </w:rPr>
        <w:t xml:space="preserve"> </w:t>
      </w:r>
      <w:r>
        <w:rPr>
          <w:color w:val="231F20"/>
        </w:rPr>
        <w:t>(open).</w:t>
      </w:r>
      <w:r>
        <w:rPr>
          <w:color w:val="231F20"/>
          <w:spacing w:val="-3"/>
        </w:rPr>
        <w:t xml:space="preserve"> </w:t>
      </w:r>
      <w:r>
        <w:rPr>
          <w:color w:val="231F20"/>
        </w:rPr>
        <w:t>In</w:t>
      </w:r>
      <w:r>
        <w:rPr>
          <w:color w:val="231F20"/>
          <w:spacing w:val="-4"/>
        </w:rPr>
        <w:t xml:space="preserve"> </w:t>
      </w:r>
      <w:r>
        <w:rPr>
          <w:color w:val="231F20"/>
        </w:rPr>
        <w:t>the</w:t>
      </w:r>
      <w:r>
        <w:rPr>
          <w:color w:val="231F20"/>
          <w:spacing w:val="-3"/>
        </w:rPr>
        <w:t xml:space="preserve"> </w:t>
      </w:r>
      <w:r>
        <w:rPr>
          <w:color w:val="231F20"/>
        </w:rPr>
        <w:t>first</w:t>
      </w:r>
      <w:r>
        <w:rPr>
          <w:color w:val="231F20"/>
          <w:spacing w:val="-3"/>
        </w:rPr>
        <w:t xml:space="preserve"> </w:t>
      </w:r>
      <w:r>
        <w:rPr>
          <w:color w:val="231F20"/>
        </w:rPr>
        <w:t>inst</w:t>
      </w:r>
      <w:r>
        <w:rPr>
          <w:color w:val="231F20"/>
        </w:rPr>
        <w:t>ance,</w:t>
      </w:r>
      <w:r>
        <w:rPr>
          <w:color w:val="231F20"/>
          <w:spacing w:val="-3"/>
        </w:rPr>
        <w:t xml:space="preserve"> </w:t>
      </w:r>
      <w:r>
        <w:rPr>
          <w:color w:val="231F20"/>
        </w:rPr>
        <w:t>sport</w:t>
      </w:r>
      <w:r>
        <w:rPr>
          <w:color w:val="231F20"/>
          <w:spacing w:val="-3"/>
        </w:rPr>
        <w:t xml:space="preserve"> </w:t>
      </w:r>
      <w:r>
        <w:rPr>
          <w:color w:val="231F20"/>
        </w:rPr>
        <w:t>is</w:t>
      </w:r>
      <w:r>
        <w:rPr>
          <w:color w:val="231F20"/>
          <w:spacing w:val="-3"/>
        </w:rPr>
        <w:t xml:space="preserve"> </w:t>
      </w:r>
      <w:r>
        <w:rPr>
          <w:color w:val="231F20"/>
        </w:rPr>
        <w:t>seen</w:t>
      </w:r>
      <w:r>
        <w:rPr>
          <w:color w:val="231F20"/>
          <w:spacing w:val="-3"/>
        </w:rPr>
        <w:t xml:space="preserve"> </w:t>
      </w:r>
      <w:r>
        <w:rPr>
          <w:color w:val="231F20"/>
        </w:rPr>
        <w:t>as</w:t>
      </w:r>
      <w:r>
        <w:rPr>
          <w:color w:val="231F20"/>
          <w:spacing w:val="-3"/>
        </w:rPr>
        <w:t xml:space="preserve"> </w:t>
      </w:r>
      <w:r>
        <w:rPr>
          <w:color w:val="231F20"/>
        </w:rPr>
        <w:t>something</w:t>
      </w:r>
      <w:r>
        <w:rPr>
          <w:color w:val="231F20"/>
          <w:spacing w:val="-3"/>
        </w:rPr>
        <w:t xml:space="preserve"> </w:t>
      </w:r>
      <w:r>
        <w:rPr>
          <w:color w:val="231F20"/>
        </w:rPr>
        <w:t>that</w:t>
      </w:r>
      <w:r>
        <w:rPr>
          <w:color w:val="231F20"/>
          <w:spacing w:val="-4"/>
        </w:rPr>
        <w:t xml:space="preserve"> </w:t>
      </w:r>
      <w:r>
        <w:rPr>
          <w:color w:val="231F20"/>
        </w:rPr>
        <w:t xml:space="preserve">can be demarcated from non-sport activities while the former suggests that this distinction is not always possible. Commentators such as Andrews (2006) align with the latter view, warning that definitions that try to </w:t>
      </w:r>
      <w:r>
        <w:rPr>
          <w:color w:val="231F20"/>
          <w:w w:val="95"/>
        </w:rPr>
        <w:t>d</w:t>
      </w:r>
      <w:r>
        <w:rPr>
          <w:color w:val="231F20"/>
          <w:w w:val="95"/>
        </w:rPr>
        <w:t xml:space="preserve">elineate socially constructed phenomena are bound to be futile as social </w:t>
      </w:r>
      <w:r>
        <w:rPr>
          <w:color w:val="231F20"/>
        </w:rPr>
        <w:t>constructions vary across time and space. While agreement on a single universal definition is unlikely and perhaps undesirable, it is helpful for readers to understand the perspective</w:t>
      </w:r>
      <w:r>
        <w:rPr>
          <w:color w:val="231F20"/>
        </w:rPr>
        <w:t xml:space="preserve">s that have been adopted for this </w:t>
      </w:r>
      <w:r>
        <w:rPr>
          <w:color w:val="231F20"/>
          <w:w w:val="95"/>
        </w:rPr>
        <w:t xml:space="preserve">book. The basic parameters that follow are not meant to deny or diminish </w:t>
      </w:r>
      <w:r>
        <w:rPr>
          <w:color w:val="231F20"/>
        </w:rPr>
        <w:t>other</w:t>
      </w:r>
      <w:r>
        <w:rPr>
          <w:color w:val="231F20"/>
          <w:spacing w:val="-2"/>
        </w:rPr>
        <w:t xml:space="preserve"> </w:t>
      </w:r>
      <w:r>
        <w:rPr>
          <w:color w:val="231F20"/>
        </w:rPr>
        <w:t>perspectives</w:t>
      </w:r>
      <w:r>
        <w:rPr>
          <w:color w:val="231F20"/>
          <w:spacing w:val="-1"/>
        </w:rPr>
        <w:t xml:space="preserve"> </w:t>
      </w:r>
      <w:r>
        <w:rPr>
          <w:color w:val="231F20"/>
        </w:rPr>
        <w:t>but</w:t>
      </w:r>
      <w:r>
        <w:rPr>
          <w:color w:val="231F20"/>
          <w:spacing w:val="-2"/>
        </w:rPr>
        <w:t xml:space="preserve"> </w:t>
      </w:r>
      <w:r>
        <w:rPr>
          <w:color w:val="231F20"/>
        </w:rPr>
        <w:t>rather</w:t>
      </w:r>
      <w:r>
        <w:rPr>
          <w:color w:val="231F20"/>
          <w:spacing w:val="-2"/>
        </w:rPr>
        <w:t xml:space="preserve"> </w:t>
      </w:r>
      <w:r>
        <w:rPr>
          <w:color w:val="231F20"/>
        </w:rPr>
        <w:t>to</w:t>
      </w:r>
      <w:r>
        <w:rPr>
          <w:color w:val="231F20"/>
          <w:spacing w:val="-1"/>
        </w:rPr>
        <w:t xml:space="preserve"> </w:t>
      </w:r>
      <w:r>
        <w:rPr>
          <w:color w:val="231F20"/>
        </w:rPr>
        <w:t>position</w:t>
      </w:r>
      <w:r>
        <w:rPr>
          <w:color w:val="231F20"/>
          <w:spacing w:val="-1"/>
        </w:rPr>
        <w:t xml:space="preserve"> </w:t>
      </w:r>
      <w:r>
        <w:rPr>
          <w:color w:val="231F20"/>
        </w:rPr>
        <w:t>our</w:t>
      </w:r>
      <w:r>
        <w:rPr>
          <w:color w:val="231F20"/>
          <w:spacing w:val="-2"/>
        </w:rPr>
        <w:t xml:space="preserve"> </w:t>
      </w:r>
      <w:r>
        <w:rPr>
          <w:color w:val="231F20"/>
        </w:rPr>
        <w:t>discussions.</w:t>
      </w:r>
    </w:p>
    <w:p w14:paraId="63762B85" w14:textId="77777777" w:rsidR="00AE0598" w:rsidRDefault="00AE0598">
      <w:pPr>
        <w:pStyle w:val="Corpodetexto"/>
        <w:rPr>
          <w:sz w:val="20"/>
        </w:rPr>
      </w:pPr>
    </w:p>
    <w:p w14:paraId="47706C07" w14:textId="77777777" w:rsidR="00AE0598" w:rsidRDefault="00AE0598">
      <w:pPr>
        <w:pStyle w:val="Corpodetexto"/>
        <w:spacing w:before="7"/>
        <w:rPr>
          <w:sz w:val="20"/>
        </w:rPr>
      </w:pPr>
    </w:p>
    <w:p w14:paraId="3EED12CC" w14:textId="77777777" w:rsidR="00AE0598" w:rsidRDefault="0069255A">
      <w:pPr>
        <w:ind w:left="376" w:right="386"/>
        <w:jc w:val="center"/>
        <w:rPr>
          <w:rFonts w:ascii="Trebuchet MS"/>
          <w:sz w:val="16"/>
        </w:rPr>
      </w:pPr>
      <w:r>
        <w:rPr>
          <w:rFonts w:ascii="Trebuchet MS"/>
          <w:color w:val="231F20"/>
          <w:spacing w:val="-5"/>
          <w:w w:val="105"/>
          <w:sz w:val="16"/>
        </w:rPr>
        <w:t>19</w:t>
      </w:r>
    </w:p>
    <w:p w14:paraId="27F6F62D" w14:textId="77777777" w:rsidR="00AE0598" w:rsidRDefault="00AE0598">
      <w:pPr>
        <w:jc w:val="center"/>
        <w:rPr>
          <w:rFonts w:ascii="Trebuchet MS"/>
          <w:sz w:val="16"/>
        </w:rPr>
        <w:sectPr w:rsidR="00AE0598">
          <w:pgSz w:w="8850" w:h="13270"/>
          <w:pgMar w:top="1020" w:right="1080" w:bottom="280" w:left="1080" w:header="720" w:footer="720" w:gutter="0"/>
          <w:cols w:space="720"/>
        </w:sectPr>
      </w:pPr>
    </w:p>
    <w:p w14:paraId="484EDC90" w14:textId="77777777" w:rsidR="00AE0598" w:rsidRDefault="0069255A">
      <w:pPr>
        <w:spacing w:before="87"/>
        <w:ind w:left="108"/>
        <w:rPr>
          <w:rFonts w:ascii="Trebuchet MS"/>
          <w:sz w:val="14"/>
        </w:rPr>
      </w:pPr>
      <w:r>
        <w:rPr>
          <w:rFonts w:ascii="Trebuchet MS"/>
          <w:color w:val="231F20"/>
          <w:w w:val="105"/>
          <w:sz w:val="14"/>
        </w:rPr>
        <w:lastRenderedPageBreak/>
        <w:t>20</w:t>
      </w:r>
      <w:r>
        <w:rPr>
          <w:rFonts w:ascii="Trebuchet MS"/>
          <w:color w:val="231F20"/>
          <w:spacing w:val="64"/>
          <w:w w:val="150"/>
          <w:sz w:val="14"/>
        </w:rPr>
        <w:t xml:space="preserve"> </w:t>
      </w:r>
      <w:r>
        <w:rPr>
          <w:rFonts w:ascii="Trebuchet MS"/>
          <w:color w:val="231F20"/>
          <w:w w:val="105"/>
          <w:sz w:val="14"/>
        </w:rPr>
        <w:t>Part</w:t>
      </w:r>
      <w:r>
        <w:rPr>
          <w:rFonts w:ascii="Trebuchet MS"/>
          <w:color w:val="231F20"/>
          <w:spacing w:val="-9"/>
          <w:w w:val="105"/>
          <w:sz w:val="14"/>
        </w:rPr>
        <w:t xml:space="preserve"> </w:t>
      </w:r>
      <w:r>
        <w:rPr>
          <w:rFonts w:ascii="Trebuchet MS"/>
          <w:color w:val="231F20"/>
          <w:w w:val="105"/>
          <w:sz w:val="14"/>
        </w:rPr>
        <w:t>2:</w:t>
      </w:r>
      <w:r>
        <w:rPr>
          <w:rFonts w:ascii="Trebuchet MS"/>
          <w:color w:val="231F20"/>
          <w:spacing w:val="-9"/>
          <w:w w:val="105"/>
          <w:sz w:val="14"/>
        </w:rPr>
        <w:t xml:space="preserve"> </w:t>
      </w:r>
      <w:r>
        <w:rPr>
          <w:rFonts w:ascii="Trebuchet MS"/>
          <w:color w:val="231F20"/>
          <w:w w:val="105"/>
          <w:sz w:val="14"/>
        </w:rPr>
        <w:t>Foundations</w:t>
      </w:r>
      <w:r>
        <w:rPr>
          <w:rFonts w:ascii="Trebuchet MS"/>
          <w:color w:val="231F20"/>
          <w:spacing w:val="-9"/>
          <w:w w:val="105"/>
          <w:sz w:val="14"/>
        </w:rPr>
        <w:t xml:space="preserve"> </w:t>
      </w:r>
      <w:r>
        <w:rPr>
          <w:rFonts w:ascii="Trebuchet MS"/>
          <w:color w:val="231F20"/>
          <w:w w:val="105"/>
          <w:sz w:val="14"/>
        </w:rPr>
        <w:t>of</w:t>
      </w:r>
      <w:r>
        <w:rPr>
          <w:rFonts w:ascii="Trebuchet MS"/>
          <w:color w:val="231F20"/>
          <w:spacing w:val="-9"/>
          <w:w w:val="105"/>
          <w:sz w:val="14"/>
        </w:rPr>
        <w:t xml:space="preserve"> </w:t>
      </w:r>
      <w:r>
        <w:rPr>
          <w:rFonts w:ascii="Trebuchet MS"/>
          <w:color w:val="231F20"/>
          <w:w w:val="105"/>
          <w:sz w:val="14"/>
        </w:rPr>
        <w:t>Sport</w:t>
      </w:r>
      <w:r>
        <w:rPr>
          <w:rFonts w:ascii="Trebuchet MS"/>
          <w:color w:val="231F20"/>
          <w:spacing w:val="-9"/>
          <w:w w:val="105"/>
          <w:sz w:val="14"/>
        </w:rPr>
        <w:t xml:space="preserve"> </w:t>
      </w:r>
      <w:r>
        <w:rPr>
          <w:rFonts w:ascii="Trebuchet MS"/>
          <w:color w:val="231F20"/>
          <w:w w:val="105"/>
          <w:sz w:val="14"/>
        </w:rPr>
        <w:t>Tourism</w:t>
      </w:r>
      <w:r>
        <w:rPr>
          <w:rFonts w:ascii="Trebuchet MS"/>
          <w:color w:val="231F20"/>
          <w:spacing w:val="-9"/>
          <w:w w:val="105"/>
          <w:sz w:val="14"/>
        </w:rPr>
        <w:t xml:space="preserve"> </w:t>
      </w:r>
      <w:r>
        <w:rPr>
          <w:rFonts w:ascii="Trebuchet MS"/>
          <w:color w:val="231F20"/>
          <w:spacing w:val="-2"/>
          <w:w w:val="105"/>
          <w:sz w:val="14"/>
        </w:rPr>
        <w:t>Development</w:t>
      </w:r>
    </w:p>
    <w:p w14:paraId="14704D57" w14:textId="77777777" w:rsidR="00AE0598" w:rsidRDefault="00AE0598">
      <w:pPr>
        <w:pStyle w:val="Corpodetexto"/>
        <w:rPr>
          <w:rFonts w:ascii="Trebuchet MS"/>
          <w:sz w:val="16"/>
        </w:rPr>
      </w:pPr>
    </w:p>
    <w:p w14:paraId="3353D1F5" w14:textId="77777777" w:rsidR="00AE0598" w:rsidRDefault="0069255A">
      <w:pPr>
        <w:spacing w:before="120"/>
        <w:ind w:left="110"/>
        <w:rPr>
          <w:rFonts w:ascii="Trebuchet MS"/>
          <w:sz w:val="20"/>
        </w:rPr>
      </w:pPr>
      <w:r>
        <w:rPr>
          <w:rFonts w:ascii="Trebuchet MS"/>
          <w:color w:val="231F20"/>
          <w:w w:val="110"/>
          <w:sz w:val="20"/>
        </w:rPr>
        <w:t>Domain</w:t>
      </w:r>
      <w:r>
        <w:rPr>
          <w:rFonts w:ascii="Trebuchet MS"/>
          <w:color w:val="231F20"/>
          <w:spacing w:val="-15"/>
          <w:w w:val="110"/>
          <w:sz w:val="20"/>
        </w:rPr>
        <w:t xml:space="preserve"> </w:t>
      </w:r>
      <w:r>
        <w:rPr>
          <w:rFonts w:ascii="Trebuchet MS"/>
          <w:color w:val="231F20"/>
          <w:w w:val="110"/>
          <w:sz w:val="20"/>
        </w:rPr>
        <w:t>of</w:t>
      </w:r>
      <w:r>
        <w:rPr>
          <w:rFonts w:ascii="Trebuchet MS"/>
          <w:color w:val="231F20"/>
          <w:spacing w:val="-15"/>
          <w:w w:val="110"/>
          <w:sz w:val="20"/>
        </w:rPr>
        <w:t xml:space="preserve"> </w:t>
      </w:r>
      <w:r>
        <w:rPr>
          <w:rFonts w:ascii="Trebuchet MS"/>
          <w:color w:val="231F20"/>
          <w:spacing w:val="-4"/>
          <w:w w:val="110"/>
          <w:sz w:val="20"/>
        </w:rPr>
        <w:t>sport</w:t>
      </w:r>
    </w:p>
    <w:p w14:paraId="31AA6531" w14:textId="77777777" w:rsidR="00AE0598" w:rsidRDefault="0069255A">
      <w:pPr>
        <w:pStyle w:val="Corpodetexto"/>
        <w:spacing w:before="122" w:line="232" w:lineRule="auto"/>
        <w:ind w:left="110" w:right="106" w:firstLine="320"/>
        <w:jc w:val="both"/>
      </w:pPr>
      <w:r>
        <w:rPr>
          <w:color w:val="231F20"/>
        </w:rPr>
        <w:t xml:space="preserve">The popular perception of sport as articulated in the </w:t>
      </w:r>
      <w:r>
        <w:rPr>
          <w:i/>
          <w:color w:val="231F20"/>
        </w:rPr>
        <w:t xml:space="preserve">Oxford English Dictionary </w:t>
      </w:r>
      <w:r>
        <w:rPr>
          <w:color w:val="231F20"/>
        </w:rPr>
        <w:t>(2017) is ‘an activity involving physical exertion and skill, especially (particularly in modern use) one regulated by a set rules or customs in which an individual or te</w:t>
      </w:r>
      <w:r>
        <w:rPr>
          <w:color w:val="231F20"/>
        </w:rPr>
        <w:t xml:space="preserve">am competes against another or others’. While reflecting popular sentiment, this definition is consistent </w:t>
      </w:r>
      <w:r>
        <w:rPr>
          <w:color w:val="231F20"/>
          <w:w w:val="95"/>
        </w:rPr>
        <w:t>with key elements in the scholarly definitions that are found in the field of sport sociology. For example, Woods (2016) also highlights characteristi</w:t>
      </w:r>
      <w:r>
        <w:rPr>
          <w:color w:val="231F20"/>
          <w:w w:val="95"/>
        </w:rPr>
        <w:t xml:space="preserve">cs like competition, physical activity and rules. Such elements are consistent </w:t>
      </w:r>
      <w:r>
        <w:rPr>
          <w:color w:val="231F20"/>
        </w:rPr>
        <w:t>with</w:t>
      </w:r>
      <w:r>
        <w:rPr>
          <w:color w:val="231F20"/>
          <w:spacing w:val="-6"/>
        </w:rPr>
        <w:t xml:space="preserve"> </w:t>
      </w:r>
      <w:r>
        <w:rPr>
          <w:color w:val="231F20"/>
        </w:rPr>
        <w:t>earlier</w:t>
      </w:r>
      <w:r>
        <w:rPr>
          <w:color w:val="231F20"/>
          <w:spacing w:val="-6"/>
        </w:rPr>
        <w:t xml:space="preserve"> </w:t>
      </w:r>
      <w:r>
        <w:rPr>
          <w:color w:val="231F20"/>
        </w:rPr>
        <w:t>definitions</w:t>
      </w:r>
      <w:r>
        <w:rPr>
          <w:color w:val="231F20"/>
          <w:spacing w:val="-6"/>
        </w:rPr>
        <w:t xml:space="preserve"> </w:t>
      </w:r>
      <w:r>
        <w:rPr>
          <w:color w:val="231F20"/>
        </w:rPr>
        <w:t>that</w:t>
      </w:r>
      <w:r>
        <w:rPr>
          <w:color w:val="231F20"/>
          <w:spacing w:val="-6"/>
        </w:rPr>
        <w:t xml:space="preserve"> </w:t>
      </w:r>
      <w:r>
        <w:rPr>
          <w:color w:val="231F20"/>
        </w:rPr>
        <w:t>defined</w:t>
      </w:r>
      <w:r>
        <w:rPr>
          <w:color w:val="231F20"/>
          <w:spacing w:val="-6"/>
        </w:rPr>
        <w:t xml:space="preserve"> </w:t>
      </w:r>
      <w:r>
        <w:rPr>
          <w:color w:val="231F20"/>
        </w:rPr>
        <w:t>sport</w:t>
      </w:r>
      <w:r>
        <w:rPr>
          <w:color w:val="231F20"/>
          <w:spacing w:val="-6"/>
        </w:rPr>
        <w:t xml:space="preserve"> </w:t>
      </w:r>
      <w:r>
        <w:rPr>
          <w:color w:val="231F20"/>
        </w:rPr>
        <w:t>as</w:t>
      </w:r>
      <w:r>
        <w:rPr>
          <w:color w:val="231F20"/>
          <w:spacing w:val="-6"/>
        </w:rPr>
        <w:t xml:space="preserve"> </w:t>
      </w:r>
      <w:r>
        <w:rPr>
          <w:color w:val="231F20"/>
        </w:rPr>
        <w:t>‘a</w:t>
      </w:r>
      <w:r>
        <w:rPr>
          <w:color w:val="231F20"/>
          <w:spacing w:val="-6"/>
        </w:rPr>
        <w:t xml:space="preserve"> </w:t>
      </w:r>
      <w:r>
        <w:rPr>
          <w:color w:val="231F20"/>
        </w:rPr>
        <w:t>structured,</w:t>
      </w:r>
      <w:r>
        <w:rPr>
          <w:color w:val="231F20"/>
          <w:spacing w:val="-6"/>
        </w:rPr>
        <w:t xml:space="preserve"> </w:t>
      </w:r>
      <w:r>
        <w:rPr>
          <w:color w:val="231F20"/>
        </w:rPr>
        <w:t xml:space="preserve">goal-oriented, competitive, contest-based, ludic physical activity’ (McPherson </w:t>
      </w:r>
      <w:r>
        <w:rPr>
          <w:i/>
          <w:color w:val="231F20"/>
        </w:rPr>
        <w:t>et al</w:t>
      </w:r>
      <w:r>
        <w:rPr>
          <w:color w:val="231F20"/>
        </w:rPr>
        <w:t>., 1989:</w:t>
      </w:r>
      <w:r>
        <w:rPr>
          <w:color w:val="231F20"/>
          <w:spacing w:val="-2"/>
        </w:rPr>
        <w:t xml:space="preserve"> </w:t>
      </w:r>
      <w:r>
        <w:rPr>
          <w:color w:val="231F20"/>
        </w:rPr>
        <w:t>15).</w:t>
      </w:r>
      <w:r>
        <w:rPr>
          <w:color w:val="231F20"/>
          <w:spacing w:val="-2"/>
        </w:rPr>
        <w:t xml:space="preserve"> </w:t>
      </w:r>
      <w:r>
        <w:rPr>
          <w:color w:val="231F20"/>
        </w:rPr>
        <w:t>Increasingly,</w:t>
      </w:r>
      <w:r>
        <w:rPr>
          <w:color w:val="231F20"/>
          <w:spacing w:val="-2"/>
        </w:rPr>
        <w:t xml:space="preserve"> </w:t>
      </w:r>
      <w:r>
        <w:rPr>
          <w:color w:val="231F20"/>
        </w:rPr>
        <w:t>however,</w:t>
      </w:r>
      <w:r>
        <w:rPr>
          <w:color w:val="231F20"/>
          <w:spacing w:val="-2"/>
        </w:rPr>
        <w:t xml:space="preserve"> </w:t>
      </w:r>
      <w:r>
        <w:rPr>
          <w:color w:val="231F20"/>
        </w:rPr>
        <w:t>definitions</w:t>
      </w:r>
      <w:r>
        <w:rPr>
          <w:color w:val="231F20"/>
          <w:spacing w:val="-2"/>
        </w:rPr>
        <w:t xml:space="preserve"> </w:t>
      </w:r>
      <w:r>
        <w:rPr>
          <w:color w:val="231F20"/>
        </w:rPr>
        <w:t>of</w:t>
      </w:r>
      <w:r>
        <w:rPr>
          <w:color w:val="231F20"/>
          <w:spacing w:val="-2"/>
        </w:rPr>
        <w:t xml:space="preserve"> </w:t>
      </w:r>
      <w:r>
        <w:rPr>
          <w:color w:val="231F20"/>
        </w:rPr>
        <w:t>sport</w:t>
      </w:r>
      <w:r>
        <w:rPr>
          <w:color w:val="231F20"/>
          <w:spacing w:val="-2"/>
        </w:rPr>
        <w:t xml:space="preserve"> </w:t>
      </w:r>
      <w:r>
        <w:rPr>
          <w:color w:val="231F20"/>
        </w:rPr>
        <w:t>carry</w:t>
      </w:r>
      <w:r>
        <w:rPr>
          <w:color w:val="231F20"/>
          <w:spacing w:val="-2"/>
        </w:rPr>
        <w:t xml:space="preserve"> </w:t>
      </w:r>
      <w:r>
        <w:rPr>
          <w:color w:val="231F20"/>
        </w:rPr>
        <w:t>a</w:t>
      </w:r>
      <w:r>
        <w:rPr>
          <w:color w:val="231F20"/>
          <w:spacing w:val="-2"/>
        </w:rPr>
        <w:t xml:space="preserve"> </w:t>
      </w:r>
      <w:r>
        <w:rPr>
          <w:color w:val="231F20"/>
        </w:rPr>
        <w:t>caveat</w:t>
      </w:r>
      <w:r>
        <w:rPr>
          <w:color w:val="231F20"/>
          <w:spacing w:val="-2"/>
        </w:rPr>
        <w:t xml:space="preserve"> </w:t>
      </w:r>
      <w:r>
        <w:rPr>
          <w:color w:val="231F20"/>
        </w:rPr>
        <w:t>that the meaning of sport varies in terms of time and place.</w:t>
      </w:r>
    </w:p>
    <w:p w14:paraId="70F8E3B0" w14:textId="77777777" w:rsidR="00AE0598" w:rsidRDefault="0069255A">
      <w:pPr>
        <w:pStyle w:val="Corpodetexto"/>
        <w:spacing w:before="15" w:line="232" w:lineRule="auto"/>
        <w:ind w:left="110" w:right="104" w:firstLine="320"/>
        <w:jc w:val="both"/>
      </w:pPr>
      <w:r>
        <w:rPr>
          <w:color w:val="231F20"/>
        </w:rPr>
        <w:t>Basic parameters that emerge from this</w:t>
      </w:r>
      <w:r>
        <w:rPr>
          <w:color w:val="231F20"/>
        </w:rPr>
        <w:t xml:space="preserve"> perspective include rules, competition,</w:t>
      </w:r>
      <w:r>
        <w:rPr>
          <w:color w:val="231F20"/>
          <w:spacing w:val="-12"/>
        </w:rPr>
        <w:t xml:space="preserve"> </w:t>
      </w:r>
      <w:r>
        <w:rPr>
          <w:color w:val="231F20"/>
        </w:rPr>
        <w:t>play</w:t>
      </w:r>
      <w:r>
        <w:rPr>
          <w:color w:val="231F20"/>
          <w:spacing w:val="-12"/>
        </w:rPr>
        <w:t xml:space="preserve"> </w:t>
      </w:r>
      <w:r>
        <w:rPr>
          <w:color w:val="231F20"/>
        </w:rPr>
        <w:t>and</w:t>
      </w:r>
      <w:r>
        <w:rPr>
          <w:color w:val="231F20"/>
          <w:spacing w:val="-11"/>
        </w:rPr>
        <w:t xml:space="preserve"> </w:t>
      </w:r>
      <w:r>
        <w:rPr>
          <w:color w:val="231F20"/>
        </w:rPr>
        <w:t>physical</w:t>
      </w:r>
      <w:r>
        <w:rPr>
          <w:color w:val="231F20"/>
          <w:spacing w:val="-12"/>
        </w:rPr>
        <w:t xml:space="preserve"> </w:t>
      </w:r>
      <w:r>
        <w:rPr>
          <w:color w:val="231F20"/>
        </w:rPr>
        <w:t>activity.</w:t>
      </w:r>
      <w:r>
        <w:rPr>
          <w:color w:val="231F20"/>
          <w:spacing w:val="-11"/>
        </w:rPr>
        <w:t xml:space="preserve"> </w:t>
      </w:r>
      <w:r>
        <w:rPr>
          <w:color w:val="231F20"/>
        </w:rPr>
        <w:t>Rules</w:t>
      </w:r>
      <w:r>
        <w:rPr>
          <w:color w:val="231F20"/>
          <w:spacing w:val="-12"/>
        </w:rPr>
        <w:t xml:space="preserve"> </w:t>
      </w:r>
      <w:r>
        <w:rPr>
          <w:color w:val="231F20"/>
        </w:rPr>
        <w:t>typically</w:t>
      </w:r>
      <w:r>
        <w:rPr>
          <w:color w:val="231F20"/>
          <w:spacing w:val="-11"/>
        </w:rPr>
        <w:t xml:space="preserve"> </w:t>
      </w:r>
      <w:r>
        <w:rPr>
          <w:color w:val="231F20"/>
        </w:rPr>
        <w:t>relate</w:t>
      </w:r>
      <w:r>
        <w:rPr>
          <w:color w:val="231F20"/>
          <w:spacing w:val="-12"/>
        </w:rPr>
        <w:t xml:space="preserve"> </w:t>
      </w:r>
      <w:r>
        <w:rPr>
          <w:color w:val="231F20"/>
        </w:rPr>
        <w:t>to</w:t>
      </w:r>
      <w:r>
        <w:rPr>
          <w:color w:val="231F20"/>
          <w:spacing w:val="-12"/>
        </w:rPr>
        <w:t xml:space="preserve"> </w:t>
      </w:r>
      <w:r>
        <w:rPr>
          <w:color w:val="231F20"/>
        </w:rPr>
        <w:t>space</w:t>
      </w:r>
      <w:r>
        <w:rPr>
          <w:color w:val="231F20"/>
          <w:spacing w:val="-11"/>
        </w:rPr>
        <w:t xml:space="preserve"> </w:t>
      </w:r>
      <w:r>
        <w:rPr>
          <w:color w:val="231F20"/>
        </w:rPr>
        <w:t xml:space="preserve">and </w:t>
      </w:r>
      <w:r>
        <w:rPr>
          <w:color w:val="231F20"/>
          <w:w w:val="95"/>
        </w:rPr>
        <w:t xml:space="preserve">time. They are observable in a variety of ways including the dimensions of </w:t>
      </w:r>
      <w:r>
        <w:rPr>
          <w:color w:val="231F20"/>
        </w:rPr>
        <w:t>the playing area and the duration and flow of the game or contest. They tend</w:t>
      </w:r>
      <w:r>
        <w:rPr>
          <w:color w:val="231F20"/>
        </w:rPr>
        <w:t xml:space="preserve"> to be more specific in formal variations of a sport, especially as the level of competition increases. Rigid and often complex codes of rules </w:t>
      </w:r>
      <w:r>
        <w:rPr>
          <w:color w:val="231F20"/>
          <w:w w:val="95"/>
        </w:rPr>
        <w:t xml:space="preserve">normally govern international competition at an elite level while the rules </w:t>
      </w:r>
      <w:r>
        <w:rPr>
          <w:color w:val="231F20"/>
        </w:rPr>
        <w:t xml:space="preserve">may be very flexible and general for </w:t>
      </w:r>
      <w:r>
        <w:rPr>
          <w:color w:val="231F20"/>
        </w:rPr>
        <w:t xml:space="preserve">informal activities. Examples of the </w:t>
      </w:r>
      <w:r>
        <w:rPr>
          <w:color w:val="231F20"/>
          <w:w w:val="95"/>
        </w:rPr>
        <w:t xml:space="preserve">latter include the unwritten etiquette of surfing (Usher &amp; Gomez, 2016) or the simple rules agreed to during a spontaneous game of football during a </w:t>
      </w:r>
      <w:r>
        <w:rPr>
          <w:color w:val="231F20"/>
        </w:rPr>
        <w:t>grade school recess.</w:t>
      </w:r>
    </w:p>
    <w:p w14:paraId="1743BD71" w14:textId="77777777" w:rsidR="00AE0598" w:rsidRDefault="0069255A">
      <w:pPr>
        <w:pStyle w:val="Corpodetexto"/>
        <w:spacing w:before="13" w:line="232" w:lineRule="auto"/>
        <w:ind w:left="110" w:right="105" w:firstLine="320"/>
        <w:jc w:val="both"/>
      </w:pPr>
      <w:r>
        <w:rPr>
          <w:color w:val="231F20"/>
        </w:rPr>
        <w:t>Sport</w:t>
      </w:r>
      <w:r>
        <w:rPr>
          <w:color w:val="231F20"/>
          <w:spacing w:val="40"/>
        </w:rPr>
        <w:t xml:space="preserve"> </w:t>
      </w:r>
      <w:r>
        <w:rPr>
          <w:color w:val="231F20"/>
        </w:rPr>
        <w:t>is</w:t>
      </w:r>
      <w:r>
        <w:rPr>
          <w:color w:val="231F20"/>
          <w:spacing w:val="40"/>
        </w:rPr>
        <w:t xml:space="preserve"> </w:t>
      </w:r>
      <w:r>
        <w:rPr>
          <w:color w:val="231F20"/>
        </w:rPr>
        <w:t>also</w:t>
      </w:r>
      <w:r>
        <w:rPr>
          <w:color w:val="231F20"/>
          <w:spacing w:val="40"/>
        </w:rPr>
        <w:t xml:space="preserve"> </w:t>
      </w:r>
      <w:r>
        <w:rPr>
          <w:color w:val="231F20"/>
        </w:rPr>
        <w:t>characterised</w:t>
      </w:r>
      <w:r>
        <w:rPr>
          <w:color w:val="231F20"/>
          <w:spacing w:val="40"/>
        </w:rPr>
        <w:t xml:space="preserve"> </w:t>
      </w:r>
      <w:r>
        <w:rPr>
          <w:color w:val="231F20"/>
        </w:rPr>
        <w:t>by</w:t>
      </w:r>
      <w:r>
        <w:rPr>
          <w:color w:val="231F20"/>
          <w:spacing w:val="40"/>
        </w:rPr>
        <w:t xml:space="preserve"> </w:t>
      </w:r>
      <w:r>
        <w:rPr>
          <w:color w:val="231F20"/>
        </w:rPr>
        <w:t>being</w:t>
      </w:r>
      <w:r>
        <w:rPr>
          <w:color w:val="231F20"/>
          <w:spacing w:val="40"/>
        </w:rPr>
        <w:t xml:space="preserve"> </w:t>
      </w:r>
      <w:r>
        <w:rPr>
          <w:color w:val="231F20"/>
        </w:rPr>
        <w:t>goal-oriente</w:t>
      </w:r>
      <w:r>
        <w:rPr>
          <w:color w:val="231F20"/>
        </w:rPr>
        <w:t>d,</w:t>
      </w:r>
      <w:r>
        <w:rPr>
          <w:color w:val="231F20"/>
          <w:spacing w:val="40"/>
        </w:rPr>
        <w:t xml:space="preserve"> </w:t>
      </w:r>
      <w:r>
        <w:rPr>
          <w:color w:val="231F20"/>
        </w:rPr>
        <w:t>competitive and</w:t>
      </w:r>
      <w:r>
        <w:rPr>
          <w:color w:val="231F20"/>
          <w:spacing w:val="39"/>
        </w:rPr>
        <w:t xml:space="preserve"> </w:t>
      </w:r>
      <w:r>
        <w:rPr>
          <w:color w:val="231F20"/>
        </w:rPr>
        <w:t>contest-based.</w:t>
      </w:r>
      <w:r>
        <w:rPr>
          <w:color w:val="231F20"/>
          <w:spacing w:val="39"/>
        </w:rPr>
        <w:t xml:space="preserve"> </w:t>
      </w:r>
      <w:r>
        <w:rPr>
          <w:color w:val="231F20"/>
        </w:rPr>
        <w:t>All</w:t>
      </w:r>
      <w:r>
        <w:rPr>
          <w:color w:val="231F20"/>
          <w:spacing w:val="39"/>
        </w:rPr>
        <w:t xml:space="preserve"> </w:t>
      </w:r>
      <w:r>
        <w:rPr>
          <w:color w:val="231F20"/>
        </w:rPr>
        <w:t>three</w:t>
      </w:r>
      <w:r>
        <w:rPr>
          <w:color w:val="231F20"/>
          <w:spacing w:val="39"/>
        </w:rPr>
        <w:t xml:space="preserve"> </w:t>
      </w:r>
      <w:r>
        <w:rPr>
          <w:color w:val="231F20"/>
        </w:rPr>
        <w:t>characteristics</w:t>
      </w:r>
      <w:r>
        <w:rPr>
          <w:color w:val="231F20"/>
          <w:spacing w:val="39"/>
        </w:rPr>
        <w:t xml:space="preserve"> </w:t>
      </w:r>
      <w:r>
        <w:rPr>
          <w:color w:val="231F20"/>
        </w:rPr>
        <w:t>are</w:t>
      </w:r>
      <w:r>
        <w:rPr>
          <w:color w:val="231F20"/>
          <w:spacing w:val="39"/>
        </w:rPr>
        <w:t xml:space="preserve"> </w:t>
      </w:r>
      <w:r>
        <w:rPr>
          <w:color w:val="231F20"/>
        </w:rPr>
        <w:t>closely</w:t>
      </w:r>
      <w:r>
        <w:rPr>
          <w:color w:val="231F20"/>
          <w:spacing w:val="39"/>
        </w:rPr>
        <w:t xml:space="preserve"> </w:t>
      </w:r>
      <w:r>
        <w:rPr>
          <w:color w:val="231F20"/>
        </w:rPr>
        <w:t>related.</w:t>
      </w:r>
      <w:r>
        <w:rPr>
          <w:color w:val="231F20"/>
          <w:spacing w:val="39"/>
        </w:rPr>
        <w:t xml:space="preserve"> </w:t>
      </w:r>
      <w:r>
        <w:rPr>
          <w:color w:val="231F20"/>
        </w:rPr>
        <w:t>Sport is goal oriented in the sense that sporting situations usually involve an objective for achievement in relation to ability, competence, effort, degree of difficulty, required skill set and mastery or performance. In most</w:t>
      </w:r>
      <w:r>
        <w:rPr>
          <w:color w:val="231F20"/>
          <w:spacing w:val="40"/>
        </w:rPr>
        <w:t xml:space="preserve"> </w:t>
      </w:r>
      <w:r>
        <w:rPr>
          <w:color w:val="231F20"/>
        </w:rPr>
        <w:t>instances,</w:t>
      </w:r>
      <w:r>
        <w:rPr>
          <w:color w:val="231F20"/>
          <w:spacing w:val="40"/>
        </w:rPr>
        <w:t xml:space="preserve"> </w:t>
      </w:r>
      <w:r>
        <w:rPr>
          <w:color w:val="231F20"/>
        </w:rPr>
        <w:t>this</w:t>
      </w:r>
      <w:r>
        <w:rPr>
          <w:color w:val="231F20"/>
          <w:spacing w:val="40"/>
        </w:rPr>
        <w:t xml:space="preserve"> </w:t>
      </w:r>
      <w:r>
        <w:rPr>
          <w:color w:val="231F20"/>
        </w:rPr>
        <w:t>goal</w:t>
      </w:r>
      <w:r>
        <w:rPr>
          <w:color w:val="231F20"/>
          <w:spacing w:val="40"/>
        </w:rPr>
        <w:t xml:space="preserve"> </w:t>
      </w:r>
      <w:r>
        <w:rPr>
          <w:color w:val="231F20"/>
        </w:rPr>
        <w:t>orientat</w:t>
      </w:r>
      <w:r>
        <w:rPr>
          <w:color w:val="231F20"/>
        </w:rPr>
        <w:t>ion</w:t>
      </w:r>
      <w:r>
        <w:rPr>
          <w:color w:val="231F20"/>
          <w:spacing w:val="40"/>
        </w:rPr>
        <w:t xml:space="preserve"> </w:t>
      </w:r>
      <w:r>
        <w:rPr>
          <w:color w:val="231F20"/>
        </w:rPr>
        <w:t>is</w:t>
      </w:r>
      <w:r>
        <w:rPr>
          <w:color w:val="231F20"/>
          <w:spacing w:val="40"/>
        </w:rPr>
        <w:t xml:space="preserve"> </w:t>
      </w:r>
      <w:r>
        <w:rPr>
          <w:color w:val="231F20"/>
        </w:rPr>
        <w:t>extended</w:t>
      </w:r>
      <w:r>
        <w:rPr>
          <w:color w:val="231F20"/>
          <w:spacing w:val="40"/>
        </w:rPr>
        <w:t xml:space="preserve"> </w:t>
      </w:r>
      <w:r>
        <w:rPr>
          <w:color w:val="231F20"/>
        </w:rPr>
        <w:t>to</w:t>
      </w:r>
      <w:r>
        <w:rPr>
          <w:color w:val="231F20"/>
          <w:spacing w:val="40"/>
        </w:rPr>
        <w:t xml:space="preserve"> </w:t>
      </w:r>
      <w:r>
        <w:rPr>
          <w:color w:val="231F20"/>
        </w:rPr>
        <w:t>some</w:t>
      </w:r>
      <w:r>
        <w:rPr>
          <w:color w:val="231F20"/>
          <w:spacing w:val="40"/>
        </w:rPr>
        <w:t xml:space="preserve"> </w:t>
      </w:r>
      <w:r>
        <w:rPr>
          <w:color w:val="231F20"/>
        </w:rPr>
        <w:t xml:space="preserve">dimension of competition. At one extreme, competition is expressed in terms of winning or losing. Alternatively, competition can be interpreted much less rigidly in terms of competing against standards, inanimate objects, forces of </w:t>
      </w:r>
      <w:r>
        <w:rPr>
          <w:color w:val="231F20"/>
        </w:rPr>
        <w:t>nature or oneself. In the context of sport tourism, the latter interpretation of competition offers a much more inclusive approach that covers recreational sports such as those commonly associated with outdoor pursuits. It is also inclusive of leisure spor</w:t>
      </w:r>
      <w:r>
        <w:rPr>
          <w:color w:val="231F20"/>
        </w:rPr>
        <w:t xml:space="preserve">ts (Spracklen, 2013) </w:t>
      </w:r>
      <w:r>
        <w:rPr>
          <w:color w:val="231F20"/>
          <w:w w:val="95"/>
        </w:rPr>
        <w:t xml:space="preserve">and contemporary sports such as skateboarding, kite-surfing and others (Wheaton, 2013). Competition is best conceptualised as a continuum that </w:t>
      </w:r>
      <w:r>
        <w:rPr>
          <w:color w:val="231F20"/>
        </w:rPr>
        <w:t xml:space="preserve">ranges from recreational to elite. Closely associated with competition is </w:t>
      </w:r>
      <w:r>
        <w:rPr>
          <w:color w:val="231F20"/>
          <w:w w:val="95"/>
        </w:rPr>
        <w:t xml:space="preserve">the contest-based </w:t>
      </w:r>
      <w:r>
        <w:rPr>
          <w:color w:val="231F20"/>
          <w:w w:val="95"/>
        </w:rPr>
        <w:t xml:space="preserve">nature of sport in which outcomes are determined by a combination of physical prowess, game strategy and, to a greater or lesser </w:t>
      </w:r>
      <w:r>
        <w:rPr>
          <w:color w:val="231F20"/>
        </w:rPr>
        <w:t>degree, chance.</w:t>
      </w:r>
    </w:p>
    <w:p w14:paraId="1CC75E1C" w14:textId="77777777" w:rsidR="00AE0598" w:rsidRDefault="00AE0598">
      <w:pPr>
        <w:spacing w:line="232" w:lineRule="auto"/>
        <w:jc w:val="both"/>
        <w:sectPr w:rsidR="00AE0598">
          <w:pgSz w:w="8850" w:h="13270"/>
          <w:pgMar w:top="720" w:right="1080" w:bottom="280" w:left="1080" w:header="720" w:footer="720" w:gutter="0"/>
          <w:cols w:space="720"/>
        </w:sectPr>
      </w:pPr>
    </w:p>
    <w:p w14:paraId="27722BA5" w14:textId="77777777" w:rsidR="00AE0598" w:rsidRDefault="0069255A">
      <w:pPr>
        <w:spacing w:before="87"/>
        <w:ind w:right="108"/>
        <w:jc w:val="right"/>
        <w:rPr>
          <w:rFonts w:ascii="Trebuchet MS"/>
          <w:sz w:val="14"/>
        </w:rPr>
      </w:pPr>
      <w:r>
        <w:rPr>
          <w:rFonts w:ascii="Trebuchet MS"/>
          <w:color w:val="231F20"/>
          <w:w w:val="105"/>
          <w:sz w:val="14"/>
        </w:rPr>
        <w:lastRenderedPageBreak/>
        <w:t>The</w:t>
      </w:r>
      <w:r>
        <w:rPr>
          <w:rFonts w:ascii="Trebuchet MS"/>
          <w:color w:val="231F20"/>
          <w:spacing w:val="-9"/>
          <w:w w:val="105"/>
          <w:sz w:val="14"/>
        </w:rPr>
        <w:t xml:space="preserve"> </w:t>
      </w:r>
      <w:r>
        <w:rPr>
          <w:rFonts w:ascii="Trebuchet MS"/>
          <w:color w:val="231F20"/>
          <w:w w:val="105"/>
          <w:sz w:val="14"/>
        </w:rPr>
        <w:t>Study</w:t>
      </w:r>
      <w:r>
        <w:rPr>
          <w:rFonts w:ascii="Trebuchet MS"/>
          <w:color w:val="231F20"/>
          <w:spacing w:val="-8"/>
          <w:w w:val="105"/>
          <w:sz w:val="14"/>
        </w:rPr>
        <w:t xml:space="preserve"> </w:t>
      </w:r>
      <w:r>
        <w:rPr>
          <w:rFonts w:ascii="Trebuchet MS"/>
          <w:color w:val="231F20"/>
          <w:w w:val="105"/>
          <w:sz w:val="14"/>
        </w:rPr>
        <w:t>of</w:t>
      </w:r>
      <w:r>
        <w:rPr>
          <w:rFonts w:ascii="Trebuchet MS"/>
          <w:color w:val="231F20"/>
          <w:spacing w:val="-9"/>
          <w:w w:val="105"/>
          <w:sz w:val="14"/>
        </w:rPr>
        <w:t xml:space="preserve"> </w:t>
      </w:r>
      <w:r>
        <w:rPr>
          <w:rFonts w:ascii="Trebuchet MS"/>
          <w:color w:val="231F20"/>
          <w:w w:val="105"/>
          <w:sz w:val="14"/>
        </w:rPr>
        <w:t>Sport</w:t>
      </w:r>
      <w:r>
        <w:rPr>
          <w:rFonts w:ascii="Trebuchet MS"/>
          <w:color w:val="231F20"/>
          <w:spacing w:val="-8"/>
          <w:w w:val="105"/>
          <w:sz w:val="14"/>
        </w:rPr>
        <w:t xml:space="preserve"> </w:t>
      </w:r>
      <w:r>
        <w:rPr>
          <w:rFonts w:ascii="Trebuchet MS"/>
          <w:color w:val="231F20"/>
          <w:w w:val="105"/>
          <w:sz w:val="14"/>
        </w:rPr>
        <w:t>Tourism</w:t>
      </w:r>
      <w:r>
        <w:rPr>
          <w:rFonts w:ascii="Trebuchet MS"/>
          <w:color w:val="231F20"/>
          <w:spacing w:val="68"/>
          <w:w w:val="150"/>
          <w:sz w:val="14"/>
        </w:rPr>
        <w:t xml:space="preserve"> </w:t>
      </w:r>
      <w:r>
        <w:rPr>
          <w:rFonts w:ascii="Trebuchet MS"/>
          <w:color w:val="231F20"/>
          <w:spacing w:val="-5"/>
          <w:w w:val="105"/>
          <w:sz w:val="14"/>
        </w:rPr>
        <w:t>21</w:t>
      </w:r>
    </w:p>
    <w:p w14:paraId="620119C1" w14:textId="77777777" w:rsidR="00AE0598" w:rsidRDefault="00AE0598">
      <w:pPr>
        <w:pStyle w:val="Corpodetexto"/>
        <w:rPr>
          <w:rFonts w:ascii="Trebuchet MS"/>
          <w:sz w:val="16"/>
        </w:rPr>
      </w:pPr>
    </w:p>
    <w:p w14:paraId="5F45DF85" w14:textId="77777777" w:rsidR="00AE0598" w:rsidRDefault="0069255A">
      <w:pPr>
        <w:pStyle w:val="Corpodetexto"/>
        <w:spacing w:before="118" w:line="232" w:lineRule="auto"/>
        <w:ind w:left="110" w:right="105" w:firstLine="320"/>
        <w:jc w:val="both"/>
      </w:pPr>
      <w:r>
        <w:rPr>
          <w:color w:val="231F20"/>
        </w:rPr>
        <w:t xml:space="preserve">The third parameter of sport that arises from the McPherson </w:t>
      </w:r>
      <w:r>
        <w:rPr>
          <w:i/>
          <w:color w:val="231F20"/>
        </w:rPr>
        <w:t>et al.</w:t>
      </w:r>
      <w:r>
        <w:rPr>
          <w:i/>
          <w:color w:val="231F20"/>
        </w:rPr>
        <w:t xml:space="preserve"> </w:t>
      </w:r>
      <w:r>
        <w:rPr>
          <w:color w:val="231F20"/>
          <w:w w:val="95"/>
        </w:rPr>
        <w:t xml:space="preserve">(1989) definition is its ‘ludic’ or playful nature, a term that is derived from </w:t>
      </w:r>
      <w:r>
        <w:rPr>
          <w:color w:val="231F20"/>
        </w:rPr>
        <w:t xml:space="preserve">the Latin word </w:t>
      </w:r>
      <w:r>
        <w:rPr>
          <w:i/>
          <w:color w:val="231F20"/>
        </w:rPr>
        <w:t>ludus</w:t>
      </w:r>
      <w:r>
        <w:rPr>
          <w:color w:val="231F20"/>
        </w:rPr>
        <w:t>. This component of the definition states that sport is</w:t>
      </w:r>
      <w:r>
        <w:rPr>
          <w:color w:val="231F20"/>
          <w:spacing w:val="-12"/>
        </w:rPr>
        <w:t xml:space="preserve"> </w:t>
      </w:r>
      <w:r>
        <w:rPr>
          <w:color w:val="231F20"/>
        </w:rPr>
        <w:t>rooted</w:t>
      </w:r>
      <w:r>
        <w:rPr>
          <w:color w:val="231F20"/>
          <w:spacing w:val="-12"/>
        </w:rPr>
        <w:t xml:space="preserve"> </w:t>
      </w:r>
      <w:r>
        <w:rPr>
          <w:color w:val="231F20"/>
        </w:rPr>
        <w:t>in,</w:t>
      </w:r>
      <w:r>
        <w:rPr>
          <w:color w:val="231F20"/>
          <w:spacing w:val="-11"/>
        </w:rPr>
        <w:t xml:space="preserve"> </w:t>
      </w:r>
      <w:r>
        <w:rPr>
          <w:color w:val="231F20"/>
        </w:rPr>
        <w:t>although</w:t>
      </w:r>
      <w:r>
        <w:rPr>
          <w:color w:val="231F20"/>
          <w:spacing w:val="-12"/>
        </w:rPr>
        <w:t xml:space="preserve"> </w:t>
      </w:r>
      <w:r>
        <w:rPr>
          <w:color w:val="231F20"/>
        </w:rPr>
        <w:t>not</w:t>
      </w:r>
      <w:r>
        <w:rPr>
          <w:color w:val="231F20"/>
          <w:spacing w:val="-11"/>
        </w:rPr>
        <w:t xml:space="preserve"> </w:t>
      </w:r>
      <w:r>
        <w:rPr>
          <w:color w:val="231F20"/>
        </w:rPr>
        <w:t>exclusive</w:t>
      </w:r>
      <w:r>
        <w:rPr>
          <w:color w:val="231F20"/>
          <w:spacing w:val="-12"/>
        </w:rPr>
        <w:t xml:space="preserve"> </w:t>
      </w:r>
      <w:r>
        <w:rPr>
          <w:color w:val="231F20"/>
        </w:rPr>
        <w:t>to</w:t>
      </w:r>
      <w:r>
        <w:rPr>
          <w:color w:val="231F20"/>
          <w:spacing w:val="-11"/>
        </w:rPr>
        <w:t xml:space="preserve"> </w:t>
      </w:r>
      <w:r>
        <w:rPr>
          <w:color w:val="231F20"/>
        </w:rPr>
        <w:t>the</w:t>
      </w:r>
      <w:r>
        <w:rPr>
          <w:color w:val="231F20"/>
          <w:spacing w:val="-12"/>
        </w:rPr>
        <w:t xml:space="preserve"> </w:t>
      </w:r>
      <w:r>
        <w:rPr>
          <w:color w:val="231F20"/>
        </w:rPr>
        <w:t>concept</w:t>
      </w:r>
      <w:r>
        <w:rPr>
          <w:color w:val="231F20"/>
          <w:spacing w:val="-12"/>
        </w:rPr>
        <w:t xml:space="preserve"> </w:t>
      </w:r>
      <w:r>
        <w:rPr>
          <w:color w:val="231F20"/>
        </w:rPr>
        <w:t>of</w:t>
      </w:r>
      <w:r>
        <w:rPr>
          <w:color w:val="231F20"/>
          <w:spacing w:val="-11"/>
        </w:rPr>
        <w:t xml:space="preserve"> </w:t>
      </w:r>
      <w:r>
        <w:rPr>
          <w:color w:val="231F20"/>
        </w:rPr>
        <w:t>play.</w:t>
      </w:r>
      <w:r>
        <w:rPr>
          <w:color w:val="231F20"/>
          <w:spacing w:val="-12"/>
        </w:rPr>
        <w:t xml:space="preserve"> </w:t>
      </w:r>
      <w:r>
        <w:rPr>
          <w:color w:val="231F20"/>
        </w:rPr>
        <w:t>Those</w:t>
      </w:r>
      <w:r>
        <w:rPr>
          <w:color w:val="231F20"/>
          <w:spacing w:val="-11"/>
        </w:rPr>
        <w:t xml:space="preserve"> </w:t>
      </w:r>
      <w:r>
        <w:rPr>
          <w:color w:val="231F20"/>
        </w:rPr>
        <w:t>activities that are seen as pure work would not normally be considered sport but the presence of some degree of work, in and of itself, does not rule out an activity as sport. Professional sport therefore fits this definition, as does</w:t>
      </w:r>
      <w:r>
        <w:rPr>
          <w:color w:val="231F20"/>
          <w:spacing w:val="-3"/>
        </w:rPr>
        <w:t xml:space="preserve"> </w:t>
      </w:r>
      <w:r>
        <w:rPr>
          <w:color w:val="231F20"/>
        </w:rPr>
        <w:t>recreational</w:t>
      </w:r>
      <w:r>
        <w:rPr>
          <w:color w:val="231F20"/>
          <w:spacing w:val="-3"/>
        </w:rPr>
        <w:t xml:space="preserve"> </w:t>
      </w:r>
      <w:r>
        <w:rPr>
          <w:color w:val="231F20"/>
        </w:rPr>
        <w:t>sport.</w:t>
      </w:r>
      <w:r>
        <w:rPr>
          <w:color w:val="231F20"/>
          <w:spacing w:val="-3"/>
        </w:rPr>
        <w:t xml:space="preserve"> </w:t>
      </w:r>
      <w:r>
        <w:rPr>
          <w:color w:val="231F20"/>
        </w:rPr>
        <w:t>T</w:t>
      </w:r>
      <w:r>
        <w:rPr>
          <w:color w:val="231F20"/>
        </w:rPr>
        <w:t>he</w:t>
      </w:r>
      <w:r>
        <w:rPr>
          <w:color w:val="231F20"/>
          <w:spacing w:val="-3"/>
        </w:rPr>
        <w:t xml:space="preserve"> </w:t>
      </w:r>
      <w:r>
        <w:rPr>
          <w:color w:val="231F20"/>
        </w:rPr>
        <w:t>presence</w:t>
      </w:r>
      <w:r>
        <w:rPr>
          <w:color w:val="231F20"/>
          <w:spacing w:val="-3"/>
        </w:rPr>
        <w:t xml:space="preserve"> </w:t>
      </w:r>
      <w:r>
        <w:rPr>
          <w:color w:val="231F20"/>
        </w:rPr>
        <w:t>of</w:t>
      </w:r>
      <w:r>
        <w:rPr>
          <w:color w:val="231F20"/>
          <w:spacing w:val="-3"/>
        </w:rPr>
        <w:t xml:space="preserve"> </w:t>
      </w:r>
      <w:r>
        <w:rPr>
          <w:color w:val="231F20"/>
        </w:rPr>
        <w:t>play</w:t>
      </w:r>
      <w:r>
        <w:rPr>
          <w:color w:val="231F20"/>
          <w:spacing w:val="-3"/>
        </w:rPr>
        <w:t xml:space="preserve"> </w:t>
      </w:r>
      <w:r>
        <w:rPr>
          <w:color w:val="231F20"/>
        </w:rPr>
        <w:t>in</w:t>
      </w:r>
      <w:r>
        <w:rPr>
          <w:color w:val="231F20"/>
          <w:spacing w:val="-3"/>
        </w:rPr>
        <w:t xml:space="preserve"> </w:t>
      </w:r>
      <w:r>
        <w:rPr>
          <w:color w:val="231F20"/>
        </w:rPr>
        <w:t>sport</w:t>
      </w:r>
      <w:r>
        <w:rPr>
          <w:color w:val="231F20"/>
          <w:spacing w:val="-3"/>
        </w:rPr>
        <w:t xml:space="preserve"> </w:t>
      </w:r>
      <w:r>
        <w:rPr>
          <w:color w:val="231F20"/>
        </w:rPr>
        <w:t>is</w:t>
      </w:r>
      <w:r>
        <w:rPr>
          <w:color w:val="231F20"/>
          <w:spacing w:val="-3"/>
        </w:rPr>
        <w:t xml:space="preserve"> </w:t>
      </w:r>
      <w:r>
        <w:rPr>
          <w:color w:val="231F20"/>
        </w:rPr>
        <w:t>accompanied</w:t>
      </w:r>
      <w:r>
        <w:rPr>
          <w:color w:val="231F20"/>
          <w:spacing w:val="-3"/>
        </w:rPr>
        <w:t xml:space="preserve"> </w:t>
      </w:r>
      <w:r>
        <w:rPr>
          <w:color w:val="231F20"/>
        </w:rPr>
        <w:t>by uncertain outcome and sanctioned display. Uncertain outcome helps to maintain</w:t>
      </w:r>
      <w:r>
        <w:rPr>
          <w:color w:val="231F20"/>
          <w:spacing w:val="-8"/>
        </w:rPr>
        <w:t xml:space="preserve"> </w:t>
      </w:r>
      <w:r>
        <w:rPr>
          <w:color w:val="231F20"/>
        </w:rPr>
        <w:t>suspense</w:t>
      </w:r>
      <w:r>
        <w:rPr>
          <w:color w:val="231F20"/>
          <w:spacing w:val="-7"/>
        </w:rPr>
        <w:t xml:space="preserve"> </w:t>
      </w:r>
      <w:r>
        <w:rPr>
          <w:color w:val="231F20"/>
        </w:rPr>
        <w:t>throughout</w:t>
      </w:r>
      <w:r>
        <w:rPr>
          <w:color w:val="231F20"/>
          <w:spacing w:val="-8"/>
        </w:rPr>
        <w:t xml:space="preserve"> </w:t>
      </w:r>
      <w:r>
        <w:rPr>
          <w:color w:val="231F20"/>
        </w:rPr>
        <w:t>a</w:t>
      </w:r>
      <w:r>
        <w:rPr>
          <w:color w:val="231F20"/>
          <w:spacing w:val="-7"/>
        </w:rPr>
        <w:t xml:space="preserve"> </w:t>
      </w:r>
      <w:r>
        <w:rPr>
          <w:color w:val="231F20"/>
        </w:rPr>
        <w:t>sporting</w:t>
      </w:r>
      <w:r>
        <w:rPr>
          <w:color w:val="231F20"/>
          <w:spacing w:val="-8"/>
        </w:rPr>
        <w:t xml:space="preserve"> </w:t>
      </w:r>
      <w:r>
        <w:rPr>
          <w:color w:val="231F20"/>
        </w:rPr>
        <w:t>engagement</w:t>
      </w:r>
      <w:r>
        <w:rPr>
          <w:color w:val="231F20"/>
          <w:spacing w:val="-8"/>
        </w:rPr>
        <w:t xml:space="preserve"> </w:t>
      </w:r>
      <w:r>
        <w:rPr>
          <w:color w:val="231F20"/>
        </w:rPr>
        <w:t>and</w:t>
      </w:r>
      <w:r>
        <w:rPr>
          <w:color w:val="231F20"/>
          <w:spacing w:val="-7"/>
        </w:rPr>
        <w:t xml:space="preserve"> </w:t>
      </w:r>
      <w:r>
        <w:rPr>
          <w:color w:val="231F20"/>
        </w:rPr>
        <w:t>by</w:t>
      </w:r>
      <w:r>
        <w:rPr>
          <w:color w:val="231F20"/>
          <w:spacing w:val="-8"/>
        </w:rPr>
        <w:t xml:space="preserve"> </w:t>
      </w:r>
      <w:r>
        <w:rPr>
          <w:color w:val="231F20"/>
        </w:rPr>
        <w:t>doing</w:t>
      </w:r>
      <w:r>
        <w:rPr>
          <w:color w:val="231F20"/>
          <w:spacing w:val="-7"/>
        </w:rPr>
        <w:t xml:space="preserve"> </w:t>
      </w:r>
      <w:r>
        <w:rPr>
          <w:color w:val="231F20"/>
        </w:rPr>
        <w:t>so,</w:t>
      </w:r>
      <w:r>
        <w:rPr>
          <w:color w:val="231F20"/>
          <w:spacing w:val="-7"/>
        </w:rPr>
        <w:t xml:space="preserve"> </w:t>
      </w:r>
      <w:r>
        <w:rPr>
          <w:color w:val="231F20"/>
        </w:rPr>
        <w:t>it presents</w:t>
      </w:r>
      <w:r>
        <w:rPr>
          <w:color w:val="231F20"/>
          <w:spacing w:val="-11"/>
        </w:rPr>
        <w:t xml:space="preserve"> </w:t>
      </w:r>
      <w:r>
        <w:rPr>
          <w:color w:val="231F20"/>
        </w:rPr>
        <w:t>unique</w:t>
      </w:r>
      <w:r>
        <w:rPr>
          <w:color w:val="231F20"/>
          <w:spacing w:val="-11"/>
        </w:rPr>
        <w:t xml:space="preserve"> </w:t>
      </w:r>
      <w:r>
        <w:rPr>
          <w:color w:val="231F20"/>
        </w:rPr>
        <w:t>advantages</w:t>
      </w:r>
      <w:r>
        <w:rPr>
          <w:color w:val="231F20"/>
          <w:spacing w:val="-11"/>
        </w:rPr>
        <w:t xml:space="preserve"> </w:t>
      </w:r>
      <w:r>
        <w:rPr>
          <w:color w:val="231F20"/>
        </w:rPr>
        <w:t>in</w:t>
      </w:r>
      <w:r>
        <w:rPr>
          <w:color w:val="231F20"/>
          <w:spacing w:val="-11"/>
        </w:rPr>
        <w:t xml:space="preserve"> </w:t>
      </w:r>
      <w:r>
        <w:rPr>
          <w:color w:val="231F20"/>
        </w:rPr>
        <w:t>terms</w:t>
      </w:r>
      <w:r>
        <w:rPr>
          <w:color w:val="231F20"/>
          <w:spacing w:val="-11"/>
        </w:rPr>
        <w:t xml:space="preserve"> </w:t>
      </w:r>
      <w:r>
        <w:rPr>
          <w:color w:val="231F20"/>
        </w:rPr>
        <w:t>of</w:t>
      </w:r>
      <w:r>
        <w:rPr>
          <w:color w:val="231F20"/>
          <w:spacing w:val="-11"/>
        </w:rPr>
        <w:t xml:space="preserve"> </w:t>
      </w:r>
      <w:r>
        <w:rPr>
          <w:color w:val="231F20"/>
        </w:rPr>
        <w:t>tourism</w:t>
      </w:r>
      <w:r>
        <w:rPr>
          <w:color w:val="231F20"/>
          <w:spacing w:val="-11"/>
        </w:rPr>
        <w:t xml:space="preserve"> </w:t>
      </w:r>
      <w:r>
        <w:rPr>
          <w:color w:val="231F20"/>
        </w:rPr>
        <w:t>authenticity</w:t>
      </w:r>
      <w:r>
        <w:rPr>
          <w:color w:val="231F20"/>
          <w:spacing w:val="-11"/>
        </w:rPr>
        <w:t xml:space="preserve"> </w:t>
      </w:r>
      <w:r>
        <w:rPr>
          <w:color w:val="231F20"/>
        </w:rPr>
        <w:t>(Chapter</w:t>
      </w:r>
      <w:r>
        <w:rPr>
          <w:color w:val="231F20"/>
          <w:spacing w:val="-11"/>
        </w:rPr>
        <w:t xml:space="preserve"> </w:t>
      </w:r>
      <w:r>
        <w:rPr>
          <w:color w:val="231F20"/>
        </w:rPr>
        <w:t>4). Sanctioned display tends to emphasise the exhibition of athletic skills and</w:t>
      </w:r>
      <w:r>
        <w:rPr>
          <w:color w:val="231F20"/>
          <w:spacing w:val="-9"/>
        </w:rPr>
        <w:t xml:space="preserve"> </w:t>
      </w:r>
      <w:r>
        <w:rPr>
          <w:color w:val="231F20"/>
        </w:rPr>
        <w:t>as</w:t>
      </w:r>
      <w:r>
        <w:rPr>
          <w:color w:val="231F20"/>
          <w:spacing w:val="-9"/>
        </w:rPr>
        <w:t xml:space="preserve"> </w:t>
      </w:r>
      <w:r>
        <w:rPr>
          <w:color w:val="231F20"/>
        </w:rPr>
        <w:t>such,</w:t>
      </w:r>
      <w:r>
        <w:rPr>
          <w:color w:val="231F20"/>
          <w:spacing w:val="-9"/>
        </w:rPr>
        <w:t xml:space="preserve"> </w:t>
      </w:r>
      <w:r>
        <w:rPr>
          <w:color w:val="231F20"/>
        </w:rPr>
        <w:t>it</w:t>
      </w:r>
      <w:r>
        <w:rPr>
          <w:color w:val="231F20"/>
          <w:spacing w:val="-9"/>
        </w:rPr>
        <w:t xml:space="preserve"> </w:t>
      </w:r>
      <w:r>
        <w:rPr>
          <w:color w:val="231F20"/>
        </w:rPr>
        <w:t>broadens</w:t>
      </w:r>
      <w:r>
        <w:rPr>
          <w:color w:val="231F20"/>
          <w:spacing w:val="-9"/>
        </w:rPr>
        <w:t xml:space="preserve"> </w:t>
      </w:r>
      <w:r>
        <w:rPr>
          <w:color w:val="231F20"/>
        </w:rPr>
        <w:t>the</w:t>
      </w:r>
      <w:r>
        <w:rPr>
          <w:color w:val="231F20"/>
          <w:spacing w:val="-9"/>
        </w:rPr>
        <w:t xml:space="preserve"> </w:t>
      </w:r>
      <w:r>
        <w:rPr>
          <w:color w:val="231F20"/>
        </w:rPr>
        <w:t>scope</w:t>
      </w:r>
      <w:r>
        <w:rPr>
          <w:color w:val="231F20"/>
          <w:spacing w:val="-9"/>
        </w:rPr>
        <w:t xml:space="preserve"> </w:t>
      </w:r>
      <w:r>
        <w:rPr>
          <w:color w:val="231F20"/>
        </w:rPr>
        <w:t>of</w:t>
      </w:r>
      <w:r>
        <w:rPr>
          <w:color w:val="231F20"/>
          <w:spacing w:val="-9"/>
        </w:rPr>
        <w:t xml:space="preserve"> </w:t>
      </w:r>
      <w:r>
        <w:rPr>
          <w:color w:val="231F20"/>
        </w:rPr>
        <w:t>involvement</w:t>
      </w:r>
      <w:r>
        <w:rPr>
          <w:color w:val="231F20"/>
          <w:spacing w:val="-9"/>
        </w:rPr>
        <w:t xml:space="preserve"> </w:t>
      </w:r>
      <w:r>
        <w:rPr>
          <w:color w:val="231F20"/>
        </w:rPr>
        <w:t>to</w:t>
      </w:r>
      <w:r>
        <w:rPr>
          <w:color w:val="231F20"/>
          <w:spacing w:val="-9"/>
        </w:rPr>
        <w:t xml:space="preserve"> </w:t>
      </w:r>
      <w:r>
        <w:rPr>
          <w:color w:val="231F20"/>
        </w:rPr>
        <w:t>spectators</w:t>
      </w:r>
      <w:r>
        <w:rPr>
          <w:color w:val="231F20"/>
          <w:spacing w:val="-9"/>
        </w:rPr>
        <w:t xml:space="preserve"> </w:t>
      </w:r>
      <w:r>
        <w:rPr>
          <w:color w:val="231F20"/>
        </w:rPr>
        <w:t>as</w:t>
      </w:r>
      <w:r>
        <w:rPr>
          <w:color w:val="231F20"/>
          <w:spacing w:val="-9"/>
        </w:rPr>
        <w:t xml:space="preserve"> </w:t>
      </w:r>
      <w:r>
        <w:rPr>
          <w:color w:val="231F20"/>
        </w:rPr>
        <w:t>well</w:t>
      </w:r>
      <w:r>
        <w:rPr>
          <w:color w:val="231F20"/>
          <w:spacing w:val="-9"/>
        </w:rPr>
        <w:t xml:space="preserve"> </w:t>
      </w:r>
      <w:r>
        <w:rPr>
          <w:color w:val="231F20"/>
        </w:rPr>
        <w:t>as participating athletes.</w:t>
      </w:r>
    </w:p>
    <w:p w14:paraId="169CEC6D" w14:textId="77777777" w:rsidR="00AE0598" w:rsidRDefault="0069255A">
      <w:pPr>
        <w:pStyle w:val="Corpodetexto"/>
        <w:spacing w:before="17" w:line="232" w:lineRule="auto"/>
        <w:ind w:left="110" w:right="107" w:firstLine="320"/>
        <w:jc w:val="both"/>
      </w:pPr>
      <w:r>
        <w:rPr>
          <w:color w:val="231F20"/>
        </w:rPr>
        <w:t>Finally,</w:t>
      </w:r>
      <w:r>
        <w:rPr>
          <w:color w:val="231F20"/>
          <w:spacing w:val="-4"/>
        </w:rPr>
        <w:t xml:space="preserve"> </w:t>
      </w:r>
      <w:r>
        <w:rPr>
          <w:color w:val="231F20"/>
        </w:rPr>
        <w:t>underlying</w:t>
      </w:r>
      <w:r>
        <w:rPr>
          <w:color w:val="231F20"/>
          <w:spacing w:val="-4"/>
        </w:rPr>
        <w:t xml:space="preserve"> </w:t>
      </w:r>
      <w:r>
        <w:rPr>
          <w:color w:val="231F20"/>
        </w:rPr>
        <w:t>all</w:t>
      </w:r>
      <w:r>
        <w:rPr>
          <w:color w:val="231F20"/>
          <w:spacing w:val="-4"/>
        </w:rPr>
        <w:t xml:space="preserve"> </w:t>
      </w:r>
      <w:r>
        <w:rPr>
          <w:color w:val="231F20"/>
        </w:rPr>
        <w:t>of</w:t>
      </w:r>
      <w:r>
        <w:rPr>
          <w:color w:val="231F20"/>
          <w:spacing w:val="-4"/>
        </w:rPr>
        <w:t xml:space="preserve"> </w:t>
      </w:r>
      <w:r>
        <w:rPr>
          <w:color w:val="231F20"/>
        </w:rPr>
        <w:t>these</w:t>
      </w:r>
      <w:r>
        <w:rPr>
          <w:color w:val="231F20"/>
          <w:spacing w:val="-4"/>
        </w:rPr>
        <w:t xml:space="preserve"> </w:t>
      </w:r>
      <w:r>
        <w:rPr>
          <w:color w:val="231F20"/>
        </w:rPr>
        <w:t>parameters</w:t>
      </w:r>
      <w:r>
        <w:rPr>
          <w:color w:val="231F20"/>
          <w:spacing w:val="-4"/>
        </w:rPr>
        <w:t xml:space="preserve"> </w:t>
      </w:r>
      <w:r>
        <w:rPr>
          <w:color w:val="231F20"/>
        </w:rPr>
        <w:t>of</w:t>
      </w:r>
      <w:r>
        <w:rPr>
          <w:color w:val="231F20"/>
          <w:spacing w:val="-4"/>
        </w:rPr>
        <w:t xml:space="preserve"> </w:t>
      </w:r>
      <w:r>
        <w:rPr>
          <w:color w:val="231F20"/>
        </w:rPr>
        <w:t>sport</w:t>
      </w:r>
      <w:r>
        <w:rPr>
          <w:color w:val="231F20"/>
          <w:spacing w:val="-4"/>
        </w:rPr>
        <w:t xml:space="preserve"> </w:t>
      </w:r>
      <w:r>
        <w:rPr>
          <w:color w:val="231F20"/>
        </w:rPr>
        <w:t>is</w:t>
      </w:r>
      <w:r>
        <w:rPr>
          <w:color w:val="231F20"/>
          <w:spacing w:val="-4"/>
        </w:rPr>
        <w:t xml:space="preserve"> </w:t>
      </w:r>
      <w:r>
        <w:rPr>
          <w:color w:val="231F20"/>
        </w:rPr>
        <w:t>its</w:t>
      </w:r>
      <w:r>
        <w:rPr>
          <w:color w:val="231F20"/>
          <w:spacing w:val="-4"/>
        </w:rPr>
        <w:t xml:space="preserve"> </w:t>
      </w:r>
      <w:r>
        <w:rPr>
          <w:color w:val="231F20"/>
        </w:rPr>
        <w:t>physical</w:t>
      </w:r>
      <w:r>
        <w:rPr>
          <w:color w:val="231F20"/>
          <w:spacing w:val="-4"/>
        </w:rPr>
        <w:t xml:space="preserve"> </w:t>
      </w:r>
      <w:r>
        <w:rPr>
          <w:color w:val="231F20"/>
        </w:rPr>
        <w:t xml:space="preserve">and </w:t>
      </w:r>
      <w:r>
        <w:rPr>
          <w:color w:val="231F20"/>
          <w:w w:val="95"/>
        </w:rPr>
        <w:t xml:space="preserve">kinaesthetic nature. While different sports require different configurations </w:t>
      </w:r>
      <w:r>
        <w:rPr>
          <w:color w:val="231F20"/>
        </w:rPr>
        <w:t>of fine and gross motor movement, physical movement is the most universally</w:t>
      </w:r>
      <w:r>
        <w:rPr>
          <w:color w:val="231F20"/>
          <w:spacing w:val="-2"/>
        </w:rPr>
        <w:t xml:space="preserve"> </w:t>
      </w:r>
      <w:r>
        <w:rPr>
          <w:color w:val="231F20"/>
        </w:rPr>
        <w:t>recognised</w:t>
      </w:r>
      <w:r>
        <w:rPr>
          <w:color w:val="231F20"/>
          <w:spacing w:val="-3"/>
        </w:rPr>
        <w:t xml:space="preserve"> </w:t>
      </w:r>
      <w:r>
        <w:rPr>
          <w:color w:val="231F20"/>
        </w:rPr>
        <w:t>characteristic</w:t>
      </w:r>
      <w:r>
        <w:rPr>
          <w:color w:val="231F20"/>
          <w:spacing w:val="-2"/>
        </w:rPr>
        <w:t xml:space="preserve"> </w:t>
      </w:r>
      <w:r>
        <w:rPr>
          <w:color w:val="231F20"/>
        </w:rPr>
        <w:t>of</w:t>
      </w:r>
      <w:r>
        <w:rPr>
          <w:color w:val="231F20"/>
          <w:spacing w:val="-3"/>
        </w:rPr>
        <w:t xml:space="preserve"> </w:t>
      </w:r>
      <w:r>
        <w:rPr>
          <w:color w:val="231F20"/>
        </w:rPr>
        <w:t>sport.</w:t>
      </w:r>
      <w:r>
        <w:rPr>
          <w:color w:val="231F20"/>
          <w:spacing w:val="-2"/>
        </w:rPr>
        <w:t xml:space="preserve"> </w:t>
      </w:r>
      <w:r>
        <w:rPr>
          <w:color w:val="231F20"/>
        </w:rPr>
        <w:t>Physical</w:t>
      </w:r>
      <w:r>
        <w:rPr>
          <w:color w:val="231F20"/>
          <w:spacing w:val="-3"/>
        </w:rPr>
        <w:t xml:space="preserve"> </w:t>
      </w:r>
      <w:r>
        <w:rPr>
          <w:color w:val="231F20"/>
        </w:rPr>
        <w:t>prowess</w:t>
      </w:r>
      <w:r>
        <w:rPr>
          <w:color w:val="231F20"/>
          <w:spacing w:val="-2"/>
        </w:rPr>
        <w:t xml:space="preserve"> </w:t>
      </w:r>
      <w:r>
        <w:rPr>
          <w:color w:val="231F20"/>
        </w:rPr>
        <w:t>consists of physical speed, stami</w:t>
      </w:r>
      <w:r>
        <w:rPr>
          <w:color w:val="231F20"/>
        </w:rPr>
        <w:t xml:space="preserve">na, strength, accuracy, flexibility, balance and coordination. It forms a major part of embodied sport (Wellard, 2016). </w:t>
      </w:r>
      <w:r>
        <w:rPr>
          <w:color w:val="231F20"/>
          <w:w w:val="95"/>
        </w:rPr>
        <w:t>Beyond these parameters, sport is characterised by travel. Not only do the competitive hierarchies that lead to high performance sport r</w:t>
      </w:r>
      <w:r>
        <w:rPr>
          <w:color w:val="231F20"/>
          <w:w w:val="95"/>
        </w:rPr>
        <w:t xml:space="preserve">equire travel, </w:t>
      </w:r>
      <w:r>
        <w:rPr>
          <w:color w:val="231F20"/>
        </w:rPr>
        <w:t xml:space="preserve">but so do many recreational sports like snowboarding (mountains) and </w:t>
      </w:r>
      <w:r>
        <w:rPr>
          <w:color w:val="231F20"/>
          <w:w w:val="95"/>
        </w:rPr>
        <w:t>surfing (surf breaks). Once an athlete moves beyond the early development stages of his or her sport, he or she is likely to become a recurrent traveller.</w:t>
      </w:r>
    </w:p>
    <w:p w14:paraId="1D26D5C9" w14:textId="77777777" w:rsidR="00AE0598" w:rsidRDefault="00AE0598">
      <w:pPr>
        <w:pStyle w:val="Corpodetexto"/>
        <w:rPr>
          <w:sz w:val="22"/>
        </w:rPr>
      </w:pPr>
    </w:p>
    <w:p w14:paraId="75E43EBB" w14:textId="77777777" w:rsidR="00AE0598" w:rsidRDefault="0069255A">
      <w:pPr>
        <w:spacing w:before="1"/>
        <w:ind w:left="110"/>
        <w:rPr>
          <w:rFonts w:ascii="Trebuchet MS"/>
          <w:sz w:val="20"/>
        </w:rPr>
      </w:pPr>
      <w:r>
        <w:rPr>
          <w:rFonts w:ascii="Trebuchet MS"/>
          <w:color w:val="231F20"/>
          <w:w w:val="110"/>
          <w:sz w:val="20"/>
        </w:rPr>
        <w:t>Domain</w:t>
      </w:r>
      <w:r>
        <w:rPr>
          <w:rFonts w:ascii="Trebuchet MS"/>
          <w:color w:val="231F20"/>
          <w:spacing w:val="-15"/>
          <w:w w:val="110"/>
          <w:sz w:val="20"/>
        </w:rPr>
        <w:t xml:space="preserve"> </w:t>
      </w:r>
      <w:r>
        <w:rPr>
          <w:rFonts w:ascii="Trebuchet MS"/>
          <w:color w:val="231F20"/>
          <w:w w:val="110"/>
          <w:sz w:val="20"/>
        </w:rPr>
        <w:t>of</w:t>
      </w:r>
      <w:r>
        <w:rPr>
          <w:rFonts w:ascii="Trebuchet MS"/>
          <w:color w:val="231F20"/>
          <w:spacing w:val="-15"/>
          <w:w w:val="110"/>
          <w:sz w:val="20"/>
        </w:rPr>
        <w:t xml:space="preserve"> </w:t>
      </w:r>
      <w:r>
        <w:rPr>
          <w:rFonts w:ascii="Trebuchet MS"/>
          <w:color w:val="231F20"/>
          <w:spacing w:val="-2"/>
          <w:w w:val="110"/>
          <w:sz w:val="20"/>
        </w:rPr>
        <w:t>tourism</w:t>
      </w:r>
    </w:p>
    <w:p w14:paraId="50478D69" w14:textId="77777777" w:rsidR="00AE0598" w:rsidRDefault="0069255A">
      <w:pPr>
        <w:pStyle w:val="Corpodetexto"/>
        <w:spacing w:before="122" w:line="232" w:lineRule="auto"/>
        <w:ind w:left="110" w:right="106" w:firstLine="320"/>
        <w:jc w:val="both"/>
      </w:pPr>
      <w:r>
        <w:rPr>
          <w:color w:val="231F20"/>
        </w:rPr>
        <w:t xml:space="preserve">Typically, tourism definitions include those associated with the popular usage of the term (e.g. Simpson &amp; Weiner, 1989), those used to </w:t>
      </w:r>
      <w:r>
        <w:rPr>
          <w:color w:val="231F20"/>
          <w:w w:val="95"/>
        </w:rPr>
        <w:t xml:space="preserve">facilitate statistical measurement (e.g. World Tourism Organisation, 1981) </w:t>
      </w:r>
      <w:r>
        <w:rPr>
          <w:color w:val="231F20"/>
        </w:rPr>
        <w:t>and those used to articulate its conc</w:t>
      </w:r>
      <w:r>
        <w:rPr>
          <w:color w:val="231F20"/>
        </w:rPr>
        <w:t>eptual domain (e.g. Netto, 2009). Definitions</w:t>
      </w:r>
      <w:r>
        <w:rPr>
          <w:color w:val="231F20"/>
          <w:spacing w:val="-2"/>
        </w:rPr>
        <w:t xml:space="preserve"> </w:t>
      </w:r>
      <w:r>
        <w:rPr>
          <w:color w:val="231F20"/>
        </w:rPr>
        <w:t>arising</w:t>
      </w:r>
      <w:r>
        <w:rPr>
          <w:color w:val="231F20"/>
          <w:spacing w:val="-2"/>
        </w:rPr>
        <w:t xml:space="preserve"> </w:t>
      </w:r>
      <w:r>
        <w:rPr>
          <w:color w:val="231F20"/>
        </w:rPr>
        <w:t>from</w:t>
      </w:r>
      <w:r>
        <w:rPr>
          <w:color w:val="231F20"/>
          <w:spacing w:val="-1"/>
        </w:rPr>
        <w:t xml:space="preserve"> </w:t>
      </w:r>
      <w:r>
        <w:rPr>
          <w:color w:val="231F20"/>
        </w:rPr>
        <w:t>all</w:t>
      </w:r>
      <w:r>
        <w:rPr>
          <w:color w:val="231F20"/>
          <w:spacing w:val="-2"/>
        </w:rPr>
        <w:t xml:space="preserve"> </w:t>
      </w:r>
      <w:r>
        <w:rPr>
          <w:color w:val="231F20"/>
        </w:rPr>
        <w:t>of</w:t>
      </w:r>
      <w:r>
        <w:rPr>
          <w:color w:val="231F20"/>
          <w:spacing w:val="-1"/>
        </w:rPr>
        <w:t xml:space="preserve"> </w:t>
      </w:r>
      <w:r>
        <w:rPr>
          <w:color w:val="231F20"/>
        </w:rPr>
        <w:t>these</w:t>
      </w:r>
      <w:r>
        <w:rPr>
          <w:color w:val="231F20"/>
          <w:spacing w:val="-2"/>
        </w:rPr>
        <w:t xml:space="preserve"> </w:t>
      </w:r>
      <w:r>
        <w:rPr>
          <w:color w:val="231F20"/>
        </w:rPr>
        <w:t>perspectives</w:t>
      </w:r>
      <w:r>
        <w:rPr>
          <w:color w:val="231F20"/>
          <w:spacing w:val="-1"/>
        </w:rPr>
        <w:t xml:space="preserve"> </w:t>
      </w:r>
      <w:r>
        <w:rPr>
          <w:color w:val="231F20"/>
        </w:rPr>
        <w:t>tend</w:t>
      </w:r>
      <w:r>
        <w:rPr>
          <w:color w:val="231F20"/>
          <w:spacing w:val="-2"/>
        </w:rPr>
        <w:t xml:space="preserve"> </w:t>
      </w:r>
      <w:r>
        <w:rPr>
          <w:color w:val="231F20"/>
        </w:rPr>
        <w:t>to</w:t>
      </w:r>
      <w:r>
        <w:rPr>
          <w:color w:val="231F20"/>
          <w:spacing w:val="-1"/>
        </w:rPr>
        <w:t xml:space="preserve"> </w:t>
      </w:r>
      <w:r>
        <w:rPr>
          <w:color w:val="231F20"/>
        </w:rPr>
        <w:t>share</w:t>
      </w:r>
      <w:r>
        <w:rPr>
          <w:color w:val="231F20"/>
          <w:spacing w:val="-2"/>
        </w:rPr>
        <w:t xml:space="preserve"> </w:t>
      </w:r>
      <w:r>
        <w:rPr>
          <w:color w:val="231F20"/>
        </w:rPr>
        <w:t>three</w:t>
      </w:r>
      <w:r>
        <w:rPr>
          <w:color w:val="231F20"/>
          <w:spacing w:val="-2"/>
        </w:rPr>
        <w:t xml:space="preserve"> </w:t>
      </w:r>
      <w:r>
        <w:rPr>
          <w:color w:val="231F20"/>
        </w:rPr>
        <w:t xml:space="preserve">key </w:t>
      </w:r>
      <w:r>
        <w:rPr>
          <w:color w:val="231F20"/>
          <w:w w:val="95"/>
        </w:rPr>
        <w:t>dimensions.</w:t>
      </w:r>
      <w:r>
        <w:rPr>
          <w:color w:val="231F20"/>
        </w:rPr>
        <w:t xml:space="preserve"> </w:t>
      </w:r>
      <w:r>
        <w:rPr>
          <w:color w:val="231F20"/>
          <w:w w:val="95"/>
        </w:rPr>
        <w:t>The</w:t>
      </w:r>
      <w:r>
        <w:rPr>
          <w:color w:val="231F20"/>
        </w:rPr>
        <w:t xml:space="preserve"> </w:t>
      </w:r>
      <w:r>
        <w:rPr>
          <w:color w:val="231F20"/>
          <w:w w:val="95"/>
        </w:rPr>
        <w:t>most</w:t>
      </w:r>
      <w:r>
        <w:rPr>
          <w:color w:val="231F20"/>
        </w:rPr>
        <w:t xml:space="preserve"> </w:t>
      </w:r>
      <w:r>
        <w:rPr>
          <w:color w:val="231F20"/>
          <w:w w:val="95"/>
        </w:rPr>
        <w:t>prevalent</w:t>
      </w:r>
      <w:r>
        <w:rPr>
          <w:color w:val="231F20"/>
        </w:rPr>
        <w:t xml:space="preserve"> </w:t>
      </w:r>
      <w:r>
        <w:rPr>
          <w:color w:val="231F20"/>
          <w:w w:val="95"/>
        </w:rPr>
        <w:t>of these is a spatial dimension (Dietvorst</w:t>
      </w:r>
      <w:r>
        <w:rPr>
          <w:color w:val="231F20"/>
          <w:spacing w:val="80"/>
          <w:w w:val="150"/>
        </w:rPr>
        <w:t xml:space="preserve"> </w:t>
      </w:r>
      <w:r>
        <w:rPr>
          <w:color w:val="231F20"/>
          <w:w w:val="95"/>
        </w:rPr>
        <w:t>&amp; Ashworth, 1995). To be considered a tourist, individuals must leave and</w:t>
      </w:r>
      <w:r>
        <w:rPr>
          <w:color w:val="231F20"/>
          <w:w w:val="95"/>
        </w:rPr>
        <w:t xml:space="preserve"> </w:t>
      </w:r>
      <w:r>
        <w:rPr>
          <w:color w:val="231F20"/>
        </w:rPr>
        <w:t>then eventually return to their home. While the travel of an individual does</w:t>
      </w:r>
      <w:r>
        <w:rPr>
          <w:color w:val="231F20"/>
          <w:spacing w:val="-6"/>
        </w:rPr>
        <w:t xml:space="preserve"> </w:t>
      </w:r>
      <w:r>
        <w:rPr>
          <w:color w:val="231F20"/>
        </w:rPr>
        <w:t>not</w:t>
      </w:r>
      <w:r>
        <w:rPr>
          <w:color w:val="231F20"/>
          <w:spacing w:val="-6"/>
        </w:rPr>
        <w:t xml:space="preserve"> </w:t>
      </w:r>
      <w:r>
        <w:rPr>
          <w:color w:val="231F20"/>
        </w:rPr>
        <w:t>in</w:t>
      </w:r>
      <w:r>
        <w:rPr>
          <w:color w:val="231F20"/>
          <w:spacing w:val="-6"/>
        </w:rPr>
        <w:t xml:space="preserve"> </w:t>
      </w:r>
      <w:r>
        <w:rPr>
          <w:color w:val="231F20"/>
        </w:rPr>
        <w:t>itself</w:t>
      </w:r>
      <w:r>
        <w:rPr>
          <w:color w:val="231F20"/>
          <w:spacing w:val="-6"/>
        </w:rPr>
        <w:t xml:space="preserve"> </w:t>
      </w:r>
      <w:r>
        <w:rPr>
          <w:color w:val="231F20"/>
        </w:rPr>
        <w:t>constitute</w:t>
      </w:r>
      <w:r>
        <w:rPr>
          <w:color w:val="231F20"/>
          <w:spacing w:val="-6"/>
        </w:rPr>
        <w:t xml:space="preserve"> </w:t>
      </w:r>
      <w:r>
        <w:rPr>
          <w:color w:val="231F20"/>
        </w:rPr>
        <w:t>tourism,</w:t>
      </w:r>
      <w:r>
        <w:rPr>
          <w:color w:val="231F20"/>
          <w:spacing w:val="-6"/>
        </w:rPr>
        <w:t xml:space="preserve"> </w:t>
      </w:r>
      <w:r>
        <w:rPr>
          <w:color w:val="231F20"/>
        </w:rPr>
        <w:t>it</w:t>
      </w:r>
      <w:r>
        <w:rPr>
          <w:color w:val="231F20"/>
          <w:spacing w:val="-6"/>
        </w:rPr>
        <w:t xml:space="preserve"> </w:t>
      </w:r>
      <w:r>
        <w:rPr>
          <w:color w:val="231F20"/>
        </w:rPr>
        <w:t>is</w:t>
      </w:r>
      <w:r>
        <w:rPr>
          <w:color w:val="231F20"/>
          <w:spacing w:val="-6"/>
        </w:rPr>
        <w:t xml:space="preserve"> </w:t>
      </w:r>
      <w:r>
        <w:rPr>
          <w:color w:val="231F20"/>
        </w:rPr>
        <w:t>one</w:t>
      </w:r>
      <w:r>
        <w:rPr>
          <w:color w:val="231F20"/>
          <w:spacing w:val="-6"/>
        </w:rPr>
        <w:t xml:space="preserve"> </w:t>
      </w:r>
      <w:r>
        <w:rPr>
          <w:color w:val="231F20"/>
        </w:rPr>
        <w:t>of</w:t>
      </w:r>
      <w:r>
        <w:rPr>
          <w:color w:val="231F20"/>
          <w:spacing w:val="-6"/>
        </w:rPr>
        <w:t xml:space="preserve"> </w:t>
      </w:r>
      <w:r>
        <w:rPr>
          <w:color w:val="231F20"/>
        </w:rPr>
        <w:t>the</w:t>
      </w:r>
      <w:r>
        <w:rPr>
          <w:color w:val="231F20"/>
          <w:spacing w:val="-6"/>
        </w:rPr>
        <w:t xml:space="preserve"> </w:t>
      </w:r>
      <w:r>
        <w:rPr>
          <w:color w:val="231F20"/>
        </w:rPr>
        <w:t>necessary</w:t>
      </w:r>
      <w:r>
        <w:rPr>
          <w:color w:val="231F20"/>
          <w:spacing w:val="-6"/>
        </w:rPr>
        <w:t xml:space="preserve"> </w:t>
      </w:r>
      <w:r>
        <w:rPr>
          <w:color w:val="231F20"/>
        </w:rPr>
        <w:t xml:space="preserve">conditions. A variety of qualifiers have been placed on this dimension including a </w:t>
      </w:r>
      <w:r>
        <w:rPr>
          <w:color w:val="231F20"/>
          <w:w w:val="95"/>
        </w:rPr>
        <w:t>range of minimum travel distances, but the fundamental concept of travel</w:t>
      </w:r>
      <w:r>
        <w:rPr>
          <w:color w:val="231F20"/>
          <w:spacing w:val="80"/>
        </w:rPr>
        <w:t xml:space="preserve"> </w:t>
      </w:r>
      <w:r>
        <w:rPr>
          <w:color w:val="231F20"/>
        </w:rPr>
        <w:t>is universal.</w:t>
      </w:r>
    </w:p>
    <w:p w14:paraId="6408CA30" w14:textId="77777777" w:rsidR="00AE0598" w:rsidRDefault="0069255A">
      <w:pPr>
        <w:pStyle w:val="Corpodetexto"/>
        <w:spacing w:before="14" w:line="232" w:lineRule="auto"/>
        <w:ind w:left="110" w:right="106" w:firstLine="320"/>
        <w:jc w:val="both"/>
      </w:pPr>
      <w:r>
        <w:rPr>
          <w:color w:val="231F20"/>
          <w:w w:val="95"/>
        </w:rPr>
        <w:t xml:space="preserve">A second common dimension involves the temporal nature of tourism. </w:t>
      </w:r>
      <w:r>
        <w:rPr>
          <w:color w:val="231F20"/>
        </w:rPr>
        <w:t>Tourist trips are c</w:t>
      </w:r>
      <w:r>
        <w:rPr>
          <w:color w:val="231F20"/>
        </w:rPr>
        <w:t>haracterised by a ‘temporary stay away from home of at</w:t>
      </w:r>
      <w:r>
        <w:rPr>
          <w:color w:val="231F20"/>
          <w:spacing w:val="-10"/>
        </w:rPr>
        <w:t xml:space="preserve"> </w:t>
      </w:r>
      <w:r>
        <w:rPr>
          <w:color w:val="231F20"/>
        </w:rPr>
        <w:t>least</w:t>
      </w:r>
      <w:r>
        <w:rPr>
          <w:color w:val="231F20"/>
          <w:spacing w:val="-10"/>
        </w:rPr>
        <w:t xml:space="preserve"> </w:t>
      </w:r>
      <w:r>
        <w:rPr>
          <w:color w:val="231F20"/>
        </w:rPr>
        <w:t>one</w:t>
      </w:r>
      <w:r>
        <w:rPr>
          <w:color w:val="231F20"/>
          <w:spacing w:val="-10"/>
        </w:rPr>
        <w:t xml:space="preserve"> </w:t>
      </w:r>
      <w:r>
        <w:rPr>
          <w:color w:val="231F20"/>
        </w:rPr>
        <w:t>night’</w:t>
      </w:r>
      <w:r>
        <w:rPr>
          <w:color w:val="231F20"/>
          <w:spacing w:val="-10"/>
        </w:rPr>
        <w:t xml:space="preserve"> </w:t>
      </w:r>
      <w:r>
        <w:rPr>
          <w:color w:val="231F20"/>
        </w:rPr>
        <w:t>(Leiper,</w:t>
      </w:r>
      <w:r>
        <w:rPr>
          <w:color w:val="231F20"/>
          <w:spacing w:val="-10"/>
        </w:rPr>
        <w:t xml:space="preserve"> </w:t>
      </w:r>
      <w:r>
        <w:rPr>
          <w:color w:val="231F20"/>
        </w:rPr>
        <w:t>1981:</w:t>
      </w:r>
      <w:r>
        <w:rPr>
          <w:color w:val="231F20"/>
          <w:spacing w:val="-10"/>
        </w:rPr>
        <w:t xml:space="preserve"> </w:t>
      </w:r>
      <w:r>
        <w:rPr>
          <w:color w:val="231F20"/>
        </w:rPr>
        <w:t>74).</w:t>
      </w:r>
      <w:r>
        <w:rPr>
          <w:color w:val="231F20"/>
          <w:spacing w:val="-10"/>
        </w:rPr>
        <w:t xml:space="preserve"> </w:t>
      </w:r>
      <w:r>
        <w:rPr>
          <w:color w:val="231F20"/>
        </w:rPr>
        <w:t>Definitions</w:t>
      </w:r>
      <w:r>
        <w:rPr>
          <w:color w:val="231F20"/>
          <w:spacing w:val="-10"/>
        </w:rPr>
        <w:t xml:space="preserve"> </w:t>
      </w:r>
      <w:r>
        <w:rPr>
          <w:color w:val="231F20"/>
        </w:rPr>
        <w:t>developed</w:t>
      </w:r>
      <w:r>
        <w:rPr>
          <w:color w:val="231F20"/>
          <w:spacing w:val="-10"/>
        </w:rPr>
        <w:t xml:space="preserve"> </w:t>
      </w:r>
      <w:r>
        <w:rPr>
          <w:color w:val="231F20"/>
        </w:rPr>
        <w:t>for</w:t>
      </w:r>
      <w:r>
        <w:rPr>
          <w:color w:val="231F20"/>
          <w:spacing w:val="-10"/>
        </w:rPr>
        <w:t xml:space="preserve"> </w:t>
      </w:r>
      <w:r>
        <w:rPr>
          <w:color w:val="231F20"/>
        </w:rPr>
        <w:t>statistical purposes</w:t>
      </w:r>
      <w:r>
        <w:rPr>
          <w:color w:val="231F20"/>
          <w:spacing w:val="5"/>
        </w:rPr>
        <w:t xml:space="preserve"> </w:t>
      </w:r>
      <w:r>
        <w:rPr>
          <w:color w:val="231F20"/>
        </w:rPr>
        <w:t>are</w:t>
      </w:r>
      <w:r>
        <w:rPr>
          <w:color w:val="231F20"/>
          <w:spacing w:val="6"/>
        </w:rPr>
        <w:t xml:space="preserve"> </w:t>
      </w:r>
      <w:r>
        <w:rPr>
          <w:color w:val="231F20"/>
        </w:rPr>
        <w:t>more</w:t>
      </w:r>
      <w:r>
        <w:rPr>
          <w:color w:val="231F20"/>
          <w:spacing w:val="6"/>
        </w:rPr>
        <w:t xml:space="preserve"> </w:t>
      </w:r>
      <w:r>
        <w:rPr>
          <w:color w:val="231F20"/>
        </w:rPr>
        <w:t>specific</w:t>
      </w:r>
      <w:r>
        <w:rPr>
          <w:color w:val="231F20"/>
          <w:spacing w:val="4"/>
        </w:rPr>
        <w:t xml:space="preserve"> </w:t>
      </w:r>
      <w:r>
        <w:rPr>
          <w:color w:val="231F20"/>
        </w:rPr>
        <w:t>in</w:t>
      </w:r>
      <w:r>
        <w:rPr>
          <w:color w:val="231F20"/>
          <w:spacing w:val="6"/>
        </w:rPr>
        <w:t xml:space="preserve"> </w:t>
      </w:r>
      <w:r>
        <w:rPr>
          <w:color w:val="231F20"/>
        </w:rPr>
        <w:t>terms</w:t>
      </w:r>
      <w:r>
        <w:rPr>
          <w:color w:val="231F20"/>
          <w:spacing w:val="5"/>
        </w:rPr>
        <w:t xml:space="preserve"> </w:t>
      </w:r>
      <w:r>
        <w:rPr>
          <w:color w:val="231F20"/>
        </w:rPr>
        <w:t>of</w:t>
      </w:r>
      <w:r>
        <w:rPr>
          <w:color w:val="231F20"/>
          <w:spacing w:val="6"/>
        </w:rPr>
        <w:t xml:space="preserve"> </w:t>
      </w:r>
      <w:r>
        <w:rPr>
          <w:color w:val="231F20"/>
        </w:rPr>
        <w:t>the</w:t>
      </w:r>
      <w:r>
        <w:rPr>
          <w:color w:val="231F20"/>
          <w:spacing w:val="5"/>
        </w:rPr>
        <w:t xml:space="preserve"> </w:t>
      </w:r>
      <w:r>
        <w:rPr>
          <w:color w:val="231F20"/>
        </w:rPr>
        <w:t>duration</w:t>
      </w:r>
      <w:r>
        <w:rPr>
          <w:color w:val="231F20"/>
          <w:spacing w:val="5"/>
        </w:rPr>
        <w:t xml:space="preserve"> </w:t>
      </w:r>
      <w:r>
        <w:rPr>
          <w:color w:val="231F20"/>
        </w:rPr>
        <w:t>of</w:t>
      </w:r>
      <w:r>
        <w:rPr>
          <w:color w:val="231F20"/>
          <w:spacing w:val="6"/>
        </w:rPr>
        <w:t xml:space="preserve"> </w:t>
      </w:r>
      <w:r>
        <w:rPr>
          <w:color w:val="231F20"/>
        </w:rPr>
        <w:t>the</w:t>
      </w:r>
      <w:r>
        <w:rPr>
          <w:color w:val="231F20"/>
          <w:spacing w:val="5"/>
        </w:rPr>
        <w:t xml:space="preserve"> </w:t>
      </w:r>
      <w:r>
        <w:rPr>
          <w:color w:val="231F20"/>
        </w:rPr>
        <w:t>trip,</w:t>
      </w:r>
      <w:r>
        <w:rPr>
          <w:color w:val="231F20"/>
          <w:spacing w:val="5"/>
        </w:rPr>
        <w:t xml:space="preserve"> </w:t>
      </w:r>
      <w:r>
        <w:rPr>
          <w:color w:val="231F20"/>
        </w:rPr>
        <w:t>with</w:t>
      </w:r>
      <w:r>
        <w:rPr>
          <w:color w:val="231F20"/>
          <w:spacing w:val="6"/>
        </w:rPr>
        <w:t xml:space="preserve"> </w:t>
      </w:r>
      <w:r>
        <w:rPr>
          <w:color w:val="231F20"/>
          <w:spacing w:val="-5"/>
        </w:rPr>
        <w:t>the</w:t>
      </w:r>
    </w:p>
    <w:p w14:paraId="4041737F" w14:textId="77777777" w:rsidR="00AE0598" w:rsidRDefault="00AE0598">
      <w:pPr>
        <w:spacing w:line="232" w:lineRule="auto"/>
        <w:jc w:val="both"/>
        <w:sectPr w:rsidR="00AE0598">
          <w:pgSz w:w="8850" w:h="13270"/>
          <w:pgMar w:top="720" w:right="1080" w:bottom="280" w:left="1080" w:header="720" w:footer="720" w:gutter="0"/>
          <w:cols w:space="720"/>
        </w:sectPr>
      </w:pPr>
    </w:p>
    <w:p w14:paraId="29F8A3BC" w14:textId="77777777" w:rsidR="00AE0598" w:rsidRDefault="0069255A">
      <w:pPr>
        <w:spacing w:before="87"/>
        <w:ind w:left="108"/>
        <w:rPr>
          <w:rFonts w:ascii="Trebuchet MS"/>
          <w:sz w:val="14"/>
        </w:rPr>
      </w:pPr>
      <w:r>
        <w:rPr>
          <w:rFonts w:ascii="Trebuchet MS"/>
          <w:color w:val="231F20"/>
          <w:w w:val="105"/>
          <w:sz w:val="14"/>
        </w:rPr>
        <w:lastRenderedPageBreak/>
        <w:t>22</w:t>
      </w:r>
      <w:r>
        <w:rPr>
          <w:rFonts w:ascii="Trebuchet MS"/>
          <w:color w:val="231F20"/>
          <w:spacing w:val="64"/>
          <w:w w:val="150"/>
          <w:sz w:val="14"/>
        </w:rPr>
        <w:t xml:space="preserve"> </w:t>
      </w:r>
      <w:r>
        <w:rPr>
          <w:rFonts w:ascii="Trebuchet MS"/>
          <w:color w:val="231F20"/>
          <w:w w:val="105"/>
          <w:sz w:val="14"/>
        </w:rPr>
        <w:t>Part</w:t>
      </w:r>
      <w:r>
        <w:rPr>
          <w:rFonts w:ascii="Trebuchet MS"/>
          <w:color w:val="231F20"/>
          <w:spacing w:val="-9"/>
          <w:w w:val="105"/>
          <w:sz w:val="14"/>
        </w:rPr>
        <w:t xml:space="preserve"> </w:t>
      </w:r>
      <w:r>
        <w:rPr>
          <w:rFonts w:ascii="Trebuchet MS"/>
          <w:color w:val="231F20"/>
          <w:w w:val="105"/>
          <w:sz w:val="14"/>
        </w:rPr>
        <w:t>2:</w:t>
      </w:r>
      <w:r>
        <w:rPr>
          <w:rFonts w:ascii="Trebuchet MS"/>
          <w:color w:val="231F20"/>
          <w:spacing w:val="-9"/>
          <w:w w:val="105"/>
          <w:sz w:val="14"/>
        </w:rPr>
        <w:t xml:space="preserve"> </w:t>
      </w:r>
      <w:r>
        <w:rPr>
          <w:rFonts w:ascii="Trebuchet MS"/>
          <w:color w:val="231F20"/>
          <w:w w:val="105"/>
          <w:sz w:val="14"/>
        </w:rPr>
        <w:t>Foundations</w:t>
      </w:r>
      <w:r>
        <w:rPr>
          <w:rFonts w:ascii="Trebuchet MS"/>
          <w:color w:val="231F20"/>
          <w:spacing w:val="-9"/>
          <w:w w:val="105"/>
          <w:sz w:val="14"/>
        </w:rPr>
        <w:t xml:space="preserve"> </w:t>
      </w:r>
      <w:r>
        <w:rPr>
          <w:rFonts w:ascii="Trebuchet MS"/>
          <w:color w:val="231F20"/>
          <w:w w:val="105"/>
          <w:sz w:val="14"/>
        </w:rPr>
        <w:t>of</w:t>
      </w:r>
      <w:r>
        <w:rPr>
          <w:rFonts w:ascii="Trebuchet MS"/>
          <w:color w:val="231F20"/>
          <w:spacing w:val="-9"/>
          <w:w w:val="105"/>
          <w:sz w:val="14"/>
        </w:rPr>
        <w:t xml:space="preserve"> </w:t>
      </w:r>
      <w:r>
        <w:rPr>
          <w:rFonts w:ascii="Trebuchet MS"/>
          <w:color w:val="231F20"/>
          <w:w w:val="105"/>
          <w:sz w:val="14"/>
        </w:rPr>
        <w:t>Sport</w:t>
      </w:r>
      <w:r>
        <w:rPr>
          <w:rFonts w:ascii="Trebuchet MS"/>
          <w:color w:val="231F20"/>
          <w:spacing w:val="-9"/>
          <w:w w:val="105"/>
          <w:sz w:val="14"/>
        </w:rPr>
        <w:t xml:space="preserve"> </w:t>
      </w:r>
      <w:r>
        <w:rPr>
          <w:rFonts w:ascii="Trebuchet MS"/>
          <w:color w:val="231F20"/>
          <w:w w:val="105"/>
          <w:sz w:val="14"/>
        </w:rPr>
        <w:t>Tourism</w:t>
      </w:r>
      <w:r>
        <w:rPr>
          <w:rFonts w:ascii="Trebuchet MS"/>
          <w:color w:val="231F20"/>
          <w:spacing w:val="-9"/>
          <w:w w:val="105"/>
          <w:sz w:val="14"/>
        </w:rPr>
        <w:t xml:space="preserve"> </w:t>
      </w:r>
      <w:r>
        <w:rPr>
          <w:rFonts w:ascii="Trebuchet MS"/>
          <w:color w:val="231F20"/>
          <w:spacing w:val="-2"/>
          <w:w w:val="105"/>
          <w:sz w:val="14"/>
        </w:rPr>
        <w:t>Development</w:t>
      </w:r>
    </w:p>
    <w:p w14:paraId="42AE198C" w14:textId="77777777" w:rsidR="00AE0598" w:rsidRDefault="00AE0598">
      <w:pPr>
        <w:pStyle w:val="Corpodetexto"/>
        <w:rPr>
          <w:rFonts w:ascii="Trebuchet MS"/>
          <w:sz w:val="16"/>
        </w:rPr>
      </w:pPr>
    </w:p>
    <w:p w14:paraId="2C16D6D1" w14:textId="77777777" w:rsidR="00AE0598" w:rsidRDefault="0069255A">
      <w:pPr>
        <w:pStyle w:val="Corpodetexto"/>
        <w:spacing w:before="118" w:line="232" w:lineRule="auto"/>
        <w:ind w:left="110" w:right="107"/>
        <w:jc w:val="both"/>
      </w:pPr>
      <w:r>
        <w:rPr>
          <w:color w:val="231F20"/>
        </w:rPr>
        <w:t>United</w:t>
      </w:r>
      <w:r>
        <w:rPr>
          <w:color w:val="231F20"/>
          <w:spacing w:val="33"/>
        </w:rPr>
        <w:t xml:space="preserve"> </w:t>
      </w:r>
      <w:r>
        <w:rPr>
          <w:color w:val="231F20"/>
        </w:rPr>
        <w:t>Nations</w:t>
      </w:r>
      <w:r>
        <w:rPr>
          <w:color w:val="231F20"/>
          <w:spacing w:val="33"/>
        </w:rPr>
        <w:t xml:space="preserve"> </w:t>
      </w:r>
      <w:r>
        <w:rPr>
          <w:color w:val="231F20"/>
        </w:rPr>
        <w:t>(2008)</w:t>
      </w:r>
      <w:r>
        <w:rPr>
          <w:color w:val="231F20"/>
          <w:spacing w:val="33"/>
        </w:rPr>
        <w:t xml:space="preserve"> </w:t>
      </w:r>
      <w:r>
        <w:rPr>
          <w:color w:val="231F20"/>
        </w:rPr>
        <w:t>defining</w:t>
      </w:r>
      <w:r>
        <w:rPr>
          <w:color w:val="231F20"/>
          <w:spacing w:val="33"/>
        </w:rPr>
        <w:t xml:space="preserve"> </w:t>
      </w:r>
      <w:r>
        <w:rPr>
          <w:color w:val="231F20"/>
        </w:rPr>
        <w:t>visitors</w:t>
      </w:r>
      <w:r>
        <w:rPr>
          <w:color w:val="231F20"/>
          <w:spacing w:val="33"/>
        </w:rPr>
        <w:t xml:space="preserve"> </w:t>
      </w:r>
      <w:r>
        <w:rPr>
          <w:color w:val="231F20"/>
        </w:rPr>
        <w:t>in</w:t>
      </w:r>
      <w:r>
        <w:rPr>
          <w:color w:val="231F20"/>
          <w:spacing w:val="33"/>
        </w:rPr>
        <w:t xml:space="preserve"> </w:t>
      </w:r>
      <w:r>
        <w:rPr>
          <w:color w:val="231F20"/>
        </w:rPr>
        <w:t>a</w:t>
      </w:r>
      <w:r>
        <w:rPr>
          <w:color w:val="231F20"/>
          <w:spacing w:val="33"/>
        </w:rPr>
        <w:t xml:space="preserve"> </w:t>
      </w:r>
      <w:r>
        <w:rPr>
          <w:color w:val="231F20"/>
        </w:rPr>
        <w:t>destination</w:t>
      </w:r>
      <w:r>
        <w:rPr>
          <w:color w:val="231F20"/>
          <w:spacing w:val="33"/>
        </w:rPr>
        <w:t xml:space="preserve"> </w:t>
      </w:r>
      <w:r>
        <w:rPr>
          <w:color w:val="231F20"/>
        </w:rPr>
        <w:t>for</w:t>
      </w:r>
      <w:r>
        <w:rPr>
          <w:color w:val="231F20"/>
          <w:spacing w:val="33"/>
        </w:rPr>
        <w:t xml:space="preserve"> </w:t>
      </w:r>
      <w:r>
        <w:rPr>
          <w:color w:val="231F20"/>
        </w:rPr>
        <w:t>less</w:t>
      </w:r>
      <w:r>
        <w:rPr>
          <w:color w:val="231F20"/>
          <w:spacing w:val="33"/>
        </w:rPr>
        <w:t xml:space="preserve"> </w:t>
      </w:r>
      <w:r>
        <w:rPr>
          <w:color w:val="231F20"/>
        </w:rPr>
        <w:t>than a year and more than 24 hours or a night. Visitors in a country for less than 24 hours or a night are categorised as excursionists. However, this view can be critiq</w:t>
      </w:r>
      <w:r>
        <w:rPr>
          <w:color w:val="231F20"/>
        </w:rPr>
        <w:t>ued. Scholars in the field of mobilities criticise these temporal parameters, arguing that in many societies, they have become too</w:t>
      </w:r>
      <w:r>
        <w:rPr>
          <w:color w:val="231F20"/>
          <w:spacing w:val="-5"/>
        </w:rPr>
        <w:t xml:space="preserve"> </w:t>
      </w:r>
      <w:r>
        <w:rPr>
          <w:color w:val="231F20"/>
        </w:rPr>
        <w:t>limiting.</w:t>
      </w:r>
      <w:r>
        <w:rPr>
          <w:color w:val="231F20"/>
          <w:spacing w:val="-5"/>
        </w:rPr>
        <w:t xml:space="preserve"> </w:t>
      </w:r>
      <w:r>
        <w:rPr>
          <w:color w:val="231F20"/>
        </w:rPr>
        <w:t>For</w:t>
      </w:r>
      <w:r>
        <w:rPr>
          <w:color w:val="231F20"/>
          <w:spacing w:val="-5"/>
        </w:rPr>
        <w:t xml:space="preserve"> </w:t>
      </w:r>
      <w:r>
        <w:rPr>
          <w:color w:val="231F20"/>
        </w:rPr>
        <w:t>example,</w:t>
      </w:r>
      <w:r>
        <w:rPr>
          <w:color w:val="231F20"/>
          <w:spacing w:val="-5"/>
        </w:rPr>
        <w:t xml:space="preserve"> </w:t>
      </w:r>
      <w:r>
        <w:rPr>
          <w:color w:val="231F20"/>
        </w:rPr>
        <w:t>today’s</w:t>
      </w:r>
      <w:r>
        <w:rPr>
          <w:color w:val="231F20"/>
          <w:spacing w:val="-5"/>
        </w:rPr>
        <w:t xml:space="preserve"> </w:t>
      </w:r>
      <w:r>
        <w:rPr>
          <w:color w:val="231F20"/>
        </w:rPr>
        <w:t>transport</w:t>
      </w:r>
      <w:r>
        <w:rPr>
          <w:color w:val="231F20"/>
          <w:spacing w:val="-5"/>
        </w:rPr>
        <w:t xml:space="preserve"> </w:t>
      </w:r>
      <w:r>
        <w:rPr>
          <w:color w:val="231F20"/>
        </w:rPr>
        <w:t>technologies</w:t>
      </w:r>
      <w:r>
        <w:rPr>
          <w:color w:val="231F20"/>
          <w:spacing w:val="-5"/>
        </w:rPr>
        <w:t xml:space="preserve"> </w:t>
      </w:r>
      <w:r>
        <w:rPr>
          <w:color w:val="231F20"/>
        </w:rPr>
        <w:t>allow</w:t>
      </w:r>
      <w:r>
        <w:rPr>
          <w:color w:val="231F20"/>
          <w:spacing w:val="-5"/>
        </w:rPr>
        <w:t xml:space="preserve"> </w:t>
      </w:r>
      <w:r>
        <w:rPr>
          <w:color w:val="231F20"/>
        </w:rPr>
        <w:t>people</w:t>
      </w:r>
      <w:r>
        <w:rPr>
          <w:color w:val="231F20"/>
          <w:spacing w:val="-5"/>
        </w:rPr>
        <w:t xml:space="preserve"> </w:t>
      </w:r>
      <w:r>
        <w:rPr>
          <w:color w:val="231F20"/>
        </w:rPr>
        <w:t xml:space="preserve">to </w:t>
      </w:r>
      <w:r>
        <w:rPr>
          <w:color w:val="231F20"/>
          <w:w w:val="95"/>
        </w:rPr>
        <w:t>travel extensively within the scope of 24 hours and man</w:t>
      </w:r>
      <w:r>
        <w:rPr>
          <w:color w:val="231F20"/>
          <w:w w:val="95"/>
        </w:rPr>
        <w:t xml:space="preserve">y people travel for </w:t>
      </w:r>
      <w:r>
        <w:rPr>
          <w:color w:val="231F20"/>
        </w:rPr>
        <w:t>more than one year (Hall, 2004).</w:t>
      </w:r>
    </w:p>
    <w:p w14:paraId="033BEA4B" w14:textId="77777777" w:rsidR="00AE0598" w:rsidRDefault="0069255A">
      <w:pPr>
        <w:pStyle w:val="Corpodetexto"/>
        <w:spacing w:before="10" w:line="232" w:lineRule="auto"/>
        <w:ind w:left="110" w:right="107" w:firstLine="320"/>
        <w:jc w:val="both"/>
      </w:pPr>
      <w:r>
        <w:rPr>
          <w:color w:val="231F20"/>
          <w:w w:val="95"/>
        </w:rPr>
        <w:t xml:space="preserve">A third common dimension of tourism definitions concerns the purpose </w:t>
      </w:r>
      <w:r>
        <w:rPr>
          <w:color w:val="231F20"/>
        </w:rPr>
        <w:t xml:space="preserve">or the activities engaged in during travel and it is within this dimension </w:t>
      </w:r>
      <w:r>
        <w:rPr>
          <w:color w:val="231F20"/>
          <w:w w:val="95"/>
        </w:rPr>
        <w:t xml:space="preserve">that many subfields of tourism research find their genesis </w:t>
      </w:r>
      <w:r>
        <w:rPr>
          <w:color w:val="231F20"/>
          <w:w w:val="95"/>
        </w:rPr>
        <w:t xml:space="preserve">(e.g. ecotourism </w:t>
      </w:r>
      <w:r>
        <w:rPr>
          <w:color w:val="231F20"/>
        </w:rPr>
        <w:t>and adventure tourism). Of the three dimensions, this is perhaps the</w:t>
      </w:r>
      <w:r>
        <w:rPr>
          <w:color w:val="231F20"/>
          <w:spacing w:val="40"/>
        </w:rPr>
        <w:t xml:space="preserve"> </w:t>
      </w:r>
      <w:r>
        <w:rPr>
          <w:color w:val="231F20"/>
        </w:rPr>
        <w:t xml:space="preserve">one characterised by the broadest range of views. For example, popular </w:t>
      </w:r>
      <w:r>
        <w:rPr>
          <w:color w:val="231F20"/>
          <w:w w:val="95"/>
        </w:rPr>
        <w:t>dictionary</w:t>
      </w:r>
      <w:r>
        <w:rPr>
          <w:color w:val="231F20"/>
          <w:spacing w:val="-2"/>
          <w:w w:val="95"/>
        </w:rPr>
        <w:t xml:space="preserve"> </w:t>
      </w:r>
      <w:r>
        <w:rPr>
          <w:color w:val="231F20"/>
          <w:w w:val="95"/>
        </w:rPr>
        <w:t>interpretations</w:t>
      </w:r>
      <w:r>
        <w:rPr>
          <w:color w:val="231F20"/>
          <w:spacing w:val="-1"/>
          <w:w w:val="95"/>
        </w:rPr>
        <w:t xml:space="preserve"> </w:t>
      </w:r>
      <w:r>
        <w:rPr>
          <w:color w:val="231F20"/>
          <w:w w:val="95"/>
        </w:rPr>
        <w:t>of</w:t>
      </w:r>
      <w:r>
        <w:rPr>
          <w:color w:val="231F20"/>
          <w:spacing w:val="-2"/>
          <w:w w:val="95"/>
        </w:rPr>
        <w:t xml:space="preserve"> </w:t>
      </w:r>
      <w:r>
        <w:rPr>
          <w:color w:val="231F20"/>
          <w:w w:val="95"/>
        </w:rPr>
        <w:t>tourists</w:t>
      </w:r>
      <w:r>
        <w:rPr>
          <w:color w:val="231F20"/>
          <w:spacing w:val="-1"/>
          <w:w w:val="95"/>
        </w:rPr>
        <w:t xml:space="preserve"> </w:t>
      </w:r>
      <w:r>
        <w:rPr>
          <w:color w:val="231F20"/>
          <w:w w:val="95"/>
        </w:rPr>
        <w:t>tend</w:t>
      </w:r>
      <w:r>
        <w:rPr>
          <w:color w:val="231F20"/>
          <w:spacing w:val="-1"/>
          <w:w w:val="95"/>
        </w:rPr>
        <w:t xml:space="preserve"> </w:t>
      </w:r>
      <w:r>
        <w:rPr>
          <w:color w:val="231F20"/>
          <w:w w:val="95"/>
        </w:rPr>
        <w:t>to</w:t>
      </w:r>
      <w:r>
        <w:rPr>
          <w:color w:val="231F20"/>
          <w:spacing w:val="-2"/>
          <w:w w:val="95"/>
        </w:rPr>
        <w:t xml:space="preserve"> </w:t>
      </w:r>
      <w:r>
        <w:rPr>
          <w:color w:val="231F20"/>
          <w:w w:val="95"/>
        </w:rPr>
        <w:t>focus</w:t>
      </w:r>
      <w:r>
        <w:rPr>
          <w:color w:val="231F20"/>
          <w:spacing w:val="-1"/>
          <w:w w:val="95"/>
        </w:rPr>
        <w:t xml:space="preserve"> </w:t>
      </w:r>
      <w:r>
        <w:rPr>
          <w:color w:val="231F20"/>
          <w:w w:val="95"/>
        </w:rPr>
        <w:t>on</w:t>
      </w:r>
      <w:r>
        <w:rPr>
          <w:color w:val="231F20"/>
          <w:spacing w:val="-2"/>
          <w:w w:val="95"/>
        </w:rPr>
        <w:t xml:space="preserve"> </w:t>
      </w:r>
      <w:r>
        <w:rPr>
          <w:color w:val="231F20"/>
          <w:w w:val="95"/>
        </w:rPr>
        <w:t>leisure</w:t>
      </w:r>
      <w:r>
        <w:rPr>
          <w:color w:val="231F20"/>
          <w:spacing w:val="-1"/>
          <w:w w:val="95"/>
        </w:rPr>
        <w:t xml:space="preserve"> </w:t>
      </w:r>
      <w:r>
        <w:rPr>
          <w:color w:val="231F20"/>
          <w:w w:val="95"/>
        </w:rPr>
        <w:t>as</w:t>
      </w:r>
      <w:r>
        <w:rPr>
          <w:color w:val="231F20"/>
          <w:spacing w:val="-1"/>
          <w:w w:val="95"/>
        </w:rPr>
        <w:t xml:space="preserve"> </w:t>
      </w:r>
      <w:r>
        <w:rPr>
          <w:color w:val="231F20"/>
          <w:w w:val="95"/>
        </w:rPr>
        <w:t>the</w:t>
      </w:r>
      <w:r>
        <w:rPr>
          <w:color w:val="231F20"/>
          <w:spacing w:val="-1"/>
          <w:w w:val="95"/>
        </w:rPr>
        <w:t xml:space="preserve"> </w:t>
      </w:r>
      <w:r>
        <w:rPr>
          <w:color w:val="231F20"/>
          <w:w w:val="95"/>
        </w:rPr>
        <w:t xml:space="preserve">primary travel activity (e.g. Simpson &amp; Weiner, 1989), while definitions developed </w:t>
      </w:r>
      <w:r>
        <w:rPr>
          <w:color w:val="231F20"/>
        </w:rPr>
        <w:t>for statistical and academic purposes tend to include business activities (United Nations, 2008). One of the reasons people travel is to engage in sport</w:t>
      </w:r>
      <w:r>
        <w:rPr>
          <w:color w:val="231F20"/>
          <w:spacing w:val="-11"/>
        </w:rPr>
        <w:t xml:space="preserve"> </w:t>
      </w:r>
      <w:r>
        <w:rPr>
          <w:color w:val="231F20"/>
        </w:rPr>
        <w:t>whether</w:t>
      </w:r>
      <w:r>
        <w:rPr>
          <w:color w:val="231F20"/>
          <w:spacing w:val="-11"/>
        </w:rPr>
        <w:t xml:space="preserve"> </w:t>
      </w:r>
      <w:r>
        <w:rPr>
          <w:color w:val="231F20"/>
        </w:rPr>
        <w:t>it</w:t>
      </w:r>
      <w:r>
        <w:rPr>
          <w:color w:val="231F20"/>
          <w:spacing w:val="-11"/>
        </w:rPr>
        <w:t xml:space="preserve"> </w:t>
      </w:r>
      <w:r>
        <w:rPr>
          <w:color w:val="231F20"/>
        </w:rPr>
        <w:t>is</w:t>
      </w:r>
      <w:r>
        <w:rPr>
          <w:color w:val="231F20"/>
          <w:spacing w:val="-11"/>
        </w:rPr>
        <w:t xml:space="preserve"> </w:t>
      </w:r>
      <w:r>
        <w:rPr>
          <w:color w:val="231F20"/>
        </w:rPr>
        <w:t>to</w:t>
      </w:r>
      <w:r>
        <w:rPr>
          <w:color w:val="231F20"/>
          <w:spacing w:val="-11"/>
        </w:rPr>
        <w:t xml:space="preserve"> </w:t>
      </w:r>
      <w:r>
        <w:rPr>
          <w:color w:val="231F20"/>
        </w:rPr>
        <w:t>the</w:t>
      </w:r>
      <w:r>
        <w:rPr>
          <w:color w:val="231F20"/>
          <w:spacing w:val="-11"/>
        </w:rPr>
        <w:t xml:space="preserve"> </w:t>
      </w:r>
      <w:r>
        <w:rPr>
          <w:color w:val="231F20"/>
        </w:rPr>
        <w:t>other</w:t>
      </w:r>
      <w:r>
        <w:rPr>
          <w:color w:val="231F20"/>
          <w:spacing w:val="-11"/>
        </w:rPr>
        <w:t xml:space="preserve"> </w:t>
      </w:r>
      <w:r>
        <w:rPr>
          <w:color w:val="231F20"/>
        </w:rPr>
        <w:t>side</w:t>
      </w:r>
      <w:r>
        <w:rPr>
          <w:color w:val="231F20"/>
          <w:spacing w:val="-11"/>
        </w:rPr>
        <w:t xml:space="preserve"> </w:t>
      </w:r>
      <w:r>
        <w:rPr>
          <w:color w:val="231F20"/>
        </w:rPr>
        <w:t>of</w:t>
      </w:r>
      <w:r>
        <w:rPr>
          <w:color w:val="231F20"/>
          <w:spacing w:val="-11"/>
        </w:rPr>
        <w:t xml:space="preserve"> </w:t>
      </w:r>
      <w:r>
        <w:rPr>
          <w:color w:val="231F20"/>
        </w:rPr>
        <w:t>town</w:t>
      </w:r>
      <w:r>
        <w:rPr>
          <w:color w:val="231F20"/>
          <w:spacing w:val="-11"/>
        </w:rPr>
        <w:t xml:space="preserve"> </w:t>
      </w:r>
      <w:r>
        <w:rPr>
          <w:color w:val="231F20"/>
        </w:rPr>
        <w:t>or</w:t>
      </w:r>
      <w:r>
        <w:rPr>
          <w:color w:val="231F20"/>
          <w:spacing w:val="-11"/>
        </w:rPr>
        <w:t xml:space="preserve"> </w:t>
      </w:r>
      <w:r>
        <w:rPr>
          <w:color w:val="231F20"/>
        </w:rPr>
        <w:t>the</w:t>
      </w:r>
      <w:r>
        <w:rPr>
          <w:color w:val="231F20"/>
          <w:spacing w:val="-11"/>
        </w:rPr>
        <w:t xml:space="preserve"> </w:t>
      </w:r>
      <w:r>
        <w:rPr>
          <w:color w:val="231F20"/>
        </w:rPr>
        <w:t>other</w:t>
      </w:r>
      <w:r>
        <w:rPr>
          <w:color w:val="231F20"/>
          <w:spacing w:val="-11"/>
        </w:rPr>
        <w:t xml:space="preserve"> </w:t>
      </w:r>
      <w:r>
        <w:rPr>
          <w:color w:val="231F20"/>
        </w:rPr>
        <w:t>side</w:t>
      </w:r>
      <w:r>
        <w:rPr>
          <w:color w:val="231F20"/>
          <w:spacing w:val="-11"/>
        </w:rPr>
        <w:t xml:space="preserve"> </w:t>
      </w:r>
      <w:r>
        <w:rPr>
          <w:color w:val="231F20"/>
        </w:rPr>
        <w:t>of</w:t>
      </w:r>
      <w:r>
        <w:rPr>
          <w:color w:val="231F20"/>
          <w:spacing w:val="-11"/>
        </w:rPr>
        <w:t xml:space="preserve"> </w:t>
      </w:r>
      <w:r>
        <w:rPr>
          <w:color w:val="231F20"/>
        </w:rPr>
        <w:t>the</w:t>
      </w:r>
      <w:r>
        <w:rPr>
          <w:color w:val="231F20"/>
          <w:spacing w:val="-11"/>
        </w:rPr>
        <w:t xml:space="preserve"> </w:t>
      </w:r>
      <w:r>
        <w:rPr>
          <w:color w:val="231F20"/>
        </w:rPr>
        <w:t>world.</w:t>
      </w:r>
    </w:p>
    <w:p w14:paraId="2C97F4F9" w14:textId="77777777" w:rsidR="00AE0598" w:rsidRDefault="00AE0598">
      <w:pPr>
        <w:pStyle w:val="Corpodetexto"/>
        <w:spacing w:before="11"/>
      </w:pPr>
    </w:p>
    <w:p w14:paraId="5C9DB100" w14:textId="77777777" w:rsidR="00AE0598" w:rsidRDefault="0069255A">
      <w:pPr>
        <w:ind w:left="110"/>
        <w:jc w:val="both"/>
        <w:rPr>
          <w:rFonts w:ascii="Trebuchet MS"/>
          <w:sz w:val="20"/>
        </w:rPr>
      </w:pPr>
      <w:r>
        <w:rPr>
          <w:rFonts w:ascii="Trebuchet MS"/>
          <w:color w:val="231F20"/>
          <w:w w:val="105"/>
          <w:sz w:val="20"/>
        </w:rPr>
        <w:t>Conceptualising</w:t>
      </w:r>
      <w:r>
        <w:rPr>
          <w:rFonts w:ascii="Trebuchet MS"/>
          <w:color w:val="231F20"/>
          <w:spacing w:val="-9"/>
          <w:w w:val="105"/>
          <w:sz w:val="20"/>
        </w:rPr>
        <w:t xml:space="preserve"> </w:t>
      </w:r>
      <w:r>
        <w:rPr>
          <w:rFonts w:ascii="Trebuchet MS"/>
          <w:color w:val="231F20"/>
          <w:w w:val="105"/>
          <w:sz w:val="20"/>
        </w:rPr>
        <w:t>sport</w:t>
      </w:r>
      <w:r>
        <w:rPr>
          <w:rFonts w:ascii="Trebuchet MS"/>
          <w:color w:val="231F20"/>
          <w:spacing w:val="-6"/>
          <w:w w:val="105"/>
          <w:sz w:val="20"/>
        </w:rPr>
        <w:t xml:space="preserve"> </w:t>
      </w:r>
      <w:r>
        <w:rPr>
          <w:rFonts w:ascii="Trebuchet MS"/>
          <w:color w:val="231F20"/>
          <w:spacing w:val="-2"/>
          <w:w w:val="105"/>
          <w:sz w:val="20"/>
        </w:rPr>
        <w:t>tourism</w:t>
      </w:r>
    </w:p>
    <w:p w14:paraId="289C34DA" w14:textId="77777777" w:rsidR="00AE0598" w:rsidRDefault="0069255A">
      <w:pPr>
        <w:pStyle w:val="Corpodetexto"/>
        <w:spacing w:before="122" w:line="232" w:lineRule="auto"/>
        <w:ind w:left="110" w:right="106" w:firstLine="320"/>
        <w:jc w:val="both"/>
      </w:pPr>
      <w:r>
        <w:rPr>
          <w:color w:val="231F20"/>
        </w:rPr>
        <w:t xml:space="preserve">The study of sport tourism focuses on the extensive intersection of the sport and tourism domains. As such, sport tourism definitions are </w:t>
      </w:r>
      <w:r>
        <w:rPr>
          <w:color w:val="231F20"/>
          <w:w w:val="95"/>
        </w:rPr>
        <w:t>challenged by the variety and scope of the overlap. The question of whether sport</w:t>
      </w:r>
      <w:r>
        <w:rPr>
          <w:color w:val="231F20"/>
          <w:spacing w:val="-9"/>
          <w:w w:val="95"/>
        </w:rPr>
        <w:t xml:space="preserve"> </w:t>
      </w:r>
      <w:r>
        <w:rPr>
          <w:color w:val="231F20"/>
          <w:w w:val="95"/>
        </w:rPr>
        <w:t>is</w:t>
      </w:r>
      <w:r>
        <w:rPr>
          <w:color w:val="231F20"/>
          <w:spacing w:val="-9"/>
          <w:w w:val="95"/>
        </w:rPr>
        <w:t xml:space="preserve"> </w:t>
      </w:r>
      <w:r>
        <w:rPr>
          <w:color w:val="231F20"/>
          <w:w w:val="95"/>
        </w:rPr>
        <w:t>the</w:t>
      </w:r>
      <w:r>
        <w:rPr>
          <w:color w:val="231F20"/>
          <w:spacing w:val="-9"/>
          <w:w w:val="95"/>
        </w:rPr>
        <w:t xml:space="preserve"> </w:t>
      </w:r>
      <w:r>
        <w:rPr>
          <w:color w:val="231F20"/>
          <w:w w:val="95"/>
        </w:rPr>
        <w:t>primary</w:t>
      </w:r>
      <w:r>
        <w:rPr>
          <w:color w:val="231F20"/>
          <w:spacing w:val="-9"/>
          <w:w w:val="95"/>
        </w:rPr>
        <w:t xml:space="preserve"> </w:t>
      </w:r>
      <w:r>
        <w:rPr>
          <w:color w:val="231F20"/>
          <w:w w:val="95"/>
        </w:rPr>
        <w:t>or</w:t>
      </w:r>
      <w:r>
        <w:rPr>
          <w:color w:val="231F20"/>
          <w:spacing w:val="-9"/>
          <w:w w:val="95"/>
        </w:rPr>
        <w:t xml:space="preserve"> </w:t>
      </w:r>
      <w:r>
        <w:rPr>
          <w:color w:val="231F20"/>
          <w:w w:val="95"/>
        </w:rPr>
        <w:t>secondary</w:t>
      </w:r>
      <w:r>
        <w:rPr>
          <w:color w:val="231F20"/>
          <w:spacing w:val="-9"/>
          <w:w w:val="95"/>
        </w:rPr>
        <w:t xml:space="preserve"> </w:t>
      </w:r>
      <w:r>
        <w:rPr>
          <w:color w:val="231F20"/>
          <w:w w:val="95"/>
        </w:rPr>
        <w:t>motivati</w:t>
      </w:r>
      <w:r>
        <w:rPr>
          <w:color w:val="231F20"/>
          <w:w w:val="95"/>
        </w:rPr>
        <w:t>on</w:t>
      </w:r>
      <w:r>
        <w:rPr>
          <w:color w:val="231F20"/>
          <w:spacing w:val="-9"/>
          <w:w w:val="95"/>
        </w:rPr>
        <w:t xml:space="preserve"> </w:t>
      </w:r>
      <w:r>
        <w:rPr>
          <w:color w:val="231F20"/>
          <w:w w:val="95"/>
        </w:rPr>
        <w:t>for</w:t>
      </w:r>
      <w:r>
        <w:rPr>
          <w:color w:val="231F20"/>
          <w:spacing w:val="-9"/>
          <w:w w:val="95"/>
        </w:rPr>
        <w:t xml:space="preserve"> </w:t>
      </w:r>
      <w:r>
        <w:rPr>
          <w:color w:val="231F20"/>
          <w:w w:val="95"/>
        </w:rPr>
        <w:t>a</w:t>
      </w:r>
      <w:r>
        <w:rPr>
          <w:color w:val="231F20"/>
          <w:spacing w:val="-9"/>
          <w:w w:val="95"/>
        </w:rPr>
        <w:t xml:space="preserve"> </w:t>
      </w:r>
      <w:r>
        <w:rPr>
          <w:color w:val="231F20"/>
          <w:w w:val="95"/>
        </w:rPr>
        <w:t>trip</w:t>
      </w:r>
      <w:r>
        <w:rPr>
          <w:color w:val="231F20"/>
          <w:spacing w:val="-9"/>
          <w:w w:val="95"/>
        </w:rPr>
        <w:t xml:space="preserve"> </w:t>
      </w:r>
      <w:r>
        <w:rPr>
          <w:color w:val="231F20"/>
          <w:w w:val="95"/>
        </w:rPr>
        <w:t>provides</w:t>
      </w:r>
      <w:r>
        <w:rPr>
          <w:color w:val="231F20"/>
          <w:spacing w:val="-9"/>
          <w:w w:val="95"/>
        </w:rPr>
        <w:t xml:space="preserve"> </w:t>
      </w:r>
      <w:r>
        <w:rPr>
          <w:color w:val="231F20"/>
          <w:w w:val="95"/>
        </w:rPr>
        <w:t>one</w:t>
      </w:r>
      <w:r>
        <w:rPr>
          <w:color w:val="231F20"/>
          <w:spacing w:val="-9"/>
          <w:w w:val="95"/>
        </w:rPr>
        <w:t xml:space="preserve"> </w:t>
      </w:r>
      <w:r>
        <w:rPr>
          <w:color w:val="231F20"/>
          <w:w w:val="95"/>
        </w:rPr>
        <w:t xml:space="preserve">example </w:t>
      </w:r>
      <w:r>
        <w:rPr>
          <w:color w:val="231F20"/>
        </w:rPr>
        <w:t xml:space="preserve">of these challenges. To deal with this issue, Gammon and Robinson (2003) make a distinction between sport tourists (sport as the primary </w:t>
      </w:r>
      <w:r>
        <w:rPr>
          <w:color w:val="231F20"/>
          <w:w w:val="95"/>
        </w:rPr>
        <w:t>motivation) and tourism sports (sport as a secondary and sometimes even an incidenta</w:t>
      </w:r>
      <w:r>
        <w:rPr>
          <w:color w:val="231F20"/>
          <w:w w:val="95"/>
        </w:rPr>
        <w:t xml:space="preserve">l travel activity). These differing levels of involvement in sport </w:t>
      </w:r>
      <w:r>
        <w:rPr>
          <w:color w:val="231F20"/>
        </w:rPr>
        <w:t>are</w:t>
      </w:r>
      <w:r>
        <w:rPr>
          <w:color w:val="231F20"/>
          <w:spacing w:val="-9"/>
        </w:rPr>
        <w:t xml:space="preserve"> </w:t>
      </w:r>
      <w:r>
        <w:rPr>
          <w:color w:val="231F20"/>
        </w:rPr>
        <w:t>included</w:t>
      </w:r>
      <w:r>
        <w:rPr>
          <w:color w:val="231F20"/>
          <w:spacing w:val="-9"/>
        </w:rPr>
        <w:t xml:space="preserve"> </w:t>
      </w:r>
      <w:r>
        <w:rPr>
          <w:color w:val="231F20"/>
        </w:rPr>
        <w:t>under</w:t>
      </w:r>
      <w:r>
        <w:rPr>
          <w:color w:val="231F20"/>
          <w:spacing w:val="-9"/>
        </w:rPr>
        <w:t xml:space="preserve"> </w:t>
      </w:r>
      <w:r>
        <w:rPr>
          <w:color w:val="231F20"/>
        </w:rPr>
        <w:t>the</w:t>
      </w:r>
      <w:r>
        <w:rPr>
          <w:color w:val="231F20"/>
          <w:spacing w:val="-9"/>
        </w:rPr>
        <w:t xml:space="preserve"> </w:t>
      </w:r>
      <w:r>
        <w:rPr>
          <w:color w:val="231F20"/>
        </w:rPr>
        <w:t>term</w:t>
      </w:r>
      <w:r>
        <w:rPr>
          <w:color w:val="231F20"/>
          <w:spacing w:val="-9"/>
        </w:rPr>
        <w:t xml:space="preserve"> </w:t>
      </w:r>
      <w:r>
        <w:rPr>
          <w:color w:val="231F20"/>
        </w:rPr>
        <w:t>‘sport</w:t>
      </w:r>
      <w:r>
        <w:rPr>
          <w:color w:val="231F20"/>
          <w:spacing w:val="-9"/>
        </w:rPr>
        <w:t xml:space="preserve"> </w:t>
      </w:r>
      <w:r>
        <w:rPr>
          <w:color w:val="231F20"/>
        </w:rPr>
        <w:t>tourism’</w:t>
      </w:r>
      <w:r>
        <w:rPr>
          <w:color w:val="231F20"/>
          <w:spacing w:val="-9"/>
        </w:rPr>
        <w:t xml:space="preserve"> </w:t>
      </w:r>
      <w:r>
        <w:rPr>
          <w:color w:val="231F20"/>
        </w:rPr>
        <w:t>in</w:t>
      </w:r>
      <w:r>
        <w:rPr>
          <w:color w:val="231F20"/>
          <w:spacing w:val="-9"/>
        </w:rPr>
        <w:t xml:space="preserve"> </w:t>
      </w:r>
      <w:r>
        <w:rPr>
          <w:color w:val="231F20"/>
        </w:rPr>
        <w:t>this</w:t>
      </w:r>
      <w:r>
        <w:rPr>
          <w:color w:val="231F20"/>
          <w:spacing w:val="-9"/>
        </w:rPr>
        <w:t xml:space="preserve"> </w:t>
      </w:r>
      <w:r>
        <w:rPr>
          <w:color w:val="231F20"/>
        </w:rPr>
        <w:t>book.</w:t>
      </w:r>
      <w:r>
        <w:rPr>
          <w:color w:val="231F20"/>
          <w:spacing w:val="-9"/>
        </w:rPr>
        <w:t xml:space="preserve"> </w:t>
      </w:r>
      <w:r>
        <w:rPr>
          <w:color w:val="231F20"/>
        </w:rPr>
        <w:t>Most</w:t>
      </w:r>
      <w:r>
        <w:rPr>
          <w:color w:val="231F20"/>
          <w:spacing w:val="-9"/>
        </w:rPr>
        <w:t xml:space="preserve"> </w:t>
      </w:r>
      <w:r>
        <w:rPr>
          <w:color w:val="231F20"/>
        </w:rPr>
        <w:t>definitions encompass</w:t>
      </w:r>
      <w:r>
        <w:rPr>
          <w:color w:val="231F20"/>
          <w:spacing w:val="-7"/>
        </w:rPr>
        <w:t xml:space="preserve"> </w:t>
      </w:r>
      <w:r>
        <w:rPr>
          <w:color w:val="231F20"/>
        </w:rPr>
        <w:t>spectators</w:t>
      </w:r>
      <w:r>
        <w:rPr>
          <w:color w:val="231F20"/>
          <w:spacing w:val="-7"/>
        </w:rPr>
        <w:t xml:space="preserve"> </w:t>
      </w:r>
      <w:r>
        <w:rPr>
          <w:color w:val="231F20"/>
        </w:rPr>
        <w:t>as</w:t>
      </w:r>
      <w:r>
        <w:rPr>
          <w:color w:val="231F20"/>
          <w:spacing w:val="-7"/>
        </w:rPr>
        <w:t xml:space="preserve"> </w:t>
      </w:r>
      <w:r>
        <w:rPr>
          <w:color w:val="231F20"/>
        </w:rPr>
        <w:t>well</w:t>
      </w:r>
      <w:r>
        <w:rPr>
          <w:color w:val="231F20"/>
          <w:spacing w:val="-7"/>
        </w:rPr>
        <w:t xml:space="preserve"> </w:t>
      </w:r>
      <w:r>
        <w:rPr>
          <w:color w:val="231F20"/>
        </w:rPr>
        <w:t>as</w:t>
      </w:r>
      <w:r>
        <w:rPr>
          <w:color w:val="231F20"/>
          <w:spacing w:val="-7"/>
        </w:rPr>
        <w:t xml:space="preserve"> </w:t>
      </w:r>
      <w:r>
        <w:rPr>
          <w:color w:val="231F20"/>
        </w:rPr>
        <w:t>athletes</w:t>
      </w:r>
      <w:r>
        <w:rPr>
          <w:color w:val="231F20"/>
          <w:spacing w:val="-7"/>
        </w:rPr>
        <w:t xml:space="preserve"> </w:t>
      </w:r>
      <w:r>
        <w:rPr>
          <w:color w:val="231F20"/>
        </w:rPr>
        <w:t>and</w:t>
      </w:r>
      <w:r>
        <w:rPr>
          <w:color w:val="231F20"/>
          <w:spacing w:val="-7"/>
        </w:rPr>
        <w:t xml:space="preserve"> </w:t>
      </w:r>
      <w:r>
        <w:rPr>
          <w:color w:val="231F20"/>
        </w:rPr>
        <w:t>recreational</w:t>
      </w:r>
      <w:r>
        <w:rPr>
          <w:color w:val="231F20"/>
          <w:spacing w:val="-7"/>
        </w:rPr>
        <w:t xml:space="preserve"> </w:t>
      </w:r>
      <w:r>
        <w:rPr>
          <w:color w:val="231F20"/>
        </w:rPr>
        <w:t>as</w:t>
      </w:r>
      <w:r>
        <w:rPr>
          <w:color w:val="231F20"/>
          <w:spacing w:val="-7"/>
        </w:rPr>
        <w:t xml:space="preserve"> </w:t>
      </w:r>
      <w:r>
        <w:rPr>
          <w:color w:val="231F20"/>
        </w:rPr>
        <w:t>well</w:t>
      </w:r>
      <w:r>
        <w:rPr>
          <w:color w:val="231F20"/>
          <w:spacing w:val="-7"/>
        </w:rPr>
        <w:t xml:space="preserve"> </w:t>
      </w:r>
      <w:r>
        <w:rPr>
          <w:color w:val="231F20"/>
        </w:rPr>
        <w:t>as</w:t>
      </w:r>
      <w:r>
        <w:rPr>
          <w:color w:val="231F20"/>
          <w:spacing w:val="-7"/>
        </w:rPr>
        <w:t xml:space="preserve"> </w:t>
      </w:r>
      <w:r>
        <w:rPr>
          <w:color w:val="231F20"/>
        </w:rPr>
        <w:t>elite competitors (Gibson, 1998a; Standeven &amp;</w:t>
      </w:r>
      <w:r>
        <w:rPr>
          <w:color w:val="231F20"/>
        </w:rPr>
        <w:t xml:space="preserve"> De Knop, 1999; Weed, 2009). They</w:t>
      </w:r>
      <w:r>
        <w:rPr>
          <w:color w:val="231F20"/>
          <w:spacing w:val="-1"/>
        </w:rPr>
        <w:t xml:space="preserve"> </w:t>
      </w:r>
      <w:r>
        <w:rPr>
          <w:color w:val="231F20"/>
        </w:rPr>
        <w:t>also</w:t>
      </w:r>
      <w:r>
        <w:rPr>
          <w:color w:val="231F20"/>
          <w:spacing w:val="-1"/>
        </w:rPr>
        <w:t xml:space="preserve"> </w:t>
      </w:r>
      <w:r>
        <w:rPr>
          <w:color w:val="231F20"/>
        </w:rPr>
        <w:t>tend</w:t>
      </w:r>
      <w:r>
        <w:rPr>
          <w:color w:val="231F20"/>
          <w:spacing w:val="-1"/>
        </w:rPr>
        <w:t xml:space="preserve"> </w:t>
      </w:r>
      <w:r>
        <w:rPr>
          <w:color w:val="231F20"/>
        </w:rPr>
        <w:t>to</w:t>
      </w:r>
      <w:r>
        <w:rPr>
          <w:color w:val="231F20"/>
          <w:spacing w:val="-1"/>
        </w:rPr>
        <w:t xml:space="preserve"> </w:t>
      </w:r>
      <w:r>
        <w:rPr>
          <w:color w:val="231F20"/>
        </w:rPr>
        <w:t>include</w:t>
      </w:r>
      <w:r>
        <w:rPr>
          <w:color w:val="231F20"/>
          <w:spacing w:val="-1"/>
        </w:rPr>
        <w:t xml:space="preserve"> </w:t>
      </w:r>
      <w:r>
        <w:rPr>
          <w:color w:val="231F20"/>
        </w:rPr>
        <w:t>explicit</w:t>
      </w:r>
      <w:r>
        <w:rPr>
          <w:color w:val="231F20"/>
          <w:spacing w:val="-1"/>
        </w:rPr>
        <w:t xml:space="preserve"> </w:t>
      </w:r>
      <w:r>
        <w:rPr>
          <w:color w:val="231F20"/>
        </w:rPr>
        <w:t>requirements</w:t>
      </w:r>
      <w:r>
        <w:rPr>
          <w:color w:val="231F20"/>
          <w:spacing w:val="-1"/>
        </w:rPr>
        <w:t xml:space="preserve"> </w:t>
      </w:r>
      <w:r>
        <w:rPr>
          <w:color w:val="231F20"/>
        </w:rPr>
        <w:t>for</w:t>
      </w:r>
      <w:r>
        <w:rPr>
          <w:color w:val="231F20"/>
          <w:spacing w:val="-1"/>
        </w:rPr>
        <w:t xml:space="preserve"> </w:t>
      </w:r>
      <w:r>
        <w:rPr>
          <w:color w:val="231F20"/>
        </w:rPr>
        <w:t>travel</w:t>
      </w:r>
      <w:r>
        <w:rPr>
          <w:color w:val="231F20"/>
          <w:spacing w:val="-1"/>
        </w:rPr>
        <w:t xml:space="preserve"> </w:t>
      </w:r>
      <w:r>
        <w:rPr>
          <w:color w:val="231F20"/>
        </w:rPr>
        <w:t>away</w:t>
      </w:r>
      <w:r>
        <w:rPr>
          <w:color w:val="231F20"/>
          <w:spacing w:val="-1"/>
        </w:rPr>
        <w:t xml:space="preserve"> </w:t>
      </w:r>
      <w:r>
        <w:rPr>
          <w:color w:val="231F20"/>
        </w:rPr>
        <w:t>from</w:t>
      </w:r>
      <w:r>
        <w:rPr>
          <w:color w:val="231F20"/>
          <w:spacing w:val="-1"/>
        </w:rPr>
        <w:t xml:space="preserve"> </w:t>
      </w:r>
      <w:r>
        <w:rPr>
          <w:color w:val="231F20"/>
        </w:rPr>
        <w:t xml:space="preserve">the </w:t>
      </w:r>
      <w:r>
        <w:rPr>
          <w:color w:val="231F20"/>
          <w:w w:val="95"/>
        </w:rPr>
        <w:t>home environment along with at least an implicit temporal dimension that suggests that the trip is temporary and that the traveller will return home within a designated time, although Higham and Hinch (2009) highlighted variations of the typical short-term</w:t>
      </w:r>
      <w:r>
        <w:rPr>
          <w:color w:val="231F20"/>
          <w:w w:val="95"/>
        </w:rPr>
        <w:t xml:space="preserve"> travel focus such as that characterised by temporary sport migrants. Somewhat surprisingly, the major limitation </w:t>
      </w:r>
      <w:r>
        <w:rPr>
          <w:color w:val="231F20"/>
        </w:rPr>
        <w:t>of many definitions is that they are not clear on what constitutes sport. This is understandable given the differing social constructions of s</w:t>
      </w:r>
      <w:r>
        <w:rPr>
          <w:color w:val="231F20"/>
        </w:rPr>
        <w:t>port throughout the world, but it is also problematic when one is trying to understand</w:t>
      </w:r>
      <w:r>
        <w:rPr>
          <w:color w:val="231F20"/>
          <w:spacing w:val="-1"/>
        </w:rPr>
        <w:t xml:space="preserve"> </w:t>
      </w:r>
      <w:r>
        <w:rPr>
          <w:color w:val="231F20"/>
        </w:rPr>
        <w:t>the</w:t>
      </w:r>
      <w:r>
        <w:rPr>
          <w:color w:val="231F20"/>
          <w:spacing w:val="-1"/>
        </w:rPr>
        <w:t xml:space="preserve"> </w:t>
      </w:r>
      <w:r>
        <w:rPr>
          <w:color w:val="231F20"/>
        </w:rPr>
        <w:t>scope</w:t>
      </w:r>
      <w:r>
        <w:rPr>
          <w:color w:val="231F20"/>
          <w:spacing w:val="-1"/>
        </w:rPr>
        <w:t xml:space="preserve"> </w:t>
      </w:r>
      <w:r>
        <w:rPr>
          <w:color w:val="231F20"/>
        </w:rPr>
        <w:t>of</w:t>
      </w:r>
      <w:r>
        <w:rPr>
          <w:color w:val="231F20"/>
          <w:spacing w:val="-1"/>
        </w:rPr>
        <w:t xml:space="preserve"> </w:t>
      </w:r>
      <w:r>
        <w:rPr>
          <w:color w:val="231F20"/>
        </w:rPr>
        <w:t>sport</w:t>
      </w:r>
      <w:r>
        <w:rPr>
          <w:color w:val="231F20"/>
          <w:spacing w:val="-1"/>
        </w:rPr>
        <w:t xml:space="preserve"> </w:t>
      </w:r>
      <w:r>
        <w:rPr>
          <w:color w:val="231F20"/>
        </w:rPr>
        <w:t>tourism</w:t>
      </w:r>
      <w:r>
        <w:rPr>
          <w:color w:val="231F20"/>
          <w:spacing w:val="-1"/>
        </w:rPr>
        <w:t xml:space="preserve"> </w:t>
      </w:r>
      <w:r>
        <w:rPr>
          <w:color w:val="231F20"/>
        </w:rPr>
        <w:t>development.</w:t>
      </w:r>
    </w:p>
    <w:p w14:paraId="0BA45F99" w14:textId="77777777" w:rsidR="00AE0598" w:rsidRDefault="0069255A">
      <w:pPr>
        <w:pStyle w:val="Corpodetexto"/>
        <w:spacing w:before="25" w:line="232" w:lineRule="auto"/>
        <w:ind w:left="110" w:right="107" w:firstLine="320"/>
        <w:jc w:val="both"/>
      </w:pPr>
      <w:r>
        <w:rPr>
          <w:color w:val="231F20"/>
        </w:rPr>
        <w:t xml:space="preserve">Weed and Bull (2003, 2009) consciously break the pattern of </w:t>
      </w:r>
      <w:r>
        <w:rPr>
          <w:color w:val="231F20"/>
          <w:w w:val="95"/>
        </w:rPr>
        <w:t xml:space="preserve">conceptualising ‘sports tourism’ based on the existing parameters of </w:t>
      </w:r>
      <w:r>
        <w:rPr>
          <w:color w:val="231F20"/>
          <w:w w:val="95"/>
        </w:rPr>
        <w:t>sport</w:t>
      </w:r>
    </w:p>
    <w:p w14:paraId="3BF4203D" w14:textId="77777777" w:rsidR="00AE0598" w:rsidRDefault="00AE0598">
      <w:pPr>
        <w:spacing w:line="232" w:lineRule="auto"/>
        <w:jc w:val="both"/>
        <w:sectPr w:rsidR="00AE0598">
          <w:pgSz w:w="8850" w:h="13270"/>
          <w:pgMar w:top="720" w:right="1080" w:bottom="280" w:left="1080" w:header="720" w:footer="720" w:gutter="0"/>
          <w:cols w:space="720"/>
        </w:sectPr>
      </w:pPr>
    </w:p>
    <w:p w14:paraId="1F858BB8" w14:textId="77777777" w:rsidR="00AE0598" w:rsidRDefault="0069255A">
      <w:pPr>
        <w:spacing w:before="87"/>
        <w:ind w:right="108"/>
        <w:jc w:val="right"/>
        <w:rPr>
          <w:rFonts w:ascii="Trebuchet MS"/>
          <w:sz w:val="14"/>
        </w:rPr>
      </w:pPr>
      <w:r>
        <w:rPr>
          <w:rFonts w:ascii="Trebuchet MS"/>
          <w:color w:val="231F20"/>
          <w:w w:val="105"/>
          <w:sz w:val="14"/>
        </w:rPr>
        <w:lastRenderedPageBreak/>
        <w:t>The</w:t>
      </w:r>
      <w:r>
        <w:rPr>
          <w:rFonts w:ascii="Trebuchet MS"/>
          <w:color w:val="231F20"/>
          <w:spacing w:val="-9"/>
          <w:w w:val="105"/>
          <w:sz w:val="14"/>
        </w:rPr>
        <w:t xml:space="preserve"> </w:t>
      </w:r>
      <w:r>
        <w:rPr>
          <w:rFonts w:ascii="Trebuchet MS"/>
          <w:color w:val="231F20"/>
          <w:w w:val="105"/>
          <w:sz w:val="14"/>
        </w:rPr>
        <w:t>Study</w:t>
      </w:r>
      <w:r>
        <w:rPr>
          <w:rFonts w:ascii="Trebuchet MS"/>
          <w:color w:val="231F20"/>
          <w:spacing w:val="-8"/>
          <w:w w:val="105"/>
          <w:sz w:val="14"/>
        </w:rPr>
        <w:t xml:space="preserve"> </w:t>
      </w:r>
      <w:r>
        <w:rPr>
          <w:rFonts w:ascii="Trebuchet MS"/>
          <w:color w:val="231F20"/>
          <w:w w:val="105"/>
          <w:sz w:val="14"/>
        </w:rPr>
        <w:t>of</w:t>
      </w:r>
      <w:r>
        <w:rPr>
          <w:rFonts w:ascii="Trebuchet MS"/>
          <w:color w:val="231F20"/>
          <w:spacing w:val="-9"/>
          <w:w w:val="105"/>
          <w:sz w:val="14"/>
        </w:rPr>
        <w:t xml:space="preserve"> </w:t>
      </w:r>
      <w:r>
        <w:rPr>
          <w:rFonts w:ascii="Trebuchet MS"/>
          <w:color w:val="231F20"/>
          <w:w w:val="105"/>
          <w:sz w:val="14"/>
        </w:rPr>
        <w:t>Sport</w:t>
      </w:r>
      <w:r>
        <w:rPr>
          <w:rFonts w:ascii="Trebuchet MS"/>
          <w:color w:val="231F20"/>
          <w:spacing w:val="-8"/>
          <w:w w:val="105"/>
          <w:sz w:val="14"/>
        </w:rPr>
        <w:t xml:space="preserve"> </w:t>
      </w:r>
      <w:r>
        <w:rPr>
          <w:rFonts w:ascii="Trebuchet MS"/>
          <w:color w:val="231F20"/>
          <w:w w:val="105"/>
          <w:sz w:val="14"/>
        </w:rPr>
        <w:t>Tourism</w:t>
      </w:r>
      <w:r>
        <w:rPr>
          <w:rFonts w:ascii="Trebuchet MS"/>
          <w:color w:val="231F20"/>
          <w:spacing w:val="68"/>
          <w:w w:val="150"/>
          <w:sz w:val="14"/>
        </w:rPr>
        <w:t xml:space="preserve"> </w:t>
      </w:r>
      <w:r>
        <w:rPr>
          <w:rFonts w:ascii="Trebuchet MS"/>
          <w:color w:val="231F20"/>
          <w:spacing w:val="-5"/>
          <w:w w:val="105"/>
          <w:sz w:val="14"/>
        </w:rPr>
        <w:t>23</w:t>
      </w:r>
    </w:p>
    <w:p w14:paraId="614DD73A" w14:textId="77777777" w:rsidR="00AE0598" w:rsidRDefault="00AE0598">
      <w:pPr>
        <w:pStyle w:val="Corpodetexto"/>
        <w:rPr>
          <w:rFonts w:ascii="Trebuchet MS"/>
          <w:sz w:val="16"/>
        </w:rPr>
      </w:pPr>
    </w:p>
    <w:p w14:paraId="0246AD8E" w14:textId="77777777" w:rsidR="00AE0598" w:rsidRDefault="0069255A">
      <w:pPr>
        <w:pStyle w:val="Corpodetexto"/>
        <w:spacing w:before="118" w:line="232" w:lineRule="auto"/>
        <w:ind w:left="110" w:right="106"/>
        <w:jc w:val="both"/>
      </w:pPr>
      <w:r>
        <w:rPr>
          <w:color w:val="231F20"/>
          <w:w w:val="95"/>
        </w:rPr>
        <w:t xml:space="preserve">or tourism with the rationale that sport tourism is a unique phenomenon. </w:t>
      </w:r>
      <w:r>
        <w:rPr>
          <w:color w:val="231F20"/>
        </w:rPr>
        <w:t>They see it as more than simply the sum of the separate entities of sport and tourism. Instead, they define it as a ‘social, economi</w:t>
      </w:r>
      <w:r>
        <w:rPr>
          <w:color w:val="231F20"/>
        </w:rPr>
        <w:t xml:space="preserve">c and cultural phenomenon arising from the unique interaction of activity, people and place’ (Weed &amp; Bull, 2003: 258). While it is agreed that sport tourism is </w:t>
      </w:r>
      <w:r>
        <w:rPr>
          <w:color w:val="231F20"/>
          <w:w w:val="95"/>
        </w:rPr>
        <w:t>more than the sum of its parts (e.g. see the underlying framework used in Higham and Hinch [2009</w:t>
      </w:r>
      <w:r>
        <w:rPr>
          <w:color w:val="231F20"/>
          <w:w w:val="95"/>
        </w:rPr>
        <w:t xml:space="preserve">]), the conceptualisation of sport tourism in this </w:t>
      </w:r>
      <w:r>
        <w:rPr>
          <w:color w:val="231F20"/>
        </w:rPr>
        <w:t xml:space="preserve">book has consciously combined the dominant parameters of sport and </w:t>
      </w:r>
      <w:r>
        <w:rPr>
          <w:color w:val="231F20"/>
          <w:w w:val="95"/>
        </w:rPr>
        <w:t xml:space="preserve">tourism. This approach is part of our own ‘social construction’ of the term </w:t>
      </w:r>
      <w:r>
        <w:rPr>
          <w:color w:val="231F20"/>
        </w:rPr>
        <w:t>reflecting backgrounds in tourism and a mindful attempt to art</w:t>
      </w:r>
      <w:r>
        <w:rPr>
          <w:color w:val="231F20"/>
        </w:rPr>
        <w:t>iculate our understanding of sport. Similarly, the term sport tourism rather than</w:t>
      </w:r>
      <w:r>
        <w:rPr>
          <w:color w:val="231F20"/>
          <w:spacing w:val="-3"/>
        </w:rPr>
        <w:t xml:space="preserve"> </w:t>
      </w:r>
      <w:r>
        <w:rPr>
          <w:color w:val="231F20"/>
        </w:rPr>
        <w:t>sports</w:t>
      </w:r>
      <w:r>
        <w:rPr>
          <w:color w:val="231F20"/>
          <w:spacing w:val="-3"/>
        </w:rPr>
        <w:t xml:space="preserve"> </w:t>
      </w:r>
      <w:r>
        <w:rPr>
          <w:color w:val="231F20"/>
        </w:rPr>
        <w:t>tourism</w:t>
      </w:r>
      <w:r>
        <w:rPr>
          <w:color w:val="231F20"/>
          <w:spacing w:val="-3"/>
        </w:rPr>
        <w:t xml:space="preserve"> </w:t>
      </w:r>
      <w:r>
        <w:rPr>
          <w:color w:val="231F20"/>
        </w:rPr>
        <w:t>is</w:t>
      </w:r>
      <w:r>
        <w:rPr>
          <w:color w:val="231F20"/>
          <w:spacing w:val="-3"/>
        </w:rPr>
        <w:t xml:space="preserve"> </w:t>
      </w:r>
      <w:r>
        <w:rPr>
          <w:color w:val="231F20"/>
        </w:rPr>
        <w:t>adopted</w:t>
      </w:r>
      <w:r>
        <w:rPr>
          <w:color w:val="231F20"/>
          <w:spacing w:val="-3"/>
        </w:rPr>
        <w:t xml:space="preserve"> </w:t>
      </w:r>
      <w:r>
        <w:rPr>
          <w:color w:val="231F20"/>
        </w:rPr>
        <w:t>not</w:t>
      </w:r>
      <w:r>
        <w:rPr>
          <w:color w:val="231F20"/>
          <w:spacing w:val="-3"/>
        </w:rPr>
        <w:t xml:space="preserve"> </w:t>
      </w:r>
      <w:r>
        <w:rPr>
          <w:color w:val="231F20"/>
        </w:rPr>
        <w:t>because</w:t>
      </w:r>
      <w:r>
        <w:rPr>
          <w:color w:val="231F20"/>
          <w:spacing w:val="-3"/>
        </w:rPr>
        <w:t xml:space="preserve"> </w:t>
      </w:r>
      <w:r>
        <w:rPr>
          <w:color w:val="231F20"/>
        </w:rPr>
        <w:t>the</w:t>
      </w:r>
      <w:r>
        <w:rPr>
          <w:color w:val="231F20"/>
          <w:spacing w:val="-3"/>
        </w:rPr>
        <w:t xml:space="preserve"> </w:t>
      </w:r>
      <w:r>
        <w:rPr>
          <w:color w:val="231F20"/>
        </w:rPr>
        <w:t>unique</w:t>
      </w:r>
      <w:r>
        <w:rPr>
          <w:color w:val="231F20"/>
          <w:spacing w:val="-3"/>
        </w:rPr>
        <w:t xml:space="preserve"> </w:t>
      </w:r>
      <w:r>
        <w:rPr>
          <w:color w:val="231F20"/>
        </w:rPr>
        <w:t>characteristics</w:t>
      </w:r>
      <w:r>
        <w:rPr>
          <w:color w:val="231F20"/>
          <w:spacing w:val="-3"/>
        </w:rPr>
        <w:t xml:space="preserve"> </w:t>
      </w:r>
      <w:r>
        <w:rPr>
          <w:color w:val="231F20"/>
        </w:rPr>
        <w:t xml:space="preserve">of individual sports are not appreciated but rather to reflect an emphasis on the common elements of sport as a social institution along with the </w:t>
      </w:r>
      <w:r>
        <w:rPr>
          <w:color w:val="231F20"/>
          <w:w w:val="95"/>
        </w:rPr>
        <w:t xml:space="preserve">characteristics that distinguish it from other types of tourism activity (see </w:t>
      </w:r>
      <w:r>
        <w:rPr>
          <w:color w:val="231F20"/>
        </w:rPr>
        <w:t>Gibson, 2002).</w:t>
      </w:r>
    </w:p>
    <w:p w14:paraId="6C7CE01F" w14:textId="77777777" w:rsidR="00AE0598" w:rsidRDefault="0069255A">
      <w:pPr>
        <w:spacing w:before="19" w:line="232" w:lineRule="auto"/>
        <w:ind w:left="110" w:right="107" w:firstLine="320"/>
        <w:jc w:val="both"/>
        <w:rPr>
          <w:sz w:val="21"/>
        </w:rPr>
      </w:pPr>
      <w:r>
        <w:rPr>
          <w:color w:val="231F20"/>
          <w:w w:val="95"/>
          <w:sz w:val="21"/>
        </w:rPr>
        <w:t xml:space="preserve">For the purposes </w:t>
      </w:r>
      <w:r>
        <w:rPr>
          <w:color w:val="231F20"/>
          <w:w w:val="95"/>
          <w:sz w:val="21"/>
        </w:rPr>
        <w:t>of</w:t>
      </w:r>
      <w:r>
        <w:rPr>
          <w:color w:val="231F20"/>
          <w:sz w:val="21"/>
        </w:rPr>
        <w:t xml:space="preserve"> </w:t>
      </w:r>
      <w:r>
        <w:rPr>
          <w:color w:val="231F20"/>
          <w:w w:val="95"/>
          <w:sz w:val="21"/>
        </w:rPr>
        <w:t xml:space="preserve">this book, sport tourism is therefore conceptualised </w:t>
      </w:r>
      <w:r>
        <w:rPr>
          <w:color w:val="231F20"/>
          <w:sz w:val="21"/>
        </w:rPr>
        <w:t xml:space="preserve">as </w:t>
      </w:r>
      <w:r>
        <w:rPr>
          <w:i/>
          <w:color w:val="231F20"/>
          <w:sz w:val="21"/>
        </w:rPr>
        <w:t xml:space="preserve">sport-based travel away from the home environment for a limited time where sport is characterised by unique rule sets, competition related to </w:t>
      </w:r>
      <w:r>
        <w:rPr>
          <w:i/>
          <w:color w:val="231F20"/>
          <w:w w:val="95"/>
          <w:sz w:val="21"/>
        </w:rPr>
        <w:t xml:space="preserve">physical prowess and play </w:t>
      </w:r>
      <w:r>
        <w:rPr>
          <w:color w:val="231F20"/>
          <w:w w:val="95"/>
          <w:sz w:val="21"/>
        </w:rPr>
        <w:t>(Hinch &amp; Higham, 2001). Sport</w:t>
      </w:r>
      <w:r>
        <w:rPr>
          <w:color w:val="231F20"/>
          <w:w w:val="95"/>
          <w:sz w:val="21"/>
        </w:rPr>
        <w:t xml:space="preserve"> is recognised as a </w:t>
      </w:r>
      <w:r>
        <w:rPr>
          <w:color w:val="231F20"/>
          <w:spacing w:val="-2"/>
          <w:w w:val="95"/>
          <w:sz w:val="21"/>
        </w:rPr>
        <w:t xml:space="preserve">significant travel activity whether it is a primary, secondary or even a tertiary </w:t>
      </w:r>
      <w:r>
        <w:rPr>
          <w:color w:val="231F20"/>
          <w:sz w:val="21"/>
        </w:rPr>
        <w:t>feature</w:t>
      </w:r>
      <w:r>
        <w:rPr>
          <w:color w:val="231F20"/>
          <w:spacing w:val="-12"/>
          <w:sz w:val="21"/>
        </w:rPr>
        <w:t xml:space="preserve"> </w:t>
      </w:r>
      <w:r>
        <w:rPr>
          <w:color w:val="231F20"/>
          <w:sz w:val="21"/>
        </w:rPr>
        <w:t>of</w:t>
      </w:r>
      <w:r>
        <w:rPr>
          <w:color w:val="231F20"/>
          <w:spacing w:val="-12"/>
          <w:sz w:val="21"/>
        </w:rPr>
        <w:t xml:space="preserve"> </w:t>
      </w:r>
      <w:r>
        <w:rPr>
          <w:color w:val="231F20"/>
          <w:sz w:val="21"/>
        </w:rPr>
        <w:t>the</w:t>
      </w:r>
      <w:r>
        <w:rPr>
          <w:color w:val="231F20"/>
          <w:spacing w:val="-11"/>
          <w:sz w:val="21"/>
        </w:rPr>
        <w:t xml:space="preserve"> </w:t>
      </w:r>
      <w:r>
        <w:rPr>
          <w:color w:val="231F20"/>
          <w:sz w:val="21"/>
        </w:rPr>
        <w:t>trip.</w:t>
      </w:r>
      <w:r>
        <w:rPr>
          <w:color w:val="231F20"/>
          <w:spacing w:val="-12"/>
          <w:sz w:val="21"/>
        </w:rPr>
        <w:t xml:space="preserve"> </w:t>
      </w:r>
      <w:r>
        <w:rPr>
          <w:color w:val="231F20"/>
          <w:sz w:val="21"/>
        </w:rPr>
        <w:t>It</w:t>
      </w:r>
      <w:r>
        <w:rPr>
          <w:color w:val="231F20"/>
          <w:spacing w:val="-11"/>
          <w:sz w:val="21"/>
        </w:rPr>
        <w:t xml:space="preserve"> </w:t>
      </w:r>
      <w:r>
        <w:rPr>
          <w:color w:val="231F20"/>
          <w:sz w:val="21"/>
        </w:rPr>
        <w:t>is</w:t>
      </w:r>
      <w:r>
        <w:rPr>
          <w:color w:val="231F20"/>
          <w:spacing w:val="-12"/>
          <w:sz w:val="21"/>
        </w:rPr>
        <w:t xml:space="preserve"> </w:t>
      </w:r>
      <w:r>
        <w:rPr>
          <w:color w:val="231F20"/>
          <w:sz w:val="21"/>
        </w:rPr>
        <w:t>seen</w:t>
      </w:r>
      <w:r>
        <w:rPr>
          <w:color w:val="231F20"/>
          <w:spacing w:val="-11"/>
          <w:sz w:val="21"/>
        </w:rPr>
        <w:t xml:space="preserve"> </w:t>
      </w:r>
      <w:r>
        <w:rPr>
          <w:color w:val="231F20"/>
          <w:sz w:val="21"/>
        </w:rPr>
        <w:t>to</w:t>
      </w:r>
      <w:r>
        <w:rPr>
          <w:color w:val="231F20"/>
          <w:spacing w:val="-12"/>
          <w:sz w:val="21"/>
        </w:rPr>
        <w:t xml:space="preserve"> </w:t>
      </w:r>
      <w:r>
        <w:rPr>
          <w:color w:val="231F20"/>
          <w:sz w:val="21"/>
        </w:rPr>
        <w:t>be</w:t>
      </w:r>
      <w:r>
        <w:rPr>
          <w:color w:val="231F20"/>
          <w:spacing w:val="-12"/>
          <w:sz w:val="21"/>
        </w:rPr>
        <w:t xml:space="preserve"> </w:t>
      </w:r>
      <w:r>
        <w:rPr>
          <w:color w:val="231F20"/>
          <w:sz w:val="21"/>
        </w:rPr>
        <w:t>an</w:t>
      </w:r>
      <w:r>
        <w:rPr>
          <w:color w:val="231F20"/>
          <w:spacing w:val="-11"/>
          <w:sz w:val="21"/>
        </w:rPr>
        <w:t xml:space="preserve"> </w:t>
      </w:r>
      <w:r>
        <w:rPr>
          <w:color w:val="231F20"/>
          <w:sz w:val="21"/>
        </w:rPr>
        <w:t>important</w:t>
      </w:r>
      <w:r>
        <w:rPr>
          <w:color w:val="231F20"/>
          <w:spacing w:val="-12"/>
          <w:sz w:val="21"/>
        </w:rPr>
        <w:t xml:space="preserve"> </w:t>
      </w:r>
      <w:r>
        <w:rPr>
          <w:color w:val="231F20"/>
          <w:sz w:val="21"/>
        </w:rPr>
        <w:t>factor</w:t>
      </w:r>
      <w:r>
        <w:rPr>
          <w:color w:val="231F20"/>
          <w:spacing w:val="-11"/>
          <w:sz w:val="21"/>
        </w:rPr>
        <w:t xml:space="preserve"> </w:t>
      </w:r>
      <w:r>
        <w:rPr>
          <w:color w:val="231F20"/>
          <w:sz w:val="21"/>
        </w:rPr>
        <w:t>in</w:t>
      </w:r>
      <w:r>
        <w:rPr>
          <w:color w:val="231F20"/>
          <w:spacing w:val="-12"/>
          <w:sz w:val="21"/>
        </w:rPr>
        <w:t xml:space="preserve"> </w:t>
      </w:r>
      <w:r>
        <w:rPr>
          <w:color w:val="231F20"/>
          <w:sz w:val="21"/>
        </w:rPr>
        <w:t>many</w:t>
      </w:r>
      <w:r>
        <w:rPr>
          <w:color w:val="231F20"/>
          <w:spacing w:val="-11"/>
          <w:sz w:val="21"/>
        </w:rPr>
        <w:t xml:space="preserve"> </w:t>
      </w:r>
      <w:r>
        <w:rPr>
          <w:color w:val="231F20"/>
          <w:sz w:val="21"/>
        </w:rPr>
        <w:t>decisions</w:t>
      </w:r>
      <w:r>
        <w:rPr>
          <w:color w:val="231F20"/>
          <w:spacing w:val="-12"/>
          <w:sz w:val="21"/>
        </w:rPr>
        <w:t xml:space="preserve"> </w:t>
      </w:r>
      <w:r>
        <w:rPr>
          <w:color w:val="231F20"/>
          <w:sz w:val="21"/>
        </w:rPr>
        <w:t xml:space="preserve">to </w:t>
      </w:r>
      <w:r>
        <w:rPr>
          <w:color w:val="231F20"/>
          <w:w w:val="95"/>
          <w:sz w:val="21"/>
        </w:rPr>
        <w:t>travel</w:t>
      </w:r>
      <w:r>
        <w:rPr>
          <w:color w:val="231F20"/>
          <w:spacing w:val="-7"/>
          <w:w w:val="95"/>
          <w:sz w:val="21"/>
        </w:rPr>
        <w:t xml:space="preserve"> </w:t>
      </w:r>
      <w:r>
        <w:rPr>
          <w:color w:val="231F20"/>
          <w:w w:val="95"/>
          <w:sz w:val="21"/>
        </w:rPr>
        <w:t>and</w:t>
      </w:r>
      <w:r>
        <w:rPr>
          <w:color w:val="231F20"/>
          <w:spacing w:val="-7"/>
          <w:w w:val="95"/>
          <w:sz w:val="21"/>
        </w:rPr>
        <w:t xml:space="preserve"> </w:t>
      </w:r>
      <w:r>
        <w:rPr>
          <w:color w:val="231F20"/>
          <w:w w:val="95"/>
          <w:sz w:val="21"/>
        </w:rPr>
        <w:t>one</w:t>
      </w:r>
      <w:r>
        <w:rPr>
          <w:color w:val="231F20"/>
          <w:spacing w:val="-7"/>
          <w:w w:val="95"/>
          <w:sz w:val="21"/>
        </w:rPr>
        <w:t xml:space="preserve"> </w:t>
      </w:r>
      <w:r>
        <w:rPr>
          <w:color w:val="231F20"/>
          <w:w w:val="95"/>
          <w:sz w:val="21"/>
        </w:rPr>
        <w:t>that</w:t>
      </w:r>
      <w:r>
        <w:rPr>
          <w:color w:val="231F20"/>
          <w:spacing w:val="-7"/>
          <w:w w:val="95"/>
          <w:sz w:val="21"/>
        </w:rPr>
        <w:t xml:space="preserve"> </w:t>
      </w:r>
      <w:r>
        <w:rPr>
          <w:color w:val="231F20"/>
          <w:w w:val="95"/>
          <w:sz w:val="21"/>
        </w:rPr>
        <w:t>may</w:t>
      </w:r>
      <w:r>
        <w:rPr>
          <w:color w:val="231F20"/>
          <w:spacing w:val="-7"/>
          <w:w w:val="95"/>
          <w:sz w:val="21"/>
        </w:rPr>
        <w:t xml:space="preserve"> </w:t>
      </w:r>
      <w:r>
        <w:rPr>
          <w:color w:val="231F20"/>
          <w:w w:val="95"/>
          <w:sz w:val="21"/>
        </w:rPr>
        <w:t>feature</w:t>
      </w:r>
      <w:r>
        <w:rPr>
          <w:color w:val="231F20"/>
          <w:spacing w:val="-7"/>
          <w:w w:val="95"/>
          <w:sz w:val="21"/>
        </w:rPr>
        <w:t xml:space="preserve"> </w:t>
      </w:r>
      <w:r>
        <w:rPr>
          <w:color w:val="231F20"/>
          <w:w w:val="95"/>
          <w:sz w:val="21"/>
        </w:rPr>
        <w:t>prominently</w:t>
      </w:r>
      <w:r>
        <w:rPr>
          <w:color w:val="231F20"/>
          <w:spacing w:val="-7"/>
          <w:w w:val="95"/>
          <w:sz w:val="21"/>
        </w:rPr>
        <w:t xml:space="preserve"> </w:t>
      </w:r>
      <w:r>
        <w:rPr>
          <w:color w:val="231F20"/>
          <w:w w:val="95"/>
          <w:sz w:val="21"/>
        </w:rPr>
        <w:t>in</w:t>
      </w:r>
      <w:r>
        <w:rPr>
          <w:color w:val="231F20"/>
          <w:spacing w:val="-7"/>
          <w:w w:val="95"/>
          <w:sz w:val="21"/>
        </w:rPr>
        <w:t xml:space="preserve"> </w:t>
      </w:r>
      <w:r>
        <w:rPr>
          <w:color w:val="231F20"/>
          <w:w w:val="95"/>
          <w:sz w:val="21"/>
        </w:rPr>
        <w:t>the</w:t>
      </w:r>
      <w:r>
        <w:rPr>
          <w:color w:val="231F20"/>
          <w:spacing w:val="-7"/>
          <w:w w:val="95"/>
          <w:sz w:val="21"/>
        </w:rPr>
        <w:t xml:space="preserve"> </w:t>
      </w:r>
      <w:r>
        <w:rPr>
          <w:color w:val="231F20"/>
          <w:w w:val="95"/>
          <w:sz w:val="21"/>
        </w:rPr>
        <w:t>travel</w:t>
      </w:r>
      <w:r>
        <w:rPr>
          <w:color w:val="231F20"/>
          <w:spacing w:val="-7"/>
          <w:w w:val="95"/>
          <w:sz w:val="21"/>
        </w:rPr>
        <w:t xml:space="preserve"> </w:t>
      </w:r>
      <w:r>
        <w:rPr>
          <w:color w:val="231F20"/>
          <w:w w:val="95"/>
          <w:sz w:val="21"/>
        </w:rPr>
        <w:t>experience</w:t>
      </w:r>
      <w:r>
        <w:rPr>
          <w:color w:val="231F20"/>
          <w:spacing w:val="-7"/>
          <w:w w:val="95"/>
          <w:sz w:val="21"/>
        </w:rPr>
        <w:t xml:space="preserve"> </w:t>
      </w:r>
      <w:r>
        <w:rPr>
          <w:color w:val="231F20"/>
          <w:w w:val="95"/>
          <w:sz w:val="21"/>
        </w:rPr>
        <w:t>and</w:t>
      </w:r>
      <w:r>
        <w:rPr>
          <w:color w:val="231F20"/>
          <w:spacing w:val="-7"/>
          <w:w w:val="95"/>
          <w:sz w:val="21"/>
        </w:rPr>
        <w:t xml:space="preserve"> </w:t>
      </w:r>
      <w:r>
        <w:rPr>
          <w:color w:val="231F20"/>
          <w:w w:val="95"/>
          <w:sz w:val="21"/>
        </w:rPr>
        <w:t xml:space="preserve">the </w:t>
      </w:r>
      <w:r>
        <w:rPr>
          <w:color w:val="231F20"/>
          <w:spacing w:val="-2"/>
          <w:sz w:val="21"/>
        </w:rPr>
        <w:t>assessment</w:t>
      </w:r>
      <w:r>
        <w:rPr>
          <w:color w:val="231F20"/>
          <w:spacing w:val="-6"/>
          <w:sz w:val="21"/>
        </w:rPr>
        <w:t xml:space="preserve"> </w:t>
      </w:r>
      <w:r>
        <w:rPr>
          <w:color w:val="231F20"/>
          <w:spacing w:val="-2"/>
          <w:sz w:val="21"/>
        </w:rPr>
        <w:t>of the</w:t>
      </w:r>
      <w:r>
        <w:rPr>
          <w:color w:val="231F20"/>
          <w:spacing w:val="-6"/>
          <w:sz w:val="21"/>
        </w:rPr>
        <w:t xml:space="preserve"> </w:t>
      </w:r>
      <w:r>
        <w:rPr>
          <w:color w:val="231F20"/>
          <w:spacing w:val="-2"/>
          <w:sz w:val="21"/>
        </w:rPr>
        <w:t>experience.</w:t>
      </w:r>
      <w:r>
        <w:rPr>
          <w:color w:val="231F20"/>
          <w:spacing w:val="-6"/>
          <w:sz w:val="21"/>
        </w:rPr>
        <w:t xml:space="preserve"> </w:t>
      </w:r>
      <w:r>
        <w:rPr>
          <w:color w:val="231F20"/>
          <w:spacing w:val="-2"/>
          <w:sz w:val="21"/>
        </w:rPr>
        <w:t>This</w:t>
      </w:r>
      <w:r>
        <w:rPr>
          <w:color w:val="231F20"/>
          <w:spacing w:val="-6"/>
          <w:sz w:val="21"/>
        </w:rPr>
        <w:t xml:space="preserve"> </w:t>
      </w:r>
      <w:r>
        <w:rPr>
          <w:color w:val="231F20"/>
          <w:spacing w:val="-2"/>
          <w:sz w:val="21"/>
        </w:rPr>
        <w:t>perspective</w:t>
      </w:r>
      <w:r>
        <w:rPr>
          <w:color w:val="231F20"/>
          <w:spacing w:val="-6"/>
          <w:sz w:val="21"/>
        </w:rPr>
        <w:t xml:space="preserve"> </w:t>
      </w:r>
      <w:r>
        <w:rPr>
          <w:color w:val="231F20"/>
          <w:spacing w:val="-2"/>
          <w:sz w:val="21"/>
        </w:rPr>
        <w:t>enables</w:t>
      </w:r>
      <w:r>
        <w:rPr>
          <w:color w:val="231F20"/>
          <w:spacing w:val="-6"/>
          <w:sz w:val="21"/>
        </w:rPr>
        <w:t xml:space="preserve"> </w:t>
      </w:r>
      <w:r>
        <w:rPr>
          <w:color w:val="231F20"/>
          <w:spacing w:val="-2"/>
          <w:sz w:val="21"/>
        </w:rPr>
        <w:t>the</w:t>
      </w:r>
      <w:r>
        <w:rPr>
          <w:color w:val="231F20"/>
          <w:spacing w:val="-6"/>
          <w:sz w:val="21"/>
        </w:rPr>
        <w:t xml:space="preserve"> </w:t>
      </w:r>
      <w:r>
        <w:rPr>
          <w:color w:val="231F20"/>
          <w:spacing w:val="-2"/>
          <w:sz w:val="21"/>
        </w:rPr>
        <w:t>adoption</w:t>
      </w:r>
      <w:r>
        <w:rPr>
          <w:color w:val="231F20"/>
          <w:spacing w:val="-6"/>
          <w:sz w:val="21"/>
        </w:rPr>
        <w:t xml:space="preserve"> </w:t>
      </w:r>
      <w:r>
        <w:rPr>
          <w:color w:val="231F20"/>
          <w:spacing w:val="-2"/>
          <w:sz w:val="21"/>
        </w:rPr>
        <w:t xml:space="preserve">of an </w:t>
      </w:r>
      <w:r>
        <w:rPr>
          <w:color w:val="231F20"/>
          <w:sz w:val="21"/>
        </w:rPr>
        <w:t>approach</w:t>
      </w:r>
      <w:r>
        <w:rPr>
          <w:color w:val="231F20"/>
          <w:spacing w:val="-5"/>
          <w:sz w:val="21"/>
        </w:rPr>
        <w:t xml:space="preserve"> </w:t>
      </w:r>
      <w:r>
        <w:rPr>
          <w:color w:val="231F20"/>
          <w:sz w:val="21"/>
        </w:rPr>
        <w:t>in</w:t>
      </w:r>
      <w:r>
        <w:rPr>
          <w:color w:val="231F20"/>
          <w:spacing w:val="-5"/>
          <w:sz w:val="21"/>
        </w:rPr>
        <w:t xml:space="preserve"> </w:t>
      </w:r>
      <w:r>
        <w:rPr>
          <w:color w:val="231F20"/>
          <w:sz w:val="21"/>
        </w:rPr>
        <w:t>which</w:t>
      </w:r>
      <w:r>
        <w:rPr>
          <w:color w:val="231F20"/>
          <w:spacing w:val="-5"/>
          <w:sz w:val="21"/>
        </w:rPr>
        <w:t xml:space="preserve"> </w:t>
      </w:r>
      <w:r>
        <w:rPr>
          <w:color w:val="231F20"/>
          <w:sz w:val="21"/>
        </w:rPr>
        <w:t>sport</w:t>
      </w:r>
      <w:r>
        <w:rPr>
          <w:color w:val="231F20"/>
          <w:spacing w:val="-5"/>
          <w:sz w:val="21"/>
        </w:rPr>
        <w:t xml:space="preserve"> </w:t>
      </w:r>
      <w:r>
        <w:rPr>
          <w:color w:val="231F20"/>
          <w:sz w:val="21"/>
        </w:rPr>
        <w:t>is</w:t>
      </w:r>
      <w:r>
        <w:rPr>
          <w:color w:val="231F20"/>
          <w:spacing w:val="-5"/>
          <w:sz w:val="21"/>
        </w:rPr>
        <w:t xml:space="preserve"> </w:t>
      </w:r>
      <w:r>
        <w:rPr>
          <w:color w:val="231F20"/>
          <w:sz w:val="21"/>
        </w:rPr>
        <w:t>seen</w:t>
      </w:r>
      <w:r>
        <w:rPr>
          <w:color w:val="231F20"/>
          <w:spacing w:val="-5"/>
          <w:sz w:val="21"/>
        </w:rPr>
        <w:t xml:space="preserve"> </w:t>
      </w:r>
      <w:r>
        <w:rPr>
          <w:color w:val="231F20"/>
          <w:sz w:val="21"/>
        </w:rPr>
        <w:t>as</w:t>
      </w:r>
      <w:r>
        <w:rPr>
          <w:color w:val="231F20"/>
          <w:spacing w:val="-5"/>
          <w:sz w:val="21"/>
        </w:rPr>
        <w:t xml:space="preserve"> </w:t>
      </w:r>
      <w:r>
        <w:rPr>
          <w:color w:val="231F20"/>
          <w:sz w:val="21"/>
        </w:rPr>
        <w:t>a</w:t>
      </w:r>
      <w:r>
        <w:rPr>
          <w:color w:val="231F20"/>
          <w:spacing w:val="-5"/>
          <w:sz w:val="21"/>
        </w:rPr>
        <w:t xml:space="preserve"> </w:t>
      </w:r>
      <w:r>
        <w:rPr>
          <w:color w:val="231F20"/>
          <w:sz w:val="21"/>
        </w:rPr>
        <w:t>tourist</w:t>
      </w:r>
      <w:r>
        <w:rPr>
          <w:color w:val="231F20"/>
          <w:spacing w:val="-5"/>
          <w:sz w:val="21"/>
        </w:rPr>
        <w:t xml:space="preserve"> </w:t>
      </w:r>
      <w:r>
        <w:rPr>
          <w:color w:val="231F20"/>
          <w:sz w:val="21"/>
        </w:rPr>
        <w:t>attraction.</w:t>
      </w:r>
    </w:p>
    <w:p w14:paraId="0DAF06AB" w14:textId="77777777" w:rsidR="00AE0598" w:rsidRDefault="00AE0598">
      <w:pPr>
        <w:pStyle w:val="Corpodetexto"/>
        <w:spacing w:before="10"/>
      </w:pPr>
    </w:p>
    <w:p w14:paraId="0E9F8CD7" w14:textId="77777777" w:rsidR="00AE0598" w:rsidRDefault="0069255A">
      <w:pPr>
        <w:ind w:left="110"/>
        <w:jc w:val="both"/>
        <w:rPr>
          <w:rFonts w:ascii="Trebuchet MS"/>
          <w:b/>
          <w:sz w:val="20"/>
        </w:rPr>
      </w:pPr>
      <w:r>
        <w:rPr>
          <w:rFonts w:ascii="Trebuchet MS"/>
          <w:b/>
          <w:color w:val="231F20"/>
          <w:sz w:val="20"/>
        </w:rPr>
        <w:t>Conceptualising</w:t>
      </w:r>
      <w:r>
        <w:rPr>
          <w:rFonts w:ascii="Trebuchet MS"/>
          <w:b/>
          <w:color w:val="231F20"/>
          <w:spacing w:val="1"/>
          <w:sz w:val="20"/>
        </w:rPr>
        <w:t xml:space="preserve"> </w:t>
      </w:r>
      <w:r>
        <w:rPr>
          <w:rFonts w:ascii="Trebuchet MS"/>
          <w:b/>
          <w:color w:val="231F20"/>
          <w:sz w:val="20"/>
        </w:rPr>
        <w:t>Sport</w:t>
      </w:r>
      <w:r>
        <w:rPr>
          <w:rFonts w:ascii="Trebuchet MS"/>
          <w:b/>
          <w:color w:val="231F20"/>
          <w:spacing w:val="2"/>
          <w:sz w:val="20"/>
        </w:rPr>
        <w:t xml:space="preserve"> </w:t>
      </w:r>
      <w:r>
        <w:rPr>
          <w:rFonts w:ascii="Trebuchet MS"/>
          <w:b/>
          <w:color w:val="231F20"/>
          <w:sz w:val="20"/>
        </w:rPr>
        <w:t>as</w:t>
      </w:r>
      <w:r>
        <w:rPr>
          <w:rFonts w:ascii="Trebuchet MS"/>
          <w:b/>
          <w:color w:val="231F20"/>
          <w:spacing w:val="2"/>
          <w:sz w:val="20"/>
        </w:rPr>
        <w:t xml:space="preserve"> </w:t>
      </w:r>
      <w:r>
        <w:rPr>
          <w:rFonts w:ascii="Trebuchet MS"/>
          <w:b/>
          <w:color w:val="231F20"/>
          <w:sz w:val="20"/>
        </w:rPr>
        <w:t>a</w:t>
      </w:r>
      <w:r>
        <w:rPr>
          <w:rFonts w:ascii="Trebuchet MS"/>
          <w:b/>
          <w:color w:val="231F20"/>
          <w:spacing w:val="2"/>
          <w:sz w:val="20"/>
        </w:rPr>
        <w:t xml:space="preserve"> </w:t>
      </w:r>
      <w:r>
        <w:rPr>
          <w:rFonts w:ascii="Trebuchet MS"/>
          <w:b/>
          <w:color w:val="231F20"/>
          <w:sz w:val="20"/>
        </w:rPr>
        <w:t>Tourist</w:t>
      </w:r>
      <w:r>
        <w:rPr>
          <w:rFonts w:ascii="Trebuchet MS"/>
          <w:b/>
          <w:color w:val="231F20"/>
          <w:spacing w:val="1"/>
          <w:sz w:val="20"/>
        </w:rPr>
        <w:t xml:space="preserve"> </w:t>
      </w:r>
      <w:r>
        <w:rPr>
          <w:rFonts w:ascii="Trebuchet MS"/>
          <w:b/>
          <w:color w:val="231F20"/>
          <w:spacing w:val="-2"/>
          <w:sz w:val="20"/>
        </w:rPr>
        <w:t>Attraction</w:t>
      </w:r>
    </w:p>
    <w:p w14:paraId="19EAC8DC" w14:textId="77777777" w:rsidR="00AE0598" w:rsidRDefault="0069255A">
      <w:pPr>
        <w:pStyle w:val="Corpodetexto"/>
        <w:spacing w:before="122" w:line="232" w:lineRule="auto"/>
        <w:ind w:left="110" w:right="104" w:firstLine="320"/>
        <w:jc w:val="both"/>
      </w:pPr>
      <w:r>
        <w:rPr>
          <w:color w:val="231F20"/>
        </w:rPr>
        <w:t>Green and Chalip (1998: 276) have noted that ‘from the stand point of</w:t>
      </w:r>
      <w:r>
        <w:rPr>
          <w:color w:val="231F20"/>
          <w:spacing w:val="-7"/>
        </w:rPr>
        <w:t xml:space="preserve"> </w:t>
      </w:r>
      <w:r>
        <w:rPr>
          <w:color w:val="231F20"/>
        </w:rPr>
        <w:t>theory,</w:t>
      </w:r>
      <w:r>
        <w:rPr>
          <w:color w:val="231F20"/>
          <w:spacing w:val="-7"/>
        </w:rPr>
        <w:t xml:space="preserve"> </w:t>
      </w:r>
      <w:r>
        <w:rPr>
          <w:color w:val="231F20"/>
        </w:rPr>
        <w:t>it</w:t>
      </w:r>
      <w:r>
        <w:rPr>
          <w:color w:val="231F20"/>
          <w:spacing w:val="-7"/>
        </w:rPr>
        <w:t xml:space="preserve"> </w:t>
      </w:r>
      <w:r>
        <w:rPr>
          <w:color w:val="231F20"/>
        </w:rPr>
        <w:t>is</w:t>
      </w:r>
      <w:r>
        <w:rPr>
          <w:color w:val="231F20"/>
          <w:spacing w:val="-7"/>
        </w:rPr>
        <w:t xml:space="preserve"> </w:t>
      </w:r>
      <w:r>
        <w:rPr>
          <w:color w:val="231F20"/>
        </w:rPr>
        <w:t>necessary</w:t>
      </w:r>
      <w:r>
        <w:rPr>
          <w:color w:val="231F20"/>
          <w:spacing w:val="-7"/>
        </w:rPr>
        <w:t xml:space="preserve"> </w:t>
      </w:r>
      <w:r>
        <w:rPr>
          <w:color w:val="231F20"/>
        </w:rPr>
        <w:t>to</w:t>
      </w:r>
      <w:r>
        <w:rPr>
          <w:color w:val="231F20"/>
          <w:spacing w:val="-7"/>
        </w:rPr>
        <w:t xml:space="preserve"> </w:t>
      </w:r>
      <w:r>
        <w:rPr>
          <w:color w:val="231F20"/>
        </w:rPr>
        <w:t>understand</w:t>
      </w:r>
      <w:r>
        <w:rPr>
          <w:color w:val="231F20"/>
          <w:spacing w:val="-7"/>
        </w:rPr>
        <w:t xml:space="preserve"> </w:t>
      </w:r>
      <w:r>
        <w:rPr>
          <w:color w:val="231F20"/>
        </w:rPr>
        <w:t>what</w:t>
      </w:r>
      <w:r>
        <w:rPr>
          <w:color w:val="231F20"/>
          <w:spacing w:val="-7"/>
        </w:rPr>
        <w:t xml:space="preserve"> </w:t>
      </w:r>
      <w:r>
        <w:rPr>
          <w:color w:val="231F20"/>
        </w:rPr>
        <w:t>sport</w:t>
      </w:r>
      <w:r>
        <w:rPr>
          <w:color w:val="231F20"/>
          <w:spacing w:val="-7"/>
        </w:rPr>
        <w:t xml:space="preserve"> </w:t>
      </w:r>
      <w:r>
        <w:rPr>
          <w:color w:val="231F20"/>
        </w:rPr>
        <w:t>shares</w:t>
      </w:r>
      <w:r>
        <w:rPr>
          <w:color w:val="231F20"/>
          <w:spacing w:val="-7"/>
        </w:rPr>
        <w:t xml:space="preserve"> </w:t>
      </w:r>
      <w:r>
        <w:rPr>
          <w:color w:val="231F20"/>
        </w:rPr>
        <w:t>with,</w:t>
      </w:r>
      <w:r>
        <w:rPr>
          <w:color w:val="231F20"/>
          <w:spacing w:val="-7"/>
        </w:rPr>
        <w:t xml:space="preserve"> </w:t>
      </w:r>
      <w:r>
        <w:rPr>
          <w:color w:val="231F20"/>
        </w:rPr>
        <w:t>and</w:t>
      </w:r>
      <w:r>
        <w:rPr>
          <w:color w:val="231F20"/>
          <w:spacing w:val="-7"/>
        </w:rPr>
        <w:t xml:space="preserve"> </w:t>
      </w:r>
      <w:r>
        <w:rPr>
          <w:color w:val="231F20"/>
        </w:rPr>
        <w:t>what distinguishes it from other touristic activities’. It is our contention that sport</w:t>
      </w:r>
      <w:r>
        <w:rPr>
          <w:color w:val="231F20"/>
          <w:spacing w:val="-1"/>
        </w:rPr>
        <w:t xml:space="preserve"> </w:t>
      </w:r>
      <w:r>
        <w:rPr>
          <w:color w:val="231F20"/>
        </w:rPr>
        <w:t>tourism</w:t>
      </w:r>
      <w:r>
        <w:rPr>
          <w:color w:val="231F20"/>
          <w:spacing w:val="-1"/>
        </w:rPr>
        <w:t xml:space="preserve"> </w:t>
      </w:r>
      <w:r>
        <w:rPr>
          <w:color w:val="231F20"/>
        </w:rPr>
        <w:t>attractions</w:t>
      </w:r>
      <w:r>
        <w:rPr>
          <w:color w:val="231F20"/>
          <w:spacing w:val="-1"/>
        </w:rPr>
        <w:t xml:space="preserve"> </w:t>
      </w:r>
      <w:r>
        <w:rPr>
          <w:color w:val="231F20"/>
        </w:rPr>
        <w:t>are</w:t>
      </w:r>
      <w:r>
        <w:rPr>
          <w:color w:val="231F20"/>
          <w:spacing w:val="-1"/>
        </w:rPr>
        <w:t xml:space="preserve"> </w:t>
      </w:r>
      <w:r>
        <w:rPr>
          <w:color w:val="231F20"/>
        </w:rPr>
        <w:t>unique.</w:t>
      </w:r>
      <w:r>
        <w:rPr>
          <w:color w:val="231F20"/>
          <w:spacing w:val="-1"/>
        </w:rPr>
        <w:t xml:space="preserve"> </w:t>
      </w:r>
      <w:r>
        <w:rPr>
          <w:color w:val="231F20"/>
        </w:rPr>
        <w:t>We</w:t>
      </w:r>
      <w:r>
        <w:rPr>
          <w:color w:val="231F20"/>
          <w:spacing w:val="-1"/>
        </w:rPr>
        <w:t xml:space="preserve"> </w:t>
      </w:r>
      <w:r>
        <w:rPr>
          <w:color w:val="231F20"/>
        </w:rPr>
        <w:t>have</w:t>
      </w:r>
      <w:r>
        <w:rPr>
          <w:color w:val="231F20"/>
          <w:spacing w:val="-1"/>
        </w:rPr>
        <w:t xml:space="preserve"> </w:t>
      </w:r>
      <w:r>
        <w:rPr>
          <w:color w:val="231F20"/>
        </w:rPr>
        <w:t>therefore</w:t>
      </w:r>
      <w:r>
        <w:rPr>
          <w:color w:val="231F20"/>
          <w:spacing w:val="-1"/>
        </w:rPr>
        <w:t xml:space="preserve"> </w:t>
      </w:r>
      <w:r>
        <w:rPr>
          <w:color w:val="231F20"/>
        </w:rPr>
        <w:t>adopted</w:t>
      </w:r>
      <w:r>
        <w:rPr>
          <w:color w:val="231F20"/>
          <w:spacing w:val="-1"/>
        </w:rPr>
        <w:t xml:space="preserve"> </w:t>
      </w:r>
      <w:r>
        <w:rPr>
          <w:color w:val="231F20"/>
        </w:rPr>
        <w:t xml:space="preserve">tourist attraction theory as a useful framework for gaining insight into these unique aspects of sport tourism. While the idea of sport as a tourist </w:t>
      </w:r>
      <w:r>
        <w:rPr>
          <w:color w:val="231F20"/>
          <w:w w:val="95"/>
        </w:rPr>
        <w:t xml:space="preserve">attraction is not new (e.g. Rooney, 1988), the theoretical basis for this claim </w:t>
      </w:r>
      <w:r>
        <w:rPr>
          <w:color w:val="231F20"/>
        </w:rPr>
        <w:t>i</w:t>
      </w:r>
      <w:r>
        <w:rPr>
          <w:color w:val="231F20"/>
        </w:rPr>
        <w:t xml:space="preserve">s more recent (Gibson, 2006; Higham &amp; Hinch, 2009; Hinch &amp; Higham, 2004; Weed &amp; Bull, 2009). Leiper’s (1990) systems approach to tourist </w:t>
      </w:r>
      <w:r>
        <w:rPr>
          <w:color w:val="231F20"/>
          <w:w w:val="95"/>
        </w:rPr>
        <w:t>attractions and his classic framework for tourism (Leiper, 1979) provide a useful foundation for Figure 2.1. Leiper’s (</w:t>
      </w:r>
      <w:r>
        <w:rPr>
          <w:color w:val="231F20"/>
          <w:w w:val="95"/>
        </w:rPr>
        <w:t xml:space="preserve">1990) original tourist attraction system contained three parts: (1) a tourist, (2) a central element and (3) an informative element. The tourist attraction system was said to exist when these three elements were connected. In Figure 2.1, the equivalent of </w:t>
      </w:r>
      <w:r>
        <w:rPr>
          <w:color w:val="231F20"/>
          <w:w w:val="95"/>
        </w:rPr>
        <w:t xml:space="preserve">these three elements are: (1) the sport travellers in the generating region; (2) the </w:t>
      </w:r>
      <w:r>
        <w:rPr>
          <w:color w:val="231F20"/>
        </w:rPr>
        <w:t>sport</w:t>
      </w:r>
      <w:r>
        <w:rPr>
          <w:color w:val="231F20"/>
          <w:spacing w:val="13"/>
        </w:rPr>
        <w:t xml:space="preserve"> </w:t>
      </w:r>
      <w:r>
        <w:rPr>
          <w:color w:val="231F20"/>
        </w:rPr>
        <w:t>feature</w:t>
      </w:r>
      <w:r>
        <w:rPr>
          <w:color w:val="231F20"/>
          <w:spacing w:val="14"/>
        </w:rPr>
        <w:t xml:space="preserve"> </w:t>
      </w:r>
      <w:r>
        <w:rPr>
          <w:color w:val="231F20"/>
        </w:rPr>
        <w:t>in</w:t>
      </w:r>
      <w:r>
        <w:rPr>
          <w:color w:val="231F20"/>
          <w:spacing w:val="14"/>
        </w:rPr>
        <w:t xml:space="preserve"> </w:t>
      </w:r>
      <w:r>
        <w:rPr>
          <w:color w:val="231F20"/>
        </w:rPr>
        <w:t>the</w:t>
      </w:r>
      <w:r>
        <w:rPr>
          <w:color w:val="231F20"/>
          <w:spacing w:val="14"/>
        </w:rPr>
        <w:t xml:space="preserve"> </w:t>
      </w:r>
      <w:r>
        <w:rPr>
          <w:color w:val="231F20"/>
        </w:rPr>
        <w:t>destination;</w:t>
      </w:r>
      <w:r>
        <w:rPr>
          <w:color w:val="231F20"/>
          <w:spacing w:val="14"/>
        </w:rPr>
        <w:t xml:space="preserve"> </w:t>
      </w:r>
      <w:r>
        <w:rPr>
          <w:color w:val="231F20"/>
        </w:rPr>
        <w:t>and</w:t>
      </w:r>
      <w:r>
        <w:rPr>
          <w:color w:val="231F20"/>
          <w:spacing w:val="14"/>
        </w:rPr>
        <w:t xml:space="preserve"> </w:t>
      </w:r>
      <w:r>
        <w:rPr>
          <w:color w:val="231F20"/>
        </w:rPr>
        <w:t>(3)</w:t>
      </w:r>
      <w:r>
        <w:rPr>
          <w:color w:val="231F20"/>
          <w:spacing w:val="14"/>
        </w:rPr>
        <w:t xml:space="preserve"> </w:t>
      </w:r>
      <w:r>
        <w:rPr>
          <w:color w:val="231F20"/>
        </w:rPr>
        <w:t>the</w:t>
      </w:r>
      <w:r>
        <w:rPr>
          <w:color w:val="231F20"/>
          <w:spacing w:val="14"/>
        </w:rPr>
        <w:t xml:space="preserve"> </w:t>
      </w:r>
      <w:r>
        <w:rPr>
          <w:color w:val="231F20"/>
        </w:rPr>
        <w:t>markers</w:t>
      </w:r>
      <w:r>
        <w:rPr>
          <w:color w:val="231F20"/>
          <w:spacing w:val="13"/>
        </w:rPr>
        <w:t xml:space="preserve"> </w:t>
      </w:r>
      <w:r>
        <w:rPr>
          <w:color w:val="231F20"/>
        </w:rPr>
        <w:t>in</w:t>
      </w:r>
      <w:r>
        <w:rPr>
          <w:color w:val="231F20"/>
          <w:spacing w:val="14"/>
        </w:rPr>
        <w:t xml:space="preserve"> </w:t>
      </w:r>
      <w:r>
        <w:rPr>
          <w:color w:val="231F20"/>
        </w:rPr>
        <w:t>the</w:t>
      </w:r>
      <w:r>
        <w:rPr>
          <w:color w:val="231F20"/>
          <w:spacing w:val="14"/>
        </w:rPr>
        <w:t xml:space="preserve"> </w:t>
      </w:r>
      <w:r>
        <w:rPr>
          <w:color w:val="231F20"/>
          <w:spacing w:val="-2"/>
        </w:rPr>
        <w:t>generating,</w:t>
      </w:r>
    </w:p>
    <w:p w14:paraId="5F284E9A" w14:textId="77777777" w:rsidR="00AE0598" w:rsidRDefault="00AE0598">
      <w:pPr>
        <w:spacing w:line="232" w:lineRule="auto"/>
        <w:jc w:val="both"/>
        <w:sectPr w:rsidR="00AE0598">
          <w:pgSz w:w="8850" w:h="13270"/>
          <w:pgMar w:top="720" w:right="1080" w:bottom="280" w:left="1080" w:header="720" w:footer="720" w:gutter="0"/>
          <w:cols w:space="720"/>
        </w:sectPr>
      </w:pPr>
    </w:p>
    <w:p w14:paraId="285C4A01" w14:textId="77777777" w:rsidR="00AE0598" w:rsidRDefault="0069255A">
      <w:pPr>
        <w:spacing w:before="87"/>
        <w:ind w:left="108"/>
        <w:rPr>
          <w:rFonts w:ascii="Trebuchet MS"/>
          <w:sz w:val="14"/>
        </w:rPr>
      </w:pPr>
      <w:r>
        <w:rPr>
          <w:rFonts w:ascii="Trebuchet MS"/>
          <w:color w:val="231F20"/>
          <w:w w:val="105"/>
          <w:sz w:val="14"/>
        </w:rPr>
        <w:lastRenderedPageBreak/>
        <w:t>24</w:t>
      </w:r>
      <w:r>
        <w:rPr>
          <w:rFonts w:ascii="Trebuchet MS"/>
          <w:color w:val="231F20"/>
          <w:spacing w:val="64"/>
          <w:w w:val="150"/>
          <w:sz w:val="14"/>
        </w:rPr>
        <w:t xml:space="preserve"> </w:t>
      </w:r>
      <w:r>
        <w:rPr>
          <w:rFonts w:ascii="Trebuchet MS"/>
          <w:color w:val="231F20"/>
          <w:w w:val="105"/>
          <w:sz w:val="14"/>
        </w:rPr>
        <w:t>Part</w:t>
      </w:r>
      <w:r>
        <w:rPr>
          <w:rFonts w:ascii="Trebuchet MS"/>
          <w:color w:val="231F20"/>
          <w:spacing w:val="-9"/>
          <w:w w:val="105"/>
          <w:sz w:val="14"/>
        </w:rPr>
        <w:t xml:space="preserve"> </w:t>
      </w:r>
      <w:r>
        <w:rPr>
          <w:rFonts w:ascii="Trebuchet MS"/>
          <w:color w:val="231F20"/>
          <w:w w:val="105"/>
          <w:sz w:val="14"/>
        </w:rPr>
        <w:t>2:</w:t>
      </w:r>
      <w:r>
        <w:rPr>
          <w:rFonts w:ascii="Trebuchet MS"/>
          <w:color w:val="231F20"/>
          <w:spacing w:val="-9"/>
          <w:w w:val="105"/>
          <w:sz w:val="14"/>
        </w:rPr>
        <w:t xml:space="preserve"> </w:t>
      </w:r>
      <w:r>
        <w:rPr>
          <w:rFonts w:ascii="Trebuchet MS"/>
          <w:color w:val="231F20"/>
          <w:w w:val="105"/>
          <w:sz w:val="14"/>
        </w:rPr>
        <w:t>Foundations</w:t>
      </w:r>
      <w:r>
        <w:rPr>
          <w:rFonts w:ascii="Trebuchet MS"/>
          <w:color w:val="231F20"/>
          <w:spacing w:val="-9"/>
          <w:w w:val="105"/>
          <w:sz w:val="14"/>
        </w:rPr>
        <w:t xml:space="preserve"> </w:t>
      </w:r>
      <w:r>
        <w:rPr>
          <w:rFonts w:ascii="Trebuchet MS"/>
          <w:color w:val="231F20"/>
          <w:w w:val="105"/>
          <w:sz w:val="14"/>
        </w:rPr>
        <w:t>of</w:t>
      </w:r>
      <w:r>
        <w:rPr>
          <w:rFonts w:ascii="Trebuchet MS"/>
          <w:color w:val="231F20"/>
          <w:spacing w:val="-9"/>
          <w:w w:val="105"/>
          <w:sz w:val="14"/>
        </w:rPr>
        <w:t xml:space="preserve"> </w:t>
      </w:r>
      <w:r>
        <w:rPr>
          <w:rFonts w:ascii="Trebuchet MS"/>
          <w:color w:val="231F20"/>
          <w:w w:val="105"/>
          <w:sz w:val="14"/>
        </w:rPr>
        <w:t>Sport</w:t>
      </w:r>
      <w:r>
        <w:rPr>
          <w:rFonts w:ascii="Trebuchet MS"/>
          <w:color w:val="231F20"/>
          <w:spacing w:val="-9"/>
          <w:w w:val="105"/>
          <w:sz w:val="14"/>
        </w:rPr>
        <w:t xml:space="preserve"> </w:t>
      </w:r>
      <w:r>
        <w:rPr>
          <w:rFonts w:ascii="Trebuchet MS"/>
          <w:color w:val="231F20"/>
          <w:w w:val="105"/>
          <w:sz w:val="14"/>
        </w:rPr>
        <w:t>Tourism</w:t>
      </w:r>
      <w:r>
        <w:rPr>
          <w:rFonts w:ascii="Trebuchet MS"/>
          <w:color w:val="231F20"/>
          <w:spacing w:val="-9"/>
          <w:w w:val="105"/>
          <w:sz w:val="14"/>
        </w:rPr>
        <w:t xml:space="preserve"> </w:t>
      </w:r>
      <w:r>
        <w:rPr>
          <w:rFonts w:ascii="Trebuchet MS"/>
          <w:color w:val="231F20"/>
          <w:spacing w:val="-2"/>
          <w:w w:val="105"/>
          <w:sz w:val="14"/>
        </w:rPr>
        <w:t>Development</w:t>
      </w:r>
    </w:p>
    <w:p w14:paraId="778FDCF4" w14:textId="77777777" w:rsidR="00AE0598" w:rsidRDefault="00AE0598">
      <w:pPr>
        <w:pStyle w:val="Corpodetexto"/>
        <w:spacing w:before="1"/>
        <w:rPr>
          <w:rFonts w:ascii="Trebuchet MS"/>
          <w:sz w:val="19"/>
        </w:rPr>
      </w:pPr>
    </w:p>
    <w:p w14:paraId="651C7F9D" w14:textId="77777777" w:rsidR="00AE0598" w:rsidRDefault="00AE0598">
      <w:pPr>
        <w:rPr>
          <w:rFonts w:ascii="Trebuchet MS"/>
          <w:sz w:val="19"/>
        </w:rPr>
        <w:sectPr w:rsidR="00AE0598">
          <w:pgSz w:w="8850" w:h="13270"/>
          <w:pgMar w:top="720" w:right="1080" w:bottom="280" w:left="1080" w:header="720" w:footer="720" w:gutter="0"/>
          <w:cols w:space="720"/>
        </w:sectPr>
      </w:pPr>
    </w:p>
    <w:p w14:paraId="1158975C" w14:textId="77777777" w:rsidR="00AE0598" w:rsidRDefault="0069255A">
      <w:pPr>
        <w:spacing w:before="108" w:line="252" w:lineRule="auto"/>
        <w:ind w:left="1092" w:right="33" w:hanging="173"/>
        <w:rPr>
          <w:b/>
          <w:sz w:val="20"/>
        </w:rPr>
      </w:pPr>
      <w:r>
        <w:rPr>
          <w:b/>
          <w:color w:val="231F20"/>
          <w:w w:val="105"/>
          <w:sz w:val="20"/>
        </w:rPr>
        <w:t>Generating</w:t>
      </w:r>
      <w:r>
        <w:rPr>
          <w:b/>
          <w:color w:val="231F20"/>
          <w:spacing w:val="-8"/>
          <w:w w:val="105"/>
          <w:sz w:val="20"/>
        </w:rPr>
        <w:t xml:space="preserve"> </w:t>
      </w:r>
      <w:r>
        <w:rPr>
          <w:b/>
          <w:color w:val="231F20"/>
          <w:w w:val="105"/>
          <w:sz w:val="20"/>
        </w:rPr>
        <w:t>Region/ Sport Travellers</w:t>
      </w:r>
    </w:p>
    <w:p w14:paraId="0EB3586D" w14:textId="77777777" w:rsidR="00AE0598" w:rsidRDefault="0069255A">
      <w:pPr>
        <w:spacing w:before="128" w:line="252" w:lineRule="auto"/>
        <w:ind w:left="919" w:right="1015" w:firstLine="44"/>
        <w:rPr>
          <w:b/>
          <w:sz w:val="20"/>
        </w:rPr>
      </w:pPr>
      <w:r>
        <w:br w:type="column"/>
      </w:r>
      <w:r>
        <w:rPr>
          <w:b/>
          <w:color w:val="231F20"/>
          <w:spacing w:val="-2"/>
          <w:w w:val="105"/>
          <w:sz w:val="20"/>
        </w:rPr>
        <w:t xml:space="preserve">Destination/ </w:t>
      </w:r>
      <w:r>
        <w:rPr>
          <w:b/>
          <w:color w:val="231F20"/>
          <w:w w:val="105"/>
          <w:sz w:val="20"/>
        </w:rPr>
        <w:t>Sport</w:t>
      </w:r>
      <w:r>
        <w:rPr>
          <w:b/>
          <w:color w:val="231F20"/>
          <w:spacing w:val="18"/>
          <w:w w:val="105"/>
          <w:sz w:val="20"/>
        </w:rPr>
        <w:t xml:space="preserve"> </w:t>
      </w:r>
      <w:r>
        <w:rPr>
          <w:b/>
          <w:color w:val="231F20"/>
          <w:spacing w:val="-4"/>
          <w:w w:val="105"/>
          <w:sz w:val="20"/>
        </w:rPr>
        <w:t>Feature</w:t>
      </w:r>
    </w:p>
    <w:p w14:paraId="11540353" w14:textId="77777777" w:rsidR="00AE0598" w:rsidRDefault="00AE0598">
      <w:pPr>
        <w:spacing w:line="252" w:lineRule="auto"/>
        <w:rPr>
          <w:sz w:val="20"/>
        </w:rPr>
        <w:sectPr w:rsidR="00AE0598">
          <w:type w:val="continuous"/>
          <w:pgSz w:w="8850" w:h="13270"/>
          <w:pgMar w:top="1080" w:right="1080" w:bottom="280" w:left="1080" w:header="720" w:footer="720" w:gutter="0"/>
          <w:cols w:num="2" w:space="720" w:equalWidth="0">
            <w:col w:w="2862" w:space="561"/>
            <w:col w:w="3267"/>
          </w:cols>
        </w:sectPr>
      </w:pPr>
    </w:p>
    <w:p w14:paraId="5F1043B1" w14:textId="77777777" w:rsidR="00AE0598" w:rsidRDefault="00AE0598">
      <w:pPr>
        <w:pStyle w:val="Corpodetexto"/>
        <w:spacing w:before="6"/>
        <w:rPr>
          <w:b/>
          <w:sz w:val="3"/>
        </w:rPr>
      </w:pPr>
    </w:p>
    <w:p w14:paraId="0E01D484" w14:textId="0C3C1849" w:rsidR="00AE0598" w:rsidRDefault="0069255A">
      <w:pPr>
        <w:pStyle w:val="Corpodetexto"/>
        <w:ind w:left="566"/>
        <w:rPr>
          <w:sz w:val="20"/>
        </w:rPr>
      </w:pPr>
      <w:r>
        <w:rPr>
          <w:noProof/>
          <w:sz w:val="20"/>
        </w:rPr>
        <mc:AlternateContent>
          <mc:Choice Requires="wpg">
            <w:drawing>
              <wp:inline distT="0" distB="0" distL="0" distR="0" wp14:anchorId="149E706B" wp14:editId="7DA05DD1">
                <wp:extent cx="3507740" cy="330835"/>
                <wp:effectExtent l="6985" t="5080" r="9525" b="6985"/>
                <wp:docPr id="341" name="docshapegroup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07740" cy="330835"/>
                          <a:chOff x="0" y="0"/>
                          <a:chExt cx="5524" cy="521"/>
                        </a:xfrm>
                      </wpg:grpSpPr>
                      <wps:wsp>
                        <wps:cNvPr id="342" name="docshape32"/>
                        <wps:cNvSpPr>
                          <a:spLocks noChangeArrowheads="1"/>
                        </wps:cNvSpPr>
                        <wps:spPr bwMode="auto">
                          <a:xfrm>
                            <a:off x="5" y="5"/>
                            <a:ext cx="5513" cy="510"/>
                          </a:xfrm>
                          <a:prstGeom prst="rect">
                            <a:avLst/>
                          </a:prstGeom>
                          <a:noFill/>
                          <a:ln w="7226">
                            <a:solidFill>
                              <a:srgbClr val="231F2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3" name="docshape33"/>
                        <wps:cNvSpPr txBox="1">
                          <a:spLocks noChangeArrowheads="1"/>
                        </wps:cNvSpPr>
                        <wps:spPr bwMode="auto">
                          <a:xfrm>
                            <a:off x="800" y="249"/>
                            <a:ext cx="531" cy="2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90F145" w14:textId="77777777" w:rsidR="00AE0598" w:rsidRDefault="0069255A">
                              <w:pPr>
                                <w:spacing w:line="221" w:lineRule="exact"/>
                                <w:rPr>
                                  <w:rFonts w:ascii="Segoe UI Symbol"/>
                                  <w:sz w:val="18"/>
                                </w:rPr>
                              </w:pPr>
                              <w:r>
                                <w:rPr>
                                  <w:rFonts w:ascii="Segoe UI Symbol"/>
                                  <w:color w:val="231F20"/>
                                  <w:spacing w:val="-2"/>
                                  <w:w w:val="105"/>
                                  <w:sz w:val="18"/>
                                </w:rPr>
                                <w:t>Origin</w:t>
                              </w:r>
                            </w:p>
                          </w:txbxContent>
                        </wps:txbx>
                        <wps:bodyPr rot="0" vert="horz" wrap="square" lIns="0" tIns="0" rIns="0" bIns="0" anchor="t" anchorCtr="0" upright="1">
                          <a:noAutofit/>
                        </wps:bodyPr>
                      </wps:wsp>
                      <wps:wsp>
                        <wps:cNvPr id="344" name="docshape34"/>
                        <wps:cNvSpPr txBox="1">
                          <a:spLocks noChangeArrowheads="1"/>
                        </wps:cNvSpPr>
                        <wps:spPr bwMode="auto">
                          <a:xfrm>
                            <a:off x="2354" y="16"/>
                            <a:ext cx="836" cy="4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F1ADE2" w14:textId="77777777" w:rsidR="00AE0598" w:rsidRDefault="0069255A">
                              <w:pPr>
                                <w:spacing w:before="8" w:line="220" w:lineRule="exact"/>
                                <w:ind w:right="18"/>
                                <w:jc w:val="center"/>
                                <w:rPr>
                                  <w:b/>
                                  <w:sz w:val="20"/>
                                </w:rPr>
                              </w:pPr>
                              <w:r>
                                <w:rPr>
                                  <w:b/>
                                  <w:color w:val="231F20"/>
                                  <w:spacing w:val="-2"/>
                                  <w:w w:val="105"/>
                                  <w:sz w:val="20"/>
                                </w:rPr>
                                <w:t>Markers</w:t>
                              </w:r>
                            </w:p>
                            <w:p w14:paraId="05A8899A" w14:textId="77777777" w:rsidR="00AE0598" w:rsidRDefault="0069255A">
                              <w:pPr>
                                <w:spacing w:line="225" w:lineRule="exact"/>
                                <w:ind w:right="18"/>
                                <w:jc w:val="center"/>
                                <w:rPr>
                                  <w:rFonts w:ascii="Segoe UI Symbol"/>
                                  <w:sz w:val="18"/>
                                </w:rPr>
                              </w:pPr>
                              <w:r>
                                <w:rPr>
                                  <w:rFonts w:ascii="Segoe UI Symbol"/>
                                  <w:color w:val="231F20"/>
                                  <w:spacing w:val="-2"/>
                                  <w:w w:val="110"/>
                                  <w:sz w:val="18"/>
                                </w:rPr>
                                <w:t>Transit</w:t>
                              </w:r>
                            </w:p>
                          </w:txbxContent>
                        </wps:txbx>
                        <wps:bodyPr rot="0" vert="horz" wrap="square" lIns="0" tIns="0" rIns="0" bIns="0" anchor="t" anchorCtr="0" upright="1">
                          <a:noAutofit/>
                        </wps:bodyPr>
                      </wps:wsp>
                      <wps:wsp>
                        <wps:cNvPr id="345" name="docshape35"/>
                        <wps:cNvSpPr txBox="1">
                          <a:spLocks noChangeArrowheads="1"/>
                        </wps:cNvSpPr>
                        <wps:spPr bwMode="auto">
                          <a:xfrm>
                            <a:off x="4463" y="249"/>
                            <a:ext cx="632" cy="2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0ABDCF" w14:textId="77777777" w:rsidR="00AE0598" w:rsidRDefault="0069255A">
                              <w:pPr>
                                <w:spacing w:line="221" w:lineRule="exact"/>
                                <w:rPr>
                                  <w:rFonts w:ascii="Segoe UI Symbol"/>
                                  <w:sz w:val="18"/>
                                </w:rPr>
                              </w:pPr>
                              <w:r>
                                <w:rPr>
                                  <w:rFonts w:ascii="Segoe UI Symbol"/>
                                  <w:color w:val="231F20"/>
                                  <w:sz w:val="18"/>
                                </w:rPr>
                                <w:t>On-</w:t>
                              </w:r>
                              <w:r>
                                <w:rPr>
                                  <w:rFonts w:ascii="Segoe UI Symbol"/>
                                  <w:color w:val="231F20"/>
                                  <w:spacing w:val="-4"/>
                                  <w:sz w:val="18"/>
                                </w:rPr>
                                <w:t>Site</w:t>
                              </w:r>
                            </w:p>
                          </w:txbxContent>
                        </wps:txbx>
                        <wps:bodyPr rot="0" vert="horz" wrap="square" lIns="0" tIns="0" rIns="0" bIns="0" anchor="t" anchorCtr="0" upright="1">
                          <a:noAutofit/>
                        </wps:bodyPr>
                      </wps:wsp>
                    </wpg:wgp>
                  </a:graphicData>
                </a:graphic>
              </wp:inline>
            </w:drawing>
          </mc:Choice>
          <mc:Fallback>
            <w:pict>
              <v:group w14:anchorId="149E706B" id="docshapegroup31" o:spid="_x0000_s1038" style="width:276.2pt;height:26.05pt;mso-position-horizontal-relative:char;mso-position-vertical-relative:line" coordsize="5524,5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">
                <v:rect id="docshape32" o:spid="_x0000_s1039" style="position:absolute;left:5;top:5;width:5513;height: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" filled="f" strokecolor="#231f20" strokeweight=".20072mm"/>
                <v:shape id="docshape33" o:spid="_x0000_s1040" type="#_x0000_t202" style="position:absolute;left:800;top:249;width:531;height: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" filled="f" stroked="f">
                  <v:textbox inset="0,0,0,0">
                    <w:txbxContent>
                      <w:p w14:paraId="6890F145" w14:textId="77777777" w:rsidR="00AE0598" w:rsidRDefault="0069255A">
                        <w:pPr>
                          <w:spacing w:line="221" w:lineRule="exact"/>
                          <w:rPr>
                            <w:rFonts w:ascii="Segoe UI Symbol"/>
                            <w:sz w:val="18"/>
                          </w:rPr>
                        </w:pPr>
                        <w:r>
                          <w:rPr>
                            <w:rFonts w:ascii="Segoe UI Symbol"/>
                            <w:color w:val="231F20"/>
                            <w:spacing w:val="-2"/>
                            <w:w w:val="105"/>
                            <w:sz w:val="18"/>
                          </w:rPr>
                          <w:t>Origin</w:t>
                        </w:r>
                      </w:p>
                    </w:txbxContent>
                  </v:textbox>
                </v:shape>
                <v:shape id="docshape34" o:spid="_x0000_s1041" type="#_x0000_t202" style="position:absolute;left:2354;top:16;width:836;height:4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" filled="f" stroked="f">
                  <v:textbox inset="0,0,0,0">
                    <w:txbxContent>
                      <w:p w14:paraId="4FF1ADE2" w14:textId="77777777" w:rsidR="00AE0598" w:rsidRDefault="0069255A">
                        <w:pPr>
                          <w:spacing w:before="8" w:line="220" w:lineRule="exact"/>
                          <w:ind w:right="18"/>
                          <w:jc w:val="center"/>
                          <w:rPr>
                            <w:b/>
                            <w:sz w:val="20"/>
                          </w:rPr>
                        </w:pPr>
                        <w:r>
                          <w:rPr>
                            <w:b/>
                            <w:color w:val="231F20"/>
                            <w:spacing w:val="-2"/>
                            <w:w w:val="105"/>
                            <w:sz w:val="20"/>
                          </w:rPr>
                          <w:t>Markers</w:t>
                        </w:r>
                      </w:p>
                      <w:p w14:paraId="05A8899A" w14:textId="77777777" w:rsidR="00AE0598" w:rsidRDefault="0069255A">
                        <w:pPr>
                          <w:spacing w:line="225" w:lineRule="exact"/>
                          <w:ind w:right="18"/>
                          <w:jc w:val="center"/>
                          <w:rPr>
                            <w:rFonts w:ascii="Segoe UI Symbol"/>
                            <w:sz w:val="18"/>
                          </w:rPr>
                        </w:pPr>
                        <w:r>
                          <w:rPr>
                            <w:rFonts w:ascii="Segoe UI Symbol"/>
                            <w:color w:val="231F20"/>
                            <w:spacing w:val="-2"/>
                            <w:w w:val="110"/>
                            <w:sz w:val="18"/>
                          </w:rPr>
                          <w:t>Transit</w:t>
                        </w:r>
                      </w:p>
                    </w:txbxContent>
                  </v:textbox>
                </v:shape>
                <v:shape id="docshape35" o:spid="_x0000_s1042" type="#_x0000_t202" style="position:absolute;left:4463;top:249;width:632;height: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" filled="f" stroked="f">
                  <v:textbox inset="0,0,0,0">
                    <w:txbxContent>
                      <w:p w14:paraId="5C0ABDCF" w14:textId="77777777" w:rsidR="00AE0598" w:rsidRDefault="0069255A">
                        <w:pPr>
                          <w:spacing w:line="221" w:lineRule="exact"/>
                          <w:rPr>
                            <w:rFonts w:ascii="Segoe UI Symbol"/>
                            <w:sz w:val="18"/>
                          </w:rPr>
                        </w:pPr>
                        <w:r>
                          <w:rPr>
                            <w:rFonts w:ascii="Segoe UI Symbol"/>
                            <w:color w:val="231F20"/>
                            <w:sz w:val="18"/>
                          </w:rPr>
                          <w:t>On-</w:t>
                        </w:r>
                        <w:r>
                          <w:rPr>
                            <w:rFonts w:ascii="Segoe UI Symbol"/>
                            <w:color w:val="231F20"/>
                            <w:spacing w:val="-4"/>
                            <w:sz w:val="18"/>
                          </w:rPr>
                          <w:t>Site</w:t>
                        </w:r>
                      </w:p>
                    </w:txbxContent>
                  </v:textbox>
                </v:shape>
                <w10:anchorlock/>
              </v:group>
            </w:pict>
          </mc:Fallback>
        </mc:AlternateContent>
      </w:r>
    </w:p>
    <w:p w14:paraId="77427F0D" w14:textId="067F27BF" w:rsidR="00AE0598" w:rsidRDefault="0069255A">
      <w:pPr>
        <w:pStyle w:val="Corpodetexto"/>
        <w:spacing w:before="9"/>
        <w:rPr>
          <w:b/>
          <w:sz w:val="4"/>
        </w:rPr>
      </w:pPr>
      <w:r>
        <w:rPr>
          <w:noProof/>
        </w:rPr>
        <mc:AlternateContent>
          <mc:Choice Requires="wpg">
            <w:drawing>
              <wp:anchor distT="0" distB="0" distL="0" distR="0" simplePos="0" relativeHeight="487599616" behindDoc="1" locked="0" layoutInCell="1" allowOverlap="1" wp14:anchorId="7123C887" wp14:editId="5758D8B9">
                <wp:simplePos x="0" y="0"/>
                <wp:positionH relativeFrom="page">
                  <wp:posOffset>754380</wp:posOffset>
                </wp:positionH>
                <wp:positionV relativeFrom="paragraph">
                  <wp:posOffset>53340</wp:posOffset>
                </wp:positionV>
                <wp:extent cx="4104005" cy="1742440"/>
                <wp:effectExtent l="0" t="0" r="0" b="0"/>
                <wp:wrapTopAndBottom/>
                <wp:docPr id="325" name="docshapegroup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04005" cy="1742440"/>
                          <a:chOff x="1188" y="84"/>
                          <a:chExt cx="6463" cy="2744"/>
                        </a:xfrm>
                      </wpg:grpSpPr>
                      <wps:wsp>
                        <wps:cNvPr id="326" name="docshape37"/>
                        <wps:cNvSpPr>
                          <a:spLocks/>
                        </wps:cNvSpPr>
                        <wps:spPr bwMode="auto">
                          <a:xfrm>
                            <a:off x="1193" y="89"/>
                            <a:ext cx="6452" cy="2733"/>
                          </a:xfrm>
                          <a:custGeom>
                            <a:avLst/>
                            <a:gdLst>
                              <a:gd name="T0" fmla="+- 0 4882 1194"/>
                              <a:gd name="T1" fmla="*/ T0 w 6452"/>
                              <a:gd name="T2" fmla="+- 0 1243 90"/>
                              <a:gd name="T3" fmla="*/ 1243 h 2733"/>
                              <a:gd name="T4" fmla="+- 0 4960 1194"/>
                              <a:gd name="T5" fmla="*/ T4 w 6452"/>
                              <a:gd name="T6" fmla="+- 0 967 90"/>
                              <a:gd name="T7" fmla="*/ 967 h 2733"/>
                              <a:gd name="T8" fmla="+- 0 5092 1194"/>
                              <a:gd name="T9" fmla="*/ T8 w 6452"/>
                              <a:gd name="T10" fmla="+- 0 718 90"/>
                              <a:gd name="T11" fmla="*/ 718 h 2733"/>
                              <a:gd name="T12" fmla="+- 0 5272 1194"/>
                              <a:gd name="T13" fmla="*/ T12 w 6452"/>
                              <a:gd name="T14" fmla="+- 0 502 90"/>
                              <a:gd name="T15" fmla="*/ 502 h 2733"/>
                              <a:gd name="T16" fmla="+- 0 5492 1194"/>
                              <a:gd name="T17" fmla="*/ T16 w 6452"/>
                              <a:gd name="T18" fmla="+- 0 326 90"/>
                              <a:gd name="T19" fmla="*/ 326 h 2733"/>
                              <a:gd name="T20" fmla="+- 0 5747 1194"/>
                              <a:gd name="T21" fmla="*/ T20 w 6452"/>
                              <a:gd name="T22" fmla="+- 0 197 90"/>
                              <a:gd name="T23" fmla="*/ 197 h 2733"/>
                              <a:gd name="T24" fmla="+- 0 6029 1194"/>
                              <a:gd name="T25" fmla="*/ T24 w 6452"/>
                              <a:gd name="T26" fmla="+- 0 122 90"/>
                              <a:gd name="T27" fmla="*/ 122 h 2733"/>
                              <a:gd name="T28" fmla="+- 0 6331 1194"/>
                              <a:gd name="T29" fmla="*/ T28 w 6452"/>
                              <a:gd name="T30" fmla="+- 0 106 90"/>
                              <a:gd name="T31" fmla="*/ 106 h 2733"/>
                              <a:gd name="T32" fmla="+- 0 6625 1194"/>
                              <a:gd name="T33" fmla="*/ T32 w 6452"/>
                              <a:gd name="T34" fmla="+- 0 152 90"/>
                              <a:gd name="T35" fmla="*/ 152 h 2733"/>
                              <a:gd name="T36" fmla="+- 0 6894 1194"/>
                              <a:gd name="T37" fmla="*/ T36 w 6452"/>
                              <a:gd name="T38" fmla="+- 0 256 90"/>
                              <a:gd name="T39" fmla="*/ 256 h 2733"/>
                              <a:gd name="T40" fmla="+- 0 7133 1194"/>
                              <a:gd name="T41" fmla="*/ T40 w 6452"/>
                              <a:gd name="T42" fmla="+- 0 409 90"/>
                              <a:gd name="T43" fmla="*/ 409 h 2733"/>
                              <a:gd name="T44" fmla="+- 0 7334 1194"/>
                              <a:gd name="T45" fmla="*/ T44 w 6452"/>
                              <a:gd name="T46" fmla="+- 0 605 90"/>
                              <a:gd name="T47" fmla="*/ 605 h 2733"/>
                              <a:gd name="T48" fmla="+- 0 7490 1194"/>
                              <a:gd name="T49" fmla="*/ T48 w 6452"/>
                              <a:gd name="T50" fmla="+- 0 838 90"/>
                              <a:gd name="T51" fmla="*/ 838 h 2733"/>
                              <a:gd name="T52" fmla="+- 0 7596 1194"/>
                              <a:gd name="T53" fmla="*/ T52 w 6452"/>
                              <a:gd name="T54" fmla="+- 0 1102 90"/>
                              <a:gd name="T55" fmla="*/ 1102 h 2733"/>
                              <a:gd name="T56" fmla="+- 0 7644 1194"/>
                              <a:gd name="T57" fmla="*/ T56 w 6452"/>
                              <a:gd name="T58" fmla="+- 0 1388 90"/>
                              <a:gd name="T59" fmla="*/ 1388 h 2733"/>
                              <a:gd name="T60" fmla="+- 0 7627 1194"/>
                              <a:gd name="T61" fmla="*/ T60 w 6452"/>
                              <a:gd name="T62" fmla="+- 0 1683 90"/>
                              <a:gd name="T63" fmla="*/ 1683 h 2733"/>
                              <a:gd name="T64" fmla="+- 0 7550 1194"/>
                              <a:gd name="T65" fmla="*/ T64 w 6452"/>
                              <a:gd name="T66" fmla="+- 0 1959 90"/>
                              <a:gd name="T67" fmla="*/ 1959 h 2733"/>
                              <a:gd name="T68" fmla="+- 0 7418 1194"/>
                              <a:gd name="T69" fmla="*/ T68 w 6452"/>
                              <a:gd name="T70" fmla="+- 0 2208 90"/>
                              <a:gd name="T71" fmla="*/ 2208 h 2733"/>
                              <a:gd name="T72" fmla="+- 0 7238 1194"/>
                              <a:gd name="T73" fmla="*/ T72 w 6452"/>
                              <a:gd name="T74" fmla="+- 0 2424 90"/>
                              <a:gd name="T75" fmla="*/ 2424 h 2733"/>
                              <a:gd name="T76" fmla="+- 0 7018 1194"/>
                              <a:gd name="T77" fmla="*/ T76 w 6452"/>
                              <a:gd name="T78" fmla="+- 0 2600 90"/>
                              <a:gd name="T79" fmla="*/ 2600 h 2733"/>
                              <a:gd name="T80" fmla="+- 0 6763 1194"/>
                              <a:gd name="T81" fmla="*/ T80 w 6452"/>
                              <a:gd name="T82" fmla="+- 0 2729 90"/>
                              <a:gd name="T83" fmla="*/ 2729 h 2733"/>
                              <a:gd name="T84" fmla="+- 0 6480 1194"/>
                              <a:gd name="T85" fmla="*/ T84 w 6452"/>
                              <a:gd name="T86" fmla="+- 0 2804 90"/>
                              <a:gd name="T87" fmla="*/ 2804 h 2733"/>
                              <a:gd name="T88" fmla="+- 0 6179 1194"/>
                              <a:gd name="T89" fmla="*/ T88 w 6452"/>
                              <a:gd name="T90" fmla="+- 0 2820 90"/>
                              <a:gd name="T91" fmla="*/ 2820 h 2733"/>
                              <a:gd name="T92" fmla="+- 0 5885 1194"/>
                              <a:gd name="T93" fmla="*/ T92 w 6452"/>
                              <a:gd name="T94" fmla="+- 0 2773 90"/>
                              <a:gd name="T95" fmla="*/ 2773 h 2733"/>
                              <a:gd name="T96" fmla="+- 0 5616 1194"/>
                              <a:gd name="T97" fmla="*/ T96 w 6452"/>
                              <a:gd name="T98" fmla="+- 0 2670 90"/>
                              <a:gd name="T99" fmla="*/ 2670 h 2733"/>
                              <a:gd name="T100" fmla="+- 0 5377 1194"/>
                              <a:gd name="T101" fmla="*/ T100 w 6452"/>
                              <a:gd name="T102" fmla="+- 0 2517 90"/>
                              <a:gd name="T103" fmla="*/ 2517 h 2733"/>
                              <a:gd name="T104" fmla="+- 0 5176 1194"/>
                              <a:gd name="T105" fmla="*/ T104 w 6452"/>
                              <a:gd name="T106" fmla="+- 0 2321 90"/>
                              <a:gd name="T107" fmla="*/ 2321 h 2733"/>
                              <a:gd name="T108" fmla="+- 0 5019 1194"/>
                              <a:gd name="T109" fmla="*/ T108 w 6452"/>
                              <a:gd name="T110" fmla="+- 0 2088 90"/>
                              <a:gd name="T111" fmla="*/ 2088 h 2733"/>
                              <a:gd name="T112" fmla="+- 0 4914 1194"/>
                              <a:gd name="T113" fmla="*/ T112 w 6452"/>
                              <a:gd name="T114" fmla="+- 0 1824 90"/>
                              <a:gd name="T115" fmla="*/ 1824 h 2733"/>
                              <a:gd name="T116" fmla="+- 0 4866 1194"/>
                              <a:gd name="T117" fmla="*/ T116 w 6452"/>
                              <a:gd name="T118" fmla="+- 0 1538 90"/>
                              <a:gd name="T119" fmla="*/ 1538 h 2733"/>
                              <a:gd name="T120" fmla="+- 0 1202 1194"/>
                              <a:gd name="T121" fmla="*/ T120 w 6452"/>
                              <a:gd name="T122" fmla="+- 0 1305 90"/>
                              <a:gd name="T123" fmla="*/ 1305 h 2733"/>
                              <a:gd name="T124" fmla="+- 0 1263 1194"/>
                              <a:gd name="T125" fmla="*/ T124 w 6452"/>
                              <a:gd name="T126" fmla="+- 0 1032 90"/>
                              <a:gd name="T127" fmla="*/ 1032 h 2733"/>
                              <a:gd name="T128" fmla="+- 0 1380 1194"/>
                              <a:gd name="T129" fmla="*/ T128 w 6452"/>
                              <a:gd name="T130" fmla="+- 0 782 90"/>
                              <a:gd name="T131" fmla="*/ 782 h 2733"/>
                              <a:gd name="T132" fmla="+- 0 1546 1194"/>
                              <a:gd name="T133" fmla="*/ T132 w 6452"/>
                              <a:gd name="T134" fmla="+- 0 562 90"/>
                              <a:gd name="T135" fmla="*/ 562 h 2733"/>
                              <a:gd name="T136" fmla="+- 0 1754 1194"/>
                              <a:gd name="T137" fmla="*/ T136 w 6452"/>
                              <a:gd name="T138" fmla="+- 0 376 90"/>
                              <a:gd name="T139" fmla="*/ 376 h 2733"/>
                              <a:gd name="T140" fmla="+- 0 1998 1194"/>
                              <a:gd name="T141" fmla="*/ T140 w 6452"/>
                              <a:gd name="T142" fmla="+- 0 232 90"/>
                              <a:gd name="T143" fmla="*/ 232 h 2733"/>
                              <a:gd name="T144" fmla="+- 0 2272 1194"/>
                              <a:gd name="T145" fmla="*/ T144 w 6452"/>
                              <a:gd name="T146" fmla="+- 0 135 90"/>
                              <a:gd name="T147" fmla="*/ 135 h 2733"/>
                              <a:gd name="T148" fmla="+- 0 2568 1194"/>
                              <a:gd name="T149" fmla="*/ T148 w 6452"/>
                              <a:gd name="T150" fmla="+- 0 91 90"/>
                              <a:gd name="T151" fmla="*/ 91 h 2733"/>
                              <a:gd name="T152" fmla="+- 0 2874 1194"/>
                              <a:gd name="T153" fmla="*/ T152 w 6452"/>
                              <a:gd name="T154" fmla="+- 0 106 90"/>
                              <a:gd name="T155" fmla="*/ 106 h 2733"/>
                              <a:gd name="T156" fmla="+- 0 3160 1194"/>
                              <a:gd name="T157" fmla="*/ T156 w 6452"/>
                              <a:gd name="T158" fmla="+- 0 177 90"/>
                              <a:gd name="T159" fmla="*/ 177 h 2733"/>
                              <a:gd name="T160" fmla="+- 0 3419 1194"/>
                              <a:gd name="T161" fmla="*/ T160 w 6452"/>
                              <a:gd name="T162" fmla="+- 0 299 90"/>
                              <a:gd name="T163" fmla="*/ 299 h 2733"/>
                              <a:gd name="T164" fmla="+- 0 3646 1194"/>
                              <a:gd name="T165" fmla="*/ T164 w 6452"/>
                              <a:gd name="T166" fmla="+- 0 464 90"/>
                              <a:gd name="T167" fmla="*/ 464 h 2733"/>
                              <a:gd name="T168" fmla="+- 0 3834 1194"/>
                              <a:gd name="T169" fmla="*/ T168 w 6452"/>
                              <a:gd name="T170" fmla="+- 0 668 90"/>
                              <a:gd name="T171" fmla="*/ 668 h 2733"/>
                              <a:gd name="T172" fmla="+- 0 3976 1194"/>
                              <a:gd name="T173" fmla="*/ T172 w 6452"/>
                              <a:gd name="T174" fmla="+- 0 904 90"/>
                              <a:gd name="T175" fmla="*/ 904 h 2733"/>
                              <a:gd name="T176" fmla="+- 0 4066 1194"/>
                              <a:gd name="T177" fmla="*/ T176 w 6452"/>
                              <a:gd name="T178" fmla="+- 0 1166 90"/>
                              <a:gd name="T179" fmla="*/ 1166 h 2733"/>
                              <a:gd name="T180" fmla="+- 0 4097 1194"/>
                              <a:gd name="T181" fmla="*/ T180 w 6452"/>
                              <a:gd name="T182" fmla="+- 0 1449 90"/>
                              <a:gd name="T183" fmla="*/ 1449 h 2733"/>
                              <a:gd name="T184" fmla="+- 0 4066 1194"/>
                              <a:gd name="T185" fmla="*/ T184 w 6452"/>
                              <a:gd name="T186" fmla="+- 0 1731 90"/>
                              <a:gd name="T187" fmla="*/ 1731 h 2733"/>
                              <a:gd name="T188" fmla="+- 0 3976 1194"/>
                              <a:gd name="T189" fmla="*/ T188 w 6452"/>
                              <a:gd name="T190" fmla="+- 0 1993 90"/>
                              <a:gd name="T191" fmla="*/ 1993 h 2733"/>
                              <a:gd name="T192" fmla="+- 0 3834 1194"/>
                              <a:gd name="T193" fmla="*/ T192 w 6452"/>
                              <a:gd name="T194" fmla="+- 0 2229 90"/>
                              <a:gd name="T195" fmla="*/ 2229 h 2733"/>
                              <a:gd name="T196" fmla="+- 0 3646 1194"/>
                              <a:gd name="T197" fmla="*/ T196 w 6452"/>
                              <a:gd name="T198" fmla="+- 0 2433 90"/>
                              <a:gd name="T199" fmla="*/ 2433 h 2733"/>
                              <a:gd name="T200" fmla="+- 0 3419 1194"/>
                              <a:gd name="T201" fmla="*/ T200 w 6452"/>
                              <a:gd name="T202" fmla="+- 0 2599 90"/>
                              <a:gd name="T203" fmla="*/ 2599 h 2733"/>
                              <a:gd name="T204" fmla="+- 0 3160 1194"/>
                              <a:gd name="T205" fmla="*/ T204 w 6452"/>
                              <a:gd name="T206" fmla="+- 0 2720 90"/>
                              <a:gd name="T207" fmla="*/ 2720 h 2733"/>
                              <a:gd name="T208" fmla="+- 0 2874 1194"/>
                              <a:gd name="T209" fmla="*/ T208 w 6452"/>
                              <a:gd name="T210" fmla="+- 0 2791 90"/>
                              <a:gd name="T211" fmla="*/ 2791 h 2733"/>
                              <a:gd name="T212" fmla="+- 0 2568 1194"/>
                              <a:gd name="T213" fmla="*/ T212 w 6452"/>
                              <a:gd name="T214" fmla="+- 0 2806 90"/>
                              <a:gd name="T215" fmla="*/ 2806 h 2733"/>
                              <a:gd name="T216" fmla="+- 0 2272 1194"/>
                              <a:gd name="T217" fmla="*/ T216 w 6452"/>
                              <a:gd name="T218" fmla="+- 0 2762 90"/>
                              <a:gd name="T219" fmla="*/ 2762 h 2733"/>
                              <a:gd name="T220" fmla="+- 0 1998 1194"/>
                              <a:gd name="T221" fmla="*/ T220 w 6452"/>
                              <a:gd name="T222" fmla="+- 0 2665 90"/>
                              <a:gd name="T223" fmla="*/ 2665 h 2733"/>
                              <a:gd name="T224" fmla="+- 0 1754 1194"/>
                              <a:gd name="T225" fmla="*/ T224 w 6452"/>
                              <a:gd name="T226" fmla="+- 0 2521 90"/>
                              <a:gd name="T227" fmla="*/ 2521 h 2733"/>
                              <a:gd name="T228" fmla="+- 0 1546 1194"/>
                              <a:gd name="T229" fmla="*/ T228 w 6452"/>
                              <a:gd name="T230" fmla="+- 0 2336 90"/>
                              <a:gd name="T231" fmla="*/ 2336 h 2733"/>
                              <a:gd name="T232" fmla="+- 0 1380 1194"/>
                              <a:gd name="T233" fmla="*/ T232 w 6452"/>
                              <a:gd name="T234" fmla="+- 0 2115 90"/>
                              <a:gd name="T235" fmla="*/ 2115 h 2733"/>
                              <a:gd name="T236" fmla="+- 0 1263 1194"/>
                              <a:gd name="T237" fmla="*/ T236 w 6452"/>
                              <a:gd name="T238" fmla="+- 0 1865 90"/>
                              <a:gd name="T239" fmla="*/ 1865 h 2733"/>
                              <a:gd name="T240" fmla="+- 0 1202 1194"/>
                              <a:gd name="T241" fmla="*/ T240 w 6452"/>
                              <a:gd name="T242" fmla="+- 0 1592 90"/>
                              <a:gd name="T243" fmla="*/ 1592 h 273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Lst>
                            <a:rect l="0" t="0" r="r" b="b"/>
                            <a:pathLst>
                              <a:path w="6452" h="2733">
                                <a:moveTo>
                                  <a:pt x="3670" y="1373"/>
                                </a:moveTo>
                                <a:lnTo>
                                  <a:pt x="3672" y="1298"/>
                                </a:lnTo>
                                <a:lnTo>
                                  <a:pt x="3678" y="1225"/>
                                </a:lnTo>
                                <a:lnTo>
                                  <a:pt x="3688" y="1153"/>
                                </a:lnTo>
                                <a:lnTo>
                                  <a:pt x="3702" y="1081"/>
                                </a:lnTo>
                                <a:lnTo>
                                  <a:pt x="3720" y="1012"/>
                                </a:lnTo>
                                <a:lnTo>
                                  <a:pt x="3741" y="943"/>
                                </a:lnTo>
                                <a:lnTo>
                                  <a:pt x="3766" y="877"/>
                                </a:lnTo>
                                <a:lnTo>
                                  <a:pt x="3794" y="812"/>
                                </a:lnTo>
                                <a:lnTo>
                                  <a:pt x="3825" y="748"/>
                                </a:lnTo>
                                <a:lnTo>
                                  <a:pt x="3860" y="687"/>
                                </a:lnTo>
                                <a:lnTo>
                                  <a:pt x="3898" y="628"/>
                                </a:lnTo>
                                <a:lnTo>
                                  <a:pt x="3939" y="570"/>
                                </a:lnTo>
                                <a:lnTo>
                                  <a:pt x="3982" y="515"/>
                                </a:lnTo>
                                <a:lnTo>
                                  <a:pt x="4029" y="462"/>
                                </a:lnTo>
                                <a:lnTo>
                                  <a:pt x="4078" y="412"/>
                                </a:lnTo>
                                <a:lnTo>
                                  <a:pt x="4129" y="364"/>
                                </a:lnTo>
                                <a:lnTo>
                                  <a:pt x="4183" y="319"/>
                                </a:lnTo>
                                <a:lnTo>
                                  <a:pt x="4240" y="276"/>
                                </a:lnTo>
                                <a:lnTo>
                                  <a:pt x="4298" y="236"/>
                                </a:lnTo>
                                <a:lnTo>
                                  <a:pt x="4359" y="199"/>
                                </a:lnTo>
                                <a:lnTo>
                                  <a:pt x="4422" y="166"/>
                                </a:lnTo>
                                <a:lnTo>
                                  <a:pt x="4487" y="135"/>
                                </a:lnTo>
                                <a:lnTo>
                                  <a:pt x="4553" y="107"/>
                                </a:lnTo>
                                <a:lnTo>
                                  <a:pt x="4621" y="83"/>
                                </a:lnTo>
                                <a:lnTo>
                                  <a:pt x="4691" y="62"/>
                                </a:lnTo>
                                <a:lnTo>
                                  <a:pt x="4763" y="45"/>
                                </a:lnTo>
                                <a:lnTo>
                                  <a:pt x="4835" y="32"/>
                                </a:lnTo>
                                <a:lnTo>
                                  <a:pt x="4909" y="22"/>
                                </a:lnTo>
                                <a:lnTo>
                                  <a:pt x="4985" y="16"/>
                                </a:lnTo>
                                <a:lnTo>
                                  <a:pt x="5061" y="14"/>
                                </a:lnTo>
                                <a:lnTo>
                                  <a:pt x="5137" y="16"/>
                                </a:lnTo>
                                <a:lnTo>
                                  <a:pt x="5212" y="22"/>
                                </a:lnTo>
                                <a:lnTo>
                                  <a:pt x="5286" y="32"/>
                                </a:lnTo>
                                <a:lnTo>
                                  <a:pt x="5359" y="45"/>
                                </a:lnTo>
                                <a:lnTo>
                                  <a:pt x="5431" y="62"/>
                                </a:lnTo>
                                <a:lnTo>
                                  <a:pt x="5500" y="83"/>
                                </a:lnTo>
                                <a:lnTo>
                                  <a:pt x="5569" y="107"/>
                                </a:lnTo>
                                <a:lnTo>
                                  <a:pt x="5635" y="135"/>
                                </a:lnTo>
                                <a:lnTo>
                                  <a:pt x="5700" y="166"/>
                                </a:lnTo>
                                <a:lnTo>
                                  <a:pt x="5763" y="199"/>
                                </a:lnTo>
                                <a:lnTo>
                                  <a:pt x="5824" y="236"/>
                                </a:lnTo>
                                <a:lnTo>
                                  <a:pt x="5882" y="276"/>
                                </a:lnTo>
                                <a:lnTo>
                                  <a:pt x="5939" y="319"/>
                                </a:lnTo>
                                <a:lnTo>
                                  <a:pt x="5993" y="364"/>
                                </a:lnTo>
                                <a:lnTo>
                                  <a:pt x="6044" y="412"/>
                                </a:lnTo>
                                <a:lnTo>
                                  <a:pt x="6093" y="462"/>
                                </a:lnTo>
                                <a:lnTo>
                                  <a:pt x="6140" y="515"/>
                                </a:lnTo>
                                <a:lnTo>
                                  <a:pt x="6183" y="570"/>
                                </a:lnTo>
                                <a:lnTo>
                                  <a:pt x="6224" y="628"/>
                                </a:lnTo>
                                <a:lnTo>
                                  <a:pt x="6262" y="687"/>
                                </a:lnTo>
                                <a:lnTo>
                                  <a:pt x="6296" y="748"/>
                                </a:lnTo>
                                <a:lnTo>
                                  <a:pt x="6328" y="812"/>
                                </a:lnTo>
                                <a:lnTo>
                                  <a:pt x="6356" y="877"/>
                                </a:lnTo>
                                <a:lnTo>
                                  <a:pt x="6381" y="943"/>
                                </a:lnTo>
                                <a:lnTo>
                                  <a:pt x="6402" y="1012"/>
                                </a:lnTo>
                                <a:lnTo>
                                  <a:pt x="6420" y="1081"/>
                                </a:lnTo>
                                <a:lnTo>
                                  <a:pt x="6433" y="1153"/>
                                </a:lnTo>
                                <a:lnTo>
                                  <a:pt x="6443" y="1225"/>
                                </a:lnTo>
                                <a:lnTo>
                                  <a:pt x="6450" y="1298"/>
                                </a:lnTo>
                                <a:lnTo>
                                  <a:pt x="6452" y="1373"/>
                                </a:lnTo>
                                <a:lnTo>
                                  <a:pt x="6450" y="1448"/>
                                </a:lnTo>
                                <a:lnTo>
                                  <a:pt x="6443" y="1521"/>
                                </a:lnTo>
                                <a:lnTo>
                                  <a:pt x="6433" y="1593"/>
                                </a:lnTo>
                                <a:lnTo>
                                  <a:pt x="6420" y="1665"/>
                                </a:lnTo>
                                <a:lnTo>
                                  <a:pt x="6402" y="1734"/>
                                </a:lnTo>
                                <a:lnTo>
                                  <a:pt x="6381" y="1803"/>
                                </a:lnTo>
                                <a:lnTo>
                                  <a:pt x="6356" y="1869"/>
                                </a:lnTo>
                                <a:lnTo>
                                  <a:pt x="6328" y="1934"/>
                                </a:lnTo>
                                <a:lnTo>
                                  <a:pt x="6296" y="1998"/>
                                </a:lnTo>
                                <a:lnTo>
                                  <a:pt x="6262" y="2059"/>
                                </a:lnTo>
                                <a:lnTo>
                                  <a:pt x="6224" y="2118"/>
                                </a:lnTo>
                                <a:lnTo>
                                  <a:pt x="6183" y="2176"/>
                                </a:lnTo>
                                <a:lnTo>
                                  <a:pt x="6140" y="2231"/>
                                </a:lnTo>
                                <a:lnTo>
                                  <a:pt x="6093" y="2284"/>
                                </a:lnTo>
                                <a:lnTo>
                                  <a:pt x="6044" y="2334"/>
                                </a:lnTo>
                                <a:lnTo>
                                  <a:pt x="5993" y="2382"/>
                                </a:lnTo>
                                <a:lnTo>
                                  <a:pt x="5939" y="2427"/>
                                </a:lnTo>
                                <a:lnTo>
                                  <a:pt x="5882" y="2470"/>
                                </a:lnTo>
                                <a:lnTo>
                                  <a:pt x="5824" y="2510"/>
                                </a:lnTo>
                                <a:lnTo>
                                  <a:pt x="5763" y="2546"/>
                                </a:lnTo>
                                <a:lnTo>
                                  <a:pt x="5700" y="2580"/>
                                </a:lnTo>
                                <a:lnTo>
                                  <a:pt x="5635" y="2611"/>
                                </a:lnTo>
                                <a:lnTo>
                                  <a:pt x="5569" y="2639"/>
                                </a:lnTo>
                                <a:lnTo>
                                  <a:pt x="5500" y="2663"/>
                                </a:lnTo>
                                <a:lnTo>
                                  <a:pt x="5431" y="2683"/>
                                </a:lnTo>
                                <a:lnTo>
                                  <a:pt x="5359" y="2701"/>
                                </a:lnTo>
                                <a:lnTo>
                                  <a:pt x="5286" y="2714"/>
                                </a:lnTo>
                                <a:lnTo>
                                  <a:pt x="5212" y="2724"/>
                                </a:lnTo>
                                <a:lnTo>
                                  <a:pt x="5137" y="2730"/>
                                </a:lnTo>
                                <a:lnTo>
                                  <a:pt x="5061" y="2732"/>
                                </a:lnTo>
                                <a:lnTo>
                                  <a:pt x="4985" y="2730"/>
                                </a:lnTo>
                                <a:lnTo>
                                  <a:pt x="4909" y="2724"/>
                                </a:lnTo>
                                <a:lnTo>
                                  <a:pt x="4835" y="2714"/>
                                </a:lnTo>
                                <a:lnTo>
                                  <a:pt x="4763" y="2701"/>
                                </a:lnTo>
                                <a:lnTo>
                                  <a:pt x="4691" y="2683"/>
                                </a:lnTo>
                                <a:lnTo>
                                  <a:pt x="4621" y="2663"/>
                                </a:lnTo>
                                <a:lnTo>
                                  <a:pt x="4553" y="2639"/>
                                </a:lnTo>
                                <a:lnTo>
                                  <a:pt x="4487" y="2611"/>
                                </a:lnTo>
                                <a:lnTo>
                                  <a:pt x="4422" y="2580"/>
                                </a:lnTo>
                                <a:lnTo>
                                  <a:pt x="4359" y="2546"/>
                                </a:lnTo>
                                <a:lnTo>
                                  <a:pt x="4298" y="2510"/>
                                </a:lnTo>
                                <a:lnTo>
                                  <a:pt x="4240" y="2470"/>
                                </a:lnTo>
                                <a:lnTo>
                                  <a:pt x="4183" y="2427"/>
                                </a:lnTo>
                                <a:lnTo>
                                  <a:pt x="4129" y="2382"/>
                                </a:lnTo>
                                <a:lnTo>
                                  <a:pt x="4078" y="2334"/>
                                </a:lnTo>
                                <a:lnTo>
                                  <a:pt x="4029" y="2284"/>
                                </a:lnTo>
                                <a:lnTo>
                                  <a:pt x="3982" y="2231"/>
                                </a:lnTo>
                                <a:lnTo>
                                  <a:pt x="3939" y="2176"/>
                                </a:lnTo>
                                <a:lnTo>
                                  <a:pt x="3898" y="2118"/>
                                </a:lnTo>
                                <a:lnTo>
                                  <a:pt x="3860" y="2059"/>
                                </a:lnTo>
                                <a:lnTo>
                                  <a:pt x="3825" y="1998"/>
                                </a:lnTo>
                                <a:lnTo>
                                  <a:pt x="3794" y="1934"/>
                                </a:lnTo>
                                <a:lnTo>
                                  <a:pt x="3766" y="1869"/>
                                </a:lnTo>
                                <a:lnTo>
                                  <a:pt x="3741" y="1803"/>
                                </a:lnTo>
                                <a:lnTo>
                                  <a:pt x="3720" y="1734"/>
                                </a:lnTo>
                                <a:lnTo>
                                  <a:pt x="3702" y="1665"/>
                                </a:lnTo>
                                <a:lnTo>
                                  <a:pt x="3688" y="1593"/>
                                </a:lnTo>
                                <a:lnTo>
                                  <a:pt x="3678" y="1521"/>
                                </a:lnTo>
                                <a:lnTo>
                                  <a:pt x="3672" y="1448"/>
                                </a:lnTo>
                                <a:lnTo>
                                  <a:pt x="3670" y="1373"/>
                                </a:lnTo>
                                <a:close/>
                                <a:moveTo>
                                  <a:pt x="0" y="1359"/>
                                </a:moveTo>
                                <a:lnTo>
                                  <a:pt x="2" y="1286"/>
                                </a:lnTo>
                                <a:lnTo>
                                  <a:pt x="8" y="1215"/>
                                </a:lnTo>
                                <a:lnTo>
                                  <a:pt x="18" y="1145"/>
                                </a:lnTo>
                                <a:lnTo>
                                  <a:pt x="31" y="1076"/>
                                </a:lnTo>
                                <a:lnTo>
                                  <a:pt x="49" y="1008"/>
                                </a:lnTo>
                                <a:lnTo>
                                  <a:pt x="69" y="942"/>
                                </a:lnTo>
                                <a:lnTo>
                                  <a:pt x="94" y="877"/>
                                </a:lnTo>
                                <a:lnTo>
                                  <a:pt x="121" y="814"/>
                                </a:lnTo>
                                <a:lnTo>
                                  <a:pt x="152" y="752"/>
                                </a:lnTo>
                                <a:lnTo>
                                  <a:pt x="186" y="692"/>
                                </a:lnTo>
                                <a:lnTo>
                                  <a:pt x="223" y="634"/>
                                </a:lnTo>
                                <a:lnTo>
                                  <a:pt x="263" y="578"/>
                                </a:lnTo>
                                <a:lnTo>
                                  <a:pt x="306" y="524"/>
                                </a:lnTo>
                                <a:lnTo>
                                  <a:pt x="352" y="472"/>
                                </a:lnTo>
                                <a:lnTo>
                                  <a:pt x="400" y="422"/>
                                </a:lnTo>
                                <a:lnTo>
                                  <a:pt x="451" y="374"/>
                                </a:lnTo>
                                <a:lnTo>
                                  <a:pt x="504" y="329"/>
                                </a:lnTo>
                                <a:lnTo>
                                  <a:pt x="560" y="286"/>
                                </a:lnTo>
                                <a:lnTo>
                                  <a:pt x="618" y="246"/>
                                </a:lnTo>
                                <a:lnTo>
                                  <a:pt x="678" y="209"/>
                                </a:lnTo>
                                <a:lnTo>
                                  <a:pt x="740" y="174"/>
                                </a:lnTo>
                                <a:lnTo>
                                  <a:pt x="804" y="142"/>
                                </a:lnTo>
                                <a:lnTo>
                                  <a:pt x="870" y="113"/>
                                </a:lnTo>
                                <a:lnTo>
                                  <a:pt x="937" y="87"/>
                                </a:lnTo>
                                <a:lnTo>
                                  <a:pt x="1007" y="65"/>
                                </a:lnTo>
                                <a:lnTo>
                                  <a:pt x="1078" y="45"/>
                                </a:lnTo>
                                <a:lnTo>
                                  <a:pt x="1150" y="29"/>
                                </a:lnTo>
                                <a:lnTo>
                                  <a:pt x="1224" y="16"/>
                                </a:lnTo>
                                <a:lnTo>
                                  <a:pt x="1298" y="7"/>
                                </a:lnTo>
                                <a:lnTo>
                                  <a:pt x="1374" y="1"/>
                                </a:lnTo>
                                <a:lnTo>
                                  <a:pt x="1452" y="0"/>
                                </a:lnTo>
                                <a:lnTo>
                                  <a:pt x="1529" y="1"/>
                                </a:lnTo>
                                <a:lnTo>
                                  <a:pt x="1605" y="7"/>
                                </a:lnTo>
                                <a:lnTo>
                                  <a:pt x="1680" y="16"/>
                                </a:lnTo>
                                <a:lnTo>
                                  <a:pt x="1753" y="29"/>
                                </a:lnTo>
                                <a:lnTo>
                                  <a:pt x="1826" y="45"/>
                                </a:lnTo>
                                <a:lnTo>
                                  <a:pt x="1896" y="65"/>
                                </a:lnTo>
                                <a:lnTo>
                                  <a:pt x="1966" y="87"/>
                                </a:lnTo>
                                <a:lnTo>
                                  <a:pt x="2033" y="113"/>
                                </a:lnTo>
                                <a:lnTo>
                                  <a:pt x="2099" y="142"/>
                                </a:lnTo>
                                <a:lnTo>
                                  <a:pt x="2163" y="174"/>
                                </a:lnTo>
                                <a:lnTo>
                                  <a:pt x="2225" y="209"/>
                                </a:lnTo>
                                <a:lnTo>
                                  <a:pt x="2285" y="246"/>
                                </a:lnTo>
                                <a:lnTo>
                                  <a:pt x="2343" y="286"/>
                                </a:lnTo>
                                <a:lnTo>
                                  <a:pt x="2399" y="329"/>
                                </a:lnTo>
                                <a:lnTo>
                                  <a:pt x="2452" y="374"/>
                                </a:lnTo>
                                <a:lnTo>
                                  <a:pt x="2503" y="422"/>
                                </a:lnTo>
                                <a:lnTo>
                                  <a:pt x="2551" y="472"/>
                                </a:lnTo>
                                <a:lnTo>
                                  <a:pt x="2597" y="524"/>
                                </a:lnTo>
                                <a:lnTo>
                                  <a:pt x="2640" y="578"/>
                                </a:lnTo>
                                <a:lnTo>
                                  <a:pt x="2680" y="634"/>
                                </a:lnTo>
                                <a:lnTo>
                                  <a:pt x="2717" y="692"/>
                                </a:lnTo>
                                <a:lnTo>
                                  <a:pt x="2751" y="752"/>
                                </a:lnTo>
                                <a:lnTo>
                                  <a:pt x="2782" y="814"/>
                                </a:lnTo>
                                <a:lnTo>
                                  <a:pt x="2810" y="877"/>
                                </a:lnTo>
                                <a:lnTo>
                                  <a:pt x="2834" y="942"/>
                                </a:lnTo>
                                <a:lnTo>
                                  <a:pt x="2855" y="1008"/>
                                </a:lnTo>
                                <a:lnTo>
                                  <a:pt x="2872" y="1076"/>
                                </a:lnTo>
                                <a:lnTo>
                                  <a:pt x="2885" y="1145"/>
                                </a:lnTo>
                                <a:lnTo>
                                  <a:pt x="2895" y="1215"/>
                                </a:lnTo>
                                <a:lnTo>
                                  <a:pt x="2901" y="1286"/>
                                </a:lnTo>
                                <a:lnTo>
                                  <a:pt x="2903" y="1359"/>
                                </a:lnTo>
                                <a:lnTo>
                                  <a:pt x="2901" y="1431"/>
                                </a:lnTo>
                                <a:lnTo>
                                  <a:pt x="2895" y="1502"/>
                                </a:lnTo>
                                <a:lnTo>
                                  <a:pt x="2885" y="1572"/>
                                </a:lnTo>
                                <a:lnTo>
                                  <a:pt x="2872" y="1641"/>
                                </a:lnTo>
                                <a:lnTo>
                                  <a:pt x="2855" y="1709"/>
                                </a:lnTo>
                                <a:lnTo>
                                  <a:pt x="2834" y="1775"/>
                                </a:lnTo>
                                <a:lnTo>
                                  <a:pt x="2810" y="1840"/>
                                </a:lnTo>
                                <a:lnTo>
                                  <a:pt x="2782" y="1903"/>
                                </a:lnTo>
                                <a:lnTo>
                                  <a:pt x="2751" y="1965"/>
                                </a:lnTo>
                                <a:lnTo>
                                  <a:pt x="2717" y="2025"/>
                                </a:lnTo>
                                <a:lnTo>
                                  <a:pt x="2680" y="2083"/>
                                </a:lnTo>
                                <a:lnTo>
                                  <a:pt x="2640" y="2139"/>
                                </a:lnTo>
                                <a:lnTo>
                                  <a:pt x="2597" y="2194"/>
                                </a:lnTo>
                                <a:lnTo>
                                  <a:pt x="2551" y="2246"/>
                                </a:lnTo>
                                <a:lnTo>
                                  <a:pt x="2503" y="2296"/>
                                </a:lnTo>
                                <a:lnTo>
                                  <a:pt x="2452" y="2343"/>
                                </a:lnTo>
                                <a:lnTo>
                                  <a:pt x="2399" y="2388"/>
                                </a:lnTo>
                                <a:lnTo>
                                  <a:pt x="2343" y="2431"/>
                                </a:lnTo>
                                <a:lnTo>
                                  <a:pt x="2285" y="2471"/>
                                </a:lnTo>
                                <a:lnTo>
                                  <a:pt x="2225" y="2509"/>
                                </a:lnTo>
                                <a:lnTo>
                                  <a:pt x="2163" y="2543"/>
                                </a:lnTo>
                                <a:lnTo>
                                  <a:pt x="2099" y="2575"/>
                                </a:lnTo>
                                <a:lnTo>
                                  <a:pt x="2033" y="2604"/>
                                </a:lnTo>
                                <a:lnTo>
                                  <a:pt x="1966" y="2630"/>
                                </a:lnTo>
                                <a:lnTo>
                                  <a:pt x="1896" y="2653"/>
                                </a:lnTo>
                                <a:lnTo>
                                  <a:pt x="1826" y="2672"/>
                                </a:lnTo>
                                <a:lnTo>
                                  <a:pt x="1753" y="2688"/>
                                </a:lnTo>
                                <a:lnTo>
                                  <a:pt x="1680" y="2701"/>
                                </a:lnTo>
                                <a:lnTo>
                                  <a:pt x="1605" y="2710"/>
                                </a:lnTo>
                                <a:lnTo>
                                  <a:pt x="1529" y="2716"/>
                                </a:lnTo>
                                <a:lnTo>
                                  <a:pt x="1452" y="2718"/>
                                </a:lnTo>
                                <a:lnTo>
                                  <a:pt x="1374" y="2716"/>
                                </a:lnTo>
                                <a:lnTo>
                                  <a:pt x="1298" y="2710"/>
                                </a:lnTo>
                                <a:lnTo>
                                  <a:pt x="1224" y="2701"/>
                                </a:lnTo>
                                <a:lnTo>
                                  <a:pt x="1150" y="2688"/>
                                </a:lnTo>
                                <a:lnTo>
                                  <a:pt x="1078" y="2672"/>
                                </a:lnTo>
                                <a:lnTo>
                                  <a:pt x="1007" y="2653"/>
                                </a:lnTo>
                                <a:lnTo>
                                  <a:pt x="937" y="2630"/>
                                </a:lnTo>
                                <a:lnTo>
                                  <a:pt x="870" y="2604"/>
                                </a:lnTo>
                                <a:lnTo>
                                  <a:pt x="804" y="2575"/>
                                </a:lnTo>
                                <a:lnTo>
                                  <a:pt x="740" y="2543"/>
                                </a:lnTo>
                                <a:lnTo>
                                  <a:pt x="678" y="2509"/>
                                </a:lnTo>
                                <a:lnTo>
                                  <a:pt x="618" y="2471"/>
                                </a:lnTo>
                                <a:lnTo>
                                  <a:pt x="560" y="2431"/>
                                </a:lnTo>
                                <a:lnTo>
                                  <a:pt x="504" y="2388"/>
                                </a:lnTo>
                                <a:lnTo>
                                  <a:pt x="451" y="2343"/>
                                </a:lnTo>
                                <a:lnTo>
                                  <a:pt x="400" y="2296"/>
                                </a:lnTo>
                                <a:lnTo>
                                  <a:pt x="352" y="2246"/>
                                </a:lnTo>
                                <a:lnTo>
                                  <a:pt x="306" y="2194"/>
                                </a:lnTo>
                                <a:lnTo>
                                  <a:pt x="263" y="2139"/>
                                </a:lnTo>
                                <a:lnTo>
                                  <a:pt x="223" y="2083"/>
                                </a:lnTo>
                                <a:lnTo>
                                  <a:pt x="186" y="2025"/>
                                </a:lnTo>
                                <a:lnTo>
                                  <a:pt x="152" y="1965"/>
                                </a:lnTo>
                                <a:lnTo>
                                  <a:pt x="121" y="1903"/>
                                </a:lnTo>
                                <a:lnTo>
                                  <a:pt x="94" y="1840"/>
                                </a:lnTo>
                                <a:lnTo>
                                  <a:pt x="69" y="1775"/>
                                </a:lnTo>
                                <a:lnTo>
                                  <a:pt x="49" y="1709"/>
                                </a:lnTo>
                                <a:lnTo>
                                  <a:pt x="31" y="1641"/>
                                </a:lnTo>
                                <a:lnTo>
                                  <a:pt x="18" y="1572"/>
                                </a:lnTo>
                                <a:lnTo>
                                  <a:pt x="8" y="1502"/>
                                </a:lnTo>
                                <a:lnTo>
                                  <a:pt x="2" y="1431"/>
                                </a:lnTo>
                                <a:lnTo>
                                  <a:pt x="0" y="1359"/>
                                </a:lnTo>
                                <a:close/>
                              </a:path>
                            </a:pathLst>
                          </a:custGeom>
                          <a:noFill/>
                          <a:ln w="7226">
                            <a:solidFill>
                              <a:srgbClr val="231F2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7" name="Line 340"/>
                        <wps:cNvCnPr>
                          <a:cxnSpLocks noChangeShapeType="1"/>
                        </wps:cNvCnPr>
                        <wps:spPr bwMode="auto">
                          <a:xfrm>
                            <a:off x="3983" y="868"/>
                            <a:ext cx="914" cy="0"/>
                          </a:xfrm>
                          <a:prstGeom prst="line">
                            <a:avLst/>
                          </a:prstGeom>
                          <a:noFill/>
                          <a:ln w="10833">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328" name="docshape38"/>
                        <wps:cNvSpPr>
                          <a:spLocks/>
                        </wps:cNvSpPr>
                        <wps:spPr bwMode="auto">
                          <a:xfrm>
                            <a:off x="3983" y="792"/>
                            <a:ext cx="915" cy="151"/>
                          </a:xfrm>
                          <a:custGeom>
                            <a:avLst/>
                            <a:gdLst>
                              <a:gd name="T0" fmla="+- 0 4768 3983"/>
                              <a:gd name="T1" fmla="*/ T0 w 915"/>
                              <a:gd name="T2" fmla="+- 0 793 793"/>
                              <a:gd name="T3" fmla="*/ 793 h 151"/>
                              <a:gd name="T4" fmla="+- 0 4897 3983"/>
                              <a:gd name="T5" fmla="*/ T4 w 915"/>
                              <a:gd name="T6" fmla="+- 0 868 793"/>
                              <a:gd name="T7" fmla="*/ 868 h 151"/>
                              <a:gd name="T8" fmla="+- 0 4770 3983"/>
                              <a:gd name="T9" fmla="*/ T8 w 915"/>
                              <a:gd name="T10" fmla="+- 0 944 793"/>
                              <a:gd name="T11" fmla="*/ 944 h 151"/>
                              <a:gd name="T12" fmla="+- 0 4113 3983"/>
                              <a:gd name="T13" fmla="*/ T12 w 915"/>
                              <a:gd name="T14" fmla="+- 0 793 793"/>
                              <a:gd name="T15" fmla="*/ 793 h 151"/>
                              <a:gd name="T16" fmla="+- 0 3983 3983"/>
                              <a:gd name="T17" fmla="*/ T16 w 915"/>
                              <a:gd name="T18" fmla="+- 0 868 793"/>
                              <a:gd name="T19" fmla="*/ 868 h 151"/>
                              <a:gd name="T20" fmla="+- 0 4110 3983"/>
                              <a:gd name="T21" fmla="*/ T20 w 915"/>
                              <a:gd name="T22" fmla="+- 0 944 793"/>
                              <a:gd name="T23" fmla="*/ 944 h 151"/>
                            </a:gdLst>
                            <a:ahLst/>
                            <a:cxnLst>
                              <a:cxn ang="0">
                                <a:pos x="T1" y="T3"/>
                              </a:cxn>
                              <a:cxn ang="0">
                                <a:pos x="T5" y="T7"/>
                              </a:cxn>
                              <a:cxn ang="0">
                                <a:pos x="T9" y="T11"/>
                              </a:cxn>
                              <a:cxn ang="0">
                                <a:pos x="T13" y="T15"/>
                              </a:cxn>
                              <a:cxn ang="0">
                                <a:pos x="T17" y="T19"/>
                              </a:cxn>
                              <a:cxn ang="0">
                                <a:pos x="T21" y="T23"/>
                              </a:cxn>
                            </a:cxnLst>
                            <a:rect l="0" t="0" r="r" b="b"/>
                            <a:pathLst>
                              <a:path w="915" h="151">
                                <a:moveTo>
                                  <a:pt x="785" y="0"/>
                                </a:moveTo>
                                <a:lnTo>
                                  <a:pt x="914" y="75"/>
                                </a:lnTo>
                                <a:lnTo>
                                  <a:pt x="787" y="151"/>
                                </a:lnTo>
                                <a:moveTo>
                                  <a:pt x="130" y="0"/>
                                </a:moveTo>
                                <a:lnTo>
                                  <a:pt x="0" y="75"/>
                                </a:lnTo>
                                <a:lnTo>
                                  <a:pt x="127" y="151"/>
                                </a:lnTo>
                              </a:path>
                            </a:pathLst>
                          </a:custGeom>
                          <a:noFill/>
                          <a:ln w="10833">
                            <a:solidFill>
                              <a:srgbClr val="231F2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9" name="Line 338"/>
                        <wps:cNvCnPr>
                          <a:cxnSpLocks noChangeShapeType="1"/>
                        </wps:cNvCnPr>
                        <wps:spPr bwMode="auto">
                          <a:xfrm>
                            <a:off x="3983" y="2045"/>
                            <a:ext cx="914" cy="0"/>
                          </a:xfrm>
                          <a:prstGeom prst="line">
                            <a:avLst/>
                          </a:prstGeom>
                          <a:noFill/>
                          <a:ln w="10833">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330" name="docshape39"/>
                        <wps:cNvSpPr>
                          <a:spLocks/>
                        </wps:cNvSpPr>
                        <wps:spPr bwMode="auto">
                          <a:xfrm>
                            <a:off x="3983" y="1969"/>
                            <a:ext cx="915" cy="151"/>
                          </a:xfrm>
                          <a:custGeom>
                            <a:avLst/>
                            <a:gdLst>
                              <a:gd name="T0" fmla="+- 0 4768 3983"/>
                              <a:gd name="T1" fmla="*/ T0 w 915"/>
                              <a:gd name="T2" fmla="+- 0 1969 1969"/>
                              <a:gd name="T3" fmla="*/ 1969 h 151"/>
                              <a:gd name="T4" fmla="+- 0 4897 3983"/>
                              <a:gd name="T5" fmla="*/ T4 w 915"/>
                              <a:gd name="T6" fmla="+- 0 2045 1969"/>
                              <a:gd name="T7" fmla="*/ 2045 h 151"/>
                              <a:gd name="T8" fmla="+- 0 4770 3983"/>
                              <a:gd name="T9" fmla="*/ T8 w 915"/>
                              <a:gd name="T10" fmla="+- 0 2120 1969"/>
                              <a:gd name="T11" fmla="*/ 2120 h 151"/>
                              <a:gd name="T12" fmla="+- 0 4113 3983"/>
                              <a:gd name="T13" fmla="*/ T12 w 915"/>
                              <a:gd name="T14" fmla="+- 0 1969 1969"/>
                              <a:gd name="T15" fmla="*/ 1969 h 151"/>
                              <a:gd name="T16" fmla="+- 0 3983 3983"/>
                              <a:gd name="T17" fmla="*/ T16 w 915"/>
                              <a:gd name="T18" fmla="+- 0 2045 1969"/>
                              <a:gd name="T19" fmla="*/ 2045 h 151"/>
                              <a:gd name="T20" fmla="+- 0 4110 3983"/>
                              <a:gd name="T21" fmla="*/ T20 w 915"/>
                              <a:gd name="T22" fmla="+- 0 2120 1969"/>
                              <a:gd name="T23" fmla="*/ 2120 h 151"/>
                            </a:gdLst>
                            <a:ahLst/>
                            <a:cxnLst>
                              <a:cxn ang="0">
                                <a:pos x="T1" y="T3"/>
                              </a:cxn>
                              <a:cxn ang="0">
                                <a:pos x="T5" y="T7"/>
                              </a:cxn>
                              <a:cxn ang="0">
                                <a:pos x="T9" y="T11"/>
                              </a:cxn>
                              <a:cxn ang="0">
                                <a:pos x="T13" y="T15"/>
                              </a:cxn>
                              <a:cxn ang="0">
                                <a:pos x="T17" y="T19"/>
                              </a:cxn>
                              <a:cxn ang="0">
                                <a:pos x="T21" y="T23"/>
                              </a:cxn>
                            </a:cxnLst>
                            <a:rect l="0" t="0" r="r" b="b"/>
                            <a:pathLst>
                              <a:path w="915" h="151">
                                <a:moveTo>
                                  <a:pt x="785" y="0"/>
                                </a:moveTo>
                                <a:lnTo>
                                  <a:pt x="914" y="76"/>
                                </a:lnTo>
                                <a:lnTo>
                                  <a:pt x="787" y="151"/>
                                </a:lnTo>
                                <a:moveTo>
                                  <a:pt x="130" y="0"/>
                                </a:moveTo>
                                <a:lnTo>
                                  <a:pt x="0" y="76"/>
                                </a:lnTo>
                                <a:lnTo>
                                  <a:pt x="127" y="151"/>
                                </a:lnTo>
                              </a:path>
                            </a:pathLst>
                          </a:custGeom>
                          <a:noFill/>
                          <a:ln w="10833">
                            <a:solidFill>
                              <a:srgbClr val="231F2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1" name="docshape40"/>
                        <wps:cNvSpPr>
                          <a:spLocks/>
                        </wps:cNvSpPr>
                        <wps:spPr bwMode="auto">
                          <a:xfrm>
                            <a:off x="5229" y="519"/>
                            <a:ext cx="2072" cy="1930"/>
                          </a:xfrm>
                          <a:custGeom>
                            <a:avLst/>
                            <a:gdLst>
                              <a:gd name="T0" fmla="+- 0 5233 5230"/>
                              <a:gd name="T1" fmla="*/ T0 w 2072"/>
                              <a:gd name="T2" fmla="+- 0 1412 520"/>
                              <a:gd name="T3" fmla="*/ 1412 h 1930"/>
                              <a:gd name="T4" fmla="+- 0 5255 5230"/>
                              <a:gd name="T5" fmla="*/ T4 w 2072"/>
                              <a:gd name="T6" fmla="+- 0 1273 520"/>
                              <a:gd name="T7" fmla="*/ 1273 h 1930"/>
                              <a:gd name="T8" fmla="+- 0 5297 5230"/>
                              <a:gd name="T9" fmla="*/ T8 w 2072"/>
                              <a:gd name="T10" fmla="+- 0 1141 520"/>
                              <a:gd name="T11" fmla="*/ 1141 h 1930"/>
                              <a:gd name="T12" fmla="+- 0 5359 5230"/>
                              <a:gd name="T13" fmla="*/ T12 w 2072"/>
                              <a:gd name="T14" fmla="+- 0 1017 520"/>
                              <a:gd name="T15" fmla="*/ 1017 h 1930"/>
                              <a:gd name="T16" fmla="+- 0 5438 5230"/>
                              <a:gd name="T17" fmla="*/ T16 w 2072"/>
                              <a:gd name="T18" fmla="+- 0 904 520"/>
                              <a:gd name="T19" fmla="*/ 904 h 1930"/>
                              <a:gd name="T20" fmla="+- 0 5533 5230"/>
                              <a:gd name="T21" fmla="*/ T20 w 2072"/>
                              <a:gd name="T22" fmla="+- 0 802 520"/>
                              <a:gd name="T23" fmla="*/ 802 h 1930"/>
                              <a:gd name="T24" fmla="+- 0 5642 5230"/>
                              <a:gd name="T25" fmla="*/ T24 w 2072"/>
                              <a:gd name="T26" fmla="+- 0 714 520"/>
                              <a:gd name="T27" fmla="*/ 714 h 1930"/>
                              <a:gd name="T28" fmla="+- 0 5764 5230"/>
                              <a:gd name="T29" fmla="*/ T28 w 2072"/>
                              <a:gd name="T30" fmla="+- 0 640 520"/>
                              <a:gd name="T31" fmla="*/ 640 h 1930"/>
                              <a:gd name="T32" fmla="+- 0 5897 5230"/>
                              <a:gd name="T33" fmla="*/ T32 w 2072"/>
                              <a:gd name="T34" fmla="+- 0 583 520"/>
                              <a:gd name="T35" fmla="*/ 583 h 1930"/>
                              <a:gd name="T36" fmla="+- 0 6039 5230"/>
                              <a:gd name="T37" fmla="*/ T36 w 2072"/>
                              <a:gd name="T38" fmla="+- 0 543 520"/>
                              <a:gd name="T39" fmla="*/ 543 h 1930"/>
                              <a:gd name="T40" fmla="+- 0 6188 5230"/>
                              <a:gd name="T41" fmla="*/ T40 w 2072"/>
                              <a:gd name="T42" fmla="+- 0 522 520"/>
                              <a:gd name="T43" fmla="*/ 522 h 1930"/>
                              <a:gd name="T44" fmla="+- 0 6343 5230"/>
                              <a:gd name="T45" fmla="*/ T44 w 2072"/>
                              <a:gd name="T46" fmla="+- 0 522 520"/>
                              <a:gd name="T47" fmla="*/ 522 h 1930"/>
                              <a:gd name="T48" fmla="+- 0 6493 5230"/>
                              <a:gd name="T49" fmla="*/ T48 w 2072"/>
                              <a:gd name="T50" fmla="+- 0 543 520"/>
                              <a:gd name="T51" fmla="*/ 543 h 1930"/>
                              <a:gd name="T52" fmla="+- 0 6635 5230"/>
                              <a:gd name="T53" fmla="*/ T52 w 2072"/>
                              <a:gd name="T54" fmla="+- 0 583 520"/>
                              <a:gd name="T55" fmla="*/ 583 h 1930"/>
                              <a:gd name="T56" fmla="+- 0 6767 5230"/>
                              <a:gd name="T57" fmla="*/ T56 w 2072"/>
                              <a:gd name="T58" fmla="+- 0 640 520"/>
                              <a:gd name="T59" fmla="*/ 640 h 1930"/>
                              <a:gd name="T60" fmla="+- 0 6889 5230"/>
                              <a:gd name="T61" fmla="*/ T60 w 2072"/>
                              <a:gd name="T62" fmla="+- 0 714 520"/>
                              <a:gd name="T63" fmla="*/ 714 h 1930"/>
                              <a:gd name="T64" fmla="+- 0 6998 5230"/>
                              <a:gd name="T65" fmla="*/ T64 w 2072"/>
                              <a:gd name="T66" fmla="+- 0 802 520"/>
                              <a:gd name="T67" fmla="*/ 802 h 1930"/>
                              <a:gd name="T68" fmla="+- 0 7093 5230"/>
                              <a:gd name="T69" fmla="*/ T68 w 2072"/>
                              <a:gd name="T70" fmla="+- 0 904 520"/>
                              <a:gd name="T71" fmla="*/ 904 h 1930"/>
                              <a:gd name="T72" fmla="+- 0 7172 5230"/>
                              <a:gd name="T73" fmla="*/ T72 w 2072"/>
                              <a:gd name="T74" fmla="+- 0 1017 520"/>
                              <a:gd name="T75" fmla="*/ 1017 h 1930"/>
                              <a:gd name="T76" fmla="+- 0 7234 5230"/>
                              <a:gd name="T77" fmla="*/ T76 w 2072"/>
                              <a:gd name="T78" fmla="+- 0 1141 520"/>
                              <a:gd name="T79" fmla="*/ 1141 h 1930"/>
                              <a:gd name="T80" fmla="+- 0 7277 5230"/>
                              <a:gd name="T81" fmla="*/ T80 w 2072"/>
                              <a:gd name="T82" fmla="+- 0 1273 520"/>
                              <a:gd name="T83" fmla="*/ 1273 h 1930"/>
                              <a:gd name="T84" fmla="+- 0 7299 5230"/>
                              <a:gd name="T85" fmla="*/ T84 w 2072"/>
                              <a:gd name="T86" fmla="+- 0 1412 520"/>
                              <a:gd name="T87" fmla="*/ 1412 h 1930"/>
                              <a:gd name="T88" fmla="+- 0 7299 5230"/>
                              <a:gd name="T89" fmla="*/ T88 w 2072"/>
                              <a:gd name="T90" fmla="+- 0 1556 520"/>
                              <a:gd name="T91" fmla="*/ 1556 h 1930"/>
                              <a:gd name="T92" fmla="+- 0 7277 5230"/>
                              <a:gd name="T93" fmla="*/ T92 w 2072"/>
                              <a:gd name="T94" fmla="+- 0 1696 520"/>
                              <a:gd name="T95" fmla="*/ 1696 h 1930"/>
                              <a:gd name="T96" fmla="+- 0 7234 5230"/>
                              <a:gd name="T97" fmla="*/ T96 w 2072"/>
                              <a:gd name="T98" fmla="+- 0 1828 520"/>
                              <a:gd name="T99" fmla="*/ 1828 h 1930"/>
                              <a:gd name="T100" fmla="+- 0 7172 5230"/>
                              <a:gd name="T101" fmla="*/ T100 w 2072"/>
                              <a:gd name="T102" fmla="+- 0 1952 520"/>
                              <a:gd name="T103" fmla="*/ 1952 h 1930"/>
                              <a:gd name="T104" fmla="+- 0 7093 5230"/>
                              <a:gd name="T105" fmla="*/ T104 w 2072"/>
                              <a:gd name="T106" fmla="+- 0 2065 520"/>
                              <a:gd name="T107" fmla="*/ 2065 h 1930"/>
                              <a:gd name="T108" fmla="+- 0 6998 5230"/>
                              <a:gd name="T109" fmla="*/ T108 w 2072"/>
                              <a:gd name="T110" fmla="+- 0 2167 520"/>
                              <a:gd name="T111" fmla="*/ 2167 h 1930"/>
                              <a:gd name="T112" fmla="+- 0 6889 5230"/>
                              <a:gd name="T113" fmla="*/ T112 w 2072"/>
                              <a:gd name="T114" fmla="+- 0 2255 520"/>
                              <a:gd name="T115" fmla="*/ 2255 h 1930"/>
                              <a:gd name="T116" fmla="+- 0 6767 5230"/>
                              <a:gd name="T117" fmla="*/ T116 w 2072"/>
                              <a:gd name="T118" fmla="+- 0 2329 520"/>
                              <a:gd name="T119" fmla="*/ 2329 h 1930"/>
                              <a:gd name="T120" fmla="+- 0 6635 5230"/>
                              <a:gd name="T121" fmla="*/ T120 w 2072"/>
                              <a:gd name="T122" fmla="+- 0 2386 520"/>
                              <a:gd name="T123" fmla="*/ 2386 h 1930"/>
                              <a:gd name="T124" fmla="+- 0 6493 5230"/>
                              <a:gd name="T125" fmla="*/ T124 w 2072"/>
                              <a:gd name="T126" fmla="+- 0 2426 520"/>
                              <a:gd name="T127" fmla="*/ 2426 h 1930"/>
                              <a:gd name="T128" fmla="+- 0 6343 5230"/>
                              <a:gd name="T129" fmla="*/ T128 w 2072"/>
                              <a:gd name="T130" fmla="+- 0 2446 520"/>
                              <a:gd name="T131" fmla="*/ 2446 h 1930"/>
                              <a:gd name="T132" fmla="+- 0 6188 5230"/>
                              <a:gd name="T133" fmla="*/ T132 w 2072"/>
                              <a:gd name="T134" fmla="+- 0 2446 520"/>
                              <a:gd name="T135" fmla="*/ 2446 h 1930"/>
                              <a:gd name="T136" fmla="+- 0 6039 5230"/>
                              <a:gd name="T137" fmla="*/ T136 w 2072"/>
                              <a:gd name="T138" fmla="+- 0 2426 520"/>
                              <a:gd name="T139" fmla="*/ 2426 h 1930"/>
                              <a:gd name="T140" fmla="+- 0 5897 5230"/>
                              <a:gd name="T141" fmla="*/ T140 w 2072"/>
                              <a:gd name="T142" fmla="+- 0 2386 520"/>
                              <a:gd name="T143" fmla="*/ 2386 h 1930"/>
                              <a:gd name="T144" fmla="+- 0 5764 5230"/>
                              <a:gd name="T145" fmla="*/ T144 w 2072"/>
                              <a:gd name="T146" fmla="+- 0 2329 520"/>
                              <a:gd name="T147" fmla="*/ 2329 h 1930"/>
                              <a:gd name="T148" fmla="+- 0 5642 5230"/>
                              <a:gd name="T149" fmla="*/ T148 w 2072"/>
                              <a:gd name="T150" fmla="+- 0 2255 520"/>
                              <a:gd name="T151" fmla="*/ 2255 h 1930"/>
                              <a:gd name="T152" fmla="+- 0 5533 5230"/>
                              <a:gd name="T153" fmla="*/ T152 w 2072"/>
                              <a:gd name="T154" fmla="+- 0 2167 520"/>
                              <a:gd name="T155" fmla="*/ 2167 h 1930"/>
                              <a:gd name="T156" fmla="+- 0 5438 5230"/>
                              <a:gd name="T157" fmla="*/ T156 w 2072"/>
                              <a:gd name="T158" fmla="+- 0 2065 520"/>
                              <a:gd name="T159" fmla="*/ 2065 h 1930"/>
                              <a:gd name="T160" fmla="+- 0 5359 5230"/>
                              <a:gd name="T161" fmla="*/ T160 w 2072"/>
                              <a:gd name="T162" fmla="+- 0 1952 520"/>
                              <a:gd name="T163" fmla="*/ 1952 h 1930"/>
                              <a:gd name="T164" fmla="+- 0 5297 5230"/>
                              <a:gd name="T165" fmla="*/ T164 w 2072"/>
                              <a:gd name="T166" fmla="+- 0 1828 520"/>
                              <a:gd name="T167" fmla="*/ 1828 h 1930"/>
                              <a:gd name="T168" fmla="+- 0 5255 5230"/>
                              <a:gd name="T169" fmla="*/ T168 w 2072"/>
                              <a:gd name="T170" fmla="+- 0 1696 520"/>
                              <a:gd name="T171" fmla="*/ 1696 h 1930"/>
                              <a:gd name="T172" fmla="+- 0 5233 5230"/>
                              <a:gd name="T173" fmla="*/ T172 w 2072"/>
                              <a:gd name="T174" fmla="+- 0 1556 520"/>
                              <a:gd name="T175" fmla="*/ 1556 h 193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Lst>
                            <a:rect l="0" t="0" r="r" b="b"/>
                            <a:pathLst>
                              <a:path w="2072" h="1930">
                                <a:moveTo>
                                  <a:pt x="0" y="964"/>
                                </a:moveTo>
                                <a:lnTo>
                                  <a:pt x="3" y="892"/>
                                </a:lnTo>
                                <a:lnTo>
                                  <a:pt x="11" y="822"/>
                                </a:lnTo>
                                <a:lnTo>
                                  <a:pt x="25" y="753"/>
                                </a:lnTo>
                                <a:lnTo>
                                  <a:pt x="44" y="686"/>
                                </a:lnTo>
                                <a:lnTo>
                                  <a:pt x="67" y="621"/>
                                </a:lnTo>
                                <a:lnTo>
                                  <a:pt x="96" y="558"/>
                                </a:lnTo>
                                <a:lnTo>
                                  <a:pt x="129" y="497"/>
                                </a:lnTo>
                                <a:lnTo>
                                  <a:pt x="167" y="439"/>
                                </a:lnTo>
                                <a:lnTo>
                                  <a:pt x="208" y="384"/>
                                </a:lnTo>
                                <a:lnTo>
                                  <a:pt x="254" y="332"/>
                                </a:lnTo>
                                <a:lnTo>
                                  <a:pt x="303" y="282"/>
                                </a:lnTo>
                                <a:lnTo>
                                  <a:pt x="356" y="236"/>
                                </a:lnTo>
                                <a:lnTo>
                                  <a:pt x="412" y="194"/>
                                </a:lnTo>
                                <a:lnTo>
                                  <a:pt x="472" y="155"/>
                                </a:lnTo>
                                <a:lnTo>
                                  <a:pt x="534" y="120"/>
                                </a:lnTo>
                                <a:lnTo>
                                  <a:pt x="599" y="89"/>
                                </a:lnTo>
                                <a:lnTo>
                                  <a:pt x="667" y="63"/>
                                </a:lnTo>
                                <a:lnTo>
                                  <a:pt x="736" y="41"/>
                                </a:lnTo>
                                <a:lnTo>
                                  <a:pt x="809" y="23"/>
                                </a:lnTo>
                                <a:lnTo>
                                  <a:pt x="883" y="10"/>
                                </a:lnTo>
                                <a:lnTo>
                                  <a:pt x="958" y="2"/>
                                </a:lnTo>
                                <a:lnTo>
                                  <a:pt x="1036" y="0"/>
                                </a:lnTo>
                                <a:lnTo>
                                  <a:pt x="1113" y="2"/>
                                </a:lnTo>
                                <a:lnTo>
                                  <a:pt x="1189" y="10"/>
                                </a:lnTo>
                                <a:lnTo>
                                  <a:pt x="1263" y="23"/>
                                </a:lnTo>
                                <a:lnTo>
                                  <a:pt x="1335" y="41"/>
                                </a:lnTo>
                                <a:lnTo>
                                  <a:pt x="1405" y="63"/>
                                </a:lnTo>
                                <a:lnTo>
                                  <a:pt x="1472" y="89"/>
                                </a:lnTo>
                                <a:lnTo>
                                  <a:pt x="1537" y="120"/>
                                </a:lnTo>
                                <a:lnTo>
                                  <a:pt x="1600" y="155"/>
                                </a:lnTo>
                                <a:lnTo>
                                  <a:pt x="1659" y="194"/>
                                </a:lnTo>
                                <a:lnTo>
                                  <a:pt x="1715" y="236"/>
                                </a:lnTo>
                                <a:lnTo>
                                  <a:pt x="1768" y="282"/>
                                </a:lnTo>
                                <a:lnTo>
                                  <a:pt x="1817" y="332"/>
                                </a:lnTo>
                                <a:lnTo>
                                  <a:pt x="1863" y="384"/>
                                </a:lnTo>
                                <a:lnTo>
                                  <a:pt x="1905" y="439"/>
                                </a:lnTo>
                                <a:lnTo>
                                  <a:pt x="1942" y="497"/>
                                </a:lnTo>
                                <a:lnTo>
                                  <a:pt x="1975" y="558"/>
                                </a:lnTo>
                                <a:lnTo>
                                  <a:pt x="2004" y="621"/>
                                </a:lnTo>
                                <a:lnTo>
                                  <a:pt x="2028" y="686"/>
                                </a:lnTo>
                                <a:lnTo>
                                  <a:pt x="2047" y="753"/>
                                </a:lnTo>
                                <a:lnTo>
                                  <a:pt x="2060" y="822"/>
                                </a:lnTo>
                                <a:lnTo>
                                  <a:pt x="2069" y="892"/>
                                </a:lnTo>
                                <a:lnTo>
                                  <a:pt x="2072" y="964"/>
                                </a:lnTo>
                                <a:lnTo>
                                  <a:pt x="2069" y="1036"/>
                                </a:lnTo>
                                <a:lnTo>
                                  <a:pt x="2060" y="1107"/>
                                </a:lnTo>
                                <a:lnTo>
                                  <a:pt x="2047" y="1176"/>
                                </a:lnTo>
                                <a:lnTo>
                                  <a:pt x="2028" y="1243"/>
                                </a:lnTo>
                                <a:lnTo>
                                  <a:pt x="2004" y="1308"/>
                                </a:lnTo>
                                <a:lnTo>
                                  <a:pt x="1975" y="1371"/>
                                </a:lnTo>
                                <a:lnTo>
                                  <a:pt x="1942" y="1432"/>
                                </a:lnTo>
                                <a:lnTo>
                                  <a:pt x="1905" y="1490"/>
                                </a:lnTo>
                                <a:lnTo>
                                  <a:pt x="1863" y="1545"/>
                                </a:lnTo>
                                <a:lnTo>
                                  <a:pt x="1817" y="1597"/>
                                </a:lnTo>
                                <a:lnTo>
                                  <a:pt x="1768" y="1647"/>
                                </a:lnTo>
                                <a:lnTo>
                                  <a:pt x="1715" y="1692"/>
                                </a:lnTo>
                                <a:lnTo>
                                  <a:pt x="1659" y="1735"/>
                                </a:lnTo>
                                <a:lnTo>
                                  <a:pt x="1600" y="1774"/>
                                </a:lnTo>
                                <a:lnTo>
                                  <a:pt x="1537" y="1809"/>
                                </a:lnTo>
                                <a:lnTo>
                                  <a:pt x="1472" y="1839"/>
                                </a:lnTo>
                                <a:lnTo>
                                  <a:pt x="1405" y="1866"/>
                                </a:lnTo>
                                <a:lnTo>
                                  <a:pt x="1335" y="1888"/>
                                </a:lnTo>
                                <a:lnTo>
                                  <a:pt x="1263" y="1906"/>
                                </a:lnTo>
                                <a:lnTo>
                                  <a:pt x="1189" y="1919"/>
                                </a:lnTo>
                                <a:lnTo>
                                  <a:pt x="1113" y="1926"/>
                                </a:lnTo>
                                <a:lnTo>
                                  <a:pt x="1036" y="1929"/>
                                </a:lnTo>
                                <a:lnTo>
                                  <a:pt x="958" y="1926"/>
                                </a:lnTo>
                                <a:lnTo>
                                  <a:pt x="883" y="1919"/>
                                </a:lnTo>
                                <a:lnTo>
                                  <a:pt x="809" y="1906"/>
                                </a:lnTo>
                                <a:lnTo>
                                  <a:pt x="736" y="1888"/>
                                </a:lnTo>
                                <a:lnTo>
                                  <a:pt x="667" y="1866"/>
                                </a:lnTo>
                                <a:lnTo>
                                  <a:pt x="599" y="1839"/>
                                </a:lnTo>
                                <a:lnTo>
                                  <a:pt x="534" y="1809"/>
                                </a:lnTo>
                                <a:lnTo>
                                  <a:pt x="472" y="1774"/>
                                </a:lnTo>
                                <a:lnTo>
                                  <a:pt x="412" y="1735"/>
                                </a:lnTo>
                                <a:lnTo>
                                  <a:pt x="356" y="1692"/>
                                </a:lnTo>
                                <a:lnTo>
                                  <a:pt x="303" y="1647"/>
                                </a:lnTo>
                                <a:lnTo>
                                  <a:pt x="254" y="1597"/>
                                </a:lnTo>
                                <a:lnTo>
                                  <a:pt x="208" y="1545"/>
                                </a:lnTo>
                                <a:lnTo>
                                  <a:pt x="167" y="1490"/>
                                </a:lnTo>
                                <a:lnTo>
                                  <a:pt x="129" y="1432"/>
                                </a:lnTo>
                                <a:lnTo>
                                  <a:pt x="96" y="1371"/>
                                </a:lnTo>
                                <a:lnTo>
                                  <a:pt x="67" y="1308"/>
                                </a:lnTo>
                                <a:lnTo>
                                  <a:pt x="44" y="1243"/>
                                </a:lnTo>
                                <a:lnTo>
                                  <a:pt x="25" y="1176"/>
                                </a:lnTo>
                                <a:lnTo>
                                  <a:pt x="11" y="1107"/>
                                </a:lnTo>
                                <a:lnTo>
                                  <a:pt x="3" y="1036"/>
                                </a:lnTo>
                                <a:lnTo>
                                  <a:pt x="0" y="964"/>
                                </a:lnTo>
                                <a:close/>
                              </a:path>
                            </a:pathLst>
                          </a:custGeom>
                          <a:noFill/>
                          <a:ln w="7226">
                            <a:solidFill>
                              <a:srgbClr val="231F2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2" name="docshape41"/>
                        <wps:cNvSpPr>
                          <a:spLocks/>
                        </wps:cNvSpPr>
                        <wps:spPr bwMode="auto">
                          <a:xfrm>
                            <a:off x="1193" y="89"/>
                            <a:ext cx="6319" cy="2733"/>
                          </a:xfrm>
                          <a:custGeom>
                            <a:avLst/>
                            <a:gdLst>
                              <a:gd name="T0" fmla="+- 0 4995 1194"/>
                              <a:gd name="T1" fmla="*/ T0 w 6319"/>
                              <a:gd name="T2" fmla="+- 0 887 90"/>
                              <a:gd name="T3" fmla="*/ 887 h 2733"/>
                              <a:gd name="T4" fmla="+- 0 5333 1194"/>
                              <a:gd name="T5" fmla="*/ T4 w 6319"/>
                              <a:gd name="T6" fmla="+- 0 1064 90"/>
                              <a:gd name="T7" fmla="*/ 1064 h 2733"/>
                              <a:gd name="T8" fmla="+- 0 6240 1194"/>
                              <a:gd name="T9" fmla="*/ T8 w 6319"/>
                              <a:gd name="T10" fmla="+- 0 2449 90"/>
                              <a:gd name="T11" fmla="*/ 2449 h 2733"/>
                              <a:gd name="T12" fmla="+- 0 6240 1194"/>
                              <a:gd name="T13" fmla="*/ T12 w 6319"/>
                              <a:gd name="T14" fmla="+- 0 2822 90"/>
                              <a:gd name="T15" fmla="*/ 2822 h 2733"/>
                              <a:gd name="T16" fmla="+- 0 7188 1194"/>
                              <a:gd name="T17" fmla="*/ T16 w 6319"/>
                              <a:gd name="T18" fmla="+- 0 1046 90"/>
                              <a:gd name="T19" fmla="*/ 1046 h 2733"/>
                              <a:gd name="T20" fmla="+- 0 7513 1194"/>
                              <a:gd name="T21" fmla="*/ T20 w 6319"/>
                              <a:gd name="T22" fmla="+- 0 883 90"/>
                              <a:gd name="T23" fmla="*/ 883 h 2733"/>
                              <a:gd name="T24" fmla="+- 0 1194 1194"/>
                              <a:gd name="T25" fmla="*/ T24 w 6319"/>
                              <a:gd name="T26" fmla="+- 0 1445 90"/>
                              <a:gd name="T27" fmla="*/ 1445 h 2733"/>
                              <a:gd name="T28" fmla="+- 0 4099 1194"/>
                              <a:gd name="T29" fmla="*/ T28 w 6319"/>
                              <a:gd name="T30" fmla="+- 0 1445 90"/>
                              <a:gd name="T31" fmla="*/ 1445 h 2733"/>
                              <a:gd name="T32" fmla="+- 0 2649 1194"/>
                              <a:gd name="T33" fmla="*/ T32 w 6319"/>
                              <a:gd name="T34" fmla="+- 0 90 90"/>
                              <a:gd name="T35" fmla="*/ 90 h 2733"/>
                              <a:gd name="T36" fmla="+- 0 2649 1194"/>
                              <a:gd name="T37" fmla="*/ T36 w 6319"/>
                              <a:gd name="T38" fmla="+- 0 2812 90"/>
                              <a:gd name="T39" fmla="*/ 2812 h 273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6319" h="2733">
                                <a:moveTo>
                                  <a:pt x="3801" y="797"/>
                                </a:moveTo>
                                <a:lnTo>
                                  <a:pt x="4139" y="974"/>
                                </a:lnTo>
                                <a:moveTo>
                                  <a:pt x="5046" y="2359"/>
                                </a:moveTo>
                                <a:lnTo>
                                  <a:pt x="5046" y="2732"/>
                                </a:lnTo>
                                <a:moveTo>
                                  <a:pt x="5994" y="956"/>
                                </a:moveTo>
                                <a:lnTo>
                                  <a:pt x="6319" y="793"/>
                                </a:lnTo>
                                <a:moveTo>
                                  <a:pt x="0" y="1355"/>
                                </a:moveTo>
                                <a:lnTo>
                                  <a:pt x="2905" y="1355"/>
                                </a:lnTo>
                                <a:moveTo>
                                  <a:pt x="1455" y="0"/>
                                </a:moveTo>
                                <a:lnTo>
                                  <a:pt x="1455" y="2722"/>
                                </a:lnTo>
                              </a:path>
                            </a:pathLst>
                          </a:custGeom>
                          <a:noFill/>
                          <a:ln w="10833">
                            <a:solidFill>
                              <a:srgbClr val="231F2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3" name="docshape42"/>
                        <wps:cNvSpPr txBox="1">
                          <a:spLocks noChangeArrowheads="1"/>
                        </wps:cNvSpPr>
                        <wps:spPr bwMode="auto">
                          <a:xfrm>
                            <a:off x="5858" y="111"/>
                            <a:ext cx="835" cy="4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51284B" w14:textId="77777777" w:rsidR="00AE0598" w:rsidRDefault="0069255A">
                              <w:pPr>
                                <w:spacing w:line="218" w:lineRule="auto"/>
                                <w:ind w:firstLine="96"/>
                                <w:rPr>
                                  <w:rFonts w:ascii="Segoe UI Symbol"/>
                                  <w:sz w:val="18"/>
                                </w:rPr>
                              </w:pPr>
                              <w:r>
                                <w:rPr>
                                  <w:rFonts w:ascii="Segoe UI Symbol"/>
                                  <w:color w:val="231F20"/>
                                  <w:spacing w:val="-2"/>
                                  <w:w w:val="105"/>
                                  <w:sz w:val="18"/>
                                </w:rPr>
                                <w:t xml:space="preserve">Primary </w:t>
                              </w:r>
                              <w:r>
                                <w:rPr>
                                  <w:rFonts w:ascii="Segoe UI Symbol"/>
                                  <w:color w:val="231F20"/>
                                  <w:spacing w:val="-2"/>
                                  <w:sz w:val="18"/>
                                </w:rPr>
                                <w:t>Attraction</w:t>
                              </w:r>
                            </w:p>
                          </w:txbxContent>
                        </wps:txbx>
                        <wps:bodyPr rot="0" vert="horz" wrap="square" lIns="0" tIns="0" rIns="0" bIns="0" anchor="t" anchorCtr="0" upright="1">
                          <a:noAutofit/>
                        </wps:bodyPr>
                      </wps:wsp>
                      <wps:wsp>
                        <wps:cNvPr id="334" name="docshape43"/>
                        <wps:cNvSpPr txBox="1">
                          <a:spLocks noChangeArrowheads="1"/>
                        </wps:cNvSpPr>
                        <wps:spPr bwMode="auto">
                          <a:xfrm>
                            <a:off x="1544" y="652"/>
                            <a:ext cx="1990" cy="4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5070A4" w14:textId="77777777" w:rsidR="00AE0598" w:rsidRDefault="0069255A">
                              <w:pPr>
                                <w:tabs>
                                  <w:tab w:val="left" w:pos="1469"/>
                                </w:tabs>
                                <w:spacing w:line="220" w:lineRule="exact"/>
                                <w:rPr>
                                  <w:rFonts w:ascii="Segoe UI Symbol"/>
                                  <w:sz w:val="18"/>
                                </w:rPr>
                              </w:pPr>
                              <w:r>
                                <w:rPr>
                                  <w:rFonts w:ascii="Segoe UI Symbol"/>
                                  <w:color w:val="231F20"/>
                                  <w:spacing w:val="-2"/>
                                  <w:sz w:val="18"/>
                                </w:rPr>
                                <w:t>Recreational</w:t>
                              </w:r>
                              <w:r>
                                <w:rPr>
                                  <w:rFonts w:ascii="Segoe UI Symbol"/>
                                  <w:color w:val="231F20"/>
                                  <w:sz w:val="18"/>
                                </w:rPr>
                                <w:tab/>
                              </w:r>
                              <w:r>
                                <w:rPr>
                                  <w:rFonts w:ascii="Segoe UI Symbol"/>
                                  <w:color w:val="231F20"/>
                                  <w:spacing w:val="-2"/>
                                  <w:position w:val="-1"/>
                                  <w:sz w:val="18"/>
                                </w:rPr>
                                <w:t>Elite</w:t>
                              </w:r>
                            </w:p>
                            <w:p w14:paraId="2AFE3DB6" w14:textId="77777777" w:rsidR="00AE0598" w:rsidRDefault="0069255A">
                              <w:pPr>
                                <w:tabs>
                                  <w:tab w:val="left" w:pos="1321"/>
                                </w:tabs>
                                <w:spacing w:line="239" w:lineRule="exact"/>
                                <w:ind w:left="164"/>
                                <w:rPr>
                                  <w:rFonts w:ascii="Segoe UI Symbol"/>
                                  <w:sz w:val="18"/>
                                </w:rPr>
                              </w:pPr>
                              <w:r>
                                <w:rPr>
                                  <w:rFonts w:ascii="Segoe UI Symbol"/>
                                  <w:color w:val="231F20"/>
                                  <w:spacing w:val="-2"/>
                                  <w:sz w:val="18"/>
                                </w:rPr>
                                <w:t>Athletes</w:t>
                              </w:r>
                              <w:r>
                                <w:rPr>
                                  <w:rFonts w:ascii="Segoe UI Symbol"/>
                                  <w:color w:val="231F20"/>
                                  <w:sz w:val="18"/>
                                </w:rPr>
                                <w:tab/>
                              </w:r>
                              <w:r>
                                <w:rPr>
                                  <w:rFonts w:ascii="Segoe UI Symbol"/>
                                  <w:color w:val="231F20"/>
                                  <w:spacing w:val="-2"/>
                                  <w:position w:val="-1"/>
                                  <w:sz w:val="18"/>
                                </w:rPr>
                                <w:t>Athletes</w:t>
                              </w:r>
                            </w:p>
                          </w:txbxContent>
                        </wps:txbx>
                        <wps:bodyPr rot="0" vert="horz" wrap="square" lIns="0" tIns="0" rIns="0" bIns="0" anchor="t" anchorCtr="0" upright="1">
                          <a:noAutofit/>
                        </wps:bodyPr>
                      </wps:wsp>
                      <wps:wsp>
                        <wps:cNvPr id="335" name="docshape44"/>
                        <wps:cNvSpPr txBox="1">
                          <a:spLocks noChangeArrowheads="1"/>
                        </wps:cNvSpPr>
                        <wps:spPr bwMode="auto">
                          <a:xfrm>
                            <a:off x="4117" y="1236"/>
                            <a:ext cx="737" cy="3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72EBC2" w14:textId="77777777" w:rsidR="00AE0598" w:rsidRDefault="0069255A">
                              <w:pPr>
                                <w:spacing w:before="2" w:line="244" w:lineRule="auto"/>
                                <w:ind w:firstLine="90"/>
                                <w:rPr>
                                  <w:b/>
                                  <w:sz w:val="16"/>
                                </w:rPr>
                              </w:pPr>
                              <w:r>
                                <w:rPr>
                                  <w:b/>
                                  <w:color w:val="231F20"/>
                                  <w:spacing w:val="-2"/>
                                  <w:sz w:val="16"/>
                                </w:rPr>
                                <w:t>Travel/</w:t>
                              </w:r>
                              <w:r>
                                <w:rPr>
                                  <w:b/>
                                  <w:color w:val="231F20"/>
                                  <w:spacing w:val="40"/>
                                  <w:sz w:val="16"/>
                                </w:rPr>
                                <w:t xml:space="preserve"> </w:t>
                              </w:r>
                              <w:r>
                                <w:rPr>
                                  <w:b/>
                                  <w:color w:val="231F20"/>
                                  <w:spacing w:val="-2"/>
                                  <w:sz w:val="16"/>
                                </w:rPr>
                                <w:t>Exchange</w:t>
                              </w:r>
                            </w:p>
                          </w:txbxContent>
                        </wps:txbx>
                        <wps:bodyPr rot="0" vert="horz" wrap="square" lIns="0" tIns="0" rIns="0" bIns="0" anchor="t" anchorCtr="0" upright="1">
                          <a:noAutofit/>
                        </wps:bodyPr>
                      </wps:wsp>
                      <wps:wsp>
                        <wps:cNvPr id="336" name="docshape45"/>
                        <wps:cNvSpPr txBox="1">
                          <a:spLocks noChangeArrowheads="1"/>
                        </wps:cNvSpPr>
                        <wps:spPr bwMode="auto">
                          <a:xfrm>
                            <a:off x="1655" y="1764"/>
                            <a:ext cx="770" cy="6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4AF818" w14:textId="77777777" w:rsidR="00AE0598" w:rsidRDefault="0069255A">
                              <w:pPr>
                                <w:spacing w:line="218" w:lineRule="auto"/>
                                <w:ind w:left="-1" w:right="18"/>
                                <w:jc w:val="center"/>
                                <w:rPr>
                                  <w:rFonts w:ascii="Segoe UI Symbol"/>
                                  <w:sz w:val="18"/>
                                </w:rPr>
                              </w:pPr>
                              <w:r>
                                <w:rPr>
                                  <w:rFonts w:ascii="Segoe UI Symbol"/>
                                  <w:color w:val="231F20"/>
                                  <w:spacing w:val="-2"/>
                                  <w:sz w:val="18"/>
                                </w:rPr>
                                <w:t>Other Sport Travellers</w:t>
                              </w:r>
                            </w:p>
                          </w:txbxContent>
                        </wps:txbx>
                        <wps:bodyPr rot="0" vert="horz" wrap="square" lIns="0" tIns="0" rIns="0" bIns="0" anchor="t" anchorCtr="0" upright="1">
                          <a:noAutofit/>
                        </wps:bodyPr>
                      </wps:wsp>
                      <wps:wsp>
                        <wps:cNvPr id="337" name="docshape46"/>
                        <wps:cNvSpPr txBox="1">
                          <a:spLocks noChangeArrowheads="1"/>
                        </wps:cNvSpPr>
                        <wps:spPr bwMode="auto">
                          <a:xfrm>
                            <a:off x="2805" y="1778"/>
                            <a:ext cx="842" cy="2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115A45" w14:textId="77777777" w:rsidR="00AE0598" w:rsidRDefault="0069255A">
                              <w:pPr>
                                <w:spacing w:line="221" w:lineRule="exact"/>
                                <w:rPr>
                                  <w:rFonts w:ascii="Segoe UI Symbol"/>
                                  <w:sz w:val="18"/>
                                </w:rPr>
                              </w:pPr>
                              <w:r>
                                <w:rPr>
                                  <w:rFonts w:ascii="Segoe UI Symbol"/>
                                  <w:color w:val="231F20"/>
                                  <w:spacing w:val="-2"/>
                                  <w:sz w:val="18"/>
                                </w:rPr>
                                <w:t>Spectators</w:t>
                              </w:r>
                            </w:p>
                          </w:txbxContent>
                        </wps:txbx>
                        <wps:bodyPr rot="0" vert="horz" wrap="square" lIns="0" tIns="0" rIns="0" bIns="0" anchor="t" anchorCtr="0" upright="1">
                          <a:noAutofit/>
                        </wps:bodyPr>
                      </wps:wsp>
                      <wps:wsp>
                        <wps:cNvPr id="338" name="docshape47"/>
                        <wps:cNvSpPr txBox="1">
                          <a:spLocks noChangeArrowheads="1"/>
                        </wps:cNvSpPr>
                        <wps:spPr bwMode="auto">
                          <a:xfrm>
                            <a:off x="5584" y="1049"/>
                            <a:ext cx="1446" cy="8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476F96" w14:textId="77777777" w:rsidR="00AE0598" w:rsidRDefault="0069255A">
                              <w:pPr>
                                <w:spacing w:line="218" w:lineRule="auto"/>
                                <w:ind w:right="18"/>
                                <w:jc w:val="center"/>
                                <w:rPr>
                                  <w:rFonts w:ascii="Segoe UI Symbol"/>
                                  <w:sz w:val="18"/>
                                </w:rPr>
                              </w:pPr>
                              <w:r>
                                <w:rPr>
                                  <w:rFonts w:ascii="Segoe UI Symbol"/>
                                  <w:color w:val="231F20"/>
                                  <w:sz w:val="18"/>
                                </w:rPr>
                                <w:t>Spectator Events Participant</w:t>
                              </w:r>
                              <w:r>
                                <w:rPr>
                                  <w:rFonts w:ascii="Segoe UI Symbol"/>
                                  <w:color w:val="231F20"/>
                                  <w:spacing w:val="-13"/>
                                  <w:sz w:val="18"/>
                                </w:rPr>
                                <w:t xml:space="preserve"> </w:t>
                              </w:r>
                              <w:r>
                                <w:rPr>
                                  <w:rFonts w:ascii="Segoe UI Symbol"/>
                                  <w:color w:val="231F20"/>
                                  <w:sz w:val="18"/>
                                </w:rPr>
                                <w:t>Events Active Sport Heritage Sport</w:t>
                              </w:r>
                            </w:p>
                          </w:txbxContent>
                        </wps:txbx>
                        <wps:bodyPr rot="0" vert="horz" wrap="square" lIns="0" tIns="0" rIns="0" bIns="0" anchor="t" anchorCtr="0" upright="1">
                          <a:noAutofit/>
                        </wps:bodyPr>
                      </wps:wsp>
                      <wps:wsp>
                        <wps:cNvPr id="339" name="docshape48"/>
                        <wps:cNvSpPr txBox="1">
                          <a:spLocks noChangeArrowheads="1"/>
                        </wps:cNvSpPr>
                        <wps:spPr bwMode="auto">
                          <a:xfrm>
                            <a:off x="5035" y="2240"/>
                            <a:ext cx="835" cy="4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C4C65F" w14:textId="77777777" w:rsidR="00AE0598" w:rsidRDefault="0069255A">
                              <w:pPr>
                                <w:spacing w:line="218" w:lineRule="auto"/>
                                <w:rPr>
                                  <w:rFonts w:ascii="Segoe UI Symbol"/>
                                  <w:sz w:val="18"/>
                                </w:rPr>
                              </w:pPr>
                              <w:r>
                                <w:rPr>
                                  <w:rFonts w:ascii="Segoe UI Symbol"/>
                                  <w:color w:val="231F20"/>
                                  <w:spacing w:val="-2"/>
                                  <w:w w:val="95"/>
                                  <w:sz w:val="18"/>
                                </w:rPr>
                                <w:t xml:space="preserve">Secondary </w:t>
                              </w:r>
                              <w:r>
                                <w:rPr>
                                  <w:rFonts w:ascii="Segoe UI Symbol"/>
                                  <w:color w:val="231F20"/>
                                  <w:spacing w:val="-2"/>
                                  <w:sz w:val="18"/>
                                </w:rPr>
                                <w:t>Attraction</w:t>
                              </w:r>
                            </w:p>
                          </w:txbxContent>
                        </wps:txbx>
                        <wps:bodyPr rot="0" vert="horz" wrap="square" lIns="0" tIns="0" rIns="0" bIns="0" anchor="t" anchorCtr="0" upright="1">
                          <a:noAutofit/>
                        </wps:bodyPr>
                      </wps:wsp>
                      <wps:wsp>
                        <wps:cNvPr id="340" name="docshape49"/>
                        <wps:cNvSpPr txBox="1">
                          <a:spLocks noChangeArrowheads="1"/>
                        </wps:cNvSpPr>
                        <wps:spPr bwMode="auto">
                          <a:xfrm>
                            <a:off x="6643" y="2240"/>
                            <a:ext cx="835" cy="4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B7CFD0" w14:textId="77777777" w:rsidR="00AE0598" w:rsidRDefault="0069255A">
                              <w:pPr>
                                <w:spacing w:line="218" w:lineRule="auto"/>
                                <w:ind w:firstLine="96"/>
                                <w:rPr>
                                  <w:rFonts w:ascii="Segoe UI Symbol"/>
                                  <w:sz w:val="18"/>
                                </w:rPr>
                              </w:pPr>
                              <w:r>
                                <w:rPr>
                                  <w:rFonts w:ascii="Segoe UI Symbol"/>
                                  <w:color w:val="231F20"/>
                                  <w:spacing w:val="-2"/>
                                  <w:w w:val="105"/>
                                  <w:sz w:val="18"/>
                                </w:rPr>
                                <w:t xml:space="preserve">Tertiary </w:t>
                              </w:r>
                              <w:r>
                                <w:rPr>
                                  <w:rFonts w:ascii="Segoe UI Symbol"/>
                                  <w:color w:val="231F20"/>
                                  <w:spacing w:val="-2"/>
                                  <w:sz w:val="18"/>
                                </w:rPr>
                                <w:t>Attraction</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123C887" id="docshapegroup36" o:spid="_x0000_s1043" style="position:absolute;margin-left:59.4pt;margin-top:4.2pt;width:323.15pt;height:137.2pt;z-index:-15716864;mso-wrap-distance-left:0;mso-wrap-distance-right:0;mso-position-horizontal-relative:page;mso-position-vertical-relative:text" coordorigin="1188,84" coordsize="6463,27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">
                <v:shape id="docshape37" o:spid="_x0000_s1044" style="position:absolute;left:1193;top:89;width:6452;height:2733;visibility:visible;mso-wrap-style:square;v-text-anchor:top" coordsize="6452,2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" path="m3670,1373r2,-75l3678,1225r10,-72l3702,1081r18,-69l3741,943r25,-66l3794,812r31,-64l3860,687r38,-59l3939,570r43,-55l4029,462r49,-50l4129,364r54,-45l4240,276r58,-40l4359,199r63,-33l4487,135r66,-28l4621,83r70,-21l4763,45r72,-13l4909,22r76,-6l5061,14r76,2l5212,22r74,10l5359,45r72,17l5500,83r69,24l5635,135r65,31l5763,199r61,37l5882,276r57,43l5993,364r51,48l6093,462r47,53l6183,570r41,58l6262,687r34,61l6328,812r28,65l6381,943r21,69l6420,1081r13,72l6443,1225r7,73l6452,1373r-2,75l6443,1521r-10,72l6420,1665r-18,69l6381,1803r-25,66l6328,1934r-32,64l6262,2059r-38,59l6183,2176r-43,55l6093,2284r-49,50l5993,2382r-54,45l5882,2470r-58,40l5763,2546r-63,34l5635,2611r-66,28l5500,2663r-69,20l5359,2701r-73,13l5212,2724r-75,6l5061,2732r-76,-2l4909,2724r-74,-10l4763,2701r-72,-18l4621,2663r-68,-24l4487,2611r-65,-31l4359,2546r-61,-36l4240,2470r-57,-43l4129,2382r-51,-48l4029,2284r-47,-53l3939,2176r-41,-58l3860,2059r-35,-61l3794,1934r-28,-65l3741,1803r-21,-69l3702,1665r-14,-72l3678,1521r-6,-73l3670,1373xm,1359r2,-73l8,1215r10,-70l31,1076r18,-68l69,942,94,877r27,-63l152,752r34,-60l223,634r40,-56l306,524r46,-52l400,422r51,-48l504,329r56,-43l618,246r60,-37l740,174r64,-32l870,113,937,87r70,-22l1078,45r72,-16l1224,16r74,-9l1374,1,1452,r77,1l1605,7r75,9l1753,29r73,16l1896,65r70,22l2033,113r66,29l2163,174r62,35l2285,246r58,40l2399,329r53,45l2503,422r48,50l2597,524r43,54l2680,634r37,58l2751,752r31,62l2810,877r24,65l2855,1008r17,68l2885,1145r10,70l2901,1286r2,73l2901,1431r-6,71l2885,1572r-13,69l2855,1709r-21,66l2810,1840r-28,63l2751,1965r-34,60l2680,2083r-40,56l2597,2194r-46,52l2503,2296r-51,47l2399,2388r-56,43l2285,2471r-60,38l2163,2543r-64,32l2033,2604r-67,26l1896,2653r-70,19l1753,2688r-73,13l1605,2710r-76,6l1452,2718r-78,-2l1298,2710r-74,-9l1150,2688r-72,-16l1007,2653r-70,-23l870,2604r-66,-29l740,2543r-62,-34l618,2471r-58,-40l504,2388r-53,-45l400,2296r-48,-50l306,2194r-43,-55l223,2083r-37,-58l152,1965r-31,-62l94,1840,69,1775,49,1709,31,1641,18,1572,8,1502,2,1431,,1359xe" filled="f" strokecolor="#231f20" strokeweight=".20072mm">
                  <v:path arrowok="t" o:connecttype="custom" o:connectlocs="3688,1243;3766,967;3898,718;4078,502;4298,326;4553,197;4835,122;5137,106;5431,152;5700,256;5939,409;6140,605;6296,838;6402,1102;6450,1388;6433,1683;6356,1959;6224,2208;6044,2424;5824,2600;5569,2729;5286,2804;4985,2820;4691,2773;4422,2670;4183,2517;3982,2321;3825,2088;3720,1824;3672,1538;8,1305;69,1032;186,782;352,562;560,376;804,232;1078,135;1374,91;1680,106;1966,177;2225,299;2452,464;2640,668;2782,904;2872,1166;2903,1449;2872,1731;2782,1993;2640,2229;2452,2433;2225,2599;1966,2720;1680,2791;1374,2806;1078,2762;804,2665;560,2521;352,2336;186,2115;69,1865;8,1592" o:connectangles="0,0,0,0,0,0,0,0,0,0,0,0,0,0,0,0,0,0,0,0,0,0,0,0,0,0,0,0,0,0,0,0,0,0,0,0,0,0,0,0,0,0,0,0,0,0,0,0,0,0,0,0,0,0,0,0,0,0,0,0,0"/>
                </v:shape>
                <v:line id="Line 340" o:spid="_x0000_s1045" style="position:absolute;visibility:visible;mso-wrap-style:square" from="3983,868" to="4897,8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" strokecolor="#231f20" strokeweight=".30092mm"/>
                <v:shape id="docshape38" o:spid="_x0000_s1046" style="position:absolute;left:3983;top:792;width:915;height:151;visibility:visible;mso-wrap-style:square;v-text-anchor:top" coordsize="915,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" path="m785,l914,75,787,151m130,l,75r127,76e" filled="f" strokecolor="#231f20" strokeweight=".30092mm">
                  <v:path arrowok="t" o:connecttype="custom" o:connectlocs="785,793;914,868;787,944;130,793;0,868;127,944" o:connectangles="0,0,0,0,0,0"/>
                </v:shape>
                <v:line id="Line 338" o:spid="_x0000_s1047" style="position:absolute;visibility:visible;mso-wrap-style:square" from="3983,2045" to="4897,20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" strokecolor="#231f20" strokeweight=".30092mm"/>
                <v:shape id="docshape39" o:spid="_x0000_s1048" style="position:absolute;left:3983;top:1969;width:915;height:151;visibility:visible;mso-wrap-style:square;v-text-anchor:top" coordsize="915,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" path="m785,l914,76,787,151m130,l,76r127,75e" filled="f" strokecolor="#231f20" strokeweight=".30092mm">
                  <v:path arrowok="t" o:connecttype="custom" o:connectlocs="785,1969;914,2045;787,2120;130,1969;0,2045;127,2120" o:connectangles="0,0,0,0,0,0"/>
                </v:shape>
                <v:shape id="docshape40" o:spid="_x0000_s1049" style="position:absolute;left:5229;top:519;width:2072;height:1930;visibility:visible;mso-wrap-style:square;v-text-anchor:top" coordsize="2072,1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" path="m,964l3,892r8,-70l25,753,44,686,67,621,96,558r33,-61l167,439r41,-55l254,332r49,-50l356,236r56,-42l472,155r62,-35l599,89,667,63,736,41,809,23,883,10,958,2,1036,r77,2l1189,10r74,13l1335,41r70,22l1472,89r65,31l1600,155r59,39l1715,236r53,46l1817,332r46,52l1905,439r37,58l1975,558r29,63l2028,686r19,67l2060,822r9,70l2072,964r-3,72l2060,1107r-13,69l2028,1243r-24,65l1975,1371r-33,61l1905,1490r-42,55l1817,1597r-49,50l1715,1692r-56,43l1600,1774r-63,35l1472,1839r-67,27l1335,1888r-72,18l1189,1919r-76,7l1036,1929r-78,-3l883,1919r-74,-13l736,1888r-69,-22l599,1839r-65,-30l472,1774r-60,-39l356,1692r-53,-45l254,1597r-46,-52l167,1490r-38,-58l96,1371,67,1308,44,1243,25,1176,11,1107,3,1036,,964xe" filled="f" strokecolor="#231f20" strokeweight=".20072mm">
                  <v:path arrowok="t" o:connecttype="custom" o:connectlocs="3,1412;25,1273;67,1141;129,1017;208,904;303,802;412,714;534,640;667,583;809,543;958,522;1113,522;1263,543;1405,583;1537,640;1659,714;1768,802;1863,904;1942,1017;2004,1141;2047,1273;2069,1412;2069,1556;2047,1696;2004,1828;1942,1952;1863,2065;1768,2167;1659,2255;1537,2329;1405,2386;1263,2426;1113,2446;958,2446;809,2426;667,2386;534,2329;412,2255;303,2167;208,2065;129,1952;67,1828;25,1696;3,1556" o:connectangles="0,0,0,0,0,0,0,0,0,0,0,0,0,0,0,0,0,0,0,0,0,0,0,0,0,0,0,0,0,0,0,0,0,0,0,0,0,0,0,0,0,0,0,0"/>
                </v:shape>
                <v:shape id="docshape41" o:spid="_x0000_s1050" style="position:absolute;left:1193;top:89;width:6319;height:2733;visibility:visible;mso-wrap-style:square;v-text-anchor:top" coordsize="6319,2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" path="m3801,797r338,177m5046,2359r,373m5994,956l6319,793m,1355r2905,m1455,r,2722e" filled="f" strokecolor="#231f20" strokeweight=".30092mm">
                  <v:path arrowok="t" o:connecttype="custom" o:connectlocs="3801,887;4139,1064;5046,2449;5046,2822;5994,1046;6319,883;0,1445;2905,1445;1455,90;1455,2812" o:connectangles="0,0,0,0,0,0,0,0,0,0"/>
                </v:shape>
                <v:shape id="docshape42" o:spid="_x0000_s1051" type="#_x0000_t202" style="position:absolute;left:5858;top:111;width:835;height:4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" filled="f" stroked="f">
                  <v:textbox inset="0,0,0,0">
                    <w:txbxContent>
                      <w:p w14:paraId="3651284B" w14:textId="77777777" w:rsidR="00AE0598" w:rsidRDefault="0069255A">
                        <w:pPr>
                          <w:spacing w:line="218" w:lineRule="auto"/>
                          <w:ind w:firstLine="96"/>
                          <w:rPr>
                            <w:rFonts w:ascii="Segoe UI Symbol"/>
                            <w:sz w:val="18"/>
                          </w:rPr>
                        </w:pPr>
                        <w:r>
                          <w:rPr>
                            <w:rFonts w:ascii="Segoe UI Symbol"/>
                            <w:color w:val="231F20"/>
                            <w:spacing w:val="-2"/>
                            <w:w w:val="105"/>
                            <w:sz w:val="18"/>
                          </w:rPr>
                          <w:t xml:space="preserve">Primary </w:t>
                        </w:r>
                        <w:r>
                          <w:rPr>
                            <w:rFonts w:ascii="Segoe UI Symbol"/>
                            <w:color w:val="231F20"/>
                            <w:spacing w:val="-2"/>
                            <w:sz w:val="18"/>
                          </w:rPr>
                          <w:t>Attraction</w:t>
                        </w:r>
                      </w:p>
                    </w:txbxContent>
                  </v:textbox>
                </v:shape>
                <v:shape id="docshape43" o:spid="_x0000_s1052" type="#_x0000_t202" style="position:absolute;left:1544;top:652;width:1990;height:4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" filled="f" stroked="f">
                  <v:textbox inset="0,0,0,0">
                    <w:txbxContent>
                      <w:p w14:paraId="6A5070A4" w14:textId="77777777" w:rsidR="00AE0598" w:rsidRDefault="0069255A">
                        <w:pPr>
                          <w:tabs>
                            <w:tab w:val="left" w:pos="1469"/>
                          </w:tabs>
                          <w:spacing w:line="220" w:lineRule="exact"/>
                          <w:rPr>
                            <w:rFonts w:ascii="Segoe UI Symbol"/>
                            <w:sz w:val="18"/>
                          </w:rPr>
                        </w:pPr>
                        <w:r>
                          <w:rPr>
                            <w:rFonts w:ascii="Segoe UI Symbol"/>
                            <w:color w:val="231F20"/>
                            <w:spacing w:val="-2"/>
                            <w:sz w:val="18"/>
                          </w:rPr>
                          <w:t>Recreational</w:t>
                        </w:r>
                        <w:r>
                          <w:rPr>
                            <w:rFonts w:ascii="Segoe UI Symbol"/>
                            <w:color w:val="231F20"/>
                            <w:sz w:val="18"/>
                          </w:rPr>
                          <w:tab/>
                        </w:r>
                        <w:r>
                          <w:rPr>
                            <w:rFonts w:ascii="Segoe UI Symbol"/>
                            <w:color w:val="231F20"/>
                            <w:spacing w:val="-2"/>
                            <w:position w:val="-1"/>
                            <w:sz w:val="18"/>
                          </w:rPr>
                          <w:t>Elite</w:t>
                        </w:r>
                      </w:p>
                      <w:p w14:paraId="2AFE3DB6" w14:textId="77777777" w:rsidR="00AE0598" w:rsidRDefault="0069255A">
                        <w:pPr>
                          <w:tabs>
                            <w:tab w:val="left" w:pos="1321"/>
                          </w:tabs>
                          <w:spacing w:line="239" w:lineRule="exact"/>
                          <w:ind w:left="164"/>
                          <w:rPr>
                            <w:rFonts w:ascii="Segoe UI Symbol"/>
                            <w:sz w:val="18"/>
                          </w:rPr>
                        </w:pPr>
                        <w:r>
                          <w:rPr>
                            <w:rFonts w:ascii="Segoe UI Symbol"/>
                            <w:color w:val="231F20"/>
                            <w:spacing w:val="-2"/>
                            <w:sz w:val="18"/>
                          </w:rPr>
                          <w:t>Athletes</w:t>
                        </w:r>
                        <w:r>
                          <w:rPr>
                            <w:rFonts w:ascii="Segoe UI Symbol"/>
                            <w:color w:val="231F20"/>
                            <w:sz w:val="18"/>
                          </w:rPr>
                          <w:tab/>
                        </w:r>
                        <w:r>
                          <w:rPr>
                            <w:rFonts w:ascii="Segoe UI Symbol"/>
                            <w:color w:val="231F20"/>
                            <w:spacing w:val="-2"/>
                            <w:position w:val="-1"/>
                            <w:sz w:val="18"/>
                          </w:rPr>
                          <w:t>Athletes</w:t>
                        </w:r>
                      </w:p>
                    </w:txbxContent>
                  </v:textbox>
                </v:shape>
                <v:shape id="docshape44" o:spid="_x0000_s1053" type="#_x0000_t202" style="position:absolute;left:4117;top:1236;width:737;height: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" filled="f" stroked="f">
                  <v:textbox inset="0,0,0,0">
                    <w:txbxContent>
                      <w:p w14:paraId="6572EBC2" w14:textId="77777777" w:rsidR="00AE0598" w:rsidRDefault="0069255A">
                        <w:pPr>
                          <w:spacing w:before="2" w:line="244" w:lineRule="auto"/>
                          <w:ind w:firstLine="90"/>
                          <w:rPr>
                            <w:b/>
                            <w:sz w:val="16"/>
                          </w:rPr>
                        </w:pPr>
                        <w:r>
                          <w:rPr>
                            <w:b/>
                            <w:color w:val="231F20"/>
                            <w:spacing w:val="-2"/>
                            <w:sz w:val="16"/>
                          </w:rPr>
                          <w:t>Travel/</w:t>
                        </w:r>
                        <w:r>
                          <w:rPr>
                            <w:b/>
                            <w:color w:val="231F20"/>
                            <w:spacing w:val="40"/>
                            <w:sz w:val="16"/>
                          </w:rPr>
                          <w:t xml:space="preserve"> </w:t>
                        </w:r>
                        <w:r>
                          <w:rPr>
                            <w:b/>
                            <w:color w:val="231F20"/>
                            <w:spacing w:val="-2"/>
                            <w:sz w:val="16"/>
                          </w:rPr>
                          <w:t>Exchange</w:t>
                        </w:r>
                      </w:p>
                    </w:txbxContent>
                  </v:textbox>
                </v:shape>
                <v:shape id="docshape45" o:spid="_x0000_s1054" type="#_x0000_t202" style="position:absolute;left:1655;top:1764;width:770;height: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" filled="f" stroked="f">
                  <v:textbox inset="0,0,0,0">
                    <w:txbxContent>
                      <w:p w14:paraId="0B4AF818" w14:textId="77777777" w:rsidR="00AE0598" w:rsidRDefault="0069255A">
                        <w:pPr>
                          <w:spacing w:line="218" w:lineRule="auto"/>
                          <w:ind w:left="-1" w:right="18"/>
                          <w:jc w:val="center"/>
                          <w:rPr>
                            <w:rFonts w:ascii="Segoe UI Symbol"/>
                            <w:sz w:val="18"/>
                          </w:rPr>
                        </w:pPr>
                        <w:r>
                          <w:rPr>
                            <w:rFonts w:ascii="Segoe UI Symbol"/>
                            <w:color w:val="231F20"/>
                            <w:spacing w:val="-2"/>
                            <w:sz w:val="18"/>
                          </w:rPr>
                          <w:t>Other Sport Travellers</w:t>
                        </w:r>
                      </w:p>
                    </w:txbxContent>
                  </v:textbox>
                </v:shape>
                <v:shape id="docshape46" o:spid="_x0000_s1055" type="#_x0000_t202" style="position:absolute;left:2805;top:1778;width:842;height: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" filled="f" stroked="f">
                  <v:textbox inset="0,0,0,0">
                    <w:txbxContent>
                      <w:p w14:paraId="1B115A45" w14:textId="77777777" w:rsidR="00AE0598" w:rsidRDefault="0069255A">
                        <w:pPr>
                          <w:spacing w:line="221" w:lineRule="exact"/>
                          <w:rPr>
                            <w:rFonts w:ascii="Segoe UI Symbol"/>
                            <w:sz w:val="18"/>
                          </w:rPr>
                        </w:pPr>
                        <w:r>
                          <w:rPr>
                            <w:rFonts w:ascii="Segoe UI Symbol"/>
                            <w:color w:val="231F20"/>
                            <w:spacing w:val="-2"/>
                            <w:sz w:val="18"/>
                          </w:rPr>
                          <w:t>Spectators</w:t>
                        </w:r>
                      </w:p>
                    </w:txbxContent>
                  </v:textbox>
                </v:shape>
                <v:shape id="docshape47" o:spid="_x0000_s1056" type="#_x0000_t202" style="position:absolute;left:5584;top:1049;width:1446;height:8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" filled="f" stroked="f">
                  <v:textbox inset="0,0,0,0">
                    <w:txbxContent>
                      <w:p w14:paraId="14476F96" w14:textId="77777777" w:rsidR="00AE0598" w:rsidRDefault="0069255A">
                        <w:pPr>
                          <w:spacing w:line="218" w:lineRule="auto"/>
                          <w:ind w:right="18"/>
                          <w:jc w:val="center"/>
                          <w:rPr>
                            <w:rFonts w:ascii="Segoe UI Symbol"/>
                            <w:sz w:val="18"/>
                          </w:rPr>
                        </w:pPr>
                        <w:r>
                          <w:rPr>
                            <w:rFonts w:ascii="Segoe UI Symbol"/>
                            <w:color w:val="231F20"/>
                            <w:sz w:val="18"/>
                          </w:rPr>
                          <w:t>Spectator Events Participant</w:t>
                        </w:r>
                        <w:r>
                          <w:rPr>
                            <w:rFonts w:ascii="Segoe UI Symbol"/>
                            <w:color w:val="231F20"/>
                            <w:spacing w:val="-13"/>
                            <w:sz w:val="18"/>
                          </w:rPr>
                          <w:t xml:space="preserve"> </w:t>
                        </w:r>
                        <w:r>
                          <w:rPr>
                            <w:rFonts w:ascii="Segoe UI Symbol"/>
                            <w:color w:val="231F20"/>
                            <w:sz w:val="18"/>
                          </w:rPr>
                          <w:t>Events Active Sport Heritage Sport</w:t>
                        </w:r>
                      </w:p>
                    </w:txbxContent>
                  </v:textbox>
                </v:shape>
                <v:shape id="docshape48" o:spid="_x0000_s1057" type="#_x0000_t202" style="position:absolute;left:5035;top:2240;width:835;height:4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" filled="f" stroked="f">
                  <v:textbox inset="0,0,0,0">
                    <w:txbxContent>
                      <w:p w14:paraId="28C4C65F" w14:textId="77777777" w:rsidR="00AE0598" w:rsidRDefault="0069255A">
                        <w:pPr>
                          <w:spacing w:line="218" w:lineRule="auto"/>
                          <w:rPr>
                            <w:rFonts w:ascii="Segoe UI Symbol"/>
                            <w:sz w:val="18"/>
                          </w:rPr>
                        </w:pPr>
                        <w:r>
                          <w:rPr>
                            <w:rFonts w:ascii="Segoe UI Symbol"/>
                            <w:color w:val="231F20"/>
                            <w:spacing w:val="-2"/>
                            <w:w w:val="95"/>
                            <w:sz w:val="18"/>
                          </w:rPr>
                          <w:t xml:space="preserve">Secondary </w:t>
                        </w:r>
                        <w:r>
                          <w:rPr>
                            <w:rFonts w:ascii="Segoe UI Symbol"/>
                            <w:color w:val="231F20"/>
                            <w:spacing w:val="-2"/>
                            <w:sz w:val="18"/>
                          </w:rPr>
                          <w:t>Attraction</w:t>
                        </w:r>
                      </w:p>
                    </w:txbxContent>
                  </v:textbox>
                </v:shape>
                <v:shape id="docshape49" o:spid="_x0000_s1058" type="#_x0000_t202" style="position:absolute;left:6643;top:2240;width:835;height:4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" filled="f" stroked="f">
                  <v:textbox inset="0,0,0,0">
                    <w:txbxContent>
                      <w:p w14:paraId="7AB7CFD0" w14:textId="77777777" w:rsidR="00AE0598" w:rsidRDefault="0069255A">
                        <w:pPr>
                          <w:spacing w:line="218" w:lineRule="auto"/>
                          <w:ind w:firstLine="96"/>
                          <w:rPr>
                            <w:rFonts w:ascii="Segoe UI Symbol"/>
                            <w:sz w:val="18"/>
                          </w:rPr>
                        </w:pPr>
                        <w:r>
                          <w:rPr>
                            <w:rFonts w:ascii="Segoe UI Symbol"/>
                            <w:color w:val="231F20"/>
                            <w:spacing w:val="-2"/>
                            <w:w w:val="105"/>
                            <w:sz w:val="18"/>
                          </w:rPr>
                          <w:t xml:space="preserve">Tertiary </w:t>
                        </w:r>
                        <w:r>
                          <w:rPr>
                            <w:rFonts w:ascii="Segoe UI Symbol"/>
                            <w:color w:val="231F20"/>
                            <w:spacing w:val="-2"/>
                            <w:sz w:val="18"/>
                          </w:rPr>
                          <w:t>Attraction</w:t>
                        </w:r>
                      </w:p>
                    </w:txbxContent>
                  </v:textbox>
                </v:shape>
                <w10:wrap type="topAndBottom" anchorx="page"/>
              </v:group>
            </w:pict>
          </mc:Fallback>
        </mc:AlternateContent>
      </w:r>
    </w:p>
    <w:p w14:paraId="4D111147" w14:textId="77777777" w:rsidR="00AE0598" w:rsidRDefault="00AE0598">
      <w:pPr>
        <w:pStyle w:val="Corpodetexto"/>
        <w:rPr>
          <w:b/>
          <w:sz w:val="11"/>
        </w:rPr>
      </w:pPr>
    </w:p>
    <w:p w14:paraId="22D0BEDD" w14:textId="77777777" w:rsidR="00AE0598" w:rsidRDefault="0069255A">
      <w:pPr>
        <w:spacing w:before="99"/>
        <w:ind w:left="108"/>
        <w:jc w:val="both"/>
        <w:rPr>
          <w:rFonts w:ascii="Trebuchet MS"/>
          <w:sz w:val="14"/>
        </w:rPr>
      </w:pPr>
      <w:r>
        <w:rPr>
          <w:rFonts w:ascii="Trebuchet MS"/>
          <w:b/>
          <w:color w:val="231F20"/>
          <w:sz w:val="14"/>
        </w:rPr>
        <w:t>Figure</w:t>
      </w:r>
      <w:r>
        <w:rPr>
          <w:rFonts w:ascii="Trebuchet MS"/>
          <w:b/>
          <w:color w:val="231F20"/>
          <w:spacing w:val="7"/>
          <w:sz w:val="14"/>
        </w:rPr>
        <w:t xml:space="preserve"> </w:t>
      </w:r>
      <w:r>
        <w:rPr>
          <w:rFonts w:ascii="Trebuchet MS"/>
          <w:b/>
          <w:color w:val="231F20"/>
          <w:sz w:val="14"/>
        </w:rPr>
        <w:t>2.1</w:t>
      </w:r>
      <w:r>
        <w:rPr>
          <w:rFonts w:ascii="Trebuchet MS"/>
          <w:b/>
          <w:color w:val="231F20"/>
          <w:spacing w:val="47"/>
          <w:sz w:val="14"/>
        </w:rPr>
        <w:t xml:space="preserve"> </w:t>
      </w:r>
      <w:r>
        <w:rPr>
          <w:rFonts w:ascii="Trebuchet MS"/>
          <w:color w:val="231F20"/>
          <w:sz w:val="14"/>
        </w:rPr>
        <w:t>The</w:t>
      </w:r>
      <w:r>
        <w:rPr>
          <w:rFonts w:ascii="Trebuchet MS"/>
          <w:color w:val="231F20"/>
          <w:spacing w:val="7"/>
          <w:sz w:val="14"/>
        </w:rPr>
        <w:t xml:space="preserve"> </w:t>
      </w:r>
      <w:r>
        <w:rPr>
          <w:rFonts w:ascii="Trebuchet MS"/>
          <w:color w:val="231F20"/>
          <w:sz w:val="14"/>
        </w:rPr>
        <w:t>sport</w:t>
      </w:r>
      <w:r>
        <w:rPr>
          <w:rFonts w:ascii="Trebuchet MS"/>
          <w:color w:val="231F20"/>
          <w:spacing w:val="8"/>
          <w:sz w:val="14"/>
        </w:rPr>
        <w:t xml:space="preserve"> </w:t>
      </w:r>
      <w:r>
        <w:rPr>
          <w:rFonts w:ascii="Trebuchet MS"/>
          <w:color w:val="231F20"/>
          <w:sz w:val="14"/>
        </w:rPr>
        <w:t>tourism</w:t>
      </w:r>
      <w:r>
        <w:rPr>
          <w:rFonts w:ascii="Trebuchet MS"/>
          <w:color w:val="231F20"/>
          <w:spacing w:val="7"/>
          <w:sz w:val="14"/>
        </w:rPr>
        <w:t xml:space="preserve"> </w:t>
      </w:r>
      <w:r>
        <w:rPr>
          <w:rFonts w:ascii="Trebuchet MS"/>
          <w:color w:val="231F20"/>
          <w:sz w:val="14"/>
        </w:rPr>
        <w:t>attraction</w:t>
      </w:r>
      <w:r>
        <w:rPr>
          <w:rFonts w:ascii="Trebuchet MS"/>
          <w:color w:val="231F20"/>
          <w:spacing w:val="7"/>
          <w:sz w:val="14"/>
        </w:rPr>
        <w:t xml:space="preserve"> </w:t>
      </w:r>
      <w:r>
        <w:rPr>
          <w:rFonts w:ascii="Trebuchet MS"/>
          <w:color w:val="231F20"/>
          <w:spacing w:val="-2"/>
          <w:sz w:val="14"/>
        </w:rPr>
        <w:t>system</w:t>
      </w:r>
    </w:p>
    <w:p w14:paraId="3D36F79B" w14:textId="77777777" w:rsidR="00AE0598" w:rsidRDefault="00AE0598">
      <w:pPr>
        <w:pStyle w:val="Corpodetexto"/>
        <w:spacing w:before="5"/>
        <w:rPr>
          <w:rFonts w:ascii="Trebuchet MS"/>
          <w:sz w:val="13"/>
        </w:rPr>
      </w:pPr>
    </w:p>
    <w:p w14:paraId="00C5CE8D" w14:textId="77777777" w:rsidR="00AE0598" w:rsidRDefault="0069255A">
      <w:pPr>
        <w:pStyle w:val="Corpodetexto"/>
        <w:spacing w:line="232" w:lineRule="auto"/>
        <w:ind w:left="110" w:right="108"/>
        <w:jc w:val="both"/>
      </w:pPr>
      <w:r>
        <w:rPr>
          <w:color w:val="231F20"/>
          <w:w w:val="95"/>
        </w:rPr>
        <w:t xml:space="preserve">transit and destination regions that highlight the sporting experiences that </w:t>
      </w:r>
      <w:r>
        <w:rPr>
          <w:color w:val="231F20"/>
        </w:rPr>
        <w:t>are</w:t>
      </w:r>
      <w:r>
        <w:rPr>
          <w:color w:val="231F20"/>
          <w:spacing w:val="-1"/>
        </w:rPr>
        <w:t xml:space="preserve"> </w:t>
      </w:r>
      <w:r>
        <w:rPr>
          <w:color w:val="231F20"/>
        </w:rPr>
        <w:t>attractive</w:t>
      </w:r>
      <w:r>
        <w:rPr>
          <w:color w:val="231F20"/>
          <w:spacing w:val="-1"/>
        </w:rPr>
        <w:t xml:space="preserve"> </w:t>
      </w:r>
      <w:r>
        <w:rPr>
          <w:color w:val="231F20"/>
        </w:rPr>
        <w:t>elements</w:t>
      </w:r>
      <w:r>
        <w:rPr>
          <w:color w:val="231F20"/>
          <w:spacing w:val="-1"/>
        </w:rPr>
        <w:t xml:space="preserve"> </w:t>
      </w:r>
      <w:r>
        <w:rPr>
          <w:color w:val="231F20"/>
        </w:rPr>
        <w:t>to</w:t>
      </w:r>
      <w:r>
        <w:rPr>
          <w:color w:val="231F20"/>
          <w:spacing w:val="-1"/>
        </w:rPr>
        <w:t xml:space="preserve"> </w:t>
      </w:r>
      <w:r>
        <w:rPr>
          <w:color w:val="231F20"/>
        </w:rPr>
        <w:t>the</w:t>
      </w:r>
      <w:r>
        <w:rPr>
          <w:color w:val="231F20"/>
          <w:spacing w:val="-1"/>
        </w:rPr>
        <w:t xml:space="preserve"> </w:t>
      </w:r>
      <w:r>
        <w:rPr>
          <w:color w:val="231F20"/>
        </w:rPr>
        <w:t>traveller.</w:t>
      </w:r>
    </w:p>
    <w:p w14:paraId="3F91B783" w14:textId="77777777" w:rsidR="00AE0598" w:rsidRDefault="0069255A">
      <w:pPr>
        <w:pStyle w:val="Corpodetexto"/>
        <w:spacing w:before="2" w:line="232" w:lineRule="auto"/>
        <w:ind w:left="110" w:right="106" w:firstLine="320"/>
        <w:jc w:val="both"/>
      </w:pPr>
      <w:r>
        <w:rPr>
          <w:color w:val="231F20"/>
        </w:rPr>
        <w:t>The</w:t>
      </w:r>
      <w:r>
        <w:rPr>
          <w:color w:val="231F20"/>
          <w:spacing w:val="-12"/>
        </w:rPr>
        <w:t xml:space="preserve"> </w:t>
      </w:r>
      <w:r>
        <w:rPr>
          <w:color w:val="231F20"/>
        </w:rPr>
        <w:t>first,</w:t>
      </w:r>
      <w:r>
        <w:rPr>
          <w:color w:val="231F20"/>
          <w:spacing w:val="-12"/>
        </w:rPr>
        <w:t xml:space="preserve"> </w:t>
      </w:r>
      <w:r>
        <w:rPr>
          <w:color w:val="231F20"/>
        </w:rPr>
        <w:t>sport</w:t>
      </w:r>
      <w:r>
        <w:rPr>
          <w:color w:val="231F20"/>
          <w:spacing w:val="-11"/>
        </w:rPr>
        <w:t xml:space="preserve"> </w:t>
      </w:r>
      <w:r>
        <w:rPr>
          <w:color w:val="231F20"/>
        </w:rPr>
        <w:t>travellers,</w:t>
      </w:r>
      <w:r>
        <w:rPr>
          <w:color w:val="231F20"/>
          <w:spacing w:val="-12"/>
        </w:rPr>
        <w:t xml:space="preserve"> </w:t>
      </w:r>
      <w:r>
        <w:rPr>
          <w:color w:val="231F20"/>
        </w:rPr>
        <w:t>are</w:t>
      </w:r>
      <w:r>
        <w:rPr>
          <w:color w:val="231F20"/>
          <w:spacing w:val="-11"/>
        </w:rPr>
        <w:t xml:space="preserve"> </w:t>
      </w:r>
      <w:r>
        <w:rPr>
          <w:color w:val="231F20"/>
        </w:rPr>
        <w:t>those</w:t>
      </w:r>
      <w:r>
        <w:rPr>
          <w:color w:val="231F20"/>
          <w:spacing w:val="-12"/>
        </w:rPr>
        <w:t xml:space="preserve"> </w:t>
      </w:r>
      <w:r>
        <w:rPr>
          <w:color w:val="231F20"/>
        </w:rPr>
        <w:t>who</w:t>
      </w:r>
      <w:r>
        <w:rPr>
          <w:color w:val="231F20"/>
          <w:spacing w:val="-11"/>
        </w:rPr>
        <w:t xml:space="preserve"> </w:t>
      </w:r>
      <w:r>
        <w:rPr>
          <w:color w:val="231F20"/>
        </w:rPr>
        <w:t>travel</w:t>
      </w:r>
      <w:r>
        <w:rPr>
          <w:color w:val="231F20"/>
          <w:spacing w:val="-12"/>
        </w:rPr>
        <w:t xml:space="preserve"> </w:t>
      </w:r>
      <w:r>
        <w:rPr>
          <w:color w:val="231F20"/>
        </w:rPr>
        <w:t>away</w:t>
      </w:r>
      <w:r>
        <w:rPr>
          <w:color w:val="231F20"/>
          <w:spacing w:val="-12"/>
        </w:rPr>
        <w:t xml:space="preserve"> </w:t>
      </w:r>
      <w:r>
        <w:rPr>
          <w:color w:val="231F20"/>
        </w:rPr>
        <w:t>from</w:t>
      </w:r>
      <w:r>
        <w:rPr>
          <w:color w:val="231F20"/>
          <w:spacing w:val="-11"/>
        </w:rPr>
        <w:t xml:space="preserve"> </w:t>
      </w:r>
      <w:r>
        <w:rPr>
          <w:color w:val="231F20"/>
        </w:rPr>
        <w:t>home</w:t>
      </w:r>
      <w:r>
        <w:rPr>
          <w:color w:val="231F20"/>
          <w:spacing w:val="-12"/>
        </w:rPr>
        <w:t xml:space="preserve"> </w:t>
      </w:r>
      <w:r>
        <w:rPr>
          <w:color w:val="231F20"/>
        </w:rPr>
        <w:t>to</w:t>
      </w:r>
      <w:r>
        <w:rPr>
          <w:color w:val="231F20"/>
          <w:spacing w:val="-11"/>
        </w:rPr>
        <w:t xml:space="preserve"> </w:t>
      </w:r>
      <w:r>
        <w:rPr>
          <w:color w:val="231F20"/>
        </w:rPr>
        <w:t xml:space="preserve">the </w:t>
      </w:r>
      <w:r>
        <w:rPr>
          <w:color w:val="231F20"/>
          <w:w w:val="95"/>
        </w:rPr>
        <w:t xml:space="preserve">extent that their behaviour is motivated by or results in sport experiences. Leiper (1990) makes five assertions about the nature of traveller behaviour in general. These hold true for sport travellers with the exception that their </w:t>
      </w:r>
      <w:r>
        <w:rPr>
          <w:color w:val="231F20"/>
        </w:rPr>
        <w:t>motivations</w:t>
      </w:r>
      <w:r>
        <w:rPr>
          <w:color w:val="231F20"/>
          <w:spacing w:val="-3"/>
        </w:rPr>
        <w:t xml:space="preserve"> </w:t>
      </w:r>
      <w:r>
        <w:rPr>
          <w:color w:val="231F20"/>
        </w:rPr>
        <w:t>and</w:t>
      </w:r>
      <w:r>
        <w:rPr>
          <w:color w:val="231F20"/>
          <w:spacing w:val="-3"/>
        </w:rPr>
        <w:t xml:space="preserve"> </w:t>
      </w:r>
      <w:r>
        <w:rPr>
          <w:color w:val="231F20"/>
        </w:rPr>
        <w:t>behaviou</w:t>
      </w:r>
      <w:r>
        <w:rPr>
          <w:color w:val="231F20"/>
        </w:rPr>
        <w:t>rs</w:t>
      </w:r>
      <w:r>
        <w:rPr>
          <w:color w:val="231F20"/>
          <w:spacing w:val="-3"/>
        </w:rPr>
        <w:t xml:space="preserve"> </w:t>
      </w:r>
      <w:r>
        <w:rPr>
          <w:color w:val="231F20"/>
        </w:rPr>
        <w:t>are</w:t>
      </w:r>
      <w:r>
        <w:rPr>
          <w:color w:val="231F20"/>
          <w:spacing w:val="-3"/>
        </w:rPr>
        <w:t xml:space="preserve"> </w:t>
      </w:r>
      <w:r>
        <w:rPr>
          <w:color w:val="231F20"/>
        </w:rPr>
        <w:t>focused</w:t>
      </w:r>
      <w:r>
        <w:rPr>
          <w:color w:val="231F20"/>
          <w:spacing w:val="-3"/>
        </w:rPr>
        <w:t xml:space="preserve"> </w:t>
      </w:r>
      <w:r>
        <w:rPr>
          <w:color w:val="231F20"/>
        </w:rPr>
        <w:t>on</w:t>
      </w:r>
      <w:r>
        <w:rPr>
          <w:color w:val="231F20"/>
          <w:spacing w:val="-3"/>
        </w:rPr>
        <w:t xml:space="preserve"> </w:t>
      </w:r>
      <w:r>
        <w:rPr>
          <w:color w:val="231F20"/>
        </w:rPr>
        <w:t>sport</w:t>
      </w:r>
      <w:r>
        <w:rPr>
          <w:color w:val="231F20"/>
          <w:spacing w:val="-3"/>
        </w:rPr>
        <w:t xml:space="preserve"> </w:t>
      </w:r>
      <w:r>
        <w:rPr>
          <w:color w:val="231F20"/>
        </w:rPr>
        <w:t>experiences.</w:t>
      </w:r>
    </w:p>
    <w:p w14:paraId="5439F096" w14:textId="77777777" w:rsidR="00AE0598" w:rsidRDefault="00AE0598">
      <w:pPr>
        <w:pStyle w:val="Corpodetexto"/>
        <w:spacing w:before="3"/>
      </w:pPr>
    </w:p>
    <w:p w14:paraId="4DCF812F" w14:textId="77777777" w:rsidR="00AE0598" w:rsidRDefault="0069255A">
      <w:pPr>
        <w:spacing w:line="244" w:lineRule="auto"/>
        <w:ind w:left="430" w:right="107"/>
        <w:jc w:val="both"/>
        <w:rPr>
          <w:sz w:val="20"/>
        </w:rPr>
      </w:pPr>
      <w:r>
        <w:rPr>
          <w:color w:val="231F20"/>
          <w:sz w:val="20"/>
        </w:rPr>
        <w:t>First, the essence of touristic behaviour involves a search for satisfying leisure</w:t>
      </w:r>
      <w:r>
        <w:rPr>
          <w:color w:val="231F20"/>
          <w:spacing w:val="-11"/>
          <w:sz w:val="20"/>
        </w:rPr>
        <w:t xml:space="preserve"> </w:t>
      </w:r>
      <w:r>
        <w:rPr>
          <w:color w:val="231F20"/>
          <w:sz w:val="20"/>
        </w:rPr>
        <w:t>[sport]</w:t>
      </w:r>
      <w:r>
        <w:rPr>
          <w:color w:val="231F20"/>
          <w:spacing w:val="-11"/>
          <w:sz w:val="20"/>
        </w:rPr>
        <w:t xml:space="preserve"> </w:t>
      </w:r>
      <w:r>
        <w:rPr>
          <w:color w:val="231F20"/>
          <w:sz w:val="20"/>
        </w:rPr>
        <w:t>away</w:t>
      </w:r>
      <w:r>
        <w:rPr>
          <w:color w:val="231F20"/>
          <w:spacing w:val="-11"/>
          <w:sz w:val="20"/>
        </w:rPr>
        <w:t xml:space="preserve"> </w:t>
      </w:r>
      <w:r>
        <w:rPr>
          <w:color w:val="231F20"/>
          <w:sz w:val="20"/>
        </w:rPr>
        <w:t>from</w:t>
      </w:r>
      <w:r>
        <w:rPr>
          <w:color w:val="231F20"/>
          <w:spacing w:val="-11"/>
          <w:sz w:val="20"/>
        </w:rPr>
        <w:t xml:space="preserve"> </w:t>
      </w:r>
      <w:r>
        <w:rPr>
          <w:color w:val="231F20"/>
          <w:sz w:val="20"/>
        </w:rPr>
        <w:t>home.</w:t>
      </w:r>
      <w:r>
        <w:rPr>
          <w:color w:val="231F20"/>
          <w:spacing w:val="-11"/>
          <w:sz w:val="20"/>
        </w:rPr>
        <w:t xml:space="preserve"> </w:t>
      </w:r>
      <w:r>
        <w:rPr>
          <w:color w:val="231F20"/>
          <w:sz w:val="20"/>
        </w:rPr>
        <w:t>Second,</w:t>
      </w:r>
      <w:r>
        <w:rPr>
          <w:color w:val="231F20"/>
          <w:spacing w:val="-11"/>
          <w:sz w:val="20"/>
        </w:rPr>
        <w:t xml:space="preserve"> </w:t>
      </w:r>
      <w:r>
        <w:rPr>
          <w:color w:val="231F20"/>
          <w:sz w:val="20"/>
        </w:rPr>
        <w:t>touristic</w:t>
      </w:r>
      <w:r>
        <w:rPr>
          <w:color w:val="231F20"/>
          <w:spacing w:val="-11"/>
          <w:sz w:val="20"/>
        </w:rPr>
        <w:t xml:space="preserve"> </w:t>
      </w:r>
      <w:r>
        <w:rPr>
          <w:color w:val="231F20"/>
          <w:sz w:val="20"/>
        </w:rPr>
        <w:t>leisure</w:t>
      </w:r>
      <w:r>
        <w:rPr>
          <w:color w:val="231F20"/>
          <w:spacing w:val="-11"/>
          <w:sz w:val="20"/>
        </w:rPr>
        <w:t xml:space="preserve"> </w:t>
      </w:r>
      <w:r>
        <w:rPr>
          <w:color w:val="231F20"/>
          <w:sz w:val="20"/>
        </w:rPr>
        <w:t>[sport]</w:t>
      </w:r>
      <w:r>
        <w:rPr>
          <w:color w:val="231F20"/>
          <w:spacing w:val="-11"/>
          <w:sz w:val="20"/>
        </w:rPr>
        <w:t xml:space="preserve"> </w:t>
      </w:r>
      <w:r>
        <w:rPr>
          <w:color w:val="231F20"/>
          <w:sz w:val="20"/>
        </w:rPr>
        <w:t>means</w:t>
      </w:r>
      <w:r>
        <w:rPr>
          <w:color w:val="231F20"/>
          <w:spacing w:val="-11"/>
          <w:sz w:val="20"/>
        </w:rPr>
        <w:t xml:space="preserve"> </w:t>
      </w:r>
      <w:r>
        <w:rPr>
          <w:color w:val="231F20"/>
          <w:sz w:val="20"/>
        </w:rPr>
        <w:t xml:space="preserve">a </w:t>
      </w:r>
      <w:r>
        <w:rPr>
          <w:color w:val="231F20"/>
          <w:w w:val="95"/>
          <w:sz w:val="20"/>
        </w:rPr>
        <w:t xml:space="preserve">search for suitable attractions or, to be more precise, a search for </w:t>
      </w:r>
      <w:r>
        <w:rPr>
          <w:color w:val="231F20"/>
          <w:w w:val="95"/>
          <w:sz w:val="20"/>
        </w:rPr>
        <w:t xml:space="preserve">personal </w:t>
      </w:r>
      <w:r>
        <w:rPr>
          <w:color w:val="231F20"/>
          <w:sz w:val="20"/>
        </w:rPr>
        <w:t>(</w:t>
      </w:r>
      <w:r>
        <w:rPr>
          <w:i/>
          <w:color w:val="231F20"/>
          <w:sz w:val="20"/>
        </w:rPr>
        <w:t>in situ</w:t>
      </w:r>
      <w:r>
        <w:rPr>
          <w:color w:val="231F20"/>
          <w:sz w:val="20"/>
        </w:rPr>
        <w:t>) experience of attraction systems’ nuclear elements. Third, the process</w:t>
      </w:r>
      <w:r>
        <w:rPr>
          <w:color w:val="231F20"/>
          <w:spacing w:val="-1"/>
          <w:sz w:val="20"/>
        </w:rPr>
        <w:t xml:space="preserve"> </w:t>
      </w:r>
      <w:r>
        <w:rPr>
          <w:color w:val="231F20"/>
          <w:sz w:val="20"/>
        </w:rPr>
        <w:t>depends</w:t>
      </w:r>
      <w:r>
        <w:rPr>
          <w:color w:val="231F20"/>
          <w:spacing w:val="-1"/>
          <w:sz w:val="20"/>
        </w:rPr>
        <w:t xml:space="preserve"> </w:t>
      </w:r>
      <w:r>
        <w:rPr>
          <w:color w:val="231F20"/>
          <w:sz w:val="20"/>
        </w:rPr>
        <w:t>ultimately</w:t>
      </w:r>
      <w:r>
        <w:rPr>
          <w:color w:val="231F20"/>
          <w:spacing w:val="-1"/>
          <w:sz w:val="20"/>
        </w:rPr>
        <w:t xml:space="preserve"> </w:t>
      </w:r>
      <w:r>
        <w:rPr>
          <w:color w:val="231F20"/>
          <w:sz w:val="20"/>
        </w:rPr>
        <w:t>on</w:t>
      </w:r>
      <w:r>
        <w:rPr>
          <w:color w:val="231F20"/>
          <w:spacing w:val="-1"/>
          <w:sz w:val="20"/>
        </w:rPr>
        <w:t xml:space="preserve"> </w:t>
      </w:r>
      <w:r>
        <w:rPr>
          <w:color w:val="231F20"/>
          <w:sz w:val="20"/>
        </w:rPr>
        <w:t>each</w:t>
      </w:r>
      <w:r>
        <w:rPr>
          <w:color w:val="231F20"/>
          <w:spacing w:val="-1"/>
          <w:sz w:val="20"/>
        </w:rPr>
        <w:t xml:space="preserve"> </w:t>
      </w:r>
      <w:r>
        <w:rPr>
          <w:color w:val="231F20"/>
          <w:sz w:val="20"/>
        </w:rPr>
        <w:t>individual’s</w:t>
      </w:r>
      <w:r>
        <w:rPr>
          <w:color w:val="231F20"/>
          <w:spacing w:val="-1"/>
          <w:sz w:val="20"/>
        </w:rPr>
        <w:t xml:space="preserve"> </w:t>
      </w:r>
      <w:r>
        <w:rPr>
          <w:color w:val="231F20"/>
          <w:sz w:val="20"/>
        </w:rPr>
        <w:t>mental</w:t>
      </w:r>
      <w:r>
        <w:rPr>
          <w:color w:val="231F20"/>
          <w:spacing w:val="-1"/>
          <w:sz w:val="20"/>
        </w:rPr>
        <w:t xml:space="preserve"> </w:t>
      </w:r>
      <w:r>
        <w:rPr>
          <w:color w:val="231F20"/>
          <w:sz w:val="20"/>
        </w:rPr>
        <w:t>and</w:t>
      </w:r>
      <w:r>
        <w:rPr>
          <w:color w:val="231F20"/>
          <w:spacing w:val="-1"/>
          <w:sz w:val="20"/>
        </w:rPr>
        <w:t xml:space="preserve"> </w:t>
      </w:r>
      <w:r>
        <w:rPr>
          <w:color w:val="231F20"/>
          <w:sz w:val="20"/>
        </w:rPr>
        <w:t>non-mental attributes such as needs and ability to travel. Fourth, the markers or informative elements have a key r</w:t>
      </w:r>
      <w:r>
        <w:rPr>
          <w:color w:val="231F20"/>
          <w:sz w:val="20"/>
        </w:rPr>
        <w:t xml:space="preserve">ole in the links between each tourist </w:t>
      </w:r>
      <w:r>
        <w:rPr>
          <w:color w:val="231F20"/>
          <w:w w:val="95"/>
          <w:sz w:val="20"/>
        </w:rPr>
        <w:t>and the nuclear elements being sought for personal experience. Fifth, the process is not automatically productive, because [sport] tourists’ needs are not always satisfied (these systems may be functional or dysfunctio</w:t>
      </w:r>
      <w:r>
        <w:rPr>
          <w:color w:val="231F20"/>
          <w:w w:val="95"/>
          <w:sz w:val="20"/>
        </w:rPr>
        <w:t>nal, to varying degrees). (Leiper, 1990: 371–372)</w:t>
      </w:r>
    </w:p>
    <w:p w14:paraId="2C9BC7FC" w14:textId="77777777" w:rsidR="00AE0598" w:rsidRDefault="00AE0598">
      <w:pPr>
        <w:pStyle w:val="Corpodetexto"/>
      </w:pPr>
    </w:p>
    <w:p w14:paraId="6F53D534" w14:textId="77777777" w:rsidR="00AE0598" w:rsidRDefault="0069255A">
      <w:pPr>
        <w:pStyle w:val="Corpodetexto"/>
        <w:spacing w:line="232" w:lineRule="auto"/>
        <w:ind w:left="110" w:right="107"/>
        <w:jc w:val="both"/>
      </w:pPr>
      <w:r>
        <w:rPr>
          <w:color w:val="231F20"/>
        </w:rPr>
        <w:t>Sport</w:t>
      </w:r>
      <w:r>
        <w:rPr>
          <w:color w:val="231F20"/>
          <w:spacing w:val="-7"/>
        </w:rPr>
        <w:t xml:space="preserve"> </w:t>
      </w:r>
      <w:r>
        <w:rPr>
          <w:color w:val="231F20"/>
        </w:rPr>
        <w:t>travellers</w:t>
      </w:r>
      <w:r>
        <w:rPr>
          <w:color w:val="231F20"/>
          <w:spacing w:val="-7"/>
        </w:rPr>
        <w:t xml:space="preserve"> </w:t>
      </w:r>
      <w:r>
        <w:rPr>
          <w:color w:val="231F20"/>
        </w:rPr>
        <w:t>are</w:t>
      </w:r>
      <w:r>
        <w:rPr>
          <w:color w:val="231F20"/>
          <w:spacing w:val="-7"/>
        </w:rPr>
        <w:t xml:space="preserve"> </w:t>
      </w:r>
      <w:r>
        <w:rPr>
          <w:color w:val="231F20"/>
        </w:rPr>
        <w:t>characterised</w:t>
      </w:r>
      <w:r>
        <w:rPr>
          <w:color w:val="231F20"/>
          <w:spacing w:val="-7"/>
        </w:rPr>
        <w:t xml:space="preserve"> </w:t>
      </w:r>
      <w:r>
        <w:rPr>
          <w:color w:val="231F20"/>
        </w:rPr>
        <w:t>by</w:t>
      </w:r>
      <w:r>
        <w:rPr>
          <w:color w:val="231F20"/>
          <w:spacing w:val="-6"/>
        </w:rPr>
        <w:t xml:space="preserve"> </w:t>
      </w:r>
      <w:r>
        <w:rPr>
          <w:color w:val="231F20"/>
        </w:rPr>
        <w:t>a</w:t>
      </w:r>
      <w:r>
        <w:rPr>
          <w:color w:val="231F20"/>
          <w:spacing w:val="-7"/>
        </w:rPr>
        <w:t xml:space="preserve"> </w:t>
      </w:r>
      <w:r>
        <w:rPr>
          <w:color w:val="231F20"/>
        </w:rPr>
        <w:t>range</w:t>
      </w:r>
      <w:r>
        <w:rPr>
          <w:color w:val="231F20"/>
          <w:spacing w:val="-7"/>
        </w:rPr>
        <w:t xml:space="preserve"> </w:t>
      </w:r>
      <w:r>
        <w:rPr>
          <w:color w:val="231F20"/>
        </w:rPr>
        <w:t>of</w:t>
      </w:r>
      <w:r>
        <w:rPr>
          <w:color w:val="231F20"/>
          <w:spacing w:val="-6"/>
        </w:rPr>
        <w:t xml:space="preserve"> </w:t>
      </w:r>
      <w:r>
        <w:rPr>
          <w:color w:val="231F20"/>
        </w:rPr>
        <w:t>interests</w:t>
      </w:r>
      <w:r>
        <w:rPr>
          <w:color w:val="231F20"/>
          <w:spacing w:val="-7"/>
        </w:rPr>
        <w:t xml:space="preserve"> </w:t>
      </w:r>
      <w:r>
        <w:rPr>
          <w:color w:val="231F20"/>
        </w:rPr>
        <w:t>which</w:t>
      </w:r>
      <w:r>
        <w:rPr>
          <w:color w:val="231F20"/>
          <w:spacing w:val="-7"/>
        </w:rPr>
        <w:t xml:space="preserve"> </w:t>
      </w:r>
      <w:r>
        <w:rPr>
          <w:color w:val="231F20"/>
        </w:rPr>
        <w:t>they</w:t>
      </w:r>
      <w:r>
        <w:rPr>
          <w:color w:val="231F20"/>
          <w:spacing w:val="-6"/>
        </w:rPr>
        <w:t xml:space="preserve"> </w:t>
      </w:r>
      <w:r>
        <w:rPr>
          <w:color w:val="231F20"/>
        </w:rPr>
        <w:t xml:space="preserve">may </w:t>
      </w:r>
      <w:r>
        <w:rPr>
          <w:color w:val="231F20"/>
          <w:w w:val="95"/>
        </w:rPr>
        <w:t>choose</w:t>
      </w:r>
      <w:r>
        <w:rPr>
          <w:color w:val="231F20"/>
          <w:spacing w:val="-2"/>
          <w:w w:val="95"/>
        </w:rPr>
        <w:t xml:space="preserve"> </w:t>
      </w:r>
      <w:r>
        <w:rPr>
          <w:color w:val="231F20"/>
          <w:w w:val="95"/>
        </w:rPr>
        <w:t>to</w:t>
      </w:r>
      <w:r>
        <w:rPr>
          <w:color w:val="231F20"/>
          <w:spacing w:val="-2"/>
          <w:w w:val="95"/>
        </w:rPr>
        <w:t xml:space="preserve"> </w:t>
      </w:r>
      <w:r>
        <w:rPr>
          <w:color w:val="231F20"/>
          <w:w w:val="95"/>
        </w:rPr>
        <w:t>pursue</w:t>
      </w:r>
      <w:r>
        <w:rPr>
          <w:color w:val="231F20"/>
          <w:spacing w:val="-2"/>
          <w:w w:val="95"/>
        </w:rPr>
        <w:t xml:space="preserve"> </w:t>
      </w:r>
      <w:r>
        <w:rPr>
          <w:color w:val="231F20"/>
          <w:w w:val="95"/>
        </w:rPr>
        <w:t>one</w:t>
      </w:r>
      <w:r>
        <w:rPr>
          <w:color w:val="231F20"/>
          <w:spacing w:val="-2"/>
          <w:w w:val="95"/>
        </w:rPr>
        <w:t xml:space="preserve"> </w:t>
      </w:r>
      <w:r>
        <w:rPr>
          <w:color w:val="231F20"/>
          <w:w w:val="95"/>
        </w:rPr>
        <w:t>at</w:t>
      </w:r>
      <w:r>
        <w:rPr>
          <w:color w:val="231F20"/>
          <w:spacing w:val="-2"/>
          <w:w w:val="95"/>
        </w:rPr>
        <w:t xml:space="preserve"> </w:t>
      </w:r>
      <w:r>
        <w:rPr>
          <w:color w:val="231F20"/>
          <w:w w:val="95"/>
        </w:rPr>
        <w:t>a</w:t>
      </w:r>
      <w:r>
        <w:rPr>
          <w:color w:val="231F20"/>
          <w:spacing w:val="-2"/>
          <w:w w:val="95"/>
        </w:rPr>
        <w:t xml:space="preserve"> </w:t>
      </w:r>
      <w:r>
        <w:rPr>
          <w:color w:val="231F20"/>
          <w:w w:val="95"/>
        </w:rPr>
        <w:t>time</w:t>
      </w:r>
      <w:r>
        <w:rPr>
          <w:color w:val="231F20"/>
          <w:spacing w:val="-2"/>
          <w:w w:val="95"/>
        </w:rPr>
        <w:t xml:space="preserve"> </w:t>
      </w:r>
      <w:r>
        <w:rPr>
          <w:color w:val="231F20"/>
          <w:w w:val="95"/>
        </w:rPr>
        <w:t>or</w:t>
      </w:r>
      <w:r>
        <w:rPr>
          <w:color w:val="231F20"/>
          <w:spacing w:val="-2"/>
          <w:w w:val="95"/>
        </w:rPr>
        <w:t xml:space="preserve"> </w:t>
      </w:r>
      <w:r>
        <w:rPr>
          <w:color w:val="231F20"/>
          <w:w w:val="95"/>
        </w:rPr>
        <w:t>as</w:t>
      </w:r>
      <w:r>
        <w:rPr>
          <w:color w:val="231F20"/>
          <w:spacing w:val="-2"/>
          <w:w w:val="95"/>
        </w:rPr>
        <w:t xml:space="preserve"> </w:t>
      </w:r>
      <w:r>
        <w:rPr>
          <w:color w:val="231F20"/>
          <w:w w:val="95"/>
        </w:rPr>
        <w:t>is</w:t>
      </w:r>
      <w:r>
        <w:rPr>
          <w:color w:val="231F20"/>
          <w:spacing w:val="-2"/>
          <w:w w:val="95"/>
        </w:rPr>
        <w:t xml:space="preserve"> </w:t>
      </w:r>
      <w:r>
        <w:rPr>
          <w:color w:val="231F20"/>
          <w:w w:val="95"/>
        </w:rPr>
        <w:t>more</w:t>
      </w:r>
      <w:r>
        <w:rPr>
          <w:color w:val="231F20"/>
          <w:spacing w:val="-2"/>
          <w:w w:val="95"/>
        </w:rPr>
        <w:t xml:space="preserve"> </w:t>
      </w:r>
      <w:r>
        <w:rPr>
          <w:color w:val="231F20"/>
          <w:w w:val="95"/>
        </w:rPr>
        <w:t>often</w:t>
      </w:r>
      <w:r>
        <w:rPr>
          <w:color w:val="231F20"/>
          <w:spacing w:val="-2"/>
          <w:w w:val="95"/>
        </w:rPr>
        <w:t xml:space="preserve"> </w:t>
      </w:r>
      <w:r>
        <w:rPr>
          <w:color w:val="231F20"/>
          <w:w w:val="95"/>
        </w:rPr>
        <w:t>the</w:t>
      </w:r>
      <w:r>
        <w:rPr>
          <w:color w:val="231F20"/>
          <w:spacing w:val="-2"/>
          <w:w w:val="95"/>
        </w:rPr>
        <w:t xml:space="preserve"> </w:t>
      </w:r>
      <w:r>
        <w:rPr>
          <w:color w:val="231F20"/>
          <w:w w:val="95"/>
        </w:rPr>
        <w:t>case,</w:t>
      </w:r>
      <w:r>
        <w:rPr>
          <w:color w:val="231F20"/>
          <w:spacing w:val="-2"/>
          <w:w w:val="95"/>
        </w:rPr>
        <w:t xml:space="preserve"> </w:t>
      </w:r>
      <w:r>
        <w:rPr>
          <w:color w:val="231F20"/>
          <w:w w:val="95"/>
        </w:rPr>
        <w:t>in</w:t>
      </w:r>
      <w:r>
        <w:rPr>
          <w:color w:val="231F20"/>
          <w:spacing w:val="-2"/>
          <w:w w:val="95"/>
        </w:rPr>
        <w:t xml:space="preserve"> </w:t>
      </w:r>
      <w:r>
        <w:rPr>
          <w:color w:val="231F20"/>
          <w:w w:val="95"/>
        </w:rPr>
        <w:t>an</w:t>
      </w:r>
      <w:r>
        <w:rPr>
          <w:color w:val="231F20"/>
          <w:spacing w:val="-2"/>
          <w:w w:val="95"/>
        </w:rPr>
        <w:t xml:space="preserve"> </w:t>
      </w:r>
      <w:r>
        <w:rPr>
          <w:color w:val="231F20"/>
          <w:w w:val="95"/>
        </w:rPr>
        <w:t xml:space="preserve">assortment </w:t>
      </w:r>
      <w:r>
        <w:rPr>
          <w:color w:val="231F20"/>
        </w:rPr>
        <w:t>of combinations. Major segments include: recreational athletes, elite athletes,</w:t>
      </w:r>
      <w:r>
        <w:rPr>
          <w:color w:val="231F20"/>
          <w:spacing w:val="16"/>
        </w:rPr>
        <w:t xml:space="preserve"> </w:t>
      </w:r>
      <w:r>
        <w:rPr>
          <w:color w:val="231F20"/>
        </w:rPr>
        <w:t>sport</w:t>
      </w:r>
      <w:r>
        <w:rPr>
          <w:color w:val="231F20"/>
          <w:spacing w:val="16"/>
        </w:rPr>
        <w:t xml:space="preserve"> </w:t>
      </w:r>
      <w:r>
        <w:rPr>
          <w:color w:val="231F20"/>
        </w:rPr>
        <w:t>spectators</w:t>
      </w:r>
      <w:r>
        <w:rPr>
          <w:color w:val="231F20"/>
          <w:spacing w:val="16"/>
        </w:rPr>
        <w:t xml:space="preserve"> </w:t>
      </w:r>
      <w:r>
        <w:rPr>
          <w:color w:val="231F20"/>
        </w:rPr>
        <w:t>and</w:t>
      </w:r>
      <w:r>
        <w:rPr>
          <w:color w:val="231F20"/>
          <w:spacing w:val="16"/>
        </w:rPr>
        <w:t xml:space="preserve"> </w:t>
      </w:r>
      <w:r>
        <w:rPr>
          <w:color w:val="231F20"/>
        </w:rPr>
        <w:t>a</w:t>
      </w:r>
      <w:r>
        <w:rPr>
          <w:color w:val="231F20"/>
          <w:spacing w:val="16"/>
        </w:rPr>
        <w:t xml:space="preserve"> </w:t>
      </w:r>
      <w:r>
        <w:rPr>
          <w:color w:val="231F20"/>
        </w:rPr>
        <w:t>variety</w:t>
      </w:r>
      <w:r>
        <w:rPr>
          <w:color w:val="231F20"/>
          <w:spacing w:val="16"/>
        </w:rPr>
        <w:t xml:space="preserve"> </w:t>
      </w:r>
      <w:r>
        <w:rPr>
          <w:color w:val="231F20"/>
        </w:rPr>
        <w:t>of</w:t>
      </w:r>
      <w:r>
        <w:rPr>
          <w:color w:val="231F20"/>
          <w:spacing w:val="16"/>
        </w:rPr>
        <w:t xml:space="preserve"> </w:t>
      </w:r>
      <w:r>
        <w:rPr>
          <w:color w:val="231F20"/>
        </w:rPr>
        <w:t>related</w:t>
      </w:r>
      <w:r>
        <w:rPr>
          <w:color w:val="231F20"/>
          <w:spacing w:val="16"/>
        </w:rPr>
        <w:t xml:space="preserve"> </w:t>
      </w:r>
      <w:r>
        <w:rPr>
          <w:color w:val="231F20"/>
        </w:rPr>
        <w:t>sport</w:t>
      </w:r>
      <w:r>
        <w:rPr>
          <w:color w:val="231F20"/>
          <w:spacing w:val="16"/>
        </w:rPr>
        <w:t xml:space="preserve"> </w:t>
      </w:r>
      <w:r>
        <w:rPr>
          <w:color w:val="231F20"/>
        </w:rPr>
        <w:t>travellers</w:t>
      </w:r>
      <w:r>
        <w:rPr>
          <w:color w:val="231F20"/>
          <w:spacing w:val="16"/>
        </w:rPr>
        <w:t xml:space="preserve"> </w:t>
      </w:r>
      <w:r>
        <w:rPr>
          <w:color w:val="231F20"/>
        </w:rPr>
        <w:t>such</w:t>
      </w:r>
    </w:p>
    <w:p w14:paraId="7E2710BE" w14:textId="77777777" w:rsidR="00AE0598" w:rsidRDefault="00AE0598">
      <w:pPr>
        <w:spacing w:line="232" w:lineRule="auto"/>
        <w:jc w:val="both"/>
        <w:sectPr w:rsidR="00AE0598">
          <w:type w:val="continuous"/>
          <w:pgSz w:w="8850" w:h="13270"/>
          <w:pgMar w:top="1080" w:right="1080" w:bottom="280" w:left="1080" w:header="720" w:footer="720" w:gutter="0"/>
          <w:cols w:space="720"/>
        </w:sectPr>
      </w:pPr>
    </w:p>
    <w:p w14:paraId="3BBA35BF" w14:textId="77777777" w:rsidR="00AE0598" w:rsidRDefault="0069255A">
      <w:pPr>
        <w:spacing w:before="87"/>
        <w:ind w:right="108"/>
        <w:jc w:val="right"/>
        <w:rPr>
          <w:rFonts w:ascii="Trebuchet MS"/>
          <w:sz w:val="14"/>
        </w:rPr>
      </w:pPr>
      <w:r>
        <w:rPr>
          <w:rFonts w:ascii="Trebuchet MS"/>
          <w:color w:val="231F20"/>
          <w:w w:val="105"/>
          <w:sz w:val="14"/>
        </w:rPr>
        <w:lastRenderedPageBreak/>
        <w:t>The</w:t>
      </w:r>
      <w:r>
        <w:rPr>
          <w:rFonts w:ascii="Trebuchet MS"/>
          <w:color w:val="231F20"/>
          <w:spacing w:val="-9"/>
          <w:w w:val="105"/>
          <w:sz w:val="14"/>
        </w:rPr>
        <w:t xml:space="preserve"> </w:t>
      </w:r>
      <w:r>
        <w:rPr>
          <w:rFonts w:ascii="Trebuchet MS"/>
          <w:color w:val="231F20"/>
          <w:w w:val="105"/>
          <w:sz w:val="14"/>
        </w:rPr>
        <w:t>Study</w:t>
      </w:r>
      <w:r>
        <w:rPr>
          <w:rFonts w:ascii="Trebuchet MS"/>
          <w:color w:val="231F20"/>
          <w:spacing w:val="-8"/>
          <w:w w:val="105"/>
          <w:sz w:val="14"/>
        </w:rPr>
        <w:t xml:space="preserve"> </w:t>
      </w:r>
      <w:r>
        <w:rPr>
          <w:rFonts w:ascii="Trebuchet MS"/>
          <w:color w:val="231F20"/>
          <w:w w:val="105"/>
          <w:sz w:val="14"/>
        </w:rPr>
        <w:t>of</w:t>
      </w:r>
      <w:r>
        <w:rPr>
          <w:rFonts w:ascii="Trebuchet MS"/>
          <w:color w:val="231F20"/>
          <w:spacing w:val="-9"/>
          <w:w w:val="105"/>
          <w:sz w:val="14"/>
        </w:rPr>
        <w:t xml:space="preserve"> </w:t>
      </w:r>
      <w:r>
        <w:rPr>
          <w:rFonts w:ascii="Trebuchet MS"/>
          <w:color w:val="231F20"/>
          <w:w w:val="105"/>
          <w:sz w:val="14"/>
        </w:rPr>
        <w:t>Sport</w:t>
      </w:r>
      <w:r>
        <w:rPr>
          <w:rFonts w:ascii="Trebuchet MS"/>
          <w:color w:val="231F20"/>
          <w:spacing w:val="-8"/>
          <w:w w:val="105"/>
          <w:sz w:val="14"/>
        </w:rPr>
        <w:t xml:space="preserve"> </w:t>
      </w:r>
      <w:r>
        <w:rPr>
          <w:rFonts w:ascii="Trebuchet MS"/>
          <w:color w:val="231F20"/>
          <w:w w:val="105"/>
          <w:sz w:val="14"/>
        </w:rPr>
        <w:t>Tourism</w:t>
      </w:r>
      <w:r>
        <w:rPr>
          <w:rFonts w:ascii="Trebuchet MS"/>
          <w:color w:val="231F20"/>
          <w:spacing w:val="68"/>
          <w:w w:val="150"/>
          <w:sz w:val="14"/>
        </w:rPr>
        <w:t xml:space="preserve"> </w:t>
      </w:r>
      <w:r>
        <w:rPr>
          <w:rFonts w:ascii="Trebuchet MS"/>
          <w:color w:val="231F20"/>
          <w:spacing w:val="-5"/>
          <w:w w:val="105"/>
          <w:sz w:val="14"/>
        </w:rPr>
        <w:t>25</w:t>
      </w:r>
    </w:p>
    <w:p w14:paraId="71ACA970" w14:textId="77777777" w:rsidR="00AE0598" w:rsidRDefault="00AE0598">
      <w:pPr>
        <w:pStyle w:val="Corpodetexto"/>
        <w:rPr>
          <w:rFonts w:ascii="Trebuchet MS"/>
          <w:sz w:val="16"/>
        </w:rPr>
      </w:pPr>
    </w:p>
    <w:p w14:paraId="07ED31B7" w14:textId="77777777" w:rsidR="00AE0598" w:rsidRDefault="0069255A">
      <w:pPr>
        <w:pStyle w:val="Corpodetexto"/>
        <w:spacing w:before="118" w:line="232" w:lineRule="auto"/>
        <w:ind w:left="110" w:right="107"/>
        <w:jc w:val="both"/>
      </w:pPr>
      <w:r>
        <w:rPr>
          <w:color w:val="231F20"/>
        </w:rPr>
        <w:t>as coaches, officials and media crews interested in high profile sporting events (see Chapter 3).</w:t>
      </w:r>
    </w:p>
    <w:p w14:paraId="3198EF0E" w14:textId="77777777" w:rsidR="00AE0598" w:rsidRDefault="0069255A">
      <w:pPr>
        <w:pStyle w:val="Corpodetexto"/>
        <w:spacing w:before="2" w:line="232" w:lineRule="auto"/>
        <w:ind w:left="110" w:right="105" w:firstLine="320"/>
        <w:jc w:val="both"/>
      </w:pPr>
      <w:r>
        <w:rPr>
          <w:color w:val="231F20"/>
        </w:rPr>
        <w:t>The</w:t>
      </w:r>
      <w:r>
        <w:rPr>
          <w:color w:val="231F20"/>
          <w:spacing w:val="33"/>
        </w:rPr>
        <w:t xml:space="preserve"> </w:t>
      </w:r>
      <w:r>
        <w:rPr>
          <w:color w:val="231F20"/>
        </w:rPr>
        <w:t>second</w:t>
      </w:r>
      <w:r>
        <w:rPr>
          <w:color w:val="231F20"/>
          <w:spacing w:val="33"/>
        </w:rPr>
        <w:t xml:space="preserve"> </w:t>
      </w:r>
      <w:r>
        <w:rPr>
          <w:color w:val="231F20"/>
        </w:rPr>
        <w:t>major</w:t>
      </w:r>
      <w:r>
        <w:rPr>
          <w:color w:val="231F20"/>
          <w:spacing w:val="33"/>
        </w:rPr>
        <w:t xml:space="preserve"> </w:t>
      </w:r>
      <w:r>
        <w:rPr>
          <w:color w:val="231F20"/>
        </w:rPr>
        <w:t>element</w:t>
      </w:r>
      <w:r>
        <w:rPr>
          <w:color w:val="231F20"/>
          <w:spacing w:val="33"/>
        </w:rPr>
        <w:t xml:space="preserve"> </w:t>
      </w:r>
      <w:r>
        <w:rPr>
          <w:color w:val="231F20"/>
        </w:rPr>
        <w:t>of</w:t>
      </w:r>
      <w:r>
        <w:rPr>
          <w:color w:val="231F20"/>
          <w:spacing w:val="33"/>
        </w:rPr>
        <w:t xml:space="preserve"> </w:t>
      </w:r>
      <w:r>
        <w:rPr>
          <w:color w:val="231F20"/>
        </w:rPr>
        <w:t>the</w:t>
      </w:r>
      <w:r>
        <w:rPr>
          <w:color w:val="231F20"/>
          <w:spacing w:val="33"/>
        </w:rPr>
        <w:t xml:space="preserve"> </w:t>
      </w:r>
      <w:r>
        <w:rPr>
          <w:color w:val="231F20"/>
        </w:rPr>
        <w:t>sport</w:t>
      </w:r>
      <w:r>
        <w:rPr>
          <w:color w:val="231F20"/>
          <w:spacing w:val="33"/>
        </w:rPr>
        <w:t xml:space="preserve"> </w:t>
      </w:r>
      <w:r>
        <w:rPr>
          <w:color w:val="231F20"/>
        </w:rPr>
        <w:t>tourism</w:t>
      </w:r>
      <w:r>
        <w:rPr>
          <w:color w:val="231F20"/>
          <w:spacing w:val="33"/>
        </w:rPr>
        <w:t xml:space="preserve"> </w:t>
      </w:r>
      <w:r>
        <w:rPr>
          <w:color w:val="231F20"/>
        </w:rPr>
        <w:t>attraction</w:t>
      </w:r>
      <w:r>
        <w:rPr>
          <w:color w:val="231F20"/>
          <w:spacing w:val="33"/>
        </w:rPr>
        <w:t xml:space="preserve"> </w:t>
      </w:r>
      <w:r>
        <w:rPr>
          <w:color w:val="231F20"/>
        </w:rPr>
        <w:t xml:space="preserve">system is the type of sport activity that is of interest in the destination. These </w:t>
      </w:r>
      <w:r>
        <w:rPr>
          <w:color w:val="231F20"/>
          <w:w w:val="95"/>
        </w:rPr>
        <w:t xml:space="preserve">manifestations of </w:t>
      </w:r>
      <w:r>
        <w:rPr>
          <w:color w:val="231F20"/>
          <w:w w:val="95"/>
        </w:rPr>
        <w:t>sport are tied to the location where the sport experience</w:t>
      </w:r>
      <w:r>
        <w:rPr>
          <w:color w:val="231F20"/>
          <w:spacing w:val="40"/>
        </w:rPr>
        <w:t xml:space="preserve"> </w:t>
      </w:r>
      <w:r>
        <w:rPr>
          <w:color w:val="231F20"/>
          <w:w w:val="95"/>
        </w:rPr>
        <w:t xml:space="preserve">is produced and consumed as well as to interactions with people including </w:t>
      </w:r>
      <w:r>
        <w:rPr>
          <w:color w:val="231F20"/>
        </w:rPr>
        <w:t xml:space="preserve">local residents and other visitors. More specifically, in the context of </w:t>
      </w:r>
      <w:r>
        <w:rPr>
          <w:color w:val="231F20"/>
          <w:w w:val="95"/>
        </w:rPr>
        <w:t>sporting attractions, it can typically be classifie</w:t>
      </w:r>
      <w:r>
        <w:rPr>
          <w:color w:val="231F20"/>
          <w:w w:val="95"/>
        </w:rPr>
        <w:t xml:space="preserve">d in terms of site activities related to: (1) spectator-based sport events; (2) participation-based sport </w:t>
      </w:r>
      <w:r>
        <w:rPr>
          <w:color w:val="231F20"/>
        </w:rPr>
        <w:t>events;</w:t>
      </w:r>
      <w:r>
        <w:rPr>
          <w:color w:val="231F20"/>
          <w:spacing w:val="-9"/>
        </w:rPr>
        <w:t xml:space="preserve"> </w:t>
      </w:r>
      <w:r>
        <w:rPr>
          <w:color w:val="231F20"/>
        </w:rPr>
        <w:t>(3)</w:t>
      </w:r>
      <w:r>
        <w:rPr>
          <w:color w:val="231F20"/>
          <w:spacing w:val="-9"/>
        </w:rPr>
        <w:t xml:space="preserve"> </w:t>
      </w:r>
      <w:r>
        <w:rPr>
          <w:color w:val="231F20"/>
        </w:rPr>
        <w:t>active</w:t>
      </w:r>
      <w:r>
        <w:rPr>
          <w:color w:val="231F20"/>
          <w:spacing w:val="-9"/>
        </w:rPr>
        <w:t xml:space="preserve"> </w:t>
      </w:r>
      <w:r>
        <w:rPr>
          <w:color w:val="231F20"/>
        </w:rPr>
        <w:t>sport;</w:t>
      </w:r>
      <w:r>
        <w:rPr>
          <w:color w:val="231F20"/>
          <w:spacing w:val="-9"/>
        </w:rPr>
        <w:t xml:space="preserve"> </w:t>
      </w:r>
      <w:r>
        <w:rPr>
          <w:color w:val="231F20"/>
        </w:rPr>
        <w:t>and</w:t>
      </w:r>
      <w:r>
        <w:rPr>
          <w:color w:val="231F20"/>
          <w:spacing w:val="-9"/>
        </w:rPr>
        <w:t xml:space="preserve"> </w:t>
      </w:r>
      <w:r>
        <w:rPr>
          <w:color w:val="231F20"/>
        </w:rPr>
        <w:t>(4)</w:t>
      </w:r>
      <w:r>
        <w:rPr>
          <w:color w:val="231F20"/>
          <w:spacing w:val="-9"/>
        </w:rPr>
        <w:t xml:space="preserve"> </w:t>
      </w:r>
      <w:r>
        <w:rPr>
          <w:color w:val="231F20"/>
        </w:rPr>
        <w:t>sport</w:t>
      </w:r>
      <w:r>
        <w:rPr>
          <w:color w:val="231F20"/>
          <w:spacing w:val="-9"/>
        </w:rPr>
        <w:t xml:space="preserve"> </w:t>
      </w:r>
      <w:r>
        <w:rPr>
          <w:color w:val="231F20"/>
        </w:rPr>
        <w:t>heritage</w:t>
      </w:r>
      <w:r>
        <w:rPr>
          <w:color w:val="231F20"/>
          <w:spacing w:val="-9"/>
        </w:rPr>
        <w:t xml:space="preserve"> </w:t>
      </w:r>
      <w:r>
        <w:rPr>
          <w:color w:val="231F20"/>
        </w:rPr>
        <w:t>activities.</w:t>
      </w:r>
      <w:r>
        <w:rPr>
          <w:color w:val="231F20"/>
          <w:spacing w:val="-9"/>
        </w:rPr>
        <w:t xml:space="preserve"> </w:t>
      </w:r>
      <w:r>
        <w:rPr>
          <w:color w:val="231F20"/>
        </w:rPr>
        <w:t>This</w:t>
      </w:r>
      <w:r>
        <w:rPr>
          <w:color w:val="231F20"/>
          <w:spacing w:val="-9"/>
        </w:rPr>
        <w:t xml:space="preserve"> </w:t>
      </w:r>
      <w:r>
        <w:rPr>
          <w:color w:val="231F20"/>
        </w:rPr>
        <w:t>typology</w:t>
      </w:r>
      <w:r>
        <w:rPr>
          <w:color w:val="231F20"/>
          <w:spacing w:val="-9"/>
        </w:rPr>
        <w:t xml:space="preserve"> </w:t>
      </w:r>
      <w:r>
        <w:rPr>
          <w:color w:val="231F20"/>
        </w:rPr>
        <w:t xml:space="preserve">of </w:t>
      </w:r>
      <w:r>
        <w:rPr>
          <w:color w:val="231F20"/>
          <w:w w:val="95"/>
        </w:rPr>
        <w:t>sport</w:t>
      </w:r>
      <w:r>
        <w:rPr>
          <w:color w:val="231F20"/>
          <w:spacing w:val="-5"/>
          <w:w w:val="95"/>
        </w:rPr>
        <w:t xml:space="preserve"> </w:t>
      </w:r>
      <w:r>
        <w:rPr>
          <w:color w:val="231F20"/>
          <w:w w:val="95"/>
        </w:rPr>
        <w:t>tourism</w:t>
      </w:r>
      <w:r>
        <w:rPr>
          <w:color w:val="231F20"/>
          <w:spacing w:val="-5"/>
          <w:w w:val="95"/>
        </w:rPr>
        <w:t xml:space="preserve"> </w:t>
      </w:r>
      <w:r>
        <w:rPr>
          <w:color w:val="231F20"/>
          <w:w w:val="95"/>
        </w:rPr>
        <w:t>activity</w:t>
      </w:r>
      <w:r>
        <w:rPr>
          <w:color w:val="231F20"/>
          <w:spacing w:val="-5"/>
          <w:w w:val="95"/>
        </w:rPr>
        <w:t xml:space="preserve"> </w:t>
      </w:r>
      <w:r>
        <w:rPr>
          <w:color w:val="231F20"/>
          <w:w w:val="95"/>
        </w:rPr>
        <w:t>builds</w:t>
      </w:r>
      <w:r>
        <w:rPr>
          <w:color w:val="231F20"/>
          <w:spacing w:val="-5"/>
          <w:w w:val="95"/>
        </w:rPr>
        <w:t xml:space="preserve"> </w:t>
      </w:r>
      <w:r>
        <w:rPr>
          <w:color w:val="231F20"/>
          <w:w w:val="95"/>
        </w:rPr>
        <w:t>on</w:t>
      </w:r>
      <w:r>
        <w:rPr>
          <w:color w:val="231F20"/>
          <w:spacing w:val="-5"/>
          <w:w w:val="95"/>
        </w:rPr>
        <w:t xml:space="preserve"> </w:t>
      </w:r>
      <w:r>
        <w:rPr>
          <w:color w:val="231F20"/>
          <w:w w:val="95"/>
        </w:rPr>
        <w:t>Gibson’s</w:t>
      </w:r>
      <w:r>
        <w:rPr>
          <w:color w:val="231F20"/>
          <w:spacing w:val="-5"/>
          <w:w w:val="95"/>
        </w:rPr>
        <w:t xml:space="preserve"> </w:t>
      </w:r>
      <w:r>
        <w:rPr>
          <w:color w:val="231F20"/>
          <w:w w:val="95"/>
        </w:rPr>
        <w:t>(1998a)</w:t>
      </w:r>
      <w:r>
        <w:rPr>
          <w:color w:val="231F20"/>
          <w:spacing w:val="-5"/>
          <w:w w:val="95"/>
        </w:rPr>
        <w:t xml:space="preserve"> </w:t>
      </w:r>
      <w:r>
        <w:rPr>
          <w:color w:val="231F20"/>
          <w:w w:val="95"/>
        </w:rPr>
        <w:t>typology</w:t>
      </w:r>
      <w:r>
        <w:rPr>
          <w:color w:val="231F20"/>
          <w:spacing w:val="-5"/>
          <w:w w:val="95"/>
        </w:rPr>
        <w:t xml:space="preserve"> </w:t>
      </w:r>
      <w:r>
        <w:rPr>
          <w:color w:val="231F20"/>
          <w:w w:val="95"/>
        </w:rPr>
        <w:t>by</w:t>
      </w:r>
      <w:r>
        <w:rPr>
          <w:color w:val="231F20"/>
          <w:spacing w:val="-5"/>
          <w:w w:val="95"/>
        </w:rPr>
        <w:t xml:space="preserve"> </w:t>
      </w:r>
      <w:r>
        <w:rPr>
          <w:color w:val="231F20"/>
          <w:w w:val="95"/>
        </w:rPr>
        <w:t xml:space="preserve">distinguishing </w:t>
      </w:r>
      <w:r>
        <w:rPr>
          <w:color w:val="231F20"/>
        </w:rPr>
        <w:t xml:space="preserve">participation-based sporting events, which can be seen as a hybrid of </w:t>
      </w:r>
      <w:r>
        <w:rPr>
          <w:color w:val="231F20"/>
          <w:w w:val="95"/>
        </w:rPr>
        <w:t xml:space="preserve">events and active sport tourism. While spectator events feature a relatively </w:t>
      </w:r>
      <w:r>
        <w:rPr>
          <w:color w:val="231F20"/>
        </w:rPr>
        <w:t>low number of elite competitors and a high number of spectators (e.g. professional sport), par</w:t>
      </w:r>
      <w:r>
        <w:rPr>
          <w:color w:val="231F20"/>
        </w:rPr>
        <w:t xml:space="preserve">ticipation-based events feature relatively higher proportions of athletes across a spectrum of skill sets and a relatively </w:t>
      </w:r>
      <w:r>
        <w:rPr>
          <w:color w:val="231F20"/>
          <w:w w:val="95"/>
        </w:rPr>
        <w:t xml:space="preserve">smaller proportion of spectators (e.g. many triathlons and marathons). The </w:t>
      </w:r>
      <w:r>
        <w:rPr>
          <w:color w:val="231F20"/>
        </w:rPr>
        <w:t>participation-based event category differs from the active</w:t>
      </w:r>
      <w:r>
        <w:rPr>
          <w:color w:val="231F20"/>
        </w:rPr>
        <w:t xml:space="preserve"> sport tourism </w:t>
      </w:r>
      <w:r>
        <w:rPr>
          <w:color w:val="231F20"/>
          <w:w w:val="95"/>
        </w:rPr>
        <w:t xml:space="preserve">category in terms of the degree of institutionalisation. Active sport tourism is characterised by direct engagement in a sporting activity such as cycling or tennis inclusive of both recreational and serious involvement. Whereas </w:t>
      </w:r>
      <w:r>
        <w:rPr>
          <w:color w:val="231F20"/>
        </w:rPr>
        <w:t>the</w:t>
      </w:r>
      <w:r>
        <w:rPr>
          <w:color w:val="231F20"/>
          <w:spacing w:val="-5"/>
        </w:rPr>
        <w:t xml:space="preserve"> </w:t>
      </w:r>
      <w:r>
        <w:rPr>
          <w:color w:val="231F20"/>
        </w:rPr>
        <w:t>sport</w:t>
      </w:r>
      <w:r>
        <w:rPr>
          <w:color w:val="231F20"/>
          <w:spacing w:val="-5"/>
        </w:rPr>
        <w:t xml:space="preserve"> </w:t>
      </w:r>
      <w:r>
        <w:rPr>
          <w:color w:val="231F20"/>
        </w:rPr>
        <w:t>to</w:t>
      </w:r>
      <w:r>
        <w:rPr>
          <w:color w:val="231F20"/>
        </w:rPr>
        <w:t>urists</w:t>
      </w:r>
      <w:r>
        <w:rPr>
          <w:color w:val="231F20"/>
          <w:spacing w:val="-5"/>
        </w:rPr>
        <w:t xml:space="preserve"> </w:t>
      </w:r>
      <w:r>
        <w:rPr>
          <w:color w:val="231F20"/>
        </w:rPr>
        <w:t>in</w:t>
      </w:r>
      <w:r>
        <w:rPr>
          <w:color w:val="231F20"/>
          <w:spacing w:val="-5"/>
        </w:rPr>
        <w:t xml:space="preserve"> </w:t>
      </w:r>
      <w:r>
        <w:rPr>
          <w:color w:val="231F20"/>
        </w:rPr>
        <w:t>the</w:t>
      </w:r>
      <w:r>
        <w:rPr>
          <w:color w:val="231F20"/>
          <w:spacing w:val="-5"/>
        </w:rPr>
        <w:t xml:space="preserve"> </w:t>
      </w:r>
      <w:r>
        <w:rPr>
          <w:color w:val="231F20"/>
        </w:rPr>
        <w:t>participant-based</w:t>
      </w:r>
      <w:r>
        <w:rPr>
          <w:color w:val="231F20"/>
          <w:spacing w:val="-5"/>
        </w:rPr>
        <w:t xml:space="preserve"> </w:t>
      </w:r>
      <w:r>
        <w:rPr>
          <w:color w:val="231F20"/>
        </w:rPr>
        <w:t>events</w:t>
      </w:r>
      <w:r>
        <w:rPr>
          <w:color w:val="231F20"/>
          <w:spacing w:val="-5"/>
        </w:rPr>
        <w:t xml:space="preserve"> </w:t>
      </w:r>
      <w:r>
        <w:rPr>
          <w:color w:val="231F20"/>
        </w:rPr>
        <w:t>(e.g.</w:t>
      </w:r>
      <w:r>
        <w:rPr>
          <w:color w:val="231F20"/>
          <w:spacing w:val="-5"/>
        </w:rPr>
        <w:t xml:space="preserve"> </w:t>
      </w:r>
      <w:r>
        <w:rPr>
          <w:color w:val="231F20"/>
        </w:rPr>
        <w:t>Gran</w:t>
      </w:r>
      <w:r>
        <w:rPr>
          <w:color w:val="231F20"/>
          <w:spacing w:val="-5"/>
        </w:rPr>
        <w:t xml:space="preserve"> </w:t>
      </w:r>
      <w:r>
        <w:rPr>
          <w:color w:val="231F20"/>
        </w:rPr>
        <w:t>Fondo</w:t>
      </w:r>
      <w:r>
        <w:rPr>
          <w:color w:val="231F20"/>
          <w:spacing w:val="-5"/>
        </w:rPr>
        <w:t xml:space="preserve"> </w:t>
      </w:r>
      <w:r>
        <w:rPr>
          <w:color w:val="231F20"/>
        </w:rPr>
        <w:t>group bike</w:t>
      </w:r>
      <w:r>
        <w:rPr>
          <w:color w:val="231F20"/>
          <w:spacing w:val="-10"/>
        </w:rPr>
        <w:t xml:space="preserve"> </w:t>
      </w:r>
      <w:r>
        <w:rPr>
          <w:color w:val="231F20"/>
        </w:rPr>
        <w:t>ride)</w:t>
      </w:r>
      <w:r>
        <w:rPr>
          <w:color w:val="231F20"/>
          <w:spacing w:val="-10"/>
        </w:rPr>
        <w:t xml:space="preserve"> </w:t>
      </w:r>
      <w:r>
        <w:rPr>
          <w:color w:val="231F20"/>
        </w:rPr>
        <w:t>depend</w:t>
      </w:r>
      <w:r>
        <w:rPr>
          <w:color w:val="231F20"/>
          <w:spacing w:val="-10"/>
        </w:rPr>
        <w:t xml:space="preserve"> </w:t>
      </w:r>
      <w:r>
        <w:rPr>
          <w:color w:val="231F20"/>
        </w:rPr>
        <w:t>on</w:t>
      </w:r>
      <w:r>
        <w:rPr>
          <w:color w:val="231F20"/>
          <w:spacing w:val="-10"/>
        </w:rPr>
        <w:t xml:space="preserve"> </w:t>
      </w:r>
      <w:r>
        <w:rPr>
          <w:color w:val="231F20"/>
        </w:rPr>
        <w:t>event</w:t>
      </w:r>
      <w:r>
        <w:rPr>
          <w:color w:val="231F20"/>
          <w:spacing w:val="-10"/>
        </w:rPr>
        <w:t xml:space="preserve"> </w:t>
      </w:r>
      <w:r>
        <w:rPr>
          <w:color w:val="231F20"/>
        </w:rPr>
        <w:t>organisers,</w:t>
      </w:r>
      <w:r>
        <w:rPr>
          <w:color w:val="231F20"/>
          <w:spacing w:val="-10"/>
        </w:rPr>
        <w:t xml:space="preserve"> </w:t>
      </w:r>
      <w:r>
        <w:rPr>
          <w:color w:val="231F20"/>
        </w:rPr>
        <w:t>active</w:t>
      </w:r>
      <w:r>
        <w:rPr>
          <w:color w:val="231F20"/>
          <w:spacing w:val="-10"/>
        </w:rPr>
        <w:t xml:space="preserve"> </w:t>
      </w:r>
      <w:r>
        <w:rPr>
          <w:color w:val="231F20"/>
        </w:rPr>
        <w:t>sport</w:t>
      </w:r>
      <w:r>
        <w:rPr>
          <w:color w:val="231F20"/>
          <w:spacing w:val="-10"/>
        </w:rPr>
        <w:t xml:space="preserve"> </w:t>
      </w:r>
      <w:r>
        <w:rPr>
          <w:color w:val="231F20"/>
        </w:rPr>
        <w:t>tourists</w:t>
      </w:r>
      <w:r>
        <w:rPr>
          <w:color w:val="231F20"/>
          <w:spacing w:val="-10"/>
        </w:rPr>
        <w:t xml:space="preserve"> </w:t>
      </w:r>
      <w:r>
        <w:rPr>
          <w:color w:val="231F20"/>
        </w:rPr>
        <w:t>are</w:t>
      </w:r>
      <w:r>
        <w:rPr>
          <w:color w:val="231F20"/>
          <w:spacing w:val="-10"/>
        </w:rPr>
        <w:t xml:space="preserve"> </w:t>
      </w:r>
      <w:r>
        <w:rPr>
          <w:color w:val="231F20"/>
        </w:rPr>
        <w:t xml:space="preserve">relatively </w:t>
      </w:r>
      <w:r>
        <w:rPr>
          <w:color w:val="231F20"/>
          <w:w w:val="95"/>
        </w:rPr>
        <w:t>less dependent of such organisational structures although they may draw</w:t>
      </w:r>
      <w:r>
        <w:rPr>
          <w:color w:val="231F20"/>
          <w:spacing w:val="40"/>
        </w:rPr>
        <w:t xml:space="preserve"> </w:t>
      </w:r>
      <w:r>
        <w:rPr>
          <w:color w:val="231F20"/>
        </w:rPr>
        <w:t>on</w:t>
      </w:r>
      <w:r>
        <w:rPr>
          <w:color w:val="231F20"/>
          <w:spacing w:val="-3"/>
        </w:rPr>
        <w:t xml:space="preserve"> </w:t>
      </w:r>
      <w:r>
        <w:rPr>
          <w:color w:val="231F20"/>
        </w:rPr>
        <w:t>destination-specific</w:t>
      </w:r>
      <w:r>
        <w:rPr>
          <w:color w:val="231F20"/>
          <w:spacing w:val="-3"/>
        </w:rPr>
        <w:t xml:space="preserve"> </w:t>
      </w:r>
      <w:r>
        <w:rPr>
          <w:color w:val="231F20"/>
        </w:rPr>
        <w:t>resources</w:t>
      </w:r>
      <w:r>
        <w:rPr>
          <w:color w:val="231F20"/>
          <w:spacing w:val="-3"/>
        </w:rPr>
        <w:t xml:space="preserve"> </w:t>
      </w:r>
      <w:r>
        <w:rPr>
          <w:color w:val="231F20"/>
        </w:rPr>
        <w:t>such</w:t>
      </w:r>
      <w:r>
        <w:rPr>
          <w:color w:val="231F20"/>
          <w:spacing w:val="-3"/>
        </w:rPr>
        <w:t xml:space="preserve"> </w:t>
      </w:r>
      <w:r>
        <w:rPr>
          <w:color w:val="231F20"/>
        </w:rPr>
        <w:t>as</w:t>
      </w:r>
      <w:r>
        <w:rPr>
          <w:color w:val="231F20"/>
          <w:spacing w:val="-3"/>
        </w:rPr>
        <w:t xml:space="preserve"> </w:t>
      </w:r>
      <w:r>
        <w:rPr>
          <w:color w:val="231F20"/>
        </w:rPr>
        <w:t>trail</w:t>
      </w:r>
      <w:r>
        <w:rPr>
          <w:color w:val="231F20"/>
          <w:spacing w:val="-3"/>
        </w:rPr>
        <w:t xml:space="preserve"> </w:t>
      </w:r>
      <w:r>
        <w:rPr>
          <w:color w:val="231F20"/>
        </w:rPr>
        <w:t>systems</w:t>
      </w:r>
      <w:r>
        <w:rPr>
          <w:color w:val="231F20"/>
          <w:spacing w:val="-3"/>
        </w:rPr>
        <w:t xml:space="preserve"> </w:t>
      </w:r>
      <w:r>
        <w:rPr>
          <w:color w:val="231F20"/>
        </w:rPr>
        <w:t>and</w:t>
      </w:r>
      <w:r>
        <w:rPr>
          <w:color w:val="231F20"/>
          <w:spacing w:val="-3"/>
        </w:rPr>
        <w:t xml:space="preserve"> </w:t>
      </w:r>
      <w:r>
        <w:rPr>
          <w:color w:val="231F20"/>
        </w:rPr>
        <w:t>facilities</w:t>
      </w:r>
      <w:r>
        <w:rPr>
          <w:color w:val="231F20"/>
          <w:spacing w:val="-3"/>
        </w:rPr>
        <w:t xml:space="preserve"> </w:t>
      </w:r>
      <w:r>
        <w:rPr>
          <w:color w:val="231F20"/>
        </w:rPr>
        <w:t xml:space="preserve">(e.g. independent cycle touring). Finally, heritage sport tourism features are </w:t>
      </w:r>
      <w:r>
        <w:rPr>
          <w:color w:val="231F20"/>
          <w:w w:val="95"/>
        </w:rPr>
        <w:t>epitomised by attractions such as sport halls of fame but may also include much less tangible resources such as the nostalgia of one’s sporting yout</w:t>
      </w:r>
      <w:r>
        <w:rPr>
          <w:color w:val="231F20"/>
          <w:w w:val="95"/>
        </w:rPr>
        <w:t xml:space="preserve">h. While these categories are useful in the study and practice of sport tourism, </w:t>
      </w:r>
      <w:r>
        <w:rPr>
          <w:color w:val="231F20"/>
        </w:rPr>
        <w:t>they are not exclusive. Major spectator events like the Tour de France may</w:t>
      </w:r>
      <w:r>
        <w:rPr>
          <w:color w:val="231F20"/>
          <w:spacing w:val="-5"/>
        </w:rPr>
        <w:t xml:space="preserve"> </w:t>
      </w:r>
      <w:r>
        <w:rPr>
          <w:color w:val="231F20"/>
        </w:rPr>
        <w:t>in</w:t>
      </w:r>
      <w:r>
        <w:rPr>
          <w:color w:val="231F20"/>
          <w:spacing w:val="-5"/>
        </w:rPr>
        <w:t xml:space="preserve"> </w:t>
      </w:r>
      <w:r>
        <w:rPr>
          <w:color w:val="231F20"/>
        </w:rPr>
        <w:t>fact</w:t>
      </w:r>
      <w:r>
        <w:rPr>
          <w:color w:val="231F20"/>
          <w:spacing w:val="-5"/>
        </w:rPr>
        <w:t xml:space="preserve"> </w:t>
      </w:r>
      <w:r>
        <w:rPr>
          <w:color w:val="231F20"/>
        </w:rPr>
        <w:t>include</w:t>
      </w:r>
      <w:r>
        <w:rPr>
          <w:color w:val="231F20"/>
          <w:spacing w:val="-5"/>
        </w:rPr>
        <w:t xml:space="preserve"> </w:t>
      </w:r>
      <w:r>
        <w:rPr>
          <w:color w:val="231F20"/>
        </w:rPr>
        <w:t>a</w:t>
      </w:r>
      <w:r>
        <w:rPr>
          <w:color w:val="231F20"/>
          <w:spacing w:val="-5"/>
        </w:rPr>
        <w:t xml:space="preserve"> </w:t>
      </w:r>
      <w:r>
        <w:rPr>
          <w:color w:val="231F20"/>
        </w:rPr>
        <w:t>combination</w:t>
      </w:r>
      <w:r>
        <w:rPr>
          <w:color w:val="231F20"/>
          <w:spacing w:val="-5"/>
        </w:rPr>
        <w:t xml:space="preserve"> </w:t>
      </w:r>
      <w:r>
        <w:rPr>
          <w:color w:val="231F20"/>
        </w:rPr>
        <w:t>of</w:t>
      </w:r>
      <w:r>
        <w:rPr>
          <w:color w:val="231F20"/>
          <w:spacing w:val="-5"/>
        </w:rPr>
        <w:t xml:space="preserve"> </w:t>
      </w:r>
      <w:r>
        <w:rPr>
          <w:color w:val="231F20"/>
        </w:rPr>
        <w:t>spectating</w:t>
      </w:r>
      <w:r>
        <w:rPr>
          <w:color w:val="231F20"/>
          <w:spacing w:val="-5"/>
        </w:rPr>
        <w:t xml:space="preserve"> </w:t>
      </w:r>
      <w:r>
        <w:rPr>
          <w:color w:val="231F20"/>
        </w:rPr>
        <w:t>and</w:t>
      </w:r>
      <w:r>
        <w:rPr>
          <w:color w:val="231F20"/>
          <w:spacing w:val="-5"/>
        </w:rPr>
        <w:t xml:space="preserve"> </w:t>
      </w:r>
      <w:r>
        <w:rPr>
          <w:color w:val="231F20"/>
        </w:rPr>
        <w:t>participation</w:t>
      </w:r>
      <w:r>
        <w:rPr>
          <w:color w:val="231F20"/>
          <w:spacing w:val="-5"/>
        </w:rPr>
        <w:t xml:space="preserve"> </w:t>
      </w:r>
      <w:r>
        <w:rPr>
          <w:color w:val="231F20"/>
        </w:rPr>
        <w:t xml:space="preserve">events, </w:t>
      </w:r>
      <w:r>
        <w:rPr>
          <w:color w:val="231F20"/>
          <w:w w:val="95"/>
        </w:rPr>
        <w:t>active and heritage activities</w:t>
      </w:r>
      <w:r>
        <w:rPr>
          <w:color w:val="231F20"/>
          <w:w w:val="95"/>
        </w:rPr>
        <w:t xml:space="preserve"> depending on the interests and behaviours of </w:t>
      </w:r>
      <w:r>
        <w:rPr>
          <w:color w:val="231F20"/>
        </w:rPr>
        <w:t>individual sport tourists.</w:t>
      </w:r>
    </w:p>
    <w:p w14:paraId="5317C10E" w14:textId="77777777" w:rsidR="00AE0598" w:rsidRDefault="0069255A">
      <w:pPr>
        <w:pStyle w:val="Corpodetexto"/>
        <w:spacing w:before="38" w:line="232" w:lineRule="auto"/>
        <w:ind w:left="110" w:right="104" w:firstLine="320"/>
        <w:jc w:val="both"/>
      </w:pPr>
      <w:r>
        <w:rPr>
          <w:color w:val="231F20"/>
          <w:w w:val="95"/>
        </w:rPr>
        <w:t>Primary</w:t>
      </w:r>
      <w:r>
        <w:rPr>
          <w:color w:val="231F20"/>
          <w:spacing w:val="-5"/>
          <w:w w:val="95"/>
        </w:rPr>
        <w:t xml:space="preserve"> </w:t>
      </w:r>
      <w:r>
        <w:rPr>
          <w:color w:val="231F20"/>
          <w:w w:val="95"/>
        </w:rPr>
        <w:t>attractions</w:t>
      </w:r>
      <w:r>
        <w:rPr>
          <w:color w:val="231F20"/>
          <w:spacing w:val="-5"/>
          <w:w w:val="95"/>
        </w:rPr>
        <w:t xml:space="preserve"> </w:t>
      </w:r>
      <w:r>
        <w:rPr>
          <w:color w:val="231F20"/>
          <w:w w:val="95"/>
        </w:rPr>
        <w:t>are</w:t>
      </w:r>
      <w:r>
        <w:rPr>
          <w:color w:val="231F20"/>
          <w:spacing w:val="-5"/>
          <w:w w:val="95"/>
        </w:rPr>
        <w:t xml:space="preserve"> </w:t>
      </w:r>
      <w:r>
        <w:rPr>
          <w:color w:val="231F20"/>
          <w:w w:val="95"/>
        </w:rPr>
        <w:t>those</w:t>
      </w:r>
      <w:r>
        <w:rPr>
          <w:color w:val="231F20"/>
          <w:spacing w:val="-5"/>
          <w:w w:val="95"/>
        </w:rPr>
        <w:t xml:space="preserve"> </w:t>
      </w:r>
      <w:r>
        <w:rPr>
          <w:color w:val="231F20"/>
          <w:w w:val="95"/>
        </w:rPr>
        <w:t>that</w:t>
      </w:r>
      <w:r>
        <w:rPr>
          <w:color w:val="231F20"/>
          <w:spacing w:val="-5"/>
          <w:w w:val="95"/>
        </w:rPr>
        <w:t xml:space="preserve"> </w:t>
      </w:r>
      <w:r>
        <w:rPr>
          <w:color w:val="231F20"/>
          <w:w w:val="95"/>
        </w:rPr>
        <w:t>have</w:t>
      </w:r>
      <w:r>
        <w:rPr>
          <w:color w:val="231F20"/>
          <w:spacing w:val="-5"/>
          <w:w w:val="95"/>
        </w:rPr>
        <w:t xml:space="preserve"> </w:t>
      </w:r>
      <w:r>
        <w:rPr>
          <w:color w:val="231F20"/>
          <w:w w:val="95"/>
        </w:rPr>
        <w:t>the</w:t>
      </w:r>
      <w:r>
        <w:rPr>
          <w:color w:val="231F20"/>
          <w:spacing w:val="-5"/>
          <w:w w:val="95"/>
        </w:rPr>
        <w:t xml:space="preserve"> </w:t>
      </w:r>
      <w:r>
        <w:rPr>
          <w:color w:val="231F20"/>
          <w:w w:val="95"/>
        </w:rPr>
        <w:t>power</w:t>
      </w:r>
      <w:r>
        <w:rPr>
          <w:color w:val="231F20"/>
          <w:spacing w:val="-5"/>
          <w:w w:val="95"/>
        </w:rPr>
        <w:t xml:space="preserve"> </w:t>
      </w:r>
      <w:r>
        <w:rPr>
          <w:color w:val="231F20"/>
          <w:w w:val="95"/>
        </w:rPr>
        <w:t>to</w:t>
      </w:r>
      <w:r>
        <w:rPr>
          <w:color w:val="231F20"/>
          <w:spacing w:val="-5"/>
          <w:w w:val="95"/>
        </w:rPr>
        <w:t xml:space="preserve"> </w:t>
      </w:r>
      <w:r>
        <w:rPr>
          <w:color w:val="231F20"/>
          <w:w w:val="95"/>
        </w:rPr>
        <w:t>influence</w:t>
      </w:r>
      <w:r>
        <w:rPr>
          <w:color w:val="231F20"/>
          <w:spacing w:val="-5"/>
          <w:w w:val="95"/>
        </w:rPr>
        <w:t xml:space="preserve"> </w:t>
      </w:r>
      <w:r>
        <w:rPr>
          <w:color w:val="231F20"/>
          <w:w w:val="95"/>
        </w:rPr>
        <w:t>a</w:t>
      </w:r>
      <w:r>
        <w:rPr>
          <w:color w:val="231F20"/>
          <w:spacing w:val="-5"/>
          <w:w w:val="95"/>
        </w:rPr>
        <w:t xml:space="preserve"> </w:t>
      </w:r>
      <w:r>
        <w:rPr>
          <w:color w:val="231F20"/>
          <w:w w:val="95"/>
        </w:rPr>
        <w:t xml:space="preserve">visitor’s decision to travel to a destination based solely on that attraction. Secondary </w:t>
      </w:r>
      <w:r>
        <w:rPr>
          <w:color w:val="231F20"/>
        </w:rPr>
        <w:t>attractions are known to a pe</w:t>
      </w:r>
      <w:r>
        <w:rPr>
          <w:color w:val="231F20"/>
        </w:rPr>
        <w:t xml:space="preserve">rson prior to his or her visit but are not </w:t>
      </w:r>
      <w:r>
        <w:rPr>
          <w:color w:val="231F20"/>
          <w:w w:val="95"/>
        </w:rPr>
        <w:t xml:space="preserve">instrumental in and of themselves in the determination of travel itineraries. </w:t>
      </w:r>
      <w:r>
        <w:rPr>
          <w:color w:val="231F20"/>
        </w:rPr>
        <w:t>Tertiary</w:t>
      </w:r>
      <w:r>
        <w:rPr>
          <w:color w:val="231F20"/>
          <w:spacing w:val="-2"/>
        </w:rPr>
        <w:t xml:space="preserve"> </w:t>
      </w:r>
      <w:r>
        <w:rPr>
          <w:color w:val="231F20"/>
        </w:rPr>
        <w:t>attractions</w:t>
      </w:r>
      <w:r>
        <w:rPr>
          <w:color w:val="231F20"/>
          <w:spacing w:val="-2"/>
        </w:rPr>
        <w:t xml:space="preserve"> </w:t>
      </w:r>
      <w:r>
        <w:rPr>
          <w:color w:val="231F20"/>
        </w:rPr>
        <w:t>are</w:t>
      </w:r>
      <w:r>
        <w:rPr>
          <w:color w:val="231F20"/>
          <w:spacing w:val="-2"/>
        </w:rPr>
        <w:t xml:space="preserve"> </w:t>
      </w:r>
      <w:r>
        <w:rPr>
          <w:color w:val="231F20"/>
        </w:rPr>
        <w:t>unknown</w:t>
      </w:r>
      <w:r>
        <w:rPr>
          <w:color w:val="231F20"/>
          <w:spacing w:val="-2"/>
        </w:rPr>
        <w:t xml:space="preserve"> </w:t>
      </w:r>
      <w:r>
        <w:rPr>
          <w:color w:val="231F20"/>
        </w:rPr>
        <w:t>to</w:t>
      </w:r>
      <w:r>
        <w:rPr>
          <w:color w:val="231F20"/>
          <w:spacing w:val="-2"/>
        </w:rPr>
        <w:t xml:space="preserve"> </w:t>
      </w:r>
      <w:r>
        <w:rPr>
          <w:color w:val="231F20"/>
        </w:rPr>
        <w:t>the</w:t>
      </w:r>
      <w:r>
        <w:rPr>
          <w:color w:val="231F20"/>
          <w:spacing w:val="-2"/>
        </w:rPr>
        <w:t xml:space="preserve"> </w:t>
      </w:r>
      <w:r>
        <w:rPr>
          <w:color w:val="231F20"/>
        </w:rPr>
        <w:t>traveller</w:t>
      </w:r>
      <w:r>
        <w:rPr>
          <w:color w:val="231F20"/>
          <w:spacing w:val="-2"/>
        </w:rPr>
        <w:t xml:space="preserve"> </w:t>
      </w:r>
      <w:r>
        <w:rPr>
          <w:color w:val="231F20"/>
        </w:rPr>
        <w:t>prior</w:t>
      </w:r>
      <w:r>
        <w:rPr>
          <w:color w:val="231F20"/>
          <w:spacing w:val="-2"/>
        </w:rPr>
        <w:t xml:space="preserve"> </w:t>
      </w:r>
      <w:r>
        <w:rPr>
          <w:color w:val="231F20"/>
        </w:rPr>
        <w:t>to</w:t>
      </w:r>
      <w:r>
        <w:rPr>
          <w:color w:val="231F20"/>
          <w:spacing w:val="-2"/>
        </w:rPr>
        <w:t xml:space="preserve"> </w:t>
      </w:r>
      <w:r>
        <w:rPr>
          <w:color w:val="231F20"/>
        </w:rPr>
        <w:t>his</w:t>
      </w:r>
      <w:r>
        <w:rPr>
          <w:color w:val="231F20"/>
          <w:spacing w:val="-2"/>
        </w:rPr>
        <w:t xml:space="preserve"> </w:t>
      </w:r>
      <w:r>
        <w:rPr>
          <w:color w:val="231F20"/>
        </w:rPr>
        <w:t>or</w:t>
      </w:r>
      <w:r>
        <w:rPr>
          <w:color w:val="231F20"/>
          <w:spacing w:val="-2"/>
        </w:rPr>
        <w:t xml:space="preserve"> </w:t>
      </w:r>
      <w:r>
        <w:rPr>
          <w:color w:val="231F20"/>
        </w:rPr>
        <w:t>her</w:t>
      </w:r>
      <w:r>
        <w:rPr>
          <w:color w:val="231F20"/>
          <w:spacing w:val="-2"/>
        </w:rPr>
        <w:t xml:space="preserve"> </w:t>
      </w:r>
      <w:r>
        <w:rPr>
          <w:color w:val="231F20"/>
        </w:rPr>
        <w:t xml:space="preserve">visit </w:t>
      </w:r>
      <w:r>
        <w:rPr>
          <w:color w:val="231F20"/>
          <w:w w:val="95"/>
        </w:rPr>
        <w:t>but may serve as centres for entertainment, activity or experience once the visitor is at the destination. This hierarchy is evident in sport tourism with many travellers primarily motivated by a particular sporting opportunity (e.g. to watch an Olympic Ga</w:t>
      </w:r>
      <w:r>
        <w:rPr>
          <w:color w:val="231F20"/>
          <w:w w:val="95"/>
        </w:rPr>
        <w:t>mes), others whose travel decisions depend on a combination of sporting and non-sporting attractions (e.g. a combination</w:t>
      </w:r>
    </w:p>
    <w:p w14:paraId="51560F2D" w14:textId="77777777" w:rsidR="00AE0598" w:rsidRDefault="00AE0598">
      <w:pPr>
        <w:spacing w:line="232" w:lineRule="auto"/>
        <w:jc w:val="both"/>
        <w:sectPr w:rsidR="00AE0598">
          <w:pgSz w:w="8850" w:h="13270"/>
          <w:pgMar w:top="720" w:right="1080" w:bottom="280" w:left="1080" w:header="720" w:footer="720" w:gutter="0"/>
          <w:cols w:space="720"/>
        </w:sectPr>
      </w:pPr>
    </w:p>
    <w:p w14:paraId="6D910A0F" w14:textId="77777777" w:rsidR="00AE0598" w:rsidRDefault="0069255A">
      <w:pPr>
        <w:spacing w:before="87"/>
        <w:ind w:left="108"/>
        <w:rPr>
          <w:rFonts w:ascii="Trebuchet MS"/>
          <w:sz w:val="14"/>
        </w:rPr>
      </w:pPr>
      <w:r>
        <w:rPr>
          <w:rFonts w:ascii="Trebuchet MS"/>
          <w:color w:val="231F20"/>
          <w:w w:val="105"/>
          <w:sz w:val="14"/>
        </w:rPr>
        <w:lastRenderedPageBreak/>
        <w:t>26</w:t>
      </w:r>
      <w:r>
        <w:rPr>
          <w:rFonts w:ascii="Trebuchet MS"/>
          <w:color w:val="231F20"/>
          <w:spacing w:val="64"/>
          <w:w w:val="150"/>
          <w:sz w:val="14"/>
        </w:rPr>
        <w:t xml:space="preserve"> </w:t>
      </w:r>
      <w:r>
        <w:rPr>
          <w:rFonts w:ascii="Trebuchet MS"/>
          <w:color w:val="231F20"/>
          <w:w w:val="105"/>
          <w:sz w:val="14"/>
        </w:rPr>
        <w:t>Part</w:t>
      </w:r>
      <w:r>
        <w:rPr>
          <w:rFonts w:ascii="Trebuchet MS"/>
          <w:color w:val="231F20"/>
          <w:spacing w:val="-9"/>
          <w:w w:val="105"/>
          <w:sz w:val="14"/>
        </w:rPr>
        <w:t xml:space="preserve"> </w:t>
      </w:r>
      <w:r>
        <w:rPr>
          <w:rFonts w:ascii="Trebuchet MS"/>
          <w:color w:val="231F20"/>
          <w:w w:val="105"/>
          <w:sz w:val="14"/>
        </w:rPr>
        <w:t>2:</w:t>
      </w:r>
      <w:r>
        <w:rPr>
          <w:rFonts w:ascii="Trebuchet MS"/>
          <w:color w:val="231F20"/>
          <w:spacing w:val="-9"/>
          <w:w w:val="105"/>
          <w:sz w:val="14"/>
        </w:rPr>
        <w:t xml:space="preserve"> </w:t>
      </w:r>
      <w:r>
        <w:rPr>
          <w:rFonts w:ascii="Trebuchet MS"/>
          <w:color w:val="231F20"/>
          <w:w w:val="105"/>
          <w:sz w:val="14"/>
        </w:rPr>
        <w:t>Foundations</w:t>
      </w:r>
      <w:r>
        <w:rPr>
          <w:rFonts w:ascii="Trebuchet MS"/>
          <w:color w:val="231F20"/>
          <w:spacing w:val="-9"/>
          <w:w w:val="105"/>
          <w:sz w:val="14"/>
        </w:rPr>
        <w:t xml:space="preserve"> </w:t>
      </w:r>
      <w:r>
        <w:rPr>
          <w:rFonts w:ascii="Trebuchet MS"/>
          <w:color w:val="231F20"/>
          <w:w w:val="105"/>
          <w:sz w:val="14"/>
        </w:rPr>
        <w:t>of</w:t>
      </w:r>
      <w:r>
        <w:rPr>
          <w:rFonts w:ascii="Trebuchet MS"/>
          <w:color w:val="231F20"/>
          <w:spacing w:val="-9"/>
          <w:w w:val="105"/>
          <w:sz w:val="14"/>
        </w:rPr>
        <w:t xml:space="preserve"> </w:t>
      </w:r>
      <w:r>
        <w:rPr>
          <w:rFonts w:ascii="Trebuchet MS"/>
          <w:color w:val="231F20"/>
          <w:w w:val="105"/>
          <w:sz w:val="14"/>
        </w:rPr>
        <w:t>Sport</w:t>
      </w:r>
      <w:r>
        <w:rPr>
          <w:rFonts w:ascii="Trebuchet MS"/>
          <w:color w:val="231F20"/>
          <w:spacing w:val="-9"/>
          <w:w w:val="105"/>
          <w:sz w:val="14"/>
        </w:rPr>
        <w:t xml:space="preserve"> </w:t>
      </w:r>
      <w:r>
        <w:rPr>
          <w:rFonts w:ascii="Trebuchet MS"/>
          <w:color w:val="231F20"/>
          <w:w w:val="105"/>
          <w:sz w:val="14"/>
        </w:rPr>
        <w:t>Tourism</w:t>
      </w:r>
      <w:r>
        <w:rPr>
          <w:rFonts w:ascii="Trebuchet MS"/>
          <w:color w:val="231F20"/>
          <w:spacing w:val="-9"/>
          <w:w w:val="105"/>
          <w:sz w:val="14"/>
        </w:rPr>
        <w:t xml:space="preserve"> </w:t>
      </w:r>
      <w:r>
        <w:rPr>
          <w:rFonts w:ascii="Trebuchet MS"/>
          <w:color w:val="231F20"/>
          <w:spacing w:val="-2"/>
          <w:w w:val="105"/>
          <w:sz w:val="14"/>
        </w:rPr>
        <w:t>Development</w:t>
      </w:r>
    </w:p>
    <w:p w14:paraId="703BE40C" w14:textId="77777777" w:rsidR="00AE0598" w:rsidRDefault="00AE0598">
      <w:pPr>
        <w:pStyle w:val="Corpodetexto"/>
        <w:rPr>
          <w:rFonts w:ascii="Trebuchet MS"/>
          <w:sz w:val="16"/>
        </w:rPr>
      </w:pPr>
    </w:p>
    <w:p w14:paraId="44A89147" w14:textId="77777777" w:rsidR="00AE0598" w:rsidRDefault="0069255A">
      <w:pPr>
        <w:pStyle w:val="Corpodetexto"/>
        <w:spacing w:before="118" w:line="232" w:lineRule="auto"/>
        <w:ind w:left="110" w:right="107"/>
        <w:jc w:val="both"/>
      </w:pPr>
      <w:r>
        <w:rPr>
          <w:color w:val="231F20"/>
          <w:w w:val="95"/>
        </w:rPr>
        <w:t>of Olympic Games spectating, a golf holiday and some general sightse</w:t>
      </w:r>
      <w:r>
        <w:rPr>
          <w:color w:val="231F20"/>
          <w:w w:val="95"/>
        </w:rPr>
        <w:t xml:space="preserve">eing) </w:t>
      </w:r>
      <w:r>
        <w:rPr>
          <w:color w:val="231F20"/>
        </w:rPr>
        <w:t>and</w:t>
      </w:r>
      <w:r>
        <w:rPr>
          <w:color w:val="231F20"/>
          <w:spacing w:val="-1"/>
        </w:rPr>
        <w:t xml:space="preserve"> </w:t>
      </w:r>
      <w:r>
        <w:rPr>
          <w:color w:val="231F20"/>
        </w:rPr>
        <w:t>still</w:t>
      </w:r>
      <w:r>
        <w:rPr>
          <w:color w:val="231F20"/>
          <w:spacing w:val="-1"/>
        </w:rPr>
        <w:t xml:space="preserve"> </w:t>
      </w:r>
      <w:r>
        <w:rPr>
          <w:color w:val="231F20"/>
        </w:rPr>
        <w:t>others</w:t>
      </w:r>
      <w:r>
        <w:rPr>
          <w:color w:val="231F20"/>
          <w:spacing w:val="-1"/>
        </w:rPr>
        <w:t xml:space="preserve"> </w:t>
      </w:r>
      <w:r>
        <w:rPr>
          <w:color w:val="231F20"/>
        </w:rPr>
        <w:t>whose</w:t>
      </w:r>
      <w:r>
        <w:rPr>
          <w:color w:val="231F20"/>
          <w:spacing w:val="-1"/>
        </w:rPr>
        <w:t xml:space="preserve"> </w:t>
      </w:r>
      <w:r>
        <w:rPr>
          <w:color w:val="231F20"/>
        </w:rPr>
        <w:t>original</w:t>
      </w:r>
      <w:r>
        <w:rPr>
          <w:color w:val="231F20"/>
          <w:spacing w:val="-1"/>
        </w:rPr>
        <w:t xml:space="preserve"> </w:t>
      </w:r>
      <w:r>
        <w:rPr>
          <w:color w:val="231F20"/>
        </w:rPr>
        <w:t>travel</w:t>
      </w:r>
      <w:r>
        <w:rPr>
          <w:color w:val="231F20"/>
          <w:spacing w:val="-1"/>
        </w:rPr>
        <w:t xml:space="preserve"> </w:t>
      </w:r>
      <w:r>
        <w:rPr>
          <w:color w:val="231F20"/>
        </w:rPr>
        <w:t>decision</w:t>
      </w:r>
      <w:r>
        <w:rPr>
          <w:color w:val="231F20"/>
          <w:spacing w:val="-1"/>
        </w:rPr>
        <w:t xml:space="preserve"> </w:t>
      </w:r>
      <w:r>
        <w:rPr>
          <w:color w:val="231F20"/>
        </w:rPr>
        <w:t>may</w:t>
      </w:r>
      <w:r>
        <w:rPr>
          <w:color w:val="231F20"/>
          <w:spacing w:val="-1"/>
        </w:rPr>
        <w:t xml:space="preserve"> </w:t>
      </w:r>
      <w:r>
        <w:rPr>
          <w:color w:val="231F20"/>
        </w:rPr>
        <w:t>not</w:t>
      </w:r>
      <w:r>
        <w:rPr>
          <w:color w:val="231F20"/>
          <w:spacing w:val="-1"/>
        </w:rPr>
        <w:t xml:space="preserve"> </w:t>
      </w:r>
      <w:r>
        <w:rPr>
          <w:color w:val="231F20"/>
        </w:rPr>
        <w:t>have</w:t>
      </w:r>
      <w:r>
        <w:rPr>
          <w:color w:val="231F20"/>
          <w:spacing w:val="-1"/>
        </w:rPr>
        <w:t xml:space="preserve"> </w:t>
      </w:r>
      <w:r>
        <w:rPr>
          <w:color w:val="231F20"/>
        </w:rPr>
        <w:t>been</w:t>
      </w:r>
      <w:r>
        <w:rPr>
          <w:color w:val="231F20"/>
          <w:spacing w:val="-1"/>
        </w:rPr>
        <w:t xml:space="preserve"> </w:t>
      </w:r>
      <w:r>
        <w:rPr>
          <w:color w:val="231F20"/>
        </w:rPr>
        <w:t xml:space="preserve">driven </w:t>
      </w:r>
      <w:r>
        <w:rPr>
          <w:color w:val="231F20"/>
          <w:w w:val="95"/>
        </w:rPr>
        <w:t>by sporting opportunities in the destination but who spend at least part of their visit engaged in destination experiences that are based on sport (e.g. a day of cycle touring d</w:t>
      </w:r>
      <w:r>
        <w:rPr>
          <w:color w:val="231F20"/>
          <w:w w:val="95"/>
        </w:rPr>
        <w:t xml:space="preserve">uring a holiday dominated by visits to historic sites). The sport tourism attraction system, therefore, recognises that sport may </w:t>
      </w:r>
      <w:r>
        <w:rPr>
          <w:color w:val="231F20"/>
        </w:rPr>
        <w:t>function</w:t>
      </w:r>
      <w:r>
        <w:rPr>
          <w:color w:val="231F20"/>
          <w:spacing w:val="-8"/>
        </w:rPr>
        <w:t xml:space="preserve"> </w:t>
      </w:r>
      <w:r>
        <w:rPr>
          <w:color w:val="231F20"/>
        </w:rPr>
        <w:t>as</w:t>
      </w:r>
      <w:r>
        <w:rPr>
          <w:color w:val="231F20"/>
          <w:spacing w:val="-9"/>
        </w:rPr>
        <w:t xml:space="preserve"> </w:t>
      </w:r>
      <w:r>
        <w:rPr>
          <w:color w:val="231F20"/>
        </w:rPr>
        <w:t>a</w:t>
      </w:r>
      <w:r>
        <w:rPr>
          <w:color w:val="231F20"/>
          <w:spacing w:val="-9"/>
        </w:rPr>
        <w:t xml:space="preserve"> </w:t>
      </w:r>
      <w:r>
        <w:rPr>
          <w:color w:val="231F20"/>
        </w:rPr>
        <w:t>tourist</w:t>
      </w:r>
      <w:r>
        <w:rPr>
          <w:color w:val="231F20"/>
          <w:spacing w:val="-9"/>
        </w:rPr>
        <w:t xml:space="preserve"> </w:t>
      </w:r>
      <w:r>
        <w:rPr>
          <w:color w:val="231F20"/>
        </w:rPr>
        <w:t>attraction</w:t>
      </w:r>
      <w:r>
        <w:rPr>
          <w:color w:val="231F20"/>
          <w:spacing w:val="-8"/>
        </w:rPr>
        <w:t xml:space="preserve"> </w:t>
      </w:r>
      <w:r>
        <w:rPr>
          <w:color w:val="231F20"/>
        </w:rPr>
        <w:t>in</w:t>
      </w:r>
      <w:r>
        <w:rPr>
          <w:color w:val="231F20"/>
          <w:spacing w:val="-8"/>
        </w:rPr>
        <w:t xml:space="preserve"> </w:t>
      </w:r>
      <w:r>
        <w:rPr>
          <w:color w:val="231F20"/>
        </w:rPr>
        <w:t>a</w:t>
      </w:r>
      <w:r>
        <w:rPr>
          <w:color w:val="231F20"/>
          <w:spacing w:val="-9"/>
        </w:rPr>
        <w:t xml:space="preserve"> </w:t>
      </w:r>
      <w:r>
        <w:rPr>
          <w:color w:val="231F20"/>
        </w:rPr>
        <w:t>variety</w:t>
      </w:r>
      <w:r>
        <w:rPr>
          <w:color w:val="231F20"/>
          <w:spacing w:val="-9"/>
        </w:rPr>
        <w:t xml:space="preserve"> </w:t>
      </w:r>
      <w:r>
        <w:rPr>
          <w:color w:val="231F20"/>
        </w:rPr>
        <w:t>of</w:t>
      </w:r>
      <w:r>
        <w:rPr>
          <w:color w:val="231F20"/>
          <w:spacing w:val="-8"/>
        </w:rPr>
        <w:t xml:space="preserve"> </w:t>
      </w:r>
      <w:r>
        <w:rPr>
          <w:color w:val="231F20"/>
        </w:rPr>
        <w:t>ways</w:t>
      </w:r>
      <w:r>
        <w:rPr>
          <w:color w:val="231F20"/>
          <w:spacing w:val="-8"/>
        </w:rPr>
        <w:t xml:space="preserve"> </w:t>
      </w:r>
      <w:r>
        <w:rPr>
          <w:color w:val="231F20"/>
        </w:rPr>
        <w:t>for</w:t>
      </w:r>
      <w:r>
        <w:rPr>
          <w:color w:val="231F20"/>
          <w:spacing w:val="-9"/>
        </w:rPr>
        <w:t xml:space="preserve"> </w:t>
      </w:r>
      <w:r>
        <w:rPr>
          <w:color w:val="231F20"/>
        </w:rPr>
        <w:t>a</w:t>
      </w:r>
      <w:r>
        <w:rPr>
          <w:color w:val="231F20"/>
          <w:spacing w:val="-9"/>
        </w:rPr>
        <w:t xml:space="preserve"> </w:t>
      </w:r>
      <w:r>
        <w:rPr>
          <w:color w:val="231F20"/>
        </w:rPr>
        <w:t>variety</w:t>
      </w:r>
      <w:r>
        <w:rPr>
          <w:color w:val="231F20"/>
          <w:spacing w:val="-9"/>
        </w:rPr>
        <w:t xml:space="preserve"> </w:t>
      </w:r>
      <w:r>
        <w:rPr>
          <w:color w:val="231F20"/>
        </w:rPr>
        <w:t>of</w:t>
      </w:r>
      <w:r>
        <w:rPr>
          <w:color w:val="231F20"/>
          <w:spacing w:val="-8"/>
        </w:rPr>
        <w:t xml:space="preserve"> </w:t>
      </w:r>
      <w:r>
        <w:rPr>
          <w:color w:val="231F20"/>
        </w:rPr>
        <w:t xml:space="preserve">people. Appreciating the place of sport within a destination’s nuclear mix and </w:t>
      </w:r>
      <w:r>
        <w:rPr>
          <w:color w:val="231F20"/>
          <w:w w:val="95"/>
        </w:rPr>
        <w:t xml:space="preserve">hierarchy of attractions, as it relates to different tourist market segments, </w:t>
      </w:r>
      <w:r>
        <w:rPr>
          <w:color w:val="231F20"/>
        </w:rPr>
        <w:t>has significant management implications (e.g. attendance, participation, travel flows, visitor beha</w:t>
      </w:r>
      <w:r>
        <w:rPr>
          <w:color w:val="231F20"/>
        </w:rPr>
        <w:t>viour, timing of visit).</w:t>
      </w:r>
    </w:p>
    <w:p w14:paraId="11DA2072" w14:textId="77777777" w:rsidR="00AE0598" w:rsidRDefault="0069255A">
      <w:pPr>
        <w:pStyle w:val="Corpodetexto"/>
        <w:spacing w:before="13" w:line="232" w:lineRule="auto"/>
        <w:ind w:left="110" w:right="106" w:firstLine="320"/>
        <w:jc w:val="both"/>
      </w:pPr>
      <w:r>
        <w:rPr>
          <w:color w:val="231F20"/>
        </w:rPr>
        <w:t>The third element of the sport tourism attraction system consists of markers,</w:t>
      </w:r>
      <w:r>
        <w:rPr>
          <w:color w:val="231F20"/>
          <w:spacing w:val="-9"/>
        </w:rPr>
        <w:t xml:space="preserve"> </w:t>
      </w:r>
      <w:r>
        <w:rPr>
          <w:color w:val="231F20"/>
        </w:rPr>
        <w:t>which</w:t>
      </w:r>
      <w:r>
        <w:rPr>
          <w:color w:val="231F20"/>
          <w:spacing w:val="-9"/>
        </w:rPr>
        <w:t xml:space="preserve"> </w:t>
      </w:r>
      <w:r>
        <w:rPr>
          <w:color w:val="231F20"/>
        </w:rPr>
        <w:t>are</w:t>
      </w:r>
      <w:r>
        <w:rPr>
          <w:color w:val="231F20"/>
          <w:spacing w:val="-9"/>
        </w:rPr>
        <w:t xml:space="preserve"> </w:t>
      </w:r>
      <w:r>
        <w:rPr>
          <w:color w:val="231F20"/>
        </w:rPr>
        <w:t>items</w:t>
      </w:r>
      <w:r>
        <w:rPr>
          <w:color w:val="231F20"/>
          <w:spacing w:val="-9"/>
        </w:rPr>
        <w:t xml:space="preserve"> </w:t>
      </w:r>
      <w:r>
        <w:rPr>
          <w:color w:val="231F20"/>
        </w:rPr>
        <w:t>of</w:t>
      </w:r>
      <w:r>
        <w:rPr>
          <w:color w:val="231F20"/>
          <w:spacing w:val="-9"/>
        </w:rPr>
        <w:t xml:space="preserve"> </w:t>
      </w:r>
      <w:r>
        <w:rPr>
          <w:color w:val="231F20"/>
        </w:rPr>
        <w:t>information</w:t>
      </w:r>
      <w:r>
        <w:rPr>
          <w:color w:val="231F20"/>
          <w:spacing w:val="-9"/>
        </w:rPr>
        <w:t xml:space="preserve"> </w:t>
      </w:r>
      <w:r>
        <w:rPr>
          <w:color w:val="231F20"/>
        </w:rPr>
        <w:t>about</w:t>
      </w:r>
      <w:r>
        <w:rPr>
          <w:color w:val="231F20"/>
          <w:spacing w:val="-9"/>
        </w:rPr>
        <w:t xml:space="preserve"> </w:t>
      </w:r>
      <w:r>
        <w:rPr>
          <w:color w:val="231F20"/>
        </w:rPr>
        <w:t>any</w:t>
      </w:r>
      <w:r>
        <w:rPr>
          <w:color w:val="231F20"/>
          <w:spacing w:val="-9"/>
        </w:rPr>
        <w:t xml:space="preserve"> </w:t>
      </w:r>
      <w:r>
        <w:rPr>
          <w:color w:val="231F20"/>
        </w:rPr>
        <w:t>phenomenon</w:t>
      </w:r>
      <w:r>
        <w:rPr>
          <w:color w:val="231F20"/>
          <w:spacing w:val="-9"/>
        </w:rPr>
        <w:t xml:space="preserve"> </w:t>
      </w:r>
      <w:r>
        <w:rPr>
          <w:color w:val="231F20"/>
        </w:rPr>
        <w:t>that</w:t>
      </w:r>
      <w:r>
        <w:rPr>
          <w:color w:val="231F20"/>
          <w:spacing w:val="-9"/>
        </w:rPr>
        <w:t xml:space="preserve"> </w:t>
      </w:r>
      <w:r>
        <w:rPr>
          <w:color w:val="231F20"/>
        </w:rPr>
        <w:t>is</w:t>
      </w:r>
      <w:r>
        <w:rPr>
          <w:color w:val="231F20"/>
          <w:spacing w:val="-9"/>
        </w:rPr>
        <w:t xml:space="preserve"> </w:t>
      </w:r>
      <w:r>
        <w:rPr>
          <w:color w:val="231F20"/>
        </w:rPr>
        <w:t>a potential</w:t>
      </w:r>
      <w:r>
        <w:rPr>
          <w:color w:val="231F20"/>
          <w:spacing w:val="-3"/>
        </w:rPr>
        <w:t xml:space="preserve"> </w:t>
      </w:r>
      <w:r>
        <w:rPr>
          <w:color w:val="231F20"/>
        </w:rPr>
        <w:t>nucleus</w:t>
      </w:r>
      <w:r>
        <w:rPr>
          <w:color w:val="231F20"/>
          <w:spacing w:val="-3"/>
        </w:rPr>
        <w:t xml:space="preserve"> </w:t>
      </w:r>
      <w:r>
        <w:rPr>
          <w:color w:val="231F20"/>
        </w:rPr>
        <w:t>element</w:t>
      </w:r>
      <w:r>
        <w:rPr>
          <w:color w:val="231F20"/>
          <w:spacing w:val="-3"/>
        </w:rPr>
        <w:t xml:space="preserve"> </w:t>
      </w:r>
      <w:r>
        <w:rPr>
          <w:color w:val="231F20"/>
        </w:rPr>
        <w:t>in</w:t>
      </w:r>
      <w:r>
        <w:rPr>
          <w:color w:val="231F20"/>
          <w:spacing w:val="-3"/>
        </w:rPr>
        <w:t xml:space="preserve"> </w:t>
      </w:r>
      <w:r>
        <w:rPr>
          <w:color w:val="231F20"/>
        </w:rPr>
        <w:t>a</w:t>
      </w:r>
      <w:r>
        <w:rPr>
          <w:color w:val="231F20"/>
          <w:spacing w:val="-3"/>
        </w:rPr>
        <w:t xml:space="preserve"> </w:t>
      </w:r>
      <w:r>
        <w:rPr>
          <w:color w:val="231F20"/>
        </w:rPr>
        <w:t>tourist</w:t>
      </w:r>
      <w:r>
        <w:rPr>
          <w:color w:val="231F20"/>
          <w:spacing w:val="-3"/>
        </w:rPr>
        <w:t xml:space="preserve"> </w:t>
      </w:r>
      <w:r>
        <w:rPr>
          <w:color w:val="231F20"/>
        </w:rPr>
        <w:t>attraction</w:t>
      </w:r>
      <w:r>
        <w:rPr>
          <w:color w:val="231F20"/>
          <w:spacing w:val="-3"/>
        </w:rPr>
        <w:t xml:space="preserve"> </w:t>
      </w:r>
      <w:r>
        <w:rPr>
          <w:color w:val="231F20"/>
        </w:rPr>
        <w:t>(Leiper,</w:t>
      </w:r>
      <w:r>
        <w:rPr>
          <w:color w:val="231F20"/>
          <w:spacing w:val="-3"/>
        </w:rPr>
        <w:t xml:space="preserve"> </w:t>
      </w:r>
      <w:r>
        <w:rPr>
          <w:color w:val="231F20"/>
        </w:rPr>
        <w:t>1990).</w:t>
      </w:r>
      <w:r>
        <w:rPr>
          <w:color w:val="231F20"/>
          <w:spacing w:val="-3"/>
        </w:rPr>
        <w:t xml:space="preserve"> </w:t>
      </w:r>
      <w:r>
        <w:rPr>
          <w:color w:val="231F20"/>
        </w:rPr>
        <w:t>Markers may be detached o</w:t>
      </w:r>
      <w:r>
        <w:rPr>
          <w:color w:val="231F20"/>
        </w:rPr>
        <w:t xml:space="preserve">r removed from the nucleus, contiguous or on-site. In </w:t>
      </w:r>
      <w:r>
        <w:rPr>
          <w:color w:val="231F20"/>
          <w:w w:val="95"/>
        </w:rPr>
        <w:t xml:space="preserve">each case, the markers may be positioned consciously or unconsciously to function as part of the attraction system. Examples of conscious attraction </w:t>
      </w:r>
      <w:r>
        <w:rPr>
          <w:color w:val="231F20"/>
        </w:rPr>
        <w:t>markers featuring sport are common. Typically, they t</w:t>
      </w:r>
      <w:r>
        <w:rPr>
          <w:color w:val="231F20"/>
        </w:rPr>
        <w:t>ake the form of advertisements showing visitors involved in destination-specific sport activities and events. These include advertisements for spectator events such</w:t>
      </w:r>
      <w:r>
        <w:rPr>
          <w:color w:val="231F20"/>
          <w:spacing w:val="-11"/>
        </w:rPr>
        <w:t xml:space="preserve"> </w:t>
      </w:r>
      <w:r>
        <w:rPr>
          <w:color w:val="231F20"/>
        </w:rPr>
        <w:t>as</w:t>
      </w:r>
      <w:r>
        <w:rPr>
          <w:color w:val="231F20"/>
          <w:spacing w:val="-11"/>
        </w:rPr>
        <w:t xml:space="preserve"> </w:t>
      </w:r>
      <w:r>
        <w:rPr>
          <w:color w:val="231F20"/>
        </w:rPr>
        <w:t>the</w:t>
      </w:r>
      <w:r>
        <w:rPr>
          <w:color w:val="231F20"/>
          <w:spacing w:val="-11"/>
        </w:rPr>
        <w:t xml:space="preserve"> </w:t>
      </w:r>
      <w:r>
        <w:rPr>
          <w:color w:val="231F20"/>
        </w:rPr>
        <w:t>Olympics</w:t>
      </w:r>
      <w:r>
        <w:rPr>
          <w:color w:val="231F20"/>
          <w:spacing w:val="-11"/>
        </w:rPr>
        <w:t xml:space="preserve"> </w:t>
      </w:r>
      <w:r>
        <w:rPr>
          <w:color w:val="231F20"/>
        </w:rPr>
        <w:t>by</w:t>
      </w:r>
      <w:r>
        <w:rPr>
          <w:color w:val="231F20"/>
          <w:spacing w:val="-11"/>
        </w:rPr>
        <w:t xml:space="preserve"> </w:t>
      </w:r>
      <w:r>
        <w:rPr>
          <w:color w:val="231F20"/>
        </w:rPr>
        <w:t>the</w:t>
      </w:r>
      <w:r>
        <w:rPr>
          <w:color w:val="231F20"/>
          <w:spacing w:val="-11"/>
        </w:rPr>
        <w:t xml:space="preserve"> </w:t>
      </w:r>
      <w:r>
        <w:rPr>
          <w:color w:val="231F20"/>
        </w:rPr>
        <w:t>host</w:t>
      </w:r>
      <w:r>
        <w:rPr>
          <w:color w:val="231F20"/>
          <w:spacing w:val="-11"/>
        </w:rPr>
        <w:t xml:space="preserve"> </w:t>
      </w:r>
      <w:r>
        <w:rPr>
          <w:color w:val="231F20"/>
        </w:rPr>
        <w:t>city</w:t>
      </w:r>
      <w:r>
        <w:rPr>
          <w:color w:val="231F20"/>
          <w:spacing w:val="-11"/>
        </w:rPr>
        <w:t xml:space="preserve"> </w:t>
      </w:r>
      <w:r>
        <w:rPr>
          <w:color w:val="231F20"/>
        </w:rPr>
        <w:t>Destination</w:t>
      </w:r>
      <w:r>
        <w:rPr>
          <w:color w:val="231F20"/>
          <w:spacing w:val="-11"/>
        </w:rPr>
        <w:t xml:space="preserve"> </w:t>
      </w:r>
      <w:r>
        <w:rPr>
          <w:color w:val="231F20"/>
        </w:rPr>
        <w:t>Marketing</w:t>
      </w:r>
      <w:r>
        <w:rPr>
          <w:color w:val="231F20"/>
          <w:spacing w:val="-11"/>
        </w:rPr>
        <w:t xml:space="preserve"> </w:t>
      </w:r>
      <w:r>
        <w:rPr>
          <w:color w:val="231F20"/>
        </w:rPr>
        <w:t>Organisation (DMO)</w:t>
      </w:r>
      <w:r>
        <w:rPr>
          <w:color w:val="231F20"/>
          <w:spacing w:val="40"/>
        </w:rPr>
        <w:t xml:space="preserve"> </w:t>
      </w:r>
      <w:r>
        <w:rPr>
          <w:color w:val="231F20"/>
        </w:rPr>
        <w:t>and</w:t>
      </w:r>
      <w:r>
        <w:rPr>
          <w:color w:val="231F20"/>
          <w:spacing w:val="40"/>
        </w:rPr>
        <w:t xml:space="preserve"> </w:t>
      </w:r>
      <w:r>
        <w:rPr>
          <w:color w:val="231F20"/>
        </w:rPr>
        <w:t>by</w:t>
      </w:r>
      <w:r>
        <w:rPr>
          <w:color w:val="231F20"/>
          <w:spacing w:val="40"/>
        </w:rPr>
        <w:t xml:space="preserve"> </w:t>
      </w:r>
      <w:r>
        <w:rPr>
          <w:color w:val="231F20"/>
        </w:rPr>
        <w:t>event</w:t>
      </w:r>
      <w:r>
        <w:rPr>
          <w:color w:val="231F20"/>
          <w:spacing w:val="40"/>
        </w:rPr>
        <w:t xml:space="preserve"> </w:t>
      </w:r>
      <w:r>
        <w:rPr>
          <w:color w:val="231F20"/>
        </w:rPr>
        <w:t>sponsors</w:t>
      </w:r>
      <w:r>
        <w:rPr>
          <w:color w:val="231F20"/>
          <w:spacing w:val="40"/>
        </w:rPr>
        <w:t xml:space="preserve"> </w:t>
      </w:r>
      <w:r>
        <w:rPr>
          <w:color w:val="231F20"/>
        </w:rPr>
        <w:t>(e.g.</w:t>
      </w:r>
      <w:r>
        <w:rPr>
          <w:color w:val="231F20"/>
          <w:spacing w:val="40"/>
        </w:rPr>
        <w:t xml:space="preserve"> </w:t>
      </w:r>
      <w:r>
        <w:rPr>
          <w:color w:val="231F20"/>
        </w:rPr>
        <w:t>Visa,</w:t>
      </w:r>
      <w:r>
        <w:rPr>
          <w:color w:val="231F20"/>
          <w:spacing w:val="40"/>
        </w:rPr>
        <w:t xml:space="preserve"> </w:t>
      </w:r>
      <w:r>
        <w:rPr>
          <w:color w:val="231F20"/>
        </w:rPr>
        <w:t>Coca-Cola,</w:t>
      </w:r>
      <w:r>
        <w:rPr>
          <w:color w:val="231F20"/>
          <w:spacing w:val="40"/>
        </w:rPr>
        <w:t xml:space="preserve"> </w:t>
      </w:r>
      <w:r>
        <w:rPr>
          <w:color w:val="231F20"/>
        </w:rPr>
        <w:t>McDonald’s</w:t>
      </w:r>
      <w:r>
        <w:rPr>
          <w:color w:val="231F20"/>
          <w:spacing w:val="40"/>
        </w:rPr>
        <w:t xml:space="preserve"> </w:t>
      </w:r>
      <w:r>
        <w:rPr>
          <w:color w:val="231F20"/>
        </w:rPr>
        <w:t>at the Rio Olympics) who are making substantial investments to link their product</w:t>
      </w:r>
      <w:r>
        <w:rPr>
          <w:color w:val="231F20"/>
          <w:spacing w:val="-1"/>
        </w:rPr>
        <w:t xml:space="preserve"> </w:t>
      </w:r>
      <w:r>
        <w:rPr>
          <w:color w:val="231F20"/>
        </w:rPr>
        <w:t>to</w:t>
      </w:r>
      <w:r>
        <w:rPr>
          <w:color w:val="231F20"/>
          <w:spacing w:val="-1"/>
        </w:rPr>
        <w:t xml:space="preserve"> </w:t>
      </w:r>
      <w:r>
        <w:rPr>
          <w:color w:val="231F20"/>
        </w:rPr>
        <w:t>the</w:t>
      </w:r>
      <w:r>
        <w:rPr>
          <w:color w:val="231F20"/>
          <w:spacing w:val="-1"/>
        </w:rPr>
        <w:t xml:space="preserve"> </w:t>
      </w:r>
      <w:r>
        <w:rPr>
          <w:color w:val="231F20"/>
        </w:rPr>
        <w:t>event</w:t>
      </w:r>
      <w:r>
        <w:rPr>
          <w:color w:val="231F20"/>
          <w:spacing w:val="-1"/>
        </w:rPr>
        <w:t xml:space="preserve"> </w:t>
      </w:r>
      <w:r>
        <w:rPr>
          <w:color w:val="231F20"/>
        </w:rPr>
        <w:t>brand.</w:t>
      </w:r>
      <w:r>
        <w:rPr>
          <w:color w:val="231F20"/>
          <w:spacing w:val="-1"/>
        </w:rPr>
        <w:t xml:space="preserve"> </w:t>
      </w:r>
      <w:r>
        <w:rPr>
          <w:color w:val="231F20"/>
        </w:rPr>
        <w:t>Sport</w:t>
      </w:r>
      <w:r>
        <w:rPr>
          <w:color w:val="231F20"/>
          <w:spacing w:val="-1"/>
        </w:rPr>
        <w:t xml:space="preserve"> </w:t>
      </w:r>
      <w:r>
        <w:rPr>
          <w:color w:val="231F20"/>
        </w:rPr>
        <w:t>images</w:t>
      </w:r>
      <w:r>
        <w:rPr>
          <w:color w:val="231F20"/>
          <w:spacing w:val="-1"/>
        </w:rPr>
        <w:t xml:space="preserve"> </w:t>
      </w:r>
      <w:r>
        <w:rPr>
          <w:color w:val="231F20"/>
        </w:rPr>
        <w:t>are</w:t>
      </w:r>
      <w:r>
        <w:rPr>
          <w:color w:val="231F20"/>
          <w:spacing w:val="-1"/>
        </w:rPr>
        <w:t xml:space="preserve"> </w:t>
      </w:r>
      <w:r>
        <w:rPr>
          <w:color w:val="231F20"/>
        </w:rPr>
        <w:t>also</w:t>
      </w:r>
      <w:r>
        <w:rPr>
          <w:color w:val="231F20"/>
          <w:spacing w:val="-1"/>
        </w:rPr>
        <w:t xml:space="preserve"> </w:t>
      </w:r>
      <w:r>
        <w:rPr>
          <w:color w:val="231F20"/>
        </w:rPr>
        <w:t>very</w:t>
      </w:r>
      <w:r>
        <w:rPr>
          <w:color w:val="231F20"/>
          <w:spacing w:val="-1"/>
        </w:rPr>
        <w:t xml:space="preserve"> </w:t>
      </w:r>
      <w:r>
        <w:rPr>
          <w:color w:val="231F20"/>
        </w:rPr>
        <w:t>common</w:t>
      </w:r>
      <w:r>
        <w:rPr>
          <w:color w:val="231F20"/>
          <w:spacing w:val="-1"/>
        </w:rPr>
        <w:t xml:space="preserve"> </w:t>
      </w:r>
      <w:r>
        <w:rPr>
          <w:color w:val="231F20"/>
        </w:rPr>
        <w:t>in</w:t>
      </w:r>
      <w:r>
        <w:rPr>
          <w:color w:val="231F20"/>
          <w:spacing w:val="-1"/>
        </w:rPr>
        <w:t xml:space="preserve"> </w:t>
      </w:r>
      <w:r>
        <w:rPr>
          <w:color w:val="231F20"/>
        </w:rPr>
        <w:t>other travel advertisements such as resort advertisements that feature scu</w:t>
      </w:r>
      <w:r>
        <w:rPr>
          <w:color w:val="231F20"/>
        </w:rPr>
        <w:t xml:space="preserve">ba </w:t>
      </w:r>
      <w:r>
        <w:rPr>
          <w:color w:val="231F20"/>
          <w:w w:val="95"/>
        </w:rPr>
        <w:t xml:space="preserve">divers or kite surfers even though many of the potential tourists will spend the majority of their time sun tanning on the beach. Unconscious detached </w:t>
      </w:r>
      <w:r>
        <w:rPr>
          <w:color w:val="231F20"/>
        </w:rPr>
        <w:t xml:space="preserve">markers are even more pervasive. At the forefront of these are televised </w:t>
      </w:r>
      <w:r>
        <w:rPr>
          <w:color w:val="231F20"/>
          <w:w w:val="95"/>
        </w:rPr>
        <w:t>broadcasts of elite sport com</w:t>
      </w:r>
      <w:r>
        <w:rPr>
          <w:color w:val="231F20"/>
          <w:w w:val="95"/>
        </w:rPr>
        <w:t xml:space="preserve">petitions and advertisements featuring sports in recognisable destinations (Chapter 6). The receivers of this information have the location marked for them as a sport tourist attraction, which may </w:t>
      </w:r>
      <w:r>
        <w:rPr>
          <w:color w:val="231F20"/>
        </w:rPr>
        <w:t>influence future travel decisions.</w:t>
      </w:r>
    </w:p>
    <w:p w14:paraId="781B6C1C" w14:textId="77777777" w:rsidR="00AE0598" w:rsidRDefault="0069255A">
      <w:pPr>
        <w:pStyle w:val="Corpodetexto"/>
        <w:spacing w:before="25" w:line="232" w:lineRule="auto"/>
        <w:ind w:left="110" w:right="107" w:firstLine="320"/>
        <w:jc w:val="both"/>
      </w:pPr>
      <w:r>
        <w:rPr>
          <w:color w:val="231F20"/>
        </w:rPr>
        <w:t>The conceptualisation of</w:t>
      </w:r>
      <w:r>
        <w:rPr>
          <w:color w:val="231F20"/>
        </w:rPr>
        <w:t xml:space="preserve"> sport tourism used in this book highlights the things that make sport such a popular attraction. First, each sport has its own set of rules that provide characteristic spatial and temporal structures</w:t>
      </w:r>
      <w:r>
        <w:rPr>
          <w:color w:val="231F20"/>
          <w:spacing w:val="-2"/>
        </w:rPr>
        <w:t xml:space="preserve"> </w:t>
      </w:r>
      <w:r>
        <w:rPr>
          <w:color w:val="231F20"/>
        </w:rPr>
        <w:t>such</w:t>
      </w:r>
      <w:r>
        <w:rPr>
          <w:color w:val="231F20"/>
          <w:spacing w:val="-2"/>
        </w:rPr>
        <w:t xml:space="preserve"> </w:t>
      </w:r>
      <w:r>
        <w:rPr>
          <w:color w:val="231F20"/>
        </w:rPr>
        <w:t>as</w:t>
      </w:r>
      <w:r>
        <w:rPr>
          <w:color w:val="231F20"/>
          <w:spacing w:val="-2"/>
        </w:rPr>
        <w:t xml:space="preserve"> </w:t>
      </w:r>
      <w:r>
        <w:rPr>
          <w:color w:val="231F20"/>
        </w:rPr>
        <w:t>the</w:t>
      </w:r>
      <w:r>
        <w:rPr>
          <w:color w:val="231F20"/>
          <w:spacing w:val="-2"/>
        </w:rPr>
        <w:t xml:space="preserve"> </w:t>
      </w:r>
      <w:r>
        <w:rPr>
          <w:color w:val="231F20"/>
        </w:rPr>
        <w:t>dimensions</w:t>
      </w:r>
      <w:r>
        <w:rPr>
          <w:color w:val="231F20"/>
          <w:spacing w:val="-2"/>
        </w:rPr>
        <w:t xml:space="preserve"> </w:t>
      </w:r>
      <w:r>
        <w:rPr>
          <w:color w:val="231F20"/>
        </w:rPr>
        <w:t>of</w:t>
      </w:r>
      <w:r>
        <w:rPr>
          <w:color w:val="231F20"/>
          <w:spacing w:val="-2"/>
        </w:rPr>
        <w:t xml:space="preserve"> </w:t>
      </w:r>
      <w:r>
        <w:rPr>
          <w:color w:val="231F20"/>
        </w:rPr>
        <w:t>a</w:t>
      </w:r>
      <w:r>
        <w:rPr>
          <w:color w:val="231F20"/>
          <w:spacing w:val="-2"/>
        </w:rPr>
        <w:t xml:space="preserve"> </w:t>
      </w:r>
      <w:r>
        <w:rPr>
          <w:color w:val="231F20"/>
        </w:rPr>
        <w:t>playing</w:t>
      </w:r>
      <w:r>
        <w:rPr>
          <w:color w:val="231F20"/>
          <w:spacing w:val="-2"/>
        </w:rPr>
        <w:t xml:space="preserve"> </w:t>
      </w:r>
      <w:r>
        <w:rPr>
          <w:color w:val="231F20"/>
        </w:rPr>
        <w:t>surface</w:t>
      </w:r>
      <w:r>
        <w:rPr>
          <w:color w:val="231F20"/>
          <w:spacing w:val="-2"/>
        </w:rPr>
        <w:t xml:space="preserve"> </w:t>
      </w:r>
      <w:r>
        <w:rPr>
          <w:color w:val="231F20"/>
        </w:rPr>
        <w:t>or</w:t>
      </w:r>
      <w:r>
        <w:rPr>
          <w:color w:val="231F20"/>
          <w:spacing w:val="-2"/>
        </w:rPr>
        <w:t xml:space="preserve"> </w:t>
      </w:r>
      <w:r>
        <w:rPr>
          <w:color w:val="231F20"/>
        </w:rPr>
        <w:t>the</w:t>
      </w:r>
      <w:r>
        <w:rPr>
          <w:color w:val="231F20"/>
          <w:spacing w:val="-2"/>
        </w:rPr>
        <w:t xml:space="preserve"> </w:t>
      </w:r>
      <w:r>
        <w:rPr>
          <w:color w:val="231F20"/>
        </w:rPr>
        <w:t>dura</w:t>
      </w:r>
      <w:r>
        <w:rPr>
          <w:color w:val="231F20"/>
        </w:rPr>
        <w:t>tion</w:t>
      </w:r>
      <w:r>
        <w:rPr>
          <w:color w:val="231F20"/>
          <w:spacing w:val="-2"/>
        </w:rPr>
        <w:t xml:space="preserve"> </w:t>
      </w:r>
      <w:r>
        <w:rPr>
          <w:color w:val="231F20"/>
        </w:rPr>
        <w:t xml:space="preserve">of a match (Bale, 1989). Second, competition relating to physical prowess </w:t>
      </w:r>
      <w:r>
        <w:rPr>
          <w:color w:val="231F20"/>
          <w:w w:val="95"/>
        </w:rPr>
        <w:t>encompasses the goal orientation, competition and contest-based aspects</w:t>
      </w:r>
      <w:r>
        <w:rPr>
          <w:color w:val="231F20"/>
          <w:spacing w:val="80"/>
        </w:rPr>
        <w:t xml:space="preserve"> </w:t>
      </w:r>
      <w:r>
        <w:rPr>
          <w:color w:val="231F20"/>
        </w:rPr>
        <w:t xml:space="preserve">of sport (McPherson </w:t>
      </w:r>
      <w:r>
        <w:rPr>
          <w:i/>
          <w:color w:val="231F20"/>
        </w:rPr>
        <w:t>et al.</w:t>
      </w:r>
      <w:r>
        <w:rPr>
          <w:color w:val="231F20"/>
        </w:rPr>
        <w:t>, 1989). Third, sport is characterised by its playful nature. This last element includes the notions of uncertainty of outcome and sanctioned display.</w:t>
      </w:r>
    </w:p>
    <w:p w14:paraId="4F0F5EF0" w14:textId="77777777" w:rsidR="00AE0598" w:rsidRDefault="0069255A">
      <w:pPr>
        <w:pStyle w:val="Corpodetexto"/>
        <w:spacing w:before="11" w:line="232" w:lineRule="auto"/>
        <w:ind w:left="110" w:right="107" w:firstLine="320"/>
        <w:jc w:val="both"/>
      </w:pPr>
      <w:r>
        <w:rPr>
          <w:color w:val="231F20"/>
        </w:rPr>
        <w:t>Rules, competition relating to physical prowess and the playfulness inherent in sport make it a unique type of tourism attraction. Specific types</w:t>
      </w:r>
      <w:r>
        <w:rPr>
          <w:color w:val="231F20"/>
          <w:spacing w:val="25"/>
        </w:rPr>
        <w:t xml:space="preserve"> </w:t>
      </w:r>
      <w:r>
        <w:rPr>
          <w:color w:val="231F20"/>
        </w:rPr>
        <w:t>of</w:t>
      </w:r>
      <w:r>
        <w:rPr>
          <w:color w:val="231F20"/>
          <w:spacing w:val="25"/>
        </w:rPr>
        <w:t xml:space="preserve"> </w:t>
      </w:r>
      <w:r>
        <w:rPr>
          <w:color w:val="231F20"/>
        </w:rPr>
        <w:t>sport,</w:t>
      </w:r>
      <w:r>
        <w:rPr>
          <w:color w:val="231F20"/>
          <w:spacing w:val="25"/>
        </w:rPr>
        <w:t xml:space="preserve"> </w:t>
      </w:r>
      <w:r>
        <w:rPr>
          <w:color w:val="231F20"/>
        </w:rPr>
        <w:t>such</w:t>
      </w:r>
      <w:r>
        <w:rPr>
          <w:color w:val="231F20"/>
          <w:spacing w:val="25"/>
        </w:rPr>
        <w:t xml:space="preserve"> </w:t>
      </w:r>
      <w:r>
        <w:rPr>
          <w:color w:val="231F20"/>
        </w:rPr>
        <w:t>as</w:t>
      </w:r>
      <w:r>
        <w:rPr>
          <w:color w:val="231F20"/>
          <w:spacing w:val="25"/>
        </w:rPr>
        <w:t xml:space="preserve"> </w:t>
      </w:r>
      <w:r>
        <w:rPr>
          <w:color w:val="231F20"/>
        </w:rPr>
        <w:t>football,</w:t>
      </w:r>
      <w:r>
        <w:rPr>
          <w:color w:val="231F20"/>
          <w:spacing w:val="25"/>
        </w:rPr>
        <w:t xml:space="preserve"> </w:t>
      </w:r>
      <w:r>
        <w:rPr>
          <w:color w:val="231F20"/>
        </w:rPr>
        <w:t>skiing</w:t>
      </w:r>
      <w:r>
        <w:rPr>
          <w:color w:val="231F20"/>
          <w:spacing w:val="25"/>
        </w:rPr>
        <w:t xml:space="preserve"> </w:t>
      </w:r>
      <w:r>
        <w:rPr>
          <w:color w:val="231F20"/>
        </w:rPr>
        <w:t>or</w:t>
      </w:r>
      <w:r>
        <w:rPr>
          <w:color w:val="231F20"/>
          <w:spacing w:val="26"/>
        </w:rPr>
        <w:t xml:space="preserve"> </w:t>
      </w:r>
      <w:r>
        <w:rPr>
          <w:color w:val="231F20"/>
        </w:rPr>
        <w:t>BASE</w:t>
      </w:r>
      <w:r>
        <w:rPr>
          <w:color w:val="231F20"/>
          <w:spacing w:val="25"/>
        </w:rPr>
        <w:t xml:space="preserve"> </w:t>
      </w:r>
      <w:r>
        <w:rPr>
          <w:color w:val="231F20"/>
        </w:rPr>
        <w:t>jumping,</w:t>
      </w:r>
      <w:r>
        <w:rPr>
          <w:color w:val="231F20"/>
          <w:spacing w:val="25"/>
        </w:rPr>
        <w:t xml:space="preserve"> </w:t>
      </w:r>
      <w:r>
        <w:rPr>
          <w:color w:val="231F20"/>
        </w:rPr>
        <w:t>possess</w:t>
      </w:r>
      <w:r>
        <w:rPr>
          <w:color w:val="231F20"/>
          <w:spacing w:val="25"/>
        </w:rPr>
        <w:t xml:space="preserve"> </w:t>
      </w:r>
      <w:r>
        <w:rPr>
          <w:color w:val="231F20"/>
          <w:spacing w:val="-2"/>
        </w:rPr>
        <w:t>their</w:t>
      </w:r>
    </w:p>
    <w:p w14:paraId="1BBA0544" w14:textId="77777777" w:rsidR="00AE0598" w:rsidRDefault="00AE0598">
      <w:pPr>
        <w:spacing w:line="232" w:lineRule="auto"/>
        <w:jc w:val="both"/>
        <w:sectPr w:rsidR="00AE0598">
          <w:pgSz w:w="8850" w:h="13270"/>
          <w:pgMar w:top="720" w:right="1080" w:bottom="280" w:left="1080" w:header="720" w:footer="720" w:gutter="0"/>
          <w:cols w:space="720"/>
        </w:sectPr>
      </w:pPr>
    </w:p>
    <w:p w14:paraId="4A68C0A5" w14:textId="77777777" w:rsidR="00AE0598" w:rsidRDefault="0069255A">
      <w:pPr>
        <w:spacing w:before="87"/>
        <w:ind w:right="108"/>
        <w:jc w:val="right"/>
        <w:rPr>
          <w:rFonts w:ascii="Trebuchet MS"/>
          <w:sz w:val="14"/>
        </w:rPr>
      </w:pPr>
      <w:r>
        <w:rPr>
          <w:rFonts w:ascii="Trebuchet MS"/>
          <w:color w:val="231F20"/>
          <w:w w:val="105"/>
          <w:sz w:val="14"/>
        </w:rPr>
        <w:lastRenderedPageBreak/>
        <w:t>The</w:t>
      </w:r>
      <w:r>
        <w:rPr>
          <w:rFonts w:ascii="Trebuchet MS"/>
          <w:color w:val="231F20"/>
          <w:spacing w:val="-9"/>
          <w:w w:val="105"/>
          <w:sz w:val="14"/>
        </w:rPr>
        <w:t xml:space="preserve"> </w:t>
      </w:r>
      <w:r>
        <w:rPr>
          <w:rFonts w:ascii="Trebuchet MS"/>
          <w:color w:val="231F20"/>
          <w:w w:val="105"/>
          <w:sz w:val="14"/>
        </w:rPr>
        <w:t>Study</w:t>
      </w:r>
      <w:r>
        <w:rPr>
          <w:rFonts w:ascii="Trebuchet MS"/>
          <w:color w:val="231F20"/>
          <w:spacing w:val="-8"/>
          <w:w w:val="105"/>
          <w:sz w:val="14"/>
        </w:rPr>
        <w:t xml:space="preserve"> </w:t>
      </w:r>
      <w:r>
        <w:rPr>
          <w:rFonts w:ascii="Trebuchet MS"/>
          <w:color w:val="231F20"/>
          <w:w w:val="105"/>
          <w:sz w:val="14"/>
        </w:rPr>
        <w:t>of</w:t>
      </w:r>
      <w:r>
        <w:rPr>
          <w:rFonts w:ascii="Trebuchet MS"/>
          <w:color w:val="231F20"/>
          <w:spacing w:val="-9"/>
          <w:w w:val="105"/>
          <w:sz w:val="14"/>
        </w:rPr>
        <w:t xml:space="preserve"> </w:t>
      </w:r>
      <w:r>
        <w:rPr>
          <w:rFonts w:ascii="Trebuchet MS"/>
          <w:color w:val="231F20"/>
          <w:w w:val="105"/>
          <w:sz w:val="14"/>
        </w:rPr>
        <w:t>Sport</w:t>
      </w:r>
      <w:r>
        <w:rPr>
          <w:rFonts w:ascii="Trebuchet MS"/>
          <w:color w:val="231F20"/>
          <w:spacing w:val="-8"/>
          <w:w w:val="105"/>
          <w:sz w:val="14"/>
        </w:rPr>
        <w:t xml:space="preserve"> </w:t>
      </w:r>
      <w:r>
        <w:rPr>
          <w:rFonts w:ascii="Trebuchet MS"/>
          <w:color w:val="231F20"/>
          <w:w w:val="105"/>
          <w:sz w:val="14"/>
        </w:rPr>
        <w:t>Tourism</w:t>
      </w:r>
      <w:r>
        <w:rPr>
          <w:rFonts w:ascii="Trebuchet MS"/>
          <w:color w:val="231F20"/>
          <w:spacing w:val="68"/>
          <w:w w:val="150"/>
          <w:sz w:val="14"/>
        </w:rPr>
        <w:t xml:space="preserve"> </w:t>
      </w:r>
      <w:r>
        <w:rPr>
          <w:rFonts w:ascii="Trebuchet MS"/>
          <w:color w:val="231F20"/>
          <w:spacing w:val="-5"/>
          <w:w w:val="105"/>
          <w:sz w:val="14"/>
        </w:rPr>
        <w:t>27</w:t>
      </w:r>
    </w:p>
    <w:p w14:paraId="2FB34399" w14:textId="77777777" w:rsidR="00AE0598" w:rsidRDefault="00AE0598">
      <w:pPr>
        <w:pStyle w:val="Corpodetexto"/>
        <w:rPr>
          <w:rFonts w:ascii="Trebuchet MS"/>
          <w:sz w:val="16"/>
        </w:rPr>
      </w:pPr>
    </w:p>
    <w:p w14:paraId="0B350D44" w14:textId="77777777" w:rsidR="00AE0598" w:rsidRDefault="0069255A">
      <w:pPr>
        <w:pStyle w:val="Corpodetexto"/>
        <w:spacing w:before="118" w:line="232" w:lineRule="auto"/>
        <w:ind w:left="110" w:right="107"/>
        <w:jc w:val="both"/>
      </w:pPr>
      <w:r>
        <w:rPr>
          <w:color w:val="231F20"/>
        </w:rPr>
        <w:t>own distinctive traits as tourist attractions but as a whole, they are distinguishable</w:t>
      </w:r>
      <w:r>
        <w:rPr>
          <w:color w:val="231F20"/>
          <w:spacing w:val="-5"/>
        </w:rPr>
        <w:t xml:space="preserve"> </w:t>
      </w:r>
      <w:r>
        <w:rPr>
          <w:color w:val="231F20"/>
        </w:rPr>
        <w:t>from</w:t>
      </w:r>
      <w:r>
        <w:rPr>
          <w:color w:val="231F20"/>
          <w:spacing w:val="-5"/>
        </w:rPr>
        <w:t xml:space="preserve"> </w:t>
      </w:r>
      <w:r>
        <w:rPr>
          <w:color w:val="231F20"/>
        </w:rPr>
        <w:t>other</w:t>
      </w:r>
      <w:r>
        <w:rPr>
          <w:color w:val="231F20"/>
          <w:spacing w:val="-5"/>
        </w:rPr>
        <w:t xml:space="preserve"> </w:t>
      </w:r>
      <w:r>
        <w:rPr>
          <w:color w:val="231F20"/>
        </w:rPr>
        <w:t>broad</w:t>
      </w:r>
      <w:r>
        <w:rPr>
          <w:color w:val="231F20"/>
          <w:spacing w:val="-5"/>
        </w:rPr>
        <w:t xml:space="preserve"> </w:t>
      </w:r>
      <w:r>
        <w:rPr>
          <w:color w:val="231F20"/>
        </w:rPr>
        <w:t>categories</w:t>
      </w:r>
      <w:r>
        <w:rPr>
          <w:color w:val="231F20"/>
          <w:spacing w:val="-5"/>
        </w:rPr>
        <w:t xml:space="preserve"> </w:t>
      </w:r>
      <w:r>
        <w:rPr>
          <w:color w:val="231F20"/>
        </w:rPr>
        <w:t>of</w:t>
      </w:r>
      <w:r>
        <w:rPr>
          <w:color w:val="231F20"/>
          <w:spacing w:val="-5"/>
        </w:rPr>
        <w:t xml:space="preserve"> </w:t>
      </w:r>
      <w:r>
        <w:rPr>
          <w:color w:val="231F20"/>
        </w:rPr>
        <w:t>tourist</w:t>
      </w:r>
      <w:r>
        <w:rPr>
          <w:color w:val="231F20"/>
          <w:spacing w:val="-5"/>
        </w:rPr>
        <w:t xml:space="preserve"> </w:t>
      </w:r>
      <w:r>
        <w:rPr>
          <w:color w:val="231F20"/>
        </w:rPr>
        <w:t>attractions.</w:t>
      </w:r>
      <w:r>
        <w:rPr>
          <w:color w:val="231F20"/>
          <w:spacing w:val="-5"/>
        </w:rPr>
        <w:t xml:space="preserve"> </w:t>
      </w:r>
      <w:r>
        <w:rPr>
          <w:color w:val="231F20"/>
        </w:rPr>
        <w:t>As</w:t>
      </w:r>
      <w:r>
        <w:rPr>
          <w:color w:val="231F20"/>
          <w:spacing w:val="-5"/>
        </w:rPr>
        <w:t xml:space="preserve"> </w:t>
      </w:r>
      <w:r>
        <w:rPr>
          <w:color w:val="231F20"/>
        </w:rPr>
        <w:t>the tourism industry increasingly emphasises experience over products or experience</w:t>
      </w:r>
      <w:r>
        <w:rPr>
          <w:color w:val="231F20"/>
          <w:spacing w:val="-3"/>
        </w:rPr>
        <w:t xml:space="preserve"> </w:t>
      </w:r>
      <w:r>
        <w:rPr>
          <w:color w:val="231F20"/>
        </w:rPr>
        <w:t>as</w:t>
      </w:r>
      <w:r>
        <w:rPr>
          <w:color w:val="231F20"/>
          <w:spacing w:val="-3"/>
        </w:rPr>
        <w:t xml:space="preserve"> </w:t>
      </w:r>
      <w:r>
        <w:rPr>
          <w:color w:val="231F20"/>
        </w:rPr>
        <w:t>a</w:t>
      </w:r>
      <w:r>
        <w:rPr>
          <w:color w:val="231F20"/>
          <w:spacing w:val="-3"/>
        </w:rPr>
        <w:t xml:space="preserve"> </w:t>
      </w:r>
      <w:r>
        <w:rPr>
          <w:color w:val="231F20"/>
        </w:rPr>
        <w:t>product</w:t>
      </w:r>
      <w:r>
        <w:rPr>
          <w:color w:val="231F20"/>
          <w:spacing w:val="-3"/>
        </w:rPr>
        <w:t xml:space="preserve"> </w:t>
      </w:r>
      <w:r>
        <w:rPr>
          <w:color w:val="231F20"/>
        </w:rPr>
        <w:t>(Tolkach</w:t>
      </w:r>
      <w:r>
        <w:rPr>
          <w:color w:val="231F20"/>
          <w:spacing w:val="-3"/>
        </w:rPr>
        <w:t xml:space="preserve"> </w:t>
      </w:r>
      <w:r>
        <w:rPr>
          <w:i/>
          <w:color w:val="231F20"/>
        </w:rPr>
        <w:t>et</w:t>
      </w:r>
      <w:r>
        <w:rPr>
          <w:i/>
          <w:color w:val="231F20"/>
          <w:spacing w:val="-3"/>
        </w:rPr>
        <w:t xml:space="preserve"> </w:t>
      </w:r>
      <w:r>
        <w:rPr>
          <w:i/>
          <w:color w:val="231F20"/>
        </w:rPr>
        <w:t>al</w:t>
      </w:r>
      <w:r>
        <w:rPr>
          <w:color w:val="231F20"/>
        </w:rPr>
        <w:t>.,</w:t>
      </w:r>
      <w:r>
        <w:rPr>
          <w:color w:val="231F20"/>
          <w:spacing w:val="-3"/>
        </w:rPr>
        <w:t xml:space="preserve"> </w:t>
      </w:r>
      <w:r>
        <w:rPr>
          <w:color w:val="231F20"/>
        </w:rPr>
        <w:t>2016),</w:t>
      </w:r>
      <w:r>
        <w:rPr>
          <w:color w:val="231F20"/>
          <w:spacing w:val="-3"/>
        </w:rPr>
        <w:t xml:space="preserve"> </w:t>
      </w:r>
      <w:r>
        <w:rPr>
          <w:color w:val="231F20"/>
        </w:rPr>
        <w:t>sport</w:t>
      </w:r>
      <w:r>
        <w:rPr>
          <w:color w:val="231F20"/>
          <w:spacing w:val="-3"/>
        </w:rPr>
        <w:t xml:space="preserve"> </w:t>
      </w:r>
      <w:r>
        <w:rPr>
          <w:color w:val="231F20"/>
        </w:rPr>
        <w:t>tourism</w:t>
      </w:r>
      <w:r>
        <w:rPr>
          <w:color w:val="231F20"/>
          <w:spacing w:val="-3"/>
        </w:rPr>
        <w:t xml:space="preserve"> </w:t>
      </w:r>
      <w:r>
        <w:rPr>
          <w:color w:val="231F20"/>
        </w:rPr>
        <w:t>will</w:t>
      </w:r>
      <w:r>
        <w:rPr>
          <w:color w:val="231F20"/>
          <w:spacing w:val="-3"/>
        </w:rPr>
        <w:t xml:space="preserve"> </w:t>
      </w:r>
      <w:r>
        <w:rPr>
          <w:color w:val="231F20"/>
        </w:rPr>
        <w:t>remain one</w:t>
      </w:r>
      <w:r>
        <w:rPr>
          <w:color w:val="231F20"/>
          <w:spacing w:val="-7"/>
        </w:rPr>
        <w:t xml:space="preserve"> </w:t>
      </w:r>
      <w:r>
        <w:rPr>
          <w:color w:val="231F20"/>
        </w:rPr>
        <w:t>of</w:t>
      </w:r>
      <w:r>
        <w:rPr>
          <w:color w:val="231F20"/>
          <w:spacing w:val="-7"/>
        </w:rPr>
        <w:t xml:space="preserve"> </w:t>
      </w:r>
      <w:r>
        <w:rPr>
          <w:color w:val="231F20"/>
        </w:rPr>
        <w:t>its</w:t>
      </w:r>
      <w:r>
        <w:rPr>
          <w:color w:val="231F20"/>
          <w:spacing w:val="-7"/>
        </w:rPr>
        <w:t xml:space="preserve"> </w:t>
      </w:r>
      <w:r>
        <w:rPr>
          <w:color w:val="231F20"/>
        </w:rPr>
        <w:t>most</w:t>
      </w:r>
      <w:r>
        <w:rPr>
          <w:color w:val="231F20"/>
          <w:spacing w:val="-7"/>
        </w:rPr>
        <w:t xml:space="preserve"> </w:t>
      </w:r>
      <w:r>
        <w:rPr>
          <w:color w:val="231F20"/>
        </w:rPr>
        <w:t>dynamic</w:t>
      </w:r>
      <w:r>
        <w:rPr>
          <w:color w:val="231F20"/>
          <w:spacing w:val="-7"/>
        </w:rPr>
        <w:t xml:space="preserve"> </w:t>
      </w:r>
      <w:r>
        <w:rPr>
          <w:color w:val="231F20"/>
        </w:rPr>
        <w:t>components.</w:t>
      </w:r>
      <w:r>
        <w:rPr>
          <w:color w:val="231F20"/>
          <w:spacing w:val="-7"/>
        </w:rPr>
        <w:t xml:space="preserve"> </w:t>
      </w:r>
      <w:r>
        <w:rPr>
          <w:color w:val="231F20"/>
        </w:rPr>
        <w:t>By</w:t>
      </w:r>
      <w:r>
        <w:rPr>
          <w:color w:val="231F20"/>
          <w:spacing w:val="-7"/>
        </w:rPr>
        <w:t xml:space="preserve"> </w:t>
      </w:r>
      <w:r>
        <w:rPr>
          <w:color w:val="231F20"/>
        </w:rPr>
        <w:t>analysing</w:t>
      </w:r>
      <w:r>
        <w:rPr>
          <w:color w:val="231F20"/>
          <w:spacing w:val="-7"/>
        </w:rPr>
        <w:t xml:space="preserve"> </w:t>
      </w:r>
      <w:r>
        <w:rPr>
          <w:color w:val="231F20"/>
        </w:rPr>
        <w:t>sport</w:t>
      </w:r>
      <w:r>
        <w:rPr>
          <w:color w:val="231F20"/>
          <w:spacing w:val="-7"/>
        </w:rPr>
        <w:t xml:space="preserve"> </w:t>
      </w:r>
      <w:r>
        <w:rPr>
          <w:color w:val="231F20"/>
        </w:rPr>
        <w:t>in</w:t>
      </w:r>
      <w:r>
        <w:rPr>
          <w:color w:val="231F20"/>
          <w:spacing w:val="-7"/>
        </w:rPr>
        <w:t xml:space="preserve"> </w:t>
      </w:r>
      <w:r>
        <w:rPr>
          <w:color w:val="231F20"/>
        </w:rPr>
        <w:t>the</w:t>
      </w:r>
      <w:r>
        <w:rPr>
          <w:color w:val="231F20"/>
          <w:spacing w:val="-7"/>
        </w:rPr>
        <w:t xml:space="preserve"> </w:t>
      </w:r>
      <w:r>
        <w:rPr>
          <w:color w:val="231F20"/>
        </w:rPr>
        <w:t>context</w:t>
      </w:r>
      <w:r>
        <w:rPr>
          <w:color w:val="231F20"/>
          <w:spacing w:val="-7"/>
        </w:rPr>
        <w:t xml:space="preserve"> </w:t>
      </w:r>
      <w:r>
        <w:rPr>
          <w:color w:val="231F20"/>
        </w:rPr>
        <w:t xml:space="preserve">of </w:t>
      </w:r>
      <w:r>
        <w:rPr>
          <w:color w:val="231F20"/>
          <w:w w:val="95"/>
        </w:rPr>
        <w:t xml:space="preserve">these three components, insight can </w:t>
      </w:r>
      <w:r>
        <w:rPr>
          <w:color w:val="231F20"/>
          <w:w w:val="95"/>
        </w:rPr>
        <w:t xml:space="preserve">be gained into the way that it functions </w:t>
      </w:r>
      <w:r>
        <w:rPr>
          <w:color w:val="231F20"/>
        </w:rPr>
        <w:t xml:space="preserve">as a tourist attraction. The impact of changes to the sport attraction can </w:t>
      </w:r>
      <w:r>
        <w:rPr>
          <w:color w:val="231F20"/>
          <w:w w:val="95"/>
        </w:rPr>
        <w:t xml:space="preserve">then be considered within the broader context of the spatial and temporal </w:t>
      </w:r>
      <w:r>
        <w:rPr>
          <w:color w:val="231F20"/>
        </w:rPr>
        <w:t>dimensions of sport tourism development.</w:t>
      </w:r>
    </w:p>
    <w:p w14:paraId="0D4AA486" w14:textId="77777777" w:rsidR="00AE0598" w:rsidRDefault="00AE0598">
      <w:pPr>
        <w:pStyle w:val="Corpodetexto"/>
        <w:spacing w:before="10"/>
      </w:pPr>
    </w:p>
    <w:p w14:paraId="039672B6" w14:textId="77777777" w:rsidR="00AE0598" w:rsidRDefault="0069255A">
      <w:pPr>
        <w:ind w:left="110"/>
        <w:jc w:val="both"/>
        <w:rPr>
          <w:rFonts w:ascii="Trebuchet MS"/>
          <w:b/>
          <w:sz w:val="20"/>
        </w:rPr>
      </w:pPr>
      <w:r>
        <w:rPr>
          <w:rFonts w:ascii="Trebuchet MS"/>
          <w:b/>
          <w:color w:val="231F20"/>
          <w:sz w:val="20"/>
        </w:rPr>
        <w:t>Scholarship</w:t>
      </w:r>
      <w:r>
        <w:rPr>
          <w:rFonts w:ascii="Trebuchet MS"/>
          <w:b/>
          <w:color w:val="231F20"/>
          <w:spacing w:val="4"/>
          <w:sz w:val="20"/>
        </w:rPr>
        <w:t xml:space="preserve"> </w:t>
      </w:r>
      <w:r>
        <w:rPr>
          <w:rFonts w:ascii="Trebuchet MS"/>
          <w:b/>
          <w:color w:val="231F20"/>
          <w:sz w:val="20"/>
        </w:rPr>
        <w:t>in</w:t>
      </w:r>
      <w:r>
        <w:rPr>
          <w:rFonts w:ascii="Trebuchet MS"/>
          <w:b/>
          <w:color w:val="231F20"/>
          <w:spacing w:val="5"/>
          <w:sz w:val="20"/>
        </w:rPr>
        <w:t xml:space="preserve"> </w:t>
      </w:r>
      <w:r>
        <w:rPr>
          <w:rFonts w:ascii="Trebuchet MS"/>
          <w:b/>
          <w:color w:val="231F20"/>
          <w:sz w:val="20"/>
        </w:rPr>
        <w:t>Sport</w:t>
      </w:r>
      <w:r>
        <w:rPr>
          <w:rFonts w:ascii="Trebuchet MS"/>
          <w:b/>
          <w:color w:val="231F20"/>
          <w:spacing w:val="4"/>
          <w:sz w:val="20"/>
        </w:rPr>
        <w:t xml:space="preserve"> </w:t>
      </w:r>
      <w:r>
        <w:rPr>
          <w:rFonts w:ascii="Trebuchet MS"/>
          <w:b/>
          <w:color w:val="231F20"/>
          <w:spacing w:val="-2"/>
          <w:sz w:val="20"/>
        </w:rPr>
        <w:t>Tourism</w:t>
      </w:r>
    </w:p>
    <w:p w14:paraId="3DBB7547" w14:textId="77777777" w:rsidR="00AE0598" w:rsidRDefault="0069255A">
      <w:pPr>
        <w:pStyle w:val="Corpodetexto"/>
        <w:spacing w:before="122" w:line="232" w:lineRule="auto"/>
        <w:ind w:left="110" w:right="103" w:firstLine="320"/>
        <w:jc w:val="both"/>
      </w:pPr>
      <w:r>
        <w:rPr>
          <w:color w:val="231F20"/>
          <w:w w:val="95"/>
        </w:rPr>
        <w:t xml:space="preserve">Sport studies and tourism studies share many of the same institutional </w:t>
      </w:r>
      <w:r>
        <w:rPr>
          <w:color w:val="231F20"/>
          <w:w w:val="90"/>
        </w:rPr>
        <w:t xml:space="preserve">characteristics. Both are relatively new areas of academia in which academics </w:t>
      </w:r>
      <w:r>
        <w:rPr>
          <w:color w:val="231F20"/>
        </w:rPr>
        <w:t>have worked to establish respected fields of theoretical, methodological and</w:t>
      </w:r>
      <w:r>
        <w:rPr>
          <w:color w:val="231F20"/>
          <w:spacing w:val="-2"/>
        </w:rPr>
        <w:t xml:space="preserve"> </w:t>
      </w:r>
      <w:r>
        <w:rPr>
          <w:color w:val="231F20"/>
        </w:rPr>
        <w:t>empirical</w:t>
      </w:r>
      <w:r>
        <w:rPr>
          <w:color w:val="231F20"/>
          <w:spacing w:val="-2"/>
        </w:rPr>
        <w:t xml:space="preserve"> </w:t>
      </w:r>
      <w:r>
        <w:rPr>
          <w:color w:val="231F20"/>
        </w:rPr>
        <w:t>scholarship.</w:t>
      </w:r>
      <w:r>
        <w:rPr>
          <w:color w:val="231F20"/>
          <w:spacing w:val="-2"/>
        </w:rPr>
        <w:t xml:space="preserve"> </w:t>
      </w:r>
      <w:r>
        <w:rPr>
          <w:color w:val="231F20"/>
        </w:rPr>
        <w:t>Each</w:t>
      </w:r>
      <w:r>
        <w:rPr>
          <w:color w:val="231F20"/>
          <w:spacing w:val="-2"/>
        </w:rPr>
        <w:t xml:space="preserve"> </w:t>
      </w:r>
      <w:r>
        <w:rPr>
          <w:color w:val="231F20"/>
        </w:rPr>
        <w:t>area</w:t>
      </w:r>
      <w:r>
        <w:rPr>
          <w:color w:val="231F20"/>
          <w:spacing w:val="-2"/>
        </w:rPr>
        <w:t xml:space="preserve"> </w:t>
      </w:r>
      <w:r>
        <w:rPr>
          <w:color w:val="231F20"/>
        </w:rPr>
        <w:t>has</w:t>
      </w:r>
      <w:r>
        <w:rPr>
          <w:color w:val="231F20"/>
          <w:spacing w:val="-2"/>
        </w:rPr>
        <w:t xml:space="preserve"> </w:t>
      </w:r>
      <w:r>
        <w:rPr>
          <w:color w:val="231F20"/>
        </w:rPr>
        <w:t>developed</w:t>
      </w:r>
      <w:r>
        <w:rPr>
          <w:color w:val="231F20"/>
          <w:spacing w:val="-2"/>
        </w:rPr>
        <w:t xml:space="preserve"> </w:t>
      </w:r>
      <w:r>
        <w:rPr>
          <w:color w:val="231F20"/>
        </w:rPr>
        <w:t>systematic</w:t>
      </w:r>
      <w:r>
        <w:rPr>
          <w:color w:val="231F20"/>
          <w:spacing w:val="-2"/>
        </w:rPr>
        <w:t xml:space="preserve"> </w:t>
      </w:r>
      <w:r>
        <w:rPr>
          <w:color w:val="231F20"/>
        </w:rPr>
        <w:t xml:space="preserve">interests in sport tourism, which have manifest themselves in a growing body of literature in the form of texts (Gibson, 2006; Higham &amp; Hinch, 2009; </w:t>
      </w:r>
      <w:r>
        <w:rPr>
          <w:color w:val="231F20"/>
          <w:w w:val="95"/>
        </w:rPr>
        <w:t xml:space="preserve">Standeven &amp; De Knop, 1999; Weed &amp; Bull, 2009); reviews (Gibson, 1998a; </w:t>
      </w:r>
      <w:r>
        <w:rPr>
          <w:color w:val="231F20"/>
          <w:w w:val="95"/>
        </w:rPr>
        <w:t>Hinch</w:t>
      </w:r>
      <w:r>
        <w:rPr>
          <w:color w:val="231F20"/>
          <w:spacing w:val="19"/>
        </w:rPr>
        <w:t xml:space="preserve"> </w:t>
      </w:r>
      <w:r>
        <w:rPr>
          <w:i/>
          <w:color w:val="231F20"/>
          <w:w w:val="95"/>
        </w:rPr>
        <w:t>et</w:t>
      </w:r>
      <w:r>
        <w:rPr>
          <w:i/>
          <w:color w:val="231F20"/>
          <w:spacing w:val="19"/>
        </w:rPr>
        <w:t xml:space="preserve"> </w:t>
      </w:r>
      <w:r>
        <w:rPr>
          <w:i/>
          <w:color w:val="231F20"/>
          <w:w w:val="95"/>
        </w:rPr>
        <w:t>al</w:t>
      </w:r>
      <w:r>
        <w:rPr>
          <w:color w:val="231F20"/>
          <w:w w:val="95"/>
        </w:rPr>
        <w:t>.,</w:t>
      </w:r>
      <w:r>
        <w:rPr>
          <w:color w:val="231F20"/>
          <w:spacing w:val="19"/>
        </w:rPr>
        <w:t xml:space="preserve"> </w:t>
      </w:r>
      <w:r>
        <w:rPr>
          <w:color w:val="231F20"/>
          <w:w w:val="95"/>
        </w:rPr>
        <w:t>2014,</w:t>
      </w:r>
      <w:r>
        <w:rPr>
          <w:color w:val="231F20"/>
          <w:spacing w:val="19"/>
        </w:rPr>
        <w:t xml:space="preserve"> </w:t>
      </w:r>
      <w:r>
        <w:rPr>
          <w:color w:val="231F20"/>
          <w:w w:val="95"/>
        </w:rPr>
        <w:t>2016;</w:t>
      </w:r>
      <w:r>
        <w:rPr>
          <w:color w:val="231F20"/>
          <w:spacing w:val="19"/>
        </w:rPr>
        <w:t xml:space="preserve"> </w:t>
      </w:r>
      <w:r>
        <w:rPr>
          <w:color w:val="231F20"/>
          <w:w w:val="95"/>
        </w:rPr>
        <w:t>Weed,</w:t>
      </w:r>
      <w:r>
        <w:rPr>
          <w:color w:val="231F20"/>
          <w:spacing w:val="19"/>
        </w:rPr>
        <w:t xml:space="preserve"> </w:t>
      </w:r>
      <w:r>
        <w:rPr>
          <w:color w:val="231F20"/>
          <w:w w:val="95"/>
        </w:rPr>
        <w:t>2006,</w:t>
      </w:r>
      <w:r>
        <w:rPr>
          <w:color w:val="231F20"/>
          <w:spacing w:val="19"/>
        </w:rPr>
        <w:t xml:space="preserve"> </w:t>
      </w:r>
      <w:r>
        <w:rPr>
          <w:color w:val="231F20"/>
          <w:w w:val="95"/>
        </w:rPr>
        <w:t>2009);</w:t>
      </w:r>
      <w:r>
        <w:rPr>
          <w:color w:val="231F20"/>
          <w:spacing w:val="19"/>
        </w:rPr>
        <w:t xml:space="preserve"> </w:t>
      </w:r>
      <w:r>
        <w:rPr>
          <w:color w:val="231F20"/>
          <w:w w:val="95"/>
        </w:rPr>
        <w:t>and</w:t>
      </w:r>
      <w:r>
        <w:rPr>
          <w:color w:val="231F20"/>
          <w:spacing w:val="19"/>
        </w:rPr>
        <w:t xml:space="preserve"> </w:t>
      </w:r>
      <w:r>
        <w:rPr>
          <w:color w:val="231F20"/>
          <w:w w:val="95"/>
        </w:rPr>
        <w:t>frequently</w:t>
      </w:r>
      <w:r>
        <w:rPr>
          <w:color w:val="231F20"/>
          <w:spacing w:val="19"/>
        </w:rPr>
        <w:t xml:space="preserve"> </w:t>
      </w:r>
      <w:r>
        <w:rPr>
          <w:color w:val="231F20"/>
          <w:w w:val="95"/>
        </w:rPr>
        <w:t>cited</w:t>
      </w:r>
      <w:r>
        <w:rPr>
          <w:color w:val="231F20"/>
          <w:spacing w:val="19"/>
        </w:rPr>
        <w:t xml:space="preserve"> </w:t>
      </w:r>
      <w:r>
        <w:rPr>
          <w:color w:val="231F20"/>
          <w:w w:val="95"/>
        </w:rPr>
        <w:t>articles</w:t>
      </w:r>
    </w:p>
    <w:p w14:paraId="5B8EF15E" w14:textId="77777777" w:rsidR="00AE0598" w:rsidRDefault="0069255A">
      <w:pPr>
        <w:pStyle w:val="Corpodetexto"/>
        <w:spacing w:before="4" w:line="243" w:lineRule="exact"/>
        <w:ind w:left="110"/>
        <w:jc w:val="both"/>
      </w:pPr>
      <w:r>
        <w:rPr>
          <w:color w:val="231F20"/>
        </w:rPr>
        <w:t>(Chalip, 2006; Kaplanidou</w:t>
      </w:r>
      <w:r>
        <w:rPr>
          <w:color w:val="231F20"/>
          <w:spacing w:val="1"/>
        </w:rPr>
        <w:t xml:space="preserve"> </w:t>
      </w:r>
      <w:r>
        <w:rPr>
          <w:color w:val="231F20"/>
        </w:rPr>
        <w:t>&amp; Vogt,</w:t>
      </w:r>
      <w:r>
        <w:rPr>
          <w:color w:val="231F20"/>
          <w:spacing w:val="1"/>
        </w:rPr>
        <w:t xml:space="preserve"> </w:t>
      </w:r>
      <w:r>
        <w:rPr>
          <w:color w:val="231F20"/>
        </w:rPr>
        <w:t xml:space="preserve">2007; Preuss, </w:t>
      </w:r>
      <w:r>
        <w:rPr>
          <w:color w:val="231F20"/>
          <w:spacing w:val="-2"/>
        </w:rPr>
        <w:t>2007).</w:t>
      </w:r>
    </w:p>
    <w:p w14:paraId="15CE956B" w14:textId="77777777" w:rsidR="00AE0598" w:rsidRDefault="0069255A">
      <w:pPr>
        <w:pStyle w:val="Corpodetexto"/>
        <w:spacing w:before="3" w:line="232" w:lineRule="auto"/>
        <w:ind w:left="110" w:right="104" w:firstLine="320"/>
        <w:jc w:val="both"/>
      </w:pPr>
      <w:r>
        <w:rPr>
          <w:color w:val="231F20"/>
        </w:rPr>
        <w:t>Perhaps</w:t>
      </w:r>
      <w:r>
        <w:rPr>
          <w:color w:val="231F20"/>
          <w:spacing w:val="39"/>
        </w:rPr>
        <w:t xml:space="preserve"> </w:t>
      </w:r>
      <w:r>
        <w:rPr>
          <w:color w:val="231F20"/>
        </w:rPr>
        <w:t>the</w:t>
      </w:r>
      <w:r>
        <w:rPr>
          <w:color w:val="231F20"/>
          <w:spacing w:val="39"/>
        </w:rPr>
        <w:t xml:space="preserve"> </w:t>
      </w:r>
      <w:r>
        <w:rPr>
          <w:color w:val="231F20"/>
        </w:rPr>
        <w:t>most</w:t>
      </w:r>
      <w:r>
        <w:rPr>
          <w:color w:val="231F20"/>
          <w:spacing w:val="39"/>
        </w:rPr>
        <w:t xml:space="preserve"> </w:t>
      </w:r>
      <w:r>
        <w:rPr>
          <w:color w:val="231F20"/>
        </w:rPr>
        <w:t>commonly</w:t>
      </w:r>
      <w:r>
        <w:rPr>
          <w:color w:val="231F20"/>
          <w:spacing w:val="39"/>
        </w:rPr>
        <w:t xml:space="preserve"> </w:t>
      </w:r>
      <w:r>
        <w:rPr>
          <w:color w:val="231F20"/>
        </w:rPr>
        <w:t>used</w:t>
      </w:r>
      <w:r>
        <w:rPr>
          <w:color w:val="231F20"/>
          <w:spacing w:val="39"/>
        </w:rPr>
        <w:t xml:space="preserve"> </w:t>
      </w:r>
      <w:r>
        <w:rPr>
          <w:color w:val="231F20"/>
        </w:rPr>
        <w:t>argument</w:t>
      </w:r>
      <w:r>
        <w:rPr>
          <w:color w:val="231F20"/>
          <w:spacing w:val="39"/>
        </w:rPr>
        <w:t xml:space="preserve"> </w:t>
      </w:r>
      <w:r>
        <w:rPr>
          <w:color w:val="231F20"/>
        </w:rPr>
        <w:t>for</w:t>
      </w:r>
      <w:r>
        <w:rPr>
          <w:color w:val="231F20"/>
          <w:spacing w:val="39"/>
        </w:rPr>
        <w:t xml:space="preserve"> </w:t>
      </w:r>
      <w:r>
        <w:rPr>
          <w:color w:val="231F20"/>
        </w:rPr>
        <w:t>focused</w:t>
      </w:r>
      <w:r>
        <w:rPr>
          <w:color w:val="231F20"/>
          <w:spacing w:val="39"/>
        </w:rPr>
        <w:t xml:space="preserve"> </w:t>
      </w:r>
      <w:r>
        <w:rPr>
          <w:color w:val="231F20"/>
        </w:rPr>
        <w:t>study</w:t>
      </w:r>
      <w:r>
        <w:rPr>
          <w:color w:val="231F20"/>
          <w:spacing w:val="39"/>
        </w:rPr>
        <w:t xml:space="preserve"> </w:t>
      </w:r>
      <w:r>
        <w:rPr>
          <w:color w:val="231F20"/>
        </w:rPr>
        <w:t>in the realm of sport tourism is its economic significance. For example, an analysis of Statistics Canada travel data determined that sport tourism surpassed $6.5 billion (Can) in spending in 2015, an increase of 13% on the previous year (CSTA, 2017). Expe</w:t>
      </w:r>
      <w:r>
        <w:rPr>
          <w:color w:val="231F20"/>
        </w:rPr>
        <w:t xml:space="preserve">nditures by Canadians travelling within their own country accounted for 72% with expenditures by US visitors at 9% and overseas visitors at 18% (CSTA, 2017). In the larger economy in the United States, tourism spending just for amateur sport was estimated </w:t>
      </w:r>
      <w:r>
        <w:rPr>
          <w:color w:val="231F20"/>
        </w:rPr>
        <w:t>at $9.45 billion (US) in 2015, an increase of 5.4% on the previous year (National Association of Sports Commissions, 2017). It is, however,</w:t>
      </w:r>
      <w:r>
        <w:rPr>
          <w:color w:val="231F20"/>
          <w:spacing w:val="-10"/>
        </w:rPr>
        <w:t xml:space="preserve"> </w:t>
      </w:r>
      <w:r>
        <w:rPr>
          <w:color w:val="231F20"/>
        </w:rPr>
        <w:t>important</w:t>
      </w:r>
      <w:r>
        <w:rPr>
          <w:color w:val="231F20"/>
          <w:spacing w:val="-10"/>
        </w:rPr>
        <w:t xml:space="preserve"> </w:t>
      </w:r>
      <w:r>
        <w:rPr>
          <w:color w:val="231F20"/>
        </w:rPr>
        <w:t>to</w:t>
      </w:r>
      <w:r>
        <w:rPr>
          <w:color w:val="231F20"/>
          <w:spacing w:val="-10"/>
        </w:rPr>
        <w:t xml:space="preserve"> </w:t>
      </w:r>
      <w:r>
        <w:rPr>
          <w:color w:val="231F20"/>
        </w:rPr>
        <w:t>recognise</w:t>
      </w:r>
      <w:r>
        <w:rPr>
          <w:color w:val="231F20"/>
          <w:spacing w:val="-10"/>
        </w:rPr>
        <w:t xml:space="preserve"> </w:t>
      </w:r>
      <w:r>
        <w:rPr>
          <w:color w:val="231F20"/>
        </w:rPr>
        <w:t>that</w:t>
      </w:r>
      <w:r>
        <w:rPr>
          <w:color w:val="231F20"/>
          <w:spacing w:val="-10"/>
        </w:rPr>
        <w:t xml:space="preserve"> </w:t>
      </w:r>
      <w:r>
        <w:rPr>
          <w:color w:val="231F20"/>
        </w:rPr>
        <w:t>while</w:t>
      </w:r>
      <w:r>
        <w:rPr>
          <w:color w:val="231F20"/>
          <w:spacing w:val="-10"/>
        </w:rPr>
        <w:t xml:space="preserve"> </w:t>
      </w:r>
      <w:r>
        <w:rPr>
          <w:color w:val="231F20"/>
        </w:rPr>
        <w:t>the</w:t>
      </w:r>
      <w:r>
        <w:rPr>
          <w:color w:val="231F20"/>
          <w:spacing w:val="-10"/>
        </w:rPr>
        <w:t xml:space="preserve"> </w:t>
      </w:r>
      <w:r>
        <w:rPr>
          <w:color w:val="231F20"/>
        </w:rPr>
        <w:t>revenues</w:t>
      </w:r>
      <w:r>
        <w:rPr>
          <w:color w:val="231F20"/>
          <w:spacing w:val="-10"/>
        </w:rPr>
        <w:t xml:space="preserve"> </w:t>
      </w:r>
      <w:r>
        <w:rPr>
          <w:color w:val="231F20"/>
        </w:rPr>
        <w:t>associated</w:t>
      </w:r>
      <w:r>
        <w:rPr>
          <w:color w:val="231F20"/>
          <w:spacing w:val="-10"/>
        </w:rPr>
        <w:t xml:space="preserve"> </w:t>
      </w:r>
      <w:r>
        <w:rPr>
          <w:color w:val="231F20"/>
        </w:rPr>
        <w:t>with sport events in particular may be impressive, the cos</w:t>
      </w:r>
      <w:r>
        <w:rPr>
          <w:color w:val="231F20"/>
        </w:rPr>
        <w:t>ts can also be high. This</w:t>
      </w:r>
      <w:r>
        <w:rPr>
          <w:color w:val="231F20"/>
          <w:spacing w:val="-9"/>
        </w:rPr>
        <w:t xml:space="preserve"> </w:t>
      </w:r>
      <w:r>
        <w:rPr>
          <w:color w:val="231F20"/>
        </w:rPr>
        <w:t>is</w:t>
      </w:r>
      <w:r>
        <w:rPr>
          <w:color w:val="231F20"/>
          <w:spacing w:val="-9"/>
        </w:rPr>
        <w:t xml:space="preserve"> </w:t>
      </w:r>
      <w:r>
        <w:rPr>
          <w:color w:val="231F20"/>
        </w:rPr>
        <w:t>especially</w:t>
      </w:r>
      <w:r>
        <w:rPr>
          <w:color w:val="231F20"/>
          <w:spacing w:val="-9"/>
        </w:rPr>
        <w:t xml:space="preserve"> </w:t>
      </w:r>
      <w:r>
        <w:rPr>
          <w:color w:val="231F20"/>
        </w:rPr>
        <w:t>true</w:t>
      </w:r>
      <w:r>
        <w:rPr>
          <w:color w:val="231F20"/>
          <w:spacing w:val="-9"/>
        </w:rPr>
        <w:t xml:space="preserve"> </w:t>
      </w:r>
      <w:r>
        <w:rPr>
          <w:color w:val="231F20"/>
        </w:rPr>
        <w:t>in</w:t>
      </w:r>
      <w:r>
        <w:rPr>
          <w:color w:val="231F20"/>
          <w:spacing w:val="-9"/>
        </w:rPr>
        <w:t xml:space="preserve"> </w:t>
      </w:r>
      <w:r>
        <w:rPr>
          <w:color w:val="231F20"/>
        </w:rPr>
        <w:t>the</w:t>
      </w:r>
      <w:r>
        <w:rPr>
          <w:color w:val="231F20"/>
          <w:spacing w:val="-9"/>
        </w:rPr>
        <w:t xml:space="preserve"> </w:t>
      </w:r>
      <w:r>
        <w:rPr>
          <w:color w:val="231F20"/>
        </w:rPr>
        <w:t>context</w:t>
      </w:r>
      <w:r>
        <w:rPr>
          <w:color w:val="231F20"/>
          <w:spacing w:val="-9"/>
        </w:rPr>
        <w:t xml:space="preserve"> </w:t>
      </w:r>
      <w:r>
        <w:rPr>
          <w:color w:val="231F20"/>
        </w:rPr>
        <w:t>of</w:t>
      </w:r>
      <w:r>
        <w:rPr>
          <w:color w:val="231F20"/>
          <w:spacing w:val="-9"/>
        </w:rPr>
        <w:t xml:space="preserve"> </w:t>
      </w:r>
      <w:r>
        <w:rPr>
          <w:color w:val="231F20"/>
        </w:rPr>
        <w:t>mega-events</w:t>
      </w:r>
      <w:r>
        <w:rPr>
          <w:color w:val="231F20"/>
          <w:spacing w:val="-9"/>
        </w:rPr>
        <w:t xml:space="preserve"> </w:t>
      </w:r>
      <w:r>
        <w:rPr>
          <w:color w:val="231F20"/>
        </w:rPr>
        <w:t>such</w:t>
      </w:r>
      <w:r>
        <w:rPr>
          <w:color w:val="231F20"/>
          <w:spacing w:val="-9"/>
        </w:rPr>
        <w:t xml:space="preserve"> </w:t>
      </w:r>
      <w:r>
        <w:rPr>
          <w:color w:val="231F20"/>
        </w:rPr>
        <w:t>as</w:t>
      </w:r>
      <w:r>
        <w:rPr>
          <w:color w:val="231F20"/>
          <w:spacing w:val="-9"/>
        </w:rPr>
        <w:t xml:space="preserve"> </w:t>
      </w:r>
      <w:r>
        <w:rPr>
          <w:color w:val="231F20"/>
        </w:rPr>
        <w:t>the</w:t>
      </w:r>
      <w:r>
        <w:rPr>
          <w:color w:val="231F20"/>
          <w:spacing w:val="-9"/>
        </w:rPr>
        <w:t xml:space="preserve"> </w:t>
      </w:r>
      <w:r>
        <w:rPr>
          <w:color w:val="231F20"/>
        </w:rPr>
        <w:t>Olympics (Zimbalist, 2016). Similarly, it has been argued that social benefits such as community pride can be consciously leveraged in a sport tourism context (Chalip, 2</w:t>
      </w:r>
      <w:r>
        <w:rPr>
          <w:color w:val="231F20"/>
        </w:rPr>
        <w:t>006). Notwithstanding such benefits, there are also potentially</w:t>
      </w:r>
      <w:r>
        <w:rPr>
          <w:color w:val="231F20"/>
          <w:spacing w:val="-9"/>
        </w:rPr>
        <w:t xml:space="preserve"> </w:t>
      </w:r>
      <w:r>
        <w:rPr>
          <w:color w:val="231F20"/>
        </w:rPr>
        <w:t>negative</w:t>
      </w:r>
      <w:r>
        <w:rPr>
          <w:color w:val="231F20"/>
          <w:spacing w:val="-9"/>
        </w:rPr>
        <w:t xml:space="preserve"> </w:t>
      </w:r>
      <w:r>
        <w:rPr>
          <w:color w:val="231F20"/>
        </w:rPr>
        <w:t>aspects</w:t>
      </w:r>
      <w:r>
        <w:rPr>
          <w:color w:val="231F20"/>
          <w:spacing w:val="-9"/>
        </w:rPr>
        <w:t xml:space="preserve"> </w:t>
      </w:r>
      <w:r>
        <w:rPr>
          <w:color w:val="231F20"/>
        </w:rPr>
        <w:t>of</w:t>
      </w:r>
      <w:r>
        <w:rPr>
          <w:color w:val="231F20"/>
          <w:spacing w:val="-9"/>
        </w:rPr>
        <w:t xml:space="preserve"> </w:t>
      </w:r>
      <w:r>
        <w:rPr>
          <w:color w:val="231F20"/>
        </w:rPr>
        <w:t>sport</w:t>
      </w:r>
      <w:r>
        <w:rPr>
          <w:color w:val="231F20"/>
          <w:spacing w:val="-9"/>
        </w:rPr>
        <w:t xml:space="preserve"> </w:t>
      </w:r>
      <w:r>
        <w:rPr>
          <w:color w:val="231F20"/>
        </w:rPr>
        <w:t>tourism</w:t>
      </w:r>
      <w:r>
        <w:rPr>
          <w:color w:val="231F20"/>
          <w:spacing w:val="-9"/>
        </w:rPr>
        <w:t xml:space="preserve"> </w:t>
      </w:r>
      <w:r>
        <w:rPr>
          <w:color w:val="231F20"/>
        </w:rPr>
        <w:t>(Weed,</w:t>
      </w:r>
      <w:r>
        <w:rPr>
          <w:color w:val="231F20"/>
          <w:spacing w:val="-9"/>
        </w:rPr>
        <w:t xml:space="preserve"> </w:t>
      </w:r>
      <w:r>
        <w:rPr>
          <w:color w:val="231F20"/>
        </w:rPr>
        <w:t>1999).</w:t>
      </w:r>
      <w:r>
        <w:rPr>
          <w:color w:val="231F20"/>
          <w:spacing w:val="-9"/>
        </w:rPr>
        <w:t xml:space="preserve"> </w:t>
      </w:r>
      <w:r>
        <w:rPr>
          <w:color w:val="231F20"/>
        </w:rPr>
        <w:t>For</w:t>
      </w:r>
      <w:r>
        <w:rPr>
          <w:color w:val="231F20"/>
          <w:spacing w:val="-9"/>
        </w:rPr>
        <w:t xml:space="preserve"> </w:t>
      </w:r>
      <w:r>
        <w:rPr>
          <w:color w:val="231F20"/>
        </w:rPr>
        <w:t xml:space="preserve">example, the introduction of ‘nuisance activities’ to the countryside, particularly </w:t>
      </w:r>
      <w:r>
        <w:rPr>
          <w:color w:val="231F20"/>
          <w:w w:val="95"/>
        </w:rPr>
        <w:t>mechanised sports such as trail biking, jet skiing and s</w:t>
      </w:r>
      <w:r>
        <w:rPr>
          <w:color w:val="231F20"/>
          <w:w w:val="95"/>
        </w:rPr>
        <w:t xml:space="preserve">nowmobiling, has the </w:t>
      </w:r>
      <w:r>
        <w:rPr>
          <w:color w:val="231F20"/>
        </w:rPr>
        <w:t>potential</w:t>
      </w:r>
      <w:r>
        <w:rPr>
          <w:color w:val="231F20"/>
          <w:spacing w:val="-6"/>
        </w:rPr>
        <w:t xml:space="preserve"> </w:t>
      </w:r>
      <w:r>
        <w:rPr>
          <w:color w:val="231F20"/>
        </w:rPr>
        <w:t>to</w:t>
      </w:r>
      <w:r>
        <w:rPr>
          <w:color w:val="231F20"/>
          <w:spacing w:val="-6"/>
        </w:rPr>
        <w:t xml:space="preserve"> </w:t>
      </w:r>
      <w:r>
        <w:rPr>
          <w:color w:val="231F20"/>
        </w:rPr>
        <w:t>cause</w:t>
      </w:r>
      <w:r>
        <w:rPr>
          <w:color w:val="231F20"/>
          <w:spacing w:val="-6"/>
        </w:rPr>
        <w:t xml:space="preserve"> </w:t>
      </w:r>
      <w:r>
        <w:rPr>
          <w:color w:val="231F20"/>
        </w:rPr>
        <w:t>significant</w:t>
      </w:r>
      <w:r>
        <w:rPr>
          <w:color w:val="231F20"/>
          <w:spacing w:val="-6"/>
        </w:rPr>
        <w:t xml:space="preserve"> </w:t>
      </w:r>
      <w:r>
        <w:rPr>
          <w:color w:val="231F20"/>
        </w:rPr>
        <w:t>negative</w:t>
      </w:r>
      <w:r>
        <w:rPr>
          <w:color w:val="231F20"/>
          <w:spacing w:val="-6"/>
        </w:rPr>
        <w:t xml:space="preserve"> </w:t>
      </w:r>
      <w:r>
        <w:rPr>
          <w:color w:val="231F20"/>
        </w:rPr>
        <w:t>social</w:t>
      </w:r>
      <w:r>
        <w:rPr>
          <w:color w:val="231F20"/>
          <w:spacing w:val="-6"/>
        </w:rPr>
        <w:t xml:space="preserve"> </w:t>
      </w:r>
      <w:r>
        <w:rPr>
          <w:color w:val="231F20"/>
        </w:rPr>
        <w:t>and</w:t>
      </w:r>
      <w:r>
        <w:rPr>
          <w:color w:val="231F20"/>
          <w:spacing w:val="-6"/>
        </w:rPr>
        <w:t xml:space="preserve"> </w:t>
      </w:r>
      <w:r>
        <w:rPr>
          <w:color w:val="231F20"/>
        </w:rPr>
        <w:t>environmental</w:t>
      </w:r>
      <w:r>
        <w:rPr>
          <w:color w:val="231F20"/>
          <w:spacing w:val="-6"/>
        </w:rPr>
        <w:t xml:space="preserve"> </w:t>
      </w:r>
      <w:r>
        <w:rPr>
          <w:color w:val="231F20"/>
        </w:rPr>
        <w:t xml:space="preserve">impacts. </w:t>
      </w:r>
      <w:r>
        <w:rPr>
          <w:color w:val="231F20"/>
          <w:w w:val="95"/>
        </w:rPr>
        <w:t xml:space="preserve">Adventure and extreme sports, such as BASE jumping, practiced in places </w:t>
      </w:r>
      <w:r>
        <w:rPr>
          <w:color w:val="231F20"/>
        </w:rPr>
        <w:t>like</w:t>
      </w:r>
      <w:r>
        <w:rPr>
          <w:color w:val="231F20"/>
          <w:spacing w:val="-4"/>
        </w:rPr>
        <w:t xml:space="preserve"> </w:t>
      </w:r>
      <w:r>
        <w:rPr>
          <w:color w:val="231F20"/>
        </w:rPr>
        <w:t>the</w:t>
      </w:r>
      <w:r>
        <w:rPr>
          <w:color w:val="231F20"/>
          <w:spacing w:val="-4"/>
        </w:rPr>
        <w:t xml:space="preserve"> </w:t>
      </w:r>
      <w:r>
        <w:rPr>
          <w:color w:val="231F20"/>
        </w:rPr>
        <w:t>Lysefjord</w:t>
      </w:r>
      <w:r>
        <w:rPr>
          <w:color w:val="231F20"/>
          <w:spacing w:val="-4"/>
        </w:rPr>
        <w:t xml:space="preserve"> </w:t>
      </w:r>
      <w:r>
        <w:rPr>
          <w:color w:val="231F20"/>
        </w:rPr>
        <w:t>and</w:t>
      </w:r>
      <w:r>
        <w:rPr>
          <w:color w:val="231F20"/>
          <w:spacing w:val="-4"/>
        </w:rPr>
        <w:t xml:space="preserve"> </w:t>
      </w:r>
      <w:r>
        <w:rPr>
          <w:color w:val="231F20"/>
        </w:rPr>
        <w:t>Trollveggen</w:t>
      </w:r>
      <w:r>
        <w:rPr>
          <w:color w:val="231F20"/>
          <w:spacing w:val="-4"/>
        </w:rPr>
        <w:t xml:space="preserve"> </w:t>
      </w:r>
      <w:r>
        <w:rPr>
          <w:color w:val="231F20"/>
        </w:rPr>
        <w:t>regions</w:t>
      </w:r>
      <w:r>
        <w:rPr>
          <w:color w:val="231F20"/>
          <w:spacing w:val="-4"/>
        </w:rPr>
        <w:t xml:space="preserve"> </w:t>
      </w:r>
      <w:r>
        <w:rPr>
          <w:color w:val="231F20"/>
        </w:rPr>
        <w:t>of</w:t>
      </w:r>
      <w:r>
        <w:rPr>
          <w:color w:val="231F20"/>
          <w:spacing w:val="-4"/>
        </w:rPr>
        <w:t xml:space="preserve"> </w:t>
      </w:r>
      <w:r>
        <w:rPr>
          <w:color w:val="231F20"/>
        </w:rPr>
        <w:t>Norway,</w:t>
      </w:r>
      <w:r>
        <w:rPr>
          <w:color w:val="231F20"/>
          <w:spacing w:val="-4"/>
        </w:rPr>
        <w:t xml:space="preserve"> </w:t>
      </w:r>
      <w:r>
        <w:rPr>
          <w:color w:val="231F20"/>
        </w:rPr>
        <w:t>may</w:t>
      </w:r>
      <w:r>
        <w:rPr>
          <w:color w:val="231F20"/>
          <w:spacing w:val="-4"/>
        </w:rPr>
        <w:t xml:space="preserve"> </w:t>
      </w:r>
      <w:r>
        <w:rPr>
          <w:color w:val="231F20"/>
        </w:rPr>
        <w:t>be</w:t>
      </w:r>
      <w:r>
        <w:rPr>
          <w:color w:val="231F20"/>
          <w:spacing w:val="-4"/>
        </w:rPr>
        <w:t xml:space="preserve"> </w:t>
      </w:r>
      <w:r>
        <w:rPr>
          <w:color w:val="231F20"/>
        </w:rPr>
        <w:t>associated with safety and liability issues (Mykletun &amp; Vedø, 2002). In such cases,</w:t>
      </w:r>
    </w:p>
    <w:p w14:paraId="3146DD6C" w14:textId="77777777" w:rsidR="00AE0598" w:rsidRDefault="00AE0598">
      <w:pPr>
        <w:spacing w:line="232" w:lineRule="auto"/>
        <w:jc w:val="both"/>
        <w:sectPr w:rsidR="00AE0598">
          <w:pgSz w:w="8850" w:h="13270"/>
          <w:pgMar w:top="720" w:right="1080" w:bottom="280" w:left="1080" w:header="720" w:footer="720" w:gutter="0"/>
          <w:cols w:space="720"/>
        </w:sectPr>
      </w:pPr>
    </w:p>
    <w:p w14:paraId="06A950E1" w14:textId="77777777" w:rsidR="00AE0598" w:rsidRDefault="0069255A">
      <w:pPr>
        <w:spacing w:before="87"/>
        <w:ind w:left="108"/>
        <w:rPr>
          <w:rFonts w:ascii="Trebuchet MS"/>
          <w:sz w:val="14"/>
        </w:rPr>
      </w:pPr>
      <w:r>
        <w:rPr>
          <w:rFonts w:ascii="Trebuchet MS"/>
          <w:color w:val="231F20"/>
          <w:w w:val="105"/>
          <w:sz w:val="14"/>
        </w:rPr>
        <w:lastRenderedPageBreak/>
        <w:t>28</w:t>
      </w:r>
      <w:r>
        <w:rPr>
          <w:rFonts w:ascii="Trebuchet MS"/>
          <w:color w:val="231F20"/>
          <w:spacing w:val="64"/>
          <w:w w:val="150"/>
          <w:sz w:val="14"/>
        </w:rPr>
        <w:t xml:space="preserve"> </w:t>
      </w:r>
      <w:r>
        <w:rPr>
          <w:rFonts w:ascii="Trebuchet MS"/>
          <w:color w:val="231F20"/>
          <w:w w:val="105"/>
          <w:sz w:val="14"/>
        </w:rPr>
        <w:t>Part</w:t>
      </w:r>
      <w:r>
        <w:rPr>
          <w:rFonts w:ascii="Trebuchet MS"/>
          <w:color w:val="231F20"/>
          <w:spacing w:val="-9"/>
          <w:w w:val="105"/>
          <w:sz w:val="14"/>
        </w:rPr>
        <w:t xml:space="preserve"> </w:t>
      </w:r>
      <w:r>
        <w:rPr>
          <w:rFonts w:ascii="Trebuchet MS"/>
          <w:color w:val="231F20"/>
          <w:w w:val="105"/>
          <w:sz w:val="14"/>
        </w:rPr>
        <w:t>2:</w:t>
      </w:r>
      <w:r>
        <w:rPr>
          <w:rFonts w:ascii="Trebuchet MS"/>
          <w:color w:val="231F20"/>
          <w:spacing w:val="-9"/>
          <w:w w:val="105"/>
          <w:sz w:val="14"/>
        </w:rPr>
        <w:t xml:space="preserve"> </w:t>
      </w:r>
      <w:r>
        <w:rPr>
          <w:rFonts w:ascii="Trebuchet MS"/>
          <w:color w:val="231F20"/>
          <w:w w:val="105"/>
          <w:sz w:val="14"/>
        </w:rPr>
        <w:t>Foundations</w:t>
      </w:r>
      <w:r>
        <w:rPr>
          <w:rFonts w:ascii="Trebuchet MS"/>
          <w:color w:val="231F20"/>
          <w:spacing w:val="-9"/>
          <w:w w:val="105"/>
          <w:sz w:val="14"/>
        </w:rPr>
        <w:t xml:space="preserve"> </w:t>
      </w:r>
      <w:r>
        <w:rPr>
          <w:rFonts w:ascii="Trebuchet MS"/>
          <w:color w:val="231F20"/>
          <w:w w:val="105"/>
          <w:sz w:val="14"/>
        </w:rPr>
        <w:t>of</w:t>
      </w:r>
      <w:r>
        <w:rPr>
          <w:rFonts w:ascii="Trebuchet MS"/>
          <w:color w:val="231F20"/>
          <w:spacing w:val="-9"/>
          <w:w w:val="105"/>
          <w:sz w:val="14"/>
        </w:rPr>
        <w:t xml:space="preserve"> </w:t>
      </w:r>
      <w:r>
        <w:rPr>
          <w:rFonts w:ascii="Trebuchet MS"/>
          <w:color w:val="231F20"/>
          <w:w w:val="105"/>
          <w:sz w:val="14"/>
        </w:rPr>
        <w:t>Sport</w:t>
      </w:r>
      <w:r>
        <w:rPr>
          <w:rFonts w:ascii="Trebuchet MS"/>
          <w:color w:val="231F20"/>
          <w:spacing w:val="-9"/>
          <w:w w:val="105"/>
          <w:sz w:val="14"/>
        </w:rPr>
        <w:t xml:space="preserve"> </w:t>
      </w:r>
      <w:r>
        <w:rPr>
          <w:rFonts w:ascii="Trebuchet MS"/>
          <w:color w:val="231F20"/>
          <w:w w:val="105"/>
          <w:sz w:val="14"/>
        </w:rPr>
        <w:t>Tourism</w:t>
      </w:r>
      <w:r>
        <w:rPr>
          <w:rFonts w:ascii="Trebuchet MS"/>
          <w:color w:val="231F20"/>
          <w:spacing w:val="-9"/>
          <w:w w:val="105"/>
          <w:sz w:val="14"/>
        </w:rPr>
        <w:t xml:space="preserve"> </w:t>
      </w:r>
      <w:r>
        <w:rPr>
          <w:rFonts w:ascii="Trebuchet MS"/>
          <w:color w:val="231F20"/>
          <w:spacing w:val="-2"/>
          <w:w w:val="105"/>
          <w:sz w:val="14"/>
        </w:rPr>
        <w:t>Development</w:t>
      </w:r>
    </w:p>
    <w:p w14:paraId="289076A5" w14:textId="77777777" w:rsidR="00AE0598" w:rsidRDefault="00AE0598">
      <w:pPr>
        <w:pStyle w:val="Corpodetexto"/>
        <w:rPr>
          <w:rFonts w:ascii="Trebuchet MS"/>
          <w:sz w:val="16"/>
        </w:rPr>
      </w:pPr>
    </w:p>
    <w:p w14:paraId="4924668A" w14:textId="77777777" w:rsidR="00AE0598" w:rsidRDefault="0069255A">
      <w:pPr>
        <w:pStyle w:val="Corpodetexto"/>
        <w:spacing w:before="118" w:line="232" w:lineRule="auto"/>
        <w:ind w:left="110" w:right="107"/>
        <w:jc w:val="both"/>
      </w:pPr>
      <w:r>
        <w:rPr>
          <w:color w:val="231F20"/>
        </w:rPr>
        <w:t>the advantages of developing a better understanding of the dynamics of sport tourism are that these impacts can be recognised, understood and managed in the development process.</w:t>
      </w:r>
    </w:p>
    <w:p w14:paraId="147EAABB" w14:textId="77777777" w:rsidR="00AE0598" w:rsidRDefault="00AE0598">
      <w:pPr>
        <w:pStyle w:val="Corpodetexto"/>
        <w:spacing w:before="3"/>
      </w:pPr>
    </w:p>
    <w:p w14:paraId="5A687F4E" w14:textId="77777777" w:rsidR="00AE0598" w:rsidRDefault="0069255A">
      <w:pPr>
        <w:ind w:left="110"/>
        <w:jc w:val="both"/>
        <w:rPr>
          <w:rFonts w:ascii="Trebuchet MS"/>
          <w:sz w:val="20"/>
        </w:rPr>
      </w:pPr>
      <w:r>
        <w:rPr>
          <w:rFonts w:ascii="Trebuchet MS"/>
          <w:color w:val="231F20"/>
          <w:sz w:val="20"/>
        </w:rPr>
        <w:t>Scholarly</w:t>
      </w:r>
      <w:r>
        <w:rPr>
          <w:rFonts w:ascii="Trebuchet MS"/>
          <w:color w:val="231F20"/>
          <w:spacing w:val="12"/>
          <w:sz w:val="20"/>
        </w:rPr>
        <w:t xml:space="preserve"> </w:t>
      </w:r>
      <w:r>
        <w:rPr>
          <w:rFonts w:ascii="Trebuchet MS"/>
          <w:color w:val="231F20"/>
          <w:spacing w:val="-2"/>
          <w:sz w:val="20"/>
        </w:rPr>
        <w:t>relevance</w:t>
      </w:r>
    </w:p>
    <w:p w14:paraId="75E8B617" w14:textId="77777777" w:rsidR="00AE0598" w:rsidRDefault="0069255A">
      <w:pPr>
        <w:pStyle w:val="Corpodetexto"/>
        <w:spacing w:before="122" w:line="232" w:lineRule="auto"/>
        <w:ind w:left="110" w:right="107" w:firstLine="320"/>
        <w:jc w:val="both"/>
      </w:pPr>
      <w:r>
        <w:rPr>
          <w:color w:val="231F20"/>
        </w:rPr>
        <w:t>The study of tourism and the study of sport are both characterised by numerous hyphenated subfields. In an age of competitive funding in academic institutions, the danger of splintering existing fields of study</w:t>
      </w:r>
      <w:r>
        <w:rPr>
          <w:color w:val="231F20"/>
          <w:spacing w:val="80"/>
        </w:rPr>
        <w:t xml:space="preserve"> </w:t>
      </w:r>
      <w:r>
        <w:rPr>
          <w:color w:val="231F20"/>
        </w:rPr>
        <w:t>is</w:t>
      </w:r>
      <w:r>
        <w:rPr>
          <w:color w:val="231F20"/>
          <w:spacing w:val="-1"/>
        </w:rPr>
        <w:t xml:space="preserve"> </w:t>
      </w:r>
      <w:r>
        <w:rPr>
          <w:color w:val="231F20"/>
        </w:rPr>
        <w:t>a</w:t>
      </w:r>
      <w:r>
        <w:rPr>
          <w:color w:val="231F20"/>
          <w:spacing w:val="-1"/>
        </w:rPr>
        <w:t xml:space="preserve"> </w:t>
      </w:r>
      <w:r>
        <w:rPr>
          <w:color w:val="231F20"/>
        </w:rPr>
        <w:t>real</w:t>
      </w:r>
      <w:r>
        <w:rPr>
          <w:color w:val="231F20"/>
          <w:spacing w:val="-1"/>
        </w:rPr>
        <w:t xml:space="preserve"> </w:t>
      </w:r>
      <w:r>
        <w:rPr>
          <w:color w:val="231F20"/>
        </w:rPr>
        <w:t>as</w:t>
      </w:r>
      <w:r>
        <w:rPr>
          <w:color w:val="231F20"/>
          <w:spacing w:val="-1"/>
        </w:rPr>
        <w:t xml:space="preserve"> </w:t>
      </w:r>
      <w:r>
        <w:rPr>
          <w:color w:val="231F20"/>
        </w:rPr>
        <w:t>well</w:t>
      </w:r>
      <w:r>
        <w:rPr>
          <w:color w:val="231F20"/>
          <w:spacing w:val="-1"/>
        </w:rPr>
        <w:t xml:space="preserve"> </w:t>
      </w:r>
      <w:r>
        <w:rPr>
          <w:color w:val="231F20"/>
        </w:rPr>
        <w:t>as</w:t>
      </w:r>
      <w:r>
        <w:rPr>
          <w:color w:val="231F20"/>
          <w:spacing w:val="-1"/>
        </w:rPr>
        <w:t xml:space="preserve"> </w:t>
      </w:r>
      <w:r>
        <w:rPr>
          <w:color w:val="231F20"/>
        </w:rPr>
        <w:t>a</w:t>
      </w:r>
      <w:r>
        <w:rPr>
          <w:color w:val="231F20"/>
          <w:spacing w:val="-1"/>
        </w:rPr>
        <w:t xml:space="preserve"> </w:t>
      </w:r>
      <w:r>
        <w:rPr>
          <w:color w:val="231F20"/>
        </w:rPr>
        <w:t>perceived</w:t>
      </w:r>
      <w:r>
        <w:rPr>
          <w:color w:val="231F20"/>
          <w:spacing w:val="-1"/>
        </w:rPr>
        <w:t xml:space="preserve"> </w:t>
      </w:r>
      <w:r>
        <w:rPr>
          <w:color w:val="231F20"/>
        </w:rPr>
        <w:t>threat.</w:t>
      </w:r>
      <w:r>
        <w:rPr>
          <w:color w:val="231F20"/>
          <w:spacing w:val="-1"/>
        </w:rPr>
        <w:t xml:space="preserve"> </w:t>
      </w:r>
      <w:r>
        <w:rPr>
          <w:color w:val="231F20"/>
        </w:rPr>
        <w:t>Crit</w:t>
      </w:r>
      <w:r>
        <w:rPr>
          <w:color w:val="231F20"/>
        </w:rPr>
        <w:t>ics</w:t>
      </w:r>
      <w:r>
        <w:rPr>
          <w:color w:val="231F20"/>
          <w:spacing w:val="-1"/>
        </w:rPr>
        <w:t xml:space="preserve"> </w:t>
      </w:r>
      <w:r>
        <w:rPr>
          <w:color w:val="231F20"/>
        </w:rPr>
        <w:t>have</w:t>
      </w:r>
      <w:r>
        <w:rPr>
          <w:color w:val="231F20"/>
          <w:spacing w:val="-1"/>
        </w:rPr>
        <w:t xml:space="preserve"> </w:t>
      </w:r>
      <w:r>
        <w:rPr>
          <w:color w:val="231F20"/>
        </w:rPr>
        <w:t>therefore</w:t>
      </w:r>
      <w:r>
        <w:rPr>
          <w:color w:val="231F20"/>
          <w:spacing w:val="-1"/>
        </w:rPr>
        <w:t xml:space="preserve"> </w:t>
      </w:r>
      <w:r>
        <w:rPr>
          <w:color w:val="231F20"/>
        </w:rPr>
        <w:t xml:space="preserve">discouraged </w:t>
      </w:r>
      <w:r>
        <w:rPr>
          <w:color w:val="231F20"/>
          <w:w w:val="95"/>
        </w:rPr>
        <w:t xml:space="preserve">new subfields. However, the accompanying assumption that insight about </w:t>
      </w:r>
      <w:r>
        <w:rPr>
          <w:color w:val="231F20"/>
        </w:rPr>
        <w:t>the</w:t>
      </w:r>
      <w:r>
        <w:rPr>
          <w:color w:val="231F20"/>
          <w:spacing w:val="-2"/>
        </w:rPr>
        <w:t xml:space="preserve"> </w:t>
      </w:r>
      <w:r>
        <w:rPr>
          <w:color w:val="231F20"/>
        </w:rPr>
        <w:t>confluence</w:t>
      </w:r>
      <w:r>
        <w:rPr>
          <w:color w:val="231F20"/>
          <w:spacing w:val="-2"/>
        </w:rPr>
        <w:t xml:space="preserve"> </w:t>
      </w:r>
      <w:r>
        <w:rPr>
          <w:color w:val="231F20"/>
        </w:rPr>
        <w:t>of</w:t>
      </w:r>
      <w:r>
        <w:rPr>
          <w:color w:val="231F20"/>
          <w:spacing w:val="-2"/>
        </w:rPr>
        <w:t xml:space="preserve"> </w:t>
      </w:r>
      <w:r>
        <w:rPr>
          <w:color w:val="231F20"/>
        </w:rPr>
        <w:t>sport</w:t>
      </w:r>
      <w:r>
        <w:rPr>
          <w:color w:val="231F20"/>
          <w:spacing w:val="-2"/>
        </w:rPr>
        <w:t xml:space="preserve"> </w:t>
      </w:r>
      <w:r>
        <w:rPr>
          <w:color w:val="231F20"/>
        </w:rPr>
        <w:t>and</w:t>
      </w:r>
      <w:r>
        <w:rPr>
          <w:color w:val="231F20"/>
          <w:spacing w:val="-2"/>
        </w:rPr>
        <w:t xml:space="preserve"> </w:t>
      </w:r>
      <w:r>
        <w:rPr>
          <w:color w:val="231F20"/>
        </w:rPr>
        <w:t>tourism</w:t>
      </w:r>
      <w:r>
        <w:rPr>
          <w:color w:val="231F20"/>
          <w:spacing w:val="-2"/>
        </w:rPr>
        <w:t xml:space="preserve"> </w:t>
      </w:r>
      <w:r>
        <w:rPr>
          <w:color w:val="231F20"/>
        </w:rPr>
        <w:t>will</w:t>
      </w:r>
      <w:r>
        <w:rPr>
          <w:color w:val="231F20"/>
          <w:spacing w:val="-2"/>
        </w:rPr>
        <w:t xml:space="preserve"> </w:t>
      </w:r>
      <w:r>
        <w:rPr>
          <w:color w:val="231F20"/>
        </w:rPr>
        <w:t>emerge</w:t>
      </w:r>
      <w:r>
        <w:rPr>
          <w:color w:val="231F20"/>
          <w:spacing w:val="-2"/>
        </w:rPr>
        <w:t xml:space="preserve"> </w:t>
      </w:r>
      <w:r>
        <w:rPr>
          <w:color w:val="231F20"/>
        </w:rPr>
        <w:t>organically</w:t>
      </w:r>
      <w:r>
        <w:rPr>
          <w:color w:val="231F20"/>
          <w:spacing w:val="-2"/>
        </w:rPr>
        <w:t xml:space="preserve"> </w:t>
      </w:r>
      <w:r>
        <w:rPr>
          <w:color w:val="231F20"/>
        </w:rPr>
        <w:t>from</w:t>
      </w:r>
      <w:r>
        <w:rPr>
          <w:color w:val="231F20"/>
          <w:spacing w:val="-2"/>
        </w:rPr>
        <w:t xml:space="preserve"> </w:t>
      </w:r>
      <w:r>
        <w:rPr>
          <w:color w:val="231F20"/>
        </w:rPr>
        <w:t xml:space="preserve">within </w:t>
      </w:r>
      <w:r>
        <w:rPr>
          <w:color w:val="231F20"/>
          <w:w w:val="95"/>
        </w:rPr>
        <w:t xml:space="preserve">the respective realms of tourism studies and sport studies is problematic. </w:t>
      </w:r>
      <w:r>
        <w:rPr>
          <w:color w:val="231F20"/>
        </w:rPr>
        <w:t>While</w:t>
      </w:r>
      <w:r>
        <w:rPr>
          <w:color w:val="231F20"/>
          <w:spacing w:val="28"/>
        </w:rPr>
        <w:t xml:space="preserve"> </w:t>
      </w:r>
      <w:r>
        <w:rPr>
          <w:color w:val="231F20"/>
        </w:rPr>
        <w:t>i</w:t>
      </w:r>
      <w:r>
        <w:rPr>
          <w:color w:val="231F20"/>
        </w:rPr>
        <w:t>nsights</w:t>
      </w:r>
      <w:r>
        <w:rPr>
          <w:color w:val="231F20"/>
          <w:spacing w:val="28"/>
        </w:rPr>
        <w:t xml:space="preserve"> </w:t>
      </w:r>
      <w:r>
        <w:rPr>
          <w:color w:val="231F20"/>
        </w:rPr>
        <w:t>have</w:t>
      </w:r>
      <w:r>
        <w:rPr>
          <w:color w:val="231F20"/>
          <w:spacing w:val="28"/>
        </w:rPr>
        <w:t xml:space="preserve"> </w:t>
      </w:r>
      <w:r>
        <w:rPr>
          <w:color w:val="231F20"/>
        </w:rPr>
        <w:t>and</w:t>
      </w:r>
      <w:r>
        <w:rPr>
          <w:color w:val="231F20"/>
          <w:spacing w:val="28"/>
        </w:rPr>
        <w:t xml:space="preserve"> </w:t>
      </w:r>
      <w:r>
        <w:rPr>
          <w:color w:val="231F20"/>
        </w:rPr>
        <w:t>will</w:t>
      </w:r>
      <w:r>
        <w:rPr>
          <w:color w:val="231F20"/>
          <w:spacing w:val="28"/>
        </w:rPr>
        <w:t xml:space="preserve"> </w:t>
      </w:r>
      <w:r>
        <w:rPr>
          <w:color w:val="231F20"/>
        </w:rPr>
        <w:t>continue</w:t>
      </w:r>
      <w:r>
        <w:rPr>
          <w:color w:val="231F20"/>
          <w:spacing w:val="28"/>
        </w:rPr>
        <w:t xml:space="preserve"> </w:t>
      </w:r>
      <w:r>
        <w:rPr>
          <w:color w:val="231F20"/>
        </w:rPr>
        <w:t>to</w:t>
      </w:r>
      <w:r>
        <w:rPr>
          <w:color w:val="231F20"/>
          <w:spacing w:val="28"/>
        </w:rPr>
        <w:t xml:space="preserve"> </w:t>
      </w:r>
      <w:r>
        <w:rPr>
          <w:color w:val="231F20"/>
        </w:rPr>
        <w:t>occur</w:t>
      </w:r>
      <w:r>
        <w:rPr>
          <w:color w:val="231F20"/>
          <w:spacing w:val="28"/>
        </w:rPr>
        <w:t xml:space="preserve"> </w:t>
      </w:r>
      <w:r>
        <w:rPr>
          <w:color w:val="231F20"/>
        </w:rPr>
        <w:t>independently</w:t>
      </w:r>
      <w:r>
        <w:rPr>
          <w:color w:val="231F20"/>
          <w:spacing w:val="28"/>
        </w:rPr>
        <w:t xml:space="preserve"> </w:t>
      </w:r>
      <w:r>
        <w:rPr>
          <w:color w:val="231F20"/>
        </w:rPr>
        <w:t>in</w:t>
      </w:r>
      <w:r>
        <w:rPr>
          <w:color w:val="231F20"/>
          <w:spacing w:val="28"/>
        </w:rPr>
        <w:t xml:space="preserve"> </w:t>
      </w:r>
      <w:r>
        <w:rPr>
          <w:color w:val="231F20"/>
        </w:rPr>
        <w:t xml:space="preserve">each of the respective fields of study, a conscious focus on the intersection is </w:t>
      </w:r>
      <w:r>
        <w:rPr>
          <w:color w:val="231F20"/>
          <w:w w:val="95"/>
        </w:rPr>
        <w:t xml:space="preserve">important. It is naïve to assume that interdisciplinary and multidisciplinary approaches will be adopted on anything but an </w:t>
      </w:r>
      <w:r>
        <w:rPr>
          <w:i/>
          <w:color w:val="231F20"/>
          <w:w w:val="95"/>
        </w:rPr>
        <w:t xml:space="preserve">ad hoc </w:t>
      </w:r>
      <w:r>
        <w:rPr>
          <w:color w:val="231F20"/>
          <w:w w:val="95"/>
        </w:rPr>
        <w:t>basis. This situation parallels</w:t>
      </w:r>
      <w:r>
        <w:rPr>
          <w:color w:val="231F20"/>
          <w:spacing w:val="-1"/>
          <w:w w:val="95"/>
        </w:rPr>
        <w:t xml:space="preserve"> </w:t>
      </w:r>
      <w:r>
        <w:rPr>
          <w:color w:val="231F20"/>
          <w:w w:val="95"/>
        </w:rPr>
        <w:t>similar</w:t>
      </w:r>
      <w:r>
        <w:rPr>
          <w:color w:val="231F20"/>
          <w:spacing w:val="-1"/>
          <w:w w:val="95"/>
        </w:rPr>
        <w:t xml:space="preserve"> </w:t>
      </w:r>
      <w:r>
        <w:rPr>
          <w:color w:val="231F20"/>
          <w:w w:val="95"/>
        </w:rPr>
        <w:t>barriers</w:t>
      </w:r>
      <w:r>
        <w:rPr>
          <w:color w:val="231F20"/>
          <w:spacing w:val="-1"/>
          <w:w w:val="95"/>
        </w:rPr>
        <w:t xml:space="preserve"> </w:t>
      </w:r>
      <w:r>
        <w:rPr>
          <w:color w:val="231F20"/>
          <w:w w:val="95"/>
        </w:rPr>
        <w:t>in</w:t>
      </w:r>
      <w:r>
        <w:rPr>
          <w:color w:val="231F20"/>
          <w:spacing w:val="-1"/>
          <w:w w:val="95"/>
        </w:rPr>
        <w:t xml:space="preserve"> </w:t>
      </w:r>
      <w:r>
        <w:rPr>
          <w:color w:val="231F20"/>
          <w:w w:val="95"/>
        </w:rPr>
        <w:t>practice</w:t>
      </w:r>
      <w:r>
        <w:rPr>
          <w:color w:val="231F20"/>
          <w:spacing w:val="-1"/>
          <w:w w:val="95"/>
        </w:rPr>
        <w:t xml:space="preserve"> </w:t>
      </w:r>
      <w:r>
        <w:rPr>
          <w:color w:val="231F20"/>
          <w:w w:val="95"/>
        </w:rPr>
        <w:t>where</w:t>
      </w:r>
      <w:r>
        <w:rPr>
          <w:color w:val="231F20"/>
          <w:spacing w:val="-1"/>
          <w:w w:val="95"/>
        </w:rPr>
        <w:t xml:space="preserve"> </w:t>
      </w:r>
      <w:r>
        <w:rPr>
          <w:color w:val="231F20"/>
          <w:w w:val="95"/>
        </w:rPr>
        <w:t>tourism</w:t>
      </w:r>
      <w:r>
        <w:rPr>
          <w:color w:val="231F20"/>
          <w:spacing w:val="-1"/>
          <w:w w:val="95"/>
        </w:rPr>
        <w:t xml:space="preserve"> </w:t>
      </w:r>
      <w:r>
        <w:rPr>
          <w:color w:val="231F20"/>
          <w:w w:val="95"/>
        </w:rPr>
        <w:t>and</w:t>
      </w:r>
      <w:r>
        <w:rPr>
          <w:color w:val="231F20"/>
          <w:spacing w:val="-1"/>
          <w:w w:val="95"/>
        </w:rPr>
        <w:t xml:space="preserve"> </w:t>
      </w:r>
      <w:r>
        <w:rPr>
          <w:color w:val="231F20"/>
          <w:w w:val="95"/>
        </w:rPr>
        <w:t>sport</w:t>
      </w:r>
      <w:r>
        <w:rPr>
          <w:color w:val="231F20"/>
          <w:spacing w:val="-1"/>
          <w:w w:val="95"/>
        </w:rPr>
        <w:t xml:space="preserve"> </w:t>
      </w:r>
      <w:r>
        <w:rPr>
          <w:color w:val="231F20"/>
          <w:w w:val="95"/>
        </w:rPr>
        <w:t>agencies</w:t>
      </w:r>
      <w:r>
        <w:rPr>
          <w:color w:val="231F20"/>
          <w:spacing w:val="-1"/>
          <w:w w:val="95"/>
        </w:rPr>
        <w:t xml:space="preserve"> </w:t>
      </w:r>
      <w:r>
        <w:rPr>
          <w:color w:val="231F20"/>
          <w:w w:val="95"/>
        </w:rPr>
        <w:t xml:space="preserve">have </w:t>
      </w:r>
      <w:r>
        <w:rPr>
          <w:color w:val="231F20"/>
        </w:rPr>
        <w:t xml:space="preserve">often failed to work well </w:t>
      </w:r>
      <w:r>
        <w:rPr>
          <w:color w:val="231F20"/>
        </w:rPr>
        <w:t xml:space="preserve">together (Weed, 2003). The success of a more focused approach is illustrated by the insights generated by specialised journals such as the </w:t>
      </w:r>
      <w:r>
        <w:rPr>
          <w:i/>
          <w:color w:val="231F20"/>
        </w:rPr>
        <w:t xml:space="preserve">Journal of Sport </w:t>
      </w:r>
      <w:r>
        <w:rPr>
          <w:i/>
          <w:color w:val="231F20"/>
          <w:w w:val="110"/>
        </w:rPr>
        <w:t>&amp;</w:t>
      </w:r>
      <w:r>
        <w:rPr>
          <w:i/>
          <w:color w:val="231F20"/>
          <w:spacing w:val="-2"/>
          <w:w w:val="110"/>
        </w:rPr>
        <w:t xml:space="preserve"> </w:t>
      </w:r>
      <w:r>
        <w:rPr>
          <w:i/>
          <w:color w:val="231F20"/>
        </w:rPr>
        <w:t xml:space="preserve">Tourism </w:t>
      </w:r>
      <w:r>
        <w:rPr>
          <w:color w:val="231F20"/>
        </w:rPr>
        <w:t xml:space="preserve">(Focus Point 2.1). As the theoretical foundations for the study of sport tourism progress </w:t>
      </w:r>
      <w:r>
        <w:rPr>
          <w:color w:val="231F20"/>
        </w:rPr>
        <w:t>(Gibson, 2006),</w:t>
      </w:r>
      <w:r>
        <w:rPr>
          <w:color w:val="231F20"/>
          <w:spacing w:val="-4"/>
        </w:rPr>
        <w:t xml:space="preserve"> </w:t>
      </w:r>
      <w:r>
        <w:rPr>
          <w:color w:val="231F20"/>
        </w:rPr>
        <w:t>the</w:t>
      </w:r>
      <w:r>
        <w:rPr>
          <w:color w:val="231F20"/>
          <w:spacing w:val="-4"/>
        </w:rPr>
        <w:t xml:space="preserve"> </w:t>
      </w:r>
      <w:r>
        <w:rPr>
          <w:color w:val="231F20"/>
        </w:rPr>
        <w:t>argument</w:t>
      </w:r>
      <w:r>
        <w:rPr>
          <w:color w:val="231F20"/>
          <w:spacing w:val="-4"/>
        </w:rPr>
        <w:t xml:space="preserve"> </w:t>
      </w:r>
      <w:r>
        <w:rPr>
          <w:color w:val="231F20"/>
        </w:rPr>
        <w:t>against</w:t>
      </w:r>
      <w:r>
        <w:rPr>
          <w:color w:val="231F20"/>
          <w:spacing w:val="-4"/>
        </w:rPr>
        <w:t xml:space="preserve"> </w:t>
      </w:r>
      <w:r>
        <w:rPr>
          <w:color w:val="231F20"/>
        </w:rPr>
        <w:t>a</w:t>
      </w:r>
      <w:r>
        <w:rPr>
          <w:color w:val="231F20"/>
          <w:spacing w:val="-4"/>
        </w:rPr>
        <w:t xml:space="preserve"> </w:t>
      </w:r>
      <w:r>
        <w:rPr>
          <w:color w:val="231F20"/>
        </w:rPr>
        <w:t>specialised</w:t>
      </w:r>
      <w:r>
        <w:rPr>
          <w:color w:val="231F20"/>
          <w:spacing w:val="-4"/>
        </w:rPr>
        <w:t xml:space="preserve"> </w:t>
      </w:r>
      <w:r>
        <w:rPr>
          <w:color w:val="231F20"/>
        </w:rPr>
        <w:t>field</w:t>
      </w:r>
      <w:r>
        <w:rPr>
          <w:color w:val="231F20"/>
          <w:spacing w:val="-4"/>
        </w:rPr>
        <w:t xml:space="preserve"> </w:t>
      </w:r>
      <w:r>
        <w:rPr>
          <w:color w:val="231F20"/>
        </w:rPr>
        <w:t>is</w:t>
      </w:r>
      <w:r>
        <w:rPr>
          <w:color w:val="231F20"/>
          <w:spacing w:val="-4"/>
        </w:rPr>
        <w:t xml:space="preserve"> </w:t>
      </w:r>
      <w:r>
        <w:rPr>
          <w:color w:val="231F20"/>
        </w:rPr>
        <w:t>losing</w:t>
      </w:r>
      <w:r>
        <w:rPr>
          <w:color w:val="231F20"/>
          <w:spacing w:val="-4"/>
        </w:rPr>
        <w:t xml:space="preserve"> </w:t>
      </w:r>
      <w:r>
        <w:rPr>
          <w:color w:val="231F20"/>
        </w:rPr>
        <w:t>its</w:t>
      </w:r>
      <w:r>
        <w:rPr>
          <w:color w:val="231F20"/>
          <w:spacing w:val="-4"/>
        </w:rPr>
        <w:t xml:space="preserve"> </w:t>
      </w:r>
      <w:r>
        <w:rPr>
          <w:color w:val="231F20"/>
        </w:rPr>
        <w:t>potency.</w:t>
      </w:r>
    </w:p>
    <w:p w14:paraId="7B9E79A0" w14:textId="58BBFF38" w:rsidR="00AE0598" w:rsidRDefault="0069255A">
      <w:pPr>
        <w:pStyle w:val="Corpodetexto"/>
        <w:spacing w:before="5"/>
        <w:rPr>
          <w:sz w:val="22"/>
        </w:rPr>
      </w:pPr>
      <w:r>
        <w:rPr>
          <w:noProof/>
        </w:rPr>
        <mc:AlternateContent>
          <mc:Choice Requires="wps">
            <w:drawing>
              <wp:anchor distT="0" distB="0" distL="0" distR="0" simplePos="0" relativeHeight="487600128" behindDoc="1" locked="0" layoutInCell="1" allowOverlap="1" wp14:anchorId="04D0D995" wp14:editId="4F49AE99">
                <wp:simplePos x="0" y="0"/>
                <wp:positionH relativeFrom="page">
                  <wp:posOffset>755650</wp:posOffset>
                </wp:positionH>
                <wp:positionV relativeFrom="paragraph">
                  <wp:posOffset>182245</wp:posOffset>
                </wp:positionV>
                <wp:extent cx="4104005" cy="3073400"/>
                <wp:effectExtent l="0" t="0" r="0" b="0"/>
                <wp:wrapTopAndBottom/>
                <wp:docPr id="324" name="docshape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04005" cy="3073400"/>
                        </a:xfrm>
                        <a:prstGeom prst="rect">
                          <a:avLst/>
                        </a:prstGeom>
                        <a:solidFill>
                          <a:srgbClr val="DCDDD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8A80C59" w14:textId="77777777" w:rsidR="00AE0598" w:rsidRDefault="0069255A">
                            <w:pPr>
                              <w:spacing w:before="75"/>
                              <w:ind w:left="113"/>
                              <w:jc w:val="both"/>
                              <w:rPr>
                                <w:rFonts w:ascii="Trebuchet MS"/>
                                <w:i/>
                                <w:color w:val="000000"/>
                                <w:sz w:val="20"/>
                              </w:rPr>
                            </w:pPr>
                            <w:r>
                              <w:rPr>
                                <w:rFonts w:ascii="Trebuchet MS"/>
                                <w:color w:val="231F20"/>
                                <w:sz w:val="20"/>
                              </w:rPr>
                              <w:t>Focus</w:t>
                            </w:r>
                            <w:r>
                              <w:rPr>
                                <w:rFonts w:ascii="Trebuchet MS"/>
                                <w:color w:val="231F20"/>
                                <w:spacing w:val="-1"/>
                                <w:sz w:val="20"/>
                              </w:rPr>
                              <w:t xml:space="preserve"> </w:t>
                            </w:r>
                            <w:r>
                              <w:rPr>
                                <w:rFonts w:ascii="Trebuchet MS"/>
                                <w:color w:val="231F20"/>
                                <w:sz w:val="20"/>
                              </w:rPr>
                              <w:t>Point 2.1:</w:t>
                            </w:r>
                            <w:r>
                              <w:rPr>
                                <w:rFonts w:ascii="Trebuchet MS"/>
                                <w:color w:val="231F20"/>
                                <w:spacing w:val="-2"/>
                                <w:sz w:val="20"/>
                              </w:rPr>
                              <w:t xml:space="preserve"> </w:t>
                            </w:r>
                            <w:r>
                              <w:rPr>
                                <w:rFonts w:ascii="Trebuchet MS"/>
                                <w:i/>
                                <w:color w:val="231F20"/>
                                <w:sz w:val="20"/>
                              </w:rPr>
                              <w:t>The</w:t>
                            </w:r>
                            <w:r>
                              <w:rPr>
                                <w:rFonts w:ascii="Trebuchet MS"/>
                                <w:i/>
                                <w:color w:val="231F20"/>
                                <w:spacing w:val="-1"/>
                                <w:sz w:val="20"/>
                              </w:rPr>
                              <w:t xml:space="preserve"> </w:t>
                            </w:r>
                            <w:r>
                              <w:rPr>
                                <w:rFonts w:ascii="Trebuchet MS"/>
                                <w:i/>
                                <w:color w:val="231F20"/>
                                <w:sz w:val="20"/>
                              </w:rPr>
                              <w:t>Journal of Sport</w:t>
                            </w:r>
                            <w:r>
                              <w:rPr>
                                <w:rFonts w:ascii="Trebuchet MS"/>
                                <w:i/>
                                <w:color w:val="231F20"/>
                                <w:spacing w:val="-1"/>
                                <w:sz w:val="20"/>
                              </w:rPr>
                              <w:t xml:space="preserve"> </w:t>
                            </w:r>
                            <w:r>
                              <w:rPr>
                                <w:rFonts w:ascii="Trebuchet MS"/>
                                <w:i/>
                                <w:color w:val="231F20"/>
                                <w:sz w:val="20"/>
                              </w:rPr>
                              <w:t xml:space="preserve">&amp; </w:t>
                            </w:r>
                            <w:r>
                              <w:rPr>
                                <w:rFonts w:ascii="Trebuchet MS"/>
                                <w:i/>
                                <w:color w:val="231F20"/>
                                <w:spacing w:val="-2"/>
                                <w:sz w:val="20"/>
                              </w:rPr>
                              <w:t>Tourism</w:t>
                            </w:r>
                          </w:p>
                          <w:p w14:paraId="31EE73BF" w14:textId="77777777" w:rsidR="00AE0598" w:rsidRDefault="0069255A">
                            <w:pPr>
                              <w:pStyle w:val="Corpodetexto"/>
                              <w:spacing w:before="122" w:line="232" w:lineRule="auto"/>
                              <w:ind w:left="113" w:right="109"/>
                              <w:jc w:val="both"/>
                              <w:rPr>
                                <w:color w:val="000000"/>
                              </w:rPr>
                            </w:pPr>
                            <w:r>
                              <w:rPr>
                                <w:color w:val="231F20"/>
                              </w:rPr>
                              <w:t xml:space="preserve">It is just over 12 years since the reincarnation of the </w:t>
                            </w:r>
                            <w:r>
                              <w:rPr>
                                <w:i/>
                                <w:color w:val="231F20"/>
                              </w:rPr>
                              <w:t xml:space="preserve">Journal of Sport </w:t>
                            </w:r>
                            <w:r>
                              <w:rPr>
                                <w:i/>
                                <w:color w:val="231F20"/>
                                <w:w w:val="95"/>
                              </w:rPr>
                              <w:t>Tourism</w:t>
                            </w:r>
                            <w:r>
                              <w:rPr>
                                <w:color w:val="231F20"/>
                                <w:w w:val="95"/>
                              </w:rPr>
                              <w:t xml:space="preserve">, an applied/professional journal that was established in 1993, </w:t>
                            </w:r>
                            <w:r>
                              <w:rPr>
                                <w:color w:val="231F20"/>
                              </w:rPr>
                              <w:t xml:space="preserve">and the emergence of the scholarly </w:t>
                            </w:r>
                            <w:r>
                              <w:rPr>
                                <w:i/>
                                <w:color w:val="231F20"/>
                              </w:rPr>
                              <w:t xml:space="preserve">Journal of Sport </w:t>
                            </w:r>
                            <w:r>
                              <w:rPr>
                                <w:i/>
                                <w:color w:val="231F20"/>
                                <w:w w:val="115"/>
                              </w:rPr>
                              <w:t>&amp;</w:t>
                            </w:r>
                            <w:r>
                              <w:rPr>
                                <w:i/>
                                <w:color w:val="231F20"/>
                                <w:spacing w:val="-4"/>
                                <w:w w:val="115"/>
                              </w:rPr>
                              <w:t xml:space="preserve"> </w:t>
                            </w:r>
                            <w:r>
                              <w:rPr>
                                <w:i/>
                                <w:color w:val="231F20"/>
                              </w:rPr>
                              <w:t xml:space="preserve">Tourism </w:t>
                            </w:r>
                            <w:r>
                              <w:rPr>
                                <w:color w:val="231F20"/>
                              </w:rPr>
                              <w:t>(</w:t>
                            </w:r>
                            <w:r>
                              <w:rPr>
                                <w:i/>
                                <w:color w:val="231F20"/>
                              </w:rPr>
                              <w:t>JS&amp;T</w:t>
                            </w:r>
                            <w:r>
                              <w:rPr>
                                <w:color w:val="231F20"/>
                              </w:rPr>
                              <w:t xml:space="preserve">) in its place. This change occurred in 2006 and over the course of the last 12 years, the </w:t>
                            </w:r>
                            <w:r>
                              <w:rPr>
                                <w:i/>
                                <w:color w:val="231F20"/>
                              </w:rPr>
                              <w:t xml:space="preserve">Journal of Sport </w:t>
                            </w:r>
                            <w:r>
                              <w:rPr>
                                <w:i/>
                                <w:color w:val="231F20"/>
                                <w:w w:val="115"/>
                              </w:rPr>
                              <w:t xml:space="preserve">&amp; </w:t>
                            </w:r>
                            <w:r>
                              <w:rPr>
                                <w:i/>
                                <w:color w:val="231F20"/>
                              </w:rPr>
                              <w:t xml:space="preserve">Tourism </w:t>
                            </w:r>
                            <w:r>
                              <w:rPr>
                                <w:color w:val="231F20"/>
                              </w:rPr>
                              <w:t>has ser</w:t>
                            </w:r>
                            <w:r>
                              <w:rPr>
                                <w:color w:val="231F20"/>
                              </w:rPr>
                              <w:t xml:space="preserve">ved as the only </w:t>
                            </w:r>
                            <w:r>
                              <w:rPr>
                                <w:color w:val="231F20"/>
                                <w:w w:val="95"/>
                              </w:rPr>
                              <w:t xml:space="preserve">peer-reviewed academic journal with a specific focus on the intersection </w:t>
                            </w:r>
                            <w:r>
                              <w:rPr>
                                <w:color w:val="231F20"/>
                              </w:rPr>
                              <w:t xml:space="preserve">of sport and tourism. In this capacity the journal has provided ‘…not only an important outlet or “cadre” of researchers working in sport </w:t>
                            </w:r>
                            <w:r>
                              <w:rPr>
                                <w:color w:val="231F20"/>
                                <w:w w:val="95"/>
                              </w:rPr>
                              <w:t>and tourism to debate key iss</w:t>
                            </w:r>
                            <w:r>
                              <w:rPr>
                                <w:color w:val="231F20"/>
                                <w:w w:val="95"/>
                              </w:rPr>
                              <w:t>ues but also an opportunity for authors in related fields to contribute to discussions about sport and tourism, and</w:t>
                            </w:r>
                            <w:r>
                              <w:rPr>
                                <w:color w:val="231F20"/>
                                <w:spacing w:val="80"/>
                                <w:w w:val="150"/>
                              </w:rPr>
                              <w:t xml:space="preserve"> </w:t>
                            </w:r>
                            <w:r>
                              <w:rPr>
                                <w:color w:val="231F20"/>
                                <w:w w:val="95"/>
                              </w:rPr>
                              <w:t>it helps demonstrate how research in sport and tourism can contribute</w:t>
                            </w:r>
                            <w:r>
                              <w:rPr>
                                <w:color w:val="231F20"/>
                                <w:spacing w:val="40"/>
                              </w:rPr>
                              <w:t xml:space="preserve"> </w:t>
                            </w:r>
                            <w:r>
                              <w:rPr>
                                <w:color w:val="231F20"/>
                              </w:rPr>
                              <w:t>to wider debates, such as those on climate change and international te</w:t>
                            </w:r>
                            <w:r>
                              <w:rPr>
                                <w:color w:val="231F20"/>
                              </w:rPr>
                              <w:t>rrorism’</w:t>
                            </w:r>
                            <w:r>
                              <w:rPr>
                                <w:color w:val="231F20"/>
                                <w:spacing w:val="-12"/>
                              </w:rPr>
                              <w:t xml:space="preserve"> </w:t>
                            </w:r>
                            <w:r>
                              <w:rPr>
                                <w:color w:val="231F20"/>
                              </w:rPr>
                              <w:t>(Weed,</w:t>
                            </w:r>
                            <w:r>
                              <w:rPr>
                                <w:color w:val="231F20"/>
                                <w:spacing w:val="-11"/>
                              </w:rPr>
                              <w:t xml:space="preserve"> </w:t>
                            </w:r>
                            <w:r>
                              <w:rPr>
                                <w:color w:val="231F20"/>
                              </w:rPr>
                              <w:t>2011:</w:t>
                            </w:r>
                            <w:r>
                              <w:rPr>
                                <w:color w:val="231F20"/>
                                <w:spacing w:val="-10"/>
                              </w:rPr>
                              <w:t xml:space="preserve"> </w:t>
                            </w:r>
                            <w:r>
                              <w:rPr>
                                <w:color w:val="231F20"/>
                              </w:rPr>
                              <w:t>28).</w:t>
                            </w:r>
                            <w:r>
                              <w:rPr>
                                <w:color w:val="231F20"/>
                                <w:spacing w:val="-11"/>
                              </w:rPr>
                              <w:t xml:space="preserve"> </w:t>
                            </w:r>
                            <w:r>
                              <w:rPr>
                                <w:color w:val="231F20"/>
                              </w:rPr>
                              <w:t>The</w:t>
                            </w:r>
                            <w:r>
                              <w:rPr>
                                <w:color w:val="231F20"/>
                                <w:spacing w:val="-11"/>
                              </w:rPr>
                              <w:t xml:space="preserve"> </w:t>
                            </w:r>
                            <w:r>
                              <w:rPr>
                                <w:i/>
                                <w:color w:val="231F20"/>
                                <w:w w:val="110"/>
                              </w:rPr>
                              <w:t>JS&amp;T</w:t>
                            </w:r>
                            <w:r>
                              <w:rPr>
                                <w:i/>
                                <w:color w:val="231F20"/>
                                <w:spacing w:val="-13"/>
                                <w:w w:val="110"/>
                              </w:rPr>
                              <w:t xml:space="preserve"> </w:t>
                            </w:r>
                            <w:r>
                              <w:rPr>
                                <w:color w:val="231F20"/>
                              </w:rPr>
                              <w:t>has</w:t>
                            </w:r>
                            <w:r>
                              <w:rPr>
                                <w:color w:val="231F20"/>
                                <w:spacing w:val="-10"/>
                              </w:rPr>
                              <w:t xml:space="preserve"> </w:t>
                            </w:r>
                            <w:r>
                              <w:rPr>
                                <w:color w:val="231F20"/>
                              </w:rPr>
                              <w:t>become</w:t>
                            </w:r>
                            <w:r>
                              <w:rPr>
                                <w:color w:val="231F20"/>
                                <w:spacing w:val="-11"/>
                              </w:rPr>
                              <w:t xml:space="preserve"> </w:t>
                            </w:r>
                            <w:r>
                              <w:rPr>
                                <w:color w:val="231F20"/>
                              </w:rPr>
                              <w:t>the</w:t>
                            </w:r>
                            <w:r>
                              <w:rPr>
                                <w:color w:val="231F20"/>
                                <w:spacing w:val="-11"/>
                              </w:rPr>
                              <w:t xml:space="preserve"> </w:t>
                            </w:r>
                            <w:r>
                              <w:rPr>
                                <w:color w:val="231F20"/>
                              </w:rPr>
                              <w:t>leading</w:t>
                            </w:r>
                            <w:r>
                              <w:rPr>
                                <w:color w:val="231F20"/>
                                <w:spacing w:val="-11"/>
                              </w:rPr>
                              <w:t xml:space="preserve"> </w:t>
                            </w:r>
                            <w:r>
                              <w:rPr>
                                <w:color w:val="231F20"/>
                              </w:rPr>
                              <w:t>journal for</w:t>
                            </w:r>
                            <w:r>
                              <w:rPr>
                                <w:color w:val="231F20"/>
                                <w:spacing w:val="-11"/>
                              </w:rPr>
                              <w:t xml:space="preserve"> </w:t>
                            </w:r>
                            <w:r>
                              <w:rPr>
                                <w:color w:val="231F20"/>
                              </w:rPr>
                              <w:t>scholars</w:t>
                            </w:r>
                            <w:r>
                              <w:rPr>
                                <w:color w:val="231F20"/>
                                <w:spacing w:val="-11"/>
                              </w:rPr>
                              <w:t xml:space="preserve"> </w:t>
                            </w:r>
                            <w:r>
                              <w:rPr>
                                <w:color w:val="231F20"/>
                              </w:rPr>
                              <w:t>working</w:t>
                            </w:r>
                            <w:r>
                              <w:rPr>
                                <w:color w:val="231F20"/>
                                <w:spacing w:val="-11"/>
                              </w:rPr>
                              <w:t xml:space="preserve"> </w:t>
                            </w:r>
                            <w:r>
                              <w:rPr>
                                <w:color w:val="231F20"/>
                              </w:rPr>
                              <w:t>in</w:t>
                            </w:r>
                            <w:r>
                              <w:rPr>
                                <w:color w:val="231F20"/>
                                <w:spacing w:val="-11"/>
                              </w:rPr>
                              <w:t xml:space="preserve"> </w:t>
                            </w:r>
                            <w:r>
                              <w:rPr>
                                <w:color w:val="231F20"/>
                              </w:rPr>
                              <w:t>this</w:t>
                            </w:r>
                            <w:r>
                              <w:rPr>
                                <w:color w:val="231F20"/>
                                <w:spacing w:val="-11"/>
                              </w:rPr>
                              <w:t xml:space="preserve"> </w:t>
                            </w:r>
                            <w:r>
                              <w:rPr>
                                <w:color w:val="231F20"/>
                              </w:rPr>
                              <w:t>field.</w:t>
                            </w:r>
                            <w:r>
                              <w:rPr>
                                <w:color w:val="231F20"/>
                                <w:spacing w:val="-11"/>
                              </w:rPr>
                              <w:t xml:space="preserve"> </w:t>
                            </w:r>
                            <w:r>
                              <w:rPr>
                                <w:color w:val="231F20"/>
                              </w:rPr>
                              <w:t>It</w:t>
                            </w:r>
                            <w:r>
                              <w:rPr>
                                <w:color w:val="231F20"/>
                                <w:spacing w:val="-11"/>
                              </w:rPr>
                              <w:t xml:space="preserve"> </w:t>
                            </w:r>
                            <w:r>
                              <w:rPr>
                                <w:color w:val="231F20"/>
                              </w:rPr>
                              <w:t>has</w:t>
                            </w:r>
                            <w:r>
                              <w:rPr>
                                <w:color w:val="231F20"/>
                                <w:spacing w:val="-11"/>
                              </w:rPr>
                              <w:t xml:space="preserve"> </w:t>
                            </w:r>
                            <w:r>
                              <w:rPr>
                                <w:color w:val="231F20"/>
                              </w:rPr>
                              <w:t>generated</w:t>
                            </w:r>
                            <w:r>
                              <w:rPr>
                                <w:color w:val="231F20"/>
                                <w:spacing w:val="-11"/>
                              </w:rPr>
                              <w:t xml:space="preserve"> </w:t>
                            </w:r>
                            <w:r>
                              <w:rPr>
                                <w:color w:val="231F20"/>
                              </w:rPr>
                              <w:t>a</w:t>
                            </w:r>
                            <w:r>
                              <w:rPr>
                                <w:color w:val="231F20"/>
                                <w:spacing w:val="-11"/>
                              </w:rPr>
                              <w:t xml:space="preserve"> </w:t>
                            </w:r>
                            <w:r>
                              <w:rPr>
                                <w:color w:val="231F20"/>
                              </w:rPr>
                              <w:t>body</w:t>
                            </w:r>
                            <w:r>
                              <w:rPr>
                                <w:color w:val="231F20"/>
                                <w:spacing w:val="-11"/>
                              </w:rPr>
                              <w:t xml:space="preserve"> </w:t>
                            </w:r>
                            <w:r>
                              <w:rPr>
                                <w:color w:val="231F20"/>
                              </w:rPr>
                              <w:t>of</w:t>
                            </w:r>
                            <w:r>
                              <w:rPr>
                                <w:color w:val="231F20"/>
                                <w:spacing w:val="-11"/>
                              </w:rPr>
                              <w:t xml:space="preserve"> </w:t>
                            </w:r>
                            <w:r>
                              <w:rPr>
                                <w:color w:val="231F20"/>
                              </w:rPr>
                              <w:t>knowledge that</w:t>
                            </w:r>
                            <w:r>
                              <w:rPr>
                                <w:color w:val="231F20"/>
                                <w:spacing w:val="-5"/>
                              </w:rPr>
                              <w:t xml:space="preserve"> </w:t>
                            </w:r>
                            <w:r>
                              <w:rPr>
                                <w:color w:val="231F20"/>
                              </w:rPr>
                              <w:t>forms</w:t>
                            </w:r>
                            <w:r>
                              <w:rPr>
                                <w:color w:val="231F20"/>
                                <w:spacing w:val="-5"/>
                              </w:rPr>
                              <w:t xml:space="preserve"> </w:t>
                            </w:r>
                            <w:r>
                              <w:rPr>
                                <w:color w:val="231F20"/>
                              </w:rPr>
                              <w:t>a</w:t>
                            </w:r>
                            <w:r>
                              <w:rPr>
                                <w:color w:val="231F20"/>
                                <w:spacing w:val="-5"/>
                              </w:rPr>
                              <w:t xml:space="preserve"> </w:t>
                            </w:r>
                            <w:r>
                              <w:rPr>
                                <w:color w:val="231F20"/>
                              </w:rPr>
                              <w:t>foundation</w:t>
                            </w:r>
                            <w:r>
                              <w:rPr>
                                <w:color w:val="231F20"/>
                                <w:spacing w:val="-5"/>
                              </w:rPr>
                              <w:t xml:space="preserve"> </w:t>
                            </w:r>
                            <w:r>
                              <w:rPr>
                                <w:color w:val="231F20"/>
                              </w:rPr>
                              <w:t>that</w:t>
                            </w:r>
                            <w:r>
                              <w:rPr>
                                <w:color w:val="231F20"/>
                                <w:spacing w:val="-5"/>
                              </w:rPr>
                              <w:t xml:space="preserve"> </w:t>
                            </w:r>
                            <w:r>
                              <w:rPr>
                                <w:color w:val="231F20"/>
                              </w:rPr>
                              <w:t>helps</w:t>
                            </w:r>
                            <w:r>
                              <w:rPr>
                                <w:color w:val="231F20"/>
                                <w:spacing w:val="-5"/>
                              </w:rPr>
                              <w:t xml:space="preserve"> </w:t>
                            </w:r>
                            <w:r>
                              <w:rPr>
                                <w:color w:val="231F20"/>
                              </w:rPr>
                              <w:t>scholars</w:t>
                            </w:r>
                            <w:r>
                              <w:rPr>
                                <w:color w:val="231F20"/>
                                <w:spacing w:val="-5"/>
                              </w:rPr>
                              <w:t xml:space="preserve"> </w:t>
                            </w:r>
                            <w:r>
                              <w:rPr>
                                <w:color w:val="231F20"/>
                              </w:rPr>
                              <w:t>to</w:t>
                            </w:r>
                            <w:r>
                              <w:rPr>
                                <w:color w:val="231F20"/>
                                <w:spacing w:val="-5"/>
                              </w:rPr>
                              <w:t xml:space="preserve"> </w:t>
                            </w:r>
                            <w:r>
                              <w:rPr>
                                <w:color w:val="231F20"/>
                              </w:rPr>
                              <w:t>advance</w:t>
                            </w:r>
                            <w:r>
                              <w:rPr>
                                <w:color w:val="231F20"/>
                                <w:spacing w:val="-5"/>
                              </w:rPr>
                              <w:t xml:space="preserve"> </w:t>
                            </w:r>
                            <w:r>
                              <w:rPr>
                                <w:color w:val="231F20"/>
                              </w:rPr>
                              <w:t>the</w:t>
                            </w:r>
                            <w:r>
                              <w:rPr>
                                <w:color w:val="231F20"/>
                                <w:spacing w:val="-5"/>
                              </w:rPr>
                              <w:t xml:space="preserve"> </w:t>
                            </w:r>
                            <w:r>
                              <w:rPr>
                                <w:color w:val="231F20"/>
                              </w:rPr>
                              <w:t>field</w:t>
                            </w:r>
                            <w:r>
                              <w:rPr>
                                <w:color w:val="231F20"/>
                                <w:spacing w:val="-5"/>
                              </w:rPr>
                              <w:t xml:space="preserve"> </w:t>
                            </w:r>
                            <w:r>
                              <w:rPr>
                                <w:color w:val="231F20"/>
                              </w:rPr>
                              <w:t xml:space="preserve">rather </w:t>
                            </w:r>
                            <w:r>
                              <w:rPr>
                                <w:color w:val="231F20"/>
                                <w:w w:val="95"/>
                              </w:rPr>
                              <w:t>than produce isolated studies that while interesting, fail to advance the field in terms of theory and methodology. Subscription rates doubled in the</w:t>
                            </w:r>
                            <w:r>
                              <w:rPr>
                                <w:color w:val="231F20"/>
                                <w:spacing w:val="11"/>
                              </w:rPr>
                              <w:t xml:space="preserve"> </w:t>
                            </w:r>
                            <w:r>
                              <w:rPr>
                                <w:color w:val="231F20"/>
                                <w:w w:val="95"/>
                              </w:rPr>
                              <w:t>five</w:t>
                            </w:r>
                            <w:r>
                              <w:rPr>
                                <w:color w:val="231F20"/>
                                <w:spacing w:val="11"/>
                              </w:rPr>
                              <w:t xml:space="preserve"> </w:t>
                            </w:r>
                            <w:r>
                              <w:rPr>
                                <w:color w:val="231F20"/>
                                <w:w w:val="95"/>
                              </w:rPr>
                              <w:t>years</w:t>
                            </w:r>
                            <w:r>
                              <w:rPr>
                                <w:color w:val="231F20"/>
                                <w:spacing w:val="12"/>
                              </w:rPr>
                              <w:t xml:space="preserve"> </w:t>
                            </w:r>
                            <w:r>
                              <w:rPr>
                                <w:color w:val="231F20"/>
                                <w:w w:val="95"/>
                              </w:rPr>
                              <w:t>after</w:t>
                            </w:r>
                            <w:r>
                              <w:rPr>
                                <w:color w:val="231F20"/>
                                <w:spacing w:val="11"/>
                              </w:rPr>
                              <w:t xml:space="preserve"> </w:t>
                            </w:r>
                            <w:r>
                              <w:rPr>
                                <w:color w:val="231F20"/>
                                <w:w w:val="95"/>
                              </w:rPr>
                              <w:t>its</w:t>
                            </w:r>
                            <w:r>
                              <w:rPr>
                                <w:color w:val="231F20"/>
                                <w:spacing w:val="11"/>
                              </w:rPr>
                              <w:t xml:space="preserve"> </w:t>
                            </w:r>
                            <w:r>
                              <w:rPr>
                                <w:color w:val="231F20"/>
                                <w:w w:val="95"/>
                              </w:rPr>
                              <w:t>repositioning</w:t>
                            </w:r>
                            <w:r>
                              <w:rPr>
                                <w:color w:val="231F20"/>
                                <w:spacing w:val="12"/>
                              </w:rPr>
                              <w:t xml:space="preserve"> </w:t>
                            </w:r>
                            <w:r>
                              <w:rPr>
                                <w:color w:val="231F20"/>
                                <w:w w:val="95"/>
                              </w:rPr>
                              <w:t>as</w:t>
                            </w:r>
                            <w:r>
                              <w:rPr>
                                <w:color w:val="231F20"/>
                                <w:spacing w:val="11"/>
                              </w:rPr>
                              <w:t xml:space="preserve"> </w:t>
                            </w:r>
                            <w:r>
                              <w:rPr>
                                <w:color w:val="231F20"/>
                                <w:w w:val="95"/>
                              </w:rPr>
                              <w:t>a</w:t>
                            </w:r>
                            <w:r>
                              <w:rPr>
                                <w:color w:val="231F20"/>
                                <w:spacing w:val="11"/>
                              </w:rPr>
                              <w:t xml:space="preserve"> </w:t>
                            </w:r>
                            <w:r>
                              <w:rPr>
                                <w:color w:val="231F20"/>
                                <w:w w:val="95"/>
                              </w:rPr>
                              <w:t>scholarly</w:t>
                            </w:r>
                            <w:r>
                              <w:rPr>
                                <w:color w:val="231F20"/>
                                <w:spacing w:val="12"/>
                              </w:rPr>
                              <w:t xml:space="preserve"> </w:t>
                            </w:r>
                            <w:r>
                              <w:rPr>
                                <w:color w:val="231F20"/>
                                <w:w w:val="95"/>
                              </w:rPr>
                              <w:t>journal</w:t>
                            </w:r>
                            <w:r>
                              <w:rPr>
                                <w:color w:val="231F20"/>
                                <w:spacing w:val="11"/>
                              </w:rPr>
                              <w:t xml:space="preserve"> </w:t>
                            </w:r>
                            <w:r>
                              <w:rPr>
                                <w:color w:val="231F20"/>
                                <w:w w:val="95"/>
                              </w:rPr>
                              <w:t>which</w:t>
                            </w:r>
                            <w:r>
                              <w:rPr>
                                <w:color w:val="231F20"/>
                                <w:spacing w:val="12"/>
                              </w:rPr>
                              <w:t xml:space="preserve"> </w:t>
                            </w:r>
                            <w:r>
                              <w:rPr>
                                <w:color w:val="231F20"/>
                                <w:w w:val="95"/>
                              </w:rPr>
                              <w:t>is</w:t>
                            </w:r>
                            <w:r>
                              <w:rPr>
                                <w:color w:val="231F20"/>
                                <w:spacing w:val="11"/>
                              </w:rPr>
                              <w:t xml:space="preserve"> </w:t>
                            </w:r>
                            <w:r>
                              <w:rPr>
                                <w:color w:val="231F20"/>
                                <w:spacing w:val="-4"/>
                                <w:w w:val="95"/>
                              </w:rPr>
                              <w:t>also</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D0D995" id="docshape50" o:spid="_x0000_s1059" type="#_x0000_t202" style="position:absolute;margin-left:59.5pt;margin-top:14.35pt;width:323.15pt;height:242pt;z-index:-157163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" fillcolor="#dcddde" stroked="f">
                <v:textbox inset="0,0,0,0">
                  <w:txbxContent>
                    <w:p w14:paraId="08A80C59" w14:textId="77777777" w:rsidR="00AE0598" w:rsidRDefault="0069255A">
                      <w:pPr>
                        <w:spacing w:before="75"/>
                        <w:ind w:left="113"/>
                        <w:jc w:val="both"/>
                        <w:rPr>
                          <w:rFonts w:ascii="Trebuchet MS"/>
                          <w:i/>
                          <w:color w:val="000000"/>
                          <w:sz w:val="20"/>
                        </w:rPr>
                      </w:pPr>
                      <w:r>
                        <w:rPr>
                          <w:rFonts w:ascii="Trebuchet MS"/>
                          <w:color w:val="231F20"/>
                          <w:sz w:val="20"/>
                        </w:rPr>
                        <w:t>Focus</w:t>
                      </w:r>
                      <w:r>
                        <w:rPr>
                          <w:rFonts w:ascii="Trebuchet MS"/>
                          <w:color w:val="231F20"/>
                          <w:spacing w:val="-1"/>
                          <w:sz w:val="20"/>
                        </w:rPr>
                        <w:t xml:space="preserve"> </w:t>
                      </w:r>
                      <w:r>
                        <w:rPr>
                          <w:rFonts w:ascii="Trebuchet MS"/>
                          <w:color w:val="231F20"/>
                          <w:sz w:val="20"/>
                        </w:rPr>
                        <w:t>Point 2.1:</w:t>
                      </w:r>
                      <w:r>
                        <w:rPr>
                          <w:rFonts w:ascii="Trebuchet MS"/>
                          <w:color w:val="231F20"/>
                          <w:spacing w:val="-2"/>
                          <w:sz w:val="20"/>
                        </w:rPr>
                        <w:t xml:space="preserve"> </w:t>
                      </w:r>
                      <w:r>
                        <w:rPr>
                          <w:rFonts w:ascii="Trebuchet MS"/>
                          <w:i/>
                          <w:color w:val="231F20"/>
                          <w:sz w:val="20"/>
                        </w:rPr>
                        <w:t>The</w:t>
                      </w:r>
                      <w:r>
                        <w:rPr>
                          <w:rFonts w:ascii="Trebuchet MS"/>
                          <w:i/>
                          <w:color w:val="231F20"/>
                          <w:spacing w:val="-1"/>
                          <w:sz w:val="20"/>
                        </w:rPr>
                        <w:t xml:space="preserve"> </w:t>
                      </w:r>
                      <w:r>
                        <w:rPr>
                          <w:rFonts w:ascii="Trebuchet MS"/>
                          <w:i/>
                          <w:color w:val="231F20"/>
                          <w:sz w:val="20"/>
                        </w:rPr>
                        <w:t>Journal of Sport</w:t>
                      </w:r>
                      <w:r>
                        <w:rPr>
                          <w:rFonts w:ascii="Trebuchet MS"/>
                          <w:i/>
                          <w:color w:val="231F20"/>
                          <w:spacing w:val="-1"/>
                          <w:sz w:val="20"/>
                        </w:rPr>
                        <w:t xml:space="preserve"> </w:t>
                      </w:r>
                      <w:r>
                        <w:rPr>
                          <w:rFonts w:ascii="Trebuchet MS"/>
                          <w:i/>
                          <w:color w:val="231F20"/>
                          <w:sz w:val="20"/>
                        </w:rPr>
                        <w:t xml:space="preserve">&amp; </w:t>
                      </w:r>
                      <w:r>
                        <w:rPr>
                          <w:rFonts w:ascii="Trebuchet MS"/>
                          <w:i/>
                          <w:color w:val="231F20"/>
                          <w:spacing w:val="-2"/>
                          <w:sz w:val="20"/>
                        </w:rPr>
                        <w:t>Tourism</w:t>
                      </w:r>
                    </w:p>
                    <w:p w14:paraId="31EE73BF" w14:textId="77777777" w:rsidR="00AE0598" w:rsidRDefault="0069255A">
                      <w:pPr>
                        <w:pStyle w:val="Corpodetexto"/>
                        <w:spacing w:before="122" w:line="232" w:lineRule="auto"/>
                        <w:ind w:left="113" w:right="109"/>
                        <w:jc w:val="both"/>
                        <w:rPr>
                          <w:color w:val="000000"/>
                        </w:rPr>
                      </w:pPr>
                      <w:r>
                        <w:rPr>
                          <w:color w:val="231F20"/>
                        </w:rPr>
                        <w:t xml:space="preserve">It is just over 12 years since the reincarnation of the </w:t>
                      </w:r>
                      <w:r>
                        <w:rPr>
                          <w:i/>
                          <w:color w:val="231F20"/>
                        </w:rPr>
                        <w:t xml:space="preserve">Journal of Sport </w:t>
                      </w:r>
                      <w:r>
                        <w:rPr>
                          <w:i/>
                          <w:color w:val="231F20"/>
                          <w:w w:val="95"/>
                        </w:rPr>
                        <w:t>Tourism</w:t>
                      </w:r>
                      <w:r>
                        <w:rPr>
                          <w:color w:val="231F20"/>
                          <w:w w:val="95"/>
                        </w:rPr>
                        <w:t xml:space="preserve">, an applied/professional journal that was established in 1993, </w:t>
                      </w:r>
                      <w:r>
                        <w:rPr>
                          <w:color w:val="231F20"/>
                        </w:rPr>
                        <w:t xml:space="preserve">and the emergence of the scholarly </w:t>
                      </w:r>
                      <w:r>
                        <w:rPr>
                          <w:i/>
                          <w:color w:val="231F20"/>
                        </w:rPr>
                        <w:t xml:space="preserve">Journal of Sport </w:t>
                      </w:r>
                      <w:r>
                        <w:rPr>
                          <w:i/>
                          <w:color w:val="231F20"/>
                          <w:w w:val="115"/>
                        </w:rPr>
                        <w:t>&amp;</w:t>
                      </w:r>
                      <w:r>
                        <w:rPr>
                          <w:i/>
                          <w:color w:val="231F20"/>
                          <w:spacing w:val="-4"/>
                          <w:w w:val="115"/>
                        </w:rPr>
                        <w:t xml:space="preserve"> </w:t>
                      </w:r>
                      <w:r>
                        <w:rPr>
                          <w:i/>
                          <w:color w:val="231F20"/>
                        </w:rPr>
                        <w:t xml:space="preserve">Tourism </w:t>
                      </w:r>
                      <w:r>
                        <w:rPr>
                          <w:color w:val="231F20"/>
                        </w:rPr>
                        <w:t>(</w:t>
                      </w:r>
                      <w:r>
                        <w:rPr>
                          <w:i/>
                          <w:color w:val="231F20"/>
                        </w:rPr>
                        <w:t>JS&amp;T</w:t>
                      </w:r>
                      <w:r>
                        <w:rPr>
                          <w:color w:val="231F20"/>
                        </w:rPr>
                        <w:t xml:space="preserve">) in its place. This change occurred in 2006 and over the course of the last 12 years, the </w:t>
                      </w:r>
                      <w:r>
                        <w:rPr>
                          <w:i/>
                          <w:color w:val="231F20"/>
                        </w:rPr>
                        <w:t xml:space="preserve">Journal of Sport </w:t>
                      </w:r>
                      <w:r>
                        <w:rPr>
                          <w:i/>
                          <w:color w:val="231F20"/>
                          <w:w w:val="115"/>
                        </w:rPr>
                        <w:t xml:space="preserve">&amp; </w:t>
                      </w:r>
                      <w:r>
                        <w:rPr>
                          <w:i/>
                          <w:color w:val="231F20"/>
                        </w:rPr>
                        <w:t xml:space="preserve">Tourism </w:t>
                      </w:r>
                      <w:r>
                        <w:rPr>
                          <w:color w:val="231F20"/>
                        </w:rPr>
                        <w:t>has ser</w:t>
                      </w:r>
                      <w:r>
                        <w:rPr>
                          <w:color w:val="231F20"/>
                        </w:rPr>
                        <w:t xml:space="preserve">ved as the only </w:t>
                      </w:r>
                      <w:r>
                        <w:rPr>
                          <w:color w:val="231F20"/>
                          <w:w w:val="95"/>
                        </w:rPr>
                        <w:t xml:space="preserve">peer-reviewed academic journal with a specific focus on the intersection </w:t>
                      </w:r>
                      <w:r>
                        <w:rPr>
                          <w:color w:val="231F20"/>
                        </w:rPr>
                        <w:t xml:space="preserve">of sport and tourism. In this capacity the journal has provided ‘…not only an important outlet or “cadre” of researchers working in sport </w:t>
                      </w:r>
                      <w:r>
                        <w:rPr>
                          <w:color w:val="231F20"/>
                          <w:w w:val="95"/>
                        </w:rPr>
                        <w:t>and tourism to debate key iss</w:t>
                      </w:r>
                      <w:r>
                        <w:rPr>
                          <w:color w:val="231F20"/>
                          <w:w w:val="95"/>
                        </w:rPr>
                        <w:t>ues but also an opportunity for authors in related fields to contribute to discussions about sport and tourism, and</w:t>
                      </w:r>
                      <w:r>
                        <w:rPr>
                          <w:color w:val="231F20"/>
                          <w:spacing w:val="80"/>
                          <w:w w:val="150"/>
                        </w:rPr>
                        <w:t xml:space="preserve"> </w:t>
                      </w:r>
                      <w:r>
                        <w:rPr>
                          <w:color w:val="231F20"/>
                          <w:w w:val="95"/>
                        </w:rPr>
                        <w:t>it helps demonstrate how research in sport and tourism can contribute</w:t>
                      </w:r>
                      <w:r>
                        <w:rPr>
                          <w:color w:val="231F20"/>
                          <w:spacing w:val="40"/>
                        </w:rPr>
                        <w:t xml:space="preserve"> </w:t>
                      </w:r>
                      <w:r>
                        <w:rPr>
                          <w:color w:val="231F20"/>
                        </w:rPr>
                        <w:t>to wider debates, such as those on climate change and international te</w:t>
                      </w:r>
                      <w:r>
                        <w:rPr>
                          <w:color w:val="231F20"/>
                        </w:rPr>
                        <w:t>rrorism’</w:t>
                      </w:r>
                      <w:r>
                        <w:rPr>
                          <w:color w:val="231F20"/>
                          <w:spacing w:val="-12"/>
                        </w:rPr>
                        <w:t xml:space="preserve"> </w:t>
                      </w:r>
                      <w:r>
                        <w:rPr>
                          <w:color w:val="231F20"/>
                        </w:rPr>
                        <w:t>(Weed,</w:t>
                      </w:r>
                      <w:r>
                        <w:rPr>
                          <w:color w:val="231F20"/>
                          <w:spacing w:val="-11"/>
                        </w:rPr>
                        <w:t xml:space="preserve"> </w:t>
                      </w:r>
                      <w:r>
                        <w:rPr>
                          <w:color w:val="231F20"/>
                        </w:rPr>
                        <w:t>2011:</w:t>
                      </w:r>
                      <w:r>
                        <w:rPr>
                          <w:color w:val="231F20"/>
                          <w:spacing w:val="-10"/>
                        </w:rPr>
                        <w:t xml:space="preserve"> </w:t>
                      </w:r>
                      <w:r>
                        <w:rPr>
                          <w:color w:val="231F20"/>
                        </w:rPr>
                        <w:t>28).</w:t>
                      </w:r>
                      <w:r>
                        <w:rPr>
                          <w:color w:val="231F20"/>
                          <w:spacing w:val="-11"/>
                        </w:rPr>
                        <w:t xml:space="preserve"> </w:t>
                      </w:r>
                      <w:r>
                        <w:rPr>
                          <w:color w:val="231F20"/>
                        </w:rPr>
                        <w:t>The</w:t>
                      </w:r>
                      <w:r>
                        <w:rPr>
                          <w:color w:val="231F20"/>
                          <w:spacing w:val="-11"/>
                        </w:rPr>
                        <w:t xml:space="preserve"> </w:t>
                      </w:r>
                      <w:r>
                        <w:rPr>
                          <w:i/>
                          <w:color w:val="231F20"/>
                          <w:w w:val="110"/>
                        </w:rPr>
                        <w:t>JS&amp;T</w:t>
                      </w:r>
                      <w:r>
                        <w:rPr>
                          <w:i/>
                          <w:color w:val="231F20"/>
                          <w:spacing w:val="-13"/>
                          <w:w w:val="110"/>
                        </w:rPr>
                        <w:t xml:space="preserve"> </w:t>
                      </w:r>
                      <w:r>
                        <w:rPr>
                          <w:color w:val="231F20"/>
                        </w:rPr>
                        <w:t>has</w:t>
                      </w:r>
                      <w:r>
                        <w:rPr>
                          <w:color w:val="231F20"/>
                          <w:spacing w:val="-10"/>
                        </w:rPr>
                        <w:t xml:space="preserve"> </w:t>
                      </w:r>
                      <w:r>
                        <w:rPr>
                          <w:color w:val="231F20"/>
                        </w:rPr>
                        <w:t>become</w:t>
                      </w:r>
                      <w:r>
                        <w:rPr>
                          <w:color w:val="231F20"/>
                          <w:spacing w:val="-11"/>
                        </w:rPr>
                        <w:t xml:space="preserve"> </w:t>
                      </w:r>
                      <w:r>
                        <w:rPr>
                          <w:color w:val="231F20"/>
                        </w:rPr>
                        <w:t>the</w:t>
                      </w:r>
                      <w:r>
                        <w:rPr>
                          <w:color w:val="231F20"/>
                          <w:spacing w:val="-11"/>
                        </w:rPr>
                        <w:t xml:space="preserve"> </w:t>
                      </w:r>
                      <w:r>
                        <w:rPr>
                          <w:color w:val="231F20"/>
                        </w:rPr>
                        <w:t>leading</w:t>
                      </w:r>
                      <w:r>
                        <w:rPr>
                          <w:color w:val="231F20"/>
                          <w:spacing w:val="-11"/>
                        </w:rPr>
                        <w:t xml:space="preserve"> </w:t>
                      </w:r>
                      <w:r>
                        <w:rPr>
                          <w:color w:val="231F20"/>
                        </w:rPr>
                        <w:t>journal for</w:t>
                      </w:r>
                      <w:r>
                        <w:rPr>
                          <w:color w:val="231F20"/>
                          <w:spacing w:val="-11"/>
                        </w:rPr>
                        <w:t xml:space="preserve"> </w:t>
                      </w:r>
                      <w:r>
                        <w:rPr>
                          <w:color w:val="231F20"/>
                        </w:rPr>
                        <w:t>scholars</w:t>
                      </w:r>
                      <w:r>
                        <w:rPr>
                          <w:color w:val="231F20"/>
                          <w:spacing w:val="-11"/>
                        </w:rPr>
                        <w:t xml:space="preserve"> </w:t>
                      </w:r>
                      <w:r>
                        <w:rPr>
                          <w:color w:val="231F20"/>
                        </w:rPr>
                        <w:t>working</w:t>
                      </w:r>
                      <w:r>
                        <w:rPr>
                          <w:color w:val="231F20"/>
                          <w:spacing w:val="-11"/>
                        </w:rPr>
                        <w:t xml:space="preserve"> </w:t>
                      </w:r>
                      <w:r>
                        <w:rPr>
                          <w:color w:val="231F20"/>
                        </w:rPr>
                        <w:t>in</w:t>
                      </w:r>
                      <w:r>
                        <w:rPr>
                          <w:color w:val="231F20"/>
                          <w:spacing w:val="-11"/>
                        </w:rPr>
                        <w:t xml:space="preserve"> </w:t>
                      </w:r>
                      <w:r>
                        <w:rPr>
                          <w:color w:val="231F20"/>
                        </w:rPr>
                        <w:t>this</w:t>
                      </w:r>
                      <w:r>
                        <w:rPr>
                          <w:color w:val="231F20"/>
                          <w:spacing w:val="-11"/>
                        </w:rPr>
                        <w:t xml:space="preserve"> </w:t>
                      </w:r>
                      <w:r>
                        <w:rPr>
                          <w:color w:val="231F20"/>
                        </w:rPr>
                        <w:t>field.</w:t>
                      </w:r>
                      <w:r>
                        <w:rPr>
                          <w:color w:val="231F20"/>
                          <w:spacing w:val="-11"/>
                        </w:rPr>
                        <w:t xml:space="preserve"> </w:t>
                      </w:r>
                      <w:r>
                        <w:rPr>
                          <w:color w:val="231F20"/>
                        </w:rPr>
                        <w:t>It</w:t>
                      </w:r>
                      <w:r>
                        <w:rPr>
                          <w:color w:val="231F20"/>
                          <w:spacing w:val="-11"/>
                        </w:rPr>
                        <w:t xml:space="preserve"> </w:t>
                      </w:r>
                      <w:r>
                        <w:rPr>
                          <w:color w:val="231F20"/>
                        </w:rPr>
                        <w:t>has</w:t>
                      </w:r>
                      <w:r>
                        <w:rPr>
                          <w:color w:val="231F20"/>
                          <w:spacing w:val="-11"/>
                        </w:rPr>
                        <w:t xml:space="preserve"> </w:t>
                      </w:r>
                      <w:r>
                        <w:rPr>
                          <w:color w:val="231F20"/>
                        </w:rPr>
                        <w:t>generated</w:t>
                      </w:r>
                      <w:r>
                        <w:rPr>
                          <w:color w:val="231F20"/>
                          <w:spacing w:val="-11"/>
                        </w:rPr>
                        <w:t xml:space="preserve"> </w:t>
                      </w:r>
                      <w:r>
                        <w:rPr>
                          <w:color w:val="231F20"/>
                        </w:rPr>
                        <w:t>a</w:t>
                      </w:r>
                      <w:r>
                        <w:rPr>
                          <w:color w:val="231F20"/>
                          <w:spacing w:val="-11"/>
                        </w:rPr>
                        <w:t xml:space="preserve"> </w:t>
                      </w:r>
                      <w:r>
                        <w:rPr>
                          <w:color w:val="231F20"/>
                        </w:rPr>
                        <w:t>body</w:t>
                      </w:r>
                      <w:r>
                        <w:rPr>
                          <w:color w:val="231F20"/>
                          <w:spacing w:val="-11"/>
                        </w:rPr>
                        <w:t xml:space="preserve"> </w:t>
                      </w:r>
                      <w:r>
                        <w:rPr>
                          <w:color w:val="231F20"/>
                        </w:rPr>
                        <w:t>of</w:t>
                      </w:r>
                      <w:r>
                        <w:rPr>
                          <w:color w:val="231F20"/>
                          <w:spacing w:val="-11"/>
                        </w:rPr>
                        <w:t xml:space="preserve"> </w:t>
                      </w:r>
                      <w:r>
                        <w:rPr>
                          <w:color w:val="231F20"/>
                        </w:rPr>
                        <w:t>knowledge that</w:t>
                      </w:r>
                      <w:r>
                        <w:rPr>
                          <w:color w:val="231F20"/>
                          <w:spacing w:val="-5"/>
                        </w:rPr>
                        <w:t xml:space="preserve"> </w:t>
                      </w:r>
                      <w:r>
                        <w:rPr>
                          <w:color w:val="231F20"/>
                        </w:rPr>
                        <w:t>forms</w:t>
                      </w:r>
                      <w:r>
                        <w:rPr>
                          <w:color w:val="231F20"/>
                          <w:spacing w:val="-5"/>
                        </w:rPr>
                        <w:t xml:space="preserve"> </w:t>
                      </w:r>
                      <w:r>
                        <w:rPr>
                          <w:color w:val="231F20"/>
                        </w:rPr>
                        <w:t>a</w:t>
                      </w:r>
                      <w:r>
                        <w:rPr>
                          <w:color w:val="231F20"/>
                          <w:spacing w:val="-5"/>
                        </w:rPr>
                        <w:t xml:space="preserve"> </w:t>
                      </w:r>
                      <w:r>
                        <w:rPr>
                          <w:color w:val="231F20"/>
                        </w:rPr>
                        <w:t>foundation</w:t>
                      </w:r>
                      <w:r>
                        <w:rPr>
                          <w:color w:val="231F20"/>
                          <w:spacing w:val="-5"/>
                        </w:rPr>
                        <w:t xml:space="preserve"> </w:t>
                      </w:r>
                      <w:r>
                        <w:rPr>
                          <w:color w:val="231F20"/>
                        </w:rPr>
                        <w:t>that</w:t>
                      </w:r>
                      <w:r>
                        <w:rPr>
                          <w:color w:val="231F20"/>
                          <w:spacing w:val="-5"/>
                        </w:rPr>
                        <w:t xml:space="preserve"> </w:t>
                      </w:r>
                      <w:r>
                        <w:rPr>
                          <w:color w:val="231F20"/>
                        </w:rPr>
                        <w:t>helps</w:t>
                      </w:r>
                      <w:r>
                        <w:rPr>
                          <w:color w:val="231F20"/>
                          <w:spacing w:val="-5"/>
                        </w:rPr>
                        <w:t xml:space="preserve"> </w:t>
                      </w:r>
                      <w:r>
                        <w:rPr>
                          <w:color w:val="231F20"/>
                        </w:rPr>
                        <w:t>scholars</w:t>
                      </w:r>
                      <w:r>
                        <w:rPr>
                          <w:color w:val="231F20"/>
                          <w:spacing w:val="-5"/>
                        </w:rPr>
                        <w:t xml:space="preserve"> </w:t>
                      </w:r>
                      <w:r>
                        <w:rPr>
                          <w:color w:val="231F20"/>
                        </w:rPr>
                        <w:t>to</w:t>
                      </w:r>
                      <w:r>
                        <w:rPr>
                          <w:color w:val="231F20"/>
                          <w:spacing w:val="-5"/>
                        </w:rPr>
                        <w:t xml:space="preserve"> </w:t>
                      </w:r>
                      <w:r>
                        <w:rPr>
                          <w:color w:val="231F20"/>
                        </w:rPr>
                        <w:t>advance</w:t>
                      </w:r>
                      <w:r>
                        <w:rPr>
                          <w:color w:val="231F20"/>
                          <w:spacing w:val="-5"/>
                        </w:rPr>
                        <w:t xml:space="preserve"> </w:t>
                      </w:r>
                      <w:r>
                        <w:rPr>
                          <w:color w:val="231F20"/>
                        </w:rPr>
                        <w:t>the</w:t>
                      </w:r>
                      <w:r>
                        <w:rPr>
                          <w:color w:val="231F20"/>
                          <w:spacing w:val="-5"/>
                        </w:rPr>
                        <w:t xml:space="preserve"> </w:t>
                      </w:r>
                      <w:r>
                        <w:rPr>
                          <w:color w:val="231F20"/>
                        </w:rPr>
                        <w:t>field</w:t>
                      </w:r>
                      <w:r>
                        <w:rPr>
                          <w:color w:val="231F20"/>
                          <w:spacing w:val="-5"/>
                        </w:rPr>
                        <w:t xml:space="preserve"> </w:t>
                      </w:r>
                      <w:r>
                        <w:rPr>
                          <w:color w:val="231F20"/>
                        </w:rPr>
                        <w:t xml:space="preserve">rather </w:t>
                      </w:r>
                      <w:r>
                        <w:rPr>
                          <w:color w:val="231F20"/>
                          <w:w w:val="95"/>
                        </w:rPr>
                        <w:t>than produce isolated studies that while interesting, fail to advance the field in terms of theory and methodology. Subscription rates doubled in the</w:t>
                      </w:r>
                      <w:r>
                        <w:rPr>
                          <w:color w:val="231F20"/>
                          <w:spacing w:val="11"/>
                        </w:rPr>
                        <w:t xml:space="preserve"> </w:t>
                      </w:r>
                      <w:r>
                        <w:rPr>
                          <w:color w:val="231F20"/>
                          <w:w w:val="95"/>
                        </w:rPr>
                        <w:t>five</w:t>
                      </w:r>
                      <w:r>
                        <w:rPr>
                          <w:color w:val="231F20"/>
                          <w:spacing w:val="11"/>
                        </w:rPr>
                        <w:t xml:space="preserve"> </w:t>
                      </w:r>
                      <w:r>
                        <w:rPr>
                          <w:color w:val="231F20"/>
                          <w:w w:val="95"/>
                        </w:rPr>
                        <w:t>years</w:t>
                      </w:r>
                      <w:r>
                        <w:rPr>
                          <w:color w:val="231F20"/>
                          <w:spacing w:val="12"/>
                        </w:rPr>
                        <w:t xml:space="preserve"> </w:t>
                      </w:r>
                      <w:r>
                        <w:rPr>
                          <w:color w:val="231F20"/>
                          <w:w w:val="95"/>
                        </w:rPr>
                        <w:t>after</w:t>
                      </w:r>
                      <w:r>
                        <w:rPr>
                          <w:color w:val="231F20"/>
                          <w:spacing w:val="11"/>
                        </w:rPr>
                        <w:t xml:space="preserve"> </w:t>
                      </w:r>
                      <w:r>
                        <w:rPr>
                          <w:color w:val="231F20"/>
                          <w:w w:val="95"/>
                        </w:rPr>
                        <w:t>its</w:t>
                      </w:r>
                      <w:r>
                        <w:rPr>
                          <w:color w:val="231F20"/>
                          <w:spacing w:val="11"/>
                        </w:rPr>
                        <w:t xml:space="preserve"> </w:t>
                      </w:r>
                      <w:r>
                        <w:rPr>
                          <w:color w:val="231F20"/>
                          <w:w w:val="95"/>
                        </w:rPr>
                        <w:t>repositioning</w:t>
                      </w:r>
                      <w:r>
                        <w:rPr>
                          <w:color w:val="231F20"/>
                          <w:spacing w:val="12"/>
                        </w:rPr>
                        <w:t xml:space="preserve"> </w:t>
                      </w:r>
                      <w:r>
                        <w:rPr>
                          <w:color w:val="231F20"/>
                          <w:w w:val="95"/>
                        </w:rPr>
                        <w:t>as</w:t>
                      </w:r>
                      <w:r>
                        <w:rPr>
                          <w:color w:val="231F20"/>
                          <w:spacing w:val="11"/>
                        </w:rPr>
                        <w:t xml:space="preserve"> </w:t>
                      </w:r>
                      <w:r>
                        <w:rPr>
                          <w:color w:val="231F20"/>
                          <w:w w:val="95"/>
                        </w:rPr>
                        <w:t>a</w:t>
                      </w:r>
                      <w:r>
                        <w:rPr>
                          <w:color w:val="231F20"/>
                          <w:spacing w:val="11"/>
                        </w:rPr>
                        <w:t xml:space="preserve"> </w:t>
                      </w:r>
                      <w:r>
                        <w:rPr>
                          <w:color w:val="231F20"/>
                          <w:w w:val="95"/>
                        </w:rPr>
                        <w:t>scholarly</w:t>
                      </w:r>
                      <w:r>
                        <w:rPr>
                          <w:color w:val="231F20"/>
                          <w:spacing w:val="12"/>
                        </w:rPr>
                        <w:t xml:space="preserve"> </w:t>
                      </w:r>
                      <w:r>
                        <w:rPr>
                          <w:color w:val="231F20"/>
                          <w:w w:val="95"/>
                        </w:rPr>
                        <w:t>journal</w:t>
                      </w:r>
                      <w:r>
                        <w:rPr>
                          <w:color w:val="231F20"/>
                          <w:spacing w:val="11"/>
                        </w:rPr>
                        <w:t xml:space="preserve"> </w:t>
                      </w:r>
                      <w:r>
                        <w:rPr>
                          <w:color w:val="231F20"/>
                          <w:w w:val="95"/>
                        </w:rPr>
                        <w:t>which</w:t>
                      </w:r>
                      <w:r>
                        <w:rPr>
                          <w:color w:val="231F20"/>
                          <w:spacing w:val="12"/>
                        </w:rPr>
                        <w:t xml:space="preserve"> </w:t>
                      </w:r>
                      <w:r>
                        <w:rPr>
                          <w:color w:val="231F20"/>
                          <w:w w:val="95"/>
                        </w:rPr>
                        <w:t>is</w:t>
                      </w:r>
                      <w:r>
                        <w:rPr>
                          <w:color w:val="231F20"/>
                          <w:spacing w:val="11"/>
                        </w:rPr>
                        <w:t xml:space="preserve"> </w:t>
                      </w:r>
                      <w:r>
                        <w:rPr>
                          <w:color w:val="231F20"/>
                          <w:spacing w:val="-4"/>
                          <w:w w:val="95"/>
                        </w:rPr>
                        <w:t>also</w:t>
                      </w:r>
                    </w:p>
                  </w:txbxContent>
                </v:textbox>
                <w10:wrap type="topAndBottom" anchorx="page"/>
              </v:shape>
            </w:pict>
          </mc:Fallback>
        </mc:AlternateContent>
      </w:r>
    </w:p>
    <w:p w14:paraId="09ACF746" w14:textId="77777777" w:rsidR="00AE0598" w:rsidRDefault="00AE0598">
      <w:pPr>
        <w:sectPr w:rsidR="00AE0598">
          <w:pgSz w:w="8850" w:h="13270"/>
          <w:pgMar w:top="720" w:right="1080" w:bottom="280" w:left="1080" w:header="720" w:footer="720" w:gutter="0"/>
          <w:cols w:space="720"/>
        </w:sectPr>
      </w:pPr>
    </w:p>
    <w:p w14:paraId="4B96ED8E" w14:textId="77777777" w:rsidR="00AE0598" w:rsidRDefault="0069255A">
      <w:pPr>
        <w:spacing w:before="87"/>
        <w:ind w:right="108"/>
        <w:jc w:val="right"/>
        <w:rPr>
          <w:rFonts w:ascii="Trebuchet MS"/>
          <w:sz w:val="14"/>
        </w:rPr>
      </w:pPr>
      <w:r>
        <w:rPr>
          <w:rFonts w:ascii="Trebuchet MS"/>
          <w:color w:val="231F20"/>
          <w:w w:val="105"/>
          <w:sz w:val="14"/>
        </w:rPr>
        <w:lastRenderedPageBreak/>
        <w:t>The</w:t>
      </w:r>
      <w:r>
        <w:rPr>
          <w:rFonts w:ascii="Trebuchet MS"/>
          <w:color w:val="231F20"/>
          <w:spacing w:val="-9"/>
          <w:w w:val="105"/>
          <w:sz w:val="14"/>
        </w:rPr>
        <w:t xml:space="preserve"> </w:t>
      </w:r>
      <w:r>
        <w:rPr>
          <w:rFonts w:ascii="Trebuchet MS"/>
          <w:color w:val="231F20"/>
          <w:w w:val="105"/>
          <w:sz w:val="14"/>
        </w:rPr>
        <w:t>Study</w:t>
      </w:r>
      <w:r>
        <w:rPr>
          <w:rFonts w:ascii="Trebuchet MS"/>
          <w:color w:val="231F20"/>
          <w:spacing w:val="-8"/>
          <w:w w:val="105"/>
          <w:sz w:val="14"/>
        </w:rPr>
        <w:t xml:space="preserve"> </w:t>
      </w:r>
      <w:r>
        <w:rPr>
          <w:rFonts w:ascii="Trebuchet MS"/>
          <w:color w:val="231F20"/>
          <w:w w:val="105"/>
          <w:sz w:val="14"/>
        </w:rPr>
        <w:t>of</w:t>
      </w:r>
      <w:r>
        <w:rPr>
          <w:rFonts w:ascii="Trebuchet MS"/>
          <w:color w:val="231F20"/>
          <w:spacing w:val="-9"/>
          <w:w w:val="105"/>
          <w:sz w:val="14"/>
        </w:rPr>
        <w:t xml:space="preserve"> </w:t>
      </w:r>
      <w:r>
        <w:rPr>
          <w:rFonts w:ascii="Trebuchet MS"/>
          <w:color w:val="231F20"/>
          <w:w w:val="105"/>
          <w:sz w:val="14"/>
        </w:rPr>
        <w:t>Sport</w:t>
      </w:r>
      <w:r>
        <w:rPr>
          <w:rFonts w:ascii="Trebuchet MS"/>
          <w:color w:val="231F20"/>
          <w:spacing w:val="-8"/>
          <w:w w:val="105"/>
          <w:sz w:val="14"/>
        </w:rPr>
        <w:t xml:space="preserve"> </w:t>
      </w:r>
      <w:r>
        <w:rPr>
          <w:rFonts w:ascii="Trebuchet MS"/>
          <w:color w:val="231F20"/>
          <w:w w:val="105"/>
          <w:sz w:val="14"/>
        </w:rPr>
        <w:t>Tourism</w:t>
      </w:r>
      <w:r>
        <w:rPr>
          <w:rFonts w:ascii="Trebuchet MS"/>
          <w:color w:val="231F20"/>
          <w:spacing w:val="68"/>
          <w:w w:val="150"/>
          <w:sz w:val="14"/>
        </w:rPr>
        <w:t xml:space="preserve"> </w:t>
      </w:r>
      <w:r>
        <w:rPr>
          <w:rFonts w:ascii="Trebuchet MS"/>
          <w:color w:val="231F20"/>
          <w:spacing w:val="-5"/>
          <w:w w:val="105"/>
          <w:sz w:val="14"/>
        </w:rPr>
        <w:t>29</w:t>
      </w:r>
    </w:p>
    <w:p w14:paraId="7824321B" w14:textId="3AEAFBAA" w:rsidR="00AE0598" w:rsidRDefault="0069255A">
      <w:pPr>
        <w:pStyle w:val="Corpodetexto"/>
        <w:spacing w:before="6"/>
        <w:rPr>
          <w:rFonts w:ascii="Trebuchet MS"/>
          <w:sz w:val="27"/>
        </w:rPr>
      </w:pPr>
      <w:r>
        <w:rPr>
          <w:noProof/>
        </w:rPr>
        <mc:AlternateContent>
          <mc:Choice Requires="wps">
            <w:drawing>
              <wp:anchor distT="0" distB="0" distL="0" distR="0" simplePos="0" relativeHeight="487600640" behindDoc="1" locked="0" layoutInCell="1" allowOverlap="1" wp14:anchorId="5B37EA64" wp14:editId="335765D9">
                <wp:simplePos x="0" y="0"/>
                <wp:positionH relativeFrom="page">
                  <wp:posOffset>755650</wp:posOffset>
                </wp:positionH>
                <wp:positionV relativeFrom="paragraph">
                  <wp:posOffset>218440</wp:posOffset>
                </wp:positionV>
                <wp:extent cx="4104005" cy="3086100"/>
                <wp:effectExtent l="0" t="0" r="0" b="0"/>
                <wp:wrapTopAndBottom/>
                <wp:docPr id="323" name="docshape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04005" cy="3086100"/>
                        </a:xfrm>
                        <a:prstGeom prst="rect">
                          <a:avLst/>
                        </a:prstGeom>
                        <a:solidFill>
                          <a:srgbClr val="DCDDD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AC63F11" w14:textId="77777777" w:rsidR="00AE0598" w:rsidRDefault="0069255A">
                            <w:pPr>
                              <w:pStyle w:val="Corpodetexto"/>
                              <w:spacing w:before="73" w:line="232" w:lineRule="auto"/>
                              <w:ind w:left="113" w:right="109"/>
                              <w:jc w:val="both"/>
                              <w:rPr>
                                <w:color w:val="000000"/>
                              </w:rPr>
                            </w:pPr>
                            <w:r>
                              <w:rPr>
                                <w:color w:val="231F20"/>
                                <w:w w:val="95"/>
                              </w:rPr>
                              <w:t xml:space="preserve">reflected in growing impact factors as its articles are increasingly being referenced in other journals. To mark 20 years since the founding of the journal, </w:t>
                            </w:r>
                            <w:r>
                              <w:rPr>
                                <w:i/>
                                <w:color w:val="231F20"/>
                                <w:w w:val="95"/>
                              </w:rPr>
                              <w:t>JS&amp;T</w:t>
                            </w:r>
                            <w:r>
                              <w:rPr>
                                <w:color w:val="231F20"/>
                                <w:w w:val="95"/>
                              </w:rPr>
                              <w:t>’s current editor, Professor Mike Weed (Canterbury Christ Church University</w:t>
                            </w:r>
                            <w:r>
                              <w:rPr>
                                <w:color w:val="231F20"/>
                                <w:w w:val="95"/>
                              </w:rPr>
                              <w:t xml:space="preserve">, UK) identified the ‘big questions’ that currently face </w:t>
                            </w:r>
                            <w:r>
                              <w:rPr>
                                <w:color w:val="231F20"/>
                              </w:rPr>
                              <w:t>the</w:t>
                            </w:r>
                            <w:r>
                              <w:rPr>
                                <w:color w:val="231F20"/>
                                <w:spacing w:val="-12"/>
                              </w:rPr>
                              <w:t xml:space="preserve"> </w:t>
                            </w:r>
                            <w:r>
                              <w:rPr>
                                <w:color w:val="231F20"/>
                              </w:rPr>
                              <w:t>field</w:t>
                            </w:r>
                            <w:r>
                              <w:rPr>
                                <w:color w:val="231F20"/>
                                <w:spacing w:val="-12"/>
                              </w:rPr>
                              <w:t xml:space="preserve"> </w:t>
                            </w:r>
                            <w:r>
                              <w:rPr>
                                <w:color w:val="231F20"/>
                              </w:rPr>
                              <w:t>in</w:t>
                            </w:r>
                            <w:r>
                              <w:rPr>
                                <w:color w:val="231F20"/>
                                <w:spacing w:val="-11"/>
                              </w:rPr>
                              <w:t xml:space="preserve"> </w:t>
                            </w:r>
                            <w:r>
                              <w:rPr>
                                <w:color w:val="231F20"/>
                              </w:rPr>
                              <w:t>terms</w:t>
                            </w:r>
                            <w:r>
                              <w:rPr>
                                <w:color w:val="231F20"/>
                                <w:spacing w:val="-12"/>
                              </w:rPr>
                              <w:t xml:space="preserve"> </w:t>
                            </w:r>
                            <w:r>
                              <w:rPr>
                                <w:color w:val="231F20"/>
                              </w:rPr>
                              <w:t>of</w:t>
                            </w:r>
                            <w:r>
                              <w:rPr>
                                <w:color w:val="231F20"/>
                                <w:spacing w:val="-11"/>
                              </w:rPr>
                              <w:t xml:space="preserve"> </w:t>
                            </w:r>
                            <w:r>
                              <w:rPr>
                                <w:color w:val="231F20"/>
                              </w:rPr>
                              <w:t>what</w:t>
                            </w:r>
                            <w:r>
                              <w:rPr>
                                <w:color w:val="231F20"/>
                                <w:spacing w:val="-12"/>
                              </w:rPr>
                              <w:t xml:space="preserve"> </w:t>
                            </w:r>
                            <w:r>
                              <w:rPr>
                                <w:color w:val="231F20"/>
                              </w:rPr>
                              <w:t>we</w:t>
                            </w:r>
                            <w:r>
                              <w:rPr>
                                <w:color w:val="231F20"/>
                                <w:spacing w:val="-11"/>
                              </w:rPr>
                              <w:t xml:space="preserve"> </w:t>
                            </w:r>
                            <w:r>
                              <w:rPr>
                                <w:color w:val="231F20"/>
                              </w:rPr>
                              <w:t>know,</w:t>
                            </w:r>
                            <w:r>
                              <w:rPr>
                                <w:color w:val="231F20"/>
                                <w:spacing w:val="-12"/>
                              </w:rPr>
                              <w:t xml:space="preserve"> </w:t>
                            </w:r>
                            <w:r>
                              <w:rPr>
                                <w:color w:val="231F20"/>
                              </w:rPr>
                              <w:t>don’t</w:t>
                            </w:r>
                            <w:r>
                              <w:rPr>
                                <w:color w:val="231F20"/>
                                <w:spacing w:val="-12"/>
                              </w:rPr>
                              <w:t xml:space="preserve"> </w:t>
                            </w:r>
                            <w:r>
                              <w:rPr>
                                <w:color w:val="231F20"/>
                              </w:rPr>
                              <w:t>know</w:t>
                            </w:r>
                            <w:r>
                              <w:rPr>
                                <w:color w:val="231F20"/>
                                <w:spacing w:val="-11"/>
                              </w:rPr>
                              <w:t xml:space="preserve"> </w:t>
                            </w:r>
                            <w:r>
                              <w:rPr>
                                <w:color w:val="231F20"/>
                              </w:rPr>
                              <w:t>and</w:t>
                            </w:r>
                            <w:r>
                              <w:rPr>
                                <w:color w:val="231F20"/>
                                <w:spacing w:val="-12"/>
                              </w:rPr>
                              <w:t xml:space="preserve"> </w:t>
                            </w:r>
                            <w:r>
                              <w:rPr>
                                <w:color w:val="231F20"/>
                              </w:rPr>
                              <w:t>should</w:t>
                            </w:r>
                            <w:r>
                              <w:rPr>
                                <w:color w:val="231F20"/>
                                <w:spacing w:val="-11"/>
                              </w:rPr>
                              <w:t xml:space="preserve"> </w:t>
                            </w:r>
                            <w:r>
                              <w:rPr>
                                <w:color w:val="231F20"/>
                              </w:rPr>
                              <w:t>know</w:t>
                            </w:r>
                            <w:r>
                              <w:rPr>
                                <w:color w:val="231F20"/>
                                <w:spacing w:val="-12"/>
                              </w:rPr>
                              <w:t xml:space="preserve"> </w:t>
                            </w:r>
                            <w:r>
                              <w:rPr>
                                <w:color w:val="231F20"/>
                              </w:rPr>
                              <w:t xml:space="preserve">about sports tourism. Four special issues that address these questions have </w:t>
                            </w:r>
                            <w:r>
                              <w:rPr>
                                <w:color w:val="231F20"/>
                                <w:w w:val="95"/>
                              </w:rPr>
                              <w:t xml:space="preserve">been planned including two that have been published on sport tourism destinations (Hinch </w:t>
                            </w:r>
                            <w:r>
                              <w:rPr>
                                <w:i/>
                                <w:color w:val="231F20"/>
                                <w:w w:val="95"/>
                              </w:rPr>
                              <w:t>et al</w:t>
                            </w:r>
                            <w:r>
                              <w:rPr>
                                <w:color w:val="231F20"/>
                                <w:w w:val="95"/>
                              </w:rPr>
                              <w:t>., 2016) and theoretical perspectives (Gammon</w:t>
                            </w:r>
                            <w:r>
                              <w:rPr>
                                <w:color w:val="231F20"/>
                                <w:spacing w:val="40"/>
                              </w:rPr>
                              <w:t xml:space="preserve"> </w:t>
                            </w:r>
                            <w:r>
                              <w:rPr>
                                <w:i/>
                                <w:color w:val="231F20"/>
                                <w:w w:val="95"/>
                              </w:rPr>
                              <w:t>et al</w:t>
                            </w:r>
                            <w:r>
                              <w:rPr>
                                <w:color w:val="231F20"/>
                                <w:w w:val="95"/>
                              </w:rPr>
                              <w:t>., 2017), and two others that are i</w:t>
                            </w:r>
                            <w:r>
                              <w:rPr>
                                <w:color w:val="231F20"/>
                                <w:w w:val="95"/>
                              </w:rPr>
                              <w:t xml:space="preserve">n progress on active sport tourism </w:t>
                            </w:r>
                            <w:r>
                              <w:rPr>
                                <w:color w:val="231F20"/>
                              </w:rPr>
                              <w:t>and spectator events.</w:t>
                            </w:r>
                          </w:p>
                          <w:p w14:paraId="126E365C" w14:textId="77777777" w:rsidR="00AE0598" w:rsidRDefault="00AE0598">
                            <w:pPr>
                              <w:pStyle w:val="Corpodetexto"/>
                              <w:spacing w:before="11"/>
                              <w:rPr>
                                <w:color w:val="000000"/>
                              </w:rPr>
                            </w:pPr>
                          </w:p>
                          <w:p w14:paraId="29283054" w14:textId="77777777" w:rsidR="00AE0598" w:rsidRDefault="0069255A">
                            <w:pPr>
                              <w:ind w:left="113"/>
                              <w:jc w:val="both"/>
                              <w:rPr>
                                <w:rFonts w:ascii="Trebuchet MS"/>
                                <w:color w:val="000000"/>
                                <w:sz w:val="20"/>
                              </w:rPr>
                            </w:pPr>
                            <w:r>
                              <w:rPr>
                                <w:rFonts w:ascii="Trebuchet MS"/>
                                <w:color w:val="231F20"/>
                                <w:w w:val="105"/>
                                <w:sz w:val="20"/>
                              </w:rPr>
                              <w:t>Key</w:t>
                            </w:r>
                            <w:r>
                              <w:rPr>
                                <w:rFonts w:ascii="Trebuchet MS"/>
                                <w:color w:val="231F20"/>
                                <w:spacing w:val="-11"/>
                                <w:w w:val="105"/>
                                <w:sz w:val="20"/>
                              </w:rPr>
                              <w:t xml:space="preserve"> </w:t>
                            </w:r>
                            <w:r>
                              <w:rPr>
                                <w:rFonts w:ascii="Trebuchet MS"/>
                                <w:color w:val="231F20"/>
                                <w:spacing w:val="-2"/>
                                <w:w w:val="105"/>
                                <w:sz w:val="20"/>
                              </w:rPr>
                              <w:t>Reading</w:t>
                            </w:r>
                          </w:p>
                          <w:p w14:paraId="05D2D63E" w14:textId="77777777" w:rsidR="00AE0598" w:rsidRDefault="0069255A">
                            <w:pPr>
                              <w:pStyle w:val="Corpodetexto"/>
                              <w:spacing w:before="122" w:line="232" w:lineRule="auto"/>
                              <w:ind w:left="113" w:right="111"/>
                              <w:jc w:val="both"/>
                              <w:rPr>
                                <w:color w:val="000000"/>
                              </w:rPr>
                            </w:pPr>
                            <w:r>
                              <w:rPr>
                                <w:color w:val="231F20"/>
                              </w:rPr>
                              <w:t xml:space="preserve">Hinch, T.D., Higham, J.E.S. and Moyle, B.D. (2016) Sport tourism and sustainable destinations: Foundations and pathways. </w:t>
                            </w:r>
                            <w:r>
                              <w:rPr>
                                <w:i/>
                                <w:color w:val="231F20"/>
                              </w:rPr>
                              <w:t xml:space="preserve">Journal of Sport </w:t>
                            </w:r>
                            <w:r>
                              <w:rPr>
                                <w:i/>
                                <w:color w:val="231F20"/>
                                <w:w w:val="110"/>
                              </w:rPr>
                              <w:t>&amp;</w:t>
                            </w:r>
                            <w:r>
                              <w:rPr>
                                <w:i/>
                                <w:color w:val="231F20"/>
                                <w:spacing w:val="-2"/>
                                <w:w w:val="110"/>
                              </w:rPr>
                              <w:t xml:space="preserve"> </w:t>
                            </w:r>
                            <w:r>
                              <w:rPr>
                                <w:i/>
                                <w:color w:val="231F20"/>
                                <w:w w:val="105"/>
                              </w:rPr>
                              <w:t xml:space="preserve">Tourism </w:t>
                            </w:r>
                            <w:r>
                              <w:rPr>
                                <w:color w:val="231F20"/>
                                <w:w w:val="105"/>
                              </w:rPr>
                              <w:t>20 (3&amp;4), 163–174.</w:t>
                            </w:r>
                          </w:p>
                          <w:p w14:paraId="0471C632" w14:textId="77777777" w:rsidR="00AE0598" w:rsidRDefault="0069255A">
                            <w:pPr>
                              <w:spacing w:before="124" w:line="232" w:lineRule="auto"/>
                              <w:ind w:left="113" w:right="111"/>
                              <w:jc w:val="both"/>
                              <w:rPr>
                                <w:color w:val="000000"/>
                                <w:sz w:val="21"/>
                              </w:rPr>
                            </w:pPr>
                            <w:r>
                              <w:rPr>
                                <w:color w:val="231F20"/>
                                <w:sz w:val="21"/>
                              </w:rPr>
                              <w:t>Weed,</w:t>
                            </w:r>
                            <w:r>
                              <w:rPr>
                                <w:color w:val="231F20"/>
                                <w:spacing w:val="-12"/>
                                <w:sz w:val="21"/>
                              </w:rPr>
                              <w:t xml:space="preserve"> </w:t>
                            </w:r>
                            <w:r>
                              <w:rPr>
                                <w:color w:val="231F20"/>
                                <w:sz w:val="21"/>
                              </w:rPr>
                              <w:t>M.</w:t>
                            </w:r>
                            <w:r>
                              <w:rPr>
                                <w:color w:val="231F20"/>
                                <w:spacing w:val="-10"/>
                                <w:sz w:val="21"/>
                              </w:rPr>
                              <w:t xml:space="preserve"> </w:t>
                            </w:r>
                            <w:r>
                              <w:rPr>
                                <w:color w:val="231F20"/>
                                <w:sz w:val="21"/>
                              </w:rPr>
                              <w:t>(2011)</w:t>
                            </w:r>
                            <w:r>
                              <w:rPr>
                                <w:color w:val="231F20"/>
                                <w:spacing w:val="-11"/>
                                <w:sz w:val="21"/>
                              </w:rPr>
                              <w:t xml:space="preserve"> </w:t>
                            </w:r>
                            <w:r>
                              <w:rPr>
                                <w:i/>
                                <w:color w:val="231F20"/>
                                <w:sz w:val="21"/>
                              </w:rPr>
                              <w:t>The</w:t>
                            </w:r>
                            <w:r>
                              <w:rPr>
                                <w:i/>
                                <w:color w:val="231F20"/>
                                <w:spacing w:val="-11"/>
                                <w:sz w:val="21"/>
                              </w:rPr>
                              <w:t xml:space="preserve"> </w:t>
                            </w:r>
                            <w:r>
                              <w:rPr>
                                <w:i/>
                                <w:color w:val="231F20"/>
                                <w:sz w:val="21"/>
                              </w:rPr>
                              <w:t>Journal</w:t>
                            </w:r>
                            <w:r>
                              <w:rPr>
                                <w:i/>
                                <w:color w:val="231F20"/>
                                <w:spacing w:val="-11"/>
                                <w:sz w:val="21"/>
                              </w:rPr>
                              <w:t xml:space="preserve"> </w:t>
                            </w:r>
                            <w:r>
                              <w:rPr>
                                <w:i/>
                                <w:color w:val="231F20"/>
                                <w:sz w:val="21"/>
                              </w:rPr>
                              <w:t>of</w:t>
                            </w:r>
                            <w:r>
                              <w:rPr>
                                <w:i/>
                                <w:color w:val="231F20"/>
                                <w:spacing w:val="-11"/>
                                <w:sz w:val="21"/>
                              </w:rPr>
                              <w:t xml:space="preserve"> </w:t>
                            </w:r>
                            <w:r>
                              <w:rPr>
                                <w:i/>
                                <w:color w:val="231F20"/>
                                <w:sz w:val="21"/>
                              </w:rPr>
                              <w:t>Sport</w:t>
                            </w:r>
                            <w:r>
                              <w:rPr>
                                <w:i/>
                                <w:color w:val="231F20"/>
                                <w:spacing w:val="-11"/>
                                <w:sz w:val="21"/>
                              </w:rPr>
                              <w:t xml:space="preserve"> </w:t>
                            </w:r>
                            <w:r>
                              <w:rPr>
                                <w:i/>
                                <w:color w:val="231F20"/>
                                <w:w w:val="105"/>
                                <w:sz w:val="21"/>
                              </w:rPr>
                              <w:t>&amp;</w:t>
                            </w:r>
                            <w:r>
                              <w:rPr>
                                <w:i/>
                                <w:color w:val="231F20"/>
                                <w:spacing w:val="-13"/>
                                <w:w w:val="105"/>
                                <w:sz w:val="21"/>
                              </w:rPr>
                              <w:t xml:space="preserve"> </w:t>
                            </w:r>
                            <w:r>
                              <w:rPr>
                                <w:i/>
                                <w:color w:val="231F20"/>
                                <w:sz w:val="21"/>
                              </w:rPr>
                              <w:t>Tourism</w:t>
                            </w:r>
                            <w:r>
                              <w:rPr>
                                <w:color w:val="231F20"/>
                                <w:sz w:val="21"/>
                              </w:rPr>
                              <w:t>:</w:t>
                            </w:r>
                            <w:r>
                              <w:rPr>
                                <w:color w:val="231F20"/>
                                <w:spacing w:val="-10"/>
                                <w:sz w:val="21"/>
                              </w:rPr>
                              <w:t xml:space="preserve"> </w:t>
                            </w:r>
                            <w:r>
                              <w:rPr>
                                <w:color w:val="231F20"/>
                                <w:sz w:val="21"/>
                              </w:rPr>
                              <w:t>A</w:t>
                            </w:r>
                            <w:r>
                              <w:rPr>
                                <w:color w:val="231F20"/>
                                <w:spacing w:val="-11"/>
                                <w:sz w:val="21"/>
                              </w:rPr>
                              <w:t xml:space="preserve"> </w:t>
                            </w:r>
                            <w:r>
                              <w:rPr>
                                <w:color w:val="231F20"/>
                                <w:sz w:val="21"/>
                              </w:rPr>
                              <w:t>maturing</w:t>
                            </w:r>
                            <w:r>
                              <w:rPr>
                                <w:color w:val="231F20"/>
                                <w:spacing w:val="-11"/>
                                <w:sz w:val="21"/>
                              </w:rPr>
                              <w:t xml:space="preserve"> </w:t>
                            </w:r>
                            <w:r>
                              <w:rPr>
                                <w:color w:val="231F20"/>
                                <w:sz w:val="21"/>
                              </w:rPr>
                              <w:t xml:space="preserve">literature. In T.D. Hinch and J.E.S. Higham (eds) </w:t>
                            </w:r>
                            <w:r>
                              <w:rPr>
                                <w:i/>
                                <w:color w:val="231F20"/>
                                <w:sz w:val="21"/>
                              </w:rPr>
                              <w:t>Sport Tourism Development</w:t>
                            </w:r>
                            <w:r>
                              <w:rPr>
                                <w:i/>
                                <w:color w:val="231F20"/>
                                <w:spacing w:val="80"/>
                                <w:sz w:val="21"/>
                              </w:rPr>
                              <w:t xml:space="preserve"> </w:t>
                            </w:r>
                            <w:r>
                              <w:rPr>
                                <w:color w:val="231F20"/>
                                <w:sz w:val="21"/>
                              </w:rPr>
                              <w:t>(2nd edn; pp. 447–450). Bristol: Channel View Publications.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37EA64" id="docshape51" o:spid="_x0000_s1060" type="#_x0000_t202" style="position:absolute;margin-left:59.5pt;margin-top:17.2pt;width:323.15pt;height:243pt;z-index:-157158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" fillcolor="#dcddde" stroked="f">
                <v:textbox inset="0,0,0,0">
                  <w:txbxContent>
                    <w:p w14:paraId="2AC63F11" w14:textId="77777777" w:rsidR="00AE0598" w:rsidRDefault="0069255A">
                      <w:pPr>
                        <w:pStyle w:val="Corpodetexto"/>
                        <w:spacing w:before="73" w:line="232" w:lineRule="auto"/>
                        <w:ind w:left="113" w:right="109"/>
                        <w:jc w:val="both"/>
                        <w:rPr>
                          <w:color w:val="000000"/>
                        </w:rPr>
                      </w:pPr>
                      <w:r>
                        <w:rPr>
                          <w:color w:val="231F20"/>
                          <w:w w:val="95"/>
                        </w:rPr>
                        <w:t xml:space="preserve">reflected in growing impact factors as its articles are increasingly being referenced in other journals. To mark 20 years since the founding of the journal, </w:t>
                      </w:r>
                      <w:r>
                        <w:rPr>
                          <w:i/>
                          <w:color w:val="231F20"/>
                          <w:w w:val="95"/>
                        </w:rPr>
                        <w:t>JS&amp;T</w:t>
                      </w:r>
                      <w:r>
                        <w:rPr>
                          <w:color w:val="231F20"/>
                          <w:w w:val="95"/>
                        </w:rPr>
                        <w:t>’s current editor, Professor Mike Weed (Canterbury Christ Church University</w:t>
                      </w:r>
                      <w:r>
                        <w:rPr>
                          <w:color w:val="231F20"/>
                          <w:w w:val="95"/>
                        </w:rPr>
                        <w:t xml:space="preserve">, UK) identified the ‘big questions’ that currently face </w:t>
                      </w:r>
                      <w:r>
                        <w:rPr>
                          <w:color w:val="231F20"/>
                        </w:rPr>
                        <w:t>the</w:t>
                      </w:r>
                      <w:r>
                        <w:rPr>
                          <w:color w:val="231F20"/>
                          <w:spacing w:val="-12"/>
                        </w:rPr>
                        <w:t xml:space="preserve"> </w:t>
                      </w:r>
                      <w:r>
                        <w:rPr>
                          <w:color w:val="231F20"/>
                        </w:rPr>
                        <w:t>field</w:t>
                      </w:r>
                      <w:r>
                        <w:rPr>
                          <w:color w:val="231F20"/>
                          <w:spacing w:val="-12"/>
                        </w:rPr>
                        <w:t xml:space="preserve"> </w:t>
                      </w:r>
                      <w:r>
                        <w:rPr>
                          <w:color w:val="231F20"/>
                        </w:rPr>
                        <w:t>in</w:t>
                      </w:r>
                      <w:r>
                        <w:rPr>
                          <w:color w:val="231F20"/>
                          <w:spacing w:val="-11"/>
                        </w:rPr>
                        <w:t xml:space="preserve"> </w:t>
                      </w:r>
                      <w:r>
                        <w:rPr>
                          <w:color w:val="231F20"/>
                        </w:rPr>
                        <w:t>terms</w:t>
                      </w:r>
                      <w:r>
                        <w:rPr>
                          <w:color w:val="231F20"/>
                          <w:spacing w:val="-12"/>
                        </w:rPr>
                        <w:t xml:space="preserve"> </w:t>
                      </w:r>
                      <w:r>
                        <w:rPr>
                          <w:color w:val="231F20"/>
                        </w:rPr>
                        <w:t>of</w:t>
                      </w:r>
                      <w:r>
                        <w:rPr>
                          <w:color w:val="231F20"/>
                          <w:spacing w:val="-11"/>
                        </w:rPr>
                        <w:t xml:space="preserve"> </w:t>
                      </w:r>
                      <w:r>
                        <w:rPr>
                          <w:color w:val="231F20"/>
                        </w:rPr>
                        <w:t>what</w:t>
                      </w:r>
                      <w:r>
                        <w:rPr>
                          <w:color w:val="231F20"/>
                          <w:spacing w:val="-12"/>
                        </w:rPr>
                        <w:t xml:space="preserve"> </w:t>
                      </w:r>
                      <w:r>
                        <w:rPr>
                          <w:color w:val="231F20"/>
                        </w:rPr>
                        <w:t>we</w:t>
                      </w:r>
                      <w:r>
                        <w:rPr>
                          <w:color w:val="231F20"/>
                          <w:spacing w:val="-11"/>
                        </w:rPr>
                        <w:t xml:space="preserve"> </w:t>
                      </w:r>
                      <w:r>
                        <w:rPr>
                          <w:color w:val="231F20"/>
                        </w:rPr>
                        <w:t>know,</w:t>
                      </w:r>
                      <w:r>
                        <w:rPr>
                          <w:color w:val="231F20"/>
                          <w:spacing w:val="-12"/>
                        </w:rPr>
                        <w:t xml:space="preserve"> </w:t>
                      </w:r>
                      <w:r>
                        <w:rPr>
                          <w:color w:val="231F20"/>
                        </w:rPr>
                        <w:t>don’t</w:t>
                      </w:r>
                      <w:r>
                        <w:rPr>
                          <w:color w:val="231F20"/>
                          <w:spacing w:val="-12"/>
                        </w:rPr>
                        <w:t xml:space="preserve"> </w:t>
                      </w:r>
                      <w:r>
                        <w:rPr>
                          <w:color w:val="231F20"/>
                        </w:rPr>
                        <w:t>know</w:t>
                      </w:r>
                      <w:r>
                        <w:rPr>
                          <w:color w:val="231F20"/>
                          <w:spacing w:val="-11"/>
                        </w:rPr>
                        <w:t xml:space="preserve"> </w:t>
                      </w:r>
                      <w:r>
                        <w:rPr>
                          <w:color w:val="231F20"/>
                        </w:rPr>
                        <w:t>and</w:t>
                      </w:r>
                      <w:r>
                        <w:rPr>
                          <w:color w:val="231F20"/>
                          <w:spacing w:val="-12"/>
                        </w:rPr>
                        <w:t xml:space="preserve"> </w:t>
                      </w:r>
                      <w:r>
                        <w:rPr>
                          <w:color w:val="231F20"/>
                        </w:rPr>
                        <w:t>should</w:t>
                      </w:r>
                      <w:r>
                        <w:rPr>
                          <w:color w:val="231F20"/>
                          <w:spacing w:val="-11"/>
                        </w:rPr>
                        <w:t xml:space="preserve"> </w:t>
                      </w:r>
                      <w:r>
                        <w:rPr>
                          <w:color w:val="231F20"/>
                        </w:rPr>
                        <w:t>know</w:t>
                      </w:r>
                      <w:r>
                        <w:rPr>
                          <w:color w:val="231F20"/>
                          <w:spacing w:val="-12"/>
                        </w:rPr>
                        <w:t xml:space="preserve"> </w:t>
                      </w:r>
                      <w:r>
                        <w:rPr>
                          <w:color w:val="231F20"/>
                        </w:rPr>
                        <w:t xml:space="preserve">about sports tourism. Four special issues that address these questions have </w:t>
                      </w:r>
                      <w:r>
                        <w:rPr>
                          <w:color w:val="231F20"/>
                          <w:w w:val="95"/>
                        </w:rPr>
                        <w:t xml:space="preserve">been planned including two that have been published on sport tourism destinations (Hinch </w:t>
                      </w:r>
                      <w:r>
                        <w:rPr>
                          <w:i/>
                          <w:color w:val="231F20"/>
                          <w:w w:val="95"/>
                        </w:rPr>
                        <w:t>et al</w:t>
                      </w:r>
                      <w:r>
                        <w:rPr>
                          <w:color w:val="231F20"/>
                          <w:w w:val="95"/>
                        </w:rPr>
                        <w:t>., 2016) and theoretical perspectives (Gammon</w:t>
                      </w:r>
                      <w:r>
                        <w:rPr>
                          <w:color w:val="231F20"/>
                          <w:spacing w:val="40"/>
                        </w:rPr>
                        <w:t xml:space="preserve"> </w:t>
                      </w:r>
                      <w:r>
                        <w:rPr>
                          <w:i/>
                          <w:color w:val="231F20"/>
                          <w:w w:val="95"/>
                        </w:rPr>
                        <w:t>et al</w:t>
                      </w:r>
                      <w:r>
                        <w:rPr>
                          <w:color w:val="231F20"/>
                          <w:w w:val="95"/>
                        </w:rPr>
                        <w:t>., 2017), and two others that are i</w:t>
                      </w:r>
                      <w:r>
                        <w:rPr>
                          <w:color w:val="231F20"/>
                          <w:w w:val="95"/>
                        </w:rPr>
                        <w:t xml:space="preserve">n progress on active sport tourism </w:t>
                      </w:r>
                      <w:r>
                        <w:rPr>
                          <w:color w:val="231F20"/>
                        </w:rPr>
                        <w:t>and spectator events.</w:t>
                      </w:r>
                    </w:p>
                    <w:p w14:paraId="126E365C" w14:textId="77777777" w:rsidR="00AE0598" w:rsidRDefault="00AE0598">
                      <w:pPr>
                        <w:pStyle w:val="Corpodetexto"/>
                        <w:spacing w:before="11"/>
                        <w:rPr>
                          <w:color w:val="000000"/>
                        </w:rPr>
                      </w:pPr>
                    </w:p>
                    <w:p w14:paraId="29283054" w14:textId="77777777" w:rsidR="00AE0598" w:rsidRDefault="0069255A">
                      <w:pPr>
                        <w:ind w:left="113"/>
                        <w:jc w:val="both"/>
                        <w:rPr>
                          <w:rFonts w:ascii="Trebuchet MS"/>
                          <w:color w:val="000000"/>
                          <w:sz w:val="20"/>
                        </w:rPr>
                      </w:pPr>
                      <w:r>
                        <w:rPr>
                          <w:rFonts w:ascii="Trebuchet MS"/>
                          <w:color w:val="231F20"/>
                          <w:w w:val="105"/>
                          <w:sz w:val="20"/>
                        </w:rPr>
                        <w:t>Key</w:t>
                      </w:r>
                      <w:r>
                        <w:rPr>
                          <w:rFonts w:ascii="Trebuchet MS"/>
                          <w:color w:val="231F20"/>
                          <w:spacing w:val="-11"/>
                          <w:w w:val="105"/>
                          <w:sz w:val="20"/>
                        </w:rPr>
                        <w:t xml:space="preserve"> </w:t>
                      </w:r>
                      <w:r>
                        <w:rPr>
                          <w:rFonts w:ascii="Trebuchet MS"/>
                          <w:color w:val="231F20"/>
                          <w:spacing w:val="-2"/>
                          <w:w w:val="105"/>
                          <w:sz w:val="20"/>
                        </w:rPr>
                        <w:t>Reading</w:t>
                      </w:r>
                    </w:p>
                    <w:p w14:paraId="05D2D63E" w14:textId="77777777" w:rsidR="00AE0598" w:rsidRDefault="0069255A">
                      <w:pPr>
                        <w:pStyle w:val="Corpodetexto"/>
                        <w:spacing w:before="122" w:line="232" w:lineRule="auto"/>
                        <w:ind w:left="113" w:right="111"/>
                        <w:jc w:val="both"/>
                        <w:rPr>
                          <w:color w:val="000000"/>
                        </w:rPr>
                      </w:pPr>
                      <w:r>
                        <w:rPr>
                          <w:color w:val="231F20"/>
                        </w:rPr>
                        <w:t xml:space="preserve">Hinch, T.D., Higham, J.E.S. and Moyle, B.D. (2016) Sport tourism and sustainable destinations: Foundations and pathways. </w:t>
                      </w:r>
                      <w:r>
                        <w:rPr>
                          <w:i/>
                          <w:color w:val="231F20"/>
                        </w:rPr>
                        <w:t xml:space="preserve">Journal of Sport </w:t>
                      </w:r>
                      <w:r>
                        <w:rPr>
                          <w:i/>
                          <w:color w:val="231F20"/>
                          <w:w w:val="110"/>
                        </w:rPr>
                        <w:t>&amp;</w:t>
                      </w:r>
                      <w:r>
                        <w:rPr>
                          <w:i/>
                          <w:color w:val="231F20"/>
                          <w:spacing w:val="-2"/>
                          <w:w w:val="110"/>
                        </w:rPr>
                        <w:t xml:space="preserve"> </w:t>
                      </w:r>
                      <w:r>
                        <w:rPr>
                          <w:i/>
                          <w:color w:val="231F20"/>
                          <w:w w:val="105"/>
                        </w:rPr>
                        <w:t xml:space="preserve">Tourism </w:t>
                      </w:r>
                      <w:r>
                        <w:rPr>
                          <w:color w:val="231F20"/>
                          <w:w w:val="105"/>
                        </w:rPr>
                        <w:t>20 (3&amp;4), 163–174.</w:t>
                      </w:r>
                    </w:p>
                    <w:p w14:paraId="0471C632" w14:textId="77777777" w:rsidR="00AE0598" w:rsidRDefault="0069255A">
                      <w:pPr>
                        <w:spacing w:before="124" w:line="232" w:lineRule="auto"/>
                        <w:ind w:left="113" w:right="111"/>
                        <w:jc w:val="both"/>
                        <w:rPr>
                          <w:color w:val="000000"/>
                          <w:sz w:val="21"/>
                        </w:rPr>
                      </w:pPr>
                      <w:r>
                        <w:rPr>
                          <w:color w:val="231F20"/>
                          <w:sz w:val="21"/>
                        </w:rPr>
                        <w:t>Weed,</w:t>
                      </w:r>
                      <w:r>
                        <w:rPr>
                          <w:color w:val="231F20"/>
                          <w:spacing w:val="-12"/>
                          <w:sz w:val="21"/>
                        </w:rPr>
                        <w:t xml:space="preserve"> </w:t>
                      </w:r>
                      <w:r>
                        <w:rPr>
                          <w:color w:val="231F20"/>
                          <w:sz w:val="21"/>
                        </w:rPr>
                        <w:t>M.</w:t>
                      </w:r>
                      <w:r>
                        <w:rPr>
                          <w:color w:val="231F20"/>
                          <w:spacing w:val="-10"/>
                          <w:sz w:val="21"/>
                        </w:rPr>
                        <w:t xml:space="preserve"> </w:t>
                      </w:r>
                      <w:r>
                        <w:rPr>
                          <w:color w:val="231F20"/>
                          <w:sz w:val="21"/>
                        </w:rPr>
                        <w:t>(2011)</w:t>
                      </w:r>
                      <w:r>
                        <w:rPr>
                          <w:color w:val="231F20"/>
                          <w:spacing w:val="-11"/>
                          <w:sz w:val="21"/>
                        </w:rPr>
                        <w:t xml:space="preserve"> </w:t>
                      </w:r>
                      <w:r>
                        <w:rPr>
                          <w:i/>
                          <w:color w:val="231F20"/>
                          <w:sz w:val="21"/>
                        </w:rPr>
                        <w:t>The</w:t>
                      </w:r>
                      <w:r>
                        <w:rPr>
                          <w:i/>
                          <w:color w:val="231F20"/>
                          <w:spacing w:val="-11"/>
                          <w:sz w:val="21"/>
                        </w:rPr>
                        <w:t xml:space="preserve"> </w:t>
                      </w:r>
                      <w:r>
                        <w:rPr>
                          <w:i/>
                          <w:color w:val="231F20"/>
                          <w:sz w:val="21"/>
                        </w:rPr>
                        <w:t>Journal</w:t>
                      </w:r>
                      <w:r>
                        <w:rPr>
                          <w:i/>
                          <w:color w:val="231F20"/>
                          <w:spacing w:val="-11"/>
                          <w:sz w:val="21"/>
                        </w:rPr>
                        <w:t xml:space="preserve"> </w:t>
                      </w:r>
                      <w:r>
                        <w:rPr>
                          <w:i/>
                          <w:color w:val="231F20"/>
                          <w:sz w:val="21"/>
                        </w:rPr>
                        <w:t>of</w:t>
                      </w:r>
                      <w:r>
                        <w:rPr>
                          <w:i/>
                          <w:color w:val="231F20"/>
                          <w:spacing w:val="-11"/>
                          <w:sz w:val="21"/>
                        </w:rPr>
                        <w:t xml:space="preserve"> </w:t>
                      </w:r>
                      <w:r>
                        <w:rPr>
                          <w:i/>
                          <w:color w:val="231F20"/>
                          <w:sz w:val="21"/>
                        </w:rPr>
                        <w:t>Sport</w:t>
                      </w:r>
                      <w:r>
                        <w:rPr>
                          <w:i/>
                          <w:color w:val="231F20"/>
                          <w:spacing w:val="-11"/>
                          <w:sz w:val="21"/>
                        </w:rPr>
                        <w:t xml:space="preserve"> </w:t>
                      </w:r>
                      <w:r>
                        <w:rPr>
                          <w:i/>
                          <w:color w:val="231F20"/>
                          <w:w w:val="105"/>
                          <w:sz w:val="21"/>
                        </w:rPr>
                        <w:t>&amp;</w:t>
                      </w:r>
                      <w:r>
                        <w:rPr>
                          <w:i/>
                          <w:color w:val="231F20"/>
                          <w:spacing w:val="-13"/>
                          <w:w w:val="105"/>
                          <w:sz w:val="21"/>
                        </w:rPr>
                        <w:t xml:space="preserve"> </w:t>
                      </w:r>
                      <w:r>
                        <w:rPr>
                          <w:i/>
                          <w:color w:val="231F20"/>
                          <w:sz w:val="21"/>
                        </w:rPr>
                        <w:t>Tourism</w:t>
                      </w:r>
                      <w:r>
                        <w:rPr>
                          <w:color w:val="231F20"/>
                          <w:sz w:val="21"/>
                        </w:rPr>
                        <w:t>:</w:t>
                      </w:r>
                      <w:r>
                        <w:rPr>
                          <w:color w:val="231F20"/>
                          <w:spacing w:val="-10"/>
                          <w:sz w:val="21"/>
                        </w:rPr>
                        <w:t xml:space="preserve"> </w:t>
                      </w:r>
                      <w:r>
                        <w:rPr>
                          <w:color w:val="231F20"/>
                          <w:sz w:val="21"/>
                        </w:rPr>
                        <w:t>A</w:t>
                      </w:r>
                      <w:r>
                        <w:rPr>
                          <w:color w:val="231F20"/>
                          <w:spacing w:val="-11"/>
                          <w:sz w:val="21"/>
                        </w:rPr>
                        <w:t xml:space="preserve"> </w:t>
                      </w:r>
                      <w:r>
                        <w:rPr>
                          <w:color w:val="231F20"/>
                          <w:sz w:val="21"/>
                        </w:rPr>
                        <w:t>maturing</w:t>
                      </w:r>
                      <w:r>
                        <w:rPr>
                          <w:color w:val="231F20"/>
                          <w:spacing w:val="-11"/>
                          <w:sz w:val="21"/>
                        </w:rPr>
                        <w:t xml:space="preserve"> </w:t>
                      </w:r>
                      <w:r>
                        <w:rPr>
                          <w:color w:val="231F20"/>
                          <w:sz w:val="21"/>
                        </w:rPr>
                        <w:t xml:space="preserve">literature. In T.D. Hinch and J.E.S. Higham (eds) </w:t>
                      </w:r>
                      <w:r>
                        <w:rPr>
                          <w:i/>
                          <w:color w:val="231F20"/>
                          <w:sz w:val="21"/>
                        </w:rPr>
                        <w:t>Sport Tourism Development</w:t>
                      </w:r>
                      <w:r>
                        <w:rPr>
                          <w:i/>
                          <w:color w:val="231F20"/>
                          <w:spacing w:val="80"/>
                          <w:sz w:val="21"/>
                        </w:rPr>
                        <w:t xml:space="preserve"> </w:t>
                      </w:r>
                      <w:r>
                        <w:rPr>
                          <w:color w:val="231F20"/>
                          <w:sz w:val="21"/>
                        </w:rPr>
                        <w:t>(2nd edn; pp. 447–450). Bristol: Channel View Publications.</w:t>
                      </w:r>
                    </w:p>
                  </w:txbxContent>
                </v:textbox>
                <w10:wrap type="topAndBottom" anchorx="page"/>
              </v:shape>
            </w:pict>
          </mc:Fallback>
        </mc:AlternateContent>
      </w:r>
    </w:p>
    <w:p w14:paraId="1FA327A1" w14:textId="77777777" w:rsidR="00AE0598" w:rsidRDefault="0069255A">
      <w:pPr>
        <w:pStyle w:val="Corpodetexto"/>
        <w:spacing w:before="87" w:line="232" w:lineRule="auto"/>
        <w:ind w:left="110" w:right="106" w:firstLine="320"/>
        <w:jc w:val="both"/>
      </w:pPr>
      <w:r>
        <w:rPr>
          <w:color w:val="231F20"/>
        </w:rPr>
        <w:t xml:space="preserve">In addition to the parent fields of sport and tourism, there are a </w:t>
      </w:r>
      <w:r>
        <w:rPr>
          <w:color w:val="231F20"/>
          <w:w w:val="95"/>
        </w:rPr>
        <w:t>multitude</w:t>
      </w:r>
      <w:r>
        <w:rPr>
          <w:color w:val="231F20"/>
          <w:spacing w:val="-2"/>
          <w:w w:val="95"/>
        </w:rPr>
        <w:t xml:space="preserve"> </w:t>
      </w:r>
      <w:r>
        <w:rPr>
          <w:color w:val="231F20"/>
          <w:w w:val="95"/>
        </w:rPr>
        <w:t>of</w:t>
      </w:r>
      <w:r>
        <w:rPr>
          <w:color w:val="231F20"/>
          <w:spacing w:val="-2"/>
          <w:w w:val="95"/>
        </w:rPr>
        <w:t xml:space="preserve"> </w:t>
      </w:r>
      <w:r>
        <w:rPr>
          <w:color w:val="231F20"/>
          <w:w w:val="95"/>
        </w:rPr>
        <w:t>other</w:t>
      </w:r>
      <w:r>
        <w:rPr>
          <w:color w:val="231F20"/>
          <w:spacing w:val="-2"/>
          <w:w w:val="95"/>
        </w:rPr>
        <w:t xml:space="preserve"> </w:t>
      </w:r>
      <w:r>
        <w:rPr>
          <w:color w:val="231F20"/>
          <w:w w:val="95"/>
        </w:rPr>
        <w:t>areas</w:t>
      </w:r>
      <w:r>
        <w:rPr>
          <w:color w:val="231F20"/>
          <w:spacing w:val="-2"/>
          <w:w w:val="95"/>
        </w:rPr>
        <w:t xml:space="preserve"> </w:t>
      </w:r>
      <w:r>
        <w:rPr>
          <w:color w:val="231F20"/>
          <w:w w:val="95"/>
        </w:rPr>
        <w:t>of</w:t>
      </w:r>
      <w:r>
        <w:rPr>
          <w:color w:val="231F20"/>
          <w:spacing w:val="-2"/>
          <w:w w:val="95"/>
        </w:rPr>
        <w:t xml:space="preserve"> </w:t>
      </w:r>
      <w:r>
        <w:rPr>
          <w:color w:val="231F20"/>
          <w:w w:val="95"/>
        </w:rPr>
        <w:t>academic</w:t>
      </w:r>
      <w:r>
        <w:rPr>
          <w:color w:val="231F20"/>
          <w:spacing w:val="-2"/>
          <w:w w:val="95"/>
        </w:rPr>
        <w:t xml:space="preserve"> </w:t>
      </w:r>
      <w:r>
        <w:rPr>
          <w:color w:val="231F20"/>
          <w:w w:val="95"/>
        </w:rPr>
        <w:t>study</w:t>
      </w:r>
      <w:r>
        <w:rPr>
          <w:color w:val="231F20"/>
          <w:spacing w:val="-2"/>
          <w:w w:val="95"/>
        </w:rPr>
        <w:t xml:space="preserve"> </w:t>
      </w:r>
      <w:r>
        <w:rPr>
          <w:color w:val="231F20"/>
          <w:w w:val="95"/>
        </w:rPr>
        <w:t>that</w:t>
      </w:r>
      <w:r>
        <w:rPr>
          <w:color w:val="231F20"/>
          <w:spacing w:val="-2"/>
          <w:w w:val="95"/>
        </w:rPr>
        <w:t xml:space="preserve"> </w:t>
      </w:r>
      <w:r>
        <w:rPr>
          <w:color w:val="231F20"/>
          <w:w w:val="95"/>
        </w:rPr>
        <w:t>overlap</w:t>
      </w:r>
      <w:r>
        <w:rPr>
          <w:color w:val="231F20"/>
          <w:spacing w:val="-2"/>
          <w:w w:val="95"/>
        </w:rPr>
        <w:t xml:space="preserve"> </w:t>
      </w:r>
      <w:r>
        <w:rPr>
          <w:color w:val="231F20"/>
          <w:w w:val="95"/>
        </w:rPr>
        <w:t>and</w:t>
      </w:r>
      <w:r>
        <w:rPr>
          <w:color w:val="231F20"/>
          <w:spacing w:val="-2"/>
          <w:w w:val="95"/>
        </w:rPr>
        <w:t xml:space="preserve"> </w:t>
      </w:r>
      <w:r>
        <w:rPr>
          <w:color w:val="231F20"/>
          <w:w w:val="95"/>
        </w:rPr>
        <w:t>have</w:t>
      </w:r>
      <w:r>
        <w:rPr>
          <w:color w:val="231F20"/>
          <w:spacing w:val="-2"/>
          <w:w w:val="95"/>
        </w:rPr>
        <w:t xml:space="preserve"> </w:t>
      </w:r>
      <w:r>
        <w:rPr>
          <w:color w:val="231F20"/>
          <w:w w:val="95"/>
        </w:rPr>
        <w:t xml:space="preserve">significant relevance for sport tourism (Figure 2.2). Four examples that are indicative </w:t>
      </w:r>
      <w:r>
        <w:rPr>
          <w:color w:val="231F20"/>
        </w:rPr>
        <w:t>of</w:t>
      </w:r>
      <w:r>
        <w:rPr>
          <w:color w:val="231F20"/>
          <w:spacing w:val="-4"/>
        </w:rPr>
        <w:t xml:space="preserve"> </w:t>
      </w:r>
      <w:r>
        <w:rPr>
          <w:color w:val="231F20"/>
        </w:rPr>
        <w:t>these</w:t>
      </w:r>
      <w:r>
        <w:rPr>
          <w:color w:val="231F20"/>
          <w:spacing w:val="-4"/>
        </w:rPr>
        <w:t xml:space="preserve"> </w:t>
      </w:r>
      <w:r>
        <w:rPr>
          <w:color w:val="231F20"/>
        </w:rPr>
        <w:t>many</w:t>
      </w:r>
      <w:r>
        <w:rPr>
          <w:color w:val="231F20"/>
          <w:spacing w:val="-4"/>
        </w:rPr>
        <w:t xml:space="preserve"> </w:t>
      </w:r>
      <w:r>
        <w:rPr>
          <w:color w:val="231F20"/>
        </w:rPr>
        <w:t>associated</w:t>
      </w:r>
      <w:r>
        <w:rPr>
          <w:color w:val="231F20"/>
          <w:spacing w:val="-4"/>
        </w:rPr>
        <w:t xml:space="preserve"> </w:t>
      </w:r>
      <w:r>
        <w:rPr>
          <w:color w:val="231F20"/>
        </w:rPr>
        <w:t>fields</w:t>
      </w:r>
      <w:r>
        <w:rPr>
          <w:color w:val="231F20"/>
          <w:spacing w:val="-4"/>
        </w:rPr>
        <w:t xml:space="preserve"> </w:t>
      </w:r>
      <w:r>
        <w:rPr>
          <w:color w:val="231F20"/>
        </w:rPr>
        <w:t>include</w:t>
      </w:r>
      <w:r>
        <w:rPr>
          <w:color w:val="231F20"/>
          <w:spacing w:val="-5"/>
        </w:rPr>
        <w:t xml:space="preserve"> </w:t>
      </w:r>
      <w:r>
        <w:rPr>
          <w:color w:val="231F20"/>
        </w:rPr>
        <w:t>events,</w:t>
      </w:r>
      <w:r>
        <w:rPr>
          <w:color w:val="231F20"/>
          <w:spacing w:val="-5"/>
        </w:rPr>
        <w:t xml:space="preserve"> </w:t>
      </w:r>
      <w:r>
        <w:rPr>
          <w:color w:val="231F20"/>
        </w:rPr>
        <w:t>outdoor</w:t>
      </w:r>
      <w:r>
        <w:rPr>
          <w:color w:val="231F20"/>
          <w:spacing w:val="-5"/>
        </w:rPr>
        <w:t xml:space="preserve"> </w:t>
      </w:r>
      <w:r>
        <w:rPr>
          <w:color w:val="231F20"/>
        </w:rPr>
        <w:t>recreation,</w:t>
      </w:r>
      <w:r>
        <w:rPr>
          <w:color w:val="231F20"/>
          <w:spacing w:val="-5"/>
        </w:rPr>
        <w:t xml:space="preserve"> </w:t>
      </w:r>
      <w:r>
        <w:rPr>
          <w:color w:val="231F20"/>
        </w:rPr>
        <w:t>sport management</w:t>
      </w:r>
      <w:r>
        <w:rPr>
          <w:color w:val="231F20"/>
          <w:spacing w:val="-7"/>
        </w:rPr>
        <w:t xml:space="preserve"> </w:t>
      </w:r>
      <w:r>
        <w:rPr>
          <w:color w:val="231F20"/>
        </w:rPr>
        <w:t>and</w:t>
      </w:r>
      <w:r>
        <w:rPr>
          <w:color w:val="231F20"/>
          <w:spacing w:val="-7"/>
        </w:rPr>
        <w:t xml:space="preserve"> </w:t>
      </w:r>
      <w:r>
        <w:rPr>
          <w:color w:val="231F20"/>
        </w:rPr>
        <w:t>health</w:t>
      </w:r>
      <w:r>
        <w:rPr>
          <w:color w:val="231F20"/>
          <w:spacing w:val="-7"/>
        </w:rPr>
        <w:t xml:space="preserve"> </w:t>
      </w:r>
      <w:r>
        <w:rPr>
          <w:color w:val="231F20"/>
        </w:rPr>
        <w:t>&amp;</w:t>
      </w:r>
      <w:r>
        <w:rPr>
          <w:color w:val="231F20"/>
          <w:spacing w:val="-7"/>
        </w:rPr>
        <w:t xml:space="preserve"> </w:t>
      </w:r>
      <w:r>
        <w:rPr>
          <w:color w:val="231F20"/>
        </w:rPr>
        <w:t>fitness.</w:t>
      </w:r>
      <w:r>
        <w:rPr>
          <w:color w:val="231F20"/>
          <w:spacing w:val="-7"/>
        </w:rPr>
        <w:t xml:space="preserve"> </w:t>
      </w:r>
      <w:r>
        <w:rPr>
          <w:color w:val="231F20"/>
        </w:rPr>
        <w:t>Event</w:t>
      </w:r>
      <w:r>
        <w:rPr>
          <w:color w:val="231F20"/>
          <w:spacing w:val="-7"/>
        </w:rPr>
        <w:t xml:space="preserve"> </w:t>
      </w:r>
      <w:r>
        <w:rPr>
          <w:color w:val="231F20"/>
        </w:rPr>
        <w:t>studies</w:t>
      </w:r>
      <w:r>
        <w:rPr>
          <w:color w:val="231F20"/>
          <w:spacing w:val="-7"/>
        </w:rPr>
        <w:t xml:space="preserve"> </w:t>
      </w:r>
      <w:r>
        <w:rPr>
          <w:color w:val="231F20"/>
        </w:rPr>
        <w:t>include</w:t>
      </w:r>
      <w:r>
        <w:rPr>
          <w:color w:val="231F20"/>
          <w:spacing w:val="-7"/>
        </w:rPr>
        <w:t xml:space="preserve"> </w:t>
      </w:r>
      <w:r>
        <w:rPr>
          <w:color w:val="231F20"/>
        </w:rPr>
        <w:t>the</w:t>
      </w:r>
      <w:r>
        <w:rPr>
          <w:color w:val="231F20"/>
          <w:spacing w:val="-7"/>
        </w:rPr>
        <w:t xml:space="preserve"> </w:t>
      </w:r>
      <w:r>
        <w:rPr>
          <w:color w:val="231F20"/>
        </w:rPr>
        <w:t>examination of spo</w:t>
      </w:r>
      <w:r>
        <w:rPr>
          <w:color w:val="231F20"/>
        </w:rPr>
        <w:t>rts events along with a range of other types of festivals, meetings, conferences and exhibitions (Getz &amp; Page, 2016). While sport events</w:t>
      </w:r>
      <w:r>
        <w:rPr>
          <w:color w:val="231F20"/>
          <w:spacing w:val="80"/>
        </w:rPr>
        <w:t xml:space="preserve"> </w:t>
      </w:r>
      <w:r>
        <w:rPr>
          <w:color w:val="231F20"/>
        </w:rPr>
        <w:t xml:space="preserve">are a popular topic in this field, event researchers seldom highlight the </w:t>
      </w:r>
      <w:r>
        <w:rPr>
          <w:color w:val="231F20"/>
          <w:w w:val="95"/>
        </w:rPr>
        <w:t>distinguishing features of sporting events re</w:t>
      </w:r>
      <w:r>
        <w:rPr>
          <w:color w:val="231F20"/>
          <w:w w:val="95"/>
        </w:rPr>
        <w:t xml:space="preserve">lative to other types of events. Even if they did, it is important to recognise that events only comprise one </w:t>
      </w:r>
      <w:r>
        <w:rPr>
          <w:color w:val="231F20"/>
        </w:rPr>
        <w:t>aspect,</w:t>
      </w:r>
      <w:r>
        <w:rPr>
          <w:color w:val="231F20"/>
          <w:spacing w:val="-5"/>
        </w:rPr>
        <w:t xml:space="preserve"> </w:t>
      </w:r>
      <w:r>
        <w:rPr>
          <w:color w:val="231F20"/>
        </w:rPr>
        <w:t>albeit</w:t>
      </w:r>
      <w:r>
        <w:rPr>
          <w:color w:val="231F20"/>
          <w:spacing w:val="-5"/>
        </w:rPr>
        <w:t xml:space="preserve"> </w:t>
      </w:r>
      <w:r>
        <w:rPr>
          <w:color w:val="231F20"/>
        </w:rPr>
        <w:t>a</w:t>
      </w:r>
      <w:r>
        <w:rPr>
          <w:color w:val="231F20"/>
          <w:spacing w:val="-5"/>
        </w:rPr>
        <w:t xml:space="preserve"> </w:t>
      </w:r>
      <w:r>
        <w:rPr>
          <w:color w:val="231F20"/>
        </w:rPr>
        <w:t>high</w:t>
      </w:r>
      <w:r>
        <w:rPr>
          <w:color w:val="231F20"/>
          <w:spacing w:val="-5"/>
        </w:rPr>
        <w:t xml:space="preserve"> </w:t>
      </w:r>
      <w:r>
        <w:rPr>
          <w:color w:val="231F20"/>
        </w:rPr>
        <w:t>profile</w:t>
      </w:r>
      <w:r>
        <w:rPr>
          <w:color w:val="231F20"/>
          <w:spacing w:val="-5"/>
        </w:rPr>
        <w:t xml:space="preserve"> </w:t>
      </w:r>
      <w:r>
        <w:rPr>
          <w:color w:val="231F20"/>
        </w:rPr>
        <w:t>one,</w:t>
      </w:r>
      <w:r>
        <w:rPr>
          <w:color w:val="231F20"/>
          <w:spacing w:val="-5"/>
        </w:rPr>
        <w:t xml:space="preserve"> </w:t>
      </w:r>
      <w:r>
        <w:rPr>
          <w:color w:val="231F20"/>
        </w:rPr>
        <w:t>of</w:t>
      </w:r>
      <w:r>
        <w:rPr>
          <w:color w:val="231F20"/>
          <w:spacing w:val="-5"/>
        </w:rPr>
        <w:t xml:space="preserve"> </w:t>
      </w:r>
      <w:r>
        <w:rPr>
          <w:color w:val="231F20"/>
        </w:rPr>
        <w:t>sport</w:t>
      </w:r>
      <w:r>
        <w:rPr>
          <w:color w:val="231F20"/>
          <w:spacing w:val="-5"/>
        </w:rPr>
        <w:t xml:space="preserve"> </w:t>
      </w:r>
      <w:r>
        <w:rPr>
          <w:color w:val="231F20"/>
        </w:rPr>
        <w:t>tourism</w:t>
      </w:r>
      <w:r>
        <w:rPr>
          <w:color w:val="231F20"/>
          <w:spacing w:val="-5"/>
        </w:rPr>
        <w:t xml:space="preserve"> </w:t>
      </w:r>
      <w:r>
        <w:rPr>
          <w:color w:val="231F20"/>
        </w:rPr>
        <w:t>(see</w:t>
      </w:r>
      <w:r>
        <w:rPr>
          <w:color w:val="231F20"/>
          <w:spacing w:val="-5"/>
        </w:rPr>
        <w:t xml:space="preserve"> </w:t>
      </w:r>
      <w:r>
        <w:rPr>
          <w:color w:val="231F20"/>
        </w:rPr>
        <w:t>on-site</w:t>
      </w:r>
      <w:r>
        <w:rPr>
          <w:color w:val="231F20"/>
          <w:spacing w:val="-5"/>
        </w:rPr>
        <w:t xml:space="preserve"> </w:t>
      </w:r>
      <w:r>
        <w:rPr>
          <w:color w:val="231F20"/>
        </w:rPr>
        <w:t>activities</w:t>
      </w:r>
      <w:r>
        <w:rPr>
          <w:color w:val="231F20"/>
          <w:spacing w:val="-5"/>
        </w:rPr>
        <w:t xml:space="preserve"> </w:t>
      </w:r>
      <w:r>
        <w:rPr>
          <w:color w:val="231F20"/>
        </w:rPr>
        <w:t xml:space="preserve">in </w:t>
      </w:r>
      <w:r>
        <w:rPr>
          <w:color w:val="231F20"/>
          <w:w w:val="95"/>
        </w:rPr>
        <w:t>Figure 2.1). In fact, in her analysis of sport travel in Canada, We</w:t>
      </w:r>
      <w:r>
        <w:rPr>
          <w:color w:val="231F20"/>
          <w:w w:val="95"/>
        </w:rPr>
        <w:t xml:space="preserve">ighill (2002) </w:t>
      </w:r>
      <w:r>
        <w:rPr>
          <w:color w:val="231F20"/>
        </w:rPr>
        <w:t xml:space="preserve">found that trips to participate in active sport tourism far outnumbered those associated with trips to spectate at sporting events. As such, it is </w:t>
      </w:r>
      <w:r>
        <w:rPr>
          <w:color w:val="231F20"/>
          <w:w w:val="95"/>
        </w:rPr>
        <w:t xml:space="preserve">critical that sport tourism scholarship is expanded beyond the confines of </w:t>
      </w:r>
      <w:r>
        <w:rPr>
          <w:color w:val="231F20"/>
        </w:rPr>
        <w:t>high profile spectat</w:t>
      </w:r>
      <w:r>
        <w:rPr>
          <w:color w:val="231F20"/>
        </w:rPr>
        <w:t>or events.</w:t>
      </w:r>
    </w:p>
    <w:p w14:paraId="5133FBAB" w14:textId="77777777" w:rsidR="00AE0598" w:rsidRDefault="0069255A">
      <w:pPr>
        <w:pStyle w:val="Corpodetexto"/>
        <w:spacing w:before="19" w:line="232" w:lineRule="auto"/>
        <w:ind w:left="110" w:right="107" w:firstLine="320"/>
        <w:jc w:val="both"/>
      </w:pPr>
      <w:r>
        <w:rPr>
          <w:color w:val="231F20"/>
        </w:rPr>
        <w:t>The</w:t>
      </w:r>
      <w:r>
        <w:rPr>
          <w:color w:val="231F20"/>
          <w:spacing w:val="-9"/>
        </w:rPr>
        <w:t xml:space="preserve"> </w:t>
      </w:r>
      <w:r>
        <w:rPr>
          <w:color w:val="231F20"/>
        </w:rPr>
        <w:t>essence</w:t>
      </w:r>
      <w:r>
        <w:rPr>
          <w:color w:val="231F20"/>
          <w:spacing w:val="-9"/>
        </w:rPr>
        <w:t xml:space="preserve"> </w:t>
      </w:r>
      <w:r>
        <w:rPr>
          <w:color w:val="231F20"/>
        </w:rPr>
        <w:t>of</w:t>
      </w:r>
      <w:r>
        <w:rPr>
          <w:color w:val="231F20"/>
          <w:spacing w:val="-9"/>
        </w:rPr>
        <w:t xml:space="preserve"> </w:t>
      </w:r>
      <w:r>
        <w:rPr>
          <w:color w:val="231F20"/>
        </w:rPr>
        <w:t>the</w:t>
      </w:r>
      <w:r>
        <w:rPr>
          <w:color w:val="231F20"/>
          <w:spacing w:val="-9"/>
        </w:rPr>
        <w:t xml:space="preserve"> </w:t>
      </w:r>
      <w:r>
        <w:rPr>
          <w:color w:val="231F20"/>
        </w:rPr>
        <w:t>outdoor</w:t>
      </w:r>
      <w:r>
        <w:rPr>
          <w:color w:val="231F20"/>
          <w:spacing w:val="-9"/>
        </w:rPr>
        <w:t xml:space="preserve"> </w:t>
      </w:r>
      <w:r>
        <w:rPr>
          <w:color w:val="231F20"/>
        </w:rPr>
        <w:t>recreation</w:t>
      </w:r>
      <w:r>
        <w:rPr>
          <w:color w:val="231F20"/>
          <w:spacing w:val="-9"/>
        </w:rPr>
        <w:t xml:space="preserve"> </w:t>
      </w:r>
      <w:r>
        <w:rPr>
          <w:color w:val="231F20"/>
        </w:rPr>
        <w:t>domain</w:t>
      </w:r>
      <w:r>
        <w:rPr>
          <w:color w:val="231F20"/>
          <w:spacing w:val="-9"/>
        </w:rPr>
        <w:t xml:space="preserve"> </w:t>
      </w:r>
      <w:r>
        <w:rPr>
          <w:color w:val="231F20"/>
        </w:rPr>
        <w:t>is</w:t>
      </w:r>
      <w:r>
        <w:rPr>
          <w:color w:val="231F20"/>
          <w:spacing w:val="-9"/>
        </w:rPr>
        <w:t xml:space="preserve"> </w:t>
      </w:r>
      <w:r>
        <w:rPr>
          <w:color w:val="231F20"/>
        </w:rPr>
        <w:t>that</w:t>
      </w:r>
      <w:r>
        <w:rPr>
          <w:color w:val="231F20"/>
          <w:spacing w:val="-9"/>
        </w:rPr>
        <w:t xml:space="preserve"> </w:t>
      </w:r>
      <w:r>
        <w:rPr>
          <w:color w:val="231F20"/>
        </w:rPr>
        <w:t>it</w:t>
      </w:r>
      <w:r>
        <w:rPr>
          <w:color w:val="231F20"/>
          <w:spacing w:val="-9"/>
        </w:rPr>
        <w:t xml:space="preserve"> </w:t>
      </w:r>
      <w:r>
        <w:rPr>
          <w:color w:val="231F20"/>
        </w:rPr>
        <w:t>tends</w:t>
      </w:r>
      <w:r>
        <w:rPr>
          <w:color w:val="231F20"/>
          <w:spacing w:val="-9"/>
        </w:rPr>
        <w:t xml:space="preserve"> </w:t>
      </w:r>
      <w:r>
        <w:rPr>
          <w:color w:val="231F20"/>
        </w:rPr>
        <w:t>to</w:t>
      </w:r>
      <w:r>
        <w:rPr>
          <w:color w:val="231F20"/>
          <w:spacing w:val="-9"/>
        </w:rPr>
        <w:t xml:space="preserve"> </w:t>
      </w:r>
      <w:r>
        <w:rPr>
          <w:color w:val="231F20"/>
        </w:rPr>
        <w:t xml:space="preserve">occur </w:t>
      </w:r>
      <w:r>
        <w:rPr>
          <w:color w:val="231F20"/>
          <w:w w:val="95"/>
        </w:rPr>
        <w:t xml:space="preserve">in natural settings, involving relatively non-institutionalised activities such </w:t>
      </w:r>
      <w:r>
        <w:rPr>
          <w:color w:val="231F20"/>
        </w:rPr>
        <w:t>as canoeing, skiing and surfing. In addition to many popular activities such</w:t>
      </w:r>
      <w:r>
        <w:rPr>
          <w:color w:val="231F20"/>
          <w:spacing w:val="-6"/>
        </w:rPr>
        <w:t xml:space="preserve"> </w:t>
      </w:r>
      <w:r>
        <w:rPr>
          <w:color w:val="231F20"/>
        </w:rPr>
        <w:t>as</w:t>
      </w:r>
      <w:r>
        <w:rPr>
          <w:color w:val="231F20"/>
          <w:spacing w:val="-6"/>
        </w:rPr>
        <w:t xml:space="preserve"> </w:t>
      </w:r>
      <w:r>
        <w:rPr>
          <w:color w:val="231F20"/>
        </w:rPr>
        <w:t>hiking,</w:t>
      </w:r>
      <w:r>
        <w:rPr>
          <w:color w:val="231F20"/>
          <w:spacing w:val="-6"/>
        </w:rPr>
        <w:t xml:space="preserve"> </w:t>
      </w:r>
      <w:r>
        <w:rPr>
          <w:color w:val="231F20"/>
        </w:rPr>
        <w:t>it</w:t>
      </w:r>
      <w:r>
        <w:rPr>
          <w:color w:val="231F20"/>
          <w:spacing w:val="-6"/>
        </w:rPr>
        <w:t xml:space="preserve"> </w:t>
      </w:r>
      <w:r>
        <w:rPr>
          <w:color w:val="231F20"/>
        </w:rPr>
        <w:t>includes</w:t>
      </w:r>
      <w:r>
        <w:rPr>
          <w:color w:val="231F20"/>
          <w:spacing w:val="-6"/>
        </w:rPr>
        <w:t xml:space="preserve"> </w:t>
      </w:r>
      <w:r>
        <w:rPr>
          <w:color w:val="231F20"/>
        </w:rPr>
        <w:t>many</w:t>
      </w:r>
      <w:r>
        <w:rPr>
          <w:color w:val="231F20"/>
          <w:spacing w:val="-6"/>
        </w:rPr>
        <w:t xml:space="preserve"> </w:t>
      </w:r>
      <w:r>
        <w:rPr>
          <w:color w:val="231F20"/>
        </w:rPr>
        <w:t>adventure</w:t>
      </w:r>
      <w:r>
        <w:rPr>
          <w:color w:val="231F20"/>
          <w:spacing w:val="-6"/>
        </w:rPr>
        <w:t xml:space="preserve"> </w:t>
      </w:r>
      <w:r>
        <w:rPr>
          <w:color w:val="231F20"/>
        </w:rPr>
        <w:t>and</w:t>
      </w:r>
      <w:r>
        <w:rPr>
          <w:color w:val="231F20"/>
          <w:spacing w:val="-6"/>
        </w:rPr>
        <w:t xml:space="preserve"> </w:t>
      </w:r>
      <w:r>
        <w:rPr>
          <w:color w:val="231F20"/>
        </w:rPr>
        <w:t>extreme</w:t>
      </w:r>
      <w:r>
        <w:rPr>
          <w:color w:val="231F20"/>
          <w:spacing w:val="-6"/>
        </w:rPr>
        <w:t xml:space="preserve"> </w:t>
      </w:r>
      <w:r>
        <w:rPr>
          <w:color w:val="231F20"/>
        </w:rPr>
        <w:t>sports</w:t>
      </w:r>
      <w:r>
        <w:rPr>
          <w:color w:val="231F20"/>
          <w:spacing w:val="-6"/>
        </w:rPr>
        <w:t xml:space="preserve"> </w:t>
      </w:r>
      <w:r>
        <w:rPr>
          <w:color w:val="231F20"/>
        </w:rPr>
        <w:t>that</w:t>
      </w:r>
      <w:r>
        <w:rPr>
          <w:color w:val="231F20"/>
          <w:spacing w:val="-6"/>
        </w:rPr>
        <w:t xml:space="preserve"> </w:t>
      </w:r>
      <w:r>
        <w:rPr>
          <w:color w:val="231F20"/>
        </w:rPr>
        <w:t>often require substantial travel to access unique natural resources. Kane and Zink’s (2004) work on package adventure</w:t>
      </w:r>
      <w:r>
        <w:rPr>
          <w:color w:val="231F20"/>
        </w:rPr>
        <w:t xml:space="preserve"> tours, while not explicitly </w:t>
      </w:r>
      <w:r>
        <w:rPr>
          <w:color w:val="231F20"/>
          <w:w w:val="95"/>
        </w:rPr>
        <w:t>positioned</w:t>
      </w:r>
      <w:r>
        <w:rPr>
          <w:color w:val="231F20"/>
          <w:spacing w:val="37"/>
        </w:rPr>
        <w:t xml:space="preserve"> </w:t>
      </w:r>
      <w:r>
        <w:rPr>
          <w:color w:val="231F20"/>
          <w:w w:val="95"/>
        </w:rPr>
        <w:t>in</w:t>
      </w:r>
      <w:r>
        <w:rPr>
          <w:color w:val="231F20"/>
          <w:spacing w:val="37"/>
        </w:rPr>
        <w:t xml:space="preserve"> </w:t>
      </w:r>
      <w:r>
        <w:rPr>
          <w:color w:val="231F20"/>
          <w:w w:val="95"/>
        </w:rPr>
        <w:t>terms</w:t>
      </w:r>
      <w:r>
        <w:rPr>
          <w:color w:val="231F20"/>
          <w:spacing w:val="37"/>
        </w:rPr>
        <w:t xml:space="preserve"> </w:t>
      </w:r>
      <w:r>
        <w:rPr>
          <w:color w:val="231F20"/>
          <w:w w:val="95"/>
        </w:rPr>
        <w:t>of</w:t>
      </w:r>
      <w:r>
        <w:rPr>
          <w:color w:val="231F20"/>
          <w:spacing w:val="37"/>
        </w:rPr>
        <w:t xml:space="preserve"> </w:t>
      </w:r>
      <w:r>
        <w:rPr>
          <w:color w:val="231F20"/>
          <w:w w:val="95"/>
        </w:rPr>
        <w:t>active</w:t>
      </w:r>
      <w:r>
        <w:rPr>
          <w:color w:val="231F20"/>
          <w:spacing w:val="37"/>
        </w:rPr>
        <w:t xml:space="preserve"> </w:t>
      </w:r>
      <w:r>
        <w:rPr>
          <w:color w:val="231F20"/>
          <w:w w:val="95"/>
        </w:rPr>
        <w:t>sport</w:t>
      </w:r>
      <w:r>
        <w:rPr>
          <w:color w:val="231F20"/>
          <w:spacing w:val="37"/>
        </w:rPr>
        <w:t xml:space="preserve"> </w:t>
      </w:r>
      <w:r>
        <w:rPr>
          <w:color w:val="231F20"/>
          <w:w w:val="95"/>
        </w:rPr>
        <w:t>tourism,</w:t>
      </w:r>
      <w:r>
        <w:rPr>
          <w:color w:val="231F20"/>
          <w:spacing w:val="37"/>
        </w:rPr>
        <w:t xml:space="preserve"> </w:t>
      </w:r>
      <w:r>
        <w:rPr>
          <w:color w:val="231F20"/>
          <w:w w:val="95"/>
        </w:rPr>
        <w:t>provides</w:t>
      </w:r>
      <w:r>
        <w:rPr>
          <w:color w:val="231F20"/>
          <w:spacing w:val="37"/>
        </w:rPr>
        <w:t xml:space="preserve"> </w:t>
      </w:r>
      <w:r>
        <w:rPr>
          <w:color w:val="231F20"/>
          <w:w w:val="95"/>
        </w:rPr>
        <w:t>intriguing</w:t>
      </w:r>
      <w:r>
        <w:rPr>
          <w:color w:val="231F20"/>
          <w:spacing w:val="37"/>
        </w:rPr>
        <w:t xml:space="preserve"> </w:t>
      </w:r>
      <w:r>
        <w:rPr>
          <w:color w:val="231F20"/>
          <w:w w:val="95"/>
        </w:rPr>
        <w:t>insights</w:t>
      </w:r>
    </w:p>
    <w:p w14:paraId="524AA118" w14:textId="77777777" w:rsidR="00AE0598" w:rsidRDefault="00AE0598">
      <w:pPr>
        <w:spacing w:line="232" w:lineRule="auto"/>
        <w:jc w:val="both"/>
        <w:sectPr w:rsidR="00AE0598">
          <w:pgSz w:w="8850" w:h="13270"/>
          <w:pgMar w:top="720" w:right="1080" w:bottom="280" w:left="1080" w:header="720" w:footer="720" w:gutter="0"/>
          <w:cols w:space="720"/>
        </w:sectPr>
      </w:pPr>
    </w:p>
    <w:p w14:paraId="1412E49F" w14:textId="77777777" w:rsidR="00AE0598" w:rsidRDefault="0069255A">
      <w:pPr>
        <w:spacing w:before="87"/>
        <w:ind w:left="108"/>
        <w:rPr>
          <w:rFonts w:ascii="Trebuchet MS"/>
          <w:sz w:val="14"/>
        </w:rPr>
      </w:pPr>
      <w:r>
        <w:rPr>
          <w:rFonts w:ascii="Trebuchet MS"/>
          <w:color w:val="231F20"/>
          <w:w w:val="105"/>
          <w:sz w:val="14"/>
        </w:rPr>
        <w:lastRenderedPageBreak/>
        <w:t>30</w:t>
      </w:r>
      <w:r>
        <w:rPr>
          <w:rFonts w:ascii="Trebuchet MS"/>
          <w:color w:val="231F20"/>
          <w:spacing w:val="64"/>
          <w:w w:val="150"/>
          <w:sz w:val="14"/>
        </w:rPr>
        <w:t xml:space="preserve"> </w:t>
      </w:r>
      <w:r>
        <w:rPr>
          <w:rFonts w:ascii="Trebuchet MS"/>
          <w:color w:val="231F20"/>
          <w:w w:val="105"/>
          <w:sz w:val="14"/>
        </w:rPr>
        <w:t>Part</w:t>
      </w:r>
      <w:r>
        <w:rPr>
          <w:rFonts w:ascii="Trebuchet MS"/>
          <w:color w:val="231F20"/>
          <w:spacing w:val="-9"/>
          <w:w w:val="105"/>
          <w:sz w:val="14"/>
        </w:rPr>
        <w:t xml:space="preserve"> </w:t>
      </w:r>
      <w:r>
        <w:rPr>
          <w:rFonts w:ascii="Trebuchet MS"/>
          <w:color w:val="231F20"/>
          <w:w w:val="105"/>
          <w:sz w:val="14"/>
        </w:rPr>
        <w:t>2:</w:t>
      </w:r>
      <w:r>
        <w:rPr>
          <w:rFonts w:ascii="Trebuchet MS"/>
          <w:color w:val="231F20"/>
          <w:spacing w:val="-9"/>
          <w:w w:val="105"/>
          <w:sz w:val="14"/>
        </w:rPr>
        <w:t xml:space="preserve"> </w:t>
      </w:r>
      <w:r>
        <w:rPr>
          <w:rFonts w:ascii="Trebuchet MS"/>
          <w:color w:val="231F20"/>
          <w:w w:val="105"/>
          <w:sz w:val="14"/>
        </w:rPr>
        <w:t>Foundations</w:t>
      </w:r>
      <w:r>
        <w:rPr>
          <w:rFonts w:ascii="Trebuchet MS"/>
          <w:color w:val="231F20"/>
          <w:spacing w:val="-9"/>
          <w:w w:val="105"/>
          <w:sz w:val="14"/>
        </w:rPr>
        <w:t xml:space="preserve"> </w:t>
      </w:r>
      <w:r>
        <w:rPr>
          <w:rFonts w:ascii="Trebuchet MS"/>
          <w:color w:val="231F20"/>
          <w:w w:val="105"/>
          <w:sz w:val="14"/>
        </w:rPr>
        <w:t>of</w:t>
      </w:r>
      <w:r>
        <w:rPr>
          <w:rFonts w:ascii="Trebuchet MS"/>
          <w:color w:val="231F20"/>
          <w:spacing w:val="-9"/>
          <w:w w:val="105"/>
          <w:sz w:val="14"/>
        </w:rPr>
        <w:t xml:space="preserve"> </w:t>
      </w:r>
      <w:r>
        <w:rPr>
          <w:rFonts w:ascii="Trebuchet MS"/>
          <w:color w:val="231F20"/>
          <w:w w:val="105"/>
          <w:sz w:val="14"/>
        </w:rPr>
        <w:t>Sport</w:t>
      </w:r>
      <w:r>
        <w:rPr>
          <w:rFonts w:ascii="Trebuchet MS"/>
          <w:color w:val="231F20"/>
          <w:spacing w:val="-9"/>
          <w:w w:val="105"/>
          <w:sz w:val="14"/>
        </w:rPr>
        <w:t xml:space="preserve"> </w:t>
      </w:r>
      <w:r>
        <w:rPr>
          <w:rFonts w:ascii="Trebuchet MS"/>
          <w:color w:val="231F20"/>
          <w:w w:val="105"/>
          <w:sz w:val="14"/>
        </w:rPr>
        <w:t>Tourism</w:t>
      </w:r>
      <w:r>
        <w:rPr>
          <w:rFonts w:ascii="Trebuchet MS"/>
          <w:color w:val="231F20"/>
          <w:spacing w:val="-9"/>
          <w:w w:val="105"/>
          <w:sz w:val="14"/>
        </w:rPr>
        <w:t xml:space="preserve"> </w:t>
      </w:r>
      <w:r>
        <w:rPr>
          <w:rFonts w:ascii="Trebuchet MS"/>
          <w:color w:val="231F20"/>
          <w:spacing w:val="-2"/>
          <w:w w:val="105"/>
          <w:sz w:val="14"/>
        </w:rPr>
        <w:t>Development</w:t>
      </w:r>
    </w:p>
    <w:p w14:paraId="33D96581" w14:textId="4832EC45" w:rsidR="00AE0598" w:rsidRDefault="0069255A">
      <w:pPr>
        <w:pStyle w:val="Corpodetexto"/>
        <w:spacing w:before="6"/>
        <w:rPr>
          <w:rFonts w:ascii="Trebuchet MS"/>
          <w:sz w:val="27"/>
        </w:rPr>
      </w:pPr>
      <w:r>
        <w:rPr>
          <w:noProof/>
        </w:rPr>
        <mc:AlternateContent>
          <mc:Choice Requires="wpg">
            <w:drawing>
              <wp:anchor distT="0" distB="0" distL="0" distR="0" simplePos="0" relativeHeight="487601152" behindDoc="1" locked="0" layoutInCell="1" allowOverlap="1" wp14:anchorId="0B27E030" wp14:editId="26CE0217">
                <wp:simplePos x="0" y="0"/>
                <wp:positionH relativeFrom="page">
                  <wp:posOffset>1290320</wp:posOffset>
                </wp:positionH>
                <wp:positionV relativeFrom="paragraph">
                  <wp:posOffset>218440</wp:posOffset>
                </wp:positionV>
                <wp:extent cx="3035300" cy="2992755"/>
                <wp:effectExtent l="0" t="0" r="0" b="0"/>
                <wp:wrapTopAndBottom/>
                <wp:docPr id="316" name="docshapegroup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035300" cy="2992755"/>
                          <a:chOff x="2032" y="344"/>
                          <a:chExt cx="4780" cy="4713"/>
                        </a:xfrm>
                      </wpg:grpSpPr>
                      <wps:wsp>
                        <wps:cNvPr id="317" name="docshape53"/>
                        <wps:cNvSpPr>
                          <a:spLocks/>
                        </wps:cNvSpPr>
                        <wps:spPr bwMode="auto">
                          <a:xfrm>
                            <a:off x="2036" y="349"/>
                            <a:ext cx="4770" cy="4703"/>
                          </a:xfrm>
                          <a:custGeom>
                            <a:avLst/>
                            <a:gdLst>
                              <a:gd name="T0" fmla="+- 0 3631 2037"/>
                              <a:gd name="T1" fmla="*/ T0 w 4770"/>
                              <a:gd name="T2" fmla="+- 0 2268 349"/>
                              <a:gd name="T3" fmla="*/ 2268 h 4703"/>
                              <a:gd name="T4" fmla="+- 0 3961 2037"/>
                              <a:gd name="T5" fmla="*/ T4 w 4770"/>
                              <a:gd name="T6" fmla="+- 0 1907 349"/>
                              <a:gd name="T7" fmla="*/ 1907 h 4703"/>
                              <a:gd name="T8" fmla="+- 0 4443 2037"/>
                              <a:gd name="T9" fmla="*/ T8 w 4770"/>
                              <a:gd name="T10" fmla="+- 0 1768 349"/>
                              <a:gd name="T11" fmla="*/ 1768 h 4703"/>
                              <a:gd name="T12" fmla="+- 0 4925 2037"/>
                              <a:gd name="T13" fmla="*/ T12 w 4770"/>
                              <a:gd name="T14" fmla="+- 0 1907 349"/>
                              <a:gd name="T15" fmla="*/ 1907 h 4703"/>
                              <a:gd name="T16" fmla="+- 0 5256 2037"/>
                              <a:gd name="T17" fmla="*/ T16 w 4770"/>
                              <a:gd name="T18" fmla="+- 0 2268 349"/>
                              <a:gd name="T19" fmla="*/ 2268 h 4703"/>
                              <a:gd name="T20" fmla="+- 0 5355 2037"/>
                              <a:gd name="T21" fmla="*/ T20 w 4770"/>
                              <a:gd name="T22" fmla="+- 0 2768 349"/>
                              <a:gd name="T23" fmla="*/ 2768 h 4703"/>
                              <a:gd name="T24" fmla="+- 0 5181 2037"/>
                              <a:gd name="T25" fmla="*/ T24 w 4770"/>
                              <a:gd name="T26" fmla="+- 0 3238 349"/>
                              <a:gd name="T27" fmla="*/ 3238 h 4703"/>
                              <a:gd name="T28" fmla="+- 0 4799 2037"/>
                              <a:gd name="T29" fmla="*/ T28 w 4770"/>
                              <a:gd name="T30" fmla="+- 0 3544 349"/>
                              <a:gd name="T31" fmla="*/ 3544 h 4703"/>
                              <a:gd name="T32" fmla="+- 0 4295 2037"/>
                              <a:gd name="T33" fmla="*/ T32 w 4770"/>
                              <a:gd name="T34" fmla="+- 0 3605 349"/>
                              <a:gd name="T35" fmla="*/ 3605 h 4703"/>
                              <a:gd name="T36" fmla="+- 0 3848 2037"/>
                              <a:gd name="T37" fmla="*/ T36 w 4770"/>
                              <a:gd name="T38" fmla="+- 0 3394 349"/>
                              <a:gd name="T39" fmla="*/ 3394 h 4703"/>
                              <a:gd name="T40" fmla="+- 0 3575 2037"/>
                              <a:gd name="T41" fmla="*/ T40 w 4770"/>
                              <a:gd name="T42" fmla="+- 0 2985 349"/>
                              <a:gd name="T43" fmla="*/ 2985 h 4703"/>
                              <a:gd name="T44" fmla="+- 0 4989 2037"/>
                              <a:gd name="T45" fmla="*/ T44 w 4770"/>
                              <a:gd name="T46" fmla="+- 0 2665 349"/>
                              <a:gd name="T47" fmla="*/ 2665 h 4703"/>
                              <a:gd name="T48" fmla="+- 0 5197 2037"/>
                              <a:gd name="T49" fmla="*/ T48 w 4770"/>
                              <a:gd name="T50" fmla="+- 0 2213 349"/>
                              <a:gd name="T51" fmla="*/ 2213 h 4703"/>
                              <a:gd name="T52" fmla="+- 0 5603 2037"/>
                              <a:gd name="T53" fmla="*/ T52 w 4770"/>
                              <a:gd name="T54" fmla="+- 0 1937 349"/>
                              <a:gd name="T55" fmla="*/ 1937 h 4703"/>
                              <a:gd name="T56" fmla="+- 0 6112 2037"/>
                              <a:gd name="T57" fmla="*/ T56 w 4770"/>
                              <a:gd name="T58" fmla="+- 0 1917 349"/>
                              <a:gd name="T59" fmla="*/ 1917 h 4703"/>
                              <a:gd name="T60" fmla="+- 0 6539 2037"/>
                              <a:gd name="T61" fmla="*/ T60 w 4770"/>
                              <a:gd name="T62" fmla="+- 0 2161 349"/>
                              <a:gd name="T63" fmla="*/ 2161 h 4703"/>
                              <a:gd name="T64" fmla="+- 0 6780 2037"/>
                              <a:gd name="T65" fmla="*/ T64 w 4770"/>
                              <a:gd name="T66" fmla="+- 0 2592 349"/>
                              <a:gd name="T67" fmla="*/ 2592 h 4703"/>
                              <a:gd name="T68" fmla="+- 0 6760 2037"/>
                              <a:gd name="T69" fmla="*/ T68 w 4770"/>
                              <a:gd name="T70" fmla="+- 0 3107 349"/>
                              <a:gd name="T71" fmla="*/ 3107 h 4703"/>
                              <a:gd name="T72" fmla="+- 0 6487 2037"/>
                              <a:gd name="T73" fmla="*/ T72 w 4770"/>
                              <a:gd name="T74" fmla="+- 0 3516 349"/>
                              <a:gd name="T75" fmla="*/ 3516 h 4703"/>
                              <a:gd name="T76" fmla="+- 0 6040 2037"/>
                              <a:gd name="T77" fmla="*/ T76 w 4770"/>
                              <a:gd name="T78" fmla="+- 0 3727 349"/>
                              <a:gd name="T79" fmla="*/ 3727 h 4703"/>
                              <a:gd name="T80" fmla="+- 0 5536 2037"/>
                              <a:gd name="T81" fmla="*/ T80 w 4770"/>
                              <a:gd name="T82" fmla="+- 0 3666 349"/>
                              <a:gd name="T83" fmla="*/ 3666 h 4703"/>
                              <a:gd name="T84" fmla="+- 0 5154 2037"/>
                              <a:gd name="T85" fmla="*/ T84 w 4770"/>
                              <a:gd name="T86" fmla="+- 0 3360 349"/>
                              <a:gd name="T87" fmla="*/ 3360 h 4703"/>
                              <a:gd name="T88" fmla="+- 0 4980 2037"/>
                              <a:gd name="T89" fmla="*/ T88 w 4770"/>
                              <a:gd name="T90" fmla="+- 0 2890 349"/>
                              <a:gd name="T91" fmla="*/ 2890 h 4703"/>
                              <a:gd name="T92" fmla="+- 0 2109 2037"/>
                              <a:gd name="T93" fmla="*/ T92 w 4770"/>
                              <a:gd name="T94" fmla="+- 0 2455 349"/>
                              <a:gd name="T95" fmla="*/ 2455 h 4703"/>
                              <a:gd name="T96" fmla="+- 0 2411 2037"/>
                              <a:gd name="T97" fmla="*/ T96 w 4770"/>
                              <a:gd name="T98" fmla="+- 0 2069 349"/>
                              <a:gd name="T99" fmla="*/ 2069 h 4703"/>
                              <a:gd name="T100" fmla="+- 0 2876 2037"/>
                              <a:gd name="T101" fmla="*/ T100 w 4770"/>
                              <a:gd name="T102" fmla="+- 0 1894 349"/>
                              <a:gd name="T103" fmla="*/ 1894 h 4703"/>
                              <a:gd name="T104" fmla="+- 0 3372 2037"/>
                              <a:gd name="T105" fmla="*/ T104 w 4770"/>
                              <a:gd name="T106" fmla="+- 0 1994 349"/>
                              <a:gd name="T107" fmla="*/ 1994 h 4703"/>
                              <a:gd name="T108" fmla="+- 0 3729 2037"/>
                              <a:gd name="T109" fmla="*/ T108 w 4770"/>
                              <a:gd name="T110" fmla="+- 0 2328 349"/>
                              <a:gd name="T111" fmla="*/ 2328 h 4703"/>
                              <a:gd name="T112" fmla="+- 0 3866 2037"/>
                              <a:gd name="T113" fmla="*/ T112 w 4770"/>
                              <a:gd name="T114" fmla="+- 0 2815 349"/>
                              <a:gd name="T115" fmla="*/ 2815 h 4703"/>
                              <a:gd name="T116" fmla="+- 0 3729 2037"/>
                              <a:gd name="T117" fmla="*/ T116 w 4770"/>
                              <a:gd name="T118" fmla="+- 0 3301 349"/>
                              <a:gd name="T119" fmla="*/ 3301 h 4703"/>
                              <a:gd name="T120" fmla="+- 0 3372 2037"/>
                              <a:gd name="T121" fmla="*/ T120 w 4770"/>
                              <a:gd name="T122" fmla="+- 0 3635 349"/>
                              <a:gd name="T123" fmla="*/ 3635 h 4703"/>
                              <a:gd name="T124" fmla="+- 0 2876 2037"/>
                              <a:gd name="T125" fmla="*/ T124 w 4770"/>
                              <a:gd name="T126" fmla="+- 0 3735 349"/>
                              <a:gd name="T127" fmla="*/ 3735 h 4703"/>
                              <a:gd name="T128" fmla="+- 0 2411 2037"/>
                              <a:gd name="T129" fmla="*/ T128 w 4770"/>
                              <a:gd name="T130" fmla="+- 0 3560 349"/>
                              <a:gd name="T131" fmla="*/ 3560 h 4703"/>
                              <a:gd name="T132" fmla="+- 0 2109 2037"/>
                              <a:gd name="T133" fmla="*/ T132 w 4770"/>
                              <a:gd name="T134" fmla="+- 0 3174 349"/>
                              <a:gd name="T135" fmla="*/ 3174 h 4703"/>
                              <a:gd name="T136" fmla="+- 0 3541 2037"/>
                              <a:gd name="T137" fmla="*/ T136 w 4770"/>
                              <a:gd name="T138" fmla="+- 0 4052 349"/>
                              <a:gd name="T139" fmla="*/ 4052 h 4703"/>
                              <a:gd name="T140" fmla="+- 0 3714 2037"/>
                              <a:gd name="T141" fmla="*/ T140 w 4770"/>
                              <a:gd name="T142" fmla="+- 0 3582 349"/>
                              <a:gd name="T143" fmla="*/ 3582 h 4703"/>
                              <a:gd name="T144" fmla="+- 0 4097 2037"/>
                              <a:gd name="T145" fmla="*/ T144 w 4770"/>
                              <a:gd name="T146" fmla="+- 0 3276 349"/>
                              <a:gd name="T147" fmla="*/ 3276 h 4703"/>
                              <a:gd name="T148" fmla="+- 0 4601 2037"/>
                              <a:gd name="T149" fmla="*/ T148 w 4770"/>
                              <a:gd name="T150" fmla="+- 0 3215 349"/>
                              <a:gd name="T151" fmla="*/ 3215 h 4703"/>
                              <a:gd name="T152" fmla="+- 0 5048 2037"/>
                              <a:gd name="T153" fmla="*/ T152 w 4770"/>
                              <a:gd name="T154" fmla="+- 0 3426 349"/>
                              <a:gd name="T155" fmla="*/ 3426 h 4703"/>
                              <a:gd name="T156" fmla="+- 0 5320 2037"/>
                              <a:gd name="T157" fmla="*/ T156 w 4770"/>
                              <a:gd name="T158" fmla="+- 0 3835 349"/>
                              <a:gd name="T159" fmla="*/ 3835 h 4703"/>
                              <a:gd name="T160" fmla="+- 0 5341 2037"/>
                              <a:gd name="T161" fmla="*/ T160 w 4770"/>
                              <a:gd name="T162" fmla="+- 0 4350 349"/>
                              <a:gd name="T163" fmla="*/ 4350 h 4703"/>
                              <a:gd name="T164" fmla="+- 0 5099 2037"/>
                              <a:gd name="T165" fmla="*/ T164 w 4770"/>
                              <a:gd name="T166" fmla="+- 0 4781 349"/>
                              <a:gd name="T167" fmla="*/ 4781 h 4703"/>
                              <a:gd name="T168" fmla="+- 0 4672 2037"/>
                              <a:gd name="T169" fmla="*/ T168 w 4770"/>
                              <a:gd name="T170" fmla="+- 0 5025 349"/>
                              <a:gd name="T171" fmla="*/ 5025 h 4703"/>
                              <a:gd name="T172" fmla="+- 0 4163 2037"/>
                              <a:gd name="T173" fmla="*/ T172 w 4770"/>
                              <a:gd name="T174" fmla="+- 0 5005 349"/>
                              <a:gd name="T175" fmla="*/ 5005 h 4703"/>
                              <a:gd name="T176" fmla="+- 0 3758 2037"/>
                              <a:gd name="T177" fmla="*/ T176 w 4770"/>
                              <a:gd name="T178" fmla="+- 0 4729 349"/>
                              <a:gd name="T179" fmla="*/ 4729 h 4703"/>
                              <a:gd name="T180" fmla="+- 0 3550 2037"/>
                              <a:gd name="T181" fmla="*/ T180 w 4770"/>
                              <a:gd name="T182" fmla="+- 0 4278 349"/>
                              <a:gd name="T183" fmla="*/ 4278 h 4703"/>
                              <a:gd name="T184" fmla="+- 0 3541 2037"/>
                              <a:gd name="T185" fmla="*/ T184 w 4770"/>
                              <a:gd name="T186" fmla="+- 0 981 349"/>
                              <a:gd name="T187" fmla="*/ 981 h 4703"/>
                              <a:gd name="T188" fmla="+- 0 3814 2037"/>
                              <a:gd name="T189" fmla="*/ T188 w 4770"/>
                              <a:gd name="T190" fmla="+- 0 572 349"/>
                              <a:gd name="T191" fmla="*/ 572 h 4703"/>
                              <a:gd name="T192" fmla="+- 0 4261 2037"/>
                              <a:gd name="T193" fmla="*/ T192 w 4770"/>
                              <a:gd name="T194" fmla="+- 0 361 349"/>
                              <a:gd name="T195" fmla="*/ 361 h 4703"/>
                              <a:gd name="T196" fmla="+- 0 4765 2037"/>
                              <a:gd name="T197" fmla="*/ T196 w 4770"/>
                              <a:gd name="T198" fmla="+- 0 422 349"/>
                              <a:gd name="T199" fmla="*/ 422 h 4703"/>
                              <a:gd name="T200" fmla="+- 0 5147 2037"/>
                              <a:gd name="T201" fmla="*/ T200 w 4770"/>
                              <a:gd name="T202" fmla="+- 0 728 349"/>
                              <a:gd name="T203" fmla="*/ 728 h 4703"/>
                              <a:gd name="T204" fmla="+- 0 5321 2037"/>
                              <a:gd name="T205" fmla="*/ T204 w 4770"/>
                              <a:gd name="T206" fmla="+- 0 1198 349"/>
                              <a:gd name="T207" fmla="*/ 1198 h 4703"/>
                              <a:gd name="T208" fmla="+- 0 5222 2037"/>
                              <a:gd name="T209" fmla="*/ T208 w 4770"/>
                              <a:gd name="T210" fmla="+- 0 1698 349"/>
                              <a:gd name="T211" fmla="*/ 1698 h 4703"/>
                              <a:gd name="T212" fmla="+- 0 4891 2037"/>
                              <a:gd name="T213" fmla="*/ T212 w 4770"/>
                              <a:gd name="T214" fmla="+- 0 2059 349"/>
                              <a:gd name="T215" fmla="*/ 2059 h 4703"/>
                              <a:gd name="T216" fmla="+- 0 4409 2037"/>
                              <a:gd name="T217" fmla="*/ T216 w 4770"/>
                              <a:gd name="T218" fmla="+- 0 2198 349"/>
                              <a:gd name="T219" fmla="*/ 2198 h 4703"/>
                              <a:gd name="T220" fmla="+- 0 3928 2037"/>
                              <a:gd name="T221" fmla="*/ T220 w 4770"/>
                              <a:gd name="T222" fmla="+- 0 2059 349"/>
                              <a:gd name="T223" fmla="*/ 2059 h 4703"/>
                              <a:gd name="T224" fmla="+- 0 3597 2037"/>
                              <a:gd name="T225" fmla="*/ T224 w 4770"/>
                              <a:gd name="T226" fmla="+- 0 1698 349"/>
                              <a:gd name="T227" fmla="*/ 1698 h 470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Lst>
                            <a:rect l="0" t="0" r="r" b="b"/>
                            <a:pathLst>
                              <a:path w="4770" h="4703">
                                <a:moveTo>
                                  <a:pt x="1492" y="2343"/>
                                </a:moveTo>
                                <a:lnTo>
                                  <a:pt x="1495" y="2268"/>
                                </a:lnTo>
                                <a:lnTo>
                                  <a:pt x="1504" y="2193"/>
                                </a:lnTo>
                                <a:lnTo>
                                  <a:pt x="1518" y="2121"/>
                                </a:lnTo>
                                <a:lnTo>
                                  <a:pt x="1538" y="2051"/>
                                </a:lnTo>
                                <a:lnTo>
                                  <a:pt x="1564" y="1984"/>
                                </a:lnTo>
                                <a:lnTo>
                                  <a:pt x="1594" y="1919"/>
                                </a:lnTo>
                                <a:lnTo>
                                  <a:pt x="1629" y="1856"/>
                                </a:lnTo>
                                <a:lnTo>
                                  <a:pt x="1668" y="1797"/>
                                </a:lnTo>
                                <a:lnTo>
                                  <a:pt x="1712" y="1742"/>
                                </a:lnTo>
                                <a:lnTo>
                                  <a:pt x="1760" y="1690"/>
                                </a:lnTo>
                                <a:lnTo>
                                  <a:pt x="1811" y="1642"/>
                                </a:lnTo>
                                <a:lnTo>
                                  <a:pt x="1866" y="1597"/>
                                </a:lnTo>
                                <a:lnTo>
                                  <a:pt x="1924" y="1558"/>
                                </a:lnTo>
                                <a:lnTo>
                                  <a:pt x="1986" y="1522"/>
                                </a:lnTo>
                                <a:lnTo>
                                  <a:pt x="2050" y="1492"/>
                                </a:lnTo>
                                <a:lnTo>
                                  <a:pt x="2117" y="1466"/>
                                </a:lnTo>
                                <a:lnTo>
                                  <a:pt x="2186" y="1446"/>
                                </a:lnTo>
                                <a:lnTo>
                                  <a:pt x="2258" y="1431"/>
                                </a:lnTo>
                                <a:lnTo>
                                  <a:pt x="2331" y="1422"/>
                                </a:lnTo>
                                <a:lnTo>
                                  <a:pt x="2406" y="1419"/>
                                </a:lnTo>
                                <a:lnTo>
                                  <a:pt x="2481" y="1422"/>
                                </a:lnTo>
                                <a:lnTo>
                                  <a:pt x="2555" y="1431"/>
                                </a:lnTo>
                                <a:lnTo>
                                  <a:pt x="2626" y="1446"/>
                                </a:lnTo>
                                <a:lnTo>
                                  <a:pt x="2695" y="1466"/>
                                </a:lnTo>
                                <a:lnTo>
                                  <a:pt x="2762" y="1492"/>
                                </a:lnTo>
                                <a:lnTo>
                                  <a:pt x="2827" y="1522"/>
                                </a:lnTo>
                                <a:lnTo>
                                  <a:pt x="2888" y="1558"/>
                                </a:lnTo>
                                <a:lnTo>
                                  <a:pt x="2946" y="1597"/>
                                </a:lnTo>
                                <a:lnTo>
                                  <a:pt x="3001" y="1642"/>
                                </a:lnTo>
                                <a:lnTo>
                                  <a:pt x="3053" y="1690"/>
                                </a:lnTo>
                                <a:lnTo>
                                  <a:pt x="3101" y="1742"/>
                                </a:lnTo>
                                <a:lnTo>
                                  <a:pt x="3144" y="1797"/>
                                </a:lnTo>
                                <a:lnTo>
                                  <a:pt x="3184" y="1856"/>
                                </a:lnTo>
                                <a:lnTo>
                                  <a:pt x="3219" y="1919"/>
                                </a:lnTo>
                                <a:lnTo>
                                  <a:pt x="3249" y="1984"/>
                                </a:lnTo>
                                <a:lnTo>
                                  <a:pt x="3274" y="2051"/>
                                </a:lnTo>
                                <a:lnTo>
                                  <a:pt x="3294" y="2121"/>
                                </a:lnTo>
                                <a:lnTo>
                                  <a:pt x="3309" y="2193"/>
                                </a:lnTo>
                                <a:lnTo>
                                  <a:pt x="3318" y="2268"/>
                                </a:lnTo>
                                <a:lnTo>
                                  <a:pt x="3321" y="2343"/>
                                </a:lnTo>
                                <a:lnTo>
                                  <a:pt x="3318" y="2419"/>
                                </a:lnTo>
                                <a:lnTo>
                                  <a:pt x="3309" y="2493"/>
                                </a:lnTo>
                                <a:lnTo>
                                  <a:pt x="3294" y="2565"/>
                                </a:lnTo>
                                <a:lnTo>
                                  <a:pt x="3274" y="2636"/>
                                </a:lnTo>
                                <a:lnTo>
                                  <a:pt x="3249" y="2703"/>
                                </a:lnTo>
                                <a:lnTo>
                                  <a:pt x="3219" y="2768"/>
                                </a:lnTo>
                                <a:lnTo>
                                  <a:pt x="3184" y="2830"/>
                                </a:lnTo>
                                <a:lnTo>
                                  <a:pt x="3144" y="2889"/>
                                </a:lnTo>
                                <a:lnTo>
                                  <a:pt x="3101" y="2945"/>
                                </a:lnTo>
                                <a:lnTo>
                                  <a:pt x="3053" y="2997"/>
                                </a:lnTo>
                                <a:lnTo>
                                  <a:pt x="3001" y="3045"/>
                                </a:lnTo>
                                <a:lnTo>
                                  <a:pt x="2946" y="3089"/>
                                </a:lnTo>
                                <a:lnTo>
                                  <a:pt x="2888" y="3129"/>
                                </a:lnTo>
                                <a:lnTo>
                                  <a:pt x="2827" y="3165"/>
                                </a:lnTo>
                                <a:lnTo>
                                  <a:pt x="2762" y="3195"/>
                                </a:lnTo>
                                <a:lnTo>
                                  <a:pt x="2695" y="3221"/>
                                </a:lnTo>
                                <a:lnTo>
                                  <a:pt x="2626" y="3241"/>
                                </a:lnTo>
                                <a:lnTo>
                                  <a:pt x="2555" y="3256"/>
                                </a:lnTo>
                                <a:lnTo>
                                  <a:pt x="2481" y="3265"/>
                                </a:lnTo>
                                <a:lnTo>
                                  <a:pt x="2406" y="3268"/>
                                </a:lnTo>
                                <a:lnTo>
                                  <a:pt x="2331" y="3265"/>
                                </a:lnTo>
                                <a:lnTo>
                                  <a:pt x="2258" y="3256"/>
                                </a:lnTo>
                                <a:lnTo>
                                  <a:pt x="2186" y="3241"/>
                                </a:lnTo>
                                <a:lnTo>
                                  <a:pt x="2117" y="3221"/>
                                </a:lnTo>
                                <a:lnTo>
                                  <a:pt x="2050" y="3195"/>
                                </a:lnTo>
                                <a:lnTo>
                                  <a:pt x="1986" y="3165"/>
                                </a:lnTo>
                                <a:lnTo>
                                  <a:pt x="1924" y="3129"/>
                                </a:lnTo>
                                <a:lnTo>
                                  <a:pt x="1866" y="3089"/>
                                </a:lnTo>
                                <a:lnTo>
                                  <a:pt x="1811" y="3045"/>
                                </a:lnTo>
                                <a:lnTo>
                                  <a:pt x="1760" y="2997"/>
                                </a:lnTo>
                                <a:lnTo>
                                  <a:pt x="1712" y="2945"/>
                                </a:lnTo>
                                <a:lnTo>
                                  <a:pt x="1668" y="2889"/>
                                </a:lnTo>
                                <a:lnTo>
                                  <a:pt x="1629" y="2830"/>
                                </a:lnTo>
                                <a:lnTo>
                                  <a:pt x="1594" y="2768"/>
                                </a:lnTo>
                                <a:lnTo>
                                  <a:pt x="1564" y="2703"/>
                                </a:lnTo>
                                <a:lnTo>
                                  <a:pt x="1538" y="2636"/>
                                </a:lnTo>
                                <a:lnTo>
                                  <a:pt x="1518" y="2565"/>
                                </a:lnTo>
                                <a:lnTo>
                                  <a:pt x="1504" y="2493"/>
                                </a:lnTo>
                                <a:lnTo>
                                  <a:pt x="1495" y="2419"/>
                                </a:lnTo>
                                <a:lnTo>
                                  <a:pt x="1492" y="2343"/>
                                </a:lnTo>
                                <a:close/>
                                <a:moveTo>
                                  <a:pt x="2940" y="2466"/>
                                </a:moveTo>
                                <a:lnTo>
                                  <a:pt x="2943" y="2390"/>
                                </a:lnTo>
                                <a:lnTo>
                                  <a:pt x="2952" y="2316"/>
                                </a:lnTo>
                                <a:lnTo>
                                  <a:pt x="2967" y="2243"/>
                                </a:lnTo>
                                <a:lnTo>
                                  <a:pt x="2987" y="2173"/>
                                </a:lnTo>
                                <a:lnTo>
                                  <a:pt x="3012" y="2106"/>
                                </a:lnTo>
                                <a:lnTo>
                                  <a:pt x="3042" y="2041"/>
                                </a:lnTo>
                                <a:lnTo>
                                  <a:pt x="3077" y="1979"/>
                                </a:lnTo>
                                <a:lnTo>
                                  <a:pt x="3117" y="1920"/>
                                </a:lnTo>
                                <a:lnTo>
                                  <a:pt x="3160" y="1864"/>
                                </a:lnTo>
                                <a:lnTo>
                                  <a:pt x="3208" y="1812"/>
                                </a:lnTo>
                                <a:lnTo>
                                  <a:pt x="3260" y="1764"/>
                                </a:lnTo>
                                <a:lnTo>
                                  <a:pt x="3315" y="1720"/>
                                </a:lnTo>
                                <a:lnTo>
                                  <a:pt x="3373" y="1680"/>
                                </a:lnTo>
                                <a:lnTo>
                                  <a:pt x="3435" y="1644"/>
                                </a:lnTo>
                                <a:lnTo>
                                  <a:pt x="3499" y="1614"/>
                                </a:lnTo>
                                <a:lnTo>
                                  <a:pt x="3566" y="1588"/>
                                </a:lnTo>
                                <a:lnTo>
                                  <a:pt x="3635" y="1568"/>
                                </a:lnTo>
                                <a:lnTo>
                                  <a:pt x="3706" y="1553"/>
                                </a:lnTo>
                                <a:lnTo>
                                  <a:pt x="3780" y="1544"/>
                                </a:lnTo>
                                <a:lnTo>
                                  <a:pt x="3855" y="1541"/>
                                </a:lnTo>
                                <a:lnTo>
                                  <a:pt x="3930" y="1544"/>
                                </a:lnTo>
                                <a:lnTo>
                                  <a:pt x="4003" y="1553"/>
                                </a:lnTo>
                                <a:lnTo>
                                  <a:pt x="4075" y="1568"/>
                                </a:lnTo>
                                <a:lnTo>
                                  <a:pt x="4144" y="1588"/>
                                </a:lnTo>
                                <a:lnTo>
                                  <a:pt x="4211" y="1614"/>
                                </a:lnTo>
                                <a:lnTo>
                                  <a:pt x="4275" y="1644"/>
                                </a:lnTo>
                                <a:lnTo>
                                  <a:pt x="4337" y="1680"/>
                                </a:lnTo>
                                <a:lnTo>
                                  <a:pt x="4395" y="1720"/>
                                </a:lnTo>
                                <a:lnTo>
                                  <a:pt x="4450" y="1764"/>
                                </a:lnTo>
                                <a:lnTo>
                                  <a:pt x="4502" y="1812"/>
                                </a:lnTo>
                                <a:lnTo>
                                  <a:pt x="4549" y="1864"/>
                                </a:lnTo>
                                <a:lnTo>
                                  <a:pt x="4593" y="1920"/>
                                </a:lnTo>
                                <a:lnTo>
                                  <a:pt x="4632" y="1979"/>
                                </a:lnTo>
                                <a:lnTo>
                                  <a:pt x="4667" y="2041"/>
                                </a:lnTo>
                                <a:lnTo>
                                  <a:pt x="4698" y="2106"/>
                                </a:lnTo>
                                <a:lnTo>
                                  <a:pt x="4723" y="2173"/>
                                </a:lnTo>
                                <a:lnTo>
                                  <a:pt x="4743" y="2243"/>
                                </a:lnTo>
                                <a:lnTo>
                                  <a:pt x="4757" y="2316"/>
                                </a:lnTo>
                                <a:lnTo>
                                  <a:pt x="4766" y="2390"/>
                                </a:lnTo>
                                <a:lnTo>
                                  <a:pt x="4769" y="2466"/>
                                </a:lnTo>
                                <a:lnTo>
                                  <a:pt x="4766" y="2541"/>
                                </a:lnTo>
                                <a:lnTo>
                                  <a:pt x="4757" y="2615"/>
                                </a:lnTo>
                                <a:lnTo>
                                  <a:pt x="4743" y="2688"/>
                                </a:lnTo>
                                <a:lnTo>
                                  <a:pt x="4723" y="2758"/>
                                </a:lnTo>
                                <a:lnTo>
                                  <a:pt x="4698" y="2825"/>
                                </a:lnTo>
                                <a:lnTo>
                                  <a:pt x="4667" y="2890"/>
                                </a:lnTo>
                                <a:lnTo>
                                  <a:pt x="4632" y="2952"/>
                                </a:lnTo>
                                <a:lnTo>
                                  <a:pt x="4593" y="3011"/>
                                </a:lnTo>
                                <a:lnTo>
                                  <a:pt x="4549" y="3067"/>
                                </a:lnTo>
                                <a:lnTo>
                                  <a:pt x="4502" y="3119"/>
                                </a:lnTo>
                                <a:lnTo>
                                  <a:pt x="4450" y="3167"/>
                                </a:lnTo>
                                <a:lnTo>
                                  <a:pt x="4395" y="3212"/>
                                </a:lnTo>
                                <a:lnTo>
                                  <a:pt x="4337" y="3251"/>
                                </a:lnTo>
                                <a:lnTo>
                                  <a:pt x="4275" y="3287"/>
                                </a:lnTo>
                                <a:lnTo>
                                  <a:pt x="4211" y="3317"/>
                                </a:lnTo>
                                <a:lnTo>
                                  <a:pt x="4144" y="3343"/>
                                </a:lnTo>
                                <a:lnTo>
                                  <a:pt x="4075" y="3363"/>
                                </a:lnTo>
                                <a:lnTo>
                                  <a:pt x="4003" y="3378"/>
                                </a:lnTo>
                                <a:lnTo>
                                  <a:pt x="3930" y="3387"/>
                                </a:lnTo>
                                <a:lnTo>
                                  <a:pt x="3855" y="3390"/>
                                </a:lnTo>
                                <a:lnTo>
                                  <a:pt x="3780" y="3387"/>
                                </a:lnTo>
                                <a:lnTo>
                                  <a:pt x="3706" y="3378"/>
                                </a:lnTo>
                                <a:lnTo>
                                  <a:pt x="3635" y="3363"/>
                                </a:lnTo>
                                <a:lnTo>
                                  <a:pt x="3566" y="3343"/>
                                </a:lnTo>
                                <a:lnTo>
                                  <a:pt x="3499" y="3317"/>
                                </a:lnTo>
                                <a:lnTo>
                                  <a:pt x="3435" y="3287"/>
                                </a:lnTo>
                                <a:lnTo>
                                  <a:pt x="3373" y="3251"/>
                                </a:lnTo>
                                <a:lnTo>
                                  <a:pt x="3315" y="3212"/>
                                </a:lnTo>
                                <a:lnTo>
                                  <a:pt x="3260" y="3167"/>
                                </a:lnTo>
                                <a:lnTo>
                                  <a:pt x="3208" y="3119"/>
                                </a:lnTo>
                                <a:lnTo>
                                  <a:pt x="3160" y="3067"/>
                                </a:lnTo>
                                <a:lnTo>
                                  <a:pt x="3117" y="3011"/>
                                </a:lnTo>
                                <a:lnTo>
                                  <a:pt x="3077" y="2952"/>
                                </a:lnTo>
                                <a:lnTo>
                                  <a:pt x="3042" y="2890"/>
                                </a:lnTo>
                                <a:lnTo>
                                  <a:pt x="3012" y="2825"/>
                                </a:lnTo>
                                <a:lnTo>
                                  <a:pt x="2987" y="2758"/>
                                </a:lnTo>
                                <a:lnTo>
                                  <a:pt x="2967" y="2688"/>
                                </a:lnTo>
                                <a:lnTo>
                                  <a:pt x="2952" y="2615"/>
                                </a:lnTo>
                                <a:lnTo>
                                  <a:pt x="2943" y="2541"/>
                                </a:lnTo>
                                <a:lnTo>
                                  <a:pt x="2940" y="2466"/>
                                </a:lnTo>
                                <a:close/>
                                <a:moveTo>
                                  <a:pt x="0" y="2466"/>
                                </a:moveTo>
                                <a:lnTo>
                                  <a:pt x="3" y="2390"/>
                                </a:lnTo>
                                <a:lnTo>
                                  <a:pt x="12" y="2316"/>
                                </a:lnTo>
                                <a:lnTo>
                                  <a:pt x="26" y="2243"/>
                                </a:lnTo>
                                <a:lnTo>
                                  <a:pt x="46" y="2173"/>
                                </a:lnTo>
                                <a:lnTo>
                                  <a:pt x="72" y="2106"/>
                                </a:lnTo>
                                <a:lnTo>
                                  <a:pt x="102" y="2041"/>
                                </a:lnTo>
                                <a:lnTo>
                                  <a:pt x="137" y="1979"/>
                                </a:lnTo>
                                <a:lnTo>
                                  <a:pt x="176" y="1920"/>
                                </a:lnTo>
                                <a:lnTo>
                                  <a:pt x="220" y="1864"/>
                                </a:lnTo>
                                <a:lnTo>
                                  <a:pt x="268" y="1812"/>
                                </a:lnTo>
                                <a:lnTo>
                                  <a:pt x="319" y="1764"/>
                                </a:lnTo>
                                <a:lnTo>
                                  <a:pt x="374" y="1720"/>
                                </a:lnTo>
                                <a:lnTo>
                                  <a:pt x="433" y="1680"/>
                                </a:lnTo>
                                <a:lnTo>
                                  <a:pt x="494" y="1645"/>
                                </a:lnTo>
                                <a:lnTo>
                                  <a:pt x="558" y="1614"/>
                                </a:lnTo>
                                <a:lnTo>
                                  <a:pt x="625" y="1589"/>
                                </a:lnTo>
                                <a:lnTo>
                                  <a:pt x="695" y="1568"/>
                                </a:lnTo>
                                <a:lnTo>
                                  <a:pt x="766" y="1554"/>
                                </a:lnTo>
                                <a:lnTo>
                                  <a:pt x="839" y="1545"/>
                                </a:lnTo>
                                <a:lnTo>
                                  <a:pt x="914" y="1542"/>
                                </a:lnTo>
                                <a:lnTo>
                                  <a:pt x="989" y="1545"/>
                                </a:lnTo>
                                <a:lnTo>
                                  <a:pt x="1063" y="1554"/>
                                </a:lnTo>
                                <a:lnTo>
                                  <a:pt x="1134" y="1568"/>
                                </a:lnTo>
                                <a:lnTo>
                                  <a:pt x="1203" y="1589"/>
                                </a:lnTo>
                                <a:lnTo>
                                  <a:pt x="1270" y="1614"/>
                                </a:lnTo>
                                <a:lnTo>
                                  <a:pt x="1335" y="1645"/>
                                </a:lnTo>
                                <a:lnTo>
                                  <a:pt x="1396" y="1680"/>
                                </a:lnTo>
                                <a:lnTo>
                                  <a:pt x="1454" y="1720"/>
                                </a:lnTo>
                                <a:lnTo>
                                  <a:pt x="1509" y="1764"/>
                                </a:lnTo>
                                <a:lnTo>
                                  <a:pt x="1561" y="1812"/>
                                </a:lnTo>
                                <a:lnTo>
                                  <a:pt x="1609" y="1864"/>
                                </a:lnTo>
                                <a:lnTo>
                                  <a:pt x="1652" y="1920"/>
                                </a:lnTo>
                                <a:lnTo>
                                  <a:pt x="1692" y="1979"/>
                                </a:lnTo>
                                <a:lnTo>
                                  <a:pt x="1727" y="2041"/>
                                </a:lnTo>
                                <a:lnTo>
                                  <a:pt x="1757" y="2106"/>
                                </a:lnTo>
                                <a:lnTo>
                                  <a:pt x="1782" y="2173"/>
                                </a:lnTo>
                                <a:lnTo>
                                  <a:pt x="1802" y="2243"/>
                                </a:lnTo>
                                <a:lnTo>
                                  <a:pt x="1817" y="2316"/>
                                </a:lnTo>
                                <a:lnTo>
                                  <a:pt x="1826" y="2390"/>
                                </a:lnTo>
                                <a:lnTo>
                                  <a:pt x="1829" y="2466"/>
                                </a:lnTo>
                                <a:lnTo>
                                  <a:pt x="1826" y="2541"/>
                                </a:lnTo>
                                <a:lnTo>
                                  <a:pt x="1817" y="2615"/>
                                </a:lnTo>
                                <a:lnTo>
                                  <a:pt x="1802" y="2688"/>
                                </a:lnTo>
                                <a:lnTo>
                                  <a:pt x="1782" y="2758"/>
                                </a:lnTo>
                                <a:lnTo>
                                  <a:pt x="1757" y="2825"/>
                                </a:lnTo>
                                <a:lnTo>
                                  <a:pt x="1727" y="2890"/>
                                </a:lnTo>
                                <a:lnTo>
                                  <a:pt x="1692" y="2952"/>
                                </a:lnTo>
                                <a:lnTo>
                                  <a:pt x="1652" y="3011"/>
                                </a:lnTo>
                                <a:lnTo>
                                  <a:pt x="1609" y="3067"/>
                                </a:lnTo>
                                <a:lnTo>
                                  <a:pt x="1561" y="3119"/>
                                </a:lnTo>
                                <a:lnTo>
                                  <a:pt x="1509" y="3167"/>
                                </a:lnTo>
                                <a:lnTo>
                                  <a:pt x="1454" y="3211"/>
                                </a:lnTo>
                                <a:lnTo>
                                  <a:pt x="1396" y="3251"/>
                                </a:lnTo>
                                <a:lnTo>
                                  <a:pt x="1335" y="3286"/>
                                </a:lnTo>
                                <a:lnTo>
                                  <a:pt x="1270" y="3317"/>
                                </a:lnTo>
                                <a:lnTo>
                                  <a:pt x="1203" y="3342"/>
                                </a:lnTo>
                                <a:lnTo>
                                  <a:pt x="1134" y="3363"/>
                                </a:lnTo>
                                <a:lnTo>
                                  <a:pt x="1063" y="3377"/>
                                </a:lnTo>
                                <a:lnTo>
                                  <a:pt x="989" y="3386"/>
                                </a:lnTo>
                                <a:lnTo>
                                  <a:pt x="914" y="3390"/>
                                </a:lnTo>
                                <a:lnTo>
                                  <a:pt x="839" y="3386"/>
                                </a:lnTo>
                                <a:lnTo>
                                  <a:pt x="766" y="3377"/>
                                </a:lnTo>
                                <a:lnTo>
                                  <a:pt x="695" y="3363"/>
                                </a:lnTo>
                                <a:lnTo>
                                  <a:pt x="625" y="3342"/>
                                </a:lnTo>
                                <a:lnTo>
                                  <a:pt x="558" y="3317"/>
                                </a:lnTo>
                                <a:lnTo>
                                  <a:pt x="494" y="3286"/>
                                </a:lnTo>
                                <a:lnTo>
                                  <a:pt x="433" y="3251"/>
                                </a:lnTo>
                                <a:lnTo>
                                  <a:pt x="374" y="3211"/>
                                </a:lnTo>
                                <a:lnTo>
                                  <a:pt x="319" y="3167"/>
                                </a:lnTo>
                                <a:lnTo>
                                  <a:pt x="268" y="3119"/>
                                </a:lnTo>
                                <a:lnTo>
                                  <a:pt x="220" y="3067"/>
                                </a:lnTo>
                                <a:lnTo>
                                  <a:pt x="176" y="3011"/>
                                </a:lnTo>
                                <a:lnTo>
                                  <a:pt x="137" y="2952"/>
                                </a:lnTo>
                                <a:lnTo>
                                  <a:pt x="102" y="2890"/>
                                </a:lnTo>
                                <a:lnTo>
                                  <a:pt x="72" y="2825"/>
                                </a:lnTo>
                                <a:lnTo>
                                  <a:pt x="46" y="2758"/>
                                </a:lnTo>
                                <a:lnTo>
                                  <a:pt x="26" y="2688"/>
                                </a:lnTo>
                                <a:lnTo>
                                  <a:pt x="12" y="2615"/>
                                </a:lnTo>
                                <a:lnTo>
                                  <a:pt x="3" y="2541"/>
                                </a:lnTo>
                                <a:lnTo>
                                  <a:pt x="0" y="2466"/>
                                </a:lnTo>
                                <a:close/>
                                <a:moveTo>
                                  <a:pt x="1501" y="3779"/>
                                </a:moveTo>
                                <a:lnTo>
                                  <a:pt x="1504" y="3703"/>
                                </a:lnTo>
                                <a:lnTo>
                                  <a:pt x="1513" y="3629"/>
                                </a:lnTo>
                                <a:lnTo>
                                  <a:pt x="1528" y="3556"/>
                                </a:lnTo>
                                <a:lnTo>
                                  <a:pt x="1548" y="3486"/>
                                </a:lnTo>
                                <a:lnTo>
                                  <a:pt x="1573" y="3419"/>
                                </a:lnTo>
                                <a:lnTo>
                                  <a:pt x="1603" y="3354"/>
                                </a:lnTo>
                                <a:lnTo>
                                  <a:pt x="1638" y="3292"/>
                                </a:lnTo>
                                <a:lnTo>
                                  <a:pt x="1677" y="3233"/>
                                </a:lnTo>
                                <a:lnTo>
                                  <a:pt x="1721" y="3177"/>
                                </a:lnTo>
                                <a:lnTo>
                                  <a:pt x="1769" y="3125"/>
                                </a:lnTo>
                                <a:lnTo>
                                  <a:pt x="1820" y="3077"/>
                                </a:lnTo>
                                <a:lnTo>
                                  <a:pt x="1875" y="3033"/>
                                </a:lnTo>
                                <a:lnTo>
                                  <a:pt x="1934" y="2993"/>
                                </a:lnTo>
                                <a:lnTo>
                                  <a:pt x="1995" y="2957"/>
                                </a:lnTo>
                                <a:lnTo>
                                  <a:pt x="2060" y="2927"/>
                                </a:lnTo>
                                <a:lnTo>
                                  <a:pt x="2126" y="2901"/>
                                </a:lnTo>
                                <a:lnTo>
                                  <a:pt x="2196" y="2881"/>
                                </a:lnTo>
                                <a:lnTo>
                                  <a:pt x="2267" y="2866"/>
                                </a:lnTo>
                                <a:lnTo>
                                  <a:pt x="2341" y="2857"/>
                                </a:lnTo>
                                <a:lnTo>
                                  <a:pt x="2416" y="2854"/>
                                </a:lnTo>
                                <a:lnTo>
                                  <a:pt x="2491" y="2857"/>
                                </a:lnTo>
                                <a:lnTo>
                                  <a:pt x="2564" y="2866"/>
                                </a:lnTo>
                                <a:lnTo>
                                  <a:pt x="2635" y="2881"/>
                                </a:lnTo>
                                <a:lnTo>
                                  <a:pt x="2705" y="2901"/>
                                </a:lnTo>
                                <a:lnTo>
                                  <a:pt x="2772" y="2927"/>
                                </a:lnTo>
                                <a:lnTo>
                                  <a:pt x="2836" y="2957"/>
                                </a:lnTo>
                                <a:lnTo>
                                  <a:pt x="2897" y="2993"/>
                                </a:lnTo>
                                <a:lnTo>
                                  <a:pt x="2956" y="3033"/>
                                </a:lnTo>
                                <a:lnTo>
                                  <a:pt x="3011" y="3077"/>
                                </a:lnTo>
                                <a:lnTo>
                                  <a:pt x="3062" y="3125"/>
                                </a:lnTo>
                                <a:lnTo>
                                  <a:pt x="3110" y="3177"/>
                                </a:lnTo>
                                <a:lnTo>
                                  <a:pt x="3154" y="3233"/>
                                </a:lnTo>
                                <a:lnTo>
                                  <a:pt x="3193" y="3292"/>
                                </a:lnTo>
                                <a:lnTo>
                                  <a:pt x="3228" y="3354"/>
                                </a:lnTo>
                                <a:lnTo>
                                  <a:pt x="3258" y="3419"/>
                                </a:lnTo>
                                <a:lnTo>
                                  <a:pt x="3283" y="3486"/>
                                </a:lnTo>
                                <a:lnTo>
                                  <a:pt x="3304" y="3556"/>
                                </a:lnTo>
                                <a:lnTo>
                                  <a:pt x="3318" y="3629"/>
                                </a:lnTo>
                                <a:lnTo>
                                  <a:pt x="3327" y="3703"/>
                                </a:lnTo>
                                <a:lnTo>
                                  <a:pt x="3330" y="3779"/>
                                </a:lnTo>
                                <a:lnTo>
                                  <a:pt x="3327" y="3854"/>
                                </a:lnTo>
                                <a:lnTo>
                                  <a:pt x="3318" y="3929"/>
                                </a:lnTo>
                                <a:lnTo>
                                  <a:pt x="3304" y="4001"/>
                                </a:lnTo>
                                <a:lnTo>
                                  <a:pt x="3283" y="4071"/>
                                </a:lnTo>
                                <a:lnTo>
                                  <a:pt x="3258" y="4138"/>
                                </a:lnTo>
                                <a:lnTo>
                                  <a:pt x="3228" y="4203"/>
                                </a:lnTo>
                                <a:lnTo>
                                  <a:pt x="3193" y="4265"/>
                                </a:lnTo>
                                <a:lnTo>
                                  <a:pt x="3154" y="4324"/>
                                </a:lnTo>
                                <a:lnTo>
                                  <a:pt x="3110" y="4380"/>
                                </a:lnTo>
                                <a:lnTo>
                                  <a:pt x="3062" y="4432"/>
                                </a:lnTo>
                                <a:lnTo>
                                  <a:pt x="3011" y="4480"/>
                                </a:lnTo>
                                <a:lnTo>
                                  <a:pt x="2956" y="4525"/>
                                </a:lnTo>
                                <a:lnTo>
                                  <a:pt x="2897" y="4564"/>
                                </a:lnTo>
                                <a:lnTo>
                                  <a:pt x="2836" y="4600"/>
                                </a:lnTo>
                                <a:lnTo>
                                  <a:pt x="2772" y="4630"/>
                                </a:lnTo>
                                <a:lnTo>
                                  <a:pt x="2705" y="4656"/>
                                </a:lnTo>
                                <a:lnTo>
                                  <a:pt x="2635" y="4676"/>
                                </a:lnTo>
                                <a:lnTo>
                                  <a:pt x="2564" y="4691"/>
                                </a:lnTo>
                                <a:lnTo>
                                  <a:pt x="2491" y="4700"/>
                                </a:lnTo>
                                <a:lnTo>
                                  <a:pt x="2416" y="4703"/>
                                </a:lnTo>
                                <a:lnTo>
                                  <a:pt x="2341" y="4700"/>
                                </a:lnTo>
                                <a:lnTo>
                                  <a:pt x="2267" y="4691"/>
                                </a:lnTo>
                                <a:lnTo>
                                  <a:pt x="2196" y="4676"/>
                                </a:lnTo>
                                <a:lnTo>
                                  <a:pt x="2126" y="4656"/>
                                </a:lnTo>
                                <a:lnTo>
                                  <a:pt x="2060" y="4630"/>
                                </a:lnTo>
                                <a:lnTo>
                                  <a:pt x="1995" y="4600"/>
                                </a:lnTo>
                                <a:lnTo>
                                  <a:pt x="1934" y="4564"/>
                                </a:lnTo>
                                <a:lnTo>
                                  <a:pt x="1875" y="4525"/>
                                </a:lnTo>
                                <a:lnTo>
                                  <a:pt x="1820" y="4480"/>
                                </a:lnTo>
                                <a:lnTo>
                                  <a:pt x="1769" y="4432"/>
                                </a:lnTo>
                                <a:lnTo>
                                  <a:pt x="1721" y="4380"/>
                                </a:lnTo>
                                <a:lnTo>
                                  <a:pt x="1677" y="4324"/>
                                </a:lnTo>
                                <a:lnTo>
                                  <a:pt x="1638" y="4265"/>
                                </a:lnTo>
                                <a:lnTo>
                                  <a:pt x="1603" y="4203"/>
                                </a:lnTo>
                                <a:lnTo>
                                  <a:pt x="1573" y="4138"/>
                                </a:lnTo>
                                <a:lnTo>
                                  <a:pt x="1548" y="4071"/>
                                </a:lnTo>
                                <a:lnTo>
                                  <a:pt x="1528" y="4001"/>
                                </a:lnTo>
                                <a:lnTo>
                                  <a:pt x="1513" y="3929"/>
                                </a:lnTo>
                                <a:lnTo>
                                  <a:pt x="1504" y="3854"/>
                                </a:lnTo>
                                <a:lnTo>
                                  <a:pt x="1501" y="3779"/>
                                </a:lnTo>
                                <a:close/>
                                <a:moveTo>
                                  <a:pt x="1458" y="925"/>
                                </a:moveTo>
                                <a:lnTo>
                                  <a:pt x="1461" y="849"/>
                                </a:lnTo>
                                <a:lnTo>
                                  <a:pt x="1470" y="775"/>
                                </a:lnTo>
                                <a:lnTo>
                                  <a:pt x="1484" y="703"/>
                                </a:lnTo>
                                <a:lnTo>
                                  <a:pt x="1504" y="632"/>
                                </a:lnTo>
                                <a:lnTo>
                                  <a:pt x="1530" y="565"/>
                                </a:lnTo>
                                <a:lnTo>
                                  <a:pt x="1560" y="500"/>
                                </a:lnTo>
                                <a:lnTo>
                                  <a:pt x="1595" y="438"/>
                                </a:lnTo>
                                <a:lnTo>
                                  <a:pt x="1634" y="379"/>
                                </a:lnTo>
                                <a:lnTo>
                                  <a:pt x="1678" y="323"/>
                                </a:lnTo>
                                <a:lnTo>
                                  <a:pt x="1726" y="271"/>
                                </a:lnTo>
                                <a:lnTo>
                                  <a:pt x="1777" y="223"/>
                                </a:lnTo>
                                <a:lnTo>
                                  <a:pt x="1832" y="179"/>
                                </a:lnTo>
                                <a:lnTo>
                                  <a:pt x="1891" y="139"/>
                                </a:lnTo>
                                <a:lnTo>
                                  <a:pt x="1952" y="103"/>
                                </a:lnTo>
                                <a:lnTo>
                                  <a:pt x="2016" y="73"/>
                                </a:lnTo>
                                <a:lnTo>
                                  <a:pt x="2083" y="47"/>
                                </a:lnTo>
                                <a:lnTo>
                                  <a:pt x="2153" y="27"/>
                                </a:lnTo>
                                <a:lnTo>
                                  <a:pt x="2224" y="12"/>
                                </a:lnTo>
                                <a:lnTo>
                                  <a:pt x="2297" y="3"/>
                                </a:lnTo>
                                <a:lnTo>
                                  <a:pt x="2372" y="0"/>
                                </a:lnTo>
                                <a:lnTo>
                                  <a:pt x="2447" y="3"/>
                                </a:lnTo>
                                <a:lnTo>
                                  <a:pt x="2521" y="12"/>
                                </a:lnTo>
                                <a:lnTo>
                                  <a:pt x="2592" y="27"/>
                                </a:lnTo>
                                <a:lnTo>
                                  <a:pt x="2661" y="47"/>
                                </a:lnTo>
                                <a:lnTo>
                                  <a:pt x="2728" y="73"/>
                                </a:lnTo>
                                <a:lnTo>
                                  <a:pt x="2793" y="103"/>
                                </a:lnTo>
                                <a:lnTo>
                                  <a:pt x="2854" y="139"/>
                                </a:lnTo>
                                <a:lnTo>
                                  <a:pt x="2912" y="179"/>
                                </a:lnTo>
                                <a:lnTo>
                                  <a:pt x="2967" y="223"/>
                                </a:lnTo>
                                <a:lnTo>
                                  <a:pt x="3019" y="271"/>
                                </a:lnTo>
                                <a:lnTo>
                                  <a:pt x="3067" y="323"/>
                                </a:lnTo>
                                <a:lnTo>
                                  <a:pt x="3110" y="379"/>
                                </a:lnTo>
                                <a:lnTo>
                                  <a:pt x="3150" y="438"/>
                                </a:lnTo>
                                <a:lnTo>
                                  <a:pt x="3185" y="500"/>
                                </a:lnTo>
                                <a:lnTo>
                                  <a:pt x="3215" y="565"/>
                                </a:lnTo>
                                <a:lnTo>
                                  <a:pt x="3240" y="632"/>
                                </a:lnTo>
                                <a:lnTo>
                                  <a:pt x="3260" y="703"/>
                                </a:lnTo>
                                <a:lnTo>
                                  <a:pt x="3275" y="775"/>
                                </a:lnTo>
                                <a:lnTo>
                                  <a:pt x="3284" y="849"/>
                                </a:lnTo>
                                <a:lnTo>
                                  <a:pt x="3287" y="925"/>
                                </a:lnTo>
                                <a:lnTo>
                                  <a:pt x="3284" y="1000"/>
                                </a:lnTo>
                                <a:lnTo>
                                  <a:pt x="3275" y="1075"/>
                                </a:lnTo>
                                <a:lnTo>
                                  <a:pt x="3260" y="1147"/>
                                </a:lnTo>
                                <a:lnTo>
                                  <a:pt x="3240" y="1217"/>
                                </a:lnTo>
                                <a:lnTo>
                                  <a:pt x="3215" y="1284"/>
                                </a:lnTo>
                                <a:lnTo>
                                  <a:pt x="3185" y="1349"/>
                                </a:lnTo>
                                <a:lnTo>
                                  <a:pt x="3150" y="1412"/>
                                </a:lnTo>
                                <a:lnTo>
                                  <a:pt x="3110" y="1471"/>
                                </a:lnTo>
                                <a:lnTo>
                                  <a:pt x="3067" y="1526"/>
                                </a:lnTo>
                                <a:lnTo>
                                  <a:pt x="3019" y="1578"/>
                                </a:lnTo>
                                <a:lnTo>
                                  <a:pt x="2967" y="1626"/>
                                </a:lnTo>
                                <a:lnTo>
                                  <a:pt x="2912" y="1671"/>
                                </a:lnTo>
                                <a:lnTo>
                                  <a:pt x="2854" y="1710"/>
                                </a:lnTo>
                                <a:lnTo>
                                  <a:pt x="2793" y="1746"/>
                                </a:lnTo>
                                <a:lnTo>
                                  <a:pt x="2728" y="1776"/>
                                </a:lnTo>
                                <a:lnTo>
                                  <a:pt x="2661" y="1802"/>
                                </a:lnTo>
                                <a:lnTo>
                                  <a:pt x="2592" y="1822"/>
                                </a:lnTo>
                                <a:lnTo>
                                  <a:pt x="2521" y="1837"/>
                                </a:lnTo>
                                <a:lnTo>
                                  <a:pt x="2447" y="1846"/>
                                </a:lnTo>
                                <a:lnTo>
                                  <a:pt x="2372" y="1849"/>
                                </a:lnTo>
                                <a:lnTo>
                                  <a:pt x="2297" y="1846"/>
                                </a:lnTo>
                                <a:lnTo>
                                  <a:pt x="2224" y="1837"/>
                                </a:lnTo>
                                <a:lnTo>
                                  <a:pt x="2153" y="1822"/>
                                </a:lnTo>
                                <a:lnTo>
                                  <a:pt x="2083" y="1802"/>
                                </a:lnTo>
                                <a:lnTo>
                                  <a:pt x="2016" y="1776"/>
                                </a:lnTo>
                                <a:lnTo>
                                  <a:pt x="1952" y="1746"/>
                                </a:lnTo>
                                <a:lnTo>
                                  <a:pt x="1891" y="1710"/>
                                </a:lnTo>
                                <a:lnTo>
                                  <a:pt x="1832" y="1671"/>
                                </a:lnTo>
                                <a:lnTo>
                                  <a:pt x="1777" y="1626"/>
                                </a:lnTo>
                                <a:lnTo>
                                  <a:pt x="1726" y="1578"/>
                                </a:lnTo>
                                <a:lnTo>
                                  <a:pt x="1678" y="1526"/>
                                </a:lnTo>
                                <a:lnTo>
                                  <a:pt x="1634" y="1471"/>
                                </a:lnTo>
                                <a:lnTo>
                                  <a:pt x="1595" y="1412"/>
                                </a:lnTo>
                                <a:lnTo>
                                  <a:pt x="1560" y="1349"/>
                                </a:lnTo>
                                <a:lnTo>
                                  <a:pt x="1530" y="1284"/>
                                </a:lnTo>
                                <a:lnTo>
                                  <a:pt x="1504" y="1217"/>
                                </a:lnTo>
                                <a:lnTo>
                                  <a:pt x="1484" y="1147"/>
                                </a:lnTo>
                                <a:lnTo>
                                  <a:pt x="1470" y="1075"/>
                                </a:lnTo>
                                <a:lnTo>
                                  <a:pt x="1461" y="1000"/>
                                </a:lnTo>
                                <a:lnTo>
                                  <a:pt x="1458" y="925"/>
                                </a:lnTo>
                                <a:close/>
                              </a:path>
                            </a:pathLst>
                          </a:custGeom>
                          <a:noFill/>
                          <a:ln w="6363">
                            <a:solidFill>
                              <a:srgbClr val="231F2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8" name="docshape54"/>
                        <wps:cNvSpPr txBox="1">
                          <a:spLocks noChangeArrowheads="1"/>
                        </wps:cNvSpPr>
                        <wps:spPr bwMode="auto">
                          <a:xfrm>
                            <a:off x="4219" y="1097"/>
                            <a:ext cx="426" cy="1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556A02" w14:textId="77777777" w:rsidR="00AE0598" w:rsidRDefault="0069255A">
                              <w:pPr>
                                <w:spacing w:before="3"/>
                                <w:rPr>
                                  <w:rFonts w:ascii="Calibri"/>
                                  <w:b/>
                                  <w:sz w:val="15"/>
                                </w:rPr>
                              </w:pPr>
                              <w:r>
                                <w:rPr>
                                  <w:rFonts w:ascii="Calibri"/>
                                  <w:b/>
                                  <w:color w:val="231F20"/>
                                  <w:spacing w:val="-2"/>
                                  <w:sz w:val="15"/>
                                </w:rPr>
                                <w:t>Events</w:t>
                              </w:r>
                            </w:p>
                          </w:txbxContent>
                        </wps:txbx>
                        <wps:bodyPr rot="0" vert="horz" wrap="square" lIns="0" tIns="0" rIns="0" bIns="0" anchor="t" anchorCtr="0" upright="1">
                          <a:noAutofit/>
                        </wps:bodyPr>
                      </wps:wsp>
                      <wps:wsp>
                        <wps:cNvPr id="319" name="docshape55"/>
                        <wps:cNvSpPr txBox="1">
                          <a:spLocks noChangeArrowheads="1"/>
                        </wps:cNvSpPr>
                        <wps:spPr bwMode="auto">
                          <a:xfrm>
                            <a:off x="2556" y="2576"/>
                            <a:ext cx="809" cy="3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4534E3" w14:textId="77777777" w:rsidR="00AE0598" w:rsidRDefault="0069255A">
                              <w:pPr>
                                <w:spacing w:before="2" w:line="244" w:lineRule="auto"/>
                                <w:ind w:left="143" w:hanging="143"/>
                                <w:rPr>
                                  <w:b/>
                                  <w:sz w:val="15"/>
                                </w:rPr>
                              </w:pPr>
                              <w:r>
                                <w:rPr>
                                  <w:b/>
                                  <w:color w:val="231F20"/>
                                  <w:sz w:val="15"/>
                                </w:rPr>
                                <w:t>Health</w:t>
                              </w:r>
                              <w:r>
                                <w:rPr>
                                  <w:b/>
                                  <w:color w:val="231F20"/>
                                  <w:spacing w:val="-2"/>
                                  <w:sz w:val="15"/>
                                </w:rPr>
                                <w:t xml:space="preserve"> </w:t>
                              </w:r>
                              <w:r>
                                <w:rPr>
                                  <w:b/>
                                  <w:color w:val="231F20"/>
                                  <w:sz w:val="15"/>
                                </w:rPr>
                                <w:t>and</w:t>
                              </w:r>
                              <w:r>
                                <w:rPr>
                                  <w:b/>
                                  <w:color w:val="231F20"/>
                                  <w:spacing w:val="40"/>
                                  <w:sz w:val="15"/>
                                </w:rPr>
                                <w:t xml:space="preserve"> </w:t>
                              </w:r>
                              <w:r>
                                <w:rPr>
                                  <w:b/>
                                  <w:color w:val="231F20"/>
                                  <w:spacing w:val="-2"/>
                                  <w:sz w:val="15"/>
                                </w:rPr>
                                <w:t>Fitness</w:t>
                              </w:r>
                            </w:p>
                          </w:txbxContent>
                        </wps:txbx>
                        <wps:bodyPr rot="0" vert="horz" wrap="square" lIns="0" tIns="0" rIns="0" bIns="0" anchor="t" anchorCtr="0" upright="1">
                          <a:noAutofit/>
                        </wps:bodyPr>
                      </wps:wsp>
                      <wps:wsp>
                        <wps:cNvPr id="320" name="docshape56"/>
                        <wps:cNvSpPr txBox="1">
                          <a:spLocks noChangeArrowheads="1"/>
                        </wps:cNvSpPr>
                        <wps:spPr bwMode="auto">
                          <a:xfrm>
                            <a:off x="4055" y="2450"/>
                            <a:ext cx="796" cy="3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B75920" w14:textId="77777777" w:rsidR="00AE0598" w:rsidRDefault="0069255A">
                              <w:pPr>
                                <w:spacing w:before="2" w:line="244" w:lineRule="auto"/>
                                <w:ind w:firstLine="127"/>
                                <w:rPr>
                                  <w:b/>
                                  <w:sz w:val="15"/>
                                </w:rPr>
                              </w:pPr>
                              <w:r>
                                <w:rPr>
                                  <w:b/>
                                  <w:color w:val="231F20"/>
                                  <w:spacing w:val="-2"/>
                                  <w:w w:val="115"/>
                                  <w:sz w:val="15"/>
                                </w:rPr>
                                <w:t>SPORT</w:t>
                              </w:r>
                              <w:r>
                                <w:rPr>
                                  <w:b/>
                                  <w:color w:val="231F20"/>
                                  <w:spacing w:val="40"/>
                                  <w:w w:val="115"/>
                                  <w:sz w:val="15"/>
                                </w:rPr>
                                <w:t xml:space="preserve"> </w:t>
                              </w:r>
                              <w:r>
                                <w:rPr>
                                  <w:b/>
                                  <w:color w:val="231F20"/>
                                  <w:spacing w:val="-2"/>
                                  <w:w w:val="115"/>
                                  <w:sz w:val="15"/>
                                </w:rPr>
                                <w:t>TOURISM</w:t>
                              </w:r>
                            </w:p>
                          </w:txbxContent>
                        </wps:txbx>
                        <wps:bodyPr rot="0" vert="horz" wrap="square" lIns="0" tIns="0" rIns="0" bIns="0" anchor="t" anchorCtr="0" upright="1">
                          <a:noAutofit/>
                        </wps:bodyPr>
                      </wps:wsp>
                      <wps:wsp>
                        <wps:cNvPr id="321" name="docshape57"/>
                        <wps:cNvSpPr txBox="1">
                          <a:spLocks noChangeArrowheads="1"/>
                        </wps:cNvSpPr>
                        <wps:spPr bwMode="auto">
                          <a:xfrm>
                            <a:off x="5506" y="2562"/>
                            <a:ext cx="791" cy="3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D86523" w14:textId="77777777" w:rsidR="00AE0598" w:rsidRDefault="0069255A">
                              <w:pPr>
                                <w:spacing w:before="2" w:line="244" w:lineRule="auto"/>
                                <w:ind w:firstLine="79"/>
                                <w:rPr>
                                  <w:b/>
                                  <w:sz w:val="15"/>
                                </w:rPr>
                              </w:pPr>
                              <w:r>
                                <w:rPr>
                                  <w:b/>
                                  <w:color w:val="231F20"/>
                                  <w:spacing w:val="-2"/>
                                  <w:w w:val="105"/>
                                  <w:sz w:val="15"/>
                                </w:rPr>
                                <w:t>Outdoor</w:t>
                              </w:r>
                              <w:r>
                                <w:rPr>
                                  <w:b/>
                                  <w:color w:val="231F20"/>
                                  <w:spacing w:val="40"/>
                                  <w:w w:val="105"/>
                                  <w:sz w:val="15"/>
                                </w:rPr>
                                <w:t xml:space="preserve"> </w:t>
                              </w:r>
                              <w:r>
                                <w:rPr>
                                  <w:b/>
                                  <w:color w:val="231F20"/>
                                  <w:spacing w:val="-2"/>
                                  <w:sz w:val="15"/>
                                </w:rPr>
                                <w:t>Recreation</w:t>
                              </w:r>
                            </w:p>
                          </w:txbxContent>
                        </wps:txbx>
                        <wps:bodyPr rot="0" vert="horz" wrap="square" lIns="0" tIns="0" rIns="0" bIns="0" anchor="t" anchorCtr="0" upright="1">
                          <a:noAutofit/>
                        </wps:bodyPr>
                      </wps:wsp>
                      <wps:wsp>
                        <wps:cNvPr id="322" name="docshape58"/>
                        <wps:cNvSpPr txBox="1">
                          <a:spLocks noChangeArrowheads="1"/>
                        </wps:cNvSpPr>
                        <wps:spPr bwMode="auto">
                          <a:xfrm>
                            <a:off x="3768" y="4029"/>
                            <a:ext cx="1388" cy="1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6AF294" w14:textId="77777777" w:rsidR="00AE0598" w:rsidRDefault="0069255A">
                              <w:pPr>
                                <w:spacing w:before="2"/>
                                <w:rPr>
                                  <w:b/>
                                  <w:sz w:val="15"/>
                                </w:rPr>
                              </w:pPr>
                              <w:r>
                                <w:rPr>
                                  <w:b/>
                                  <w:color w:val="231F20"/>
                                  <w:w w:val="105"/>
                                  <w:sz w:val="15"/>
                                </w:rPr>
                                <w:t>Sport</w:t>
                              </w:r>
                              <w:r>
                                <w:rPr>
                                  <w:b/>
                                  <w:color w:val="231F20"/>
                                  <w:spacing w:val="5"/>
                                  <w:w w:val="105"/>
                                  <w:sz w:val="15"/>
                                </w:rPr>
                                <w:t xml:space="preserve"> </w:t>
                              </w:r>
                              <w:r>
                                <w:rPr>
                                  <w:b/>
                                  <w:color w:val="231F20"/>
                                  <w:spacing w:val="-2"/>
                                  <w:w w:val="105"/>
                                  <w:sz w:val="15"/>
                                </w:rPr>
                                <w:t>Management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B27E030" id="docshapegroup52" o:spid="_x0000_s1061" style="position:absolute;margin-left:101.6pt;margin-top:17.2pt;width:239pt;height:235.65pt;z-index:-15715328;mso-wrap-distance-left:0;mso-wrap-distance-right:0;mso-position-horizontal-relative:page;mso-position-vertical-relative:text" coordorigin="2032,344" coordsize="4780,47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">
                <v:shape id="docshape53" o:spid="_x0000_s1062" style="position:absolute;left:2036;top:349;width:4770;height:4703;visibility:visible;mso-wrap-style:square;v-text-anchor:top" coordsize="4770,47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" path="m1492,2343r3,-75l1504,2193r14,-72l1538,2051r26,-67l1594,1919r35,-63l1668,1797r44,-55l1760,1690r51,-48l1866,1597r58,-39l1986,1522r64,-30l2117,1466r69,-20l2258,1431r73,-9l2406,1419r75,3l2555,1431r71,15l2695,1466r67,26l2827,1522r61,36l2946,1597r55,45l3053,1690r48,52l3144,1797r40,59l3219,1919r30,65l3274,2051r20,70l3309,2193r9,75l3321,2343r-3,76l3309,2493r-15,72l3274,2636r-25,67l3219,2768r-35,62l3144,2889r-43,56l3053,2997r-52,48l2946,3089r-58,40l2827,3165r-65,30l2695,3221r-69,20l2555,3256r-74,9l2406,3268r-75,-3l2258,3256r-72,-15l2117,3221r-67,-26l1986,3165r-62,-36l1866,3089r-55,-44l1760,2997r-48,-52l1668,2889r-39,-59l1594,2768r-30,-65l1538,2636r-20,-71l1504,2493r-9,-74l1492,2343xm2940,2466r3,-76l2952,2316r15,-73l2987,2173r25,-67l3042,2041r35,-62l3117,1920r43,-56l3208,1812r52,-48l3315,1720r58,-40l3435,1644r64,-30l3566,1588r69,-20l3706,1553r74,-9l3855,1541r75,3l4003,1553r72,15l4144,1588r67,26l4275,1644r62,36l4395,1720r55,44l4502,1812r47,52l4593,1920r39,59l4667,2041r31,65l4723,2173r20,70l4757,2316r9,74l4769,2466r-3,75l4757,2615r-14,73l4723,2758r-25,67l4667,2890r-35,62l4593,3011r-44,56l4502,3119r-52,48l4395,3212r-58,39l4275,3287r-64,30l4144,3343r-69,20l4003,3378r-73,9l3855,3390r-75,-3l3706,3378r-71,-15l3566,3343r-67,-26l3435,3287r-62,-36l3315,3212r-55,-45l3208,3119r-48,-52l3117,3011r-40,-59l3042,2890r-30,-65l2987,2758r-20,-70l2952,2615r-9,-74l2940,2466xm,2466r3,-76l12,2316r14,-73l46,2173r26,-67l102,2041r35,-62l176,1920r44,-56l268,1812r51,-48l374,1720r59,-40l494,1645r64,-31l625,1589r70,-21l766,1554r73,-9l914,1542r75,3l1063,1554r71,14l1203,1589r67,25l1335,1645r61,35l1454,1720r55,44l1561,1812r48,52l1652,1920r40,59l1727,2041r30,65l1782,2173r20,70l1817,2316r9,74l1829,2466r-3,75l1817,2615r-15,73l1782,2758r-25,67l1727,2890r-35,62l1652,3011r-43,56l1561,3119r-52,48l1454,3211r-58,40l1335,3286r-65,31l1203,3342r-69,21l1063,3377r-74,9l914,3390r-75,-4l766,3377r-71,-14l625,3342r-67,-25l494,3286r-61,-35l374,3211r-55,-44l268,3119r-48,-52l176,3011r-39,-59l102,2890,72,2825,46,2758,26,2688,12,2615,3,2541,,2466xm1501,3779r3,-76l1513,3629r15,-73l1548,3486r25,-67l1603,3354r35,-62l1677,3233r44,-56l1769,3125r51,-48l1875,3033r59,-40l1995,2957r65,-30l2126,2901r70,-20l2267,2866r74,-9l2416,2854r75,3l2564,2866r71,15l2705,2901r67,26l2836,2957r61,36l2956,3033r55,44l3062,3125r48,52l3154,3233r39,59l3228,3354r30,65l3283,3486r21,70l3318,3629r9,74l3330,3779r-3,75l3318,3929r-14,72l3283,4071r-25,67l3228,4203r-35,62l3154,4324r-44,56l3062,4432r-51,48l2956,4525r-59,39l2836,4600r-64,30l2705,4656r-70,20l2564,4691r-73,9l2416,4703r-75,-3l2267,4691r-71,-15l2126,4656r-66,-26l1995,4600r-61,-36l1875,4525r-55,-45l1769,4432r-48,-52l1677,4324r-39,-59l1603,4203r-30,-65l1548,4071r-20,-70l1513,3929r-9,-75l1501,3779xm1458,925r3,-76l1470,775r14,-72l1504,632r26,-67l1560,500r35,-62l1634,379r44,-56l1726,271r51,-48l1832,179r59,-40l1952,103r64,-30l2083,47r70,-20l2224,12r73,-9l2372,r75,3l2521,12r71,15l2661,47r67,26l2793,103r61,36l2912,179r55,44l3019,271r48,52l3110,379r40,59l3185,500r30,65l3240,632r20,71l3275,775r9,74l3287,925r-3,75l3275,1075r-15,72l3240,1217r-25,67l3185,1349r-35,63l3110,1471r-43,55l3019,1578r-52,48l2912,1671r-58,39l2793,1746r-65,30l2661,1802r-69,20l2521,1837r-74,9l2372,1849r-75,-3l2224,1837r-71,-15l2083,1802r-67,-26l1952,1746r-61,-36l1832,1671r-55,-45l1726,1578r-48,-52l1634,1471r-39,-59l1560,1349r-30,-65l1504,1217r-20,-70l1470,1075r-9,-75l1458,925xe" filled="f" strokecolor="#231f20" strokeweight=".17675mm">
                  <v:path arrowok="t" o:connecttype="custom" o:connectlocs="1594,2268;1924,1907;2406,1768;2888,1907;3219,2268;3318,2768;3144,3238;2762,3544;2258,3605;1811,3394;1538,2985;2952,2665;3160,2213;3566,1937;4075,1917;4502,2161;4743,2592;4723,3107;4450,3516;4003,3727;3499,3666;3117,3360;2943,2890;72,2455;374,2069;839,1894;1335,1994;1692,2328;1829,2815;1692,3301;1335,3635;839,3735;374,3560;72,3174;1504,4052;1677,3582;2060,3276;2564,3215;3011,3426;3283,3835;3304,4350;3062,4781;2635,5025;2126,5005;1721,4729;1513,4278;1504,981;1777,572;2224,361;2728,422;3110,728;3284,1198;3185,1698;2854,2059;2372,2198;1891,2059;1560,1698" o:connectangles="0,0,0,0,0,0,0,0,0,0,0,0,0,0,0,0,0,0,0,0,0,0,0,0,0,0,0,0,0,0,0,0,0,0,0,0,0,0,0,0,0,0,0,0,0,0,0,0,0,0,0,0,0,0,0,0,0"/>
                </v:shape>
                <v:shape id="docshape54" o:spid="_x0000_s1063" type="#_x0000_t202" style="position:absolute;left:4219;top:1097;width:426;height:1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" filled="f" stroked="f">
                  <v:textbox inset="0,0,0,0">
                    <w:txbxContent>
                      <w:p w14:paraId="24556A02" w14:textId="77777777" w:rsidR="00AE0598" w:rsidRDefault="0069255A">
                        <w:pPr>
                          <w:spacing w:before="3"/>
                          <w:rPr>
                            <w:rFonts w:ascii="Calibri"/>
                            <w:b/>
                            <w:sz w:val="15"/>
                          </w:rPr>
                        </w:pPr>
                        <w:r>
                          <w:rPr>
                            <w:rFonts w:ascii="Calibri"/>
                            <w:b/>
                            <w:color w:val="231F20"/>
                            <w:spacing w:val="-2"/>
                            <w:sz w:val="15"/>
                          </w:rPr>
                          <w:t>Events</w:t>
                        </w:r>
                      </w:p>
                    </w:txbxContent>
                  </v:textbox>
                </v:shape>
                <v:shape id="docshape55" o:spid="_x0000_s1064" type="#_x0000_t202" style="position:absolute;left:2556;top:2576;width:809;height: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" filled="f" stroked="f">
                  <v:textbox inset="0,0,0,0">
                    <w:txbxContent>
                      <w:p w14:paraId="094534E3" w14:textId="77777777" w:rsidR="00AE0598" w:rsidRDefault="0069255A">
                        <w:pPr>
                          <w:spacing w:before="2" w:line="244" w:lineRule="auto"/>
                          <w:ind w:left="143" w:hanging="143"/>
                          <w:rPr>
                            <w:b/>
                            <w:sz w:val="15"/>
                          </w:rPr>
                        </w:pPr>
                        <w:r>
                          <w:rPr>
                            <w:b/>
                            <w:color w:val="231F20"/>
                            <w:sz w:val="15"/>
                          </w:rPr>
                          <w:t>Health</w:t>
                        </w:r>
                        <w:r>
                          <w:rPr>
                            <w:b/>
                            <w:color w:val="231F20"/>
                            <w:spacing w:val="-2"/>
                            <w:sz w:val="15"/>
                          </w:rPr>
                          <w:t xml:space="preserve"> </w:t>
                        </w:r>
                        <w:r>
                          <w:rPr>
                            <w:b/>
                            <w:color w:val="231F20"/>
                            <w:sz w:val="15"/>
                          </w:rPr>
                          <w:t>and</w:t>
                        </w:r>
                        <w:r>
                          <w:rPr>
                            <w:b/>
                            <w:color w:val="231F20"/>
                            <w:spacing w:val="40"/>
                            <w:sz w:val="15"/>
                          </w:rPr>
                          <w:t xml:space="preserve"> </w:t>
                        </w:r>
                        <w:r>
                          <w:rPr>
                            <w:b/>
                            <w:color w:val="231F20"/>
                            <w:spacing w:val="-2"/>
                            <w:sz w:val="15"/>
                          </w:rPr>
                          <w:t>Fitness</w:t>
                        </w:r>
                      </w:p>
                    </w:txbxContent>
                  </v:textbox>
                </v:shape>
                <v:shape id="docshape56" o:spid="_x0000_s1065" type="#_x0000_t202" style="position:absolute;left:4055;top:2450;width:796;height: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" filled="f" stroked="f">
                  <v:textbox inset="0,0,0,0">
                    <w:txbxContent>
                      <w:p w14:paraId="12B75920" w14:textId="77777777" w:rsidR="00AE0598" w:rsidRDefault="0069255A">
                        <w:pPr>
                          <w:spacing w:before="2" w:line="244" w:lineRule="auto"/>
                          <w:ind w:firstLine="127"/>
                          <w:rPr>
                            <w:b/>
                            <w:sz w:val="15"/>
                          </w:rPr>
                        </w:pPr>
                        <w:r>
                          <w:rPr>
                            <w:b/>
                            <w:color w:val="231F20"/>
                            <w:spacing w:val="-2"/>
                            <w:w w:val="115"/>
                            <w:sz w:val="15"/>
                          </w:rPr>
                          <w:t>SPORT</w:t>
                        </w:r>
                        <w:r>
                          <w:rPr>
                            <w:b/>
                            <w:color w:val="231F20"/>
                            <w:spacing w:val="40"/>
                            <w:w w:val="115"/>
                            <w:sz w:val="15"/>
                          </w:rPr>
                          <w:t xml:space="preserve"> </w:t>
                        </w:r>
                        <w:r>
                          <w:rPr>
                            <w:b/>
                            <w:color w:val="231F20"/>
                            <w:spacing w:val="-2"/>
                            <w:w w:val="115"/>
                            <w:sz w:val="15"/>
                          </w:rPr>
                          <w:t>TOURISM</w:t>
                        </w:r>
                      </w:p>
                    </w:txbxContent>
                  </v:textbox>
                </v:shape>
                <v:shape id="docshape57" o:spid="_x0000_s1066" type="#_x0000_t202" style="position:absolute;left:5506;top:2562;width:791;height: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" filled="f" stroked="f">
                  <v:textbox inset="0,0,0,0">
                    <w:txbxContent>
                      <w:p w14:paraId="00D86523" w14:textId="77777777" w:rsidR="00AE0598" w:rsidRDefault="0069255A">
                        <w:pPr>
                          <w:spacing w:before="2" w:line="244" w:lineRule="auto"/>
                          <w:ind w:firstLine="79"/>
                          <w:rPr>
                            <w:b/>
                            <w:sz w:val="15"/>
                          </w:rPr>
                        </w:pPr>
                        <w:r>
                          <w:rPr>
                            <w:b/>
                            <w:color w:val="231F20"/>
                            <w:spacing w:val="-2"/>
                            <w:w w:val="105"/>
                            <w:sz w:val="15"/>
                          </w:rPr>
                          <w:t>Outdoor</w:t>
                        </w:r>
                        <w:r>
                          <w:rPr>
                            <w:b/>
                            <w:color w:val="231F20"/>
                            <w:spacing w:val="40"/>
                            <w:w w:val="105"/>
                            <w:sz w:val="15"/>
                          </w:rPr>
                          <w:t xml:space="preserve"> </w:t>
                        </w:r>
                        <w:r>
                          <w:rPr>
                            <w:b/>
                            <w:color w:val="231F20"/>
                            <w:spacing w:val="-2"/>
                            <w:sz w:val="15"/>
                          </w:rPr>
                          <w:t>Recreation</w:t>
                        </w:r>
                      </w:p>
                    </w:txbxContent>
                  </v:textbox>
                </v:shape>
                <v:shape id="docshape58" o:spid="_x0000_s1067" type="#_x0000_t202" style="position:absolute;left:3768;top:4029;width:1388;height:1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" filled="f" stroked="f">
                  <v:textbox inset="0,0,0,0">
                    <w:txbxContent>
                      <w:p w14:paraId="606AF294" w14:textId="77777777" w:rsidR="00AE0598" w:rsidRDefault="0069255A">
                        <w:pPr>
                          <w:spacing w:before="2"/>
                          <w:rPr>
                            <w:b/>
                            <w:sz w:val="15"/>
                          </w:rPr>
                        </w:pPr>
                        <w:r>
                          <w:rPr>
                            <w:b/>
                            <w:color w:val="231F20"/>
                            <w:w w:val="105"/>
                            <w:sz w:val="15"/>
                          </w:rPr>
                          <w:t>Sport</w:t>
                        </w:r>
                        <w:r>
                          <w:rPr>
                            <w:b/>
                            <w:color w:val="231F20"/>
                            <w:spacing w:val="5"/>
                            <w:w w:val="105"/>
                            <w:sz w:val="15"/>
                          </w:rPr>
                          <w:t xml:space="preserve"> </w:t>
                        </w:r>
                        <w:r>
                          <w:rPr>
                            <w:b/>
                            <w:color w:val="231F20"/>
                            <w:spacing w:val="-2"/>
                            <w:w w:val="105"/>
                            <w:sz w:val="15"/>
                          </w:rPr>
                          <w:t>Management</w:t>
                        </w:r>
                      </w:p>
                    </w:txbxContent>
                  </v:textbox>
                </v:shape>
                <w10:wrap type="topAndBottom" anchorx="page"/>
              </v:group>
            </w:pict>
          </mc:Fallback>
        </mc:AlternateContent>
      </w:r>
    </w:p>
    <w:p w14:paraId="3617D31E" w14:textId="77777777" w:rsidR="00AE0598" w:rsidRDefault="00AE0598">
      <w:pPr>
        <w:pStyle w:val="Corpodetexto"/>
        <w:spacing w:before="1"/>
        <w:rPr>
          <w:rFonts w:ascii="Trebuchet MS"/>
          <w:sz w:val="11"/>
        </w:rPr>
      </w:pPr>
    </w:p>
    <w:p w14:paraId="4B0AE3CA" w14:textId="77777777" w:rsidR="00AE0598" w:rsidRDefault="0069255A">
      <w:pPr>
        <w:spacing w:before="100"/>
        <w:ind w:left="110"/>
        <w:rPr>
          <w:rFonts w:ascii="Trebuchet MS"/>
          <w:sz w:val="14"/>
        </w:rPr>
      </w:pPr>
      <w:r>
        <w:rPr>
          <w:rFonts w:ascii="Trebuchet MS"/>
          <w:b/>
          <w:color w:val="231F20"/>
          <w:sz w:val="14"/>
        </w:rPr>
        <w:t>Figure</w:t>
      </w:r>
      <w:r>
        <w:rPr>
          <w:rFonts w:ascii="Trebuchet MS"/>
          <w:b/>
          <w:color w:val="231F20"/>
          <w:spacing w:val="12"/>
          <w:sz w:val="14"/>
        </w:rPr>
        <w:t xml:space="preserve"> </w:t>
      </w:r>
      <w:r>
        <w:rPr>
          <w:rFonts w:ascii="Trebuchet MS"/>
          <w:b/>
          <w:color w:val="231F20"/>
          <w:sz w:val="14"/>
        </w:rPr>
        <w:t>2.2</w:t>
      </w:r>
      <w:r>
        <w:rPr>
          <w:rFonts w:ascii="Trebuchet MS"/>
          <w:b/>
          <w:color w:val="231F20"/>
          <w:spacing w:val="57"/>
          <w:sz w:val="14"/>
        </w:rPr>
        <w:t xml:space="preserve"> </w:t>
      </w:r>
      <w:r>
        <w:rPr>
          <w:rFonts w:ascii="Trebuchet MS"/>
          <w:color w:val="231F20"/>
          <w:sz w:val="14"/>
        </w:rPr>
        <w:t>Sport</w:t>
      </w:r>
      <w:r>
        <w:rPr>
          <w:rFonts w:ascii="Trebuchet MS"/>
          <w:color w:val="231F20"/>
          <w:spacing w:val="13"/>
          <w:sz w:val="14"/>
        </w:rPr>
        <w:t xml:space="preserve"> </w:t>
      </w:r>
      <w:r>
        <w:rPr>
          <w:rFonts w:ascii="Trebuchet MS"/>
          <w:color w:val="231F20"/>
          <w:sz w:val="14"/>
        </w:rPr>
        <w:t>tourism</w:t>
      </w:r>
      <w:r>
        <w:rPr>
          <w:rFonts w:ascii="Trebuchet MS"/>
          <w:color w:val="231F20"/>
          <w:spacing w:val="12"/>
          <w:sz w:val="14"/>
        </w:rPr>
        <w:t xml:space="preserve"> </w:t>
      </w:r>
      <w:r>
        <w:rPr>
          <w:rFonts w:ascii="Trebuchet MS"/>
          <w:color w:val="231F20"/>
          <w:sz w:val="14"/>
        </w:rPr>
        <w:t>and</w:t>
      </w:r>
      <w:r>
        <w:rPr>
          <w:rFonts w:ascii="Trebuchet MS"/>
          <w:color w:val="231F20"/>
          <w:spacing w:val="13"/>
          <w:sz w:val="14"/>
        </w:rPr>
        <w:t xml:space="preserve"> </w:t>
      </w:r>
      <w:r>
        <w:rPr>
          <w:rFonts w:ascii="Trebuchet MS"/>
          <w:color w:val="231F20"/>
          <w:sz w:val="14"/>
        </w:rPr>
        <w:t>related</w:t>
      </w:r>
      <w:r>
        <w:rPr>
          <w:rFonts w:ascii="Trebuchet MS"/>
          <w:color w:val="231F20"/>
          <w:spacing w:val="12"/>
          <w:sz w:val="14"/>
        </w:rPr>
        <w:t xml:space="preserve"> </w:t>
      </w:r>
      <w:r>
        <w:rPr>
          <w:rFonts w:ascii="Trebuchet MS"/>
          <w:color w:val="231F20"/>
          <w:sz w:val="14"/>
        </w:rPr>
        <w:t>contextual</w:t>
      </w:r>
      <w:r>
        <w:rPr>
          <w:rFonts w:ascii="Trebuchet MS"/>
          <w:color w:val="231F20"/>
          <w:spacing w:val="13"/>
          <w:sz w:val="14"/>
        </w:rPr>
        <w:t xml:space="preserve"> </w:t>
      </w:r>
      <w:r>
        <w:rPr>
          <w:rFonts w:ascii="Trebuchet MS"/>
          <w:color w:val="231F20"/>
          <w:spacing w:val="-2"/>
          <w:sz w:val="14"/>
        </w:rPr>
        <w:t>domains</w:t>
      </w:r>
    </w:p>
    <w:p w14:paraId="7BD19791" w14:textId="77777777" w:rsidR="00AE0598" w:rsidRDefault="00AE0598">
      <w:pPr>
        <w:pStyle w:val="Corpodetexto"/>
        <w:spacing w:before="5"/>
        <w:rPr>
          <w:rFonts w:ascii="Trebuchet MS"/>
          <w:sz w:val="19"/>
        </w:rPr>
      </w:pPr>
    </w:p>
    <w:p w14:paraId="32B0980D" w14:textId="77777777" w:rsidR="00AE0598" w:rsidRDefault="0069255A">
      <w:pPr>
        <w:pStyle w:val="Corpodetexto"/>
        <w:spacing w:before="103" w:line="232" w:lineRule="auto"/>
        <w:ind w:left="110" w:right="108"/>
        <w:jc w:val="both"/>
      </w:pPr>
      <w:r>
        <w:rPr>
          <w:color w:val="231F20"/>
        </w:rPr>
        <w:t>into this dimension of the field. Once again, there is a clear overlap between</w:t>
      </w:r>
      <w:r>
        <w:rPr>
          <w:color w:val="231F20"/>
          <w:spacing w:val="-1"/>
        </w:rPr>
        <w:t xml:space="preserve"> </w:t>
      </w:r>
      <w:r>
        <w:rPr>
          <w:color w:val="231F20"/>
        </w:rPr>
        <w:t>outdoor</w:t>
      </w:r>
      <w:r>
        <w:rPr>
          <w:color w:val="231F20"/>
          <w:spacing w:val="-1"/>
        </w:rPr>
        <w:t xml:space="preserve"> </w:t>
      </w:r>
      <w:r>
        <w:rPr>
          <w:color w:val="231F20"/>
        </w:rPr>
        <w:t>recreation</w:t>
      </w:r>
      <w:r>
        <w:rPr>
          <w:color w:val="231F20"/>
          <w:spacing w:val="-1"/>
        </w:rPr>
        <w:t xml:space="preserve"> </w:t>
      </w:r>
      <w:r>
        <w:rPr>
          <w:color w:val="231F20"/>
        </w:rPr>
        <w:t>and</w:t>
      </w:r>
      <w:r>
        <w:rPr>
          <w:color w:val="231F20"/>
          <w:spacing w:val="-1"/>
        </w:rPr>
        <w:t xml:space="preserve"> </w:t>
      </w:r>
      <w:r>
        <w:rPr>
          <w:color w:val="231F20"/>
        </w:rPr>
        <w:t>sport</w:t>
      </w:r>
      <w:r>
        <w:rPr>
          <w:color w:val="231F20"/>
          <w:spacing w:val="-1"/>
        </w:rPr>
        <w:t xml:space="preserve"> </w:t>
      </w:r>
      <w:r>
        <w:rPr>
          <w:color w:val="231F20"/>
        </w:rPr>
        <w:t>tourism</w:t>
      </w:r>
      <w:r>
        <w:rPr>
          <w:color w:val="231F20"/>
          <w:spacing w:val="-1"/>
        </w:rPr>
        <w:t xml:space="preserve"> </w:t>
      </w:r>
      <w:r>
        <w:rPr>
          <w:color w:val="231F20"/>
        </w:rPr>
        <w:t>both</w:t>
      </w:r>
      <w:r>
        <w:rPr>
          <w:color w:val="231F20"/>
          <w:spacing w:val="-1"/>
        </w:rPr>
        <w:t xml:space="preserve"> </w:t>
      </w:r>
      <w:r>
        <w:rPr>
          <w:color w:val="231F20"/>
        </w:rPr>
        <w:t>conceptually</w:t>
      </w:r>
      <w:r>
        <w:rPr>
          <w:color w:val="231F20"/>
          <w:spacing w:val="-1"/>
        </w:rPr>
        <w:t xml:space="preserve"> </w:t>
      </w:r>
      <w:r>
        <w:rPr>
          <w:color w:val="231F20"/>
        </w:rPr>
        <w:t>and</w:t>
      </w:r>
      <w:r>
        <w:rPr>
          <w:color w:val="231F20"/>
          <w:spacing w:val="-1"/>
        </w:rPr>
        <w:t xml:space="preserve"> </w:t>
      </w:r>
      <w:r>
        <w:rPr>
          <w:color w:val="231F20"/>
        </w:rPr>
        <w:t>in terms</w:t>
      </w:r>
      <w:r>
        <w:rPr>
          <w:color w:val="231F20"/>
          <w:spacing w:val="-7"/>
        </w:rPr>
        <w:t xml:space="preserve"> </w:t>
      </w:r>
      <w:r>
        <w:rPr>
          <w:color w:val="231F20"/>
        </w:rPr>
        <w:t>of</w:t>
      </w:r>
      <w:r>
        <w:rPr>
          <w:color w:val="231F20"/>
          <w:spacing w:val="-7"/>
        </w:rPr>
        <w:t xml:space="preserve"> </w:t>
      </w:r>
      <w:r>
        <w:rPr>
          <w:color w:val="231F20"/>
        </w:rPr>
        <w:t>research</w:t>
      </w:r>
      <w:r>
        <w:rPr>
          <w:color w:val="231F20"/>
          <w:spacing w:val="-7"/>
        </w:rPr>
        <w:t xml:space="preserve"> </w:t>
      </w:r>
      <w:r>
        <w:rPr>
          <w:color w:val="231F20"/>
        </w:rPr>
        <w:t>activity.</w:t>
      </w:r>
      <w:r>
        <w:rPr>
          <w:color w:val="231F20"/>
          <w:spacing w:val="-7"/>
        </w:rPr>
        <w:t xml:space="preserve"> </w:t>
      </w:r>
      <w:r>
        <w:rPr>
          <w:color w:val="231F20"/>
        </w:rPr>
        <w:t>However,</w:t>
      </w:r>
      <w:r>
        <w:rPr>
          <w:color w:val="231F20"/>
          <w:spacing w:val="-7"/>
        </w:rPr>
        <w:t xml:space="preserve"> </w:t>
      </w:r>
      <w:r>
        <w:rPr>
          <w:color w:val="231F20"/>
        </w:rPr>
        <w:t>these</w:t>
      </w:r>
      <w:r>
        <w:rPr>
          <w:color w:val="231F20"/>
          <w:spacing w:val="-7"/>
        </w:rPr>
        <w:t xml:space="preserve"> </w:t>
      </w:r>
      <w:r>
        <w:rPr>
          <w:color w:val="231F20"/>
        </w:rPr>
        <w:t>domains</w:t>
      </w:r>
      <w:r>
        <w:rPr>
          <w:color w:val="231F20"/>
          <w:spacing w:val="-7"/>
        </w:rPr>
        <w:t xml:space="preserve"> </w:t>
      </w:r>
      <w:r>
        <w:rPr>
          <w:color w:val="231F20"/>
        </w:rPr>
        <w:t>are</w:t>
      </w:r>
      <w:r>
        <w:rPr>
          <w:color w:val="231F20"/>
          <w:spacing w:val="-7"/>
        </w:rPr>
        <w:t xml:space="preserve"> </w:t>
      </w:r>
      <w:r>
        <w:rPr>
          <w:color w:val="231F20"/>
        </w:rPr>
        <w:t>not</w:t>
      </w:r>
      <w:r>
        <w:rPr>
          <w:color w:val="231F20"/>
          <w:spacing w:val="-7"/>
        </w:rPr>
        <w:t xml:space="preserve"> </w:t>
      </w:r>
      <w:r>
        <w:rPr>
          <w:color w:val="231F20"/>
        </w:rPr>
        <w:t xml:space="preserve">synonymous. A substantial amount of sport activity occurs outside the realm of the </w:t>
      </w:r>
      <w:r>
        <w:rPr>
          <w:color w:val="231F20"/>
          <w:w w:val="95"/>
        </w:rPr>
        <w:t>natural environment while conversely, many tourism activities that occur</w:t>
      </w:r>
      <w:r>
        <w:rPr>
          <w:color w:val="231F20"/>
          <w:spacing w:val="80"/>
        </w:rPr>
        <w:t xml:space="preserve"> </w:t>
      </w:r>
      <w:r>
        <w:rPr>
          <w:color w:val="231F20"/>
          <w:w w:val="95"/>
        </w:rPr>
        <w:t xml:space="preserve">in natural settings (e.g. camping and picnicking) are inconsistent with the </w:t>
      </w:r>
      <w:r>
        <w:rPr>
          <w:color w:val="231F20"/>
        </w:rPr>
        <w:t>co</w:t>
      </w:r>
      <w:r>
        <w:rPr>
          <w:color w:val="231F20"/>
        </w:rPr>
        <w:t>nceptualisation of sport used in this book.</w:t>
      </w:r>
    </w:p>
    <w:p w14:paraId="3BC606A9" w14:textId="77777777" w:rsidR="00AE0598" w:rsidRDefault="0069255A">
      <w:pPr>
        <w:pStyle w:val="Corpodetexto"/>
        <w:spacing w:before="8" w:line="232" w:lineRule="auto"/>
        <w:ind w:left="110" w:right="107" w:firstLine="320"/>
        <w:jc w:val="both"/>
      </w:pPr>
      <w:r>
        <w:rPr>
          <w:color w:val="231F20"/>
        </w:rPr>
        <w:t xml:space="preserve">Sport management tends to focus on highly institutionalised sport. </w:t>
      </w:r>
      <w:r>
        <w:rPr>
          <w:color w:val="231F20"/>
          <w:w w:val="95"/>
        </w:rPr>
        <w:t>Researchers</w:t>
      </w:r>
      <w:r>
        <w:rPr>
          <w:color w:val="231F20"/>
          <w:spacing w:val="-9"/>
          <w:w w:val="95"/>
        </w:rPr>
        <w:t xml:space="preserve"> </w:t>
      </w:r>
      <w:r>
        <w:rPr>
          <w:color w:val="231F20"/>
          <w:w w:val="95"/>
        </w:rPr>
        <w:t>in</w:t>
      </w:r>
      <w:r>
        <w:rPr>
          <w:color w:val="231F20"/>
          <w:spacing w:val="-9"/>
          <w:w w:val="95"/>
        </w:rPr>
        <w:t xml:space="preserve"> </w:t>
      </w:r>
      <w:r>
        <w:rPr>
          <w:color w:val="231F20"/>
          <w:w w:val="95"/>
        </w:rPr>
        <w:t>this</w:t>
      </w:r>
      <w:r>
        <w:rPr>
          <w:color w:val="231F20"/>
          <w:spacing w:val="-9"/>
          <w:w w:val="95"/>
        </w:rPr>
        <w:t xml:space="preserve"> </w:t>
      </w:r>
      <w:r>
        <w:rPr>
          <w:color w:val="231F20"/>
          <w:w w:val="95"/>
        </w:rPr>
        <w:t>domain</w:t>
      </w:r>
      <w:r>
        <w:rPr>
          <w:color w:val="231F20"/>
          <w:spacing w:val="-9"/>
          <w:w w:val="95"/>
        </w:rPr>
        <w:t xml:space="preserve"> </w:t>
      </w:r>
      <w:r>
        <w:rPr>
          <w:color w:val="231F20"/>
          <w:w w:val="95"/>
        </w:rPr>
        <w:t>typically</w:t>
      </w:r>
      <w:r>
        <w:rPr>
          <w:color w:val="231F20"/>
          <w:spacing w:val="-9"/>
          <w:w w:val="95"/>
        </w:rPr>
        <w:t xml:space="preserve"> </w:t>
      </w:r>
      <w:r>
        <w:rPr>
          <w:color w:val="231F20"/>
          <w:w w:val="95"/>
        </w:rPr>
        <w:t>concentrate</w:t>
      </w:r>
      <w:r>
        <w:rPr>
          <w:color w:val="231F20"/>
          <w:spacing w:val="-9"/>
          <w:w w:val="95"/>
        </w:rPr>
        <w:t xml:space="preserve"> </w:t>
      </w:r>
      <w:r>
        <w:rPr>
          <w:color w:val="231F20"/>
          <w:w w:val="95"/>
        </w:rPr>
        <w:t>on</w:t>
      </w:r>
      <w:r>
        <w:rPr>
          <w:color w:val="231F20"/>
          <w:spacing w:val="-9"/>
          <w:w w:val="95"/>
        </w:rPr>
        <w:t xml:space="preserve"> </w:t>
      </w:r>
      <w:r>
        <w:rPr>
          <w:color w:val="231F20"/>
          <w:w w:val="95"/>
        </w:rPr>
        <w:t>the</w:t>
      </w:r>
      <w:r>
        <w:rPr>
          <w:color w:val="231F20"/>
          <w:spacing w:val="-9"/>
          <w:w w:val="95"/>
        </w:rPr>
        <w:t xml:space="preserve"> </w:t>
      </w:r>
      <w:r>
        <w:rPr>
          <w:color w:val="231F20"/>
          <w:w w:val="95"/>
        </w:rPr>
        <w:t>high</w:t>
      </w:r>
      <w:r>
        <w:rPr>
          <w:color w:val="231F20"/>
          <w:spacing w:val="-9"/>
          <w:w w:val="95"/>
        </w:rPr>
        <w:t xml:space="preserve"> </w:t>
      </w:r>
      <w:r>
        <w:rPr>
          <w:color w:val="231F20"/>
          <w:w w:val="95"/>
        </w:rPr>
        <w:t>performance</w:t>
      </w:r>
      <w:r>
        <w:rPr>
          <w:color w:val="231F20"/>
          <w:spacing w:val="-9"/>
          <w:w w:val="95"/>
        </w:rPr>
        <w:t xml:space="preserve"> </w:t>
      </w:r>
      <w:r>
        <w:rPr>
          <w:color w:val="231F20"/>
          <w:w w:val="95"/>
        </w:rPr>
        <w:t>or development levels of institutionalised sport. The management of spor</w:t>
      </w:r>
      <w:r>
        <w:rPr>
          <w:color w:val="231F20"/>
          <w:w w:val="95"/>
        </w:rPr>
        <w:t xml:space="preserve">ting </w:t>
      </w:r>
      <w:r>
        <w:rPr>
          <w:color w:val="231F20"/>
        </w:rPr>
        <w:t>events</w:t>
      </w:r>
      <w:r>
        <w:rPr>
          <w:color w:val="231F20"/>
          <w:spacing w:val="-3"/>
        </w:rPr>
        <w:t xml:space="preserve"> </w:t>
      </w:r>
      <w:r>
        <w:rPr>
          <w:color w:val="231F20"/>
        </w:rPr>
        <w:t>like</w:t>
      </w:r>
      <w:r>
        <w:rPr>
          <w:color w:val="231F20"/>
          <w:spacing w:val="-3"/>
        </w:rPr>
        <w:t xml:space="preserve"> </w:t>
      </w:r>
      <w:r>
        <w:rPr>
          <w:color w:val="231F20"/>
        </w:rPr>
        <w:t>the</w:t>
      </w:r>
      <w:r>
        <w:rPr>
          <w:color w:val="231F20"/>
          <w:spacing w:val="-3"/>
        </w:rPr>
        <w:t xml:space="preserve"> </w:t>
      </w:r>
      <w:r>
        <w:rPr>
          <w:color w:val="231F20"/>
        </w:rPr>
        <w:t>Olympics</w:t>
      </w:r>
      <w:r>
        <w:rPr>
          <w:color w:val="231F20"/>
          <w:spacing w:val="-3"/>
        </w:rPr>
        <w:t xml:space="preserve"> </w:t>
      </w:r>
      <w:r>
        <w:rPr>
          <w:color w:val="231F20"/>
        </w:rPr>
        <w:t>and</w:t>
      </w:r>
      <w:r>
        <w:rPr>
          <w:color w:val="231F20"/>
          <w:spacing w:val="-3"/>
        </w:rPr>
        <w:t xml:space="preserve"> </w:t>
      </w:r>
      <w:r>
        <w:rPr>
          <w:color w:val="231F20"/>
        </w:rPr>
        <w:t>the</w:t>
      </w:r>
      <w:r>
        <w:rPr>
          <w:color w:val="231F20"/>
          <w:spacing w:val="-3"/>
        </w:rPr>
        <w:t xml:space="preserve"> </w:t>
      </w:r>
      <w:r>
        <w:rPr>
          <w:color w:val="231F20"/>
        </w:rPr>
        <w:t>FIFA</w:t>
      </w:r>
      <w:r>
        <w:rPr>
          <w:color w:val="231F20"/>
          <w:spacing w:val="-3"/>
        </w:rPr>
        <w:t xml:space="preserve"> </w:t>
      </w:r>
      <w:r>
        <w:rPr>
          <w:color w:val="231F20"/>
        </w:rPr>
        <w:t>World</w:t>
      </w:r>
      <w:r>
        <w:rPr>
          <w:color w:val="231F20"/>
          <w:spacing w:val="-3"/>
        </w:rPr>
        <w:t xml:space="preserve"> </w:t>
      </w:r>
      <w:r>
        <w:rPr>
          <w:color w:val="231F20"/>
        </w:rPr>
        <w:t>Cup</w:t>
      </w:r>
      <w:r>
        <w:rPr>
          <w:color w:val="231F20"/>
          <w:spacing w:val="-3"/>
        </w:rPr>
        <w:t xml:space="preserve"> </w:t>
      </w:r>
      <w:r>
        <w:rPr>
          <w:color w:val="231F20"/>
        </w:rPr>
        <w:t>are</w:t>
      </w:r>
      <w:r>
        <w:rPr>
          <w:color w:val="231F20"/>
          <w:spacing w:val="-3"/>
        </w:rPr>
        <w:t xml:space="preserve"> </w:t>
      </w:r>
      <w:r>
        <w:rPr>
          <w:color w:val="231F20"/>
        </w:rPr>
        <w:t>popular</w:t>
      </w:r>
      <w:r>
        <w:rPr>
          <w:color w:val="231F20"/>
          <w:spacing w:val="-3"/>
        </w:rPr>
        <w:t xml:space="preserve"> </w:t>
      </w:r>
      <w:r>
        <w:rPr>
          <w:color w:val="231F20"/>
        </w:rPr>
        <w:t>topics</w:t>
      </w:r>
      <w:r>
        <w:rPr>
          <w:color w:val="231F20"/>
          <w:spacing w:val="-3"/>
        </w:rPr>
        <w:t xml:space="preserve"> </w:t>
      </w:r>
      <w:r>
        <w:rPr>
          <w:color w:val="231F20"/>
        </w:rPr>
        <w:t>that overlap</w:t>
      </w:r>
      <w:r>
        <w:rPr>
          <w:color w:val="231F20"/>
          <w:spacing w:val="-5"/>
        </w:rPr>
        <w:t xml:space="preserve"> </w:t>
      </w:r>
      <w:r>
        <w:rPr>
          <w:color w:val="231F20"/>
        </w:rPr>
        <w:t>directly</w:t>
      </w:r>
      <w:r>
        <w:rPr>
          <w:color w:val="231F20"/>
          <w:spacing w:val="-5"/>
        </w:rPr>
        <w:t xml:space="preserve"> </w:t>
      </w:r>
      <w:r>
        <w:rPr>
          <w:color w:val="231F20"/>
        </w:rPr>
        <w:t>with</w:t>
      </w:r>
      <w:r>
        <w:rPr>
          <w:color w:val="231F20"/>
          <w:spacing w:val="-5"/>
        </w:rPr>
        <w:t xml:space="preserve"> </w:t>
      </w:r>
      <w:r>
        <w:rPr>
          <w:color w:val="231F20"/>
        </w:rPr>
        <w:t>sport</w:t>
      </w:r>
      <w:r>
        <w:rPr>
          <w:color w:val="231F20"/>
          <w:spacing w:val="-5"/>
        </w:rPr>
        <w:t xml:space="preserve"> </w:t>
      </w:r>
      <w:r>
        <w:rPr>
          <w:color w:val="231F20"/>
        </w:rPr>
        <w:t>tourism</w:t>
      </w:r>
      <w:r>
        <w:rPr>
          <w:color w:val="231F20"/>
          <w:spacing w:val="-5"/>
        </w:rPr>
        <w:t xml:space="preserve"> </w:t>
      </w:r>
      <w:r>
        <w:rPr>
          <w:color w:val="231F20"/>
        </w:rPr>
        <w:t>studies</w:t>
      </w:r>
      <w:r>
        <w:rPr>
          <w:color w:val="231F20"/>
          <w:spacing w:val="-5"/>
        </w:rPr>
        <w:t xml:space="preserve"> </w:t>
      </w:r>
      <w:r>
        <w:rPr>
          <w:color w:val="231F20"/>
        </w:rPr>
        <w:t>(e.g.</w:t>
      </w:r>
      <w:r>
        <w:rPr>
          <w:color w:val="231F20"/>
          <w:spacing w:val="-5"/>
        </w:rPr>
        <w:t xml:space="preserve"> </w:t>
      </w:r>
      <w:r>
        <w:rPr>
          <w:color w:val="231F20"/>
        </w:rPr>
        <w:t>Sant</w:t>
      </w:r>
      <w:r>
        <w:rPr>
          <w:color w:val="231F20"/>
          <w:spacing w:val="-5"/>
        </w:rPr>
        <w:t xml:space="preserve"> </w:t>
      </w:r>
      <w:r>
        <w:rPr>
          <w:color w:val="231F20"/>
        </w:rPr>
        <w:t>&amp;</w:t>
      </w:r>
      <w:r>
        <w:rPr>
          <w:color w:val="231F20"/>
          <w:spacing w:val="-5"/>
        </w:rPr>
        <w:t xml:space="preserve"> </w:t>
      </w:r>
      <w:r>
        <w:rPr>
          <w:color w:val="231F20"/>
        </w:rPr>
        <w:t>Mason,</w:t>
      </w:r>
      <w:r>
        <w:rPr>
          <w:color w:val="231F20"/>
          <w:spacing w:val="-5"/>
        </w:rPr>
        <w:t xml:space="preserve"> </w:t>
      </w:r>
      <w:r>
        <w:rPr>
          <w:color w:val="231F20"/>
        </w:rPr>
        <w:t>2015).</w:t>
      </w:r>
      <w:r>
        <w:rPr>
          <w:color w:val="231F20"/>
          <w:spacing w:val="-5"/>
        </w:rPr>
        <w:t xml:space="preserve"> </w:t>
      </w:r>
      <w:r>
        <w:rPr>
          <w:color w:val="231F20"/>
        </w:rPr>
        <w:t>As in</w:t>
      </w:r>
      <w:r>
        <w:rPr>
          <w:color w:val="231F20"/>
          <w:spacing w:val="-3"/>
        </w:rPr>
        <w:t xml:space="preserve"> </w:t>
      </w:r>
      <w:r>
        <w:rPr>
          <w:color w:val="231F20"/>
        </w:rPr>
        <w:t>the</w:t>
      </w:r>
      <w:r>
        <w:rPr>
          <w:color w:val="231F20"/>
          <w:spacing w:val="-3"/>
        </w:rPr>
        <w:t xml:space="preserve"> </w:t>
      </w:r>
      <w:r>
        <w:rPr>
          <w:color w:val="231F20"/>
        </w:rPr>
        <w:t>case</w:t>
      </w:r>
      <w:r>
        <w:rPr>
          <w:color w:val="231F20"/>
          <w:spacing w:val="-3"/>
        </w:rPr>
        <w:t xml:space="preserve"> </w:t>
      </w:r>
      <w:r>
        <w:rPr>
          <w:color w:val="231F20"/>
        </w:rPr>
        <w:t>of the</w:t>
      </w:r>
      <w:r>
        <w:rPr>
          <w:color w:val="231F20"/>
          <w:spacing w:val="-3"/>
        </w:rPr>
        <w:t xml:space="preserve"> </w:t>
      </w:r>
      <w:r>
        <w:rPr>
          <w:color w:val="231F20"/>
        </w:rPr>
        <w:t>previous</w:t>
      </w:r>
      <w:r>
        <w:rPr>
          <w:color w:val="231F20"/>
          <w:spacing w:val="-3"/>
        </w:rPr>
        <w:t xml:space="preserve"> </w:t>
      </w:r>
      <w:r>
        <w:rPr>
          <w:color w:val="231F20"/>
        </w:rPr>
        <w:t>domains,</w:t>
      </w:r>
      <w:r>
        <w:rPr>
          <w:color w:val="231F20"/>
          <w:spacing w:val="-3"/>
        </w:rPr>
        <w:t xml:space="preserve"> </w:t>
      </w:r>
      <w:r>
        <w:rPr>
          <w:color w:val="231F20"/>
        </w:rPr>
        <w:t>there</w:t>
      </w:r>
      <w:r>
        <w:rPr>
          <w:color w:val="231F20"/>
          <w:spacing w:val="-3"/>
        </w:rPr>
        <w:t xml:space="preserve"> </w:t>
      </w:r>
      <w:r>
        <w:rPr>
          <w:color w:val="231F20"/>
        </w:rPr>
        <w:t>is</w:t>
      </w:r>
      <w:r>
        <w:rPr>
          <w:color w:val="231F20"/>
          <w:spacing w:val="-3"/>
        </w:rPr>
        <w:t xml:space="preserve"> </w:t>
      </w:r>
      <w:r>
        <w:rPr>
          <w:color w:val="231F20"/>
        </w:rPr>
        <w:t>a</w:t>
      </w:r>
      <w:r>
        <w:rPr>
          <w:color w:val="231F20"/>
          <w:spacing w:val="-3"/>
        </w:rPr>
        <w:t xml:space="preserve"> </w:t>
      </w:r>
      <w:r>
        <w:rPr>
          <w:color w:val="231F20"/>
        </w:rPr>
        <w:t>significant</w:t>
      </w:r>
      <w:r>
        <w:rPr>
          <w:color w:val="231F20"/>
          <w:spacing w:val="-3"/>
        </w:rPr>
        <w:t xml:space="preserve"> </w:t>
      </w:r>
      <w:r>
        <w:rPr>
          <w:color w:val="231F20"/>
        </w:rPr>
        <w:t>shared</w:t>
      </w:r>
      <w:r>
        <w:rPr>
          <w:color w:val="231F20"/>
          <w:spacing w:val="-3"/>
        </w:rPr>
        <w:t xml:space="preserve"> </w:t>
      </w:r>
      <w:r>
        <w:rPr>
          <w:color w:val="231F20"/>
        </w:rPr>
        <w:t xml:space="preserve">interest with sport tourism, but sport management scholars tend to ignore non- </w:t>
      </w:r>
      <w:r>
        <w:rPr>
          <w:color w:val="231F20"/>
          <w:w w:val="95"/>
        </w:rPr>
        <w:t xml:space="preserve">institutionalised sport travellers and focus on the management dimensions </w:t>
      </w:r>
      <w:r>
        <w:rPr>
          <w:color w:val="231F20"/>
        </w:rPr>
        <w:t>of sport</w:t>
      </w:r>
      <w:r>
        <w:rPr>
          <w:color w:val="231F20"/>
          <w:spacing w:val="-2"/>
        </w:rPr>
        <w:t xml:space="preserve"> </w:t>
      </w:r>
      <w:r>
        <w:rPr>
          <w:color w:val="231F20"/>
        </w:rPr>
        <w:t>tourism</w:t>
      </w:r>
      <w:r>
        <w:rPr>
          <w:color w:val="231F20"/>
          <w:spacing w:val="-2"/>
        </w:rPr>
        <w:t xml:space="preserve"> </w:t>
      </w:r>
      <w:r>
        <w:rPr>
          <w:color w:val="231F20"/>
        </w:rPr>
        <w:t>to</w:t>
      </w:r>
      <w:r>
        <w:rPr>
          <w:color w:val="231F20"/>
          <w:spacing w:val="-2"/>
        </w:rPr>
        <w:t xml:space="preserve"> </w:t>
      </w:r>
      <w:r>
        <w:rPr>
          <w:color w:val="231F20"/>
        </w:rPr>
        <w:t>the</w:t>
      </w:r>
      <w:r>
        <w:rPr>
          <w:color w:val="231F20"/>
          <w:spacing w:val="-2"/>
        </w:rPr>
        <w:t xml:space="preserve"> </w:t>
      </w:r>
      <w:r>
        <w:rPr>
          <w:color w:val="231F20"/>
        </w:rPr>
        <w:t>exclusion</w:t>
      </w:r>
      <w:r>
        <w:rPr>
          <w:color w:val="231F20"/>
          <w:spacing w:val="-2"/>
        </w:rPr>
        <w:t xml:space="preserve"> </w:t>
      </w:r>
      <w:r>
        <w:rPr>
          <w:color w:val="231F20"/>
        </w:rPr>
        <w:t>of its</w:t>
      </w:r>
      <w:r>
        <w:rPr>
          <w:color w:val="231F20"/>
          <w:spacing w:val="-2"/>
        </w:rPr>
        <w:t xml:space="preserve"> </w:t>
      </w:r>
      <w:r>
        <w:rPr>
          <w:color w:val="231F20"/>
        </w:rPr>
        <w:t>other</w:t>
      </w:r>
      <w:r>
        <w:rPr>
          <w:color w:val="231F20"/>
          <w:spacing w:val="-2"/>
        </w:rPr>
        <w:t xml:space="preserve"> </w:t>
      </w:r>
      <w:r>
        <w:rPr>
          <w:color w:val="231F20"/>
        </w:rPr>
        <w:t>dimensions.</w:t>
      </w:r>
    </w:p>
    <w:p w14:paraId="36FA565D" w14:textId="77777777" w:rsidR="00AE0598" w:rsidRDefault="0069255A">
      <w:pPr>
        <w:pStyle w:val="Corpodetexto"/>
        <w:spacing w:before="11" w:line="232" w:lineRule="auto"/>
        <w:ind w:left="110" w:right="107" w:firstLine="320"/>
        <w:jc w:val="both"/>
      </w:pPr>
      <w:r>
        <w:rPr>
          <w:color w:val="231F20"/>
          <w:w w:val="95"/>
        </w:rPr>
        <w:t xml:space="preserve">Health and fitness activities represent the fourth domain of relevance </w:t>
      </w:r>
      <w:r>
        <w:rPr>
          <w:color w:val="231F20"/>
        </w:rPr>
        <w:t>that we have highlighted in Figure 2.2. The essence of this domain is evident</w:t>
      </w:r>
      <w:r>
        <w:rPr>
          <w:color w:val="231F20"/>
          <w:spacing w:val="-9"/>
        </w:rPr>
        <w:t xml:space="preserve"> </w:t>
      </w:r>
      <w:r>
        <w:rPr>
          <w:color w:val="231F20"/>
        </w:rPr>
        <w:t>from</w:t>
      </w:r>
      <w:r>
        <w:rPr>
          <w:color w:val="231F20"/>
          <w:spacing w:val="-9"/>
        </w:rPr>
        <w:t xml:space="preserve"> </w:t>
      </w:r>
      <w:r>
        <w:rPr>
          <w:color w:val="231F20"/>
        </w:rPr>
        <w:t>both</w:t>
      </w:r>
      <w:r>
        <w:rPr>
          <w:color w:val="231F20"/>
          <w:spacing w:val="-9"/>
        </w:rPr>
        <w:t xml:space="preserve"> </w:t>
      </w:r>
      <w:r>
        <w:rPr>
          <w:color w:val="231F20"/>
        </w:rPr>
        <w:t>historical</w:t>
      </w:r>
      <w:r>
        <w:rPr>
          <w:color w:val="231F20"/>
          <w:spacing w:val="-9"/>
        </w:rPr>
        <w:t xml:space="preserve"> </w:t>
      </w:r>
      <w:r>
        <w:rPr>
          <w:color w:val="231F20"/>
        </w:rPr>
        <w:t>and</w:t>
      </w:r>
      <w:r>
        <w:rPr>
          <w:color w:val="231F20"/>
          <w:spacing w:val="-9"/>
        </w:rPr>
        <w:t xml:space="preserve"> </w:t>
      </w:r>
      <w:r>
        <w:rPr>
          <w:color w:val="231F20"/>
        </w:rPr>
        <w:t>contemporary</w:t>
      </w:r>
      <w:r>
        <w:rPr>
          <w:color w:val="231F20"/>
          <w:spacing w:val="-9"/>
        </w:rPr>
        <w:t xml:space="preserve"> </w:t>
      </w:r>
      <w:r>
        <w:rPr>
          <w:color w:val="231F20"/>
        </w:rPr>
        <w:t>perspectives.</w:t>
      </w:r>
      <w:r>
        <w:rPr>
          <w:color w:val="231F20"/>
          <w:spacing w:val="-9"/>
        </w:rPr>
        <w:t xml:space="preserve"> </w:t>
      </w:r>
      <w:r>
        <w:rPr>
          <w:color w:val="231F20"/>
        </w:rPr>
        <w:t>The</w:t>
      </w:r>
      <w:r>
        <w:rPr>
          <w:color w:val="231F20"/>
          <w:spacing w:val="-9"/>
        </w:rPr>
        <w:t xml:space="preserve"> </w:t>
      </w:r>
      <w:r>
        <w:rPr>
          <w:color w:val="231F20"/>
        </w:rPr>
        <w:t>former is most commonly illustrated by the tourist activity associated with the therapeutic</w:t>
      </w:r>
      <w:r>
        <w:rPr>
          <w:color w:val="231F20"/>
          <w:spacing w:val="8"/>
        </w:rPr>
        <w:t xml:space="preserve"> </w:t>
      </w:r>
      <w:r>
        <w:rPr>
          <w:color w:val="231F20"/>
        </w:rPr>
        <w:t>spas</w:t>
      </w:r>
      <w:r>
        <w:rPr>
          <w:color w:val="231F20"/>
          <w:spacing w:val="8"/>
        </w:rPr>
        <w:t xml:space="preserve"> </w:t>
      </w:r>
      <w:r>
        <w:rPr>
          <w:color w:val="231F20"/>
        </w:rPr>
        <w:t>of</w:t>
      </w:r>
      <w:r>
        <w:rPr>
          <w:color w:val="231F20"/>
          <w:spacing w:val="8"/>
        </w:rPr>
        <w:t xml:space="preserve"> </w:t>
      </w:r>
      <w:r>
        <w:rPr>
          <w:color w:val="231F20"/>
        </w:rPr>
        <w:t>Eastern</w:t>
      </w:r>
      <w:r>
        <w:rPr>
          <w:color w:val="231F20"/>
          <w:spacing w:val="8"/>
        </w:rPr>
        <w:t xml:space="preserve"> </w:t>
      </w:r>
      <w:r>
        <w:rPr>
          <w:color w:val="231F20"/>
        </w:rPr>
        <w:t>and</w:t>
      </w:r>
      <w:r>
        <w:rPr>
          <w:color w:val="231F20"/>
          <w:spacing w:val="8"/>
        </w:rPr>
        <w:t xml:space="preserve"> </w:t>
      </w:r>
      <w:r>
        <w:rPr>
          <w:color w:val="231F20"/>
        </w:rPr>
        <w:t>Mediterranean</w:t>
      </w:r>
      <w:r>
        <w:rPr>
          <w:color w:val="231F20"/>
          <w:spacing w:val="8"/>
        </w:rPr>
        <w:t xml:space="preserve"> </w:t>
      </w:r>
      <w:r>
        <w:rPr>
          <w:color w:val="231F20"/>
        </w:rPr>
        <w:t>Europe</w:t>
      </w:r>
      <w:r>
        <w:rPr>
          <w:color w:val="231F20"/>
          <w:spacing w:val="8"/>
        </w:rPr>
        <w:t xml:space="preserve"> </w:t>
      </w:r>
      <w:r>
        <w:rPr>
          <w:color w:val="231F20"/>
        </w:rPr>
        <w:t>in</w:t>
      </w:r>
      <w:r>
        <w:rPr>
          <w:color w:val="231F20"/>
          <w:spacing w:val="8"/>
        </w:rPr>
        <w:t xml:space="preserve"> </w:t>
      </w:r>
      <w:r>
        <w:rPr>
          <w:color w:val="231F20"/>
        </w:rPr>
        <w:t>Roman</w:t>
      </w:r>
      <w:r>
        <w:rPr>
          <w:color w:val="231F20"/>
          <w:spacing w:val="8"/>
        </w:rPr>
        <w:t xml:space="preserve"> </w:t>
      </w:r>
      <w:r>
        <w:rPr>
          <w:color w:val="231F20"/>
        </w:rPr>
        <w:t>times</w:t>
      </w:r>
    </w:p>
    <w:p w14:paraId="3CD006E0" w14:textId="77777777" w:rsidR="00AE0598" w:rsidRDefault="00AE0598">
      <w:pPr>
        <w:spacing w:line="232" w:lineRule="auto"/>
        <w:jc w:val="both"/>
        <w:sectPr w:rsidR="00AE0598">
          <w:pgSz w:w="8850" w:h="13270"/>
          <w:pgMar w:top="720" w:right="1080" w:bottom="280" w:left="1080" w:header="720" w:footer="720" w:gutter="0"/>
          <w:cols w:space="720"/>
        </w:sectPr>
      </w:pPr>
    </w:p>
    <w:p w14:paraId="13A49818" w14:textId="77777777" w:rsidR="00AE0598" w:rsidRDefault="0069255A">
      <w:pPr>
        <w:spacing w:before="87"/>
        <w:ind w:right="108"/>
        <w:jc w:val="right"/>
        <w:rPr>
          <w:rFonts w:ascii="Trebuchet MS"/>
          <w:sz w:val="14"/>
        </w:rPr>
      </w:pPr>
      <w:r>
        <w:rPr>
          <w:rFonts w:ascii="Trebuchet MS"/>
          <w:color w:val="231F20"/>
          <w:w w:val="105"/>
          <w:sz w:val="14"/>
        </w:rPr>
        <w:lastRenderedPageBreak/>
        <w:t>The</w:t>
      </w:r>
      <w:r>
        <w:rPr>
          <w:rFonts w:ascii="Trebuchet MS"/>
          <w:color w:val="231F20"/>
          <w:spacing w:val="-9"/>
          <w:w w:val="105"/>
          <w:sz w:val="14"/>
        </w:rPr>
        <w:t xml:space="preserve"> </w:t>
      </w:r>
      <w:r>
        <w:rPr>
          <w:rFonts w:ascii="Trebuchet MS"/>
          <w:color w:val="231F20"/>
          <w:w w:val="105"/>
          <w:sz w:val="14"/>
        </w:rPr>
        <w:t>Study</w:t>
      </w:r>
      <w:r>
        <w:rPr>
          <w:rFonts w:ascii="Trebuchet MS"/>
          <w:color w:val="231F20"/>
          <w:spacing w:val="-8"/>
          <w:w w:val="105"/>
          <w:sz w:val="14"/>
        </w:rPr>
        <w:t xml:space="preserve"> </w:t>
      </w:r>
      <w:r>
        <w:rPr>
          <w:rFonts w:ascii="Trebuchet MS"/>
          <w:color w:val="231F20"/>
          <w:w w:val="105"/>
          <w:sz w:val="14"/>
        </w:rPr>
        <w:t>of</w:t>
      </w:r>
      <w:r>
        <w:rPr>
          <w:rFonts w:ascii="Trebuchet MS"/>
          <w:color w:val="231F20"/>
          <w:spacing w:val="-9"/>
          <w:w w:val="105"/>
          <w:sz w:val="14"/>
        </w:rPr>
        <w:t xml:space="preserve"> </w:t>
      </w:r>
      <w:r>
        <w:rPr>
          <w:rFonts w:ascii="Trebuchet MS"/>
          <w:color w:val="231F20"/>
          <w:w w:val="105"/>
          <w:sz w:val="14"/>
        </w:rPr>
        <w:t>Sport</w:t>
      </w:r>
      <w:r>
        <w:rPr>
          <w:rFonts w:ascii="Trebuchet MS"/>
          <w:color w:val="231F20"/>
          <w:spacing w:val="-8"/>
          <w:w w:val="105"/>
          <w:sz w:val="14"/>
        </w:rPr>
        <w:t xml:space="preserve"> </w:t>
      </w:r>
      <w:r>
        <w:rPr>
          <w:rFonts w:ascii="Trebuchet MS"/>
          <w:color w:val="231F20"/>
          <w:w w:val="105"/>
          <w:sz w:val="14"/>
        </w:rPr>
        <w:t>Tourism</w:t>
      </w:r>
      <w:r>
        <w:rPr>
          <w:rFonts w:ascii="Trebuchet MS"/>
          <w:color w:val="231F20"/>
          <w:spacing w:val="68"/>
          <w:w w:val="150"/>
          <w:sz w:val="14"/>
        </w:rPr>
        <w:t xml:space="preserve"> </w:t>
      </w:r>
      <w:r>
        <w:rPr>
          <w:rFonts w:ascii="Trebuchet MS"/>
          <w:color w:val="231F20"/>
          <w:spacing w:val="-5"/>
          <w:w w:val="105"/>
          <w:sz w:val="14"/>
        </w:rPr>
        <w:t>31</w:t>
      </w:r>
    </w:p>
    <w:p w14:paraId="2C6B8698" w14:textId="77777777" w:rsidR="00AE0598" w:rsidRDefault="00AE0598">
      <w:pPr>
        <w:pStyle w:val="Corpodetexto"/>
        <w:rPr>
          <w:rFonts w:ascii="Trebuchet MS"/>
          <w:sz w:val="16"/>
        </w:rPr>
      </w:pPr>
    </w:p>
    <w:p w14:paraId="34173FB3" w14:textId="77777777" w:rsidR="00AE0598" w:rsidRDefault="0069255A">
      <w:pPr>
        <w:pStyle w:val="Corpodetexto"/>
        <w:spacing w:before="118" w:line="232" w:lineRule="auto"/>
        <w:ind w:left="110" w:right="108"/>
        <w:jc w:val="both"/>
      </w:pPr>
      <w:r>
        <w:rPr>
          <w:color w:val="231F20"/>
          <w:w w:val="95"/>
        </w:rPr>
        <w:t xml:space="preserve">(Hall, 1992a). In a contemporary context, travel to partake in </w:t>
      </w:r>
      <w:r>
        <w:rPr>
          <w:color w:val="231F20"/>
          <w:w w:val="95"/>
        </w:rPr>
        <w:t xml:space="preserve">therapeutic spas continues with researchers such as Panchal (2014) examining the spa tourists in Asia through the lens of wellness and positive psychology. Many </w:t>
      </w:r>
      <w:r>
        <w:rPr>
          <w:color w:val="231F20"/>
        </w:rPr>
        <w:t xml:space="preserve">destination spas include sport amenities such as tennis courts and golf </w:t>
      </w:r>
      <w:r>
        <w:rPr>
          <w:color w:val="231F20"/>
          <w:w w:val="95"/>
        </w:rPr>
        <w:t>courses. While the real</w:t>
      </w:r>
      <w:r>
        <w:rPr>
          <w:color w:val="231F20"/>
          <w:w w:val="95"/>
        </w:rPr>
        <w:t xml:space="preserve">m of health and fitness can be defined in ubiquitous terms, it has generally been treated much more narrowly in the literature </w:t>
      </w:r>
      <w:r>
        <w:rPr>
          <w:color w:val="231F20"/>
        </w:rPr>
        <w:t>(Nahrstedt, 2004).</w:t>
      </w:r>
    </w:p>
    <w:p w14:paraId="7AF37EA1" w14:textId="77777777" w:rsidR="00AE0598" w:rsidRDefault="0069255A">
      <w:pPr>
        <w:pStyle w:val="Corpodetexto"/>
        <w:spacing w:before="8" w:line="232" w:lineRule="auto"/>
        <w:ind w:left="110" w:right="107" w:firstLine="320"/>
        <w:jc w:val="both"/>
      </w:pPr>
      <w:r>
        <w:rPr>
          <w:color w:val="231F20"/>
        </w:rPr>
        <w:t>Research</w:t>
      </w:r>
      <w:r>
        <w:rPr>
          <w:color w:val="231F20"/>
          <w:spacing w:val="-8"/>
        </w:rPr>
        <w:t xml:space="preserve"> </w:t>
      </w:r>
      <w:r>
        <w:rPr>
          <w:color w:val="231F20"/>
        </w:rPr>
        <w:t>in</w:t>
      </w:r>
      <w:r>
        <w:rPr>
          <w:color w:val="231F20"/>
          <w:spacing w:val="-8"/>
        </w:rPr>
        <w:t xml:space="preserve"> </w:t>
      </w:r>
      <w:r>
        <w:rPr>
          <w:color w:val="231F20"/>
        </w:rPr>
        <w:t>all</w:t>
      </w:r>
      <w:r>
        <w:rPr>
          <w:color w:val="231F20"/>
          <w:spacing w:val="-8"/>
        </w:rPr>
        <w:t xml:space="preserve"> </w:t>
      </w:r>
      <w:r>
        <w:rPr>
          <w:color w:val="231F20"/>
        </w:rPr>
        <w:t>four</w:t>
      </w:r>
      <w:r>
        <w:rPr>
          <w:color w:val="231F20"/>
          <w:spacing w:val="-8"/>
        </w:rPr>
        <w:t xml:space="preserve"> </w:t>
      </w:r>
      <w:r>
        <w:rPr>
          <w:color w:val="231F20"/>
        </w:rPr>
        <w:t>of these</w:t>
      </w:r>
      <w:r>
        <w:rPr>
          <w:color w:val="231F20"/>
          <w:spacing w:val="-8"/>
        </w:rPr>
        <w:t xml:space="preserve"> </w:t>
      </w:r>
      <w:r>
        <w:rPr>
          <w:color w:val="231F20"/>
        </w:rPr>
        <w:t>areas</w:t>
      </w:r>
      <w:r>
        <w:rPr>
          <w:color w:val="231F20"/>
          <w:spacing w:val="-8"/>
        </w:rPr>
        <w:t xml:space="preserve"> </w:t>
      </w:r>
      <w:r>
        <w:rPr>
          <w:color w:val="231F20"/>
        </w:rPr>
        <w:t>has</w:t>
      </w:r>
      <w:r>
        <w:rPr>
          <w:color w:val="231F20"/>
          <w:spacing w:val="-8"/>
        </w:rPr>
        <w:t xml:space="preserve"> </w:t>
      </w:r>
      <w:r>
        <w:rPr>
          <w:color w:val="231F20"/>
        </w:rPr>
        <w:t>contributed</w:t>
      </w:r>
      <w:r>
        <w:rPr>
          <w:color w:val="231F20"/>
          <w:spacing w:val="-8"/>
        </w:rPr>
        <w:t xml:space="preserve"> </w:t>
      </w:r>
      <w:r>
        <w:rPr>
          <w:color w:val="231F20"/>
        </w:rPr>
        <w:t>to</w:t>
      </w:r>
      <w:r>
        <w:rPr>
          <w:color w:val="231F20"/>
          <w:spacing w:val="-8"/>
        </w:rPr>
        <w:t xml:space="preserve"> </w:t>
      </w:r>
      <w:r>
        <w:rPr>
          <w:color w:val="231F20"/>
        </w:rPr>
        <w:t>the</w:t>
      </w:r>
      <w:r>
        <w:rPr>
          <w:color w:val="231F20"/>
          <w:spacing w:val="-8"/>
        </w:rPr>
        <w:t xml:space="preserve"> </w:t>
      </w:r>
      <w:r>
        <w:rPr>
          <w:color w:val="231F20"/>
        </w:rPr>
        <w:t xml:space="preserve">understand- </w:t>
      </w:r>
      <w:r>
        <w:rPr>
          <w:color w:val="231F20"/>
          <w:spacing w:val="-2"/>
        </w:rPr>
        <w:t>ing</w:t>
      </w:r>
      <w:r>
        <w:rPr>
          <w:color w:val="231F20"/>
          <w:spacing w:val="-7"/>
        </w:rPr>
        <w:t xml:space="preserve"> </w:t>
      </w:r>
      <w:r>
        <w:rPr>
          <w:color w:val="231F20"/>
          <w:spacing w:val="-2"/>
        </w:rPr>
        <w:t>of</w:t>
      </w:r>
      <w:r>
        <w:rPr>
          <w:color w:val="231F20"/>
        </w:rPr>
        <w:t xml:space="preserve"> </w:t>
      </w:r>
      <w:r>
        <w:rPr>
          <w:color w:val="231F20"/>
          <w:spacing w:val="-2"/>
        </w:rPr>
        <w:t>sport</w:t>
      </w:r>
      <w:r>
        <w:rPr>
          <w:color w:val="231F20"/>
          <w:spacing w:val="-7"/>
        </w:rPr>
        <w:t xml:space="preserve"> </w:t>
      </w:r>
      <w:r>
        <w:rPr>
          <w:color w:val="231F20"/>
          <w:spacing w:val="-2"/>
        </w:rPr>
        <w:t>tourism</w:t>
      </w:r>
      <w:r>
        <w:rPr>
          <w:color w:val="231F20"/>
          <w:spacing w:val="-7"/>
        </w:rPr>
        <w:t xml:space="preserve"> </w:t>
      </w:r>
      <w:r>
        <w:rPr>
          <w:color w:val="231F20"/>
          <w:spacing w:val="-2"/>
        </w:rPr>
        <w:t>yet</w:t>
      </w:r>
      <w:r>
        <w:rPr>
          <w:color w:val="231F20"/>
          <w:spacing w:val="-7"/>
        </w:rPr>
        <w:t xml:space="preserve"> </w:t>
      </w:r>
      <w:r>
        <w:rPr>
          <w:color w:val="231F20"/>
          <w:spacing w:val="-2"/>
        </w:rPr>
        <w:t>the</w:t>
      </w:r>
      <w:r>
        <w:rPr>
          <w:color w:val="231F20"/>
          <w:spacing w:val="-7"/>
        </w:rPr>
        <w:t xml:space="preserve"> </w:t>
      </w:r>
      <w:r>
        <w:rPr>
          <w:color w:val="231F20"/>
          <w:spacing w:val="-2"/>
        </w:rPr>
        <w:t>essence</w:t>
      </w:r>
      <w:r>
        <w:rPr>
          <w:color w:val="231F20"/>
          <w:spacing w:val="-7"/>
        </w:rPr>
        <w:t xml:space="preserve"> </w:t>
      </w:r>
      <w:r>
        <w:rPr>
          <w:color w:val="231F20"/>
          <w:spacing w:val="-2"/>
        </w:rPr>
        <w:t>of</w:t>
      </w:r>
      <w:r>
        <w:rPr>
          <w:color w:val="231F20"/>
        </w:rPr>
        <w:t xml:space="preserve"> </w:t>
      </w:r>
      <w:r>
        <w:rPr>
          <w:color w:val="231F20"/>
          <w:spacing w:val="-2"/>
        </w:rPr>
        <w:t>sport</w:t>
      </w:r>
      <w:r>
        <w:rPr>
          <w:color w:val="231F20"/>
          <w:spacing w:val="-7"/>
        </w:rPr>
        <w:t xml:space="preserve"> </w:t>
      </w:r>
      <w:r>
        <w:rPr>
          <w:color w:val="231F20"/>
          <w:spacing w:val="-2"/>
        </w:rPr>
        <w:t>extends</w:t>
      </w:r>
      <w:r>
        <w:rPr>
          <w:color w:val="231F20"/>
          <w:spacing w:val="-7"/>
        </w:rPr>
        <w:t xml:space="preserve"> </w:t>
      </w:r>
      <w:r>
        <w:rPr>
          <w:color w:val="231F20"/>
          <w:spacing w:val="-2"/>
        </w:rPr>
        <w:t>beyond</w:t>
      </w:r>
      <w:r>
        <w:rPr>
          <w:color w:val="231F20"/>
          <w:spacing w:val="-7"/>
        </w:rPr>
        <w:t xml:space="preserve"> </w:t>
      </w:r>
      <w:r>
        <w:rPr>
          <w:color w:val="231F20"/>
          <w:spacing w:val="-2"/>
        </w:rPr>
        <w:t>the</w:t>
      </w:r>
      <w:r>
        <w:rPr>
          <w:color w:val="231F20"/>
          <w:spacing w:val="-7"/>
        </w:rPr>
        <w:t xml:space="preserve"> </w:t>
      </w:r>
      <w:r>
        <w:rPr>
          <w:color w:val="231F20"/>
          <w:spacing w:val="-2"/>
        </w:rPr>
        <w:t xml:space="preserve">collective </w:t>
      </w:r>
      <w:r>
        <w:rPr>
          <w:color w:val="231F20"/>
          <w:w w:val="95"/>
        </w:rPr>
        <w:t>parameters of these related domains. The defining parameters of sport and their relevance to tourism are not the central interest of research related to events, outdoor recreation, sport management or health t</w:t>
      </w:r>
      <w:r>
        <w:rPr>
          <w:color w:val="231F20"/>
          <w:w w:val="95"/>
        </w:rPr>
        <w:t xml:space="preserve">ourism. Targeted study on sport tourism can, therefore, provide new and challenging insights </w:t>
      </w:r>
      <w:r>
        <w:rPr>
          <w:color w:val="231F20"/>
        </w:rPr>
        <w:t>that</w:t>
      </w:r>
      <w:r>
        <w:rPr>
          <w:color w:val="231F20"/>
          <w:spacing w:val="-12"/>
        </w:rPr>
        <w:t xml:space="preserve"> </w:t>
      </w:r>
      <w:r>
        <w:rPr>
          <w:color w:val="231F20"/>
        </w:rPr>
        <w:t>are</w:t>
      </w:r>
      <w:r>
        <w:rPr>
          <w:color w:val="231F20"/>
          <w:spacing w:val="-12"/>
        </w:rPr>
        <w:t xml:space="preserve"> </w:t>
      </w:r>
      <w:r>
        <w:rPr>
          <w:color w:val="231F20"/>
        </w:rPr>
        <w:t>not</w:t>
      </w:r>
      <w:r>
        <w:rPr>
          <w:color w:val="231F20"/>
          <w:spacing w:val="-11"/>
        </w:rPr>
        <w:t xml:space="preserve"> </w:t>
      </w:r>
      <w:r>
        <w:rPr>
          <w:color w:val="231F20"/>
        </w:rPr>
        <w:t>normally</w:t>
      </w:r>
      <w:r>
        <w:rPr>
          <w:color w:val="231F20"/>
          <w:spacing w:val="-12"/>
        </w:rPr>
        <w:t xml:space="preserve"> </w:t>
      </w:r>
      <w:r>
        <w:rPr>
          <w:color w:val="231F20"/>
        </w:rPr>
        <w:t>covered</w:t>
      </w:r>
      <w:r>
        <w:rPr>
          <w:color w:val="231F20"/>
          <w:spacing w:val="-11"/>
        </w:rPr>
        <w:t xml:space="preserve"> </w:t>
      </w:r>
      <w:r>
        <w:rPr>
          <w:color w:val="231F20"/>
        </w:rPr>
        <w:t>in</w:t>
      </w:r>
      <w:r>
        <w:rPr>
          <w:color w:val="231F20"/>
          <w:spacing w:val="-12"/>
        </w:rPr>
        <w:t xml:space="preserve"> </w:t>
      </w:r>
      <w:r>
        <w:rPr>
          <w:color w:val="231F20"/>
        </w:rPr>
        <w:t>these</w:t>
      </w:r>
      <w:r>
        <w:rPr>
          <w:color w:val="231F20"/>
          <w:spacing w:val="-11"/>
        </w:rPr>
        <w:t xml:space="preserve"> </w:t>
      </w:r>
      <w:r>
        <w:rPr>
          <w:color w:val="231F20"/>
        </w:rPr>
        <w:t>associated</w:t>
      </w:r>
      <w:r>
        <w:rPr>
          <w:color w:val="231F20"/>
          <w:spacing w:val="-12"/>
        </w:rPr>
        <w:t xml:space="preserve"> </w:t>
      </w:r>
      <w:r>
        <w:rPr>
          <w:color w:val="231F20"/>
        </w:rPr>
        <w:t>areas.</w:t>
      </w:r>
    </w:p>
    <w:p w14:paraId="6A4DE710" w14:textId="77777777" w:rsidR="00AE0598" w:rsidRDefault="00AE0598">
      <w:pPr>
        <w:pStyle w:val="Corpodetexto"/>
        <w:spacing w:before="8"/>
      </w:pPr>
    </w:p>
    <w:p w14:paraId="49A64553" w14:textId="77777777" w:rsidR="00AE0598" w:rsidRDefault="0069255A">
      <w:pPr>
        <w:ind w:left="110"/>
        <w:jc w:val="both"/>
        <w:rPr>
          <w:rFonts w:ascii="Trebuchet MS"/>
          <w:sz w:val="20"/>
        </w:rPr>
      </w:pPr>
      <w:r>
        <w:rPr>
          <w:rFonts w:ascii="Trebuchet MS"/>
          <w:color w:val="231F20"/>
          <w:w w:val="105"/>
          <w:sz w:val="20"/>
        </w:rPr>
        <w:t>The</w:t>
      </w:r>
      <w:r>
        <w:rPr>
          <w:rFonts w:ascii="Trebuchet MS"/>
          <w:color w:val="231F20"/>
          <w:spacing w:val="-9"/>
          <w:w w:val="105"/>
          <w:sz w:val="20"/>
        </w:rPr>
        <w:t xml:space="preserve"> </w:t>
      </w:r>
      <w:r>
        <w:rPr>
          <w:rFonts w:ascii="Trebuchet MS"/>
          <w:color w:val="231F20"/>
          <w:w w:val="105"/>
          <w:sz w:val="20"/>
        </w:rPr>
        <w:t>emergence</w:t>
      </w:r>
      <w:r>
        <w:rPr>
          <w:rFonts w:ascii="Trebuchet MS"/>
          <w:color w:val="231F20"/>
          <w:spacing w:val="-9"/>
          <w:w w:val="105"/>
          <w:sz w:val="20"/>
        </w:rPr>
        <w:t xml:space="preserve"> </w:t>
      </w:r>
      <w:r>
        <w:rPr>
          <w:rFonts w:ascii="Trebuchet MS"/>
          <w:color w:val="231F20"/>
          <w:w w:val="105"/>
          <w:sz w:val="20"/>
        </w:rPr>
        <w:t>of</w:t>
      </w:r>
      <w:r>
        <w:rPr>
          <w:rFonts w:ascii="Trebuchet MS"/>
          <w:color w:val="231F20"/>
          <w:spacing w:val="-9"/>
          <w:w w:val="105"/>
          <w:sz w:val="20"/>
        </w:rPr>
        <w:t xml:space="preserve"> </w:t>
      </w:r>
      <w:r>
        <w:rPr>
          <w:rFonts w:ascii="Trebuchet MS"/>
          <w:color w:val="231F20"/>
          <w:w w:val="105"/>
          <w:sz w:val="20"/>
        </w:rPr>
        <w:t>sport</w:t>
      </w:r>
      <w:r>
        <w:rPr>
          <w:rFonts w:ascii="Trebuchet MS"/>
          <w:color w:val="231F20"/>
          <w:spacing w:val="-8"/>
          <w:w w:val="105"/>
          <w:sz w:val="20"/>
        </w:rPr>
        <w:t xml:space="preserve"> </w:t>
      </w:r>
      <w:r>
        <w:rPr>
          <w:rFonts w:ascii="Trebuchet MS"/>
          <w:color w:val="231F20"/>
          <w:w w:val="105"/>
          <w:sz w:val="20"/>
        </w:rPr>
        <w:t>tourism</w:t>
      </w:r>
      <w:r>
        <w:rPr>
          <w:rFonts w:ascii="Trebuchet MS"/>
          <w:color w:val="231F20"/>
          <w:spacing w:val="-9"/>
          <w:w w:val="105"/>
          <w:sz w:val="20"/>
        </w:rPr>
        <w:t xml:space="preserve"> </w:t>
      </w:r>
      <w:r>
        <w:rPr>
          <w:rFonts w:ascii="Trebuchet MS"/>
          <w:color w:val="231F20"/>
          <w:spacing w:val="-2"/>
          <w:w w:val="105"/>
          <w:sz w:val="20"/>
        </w:rPr>
        <w:t>scholarship</w:t>
      </w:r>
    </w:p>
    <w:p w14:paraId="0ABE6C4E" w14:textId="77777777" w:rsidR="00AE0598" w:rsidRDefault="0069255A">
      <w:pPr>
        <w:pStyle w:val="Corpodetexto"/>
        <w:spacing w:before="122" w:line="232" w:lineRule="auto"/>
        <w:ind w:left="110" w:right="106" w:firstLine="320"/>
        <w:jc w:val="both"/>
      </w:pPr>
      <w:r>
        <w:rPr>
          <w:color w:val="231F20"/>
          <w:w w:val="95"/>
        </w:rPr>
        <w:t xml:space="preserve">Just as the market place has responded to consumer demand for sport </w:t>
      </w:r>
      <w:r>
        <w:rPr>
          <w:color w:val="231F20"/>
        </w:rPr>
        <w:t>tourism products and services, the academic community has responded to a gap in scholarship relating to sport tourism. Initially, this response was</w:t>
      </w:r>
      <w:r>
        <w:rPr>
          <w:color w:val="231F20"/>
          <w:spacing w:val="28"/>
        </w:rPr>
        <w:t xml:space="preserve"> </w:t>
      </w:r>
      <w:r>
        <w:rPr>
          <w:color w:val="231F20"/>
        </w:rPr>
        <w:t>relatively</w:t>
      </w:r>
      <w:r>
        <w:rPr>
          <w:color w:val="231F20"/>
          <w:spacing w:val="28"/>
        </w:rPr>
        <w:t xml:space="preserve"> </w:t>
      </w:r>
      <w:r>
        <w:rPr>
          <w:color w:val="231F20"/>
        </w:rPr>
        <w:t>isolated</w:t>
      </w:r>
      <w:r>
        <w:rPr>
          <w:color w:val="231F20"/>
          <w:spacing w:val="28"/>
        </w:rPr>
        <w:t xml:space="preserve"> </w:t>
      </w:r>
      <w:r>
        <w:rPr>
          <w:color w:val="231F20"/>
        </w:rPr>
        <w:t>and</w:t>
      </w:r>
      <w:r>
        <w:rPr>
          <w:color w:val="231F20"/>
          <w:spacing w:val="28"/>
        </w:rPr>
        <w:t xml:space="preserve"> </w:t>
      </w:r>
      <w:r>
        <w:rPr>
          <w:i/>
          <w:color w:val="231F20"/>
        </w:rPr>
        <w:t>ad</w:t>
      </w:r>
      <w:r>
        <w:rPr>
          <w:i/>
          <w:color w:val="231F20"/>
          <w:spacing w:val="28"/>
        </w:rPr>
        <w:t xml:space="preserve"> </w:t>
      </w:r>
      <w:r>
        <w:rPr>
          <w:i/>
          <w:color w:val="231F20"/>
        </w:rPr>
        <w:t>hoc</w:t>
      </w:r>
      <w:r>
        <w:rPr>
          <w:i/>
          <w:color w:val="231F20"/>
          <w:spacing w:val="28"/>
        </w:rPr>
        <w:t xml:space="preserve"> </w:t>
      </w:r>
      <w:r>
        <w:rPr>
          <w:color w:val="231F20"/>
        </w:rPr>
        <w:t>(Garmise,</w:t>
      </w:r>
      <w:r>
        <w:rPr>
          <w:color w:val="231F20"/>
          <w:spacing w:val="28"/>
        </w:rPr>
        <w:t xml:space="preserve"> </w:t>
      </w:r>
      <w:r>
        <w:rPr>
          <w:color w:val="231F20"/>
        </w:rPr>
        <w:t>1987),</w:t>
      </w:r>
      <w:r>
        <w:rPr>
          <w:color w:val="231F20"/>
          <w:spacing w:val="28"/>
        </w:rPr>
        <w:t xml:space="preserve"> </w:t>
      </w:r>
      <w:r>
        <w:rPr>
          <w:color w:val="231F20"/>
        </w:rPr>
        <w:t>but</w:t>
      </w:r>
      <w:r>
        <w:rPr>
          <w:color w:val="231F20"/>
          <w:spacing w:val="29"/>
        </w:rPr>
        <w:t xml:space="preserve"> </w:t>
      </w:r>
      <w:r>
        <w:rPr>
          <w:color w:val="231F20"/>
        </w:rPr>
        <w:t>over</w:t>
      </w:r>
      <w:r>
        <w:rPr>
          <w:color w:val="231F20"/>
          <w:spacing w:val="28"/>
        </w:rPr>
        <w:t xml:space="preserve"> </w:t>
      </w:r>
      <w:r>
        <w:rPr>
          <w:color w:val="231F20"/>
        </w:rPr>
        <w:t>the</w:t>
      </w:r>
      <w:r>
        <w:rPr>
          <w:color w:val="231F20"/>
          <w:spacing w:val="28"/>
        </w:rPr>
        <w:t xml:space="preserve"> </w:t>
      </w:r>
      <w:r>
        <w:rPr>
          <w:color w:val="231F20"/>
          <w:spacing w:val="-4"/>
        </w:rPr>
        <w:t>past</w:t>
      </w:r>
    </w:p>
    <w:p w14:paraId="464D9612" w14:textId="77777777" w:rsidR="00AE0598" w:rsidRDefault="0069255A">
      <w:pPr>
        <w:pStyle w:val="Corpodetexto"/>
        <w:spacing w:before="5" w:line="232" w:lineRule="auto"/>
        <w:ind w:left="110" w:right="104"/>
        <w:jc w:val="both"/>
      </w:pPr>
      <w:r>
        <w:rPr>
          <w:color w:val="231F20"/>
        </w:rPr>
        <w:t>30</w:t>
      </w:r>
      <w:r>
        <w:rPr>
          <w:color w:val="231F20"/>
          <w:spacing w:val="31"/>
        </w:rPr>
        <w:t xml:space="preserve"> </w:t>
      </w:r>
      <w:r>
        <w:rPr>
          <w:color w:val="231F20"/>
        </w:rPr>
        <w:t>years</w:t>
      </w:r>
      <w:r>
        <w:rPr>
          <w:color w:val="231F20"/>
          <w:spacing w:val="31"/>
        </w:rPr>
        <w:t xml:space="preserve"> </w:t>
      </w:r>
      <w:r>
        <w:rPr>
          <w:color w:val="231F20"/>
        </w:rPr>
        <w:t>a</w:t>
      </w:r>
      <w:r>
        <w:rPr>
          <w:color w:val="231F20"/>
          <w:spacing w:val="31"/>
        </w:rPr>
        <w:t xml:space="preserve"> </w:t>
      </w:r>
      <w:r>
        <w:rPr>
          <w:color w:val="231F20"/>
        </w:rPr>
        <w:t>growing</w:t>
      </w:r>
      <w:r>
        <w:rPr>
          <w:color w:val="231F20"/>
          <w:spacing w:val="31"/>
        </w:rPr>
        <w:t xml:space="preserve"> </w:t>
      </w:r>
      <w:r>
        <w:rPr>
          <w:color w:val="231F20"/>
        </w:rPr>
        <w:t>number</w:t>
      </w:r>
      <w:r>
        <w:rPr>
          <w:color w:val="231F20"/>
          <w:spacing w:val="31"/>
        </w:rPr>
        <w:t xml:space="preserve"> </w:t>
      </w:r>
      <w:r>
        <w:rPr>
          <w:color w:val="231F20"/>
        </w:rPr>
        <w:t>of</w:t>
      </w:r>
      <w:r>
        <w:rPr>
          <w:color w:val="231F20"/>
          <w:spacing w:val="31"/>
        </w:rPr>
        <w:t xml:space="preserve"> </w:t>
      </w:r>
      <w:r>
        <w:rPr>
          <w:color w:val="231F20"/>
        </w:rPr>
        <w:t>scientific</w:t>
      </w:r>
      <w:r>
        <w:rPr>
          <w:color w:val="231F20"/>
          <w:spacing w:val="32"/>
        </w:rPr>
        <w:t xml:space="preserve"> </w:t>
      </w:r>
      <w:r>
        <w:rPr>
          <w:color w:val="231F20"/>
        </w:rPr>
        <w:t>publications</w:t>
      </w:r>
      <w:r>
        <w:rPr>
          <w:color w:val="231F20"/>
          <w:spacing w:val="32"/>
        </w:rPr>
        <w:t xml:space="preserve"> </w:t>
      </w:r>
      <w:r>
        <w:rPr>
          <w:color w:val="231F20"/>
        </w:rPr>
        <w:t>has</w:t>
      </w:r>
      <w:r>
        <w:rPr>
          <w:color w:val="231F20"/>
          <w:spacing w:val="32"/>
        </w:rPr>
        <w:t xml:space="preserve"> </w:t>
      </w:r>
      <w:r>
        <w:rPr>
          <w:color w:val="231F20"/>
        </w:rPr>
        <w:t>contributed to a maturing body of literature. Gibson (1998a) provided a thorough review of the sport tourism literature as it stood two decades ago. Her critical analysis su</w:t>
      </w:r>
      <w:r>
        <w:rPr>
          <w:color w:val="231F20"/>
        </w:rPr>
        <w:t>ggested a maturing body of relevant literature that was still in want of better coordination among agencies at a policy level, multidisciplinary</w:t>
      </w:r>
      <w:r>
        <w:rPr>
          <w:color w:val="231F20"/>
          <w:spacing w:val="-8"/>
        </w:rPr>
        <w:t xml:space="preserve"> </w:t>
      </w:r>
      <w:r>
        <w:rPr>
          <w:color w:val="231F20"/>
        </w:rPr>
        <w:t>research</w:t>
      </w:r>
      <w:r>
        <w:rPr>
          <w:color w:val="231F20"/>
          <w:spacing w:val="-8"/>
        </w:rPr>
        <w:t xml:space="preserve"> </w:t>
      </w:r>
      <w:r>
        <w:rPr>
          <w:color w:val="231F20"/>
        </w:rPr>
        <w:t>approaches</w:t>
      </w:r>
      <w:r>
        <w:rPr>
          <w:color w:val="231F20"/>
          <w:spacing w:val="-8"/>
        </w:rPr>
        <w:t xml:space="preserve"> </w:t>
      </w:r>
      <w:r>
        <w:rPr>
          <w:color w:val="231F20"/>
        </w:rPr>
        <w:t>and</w:t>
      </w:r>
      <w:r>
        <w:rPr>
          <w:color w:val="231F20"/>
          <w:spacing w:val="-8"/>
        </w:rPr>
        <w:t xml:space="preserve"> </w:t>
      </w:r>
      <w:r>
        <w:rPr>
          <w:color w:val="231F20"/>
        </w:rPr>
        <w:t>greater</w:t>
      </w:r>
      <w:r>
        <w:rPr>
          <w:color w:val="231F20"/>
          <w:spacing w:val="-8"/>
        </w:rPr>
        <w:t xml:space="preserve"> </w:t>
      </w:r>
      <w:r>
        <w:rPr>
          <w:color w:val="231F20"/>
        </w:rPr>
        <w:t>cooperation</w:t>
      </w:r>
      <w:r>
        <w:rPr>
          <w:color w:val="231F20"/>
          <w:spacing w:val="-8"/>
        </w:rPr>
        <w:t xml:space="preserve"> </w:t>
      </w:r>
      <w:r>
        <w:rPr>
          <w:color w:val="231F20"/>
        </w:rPr>
        <w:t>between tourism and sport-centred units in academic settings. Seven years later, Weed (2005) acknowledged the growth of publications in this area but used</w:t>
      </w:r>
      <w:r>
        <w:rPr>
          <w:color w:val="231F20"/>
          <w:spacing w:val="-7"/>
        </w:rPr>
        <w:t xml:space="preserve"> </w:t>
      </w:r>
      <w:r>
        <w:rPr>
          <w:color w:val="231F20"/>
        </w:rPr>
        <w:t>the</w:t>
      </w:r>
      <w:r>
        <w:rPr>
          <w:color w:val="231F20"/>
          <w:spacing w:val="-7"/>
        </w:rPr>
        <w:t xml:space="preserve"> </w:t>
      </w:r>
      <w:r>
        <w:rPr>
          <w:color w:val="231F20"/>
        </w:rPr>
        <w:t>analogy</w:t>
      </w:r>
      <w:r>
        <w:rPr>
          <w:color w:val="231F20"/>
          <w:spacing w:val="-7"/>
        </w:rPr>
        <w:t xml:space="preserve"> </w:t>
      </w:r>
      <w:r>
        <w:rPr>
          <w:color w:val="231F20"/>
        </w:rPr>
        <w:t>of</w:t>
      </w:r>
      <w:r>
        <w:rPr>
          <w:color w:val="231F20"/>
          <w:spacing w:val="-7"/>
        </w:rPr>
        <w:t xml:space="preserve"> </w:t>
      </w:r>
      <w:r>
        <w:rPr>
          <w:color w:val="231F20"/>
        </w:rPr>
        <w:t>a</w:t>
      </w:r>
      <w:r>
        <w:rPr>
          <w:color w:val="231F20"/>
          <w:spacing w:val="-7"/>
        </w:rPr>
        <w:t xml:space="preserve"> </w:t>
      </w:r>
      <w:r>
        <w:rPr>
          <w:color w:val="231F20"/>
        </w:rPr>
        <w:t>‘brickyard’</w:t>
      </w:r>
      <w:r>
        <w:rPr>
          <w:color w:val="231F20"/>
          <w:spacing w:val="-7"/>
        </w:rPr>
        <w:t xml:space="preserve"> </w:t>
      </w:r>
      <w:r>
        <w:rPr>
          <w:color w:val="231F20"/>
        </w:rPr>
        <w:t>in</w:t>
      </w:r>
      <w:r>
        <w:rPr>
          <w:color w:val="231F20"/>
          <w:spacing w:val="-7"/>
        </w:rPr>
        <w:t xml:space="preserve"> </w:t>
      </w:r>
      <w:r>
        <w:rPr>
          <w:color w:val="231F20"/>
        </w:rPr>
        <w:t>arguing</w:t>
      </w:r>
      <w:r>
        <w:rPr>
          <w:color w:val="231F20"/>
          <w:spacing w:val="-7"/>
        </w:rPr>
        <w:t xml:space="preserve"> </w:t>
      </w:r>
      <w:r>
        <w:rPr>
          <w:color w:val="231F20"/>
        </w:rPr>
        <w:t>that</w:t>
      </w:r>
      <w:r>
        <w:rPr>
          <w:color w:val="231F20"/>
          <w:spacing w:val="-7"/>
        </w:rPr>
        <w:t xml:space="preserve"> </w:t>
      </w:r>
      <w:r>
        <w:rPr>
          <w:color w:val="231F20"/>
        </w:rPr>
        <w:t>these</w:t>
      </w:r>
      <w:r>
        <w:rPr>
          <w:color w:val="231F20"/>
          <w:spacing w:val="-7"/>
        </w:rPr>
        <w:t xml:space="preserve"> </w:t>
      </w:r>
      <w:r>
        <w:rPr>
          <w:color w:val="231F20"/>
        </w:rPr>
        <w:t>studies</w:t>
      </w:r>
      <w:r>
        <w:rPr>
          <w:color w:val="231F20"/>
          <w:spacing w:val="-7"/>
        </w:rPr>
        <w:t xml:space="preserve"> </w:t>
      </w:r>
      <w:r>
        <w:rPr>
          <w:color w:val="231F20"/>
        </w:rPr>
        <w:t>were</w:t>
      </w:r>
      <w:r>
        <w:rPr>
          <w:color w:val="231F20"/>
          <w:spacing w:val="-7"/>
        </w:rPr>
        <w:t xml:space="preserve"> </w:t>
      </w:r>
      <w:r>
        <w:rPr>
          <w:color w:val="231F20"/>
        </w:rPr>
        <w:t xml:space="preserve">being </w:t>
      </w:r>
      <w:r>
        <w:rPr>
          <w:color w:val="231F20"/>
          <w:w w:val="95"/>
        </w:rPr>
        <w:t>grouped randomly in piles rathe</w:t>
      </w:r>
      <w:r>
        <w:rPr>
          <w:color w:val="231F20"/>
          <w:w w:val="95"/>
        </w:rPr>
        <w:t xml:space="preserve">r than being constructed into ‘edifices’ in which new publications are consciously positioned in terms of proceeding work. Both Weed (2006, 2009) and Gibson (2005) have continued to track </w:t>
      </w:r>
      <w:r>
        <w:rPr>
          <w:color w:val="231F20"/>
        </w:rPr>
        <w:t>the</w:t>
      </w:r>
      <w:r>
        <w:rPr>
          <w:color w:val="231F20"/>
          <w:spacing w:val="-8"/>
        </w:rPr>
        <w:t xml:space="preserve"> </w:t>
      </w:r>
      <w:r>
        <w:rPr>
          <w:color w:val="231F20"/>
        </w:rPr>
        <w:t>development</w:t>
      </w:r>
      <w:r>
        <w:rPr>
          <w:color w:val="231F20"/>
          <w:spacing w:val="-8"/>
        </w:rPr>
        <w:t xml:space="preserve"> </w:t>
      </w:r>
      <w:r>
        <w:rPr>
          <w:color w:val="231F20"/>
        </w:rPr>
        <w:t>of</w:t>
      </w:r>
      <w:r>
        <w:rPr>
          <w:color w:val="231F20"/>
          <w:spacing w:val="-8"/>
        </w:rPr>
        <w:t xml:space="preserve"> </w:t>
      </w:r>
      <w:r>
        <w:rPr>
          <w:color w:val="231F20"/>
        </w:rPr>
        <w:t>the</w:t>
      </w:r>
      <w:r>
        <w:rPr>
          <w:color w:val="231F20"/>
          <w:spacing w:val="-8"/>
        </w:rPr>
        <w:t xml:space="preserve"> </w:t>
      </w:r>
      <w:r>
        <w:rPr>
          <w:color w:val="231F20"/>
        </w:rPr>
        <w:t>sport</w:t>
      </w:r>
      <w:r>
        <w:rPr>
          <w:color w:val="231F20"/>
          <w:spacing w:val="-8"/>
        </w:rPr>
        <w:t xml:space="preserve"> </w:t>
      </w:r>
      <w:r>
        <w:rPr>
          <w:color w:val="231F20"/>
        </w:rPr>
        <w:t>tourism</w:t>
      </w:r>
      <w:r>
        <w:rPr>
          <w:color w:val="231F20"/>
          <w:spacing w:val="-8"/>
        </w:rPr>
        <w:t xml:space="preserve"> </w:t>
      </w:r>
      <w:r>
        <w:rPr>
          <w:color w:val="231F20"/>
        </w:rPr>
        <w:t>body</w:t>
      </w:r>
      <w:r>
        <w:rPr>
          <w:color w:val="231F20"/>
          <w:spacing w:val="-8"/>
        </w:rPr>
        <w:t xml:space="preserve"> </w:t>
      </w:r>
      <w:r>
        <w:rPr>
          <w:color w:val="231F20"/>
        </w:rPr>
        <w:t>of</w:t>
      </w:r>
      <w:r>
        <w:rPr>
          <w:color w:val="231F20"/>
          <w:spacing w:val="-8"/>
        </w:rPr>
        <w:t xml:space="preserve"> </w:t>
      </w:r>
      <w:r>
        <w:rPr>
          <w:color w:val="231F20"/>
        </w:rPr>
        <w:t>literature</w:t>
      </w:r>
      <w:r>
        <w:rPr>
          <w:color w:val="231F20"/>
          <w:spacing w:val="-8"/>
        </w:rPr>
        <w:t xml:space="preserve"> </w:t>
      </w:r>
      <w:r>
        <w:rPr>
          <w:color w:val="231F20"/>
        </w:rPr>
        <w:t>and</w:t>
      </w:r>
      <w:r>
        <w:rPr>
          <w:color w:val="231F20"/>
          <w:spacing w:val="-8"/>
        </w:rPr>
        <w:t xml:space="preserve"> </w:t>
      </w:r>
      <w:r>
        <w:rPr>
          <w:color w:val="231F20"/>
        </w:rPr>
        <w:t>while</w:t>
      </w:r>
      <w:r>
        <w:rPr>
          <w:color w:val="231F20"/>
          <w:spacing w:val="-8"/>
        </w:rPr>
        <w:t xml:space="preserve"> </w:t>
      </w:r>
      <w:r>
        <w:rPr>
          <w:color w:val="231F20"/>
        </w:rPr>
        <w:t>no</w:t>
      </w:r>
      <w:r>
        <w:rPr>
          <w:color w:val="231F20"/>
        </w:rPr>
        <w:t xml:space="preserve">ting impressive progress, have called for additional focus on explanation over description. In a meta-analysis of sports tourism research, Weed </w:t>
      </w:r>
      <w:r>
        <w:rPr>
          <w:color w:val="231F20"/>
          <w:w w:val="95"/>
        </w:rPr>
        <w:t>(2009)</w:t>
      </w:r>
      <w:r>
        <w:rPr>
          <w:color w:val="231F20"/>
          <w:spacing w:val="20"/>
        </w:rPr>
        <w:t xml:space="preserve"> </w:t>
      </w:r>
      <w:r>
        <w:rPr>
          <w:color w:val="231F20"/>
          <w:w w:val="95"/>
        </w:rPr>
        <w:t>identified</w:t>
      </w:r>
      <w:r>
        <w:rPr>
          <w:color w:val="231F20"/>
          <w:spacing w:val="21"/>
        </w:rPr>
        <w:t xml:space="preserve"> </w:t>
      </w:r>
      <w:r>
        <w:rPr>
          <w:color w:val="231F20"/>
          <w:w w:val="95"/>
        </w:rPr>
        <w:t>six</w:t>
      </w:r>
      <w:r>
        <w:rPr>
          <w:color w:val="231F20"/>
          <w:spacing w:val="20"/>
        </w:rPr>
        <w:t xml:space="preserve"> </w:t>
      </w:r>
      <w:r>
        <w:rPr>
          <w:color w:val="231F20"/>
          <w:w w:val="95"/>
        </w:rPr>
        <w:t>substantive</w:t>
      </w:r>
      <w:r>
        <w:rPr>
          <w:color w:val="231F20"/>
          <w:spacing w:val="20"/>
        </w:rPr>
        <w:t xml:space="preserve"> </w:t>
      </w:r>
      <w:r>
        <w:rPr>
          <w:color w:val="231F20"/>
          <w:w w:val="95"/>
        </w:rPr>
        <w:t>areas</w:t>
      </w:r>
      <w:r>
        <w:rPr>
          <w:color w:val="231F20"/>
          <w:spacing w:val="20"/>
        </w:rPr>
        <w:t xml:space="preserve"> </w:t>
      </w:r>
      <w:r>
        <w:rPr>
          <w:color w:val="231F20"/>
          <w:w w:val="95"/>
        </w:rPr>
        <w:t>of</w:t>
      </w:r>
      <w:r>
        <w:rPr>
          <w:color w:val="231F20"/>
          <w:spacing w:val="21"/>
        </w:rPr>
        <w:t xml:space="preserve"> </w:t>
      </w:r>
      <w:r>
        <w:rPr>
          <w:color w:val="231F20"/>
          <w:w w:val="95"/>
        </w:rPr>
        <w:t>progress</w:t>
      </w:r>
      <w:r>
        <w:rPr>
          <w:color w:val="231F20"/>
          <w:spacing w:val="21"/>
        </w:rPr>
        <w:t xml:space="preserve"> </w:t>
      </w:r>
      <w:r>
        <w:rPr>
          <w:color w:val="231F20"/>
          <w:w w:val="95"/>
        </w:rPr>
        <w:t>including</w:t>
      </w:r>
      <w:r>
        <w:rPr>
          <w:color w:val="231F20"/>
          <w:spacing w:val="20"/>
        </w:rPr>
        <w:t xml:space="preserve"> </w:t>
      </w:r>
      <w:r>
        <w:rPr>
          <w:color w:val="231F20"/>
          <w:w w:val="95"/>
        </w:rPr>
        <w:t>insight</w:t>
      </w:r>
      <w:r>
        <w:rPr>
          <w:color w:val="231F20"/>
          <w:spacing w:val="20"/>
        </w:rPr>
        <w:t xml:space="preserve"> </w:t>
      </w:r>
      <w:r>
        <w:rPr>
          <w:color w:val="231F20"/>
          <w:spacing w:val="-2"/>
          <w:w w:val="95"/>
        </w:rPr>
        <w:t>into:</w:t>
      </w:r>
    </w:p>
    <w:p w14:paraId="2983110C" w14:textId="77777777" w:rsidR="00AE0598" w:rsidRDefault="0069255A">
      <w:pPr>
        <w:pStyle w:val="Corpodetexto"/>
        <w:spacing w:before="13" w:line="243" w:lineRule="exact"/>
        <w:ind w:left="110"/>
        <w:jc w:val="both"/>
      </w:pPr>
      <w:r>
        <w:rPr>
          <w:color w:val="231F20"/>
        </w:rPr>
        <w:t>(1)</w:t>
      </w:r>
      <w:r>
        <w:rPr>
          <w:color w:val="231F20"/>
          <w:spacing w:val="25"/>
        </w:rPr>
        <w:t xml:space="preserve"> </w:t>
      </w:r>
      <w:r>
        <w:rPr>
          <w:color w:val="231F20"/>
        </w:rPr>
        <w:t>economic</w:t>
      </w:r>
      <w:r>
        <w:rPr>
          <w:color w:val="231F20"/>
          <w:spacing w:val="25"/>
        </w:rPr>
        <w:t xml:space="preserve"> </w:t>
      </w:r>
      <w:r>
        <w:rPr>
          <w:color w:val="231F20"/>
        </w:rPr>
        <w:t>impact,</w:t>
      </w:r>
      <w:r>
        <w:rPr>
          <w:color w:val="231F20"/>
          <w:spacing w:val="25"/>
        </w:rPr>
        <w:t xml:space="preserve"> </w:t>
      </w:r>
      <w:r>
        <w:rPr>
          <w:color w:val="231F20"/>
        </w:rPr>
        <w:t>(2)</w:t>
      </w:r>
      <w:r>
        <w:rPr>
          <w:color w:val="231F20"/>
          <w:spacing w:val="25"/>
        </w:rPr>
        <w:t xml:space="preserve"> </w:t>
      </w:r>
      <w:r>
        <w:rPr>
          <w:color w:val="231F20"/>
        </w:rPr>
        <w:t>leveraging</w:t>
      </w:r>
      <w:r>
        <w:rPr>
          <w:color w:val="231F20"/>
          <w:spacing w:val="25"/>
        </w:rPr>
        <w:t xml:space="preserve"> </w:t>
      </w:r>
      <w:r>
        <w:rPr>
          <w:color w:val="231F20"/>
        </w:rPr>
        <w:t>events</w:t>
      </w:r>
      <w:r>
        <w:rPr>
          <w:color w:val="231F20"/>
          <w:spacing w:val="25"/>
        </w:rPr>
        <w:t xml:space="preserve"> </w:t>
      </w:r>
      <w:r>
        <w:rPr>
          <w:color w:val="231F20"/>
        </w:rPr>
        <w:t>to</w:t>
      </w:r>
      <w:r>
        <w:rPr>
          <w:color w:val="231F20"/>
          <w:spacing w:val="26"/>
        </w:rPr>
        <w:t xml:space="preserve"> </w:t>
      </w:r>
      <w:r>
        <w:rPr>
          <w:color w:val="231F20"/>
        </w:rPr>
        <w:t>obtain</w:t>
      </w:r>
      <w:r>
        <w:rPr>
          <w:color w:val="231F20"/>
          <w:spacing w:val="25"/>
        </w:rPr>
        <w:t xml:space="preserve"> </w:t>
      </w:r>
      <w:r>
        <w:rPr>
          <w:color w:val="231F20"/>
        </w:rPr>
        <w:t>desired</w:t>
      </w:r>
      <w:r>
        <w:rPr>
          <w:color w:val="231F20"/>
          <w:spacing w:val="25"/>
        </w:rPr>
        <w:t xml:space="preserve"> </w:t>
      </w:r>
      <w:r>
        <w:rPr>
          <w:color w:val="231F20"/>
          <w:spacing w:val="-2"/>
        </w:rPr>
        <w:t>legacies,</w:t>
      </w:r>
    </w:p>
    <w:p w14:paraId="2431D167" w14:textId="77777777" w:rsidR="00AE0598" w:rsidRDefault="0069255A">
      <w:pPr>
        <w:pStyle w:val="Corpodetexto"/>
        <w:spacing w:line="240" w:lineRule="exact"/>
        <w:ind w:left="110"/>
        <w:jc w:val="both"/>
      </w:pPr>
      <w:r>
        <w:rPr>
          <w:color w:val="231F20"/>
        </w:rPr>
        <w:t>(3)</w:t>
      </w:r>
      <w:r>
        <w:rPr>
          <w:color w:val="231F20"/>
          <w:spacing w:val="42"/>
        </w:rPr>
        <w:t xml:space="preserve"> </w:t>
      </w:r>
      <w:r>
        <w:rPr>
          <w:color w:val="231F20"/>
        </w:rPr>
        <w:t>holistic</w:t>
      </w:r>
      <w:r>
        <w:rPr>
          <w:color w:val="231F20"/>
          <w:spacing w:val="42"/>
        </w:rPr>
        <w:t xml:space="preserve"> </w:t>
      </w:r>
      <w:r>
        <w:rPr>
          <w:color w:val="231F20"/>
        </w:rPr>
        <w:t>approaches</w:t>
      </w:r>
      <w:r>
        <w:rPr>
          <w:color w:val="231F20"/>
          <w:spacing w:val="43"/>
        </w:rPr>
        <w:t xml:space="preserve"> </w:t>
      </w:r>
      <w:r>
        <w:rPr>
          <w:color w:val="231F20"/>
        </w:rPr>
        <w:t>to</w:t>
      </w:r>
      <w:r>
        <w:rPr>
          <w:color w:val="231F20"/>
          <w:spacing w:val="42"/>
        </w:rPr>
        <w:t xml:space="preserve"> </w:t>
      </w:r>
      <w:r>
        <w:rPr>
          <w:color w:val="231F20"/>
        </w:rPr>
        <w:t>studying</w:t>
      </w:r>
      <w:r>
        <w:rPr>
          <w:color w:val="231F20"/>
          <w:spacing w:val="42"/>
        </w:rPr>
        <w:t xml:space="preserve"> </w:t>
      </w:r>
      <w:r>
        <w:rPr>
          <w:color w:val="231F20"/>
        </w:rPr>
        <w:t>impacts,</w:t>
      </w:r>
      <w:r>
        <w:rPr>
          <w:color w:val="231F20"/>
          <w:spacing w:val="43"/>
        </w:rPr>
        <w:t xml:space="preserve"> </w:t>
      </w:r>
      <w:r>
        <w:rPr>
          <w:color w:val="231F20"/>
        </w:rPr>
        <w:t>(4)</w:t>
      </w:r>
      <w:r>
        <w:rPr>
          <w:color w:val="231F20"/>
          <w:spacing w:val="42"/>
        </w:rPr>
        <w:t xml:space="preserve"> </w:t>
      </w:r>
      <w:r>
        <w:rPr>
          <w:color w:val="231F20"/>
        </w:rPr>
        <w:t>behavioural</w:t>
      </w:r>
      <w:r>
        <w:rPr>
          <w:color w:val="231F20"/>
          <w:spacing w:val="42"/>
        </w:rPr>
        <w:t xml:space="preserve"> </w:t>
      </w:r>
      <w:r>
        <w:rPr>
          <w:color w:val="231F20"/>
          <w:spacing w:val="-2"/>
        </w:rPr>
        <w:t>studies,</w:t>
      </w:r>
    </w:p>
    <w:p w14:paraId="263B204E" w14:textId="77777777" w:rsidR="00AE0598" w:rsidRDefault="0069255A">
      <w:pPr>
        <w:pStyle w:val="Corpodetexto"/>
        <w:spacing w:before="3" w:line="232" w:lineRule="auto"/>
        <w:ind w:left="110" w:right="107"/>
        <w:jc w:val="both"/>
      </w:pPr>
      <w:r>
        <w:rPr>
          <w:color w:val="231F20"/>
        </w:rPr>
        <w:t>(5) investigations in destination marketing and image and (6) deeper insight</w:t>
      </w:r>
      <w:r>
        <w:rPr>
          <w:color w:val="231F20"/>
          <w:spacing w:val="-4"/>
        </w:rPr>
        <w:t xml:space="preserve"> </w:t>
      </w:r>
      <w:r>
        <w:rPr>
          <w:color w:val="231F20"/>
        </w:rPr>
        <w:t>into</w:t>
      </w:r>
      <w:r>
        <w:rPr>
          <w:color w:val="231F20"/>
          <w:spacing w:val="-4"/>
        </w:rPr>
        <w:t xml:space="preserve"> </w:t>
      </w:r>
      <w:r>
        <w:rPr>
          <w:color w:val="231F20"/>
        </w:rPr>
        <w:t>resident</w:t>
      </w:r>
      <w:r>
        <w:rPr>
          <w:color w:val="231F20"/>
          <w:spacing w:val="-4"/>
        </w:rPr>
        <w:t xml:space="preserve"> </w:t>
      </w:r>
      <w:r>
        <w:rPr>
          <w:color w:val="231F20"/>
        </w:rPr>
        <w:t>perceptions</w:t>
      </w:r>
      <w:r>
        <w:rPr>
          <w:color w:val="231F20"/>
          <w:spacing w:val="-4"/>
        </w:rPr>
        <w:t xml:space="preserve"> </w:t>
      </w:r>
      <w:r>
        <w:rPr>
          <w:color w:val="231F20"/>
        </w:rPr>
        <w:t>of</w:t>
      </w:r>
      <w:r>
        <w:rPr>
          <w:color w:val="231F20"/>
          <w:spacing w:val="-4"/>
        </w:rPr>
        <w:t xml:space="preserve"> </w:t>
      </w:r>
      <w:r>
        <w:rPr>
          <w:color w:val="231F20"/>
        </w:rPr>
        <w:t>sport</w:t>
      </w:r>
      <w:r>
        <w:rPr>
          <w:color w:val="231F20"/>
          <w:spacing w:val="-4"/>
        </w:rPr>
        <w:t xml:space="preserve"> </w:t>
      </w:r>
      <w:r>
        <w:rPr>
          <w:color w:val="231F20"/>
        </w:rPr>
        <w:t>tourism</w:t>
      </w:r>
      <w:r>
        <w:rPr>
          <w:color w:val="231F20"/>
          <w:spacing w:val="-4"/>
        </w:rPr>
        <w:t xml:space="preserve"> </w:t>
      </w:r>
      <w:r>
        <w:rPr>
          <w:color w:val="231F20"/>
        </w:rPr>
        <w:t>events.</w:t>
      </w:r>
    </w:p>
    <w:p w14:paraId="4553198A" w14:textId="77777777" w:rsidR="00AE0598" w:rsidRDefault="0069255A">
      <w:pPr>
        <w:pStyle w:val="Corpodetexto"/>
        <w:spacing w:before="2" w:line="232" w:lineRule="auto"/>
        <w:ind w:left="110" w:right="109" w:firstLine="320"/>
        <w:jc w:val="both"/>
      </w:pPr>
      <w:r>
        <w:rPr>
          <w:color w:val="231F20"/>
        </w:rPr>
        <w:t>He</w:t>
      </w:r>
      <w:r>
        <w:rPr>
          <w:color w:val="231F20"/>
          <w:spacing w:val="-6"/>
        </w:rPr>
        <w:t xml:space="preserve"> </w:t>
      </w:r>
      <w:r>
        <w:rPr>
          <w:color w:val="231F20"/>
        </w:rPr>
        <w:t>concluded</w:t>
      </w:r>
      <w:r>
        <w:rPr>
          <w:color w:val="231F20"/>
          <w:spacing w:val="-6"/>
        </w:rPr>
        <w:t xml:space="preserve"> </w:t>
      </w:r>
      <w:r>
        <w:rPr>
          <w:color w:val="231F20"/>
        </w:rPr>
        <w:t>that</w:t>
      </w:r>
      <w:r>
        <w:rPr>
          <w:color w:val="231F20"/>
          <w:spacing w:val="-6"/>
        </w:rPr>
        <w:t xml:space="preserve"> </w:t>
      </w:r>
      <w:r>
        <w:rPr>
          <w:color w:val="231F20"/>
        </w:rPr>
        <w:t>the</w:t>
      </w:r>
      <w:r>
        <w:rPr>
          <w:color w:val="231F20"/>
          <w:spacing w:val="-6"/>
        </w:rPr>
        <w:t xml:space="preserve"> </w:t>
      </w:r>
      <w:r>
        <w:rPr>
          <w:color w:val="231F20"/>
        </w:rPr>
        <w:t>field</w:t>
      </w:r>
      <w:r>
        <w:rPr>
          <w:color w:val="231F20"/>
          <w:spacing w:val="-6"/>
        </w:rPr>
        <w:t xml:space="preserve"> </w:t>
      </w:r>
      <w:r>
        <w:rPr>
          <w:color w:val="231F20"/>
        </w:rPr>
        <w:t>has</w:t>
      </w:r>
      <w:r>
        <w:rPr>
          <w:color w:val="231F20"/>
          <w:spacing w:val="-6"/>
        </w:rPr>
        <w:t xml:space="preserve"> </w:t>
      </w:r>
      <w:r>
        <w:rPr>
          <w:color w:val="231F20"/>
        </w:rPr>
        <w:t>shown</w:t>
      </w:r>
      <w:r>
        <w:rPr>
          <w:color w:val="231F20"/>
          <w:spacing w:val="-6"/>
        </w:rPr>
        <w:t xml:space="preserve"> </w:t>
      </w:r>
      <w:r>
        <w:rPr>
          <w:color w:val="231F20"/>
        </w:rPr>
        <w:t>signs</w:t>
      </w:r>
      <w:r>
        <w:rPr>
          <w:color w:val="231F20"/>
          <w:spacing w:val="-6"/>
        </w:rPr>
        <w:t xml:space="preserve"> </w:t>
      </w:r>
      <w:r>
        <w:rPr>
          <w:color w:val="231F20"/>
        </w:rPr>
        <w:t>of</w:t>
      </w:r>
      <w:r>
        <w:rPr>
          <w:color w:val="231F20"/>
          <w:spacing w:val="-6"/>
        </w:rPr>
        <w:t xml:space="preserve"> </w:t>
      </w:r>
      <w:r>
        <w:rPr>
          <w:color w:val="231F20"/>
        </w:rPr>
        <w:t>increasing</w:t>
      </w:r>
      <w:r>
        <w:rPr>
          <w:color w:val="231F20"/>
          <w:spacing w:val="-6"/>
        </w:rPr>
        <w:t xml:space="preserve"> </w:t>
      </w:r>
      <w:r>
        <w:rPr>
          <w:color w:val="231F20"/>
        </w:rPr>
        <w:t>maturity</w:t>
      </w:r>
      <w:r>
        <w:rPr>
          <w:color w:val="231F20"/>
          <w:spacing w:val="-6"/>
        </w:rPr>
        <w:t xml:space="preserve"> </w:t>
      </w:r>
      <w:r>
        <w:rPr>
          <w:color w:val="231F20"/>
        </w:rPr>
        <w:t>as reflected in:</w:t>
      </w:r>
    </w:p>
    <w:p w14:paraId="2007AEBB" w14:textId="77777777" w:rsidR="00AE0598" w:rsidRDefault="00AE0598">
      <w:pPr>
        <w:spacing w:line="232" w:lineRule="auto"/>
        <w:jc w:val="both"/>
        <w:sectPr w:rsidR="00AE0598">
          <w:pgSz w:w="8850" w:h="13270"/>
          <w:pgMar w:top="720" w:right="1080" w:bottom="280" w:left="1080" w:header="720" w:footer="720" w:gutter="0"/>
          <w:cols w:space="720"/>
        </w:sectPr>
      </w:pPr>
    </w:p>
    <w:p w14:paraId="61C70F7A" w14:textId="77777777" w:rsidR="00AE0598" w:rsidRDefault="0069255A">
      <w:pPr>
        <w:spacing w:before="87"/>
        <w:ind w:left="108"/>
        <w:rPr>
          <w:rFonts w:ascii="Trebuchet MS"/>
          <w:sz w:val="14"/>
        </w:rPr>
      </w:pPr>
      <w:r>
        <w:rPr>
          <w:rFonts w:ascii="Trebuchet MS"/>
          <w:color w:val="231F20"/>
          <w:w w:val="105"/>
          <w:sz w:val="14"/>
        </w:rPr>
        <w:lastRenderedPageBreak/>
        <w:t>32</w:t>
      </w:r>
      <w:r>
        <w:rPr>
          <w:rFonts w:ascii="Trebuchet MS"/>
          <w:color w:val="231F20"/>
          <w:spacing w:val="64"/>
          <w:w w:val="150"/>
          <w:sz w:val="14"/>
        </w:rPr>
        <w:t xml:space="preserve"> </w:t>
      </w:r>
      <w:r>
        <w:rPr>
          <w:rFonts w:ascii="Trebuchet MS"/>
          <w:color w:val="231F20"/>
          <w:w w:val="105"/>
          <w:sz w:val="14"/>
        </w:rPr>
        <w:t>Part</w:t>
      </w:r>
      <w:r>
        <w:rPr>
          <w:rFonts w:ascii="Trebuchet MS"/>
          <w:color w:val="231F20"/>
          <w:spacing w:val="-9"/>
          <w:w w:val="105"/>
          <w:sz w:val="14"/>
        </w:rPr>
        <w:t xml:space="preserve"> </w:t>
      </w:r>
      <w:r>
        <w:rPr>
          <w:rFonts w:ascii="Trebuchet MS"/>
          <w:color w:val="231F20"/>
          <w:w w:val="105"/>
          <w:sz w:val="14"/>
        </w:rPr>
        <w:t>2:</w:t>
      </w:r>
      <w:r>
        <w:rPr>
          <w:rFonts w:ascii="Trebuchet MS"/>
          <w:color w:val="231F20"/>
          <w:spacing w:val="-9"/>
          <w:w w:val="105"/>
          <w:sz w:val="14"/>
        </w:rPr>
        <w:t xml:space="preserve"> </w:t>
      </w:r>
      <w:r>
        <w:rPr>
          <w:rFonts w:ascii="Trebuchet MS"/>
          <w:color w:val="231F20"/>
          <w:w w:val="105"/>
          <w:sz w:val="14"/>
        </w:rPr>
        <w:t>Foundations</w:t>
      </w:r>
      <w:r>
        <w:rPr>
          <w:rFonts w:ascii="Trebuchet MS"/>
          <w:color w:val="231F20"/>
          <w:spacing w:val="-9"/>
          <w:w w:val="105"/>
          <w:sz w:val="14"/>
        </w:rPr>
        <w:t xml:space="preserve"> </w:t>
      </w:r>
      <w:r>
        <w:rPr>
          <w:rFonts w:ascii="Trebuchet MS"/>
          <w:color w:val="231F20"/>
          <w:w w:val="105"/>
          <w:sz w:val="14"/>
        </w:rPr>
        <w:t>of</w:t>
      </w:r>
      <w:r>
        <w:rPr>
          <w:rFonts w:ascii="Trebuchet MS"/>
          <w:color w:val="231F20"/>
          <w:spacing w:val="-9"/>
          <w:w w:val="105"/>
          <w:sz w:val="14"/>
        </w:rPr>
        <w:t xml:space="preserve"> </w:t>
      </w:r>
      <w:r>
        <w:rPr>
          <w:rFonts w:ascii="Trebuchet MS"/>
          <w:color w:val="231F20"/>
          <w:w w:val="105"/>
          <w:sz w:val="14"/>
        </w:rPr>
        <w:t>Sport</w:t>
      </w:r>
      <w:r>
        <w:rPr>
          <w:rFonts w:ascii="Trebuchet MS"/>
          <w:color w:val="231F20"/>
          <w:spacing w:val="-9"/>
          <w:w w:val="105"/>
          <w:sz w:val="14"/>
        </w:rPr>
        <w:t xml:space="preserve"> </w:t>
      </w:r>
      <w:r>
        <w:rPr>
          <w:rFonts w:ascii="Trebuchet MS"/>
          <w:color w:val="231F20"/>
          <w:w w:val="105"/>
          <w:sz w:val="14"/>
        </w:rPr>
        <w:t>Tourism</w:t>
      </w:r>
      <w:r>
        <w:rPr>
          <w:rFonts w:ascii="Trebuchet MS"/>
          <w:color w:val="231F20"/>
          <w:spacing w:val="-9"/>
          <w:w w:val="105"/>
          <w:sz w:val="14"/>
        </w:rPr>
        <w:t xml:space="preserve"> </w:t>
      </w:r>
      <w:r>
        <w:rPr>
          <w:rFonts w:ascii="Trebuchet MS"/>
          <w:color w:val="231F20"/>
          <w:spacing w:val="-2"/>
          <w:w w:val="105"/>
          <w:sz w:val="14"/>
        </w:rPr>
        <w:t>Development</w:t>
      </w:r>
    </w:p>
    <w:p w14:paraId="2CA9A977" w14:textId="77777777" w:rsidR="00AE0598" w:rsidRDefault="00AE0598">
      <w:pPr>
        <w:pStyle w:val="Corpodetexto"/>
        <w:rPr>
          <w:rFonts w:ascii="Trebuchet MS"/>
          <w:sz w:val="16"/>
        </w:rPr>
      </w:pPr>
    </w:p>
    <w:p w14:paraId="03D71486" w14:textId="77777777" w:rsidR="00AE0598" w:rsidRDefault="0069255A">
      <w:pPr>
        <w:spacing w:before="114" w:line="244" w:lineRule="auto"/>
        <w:ind w:left="430" w:right="107"/>
        <w:jc w:val="both"/>
        <w:rPr>
          <w:sz w:val="20"/>
        </w:rPr>
      </w:pPr>
      <w:r>
        <w:rPr>
          <w:color w:val="231F20"/>
          <w:w w:val="95"/>
          <w:sz w:val="20"/>
        </w:rPr>
        <w:t xml:space="preserve">a strong conceptualization of the field; the underpinning of empirical work by appropriate theory; the robust, appropriate and transparent application </w:t>
      </w:r>
      <w:r>
        <w:rPr>
          <w:color w:val="231F20"/>
          <w:sz w:val="20"/>
        </w:rPr>
        <w:t>of methods and methodology; and a clear community of scholars w</w:t>
      </w:r>
      <w:r>
        <w:rPr>
          <w:color w:val="231F20"/>
          <w:sz w:val="20"/>
        </w:rPr>
        <w:t>ith a sustained</w:t>
      </w:r>
      <w:r>
        <w:rPr>
          <w:color w:val="231F20"/>
          <w:spacing w:val="-4"/>
          <w:sz w:val="20"/>
        </w:rPr>
        <w:t xml:space="preserve"> </w:t>
      </w:r>
      <w:r>
        <w:rPr>
          <w:color w:val="231F20"/>
          <w:sz w:val="20"/>
        </w:rPr>
        <w:t>interest</w:t>
      </w:r>
      <w:r>
        <w:rPr>
          <w:color w:val="231F20"/>
          <w:spacing w:val="-4"/>
          <w:sz w:val="20"/>
        </w:rPr>
        <w:t xml:space="preserve"> </w:t>
      </w:r>
      <w:r>
        <w:rPr>
          <w:color w:val="231F20"/>
          <w:sz w:val="20"/>
        </w:rPr>
        <w:t>in</w:t>
      </w:r>
      <w:r>
        <w:rPr>
          <w:color w:val="231F20"/>
          <w:spacing w:val="-4"/>
          <w:sz w:val="20"/>
        </w:rPr>
        <w:t xml:space="preserve"> </w:t>
      </w:r>
      <w:r>
        <w:rPr>
          <w:color w:val="231F20"/>
          <w:sz w:val="20"/>
        </w:rPr>
        <w:t>the</w:t>
      </w:r>
      <w:r>
        <w:rPr>
          <w:color w:val="231F20"/>
          <w:spacing w:val="-4"/>
          <w:sz w:val="20"/>
        </w:rPr>
        <w:t xml:space="preserve"> </w:t>
      </w:r>
      <w:r>
        <w:rPr>
          <w:color w:val="231F20"/>
          <w:sz w:val="20"/>
        </w:rPr>
        <w:t>area,</w:t>
      </w:r>
      <w:r>
        <w:rPr>
          <w:color w:val="231F20"/>
          <w:spacing w:val="-4"/>
          <w:sz w:val="20"/>
        </w:rPr>
        <w:t xml:space="preserve"> </w:t>
      </w:r>
      <w:r>
        <w:rPr>
          <w:color w:val="231F20"/>
          <w:sz w:val="20"/>
        </w:rPr>
        <w:t>served</w:t>
      </w:r>
      <w:r>
        <w:rPr>
          <w:color w:val="231F20"/>
          <w:spacing w:val="-4"/>
          <w:sz w:val="20"/>
        </w:rPr>
        <w:t xml:space="preserve"> </w:t>
      </w:r>
      <w:r>
        <w:rPr>
          <w:color w:val="231F20"/>
          <w:sz w:val="20"/>
        </w:rPr>
        <w:t>by</w:t>
      </w:r>
      <w:r>
        <w:rPr>
          <w:color w:val="231F20"/>
          <w:spacing w:val="-4"/>
          <w:sz w:val="20"/>
        </w:rPr>
        <w:t xml:space="preserve"> </w:t>
      </w:r>
      <w:r>
        <w:rPr>
          <w:color w:val="231F20"/>
          <w:sz w:val="20"/>
        </w:rPr>
        <w:t>a</w:t>
      </w:r>
      <w:r>
        <w:rPr>
          <w:color w:val="231F20"/>
          <w:spacing w:val="-4"/>
          <w:sz w:val="20"/>
        </w:rPr>
        <w:t xml:space="preserve"> </w:t>
      </w:r>
      <w:r>
        <w:rPr>
          <w:color w:val="231F20"/>
          <w:sz w:val="20"/>
        </w:rPr>
        <w:t>credible</w:t>
      </w:r>
      <w:r>
        <w:rPr>
          <w:color w:val="231F20"/>
          <w:spacing w:val="-4"/>
          <w:sz w:val="20"/>
        </w:rPr>
        <w:t xml:space="preserve"> </w:t>
      </w:r>
      <w:r>
        <w:rPr>
          <w:color w:val="231F20"/>
          <w:sz w:val="20"/>
        </w:rPr>
        <w:t>academic</w:t>
      </w:r>
      <w:r>
        <w:rPr>
          <w:color w:val="231F20"/>
          <w:spacing w:val="-4"/>
          <w:sz w:val="20"/>
        </w:rPr>
        <w:t xml:space="preserve"> </w:t>
      </w:r>
      <w:r>
        <w:rPr>
          <w:color w:val="231F20"/>
          <w:sz w:val="20"/>
        </w:rPr>
        <w:t>journal</w:t>
      </w:r>
      <w:r>
        <w:rPr>
          <w:color w:val="231F20"/>
          <w:spacing w:val="-4"/>
          <w:sz w:val="20"/>
        </w:rPr>
        <w:t xml:space="preserve"> </w:t>
      </w:r>
      <w:r>
        <w:rPr>
          <w:color w:val="231F20"/>
          <w:sz w:val="20"/>
        </w:rPr>
        <w:t>and wider body of knowledge. (Weed, 2009: 625)</w:t>
      </w:r>
    </w:p>
    <w:p w14:paraId="6D3B076F" w14:textId="77777777" w:rsidR="00AE0598" w:rsidRDefault="00AE0598">
      <w:pPr>
        <w:pStyle w:val="Corpodetexto"/>
        <w:spacing w:before="6"/>
        <w:rPr>
          <w:sz w:val="20"/>
        </w:rPr>
      </w:pPr>
    </w:p>
    <w:p w14:paraId="0C99145B" w14:textId="77777777" w:rsidR="00AE0598" w:rsidRDefault="0069255A">
      <w:pPr>
        <w:pStyle w:val="Corpodetexto"/>
        <w:spacing w:line="232" w:lineRule="auto"/>
        <w:ind w:left="110" w:right="106" w:firstLine="320"/>
        <w:jc w:val="both"/>
      </w:pPr>
      <w:r>
        <w:rPr>
          <w:color w:val="231F20"/>
        </w:rPr>
        <w:t xml:space="preserve">In their analysis of the sport tourism articles published in five major tourism and sport journals from 2007 to 2011, Hinch </w:t>
      </w:r>
      <w:r>
        <w:rPr>
          <w:i/>
          <w:color w:val="231F20"/>
        </w:rPr>
        <w:t>et al</w:t>
      </w:r>
      <w:r>
        <w:rPr>
          <w:color w:val="231F20"/>
        </w:rPr>
        <w:t>. (</w:t>
      </w:r>
      <w:r>
        <w:rPr>
          <w:color w:val="231F20"/>
        </w:rPr>
        <w:t>2014)</w:t>
      </w:r>
      <w:r>
        <w:rPr>
          <w:color w:val="231F20"/>
          <w:spacing w:val="80"/>
        </w:rPr>
        <w:t xml:space="preserve"> </w:t>
      </w:r>
      <w:r>
        <w:rPr>
          <w:color w:val="231F20"/>
        </w:rPr>
        <w:t>found</w:t>
      </w:r>
      <w:r>
        <w:rPr>
          <w:color w:val="231F20"/>
          <w:spacing w:val="-6"/>
        </w:rPr>
        <w:t xml:space="preserve"> </w:t>
      </w:r>
      <w:r>
        <w:rPr>
          <w:color w:val="231F20"/>
        </w:rPr>
        <w:t>that</w:t>
      </w:r>
      <w:r>
        <w:rPr>
          <w:color w:val="231F20"/>
          <w:spacing w:val="-6"/>
        </w:rPr>
        <w:t xml:space="preserve"> </w:t>
      </w:r>
      <w:r>
        <w:rPr>
          <w:color w:val="231F20"/>
        </w:rPr>
        <w:t>sport</w:t>
      </w:r>
      <w:r>
        <w:rPr>
          <w:color w:val="231F20"/>
          <w:spacing w:val="-6"/>
        </w:rPr>
        <w:t xml:space="preserve"> </w:t>
      </w:r>
      <w:r>
        <w:rPr>
          <w:color w:val="231F20"/>
        </w:rPr>
        <w:t>tourism</w:t>
      </w:r>
      <w:r>
        <w:rPr>
          <w:color w:val="231F20"/>
          <w:spacing w:val="-6"/>
        </w:rPr>
        <w:t xml:space="preserve"> </w:t>
      </w:r>
      <w:r>
        <w:rPr>
          <w:color w:val="231F20"/>
        </w:rPr>
        <w:t>research</w:t>
      </w:r>
      <w:r>
        <w:rPr>
          <w:color w:val="231F20"/>
          <w:spacing w:val="-6"/>
        </w:rPr>
        <w:t xml:space="preserve"> </w:t>
      </w:r>
      <w:r>
        <w:rPr>
          <w:color w:val="231F20"/>
        </w:rPr>
        <w:t>remained</w:t>
      </w:r>
      <w:r>
        <w:rPr>
          <w:color w:val="231F20"/>
          <w:spacing w:val="-6"/>
        </w:rPr>
        <w:t xml:space="preserve"> </w:t>
      </w:r>
      <w:r>
        <w:rPr>
          <w:color w:val="231F20"/>
        </w:rPr>
        <w:t>focused</w:t>
      </w:r>
      <w:r>
        <w:rPr>
          <w:color w:val="231F20"/>
          <w:spacing w:val="-6"/>
        </w:rPr>
        <w:t xml:space="preserve"> </w:t>
      </w:r>
      <w:r>
        <w:rPr>
          <w:color w:val="231F20"/>
        </w:rPr>
        <w:t>on</w:t>
      </w:r>
      <w:r>
        <w:rPr>
          <w:color w:val="231F20"/>
          <w:spacing w:val="-6"/>
        </w:rPr>
        <w:t xml:space="preserve"> </w:t>
      </w:r>
      <w:r>
        <w:rPr>
          <w:color w:val="231F20"/>
        </w:rPr>
        <w:t>spectator</w:t>
      </w:r>
      <w:r>
        <w:rPr>
          <w:color w:val="231F20"/>
          <w:spacing w:val="-6"/>
        </w:rPr>
        <w:t xml:space="preserve"> </w:t>
      </w:r>
      <w:r>
        <w:rPr>
          <w:color w:val="231F20"/>
        </w:rPr>
        <w:t>events with an emerging body of research related to a hybrid of the traditional active and event categories (i.e. participant-based events). Almost 60% of the empirically based studies that they reviewed were characterised by quantitative methodological ap</w:t>
      </w:r>
      <w:r>
        <w:rPr>
          <w:color w:val="231F20"/>
        </w:rPr>
        <w:t xml:space="preserve">proaches with survey methods being the most common (46%). One of the more telling findings was that the geographic focus of 68% of the articles was North America, Europe and </w:t>
      </w:r>
      <w:r>
        <w:rPr>
          <w:color w:val="231F20"/>
          <w:w w:val="95"/>
        </w:rPr>
        <w:t xml:space="preserve">Australia and Oceania with another 13% not having a specific geographic </w:t>
      </w:r>
      <w:r>
        <w:rPr>
          <w:color w:val="231F20"/>
        </w:rPr>
        <w:t>context. T</w:t>
      </w:r>
      <w:r>
        <w:rPr>
          <w:color w:val="231F20"/>
        </w:rPr>
        <w:t>he balance, or only 19%, was set in Africa, Asia and South America despite the 2008 Beijing Olympics, the 2010 FIFA World Cup</w:t>
      </w:r>
      <w:r>
        <w:rPr>
          <w:color w:val="231F20"/>
          <w:spacing w:val="80"/>
        </w:rPr>
        <w:t xml:space="preserve"> </w:t>
      </w:r>
      <w:r>
        <w:rPr>
          <w:color w:val="231F20"/>
        </w:rPr>
        <w:t>in South Africa, the 2014 FIFA World Cup and 2016 Summer Olympics</w:t>
      </w:r>
      <w:r>
        <w:rPr>
          <w:color w:val="231F20"/>
          <w:spacing w:val="40"/>
        </w:rPr>
        <w:t xml:space="preserve"> </w:t>
      </w:r>
      <w:r>
        <w:rPr>
          <w:color w:val="231F20"/>
        </w:rPr>
        <w:t>in Brazil. It has also become apparent that sport tourism schola</w:t>
      </w:r>
      <w:r>
        <w:rPr>
          <w:color w:val="231F20"/>
        </w:rPr>
        <w:t xml:space="preserve">rship is </w:t>
      </w:r>
      <w:r>
        <w:rPr>
          <w:color w:val="231F20"/>
          <w:w w:val="95"/>
        </w:rPr>
        <w:t xml:space="preserve">on the rise in Asia although much of this literature is hidden from Western </w:t>
      </w:r>
      <w:r>
        <w:rPr>
          <w:color w:val="231F20"/>
        </w:rPr>
        <w:t>scholars who do not have the language skills to read articles written in Asian languages (Focus Point 2.2).</w:t>
      </w:r>
    </w:p>
    <w:p w14:paraId="67AE913E" w14:textId="4FA1542F" w:rsidR="00AE0598" w:rsidRDefault="0069255A">
      <w:pPr>
        <w:pStyle w:val="Corpodetexto"/>
        <w:spacing w:before="4"/>
        <w:rPr>
          <w:sz w:val="22"/>
        </w:rPr>
      </w:pPr>
      <w:r>
        <w:rPr>
          <w:noProof/>
        </w:rPr>
        <mc:AlternateContent>
          <mc:Choice Requires="wps">
            <w:drawing>
              <wp:anchor distT="0" distB="0" distL="0" distR="0" simplePos="0" relativeHeight="487601664" behindDoc="1" locked="0" layoutInCell="1" allowOverlap="1" wp14:anchorId="13D04D75" wp14:editId="76D47534">
                <wp:simplePos x="0" y="0"/>
                <wp:positionH relativeFrom="page">
                  <wp:posOffset>755650</wp:posOffset>
                </wp:positionH>
                <wp:positionV relativeFrom="paragraph">
                  <wp:posOffset>181610</wp:posOffset>
                </wp:positionV>
                <wp:extent cx="4104005" cy="3078480"/>
                <wp:effectExtent l="0" t="0" r="0" b="0"/>
                <wp:wrapTopAndBottom/>
                <wp:docPr id="315" name="docshape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04005" cy="3078480"/>
                        </a:xfrm>
                        <a:prstGeom prst="rect">
                          <a:avLst/>
                        </a:prstGeom>
                        <a:solidFill>
                          <a:srgbClr val="DCDDD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26B135B" w14:textId="77777777" w:rsidR="00AE0598" w:rsidRDefault="0069255A">
                            <w:pPr>
                              <w:spacing w:before="75"/>
                              <w:ind w:left="113"/>
                              <w:jc w:val="both"/>
                              <w:rPr>
                                <w:rFonts w:ascii="Trebuchet MS"/>
                                <w:color w:val="000000"/>
                                <w:sz w:val="20"/>
                              </w:rPr>
                            </w:pPr>
                            <w:r>
                              <w:rPr>
                                <w:rFonts w:ascii="Trebuchet MS"/>
                                <w:color w:val="231F20"/>
                                <w:sz w:val="20"/>
                              </w:rPr>
                              <w:t>Focus</w:t>
                            </w:r>
                            <w:r>
                              <w:rPr>
                                <w:rFonts w:ascii="Trebuchet MS"/>
                                <w:color w:val="231F20"/>
                                <w:spacing w:val="7"/>
                                <w:sz w:val="20"/>
                              </w:rPr>
                              <w:t xml:space="preserve"> </w:t>
                            </w:r>
                            <w:r>
                              <w:rPr>
                                <w:rFonts w:ascii="Trebuchet MS"/>
                                <w:color w:val="231F20"/>
                                <w:sz w:val="20"/>
                              </w:rPr>
                              <w:t>Point</w:t>
                            </w:r>
                            <w:r>
                              <w:rPr>
                                <w:rFonts w:ascii="Trebuchet MS"/>
                                <w:color w:val="231F20"/>
                                <w:spacing w:val="8"/>
                                <w:sz w:val="20"/>
                              </w:rPr>
                              <w:t xml:space="preserve"> </w:t>
                            </w:r>
                            <w:r>
                              <w:rPr>
                                <w:rFonts w:ascii="Trebuchet MS"/>
                                <w:color w:val="231F20"/>
                                <w:sz w:val="20"/>
                              </w:rPr>
                              <w:t>2.2:</w:t>
                            </w:r>
                            <w:r>
                              <w:rPr>
                                <w:rFonts w:ascii="Trebuchet MS"/>
                                <w:color w:val="231F20"/>
                                <w:spacing w:val="8"/>
                                <w:sz w:val="20"/>
                              </w:rPr>
                              <w:t xml:space="preserve"> </w:t>
                            </w:r>
                            <w:r>
                              <w:rPr>
                                <w:rFonts w:ascii="Trebuchet MS"/>
                                <w:color w:val="231F20"/>
                                <w:sz w:val="20"/>
                              </w:rPr>
                              <w:t>Sport</w:t>
                            </w:r>
                            <w:r>
                              <w:rPr>
                                <w:rFonts w:ascii="Trebuchet MS"/>
                                <w:color w:val="231F20"/>
                                <w:spacing w:val="8"/>
                                <w:sz w:val="20"/>
                              </w:rPr>
                              <w:t xml:space="preserve"> </w:t>
                            </w:r>
                            <w:r>
                              <w:rPr>
                                <w:rFonts w:ascii="Trebuchet MS"/>
                                <w:color w:val="231F20"/>
                                <w:sz w:val="20"/>
                              </w:rPr>
                              <w:t>Tourism</w:t>
                            </w:r>
                            <w:r>
                              <w:rPr>
                                <w:rFonts w:ascii="Trebuchet MS"/>
                                <w:color w:val="231F20"/>
                                <w:spacing w:val="7"/>
                                <w:sz w:val="20"/>
                              </w:rPr>
                              <w:t xml:space="preserve"> </w:t>
                            </w:r>
                            <w:r>
                              <w:rPr>
                                <w:rFonts w:ascii="Trebuchet MS"/>
                                <w:color w:val="231F20"/>
                                <w:sz w:val="20"/>
                              </w:rPr>
                              <w:t>Research</w:t>
                            </w:r>
                            <w:r>
                              <w:rPr>
                                <w:rFonts w:ascii="Trebuchet MS"/>
                                <w:color w:val="231F20"/>
                                <w:spacing w:val="8"/>
                                <w:sz w:val="20"/>
                              </w:rPr>
                              <w:t xml:space="preserve"> </w:t>
                            </w:r>
                            <w:r>
                              <w:rPr>
                                <w:rFonts w:ascii="Trebuchet MS"/>
                                <w:color w:val="231F20"/>
                                <w:sz w:val="20"/>
                              </w:rPr>
                              <w:t>in</w:t>
                            </w:r>
                            <w:r>
                              <w:rPr>
                                <w:rFonts w:ascii="Trebuchet MS"/>
                                <w:color w:val="231F20"/>
                                <w:spacing w:val="8"/>
                                <w:sz w:val="20"/>
                              </w:rPr>
                              <w:t xml:space="preserve"> </w:t>
                            </w:r>
                            <w:r>
                              <w:rPr>
                                <w:rFonts w:ascii="Trebuchet MS"/>
                                <w:color w:val="231F20"/>
                                <w:spacing w:val="-2"/>
                                <w:sz w:val="20"/>
                              </w:rPr>
                              <w:t>Japan</w:t>
                            </w:r>
                          </w:p>
                          <w:p w14:paraId="40D26732" w14:textId="77777777" w:rsidR="00AE0598" w:rsidRDefault="0069255A">
                            <w:pPr>
                              <w:pStyle w:val="Corpodetexto"/>
                              <w:spacing w:before="122" w:line="232" w:lineRule="auto"/>
                              <w:ind w:left="113" w:right="109"/>
                              <w:jc w:val="both"/>
                              <w:rPr>
                                <w:color w:val="000000"/>
                              </w:rPr>
                            </w:pPr>
                            <w:r>
                              <w:rPr>
                                <w:color w:val="231F20"/>
                              </w:rPr>
                              <w:t>Japan</w:t>
                            </w:r>
                            <w:r>
                              <w:rPr>
                                <w:color w:val="231F20"/>
                                <w:spacing w:val="-8"/>
                              </w:rPr>
                              <w:t xml:space="preserve"> </w:t>
                            </w:r>
                            <w:r>
                              <w:rPr>
                                <w:color w:val="231F20"/>
                              </w:rPr>
                              <w:t>is</w:t>
                            </w:r>
                            <w:r>
                              <w:rPr>
                                <w:color w:val="231F20"/>
                                <w:spacing w:val="-8"/>
                              </w:rPr>
                              <w:t xml:space="preserve"> </w:t>
                            </w:r>
                            <w:r>
                              <w:rPr>
                                <w:color w:val="231F20"/>
                              </w:rPr>
                              <w:t>scheduled</w:t>
                            </w:r>
                            <w:r>
                              <w:rPr>
                                <w:color w:val="231F20"/>
                                <w:spacing w:val="-8"/>
                              </w:rPr>
                              <w:t xml:space="preserve"> </w:t>
                            </w:r>
                            <w:r>
                              <w:rPr>
                                <w:color w:val="231F20"/>
                              </w:rPr>
                              <w:t>to</w:t>
                            </w:r>
                            <w:r>
                              <w:rPr>
                                <w:color w:val="231F20"/>
                                <w:spacing w:val="-8"/>
                              </w:rPr>
                              <w:t xml:space="preserve"> </w:t>
                            </w:r>
                            <w:r>
                              <w:rPr>
                                <w:color w:val="231F20"/>
                              </w:rPr>
                              <w:t>host</w:t>
                            </w:r>
                            <w:r>
                              <w:rPr>
                                <w:color w:val="231F20"/>
                                <w:spacing w:val="-8"/>
                              </w:rPr>
                              <w:t xml:space="preserve"> </w:t>
                            </w:r>
                            <w:r>
                              <w:rPr>
                                <w:color w:val="231F20"/>
                              </w:rPr>
                              <w:t>the</w:t>
                            </w:r>
                            <w:r>
                              <w:rPr>
                                <w:color w:val="231F20"/>
                                <w:spacing w:val="-8"/>
                              </w:rPr>
                              <w:t xml:space="preserve"> </w:t>
                            </w:r>
                            <w:r>
                              <w:rPr>
                                <w:color w:val="231F20"/>
                              </w:rPr>
                              <w:t>2019</w:t>
                            </w:r>
                            <w:r>
                              <w:rPr>
                                <w:color w:val="231F20"/>
                                <w:spacing w:val="-8"/>
                              </w:rPr>
                              <w:t xml:space="preserve"> </w:t>
                            </w:r>
                            <w:r>
                              <w:rPr>
                                <w:color w:val="231F20"/>
                              </w:rPr>
                              <w:t>Rugby</w:t>
                            </w:r>
                            <w:r>
                              <w:rPr>
                                <w:color w:val="231F20"/>
                                <w:spacing w:val="-8"/>
                              </w:rPr>
                              <w:t xml:space="preserve"> </w:t>
                            </w:r>
                            <w:r>
                              <w:rPr>
                                <w:color w:val="231F20"/>
                              </w:rPr>
                              <w:t>World</w:t>
                            </w:r>
                            <w:r>
                              <w:rPr>
                                <w:color w:val="231F20"/>
                                <w:spacing w:val="-8"/>
                              </w:rPr>
                              <w:t xml:space="preserve"> </w:t>
                            </w:r>
                            <w:r>
                              <w:rPr>
                                <w:color w:val="231F20"/>
                              </w:rPr>
                              <w:t>Cup,</w:t>
                            </w:r>
                            <w:r>
                              <w:rPr>
                                <w:color w:val="231F20"/>
                                <w:spacing w:val="-8"/>
                              </w:rPr>
                              <w:t xml:space="preserve"> </w:t>
                            </w:r>
                            <w:r>
                              <w:rPr>
                                <w:color w:val="231F20"/>
                              </w:rPr>
                              <w:t>the</w:t>
                            </w:r>
                            <w:r>
                              <w:rPr>
                                <w:color w:val="231F20"/>
                                <w:spacing w:val="-8"/>
                              </w:rPr>
                              <w:t xml:space="preserve"> </w:t>
                            </w:r>
                            <w:r>
                              <w:rPr>
                                <w:color w:val="231F20"/>
                              </w:rPr>
                              <w:t>2020</w:t>
                            </w:r>
                            <w:r>
                              <w:rPr>
                                <w:color w:val="231F20"/>
                                <w:spacing w:val="-8"/>
                              </w:rPr>
                              <w:t xml:space="preserve"> </w:t>
                            </w:r>
                            <w:r>
                              <w:rPr>
                                <w:color w:val="231F20"/>
                              </w:rPr>
                              <w:t xml:space="preserve">Tokyo </w:t>
                            </w:r>
                            <w:r>
                              <w:rPr>
                                <w:color w:val="231F20"/>
                                <w:w w:val="95"/>
                              </w:rPr>
                              <w:t>Olympics and Paralympics and the 2021 Kansai World Masters Games.</w:t>
                            </w:r>
                            <w:r>
                              <w:rPr>
                                <w:color w:val="231F20"/>
                                <w:spacing w:val="40"/>
                              </w:rPr>
                              <w:t xml:space="preserve"> </w:t>
                            </w:r>
                            <w:r>
                              <w:rPr>
                                <w:color w:val="231F20"/>
                              </w:rPr>
                              <w:t xml:space="preserve">As such, sport tourism is a popular topic in Japan both in terms of </w:t>
                            </w:r>
                            <w:r>
                              <w:rPr>
                                <w:color w:val="231F20"/>
                                <w:w w:val="95"/>
                              </w:rPr>
                              <w:t xml:space="preserve">practice and scholarship. Given this environment, Hinch and Ito (2018) </w:t>
                            </w:r>
                            <w:r>
                              <w:rPr>
                                <w:color w:val="231F20"/>
                              </w:rPr>
                              <w:t xml:space="preserve">conducted a systematic review of the English and Japanese literature on sport tourism in Japan from 1990 to 2016. Of </w:t>
                            </w:r>
                            <w:r>
                              <w:rPr>
                                <w:color w:val="231F20"/>
                              </w:rPr>
                              <w:t>these articles, 107 were</w:t>
                            </w:r>
                            <w:r>
                              <w:rPr>
                                <w:color w:val="231F20"/>
                                <w:spacing w:val="-12"/>
                              </w:rPr>
                              <w:t xml:space="preserve"> </w:t>
                            </w:r>
                            <w:r>
                              <w:rPr>
                                <w:color w:val="231F20"/>
                              </w:rPr>
                              <w:t>published</w:t>
                            </w:r>
                            <w:r>
                              <w:rPr>
                                <w:color w:val="231F20"/>
                                <w:spacing w:val="-12"/>
                              </w:rPr>
                              <w:t xml:space="preserve"> </w:t>
                            </w:r>
                            <w:r>
                              <w:rPr>
                                <w:color w:val="231F20"/>
                              </w:rPr>
                              <w:t>in</w:t>
                            </w:r>
                            <w:r>
                              <w:rPr>
                                <w:color w:val="231F20"/>
                                <w:spacing w:val="-11"/>
                              </w:rPr>
                              <w:t xml:space="preserve"> </w:t>
                            </w:r>
                            <w:r>
                              <w:rPr>
                                <w:color w:val="231F20"/>
                              </w:rPr>
                              <w:t>Japanese</w:t>
                            </w:r>
                            <w:r>
                              <w:rPr>
                                <w:color w:val="231F20"/>
                                <w:spacing w:val="-12"/>
                              </w:rPr>
                              <w:t xml:space="preserve"> </w:t>
                            </w:r>
                            <w:r>
                              <w:rPr>
                                <w:color w:val="231F20"/>
                              </w:rPr>
                              <w:t>and</w:t>
                            </w:r>
                            <w:r>
                              <w:rPr>
                                <w:color w:val="231F20"/>
                                <w:spacing w:val="-11"/>
                              </w:rPr>
                              <w:t xml:space="preserve"> </w:t>
                            </w:r>
                            <w:r>
                              <w:rPr>
                                <w:color w:val="231F20"/>
                              </w:rPr>
                              <w:t>21</w:t>
                            </w:r>
                            <w:r>
                              <w:rPr>
                                <w:color w:val="231F20"/>
                                <w:spacing w:val="-12"/>
                              </w:rPr>
                              <w:t xml:space="preserve"> </w:t>
                            </w:r>
                            <w:r>
                              <w:rPr>
                                <w:color w:val="231F20"/>
                              </w:rPr>
                              <w:t>were</w:t>
                            </w:r>
                            <w:r>
                              <w:rPr>
                                <w:color w:val="231F20"/>
                                <w:spacing w:val="-11"/>
                              </w:rPr>
                              <w:t xml:space="preserve"> </w:t>
                            </w:r>
                            <w:r>
                              <w:rPr>
                                <w:color w:val="231F20"/>
                              </w:rPr>
                              <w:t>published</w:t>
                            </w:r>
                            <w:r>
                              <w:rPr>
                                <w:color w:val="231F20"/>
                                <w:spacing w:val="-12"/>
                              </w:rPr>
                              <w:t xml:space="preserve"> </w:t>
                            </w:r>
                            <w:r>
                              <w:rPr>
                                <w:color w:val="231F20"/>
                              </w:rPr>
                              <w:t>in</w:t>
                            </w:r>
                            <w:r>
                              <w:rPr>
                                <w:color w:val="231F20"/>
                                <w:spacing w:val="-12"/>
                              </w:rPr>
                              <w:t xml:space="preserve"> </w:t>
                            </w:r>
                            <w:r>
                              <w:rPr>
                                <w:color w:val="231F20"/>
                              </w:rPr>
                              <w:t>English.</w:t>
                            </w:r>
                            <w:r>
                              <w:rPr>
                                <w:color w:val="231F20"/>
                                <w:spacing w:val="-11"/>
                              </w:rPr>
                              <w:t xml:space="preserve"> </w:t>
                            </w:r>
                            <w:r>
                              <w:rPr>
                                <w:color w:val="231F20"/>
                              </w:rPr>
                              <w:t>The</w:t>
                            </w:r>
                            <w:r>
                              <w:rPr>
                                <w:color w:val="231F20"/>
                                <w:spacing w:val="-12"/>
                              </w:rPr>
                              <w:t xml:space="preserve"> </w:t>
                            </w:r>
                            <w:r>
                              <w:rPr>
                                <w:color w:val="231F20"/>
                              </w:rPr>
                              <w:t>vast majority of the articles were published in the last 10 years with 86% of the articles written in English and 64% of the articles written in Japanese being published i</w:t>
                            </w:r>
                            <w:r>
                              <w:rPr>
                                <w:color w:val="231F20"/>
                              </w:rPr>
                              <w:t xml:space="preserve">n 2008 or later. Ninety-one percent of the articles written in Japanese had lead authors at Japanese institutions </w:t>
                            </w:r>
                            <w:r>
                              <w:rPr>
                                <w:color w:val="231F20"/>
                                <w:w w:val="95"/>
                              </w:rPr>
                              <w:t>while slightly less than 50% of the articles published in English had lead authors at Japanese institutions. Fifty-one percent of the articles</w:t>
                            </w:r>
                            <w:r>
                              <w:rPr>
                                <w:color w:val="231F20"/>
                                <w:w w:val="95"/>
                              </w:rPr>
                              <w:t xml:space="preserve"> written </w:t>
                            </w:r>
                            <w:r>
                              <w:rPr>
                                <w:color w:val="231F20"/>
                              </w:rPr>
                              <w:t>in</w:t>
                            </w:r>
                            <w:r>
                              <w:rPr>
                                <w:color w:val="231F20"/>
                                <w:spacing w:val="-4"/>
                              </w:rPr>
                              <w:t xml:space="preserve"> </w:t>
                            </w:r>
                            <w:r>
                              <w:rPr>
                                <w:color w:val="231F20"/>
                              </w:rPr>
                              <w:t>Japanese</w:t>
                            </w:r>
                            <w:r>
                              <w:rPr>
                                <w:color w:val="231F20"/>
                                <w:spacing w:val="-4"/>
                              </w:rPr>
                              <w:t xml:space="preserve"> </w:t>
                            </w:r>
                            <w:r>
                              <w:rPr>
                                <w:color w:val="231F20"/>
                              </w:rPr>
                              <w:t>focused</w:t>
                            </w:r>
                            <w:r>
                              <w:rPr>
                                <w:color w:val="231F20"/>
                                <w:spacing w:val="-4"/>
                              </w:rPr>
                              <w:t xml:space="preserve"> </w:t>
                            </w:r>
                            <w:r>
                              <w:rPr>
                                <w:color w:val="231F20"/>
                              </w:rPr>
                              <w:t>on</w:t>
                            </w:r>
                            <w:r>
                              <w:rPr>
                                <w:color w:val="231F20"/>
                                <w:spacing w:val="-4"/>
                              </w:rPr>
                              <w:t xml:space="preserve"> </w:t>
                            </w:r>
                            <w:r>
                              <w:rPr>
                                <w:color w:val="231F20"/>
                              </w:rPr>
                              <w:t>participation</w:t>
                            </w:r>
                            <w:r>
                              <w:rPr>
                                <w:color w:val="231F20"/>
                                <w:spacing w:val="-4"/>
                              </w:rPr>
                              <w:t xml:space="preserve"> </w:t>
                            </w:r>
                            <w:r>
                              <w:rPr>
                                <w:color w:val="231F20"/>
                              </w:rPr>
                              <w:t>events,</w:t>
                            </w:r>
                            <w:r>
                              <w:rPr>
                                <w:color w:val="231F20"/>
                                <w:spacing w:val="-4"/>
                              </w:rPr>
                              <w:t xml:space="preserve"> </w:t>
                            </w:r>
                            <w:r>
                              <w:rPr>
                                <w:color w:val="231F20"/>
                              </w:rPr>
                              <w:t>35%</w:t>
                            </w:r>
                            <w:r>
                              <w:rPr>
                                <w:color w:val="231F20"/>
                                <w:spacing w:val="-4"/>
                              </w:rPr>
                              <w:t xml:space="preserve"> </w:t>
                            </w:r>
                            <w:r>
                              <w:rPr>
                                <w:color w:val="231F20"/>
                              </w:rPr>
                              <w:t>on</w:t>
                            </w:r>
                            <w:r>
                              <w:rPr>
                                <w:color w:val="231F20"/>
                                <w:spacing w:val="-4"/>
                              </w:rPr>
                              <w:t xml:space="preserve"> </w:t>
                            </w:r>
                            <w:r>
                              <w:rPr>
                                <w:color w:val="231F20"/>
                              </w:rPr>
                              <w:t>spectator</w:t>
                            </w:r>
                            <w:r>
                              <w:rPr>
                                <w:color w:val="231F20"/>
                                <w:spacing w:val="-4"/>
                              </w:rPr>
                              <w:t xml:space="preserve"> </w:t>
                            </w:r>
                            <w:r>
                              <w:rPr>
                                <w:color w:val="231F20"/>
                              </w:rPr>
                              <w:t>events, 13% on active sport tourism and only 1% on heritage sport tourism. This distribution contrasted significantly with the English language articles,</w:t>
                            </w:r>
                            <w:r>
                              <w:rPr>
                                <w:color w:val="231F20"/>
                                <w:spacing w:val="-1"/>
                              </w:rPr>
                              <w:t xml:space="preserve"> </w:t>
                            </w:r>
                            <w:r>
                              <w:rPr>
                                <w:color w:val="231F20"/>
                              </w:rPr>
                              <w:t>which</w:t>
                            </w:r>
                            <w:r>
                              <w:rPr>
                                <w:color w:val="231F20"/>
                                <w:spacing w:val="-1"/>
                              </w:rPr>
                              <w:t xml:space="preserve"> </w:t>
                            </w:r>
                            <w:r>
                              <w:rPr>
                                <w:color w:val="231F20"/>
                              </w:rPr>
                              <w:t>featured</w:t>
                            </w:r>
                            <w:r>
                              <w:rPr>
                                <w:color w:val="231F20"/>
                                <w:spacing w:val="-1"/>
                              </w:rPr>
                              <w:t xml:space="preserve"> </w:t>
                            </w:r>
                            <w:r>
                              <w:rPr>
                                <w:color w:val="231F20"/>
                              </w:rPr>
                              <w:t>35%</w:t>
                            </w:r>
                            <w:r>
                              <w:rPr>
                                <w:color w:val="231F20"/>
                                <w:spacing w:val="-1"/>
                              </w:rPr>
                              <w:t xml:space="preserve"> </w:t>
                            </w:r>
                            <w:r>
                              <w:rPr>
                                <w:color w:val="231F20"/>
                              </w:rPr>
                              <w:t>written</w:t>
                            </w:r>
                            <w:r>
                              <w:rPr>
                                <w:color w:val="231F20"/>
                                <w:spacing w:val="-1"/>
                              </w:rPr>
                              <w:t xml:space="preserve"> </w:t>
                            </w:r>
                            <w:r>
                              <w:rPr>
                                <w:color w:val="231F20"/>
                              </w:rPr>
                              <w:t>abou</w:t>
                            </w:r>
                            <w:r>
                              <w:rPr>
                                <w:color w:val="231F20"/>
                              </w:rPr>
                              <w:t>t</w:t>
                            </w:r>
                            <w:r>
                              <w:rPr>
                                <w:color w:val="231F20"/>
                                <w:spacing w:val="-1"/>
                              </w:rPr>
                              <w:t xml:space="preserve"> </w:t>
                            </w:r>
                            <w:r>
                              <w:rPr>
                                <w:color w:val="231F20"/>
                              </w:rPr>
                              <w:t>participation</w:t>
                            </w:r>
                            <w:r>
                              <w:rPr>
                                <w:color w:val="231F20"/>
                                <w:spacing w:val="-1"/>
                              </w:rPr>
                              <w:t xml:space="preserve"> </w:t>
                            </w:r>
                            <w:r>
                              <w:rPr>
                                <w:color w:val="231F20"/>
                              </w:rPr>
                              <w:t>events,</w:t>
                            </w:r>
                            <w:r>
                              <w:rPr>
                                <w:color w:val="231F20"/>
                                <w:spacing w:val="-1"/>
                              </w:rPr>
                              <w:t xml:space="preserve"> </w:t>
                            </w:r>
                            <w:r>
                              <w:rPr>
                                <w:color w:val="231F20"/>
                              </w:rPr>
                              <w:t xml:space="preserve">50% </w:t>
                            </w:r>
                            <w:r>
                              <w:rPr>
                                <w:color w:val="231F20"/>
                                <w:w w:val="95"/>
                              </w:rPr>
                              <w:t>on</w:t>
                            </w:r>
                            <w:r>
                              <w:rPr>
                                <w:color w:val="231F20"/>
                                <w:spacing w:val="12"/>
                              </w:rPr>
                              <w:t xml:space="preserve"> </w:t>
                            </w:r>
                            <w:r>
                              <w:rPr>
                                <w:color w:val="231F20"/>
                                <w:w w:val="95"/>
                              </w:rPr>
                              <w:t>spectator</w:t>
                            </w:r>
                            <w:r>
                              <w:rPr>
                                <w:color w:val="231F20"/>
                                <w:spacing w:val="13"/>
                              </w:rPr>
                              <w:t xml:space="preserve"> </w:t>
                            </w:r>
                            <w:r>
                              <w:rPr>
                                <w:color w:val="231F20"/>
                                <w:w w:val="95"/>
                              </w:rPr>
                              <w:t>events,</w:t>
                            </w:r>
                            <w:r>
                              <w:rPr>
                                <w:color w:val="231F20"/>
                                <w:spacing w:val="12"/>
                              </w:rPr>
                              <w:t xml:space="preserve"> </w:t>
                            </w:r>
                            <w:r>
                              <w:rPr>
                                <w:color w:val="231F20"/>
                                <w:w w:val="95"/>
                              </w:rPr>
                              <w:t>5%</w:t>
                            </w:r>
                            <w:r>
                              <w:rPr>
                                <w:color w:val="231F20"/>
                                <w:spacing w:val="13"/>
                              </w:rPr>
                              <w:t xml:space="preserve"> </w:t>
                            </w:r>
                            <w:r>
                              <w:rPr>
                                <w:color w:val="231F20"/>
                                <w:w w:val="95"/>
                              </w:rPr>
                              <w:t>on</w:t>
                            </w:r>
                            <w:r>
                              <w:rPr>
                                <w:color w:val="231F20"/>
                                <w:spacing w:val="13"/>
                              </w:rPr>
                              <w:t xml:space="preserve"> </w:t>
                            </w:r>
                            <w:r>
                              <w:rPr>
                                <w:color w:val="231F20"/>
                                <w:w w:val="95"/>
                              </w:rPr>
                              <w:t>active</w:t>
                            </w:r>
                            <w:r>
                              <w:rPr>
                                <w:color w:val="231F20"/>
                                <w:spacing w:val="12"/>
                              </w:rPr>
                              <w:t xml:space="preserve"> </w:t>
                            </w:r>
                            <w:r>
                              <w:rPr>
                                <w:color w:val="231F20"/>
                                <w:w w:val="95"/>
                              </w:rPr>
                              <w:t>sport</w:t>
                            </w:r>
                            <w:r>
                              <w:rPr>
                                <w:color w:val="231F20"/>
                                <w:spacing w:val="13"/>
                              </w:rPr>
                              <w:t xml:space="preserve"> </w:t>
                            </w:r>
                            <w:r>
                              <w:rPr>
                                <w:color w:val="231F20"/>
                                <w:w w:val="95"/>
                              </w:rPr>
                              <w:t>and</w:t>
                            </w:r>
                            <w:r>
                              <w:rPr>
                                <w:color w:val="231F20"/>
                                <w:spacing w:val="12"/>
                              </w:rPr>
                              <w:t xml:space="preserve"> </w:t>
                            </w:r>
                            <w:r>
                              <w:rPr>
                                <w:color w:val="231F20"/>
                                <w:w w:val="95"/>
                              </w:rPr>
                              <w:t>10%</w:t>
                            </w:r>
                            <w:r>
                              <w:rPr>
                                <w:color w:val="231F20"/>
                                <w:spacing w:val="13"/>
                              </w:rPr>
                              <w:t xml:space="preserve"> </w:t>
                            </w:r>
                            <w:r>
                              <w:rPr>
                                <w:color w:val="231F20"/>
                                <w:w w:val="95"/>
                              </w:rPr>
                              <w:t>on</w:t>
                            </w:r>
                            <w:r>
                              <w:rPr>
                                <w:color w:val="231F20"/>
                                <w:spacing w:val="13"/>
                              </w:rPr>
                              <w:t xml:space="preserve"> </w:t>
                            </w:r>
                            <w:r>
                              <w:rPr>
                                <w:color w:val="231F20"/>
                                <w:w w:val="95"/>
                              </w:rPr>
                              <w:t>heritage</w:t>
                            </w:r>
                            <w:r>
                              <w:rPr>
                                <w:color w:val="231F20"/>
                                <w:spacing w:val="12"/>
                              </w:rPr>
                              <w:t xml:space="preserve"> </w:t>
                            </w:r>
                            <w:r>
                              <w:rPr>
                                <w:color w:val="231F20"/>
                                <w:w w:val="95"/>
                              </w:rPr>
                              <w:t>sport.</w:t>
                            </w:r>
                            <w:r>
                              <w:rPr>
                                <w:color w:val="231F20"/>
                                <w:spacing w:val="13"/>
                              </w:rPr>
                              <w:t xml:space="preserve"> </w:t>
                            </w:r>
                            <w:r>
                              <w:rPr>
                                <w:color w:val="231F20"/>
                                <w:spacing w:val="-5"/>
                                <w:w w:val="95"/>
                              </w:rPr>
                              <w:t>An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D04D75" id="docshape59" o:spid="_x0000_s1068" type="#_x0000_t202" style="position:absolute;margin-left:59.5pt;margin-top:14.3pt;width:323.15pt;height:242.4pt;z-index:-157148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" fillcolor="#dcddde" stroked="f">
                <v:textbox inset="0,0,0,0">
                  <w:txbxContent>
                    <w:p w14:paraId="626B135B" w14:textId="77777777" w:rsidR="00AE0598" w:rsidRDefault="0069255A">
                      <w:pPr>
                        <w:spacing w:before="75"/>
                        <w:ind w:left="113"/>
                        <w:jc w:val="both"/>
                        <w:rPr>
                          <w:rFonts w:ascii="Trebuchet MS"/>
                          <w:color w:val="000000"/>
                          <w:sz w:val="20"/>
                        </w:rPr>
                      </w:pPr>
                      <w:r>
                        <w:rPr>
                          <w:rFonts w:ascii="Trebuchet MS"/>
                          <w:color w:val="231F20"/>
                          <w:sz w:val="20"/>
                        </w:rPr>
                        <w:t>Focus</w:t>
                      </w:r>
                      <w:r>
                        <w:rPr>
                          <w:rFonts w:ascii="Trebuchet MS"/>
                          <w:color w:val="231F20"/>
                          <w:spacing w:val="7"/>
                          <w:sz w:val="20"/>
                        </w:rPr>
                        <w:t xml:space="preserve"> </w:t>
                      </w:r>
                      <w:r>
                        <w:rPr>
                          <w:rFonts w:ascii="Trebuchet MS"/>
                          <w:color w:val="231F20"/>
                          <w:sz w:val="20"/>
                        </w:rPr>
                        <w:t>Point</w:t>
                      </w:r>
                      <w:r>
                        <w:rPr>
                          <w:rFonts w:ascii="Trebuchet MS"/>
                          <w:color w:val="231F20"/>
                          <w:spacing w:val="8"/>
                          <w:sz w:val="20"/>
                        </w:rPr>
                        <w:t xml:space="preserve"> </w:t>
                      </w:r>
                      <w:r>
                        <w:rPr>
                          <w:rFonts w:ascii="Trebuchet MS"/>
                          <w:color w:val="231F20"/>
                          <w:sz w:val="20"/>
                        </w:rPr>
                        <w:t>2.2:</w:t>
                      </w:r>
                      <w:r>
                        <w:rPr>
                          <w:rFonts w:ascii="Trebuchet MS"/>
                          <w:color w:val="231F20"/>
                          <w:spacing w:val="8"/>
                          <w:sz w:val="20"/>
                        </w:rPr>
                        <w:t xml:space="preserve"> </w:t>
                      </w:r>
                      <w:r>
                        <w:rPr>
                          <w:rFonts w:ascii="Trebuchet MS"/>
                          <w:color w:val="231F20"/>
                          <w:sz w:val="20"/>
                        </w:rPr>
                        <w:t>Sport</w:t>
                      </w:r>
                      <w:r>
                        <w:rPr>
                          <w:rFonts w:ascii="Trebuchet MS"/>
                          <w:color w:val="231F20"/>
                          <w:spacing w:val="8"/>
                          <w:sz w:val="20"/>
                        </w:rPr>
                        <w:t xml:space="preserve"> </w:t>
                      </w:r>
                      <w:r>
                        <w:rPr>
                          <w:rFonts w:ascii="Trebuchet MS"/>
                          <w:color w:val="231F20"/>
                          <w:sz w:val="20"/>
                        </w:rPr>
                        <w:t>Tourism</w:t>
                      </w:r>
                      <w:r>
                        <w:rPr>
                          <w:rFonts w:ascii="Trebuchet MS"/>
                          <w:color w:val="231F20"/>
                          <w:spacing w:val="7"/>
                          <w:sz w:val="20"/>
                        </w:rPr>
                        <w:t xml:space="preserve"> </w:t>
                      </w:r>
                      <w:r>
                        <w:rPr>
                          <w:rFonts w:ascii="Trebuchet MS"/>
                          <w:color w:val="231F20"/>
                          <w:sz w:val="20"/>
                        </w:rPr>
                        <w:t>Research</w:t>
                      </w:r>
                      <w:r>
                        <w:rPr>
                          <w:rFonts w:ascii="Trebuchet MS"/>
                          <w:color w:val="231F20"/>
                          <w:spacing w:val="8"/>
                          <w:sz w:val="20"/>
                        </w:rPr>
                        <w:t xml:space="preserve"> </w:t>
                      </w:r>
                      <w:r>
                        <w:rPr>
                          <w:rFonts w:ascii="Trebuchet MS"/>
                          <w:color w:val="231F20"/>
                          <w:sz w:val="20"/>
                        </w:rPr>
                        <w:t>in</w:t>
                      </w:r>
                      <w:r>
                        <w:rPr>
                          <w:rFonts w:ascii="Trebuchet MS"/>
                          <w:color w:val="231F20"/>
                          <w:spacing w:val="8"/>
                          <w:sz w:val="20"/>
                        </w:rPr>
                        <w:t xml:space="preserve"> </w:t>
                      </w:r>
                      <w:r>
                        <w:rPr>
                          <w:rFonts w:ascii="Trebuchet MS"/>
                          <w:color w:val="231F20"/>
                          <w:spacing w:val="-2"/>
                          <w:sz w:val="20"/>
                        </w:rPr>
                        <w:t>Japan</w:t>
                      </w:r>
                    </w:p>
                    <w:p w14:paraId="40D26732" w14:textId="77777777" w:rsidR="00AE0598" w:rsidRDefault="0069255A">
                      <w:pPr>
                        <w:pStyle w:val="Corpodetexto"/>
                        <w:spacing w:before="122" w:line="232" w:lineRule="auto"/>
                        <w:ind w:left="113" w:right="109"/>
                        <w:jc w:val="both"/>
                        <w:rPr>
                          <w:color w:val="000000"/>
                        </w:rPr>
                      </w:pPr>
                      <w:r>
                        <w:rPr>
                          <w:color w:val="231F20"/>
                        </w:rPr>
                        <w:t>Japan</w:t>
                      </w:r>
                      <w:r>
                        <w:rPr>
                          <w:color w:val="231F20"/>
                          <w:spacing w:val="-8"/>
                        </w:rPr>
                        <w:t xml:space="preserve"> </w:t>
                      </w:r>
                      <w:r>
                        <w:rPr>
                          <w:color w:val="231F20"/>
                        </w:rPr>
                        <w:t>is</w:t>
                      </w:r>
                      <w:r>
                        <w:rPr>
                          <w:color w:val="231F20"/>
                          <w:spacing w:val="-8"/>
                        </w:rPr>
                        <w:t xml:space="preserve"> </w:t>
                      </w:r>
                      <w:r>
                        <w:rPr>
                          <w:color w:val="231F20"/>
                        </w:rPr>
                        <w:t>scheduled</w:t>
                      </w:r>
                      <w:r>
                        <w:rPr>
                          <w:color w:val="231F20"/>
                          <w:spacing w:val="-8"/>
                        </w:rPr>
                        <w:t xml:space="preserve"> </w:t>
                      </w:r>
                      <w:r>
                        <w:rPr>
                          <w:color w:val="231F20"/>
                        </w:rPr>
                        <w:t>to</w:t>
                      </w:r>
                      <w:r>
                        <w:rPr>
                          <w:color w:val="231F20"/>
                          <w:spacing w:val="-8"/>
                        </w:rPr>
                        <w:t xml:space="preserve"> </w:t>
                      </w:r>
                      <w:r>
                        <w:rPr>
                          <w:color w:val="231F20"/>
                        </w:rPr>
                        <w:t>host</w:t>
                      </w:r>
                      <w:r>
                        <w:rPr>
                          <w:color w:val="231F20"/>
                          <w:spacing w:val="-8"/>
                        </w:rPr>
                        <w:t xml:space="preserve"> </w:t>
                      </w:r>
                      <w:r>
                        <w:rPr>
                          <w:color w:val="231F20"/>
                        </w:rPr>
                        <w:t>the</w:t>
                      </w:r>
                      <w:r>
                        <w:rPr>
                          <w:color w:val="231F20"/>
                          <w:spacing w:val="-8"/>
                        </w:rPr>
                        <w:t xml:space="preserve"> </w:t>
                      </w:r>
                      <w:r>
                        <w:rPr>
                          <w:color w:val="231F20"/>
                        </w:rPr>
                        <w:t>2019</w:t>
                      </w:r>
                      <w:r>
                        <w:rPr>
                          <w:color w:val="231F20"/>
                          <w:spacing w:val="-8"/>
                        </w:rPr>
                        <w:t xml:space="preserve"> </w:t>
                      </w:r>
                      <w:r>
                        <w:rPr>
                          <w:color w:val="231F20"/>
                        </w:rPr>
                        <w:t>Rugby</w:t>
                      </w:r>
                      <w:r>
                        <w:rPr>
                          <w:color w:val="231F20"/>
                          <w:spacing w:val="-8"/>
                        </w:rPr>
                        <w:t xml:space="preserve"> </w:t>
                      </w:r>
                      <w:r>
                        <w:rPr>
                          <w:color w:val="231F20"/>
                        </w:rPr>
                        <w:t>World</w:t>
                      </w:r>
                      <w:r>
                        <w:rPr>
                          <w:color w:val="231F20"/>
                          <w:spacing w:val="-8"/>
                        </w:rPr>
                        <w:t xml:space="preserve"> </w:t>
                      </w:r>
                      <w:r>
                        <w:rPr>
                          <w:color w:val="231F20"/>
                        </w:rPr>
                        <w:t>Cup,</w:t>
                      </w:r>
                      <w:r>
                        <w:rPr>
                          <w:color w:val="231F20"/>
                          <w:spacing w:val="-8"/>
                        </w:rPr>
                        <w:t xml:space="preserve"> </w:t>
                      </w:r>
                      <w:r>
                        <w:rPr>
                          <w:color w:val="231F20"/>
                        </w:rPr>
                        <w:t>the</w:t>
                      </w:r>
                      <w:r>
                        <w:rPr>
                          <w:color w:val="231F20"/>
                          <w:spacing w:val="-8"/>
                        </w:rPr>
                        <w:t xml:space="preserve"> </w:t>
                      </w:r>
                      <w:r>
                        <w:rPr>
                          <w:color w:val="231F20"/>
                        </w:rPr>
                        <w:t>2020</w:t>
                      </w:r>
                      <w:r>
                        <w:rPr>
                          <w:color w:val="231F20"/>
                          <w:spacing w:val="-8"/>
                        </w:rPr>
                        <w:t xml:space="preserve"> </w:t>
                      </w:r>
                      <w:r>
                        <w:rPr>
                          <w:color w:val="231F20"/>
                        </w:rPr>
                        <w:t xml:space="preserve">Tokyo </w:t>
                      </w:r>
                      <w:r>
                        <w:rPr>
                          <w:color w:val="231F20"/>
                          <w:w w:val="95"/>
                        </w:rPr>
                        <w:t>Olympics and Paralympics and the 2021 Kansai World Masters Games.</w:t>
                      </w:r>
                      <w:r>
                        <w:rPr>
                          <w:color w:val="231F20"/>
                          <w:spacing w:val="40"/>
                        </w:rPr>
                        <w:t xml:space="preserve"> </w:t>
                      </w:r>
                      <w:r>
                        <w:rPr>
                          <w:color w:val="231F20"/>
                        </w:rPr>
                        <w:t xml:space="preserve">As such, sport tourism is a popular topic in Japan both in terms of </w:t>
                      </w:r>
                      <w:r>
                        <w:rPr>
                          <w:color w:val="231F20"/>
                          <w:w w:val="95"/>
                        </w:rPr>
                        <w:t xml:space="preserve">practice and scholarship. Given this environment, Hinch and Ito (2018) </w:t>
                      </w:r>
                      <w:r>
                        <w:rPr>
                          <w:color w:val="231F20"/>
                        </w:rPr>
                        <w:t xml:space="preserve">conducted a systematic review of the English and Japanese literature on sport tourism in Japan from 1990 to 2016. Of </w:t>
                      </w:r>
                      <w:r>
                        <w:rPr>
                          <w:color w:val="231F20"/>
                        </w:rPr>
                        <w:t>these articles, 107 were</w:t>
                      </w:r>
                      <w:r>
                        <w:rPr>
                          <w:color w:val="231F20"/>
                          <w:spacing w:val="-12"/>
                        </w:rPr>
                        <w:t xml:space="preserve"> </w:t>
                      </w:r>
                      <w:r>
                        <w:rPr>
                          <w:color w:val="231F20"/>
                        </w:rPr>
                        <w:t>published</w:t>
                      </w:r>
                      <w:r>
                        <w:rPr>
                          <w:color w:val="231F20"/>
                          <w:spacing w:val="-12"/>
                        </w:rPr>
                        <w:t xml:space="preserve"> </w:t>
                      </w:r>
                      <w:r>
                        <w:rPr>
                          <w:color w:val="231F20"/>
                        </w:rPr>
                        <w:t>in</w:t>
                      </w:r>
                      <w:r>
                        <w:rPr>
                          <w:color w:val="231F20"/>
                          <w:spacing w:val="-11"/>
                        </w:rPr>
                        <w:t xml:space="preserve"> </w:t>
                      </w:r>
                      <w:r>
                        <w:rPr>
                          <w:color w:val="231F20"/>
                        </w:rPr>
                        <w:t>Japanese</w:t>
                      </w:r>
                      <w:r>
                        <w:rPr>
                          <w:color w:val="231F20"/>
                          <w:spacing w:val="-12"/>
                        </w:rPr>
                        <w:t xml:space="preserve"> </w:t>
                      </w:r>
                      <w:r>
                        <w:rPr>
                          <w:color w:val="231F20"/>
                        </w:rPr>
                        <w:t>and</w:t>
                      </w:r>
                      <w:r>
                        <w:rPr>
                          <w:color w:val="231F20"/>
                          <w:spacing w:val="-11"/>
                        </w:rPr>
                        <w:t xml:space="preserve"> </w:t>
                      </w:r>
                      <w:r>
                        <w:rPr>
                          <w:color w:val="231F20"/>
                        </w:rPr>
                        <w:t>21</w:t>
                      </w:r>
                      <w:r>
                        <w:rPr>
                          <w:color w:val="231F20"/>
                          <w:spacing w:val="-12"/>
                        </w:rPr>
                        <w:t xml:space="preserve"> </w:t>
                      </w:r>
                      <w:r>
                        <w:rPr>
                          <w:color w:val="231F20"/>
                        </w:rPr>
                        <w:t>were</w:t>
                      </w:r>
                      <w:r>
                        <w:rPr>
                          <w:color w:val="231F20"/>
                          <w:spacing w:val="-11"/>
                        </w:rPr>
                        <w:t xml:space="preserve"> </w:t>
                      </w:r>
                      <w:r>
                        <w:rPr>
                          <w:color w:val="231F20"/>
                        </w:rPr>
                        <w:t>published</w:t>
                      </w:r>
                      <w:r>
                        <w:rPr>
                          <w:color w:val="231F20"/>
                          <w:spacing w:val="-12"/>
                        </w:rPr>
                        <w:t xml:space="preserve"> </w:t>
                      </w:r>
                      <w:r>
                        <w:rPr>
                          <w:color w:val="231F20"/>
                        </w:rPr>
                        <w:t>in</w:t>
                      </w:r>
                      <w:r>
                        <w:rPr>
                          <w:color w:val="231F20"/>
                          <w:spacing w:val="-12"/>
                        </w:rPr>
                        <w:t xml:space="preserve"> </w:t>
                      </w:r>
                      <w:r>
                        <w:rPr>
                          <w:color w:val="231F20"/>
                        </w:rPr>
                        <w:t>English.</w:t>
                      </w:r>
                      <w:r>
                        <w:rPr>
                          <w:color w:val="231F20"/>
                          <w:spacing w:val="-11"/>
                        </w:rPr>
                        <w:t xml:space="preserve"> </w:t>
                      </w:r>
                      <w:r>
                        <w:rPr>
                          <w:color w:val="231F20"/>
                        </w:rPr>
                        <w:t>The</w:t>
                      </w:r>
                      <w:r>
                        <w:rPr>
                          <w:color w:val="231F20"/>
                          <w:spacing w:val="-12"/>
                        </w:rPr>
                        <w:t xml:space="preserve"> </w:t>
                      </w:r>
                      <w:r>
                        <w:rPr>
                          <w:color w:val="231F20"/>
                        </w:rPr>
                        <w:t>vast majority of the articles were published in the last 10 years with 86% of the articles written in English and 64% of the articles written in Japanese being published i</w:t>
                      </w:r>
                      <w:r>
                        <w:rPr>
                          <w:color w:val="231F20"/>
                        </w:rPr>
                        <w:t xml:space="preserve">n 2008 or later. Ninety-one percent of the articles written in Japanese had lead authors at Japanese institutions </w:t>
                      </w:r>
                      <w:r>
                        <w:rPr>
                          <w:color w:val="231F20"/>
                          <w:w w:val="95"/>
                        </w:rPr>
                        <w:t>while slightly less than 50% of the articles published in English had lead authors at Japanese institutions. Fifty-one percent of the articles</w:t>
                      </w:r>
                      <w:r>
                        <w:rPr>
                          <w:color w:val="231F20"/>
                          <w:w w:val="95"/>
                        </w:rPr>
                        <w:t xml:space="preserve"> written </w:t>
                      </w:r>
                      <w:r>
                        <w:rPr>
                          <w:color w:val="231F20"/>
                        </w:rPr>
                        <w:t>in</w:t>
                      </w:r>
                      <w:r>
                        <w:rPr>
                          <w:color w:val="231F20"/>
                          <w:spacing w:val="-4"/>
                        </w:rPr>
                        <w:t xml:space="preserve"> </w:t>
                      </w:r>
                      <w:r>
                        <w:rPr>
                          <w:color w:val="231F20"/>
                        </w:rPr>
                        <w:t>Japanese</w:t>
                      </w:r>
                      <w:r>
                        <w:rPr>
                          <w:color w:val="231F20"/>
                          <w:spacing w:val="-4"/>
                        </w:rPr>
                        <w:t xml:space="preserve"> </w:t>
                      </w:r>
                      <w:r>
                        <w:rPr>
                          <w:color w:val="231F20"/>
                        </w:rPr>
                        <w:t>focused</w:t>
                      </w:r>
                      <w:r>
                        <w:rPr>
                          <w:color w:val="231F20"/>
                          <w:spacing w:val="-4"/>
                        </w:rPr>
                        <w:t xml:space="preserve"> </w:t>
                      </w:r>
                      <w:r>
                        <w:rPr>
                          <w:color w:val="231F20"/>
                        </w:rPr>
                        <w:t>on</w:t>
                      </w:r>
                      <w:r>
                        <w:rPr>
                          <w:color w:val="231F20"/>
                          <w:spacing w:val="-4"/>
                        </w:rPr>
                        <w:t xml:space="preserve"> </w:t>
                      </w:r>
                      <w:r>
                        <w:rPr>
                          <w:color w:val="231F20"/>
                        </w:rPr>
                        <w:t>participation</w:t>
                      </w:r>
                      <w:r>
                        <w:rPr>
                          <w:color w:val="231F20"/>
                          <w:spacing w:val="-4"/>
                        </w:rPr>
                        <w:t xml:space="preserve"> </w:t>
                      </w:r>
                      <w:r>
                        <w:rPr>
                          <w:color w:val="231F20"/>
                        </w:rPr>
                        <w:t>events,</w:t>
                      </w:r>
                      <w:r>
                        <w:rPr>
                          <w:color w:val="231F20"/>
                          <w:spacing w:val="-4"/>
                        </w:rPr>
                        <w:t xml:space="preserve"> </w:t>
                      </w:r>
                      <w:r>
                        <w:rPr>
                          <w:color w:val="231F20"/>
                        </w:rPr>
                        <w:t>35%</w:t>
                      </w:r>
                      <w:r>
                        <w:rPr>
                          <w:color w:val="231F20"/>
                          <w:spacing w:val="-4"/>
                        </w:rPr>
                        <w:t xml:space="preserve"> </w:t>
                      </w:r>
                      <w:r>
                        <w:rPr>
                          <w:color w:val="231F20"/>
                        </w:rPr>
                        <w:t>on</w:t>
                      </w:r>
                      <w:r>
                        <w:rPr>
                          <w:color w:val="231F20"/>
                          <w:spacing w:val="-4"/>
                        </w:rPr>
                        <w:t xml:space="preserve"> </w:t>
                      </w:r>
                      <w:r>
                        <w:rPr>
                          <w:color w:val="231F20"/>
                        </w:rPr>
                        <w:t>spectator</w:t>
                      </w:r>
                      <w:r>
                        <w:rPr>
                          <w:color w:val="231F20"/>
                          <w:spacing w:val="-4"/>
                        </w:rPr>
                        <w:t xml:space="preserve"> </w:t>
                      </w:r>
                      <w:r>
                        <w:rPr>
                          <w:color w:val="231F20"/>
                        </w:rPr>
                        <w:t>events, 13% on active sport tourism and only 1% on heritage sport tourism. This distribution contrasted significantly with the English language articles,</w:t>
                      </w:r>
                      <w:r>
                        <w:rPr>
                          <w:color w:val="231F20"/>
                          <w:spacing w:val="-1"/>
                        </w:rPr>
                        <w:t xml:space="preserve"> </w:t>
                      </w:r>
                      <w:r>
                        <w:rPr>
                          <w:color w:val="231F20"/>
                        </w:rPr>
                        <w:t>which</w:t>
                      </w:r>
                      <w:r>
                        <w:rPr>
                          <w:color w:val="231F20"/>
                          <w:spacing w:val="-1"/>
                        </w:rPr>
                        <w:t xml:space="preserve"> </w:t>
                      </w:r>
                      <w:r>
                        <w:rPr>
                          <w:color w:val="231F20"/>
                        </w:rPr>
                        <w:t>featured</w:t>
                      </w:r>
                      <w:r>
                        <w:rPr>
                          <w:color w:val="231F20"/>
                          <w:spacing w:val="-1"/>
                        </w:rPr>
                        <w:t xml:space="preserve"> </w:t>
                      </w:r>
                      <w:r>
                        <w:rPr>
                          <w:color w:val="231F20"/>
                        </w:rPr>
                        <w:t>35%</w:t>
                      </w:r>
                      <w:r>
                        <w:rPr>
                          <w:color w:val="231F20"/>
                          <w:spacing w:val="-1"/>
                        </w:rPr>
                        <w:t xml:space="preserve"> </w:t>
                      </w:r>
                      <w:r>
                        <w:rPr>
                          <w:color w:val="231F20"/>
                        </w:rPr>
                        <w:t>written</w:t>
                      </w:r>
                      <w:r>
                        <w:rPr>
                          <w:color w:val="231F20"/>
                          <w:spacing w:val="-1"/>
                        </w:rPr>
                        <w:t xml:space="preserve"> </w:t>
                      </w:r>
                      <w:r>
                        <w:rPr>
                          <w:color w:val="231F20"/>
                        </w:rPr>
                        <w:t>abou</w:t>
                      </w:r>
                      <w:r>
                        <w:rPr>
                          <w:color w:val="231F20"/>
                        </w:rPr>
                        <w:t>t</w:t>
                      </w:r>
                      <w:r>
                        <w:rPr>
                          <w:color w:val="231F20"/>
                          <w:spacing w:val="-1"/>
                        </w:rPr>
                        <w:t xml:space="preserve"> </w:t>
                      </w:r>
                      <w:r>
                        <w:rPr>
                          <w:color w:val="231F20"/>
                        </w:rPr>
                        <w:t>participation</w:t>
                      </w:r>
                      <w:r>
                        <w:rPr>
                          <w:color w:val="231F20"/>
                          <w:spacing w:val="-1"/>
                        </w:rPr>
                        <w:t xml:space="preserve"> </w:t>
                      </w:r>
                      <w:r>
                        <w:rPr>
                          <w:color w:val="231F20"/>
                        </w:rPr>
                        <w:t>events,</w:t>
                      </w:r>
                      <w:r>
                        <w:rPr>
                          <w:color w:val="231F20"/>
                          <w:spacing w:val="-1"/>
                        </w:rPr>
                        <w:t xml:space="preserve"> </w:t>
                      </w:r>
                      <w:r>
                        <w:rPr>
                          <w:color w:val="231F20"/>
                        </w:rPr>
                        <w:t xml:space="preserve">50% </w:t>
                      </w:r>
                      <w:r>
                        <w:rPr>
                          <w:color w:val="231F20"/>
                          <w:w w:val="95"/>
                        </w:rPr>
                        <w:t>on</w:t>
                      </w:r>
                      <w:r>
                        <w:rPr>
                          <w:color w:val="231F20"/>
                          <w:spacing w:val="12"/>
                        </w:rPr>
                        <w:t xml:space="preserve"> </w:t>
                      </w:r>
                      <w:r>
                        <w:rPr>
                          <w:color w:val="231F20"/>
                          <w:w w:val="95"/>
                        </w:rPr>
                        <w:t>spectator</w:t>
                      </w:r>
                      <w:r>
                        <w:rPr>
                          <w:color w:val="231F20"/>
                          <w:spacing w:val="13"/>
                        </w:rPr>
                        <w:t xml:space="preserve"> </w:t>
                      </w:r>
                      <w:r>
                        <w:rPr>
                          <w:color w:val="231F20"/>
                          <w:w w:val="95"/>
                        </w:rPr>
                        <w:t>events,</w:t>
                      </w:r>
                      <w:r>
                        <w:rPr>
                          <w:color w:val="231F20"/>
                          <w:spacing w:val="12"/>
                        </w:rPr>
                        <w:t xml:space="preserve"> </w:t>
                      </w:r>
                      <w:r>
                        <w:rPr>
                          <w:color w:val="231F20"/>
                          <w:w w:val="95"/>
                        </w:rPr>
                        <w:t>5%</w:t>
                      </w:r>
                      <w:r>
                        <w:rPr>
                          <w:color w:val="231F20"/>
                          <w:spacing w:val="13"/>
                        </w:rPr>
                        <w:t xml:space="preserve"> </w:t>
                      </w:r>
                      <w:r>
                        <w:rPr>
                          <w:color w:val="231F20"/>
                          <w:w w:val="95"/>
                        </w:rPr>
                        <w:t>on</w:t>
                      </w:r>
                      <w:r>
                        <w:rPr>
                          <w:color w:val="231F20"/>
                          <w:spacing w:val="13"/>
                        </w:rPr>
                        <w:t xml:space="preserve"> </w:t>
                      </w:r>
                      <w:r>
                        <w:rPr>
                          <w:color w:val="231F20"/>
                          <w:w w:val="95"/>
                        </w:rPr>
                        <w:t>active</w:t>
                      </w:r>
                      <w:r>
                        <w:rPr>
                          <w:color w:val="231F20"/>
                          <w:spacing w:val="12"/>
                        </w:rPr>
                        <w:t xml:space="preserve"> </w:t>
                      </w:r>
                      <w:r>
                        <w:rPr>
                          <w:color w:val="231F20"/>
                          <w:w w:val="95"/>
                        </w:rPr>
                        <w:t>sport</w:t>
                      </w:r>
                      <w:r>
                        <w:rPr>
                          <w:color w:val="231F20"/>
                          <w:spacing w:val="13"/>
                        </w:rPr>
                        <w:t xml:space="preserve"> </w:t>
                      </w:r>
                      <w:r>
                        <w:rPr>
                          <w:color w:val="231F20"/>
                          <w:w w:val="95"/>
                        </w:rPr>
                        <w:t>and</w:t>
                      </w:r>
                      <w:r>
                        <w:rPr>
                          <w:color w:val="231F20"/>
                          <w:spacing w:val="12"/>
                        </w:rPr>
                        <w:t xml:space="preserve"> </w:t>
                      </w:r>
                      <w:r>
                        <w:rPr>
                          <w:color w:val="231F20"/>
                          <w:w w:val="95"/>
                        </w:rPr>
                        <w:t>10%</w:t>
                      </w:r>
                      <w:r>
                        <w:rPr>
                          <w:color w:val="231F20"/>
                          <w:spacing w:val="13"/>
                        </w:rPr>
                        <w:t xml:space="preserve"> </w:t>
                      </w:r>
                      <w:r>
                        <w:rPr>
                          <w:color w:val="231F20"/>
                          <w:w w:val="95"/>
                        </w:rPr>
                        <w:t>on</w:t>
                      </w:r>
                      <w:r>
                        <w:rPr>
                          <w:color w:val="231F20"/>
                          <w:spacing w:val="13"/>
                        </w:rPr>
                        <w:t xml:space="preserve"> </w:t>
                      </w:r>
                      <w:r>
                        <w:rPr>
                          <w:color w:val="231F20"/>
                          <w:w w:val="95"/>
                        </w:rPr>
                        <w:t>heritage</w:t>
                      </w:r>
                      <w:r>
                        <w:rPr>
                          <w:color w:val="231F20"/>
                          <w:spacing w:val="12"/>
                        </w:rPr>
                        <w:t xml:space="preserve"> </w:t>
                      </w:r>
                      <w:r>
                        <w:rPr>
                          <w:color w:val="231F20"/>
                          <w:w w:val="95"/>
                        </w:rPr>
                        <w:t>sport.</w:t>
                      </w:r>
                      <w:r>
                        <w:rPr>
                          <w:color w:val="231F20"/>
                          <w:spacing w:val="13"/>
                        </w:rPr>
                        <w:t xml:space="preserve"> </w:t>
                      </w:r>
                      <w:r>
                        <w:rPr>
                          <w:color w:val="231F20"/>
                          <w:spacing w:val="-5"/>
                          <w:w w:val="95"/>
                        </w:rPr>
                        <w:t>An</w:t>
                      </w:r>
                    </w:p>
                  </w:txbxContent>
                </v:textbox>
                <w10:wrap type="topAndBottom" anchorx="page"/>
              </v:shape>
            </w:pict>
          </mc:Fallback>
        </mc:AlternateContent>
      </w:r>
    </w:p>
    <w:p w14:paraId="2F06DB7B" w14:textId="77777777" w:rsidR="00AE0598" w:rsidRDefault="00AE0598">
      <w:pPr>
        <w:sectPr w:rsidR="00AE0598">
          <w:pgSz w:w="8850" w:h="13270"/>
          <w:pgMar w:top="720" w:right="1080" w:bottom="280" w:left="1080" w:header="720" w:footer="720" w:gutter="0"/>
          <w:cols w:space="720"/>
        </w:sectPr>
      </w:pPr>
    </w:p>
    <w:p w14:paraId="351EBD00" w14:textId="77777777" w:rsidR="00AE0598" w:rsidRDefault="0069255A">
      <w:pPr>
        <w:spacing w:before="87"/>
        <w:ind w:right="108"/>
        <w:jc w:val="right"/>
        <w:rPr>
          <w:rFonts w:ascii="Trebuchet MS"/>
          <w:sz w:val="14"/>
        </w:rPr>
      </w:pPr>
      <w:r>
        <w:rPr>
          <w:rFonts w:ascii="Trebuchet MS"/>
          <w:color w:val="231F20"/>
          <w:w w:val="105"/>
          <w:sz w:val="14"/>
        </w:rPr>
        <w:lastRenderedPageBreak/>
        <w:t>The</w:t>
      </w:r>
      <w:r>
        <w:rPr>
          <w:rFonts w:ascii="Trebuchet MS"/>
          <w:color w:val="231F20"/>
          <w:spacing w:val="-9"/>
          <w:w w:val="105"/>
          <w:sz w:val="14"/>
        </w:rPr>
        <w:t xml:space="preserve"> </w:t>
      </w:r>
      <w:r>
        <w:rPr>
          <w:rFonts w:ascii="Trebuchet MS"/>
          <w:color w:val="231F20"/>
          <w:w w:val="105"/>
          <w:sz w:val="14"/>
        </w:rPr>
        <w:t>Study</w:t>
      </w:r>
      <w:r>
        <w:rPr>
          <w:rFonts w:ascii="Trebuchet MS"/>
          <w:color w:val="231F20"/>
          <w:spacing w:val="-8"/>
          <w:w w:val="105"/>
          <w:sz w:val="14"/>
        </w:rPr>
        <w:t xml:space="preserve"> </w:t>
      </w:r>
      <w:r>
        <w:rPr>
          <w:rFonts w:ascii="Trebuchet MS"/>
          <w:color w:val="231F20"/>
          <w:w w:val="105"/>
          <w:sz w:val="14"/>
        </w:rPr>
        <w:t>of</w:t>
      </w:r>
      <w:r>
        <w:rPr>
          <w:rFonts w:ascii="Trebuchet MS"/>
          <w:color w:val="231F20"/>
          <w:spacing w:val="-9"/>
          <w:w w:val="105"/>
          <w:sz w:val="14"/>
        </w:rPr>
        <w:t xml:space="preserve"> </w:t>
      </w:r>
      <w:r>
        <w:rPr>
          <w:rFonts w:ascii="Trebuchet MS"/>
          <w:color w:val="231F20"/>
          <w:w w:val="105"/>
          <w:sz w:val="14"/>
        </w:rPr>
        <w:t>Sport</w:t>
      </w:r>
      <w:r>
        <w:rPr>
          <w:rFonts w:ascii="Trebuchet MS"/>
          <w:color w:val="231F20"/>
          <w:spacing w:val="-8"/>
          <w:w w:val="105"/>
          <w:sz w:val="14"/>
        </w:rPr>
        <w:t xml:space="preserve"> </w:t>
      </w:r>
      <w:r>
        <w:rPr>
          <w:rFonts w:ascii="Trebuchet MS"/>
          <w:color w:val="231F20"/>
          <w:w w:val="105"/>
          <w:sz w:val="14"/>
        </w:rPr>
        <w:t>Tourism</w:t>
      </w:r>
      <w:r>
        <w:rPr>
          <w:rFonts w:ascii="Trebuchet MS"/>
          <w:color w:val="231F20"/>
          <w:spacing w:val="68"/>
          <w:w w:val="150"/>
          <w:sz w:val="14"/>
        </w:rPr>
        <w:t xml:space="preserve"> </w:t>
      </w:r>
      <w:r>
        <w:rPr>
          <w:rFonts w:ascii="Trebuchet MS"/>
          <w:color w:val="231F20"/>
          <w:spacing w:val="-5"/>
          <w:w w:val="105"/>
          <w:sz w:val="14"/>
        </w:rPr>
        <w:t>33</w:t>
      </w:r>
    </w:p>
    <w:p w14:paraId="77456F21" w14:textId="1404F843" w:rsidR="00AE0598" w:rsidRDefault="0069255A">
      <w:pPr>
        <w:pStyle w:val="Corpodetexto"/>
        <w:spacing w:before="6"/>
        <w:rPr>
          <w:rFonts w:ascii="Trebuchet MS"/>
          <w:sz w:val="27"/>
        </w:rPr>
      </w:pPr>
      <w:r>
        <w:rPr>
          <w:noProof/>
        </w:rPr>
        <mc:AlternateContent>
          <mc:Choice Requires="wps">
            <w:drawing>
              <wp:anchor distT="0" distB="0" distL="0" distR="0" simplePos="0" relativeHeight="487602176" behindDoc="1" locked="0" layoutInCell="1" allowOverlap="1" wp14:anchorId="393847F0" wp14:editId="023A5CC1">
                <wp:simplePos x="0" y="0"/>
                <wp:positionH relativeFrom="page">
                  <wp:posOffset>755650</wp:posOffset>
                </wp:positionH>
                <wp:positionV relativeFrom="paragraph">
                  <wp:posOffset>218440</wp:posOffset>
                </wp:positionV>
                <wp:extent cx="4104005" cy="2618105"/>
                <wp:effectExtent l="0" t="0" r="0" b="0"/>
                <wp:wrapTopAndBottom/>
                <wp:docPr id="314" name="docshape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04005" cy="2618105"/>
                        </a:xfrm>
                        <a:prstGeom prst="rect">
                          <a:avLst/>
                        </a:prstGeom>
                        <a:solidFill>
                          <a:srgbClr val="DCDDD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CEC75F3" w14:textId="77777777" w:rsidR="00AE0598" w:rsidRDefault="0069255A">
                            <w:pPr>
                              <w:pStyle w:val="Corpodetexto"/>
                              <w:spacing w:before="73" w:line="232" w:lineRule="auto"/>
                              <w:ind w:left="113" w:right="108"/>
                              <w:jc w:val="both"/>
                              <w:rPr>
                                <w:color w:val="000000"/>
                              </w:rPr>
                            </w:pPr>
                            <w:r>
                              <w:rPr>
                                <w:color w:val="231F20"/>
                                <w:w w:val="95"/>
                              </w:rPr>
                              <w:t>analysis of the literature addressing the concept of sustainability showed that domestic sport tourists attending participant-based events tended</w:t>
                            </w:r>
                            <w:r>
                              <w:rPr>
                                <w:color w:val="231F20"/>
                                <w:spacing w:val="80"/>
                              </w:rPr>
                              <w:t xml:space="preserve"> </w:t>
                            </w:r>
                            <w:r>
                              <w:rPr>
                                <w:color w:val="231F20"/>
                                <w:w w:val="95"/>
                              </w:rPr>
                              <w:t xml:space="preserve">to spend less than general tourists (Nogawa </w:t>
                            </w:r>
                            <w:r>
                              <w:rPr>
                                <w:i/>
                                <w:color w:val="231F20"/>
                                <w:w w:val="95"/>
                              </w:rPr>
                              <w:t>et al</w:t>
                            </w:r>
                            <w:r>
                              <w:rPr>
                                <w:color w:val="231F20"/>
                                <w:w w:val="95"/>
                              </w:rPr>
                              <w:t>., 1996) and questioned the</w:t>
                            </w:r>
                            <w:r>
                              <w:rPr>
                                <w:color w:val="231F20"/>
                                <w:spacing w:val="-4"/>
                                <w:w w:val="95"/>
                              </w:rPr>
                              <w:t xml:space="preserve"> </w:t>
                            </w:r>
                            <w:r>
                              <w:rPr>
                                <w:color w:val="231F20"/>
                                <w:w w:val="95"/>
                              </w:rPr>
                              <w:t>assumptions</w:t>
                            </w:r>
                            <w:r>
                              <w:rPr>
                                <w:color w:val="231F20"/>
                                <w:spacing w:val="-4"/>
                                <w:w w:val="95"/>
                              </w:rPr>
                              <w:t xml:space="preserve"> </w:t>
                            </w:r>
                            <w:r>
                              <w:rPr>
                                <w:color w:val="231F20"/>
                                <w:w w:val="95"/>
                              </w:rPr>
                              <w:t>that</w:t>
                            </w:r>
                            <w:r>
                              <w:rPr>
                                <w:color w:val="231F20"/>
                                <w:spacing w:val="-4"/>
                                <w:w w:val="95"/>
                              </w:rPr>
                              <w:t xml:space="preserve"> </w:t>
                            </w:r>
                            <w:r>
                              <w:rPr>
                                <w:color w:val="231F20"/>
                                <w:w w:val="95"/>
                              </w:rPr>
                              <w:t>there</w:t>
                            </w:r>
                            <w:r>
                              <w:rPr>
                                <w:color w:val="231F20"/>
                                <w:spacing w:val="-4"/>
                                <w:w w:val="95"/>
                              </w:rPr>
                              <w:t xml:space="preserve"> </w:t>
                            </w:r>
                            <w:r>
                              <w:rPr>
                                <w:color w:val="231F20"/>
                                <w:w w:val="95"/>
                              </w:rPr>
                              <w:t>was</w:t>
                            </w:r>
                            <w:r>
                              <w:rPr>
                                <w:color w:val="231F20"/>
                                <w:spacing w:val="-4"/>
                                <w:w w:val="95"/>
                              </w:rPr>
                              <w:t xml:space="preserve"> </w:t>
                            </w:r>
                            <w:r>
                              <w:rPr>
                                <w:color w:val="231F20"/>
                                <w:w w:val="95"/>
                              </w:rPr>
                              <w:t>a</w:t>
                            </w:r>
                            <w:r>
                              <w:rPr>
                                <w:color w:val="231F20"/>
                                <w:spacing w:val="-4"/>
                                <w:w w:val="95"/>
                              </w:rPr>
                              <w:t xml:space="preserve"> </w:t>
                            </w:r>
                            <w:r>
                              <w:rPr>
                                <w:color w:val="231F20"/>
                                <w:w w:val="95"/>
                              </w:rPr>
                              <w:t>substantial</w:t>
                            </w:r>
                            <w:r>
                              <w:rPr>
                                <w:color w:val="231F20"/>
                                <w:spacing w:val="-4"/>
                                <w:w w:val="95"/>
                              </w:rPr>
                              <w:t xml:space="preserve"> </w:t>
                            </w:r>
                            <w:r>
                              <w:rPr>
                                <w:color w:val="231F20"/>
                                <w:w w:val="95"/>
                              </w:rPr>
                              <w:t>economic</w:t>
                            </w:r>
                            <w:r>
                              <w:rPr>
                                <w:color w:val="231F20"/>
                                <w:spacing w:val="-4"/>
                                <w:w w:val="95"/>
                              </w:rPr>
                              <w:t xml:space="preserve"> </w:t>
                            </w:r>
                            <w:r>
                              <w:rPr>
                                <w:color w:val="231F20"/>
                                <w:w w:val="95"/>
                              </w:rPr>
                              <w:t>benefit</w:t>
                            </w:r>
                            <w:r>
                              <w:rPr>
                                <w:color w:val="231F20"/>
                                <w:spacing w:val="-4"/>
                                <w:w w:val="95"/>
                              </w:rPr>
                              <w:t xml:space="preserve"> </w:t>
                            </w:r>
                            <w:r>
                              <w:rPr>
                                <w:color w:val="231F20"/>
                                <w:w w:val="95"/>
                              </w:rPr>
                              <w:t xml:space="preserve">associated </w:t>
                            </w:r>
                            <w:r>
                              <w:rPr>
                                <w:color w:val="231F20"/>
                              </w:rPr>
                              <w:t>with major spectator events (Manzenreiter, 2008). Several studies examined</w:t>
                            </w:r>
                            <w:r>
                              <w:rPr>
                                <w:color w:val="231F20"/>
                                <w:spacing w:val="-1"/>
                              </w:rPr>
                              <w:t xml:space="preserve"> </w:t>
                            </w:r>
                            <w:r>
                              <w:rPr>
                                <w:color w:val="231F20"/>
                              </w:rPr>
                              <w:t>the social</w:t>
                            </w:r>
                            <w:r>
                              <w:rPr>
                                <w:color w:val="231F20"/>
                                <w:spacing w:val="-1"/>
                              </w:rPr>
                              <w:t xml:space="preserve"> </w:t>
                            </w:r>
                            <w:r>
                              <w:rPr>
                                <w:color w:val="231F20"/>
                              </w:rPr>
                              <w:t>and cultural</w:t>
                            </w:r>
                            <w:r>
                              <w:rPr>
                                <w:color w:val="231F20"/>
                                <w:spacing w:val="-1"/>
                              </w:rPr>
                              <w:t xml:space="preserve"> </w:t>
                            </w:r>
                            <w:r>
                              <w:rPr>
                                <w:color w:val="231F20"/>
                              </w:rPr>
                              <w:t>impacts of</w:t>
                            </w:r>
                            <w:r>
                              <w:rPr>
                                <w:color w:val="231F20"/>
                                <w:spacing w:val="-1"/>
                              </w:rPr>
                              <w:t xml:space="preserve"> </w:t>
                            </w:r>
                            <w:r>
                              <w:rPr>
                                <w:color w:val="231F20"/>
                              </w:rPr>
                              <w:t>sport tourism with</w:t>
                            </w:r>
                            <w:r>
                              <w:rPr>
                                <w:color w:val="231F20"/>
                                <w:spacing w:val="-1"/>
                              </w:rPr>
                              <w:t xml:space="preserve"> </w:t>
                            </w:r>
                            <w:r>
                              <w:rPr>
                                <w:color w:val="231F20"/>
                              </w:rPr>
                              <w:t>one of the</w:t>
                            </w:r>
                            <w:r>
                              <w:rPr>
                                <w:color w:val="231F20"/>
                                <w:spacing w:val="-10"/>
                              </w:rPr>
                              <w:t xml:space="preserve"> </w:t>
                            </w:r>
                            <w:r>
                              <w:rPr>
                                <w:color w:val="231F20"/>
                              </w:rPr>
                              <w:t>key</w:t>
                            </w:r>
                            <w:r>
                              <w:rPr>
                                <w:color w:val="231F20"/>
                                <w:spacing w:val="-10"/>
                              </w:rPr>
                              <w:t xml:space="preserve"> </w:t>
                            </w:r>
                            <w:r>
                              <w:rPr>
                                <w:color w:val="231F20"/>
                              </w:rPr>
                              <w:t>findings</w:t>
                            </w:r>
                            <w:r>
                              <w:rPr>
                                <w:color w:val="231F20"/>
                                <w:spacing w:val="-10"/>
                              </w:rPr>
                              <w:t xml:space="preserve"> </w:t>
                            </w:r>
                            <w:r>
                              <w:rPr>
                                <w:color w:val="231F20"/>
                              </w:rPr>
                              <w:t>being</w:t>
                            </w:r>
                            <w:r>
                              <w:rPr>
                                <w:color w:val="231F20"/>
                                <w:spacing w:val="-10"/>
                              </w:rPr>
                              <w:t xml:space="preserve"> </w:t>
                            </w:r>
                            <w:r>
                              <w:rPr>
                                <w:color w:val="231F20"/>
                              </w:rPr>
                              <w:t>that</w:t>
                            </w:r>
                            <w:r>
                              <w:rPr>
                                <w:color w:val="231F20"/>
                                <w:spacing w:val="-10"/>
                              </w:rPr>
                              <w:t xml:space="preserve"> </w:t>
                            </w:r>
                            <w:r>
                              <w:rPr>
                                <w:color w:val="231F20"/>
                              </w:rPr>
                              <w:t>the</w:t>
                            </w:r>
                            <w:r>
                              <w:rPr>
                                <w:color w:val="231F20"/>
                                <w:spacing w:val="-10"/>
                              </w:rPr>
                              <w:t xml:space="preserve"> </w:t>
                            </w:r>
                            <w:r>
                              <w:rPr>
                                <w:color w:val="231F20"/>
                              </w:rPr>
                              <w:t>bidding</w:t>
                            </w:r>
                            <w:r>
                              <w:rPr>
                                <w:color w:val="231F20"/>
                                <w:spacing w:val="-10"/>
                              </w:rPr>
                              <w:t xml:space="preserve"> </w:t>
                            </w:r>
                            <w:r>
                              <w:rPr>
                                <w:color w:val="231F20"/>
                              </w:rPr>
                              <w:t>process</w:t>
                            </w:r>
                            <w:r>
                              <w:rPr>
                                <w:color w:val="231F20"/>
                                <w:spacing w:val="-10"/>
                              </w:rPr>
                              <w:t xml:space="preserve"> </w:t>
                            </w:r>
                            <w:r>
                              <w:rPr>
                                <w:color w:val="231F20"/>
                              </w:rPr>
                              <w:t>for</w:t>
                            </w:r>
                            <w:r>
                              <w:rPr>
                                <w:color w:val="231F20"/>
                                <w:spacing w:val="-10"/>
                              </w:rPr>
                              <w:t xml:space="preserve"> </w:t>
                            </w:r>
                            <w:r>
                              <w:rPr>
                                <w:color w:val="231F20"/>
                              </w:rPr>
                              <w:t>the</w:t>
                            </w:r>
                            <w:r>
                              <w:rPr>
                                <w:color w:val="231F20"/>
                                <w:spacing w:val="-10"/>
                              </w:rPr>
                              <w:t xml:space="preserve"> </w:t>
                            </w:r>
                            <w:r>
                              <w:rPr>
                                <w:color w:val="231F20"/>
                              </w:rPr>
                              <w:t>Tokyo</w:t>
                            </w:r>
                            <w:r>
                              <w:rPr>
                                <w:color w:val="231F20"/>
                                <w:spacing w:val="-10"/>
                              </w:rPr>
                              <w:t xml:space="preserve"> </w:t>
                            </w:r>
                            <w:r>
                              <w:rPr>
                                <w:color w:val="231F20"/>
                              </w:rPr>
                              <w:t xml:space="preserve">Olympics fostered </w:t>
                            </w:r>
                            <w:r>
                              <w:rPr>
                                <w:color w:val="231F20"/>
                              </w:rPr>
                              <w:t xml:space="preserve">a strong link between sport and national identity (Shimizu, 2014). Studies that focused on the environmental impacts of sport </w:t>
                            </w:r>
                            <w:r>
                              <w:rPr>
                                <w:color w:val="231F20"/>
                                <w:w w:val="95"/>
                              </w:rPr>
                              <w:t xml:space="preserve">tourism were rare but the country’s natural resource base was seen as a </w:t>
                            </w:r>
                            <w:r>
                              <w:rPr>
                                <w:color w:val="231F20"/>
                              </w:rPr>
                              <w:t>major</w:t>
                            </w:r>
                            <w:r>
                              <w:rPr>
                                <w:color w:val="231F20"/>
                                <w:spacing w:val="-3"/>
                              </w:rPr>
                              <w:t xml:space="preserve"> </w:t>
                            </w:r>
                            <w:r>
                              <w:rPr>
                                <w:color w:val="231F20"/>
                              </w:rPr>
                              <w:t>asset</w:t>
                            </w:r>
                            <w:r>
                              <w:rPr>
                                <w:color w:val="231F20"/>
                                <w:spacing w:val="-3"/>
                              </w:rPr>
                              <w:t xml:space="preserve"> </w:t>
                            </w:r>
                            <w:r>
                              <w:rPr>
                                <w:color w:val="231F20"/>
                              </w:rPr>
                              <w:t>(Harada,</w:t>
                            </w:r>
                            <w:r>
                              <w:rPr>
                                <w:color w:val="231F20"/>
                                <w:spacing w:val="-4"/>
                              </w:rPr>
                              <w:t xml:space="preserve"> </w:t>
                            </w:r>
                            <w:r>
                              <w:rPr>
                                <w:color w:val="231F20"/>
                              </w:rPr>
                              <w:t>2016),</w:t>
                            </w:r>
                            <w:r>
                              <w:rPr>
                                <w:color w:val="231F20"/>
                                <w:spacing w:val="-4"/>
                              </w:rPr>
                              <w:t xml:space="preserve"> </w:t>
                            </w:r>
                            <w:r>
                              <w:rPr>
                                <w:color w:val="231F20"/>
                              </w:rPr>
                              <w:t>although</w:t>
                            </w:r>
                            <w:r>
                              <w:rPr>
                                <w:color w:val="231F20"/>
                                <w:spacing w:val="-4"/>
                              </w:rPr>
                              <w:t xml:space="preserve"> </w:t>
                            </w:r>
                            <w:r>
                              <w:rPr>
                                <w:color w:val="231F20"/>
                              </w:rPr>
                              <w:t>it</w:t>
                            </w:r>
                            <w:r>
                              <w:rPr>
                                <w:color w:val="231F20"/>
                                <w:spacing w:val="-4"/>
                              </w:rPr>
                              <w:t xml:space="preserve"> </w:t>
                            </w:r>
                            <w:r>
                              <w:rPr>
                                <w:color w:val="231F20"/>
                              </w:rPr>
                              <w:t>was</w:t>
                            </w:r>
                            <w:r>
                              <w:rPr>
                                <w:color w:val="231F20"/>
                                <w:spacing w:val="-3"/>
                              </w:rPr>
                              <w:t xml:space="preserve"> </w:t>
                            </w:r>
                            <w:r>
                              <w:rPr>
                                <w:color w:val="231F20"/>
                              </w:rPr>
                              <w:t>also</w:t>
                            </w:r>
                            <w:r>
                              <w:rPr>
                                <w:color w:val="231F20"/>
                                <w:spacing w:val="-3"/>
                              </w:rPr>
                              <w:t xml:space="preserve"> </w:t>
                            </w:r>
                            <w:r>
                              <w:rPr>
                                <w:color w:val="231F20"/>
                              </w:rPr>
                              <w:t>noted</w:t>
                            </w:r>
                            <w:r>
                              <w:rPr>
                                <w:color w:val="231F20"/>
                                <w:spacing w:val="-3"/>
                              </w:rPr>
                              <w:t xml:space="preserve"> </w:t>
                            </w:r>
                            <w:r>
                              <w:rPr>
                                <w:color w:val="231F20"/>
                              </w:rPr>
                              <w:t>tha</w:t>
                            </w:r>
                            <w:r>
                              <w:rPr>
                                <w:color w:val="231F20"/>
                              </w:rPr>
                              <w:t>t</w:t>
                            </w:r>
                            <w:r>
                              <w:rPr>
                                <w:color w:val="231F20"/>
                                <w:spacing w:val="-4"/>
                              </w:rPr>
                              <w:t xml:space="preserve"> </w:t>
                            </w:r>
                            <w:r>
                              <w:rPr>
                                <w:color w:val="231F20"/>
                              </w:rPr>
                              <w:t>some</w:t>
                            </w:r>
                            <w:r>
                              <w:rPr>
                                <w:color w:val="231F20"/>
                                <w:spacing w:val="-3"/>
                              </w:rPr>
                              <w:t xml:space="preserve"> </w:t>
                            </w:r>
                            <w:r>
                              <w:rPr>
                                <w:color w:val="231F20"/>
                              </w:rPr>
                              <w:t>eco- sports</w:t>
                            </w:r>
                            <w:r>
                              <w:rPr>
                                <w:color w:val="231F20"/>
                                <w:spacing w:val="-6"/>
                              </w:rPr>
                              <w:t xml:space="preserve"> </w:t>
                            </w:r>
                            <w:r>
                              <w:rPr>
                                <w:color w:val="231F20"/>
                              </w:rPr>
                              <w:t>(e.g.</w:t>
                            </w:r>
                            <w:r>
                              <w:rPr>
                                <w:color w:val="231F20"/>
                                <w:spacing w:val="-6"/>
                              </w:rPr>
                              <w:t xml:space="preserve"> </w:t>
                            </w:r>
                            <w:r>
                              <w:rPr>
                                <w:color w:val="231F20"/>
                              </w:rPr>
                              <w:t>diving)</w:t>
                            </w:r>
                            <w:r>
                              <w:rPr>
                                <w:color w:val="231F20"/>
                                <w:spacing w:val="-6"/>
                              </w:rPr>
                              <w:t xml:space="preserve"> </w:t>
                            </w:r>
                            <w:r>
                              <w:rPr>
                                <w:color w:val="231F20"/>
                              </w:rPr>
                              <w:t>placed</w:t>
                            </w:r>
                            <w:r>
                              <w:rPr>
                                <w:color w:val="231F20"/>
                                <w:spacing w:val="-6"/>
                              </w:rPr>
                              <w:t xml:space="preserve"> </w:t>
                            </w:r>
                            <w:r>
                              <w:rPr>
                                <w:color w:val="231F20"/>
                              </w:rPr>
                              <w:t>a</w:t>
                            </w:r>
                            <w:r>
                              <w:rPr>
                                <w:color w:val="231F20"/>
                                <w:spacing w:val="-6"/>
                              </w:rPr>
                              <w:t xml:space="preserve"> </w:t>
                            </w:r>
                            <w:r>
                              <w:rPr>
                                <w:color w:val="231F20"/>
                              </w:rPr>
                              <w:t>stress</w:t>
                            </w:r>
                            <w:r>
                              <w:rPr>
                                <w:color w:val="231F20"/>
                                <w:spacing w:val="-6"/>
                              </w:rPr>
                              <w:t xml:space="preserve"> </w:t>
                            </w:r>
                            <w:r>
                              <w:rPr>
                                <w:color w:val="231F20"/>
                              </w:rPr>
                              <w:t>on</w:t>
                            </w:r>
                            <w:r>
                              <w:rPr>
                                <w:color w:val="231F20"/>
                                <w:spacing w:val="-6"/>
                              </w:rPr>
                              <w:t xml:space="preserve"> </w:t>
                            </w:r>
                            <w:r>
                              <w:rPr>
                                <w:color w:val="231F20"/>
                              </w:rPr>
                              <w:t>these</w:t>
                            </w:r>
                            <w:r>
                              <w:rPr>
                                <w:color w:val="231F20"/>
                                <w:spacing w:val="-6"/>
                              </w:rPr>
                              <w:t xml:space="preserve"> </w:t>
                            </w:r>
                            <w:r>
                              <w:rPr>
                                <w:color w:val="231F20"/>
                              </w:rPr>
                              <w:t>resources</w:t>
                            </w:r>
                            <w:r>
                              <w:rPr>
                                <w:color w:val="231F20"/>
                                <w:spacing w:val="-6"/>
                              </w:rPr>
                              <w:t xml:space="preserve"> </w:t>
                            </w:r>
                            <w:r>
                              <w:rPr>
                                <w:color w:val="231F20"/>
                              </w:rPr>
                              <w:t>(Murata,</w:t>
                            </w:r>
                            <w:r>
                              <w:rPr>
                                <w:color w:val="231F20"/>
                                <w:spacing w:val="-6"/>
                              </w:rPr>
                              <w:t xml:space="preserve"> </w:t>
                            </w:r>
                            <w:r>
                              <w:rPr>
                                <w:color w:val="231F20"/>
                              </w:rPr>
                              <w:t>2010).</w:t>
                            </w:r>
                          </w:p>
                          <w:p w14:paraId="6675A472" w14:textId="77777777" w:rsidR="00AE0598" w:rsidRDefault="00AE0598">
                            <w:pPr>
                              <w:pStyle w:val="Corpodetexto"/>
                              <w:spacing w:before="2"/>
                              <w:rPr>
                                <w:color w:val="000000"/>
                                <w:sz w:val="22"/>
                              </w:rPr>
                            </w:pPr>
                          </w:p>
                          <w:p w14:paraId="4A3299F5" w14:textId="77777777" w:rsidR="00AE0598" w:rsidRDefault="0069255A">
                            <w:pPr>
                              <w:ind w:left="113"/>
                              <w:jc w:val="both"/>
                              <w:rPr>
                                <w:rFonts w:ascii="Trebuchet MS"/>
                                <w:color w:val="000000"/>
                                <w:sz w:val="20"/>
                              </w:rPr>
                            </w:pPr>
                            <w:r>
                              <w:rPr>
                                <w:rFonts w:ascii="Trebuchet MS"/>
                                <w:color w:val="231F20"/>
                                <w:w w:val="105"/>
                                <w:sz w:val="20"/>
                              </w:rPr>
                              <w:t>Key</w:t>
                            </w:r>
                            <w:r>
                              <w:rPr>
                                <w:rFonts w:ascii="Trebuchet MS"/>
                                <w:color w:val="231F20"/>
                                <w:spacing w:val="-11"/>
                                <w:w w:val="105"/>
                                <w:sz w:val="20"/>
                              </w:rPr>
                              <w:t xml:space="preserve"> </w:t>
                            </w:r>
                            <w:r>
                              <w:rPr>
                                <w:rFonts w:ascii="Trebuchet MS"/>
                                <w:color w:val="231F20"/>
                                <w:spacing w:val="-2"/>
                                <w:w w:val="105"/>
                                <w:sz w:val="20"/>
                              </w:rPr>
                              <w:t>Reading</w:t>
                            </w:r>
                          </w:p>
                          <w:p w14:paraId="12491F1A" w14:textId="77777777" w:rsidR="00AE0598" w:rsidRDefault="0069255A">
                            <w:pPr>
                              <w:spacing w:before="122" w:line="232" w:lineRule="auto"/>
                              <w:ind w:left="113" w:right="111"/>
                              <w:jc w:val="both"/>
                              <w:rPr>
                                <w:color w:val="000000"/>
                                <w:sz w:val="21"/>
                              </w:rPr>
                            </w:pPr>
                            <w:r>
                              <w:rPr>
                                <w:color w:val="231F20"/>
                                <w:w w:val="95"/>
                                <w:sz w:val="21"/>
                              </w:rPr>
                              <w:t xml:space="preserve">Hinch, T. and Ito, E. (2018) Sustainable sport tourism in Japan. </w:t>
                            </w:r>
                            <w:r>
                              <w:rPr>
                                <w:i/>
                                <w:color w:val="231F20"/>
                                <w:w w:val="95"/>
                                <w:sz w:val="21"/>
                              </w:rPr>
                              <w:t xml:space="preserve">Tourism </w:t>
                            </w:r>
                            <w:r>
                              <w:rPr>
                                <w:i/>
                                <w:color w:val="231F20"/>
                                <w:sz w:val="21"/>
                              </w:rPr>
                              <w:t xml:space="preserve">Planning and Development </w:t>
                            </w:r>
                            <w:r>
                              <w:rPr>
                                <w:color w:val="231F20"/>
                                <w:sz w:val="21"/>
                              </w:rPr>
                              <w:t>15 (1), 96–101.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93847F0" id="docshape60" o:spid="_x0000_s1069" type="#_x0000_t202" style="position:absolute;margin-left:59.5pt;margin-top:17.2pt;width:323.15pt;height:206.15pt;z-index:-157143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" fillcolor="#dcddde" stroked="f">
                <v:textbox inset="0,0,0,0">
                  <w:txbxContent>
                    <w:p w14:paraId="0CEC75F3" w14:textId="77777777" w:rsidR="00AE0598" w:rsidRDefault="0069255A">
                      <w:pPr>
                        <w:pStyle w:val="Corpodetexto"/>
                        <w:spacing w:before="73" w:line="232" w:lineRule="auto"/>
                        <w:ind w:left="113" w:right="108"/>
                        <w:jc w:val="both"/>
                        <w:rPr>
                          <w:color w:val="000000"/>
                        </w:rPr>
                      </w:pPr>
                      <w:r>
                        <w:rPr>
                          <w:color w:val="231F20"/>
                          <w:w w:val="95"/>
                        </w:rPr>
                        <w:t>analysis of the literature addressing the concept of sustainability showed that domestic sport tourists attending participant-based events tended</w:t>
                      </w:r>
                      <w:r>
                        <w:rPr>
                          <w:color w:val="231F20"/>
                          <w:spacing w:val="80"/>
                        </w:rPr>
                        <w:t xml:space="preserve"> </w:t>
                      </w:r>
                      <w:r>
                        <w:rPr>
                          <w:color w:val="231F20"/>
                          <w:w w:val="95"/>
                        </w:rPr>
                        <w:t xml:space="preserve">to spend less than general tourists (Nogawa </w:t>
                      </w:r>
                      <w:r>
                        <w:rPr>
                          <w:i/>
                          <w:color w:val="231F20"/>
                          <w:w w:val="95"/>
                        </w:rPr>
                        <w:t>et al</w:t>
                      </w:r>
                      <w:r>
                        <w:rPr>
                          <w:color w:val="231F20"/>
                          <w:w w:val="95"/>
                        </w:rPr>
                        <w:t>., 1996) and questioned the</w:t>
                      </w:r>
                      <w:r>
                        <w:rPr>
                          <w:color w:val="231F20"/>
                          <w:spacing w:val="-4"/>
                          <w:w w:val="95"/>
                        </w:rPr>
                        <w:t xml:space="preserve"> </w:t>
                      </w:r>
                      <w:r>
                        <w:rPr>
                          <w:color w:val="231F20"/>
                          <w:w w:val="95"/>
                        </w:rPr>
                        <w:t>assumptions</w:t>
                      </w:r>
                      <w:r>
                        <w:rPr>
                          <w:color w:val="231F20"/>
                          <w:spacing w:val="-4"/>
                          <w:w w:val="95"/>
                        </w:rPr>
                        <w:t xml:space="preserve"> </w:t>
                      </w:r>
                      <w:r>
                        <w:rPr>
                          <w:color w:val="231F20"/>
                          <w:w w:val="95"/>
                        </w:rPr>
                        <w:t>that</w:t>
                      </w:r>
                      <w:r>
                        <w:rPr>
                          <w:color w:val="231F20"/>
                          <w:spacing w:val="-4"/>
                          <w:w w:val="95"/>
                        </w:rPr>
                        <w:t xml:space="preserve"> </w:t>
                      </w:r>
                      <w:r>
                        <w:rPr>
                          <w:color w:val="231F20"/>
                          <w:w w:val="95"/>
                        </w:rPr>
                        <w:t>there</w:t>
                      </w:r>
                      <w:r>
                        <w:rPr>
                          <w:color w:val="231F20"/>
                          <w:spacing w:val="-4"/>
                          <w:w w:val="95"/>
                        </w:rPr>
                        <w:t xml:space="preserve"> </w:t>
                      </w:r>
                      <w:r>
                        <w:rPr>
                          <w:color w:val="231F20"/>
                          <w:w w:val="95"/>
                        </w:rPr>
                        <w:t>was</w:t>
                      </w:r>
                      <w:r>
                        <w:rPr>
                          <w:color w:val="231F20"/>
                          <w:spacing w:val="-4"/>
                          <w:w w:val="95"/>
                        </w:rPr>
                        <w:t xml:space="preserve"> </w:t>
                      </w:r>
                      <w:r>
                        <w:rPr>
                          <w:color w:val="231F20"/>
                          <w:w w:val="95"/>
                        </w:rPr>
                        <w:t>a</w:t>
                      </w:r>
                      <w:r>
                        <w:rPr>
                          <w:color w:val="231F20"/>
                          <w:spacing w:val="-4"/>
                          <w:w w:val="95"/>
                        </w:rPr>
                        <w:t xml:space="preserve"> </w:t>
                      </w:r>
                      <w:r>
                        <w:rPr>
                          <w:color w:val="231F20"/>
                          <w:w w:val="95"/>
                        </w:rPr>
                        <w:t>substantial</w:t>
                      </w:r>
                      <w:r>
                        <w:rPr>
                          <w:color w:val="231F20"/>
                          <w:spacing w:val="-4"/>
                          <w:w w:val="95"/>
                        </w:rPr>
                        <w:t xml:space="preserve"> </w:t>
                      </w:r>
                      <w:r>
                        <w:rPr>
                          <w:color w:val="231F20"/>
                          <w:w w:val="95"/>
                        </w:rPr>
                        <w:t>economic</w:t>
                      </w:r>
                      <w:r>
                        <w:rPr>
                          <w:color w:val="231F20"/>
                          <w:spacing w:val="-4"/>
                          <w:w w:val="95"/>
                        </w:rPr>
                        <w:t xml:space="preserve"> </w:t>
                      </w:r>
                      <w:r>
                        <w:rPr>
                          <w:color w:val="231F20"/>
                          <w:w w:val="95"/>
                        </w:rPr>
                        <w:t>benefit</w:t>
                      </w:r>
                      <w:r>
                        <w:rPr>
                          <w:color w:val="231F20"/>
                          <w:spacing w:val="-4"/>
                          <w:w w:val="95"/>
                        </w:rPr>
                        <w:t xml:space="preserve"> </w:t>
                      </w:r>
                      <w:r>
                        <w:rPr>
                          <w:color w:val="231F20"/>
                          <w:w w:val="95"/>
                        </w:rPr>
                        <w:t xml:space="preserve">associated </w:t>
                      </w:r>
                      <w:r>
                        <w:rPr>
                          <w:color w:val="231F20"/>
                        </w:rPr>
                        <w:t>with major spectator events (Manzenreiter, 2008). Several studies examined</w:t>
                      </w:r>
                      <w:r>
                        <w:rPr>
                          <w:color w:val="231F20"/>
                          <w:spacing w:val="-1"/>
                        </w:rPr>
                        <w:t xml:space="preserve"> </w:t>
                      </w:r>
                      <w:r>
                        <w:rPr>
                          <w:color w:val="231F20"/>
                        </w:rPr>
                        <w:t>the social</w:t>
                      </w:r>
                      <w:r>
                        <w:rPr>
                          <w:color w:val="231F20"/>
                          <w:spacing w:val="-1"/>
                        </w:rPr>
                        <w:t xml:space="preserve"> </w:t>
                      </w:r>
                      <w:r>
                        <w:rPr>
                          <w:color w:val="231F20"/>
                        </w:rPr>
                        <w:t>and cultural</w:t>
                      </w:r>
                      <w:r>
                        <w:rPr>
                          <w:color w:val="231F20"/>
                          <w:spacing w:val="-1"/>
                        </w:rPr>
                        <w:t xml:space="preserve"> </w:t>
                      </w:r>
                      <w:r>
                        <w:rPr>
                          <w:color w:val="231F20"/>
                        </w:rPr>
                        <w:t>impacts of</w:t>
                      </w:r>
                      <w:r>
                        <w:rPr>
                          <w:color w:val="231F20"/>
                          <w:spacing w:val="-1"/>
                        </w:rPr>
                        <w:t xml:space="preserve"> </w:t>
                      </w:r>
                      <w:r>
                        <w:rPr>
                          <w:color w:val="231F20"/>
                        </w:rPr>
                        <w:t>sport tourism with</w:t>
                      </w:r>
                      <w:r>
                        <w:rPr>
                          <w:color w:val="231F20"/>
                          <w:spacing w:val="-1"/>
                        </w:rPr>
                        <w:t xml:space="preserve"> </w:t>
                      </w:r>
                      <w:r>
                        <w:rPr>
                          <w:color w:val="231F20"/>
                        </w:rPr>
                        <w:t>one of the</w:t>
                      </w:r>
                      <w:r>
                        <w:rPr>
                          <w:color w:val="231F20"/>
                          <w:spacing w:val="-10"/>
                        </w:rPr>
                        <w:t xml:space="preserve"> </w:t>
                      </w:r>
                      <w:r>
                        <w:rPr>
                          <w:color w:val="231F20"/>
                        </w:rPr>
                        <w:t>key</w:t>
                      </w:r>
                      <w:r>
                        <w:rPr>
                          <w:color w:val="231F20"/>
                          <w:spacing w:val="-10"/>
                        </w:rPr>
                        <w:t xml:space="preserve"> </w:t>
                      </w:r>
                      <w:r>
                        <w:rPr>
                          <w:color w:val="231F20"/>
                        </w:rPr>
                        <w:t>findings</w:t>
                      </w:r>
                      <w:r>
                        <w:rPr>
                          <w:color w:val="231F20"/>
                          <w:spacing w:val="-10"/>
                        </w:rPr>
                        <w:t xml:space="preserve"> </w:t>
                      </w:r>
                      <w:r>
                        <w:rPr>
                          <w:color w:val="231F20"/>
                        </w:rPr>
                        <w:t>being</w:t>
                      </w:r>
                      <w:r>
                        <w:rPr>
                          <w:color w:val="231F20"/>
                          <w:spacing w:val="-10"/>
                        </w:rPr>
                        <w:t xml:space="preserve"> </w:t>
                      </w:r>
                      <w:r>
                        <w:rPr>
                          <w:color w:val="231F20"/>
                        </w:rPr>
                        <w:t>that</w:t>
                      </w:r>
                      <w:r>
                        <w:rPr>
                          <w:color w:val="231F20"/>
                          <w:spacing w:val="-10"/>
                        </w:rPr>
                        <w:t xml:space="preserve"> </w:t>
                      </w:r>
                      <w:r>
                        <w:rPr>
                          <w:color w:val="231F20"/>
                        </w:rPr>
                        <w:t>the</w:t>
                      </w:r>
                      <w:r>
                        <w:rPr>
                          <w:color w:val="231F20"/>
                          <w:spacing w:val="-10"/>
                        </w:rPr>
                        <w:t xml:space="preserve"> </w:t>
                      </w:r>
                      <w:r>
                        <w:rPr>
                          <w:color w:val="231F20"/>
                        </w:rPr>
                        <w:t>bidding</w:t>
                      </w:r>
                      <w:r>
                        <w:rPr>
                          <w:color w:val="231F20"/>
                          <w:spacing w:val="-10"/>
                        </w:rPr>
                        <w:t xml:space="preserve"> </w:t>
                      </w:r>
                      <w:r>
                        <w:rPr>
                          <w:color w:val="231F20"/>
                        </w:rPr>
                        <w:t>process</w:t>
                      </w:r>
                      <w:r>
                        <w:rPr>
                          <w:color w:val="231F20"/>
                          <w:spacing w:val="-10"/>
                        </w:rPr>
                        <w:t xml:space="preserve"> </w:t>
                      </w:r>
                      <w:r>
                        <w:rPr>
                          <w:color w:val="231F20"/>
                        </w:rPr>
                        <w:t>for</w:t>
                      </w:r>
                      <w:r>
                        <w:rPr>
                          <w:color w:val="231F20"/>
                          <w:spacing w:val="-10"/>
                        </w:rPr>
                        <w:t xml:space="preserve"> </w:t>
                      </w:r>
                      <w:r>
                        <w:rPr>
                          <w:color w:val="231F20"/>
                        </w:rPr>
                        <w:t>the</w:t>
                      </w:r>
                      <w:r>
                        <w:rPr>
                          <w:color w:val="231F20"/>
                          <w:spacing w:val="-10"/>
                        </w:rPr>
                        <w:t xml:space="preserve"> </w:t>
                      </w:r>
                      <w:r>
                        <w:rPr>
                          <w:color w:val="231F20"/>
                        </w:rPr>
                        <w:t>Tokyo</w:t>
                      </w:r>
                      <w:r>
                        <w:rPr>
                          <w:color w:val="231F20"/>
                          <w:spacing w:val="-10"/>
                        </w:rPr>
                        <w:t xml:space="preserve"> </w:t>
                      </w:r>
                      <w:r>
                        <w:rPr>
                          <w:color w:val="231F20"/>
                        </w:rPr>
                        <w:t xml:space="preserve">Olympics fostered </w:t>
                      </w:r>
                      <w:r>
                        <w:rPr>
                          <w:color w:val="231F20"/>
                        </w:rPr>
                        <w:t xml:space="preserve">a strong link between sport and national identity (Shimizu, 2014). Studies that focused on the environmental impacts of sport </w:t>
                      </w:r>
                      <w:r>
                        <w:rPr>
                          <w:color w:val="231F20"/>
                          <w:w w:val="95"/>
                        </w:rPr>
                        <w:t xml:space="preserve">tourism were rare but the country’s natural resource base was seen as a </w:t>
                      </w:r>
                      <w:r>
                        <w:rPr>
                          <w:color w:val="231F20"/>
                        </w:rPr>
                        <w:t>major</w:t>
                      </w:r>
                      <w:r>
                        <w:rPr>
                          <w:color w:val="231F20"/>
                          <w:spacing w:val="-3"/>
                        </w:rPr>
                        <w:t xml:space="preserve"> </w:t>
                      </w:r>
                      <w:r>
                        <w:rPr>
                          <w:color w:val="231F20"/>
                        </w:rPr>
                        <w:t>asset</w:t>
                      </w:r>
                      <w:r>
                        <w:rPr>
                          <w:color w:val="231F20"/>
                          <w:spacing w:val="-3"/>
                        </w:rPr>
                        <w:t xml:space="preserve"> </w:t>
                      </w:r>
                      <w:r>
                        <w:rPr>
                          <w:color w:val="231F20"/>
                        </w:rPr>
                        <w:t>(Harada,</w:t>
                      </w:r>
                      <w:r>
                        <w:rPr>
                          <w:color w:val="231F20"/>
                          <w:spacing w:val="-4"/>
                        </w:rPr>
                        <w:t xml:space="preserve"> </w:t>
                      </w:r>
                      <w:r>
                        <w:rPr>
                          <w:color w:val="231F20"/>
                        </w:rPr>
                        <w:t>2016),</w:t>
                      </w:r>
                      <w:r>
                        <w:rPr>
                          <w:color w:val="231F20"/>
                          <w:spacing w:val="-4"/>
                        </w:rPr>
                        <w:t xml:space="preserve"> </w:t>
                      </w:r>
                      <w:r>
                        <w:rPr>
                          <w:color w:val="231F20"/>
                        </w:rPr>
                        <w:t>although</w:t>
                      </w:r>
                      <w:r>
                        <w:rPr>
                          <w:color w:val="231F20"/>
                          <w:spacing w:val="-4"/>
                        </w:rPr>
                        <w:t xml:space="preserve"> </w:t>
                      </w:r>
                      <w:r>
                        <w:rPr>
                          <w:color w:val="231F20"/>
                        </w:rPr>
                        <w:t>it</w:t>
                      </w:r>
                      <w:r>
                        <w:rPr>
                          <w:color w:val="231F20"/>
                          <w:spacing w:val="-4"/>
                        </w:rPr>
                        <w:t xml:space="preserve"> </w:t>
                      </w:r>
                      <w:r>
                        <w:rPr>
                          <w:color w:val="231F20"/>
                        </w:rPr>
                        <w:t>was</w:t>
                      </w:r>
                      <w:r>
                        <w:rPr>
                          <w:color w:val="231F20"/>
                          <w:spacing w:val="-3"/>
                        </w:rPr>
                        <w:t xml:space="preserve"> </w:t>
                      </w:r>
                      <w:r>
                        <w:rPr>
                          <w:color w:val="231F20"/>
                        </w:rPr>
                        <w:t>also</w:t>
                      </w:r>
                      <w:r>
                        <w:rPr>
                          <w:color w:val="231F20"/>
                          <w:spacing w:val="-3"/>
                        </w:rPr>
                        <w:t xml:space="preserve"> </w:t>
                      </w:r>
                      <w:r>
                        <w:rPr>
                          <w:color w:val="231F20"/>
                        </w:rPr>
                        <w:t>noted</w:t>
                      </w:r>
                      <w:r>
                        <w:rPr>
                          <w:color w:val="231F20"/>
                          <w:spacing w:val="-3"/>
                        </w:rPr>
                        <w:t xml:space="preserve"> </w:t>
                      </w:r>
                      <w:r>
                        <w:rPr>
                          <w:color w:val="231F20"/>
                        </w:rPr>
                        <w:t>tha</w:t>
                      </w:r>
                      <w:r>
                        <w:rPr>
                          <w:color w:val="231F20"/>
                        </w:rPr>
                        <w:t>t</w:t>
                      </w:r>
                      <w:r>
                        <w:rPr>
                          <w:color w:val="231F20"/>
                          <w:spacing w:val="-4"/>
                        </w:rPr>
                        <w:t xml:space="preserve"> </w:t>
                      </w:r>
                      <w:r>
                        <w:rPr>
                          <w:color w:val="231F20"/>
                        </w:rPr>
                        <w:t>some</w:t>
                      </w:r>
                      <w:r>
                        <w:rPr>
                          <w:color w:val="231F20"/>
                          <w:spacing w:val="-3"/>
                        </w:rPr>
                        <w:t xml:space="preserve"> </w:t>
                      </w:r>
                      <w:r>
                        <w:rPr>
                          <w:color w:val="231F20"/>
                        </w:rPr>
                        <w:t>eco- sports</w:t>
                      </w:r>
                      <w:r>
                        <w:rPr>
                          <w:color w:val="231F20"/>
                          <w:spacing w:val="-6"/>
                        </w:rPr>
                        <w:t xml:space="preserve"> </w:t>
                      </w:r>
                      <w:r>
                        <w:rPr>
                          <w:color w:val="231F20"/>
                        </w:rPr>
                        <w:t>(e.g.</w:t>
                      </w:r>
                      <w:r>
                        <w:rPr>
                          <w:color w:val="231F20"/>
                          <w:spacing w:val="-6"/>
                        </w:rPr>
                        <w:t xml:space="preserve"> </w:t>
                      </w:r>
                      <w:r>
                        <w:rPr>
                          <w:color w:val="231F20"/>
                        </w:rPr>
                        <w:t>diving)</w:t>
                      </w:r>
                      <w:r>
                        <w:rPr>
                          <w:color w:val="231F20"/>
                          <w:spacing w:val="-6"/>
                        </w:rPr>
                        <w:t xml:space="preserve"> </w:t>
                      </w:r>
                      <w:r>
                        <w:rPr>
                          <w:color w:val="231F20"/>
                        </w:rPr>
                        <w:t>placed</w:t>
                      </w:r>
                      <w:r>
                        <w:rPr>
                          <w:color w:val="231F20"/>
                          <w:spacing w:val="-6"/>
                        </w:rPr>
                        <w:t xml:space="preserve"> </w:t>
                      </w:r>
                      <w:r>
                        <w:rPr>
                          <w:color w:val="231F20"/>
                        </w:rPr>
                        <w:t>a</w:t>
                      </w:r>
                      <w:r>
                        <w:rPr>
                          <w:color w:val="231F20"/>
                          <w:spacing w:val="-6"/>
                        </w:rPr>
                        <w:t xml:space="preserve"> </w:t>
                      </w:r>
                      <w:r>
                        <w:rPr>
                          <w:color w:val="231F20"/>
                        </w:rPr>
                        <w:t>stress</w:t>
                      </w:r>
                      <w:r>
                        <w:rPr>
                          <w:color w:val="231F20"/>
                          <w:spacing w:val="-6"/>
                        </w:rPr>
                        <w:t xml:space="preserve"> </w:t>
                      </w:r>
                      <w:r>
                        <w:rPr>
                          <w:color w:val="231F20"/>
                        </w:rPr>
                        <w:t>on</w:t>
                      </w:r>
                      <w:r>
                        <w:rPr>
                          <w:color w:val="231F20"/>
                          <w:spacing w:val="-6"/>
                        </w:rPr>
                        <w:t xml:space="preserve"> </w:t>
                      </w:r>
                      <w:r>
                        <w:rPr>
                          <w:color w:val="231F20"/>
                        </w:rPr>
                        <w:t>these</w:t>
                      </w:r>
                      <w:r>
                        <w:rPr>
                          <w:color w:val="231F20"/>
                          <w:spacing w:val="-6"/>
                        </w:rPr>
                        <w:t xml:space="preserve"> </w:t>
                      </w:r>
                      <w:r>
                        <w:rPr>
                          <w:color w:val="231F20"/>
                        </w:rPr>
                        <w:t>resources</w:t>
                      </w:r>
                      <w:r>
                        <w:rPr>
                          <w:color w:val="231F20"/>
                          <w:spacing w:val="-6"/>
                        </w:rPr>
                        <w:t xml:space="preserve"> </w:t>
                      </w:r>
                      <w:r>
                        <w:rPr>
                          <w:color w:val="231F20"/>
                        </w:rPr>
                        <w:t>(Murata,</w:t>
                      </w:r>
                      <w:r>
                        <w:rPr>
                          <w:color w:val="231F20"/>
                          <w:spacing w:val="-6"/>
                        </w:rPr>
                        <w:t xml:space="preserve"> </w:t>
                      </w:r>
                      <w:r>
                        <w:rPr>
                          <w:color w:val="231F20"/>
                        </w:rPr>
                        <w:t>2010).</w:t>
                      </w:r>
                    </w:p>
                    <w:p w14:paraId="6675A472" w14:textId="77777777" w:rsidR="00AE0598" w:rsidRDefault="00AE0598">
                      <w:pPr>
                        <w:pStyle w:val="Corpodetexto"/>
                        <w:spacing w:before="2"/>
                        <w:rPr>
                          <w:color w:val="000000"/>
                          <w:sz w:val="22"/>
                        </w:rPr>
                      </w:pPr>
                    </w:p>
                    <w:p w14:paraId="4A3299F5" w14:textId="77777777" w:rsidR="00AE0598" w:rsidRDefault="0069255A">
                      <w:pPr>
                        <w:ind w:left="113"/>
                        <w:jc w:val="both"/>
                        <w:rPr>
                          <w:rFonts w:ascii="Trebuchet MS"/>
                          <w:color w:val="000000"/>
                          <w:sz w:val="20"/>
                        </w:rPr>
                      </w:pPr>
                      <w:r>
                        <w:rPr>
                          <w:rFonts w:ascii="Trebuchet MS"/>
                          <w:color w:val="231F20"/>
                          <w:w w:val="105"/>
                          <w:sz w:val="20"/>
                        </w:rPr>
                        <w:t>Key</w:t>
                      </w:r>
                      <w:r>
                        <w:rPr>
                          <w:rFonts w:ascii="Trebuchet MS"/>
                          <w:color w:val="231F20"/>
                          <w:spacing w:val="-11"/>
                          <w:w w:val="105"/>
                          <w:sz w:val="20"/>
                        </w:rPr>
                        <w:t xml:space="preserve"> </w:t>
                      </w:r>
                      <w:r>
                        <w:rPr>
                          <w:rFonts w:ascii="Trebuchet MS"/>
                          <w:color w:val="231F20"/>
                          <w:spacing w:val="-2"/>
                          <w:w w:val="105"/>
                          <w:sz w:val="20"/>
                        </w:rPr>
                        <w:t>Reading</w:t>
                      </w:r>
                    </w:p>
                    <w:p w14:paraId="12491F1A" w14:textId="77777777" w:rsidR="00AE0598" w:rsidRDefault="0069255A">
                      <w:pPr>
                        <w:spacing w:before="122" w:line="232" w:lineRule="auto"/>
                        <w:ind w:left="113" w:right="111"/>
                        <w:jc w:val="both"/>
                        <w:rPr>
                          <w:color w:val="000000"/>
                          <w:sz w:val="21"/>
                        </w:rPr>
                      </w:pPr>
                      <w:r>
                        <w:rPr>
                          <w:color w:val="231F20"/>
                          <w:w w:val="95"/>
                          <w:sz w:val="21"/>
                        </w:rPr>
                        <w:t xml:space="preserve">Hinch, T. and Ito, E. (2018) Sustainable sport tourism in Japan. </w:t>
                      </w:r>
                      <w:r>
                        <w:rPr>
                          <w:i/>
                          <w:color w:val="231F20"/>
                          <w:w w:val="95"/>
                          <w:sz w:val="21"/>
                        </w:rPr>
                        <w:t xml:space="preserve">Tourism </w:t>
                      </w:r>
                      <w:r>
                        <w:rPr>
                          <w:i/>
                          <w:color w:val="231F20"/>
                          <w:sz w:val="21"/>
                        </w:rPr>
                        <w:t xml:space="preserve">Planning and Development </w:t>
                      </w:r>
                      <w:r>
                        <w:rPr>
                          <w:color w:val="231F20"/>
                          <w:sz w:val="21"/>
                        </w:rPr>
                        <w:t>15 (1), 96–101.</w:t>
                      </w:r>
                    </w:p>
                  </w:txbxContent>
                </v:textbox>
                <w10:wrap type="topAndBottom" anchorx="page"/>
              </v:shape>
            </w:pict>
          </mc:Fallback>
        </mc:AlternateContent>
      </w:r>
    </w:p>
    <w:p w14:paraId="3DC545CA" w14:textId="77777777" w:rsidR="00AE0598" w:rsidRDefault="0069255A">
      <w:pPr>
        <w:pStyle w:val="Corpodetexto"/>
        <w:spacing w:before="87" w:line="232" w:lineRule="auto"/>
        <w:ind w:left="110" w:right="106" w:firstLine="320"/>
        <w:jc w:val="both"/>
      </w:pPr>
      <w:r>
        <w:rPr>
          <w:color w:val="231F20"/>
        </w:rPr>
        <w:t>The</w:t>
      </w:r>
      <w:r>
        <w:rPr>
          <w:color w:val="231F20"/>
          <w:spacing w:val="-8"/>
        </w:rPr>
        <w:t xml:space="preserve"> </w:t>
      </w:r>
      <w:r>
        <w:rPr>
          <w:color w:val="231F20"/>
        </w:rPr>
        <w:t>combination</w:t>
      </w:r>
      <w:r>
        <w:rPr>
          <w:color w:val="231F20"/>
          <w:spacing w:val="-8"/>
        </w:rPr>
        <w:t xml:space="preserve"> </w:t>
      </w:r>
      <w:r>
        <w:rPr>
          <w:color w:val="231F20"/>
        </w:rPr>
        <w:t>of</w:t>
      </w:r>
      <w:r>
        <w:rPr>
          <w:color w:val="231F20"/>
          <w:spacing w:val="-8"/>
        </w:rPr>
        <w:t xml:space="preserve"> </w:t>
      </w:r>
      <w:r>
        <w:rPr>
          <w:color w:val="231F20"/>
        </w:rPr>
        <w:t>the</w:t>
      </w:r>
      <w:r>
        <w:rPr>
          <w:color w:val="231F20"/>
          <w:spacing w:val="-8"/>
        </w:rPr>
        <w:t xml:space="preserve"> </w:t>
      </w:r>
      <w:r>
        <w:rPr>
          <w:color w:val="231F20"/>
        </w:rPr>
        <w:t>growing</w:t>
      </w:r>
      <w:r>
        <w:rPr>
          <w:color w:val="231F20"/>
          <w:spacing w:val="-8"/>
        </w:rPr>
        <w:t xml:space="preserve"> </w:t>
      </w:r>
      <w:r>
        <w:rPr>
          <w:color w:val="231F20"/>
        </w:rPr>
        <w:t>opportunities</w:t>
      </w:r>
      <w:r>
        <w:rPr>
          <w:color w:val="231F20"/>
          <w:spacing w:val="-8"/>
        </w:rPr>
        <w:t xml:space="preserve"> </w:t>
      </w:r>
      <w:r>
        <w:rPr>
          <w:color w:val="231F20"/>
        </w:rPr>
        <w:t>for</w:t>
      </w:r>
      <w:r>
        <w:rPr>
          <w:color w:val="231F20"/>
          <w:spacing w:val="-8"/>
        </w:rPr>
        <w:t xml:space="preserve"> </w:t>
      </w:r>
      <w:r>
        <w:rPr>
          <w:color w:val="231F20"/>
        </w:rPr>
        <w:t>employment</w:t>
      </w:r>
      <w:r>
        <w:rPr>
          <w:color w:val="231F20"/>
          <w:spacing w:val="-8"/>
        </w:rPr>
        <w:t xml:space="preserve"> </w:t>
      </w:r>
      <w:r>
        <w:rPr>
          <w:color w:val="231F20"/>
        </w:rPr>
        <w:t>in</w:t>
      </w:r>
      <w:r>
        <w:rPr>
          <w:color w:val="231F20"/>
          <w:spacing w:val="-8"/>
        </w:rPr>
        <w:t xml:space="preserve"> </w:t>
      </w:r>
      <w:r>
        <w:rPr>
          <w:color w:val="231F20"/>
        </w:rPr>
        <w:t>the sport</w:t>
      </w:r>
      <w:r>
        <w:rPr>
          <w:color w:val="231F20"/>
          <w:spacing w:val="-9"/>
        </w:rPr>
        <w:t xml:space="preserve"> </w:t>
      </w:r>
      <w:r>
        <w:rPr>
          <w:color w:val="231F20"/>
        </w:rPr>
        <w:t>tourism</w:t>
      </w:r>
      <w:r>
        <w:rPr>
          <w:color w:val="231F20"/>
          <w:spacing w:val="-9"/>
        </w:rPr>
        <w:t xml:space="preserve"> </w:t>
      </w:r>
      <w:r>
        <w:rPr>
          <w:color w:val="231F20"/>
        </w:rPr>
        <w:t>field</w:t>
      </w:r>
      <w:r>
        <w:rPr>
          <w:color w:val="231F20"/>
          <w:spacing w:val="-9"/>
        </w:rPr>
        <w:t xml:space="preserve"> </w:t>
      </w:r>
      <w:r>
        <w:rPr>
          <w:color w:val="231F20"/>
        </w:rPr>
        <w:t>and</w:t>
      </w:r>
      <w:r>
        <w:rPr>
          <w:color w:val="231F20"/>
          <w:spacing w:val="-9"/>
        </w:rPr>
        <w:t xml:space="preserve"> </w:t>
      </w:r>
      <w:r>
        <w:rPr>
          <w:color w:val="231F20"/>
        </w:rPr>
        <w:t>the</w:t>
      </w:r>
      <w:r>
        <w:rPr>
          <w:color w:val="231F20"/>
          <w:spacing w:val="-9"/>
        </w:rPr>
        <w:t xml:space="preserve"> </w:t>
      </w:r>
      <w:r>
        <w:rPr>
          <w:color w:val="231F20"/>
        </w:rPr>
        <w:t>growing</w:t>
      </w:r>
      <w:r>
        <w:rPr>
          <w:color w:val="231F20"/>
          <w:spacing w:val="-9"/>
        </w:rPr>
        <w:t xml:space="preserve"> </w:t>
      </w:r>
      <w:r>
        <w:rPr>
          <w:color w:val="231F20"/>
        </w:rPr>
        <w:t>scholarship</w:t>
      </w:r>
      <w:r>
        <w:rPr>
          <w:color w:val="231F20"/>
          <w:spacing w:val="-9"/>
        </w:rPr>
        <w:t xml:space="preserve"> </w:t>
      </w:r>
      <w:r>
        <w:rPr>
          <w:color w:val="231F20"/>
        </w:rPr>
        <w:t>in</w:t>
      </w:r>
      <w:r>
        <w:rPr>
          <w:color w:val="231F20"/>
          <w:spacing w:val="-9"/>
        </w:rPr>
        <w:t xml:space="preserve"> </w:t>
      </w:r>
      <w:r>
        <w:rPr>
          <w:color w:val="231F20"/>
        </w:rPr>
        <w:t>this</w:t>
      </w:r>
      <w:r>
        <w:rPr>
          <w:color w:val="231F20"/>
          <w:spacing w:val="-9"/>
        </w:rPr>
        <w:t xml:space="preserve"> </w:t>
      </w:r>
      <w:r>
        <w:rPr>
          <w:color w:val="231F20"/>
        </w:rPr>
        <w:t>area</w:t>
      </w:r>
      <w:r>
        <w:rPr>
          <w:color w:val="231F20"/>
          <w:spacing w:val="-9"/>
        </w:rPr>
        <w:t xml:space="preserve"> </w:t>
      </w:r>
      <w:r>
        <w:rPr>
          <w:color w:val="231F20"/>
        </w:rPr>
        <w:t>has</w:t>
      </w:r>
      <w:r>
        <w:rPr>
          <w:color w:val="231F20"/>
          <w:spacing w:val="-9"/>
        </w:rPr>
        <w:t xml:space="preserve"> </w:t>
      </w:r>
      <w:r>
        <w:rPr>
          <w:color w:val="231F20"/>
        </w:rPr>
        <w:t>created</w:t>
      </w:r>
      <w:r>
        <w:rPr>
          <w:color w:val="231F20"/>
          <w:spacing w:val="-9"/>
        </w:rPr>
        <w:t xml:space="preserve"> </w:t>
      </w:r>
      <w:r>
        <w:rPr>
          <w:color w:val="231F20"/>
        </w:rPr>
        <w:t xml:space="preserve">a </w:t>
      </w:r>
      <w:r>
        <w:rPr>
          <w:color w:val="231F20"/>
          <w:w w:val="95"/>
        </w:rPr>
        <w:t xml:space="preserve">fertile ground for sport tourism curriculum development at post-secondary </w:t>
      </w:r>
      <w:r>
        <w:rPr>
          <w:color w:val="231F20"/>
        </w:rPr>
        <w:t>institutions</w:t>
      </w:r>
      <w:r>
        <w:rPr>
          <w:color w:val="231F20"/>
          <w:spacing w:val="-9"/>
        </w:rPr>
        <w:t xml:space="preserve"> </w:t>
      </w:r>
      <w:r>
        <w:rPr>
          <w:color w:val="231F20"/>
        </w:rPr>
        <w:t>(see</w:t>
      </w:r>
      <w:r>
        <w:rPr>
          <w:color w:val="231F20"/>
          <w:spacing w:val="-9"/>
        </w:rPr>
        <w:t xml:space="preserve"> </w:t>
      </w:r>
      <w:r>
        <w:rPr>
          <w:color w:val="231F20"/>
        </w:rPr>
        <w:t>Case</w:t>
      </w:r>
      <w:r>
        <w:rPr>
          <w:color w:val="231F20"/>
          <w:spacing w:val="-9"/>
        </w:rPr>
        <w:t xml:space="preserve"> </w:t>
      </w:r>
      <w:r>
        <w:rPr>
          <w:color w:val="231F20"/>
        </w:rPr>
        <w:t>Study</w:t>
      </w:r>
      <w:r>
        <w:rPr>
          <w:color w:val="231F20"/>
          <w:spacing w:val="-9"/>
        </w:rPr>
        <w:t xml:space="preserve"> </w:t>
      </w:r>
      <w:r>
        <w:rPr>
          <w:color w:val="231F20"/>
        </w:rPr>
        <w:t>2.1).</w:t>
      </w:r>
      <w:r>
        <w:rPr>
          <w:color w:val="231F20"/>
          <w:spacing w:val="-9"/>
        </w:rPr>
        <w:t xml:space="preserve"> </w:t>
      </w:r>
      <w:r>
        <w:rPr>
          <w:color w:val="231F20"/>
        </w:rPr>
        <w:t>Most</w:t>
      </w:r>
      <w:r>
        <w:rPr>
          <w:color w:val="231F20"/>
          <w:spacing w:val="-9"/>
        </w:rPr>
        <w:t xml:space="preserve"> </w:t>
      </w:r>
      <w:r>
        <w:rPr>
          <w:color w:val="231F20"/>
        </w:rPr>
        <w:t>often,</w:t>
      </w:r>
      <w:r>
        <w:rPr>
          <w:color w:val="231F20"/>
          <w:spacing w:val="-9"/>
        </w:rPr>
        <w:t xml:space="preserve"> </w:t>
      </w:r>
      <w:r>
        <w:rPr>
          <w:color w:val="231F20"/>
        </w:rPr>
        <w:t>such</w:t>
      </w:r>
      <w:r>
        <w:rPr>
          <w:color w:val="231F20"/>
          <w:spacing w:val="-9"/>
        </w:rPr>
        <w:t xml:space="preserve"> </w:t>
      </w:r>
      <w:r>
        <w:rPr>
          <w:color w:val="231F20"/>
        </w:rPr>
        <w:t>curriculum</w:t>
      </w:r>
      <w:r>
        <w:rPr>
          <w:color w:val="231F20"/>
          <w:spacing w:val="-9"/>
        </w:rPr>
        <w:t xml:space="preserve"> </w:t>
      </w:r>
      <w:r>
        <w:rPr>
          <w:color w:val="231F20"/>
        </w:rPr>
        <w:t>is</w:t>
      </w:r>
      <w:r>
        <w:rPr>
          <w:color w:val="231F20"/>
          <w:spacing w:val="-9"/>
        </w:rPr>
        <w:t xml:space="preserve"> </w:t>
      </w:r>
      <w:r>
        <w:rPr>
          <w:color w:val="231F20"/>
        </w:rPr>
        <w:t>built</w:t>
      </w:r>
      <w:r>
        <w:rPr>
          <w:color w:val="231F20"/>
          <w:spacing w:val="-9"/>
        </w:rPr>
        <w:t xml:space="preserve"> </w:t>
      </w:r>
      <w:r>
        <w:rPr>
          <w:color w:val="231F20"/>
        </w:rPr>
        <w:t xml:space="preserve">into </w:t>
      </w:r>
      <w:r>
        <w:rPr>
          <w:color w:val="231F20"/>
          <w:w w:val="90"/>
        </w:rPr>
        <w:t xml:space="preserve">existing courses in tourism or sport. Increasingly, however, it has become the </w:t>
      </w:r>
      <w:r>
        <w:rPr>
          <w:color w:val="231F20"/>
          <w:w w:val="95"/>
        </w:rPr>
        <w:t>focus of independent cours</w:t>
      </w:r>
      <w:r>
        <w:rPr>
          <w:color w:val="231F20"/>
          <w:w w:val="95"/>
        </w:rPr>
        <w:t>es and programmes of study. Such programmes seek a balance between applied knowledge and theory. It is our contention that insight into the growing theoretical foundations of sport tourism will serve students and the field of practice well as graduates wil</w:t>
      </w:r>
      <w:r>
        <w:rPr>
          <w:color w:val="231F20"/>
          <w:w w:val="95"/>
        </w:rPr>
        <w:t xml:space="preserve">l have a better </w:t>
      </w:r>
      <w:r>
        <w:rPr>
          <w:color w:val="231F20"/>
        </w:rPr>
        <w:t>understanding</w:t>
      </w:r>
      <w:r>
        <w:rPr>
          <w:color w:val="231F20"/>
          <w:spacing w:val="-2"/>
        </w:rPr>
        <w:t xml:space="preserve"> </w:t>
      </w:r>
      <w:r>
        <w:rPr>
          <w:color w:val="231F20"/>
        </w:rPr>
        <w:t>of</w:t>
      </w:r>
      <w:r>
        <w:rPr>
          <w:color w:val="231F20"/>
          <w:spacing w:val="-2"/>
        </w:rPr>
        <w:t xml:space="preserve"> </w:t>
      </w:r>
      <w:r>
        <w:rPr>
          <w:color w:val="231F20"/>
        </w:rPr>
        <w:t>how</w:t>
      </w:r>
      <w:r>
        <w:rPr>
          <w:color w:val="231F20"/>
          <w:spacing w:val="-2"/>
        </w:rPr>
        <w:t xml:space="preserve"> </w:t>
      </w:r>
      <w:r>
        <w:rPr>
          <w:color w:val="231F20"/>
        </w:rPr>
        <w:t>and</w:t>
      </w:r>
      <w:r>
        <w:rPr>
          <w:color w:val="231F20"/>
          <w:spacing w:val="-2"/>
        </w:rPr>
        <w:t xml:space="preserve"> </w:t>
      </w:r>
      <w:r>
        <w:rPr>
          <w:color w:val="231F20"/>
        </w:rPr>
        <w:t>why</w:t>
      </w:r>
      <w:r>
        <w:rPr>
          <w:color w:val="231F20"/>
          <w:spacing w:val="-2"/>
        </w:rPr>
        <w:t xml:space="preserve"> </w:t>
      </w:r>
      <w:r>
        <w:rPr>
          <w:color w:val="231F20"/>
        </w:rPr>
        <w:t>sport</w:t>
      </w:r>
      <w:r>
        <w:rPr>
          <w:color w:val="231F20"/>
          <w:spacing w:val="-2"/>
        </w:rPr>
        <w:t xml:space="preserve"> </w:t>
      </w:r>
      <w:r>
        <w:rPr>
          <w:color w:val="231F20"/>
        </w:rPr>
        <w:t>tourism</w:t>
      </w:r>
      <w:r>
        <w:rPr>
          <w:color w:val="231F20"/>
          <w:spacing w:val="-2"/>
        </w:rPr>
        <w:t xml:space="preserve"> </w:t>
      </w:r>
      <w:r>
        <w:rPr>
          <w:color w:val="231F20"/>
        </w:rPr>
        <w:t>development</w:t>
      </w:r>
      <w:r>
        <w:rPr>
          <w:color w:val="231F20"/>
          <w:spacing w:val="-2"/>
        </w:rPr>
        <w:t xml:space="preserve"> </w:t>
      </w:r>
      <w:r>
        <w:rPr>
          <w:color w:val="231F20"/>
        </w:rPr>
        <w:t>occurs.</w:t>
      </w:r>
    </w:p>
    <w:p w14:paraId="54133983" w14:textId="4DFCD469" w:rsidR="00AE0598" w:rsidRDefault="0069255A">
      <w:pPr>
        <w:pStyle w:val="Corpodetexto"/>
        <w:spacing w:before="3"/>
        <w:rPr>
          <w:sz w:val="15"/>
        </w:rPr>
      </w:pPr>
      <w:r>
        <w:rPr>
          <w:noProof/>
        </w:rPr>
        <mc:AlternateContent>
          <mc:Choice Requires="wps">
            <w:drawing>
              <wp:anchor distT="0" distB="0" distL="0" distR="0" simplePos="0" relativeHeight="487602688" behindDoc="1" locked="0" layoutInCell="1" allowOverlap="1" wp14:anchorId="3F2C9223" wp14:editId="78396C4E">
                <wp:simplePos x="0" y="0"/>
                <wp:positionH relativeFrom="page">
                  <wp:posOffset>755650</wp:posOffset>
                </wp:positionH>
                <wp:positionV relativeFrom="paragraph">
                  <wp:posOffset>128905</wp:posOffset>
                </wp:positionV>
                <wp:extent cx="4104005" cy="2484120"/>
                <wp:effectExtent l="0" t="0" r="0" b="0"/>
                <wp:wrapTopAndBottom/>
                <wp:docPr id="313" name="docshape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04005" cy="2484120"/>
                        </a:xfrm>
                        <a:prstGeom prst="rect">
                          <a:avLst/>
                        </a:prstGeom>
                        <a:solidFill>
                          <a:srgbClr val="DCDDD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19A814E" w14:textId="77777777" w:rsidR="00AE0598" w:rsidRDefault="0069255A">
                            <w:pPr>
                              <w:spacing w:before="75" w:line="247" w:lineRule="auto"/>
                              <w:ind w:left="113" w:right="195"/>
                              <w:jc w:val="both"/>
                              <w:rPr>
                                <w:rFonts w:ascii="Trebuchet MS"/>
                                <w:color w:val="000000"/>
                                <w:sz w:val="20"/>
                              </w:rPr>
                            </w:pPr>
                            <w:r>
                              <w:rPr>
                                <w:rFonts w:ascii="Trebuchet MS"/>
                                <w:color w:val="231F20"/>
                                <w:w w:val="105"/>
                                <w:sz w:val="20"/>
                              </w:rPr>
                              <w:t>Case</w:t>
                            </w:r>
                            <w:r>
                              <w:rPr>
                                <w:rFonts w:ascii="Trebuchet MS"/>
                                <w:color w:val="231F20"/>
                                <w:spacing w:val="-11"/>
                                <w:w w:val="105"/>
                                <w:sz w:val="20"/>
                              </w:rPr>
                              <w:t xml:space="preserve"> </w:t>
                            </w:r>
                            <w:r>
                              <w:rPr>
                                <w:rFonts w:ascii="Trebuchet MS"/>
                                <w:color w:val="231F20"/>
                                <w:w w:val="105"/>
                                <w:sz w:val="20"/>
                              </w:rPr>
                              <w:t>Study</w:t>
                            </w:r>
                            <w:r>
                              <w:rPr>
                                <w:rFonts w:ascii="Trebuchet MS"/>
                                <w:color w:val="231F20"/>
                                <w:spacing w:val="-11"/>
                                <w:w w:val="105"/>
                                <w:sz w:val="20"/>
                              </w:rPr>
                              <w:t xml:space="preserve"> </w:t>
                            </w:r>
                            <w:r>
                              <w:rPr>
                                <w:rFonts w:ascii="Trebuchet MS"/>
                                <w:color w:val="231F20"/>
                                <w:w w:val="105"/>
                                <w:sz w:val="20"/>
                              </w:rPr>
                              <w:t>2.1:</w:t>
                            </w:r>
                            <w:r>
                              <w:rPr>
                                <w:rFonts w:ascii="Trebuchet MS"/>
                                <w:color w:val="231F20"/>
                                <w:spacing w:val="-11"/>
                                <w:w w:val="105"/>
                                <w:sz w:val="20"/>
                              </w:rPr>
                              <w:t xml:space="preserve"> </w:t>
                            </w:r>
                            <w:r>
                              <w:rPr>
                                <w:rFonts w:ascii="Trebuchet MS"/>
                                <w:color w:val="231F20"/>
                                <w:w w:val="105"/>
                                <w:sz w:val="20"/>
                              </w:rPr>
                              <w:t>Embedding,</w:t>
                            </w:r>
                            <w:r>
                              <w:rPr>
                                <w:rFonts w:ascii="Trebuchet MS"/>
                                <w:color w:val="231F20"/>
                                <w:spacing w:val="-11"/>
                                <w:w w:val="105"/>
                                <w:sz w:val="20"/>
                              </w:rPr>
                              <w:t xml:space="preserve"> </w:t>
                            </w:r>
                            <w:r>
                              <w:rPr>
                                <w:rFonts w:ascii="Trebuchet MS"/>
                                <w:color w:val="231F20"/>
                                <w:w w:val="105"/>
                                <w:sz w:val="20"/>
                              </w:rPr>
                              <w:t>Enthusing</w:t>
                            </w:r>
                            <w:r>
                              <w:rPr>
                                <w:rFonts w:ascii="Trebuchet MS"/>
                                <w:color w:val="231F20"/>
                                <w:spacing w:val="-11"/>
                                <w:w w:val="105"/>
                                <w:sz w:val="20"/>
                              </w:rPr>
                              <w:t xml:space="preserve"> </w:t>
                            </w:r>
                            <w:r>
                              <w:rPr>
                                <w:rFonts w:ascii="Trebuchet MS"/>
                                <w:color w:val="231F20"/>
                                <w:w w:val="105"/>
                                <w:sz w:val="20"/>
                              </w:rPr>
                              <w:t>and</w:t>
                            </w:r>
                            <w:r>
                              <w:rPr>
                                <w:rFonts w:ascii="Trebuchet MS"/>
                                <w:color w:val="231F20"/>
                                <w:spacing w:val="-11"/>
                                <w:w w:val="105"/>
                                <w:sz w:val="20"/>
                              </w:rPr>
                              <w:t xml:space="preserve"> </w:t>
                            </w:r>
                            <w:r>
                              <w:rPr>
                                <w:rFonts w:ascii="Trebuchet MS"/>
                                <w:color w:val="231F20"/>
                                <w:w w:val="105"/>
                                <w:sz w:val="20"/>
                              </w:rPr>
                              <w:t>Enhancing</w:t>
                            </w:r>
                            <w:r>
                              <w:rPr>
                                <w:rFonts w:ascii="Trebuchet MS"/>
                                <w:color w:val="231F20"/>
                                <w:spacing w:val="-11"/>
                                <w:w w:val="105"/>
                                <w:sz w:val="20"/>
                              </w:rPr>
                              <w:t xml:space="preserve"> </w:t>
                            </w:r>
                            <w:r>
                              <w:rPr>
                                <w:rFonts w:ascii="Trebuchet MS"/>
                                <w:color w:val="231F20"/>
                                <w:w w:val="105"/>
                                <w:sz w:val="20"/>
                              </w:rPr>
                              <w:t>Employabil- ity in Sport Tourism for Students and Graduates</w:t>
                            </w:r>
                          </w:p>
                          <w:p w14:paraId="7F5F8691" w14:textId="77777777" w:rsidR="00AE0598" w:rsidRDefault="0069255A">
                            <w:pPr>
                              <w:pStyle w:val="Corpodetexto"/>
                              <w:spacing w:before="110"/>
                              <w:ind w:left="113"/>
                              <w:jc w:val="both"/>
                              <w:rPr>
                                <w:color w:val="000000"/>
                              </w:rPr>
                            </w:pPr>
                            <w:r>
                              <w:rPr>
                                <w:color w:val="231F20"/>
                                <w:w w:val="95"/>
                              </w:rPr>
                              <w:t>Richard</w:t>
                            </w:r>
                            <w:r>
                              <w:rPr>
                                <w:color w:val="231F20"/>
                                <w:spacing w:val="23"/>
                              </w:rPr>
                              <w:t xml:space="preserve"> </w:t>
                            </w:r>
                            <w:r>
                              <w:rPr>
                                <w:color w:val="231F20"/>
                                <w:w w:val="95"/>
                              </w:rPr>
                              <w:t>Shipway,</w:t>
                            </w:r>
                            <w:r>
                              <w:rPr>
                                <w:color w:val="231F20"/>
                                <w:spacing w:val="23"/>
                              </w:rPr>
                              <w:t xml:space="preserve"> </w:t>
                            </w:r>
                            <w:r>
                              <w:rPr>
                                <w:color w:val="231F20"/>
                                <w:w w:val="95"/>
                              </w:rPr>
                              <w:t>Bournemouth</w:t>
                            </w:r>
                            <w:r>
                              <w:rPr>
                                <w:color w:val="231F20"/>
                                <w:spacing w:val="23"/>
                              </w:rPr>
                              <w:t xml:space="preserve"> </w:t>
                            </w:r>
                            <w:r>
                              <w:rPr>
                                <w:color w:val="231F20"/>
                                <w:spacing w:val="-2"/>
                                <w:w w:val="95"/>
                              </w:rPr>
                              <w:t>University</w:t>
                            </w:r>
                          </w:p>
                          <w:p w14:paraId="0EBA64D6" w14:textId="77777777" w:rsidR="00AE0598" w:rsidRDefault="0069255A">
                            <w:pPr>
                              <w:pStyle w:val="Corpodetexto"/>
                              <w:spacing w:before="120" w:line="232" w:lineRule="auto"/>
                              <w:ind w:left="113" w:right="110" w:firstLine="320"/>
                              <w:jc w:val="both"/>
                              <w:rPr>
                                <w:color w:val="000000"/>
                              </w:rPr>
                            </w:pPr>
                            <w:r>
                              <w:rPr>
                                <w:color w:val="231F20"/>
                                <w:w w:val="95"/>
                              </w:rPr>
                              <w:t>The</w:t>
                            </w:r>
                            <w:r>
                              <w:rPr>
                                <w:color w:val="231F20"/>
                                <w:spacing w:val="-3"/>
                                <w:w w:val="95"/>
                              </w:rPr>
                              <w:t xml:space="preserve"> </w:t>
                            </w:r>
                            <w:r>
                              <w:rPr>
                                <w:color w:val="231F20"/>
                                <w:w w:val="95"/>
                              </w:rPr>
                              <w:t>coastal</w:t>
                            </w:r>
                            <w:r>
                              <w:rPr>
                                <w:color w:val="231F20"/>
                                <w:spacing w:val="-3"/>
                                <w:w w:val="95"/>
                              </w:rPr>
                              <w:t xml:space="preserve"> </w:t>
                            </w:r>
                            <w:r>
                              <w:rPr>
                                <w:color w:val="231F20"/>
                                <w:w w:val="95"/>
                              </w:rPr>
                              <w:t>towns</w:t>
                            </w:r>
                            <w:r>
                              <w:rPr>
                                <w:color w:val="231F20"/>
                                <w:spacing w:val="-3"/>
                                <w:w w:val="95"/>
                              </w:rPr>
                              <w:t xml:space="preserve"> </w:t>
                            </w:r>
                            <w:r>
                              <w:rPr>
                                <w:color w:val="231F20"/>
                                <w:w w:val="95"/>
                              </w:rPr>
                              <w:t>of</w:t>
                            </w:r>
                            <w:r>
                              <w:rPr>
                                <w:color w:val="231F20"/>
                                <w:spacing w:val="-3"/>
                                <w:w w:val="95"/>
                              </w:rPr>
                              <w:t xml:space="preserve"> </w:t>
                            </w:r>
                            <w:r>
                              <w:rPr>
                                <w:color w:val="231F20"/>
                                <w:w w:val="95"/>
                              </w:rPr>
                              <w:t>Bournemouth</w:t>
                            </w:r>
                            <w:r>
                              <w:rPr>
                                <w:color w:val="231F20"/>
                                <w:spacing w:val="-3"/>
                                <w:w w:val="95"/>
                              </w:rPr>
                              <w:t xml:space="preserve"> </w:t>
                            </w:r>
                            <w:r>
                              <w:rPr>
                                <w:color w:val="231F20"/>
                                <w:w w:val="95"/>
                              </w:rPr>
                              <w:t>and</w:t>
                            </w:r>
                            <w:r>
                              <w:rPr>
                                <w:color w:val="231F20"/>
                                <w:spacing w:val="-3"/>
                                <w:w w:val="95"/>
                              </w:rPr>
                              <w:t xml:space="preserve"> </w:t>
                            </w:r>
                            <w:r>
                              <w:rPr>
                                <w:color w:val="231F20"/>
                                <w:w w:val="95"/>
                              </w:rPr>
                              <w:t>Poole</w:t>
                            </w:r>
                            <w:r>
                              <w:rPr>
                                <w:color w:val="231F20"/>
                                <w:spacing w:val="-3"/>
                                <w:w w:val="95"/>
                              </w:rPr>
                              <w:t xml:space="preserve"> </w:t>
                            </w:r>
                            <w:r>
                              <w:rPr>
                                <w:color w:val="231F20"/>
                                <w:w w:val="95"/>
                              </w:rPr>
                              <w:t>in</w:t>
                            </w:r>
                            <w:r>
                              <w:rPr>
                                <w:color w:val="231F20"/>
                                <w:spacing w:val="-3"/>
                                <w:w w:val="95"/>
                              </w:rPr>
                              <w:t xml:space="preserve"> </w:t>
                            </w:r>
                            <w:r>
                              <w:rPr>
                                <w:color w:val="231F20"/>
                                <w:w w:val="95"/>
                              </w:rPr>
                              <w:t>the</w:t>
                            </w:r>
                            <w:r>
                              <w:rPr>
                                <w:color w:val="231F20"/>
                                <w:spacing w:val="-3"/>
                                <w:w w:val="95"/>
                              </w:rPr>
                              <w:t xml:space="preserve"> </w:t>
                            </w:r>
                            <w:r>
                              <w:rPr>
                                <w:color w:val="231F20"/>
                                <w:w w:val="95"/>
                              </w:rPr>
                              <w:t>south</w:t>
                            </w:r>
                            <w:r>
                              <w:rPr>
                                <w:color w:val="231F20"/>
                                <w:spacing w:val="-3"/>
                                <w:w w:val="95"/>
                              </w:rPr>
                              <w:t xml:space="preserve"> </w:t>
                            </w:r>
                            <w:r>
                              <w:rPr>
                                <w:color w:val="231F20"/>
                                <w:w w:val="95"/>
                              </w:rPr>
                              <w:t>of</w:t>
                            </w:r>
                            <w:r>
                              <w:rPr>
                                <w:color w:val="231F20"/>
                                <w:spacing w:val="-3"/>
                                <w:w w:val="95"/>
                              </w:rPr>
                              <w:t xml:space="preserve"> </w:t>
                            </w:r>
                            <w:r>
                              <w:rPr>
                                <w:color w:val="231F20"/>
                                <w:w w:val="95"/>
                              </w:rPr>
                              <w:t xml:space="preserve">England, </w:t>
                            </w:r>
                            <w:r>
                              <w:rPr>
                                <w:color w:val="231F20"/>
                                <w:spacing w:val="-2"/>
                              </w:rPr>
                              <w:t>approximately</w:t>
                            </w:r>
                            <w:r>
                              <w:rPr>
                                <w:color w:val="231F20"/>
                                <w:spacing w:val="-8"/>
                              </w:rPr>
                              <w:t xml:space="preserve"> </w:t>
                            </w:r>
                            <w:r>
                              <w:rPr>
                                <w:color w:val="231F20"/>
                                <w:spacing w:val="-2"/>
                              </w:rPr>
                              <w:t>two</w:t>
                            </w:r>
                            <w:r>
                              <w:rPr>
                                <w:color w:val="231F20"/>
                                <w:spacing w:val="-8"/>
                              </w:rPr>
                              <w:t xml:space="preserve"> </w:t>
                            </w:r>
                            <w:r>
                              <w:rPr>
                                <w:color w:val="231F20"/>
                                <w:spacing w:val="-2"/>
                              </w:rPr>
                              <w:t>hours</w:t>
                            </w:r>
                            <w:r>
                              <w:rPr>
                                <w:color w:val="231F20"/>
                                <w:spacing w:val="-8"/>
                              </w:rPr>
                              <w:t xml:space="preserve"> </w:t>
                            </w:r>
                            <w:r>
                              <w:rPr>
                                <w:color w:val="231F20"/>
                                <w:spacing w:val="-2"/>
                              </w:rPr>
                              <w:t>from</w:t>
                            </w:r>
                            <w:r>
                              <w:rPr>
                                <w:color w:val="231F20"/>
                                <w:spacing w:val="-8"/>
                              </w:rPr>
                              <w:t xml:space="preserve"> </w:t>
                            </w:r>
                            <w:r>
                              <w:rPr>
                                <w:color w:val="231F20"/>
                                <w:spacing w:val="-2"/>
                              </w:rPr>
                              <w:t>London,</w:t>
                            </w:r>
                            <w:r>
                              <w:rPr>
                                <w:color w:val="231F20"/>
                                <w:spacing w:val="-8"/>
                              </w:rPr>
                              <w:t xml:space="preserve"> </w:t>
                            </w:r>
                            <w:r>
                              <w:rPr>
                                <w:color w:val="231F20"/>
                                <w:spacing w:val="-2"/>
                              </w:rPr>
                              <w:t>are</w:t>
                            </w:r>
                            <w:r>
                              <w:rPr>
                                <w:color w:val="231F20"/>
                                <w:spacing w:val="-8"/>
                              </w:rPr>
                              <w:t xml:space="preserve"> </w:t>
                            </w:r>
                            <w:r>
                              <w:rPr>
                                <w:color w:val="231F20"/>
                                <w:spacing w:val="-2"/>
                              </w:rPr>
                              <w:t>widely</w:t>
                            </w:r>
                            <w:r>
                              <w:rPr>
                                <w:color w:val="231F20"/>
                                <w:spacing w:val="-8"/>
                              </w:rPr>
                              <w:t xml:space="preserve"> </w:t>
                            </w:r>
                            <w:r>
                              <w:rPr>
                                <w:color w:val="231F20"/>
                                <w:spacing w:val="-2"/>
                              </w:rPr>
                              <w:t>recognised</w:t>
                            </w:r>
                            <w:r>
                              <w:rPr>
                                <w:color w:val="231F20"/>
                                <w:spacing w:val="-8"/>
                              </w:rPr>
                              <w:t xml:space="preserve"> </w:t>
                            </w:r>
                            <w:r>
                              <w:rPr>
                                <w:color w:val="231F20"/>
                                <w:spacing w:val="-2"/>
                              </w:rPr>
                              <w:t>as</w:t>
                            </w:r>
                            <w:r>
                              <w:rPr>
                                <w:color w:val="231F20"/>
                                <w:spacing w:val="-8"/>
                              </w:rPr>
                              <w:t xml:space="preserve"> </w:t>
                            </w:r>
                            <w:r>
                              <w:rPr>
                                <w:color w:val="231F20"/>
                                <w:spacing w:val="-2"/>
                              </w:rPr>
                              <w:t>two</w:t>
                            </w:r>
                            <w:r>
                              <w:rPr>
                                <w:color w:val="231F20"/>
                                <w:spacing w:val="-8"/>
                              </w:rPr>
                              <w:t xml:space="preserve"> </w:t>
                            </w:r>
                            <w:r>
                              <w:rPr>
                                <w:color w:val="231F20"/>
                                <w:spacing w:val="-2"/>
                              </w:rPr>
                              <w:t xml:space="preserve">of </w:t>
                            </w:r>
                            <w:r>
                              <w:rPr>
                                <w:color w:val="231F20"/>
                                <w:w w:val="95"/>
                              </w:rPr>
                              <w:t>the</w:t>
                            </w:r>
                            <w:r>
                              <w:rPr>
                                <w:color w:val="231F20"/>
                                <w:spacing w:val="-1"/>
                                <w:w w:val="95"/>
                              </w:rPr>
                              <w:t xml:space="preserve"> </w:t>
                            </w:r>
                            <w:r>
                              <w:rPr>
                                <w:color w:val="231F20"/>
                                <w:w w:val="95"/>
                              </w:rPr>
                              <w:t>premier</w:t>
                            </w:r>
                            <w:r>
                              <w:rPr>
                                <w:color w:val="231F20"/>
                                <w:spacing w:val="-1"/>
                                <w:w w:val="95"/>
                              </w:rPr>
                              <w:t xml:space="preserve"> </w:t>
                            </w:r>
                            <w:r>
                              <w:rPr>
                                <w:color w:val="231F20"/>
                                <w:w w:val="95"/>
                              </w:rPr>
                              <w:t>tourism</w:t>
                            </w:r>
                            <w:r>
                              <w:rPr>
                                <w:color w:val="231F20"/>
                                <w:spacing w:val="-1"/>
                                <w:w w:val="95"/>
                              </w:rPr>
                              <w:t xml:space="preserve"> </w:t>
                            </w:r>
                            <w:r>
                              <w:rPr>
                                <w:color w:val="231F20"/>
                                <w:w w:val="95"/>
                              </w:rPr>
                              <w:t>destinations</w:t>
                            </w:r>
                            <w:r>
                              <w:rPr>
                                <w:color w:val="231F20"/>
                                <w:spacing w:val="-1"/>
                                <w:w w:val="95"/>
                              </w:rPr>
                              <w:t xml:space="preserve"> </w:t>
                            </w:r>
                            <w:r>
                              <w:rPr>
                                <w:color w:val="231F20"/>
                                <w:w w:val="95"/>
                              </w:rPr>
                              <w:t>in</w:t>
                            </w:r>
                            <w:r>
                              <w:rPr>
                                <w:color w:val="231F20"/>
                                <w:spacing w:val="-1"/>
                                <w:w w:val="95"/>
                              </w:rPr>
                              <w:t xml:space="preserve"> </w:t>
                            </w:r>
                            <w:r>
                              <w:rPr>
                                <w:color w:val="231F20"/>
                                <w:w w:val="95"/>
                              </w:rPr>
                              <w:t>the</w:t>
                            </w:r>
                            <w:r>
                              <w:rPr>
                                <w:color w:val="231F20"/>
                                <w:spacing w:val="-1"/>
                                <w:w w:val="95"/>
                              </w:rPr>
                              <w:t xml:space="preserve"> </w:t>
                            </w:r>
                            <w:r>
                              <w:rPr>
                                <w:color w:val="231F20"/>
                                <w:w w:val="95"/>
                              </w:rPr>
                              <w:t>UK,</w:t>
                            </w:r>
                            <w:r>
                              <w:rPr>
                                <w:color w:val="231F20"/>
                                <w:spacing w:val="-1"/>
                                <w:w w:val="95"/>
                              </w:rPr>
                              <w:t xml:space="preserve"> </w:t>
                            </w:r>
                            <w:r>
                              <w:rPr>
                                <w:color w:val="231F20"/>
                                <w:w w:val="95"/>
                              </w:rPr>
                              <w:t>and</w:t>
                            </w:r>
                            <w:r>
                              <w:rPr>
                                <w:color w:val="231F20"/>
                                <w:spacing w:val="-1"/>
                                <w:w w:val="95"/>
                              </w:rPr>
                              <w:t xml:space="preserve"> </w:t>
                            </w:r>
                            <w:r>
                              <w:rPr>
                                <w:color w:val="231F20"/>
                                <w:w w:val="95"/>
                              </w:rPr>
                              <w:t>provide</w:t>
                            </w:r>
                            <w:r>
                              <w:rPr>
                                <w:color w:val="231F20"/>
                                <w:spacing w:val="-1"/>
                                <w:w w:val="95"/>
                              </w:rPr>
                              <w:t xml:space="preserve"> </w:t>
                            </w:r>
                            <w:r>
                              <w:rPr>
                                <w:color w:val="231F20"/>
                                <w:w w:val="95"/>
                              </w:rPr>
                              <w:t>a</w:t>
                            </w:r>
                            <w:r>
                              <w:rPr>
                                <w:color w:val="231F20"/>
                                <w:spacing w:val="-1"/>
                                <w:w w:val="95"/>
                              </w:rPr>
                              <w:t xml:space="preserve"> </w:t>
                            </w:r>
                            <w:r>
                              <w:rPr>
                                <w:color w:val="231F20"/>
                                <w:w w:val="95"/>
                              </w:rPr>
                              <w:t>diverse</w:t>
                            </w:r>
                            <w:r>
                              <w:rPr>
                                <w:color w:val="231F20"/>
                                <w:spacing w:val="-1"/>
                                <w:w w:val="95"/>
                              </w:rPr>
                              <w:t xml:space="preserve"> </w:t>
                            </w:r>
                            <w:r>
                              <w:rPr>
                                <w:color w:val="231F20"/>
                                <w:w w:val="95"/>
                              </w:rPr>
                              <w:t xml:space="preserve">wealth </w:t>
                            </w:r>
                            <w:r>
                              <w:rPr>
                                <w:color w:val="231F20"/>
                                <w:spacing w:val="-2"/>
                                <w:w w:val="95"/>
                              </w:rPr>
                              <w:t>of</w:t>
                            </w:r>
                            <w:r>
                              <w:rPr>
                                <w:color w:val="231F20"/>
                                <w:spacing w:val="-4"/>
                                <w:w w:val="95"/>
                              </w:rPr>
                              <w:t xml:space="preserve"> </w:t>
                            </w:r>
                            <w:r>
                              <w:rPr>
                                <w:color w:val="231F20"/>
                                <w:spacing w:val="-2"/>
                                <w:w w:val="95"/>
                              </w:rPr>
                              <w:t>land-</w:t>
                            </w:r>
                            <w:r>
                              <w:rPr>
                                <w:color w:val="231F20"/>
                                <w:spacing w:val="-4"/>
                                <w:w w:val="95"/>
                              </w:rPr>
                              <w:t xml:space="preserve"> </w:t>
                            </w:r>
                            <w:r>
                              <w:rPr>
                                <w:color w:val="231F20"/>
                                <w:spacing w:val="-2"/>
                                <w:w w:val="95"/>
                              </w:rPr>
                              <w:t>and</w:t>
                            </w:r>
                            <w:r>
                              <w:rPr>
                                <w:color w:val="231F20"/>
                                <w:spacing w:val="-4"/>
                                <w:w w:val="95"/>
                              </w:rPr>
                              <w:t xml:space="preserve"> </w:t>
                            </w:r>
                            <w:r>
                              <w:rPr>
                                <w:color w:val="231F20"/>
                                <w:spacing w:val="-2"/>
                                <w:w w:val="95"/>
                              </w:rPr>
                              <w:t>water-based</w:t>
                            </w:r>
                            <w:r>
                              <w:rPr>
                                <w:color w:val="231F20"/>
                                <w:spacing w:val="-4"/>
                                <w:w w:val="95"/>
                              </w:rPr>
                              <w:t xml:space="preserve"> </w:t>
                            </w:r>
                            <w:r>
                              <w:rPr>
                                <w:color w:val="231F20"/>
                                <w:spacing w:val="-2"/>
                                <w:w w:val="95"/>
                              </w:rPr>
                              <w:t>sport</w:t>
                            </w:r>
                            <w:r>
                              <w:rPr>
                                <w:color w:val="231F20"/>
                                <w:spacing w:val="-4"/>
                                <w:w w:val="95"/>
                              </w:rPr>
                              <w:t xml:space="preserve"> </w:t>
                            </w:r>
                            <w:r>
                              <w:rPr>
                                <w:color w:val="231F20"/>
                                <w:spacing w:val="-2"/>
                                <w:w w:val="95"/>
                              </w:rPr>
                              <w:t>tourism</w:t>
                            </w:r>
                            <w:r>
                              <w:rPr>
                                <w:color w:val="231F20"/>
                                <w:spacing w:val="-4"/>
                                <w:w w:val="95"/>
                              </w:rPr>
                              <w:t xml:space="preserve"> </w:t>
                            </w:r>
                            <w:r>
                              <w:rPr>
                                <w:color w:val="231F20"/>
                                <w:spacing w:val="-2"/>
                                <w:w w:val="95"/>
                              </w:rPr>
                              <w:t>activities.</w:t>
                            </w:r>
                            <w:r>
                              <w:rPr>
                                <w:color w:val="231F20"/>
                                <w:spacing w:val="-4"/>
                                <w:w w:val="95"/>
                              </w:rPr>
                              <w:t xml:space="preserve"> </w:t>
                            </w:r>
                            <w:r>
                              <w:rPr>
                                <w:color w:val="231F20"/>
                                <w:spacing w:val="-2"/>
                                <w:w w:val="95"/>
                              </w:rPr>
                              <w:t>Bournemouth</w:t>
                            </w:r>
                            <w:r>
                              <w:rPr>
                                <w:color w:val="231F20"/>
                                <w:spacing w:val="-4"/>
                                <w:w w:val="95"/>
                              </w:rPr>
                              <w:t xml:space="preserve"> </w:t>
                            </w:r>
                            <w:r>
                              <w:rPr>
                                <w:color w:val="231F20"/>
                                <w:spacing w:val="-2"/>
                                <w:w w:val="95"/>
                              </w:rPr>
                              <w:t xml:space="preserve">University </w:t>
                            </w:r>
                            <w:r>
                              <w:rPr>
                                <w:color w:val="231F20"/>
                                <w:w w:val="95"/>
                              </w:rPr>
                              <w:t>(BU)</w:t>
                            </w:r>
                            <w:r>
                              <w:rPr>
                                <w:color w:val="231F20"/>
                                <w:spacing w:val="-9"/>
                                <w:w w:val="95"/>
                              </w:rPr>
                              <w:t xml:space="preserve"> </w:t>
                            </w:r>
                            <w:r>
                              <w:rPr>
                                <w:color w:val="231F20"/>
                                <w:w w:val="95"/>
                              </w:rPr>
                              <w:t>has</w:t>
                            </w:r>
                            <w:r>
                              <w:rPr>
                                <w:color w:val="231F20"/>
                                <w:spacing w:val="-9"/>
                                <w:w w:val="95"/>
                              </w:rPr>
                              <w:t xml:space="preserve"> </w:t>
                            </w:r>
                            <w:r>
                              <w:rPr>
                                <w:color w:val="231F20"/>
                                <w:w w:val="95"/>
                              </w:rPr>
                              <w:t>a</w:t>
                            </w:r>
                            <w:r>
                              <w:rPr>
                                <w:color w:val="231F20"/>
                                <w:spacing w:val="-9"/>
                                <w:w w:val="95"/>
                              </w:rPr>
                              <w:t xml:space="preserve"> </w:t>
                            </w:r>
                            <w:r>
                              <w:rPr>
                                <w:color w:val="231F20"/>
                                <w:w w:val="95"/>
                              </w:rPr>
                              <w:t>long</w:t>
                            </w:r>
                            <w:r>
                              <w:rPr>
                                <w:color w:val="231F20"/>
                                <w:spacing w:val="-9"/>
                                <w:w w:val="95"/>
                              </w:rPr>
                              <w:t xml:space="preserve"> </w:t>
                            </w:r>
                            <w:r>
                              <w:rPr>
                                <w:color w:val="231F20"/>
                                <w:w w:val="95"/>
                              </w:rPr>
                              <w:t>tradition</w:t>
                            </w:r>
                            <w:r>
                              <w:rPr>
                                <w:color w:val="231F20"/>
                                <w:spacing w:val="-9"/>
                                <w:w w:val="95"/>
                              </w:rPr>
                              <w:t xml:space="preserve"> </w:t>
                            </w:r>
                            <w:r>
                              <w:rPr>
                                <w:color w:val="231F20"/>
                                <w:w w:val="95"/>
                              </w:rPr>
                              <w:t>of</w:t>
                            </w:r>
                            <w:r>
                              <w:rPr>
                                <w:color w:val="231F20"/>
                                <w:spacing w:val="-9"/>
                                <w:w w:val="95"/>
                              </w:rPr>
                              <w:t xml:space="preserve"> </w:t>
                            </w:r>
                            <w:r>
                              <w:rPr>
                                <w:color w:val="231F20"/>
                                <w:w w:val="95"/>
                              </w:rPr>
                              <w:t>leisure,</w:t>
                            </w:r>
                            <w:r>
                              <w:rPr>
                                <w:color w:val="231F20"/>
                                <w:spacing w:val="-9"/>
                                <w:w w:val="95"/>
                              </w:rPr>
                              <w:t xml:space="preserve"> </w:t>
                            </w:r>
                            <w:r>
                              <w:rPr>
                                <w:color w:val="231F20"/>
                                <w:w w:val="95"/>
                              </w:rPr>
                              <w:t>tourism</w:t>
                            </w:r>
                            <w:r>
                              <w:rPr>
                                <w:color w:val="231F20"/>
                                <w:spacing w:val="-9"/>
                                <w:w w:val="95"/>
                              </w:rPr>
                              <w:t xml:space="preserve"> </w:t>
                            </w:r>
                            <w:r>
                              <w:rPr>
                                <w:color w:val="231F20"/>
                                <w:w w:val="95"/>
                              </w:rPr>
                              <w:t>and</w:t>
                            </w:r>
                            <w:r>
                              <w:rPr>
                                <w:color w:val="231F20"/>
                                <w:spacing w:val="-9"/>
                                <w:w w:val="95"/>
                              </w:rPr>
                              <w:t xml:space="preserve"> </w:t>
                            </w:r>
                            <w:r>
                              <w:rPr>
                                <w:color w:val="231F20"/>
                                <w:w w:val="95"/>
                              </w:rPr>
                              <w:t>hospitality</w:t>
                            </w:r>
                            <w:r>
                              <w:rPr>
                                <w:color w:val="231F20"/>
                                <w:spacing w:val="-9"/>
                                <w:w w:val="95"/>
                              </w:rPr>
                              <w:t xml:space="preserve"> </w:t>
                            </w:r>
                            <w:r>
                              <w:rPr>
                                <w:color w:val="231F20"/>
                                <w:w w:val="95"/>
                              </w:rPr>
                              <w:t>education,</w:t>
                            </w:r>
                            <w:r>
                              <w:rPr>
                                <w:color w:val="231F20"/>
                                <w:spacing w:val="-9"/>
                                <w:w w:val="95"/>
                              </w:rPr>
                              <w:t xml:space="preserve"> </w:t>
                            </w:r>
                            <w:r>
                              <w:rPr>
                                <w:color w:val="231F20"/>
                                <w:w w:val="95"/>
                              </w:rPr>
                              <w:t xml:space="preserve">and more recently has experienced a rapid expansion of degree programmes </w:t>
                            </w:r>
                            <w:r>
                              <w:rPr>
                                <w:color w:val="231F20"/>
                              </w:rPr>
                              <w:t xml:space="preserve">that focus on sport and events management. This interaction of the </w:t>
                            </w:r>
                            <w:r>
                              <w:rPr>
                                <w:color w:val="231F20"/>
                                <w:w w:val="95"/>
                              </w:rPr>
                              <w:t>sport, tourism and e</w:t>
                            </w:r>
                            <w:r>
                              <w:rPr>
                                <w:color w:val="231F20"/>
                                <w:w w:val="95"/>
                              </w:rPr>
                              <w:t xml:space="preserve">vents industries is embedded within the curriculum </w:t>
                            </w:r>
                            <w:r>
                              <w:rPr>
                                <w:color w:val="231F20"/>
                                <w:spacing w:val="-2"/>
                              </w:rPr>
                              <w:t>of</w:t>
                            </w:r>
                            <w:r>
                              <w:rPr>
                                <w:color w:val="231F20"/>
                                <w:spacing w:val="-4"/>
                              </w:rPr>
                              <w:t xml:space="preserve"> </w:t>
                            </w:r>
                            <w:r>
                              <w:rPr>
                                <w:color w:val="231F20"/>
                                <w:spacing w:val="-2"/>
                              </w:rPr>
                              <w:t>undergraduate</w:t>
                            </w:r>
                            <w:r>
                              <w:rPr>
                                <w:color w:val="231F20"/>
                                <w:spacing w:val="-4"/>
                              </w:rPr>
                              <w:t xml:space="preserve"> </w:t>
                            </w:r>
                            <w:r>
                              <w:rPr>
                                <w:color w:val="231F20"/>
                                <w:spacing w:val="-2"/>
                              </w:rPr>
                              <w:t>and</w:t>
                            </w:r>
                            <w:r>
                              <w:rPr>
                                <w:color w:val="231F20"/>
                                <w:spacing w:val="-4"/>
                              </w:rPr>
                              <w:t xml:space="preserve"> </w:t>
                            </w:r>
                            <w:r>
                              <w:rPr>
                                <w:color w:val="231F20"/>
                                <w:spacing w:val="-2"/>
                              </w:rPr>
                              <w:t>postgraduate</w:t>
                            </w:r>
                            <w:r>
                              <w:rPr>
                                <w:color w:val="231F20"/>
                                <w:spacing w:val="-4"/>
                              </w:rPr>
                              <w:t xml:space="preserve"> </w:t>
                            </w:r>
                            <w:r>
                              <w:rPr>
                                <w:color w:val="231F20"/>
                                <w:spacing w:val="-2"/>
                              </w:rPr>
                              <w:t>programmes</w:t>
                            </w:r>
                            <w:r>
                              <w:rPr>
                                <w:color w:val="231F20"/>
                                <w:spacing w:val="-4"/>
                              </w:rPr>
                              <w:t xml:space="preserve"> </w:t>
                            </w:r>
                            <w:r>
                              <w:rPr>
                                <w:color w:val="231F20"/>
                                <w:spacing w:val="-2"/>
                              </w:rPr>
                              <w:t>at</w:t>
                            </w:r>
                            <w:r>
                              <w:rPr>
                                <w:color w:val="231F20"/>
                                <w:spacing w:val="-4"/>
                              </w:rPr>
                              <w:t xml:space="preserve"> </w:t>
                            </w:r>
                            <w:r>
                              <w:rPr>
                                <w:color w:val="231F20"/>
                                <w:spacing w:val="-2"/>
                              </w:rPr>
                              <w:t>the</w:t>
                            </w:r>
                            <w:r>
                              <w:rPr>
                                <w:color w:val="231F20"/>
                                <w:spacing w:val="-4"/>
                              </w:rPr>
                              <w:t xml:space="preserve"> </w:t>
                            </w:r>
                            <w:r>
                              <w:rPr>
                                <w:color w:val="231F20"/>
                                <w:spacing w:val="-2"/>
                              </w:rPr>
                              <w:t>university</w:t>
                            </w:r>
                            <w:r>
                              <w:rPr>
                                <w:color w:val="231F20"/>
                                <w:spacing w:val="-4"/>
                              </w:rPr>
                              <w:t xml:space="preserve"> </w:t>
                            </w:r>
                            <w:r>
                              <w:rPr>
                                <w:color w:val="231F20"/>
                                <w:spacing w:val="-2"/>
                              </w:rPr>
                              <w:t xml:space="preserve">with </w:t>
                            </w:r>
                            <w:r>
                              <w:rPr>
                                <w:color w:val="231F20"/>
                                <w:w w:val="95"/>
                              </w:rPr>
                              <w:t xml:space="preserve">dedicated </w:t>
                            </w:r>
                            <w:r>
                              <w:rPr>
                                <w:i/>
                                <w:color w:val="231F20"/>
                                <w:w w:val="95"/>
                              </w:rPr>
                              <w:t xml:space="preserve">Sport Tourism </w:t>
                            </w:r>
                            <w:r>
                              <w:rPr>
                                <w:color w:val="231F20"/>
                                <w:w w:val="95"/>
                              </w:rPr>
                              <w:t xml:space="preserve">units taught at both levels to students from BU’s </w:t>
                            </w:r>
                            <w:r>
                              <w:rPr>
                                <w:color w:val="231F20"/>
                                <w:spacing w:val="-2"/>
                              </w:rPr>
                              <w:t>tourism,</w:t>
                            </w:r>
                            <w:r>
                              <w:rPr>
                                <w:color w:val="231F20"/>
                                <w:spacing w:val="-10"/>
                              </w:rPr>
                              <w:t xml:space="preserve"> </w:t>
                            </w:r>
                            <w:r>
                              <w:rPr>
                                <w:color w:val="231F20"/>
                                <w:spacing w:val="-2"/>
                              </w:rPr>
                              <w:t>sport,</w:t>
                            </w:r>
                            <w:r>
                              <w:rPr>
                                <w:color w:val="231F20"/>
                                <w:spacing w:val="-10"/>
                              </w:rPr>
                              <w:t xml:space="preserve"> </w:t>
                            </w:r>
                            <w:r>
                              <w:rPr>
                                <w:color w:val="231F20"/>
                                <w:spacing w:val="-2"/>
                              </w:rPr>
                              <w:t>hospitality,</w:t>
                            </w:r>
                            <w:r>
                              <w:rPr>
                                <w:color w:val="231F20"/>
                                <w:spacing w:val="-9"/>
                              </w:rPr>
                              <w:t xml:space="preserve"> </w:t>
                            </w:r>
                            <w:r>
                              <w:rPr>
                                <w:color w:val="231F20"/>
                                <w:spacing w:val="-2"/>
                              </w:rPr>
                              <w:t>leisure</w:t>
                            </w:r>
                            <w:r>
                              <w:rPr>
                                <w:color w:val="231F20"/>
                                <w:spacing w:val="-10"/>
                              </w:rPr>
                              <w:t xml:space="preserve"> </w:t>
                            </w:r>
                            <w:r>
                              <w:rPr>
                                <w:color w:val="231F20"/>
                                <w:spacing w:val="-2"/>
                              </w:rPr>
                              <w:t>and</w:t>
                            </w:r>
                            <w:r>
                              <w:rPr>
                                <w:color w:val="231F20"/>
                                <w:spacing w:val="-9"/>
                              </w:rPr>
                              <w:t xml:space="preserve"> </w:t>
                            </w:r>
                            <w:r>
                              <w:rPr>
                                <w:color w:val="231F20"/>
                                <w:spacing w:val="-2"/>
                              </w:rPr>
                              <w:t>events</w:t>
                            </w:r>
                            <w:r>
                              <w:rPr>
                                <w:color w:val="231F20"/>
                                <w:spacing w:val="-10"/>
                              </w:rPr>
                              <w:t xml:space="preserve"> </w:t>
                            </w:r>
                            <w:r>
                              <w:rPr>
                                <w:color w:val="231F20"/>
                                <w:spacing w:val="-2"/>
                              </w:rPr>
                              <w:t>degree</w:t>
                            </w:r>
                            <w:r>
                              <w:rPr>
                                <w:color w:val="231F20"/>
                                <w:spacing w:val="-9"/>
                              </w:rPr>
                              <w:t xml:space="preserve"> </w:t>
                            </w:r>
                            <w:r>
                              <w:rPr>
                                <w:color w:val="231F20"/>
                                <w:spacing w:val="-2"/>
                              </w:rPr>
                              <w:t>programmes.</w:t>
                            </w:r>
                          </w:p>
                          <w:p w14:paraId="1FBB1879" w14:textId="77777777" w:rsidR="00AE0598" w:rsidRDefault="0069255A">
                            <w:pPr>
                              <w:spacing w:line="179" w:lineRule="exact"/>
                              <w:ind w:right="119"/>
                              <w:jc w:val="right"/>
                              <w:rPr>
                                <w:rFonts w:ascii="Trebuchet MS"/>
                                <w:i/>
                                <w:color w:val="000000"/>
                                <w:sz w:val="18"/>
                              </w:rPr>
                            </w:pPr>
                            <w:r>
                              <w:rPr>
                                <w:rFonts w:ascii="Trebuchet MS"/>
                                <w:i/>
                                <w:color w:val="231F20"/>
                                <w:spacing w:val="-2"/>
                                <w:sz w:val="18"/>
                              </w:rPr>
                              <w:t>(Continued)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2C9223" id="docshape61" o:spid="_x0000_s1070" type="#_x0000_t202" style="position:absolute;margin-left:59.5pt;margin-top:10.15pt;width:323.15pt;height:195.6pt;z-index:-157137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" fillcolor="#dcddde" stroked="f">
                <v:textbox inset="0,0,0,0">
                  <w:txbxContent>
                    <w:p w14:paraId="619A814E" w14:textId="77777777" w:rsidR="00AE0598" w:rsidRDefault="0069255A">
                      <w:pPr>
                        <w:spacing w:before="75" w:line="247" w:lineRule="auto"/>
                        <w:ind w:left="113" w:right="195"/>
                        <w:jc w:val="both"/>
                        <w:rPr>
                          <w:rFonts w:ascii="Trebuchet MS"/>
                          <w:color w:val="000000"/>
                          <w:sz w:val="20"/>
                        </w:rPr>
                      </w:pPr>
                      <w:r>
                        <w:rPr>
                          <w:rFonts w:ascii="Trebuchet MS"/>
                          <w:color w:val="231F20"/>
                          <w:w w:val="105"/>
                          <w:sz w:val="20"/>
                        </w:rPr>
                        <w:t>Case</w:t>
                      </w:r>
                      <w:r>
                        <w:rPr>
                          <w:rFonts w:ascii="Trebuchet MS"/>
                          <w:color w:val="231F20"/>
                          <w:spacing w:val="-11"/>
                          <w:w w:val="105"/>
                          <w:sz w:val="20"/>
                        </w:rPr>
                        <w:t xml:space="preserve"> </w:t>
                      </w:r>
                      <w:r>
                        <w:rPr>
                          <w:rFonts w:ascii="Trebuchet MS"/>
                          <w:color w:val="231F20"/>
                          <w:w w:val="105"/>
                          <w:sz w:val="20"/>
                        </w:rPr>
                        <w:t>Study</w:t>
                      </w:r>
                      <w:r>
                        <w:rPr>
                          <w:rFonts w:ascii="Trebuchet MS"/>
                          <w:color w:val="231F20"/>
                          <w:spacing w:val="-11"/>
                          <w:w w:val="105"/>
                          <w:sz w:val="20"/>
                        </w:rPr>
                        <w:t xml:space="preserve"> </w:t>
                      </w:r>
                      <w:r>
                        <w:rPr>
                          <w:rFonts w:ascii="Trebuchet MS"/>
                          <w:color w:val="231F20"/>
                          <w:w w:val="105"/>
                          <w:sz w:val="20"/>
                        </w:rPr>
                        <w:t>2.1:</w:t>
                      </w:r>
                      <w:r>
                        <w:rPr>
                          <w:rFonts w:ascii="Trebuchet MS"/>
                          <w:color w:val="231F20"/>
                          <w:spacing w:val="-11"/>
                          <w:w w:val="105"/>
                          <w:sz w:val="20"/>
                        </w:rPr>
                        <w:t xml:space="preserve"> </w:t>
                      </w:r>
                      <w:r>
                        <w:rPr>
                          <w:rFonts w:ascii="Trebuchet MS"/>
                          <w:color w:val="231F20"/>
                          <w:w w:val="105"/>
                          <w:sz w:val="20"/>
                        </w:rPr>
                        <w:t>Embedding,</w:t>
                      </w:r>
                      <w:r>
                        <w:rPr>
                          <w:rFonts w:ascii="Trebuchet MS"/>
                          <w:color w:val="231F20"/>
                          <w:spacing w:val="-11"/>
                          <w:w w:val="105"/>
                          <w:sz w:val="20"/>
                        </w:rPr>
                        <w:t xml:space="preserve"> </w:t>
                      </w:r>
                      <w:r>
                        <w:rPr>
                          <w:rFonts w:ascii="Trebuchet MS"/>
                          <w:color w:val="231F20"/>
                          <w:w w:val="105"/>
                          <w:sz w:val="20"/>
                        </w:rPr>
                        <w:t>Enthusing</w:t>
                      </w:r>
                      <w:r>
                        <w:rPr>
                          <w:rFonts w:ascii="Trebuchet MS"/>
                          <w:color w:val="231F20"/>
                          <w:spacing w:val="-11"/>
                          <w:w w:val="105"/>
                          <w:sz w:val="20"/>
                        </w:rPr>
                        <w:t xml:space="preserve"> </w:t>
                      </w:r>
                      <w:r>
                        <w:rPr>
                          <w:rFonts w:ascii="Trebuchet MS"/>
                          <w:color w:val="231F20"/>
                          <w:w w:val="105"/>
                          <w:sz w:val="20"/>
                        </w:rPr>
                        <w:t>and</w:t>
                      </w:r>
                      <w:r>
                        <w:rPr>
                          <w:rFonts w:ascii="Trebuchet MS"/>
                          <w:color w:val="231F20"/>
                          <w:spacing w:val="-11"/>
                          <w:w w:val="105"/>
                          <w:sz w:val="20"/>
                        </w:rPr>
                        <w:t xml:space="preserve"> </w:t>
                      </w:r>
                      <w:r>
                        <w:rPr>
                          <w:rFonts w:ascii="Trebuchet MS"/>
                          <w:color w:val="231F20"/>
                          <w:w w:val="105"/>
                          <w:sz w:val="20"/>
                        </w:rPr>
                        <w:t>Enhancing</w:t>
                      </w:r>
                      <w:r>
                        <w:rPr>
                          <w:rFonts w:ascii="Trebuchet MS"/>
                          <w:color w:val="231F20"/>
                          <w:spacing w:val="-11"/>
                          <w:w w:val="105"/>
                          <w:sz w:val="20"/>
                        </w:rPr>
                        <w:t xml:space="preserve"> </w:t>
                      </w:r>
                      <w:r>
                        <w:rPr>
                          <w:rFonts w:ascii="Trebuchet MS"/>
                          <w:color w:val="231F20"/>
                          <w:w w:val="105"/>
                          <w:sz w:val="20"/>
                        </w:rPr>
                        <w:t>Employabil- ity in Sport Tourism for Students and Graduates</w:t>
                      </w:r>
                    </w:p>
                    <w:p w14:paraId="7F5F8691" w14:textId="77777777" w:rsidR="00AE0598" w:rsidRDefault="0069255A">
                      <w:pPr>
                        <w:pStyle w:val="Corpodetexto"/>
                        <w:spacing w:before="110"/>
                        <w:ind w:left="113"/>
                        <w:jc w:val="both"/>
                        <w:rPr>
                          <w:color w:val="000000"/>
                        </w:rPr>
                      </w:pPr>
                      <w:r>
                        <w:rPr>
                          <w:color w:val="231F20"/>
                          <w:w w:val="95"/>
                        </w:rPr>
                        <w:t>Richard</w:t>
                      </w:r>
                      <w:r>
                        <w:rPr>
                          <w:color w:val="231F20"/>
                          <w:spacing w:val="23"/>
                        </w:rPr>
                        <w:t xml:space="preserve"> </w:t>
                      </w:r>
                      <w:r>
                        <w:rPr>
                          <w:color w:val="231F20"/>
                          <w:w w:val="95"/>
                        </w:rPr>
                        <w:t>Shipway,</w:t>
                      </w:r>
                      <w:r>
                        <w:rPr>
                          <w:color w:val="231F20"/>
                          <w:spacing w:val="23"/>
                        </w:rPr>
                        <w:t xml:space="preserve"> </w:t>
                      </w:r>
                      <w:r>
                        <w:rPr>
                          <w:color w:val="231F20"/>
                          <w:w w:val="95"/>
                        </w:rPr>
                        <w:t>Bournemouth</w:t>
                      </w:r>
                      <w:r>
                        <w:rPr>
                          <w:color w:val="231F20"/>
                          <w:spacing w:val="23"/>
                        </w:rPr>
                        <w:t xml:space="preserve"> </w:t>
                      </w:r>
                      <w:r>
                        <w:rPr>
                          <w:color w:val="231F20"/>
                          <w:spacing w:val="-2"/>
                          <w:w w:val="95"/>
                        </w:rPr>
                        <w:t>University</w:t>
                      </w:r>
                    </w:p>
                    <w:p w14:paraId="0EBA64D6" w14:textId="77777777" w:rsidR="00AE0598" w:rsidRDefault="0069255A">
                      <w:pPr>
                        <w:pStyle w:val="Corpodetexto"/>
                        <w:spacing w:before="120" w:line="232" w:lineRule="auto"/>
                        <w:ind w:left="113" w:right="110" w:firstLine="320"/>
                        <w:jc w:val="both"/>
                        <w:rPr>
                          <w:color w:val="000000"/>
                        </w:rPr>
                      </w:pPr>
                      <w:r>
                        <w:rPr>
                          <w:color w:val="231F20"/>
                          <w:w w:val="95"/>
                        </w:rPr>
                        <w:t>The</w:t>
                      </w:r>
                      <w:r>
                        <w:rPr>
                          <w:color w:val="231F20"/>
                          <w:spacing w:val="-3"/>
                          <w:w w:val="95"/>
                        </w:rPr>
                        <w:t xml:space="preserve"> </w:t>
                      </w:r>
                      <w:r>
                        <w:rPr>
                          <w:color w:val="231F20"/>
                          <w:w w:val="95"/>
                        </w:rPr>
                        <w:t>coastal</w:t>
                      </w:r>
                      <w:r>
                        <w:rPr>
                          <w:color w:val="231F20"/>
                          <w:spacing w:val="-3"/>
                          <w:w w:val="95"/>
                        </w:rPr>
                        <w:t xml:space="preserve"> </w:t>
                      </w:r>
                      <w:r>
                        <w:rPr>
                          <w:color w:val="231F20"/>
                          <w:w w:val="95"/>
                        </w:rPr>
                        <w:t>towns</w:t>
                      </w:r>
                      <w:r>
                        <w:rPr>
                          <w:color w:val="231F20"/>
                          <w:spacing w:val="-3"/>
                          <w:w w:val="95"/>
                        </w:rPr>
                        <w:t xml:space="preserve"> </w:t>
                      </w:r>
                      <w:r>
                        <w:rPr>
                          <w:color w:val="231F20"/>
                          <w:w w:val="95"/>
                        </w:rPr>
                        <w:t>of</w:t>
                      </w:r>
                      <w:r>
                        <w:rPr>
                          <w:color w:val="231F20"/>
                          <w:spacing w:val="-3"/>
                          <w:w w:val="95"/>
                        </w:rPr>
                        <w:t xml:space="preserve"> </w:t>
                      </w:r>
                      <w:r>
                        <w:rPr>
                          <w:color w:val="231F20"/>
                          <w:w w:val="95"/>
                        </w:rPr>
                        <w:t>Bournemouth</w:t>
                      </w:r>
                      <w:r>
                        <w:rPr>
                          <w:color w:val="231F20"/>
                          <w:spacing w:val="-3"/>
                          <w:w w:val="95"/>
                        </w:rPr>
                        <w:t xml:space="preserve"> </w:t>
                      </w:r>
                      <w:r>
                        <w:rPr>
                          <w:color w:val="231F20"/>
                          <w:w w:val="95"/>
                        </w:rPr>
                        <w:t>and</w:t>
                      </w:r>
                      <w:r>
                        <w:rPr>
                          <w:color w:val="231F20"/>
                          <w:spacing w:val="-3"/>
                          <w:w w:val="95"/>
                        </w:rPr>
                        <w:t xml:space="preserve"> </w:t>
                      </w:r>
                      <w:r>
                        <w:rPr>
                          <w:color w:val="231F20"/>
                          <w:w w:val="95"/>
                        </w:rPr>
                        <w:t>Poole</w:t>
                      </w:r>
                      <w:r>
                        <w:rPr>
                          <w:color w:val="231F20"/>
                          <w:spacing w:val="-3"/>
                          <w:w w:val="95"/>
                        </w:rPr>
                        <w:t xml:space="preserve"> </w:t>
                      </w:r>
                      <w:r>
                        <w:rPr>
                          <w:color w:val="231F20"/>
                          <w:w w:val="95"/>
                        </w:rPr>
                        <w:t>in</w:t>
                      </w:r>
                      <w:r>
                        <w:rPr>
                          <w:color w:val="231F20"/>
                          <w:spacing w:val="-3"/>
                          <w:w w:val="95"/>
                        </w:rPr>
                        <w:t xml:space="preserve"> </w:t>
                      </w:r>
                      <w:r>
                        <w:rPr>
                          <w:color w:val="231F20"/>
                          <w:w w:val="95"/>
                        </w:rPr>
                        <w:t>the</w:t>
                      </w:r>
                      <w:r>
                        <w:rPr>
                          <w:color w:val="231F20"/>
                          <w:spacing w:val="-3"/>
                          <w:w w:val="95"/>
                        </w:rPr>
                        <w:t xml:space="preserve"> </w:t>
                      </w:r>
                      <w:r>
                        <w:rPr>
                          <w:color w:val="231F20"/>
                          <w:w w:val="95"/>
                        </w:rPr>
                        <w:t>south</w:t>
                      </w:r>
                      <w:r>
                        <w:rPr>
                          <w:color w:val="231F20"/>
                          <w:spacing w:val="-3"/>
                          <w:w w:val="95"/>
                        </w:rPr>
                        <w:t xml:space="preserve"> </w:t>
                      </w:r>
                      <w:r>
                        <w:rPr>
                          <w:color w:val="231F20"/>
                          <w:w w:val="95"/>
                        </w:rPr>
                        <w:t>of</w:t>
                      </w:r>
                      <w:r>
                        <w:rPr>
                          <w:color w:val="231F20"/>
                          <w:spacing w:val="-3"/>
                          <w:w w:val="95"/>
                        </w:rPr>
                        <w:t xml:space="preserve"> </w:t>
                      </w:r>
                      <w:r>
                        <w:rPr>
                          <w:color w:val="231F20"/>
                          <w:w w:val="95"/>
                        </w:rPr>
                        <w:t xml:space="preserve">England, </w:t>
                      </w:r>
                      <w:r>
                        <w:rPr>
                          <w:color w:val="231F20"/>
                          <w:spacing w:val="-2"/>
                        </w:rPr>
                        <w:t>approximately</w:t>
                      </w:r>
                      <w:r>
                        <w:rPr>
                          <w:color w:val="231F20"/>
                          <w:spacing w:val="-8"/>
                        </w:rPr>
                        <w:t xml:space="preserve"> </w:t>
                      </w:r>
                      <w:r>
                        <w:rPr>
                          <w:color w:val="231F20"/>
                          <w:spacing w:val="-2"/>
                        </w:rPr>
                        <w:t>two</w:t>
                      </w:r>
                      <w:r>
                        <w:rPr>
                          <w:color w:val="231F20"/>
                          <w:spacing w:val="-8"/>
                        </w:rPr>
                        <w:t xml:space="preserve"> </w:t>
                      </w:r>
                      <w:r>
                        <w:rPr>
                          <w:color w:val="231F20"/>
                          <w:spacing w:val="-2"/>
                        </w:rPr>
                        <w:t>hours</w:t>
                      </w:r>
                      <w:r>
                        <w:rPr>
                          <w:color w:val="231F20"/>
                          <w:spacing w:val="-8"/>
                        </w:rPr>
                        <w:t xml:space="preserve"> </w:t>
                      </w:r>
                      <w:r>
                        <w:rPr>
                          <w:color w:val="231F20"/>
                          <w:spacing w:val="-2"/>
                        </w:rPr>
                        <w:t>from</w:t>
                      </w:r>
                      <w:r>
                        <w:rPr>
                          <w:color w:val="231F20"/>
                          <w:spacing w:val="-8"/>
                        </w:rPr>
                        <w:t xml:space="preserve"> </w:t>
                      </w:r>
                      <w:r>
                        <w:rPr>
                          <w:color w:val="231F20"/>
                          <w:spacing w:val="-2"/>
                        </w:rPr>
                        <w:t>London,</w:t>
                      </w:r>
                      <w:r>
                        <w:rPr>
                          <w:color w:val="231F20"/>
                          <w:spacing w:val="-8"/>
                        </w:rPr>
                        <w:t xml:space="preserve"> </w:t>
                      </w:r>
                      <w:r>
                        <w:rPr>
                          <w:color w:val="231F20"/>
                          <w:spacing w:val="-2"/>
                        </w:rPr>
                        <w:t>are</w:t>
                      </w:r>
                      <w:r>
                        <w:rPr>
                          <w:color w:val="231F20"/>
                          <w:spacing w:val="-8"/>
                        </w:rPr>
                        <w:t xml:space="preserve"> </w:t>
                      </w:r>
                      <w:r>
                        <w:rPr>
                          <w:color w:val="231F20"/>
                          <w:spacing w:val="-2"/>
                        </w:rPr>
                        <w:t>widely</w:t>
                      </w:r>
                      <w:r>
                        <w:rPr>
                          <w:color w:val="231F20"/>
                          <w:spacing w:val="-8"/>
                        </w:rPr>
                        <w:t xml:space="preserve"> </w:t>
                      </w:r>
                      <w:r>
                        <w:rPr>
                          <w:color w:val="231F20"/>
                          <w:spacing w:val="-2"/>
                        </w:rPr>
                        <w:t>recognised</w:t>
                      </w:r>
                      <w:r>
                        <w:rPr>
                          <w:color w:val="231F20"/>
                          <w:spacing w:val="-8"/>
                        </w:rPr>
                        <w:t xml:space="preserve"> </w:t>
                      </w:r>
                      <w:r>
                        <w:rPr>
                          <w:color w:val="231F20"/>
                          <w:spacing w:val="-2"/>
                        </w:rPr>
                        <w:t>as</w:t>
                      </w:r>
                      <w:r>
                        <w:rPr>
                          <w:color w:val="231F20"/>
                          <w:spacing w:val="-8"/>
                        </w:rPr>
                        <w:t xml:space="preserve"> </w:t>
                      </w:r>
                      <w:r>
                        <w:rPr>
                          <w:color w:val="231F20"/>
                          <w:spacing w:val="-2"/>
                        </w:rPr>
                        <w:t>two</w:t>
                      </w:r>
                      <w:r>
                        <w:rPr>
                          <w:color w:val="231F20"/>
                          <w:spacing w:val="-8"/>
                        </w:rPr>
                        <w:t xml:space="preserve"> </w:t>
                      </w:r>
                      <w:r>
                        <w:rPr>
                          <w:color w:val="231F20"/>
                          <w:spacing w:val="-2"/>
                        </w:rPr>
                        <w:t xml:space="preserve">of </w:t>
                      </w:r>
                      <w:r>
                        <w:rPr>
                          <w:color w:val="231F20"/>
                          <w:w w:val="95"/>
                        </w:rPr>
                        <w:t>the</w:t>
                      </w:r>
                      <w:r>
                        <w:rPr>
                          <w:color w:val="231F20"/>
                          <w:spacing w:val="-1"/>
                          <w:w w:val="95"/>
                        </w:rPr>
                        <w:t xml:space="preserve"> </w:t>
                      </w:r>
                      <w:r>
                        <w:rPr>
                          <w:color w:val="231F20"/>
                          <w:w w:val="95"/>
                        </w:rPr>
                        <w:t>premier</w:t>
                      </w:r>
                      <w:r>
                        <w:rPr>
                          <w:color w:val="231F20"/>
                          <w:spacing w:val="-1"/>
                          <w:w w:val="95"/>
                        </w:rPr>
                        <w:t xml:space="preserve"> </w:t>
                      </w:r>
                      <w:r>
                        <w:rPr>
                          <w:color w:val="231F20"/>
                          <w:w w:val="95"/>
                        </w:rPr>
                        <w:t>tourism</w:t>
                      </w:r>
                      <w:r>
                        <w:rPr>
                          <w:color w:val="231F20"/>
                          <w:spacing w:val="-1"/>
                          <w:w w:val="95"/>
                        </w:rPr>
                        <w:t xml:space="preserve"> </w:t>
                      </w:r>
                      <w:r>
                        <w:rPr>
                          <w:color w:val="231F20"/>
                          <w:w w:val="95"/>
                        </w:rPr>
                        <w:t>destinations</w:t>
                      </w:r>
                      <w:r>
                        <w:rPr>
                          <w:color w:val="231F20"/>
                          <w:spacing w:val="-1"/>
                          <w:w w:val="95"/>
                        </w:rPr>
                        <w:t xml:space="preserve"> </w:t>
                      </w:r>
                      <w:r>
                        <w:rPr>
                          <w:color w:val="231F20"/>
                          <w:w w:val="95"/>
                        </w:rPr>
                        <w:t>in</w:t>
                      </w:r>
                      <w:r>
                        <w:rPr>
                          <w:color w:val="231F20"/>
                          <w:spacing w:val="-1"/>
                          <w:w w:val="95"/>
                        </w:rPr>
                        <w:t xml:space="preserve"> </w:t>
                      </w:r>
                      <w:r>
                        <w:rPr>
                          <w:color w:val="231F20"/>
                          <w:w w:val="95"/>
                        </w:rPr>
                        <w:t>the</w:t>
                      </w:r>
                      <w:r>
                        <w:rPr>
                          <w:color w:val="231F20"/>
                          <w:spacing w:val="-1"/>
                          <w:w w:val="95"/>
                        </w:rPr>
                        <w:t xml:space="preserve"> </w:t>
                      </w:r>
                      <w:r>
                        <w:rPr>
                          <w:color w:val="231F20"/>
                          <w:w w:val="95"/>
                        </w:rPr>
                        <w:t>UK,</w:t>
                      </w:r>
                      <w:r>
                        <w:rPr>
                          <w:color w:val="231F20"/>
                          <w:spacing w:val="-1"/>
                          <w:w w:val="95"/>
                        </w:rPr>
                        <w:t xml:space="preserve"> </w:t>
                      </w:r>
                      <w:r>
                        <w:rPr>
                          <w:color w:val="231F20"/>
                          <w:w w:val="95"/>
                        </w:rPr>
                        <w:t>and</w:t>
                      </w:r>
                      <w:r>
                        <w:rPr>
                          <w:color w:val="231F20"/>
                          <w:spacing w:val="-1"/>
                          <w:w w:val="95"/>
                        </w:rPr>
                        <w:t xml:space="preserve"> </w:t>
                      </w:r>
                      <w:r>
                        <w:rPr>
                          <w:color w:val="231F20"/>
                          <w:w w:val="95"/>
                        </w:rPr>
                        <w:t>provide</w:t>
                      </w:r>
                      <w:r>
                        <w:rPr>
                          <w:color w:val="231F20"/>
                          <w:spacing w:val="-1"/>
                          <w:w w:val="95"/>
                        </w:rPr>
                        <w:t xml:space="preserve"> </w:t>
                      </w:r>
                      <w:r>
                        <w:rPr>
                          <w:color w:val="231F20"/>
                          <w:w w:val="95"/>
                        </w:rPr>
                        <w:t>a</w:t>
                      </w:r>
                      <w:r>
                        <w:rPr>
                          <w:color w:val="231F20"/>
                          <w:spacing w:val="-1"/>
                          <w:w w:val="95"/>
                        </w:rPr>
                        <w:t xml:space="preserve"> </w:t>
                      </w:r>
                      <w:r>
                        <w:rPr>
                          <w:color w:val="231F20"/>
                          <w:w w:val="95"/>
                        </w:rPr>
                        <w:t>diverse</w:t>
                      </w:r>
                      <w:r>
                        <w:rPr>
                          <w:color w:val="231F20"/>
                          <w:spacing w:val="-1"/>
                          <w:w w:val="95"/>
                        </w:rPr>
                        <w:t xml:space="preserve"> </w:t>
                      </w:r>
                      <w:r>
                        <w:rPr>
                          <w:color w:val="231F20"/>
                          <w:w w:val="95"/>
                        </w:rPr>
                        <w:t xml:space="preserve">wealth </w:t>
                      </w:r>
                      <w:r>
                        <w:rPr>
                          <w:color w:val="231F20"/>
                          <w:spacing w:val="-2"/>
                          <w:w w:val="95"/>
                        </w:rPr>
                        <w:t>of</w:t>
                      </w:r>
                      <w:r>
                        <w:rPr>
                          <w:color w:val="231F20"/>
                          <w:spacing w:val="-4"/>
                          <w:w w:val="95"/>
                        </w:rPr>
                        <w:t xml:space="preserve"> </w:t>
                      </w:r>
                      <w:r>
                        <w:rPr>
                          <w:color w:val="231F20"/>
                          <w:spacing w:val="-2"/>
                          <w:w w:val="95"/>
                        </w:rPr>
                        <w:t>land-</w:t>
                      </w:r>
                      <w:r>
                        <w:rPr>
                          <w:color w:val="231F20"/>
                          <w:spacing w:val="-4"/>
                          <w:w w:val="95"/>
                        </w:rPr>
                        <w:t xml:space="preserve"> </w:t>
                      </w:r>
                      <w:r>
                        <w:rPr>
                          <w:color w:val="231F20"/>
                          <w:spacing w:val="-2"/>
                          <w:w w:val="95"/>
                        </w:rPr>
                        <w:t>and</w:t>
                      </w:r>
                      <w:r>
                        <w:rPr>
                          <w:color w:val="231F20"/>
                          <w:spacing w:val="-4"/>
                          <w:w w:val="95"/>
                        </w:rPr>
                        <w:t xml:space="preserve"> </w:t>
                      </w:r>
                      <w:r>
                        <w:rPr>
                          <w:color w:val="231F20"/>
                          <w:spacing w:val="-2"/>
                          <w:w w:val="95"/>
                        </w:rPr>
                        <w:t>water-based</w:t>
                      </w:r>
                      <w:r>
                        <w:rPr>
                          <w:color w:val="231F20"/>
                          <w:spacing w:val="-4"/>
                          <w:w w:val="95"/>
                        </w:rPr>
                        <w:t xml:space="preserve"> </w:t>
                      </w:r>
                      <w:r>
                        <w:rPr>
                          <w:color w:val="231F20"/>
                          <w:spacing w:val="-2"/>
                          <w:w w:val="95"/>
                        </w:rPr>
                        <w:t>sport</w:t>
                      </w:r>
                      <w:r>
                        <w:rPr>
                          <w:color w:val="231F20"/>
                          <w:spacing w:val="-4"/>
                          <w:w w:val="95"/>
                        </w:rPr>
                        <w:t xml:space="preserve"> </w:t>
                      </w:r>
                      <w:r>
                        <w:rPr>
                          <w:color w:val="231F20"/>
                          <w:spacing w:val="-2"/>
                          <w:w w:val="95"/>
                        </w:rPr>
                        <w:t>tourism</w:t>
                      </w:r>
                      <w:r>
                        <w:rPr>
                          <w:color w:val="231F20"/>
                          <w:spacing w:val="-4"/>
                          <w:w w:val="95"/>
                        </w:rPr>
                        <w:t xml:space="preserve"> </w:t>
                      </w:r>
                      <w:r>
                        <w:rPr>
                          <w:color w:val="231F20"/>
                          <w:spacing w:val="-2"/>
                          <w:w w:val="95"/>
                        </w:rPr>
                        <w:t>activities.</w:t>
                      </w:r>
                      <w:r>
                        <w:rPr>
                          <w:color w:val="231F20"/>
                          <w:spacing w:val="-4"/>
                          <w:w w:val="95"/>
                        </w:rPr>
                        <w:t xml:space="preserve"> </w:t>
                      </w:r>
                      <w:r>
                        <w:rPr>
                          <w:color w:val="231F20"/>
                          <w:spacing w:val="-2"/>
                          <w:w w:val="95"/>
                        </w:rPr>
                        <w:t>Bournemouth</w:t>
                      </w:r>
                      <w:r>
                        <w:rPr>
                          <w:color w:val="231F20"/>
                          <w:spacing w:val="-4"/>
                          <w:w w:val="95"/>
                        </w:rPr>
                        <w:t xml:space="preserve"> </w:t>
                      </w:r>
                      <w:r>
                        <w:rPr>
                          <w:color w:val="231F20"/>
                          <w:spacing w:val="-2"/>
                          <w:w w:val="95"/>
                        </w:rPr>
                        <w:t xml:space="preserve">University </w:t>
                      </w:r>
                      <w:r>
                        <w:rPr>
                          <w:color w:val="231F20"/>
                          <w:w w:val="95"/>
                        </w:rPr>
                        <w:t>(BU)</w:t>
                      </w:r>
                      <w:r>
                        <w:rPr>
                          <w:color w:val="231F20"/>
                          <w:spacing w:val="-9"/>
                          <w:w w:val="95"/>
                        </w:rPr>
                        <w:t xml:space="preserve"> </w:t>
                      </w:r>
                      <w:r>
                        <w:rPr>
                          <w:color w:val="231F20"/>
                          <w:w w:val="95"/>
                        </w:rPr>
                        <w:t>has</w:t>
                      </w:r>
                      <w:r>
                        <w:rPr>
                          <w:color w:val="231F20"/>
                          <w:spacing w:val="-9"/>
                          <w:w w:val="95"/>
                        </w:rPr>
                        <w:t xml:space="preserve"> </w:t>
                      </w:r>
                      <w:r>
                        <w:rPr>
                          <w:color w:val="231F20"/>
                          <w:w w:val="95"/>
                        </w:rPr>
                        <w:t>a</w:t>
                      </w:r>
                      <w:r>
                        <w:rPr>
                          <w:color w:val="231F20"/>
                          <w:spacing w:val="-9"/>
                          <w:w w:val="95"/>
                        </w:rPr>
                        <w:t xml:space="preserve"> </w:t>
                      </w:r>
                      <w:r>
                        <w:rPr>
                          <w:color w:val="231F20"/>
                          <w:w w:val="95"/>
                        </w:rPr>
                        <w:t>long</w:t>
                      </w:r>
                      <w:r>
                        <w:rPr>
                          <w:color w:val="231F20"/>
                          <w:spacing w:val="-9"/>
                          <w:w w:val="95"/>
                        </w:rPr>
                        <w:t xml:space="preserve"> </w:t>
                      </w:r>
                      <w:r>
                        <w:rPr>
                          <w:color w:val="231F20"/>
                          <w:w w:val="95"/>
                        </w:rPr>
                        <w:t>tradition</w:t>
                      </w:r>
                      <w:r>
                        <w:rPr>
                          <w:color w:val="231F20"/>
                          <w:spacing w:val="-9"/>
                          <w:w w:val="95"/>
                        </w:rPr>
                        <w:t xml:space="preserve"> </w:t>
                      </w:r>
                      <w:r>
                        <w:rPr>
                          <w:color w:val="231F20"/>
                          <w:w w:val="95"/>
                        </w:rPr>
                        <w:t>of</w:t>
                      </w:r>
                      <w:r>
                        <w:rPr>
                          <w:color w:val="231F20"/>
                          <w:spacing w:val="-9"/>
                          <w:w w:val="95"/>
                        </w:rPr>
                        <w:t xml:space="preserve"> </w:t>
                      </w:r>
                      <w:r>
                        <w:rPr>
                          <w:color w:val="231F20"/>
                          <w:w w:val="95"/>
                        </w:rPr>
                        <w:t>leisure,</w:t>
                      </w:r>
                      <w:r>
                        <w:rPr>
                          <w:color w:val="231F20"/>
                          <w:spacing w:val="-9"/>
                          <w:w w:val="95"/>
                        </w:rPr>
                        <w:t xml:space="preserve"> </w:t>
                      </w:r>
                      <w:r>
                        <w:rPr>
                          <w:color w:val="231F20"/>
                          <w:w w:val="95"/>
                        </w:rPr>
                        <w:t>tourism</w:t>
                      </w:r>
                      <w:r>
                        <w:rPr>
                          <w:color w:val="231F20"/>
                          <w:spacing w:val="-9"/>
                          <w:w w:val="95"/>
                        </w:rPr>
                        <w:t xml:space="preserve"> </w:t>
                      </w:r>
                      <w:r>
                        <w:rPr>
                          <w:color w:val="231F20"/>
                          <w:w w:val="95"/>
                        </w:rPr>
                        <w:t>and</w:t>
                      </w:r>
                      <w:r>
                        <w:rPr>
                          <w:color w:val="231F20"/>
                          <w:spacing w:val="-9"/>
                          <w:w w:val="95"/>
                        </w:rPr>
                        <w:t xml:space="preserve"> </w:t>
                      </w:r>
                      <w:r>
                        <w:rPr>
                          <w:color w:val="231F20"/>
                          <w:w w:val="95"/>
                        </w:rPr>
                        <w:t>hospitality</w:t>
                      </w:r>
                      <w:r>
                        <w:rPr>
                          <w:color w:val="231F20"/>
                          <w:spacing w:val="-9"/>
                          <w:w w:val="95"/>
                        </w:rPr>
                        <w:t xml:space="preserve"> </w:t>
                      </w:r>
                      <w:r>
                        <w:rPr>
                          <w:color w:val="231F20"/>
                          <w:w w:val="95"/>
                        </w:rPr>
                        <w:t>education,</w:t>
                      </w:r>
                      <w:r>
                        <w:rPr>
                          <w:color w:val="231F20"/>
                          <w:spacing w:val="-9"/>
                          <w:w w:val="95"/>
                        </w:rPr>
                        <w:t xml:space="preserve"> </w:t>
                      </w:r>
                      <w:r>
                        <w:rPr>
                          <w:color w:val="231F20"/>
                          <w:w w:val="95"/>
                        </w:rPr>
                        <w:t xml:space="preserve">and more recently has experienced a rapid expansion of degree programmes </w:t>
                      </w:r>
                      <w:r>
                        <w:rPr>
                          <w:color w:val="231F20"/>
                        </w:rPr>
                        <w:t xml:space="preserve">that focus on sport and events management. This interaction of the </w:t>
                      </w:r>
                      <w:r>
                        <w:rPr>
                          <w:color w:val="231F20"/>
                          <w:w w:val="95"/>
                        </w:rPr>
                        <w:t>sport, tourism and e</w:t>
                      </w:r>
                      <w:r>
                        <w:rPr>
                          <w:color w:val="231F20"/>
                          <w:w w:val="95"/>
                        </w:rPr>
                        <w:t xml:space="preserve">vents industries is embedded within the curriculum </w:t>
                      </w:r>
                      <w:r>
                        <w:rPr>
                          <w:color w:val="231F20"/>
                          <w:spacing w:val="-2"/>
                        </w:rPr>
                        <w:t>of</w:t>
                      </w:r>
                      <w:r>
                        <w:rPr>
                          <w:color w:val="231F20"/>
                          <w:spacing w:val="-4"/>
                        </w:rPr>
                        <w:t xml:space="preserve"> </w:t>
                      </w:r>
                      <w:r>
                        <w:rPr>
                          <w:color w:val="231F20"/>
                          <w:spacing w:val="-2"/>
                        </w:rPr>
                        <w:t>undergraduate</w:t>
                      </w:r>
                      <w:r>
                        <w:rPr>
                          <w:color w:val="231F20"/>
                          <w:spacing w:val="-4"/>
                        </w:rPr>
                        <w:t xml:space="preserve"> </w:t>
                      </w:r>
                      <w:r>
                        <w:rPr>
                          <w:color w:val="231F20"/>
                          <w:spacing w:val="-2"/>
                        </w:rPr>
                        <w:t>and</w:t>
                      </w:r>
                      <w:r>
                        <w:rPr>
                          <w:color w:val="231F20"/>
                          <w:spacing w:val="-4"/>
                        </w:rPr>
                        <w:t xml:space="preserve"> </w:t>
                      </w:r>
                      <w:r>
                        <w:rPr>
                          <w:color w:val="231F20"/>
                          <w:spacing w:val="-2"/>
                        </w:rPr>
                        <w:t>postgraduate</w:t>
                      </w:r>
                      <w:r>
                        <w:rPr>
                          <w:color w:val="231F20"/>
                          <w:spacing w:val="-4"/>
                        </w:rPr>
                        <w:t xml:space="preserve"> </w:t>
                      </w:r>
                      <w:r>
                        <w:rPr>
                          <w:color w:val="231F20"/>
                          <w:spacing w:val="-2"/>
                        </w:rPr>
                        <w:t>programmes</w:t>
                      </w:r>
                      <w:r>
                        <w:rPr>
                          <w:color w:val="231F20"/>
                          <w:spacing w:val="-4"/>
                        </w:rPr>
                        <w:t xml:space="preserve"> </w:t>
                      </w:r>
                      <w:r>
                        <w:rPr>
                          <w:color w:val="231F20"/>
                          <w:spacing w:val="-2"/>
                        </w:rPr>
                        <w:t>at</w:t>
                      </w:r>
                      <w:r>
                        <w:rPr>
                          <w:color w:val="231F20"/>
                          <w:spacing w:val="-4"/>
                        </w:rPr>
                        <w:t xml:space="preserve"> </w:t>
                      </w:r>
                      <w:r>
                        <w:rPr>
                          <w:color w:val="231F20"/>
                          <w:spacing w:val="-2"/>
                        </w:rPr>
                        <w:t>the</w:t>
                      </w:r>
                      <w:r>
                        <w:rPr>
                          <w:color w:val="231F20"/>
                          <w:spacing w:val="-4"/>
                        </w:rPr>
                        <w:t xml:space="preserve"> </w:t>
                      </w:r>
                      <w:r>
                        <w:rPr>
                          <w:color w:val="231F20"/>
                          <w:spacing w:val="-2"/>
                        </w:rPr>
                        <w:t>university</w:t>
                      </w:r>
                      <w:r>
                        <w:rPr>
                          <w:color w:val="231F20"/>
                          <w:spacing w:val="-4"/>
                        </w:rPr>
                        <w:t xml:space="preserve"> </w:t>
                      </w:r>
                      <w:r>
                        <w:rPr>
                          <w:color w:val="231F20"/>
                          <w:spacing w:val="-2"/>
                        </w:rPr>
                        <w:t xml:space="preserve">with </w:t>
                      </w:r>
                      <w:r>
                        <w:rPr>
                          <w:color w:val="231F20"/>
                          <w:w w:val="95"/>
                        </w:rPr>
                        <w:t xml:space="preserve">dedicated </w:t>
                      </w:r>
                      <w:r>
                        <w:rPr>
                          <w:i/>
                          <w:color w:val="231F20"/>
                          <w:w w:val="95"/>
                        </w:rPr>
                        <w:t xml:space="preserve">Sport Tourism </w:t>
                      </w:r>
                      <w:r>
                        <w:rPr>
                          <w:color w:val="231F20"/>
                          <w:w w:val="95"/>
                        </w:rPr>
                        <w:t xml:space="preserve">units taught at both levels to students from BU’s </w:t>
                      </w:r>
                      <w:r>
                        <w:rPr>
                          <w:color w:val="231F20"/>
                          <w:spacing w:val="-2"/>
                        </w:rPr>
                        <w:t>tourism,</w:t>
                      </w:r>
                      <w:r>
                        <w:rPr>
                          <w:color w:val="231F20"/>
                          <w:spacing w:val="-10"/>
                        </w:rPr>
                        <w:t xml:space="preserve"> </w:t>
                      </w:r>
                      <w:r>
                        <w:rPr>
                          <w:color w:val="231F20"/>
                          <w:spacing w:val="-2"/>
                        </w:rPr>
                        <w:t>sport,</w:t>
                      </w:r>
                      <w:r>
                        <w:rPr>
                          <w:color w:val="231F20"/>
                          <w:spacing w:val="-10"/>
                        </w:rPr>
                        <w:t xml:space="preserve"> </w:t>
                      </w:r>
                      <w:r>
                        <w:rPr>
                          <w:color w:val="231F20"/>
                          <w:spacing w:val="-2"/>
                        </w:rPr>
                        <w:t>hospitality,</w:t>
                      </w:r>
                      <w:r>
                        <w:rPr>
                          <w:color w:val="231F20"/>
                          <w:spacing w:val="-9"/>
                        </w:rPr>
                        <w:t xml:space="preserve"> </w:t>
                      </w:r>
                      <w:r>
                        <w:rPr>
                          <w:color w:val="231F20"/>
                          <w:spacing w:val="-2"/>
                        </w:rPr>
                        <w:t>leisure</w:t>
                      </w:r>
                      <w:r>
                        <w:rPr>
                          <w:color w:val="231F20"/>
                          <w:spacing w:val="-10"/>
                        </w:rPr>
                        <w:t xml:space="preserve"> </w:t>
                      </w:r>
                      <w:r>
                        <w:rPr>
                          <w:color w:val="231F20"/>
                          <w:spacing w:val="-2"/>
                        </w:rPr>
                        <w:t>and</w:t>
                      </w:r>
                      <w:r>
                        <w:rPr>
                          <w:color w:val="231F20"/>
                          <w:spacing w:val="-9"/>
                        </w:rPr>
                        <w:t xml:space="preserve"> </w:t>
                      </w:r>
                      <w:r>
                        <w:rPr>
                          <w:color w:val="231F20"/>
                          <w:spacing w:val="-2"/>
                        </w:rPr>
                        <w:t>events</w:t>
                      </w:r>
                      <w:r>
                        <w:rPr>
                          <w:color w:val="231F20"/>
                          <w:spacing w:val="-10"/>
                        </w:rPr>
                        <w:t xml:space="preserve"> </w:t>
                      </w:r>
                      <w:r>
                        <w:rPr>
                          <w:color w:val="231F20"/>
                          <w:spacing w:val="-2"/>
                        </w:rPr>
                        <w:t>degree</w:t>
                      </w:r>
                      <w:r>
                        <w:rPr>
                          <w:color w:val="231F20"/>
                          <w:spacing w:val="-9"/>
                        </w:rPr>
                        <w:t xml:space="preserve"> </w:t>
                      </w:r>
                      <w:r>
                        <w:rPr>
                          <w:color w:val="231F20"/>
                          <w:spacing w:val="-2"/>
                        </w:rPr>
                        <w:t>programmes.</w:t>
                      </w:r>
                    </w:p>
                    <w:p w14:paraId="1FBB1879" w14:textId="77777777" w:rsidR="00AE0598" w:rsidRDefault="0069255A">
                      <w:pPr>
                        <w:spacing w:line="179" w:lineRule="exact"/>
                        <w:ind w:right="119"/>
                        <w:jc w:val="right"/>
                        <w:rPr>
                          <w:rFonts w:ascii="Trebuchet MS"/>
                          <w:i/>
                          <w:color w:val="000000"/>
                          <w:sz w:val="18"/>
                        </w:rPr>
                      </w:pPr>
                      <w:r>
                        <w:rPr>
                          <w:rFonts w:ascii="Trebuchet MS"/>
                          <w:i/>
                          <w:color w:val="231F20"/>
                          <w:spacing w:val="-2"/>
                          <w:sz w:val="18"/>
                        </w:rPr>
                        <w:t>(Continued)</w:t>
                      </w:r>
                    </w:p>
                  </w:txbxContent>
                </v:textbox>
                <w10:wrap type="topAndBottom" anchorx="page"/>
              </v:shape>
            </w:pict>
          </mc:Fallback>
        </mc:AlternateContent>
      </w:r>
    </w:p>
    <w:p w14:paraId="00923C59" w14:textId="77777777" w:rsidR="00AE0598" w:rsidRDefault="00AE0598">
      <w:pPr>
        <w:rPr>
          <w:sz w:val="15"/>
        </w:rPr>
        <w:sectPr w:rsidR="00AE0598">
          <w:pgSz w:w="8850" w:h="13270"/>
          <w:pgMar w:top="720" w:right="1080" w:bottom="280" w:left="1080" w:header="720" w:footer="720" w:gutter="0"/>
          <w:cols w:space="720"/>
        </w:sectPr>
      </w:pPr>
    </w:p>
    <w:p w14:paraId="0521C913" w14:textId="1CE4162D" w:rsidR="00AE0598" w:rsidRDefault="0069255A">
      <w:pPr>
        <w:spacing w:before="87"/>
        <w:ind w:left="108"/>
        <w:rPr>
          <w:rFonts w:ascii="Trebuchet MS"/>
          <w:sz w:val="14"/>
        </w:rPr>
      </w:pPr>
      <w:r>
        <w:rPr>
          <w:noProof/>
        </w:rPr>
        <w:lastRenderedPageBreak/>
        <mc:AlternateContent>
          <mc:Choice Requires="wps">
            <w:drawing>
              <wp:anchor distT="0" distB="0" distL="114300" distR="114300" simplePos="0" relativeHeight="483667968" behindDoc="1" locked="0" layoutInCell="1" allowOverlap="1" wp14:anchorId="2BEF1B4A" wp14:editId="5E8E8729">
                <wp:simplePos x="0" y="0"/>
                <wp:positionH relativeFrom="page">
                  <wp:posOffset>755650</wp:posOffset>
                </wp:positionH>
                <wp:positionV relativeFrom="page">
                  <wp:posOffset>838200</wp:posOffset>
                </wp:positionV>
                <wp:extent cx="4104005" cy="6758940"/>
                <wp:effectExtent l="0" t="0" r="0" b="0"/>
                <wp:wrapNone/>
                <wp:docPr id="312" name="docshape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04005" cy="6758940"/>
                        </a:xfrm>
                        <a:prstGeom prst="rect">
                          <a:avLst/>
                        </a:prstGeom>
                        <a:solidFill>
                          <a:srgbClr val="DCDDD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F2E30A" id="docshape62" o:spid="_x0000_s1026" style="position:absolute;margin-left:59.5pt;margin-top:66pt;width:323.15pt;height:532.2pt;z-index:-196485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" fillcolor="#dcddde" stroked="f">
                <w10:wrap anchorx="page" anchory="page"/>
              </v:rect>
            </w:pict>
          </mc:Fallback>
        </mc:AlternateContent>
      </w:r>
      <w:r>
        <w:rPr>
          <w:rFonts w:ascii="Trebuchet MS"/>
          <w:color w:val="231F20"/>
          <w:w w:val="105"/>
          <w:sz w:val="14"/>
        </w:rPr>
        <w:t>34</w:t>
      </w:r>
      <w:r>
        <w:rPr>
          <w:rFonts w:ascii="Trebuchet MS"/>
          <w:color w:val="231F20"/>
          <w:spacing w:val="64"/>
          <w:w w:val="150"/>
          <w:sz w:val="14"/>
        </w:rPr>
        <w:t xml:space="preserve"> </w:t>
      </w:r>
      <w:r>
        <w:rPr>
          <w:rFonts w:ascii="Trebuchet MS"/>
          <w:color w:val="231F20"/>
          <w:w w:val="105"/>
          <w:sz w:val="14"/>
        </w:rPr>
        <w:t>Part</w:t>
      </w:r>
      <w:r>
        <w:rPr>
          <w:rFonts w:ascii="Trebuchet MS"/>
          <w:color w:val="231F20"/>
          <w:spacing w:val="-9"/>
          <w:w w:val="105"/>
          <w:sz w:val="14"/>
        </w:rPr>
        <w:t xml:space="preserve"> </w:t>
      </w:r>
      <w:r>
        <w:rPr>
          <w:rFonts w:ascii="Trebuchet MS"/>
          <w:color w:val="231F20"/>
          <w:w w:val="105"/>
          <w:sz w:val="14"/>
        </w:rPr>
        <w:t>2:</w:t>
      </w:r>
      <w:r>
        <w:rPr>
          <w:rFonts w:ascii="Trebuchet MS"/>
          <w:color w:val="231F20"/>
          <w:spacing w:val="-9"/>
          <w:w w:val="105"/>
          <w:sz w:val="14"/>
        </w:rPr>
        <w:t xml:space="preserve"> </w:t>
      </w:r>
      <w:r>
        <w:rPr>
          <w:rFonts w:ascii="Trebuchet MS"/>
          <w:color w:val="231F20"/>
          <w:w w:val="105"/>
          <w:sz w:val="14"/>
        </w:rPr>
        <w:t>Foundations</w:t>
      </w:r>
      <w:r>
        <w:rPr>
          <w:rFonts w:ascii="Trebuchet MS"/>
          <w:color w:val="231F20"/>
          <w:spacing w:val="-9"/>
          <w:w w:val="105"/>
          <w:sz w:val="14"/>
        </w:rPr>
        <w:t xml:space="preserve"> </w:t>
      </w:r>
      <w:r>
        <w:rPr>
          <w:rFonts w:ascii="Trebuchet MS"/>
          <w:color w:val="231F20"/>
          <w:w w:val="105"/>
          <w:sz w:val="14"/>
        </w:rPr>
        <w:t>of</w:t>
      </w:r>
      <w:r>
        <w:rPr>
          <w:rFonts w:ascii="Trebuchet MS"/>
          <w:color w:val="231F20"/>
          <w:spacing w:val="-9"/>
          <w:w w:val="105"/>
          <w:sz w:val="14"/>
        </w:rPr>
        <w:t xml:space="preserve"> </w:t>
      </w:r>
      <w:r>
        <w:rPr>
          <w:rFonts w:ascii="Trebuchet MS"/>
          <w:color w:val="231F20"/>
          <w:w w:val="105"/>
          <w:sz w:val="14"/>
        </w:rPr>
        <w:t>Sport</w:t>
      </w:r>
      <w:r>
        <w:rPr>
          <w:rFonts w:ascii="Trebuchet MS"/>
          <w:color w:val="231F20"/>
          <w:spacing w:val="-9"/>
          <w:w w:val="105"/>
          <w:sz w:val="14"/>
        </w:rPr>
        <w:t xml:space="preserve"> </w:t>
      </w:r>
      <w:r>
        <w:rPr>
          <w:rFonts w:ascii="Trebuchet MS"/>
          <w:color w:val="231F20"/>
          <w:w w:val="105"/>
          <w:sz w:val="14"/>
        </w:rPr>
        <w:t>Tourism</w:t>
      </w:r>
      <w:r>
        <w:rPr>
          <w:rFonts w:ascii="Trebuchet MS"/>
          <w:color w:val="231F20"/>
          <w:spacing w:val="-9"/>
          <w:w w:val="105"/>
          <w:sz w:val="14"/>
        </w:rPr>
        <w:t xml:space="preserve"> </w:t>
      </w:r>
      <w:r>
        <w:rPr>
          <w:rFonts w:ascii="Trebuchet MS"/>
          <w:color w:val="231F20"/>
          <w:spacing w:val="-2"/>
          <w:w w:val="105"/>
          <w:sz w:val="14"/>
        </w:rPr>
        <w:t>Development</w:t>
      </w:r>
    </w:p>
    <w:p w14:paraId="7C2B8DDB" w14:textId="77777777" w:rsidR="00AE0598" w:rsidRDefault="00AE0598">
      <w:pPr>
        <w:pStyle w:val="Corpodetexto"/>
        <w:spacing w:before="10"/>
        <w:rPr>
          <w:rFonts w:ascii="Trebuchet MS"/>
          <w:sz w:val="27"/>
        </w:rPr>
      </w:pPr>
    </w:p>
    <w:p w14:paraId="2DEDF97D" w14:textId="77777777" w:rsidR="00AE0598" w:rsidRDefault="0069255A">
      <w:pPr>
        <w:spacing w:before="100"/>
        <w:ind w:left="229"/>
        <w:rPr>
          <w:rFonts w:ascii="Trebuchet MS"/>
          <w:sz w:val="18"/>
        </w:rPr>
      </w:pPr>
      <w:r>
        <w:rPr>
          <w:rFonts w:ascii="Trebuchet MS"/>
          <w:color w:val="231F20"/>
          <w:sz w:val="18"/>
        </w:rPr>
        <w:t>Case</w:t>
      </w:r>
      <w:r>
        <w:rPr>
          <w:rFonts w:ascii="Trebuchet MS"/>
          <w:color w:val="231F20"/>
          <w:spacing w:val="-7"/>
          <w:sz w:val="18"/>
        </w:rPr>
        <w:t xml:space="preserve"> </w:t>
      </w:r>
      <w:r>
        <w:rPr>
          <w:rFonts w:ascii="Trebuchet MS"/>
          <w:color w:val="231F20"/>
          <w:sz w:val="18"/>
        </w:rPr>
        <w:t>Study</w:t>
      </w:r>
      <w:r>
        <w:rPr>
          <w:rFonts w:ascii="Trebuchet MS"/>
          <w:color w:val="231F20"/>
          <w:spacing w:val="-6"/>
          <w:sz w:val="18"/>
        </w:rPr>
        <w:t xml:space="preserve"> </w:t>
      </w:r>
      <w:r>
        <w:rPr>
          <w:rFonts w:ascii="Trebuchet MS"/>
          <w:color w:val="231F20"/>
          <w:sz w:val="18"/>
        </w:rPr>
        <w:t>2.1:</w:t>
      </w:r>
      <w:r>
        <w:rPr>
          <w:rFonts w:ascii="Trebuchet MS"/>
          <w:color w:val="231F20"/>
          <w:spacing w:val="-7"/>
          <w:sz w:val="18"/>
        </w:rPr>
        <w:t xml:space="preserve"> </w:t>
      </w:r>
      <w:r>
        <w:rPr>
          <w:rFonts w:ascii="Trebuchet MS"/>
          <w:color w:val="231F20"/>
          <w:spacing w:val="-2"/>
          <w:sz w:val="18"/>
        </w:rPr>
        <w:t>(Continued)</w:t>
      </w:r>
    </w:p>
    <w:p w14:paraId="1D88EC6E" w14:textId="77777777" w:rsidR="00AE0598" w:rsidRDefault="00AE0598">
      <w:pPr>
        <w:pStyle w:val="Corpodetexto"/>
        <w:spacing w:before="9"/>
        <w:rPr>
          <w:rFonts w:ascii="Trebuchet MS"/>
          <w:sz w:val="16"/>
        </w:rPr>
      </w:pPr>
    </w:p>
    <w:p w14:paraId="28E2FE65" w14:textId="77777777" w:rsidR="00AE0598" w:rsidRDefault="0069255A">
      <w:pPr>
        <w:pStyle w:val="Corpodetexto"/>
        <w:spacing w:before="1" w:line="232" w:lineRule="auto"/>
        <w:ind w:left="223" w:right="218" w:firstLine="320"/>
        <w:jc w:val="both"/>
      </w:pPr>
      <w:r>
        <w:rPr>
          <w:color w:val="231F20"/>
        </w:rPr>
        <w:t>To</w:t>
      </w:r>
      <w:r>
        <w:rPr>
          <w:color w:val="231F20"/>
          <w:spacing w:val="40"/>
        </w:rPr>
        <w:t xml:space="preserve"> </w:t>
      </w:r>
      <w:r>
        <w:rPr>
          <w:color w:val="231F20"/>
        </w:rPr>
        <w:t>complement</w:t>
      </w:r>
      <w:r>
        <w:rPr>
          <w:color w:val="231F20"/>
          <w:spacing w:val="40"/>
        </w:rPr>
        <w:t xml:space="preserve"> </w:t>
      </w:r>
      <w:r>
        <w:rPr>
          <w:color w:val="231F20"/>
        </w:rPr>
        <w:t>more</w:t>
      </w:r>
      <w:r>
        <w:rPr>
          <w:color w:val="231F20"/>
          <w:spacing w:val="40"/>
        </w:rPr>
        <w:t xml:space="preserve"> </w:t>
      </w:r>
      <w:r>
        <w:rPr>
          <w:color w:val="231F20"/>
        </w:rPr>
        <w:t>traditional</w:t>
      </w:r>
      <w:r>
        <w:rPr>
          <w:color w:val="231F20"/>
          <w:spacing w:val="40"/>
        </w:rPr>
        <w:t xml:space="preserve"> </w:t>
      </w:r>
      <w:r>
        <w:rPr>
          <w:color w:val="231F20"/>
        </w:rPr>
        <w:t>mainstream</w:t>
      </w:r>
      <w:r>
        <w:rPr>
          <w:color w:val="231F20"/>
          <w:spacing w:val="40"/>
        </w:rPr>
        <w:t xml:space="preserve"> </w:t>
      </w:r>
      <w:r>
        <w:rPr>
          <w:color w:val="231F20"/>
        </w:rPr>
        <w:t>sports</w:t>
      </w:r>
      <w:r>
        <w:rPr>
          <w:color w:val="231F20"/>
          <w:spacing w:val="40"/>
        </w:rPr>
        <w:t xml:space="preserve"> </w:t>
      </w:r>
      <w:r>
        <w:rPr>
          <w:color w:val="231F20"/>
        </w:rPr>
        <w:t>events</w:t>
      </w:r>
      <w:r>
        <w:rPr>
          <w:color w:val="231F20"/>
          <w:spacing w:val="80"/>
        </w:rPr>
        <w:t xml:space="preserve"> </w:t>
      </w:r>
      <w:r>
        <w:rPr>
          <w:color w:val="231F20"/>
        </w:rPr>
        <w:t>and activities found at most tourism destinations, the towns have seen the emergence of a plethora of lifestyle-related sport tourism activities. These activities include increasingly popular coastal-</w:t>
      </w:r>
      <w:r>
        <w:rPr>
          <w:color w:val="231F20"/>
          <w:spacing w:val="80"/>
          <w:w w:val="150"/>
        </w:rPr>
        <w:t xml:space="preserve"> </w:t>
      </w:r>
      <w:r>
        <w:rPr>
          <w:color w:val="231F20"/>
        </w:rPr>
        <w:t>based sports such as open water sea swimming events, su</w:t>
      </w:r>
      <w:r>
        <w:rPr>
          <w:color w:val="231F20"/>
        </w:rPr>
        <w:t>rfing and standup paddle boarding (SUP). The central hubs of lifestyle sports are</w:t>
      </w:r>
      <w:r>
        <w:rPr>
          <w:color w:val="231F20"/>
          <w:spacing w:val="-3"/>
        </w:rPr>
        <w:t xml:space="preserve"> </w:t>
      </w:r>
      <w:r>
        <w:rPr>
          <w:color w:val="231F20"/>
        </w:rPr>
        <w:t>the</w:t>
      </w:r>
      <w:r>
        <w:rPr>
          <w:color w:val="231F20"/>
          <w:spacing w:val="-3"/>
        </w:rPr>
        <w:t xml:space="preserve"> </w:t>
      </w:r>
      <w:r>
        <w:rPr>
          <w:color w:val="231F20"/>
        </w:rPr>
        <w:t>Boscombe</w:t>
      </w:r>
      <w:r>
        <w:rPr>
          <w:color w:val="231F20"/>
          <w:spacing w:val="-3"/>
        </w:rPr>
        <w:t xml:space="preserve"> </w:t>
      </w:r>
      <w:r>
        <w:rPr>
          <w:color w:val="231F20"/>
        </w:rPr>
        <w:t>Pier</w:t>
      </w:r>
      <w:r>
        <w:rPr>
          <w:color w:val="231F20"/>
          <w:spacing w:val="-3"/>
        </w:rPr>
        <w:t xml:space="preserve"> </w:t>
      </w:r>
      <w:r>
        <w:rPr>
          <w:color w:val="231F20"/>
        </w:rPr>
        <w:t>area,</w:t>
      </w:r>
      <w:r>
        <w:rPr>
          <w:color w:val="231F20"/>
          <w:spacing w:val="-3"/>
        </w:rPr>
        <w:t xml:space="preserve"> </w:t>
      </w:r>
      <w:r>
        <w:rPr>
          <w:color w:val="231F20"/>
        </w:rPr>
        <w:t>infamous</w:t>
      </w:r>
      <w:r>
        <w:rPr>
          <w:color w:val="231F20"/>
          <w:spacing w:val="-3"/>
        </w:rPr>
        <w:t xml:space="preserve"> </w:t>
      </w:r>
      <w:r>
        <w:rPr>
          <w:color w:val="231F20"/>
        </w:rPr>
        <w:t>for</w:t>
      </w:r>
      <w:r>
        <w:rPr>
          <w:color w:val="231F20"/>
          <w:spacing w:val="-3"/>
        </w:rPr>
        <w:t xml:space="preserve"> </w:t>
      </w:r>
      <w:r>
        <w:rPr>
          <w:color w:val="231F20"/>
        </w:rPr>
        <w:t>the</w:t>
      </w:r>
      <w:r>
        <w:rPr>
          <w:color w:val="231F20"/>
          <w:spacing w:val="-3"/>
        </w:rPr>
        <w:t xml:space="preserve"> </w:t>
      </w:r>
      <w:r>
        <w:rPr>
          <w:color w:val="231F20"/>
        </w:rPr>
        <w:t>development</w:t>
      </w:r>
      <w:r>
        <w:rPr>
          <w:color w:val="231F20"/>
          <w:spacing w:val="-3"/>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rPr>
        <w:t xml:space="preserve">now </w:t>
      </w:r>
      <w:r>
        <w:rPr>
          <w:color w:val="231F20"/>
          <w:w w:val="95"/>
        </w:rPr>
        <w:t xml:space="preserve">defunct Bournemouth Surf Reef in 2005, and Bournemouth Pier where </w:t>
      </w:r>
      <w:r>
        <w:rPr>
          <w:color w:val="231F20"/>
        </w:rPr>
        <w:t>adventure</w:t>
      </w:r>
      <w:r>
        <w:rPr>
          <w:color w:val="231F20"/>
          <w:spacing w:val="-4"/>
        </w:rPr>
        <w:t xml:space="preserve"> </w:t>
      </w:r>
      <w:r>
        <w:rPr>
          <w:color w:val="231F20"/>
        </w:rPr>
        <w:t>and</w:t>
      </w:r>
      <w:r>
        <w:rPr>
          <w:color w:val="231F20"/>
          <w:spacing w:val="-4"/>
        </w:rPr>
        <w:t xml:space="preserve"> </w:t>
      </w:r>
      <w:r>
        <w:rPr>
          <w:color w:val="231F20"/>
        </w:rPr>
        <w:t>sport</w:t>
      </w:r>
      <w:r>
        <w:rPr>
          <w:color w:val="231F20"/>
          <w:spacing w:val="-4"/>
        </w:rPr>
        <w:t xml:space="preserve"> </w:t>
      </w:r>
      <w:r>
        <w:rPr>
          <w:color w:val="231F20"/>
        </w:rPr>
        <w:t>tourism</w:t>
      </w:r>
      <w:r>
        <w:rPr>
          <w:color w:val="231F20"/>
          <w:spacing w:val="-4"/>
        </w:rPr>
        <w:t xml:space="preserve"> </w:t>
      </w:r>
      <w:r>
        <w:rPr>
          <w:color w:val="231F20"/>
        </w:rPr>
        <w:t>activities</w:t>
      </w:r>
      <w:r>
        <w:rPr>
          <w:color w:val="231F20"/>
          <w:spacing w:val="-4"/>
        </w:rPr>
        <w:t xml:space="preserve"> </w:t>
      </w:r>
      <w:r>
        <w:rPr>
          <w:color w:val="231F20"/>
        </w:rPr>
        <w:t>have</w:t>
      </w:r>
      <w:r>
        <w:rPr>
          <w:color w:val="231F20"/>
          <w:spacing w:val="-4"/>
        </w:rPr>
        <w:t xml:space="preserve"> </w:t>
      </w:r>
      <w:r>
        <w:rPr>
          <w:color w:val="231F20"/>
        </w:rPr>
        <w:t>been</w:t>
      </w:r>
      <w:r>
        <w:rPr>
          <w:color w:val="231F20"/>
          <w:spacing w:val="-4"/>
        </w:rPr>
        <w:t xml:space="preserve"> </w:t>
      </w:r>
      <w:r>
        <w:rPr>
          <w:color w:val="231F20"/>
        </w:rPr>
        <w:t>initiated</w:t>
      </w:r>
      <w:r>
        <w:rPr>
          <w:color w:val="231F20"/>
          <w:spacing w:val="-4"/>
        </w:rPr>
        <w:t xml:space="preserve"> </w:t>
      </w:r>
      <w:r>
        <w:rPr>
          <w:color w:val="231F20"/>
        </w:rPr>
        <w:t>at</w:t>
      </w:r>
      <w:r>
        <w:rPr>
          <w:color w:val="231F20"/>
          <w:spacing w:val="-4"/>
        </w:rPr>
        <w:t xml:space="preserve"> </w:t>
      </w:r>
      <w:r>
        <w:rPr>
          <w:color w:val="231F20"/>
        </w:rPr>
        <w:t>the</w:t>
      </w:r>
      <w:r>
        <w:rPr>
          <w:color w:val="231F20"/>
          <w:spacing w:val="-4"/>
        </w:rPr>
        <w:t xml:space="preserve"> </w:t>
      </w:r>
      <w:r>
        <w:rPr>
          <w:color w:val="231F20"/>
        </w:rPr>
        <w:t xml:space="preserve">Rock </w:t>
      </w:r>
      <w:r>
        <w:rPr>
          <w:color w:val="231F20"/>
          <w:w w:val="95"/>
        </w:rPr>
        <w:t xml:space="preserve">Reef Activity Centre and theatre. Reflecting a change in the UK tourism </w:t>
      </w:r>
      <w:r>
        <w:rPr>
          <w:color w:val="231F20"/>
        </w:rPr>
        <w:t>market, more traditional and gentile matinee th</w:t>
      </w:r>
      <w:r>
        <w:rPr>
          <w:color w:val="231F20"/>
        </w:rPr>
        <w:t>eatre performances have been replaced by high octane adrenaline-based activities like indoor rock climbing or pier zip wires.</w:t>
      </w:r>
    </w:p>
    <w:p w14:paraId="274638A4" w14:textId="77777777" w:rsidR="00AE0598" w:rsidRDefault="0069255A">
      <w:pPr>
        <w:pStyle w:val="Corpodetexto"/>
        <w:spacing w:before="15" w:line="232" w:lineRule="auto"/>
        <w:ind w:left="223" w:right="218" w:firstLine="320"/>
        <w:jc w:val="both"/>
      </w:pPr>
      <w:r>
        <w:rPr>
          <w:color w:val="231F20"/>
        </w:rPr>
        <w:t>Cycle tourism remains an increasingly popular leisure activity in the region, varying from mountain biking in the Purbeck Hills to</w:t>
      </w:r>
      <w:r>
        <w:rPr>
          <w:color w:val="231F20"/>
        </w:rPr>
        <w:t xml:space="preserve"> road cycling and </w:t>
      </w:r>
      <w:r>
        <w:rPr>
          <w:i/>
          <w:color w:val="231F20"/>
        </w:rPr>
        <w:t xml:space="preserve">sportive </w:t>
      </w:r>
      <w:r>
        <w:rPr>
          <w:color w:val="231F20"/>
        </w:rPr>
        <w:t xml:space="preserve">events throughout the New Forest. The rapidly increasing popularity of these activities has led to conflict with local </w:t>
      </w:r>
      <w:r>
        <w:rPr>
          <w:color w:val="231F20"/>
          <w:w w:val="95"/>
        </w:rPr>
        <w:t>residents due to capacity issues and the contested use of the countryside (Shipway</w:t>
      </w:r>
      <w:r>
        <w:rPr>
          <w:color w:val="231F20"/>
          <w:spacing w:val="-2"/>
          <w:w w:val="95"/>
        </w:rPr>
        <w:t xml:space="preserve"> </w:t>
      </w:r>
      <w:r>
        <w:rPr>
          <w:i/>
          <w:color w:val="231F20"/>
          <w:w w:val="95"/>
        </w:rPr>
        <w:t>et</w:t>
      </w:r>
      <w:r>
        <w:rPr>
          <w:i/>
          <w:color w:val="231F20"/>
          <w:spacing w:val="-2"/>
          <w:w w:val="95"/>
        </w:rPr>
        <w:t xml:space="preserve"> </w:t>
      </w:r>
      <w:r>
        <w:rPr>
          <w:i/>
          <w:color w:val="231F20"/>
          <w:w w:val="95"/>
        </w:rPr>
        <w:t>al</w:t>
      </w:r>
      <w:r>
        <w:rPr>
          <w:color w:val="231F20"/>
          <w:w w:val="95"/>
        </w:rPr>
        <w:t>.,</w:t>
      </w:r>
      <w:r>
        <w:rPr>
          <w:color w:val="231F20"/>
          <w:spacing w:val="-2"/>
          <w:w w:val="95"/>
        </w:rPr>
        <w:t xml:space="preserve"> </w:t>
      </w:r>
      <w:r>
        <w:rPr>
          <w:color w:val="231F20"/>
          <w:w w:val="95"/>
        </w:rPr>
        <w:t>2016).</w:t>
      </w:r>
      <w:r>
        <w:rPr>
          <w:color w:val="231F20"/>
          <w:spacing w:val="-2"/>
          <w:w w:val="95"/>
        </w:rPr>
        <w:t xml:space="preserve"> </w:t>
      </w:r>
      <w:r>
        <w:rPr>
          <w:color w:val="231F20"/>
          <w:w w:val="95"/>
        </w:rPr>
        <w:t>Bournemouth</w:t>
      </w:r>
      <w:r>
        <w:rPr>
          <w:color w:val="231F20"/>
          <w:spacing w:val="-2"/>
          <w:w w:val="95"/>
        </w:rPr>
        <w:t xml:space="preserve"> </w:t>
      </w:r>
      <w:r>
        <w:rPr>
          <w:color w:val="231F20"/>
          <w:w w:val="95"/>
        </w:rPr>
        <w:t>is</w:t>
      </w:r>
      <w:r>
        <w:rPr>
          <w:color w:val="231F20"/>
          <w:spacing w:val="-2"/>
          <w:w w:val="95"/>
        </w:rPr>
        <w:t xml:space="preserve"> </w:t>
      </w:r>
      <w:r>
        <w:rPr>
          <w:color w:val="231F20"/>
          <w:w w:val="95"/>
        </w:rPr>
        <w:t>also</w:t>
      </w:r>
      <w:r>
        <w:rPr>
          <w:color w:val="231F20"/>
          <w:spacing w:val="-2"/>
          <w:w w:val="95"/>
        </w:rPr>
        <w:t xml:space="preserve"> </w:t>
      </w:r>
      <w:r>
        <w:rPr>
          <w:color w:val="231F20"/>
          <w:w w:val="95"/>
        </w:rPr>
        <w:t>the</w:t>
      </w:r>
      <w:r>
        <w:rPr>
          <w:color w:val="231F20"/>
          <w:spacing w:val="-2"/>
          <w:w w:val="95"/>
        </w:rPr>
        <w:t xml:space="preserve"> </w:t>
      </w:r>
      <w:r>
        <w:rPr>
          <w:color w:val="231F20"/>
          <w:w w:val="95"/>
        </w:rPr>
        <w:t>host</w:t>
      </w:r>
      <w:r>
        <w:rPr>
          <w:color w:val="231F20"/>
          <w:spacing w:val="-2"/>
          <w:w w:val="95"/>
        </w:rPr>
        <w:t xml:space="preserve"> </w:t>
      </w:r>
      <w:r>
        <w:rPr>
          <w:color w:val="231F20"/>
          <w:w w:val="95"/>
        </w:rPr>
        <w:t>venue</w:t>
      </w:r>
      <w:r>
        <w:rPr>
          <w:color w:val="231F20"/>
          <w:spacing w:val="-2"/>
          <w:w w:val="95"/>
        </w:rPr>
        <w:t xml:space="preserve"> </w:t>
      </w:r>
      <w:r>
        <w:rPr>
          <w:color w:val="231F20"/>
          <w:w w:val="95"/>
        </w:rPr>
        <w:t>for</w:t>
      </w:r>
      <w:r>
        <w:rPr>
          <w:color w:val="231F20"/>
          <w:spacing w:val="-2"/>
          <w:w w:val="95"/>
        </w:rPr>
        <w:t xml:space="preserve"> </w:t>
      </w:r>
      <w:r>
        <w:rPr>
          <w:color w:val="231F20"/>
          <w:w w:val="95"/>
        </w:rPr>
        <w:t>the</w:t>
      </w:r>
      <w:r>
        <w:rPr>
          <w:color w:val="231F20"/>
          <w:spacing w:val="-2"/>
          <w:w w:val="95"/>
        </w:rPr>
        <w:t xml:space="preserve"> </w:t>
      </w:r>
      <w:r>
        <w:rPr>
          <w:color w:val="231F20"/>
          <w:w w:val="95"/>
        </w:rPr>
        <w:t xml:space="preserve">annual </w:t>
      </w:r>
      <w:r>
        <w:rPr>
          <w:color w:val="231F20"/>
        </w:rPr>
        <w:t xml:space="preserve">Bournemouth Sevens Rugby Tournament, marketed as the </w:t>
      </w:r>
      <w:r>
        <w:rPr>
          <w:i/>
          <w:color w:val="231F20"/>
        </w:rPr>
        <w:t>Sporting Glastonbury</w:t>
      </w:r>
      <w:r>
        <w:rPr>
          <w:color w:val="231F20"/>
        </w:rPr>
        <w:t>.</w:t>
      </w:r>
      <w:r>
        <w:rPr>
          <w:color w:val="231F20"/>
          <w:spacing w:val="-2"/>
        </w:rPr>
        <w:t xml:space="preserve"> </w:t>
      </w:r>
      <w:r>
        <w:rPr>
          <w:color w:val="231F20"/>
        </w:rPr>
        <w:t>It</w:t>
      </w:r>
      <w:r>
        <w:rPr>
          <w:color w:val="231F20"/>
          <w:spacing w:val="-2"/>
        </w:rPr>
        <w:t xml:space="preserve"> </w:t>
      </w:r>
      <w:r>
        <w:rPr>
          <w:color w:val="231F20"/>
        </w:rPr>
        <w:t>is</w:t>
      </w:r>
      <w:r>
        <w:rPr>
          <w:color w:val="231F20"/>
          <w:spacing w:val="-2"/>
        </w:rPr>
        <w:t xml:space="preserve"> </w:t>
      </w:r>
      <w:r>
        <w:rPr>
          <w:color w:val="231F20"/>
        </w:rPr>
        <w:t>hosted</w:t>
      </w:r>
      <w:r>
        <w:rPr>
          <w:color w:val="231F20"/>
          <w:spacing w:val="-2"/>
        </w:rPr>
        <w:t xml:space="preserve"> </w:t>
      </w:r>
      <w:r>
        <w:rPr>
          <w:color w:val="231F20"/>
        </w:rPr>
        <w:t>over</w:t>
      </w:r>
      <w:r>
        <w:rPr>
          <w:color w:val="231F20"/>
          <w:spacing w:val="-2"/>
        </w:rPr>
        <w:t xml:space="preserve"> </w:t>
      </w:r>
      <w:r>
        <w:rPr>
          <w:color w:val="231F20"/>
        </w:rPr>
        <w:t>three</w:t>
      </w:r>
      <w:r>
        <w:rPr>
          <w:color w:val="231F20"/>
          <w:spacing w:val="-2"/>
        </w:rPr>
        <w:t xml:space="preserve"> </w:t>
      </w:r>
      <w:r>
        <w:rPr>
          <w:color w:val="231F20"/>
        </w:rPr>
        <w:t>days,</w:t>
      </w:r>
      <w:r>
        <w:rPr>
          <w:color w:val="231F20"/>
          <w:spacing w:val="-2"/>
        </w:rPr>
        <w:t xml:space="preserve"> </w:t>
      </w:r>
      <w:r>
        <w:rPr>
          <w:color w:val="231F20"/>
        </w:rPr>
        <w:t>attracts</w:t>
      </w:r>
      <w:r>
        <w:rPr>
          <w:color w:val="231F20"/>
          <w:spacing w:val="-2"/>
        </w:rPr>
        <w:t xml:space="preserve"> </w:t>
      </w:r>
      <w:r>
        <w:rPr>
          <w:color w:val="231F20"/>
        </w:rPr>
        <w:t>over</w:t>
      </w:r>
      <w:r>
        <w:rPr>
          <w:color w:val="231F20"/>
          <w:spacing w:val="-2"/>
        </w:rPr>
        <w:t xml:space="preserve"> </w:t>
      </w:r>
      <w:r>
        <w:rPr>
          <w:color w:val="231F20"/>
        </w:rPr>
        <w:t>30,000</w:t>
      </w:r>
      <w:r>
        <w:rPr>
          <w:color w:val="231F20"/>
          <w:spacing w:val="-2"/>
        </w:rPr>
        <w:t xml:space="preserve"> </w:t>
      </w:r>
      <w:r>
        <w:rPr>
          <w:color w:val="231F20"/>
        </w:rPr>
        <w:t xml:space="preserve">tourists and also incorporates netball, hockey and dodgeball tournaments. Additionally, the towns are in close proximity to professional team sports including the English Premier League (EPL) teams of AFC </w:t>
      </w:r>
      <w:r>
        <w:rPr>
          <w:color w:val="231F20"/>
          <w:w w:val="95"/>
        </w:rPr>
        <w:t>Bournemouth and Southampton F.C. and the internatio</w:t>
      </w:r>
      <w:r>
        <w:rPr>
          <w:color w:val="231F20"/>
          <w:w w:val="95"/>
        </w:rPr>
        <w:t xml:space="preserve">nal cricket venue, </w:t>
      </w:r>
      <w:r>
        <w:rPr>
          <w:color w:val="231F20"/>
        </w:rPr>
        <w:t xml:space="preserve">the Ageas Bowl in Southampton. The increased success and profile of </w:t>
      </w:r>
      <w:r>
        <w:rPr>
          <w:color w:val="231F20"/>
          <w:w w:val="95"/>
        </w:rPr>
        <w:t xml:space="preserve">Bournemouth’s professional football team has significantly raised global </w:t>
      </w:r>
      <w:r>
        <w:rPr>
          <w:color w:val="231F20"/>
        </w:rPr>
        <w:t>tourism</w:t>
      </w:r>
      <w:r>
        <w:rPr>
          <w:color w:val="231F20"/>
          <w:spacing w:val="-5"/>
        </w:rPr>
        <w:t xml:space="preserve"> </w:t>
      </w:r>
      <w:r>
        <w:rPr>
          <w:color w:val="231F20"/>
        </w:rPr>
        <w:t>awareness</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town</w:t>
      </w:r>
      <w:r>
        <w:rPr>
          <w:color w:val="231F20"/>
          <w:spacing w:val="-5"/>
        </w:rPr>
        <w:t xml:space="preserve"> </w:t>
      </w:r>
      <w:r>
        <w:rPr>
          <w:color w:val="231F20"/>
        </w:rPr>
        <w:t>since</w:t>
      </w:r>
      <w:r>
        <w:rPr>
          <w:color w:val="231F20"/>
          <w:spacing w:val="-5"/>
        </w:rPr>
        <w:t xml:space="preserve"> </w:t>
      </w:r>
      <w:r>
        <w:rPr>
          <w:color w:val="231F20"/>
        </w:rPr>
        <w:t>their</w:t>
      </w:r>
      <w:r>
        <w:rPr>
          <w:color w:val="231F20"/>
          <w:spacing w:val="-5"/>
        </w:rPr>
        <w:t xml:space="preserve"> </w:t>
      </w:r>
      <w:r>
        <w:rPr>
          <w:color w:val="231F20"/>
        </w:rPr>
        <w:t>promotion</w:t>
      </w:r>
      <w:r>
        <w:rPr>
          <w:color w:val="231F20"/>
          <w:spacing w:val="-5"/>
        </w:rPr>
        <w:t xml:space="preserve"> </w:t>
      </w:r>
      <w:r>
        <w:rPr>
          <w:color w:val="231F20"/>
        </w:rPr>
        <w:t>to</w:t>
      </w:r>
      <w:r>
        <w:rPr>
          <w:color w:val="231F20"/>
          <w:spacing w:val="-5"/>
        </w:rPr>
        <w:t xml:space="preserve"> </w:t>
      </w:r>
      <w:r>
        <w:rPr>
          <w:color w:val="231F20"/>
        </w:rPr>
        <w:t>the</w:t>
      </w:r>
      <w:r>
        <w:rPr>
          <w:color w:val="231F20"/>
          <w:spacing w:val="-5"/>
        </w:rPr>
        <w:t xml:space="preserve"> </w:t>
      </w:r>
      <w:r>
        <w:rPr>
          <w:color w:val="231F20"/>
        </w:rPr>
        <w:t>top</w:t>
      </w:r>
      <w:r>
        <w:rPr>
          <w:color w:val="231F20"/>
          <w:spacing w:val="-5"/>
        </w:rPr>
        <w:t xml:space="preserve"> </w:t>
      </w:r>
      <w:r>
        <w:rPr>
          <w:color w:val="231F20"/>
        </w:rPr>
        <w:t>tier</w:t>
      </w:r>
      <w:r>
        <w:rPr>
          <w:color w:val="231F20"/>
          <w:spacing w:val="-5"/>
        </w:rPr>
        <w:t xml:space="preserve"> </w:t>
      </w:r>
      <w:r>
        <w:rPr>
          <w:color w:val="231F20"/>
        </w:rPr>
        <w:t xml:space="preserve">of </w:t>
      </w:r>
      <w:r>
        <w:rPr>
          <w:color w:val="231F20"/>
          <w:w w:val="95"/>
        </w:rPr>
        <w:t>English football in 2015.</w:t>
      </w:r>
      <w:r>
        <w:rPr>
          <w:color w:val="231F20"/>
          <w:w w:val="95"/>
        </w:rPr>
        <w:t xml:space="preserve"> The focus of many sport tourism activities and events</w:t>
      </w:r>
      <w:r>
        <w:rPr>
          <w:color w:val="231F20"/>
          <w:spacing w:val="-2"/>
          <w:w w:val="95"/>
        </w:rPr>
        <w:t xml:space="preserve"> </w:t>
      </w:r>
      <w:r>
        <w:rPr>
          <w:color w:val="231F20"/>
          <w:w w:val="95"/>
        </w:rPr>
        <w:t>is</w:t>
      </w:r>
      <w:r>
        <w:rPr>
          <w:color w:val="231F20"/>
          <w:spacing w:val="-2"/>
          <w:w w:val="95"/>
        </w:rPr>
        <w:t xml:space="preserve"> </w:t>
      </w:r>
      <w:r>
        <w:rPr>
          <w:color w:val="231F20"/>
          <w:w w:val="95"/>
        </w:rPr>
        <w:t>the</w:t>
      </w:r>
      <w:r>
        <w:rPr>
          <w:color w:val="231F20"/>
          <w:spacing w:val="-2"/>
          <w:w w:val="95"/>
        </w:rPr>
        <w:t xml:space="preserve"> </w:t>
      </w:r>
      <w:r>
        <w:rPr>
          <w:color w:val="231F20"/>
          <w:w w:val="95"/>
        </w:rPr>
        <w:t>beach</w:t>
      </w:r>
      <w:r>
        <w:rPr>
          <w:color w:val="231F20"/>
          <w:spacing w:val="-2"/>
          <w:w w:val="95"/>
        </w:rPr>
        <w:t xml:space="preserve"> </w:t>
      </w:r>
      <w:r>
        <w:rPr>
          <w:color w:val="231F20"/>
          <w:w w:val="95"/>
        </w:rPr>
        <w:t>where</w:t>
      </w:r>
      <w:r>
        <w:rPr>
          <w:color w:val="231F20"/>
          <w:spacing w:val="-2"/>
          <w:w w:val="95"/>
        </w:rPr>
        <w:t xml:space="preserve"> </w:t>
      </w:r>
      <w:r>
        <w:rPr>
          <w:color w:val="231F20"/>
          <w:w w:val="95"/>
        </w:rPr>
        <w:t>tourism</w:t>
      </w:r>
      <w:r>
        <w:rPr>
          <w:color w:val="231F20"/>
          <w:spacing w:val="-2"/>
          <w:w w:val="95"/>
        </w:rPr>
        <w:t xml:space="preserve"> </w:t>
      </w:r>
      <w:r>
        <w:rPr>
          <w:color w:val="231F20"/>
          <w:w w:val="95"/>
        </w:rPr>
        <w:t>authorities</w:t>
      </w:r>
      <w:r>
        <w:rPr>
          <w:color w:val="231F20"/>
          <w:spacing w:val="-2"/>
          <w:w w:val="95"/>
        </w:rPr>
        <w:t xml:space="preserve"> </w:t>
      </w:r>
      <w:r>
        <w:rPr>
          <w:color w:val="231F20"/>
          <w:w w:val="95"/>
        </w:rPr>
        <w:t>are</w:t>
      </w:r>
      <w:r>
        <w:rPr>
          <w:color w:val="231F20"/>
          <w:spacing w:val="-2"/>
          <w:w w:val="95"/>
        </w:rPr>
        <w:t xml:space="preserve"> </w:t>
      </w:r>
      <w:r>
        <w:rPr>
          <w:color w:val="231F20"/>
          <w:w w:val="95"/>
        </w:rPr>
        <w:t>proactive</w:t>
      </w:r>
      <w:r>
        <w:rPr>
          <w:color w:val="231F20"/>
          <w:spacing w:val="-2"/>
          <w:w w:val="95"/>
        </w:rPr>
        <w:t xml:space="preserve"> </w:t>
      </w:r>
      <w:r>
        <w:rPr>
          <w:color w:val="231F20"/>
          <w:w w:val="95"/>
        </w:rPr>
        <w:t>in</w:t>
      </w:r>
      <w:r>
        <w:rPr>
          <w:color w:val="231F20"/>
          <w:spacing w:val="-2"/>
          <w:w w:val="95"/>
        </w:rPr>
        <w:t xml:space="preserve"> </w:t>
      </w:r>
      <w:r>
        <w:rPr>
          <w:color w:val="231F20"/>
          <w:w w:val="95"/>
        </w:rPr>
        <w:t xml:space="preserve">promoting </w:t>
      </w:r>
      <w:r>
        <w:rPr>
          <w:color w:val="231F20"/>
        </w:rPr>
        <w:t xml:space="preserve">their </w:t>
      </w:r>
      <w:r>
        <w:rPr>
          <w:i/>
          <w:color w:val="231F20"/>
        </w:rPr>
        <w:t>seven miles of golden sand</w:t>
      </w:r>
      <w:r>
        <w:rPr>
          <w:color w:val="231F20"/>
        </w:rPr>
        <w:t>. The towns play host to numerous beach volleyball, rugby, football and handball events which attract t</w:t>
      </w:r>
      <w:r>
        <w:rPr>
          <w:color w:val="231F20"/>
        </w:rPr>
        <w:t>ourists</w:t>
      </w:r>
      <w:r>
        <w:rPr>
          <w:color w:val="231F20"/>
          <w:spacing w:val="-4"/>
        </w:rPr>
        <w:t xml:space="preserve"> </w:t>
      </w:r>
      <w:r>
        <w:rPr>
          <w:color w:val="231F20"/>
        </w:rPr>
        <w:t>from</w:t>
      </w:r>
      <w:r>
        <w:rPr>
          <w:color w:val="231F20"/>
          <w:spacing w:val="-4"/>
        </w:rPr>
        <w:t xml:space="preserve"> </w:t>
      </w:r>
      <w:r>
        <w:rPr>
          <w:color w:val="231F20"/>
        </w:rPr>
        <w:t>across</w:t>
      </w:r>
      <w:r>
        <w:rPr>
          <w:color w:val="231F20"/>
          <w:spacing w:val="-4"/>
        </w:rPr>
        <w:t xml:space="preserve"> </w:t>
      </w:r>
      <w:r>
        <w:rPr>
          <w:color w:val="231F20"/>
        </w:rPr>
        <w:t>Europe.</w:t>
      </w:r>
      <w:r>
        <w:rPr>
          <w:color w:val="231F20"/>
          <w:spacing w:val="-4"/>
        </w:rPr>
        <w:t xml:space="preserve"> </w:t>
      </w:r>
      <w:r>
        <w:rPr>
          <w:color w:val="231F20"/>
        </w:rPr>
        <w:t>On</w:t>
      </w:r>
      <w:r>
        <w:rPr>
          <w:color w:val="231F20"/>
          <w:spacing w:val="-4"/>
        </w:rPr>
        <w:t xml:space="preserve"> </w:t>
      </w:r>
      <w:r>
        <w:rPr>
          <w:color w:val="231F20"/>
        </w:rPr>
        <w:t>the</w:t>
      </w:r>
      <w:r>
        <w:rPr>
          <w:color w:val="231F20"/>
          <w:spacing w:val="-4"/>
        </w:rPr>
        <w:t xml:space="preserve"> </w:t>
      </w:r>
      <w:r>
        <w:rPr>
          <w:color w:val="231F20"/>
        </w:rPr>
        <w:t>Sandbanks</w:t>
      </w:r>
      <w:r>
        <w:rPr>
          <w:color w:val="231F20"/>
          <w:spacing w:val="-4"/>
        </w:rPr>
        <w:t xml:space="preserve"> </w:t>
      </w:r>
      <w:r>
        <w:rPr>
          <w:color w:val="231F20"/>
        </w:rPr>
        <w:t>peninsula,</w:t>
      </w:r>
      <w:r>
        <w:rPr>
          <w:color w:val="231F20"/>
          <w:spacing w:val="-4"/>
        </w:rPr>
        <w:t xml:space="preserve"> </w:t>
      </w:r>
      <w:r>
        <w:rPr>
          <w:color w:val="231F20"/>
        </w:rPr>
        <w:t>Poole</w:t>
      </w:r>
      <w:r>
        <w:rPr>
          <w:color w:val="231F20"/>
          <w:spacing w:val="-4"/>
        </w:rPr>
        <w:t xml:space="preserve"> </w:t>
      </w:r>
      <w:r>
        <w:rPr>
          <w:color w:val="231F20"/>
        </w:rPr>
        <w:t>hosts the</w:t>
      </w:r>
      <w:r>
        <w:rPr>
          <w:color w:val="231F20"/>
          <w:spacing w:val="-5"/>
        </w:rPr>
        <w:t xml:space="preserve"> </w:t>
      </w:r>
      <w:r>
        <w:rPr>
          <w:color w:val="231F20"/>
        </w:rPr>
        <w:t>exclusive</w:t>
      </w:r>
      <w:r>
        <w:rPr>
          <w:color w:val="231F20"/>
          <w:spacing w:val="-5"/>
        </w:rPr>
        <w:t xml:space="preserve"> </w:t>
      </w:r>
      <w:r>
        <w:rPr>
          <w:color w:val="231F20"/>
        </w:rPr>
        <w:t>Annual</w:t>
      </w:r>
      <w:r>
        <w:rPr>
          <w:color w:val="231F20"/>
          <w:spacing w:val="-5"/>
        </w:rPr>
        <w:t xml:space="preserve"> </w:t>
      </w:r>
      <w:r>
        <w:rPr>
          <w:color w:val="231F20"/>
        </w:rPr>
        <w:t>British</w:t>
      </w:r>
      <w:r>
        <w:rPr>
          <w:color w:val="231F20"/>
          <w:spacing w:val="-5"/>
        </w:rPr>
        <w:t xml:space="preserve"> </w:t>
      </w:r>
      <w:r>
        <w:rPr>
          <w:color w:val="231F20"/>
        </w:rPr>
        <w:t>Beach</w:t>
      </w:r>
      <w:r>
        <w:rPr>
          <w:color w:val="231F20"/>
          <w:spacing w:val="-5"/>
        </w:rPr>
        <w:t xml:space="preserve"> </w:t>
      </w:r>
      <w:r>
        <w:rPr>
          <w:color w:val="231F20"/>
        </w:rPr>
        <w:t>Polo</w:t>
      </w:r>
      <w:r>
        <w:rPr>
          <w:color w:val="231F20"/>
          <w:spacing w:val="-5"/>
        </w:rPr>
        <w:t xml:space="preserve"> </w:t>
      </w:r>
      <w:r>
        <w:rPr>
          <w:color w:val="231F20"/>
        </w:rPr>
        <w:t>Championship,</w:t>
      </w:r>
      <w:r>
        <w:rPr>
          <w:color w:val="231F20"/>
          <w:spacing w:val="-5"/>
        </w:rPr>
        <w:t xml:space="preserve"> </w:t>
      </w:r>
      <w:r>
        <w:rPr>
          <w:color w:val="231F20"/>
        </w:rPr>
        <w:t>a</w:t>
      </w:r>
      <w:r>
        <w:rPr>
          <w:color w:val="231F20"/>
          <w:spacing w:val="-5"/>
        </w:rPr>
        <w:t xml:space="preserve"> </w:t>
      </w:r>
      <w:r>
        <w:rPr>
          <w:color w:val="231F20"/>
        </w:rPr>
        <w:t>combination of high adrenaline polo and evening beach parties.</w:t>
      </w:r>
    </w:p>
    <w:p w14:paraId="4BF7BE26" w14:textId="77777777" w:rsidR="00AE0598" w:rsidRDefault="0069255A">
      <w:pPr>
        <w:pStyle w:val="Corpodetexto"/>
        <w:spacing w:before="27" w:line="232" w:lineRule="auto"/>
        <w:ind w:left="223" w:right="220" w:firstLine="320"/>
        <w:jc w:val="both"/>
      </w:pPr>
      <w:r>
        <w:rPr>
          <w:color w:val="231F20"/>
        </w:rPr>
        <w:t>The content of both the undergraduate and postgraduate sport tourism units at BU explores the foundations and development of sport</w:t>
      </w:r>
      <w:r>
        <w:rPr>
          <w:color w:val="231F20"/>
          <w:spacing w:val="-12"/>
        </w:rPr>
        <w:t xml:space="preserve"> </w:t>
      </w:r>
      <w:r>
        <w:rPr>
          <w:color w:val="231F20"/>
        </w:rPr>
        <w:t>tourism,</w:t>
      </w:r>
      <w:r>
        <w:rPr>
          <w:color w:val="231F20"/>
          <w:spacing w:val="-12"/>
        </w:rPr>
        <w:t xml:space="preserve"> </w:t>
      </w:r>
      <w:r>
        <w:rPr>
          <w:color w:val="231F20"/>
        </w:rPr>
        <w:t>before</w:t>
      </w:r>
      <w:r>
        <w:rPr>
          <w:color w:val="231F20"/>
          <w:spacing w:val="-11"/>
        </w:rPr>
        <w:t xml:space="preserve"> </w:t>
      </w:r>
      <w:r>
        <w:rPr>
          <w:color w:val="231F20"/>
        </w:rPr>
        <w:t>concentrating</w:t>
      </w:r>
      <w:r>
        <w:rPr>
          <w:color w:val="231F20"/>
          <w:spacing w:val="-12"/>
        </w:rPr>
        <w:t xml:space="preserve"> </w:t>
      </w:r>
      <w:r>
        <w:rPr>
          <w:color w:val="231F20"/>
        </w:rPr>
        <w:t>on</w:t>
      </w:r>
      <w:r>
        <w:rPr>
          <w:color w:val="231F20"/>
          <w:spacing w:val="-11"/>
        </w:rPr>
        <w:t xml:space="preserve"> </w:t>
      </w:r>
      <w:r>
        <w:rPr>
          <w:color w:val="231F20"/>
        </w:rPr>
        <w:t>the</w:t>
      </w:r>
      <w:r>
        <w:rPr>
          <w:color w:val="231F20"/>
          <w:spacing w:val="-12"/>
        </w:rPr>
        <w:t xml:space="preserve"> </w:t>
      </w:r>
      <w:r>
        <w:rPr>
          <w:color w:val="231F20"/>
        </w:rPr>
        <w:t>major</w:t>
      </w:r>
      <w:r>
        <w:rPr>
          <w:color w:val="231F20"/>
          <w:spacing w:val="-11"/>
        </w:rPr>
        <w:t xml:space="preserve"> </w:t>
      </w:r>
      <w:r>
        <w:rPr>
          <w:color w:val="231F20"/>
        </w:rPr>
        <w:t>contemporary</w:t>
      </w:r>
      <w:r>
        <w:rPr>
          <w:color w:val="231F20"/>
          <w:spacing w:val="-12"/>
        </w:rPr>
        <w:t xml:space="preserve"> </w:t>
      </w:r>
      <w:r>
        <w:rPr>
          <w:color w:val="231F20"/>
        </w:rPr>
        <w:t>issues in sport tourism, various challenges and opportunities, and em</w:t>
      </w:r>
      <w:r>
        <w:rPr>
          <w:color w:val="231F20"/>
        </w:rPr>
        <w:t xml:space="preserve">erging trends and directions. The increased profile and frequency of major and mega sports events and the globalisation of sport, coupled with </w:t>
      </w:r>
      <w:r>
        <w:rPr>
          <w:color w:val="231F20"/>
          <w:w w:val="95"/>
        </w:rPr>
        <w:t>the emergence of new sports activities and new emerging destinations,</w:t>
      </w:r>
    </w:p>
    <w:p w14:paraId="7A469816" w14:textId="77777777" w:rsidR="00AE0598" w:rsidRDefault="00AE0598">
      <w:pPr>
        <w:spacing w:line="232" w:lineRule="auto"/>
        <w:jc w:val="both"/>
        <w:sectPr w:rsidR="00AE0598">
          <w:pgSz w:w="8850" w:h="13270"/>
          <w:pgMar w:top="720" w:right="1080" w:bottom="280" w:left="1080" w:header="720" w:footer="720" w:gutter="0"/>
          <w:cols w:space="720"/>
        </w:sectPr>
      </w:pPr>
    </w:p>
    <w:p w14:paraId="01456D7F" w14:textId="3895EABF" w:rsidR="00AE0598" w:rsidRDefault="0069255A">
      <w:pPr>
        <w:spacing w:before="87"/>
        <w:ind w:right="108"/>
        <w:jc w:val="right"/>
        <w:rPr>
          <w:rFonts w:ascii="Trebuchet MS"/>
          <w:sz w:val="14"/>
        </w:rPr>
      </w:pPr>
      <w:r>
        <w:rPr>
          <w:noProof/>
        </w:rPr>
        <w:lastRenderedPageBreak/>
        <mc:AlternateContent>
          <mc:Choice Requires="wps">
            <w:drawing>
              <wp:anchor distT="0" distB="0" distL="114300" distR="114300" simplePos="0" relativeHeight="483668480" behindDoc="1" locked="0" layoutInCell="1" allowOverlap="1" wp14:anchorId="0EF69FCE" wp14:editId="2060B1E9">
                <wp:simplePos x="0" y="0"/>
                <wp:positionH relativeFrom="page">
                  <wp:posOffset>755650</wp:posOffset>
                </wp:positionH>
                <wp:positionV relativeFrom="page">
                  <wp:posOffset>838200</wp:posOffset>
                </wp:positionV>
                <wp:extent cx="4104005" cy="6781800"/>
                <wp:effectExtent l="0" t="0" r="0" b="0"/>
                <wp:wrapNone/>
                <wp:docPr id="311" name="docshape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04005" cy="6781800"/>
                        </a:xfrm>
                        <a:prstGeom prst="rect">
                          <a:avLst/>
                        </a:prstGeom>
                        <a:solidFill>
                          <a:srgbClr val="DCDDD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E7590D" id="docshape63" o:spid="_x0000_s1026" style="position:absolute;margin-left:59.5pt;margin-top:66pt;width:323.15pt;height:534pt;z-index:-196480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" fillcolor="#dcddde" stroked="f">
                <w10:wrap anchorx="page" anchory="page"/>
              </v:rect>
            </w:pict>
          </mc:Fallback>
        </mc:AlternateContent>
      </w:r>
      <w:r>
        <w:rPr>
          <w:rFonts w:ascii="Trebuchet MS"/>
          <w:color w:val="231F20"/>
          <w:w w:val="105"/>
          <w:sz w:val="14"/>
        </w:rPr>
        <w:t>The</w:t>
      </w:r>
      <w:r>
        <w:rPr>
          <w:rFonts w:ascii="Trebuchet MS"/>
          <w:color w:val="231F20"/>
          <w:spacing w:val="-9"/>
          <w:w w:val="105"/>
          <w:sz w:val="14"/>
        </w:rPr>
        <w:t xml:space="preserve"> </w:t>
      </w:r>
      <w:r>
        <w:rPr>
          <w:rFonts w:ascii="Trebuchet MS"/>
          <w:color w:val="231F20"/>
          <w:w w:val="105"/>
          <w:sz w:val="14"/>
        </w:rPr>
        <w:t>Study</w:t>
      </w:r>
      <w:r>
        <w:rPr>
          <w:rFonts w:ascii="Trebuchet MS"/>
          <w:color w:val="231F20"/>
          <w:spacing w:val="-8"/>
          <w:w w:val="105"/>
          <w:sz w:val="14"/>
        </w:rPr>
        <w:t xml:space="preserve"> </w:t>
      </w:r>
      <w:r>
        <w:rPr>
          <w:rFonts w:ascii="Trebuchet MS"/>
          <w:color w:val="231F20"/>
          <w:w w:val="105"/>
          <w:sz w:val="14"/>
        </w:rPr>
        <w:t>of</w:t>
      </w:r>
      <w:r>
        <w:rPr>
          <w:rFonts w:ascii="Trebuchet MS"/>
          <w:color w:val="231F20"/>
          <w:spacing w:val="-9"/>
          <w:w w:val="105"/>
          <w:sz w:val="14"/>
        </w:rPr>
        <w:t xml:space="preserve"> </w:t>
      </w:r>
      <w:r>
        <w:rPr>
          <w:rFonts w:ascii="Trebuchet MS"/>
          <w:color w:val="231F20"/>
          <w:w w:val="105"/>
          <w:sz w:val="14"/>
        </w:rPr>
        <w:t>Sport</w:t>
      </w:r>
      <w:r>
        <w:rPr>
          <w:rFonts w:ascii="Trebuchet MS"/>
          <w:color w:val="231F20"/>
          <w:spacing w:val="-8"/>
          <w:w w:val="105"/>
          <w:sz w:val="14"/>
        </w:rPr>
        <w:t xml:space="preserve"> </w:t>
      </w:r>
      <w:r>
        <w:rPr>
          <w:rFonts w:ascii="Trebuchet MS"/>
          <w:color w:val="231F20"/>
          <w:w w:val="105"/>
          <w:sz w:val="14"/>
        </w:rPr>
        <w:t>Tourism</w:t>
      </w:r>
      <w:r>
        <w:rPr>
          <w:rFonts w:ascii="Trebuchet MS"/>
          <w:color w:val="231F20"/>
          <w:spacing w:val="68"/>
          <w:w w:val="150"/>
          <w:sz w:val="14"/>
        </w:rPr>
        <w:t xml:space="preserve"> </w:t>
      </w:r>
      <w:r>
        <w:rPr>
          <w:rFonts w:ascii="Trebuchet MS"/>
          <w:color w:val="231F20"/>
          <w:spacing w:val="-5"/>
          <w:w w:val="105"/>
          <w:sz w:val="14"/>
        </w:rPr>
        <w:t>3</w:t>
      </w:r>
      <w:r>
        <w:rPr>
          <w:rFonts w:ascii="Trebuchet MS"/>
          <w:color w:val="231F20"/>
          <w:spacing w:val="-5"/>
          <w:w w:val="105"/>
          <w:sz w:val="14"/>
        </w:rPr>
        <w:t>5</w:t>
      </w:r>
    </w:p>
    <w:p w14:paraId="5F864B05" w14:textId="77777777" w:rsidR="00AE0598" w:rsidRDefault="00AE0598">
      <w:pPr>
        <w:pStyle w:val="Corpodetexto"/>
        <w:spacing w:before="1"/>
        <w:rPr>
          <w:rFonts w:ascii="Trebuchet MS"/>
          <w:sz w:val="27"/>
        </w:rPr>
      </w:pPr>
    </w:p>
    <w:p w14:paraId="3DF8ED43" w14:textId="77777777" w:rsidR="00AE0598" w:rsidRDefault="0069255A">
      <w:pPr>
        <w:pStyle w:val="Corpodetexto"/>
        <w:spacing w:before="103" w:line="232" w:lineRule="auto"/>
        <w:ind w:left="223" w:right="219"/>
        <w:jc w:val="both"/>
      </w:pPr>
      <w:r>
        <w:rPr>
          <w:color w:val="231F20"/>
          <w:w w:val="95"/>
        </w:rPr>
        <w:t xml:space="preserve">provide numerous case studies to explore. Academic content scrutinises </w:t>
      </w:r>
      <w:r>
        <w:rPr>
          <w:color w:val="231F20"/>
        </w:rPr>
        <w:t xml:space="preserve">the motivations, behaviours and experiences of sport tourists, and undertakes detailed holistic analyses of the economic, social and </w:t>
      </w:r>
      <w:r>
        <w:rPr>
          <w:color w:val="231F20"/>
          <w:w w:val="95"/>
        </w:rPr>
        <w:t>environmental</w:t>
      </w:r>
      <w:r>
        <w:rPr>
          <w:color w:val="231F20"/>
          <w:spacing w:val="-6"/>
          <w:w w:val="95"/>
        </w:rPr>
        <w:t xml:space="preserve"> </w:t>
      </w:r>
      <w:r>
        <w:rPr>
          <w:color w:val="231F20"/>
          <w:w w:val="95"/>
        </w:rPr>
        <w:t>impacts</w:t>
      </w:r>
      <w:r>
        <w:rPr>
          <w:color w:val="231F20"/>
          <w:spacing w:val="-6"/>
          <w:w w:val="95"/>
        </w:rPr>
        <w:t xml:space="preserve"> </w:t>
      </w:r>
      <w:r>
        <w:rPr>
          <w:color w:val="231F20"/>
          <w:w w:val="95"/>
        </w:rPr>
        <w:t>of</w:t>
      </w:r>
      <w:r>
        <w:rPr>
          <w:color w:val="231F20"/>
          <w:spacing w:val="-6"/>
          <w:w w:val="95"/>
        </w:rPr>
        <w:t xml:space="preserve"> </w:t>
      </w:r>
      <w:r>
        <w:rPr>
          <w:color w:val="231F20"/>
          <w:w w:val="95"/>
        </w:rPr>
        <w:t>sport</w:t>
      </w:r>
      <w:r>
        <w:rPr>
          <w:color w:val="231F20"/>
          <w:spacing w:val="-6"/>
          <w:w w:val="95"/>
        </w:rPr>
        <w:t xml:space="preserve"> </w:t>
      </w:r>
      <w:r>
        <w:rPr>
          <w:color w:val="231F20"/>
          <w:w w:val="95"/>
        </w:rPr>
        <w:t>tourism</w:t>
      </w:r>
      <w:r>
        <w:rPr>
          <w:color w:val="231F20"/>
          <w:spacing w:val="-6"/>
          <w:w w:val="95"/>
        </w:rPr>
        <w:t xml:space="preserve"> </w:t>
      </w:r>
      <w:r>
        <w:rPr>
          <w:color w:val="231F20"/>
          <w:w w:val="95"/>
        </w:rPr>
        <w:t>that</w:t>
      </w:r>
      <w:r>
        <w:rPr>
          <w:color w:val="231F20"/>
          <w:spacing w:val="-6"/>
          <w:w w:val="95"/>
        </w:rPr>
        <w:t xml:space="preserve"> </w:t>
      </w:r>
      <w:r>
        <w:rPr>
          <w:color w:val="231F20"/>
          <w:w w:val="95"/>
        </w:rPr>
        <w:t>also</w:t>
      </w:r>
      <w:r>
        <w:rPr>
          <w:color w:val="231F20"/>
          <w:spacing w:val="-6"/>
          <w:w w:val="95"/>
        </w:rPr>
        <w:t xml:space="preserve"> </w:t>
      </w:r>
      <w:r>
        <w:rPr>
          <w:color w:val="231F20"/>
          <w:w w:val="95"/>
        </w:rPr>
        <w:t>incorporates</w:t>
      </w:r>
      <w:r>
        <w:rPr>
          <w:color w:val="231F20"/>
          <w:spacing w:val="-6"/>
          <w:w w:val="95"/>
        </w:rPr>
        <w:t xml:space="preserve"> </w:t>
      </w:r>
      <w:r>
        <w:rPr>
          <w:color w:val="231F20"/>
          <w:w w:val="95"/>
        </w:rPr>
        <w:t>both</w:t>
      </w:r>
      <w:r>
        <w:rPr>
          <w:color w:val="231F20"/>
          <w:spacing w:val="-6"/>
          <w:w w:val="95"/>
        </w:rPr>
        <w:t xml:space="preserve"> </w:t>
      </w:r>
      <w:r>
        <w:rPr>
          <w:color w:val="231F20"/>
          <w:w w:val="95"/>
        </w:rPr>
        <w:t>event sport tourism evaluations and leveraging tactics a</w:t>
      </w:r>
      <w:r>
        <w:rPr>
          <w:color w:val="231F20"/>
          <w:w w:val="95"/>
        </w:rPr>
        <w:t xml:space="preserve">nd strategies. Students </w:t>
      </w:r>
      <w:r>
        <w:rPr>
          <w:color w:val="231F20"/>
        </w:rPr>
        <w:t>are</w:t>
      </w:r>
      <w:r>
        <w:rPr>
          <w:color w:val="231F20"/>
          <w:spacing w:val="-10"/>
        </w:rPr>
        <w:t xml:space="preserve"> </w:t>
      </w:r>
      <w:r>
        <w:rPr>
          <w:color w:val="231F20"/>
        </w:rPr>
        <w:t>encouraged</w:t>
      </w:r>
      <w:r>
        <w:rPr>
          <w:color w:val="231F20"/>
          <w:spacing w:val="-10"/>
        </w:rPr>
        <w:t xml:space="preserve"> </w:t>
      </w:r>
      <w:r>
        <w:rPr>
          <w:color w:val="231F20"/>
        </w:rPr>
        <w:t>to</w:t>
      </w:r>
      <w:r>
        <w:rPr>
          <w:color w:val="231F20"/>
          <w:spacing w:val="-10"/>
        </w:rPr>
        <w:t xml:space="preserve"> </w:t>
      </w:r>
      <w:r>
        <w:rPr>
          <w:color w:val="231F20"/>
        </w:rPr>
        <w:t>explore</w:t>
      </w:r>
      <w:r>
        <w:rPr>
          <w:color w:val="231F20"/>
          <w:spacing w:val="-10"/>
        </w:rPr>
        <w:t xml:space="preserve"> </w:t>
      </w:r>
      <w:r>
        <w:rPr>
          <w:color w:val="231F20"/>
        </w:rPr>
        <w:t>active</w:t>
      </w:r>
      <w:r>
        <w:rPr>
          <w:color w:val="231F20"/>
          <w:spacing w:val="-10"/>
        </w:rPr>
        <w:t xml:space="preserve"> </w:t>
      </w:r>
      <w:r>
        <w:rPr>
          <w:color w:val="231F20"/>
        </w:rPr>
        <w:t>sport</w:t>
      </w:r>
      <w:r>
        <w:rPr>
          <w:color w:val="231F20"/>
          <w:spacing w:val="-10"/>
        </w:rPr>
        <w:t xml:space="preserve"> </w:t>
      </w:r>
      <w:r>
        <w:rPr>
          <w:color w:val="231F20"/>
        </w:rPr>
        <w:t>tourism</w:t>
      </w:r>
      <w:r>
        <w:rPr>
          <w:color w:val="231F20"/>
          <w:spacing w:val="-10"/>
        </w:rPr>
        <w:t xml:space="preserve"> </w:t>
      </w:r>
      <w:r>
        <w:rPr>
          <w:color w:val="231F20"/>
        </w:rPr>
        <w:t>markets</w:t>
      </w:r>
      <w:r>
        <w:rPr>
          <w:color w:val="231F20"/>
          <w:spacing w:val="-10"/>
        </w:rPr>
        <w:t xml:space="preserve"> </w:t>
      </w:r>
      <w:r>
        <w:rPr>
          <w:color w:val="231F20"/>
        </w:rPr>
        <w:t>including</w:t>
      </w:r>
      <w:r>
        <w:rPr>
          <w:color w:val="231F20"/>
          <w:spacing w:val="-10"/>
        </w:rPr>
        <w:t xml:space="preserve"> </w:t>
      </w:r>
      <w:r>
        <w:rPr>
          <w:color w:val="231F20"/>
        </w:rPr>
        <w:t xml:space="preserve">golf, winter, water, lifestyle and adventure sport tourism. The unit draws </w:t>
      </w:r>
      <w:r>
        <w:rPr>
          <w:color w:val="231F20"/>
          <w:w w:val="95"/>
        </w:rPr>
        <w:t xml:space="preserve">significantly from theoretical and empirical developments in the </w:t>
      </w:r>
      <w:r>
        <w:rPr>
          <w:i/>
          <w:color w:val="231F20"/>
          <w:w w:val="95"/>
        </w:rPr>
        <w:t xml:space="preserve">Journal </w:t>
      </w:r>
      <w:r>
        <w:rPr>
          <w:i/>
          <w:color w:val="231F20"/>
        </w:rPr>
        <w:t>of Sport and Touris</w:t>
      </w:r>
      <w:r>
        <w:rPr>
          <w:i/>
          <w:color w:val="231F20"/>
        </w:rPr>
        <w:t>m</w:t>
      </w:r>
      <w:r>
        <w:rPr>
          <w:color w:val="231F20"/>
        </w:rPr>
        <w:t xml:space="preserve">; associated journals within sport, tourism, events and leisure domains; and where appropriate multidisciplinary </w:t>
      </w:r>
      <w:r>
        <w:rPr>
          <w:color w:val="231F20"/>
          <w:w w:val="95"/>
        </w:rPr>
        <w:t>perspectives on health and well-being; entrepreneurship and business;</w:t>
      </w:r>
      <w:r>
        <w:rPr>
          <w:color w:val="231F20"/>
          <w:spacing w:val="40"/>
        </w:rPr>
        <w:t xml:space="preserve"> </w:t>
      </w:r>
      <w:r>
        <w:rPr>
          <w:color w:val="231F20"/>
        </w:rPr>
        <w:t xml:space="preserve">or sociology and social psychology, to name but a few areas. The </w:t>
      </w:r>
      <w:r>
        <w:rPr>
          <w:color w:val="231F20"/>
          <w:w w:val="95"/>
        </w:rPr>
        <w:t>fluctua</w:t>
      </w:r>
      <w:r>
        <w:rPr>
          <w:color w:val="231F20"/>
          <w:w w:val="95"/>
        </w:rPr>
        <w:t xml:space="preserve">ting and changing global landscape of sport tourism also requires an agile curricular response. An integral part of both sport tourism units </w:t>
      </w:r>
      <w:r>
        <w:rPr>
          <w:color w:val="231F20"/>
        </w:rPr>
        <w:t>are experiential field trips to local sport venues, stadiums and events. Previous trips included visits to the Bour</w:t>
      </w:r>
      <w:r>
        <w:rPr>
          <w:color w:val="231F20"/>
        </w:rPr>
        <w:t xml:space="preserve">nemouth Surf Reef, where </w:t>
      </w:r>
      <w:r>
        <w:rPr>
          <w:color w:val="231F20"/>
          <w:w w:val="95"/>
        </w:rPr>
        <w:t xml:space="preserve">students receive guest lectures from local sports tour operators followed </w:t>
      </w:r>
      <w:r>
        <w:rPr>
          <w:color w:val="231F20"/>
        </w:rPr>
        <w:t xml:space="preserve">by voluntary participation in SUP lessons. Alternative visits include cycling around the New Forest, sailing in Poole harbour or attending cricket events at </w:t>
      </w:r>
      <w:r>
        <w:rPr>
          <w:color w:val="231F20"/>
        </w:rPr>
        <w:t>the Ageas Bowl. These interactive field trips enable students</w:t>
      </w:r>
      <w:r>
        <w:rPr>
          <w:color w:val="231F20"/>
          <w:spacing w:val="-7"/>
        </w:rPr>
        <w:t xml:space="preserve"> </w:t>
      </w:r>
      <w:r>
        <w:rPr>
          <w:color w:val="231F20"/>
        </w:rPr>
        <w:t>to</w:t>
      </w:r>
      <w:r>
        <w:rPr>
          <w:color w:val="231F20"/>
          <w:spacing w:val="-7"/>
        </w:rPr>
        <w:t xml:space="preserve"> </w:t>
      </w:r>
      <w:r>
        <w:rPr>
          <w:color w:val="231F20"/>
        </w:rPr>
        <w:t>gain</w:t>
      </w:r>
      <w:r>
        <w:rPr>
          <w:color w:val="231F20"/>
          <w:spacing w:val="-7"/>
        </w:rPr>
        <w:t xml:space="preserve"> </w:t>
      </w:r>
      <w:r>
        <w:rPr>
          <w:color w:val="231F20"/>
        </w:rPr>
        <w:t>a</w:t>
      </w:r>
      <w:r>
        <w:rPr>
          <w:color w:val="231F20"/>
          <w:spacing w:val="-7"/>
        </w:rPr>
        <w:t xml:space="preserve"> </w:t>
      </w:r>
      <w:r>
        <w:rPr>
          <w:color w:val="231F20"/>
        </w:rPr>
        <w:t>better</w:t>
      </w:r>
      <w:r>
        <w:rPr>
          <w:color w:val="231F20"/>
          <w:spacing w:val="-7"/>
        </w:rPr>
        <w:t xml:space="preserve"> </w:t>
      </w:r>
      <w:r>
        <w:rPr>
          <w:color w:val="231F20"/>
        </w:rPr>
        <w:t>understanding</w:t>
      </w:r>
      <w:r>
        <w:rPr>
          <w:color w:val="231F20"/>
          <w:spacing w:val="-7"/>
        </w:rPr>
        <w:t xml:space="preserve"> </w:t>
      </w:r>
      <w:r>
        <w:rPr>
          <w:color w:val="231F20"/>
        </w:rPr>
        <w:t>of</w:t>
      </w:r>
      <w:r>
        <w:rPr>
          <w:color w:val="231F20"/>
          <w:spacing w:val="-7"/>
        </w:rPr>
        <w:t xml:space="preserve"> </w:t>
      </w:r>
      <w:r>
        <w:rPr>
          <w:color w:val="231F20"/>
        </w:rPr>
        <w:t>development</w:t>
      </w:r>
      <w:r>
        <w:rPr>
          <w:color w:val="231F20"/>
          <w:spacing w:val="-7"/>
        </w:rPr>
        <w:t xml:space="preserve"> </w:t>
      </w:r>
      <w:r>
        <w:rPr>
          <w:color w:val="231F20"/>
        </w:rPr>
        <w:t>opportunities and management challenges in sport tourism.</w:t>
      </w:r>
    </w:p>
    <w:p w14:paraId="11B2FE9B" w14:textId="77777777" w:rsidR="00AE0598" w:rsidRDefault="0069255A">
      <w:pPr>
        <w:pStyle w:val="Corpodetexto"/>
        <w:spacing w:before="26" w:line="232" w:lineRule="auto"/>
        <w:ind w:left="223" w:right="218" w:firstLine="320"/>
        <w:jc w:val="both"/>
      </w:pPr>
      <w:r>
        <w:rPr>
          <w:color w:val="231F20"/>
        </w:rPr>
        <w:t>Further along the Jurassic Coast is the borough of Weymouth and Portland, site of the sailing events for the London 2012 Olympic and Paralympic Games. The Games helped raised the profile of Dorset as</w:t>
      </w:r>
      <w:r>
        <w:rPr>
          <w:color w:val="231F20"/>
          <w:spacing w:val="80"/>
        </w:rPr>
        <w:t xml:space="preserve"> </w:t>
      </w:r>
      <w:r>
        <w:rPr>
          <w:color w:val="231F20"/>
        </w:rPr>
        <w:t xml:space="preserve">a tourism destination and left an infrastructure legacy </w:t>
      </w:r>
      <w:r>
        <w:rPr>
          <w:color w:val="231F20"/>
        </w:rPr>
        <w:t xml:space="preserve">surrounding the sailing venues (Ritchie </w:t>
      </w:r>
      <w:r>
        <w:rPr>
          <w:i/>
          <w:color w:val="231F20"/>
        </w:rPr>
        <w:t>et al</w:t>
      </w:r>
      <w:r>
        <w:rPr>
          <w:color w:val="231F20"/>
        </w:rPr>
        <w:t xml:space="preserve">., 2009). During the Games, BU staff </w:t>
      </w:r>
      <w:r>
        <w:rPr>
          <w:color w:val="231F20"/>
          <w:w w:val="95"/>
        </w:rPr>
        <w:t xml:space="preserve">and students were involved in operational roles as either official </w:t>
      </w:r>
      <w:r>
        <w:rPr>
          <w:i/>
          <w:color w:val="231F20"/>
          <w:w w:val="95"/>
        </w:rPr>
        <w:t xml:space="preserve">Games </w:t>
      </w:r>
      <w:r>
        <w:rPr>
          <w:i/>
          <w:color w:val="231F20"/>
        </w:rPr>
        <w:t xml:space="preserve">Makers </w:t>
      </w:r>
      <w:r>
        <w:rPr>
          <w:color w:val="231F20"/>
        </w:rPr>
        <w:t xml:space="preserve">volunteers, pre-Games torch relay carriers or as seconded </w:t>
      </w:r>
      <w:r>
        <w:rPr>
          <w:color w:val="231F20"/>
          <w:w w:val="95"/>
        </w:rPr>
        <w:t>employees to the organising committe</w:t>
      </w:r>
      <w:r>
        <w:rPr>
          <w:color w:val="231F20"/>
          <w:w w:val="95"/>
        </w:rPr>
        <w:t xml:space="preserve">e. These unique, once in a lifetime </w:t>
      </w:r>
      <w:r>
        <w:rPr>
          <w:color w:val="231F20"/>
        </w:rPr>
        <w:t>experiences of staff remain embedded within current curriculum delivery, and for student volunteers the 2012 Games were important for enhancing CVs and increasing employability. Enhancing career opportunities for student</w:t>
      </w:r>
      <w:r>
        <w:rPr>
          <w:color w:val="231F20"/>
        </w:rPr>
        <w:t xml:space="preserve">s is a central aim of the university and many </w:t>
      </w:r>
      <w:r>
        <w:rPr>
          <w:color w:val="231F20"/>
          <w:w w:val="95"/>
        </w:rPr>
        <w:t xml:space="preserve">graduating students find themselves working in the sport tourism sector, </w:t>
      </w:r>
      <w:r>
        <w:rPr>
          <w:color w:val="231F20"/>
        </w:rPr>
        <w:t>both during their time of study at BU or through obtaining an initial rung on this career ladder upon graduation. To assist with an agile</w:t>
      </w:r>
      <w:r>
        <w:rPr>
          <w:color w:val="231F20"/>
        </w:rPr>
        <w:t xml:space="preserve"> </w:t>
      </w:r>
      <w:r>
        <w:rPr>
          <w:color w:val="231F20"/>
          <w:w w:val="95"/>
        </w:rPr>
        <w:t xml:space="preserve">curriculum response within the UK education sector, BU has a 12-month placement/sandwich year embedded within numerous undergraduate </w:t>
      </w:r>
      <w:r>
        <w:rPr>
          <w:color w:val="231F20"/>
        </w:rPr>
        <w:t>courses, many linked to active sport tourism and sports events.</w:t>
      </w:r>
    </w:p>
    <w:p w14:paraId="1ADE3CEE" w14:textId="77777777" w:rsidR="00AE0598" w:rsidRDefault="0069255A">
      <w:pPr>
        <w:pStyle w:val="Corpodetexto"/>
        <w:spacing w:before="22" w:line="232" w:lineRule="auto"/>
        <w:ind w:left="223" w:right="219" w:firstLine="320"/>
        <w:jc w:val="both"/>
      </w:pPr>
      <w:r>
        <w:rPr>
          <w:color w:val="231F20"/>
        </w:rPr>
        <w:t>Recent post-graduation employment by Bournemouth graduates</w:t>
      </w:r>
      <w:r>
        <w:rPr>
          <w:color w:val="231F20"/>
        </w:rPr>
        <w:t xml:space="preserve"> includes jobs in the EPL, for example, a former BSc Leisure Marketing graduate</w:t>
      </w:r>
      <w:r>
        <w:rPr>
          <w:color w:val="231F20"/>
          <w:spacing w:val="20"/>
        </w:rPr>
        <w:t xml:space="preserve"> </w:t>
      </w:r>
      <w:r>
        <w:rPr>
          <w:color w:val="231F20"/>
        </w:rPr>
        <w:t>is</w:t>
      </w:r>
      <w:r>
        <w:rPr>
          <w:color w:val="231F20"/>
          <w:spacing w:val="20"/>
        </w:rPr>
        <w:t xml:space="preserve"> </w:t>
      </w:r>
      <w:r>
        <w:rPr>
          <w:color w:val="231F20"/>
        </w:rPr>
        <w:t>currently</w:t>
      </w:r>
      <w:r>
        <w:rPr>
          <w:color w:val="231F20"/>
          <w:spacing w:val="20"/>
        </w:rPr>
        <w:t xml:space="preserve"> </w:t>
      </w:r>
      <w:r>
        <w:rPr>
          <w:color w:val="231F20"/>
        </w:rPr>
        <w:t>the</w:t>
      </w:r>
      <w:r>
        <w:rPr>
          <w:color w:val="231F20"/>
          <w:spacing w:val="20"/>
        </w:rPr>
        <w:t xml:space="preserve"> </w:t>
      </w:r>
      <w:r>
        <w:rPr>
          <w:color w:val="231F20"/>
        </w:rPr>
        <w:t>commercial</w:t>
      </w:r>
      <w:r>
        <w:rPr>
          <w:color w:val="231F20"/>
          <w:spacing w:val="20"/>
        </w:rPr>
        <w:t xml:space="preserve"> </w:t>
      </w:r>
      <w:r>
        <w:rPr>
          <w:color w:val="231F20"/>
        </w:rPr>
        <w:t>director</w:t>
      </w:r>
      <w:r>
        <w:rPr>
          <w:color w:val="231F20"/>
          <w:spacing w:val="20"/>
        </w:rPr>
        <w:t xml:space="preserve"> </w:t>
      </w:r>
      <w:r>
        <w:rPr>
          <w:color w:val="231F20"/>
        </w:rPr>
        <w:t>at</w:t>
      </w:r>
      <w:r>
        <w:rPr>
          <w:color w:val="231F20"/>
          <w:spacing w:val="20"/>
        </w:rPr>
        <w:t xml:space="preserve"> </w:t>
      </w:r>
      <w:r>
        <w:rPr>
          <w:color w:val="231F20"/>
        </w:rPr>
        <w:t>AFC</w:t>
      </w:r>
      <w:r>
        <w:rPr>
          <w:color w:val="231F20"/>
          <w:spacing w:val="20"/>
        </w:rPr>
        <w:t xml:space="preserve"> </w:t>
      </w:r>
      <w:r>
        <w:rPr>
          <w:color w:val="231F20"/>
          <w:spacing w:val="-2"/>
        </w:rPr>
        <w:t>Bournemouth.</w:t>
      </w:r>
    </w:p>
    <w:p w14:paraId="5AD427EA" w14:textId="77777777" w:rsidR="00AE0598" w:rsidRDefault="0069255A">
      <w:pPr>
        <w:spacing w:before="38"/>
        <w:ind w:right="229"/>
        <w:jc w:val="right"/>
        <w:rPr>
          <w:rFonts w:ascii="Trebuchet MS"/>
          <w:i/>
          <w:sz w:val="18"/>
        </w:rPr>
      </w:pPr>
      <w:r>
        <w:rPr>
          <w:rFonts w:ascii="Trebuchet MS"/>
          <w:i/>
          <w:color w:val="231F20"/>
          <w:spacing w:val="-2"/>
          <w:sz w:val="18"/>
        </w:rPr>
        <w:t>(Continued)</w:t>
      </w:r>
    </w:p>
    <w:p w14:paraId="180C115B" w14:textId="77777777" w:rsidR="00AE0598" w:rsidRDefault="00AE0598">
      <w:pPr>
        <w:jc w:val="right"/>
        <w:rPr>
          <w:rFonts w:ascii="Trebuchet MS"/>
          <w:sz w:val="18"/>
        </w:rPr>
        <w:sectPr w:rsidR="00AE0598">
          <w:pgSz w:w="8850" w:h="13270"/>
          <w:pgMar w:top="720" w:right="1080" w:bottom="280" w:left="1080" w:header="720" w:footer="720" w:gutter="0"/>
          <w:cols w:space="720"/>
        </w:sectPr>
      </w:pPr>
    </w:p>
    <w:p w14:paraId="22027F44" w14:textId="77777777" w:rsidR="00AE0598" w:rsidRDefault="0069255A">
      <w:pPr>
        <w:spacing w:before="87"/>
        <w:ind w:left="108"/>
        <w:rPr>
          <w:rFonts w:ascii="Trebuchet MS"/>
          <w:sz w:val="14"/>
        </w:rPr>
      </w:pPr>
      <w:r>
        <w:rPr>
          <w:rFonts w:ascii="Trebuchet MS"/>
          <w:color w:val="231F20"/>
          <w:w w:val="105"/>
          <w:sz w:val="14"/>
        </w:rPr>
        <w:lastRenderedPageBreak/>
        <w:t>36</w:t>
      </w:r>
      <w:r>
        <w:rPr>
          <w:rFonts w:ascii="Trebuchet MS"/>
          <w:color w:val="231F20"/>
          <w:spacing w:val="64"/>
          <w:w w:val="150"/>
          <w:sz w:val="14"/>
        </w:rPr>
        <w:t xml:space="preserve"> </w:t>
      </w:r>
      <w:r>
        <w:rPr>
          <w:rFonts w:ascii="Trebuchet MS"/>
          <w:color w:val="231F20"/>
          <w:w w:val="105"/>
          <w:sz w:val="14"/>
        </w:rPr>
        <w:t>Part</w:t>
      </w:r>
      <w:r>
        <w:rPr>
          <w:rFonts w:ascii="Trebuchet MS"/>
          <w:color w:val="231F20"/>
          <w:spacing w:val="-9"/>
          <w:w w:val="105"/>
          <w:sz w:val="14"/>
        </w:rPr>
        <w:t xml:space="preserve"> </w:t>
      </w:r>
      <w:r>
        <w:rPr>
          <w:rFonts w:ascii="Trebuchet MS"/>
          <w:color w:val="231F20"/>
          <w:w w:val="105"/>
          <w:sz w:val="14"/>
        </w:rPr>
        <w:t>2:</w:t>
      </w:r>
      <w:r>
        <w:rPr>
          <w:rFonts w:ascii="Trebuchet MS"/>
          <w:color w:val="231F20"/>
          <w:spacing w:val="-9"/>
          <w:w w:val="105"/>
          <w:sz w:val="14"/>
        </w:rPr>
        <w:t xml:space="preserve"> </w:t>
      </w:r>
      <w:r>
        <w:rPr>
          <w:rFonts w:ascii="Trebuchet MS"/>
          <w:color w:val="231F20"/>
          <w:w w:val="105"/>
          <w:sz w:val="14"/>
        </w:rPr>
        <w:t>Foundations</w:t>
      </w:r>
      <w:r>
        <w:rPr>
          <w:rFonts w:ascii="Trebuchet MS"/>
          <w:color w:val="231F20"/>
          <w:spacing w:val="-9"/>
          <w:w w:val="105"/>
          <w:sz w:val="14"/>
        </w:rPr>
        <w:t xml:space="preserve"> </w:t>
      </w:r>
      <w:r>
        <w:rPr>
          <w:rFonts w:ascii="Trebuchet MS"/>
          <w:color w:val="231F20"/>
          <w:w w:val="105"/>
          <w:sz w:val="14"/>
        </w:rPr>
        <w:t>of</w:t>
      </w:r>
      <w:r>
        <w:rPr>
          <w:rFonts w:ascii="Trebuchet MS"/>
          <w:color w:val="231F20"/>
          <w:spacing w:val="-9"/>
          <w:w w:val="105"/>
          <w:sz w:val="14"/>
        </w:rPr>
        <w:t xml:space="preserve"> </w:t>
      </w:r>
      <w:r>
        <w:rPr>
          <w:rFonts w:ascii="Trebuchet MS"/>
          <w:color w:val="231F20"/>
          <w:w w:val="105"/>
          <w:sz w:val="14"/>
        </w:rPr>
        <w:t>Sport</w:t>
      </w:r>
      <w:r>
        <w:rPr>
          <w:rFonts w:ascii="Trebuchet MS"/>
          <w:color w:val="231F20"/>
          <w:spacing w:val="-9"/>
          <w:w w:val="105"/>
          <w:sz w:val="14"/>
        </w:rPr>
        <w:t xml:space="preserve"> </w:t>
      </w:r>
      <w:r>
        <w:rPr>
          <w:rFonts w:ascii="Trebuchet MS"/>
          <w:color w:val="231F20"/>
          <w:w w:val="105"/>
          <w:sz w:val="14"/>
        </w:rPr>
        <w:t>Tourism</w:t>
      </w:r>
      <w:r>
        <w:rPr>
          <w:rFonts w:ascii="Trebuchet MS"/>
          <w:color w:val="231F20"/>
          <w:spacing w:val="-9"/>
          <w:w w:val="105"/>
          <w:sz w:val="14"/>
        </w:rPr>
        <w:t xml:space="preserve"> </w:t>
      </w:r>
      <w:r>
        <w:rPr>
          <w:rFonts w:ascii="Trebuchet MS"/>
          <w:color w:val="231F20"/>
          <w:spacing w:val="-2"/>
          <w:w w:val="105"/>
          <w:sz w:val="14"/>
        </w:rPr>
        <w:t>Development</w:t>
      </w:r>
    </w:p>
    <w:p w14:paraId="54D917D0" w14:textId="77777777" w:rsidR="00AE0598" w:rsidRDefault="00AE0598">
      <w:pPr>
        <w:pStyle w:val="Corpodetexto"/>
        <w:spacing w:before="10"/>
        <w:rPr>
          <w:rFonts w:ascii="Trebuchet MS"/>
          <w:sz w:val="27"/>
        </w:rPr>
      </w:pPr>
    </w:p>
    <w:p w14:paraId="277364AD" w14:textId="7392FBC0" w:rsidR="00AE0598" w:rsidRDefault="0069255A">
      <w:pPr>
        <w:spacing w:before="100"/>
        <w:ind w:left="229"/>
        <w:jc w:val="both"/>
        <w:rPr>
          <w:rFonts w:ascii="Trebuchet MS"/>
          <w:sz w:val="18"/>
        </w:rPr>
      </w:pPr>
      <w:r>
        <w:rPr>
          <w:noProof/>
        </w:rPr>
        <mc:AlternateContent>
          <mc:Choice Requires="wps">
            <w:drawing>
              <wp:anchor distT="0" distB="0" distL="114300" distR="114300" simplePos="0" relativeHeight="483668992" behindDoc="1" locked="0" layoutInCell="1" allowOverlap="1" wp14:anchorId="265D64F9" wp14:editId="221DFD81">
                <wp:simplePos x="0" y="0"/>
                <wp:positionH relativeFrom="page">
                  <wp:posOffset>755650</wp:posOffset>
                </wp:positionH>
                <wp:positionV relativeFrom="paragraph">
                  <wp:posOffset>13335</wp:posOffset>
                </wp:positionV>
                <wp:extent cx="4104005" cy="4319905"/>
                <wp:effectExtent l="0" t="0" r="0" b="0"/>
                <wp:wrapNone/>
                <wp:docPr id="310" name="docshape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04005" cy="4319905"/>
                        </a:xfrm>
                        <a:prstGeom prst="rect">
                          <a:avLst/>
                        </a:prstGeom>
                        <a:solidFill>
                          <a:srgbClr val="DCDDD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CBC599" id="docshape64" o:spid="_x0000_s1026" style="position:absolute;margin-left:59.5pt;margin-top:1.05pt;width:323.15pt;height:340.15pt;z-index:-196474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" fillcolor="#dcddde" stroked="f">
                <w10:wrap anchorx="page"/>
              </v:rect>
            </w:pict>
          </mc:Fallback>
        </mc:AlternateContent>
      </w:r>
      <w:r>
        <w:rPr>
          <w:rFonts w:ascii="Trebuchet MS"/>
          <w:color w:val="231F20"/>
          <w:sz w:val="18"/>
        </w:rPr>
        <w:t>Case</w:t>
      </w:r>
      <w:r>
        <w:rPr>
          <w:rFonts w:ascii="Trebuchet MS"/>
          <w:color w:val="231F20"/>
          <w:spacing w:val="-7"/>
          <w:sz w:val="18"/>
        </w:rPr>
        <w:t xml:space="preserve"> </w:t>
      </w:r>
      <w:r>
        <w:rPr>
          <w:rFonts w:ascii="Trebuchet MS"/>
          <w:color w:val="231F20"/>
          <w:sz w:val="18"/>
        </w:rPr>
        <w:t>Study</w:t>
      </w:r>
      <w:r>
        <w:rPr>
          <w:rFonts w:ascii="Trebuchet MS"/>
          <w:color w:val="231F20"/>
          <w:spacing w:val="-6"/>
          <w:sz w:val="18"/>
        </w:rPr>
        <w:t xml:space="preserve"> </w:t>
      </w:r>
      <w:r>
        <w:rPr>
          <w:rFonts w:ascii="Trebuchet MS"/>
          <w:color w:val="231F20"/>
          <w:sz w:val="18"/>
        </w:rPr>
        <w:t>2.1:</w:t>
      </w:r>
      <w:r>
        <w:rPr>
          <w:rFonts w:ascii="Trebuchet MS"/>
          <w:color w:val="231F20"/>
          <w:spacing w:val="-7"/>
          <w:sz w:val="18"/>
        </w:rPr>
        <w:t xml:space="preserve"> </w:t>
      </w:r>
      <w:r>
        <w:rPr>
          <w:rFonts w:ascii="Trebuchet MS"/>
          <w:color w:val="231F20"/>
          <w:spacing w:val="-2"/>
          <w:sz w:val="18"/>
        </w:rPr>
        <w:t>(Continued)</w:t>
      </w:r>
    </w:p>
    <w:p w14:paraId="10E9F9B9" w14:textId="77777777" w:rsidR="00AE0598" w:rsidRDefault="00AE0598">
      <w:pPr>
        <w:pStyle w:val="Corpodetexto"/>
        <w:spacing w:before="9"/>
        <w:rPr>
          <w:rFonts w:ascii="Trebuchet MS"/>
          <w:sz w:val="16"/>
        </w:rPr>
      </w:pPr>
    </w:p>
    <w:p w14:paraId="7B1DDC82" w14:textId="77777777" w:rsidR="00AE0598" w:rsidRDefault="0069255A">
      <w:pPr>
        <w:pStyle w:val="Corpodetexto"/>
        <w:spacing w:before="1" w:line="232" w:lineRule="auto"/>
        <w:ind w:left="223" w:right="220"/>
        <w:jc w:val="both"/>
      </w:pPr>
      <w:r>
        <w:rPr>
          <w:color w:val="231F20"/>
        </w:rPr>
        <w:t xml:space="preserve">BU also has graduates both managing Bournemouth surf schools and </w:t>
      </w:r>
      <w:r>
        <w:rPr>
          <w:color w:val="231F20"/>
          <w:w w:val="95"/>
        </w:rPr>
        <w:t>working</w:t>
      </w:r>
      <w:r>
        <w:rPr>
          <w:color w:val="231F20"/>
          <w:spacing w:val="-2"/>
          <w:w w:val="95"/>
        </w:rPr>
        <w:t xml:space="preserve"> </w:t>
      </w:r>
      <w:r>
        <w:rPr>
          <w:color w:val="231F20"/>
          <w:w w:val="95"/>
        </w:rPr>
        <w:t>at</w:t>
      </w:r>
      <w:r>
        <w:rPr>
          <w:color w:val="231F20"/>
          <w:spacing w:val="-2"/>
          <w:w w:val="95"/>
        </w:rPr>
        <w:t xml:space="preserve"> </w:t>
      </w:r>
      <w:r>
        <w:rPr>
          <w:color w:val="231F20"/>
          <w:w w:val="95"/>
        </w:rPr>
        <w:t>major</w:t>
      </w:r>
      <w:r>
        <w:rPr>
          <w:color w:val="231F20"/>
          <w:spacing w:val="-2"/>
          <w:w w:val="95"/>
        </w:rPr>
        <w:t xml:space="preserve"> </w:t>
      </w:r>
      <w:r>
        <w:rPr>
          <w:color w:val="231F20"/>
          <w:w w:val="95"/>
        </w:rPr>
        <w:t>golf</w:t>
      </w:r>
      <w:r>
        <w:rPr>
          <w:color w:val="231F20"/>
          <w:spacing w:val="-2"/>
          <w:w w:val="95"/>
        </w:rPr>
        <w:t xml:space="preserve"> </w:t>
      </w:r>
      <w:r>
        <w:rPr>
          <w:color w:val="231F20"/>
          <w:w w:val="95"/>
        </w:rPr>
        <w:t>tour</w:t>
      </w:r>
      <w:r>
        <w:rPr>
          <w:color w:val="231F20"/>
          <w:spacing w:val="-2"/>
          <w:w w:val="95"/>
        </w:rPr>
        <w:t xml:space="preserve"> </w:t>
      </w:r>
      <w:r>
        <w:rPr>
          <w:color w:val="231F20"/>
          <w:w w:val="95"/>
        </w:rPr>
        <w:t>operators,</w:t>
      </w:r>
      <w:r>
        <w:rPr>
          <w:color w:val="231F20"/>
          <w:spacing w:val="-2"/>
          <w:w w:val="95"/>
        </w:rPr>
        <w:t xml:space="preserve"> </w:t>
      </w:r>
      <w:r>
        <w:rPr>
          <w:color w:val="231F20"/>
          <w:w w:val="95"/>
        </w:rPr>
        <w:t>such</w:t>
      </w:r>
      <w:r>
        <w:rPr>
          <w:color w:val="231F20"/>
          <w:spacing w:val="-2"/>
          <w:w w:val="95"/>
        </w:rPr>
        <w:t xml:space="preserve"> </w:t>
      </w:r>
      <w:r>
        <w:rPr>
          <w:color w:val="231F20"/>
          <w:w w:val="95"/>
        </w:rPr>
        <w:t>as</w:t>
      </w:r>
      <w:r>
        <w:rPr>
          <w:color w:val="231F20"/>
          <w:spacing w:val="-2"/>
          <w:w w:val="95"/>
        </w:rPr>
        <w:t xml:space="preserve"> </w:t>
      </w:r>
      <w:r>
        <w:rPr>
          <w:color w:val="231F20"/>
          <w:w w:val="95"/>
        </w:rPr>
        <w:t>Golfbreaks.com.</w:t>
      </w:r>
      <w:r>
        <w:rPr>
          <w:color w:val="231F20"/>
          <w:spacing w:val="-2"/>
          <w:w w:val="95"/>
        </w:rPr>
        <w:t xml:space="preserve"> </w:t>
      </w:r>
      <w:r>
        <w:rPr>
          <w:color w:val="231F20"/>
          <w:w w:val="95"/>
        </w:rPr>
        <w:t>An</w:t>
      </w:r>
      <w:r>
        <w:rPr>
          <w:color w:val="231F20"/>
          <w:spacing w:val="-2"/>
          <w:w w:val="95"/>
        </w:rPr>
        <w:t xml:space="preserve"> </w:t>
      </w:r>
      <w:r>
        <w:rPr>
          <w:color w:val="231F20"/>
          <w:w w:val="95"/>
        </w:rPr>
        <w:t>integral part of the current sport tourism curriculum involves inspirational guest lectures from sport tourism-related industr</w:t>
      </w:r>
      <w:r>
        <w:rPr>
          <w:color w:val="231F20"/>
          <w:w w:val="95"/>
        </w:rPr>
        <w:t xml:space="preserve">y practitioners. These range </w:t>
      </w:r>
      <w:r>
        <w:rPr>
          <w:color w:val="231F20"/>
        </w:rPr>
        <w:t>from</w:t>
      </w:r>
      <w:r>
        <w:rPr>
          <w:color w:val="231F20"/>
          <w:spacing w:val="-5"/>
        </w:rPr>
        <w:t xml:space="preserve"> </w:t>
      </w:r>
      <w:r>
        <w:rPr>
          <w:color w:val="231F20"/>
        </w:rPr>
        <w:t>London</w:t>
      </w:r>
      <w:r>
        <w:rPr>
          <w:color w:val="231F20"/>
          <w:spacing w:val="-5"/>
        </w:rPr>
        <w:t xml:space="preserve"> </w:t>
      </w:r>
      <w:r>
        <w:rPr>
          <w:color w:val="231F20"/>
        </w:rPr>
        <w:t>2012</w:t>
      </w:r>
      <w:r>
        <w:rPr>
          <w:color w:val="231F20"/>
          <w:spacing w:val="-5"/>
        </w:rPr>
        <w:t xml:space="preserve"> </w:t>
      </w:r>
      <w:r>
        <w:rPr>
          <w:color w:val="231F20"/>
        </w:rPr>
        <w:t>venue</w:t>
      </w:r>
      <w:r>
        <w:rPr>
          <w:color w:val="231F20"/>
          <w:spacing w:val="-5"/>
        </w:rPr>
        <w:t xml:space="preserve"> </w:t>
      </w:r>
      <w:r>
        <w:rPr>
          <w:color w:val="231F20"/>
        </w:rPr>
        <w:t>and</w:t>
      </w:r>
      <w:r>
        <w:rPr>
          <w:color w:val="231F20"/>
          <w:spacing w:val="-5"/>
        </w:rPr>
        <w:t xml:space="preserve"> </w:t>
      </w:r>
      <w:r>
        <w:rPr>
          <w:color w:val="231F20"/>
        </w:rPr>
        <w:t>stadium</w:t>
      </w:r>
      <w:r>
        <w:rPr>
          <w:color w:val="231F20"/>
          <w:spacing w:val="-5"/>
        </w:rPr>
        <w:t xml:space="preserve"> </w:t>
      </w:r>
      <w:r>
        <w:rPr>
          <w:color w:val="231F20"/>
        </w:rPr>
        <w:t>managers</w:t>
      </w:r>
      <w:r>
        <w:rPr>
          <w:color w:val="231F20"/>
          <w:spacing w:val="-5"/>
        </w:rPr>
        <w:t xml:space="preserve"> </w:t>
      </w:r>
      <w:r>
        <w:rPr>
          <w:color w:val="231F20"/>
        </w:rPr>
        <w:t>who</w:t>
      </w:r>
      <w:r>
        <w:rPr>
          <w:color w:val="231F20"/>
          <w:spacing w:val="-5"/>
        </w:rPr>
        <w:t xml:space="preserve"> </w:t>
      </w:r>
      <w:r>
        <w:rPr>
          <w:color w:val="231F20"/>
        </w:rPr>
        <w:t>highlight</w:t>
      </w:r>
      <w:r>
        <w:rPr>
          <w:color w:val="231F20"/>
          <w:spacing w:val="-5"/>
        </w:rPr>
        <w:t xml:space="preserve"> </w:t>
      </w:r>
      <w:r>
        <w:rPr>
          <w:color w:val="231F20"/>
        </w:rPr>
        <w:t>legacy benefits</w:t>
      </w:r>
      <w:r>
        <w:rPr>
          <w:color w:val="231F20"/>
          <w:spacing w:val="-7"/>
        </w:rPr>
        <w:t xml:space="preserve"> </w:t>
      </w:r>
      <w:r>
        <w:rPr>
          <w:color w:val="231F20"/>
        </w:rPr>
        <w:t>and</w:t>
      </w:r>
      <w:r>
        <w:rPr>
          <w:color w:val="231F20"/>
          <w:spacing w:val="-7"/>
        </w:rPr>
        <w:t xml:space="preserve"> </w:t>
      </w:r>
      <w:r>
        <w:rPr>
          <w:color w:val="231F20"/>
        </w:rPr>
        <w:t>challenges,</w:t>
      </w:r>
      <w:r>
        <w:rPr>
          <w:color w:val="231F20"/>
          <w:spacing w:val="-7"/>
        </w:rPr>
        <w:t xml:space="preserve"> </w:t>
      </w:r>
      <w:r>
        <w:rPr>
          <w:color w:val="231F20"/>
        </w:rPr>
        <w:t>to</w:t>
      </w:r>
      <w:r>
        <w:rPr>
          <w:color w:val="231F20"/>
          <w:spacing w:val="-7"/>
        </w:rPr>
        <w:t xml:space="preserve"> </w:t>
      </w:r>
      <w:r>
        <w:rPr>
          <w:color w:val="231F20"/>
        </w:rPr>
        <w:t>senior</w:t>
      </w:r>
      <w:r>
        <w:rPr>
          <w:color w:val="231F20"/>
          <w:spacing w:val="-7"/>
        </w:rPr>
        <w:t xml:space="preserve"> </w:t>
      </w:r>
      <w:r>
        <w:rPr>
          <w:color w:val="231F20"/>
        </w:rPr>
        <w:t>management</w:t>
      </w:r>
      <w:r>
        <w:rPr>
          <w:color w:val="231F20"/>
          <w:spacing w:val="-7"/>
        </w:rPr>
        <w:t xml:space="preserve"> </w:t>
      </w:r>
      <w:r>
        <w:rPr>
          <w:color w:val="231F20"/>
        </w:rPr>
        <w:t>from</w:t>
      </w:r>
      <w:r>
        <w:rPr>
          <w:color w:val="231F20"/>
          <w:spacing w:val="-7"/>
        </w:rPr>
        <w:t xml:space="preserve"> </w:t>
      </w:r>
      <w:r>
        <w:rPr>
          <w:color w:val="231F20"/>
        </w:rPr>
        <w:t>sports</w:t>
      </w:r>
      <w:r>
        <w:rPr>
          <w:color w:val="231F20"/>
          <w:spacing w:val="-7"/>
        </w:rPr>
        <w:t xml:space="preserve"> </w:t>
      </w:r>
      <w:r>
        <w:rPr>
          <w:color w:val="231F20"/>
        </w:rPr>
        <w:t xml:space="preserve">marketing </w:t>
      </w:r>
      <w:r>
        <w:rPr>
          <w:color w:val="231F20"/>
          <w:w w:val="95"/>
        </w:rPr>
        <w:t xml:space="preserve">and events companies who specialise in professional sailing and outdoor </w:t>
      </w:r>
      <w:r>
        <w:rPr>
          <w:color w:val="231F20"/>
        </w:rPr>
        <w:t xml:space="preserve">events including running, cycling and winter sports. Inevitably, high profile guest lectures provide insight into the depth and diversity of sport tourism opportunities, from the more </w:t>
      </w:r>
      <w:r>
        <w:rPr>
          <w:color w:val="231F20"/>
        </w:rPr>
        <w:t>traditionally recognised sports to new emerging events and activities.</w:t>
      </w:r>
    </w:p>
    <w:p w14:paraId="43A1712B" w14:textId="77777777" w:rsidR="00AE0598" w:rsidRDefault="0069255A">
      <w:pPr>
        <w:pStyle w:val="Corpodetexto"/>
        <w:spacing w:before="13" w:line="232" w:lineRule="auto"/>
        <w:ind w:left="223" w:right="221" w:firstLine="320"/>
        <w:jc w:val="both"/>
      </w:pPr>
      <w:r>
        <w:rPr>
          <w:color w:val="231F20"/>
        </w:rPr>
        <w:t>The</w:t>
      </w:r>
      <w:r>
        <w:rPr>
          <w:color w:val="231F20"/>
          <w:spacing w:val="-10"/>
        </w:rPr>
        <w:t xml:space="preserve"> </w:t>
      </w:r>
      <w:r>
        <w:rPr>
          <w:color w:val="231F20"/>
        </w:rPr>
        <w:t>key</w:t>
      </w:r>
      <w:r>
        <w:rPr>
          <w:color w:val="231F20"/>
          <w:spacing w:val="-10"/>
        </w:rPr>
        <w:t xml:space="preserve"> </w:t>
      </w:r>
      <w:r>
        <w:rPr>
          <w:color w:val="231F20"/>
        </w:rPr>
        <w:t>success</w:t>
      </w:r>
      <w:r>
        <w:rPr>
          <w:color w:val="231F20"/>
          <w:spacing w:val="-10"/>
        </w:rPr>
        <w:t xml:space="preserve"> </w:t>
      </w:r>
      <w:r>
        <w:rPr>
          <w:color w:val="231F20"/>
        </w:rPr>
        <w:t>factors</w:t>
      </w:r>
      <w:r>
        <w:rPr>
          <w:color w:val="231F20"/>
          <w:spacing w:val="-10"/>
        </w:rPr>
        <w:t xml:space="preserve"> </w:t>
      </w:r>
      <w:r>
        <w:rPr>
          <w:color w:val="231F20"/>
        </w:rPr>
        <w:t>for</w:t>
      </w:r>
      <w:r>
        <w:rPr>
          <w:color w:val="231F20"/>
          <w:spacing w:val="-10"/>
        </w:rPr>
        <w:t xml:space="preserve"> </w:t>
      </w:r>
      <w:r>
        <w:rPr>
          <w:color w:val="231F20"/>
        </w:rPr>
        <w:t>sport</w:t>
      </w:r>
      <w:r>
        <w:rPr>
          <w:color w:val="231F20"/>
          <w:spacing w:val="-10"/>
        </w:rPr>
        <w:t xml:space="preserve"> </w:t>
      </w:r>
      <w:r>
        <w:rPr>
          <w:color w:val="231F20"/>
        </w:rPr>
        <w:t>tourism</w:t>
      </w:r>
      <w:r>
        <w:rPr>
          <w:color w:val="231F20"/>
          <w:spacing w:val="-10"/>
        </w:rPr>
        <w:t xml:space="preserve"> </w:t>
      </w:r>
      <w:r>
        <w:rPr>
          <w:color w:val="231F20"/>
        </w:rPr>
        <w:t>courses</w:t>
      </w:r>
      <w:r>
        <w:rPr>
          <w:color w:val="231F20"/>
          <w:spacing w:val="-10"/>
        </w:rPr>
        <w:t xml:space="preserve"> </w:t>
      </w:r>
      <w:r>
        <w:rPr>
          <w:color w:val="231F20"/>
        </w:rPr>
        <w:t>at</w:t>
      </w:r>
      <w:r>
        <w:rPr>
          <w:color w:val="231F20"/>
          <w:spacing w:val="-10"/>
        </w:rPr>
        <w:t xml:space="preserve"> </w:t>
      </w:r>
      <w:r>
        <w:rPr>
          <w:color w:val="231F20"/>
        </w:rPr>
        <w:t>BU</w:t>
      </w:r>
      <w:r>
        <w:rPr>
          <w:color w:val="231F20"/>
          <w:spacing w:val="-10"/>
        </w:rPr>
        <w:t xml:space="preserve"> </w:t>
      </w:r>
      <w:r>
        <w:rPr>
          <w:color w:val="231F20"/>
        </w:rPr>
        <w:t>include</w:t>
      </w:r>
      <w:r>
        <w:rPr>
          <w:color w:val="231F20"/>
          <w:spacing w:val="-10"/>
        </w:rPr>
        <w:t xml:space="preserve"> </w:t>
      </w:r>
      <w:r>
        <w:rPr>
          <w:color w:val="231F20"/>
        </w:rPr>
        <w:t>the provision</w:t>
      </w:r>
      <w:r>
        <w:rPr>
          <w:color w:val="231F20"/>
          <w:spacing w:val="-7"/>
        </w:rPr>
        <w:t xml:space="preserve"> </w:t>
      </w:r>
      <w:r>
        <w:rPr>
          <w:color w:val="231F20"/>
        </w:rPr>
        <w:t>of</w:t>
      </w:r>
      <w:r>
        <w:rPr>
          <w:color w:val="231F20"/>
          <w:spacing w:val="-7"/>
        </w:rPr>
        <w:t xml:space="preserve"> </w:t>
      </w:r>
      <w:r>
        <w:rPr>
          <w:color w:val="231F20"/>
        </w:rPr>
        <w:t>these</w:t>
      </w:r>
      <w:r>
        <w:rPr>
          <w:color w:val="231F20"/>
          <w:spacing w:val="-7"/>
        </w:rPr>
        <w:t xml:space="preserve"> </w:t>
      </w:r>
      <w:r>
        <w:rPr>
          <w:color w:val="231F20"/>
        </w:rPr>
        <w:t>experiential</w:t>
      </w:r>
      <w:r>
        <w:rPr>
          <w:color w:val="231F20"/>
          <w:spacing w:val="-7"/>
        </w:rPr>
        <w:t xml:space="preserve"> </w:t>
      </w:r>
      <w:r>
        <w:rPr>
          <w:color w:val="231F20"/>
        </w:rPr>
        <w:t>field</w:t>
      </w:r>
      <w:r>
        <w:rPr>
          <w:color w:val="231F20"/>
          <w:spacing w:val="-7"/>
        </w:rPr>
        <w:t xml:space="preserve"> </w:t>
      </w:r>
      <w:r>
        <w:rPr>
          <w:color w:val="231F20"/>
        </w:rPr>
        <w:t>trips</w:t>
      </w:r>
      <w:r>
        <w:rPr>
          <w:color w:val="231F20"/>
          <w:spacing w:val="-7"/>
        </w:rPr>
        <w:t xml:space="preserve"> </w:t>
      </w:r>
      <w:r>
        <w:rPr>
          <w:color w:val="231F20"/>
        </w:rPr>
        <w:t>to</w:t>
      </w:r>
      <w:r>
        <w:rPr>
          <w:color w:val="231F20"/>
          <w:spacing w:val="-7"/>
        </w:rPr>
        <w:t xml:space="preserve"> </w:t>
      </w:r>
      <w:r>
        <w:rPr>
          <w:color w:val="231F20"/>
        </w:rPr>
        <w:t>venues</w:t>
      </w:r>
      <w:r>
        <w:rPr>
          <w:color w:val="231F20"/>
          <w:spacing w:val="-7"/>
        </w:rPr>
        <w:t xml:space="preserve"> </w:t>
      </w:r>
      <w:r>
        <w:rPr>
          <w:color w:val="231F20"/>
        </w:rPr>
        <w:t>or</w:t>
      </w:r>
      <w:r>
        <w:rPr>
          <w:color w:val="231F20"/>
          <w:spacing w:val="-7"/>
        </w:rPr>
        <w:t xml:space="preserve"> </w:t>
      </w:r>
      <w:r>
        <w:rPr>
          <w:color w:val="231F20"/>
        </w:rPr>
        <w:t>events;</w:t>
      </w:r>
      <w:r>
        <w:rPr>
          <w:color w:val="231F20"/>
          <w:spacing w:val="-7"/>
        </w:rPr>
        <w:t xml:space="preserve"> </w:t>
      </w:r>
      <w:r>
        <w:rPr>
          <w:color w:val="231F20"/>
        </w:rPr>
        <w:t>creating and developing work experience and employab</w:t>
      </w:r>
      <w:r>
        <w:rPr>
          <w:color w:val="231F20"/>
        </w:rPr>
        <w:t>ility opportunities within</w:t>
      </w:r>
      <w:r>
        <w:rPr>
          <w:color w:val="231F20"/>
          <w:spacing w:val="-5"/>
        </w:rPr>
        <w:t xml:space="preserve"> </w:t>
      </w:r>
      <w:r>
        <w:rPr>
          <w:color w:val="231F20"/>
        </w:rPr>
        <w:t>sport,</w:t>
      </w:r>
      <w:r>
        <w:rPr>
          <w:color w:val="231F20"/>
          <w:spacing w:val="-5"/>
        </w:rPr>
        <w:t xml:space="preserve"> </w:t>
      </w:r>
      <w:r>
        <w:rPr>
          <w:color w:val="231F20"/>
        </w:rPr>
        <w:t>tourism</w:t>
      </w:r>
      <w:r>
        <w:rPr>
          <w:color w:val="231F20"/>
          <w:spacing w:val="-5"/>
        </w:rPr>
        <w:t xml:space="preserve"> </w:t>
      </w:r>
      <w:r>
        <w:rPr>
          <w:color w:val="231F20"/>
        </w:rPr>
        <w:t>and</w:t>
      </w:r>
      <w:r>
        <w:rPr>
          <w:color w:val="231F20"/>
          <w:spacing w:val="-5"/>
        </w:rPr>
        <w:t xml:space="preserve"> </w:t>
      </w:r>
      <w:r>
        <w:rPr>
          <w:color w:val="231F20"/>
        </w:rPr>
        <w:t>events</w:t>
      </w:r>
      <w:r>
        <w:rPr>
          <w:color w:val="231F20"/>
          <w:spacing w:val="-5"/>
        </w:rPr>
        <w:t xml:space="preserve"> </w:t>
      </w:r>
      <w:r>
        <w:rPr>
          <w:color w:val="231F20"/>
        </w:rPr>
        <w:t>industries;</w:t>
      </w:r>
      <w:r>
        <w:rPr>
          <w:color w:val="231F20"/>
          <w:spacing w:val="-5"/>
        </w:rPr>
        <w:t xml:space="preserve"> </w:t>
      </w:r>
      <w:r>
        <w:rPr>
          <w:color w:val="231F20"/>
        </w:rPr>
        <w:t>a</w:t>
      </w:r>
      <w:r>
        <w:rPr>
          <w:color w:val="231F20"/>
          <w:spacing w:val="-5"/>
        </w:rPr>
        <w:t xml:space="preserve"> </w:t>
      </w:r>
      <w:r>
        <w:rPr>
          <w:color w:val="231F20"/>
        </w:rPr>
        <w:t>fluid</w:t>
      </w:r>
      <w:r>
        <w:rPr>
          <w:color w:val="231F20"/>
          <w:spacing w:val="-5"/>
        </w:rPr>
        <w:t xml:space="preserve"> </w:t>
      </w:r>
      <w:r>
        <w:rPr>
          <w:color w:val="231F20"/>
        </w:rPr>
        <w:t>and</w:t>
      </w:r>
      <w:r>
        <w:rPr>
          <w:color w:val="231F20"/>
          <w:spacing w:val="-5"/>
        </w:rPr>
        <w:t xml:space="preserve"> </w:t>
      </w:r>
      <w:r>
        <w:rPr>
          <w:color w:val="231F20"/>
        </w:rPr>
        <w:t>agile</w:t>
      </w:r>
      <w:r>
        <w:rPr>
          <w:color w:val="231F20"/>
          <w:spacing w:val="-5"/>
        </w:rPr>
        <w:t xml:space="preserve"> </w:t>
      </w:r>
      <w:r>
        <w:rPr>
          <w:color w:val="231F20"/>
        </w:rPr>
        <w:t>response to</w:t>
      </w:r>
      <w:r>
        <w:rPr>
          <w:color w:val="231F20"/>
          <w:spacing w:val="-3"/>
        </w:rPr>
        <w:t xml:space="preserve"> </w:t>
      </w:r>
      <w:r>
        <w:rPr>
          <w:color w:val="231F20"/>
        </w:rPr>
        <w:t>reflect</w:t>
      </w:r>
      <w:r>
        <w:rPr>
          <w:color w:val="231F20"/>
          <w:spacing w:val="-3"/>
        </w:rPr>
        <w:t xml:space="preserve"> </w:t>
      </w:r>
      <w:r>
        <w:rPr>
          <w:color w:val="231F20"/>
        </w:rPr>
        <w:t>constant</w:t>
      </w:r>
      <w:r>
        <w:rPr>
          <w:color w:val="231F20"/>
          <w:spacing w:val="-3"/>
        </w:rPr>
        <w:t xml:space="preserve"> </w:t>
      </w:r>
      <w:r>
        <w:rPr>
          <w:color w:val="231F20"/>
        </w:rPr>
        <w:t>changes</w:t>
      </w:r>
      <w:r>
        <w:rPr>
          <w:color w:val="231F20"/>
          <w:spacing w:val="-3"/>
        </w:rPr>
        <w:t xml:space="preserve"> </w:t>
      </w:r>
      <w:r>
        <w:rPr>
          <w:color w:val="231F20"/>
        </w:rPr>
        <w:t>in</w:t>
      </w:r>
      <w:r>
        <w:rPr>
          <w:color w:val="231F20"/>
          <w:spacing w:val="-3"/>
        </w:rPr>
        <w:t xml:space="preserve"> </w:t>
      </w:r>
      <w:r>
        <w:rPr>
          <w:color w:val="231F20"/>
        </w:rPr>
        <w:t>demand</w:t>
      </w:r>
      <w:r>
        <w:rPr>
          <w:color w:val="231F20"/>
          <w:spacing w:val="-3"/>
        </w:rPr>
        <w:t xml:space="preserve"> </w:t>
      </w:r>
      <w:r>
        <w:rPr>
          <w:color w:val="231F20"/>
        </w:rPr>
        <w:t>for</w:t>
      </w:r>
      <w:r>
        <w:rPr>
          <w:color w:val="231F20"/>
          <w:spacing w:val="-3"/>
        </w:rPr>
        <w:t xml:space="preserve"> </w:t>
      </w:r>
      <w:r>
        <w:rPr>
          <w:color w:val="231F20"/>
        </w:rPr>
        <w:t>sport-related</w:t>
      </w:r>
      <w:r>
        <w:rPr>
          <w:color w:val="231F20"/>
          <w:spacing w:val="-3"/>
        </w:rPr>
        <w:t xml:space="preserve"> </w:t>
      </w:r>
      <w:r>
        <w:rPr>
          <w:color w:val="231F20"/>
        </w:rPr>
        <w:t>activities;</w:t>
      </w:r>
      <w:r>
        <w:rPr>
          <w:color w:val="231F20"/>
          <w:spacing w:val="-3"/>
        </w:rPr>
        <w:t xml:space="preserve"> </w:t>
      </w:r>
      <w:r>
        <w:rPr>
          <w:color w:val="231F20"/>
        </w:rPr>
        <w:t>and facilitating student engagement with both industry practitioner guest speakers and ex-students currently working within the sport tourism sector.</w:t>
      </w:r>
      <w:r>
        <w:rPr>
          <w:color w:val="231F20"/>
          <w:spacing w:val="-3"/>
        </w:rPr>
        <w:t xml:space="preserve"> </w:t>
      </w:r>
      <w:r>
        <w:rPr>
          <w:color w:val="231F20"/>
        </w:rPr>
        <w:t>The</w:t>
      </w:r>
      <w:r>
        <w:rPr>
          <w:color w:val="231F20"/>
          <w:spacing w:val="-3"/>
        </w:rPr>
        <w:t xml:space="preserve"> </w:t>
      </w:r>
      <w:r>
        <w:rPr>
          <w:color w:val="231F20"/>
        </w:rPr>
        <w:t>tripartite</w:t>
      </w:r>
      <w:r>
        <w:rPr>
          <w:color w:val="231F20"/>
          <w:spacing w:val="-3"/>
        </w:rPr>
        <w:t xml:space="preserve"> </w:t>
      </w:r>
      <w:r>
        <w:rPr>
          <w:color w:val="231F20"/>
        </w:rPr>
        <w:t>concepts</w:t>
      </w:r>
      <w:r>
        <w:rPr>
          <w:color w:val="231F20"/>
          <w:spacing w:val="-3"/>
        </w:rPr>
        <w:t xml:space="preserve"> </w:t>
      </w:r>
      <w:r>
        <w:rPr>
          <w:color w:val="231F20"/>
        </w:rPr>
        <w:t>of</w:t>
      </w:r>
      <w:r>
        <w:rPr>
          <w:color w:val="231F20"/>
          <w:spacing w:val="-4"/>
        </w:rPr>
        <w:t xml:space="preserve"> </w:t>
      </w:r>
      <w:r>
        <w:rPr>
          <w:i/>
          <w:color w:val="231F20"/>
        </w:rPr>
        <w:t>embedding</w:t>
      </w:r>
      <w:r>
        <w:rPr>
          <w:color w:val="231F20"/>
        </w:rPr>
        <w:t>,</w:t>
      </w:r>
      <w:r>
        <w:rPr>
          <w:color w:val="231F20"/>
          <w:spacing w:val="-3"/>
        </w:rPr>
        <w:t xml:space="preserve"> </w:t>
      </w:r>
      <w:r>
        <w:rPr>
          <w:i/>
          <w:color w:val="231F20"/>
        </w:rPr>
        <w:t>enthusing</w:t>
      </w:r>
      <w:r>
        <w:rPr>
          <w:i/>
          <w:color w:val="231F20"/>
          <w:spacing w:val="-3"/>
        </w:rPr>
        <w:t xml:space="preserve"> </w:t>
      </w:r>
      <w:r>
        <w:rPr>
          <w:color w:val="231F20"/>
        </w:rPr>
        <w:t>and</w:t>
      </w:r>
      <w:r>
        <w:rPr>
          <w:color w:val="231F20"/>
          <w:spacing w:val="-3"/>
        </w:rPr>
        <w:t xml:space="preserve"> </w:t>
      </w:r>
      <w:r>
        <w:rPr>
          <w:i/>
          <w:color w:val="231F20"/>
        </w:rPr>
        <w:t xml:space="preserve">enhancing </w:t>
      </w:r>
      <w:r>
        <w:rPr>
          <w:color w:val="231F20"/>
        </w:rPr>
        <w:t>student employment opportunities have been k</w:t>
      </w:r>
      <w:r>
        <w:rPr>
          <w:color w:val="231F20"/>
        </w:rPr>
        <w:t xml:space="preserve">ey success factors for BU’s sport tourism courses. Fortunately, the Bournemouth and Poole region provides a </w:t>
      </w:r>
      <w:r>
        <w:rPr>
          <w:i/>
          <w:color w:val="231F20"/>
        </w:rPr>
        <w:t xml:space="preserve">sport tourism laboratory </w:t>
      </w:r>
      <w:r>
        <w:rPr>
          <w:color w:val="231F20"/>
        </w:rPr>
        <w:t>and destination window for</w:t>
      </w:r>
      <w:r>
        <w:rPr>
          <w:color w:val="231F20"/>
          <w:spacing w:val="-6"/>
        </w:rPr>
        <w:t xml:space="preserve"> </w:t>
      </w:r>
      <w:r>
        <w:rPr>
          <w:color w:val="231F20"/>
        </w:rPr>
        <w:t>students</w:t>
      </w:r>
      <w:r>
        <w:rPr>
          <w:color w:val="231F20"/>
          <w:spacing w:val="-6"/>
        </w:rPr>
        <w:t xml:space="preserve"> </w:t>
      </w:r>
      <w:r>
        <w:rPr>
          <w:color w:val="231F20"/>
        </w:rPr>
        <w:t>to</w:t>
      </w:r>
      <w:r>
        <w:rPr>
          <w:color w:val="231F20"/>
          <w:spacing w:val="-6"/>
        </w:rPr>
        <w:t xml:space="preserve"> </w:t>
      </w:r>
      <w:r>
        <w:rPr>
          <w:color w:val="231F20"/>
        </w:rPr>
        <w:t>critique</w:t>
      </w:r>
      <w:r>
        <w:rPr>
          <w:color w:val="231F20"/>
          <w:spacing w:val="-6"/>
        </w:rPr>
        <w:t xml:space="preserve"> </w:t>
      </w:r>
      <w:r>
        <w:rPr>
          <w:color w:val="231F20"/>
        </w:rPr>
        <w:t>sport</w:t>
      </w:r>
      <w:r>
        <w:rPr>
          <w:color w:val="231F20"/>
          <w:spacing w:val="-6"/>
        </w:rPr>
        <w:t xml:space="preserve"> </w:t>
      </w:r>
      <w:r>
        <w:rPr>
          <w:color w:val="231F20"/>
        </w:rPr>
        <w:t>tourism</w:t>
      </w:r>
      <w:r>
        <w:rPr>
          <w:color w:val="231F20"/>
          <w:spacing w:val="-6"/>
        </w:rPr>
        <w:t xml:space="preserve"> </w:t>
      </w:r>
      <w:r>
        <w:rPr>
          <w:color w:val="231F20"/>
        </w:rPr>
        <w:t>development</w:t>
      </w:r>
      <w:r>
        <w:rPr>
          <w:color w:val="231F20"/>
          <w:spacing w:val="-6"/>
        </w:rPr>
        <w:t xml:space="preserve"> </w:t>
      </w:r>
      <w:r>
        <w:rPr>
          <w:color w:val="231F20"/>
        </w:rPr>
        <w:t>issues</w:t>
      </w:r>
      <w:r>
        <w:rPr>
          <w:color w:val="231F20"/>
          <w:spacing w:val="-6"/>
        </w:rPr>
        <w:t xml:space="preserve"> </w:t>
      </w:r>
      <w:r>
        <w:rPr>
          <w:color w:val="231F20"/>
        </w:rPr>
        <w:t>through</w:t>
      </w:r>
      <w:r>
        <w:rPr>
          <w:color w:val="231F20"/>
          <w:spacing w:val="-6"/>
        </w:rPr>
        <w:t xml:space="preserve"> </w:t>
      </w:r>
      <w:r>
        <w:rPr>
          <w:color w:val="231F20"/>
        </w:rPr>
        <w:t xml:space="preserve">the </w:t>
      </w:r>
      <w:r>
        <w:rPr>
          <w:color w:val="231F20"/>
          <w:w w:val="95"/>
        </w:rPr>
        <w:t>programmes developed at BU. Th</w:t>
      </w:r>
      <w:r>
        <w:rPr>
          <w:color w:val="231F20"/>
          <w:w w:val="95"/>
        </w:rPr>
        <w:t xml:space="preserve">ese programmes provide theoretical, </w:t>
      </w:r>
      <w:r>
        <w:rPr>
          <w:color w:val="231F20"/>
        </w:rPr>
        <w:t>empirical</w:t>
      </w:r>
      <w:r>
        <w:rPr>
          <w:color w:val="231F20"/>
          <w:spacing w:val="-8"/>
        </w:rPr>
        <w:t xml:space="preserve"> </w:t>
      </w:r>
      <w:r>
        <w:rPr>
          <w:color w:val="231F20"/>
        </w:rPr>
        <w:t>and</w:t>
      </w:r>
      <w:r>
        <w:rPr>
          <w:color w:val="231F20"/>
          <w:spacing w:val="-8"/>
        </w:rPr>
        <w:t xml:space="preserve"> </w:t>
      </w:r>
      <w:r>
        <w:rPr>
          <w:color w:val="231F20"/>
        </w:rPr>
        <w:t>practical</w:t>
      </w:r>
      <w:r>
        <w:rPr>
          <w:color w:val="231F20"/>
          <w:spacing w:val="-8"/>
        </w:rPr>
        <w:t xml:space="preserve"> </w:t>
      </w:r>
      <w:r>
        <w:rPr>
          <w:color w:val="231F20"/>
        </w:rPr>
        <w:t>insights</w:t>
      </w:r>
      <w:r>
        <w:rPr>
          <w:color w:val="231F20"/>
          <w:spacing w:val="-8"/>
        </w:rPr>
        <w:t xml:space="preserve"> </w:t>
      </w:r>
      <w:r>
        <w:rPr>
          <w:color w:val="231F20"/>
        </w:rPr>
        <w:t>into</w:t>
      </w:r>
      <w:r>
        <w:rPr>
          <w:color w:val="231F20"/>
          <w:spacing w:val="-8"/>
        </w:rPr>
        <w:t xml:space="preserve"> </w:t>
      </w:r>
      <w:r>
        <w:rPr>
          <w:color w:val="231F20"/>
        </w:rPr>
        <w:t>a</w:t>
      </w:r>
      <w:r>
        <w:rPr>
          <w:color w:val="231F20"/>
          <w:spacing w:val="-8"/>
        </w:rPr>
        <w:t xml:space="preserve"> </w:t>
      </w:r>
      <w:r>
        <w:rPr>
          <w:color w:val="231F20"/>
        </w:rPr>
        <w:t>diverse</w:t>
      </w:r>
      <w:r>
        <w:rPr>
          <w:color w:val="231F20"/>
          <w:spacing w:val="-8"/>
        </w:rPr>
        <w:t xml:space="preserve"> </w:t>
      </w:r>
      <w:r>
        <w:rPr>
          <w:color w:val="231F20"/>
        </w:rPr>
        <w:t>phenomenon</w:t>
      </w:r>
      <w:r>
        <w:rPr>
          <w:color w:val="231F20"/>
          <w:spacing w:val="-8"/>
        </w:rPr>
        <w:t xml:space="preserve"> </w:t>
      </w:r>
      <w:r>
        <w:rPr>
          <w:color w:val="231F20"/>
        </w:rPr>
        <w:t>that</w:t>
      </w:r>
      <w:r>
        <w:rPr>
          <w:color w:val="231F20"/>
          <w:spacing w:val="-8"/>
        </w:rPr>
        <w:t xml:space="preserve"> </w:t>
      </w:r>
      <w:r>
        <w:rPr>
          <w:color w:val="231F20"/>
        </w:rPr>
        <w:t>offers an equally diverse range of career pathways.</w:t>
      </w:r>
    </w:p>
    <w:p w14:paraId="237F67E6" w14:textId="77777777" w:rsidR="00AE0598" w:rsidRDefault="00AE0598">
      <w:pPr>
        <w:pStyle w:val="Corpodetexto"/>
        <w:rPr>
          <w:sz w:val="25"/>
        </w:rPr>
      </w:pPr>
    </w:p>
    <w:p w14:paraId="69C19DE5" w14:textId="77777777" w:rsidR="00AE0598" w:rsidRDefault="0069255A">
      <w:pPr>
        <w:spacing w:before="1"/>
        <w:ind w:left="110"/>
        <w:rPr>
          <w:rFonts w:ascii="Trebuchet MS"/>
          <w:b/>
          <w:sz w:val="20"/>
        </w:rPr>
      </w:pPr>
      <w:r>
        <w:rPr>
          <w:rFonts w:ascii="Trebuchet MS"/>
          <w:b/>
          <w:color w:val="231F20"/>
          <w:spacing w:val="-2"/>
          <w:sz w:val="20"/>
        </w:rPr>
        <w:t>Conclusion</w:t>
      </w:r>
    </w:p>
    <w:p w14:paraId="43D35500" w14:textId="77777777" w:rsidR="00AE0598" w:rsidRDefault="0069255A">
      <w:pPr>
        <w:pStyle w:val="Corpodetexto"/>
        <w:spacing w:before="122" w:line="232" w:lineRule="auto"/>
        <w:ind w:left="110" w:right="106" w:firstLine="320"/>
        <w:jc w:val="both"/>
      </w:pPr>
      <w:r>
        <w:rPr>
          <w:color w:val="231F20"/>
        </w:rPr>
        <w:t>Sport and tourism are closely related in terms of practice. Tourists participate in sports while on their travels and spectators and athletes travel in search of competition or in pursuit of opportunities to engage in their sporting passions. Despite the o</w:t>
      </w:r>
      <w:r>
        <w:rPr>
          <w:color w:val="231F20"/>
        </w:rPr>
        <w:t xml:space="preserve">bvious overlap between sport and tourism, much remains to be discovered about the dynamics of this relationship. Systematic advances in this realm have been greatly aided </w:t>
      </w:r>
      <w:r>
        <w:rPr>
          <w:color w:val="231F20"/>
          <w:w w:val="95"/>
        </w:rPr>
        <w:t>by focused research in the area of sport tourism rather than the relatively</w:t>
      </w:r>
      <w:r>
        <w:rPr>
          <w:color w:val="231F20"/>
        </w:rPr>
        <w:t xml:space="preserve"> </w:t>
      </w:r>
      <w:r>
        <w:rPr>
          <w:i/>
          <w:color w:val="231F20"/>
        </w:rPr>
        <w:t xml:space="preserve">ad hoc </w:t>
      </w:r>
      <w:r>
        <w:rPr>
          <w:color w:val="231F20"/>
        </w:rPr>
        <w:t>tr</w:t>
      </w:r>
      <w:r>
        <w:rPr>
          <w:color w:val="231F20"/>
        </w:rPr>
        <w:t xml:space="preserve">eatment of the subject prior to 2000. While the study of sport tourism is still relatively young, it has matured into a rigorous scholarly field over the past 25 years. A coherent and insightful body of literature has emerged. But coherence does not imply </w:t>
      </w:r>
      <w:r>
        <w:rPr>
          <w:color w:val="231F20"/>
        </w:rPr>
        <w:t xml:space="preserve">a single perspective. In fact, a mature area of study embraces multiple perspectives that challenge </w:t>
      </w:r>
      <w:r>
        <w:rPr>
          <w:color w:val="231F20"/>
          <w:w w:val="95"/>
        </w:rPr>
        <w:t>underlying</w:t>
      </w:r>
      <w:r>
        <w:rPr>
          <w:color w:val="231F20"/>
          <w:spacing w:val="27"/>
        </w:rPr>
        <w:t xml:space="preserve"> </w:t>
      </w:r>
      <w:r>
        <w:rPr>
          <w:color w:val="231F20"/>
          <w:w w:val="95"/>
        </w:rPr>
        <w:t>assumptions</w:t>
      </w:r>
      <w:r>
        <w:rPr>
          <w:color w:val="231F20"/>
          <w:spacing w:val="28"/>
        </w:rPr>
        <w:t xml:space="preserve"> </w:t>
      </w:r>
      <w:r>
        <w:rPr>
          <w:color w:val="231F20"/>
          <w:w w:val="95"/>
        </w:rPr>
        <w:t>and</w:t>
      </w:r>
      <w:r>
        <w:rPr>
          <w:color w:val="231F20"/>
          <w:spacing w:val="28"/>
        </w:rPr>
        <w:t xml:space="preserve"> </w:t>
      </w:r>
      <w:r>
        <w:rPr>
          <w:color w:val="231F20"/>
          <w:w w:val="95"/>
        </w:rPr>
        <w:t>accept</w:t>
      </w:r>
      <w:r>
        <w:rPr>
          <w:color w:val="231F20"/>
          <w:spacing w:val="28"/>
        </w:rPr>
        <w:t xml:space="preserve"> </w:t>
      </w:r>
      <w:r>
        <w:rPr>
          <w:color w:val="231F20"/>
          <w:w w:val="95"/>
        </w:rPr>
        <w:t>and</w:t>
      </w:r>
      <w:r>
        <w:rPr>
          <w:color w:val="231F20"/>
          <w:spacing w:val="28"/>
        </w:rPr>
        <w:t xml:space="preserve"> </w:t>
      </w:r>
      <w:r>
        <w:rPr>
          <w:color w:val="231F20"/>
          <w:w w:val="95"/>
        </w:rPr>
        <w:t>even</w:t>
      </w:r>
      <w:r>
        <w:rPr>
          <w:color w:val="231F20"/>
          <w:spacing w:val="28"/>
        </w:rPr>
        <w:t xml:space="preserve"> </w:t>
      </w:r>
      <w:r>
        <w:rPr>
          <w:color w:val="231F20"/>
          <w:w w:val="95"/>
        </w:rPr>
        <w:t>celebrate</w:t>
      </w:r>
      <w:r>
        <w:rPr>
          <w:color w:val="231F20"/>
          <w:spacing w:val="28"/>
        </w:rPr>
        <w:t xml:space="preserve"> </w:t>
      </w:r>
      <w:r>
        <w:rPr>
          <w:color w:val="231F20"/>
          <w:w w:val="95"/>
        </w:rPr>
        <w:t>the</w:t>
      </w:r>
      <w:r>
        <w:rPr>
          <w:color w:val="231F20"/>
          <w:spacing w:val="28"/>
        </w:rPr>
        <w:t xml:space="preserve"> </w:t>
      </w:r>
      <w:r>
        <w:rPr>
          <w:color w:val="231F20"/>
          <w:w w:val="95"/>
        </w:rPr>
        <w:t>tensions</w:t>
      </w:r>
      <w:r>
        <w:rPr>
          <w:color w:val="231F20"/>
          <w:spacing w:val="28"/>
        </w:rPr>
        <w:t xml:space="preserve"> </w:t>
      </w:r>
      <w:r>
        <w:rPr>
          <w:color w:val="231F20"/>
          <w:spacing w:val="-4"/>
          <w:w w:val="95"/>
        </w:rPr>
        <w:t>that</w:t>
      </w:r>
    </w:p>
    <w:p w14:paraId="1D70AFAD" w14:textId="77777777" w:rsidR="00AE0598" w:rsidRDefault="00AE0598">
      <w:pPr>
        <w:spacing w:line="232" w:lineRule="auto"/>
        <w:jc w:val="both"/>
        <w:sectPr w:rsidR="00AE0598">
          <w:pgSz w:w="8850" w:h="13270"/>
          <w:pgMar w:top="720" w:right="1080" w:bottom="280" w:left="1080" w:header="720" w:footer="720" w:gutter="0"/>
          <w:cols w:space="720"/>
        </w:sectPr>
      </w:pPr>
    </w:p>
    <w:p w14:paraId="07104F0D" w14:textId="77777777" w:rsidR="00AE0598" w:rsidRDefault="0069255A">
      <w:pPr>
        <w:spacing w:before="87"/>
        <w:ind w:right="108"/>
        <w:jc w:val="right"/>
        <w:rPr>
          <w:rFonts w:ascii="Trebuchet MS"/>
          <w:sz w:val="14"/>
        </w:rPr>
      </w:pPr>
      <w:r>
        <w:rPr>
          <w:rFonts w:ascii="Trebuchet MS"/>
          <w:color w:val="231F20"/>
          <w:w w:val="105"/>
          <w:sz w:val="14"/>
        </w:rPr>
        <w:lastRenderedPageBreak/>
        <w:t>The</w:t>
      </w:r>
      <w:r>
        <w:rPr>
          <w:rFonts w:ascii="Trebuchet MS"/>
          <w:color w:val="231F20"/>
          <w:spacing w:val="-9"/>
          <w:w w:val="105"/>
          <w:sz w:val="14"/>
        </w:rPr>
        <w:t xml:space="preserve"> </w:t>
      </w:r>
      <w:r>
        <w:rPr>
          <w:rFonts w:ascii="Trebuchet MS"/>
          <w:color w:val="231F20"/>
          <w:w w:val="105"/>
          <w:sz w:val="14"/>
        </w:rPr>
        <w:t>Study</w:t>
      </w:r>
      <w:r>
        <w:rPr>
          <w:rFonts w:ascii="Trebuchet MS"/>
          <w:color w:val="231F20"/>
          <w:spacing w:val="-8"/>
          <w:w w:val="105"/>
          <w:sz w:val="14"/>
        </w:rPr>
        <w:t xml:space="preserve"> </w:t>
      </w:r>
      <w:r>
        <w:rPr>
          <w:rFonts w:ascii="Trebuchet MS"/>
          <w:color w:val="231F20"/>
          <w:w w:val="105"/>
          <w:sz w:val="14"/>
        </w:rPr>
        <w:t>of</w:t>
      </w:r>
      <w:r>
        <w:rPr>
          <w:rFonts w:ascii="Trebuchet MS"/>
          <w:color w:val="231F20"/>
          <w:spacing w:val="-9"/>
          <w:w w:val="105"/>
          <w:sz w:val="14"/>
        </w:rPr>
        <w:t xml:space="preserve"> </w:t>
      </w:r>
      <w:r>
        <w:rPr>
          <w:rFonts w:ascii="Trebuchet MS"/>
          <w:color w:val="231F20"/>
          <w:w w:val="105"/>
          <w:sz w:val="14"/>
        </w:rPr>
        <w:t>Sport</w:t>
      </w:r>
      <w:r>
        <w:rPr>
          <w:rFonts w:ascii="Trebuchet MS"/>
          <w:color w:val="231F20"/>
          <w:spacing w:val="-8"/>
          <w:w w:val="105"/>
          <w:sz w:val="14"/>
        </w:rPr>
        <w:t xml:space="preserve"> </w:t>
      </w:r>
      <w:r>
        <w:rPr>
          <w:rFonts w:ascii="Trebuchet MS"/>
          <w:color w:val="231F20"/>
          <w:w w:val="105"/>
          <w:sz w:val="14"/>
        </w:rPr>
        <w:t>Tourism</w:t>
      </w:r>
      <w:r>
        <w:rPr>
          <w:rFonts w:ascii="Trebuchet MS"/>
          <w:color w:val="231F20"/>
          <w:spacing w:val="68"/>
          <w:w w:val="150"/>
          <w:sz w:val="14"/>
        </w:rPr>
        <w:t xml:space="preserve"> </w:t>
      </w:r>
      <w:r>
        <w:rPr>
          <w:rFonts w:ascii="Trebuchet MS"/>
          <w:color w:val="231F20"/>
          <w:spacing w:val="-5"/>
          <w:w w:val="105"/>
          <w:sz w:val="14"/>
        </w:rPr>
        <w:t>37</w:t>
      </w:r>
    </w:p>
    <w:p w14:paraId="17B558FA" w14:textId="77777777" w:rsidR="00AE0598" w:rsidRDefault="00AE0598">
      <w:pPr>
        <w:pStyle w:val="Corpodetexto"/>
        <w:rPr>
          <w:rFonts w:ascii="Trebuchet MS"/>
          <w:sz w:val="16"/>
        </w:rPr>
      </w:pPr>
    </w:p>
    <w:p w14:paraId="23232B97" w14:textId="77777777" w:rsidR="00AE0598" w:rsidRDefault="0069255A">
      <w:pPr>
        <w:pStyle w:val="Corpodetexto"/>
        <w:spacing w:before="118" w:line="232" w:lineRule="auto"/>
        <w:ind w:left="110" w:right="106"/>
        <w:jc w:val="both"/>
      </w:pPr>
      <w:r>
        <w:rPr>
          <w:color w:val="231F20"/>
        </w:rPr>
        <w:t xml:space="preserve">naturally accompany these perspectives. This depends in large part on </w:t>
      </w:r>
      <w:r>
        <w:rPr>
          <w:color w:val="231F20"/>
          <w:w w:val="95"/>
        </w:rPr>
        <w:t xml:space="preserve">the articulation and clarification of these perspectives as attempted in this </w:t>
      </w:r>
      <w:r>
        <w:rPr>
          <w:color w:val="231F20"/>
        </w:rPr>
        <w:t>chapter. Especially important is our conceptualisation of sport tourism as</w:t>
      </w:r>
      <w:r>
        <w:rPr>
          <w:color w:val="231F20"/>
          <w:spacing w:val="-12"/>
        </w:rPr>
        <w:t xml:space="preserve"> </w:t>
      </w:r>
      <w:r>
        <w:rPr>
          <w:color w:val="231F20"/>
        </w:rPr>
        <w:t>sport-based</w:t>
      </w:r>
      <w:r>
        <w:rPr>
          <w:color w:val="231F20"/>
          <w:spacing w:val="-12"/>
        </w:rPr>
        <w:t xml:space="preserve"> </w:t>
      </w:r>
      <w:r>
        <w:rPr>
          <w:color w:val="231F20"/>
        </w:rPr>
        <w:t>travel</w:t>
      </w:r>
      <w:r>
        <w:rPr>
          <w:color w:val="231F20"/>
          <w:spacing w:val="-11"/>
        </w:rPr>
        <w:t xml:space="preserve"> </w:t>
      </w:r>
      <w:r>
        <w:rPr>
          <w:color w:val="231F20"/>
        </w:rPr>
        <w:t>away</w:t>
      </w:r>
      <w:r>
        <w:rPr>
          <w:color w:val="231F20"/>
          <w:spacing w:val="-12"/>
        </w:rPr>
        <w:t xml:space="preserve"> </w:t>
      </w:r>
      <w:r>
        <w:rPr>
          <w:color w:val="231F20"/>
        </w:rPr>
        <w:t>from</w:t>
      </w:r>
      <w:r>
        <w:rPr>
          <w:color w:val="231F20"/>
          <w:spacing w:val="-11"/>
        </w:rPr>
        <w:t xml:space="preserve"> </w:t>
      </w:r>
      <w:r>
        <w:rPr>
          <w:color w:val="231F20"/>
        </w:rPr>
        <w:t>the</w:t>
      </w:r>
      <w:r>
        <w:rPr>
          <w:color w:val="231F20"/>
          <w:spacing w:val="-12"/>
        </w:rPr>
        <w:t xml:space="preserve"> </w:t>
      </w:r>
      <w:r>
        <w:rPr>
          <w:color w:val="231F20"/>
        </w:rPr>
        <w:t>home</w:t>
      </w:r>
      <w:r>
        <w:rPr>
          <w:color w:val="231F20"/>
          <w:spacing w:val="-11"/>
        </w:rPr>
        <w:t xml:space="preserve"> </w:t>
      </w:r>
      <w:r>
        <w:rPr>
          <w:color w:val="231F20"/>
        </w:rPr>
        <w:t>environment</w:t>
      </w:r>
      <w:r>
        <w:rPr>
          <w:color w:val="231F20"/>
          <w:spacing w:val="-12"/>
        </w:rPr>
        <w:t xml:space="preserve"> </w:t>
      </w:r>
      <w:r>
        <w:rPr>
          <w:color w:val="231F20"/>
        </w:rPr>
        <w:t>for</w:t>
      </w:r>
      <w:r>
        <w:rPr>
          <w:color w:val="231F20"/>
          <w:spacing w:val="-12"/>
        </w:rPr>
        <w:t xml:space="preserve"> </w:t>
      </w:r>
      <w:r>
        <w:rPr>
          <w:color w:val="231F20"/>
        </w:rPr>
        <w:t>a</w:t>
      </w:r>
      <w:r>
        <w:rPr>
          <w:color w:val="231F20"/>
          <w:spacing w:val="-11"/>
        </w:rPr>
        <w:t xml:space="preserve"> </w:t>
      </w:r>
      <w:r>
        <w:rPr>
          <w:color w:val="231F20"/>
        </w:rPr>
        <w:t>limited</w:t>
      </w:r>
      <w:r>
        <w:rPr>
          <w:color w:val="231F20"/>
          <w:spacing w:val="-12"/>
        </w:rPr>
        <w:t xml:space="preserve"> </w:t>
      </w:r>
      <w:r>
        <w:rPr>
          <w:color w:val="231F20"/>
        </w:rPr>
        <w:t>time where sport is characterised by unique rule sets, competition related to physical prowess and play (Hinch &amp; Higham, 2001). Similarly, we have situated</w:t>
      </w:r>
      <w:r>
        <w:rPr>
          <w:color w:val="231F20"/>
          <w:spacing w:val="-2"/>
        </w:rPr>
        <w:t xml:space="preserve"> </w:t>
      </w:r>
      <w:r>
        <w:rPr>
          <w:color w:val="231F20"/>
        </w:rPr>
        <w:t>sport</w:t>
      </w:r>
      <w:r>
        <w:rPr>
          <w:color w:val="231F20"/>
          <w:spacing w:val="-2"/>
        </w:rPr>
        <w:t xml:space="preserve"> </w:t>
      </w:r>
      <w:r>
        <w:rPr>
          <w:color w:val="231F20"/>
        </w:rPr>
        <w:t>as</w:t>
      </w:r>
      <w:r>
        <w:rPr>
          <w:color w:val="231F20"/>
          <w:spacing w:val="-2"/>
        </w:rPr>
        <w:t xml:space="preserve"> </w:t>
      </w:r>
      <w:r>
        <w:rPr>
          <w:color w:val="231F20"/>
        </w:rPr>
        <w:t>a</w:t>
      </w:r>
      <w:r>
        <w:rPr>
          <w:color w:val="231F20"/>
          <w:spacing w:val="-2"/>
        </w:rPr>
        <w:t xml:space="preserve"> </w:t>
      </w:r>
      <w:r>
        <w:rPr>
          <w:color w:val="231F20"/>
        </w:rPr>
        <w:t>unique</w:t>
      </w:r>
      <w:r>
        <w:rPr>
          <w:color w:val="231F20"/>
          <w:spacing w:val="-2"/>
        </w:rPr>
        <w:t xml:space="preserve"> </w:t>
      </w:r>
      <w:r>
        <w:rPr>
          <w:color w:val="231F20"/>
        </w:rPr>
        <w:t>type</w:t>
      </w:r>
      <w:r>
        <w:rPr>
          <w:color w:val="231F20"/>
          <w:spacing w:val="-2"/>
        </w:rPr>
        <w:t xml:space="preserve"> </w:t>
      </w:r>
      <w:r>
        <w:rPr>
          <w:color w:val="231F20"/>
        </w:rPr>
        <w:t>of</w:t>
      </w:r>
      <w:r>
        <w:rPr>
          <w:color w:val="231F20"/>
          <w:spacing w:val="-2"/>
        </w:rPr>
        <w:t xml:space="preserve"> </w:t>
      </w:r>
      <w:r>
        <w:rPr>
          <w:color w:val="231F20"/>
        </w:rPr>
        <w:t>tourist</w:t>
      </w:r>
      <w:r>
        <w:rPr>
          <w:color w:val="231F20"/>
          <w:spacing w:val="-2"/>
        </w:rPr>
        <w:t xml:space="preserve"> </w:t>
      </w:r>
      <w:r>
        <w:rPr>
          <w:color w:val="231F20"/>
        </w:rPr>
        <w:t>attraction.</w:t>
      </w:r>
      <w:r>
        <w:rPr>
          <w:color w:val="231F20"/>
          <w:spacing w:val="-2"/>
        </w:rPr>
        <w:t xml:space="preserve"> </w:t>
      </w:r>
      <w:r>
        <w:rPr>
          <w:color w:val="231F20"/>
        </w:rPr>
        <w:t>In</w:t>
      </w:r>
      <w:r>
        <w:rPr>
          <w:color w:val="231F20"/>
          <w:spacing w:val="-2"/>
        </w:rPr>
        <w:t xml:space="preserve"> </w:t>
      </w:r>
      <w:r>
        <w:rPr>
          <w:color w:val="231F20"/>
        </w:rPr>
        <w:t>doing</w:t>
      </w:r>
      <w:r>
        <w:rPr>
          <w:color w:val="231F20"/>
          <w:spacing w:val="-2"/>
        </w:rPr>
        <w:t xml:space="preserve"> </w:t>
      </w:r>
      <w:r>
        <w:rPr>
          <w:color w:val="231F20"/>
        </w:rPr>
        <w:t>so,</w:t>
      </w:r>
      <w:r>
        <w:rPr>
          <w:color w:val="231F20"/>
          <w:spacing w:val="-2"/>
        </w:rPr>
        <w:t xml:space="preserve"> </w:t>
      </w:r>
      <w:r>
        <w:rPr>
          <w:color w:val="231F20"/>
        </w:rPr>
        <w:t>we</w:t>
      </w:r>
      <w:r>
        <w:rPr>
          <w:color w:val="231F20"/>
          <w:spacing w:val="-2"/>
        </w:rPr>
        <w:t xml:space="preserve"> </w:t>
      </w:r>
      <w:r>
        <w:rPr>
          <w:color w:val="231F20"/>
        </w:rPr>
        <w:t>have al</w:t>
      </w:r>
      <w:r>
        <w:rPr>
          <w:color w:val="231F20"/>
        </w:rPr>
        <w:t>so</w:t>
      </w:r>
      <w:r>
        <w:rPr>
          <w:color w:val="231F20"/>
          <w:spacing w:val="-6"/>
        </w:rPr>
        <w:t xml:space="preserve"> </w:t>
      </w:r>
      <w:r>
        <w:rPr>
          <w:color w:val="231F20"/>
        </w:rPr>
        <w:t>adopted</w:t>
      </w:r>
      <w:r>
        <w:rPr>
          <w:color w:val="231F20"/>
          <w:spacing w:val="-6"/>
        </w:rPr>
        <w:t xml:space="preserve"> </w:t>
      </w:r>
      <w:r>
        <w:rPr>
          <w:color w:val="231F20"/>
        </w:rPr>
        <w:t>an</w:t>
      </w:r>
      <w:r>
        <w:rPr>
          <w:color w:val="231F20"/>
          <w:spacing w:val="-6"/>
        </w:rPr>
        <w:t xml:space="preserve"> </w:t>
      </w:r>
      <w:r>
        <w:rPr>
          <w:color w:val="231F20"/>
        </w:rPr>
        <w:t>expanded</w:t>
      </w:r>
      <w:r>
        <w:rPr>
          <w:color w:val="231F20"/>
          <w:spacing w:val="-6"/>
        </w:rPr>
        <w:t xml:space="preserve"> </w:t>
      </w:r>
      <w:r>
        <w:rPr>
          <w:color w:val="231F20"/>
        </w:rPr>
        <w:t>typology</w:t>
      </w:r>
      <w:r>
        <w:rPr>
          <w:color w:val="231F20"/>
          <w:spacing w:val="-6"/>
        </w:rPr>
        <w:t xml:space="preserve"> </w:t>
      </w:r>
      <w:r>
        <w:rPr>
          <w:color w:val="231F20"/>
        </w:rPr>
        <w:t>of</w:t>
      </w:r>
      <w:r>
        <w:rPr>
          <w:color w:val="231F20"/>
          <w:spacing w:val="-6"/>
        </w:rPr>
        <w:t xml:space="preserve"> </w:t>
      </w:r>
      <w:r>
        <w:rPr>
          <w:color w:val="231F20"/>
        </w:rPr>
        <w:t>sport</w:t>
      </w:r>
      <w:r>
        <w:rPr>
          <w:color w:val="231F20"/>
          <w:spacing w:val="-6"/>
        </w:rPr>
        <w:t xml:space="preserve"> </w:t>
      </w:r>
      <w:r>
        <w:rPr>
          <w:color w:val="231F20"/>
        </w:rPr>
        <w:t>tourism</w:t>
      </w:r>
      <w:r>
        <w:rPr>
          <w:color w:val="231F20"/>
          <w:spacing w:val="-6"/>
        </w:rPr>
        <w:t xml:space="preserve"> </w:t>
      </w:r>
      <w:r>
        <w:rPr>
          <w:color w:val="231F20"/>
        </w:rPr>
        <w:t>that</w:t>
      </w:r>
      <w:r>
        <w:rPr>
          <w:color w:val="231F20"/>
          <w:spacing w:val="-6"/>
        </w:rPr>
        <w:t xml:space="preserve"> </w:t>
      </w:r>
      <w:r>
        <w:rPr>
          <w:color w:val="231F20"/>
        </w:rPr>
        <w:t>recognises</w:t>
      </w:r>
      <w:r>
        <w:rPr>
          <w:color w:val="231F20"/>
          <w:spacing w:val="-6"/>
        </w:rPr>
        <w:t xml:space="preserve"> </w:t>
      </w:r>
      <w:r>
        <w:rPr>
          <w:color w:val="231F20"/>
        </w:rPr>
        <w:t xml:space="preserve">four </w:t>
      </w:r>
      <w:r>
        <w:rPr>
          <w:color w:val="231F20"/>
          <w:w w:val="95"/>
        </w:rPr>
        <w:t xml:space="preserve">major types: (1) spectator events; (2) participation events; (3) active sport; </w:t>
      </w:r>
      <w:r>
        <w:rPr>
          <w:color w:val="231F20"/>
        </w:rPr>
        <w:t>and</w:t>
      </w:r>
      <w:r>
        <w:rPr>
          <w:color w:val="231F20"/>
          <w:spacing w:val="-4"/>
        </w:rPr>
        <w:t xml:space="preserve"> </w:t>
      </w:r>
      <w:r>
        <w:rPr>
          <w:color w:val="231F20"/>
        </w:rPr>
        <w:t>(4)</w:t>
      </w:r>
      <w:r>
        <w:rPr>
          <w:color w:val="231F20"/>
          <w:spacing w:val="-4"/>
        </w:rPr>
        <w:t xml:space="preserve"> </w:t>
      </w:r>
      <w:r>
        <w:rPr>
          <w:color w:val="231F20"/>
        </w:rPr>
        <w:t>sport</w:t>
      </w:r>
      <w:r>
        <w:rPr>
          <w:color w:val="231F20"/>
          <w:spacing w:val="-4"/>
        </w:rPr>
        <w:t xml:space="preserve"> </w:t>
      </w:r>
      <w:r>
        <w:rPr>
          <w:color w:val="231F20"/>
        </w:rPr>
        <w:t>heritage.</w:t>
      </w:r>
      <w:r>
        <w:rPr>
          <w:color w:val="231F20"/>
          <w:spacing w:val="-4"/>
        </w:rPr>
        <w:t xml:space="preserve"> </w:t>
      </w:r>
      <w:r>
        <w:rPr>
          <w:color w:val="231F20"/>
        </w:rPr>
        <w:t>This</w:t>
      </w:r>
      <w:r>
        <w:rPr>
          <w:color w:val="231F20"/>
          <w:spacing w:val="-4"/>
        </w:rPr>
        <w:t xml:space="preserve"> </w:t>
      </w:r>
      <w:r>
        <w:rPr>
          <w:color w:val="231F20"/>
        </w:rPr>
        <w:t>typology</w:t>
      </w:r>
      <w:r>
        <w:rPr>
          <w:color w:val="231F20"/>
          <w:spacing w:val="-4"/>
        </w:rPr>
        <w:t xml:space="preserve"> </w:t>
      </w:r>
      <w:r>
        <w:rPr>
          <w:color w:val="231F20"/>
        </w:rPr>
        <w:t>recognises</w:t>
      </w:r>
      <w:r>
        <w:rPr>
          <w:color w:val="231F20"/>
          <w:spacing w:val="-4"/>
        </w:rPr>
        <w:t xml:space="preserve"> </w:t>
      </w:r>
      <w:r>
        <w:rPr>
          <w:color w:val="231F20"/>
        </w:rPr>
        <w:t>the</w:t>
      </w:r>
      <w:r>
        <w:rPr>
          <w:color w:val="231F20"/>
          <w:spacing w:val="-4"/>
        </w:rPr>
        <w:t xml:space="preserve"> </w:t>
      </w:r>
      <w:r>
        <w:rPr>
          <w:color w:val="231F20"/>
        </w:rPr>
        <w:t>distinctive</w:t>
      </w:r>
      <w:r>
        <w:rPr>
          <w:color w:val="231F20"/>
          <w:spacing w:val="-4"/>
        </w:rPr>
        <w:t xml:space="preserve"> </w:t>
      </w:r>
      <w:r>
        <w:rPr>
          <w:color w:val="231F20"/>
        </w:rPr>
        <w:t>nature</w:t>
      </w:r>
      <w:r>
        <w:rPr>
          <w:color w:val="231F20"/>
          <w:spacing w:val="-4"/>
        </w:rPr>
        <w:t xml:space="preserve"> </w:t>
      </w:r>
      <w:r>
        <w:rPr>
          <w:color w:val="231F20"/>
        </w:rPr>
        <w:t xml:space="preserve">of </w:t>
      </w:r>
      <w:r>
        <w:rPr>
          <w:color w:val="231F20"/>
          <w:w w:val="95"/>
        </w:rPr>
        <w:t xml:space="preserve">participation events, which was formerly lost in the unarticulated overlap </w:t>
      </w:r>
      <w:r>
        <w:rPr>
          <w:color w:val="231F20"/>
        </w:rPr>
        <w:t>between events and active sport. The sport tourism attraction system presented in this chapter attempts to help the reader to consider the distinctive</w:t>
      </w:r>
      <w:r>
        <w:rPr>
          <w:color w:val="231F20"/>
          <w:spacing w:val="-7"/>
        </w:rPr>
        <w:t xml:space="preserve"> </w:t>
      </w:r>
      <w:r>
        <w:rPr>
          <w:color w:val="231F20"/>
        </w:rPr>
        <w:t>aspects</w:t>
      </w:r>
      <w:r>
        <w:rPr>
          <w:color w:val="231F20"/>
          <w:spacing w:val="-7"/>
        </w:rPr>
        <w:t xml:space="preserve"> </w:t>
      </w:r>
      <w:r>
        <w:rPr>
          <w:color w:val="231F20"/>
        </w:rPr>
        <w:t>of</w:t>
      </w:r>
      <w:r>
        <w:rPr>
          <w:color w:val="231F20"/>
          <w:spacing w:val="-7"/>
        </w:rPr>
        <w:t xml:space="preserve"> </w:t>
      </w:r>
      <w:r>
        <w:rPr>
          <w:color w:val="231F20"/>
        </w:rPr>
        <w:t>sport</w:t>
      </w:r>
      <w:r>
        <w:rPr>
          <w:color w:val="231F20"/>
          <w:spacing w:val="-7"/>
        </w:rPr>
        <w:t xml:space="preserve"> </w:t>
      </w:r>
      <w:r>
        <w:rPr>
          <w:color w:val="231F20"/>
        </w:rPr>
        <w:t>as</w:t>
      </w:r>
      <w:r>
        <w:rPr>
          <w:color w:val="231F20"/>
          <w:spacing w:val="-7"/>
        </w:rPr>
        <w:t xml:space="preserve"> </w:t>
      </w:r>
      <w:r>
        <w:rPr>
          <w:color w:val="231F20"/>
        </w:rPr>
        <w:t>they</w:t>
      </w:r>
      <w:r>
        <w:rPr>
          <w:color w:val="231F20"/>
          <w:spacing w:val="-7"/>
        </w:rPr>
        <w:t xml:space="preserve"> </w:t>
      </w:r>
      <w:r>
        <w:rPr>
          <w:color w:val="231F20"/>
        </w:rPr>
        <w:t>relat</w:t>
      </w:r>
      <w:r>
        <w:rPr>
          <w:color w:val="231F20"/>
        </w:rPr>
        <w:t>e</w:t>
      </w:r>
      <w:r>
        <w:rPr>
          <w:color w:val="231F20"/>
          <w:spacing w:val="-7"/>
        </w:rPr>
        <w:t xml:space="preserve"> </w:t>
      </w:r>
      <w:r>
        <w:rPr>
          <w:color w:val="231F20"/>
        </w:rPr>
        <w:t>to</w:t>
      </w:r>
      <w:r>
        <w:rPr>
          <w:color w:val="231F20"/>
          <w:spacing w:val="-7"/>
        </w:rPr>
        <w:t xml:space="preserve"> </w:t>
      </w:r>
      <w:r>
        <w:rPr>
          <w:color w:val="231F20"/>
        </w:rPr>
        <w:t>tourist</w:t>
      </w:r>
      <w:r>
        <w:rPr>
          <w:color w:val="231F20"/>
          <w:spacing w:val="-7"/>
        </w:rPr>
        <w:t xml:space="preserve"> </w:t>
      </w:r>
      <w:r>
        <w:rPr>
          <w:color w:val="231F20"/>
        </w:rPr>
        <w:t>experiences.</w:t>
      </w:r>
      <w:r>
        <w:rPr>
          <w:color w:val="231F20"/>
          <w:spacing w:val="-7"/>
        </w:rPr>
        <w:t xml:space="preserve"> </w:t>
      </w:r>
      <w:r>
        <w:rPr>
          <w:color w:val="231F20"/>
        </w:rPr>
        <w:t>By</w:t>
      </w:r>
      <w:r>
        <w:rPr>
          <w:color w:val="231F20"/>
          <w:spacing w:val="-7"/>
        </w:rPr>
        <w:t xml:space="preserve"> </w:t>
      </w:r>
      <w:r>
        <w:rPr>
          <w:color w:val="231F20"/>
        </w:rPr>
        <w:t>using this</w:t>
      </w:r>
      <w:r>
        <w:rPr>
          <w:color w:val="231F20"/>
          <w:spacing w:val="25"/>
        </w:rPr>
        <w:t xml:space="preserve"> </w:t>
      </w:r>
      <w:r>
        <w:rPr>
          <w:color w:val="231F20"/>
        </w:rPr>
        <w:t>attraction</w:t>
      </w:r>
      <w:r>
        <w:rPr>
          <w:color w:val="231F20"/>
          <w:spacing w:val="24"/>
        </w:rPr>
        <w:t xml:space="preserve"> </w:t>
      </w:r>
      <w:r>
        <w:rPr>
          <w:color w:val="231F20"/>
        </w:rPr>
        <w:t>framework</w:t>
      </w:r>
      <w:r>
        <w:rPr>
          <w:color w:val="231F20"/>
          <w:spacing w:val="25"/>
        </w:rPr>
        <w:t xml:space="preserve"> </w:t>
      </w:r>
      <w:r>
        <w:rPr>
          <w:color w:val="231F20"/>
        </w:rPr>
        <w:t>and</w:t>
      </w:r>
      <w:r>
        <w:rPr>
          <w:color w:val="231F20"/>
          <w:spacing w:val="24"/>
        </w:rPr>
        <w:t xml:space="preserve"> </w:t>
      </w:r>
      <w:r>
        <w:rPr>
          <w:color w:val="231F20"/>
        </w:rPr>
        <w:t>our</w:t>
      </w:r>
      <w:r>
        <w:rPr>
          <w:color w:val="231F20"/>
          <w:spacing w:val="25"/>
        </w:rPr>
        <w:t xml:space="preserve"> </w:t>
      </w:r>
      <w:r>
        <w:rPr>
          <w:color w:val="231F20"/>
        </w:rPr>
        <w:t>conceptualisation</w:t>
      </w:r>
      <w:r>
        <w:rPr>
          <w:color w:val="231F20"/>
          <w:spacing w:val="24"/>
        </w:rPr>
        <w:t xml:space="preserve"> </w:t>
      </w:r>
      <w:r>
        <w:rPr>
          <w:color w:val="231F20"/>
        </w:rPr>
        <w:t>of</w:t>
      </w:r>
      <w:r>
        <w:rPr>
          <w:color w:val="231F20"/>
          <w:spacing w:val="25"/>
        </w:rPr>
        <w:t xml:space="preserve"> </w:t>
      </w:r>
      <w:r>
        <w:rPr>
          <w:color w:val="231F20"/>
        </w:rPr>
        <w:t>sport</w:t>
      </w:r>
      <w:r>
        <w:rPr>
          <w:color w:val="231F20"/>
          <w:spacing w:val="24"/>
        </w:rPr>
        <w:t xml:space="preserve"> </w:t>
      </w:r>
      <w:r>
        <w:rPr>
          <w:color w:val="231F20"/>
        </w:rPr>
        <w:t xml:space="preserve">tourism, it is possible to demonstrate ‘what sport tourism shares with, and what </w:t>
      </w:r>
      <w:r>
        <w:rPr>
          <w:color w:val="231F20"/>
          <w:w w:val="95"/>
        </w:rPr>
        <w:t xml:space="preserve">distinguishes it from other touristic activities’ (Green &amp; Chalip, 1998: 276). </w:t>
      </w:r>
      <w:r>
        <w:rPr>
          <w:color w:val="231F20"/>
        </w:rPr>
        <w:t>These</w:t>
      </w:r>
      <w:r>
        <w:rPr>
          <w:color w:val="231F20"/>
          <w:spacing w:val="-9"/>
        </w:rPr>
        <w:t xml:space="preserve"> </w:t>
      </w:r>
      <w:r>
        <w:rPr>
          <w:color w:val="231F20"/>
        </w:rPr>
        <w:t>unique</w:t>
      </w:r>
      <w:r>
        <w:rPr>
          <w:color w:val="231F20"/>
          <w:spacing w:val="-9"/>
        </w:rPr>
        <w:t xml:space="preserve"> </w:t>
      </w:r>
      <w:r>
        <w:rPr>
          <w:color w:val="231F20"/>
        </w:rPr>
        <w:t>aspects</w:t>
      </w:r>
      <w:r>
        <w:rPr>
          <w:color w:val="231F20"/>
          <w:spacing w:val="-9"/>
        </w:rPr>
        <w:t xml:space="preserve"> </w:t>
      </w:r>
      <w:r>
        <w:rPr>
          <w:color w:val="231F20"/>
        </w:rPr>
        <w:t>of</w:t>
      </w:r>
      <w:r>
        <w:rPr>
          <w:color w:val="231F20"/>
          <w:spacing w:val="-9"/>
        </w:rPr>
        <w:t xml:space="preserve"> </w:t>
      </w:r>
      <w:r>
        <w:rPr>
          <w:color w:val="231F20"/>
        </w:rPr>
        <w:t>the</w:t>
      </w:r>
      <w:r>
        <w:rPr>
          <w:color w:val="231F20"/>
          <w:spacing w:val="-9"/>
        </w:rPr>
        <w:t xml:space="preserve"> </w:t>
      </w:r>
      <w:r>
        <w:rPr>
          <w:color w:val="231F20"/>
        </w:rPr>
        <w:t>study</w:t>
      </w:r>
      <w:r>
        <w:rPr>
          <w:color w:val="231F20"/>
          <w:spacing w:val="-9"/>
        </w:rPr>
        <w:t xml:space="preserve"> </w:t>
      </w:r>
      <w:r>
        <w:rPr>
          <w:color w:val="231F20"/>
        </w:rPr>
        <w:t>of</w:t>
      </w:r>
      <w:r>
        <w:rPr>
          <w:color w:val="231F20"/>
          <w:spacing w:val="-9"/>
        </w:rPr>
        <w:t xml:space="preserve"> </w:t>
      </w:r>
      <w:r>
        <w:rPr>
          <w:color w:val="231F20"/>
        </w:rPr>
        <w:t>sport</w:t>
      </w:r>
      <w:r>
        <w:rPr>
          <w:color w:val="231F20"/>
          <w:spacing w:val="-9"/>
        </w:rPr>
        <w:t xml:space="preserve"> </w:t>
      </w:r>
      <w:r>
        <w:rPr>
          <w:color w:val="231F20"/>
        </w:rPr>
        <w:t>tourism</w:t>
      </w:r>
      <w:r>
        <w:rPr>
          <w:color w:val="231F20"/>
          <w:spacing w:val="-9"/>
        </w:rPr>
        <w:t xml:space="preserve"> </w:t>
      </w:r>
      <w:r>
        <w:rPr>
          <w:color w:val="231F20"/>
        </w:rPr>
        <w:t>are</w:t>
      </w:r>
      <w:r>
        <w:rPr>
          <w:color w:val="231F20"/>
          <w:spacing w:val="-9"/>
        </w:rPr>
        <w:t xml:space="preserve"> </w:t>
      </w:r>
      <w:r>
        <w:rPr>
          <w:color w:val="231F20"/>
        </w:rPr>
        <w:t>critically</w:t>
      </w:r>
      <w:r>
        <w:rPr>
          <w:color w:val="231F20"/>
          <w:spacing w:val="-9"/>
        </w:rPr>
        <w:t xml:space="preserve"> </w:t>
      </w:r>
      <w:r>
        <w:rPr>
          <w:color w:val="231F20"/>
        </w:rPr>
        <w:t>explored in the chapters that follow.</w:t>
      </w:r>
    </w:p>
    <w:p w14:paraId="174BFF3F" w14:textId="77777777" w:rsidR="00AE0598" w:rsidRDefault="00AE0598">
      <w:pPr>
        <w:spacing w:line="232" w:lineRule="auto"/>
        <w:jc w:val="both"/>
        <w:sectPr w:rsidR="00AE0598">
          <w:pgSz w:w="8850" w:h="13270"/>
          <w:pgMar w:top="720" w:right="1080" w:bottom="280" w:left="1080" w:header="720" w:footer="720" w:gutter="0"/>
          <w:cols w:space="720"/>
        </w:sectPr>
      </w:pPr>
    </w:p>
    <w:p w14:paraId="598BE0FD" w14:textId="77777777" w:rsidR="00AE0598" w:rsidRDefault="0069255A">
      <w:pPr>
        <w:pStyle w:val="Ttulo1"/>
      </w:pPr>
      <w:bookmarkStart w:id="9" w:name="_TOC_250010"/>
      <w:r>
        <w:rPr>
          <w:color w:val="231F20"/>
          <w:w w:val="105"/>
        </w:rPr>
        <w:lastRenderedPageBreak/>
        <w:t>3</w:t>
      </w:r>
      <w:r>
        <w:rPr>
          <w:color w:val="231F20"/>
          <w:spacing w:val="45"/>
          <w:w w:val="105"/>
        </w:rPr>
        <w:t xml:space="preserve"> </w:t>
      </w:r>
      <w:r>
        <w:rPr>
          <w:color w:val="231F20"/>
          <w:w w:val="105"/>
        </w:rPr>
        <w:t>Sport</w:t>
      </w:r>
      <w:r>
        <w:rPr>
          <w:color w:val="231F20"/>
          <w:spacing w:val="-36"/>
          <w:w w:val="105"/>
        </w:rPr>
        <w:t xml:space="preserve"> </w:t>
      </w:r>
      <w:r>
        <w:rPr>
          <w:color w:val="231F20"/>
          <w:w w:val="105"/>
        </w:rPr>
        <w:t>Tourism</w:t>
      </w:r>
      <w:r>
        <w:rPr>
          <w:color w:val="231F20"/>
          <w:spacing w:val="-36"/>
          <w:w w:val="105"/>
        </w:rPr>
        <w:t xml:space="preserve"> </w:t>
      </w:r>
      <w:bookmarkEnd w:id="9"/>
      <w:r>
        <w:rPr>
          <w:color w:val="231F20"/>
          <w:spacing w:val="-2"/>
          <w:w w:val="105"/>
        </w:rPr>
        <w:t>Markets</w:t>
      </w:r>
    </w:p>
    <w:p w14:paraId="6643203A" w14:textId="77777777" w:rsidR="00AE0598" w:rsidRDefault="00AE0598">
      <w:pPr>
        <w:pStyle w:val="Corpodetexto"/>
        <w:spacing w:before="6"/>
        <w:rPr>
          <w:rFonts w:ascii="Trebuchet MS"/>
          <w:sz w:val="80"/>
        </w:rPr>
      </w:pPr>
    </w:p>
    <w:p w14:paraId="38383480" w14:textId="77777777" w:rsidR="00AE0598" w:rsidRDefault="0069255A">
      <w:pPr>
        <w:spacing w:before="1" w:line="228" w:lineRule="auto"/>
        <w:ind w:left="1676" w:right="108" w:hanging="1102"/>
        <w:jc w:val="right"/>
        <w:rPr>
          <w:i/>
          <w:sz w:val="18"/>
        </w:rPr>
      </w:pPr>
      <w:r>
        <w:rPr>
          <w:i/>
          <w:color w:val="231F20"/>
          <w:sz w:val="18"/>
        </w:rPr>
        <w:t>Research into who is a sport tourist, and why sport tourists engage in this sort</w:t>
      </w:r>
      <w:r>
        <w:rPr>
          <w:i/>
          <w:color w:val="231F20"/>
          <w:spacing w:val="80"/>
          <w:sz w:val="18"/>
        </w:rPr>
        <w:t xml:space="preserve"> </w:t>
      </w:r>
      <w:r>
        <w:rPr>
          <w:i/>
          <w:color w:val="231F20"/>
          <w:sz w:val="18"/>
        </w:rPr>
        <w:t>of</w:t>
      </w:r>
      <w:r>
        <w:rPr>
          <w:i/>
          <w:color w:val="231F20"/>
          <w:spacing w:val="9"/>
          <w:sz w:val="18"/>
        </w:rPr>
        <w:t xml:space="preserve"> </w:t>
      </w:r>
      <w:r>
        <w:rPr>
          <w:i/>
          <w:color w:val="231F20"/>
          <w:sz w:val="18"/>
        </w:rPr>
        <w:t>tourism</w:t>
      </w:r>
      <w:r>
        <w:rPr>
          <w:i/>
          <w:color w:val="231F20"/>
          <w:spacing w:val="9"/>
          <w:sz w:val="18"/>
        </w:rPr>
        <w:t xml:space="preserve"> </w:t>
      </w:r>
      <w:r>
        <w:rPr>
          <w:i/>
          <w:color w:val="231F20"/>
          <w:sz w:val="18"/>
        </w:rPr>
        <w:t>may</w:t>
      </w:r>
      <w:r>
        <w:rPr>
          <w:i/>
          <w:color w:val="231F20"/>
          <w:spacing w:val="10"/>
          <w:sz w:val="18"/>
        </w:rPr>
        <w:t xml:space="preserve"> </w:t>
      </w:r>
      <w:r>
        <w:rPr>
          <w:i/>
          <w:color w:val="231F20"/>
          <w:sz w:val="18"/>
        </w:rPr>
        <w:t>prove</w:t>
      </w:r>
      <w:r>
        <w:rPr>
          <w:i/>
          <w:color w:val="231F20"/>
          <w:spacing w:val="9"/>
          <w:sz w:val="18"/>
        </w:rPr>
        <w:t xml:space="preserve"> </w:t>
      </w:r>
      <w:r>
        <w:rPr>
          <w:i/>
          <w:color w:val="231F20"/>
          <w:sz w:val="18"/>
        </w:rPr>
        <w:t>to</w:t>
      </w:r>
      <w:r>
        <w:rPr>
          <w:i/>
          <w:color w:val="231F20"/>
          <w:spacing w:val="9"/>
          <w:sz w:val="18"/>
        </w:rPr>
        <w:t xml:space="preserve"> </w:t>
      </w:r>
      <w:r>
        <w:rPr>
          <w:i/>
          <w:color w:val="231F20"/>
          <w:sz w:val="18"/>
        </w:rPr>
        <w:t>be</w:t>
      </w:r>
      <w:r>
        <w:rPr>
          <w:i/>
          <w:color w:val="231F20"/>
          <w:spacing w:val="10"/>
          <w:sz w:val="18"/>
        </w:rPr>
        <w:t xml:space="preserve"> </w:t>
      </w:r>
      <w:r>
        <w:rPr>
          <w:i/>
          <w:color w:val="231F20"/>
          <w:sz w:val="18"/>
        </w:rPr>
        <w:t>more</w:t>
      </w:r>
      <w:r>
        <w:rPr>
          <w:i/>
          <w:color w:val="231F20"/>
          <w:spacing w:val="9"/>
          <w:sz w:val="18"/>
        </w:rPr>
        <w:t xml:space="preserve"> </w:t>
      </w:r>
      <w:r>
        <w:rPr>
          <w:i/>
          <w:color w:val="231F20"/>
          <w:sz w:val="18"/>
        </w:rPr>
        <w:t>complex</w:t>
      </w:r>
      <w:r>
        <w:rPr>
          <w:i/>
          <w:color w:val="231F20"/>
          <w:spacing w:val="10"/>
          <w:sz w:val="18"/>
        </w:rPr>
        <w:t xml:space="preserve"> </w:t>
      </w:r>
      <w:r>
        <w:rPr>
          <w:i/>
          <w:color w:val="231F20"/>
          <w:sz w:val="18"/>
        </w:rPr>
        <w:t>than</w:t>
      </w:r>
      <w:r>
        <w:rPr>
          <w:i/>
          <w:color w:val="231F20"/>
          <w:spacing w:val="9"/>
          <w:sz w:val="18"/>
        </w:rPr>
        <w:t xml:space="preserve"> </w:t>
      </w:r>
      <w:r>
        <w:rPr>
          <w:i/>
          <w:color w:val="231F20"/>
          <w:sz w:val="18"/>
        </w:rPr>
        <w:t>is</w:t>
      </w:r>
      <w:r>
        <w:rPr>
          <w:i/>
          <w:color w:val="231F20"/>
          <w:spacing w:val="9"/>
          <w:sz w:val="18"/>
        </w:rPr>
        <w:t xml:space="preserve"> </w:t>
      </w:r>
      <w:r>
        <w:rPr>
          <w:i/>
          <w:color w:val="231F20"/>
          <w:sz w:val="18"/>
        </w:rPr>
        <w:t>first</w:t>
      </w:r>
      <w:r>
        <w:rPr>
          <w:i/>
          <w:color w:val="231F20"/>
          <w:spacing w:val="10"/>
          <w:sz w:val="18"/>
        </w:rPr>
        <w:t xml:space="preserve"> </w:t>
      </w:r>
      <w:r>
        <w:rPr>
          <w:i/>
          <w:color w:val="231F20"/>
          <w:spacing w:val="-2"/>
          <w:sz w:val="18"/>
        </w:rPr>
        <w:t>apparent.</w:t>
      </w:r>
    </w:p>
    <w:p w14:paraId="5F42EDC3" w14:textId="77777777" w:rsidR="00AE0598" w:rsidRDefault="0069255A">
      <w:pPr>
        <w:spacing w:line="202" w:lineRule="exact"/>
        <w:ind w:right="108"/>
        <w:jc w:val="right"/>
        <w:rPr>
          <w:sz w:val="18"/>
        </w:rPr>
      </w:pPr>
      <w:r>
        <w:rPr>
          <w:color w:val="231F20"/>
          <w:w w:val="95"/>
          <w:sz w:val="18"/>
        </w:rPr>
        <w:t>Gibson,</w:t>
      </w:r>
      <w:r>
        <w:rPr>
          <w:color w:val="231F20"/>
          <w:spacing w:val="25"/>
          <w:sz w:val="18"/>
        </w:rPr>
        <w:t xml:space="preserve"> </w:t>
      </w:r>
      <w:r>
        <w:rPr>
          <w:color w:val="231F20"/>
          <w:w w:val="95"/>
          <w:sz w:val="18"/>
        </w:rPr>
        <w:t>1998a:</w:t>
      </w:r>
      <w:r>
        <w:rPr>
          <w:color w:val="231F20"/>
          <w:spacing w:val="26"/>
          <w:sz w:val="18"/>
        </w:rPr>
        <w:t xml:space="preserve"> </w:t>
      </w:r>
      <w:r>
        <w:rPr>
          <w:color w:val="231F20"/>
          <w:spacing w:val="-5"/>
          <w:w w:val="95"/>
          <w:sz w:val="18"/>
        </w:rPr>
        <w:t>57</w:t>
      </w:r>
    </w:p>
    <w:p w14:paraId="25A834D2" w14:textId="77777777" w:rsidR="00AE0598" w:rsidRDefault="00AE0598">
      <w:pPr>
        <w:pStyle w:val="Corpodetexto"/>
        <w:rPr>
          <w:sz w:val="20"/>
        </w:rPr>
      </w:pPr>
    </w:p>
    <w:p w14:paraId="40FF341B" w14:textId="77777777" w:rsidR="00AE0598" w:rsidRDefault="00AE0598">
      <w:pPr>
        <w:pStyle w:val="Corpodetexto"/>
        <w:spacing w:before="11"/>
      </w:pPr>
    </w:p>
    <w:p w14:paraId="197EC528" w14:textId="77777777" w:rsidR="00AE0598" w:rsidRDefault="0069255A">
      <w:pPr>
        <w:ind w:left="110"/>
        <w:rPr>
          <w:rFonts w:ascii="Trebuchet MS"/>
          <w:b/>
          <w:sz w:val="20"/>
        </w:rPr>
      </w:pPr>
      <w:r>
        <w:rPr>
          <w:rFonts w:ascii="Trebuchet MS"/>
          <w:b/>
          <w:color w:val="231F20"/>
          <w:spacing w:val="-2"/>
          <w:sz w:val="20"/>
        </w:rPr>
        <w:t>Introduction</w:t>
      </w:r>
    </w:p>
    <w:p w14:paraId="2F5E3EBD" w14:textId="77777777" w:rsidR="00AE0598" w:rsidRDefault="0069255A">
      <w:pPr>
        <w:pStyle w:val="Corpodetexto"/>
        <w:spacing w:before="122" w:line="232" w:lineRule="auto"/>
        <w:ind w:left="110" w:right="104" w:firstLine="320"/>
        <w:jc w:val="both"/>
      </w:pPr>
      <w:r>
        <w:rPr>
          <w:color w:val="231F20"/>
        </w:rPr>
        <w:t>Although</w:t>
      </w:r>
      <w:r>
        <w:rPr>
          <w:color w:val="231F20"/>
          <w:spacing w:val="-12"/>
        </w:rPr>
        <w:t xml:space="preserve"> </w:t>
      </w:r>
      <w:r>
        <w:rPr>
          <w:color w:val="231F20"/>
        </w:rPr>
        <w:t>it</w:t>
      </w:r>
      <w:r>
        <w:rPr>
          <w:color w:val="231F20"/>
          <w:spacing w:val="-11"/>
        </w:rPr>
        <w:t xml:space="preserve"> </w:t>
      </w:r>
      <w:r>
        <w:rPr>
          <w:color w:val="231F20"/>
        </w:rPr>
        <w:t>is</w:t>
      </w:r>
      <w:r>
        <w:rPr>
          <w:color w:val="231F20"/>
          <w:spacing w:val="-12"/>
        </w:rPr>
        <w:t xml:space="preserve"> </w:t>
      </w:r>
      <w:r>
        <w:rPr>
          <w:color w:val="231F20"/>
        </w:rPr>
        <w:t>20</w:t>
      </w:r>
      <w:r>
        <w:rPr>
          <w:color w:val="231F20"/>
          <w:spacing w:val="-11"/>
        </w:rPr>
        <w:t xml:space="preserve"> </w:t>
      </w:r>
      <w:r>
        <w:rPr>
          <w:color w:val="231F20"/>
        </w:rPr>
        <w:t>years</w:t>
      </w:r>
      <w:r>
        <w:rPr>
          <w:color w:val="231F20"/>
          <w:spacing w:val="-12"/>
        </w:rPr>
        <w:t xml:space="preserve"> </w:t>
      </w:r>
      <w:r>
        <w:rPr>
          <w:color w:val="231F20"/>
        </w:rPr>
        <w:t>since</w:t>
      </w:r>
      <w:r>
        <w:rPr>
          <w:color w:val="231F20"/>
          <w:spacing w:val="-11"/>
        </w:rPr>
        <w:t xml:space="preserve"> </w:t>
      </w:r>
      <w:r>
        <w:rPr>
          <w:color w:val="231F20"/>
        </w:rPr>
        <w:t>Delpy</w:t>
      </w:r>
      <w:r>
        <w:rPr>
          <w:color w:val="231F20"/>
          <w:spacing w:val="-12"/>
        </w:rPr>
        <w:t xml:space="preserve"> </w:t>
      </w:r>
      <w:r>
        <w:rPr>
          <w:color w:val="231F20"/>
        </w:rPr>
        <w:t>(1997:</w:t>
      </w:r>
      <w:r>
        <w:rPr>
          <w:color w:val="231F20"/>
          <w:spacing w:val="-11"/>
        </w:rPr>
        <w:t xml:space="preserve"> </w:t>
      </w:r>
      <w:r>
        <w:rPr>
          <w:color w:val="231F20"/>
        </w:rPr>
        <w:t>4)</w:t>
      </w:r>
      <w:r>
        <w:rPr>
          <w:color w:val="231F20"/>
          <w:spacing w:val="-12"/>
        </w:rPr>
        <w:t xml:space="preserve"> </w:t>
      </w:r>
      <w:r>
        <w:rPr>
          <w:color w:val="231F20"/>
        </w:rPr>
        <w:t>commented</w:t>
      </w:r>
      <w:r>
        <w:rPr>
          <w:color w:val="231F20"/>
          <w:spacing w:val="-11"/>
        </w:rPr>
        <w:t xml:space="preserve"> </w:t>
      </w:r>
      <w:r>
        <w:rPr>
          <w:color w:val="231F20"/>
        </w:rPr>
        <w:t>that</w:t>
      </w:r>
      <w:r>
        <w:rPr>
          <w:color w:val="231F20"/>
          <w:spacing w:val="-12"/>
        </w:rPr>
        <w:t xml:space="preserve"> </w:t>
      </w:r>
      <w:r>
        <w:rPr>
          <w:color w:val="231F20"/>
        </w:rPr>
        <w:t>a</w:t>
      </w:r>
      <w:r>
        <w:rPr>
          <w:color w:val="231F20"/>
          <w:spacing w:val="-11"/>
        </w:rPr>
        <w:t xml:space="preserve"> </w:t>
      </w:r>
      <w:r>
        <w:rPr>
          <w:color w:val="231F20"/>
        </w:rPr>
        <w:t xml:space="preserve">‘travel market focussed entirely on participating or watching sport is a unique and exciting concept’, this statement continues to have currency. Sport- </w:t>
      </w:r>
      <w:r>
        <w:rPr>
          <w:color w:val="231F20"/>
          <w:w w:val="95"/>
        </w:rPr>
        <w:t xml:space="preserve">related travel is now well recognised as a dynamic and diverse niche sector </w:t>
      </w:r>
      <w:r>
        <w:rPr>
          <w:color w:val="231F20"/>
        </w:rPr>
        <w:t>of the tourism industry (Hi</w:t>
      </w:r>
      <w:r>
        <w:rPr>
          <w:color w:val="231F20"/>
        </w:rPr>
        <w:t xml:space="preserve">gham &amp; Hinch, 2009) that may be targeted to </w:t>
      </w:r>
      <w:r>
        <w:rPr>
          <w:color w:val="231F20"/>
          <w:w w:val="95"/>
        </w:rPr>
        <w:t xml:space="preserve">broaden the suite of visitor markets that are attracted to a destination (Bull </w:t>
      </w:r>
      <w:r>
        <w:rPr>
          <w:color w:val="231F20"/>
        </w:rPr>
        <w:t>&amp;</w:t>
      </w:r>
      <w:r>
        <w:rPr>
          <w:color w:val="231F20"/>
          <w:spacing w:val="-11"/>
        </w:rPr>
        <w:t xml:space="preserve"> </w:t>
      </w:r>
      <w:r>
        <w:rPr>
          <w:color w:val="231F20"/>
        </w:rPr>
        <w:t>Weed,</w:t>
      </w:r>
      <w:r>
        <w:rPr>
          <w:color w:val="231F20"/>
          <w:spacing w:val="-11"/>
        </w:rPr>
        <w:t xml:space="preserve"> </w:t>
      </w:r>
      <w:r>
        <w:rPr>
          <w:color w:val="231F20"/>
        </w:rPr>
        <w:t>1999).</w:t>
      </w:r>
      <w:r>
        <w:rPr>
          <w:color w:val="231F20"/>
          <w:spacing w:val="-11"/>
        </w:rPr>
        <w:t xml:space="preserve"> </w:t>
      </w:r>
      <w:r>
        <w:rPr>
          <w:color w:val="231F20"/>
        </w:rPr>
        <w:t>It</w:t>
      </w:r>
      <w:r>
        <w:rPr>
          <w:color w:val="231F20"/>
          <w:spacing w:val="-11"/>
        </w:rPr>
        <w:t xml:space="preserve"> </w:t>
      </w:r>
      <w:r>
        <w:rPr>
          <w:color w:val="231F20"/>
        </w:rPr>
        <w:t>is</w:t>
      </w:r>
      <w:r>
        <w:rPr>
          <w:color w:val="231F20"/>
          <w:spacing w:val="-11"/>
        </w:rPr>
        <w:t xml:space="preserve"> </w:t>
      </w:r>
      <w:r>
        <w:rPr>
          <w:color w:val="231F20"/>
        </w:rPr>
        <w:t>a</w:t>
      </w:r>
      <w:r>
        <w:rPr>
          <w:color w:val="231F20"/>
          <w:spacing w:val="-11"/>
        </w:rPr>
        <w:t xml:space="preserve"> </w:t>
      </w:r>
      <w:r>
        <w:rPr>
          <w:color w:val="231F20"/>
        </w:rPr>
        <w:t>market</w:t>
      </w:r>
      <w:r>
        <w:rPr>
          <w:color w:val="231F20"/>
          <w:spacing w:val="-11"/>
        </w:rPr>
        <w:t xml:space="preserve"> </w:t>
      </w:r>
      <w:r>
        <w:rPr>
          <w:color w:val="231F20"/>
        </w:rPr>
        <w:t>that</w:t>
      </w:r>
      <w:r>
        <w:rPr>
          <w:color w:val="231F20"/>
          <w:spacing w:val="-11"/>
        </w:rPr>
        <w:t xml:space="preserve"> </w:t>
      </w:r>
      <w:r>
        <w:rPr>
          <w:color w:val="231F20"/>
        </w:rPr>
        <w:t>may</w:t>
      </w:r>
      <w:r>
        <w:rPr>
          <w:color w:val="231F20"/>
          <w:spacing w:val="-11"/>
        </w:rPr>
        <w:t xml:space="preserve"> </w:t>
      </w:r>
      <w:r>
        <w:rPr>
          <w:color w:val="231F20"/>
        </w:rPr>
        <w:t>be</w:t>
      </w:r>
      <w:r>
        <w:rPr>
          <w:color w:val="231F20"/>
          <w:spacing w:val="-11"/>
        </w:rPr>
        <w:t xml:space="preserve"> </w:t>
      </w:r>
      <w:r>
        <w:rPr>
          <w:color w:val="231F20"/>
        </w:rPr>
        <w:t>approached</w:t>
      </w:r>
      <w:r>
        <w:rPr>
          <w:color w:val="231F20"/>
          <w:spacing w:val="-11"/>
        </w:rPr>
        <w:t xml:space="preserve"> </w:t>
      </w:r>
      <w:r>
        <w:rPr>
          <w:color w:val="231F20"/>
        </w:rPr>
        <w:t>very</w:t>
      </w:r>
      <w:r>
        <w:rPr>
          <w:color w:val="231F20"/>
          <w:spacing w:val="-11"/>
        </w:rPr>
        <w:t xml:space="preserve"> </w:t>
      </w:r>
      <w:r>
        <w:rPr>
          <w:color w:val="231F20"/>
        </w:rPr>
        <w:t>specifically,</w:t>
      </w:r>
      <w:r>
        <w:rPr>
          <w:color w:val="231F20"/>
          <w:spacing w:val="-11"/>
        </w:rPr>
        <w:t xml:space="preserve"> </w:t>
      </w:r>
      <w:r>
        <w:rPr>
          <w:color w:val="231F20"/>
        </w:rPr>
        <w:t xml:space="preserve">in </w:t>
      </w:r>
      <w:r>
        <w:rPr>
          <w:color w:val="231F20"/>
          <w:w w:val="95"/>
        </w:rPr>
        <w:t xml:space="preserve">terms of highly specialised competitive sports markets (e.g. Hagen &amp; Boyes, </w:t>
      </w:r>
      <w:r>
        <w:rPr>
          <w:color w:val="231F20"/>
        </w:rPr>
        <w:t>2016;</w:t>
      </w:r>
      <w:r>
        <w:rPr>
          <w:color w:val="231F20"/>
          <w:spacing w:val="-9"/>
        </w:rPr>
        <w:t xml:space="preserve"> </w:t>
      </w:r>
      <w:r>
        <w:rPr>
          <w:color w:val="231F20"/>
        </w:rPr>
        <w:t>Moularde</w:t>
      </w:r>
      <w:r>
        <w:rPr>
          <w:color w:val="231F20"/>
          <w:spacing w:val="-9"/>
        </w:rPr>
        <w:t xml:space="preserve"> </w:t>
      </w:r>
      <w:r>
        <w:rPr>
          <w:color w:val="231F20"/>
        </w:rPr>
        <w:t>&amp;</w:t>
      </w:r>
      <w:r>
        <w:rPr>
          <w:color w:val="231F20"/>
          <w:spacing w:val="-9"/>
        </w:rPr>
        <w:t xml:space="preserve"> </w:t>
      </w:r>
      <w:r>
        <w:rPr>
          <w:color w:val="231F20"/>
        </w:rPr>
        <w:t>Weaver,</w:t>
      </w:r>
      <w:r>
        <w:rPr>
          <w:color w:val="231F20"/>
          <w:spacing w:val="-9"/>
        </w:rPr>
        <w:t xml:space="preserve"> </w:t>
      </w:r>
      <w:r>
        <w:rPr>
          <w:color w:val="231F20"/>
        </w:rPr>
        <w:t>2016)</w:t>
      </w:r>
      <w:r>
        <w:rPr>
          <w:color w:val="231F20"/>
          <w:spacing w:val="-9"/>
        </w:rPr>
        <w:t xml:space="preserve"> </w:t>
      </w:r>
      <w:r>
        <w:rPr>
          <w:color w:val="231F20"/>
        </w:rPr>
        <w:t>as</w:t>
      </w:r>
      <w:r>
        <w:rPr>
          <w:color w:val="231F20"/>
          <w:spacing w:val="-9"/>
        </w:rPr>
        <w:t xml:space="preserve"> </w:t>
      </w:r>
      <w:r>
        <w:rPr>
          <w:color w:val="231F20"/>
        </w:rPr>
        <w:t>well</w:t>
      </w:r>
      <w:r>
        <w:rPr>
          <w:color w:val="231F20"/>
          <w:spacing w:val="-9"/>
        </w:rPr>
        <w:t xml:space="preserve"> </w:t>
      </w:r>
      <w:r>
        <w:rPr>
          <w:color w:val="231F20"/>
        </w:rPr>
        <w:t>as</w:t>
      </w:r>
      <w:r>
        <w:rPr>
          <w:color w:val="231F20"/>
          <w:spacing w:val="-9"/>
        </w:rPr>
        <w:t xml:space="preserve"> </w:t>
      </w:r>
      <w:r>
        <w:rPr>
          <w:color w:val="231F20"/>
        </w:rPr>
        <w:t>generically,</w:t>
      </w:r>
      <w:r>
        <w:rPr>
          <w:color w:val="231F20"/>
          <w:spacing w:val="-9"/>
        </w:rPr>
        <w:t xml:space="preserve"> </w:t>
      </w:r>
      <w:r>
        <w:rPr>
          <w:color w:val="231F20"/>
        </w:rPr>
        <w:t>as</w:t>
      </w:r>
      <w:r>
        <w:rPr>
          <w:color w:val="231F20"/>
          <w:spacing w:val="-9"/>
        </w:rPr>
        <w:t xml:space="preserve"> </w:t>
      </w:r>
      <w:r>
        <w:rPr>
          <w:color w:val="231F20"/>
        </w:rPr>
        <w:t xml:space="preserve">demonstrated by the mass tourism promotion of major spectator events (e.g. Weed, </w:t>
      </w:r>
      <w:r>
        <w:rPr>
          <w:color w:val="231F20"/>
          <w:w w:val="95"/>
        </w:rPr>
        <w:t>2007). The reality, however, is that spor</w:t>
      </w:r>
      <w:r>
        <w:rPr>
          <w:color w:val="231F20"/>
          <w:w w:val="95"/>
        </w:rPr>
        <w:t xml:space="preserve">t tourism is comprised of a diverse </w:t>
      </w:r>
      <w:r>
        <w:rPr>
          <w:color w:val="231F20"/>
        </w:rPr>
        <w:t xml:space="preserve">range of niche markets (Collins &amp; Jackson, 2001; Maier &amp; Weber, 1993), </w:t>
      </w:r>
      <w:r>
        <w:rPr>
          <w:color w:val="231F20"/>
          <w:w w:val="95"/>
        </w:rPr>
        <w:t xml:space="preserve">which need to be understood through the execution of targeted empirical </w:t>
      </w:r>
      <w:r>
        <w:rPr>
          <w:color w:val="231F20"/>
        </w:rPr>
        <w:t xml:space="preserve">research (Hinch </w:t>
      </w:r>
      <w:r>
        <w:rPr>
          <w:i/>
          <w:color w:val="231F20"/>
        </w:rPr>
        <w:t>et al</w:t>
      </w:r>
      <w:r>
        <w:rPr>
          <w:color w:val="231F20"/>
        </w:rPr>
        <w:t>., 2016).</w:t>
      </w:r>
    </w:p>
    <w:p w14:paraId="4D999CC5" w14:textId="77777777" w:rsidR="00AE0598" w:rsidRDefault="0069255A">
      <w:pPr>
        <w:pStyle w:val="Corpodetexto"/>
        <w:spacing w:before="17" w:line="232" w:lineRule="auto"/>
        <w:ind w:left="110" w:right="105" w:firstLine="320"/>
        <w:jc w:val="both"/>
      </w:pPr>
      <w:r>
        <w:rPr>
          <w:color w:val="231F20"/>
        </w:rPr>
        <w:t>The need to fully recognise the sheer diversit</w:t>
      </w:r>
      <w:r>
        <w:rPr>
          <w:color w:val="231F20"/>
        </w:rPr>
        <w:t>y of sport tourism phenomena, and critically understand unique manifestations of sport tourism</w:t>
      </w:r>
      <w:r>
        <w:rPr>
          <w:color w:val="231F20"/>
          <w:spacing w:val="-8"/>
        </w:rPr>
        <w:t xml:space="preserve"> </w:t>
      </w:r>
      <w:r>
        <w:rPr>
          <w:color w:val="231F20"/>
        </w:rPr>
        <w:t>across</w:t>
      </w:r>
      <w:r>
        <w:rPr>
          <w:color w:val="231F20"/>
          <w:spacing w:val="-8"/>
        </w:rPr>
        <w:t xml:space="preserve"> </w:t>
      </w:r>
      <w:r>
        <w:rPr>
          <w:color w:val="231F20"/>
        </w:rPr>
        <w:t>a</w:t>
      </w:r>
      <w:r>
        <w:rPr>
          <w:color w:val="231F20"/>
          <w:spacing w:val="-8"/>
        </w:rPr>
        <w:t xml:space="preserve"> </w:t>
      </w:r>
      <w:r>
        <w:rPr>
          <w:color w:val="231F20"/>
        </w:rPr>
        <w:t>range</w:t>
      </w:r>
      <w:r>
        <w:rPr>
          <w:color w:val="231F20"/>
          <w:spacing w:val="-8"/>
        </w:rPr>
        <w:t xml:space="preserve"> </w:t>
      </w:r>
      <w:r>
        <w:rPr>
          <w:color w:val="231F20"/>
        </w:rPr>
        <w:t>of</w:t>
      </w:r>
      <w:r>
        <w:rPr>
          <w:color w:val="231F20"/>
          <w:spacing w:val="-8"/>
        </w:rPr>
        <w:t xml:space="preserve"> </w:t>
      </w:r>
      <w:r>
        <w:rPr>
          <w:color w:val="231F20"/>
        </w:rPr>
        <w:t>spatial</w:t>
      </w:r>
      <w:r>
        <w:rPr>
          <w:color w:val="231F20"/>
          <w:spacing w:val="-8"/>
        </w:rPr>
        <w:t xml:space="preserve"> </w:t>
      </w:r>
      <w:r>
        <w:rPr>
          <w:color w:val="231F20"/>
        </w:rPr>
        <w:t>scales,</w:t>
      </w:r>
      <w:r>
        <w:rPr>
          <w:color w:val="231F20"/>
          <w:spacing w:val="-8"/>
        </w:rPr>
        <w:t xml:space="preserve"> </w:t>
      </w:r>
      <w:r>
        <w:rPr>
          <w:color w:val="231F20"/>
        </w:rPr>
        <w:t>is</w:t>
      </w:r>
      <w:r>
        <w:rPr>
          <w:color w:val="231F20"/>
          <w:spacing w:val="-8"/>
        </w:rPr>
        <w:t xml:space="preserve"> </w:t>
      </w:r>
      <w:r>
        <w:rPr>
          <w:color w:val="231F20"/>
        </w:rPr>
        <w:t>now</w:t>
      </w:r>
      <w:r>
        <w:rPr>
          <w:color w:val="231F20"/>
          <w:spacing w:val="-8"/>
        </w:rPr>
        <w:t xml:space="preserve"> </w:t>
      </w:r>
      <w:r>
        <w:rPr>
          <w:color w:val="231F20"/>
        </w:rPr>
        <w:t>well</w:t>
      </w:r>
      <w:r>
        <w:rPr>
          <w:color w:val="231F20"/>
          <w:spacing w:val="-8"/>
        </w:rPr>
        <w:t xml:space="preserve"> </w:t>
      </w:r>
      <w:r>
        <w:rPr>
          <w:color w:val="231F20"/>
        </w:rPr>
        <w:t>established</w:t>
      </w:r>
      <w:r>
        <w:rPr>
          <w:color w:val="231F20"/>
          <w:spacing w:val="-8"/>
        </w:rPr>
        <w:t xml:space="preserve"> </w:t>
      </w:r>
      <w:r>
        <w:rPr>
          <w:color w:val="231F20"/>
        </w:rPr>
        <w:t xml:space="preserve">(Higham, </w:t>
      </w:r>
      <w:r>
        <w:rPr>
          <w:color w:val="231F20"/>
          <w:w w:val="95"/>
        </w:rPr>
        <w:t>1999). However, it remains the case that the tourism manifestations of high profile, large-sca</w:t>
      </w:r>
      <w:r>
        <w:rPr>
          <w:color w:val="231F20"/>
          <w:w w:val="95"/>
        </w:rPr>
        <w:t xml:space="preserve">le international sports events are much more prominent in the public and government conscience than unique and specialised regional engagements in sports. In 1999, Bull and Weed (1999: 143) observed that </w:t>
      </w:r>
      <w:r>
        <w:rPr>
          <w:color w:val="231F20"/>
        </w:rPr>
        <w:t>‘sport tourism is really a collection of separate ni</w:t>
      </w:r>
      <w:r>
        <w:rPr>
          <w:color w:val="231F20"/>
        </w:rPr>
        <w:t xml:space="preserve">ches but while tourism </w:t>
      </w:r>
      <w:r>
        <w:rPr>
          <w:color w:val="231F20"/>
          <w:w w:val="95"/>
        </w:rPr>
        <w:t xml:space="preserve">associated with mega sporting events … in major urban locations is clearly </w:t>
      </w:r>
      <w:r>
        <w:rPr>
          <w:color w:val="231F20"/>
        </w:rPr>
        <w:t>evident, the potential of sport as a tourism niche elsewhere is perhaps less well appreciated’. While it is not unreasonable to expect tourism destination man</w:t>
      </w:r>
      <w:r>
        <w:rPr>
          <w:color w:val="231F20"/>
        </w:rPr>
        <w:t>agers to seek the tourism benefits of large-scale sports events, targeted and critical insights into engagements in niche sports continue to be generally lacking.</w:t>
      </w:r>
    </w:p>
    <w:p w14:paraId="19200FAE" w14:textId="77777777" w:rsidR="00AE0598" w:rsidRDefault="0069255A">
      <w:pPr>
        <w:pStyle w:val="Corpodetexto"/>
        <w:spacing w:before="17" w:line="232" w:lineRule="auto"/>
        <w:ind w:left="110" w:right="106" w:firstLine="320"/>
        <w:jc w:val="both"/>
      </w:pPr>
      <w:r>
        <w:rPr>
          <w:color w:val="231F20"/>
        </w:rPr>
        <w:t>Understanding sport tourist markets is an important aspect of the foundation for sport touris</w:t>
      </w:r>
      <w:r>
        <w:rPr>
          <w:color w:val="231F20"/>
        </w:rPr>
        <w:t xml:space="preserve">m. It is critical that the research community addresses questions that include ‘who are sport tourists?’, ‘what factors </w:t>
      </w:r>
      <w:r>
        <w:rPr>
          <w:color w:val="231F20"/>
          <w:w w:val="95"/>
        </w:rPr>
        <w:t>motivate sport tourists?’, ‘to what extent and in what ways do motivations</w:t>
      </w:r>
    </w:p>
    <w:p w14:paraId="7E063F14" w14:textId="77777777" w:rsidR="00AE0598" w:rsidRDefault="00AE0598">
      <w:pPr>
        <w:pStyle w:val="Corpodetexto"/>
        <w:rPr>
          <w:sz w:val="20"/>
        </w:rPr>
      </w:pPr>
    </w:p>
    <w:p w14:paraId="50AEDD4C" w14:textId="77777777" w:rsidR="00AE0598" w:rsidRDefault="00AE0598">
      <w:pPr>
        <w:pStyle w:val="Corpodetexto"/>
        <w:spacing w:before="2"/>
      </w:pPr>
    </w:p>
    <w:p w14:paraId="5F6C9056" w14:textId="77777777" w:rsidR="00AE0598" w:rsidRDefault="0069255A">
      <w:pPr>
        <w:spacing w:before="99"/>
        <w:ind w:left="376" w:right="377"/>
        <w:jc w:val="center"/>
        <w:rPr>
          <w:rFonts w:ascii="Trebuchet MS"/>
          <w:sz w:val="16"/>
        </w:rPr>
      </w:pPr>
      <w:r>
        <w:rPr>
          <w:rFonts w:ascii="Trebuchet MS"/>
          <w:color w:val="231F20"/>
          <w:spacing w:val="-5"/>
          <w:w w:val="105"/>
          <w:sz w:val="16"/>
        </w:rPr>
        <w:t>38</w:t>
      </w:r>
    </w:p>
    <w:p w14:paraId="62EA2A60" w14:textId="77777777" w:rsidR="00AE0598" w:rsidRDefault="00AE0598">
      <w:pPr>
        <w:jc w:val="center"/>
        <w:rPr>
          <w:rFonts w:ascii="Trebuchet MS"/>
          <w:sz w:val="16"/>
        </w:rPr>
        <w:sectPr w:rsidR="00AE0598">
          <w:pgSz w:w="8850" w:h="13270"/>
          <w:pgMar w:top="1020" w:right="1080" w:bottom="280" w:left="1080" w:header="720" w:footer="720" w:gutter="0"/>
          <w:cols w:space="720"/>
        </w:sectPr>
      </w:pPr>
    </w:p>
    <w:p w14:paraId="4C689DBC" w14:textId="77777777" w:rsidR="00AE0598" w:rsidRDefault="0069255A">
      <w:pPr>
        <w:spacing w:before="87"/>
        <w:ind w:right="108"/>
        <w:jc w:val="right"/>
        <w:rPr>
          <w:rFonts w:ascii="Trebuchet MS"/>
          <w:sz w:val="14"/>
        </w:rPr>
      </w:pPr>
      <w:r>
        <w:rPr>
          <w:rFonts w:ascii="Trebuchet MS"/>
          <w:color w:val="231F20"/>
          <w:w w:val="105"/>
          <w:sz w:val="14"/>
        </w:rPr>
        <w:lastRenderedPageBreak/>
        <w:t>Sport</w:t>
      </w:r>
      <w:r>
        <w:rPr>
          <w:rFonts w:ascii="Trebuchet MS"/>
          <w:color w:val="231F20"/>
          <w:spacing w:val="-7"/>
          <w:w w:val="105"/>
          <w:sz w:val="14"/>
        </w:rPr>
        <w:t xml:space="preserve"> </w:t>
      </w:r>
      <w:r>
        <w:rPr>
          <w:rFonts w:ascii="Trebuchet MS"/>
          <w:color w:val="231F20"/>
          <w:w w:val="105"/>
          <w:sz w:val="14"/>
        </w:rPr>
        <w:t>Tourism</w:t>
      </w:r>
      <w:r>
        <w:rPr>
          <w:rFonts w:ascii="Trebuchet MS"/>
          <w:color w:val="231F20"/>
          <w:spacing w:val="-7"/>
          <w:w w:val="105"/>
          <w:sz w:val="14"/>
        </w:rPr>
        <w:t xml:space="preserve"> </w:t>
      </w:r>
      <w:r>
        <w:rPr>
          <w:rFonts w:ascii="Trebuchet MS"/>
          <w:color w:val="231F20"/>
          <w:w w:val="105"/>
          <w:sz w:val="14"/>
        </w:rPr>
        <w:t>Markets</w:t>
      </w:r>
      <w:r>
        <w:rPr>
          <w:rFonts w:ascii="Trebuchet MS"/>
          <w:color w:val="231F20"/>
          <w:spacing w:val="73"/>
          <w:w w:val="150"/>
          <w:sz w:val="14"/>
        </w:rPr>
        <w:t xml:space="preserve"> </w:t>
      </w:r>
      <w:r>
        <w:rPr>
          <w:rFonts w:ascii="Trebuchet MS"/>
          <w:color w:val="231F20"/>
          <w:spacing w:val="-5"/>
          <w:w w:val="105"/>
          <w:sz w:val="14"/>
        </w:rPr>
        <w:t>39</w:t>
      </w:r>
    </w:p>
    <w:p w14:paraId="64780E9C" w14:textId="77777777" w:rsidR="00AE0598" w:rsidRDefault="00AE0598">
      <w:pPr>
        <w:pStyle w:val="Corpodetexto"/>
        <w:rPr>
          <w:rFonts w:ascii="Trebuchet MS"/>
          <w:sz w:val="16"/>
        </w:rPr>
      </w:pPr>
    </w:p>
    <w:p w14:paraId="6CD5644A" w14:textId="77777777" w:rsidR="00AE0598" w:rsidRDefault="0069255A">
      <w:pPr>
        <w:pStyle w:val="Corpodetexto"/>
        <w:spacing w:before="118" w:line="232" w:lineRule="auto"/>
        <w:ind w:left="110" w:right="106"/>
        <w:jc w:val="both"/>
      </w:pPr>
      <w:r>
        <w:rPr>
          <w:color w:val="231F20"/>
        </w:rPr>
        <w:t>differ between distinct groups of sport tourists?’ and ‘what travel experiences do sport tourists seek in association with their sporting pursuits?’ Addressing these questions in a timely and rigorous manner</w:t>
      </w:r>
      <w:r>
        <w:rPr>
          <w:color w:val="231F20"/>
          <w:spacing w:val="40"/>
        </w:rPr>
        <w:t xml:space="preserve"> </w:t>
      </w:r>
      <w:r>
        <w:rPr>
          <w:color w:val="231F20"/>
        </w:rPr>
        <w:t>is necessary, as such insights should inform des</w:t>
      </w:r>
      <w:r>
        <w:rPr>
          <w:color w:val="231F20"/>
        </w:rPr>
        <w:t xml:space="preserve">tination planning and </w:t>
      </w:r>
      <w:r>
        <w:rPr>
          <w:color w:val="231F20"/>
          <w:w w:val="95"/>
        </w:rPr>
        <w:t xml:space="preserve">development, resource management and tourism marketing as they relate to the sustainable management of sport resources and tourism destinations </w:t>
      </w:r>
      <w:r>
        <w:rPr>
          <w:color w:val="231F20"/>
        </w:rPr>
        <w:t xml:space="preserve">(Hinch </w:t>
      </w:r>
      <w:r>
        <w:rPr>
          <w:i/>
          <w:color w:val="231F20"/>
        </w:rPr>
        <w:t>et al</w:t>
      </w:r>
      <w:r>
        <w:rPr>
          <w:color w:val="231F20"/>
        </w:rPr>
        <w:t>., 2016). Market analysis, then, is critical to the effective development of s</w:t>
      </w:r>
      <w:r>
        <w:rPr>
          <w:color w:val="231F20"/>
        </w:rPr>
        <w:t>port tourism within the context of regional or national tourism destinations. The first part of this chapter discusses conceptual approaches</w:t>
      </w:r>
      <w:r>
        <w:rPr>
          <w:color w:val="231F20"/>
          <w:spacing w:val="-8"/>
        </w:rPr>
        <w:t xml:space="preserve"> </w:t>
      </w:r>
      <w:r>
        <w:rPr>
          <w:color w:val="231F20"/>
        </w:rPr>
        <w:t>to</w:t>
      </w:r>
      <w:r>
        <w:rPr>
          <w:color w:val="231F20"/>
          <w:spacing w:val="-8"/>
        </w:rPr>
        <w:t xml:space="preserve"> </w:t>
      </w:r>
      <w:r>
        <w:rPr>
          <w:color w:val="231F20"/>
        </w:rPr>
        <w:t>the</w:t>
      </w:r>
      <w:r>
        <w:rPr>
          <w:color w:val="231F20"/>
          <w:spacing w:val="-8"/>
        </w:rPr>
        <w:t xml:space="preserve"> </w:t>
      </w:r>
      <w:r>
        <w:rPr>
          <w:color w:val="231F20"/>
        </w:rPr>
        <w:t>classification</w:t>
      </w:r>
      <w:r>
        <w:rPr>
          <w:color w:val="231F20"/>
          <w:spacing w:val="-8"/>
        </w:rPr>
        <w:t xml:space="preserve"> </w:t>
      </w:r>
      <w:r>
        <w:rPr>
          <w:color w:val="231F20"/>
        </w:rPr>
        <w:t>of</w:t>
      </w:r>
      <w:r>
        <w:rPr>
          <w:color w:val="231F20"/>
          <w:spacing w:val="-8"/>
        </w:rPr>
        <w:t xml:space="preserve"> </w:t>
      </w:r>
      <w:r>
        <w:rPr>
          <w:color w:val="231F20"/>
        </w:rPr>
        <w:t>sport</w:t>
      </w:r>
      <w:r>
        <w:rPr>
          <w:color w:val="231F20"/>
          <w:spacing w:val="-8"/>
        </w:rPr>
        <w:t xml:space="preserve"> </w:t>
      </w:r>
      <w:r>
        <w:rPr>
          <w:color w:val="231F20"/>
        </w:rPr>
        <w:t>tourist</w:t>
      </w:r>
      <w:r>
        <w:rPr>
          <w:color w:val="231F20"/>
          <w:spacing w:val="-8"/>
        </w:rPr>
        <w:t xml:space="preserve"> </w:t>
      </w:r>
      <w:r>
        <w:rPr>
          <w:color w:val="231F20"/>
        </w:rPr>
        <w:t>types.</w:t>
      </w:r>
      <w:r>
        <w:rPr>
          <w:color w:val="231F20"/>
          <w:spacing w:val="-8"/>
        </w:rPr>
        <w:t xml:space="preserve"> </w:t>
      </w:r>
      <w:r>
        <w:rPr>
          <w:color w:val="231F20"/>
        </w:rPr>
        <w:t>This</w:t>
      </w:r>
      <w:r>
        <w:rPr>
          <w:color w:val="231F20"/>
          <w:spacing w:val="-8"/>
        </w:rPr>
        <w:t xml:space="preserve"> </w:t>
      </w:r>
      <w:r>
        <w:rPr>
          <w:color w:val="231F20"/>
        </w:rPr>
        <w:t>is</w:t>
      </w:r>
      <w:r>
        <w:rPr>
          <w:color w:val="231F20"/>
          <w:spacing w:val="-8"/>
        </w:rPr>
        <w:t xml:space="preserve"> </w:t>
      </w:r>
      <w:r>
        <w:rPr>
          <w:color w:val="231F20"/>
        </w:rPr>
        <w:t>followed</w:t>
      </w:r>
      <w:r>
        <w:rPr>
          <w:color w:val="231F20"/>
          <w:spacing w:val="-8"/>
        </w:rPr>
        <w:t xml:space="preserve"> </w:t>
      </w:r>
      <w:r>
        <w:rPr>
          <w:color w:val="231F20"/>
        </w:rPr>
        <w:t>by an examination of sport tourism markets and the m</w:t>
      </w:r>
      <w:r>
        <w:rPr>
          <w:color w:val="231F20"/>
        </w:rPr>
        <w:t xml:space="preserve">eans by which these </w:t>
      </w:r>
      <w:r>
        <w:rPr>
          <w:color w:val="231F20"/>
          <w:w w:val="95"/>
        </w:rPr>
        <w:t xml:space="preserve">markets are effectively understood, and a consideration of the challenges and opportunities arising from insights into different forms of engagement </w:t>
      </w:r>
      <w:r>
        <w:rPr>
          <w:color w:val="231F20"/>
        </w:rPr>
        <w:t>in sport tourism.</w:t>
      </w:r>
    </w:p>
    <w:p w14:paraId="5175611E" w14:textId="77777777" w:rsidR="00AE0598" w:rsidRDefault="00AE0598">
      <w:pPr>
        <w:pStyle w:val="Corpodetexto"/>
        <w:spacing w:before="4"/>
        <w:rPr>
          <w:sz w:val="22"/>
        </w:rPr>
      </w:pPr>
    </w:p>
    <w:p w14:paraId="1F1BAE04" w14:textId="77777777" w:rsidR="00AE0598" w:rsidRDefault="0069255A">
      <w:pPr>
        <w:ind w:left="110"/>
        <w:jc w:val="both"/>
        <w:rPr>
          <w:rFonts w:ascii="Trebuchet MS"/>
          <w:b/>
          <w:sz w:val="20"/>
        </w:rPr>
      </w:pPr>
      <w:r>
        <w:rPr>
          <w:rFonts w:ascii="Trebuchet MS"/>
          <w:b/>
          <w:color w:val="231F20"/>
          <w:sz w:val="20"/>
        </w:rPr>
        <w:t>Conceptualising</w:t>
      </w:r>
      <w:r>
        <w:rPr>
          <w:rFonts w:ascii="Trebuchet MS"/>
          <w:b/>
          <w:color w:val="231F20"/>
          <w:spacing w:val="14"/>
          <w:sz w:val="20"/>
        </w:rPr>
        <w:t xml:space="preserve"> </w:t>
      </w:r>
      <w:r>
        <w:rPr>
          <w:rFonts w:ascii="Trebuchet MS"/>
          <w:b/>
          <w:color w:val="231F20"/>
          <w:sz w:val="20"/>
        </w:rPr>
        <w:t>Demand</w:t>
      </w:r>
      <w:r>
        <w:rPr>
          <w:rFonts w:ascii="Trebuchet MS"/>
          <w:b/>
          <w:color w:val="231F20"/>
          <w:spacing w:val="15"/>
          <w:sz w:val="20"/>
        </w:rPr>
        <w:t xml:space="preserve"> </w:t>
      </w:r>
      <w:r>
        <w:rPr>
          <w:rFonts w:ascii="Trebuchet MS"/>
          <w:b/>
          <w:color w:val="231F20"/>
          <w:sz w:val="20"/>
        </w:rPr>
        <w:t>for</w:t>
      </w:r>
      <w:r>
        <w:rPr>
          <w:rFonts w:ascii="Trebuchet MS"/>
          <w:b/>
          <w:color w:val="231F20"/>
          <w:spacing w:val="14"/>
          <w:sz w:val="20"/>
        </w:rPr>
        <w:t xml:space="preserve"> </w:t>
      </w:r>
      <w:r>
        <w:rPr>
          <w:rFonts w:ascii="Trebuchet MS"/>
          <w:b/>
          <w:color w:val="231F20"/>
          <w:sz w:val="20"/>
        </w:rPr>
        <w:t>Sport</w:t>
      </w:r>
      <w:r>
        <w:rPr>
          <w:rFonts w:ascii="Trebuchet MS"/>
          <w:b/>
          <w:color w:val="231F20"/>
          <w:spacing w:val="15"/>
          <w:sz w:val="20"/>
        </w:rPr>
        <w:t xml:space="preserve"> </w:t>
      </w:r>
      <w:r>
        <w:rPr>
          <w:rFonts w:ascii="Trebuchet MS"/>
          <w:b/>
          <w:color w:val="231F20"/>
          <w:spacing w:val="-2"/>
          <w:sz w:val="20"/>
        </w:rPr>
        <w:t>Tourism</w:t>
      </w:r>
    </w:p>
    <w:p w14:paraId="03EF9B6F" w14:textId="77777777" w:rsidR="00AE0598" w:rsidRDefault="0069255A">
      <w:pPr>
        <w:pStyle w:val="Corpodetexto"/>
        <w:spacing w:before="122" w:line="232" w:lineRule="auto"/>
        <w:ind w:left="110" w:right="104" w:firstLine="320"/>
        <w:jc w:val="both"/>
      </w:pPr>
      <w:r>
        <w:rPr>
          <w:color w:val="231F20"/>
        </w:rPr>
        <w:t xml:space="preserve">Conceptualising sport tourism is a useful starting point in the study of sport tourism markets. The distinction between participation and spectatorship, for example, is important, although engagements with sport have evolved and merged (Lamont </w:t>
      </w:r>
      <w:r>
        <w:rPr>
          <w:i/>
          <w:color w:val="231F20"/>
        </w:rPr>
        <w:t>et al</w:t>
      </w:r>
      <w:r>
        <w:rPr>
          <w:color w:val="231F20"/>
        </w:rPr>
        <w:t>., 2014</w:t>
      </w:r>
      <w:r>
        <w:rPr>
          <w:color w:val="231F20"/>
        </w:rPr>
        <w:t>). Glyptis (1989, 1991) deployed the terms ‘general dabbler’ and ‘specialist’ to describe different levels of tourist engagement in participant and spectator sports. Hall (1992b) also identified two types of active sport tourists: ‘activity participants’ w</w:t>
      </w:r>
      <w:r>
        <w:rPr>
          <w:color w:val="231F20"/>
        </w:rPr>
        <w:t>ho regard their participation as a medium of</w:t>
      </w:r>
      <w:r>
        <w:rPr>
          <w:color w:val="231F20"/>
          <w:spacing w:val="40"/>
        </w:rPr>
        <w:t xml:space="preserve"> </w:t>
      </w:r>
      <w:r>
        <w:rPr>
          <w:color w:val="231F20"/>
        </w:rPr>
        <w:t>self-expression and ‘players’ who are competitive in their engagements in</w:t>
      </w:r>
      <w:r>
        <w:rPr>
          <w:color w:val="231F20"/>
          <w:spacing w:val="80"/>
        </w:rPr>
        <w:t xml:space="preserve"> </w:t>
      </w:r>
      <w:r>
        <w:rPr>
          <w:color w:val="231F20"/>
        </w:rPr>
        <w:t>sport.</w:t>
      </w:r>
      <w:r>
        <w:rPr>
          <w:color w:val="231F20"/>
          <w:spacing w:val="80"/>
        </w:rPr>
        <w:t xml:space="preserve"> </w:t>
      </w:r>
      <w:r>
        <w:rPr>
          <w:color w:val="231F20"/>
        </w:rPr>
        <w:t>These</w:t>
      </w:r>
      <w:r>
        <w:rPr>
          <w:color w:val="231F20"/>
          <w:spacing w:val="80"/>
        </w:rPr>
        <w:t xml:space="preserve"> </w:t>
      </w:r>
      <w:r>
        <w:rPr>
          <w:color w:val="231F20"/>
        </w:rPr>
        <w:t>terminologies</w:t>
      </w:r>
      <w:r>
        <w:rPr>
          <w:color w:val="231F20"/>
          <w:spacing w:val="80"/>
        </w:rPr>
        <w:t xml:space="preserve"> </w:t>
      </w:r>
      <w:r>
        <w:rPr>
          <w:color w:val="231F20"/>
        </w:rPr>
        <w:t>offer</w:t>
      </w:r>
      <w:r>
        <w:rPr>
          <w:color w:val="231F20"/>
          <w:spacing w:val="80"/>
        </w:rPr>
        <w:t xml:space="preserve"> </w:t>
      </w:r>
      <w:r>
        <w:rPr>
          <w:color w:val="231F20"/>
        </w:rPr>
        <w:t>insights</w:t>
      </w:r>
      <w:r>
        <w:rPr>
          <w:color w:val="231F20"/>
          <w:spacing w:val="80"/>
        </w:rPr>
        <w:t xml:space="preserve"> </w:t>
      </w:r>
      <w:r>
        <w:rPr>
          <w:color w:val="231F20"/>
        </w:rPr>
        <w:t>into</w:t>
      </w:r>
      <w:r>
        <w:rPr>
          <w:color w:val="231F20"/>
          <w:spacing w:val="80"/>
        </w:rPr>
        <w:t xml:space="preserve"> </w:t>
      </w:r>
      <w:r>
        <w:rPr>
          <w:color w:val="231F20"/>
        </w:rPr>
        <w:t>different</w:t>
      </w:r>
      <w:r>
        <w:rPr>
          <w:color w:val="231F20"/>
          <w:spacing w:val="80"/>
        </w:rPr>
        <w:t xml:space="preserve"> </w:t>
      </w:r>
      <w:r>
        <w:rPr>
          <w:color w:val="231F20"/>
        </w:rPr>
        <w:t>drivers of</w:t>
      </w:r>
      <w:r>
        <w:rPr>
          <w:color w:val="231F20"/>
          <w:spacing w:val="40"/>
        </w:rPr>
        <w:t xml:space="preserve"> </w:t>
      </w:r>
      <w:r>
        <w:rPr>
          <w:color w:val="231F20"/>
        </w:rPr>
        <w:t>engagement</w:t>
      </w:r>
      <w:r>
        <w:rPr>
          <w:color w:val="231F20"/>
          <w:spacing w:val="40"/>
        </w:rPr>
        <w:t xml:space="preserve"> </w:t>
      </w:r>
      <w:r>
        <w:rPr>
          <w:color w:val="231F20"/>
        </w:rPr>
        <w:t>in</w:t>
      </w:r>
      <w:r>
        <w:rPr>
          <w:color w:val="231F20"/>
          <w:spacing w:val="40"/>
        </w:rPr>
        <w:t xml:space="preserve"> </w:t>
      </w:r>
      <w:r>
        <w:rPr>
          <w:color w:val="231F20"/>
        </w:rPr>
        <w:t>sport,</w:t>
      </w:r>
      <w:r>
        <w:rPr>
          <w:color w:val="231F20"/>
          <w:spacing w:val="40"/>
        </w:rPr>
        <w:t xml:space="preserve"> </w:t>
      </w:r>
      <w:r>
        <w:rPr>
          <w:color w:val="231F20"/>
        </w:rPr>
        <w:t>although</w:t>
      </w:r>
      <w:r>
        <w:rPr>
          <w:color w:val="231F20"/>
          <w:spacing w:val="40"/>
        </w:rPr>
        <w:t xml:space="preserve"> </w:t>
      </w:r>
      <w:r>
        <w:rPr>
          <w:color w:val="231F20"/>
        </w:rPr>
        <w:t>such</w:t>
      </w:r>
      <w:r>
        <w:rPr>
          <w:color w:val="231F20"/>
          <w:spacing w:val="40"/>
        </w:rPr>
        <w:t xml:space="preserve"> </w:t>
      </w:r>
      <w:r>
        <w:rPr>
          <w:color w:val="231F20"/>
        </w:rPr>
        <w:t>engagements</w:t>
      </w:r>
      <w:r>
        <w:rPr>
          <w:color w:val="231F20"/>
          <w:spacing w:val="40"/>
        </w:rPr>
        <w:t xml:space="preserve"> </w:t>
      </w:r>
      <w:r>
        <w:rPr>
          <w:color w:val="231F20"/>
        </w:rPr>
        <w:t>have</w:t>
      </w:r>
      <w:r>
        <w:rPr>
          <w:color w:val="231F20"/>
          <w:spacing w:val="40"/>
        </w:rPr>
        <w:t xml:space="preserve"> </w:t>
      </w:r>
      <w:r>
        <w:rPr>
          <w:color w:val="231F20"/>
        </w:rPr>
        <w:t>expanded to inclu</w:t>
      </w:r>
      <w:r>
        <w:rPr>
          <w:color w:val="231F20"/>
        </w:rPr>
        <w:t xml:space="preserve">de, for example, those who take part in serious leisure (e.g. </w:t>
      </w:r>
      <w:r>
        <w:rPr>
          <w:color w:val="231F20"/>
          <w:w w:val="95"/>
        </w:rPr>
        <w:t xml:space="preserve">competitive amateur athletes), negotiating various constraints in order to </w:t>
      </w:r>
      <w:r>
        <w:rPr>
          <w:color w:val="231F20"/>
        </w:rPr>
        <w:t xml:space="preserve">do so (Kennelly </w:t>
      </w:r>
      <w:r>
        <w:rPr>
          <w:i/>
          <w:color w:val="231F20"/>
        </w:rPr>
        <w:t>et al</w:t>
      </w:r>
      <w:r>
        <w:rPr>
          <w:color w:val="231F20"/>
        </w:rPr>
        <w:t>., 2013). The distinction between ‘sport-orientated holidays’ and ‘less sport-orientated holidays’</w:t>
      </w:r>
      <w:r>
        <w:rPr>
          <w:color w:val="231F20"/>
        </w:rPr>
        <w:t xml:space="preserve"> has been the conceptual basis for the study of sports activities that serve as important tourist motivations (World Tourism Organisation &amp; International Olympic Committee, 2001). Various typologies have been developed over time,</w:t>
      </w:r>
      <w:r>
        <w:rPr>
          <w:color w:val="231F20"/>
          <w:spacing w:val="40"/>
        </w:rPr>
        <w:t xml:space="preserve"> </w:t>
      </w:r>
      <w:r>
        <w:rPr>
          <w:color w:val="231F20"/>
        </w:rPr>
        <w:t xml:space="preserve">in an attempt to describe </w:t>
      </w:r>
      <w:r>
        <w:rPr>
          <w:color w:val="231F20"/>
        </w:rPr>
        <w:t xml:space="preserve">the broad range of engagements in sport and tourism (Gammon &amp; Robinson, 1997; Maier &amp; Weber, 1993; Reeves, </w:t>
      </w:r>
      <w:r>
        <w:rPr>
          <w:color w:val="231F20"/>
          <w:spacing w:val="9"/>
        </w:rPr>
        <w:t xml:space="preserve">2000; </w:t>
      </w:r>
      <w:r>
        <w:rPr>
          <w:color w:val="231F20"/>
        </w:rPr>
        <w:t>Standeven &amp; De Knop, 1999).</w:t>
      </w:r>
    </w:p>
    <w:p w14:paraId="1A2AABD9" w14:textId="77777777" w:rsidR="00AE0598" w:rsidRDefault="0069255A">
      <w:pPr>
        <w:pStyle w:val="Corpodetexto"/>
        <w:spacing w:before="26" w:line="232" w:lineRule="auto"/>
        <w:ind w:left="110" w:right="107" w:firstLine="320"/>
        <w:jc w:val="both"/>
      </w:pPr>
      <w:r>
        <w:rPr>
          <w:color w:val="231F20"/>
        </w:rPr>
        <w:t>Clearly, tourists who engage in sports at a destination do so with varying degrees of commitment, competitiveness a</w:t>
      </w:r>
      <w:r>
        <w:rPr>
          <w:color w:val="231F20"/>
        </w:rPr>
        <w:t xml:space="preserve">nd active/passive </w:t>
      </w:r>
      <w:r>
        <w:rPr>
          <w:color w:val="231F20"/>
          <w:w w:val="95"/>
        </w:rPr>
        <w:t xml:space="preserve">engagement (Gibson, 1998a). The sport tourism market may be segmented </w:t>
      </w:r>
      <w:r>
        <w:rPr>
          <w:color w:val="231F20"/>
        </w:rPr>
        <w:t>on these grounds into niche markets or ‘demand groups’, which differ</w:t>
      </w:r>
      <w:r>
        <w:rPr>
          <w:color w:val="231F20"/>
          <w:spacing w:val="80"/>
        </w:rPr>
        <w:t xml:space="preserve"> </w:t>
      </w:r>
      <w:r>
        <w:rPr>
          <w:color w:val="231F20"/>
        </w:rPr>
        <w:t xml:space="preserve">in many aspects of the visitor experience (Chapter 8). Maier and Weber </w:t>
      </w:r>
      <w:r>
        <w:rPr>
          <w:color w:val="231F20"/>
          <w:w w:val="95"/>
        </w:rPr>
        <w:t>(1993)</w:t>
      </w:r>
      <w:r>
        <w:rPr>
          <w:color w:val="231F20"/>
          <w:spacing w:val="10"/>
        </w:rPr>
        <w:t xml:space="preserve"> </w:t>
      </w:r>
      <w:r>
        <w:rPr>
          <w:color w:val="231F20"/>
          <w:w w:val="95"/>
        </w:rPr>
        <w:t>identified</w:t>
      </w:r>
      <w:r>
        <w:rPr>
          <w:color w:val="231F20"/>
          <w:spacing w:val="11"/>
        </w:rPr>
        <w:t xml:space="preserve"> </w:t>
      </w:r>
      <w:r>
        <w:rPr>
          <w:color w:val="231F20"/>
          <w:w w:val="95"/>
        </w:rPr>
        <w:t>four</w:t>
      </w:r>
      <w:r>
        <w:rPr>
          <w:color w:val="231F20"/>
          <w:spacing w:val="11"/>
        </w:rPr>
        <w:t xml:space="preserve"> </w:t>
      </w:r>
      <w:r>
        <w:rPr>
          <w:color w:val="231F20"/>
          <w:w w:val="95"/>
        </w:rPr>
        <w:t>demand</w:t>
      </w:r>
      <w:r>
        <w:rPr>
          <w:color w:val="231F20"/>
          <w:spacing w:val="11"/>
        </w:rPr>
        <w:t xml:space="preserve"> </w:t>
      </w:r>
      <w:r>
        <w:rPr>
          <w:color w:val="231F20"/>
          <w:w w:val="95"/>
        </w:rPr>
        <w:t>groups</w:t>
      </w:r>
      <w:r>
        <w:rPr>
          <w:color w:val="231F20"/>
          <w:spacing w:val="11"/>
        </w:rPr>
        <w:t xml:space="preserve"> </w:t>
      </w:r>
      <w:r>
        <w:rPr>
          <w:color w:val="231F20"/>
          <w:w w:val="95"/>
        </w:rPr>
        <w:t>based</w:t>
      </w:r>
      <w:r>
        <w:rPr>
          <w:color w:val="231F20"/>
          <w:spacing w:val="11"/>
        </w:rPr>
        <w:t xml:space="preserve"> </w:t>
      </w:r>
      <w:r>
        <w:rPr>
          <w:color w:val="231F20"/>
          <w:w w:val="95"/>
        </w:rPr>
        <w:t>on</w:t>
      </w:r>
      <w:r>
        <w:rPr>
          <w:color w:val="231F20"/>
          <w:spacing w:val="11"/>
        </w:rPr>
        <w:t xml:space="preserve"> </w:t>
      </w:r>
      <w:r>
        <w:rPr>
          <w:color w:val="231F20"/>
          <w:w w:val="95"/>
        </w:rPr>
        <w:t>the</w:t>
      </w:r>
      <w:r>
        <w:rPr>
          <w:color w:val="231F20"/>
          <w:spacing w:val="11"/>
        </w:rPr>
        <w:t xml:space="preserve"> </w:t>
      </w:r>
      <w:r>
        <w:rPr>
          <w:color w:val="231F20"/>
          <w:w w:val="95"/>
        </w:rPr>
        <w:t>intensity</w:t>
      </w:r>
      <w:r>
        <w:rPr>
          <w:color w:val="231F20"/>
          <w:spacing w:val="11"/>
        </w:rPr>
        <w:t xml:space="preserve"> </w:t>
      </w:r>
      <w:r>
        <w:rPr>
          <w:color w:val="231F20"/>
          <w:w w:val="95"/>
        </w:rPr>
        <w:t>of</w:t>
      </w:r>
      <w:r>
        <w:rPr>
          <w:color w:val="231F20"/>
          <w:spacing w:val="11"/>
        </w:rPr>
        <w:t xml:space="preserve"> </w:t>
      </w:r>
      <w:r>
        <w:rPr>
          <w:color w:val="231F20"/>
          <w:w w:val="95"/>
        </w:rPr>
        <w:t>the</w:t>
      </w:r>
      <w:r>
        <w:rPr>
          <w:color w:val="231F20"/>
          <w:spacing w:val="11"/>
        </w:rPr>
        <w:t xml:space="preserve"> </w:t>
      </w:r>
      <w:r>
        <w:rPr>
          <w:color w:val="231F20"/>
          <w:spacing w:val="-2"/>
          <w:w w:val="95"/>
        </w:rPr>
        <w:t>sports</w:t>
      </w:r>
    </w:p>
    <w:p w14:paraId="720F51FC" w14:textId="77777777" w:rsidR="00AE0598" w:rsidRDefault="00AE0598">
      <w:pPr>
        <w:spacing w:line="232" w:lineRule="auto"/>
        <w:jc w:val="both"/>
        <w:sectPr w:rsidR="00AE0598">
          <w:pgSz w:w="8850" w:h="13270"/>
          <w:pgMar w:top="720" w:right="1080" w:bottom="280" w:left="1080" w:header="720" w:footer="720" w:gutter="0"/>
          <w:cols w:space="720"/>
        </w:sectPr>
      </w:pPr>
    </w:p>
    <w:p w14:paraId="50C92C8D" w14:textId="77777777" w:rsidR="00AE0598" w:rsidRDefault="0069255A">
      <w:pPr>
        <w:spacing w:before="87"/>
        <w:ind w:left="108"/>
        <w:rPr>
          <w:rFonts w:ascii="Trebuchet MS"/>
          <w:sz w:val="14"/>
        </w:rPr>
      </w:pPr>
      <w:r>
        <w:rPr>
          <w:rFonts w:ascii="Trebuchet MS"/>
          <w:color w:val="231F20"/>
          <w:w w:val="105"/>
          <w:sz w:val="14"/>
        </w:rPr>
        <w:lastRenderedPageBreak/>
        <w:t>40</w:t>
      </w:r>
      <w:r>
        <w:rPr>
          <w:rFonts w:ascii="Trebuchet MS"/>
          <w:color w:val="231F20"/>
          <w:spacing w:val="64"/>
          <w:w w:val="150"/>
          <w:sz w:val="14"/>
        </w:rPr>
        <w:t xml:space="preserve"> </w:t>
      </w:r>
      <w:r>
        <w:rPr>
          <w:rFonts w:ascii="Trebuchet MS"/>
          <w:color w:val="231F20"/>
          <w:w w:val="105"/>
          <w:sz w:val="14"/>
        </w:rPr>
        <w:t>Part</w:t>
      </w:r>
      <w:r>
        <w:rPr>
          <w:rFonts w:ascii="Trebuchet MS"/>
          <w:color w:val="231F20"/>
          <w:spacing w:val="-9"/>
          <w:w w:val="105"/>
          <w:sz w:val="14"/>
        </w:rPr>
        <w:t xml:space="preserve"> </w:t>
      </w:r>
      <w:r>
        <w:rPr>
          <w:rFonts w:ascii="Trebuchet MS"/>
          <w:color w:val="231F20"/>
          <w:w w:val="105"/>
          <w:sz w:val="14"/>
        </w:rPr>
        <w:t>2:</w:t>
      </w:r>
      <w:r>
        <w:rPr>
          <w:rFonts w:ascii="Trebuchet MS"/>
          <w:color w:val="231F20"/>
          <w:spacing w:val="-9"/>
          <w:w w:val="105"/>
          <w:sz w:val="14"/>
        </w:rPr>
        <w:t xml:space="preserve"> </w:t>
      </w:r>
      <w:r>
        <w:rPr>
          <w:rFonts w:ascii="Trebuchet MS"/>
          <w:color w:val="231F20"/>
          <w:w w:val="105"/>
          <w:sz w:val="14"/>
        </w:rPr>
        <w:t>Foundations</w:t>
      </w:r>
      <w:r>
        <w:rPr>
          <w:rFonts w:ascii="Trebuchet MS"/>
          <w:color w:val="231F20"/>
          <w:spacing w:val="-9"/>
          <w:w w:val="105"/>
          <w:sz w:val="14"/>
        </w:rPr>
        <w:t xml:space="preserve"> </w:t>
      </w:r>
      <w:r>
        <w:rPr>
          <w:rFonts w:ascii="Trebuchet MS"/>
          <w:color w:val="231F20"/>
          <w:w w:val="105"/>
          <w:sz w:val="14"/>
        </w:rPr>
        <w:t>of</w:t>
      </w:r>
      <w:r>
        <w:rPr>
          <w:rFonts w:ascii="Trebuchet MS"/>
          <w:color w:val="231F20"/>
          <w:spacing w:val="-9"/>
          <w:w w:val="105"/>
          <w:sz w:val="14"/>
        </w:rPr>
        <w:t xml:space="preserve"> </w:t>
      </w:r>
      <w:r>
        <w:rPr>
          <w:rFonts w:ascii="Trebuchet MS"/>
          <w:color w:val="231F20"/>
          <w:w w:val="105"/>
          <w:sz w:val="14"/>
        </w:rPr>
        <w:t>Sport</w:t>
      </w:r>
      <w:r>
        <w:rPr>
          <w:rFonts w:ascii="Trebuchet MS"/>
          <w:color w:val="231F20"/>
          <w:spacing w:val="-9"/>
          <w:w w:val="105"/>
          <w:sz w:val="14"/>
        </w:rPr>
        <w:t xml:space="preserve"> </w:t>
      </w:r>
      <w:r>
        <w:rPr>
          <w:rFonts w:ascii="Trebuchet MS"/>
          <w:color w:val="231F20"/>
          <w:w w:val="105"/>
          <w:sz w:val="14"/>
        </w:rPr>
        <w:t>Tourism</w:t>
      </w:r>
      <w:r>
        <w:rPr>
          <w:rFonts w:ascii="Trebuchet MS"/>
          <w:color w:val="231F20"/>
          <w:spacing w:val="-9"/>
          <w:w w:val="105"/>
          <w:sz w:val="14"/>
        </w:rPr>
        <w:t xml:space="preserve"> </w:t>
      </w:r>
      <w:r>
        <w:rPr>
          <w:rFonts w:ascii="Trebuchet MS"/>
          <w:color w:val="231F20"/>
          <w:spacing w:val="-2"/>
          <w:w w:val="105"/>
          <w:sz w:val="14"/>
        </w:rPr>
        <w:t>Development</w:t>
      </w:r>
    </w:p>
    <w:p w14:paraId="50BF0EBD" w14:textId="77777777" w:rsidR="00AE0598" w:rsidRDefault="00AE0598">
      <w:pPr>
        <w:pStyle w:val="Corpodetexto"/>
        <w:spacing w:before="5"/>
        <w:rPr>
          <w:rFonts w:ascii="Trebuchet MS"/>
          <w:sz w:val="18"/>
        </w:rPr>
      </w:pPr>
    </w:p>
    <w:p w14:paraId="4CA5499E" w14:textId="77777777" w:rsidR="00AE0598" w:rsidRDefault="0069255A">
      <w:pPr>
        <w:spacing w:before="100"/>
        <w:ind w:left="110"/>
        <w:rPr>
          <w:rFonts w:ascii="Trebuchet MS"/>
          <w:sz w:val="16"/>
        </w:rPr>
      </w:pPr>
      <w:r>
        <w:rPr>
          <w:rFonts w:ascii="Trebuchet MS"/>
          <w:b/>
          <w:color w:val="231F20"/>
          <w:sz w:val="16"/>
        </w:rPr>
        <w:t>Table</w:t>
      </w:r>
      <w:r>
        <w:rPr>
          <w:rFonts w:ascii="Trebuchet MS"/>
          <w:b/>
          <w:color w:val="231F20"/>
          <w:spacing w:val="14"/>
          <w:sz w:val="16"/>
        </w:rPr>
        <w:t xml:space="preserve"> </w:t>
      </w:r>
      <w:r>
        <w:rPr>
          <w:rFonts w:ascii="Trebuchet MS"/>
          <w:b/>
          <w:color w:val="231F20"/>
          <w:sz w:val="16"/>
        </w:rPr>
        <w:t>3.1</w:t>
      </w:r>
      <w:r>
        <w:rPr>
          <w:rFonts w:ascii="Trebuchet MS"/>
          <w:b/>
          <w:color w:val="231F20"/>
          <w:spacing w:val="64"/>
          <w:sz w:val="16"/>
        </w:rPr>
        <w:t xml:space="preserve"> </w:t>
      </w:r>
      <w:r>
        <w:rPr>
          <w:rFonts w:ascii="Trebuchet MS"/>
          <w:color w:val="231F20"/>
          <w:sz w:val="16"/>
        </w:rPr>
        <w:t>Sport</w:t>
      </w:r>
      <w:r>
        <w:rPr>
          <w:rFonts w:ascii="Trebuchet MS"/>
          <w:color w:val="231F20"/>
          <w:spacing w:val="15"/>
          <w:sz w:val="16"/>
        </w:rPr>
        <w:t xml:space="preserve"> </w:t>
      </w:r>
      <w:r>
        <w:rPr>
          <w:rFonts w:ascii="Trebuchet MS"/>
          <w:color w:val="231F20"/>
          <w:sz w:val="16"/>
        </w:rPr>
        <w:t>tourism</w:t>
      </w:r>
      <w:r>
        <w:rPr>
          <w:rFonts w:ascii="Trebuchet MS"/>
          <w:color w:val="231F20"/>
          <w:spacing w:val="15"/>
          <w:sz w:val="16"/>
        </w:rPr>
        <w:t xml:space="preserve"> </w:t>
      </w:r>
      <w:r>
        <w:rPr>
          <w:rFonts w:ascii="Trebuchet MS"/>
          <w:color w:val="231F20"/>
          <w:sz w:val="16"/>
        </w:rPr>
        <w:t>demand</w:t>
      </w:r>
      <w:r>
        <w:rPr>
          <w:rFonts w:ascii="Trebuchet MS"/>
          <w:color w:val="231F20"/>
          <w:spacing w:val="14"/>
          <w:sz w:val="16"/>
        </w:rPr>
        <w:t xml:space="preserve"> </w:t>
      </w:r>
      <w:r>
        <w:rPr>
          <w:rFonts w:ascii="Trebuchet MS"/>
          <w:color w:val="231F20"/>
          <w:sz w:val="16"/>
        </w:rPr>
        <w:t>groups</w:t>
      </w:r>
      <w:r>
        <w:rPr>
          <w:rFonts w:ascii="Trebuchet MS"/>
          <w:color w:val="231F20"/>
          <w:spacing w:val="15"/>
          <w:sz w:val="16"/>
        </w:rPr>
        <w:t xml:space="preserve"> </w:t>
      </w:r>
      <w:r>
        <w:rPr>
          <w:rFonts w:ascii="Trebuchet MS"/>
          <w:color w:val="231F20"/>
          <w:sz w:val="16"/>
        </w:rPr>
        <w:t>and</w:t>
      </w:r>
      <w:r>
        <w:rPr>
          <w:rFonts w:ascii="Trebuchet MS"/>
          <w:color w:val="231F20"/>
          <w:spacing w:val="14"/>
          <w:sz w:val="16"/>
        </w:rPr>
        <w:t xml:space="preserve"> </w:t>
      </w:r>
      <w:r>
        <w:rPr>
          <w:rFonts w:ascii="Trebuchet MS"/>
          <w:color w:val="231F20"/>
          <w:sz w:val="16"/>
        </w:rPr>
        <w:t>requisite</w:t>
      </w:r>
      <w:r>
        <w:rPr>
          <w:rFonts w:ascii="Trebuchet MS"/>
          <w:color w:val="231F20"/>
          <w:spacing w:val="15"/>
          <w:sz w:val="16"/>
        </w:rPr>
        <w:t xml:space="preserve"> </w:t>
      </w:r>
      <w:r>
        <w:rPr>
          <w:rFonts w:ascii="Trebuchet MS"/>
          <w:color w:val="231F20"/>
          <w:sz w:val="16"/>
        </w:rPr>
        <w:t>visitor</w:t>
      </w:r>
      <w:r>
        <w:rPr>
          <w:rFonts w:ascii="Trebuchet MS"/>
          <w:color w:val="231F20"/>
          <w:spacing w:val="14"/>
          <w:sz w:val="16"/>
        </w:rPr>
        <w:t xml:space="preserve"> </w:t>
      </w:r>
      <w:r>
        <w:rPr>
          <w:rFonts w:ascii="Trebuchet MS"/>
          <w:color w:val="231F20"/>
          <w:spacing w:val="-2"/>
          <w:sz w:val="16"/>
        </w:rPr>
        <w:t>facilities</w:t>
      </w:r>
    </w:p>
    <w:p w14:paraId="7C060DE2" w14:textId="77777777" w:rsidR="00AE0598" w:rsidRDefault="00AE0598">
      <w:pPr>
        <w:pStyle w:val="Corpodetexto"/>
        <w:spacing w:before="10"/>
        <w:rPr>
          <w:rFonts w:ascii="Trebuchet MS"/>
          <w:sz w:val="17"/>
        </w:rPr>
      </w:pPr>
    </w:p>
    <w:p w14:paraId="0F4F8EFD" w14:textId="53F46B9E" w:rsidR="00AE0598" w:rsidRDefault="0069255A">
      <w:pPr>
        <w:tabs>
          <w:tab w:val="left" w:pos="1437"/>
        </w:tabs>
        <w:ind w:left="110"/>
        <w:rPr>
          <w:rFonts w:ascii="Trebuchet MS"/>
          <w:b/>
          <w:sz w:val="14"/>
        </w:rPr>
      </w:pPr>
      <w:r>
        <w:rPr>
          <w:noProof/>
        </w:rPr>
        <mc:AlternateContent>
          <mc:Choice Requires="wps">
            <w:drawing>
              <wp:anchor distT="0" distB="0" distL="114300" distR="114300" simplePos="0" relativeHeight="15747072" behindDoc="0" locked="0" layoutInCell="1" allowOverlap="1" wp14:anchorId="67F774B4" wp14:editId="10061230">
                <wp:simplePos x="0" y="0"/>
                <wp:positionH relativeFrom="page">
                  <wp:posOffset>755650</wp:posOffset>
                </wp:positionH>
                <wp:positionV relativeFrom="paragraph">
                  <wp:posOffset>159385</wp:posOffset>
                </wp:positionV>
                <wp:extent cx="4104005" cy="1270"/>
                <wp:effectExtent l="0" t="0" r="0" b="0"/>
                <wp:wrapNone/>
                <wp:docPr id="309" name="docshape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104005" cy="1270"/>
                        </a:xfrm>
                        <a:custGeom>
                          <a:avLst/>
                          <a:gdLst>
                            <a:gd name="T0" fmla="+- 0 1190 1190"/>
                            <a:gd name="T1" fmla="*/ T0 w 6463"/>
                            <a:gd name="T2" fmla="+- 0 2517 1190"/>
                            <a:gd name="T3" fmla="*/ T2 w 6463"/>
                            <a:gd name="T4" fmla="+- 0 7653 1190"/>
                            <a:gd name="T5" fmla="*/ T4 w 6463"/>
                          </a:gdLst>
                          <a:ahLst/>
                          <a:cxnLst>
                            <a:cxn ang="0">
                              <a:pos x="T1" y="0"/>
                            </a:cxn>
                            <a:cxn ang="0">
                              <a:pos x="T3" y="0"/>
                            </a:cxn>
                            <a:cxn ang="0">
                              <a:pos x="T5" y="0"/>
                            </a:cxn>
                          </a:cxnLst>
                          <a:rect l="0" t="0" r="r" b="b"/>
                          <a:pathLst>
                            <a:path w="6463">
                              <a:moveTo>
                                <a:pt x="0" y="0"/>
                              </a:moveTo>
                              <a:lnTo>
                                <a:pt x="1327" y="0"/>
                              </a:lnTo>
                              <a:lnTo>
                                <a:pt x="6463" y="0"/>
                              </a:lnTo>
                            </a:path>
                          </a:pathLst>
                        </a:custGeom>
                        <a:noFill/>
                        <a:ln w="3175">
                          <a:solidFill>
                            <a:srgbClr val="231F2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97F933" id="docshape65" o:spid="_x0000_s1026" style="position:absolute;margin-left:59.5pt;margin-top:12.55pt;width:323.15pt;height:.1pt;z-index:157470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646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" path="m,l1327,,6463,e" filled="f" strokecolor="#231f20" strokeweight=".25pt">
                <v:path arrowok="t" o:connecttype="custom" o:connectlocs="0,0;842645,0;4104005,0" o:connectangles="0,0,0"/>
                <w10:wrap anchorx="page"/>
              </v:shape>
            </w:pict>
          </mc:Fallback>
        </mc:AlternateContent>
      </w:r>
      <w:r>
        <w:rPr>
          <w:rFonts w:ascii="Trebuchet MS"/>
          <w:b/>
          <w:color w:val="231F20"/>
          <w:sz w:val="14"/>
        </w:rPr>
        <w:t>Demand</w:t>
      </w:r>
      <w:r>
        <w:rPr>
          <w:rFonts w:ascii="Trebuchet MS"/>
          <w:b/>
          <w:color w:val="231F20"/>
          <w:spacing w:val="27"/>
          <w:sz w:val="14"/>
        </w:rPr>
        <w:t xml:space="preserve"> </w:t>
      </w:r>
      <w:r>
        <w:rPr>
          <w:rFonts w:ascii="Trebuchet MS"/>
          <w:b/>
          <w:color w:val="231F20"/>
          <w:spacing w:val="-2"/>
          <w:sz w:val="14"/>
        </w:rPr>
        <w:t>groups</w:t>
      </w:r>
      <w:r>
        <w:rPr>
          <w:rFonts w:ascii="Trebuchet MS"/>
          <w:b/>
          <w:color w:val="231F20"/>
          <w:sz w:val="14"/>
        </w:rPr>
        <w:tab/>
        <w:t>Visitor</w:t>
      </w:r>
      <w:r>
        <w:rPr>
          <w:rFonts w:ascii="Trebuchet MS"/>
          <w:b/>
          <w:color w:val="231F20"/>
          <w:spacing w:val="11"/>
          <w:sz w:val="14"/>
        </w:rPr>
        <w:t xml:space="preserve"> </w:t>
      </w:r>
      <w:r>
        <w:rPr>
          <w:rFonts w:ascii="Trebuchet MS"/>
          <w:b/>
          <w:color w:val="231F20"/>
          <w:sz w:val="14"/>
        </w:rPr>
        <w:t>demands</w:t>
      </w:r>
      <w:r>
        <w:rPr>
          <w:rFonts w:ascii="Trebuchet MS"/>
          <w:b/>
          <w:color w:val="231F20"/>
          <w:spacing w:val="11"/>
          <w:sz w:val="14"/>
        </w:rPr>
        <w:t xml:space="preserve"> </w:t>
      </w:r>
      <w:r>
        <w:rPr>
          <w:rFonts w:ascii="Trebuchet MS"/>
          <w:b/>
          <w:color w:val="231F20"/>
          <w:sz w:val="14"/>
        </w:rPr>
        <w:t>and</w:t>
      </w:r>
      <w:r>
        <w:rPr>
          <w:rFonts w:ascii="Trebuchet MS"/>
          <w:b/>
          <w:color w:val="231F20"/>
          <w:spacing w:val="11"/>
          <w:sz w:val="14"/>
        </w:rPr>
        <w:t xml:space="preserve"> </w:t>
      </w:r>
      <w:r>
        <w:rPr>
          <w:rFonts w:ascii="Trebuchet MS"/>
          <w:b/>
          <w:color w:val="231F20"/>
          <w:sz w:val="14"/>
        </w:rPr>
        <w:t>required</w:t>
      </w:r>
      <w:r>
        <w:rPr>
          <w:rFonts w:ascii="Trebuchet MS"/>
          <w:b/>
          <w:color w:val="231F20"/>
          <w:spacing w:val="11"/>
          <w:sz w:val="14"/>
        </w:rPr>
        <w:t xml:space="preserve"> </w:t>
      </w:r>
      <w:r>
        <w:rPr>
          <w:rFonts w:ascii="Trebuchet MS"/>
          <w:b/>
          <w:color w:val="231F20"/>
          <w:spacing w:val="-2"/>
          <w:sz w:val="14"/>
        </w:rPr>
        <w:t>facilities</w:t>
      </w:r>
    </w:p>
    <w:p w14:paraId="7A2D4B5C" w14:textId="77777777" w:rsidR="00AE0598" w:rsidRDefault="00AE0598">
      <w:pPr>
        <w:rPr>
          <w:rFonts w:ascii="Trebuchet MS"/>
          <w:sz w:val="14"/>
        </w:rPr>
        <w:sectPr w:rsidR="00AE0598">
          <w:pgSz w:w="8850" w:h="13270"/>
          <w:pgMar w:top="720" w:right="1080" w:bottom="280" w:left="1080" w:header="720" w:footer="720" w:gutter="0"/>
          <w:cols w:space="720"/>
        </w:sectPr>
      </w:pPr>
    </w:p>
    <w:p w14:paraId="36B10541" w14:textId="77777777" w:rsidR="00AE0598" w:rsidRDefault="0069255A">
      <w:pPr>
        <w:spacing w:before="125" w:line="235" w:lineRule="auto"/>
        <w:ind w:left="110"/>
        <w:rPr>
          <w:rFonts w:ascii="Trebuchet MS"/>
          <w:sz w:val="14"/>
        </w:rPr>
      </w:pPr>
      <w:r>
        <w:rPr>
          <w:rFonts w:ascii="Trebuchet MS"/>
          <w:color w:val="231F20"/>
          <w:w w:val="105"/>
          <w:sz w:val="14"/>
        </w:rPr>
        <w:t>Top</w:t>
      </w:r>
      <w:r>
        <w:rPr>
          <w:rFonts w:ascii="Trebuchet MS"/>
          <w:color w:val="231F20"/>
          <w:spacing w:val="-12"/>
          <w:w w:val="105"/>
          <w:sz w:val="14"/>
        </w:rPr>
        <w:t xml:space="preserve"> </w:t>
      </w:r>
      <w:r>
        <w:rPr>
          <w:rFonts w:ascii="Trebuchet MS"/>
          <w:color w:val="231F20"/>
          <w:w w:val="105"/>
          <w:sz w:val="14"/>
        </w:rPr>
        <w:t xml:space="preserve">performance </w:t>
      </w:r>
      <w:r>
        <w:rPr>
          <w:rFonts w:ascii="Trebuchet MS"/>
          <w:color w:val="231F20"/>
          <w:spacing w:val="-2"/>
          <w:w w:val="105"/>
          <w:sz w:val="14"/>
        </w:rPr>
        <w:t>athletes</w:t>
      </w:r>
    </w:p>
    <w:p w14:paraId="402359C4" w14:textId="77777777" w:rsidR="00AE0598" w:rsidRDefault="0069255A">
      <w:pPr>
        <w:spacing w:before="125" w:line="235" w:lineRule="auto"/>
        <w:ind w:left="110" w:right="207"/>
        <w:rPr>
          <w:rFonts w:ascii="Trebuchet MS"/>
          <w:sz w:val="14"/>
        </w:rPr>
      </w:pPr>
      <w:r>
        <w:br w:type="column"/>
      </w:r>
      <w:r>
        <w:rPr>
          <w:rFonts w:ascii="Trebuchet MS"/>
          <w:color w:val="231F20"/>
          <w:w w:val="105"/>
          <w:sz w:val="14"/>
        </w:rPr>
        <w:t>Efficiency is the priority. Access to competition and suitable training conditions and facilities are the priority for these travellers. When meeting the priorities of this group, tour organisers and destination managers need to give consideration to speci</w:t>
      </w:r>
      <w:r>
        <w:rPr>
          <w:rFonts w:ascii="Trebuchet MS"/>
          <w:color w:val="231F20"/>
          <w:w w:val="105"/>
          <w:sz w:val="14"/>
        </w:rPr>
        <w:t>fic accommodation and dining demands (e.g. dietary requirements) as well as access to physicians, injury rehabilitation facilities and other performance-related services.</w:t>
      </w:r>
    </w:p>
    <w:p w14:paraId="2737952A" w14:textId="77777777" w:rsidR="00AE0598" w:rsidRDefault="00AE0598">
      <w:pPr>
        <w:spacing w:line="235" w:lineRule="auto"/>
        <w:rPr>
          <w:rFonts w:ascii="Trebuchet MS"/>
          <w:sz w:val="14"/>
        </w:rPr>
        <w:sectPr w:rsidR="00AE0598">
          <w:type w:val="continuous"/>
          <w:pgSz w:w="8850" w:h="13270"/>
          <w:pgMar w:top="1080" w:right="1080" w:bottom="280" w:left="1080" w:header="720" w:footer="720" w:gutter="0"/>
          <w:cols w:num="2" w:space="720" w:equalWidth="0">
            <w:col w:w="1263" w:space="64"/>
            <w:col w:w="5363"/>
          </w:cols>
        </w:sectPr>
      </w:pPr>
    </w:p>
    <w:p w14:paraId="1A622162" w14:textId="77777777" w:rsidR="00AE0598" w:rsidRDefault="00AE0598">
      <w:pPr>
        <w:pStyle w:val="Corpodetexto"/>
        <w:spacing w:before="10"/>
        <w:rPr>
          <w:rFonts w:ascii="Trebuchet MS"/>
          <w:sz w:val="2"/>
        </w:rPr>
      </w:pPr>
    </w:p>
    <w:p w14:paraId="41A77E20" w14:textId="2649E097" w:rsidR="00AE0598" w:rsidRDefault="0069255A">
      <w:pPr>
        <w:pStyle w:val="Corpodetexto"/>
        <w:spacing w:line="20" w:lineRule="exact"/>
        <w:ind w:left="110"/>
        <w:rPr>
          <w:rFonts w:ascii="Trebuchet MS"/>
          <w:sz w:val="2"/>
        </w:rPr>
      </w:pPr>
      <w:r>
        <w:rPr>
          <w:rFonts w:ascii="Trebuchet MS"/>
          <w:noProof/>
          <w:sz w:val="2"/>
        </w:rPr>
        <mc:AlternateContent>
          <mc:Choice Requires="wpg">
            <w:drawing>
              <wp:inline distT="0" distB="0" distL="0" distR="0" wp14:anchorId="1B450BD6" wp14:editId="5CFE63DC">
                <wp:extent cx="4104005" cy="3175"/>
                <wp:effectExtent l="12700" t="8890" r="7620" b="6985"/>
                <wp:docPr id="307" name="docshapegroup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04005" cy="3175"/>
                          <a:chOff x="0" y="0"/>
                          <a:chExt cx="6463" cy="5"/>
                        </a:xfrm>
                      </wpg:grpSpPr>
                      <wps:wsp>
                        <wps:cNvPr id="308" name="docshape67"/>
                        <wps:cNvSpPr>
                          <a:spLocks/>
                        </wps:cNvSpPr>
                        <wps:spPr bwMode="auto">
                          <a:xfrm>
                            <a:off x="0" y="2"/>
                            <a:ext cx="6463" cy="2"/>
                          </a:xfrm>
                          <a:custGeom>
                            <a:avLst/>
                            <a:gdLst>
                              <a:gd name="T0" fmla="*/ 0 w 6463"/>
                              <a:gd name="T1" fmla="*/ 1327 w 6463"/>
                              <a:gd name="T2" fmla="*/ 6463 w 6463"/>
                            </a:gdLst>
                            <a:ahLst/>
                            <a:cxnLst>
                              <a:cxn ang="0">
                                <a:pos x="T0" y="0"/>
                              </a:cxn>
                              <a:cxn ang="0">
                                <a:pos x="T1" y="0"/>
                              </a:cxn>
                              <a:cxn ang="0">
                                <a:pos x="T2" y="0"/>
                              </a:cxn>
                            </a:cxnLst>
                            <a:rect l="0" t="0" r="r" b="b"/>
                            <a:pathLst>
                              <a:path w="6463">
                                <a:moveTo>
                                  <a:pt x="0" y="0"/>
                                </a:moveTo>
                                <a:lnTo>
                                  <a:pt x="1327" y="0"/>
                                </a:lnTo>
                                <a:lnTo>
                                  <a:pt x="6463" y="0"/>
                                </a:lnTo>
                              </a:path>
                            </a:pathLst>
                          </a:custGeom>
                          <a:noFill/>
                          <a:ln w="3175">
                            <a:solidFill>
                              <a:srgbClr val="231F2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2E98282D" id="docshapegroup66" o:spid="_x0000_s1026" style="width:323.15pt;height:.25pt;mso-position-horizontal-relative:char;mso-position-vertical-relative:line" coordsize="64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">
                <v:shape id="docshape67" o:spid="_x0000_s1027" style="position:absolute;top:2;width:6463;height:2;visibility:visible;mso-wrap-style:square;v-text-anchor:top" coordsize="64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" path="m,l1327,,6463,e" filled="f" strokecolor="#231f20" strokeweight=".25pt">
                  <v:path arrowok="t" o:connecttype="custom" o:connectlocs="0,0;1327,0;6463,0" o:connectangles="0,0,0"/>
                </v:shape>
                <w10:anchorlock/>
              </v:group>
            </w:pict>
          </mc:Fallback>
        </mc:AlternateContent>
      </w:r>
    </w:p>
    <w:p w14:paraId="519E5D14" w14:textId="77777777" w:rsidR="00AE0598" w:rsidRDefault="0069255A">
      <w:pPr>
        <w:tabs>
          <w:tab w:val="left" w:pos="1437"/>
        </w:tabs>
        <w:spacing w:before="14" w:line="161" w:lineRule="exact"/>
        <w:ind w:left="110"/>
        <w:rPr>
          <w:rFonts w:ascii="Trebuchet MS"/>
          <w:sz w:val="14"/>
        </w:rPr>
      </w:pPr>
      <w:r>
        <w:rPr>
          <w:rFonts w:ascii="Trebuchet MS"/>
          <w:color w:val="231F20"/>
          <w:w w:val="105"/>
          <w:sz w:val="14"/>
        </w:rPr>
        <w:t>Mass</w:t>
      </w:r>
      <w:r>
        <w:rPr>
          <w:rFonts w:ascii="Trebuchet MS"/>
          <w:color w:val="231F20"/>
          <w:spacing w:val="19"/>
          <w:w w:val="105"/>
          <w:sz w:val="14"/>
        </w:rPr>
        <w:t xml:space="preserve"> </w:t>
      </w:r>
      <w:r>
        <w:rPr>
          <w:rFonts w:ascii="Trebuchet MS"/>
          <w:color w:val="231F20"/>
          <w:spacing w:val="-2"/>
          <w:w w:val="105"/>
          <w:sz w:val="14"/>
        </w:rPr>
        <w:t>sports</w:t>
      </w:r>
      <w:r>
        <w:rPr>
          <w:rFonts w:ascii="Trebuchet MS"/>
          <w:color w:val="231F20"/>
          <w:sz w:val="14"/>
        </w:rPr>
        <w:tab/>
      </w:r>
      <w:r>
        <w:rPr>
          <w:rFonts w:ascii="Trebuchet MS"/>
          <w:color w:val="231F20"/>
          <w:w w:val="105"/>
          <w:sz w:val="14"/>
        </w:rPr>
        <w:t>Preserving health</w:t>
      </w:r>
      <w:r>
        <w:rPr>
          <w:rFonts w:ascii="Trebuchet MS"/>
          <w:color w:val="231F20"/>
          <w:spacing w:val="1"/>
          <w:w w:val="105"/>
          <w:sz w:val="14"/>
        </w:rPr>
        <w:t xml:space="preserve"> </w:t>
      </w:r>
      <w:r>
        <w:rPr>
          <w:rFonts w:ascii="Trebuchet MS"/>
          <w:color w:val="231F20"/>
          <w:w w:val="105"/>
          <w:sz w:val="14"/>
        </w:rPr>
        <w:t>and maintaining</w:t>
      </w:r>
      <w:r>
        <w:rPr>
          <w:rFonts w:ascii="Trebuchet MS"/>
          <w:color w:val="231F20"/>
          <w:spacing w:val="1"/>
          <w:w w:val="105"/>
          <w:sz w:val="14"/>
        </w:rPr>
        <w:t xml:space="preserve"> </w:t>
      </w:r>
      <w:r>
        <w:rPr>
          <w:rFonts w:ascii="Trebuchet MS"/>
          <w:color w:val="231F20"/>
          <w:w w:val="105"/>
          <w:sz w:val="14"/>
        </w:rPr>
        <w:t>fitness is</w:t>
      </w:r>
      <w:r>
        <w:rPr>
          <w:rFonts w:ascii="Trebuchet MS"/>
          <w:color w:val="231F20"/>
          <w:spacing w:val="1"/>
          <w:w w:val="105"/>
          <w:sz w:val="14"/>
        </w:rPr>
        <w:t xml:space="preserve"> </w:t>
      </w:r>
      <w:r>
        <w:rPr>
          <w:rFonts w:ascii="Trebuchet MS"/>
          <w:color w:val="231F20"/>
          <w:w w:val="105"/>
          <w:sz w:val="14"/>
        </w:rPr>
        <w:t>the aim</w:t>
      </w:r>
      <w:r>
        <w:rPr>
          <w:rFonts w:ascii="Trebuchet MS"/>
          <w:color w:val="231F20"/>
          <w:spacing w:val="1"/>
          <w:w w:val="105"/>
          <w:sz w:val="14"/>
        </w:rPr>
        <w:t xml:space="preserve"> </w:t>
      </w:r>
      <w:r>
        <w:rPr>
          <w:rFonts w:ascii="Trebuchet MS"/>
          <w:color w:val="231F20"/>
          <w:w w:val="105"/>
          <w:sz w:val="14"/>
        </w:rPr>
        <w:t>of</w:t>
      </w:r>
      <w:r>
        <w:rPr>
          <w:rFonts w:ascii="Trebuchet MS"/>
          <w:color w:val="231F20"/>
          <w:spacing w:val="1"/>
          <w:w w:val="105"/>
          <w:sz w:val="14"/>
        </w:rPr>
        <w:t xml:space="preserve"> </w:t>
      </w:r>
      <w:r>
        <w:rPr>
          <w:rFonts w:ascii="Trebuchet MS"/>
          <w:color w:val="231F20"/>
          <w:w w:val="105"/>
          <w:sz w:val="14"/>
        </w:rPr>
        <w:t>this demand</w:t>
      </w:r>
      <w:r>
        <w:rPr>
          <w:rFonts w:ascii="Trebuchet MS"/>
          <w:color w:val="231F20"/>
          <w:spacing w:val="1"/>
          <w:w w:val="105"/>
          <w:sz w:val="14"/>
        </w:rPr>
        <w:t xml:space="preserve"> </w:t>
      </w:r>
      <w:r>
        <w:rPr>
          <w:rFonts w:ascii="Trebuchet MS"/>
          <w:color w:val="231F20"/>
          <w:spacing w:val="-2"/>
          <w:w w:val="105"/>
          <w:sz w:val="14"/>
        </w:rPr>
        <w:t>group.</w:t>
      </w:r>
    </w:p>
    <w:p w14:paraId="43659EBC" w14:textId="0639C81D" w:rsidR="00AE0598" w:rsidRDefault="0069255A">
      <w:pPr>
        <w:spacing w:before="1" w:line="235" w:lineRule="auto"/>
        <w:ind w:left="1437" w:right="122"/>
        <w:rPr>
          <w:rFonts w:ascii="Trebuchet MS"/>
          <w:sz w:val="14"/>
        </w:rPr>
      </w:pPr>
      <w:r>
        <w:rPr>
          <w:noProof/>
        </w:rPr>
        <mc:AlternateContent>
          <mc:Choice Requires="wps">
            <w:drawing>
              <wp:anchor distT="0" distB="0" distL="114300" distR="114300" simplePos="0" relativeHeight="15746560" behindDoc="0" locked="0" layoutInCell="1" allowOverlap="1" wp14:anchorId="3B29F922" wp14:editId="6CBF695B">
                <wp:simplePos x="0" y="0"/>
                <wp:positionH relativeFrom="page">
                  <wp:posOffset>755650</wp:posOffset>
                </wp:positionH>
                <wp:positionV relativeFrom="paragraph">
                  <wp:posOffset>323850</wp:posOffset>
                </wp:positionV>
                <wp:extent cx="4104005" cy="1270"/>
                <wp:effectExtent l="0" t="0" r="0" b="0"/>
                <wp:wrapNone/>
                <wp:docPr id="306" name="docshape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104005" cy="1270"/>
                        </a:xfrm>
                        <a:custGeom>
                          <a:avLst/>
                          <a:gdLst>
                            <a:gd name="T0" fmla="+- 0 1190 1190"/>
                            <a:gd name="T1" fmla="*/ T0 w 6463"/>
                            <a:gd name="T2" fmla="+- 0 2517 1190"/>
                            <a:gd name="T3" fmla="*/ T2 w 6463"/>
                            <a:gd name="T4" fmla="+- 0 7653 1190"/>
                            <a:gd name="T5" fmla="*/ T4 w 6463"/>
                          </a:gdLst>
                          <a:ahLst/>
                          <a:cxnLst>
                            <a:cxn ang="0">
                              <a:pos x="T1" y="0"/>
                            </a:cxn>
                            <a:cxn ang="0">
                              <a:pos x="T3" y="0"/>
                            </a:cxn>
                            <a:cxn ang="0">
                              <a:pos x="T5" y="0"/>
                            </a:cxn>
                          </a:cxnLst>
                          <a:rect l="0" t="0" r="r" b="b"/>
                          <a:pathLst>
                            <a:path w="6463">
                              <a:moveTo>
                                <a:pt x="0" y="0"/>
                              </a:moveTo>
                              <a:lnTo>
                                <a:pt x="1327" y="0"/>
                              </a:lnTo>
                              <a:lnTo>
                                <a:pt x="6463" y="0"/>
                              </a:lnTo>
                            </a:path>
                          </a:pathLst>
                        </a:custGeom>
                        <a:noFill/>
                        <a:ln w="3175">
                          <a:solidFill>
                            <a:srgbClr val="231F2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AA52CC" id="docshape68" o:spid="_x0000_s1026" style="position:absolute;margin-left:59.5pt;margin-top:25.5pt;width:323.15pt;height:.1pt;z-index:157465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646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" path="m,l1327,,6463,e" filled="f" strokecolor="#231f20" strokeweight=".25pt">
                <v:path arrowok="t" o:connecttype="custom" o:connectlocs="0,0;842645,0;4104005,0" o:connectangles="0,0,0"/>
                <w10:wrap anchorx="page"/>
              </v:shape>
            </w:pict>
          </mc:Fallback>
        </mc:AlternateContent>
      </w:r>
      <w:r>
        <w:rPr>
          <w:rFonts w:ascii="Trebuchet MS"/>
          <w:color w:val="231F20"/>
          <w:w w:val="105"/>
          <w:sz w:val="14"/>
        </w:rPr>
        <w:t>Performance targets are individually fixed. The accessibility of holiday regions</w:t>
      </w:r>
      <w:r>
        <w:rPr>
          <w:rFonts w:ascii="Trebuchet MS"/>
          <w:color w:val="231F20"/>
          <w:spacing w:val="-1"/>
          <w:w w:val="105"/>
          <w:sz w:val="14"/>
        </w:rPr>
        <w:t xml:space="preserve"> </w:t>
      </w:r>
      <w:r>
        <w:rPr>
          <w:rFonts w:ascii="Trebuchet MS"/>
          <w:color w:val="231F20"/>
          <w:w w:val="105"/>
          <w:sz w:val="14"/>
        </w:rPr>
        <w:t>and</w:t>
      </w:r>
      <w:r>
        <w:rPr>
          <w:rFonts w:ascii="Trebuchet MS"/>
          <w:color w:val="231F20"/>
          <w:spacing w:val="-1"/>
          <w:w w:val="105"/>
          <w:sz w:val="14"/>
        </w:rPr>
        <w:t xml:space="preserve"> </w:t>
      </w:r>
      <w:r>
        <w:rPr>
          <w:rFonts w:ascii="Trebuchet MS"/>
          <w:color w:val="231F20"/>
          <w:w w:val="105"/>
          <w:sz w:val="14"/>
        </w:rPr>
        <w:t>the</w:t>
      </w:r>
      <w:r>
        <w:rPr>
          <w:rFonts w:ascii="Trebuchet MS"/>
          <w:color w:val="231F20"/>
          <w:spacing w:val="-1"/>
          <w:w w:val="105"/>
          <w:sz w:val="14"/>
        </w:rPr>
        <w:t xml:space="preserve"> </w:t>
      </w:r>
      <w:r>
        <w:rPr>
          <w:rFonts w:ascii="Trebuchet MS"/>
          <w:color w:val="231F20"/>
          <w:w w:val="105"/>
          <w:sz w:val="14"/>
        </w:rPr>
        <w:t>quality</w:t>
      </w:r>
      <w:r>
        <w:rPr>
          <w:rFonts w:ascii="Trebuchet MS"/>
          <w:color w:val="231F20"/>
          <w:spacing w:val="-1"/>
          <w:w w:val="105"/>
          <w:sz w:val="14"/>
        </w:rPr>
        <w:t xml:space="preserve"> </w:t>
      </w:r>
      <w:r>
        <w:rPr>
          <w:rFonts w:ascii="Trebuchet MS"/>
          <w:color w:val="231F20"/>
          <w:w w:val="105"/>
          <w:sz w:val="14"/>
        </w:rPr>
        <w:t>of</w:t>
      </w:r>
      <w:r>
        <w:rPr>
          <w:rFonts w:ascii="Trebuchet MS"/>
          <w:color w:val="231F20"/>
          <w:spacing w:val="-1"/>
          <w:w w:val="105"/>
          <w:sz w:val="14"/>
        </w:rPr>
        <w:t xml:space="preserve"> </w:t>
      </w:r>
      <w:r>
        <w:rPr>
          <w:rFonts w:ascii="Trebuchet MS"/>
          <w:color w:val="231F20"/>
          <w:w w:val="105"/>
          <w:sz w:val="14"/>
        </w:rPr>
        <w:t>sports</w:t>
      </w:r>
      <w:r>
        <w:rPr>
          <w:rFonts w:ascii="Trebuchet MS"/>
          <w:color w:val="231F20"/>
          <w:spacing w:val="-1"/>
          <w:w w:val="105"/>
          <w:sz w:val="14"/>
        </w:rPr>
        <w:t xml:space="preserve"> </w:t>
      </w:r>
      <w:r>
        <w:rPr>
          <w:rFonts w:ascii="Trebuchet MS"/>
          <w:color w:val="231F20"/>
          <w:w w:val="105"/>
          <w:sz w:val="14"/>
        </w:rPr>
        <w:t>facilities</w:t>
      </w:r>
      <w:r>
        <w:rPr>
          <w:rFonts w:ascii="Trebuchet MS"/>
          <w:color w:val="231F20"/>
          <w:spacing w:val="-1"/>
          <w:w w:val="105"/>
          <w:sz w:val="14"/>
        </w:rPr>
        <w:t xml:space="preserve"> </w:t>
      </w:r>
      <w:r>
        <w:rPr>
          <w:rFonts w:ascii="Trebuchet MS"/>
          <w:color w:val="231F20"/>
          <w:w w:val="105"/>
          <w:sz w:val="14"/>
        </w:rPr>
        <w:t>are</w:t>
      </w:r>
      <w:r>
        <w:rPr>
          <w:rFonts w:ascii="Trebuchet MS"/>
          <w:color w:val="231F20"/>
          <w:spacing w:val="-1"/>
          <w:w w:val="105"/>
          <w:sz w:val="14"/>
        </w:rPr>
        <w:t xml:space="preserve"> </w:t>
      </w:r>
      <w:r>
        <w:rPr>
          <w:rFonts w:ascii="Trebuchet MS"/>
          <w:color w:val="231F20"/>
          <w:w w:val="105"/>
          <w:sz w:val="14"/>
        </w:rPr>
        <w:t>the</w:t>
      </w:r>
      <w:r>
        <w:rPr>
          <w:rFonts w:ascii="Trebuchet MS"/>
          <w:color w:val="231F20"/>
          <w:spacing w:val="-1"/>
          <w:w w:val="105"/>
          <w:sz w:val="14"/>
        </w:rPr>
        <w:t xml:space="preserve"> </w:t>
      </w:r>
      <w:r>
        <w:rPr>
          <w:rFonts w:ascii="Trebuchet MS"/>
          <w:color w:val="231F20"/>
          <w:w w:val="105"/>
          <w:sz w:val="14"/>
        </w:rPr>
        <w:t>key</w:t>
      </w:r>
      <w:r>
        <w:rPr>
          <w:rFonts w:ascii="Trebuchet MS"/>
          <w:color w:val="231F20"/>
          <w:spacing w:val="-1"/>
          <w:w w:val="105"/>
          <w:sz w:val="14"/>
        </w:rPr>
        <w:t xml:space="preserve"> </w:t>
      </w:r>
      <w:r>
        <w:rPr>
          <w:rFonts w:ascii="Trebuchet MS"/>
          <w:color w:val="231F20"/>
          <w:w w:val="105"/>
          <w:sz w:val="14"/>
        </w:rPr>
        <w:t>considerations</w:t>
      </w:r>
      <w:r>
        <w:rPr>
          <w:rFonts w:ascii="Trebuchet MS"/>
          <w:color w:val="231F20"/>
          <w:spacing w:val="-1"/>
          <w:w w:val="105"/>
          <w:sz w:val="14"/>
        </w:rPr>
        <w:t xml:space="preserve"> </w:t>
      </w:r>
      <w:r>
        <w:rPr>
          <w:rFonts w:ascii="Trebuchet MS"/>
          <w:color w:val="231F20"/>
          <w:w w:val="105"/>
          <w:sz w:val="14"/>
        </w:rPr>
        <w:t>for</w:t>
      </w:r>
      <w:r>
        <w:rPr>
          <w:rFonts w:ascii="Trebuchet MS"/>
          <w:color w:val="231F20"/>
          <w:spacing w:val="-1"/>
          <w:w w:val="105"/>
          <w:sz w:val="14"/>
        </w:rPr>
        <w:t xml:space="preserve"> </w:t>
      </w:r>
      <w:r>
        <w:rPr>
          <w:rFonts w:ascii="Trebuchet MS"/>
          <w:color w:val="231F20"/>
          <w:w w:val="105"/>
          <w:sz w:val="14"/>
        </w:rPr>
        <w:t>this market</w:t>
      </w:r>
      <w:r>
        <w:rPr>
          <w:rFonts w:ascii="Trebuchet MS"/>
          <w:color w:val="231F20"/>
          <w:spacing w:val="-9"/>
          <w:w w:val="105"/>
          <w:sz w:val="14"/>
        </w:rPr>
        <w:t xml:space="preserve"> </w:t>
      </w:r>
      <w:r>
        <w:rPr>
          <w:rFonts w:ascii="Trebuchet MS"/>
          <w:color w:val="231F20"/>
          <w:w w:val="105"/>
          <w:sz w:val="14"/>
        </w:rPr>
        <w:t>segment.</w:t>
      </w:r>
    </w:p>
    <w:p w14:paraId="2C875D4D" w14:textId="77777777" w:rsidR="00AE0598" w:rsidRDefault="00AE0598">
      <w:pPr>
        <w:spacing w:line="235" w:lineRule="auto"/>
        <w:rPr>
          <w:rFonts w:ascii="Trebuchet MS"/>
          <w:sz w:val="14"/>
        </w:rPr>
        <w:sectPr w:rsidR="00AE0598">
          <w:type w:val="continuous"/>
          <w:pgSz w:w="8850" w:h="13270"/>
          <w:pgMar w:top="1080" w:right="1080" w:bottom="280" w:left="1080" w:header="720" w:footer="720" w:gutter="0"/>
          <w:cols w:space="720"/>
        </w:sectPr>
      </w:pPr>
    </w:p>
    <w:p w14:paraId="601325FE" w14:textId="77777777" w:rsidR="00AE0598" w:rsidRDefault="0069255A">
      <w:pPr>
        <w:spacing w:before="67" w:line="235" w:lineRule="auto"/>
        <w:ind w:left="110"/>
        <w:rPr>
          <w:rFonts w:ascii="Trebuchet MS"/>
          <w:sz w:val="14"/>
        </w:rPr>
      </w:pPr>
      <w:r>
        <w:rPr>
          <w:rFonts w:ascii="Trebuchet MS"/>
          <w:color w:val="231F20"/>
          <w:w w:val="105"/>
          <w:sz w:val="14"/>
        </w:rPr>
        <w:t>Occasional</w:t>
      </w:r>
      <w:r>
        <w:rPr>
          <w:rFonts w:ascii="Trebuchet MS"/>
          <w:color w:val="231F20"/>
          <w:spacing w:val="-12"/>
          <w:w w:val="105"/>
          <w:sz w:val="14"/>
        </w:rPr>
        <w:t xml:space="preserve"> </w:t>
      </w:r>
      <w:r>
        <w:rPr>
          <w:rFonts w:ascii="Trebuchet MS"/>
          <w:color w:val="231F20"/>
          <w:w w:val="105"/>
          <w:sz w:val="14"/>
        </w:rPr>
        <w:t xml:space="preserve">sports </w:t>
      </w:r>
      <w:r>
        <w:rPr>
          <w:rFonts w:ascii="Trebuchet MS"/>
          <w:color w:val="231F20"/>
          <w:spacing w:val="-2"/>
          <w:w w:val="105"/>
          <w:sz w:val="14"/>
        </w:rPr>
        <w:t>(wo)men</w:t>
      </w:r>
    </w:p>
    <w:p w14:paraId="59A56500" w14:textId="77777777" w:rsidR="00AE0598" w:rsidRDefault="00AE0598">
      <w:pPr>
        <w:pStyle w:val="Corpodetexto"/>
        <w:rPr>
          <w:rFonts w:ascii="Trebuchet MS"/>
          <w:sz w:val="16"/>
        </w:rPr>
      </w:pPr>
    </w:p>
    <w:p w14:paraId="3920A823" w14:textId="77777777" w:rsidR="00AE0598" w:rsidRDefault="00AE0598">
      <w:pPr>
        <w:pStyle w:val="Corpodetexto"/>
        <w:rPr>
          <w:rFonts w:ascii="Trebuchet MS"/>
          <w:sz w:val="16"/>
        </w:rPr>
      </w:pPr>
    </w:p>
    <w:p w14:paraId="34DF1936" w14:textId="77777777" w:rsidR="00AE0598" w:rsidRDefault="00AE0598">
      <w:pPr>
        <w:pStyle w:val="Corpodetexto"/>
        <w:spacing w:before="1"/>
        <w:rPr>
          <w:rFonts w:ascii="Trebuchet MS"/>
          <w:sz w:val="15"/>
        </w:rPr>
      </w:pPr>
    </w:p>
    <w:p w14:paraId="6DD705EE" w14:textId="0CC742DF" w:rsidR="00AE0598" w:rsidRDefault="0069255A">
      <w:pPr>
        <w:spacing w:line="235" w:lineRule="auto"/>
        <w:ind w:left="110"/>
        <w:rPr>
          <w:rFonts w:ascii="Trebuchet MS"/>
          <w:sz w:val="14"/>
        </w:rPr>
      </w:pPr>
      <w:r>
        <w:rPr>
          <w:noProof/>
        </w:rPr>
        <mc:AlternateContent>
          <mc:Choice Requires="wps">
            <w:drawing>
              <wp:anchor distT="0" distB="0" distL="114300" distR="114300" simplePos="0" relativeHeight="15747584" behindDoc="0" locked="0" layoutInCell="1" allowOverlap="1" wp14:anchorId="54474F83" wp14:editId="4E5E253C">
                <wp:simplePos x="0" y="0"/>
                <wp:positionH relativeFrom="page">
                  <wp:posOffset>755650</wp:posOffset>
                </wp:positionH>
                <wp:positionV relativeFrom="paragraph">
                  <wp:posOffset>-22860</wp:posOffset>
                </wp:positionV>
                <wp:extent cx="4104005" cy="1270"/>
                <wp:effectExtent l="0" t="0" r="0" b="0"/>
                <wp:wrapNone/>
                <wp:docPr id="305" name="docshape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104005" cy="1270"/>
                        </a:xfrm>
                        <a:custGeom>
                          <a:avLst/>
                          <a:gdLst>
                            <a:gd name="T0" fmla="+- 0 1190 1190"/>
                            <a:gd name="T1" fmla="*/ T0 w 6463"/>
                            <a:gd name="T2" fmla="+- 0 2517 1190"/>
                            <a:gd name="T3" fmla="*/ T2 w 6463"/>
                            <a:gd name="T4" fmla="+- 0 2517 1190"/>
                            <a:gd name="T5" fmla="*/ T4 w 6463"/>
                            <a:gd name="T6" fmla="+- 0 7653 1190"/>
                            <a:gd name="T7" fmla="*/ T6 w 6463"/>
                          </a:gdLst>
                          <a:ahLst/>
                          <a:cxnLst>
                            <a:cxn ang="0">
                              <a:pos x="T1" y="0"/>
                            </a:cxn>
                            <a:cxn ang="0">
                              <a:pos x="T3" y="0"/>
                            </a:cxn>
                            <a:cxn ang="0">
                              <a:pos x="T5" y="0"/>
                            </a:cxn>
                            <a:cxn ang="0">
                              <a:pos x="T7" y="0"/>
                            </a:cxn>
                          </a:cxnLst>
                          <a:rect l="0" t="0" r="r" b="b"/>
                          <a:pathLst>
                            <a:path w="6463">
                              <a:moveTo>
                                <a:pt x="0" y="0"/>
                              </a:moveTo>
                              <a:lnTo>
                                <a:pt x="1327" y="0"/>
                              </a:lnTo>
                              <a:moveTo>
                                <a:pt x="1327" y="0"/>
                              </a:moveTo>
                              <a:lnTo>
                                <a:pt x="6463" y="0"/>
                              </a:lnTo>
                            </a:path>
                          </a:pathLst>
                        </a:custGeom>
                        <a:noFill/>
                        <a:ln w="3175">
                          <a:solidFill>
                            <a:srgbClr val="231F2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1C9895" id="docshape69" o:spid="_x0000_s1026" style="position:absolute;margin-left:59.5pt;margin-top:-1.8pt;width:323.15pt;height:.1pt;z-index:157475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646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" path="m,l1327,t,l6463,e" filled="f" strokecolor="#231f20" strokeweight=".25pt">
                <v:path arrowok="t" o:connecttype="custom" o:connectlocs="0,0;842645,0;842645,0;4104005,0" o:connectangles="0,0,0,0"/>
                <w10:wrap anchorx="page"/>
              </v:shape>
            </w:pict>
          </mc:Fallback>
        </mc:AlternateContent>
      </w:r>
      <w:r>
        <w:rPr>
          <w:rFonts w:ascii="Trebuchet MS"/>
          <w:color w:val="231F20"/>
          <w:sz w:val="14"/>
        </w:rPr>
        <w:t>Passive</w:t>
      </w:r>
      <w:r>
        <w:rPr>
          <w:rFonts w:ascii="Trebuchet MS"/>
          <w:color w:val="231F20"/>
          <w:spacing w:val="-7"/>
          <w:sz w:val="14"/>
        </w:rPr>
        <w:t xml:space="preserve"> </w:t>
      </w:r>
      <w:r>
        <w:rPr>
          <w:rFonts w:ascii="Trebuchet MS"/>
          <w:color w:val="231F20"/>
          <w:sz w:val="14"/>
        </w:rPr>
        <w:t xml:space="preserve">sports </w:t>
      </w:r>
      <w:r>
        <w:rPr>
          <w:rFonts w:ascii="Trebuchet MS"/>
          <w:color w:val="231F20"/>
          <w:spacing w:val="-2"/>
          <w:sz w:val="14"/>
        </w:rPr>
        <w:t>tourists</w:t>
      </w:r>
    </w:p>
    <w:p w14:paraId="6D0B6914" w14:textId="77777777" w:rsidR="00AE0598" w:rsidRDefault="0069255A">
      <w:pPr>
        <w:spacing w:before="67" w:line="235" w:lineRule="auto"/>
        <w:ind w:left="110" w:right="345"/>
        <w:rPr>
          <w:rFonts w:ascii="Trebuchet MS"/>
          <w:sz w:val="14"/>
        </w:rPr>
      </w:pPr>
      <w:r>
        <w:br w:type="column"/>
      </w:r>
      <w:r>
        <w:rPr>
          <w:rFonts w:ascii="Trebuchet MS"/>
          <w:color w:val="231F20"/>
          <w:w w:val="105"/>
          <w:sz w:val="14"/>
        </w:rPr>
        <w:t>Compensation and prestige play greater roles than sporting ambition in the pursuit of occasional sports. This demand group gives preference to less demanding sports</w:t>
      </w:r>
      <w:r>
        <w:rPr>
          <w:rFonts w:ascii="Trebuchet MS"/>
          <w:color w:val="231F20"/>
          <w:w w:val="105"/>
          <w:sz w:val="14"/>
        </w:rPr>
        <w:t xml:space="preserve"> such as recreational skiing and bowling. Sporting activities receive no greater priority over cultural sightseeing and other interests within this market group.</w:t>
      </w:r>
    </w:p>
    <w:p w14:paraId="69CB1A93" w14:textId="77777777" w:rsidR="00AE0598" w:rsidRDefault="0069255A">
      <w:pPr>
        <w:spacing w:before="69" w:line="235" w:lineRule="auto"/>
        <w:ind w:left="110" w:right="235"/>
        <w:rPr>
          <w:rFonts w:ascii="Trebuchet MS"/>
          <w:sz w:val="14"/>
        </w:rPr>
      </w:pPr>
      <w:r>
        <w:rPr>
          <w:rFonts w:ascii="Trebuchet MS"/>
          <w:color w:val="231F20"/>
          <w:sz w:val="14"/>
        </w:rPr>
        <w:t>No</w:t>
      </w:r>
      <w:r>
        <w:rPr>
          <w:rFonts w:ascii="Trebuchet MS"/>
          <w:color w:val="231F20"/>
          <w:spacing w:val="30"/>
          <w:sz w:val="14"/>
        </w:rPr>
        <w:t xml:space="preserve"> </w:t>
      </w:r>
      <w:r>
        <w:rPr>
          <w:rFonts w:ascii="Trebuchet MS"/>
          <w:color w:val="231F20"/>
          <w:sz w:val="14"/>
        </w:rPr>
        <w:t>individual</w:t>
      </w:r>
      <w:r>
        <w:rPr>
          <w:rFonts w:ascii="Trebuchet MS"/>
          <w:color w:val="231F20"/>
          <w:spacing w:val="30"/>
          <w:sz w:val="14"/>
        </w:rPr>
        <w:t xml:space="preserve"> </w:t>
      </w:r>
      <w:r>
        <w:rPr>
          <w:rFonts w:ascii="Trebuchet MS"/>
          <w:color w:val="231F20"/>
          <w:sz w:val="14"/>
        </w:rPr>
        <w:t>sports</w:t>
      </w:r>
      <w:r>
        <w:rPr>
          <w:rFonts w:ascii="Trebuchet MS"/>
          <w:color w:val="231F20"/>
          <w:spacing w:val="30"/>
          <w:sz w:val="14"/>
        </w:rPr>
        <w:t xml:space="preserve"> </w:t>
      </w:r>
      <w:r>
        <w:rPr>
          <w:rFonts w:ascii="Trebuchet MS"/>
          <w:color w:val="231F20"/>
          <w:sz w:val="14"/>
        </w:rPr>
        <w:t>activities</w:t>
      </w:r>
      <w:r>
        <w:rPr>
          <w:rFonts w:ascii="Trebuchet MS"/>
          <w:color w:val="231F20"/>
          <w:spacing w:val="30"/>
          <w:sz w:val="14"/>
        </w:rPr>
        <w:t xml:space="preserve"> </w:t>
      </w:r>
      <w:r>
        <w:rPr>
          <w:rFonts w:ascii="Trebuchet MS"/>
          <w:color w:val="231F20"/>
          <w:sz w:val="14"/>
        </w:rPr>
        <w:t>are</w:t>
      </w:r>
      <w:r>
        <w:rPr>
          <w:rFonts w:ascii="Trebuchet MS"/>
          <w:color w:val="231F20"/>
          <w:spacing w:val="30"/>
          <w:sz w:val="14"/>
        </w:rPr>
        <w:t xml:space="preserve"> </w:t>
      </w:r>
      <w:r>
        <w:rPr>
          <w:rFonts w:ascii="Trebuchet MS"/>
          <w:color w:val="231F20"/>
          <w:sz w:val="14"/>
        </w:rPr>
        <w:t>pursued.</w:t>
      </w:r>
      <w:r>
        <w:rPr>
          <w:rFonts w:ascii="Trebuchet MS"/>
          <w:color w:val="231F20"/>
          <w:spacing w:val="30"/>
          <w:sz w:val="14"/>
        </w:rPr>
        <w:t xml:space="preserve"> </w:t>
      </w:r>
      <w:r>
        <w:rPr>
          <w:rFonts w:ascii="Trebuchet MS"/>
          <w:color w:val="231F20"/>
          <w:sz w:val="14"/>
        </w:rPr>
        <w:t>The</w:t>
      </w:r>
      <w:r>
        <w:rPr>
          <w:rFonts w:ascii="Trebuchet MS"/>
          <w:color w:val="231F20"/>
          <w:spacing w:val="30"/>
          <w:sz w:val="14"/>
        </w:rPr>
        <w:t xml:space="preserve"> </w:t>
      </w:r>
      <w:r>
        <w:rPr>
          <w:rFonts w:ascii="Trebuchet MS"/>
          <w:color w:val="231F20"/>
          <w:sz w:val="14"/>
        </w:rPr>
        <w:t>focus</w:t>
      </w:r>
      <w:r>
        <w:rPr>
          <w:rFonts w:ascii="Trebuchet MS"/>
          <w:color w:val="231F20"/>
          <w:spacing w:val="30"/>
          <w:sz w:val="14"/>
        </w:rPr>
        <w:t xml:space="preserve"> </w:t>
      </w:r>
      <w:r>
        <w:rPr>
          <w:rFonts w:ascii="Trebuchet MS"/>
          <w:color w:val="231F20"/>
          <w:sz w:val="14"/>
        </w:rPr>
        <w:t>of</w:t>
      </w:r>
      <w:r>
        <w:rPr>
          <w:rFonts w:ascii="Trebuchet MS"/>
          <w:color w:val="231F20"/>
          <w:spacing w:val="30"/>
          <w:sz w:val="14"/>
        </w:rPr>
        <w:t xml:space="preserve"> </w:t>
      </w:r>
      <w:r>
        <w:rPr>
          <w:rFonts w:ascii="Trebuchet MS"/>
          <w:color w:val="231F20"/>
          <w:sz w:val="14"/>
        </w:rPr>
        <w:t>this</w:t>
      </w:r>
      <w:r>
        <w:rPr>
          <w:rFonts w:ascii="Trebuchet MS"/>
          <w:color w:val="231F20"/>
          <w:spacing w:val="30"/>
          <w:sz w:val="14"/>
        </w:rPr>
        <w:t xml:space="preserve"> </w:t>
      </w:r>
      <w:r>
        <w:rPr>
          <w:rFonts w:ascii="Trebuchet MS"/>
          <w:color w:val="231F20"/>
          <w:sz w:val="14"/>
        </w:rPr>
        <w:t>group</w:t>
      </w:r>
      <w:r>
        <w:rPr>
          <w:rFonts w:ascii="Trebuchet MS"/>
          <w:color w:val="231F20"/>
          <w:spacing w:val="30"/>
          <w:sz w:val="14"/>
        </w:rPr>
        <w:t xml:space="preserve"> </w:t>
      </w:r>
      <w:r>
        <w:rPr>
          <w:rFonts w:ascii="Trebuchet MS"/>
          <w:color w:val="231F20"/>
          <w:sz w:val="14"/>
        </w:rPr>
        <w:t>lies with</w:t>
      </w:r>
      <w:r>
        <w:rPr>
          <w:rFonts w:ascii="Trebuchet MS"/>
          <w:color w:val="231F20"/>
          <w:spacing w:val="29"/>
          <w:sz w:val="14"/>
        </w:rPr>
        <w:t xml:space="preserve"> </w:t>
      </w:r>
      <w:r>
        <w:rPr>
          <w:rFonts w:ascii="Trebuchet MS"/>
          <w:color w:val="231F20"/>
          <w:sz w:val="14"/>
        </w:rPr>
        <w:t>mega</w:t>
      </w:r>
      <w:r>
        <w:rPr>
          <w:rFonts w:ascii="Trebuchet MS"/>
          <w:color w:val="231F20"/>
          <w:spacing w:val="29"/>
          <w:sz w:val="14"/>
        </w:rPr>
        <w:t xml:space="preserve"> </w:t>
      </w:r>
      <w:r>
        <w:rPr>
          <w:rFonts w:ascii="Trebuchet MS"/>
          <w:color w:val="231F20"/>
          <w:sz w:val="14"/>
        </w:rPr>
        <w:t>sports</w:t>
      </w:r>
      <w:r>
        <w:rPr>
          <w:rFonts w:ascii="Trebuchet MS"/>
          <w:color w:val="231F20"/>
          <w:spacing w:val="29"/>
          <w:sz w:val="14"/>
        </w:rPr>
        <w:t xml:space="preserve"> </w:t>
      </w:r>
      <w:r>
        <w:rPr>
          <w:rFonts w:ascii="Trebuchet MS"/>
          <w:color w:val="231F20"/>
          <w:sz w:val="14"/>
        </w:rPr>
        <w:t>events</w:t>
      </w:r>
      <w:r>
        <w:rPr>
          <w:rFonts w:ascii="Trebuchet MS"/>
          <w:color w:val="231F20"/>
          <w:spacing w:val="29"/>
          <w:sz w:val="14"/>
        </w:rPr>
        <w:t xml:space="preserve"> </w:t>
      </w:r>
      <w:r>
        <w:rPr>
          <w:rFonts w:ascii="Trebuchet MS"/>
          <w:color w:val="231F20"/>
          <w:sz w:val="14"/>
        </w:rPr>
        <w:t>and</w:t>
      </w:r>
      <w:r>
        <w:rPr>
          <w:rFonts w:ascii="Trebuchet MS"/>
          <w:color w:val="231F20"/>
          <w:spacing w:val="29"/>
          <w:sz w:val="14"/>
        </w:rPr>
        <w:t xml:space="preserve"> </w:t>
      </w:r>
      <w:r>
        <w:rPr>
          <w:rFonts w:ascii="Trebuchet MS"/>
          <w:color w:val="231F20"/>
          <w:sz w:val="14"/>
        </w:rPr>
        <w:t>distinguished</w:t>
      </w:r>
      <w:r>
        <w:rPr>
          <w:rFonts w:ascii="Trebuchet MS"/>
          <w:color w:val="231F20"/>
          <w:spacing w:val="29"/>
          <w:sz w:val="14"/>
        </w:rPr>
        <w:t xml:space="preserve"> </w:t>
      </w:r>
      <w:r>
        <w:rPr>
          <w:rFonts w:ascii="Trebuchet MS"/>
          <w:color w:val="231F20"/>
          <w:sz w:val="14"/>
        </w:rPr>
        <w:t>sports</w:t>
      </w:r>
      <w:r>
        <w:rPr>
          <w:rFonts w:ascii="Trebuchet MS"/>
          <w:color w:val="231F20"/>
          <w:spacing w:val="29"/>
          <w:sz w:val="14"/>
        </w:rPr>
        <w:t xml:space="preserve"> </w:t>
      </w:r>
      <w:r>
        <w:rPr>
          <w:rFonts w:ascii="Trebuchet MS"/>
          <w:color w:val="231F20"/>
          <w:sz w:val="14"/>
        </w:rPr>
        <w:t>sites.</w:t>
      </w:r>
      <w:r>
        <w:rPr>
          <w:rFonts w:ascii="Trebuchet MS"/>
          <w:color w:val="231F20"/>
          <w:spacing w:val="29"/>
          <w:sz w:val="14"/>
        </w:rPr>
        <w:t xml:space="preserve"> </w:t>
      </w:r>
      <w:r>
        <w:rPr>
          <w:rFonts w:ascii="Trebuchet MS"/>
          <w:color w:val="231F20"/>
          <w:sz w:val="14"/>
        </w:rPr>
        <w:t>Includes</w:t>
      </w:r>
      <w:r>
        <w:rPr>
          <w:rFonts w:ascii="Trebuchet MS"/>
          <w:color w:val="231F20"/>
          <w:spacing w:val="29"/>
          <w:sz w:val="14"/>
        </w:rPr>
        <w:t xml:space="preserve"> </w:t>
      </w:r>
      <w:r>
        <w:rPr>
          <w:rFonts w:ascii="Trebuchet MS"/>
          <w:color w:val="231F20"/>
          <w:sz w:val="14"/>
        </w:rPr>
        <w:t>coaches and</w:t>
      </w:r>
      <w:r>
        <w:rPr>
          <w:rFonts w:ascii="Trebuchet MS"/>
          <w:color w:val="231F20"/>
          <w:spacing w:val="24"/>
          <w:sz w:val="14"/>
        </w:rPr>
        <w:t xml:space="preserve"> </w:t>
      </w:r>
      <w:r>
        <w:rPr>
          <w:rFonts w:ascii="Trebuchet MS"/>
          <w:color w:val="231F20"/>
          <w:sz w:val="14"/>
        </w:rPr>
        <w:t>attendants</w:t>
      </w:r>
      <w:r>
        <w:rPr>
          <w:rFonts w:ascii="Trebuchet MS"/>
          <w:color w:val="231F20"/>
          <w:spacing w:val="24"/>
          <w:sz w:val="14"/>
        </w:rPr>
        <w:t xml:space="preserve"> </w:t>
      </w:r>
      <w:r>
        <w:rPr>
          <w:rFonts w:ascii="Trebuchet MS"/>
          <w:color w:val="231F20"/>
          <w:sz w:val="14"/>
        </w:rPr>
        <w:t>to</w:t>
      </w:r>
      <w:r>
        <w:rPr>
          <w:rFonts w:ascii="Trebuchet MS"/>
          <w:color w:val="231F20"/>
          <w:spacing w:val="24"/>
          <w:sz w:val="14"/>
        </w:rPr>
        <w:t xml:space="preserve"> </w:t>
      </w:r>
      <w:r>
        <w:rPr>
          <w:rFonts w:ascii="Trebuchet MS"/>
          <w:color w:val="231F20"/>
          <w:sz w:val="14"/>
        </w:rPr>
        <w:t>high</w:t>
      </w:r>
      <w:r>
        <w:rPr>
          <w:rFonts w:ascii="Trebuchet MS"/>
          <w:color w:val="231F20"/>
          <w:spacing w:val="24"/>
          <w:sz w:val="14"/>
        </w:rPr>
        <w:t xml:space="preserve"> </w:t>
      </w:r>
      <w:r>
        <w:rPr>
          <w:rFonts w:ascii="Trebuchet MS"/>
          <w:color w:val="231F20"/>
          <w:sz w:val="14"/>
        </w:rPr>
        <w:t>performance</w:t>
      </w:r>
      <w:r>
        <w:rPr>
          <w:rFonts w:ascii="Trebuchet MS"/>
          <w:color w:val="231F20"/>
          <w:spacing w:val="24"/>
          <w:sz w:val="14"/>
        </w:rPr>
        <w:t xml:space="preserve"> </w:t>
      </w:r>
      <w:r>
        <w:rPr>
          <w:rFonts w:ascii="Trebuchet MS"/>
          <w:color w:val="231F20"/>
          <w:sz w:val="14"/>
        </w:rPr>
        <w:t>athletes,</w:t>
      </w:r>
      <w:r>
        <w:rPr>
          <w:rFonts w:ascii="Trebuchet MS"/>
          <w:color w:val="231F20"/>
          <w:spacing w:val="24"/>
          <w:sz w:val="14"/>
        </w:rPr>
        <w:t xml:space="preserve"> </w:t>
      </w:r>
      <w:r>
        <w:rPr>
          <w:rFonts w:ascii="Trebuchet MS"/>
          <w:color w:val="231F20"/>
          <w:sz w:val="14"/>
        </w:rPr>
        <w:t>as</w:t>
      </w:r>
      <w:r>
        <w:rPr>
          <w:rFonts w:ascii="Trebuchet MS"/>
          <w:color w:val="231F20"/>
          <w:spacing w:val="24"/>
          <w:sz w:val="14"/>
        </w:rPr>
        <w:t xml:space="preserve"> </w:t>
      </w:r>
      <w:r>
        <w:rPr>
          <w:rFonts w:ascii="Trebuchet MS"/>
          <w:color w:val="231F20"/>
          <w:sz w:val="14"/>
        </w:rPr>
        <w:t>well</w:t>
      </w:r>
      <w:r>
        <w:rPr>
          <w:rFonts w:ascii="Trebuchet MS"/>
          <w:color w:val="231F20"/>
          <w:spacing w:val="24"/>
          <w:sz w:val="14"/>
        </w:rPr>
        <w:t xml:space="preserve"> </w:t>
      </w:r>
      <w:r>
        <w:rPr>
          <w:rFonts w:ascii="Trebuchet MS"/>
          <w:color w:val="231F20"/>
          <w:sz w:val="14"/>
        </w:rPr>
        <w:t>as</w:t>
      </w:r>
      <w:r>
        <w:rPr>
          <w:rFonts w:ascii="Trebuchet MS"/>
          <w:color w:val="231F20"/>
          <w:spacing w:val="24"/>
          <w:sz w:val="14"/>
        </w:rPr>
        <w:t xml:space="preserve"> </w:t>
      </w:r>
      <w:r>
        <w:rPr>
          <w:rFonts w:ascii="Trebuchet MS"/>
          <w:color w:val="231F20"/>
          <w:sz w:val="14"/>
        </w:rPr>
        <w:t>media</w:t>
      </w:r>
      <w:r>
        <w:rPr>
          <w:rFonts w:ascii="Trebuchet MS"/>
          <w:color w:val="231F20"/>
          <w:spacing w:val="24"/>
          <w:sz w:val="14"/>
        </w:rPr>
        <w:t xml:space="preserve"> </w:t>
      </w:r>
      <w:r>
        <w:rPr>
          <w:rFonts w:ascii="Trebuchet MS"/>
          <w:color w:val="231F20"/>
          <w:sz w:val="14"/>
        </w:rPr>
        <w:t>reporters. Requires</w:t>
      </w:r>
      <w:r>
        <w:rPr>
          <w:rFonts w:ascii="Trebuchet MS"/>
          <w:color w:val="231F20"/>
          <w:spacing w:val="29"/>
          <w:sz w:val="14"/>
        </w:rPr>
        <w:t xml:space="preserve"> </w:t>
      </w:r>
      <w:r>
        <w:rPr>
          <w:rFonts w:ascii="Trebuchet MS"/>
          <w:color w:val="231F20"/>
          <w:sz w:val="14"/>
        </w:rPr>
        <w:t>high</w:t>
      </w:r>
      <w:r>
        <w:rPr>
          <w:rFonts w:ascii="Trebuchet MS"/>
          <w:color w:val="231F20"/>
          <w:spacing w:val="29"/>
          <w:sz w:val="14"/>
        </w:rPr>
        <w:t xml:space="preserve"> </w:t>
      </w:r>
      <w:r>
        <w:rPr>
          <w:rFonts w:ascii="Trebuchet MS"/>
          <w:color w:val="231F20"/>
          <w:sz w:val="14"/>
        </w:rPr>
        <w:t>volume</w:t>
      </w:r>
      <w:r>
        <w:rPr>
          <w:rFonts w:ascii="Trebuchet MS"/>
          <w:color w:val="231F20"/>
          <w:spacing w:val="29"/>
          <w:sz w:val="14"/>
        </w:rPr>
        <w:t xml:space="preserve"> </w:t>
      </w:r>
      <w:r>
        <w:rPr>
          <w:rFonts w:ascii="Trebuchet MS"/>
          <w:color w:val="231F20"/>
          <w:sz w:val="14"/>
        </w:rPr>
        <w:t>infrastructures</w:t>
      </w:r>
      <w:r>
        <w:rPr>
          <w:rFonts w:ascii="Trebuchet MS"/>
          <w:color w:val="231F20"/>
          <w:spacing w:val="29"/>
          <w:sz w:val="14"/>
        </w:rPr>
        <w:t xml:space="preserve"> </w:t>
      </w:r>
      <w:r>
        <w:rPr>
          <w:rFonts w:ascii="Trebuchet MS"/>
          <w:color w:val="231F20"/>
          <w:sz w:val="14"/>
        </w:rPr>
        <w:t>to</w:t>
      </w:r>
      <w:r>
        <w:rPr>
          <w:rFonts w:ascii="Trebuchet MS"/>
          <w:color w:val="231F20"/>
          <w:spacing w:val="29"/>
          <w:sz w:val="14"/>
        </w:rPr>
        <w:t xml:space="preserve"> </w:t>
      </w:r>
      <w:r>
        <w:rPr>
          <w:rFonts w:ascii="Trebuchet MS"/>
          <w:color w:val="231F20"/>
          <w:sz w:val="14"/>
        </w:rPr>
        <w:t>accommodate</w:t>
      </w:r>
      <w:r>
        <w:rPr>
          <w:rFonts w:ascii="Trebuchet MS"/>
          <w:color w:val="231F20"/>
          <w:spacing w:val="29"/>
          <w:sz w:val="14"/>
        </w:rPr>
        <w:t xml:space="preserve"> </w:t>
      </w:r>
      <w:r>
        <w:rPr>
          <w:rFonts w:ascii="Trebuchet MS"/>
          <w:color w:val="231F20"/>
          <w:sz w:val="14"/>
        </w:rPr>
        <w:t>the</w:t>
      </w:r>
      <w:r>
        <w:rPr>
          <w:rFonts w:ascii="Trebuchet MS"/>
          <w:color w:val="231F20"/>
          <w:spacing w:val="29"/>
          <w:sz w:val="14"/>
        </w:rPr>
        <w:t xml:space="preserve"> </w:t>
      </w:r>
      <w:r>
        <w:rPr>
          <w:rFonts w:ascii="Trebuchet MS"/>
          <w:color w:val="231F20"/>
          <w:sz w:val="14"/>
        </w:rPr>
        <w:t>needs</w:t>
      </w:r>
      <w:r>
        <w:rPr>
          <w:rFonts w:ascii="Trebuchet MS"/>
          <w:color w:val="231F20"/>
          <w:spacing w:val="29"/>
          <w:sz w:val="14"/>
        </w:rPr>
        <w:t xml:space="preserve"> </w:t>
      </w:r>
      <w:r>
        <w:rPr>
          <w:rFonts w:ascii="Trebuchet MS"/>
          <w:color w:val="231F20"/>
          <w:sz w:val="14"/>
        </w:rPr>
        <w:t>of</w:t>
      </w:r>
      <w:r>
        <w:rPr>
          <w:rFonts w:ascii="Trebuchet MS"/>
          <w:color w:val="231F20"/>
          <w:spacing w:val="29"/>
          <w:sz w:val="14"/>
        </w:rPr>
        <w:t xml:space="preserve"> </w:t>
      </w:r>
      <w:r>
        <w:rPr>
          <w:rFonts w:ascii="Trebuchet MS"/>
          <w:color w:val="231F20"/>
          <w:sz w:val="14"/>
        </w:rPr>
        <w:t>large numbers of event sport attendees.</w:t>
      </w:r>
    </w:p>
    <w:p w14:paraId="2FC7726A" w14:textId="77777777" w:rsidR="00AE0598" w:rsidRDefault="00AE0598">
      <w:pPr>
        <w:spacing w:line="235" w:lineRule="auto"/>
        <w:rPr>
          <w:rFonts w:ascii="Trebuchet MS"/>
          <w:sz w:val="14"/>
        </w:rPr>
        <w:sectPr w:rsidR="00AE0598">
          <w:type w:val="continuous"/>
          <w:pgSz w:w="8850" w:h="13270"/>
          <w:pgMar w:top="1080" w:right="1080" w:bottom="280" w:left="1080" w:header="720" w:footer="720" w:gutter="0"/>
          <w:cols w:num="2" w:space="720" w:equalWidth="0">
            <w:col w:w="1274" w:space="53"/>
            <w:col w:w="5363"/>
          </w:cols>
        </w:sectPr>
      </w:pPr>
    </w:p>
    <w:p w14:paraId="117D0D66" w14:textId="77777777" w:rsidR="00AE0598" w:rsidRDefault="00AE0598">
      <w:pPr>
        <w:pStyle w:val="Corpodetexto"/>
        <w:spacing w:before="6"/>
        <w:rPr>
          <w:rFonts w:ascii="Trebuchet MS"/>
          <w:sz w:val="2"/>
        </w:rPr>
      </w:pPr>
    </w:p>
    <w:p w14:paraId="0577C113" w14:textId="3F951C59" w:rsidR="00AE0598" w:rsidRDefault="0069255A">
      <w:pPr>
        <w:pStyle w:val="Corpodetexto"/>
        <w:spacing w:line="20" w:lineRule="exact"/>
        <w:ind w:left="107"/>
        <w:rPr>
          <w:rFonts w:ascii="Trebuchet MS"/>
          <w:sz w:val="2"/>
        </w:rPr>
      </w:pPr>
      <w:r>
        <w:rPr>
          <w:rFonts w:ascii="Trebuchet MS"/>
          <w:noProof/>
          <w:sz w:val="2"/>
        </w:rPr>
        <mc:AlternateContent>
          <mc:Choice Requires="wpg">
            <w:drawing>
              <wp:inline distT="0" distB="0" distL="0" distR="0" wp14:anchorId="4EC23D57" wp14:editId="5241C0FA">
                <wp:extent cx="4104005" cy="3175"/>
                <wp:effectExtent l="10795" t="8890" r="9525" b="6985"/>
                <wp:docPr id="303" name="docshapegroup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04005" cy="3175"/>
                          <a:chOff x="0" y="0"/>
                          <a:chExt cx="6463" cy="5"/>
                        </a:xfrm>
                      </wpg:grpSpPr>
                      <wps:wsp>
                        <wps:cNvPr id="304" name="docshape71"/>
                        <wps:cNvSpPr>
                          <a:spLocks/>
                        </wps:cNvSpPr>
                        <wps:spPr bwMode="auto">
                          <a:xfrm>
                            <a:off x="0" y="2"/>
                            <a:ext cx="6463" cy="2"/>
                          </a:xfrm>
                          <a:custGeom>
                            <a:avLst/>
                            <a:gdLst>
                              <a:gd name="T0" fmla="*/ 0 w 6463"/>
                              <a:gd name="T1" fmla="*/ 1327 w 6463"/>
                              <a:gd name="T2" fmla="*/ 1327 w 6463"/>
                              <a:gd name="T3" fmla="*/ 6463 w 6463"/>
                            </a:gdLst>
                            <a:ahLst/>
                            <a:cxnLst>
                              <a:cxn ang="0">
                                <a:pos x="T0" y="0"/>
                              </a:cxn>
                              <a:cxn ang="0">
                                <a:pos x="T1" y="0"/>
                              </a:cxn>
                              <a:cxn ang="0">
                                <a:pos x="T2" y="0"/>
                              </a:cxn>
                              <a:cxn ang="0">
                                <a:pos x="T3" y="0"/>
                              </a:cxn>
                            </a:cxnLst>
                            <a:rect l="0" t="0" r="r" b="b"/>
                            <a:pathLst>
                              <a:path w="6463">
                                <a:moveTo>
                                  <a:pt x="0" y="0"/>
                                </a:moveTo>
                                <a:lnTo>
                                  <a:pt x="1327" y="0"/>
                                </a:lnTo>
                                <a:moveTo>
                                  <a:pt x="1327" y="0"/>
                                </a:moveTo>
                                <a:lnTo>
                                  <a:pt x="6463" y="0"/>
                                </a:lnTo>
                              </a:path>
                            </a:pathLst>
                          </a:custGeom>
                          <a:noFill/>
                          <a:ln w="3175">
                            <a:solidFill>
                              <a:srgbClr val="231F2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2CE591B8" id="docshapegroup70" o:spid="_x0000_s1026" style="width:323.15pt;height:.25pt;mso-position-horizontal-relative:char;mso-position-vertical-relative:line" coordsize="64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">
                <v:shape id="docshape71" o:spid="_x0000_s1027" style="position:absolute;top:2;width:6463;height:2;visibility:visible;mso-wrap-style:square;v-text-anchor:top" coordsize="64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" path="m,l1327,t,l6463,e" filled="f" strokecolor="#231f20" strokeweight=".25pt">
                  <v:path arrowok="t" o:connecttype="custom" o:connectlocs="0,0;1327,0;1327,0;6463,0" o:connectangles="0,0,0,0"/>
                </v:shape>
                <w10:anchorlock/>
              </v:group>
            </w:pict>
          </mc:Fallback>
        </mc:AlternateContent>
      </w:r>
    </w:p>
    <w:p w14:paraId="5E36A029" w14:textId="77777777" w:rsidR="00AE0598" w:rsidRDefault="0069255A">
      <w:pPr>
        <w:spacing w:before="56"/>
        <w:ind w:left="110"/>
        <w:rPr>
          <w:rFonts w:ascii="Trebuchet MS"/>
          <w:sz w:val="14"/>
        </w:rPr>
      </w:pPr>
      <w:r>
        <w:rPr>
          <w:rFonts w:ascii="Trebuchet MS"/>
          <w:color w:val="231F20"/>
          <w:w w:val="105"/>
          <w:sz w:val="14"/>
        </w:rPr>
        <w:t>Source:</w:t>
      </w:r>
      <w:r>
        <w:rPr>
          <w:rFonts w:ascii="Trebuchet MS"/>
          <w:color w:val="231F20"/>
          <w:spacing w:val="-4"/>
          <w:w w:val="105"/>
          <w:sz w:val="14"/>
        </w:rPr>
        <w:t xml:space="preserve"> </w:t>
      </w:r>
      <w:r>
        <w:rPr>
          <w:rFonts w:ascii="Trebuchet MS"/>
          <w:color w:val="231F20"/>
          <w:w w:val="105"/>
          <w:sz w:val="14"/>
        </w:rPr>
        <w:t>Maier</w:t>
      </w:r>
      <w:r>
        <w:rPr>
          <w:rFonts w:ascii="Trebuchet MS"/>
          <w:color w:val="231F20"/>
          <w:spacing w:val="-4"/>
          <w:w w:val="105"/>
          <w:sz w:val="14"/>
        </w:rPr>
        <w:t xml:space="preserve"> </w:t>
      </w:r>
      <w:r>
        <w:rPr>
          <w:rFonts w:ascii="Trebuchet MS"/>
          <w:color w:val="231F20"/>
          <w:w w:val="105"/>
          <w:sz w:val="14"/>
        </w:rPr>
        <w:t>and</w:t>
      </w:r>
      <w:r>
        <w:rPr>
          <w:rFonts w:ascii="Trebuchet MS"/>
          <w:color w:val="231F20"/>
          <w:spacing w:val="-3"/>
          <w:w w:val="105"/>
          <w:sz w:val="14"/>
        </w:rPr>
        <w:t xml:space="preserve"> </w:t>
      </w:r>
      <w:r>
        <w:rPr>
          <w:rFonts w:ascii="Trebuchet MS"/>
          <w:color w:val="231F20"/>
          <w:w w:val="105"/>
          <w:sz w:val="14"/>
        </w:rPr>
        <w:t>Weber</w:t>
      </w:r>
      <w:r>
        <w:rPr>
          <w:rFonts w:ascii="Trebuchet MS"/>
          <w:color w:val="231F20"/>
          <w:spacing w:val="-4"/>
          <w:w w:val="105"/>
          <w:sz w:val="14"/>
        </w:rPr>
        <w:t xml:space="preserve"> </w:t>
      </w:r>
      <w:r>
        <w:rPr>
          <w:rFonts w:ascii="Trebuchet MS"/>
          <w:color w:val="231F20"/>
          <w:w w:val="105"/>
          <w:sz w:val="14"/>
        </w:rPr>
        <w:t>(1993:</w:t>
      </w:r>
      <w:r>
        <w:rPr>
          <w:rFonts w:ascii="Trebuchet MS"/>
          <w:color w:val="231F20"/>
          <w:spacing w:val="-4"/>
          <w:w w:val="105"/>
          <w:sz w:val="14"/>
        </w:rPr>
        <w:t xml:space="preserve"> 38).</w:t>
      </w:r>
    </w:p>
    <w:p w14:paraId="70AB2FD1" w14:textId="77777777" w:rsidR="00AE0598" w:rsidRDefault="00AE0598">
      <w:pPr>
        <w:pStyle w:val="Corpodetexto"/>
        <w:spacing w:before="5"/>
        <w:rPr>
          <w:rFonts w:ascii="Trebuchet MS"/>
          <w:sz w:val="19"/>
        </w:rPr>
      </w:pPr>
    </w:p>
    <w:p w14:paraId="7256467B" w14:textId="77777777" w:rsidR="00AE0598" w:rsidRDefault="0069255A">
      <w:pPr>
        <w:pStyle w:val="Corpodetexto"/>
        <w:spacing w:before="103" w:line="232" w:lineRule="auto"/>
        <w:ind w:left="110" w:right="107"/>
        <w:jc w:val="both"/>
      </w:pPr>
      <w:r>
        <w:rPr>
          <w:color w:val="231F20"/>
        </w:rPr>
        <w:t xml:space="preserve">activities that are pursued at a destination (Table 3.1). They then used </w:t>
      </w:r>
      <w:r>
        <w:rPr>
          <w:color w:val="231F20"/>
          <w:w w:val="95"/>
        </w:rPr>
        <w:t>these</w:t>
      </w:r>
      <w:r>
        <w:rPr>
          <w:color w:val="231F20"/>
          <w:spacing w:val="-2"/>
          <w:w w:val="95"/>
        </w:rPr>
        <w:t xml:space="preserve"> </w:t>
      </w:r>
      <w:r>
        <w:rPr>
          <w:color w:val="231F20"/>
          <w:w w:val="95"/>
        </w:rPr>
        <w:t>demand</w:t>
      </w:r>
      <w:r>
        <w:rPr>
          <w:color w:val="231F20"/>
          <w:spacing w:val="-2"/>
          <w:w w:val="95"/>
        </w:rPr>
        <w:t xml:space="preserve"> </w:t>
      </w:r>
      <w:r>
        <w:rPr>
          <w:color w:val="231F20"/>
          <w:w w:val="95"/>
        </w:rPr>
        <w:t>groups</w:t>
      </w:r>
      <w:r>
        <w:rPr>
          <w:color w:val="231F20"/>
          <w:spacing w:val="-2"/>
          <w:w w:val="95"/>
        </w:rPr>
        <w:t xml:space="preserve"> </w:t>
      </w:r>
      <w:r>
        <w:rPr>
          <w:color w:val="231F20"/>
          <w:w w:val="95"/>
        </w:rPr>
        <w:t>to</w:t>
      </w:r>
      <w:r>
        <w:rPr>
          <w:color w:val="231F20"/>
          <w:spacing w:val="-2"/>
          <w:w w:val="95"/>
        </w:rPr>
        <w:t xml:space="preserve"> </w:t>
      </w:r>
      <w:r>
        <w:rPr>
          <w:color w:val="231F20"/>
          <w:w w:val="95"/>
        </w:rPr>
        <w:t>usefully</w:t>
      </w:r>
      <w:r>
        <w:rPr>
          <w:color w:val="231F20"/>
          <w:spacing w:val="-2"/>
          <w:w w:val="95"/>
        </w:rPr>
        <w:t xml:space="preserve"> </w:t>
      </w:r>
      <w:r>
        <w:rPr>
          <w:color w:val="231F20"/>
          <w:w w:val="95"/>
        </w:rPr>
        <w:t>describe</w:t>
      </w:r>
      <w:r>
        <w:rPr>
          <w:color w:val="231F20"/>
          <w:spacing w:val="-2"/>
          <w:w w:val="95"/>
        </w:rPr>
        <w:t xml:space="preserve"> </w:t>
      </w:r>
      <w:r>
        <w:rPr>
          <w:color w:val="231F20"/>
          <w:w w:val="95"/>
        </w:rPr>
        <w:t>the</w:t>
      </w:r>
      <w:r>
        <w:rPr>
          <w:color w:val="231F20"/>
          <w:spacing w:val="-2"/>
          <w:w w:val="95"/>
        </w:rPr>
        <w:t xml:space="preserve"> </w:t>
      </w:r>
      <w:r>
        <w:rPr>
          <w:color w:val="231F20"/>
          <w:w w:val="95"/>
        </w:rPr>
        <w:t>unique</w:t>
      </w:r>
      <w:r>
        <w:rPr>
          <w:color w:val="231F20"/>
          <w:spacing w:val="-2"/>
          <w:w w:val="95"/>
        </w:rPr>
        <w:t xml:space="preserve"> </w:t>
      </w:r>
      <w:r>
        <w:rPr>
          <w:color w:val="231F20"/>
          <w:w w:val="95"/>
        </w:rPr>
        <w:t>resource</w:t>
      </w:r>
      <w:r>
        <w:rPr>
          <w:color w:val="231F20"/>
          <w:spacing w:val="-2"/>
          <w:w w:val="95"/>
        </w:rPr>
        <w:t xml:space="preserve"> </w:t>
      </w:r>
      <w:r>
        <w:rPr>
          <w:color w:val="231F20"/>
          <w:w w:val="95"/>
        </w:rPr>
        <w:t xml:space="preserve">development </w:t>
      </w:r>
      <w:r>
        <w:rPr>
          <w:color w:val="231F20"/>
        </w:rPr>
        <w:t>requirements for each. For example, t</w:t>
      </w:r>
      <w:r>
        <w:rPr>
          <w:color w:val="231F20"/>
        </w:rPr>
        <w:t xml:space="preserve">he resource requirements that top performance athletes seek at a tourism destination relate specifically to </w:t>
      </w:r>
      <w:r>
        <w:rPr>
          <w:color w:val="231F20"/>
          <w:w w:val="95"/>
        </w:rPr>
        <w:t xml:space="preserve">the enhancement of performance in sport (e.g. training, sports science and </w:t>
      </w:r>
      <w:r>
        <w:rPr>
          <w:color w:val="231F20"/>
        </w:rPr>
        <w:t>sports medicine facilities).</w:t>
      </w:r>
    </w:p>
    <w:p w14:paraId="72DAC9B4" w14:textId="77777777" w:rsidR="00AE0598" w:rsidRDefault="0069255A">
      <w:pPr>
        <w:pStyle w:val="Corpodetexto"/>
        <w:spacing w:before="7" w:line="232" w:lineRule="auto"/>
        <w:ind w:left="110" w:right="106" w:firstLine="320"/>
        <w:jc w:val="both"/>
      </w:pPr>
      <w:r>
        <w:rPr>
          <w:color w:val="231F20"/>
        </w:rPr>
        <w:t>Much less is known about the importance of l</w:t>
      </w:r>
      <w:r>
        <w:rPr>
          <w:color w:val="231F20"/>
        </w:rPr>
        <w:t>eisure and unique tourism</w:t>
      </w:r>
      <w:r>
        <w:rPr>
          <w:color w:val="231F20"/>
          <w:spacing w:val="-4"/>
        </w:rPr>
        <w:t xml:space="preserve"> </w:t>
      </w:r>
      <w:r>
        <w:rPr>
          <w:color w:val="231F20"/>
        </w:rPr>
        <w:t>experiences</w:t>
      </w:r>
      <w:r>
        <w:rPr>
          <w:color w:val="231F20"/>
          <w:spacing w:val="-4"/>
        </w:rPr>
        <w:t xml:space="preserve"> </w:t>
      </w:r>
      <w:r>
        <w:rPr>
          <w:color w:val="231F20"/>
        </w:rPr>
        <w:t>at</w:t>
      </w:r>
      <w:r>
        <w:rPr>
          <w:color w:val="231F20"/>
          <w:spacing w:val="-3"/>
        </w:rPr>
        <w:t xml:space="preserve"> </w:t>
      </w:r>
      <w:r>
        <w:rPr>
          <w:color w:val="231F20"/>
        </w:rPr>
        <w:t>places</w:t>
      </w:r>
      <w:r>
        <w:rPr>
          <w:color w:val="231F20"/>
          <w:spacing w:val="-3"/>
        </w:rPr>
        <w:t xml:space="preserve"> </w:t>
      </w:r>
      <w:r>
        <w:rPr>
          <w:color w:val="231F20"/>
        </w:rPr>
        <w:t>of</w:t>
      </w:r>
      <w:r>
        <w:rPr>
          <w:color w:val="231F20"/>
          <w:spacing w:val="-3"/>
        </w:rPr>
        <w:t xml:space="preserve"> </w:t>
      </w:r>
      <w:r>
        <w:rPr>
          <w:color w:val="231F20"/>
        </w:rPr>
        <w:t>training</w:t>
      </w:r>
      <w:r>
        <w:rPr>
          <w:color w:val="231F20"/>
          <w:spacing w:val="-3"/>
        </w:rPr>
        <w:t xml:space="preserve"> </w:t>
      </w:r>
      <w:r>
        <w:rPr>
          <w:color w:val="231F20"/>
        </w:rPr>
        <w:t>or</w:t>
      </w:r>
      <w:r>
        <w:rPr>
          <w:color w:val="231F20"/>
          <w:spacing w:val="-3"/>
        </w:rPr>
        <w:t xml:space="preserve"> </w:t>
      </w:r>
      <w:r>
        <w:rPr>
          <w:color w:val="231F20"/>
        </w:rPr>
        <w:t>competition</w:t>
      </w:r>
      <w:r>
        <w:rPr>
          <w:color w:val="231F20"/>
          <w:spacing w:val="-4"/>
        </w:rPr>
        <w:t xml:space="preserve"> </w:t>
      </w:r>
      <w:r>
        <w:rPr>
          <w:color w:val="231F20"/>
        </w:rPr>
        <w:t>in</w:t>
      </w:r>
      <w:r>
        <w:rPr>
          <w:color w:val="231F20"/>
          <w:spacing w:val="-3"/>
        </w:rPr>
        <w:t xml:space="preserve"> </w:t>
      </w:r>
      <w:r>
        <w:rPr>
          <w:color w:val="231F20"/>
        </w:rPr>
        <w:t>terms</w:t>
      </w:r>
      <w:r>
        <w:rPr>
          <w:color w:val="231F20"/>
          <w:spacing w:val="-4"/>
        </w:rPr>
        <w:t xml:space="preserve"> </w:t>
      </w:r>
      <w:r>
        <w:rPr>
          <w:color w:val="231F20"/>
        </w:rPr>
        <w:t>of</w:t>
      </w:r>
      <w:r>
        <w:rPr>
          <w:color w:val="231F20"/>
          <w:spacing w:val="-3"/>
        </w:rPr>
        <w:t xml:space="preserve"> </w:t>
      </w:r>
      <w:r>
        <w:rPr>
          <w:color w:val="231F20"/>
        </w:rPr>
        <w:t xml:space="preserve">how </w:t>
      </w:r>
      <w:r>
        <w:rPr>
          <w:color w:val="231F20"/>
          <w:w w:val="95"/>
        </w:rPr>
        <w:t>they</w:t>
      </w:r>
      <w:r>
        <w:rPr>
          <w:color w:val="231F20"/>
        </w:rPr>
        <w:t xml:space="preserve"> </w:t>
      </w:r>
      <w:r>
        <w:rPr>
          <w:color w:val="231F20"/>
          <w:w w:val="95"/>
        </w:rPr>
        <w:t>may</w:t>
      </w:r>
      <w:r>
        <w:rPr>
          <w:color w:val="231F20"/>
        </w:rPr>
        <w:t xml:space="preserve"> </w:t>
      </w:r>
      <w:r>
        <w:rPr>
          <w:color w:val="231F20"/>
          <w:w w:val="95"/>
        </w:rPr>
        <w:t>serve</w:t>
      </w:r>
      <w:r>
        <w:rPr>
          <w:color w:val="231F20"/>
        </w:rPr>
        <w:t xml:space="preserve"> </w:t>
      </w:r>
      <w:r>
        <w:rPr>
          <w:color w:val="231F20"/>
          <w:w w:val="95"/>
        </w:rPr>
        <w:t>the</w:t>
      </w:r>
      <w:r>
        <w:rPr>
          <w:color w:val="231F20"/>
        </w:rPr>
        <w:t xml:space="preserve"> </w:t>
      </w:r>
      <w:r>
        <w:rPr>
          <w:color w:val="231F20"/>
          <w:w w:val="95"/>
        </w:rPr>
        <w:t>interests</w:t>
      </w:r>
      <w:r>
        <w:rPr>
          <w:color w:val="231F20"/>
        </w:rPr>
        <w:t xml:space="preserve"> </w:t>
      </w:r>
      <w:r>
        <w:rPr>
          <w:color w:val="231F20"/>
          <w:w w:val="95"/>
        </w:rPr>
        <w:t>of</w:t>
      </w:r>
      <w:r>
        <w:rPr>
          <w:color w:val="231F20"/>
        </w:rPr>
        <w:t xml:space="preserve"> </w:t>
      </w:r>
      <w:r>
        <w:rPr>
          <w:color w:val="231F20"/>
          <w:w w:val="95"/>
        </w:rPr>
        <w:t>athletes</w:t>
      </w:r>
      <w:r>
        <w:rPr>
          <w:color w:val="231F20"/>
        </w:rPr>
        <w:t xml:space="preserve"> </w:t>
      </w:r>
      <w:r>
        <w:rPr>
          <w:color w:val="231F20"/>
          <w:w w:val="95"/>
        </w:rPr>
        <w:t>to</w:t>
      </w:r>
      <w:r>
        <w:rPr>
          <w:color w:val="231F20"/>
        </w:rPr>
        <w:t xml:space="preserve"> </w:t>
      </w:r>
      <w:r>
        <w:rPr>
          <w:color w:val="231F20"/>
          <w:w w:val="95"/>
        </w:rPr>
        <w:t>achieve</w:t>
      </w:r>
      <w:r>
        <w:rPr>
          <w:color w:val="231F20"/>
        </w:rPr>
        <w:t xml:space="preserve"> </w:t>
      </w:r>
      <w:r>
        <w:rPr>
          <w:color w:val="231F20"/>
          <w:w w:val="95"/>
        </w:rPr>
        <w:t>‘tour</w:t>
      </w:r>
      <w:r>
        <w:rPr>
          <w:color w:val="231F20"/>
        </w:rPr>
        <w:t xml:space="preserve"> </w:t>
      </w:r>
      <w:r>
        <w:rPr>
          <w:color w:val="231F20"/>
          <w:w w:val="95"/>
        </w:rPr>
        <w:t>balance’</w:t>
      </w:r>
      <w:r>
        <w:rPr>
          <w:color w:val="231F20"/>
        </w:rPr>
        <w:t xml:space="preserve"> </w:t>
      </w:r>
      <w:r>
        <w:rPr>
          <w:color w:val="231F20"/>
          <w:w w:val="95"/>
        </w:rPr>
        <w:t>(Higham</w:t>
      </w:r>
      <w:r>
        <w:rPr>
          <w:color w:val="231F20"/>
          <w:spacing w:val="80"/>
        </w:rPr>
        <w:t xml:space="preserve"> </w:t>
      </w:r>
      <w:r>
        <w:rPr>
          <w:color w:val="231F20"/>
        </w:rPr>
        <w:t>&amp;</w:t>
      </w:r>
      <w:r>
        <w:rPr>
          <w:color w:val="231F20"/>
          <w:spacing w:val="-1"/>
        </w:rPr>
        <w:t xml:space="preserve"> </w:t>
      </w:r>
      <w:r>
        <w:rPr>
          <w:color w:val="231F20"/>
        </w:rPr>
        <w:t>Hinch,</w:t>
      </w:r>
      <w:r>
        <w:rPr>
          <w:color w:val="231F20"/>
          <w:spacing w:val="-1"/>
        </w:rPr>
        <w:t xml:space="preserve"> </w:t>
      </w:r>
      <w:r>
        <w:rPr>
          <w:color w:val="231F20"/>
        </w:rPr>
        <w:t>2009;</w:t>
      </w:r>
      <w:r>
        <w:rPr>
          <w:color w:val="231F20"/>
          <w:spacing w:val="-1"/>
        </w:rPr>
        <w:t xml:space="preserve"> </w:t>
      </w:r>
      <w:r>
        <w:rPr>
          <w:color w:val="231F20"/>
        </w:rPr>
        <w:t>Hodge</w:t>
      </w:r>
      <w:r>
        <w:rPr>
          <w:color w:val="231F20"/>
          <w:spacing w:val="-1"/>
        </w:rPr>
        <w:t xml:space="preserve"> </w:t>
      </w:r>
      <w:r>
        <w:rPr>
          <w:i/>
          <w:color w:val="231F20"/>
        </w:rPr>
        <w:t>et</w:t>
      </w:r>
      <w:r>
        <w:rPr>
          <w:i/>
          <w:color w:val="231F20"/>
          <w:spacing w:val="-1"/>
        </w:rPr>
        <w:t xml:space="preserve"> </w:t>
      </w:r>
      <w:r>
        <w:rPr>
          <w:i/>
          <w:color w:val="231F20"/>
        </w:rPr>
        <w:t>al</w:t>
      </w:r>
      <w:r>
        <w:rPr>
          <w:color w:val="231F20"/>
        </w:rPr>
        <w:t>.,</w:t>
      </w:r>
      <w:r>
        <w:rPr>
          <w:color w:val="231F20"/>
          <w:spacing w:val="-1"/>
        </w:rPr>
        <w:t xml:space="preserve"> </w:t>
      </w:r>
      <w:r>
        <w:rPr>
          <w:color w:val="231F20"/>
        </w:rPr>
        <w:t>2008).</w:t>
      </w:r>
      <w:r>
        <w:rPr>
          <w:color w:val="231F20"/>
          <w:spacing w:val="-1"/>
        </w:rPr>
        <w:t xml:space="preserve"> </w:t>
      </w:r>
      <w:r>
        <w:rPr>
          <w:color w:val="231F20"/>
        </w:rPr>
        <w:t>‘Tour</w:t>
      </w:r>
      <w:r>
        <w:rPr>
          <w:color w:val="231F20"/>
          <w:spacing w:val="-1"/>
        </w:rPr>
        <w:t xml:space="preserve"> </w:t>
      </w:r>
      <w:r>
        <w:rPr>
          <w:color w:val="231F20"/>
        </w:rPr>
        <w:t>balance’</w:t>
      </w:r>
      <w:r>
        <w:rPr>
          <w:color w:val="231F20"/>
          <w:spacing w:val="-1"/>
        </w:rPr>
        <w:t xml:space="preserve"> </w:t>
      </w:r>
      <w:r>
        <w:rPr>
          <w:color w:val="231F20"/>
        </w:rPr>
        <w:t>describes</w:t>
      </w:r>
      <w:r>
        <w:rPr>
          <w:color w:val="231F20"/>
          <w:spacing w:val="-1"/>
        </w:rPr>
        <w:t xml:space="preserve"> </w:t>
      </w:r>
      <w:r>
        <w:rPr>
          <w:color w:val="231F20"/>
        </w:rPr>
        <w:t>the</w:t>
      </w:r>
      <w:r>
        <w:rPr>
          <w:color w:val="231F20"/>
          <w:spacing w:val="-1"/>
        </w:rPr>
        <w:t xml:space="preserve"> </w:t>
      </w:r>
      <w:r>
        <w:rPr>
          <w:color w:val="231F20"/>
        </w:rPr>
        <w:t>need</w:t>
      </w:r>
      <w:r>
        <w:rPr>
          <w:color w:val="231F20"/>
          <w:spacing w:val="-1"/>
        </w:rPr>
        <w:t xml:space="preserve"> </w:t>
      </w:r>
      <w:r>
        <w:rPr>
          <w:color w:val="231F20"/>
        </w:rPr>
        <w:t xml:space="preserve">for </w:t>
      </w:r>
      <w:r>
        <w:rPr>
          <w:color w:val="231F20"/>
          <w:w w:val="95"/>
        </w:rPr>
        <w:t xml:space="preserve">elite athletes to occasionally escape from routine (e.g. training schedules) </w:t>
      </w:r>
      <w:r>
        <w:rPr>
          <w:color w:val="231F20"/>
        </w:rPr>
        <w:t xml:space="preserve">and the high pressures of performance. Opportunities to experience the </w:t>
      </w:r>
      <w:r>
        <w:rPr>
          <w:color w:val="231F20"/>
          <w:w w:val="95"/>
        </w:rPr>
        <w:t xml:space="preserve">stimulation of new and unique places are now recognised as an important </w:t>
      </w:r>
      <w:r>
        <w:rPr>
          <w:color w:val="231F20"/>
        </w:rPr>
        <w:t>aspect of sports performance through</w:t>
      </w:r>
      <w:r>
        <w:rPr>
          <w:color w:val="231F20"/>
        </w:rPr>
        <w:t xml:space="preserve"> periodic relief</w:t>
      </w:r>
      <w:r>
        <w:rPr>
          <w:color w:val="231F20"/>
          <w:spacing w:val="-1"/>
        </w:rPr>
        <w:t xml:space="preserve"> </w:t>
      </w:r>
      <w:r>
        <w:rPr>
          <w:color w:val="231F20"/>
        </w:rPr>
        <w:t xml:space="preserve">from the pressures of competition (Hodge &amp; Hermansson, 2007). Hodge </w:t>
      </w:r>
      <w:r>
        <w:rPr>
          <w:i/>
          <w:color w:val="231F20"/>
        </w:rPr>
        <w:t>et al</w:t>
      </w:r>
      <w:r>
        <w:rPr>
          <w:color w:val="231F20"/>
        </w:rPr>
        <w:t>. (2008) consider ‘tour balance’ in professional sport to be critical not only to achieving</w:t>
      </w:r>
      <w:r>
        <w:rPr>
          <w:color w:val="231F20"/>
          <w:spacing w:val="29"/>
        </w:rPr>
        <w:t xml:space="preserve"> </w:t>
      </w:r>
      <w:r>
        <w:rPr>
          <w:color w:val="231F20"/>
        </w:rPr>
        <w:t>optimum</w:t>
      </w:r>
      <w:r>
        <w:rPr>
          <w:color w:val="231F20"/>
          <w:spacing w:val="31"/>
        </w:rPr>
        <w:t xml:space="preserve"> </w:t>
      </w:r>
      <w:r>
        <w:rPr>
          <w:color w:val="231F20"/>
        </w:rPr>
        <w:t>performance</w:t>
      </w:r>
      <w:r>
        <w:rPr>
          <w:color w:val="231F20"/>
          <w:spacing w:val="31"/>
        </w:rPr>
        <w:t xml:space="preserve"> </w:t>
      </w:r>
      <w:r>
        <w:rPr>
          <w:color w:val="231F20"/>
        </w:rPr>
        <w:t>at</w:t>
      </w:r>
      <w:r>
        <w:rPr>
          <w:color w:val="231F20"/>
          <w:spacing w:val="31"/>
        </w:rPr>
        <w:t xml:space="preserve"> </w:t>
      </w:r>
      <w:r>
        <w:rPr>
          <w:color w:val="231F20"/>
        </w:rPr>
        <w:t>the</w:t>
      </w:r>
      <w:r>
        <w:rPr>
          <w:color w:val="231F20"/>
          <w:spacing w:val="31"/>
        </w:rPr>
        <w:t xml:space="preserve"> </w:t>
      </w:r>
      <w:r>
        <w:rPr>
          <w:color w:val="231F20"/>
        </w:rPr>
        <w:t>place</w:t>
      </w:r>
      <w:r>
        <w:rPr>
          <w:color w:val="231F20"/>
          <w:spacing w:val="31"/>
        </w:rPr>
        <w:t xml:space="preserve"> </w:t>
      </w:r>
      <w:r>
        <w:rPr>
          <w:color w:val="231F20"/>
        </w:rPr>
        <w:t>of</w:t>
      </w:r>
      <w:r>
        <w:rPr>
          <w:color w:val="231F20"/>
          <w:spacing w:val="31"/>
        </w:rPr>
        <w:t xml:space="preserve"> </w:t>
      </w:r>
      <w:r>
        <w:rPr>
          <w:color w:val="231F20"/>
        </w:rPr>
        <w:t>competition,</w:t>
      </w:r>
      <w:r>
        <w:rPr>
          <w:color w:val="231F20"/>
          <w:spacing w:val="31"/>
        </w:rPr>
        <w:t xml:space="preserve"> </w:t>
      </w:r>
      <w:r>
        <w:rPr>
          <w:color w:val="231F20"/>
        </w:rPr>
        <w:t>but</w:t>
      </w:r>
      <w:r>
        <w:rPr>
          <w:color w:val="231F20"/>
          <w:spacing w:val="31"/>
        </w:rPr>
        <w:t xml:space="preserve"> </w:t>
      </w:r>
      <w:r>
        <w:rPr>
          <w:color w:val="231F20"/>
        </w:rPr>
        <w:t>also to</w:t>
      </w:r>
      <w:r>
        <w:rPr>
          <w:color w:val="231F20"/>
          <w:spacing w:val="-1"/>
        </w:rPr>
        <w:t xml:space="preserve"> </w:t>
      </w:r>
      <w:r>
        <w:rPr>
          <w:color w:val="231F20"/>
        </w:rPr>
        <w:t>countering</w:t>
      </w:r>
      <w:r>
        <w:rPr>
          <w:color w:val="231F20"/>
          <w:spacing w:val="-1"/>
        </w:rPr>
        <w:t xml:space="preserve"> </w:t>
      </w:r>
      <w:r>
        <w:rPr>
          <w:color w:val="231F20"/>
        </w:rPr>
        <w:t>the</w:t>
      </w:r>
      <w:r>
        <w:rPr>
          <w:color w:val="231F20"/>
          <w:spacing w:val="-1"/>
        </w:rPr>
        <w:t xml:space="preserve"> </w:t>
      </w:r>
      <w:r>
        <w:rPr>
          <w:color w:val="231F20"/>
        </w:rPr>
        <w:t>prospects</w:t>
      </w:r>
      <w:r>
        <w:rPr>
          <w:color w:val="231F20"/>
          <w:spacing w:val="-1"/>
        </w:rPr>
        <w:t xml:space="preserve"> </w:t>
      </w:r>
      <w:r>
        <w:rPr>
          <w:color w:val="231F20"/>
        </w:rPr>
        <w:t>of</w:t>
      </w:r>
      <w:r>
        <w:rPr>
          <w:color w:val="231F20"/>
          <w:spacing w:val="-1"/>
        </w:rPr>
        <w:t xml:space="preserve"> </w:t>
      </w:r>
      <w:r>
        <w:rPr>
          <w:color w:val="231F20"/>
        </w:rPr>
        <w:t>‘burn</w:t>
      </w:r>
      <w:r>
        <w:rPr>
          <w:color w:val="231F20"/>
          <w:spacing w:val="-1"/>
        </w:rPr>
        <w:t xml:space="preserve"> </w:t>
      </w:r>
      <w:r>
        <w:rPr>
          <w:color w:val="231F20"/>
        </w:rPr>
        <w:t>out’</w:t>
      </w:r>
      <w:r>
        <w:rPr>
          <w:color w:val="231F20"/>
          <w:spacing w:val="-1"/>
        </w:rPr>
        <w:t xml:space="preserve"> </w:t>
      </w:r>
      <w:r>
        <w:rPr>
          <w:color w:val="231F20"/>
        </w:rPr>
        <w:t>in</w:t>
      </w:r>
      <w:r>
        <w:rPr>
          <w:color w:val="231F20"/>
          <w:spacing w:val="-1"/>
        </w:rPr>
        <w:t xml:space="preserve"> </w:t>
      </w:r>
      <w:r>
        <w:rPr>
          <w:color w:val="231F20"/>
        </w:rPr>
        <w:t>the</w:t>
      </w:r>
      <w:r>
        <w:rPr>
          <w:color w:val="231F20"/>
          <w:spacing w:val="-1"/>
        </w:rPr>
        <w:t xml:space="preserve"> </w:t>
      </w:r>
      <w:r>
        <w:rPr>
          <w:color w:val="231F20"/>
        </w:rPr>
        <w:t>longer</w:t>
      </w:r>
      <w:r>
        <w:rPr>
          <w:color w:val="231F20"/>
          <w:spacing w:val="-1"/>
        </w:rPr>
        <w:t xml:space="preserve"> </w:t>
      </w:r>
      <w:r>
        <w:rPr>
          <w:color w:val="231F20"/>
        </w:rPr>
        <w:t>(career)</w:t>
      </w:r>
      <w:r>
        <w:rPr>
          <w:color w:val="231F20"/>
          <w:spacing w:val="-1"/>
        </w:rPr>
        <w:t xml:space="preserve"> </w:t>
      </w:r>
      <w:r>
        <w:rPr>
          <w:color w:val="231F20"/>
        </w:rPr>
        <w:t xml:space="preserve">temporal </w:t>
      </w:r>
      <w:r>
        <w:rPr>
          <w:color w:val="231F20"/>
          <w:w w:val="95"/>
        </w:rPr>
        <w:t>dimension. ‘Occasional sports (wo)men’ and ‘passive sport tourists’ stand</w:t>
      </w:r>
      <w:r>
        <w:rPr>
          <w:color w:val="231F20"/>
          <w:spacing w:val="80"/>
        </w:rPr>
        <w:t xml:space="preserve"> </w:t>
      </w:r>
      <w:r>
        <w:rPr>
          <w:color w:val="231F20"/>
          <w:w w:val="95"/>
        </w:rPr>
        <w:t xml:space="preserve">in significant contrast, given the priority that they are likely to place in the </w:t>
      </w:r>
      <w:r>
        <w:rPr>
          <w:color w:val="231F20"/>
        </w:rPr>
        <w:t>experience</w:t>
      </w:r>
      <w:r>
        <w:rPr>
          <w:color w:val="231F20"/>
          <w:spacing w:val="-1"/>
        </w:rPr>
        <w:t xml:space="preserve"> </w:t>
      </w:r>
      <w:r>
        <w:rPr>
          <w:color w:val="231F20"/>
        </w:rPr>
        <w:t>of</w:t>
      </w:r>
      <w:r>
        <w:rPr>
          <w:color w:val="231F20"/>
          <w:spacing w:val="-1"/>
        </w:rPr>
        <w:t xml:space="preserve"> </w:t>
      </w:r>
      <w:r>
        <w:rPr>
          <w:color w:val="231F20"/>
        </w:rPr>
        <w:t>place</w:t>
      </w:r>
      <w:r>
        <w:rPr>
          <w:color w:val="231F20"/>
          <w:spacing w:val="-1"/>
        </w:rPr>
        <w:t xml:space="preserve"> </w:t>
      </w:r>
      <w:r>
        <w:rPr>
          <w:color w:val="231F20"/>
        </w:rPr>
        <w:t>and</w:t>
      </w:r>
      <w:r>
        <w:rPr>
          <w:color w:val="231F20"/>
          <w:spacing w:val="-1"/>
        </w:rPr>
        <w:t xml:space="preserve"> </w:t>
      </w:r>
      <w:r>
        <w:rPr>
          <w:color w:val="231F20"/>
        </w:rPr>
        <w:t>touris</w:t>
      </w:r>
      <w:r>
        <w:rPr>
          <w:color w:val="231F20"/>
        </w:rPr>
        <w:t>t</w:t>
      </w:r>
      <w:r>
        <w:rPr>
          <w:color w:val="231F20"/>
          <w:spacing w:val="-1"/>
        </w:rPr>
        <w:t xml:space="preserve"> </w:t>
      </w:r>
      <w:r>
        <w:rPr>
          <w:color w:val="231F20"/>
        </w:rPr>
        <w:t>experiences</w:t>
      </w:r>
      <w:r>
        <w:rPr>
          <w:color w:val="231F20"/>
          <w:spacing w:val="-1"/>
        </w:rPr>
        <w:t xml:space="preserve"> </w:t>
      </w:r>
      <w:r>
        <w:rPr>
          <w:color w:val="231F20"/>
        </w:rPr>
        <w:t>that</w:t>
      </w:r>
      <w:r>
        <w:rPr>
          <w:color w:val="231F20"/>
          <w:spacing w:val="-1"/>
        </w:rPr>
        <w:t xml:space="preserve"> </w:t>
      </w:r>
      <w:r>
        <w:rPr>
          <w:color w:val="231F20"/>
        </w:rPr>
        <w:t>a</w:t>
      </w:r>
      <w:r>
        <w:rPr>
          <w:color w:val="231F20"/>
          <w:spacing w:val="-1"/>
        </w:rPr>
        <w:t xml:space="preserve"> </w:t>
      </w:r>
      <w:r>
        <w:rPr>
          <w:color w:val="231F20"/>
        </w:rPr>
        <w:t>destination</w:t>
      </w:r>
      <w:r>
        <w:rPr>
          <w:color w:val="231F20"/>
          <w:spacing w:val="-1"/>
        </w:rPr>
        <w:t xml:space="preserve"> </w:t>
      </w:r>
      <w:r>
        <w:rPr>
          <w:color w:val="231F20"/>
        </w:rPr>
        <w:t>may</w:t>
      </w:r>
      <w:r>
        <w:rPr>
          <w:color w:val="231F20"/>
          <w:spacing w:val="-1"/>
        </w:rPr>
        <w:t xml:space="preserve"> </w:t>
      </w:r>
      <w:r>
        <w:rPr>
          <w:color w:val="231F20"/>
        </w:rPr>
        <w:t>offer. These visitors are more likely to be motivated by the ‘culture of sport’ and the heritage values that may be associated with sports attractions (Gammon &amp; Ramshaw, 2013).</w:t>
      </w:r>
    </w:p>
    <w:p w14:paraId="4E78E352" w14:textId="77777777" w:rsidR="00AE0598" w:rsidRDefault="00AE0598">
      <w:pPr>
        <w:spacing w:line="232" w:lineRule="auto"/>
        <w:jc w:val="both"/>
        <w:sectPr w:rsidR="00AE0598">
          <w:type w:val="continuous"/>
          <w:pgSz w:w="8850" w:h="13270"/>
          <w:pgMar w:top="1080" w:right="1080" w:bottom="280" w:left="1080" w:header="720" w:footer="720" w:gutter="0"/>
          <w:cols w:space="720"/>
        </w:sectPr>
      </w:pPr>
    </w:p>
    <w:p w14:paraId="0EB58E0B" w14:textId="77777777" w:rsidR="00AE0598" w:rsidRDefault="0069255A">
      <w:pPr>
        <w:spacing w:before="87"/>
        <w:ind w:right="108"/>
        <w:jc w:val="right"/>
        <w:rPr>
          <w:rFonts w:ascii="Trebuchet MS"/>
          <w:sz w:val="14"/>
        </w:rPr>
      </w:pPr>
      <w:r>
        <w:rPr>
          <w:rFonts w:ascii="Trebuchet MS"/>
          <w:color w:val="231F20"/>
          <w:w w:val="105"/>
          <w:sz w:val="14"/>
        </w:rPr>
        <w:lastRenderedPageBreak/>
        <w:t>Sport</w:t>
      </w:r>
      <w:r>
        <w:rPr>
          <w:rFonts w:ascii="Trebuchet MS"/>
          <w:color w:val="231F20"/>
          <w:spacing w:val="-7"/>
          <w:w w:val="105"/>
          <w:sz w:val="14"/>
        </w:rPr>
        <w:t xml:space="preserve"> </w:t>
      </w:r>
      <w:r>
        <w:rPr>
          <w:rFonts w:ascii="Trebuchet MS"/>
          <w:color w:val="231F20"/>
          <w:w w:val="105"/>
          <w:sz w:val="14"/>
        </w:rPr>
        <w:t>Tourism</w:t>
      </w:r>
      <w:r>
        <w:rPr>
          <w:rFonts w:ascii="Trebuchet MS"/>
          <w:color w:val="231F20"/>
          <w:spacing w:val="-7"/>
          <w:w w:val="105"/>
          <w:sz w:val="14"/>
        </w:rPr>
        <w:t xml:space="preserve"> </w:t>
      </w:r>
      <w:r>
        <w:rPr>
          <w:rFonts w:ascii="Trebuchet MS"/>
          <w:color w:val="231F20"/>
          <w:w w:val="105"/>
          <w:sz w:val="14"/>
        </w:rPr>
        <w:t>Markets</w:t>
      </w:r>
      <w:r>
        <w:rPr>
          <w:rFonts w:ascii="Trebuchet MS"/>
          <w:color w:val="231F20"/>
          <w:spacing w:val="73"/>
          <w:w w:val="150"/>
          <w:sz w:val="14"/>
        </w:rPr>
        <w:t xml:space="preserve"> </w:t>
      </w:r>
      <w:r>
        <w:rPr>
          <w:rFonts w:ascii="Trebuchet MS"/>
          <w:color w:val="231F20"/>
          <w:spacing w:val="-5"/>
          <w:w w:val="105"/>
          <w:sz w:val="14"/>
        </w:rPr>
        <w:t>41</w:t>
      </w:r>
    </w:p>
    <w:p w14:paraId="6616F9E3" w14:textId="77777777" w:rsidR="00AE0598" w:rsidRDefault="00AE0598">
      <w:pPr>
        <w:pStyle w:val="Corpodetexto"/>
        <w:rPr>
          <w:rFonts w:ascii="Trebuchet MS"/>
          <w:sz w:val="16"/>
        </w:rPr>
      </w:pPr>
    </w:p>
    <w:p w14:paraId="1A7D54A8" w14:textId="77777777" w:rsidR="00AE0598" w:rsidRDefault="0069255A">
      <w:pPr>
        <w:pStyle w:val="Corpodetexto"/>
        <w:spacing w:before="118" w:line="232" w:lineRule="auto"/>
        <w:ind w:left="110" w:right="102" w:firstLine="320"/>
        <w:jc w:val="both"/>
      </w:pPr>
      <w:r>
        <w:rPr>
          <w:color w:val="231F20"/>
        </w:rPr>
        <w:t xml:space="preserve">In a similar vein, and building upon the earlier contribution of Maier and Weber (1993), Reeves (2000) identified six ‘types’ of sport tourists </w:t>
      </w:r>
      <w:r>
        <w:rPr>
          <w:color w:val="231F20"/>
          <w:w w:val="95"/>
        </w:rPr>
        <w:t>and explains the distinctions between them in terms of decision-making, motivations, lifestyle and spending pro</w:t>
      </w:r>
      <w:r>
        <w:rPr>
          <w:color w:val="231F20"/>
          <w:w w:val="95"/>
        </w:rPr>
        <w:t xml:space="preserve">files (Table 3.2). The diversity that exists within the generic sport tourism market is, once again, highlighted. </w:t>
      </w:r>
      <w:r>
        <w:rPr>
          <w:color w:val="231F20"/>
        </w:rPr>
        <w:t>However,</w:t>
      </w:r>
      <w:r>
        <w:rPr>
          <w:color w:val="231F20"/>
          <w:spacing w:val="-3"/>
        </w:rPr>
        <w:t xml:space="preserve"> </w:t>
      </w:r>
      <w:r>
        <w:rPr>
          <w:color w:val="231F20"/>
        </w:rPr>
        <w:t>it</w:t>
      </w:r>
      <w:r>
        <w:rPr>
          <w:color w:val="231F20"/>
          <w:spacing w:val="-3"/>
        </w:rPr>
        <w:t xml:space="preserve"> </w:t>
      </w:r>
      <w:r>
        <w:rPr>
          <w:color w:val="231F20"/>
        </w:rPr>
        <w:t>should</w:t>
      </w:r>
      <w:r>
        <w:rPr>
          <w:color w:val="231F20"/>
          <w:spacing w:val="-3"/>
        </w:rPr>
        <w:t xml:space="preserve"> </w:t>
      </w:r>
      <w:r>
        <w:rPr>
          <w:color w:val="231F20"/>
        </w:rPr>
        <w:t>be</w:t>
      </w:r>
      <w:r>
        <w:rPr>
          <w:color w:val="231F20"/>
          <w:spacing w:val="-3"/>
        </w:rPr>
        <w:t xml:space="preserve"> </w:t>
      </w:r>
      <w:r>
        <w:rPr>
          <w:color w:val="231F20"/>
        </w:rPr>
        <w:t>noted</w:t>
      </w:r>
      <w:r>
        <w:rPr>
          <w:color w:val="231F20"/>
          <w:spacing w:val="-3"/>
        </w:rPr>
        <w:t xml:space="preserve"> </w:t>
      </w:r>
      <w:r>
        <w:rPr>
          <w:color w:val="231F20"/>
        </w:rPr>
        <w:t>that</w:t>
      </w:r>
      <w:r>
        <w:rPr>
          <w:color w:val="231F20"/>
          <w:spacing w:val="-3"/>
        </w:rPr>
        <w:t xml:space="preserve"> </w:t>
      </w:r>
      <w:r>
        <w:rPr>
          <w:color w:val="231F20"/>
        </w:rPr>
        <w:t>Reeves’s</w:t>
      </w:r>
      <w:r>
        <w:rPr>
          <w:color w:val="231F20"/>
          <w:spacing w:val="-3"/>
        </w:rPr>
        <w:t xml:space="preserve"> </w:t>
      </w:r>
      <w:r>
        <w:rPr>
          <w:color w:val="231F20"/>
        </w:rPr>
        <w:t>(2000)</w:t>
      </w:r>
      <w:r>
        <w:rPr>
          <w:color w:val="231F20"/>
          <w:spacing w:val="-3"/>
        </w:rPr>
        <w:t xml:space="preserve"> </w:t>
      </w:r>
      <w:r>
        <w:rPr>
          <w:color w:val="231F20"/>
        </w:rPr>
        <w:t>typology</w:t>
      </w:r>
      <w:r>
        <w:rPr>
          <w:color w:val="231F20"/>
          <w:spacing w:val="-3"/>
        </w:rPr>
        <w:t xml:space="preserve"> </w:t>
      </w:r>
      <w:r>
        <w:rPr>
          <w:color w:val="231F20"/>
        </w:rPr>
        <w:t>is</w:t>
      </w:r>
      <w:r>
        <w:rPr>
          <w:color w:val="231F20"/>
          <w:spacing w:val="-3"/>
        </w:rPr>
        <w:t xml:space="preserve"> </w:t>
      </w:r>
      <w:r>
        <w:rPr>
          <w:color w:val="231F20"/>
        </w:rPr>
        <w:t>illustrative rather than definitive. It contains generalisations relating, for in</w:t>
      </w:r>
      <w:r>
        <w:rPr>
          <w:color w:val="231F20"/>
        </w:rPr>
        <w:t xml:space="preserve">stance, to visitor expenditures that require the support of rigorous research. </w:t>
      </w:r>
      <w:r>
        <w:rPr>
          <w:color w:val="231F20"/>
          <w:w w:val="95"/>
        </w:rPr>
        <w:t xml:space="preserve">Autonomy in destination choice may indeed be limited for ‘driven’ athletes </w:t>
      </w:r>
      <w:r>
        <w:rPr>
          <w:color w:val="231F20"/>
        </w:rPr>
        <w:t>who</w:t>
      </w:r>
      <w:r>
        <w:rPr>
          <w:color w:val="231F20"/>
          <w:spacing w:val="-6"/>
        </w:rPr>
        <w:t xml:space="preserve"> </w:t>
      </w:r>
      <w:r>
        <w:rPr>
          <w:color w:val="231F20"/>
        </w:rPr>
        <w:t>may</w:t>
      </w:r>
      <w:r>
        <w:rPr>
          <w:color w:val="231F20"/>
          <w:spacing w:val="-6"/>
        </w:rPr>
        <w:t xml:space="preserve"> </w:t>
      </w:r>
      <w:r>
        <w:rPr>
          <w:color w:val="231F20"/>
        </w:rPr>
        <w:t>be</w:t>
      </w:r>
      <w:r>
        <w:rPr>
          <w:color w:val="231F20"/>
          <w:spacing w:val="-6"/>
        </w:rPr>
        <w:t xml:space="preserve"> </w:t>
      </w:r>
      <w:r>
        <w:rPr>
          <w:color w:val="231F20"/>
        </w:rPr>
        <w:t>subject</w:t>
      </w:r>
      <w:r>
        <w:rPr>
          <w:color w:val="231F20"/>
          <w:spacing w:val="-6"/>
        </w:rPr>
        <w:t xml:space="preserve"> </w:t>
      </w:r>
      <w:r>
        <w:rPr>
          <w:color w:val="231F20"/>
        </w:rPr>
        <w:t>to</w:t>
      </w:r>
      <w:r>
        <w:rPr>
          <w:color w:val="231F20"/>
          <w:spacing w:val="-6"/>
        </w:rPr>
        <w:t xml:space="preserve"> </w:t>
      </w:r>
      <w:r>
        <w:rPr>
          <w:color w:val="231F20"/>
        </w:rPr>
        <w:t>structured</w:t>
      </w:r>
      <w:r>
        <w:rPr>
          <w:color w:val="231F20"/>
          <w:spacing w:val="-6"/>
        </w:rPr>
        <w:t xml:space="preserve"> </w:t>
      </w:r>
      <w:r>
        <w:rPr>
          <w:color w:val="231F20"/>
        </w:rPr>
        <w:t>training</w:t>
      </w:r>
      <w:r>
        <w:rPr>
          <w:color w:val="231F20"/>
          <w:spacing w:val="-6"/>
        </w:rPr>
        <w:t xml:space="preserve"> </w:t>
      </w:r>
      <w:r>
        <w:rPr>
          <w:color w:val="231F20"/>
        </w:rPr>
        <w:t>programmes</w:t>
      </w:r>
      <w:r>
        <w:rPr>
          <w:color w:val="231F20"/>
          <w:spacing w:val="-6"/>
        </w:rPr>
        <w:t xml:space="preserve"> </w:t>
      </w:r>
      <w:r>
        <w:rPr>
          <w:color w:val="231F20"/>
        </w:rPr>
        <w:t>and</w:t>
      </w:r>
      <w:r>
        <w:rPr>
          <w:color w:val="231F20"/>
          <w:spacing w:val="-6"/>
        </w:rPr>
        <w:t xml:space="preserve"> </w:t>
      </w:r>
      <w:r>
        <w:rPr>
          <w:color w:val="231F20"/>
        </w:rPr>
        <w:t>schedules</w:t>
      </w:r>
      <w:r>
        <w:rPr>
          <w:color w:val="231F20"/>
          <w:spacing w:val="-6"/>
        </w:rPr>
        <w:t xml:space="preserve"> </w:t>
      </w:r>
      <w:r>
        <w:rPr>
          <w:color w:val="231F20"/>
        </w:rPr>
        <w:t xml:space="preserve">in </w:t>
      </w:r>
      <w:r>
        <w:rPr>
          <w:color w:val="231F20"/>
          <w:w w:val="95"/>
        </w:rPr>
        <w:t>advance of competition (i.e. pro</w:t>
      </w:r>
      <w:r>
        <w:rPr>
          <w:color w:val="231F20"/>
          <w:w w:val="95"/>
        </w:rPr>
        <w:t xml:space="preserve">fessional sports organisations), particularly </w:t>
      </w:r>
      <w:r>
        <w:rPr>
          <w:color w:val="231F20"/>
        </w:rPr>
        <w:t xml:space="preserve">in the case of team sports. However, in many cases, the preferences of ‘driven’ (elite) athletes are now accommodated through negotiated arrangements (usually mediated by management agencies, managers or </w:t>
      </w:r>
      <w:r>
        <w:rPr>
          <w:color w:val="231F20"/>
          <w:w w:val="95"/>
        </w:rPr>
        <w:t xml:space="preserve">legal </w:t>
      </w:r>
      <w:r>
        <w:rPr>
          <w:color w:val="231F20"/>
          <w:w w:val="95"/>
        </w:rPr>
        <w:t xml:space="preserve">advisors) that may extend to periods of sabbatical leave, and a degree </w:t>
      </w:r>
      <w:r>
        <w:rPr>
          <w:color w:val="231F20"/>
        </w:rPr>
        <w:t>of autonomy over travel, training and competition schedules.</w:t>
      </w:r>
    </w:p>
    <w:p w14:paraId="552566AE" w14:textId="77777777" w:rsidR="00AE0598" w:rsidRDefault="0069255A">
      <w:pPr>
        <w:pStyle w:val="Corpodetexto"/>
        <w:spacing w:before="19" w:line="232" w:lineRule="auto"/>
        <w:ind w:left="110" w:right="105" w:firstLine="320"/>
        <w:jc w:val="both"/>
      </w:pPr>
      <w:r>
        <w:rPr>
          <w:color w:val="231F20"/>
        </w:rPr>
        <w:t>Robinson</w:t>
      </w:r>
      <w:r>
        <w:rPr>
          <w:color w:val="231F20"/>
          <w:spacing w:val="80"/>
        </w:rPr>
        <w:t xml:space="preserve"> </w:t>
      </w:r>
      <w:r>
        <w:rPr>
          <w:color w:val="231F20"/>
        </w:rPr>
        <w:t>and</w:t>
      </w:r>
      <w:r>
        <w:rPr>
          <w:color w:val="231F20"/>
          <w:spacing w:val="80"/>
        </w:rPr>
        <w:t xml:space="preserve"> </w:t>
      </w:r>
      <w:r>
        <w:rPr>
          <w:color w:val="231F20"/>
        </w:rPr>
        <w:t>Gammon</w:t>
      </w:r>
      <w:r>
        <w:rPr>
          <w:color w:val="231F20"/>
          <w:spacing w:val="80"/>
        </w:rPr>
        <w:t xml:space="preserve"> </w:t>
      </w:r>
      <w:r>
        <w:rPr>
          <w:color w:val="231F20"/>
        </w:rPr>
        <w:t>(2003)</w:t>
      </w:r>
      <w:r>
        <w:rPr>
          <w:color w:val="231F20"/>
          <w:spacing w:val="80"/>
        </w:rPr>
        <w:t xml:space="preserve"> </w:t>
      </w:r>
      <w:r>
        <w:rPr>
          <w:color w:val="231F20"/>
        </w:rPr>
        <w:t>advance</w:t>
      </w:r>
      <w:r>
        <w:rPr>
          <w:color w:val="231F20"/>
          <w:spacing w:val="80"/>
        </w:rPr>
        <w:t xml:space="preserve"> </w:t>
      </w:r>
      <w:r>
        <w:rPr>
          <w:color w:val="231F20"/>
        </w:rPr>
        <w:t>the</w:t>
      </w:r>
      <w:r>
        <w:rPr>
          <w:color w:val="231F20"/>
          <w:spacing w:val="80"/>
        </w:rPr>
        <w:t xml:space="preserve"> </w:t>
      </w:r>
      <w:r>
        <w:rPr>
          <w:color w:val="231F20"/>
        </w:rPr>
        <w:t>conceptualisation of sport tourists based on the motivations held by tourists vis-à-vis</w:t>
      </w:r>
      <w:r>
        <w:rPr>
          <w:color w:val="231F20"/>
          <w:spacing w:val="80"/>
        </w:rPr>
        <w:t xml:space="preserve"> </w:t>
      </w:r>
      <w:r>
        <w:rPr>
          <w:color w:val="231F20"/>
        </w:rPr>
        <w:t xml:space="preserve">their involvement in sport (Table 3.3). Their contribution lies in the distinction between two forms of sport tourism based on the primacy of tourist motivation. They use the term ‘sport tourism’ where sport is the </w:t>
      </w:r>
      <w:r>
        <w:rPr>
          <w:color w:val="231F20"/>
          <w:w w:val="95"/>
        </w:rPr>
        <w:t>primary travel motivation with other tour</w:t>
      </w:r>
      <w:r>
        <w:rPr>
          <w:color w:val="231F20"/>
          <w:w w:val="95"/>
        </w:rPr>
        <w:t xml:space="preserve">istic activities an important but </w:t>
      </w:r>
      <w:r>
        <w:rPr>
          <w:color w:val="231F20"/>
        </w:rPr>
        <w:t>secondary</w:t>
      </w:r>
      <w:r>
        <w:rPr>
          <w:color w:val="231F20"/>
          <w:spacing w:val="-2"/>
        </w:rPr>
        <w:t xml:space="preserve"> </w:t>
      </w:r>
      <w:r>
        <w:rPr>
          <w:color w:val="231F20"/>
        </w:rPr>
        <w:t>element</w:t>
      </w:r>
      <w:r>
        <w:rPr>
          <w:color w:val="231F20"/>
          <w:spacing w:val="-2"/>
        </w:rPr>
        <w:t xml:space="preserve"> </w:t>
      </w:r>
      <w:r>
        <w:rPr>
          <w:color w:val="231F20"/>
        </w:rPr>
        <w:t>of</w:t>
      </w:r>
      <w:r>
        <w:rPr>
          <w:color w:val="231F20"/>
          <w:spacing w:val="-2"/>
        </w:rPr>
        <w:t xml:space="preserve"> </w:t>
      </w:r>
      <w:r>
        <w:rPr>
          <w:color w:val="231F20"/>
        </w:rPr>
        <w:t>the</w:t>
      </w:r>
      <w:r>
        <w:rPr>
          <w:color w:val="231F20"/>
          <w:spacing w:val="-2"/>
        </w:rPr>
        <w:t xml:space="preserve"> </w:t>
      </w:r>
      <w:r>
        <w:rPr>
          <w:color w:val="231F20"/>
        </w:rPr>
        <w:t>tourist</w:t>
      </w:r>
      <w:r>
        <w:rPr>
          <w:color w:val="231F20"/>
          <w:spacing w:val="-2"/>
        </w:rPr>
        <w:t xml:space="preserve"> </w:t>
      </w:r>
      <w:r>
        <w:rPr>
          <w:color w:val="231F20"/>
        </w:rPr>
        <w:t>experience.</w:t>
      </w:r>
      <w:r>
        <w:rPr>
          <w:color w:val="231F20"/>
          <w:spacing w:val="-2"/>
        </w:rPr>
        <w:t xml:space="preserve"> </w:t>
      </w:r>
      <w:r>
        <w:rPr>
          <w:color w:val="231F20"/>
        </w:rPr>
        <w:t>Alternatively,</w:t>
      </w:r>
      <w:r>
        <w:rPr>
          <w:color w:val="231F20"/>
          <w:spacing w:val="-2"/>
        </w:rPr>
        <w:t xml:space="preserve"> </w:t>
      </w:r>
      <w:r>
        <w:rPr>
          <w:color w:val="231F20"/>
        </w:rPr>
        <w:t>in</w:t>
      </w:r>
      <w:r>
        <w:rPr>
          <w:color w:val="231F20"/>
          <w:spacing w:val="-2"/>
        </w:rPr>
        <w:t xml:space="preserve"> </w:t>
      </w:r>
      <w:r>
        <w:rPr>
          <w:color w:val="231F20"/>
        </w:rPr>
        <w:t>the</w:t>
      </w:r>
      <w:r>
        <w:rPr>
          <w:color w:val="231F20"/>
          <w:spacing w:val="-2"/>
        </w:rPr>
        <w:t xml:space="preserve"> </w:t>
      </w:r>
      <w:r>
        <w:rPr>
          <w:color w:val="231F20"/>
        </w:rPr>
        <w:t>case</w:t>
      </w:r>
      <w:r>
        <w:rPr>
          <w:color w:val="231F20"/>
          <w:spacing w:val="-2"/>
        </w:rPr>
        <w:t xml:space="preserve"> </w:t>
      </w:r>
      <w:r>
        <w:rPr>
          <w:color w:val="231F20"/>
        </w:rPr>
        <w:t>of ‘tourism sport’, sport serves as a secondary or incidental component of the tourist experience. Gammon and Robinson (1997) also distinguish between</w:t>
      </w:r>
      <w:r>
        <w:rPr>
          <w:color w:val="231F20"/>
        </w:rPr>
        <w:t xml:space="preserve"> active and passive involvement in competitive and non- competitive sports. Therefore, both ‘sport tourism’ and ‘tourism sport’ may be defined in terms of hard and soft participation. The distinction </w:t>
      </w:r>
      <w:r>
        <w:rPr>
          <w:color w:val="231F20"/>
          <w:w w:val="95"/>
        </w:rPr>
        <w:t>between the two lies in the seriousness with which touri</w:t>
      </w:r>
      <w:r>
        <w:rPr>
          <w:color w:val="231F20"/>
          <w:w w:val="95"/>
        </w:rPr>
        <w:t xml:space="preserve">sts engage in their </w:t>
      </w:r>
      <w:r>
        <w:rPr>
          <w:color w:val="231F20"/>
        </w:rPr>
        <w:t xml:space="preserve">chosen sports. This conceptual framework captures the diversity of the </w:t>
      </w:r>
      <w:r>
        <w:rPr>
          <w:color w:val="231F20"/>
          <w:w w:val="95"/>
        </w:rPr>
        <w:t xml:space="preserve">sport tourism travel market, which varies along scales of participation and </w:t>
      </w:r>
      <w:r>
        <w:rPr>
          <w:color w:val="231F20"/>
        </w:rPr>
        <w:t xml:space="preserve">competitiveness, and where sport may function as a primary, secondary </w:t>
      </w:r>
      <w:r>
        <w:rPr>
          <w:color w:val="231F20"/>
          <w:w w:val="95"/>
        </w:rPr>
        <w:t>or purely incidenta</w:t>
      </w:r>
      <w:r>
        <w:rPr>
          <w:color w:val="231F20"/>
          <w:w w:val="95"/>
        </w:rPr>
        <w:t xml:space="preserve">l travel motivation. It also complements the concept of </w:t>
      </w:r>
      <w:r>
        <w:rPr>
          <w:color w:val="231F20"/>
        </w:rPr>
        <w:t>the tourism attraction hierarchy (see Chapter 2).</w:t>
      </w:r>
    </w:p>
    <w:p w14:paraId="16E0FD27" w14:textId="77777777" w:rsidR="00AE0598" w:rsidRDefault="0069255A">
      <w:pPr>
        <w:pStyle w:val="Corpodetexto"/>
        <w:spacing w:before="22" w:line="232" w:lineRule="auto"/>
        <w:ind w:left="110" w:right="106" w:firstLine="320"/>
        <w:jc w:val="both"/>
      </w:pPr>
      <w:r>
        <w:rPr>
          <w:color w:val="231F20"/>
        </w:rPr>
        <w:t>Gammon and Robinson (1997), therefore, identify three dimensions that highlight the variation that exists within the demand-side of sport tourism. The</w:t>
      </w:r>
      <w:r>
        <w:rPr>
          <w:color w:val="231F20"/>
        </w:rPr>
        <w:t xml:space="preserve">y include the status of the sport activity in the motivational profile of the tourist (primary, secondary or incidental), the type of </w:t>
      </w:r>
      <w:r>
        <w:rPr>
          <w:color w:val="231F20"/>
          <w:w w:val="95"/>
        </w:rPr>
        <w:t>involvement in the sport activity (active or passive) and the competitive or non-competitive nature of the sport activity.</w:t>
      </w:r>
      <w:r>
        <w:rPr>
          <w:color w:val="231F20"/>
          <w:w w:val="95"/>
        </w:rPr>
        <w:t xml:space="preserve"> In doing so, they contribute to</w:t>
      </w:r>
      <w:r>
        <w:rPr>
          <w:color w:val="231F20"/>
          <w:spacing w:val="40"/>
        </w:rPr>
        <w:t xml:space="preserve"> </w:t>
      </w:r>
      <w:r>
        <w:rPr>
          <w:color w:val="231F20"/>
          <w:w w:val="95"/>
        </w:rPr>
        <w:t>a better understanding of sport tourism consumer markets, which provides insights</w:t>
      </w:r>
      <w:r>
        <w:rPr>
          <w:color w:val="231F20"/>
          <w:spacing w:val="-5"/>
          <w:w w:val="95"/>
        </w:rPr>
        <w:t xml:space="preserve"> </w:t>
      </w:r>
      <w:r>
        <w:rPr>
          <w:color w:val="231F20"/>
          <w:w w:val="95"/>
        </w:rPr>
        <w:t>into</w:t>
      </w:r>
      <w:r>
        <w:rPr>
          <w:color w:val="231F20"/>
          <w:spacing w:val="-5"/>
          <w:w w:val="95"/>
        </w:rPr>
        <w:t xml:space="preserve"> </w:t>
      </w:r>
      <w:r>
        <w:rPr>
          <w:color w:val="231F20"/>
          <w:w w:val="95"/>
        </w:rPr>
        <w:t>the</w:t>
      </w:r>
      <w:r>
        <w:rPr>
          <w:color w:val="231F20"/>
          <w:spacing w:val="-5"/>
          <w:w w:val="95"/>
        </w:rPr>
        <w:t xml:space="preserve"> </w:t>
      </w:r>
      <w:r>
        <w:rPr>
          <w:color w:val="231F20"/>
          <w:w w:val="95"/>
        </w:rPr>
        <w:t>distinct</w:t>
      </w:r>
      <w:r>
        <w:rPr>
          <w:color w:val="231F20"/>
          <w:spacing w:val="-5"/>
          <w:w w:val="95"/>
        </w:rPr>
        <w:t xml:space="preserve"> </w:t>
      </w:r>
      <w:r>
        <w:rPr>
          <w:color w:val="231F20"/>
          <w:w w:val="95"/>
        </w:rPr>
        <w:t>sport</w:t>
      </w:r>
      <w:r>
        <w:rPr>
          <w:color w:val="231F20"/>
          <w:spacing w:val="-5"/>
          <w:w w:val="95"/>
        </w:rPr>
        <w:t xml:space="preserve"> </w:t>
      </w:r>
      <w:r>
        <w:rPr>
          <w:color w:val="231F20"/>
          <w:w w:val="95"/>
        </w:rPr>
        <w:t>and</w:t>
      </w:r>
      <w:r>
        <w:rPr>
          <w:color w:val="231F20"/>
          <w:spacing w:val="-5"/>
          <w:w w:val="95"/>
        </w:rPr>
        <w:t xml:space="preserve"> </w:t>
      </w:r>
      <w:r>
        <w:rPr>
          <w:color w:val="231F20"/>
          <w:w w:val="95"/>
        </w:rPr>
        <w:t>tourism-related</w:t>
      </w:r>
      <w:r>
        <w:rPr>
          <w:color w:val="231F20"/>
          <w:spacing w:val="-5"/>
          <w:w w:val="95"/>
        </w:rPr>
        <w:t xml:space="preserve"> </w:t>
      </w:r>
      <w:r>
        <w:rPr>
          <w:color w:val="231F20"/>
          <w:w w:val="95"/>
        </w:rPr>
        <w:t>services</w:t>
      </w:r>
      <w:r>
        <w:rPr>
          <w:color w:val="231F20"/>
          <w:spacing w:val="-5"/>
          <w:w w:val="95"/>
        </w:rPr>
        <w:t xml:space="preserve"> </w:t>
      </w:r>
      <w:r>
        <w:rPr>
          <w:color w:val="231F20"/>
          <w:w w:val="95"/>
        </w:rPr>
        <w:t>and</w:t>
      </w:r>
      <w:r>
        <w:rPr>
          <w:color w:val="231F20"/>
          <w:spacing w:val="-5"/>
          <w:w w:val="95"/>
        </w:rPr>
        <w:t xml:space="preserve"> </w:t>
      </w:r>
      <w:r>
        <w:rPr>
          <w:color w:val="231F20"/>
          <w:w w:val="95"/>
        </w:rPr>
        <w:t xml:space="preserve">experiences </w:t>
      </w:r>
      <w:r>
        <w:rPr>
          <w:color w:val="231F20"/>
        </w:rPr>
        <w:t>required</w:t>
      </w:r>
      <w:r>
        <w:rPr>
          <w:color w:val="231F20"/>
          <w:spacing w:val="-11"/>
        </w:rPr>
        <w:t xml:space="preserve"> </w:t>
      </w:r>
      <w:r>
        <w:rPr>
          <w:color w:val="231F20"/>
        </w:rPr>
        <w:t>by</w:t>
      </w:r>
      <w:r>
        <w:rPr>
          <w:color w:val="231F20"/>
          <w:spacing w:val="-11"/>
        </w:rPr>
        <w:t xml:space="preserve"> </w:t>
      </w:r>
      <w:r>
        <w:rPr>
          <w:color w:val="231F20"/>
        </w:rPr>
        <w:t>each.</w:t>
      </w:r>
      <w:r>
        <w:rPr>
          <w:color w:val="231F20"/>
          <w:spacing w:val="-11"/>
        </w:rPr>
        <w:t xml:space="preserve"> </w:t>
      </w:r>
      <w:r>
        <w:rPr>
          <w:color w:val="231F20"/>
        </w:rPr>
        <w:t>It</w:t>
      </w:r>
      <w:r>
        <w:rPr>
          <w:color w:val="231F20"/>
          <w:spacing w:val="-11"/>
        </w:rPr>
        <w:t xml:space="preserve"> </w:t>
      </w:r>
      <w:r>
        <w:rPr>
          <w:color w:val="231F20"/>
        </w:rPr>
        <w:t>is</w:t>
      </w:r>
      <w:r>
        <w:rPr>
          <w:color w:val="231F20"/>
          <w:spacing w:val="-11"/>
        </w:rPr>
        <w:t xml:space="preserve"> </w:t>
      </w:r>
      <w:r>
        <w:rPr>
          <w:color w:val="231F20"/>
        </w:rPr>
        <w:t>the</w:t>
      </w:r>
      <w:r>
        <w:rPr>
          <w:color w:val="231F20"/>
          <w:spacing w:val="-11"/>
        </w:rPr>
        <w:t xml:space="preserve"> </w:t>
      </w:r>
      <w:r>
        <w:rPr>
          <w:color w:val="231F20"/>
        </w:rPr>
        <w:t>extent</w:t>
      </w:r>
      <w:r>
        <w:rPr>
          <w:color w:val="231F20"/>
          <w:spacing w:val="-11"/>
        </w:rPr>
        <w:t xml:space="preserve"> </w:t>
      </w:r>
      <w:r>
        <w:rPr>
          <w:color w:val="231F20"/>
        </w:rPr>
        <w:t>to</w:t>
      </w:r>
      <w:r>
        <w:rPr>
          <w:color w:val="231F20"/>
          <w:spacing w:val="-11"/>
        </w:rPr>
        <w:t xml:space="preserve"> </w:t>
      </w:r>
      <w:r>
        <w:rPr>
          <w:color w:val="231F20"/>
        </w:rPr>
        <w:t>which</w:t>
      </w:r>
      <w:r>
        <w:rPr>
          <w:color w:val="231F20"/>
          <w:spacing w:val="-11"/>
        </w:rPr>
        <w:t xml:space="preserve"> </w:t>
      </w:r>
      <w:r>
        <w:rPr>
          <w:color w:val="231F20"/>
        </w:rPr>
        <w:t>engagement</w:t>
      </w:r>
      <w:r>
        <w:rPr>
          <w:color w:val="231F20"/>
          <w:spacing w:val="-11"/>
        </w:rPr>
        <w:t xml:space="preserve"> </w:t>
      </w:r>
      <w:r>
        <w:rPr>
          <w:color w:val="231F20"/>
        </w:rPr>
        <w:t>in</w:t>
      </w:r>
      <w:r>
        <w:rPr>
          <w:color w:val="231F20"/>
          <w:spacing w:val="-11"/>
        </w:rPr>
        <w:t xml:space="preserve"> </w:t>
      </w:r>
      <w:r>
        <w:rPr>
          <w:color w:val="231F20"/>
        </w:rPr>
        <w:t>sport</w:t>
      </w:r>
      <w:r>
        <w:rPr>
          <w:color w:val="231F20"/>
          <w:spacing w:val="-11"/>
        </w:rPr>
        <w:t xml:space="preserve"> </w:t>
      </w:r>
      <w:r>
        <w:rPr>
          <w:color w:val="231F20"/>
        </w:rPr>
        <w:t>is</w:t>
      </w:r>
      <w:r>
        <w:rPr>
          <w:color w:val="231F20"/>
          <w:spacing w:val="-11"/>
        </w:rPr>
        <w:t xml:space="preserve"> </w:t>
      </w:r>
      <w:r>
        <w:rPr>
          <w:color w:val="231F20"/>
        </w:rPr>
        <w:t>pursu</w:t>
      </w:r>
      <w:r>
        <w:rPr>
          <w:color w:val="231F20"/>
        </w:rPr>
        <w:t>ed by</w:t>
      </w:r>
      <w:r>
        <w:rPr>
          <w:color w:val="231F20"/>
          <w:spacing w:val="3"/>
        </w:rPr>
        <w:t xml:space="preserve"> </w:t>
      </w:r>
      <w:r>
        <w:rPr>
          <w:color w:val="231F20"/>
        </w:rPr>
        <w:t>tourists</w:t>
      </w:r>
      <w:r>
        <w:rPr>
          <w:color w:val="231F20"/>
          <w:spacing w:val="3"/>
        </w:rPr>
        <w:t xml:space="preserve"> </w:t>
      </w:r>
      <w:r>
        <w:rPr>
          <w:color w:val="231F20"/>
        </w:rPr>
        <w:t>that</w:t>
      </w:r>
      <w:r>
        <w:rPr>
          <w:color w:val="231F20"/>
          <w:spacing w:val="3"/>
        </w:rPr>
        <w:t xml:space="preserve"> </w:t>
      </w:r>
      <w:r>
        <w:rPr>
          <w:color w:val="231F20"/>
        </w:rPr>
        <w:t>also</w:t>
      </w:r>
      <w:r>
        <w:rPr>
          <w:color w:val="231F20"/>
          <w:spacing w:val="3"/>
        </w:rPr>
        <w:t xml:space="preserve"> </w:t>
      </w:r>
      <w:r>
        <w:rPr>
          <w:color w:val="231F20"/>
        </w:rPr>
        <w:t>forms</w:t>
      </w:r>
      <w:r>
        <w:rPr>
          <w:color w:val="231F20"/>
          <w:spacing w:val="3"/>
        </w:rPr>
        <w:t xml:space="preserve"> </w:t>
      </w:r>
      <w:r>
        <w:rPr>
          <w:color w:val="231F20"/>
        </w:rPr>
        <w:t>the</w:t>
      </w:r>
      <w:r>
        <w:rPr>
          <w:color w:val="231F20"/>
          <w:spacing w:val="3"/>
        </w:rPr>
        <w:t xml:space="preserve"> </w:t>
      </w:r>
      <w:r>
        <w:rPr>
          <w:color w:val="231F20"/>
        </w:rPr>
        <w:t>basis</w:t>
      </w:r>
      <w:r>
        <w:rPr>
          <w:color w:val="231F20"/>
          <w:spacing w:val="3"/>
        </w:rPr>
        <w:t xml:space="preserve"> </w:t>
      </w:r>
      <w:r>
        <w:rPr>
          <w:color w:val="231F20"/>
        </w:rPr>
        <w:t>of</w:t>
      </w:r>
      <w:r>
        <w:rPr>
          <w:color w:val="231F20"/>
          <w:spacing w:val="3"/>
        </w:rPr>
        <w:t xml:space="preserve"> </w:t>
      </w:r>
      <w:r>
        <w:rPr>
          <w:color w:val="231F20"/>
        </w:rPr>
        <w:t>Standeven</w:t>
      </w:r>
      <w:r>
        <w:rPr>
          <w:color w:val="231F20"/>
          <w:spacing w:val="3"/>
        </w:rPr>
        <w:t xml:space="preserve"> </w:t>
      </w:r>
      <w:r>
        <w:rPr>
          <w:color w:val="231F20"/>
        </w:rPr>
        <w:t>and</w:t>
      </w:r>
      <w:r>
        <w:rPr>
          <w:color w:val="231F20"/>
          <w:spacing w:val="3"/>
        </w:rPr>
        <w:t xml:space="preserve"> </w:t>
      </w:r>
      <w:r>
        <w:rPr>
          <w:color w:val="231F20"/>
        </w:rPr>
        <w:t>De</w:t>
      </w:r>
      <w:r>
        <w:rPr>
          <w:color w:val="231F20"/>
          <w:spacing w:val="3"/>
        </w:rPr>
        <w:t xml:space="preserve"> </w:t>
      </w:r>
      <w:r>
        <w:rPr>
          <w:color w:val="231F20"/>
        </w:rPr>
        <w:t>Knop’s</w:t>
      </w:r>
      <w:r>
        <w:rPr>
          <w:color w:val="231F20"/>
          <w:spacing w:val="3"/>
        </w:rPr>
        <w:t xml:space="preserve"> </w:t>
      </w:r>
      <w:r>
        <w:rPr>
          <w:color w:val="231F20"/>
        </w:rPr>
        <w:t>(1999)</w:t>
      </w:r>
    </w:p>
    <w:p w14:paraId="505C6FC6" w14:textId="77777777" w:rsidR="00AE0598" w:rsidRDefault="00AE0598">
      <w:pPr>
        <w:spacing w:line="232" w:lineRule="auto"/>
        <w:jc w:val="both"/>
        <w:sectPr w:rsidR="00AE0598">
          <w:pgSz w:w="8850" w:h="13270"/>
          <w:pgMar w:top="720" w:right="1080" w:bottom="280" w:left="1080" w:header="720" w:footer="720" w:gutter="0"/>
          <w:cols w:space="720"/>
        </w:sectPr>
      </w:pPr>
    </w:p>
    <w:p w14:paraId="0538D806" w14:textId="549D0C2A" w:rsidR="00AE0598" w:rsidRDefault="0069255A">
      <w:pPr>
        <w:pStyle w:val="Corpodetexto"/>
        <w:rPr>
          <w:sz w:val="20"/>
        </w:rPr>
      </w:pPr>
      <w:r>
        <w:rPr>
          <w:noProof/>
        </w:rPr>
        <w:lastRenderedPageBreak/>
        <mc:AlternateContent>
          <mc:Choice Requires="wps">
            <w:drawing>
              <wp:anchor distT="0" distB="0" distL="114300" distR="114300" simplePos="0" relativeHeight="15748096" behindDoc="0" locked="0" layoutInCell="1" allowOverlap="1" wp14:anchorId="0B60877D" wp14:editId="30B2C0D9">
                <wp:simplePos x="0" y="0"/>
                <wp:positionH relativeFrom="page">
                  <wp:posOffset>7788910</wp:posOffset>
                </wp:positionH>
                <wp:positionV relativeFrom="page">
                  <wp:posOffset>741680</wp:posOffset>
                </wp:positionV>
                <wp:extent cx="130810" cy="2311400"/>
                <wp:effectExtent l="0" t="0" r="0" b="0"/>
                <wp:wrapNone/>
                <wp:docPr id="302" name="docshape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810" cy="2311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618EEF" w14:textId="77777777" w:rsidR="00AE0598" w:rsidRDefault="0069255A">
                            <w:pPr>
                              <w:spacing w:before="19"/>
                              <w:ind w:left="20"/>
                              <w:rPr>
                                <w:rFonts w:ascii="Trebuchet MS"/>
                                <w:sz w:val="14"/>
                              </w:rPr>
                            </w:pPr>
                            <w:r>
                              <w:rPr>
                                <w:rFonts w:ascii="Trebuchet MS"/>
                                <w:color w:val="231F20"/>
                                <w:w w:val="105"/>
                                <w:sz w:val="14"/>
                              </w:rPr>
                              <w:t>42</w:t>
                            </w:r>
                            <w:r>
                              <w:rPr>
                                <w:rFonts w:ascii="Trebuchet MS"/>
                                <w:color w:val="231F20"/>
                                <w:spacing w:val="64"/>
                                <w:w w:val="150"/>
                                <w:sz w:val="14"/>
                              </w:rPr>
                              <w:t xml:space="preserve"> </w:t>
                            </w:r>
                            <w:r>
                              <w:rPr>
                                <w:rFonts w:ascii="Trebuchet MS"/>
                                <w:color w:val="231F20"/>
                                <w:w w:val="105"/>
                                <w:sz w:val="14"/>
                              </w:rPr>
                              <w:t>Part</w:t>
                            </w:r>
                            <w:r>
                              <w:rPr>
                                <w:rFonts w:ascii="Trebuchet MS"/>
                                <w:color w:val="231F20"/>
                                <w:spacing w:val="-9"/>
                                <w:w w:val="105"/>
                                <w:sz w:val="14"/>
                              </w:rPr>
                              <w:t xml:space="preserve"> </w:t>
                            </w:r>
                            <w:r>
                              <w:rPr>
                                <w:rFonts w:ascii="Trebuchet MS"/>
                                <w:color w:val="231F20"/>
                                <w:w w:val="105"/>
                                <w:sz w:val="14"/>
                              </w:rPr>
                              <w:t>2:</w:t>
                            </w:r>
                            <w:r>
                              <w:rPr>
                                <w:rFonts w:ascii="Trebuchet MS"/>
                                <w:color w:val="231F20"/>
                                <w:spacing w:val="-9"/>
                                <w:w w:val="105"/>
                                <w:sz w:val="14"/>
                              </w:rPr>
                              <w:t xml:space="preserve"> </w:t>
                            </w:r>
                            <w:r>
                              <w:rPr>
                                <w:rFonts w:ascii="Trebuchet MS"/>
                                <w:color w:val="231F20"/>
                                <w:w w:val="105"/>
                                <w:sz w:val="14"/>
                              </w:rPr>
                              <w:t>Foundations</w:t>
                            </w:r>
                            <w:r>
                              <w:rPr>
                                <w:rFonts w:ascii="Trebuchet MS"/>
                                <w:color w:val="231F20"/>
                                <w:spacing w:val="-9"/>
                                <w:w w:val="105"/>
                                <w:sz w:val="14"/>
                              </w:rPr>
                              <w:t xml:space="preserve"> </w:t>
                            </w:r>
                            <w:r>
                              <w:rPr>
                                <w:rFonts w:ascii="Trebuchet MS"/>
                                <w:color w:val="231F20"/>
                                <w:w w:val="105"/>
                                <w:sz w:val="14"/>
                              </w:rPr>
                              <w:t>of</w:t>
                            </w:r>
                            <w:r>
                              <w:rPr>
                                <w:rFonts w:ascii="Trebuchet MS"/>
                                <w:color w:val="231F20"/>
                                <w:spacing w:val="-9"/>
                                <w:w w:val="105"/>
                                <w:sz w:val="14"/>
                              </w:rPr>
                              <w:t xml:space="preserve"> </w:t>
                            </w:r>
                            <w:r>
                              <w:rPr>
                                <w:rFonts w:ascii="Trebuchet MS"/>
                                <w:color w:val="231F20"/>
                                <w:w w:val="105"/>
                                <w:sz w:val="14"/>
                              </w:rPr>
                              <w:t>Sport</w:t>
                            </w:r>
                            <w:r>
                              <w:rPr>
                                <w:rFonts w:ascii="Trebuchet MS"/>
                                <w:color w:val="231F20"/>
                                <w:spacing w:val="-9"/>
                                <w:w w:val="105"/>
                                <w:sz w:val="14"/>
                              </w:rPr>
                              <w:t xml:space="preserve"> </w:t>
                            </w:r>
                            <w:r>
                              <w:rPr>
                                <w:rFonts w:ascii="Trebuchet MS"/>
                                <w:color w:val="231F20"/>
                                <w:w w:val="105"/>
                                <w:sz w:val="14"/>
                              </w:rPr>
                              <w:t>Tourism</w:t>
                            </w:r>
                            <w:r>
                              <w:rPr>
                                <w:rFonts w:ascii="Trebuchet MS"/>
                                <w:color w:val="231F20"/>
                                <w:spacing w:val="-9"/>
                                <w:w w:val="105"/>
                                <w:sz w:val="14"/>
                              </w:rPr>
                              <w:t xml:space="preserve"> </w:t>
                            </w:r>
                            <w:r>
                              <w:rPr>
                                <w:rFonts w:ascii="Trebuchet MS"/>
                                <w:color w:val="231F20"/>
                                <w:spacing w:val="-2"/>
                                <w:w w:val="105"/>
                                <w:sz w:val="14"/>
                              </w:rPr>
                              <w:t>Development</w:t>
                            </w:r>
                          </w:p>
                        </w:txbxContent>
                      </wps:txbx>
                      <wps:bodyPr rot="0" vert="vert"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60877D" id="docshape72" o:spid="_x0000_s1071" type="#_x0000_t202" style="position:absolute;margin-left:613.3pt;margin-top:58.4pt;width:10.3pt;height:182pt;z-index:157480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" filled="f" stroked="f">
                <v:textbox style="layout-flow:vertical" inset="0,0,0,0">
                  <w:txbxContent>
                    <w:p w14:paraId="7B618EEF" w14:textId="77777777" w:rsidR="00AE0598" w:rsidRDefault="0069255A">
                      <w:pPr>
                        <w:spacing w:before="19"/>
                        <w:ind w:left="20"/>
                        <w:rPr>
                          <w:rFonts w:ascii="Trebuchet MS"/>
                          <w:sz w:val="14"/>
                        </w:rPr>
                      </w:pPr>
                      <w:r>
                        <w:rPr>
                          <w:rFonts w:ascii="Trebuchet MS"/>
                          <w:color w:val="231F20"/>
                          <w:w w:val="105"/>
                          <w:sz w:val="14"/>
                        </w:rPr>
                        <w:t>42</w:t>
                      </w:r>
                      <w:r>
                        <w:rPr>
                          <w:rFonts w:ascii="Trebuchet MS"/>
                          <w:color w:val="231F20"/>
                          <w:spacing w:val="64"/>
                          <w:w w:val="150"/>
                          <w:sz w:val="14"/>
                        </w:rPr>
                        <w:t xml:space="preserve"> </w:t>
                      </w:r>
                      <w:r>
                        <w:rPr>
                          <w:rFonts w:ascii="Trebuchet MS"/>
                          <w:color w:val="231F20"/>
                          <w:w w:val="105"/>
                          <w:sz w:val="14"/>
                        </w:rPr>
                        <w:t>Part</w:t>
                      </w:r>
                      <w:r>
                        <w:rPr>
                          <w:rFonts w:ascii="Trebuchet MS"/>
                          <w:color w:val="231F20"/>
                          <w:spacing w:val="-9"/>
                          <w:w w:val="105"/>
                          <w:sz w:val="14"/>
                        </w:rPr>
                        <w:t xml:space="preserve"> </w:t>
                      </w:r>
                      <w:r>
                        <w:rPr>
                          <w:rFonts w:ascii="Trebuchet MS"/>
                          <w:color w:val="231F20"/>
                          <w:w w:val="105"/>
                          <w:sz w:val="14"/>
                        </w:rPr>
                        <w:t>2:</w:t>
                      </w:r>
                      <w:r>
                        <w:rPr>
                          <w:rFonts w:ascii="Trebuchet MS"/>
                          <w:color w:val="231F20"/>
                          <w:spacing w:val="-9"/>
                          <w:w w:val="105"/>
                          <w:sz w:val="14"/>
                        </w:rPr>
                        <w:t xml:space="preserve"> </w:t>
                      </w:r>
                      <w:r>
                        <w:rPr>
                          <w:rFonts w:ascii="Trebuchet MS"/>
                          <w:color w:val="231F20"/>
                          <w:w w:val="105"/>
                          <w:sz w:val="14"/>
                        </w:rPr>
                        <w:t>Foundations</w:t>
                      </w:r>
                      <w:r>
                        <w:rPr>
                          <w:rFonts w:ascii="Trebuchet MS"/>
                          <w:color w:val="231F20"/>
                          <w:spacing w:val="-9"/>
                          <w:w w:val="105"/>
                          <w:sz w:val="14"/>
                        </w:rPr>
                        <w:t xml:space="preserve"> </w:t>
                      </w:r>
                      <w:r>
                        <w:rPr>
                          <w:rFonts w:ascii="Trebuchet MS"/>
                          <w:color w:val="231F20"/>
                          <w:w w:val="105"/>
                          <w:sz w:val="14"/>
                        </w:rPr>
                        <w:t>of</w:t>
                      </w:r>
                      <w:r>
                        <w:rPr>
                          <w:rFonts w:ascii="Trebuchet MS"/>
                          <w:color w:val="231F20"/>
                          <w:spacing w:val="-9"/>
                          <w:w w:val="105"/>
                          <w:sz w:val="14"/>
                        </w:rPr>
                        <w:t xml:space="preserve"> </w:t>
                      </w:r>
                      <w:r>
                        <w:rPr>
                          <w:rFonts w:ascii="Trebuchet MS"/>
                          <w:color w:val="231F20"/>
                          <w:w w:val="105"/>
                          <w:sz w:val="14"/>
                        </w:rPr>
                        <w:t>Sport</w:t>
                      </w:r>
                      <w:r>
                        <w:rPr>
                          <w:rFonts w:ascii="Trebuchet MS"/>
                          <w:color w:val="231F20"/>
                          <w:spacing w:val="-9"/>
                          <w:w w:val="105"/>
                          <w:sz w:val="14"/>
                        </w:rPr>
                        <w:t xml:space="preserve"> </w:t>
                      </w:r>
                      <w:r>
                        <w:rPr>
                          <w:rFonts w:ascii="Trebuchet MS"/>
                          <w:color w:val="231F20"/>
                          <w:w w:val="105"/>
                          <w:sz w:val="14"/>
                        </w:rPr>
                        <w:t>Tourism</w:t>
                      </w:r>
                      <w:r>
                        <w:rPr>
                          <w:rFonts w:ascii="Trebuchet MS"/>
                          <w:color w:val="231F20"/>
                          <w:spacing w:val="-9"/>
                          <w:w w:val="105"/>
                          <w:sz w:val="14"/>
                        </w:rPr>
                        <w:t xml:space="preserve"> </w:t>
                      </w:r>
                      <w:r>
                        <w:rPr>
                          <w:rFonts w:ascii="Trebuchet MS"/>
                          <w:color w:val="231F20"/>
                          <w:spacing w:val="-2"/>
                          <w:w w:val="105"/>
                          <w:sz w:val="14"/>
                        </w:rPr>
                        <w:t>Development</w:t>
                      </w:r>
                    </w:p>
                  </w:txbxContent>
                </v:textbox>
                <w10:wrap anchorx="page" anchory="page"/>
              </v:shape>
            </w:pict>
          </mc:Fallback>
        </mc:AlternateContent>
      </w:r>
    </w:p>
    <w:p w14:paraId="70C41087" w14:textId="77777777" w:rsidR="00AE0598" w:rsidRDefault="00AE0598">
      <w:pPr>
        <w:pStyle w:val="Corpodetexto"/>
        <w:rPr>
          <w:sz w:val="20"/>
        </w:rPr>
      </w:pPr>
    </w:p>
    <w:p w14:paraId="2CBB0DA5" w14:textId="77777777" w:rsidR="00AE0598" w:rsidRDefault="00AE0598">
      <w:pPr>
        <w:pStyle w:val="Corpodetexto"/>
        <w:rPr>
          <w:sz w:val="20"/>
        </w:rPr>
      </w:pPr>
    </w:p>
    <w:p w14:paraId="1F073D7F" w14:textId="77777777" w:rsidR="00AE0598" w:rsidRDefault="00AE0598">
      <w:pPr>
        <w:pStyle w:val="Corpodetexto"/>
        <w:rPr>
          <w:sz w:val="20"/>
        </w:rPr>
      </w:pPr>
    </w:p>
    <w:p w14:paraId="73CF00B5" w14:textId="77777777" w:rsidR="00AE0598" w:rsidRDefault="00AE0598">
      <w:pPr>
        <w:pStyle w:val="Corpodetexto"/>
        <w:rPr>
          <w:sz w:val="20"/>
        </w:rPr>
      </w:pPr>
    </w:p>
    <w:p w14:paraId="675B1C35" w14:textId="77777777" w:rsidR="00AE0598" w:rsidRDefault="00AE0598">
      <w:pPr>
        <w:pStyle w:val="Corpodetexto"/>
        <w:rPr>
          <w:sz w:val="20"/>
        </w:rPr>
      </w:pPr>
    </w:p>
    <w:p w14:paraId="2D561238" w14:textId="77777777" w:rsidR="00AE0598" w:rsidRDefault="00AE0598">
      <w:pPr>
        <w:pStyle w:val="Corpodetexto"/>
        <w:rPr>
          <w:sz w:val="20"/>
        </w:rPr>
      </w:pPr>
    </w:p>
    <w:p w14:paraId="5A05B693" w14:textId="77777777" w:rsidR="00AE0598" w:rsidRDefault="00AE0598">
      <w:pPr>
        <w:pStyle w:val="Corpodetexto"/>
        <w:spacing w:before="11"/>
        <w:rPr>
          <w:sz w:val="20"/>
        </w:rPr>
      </w:pPr>
    </w:p>
    <w:p w14:paraId="283A0324" w14:textId="77777777" w:rsidR="00AE0598" w:rsidRDefault="0069255A">
      <w:pPr>
        <w:spacing w:before="100"/>
        <w:ind w:left="113"/>
        <w:rPr>
          <w:rFonts w:ascii="Trebuchet MS"/>
          <w:sz w:val="16"/>
        </w:rPr>
      </w:pPr>
      <w:r>
        <w:rPr>
          <w:rFonts w:ascii="Trebuchet MS"/>
          <w:b/>
          <w:color w:val="231F20"/>
          <w:sz w:val="16"/>
        </w:rPr>
        <w:t>Table</w:t>
      </w:r>
      <w:r>
        <w:rPr>
          <w:rFonts w:ascii="Trebuchet MS"/>
          <w:b/>
          <w:color w:val="231F20"/>
          <w:spacing w:val="8"/>
          <w:sz w:val="16"/>
        </w:rPr>
        <w:t xml:space="preserve"> </w:t>
      </w:r>
      <w:r>
        <w:rPr>
          <w:rFonts w:ascii="Trebuchet MS"/>
          <w:b/>
          <w:color w:val="231F20"/>
          <w:sz w:val="16"/>
        </w:rPr>
        <w:t>3.2</w:t>
      </w:r>
      <w:r>
        <w:rPr>
          <w:rFonts w:ascii="Trebuchet MS"/>
          <w:b/>
          <w:color w:val="231F20"/>
          <w:spacing w:val="53"/>
          <w:sz w:val="16"/>
        </w:rPr>
        <w:t xml:space="preserve"> </w:t>
      </w:r>
      <w:r>
        <w:rPr>
          <w:rFonts w:ascii="Trebuchet MS"/>
          <w:color w:val="231F20"/>
          <w:sz w:val="16"/>
        </w:rPr>
        <w:t>Sport</w:t>
      </w:r>
      <w:r>
        <w:rPr>
          <w:rFonts w:ascii="Trebuchet MS"/>
          <w:color w:val="231F20"/>
          <w:spacing w:val="9"/>
          <w:sz w:val="16"/>
        </w:rPr>
        <w:t xml:space="preserve"> </w:t>
      </w:r>
      <w:r>
        <w:rPr>
          <w:rFonts w:ascii="Trebuchet MS"/>
          <w:color w:val="231F20"/>
          <w:sz w:val="16"/>
        </w:rPr>
        <w:t>tourism</w:t>
      </w:r>
      <w:r>
        <w:rPr>
          <w:rFonts w:ascii="Trebuchet MS"/>
          <w:color w:val="231F20"/>
          <w:spacing w:val="8"/>
          <w:sz w:val="16"/>
        </w:rPr>
        <w:t xml:space="preserve"> </w:t>
      </w:r>
      <w:r>
        <w:rPr>
          <w:rFonts w:ascii="Trebuchet MS"/>
          <w:color w:val="231F20"/>
          <w:sz w:val="16"/>
        </w:rPr>
        <w:t>types</w:t>
      </w:r>
      <w:r>
        <w:rPr>
          <w:rFonts w:ascii="Trebuchet MS"/>
          <w:color w:val="231F20"/>
          <w:spacing w:val="8"/>
          <w:sz w:val="16"/>
        </w:rPr>
        <w:t xml:space="preserve"> </w:t>
      </w:r>
      <w:r>
        <w:rPr>
          <w:rFonts w:ascii="Trebuchet MS"/>
          <w:color w:val="231F20"/>
          <w:sz w:val="16"/>
        </w:rPr>
        <w:t>and</w:t>
      </w:r>
      <w:r>
        <w:rPr>
          <w:rFonts w:ascii="Trebuchet MS"/>
          <w:color w:val="231F20"/>
          <w:spacing w:val="9"/>
          <w:sz w:val="16"/>
        </w:rPr>
        <w:t xml:space="preserve"> </w:t>
      </w:r>
      <w:r>
        <w:rPr>
          <w:rFonts w:ascii="Trebuchet MS"/>
          <w:color w:val="231F20"/>
          <w:sz w:val="16"/>
        </w:rPr>
        <w:t>visitor</w:t>
      </w:r>
      <w:r>
        <w:rPr>
          <w:rFonts w:ascii="Trebuchet MS"/>
          <w:color w:val="231F20"/>
          <w:spacing w:val="8"/>
          <w:sz w:val="16"/>
        </w:rPr>
        <w:t xml:space="preserve"> </w:t>
      </w:r>
      <w:r>
        <w:rPr>
          <w:rFonts w:ascii="Trebuchet MS"/>
          <w:color w:val="231F20"/>
          <w:spacing w:val="-2"/>
          <w:sz w:val="16"/>
        </w:rPr>
        <w:t>profiles</w:t>
      </w:r>
    </w:p>
    <w:p w14:paraId="54973878" w14:textId="77777777" w:rsidR="00AE0598" w:rsidRDefault="00AE0598">
      <w:pPr>
        <w:pStyle w:val="Corpodetexto"/>
        <w:spacing w:before="7"/>
        <w:rPr>
          <w:rFonts w:ascii="Trebuchet MS"/>
          <w:sz w:val="7"/>
        </w:rPr>
      </w:pPr>
    </w:p>
    <w:tbl>
      <w:tblPr>
        <w:tblStyle w:val="TableNormal"/>
        <w:tblW w:w="0" w:type="auto"/>
        <w:tblInd w:w="121" w:type="dxa"/>
        <w:tblLayout w:type="fixed"/>
        <w:tblLook w:val="01E0" w:firstRow="1" w:lastRow="1" w:firstColumn="1" w:lastColumn="1" w:noHBand="0" w:noVBand="0"/>
      </w:tblPr>
      <w:tblGrid>
        <w:gridCol w:w="874"/>
        <w:gridCol w:w="1590"/>
        <w:gridCol w:w="1692"/>
        <w:gridCol w:w="1599"/>
        <w:gridCol w:w="1627"/>
        <w:gridCol w:w="1488"/>
        <w:gridCol w:w="1591"/>
      </w:tblGrid>
      <w:tr w:rsidR="00AE0598" w14:paraId="4564EF13" w14:textId="77777777">
        <w:trPr>
          <w:trHeight w:val="298"/>
        </w:trPr>
        <w:tc>
          <w:tcPr>
            <w:tcW w:w="874" w:type="dxa"/>
            <w:tcBorders>
              <w:bottom w:val="single" w:sz="2" w:space="0" w:color="231F20"/>
            </w:tcBorders>
          </w:tcPr>
          <w:p w14:paraId="485E3CDE" w14:textId="77777777" w:rsidR="00AE0598" w:rsidRDefault="0069255A">
            <w:pPr>
              <w:pStyle w:val="TableParagraph"/>
              <w:spacing w:before="49"/>
              <w:ind w:left="-1"/>
              <w:rPr>
                <w:b/>
                <w:sz w:val="14"/>
              </w:rPr>
            </w:pPr>
            <w:r>
              <w:rPr>
                <w:b/>
                <w:color w:val="231F20"/>
                <w:spacing w:val="-4"/>
                <w:sz w:val="14"/>
              </w:rPr>
              <w:t>Type</w:t>
            </w:r>
          </w:p>
        </w:tc>
        <w:tc>
          <w:tcPr>
            <w:tcW w:w="1590" w:type="dxa"/>
            <w:tcBorders>
              <w:bottom w:val="single" w:sz="2" w:space="0" w:color="231F20"/>
            </w:tcBorders>
          </w:tcPr>
          <w:p w14:paraId="6251F25A" w14:textId="77777777" w:rsidR="00AE0598" w:rsidRDefault="0069255A">
            <w:pPr>
              <w:pStyle w:val="TableParagraph"/>
              <w:spacing w:before="49"/>
              <w:ind w:left="159"/>
              <w:rPr>
                <w:b/>
                <w:sz w:val="14"/>
              </w:rPr>
            </w:pPr>
            <w:r>
              <w:rPr>
                <w:b/>
                <w:color w:val="231F20"/>
                <w:w w:val="95"/>
                <w:sz w:val="14"/>
              </w:rPr>
              <w:t>Decision-</w:t>
            </w:r>
            <w:r>
              <w:rPr>
                <w:b/>
                <w:color w:val="231F20"/>
                <w:spacing w:val="-2"/>
                <w:sz w:val="14"/>
              </w:rPr>
              <w:t>making</w:t>
            </w:r>
          </w:p>
        </w:tc>
        <w:tc>
          <w:tcPr>
            <w:tcW w:w="1692" w:type="dxa"/>
            <w:tcBorders>
              <w:bottom w:val="single" w:sz="2" w:space="0" w:color="231F20"/>
            </w:tcBorders>
          </w:tcPr>
          <w:p w14:paraId="7CCB6180" w14:textId="77777777" w:rsidR="00AE0598" w:rsidRDefault="0069255A">
            <w:pPr>
              <w:pStyle w:val="TableParagraph"/>
              <w:spacing w:before="49"/>
              <w:ind w:left="130"/>
              <w:rPr>
                <w:b/>
                <w:sz w:val="14"/>
              </w:rPr>
            </w:pPr>
            <w:r>
              <w:rPr>
                <w:b/>
                <w:color w:val="231F20"/>
                <w:spacing w:val="-2"/>
                <w:sz w:val="14"/>
              </w:rPr>
              <w:t>Participation</w:t>
            </w:r>
          </w:p>
        </w:tc>
        <w:tc>
          <w:tcPr>
            <w:tcW w:w="1599" w:type="dxa"/>
            <w:tcBorders>
              <w:bottom w:val="single" w:sz="2" w:space="0" w:color="231F20"/>
            </w:tcBorders>
          </w:tcPr>
          <w:p w14:paraId="2168608A" w14:textId="77777777" w:rsidR="00AE0598" w:rsidRDefault="0069255A">
            <w:pPr>
              <w:pStyle w:val="TableParagraph"/>
              <w:spacing w:before="49"/>
              <w:ind w:left="125"/>
              <w:rPr>
                <w:b/>
                <w:sz w:val="14"/>
              </w:rPr>
            </w:pPr>
            <w:r>
              <w:rPr>
                <w:b/>
                <w:color w:val="231F20"/>
                <w:sz w:val="14"/>
              </w:rPr>
              <w:t>Non-</w:t>
            </w:r>
            <w:r>
              <w:rPr>
                <w:b/>
                <w:color w:val="231F20"/>
                <w:spacing w:val="-2"/>
                <w:sz w:val="14"/>
              </w:rPr>
              <w:t>participation</w:t>
            </w:r>
          </w:p>
        </w:tc>
        <w:tc>
          <w:tcPr>
            <w:tcW w:w="1627" w:type="dxa"/>
            <w:tcBorders>
              <w:bottom w:val="single" w:sz="2" w:space="0" w:color="231F20"/>
            </w:tcBorders>
          </w:tcPr>
          <w:p w14:paraId="3C4C5D7C" w14:textId="77777777" w:rsidR="00AE0598" w:rsidRDefault="0069255A">
            <w:pPr>
              <w:pStyle w:val="TableParagraph"/>
              <w:spacing w:before="49"/>
              <w:ind w:left="130"/>
              <w:rPr>
                <w:b/>
                <w:sz w:val="14"/>
              </w:rPr>
            </w:pPr>
            <w:r>
              <w:rPr>
                <w:b/>
                <w:color w:val="231F20"/>
                <w:sz w:val="14"/>
              </w:rPr>
              <w:t>Group</w:t>
            </w:r>
            <w:r>
              <w:rPr>
                <w:b/>
                <w:color w:val="231F20"/>
                <w:spacing w:val="17"/>
                <w:sz w:val="14"/>
              </w:rPr>
              <w:t xml:space="preserve"> </w:t>
            </w:r>
            <w:r>
              <w:rPr>
                <w:b/>
                <w:color w:val="231F20"/>
                <w:spacing w:val="-2"/>
                <w:sz w:val="14"/>
              </w:rPr>
              <w:t>profile</w:t>
            </w:r>
          </w:p>
        </w:tc>
        <w:tc>
          <w:tcPr>
            <w:tcW w:w="1488" w:type="dxa"/>
            <w:tcBorders>
              <w:bottom w:val="single" w:sz="2" w:space="0" w:color="231F20"/>
            </w:tcBorders>
          </w:tcPr>
          <w:p w14:paraId="58AB1F3C" w14:textId="77777777" w:rsidR="00AE0598" w:rsidRDefault="0069255A">
            <w:pPr>
              <w:pStyle w:val="TableParagraph"/>
              <w:spacing w:before="49"/>
              <w:ind w:left="192"/>
              <w:rPr>
                <w:b/>
                <w:sz w:val="14"/>
              </w:rPr>
            </w:pPr>
            <w:r>
              <w:rPr>
                <w:b/>
                <w:color w:val="231F20"/>
                <w:spacing w:val="-2"/>
                <w:sz w:val="14"/>
              </w:rPr>
              <w:t>Lifestyle</w:t>
            </w:r>
          </w:p>
        </w:tc>
        <w:tc>
          <w:tcPr>
            <w:tcW w:w="1591" w:type="dxa"/>
            <w:tcBorders>
              <w:bottom w:val="single" w:sz="2" w:space="0" w:color="231F20"/>
            </w:tcBorders>
          </w:tcPr>
          <w:p w14:paraId="37DA1BB0" w14:textId="77777777" w:rsidR="00AE0598" w:rsidRDefault="0069255A">
            <w:pPr>
              <w:pStyle w:val="TableParagraph"/>
              <w:spacing w:before="49"/>
              <w:ind w:left="127"/>
              <w:rPr>
                <w:b/>
                <w:sz w:val="14"/>
              </w:rPr>
            </w:pPr>
            <w:r>
              <w:rPr>
                <w:b/>
                <w:color w:val="231F20"/>
                <w:spacing w:val="-2"/>
                <w:w w:val="105"/>
                <w:sz w:val="14"/>
              </w:rPr>
              <w:t>Spending</w:t>
            </w:r>
          </w:p>
        </w:tc>
      </w:tr>
      <w:tr w:rsidR="00AE0598" w14:paraId="53B44CEC" w14:textId="77777777">
        <w:trPr>
          <w:trHeight w:val="377"/>
        </w:trPr>
        <w:tc>
          <w:tcPr>
            <w:tcW w:w="874" w:type="dxa"/>
            <w:tcBorders>
              <w:top w:val="single" w:sz="2" w:space="0" w:color="231F20"/>
              <w:bottom w:val="single" w:sz="2" w:space="0" w:color="231F20"/>
            </w:tcBorders>
          </w:tcPr>
          <w:p w14:paraId="4C349853" w14:textId="77777777" w:rsidR="00AE0598" w:rsidRDefault="0069255A">
            <w:pPr>
              <w:pStyle w:val="TableParagraph"/>
              <w:spacing w:before="31"/>
              <w:ind w:left="-1"/>
              <w:rPr>
                <w:sz w:val="14"/>
              </w:rPr>
            </w:pPr>
            <w:r>
              <w:rPr>
                <w:color w:val="231F20"/>
                <w:spacing w:val="-2"/>
                <w:sz w:val="14"/>
              </w:rPr>
              <w:t>Incidental</w:t>
            </w:r>
          </w:p>
        </w:tc>
        <w:tc>
          <w:tcPr>
            <w:tcW w:w="1590" w:type="dxa"/>
            <w:tcBorders>
              <w:top w:val="single" w:sz="2" w:space="0" w:color="231F20"/>
              <w:bottom w:val="single" w:sz="4" w:space="0" w:color="231F20"/>
            </w:tcBorders>
          </w:tcPr>
          <w:p w14:paraId="18C47BA0" w14:textId="77777777" w:rsidR="00AE0598" w:rsidRDefault="0069255A">
            <w:pPr>
              <w:pStyle w:val="TableParagraph"/>
              <w:spacing w:before="31"/>
              <w:ind w:left="159"/>
              <w:rPr>
                <w:sz w:val="14"/>
              </w:rPr>
            </w:pPr>
            <w:r>
              <w:rPr>
                <w:color w:val="231F20"/>
                <w:spacing w:val="-2"/>
                <w:w w:val="105"/>
                <w:sz w:val="14"/>
              </w:rPr>
              <w:t>Unimportant</w:t>
            </w:r>
          </w:p>
        </w:tc>
        <w:tc>
          <w:tcPr>
            <w:tcW w:w="1692" w:type="dxa"/>
            <w:tcBorders>
              <w:top w:val="single" w:sz="2" w:space="0" w:color="231F20"/>
              <w:bottom w:val="single" w:sz="4" w:space="0" w:color="231F20"/>
            </w:tcBorders>
          </w:tcPr>
          <w:p w14:paraId="44C769F0" w14:textId="77777777" w:rsidR="00AE0598" w:rsidRDefault="0069255A">
            <w:pPr>
              <w:pStyle w:val="TableParagraph"/>
              <w:spacing w:before="31"/>
              <w:ind w:left="131"/>
              <w:rPr>
                <w:sz w:val="14"/>
              </w:rPr>
            </w:pPr>
            <w:r>
              <w:rPr>
                <w:color w:val="231F20"/>
                <w:w w:val="105"/>
                <w:sz w:val="14"/>
              </w:rPr>
              <w:t>Out</w:t>
            </w:r>
            <w:r>
              <w:rPr>
                <w:color w:val="231F20"/>
                <w:spacing w:val="5"/>
                <w:w w:val="105"/>
                <w:sz w:val="14"/>
              </w:rPr>
              <w:t xml:space="preserve"> </w:t>
            </w:r>
            <w:r>
              <w:rPr>
                <w:color w:val="231F20"/>
                <w:w w:val="105"/>
                <w:sz w:val="14"/>
              </w:rPr>
              <w:t>of</w:t>
            </w:r>
            <w:r>
              <w:rPr>
                <w:color w:val="231F20"/>
                <w:spacing w:val="5"/>
                <w:w w:val="105"/>
                <w:sz w:val="14"/>
              </w:rPr>
              <w:t xml:space="preserve"> </w:t>
            </w:r>
            <w:r>
              <w:rPr>
                <w:color w:val="231F20"/>
                <w:spacing w:val="-4"/>
                <w:w w:val="105"/>
                <w:sz w:val="14"/>
              </w:rPr>
              <w:t>duty</w:t>
            </w:r>
          </w:p>
        </w:tc>
        <w:tc>
          <w:tcPr>
            <w:tcW w:w="1599" w:type="dxa"/>
            <w:tcBorders>
              <w:top w:val="single" w:sz="2" w:space="0" w:color="231F20"/>
              <w:bottom w:val="single" w:sz="4" w:space="0" w:color="231F20"/>
            </w:tcBorders>
          </w:tcPr>
          <w:p w14:paraId="3137FA99" w14:textId="77777777" w:rsidR="00AE0598" w:rsidRDefault="0069255A">
            <w:pPr>
              <w:pStyle w:val="TableParagraph"/>
              <w:spacing w:before="33" w:line="235" w:lineRule="auto"/>
              <w:ind w:left="125" w:right="597"/>
              <w:rPr>
                <w:sz w:val="14"/>
              </w:rPr>
            </w:pPr>
            <w:r>
              <w:rPr>
                <w:color w:val="231F20"/>
                <w:sz w:val="14"/>
              </w:rPr>
              <w:t>Not</w:t>
            </w:r>
            <w:r>
              <w:rPr>
                <w:color w:val="231F20"/>
                <w:spacing w:val="-7"/>
                <w:sz w:val="14"/>
              </w:rPr>
              <w:t xml:space="preserve"> </w:t>
            </w:r>
            <w:r>
              <w:rPr>
                <w:color w:val="231F20"/>
                <w:sz w:val="14"/>
              </w:rPr>
              <w:t xml:space="preserve">relaxing, </w:t>
            </w:r>
            <w:r>
              <w:rPr>
                <w:color w:val="231F20"/>
                <w:spacing w:val="-2"/>
                <w:sz w:val="14"/>
              </w:rPr>
              <w:t>holiday-like</w:t>
            </w:r>
          </w:p>
        </w:tc>
        <w:tc>
          <w:tcPr>
            <w:tcW w:w="1627" w:type="dxa"/>
            <w:tcBorders>
              <w:top w:val="single" w:sz="2" w:space="0" w:color="231F20"/>
              <w:bottom w:val="single" w:sz="4" w:space="0" w:color="231F20"/>
            </w:tcBorders>
          </w:tcPr>
          <w:p w14:paraId="4B959453" w14:textId="77777777" w:rsidR="00AE0598" w:rsidRDefault="0069255A">
            <w:pPr>
              <w:pStyle w:val="TableParagraph"/>
              <w:spacing w:before="31"/>
              <w:ind w:left="129"/>
              <w:rPr>
                <w:sz w:val="14"/>
              </w:rPr>
            </w:pPr>
            <w:r>
              <w:rPr>
                <w:color w:val="231F20"/>
                <w:spacing w:val="-2"/>
                <w:sz w:val="14"/>
              </w:rPr>
              <w:t>Family</w:t>
            </w:r>
          </w:p>
        </w:tc>
        <w:tc>
          <w:tcPr>
            <w:tcW w:w="1488" w:type="dxa"/>
            <w:tcBorders>
              <w:top w:val="single" w:sz="2" w:space="0" w:color="231F20"/>
              <w:bottom w:val="single" w:sz="4" w:space="0" w:color="231F20"/>
            </w:tcBorders>
          </w:tcPr>
          <w:p w14:paraId="44681EB3" w14:textId="77777777" w:rsidR="00AE0598" w:rsidRDefault="0069255A">
            <w:pPr>
              <w:pStyle w:val="TableParagraph"/>
              <w:spacing w:before="33" w:line="235" w:lineRule="auto"/>
              <w:ind w:left="192" w:right="226"/>
              <w:rPr>
                <w:sz w:val="14"/>
              </w:rPr>
            </w:pPr>
            <w:r>
              <w:rPr>
                <w:color w:val="231F20"/>
                <w:sz w:val="14"/>
              </w:rPr>
              <w:t>Sport</w:t>
            </w:r>
            <w:r>
              <w:rPr>
                <w:color w:val="231F20"/>
                <w:spacing w:val="-7"/>
                <w:sz w:val="14"/>
              </w:rPr>
              <w:t xml:space="preserve"> </w:t>
            </w:r>
            <w:r>
              <w:rPr>
                <w:color w:val="231F20"/>
                <w:sz w:val="14"/>
              </w:rPr>
              <w:t xml:space="preserve">is </w:t>
            </w:r>
            <w:r>
              <w:rPr>
                <w:color w:val="231F20"/>
                <w:spacing w:val="-2"/>
                <w:sz w:val="14"/>
              </w:rPr>
              <w:t>significant</w:t>
            </w:r>
          </w:p>
        </w:tc>
        <w:tc>
          <w:tcPr>
            <w:tcW w:w="1591" w:type="dxa"/>
            <w:tcBorders>
              <w:top w:val="single" w:sz="2" w:space="0" w:color="231F20"/>
              <w:bottom w:val="single" w:sz="2" w:space="0" w:color="231F20"/>
            </w:tcBorders>
          </w:tcPr>
          <w:p w14:paraId="696E9E1A" w14:textId="77777777" w:rsidR="00AE0598" w:rsidRDefault="0069255A">
            <w:pPr>
              <w:pStyle w:val="TableParagraph"/>
              <w:spacing w:before="31"/>
              <w:ind w:left="128"/>
              <w:rPr>
                <w:sz w:val="14"/>
              </w:rPr>
            </w:pPr>
            <w:r>
              <w:rPr>
                <w:color w:val="231F20"/>
                <w:spacing w:val="-2"/>
                <w:w w:val="110"/>
                <w:sz w:val="14"/>
              </w:rPr>
              <w:t>Minimal</w:t>
            </w:r>
          </w:p>
        </w:tc>
      </w:tr>
      <w:tr w:rsidR="00AE0598" w14:paraId="3723AA63" w14:textId="77777777">
        <w:trPr>
          <w:trHeight w:val="375"/>
        </w:trPr>
        <w:tc>
          <w:tcPr>
            <w:tcW w:w="874" w:type="dxa"/>
            <w:tcBorders>
              <w:top w:val="single" w:sz="2" w:space="0" w:color="231F20"/>
              <w:bottom w:val="single" w:sz="4" w:space="0" w:color="231F20"/>
            </w:tcBorders>
          </w:tcPr>
          <w:p w14:paraId="46F7CEC7" w14:textId="77777777" w:rsidR="00AE0598" w:rsidRDefault="0069255A">
            <w:pPr>
              <w:pStyle w:val="TableParagraph"/>
              <w:spacing w:before="28"/>
              <w:ind w:left="-1"/>
              <w:rPr>
                <w:sz w:val="14"/>
              </w:rPr>
            </w:pPr>
            <w:r>
              <w:rPr>
                <w:color w:val="231F20"/>
                <w:spacing w:val="-2"/>
                <w:w w:val="105"/>
                <w:sz w:val="14"/>
              </w:rPr>
              <w:t>Sporadic</w:t>
            </w:r>
          </w:p>
        </w:tc>
        <w:tc>
          <w:tcPr>
            <w:tcW w:w="1590" w:type="dxa"/>
            <w:tcBorders>
              <w:top w:val="single" w:sz="4" w:space="0" w:color="231F20"/>
              <w:bottom w:val="single" w:sz="4" w:space="0" w:color="231F20"/>
            </w:tcBorders>
          </w:tcPr>
          <w:p w14:paraId="2BC4885A" w14:textId="77777777" w:rsidR="00AE0598" w:rsidRDefault="0069255A">
            <w:pPr>
              <w:pStyle w:val="TableParagraph"/>
              <w:spacing w:before="31" w:line="235" w:lineRule="auto"/>
              <w:ind w:left="159" w:right="241" w:hanging="1"/>
              <w:rPr>
                <w:sz w:val="14"/>
              </w:rPr>
            </w:pPr>
            <w:r>
              <w:rPr>
                <w:color w:val="231F20"/>
                <w:spacing w:val="-2"/>
                <w:sz w:val="14"/>
              </w:rPr>
              <w:t>Relatively</w:t>
            </w:r>
            <w:r>
              <w:rPr>
                <w:color w:val="231F20"/>
                <w:sz w:val="14"/>
              </w:rPr>
              <w:t xml:space="preserve"> </w:t>
            </w:r>
            <w:r>
              <w:rPr>
                <w:color w:val="231F20"/>
                <w:spacing w:val="-2"/>
                <w:sz w:val="14"/>
              </w:rPr>
              <w:t>important</w:t>
            </w:r>
          </w:p>
        </w:tc>
        <w:tc>
          <w:tcPr>
            <w:tcW w:w="1692" w:type="dxa"/>
            <w:tcBorders>
              <w:top w:val="single" w:sz="4" w:space="0" w:color="231F20"/>
              <w:bottom w:val="single" w:sz="4" w:space="0" w:color="231F20"/>
            </w:tcBorders>
          </w:tcPr>
          <w:p w14:paraId="2DAFB94A" w14:textId="77777777" w:rsidR="00AE0598" w:rsidRDefault="0069255A">
            <w:pPr>
              <w:pStyle w:val="TableParagraph"/>
              <w:spacing w:before="28"/>
              <w:ind w:left="131"/>
              <w:rPr>
                <w:sz w:val="14"/>
              </w:rPr>
            </w:pPr>
            <w:r>
              <w:rPr>
                <w:color w:val="231F20"/>
                <w:w w:val="105"/>
                <w:sz w:val="14"/>
              </w:rPr>
              <w:t>If</w:t>
            </w:r>
            <w:r>
              <w:rPr>
                <w:color w:val="231F20"/>
                <w:spacing w:val="-7"/>
                <w:w w:val="105"/>
                <w:sz w:val="14"/>
              </w:rPr>
              <w:t xml:space="preserve"> </w:t>
            </w:r>
            <w:r>
              <w:rPr>
                <w:color w:val="231F20"/>
                <w:spacing w:val="-2"/>
                <w:w w:val="105"/>
                <w:sz w:val="14"/>
              </w:rPr>
              <w:t>convenient</w:t>
            </w:r>
          </w:p>
        </w:tc>
        <w:tc>
          <w:tcPr>
            <w:tcW w:w="1599" w:type="dxa"/>
            <w:tcBorders>
              <w:top w:val="single" w:sz="4" w:space="0" w:color="231F20"/>
              <w:bottom w:val="single" w:sz="4" w:space="0" w:color="231F20"/>
            </w:tcBorders>
          </w:tcPr>
          <w:p w14:paraId="4964287E" w14:textId="77777777" w:rsidR="00AE0598" w:rsidRDefault="0069255A">
            <w:pPr>
              <w:pStyle w:val="TableParagraph"/>
              <w:spacing w:before="31" w:line="235" w:lineRule="auto"/>
              <w:ind w:left="125" w:right="204"/>
              <w:rPr>
                <w:sz w:val="14"/>
              </w:rPr>
            </w:pPr>
            <w:r>
              <w:rPr>
                <w:color w:val="231F20"/>
                <w:sz w:val="14"/>
              </w:rPr>
              <w:t>Easily</w:t>
            </w:r>
            <w:r>
              <w:rPr>
                <w:color w:val="231F20"/>
                <w:spacing w:val="-7"/>
                <w:sz w:val="14"/>
              </w:rPr>
              <w:t xml:space="preserve"> </w:t>
            </w:r>
            <w:r>
              <w:rPr>
                <w:color w:val="231F20"/>
                <w:spacing w:val="-1"/>
                <w:w w:val="102"/>
                <w:sz w:val="14"/>
              </w:rPr>
              <w:t>c</w:t>
            </w:r>
            <w:r>
              <w:rPr>
                <w:color w:val="231F20"/>
                <w:w w:val="102"/>
                <w:sz w:val="14"/>
              </w:rPr>
              <w:t>o</w:t>
            </w:r>
            <w:r>
              <w:rPr>
                <w:color w:val="231F20"/>
                <w:w w:val="111"/>
                <w:sz w:val="14"/>
              </w:rPr>
              <w:t>n</w:t>
            </w:r>
            <w:r>
              <w:rPr>
                <w:color w:val="231F20"/>
                <w:spacing w:val="1"/>
                <w:w w:val="98"/>
                <w:sz w:val="14"/>
              </w:rPr>
              <w:t>t</w:t>
            </w:r>
            <w:r>
              <w:rPr>
                <w:color w:val="231F20"/>
                <w:spacing w:val="-1"/>
                <w:w w:val="106"/>
                <w:sz w:val="14"/>
              </w:rPr>
              <w:t>ai</w:t>
            </w:r>
            <w:r>
              <w:rPr>
                <w:color w:val="231F20"/>
                <w:w w:val="106"/>
                <w:sz w:val="14"/>
              </w:rPr>
              <w:t>n</w:t>
            </w:r>
            <w:r>
              <w:rPr>
                <w:color w:val="231F20"/>
                <w:spacing w:val="1"/>
                <w:w w:val="101"/>
                <w:sz w:val="14"/>
              </w:rPr>
              <w:t>e</w:t>
            </w:r>
            <w:r>
              <w:rPr>
                <w:color w:val="231F20"/>
                <w:spacing w:val="3"/>
                <w:w w:val="109"/>
                <w:sz w:val="14"/>
              </w:rPr>
              <w:t>d</w:t>
            </w:r>
            <w:r>
              <w:rPr>
                <w:color w:val="231F20"/>
                <w:spacing w:val="-2"/>
                <w:w w:val="53"/>
                <w:sz w:val="14"/>
              </w:rPr>
              <w:t>/</w:t>
            </w:r>
            <w:r>
              <w:rPr>
                <w:color w:val="231F20"/>
                <w:w w:val="99"/>
                <w:sz w:val="14"/>
              </w:rPr>
              <w:t xml:space="preserve"> </w:t>
            </w:r>
            <w:r>
              <w:rPr>
                <w:color w:val="231F20"/>
                <w:sz w:val="14"/>
              </w:rPr>
              <w:t>put</w:t>
            </w:r>
            <w:r>
              <w:rPr>
                <w:color w:val="231F20"/>
                <w:spacing w:val="-7"/>
                <w:sz w:val="14"/>
              </w:rPr>
              <w:t xml:space="preserve"> </w:t>
            </w:r>
            <w:r>
              <w:rPr>
                <w:color w:val="231F20"/>
                <w:sz w:val="14"/>
              </w:rPr>
              <w:t>off</w:t>
            </w:r>
          </w:p>
        </w:tc>
        <w:tc>
          <w:tcPr>
            <w:tcW w:w="1627" w:type="dxa"/>
            <w:tcBorders>
              <w:top w:val="single" w:sz="4" w:space="0" w:color="231F20"/>
              <w:bottom w:val="single" w:sz="4" w:space="0" w:color="231F20"/>
            </w:tcBorders>
          </w:tcPr>
          <w:p w14:paraId="22725719" w14:textId="77777777" w:rsidR="00AE0598" w:rsidRDefault="0069255A">
            <w:pPr>
              <w:pStyle w:val="TableParagraph"/>
              <w:spacing w:before="28"/>
              <w:ind w:left="130"/>
              <w:rPr>
                <w:sz w:val="14"/>
              </w:rPr>
            </w:pPr>
            <w:r>
              <w:rPr>
                <w:color w:val="231F20"/>
                <w:w w:val="105"/>
                <w:sz w:val="14"/>
              </w:rPr>
              <w:t>Friends</w:t>
            </w:r>
            <w:r>
              <w:rPr>
                <w:color w:val="231F20"/>
                <w:spacing w:val="-3"/>
                <w:w w:val="105"/>
                <w:sz w:val="14"/>
              </w:rPr>
              <w:t xml:space="preserve"> </w:t>
            </w:r>
            <w:r>
              <w:rPr>
                <w:color w:val="231F20"/>
                <w:w w:val="105"/>
                <w:sz w:val="14"/>
              </w:rPr>
              <w:t>and</w:t>
            </w:r>
            <w:r>
              <w:rPr>
                <w:color w:val="231F20"/>
                <w:spacing w:val="-3"/>
                <w:w w:val="105"/>
                <w:sz w:val="14"/>
              </w:rPr>
              <w:t xml:space="preserve"> </w:t>
            </w:r>
            <w:r>
              <w:rPr>
                <w:color w:val="231F20"/>
                <w:spacing w:val="-2"/>
                <w:w w:val="105"/>
                <w:sz w:val="14"/>
              </w:rPr>
              <w:t>family</w:t>
            </w:r>
          </w:p>
        </w:tc>
        <w:tc>
          <w:tcPr>
            <w:tcW w:w="1488" w:type="dxa"/>
            <w:tcBorders>
              <w:top w:val="single" w:sz="4" w:space="0" w:color="231F20"/>
              <w:bottom w:val="single" w:sz="4" w:space="0" w:color="231F20"/>
            </w:tcBorders>
          </w:tcPr>
          <w:p w14:paraId="17840E16" w14:textId="77777777" w:rsidR="00AE0598" w:rsidRDefault="0069255A">
            <w:pPr>
              <w:pStyle w:val="TableParagraph"/>
              <w:spacing w:before="28"/>
              <w:ind w:left="192"/>
              <w:rPr>
                <w:sz w:val="14"/>
              </w:rPr>
            </w:pPr>
            <w:r>
              <w:rPr>
                <w:color w:val="231F20"/>
                <w:w w:val="105"/>
                <w:sz w:val="14"/>
              </w:rPr>
              <w:t>Non-</w:t>
            </w:r>
            <w:r>
              <w:rPr>
                <w:color w:val="231F20"/>
                <w:spacing w:val="-2"/>
                <w:w w:val="105"/>
                <w:sz w:val="14"/>
              </w:rPr>
              <w:t>essential</w:t>
            </w:r>
          </w:p>
        </w:tc>
        <w:tc>
          <w:tcPr>
            <w:tcW w:w="1591" w:type="dxa"/>
            <w:tcBorders>
              <w:top w:val="single" w:sz="2" w:space="0" w:color="231F20"/>
              <w:bottom w:val="single" w:sz="4" w:space="0" w:color="231F20"/>
            </w:tcBorders>
          </w:tcPr>
          <w:p w14:paraId="401D17B7" w14:textId="77777777" w:rsidR="00AE0598" w:rsidRDefault="0069255A">
            <w:pPr>
              <w:pStyle w:val="TableParagraph"/>
              <w:spacing w:before="31" w:line="235" w:lineRule="auto"/>
              <w:ind w:left="128" w:right="197" w:hanging="1"/>
              <w:rPr>
                <w:sz w:val="14"/>
              </w:rPr>
            </w:pPr>
            <w:r>
              <w:rPr>
                <w:color w:val="231F20"/>
                <w:sz w:val="14"/>
              </w:rPr>
              <w:t xml:space="preserve">Minimal except for </w:t>
            </w:r>
            <w:r>
              <w:rPr>
                <w:color w:val="231F20"/>
                <w:spacing w:val="-2"/>
                <w:sz w:val="14"/>
              </w:rPr>
              <w:t>‘one-offs’</w:t>
            </w:r>
          </w:p>
        </w:tc>
      </w:tr>
      <w:tr w:rsidR="00AE0598" w14:paraId="43C78C58" w14:textId="77777777">
        <w:trPr>
          <w:trHeight w:val="535"/>
        </w:trPr>
        <w:tc>
          <w:tcPr>
            <w:tcW w:w="874" w:type="dxa"/>
            <w:tcBorders>
              <w:top w:val="single" w:sz="4" w:space="0" w:color="231F20"/>
              <w:bottom w:val="single" w:sz="4" w:space="0" w:color="231F20"/>
            </w:tcBorders>
          </w:tcPr>
          <w:p w14:paraId="6E4C68CF" w14:textId="77777777" w:rsidR="00AE0598" w:rsidRDefault="0069255A">
            <w:pPr>
              <w:pStyle w:val="TableParagraph"/>
              <w:spacing w:before="28"/>
              <w:rPr>
                <w:sz w:val="14"/>
              </w:rPr>
            </w:pPr>
            <w:r>
              <w:rPr>
                <w:color w:val="231F20"/>
                <w:spacing w:val="-2"/>
                <w:sz w:val="14"/>
              </w:rPr>
              <w:t>Occasional</w:t>
            </w:r>
          </w:p>
        </w:tc>
        <w:tc>
          <w:tcPr>
            <w:tcW w:w="1590" w:type="dxa"/>
            <w:tcBorders>
              <w:top w:val="single" w:sz="4" w:space="0" w:color="231F20"/>
              <w:bottom w:val="single" w:sz="4" w:space="0" w:color="231F20"/>
            </w:tcBorders>
          </w:tcPr>
          <w:p w14:paraId="045DCD08" w14:textId="77777777" w:rsidR="00AE0598" w:rsidRDefault="0069255A">
            <w:pPr>
              <w:pStyle w:val="TableParagraph"/>
              <w:spacing w:before="31" w:line="235" w:lineRule="auto"/>
              <w:ind w:left="159" w:hanging="1"/>
              <w:rPr>
                <w:sz w:val="14"/>
              </w:rPr>
            </w:pPr>
            <w:r>
              <w:rPr>
                <w:color w:val="231F20"/>
                <w:spacing w:val="-2"/>
                <w:w w:val="105"/>
                <w:sz w:val="14"/>
              </w:rPr>
              <w:t>Sometimes determining</w:t>
            </w:r>
          </w:p>
        </w:tc>
        <w:tc>
          <w:tcPr>
            <w:tcW w:w="1692" w:type="dxa"/>
            <w:tcBorders>
              <w:top w:val="single" w:sz="4" w:space="0" w:color="231F20"/>
              <w:bottom w:val="single" w:sz="4" w:space="0" w:color="231F20"/>
            </w:tcBorders>
          </w:tcPr>
          <w:p w14:paraId="1D8F5AE4" w14:textId="77777777" w:rsidR="00AE0598" w:rsidRDefault="0069255A">
            <w:pPr>
              <w:pStyle w:val="TableParagraph"/>
              <w:spacing w:before="31" w:line="235" w:lineRule="auto"/>
              <w:ind w:left="131"/>
              <w:rPr>
                <w:sz w:val="14"/>
              </w:rPr>
            </w:pPr>
            <w:r>
              <w:rPr>
                <w:color w:val="231F20"/>
                <w:w w:val="105"/>
                <w:sz w:val="14"/>
              </w:rPr>
              <w:t>Welcome</w:t>
            </w:r>
            <w:r>
              <w:rPr>
                <w:color w:val="231F20"/>
                <w:spacing w:val="-1"/>
                <w:w w:val="105"/>
                <w:sz w:val="14"/>
              </w:rPr>
              <w:t xml:space="preserve"> </w:t>
            </w:r>
            <w:r>
              <w:rPr>
                <w:color w:val="231F20"/>
                <w:w w:val="105"/>
                <w:sz w:val="14"/>
              </w:rPr>
              <w:t>addition</w:t>
            </w:r>
            <w:r>
              <w:rPr>
                <w:color w:val="231F20"/>
                <w:spacing w:val="-1"/>
                <w:w w:val="105"/>
                <w:sz w:val="14"/>
              </w:rPr>
              <w:t xml:space="preserve"> </w:t>
            </w:r>
            <w:r>
              <w:rPr>
                <w:color w:val="231F20"/>
                <w:w w:val="105"/>
                <w:sz w:val="14"/>
              </w:rPr>
              <w:t>to tourist</w:t>
            </w:r>
            <w:r>
              <w:rPr>
                <w:color w:val="231F20"/>
                <w:spacing w:val="-9"/>
                <w:w w:val="105"/>
                <w:sz w:val="14"/>
              </w:rPr>
              <w:t xml:space="preserve"> </w:t>
            </w:r>
            <w:r>
              <w:rPr>
                <w:color w:val="231F20"/>
                <w:w w:val="105"/>
                <w:sz w:val="14"/>
              </w:rPr>
              <w:t>experience</w:t>
            </w:r>
          </w:p>
        </w:tc>
        <w:tc>
          <w:tcPr>
            <w:tcW w:w="1599" w:type="dxa"/>
            <w:tcBorders>
              <w:top w:val="single" w:sz="4" w:space="0" w:color="231F20"/>
              <w:bottom w:val="single" w:sz="4" w:space="0" w:color="231F20"/>
            </w:tcBorders>
          </w:tcPr>
          <w:p w14:paraId="1F9E8C09" w14:textId="77777777" w:rsidR="00AE0598" w:rsidRDefault="0069255A">
            <w:pPr>
              <w:pStyle w:val="TableParagraph"/>
              <w:spacing w:before="28"/>
              <w:ind w:left="125"/>
              <w:rPr>
                <w:sz w:val="14"/>
              </w:rPr>
            </w:pPr>
            <w:r>
              <w:rPr>
                <w:color w:val="231F20"/>
                <w:w w:val="105"/>
                <w:sz w:val="14"/>
              </w:rPr>
              <w:t>Other</w:t>
            </w:r>
            <w:r>
              <w:rPr>
                <w:color w:val="231F20"/>
                <w:spacing w:val="8"/>
                <w:w w:val="105"/>
                <w:sz w:val="14"/>
              </w:rPr>
              <w:t xml:space="preserve"> </w:t>
            </w:r>
            <w:r>
              <w:rPr>
                <w:color w:val="231F20"/>
                <w:spacing w:val="-2"/>
                <w:w w:val="105"/>
                <w:sz w:val="14"/>
              </w:rPr>
              <w:t>commitments</w:t>
            </w:r>
          </w:p>
        </w:tc>
        <w:tc>
          <w:tcPr>
            <w:tcW w:w="1627" w:type="dxa"/>
            <w:tcBorders>
              <w:top w:val="single" w:sz="4" w:space="0" w:color="231F20"/>
              <w:bottom w:val="single" w:sz="4" w:space="0" w:color="231F20"/>
            </w:tcBorders>
          </w:tcPr>
          <w:p w14:paraId="206EF962" w14:textId="77777777" w:rsidR="00AE0598" w:rsidRDefault="0069255A">
            <w:pPr>
              <w:pStyle w:val="TableParagraph"/>
              <w:spacing w:before="31" w:line="235" w:lineRule="auto"/>
              <w:ind w:left="130"/>
              <w:rPr>
                <w:sz w:val="14"/>
              </w:rPr>
            </w:pPr>
            <w:r>
              <w:rPr>
                <w:color w:val="231F20"/>
                <w:sz w:val="14"/>
              </w:rPr>
              <w:t>Often</w:t>
            </w:r>
            <w:r>
              <w:rPr>
                <w:color w:val="231F20"/>
                <w:spacing w:val="-7"/>
                <w:sz w:val="14"/>
              </w:rPr>
              <w:t xml:space="preserve"> </w:t>
            </w:r>
            <w:r>
              <w:rPr>
                <w:color w:val="231F20"/>
                <w:sz w:val="14"/>
              </w:rPr>
              <w:t>individual especially</w:t>
            </w:r>
            <w:r>
              <w:rPr>
                <w:color w:val="231F20"/>
                <w:spacing w:val="-7"/>
                <w:sz w:val="14"/>
              </w:rPr>
              <w:t xml:space="preserve"> </w:t>
            </w:r>
            <w:r>
              <w:rPr>
                <w:color w:val="231F20"/>
                <w:sz w:val="14"/>
              </w:rPr>
              <w:t xml:space="preserve">business </w:t>
            </w:r>
            <w:r>
              <w:rPr>
                <w:color w:val="231F20"/>
                <w:spacing w:val="-2"/>
                <w:sz w:val="14"/>
              </w:rPr>
              <w:t>tourists</w:t>
            </w:r>
          </w:p>
        </w:tc>
        <w:tc>
          <w:tcPr>
            <w:tcW w:w="1488" w:type="dxa"/>
            <w:tcBorders>
              <w:top w:val="single" w:sz="4" w:space="0" w:color="231F20"/>
              <w:bottom w:val="single" w:sz="4" w:space="0" w:color="231F20"/>
            </w:tcBorders>
          </w:tcPr>
          <w:p w14:paraId="5C61DC59" w14:textId="77777777" w:rsidR="00AE0598" w:rsidRDefault="0069255A">
            <w:pPr>
              <w:pStyle w:val="TableParagraph"/>
              <w:spacing w:before="31" w:line="235" w:lineRule="auto"/>
              <w:ind w:left="192"/>
              <w:rPr>
                <w:sz w:val="14"/>
              </w:rPr>
            </w:pPr>
            <w:r>
              <w:rPr>
                <w:color w:val="231F20"/>
                <w:spacing w:val="-2"/>
                <w:w w:val="105"/>
                <w:sz w:val="14"/>
              </w:rPr>
              <w:t>Conspicuous consumption</w:t>
            </w:r>
          </w:p>
        </w:tc>
        <w:tc>
          <w:tcPr>
            <w:tcW w:w="1591" w:type="dxa"/>
            <w:tcBorders>
              <w:top w:val="single" w:sz="4" w:space="0" w:color="231F20"/>
              <w:bottom w:val="single" w:sz="4" w:space="0" w:color="231F20"/>
            </w:tcBorders>
          </w:tcPr>
          <w:p w14:paraId="314F2191" w14:textId="77777777" w:rsidR="00AE0598" w:rsidRDefault="0069255A">
            <w:pPr>
              <w:pStyle w:val="TableParagraph"/>
              <w:spacing w:before="28"/>
              <w:ind w:left="128"/>
              <w:rPr>
                <w:sz w:val="14"/>
              </w:rPr>
            </w:pPr>
            <w:r>
              <w:rPr>
                <w:color w:val="231F20"/>
                <w:w w:val="105"/>
                <w:sz w:val="14"/>
              </w:rPr>
              <w:t>High</w:t>
            </w:r>
            <w:r>
              <w:rPr>
                <w:color w:val="231F20"/>
                <w:spacing w:val="10"/>
                <w:w w:val="105"/>
                <w:sz w:val="14"/>
              </w:rPr>
              <w:t xml:space="preserve"> </w:t>
            </w:r>
            <w:r>
              <w:rPr>
                <w:color w:val="231F20"/>
                <w:w w:val="105"/>
                <w:sz w:val="14"/>
              </w:rPr>
              <w:t>on</w:t>
            </w:r>
            <w:r>
              <w:rPr>
                <w:color w:val="231F20"/>
                <w:spacing w:val="11"/>
                <w:w w:val="105"/>
                <w:sz w:val="14"/>
              </w:rPr>
              <w:t xml:space="preserve"> </w:t>
            </w:r>
            <w:r>
              <w:rPr>
                <w:color w:val="231F20"/>
                <w:spacing w:val="-2"/>
                <w:w w:val="105"/>
                <w:sz w:val="14"/>
              </w:rPr>
              <w:t>occasions</w:t>
            </w:r>
          </w:p>
        </w:tc>
      </w:tr>
      <w:tr w:rsidR="00AE0598" w14:paraId="732EB863" w14:textId="77777777">
        <w:trPr>
          <w:trHeight w:val="374"/>
        </w:trPr>
        <w:tc>
          <w:tcPr>
            <w:tcW w:w="874" w:type="dxa"/>
            <w:tcBorders>
              <w:top w:val="single" w:sz="4" w:space="0" w:color="231F20"/>
              <w:bottom w:val="single" w:sz="4" w:space="0" w:color="231F20"/>
            </w:tcBorders>
          </w:tcPr>
          <w:p w14:paraId="595FEF8C" w14:textId="77777777" w:rsidR="00AE0598" w:rsidRDefault="0069255A">
            <w:pPr>
              <w:pStyle w:val="TableParagraph"/>
              <w:spacing w:before="28"/>
              <w:rPr>
                <w:sz w:val="14"/>
              </w:rPr>
            </w:pPr>
            <w:r>
              <w:rPr>
                <w:color w:val="231F20"/>
                <w:spacing w:val="-2"/>
                <w:w w:val="105"/>
                <w:sz w:val="14"/>
              </w:rPr>
              <w:t>Regular</w:t>
            </w:r>
          </w:p>
        </w:tc>
        <w:tc>
          <w:tcPr>
            <w:tcW w:w="1590" w:type="dxa"/>
            <w:tcBorders>
              <w:top w:val="single" w:sz="4" w:space="0" w:color="231F20"/>
              <w:bottom w:val="single" w:sz="4" w:space="0" w:color="231F20"/>
            </w:tcBorders>
          </w:tcPr>
          <w:p w14:paraId="5075B70F" w14:textId="77777777" w:rsidR="00AE0598" w:rsidRDefault="0069255A">
            <w:pPr>
              <w:pStyle w:val="TableParagraph"/>
              <w:spacing w:before="28"/>
              <w:ind w:left="159"/>
              <w:rPr>
                <w:sz w:val="14"/>
              </w:rPr>
            </w:pPr>
            <w:r>
              <w:rPr>
                <w:color w:val="231F20"/>
                <w:spacing w:val="-2"/>
                <w:w w:val="105"/>
                <w:sz w:val="14"/>
              </w:rPr>
              <w:t>Important</w:t>
            </w:r>
          </w:p>
        </w:tc>
        <w:tc>
          <w:tcPr>
            <w:tcW w:w="1692" w:type="dxa"/>
            <w:tcBorders>
              <w:top w:val="single" w:sz="4" w:space="0" w:color="231F20"/>
              <w:bottom w:val="single" w:sz="4" w:space="0" w:color="231F20"/>
            </w:tcBorders>
          </w:tcPr>
          <w:p w14:paraId="4EFC9530" w14:textId="77777777" w:rsidR="00AE0598" w:rsidRDefault="0069255A">
            <w:pPr>
              <w:pStyle w:val="TableParagraph"/>
              <w:spacing w:before="31" w:line="235" w:lineRule="auto"/>
              <w:ind w:left="131"/>
              <w:rPr>
                <w:sz w:val="14"/>
              </w:rPr>
            </w:pPr>
            <w:r>
              <w:rPr>
                <w:color w:val="231F20"/>
                <w:w w:val="105"/>
                <w:sz w:val="14"/>
              </w:rPr>
              <w:t>Significant</w:t>
            </w:r>
            <w:r>
              <w:rPr>
                <w:color w:val="231F20"/>
                <w:spacing w:val="-6"/>
                <w:w w:val="105"/>
                <w:sz w:val="14"/>
              </w:rPr>
              <w:t xml:space="preserve"> </w:t>
            </w:r>
            <w:r>
              <w:rPr>
                <w:color w:val="231F20"/>
                <w:w w:val="105"/>
                <w:sz w:val="14"/>
              </w:rPr>
              <w:t>part</w:t>
            </w:r>
            <w:r>
              <w:rPr>
                <w:color w:val="231F20"/>
                <w:spacing w:val="-6"/>
                <w:w w:val="105"/>
                <w:sz w:val="14"/>
              </w:rPr>
              <w:t xml:space="preserve"> </w:t>
            </w:r>
            <w:r>
              <w:rPr>
                <w:color w:val="231F20"/>
                <w:w w:val="105"/>
                <w:sz w:val="14"/>
              </w:rPr>
              <w:t xml:space="preserve">of </w:t>
            </w:r>
            <w:r>
              <w:rPr>
                <w:color w:val="231F20"/>
                <w:spacing w:val="-2"/>
                <w:w w:val="105"/>
                <w:sz w:val="14"/>
              </w:rPr>
              <w:t>enjoyment</w:t>
            </w:r>
          </w:p>
        </w:tc>
        <w:tc>
          <w:tcPr>
            <w:tcW w:w="1599" w:type="dxa"/>
            <w:tcBorders>
              <w:top w:val="single" w:sz="4" w:space="0" w:color="231F20"/>
              <w:bottom w:val="single" w:sz="4" w:space="0" w:color="231F20"/>
            </w:tcBorders>
          </w:tcPr>
          <w:p w14:paraId="4AF42B01" w14:textId="77777777" w:rsidR="00AE0598" w:rsidRDefault="0069255A">
            <w:pPr>
              <w:pStyle w:val="TableParagraph"/>
              <w:spacing w:before="31" w:line="235" w:lineRule="auto"/>
              <w:ind w:left="125" w:right="34"/>
              <w:rPr>
                <w:sz w:val="14"/>
              </w:rPr>
            </w:pPr>
            <w:r>
              <w:rPr>
                <w:color w:val="231F20"/>
                <w:w w:val="105"/>
                <w:sz w:val="14"/>
              </w:rPr>
              <w:t>Money or time become</w:t>
            </w:r>
            <w:r>
              <w:rPr>
                <w:color w:val="231F20"/>
                <w:spacing w:val="-12"/>
                <w:w w:val="105"/>
                <w:sz w:val="14"/>
              </w:rPr>
              <w:t xml:space="preserve"> </w:t>
            </w:r>
            <w:r>
              <w:rPr>
                <w:color w:val="231F20"/>
                <w:w w:val="105"/>
                <w:sz w:val="14"/>
              </w:rPr>
              <w:t>prohibitive</w:t>
            </w:r>
          </w:p>
        </w:tc>
        <w:tc>
          <w:tcPr>
            <w:tcW w:w="1627" w:type="dxa"/>
            <w:tcBorders>
              <w:top w:val="single" w:sz="4" w:space="0" w:color="231F20"/>
              <w:bottom w:val="single" w:sz="4" w:space="0" w:color="231F20"/>
            </w:tcBorders>
          </w:tcPr>
          <w:p w14:paraId="142293AB" w14:textId="77777777" w:rsidR="00AE0598" w:rsidRDefault="0069255A">
            <w:pPr>
              <w:pStyle w:val="TableParagraph"/>
              <w:spacing w:before="28"/>
              <w:ind w:left="130"/>
              <w:rPr>
                <w:sz w:val="14"/>
              </w:rPr>
            </w:pPr>
            <w:r>
              <w:rPr>
                <w:color w:val="231F20"/>
                <w:w w:val="105"/>
                <w:sz w:val="14"/>
              </w:rPr>
              <w:t>Group</w:t>
            </w:r>
            <w:r>
              <w:rPr>
                <w:color w:val="231F20"/>
                <w:spacing w:val="6"/>
                <w:w w:val="105"/>
                <w:sz w:val="14"/>
              </w:rPr>
              <w:t xml:space="preserve"> </w:t>
            </w:r>
            <w:r>
              <w:rPr>
                <w:color w:val="231F20"/>
                <w:w w:val="105"/>
                <w:sz w:val="14"/>
              </w:rPr>
              <w:t>or</w:t>
            </w:r>
            <w:r>
              <w:rPr>
                <w:color w:val="231F20"/>
                <w:spacing w:val="6"/>
                <w:w w:val="105"/>
                <w:sz w:val="14"/>
              </w:rPr>
              <w:t xml:space="preserve"> </w:t>
            </w:r>
            <w:r>
              <w:rPr>
                <w:color w:val="231F20"/>
                <w:spacing w:val="-2"/>
                <w:w w:val="105"/>
                <w:sz w:val="14"/>
              </w:rPr>
              <w:t>individual</w:t>
            </w:r>
          </w:p>
        </w:tc>
        <w:tc>
          <w:tcPr>
            <w:tcW w:w="1488" w:type="dxa"/>
            <w:tcBorders>
              <w:top w:val="single" w:sz="4" w:space="0" w:color="231F20"/>
              <w:bottom w:val="single" w:sz="4" w:space="0" w:color="231F20"/>
            </w:tcBorders>
          </w:tcPr>
          <w:p w14:paraId="0D87B37B" w14:textId="77777777" w:rsidR="00AE0598" w:rsidRDefault="0069255A">
            <w:pPr>
              <w:pStyle w:val="TableParagraph"/>
              <w:spacing w:before="28"/>
              <w:ind w:left="194"/>
              <w:rPr>
                <w:sz w:val="14"/>
              </w:rPr>
            </w:pPr>
            <w:r>
              <w:rPr>
                <w:color w:val="231F20"/>
                <w:spacing w:val="-2"/>
                <w:w w:val="105"/>
                <w:sz w:val="14"/>
              </w:rPr>
              <w:t>Important</w:t>
            </w:r>
          </w:p>
        </w:tc>
        <w:tc>
          <w:tcPr>
            <w:tcW w:w="1591" w:type="dxa"/>
            <w:tcBorders>
              <w:top w:val="single" w:sz="4" w:space="0" w:color="231F20"/>
              <w:bottom w:val="single" w:sz="4" w:space="0" w:color="231F20"/>
            </w:tcBorders>
          </w:tcPr>
          <w:p w14:paraId="29FD3D8B" w14:textId="77777777" w:rsidR="00AE0598" w:rsidRDefault="0069255A">
            <w:pPr>
              <w:pStyle w:val="TableParagraph"/>
              <w:spacing w:before="28"/>
              <w:ind w:left="129"/>
              <w:rPr>
                <w:sz w:val="14"/>
              </w:rPr>
            </w:pPr>
            <w:r>
              <w:rPr>
                <w:color w:val="231F20"/>
                <w:spacing w:val="-2"/>
                <w:w w:val="105"/>
                <w:sz w:val="14"/>
              </w:rPr>
              <w:t>Considerable</w:t>
            </w:r>
          </w:p>
        </w:tc>
      </w:tr>
      <w:tr w:rsidR="00AE0598" w14:paraId="584CC729" w14:textId="77777777">
        <w:trPr>
          <w:trHeight w:val="535"/>
        </w:trPr>
        <w:tc>
          <w:tcPr>
            <w:tcW w:w="874" w:type="dxa"/>
            <w:tcBorders>
              <w:top w:val="single" w:sz="4" w:space="0" w:color="231F20"/>
              <w:bottom w:val="single" w:sz="4" w:space="0" w:color="231F20"/>
            </w:tcBorders>
          </w:tcPr>
          <w:p w14:paraId="6264A553" w14:textId="77777777" w:rsidR="00AE0598" w:rsidRDefault="0069255A">
            <w:pPr>
              <w:pStyle w:val="TableParagraph"/>
              <w:spacing w:before="28"/>
              <w:rPr>
                <w:sz w:val="14"/>
              </w:rPr>
            </w:pPr>
            <w:r>
              <w:rPr>
                <w:color w:val="231F20"/>
                <w:spacing w:val="-2"/>
                <w:w w:val="105"/>
                <w:sz w:val="14"/>
              </w:rPr>
              <w:t>Dedicated</w:t>
            </w:r>
          </w:p>
        </w:tc>
        <w:tc>
          <w:tcPr>
            <w:tcW w:w="1590" w:type="dxa"/>
            <w:tcBorders>
              <w:top w:val="single" w:sz="4" w:space="0" w:color="231F20"/>
              <w:bottom w:val="single" w:sz="4" w:space="0" w:color="231F20"/>
            </w:tcBorders>
          </w:tcPr>
          <w:p w14:paraId="4A2748A1" w14:textId="77777777" w:rsidR="00AE0598" w:rsidRDefault="0069255A">
            <w:pPr>
              <w:pStyle w:val="TableParagraph"/>
              <w:spacing w:before="28"/>
              <w:ind w:left="159"/>
              <w:rPr>
                <w:sz w:val="14"/>
              </w:rPr>
            </w:pPr>
            <w:r>
              <w:rPr>
                <w:color w:val="231F20"/>
                <w:w w:val="105"/>
                <w:sz w:val="14"/>
              </w:rPr>
              <w:t>Very</w:t>
            </w:r>
            <w:r>
              <w:rPr>
                <w:color w:val="231F20"/>
                <w:spacing w:val="-3"/>
                <w:w w:val="105"/>
                <w:sz w:val="14"/>
              </w:rPr>
              <w:t xml:space="preserve"> </w:t>
            </w:r>
            <w:r>
              <w:rPr>
                <w:color w:val="231F20"/>
                <w:spacing w:val="-2"/>
                <w:w w:val="105"/>
                <w:sz w:val="14"/>
              </w:rPr>
              <w:t>important</w:t>
            </w:r>
          </w:p>
        </w:tc>
        <w:tc>
          <w:tcPr>
            <w:tcW w:w="1692" w:type="dxa"/>
            <w:tcBorders>
              <w:top w:val="single" w:sz="4" w:space="0" w:color="231F20"/>
              <w:bottom w:val="single" w:sz="4" w:space="0" w:color="231F20"/>
            </w:tcBorders>
          </w:tcPr>
          <w:p w14:paraId="601A1C68" w14:textId="77777777" w:rsidR="00AE0598" w:rsidRDefault="0069255A">
            <w:pPr>
              <w:pStyle w:val="TableParagraph"/>
              <w:spacing w:before="28"/>
              <w:ind w:left="130"/>
              <w:rPr>
                <w:sz w:val="14"/>
              </w:rPr>
            </w:pPr>
            <w:r>
              <w:rPr>
                <w:color w:val="231F20"/>
                <w:sz w:val="14"/>
              </w:rPr>
              <w:t>Central</w:t>
            </w:r>
            <w:r>
              <w:rPr>
                <w:color w:val="231F20"/>
                <w:spacing w:val="10"/>
                <w:sz w:val="14"/>
              </w:rPr>
              <w:t xml:space="preserve"> </w:t>
            </w:r>
            <w:r>
              <w:rPr>
                <w:color w:val="231F20"/>
                <w:sz w:val="14"/>
              </w:rPr>
              <w:t>to</w:t>
            </w:r>
            <w:r>
              <w:rPr>
                <w:color w:val="231F20"/>
                <w:spacing w:val="10"/>
                <w:sz w:val="14"/>
              </w:rPr>
              <w:t xml:space="preserve"> </w:t>
            </w:r>
            <w:r>
              <w:rPr>
                <w:color w:val="231F20"/>
                <w:spacing w:val="-2"/>
                <w:sz w:val="14"/>
              </w:rPr>
              <w:t>experience</w:t>
            </w:r>
          </w:p>
        </w:tc>
        <w:tc>
          <w:tcPr>
            <w:tcW w:w="1599" w:type="dxa"/>
            <w:tcBorders>
              <w:top w:val="single" w:sz="4" w:space="0" w:color="231F20"/>
              <w:bottom w:val="single" w:sz="4" w:space="0" w:color="231F20"/>
            </w:tcBorders>
          </w:tcPr>
          <w:p w14:paraId="64C0AC67" w14:textId="77777777" w:rsidR="00AE0598" w:rsidRDefault="0069255A">
            <w:pPr>
              <w:pStyle w:val="TableParagraph"/>
              <w:spacing w:before="31" w:line="235" w:lineRule="auto"/>
              <w:ind w:left="125" w:hanging="1"/>
              <w:rPr>
                <w:sz w:val="14"/>
              </w:rPr>
            </w:pPr>
            <w:r>
              <w:rPr>
                <w:color w:val="231F20"/>
                <w:w w:val="105"/>
                <w:sz w:val="14"/>
              </w:rPr>
              <w:t xml:space="preserve">Due to unforeseen </w:t>
            </w:r>
            <w:r>
              <w:rPr>
                <w:color w:val="231F20"/>
                <w:spacing w:val="-2"/>
                <w:w w:val="105"/>
                <w:sz w:val="14"/>
              </w:rPr>
              <w:t>barriers</w:t>
            </w:r>
          </w:p>
        </w:tc>
        <w:tc>
          <w:tcPr>
            <w:tcW w:w="1627" w:type="dxa"/>
            <w:tcBorders>
              <w:top w:val="single" w:sz="4" w:space="0" w:color="231F20"/>
              <w:bottom w:val="single" w:sz="4" w:space="0" w:color="231F20"/>
            </w:tcBorders>
          </w:tcPr>
          <w:p w14:paraId="4EA2D777" w14:textId="77777777" w:rsidR="00AE0598" w:rsidRDefault="0069255A">
            <w:pPr>
              <w:pStyle w:val="TableParagraph"/>
              <w:spacing w:before="31" w:line="235" w:lineRule="auto"/>
              <w:ind w:left="130" w:right="557"/>
              <w:rPr>
                <w:sz w:val="14"/>
              </w:rPr>
            </w:pPr>
            <w:r>
              <w:rPr>
                <w:color w:val="231F20"/>
                <w:spacing w:val="-2"/>
                <w:w w:val="105"/>
                <w:sz w:val="14"/>
              </w:rPr>
              <w:t>Individuals</w:t>
            </w:r>
            <w:r>
              <w:rPr>
                <w:color w:val="231F20"/>
                <w:spacing w:val="40"/>
                <w:w w:val="105"/>
                <w:sz w:val="14"/>
              </w:rPr>
              <w:t xml:space="preserve"> </w:t>
            </w:r>
            <w:r>
              <w:rPr>
                <w:color w:val="231F20"/>
                <w:w w:val="105"/>
                <w:sz w:val="14"/>
              </w:rPr>
              <w:t xml:space="preserve">and groups of </w:t>
            </w:r>
            <w:r>
              <w:rPr>
                <w:color w:val="231F20"/>
                <w:spacing w:val="-2"/>
                <w:w w:val="105"/>
                <w:sz w:val="14"/>
              </w:rPr>
              <w:t>like-minded</w:t>
            </w:r>
          </w:p>
        </w:tc>
        <w:tc>
          <w:tcPr>
            <w:tcW w:w="1488" w:type="dxa"/>
            <w:tcBorders>
              <w:top w:val="single" w:sz="4" w:space="0" w:color="231F20"/>
              <w:bottom w:val="single" w:sz="4" w:space="0" w:color="231F20"/>
            </w:tcBorders>
          </w:tcPr>
          <w:p w14:paraId="5830C739" w14:textId="77777777" w:rsidR="00AE0598" w:rsidRDefault="0069255A">
            <w:pPr>
              <w:pStyle w:val="TableParagraph"/>
              <w:spacing w:before="28"/>
              <w:ind w:left="192"/>
              <w:rPr>
                <w:sz w:val="14"/>
              </w:rPr>
            </w:pPr>
            <w:r>
              <w:rPr>
                <w:color w:val="231F20"/>
                <w:w w:val="105"/>
                <w:sz w:val="14"/>
              </w:rPr>
              <w:t>Defining</w:t>
            </w:r>
            <w:r>
              <w:rPr>
                <w:color w:val="231F20"/>
                <w:spacing w:val="26"/>
                <w:w w:val="105"/>
                <w:sz w:val="14"/>
              </w:rPr>
              <w:t xml:space="preserve"> </w:t>
            </w:r>
            <w:r>
              <w:rPr>
                <w:color w:val="231F20"/>
                <w:spacing w:val="-2"/>
                <w:w w:val="105"/>
                <w:sz w:val="14"/>
              </w:rPr>
              <w:t>element</w:t>
            </w:r>
          </w:p>
        </w:tc>
        <w:tc>
          <w:tcPr>
            <w:tcW w:w="1591" w:type="dxa"/>
            <w:tcBorders>
              <w:top w:val="single" w:sz="4" w:space="0" w:color="231F20"/>
              <w:bottom w:val="single" w:sz="4" w:space="0" w:color="231F20"/>
            </w:tcBorders>
          </w:tcPr>
          <w:p w14:paraId="6257AB20" w14:textId="77777777" w:rsidR="00AE0598" w:rsidRDefault="0069255A">
            <w:pPr>
              <w:pStyle w:val="TableParagraph"/>
              <w:spacing w:before="31" w:line="235" w:lineRule="auto"/>
              <w:ind w:left="128"/>
              <w:rPr>
                <w:sz w:val="14"/>
              </w:rPr>
            </w:pPr>
            <w:r>
              <w:rPr>
                <w:color w:val="231F20"/>
                <w:w w:val="105"/>
                <w:sz w:val="14"/>
              </w:rPr>
              <w:t>Extremely</w:t>
            </w:r>
            <w:r>
              <w:rPr>
                <w:color w:val="231F20"/>
                <w:spacing w:val="-2"/>
                <w:w w:val="105"/>
                <w:sz w:val="14"/>
              </w:rPr>
              <w:t xml:space="preserve"> </w:t>
            </w:r>
            <w:r>
              <w:rPr>
                <w:color w:val="231F20"/>
                <w:w w:val="105"/>
                <w:sz w:val="14"/>
              </w:rPr>
              <w:t>high</w:t>
            </w:r>
            <w:r>
              <w:rPr>
                <w:color w:val="231F20"/>
                <w:spacing w:val="-2"/>
                <w:w w:val="105"/>
                <w:sz w:val="14"/>
              </w:rPr>
              <w:t xml:space="preserve"> </w:t>
            </w:r>
            <w:r>
              <w:rPr>
                <w:color w:val="231F20"/>
                <w:w w:val="105"/>
                <w:sz w:val="14"/>
              </w:rPr>
              <w:t xml:space="preserve">and </w:t>
            </w:r>
            <w:r>
              <w:rPr>
                <w:color w:val="231F20"/>
                <w:spacing w:val="-2"/>
                <w:w w:val="105"/>
                <w:sz w:val="14"/>
              </w:rPr>
              <w:t>consistent</w:t>
            </w:r>
          </w:p>
        </w:tc>
      </w:tr>
      <w:tr w:rsidR="00AE0598" w14:paraId="0C40522F" w14:textId="77777777">
        <w:trPr>
          <w:trHeight w:val="375"/>
        </w:trPr>
        <w:tc>
          <w:tcPr>
            <w:tcW w:w="874" w:type="dxa"/>
            <w:tcBorders>
              <w:top w:val="single" w:sz="4" w:space="0" w:color="231F20"/>
              <w:bottom w:val="single" w:sz="4" w:space="0" w:color="231F20"/>
            </w:tcBorders>
          </w:tcPr>
          <w:p w14:paraId="14815640" w14:textId="77777777" w:rsidR="00AE0598" w:rsidRDefault="0069255A">
            <w:pPr>
              <w:pStyle w:val="TableParagraph"/>
              <w:spacing w:before="28"/>
              <w:rPr>
                <w:sz w:val="14"/>
              </w:rPr>
            </w:pPr>
            <w:r>
              <w:rPr>
                <w:color w:val="231F20"/>
                <w:spacing w:val="-2"/>
                <w:w w:val="105"/>
                <w:sz w:val="14"/>
              </w:rPr>
              <w:t>Driven</w:t>
            </w:r>
          </w:p>
        </w:tc>
        <w:tc>
          <w:tcPr>
            <w:tcW w:w="1590" w:type="dxa"/>
            <w:tcBorders>
              <w:top w:val="single" w:sz="4" w:space="0" w:color="231F20"/>
              <w:bottom w:val="single" w:sz="4" w:space="0" w:color="231F20"/>
            </w:tcBorders>
          </w:tcPr>
          <w:p w14:paraId="40D68D5F" w14:textId="77777777" w:rsidR="00AE0598" w:rsidRDefault="0069255A">
            <w:pPr>
              <w:pStyle w:val="TableParagraph"/>
              <w:spacing w:before="31" w:line="235" w:lineRule="auto"/>
              <w:ind w:left="159"/>
              <w:rPr>
                <w:sz w:val="14"/>
              </w:rPr>
            </w:pPr>
            <w:r>
              <w:rPr>
                <w:color w:val="231F20"/>
                <w:w w:val="105"/>
                <w:sz w:val="14"/>
              </w:rPr>
              <w:t>Very important but little</w:t>
            </w:r>
            <w:r>
              <w:rPr>
                <w:color w:val="231F20"/>
                <w:spacing w:val="-9"/>
                <w:w w:val="105"/>
                <w:sz w:val="14"/>
              </w:rPr>
              <w:t xml:space="preserve"> </w:t>
            </w:r>
            <w:r>
              <w:rPr>
                <w:color w:val="231F20"/>
                <w:w w:val="105"/>
                <w:sz w:val="14"/>
              </w:rPr>
              <w:t>autonomy</w:t>
            </w:r>
          </w:p>
        </w:tc>
        <w:tc>
          <w:tcPr>
            <w:tcW w:w="1692" w:type="dxa"/>
            <w:tcBorders>
              <w:top w:val="single" w:sz="4" w:space="0" w:color="231F20"/>
              <w:bottom w:val="single" w:sz="4" w:space="0" w:color="231F20"/>
            </w:tcBorders>
          </w:tcPr>
          <w:p w14:paraId="01FA513A" w14:textId="77777777" w:rsidR="00AE0598" w:rsidRDefault="0069255A">
            <w:pPr>
              <w:pStyle w:val="TableParagraph"/>
              <w:spacing w:before="28"/>
              <w:ind w:left="131"/>
              <w:rPr>
                <w:sz w:val="14"/>
              </w:rPr>
            </w:pPr>
            <w:r>
              <w:rPr>
                <w:color w:val="231F20"/>
                <w:w w:val="105"/>
                <w:sz w:val="14"/>
              </w:rPr>
              <w:t>Sole</w:t>
            </w:r>
            <w:r>
              <w:rPr>
                <w:color w:val="231F20"/>
                <w:spacing w:val="-3"/>
                <w:w w:val="105"/>
                <w:sz w:val="14"/>
              </w:rPr>
              <w:t xml:space="preserve"> </w:t>
            </w:r>
            <w:r>
              <w:rPr>
                <w:color w:val="231F20"/>
                <w:spacing w:val="-2"/>
                <w:w w:val="105"/>
                <w:sz w:val="14"/>
              </w:rPr>
              <w:t>reason</w:t>
            </w:r>
          </w:p>
        </w:tc>
        <w:tc>
          <w:tcPr>
            <w:tcW w:w="1599" w:type="dxa"/>
            <w:tcBorders>
              <w:top w:val="single" w:sz="4" w:space="0" w:color="231F20"/>
              <w:bottom w:val="single" w:sz="4" w:space="0" w:color="231F20"/>
            </w:tcBorders>
          </w:tcPr>
          <w:p w14:paraId="7B0ADE21" w14:textId="77777777" w:rsidR="00AE0598" w:rsidRDefault="0069255A">
            <w:pPr>
              <w:pStyle w:val="TableParagraph"/>
              <w:spacing w:before="31" w:line="235" w:lineRule="auto"/>
              <w:ind w:left="125" w:right="204"/>
              <w:rPr>
                <w:sz w:val="14"/>
              </w:rPr>
            </w:pPr>
            <w:r>
              <w:rPr>
                <w:color w:val="231F20"/>
                <w:w w:val="105"/>
                <w:sz w:val="14"/>
              </w:rPr>
              <w:t>Through</w:t>
            </w:r>
            <w:r>
              <w:rPr>
                <w:color w:val="231F20"/>
                <w:spacing w:val="-1"/>
                <w:w w:val="105"/>
                <w:sz w:val="14"/>
              </w:rPr>
              <w:t xml:space="preserve"> </w:t>
            </w:r>
            <w:r>
              <w:rPr>
                <w:color w:val="231F20"/>
                <w:w w:val="105"/>
                <w:sz w:val="14"/>
              </w:rPr>
              <w:t>injury</w:t>
            </w:r>
            <w:r>
              <w:rPr>
                <w:color w:val="231F20"/>
                <w:spacing w:val="-1"/>
                <w:w w:val="105"/>
                <w:sz w:val="14"/>
              </w:rPr>
              <w:t xml:space="preserve"> </w:t>
            </w:r>
            <w:r>
              <w:rPr>
                <w:color w:val="231F20"/>
                <w:w w:val="105"/>
                <w:sz w:val="14"/>
              </w:rPr>
              <w:t>or fear of it</w:t>
            </w:r>
          </w:p>
        </w:tc>
        <w:tc>
          <w:tcPr>
            <w:tcW w:w="1627" w:type="dxa"/>
            <w:tcBorders>
              <w:top w:val="single" w:sz="4" w:space="0" w:color="231F20"/>
              <w:bottom w:val="single" w:sz="4" w:space="0" w:color="231F20"/>
            </w:tcBorders>
          </w:tcPr>
          <w:p w14:paraId="6AF8A3CE" w14:textId="77777777" w:rsidR="00AE0598" w:rsidRDefault="0069255A">
            <w:pPr>
              <w:pStyle w:val="TableParagraph"/>
              <w:spacing w:before="31" w:line="235" w:lineRule="auto"/>
              <w:ind w:left="130" w:right="105"/>
              <w:rPr>
                <w:sz w:val="14"/>
              </w:rPr>
            </w:pPr>
            <w:r>
              <w:rPr>
                <w:color w:val="231F20"/>
                <w:w w:val="105"/>
                <w:sz w:val="14"/>
              </w:rPr>
              <w:t>Elite</w:t>
            </w:r>
            <w:r>
              <w:rPr>
                <w:color w:val="231F20"/>
                <w:spacing w:val="-10"/>
                <w:w w:val="105"/>
                <w:sz w:val="14"/>
              </w:rPr>
              <w:t xml:space="preserve"> </w:t>
            </w:r>
            <w:r>
              <w:rPr>
                <w:color w:val="231F20"/>
                <w:w w:val="105"/>
                <w:sz w:val="14"/>
              </w:rPr>
              <w:t>groups</w:t>
            </w:r>
            <w:r>
              <w:rPr>
                <w:color w:val="231F20"/>
                <w:spacing w:val="-10"/>
                <w:w w:val="105"/>
                <w:sz w:val="14"/>
              </w:rPr>
              <w:t xml:space="preserve"> </w:t>
            </w:r>
            <w:r>
              <w:rPr>
                <w:color w:val="231F20"/>
                <w:w w:val="105"/>
                <w:sz w:val="14"/>
              </w:rPr>
              <w:t xml:space="preserve">or </w:t>
            </w:r>
            <w:r>
              <w:rPr>
                <w:color w:val="231F20"/>
                <w:spacing w:val="-2"/>
                <w:w w:val="105"/>
                <w:sz w:val="14"/>
              </w:rPr>
              <w:t>solitary</w:t>
            </w:r>
          </w:p>
        </w:tc>
        <w:tc>
          <w:tcPr>
            <w:tcW w:w="1488" w:type="dxa"/>
            <w:tcBorders>
              <w:top w:val="single" w:sz="4" w:space="0" w:color="231F20"/>
              <w:bottom w:val="single" w:sz="4" w:space="0" w:color="231F20"/>
            </w:tcBorders>
          </w:tcPr>
          <w:p w14:paraId="5FB10481" w14:textId="77777777" w:rsidR="00AE0598" w:rsidRDefault="0069255A">
            <w:pPr>
              <w:pStyle w:val="TableParagraph"/>
              <w:spacing w:before="28"/>
              <w:ind w:left="192"/>
              <w:rPr>
                <w:sz w:val="14"/>
              </w:rPr>
            </w:pPr>
            <w:r>
              <w:rPr>
                <w:color w:val="231F20"/>
                <w:sz w:val="14"/>
              </w:rPr>
              <w:t>The</w:t>
            </w:r>
            <w:r>
              <w:rPr>
                <w:color w:val="231F20"/>
                <w:spacing w:val="4"/>
                <w:w w:val="105"/>
                <w:sz w:val="14"/>
              </w:rPr>
              <w:t xml:space="preserve"> </w:t>
            </w:r>
            <w:r>
              <w:rPr>
                <w:color w:val="231F20"/>
                <w:spacing w:val="-2"/>
                <w:w w:val="105"/>
                <w:sz w:val="14"/>
              </w:rPr>
              <w:t>profession</w:t>
            </w:r>
          </w:p>
        </w:tc>
        <w:tc>
          <w:tcPr>
            <w:tcW w:w="1591" w:type="dxa"/>
            <w:tcBorders>
              <w:top w:val="single" w:sz="4" w:space="0" w:color="231F20"/>
              <w:bottom w:val="single" w:sz="4" w:space="0" w:color="231F20"/>
            </w:tcBorders>
          </w:tcPr>
          <w:p w14:paraId="2506ADA5" w14:textId="77777777" w:rsidR="00AE0598" w:rsidRDefault="0069255A">
            <w:pPr>
              <w:pStyle w:val="TableParagraph"/>
              <w:spacing w:before="31" w:line="235" w:lineRule="auto"/>
              <w:ind w:left="128"/>
              <w:rPr>
                <w:sz w:val="14"/>
              </w:rPr>
            </w:pPr>
            <w:r>
              <w:rPr>
                <w:color w:val="231F20"/>
                <w:w w:val="105"/>
                <w:sz w:val="14"/>
              </w:rPr>
              <w:t>Extremely</w:t>
            </w:r>
            <w:r>
              <w:rPr>
                <w:color w:val="231F20"/>
                <w:spacing w:val="-4"/>
                <w:w w:val="105"/>
                <w:sz w:val="14"/>
              </w:rPr>
              <w:t xml:space="preserve"> </w:t>
            </w:r>
            <w:r>
              <w:rPr>
                <w:color w:val="231F20"/>
                <w:w w:val="105"/>
                <w:sz w:val="14"/>
              </w:rPr>
              <w:t>high</w:t>
            </w:r>
            <w:r>
              <w:rPr>
                <w:color w:val="231F20"/>
                <w:spacing w:val="-4"/>
                <w:w w:val="105"/>
                <w:sz w:val="14"/>
              </w:rPr>
              <w:t xml:space="preserve"> </w:t>
            </w:r>
            <w:r>
              <w:rPr>
                <w:color w:val="231F20"/>
                <w:w w:val="105"/>
                <w:sz w:val="14"/>
              </w:rPr>
              <w:t>but funded by others</w:t>
            </w:r>
          </w:p>
        </w:tc>
      </w:tr>
    </w:tbl>
    <w:p w14:paraId="1A9D943E" w14:textId="77777777" w:rsidR="00AE0598" w:rsidRDefault="0069255A">
      <w:pPr>
        <w:spacing w:before="70"/>
        <w:ind w:left="113"/>
        <w:rPr>
          <w:rFonts w:ascii="Trebuchet MS"/>
          <w:sz w:val="14"/>
        </w:rPr>
      </w:pPr>
      <w:r>
        <w:rPr>
          <w:rFonts w:ascii="Trebuchet MS"/>
          <w:color w:val="231F20"/>
          <w:sz w:val="14"/>
        </w:rPr>
        <w:t>Source:</w:t>
      </w:r>
      <w:r>
        <w:rPr>
          <w:rFonts w:ascii="Trebuchet MS"/>
          <w:color w:val="231F20"/>
          <w:spacing w:val="7"/>
          <w:sz w:val="14"/>
        </w:rPr>
        <w:t xml:space="preserve"> </w:t>
      </w:r>
      <w:r>
        <w:rPr>
          <w:rFonts w:ascii="Trebuchet MS"/>
          <w:color w:val="231F20"/>
          <w:sz w:val="14"/>
        </w:rPr>
        <w:t>Reeves</w:t>
      </w:r>
      <w:r>
        <w:rPr>
          <w:rFonts w:ascii="Trebuchet MS"/>
          <w:color w:val="231F20"/>
          <w:spacing w:val="8"/>
          <w:sz w:val="14"/>
        </w:rPr>
        <w:t xml:space="preserve"> </w:t>
      </w:r>
      <w:r>
        <w:rPr>
          <w:rFonts w:ascii="Trebuchet MS"/>
          <w:color w:val="231F20"/>
          <w:spacing w:val="-2"/>
          <w:sz w:val="14"/>
        </w:rPr>
        <w:t>(2000).</w:t>
      </w:r>
    </w:p>
    <w:p w14:paraId="2A4CC6B9" w14:textId="77777777" w:rsidR="00AE0598" w:rsidRDefault="00AE0598">
      <w:pPr>
        <w:rPr>
          <w:rFonts w:ascii="Trebuchet MS"/>
          <w:sz w:val="14"/>
        </w:rPr>
        <w:sectPr w:rsidR="00AE0598">
          <w:pgSz w:w="13270" w:h="8850" w:orient="landscape"/>
          <w:pgMar w:top="800" w:right="1220" w:bottom="280" w:left="1360" w:header="720" w:footer="720" w:gutter="0"/>
          <w:cols w:space="720"/>
        </w:sectPr>
      </w:pPr>
    </w:p>
    <w:p w14:paraId="5E706386" w14:textId="77777777" w:rsidR="00AE0598" w:rsidRDefault="0069255A">
      <w:pPr>
        <w:spacing w:before="87"/>
        <w:ind w:left="110" w:right="128"/>
        <w:jc w:val="right"/>
        <w:rPr>
          <w:rFonts w:ascii="Trebuchet MS"/>
          <w:sz w:val="14"/>
        </w:rPr>
      </w:pPr>
      <w:r>
        <w:rPr>
          <w:rFonts w:ascii="Trebuchet MS"/>
          <w:color w:val="231F20"/>
          <w:w w:val="105"/>
          <w:sz w:val="14"/>
        </w:rPr>
        <w:lastRenderedPageBreak/>
        <w:t>Sport</w:t>
      </w:r>
      <w:r>
        <w:rPr>
          <w:rFonts w:ascii="Trebuchet MS"/>
          <w:color w:val="231F20"/>
          <w:spacing w:val="-7"/>
          <w:w w:val="105"/>
          <w:sz w:val="14"/>
        </w:rPr>
        <w:t xml:space="preserve"> </w:t>
      </w:r>
      <w:r>
        <w:rPr>
          <w:rFonts w:ascii="Trebuchet MS"/>
          <w:color w:val="231F20"/>
          <w:w w:val="105"/>
          <w:sz w:val="14"/>
        </w:rPr>
        <w:t>Tourism</w:t>
      </w:r>
      <w:r>
        <w:rPr>
          <w:rFonts w:ascii="Trebuchet MS"/>
          <w:color w:val="231F20"/>
          <w:spacing w:val="-7"/>
          <w:w w:val="105"/>
          <w:sz w:val="14"/>
        </w:rPr>
        <w:t xml:space="preserve"> </w:t>
      </w:r>
      <w:r>
        <w:rPr>
          <w:rFonts w:ascii="Trebuchet MS"/>
          <w:color w:val="231F20"/>
          <w:w w:val="105"/>
          <w:sz w:val="14"/>
        </w:rPr>
        <w:t>Markets</w:t>
      </w:r>
      <w:r>
        <w:rPr>
          <w:rFonts w:ascii="Trebuchet MS"/>
          <w:color w:val="231F20"/>
          <w:spacing w:val="73"/>
          <w:w w:val="150"/>
          <w:sz w:val="14"/>
        </w:rPr>
        <w:t xml:space="preserve"> </w:t>
      </w:r>
      <w:r>
        <w:rPr>
          <w:rFonts w:ascii="Trebuchet MS"/>
          <w:color w:val="231F20"/>
          <w:spacing w:val="-5"/>
          <w:w w:val="105"/>
          <w:sz w:val="14"/>
        </w:rPr>
        <w:t>43</w:t>
      </w:r>
    </w:p>
    <w:p w14:paraId="18A6EDFD" w14:textId="77777777" w:rsidR="00AE0598" w:rsidRDefault="00AE0598">
      <w:pPr>
        <w:pStyle w:val="Corpodetexto"/>
        <w:spacing w:before="5"/>
        <w:rPr>
          <w:rFonts w:ascii="Trebuchet MS"/>
          <w:sz w:val="18"/>
        </w:rPr>
      </w:pPr>
    </w:p>
    <w:p w14:paraId="5704C260" w14:textId="77777777" w:rsidR="00AE0598" w:rsidRDefault="0069255A">
      <w:pPr>
        <w:spacing w:before="100"/>
        <w:ind w:left="110"/>
        <w:rPr>
          <w:rFonts w:ascii="Trebuchet MS"/>
          <w:sz w:val="16"/>
        </w:rPr>
      </w:pPr>
      <w:r>
        <w:rPr>
          <w:rFonts w:ascii="Trebuchet MS"/>
          <w:b/>
          <w:color w:val="231F20"/>
          <w:sz w:val="16"/>
        </w:rPr>
        <w:t>Table</w:t>
      </w:r>
      <w:r>
        <w:rPr>
          <w:rFonts w:ascii="Trebuchet MS"/>
          <w:b/>
          <w:color w:val="231F20"/>
          <w:spacing w:val="14"/>
          <w:sz w:val="16"/>
        </w:rPr>
        <w:t xml:space="preserve"> </w:t>
      </w:r>
      <w:r>
        <w:rPr>
          <w:rFonts w:ascii="Trebuchet MS"/>
          <w:b/>
          <w:color w:val="231F20"/>
          <w:sz w:val="16"/>
        </w:rPr>
        <w:t>3.3</w:t>
      </w:r>
      <w:r>
        <w:rPr>
          <w:rFonts w:ascii="Trebuchet MS"/>
          <w:b/>
          <w:color w:val="231F20"/>
          <w:spacing w:val="65"/>
          <w:sz w:val="16"/>
        </w:rPr>
        <w:t xml:space="preserve"> </w:t>
      </w:r>
      <w:r>
        <w:rPr>
          <w:rFonts w:ascii="Trebuchet MS"/>
          <w:color w:val="231F20"/>
          <w:sz w:val="16"/>
        </w:rPr>
        <w:t>Conceptualisation</w:t>
      </w:r>
      <w:r>
        <w:rPr>
          <w:rFonts w:ascii="Trebuchet MS"/>
          <w:color w:val="231F20"/>
          <w:spacing w:val="15"/>
          <w:sz w:val="16"/>
        </w:rPr>
        <w:t xml:space="preserve"> </w:t>
      </w:r>
      <w:r>
        <w:rPr>
          <w:rFonts w:ascii="Trebuchet MS"/>
          <w:color w:val="231F20"/>
          <w:sz w:val="16"/>
        </w:rPr>
        <w:t>of</w:t>
      </w:r>
      <w:r>
        <w:rPr>
          <w:rFonts w:ascii="Trebuchet MS"/>
          <w:color w:val="231F20"/>
          <w:spacing w:val="15"/>
          <w:sz w:val="16"/>
        </w:rPr>
        <w:t xml:space="preserve"> </w:t>
      </w:r>
      <w:r>
        <w:rPr>
          <w:rFonts w:ascii="Trebuchet MS"/>
          <w:color w:val="231F20"/>
          <w:sz w:val="16"/>
        </w:rPr>
        <w:t>sport</w:t>
      </w:r>
      <w:r>
        <w:rPr>
          <w:rFonts w:ascii="Trebuchet MS"/>
          <w:color w:val="231F20"/>
          <w:spacing w:val="15"/>
          <w:sz w:val="16"/>
        </w:rPr>
        <w:t xml:space="preserve"> </w:t>
      </w:r>
      <w:r>
        <w:rPr>
          <w:rFonts w:ascii="Trebuchet MS"/>
          <w:color w:val="231F20"/>
          <w:sz w:val="16"/>
        </w:rPr>
        <w:t>tourists</w:t>
      </w:r>
      <w:r>
        <w:rPr>
          <w:rFonts w:ascii="Trebuchet MS"/>
          <w:color w:val="231F20"/>
          <w:spacing w:val="15"/>
          <w:sz w:val="16"/>
        </w:rPr>
        <w:t xml:space="preserve"> </w:t>
      </w:r>
      <w:r>
        <w:rPr>
          <w:rFonts w:ascii="Trebuchet MS"/>
          <w:color w:val="231F20"/>
          <w:sz w:val="16"/>
        </w:rPr>
        <w:t>based</w:t>
      </w:r>
      <w:r>
        <w:rPr>
          <w:rFonts w:ascii="Trebuchet MS"/>
          <w:color w:val="231F20"/>
          <w:spacing w:val="15"/>
          <w:sz w:val="16"/>
        </w:rPr>
        <w:t xml:space="preserve"> </w:t>
      </w:r>
      <w:r>
        <w:rPr>
          <w:rFonts w:ascii="Trebuchet MS"/>
          <w:color w:val="231F20"/>
          <w:sz w:val="16"/>
        </w:rPr>
        <w:t>on</w:t>
      </w:r>
      <w:r>
        <w:rPr>
          <w:rFonts w:ascii="Trebuchet MS"/>
          <w:color w:val="231F20"/>
          <w:spacing w:val="15"/>
          <w:sz w:val="16"/>
        </w:rPr>
        <w:t xml:space="preserve"> </w:t>
      </w:r>
      <w:r>
        <w:rPr>
          <w:rFonts w:ascii="Trebuchet MS"/>
          <w:color w:val="231F20"/>
          <w:sz w:val="16"/>
        </w:rPr>
        <w:t>sport</w:t>
      </w:r>
      <w:r>
        <w:rPr>
          <w:rFonts w:ascii="Trebuchet MS"/>
          <w:color w:val="231F20"/>
          <w:spacing w:val="15"/>
          <w:sz w:val="16"/>
        </w:rPr>
        <w:t xml:space="preserve"> </w:t>
      </w:r>
      <w:r>
        <w:rPr>
          <w:rFonts w:ascii="Trebuchet MS"/>
          <w:color w:val="231F20"/>
          <w:sz w:val="16"/>
        </w:rPr>
        <w:t>and</w:t>
      </w:r>
      <w:r>
        <w:rPr>
          <w:rFonts w:ascii="Trebuchet MS"/>
          <w:color w:val="231F20"/>
          <w:spacing w:val="15"/>
          <w:sz w:val="16"/>
        </w:rPr>
        <w:t xml:space="preserve"> </w:t>
      </w:r>
      <w:r>
        <w:rPr>
          <w:rFonts w:ascii="Trebuchet MS"/>
          <w:color w:val="231F20"/>
          <w:sz w:val="16"/>
        </w:rPr>
        <w:t>travel</w:t>
      </w:r>
      <w:r>
        <w:rPr>
          <w:rFonts w:ascii="Trebuchet MS"/>
          <w:color w:val="231F20"/>
          <w:spacing w:val="14"/>
          <w:sz w:val="16"/>
        </w:rPr>
        <w:t xml:space="preserve"> </w:t>
      </w:r>
      <w:r>
        <w:rPr>
          <w:rFonts w:ascii="Trebuchet MS"/>
          <w:color w:val="231F20"/>
          <w:spacing w:val="-2"/>
          <w:sz w:val="16"/>
        </w:rPr>
        <w:t>motivations</w:t>
      </w:r>
    </w:p>
    <w:p w14:paraId="6CA1B0F1" w14:textId="73309692" w:rsidR="00AE0598" w:rsidRDefault="0069255A">
      <w:pPr>
        <w:pStyle w:val="Corpodetexto"/>
        <w:spacing w:before="9"/>
        <w:rPr>
          <w:rFonts w:ascii="Trebuchet MS"/>
          <w:sz w:val="11"/>
        </w:rPr>
      </w:pPr>
      <w:r>
        <w:rPr>
          <w:noProof/>
        </w:rPr>
        <mc:AlternateContent>
          <mc:Choice Requires="wps">
            <w:drawing>
              <wp:anchor distT="0" distB="0" distL="0" distR="0" simplePos="0" relativeHeight="487607808" behindDoc="1" locked="0" layoutInCell="1" allowOverlap="1" wp14:anchorId="113A6C1A" wp14:editId="3A8AA033">
                <wp:simplePos x="0" y="0"/>
                <wp:positionH relativeFrom="page">
                  <wp:posOffset>755650</wp:posOffset>
                </wp:positionH>
                <wp:positionV relativeFrom="paragraph">
                  <wp:posOffset>104775</wp:posOffset>
                </wp:positionV>
                <wp:extent cx="4104005" cy="1270"/>
                <wp:effectExtent l="0" t="0" r="0" b="0"/>
                <wp:wrapTopAndBottom/>
                <wp:docPr id="301" name="docshape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104005" cy="1270"/>
                        </a:xfrm>
                        <a:custGeom>
                          <a:avLst/>
                          <a:gdLst>
                            <a:gd name="T0" fmla="+- 0 2470 1190"/>
                            <a:gd name="T1" fmla="*/ T0 w 6463"/>
                            <a:gd name="T2" fmla="+- 0 7653 1190"/>
                            <a:gd name="T3" fmla="*/ T2 w 6463"/>
                            <a:gd name="T4" fmla="+- 0 1190 1190"/>
                            <a:gd name="T5" fmla="*/ T4 w 6463"/>
                            <a:gd name="T6" fmla="+- 0 2470 1190"/>
                            <a:gd name="T7" fmla="*/ T6 w 6463"/>
                          </a:gdLst>
                          <a:ahLst/>
                          <a:cxnLst>
                            <a:cxn ang="0">
                              <a:pos x="T1" y="0"/>
                            </a:cxn>
                            <a:cxn ang="0">
                              <a:pos x="T3" y="0"/>
                            </a:cxn>
                            <a:cxn ang="0">
                              <a:pos x="T5" y="0"/>
                            </a:cxn>
                            <a:cxn ang="0">
                              <a:pos x="T7" y="0"/>
                            </a:cxn>
                          </a:cxnLst>
                          <a:rect l="0" t="0" r="r" b="b"/>
                          <a:pathLst>
                            <a:path w="6463">
                              <a:moveTo>
                                <a:pt x="1280" y="0"/>
                              </a:moveTo>
                              <a:lnTo>
                                <a:pt x="6463" y="0"/>
                              </a:lnTo>
                              <a:moveTo>
                                <a:pt x="0" y="0"/>
                              </a:moveTo>
                              <a:lnTo>
                                <a:pt x="1280" y="0"/>
                              </a:lnTo>
                            </a:path>
                          </a:pathLst>
                        </a:custGeom>
                        <a:noFill/>
                        <a:ln w="3175">
                          <a:solidFill>
                            <a:srgbClr val="231F2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F7D555" id="docshape73" o:spid="_x0000_s1026" style="position:absolute;margin-left:59.5pt;margin-top:8.25pt;width:323.15pt;height:.1pt;z-index:-157086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46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" path="m1280,l6463,m,l1280,e" filled="f" strokecolor="#231f20" strokeweight=".25pt">
                <v:path arrowok="t" o:connecttype="custom" o:connectlocs="812800,0;4104005,0;0,0;812800,0" o:connectangles="0,0,0,0"/>
                <w10:wrap type="topAndBottom" anchorx="page"/>
              </v:shape>
            </w:pict>
          </mc:Fallback>
        </mc:AlternateContent>
      </w:r>
    </w:p>
    <w:p w14:paraId="120E061D" w14:textId="77777777" w:rsidR="00AE0598" w:rsidRDefault="0069255A">
      <w:pPr>
        <w:tabs>
          <w:tab w:val="left" w:pos="1509"/>
        </w:tabs>
        <w:spacing w:before="35" w:after="30" w:line="225" w:lineRule="auto"/>
        <w:ind w:left="1510" w:right="286" w:hanging="1400"/>
        <w:rPr>
          <w:rFonts w:ascii="Trebuchet MS"/>
          <w:sz w:val="14"/>
        </w:rPr>
      </w:pPr>
      <w:r>
        <w:rPr>
          <w:rFonts w:ascii="Trebuchet MS"/>
          <w:b/>
          <w:color w:val="231F20"/>
          <w:sz w:val="16"/>
        </w:rPr>
        <w:t>Sport tourism:</w:t>
      </w:r>
      <w:r>
        <w:rPr>
          <w:rFonts w:ascii="Trebuchet MS"/>
          <w:b/>
          <w:color w:val="231F20"/>
          <w:sz w:val="16"/>
        </w:rPr>
        <w:tab/>
      </w:r>
      <w:r>
        <w:rPr>
          <w:rFonts w:ascii="Trebuchet MS"/>
          <w:color w:val="231F20"/>
          <w:position w:val="2"/>
          <w:sz w:val="14"/>
        </w:rPr>
        <w:t xml:space="preserve">Individuals </w:t>
      </w:r>
      <w:r>
        <w:rPr>
          <w:rFonts w:ascii="Trebuchet MS"/>
          <w:color w:val="231F20"/>
          <w:w w:val="106"/>
          <w:position w:val="2"/>
          <w:sz w:val="14"/>
        </w:rPr>
        <w:t>a</w:t>
      </w:r>
      <w:r>
        <w:rPr>
          <w:rFonts w:ascii="Trebuchet MS"/>
          <w:color w:val="231F20"/>
          <w:w w:val="112"/>
          <w:position w:val="2"/>
          <w:sz w:val="14"/>
        </w:rPr>
        <w:t>n</w:t>
      </w:r>
      <w:r>
        <w:rPr>
          <w:rFonts w:ascii="Trebuchet MS"/>
          <w:color w:val="231F20"/>
          <w:spacing w:val="3"/>
          <w:w w:val="110"/>
          <w:position w:val="2"/>
          <w:sz w:val="14"/>
        </w:rPr>
        <w:t>d</w:t>
      </w:r>
      <w:r>
        <w:rPr>
          <w:rFonts w:ascii="Trebuchet MS"/>
          <w:color w:val="231F20"/>
          <w:spacing w:val="-3"/>
          <w:w w:val="54"/>
          <w:position w:val="2"/>
          <w:sz w:val="14"/>
        </w:rPr>
        <w:t>/</w:t>
      </w:r>
      <w:r>
        <w:rPr>
          <w:rFonts w:ascii="Trebuchet MS"/>
          <w:color w:val="231F20"/>
          <w:w w:val="114"/>
          <w:position w:val="2"/>
          <w:sz w:val="14"/>
        </w:rPr>
        <w:t>o</w:t>
      </w:r>
      <w:r>
        <w:rPr>
          <w:rFonts w:ascii="Trebuchet MS"/>
          <w:color w:val="231F20"/>
          <w:spacing w:val="-2"/>
          <w:w w:val="101"/>
          <w:position w:val="2"/>
          <w:sz w:val="14"/>
        </w:rPr>
        <w:t>r</w:t>
      </w:r>
      <w:r>
        <w:rPr>
          <w:rFonts w:ascii="Trebuchet MS"/>
          <w:color w:val="231F20"/>
          <w:w w:val="99"/>
          <w:position w:val="2"/>
          <w:sz w:val="14"/>
        </w:rPr>
        <w:t xml:space="preserve"> </w:t>
      </w:r>
      <w:r>
        <w:rPr>
          <w:rFonts w:ascii="Trebuchet MS"/>
          <w:color w:val="231F20"/>
          <w:position w:val="2"/>
          <w:sz w:val="14"/>
        </w:rPr>
        <w:t>groups of people who actively or passively participate in</w:t>
      </w:r>
      <w:r>
        <w:rPr>
          <w:rFonts w:ascii="Trebuchet MS"/>
          <w:color w:val="231F20"/>
          <w:spacing w:val="80"/>
          <w:position w:val="2"/>
          <w:sz w:val="14"/>
        </w:rPr>
        <w:t xml:space="preserve"> </w:t>
      </w:r>
      <w:r>
        <w:rPr>
          <w:rFonts w:ascii="Trebuchet MS"/>
          <w:color w:val="231F20"/>
          <w:sz w:val="14"/>
        </w:rPr>
        <w:t>competitive or recreational sport while travelling. Sport is the prime moti-</w:t>
      </w:r>
      <w:r>
        <w:rPr>
          <w:rFonts w:ascii="Trebuchet MS"/>
          <w:color w:val="231F20"/>
          <w:spacing w:val="40"/>
          <w:sz w:val="14"/>
        </w:rPr>
        <w:t xml:space="preserve"> </w:t>
      </w:r>
      <w:r>
        <w:rPr>
          <w:rFonts w:ascii="Trebuchet MS"/>
          <w:color w:val="231F20"/>
          <w:sz w:val="14"/>
        </w:rPr>
        <w:t>vation to travel although the touristic element may reinforce the overall</w:t>
      </w:r>
      <w:r>
        <w:rPr>
          <w:rFonts w:ascii="Trebuchet MS"/>
          <w:color w:val="231F20"/>
          <w:spacing w:val="80"/>
          <w:sz w:val="14"/>
        </w:rPr>
        <w:t xml:space="preserve"> </w:t>
      </w:r>
      <w:r>
        <w:rPr>
          <w:rFonts w:ascii="Trebuchet MS"/>
          <w:color w:val="231F20"/>
          <w:spacing w:val="-2"/>
          <w:sz w:val="14"/>
        </w:rPr>
        <w:t>experience.</w:t>
      </w:r>
    </w:p>
    <w:p w14:paraId="3F0D440D" w14:textId="71D16B7B" w:rsidR="00AE0598" w:rsidRDefault="0069255A">
      <w:pPr>
        <w:pStyle w:val="Corpodetexto"/>
        <w:spacing w:line="20" w:lineRule="exact"/>
        <w:ind w:left="107"/>
        <w:rPr>
          <w:rFonts w:ascii="Trebuchet MS"/>
          <w:sz w:val="2"/>
        </w:rPr>
      </w:pPr>
      <w:r>
        <w:rPr>
          <w:rFonts w:ascii="Trebuchet MS"/>
          <w:noProof/>
          <w:sz w:val="2"/>
        </w:rPr>
        <mc:AlternateContent>
          <mc:Choice Requires="wpg">
            <w:drawing>
              <wp:inline distT="0" distB="0" distL="0" distR="0" wp14:anchorId="0951E2F0" wp14:editId="158D891A">
                <wp:extent cx="4104005" cy="3175"/>
                <wp:effectExtent l="10795" t="6350" r="9525" b="9525"/>
                <wp:docPr id="299" name="docshapegroup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04005" cy="3175"/>
                          <a:chOff x="0" y="0"/>
                          <a:chExt cx="6463" cy="5"/>
                        </a:xfrm>
                      </wpg:grpSpPr>
                      <wps:wsp>
                        <wps:cNvPr id="300" name="docshape75"/>
                        <wps:cNvSpPr>
                          <a:spLocks/>
                        </wps:cNvSpPr>
                        <wps:spPr bwMode="auto">
                          <a:xfrm>
                            <a:off x="0" y="2"/>
                            <a:ext cx="6463" cy="2"/>
                          </a:xfrm>
                          <a:custGeom>
                            <a:avLst/>
                            <a:gdLst>
                              <a:gd name="T0" fmla="*/ 1280 w 6463"/>
                              <a:gd name="T1" fmla="*/ 6463 w 6463"/>
                              <a:gd name="T2" fmla="*/ 0 w 6463"/>
                              <a:gd name="T3" fmla="*/ 1280 w 6463"/>
                            </a:gdLst>
                            <a:ahLst/>
                            <a:cxnLst>
                              <a:cxn ang="0">
                                <a:pos x="T0" y="0"/>
                              </a:cxn>
                              <a:cxn ang="0">
                                <a:pos x="T1" y="0"/>
                              </a:cxn>
                              <a:cxn ang="0">
                                <a:pos x="T2" y="0"/>
                              </a:cxn>
                              <a:cxn ang="0">
                                <a:pos x="T3" y="0"/>
                              </a:cxn>
                            </a:cxnLst>
                            <a:rect l="0" t="0" r="r" b="b"/>
                            <a:pathLst>
                              <a:path w="6463">
                                <a:moveTo>
                                  <a:pt x="1280" y="0"/>
                                </a:moveTo>
                                <a:lnTo>
                                  <a:pt x="6463" y="0"/>
                                </a:lnTo>
                                <a:moveTo>
                                  <a:pt x="0" y="0"/>
                                </a:moveTo>
                                <a:lnTo>
                                  <a:pt x="1280" y="0"/>
                                </a:lnTo>
                              </a:path>
                            </a:pathLst>
                          </a:custGeom>
                          <a:noFill/>
                          <a:ln w="3175">
                            <a:solidFill>
                              <a:srgbClr val="231F2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3CC8F9B8" id="docshapegroup74" o:spid="_x0000_s1026" style="width:323.15pt;height:.25pt;mso-position-horizontal-relative:char;mso-position-vertical-relative:line" coordsize="64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">
                <v:shape id="docshape75" o:spid="_x0000_s1027" style="position:absolute;top:2;width:6463;height:2;visibility:visible;mso-wrap-style:square;v-text-anchor:top" coordsize="64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" path="m1280,l6463,m,l1280,e" filled="f" strokecolor="#231f20" strokeweight=".25pt">
                  <v:path arrowok="t" o:connecttype="custom" o:connectlocs="1280,0;6463,0;0,0;1280,0" o:connectangles="0,0,0,0"/>
                </v:shape>
                <w10:anchorlock/>
              </v:group>
            </w:pict>
          </mc:Fallback>
        </mc:AlternateContent>
      </w:r>
    </w:p>
    <w:p w14:paraId="7AF8856E" w14:textId="426BB1AD" w:rsidR="00AE0598" w:rsidRDefault="0069255A">
      <w:pPr>
        <w:tabs>
          <w:tab w:val="left" w:pos="1509"/>
        </w:tabs>
        <w:spacing w:before="19" w:line="235" w:lineRule="auto"/>
        <w:ind w:left="1510" w:right="286" w:hanging="1400"/>
        <w:rPr>
          <w:rFonts w:ascii="Trebuchet MS"/>
          <w:sz w:val="14"/>
        </w:rPr>
      </w:pPr>
      <w:r>
        <w:rPr>
          <w:noProof/>
        </w:rPr>
        <mc:AlternateContent>
          <mc:Choice Requires="wps">
            <w:drawing>
              <wp:anchor distT="0" distB="0" distL="0" distR="0" simplePos="0" relativeHeight="487608832" behindDoc="1" locked="0" layoutInCell="1" allowOverlap="1" wp14:anchorId="16CA4FBA" wp14:editId="74718797">
                <wp:simplePos x="0" y="0"/>
                <wp:positionH relativeFrom="page">
                  <wp:posOffset>755650</wp:posOffset>
                </wp:positionH>
                <wp:positionV relativeFrom="paragraph">
                  <wp:posOffset>335280</wp:posOffset>
                </wp:positionV>
                <wp:extent cx="4104005" cy="1270"/>
                <wp:effectExtent l="0" t="0" r="0" b="0"/>
                <wp:wrapTopAndBottom/>
                <wp:docPr id="298" name="docshape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104005" cy="1270"/>
                        </a:xfrm>
                        <a:custGeom>
                          <a:avLst/>
                          <a:gdLst>
                            <a:gd name="T0" fmla="+- 0 1190 1190"/>
                            <a:gd name="T1" fmla="*/ T0 w 6463"/>
                            <a:gd name="T2" fmla="+- 0 2470 1190"/>
                            <a:gd name="T3" fmla="*/ T2 w 6463"/>
                            <a:gd name="T4" fmla="+- 0 7653 1190"/>
                            <a:gd name="T5" fmla="*/ T4 w 6463"/>
                          </a:gdLst>
                          <a:ahLst/>
                          <a:cxnLst>
                            <a:cxn ang="0">
                              <a:pos x="T1" y="0"/>
                            </a:cxn>
                            <a:cxn ang="0">
                              <a:pos x="T3" y="0"/>
                            </a:cxn>
                            <a:cxn ang="0">
                              <a:pos x="T5" y="0"/>
                            </a:cxn>
                          </a:cxnLst>
                          <a:rect l="0" t="0" r="r" b="b"/>
                          <a:pathLst>
                            <a:path w="6463">
                              <a:moveTo>
                                <a:pt x="0" y="0"/>
                              </a:moveTo>
                              <a:lnTo>
                                <a:pt x="1280" y="0"/>
                              </a:lnTo>
                              <a:lnTo>
                                <a:pt x="6463" y="0"/>
                              </a:lnTo>
                            </a:path>
                          </a:pathLst>
                        </a:custGeom>
                        <a:noFill/>
                        <a:ln w="3175">
                          <a:solidFill>
                            <a:srgbClr val="231F2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D2DE9B" id="docshape76" o:spid="_x0000_s1026" style="position:absolute;margin-left:59.5pt;margin-top:26.4pt;width:323.15pt;height:.1pt;z-index:-157076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46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" path="m,l1280,,6463,e" filled="f" strokecolor="#231f20" strokeweight=".25pt">
                <v:path arrowok="t" o:connecttype="custom" o:connectlocs="0,0;812800,0;4104005,0" o:connectangles="0,0,0"/>
                <w10:wrap type="topAndBottom" anchorx="page"/>
              </v:shape>
            </w:pict>
          </mc:Fallback>
        </mc:AlternateContent>
      </w:r>
      <w:r>
        <w:rPr>
          <w:rFonts w:ascii="Trebuchet MS"/>
          <w:color w:val="231F20"/>
          <w:sz w:val="14"/>
        </w:rPr>
        <w:t>Hard</w:t>
      </w:r>
      <w:r>
        <w:rPr>
          <w:rFonts w:ascii="Trebuchet MS"/>
          <w:color w:val="231F20"/>
          <w:spacing w:val="-7"/>
          <w:sz w:val="14"/>
        </w:rPr>
        <w:t xml:space="preserve"> </w:t>
      </w:r>
      <w:r>
        <w:rPr>
          <w:rFonts w:ascii="Trebuchet MS"/>
          <w:color w:val="231F20"/>
          <w:sz w:val="14"/>
        </w:rPr>
        <w:t>definition</w:t>
      </w:r>
      <w:r>
        <w:rPr>
          <w:rFonts w:ascii="Trebuchet MS"/>
          <w:color w:val="231F20"/>
          <w:sz w:val="14"/>
        </w:rPr>
        <w:tab/>
        <w:t>Active or p</w:t>
      </w:r>
      <w:r>
        <w:rPr>
          <w:rFonts w:ascii="Trebuchet MS"/>
          <w:color w:val="231F20"/>
          <w:sz w:val="14"/>
        </w:rPr>
        <w:t>assive participation in a competitive sporting event. Sport is the</w:t>
      </w:r>
      <w:r>
        <w:rPr>
          <w:rFonts w:ascii="Trebuchet MS"/>
          <w:color w:val="231F20"/>
          <w:spacing w:val="80"/>
          <w:sz w:val="14"/>
        </w:rPr>
        <w:t xml:space="preserve"> </w:t>
      </w:r>
      <w:r>
        <w:rPr>
          <w:rFonts w:ascii="Trebuchet MS"/>
          <w:color w:val="231F20"/>
          <w:sz w:val="14"/>
        </w:rPr>
        <w:t>prime</w:t>
      </w:r>
      <w:r>
        <w:rPr>
          <w:rFonts w:ascii="Trebuchet MS"/>
          <w:color w:val="231F20"/>
          <w:spacing w:val="29"/>
          <w:sz w:val="14"/>
        </w:rPr>
        <w:t xml:space="preserve"> </w:t>
      </w:r>
      <w:r>
        <w:rPr>
          <w:rFonts w:ascii="Trebuchet MS"/>
          <w:color w:val="231F20"/>
          <w:sz w:val="14"/>
        </w:rPr>
        <w:t>motivational</w:t>
      </w:r>
      <w:r>
        <w:rPr>
          <w:rFonts w:ascii="Trebuchet MS"/>
          <w:color w:val="231F20"/>
          <w:spacing w:val="29"/>
          <w:sz w:val="14"/>
        </w:rPr>
        <w:t xml:space="preserve"> </w:t>
      </w:r>
      <w:r>
        <w:rPr>
          <w:rFonts w:ascii="Trebuchet MS"/>
          <w:color w:val="231F20"/>
          <w:sz w:val="14"/>
        </w:rPr>
        <w:t>reason</w:t>
      </w:r>
      <w:r>
        <w:rPr>
          <w:rFonts w:ascii="Trebuchet MS"/>
          <w:color w:val="231F20"/>
          <w:spacing w:val="29"/>
          <w:sz w:val="14"/>
        </w:rPr>
        <w:t xml:space="preserve"> </w:t>
      </w:r>
      <w:r>
        <w:rPr>
          <w:rFonts w:ascii="Trebuchet MS"/>
          <w:color w:val="231F20"/>
          <w:sz w:val="14"/>
        </w:rPr>
        <w:t>for</w:t>
      </w:r>
      <w:r>
        <w:rPr>
          <w:rFonts w:ascii="Trebuchet MS"/>
          <w:color w:val="231F20"/>
          <w:spacing w:val="29"/>
          <w:sz w:val="14"/>
        </w:rPr>
        <w:t xml:space="preserve"> </w:t>
      </w:r>
      <w:r>
        <w:rPr>
          <w:rFonts w:ascii="Trebuchet MS"/>
          <w:color w:val="231F20"/>
          <w:sz w:val="14"/>
        </w:rPr>
        <w:t>travel</w:t>
      </w:r>
      <w:r>
        <w:rPr>
          <w:rFonts w:ascii="Trebuchet MS"/>
          <w:color w:val="231F20"/>
          <w:spacing w:val="29"/>
          <w:sz w:val="14"/>
        </w:rPr>
        <w:t xml:space="preserve"> </w:t>
      </w:r>
      <w:r>
        <w:rPr>
          <w:rFonts w:ascii="Trebuchet MS"/>
          <w:color w:val="231F20"/>
          <w:sz w:val="14"/>
        </w:rPr>
        <w:t>(e.g.</w:t>
      </w:r>
      <w:r>
        <w:rPr>
          <w:rFonts w:ascii="Trebuchet MS"/>
          <w:color w:val="231F20"/>
          <w:spacing w:val="29"/>
          <w:sz w:val="14"/>
        </w:rPr>
        <w:t xml:space="preserve"> </w:t>
      </w:r>
      <w:r>
        <w:rPr>
          <w:rFonts w:ascii="Trebuchet MS"/>
          <w:color w:val="231F20"/>
          <w:sz w:val="14"/>
        </w:rPr>
        <w:t>Olympic</w:t>
      </w:r>
      <w:r>
        <w:rPr>
          <w:rFonts w:ascii="Trebuchet MS"/>
          <w:color w:val="231F20"/>
          <w:spacing w:val="29"/>
          <w:sz w:val="14"/>
        </w:rPr>
        <w:t xml:space="preserve"> </w:t>
      </w:r>
      <w:r>
        <w:rPr>
          <w:rFonts w:ascii="Trebuchet MS"/>
          <w:color w:val="231F20"/>
          <w:sz w:val="14"/>
        </w:rPr>
        <w:t>Games,</w:t>
      </w:r>
      <w:r>
        <w:rPr>
          <w:rFonts w:ascii="Trebuchet MS"/>
          <w:color w:val="231F20"/>
          <w:spacing w:val="29"/>
          <w:sz w:val="14"/>
        </w:rPr>
        <w:t xml:space="preserve"> </w:t>
      </w:r>
      <w:r>
        <w:rPr>
          <w:rFonts w:ascii="Trebuchet MS"/>
          <w:color w:val="231F20"/>
          <w:sz w:val="14"/>
        </w:rPr>
        <w:t>Wimbledon</w:t>
      </w:r>
      <w:r>
        <w:rPr>
          <w:rFonts w:ascii="Trebuchet MS"/>
          <w:color w:val="231F20"/>
          <w:spacing w:val="29"/>
          <w:sz w:val="14"/>
        </w:rPr>
        <w:t xml:space="preserve"> </w:t>
      </w:r>
      <w:r>
        <w:rPr>
          <w:rFonts w:ascii="Trebuchet MS"/>
          <w:color w:val="231F20"/>
          <w:sz w:val="14"/>
        </w:rPr>
        <w:t>or the London Marathon).</w:t>
      </w:r>
    </w:p>
    <w:p w14:paraId="2B23BD94" w14:textId="77777777" w:rsidR="00AE0598" w:rsidRDefault="0069255A">
      <w:pPr>
        <w:tabs>
          <w:tab w:val="left" w:pos="1509"/>
        </w:tabs>
        <w:spacing w:before="33" w:after="31" w:line="235" w:lineRule="auto"/>
        <w:ind w:left="1510" w:right="286" w:hanging="1400"/>
        <w:rPr>
          <w:rFonts w:ascii="Trebuchet MS"/>
          <w:sz w:val="14"/>
        </w:rPr>
      </w:pPr>
      <w:r>
        <w:rPr>
          <w:rFonts w:ascii="Trebuchet MS"/>
          <w:color w:val="231F20"/>
          <w:sz w:val="14"/>
        </w:rPr>
        <w:t>Soft</w:t>
      </w:r>
      <w:r>
        <w:rPr>
          <w:rFonts w:ascii="Trebuchet MS"/>
          <w:color w:val="231F20"/>
          <w:spacing w:val="-7"/>
          <w:sz w:val="14"/>
        </w:rPr>
        <w:t xml:space="preserve"> </w:t>
      </w:r>
      <w:r>
        <w:rPr>
          <w:rFonts w:ascii="Trebuchet MS"/>
          <w:color w:val="231F20"/>
          <w:sz w:val="14"/>
        </w:rPr>
        <w:t>definition</w:t>
      </w:r>
      <w:r>
        <w:rPr>
          <w:rFonts w:ascii="Trebuchet MS"/>
          <w:color w:val="231F20"/>
          <w:sz w:val="14"/>
        </w:rPr>
        <w:tab/>
        <w:t xml:space="preserve">Active recreational participation in a </w:t>
      </w:r>
      <w:r>
        <w:rPr>
          <w:rFonts w:ascii="Trebuchet MS"/>
          <w:color w:val="231F20"/>
          <w:spacing w:val="-1"/>
          <w:w w:val="96"/>
          <w:sz w:val="14"/>
        </w:rPr>
        <w:t>s</w:t>
      </w:r>
      <w:r>
        <w:rPr>
          <w:rFonts w:ascii="Trebuchet MS"/>
          <w:color w:val="231F20"/>
          <w:w w:val="109"/>
          <w:sz w:val="14"/>
        </w:rPr>
        <w:t>p</w:t>
      </w:r>
      <w:r>
        <w:rPr>
          <w:rFonts w:ascii="Trebuchet MS"/>
          <w:color w:val="231F20"/>
          <w:spacing w:val="-1"/>
          <w:w w:val="113"/>
          <w:sz w:val="14"/>
        </w:rPr>
        <w:t>o</w:t>
      </w:r>
      <w:r>
        <w:rPr>
          <w:rFonts w:ascii="Trebuchet MS"/>
          <w:color w:val="231F20"/>
          <w:spacing w:val="3"/>
          <w:sz w:val="14"/>
        </w:rPr>
        <w:t>r</w:t>
      </w:r>
      <w:r>
        <w:rPr>
          <w:rFonts w:ascii="Trebuchet MS"/>
          <w:color w:val="231F20"/>
          <w:spacing w:val="-2"/>
          <w:w w:val="98"/>
          <w:sz w:val="14"/>
        </w:rPr>
        <w:t>t</w:t>
      </w:r>
      <w:r>
        <w:rPr>
          <w:rFonts w:ascii="Trebuchet MS"/>
          <w:color w:val="231F20"/>
          <w:spacing w:val="-2"/>
          <w:w w:val="97"/>
          <w:sz w:val="14"/>
        </w:rPr>
        <w:t>i</w:t>
      </w:r>
      <w:r>
        <w:rPr>
          <w:rFonts w:ascii="Trebuchet MS"/>
          <w:color w:val="231F20"/>
          <w:spacing w:val="-1"/>
          <w:w w:val="111"/>
          <w:sz w:val="14"/>
        </w:rPr>
        <w:t>n</w:t>
      </w:r>
      <w:r>
        <w:rPr>
          <w:rFonts w:ascii="Trebuchet MS"/>
          <w:color w:val="231F20"/>
          <w:spacing w:val="3"/>
          <w:w w:val="121"/>
          <w:sz w:val="14"/>
        </w:rPr>
        <w:t>g</w:t>
      </w:r>
      <w:r>
        <w:rPr>
          <w:rFonts w:ascii="Trebuchet MS"/>
          <w:color w:val="231F20"/>
          <w:spacing w:val="2"/>
          <w:w w:val="53"/>
          <w:sz w:val="14"/>
        </w:rPr>
        <w:t>/</w:t>
      </w:r>
      <w:r>
        <w:rPr>
          <w:rFonts w:ascii="Trebuchet MS"/>
          <w:color w:val="231F20"/>
          <w:spacing w:val="-1"/>
          <w:w w:val="94"/>
          <w:sz w:val="14"/>
        </w:rPr>
        <w:t>l</w:t>
      </w:r>
      <w:r>
        <w:rPr>
          <w:rFonts w:ascii="Trebuchet MS"/>
          <w:color w:val="231F20"/>
          <w:spacing w:val="-1"/>
          <w:w w:val="101"/>
          <w:sz w:val="14"/>
        </w:rPr>
        <w:t>e</w:t>
      </w:r>
      <w:r>
        <w:rPr>
          <w:rFonts w:ascii="Trebuchet MS"/>
          <w:color w:val="231F20"/>
          <w:spacing w:val="-1"/>
          <w:w w:val="97"/>
          <w:sz w:val="14"/>
        </w:rPr>
        <w:t>i</w:t>
      </w:r>
      <w:r>
        <w:rPr>
          <w:rFonts w:ascii="Trebuchet MS"/>
          <w:color w:val="231F20"/>
          <w:spacing w:val="-1"/>
          <w:w w:val="96"/>
          <w:sz w:val="14"/>
        </w:rPr>
        <w:t>s</w:t>
      </w:r>
      <w:r>
        <w:rPr>
          <w:rFonts w:ascii="Trebuchet MS"/>
          <w:color w:val="231F20"/>
          <w:spacing w:val="-1"/>
          <w:w w:val="111"/>
          <w:sz w:val="14"/>
        </w:rPr>
        <w:t>u</w:t>
      </w:r>
      <w:r>
        <w:rPr>
          <w:rFonts w:ascii="Trebuchet MS"/>
          <w:color w:val="231F20"/>
          <w:spacing w:val="-2"/>
          <w:sz w:val="14"/>
        </w:rPr>
        <w:t>r</w:t>
      </w:r>
      <w:r>
        <w:rPr>
          <w:rFonts w:ascii="Trebuchet MS"/>
          <w:color w:val="231F20"/>
          <w:spacing w:val="-3"/>
          <w:w w:val="101"/>
          <w:sz w:val="14"/>
        </w:rPr>
        <w:t>e</w:t>
      </w:r>
      <w:r>
        <w:rPr>
          <w:rFonts w:ascii="Trebuchet MS"/>
          <w:color w:val="231F20"/>
          <w:spacing w:val="-1"/>
          <w:w w:val="99"/>
          <w:sz w:val="14"/>
        </w:rPr>
        <w:t xml:space="preserve"> </w:t>
      </w:r>
      <w:r>
        <w:rPr>
          <w:rFonts w:ascii="Trebuchet MS"/>
          <w:color w:val="231F20"/>
          <w:sz w:val="14"/>
        </w:rPr>
        <w:t>interest (e.g. skiing,</w:t>
      </w:r>
      <w:r>
        <w:rPr>
          <w:rFonts w:ascii="Trebuchet MS"/>
          <w:color w:val="231F20"/>
          <w:spacing w:val="40"/>
          <w:sz w:val="14"/>
        </w:rPr>
        <w:t xml:space="preserve"> </w:t>
      </w:r>
      <w:r>
        <w:rPr>
          <w:rFonts w:ascii="Trebuchet MS"/>
          <w:color w:val="231F20"/>
          <w:sz w:val="14"/>
        </w:rPr>
        <w:t>walking, hiking, kayaking).</w:t>
      </w:r>
    </w:p>
    <w:p w14:paraId="152CB0E8" w14:textId="1CDCE72E" w:rsidR="00AE0598" w:rsidRDefault="0069255A">
      <w:pPr>
        <w:pStyle w:val="Corpodetexto"/>
        <w:spacing w:line="20" w:lineRule="exact"/>
        <w:ind w:left="110"/>
        <w:rPr>
          <w:rFonts w:ascii="Trebuchet MS"/>
          <w:sz w:val="2"/>
        </w:rPr>
      </w:pPr>
      <w:r>
        <w:rPr>
          <w:rFonts w:ascii="Trebuchet MS"/>
          <w:noProof/>
          <w:sz w:val="2"/>
        </w:rPr>
        <mc:AlternateContent>
          <mc:Choice Requires="wpg">
            <w:drawing>
              <wp:inline distT="0" distB="0" distL="0" distR="0" wp14:anchorId="6A615A20" wp14:editId="5FAD77E1">
                <wp:extent cx="4104005" cy="3175"/>
                <wp:effectExtent l="12700" t="7620" r="7620" b="8255"/>
                <wp:docPr id="296" name="docshapegroup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04005" cy="3175"/>
                          <a:chOff x="0" y="0"/>
                          <a:chExt cx="6463" cy="5"/>
                        </a:xfrm>
                      </wpg:grpSpPr>
                      <wps:wsp>
                        <wps:cNvPr id="297" name="docshape78"/>
                        <wps:cNvSpPr>
                          <a:spLocks/>
                        </wps:cNvSpPr>
                        <wps:spPr bwMode="auto">
                          <a:xfrm>
                            <a:off x="0" y="2"/>
                            <a:ext cx="6463" cy="2"/>
                          </a:xfrm>
                          <a:custGeom>
                            <a:avLst/>
                            <a:gdLst>
                              <a:gd name="T0" fmla="*/ 0 w 6463"/>
                              <a:gd name="T1" fmla="*/ 1280 w 6463"/>
                              <a:gd name="T2" fmla="*/ 6463 w 6463"/>
                            </a:gdLst>
                            <a:ahLst/>
                            <a:cxnLst>
                              <a:cxn ang="0">
                                <a:pos x="T0" y="0"/>
                              </a:cxn>
                              <a:cxn ang="0">
                                <a:pos x="T1" y="0"/>
                              </a:cxn>
                              <a:cxn ang="0">
                                <a:pos x="T2" y="0"/>
                              </a:cxn>
                            </a:cxnLst>
                            <a:rect l="0" t="0" r="r" b="b"/>
                            <a:pathLst>
                              <a:path w="6463">
                                <a:moveTo>
                                  <a:pt x="0" y="0"/>
                                </a:moveTo>
                                <a:lnTo>
                                  <a:pt x="1280" y="0"/>
                                </a:lnTo>
                                <a:lnTo>
                                  <a:pt x="6463" y="0"/>
                                </a:lnTo>
                              </a:path>
                            </a:pathLst>
                          </a:custGeom>
                          <a:noFill/>
                          <a:ln w="3175">
                            <a:solidFill>
                              <a:srgbClr val="231F2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6F0491AB" id="docshapegroup77" o:spid="_x0000_s1026" style="width:323.15pt;height:.25pt;mso-position-horizontal-relative:char;mso-position-vertical-relative:line" coordsize="64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">
                <v:shape id="docshape78" o:spid="_x0000_s1027" style="position:absolute;top:2;width:6463;height:2;visibility:visible;mso-wrap-style:square;v-text-anchor:top" coordsize="64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" path="m,l1280,,6463,e" filled="f" strokecolor="#231f20" strokeweight=".25pt">
                  <v:path arrowok="t" o:connecttype="custom" o:connectlocs="0,0;1280,0;6463,0" o:connectangles="0,0,0"/>
                </v:shape>
                <w10:anchorlock/>
              </v:group>
            </w:pict>
          </mc:Fallback>
        </mc:AlternateContent>
      </w:r>
    </w:p>
    <w:p w14:paraId="6E8B7B76" w14:textId="5EB3EF6F" w:rsidR="00AE0598" w:rsidRDefault="0069255A">
      <w:pPr>
        <w:tabs>
          <w:tab w:val="left" w:pos="1509"/>
        </w:tabs>
        <w:spacing w:before="19" w:line="223" w:lineRule="auto"/>
        <w:ind w:left="1510" w:right="286" w:hanging="1400"/>
        <w:rPr>
          <w:rFonts w:ascii="Trebuchet MS"/>
          <w:sz w:val="14"/>
        </w:rPr>
      </w:pPr>
      <w:r>
        <w:rPr>
          <w:noProof/>
        </w:rPr>
        <mc:AlternateContent>
          <mc:Choice Requires="wps">
            <w:drawing>
              <wp:anchor distT="0" distB="0" distL="0" distR="0" simplePos="0" relativeHeight="487609856" behindDoc="1" locked="0" layoutInCell="1" allowOverlap="1" wp14:anchorId="1D9642FF" wp14:editId="0C276755">
                <wp:simplePos x="0" y="0"/>
                <wp:positionH relativeFrom="page">
                  <wp:posOffset>755650</wp:posOffset>
                </wp:positionH>
                <wp:positionV relativeFrom="paragraph">
                  <wp:posOffset>333375</wp:posOffset>
                </wp:positionV>
                <wp:extent cx="4104005" cy="1270"/>
                <wp:effectExtent l="0" t="0" r="0" b="0"/>
                <wp:wrapTopAndBottom/>
                <wp:docPr id="295" name="docshape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104005" cy="1270"/>
                        </a:xfrm>
                        <a:custGeom>
                          <a:avLst/>
                          <a:gdLst>
                            <a:gd name="T0" fmla="+- 0 1190 1190"/>
                            <a:gd name="T1" fmla="*/ T0 w 6463"/>
                            <a:gd name="T2" fmla="+- 0 2470 1190"/>
                            <a:gd name="T3" fmla="*/ T2 w 6463"/>
                            <a:gd name="T4" fmla="+- 0 7653 1190"/>
                            <a:gd name="T5" fmla="*/ T4 w 6463"/>
                          </a:gdLst>
                          <a:ahLst/>
                          <a:cxnLst>
                            <a:cxn ang="0">
                              <a:pos x="T1" y="0"/>
                            </a:cxn>
                            <a:cxn ang="0">
                              <a:pos x="T3" y="0"/>
                            </a:cxn>
                            <a:cxn ang="0">
                              <a:pos x="T5" y="0"/>
                            </a:cxn>
                          </a:cxnLst>
                          <a:rect l="0" t="0" r="r" b="b"/>
                          <a:pathLst>
                            <a:path w="6463">
                              <a:moveTo>
                                <a:pt x="0" y="0"/>
                              </a:moveTo>
                              <a:lnTo>
                                <a:pt x="1280" y="0"/>
                              </a:lnTo>
                              <a:lnTo>
                                <a:pt x="6463" y="0"/>
                              </a:lnTo>
                            </a:path>
                          </a:pathLst>
                        </a:custGeom>
                        <a:noFill/>
                        <a:ln w="3175">
                          <a:solidFill>
                            <a:srgbClr val="231F2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AE280A" id="docshape79" o:spid="_x0000_s1026" style="position:absolute;margin-left:59.5pt;margin-top:26.25pt;width:323.15pt;height:.1pt;z-index:-157066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46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" path="m,l1280,,6463,e" filled="f" strokecolor="#231f20" strokeweight=".25pt">
                <v:path arrowok="t" o:connecttype="custom" o:connectlocs="0,0;812800,0;4104005,0" o:connectangles="0,0,0"/>
                <w10:wrap type="topAndBottom" anchorx="page"/>
              </v:shape>
            </w:pict>
          </mc:Fallback>
        </mc:AlternateContent>
      </w:r>
      <w:r>
        <w:rPr>
          <w:rFonts w:ascii="Trebuchet MS"/>
          <w:b/>
          <w:color w:val="231F20"/>
          <w:sz w:val="16"/>
        </w:rPr>
        <w:t>Tourism sport:</w:t>
      </w:r>
      <w:r>
        <w:rPr>
          <w:rFonts w:ascii="Trebuchet MS"/>
          <w:b/>
          <w:color w:val="231F20"/>
          <w:sz w:val="16"/>
        </w:rPr>
        <w:tab/>
      </w:r>
      <w:r>
        <w:rPr>
          <w:rFonts w:ascii="Trebuchet MS"/>
          <w:color w:val="231F20"/>
          <w:position w:val="2"/>
          <w:sz w:val="14"/>
        </w:rPr>
        <w:t>Active or passive participation in competitive or recreational sport as a</w:t>
      </w:r>
      <w:r>
        <w:rPr>
          <w:rFonts w:ascii="Trebuchet MS"/>
          <w:color w:val="231F20"/>
          <w:spacing w:val="40"/>
          <w:position w:val="2"/>
          <w:sz w:val="14"/>
        </w:rPr>
        <w:t xml:space="preserve"> </w:t>
      </w:r>
      <w:r>
        <w:rPr>
          <w:rFonts w:ascii="Trebuchet MS"/>
          <w:color w:val="231F20"/>
          <w:sz w:val="14"/>
        </w:rPr>
        <w:t>secondary activity. The holiday or visit, rather t</w:t>
      </w:r>
      <w:r>
        <w:rPr>
          <w:rFonts w:ascii="Trebuchet MS"/>
          <w:color w:val="231F20"/>
          <w:sz w:val="14"/>
        </w:rPr>
        <w:t>han the sport, is the prime travel</w:t>
      </w:r>
      <w:r>
        <w:rPr>
          <w:rFonts w:ascii="Trebuchet MS"/>
          <w:color w:val="231F20"/>
          <w:spacing w:val="-7"/>
          <w:sz w:val="14"/>
        </w:rPr>
        <w:t xml:space="preserve"> </w:t>
      </w:r>
      <w:r>
        <w:rPr>
          <w:rFonts w:ascii="Trebuchet MS"/>
          <w:color w:val="231F20"/>
          <w:sz w:val="14"/>
        </w:rPr>
        <w:t>motivation.</w:t>
      </w:r>
    </w:p>
    <w:p w14:paraId="780C4D22" w14:textId="77777777" w:rsidR="00AE0598" w:rsidRDefault="0069255A">
      <w:pPr>
        <w:tabs>
          <w:tab w:val="left" w:pos="1509"/>
        </w:tabs>
        <w:spacing w:before="33" w:after="32" w:line="235" w:lineRule="auto"/>
        <w:ind w:left="1510" w:right="445" w:hanging="1400"/>
        <w:rPr>
          <w:rFonts w:ascii="Trebuchet MS"/>
          <w:sz w:val="14"/>
        </w:rPr>
      </w:pPr>
      <w:r>
        <w:rPr>
          <w:rFonts w:ascii="Trebuchet MS"/>
          <w:color w:val="231F20"/>
          <w:sz w:val="14"/>
        </w:rPr>
        <w:t>Hard</w:t>
      </w:r>
      <w:r>
        <w:rPr>
          <w:rFonts w:ascii="Trebuchet MS"/>
          <w:color w:val="231F20"/>
          <w:spacing w:val="-7"/>
          <w:sz w:val="14"/>
        </w:rPr>
        <w:t xml:space="preserve"> </w:t>
      </w:r>
      <w:r>
        <w:rPr>
          <w:rFonts w:ascii="Trebuchet MS"/>
          <w:color w:val="231F20"/>
          <w:sz w:val="14"/>
        </w:rPr>
        <w:t>definition</w:t>
      </w:r>
      <w:r>
        <w:rPr>
          <w:rFonts w:ascii="Trebuchet MS"/>
          <w:color w:val="231F20"/>
          <w:sz w:val="14"/>
        </w:rPr>
        <w:tab/>
        <w:t>Competitive</w:t>
      </w:r>
      <w:r>
        <w:rPr>
          <w:rFonts w:ascii="Trebuchet MS"/>
          <w:color w:val="231F20"/>
          <w:spacing w:val="29"/>
          <w:sz w:val="14"/>
        </w:rPr>
        <w:t xml:space="preserve"> </w:t>
      </w:r>
      <w:r>
        <w:rPr>
          <w:rFonts w:ascii="Trebuchet MS"/>
          <w:color w:val="231F20"/>
          <w:sz w:val="14"/>
        </w:rPr>
        <w:t>or</w:t>
      </w:r>
      <w:r>
        <w:rPr>
          <w:rFonts w:ascii="Trebuchet MS"/>
          <w:color w:val="231F20"/>
          <w:spacing w:val="29"/>
          <w:sz w:val="14"/>
        </w:rPr>
        <w:t xml:space="preserve"> </w:t>
      </w:r>
      <w:r>
        <w:rPr>
          <w:rFonts w:ascii="Trebuchet MS"/>
          <w:color w:val="231F20"/>
          <w:sz w:val="14"/>
        </w:rPr>
        <w:t>non-competitive</w:t>
      </w:r>
      <w:r>
        <w:rPr>
          <w:rFonts w:ascii="Trebuchet MS"/>
          <w:color w:val="231F20"/>
          <w:spacing w:val="29"/>
          <w:sz w:val="14"/>
        </w:rPr>
        <w:t xml:space="preserve"> </w:t>
      </w:r>
      <w:r>
        <w:rPr>
          <w:rFonts w:ascii="Trebuchet MS"/>
          <w:color w:val="231F20"/>
          <w:sz w:val="14"/>
        </w:rPr>
        <w:t>sports</w:t>
      </w:r>
      <w:r>
        <w:rPr>
          <w:rFonts w:ascii="Trebuchet MS"/>
          <w:color w:val="231F20"/>
          <w:spacing w:val="29"/>
          <w:sz w:val="14"/>
        </w:rPr>
        <w:t xml:space="preserve"> </w:t>
      </w:r>
      <w:r>
        <w:rPr>
          <w:rFonts w:ascii="Trebuchet MS"/>
          <w:color w:val="231F20"/>
          <w:sz w:val="14"/>
        </w:rPr>
        <w:t>act</w:t>
      </w:r>
      <w:r>
        <w:rPr>
          <w:rFonts w:ascii="Trebuchet MS"/>
          <w:color w:val="231F20"/>
          <w:spacing w:val="29"/>
          <w:sz w:val="14"/>
        </w:rPr>
        <w:t xml:space="preserve"> </w:t>
      </w:r>
      <w:r>
        <w:rPr>
          <w:rFonts w:ascii="Trebuchet MS"/>
          <w:color w:val="231F20"/>
          <w:sz w:val="14"/>
        </w:rPr>
        <w:t>as</w:t>
      </w:r>
      <w:r>
        <w:rPr>
          <w:rFonts w:ascii="Trebuchet MS"/>
          <w:color w:val="231F20"/>
          <w:spacing w:val="29"/>
          <w:sz w:val="14"/>
        </w:rPr>
        <w:t xml:space="preserve"> </w:t>
      </w:r>
      <w:r>
        <w:rPr>
          <w:rFonts w:ascii="Trebuchet MS"/>
          <w:color w:val="231F20"/>
          <w:sz w:val="14"/>
        </w:rPr>
        <w:t>an</w:t>
      </w:r>
      <w:r>
        <w:rPr>
          <w:rFonts w:ascii="Trebuchet MS"/>
          <w:color w:val="231F20"/>
          <w:spacing w:val="29"/>
          <w:sz w:val="14"/>
        </w:rPr>
        <w:t xml:space="preserve"> </w:t>
      </w:r>
      <w:r>
        <w:rPr>
          <w:rFonts w:ascii="Trebuchet MS"/>
          <w:color w:val="231F20"/>
          <w:sz w:val="14"/>
        </w:rPr>
        <w:t>important</w:t>
      </w:r>
      <w:r>
        <w:rPr>
          <w:rFonts w:ascii="Trebuchet MS"/>
          <w:color w:val="231F20"/>
          <w:spacing w:val="29"/>
          <w:sz w:val="14"/>
        </w:rPr>
        <w:t xml:space="preserve"> </w:t>
      </w:r>
      <w:r>
        <w:rPr>
          <w:rFonts w:ascii="Trebuchet MS"/>
          <w:color w:val="231F20"/>
          <w:sz w:val="14"/>
        </w:rPr>
        <w:t>secondary motivation that enriches the travel experience (e.g. sports cruises, health and fitness clubs).</w:t>
      </w:r>
    </w:p>
    <w:p w14:paraId="0AF80784" w14:textId="587B1726" w:rsidR="00AE0598" w:rsidRDefault="0069255A">
      <w:pPr>
        <w:pStyle w:val="Corpodetexto"/>
        <w:spacing w:line="20" w:lineRule="exact"/>
        <w:ind w:left="110"/>
        <w:rPr>
          <w:rFonts w:ascii="Trebuchet MS"/>
          <w:sz w:val="2"/>
        </w:rPr>
      </w:pPr>
      <w:r>
        <w:rPr>
          <w:rFonts w:ascii="Trebuchet MS"/>
          <w:noProof/>
          <w:sz w:val="2"/>
        </w:rPr>
        <mc:AlternateContent>
          <mc:Choice Requires="wpg">
            <w:drawing>
              <wp:inline distT="0" distB="0" distL="0" distR="0" wp14:anchorId="2894F02D" wp14:editId="502938F6">
                <wp:extent cx="4104005" cy="3175"/>
                <wp:effectExtent l="12700" t="4445" r="7620" b="11430"/>
                <wp:docPr id="293" name="docshapegroup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04005" cy="3175"/>
                          <a:chOff x="0" y="0"/>
                          <a:chExt cx="6463" cy="5"/>
                        </a:xfrm>
                      </wpg:grpSpPr>
                      <wps:wsp>
                        <wps:cNvPr id="294" name="docshape81"/>
                        <wps:cNvSpPr>
                          <a:spLocks/>
                        </wps:cNvSpPr>
                        <wps:spPr bwMode="auto">
                          <a:xfrm>
                            <a:off x="0" y="2"/>
                            <a:ext cx="6463" cy="2"/>
                          </a:xfrm>
                          <a:custGeom>
                            <a:avLst/>
                            <a:gdLst>
                              <a:gd name="T0" fmla="*/ 0 w 6463"/>
                              <a:gd name="T1" fmla="*/ 1280 w 6463"/>
                              <a:gd name="T2" fmla="*/ 6463 w 6463"/>
                            </a:gdLst>
                            <a:ahLst/>
                            <a:cxnLst>
                              <a:cxn ang="0">
                                <a:pos x="T0" y="0"/>
                              </a:cxn>
                              <a:cxn ang="0">
                                <a:pos x="T1" y="0"/>
                              </a:cxn>
                              <a:cxn ang="0">
                                <a:pos x="T2" y="0"/>
                              </a:cxn>
                            </a:cxnLst>
                            <a:rect l="0" t="0" r="r" b="b"/>
                            <a:pathLst>
                              <a:path w="6463">
                                <a:moveTo>
                                  <a:pt x="0" y="0"/>
                                </a:moveTo>
                                <a:lnTo>
                                  <a:pt x="1280" y="0"/>
                                </a:lnTo>
                                <a:lnTo>
                                  <a:pt x="6463" y="0"/>
                                </a:lnTo>
                              </a:path>
                            </a:pathLst>
                          </a:custGeom>
                          <a:noFill/>
                          <a:ln w="3175">
                            <a:solidFill>
                              <a:srgbClr val="231F2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2D1C7860" id="docshapegroup80" o:spid="_x0000_s1026" style="width:323.15pt;height:.25pt;mso-position-horizontal-relative:char;mso-position-vertical-relative:line" coordsize="64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">
                <v:shape id="docshape81" o:spid="_x0000_s1027" style="position:absolute;top:2;width:6463;height:2;visibility:visible;mso-wrap-style:square;v-text-anchor:top" coordsize="64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" path="m,l1280,,6463,e" filled="f" strokecolor="#231f20" strokeweight=".25pt">
                  <v:path arrowok="t" o:connecttype="custom" o:connectlocs="0,0;1280,0;6463,0" o:connectangles="0,0,0"/>
                </v:shape>
                <w10:anchorlock/>
              </v:group>
            </w:pict>
          </mc:Fallback>
        </mc:AlternateContent>
      </w:r>
    </w:p>
    <w:p w14:paraId="684517A9" w14:textId="7F04FD23" w:rsidR="00AE0598" w:rsidRDefault="0069255A">
      <w:pPr>
        <w:tabs>
          <w:tab w:val="left" w:pos="1509"/>
        </w:tabs>
        <w:spacing w:before="16" w:line="235" w:lineRule="auto"/>
        <w:ind w:left="1510" w:right="286" w:hanging="1400"/>
        <w:rPr>
          <w:rFonts w:ascii="Trebuchet MS"/>
          <w:sz w:val="14"/>
        </w:rPr>
      </w:pPr>
      <w:r>
        <w:rPr>
          <w:noProof/>
        </w:rPr>
        <mc:AlternateContent>
          <mc:Choice Requires="wps">
            <w:drawing>
              <wp:anchor distT="0" distB="0" distL="0" distR="0" simplePos="0" relativeHeight="487610880" behindDoc="1" locked="0" layoutInCell="1" allowOverlap="1" wp14:anchorId="3C10A90A" wp14:editId="5DBB8C5F">
                <wp:simplePos x="0" y="0"/>
                <wp:positionH relativeFrom="page">
                  <wp:posOffset>755650</wp:posOffset>
                </wp:positionH>
                <wp:positionV relativeFrom="paragraph">
                  <wp:posOffset>333375</wp:posOffset>
                </wp:positionV>
                <wp:extent cx="4104005" cy="1270"/>
                <wp:effectExtent l="0" t="0" r="0" b="0"/>
                <wp:wrapTopAndBottom/>
                <wp:docPr id="292" name="docshape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104005" cy="1270"/>
                        </a:xfrm>
                        <a:custGeom>
                          <a:avLst/>
                          <a:gdLst>
                            <a:gd name="T0" fmla="+- 0 1190 1190"/>
                            <a:gd name="T1" fmla="*/ T0 w 6463"/>
                            <a:gd name="T2" fmla="+- 0 2470 1190"/>
                            <a:gd name="T3" fmla="*/ T2 w 6463"/>
                            <a:gd name="T4" fmla="+- 0 2470 1190"/>
                            <a:gd name="T5" fmla="*/ T4 w 6463"/>
                            <a:gd name="T6" fmla="+- 0 7653 1190"/>
                            <a:gd name="T7" fmla="*/ T6 w 6463"/>
                          </a:gdLst>
                          <a:ahLst/>
                          <a:cxnLst>
                            <a:cxn ang="0">
                              <a:pos x="T1" y="0"/>
                            </a:cxn>
                            <a:cxn ang="0">
                              <a:pos x="T3" y="0"/>
                            </a:cxn>
                            <a:cxn ang="0">
                              <a:pos x="T5" y="0"/>
                            </a:cxn>
                            <a:cxn ang="0">
                              <a:pos x="T7" y="0"/>
                            </a:cxn>
                          </a:cxnLst>
                          <a:rect l="0" t="0" r="r" b="b"/>
                          <a:pathLst>
                            <a:path w="6463">
                              <a:moveTo>
                                <a:pt x="0" y="0"/>
                              </a:moveTo>
                              <a:lnTo>
                                <a:pt x="1280" y="0"/>
                              </a:lnTo>
                              <a:moveTo>
                                <a:pt x="1280" y="0"/>
                              </a:moveTo>
                              <a:lnTo>
                                <a:pt x="6463" y="0"/>
                              </a:lnTo>
                            </a:path>
                          </a:pathLst>
                        </a:custGeom>
                        <a:noFill/>
                        <a:ln w="3175">
                          <a:solidFill>
                            <a:srgbClr val="231F2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EC16B8" id="docshape82" o:spid="_x0000_s1026" style="position:absolute;margin-left:59.5pt;margin-top:26.25pt;width:323.15pt;height:.1pt;z-index:-157056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46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" path="m,l1280,t,l6463,e" filled="f" strokecolor="#231f20" strokeweight=".25pt">
                <v:path arrowok="t" o:connecttype="custom" o:connectlocs="0,0;812800,0;812800,0;4104005,0" o:connectangles="0,0,0,0"/>
                <w10:wrap type="topAndBottom" anchorx="page"/>
              </v:shape>
            </w:pict>
          </mc:Fallback>
        </mc:AlternateContent>
      </w:r>
      <w:r>
        <w:rPr>
          <w:rFonts w:ascii="Trebuchet MS"/>
          <w:color w:val="231F20"/>
          <w:sz w:val="14"/>
        </w:rPr>
        <w:t>Soft</w:t>
      </w:r>
      <w:r>
        <w:rPr>
          <w:rFonts w:ascii="Trebuchet MS"/>
          <w:color w:val="231F20"/>
          <w:spacing w:val="-7"/>
          <w:sz w:val="14"/>
        </w:rPr>
        <w:t xml:space="preserve"> </w:t>
      </w:r>
      <w:r>
        <w:rPr>
          <w:rFonts w:ascii="Trebuchet MS"/>
          <w:color w:val="231F20"/>
          <w:sz w:val="14"/>
        </w:rPr>
        <w:t>definition</w:t>
      </w:r>
      <w:r>
        <w:rPr>
          <w:rFonts w:ascii="Trebuchet MS"/>
          <w:color w:val="231F20"/>
          <w:sz w:val="14"/>
        </w:rPr>
        <w:tab/>
      </w:r>
      <w:r>
        <w:rPr>
          <w:rFonts w:ascii="Trebuchet MS"/>
          <w:color w:val="231F20"/>
          <w:sz w:val="14"/>
        </w:rPr>
        <w:t>Competitive or non-competitive sport or leisure as a purely incidental ele-</w:t>
      </w:r>
      <w:r>
        <w:rPr>
          <w:rFonts w:ascii="Trebuchet MS"/>
          <w:color w:val="231F20"/>
          <w:spacing w:val="80"/>
          <w:sz w:val="14"/>
        </w:rPr>
        <w:t xml:space="preserve"> </w:t>
      </w:r>
      <w:r>
        <w:rPr>
          <w:rFonts w:ascii="Trebuchet MS"/>
          <w:color w:val="231F20"/>
          <w:sz w:val="14"/>
        </w:rPr>
        <w:t>ment of the holiday experience (e.g. mini golf, indoor bowls, ice skating,</w:t>
      </w:r>
      <w:r>
        <w:rPr>
          <w:rFonts w:ascii="Trebuchet MS"/>
          <w:color w:val="231F20"/>
          <w:spacing w:val="40"/>
          <w:sz w:val="14"/>
        </w:rPr>
        <w:t xml:space="preserve"> </w:t>
      </w:r>
      <w:r>
        <w:rPr>
          <w:rFonts w:ascii="Trebuchet MS"/>
          <w:color w:val="231F20"/>
          <w:spacing w:val="-2"/>
          <w:sz w:val="14"/>
        </w:rPr>
        <w:t>squash).</w:t>
      </w:r>
    </w:p>
    <w:p w14:paraId="3DA99DE3" w14:textId="77777777" w:rsidR="00AE0598" w:rsidRDefault="0069255A">
      <w:pPr>
        <w:spacing w:before="71"/>
        <w:ind w:left="110"/>
        <w:rPr>
          <w:rFonts w:ascii="Trebuchet MS" w:hAnsi="Trebuchet MS"/>
          <w:sz w:val="14"/>
        </w:rPr>
      </w:pPr>
      <w:r>
        <w:rPr>
          <w:rFonts w:ascii="Trebuchet MS" w:hAnsi="Trebuchet MS"/>
          <w:color w:val="231F20"/>
          <w:w w:val="105"/>
          <w:sz w:val="14"/>
        </w:rPr>
        <w:t>Source:</w:t>
      </w:r>
      <w:r>
        <w:rPr>
          <w:rFonts w:ascii="Trebuchet MS" w:hAnsi="Trebuchet MS"/>
          <w:color w:val="231F20"/>
          <w:spacing w:val="-2"/>
          <w:w w:val="105"/>
          <w:sz w:val="14"/>
        </w:rPr>
        <w:t xml:space="preserve"> </w:t>
      </w:r>
      <w:r>
        <w:rPr>
          <w:rFonts w:ascii="Trebuchet MS" w:hAnsi="Trebuchet MS"/>
          <w:color w:val="231F20"/>
          <w:w w:val="105"/>
          <w:sz w:val="14"/>
        </w:rPr>
        <w:t>Gammon</w:t>
      </w:r>
      <w:r>
        <w:rPr>
          <w:rFonts w:ascii="Trebuchet MS" w:hAnsi="Trebuchet MS"/>
          <w:color w:val="231F20"/>
          <w:spacing w:val="-1"/>
          <w:w w:val="105"/>
          <w:sz w:val="14"/>
        </w:rPr>
        <w:t xml:space="preserve"> </w:t>
      </w:r>
      <w:r>
        <w:rPr>
          <w:rFonts w:ascii="Trebuchet MS" w:hAnsi="Trebuchet MS"/>
          <w:color w:val="231F20"/>
          <w:w w:val="105"/>
          <w:sz w:val="14"/>
        </w:rPr>
        <w:t>and</w:t>
      </w:r>
      <w:r>
        <w:rPr>
          <w:rFonts w:ascii="Trebuchet MS" w:hAnsi="Trebuchet MS"/>
          <w:color w:val="231F20"/>
          <w:spacing w:val="-1"/>
          <w:w w:val="105"/>
          <w:sz w:val="14"/>
        </w:rPr>
        <w:t xml:space="preserve"> </w:t>
      </w:r>
      <w:r>
        <w:rPr>
          <w:rFonts w:ascii="Trebuchet MS" w:hAnsi="Trebuchet MS"/>
          <w:color w:val="231F20"/>
          <w:w w:val="105"/>
          <w:sz w:val="14"/>
        </w:rPr>
        <w:t>Robinson</w:t>
      </w:r>
      <w:r>
        <w:rPr>
          <w:rFonts w:ascii="Trebuchet MS" w:hAnsi="Trebuchet MS"/>
          <w:color w:val="231F20"/>
          <w:spacing w:val="-1"/>
          <w:w w:val="105"/>
          <w:sz w:val="14"/>
        </w:rPr>
        <w:t xml:space="preserve"> </w:t>
      </w:r>
      <w:r>
        <w:rPr>
          <w:rFonts w:ascii="Trebuchet MS" w:hAnsi="Trebuchet MS"/>
          <w:color w:val="231F20"/>
          <w:w w:val="105"/>
          <w:sz w:val="14"/>
        </w:rPr>
        <w:t>(1997:</w:t>
      </w:r>
      <w:r>
        <w:rPr>
          <w:rFonts w:ascii="Trebuchet MS" w:hAnsi="Trebuchet MS"/>
          <w:color w:val="231F20"/>
          <w:spacing w:val="-1"/>
          <w:w w:val="105"/>
          <w:sz w:val="14"/>
        </w:rPr>
        <w:t xml:space="preserve"> </w:t>
      </w:r>
      <w:r>
        <w:rPr>
          <w:rFonts w:ascii="Trebuchet MS" w:hAnsi="Trebuchet MS"/>
          <w:color w:val="231F20"/>
          <w:spacing w:val="-2"/>
          <w:w w:val="105"/>
          <w:sz w:val="14"/>
        </w:rPr>
        <w:t>10–11).</w:t>
      </w:r>
    </w:p>
    <w:p w14:paraId="2F1AF218" w14:textId="77777777" w:rsidR="00AE0598" w:rsidRDefault="00AE0598">
      <w:pPr>
        <w:pStyle w:val="Corpodetexto"/>
        <w:spacing w:before="11"/>
        <w:rPr>
          <w:rFonts w:ascii="Trebuchet MS"/>
          <w:sz w:val="17"/>
        </w:rPr>
      </w:pPr>
    </w:p>
    <w:p w14:paraId="37C65A63" w14:textId="77777777" w:rsidR="00AE0598" w:rsidRDefault="0069255A">
      <w:pPr>
        <w:pStyle w:val="Corpodetexto"/>
        <w:spacing w:line="232" w:lineRule="auto"/>
        <w:ind w:left="110" w:right="126"/>
        <w:jc w:val="both"/>
      </w:pPr>
      <w:r>
        <w:rPr>
          <w:color w:val="231F20"/>
          <w:w w:val="95"/>
        </w:rPr>
        <w:t>conceptual classification (Table 3.4). The sport activity holiday segment of Standeven and De Knop’s classification illustrates the diversity of the sport tourism market. Single sport activity holidays accommodate those tourists who</w:t>
      </w:r>
      <w:r>
        <w:rPr>
          <w:color w:val="231F20"/>
          <w:spacing w:val="-3"/>
          <w:w w:val="95"/>
        </w:rPr>
        <w:t xml:space="preserve"> </w:t>
      </w:r>
      <w:r>
        <w:rPr>
          <w:color w:val="231F20"/>
          <w:w w:val="95"/>
        </w:rPr>
        <w:t>seek</w:t>
      </w:r>
      <w:r>
        <w:rPr>
          <w:color w:val="231F20"/>
          <w:spacing w:val="-3"/>
          <w:w w:val="95"/>
        </w:rPr>
        <w:t xml:space="preserve"> </w:t>
      </w:r>
      <w:r>
        <w:rPr>
          <w:color w:val="231F20"/>
          <w:w w:val="95"/>
        </w:rPr>
        <w:t>to</w:t>
      </w:r>
      <w:r>
        <w:rPr>
          <w:color w:val="231F20"/>
          <w:spacing w:val="-3"/>
          <w:w w:val="95"/>
        </w:rPr>
        <w:t xml:space="preserve"> </w:t>
      </w:r>
      <w:r>
        <w:rPr>
          <w:color w:val="231F20"/>
          <w:w w:val="95"/>
        </w:rPr>
        <w:t>engage</w:t>
      </w:r>
      <w:r>
        <w:rPr>
          <w:color w:val="231F20"/>
          <w:spacing w:val="-3"/>
          <w:w w:val="95"/>
        </w:rPr>
        <w:t xml:space="preserve"> </w:t>
      </w:r>
      <w:r>
        <w:rPr>
          <w:color w:val="231F20"/>
          <w:w w:val="95"/>
        </w:rPr>
        <w:t>in</w:t>
      </w:r>
      <w:r>
        <w:rPr>
          <w:color w:val="231F20"/>
          <w:spacing w:val="-3"/>
          <w:w w:val="95"/>
        </w:rPr>
        <w:t xml:space="preserve"> </w:t>
      </w:r>
      <w:r>
        <w:rPr>
          <w:color w:val="231F20"/>
          <w:w w:val="95"/>
        </w:rPr>
        <w:t>speci</w:t>
      </w:r>
      <w:r>
        <w:rPr>
          <w:color w:val="231F20"/>
          <w:w w:val="95"/>
        </w:rPr>
        <w:t>fic</w:t>
      </w:r>
      <w:r>
        <w:rPr>
          <w:color w:val="231F20"/>
          <w:spacing w:val="-3"/>
          <w:w w:val="95"/>
        </w:rPr>
        <w:t xml:space="preserve"> </w:t>
      </w:r>
      <w:r>
        <w:rPr>
          <w:color w:val="231F20"/>
          <w:w w:val="95"/>
        </w:rPr>
        <w:t>sports,</w:t>
      </w:r>
      <w:r>
        <w:rPr>
          <w:color w:val="231F20"/>
          <w:spacing w:val="-3"/>
          <w:w w:val="95"/>
        </w:rPr>
        <w:t xml:space="preserve"> </w:t>
      </w:r>
      <w:r>
        <w:rPr>
          <w:color w:val="231F20"/>
          <w:w w:val="95"/>
        </w:rPr>
        <w:t>such</w:t>
      </w:r>
      <w:r>
        <w:rPr>
          <w:color w:val="231F20"/>
          <w:spacing w:val="-3"/>
          <w:w w:val="95"/>
        </w:rPr>
        <w:t xml:space="preserve"> </w:t>
      </w:r>
      <w:r>
        <w:rPr>
          <w:color w:val="231F20"/>
          <w:w w:val="95"/>
        </w:rPr>
        <w:t>as</w:t>
      </w:r>
      <w:r>
        <w:rPr>
          <w:color w:val="231F20"/>
          <w:spacing w:val="-3"/>
          <w:w w:val="95"/>
        </w:rPr>
        <w:t xml:space="preserve"> </w:t>
      </w:r>
      <w:r>
        <w:rPr>
          <w:color w:val="231F20"/>
          <w:w w:val="95"/>
        </w:rPr>
        <w:t>downhill</w:t>
      </w:r>
      <w:r>
        <w:rPr>
          <w:color w:val="231F20"/>
          <w:spacing w:val="-3"/>
          <w:w w:val="95"/>
        </w:rPr>
        <w:t xml:space="preserve"> </w:t>
      </w:r>
      <w:r>
        <w:rPr>
          <w:color w:val="231F20"/>
          <w:w w:val="95"/>
        </w:rPr>
        <w:t>skiing,</w:t>
      </w:r>
      <w:r>
        <w:rPr>
          <w:color w:val="231F20"/>
          <w:spacing w:val="-3"/>
          <w:w w:val="95"/>
        </w:rPr>
        <w:t xml:space="preserve"> </w:t>
      </w:r>
      <w:r>
        <w:rPr>
          <w:color w:val="231F20"/>
          <w:w w:val="95"/>
        </w:rPr>
        <w:t xml:space="preserve">cross-country </w:t>
      </w:r>
      <w:r>
        <w:rPr>
          <w:color w:val="231F20"/>
        </w:rPr>
        <w:t xml:space="preserve">skiing or snowboarding. The wider touristic element of the destination </w:t>
      </w:r>
      <w:r>
        <w:rPr>
          <w:color w:val="231F20"/>
          <w:w w:val="95"/>
        </w:rPr>
        <w:t>may carry little sway in the travel decision process in these instances. This market stands in contrast to the multiple sport activity</w:t>
      </w:r>
      <w:r>
        <w:rPr>
          <w:color w:val="231F20"/>
          <w:w w:val="95"/>
        </w:rPr>
        <w:t xml:space="preserve"> holidays market for whom</w:t>
      </w:r>
      <w:r>
        <w:rPr>
          <w:color w:val="231F20"/>
          <w:spacing w:val="-1"/>
          <w:w w:val="95"/>
        </w:rPr>
        <w:t xml:space="preserve"> </w:t>
      </w:r>
      <w:r>
        <w:rPr>
          <w:color w:val="231F20"/>
          <w:w w:val="95"/>
        </w:rPr>
        <w:t>opportunities</w:t>
      </w:r>
      <w:r>
        <w:rPr>
          <w:color w:val="231F20"/>
          <w:spacing w:val="-1"/>
          <w:w w:val="95"/>
        </w:rPr>
        <w:t xml:space="preserve"> </w:t>
      </w:r>
      <w:r>
        <w:rPr>
          <w:color w:val="231F20"/>
          <w:w w:val="95"/>
        </w:rPr>
        <w:t>to</w:t>
      </w:r>
      <w:r>
        <w:rPr>
          <w:color w:val="231F20"/>
          <w:spacing w:val="-1"/>
          <w:w w:val="95"/>
        </w:rPr>
        <w:t xml:space="preserve"> </w:t>
      </w:r>
      <w:r>
        <w:rPr>
          <w:color w:val="231F20"/>
          <w:w w:val="95"/>
        </w:rPr>
        <w:t>engage</w:t>
      </w:r>
      <w:r>
        <w:rPr>
          <w:color w:val="231F20"/>
          <w:spacing w:val="-1"/>
          <w:w w:val="95"/>
        </w:rPr>
        <w:t xml:space="preserve"> </w:t>
      </w:r>
      <w:r>
        <w:rPr>
          <w:color w:val="231F20"/>
          <w:w w:val="95"/>
        </w:rPr>
        <w:t>in</w:t>
      </w:r>
      <w:r>
        <w:rPr>
          <w:color w:val="231F20"/>
          <w:spacing w:val="-1"/>
          <w:w w:val="95"/>
        </w:rPr>
        <w:t xml:space="preserve"> </w:t>
      </w:r>
      <w:r>
        <w:rPr>
          <w:color w:val="231F20"/>
          <w:w w:val="95"/>
        </w:rPr>
        <w:t>sporting</w:t>
      </w:r>
      <w:r>
        <w:rPr>
          <w:color w:val="231F20"/>
          <w:spacing w:val="-1"/>
          <w:w w:val="95"/>
        </w:rPr>
        <w:t xml:space="preserve"> </w:t>
      </w:r>
      <w:r>
        <w:rPr>
          <w:color w:val="231F20"/>
          <w:w w:val="95"/>
        </w:rPr>
        <w:t>pursuits</w:t>
      </w:r>
      <w:r>
        <w:rPr>
          <w:color w:val="231F20"/>
          <w:spacing w:val="-1"/>
          <w:w w:val="95"/>
        </w:rPr>
        <w:t xml:space="preserve"> </w:t>
      </w:r>
      <w:r>
        <w:rPr>
          <w:color w:val="231F20"/>
          <w:w w:val="95"/>
        </w:rPr>
        <w:t>are</w:t>
      </w:r>
      <w:r>
        <w:rPr>
          <w:color w:val="231F20"/>
          <w:spacing w:val="-1"/>
          <w:w w:val="95"/>
        </w:rPr>
        <w:t xml:space="preserve"> </w:t>
      </w:r>
      <w:r>
        <w:rPr>
          <w:color w:val="231F20"/>
          <w:w w:val="95"/>
        </w:rPr>
        <w:t>more</w:t>
      </w:r>
      <w:r>
        <w:rPr>
          <w:color w:val="231F20"/>
          <w:spacing w:val="-1"/>
          <w:w w:val="95"/>
        </w:rPr>
        <w:t xml:space="preserve"> </w:t>
      </w:r>
      <w:r>
        <w:rPr>
          <w:color w:val="231F20"/>
          <w:w w:val="95"/>
        </w:rPr>
        <w:t>broad</w:t>
      </w:r>
      <w:r>
        <w:rPr>
          <w:color w:val="231F20"/>
          <w:spacing w:val="-1"/>
          <w:w w:val="95"/>
        </w:rPr>
        <w:t xml:space="preserve"> </w:t>
      </w:r>
      <w:r>
        <w:rPr>
          <w:color w:val="231F20"/>
          <w:w w:val="95"/>
        </w:rPr>
        <w:t xml:space="preserve">ranging, </w:t>
      </w:r>
      <w:r>
        <w:rPr>
          <w:color w:val="231F20"/>
        </w:rPr>
        <w:t>casual and</w:t>
      </w:r>
      <w:r>
        <w:rPr>
          <w:color w:val="231F20"/>
          <w:spacing w:val="-1"/>
        </w:rPr>
        <w:t xml:space="preserve"> </w:t>
      </w:r>
      <w:r>
        <w:rPr>
          <w:color w:val="231F20"/>
        </w:rPr>
        <w:t>less likely to be the</w:t>
      </w:r>
      <w:r>
        <w:rPr>
          <w:color w:val="231F20"/>
          <w:spacing w:val="-1"/>
        </w:rPr>
        <w:t xml:space="preserve"> </w:t>
      </w:r>
      <w:r>
        <w:rPr>
          <w:color w:val="231F20"/>
        </w:rPr>
        <w:t>sole</w:t>
      </w:r>
      <w:r>
        <w:rPr>
          <w:color w:val="231F20"/>
          <w:spacing w:val="-1"/>
        </w:rPr>
        <w:t xml:space="preserve"> </w:t>
      </w:r>
      <w:r>
        <w:rPr>
          <w:color w:val="231F20"/>
        </w:rPr>
        <w:t>focus</w:t>
      </w:r>
      <w:r>
        <w:rPr>
          <w:color w:val="231F20"/>
          <w:spacing w:val="-1"/>
        </w:rPr>
        <w:t xml:space="preserve"> </w:t>
      </w:r>
      <w:r>
        <w:rPr>
          <w:color w:val="231F20"/>
        </w:rPr>
        <w:t>of visitor</w:t>
      </w:r>
      <w:r>
        <w:rPr>
          <w:color w:val="231F20"/>
          <w:spacing w:val="-1"/>
        </w:rPr>
        <w:t xml:space="preserve"> </w:t>
      </w:r>
      <w:r>
        <w:rPr>
          <w:color w:val="231F20"/>
        </w:rPr>
        <w:t>activity.</w:t>
      </w:r>
    </w:p>
    <w:p w14:paraId="4F864F5F" w14:textId="77777777" w:rsidR="00AE0598" w:rsidRDefault="00AE0598">
      <w:pPr>
        <w:pStyle w:val="Corpodetexto"/>
        <w:spacing w:before="10"/>
        <w:rPr>
          <w:sz w:val="9"/>
        </w:rPr>
      </w:pPr>
    </w:p>
    <w:p w14:paraId="6E9FCD52" w14:textId="77777777" w:rsidR="00AE0598" w:rsidRDefault="0069255A">
      <w:pPr>
        <w:spacing w:before="99"/>
        <w:ind w:left="110"/>
        <w:rPr>
          <w:rFonts w:ascii="Trebuchet MS"/>
          <w:sz w:val="16"/>
        </w:rPr>
      </w:pPr>
      <w:r>
        <w:rPr>
          <w:rFonts w:ascii="Trebuchet MS"/>
          <w:b/>
          <w:color w:val="231F20"/>
          <w:sz w:val="16"/>
        </w:rPr>
        <w:t>Table</w:t>
      </w:r>
      <w:r>
        <w:rPr>
          <w:rFonts w:ascii="Trebuchet MS"/>
          <w:b/>
          <w:color w:val="231F20"/>
          <w:spacing w:val="2"/>
          <w:sz w:val="16"/>
        </w:rPr>
        <w:t xml:space="preserve"> </w:t>
      </w:r>
      <w:r>
        <w:rPr>
          <w:rFonts w:ascii="Trebuchet MS"/>
          <w:b/>
          <w:color w:val="231F20"/>
          <w:sz w:val="16"/>
        </w:rPr>
        <w:t>3.4</w:t>
      </w:r>
      <w:r>
        <w:rPr>
          <w:rFonts w:ascii="Trebuchet MS"/>
          <w:b/>
          <w:color w:val="231F20"/>
          <w:spacing w:val="44"/>
          <w:sz w:val="16"/>
        </w:rPr>
        <w:t xml:space="preserve"> </w:t>
      </w:r>
      <w:r>
        <w:rPr>
          <w:rFonts w:ascii="Trebuchet MS"/>
          <w:color w:val="231F20"/>
          <w:sz w:val="16"/>
        </w:rPr>
        <w:t>Sport</w:t>
      </w:r>
      <w:r>
        <w:rPr>
          <w:rFonts w:ascii="Trebuchet MS"/>
          <w:color w:val="231F20"/>
          <w:spacing w:val="3"/>
          <w:sz w:val="16"/>
        </w:rPr>
        <w:t xml:space="preserve"> </w:t>
      </w:r>
      <w:r>
        <w:rPr>
          <w:rFonts w:ascii="Trebuchet MS"/>
          <w:color w:val="231F20"/>
          <w:sz w:val="16"/>
        </w:rPr>
        <w:t>tourism</w:t>
      </w:r>
      <w:r>
        <w:rPr>
          <w:rFonts w:ascii="Trebuchet MS"/>
          <w:color w:val="231F20"/>
          <w:spacing w:val="3"/>
          <w:sz w:val="16"/>
        </w:rPr>
        <w:t xml:space="preserve"> </w:t>
      </w:r>
      <w:r>
        <w:rPr>
          <w:rFonts w:ascii="Trebuchet MS"/>
          <w:color w:val="231F20"/>
          <w:sz w:val="16"/>
        </w:rPr>
        <w:t>activities</w:t>
      </w:r>
      <w:r>
        <w:rPr>
          <w:rFonts w:ascii="Trebuchet MS"/>
          <w:color w:val="231F20"/>
          <w:spacing w:val="2"/>
          <w:sz w:val="16"/>
        </w:rPr>
        <w:t xml:space="preserve"> </w:t>
      </w:r>
      <w:r>
        <w:rPr>
          <w:rFonts w:ascii="Trebuchet MS"/>
          <w:color w:val="231F20"/>
          <w:spacing w:val="-2"/>
          <w:sz w:val="16"/>
        </w:rPr>
        <w:t>classification</w:t>
      </w:r>
    </w:p>
    <w:p w14:paraId="0394AC84" w14:textId="77777777" w:rsidR="00AE0598" w:rsidRDefault="0069255A">
      <w:pPr>
        <w:tabs>
          <w:tab w:val="left" w:pos="4491"/>
        </w:tabs>
        <w:spacing w:before="138"/>
        <w:ind w:left="110"/>
        <w:rPr>
          <w:rFonts w:ascii="Trebuchet MS"/>
          <w:b/>
          <w:sz w:val="14"/>
        </w:rPr>
      </w:pPr>
      <w:r>
        <w:rPr>
          <w:rFonts w:ascii="Trebuchet MS"/>
          <w:b/>
          <w:color w:val="231F20"/>
          <w:spacing w:val="-2"/>
          <w:sz w:val="14"/>
        </w:rPr>
        <w:t>Classification</w:t>
      </w:r>
      <w:r>
        <w:rPr>
          <w:rFonts w:ascii="Trebuchet MS"/>
          <w:b/>
          <w:color w:val="231F20"/>
          <w:sz w:val="14"/>
        </w:rPr>
        <w:tab/>
      </w:r>
      <w:r>
        <w:rPr>
          <w:rFonts w:ascii="Trebuchet MS"/>
          <w:b/>
          <w:color w:val="231F20"/>
          <w:spacing w:val="-2"/>
          <w:sz w:val="14"/>
        </w:rPr>
        <w:t>Examples</w:t>
      </w:r>
    </w:p>
    <w:p w14:paraId="79AB02D1" w14:textId="290D4E22" w:rsidR="00AE0598" w:rsidRDefault="0069255A">
      <w:pPr>
        <w:pStyle w:val="Corpodetexto"/>
        <w:spacing w:before="4"/>
        <w:rPr>
          <w:rFonts w:ascii="Trebuchet MS"/>
          <w:b/>
          <w:sz w:val="5"/>
        </w:rPr>
      </w:pPr>
      <w:r>
        <w:rPr>
          <w:noProof/>
        </w:rPr>
        <mc:AlternateContent>
          <mc:Choice Requires="wps">
            <w:drawing>
              <wp:anchor distT="0" distB="0" distL="0" distR="0" simplePos="0" relativeHeight="487611392" behindDoc="1" locked="0" layoutInCell="1" allowOverlap="1" wp14:anchorId="6631C8F6" wp14:editId="3CC6934A">
                <wp:simplePos x="0" y="0"/>
                <wp:positionH relativeFrom="page">
                  <wp:posOffset>755650</wp:posOffset>
                </wp:positionH>
                <wp:positionV relativeFrom="paragraph">
                  <wp:posOffset>57150</wp:posOffset>
                </wp:positionV>
                <wp:extent cx="4097655" cy="1270"/>
                <wp:effectExtent l="0" t="0" r="0" b="0"/>
                <wp:wrapTopAndBottom/>
                <wp:docPr id="291" name="docshape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097655" cy="1270"/>
                        </a:xfrm>
                        <a:custGeom>
                          <a:avLst/>
                          <a:gdLst>
                            <a:gd name="T0" fmla="+- 0 1190 1190"/>
                            <a:gd name="T1" fmla="*/ T0 w 6453"/>
                            <a:gd name="T2" fmla="+- 0 4020 1190"/>
                            <a:gd name="T3" fmla="*/ T2 w 6453"/>
                            <a:gd name="T4" fmla="+- 0 4020 1190"/>
                            <a:gd name="T5" fmla="*/ T4 w 6453"/>
                            <a:gd name="T6" fmla="+- 0 7643 1190"/>
                            <a:gd name="T7" fmla="*/ T6 w 6453"/>
                          </a:gdLst>
                          <a:ahLst/>
                          <a:cxnLst>
                            <a:cxn ang="0">
                              <a:pos x="T1" y="0"/>
                            </a:cxn>
                            <a:cxn ang="0">
                              <a:pos x="T3" y="0"/>
                            </a:cxn>
                            <a:cxn ang="0">
                              <a:pos x="T5" y="0"/>
                            </a:cxn>
                            <a:cxn ang="0">
                              <a:pos x="T7" y="0"/>
                            </a:cxn>
                          </a:cxnLst>
                          <a:rect l="0" t="0" r="r" b="b"/>
                          <a:pathLst>
                            <a:path w="6453">
                              <a:moveTo>
                                <a:pt x="0" y="0"/>
                              </a:moveTo>
                              <a:lnTo>
                                <a:pt x="2830" y="0"/>
                              </a:lnTo>
                              <a:moveTo>
                                <a:pt x="2830" y="0"/>
                              </a:moveTo>
                              <a:lnTo>
                                <a:pt x="6453" y="0"/>
                              </a:lnTo>
                            </a:path>
                          </a:pathLst>
                        </a:custGeom>
                        <a:noFill/>
                        <a:ln w="3175">
                          <a:solidFill>
                            <a:srgbClr val="231F2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D9E934" id="docshape83" o:spid="_x0000_s1026" style="position:absolute;margin-left:59.5pt;margin-top:4.5pt;width:322.65pt;height:.1pt;z-index:-157050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45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" path="m,l2830,t,l6453,e" filled="f" strokecolor="#231f20" strokeweight=".25pt">
                <v:path arrowok="t" o:connecttype="custom" o:connectlocs="0,0;1797050,0;1797050,0;4097655,0" o:connectangles="0,0,0,0"/>
                <w10:wrap type="topAndBottom" anchorx="page"/>
              </v:shape>
            </w:pict>
          </mc:Fallback>
        </mc:AlternateContent>
      </w:r>
    </w:p>
    <w:p w14:paraId="3097F4FA" w14:textId="77777777" w:rsidR="00AE0598" w:rsidRDefault="0069255A">
      <w:pPr>
        <w:spacing w:before="31"/>
        <w:ind w:left="110"/>
        <w:rPr>
          <w:rFonts w:ascii="Trebuchet MS"/>
          <w:sz w:val="14"/>
        </w:rPr>
      </w:pPr>
      <w:r>
        <w:rPr>
          <w:rFonts w:ascii="Trebuchet MS"/>
          <w:color w:val="231F20"/>
          <w:sz w:val="14"/>
        </w:rPr>
        <w:t>Sport</w:t>
      </w:r>
      <w:r>
        <w:rPr>
          <w:rFonts w:ascii="Trebuchet MS"/>
          <w:color w:val="231F20"/>
          <w:spacing w:val="18"/>
          <w:sz w:val="14"/>
        </w:rPr>
        <w:t xml:space="preserve"> </w:t>
      </w:r>
      <w:r>
        <w:rPr>
          <w:rFonts w:ascii="Trebuchet MS"/>
          <w:color w:val="231F20"/>
          <w:sz w:val="14"/>
        </w:rPr>
        <w:t>activity</w:t>
      </w:r>
      <w:r>
        <w:rPr>
          <w:rFonts w:ascii="Trebuchet MS"/>
          <w:color w:val="231F20"/>
          <w:spacing w:val="19"/>
          <w:sz w:val="14"/>
        </w:rPr>
        <w:t xml:space="preserve"> </w:t>
      </w:r>
      <w:r>
        <w:rPr>
          <w:rFonts w:ascii="Trebuchet MS"/>
          <w:color w:val="231F20"/>
          <w:spacing w:val="-2"/>
          <w:sz w:val="14"/>
        </w:rPr>
        <w:t>holidays</w:t>
      </w:r>
    </w:p>
    <w:p w14:paraId="509DE7C5" w14:textId="26F4C671" w:rsidR="00AE0598" w:rsidRDefault="0069255A">
      <w:pPr>
        <w:pStyle w:val="PargrafodaLista"/>
        <w:numPr>
          <w:ilvl w:val="0"/>
          <w:numId w:val="17"/>
        </w:numPr>
        <w:tabs>
          <w:tab w:val="left" w:pos="394"/>
          <w:tab w:val="left" w:pos="3059"/>
        </w:tabs>
        <w:spacing w:before="62"/>
        <w:ind w:left="393"/>
        <w:rPr>
          <w:sz w:val="14"/>
        </w:rPr>
      </w:pPr>
      <w:r>
        <w:rPr>
          <w:noProof/>
        </w:rPr>
        <mc:AlternateContent>
          <mc:Choice Requires="wps">
            <w:drawing>
              <wp:anchor distT="0" distB="0" distL="0" distR="0" simplePos="0" relativeHeight="487611904" behindDoc="1" locked="0" layoutInCell="1" allowOverlap="1" wp14:anchorId="1EF76787" wp14:editId="54CBBBE9">
                <wp:simplePos x="0" y="0"/>
                <wp:positionH relativeFrom="page">
                  <wp:posOffset>2552700</wp:posOffset>
                </wp:positionH>
                <wp:positionV relativeFrom="paragraph">
                  <wp:posOffset>160655</wp:posOffset>
                </wp:positionV>
                <wp:extent cx="2301240" cy="1270"/>
                <wp:effectExtent l="0" t="0" r="0" b="0"/>
                <wp:wrapTopAndBottom/>
                <wp:docPr id="290" name="docshape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301240" cy="1270"/>
                        </a:xfrm>
                        <a:custGeom>
                          <a:avLst/>
                          <a:gdLst>
                            <a:gd name="T0" fmla="+- 0 4020 4020"/>
                            <a:gd name="T1" fmla="*/ T0 w 3624"/>
                            <a:gd name="T2" fmla="+- 0 7643 4020"/>
                            <a:gd name="T3" fmla="*/ T2 w 3624"/>
                          </a:gdLst>
                          <a:ahLst/>
                          <a:cxnLst>
                            <a:cxn ang="0">
                              <a:pos x="T1" y="0"/>
                            </a:cxn>
                            <a:cxn ang="0">
                              <a:pos x="T3" y="0"/>
                            </a:cxn>
                          </a:cxnLst>
                          <a:rect l="0" t="0" r="r" b="b"/>
                          <a:pathLst>
                            <a:path w="3624">
                              <a:moveTo>
                                <a:pt x="0" y="0"/>
                              </a:moveTo>
                              <a:lnTo>
                                <a:pt x="3623" y="0"/>
                              </a:lnTo>
                            </a:path>
                          </a:pathLst>
                        </a:custGeom>
                        <a:noFill/>
                        <a:ln w="3175">
                          <a:solidFill>
                            <a:srgbClr val="231F2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642621" id="docshape84" o:spid="_x0000_s1026" style="position:absolute;margin-left:201pt;margin-top:12.65pt;width:181.2pt;height:.1pt;z-index:-157045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62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" path="m,l3623,e" filled="f" strokecolor="#231f20" strokeweight=".25pt">
                <v:path arrowok="t" o:connecttype="custom" o:connectlocs="0,0;2300605,0" o:connectangles="0,0"/>
                <w10:wrap type="topAndBottom" anchorx="page"/>
              </v:shape>
            </w:pict>
          </mc:Fallback>
        </mc:AlternateContent>
      </w:r>
      <w:r>
        <w:rPr>
          <w:noProof/>
        </w:rPr>
        <mc:AlternateContent>
          <mc:Choice Requires="wps">
            <w:drawing>
              <wp:anchor distT="0" distB="0" distL="114300" distR="114300" simplePos="0" relativeHeight="483679744" behindDoc="1" locked="0" layoutInCell="1" allowOverlap="1" wp14:anchorId="144B5793" wp14:editId="3FD5534F">
                <wp:simplePos x="0" y="0"/>
                <wp:positionH relativeFrom="page">
                  <wp:posOffset>755650</wp:posOffset>
                </wp:positionH>
                <wp:positionV relativeFrom="paragraph">
                  <wp:posOffset>303530</wp:posOffset>
                </wp:positionV>
                <wp:extent cx="4097655" cy="1270"/>
                <wp:effectExtent l="0" t="0" r="0" b="0"/>
                <wp:wrapNone/>
                <wp:docPr id="289" name="docshape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097655" cy="1270"/>
                        </a:xfrm>
                        <a:custGeom>
                          <a:avLst/>
                          <a:gdLst>
                            <a:gd name="T0" fmla="+- 0 1190 1190"/>
                            <a:gd name="T1" fmla="*/ T0 w 6453"/>
                            <a:gd name="T2" fmla="+- 0 4020 1190"/>
                            <a:gd name="T3" fmla="*/ T2 w 6453"/>
                            <a:gd name="T4" fmla="+- 0 7643 1190"/>
                            <a:gd name="T5" fmla="*/ T4 w 6453"/>
                          </a:gdLst>
                          <a:ahLst/>
                          <a:cxnLst>
                            <a:cxn ang="0">
                              <a:pos x="T1" y="0"/>
                            </a:cxn>
                            <a:cxn ang="0">
                              <a:pos x="T3" y="0"/>
                            </a:cxn>
                            <a:cxn ang="0">
                              <a:pos x="T5" y="0"/>
                            </a:cxn>
                          </a:cxnLst>
                          <a:rect l="0" t="0" r="r" b="b"/>
                          <a:pathLst>
                            <a:path w="6453">
                              <a:moveTo>
                                <a:pt x="0" y="0"/>
                              </a:moveTo>
                              <a:lnTo>
                                <a:pt x="2830" y="0"/>
                              </a:lnTo>
                              <a:lnTo>
                                <a:pt x="6453" y="0"/>
                              </a:lnTo>
                            </a:path>
                          </a:pathLst>
                        </a:custGeom>
                        <a:noFill/>
                        <a:ln w="3175">
                          <a:solidFill>
                            <a:srgbClr val="231F2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60C33E" id="docshape85" o:spid="_x0000_s1026" style="position:absolute;margin-left:59.5pt;margin-top:23.9pt;width:322.65pt;height:.1pt;z-index:-196367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645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" path="m,l2830,,6453,e" filled="f" strokecolor="#231f20" strokeweight=".25pt">
                <v:path arrowok="t" o:connecttype="custom" o:connectlocs="0,0;1797050,0;4097655,0" o:connectangles="0,0,0"/>
                <w10:wrap anchorx="page"/>
              </v:shape>
            </w:pict>
          </mc:Fallback>
        </mc:AlternateContent>
      </w:r>
      <w:r>
        <w:rPr>
          <w:color w:val="231F20"/>
          <w:sz w:val="14"/>
        </w:rPr>
        <w:t>Single</w:t>
      </w:r>
      <w:r>
        <w:rPr>
          <w:color w:val="231F20"/>
          <w:spacing w:val="19"/>
          <w:sz w:val="14"/>
        </w:rPr>
        <w:t xml:space="preserve"> </w:t>
      </w:r>
      <w:r>
        <w:rPr>
          <w:color w:val="231F20"/>
          <w:sz w:val="14"/>
        </w:rPr>
        <w:t>sport</w:t>
      </w:r>
      <w:r>
        <w:rPr>
          <w:color w:val="231F20"/>
          <w:spacing w:val="20"/>
          <w:sz w:val="14"/>
        </w:rPr>
        <w:t xml:space="preserve"> </w:t>
      </w:r>
      <w:r>
        <w:rPr>
          <w:color w:val="231F20"/>
          <w:sz w:val="14"/>
        </w:rPr>
        <w:t>activity</w:t>
      </w:r>
      <w:r>
        <w:rPr>
          <w:color w:val="231F20"/>
          <w:spacing w:val="20"/>
          <w:sz w:val="14"/>
        </w:rPr>
        <w:t xml:space="preserve"> </w:t>
      </w:r>
      <w:r>
        <w:rPr>
          <w:color w:val="231F20"/>
          <w:spacing w:val="-2"/>
          <w:sz w:val="14"/>
        </w:rPr>
        <w:t>holidays</w:t>
      </w:r>
      <w:r>
        <w:rPr>
          <w:color w:val="231F20"/>
          <w:sz w:val="14"/>
        </w:rPr>
        <w:tab/>
        <w:t>Skiing,</w:t>
      </w:r>
      <w:r>
        <w:rPr>
          <w:color w:val="231F20"/>
          <w:spacing w:val="12"/>
          <w:sz w:val="14"/>
        </w:rPr>
        <w:t xml:space="preserve"> </w:t>
      </w:r>
      <w:r>
        <w:rPr>
          <w:color w:val="231F20"/>
          <w:sz w:val="14"/>
        </w:rPr>
        <w:t>cycling,</w:t>
      </w:r>
      <w:r>
        <w:rPr>
          <w:color w:val="231F20"/>
          <w:spacing w:val="12"/>
          <w:sz w:val="14"/>
        </w:rPr>
        <w:t xml:space="preserve"> </w:t>
      </w:r>
      <w:r>
        <w:rPr>
          <w:color w:val="231F20"/>
          <w:spacing w:val="-2"/>
          <w:sz w:val="14"/>
        </w:rPr>
        <w:t>trekking</w:t>
      </w:r>
    </w:p>
    <w:p w14:paraId="54D15F4F" w14:textId="77777777" w:rsidR="00AE0598" w:rsidRDefault="0069255A">
      <w:pPr>
        <w:pStyle w:val="PargrafodaLista"/>
        <w:numPr>
          <w:ilvl w:val="0"/>
          <w:numId w:val="17"/>
        </w:numPr>
        <w:tabs>
          <w:tab w:val="left" w:pos="394"/>
          <w:tab w:val="left" w:pos="3059"/>
        </w:tabs>
        <w:spacing w:before="31" w:line="331" w:lineRule="auto"/>
        <w:ind w:right="138" w:firstLine="140"/>
        <w:rPr>
          <w:sz w:val="14"/>
        </w:rPr>
      </w:pPr>
      <w:r>
        <w:rPr>
          <w:color w:val="231F20"/>
          <w:w w:val="105"/>
          <w:sz w:val="14"/>
        </w:rPr>
        <w:t>Multiple sport activity holidays</w:t>
      </w:r>
      <w:r>
        <w:rPr>
          <w:color w:val="231F20"/>
          <w:sz w:val="14"/>
        </w:rPr>
        <w:tab/>
      </w:r>
      <w:r>
        <w:rPr>
          <w:color w:val="231F20"/>
          <w:w w:val="105"/>
          <w:sz w:val="14"/>
        </w:rPr>
        <w:t>Sports</w:t>
      </w:r>
      <w:r>
        <w:rPr>
          <w:color w:val="231F20"/>
          <w:spacing w:val="-4"/>
          <w:w w:val="105"/>
          <w:sz w:val="14"/>
        </w:rPr>
        <w:t xml:space="preserve"> </w:t>
      </w:r>
      <w:r>
        <w:rPr>
          <w:color w:val="231F20"/>
          <w:w w:val="105"/>
          <w:sz w:val="14"/>
        </w:rPr>
        <w:t>camps,</w:t>
      </w:r>
      <w:r>
        <w:rPr>
          <w:color w:val="231F20"/>
          <w:spacing w:val="-4"/>
          <w:w w:val="105"/>
          <w:sz w:val="14"/>
        </w:rPr>
        <w:t xml:space="preserve"> </w:t>
      </w:r>
      <w:r>
        <w:rPr>
          <w:color w:val="231F20"/>
          <w:w w:val="105"/>
          <w:sz w:val="14"/>
        </w:rPr>
        <w:t>holiday</w:t>
      </w:r>
      <w:r>
        <w:rPr>
          <w:color w:val="231F20"/>
          <w:spacing w:val="-4"/>
          <w:w w:val="105"/>
          <w:sz w:val="14"/>
        </w:rPr>
        <w:t xml:space="preserve"> </w:t>
      </w:r>
      <w:r>
        <w:rPr>
          <w:color w:val="231F20"/>
          <w:w w:val="105"/>
          <w:sz w:val="14"/>
        </w:rPr>
        <w:t>clubs</w:t>
      </w:r>
      <w:r>
        <w:rPr>
          <w:color w:val="231F20"/>
          <w:spacing w:val="-4"/>
          <w:w w:val="105"/>
          <w:sz w:val="14"/>
        </w:rPr>
        <w:t xml:space="preserve"> </w:t>
      </w:r>
      <w:r>
        <w:rPr>
          <w:color w:val="231F20"/>
          <w:w w:val="105"/>
          <w:sz w:val="14"/>
        </w:rPr>
        <w:t>(e.g.</w:t>
      </w:r>
      <w:r>
        <w:rPr>
          <w:color w:val="231F20"/>
          <w:spacing w:val="-4"/>
          <w:w w:val="105"/>
          <w:sz w:val="14"/>
        </w:rPr>
        <w:t xml:space="preserve"> </w:t>
      </w:r>
      <w:r>
        <w:rPr>
          <w:color w:val="231F20"/>
          <w:w w:val="105"/>
          <w:sz w:val="14"/>
        </w:rPr>
        <w:t>Club</w:t>
      </w:r>
      <w:r>
        <w:rPr>
          <w:color w:val="231F20"/>
          <w:spacing w:val="-4"/>
          <w:w w:val="105"/>
          <w:sz w:val="14"/>
        </w:rPr>
        <w:t xml:space="preserve"> </w:t>
      </w:r>
      <w:r>
        <w:rPr>
          <w:color w:val="231F20"/>
          <w:w w:val="105"/>
          <w:sz w:val="14"/>
        </w:rPr>
        <w:t>Méditerranée) Holiday sport activities</w:t>
      </w:r>
    </w:p>
    <w:p w14:paraId="7F42455E" w14:textId="3BBF9DC4" w:rsidR="00AE0598" w:rsidRDefault="0069255A">
      <w:pPr>
        <w:pStyle w:val="PargrafodaLista"/>
        <w:numPr>
          <w:ilvl w:val="0"/>
          <w:numId w:val="17"/>
        </w:numPr>
        <w:tabs>
          <w:tab w:val="left" w:pos="394"/>
          <w:tab w:val="left" w:pos="3059"/>
        </w:tabs>
        <w:spacing w:before="1"/>
        <w:ind w:left="393"/>
        <w:rPr>
          <w:sz w:val="14"/>
        </w:rPr>
      </w:pPr>
      <w:r>
        <w:rPr>
          <w:noProof/>
        </w:rPr>
        <mc:AlternateContent>
          <mc:Choice Requires="wps">
            <w:drawing>
              <wp:anchor distT="0" distB="0" distL="0" distR="0" simplePos="0" relativeHeight="487612416" behindDoc="1" locked="0" layoutInCell="1" allowOverlap="1" wp14:anchorId="296B585A" wp14:editId="30BF7386">
                <wp:simplePos x="0" y="0"/>
                <wp:positionH relativeFrom="page">
                  <wp:posOffset>2552700</wp:posOffset>
                </wp:positionH>
                <wp:positionV relativeFrom="paragraph">
                  <wp:posOffset>121920</wp:posOffset>
                </wp:positionV>
                <wp:extent cx="2301240" cy="1270"/>
                <wp:effectExtent l="0" t="0" r="0" b="0"/>
                <wp:wrapTopAndBottom/>
                <wp:docPr id="288" name="docshape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301240" cy="1270"/>
                        </a:xfrm>
                        <a:custGeom>
                          <a:avLst/>
                          <a:gdLst>
                            <a:gd name="T0" fmla="+- 0 4020 4020"/>
                            <a:gd name="T1" fmla="*/ T0 w 3624"/>
                            <a:gd name="T2" fmla="+- 0 7643 4020"/>
                            <a:gd name="T3" fmla="*/ T2 w 3624"/>
                          </a:gdLst>
                          <a:ahLst/>
                          <a:cxnLst>
                            <a:cxn ang="0">
                              <a:pos x="T1" y="0"/>
                            </a:cxn>
                            <a:cxn ang="0">
                              <a:pos x="T3" y="0"/>
                            </a:cxn>
                          </a:cxnLst>
                          <a:rect l="0" t="0" r="r" b="b"/>
                          <a:pathLst>
                            <a:path w="3624">
                              <a:moveTo>
                                <a:pt x="0" y="0"/>
                              </a:moveTo>
                              <a:lnTo>
                                <a:pt x="3623" y="0"/>
                              </a:lnTo>
                            </a:path>
                          </a:pathLst>
                        </a:custGeom>
                        <a:noFill/>
                        <a:ln w="3175">
                          <a:solidFill>
                            <a:srgbClr val="231F2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82C198" id="docshape86" o:spid="_x0000_s1026" style="position:absolute;margin-left:201pt;margin-top:9.6pt;width:181.2pt;height:.1pt;z-index:-157040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62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" path="m,l3623,e" filled="f" strokecolor="#231f20" strokeweight=".25pt">
                <v:path arrowok="t" o:connecttype="custom" o:connectlocs="0,0;2300605,0" o:connectangles="0,0"/>
                <w10:wrap type="topAndBottom" anchorx="page"/>
              </v:shape>
            </w:pict>
          </mc:Fallback>
        </mc:AlternateContent>
      </w:r>
      <w:r>
        <w:rPr>
          <w:noProof/>
        </w:rPr>
        <mc:AlternateContent>
          <mc:Choice Requires="wps">
            <w:drawing>
              <wp:anchor distT="0" distB="0" distL="114300" distR="114300" simplePos="0" relativeHeight="483680256" behindDoc="1" locked="0" layoutInCell="1" allowOverlap="1" wp14:anchorId="16294625" wp14:editId="1856F0C2">
                <wp:simplePos x="0" y="0"/>
                <wp:positionH relativeFrom="page">
                  <wp:posOffset>755650</wp:posOffset>
                </wp:positionH>
                <wp:positionV relativeFrom="paragraph">
                  <wp:posOffset>264795</wp:posOffset>
                </wp:positionV>
                <wp:extent cx="4097655" cy="1270"/>
                <wp:effectExtent l="0" t="0" r="0" b="0"/>
                <wp:wrapNone/>
                <wp:docPr id="287" name="docshape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097655" cy="1270"/>
                        </a:xfrm>
                        <a:custGeom>
                          <a:avLst/>
                          <a:gdLst>
                            <a:gd name="T0" fmla="+- 0 1190 1190"/>
                            <a:gd name="T1" fmla="*/ T0 w 6453"/>
                            <a:gd name="T2" fmla="+- 0 4020 1190"/>
                            <a:gd name="T3" fmla="*/ T2 w 6453"/>
                            <a:gd name="T4" fmla="+- 0 7643 1190"/>
                            <a:gd name="T5" fmla="*/ T4 w 6453"/>
                          </a:gdLst>
                          <a:ahLst/>
                          <a:cxnLst>
                            <a:cxn ang="0">
                              <a:pos x="T1" y="0"/>
                            </a:cxn>
                            <a:cxn ang="0">
                              <a:pos x="T3" y="0"/>
                            </a:cxn>
                            <a:cxn ang="0">
                              <a:pos x="T5" y="0"/>
                            </a:cxn>
                          </a:cxnLst>
                          <a:rect l="0" t="0" r="r" b="b"/>
                          <a:pathLst>
                            <a:path w="6453">
                              <a:moveTo>
                                <a:pt x="0" y="0"/>
                              </a:moveTo>
                              <a:lnTo>
                                <a:pt x="2830" y="0"/>
                              </a:lnTo>
                              <a:lnTo>
                                <a:pt x="6453" y="0"/>
                              </a:lnTo>
                            </a:path>
                          </a:pathLst>
                        </a:custGeom>
                        <a:noFill/>
                        <a:ln w="3175">
                          <a:solidFill>
                            <a:srgbClr val="231F2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418805" id="docshape87" o:spid="_x0000_s1026" style="position:absolute;margin-left:59.5pt;margin-top:20.85pt;width:322.65pt;height:.1pt;z-index:-196362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645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" path="m,l2830,,6453,e" filled="f" strokecolor="#231f20" strokeweight=".25pt">
                <v:path arrowok="t" o:connecttype="custom" o:connectlocs="0,0;1797050,0;4097655,0" o:connectangles="0,0,0"/>
                <w10:wrap anchorx="page"/>
              </v:shape>
            </w:pict>
          </mc:Fallback>
        </mc:AlternateContent>
      </w:r>
      <w:r>
        <w:rPr>
          <w:color w:val="231F20"/>
          <w:sz w:val="14"/>
        </w:rPr>
        <w:t>Organised</w:t>
      </w:r>
      <w:r>
        <w:rPr>
          <w:color w:val="231F20"/>
          <w:spacing w:val="37"/>
          <w:sz w:val="14"/>
        </w:rPr>
        <w:t xml:space="preserve"> </w:t>
      </w:r>
      <w:r>
        <w:rPr>
          <w:color w:val="231F20"/>
          <w:sz w:val="14"/>
        </w:rPr>
        <w:t>holiday</w:t>
      </w:r>
      <w:r>
        <w:rPr>
          <w:color w:val="231F20"/>
          <w:spacing w:val="37"/>
          <w:sz w:val="14"/>
        </w:rPr>
        <w:t xml:space="preserve"> </w:t>
      </w:r>
      <w:r>
        <w:rPr>
          <w:color w:val="231F20"/>
          <w:sz w:val="14"/>
        </w:rPr>
        <w:t>sport</w:t>
      </w:r>
      <w:r>
        <w:rPr>
          <w:color w:val="231F20"/>
          <w:spacing w:val="37"/>
          <w:sz w:val="14"/>
        </w:rPr>
        <w:t xml:space="preserve"> </w:t>
      </w:r>
      <w:r>
        <w:rPr>
          <w:color w:val="231F20"/>
          <w:spacing w:val="-2"/>
          <w:sz w:val="14"/>
        </w:rPr>
        <w:t>activities</w:t>
      </w:r>
      <w:r>
        <w:rPr>
          <w:color w:val="231F20"/>
          <w:sz w:val="14"/>
        </w:rPr>
        <w:tab/>
        <w:t>Golf,</w:t>
      </w:r>
      <w:r>
        <w:rPr>
          <w:color w:val="231F20"/>
          <w:spacing w:val="12"/>
          <w:sz w:val="14"/>
        </w:rPr>
        <w:t xml:space="preserve"> </w:t>
      </w:r>
      <w:r>
        <w:rPr>
          <w:color w:val="231F20"/>
          <w:sz w:val="14"/>
        </w:rPr>
        <w:t>rafting,</w:t>
      </w:r>
      <w:r>
        <w:rPr>
          <w:color w:val="231F20"/>
          <w:spacing w:val="13"/>
          <w:sz w:val="14"/>
        </w:rPr>
        <w:t xml:space="preserve"> </w:t>
      </w:r>
      <w:r>
        <w:rPr>
          <w:color w:val="231F20"/>
          <w:sz w:val="14"/>
        </w:rPr>
        <w:t>cruise</w:t>
      </w:r>
      <w:r>
        <w:rPr>
          <w:color w:val="231F20"/>
          <w:spacing w:val="13"/>
          <w:sz w:val="14"/>
        </w:rPr>
        <w:t xml:space="preserve"> </w:t>
      </w:r>
      <w:r>
        <w:rPr>
          <w:color w:val="231F20"/>
          <w:sz w:val="14"/>
        </w:rPr>
        <w:t>ship</w:t>
      </w:r>
      <w:r>
        <w:rPr>
          <w:color w:val="231F20"/>
          <w:spacing w:val="13"/>
          <w:sz w:val="14"/>
        </w:rPr>
        <w:t xml:space="preserve"> </w:t>
      </w:r>
      <w:r>
        <w:rPr>
          <w:color w:val="231F20"/>
          <w:sz w:val="14"/>
        </w:rPr>
        <w:t>sport</w:t>
      </w:r>
      <w:r>
        <w:rPr>
          <w:color w:val="231F20"/>
          <w:spacing w:val="13"/>
          <w:sz w:val="14"/>
        </w:rPr>
        <w:t xml:space="preserve"> </w:t>
      </w:r>
      <w:r>
        <w:rPr>
          <w:color w:val="231F20"/>
          <w:spacing w:val="-2"/>
          <w:sz w:val="14"/>
        </w:rPr>
        <w:t>activities</w:t>
      </w:r>
    </w:p>
    <w:p w14:paraId="2C6C2807" w14:textId="77777777" w:rsidR="00AE0598" w:rsidRDefault="0069255A">
      <w:pPr>
        <w:pStyle w:val="PargrafodaLista"/>
        <w:numPr>
          <w:ilvl w:val="0"/>
          <w:numId w:val="17"/>
        </w:numPr>
        <w:tabs>
          <w:tab w:val="left" w:pos="394"/>
          <w:tab w:val="left" w:pos="3059"/>
        </w:tabs>
        <w:spacing w:before="31" w:line="331" w:lineRule="auto"/>
        <w:ind w:right="773" w:firstLine="140"/>
        <w:rPr>
          <w:sz w:val="14"/>
        </w:rPr>
      </w:pPr>
      <w:r>
        <w:rPr>
          <w:color w:val="231F20"/>
          <w:w w:val="105"/>
          <w:sz w:val="14"/>
        </w:rPr>
        <w:t>Independent holiday sport activities</w:t>
      </w:r>
      <w:r>
        <w:rPr>
          <w:color w:val="231F20"/>
          <w:sz w:val="14"/>
        </w:rPr>
        <w:tab/>
      </w:r>
      <w:r>
        <w:rPr>
          <w:color w:val="231F20"/>
          <w:w w:val="105"/>
          <w:sz w:val="14"/>
        </w:rPr>
        <w:t>Adventure</w:t>
      </w:r>
      <w:r>
        <w:rPr>
          <w:color w:val="231F20"/>
          <w:spacing w:val="-1"/>
          <w:w w:val="105"/>
          <w:sz w:val="14"/>
        </w:rPr>
        <w:t xml:space="preserve"> </w:t>
      </w:r>
      <w:r>
        <w:rPr>
          <w:color w:val="231F20"/>
          <w:w w:val="105"/>
          <w:sz w:val="14"/>
        </w:rPr>
        <w:t>activities</w:t>
      </w:r>
      <w:r>
        <w:rPr>
          <w:color w:val="231F20"/>
          <w:spacing w:val="-1"/>
          <w:w w:val="105"/>
          <w:sz w:val="14"/>
        </w:rPr>
        <w:t xml:space="preserve"> </w:t>
      </w:r>
      <w:r>
        <w:rPr>
          <w:color w:val="231F20"/>
          <w:w w:val="105"/>
          <w:sz w:val="14"/>
        </w:rPr>
        <w:t>(e.g.</w:t>
      </w:r>
      <w:r>
        <w:rPr>
          <w:color w:val="231F20"/>
          <w:spacing w:val="-1"/>
          <w:w w:val="105"/>
          <w:sz w:val="14"/>
        </w:rPr>
        <w:t xml:space="preserve"> </w:t>
      </w:r>
      <w:r>
        <w:rPr>
          <w:color w:val="231F20"/>
          <w:w w:val="105"/>
          <w:sz w:val="14"/>
        </w:rPr>
        <w:t>bungee</w:t>
      </w:r>
      <w:r>
        <w:rPr>
          <w:color w:val="231F20"/>
          <w:spacing w:val="-1"/>
          <w:w w:val="105"/>
          <w:sz w:val="14"/>
        </w:rPr>
        <w:t xml:space="preserve"> </w:t>
      </w:r>
      <w:r>
        <w:rPr>
          <w:color w:val="231F20"/>
          <w:w w:val="105"/>
          <w:sz w:val="14"/>
        </w:rPr>
        <w:t>jumping) Passive sports on holidays</w:t>
      </w:r>
    </w:p>
    <w:p w14:paraId="4C485834" w14:textId="444482B0" w:rsidR="00AE0598" w:rsidRDefault="0069255A">
      <w:pPr>
        <w:pStyle w:val="PargrafodaLista"/>
        <w:numPr>
          <w:ilvl w:val="0"/>
          <w:numId w:val="17"/>
        </w:numPr>
        <w:tabs>
          <w:tab w:val="left" w:pos="394"/>
          <w:tab w:val="left" w:pos="3059"/>
        </w:tabs>
        <w:spacing w:before="4" w:line="235" w:lineRule="auto"/>
        <w:ind w:left="3059" w:right="275" w:hanging="2810"/>
        <w:rPr>
          <w:sz w:val="14"/>
        </w:rPr>
      </w:pPr>
      <w:r>
        <w:rPr>
          <w:noProof/>
        </w:rPr>
        <mc:AlternateContent>
          <mc:Choice Requires="wps">
            <w:drawing>
              <wp:anchor distT="0" distB="0" distL="0" distR="0" simplePos="0" relativeHeight="487612928" behindDoc="1" locked="0" layoutInCell="1" allowOverlap="1" wp14:anchorId="4874BDED" wp14:editId="53321B0C">
                <wp:simplePos x="0" y="0"/>
                <wp:positionH relativeFrom="page">
                  <wp:posOffset>2552700</wp:posOffset>
                </wp:positionH>
                <wp:positionV relativeFrom="paragraph">
                  <wp:posOffset>325755</wp:posOffset>
                </wp:positionV>
                <wp:extent cx="2301240" cy="1270"/>
                <wp:effectExtent l="0" t="0" r="0" b="0"/>
                <wp:wrapTopAndBottom/>
                <wp:docPr id="286" name="docshape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301240" cy="1270"/>
                        </a:xfrm>
                        <a:custGeom>
                          <a:avLst/>
                          <a:gdLst>
                            <a:gd name="T0" fmla="+- 0 4020 4020"/>
                            <a:gd name="T1" fmla="*/ T0 w 3624"/>
                            <a:gd name="T2" fmla="+- 0 7643 4020"/>
                            <a:gd name="T3" fmla="*/ T2 w 3624"/>
                          </a:gdLst>
                          <a:ahLst/>
                          <a:cxnLst>
                            <a:cxn ang="0">
                              <a:pos x="T1" y="0"/>
                            </a:cxn>
                            <a:cxn ang="0">
                              <a:pos x="T3" y="0"/>
                            </a:cxn>
                          </a:cxnLst>
                          <a:rect l="0" t="0" r="r" b="b"/>
                          <a:pathLst>
                            <a:path w="3624">
                              <a:moveTo>
                                <a:pt x="0" y="0"/>
                              </a:moveTo>
                              <a:lnTo>
                                <a:pt x="3623" y="0"/>
                              </a:lnTo>
                            </a:path>
                          </a:pathLst>
                        </a:custGeom>
                        <a:noFill/>
                        <a:ln w="3175">
                          <a:solidFill>
                            <a:srgbClr val="231F2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DC29DD" id="docshape88" o:spid="_x0000_s1026" style="position:absolute;margin-left:201pt;margin-top:25.65pt;width:181.2pt;height:.1pt;z-index:-157035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62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" path="m,l3623,e" filled="f" strokecolor="#231f20" strokeweight=".25pt">
                <v:path arrowok="t" o:connecttype="custom" o:connectlocs="0,0;2300605,0" o:connectangles="0,0"/>
                <w10:wrap type="topAndBottom" anchorx="page"/>
              </v:shape>
            </w:pict>
          </mc:Fallback>
        </mc:AlternateContent>
      </w:r>
      <w:r>
        <w:rPr>
          <w:color w:val="231F20"/>
          <w:w w:val="105"/>
          <w:sz w:val="14"/>
        </w:rPr>
        <w:t>Connoisseur</w:t>
      </w:r>
      <w:r>
        <w:rPr>
          <w:color w:val="231F20"/>
          <w:spacing w:val="-9"/>
          <w:w w:val="105"/>
          <w:sz w:val="14"/>
        </w:rPr>
        <w:t xml:space="preserve"> </w:t>
      </w:r>
      <w:r>
        <w:rPr>
          <w:color w:val="231F20"/>
          <w:w w:val="105"/>
          <w:sz w:val="14"/>
        </w:rPr>
        <w:t>observer</w:t>
      </w:r>
      <w:r>
        <w:rPr>
          <w:color w:val="231F20"/>
          <w:sz w:val="14"/>
        </w:rPr>
        <w:tab/>
      </w:r>
      <w:r>
        <w:rPr>
          <w:color w:val="231F20"/>
          <w:w w:val="105"/>
          <w:sz w:val="14"/>
        </w:rPr>
        <w:t>Olympic Games, Masters Golf, Wimbledon Tennis Championship, Kentucky Derby, museums, halls of fame, stadium tours</w:t>
      </w:r>
    </w:p>
    <w:p w14:paraId="0E6C9D8F" w14:textId="77777777" w:rsidR="00AE0598" w:rsidRDefault="0069255A">
      <w:pPr>
        <w:pStyle w:val="PargrafodaLista"/>
        <w:numPr>
          <w:ilvl w:val="0"/>
          <w:numId w:val="17"/>
        </w:numPr>
        <w:tabs>
          <w:tab w:val="left" w:pos="394"/>
          <w:tab w:val="left" w:pos="3059"/>
        </w:tabs>
        <w:spacing w:before="33" w:after="31" w:line="235" w:lineRule="auto"/>
        <w:ind w:left="3059" w:right="196" w:hanging="2810"/>
        <w:rPr>
          <w:sz w:val="14"/>
        </w:rPr>
      </w:pPr>
      <w:r>
        <w:rPr>
          <w:color w:val="231F20"/>
          <w:sz w:val="14"/>
        </w:rPr>
        <w:t>Casual</w:t>
      </w:r>
      <w:r>
        <w:rPr>
          <w:color w:val="231F20"/>
          <w:spacing w:val="-7"/>
          <w:sz w:val="14"/>
        </w:rPr>
        <w:t xml:space="preserve"> </w:t>
      </w:r>
      <w:r>
        <w:rPr>
          <w:color w:val="231F20"/>
          <w:sz w:val="14"/>
        </w:rPr>
        <w:t>observers</w:t>
      </w:r>
      <w:r>
        <w:rPr>
          <w:color w:val="231F20"/>
          <w:sz w:val="14"/>
        </w:rPr>
        <w:tab/>
        <w:t>Hurling (Ireland), Thai boxing (Thailand), bull fight-</w:t>
      </w:r>
      <w:r>
        <w:rPr>
          <w:color w:val="231F20"/>
          <w:spacing w:val="40"/>
          <w:sz w:val="14"/>
        </w:rPr>
        <w:t xml:space="preserve"> </w:t>
      </w:r>
      <w:r>
        <w:rPr>
          <w:color w:val="231F20"/>
          <w:sz w:val="14"/>
        </w:rPr>
        <w:t>ing</w:t>
      </w:r>
      <w:r>
        <w:rPr>
          <w:color w:val="231F20"/>
          <w:spacing w:val="-7"/>
          <w:sz w:val="14"/>
        </w:rPr>
        <w:t xml:space="preserve"> </w:t>
      </w:r>
      <w:r>
        <w:rPr>
          <w:color w:val="231F20"/>
          <w:sz w:val="14"/>
        </w:rPr>
        <w:t>(Spain)</w:t>
      </w:r>
    </w:p>
    <w:p w14:paraId="77E5222E" w14:textId="5B60236A" w:rsidR="00AE0598" w:rsidRDefault="0069255A">
      <w:pPr>
        <w:pStyle w:val="Corpodetexto"/>
        <w:spacing w:line="20" w:lineRule="exact"/>
        <w:ind w:left="110"/>
        <w:rPr>
          <w:rFonts w:ascii="Trebuchet MS"/>
          <w:sz w:val="2"/>
        </w:rPr>
      </w:pPr>
      <w:r>
        <w:rPr>
          <w:rFonts w:ascii="Trebuchet MS"/>
          <w:noProof/>
          <w:sz w:val="2"/>
        </w:rPr>
        <mc:AlternateContent>
          <mc:Choice Requires="wpg">
            <w:drawing>
              <wp:inline distT="0" distB="0" distL="0" distR="0" wp14:anchorId="41A707B0" wp14:editId="24A14EFE">
                <wp:extent cx="4097655" cy="3175"/>
                <wp:effectExtent l="12700" t="5715" r="13970" b="10160"/>
                <wp:docPr id="284" name="docshapegroup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097655" cy="3175"/>
                          <a:chOff x="0" y="0"/>
                          <a:chExt cx="6453" cy="5"/>
                        </a:xfrm>
                      </wpg:grpSpPr>
                      <wps:wsp>
                        <wps:cNvPr id="285" name="docshape90"/>
                        <wps:cNvSpPr>
                          <a:spLocks/>
                        </wps:cNvSpPr>
                        <wps:spPr bwMode="auto">
                          <a:xfrm>
                            <a:off x="0" y="2"/>
                            <a:ext cx="6453" cy="2"/>
                          </a:xfrm>
                          <a:custGeom>
                            <a:avLst/>
                            <a:gdLst>
                              <a:gd name="T0" fmla="*/ 0 w 6453"/>
                              <a:gd name="T1" fmla="*/ 2830 w 6453"/>
                              <a:gd name="T2" fmla="*/ 6453 w 6453"/>
                            </a:gdLst>
                            <a:ahLst/>
                            <a:cxnLst>
                              <a:cxn ang="0">
                                <a:pos x="T0" y="0"/>
                              </a:cxn>
                              <a:cxn ang="0">
                                <a:pos x="T1" y="0"/>
                              </a:cxn>
                              <a:cxn ang="0">
                                <a:pos x="T2" y="0"/>
                              </a:cxn>
                            </a:cxnLst>
                            <a:rect l="0" t="0" r="r" b="b"/>
                            <a:pathLst>
                              <a:path w="6453">
                                <a:moveTo>
                                  <a:pt x="0" y="-1"/>
                                </a:moveTo>
                                <a:lnTo>
                                  <a:pt x="2830" y="-1"/>
                                </a:lnTo>
                                <a:lnTo>
                                  <a:pt x="6453" y="-1"/>
                                </a:lnTo>
                              </a:path>
                            </a:pathLst>
                          </a:custGeom>
                          <a:noFill/>
                          <a:ln w="3175">
                            <a:solidFill>
                              <a:srgbClr val="231F2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448B9349" id="docshapegroup89" o:spid="_x0000_s1026" style="width:322.65pt;height:.25pt;mso-position-horizontal-relative:char;mso-position-vertical-relative:line" coordsize="64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">
                <v:shape id="docshape90" o:spid="_x0000_s1027" style="position:absolute;top:2;width:6453;height:2;visibility:visible;mso-wrap-style:square;v-text-anchor:top" coordsize="64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" path="m,-1r2830,l6453,-1e" filled="f" strokecolor="#231f20" strokeweight=".25pt">
                  <v:path arrowok="t" o:connecttype="custom" o:connectlocs="0,0;2830,0;6453,0" o:connectangles="0,0,0"/>
                </v:shape>
                <w10:anchorlock/>
              </v:group>
            </w:pict>
          </mc:Fallback>
        </mc:AlternateContent>
      </w:r>
    </w:p>
    <w:p w14:paraId="2C5D377F" w14:textId="77777777" w:rsidR="00AE0598" w:rsidRDefault="0069255A">
      <w:pPr>
        <w:tabs>
          <w:tab w:val="left" w:pos="3059"/>
        </w:tabs>
        <w:spacing w:before="13" w:line="161" w:lineRule="exact"/>
        <w:ind w:left="110"/>
        <w:rPr>
          <w:rFonts w:ascii="Trebuchet MS"/>
          <w:sz w:val="14"/>
        </w:rPr>
      </w:pPr>
      <w:r>
        <w:rPr>
          <w:rFonts w:ascii="Trebuchet MS"/>
          <w:color w:val="231F20"/>
          <w:sz w:val="14"/>
        </w:rPr>
        <w:t>Active</w:t>
      </w:r>
      <w:r>
        <w:rPr>
          <w:rFonts w:ascii="Trebuchet MS"/>
          <w:color w:val="231F20"/>
          <w:spacing w:val="37"/>
          <w:sz w:val="14"/>
        </w:rPr>
        <w:t xml:space="preserve"> </w:t>
      </w:r>
      <w:r>
        <w:rPr>
          <w:rFonts w:ascii="Trebuchet MS"/>
          <w:color w:val="231F20"/>
          <w:sz w:val="14"/>
        </w:rPr>
        <w:t>sports</w:t>
      </w:r>
      <w:r>
        <w:rPr>
          <w:rFonts w:ascii="Trebuchet MS"/>
          <w:color w:val="231F20"/>
          <w:spacing w:val="37"/>
          <w:sz w:val="14"/>
        </w:rPr>
        <w:t xml:space="preserve"> </w:t>
      </w:r>
      <w:r>
        <w:rPr>
          <w:rFonts w:ascii="Trebuchet MS"/>
          <w:color w:val="231F20"/>
          <w:sz w:val="14"/>
        </w:rPr>
        <w:t>during</w:t>
      </w:r>
      <w:r>
        <w:rPr>
          <w:rFonts w:ascii="Trebuchet MS"/>
          <w:color w:val="231F20"/>
          <w:spacing w:val="37"/>
          <w:sz w:val="14"/>
        </w:rPr>
        <w:t xml:space="preserve"> </w:t>
      </w:r>
      <w:r>
        <w:rPr>
          <w:rFonts w:ascii="Trebuchet MS"/>
          <w:color w:val="231F20"/>
          <w:sz w:val="14"/>
        </w:rPr>
        <w:t>non-holiday</w:t>
      </w:r>
      <w:r>
        <w:rPr>
          <w:rFonts w:ascii="Trebuchet MS"/>
          <w:color w:val="231F20"/>
          <w:spacing w:val="37"/>
          <w:sz w:val="14"/>
        </w:rPr>
        <w:t xml:space="preserve"> </w:t>
      </w:r>
      <w:r>
        <w:rPr>
          <w:rFonts w:ascii="Trebuchet MS"/>
          <w:color w:val="231F20"/>
          <w:spacing w:val="-4"/>
          <w:sz w:val="14"/>
        </w:rPr>
        <w:t>time</w:t>
      </w:r>
      <w:r>
        <w:rPr>
          <w:rFonts w:ascii="Trebuchet MS"/>
          <w:color w:val="231F20"/>
          <w:sz w:val="14"/>
        </w:rPr>
        <w:tab/>
        <w:t>Training</w:t>
      </w:r>
      <w:r>
        <w:rPr>
          <w:rFonts w:ascii="Trebuchet MS"/>
          <w:color w:val="231F20"/>
          <w:spacing w:val="24"/>
          <w:sz w:val="14"/>
        </w:rPr>
        <w:t xml:space="preserve"> </w:t>
      </w:r>
      <w:r>
        <w:rPr>
          <w:rFonts w:ascii="Trebuchet MS"/>
          <w:color w:val="231F20"/>
          <w:sz w:val="14"/>
        </w:rPr>
        <w:t>camps,</w:t>
      </w:r>
      <w:r>
        <w:rPr>
          <w:rFonts w:ascii="Trebuchet MS"/>
          <w:color w:val="231F20"/>
          <w:spacing w:val="24"/>
          <w:sz w:val="14"/>
        </w:rPr>
        <w:t xml:space="preserve"> </w:t>
      </w:r>
      <w:r>
        <w:rPr>
          <w:rFonts w:ascii="Trebuchet MS"/>
          <w:color w:val="231F20"/>
          <w:sz w:val="14"/>
        </w:rPr>
        <w:t>recreational</w:t>
      </w:r>
      <w:r>
        <w:rPr>
          <w:rFonts w:ascii="Trebuchet MS"/>
          <w:color w:val="231F20"/>
          <w:spacing w:val="24"/>
          <w:sz w:val="14"/>
        </w:rPr>
        <w:t xml:space="preserve"> </w:t>
      </w:r>
      <w:r>
        <w:rPr>
          <w:rFonts w:ascii="Trebuchet MS"/>
          <w:color w:val="231F20"/>
          <w:sz w:val="14"/>
        </w:rPr>
        <w:t>sport</w:t>
      </w:r>
      <w:r>
        <w:rPr>
          <w:rFonts w:ascii="Trebuchet MS"/>
          <w:color w:val="231F20"/>
          <w:spacing w:val="24"/>
          <w:sz w:val="14"/>
        </w:rPr>
        <w:t xml:space="preserve"> </w:t>
      </w:r>
      <w:r>
        <w:rPr>
          <w:rFonts w:ascii="Trebuchet MS"/>
          <w:color w:val="231F20"/>
          <w:sz w:val="14"/>
        </w:rPr>
        <w:t>during</w:t>
      </w:r>
      <w:r>
        <w:rPr>
          <w:rFonts w:ascii="Trebuchet MS"/>
          <w:color w:val="231F20"/>
          <w:spacing w:val="24"/>
          <w:sz w:val="14"/>
        </w:rPr>
        <w:t xml:space="preserve"> </w:t>
      </w:r>
      <w:r>
        <w:rPr>
          <w:rFonts w:ascii="Trebuchet MS"/>
          <w:color w:val="231F20"/>
          <w:spacing w:val="-2"/>
          <w:sz w:val="14"/>
        </w:rPr>
        <w:t>business</w:t>
      </w:r>
    </w:p>
    <w:p w14:paraId="0F26D57C" w14:textId="105180F6" w:rsidR="00AE0598" w:rsidRDefault="0069255A">
      <w:pPr>
        <w:spacing w:line="161" w:lineRule="exact"/>
        <w:ind w:left="3059"/>
        <w:rPr>
          <w:rFonts w:ascii="Trebuchet MS"/>
          <w:sz w:val="14"/>
        </w:rPr>
      </w:pPr>
      <w:r>
        <w:rPr>
          <w:noProof/>
        </w:rPr>
        <mc:AlternateContent>
          <mc:Choice Requires="wps">
            <w:drawing>
              <wp:anchor distT="0" distB="0" distL="0" distR="0" simplePos="0" relativeHeight="487613952" behindDoc="1" locked="0" layoutInCell="1" allowOverlap="1" wp14:anchorId="5DE85237" wp14:editId="2C994DFC">
                <wp:simplePos x="0" y="0"/>
                <wp:positionH relativeFrom="page">
                  <wp:posOffset>755650</wp:posOffset>
                </wp:positionH>
                <wp:positionV relativeFrom="paragraph">
                  <wp:posOffset>120650</wp:posOffset>
                </wp:positionV>
                <wp:extent cx="4097655" cy="1270"/>
                <wp:effectExtent l="0" t="0" r="0" b="0"/>
                <wp:wrapTopAndBottom/>
                <wp:docPr id="283" name="docshape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097655" cy="1270"/>
                        </a:xfrm>
                        <a:custGeom>
                          <a:avLst/>
                          <a:gdLst>
                            <a:gd name="T0" fmla="+- 0 1190 1190"/>
                            <a:gd name="T1" fmla="*/ T0 w 6453"/>
                            <a:gd name="T2" fmla="+- 0 4020 1190"/>
                            <a:gd name="T3" fmla="*/ T2 w 6453"/>
                            <a:gd name="T4" fmla="+- 0 7643 1190"/>
                            <a:gd name="T5" fmla="*/ T4 w 6453"/>
                          </a:gdLst>
                          <a:ahLst/>
                          <a:cxnLst>
                            <a:cxn ang="0">
                              <a:pos x="T1" y="0"/>
                            </a:cxn>
                            <a:cxn ang="0">
                              <a:pos x="T3" y="0"/>
                            </a:cxn>
                            <a:cxn ang="0">
                              <a:pos x="T5" y="0"/>
                            </a:cxn>
                          </a:cxnLst>
                          <a:rect l="0" t="0" r="r" b="b"/>
                          <a:pathLst>
                            <a:path w="6453">
                              <a:moveTo>
                                <a:pt x="0" y="0"/>
                              </a:moveTo>
                              <a:lnTo>
                                <a:pt x="2830" y="0"/>
                              </a:lnTo>
                              <a:lnTo>
                                <a:pt x="6453" y="0"/>
                              </a:lnTo>
                            </a:path>
                          </a:pathLst>
                        </a:custGeom>
                        <a:noFill/>
                        <a:ln w="3175">
                          <a:solidFill>
                            <a:srgbClr val="231F2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E16BA9" id="docshape91" o:spid="_x0000_s1026" style="position:absolute;margin-left:59.5pt;margin-top:9.5pt;width:322.65pt;height:.1pt;z-index:-157025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45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" path="m,l2830,,6453,e" filled="f" strokecolor="#231f20" strokeweight=".25pt">
                <v:path arrowok="t" o:connecttype="custom" o:connectlocs="0,0;1797050,0;4097655,0" o:connectangles="0,0,0"/>
                <w10:wrap type="topAndBottom" anchorx="page"/>
              </v:shape>
            </w:pict>
          </mc:Fallback>
        </mc:AlternateContent>
      </w:r>
      <w:r>
        <w:rPr>
          <w:rFonts w:ascii="Trebuchet MS"/>
          <w:color w:val="231F20"/>
          <w:sz w:val="14"/>
        </w:rPr>
        <w:t>and</w:t>
      </w:r>
      <w:r>
        <w:rPr>
          <w:rFonts w:ascii="Trebuchet MS"/>
          <w:color w:val="231F20"/>
          <w:spacing w:val="23"/>
          <w:sz w:val="14"/>
        </w:rPr>
        <w:t xml:space="preserve"> </w:t>
      </w:r>
      <w:r>
        <w:rPr>
          <w:rFonts w:ascii="Trebuchet MS"/>
          <w:color w:val="231F20"/>
          <w:sz w:val="14"/>
        </w:rPr>
        <w:t>conference</w:t>
      </w:r>
      <w:r>
        <w:rPr>
          <w:rFonts w:ascii="Trebuchet MS"/>
          <w:color w:val="231F20"/>
          <w:spacing w:val="23"/>
          <w:sz w:val="14"/>
        </w:rPr>
        <w:t xml:space="preserve"> </w:t>
      </w:r>
      <w:r>
        <w:rPr>
          <w:rFonts w:ascii="Trebuchet MS"/>
          <w:color w:val="231F20"/>
          <w:spacing w:val="-2"/>
          <w:sz w:val="14"/>
        </w:rPr>
        <w:t>travel</w:t>
      </w:r>
    </w:p>
    <w:p w14:paraId="5FD8C16C" w14:textId="77777777" w:rsidR="00AE0598" w:rsidRDefault="0069255A">
      <w:pPr>
        <w:tabs>
          <w:tab w:val="left" w:pos="3059"/>
        </w:tabs>
        <w:spacing w:before="31" w:line="161" w:lineRule="exact"/>
        <w:ind w:left="110"/>
        <w:rPr>
          <w:rFonts w:ascii="Trebuchet MS"/>
          <w:sz w:val="14"/>
        </w:rPr>
      </w:pPr>
      <w:r>
        <w:rPr>
          <w:rFonts w:ascii="Trebuchet MS"/>
          <w:color w:val="231F20"/>
          <w:w w:val="105"/>
          <w:sz w:val="14"/>
        </w:rPr>
        <w:t>Passive</w:t>
      </w:r>
      <w:r>
        <w:rPr>
          <w:rFonts w:ascii="Trebuchet MS"/>
          <w:color w:val="231F20"/>
          <w:spacing w:val="8"/>
          <w:w w:val="105"/>
          <w:sz w:val="14"/>
        </w:rPr>
        <w:t xml:space="preserve"> </w:t>
      </w:r>
      <w:r>
        <w:rPr>
          <w:rFonts w:ascii="Trebuchet MS"/>
          <w:color w:val="231F20"/>
          <w:w w:val="105"/>
          <w:sz w:val="14"/>
        </w:rPr>
        <w:t>sports</w:t>
      </w:r>
      <w:r>
        <w:rPr>
          <w:rFonts w:ascii="Trebuchet MS"/>
          <w:color w:val="231F20"/>
          <w:spacing w:val="8"/>
          <w:w w:val="105"/>
          <w:sz w:val="14"/>
        </w:rPr>
        <w:t xml:space="preserve"> </w:t>
      </w:r>
      <w:r>
        <w:rPr>
          <w:rFonts w:ascii="Trebuchet MS"/>
          <w:color w:val="231F20"/>
          <w:w w:val="105"/>
          <w:sz w:val="14"/>
        </w:rPr>
        <w:t>during</w:t>
      </w:r>
      <w:r>
        <w:rPr>
          <w:rFonts w:ascii="Trebuchet MS"/>
          <w:color w:val="231F20"/>
          <w:spacing w:val="8"/>
          <w:w w:val="105"/>
          <w:sz w:val="14"/>
        </w:rPr>
        <w:t xml:space="preserve"> </w:t>
      </w:r>
      <w:r>
        <w:rPr>
          <w:rFonts w:ascii="Trebuchet MS"/>
          <w:color w:val="231F20"/>
          <w:w w:val="105"/>
          <w:sz w:val="14"/>
        </w:rPr>
        <w:t>non-holiday</w:t>
      </w:r>
      <w:r>
        <w:rPr>
          <w:rFonts w:ascii="Trebuchet MS"/>
          <w:color w:val="231F20"/>
          <w:spacing w:val="8"/>
          <w:w w:val="105"/>
          <w:sz w:val="14"/>
        </w:rPr>
        <w:t xml:space="preserve"> </w:t>
      </w:r>
      <w:r>
        <w:rPr>
          <w:rFonts w:ascii="Trebuchet MS"/>
          <w:color w:val="231F20"/>
          <w:spacing w:val="-4"/>
          <w:w w:val="105"/>
          <w:sz w:val="14"/>
        </w:rPr>
        <w:t>time</w:t>
      </w:r>
      <w:r>
        <w:rPr>
          <w:rFonts w:ascii="Trebuchet MS"/>
          <w:color w:val="231F20"/>
          <w:sz w:val="14"/>
        </w:rPr>
        <w:tab/>
      </w:r>
      <w:r>
        <w:rPr>
          <w:rFonts w:ascii="Trebuchet MS"/>
          <w:color w:val="231F20"/>
          <w:w w:val="105"/>
          <w:sz w:val="14"/>
        </w:rPr>
        <w:t>Dragon</w:t>
      </w:r>
      <w:r>
        <w:rPr>
          <w:rFonts w:ascii="Trebuchet MS"/>
          <w:color w:val="231F20"/>
          <w:spacing w:val="6"/>
          <w:w w:val="105"/>
          <w:sz w:val="14"/>
        </w:rPr>
        <w:t xml:space="preserve"> </w:t>
      </w:r>
      <w:r>
        <w:rPr>
          <w:rFonts w:ascii="Trebuchet MS"/>
          <w:color w:val="231F20"/>
          <w:w w:val="105"/>
          <w:sz w:val="14"/>
        </w:rPr>
        <w:t>boat</w:t>
      </w:r>
      <w:r>
        <w:rPr>
          <w:rFonts w:ascii="Trebuchet MS"/>
          <w:color w:val="231F20"/>
          <w:spacing w:val="6"/>
          <w:w w:val="105"/>
          <w:sz w:val="14"/>
        </w:rPr>
        <w:t xml:space="preserve"> </w:t>
      </w:r>
      <w:r>
        <w:rPr>
          <w:rFonts w:ascii="Trebuchet MS"/>
          <w:color w:val="231F20"/>
          <w:w w:val="105"/>
          <w:sz w:val="14"/>
        </w:rPr>
        <w:t>racing</w:t>
      </w:r>
      <w:r>
        <w:rPr>
          <w:rFonts w:ascii="Trebuchet MS"/>
          <w:color w:val="231F20"/>
          <w:spacing w:val="6"/>
          <w:w w:val="105"/>
          <w:sz w:val="14"/>
        </w:rPr>
        <w:t xml:space="preserve"> </w:t>
      </w:r>
      <w:r>
        <w:rPr>
          <w:rFonts w:ascii="Trebuchet MS"/>
          <w:color w:val="231F20"/>
          <w:w w:val="105"/>
          <w:sz w:val="14"/>
        </w:rPr>
        <w:t>spectatorship</w:t>
      </w:r>
      <w:r>
        <w:rPr>
          <w:rFonts w:ascii="Trebuchet MS"/>
          <w:color w:val="231F20"/>
          <w:spacing w:val="6"/>
          <w:w w:val="105"/>
          <w:sz w:val="14"/>
        </w:rPr>
        <w:t xml:space="preserve"> </w:t>
      </w:r>
      <w:r>
        <w:rPr>
          <w:rFonts w:ascii="Trebuchet MS"/>
          <w:color w:val="231F20"/>
          <w:w w:val="105"/>
          <w:sz w:val="14"/>
        </w:rPr>
        <w:t>while</w:t>
      </w:r>
      <w:r>
        <w:rPr>
          <w:rFonts w:ascii="Trebuchet MS"/>
          <w:color w:val="231F20"/>
          <w:spacing w:val="6"/>
          <w:w w:val="105"/>
          <w:sz w:val="14"/>
        </w:rPr>
        <w:t xml:space="preserve"> </w:t>
      </w:r>
      <w:r>
        <w:rPr>
          <w:rFonts w:ascii="Trebuchet MS"/>
          <w:color w:val="231F20"/>
          <w:w w:val="105"/>
          <w:sz w:val="14"/>
        </w:rPr>
        <w:t>in</w:t>
      </w:r>
      <w:r>
        <w:rPr>
          <w:rFonts w:ascii="Trebuchet MS"/>
          <w:color w:val="231F20"/>
          <w:spacing w:val="6"/>
          <w:w w:val="105"/>
          <w:sz w:val="14"/>
        </w:rPr>
        <w:t xml:space="preserve"> </w:t>
      </w:r>
      <w:r>
        <w:rPr>
          <w:rFonts w:ascii="Trebuchet MS"/>
          <w:color w:val="231F20"/>
          <w:spacing w:val="-4"/>
          <w:w w:val="105"/>
          <w:sz w:val="14"/>
        </w:rPr>
        <w:t>Hong</w:t>
      </w:r>
    </w:p>
    <w:p w14:paraId="19814219" w14:textId="2622CE75" w:rsidR="00AE0598" w:rsidRDefault="0069255A">
      <w:pPr>
        <w:spacing w:line="161" w:lineRule="exact"/>
        <w:ind w:left="3059"/>
        <w:rPr>
          <w:rFonts w:ascii="Trebuchet MS"/>
          <w:sz w:val="14"/>
        </w:rPr>
      </w:pPr>
      <w:r>
        <w:rPr>
          <w:noProof/>
        </w:rPr>
        <mc:AlternateContent>
          <mc:Choice Requires="wps">
            <w:drawing>
              <wp:anchor distT="0" distB="0" distL="0" distR="0" simplePos="0" relativeHeight="487614464" behindDoc="1" locked="0" layoutInCell="1" allowOverlap="1" wp14:anchorId="34A70051" wp14:editId="1C2081DD">
                <wp:simplePos x="0" y="0"/>
                <wp:positionH relativeFrom="page">
                  <wp:posOffset>755650</wp:posOffset>
                </wp:positionH>
                <wp:positionV relativeFrom="paragraph">
                  <wp:posOffset>120650</wp:posOffset>
                </wp:positionV>
                <wp:extent cx="4097655" cy="1270"/>
                <wp:effectExtent l="0" t="0" r="0" b="0"/>
                <wp:wrapTopAndBottom/>
                <wp:docPr id="282" name="docshape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097655" cy="1270"/>
                        </a:xfrm>
                        <a:custGeom>
                          <a:avLst/>
                          <a:gdLst>
                            <a:gd name="T0" fmla="+- 0 1190 1190"/>
                            <a:gd name="T1" fmla="*/ T0 w 6453"/>
                            <a:gd name="T2" fmla="+- 0 4020 1190"/>
                            <a:gd name="T3" fmla="*/ T2 w 6453"/>
                            <a:gd name="T4" fmla="+- 0 4020 1190"/>
                            <a:gd name="T5" fmla="*/ T4 w 6453"/>
                            <a:gd name="T6" fmla="+- 0 7643 1190"/>
                            <a:gd name="T7" fmla="*/ T6 w 6453"/>
                          </a:gdLst>
                          <a:ahLst/>
                          <a:cxnLst>
                            <a:cxn ang="0">
                              <a:pos x="T1" y="0"/>
                            </a:cxn>
                            <a:cxn ang="0">
                              <a:pos x="T3" y="0"/>
                            </a:cxn>
                            <a:cxn ang="0">
                              <a:pos x="T5" y="0"/>
                            </a:cxn>
                            <a:cxn ang="0">
                              <a:pos x="T7" y="0"/>
                            </a:cxn>
                          </a:cxnLst>
                          <a:rect l="0" t="0" r="r" b="b"/>
                          <a:pathLst>
                            <a:path w="6453">
                              <a:moveTo>
                                <a:pt x="0" y="0"/>
                              </a:moveTo>
                              <a:lnTo>
                                <a:pt x="2830" y="0"/>
                              </a:lnTo>
                              <a:moveTo>
                                <a:pt x="2830" y="0"/>
                              </a:moveTo>
                              <a:lnTo>
                                <a:pt x="6453" y="0"/>
                              </a:lnTo>
                            </a:path>
                          </a:pathLst>
                        </a:custGeom>
                        <a:noFill/>
                        <a:ln w="3175">
                          <a:solidFill>
                            <a:srgbClr val="231F2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0712DE" id="docshape92" o:spid="_x0000_s1026" style="position:absolute;margin-left:59.5pt;margin-top:9.5pt;width:322.65pt;height:.1pt;z-index:-157020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45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" path="m,l2830,t,l6453,e" filled="f" strokecolor="#231f20" strokeweight=".25pt">
                <v:path arrowok="t" o:connecttype="custom" o:connectlocs="0,0;1797050,0;1797050,0;4097655,0" o:connectangles="0,0,0,0"/>
                <w10:wrap type="topAndBottom" anchorx="page"/>
              </v:shape>
            </w:pict>
          </mc:Fallback>
        </mc:AlternateContent>
      </w:r>
      <w:r>
        <w:rPr>
          <w:rFonts w:ascii="Trebuchet MS"/>
          <w:color w:val="231F20"/>
          <w:w w:val="110"/>
          <w:sz w:val="14"/>
        </w:rPr>
        <w:t>Kong</w:t>
      </w:r>
      <w:r>
        <w:rPr>
          <w:rFonts w:ascii="Trebuchet MS"/>
          <w:color w:val="231F20"/>
          <w:spacing w:val="2"/>
          <w:w w:val="110"/>
          <w:sz w:val="14"/>
        </w:rPr>
        <w:t xml:space="preserve"> </w:t>
      </w:r>
      <w:r>
        <w:rPr>
          <w:rFonts w:ascii="Trebuchet MS"/>
          <w:color w:val="231F20"/>
          <w:w w:val="110"/>
          <w:sz w:val="14"/>
        </w:rPr>
        <w:t>on</w:t>
      </w:r>
      <w:r>
        <w:rPr>
          <w:rFonts w:ascii="Trebuchet MS"/>
          <w:color w:val="231F20"/>
          <w:spacing w:val="3"/>
          <w:w w:val="110"/>
          <w:sz w:val="14"/>
        </w:rPr>
        <w:t xml:space="preserve"> </w:t>
      </w:r>
      <w:r>
        <w:rPr>
          <w:rFonts w:ascii="Trebuchet MS"/>
          <w:color w:val="231F20"/>
          <w:spacing w:val="-2"/>
          <w:w w:val="110"/>
          <w:sz w:val="14"/>
        </w:rPr>
        <w:t>business</w:t>
      </w:r>
    </w:p>
    <w:p w14:paraId="0ED18836" w14:textId="77777777" w:rsidR="00AE0598" w:rsidRDefault="0069255A">
      <w:pPr>
        <w:spacing w:before="71"/>
        <w:ind w:left="110"/>
        <w:rPr>
          <w:rFonts w:ascii="Trebuchet MS"/>
          <w:sz w:val="14"/>
        </w:rPr>
      </w:pPr>
      <w:r>
        <w:rPr>
          <w:rFonts w:ascii="Trebuchet MS"/>
          <w:color w:val="231F20"/>
          <w:w w:val="105"/>
          <w:sz w:val="14"/>
        </w:rPr>
        <w:t>Source:</w:t>
      </w:r>
      <w:r>
        <w:rPr>
          <w:rFonts w:ascii="Trebuchet MS"/>
          <w:color w:val="231F20"/>
          <w:spacing w:val="-2"/>
          <w:w w:val="105"/>
          <w:sz w:val="14"/>
        </w:rPr>
        <w:t xml:space="preserve"> </w:t>
      </w:r>
      <w:r>
        <w:rPr>
          <w:rFonts w:ascii="Trebuchet MS"/>
          <w:color w:val="231F20"/>
          <w:w w:val="105"/>
          <w:sz w:val="14"/>
        </w:rPr>
        <w:t>Standeven</w:t>
      </w:r>
      <w:r>
        <w:rPr>
          <w:rFonts w:ascii="Trebuchet MS"/>
          <w:color w:val="231F20"/>
          <w:spacing w:val="-1"/>
          <w:w w:val="105"/>
          <w:sz w:val="14"/>
        </w:rPr>
        <w:t xml:space="preserve"> </w:t>
      </w:r>
      <w:r>
        <w:rPr>
          <w:rFonts w:ascii="Trebuchet MS"/>
          <w:color w:val="231F20"/>
          <w:w w:val="105"/>
          <w:sz w:val="14"/>
        </w:rPr>
        <w:t>and</w:t>
      </w:r>
      <w:r>
        <w:rPr>
          <w:rFonts w:ascii="Trebuchet MS"/>
          <w:color w:val="231F20"/>
          <w:spacing w:val="-1"/>
          <w:w w:val="105"/>
          <w:sz w:val="14"/>
        </w:rPr>
        <w:t xml:space="preserve"> </w:t>
      </w:r>
      <w:r>
        <w:rPr>
          <w:rFonts w:ascii="Trebuchet MS"/>
          <w:color w:val="231F20"/>
          <w:w w:val="105"/>
          <w:sz w:val="14"/>
        </w:rPr>
        <w:t>De</w:t>
      </w:r>
      <w:r>
        <w:rPr>
          <w:rFonts w:ascii="Trebuchet MS"/>
          <w:color w:val="231F20"/>
          <w:spacing w:val="-2"/>
          <w:w w:val="105"/>
          <w:sz w:val="14"/>
        </w:rPr>
        <w:t xml:space="preserve"> </w:t>
      </w:r>
      <w:r>
        <w:rPr>
          <w:rFonts w:ascii="Trebuchet MS"/>
          <w:color w:val="231F20"/>
          <w:w w:val="105"/>
          <w:sz w:val="14"/>
        </w:rPr>
        <w:t>Knop</w:t>
      </w:r>
      <w:r>
        <w:rPr>
          <w:rFonts w:ascii="Trebuchet MS"/>
          <w:color w:val="231F20"/>
          <w:spacing w:val="-1"/>
          <w:w w:val="105"/>
          <w:sz w:val="14"/>
        </w:rPr>
        <w:t xml:space="preserve"> </w:t>
      </w:r>
      <w:r>
        <w:rPr>
          <w:rFonts w:ascii="Trebuchet MS"/>
          <w:color w:val="231F20"/>
          <w:w w:val="105"/>
          <w:sz w:val="14"/>
        </w:rPr>
        <w:t>(1999:</w:t>
      </w:r>
      <w:r>
        <w:rPr>
          <w:rFonts w:ascii="Trebuchet MS"/>
          <w:color w:val="231F20"/>
          <w:spacing w:val="-1"/>
          <w:w w:val="105"/>
          <w:sz w:val="14"/>
        </w:rPr>
        <w:t xml:space="preserve"> </w:t>
      </w:r>
      <w:r>
        <w:rPr>
          <w:rFonts w:ascii="Trebuchet MS"/>
          <w:color w:val="231F20"/>
          <w:spacing w:val="-4"/>
          <w:w w:val="105"/>
          <w:sz w:val="14"/>
        </w:rPr>
        <w:t>88).</w:t>
      </w:r>
    </w:p>
    <w:p w14:paraId="17632BE7" w14:textId="77777777" w:rsidR="00AE0598" w:rsidRDefault="00AE0598">
      <w:pPr>
        <w:rPr>
          <w:rFonts w:ascii="Trebuchet MS"/>
          <w:sz w:val="14"/>
        </w:rPr>
        <w:sectPr w:rsidR="00AE0598">
          <w:pgSz w:w="8850" w:h="13270"/>
          <w:pgMar w:top="720" w:right="1060" w:bottom="280" w:left="1080" w:header="720" w:footer="720" w:gutter="0"/>
          <w:cols w:space="720"/>
        </w:sectPr>
      </w:pPr>
    </w:p>
    <w:p w14:paraId="5297FDCE" w14:textId="77777777" w:rsidR="00AE0598" w:rsidRDefault="0069255A">
      <w:pPr>
        <w:spacing w:before="87"/>
        <w:ind w:left="108"/>
        <w:rPr>
          <w:rFonts w:ascii="Trebuchet MS"/>
          <w:sz w:val="14"/>
        </w:rPr>
      </w:pPr>
      <w:r>
        <w:rPr>
          <w:rFonts w:ascii="Trebuchet MS"/>
          <w:color w:val="231F20"/>
          <w:w w:val="105"/>
          <w:sz w:val="14"/>
        </w:rPr>
        <w:lastRenderedPageBreak/>
        <w:t>44</w:t>
      </w:r>
      <w:r>
        <w:rPr>
          <w:rFonts w:ascii="Trebuchet MS"/>
          <w:color w:val="231F20"/>
          <w:spacing w:val="64"/>
          <w:w w:val="150"/>
          <w:sz w:val="14"/>
        </w:rPr>
        <w:t xml:space="preserve"> </w:t>
      </w:r>
      <w:r>
        <w:rPr>
          <w:rFonts w:ascii="Trebuchet MS"/>
          <w:color w:val="231F20"/>
          <w:w w:val="105"/>
          <w:sz w:val="14"/>
        </w:rPr>
        <w:t>Part</w:t>
      </w:r>
      <w:r>
        <w:rPr>
          <w:rFonts w:ascii="Trebuchet MS"/>
          <w:color w:val="231F20"/>
          <w:spacing w:val="-9"/>
          <w:w w:val="105"/>
          <w:sz w:val="14"/>
        </w:rPr>
        <w:t xml:space="preserve"> </w:t>
      </w:r>
      <w:r>
        <w:rPr>
          <w:rFonts w:ascii="Trebuchet MS"/>
          <w:color w:val="231F20"/>
          <w:w w:val="105"/>
          <w:sz w:val="14"/>
        </w:rPr>
        <w:t>2:</w:t>
      </w:r>
      <w:r>
        <w:rPr>
          <w:rFonts w:ascii="Trebuchet MS"/>
          <w:color w:val="231F20"/>
          <w:spacing w:val="-9"/>
          <w:w w:val="105"/>
          <w:sz w:val="14"/>
        </w:rPr>
        <w:t xml:space="preserve"> </w:t>
      </w:r>
      <w:r>
        <w:rPr>
          <w:rFonts w:ascii="Trebuchet MS"/>
          <w:color w:val="231F20"/>
          <w:w w:val="105"/>
          <w:sz w:val="14"/>
        </w:rPr>
        <w:t>Foundations</w:t>
      </w:r>
      <w:r>
        <w:rPr>
          <w:rFonts w:ascii="Trebuchet MS"/>
          <w:color w:val="231F20"/>
          <w:spacing w:val="-9"/>
          <w:w w:val="105"/>
          <w:sz w:val="14"/>
        </w:rPr>
        <w:t xml:space="preserve"> </w:t>
      </w:r>
      <w:r>
        <w:rPr>
          <w:rFonts w:ascii="Trebuchet MS"/>
          <w:color w:val="231F20"/>
          <w:w w:val="105"/>
          <w:sz w:val="14"/>
        </w:rPr>
        <w:t>of</w:t>
      </w:r>
      <w:r>
        <w:rPr>
          <w:rFonts w:ascii="Trebuchet MS"/>
          <w:color w:val="231F20"/>
          <w:spacing w:val="-9"/>
          <w:w w:val="105"/>
          <w:sz w:val="14"/>
        </w:rPr>
        <w:t xml:space="preserve"> </w:t>
      </w:r>
      <w:r>
        <w:rPr>
          <w:rFonts w:ascii="Trebuchet MS"/>
          <w:color w:val="231F20"/>
          <w:w w:val="105"/>
          <w:sz w:val="14"/>
        </w:rPr>
        <w:t>Sport</w:t>
      </w:r>
      <w:r>
        <w:rPr>
          <w:rFonts w:ascii="Trebuchet MS"/>
          <w:color w:val="231F20"/>
          <w:spacing w:val="-9"/>
          <w:w w:val="105"/>
          <w:sz w:val="14"/>
        </w:rPr>
        <w:t xml:space="preserve"> </w:t>
      </w:r>
      <w:r>
        <w:rPr>
          <w:rFonts w:ascii="Trebuchet MS"/>
          <w:color w:val="231F20"/>
          <w:w w:val="105"/>
          <w:sz w:val="14"/>
        </w:rPr>
        <w:t>Tourism</w:t>
      </w:r>
      <w:r>
        <w:rPr>
          <w:rFonts w:ascii="Trebuchet MS"/>
          <w:color w:val="231F20"/>
          <w:spacing w:val="-9"/>
          <w:w w:val="105"/>
          <w:sz w:val="14"/>
        </w:rPr>
        <w:t xml:space="preserve"> </w:t>
      </w:r>
      <w:r>
        <w:rPr>
          <w:rFonts w:ascii="Trebuchet MS"/>
          <w:color w:val="231F20"/>
          <w:spacing w:val="-2"/>
          <w:w w:val="105"/>
          <w:sz w:val="14"/>
        </w:rPr>
        <w:t>Development</w:t>
      </w:r>
    </w:p>
    <w:p w14:paraId="2BF0AD37" w14:textId="77777777" w:rsidR="00AE0598" w:rsidRDefault="00AE0598">
      <w:pPr>
        <w:pStyle w:val="Corpodetexto"/>
        <w:rPr>
          <w:rFonts w:ascii="Trebuchet MS"/>
          <w:sz w:val="16"/>
        </w:rPr>
      </w:pPr>
    </w:p>
    <w:p w14:paraId="4B31E79A" w14:textId="77777777" w:rsidR="00AE0598" w:rsidRDefault="0069255A">
      <w:pPr>
        <w:pStyle w:val="Corpodetexto"/>
        <w:spacing w:before="118" w:line="232" w:lineRule="auto"/>
        <w:ind w:left="110" w:right="127" w:firstLine="320"/>
        <w:jc w:val="both"/>
      </w:pPr>
      <w:r>
        <w:rPr>
          <w:color w:val="231F20"/>
          <w:w w:val="95"/>
        </w:rPr>
        <w:t>These,</w:t>
      </w:r>
      <w:r>
        <w:rPr>
          <w:color w:val="231F20"/>
          <w:spacing w:val="-1"/>
          <w:w w:val="95"/>
        </w:rPr>
        <w:t xml:space="preserve"> </w:t>
      </w:r>
      <w:r>
        <w:rPr>
          <w:color w:val="231F20"/>
          <w:w w:val="95"/>
        </w:rPr>
        <w:t>and</w:t>
      </w:r>
      <w:r>
        <w:rPr>
          <w:color w:val="231F20"/>
          <w:spacing w:val="-1"/>
          <w:w w:val="95"/>
        </w:rPr>
        <w:t xml:space="preserve"> </w:t>
      </w:r>
      <w:r>
        <w:rPr>
          <w:color w:val="231F20"/>
          <w:w w:val="95"/>
        </w:rPr>
        <w:t>other</w:t>
      </w:r>
      <w:r>
        <w:rPr>
          <w:color w:val="231F20"/>
          <w:spacing w:val="-1"/>
          <w:w w:val="95"/>
        </w:rPr>
        <w:t xml:space="preserve"> </w:t>
      </w:r>
      <w:r>
        <w:rPr>
          <w:color w:val="231F20"/>
          <w:w w:val="95"/>
        </w:rPr>
        <w:t>segments</w:t>
      </w:r>
      <w:r>
        <w:rPr>
          <w:color w:val="231F20"/>
          <w:spacing w:val="-1"/>
          <w:w w:val="95"/>
        </w:rPr>
        <w:t xml:space="preserve"> </w:t>
      </w:r>
      <w:r>
        <w:rPr>
          <w:color w:val="231F20"/>
          <w:w w:val="95"/>
        </w:rPr>
        <w:t>within</w:t>
      </w:r>
      <w:r>
        <w:rPr>
          <w:color w:val="231F20"/>
          <w:spacing w:val="-1"/>
          <w:w w:val="95"/>
        </w:rPr>
        <w:t xml:space="preserve"> </w:t>
      </w:r>
      <w:r>
        <w:rPr>
          <w:color w:val="231F20"/>
          <w:w w:val="95"/>
        </w:rPr>
        <w:t>this</w:t>
      </w:r>
      <w:r>
        <w:rPr>
          <w:color w:val="231F20"/>
          <w:spacing w:val="-1"/>
          <w:w w:val="95"/>
        </w:rPr>
        <w:t xml:space="preserve"> </w:t>
      </w:r>
      <w:r>
        <w:rPr>
          <w:color w:val="231F20"/>
          <w:w w:val="95"/>
        </w:rPr>
        <w:t>classification,</w:t>
      </w:r>
      <w:r>
        <w:rPr>
          <w:color w:val="231F20"/>
          <w:spacing w:val="-1"/>
          <w:w w:val="95"/>
        </w:rPr>
        <w:t xml:space="preserve"> </w:t>
      </w:r>
      <w:r>
        <w:rPr>
          <w:color w:val="231F20"/>
          <w:w w:val="95"/>
        </w:rPr>
        <w:t>are</w:t>
      </w:r>
      <w:r>
        <w:rPr>
          <w:color w:val="231F20"/>
          <w:spacing w:val="-1"/>
          <w:w w:val="95"/>
        </w:rPr>
        <w:t xml:space="preserve"> </w:t>
      </w:r>
      <w:r>
        <w:rPr>
          <w:color w:val="231F20"/>
          <w:w w:val="95"/>
        </w:rPr>
        <w:t>associated</w:t>
      </w:r>
      <w:r>
        <w:rPr>
          <w:color w:val="231F20"/>
          <w:spacing w:val="-1"/>
          <w:w w:val="95"/>
        </w:rPr>
        <w:t xml:space="preserve"> </w:t>
      </w:r>
      <w:r>
        <w:rPr>
          <w:color w:val="231F20"/>
          <w:w w:val="95"/>
        </w:rPr>
        <w:t xml:space="preserve">with distinct market characteristics. The terms ‘active’ and ‘passive’ are used in this classification in reference to sport participation and non-participation, </w:t>
      </w:r>
      <w:r>
        <w:rPr>
          <w:color w:val="231F20"/>
        </w:rPr>
        <w:t>respectively, although this dividing line is increasingly blurred. These should not be confuse</w:t>
      </w:r>
      <w:r>
        <w:rPr>
          <w:color w:val="231F20"/>
        </w:rPr>
        <w:t xml:space="preserve">d with other forms of active engagement in sport </w:t>
      </w:r>
      <w:r>
        <w:rPr>
          <w:color w:val="231F20"/>
          <w:w w:val="95"/>
        </w:rPr>
        <w:t>tourism such as team management or support crews for those who engage in competition. Furthermore, in some sports, spectators are encouraged to be active in their support of a competitor or team (e.g. banner</w:t>
      </w:r>
      <w:r>
        <w:rPr>
          <w:color w:val="231F20"/>
          <w:w w:val="95"/>
        </w:rPr>
        <w:t xml:space="preserve"> competitions </w:t>
      </w:r>
      <w:r>
        <w:rPr>
          <w:color w:val="231F20"/>
        </w:rPr>
        <w:t xml:space="preserve">and inter-session spectator competitions) as a means of generating </w:t>
      </w:r>
      <w:r>
        <w:rPr>
          <w:color w:val="231F20"/>
          <w:w w:val="95"/>
        </w:rPr>
        <w:t>atmosphere at stadiums and other sports venues. In other cases, spectators need no such encouragement in their expressions of contemporary culture, which may relegate the spor</w:t>
      </w:r>
      <w:r>
        <w:rPr>
          <w:color w:val="231F20"/>
          <w:w w:val="95"/>
        </w:rPr>
        <w:t xml:space="preserve">ts display to secondary importance in relation </w:t>
      </w:r>
      <w:r>
        <w:rPr>
          <w:color w:val="231F20"/>
        </w:rPr>
        <w:t>to performances of fan identification.</w:t>
      </w:r>
    </w:p>
    <w:p w14:paraId="548EE9DE" w14:textId="77777777" w:rsidR="00AE0598" w:rsidRDefault="0069255A">
      <w:pPr>
        <w:pStyle w:val="Corpodetexto"/>
        <w:spacing w:before="16" w:line="232" w:lineRule="auto"/>
        <w:ind w:left="110" w:right="127" w:firstLine="320"/>
        <w:jc w:val="both"/>
      </w:pPr>
      <w:r>
        <w:rPr>
          <w:color w:val="231F20"/>
        </w:rPr>
        <w:t>These typologies, which were developed and published between 1993 and 2000, serve an important role in the academic development</w:t>
      </w:r>
      <w:r>
        <w:rPr>
          <w:color w:val="231F20"/>
          <w:spacing w:val="80"/>
        </w:rPr>
        <w:t xml:space="preserve"> </w:t>
      </w:r>
      <w:r>
        <w:rPr>
          <w:color w:val="231F20"/>
        </w:rPr>
        <w:t>of the field of sport tourism. They provid</w:t>
      </w:r>
      <w:r>
        <w:rPr>
          <w:color w:val="231F20"/>
        </w:rPr>
        <w:t xml:space="preserve">e industry, government and </w:t>
      </w:r>
      <w:r>
        <w:rPr>
          <w:color w:val="231F20"/>
          <w:w w:val="95"/>
        </w:rPr>
        <w:t xml:space="preserve">academics with important insights into the range of tourist types that are represented within the sport tourism market. They also provide marketing </w:t>
      </w:r>
      <w:r>
        <w:rPr>
          <w:color w:val="231F20"/>
        </w:rPr>
        <w:t xml:space="preserve">professionals with insights into distinct manifestations of sport-related </w:t>
      </w:r>
      <w:r>
        <w:rPr>
          <w:color w:val="231F20"/>
          <w:w w:val="95"/>
        </w:rPr>
        <w:t>tourism</w:t>
      </w:r>
      <w:r>
        <w:rPr>
          <w:color w:val="231F20"/>
          <w:w w:val="95"/>
        </w:rPr>
        <w:t xml:space="preserve">, by way of clearly conceptualising the range of sport tourist types. </w:t>
      </w:r>
      <w:r>
        <w:rPr>
          <w:color w:val="231F20"/>
        </w:rPr>
        <w:t xml:space="preserve">However, while offering important contributions to the development of </w:t>
      </w:r>
      <w:r>
        <w:rPr>
          <w:color w:val="231F20"/>
          <w:w w:val="95"/>
        </w:rPr>
        <w:t>this field of scholarship, these typologies have been critiqued as limited in that they may oversimplify complex phe</w:t>
      </w:r>
      <w:r>
        <w:rPr>
          <w:color w:val="231F20"/>
          <w:w w:val="95"/>
        </w:rPr>
        <w:t xml:space="preserve">nomena (Weed, 2005). It has been argued that the typological approach, while useful in terms of </w:t>
      </w:r>
      <w:r>
        <w:rPr>
          <w:i/>
          <w:color w:val="231F20"/>
          <w:w w:val="95"/>
        </w:rPr>
        <w:t>explanation</w:t>
      </w:r>
      <w:r>
        <w:rPr>
          <w:color w:val="231F20"/>
          <w:w w:val="95"/>
        </w:rPr>
        <w:t>,</w:t>
      </w:r>
      <w:r>
        <w:rPr>
          <w:color w:val="231F20"/>
          <w:spacing w:val="40"/>
        </w:rPr>
        <w:t xml:space="preserve"> </w:t>
      </w:r>
      <w:r>
        <w:rPr>
          <w:color w:val="231F20"/>
        </w:rPr>
        <w:t xml:space="preserve">is insufficient to advance an </w:t>
      </w:r>
      <w:r>
        <w:rPr>
          <w:i/>
          <w:color w:val="231F20"/>
        </w:rPr>
        <w:t xml:space="preserve">understanding </w:t>
      </w:r>
      <w:r>
        <w:rPr>
          <w:color w:val="231F20"/>
        </w:rPr>
        <w:t>of sport tourism phenomena (Weed, 2005).</w:t>
      </w:r>
    </w:p>
    <w:p w14:paraId="09AECB35" w14:textId="77777777" w:rsidR="00AE0598" w:rsidRDefault="0069255A">
      <w:pPr>
        <w:pStyle w:val="Corpodetexto"/>
        <w:spacing w:before="15" w:line="232" w:lineRule="auto"/>
        <w:ind w:left="110" w:right="126" w:firstLine="320"/>
        <w:jc w:val="both"/>
      </w:pPr>
      <w:r>
        <w:rPr>
          <w:color w:val="231F20"/>
          <w:w w:val="95"/>
        </w:rPr>
        <w:t>Thus, since 2005, the academic community has attempted to move</w:t>
      </w:r>
      <w:r>
        <w:rPr>
          <w:color w:val="231F20"/>
          <w:w w:val="95"/>
        </w:rPr>
        <w:t xml:space="preserve"> the field of sport tourism forward from description and explanation to critical </w:t>
      </w:r>
      <w:r>
        <w:rPr>
          <w:color w:val="231F20"/>
        </w:rPr>
        <w:t>understanding (Gibson, 2006; Higham &amp; Hinch, 2009; Weed, 2005). In doing so, Weed (2005) argues against the need to establish the primacy of</w:t>
      </w:r>
      <w:r>
        <w:rPr>
          <w:color w:val="231F20"/>
          <w:spacing w:val="-10"/>
        </w:rPr>
        <w:t xml:space="preserve"> </w:t>
      </w:r>
      <w:r>
        <w:rPr>
          <w:color w:val="231F20"/>
        </w:rPr>
        <w:t>either</w:t>
      </w:r>
      <w:r>
        <w:rPr>
          <w:color w:val="231F20"/>
          <w:spacing w:val="-10"/>
        </w:rPr>
        <w:t xml:space="preserve"> </w:t>
      </w:r>
      <w:r>
        <w:rPr>
          <w:color w:val="231F20"/>
        </w:rPr>
        <w:t>sport</w:t>
      </w:r>
      <w:r>
        <w:rPr>
          <w:color w:val="231F20"/>
          <w:spacing w:val="-10"/>
        </w:rPr>
        <w:t xml:space="preserve"> </w:t>
      </w:r>
      <w:r>
        <w:rPr>
          <w:color w:val="231F20"/>
        </w:rPr>
        <w:t>or</w:t>
      </w:r>
      <w:r>
        <w:rPr>
          <w:color w:val="231F20"/>
          <w:spacing w:val="-10"/>
        </w:rPr>
        <w:t xml:space="preserve"> </w:t>
      </w:r>
      <w:r>
        <w:rPr>
          <w:color w:val="231F20"/>
        </w:rPr>
        <w:t>tourism,</w:t>
      </w:r>
      <w:r>
        <w:rPr>
          <w:color w:val="231F20"/>
          <w:spacing w:val="-10"/>
        </w:rPr>
        <w:t xml:space="preserve"> </w:t>
      </w:r>
      <w:r>
        <w:rPr>
          <w:color w:val="231F20"/>
        </w:rPr>
        <w:t>suggesting</w:t>
      </w:r>
      <w:r>
        <w:rPr>
          <w:color w:val="231F20"/>
          <w:spacing w:val="-10"/>
        </w:rPr>
        <w:t xml:space="preserve"> </w:t>
      </w:r>
      <w:r>
        <w:rPr>
          <w:color w:val="231F20"/>
        </w:rPr>
        <w:t>that</w:t>
      </w:r>
      <w:r>
        <w:rPr>
          <w:color w:val="231F20"/>
          <w:spacing w:val="-10"/>
        </w:rPr>
        <w:t xml:space="preserve"> </w:t>
      </w:r>
      <w:r>
        <w:rPr>
          <w:color w:val="231F20"/>
        </w:rPr>
        <w:t>‘the</w:t>
      </w:r>
      <w:r>
        <w:rPr>
          <w:color w:val="231F20"/>
          <w:spacing w:val="-10"/>
        </w:rPr>
        <w:t xml:space="preserve"> </w:t>
      </w:r>
      <w:r>
        <w:rPr>
          <w:color w:val="231F20"/>
        </w:rPr>
        <w:t>primacy</w:t>
      </w:r>
      <w:r>
        <w:rPr>
          <w:color w:val="231F20"/>
          <w:spacing w:val="-10"/>
        </w:rPr>
        <w:t xml:space="preserve"> </w:t>
      </w:r>
      <w:r>
        <w:rPr>
          <w:color w:val="231F20"/>
        </w:rPr>
        <w:t>of</w:t>
      </w:r>
      <w:r>
        <w:rPr>
          <w:color w:val="231F20"/>
          <w:spacing w:val="-10"/>
        </w:rPr>
        <w:t xml:space="preserve"> </w:t>
      </w:r>
      <w:r>
        <w:rPr>
          <w:color w:val="231F20"/>
        </w:rPr>
        <w:t>the</w:t>
      </w:r>
      <w:r>
        <w:rPr>
          <w:color w:val="231F20"/>
          <w:spacing w:val="-10"/>
        </w:rPr>
        <w:t xml:space="preserve"> </w:t>
      </w:r>
      <w:r>
        <w:rPr>
          <w:color w:val="231F20"/>
        </w:rPr>
        <w:t>sport</w:t>
      </w:r>
      <w:r>
        <w:rPr>
          <w:color w:val="231F20"/>
          <w:spacing w:val="-10"/>
        </w:rPr>
        <w:t xml:space="preserve"> </w:t>
      </w:r>
      <w:r>
        <w:rPr>
          <w:color w:val="231F20"/>
        </w:rPr>
        <w:t>or</w:t>
      </w:r>
      <w:r>
        <w:rPr>
          <w:color w:val="231F20"/>
          <w:spacing w:val="-10"/>
        </w:rPr>
        <w:t xml:space="preserve"> </w:t>
      </w:r>
      <w:r>
        <w:rPr>
          <w:color w:val="231F20"/>
        </w:rPr>
        <w:t xml:space="preserve">the </w:t>
      </w:r>
      <w:r>
        <w:rPr>
          <w:color w:val="231F20"/>
          <w:w w:val="95"/>
        </w:rPr>
        <w:t xml:space="preserve">tourism element in many sports tourism experiences cannot be established and, in fact, for many experiences separate and distinguishable sport and </w:t>
      </w:r>
      <w:r>
        <w:rPr>
          <w:color w:val="231F20"/>
        </w:rPr>
        <w:t>tourism</w:t>
      </w:r>
      <w:r>
        <w:rPr>
          <w:color w:val="231F20"/>
          <w:spacing w:val="-11"/>
        </w:rPr>
        <w:t xml:space="preserve"> </w:t>
      </w:r>
      <w:r>
        <w:rPr>
          <w:color w:val="231F20"/>
        </w:rPr>
        <w:t>elements</w:t>
      </w:r>
      <w:r>
        <w:rPr>
          <w:color w:val="231F20"/>
          <w:spacing w:val="-11"/>
        </w:rPr>
        <w:t xml:space="preserve"> </w:t>
      </w:r>
      <w:r>
        <w:rPr>
          <w:color w:val="231F20"/>
        </w:rPr>
        <w:t>may</w:t>
      </w:r>
      <w:r>
        <w:rPr>
          <w:color w:val="231F20"/>
          <w:spacing w:val="-11"/>
        </w:rPr>
        <w:t xml:space="preserve"> </w:t>
      </w:r>
      <w:r>
        <w:rPr>
          <w:color w:val="231F20"/>
        </w:rPr>
        <w:t>not</w:t>
      </w:r>
      <w:r>
        <w:rPr>
          <w:color w:val="231F20"/>
          <w:spacing w:val="-11"/>
        </w:rPr>
        <w:t xml:space="preserve"> </w:t>
      </w:r>
      <w:r>
        <w:rPr>
          <w:color w:val="231F20"/>
        </w:rPr>
        <w:t>be</w:t>
      </w:r>
      <w:r>
        <w:rPr>
          <w:color w:val="231F20"/>
          <w:spacing w:val="-11"/>
        </w:rPr>
        <w:t xml:space="preserve"> </w:t>
      </w:r>
      <w:r>
        <w:rPr>
          <w:color w:val="231F20"/>
        </w:rPr>
        <w:t>present’</w:t>
      </w:r>
      <w:r>
        <w:rPr>
          <w:color w:val="231F20"/>
          <w:spacing w:val="-11"/>
        </w:rPr>
        <w:t xml:space="preserve"> </w:t>
      </w:r>
      <w:r>
        <w:rPr>
          <w:color w:val="231F20"/>
        </w:rPr>
        <w:t>(Weed,</w:t>
      </w:r>
      <w:r>
        <w:rPr>
          <w:color w:val="231F20"/>
          <w:spacing w:val="-11"/>
        </w:rPr>
        <w:t xml:space="preserve"> </w:t>
      </w:r>
      <w:r>
        <w:rPr>
          <w:color w:val="231F20"/>
        </w:rPr>
        <w:t>2009:</w:t>
      </w:r>
      <w:r>
        <w:rPr>
          <w:color w:val="231F20"/>
          <w:spacing w:val="-11"/>
        </w:rPr>
        <w:t xml:space="preserve"> </w:t>
      </w:r>
      <w:r>
        <w:rPr>
          <w:color w:val="231F20"/>
        </w:rPr>
        <w:t>619).</w:t>
      </w:r>
      <w:r>
        <w:rPr>
          <w:color w:val="231F20"/>
          <w:spacing w:val="-11"/>
        </w:rPr>
        <w:t xml:space="preserve"> </w:t>
      </w:r>
      <w:r>
        <w:rPr>
          <w:color w:val="231F20"/>
        </w:rPr>
        <w:t>Rath</w:t>
      </w:r>
      <w:r>
        <w:rPr>
          <w:color w:val="231F20"/>
        </w:rPr>
        <w:t>er,</w:t>
      </w:r>
      <w:r>
        <w:rPr>
          <w:color w:val="231F20"/>
          <w:spacing w:val="-11"/>
        </w:rPr>
        <w:t xml:space="preserve"> </w:t>
      </w:r>
      <w:r>
        <w:rPr>
          <w:color w:val="231F20"/>
        </w:rPr>
        <w:t>it</w:t>
      </w:r>
      <w:r>
        <w:rPr>
          <w:color w:val="231F20"/>
          <w:spacing w:val="-11"/>
        </w:rPr>
        <w:t xml:space="preserve"> </w:t>
      </w:r>
      <w:r>
        <w:rPr>
          <w:color w:val="231F20"/>
        </w:rPr>
        <w:t>is</w:t>
      </w:r>
      <w:r>
        <w:rPr>
          <w:color w:val="231F20"/>
          <w:spacing w:val="-11"/>
        </w:rPr>
        <w:t xml:space="preserve"> </w:t>
      </w:r>
      <w:r>
        <w:rPr>
          <w:color w:val="231F20"/>
        </w:rPr>
        <w:t>the unique</w:t>
      </w:r>
      <w:r>
        <w:rPr>
          <w:color w:val="231F20"/>
          <w:spacing w:val="-7"/>
        </w:rPr>
        <w:t xml:space="preserve"> </w:t>
      </w:r>
      <w:r>
        <w:rPr>
          <w:color w:val="231F20"/>
        </w:rPr>
        <w:t>cultures</w:t>
      </w:r>
      <w:r>
        <w:rPr>
          <w:color w:val="231F20"/>
          <w:spacing w:val="-7"/>
        </w:rPr>
        <w:t xml:space="preserve"> </w:t>
      </w:r>
      <w:r>
        <w:rPr>
          <w:color w:val="231F20"/>
        </w:rPr>
        <w:t>of</w:t>
      </w:r>
      <w:r>
        <w:rPr>
          <w:color w:val="231F20"/>
          <w:spacing w:val="-7"/>
        </w:rPr>
        <w:t xml:space="preserve"> </w:t>
      </w:r>
      <w:r>
        <w:rPr>
          <w:color w:val="231F20"/>
        </w:rPr>
        <w:t>different</w:t>
      </w:r>
      <w:r>
        <w:rPr>
          <w:color w:val="231F20"/>
          <w:spacing w:val="-7"/>
        </w:rPr>
        <w:t xml:space="preserve"> </w:t>
      </w:r>
      <w:r>
        <w:rPr>
          <w:color w:val="231F20"/>
        </w:rPr>
        <w:t>places,</w:t>
      </w:r>
      <w:r>
        <w:rPr>
          <w:color w:val="231F20"/>
          <w:spacing w:val="-7"/>
        </w:rPr>
        <w:t xml:space="preserve"> </w:t>
      </w:r>
      <w:r>
        <w:rPr>
          <w:color w:val="231F20"/>
        </w:rPr>
        <w:t>which</w:t>
      </w:r>
      <w:r>
        <w:rPr>
          <w:color w:val="231F20"/>
          <w:spacing w:val="-7"/>
        </w:rPr>
        <w:t xml:space="preserve"> </w:t>
      </w:r>
      <w:r>
        <w:rPr>
          <w:color w:val="231F20"/>
        </w:rPr>
        <w:t>extend</w:t>
      </w:r>
      <w:r>
        <w:rPr>
          <w:color w:val="231F20"/>
          <w:spacing w:val="-7"/>
        </w:rPr>
        <w:t xml:space="preserve"> </w:t>
      </w:r>
      <w:r>
        <w:rPr>
          <w:color w:val="231F20"/>
        </w:rPr>
        <w:t>to</w:t>
      </w:r>
      <w:r>
        <w:rPr>
          <w:color w:val="231F20"/>
          <w:spacing w:val="-7"/>
        </w:rPr>
        <w:t xml:space="preserve"> </w:t>
      </w:r>
      <w:r>
        <w:rPr>
          <w:color w:val="231F20"/>
        </w:rPr>
        <w:t>the</w:t>
      </w:r>
      <w:r>
        <w:rPr>
          <w:color w:val="231F20"/>
          <w:spacing w:val="-7"/>
        </w:rPr>
        <w:t xml:space="preserve"> </w:t>
      </w:r>
      <w:r>
        <w:rPr>
          <w:color w:val="231F20"/>
        </w:rPr>
        <w:t>cultures</w:t>
      </w:r>
      <w:r>
        <w:rPr>
          <w:color w:val="231F20"/>
          <w:spacing w:val="-7"/>
        </w:rPr>
        <w:t xml:space="preserve"> </w:t>
      </w:r>
      <w:r>
        <w:rPr>
          <w:color w:val="231F20"/>
        </w:rPr>
        <w:t>–</w:t>
      </w:r>
      <w:r>
        <w:rPr>
          <w:color w:val="231F20"/>
          <w:spacing w:val="-7"/>
        </w:rPr>
        <w:t xml:space="preserve"> </w:t>
      </w:r>
      <w:r>
        <w:rPr>
          <w:color w:val="231F20"/>
        </w:rPr>
        <w:t>values, beliefs,</w:t>
      </w:r>
      <w:r>
        <w:rPr>
          <w:color w:val="231F20"/>
          <w:spacing w:val="-2"/>
        </w:rPr>
        <w:t xml:space="preserve"> </w:t>
      </w:r>
      <w:r>
        <w:rPr>
          <w:color w:val="231F20"/>
        </w:rPr>
        <w:t>behaviours</w:t>
      </w:r>
      <w:r>
        <w:rPr>
          <w:color w:val="231F20"/>
          <w:spacing w:val="-2"/>
        </w:rPr>
        <w:t xml:space="preserve"> </w:t>
      </w:r>
      <w:r>
        <w:rPr>
          <w:color w:val="231F20"/>
        </w:rPr>
        <w:t>(including</w:t>
      </w:r>
      <w:r>
        <w:rPr>
          <w:color w:val="231F20"/>
          <w:spacing w:val="-2"/>
        </w:rPr>
        <w:t xml:space="preserve"> </w:t>
      </w:r>
      <w:r>
        <w:rPr>
          <w:color w:val="231F20"/>
        </w:rPr>
        <w:t>styles</w:t>
      </w:r>
      <w:r>
        <w:rPr>
          <w:color w:val="231F20"/>
          <w:spacing w:val="-2"/>
        </w:rPr>
        <w:t xml:space="preserve"> </w:t>
      </w:r>
      <w:r>
        <w:rPr>
          <w:color w:val="231F20"/>
        </w:rPr>
        <w:t>of</w:t>
      </w:r>
      <w:r>
        <w:rPr>
          <w:color w:val="231F20"/>
          <w:spacing w:val="-2"/>
        </w:rPr>
        <w:t xml:space="preserve"> </w:t>
      </w:r>
      <w:r>
        <w:rPr>
          <w:color w:val="231F20"/>
        </w:rPr>
        <w:t>play</w:t>
      </w:r>
      <w:r>
        <w:rPr>
          <w:color w:val="231F20"/>
          <w:spacing w:val="-2"/>
        </w:rPr>
        <w:t xml:space="preserve"> </w:t>
      </w:r>
      <w:r>
        <w:rPr>
          <w:color w:val="231F20"/>
        </w:rPr>
        <w:t>and</w:t>
      </w:r>
      <w:r>
        <w:rPr>
          <w:color w:val="231F20"/>
          <w:spacing w:val="-2"/>
        </w:rPr>
        <w:t xml:space="preserve"> </w:t>
      </w:r>
      <w:r>
        <w:rPr>
          <w:color w:val="231F20"/>
        </w:rPr>
        <w:t>interpretations</w:t>
      </w:r>
      <w:r>
        <w:rPr>
          <w:color w:val="231F20"/>
          <w:spacing w:val="-2"/>
        </w:rPr>
        <w:t xml:space="preserve"> </w:t>
      </w:r>
      <w:r>
        <w:rPr>
          <w:color w:val="231F20"/>
        </w:rPr>
        <w:t>of</w:t>
      </w:r>
      <w:r>
        <w:rPr>
          <w:color w:val="231F20"/>
          <w:spacing w:val="-2"/>
        </w:rPr>
        <w:t xml:space="preserve"> </w:t>
      </w:r>
      <w:r>
        <w:rPr>
          <w:color w:val="231F20"/>
        </w:rPr>
        <w:t>rules) and</w:t>
      </w:r>
      <w:r>
        <w:rPr>
          <w:color w:val="231F20"/>
          <w:spacing w:val="26"/>
        </w:rPr>
        <w:t xml:space="preserve"> </w:t>
      </w:r>
      <w:r>
        <w:rPr>
          <w:color w:val="231F20"/>
        </w:rPr>
        <w:t>traditions</w:t>
      </w:r>
      <w:r>
        <w:rPr>
          <w:color w:val="231F20"/>
          <w:spacing w:val="26"/>
        </w:rPr>
        <w:t xml:space="preserve"> </w:t>
      </w:r>
      <w:r>
        <w:rPr>
          <w:color w:val="231F20"/>
        </w:rPr>
        <w:t>–</w:t>
      </w:r>
      <w:r>
        <w:rPr>
          <w:color w:val="231F20"/>
          <w:spacing w:val="26"/>
        </w:rPr>
        <w:t xml:space="preserve"> </w:t>
      </w:r>
      <w:r>
        <w:rPr>
          <w:color w:val="231F20"/>
        </w:rPr>
        <w:t>of</w:t>
      </w:r>
      <w:r>
        <w:rPr>
          <w:color w:val="231F20"/>
          <w:spacing w:val="26"/>
        </w:rPr>
        <w:t xml:space="preserve"> </w:t>
      </w:r>
      <w:r>
        <w:rPr>
          <w:color w:val="231F20"/>
        </w:rPr>
        <w:t>sport</w:t>
      </w:r>
      <w:r>
        <w:rPr>
          <w:color w:val="231F20"/>
          <w:spacing w:val="26"/>
        </w:rPr>
        <w:t xml:space="preserve"> </w:t>
      </w:r>
      <w:r>
        <w:rPr>
          <w:color w:val="231F20"/>
        </w:rPr>
        <w:t>(Hinch</w:t>
      </w:r>
      <w:r>
        <w:rPr>
          <w:color w:val="231F20"/>
          <w:spacing w:val="26"/>
        </w:rPr>
        <w:t xml:space="preserve"> </w:t>
      </w:r>
      <w:r>
        <w:rPr>
          <w:color w:val="231F20"/>
        </w:rPr>
        <w:t>&amp;</w:t>
      </w:r>
      <w:r>
        <w:rPr>
          <w:color w:val="231F20"/>
          <w:spacing w:val="26"/>
        </w:rPr>
        <w:t xml:space="preserve"> </w:t>
      </w:r>
      <w:r>
        <w:rPr>
          <w:color w:val="231F20"/>
        </w:rPr>
        <w:t>Higham,</w:t>
      </w:r>
      <w:r>
        <w:rPr>
          <w:color w:val="231F20"/>
          <w:spacing w:val="26"/>
        </w:rPr>
        <w:t xml:space="preserve"> </w:t>
      </w:r>
      <w:r>
        <w:rPr>
          <w:color w:val="231F20"/>
        </w:rPr>
        <w:t>2004),</w:t>
      </w:r>
      <w:r>
        <w:rPr>
          <w:color w:val="231F20"/>
          <w:spacing w:val="26"/>
        </w:rPr>
        <w:t xml:space="preserve"> </w:t>
      </w:r>
      <w:r>
        <w:rPr>
          <w:color w:val="231F20"/>
        </w:rPr>
        <w:t>that</w:t>
      </w:r>
      <w:r>
        <w:rPr>
          <w:color w:val="231F20"/>
          <w:spacing w:val="26"/>
        </w:rPr>
        <w:t xml:space="preserve"> </w:t>
      </w:r>
      <w:r>
        <w:rPr>
          <w:color w:val="231F20"/>
        </w:rPr>
        <w:t>contributes</w:t>
      </w:r>
      <w:r>
        <w:rPr>
          <w:color w:val="231F20"/>
          <w:spacing w:val="26"/>
        </w:rPr>
        <w:t xml:space="preserve"> </w:t>
      </w:r>
      <w:r>
        <w:rPr>
          <w:color w:val="231F20"/>
        </w:rPr>
        <w:t xml:space="preserve">to a complexity in the study of sport tourism that challenges typological classification. Instead, Weed (2005) proposes that all sport tourism </w:t>
      </w:r>
      <w:r>
        <w:rPr>
          <w:color w:val="231F20"/>
          <w:w w:val="95"/>
        </w:rPr>
        <w:t xml:space="preserve">phenomena represent a complex and unique interplay of activity (diverse </w:t>
      </w:r>
      <w:r>
        <w:rPr>
          <w:color w:val="231F20"/>
        </w:rPr>
        <w:t xml:space="preserve">engagements in sport), people (hosts and </w:t>
      </w:r>
      <w:r>
        <w:rPr>
          <w:color w:val="231F20"/>
        </w:rPr>
        <w:t xml:space="preserve">guests) and place (unique locations where sports occur) (Figure 3.1). This conceptualisation has </w:t>
      </w:r>
      <w:r>
        <w:rPr>
          <w:color w:val="231F20"/>
          <w:w w:val="95"/>
        </w:rPr>
        <w:t>usefully driven the development of the field towards understanding unique</w:t>
      </w:r>
    </w:p>
    <w:p w14:paraId="11B676C4" w14:textId="77777777" w:rsidR="00AE0598" w:rsidRDefault="00AE0598">
      <w:pPr>
        <w:spacing w:line="232" w:lineRule="auto"/>
        <w:jc w:val="both"/>
        <w:sectPr w:rsidR="00AE0598">
          <w:pgSz w:w="8850" w:h="13270"/>
          <w:pgMar w:top="720" w:right="1060" w:bottom="280" w:left="1080" w:header="720" w:footer="720" w:gutter="0"/>
          <w:cols w:space="720"/>
        </w:sectPr>
      </w:pPr>
    </w:p>
    <w:p w14:paraId="1FF6EDC2" w14:textId="77777777" w:rsidR="00AE0598" w:rsidRDefault="0069255A">
      <w:pPr>
        <w:spacing w:before="87"/>
        <w:ind w:left="110" w:right="128"/>
        <w:jc w:val="right"/>
        <w:rPr>
          <w:rFonts w:ascii="Trebuchet MS"/>
          <w:sz w:val="14"/>
        </w:rPr>
      </w:pPr>
      <w:r>
        <w:rPr>
          <w:rFonts w:ascii="Trebuchet MS"/>
          <w:color w:val="231F20"/>
          <w:w w:val="105"/>
          <w:sz w:val="14"/>
        </w:rPr>
        <w:lastRenderedPageBreak/>
        <w:t>Sport</w:t>
      </w:r>
      <w:r>
        <w:rPr>
          <w:rFonts w:ascii="Trebuchet MS"/>
          <w:color w:val="231F20"/>
          <w:spacing w:val="-7"/>
          <w:w w:val="105"/>
          <w:sz w:val="14"/>
        </w:rPr>
        <w:t xml:space="preserve"> </w:t>
      </w:r>
      <w:r>
        <w:rPr>
          <w:rFonts w:ascii="Trebuchet MS"/>
          <w:color w:val="231F20"/>
          <w:w w:val="105"/>
          <w:sz w:val="14"/>
        </w:rPr>
        <w:t>Tourism</w:t>
      </w:r>
      <w:r>
        <w:rPr>
          <w:rFonts w:ascii="Trebuchet MS"/>
          <w:color w:val="231F20"/>
          <w:spacing w:val="-7"/>
          <w:w w:val="105"/>
          <w:sz w:val="14"/>
        </w:rPr>
        <w:t xml:space="preserve"> </w:t>
      </w:r>
      <w:r>
        <w:rPr>
          <w:rFonts w:ascii="Trebuchet MS"/>
          <w:color w:val="231F20"/>
          <w:w w:val="105"/>
          <w:sz w:val="14"/>
        </w:rPr>
        <w:t>Markets</w:t>
      </w:r>
      <w:r>
        <w:rPr>
          <w:rFonts w:ascii="Trebuchet MS"/>
          <w:color w:val="231F20"/>
          <w:spacing w:val="73"/>
          <w:w w:val="150"/>
          <w:sz w:val="14"/>
        </w:rPr>
        <w:t xml:space="preserve"> </w:t>
      </w:r>
      <w:r>
        <w:rPr>
          <w:rFonts w:ascii="Trebuchet MS"/>
          <w:color w:val="231F20"/>
          <w:spacing w:val="-5"/>
          <w:w w:val="105"/>
          <w:sz w:val="14"/>
        </w:rPr>
        <w:t>45</w:t>
      </w:r>
    </w:p>
    <w:p w14:paraId="5F0BF9ED" w14:textId="44069361" w:rsidR="00AE0598" w:rsidRDefault="0069255A">
      <w:pPr>
        <w:pStyle w:val="Corpodetexto"/>
        <w:spacing w:before="6"/>
        <w:rPr>
          <w:rFonts w:ascii="Trebuchet MS"/>
          <w:sz w:val="27"/>
        </w:rPr>
      </w:pPr>
      <w:r>
        <w:rPr>
          <w:noProof/>
        </w:rPr>
        <mc:AlternateContent>
          <mc:Choice Requires="wpg">
            <w:drawing>
              <wp:anchor distT="0" distB="0" distL="0" distR="0" simplePos="0" relativeHeight="487616000" behindDoc="1" locked="0" layoutInCell="1" allowOverlap="1" wp14:anchorId="05C3F254" wp14:editId="23991D52">
                <wp:simplePos x="0" y="0"/>
                <wp:positionH relativeFrom="page">
                  <wp:posOffset>976630</wp:posOffset>
                </wp:positionH>
                <wp:positionV relativeFrom="paragraph">
                  <wp:posOffset>218440</wp:posOffset>
                </wp:positionV>
                <wp:extent cx="3662680" cy="3375025"/>
                <wp:effectExtent l="0" t="0" r="0" b="0"/>
                <wp:wrapTopAndBottom/>
                <wp:docPr id="275" name="docshapegroup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662680" cy="3375025"/>
                          <a:chOff x="1538" y="344"/>
                          <a:chExt cx="5768" cy="5315"/>
                        </a:xfrm>
                      </wpg:grpSpPr>
                      <wps:wsp>
                        <wps:cNvPr id="276" name="docshape94"/>
                        <wps:cNvSpPr>
                          <a:spLocks/>
                        </wps:cNvSpPr>
                        <wps:spPr bwMode="auto">
                          <a:xfrm>
                            <a:off x="1543" y="349"/>
                            <a:ext cx="5758" cy="5305"/>
                          </a:xfrm>
                          <a:custGeom>
                            <a:avLst/>
                            <a:gdLst>
                              <a:gd name="T0" fmla="+- 0 1594 1543"/>
                              <a:gd name="T1" fmla="*/ T0 w 5758"/>
                              <a:gd name="T2" fmla="+- 0 2502 349"/>
                              <a:gd name="T3" fmla="*/ 2502 h 5305"/>
                              <a:gd name="T4" fmla="+- 0 1769 1543"/>
                              <a:gd name="T5" fmla="*/ T4 w 5758"/>
                              <a:gd name="T6" fmla="+- 0 1969 349"/>
                              <a:gd name="T7" fmla="*/ 1969 h 5305"/>
                              <a:gd name="T8" fmla="+- 0 2055 1543"/>
                              <a:gd name="T9" fmla="*/ T8 w 5758"/>
                              <a:gd name="T10" fmla="+- 0 1491 349"/>
                              <a:gd name="T11" fmla="*/ 1491 h 5305"/>
                              <a:gd name="T12" fmla="+- 0 2439 1543"/>
                              <a:gd name="T13" fmla="*/ T12 w 5758"/>
                              <a:gd name="T14" fmla="+- 0 1079 349"/>
                              <a:gd name="T15" fmla="*/ 1079 h 5305"/>
                              <a:gd name="T16" fmla="+- 0 2905 1543"/>
                              <a:gd name="T17" fmla="*/ T16 w 5758"/>
                              <a:gd name="T18" fmla="+- 0 747 349"/>
                              <a:gd name="T19" fmla="*/ 747 h 5305"/>
                              <a:gd name="T20" fmla="+- 0 3441 1543"/>
                              <a:gd name="T21" fmla="*/ T20 w 5758"/>
                              <a:gd name="T22" fmla="+- 0 507 349"/>
                              <a:gd name="T23" fmla="*/ 507 h 5305"/>
                              <a:gd name="T24" fmla="+- 0 4031 1543"/>
                              <a:gd name="T25" fmla="*/ T24 w 5758"/>
                              <a:gd name="T26" fmla="+- 0 374 349"/>
                              <a:gd name="T27" fmla="*/ 374 h 5305"/>
                              <a:gd name="T28" fmla="+- 0 4658 1543"/>
                              <a:gd name="T29" fmla="*/ T28 w 5758"/>
                              <a:gd name="T30" fmla="+- 0 358 349"/>
                              <a:gd name="T31" fmla="*/ 358 h 5305"/>
                              <a:gd name="T32" fmla="+- 0 5260 1543"/>
                              <a:gd name="T33" fmla="*/ T32 w 5758"/>
                              <a:gd name="T34" fmla="+- 0 463 349"/>
                              <a:gd name="T35" fmla="*/ 463 h 5305"/>
                              <a:gd name="T36" fmla="+- 0 5810 1543"/>
                              <a:gd name="T37" fmla="*/ T36 w 5758"/>
                              <a:gd name="T38" fmla="+- 0 678 349"/>
                              <a:gd name="T39" fmla="*/ 678 h 5305"/>
                              <a:gd name="T40" fmla="+- 0 6295 1543"/>
                              <a:gd name="T41" fmla="*/ T40 w 5758"/>
                              <a:gd name="T42" fmla="+- 0 988 349"/>
                              <a:gd name="T43" fmla="*/ 988 h 5305"/>
                              <a:gd name="T44" fmla="+- 0 6700 1543"/>
                              <a:gd name="T45" fmla="*/ T44 w 5758"/>
                              <a:gd name="T46" fmla="+- 0 1381 349"/>
                              <a:gd name="T47" fmla="*/ 1381 h 5305"/>
                              <a:gd name="T48" fmla="+- 0 7012 1543"/>
                              <a:gd name="T49" fmla="*/ T48 w 5758"/>
                              <a:gd name="T50" fmla="+- 0 1844 349"/>
                              <a:gd name="T51" fmla="*/ 1844 h 5305"/>
                              <a:gd name="T52" fmla="+- 0 7216 1543"/>
                              <a:gd name="T53" fmla="*/ T52 w 5758"/>
                              <a:gd name="T54" fmla="+- 0 2364 349"/>
                              <a:gd name="T55" fmla="*/ 2364 h 5305"/>
                              <a:gd name="T56" fmla="+- 0 7299 1543"/>
                              <a:gd name="T57" fmla="*/ T56 w 5758"/>
                              <a:gd name="T58" fmla="+- 0 2929 349"/>
                              <a:gd name="T59" fmla="*/ 2929 h 5305"/>
                              <a:gd name="T60" fmla="+- 0 7249 1543"/>
                              <a:gd name="T61" fmla="*/ T60 w 5758"/>
                              <a:gd name="T62" fmla="+- 0 3502 349"/>
                              <a:gd name="T63" fmla="*/ 3502 h 5305"/>
                              <a:gd name="T64" fmla="+- 0 7074 1543"/>
                              <a:gd name="T65" fmla="*/ T64 w 5758"/>
                              <a:gd name="T66" fmla="+- 0 4034 349"/>
                              <a:gd name="T67" fmla="*/ 4034 h 5305"/>
                              <a:gd name="T68" fmla="+- 0 6788 1543"/>
                              <a:gd name="T69" fmla="*/ T68 w 5758"/>
                              <a:gd name="T70" fmla="+- 0 4513 349"/>
                              <a:gd name="T71" fmla="*/ 4513 h 5305"/>
                              <a:gd name="T72" fmla="+- 0 6404 1543"/>
                              <a:gd name="T73" fmla="*/ T72 w 5758"/>
                              <a:gd name="T74" fmla="+- 0 4924 349"/>
                              <a:gd name="T75" fmla="*/ 4924 h 5305"/>
                              <a:gd name="T76" fmla="+- 0 5938 1543"/>
                              <a:gd name="T77" fmla="*/ T76 w 5758"/>
                              <a:gd name="T78" fmla="+- 0 5257 349"/>
                              <a:gd name="T79" fmla="*/ 5257 h 5305"/>
                              <a:gd name="T80" fmla="+- 0 5403 1543"/>
                              <a:gd name="T81" fmla="*/ T80 w 5758"/>
                              <a:gd name="T82" fmla="+- 0 5496 349"/>
                              <a:gd name="T83" fmla="*/ 5496 h 5305"/>
                              <a:gd name="T84" fmla="+- 0 4812 1543"/>
                              <a:gd name="T85" fmla="*/ T84 w 5758"/>
                              <a:gd name="T86" fmla="+- 0 5630 349"/>
                              <a:gd name="T87" fmla="*/ 5630 h 5305"/>
                              <a:gd name="T88" fmla="+- 0 4185 1543"/>
                              <a:gd name="T89" fmla="*/ T88 w 5758"/>
                              <a:gd name="T90" fmla="+- 0 5645 349"/>
                              <a:gd name="T91" fmla="*/ 5645 h 5305"/>
                              <a:gd name="T92" fmla="+- 0 3584 1543"/>
                              <a:gd name="T93" fmla="*/ T92 w 5758"/>
                              <a:gd name="T94" fmla="+- 0 5540 349"/>
                              <a:gd name="T95" fmla="*/ 5540 h 5305"/>
                              <a:gd name="T96" fmla="+- 0 3033 1543"/>
                              <a:gd name="T97" fmla="*/ T96 w 5758"/>
                              <a:gd name="T98" fmla="+- 0 5326 349"/>
                              <a:gd name="T99" fmla="*/ 5326 h 5305"/>
                              <a:gd name="T100" fmla="+- 0 2548 1543"/>
                              <a:gd name="T101" fmla="*/ T100 w 5758"/>
                              <a:gd name="T102" fmla="+- 0 5016 349"/>
                              <a:gd name="T103" fmla="*/ 5016 h 5305"/>
                              <a:gd name="T104" fmla="+- 0 2143 1543"/>
                              <a:gd name="T105" fmla="*/ T104 w 5758"/>
                              <a:gd name="T106" fmla="+- 0 4622 349"/>
                              <a:gd name="T107" fmla="*/ 4622 h 5305"/>
                              <a:gd name="T108" fmla="+- 0 1831 1543"/>
                              <a:gd name="T109" fmla="*/ T108 w 5758"/>
                              <a:gd name="T110" fmla="+- 0 4159 349"/>
                              <a:gd name="T111" fmla="*/ 4159 h 5305"/>
                              <a:gd name="T112" fmla="+- 0 1627 1543"/>
                              <a:gd name="T113" fmla="*/ T112 w 5758"/>
                              <a:gd name="T114" fmla="+- 0 3639 349"/>
                              <a:gd name="T115" fmla="*/ 3639 h 5305"/>
                              <a:gd name="T116" fmla="+- 0 1544 1543"/>
                              <a:gd name="T117" fmla="*/ T116 w 5758"/>
                              <a:gd name="T118" fmla="+- 0 3075 349"/>
                              <a:gd name="T119" fmla="*/ 3075 h 5305"/>
                              <a:gd name="T120" fmla="+- 0 3871 1543"/>
                              <a:gd name="T121" fmla="*/ T120 w 5758"/>
                              <a:gd name="T122" fmla="+- 0 2626 349"/>
                              <a:gd name="T123" fmla="*/ 2626 h 5305"/>
                              <a:gd name="T124" fmla="+- 0 4348 1543"/>
                              <a:gd name="T125" fmla="*/ T124 w 5758"/>
                              <a:gd name="T126" fmla="+- 0 2361 349"/>
                              <a:gd name="T127" fmla="*/ 2361 h 5305"/>
                              <a:gd name="T128" fmla="+- 0 4880 1543"/>
                              <a:gd name="T129" fmla="*/ T128 w 5758"/>
                              <a:gd name="T130" fmla="+- 0 2526 349"/>
                              <a:gd name="T131" fmla="*/ 2526 h 5305"/>
                              <a:gd name="T132" fmla="+- 0 5106 1543"/>
                              <a:gd name="T133" fmla="*/ T132 w 5758"/>
                              <a:gd name="T134" fmla="+- 0 3013 349"/>
                              <a:gd name="T135" fmla="*/ 3013 h 5305"/>
                              <a:gd name="T136" fmla="+- 0 4880 1543"/>
                              <a:gd name="T137" fmla="*/ T136 w 5758"/>
                              <a:gd name="T138" fmla="+- 0 3500 349"/>
                              <a:gd name="T139" fmla="*/ 3500 h 5305"/>
                              <a:gd name="T140" fmla="+- 0 4348 1543"/>
                              <a:gd name="T141" fmla="*/ T140 w 5758"/>
                              <a:gd name="T142" fmla="+- 0 3665 349"/>
                              <a:gd name="T143" fmla="*/ 3665 h 5305"/>
                              <a:gd name="T144" fmla="+- 0 3871 1543"/>
                              <a:gd name="T145" fmla="*/ T144 w 5758"/>
                              <a:gd name="T146" fmla="+- 0 3400 349"/>
                              <a:gd name="T147" fmla="*/ 3400 h 5305"/>
                              <a:gd name="T148" fmla="+- 0 3743 1543"/>
                              <a:gd name="T149" fmla="*/ T148 w 5758"/>
                              <a:gd name="T150" fmla="+- 0 1344 349"/>
                              <a:gd name="T151" fmla="*/ 1344 h 5305"/>
                              <a:gd name="T152" fmla="+- 0 4019 1543"/>
                              <a:gd name="T153" fmla="*/ T152 w 5758"/>
                              <a:gd name="T154" fmla="+- 0 886 349"/>
                              <a:gd name="T155" fmla="*/ 886 h 5305"/>
                              <a:gd name="T156" fmla="+- 0 4569 1543"/>
                              <a:gd name="T157" fmla="*/ T156 w 5758"/>
                              <a:gd name="T158" fmla="+- 0 775 349"/>
                              <a:gd name="T159" fmla="*/ 775 h 5305"/>
                              <a:gd name="T160" fmla="+- 0 5012 1543"/>
                              <a:gd name="T161" fmla="*/ T160 w 5758"/>
                              <a:gd name="T162" fmla="+- 0 1085 349"/>
                              <a:gd name="T163" fmla="*/ 1085 h 5305"/>
                              <a:gd name="T164" fmla="+- 0 5071 1543"/>
                              <a:gd name="T165" fmla="*/ T164 w 5758"/>
                              <a:gd name="T166" fmla="+- 0 1623 349"/>
                              <a:gd name="T167" fmla="*/ 1623 h 5305"/>
                              <a:gd name="T168" fmla="+- 0 4704 1543"/>
                              <a:gd name="T169" fmla="*/ T168 w 5758"/>
                              <a:gd name="T170" fmla="+- 0 2013 349"/>
                              <a:gd name="T171" fmla="*/ 2013 h 5305"/>
                              <a:gd name="T172" fmla="+- 0 4140 1543"/>
                              <a:gd name="T173" fmla="*/ T172 w 5758"/>
                              <a:gd name="T174" fmla="+- 0 2013 349"/>
                              <a:gd name="T175" fmla="*/ 2013 h 5305"/>
                              <a:gd name="T176" fmla="+- 0 3774 1543"/>
                              <a:gd name="T177" fmla="*/ T176 w 5758"/>
                              <a:gd name="T178" fmla="+- 0 1623 349"/>
                              <a:gd name="T179" fmla="*/ 1623 h 5305"/>
                              <a:gd name="T180" fmla="+- 0 5224 1543"/>
                              <a:gd name="T181" fmla="*/ T180 w 5758"/>
                              <a:gd name="T182" fmla="+- 0 3597 349"/>
                              <a:gd name="T183" fmla="*/ 3597 h 5305"/>
                              <a:gd name="T184" fmla="+- 0 5631 1543"/>
                              <a:gd name="T185" fmla="*/ T184 w 5758"/>
                              <a:gd name="T186" fmla="+- 0 3245 349"/>
                              <a:gd name="T187" fmla="*/ 3245 h 5305"/>
                              <a:gd name="T188" fmla="+- 0 6193 1543"/>
                              <a:gd name="T189" fmla="*/ T188 w 5758"/>
                              <a:gd name="T190" fmla="+- 0 3302 349"/>
                              <a:gd name="T191" fmla="*/ 3302 h 5305"/>
                              <a:gd name="T192" fmla="+- 0 6515 1543"/>
                              <a:gd name="T193" fmla="*/ T192 w 5758"/>
                              <a:gd name="T194" fmla="+- 0 3727 349"/>
                              <a:gd name="T195" fmla="*/ 3727 h 5305"/>
                              <a:gd name="T196" fmla="+- 0 6399 1543"/>
                              <a:gd name="T197" fmla="*/ T196 w 5758"/>
                              <a:gd name="T198" fmla="+- 0 4255 349"/>
                              <a:gd name="T199" fmla="*/ 4255 h 5305"/>
                              <a:gd name="T200" fmla="+- 0 5922 1543"/>
                              <a:gd name="T201" fmla="*/ T200 w 5758"/>
                              <a:gd name="T202" fmla="+- 0 4520 349"/>
                              <a:gd name="T203" fmla="*/ 4520 h 5305"/>
                              <a:gd name="T204" fmla="+- 0 5389 1543"/>
                              <a:gd name="T205" fmla="*/ T204 w 5758"/>
                              <a:gd name="T206" fmla="+- 0 4355 349"/>
                              <a:gd name="T207" fmla="*/ 4355 h 5305"/>
                              <a:gd name="T208" fmla="+- 0 5164 1543"/>
                              <a:gd name="T209" fmla="*/ T208 w 5758"/>
                              <a:gd name="T210" fmla="+- 0 3868 349"/>
                              <a:gd name="T211" fmla="*/ 3868 h 5305"/>
                              <a:gd name="T212" fmla="+- 0 2488 1543"/>
                              <a:gd name="T213" fmla="*/ T212 w 5758"/>
                              <a:gd name="T214" fmla="+- 0 3373 349"/>
                              <a:gd name="T215" fmla="*/ 3373 h 5305"/>
                              <a:gd name="T216" fmla="+- 0 2995 1543"/>
                              <a:gd name="T217" fmla="*/ T216 w 5758"/>
                              <a:gd name="T218" fmla="+- 0 3156 349"/>
                              <a:gd name="T219" fmla="*/ 3156 h 5305"/>
                              <a:gd name="T220" fmla="+- 0 3503 1543"/>
                              <a:gd name="T221" fmla="*/ T220 w 5758"/>
                              <a:gd name="T222" fmla="+- 0 3373 349"/>
                              <a:gd name="T223" fmla="*/ 3373 h 5305"/>
                              <a:gd name="T224" fmla="+- 0 3675 1543"/>
                              <a:gd name="T225" fmla="*/ T224 w 5758"/>
                              <a:gd name="T226" fmla="+- 0 3884 349"/>
                              <a:gd name="T227" fmla="*/ 3884 h 5305"/>
                              <a:gd name="T228" fmla="+- 0 3399 1543"/>
                              <a:gd name="T229" fmla="*/ T228 w 5758"/>
                              <a:gd name="T230" fmla="+- 0 4342 349"/>
                              <a:gd name="T231" fmla="*/ 4342 h 5305"/>
                              <a:gd name="T232" fmla="+- 0 2849 1543"/>
                              <a:gd name="T233" fmla="*/ T232 w 5758"/>
                              <a:gd name="T234" fmla="+- 0 4453 349"/>
                              <a:gd name="T235" fmla="*/ 4453 h 5305"/>
                              <a:gd name="T236" fmla="+- 0 2405 1543"/>
                              <a:gd name="T237" fmla="*/ T236 w 5758"/>
                              <a:gd name="T238" fmla="+- 0 4143 349"/>
                              <a:gd name="T239" fmla="*/ 4143 h 53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Lst>
                            <a:rect l="0" t="0" r="r" b="b"/>
                            <a:pathLst>
                              <a:path w="5758" h="5305">
                                <a:moveTo>
                                  <a:pt x="0" y="2653"/>
                                </a:moveTo>
                                <a:lnTo>
                                  <a:pt x="1" y="2580"/>
                                </a:lnTo>
                                <a:lnTo>
                                  <a:pt x="4" y="2507"/>
                                </a:lnTo>
                                <a:lnTo>
                                  <a:pt x="10" y="2435"/>
                                </a:lnTo>
                                <a:lnTo>
                                  <a:pt x="17" y="2364"/>
                                </a:lnTo>
                                <a:lnTo>
                                  <a:pt x="26" y="2293"/>
                                </a:lnTo>
                                <a:lnTo>
                                  <a:pt x="38" y="2222"/>
                                </a:lnTo>
                                <a:lnTo>
                                  <a:pt x="51" y="2153"/>
                                </a:lnTo>
                                <a:lnTo>
                                  <a:pt x="66" y="2084"/>
                                </a:lnTo>
                                <a:lnTo>
                                  <a:pt x="84" y="2015"/>
                                </a:lnTo>
                                <a:lnTo>
                                  <a:pt x="103" y="1948"/>
                                </a:lnTo>
                                <a:lnTo>
                                  <a:pt x="124" y="1881"/>
                                </a:lnTo>
                                <a:lnTo>
                                  <a:pt x="147" y="1814"/>
                                </a:lnTo>
                                <a:lnTo>
                                  <a:pt x="171" y="1749"/>
                                </a:lnTo>
                                <a:lnTo>
                                  <a:pt x="198" y="1684"/>
                                </a:lnTo>
                                <a:lnTo>
                                  <a:pt x="226" y="1620"/>
                                </a:lnTo>
                                <a:lnTo>
                                  <a:pt x="256" y="1557"/>
                                </a:lnTo>
                                <a:lnTo>
                                  <a:pt x="288" y="1495"/>
                                </a:lnTo>
                                <a:lnTo>
                                  <a:pt x="321" y="1434"/>
                                </a:lnTo>
                                <a:lnTo>
                                  <a:pt x="356" y="1373"/>
                                </a:lnTo>
                                <a:lnTo>
                                  <a:pt x="393" y="1314"/>
                                </a:lnTo>
                                <a:lnTo>
                                  <a:pt x="431" y="1255"/>
                                </a:lnTo>
                                <a:lnTo>
                                  <a:pt x="471" y="1198"/>
                                </a:lnTo>
                                <a:lnTo>
                                  <a:pt x="512" y="1142"/>
                                </a:lnTo>
                                <a:lnTo>
                                  <a:pt x="555" y="1086"/>
                                </a:lnTo>
                                <a:lnTo>
                                  <a:pt x="600" y="1032"/>
                                </a:lnTo>
                                <a:lnTo>
                                  <a:pt x="646" y="979"/>
                                </a:lnTo>
                                <a:lnTo>
                                  <a:pt x="693" y="927"/>
                                </a:lnTo>
                                <a:lnTo>
                                  <a:pt x="742" y="876"/>
                                </a:lnTo>
                                <a:lnTo>
                                  <a:pt x="792" y="826"/>
                                </a:lnTo>
                                <a:lnTo>
                                  <a:pt x="843" y="777"/>
                                </a:lnTo>
                                <a:lnTo>
                                  <a:pt x="896" y="730"/>
                                </a:lnTo>
                                <a:lnTo>
                                  <a:pt x="950" y="684"/>
                                </a:lnTo>
                                <a:lnTo>
                                  <a:pt x="1005" y="639"/>
                                </a:lnTo>
                                <a:lnTo>
                                  <a:pt x="1062" y="595"/>
                                </a:lnTo>
                                <a:lnTo>
                                  <a:pt x="1120" y="553"/>
                                </a:lnTo>
                                <a:lnTo>
                                  <a:pt x="1179" y="512"/>
                                </a:lnTo>
                                <a:lnTo>
                                  <a:pt x="1239" y="473"/>
                                </a:lnTo>
                                <a:lnTo>
                                  <a:pt x="1300" y="434"/>
                                </a:lnTo>
                                <a:lnTo>
                                  <a:pt x="1362" y="398"/>
                                </a:lnTo>
                                <a:lnTo>
                                  <a:pt x="1426" y="362"/>
                                </a:lnTo>
                                <a:lnTo>
                                  <a:pt x="1490" y="329"/>
                                </a:lnTo>
                                <a:lnTo>
                                  <a:pt x="1556" y="296"/>
                                </a:lnTo>
                                <a:lnTo>
                                  <a:pt x="1622" y="266"/>
                                </a:lnTo>
                                <a:lnTo>
                                  <a:pt x="1690" y="236"/>
                                </a:lnTo>
                                <a:lnTo>
                                  <a:pt x="1758" y="209"/>
                                </a:lnTo>
                                <a:lnTo>
                                  <a:pt x="1827" y="183"/>
                                </a:lnTo>
                                <a:lnTo>
                                  <a:pt x="1898" y="158"/>
                                </a:lnTo>
                                <a:lnTo>
                                  <a:pt x="1969" y="136"/>
                                </a:lnTo>
                                <a:lnTo>
                                  <a:pt x="2041" y="114"/>
                                </a:lnTo>
                                <a:lnTo>
                                  <a:pt x="2113" y="95"/>
                                </a:lnTo>
                                <a:lnTo>
                                  <a:pt x="2187" y="77"/>
                                </a:lnTo>
                                <a:lnTo>
                                  <a:pt x="2261" y="61"/>
                                </a:lnTo>
                                <a:lnTo>
                                  <a:pt x="2336" y="47"/>
                                </a:lnTo>
                                <a:lnTo>
                                  <a:pt x="2412" y="35"/>
                                </a:lnTo>
                                <a:lnTo>
                                  <a:pt x="2488" y="25"/>
                                </a:lnTo>
                                <a:lnTo>
                                  <a:pt x="2565" y="16"/>
                                </a:lnTo>
                                <a:lnTo>
                                  <a:pt x="2642" y="9"/>
                                </a:lnTo>
                                <a:lnTo>
                                  <a:pt x="2721" y="4"/>
                                </a:lnTo>
                                <a:lnTo>
                                  <a:pt x="2799" y="1"/>
                                </a:lnTo>
                                <a:lnTo>
                                  <a:pt x="2879" y="0"/>
                                </a:lnTo>
                                <a:lnTo>
                                  <a:pt x="2958" y="1"/>
                                </a:lnTo>
                                <a:lnTo>
                                  <a:pt x="3037" y="4"/>
                                </a:lnTo>
                                <a:lnTo>
                                  <a:pt x="3115" y="9"/>
                                </a:lnTo>
                                <a:lnTo>
                                  <a:pt x="3192" y="16"/>
                                </a:lnTo>
                                <a:lnTo>
                                  <a:pt x="3269" y="25"/>
                                </a:lnTo>
                                <a:lnTo>
                                  <a:pt x="3346" y="35"/>
                                </a:lnTo>
                                <a:lnTo>
                                  <a:pt x="3421" y="47"/>
                                </a:lnTo>
                                <a:lnTo>
                                  <a:pt x="3496" y="61"/>
                                </a:lnTo>
                                <a:lnTo>
                                  <a:pt x="3570" y="77"/>
                                </a:lnTo>
                                <a:lnTo>
                                  <a:pt x="3644" y="95"/>
                                </a:lnTo>
                                <a:lnTo>
                                  <a:pt x="3717" y="114"/>
                                </a:lnTo>
                                <a:lnTo>
                                  <a:pt x="3788" y="136"/>
                                </a:lnTo>
                                <a:lnTo>
                                  <a:pt x="3860" y="158"/>
                                </a:lnTo>
                                <a:lnTo>
                                  <a:pt x="3930" y="183"/>
                                </a:lnTo>
                                <a:lnTo>
                                  <a:pt x="3999" y="209"/>
                                </a:lnTo>
                                <a:lnTo>
                                  <a:pt x="4067" y="236"/>
                                </a:lnTo>
                                <a:lnTo>
                                  <a:pt x="4135" y="266"/>
                                </a:lnTo>
                                <a:lnTo>
                                  <a:pt x="4201" y="296"/>
                                </a:lnTo>
                                <a:lnTo>
                                  <a:pt x="4267" y="329"/>
                                </a:lnTo>
                                <a:lnTo>
                                  <a:pt x="4331" y="362"/>
                                </a:lnTo>
                                <a:lnTo>
                                  <a:pt x="4395" y="398"/>
                                </a:lnTo>
                                <a:lnTo>
                                  <a:pt x="4457" y="434"/>
                                </a:lnTo>
                                <a:lnTo>
                                  <a:pt x="4519" y="473"/>
                                </a:lnTo>
                                <a:lnTo>
                                  <a:pt x="4579" y="512"/>
                                </a:lnTo>
                                <a:lnTo>
                                  <a:pt x="4638" y="553"/>
                                </a:lnTo>
                                <a:lnTo>
                                  <a:pt x="4695" y="595"/>
                                </a:lnTo>
                                <a:lnTo>
                                  <a:pt x="4752" y="639"/>
                                </a:lnTo>
                                <a:lnTo>
                                  <a:pt x="4807" y="684"/>
                                </a:lnTo>
                                <a:lnTo>
                                  <a:pt x="4861" y="730"/>
                                </a:lnTo>
                                <a:lnTo>
                                  <a:pt x="4914" y="777"/>
                                </a:lnTo>
                                <a:lnTo>
                                  <a:pt x="4965" y="826"/>
                                </a:lnTo>
                                <a:lnTo>
                                  <a:pt x="5016" y="876"/>
                                </a:lnTo>
                                <a:lnTo>
                                  <a:pt x="5064" y="927"/>
                                </a:lnTo>
                                <a:lnTo>
                                  <a:pt x="5112" y="979"/>
                                </a:lnTo>
                                <a:lnTo>
                                  <a:pt x="5157" y="1032"/>
                                </a:lnTo>
                                <a:lnTo>
                                  <a:pt x="5202" y="1086"/>
                                </a:lnTo>
                                <a:lnTo>
                                  <a:pt x="5245" y="1142"/>
                                </a:lnTo>
                                <a:lnTo>
                                  <a:pt x="5286" y="1198"/>
                                </a:lnTo>
                                <a:lnTo>
                                  <a:pt x="5326" y="1255"/>
                                </a:lnTo>
                                <a:lnTo>
                                  <a:pt x="5364" y="1314"/>
                                </a:lnTo>
                                <a:lnTo>
                                  <a:pt x="5401" y="1373"/>
                                </a:lnTo>
                                <a:lnTo>
                                  <a:pt x="5436" y="1434"/>
                                </a:lnTo>
                                <a:lnTo>
                                  <a:pt x="5469" y="1495"/>
                                </a:lnTo>
                                <a:lnTo>
                                  <a:pt x="5501" y="1557"/>
                                </a:lnTo>
                                <a:lnTo>
                                  <a:pt x="5531" y="1620"/>
                                </a:lnTo>
                                <a:lnTo>
                                  <a:pt x="5559" y="1684"/>
                                </a:lnTo>
                                <a:lnTo>
                                  <a:pt x="5586" y="1749"/>
                                </a:lnTo>
                                <a:lnTo>
                                  <a:pt x="5610" y="1814"/>
                                </a:lnTo>
                                <a:lnTo>
                                  <a:pt x="5633" y="1881"/>
                                </a:lnTo>
                                <a:lnTo>
                                  <a:pt x="5654" y="1948"/>
                                </a:lnTo>
                                <a:lnTo>
                                  <a:pt x="5673" y="2015"/>
                                </a:lnTo>
                                <a:lnTo>
                                  <a:pt x="5691" y="2084"/>
                                </a:lnTo>
                                <a:lnTo>
                                  <a:pt x="5706" y="2153"/>
                                </a:lnTo>
                                <a:lnTo>
                                  <a:pt x="5719" y="2222"/>
                                </a:lnTo>
                                <a:lnTo>
                                  <a:pt x="5731" y="2293"/>
                                </a:lnTo>
                                <a:lnTo>
                                  <a:pt x="5740" y="2364"/>
                                </a:lnTo>
                                <a:lnTo>
                                  <a:pt x="5748" y="2435"/>
                                </a:lnTo>
                                <a:lnTo>
                                  <a:pt x="5753" y="2507"/>
                                </a:lnTo>
                                <a:lnTo>
                                  <a:pt x="5756" y="2580"/>
                                </a:lnTo>
                                <a:lnTo>
                                  <a:pt x="5757" y="2653"/>
                                </a:lnTo>
                                <a:lnTo>
                                  <a:pt x="5756" y="2726"/>
                                </a:lnTo>
                                <a:lnTo>
                                  <a:pt x="5753" y="2798"/>
                                </a:lnTo>
                                <a:lnTo>
                                  <a:pt x="5748" y="2870"/>
                                </a:lnTo>
                                <a:lnTo>
                                  <a:pt x="5740" y="2942"/>
                                </a:lnTo>
                                <a:lnTo>
                                  <a:pt x="5731" y="3013"/>
                                </a:lnTo>
                                <a:lnTo>
                                  <a:pt x="5719" y="3083"/>
                                </a:lnTo>
                                <a:lnTo>
                                  <a:pt x="5706" y="3153"/>
                                </a:lnTo>
                                <a:lnTo>
                                  <a:pt x="5691" y="3222"/>
                                </a:lnTo>
                                <a:lnTo>
                                  <a:pt x="5673" y="3290"/>
                                </a:lnTo>
                                <a:lnTo>
                                  <a:pt x="5654" y="3358"/>
                                </a:lnTo>
                                <a:lnTo>
                                  <a:pt x="5633" y="3425"/>
                                </a:lnTo>
                                <a:lnTo>
                                  <a:pt x="5610" y="3491"/>
                                </a:lnTo>
                                <a:lnTo>
                                  <a:pt x="5586" y="3556"/>
                                </a:lnTo>
                                <a:lnTo>
                                  <a:pt x="5559" y="3621"/>
                                </a:lnTo>
                                <a:lnTo>
                                  <a:pt x="5531" y="3685"/>
                                </a:lnTo>
                                <a:lnTo>
                                  <a:pt x="5501" y="3748"/>
                                </a:lnTo>
                                <a:lnTo>
                                  <a:pt x="5469" y="3810"/>
                                </a:lnTo>
                                <a:lnTo>
                                  <a:pt x="5436" y="3872"/>
                                </a:lnTo>
                                <a:lnTo>
                                  <a:pt x="5401" y="3932"/>
                                </a:lnTo>
                                <a:lnTo>
                                  <a:pt x="5364" y="3991"/>
                                </a:lnTo>
                                <a:lnTo>
                                  <a:pt x="5326" y="4050"/>
                                </a:lnTo>
                                <a:lnTo>
                                  <a:pt x="5286" y="4107"/>
                                </a:lnTo>
                                <a:lnTo>
                                  <a:pt x="5245" y="4164"/>
                                </a:lnTo>
                                <a:lnTo>
                                  <a:pt x="5202" y="4219"/>
                                </a:lnTo>
                                <a:lnTo>
                                  <a:pt x="5157" y="4273"/>
                                </a:lnTo>
                                <a:lnTo>
                                  <a:pt x="5112" y="4327"/>
                                </a:lnTo>
                                <a:lnTo>
                                  <a:pt x="5064" y="4379"/>
                                </a:lnTo>
                                <a:lnTo>
                                  <a:pt x="5016" y="4430"/>
                                </a:lnTo>
                                <a:lnTo>
                                  <a:pt x="4965" y="4480"/>
                                </a:lnTo>
                                <a:lnTo>
                                  <a:pt x="4914" y="4528"/>
                                </a:lnTo>
                                <a:lnTo>
                                  <a:pt x="4861" y="4575"/>
                                </a:lnTo>
                                <a:lnTo>
                                  <a:pt x="4807" y="4622"/>
                                </a:lnTo>
                                <a:lnTo>
                                  <a:pt x="4752" y="4667"/>
                                </a:lnTo>
                                <a:lnTo>
                                  <a:pt x="4695" y="4710"/>
                                </a:lnTo>
                                <a:lnTo>
                                  <a:pt x="4638" y="4752"/>
                                </a:lnTo>
                                <a:lnTo>
                                  <a:pt x="4579" y="4793"/>
                                </a:lnTo>
                                <a:lnTo>
                                  <a:pt x="4519" y="4833"/>
                                </a:lnTo>
                                <a:lnTo>
                                  <a:pt x="4457" y="4871"/>
                                </a:lnTo>
                                <a:lnTo>
                                  <a:pt x="4395" y="4908"/>
                                </a:lnTo>
                                <a:lnTo>
                                  <a:pt x="4331" y="4943"/>
                                </a:lnTo>
                                <a:lnTo>
                                  <a:pt x="4267" y="4977"/>
                                </a:lnTo>
                                <a:lnTo>
                                  <a:pt x="4201" y="5009"/>
                                </a:lnTo>
                                <a:lnTo>
                                  <a:pt x="4135" y="5040"/>
                                </a:lnTo>
                                <a:lnTo>
                                  <a:pt x="4067" y="5069"/>
                                </a:lnTo>
                                <a:lnTo>
                                  <a:pt x="3999" y="5097"/>
                                </a:lnTo>
                                <a:lnTo>
                                  <a:pt x="3930" y="5123"/>
                                </a:lnTo>
                                <a:lnTo>
                                  <a:pt x="3860" y="5147"/>
                                </a:lnTo>
                                <a:lnTo>
                                  <a:pt x="3788" y="5170"/>
                                </a:lnTo>
                                <a:lnTo>
                                  <a:pt x="3717" y="5191"/>
                                </a:lnTo>
                                <a:lnTo>
                                  <a:pt x="3644" y="5210"/>
                                </a:lnTo>
                                <a:lnTo>
                                  <a:pt x="3570" y="5228"/>
                                </a:lnTo>
                                <a:lnTo>
                                  <a:pt x="3496" y="5244"/>
                                </a:lnTo>
                                <a:lnTo>
                                  <a:pt x="3421" y="5258"/>
                                </a:lnTo>
                                <a:lnTo>
                                  <a:pt x="3346" y="5270"/>
                                </a:lnTo>
                                <a:lnTo>
                                  <a:pt x="3269" y="5281"/>
                                </a:lnTo>
                                <a:lnTo>
                                  <a:pt x="3192" y="5289"/>
                                </a:lnTo>
                                <a:lnTo>
                                  <a:pt x="3115" y="5296"/>
                                </a:lnTo>
                                <a:lnTo>
                                  <a:pt x="3037" y="5301"/>
                                </a:lnTo>
                                <a:lnTo>
                                  <a:pt x="2958" y="5304"/>
                                </a:lnTo>
                                <a:lnTo>
                                  <a:pt x="2879" y="5305"/>
                                </a:lnTo>
                                <a:lnTo>
                                  <a:pt x="2799" y="5304"/>
                                </a:lnTo>
                                <a:lnTo>
                                  <a:pt x="2721" y="5301"/>
                                </a:lnTo>
                                <a:lnTo>
                                  <a:pt x="2642" y="5296"/>
                                </a:lnTo>
                                <a:lnTo>
                                  <a:pt x="2565" y="5289"/>
                                </a:lnTo>
                                <a:lnTo>
                                  <a:pt x="2488" y="5281"/>
                                </a:lnTo>
                                <a:lnTo>
                                  <a:pt x="2412" y="5270"/>
                                </a:lnTo>
                                <a:lnTo>
                                  <a:pt x="2336" y="5258"/>
                                </a:lnTo>
                                <a:lnTo>
                                  <a:pt x="2261" y="5244"/>
                                </a:lnTo>
                                <a:lnTo>
                                  <a:pt x="2187" y="5228"/>
                                </a:lnTo>
                                <a:lnTo>
                                  <a:pt x="2113" y="5210"/>
                                </a:lnTo>
                                <a:lnTo>
                                  <a:pt x="2041" y="5191"/>
                                </a:lnTo>
                                <a:lnTo>
                                  <a:pt x="1969" y="5170"/>
                                </a:lnTo>
                                <a:lnTo>
                                  <a:pt x="1898" y="5147"/>
                                </a:lnTo>
                                <a:lnTo>
                                  <a:pt x="1827" y="5123"/>
                                </a:lnTo>
                                <a:lnTo>
                                  <a:pt x="1758" y="5097"/>
                                </a:lnTo>
                                <a:lnTo>
                                  <a:pt x="1690" y="5069"/>
                                </a:lnTo>
                                <a:lnTo>
                                  <a:pt x="1622" y="5040"/>
                                </a:lnTo>
                                <a:lnTo>
                                  <a:pt x="1556" y="5009"/>
                                </a:lnTo>
                                <a:lnTo>
                                  <a:pt x="1490" y="4977"/>
                                </a:lnTo>
                                <a:lnTo>
                                  <a:pt x="1426" y="4943"/>
                                </a:lnTo>
                                <a:lnTo>
                                  <a:pt x="1362" y="4908"/>
                                </a:lnTo>
                                <a:lnTo>
                                  <a:pt x="1300" y="4871"/>
                                </a:lnTo>
                                <a:lnTo>
                                  <a:pt x="1239" y="4833"/>
                                </a:lnTo>
                                <a:lnTo>
                                  <a:pt x="1179" y="4793"/>
                                </a:lnTo>
                                <a:lnTo>
                                  <a:pt x="1120" y="4752"/>
                                </a:lnTo>
                                <a:lnTo>
                                  <a:pt x="1062" y="4710"/>
                                </a:lnTo>
                                <a:lnTo>
                                  <a:pt x="1005" y="4667"/>
                                </a:lnTo>
                                <a:lnTo>
                                  <a:pt x="950" y="4622"/>
                                </a:lnTo>
                                <a:lnTo>
                                  <a:pt x="896" y="4575"/>
                                </a:lnTo>
                                <a:lnTo>
                                  <a:pt x="843" y="4528"/>
                                </a:lnTo>
                                <a:lnTo>
                                  <a:pt x="792" y="4480"/>
                                </a:lnTo>
                                <a:lnTo>
                                  <a:pt x="742" y="4430"/>
                                </a:lnTo>
                                <a:lnTo>
                                  <a:pt x="693" y="4379"/>
                                </a:lnTo>
                                <a:lnTo>
                                  <a:pt x="646" y="4327"/>
                                </a:lnTo>
                                <a:lnTo>
                                  <a:pt x="600" y="4273"/>
                                </a:lnTo>
                                <a:lnTo>
                                  <a:pt x="555" y="4219"/>
                                </a:lnTo>
                                <a:lnTo>
                                  <a:pt x="512" y="4164"/>
                                </a:lnTo>
                                <a:lnTo>
                                  <a:pt x="471" y="4107"/>
                                </a:lnTo>
                                <a:lnTo>
                                  <a:pt x="431" y="4050"/>
                                </a:lnTo>
                                <a:lnTo>
                                  <a:pt x="393" y="3991"/>
                                </a:lnTo>
                                <a:lnTo>
                                  <a:pt x="356" y="3932"/>
                                </a:lnTo>
                                <a:lnTo>
                                  <a:pt x="321" y="3872"/>
                                </a:lnTo>
                                <a:lnTo>
                                  <a:pt x="288" y="3810"/>
                                </a:lnTo>
                                <a:lnTo>
                                  <a:pt x="256" y="3748"/>
                                </a:lnTo>
                                <a:lnTo>
                                  <a:pt x="226" y="3685"/>
                                </a:lnTo>
                                <a:lnTo>
                                  <a:pt x="198" y="3621"/>
                                </a:lnTo>
                                <a:lnTo>
                                  <a:pt x="171" y="3556"/>
                                </a:lnTo>
                                <a:lnTo>
                                  <a:pt x="147" y="3491"/>
                                </a:lnTo>
                                <a:lnTo>
                                  <a:pt x="124" y="3425"/>
                                </a:lnTo>
                                <a:lnTo>
                                  <a:pt x="103" y="3358"/>
                                </a:lnTo>
                                <a:lnTo>
                                  <a:pt x="84" y="3290"/>
                                </a:lnTo>
                                <a:lnTo>
                                  <a:pt x="66" y="3222"/>
                                </a:lnTo>
                                <a:lnTo>
                                  <a:pt x="51" y="3153"/>
                                </a:lnTo>
                                <a:lnTo>
                                  <a:pt x="38" y="3083"/>
                                </a:lnTo>
                                <a:lnTo>
                                  <a:pt x="26" y="3013"/>
                                </a:lnTo>
                                <a:lnTo>
                                  <a:pt x="17" y="2942"/>
                                </a:lnTo>
                                <a:lnTo>
                                  <a:pt x="10" y="2870"/>
                                </a:lnTo>
                                <a:lnTo>
                                  <a:pt x="4" y="2798"/>
                                </a:lnTo>
                                <a:lnTo>
                                  <a:pt x="1" y="2726"/>
                                </a:lnTo>
                                <a:lnTo>
                                  <a:pt x="0" y="2653"/>
                                </a:lnTo>
                                <a:close/>
                                <a:moveTo>
                                  <a:pt x="2196" y="2664"/>
                                </a:moveTo>
                                <a:lnTo>
                                  <a:pt x="2200" y="2592"/>
                                </a:lnTo>
                                <a:lnTo>
                                  <a:pt x="2211" y="2523"/>
                                </a:lnTo>
                                <a:lnTo>
                                  <a:pt x="2231" y="2457"/>
                                </a:lnTo>
                                <a:lnTo>
                                  <a:pt x="2256" y="2393"/>
                                </a:lnTo>
                                <a:lnTo>
                                  <a:pt x="2289" y="2333"/>
                                </a:lnTo>
                                <a:lnTo>
                                  <a:pt x="2328" y="2277"/>
                                </a:lnTo>
                                <a:lnTo>
                                  <a:pt x="2372" y="2224"/>
                                </a:lnTo>
                                <a:lnTo>
                                  <a:pt x="2421" y="2177"/>
                                </a:lnTo>
                                <a:lnTo>
                                  <a:pt x="2476" y="2135"/>
                                </a:lnTo>
                                <a:lnTo>
                                  <a:pt x="2534" y="2098"/>
                                </a:lnTo>
                                <a:lnTo>
                                  <a:pt x="2597" y="2066"/>
                                </a:lnTo>
                                <a:lnTo>
                                  <a:pt x="2663" y="2041"/>
                                </a:lnTo>
                                <a:lnTo>
                                  <a:pt x="2733" y="2023"/>
                                </a:lnTo>
                                <a:lnTo>
                                  <a:pt x="2805" y="2012"/>
                                </a:lnTo>
                                <a:lnTo>
                                  <a:pt x="2879" y="2008"/>
                                </a:lnTo>
                                <a:lnTo>
                                  <a:pt x="2954" y="2012"/>
                                </a:lnTo>
                                <a:lnTo>
                                  <a:pt x="3026" y="2023"/>
                                </a:lnTo>
                                <a:lnTo>
                                  <a:pt x="3095" y="2041"/>
                                </a:lnTo>
                                <a:lnTo>
                                  <a:pt x="3161" y="2066"/>
                                </a:lnTo>
                                <a:lnTo>
                                  <a:pt x="3224" y="2098"/>
                                </a:lnTo>
                                <a:lnTo>
                                  <a:pt x="3283" y="2135"/>
                                </a:lnTo>
                                <a:lnTo>
                                  <a:pt x="3337" y="2177"/>
                                </a:lnTo>
                                <a:lnTo>
                                  <a:pt x="3387" y="2224"/>
                                </a:lnTo>
                                <a:lnTo>
                                  <a:pt x="3431" y="2277"/>
                                </a:lnTo>
                                <a:lnTo>
                                  <a:pt x="3469" y="2333"/>
                                </a:lnTo>
                                <a:lnTo>
                                  <a:pt x="3502" y="2393"/>
                                </a:lnTo>
                                <a:lnTo>
                                  <a:pt x="3528" y="2457"/>
                                </a:lnTo>
                                <a:lnTo>
                                  <a:pt x="3547" y="2523"/>
                                </a:lnTo>
                                <a:lnTo>
                                  <a:pt x="3559" y="2592"/>
                                </a:lnTo>
                                <a:lnTo>
                                  <a:pt x="3563" y="2664"/>
                                </a:lnTo>
                                <a:lnTo>
                                  <a:pt x="3559" y="2735"/>
                                </a:lnTo>
                                <a:lnTo>
                                  <a:pt x="3547" y="2804"/>
                                </a:lnTo>
                                <a:lnTo>
                                  <a:pt x="3528" y="2871"/>
                                </a:lnTo>
                                <a:lnTo>
                                  <a:pt x="3502" y="2935"/>
                                </a:lnTo>
                                <a:lnTo>
                                  <a:pt x="3469" y="2995"/>
                                </a:lnTo>
                                <a:lnTo>
                                  <a:pt x="3431" y="3051"/>
                                </a:lnTo>
                                <a:lnTo>
                                  <a:pt x="3387" y="3103"/>
                                </a:lnTo>
                                <a:lnTo>
                                  <a:pt x="3337" y="3151"/>
                                </a:lnTo>
                                <a:lnTo>
                                  <a:pt x="3283" y="3193"/>
                                </a:lnTo>
                                <a:lnTo>
                                  <a:pt x="3224" y="3230"/>
                                </a:lnTo>
                                <a:lnTo>
                                  <a:pt x="3161" y="3261"/>
                                </a:lnTo>
                                <a:lnTo>
                                  <a:pt x="3095" y="3286"/>
                                </a:lnTo>
                                <a:lnTo>
                                  <a:pt x="3026" y="3304"/>
                                </a:lnTo>
                                <a:lnTo>
                                  <a:pt x="2954" y="3316"/>
                                </a:lnTo>
                                <a:lnTo>
                                  <a:pt x="2879" y="3320"/>
                                </a:lnTo>
                                <a:lnTo>
                                  <a:pt x="2805" y="3316"/>
                                </a:lnTo>
                                <a:lnTo>
                                  <a:pt x="2733" y="3304"/>
                                </a:lnTo>
                                <a:lnTo>
                                  <a:pt x="2663" y="3286"/>
                                </a:lnTo>
                                <a:lnTo>
                                  <a:pt x="2597" y="3261"/>
                                </a:lnTo>
                                <a:lnTo>
                                  <a:pt x="2534" y="3230"/>
                                </a:lnTo>
                                <a:lnTo>
                                  <a:pt x="2476" y="3193"/>
                                </a:lnTo>
                                <a:lnTo>
                                  <a:pt x="2421" y="3151"/>
                                </a:lnTo>
                                <a:lnTo>
                                  <a:pt x="2372" y="3103"/>
                                </a:lnTo>
                                <a:lnTo>
                                  <a:pt x="2328" y="3051"/>
                                </a:lnTo>
                                <a:lnTo>
                                  <a:pt x="2289" y="2995"/>
                                </a:lnTo>
                                <a:lnTo>
                                  <a:pt x="2256" y="2935"/>
                                </a:lnTo>
                                <a:lnTo>
                                  <a:pt x="2231" y="2871"/>
                                </a:lnTo>
                                <a:lnTo>
                                  <a:pt x="2211" y="2804"/>
                                </a:lnTo>
                                <a:lnTo>
                                  <a:pt x="2200" y="2735"/>
                                </a:lnTo>
                                <a:lnTo>
                                  <a:pt x="2196" y="2664"/>
                                </a:lnTo>
                                <a:close/>
                                <a:moveTo>
                                  <a:pt x="2196" y="1067"/>
                                </a:moveTo>
                                <a:lnTo>
                                  <a:pt x="2200" y="995"/>
                                </a:lnTo>
                                <a:lnTo>
                                  <a:pt x="2211" y="926"/>
                                </a:lnTo>
                                <a:lnTo>
                                  <a:pt x="2231" y="859"/>
                                </a:lnTo>
                                <a:lnTo>
                                  <a:pt x="2256" y="796"/>
                                </a:lnTo>
                                <a:lnTo>
                                  <a:pt x="2289" y="736"/>
                                </a:lnTo>
                                <a:lnTo>
                                  <a:pt x="2328" y="679"/>
                                </a:lnTo>
                                <a:lnTo>
                                  <a:pt x="2372" y="627"/>
                                </a:lnTo>
                                <a:lnTo>
                                  <a:pt x="2421" y="580"/>
                                </a:lnTo>
                                <a:lnTo>
                                  <a:pt x="2476" y="537"/>
                                </a:lnTo>
                                <a:lnTo>
                                  <a:pt x="2534" y="500"/>
                                </a:lnTo>
                                <a:lnTo>
                                  <a:pt x="2597" y="469"/>
                                </a:lnTo>
                                <a:lnTo>
                                  <a:pt x="2663" y="444"/>
                                </a:lnTo>
                                <a:lnTo>
                                  <a:pt x="2733" y="426"/>
                                </a:lnTo>
                                <a:lnTo>
                                  <a:pt x="2805" y="415"/>
                                </a:lnTo>
                                <a:lnTo>
                                  <a:pt x="2879" y="411"/>
                                </a:lnTo>
                                <a:lnTo>
                                  <a:pt x="2954" y="415"/>
                                </a:lnTo>
                                <a:lnTo>
                                  <a:pt x="3026" y="426"/>
                                </a:lnTo>
                                <a:lnTo>
                                  <a:pt x="3095" y="444"/>
                                </a:lnTo>
                                <a:lnTo>
                                  <a:pt x="3161" y="469"/>
                                </a:lnTo>
                                <a:lnTo>
                                  <a:pt x="3224" y="500"/>
                                </a:lnTo>
                                <a:lnTo>
                                  <a:pt x="3283" y="537"/>
                                </a:lnTo>
                                <a:lnTo>
                                  <a:pt x="3337" y="580"/>
                                </a:lnTo>
                                <a:lnTo>
                                  <a:pt x="3387" y="627"/>
                                </a:lnTo>
                                <a:lnTo>
                                  <a:pt x="3431" y="679"/>
                                </a:lnTo>
                                <a:lnTo>
                                  <a:pt x="3469" y="736"/>
                                </a:lnTo>
                                <a:lnTo>
                                  <a:pt x="3502" y="796"/>
                                </a:lnTo>
                                <a:lnTo>
                                  <a:pt x="3528" y="859"/>
                                </a:lnTo>
                                <a:lnTo>
                                  <a:pt x="3547" y="926"/>
                                </a:lnTo>
                                <a:lnTo>
                                  <a:pt x="3559" y="995"/>
                                </a:lnTo>
                                <a:lnTo>
                                  <a:pt x="3563" y="1067"/>
                                </a:lnTo>
                                <a:lnTo>
                                  <a:pt x="3559" y="1138"/>
                                </a:lnTo>
                                <a:lnTo>
                                  <a:pt x="3547" y="1208"/>
                                </a:lnTo>
                                <a:lnTo>
                                  <a:pt x="3528" y="1274"/>
                                </a:lnTo>
                                <a:lnTo>
                                  <a:pt x="3502" y="1338"/>
                                </a:lnTo>
                                <a:lnTo>
                                  <a:pt x="3469" y="1398"/>
                                </a:lnTo>
                                <a:lnTo>
                                  <a:pt x="3431" y="1454"/>
                                </a:lnTo>
                                <a:lnTo>
                                  <a:pt x="3387" y="1506"/>
                                </a:lnTo>
                                <a:lnTo>
                                  <a:pt x="3337" y="1554"/>
                                </a:lnTo>
                                <a:lnTo>
                                  <a:pt x="3283" y="1596"/>
                                </a:lnTo>
                                <a:lnTo>
                                  <a:pt x="3224" y="1633"/>
                                </a:lnTo>
                                <a:lnTo>
                                  <a:pt x="3161" y="1664"/>
                                </a:lnTo>
                                <a:lnTo>
                                  <a:pt x="3095" y="1689"/>
                                </a:lnTo>
                                <a:lnTo>
                                  <a:pt x="3026" y="1708"/>
                                </a:lnTo>
                                <a:lnTo>
                                  <a:pt x="2954" y="1719"/>
                                </a:lnTo>
                                <a:lnTo>
                                  <a:pt x="2879" y="1723"/>
                                </a:lnTo>
                                <a:lnTo>
                                  <a:pt x="2805" y="1719"/>
                                </a:lnTo>
                                <a:lnTo>
                                  <a:pt x="2733" y="1708"/>
                                </a:lnTo>
                                <a:lnTo>
                                  <a:pt x="2663" y="1689"/>
                                </a:lnTo>
                                <a:lnTo>
                                  <a:pt x="2597" y="1664"/>
                                </a:lnTo>
                                <a:lnTo>
                                  <a:pt x="2534" y="1633"/>
                                </a:lnTo>
                                <a:lnTo>
                                  <a:pt x="2476" y="1596"/>
                                </a:lnTo>
                                <a:lnTo>
                                  <a:pt x="2421" y="1554"/>
                                </a:lnTo>
                                <a:lnTo>
                                  <a:pt x="2372" y="1506"/>
                                </a:lnTo>
                                <a:lnTo>
                                  <a:pt x="2328" y="1454"/>
                                </a:lnTo>
                                <a:lnTo>
                                  <a:pt x="2289" y="1398"/>
                                </a:lnTo>
                                <a:lnTo>
                                  <a:pt x="2256" y="1338"/>
                                </a:lnTo>
                                <a:lnTo>
                                  <a:pt x="2231" y="1274"/>
                                </a:lnTo>
                                <a:lnTo>
                                  <a:pt x="2211" y="1208"/>
                                </a:lnTo>
                                <a:lnTo>
                                  <a:pt x="2200" y="1138"/>
                                </a:lnTo>
                                <a:lnTo>
                                  <a:pt x="2196" y="1067"/>
                                </a:lnTo>
                                <a:close/>
                                <a:moveTo>
                                  <a:pt x="3621" y="3519"/>
                                </a:moveTo>
                                <a:lnTo>
                                  <a:pt x="3625" y="3447"/>
                                </a:lnTo>
                                <a:lnTo>
                                  <a:pt x="3636" y="3378"/>
                                </a:lnTo>
                                <a:lnTo>
                                  <a:pt x="3655" y="3311"/>
                                </a:lnTo>
                                <a:lnTo>
                                  <a:pt x="3681" y="3248"/>
                                </a:lnTo>
                                <a:lnTo>
                                  <a:pt x="3714" y="3188"/>
                                </a:lnTo>
                                <a:lnTo>
                                  <a:pt x="3753" y="3131"/>
                                </a:lnTo>
                                <a:lnTo>
                                  <a:pt x="3797" y="3079"/>
                                </a:lnTo>
                                <a:lnTo>
                                  <a:pt x="3846" y="3032"/>
                                </a:lnTo>
                                <a:lnTo>
                                  <a:pt x="3901" y="2990"/>
                                </a:lnTo>
                                <a:lnTo>
                                  <a:pt x="3959" y="2953"/>
                                </a:lnTo>
                                <a:lnTo>
                                  <a:pt x="4022" y="2921"/>
                                </a:lnTo>
                                <a:lnTo>
                                  <a:pt x="4088" y="2896"/>
                                </a:lnTo>
                                <a:lnTo>
                                  <a:pt x="4158" y="2878"/>
                                </a:lnTo>
                                <a:lnTo>
                                  <a:pt x="4230" y="2867"/>
                                </a:lnTo>
                                <a:lnTo>
                                  <a:pt x="4304" y="2863"/>
                                </a:lnTo>
                                <a:lnTo>
                                  <a:pt x="4379" y="2867"/>
                                </a:lnTo>
                                <a:lnTo>
                                  <a:pt x="4451" y="2878"/>
                                </a:lnTo>
                                <a:lnTo>
                                  <a:pt x="4521" y="2896"/>
                                </a:lnTo>
                                <a:lnTo>
                                  <a:pt x="4587" y="2921"/>
                                </a:lnTo>
                                <a:lnTo>
                                  <a:pt x="4650" y="2953"/>
                                </a:lnTo>
                                <a:lnTo>
                                  <a:pt x="4708" y="2990"/>
                                </a:lnTo>
                                <a:lnTo>
                                  <a:pt x="4763" y="3032"/>
                                </a:lnTo>
                                <a:lnTo>
                                  <a:pt x="4812" y="3079"/>
                                </a:lnTo>
                                <a:lnTo>
                                  <a:pt x="4856" y="3131"/>
                                </a:lnTo>
                                <a:lnTo>
                                  <a:pt x="4895" y="3188"/>
                                </a:lnTo>
                                <a:lnTo>
                                  <a:pt x="4927" y="3248"/>
                                </a:lnTo>
                                <a:lnTo>
                                  <a:pt x="4953" y="3311"/>
                                </a:lnTo>
                                <a:lnTo>
                                  <a:pt x="4972" y="3378"/>
                                </a:lnTo>
                                <a:lnTo>
                                  <a:pt x="4984" y="3447"/>
                                </a:lnTo>
                                <a:lnTo>
                                  <a:pt x="4988" y="3519"/>
                                </a:lnTo>
                                <a:lnTo>
                                  <a:pt x="4984" y="3590"/>
                                </a:lnTo>
                                <a:lnTo>
                                  <a:pt x="4972" y="3659"/>
                                </a:lnTo>
                                <a:lnTo>
                                  <a:pt x="4953" y="3726"/>
                                </a:lnTo>
                                <a:lnTo>
                                  <a:pt x="4927" y="3790"/>
                                </a:lnTo>
                                <a:lnTo>
                                  <a:pt x="4895" y="3850"/>
                                </a:lnTo>
                                <a:lnTo>
                                  <a:pt x="4856" y="3906"/>
                                </a:lnTo>
                                <a:lnTo>
                                  <a:pt x="4812" y="3958"/>
                                </a:lnTo>
                                <a:lnTo>
                                  <a:pt x="4763" y="4006"/>
                                </a:lnTo>
                                <a:lnTo>
                                  <a:pt x="4708" y="4048"/>
                                </a:lnTo>
                                <a:lnTo>
                                  <a:pt x="4650" y="4085"/>
                                </a:lnTo>
                                <a:lnTo>
                                  <a:pt x="4587" y="4116"/>
                                </a:lnTo>
                                <a:lnTo>
                                  <a:pt x="4521" y="4141"/>
                                </a:lnTo>
                                <a:lnTo>
                                  <a:pt x="4451" y="4159"/>
                                </a:lnTo>
                                <a:lnTo>
                                  <a:pt x="4379" y="4171"/>
                                </a:lnTo>
                                <a:lnTo>
                                  <a:pt x="4304" y="4175"/>
                                </a:lnTo>
                                <a:lnTo>
                                  <a:pt x="4230" y="4171"/>
                                </a:lnTo>
                                <a:lnTo>
                                  <a:pt x="4158" y="4159"/>
                                </a:lnTo>
                                <a:lnTo>
                                  <a:pt x="4088" y="4141"/>
                                </a:lnTo>
                                <a:lnTo>
                                  <a:pt x="4022" y="4116"/>
                                </a:lnTo>
                                <a:lnTo>
                                  <a:pt x="3959" y="4085"/>
                                </a:lnTo>
                                <a:lnTo>
                                  <a:pt x="3901" y="4048"/>
                                </a:lnTo>
                                <a:lnTo>
                                  <a:pt x="3846" y="4006"/>
                                </a:lnTo>
                                <a:lnTo>
                                  <a:pt x="3797" y="3958"/>
                                </a:lnTo>
                                <a:lnTo>
                                  <a:pt x="3753" y="3906"/>
                                </a:lnTo>
                                <a:lnTo>
                                  <a:pt x="3714" y="3850"/>
                                </a:lnTo>
                                <a:lnTo>
                                  <a:pt x="3681" y="3790"/>
                                </a:lnTo>
                                <a:lnTo>
                                  <a:pt x="3655" y="3726"/>
                                </a:lnTo>
                                <a:lnTo>
                                  <a:pt x="3636" y="3659"/>
                                </a:lnTo>
                                <a:lnTo>
                                  <a:pt x="3625" y="3590"/>
                                </a:lnTo>
                                <a:lnTo>
                                  <a:pt x="3621" y="3519"/>
                                </a:lnTo>
                                <a:close/>
                                <a:moveTo>
                                  <a:pt x="769" y="3463"/>
                                </a:moveTo>
                                <a:lnTo>
                                  <a:pt x="773" y="3392"/>
                                </a:lnTo>
                                <a:lnTo>
                                  <a:pt x="785" y="3323"/>
                                </a:lnTo>
                                <a:lnTo>
                                  <a:pt x="804" y="3256"/>
                                </a:lnTo>
                                <a:lnTo>
                                  <a:pt x="830" y="3192"/>
                                </a:lnTo>
                                <a:lnTo>
                                  <a:pt x="862" y="3132"/>
                                </a:lnTo>
                                <a:lnTo>
                                  <a:pt x="901" y="3076"/>
                                </a:lnTo>
                                <a:lnTo>
                                  <a:pt x="945" y="3024"/>
                                </a:lnTo>
                                <a:lnTo>
                                  <a:pt x="994" y="2976"/>
                                </a:lnTo>
                                <a:lnTo>
                                  <a:pt x="1049" y="2934"/>
                                </a:lnTo>
                                <a:lnTo>
                                  <a:pt x="1107" y="2897"/>
                                </a:lnTo>
                                <a:lnTo>
                                  <a:pt x="1170" y="2866"/>
                                </a:lnTo>
                                <a:lnTo>
                                  <a:pt x="1236" y="2841"/>
                                </a:lnTo>
                                <a:lnTo>
                                  <a:pt x="1306" y="2822"/>
                                </a:lnTo>
                                <a:lnTo>
                                  <a:pt x="1378" y="2811"/>
                                </a:lnTo>
                                <a:lnTo>
                                  <a:pt x="1452" y="2807"/>
                                </a:lnTo>
                                <a:lnTo>
                                  <a:pt x="1527" y="2811"/>
                                </a:lnTo>
                                <a:lnTo>
                                  <a:pt x="1599" y="2822"/>
                                </a:lnTo>
                                <a:lnTo>
                                  <a:pt x="1668" y="2841"/>
                                </a:lnTo>
                                <a:lnTo>
                                  <a:pt x="1735" y="2866"/>
                                </a:lnTo>
                                <a:lnTo>
                                  <a:pt x="1797" y="2897"/>
                                </a:lnTo>
                                <a:lnTo>
                                  <a:pt x="1856" y="2934"/>
                                </a:lnTo>
                                <a:lnTo>
                                  <a:pt x="1910" y="2976"/>
                                </a:lnTo>
                                <a:lnTo>
                                  <a:pt x="1960" y="3024"/>
                                </a:lnTo>
                                <a:lnTo>
                                  <a:pt x="2004" y="3076"/>
                                </a:lnTo>
                                <a:lnTo>
                                  <a:pt x="2043" y="3132"/>
                                </a:lnTo>
                                <a:lnTo>
                                  <a:pt x="2075" y="3192"/>
                                </a:lnTo>
                                <a:lnTo>
                                  <a:pt x="2101" y="3256"/>
                                </a:lnTo>
                                <a:lnTo>
                                  <a:pt x="2120" y="3323"/>
                                </a:lnTo>
                                <a:lnTo>
                                  <a:pt x="2132" y="3392"/>
                                </a:lnTo>
                                <a:lnTo>
                                  <a:pt x="2136" y="3463"/>
                                </a:lnTo>
                                <a:lnTo>
                                  <a:pt x="2132" y="3535"/>
                                </a:lnTo>
                                <a:lnTo>
                                  <a:pt x="2120" y="3604"/>
                                </a:lnTo>
                                <a:lnTo>
                                  <a:pt x="2101" y="3671"/>
                                </a:lnTo>
                                <a:lnTo>
                                  <a:pt x="2075" y="3734"/>
                                </a:lnTo>
                                <a:lnTo>
                                  <a:pt x="2043" y="3794"/>
                                </a:lnTo>
                                <a:lnTo>
                                  <a:pt x="2004" y="3851"/>
                                </a:lnTo>
                                <a:lnTo>
                                  <a:pt x="1960" y="3903"/>
                                </a:lnTo>
                                <a:lnTo>
                                  <a:pt x="1910" y="3950"/>
                                </a:lnTo>
                                <a:lnTo>
                                  <a:pt x="1856" y="3993"/>
                                </a:lnTo>
                                <a:lnTo>
                                  <a:pt x="1797" y="4030"/>
                                </a:lnTo>
                                <a:lnTo>
                                  <a:pt x="1735" y="4061"/>
                                </a:lnTo>
                                <a:lnTo>
                                  <a:pt x="1668" y="4086"/>
                                </a:lnTo>
                                <a:lnTo>
                                  <a:pt x="1599" y="4104"/>
                                </a:lnTo>
                                <a:lnTo>
                                  <a:pt x="1527" y="4115"/>
                                </a:lnTo>
                                <a:lnTo>
                                  <a:pt x="1452" y="4119"/>
                                </a:lnTo>
                                <a:lnTo>
                                  <a:pt x="1378" y="4115"/>
                                </a:lnTo>
                                <a:lnTo>
                                  <a:pt x="1306" y="4104"/>
                                </a:lnTo>
                                <a:lnTo>
                                  <a:pt x="1236" y="4086"/>
                                </a:lnTo>
                                <a:lnTo>
                                  <a:pt x="1170" y="4061"/>
                                </a:lnTo>
                                <a:lnTo>
                                  <a:pt x="1107" y="4030"/>
                                </a:lnTo>
                                <a:lnTo>
                                  <a:pt x="1049" y="3993"/>
                                </a:lnTo>
                                <a:lnTo>
                                  <a:pt x="994" y="3950"/>
                                </a:lnTo>
                                <a:lnTo>
                                  <a:pt x="945" y="3903"/>
                                </a:lnTo>
                                <a:lnTo>
                                  <a:pt x="901" y="3851"/>
                                </a:lnTo>
                                <a:lnTo>
                                  <a:pt x="862" y="3794"/>
                                </a:lnTo>
                                <a:lnTo>
                                  <a:pt x="830" y="3734"/>
                                </a:lnTo>
                                <a:lnTo>
                                  <a:pt x="804" y="3671"/>
                                </a:lnTo>
                                <a:lnTo>
                                  <a:pt x="785" y="3604"/>
                                </a:lnTo>
                                <a:lnTo>
                                  <a:pt x="773" y="3535"/>
                                </a:lnTo>
                                <a:lnTo>
                                  <a:pt x="769" y="3463"/>
                                </a:lnTo>
                                <a:close/>
                              </a:path>
                            </a:pathLst>
                          </a:custGeom>
                          <a:noFill/>
                          <a:ln w="6350">
                            <a:solidFill>
                              <a:srgbClr val="231F2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7" name="docshape95"/>
                        <wps:cNvSpPr>
                          <a:spLocks/>
                        </wps:cNvSpPr>
                        <wps:spPr bwMode="auto">
                          <a:xfrm>
                            <a:off x="3106" y="1843"/>
                            <a:ext cx="2631" cy="2112"/>
                          </a:xfrm>
                          <a:custGeom>
                            <a:avLst/>
                            <a:gdLst>
                              <a:gd name="T0" fmla="+- 0 4937 3106"/>
                              <a:gd name="T1" fmla="*/ T0 w 2631"/>
                              <a:gd name="T2" fmla="+- 0 1847 1844"/>
                              <a:gd name="T3" fmla="*/ 1847 h 2112"/>
                              <a:gd name="T4" fmla="+- 0 5737 3106"/>
                              <a:gd name="T5" fmla="*/ T4 w 2631"/>
                              <a:gd name="T6" fmla="+- 0 3221 1844"/>
                              <a:gd name="T7" fmla="*/ 3221 h 2112"/>
                              <a:gd name="T8" fmla="+- 0 3908 3106"/>
                              <a:gd name="T9" fmla="*/ T8 w 2631"/>
                              <a:gd name="T10" fmla="+- 0 1844 1844"/>
                              <a:gd name="T11" fmla="*/ 1844 h 2112"/>
                              <a:gd name="T12" fmla="+- 0 3106 3106"/>
                              <a:gd name="T13" fmla="*/ T12 w 2631"/>
                              <a:gd name="T14" fmla="+- 0 3165 1844"/>
                              <a:gd name="T15" fmla="*/ 3165 h 2112"/>
                              <a:gd name="T16" fmla="+- 0 3662 3106"/>
                              <a:gd name="T17" fmla="*/ T16 w 2631"/>
                              <a:gd name="T18" fmla="+- 0 3955 1844"/>
                              <a:gd name="T19" fmla="*/ 3955 h 2112"/>
                              <a:gd name="T20" fmla="+- 0 5169 3106"/>
                              <a:gd name="T21" fmla="*/ T20 w 2631"/>
                              <a:gd name="T22" fmla="+- 0 3954 1844"/>
                              <a:gd name="T23" fmla="*/ 3954 h 2112"/>
                              <a:gd name="T24" fmla="+- 0 4988 3106"/>
                              <a:gd name="T25" fmla="*/ T24 w 2631"/>
                              <a:gd name="T26" fmla="+- 0 3380 1844"/>
                              <a:gd name="T27" fmla="*/ 3380 h 2112"/>
                              <a:gd name="T28" fmla="+- 0 5238 3106"/>
                              <a:gd name="T29" fmla="*/ T28 w 2631"/>
                              <a:gd name="T30" fmla="+- 0 3569 1844"/>
                              <a:gd name="T31" fmla="*/ 3569 h 2112"/>
                              <a:gd name="T32" fmla="+- 0 3853 3106"/>
                              <a:gd name="T33" fmla="*/ T32 w 2631"/>
                              <a:gd name="T34" fmla="+- 0 3383 1844"/>
                              <a:gd name="T35" fmla="*/ 3383 h 2112"/>
                              <a:gd name="T36" fmla="+- 0 3624 3106"/>
                              <a:gd name="T37" fmla="*/ T36 w 2631"/>
                              <a:gd name="T38" fmla="+- 0 3555 1844"/>
                              <a:gd name="T39" fmla="*/ 3555 h 2112"/>
                              <a:gd name="T40" fmla="+- 0 4422 3106"/>
                              <a:gd name="T41" fmla="*/ T40 w 2631"/>
                              <a:gd name="T42" fmla="+- 0 2072 1844"/>
                              <a:gd name="T43" fmla="*/ 2072 h 2112"/>
                              <a:gd name="T44" fmla="+- 0 4422 3106"/>
                              <a:gd name="T45" fmla="*/ T44 w 2631"/>
                              <a:gd name="T46" fmla="+- 0 2357 1844"/>
                              <a:gd name="T47" fmla="*/ 2357 h 211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2631" h="2112">
                                <a:moveTo>
                                  <a:pt x="1831" y="3"/>
                                </a:moveTo>
                                <a:lnTo>
                                  <a:pt x="2631" y="1377"/>
                                </a:lnTo>
                                <a:moveTo>
                                  <a:pt x="802" y="0"/>
                                </a:moveTo>
                                <a:lnTo>
                                  <a:pt x="0" y="1321"/>
                                </a:lnTo>
                                <a:moveTo>
                                  <a:pt x="556" y="2111"/>
                                </a:moveTo>
                                <a:lnTo>
                                  <a:pt x="2063" y="2110"/>
                                </a:lnTo>
                                <a:moveTo>
                                  <a:pt x="1882" y="1536"/>
                                </a:moveTo>
                                <a:lnTo>
                                  <a:pt x="2132" y="1725"/>
                                </a:lnTo>
                                <a:moveTo>
                                  <a:pt x="747" y="1539"/>
                                </a:moveTo>
                                <a:lnTo>
                                  <a:pt x="518" y="1711"/>
                                </a:lnTo>
                                <a:moveTo>
                                  <a:pt x="1316" y="228"/>
                                </a:moveTo>
                                <a:lnTo>
                                  <a:pt x="1316" y="513"/>
                                </a:lnTo>
                              </a:path>
                            </a:pathLst>
                          </a:custGeom>
                          <a:noFill/>
                          <a:ln w="12700">
                            <a:solidFill>
                              <a:srgbClr val="231F2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8" name="docshape96"/>
                        <wps:cNvSpPr txBox="1">
                          <a:spLocks noChangeArrowheads="1"/>
                        </wps:cNvSpPr>
                        <wps:spPr bwMode="auto">
                          <a:xfrm>
                            <a:off x="4142" y="1308"/>
                            <a:ext cx="581" cy="1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F103E1" w14:textId="77777777" w:rsidR="00AE0598" w:rsidRDefault="0069255A">
                              <w:pPr>
                                <w:spacing w:line="194" w:lineRule="exact"/>
                                <w:rPr>
                                  <w:rFonts w:ascii="Segoe UI Symbol"/>
                                  <w:sz w:val="16"/>
                                </w:rPr>
                              </w:pPr>
                              <w:r>
                                <w:rPr>
                                  <w:rFonts w:ascii="Segoe UI Symbol"/>
                                  <w:color w:val="231F20"/>
                                  <w:spacing w:val="-2"/>
                                  <w:w w:val="110"/>
                                  <w:sz w:val="16"/>
                                </w:rPr>
                                <w:t>Activity</w:t>
                              </w:r>
                            </w:p>
                          </w:txbxContent>
                        </wps:txbx>
                        <wps:bodyPr rot="0" vert="horz" wrap="square" lIns="0" tIns="0" rIns="0" bIns="0" anchor="t" anchorCtr="0" upright="1">
                          <a:noAutofit/>
                        </wps:bodyPr>
                      </wps:wsp>
                      <wps:wsp>
                        <wps:cNvPr id="279" name="docshape97"/>
                        <wps:cNvSpPr txBox="1">
                          <a:spLocks noChangeArrowheads="1"/>
                        </wps:cNvSpPr>
                        <wps:spPr bwMode="auto">
                          <a:xfrm>
                            <a:off x="3928" y="2905"/>
                            <a:ext cx="1008" cy="1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6B50F4" w14:textId="77777777" w:rsidR="00AE0598" w:rsidRDefault="0069255A">
                              <w:pPr>
                                <w:spacing w:line="194" w:lineRule="exact"/>
                                <w:rPr>
                                  <w:rFonts w:ascii="Segoe UI Symbol"/>
                                  <w:sz w:val="16"/>
                                </w:rPr>
                              </w:pPr>
                              <w:r>
                                <w:rPr>
                                  <w:rFonts w:ascii="Segoe UI Symbol"/>
                                  <w:color w:val="231F20"/>
                                  <w:sz w:val="16"/>
                                </w:rPr>
                                <w:t>Sport</w:t>
                              </w:r>
                              <w:r>
                                <w:rPr>
                                  <w:rFonts w:ascii="Segoe UI Symbol"/>
                                  <w:color w:val="231F20"/>
                                  <w:spacing w:val="-11"/>
                                  <w:sz w:val="16"/>
                                </w:rPr>
                                <w:t xml:space="preserve"> </w:t>
                              </w:r>
                              <w:r>
                                <w:rPr>
                                  <w:rFonts w:ascii="Segoe UI Symbol"/>
                                  <w:color w:val="231F20"/>
                                  <w:spacing w:val="-2"/>
                                  <w:sz w:val="16"/>
                                </w:rPr>
                                <w:t>Tourism</w:t>
                              </w:r>
                            </w:p>
                          </w:txbxContent>
                        </wps:txbx>
                        <wps:bodyPr rot="0" vert="horz" wrap="square" lIns="0" tIns="0" rIns="0" bIns="0" anchor="t" anchorCtr="0" upright="1">
                          <a:noAutofit/>
                        </wps:bodyPr>
                      </wps:wsp>
                      <wps:wsp>
                        <wps:cNvPr id="280" name="docshape98"/>
                        <wps:cNvSpPr txBox="1">
                          <a:spLocks noChangeArrowheads="1"/>
                        </wps:cNvSpPr>
                        <wps:spPr bwMode="auto">
                          <a:xfrm>
                            <a:off x="2779" y="3705"/>
                            <a:ext cx="452" cy="1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159567" w14:textId="77777777" w:rsidR="00AE0598" w:rsidRDefault="0069255A">
                              <w:pPr>
                                <w:spacing w:line="194" w:lineRule="exact"/>
                                <w:rPr>
                                  <w:rFonts w:ascii="Segoe UI Symbol"/>
                                  <w:sz w:val="16"/>
                                </w:rPr>
                              </w:pPr>
                              <w:r>
                                <w:rPr>
                                  <w:rFonts w:ascii="Segoe UI Symbol"/>
                                  <w:color w:val="231F20"/>
                                  <w:spacing w:val="-4"/>
                                  <w:w w:val="95"/>
                                  <w:sz w:val="16"/>
                                </w:rPr>
                                <w:t>People</w:t>
                              </w:r>
                            </w:p>
                          </w:txbxContent>
                        </wps:txbx>
                        <wps:bodyPr rot="0" vert="horz" wrap="square" lIns="0" tIns="0" rIns="0" bIns="0" anchor="t" anchorCtr="0" upright="1">
                          <a:noAutofit/>
                        </wps:bodyPr>
                      </wps:wsp>
                      <wps:wsp>
                        <wps:cNvPr id="281" name="docshape99"/>
                        <wps:cNvSpPr txBox="1">
                          <a:spLocks noChangeArrowheads="1"/>
                        </wps:cNvSpPr>
                        <wps:spPr bwMode="auto">
                          <a:xfrm>
                            <a:off x="5674" y="3760"/>
                            <a:ext cx="366" cy="1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B8D10D" w14:textId="77777777" w:rsidR="00AE0598" w:rsidRDefault="0069255A">
                              <w:pPr>
                                <w:spacing w:line="194" w:lineRule="exact"/>
                                <w:rPr>
                                  <w:rFonts w:ascii="Segoe UI Symbol"/>
                                  <w:sz w:val="16"/>
                                </w:rPr>
                              </w:pPr>
                              <w:r>
                                <w:rPr>
                                  <w:rFonts w:ascii="Segoe UI Symbol"/>
                                  <w:color w:val="231F20"/>
                                  <w:spacing w:val="-2"/>
                                  <w:w w:val="95"/>
                                  <w:sz w:val="16"/>
                                </w:rPr>
                                <w:t>Place</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5C3F254" id="docshapegroup93" o:spid="_x0000_s1072" style="position:absolute;margin-left:76.9pt;margin-top:17.2pt;width:288.4pt;height:265.75pt;z-index:-15700480;mso-wrap-distance-left:0;mso-wrap-distance-right:0;mso-position-horizontal-relative:page;mso-position-vertical-relative:text" coordorigin="1538,344" coordsize="5768,53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">
                <v:shape id="docshape94" o:spid="_x0000_s1073" style="position:absolute;left:1543;top:349;width:5758;height:5305;visibility:visible;mso-wrap-style:square;v-text-anchor:top" coordsize="5758,5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" path="m,2653r1,-73l4,2507r6,-72l17,2364r9,-71l38,2222r13,-69l66,2084r18,-69l103,1948r21,-67l147,1814r24,-65l198,1684r28,-64l256,1557r32,-62l321,1434r35,-61l393,1314r38,-59l471,1198r41,-56l555,1086r45,-54l646,979r47,-52l742,876r50,-50l843,777r53,-47l950,684r55,-45l1062,595r58,-42l1179,512r60,-39l1300,434r62,-36l1426,362r64,-33l1556,296r66,-30l1690,236r68,-27l1827,183r71,-25l1969,136r72,-22l2113,95r74,-18l2261,61r75,-14l2412,35r76,-10l2565,16r77,-7l2721,4r78,-3l2879,r79,1l3037,4r78,5l3192,16r77,9l3346,35r75,12l3496,61r74,16l3644,95r73,19l3788,136r72,22l3930,183r69,26l4067,236r68,30l4201,296r66,33l4331,362r64,36l4457,434r62,39l4579,512r59,41l4695,595r57,44l4807,684r54,46l4914,777r51,49l5016,876r48,51l5112,979r45,53l5202,1086r43,56l5286,1198r40,57l5364,1314r37,59l5436,1434r33,61l5501,1557r30,63l5559,1684r27,65l5610,1814r23,67l5654,1948r19,67l5691,2084r15,69l5719,2222r12,71l5740,2364r8,71l5753,2507r3,73l5757,2653r-1,73l5753,2798r-5,72l5740,2942r-9,71l5719,3083r-13,70l5691,3222r-18,68l5654,3358r-21,67l5610,3491r-24,65l5559,3621r-28,64l5501,3748r-32,62l5436,3872r-35,60l5364,3991r-38,59l5286,4107r-41,57l5202,4219r-45,54l5112,4327r-48,52l5016,4430r-51,50l4914,4528r-53,47l4807,4622r-55,45l4695,4710r-57,42l4579,4793r-60,40l4457,4871r-62,37l4331,4943r-64,34l4201,5009r-66,31l4067,5069r-68,28l3930,5123r-70,24l3788,5170r-71,21l3644,5210r-74,18l3496,5244r-75,14l3346,5270r-77,11l3192,5289r-77,7l3037,5301r-79,3l2879,5305r-80,-1l2721,5301r-79,-5l2565,5289r-77,-8l2412,5270r-76,-12l2261,5244r-74,-16l2113,5210r-72,-19l1969,5170r-71,-23l1827,5123r-69,-26l1690,5069r-68,-29l1556,5009r-66,-32l1426,4943r-64,-35l1300,4871r-61,-38l1179,4793r-59,-41l1062,4710r-57,-43l950,4622r-54,-47l843,4528r-51,-48l742,4430r-49,-51l646,4327r-46,-54l555,4219r-43,-55l471,4107r-40,-57l393,3991r-37,-59l321,3872r-33,-62l256,3748r-30,-63l198,3621r-27,-65l147,3491r-23,-66l103,3358,84,3290,66,3222,51,3153,38,3083,26,3013r-9,-71l10,2870,4,2798,1,2726,,2653xm2196,2664r4,-72l2211,2523r20,-66l2256,2393r33,-60l2328,2277r44,-53l2421,2177r55,-42l2534,2098r63,-32l2663,2041r70,-18l2805,2012r74,-4l2954,2012r72,11l3095,2041r66,25l3224,2098r59,37l3337,2177r50,47l3431,2277r38,56l3502,2393r26,64l3547,2523r12,69l3563,2664r-4,71l3547,2804r-19,67l3502,2935r-33,60l3431,3051r-44,52l3337,3151r-54,42l3224,3230r-63,31l3095,3286r-69,18l2954,3316r-75,4l2805,3316r-72,-12l2663,3286r-66,-25l2534,3230r-58,-37l2421,3151r-49,-48l2328,3051r-39,-56l2256,2935r-25,-64l2211,2804r-11,-69l2196,2664xm2196,1067r4,-72l2211,926r20,-67l2256,796r33,-60l2328,679r44,-52l2421,580r55,-43l2534,500r63,-31l2663,444r70,-18l2805,415r74,-4l2954,415r72,11l3095,444r66,25l3224,500r59,37l3337,580r50,47l3431,679r38,57l3502,796r26,63l3547,926r12,69l3563,1067r-4,71l3547,1208r-19,66l3502,1338r-33,60l3431,1454r-44,52l3337,1554r-54,42l3224,1633r-63,31l3095,1689r-69,19l2954,1719r-75,4l2805,1719r-72,-11l2663,1689r-66,-25l2534,1633r-58,-37l2421,1554r-49,-48l2328,1454r-39,-56l2256,1338r-25,-64l2211,1208r-11,-70l2196,1067xm3621,3519r4,-72l3636,3378r19,-67l3681,3248r33,-60l3753,3131r44,-52l3846,3032r55,-42l3959,2953r63,-32l4088,2896r70,-18l4230,2867r74,-4l4379,2867r72,11l4521,2896r66,25l4650,2953r58,37l4763,3032r49,47l4856,3131r39,57l4927,3248r26,63l4972,3378r12,69l4988,3519r-4,71l4972,3659r-19,67l4927,3790r-32,60l4856,3906r-44,52l4763,4006r-55,42l4650,4085r-63,31l4521,4141r-70,18l4379,4171r-75,4l4230,4171r-72,-12l4088,4141r-66,-25l3959,4085r-58,-37l3846,4006r-49,-48l3753,3906r-39,-56l3681,3790r-26,-64l3636,3659r-11,-69l3621,3519xm769,3463r4,-71l785,3323r19,-67l830,3192r32,-60l901,3076r44,-52l994,2976r55,-42l1107,2897r63,-31l1236,2841r70,-19l1378,2811r74,-4l1527,2811r72,11l1668,2841r67,25l1797,2897r59,37l1910,2976r50,48l2004,3076r39,56l2075,3192r26,64l2120,3323r12,69l2136,3463r-4,72l2120,3604r-19,67l2075,3734r-32,60l2004,3851r-44,52l1910,3950r-54,43l1797,4030r-62,31l1668,4086r-69,18l1527,4115r-75,4l1378,4115r-72,-11l1236,4086r-66,-25l1107,4030r-58,-37l994,3950r-49,-47l901,3851r-39,-57l830,3734r-26,-63l785,3604r-12,-69l769,3463xe" filled="f" strokecolor="#231f20" strokeweight=".5pt">
                  <v:path arrowok="t" o:connecttype="custom" o:connectlocs="51,2502;226,1969;512,1491;896,1079;1362,747;1898,507;2488,374;3115,358;3717,463;4267,678;4752,988;5157,1381;5469,1844;5673,2364;5756,2929;5706,3502;5531,4034;5245,4513;4861,4924;4395,5257;3860,5496;3269,5630;2642,5645;2041,5540;1490,5326;1005,5016;600,4622;288,4159;84,3639;1,3075;2328,2626;2805,2361;3337,2526;3563,3013;3337,3500;2805,3665;2328,3400;2200,1344;2476,886;3026,775;3469,1085;3528,1623;3161,2013;2597,2013;2231,1623;3681,3597;4088,3245;4650,3302;4972,3727;4856,4255;4379,4520;3846,4355;3621,3868;945,3373;1452,3156;1960,3373;2132,3884;1856,4342;1306,4453;862,4143" o:connectangles="0,0,0,0,0,0,0,0,0,0,0,0,0,0,0,0,0,0,0,0,0,0,0,0,0,0,0,0,0,0,0,0,0,0,0,0,0,0,0,0,0,0,0,0,0,0,0,0,0,0,0,0,0,0,0,0,0,0,0,0"/>
                </v:shape>
                <v:shape id="docshape95" o:spid="_x0000_s1074" style="position:absolute;left:3106;top:1843;width:2631;height:2112;visibility:visible;mso-wrap-style:square;v-text-anchor:top" coordsize="2631,2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" path="m1831,3r800,1374m802,l,1321t556,790l2063,2110m1882,1536r250,189m747,1539l518,1711m1316,228r,285e" filled="f" strokecolor="#231f20" strokeweight="1pt">
                  <v:path arrowok="t" o:connecttype="custom" o:connectlocs="1831,1847;2631,3221;802,1844;0,3165;556,3955;2063,3954;1882,3380;2132,3569;747,3383;518,3555;1316,2072;1316,2357" o:connectangles="0,0,0,0,0,0,0,0,0,0,0,0"/>
                </v:shape>
                <v:shape id="docshape96" o:spid="_x0000_s1075" type="#_x0000_t202" style="position:absolute;left:4142;top:1308;width:581;height:1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" filled="f" stroked="f">
                  <v:textbox inset="0,0,0,0">
                    <w:txbxContent>
                      <w:p w14:paraId="0FF103E1" w14:textId="77777777" w:rsidR="00AE0598" w:rsidRDefault="0069255A">
                        <w:pPr>
                          <w:spacing w:line="194" w:lineRule="exact"/>
                          <w:rPr>
                            <w:rFonts w:ascii="Segoe UI Symbol"/>
                            <w:sz w:val="16"/>
                          </w:rPr>
                        </w:pPr>
                        <w:r>
                          <w:rPr>
                            <w:rFonts w:ascii="Segoe UI Symbol"/>
                            <w:color w:val="231F20"/>
                            <w:spacing w:val="-2"/>
                            <w:w w:val="110"/>
                            <w:sz w:val="16"/>
                          </w:rPr>
                          <w:t>Activity</w:t>
                        </w:r>
                      </w:p>
                    </w:txbxContent>
                  </v:textbox>
                </v:shape>
                <v:shape id="docshape97" o:spid="_x0000_s1076" type="#_x0000_t202" style="position:absolute;left:3928;top:2905;width:1008;height:1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" filled="f" stroked="f">
                  <v:textbox inset="0,0,0,0">
                    <w:txbxContent>
                      <w:p w14:paraId="116B50F4" w14:textId="77777777" w:rsidR="00AE0598" w:rsidRDefault="0069255A">
                        <w:pPr>
                          <w:spacing w:line="194" w:lineRule="exact"/>
                          <w:rPr>
                            <w:rFonts w:ascii="Segoe UI Symbol"/>
                            <w:sz w:val="16"/>
                          </w:rPr>
                        </w:pPr>
                        <w:r>
                          <w:rPr>
                            <w:rFonts w:ascii="Segoe UI Symbol"/>
                            <w:color w:val="231F20"/>
                            <w:sz w:val="16"/>
                          </w:rPr>
                          <w:t>Sport</w:t>
                        </w:r>
                        <w:r>
                          <w:rPr>
                            <w:rFonts w:ascii="Segoe UI Symbol"/>
                            <w:color w:val="231F20"/>
                            <w:spacing w:val="-11"/>
                            <w:sz w:val="16"/>
                          </w:rPr>
                          <w:t xml:space="preserve"> </w:t>
                        </w:r>
                        <w:r>
                          <w:rPr>
                            <w:rFonts w:ascii="Segoe UI Symbol"/>
                            <w:color w:val="231F20"/>
                            <w:spacing w:val="-2"/>
                            <w:sz w:val="16"/>
                          </w:rPr>
                          <w:t>Tourism</w:t>
                        </w:r>
                      </w:p>
                    </w:txbxContent>
                  </v:textbox>
                </v:shape>
                <v:shape id="docshape98" o:spid="_x0000_s1077" type="#_x0000_t202" style="position:absolute;left:2779;top:3705;width:452;height:1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" filled="f" stroked="f">
                  <v:textbox inset="0,0,0,0">
                    <w:txbxContent>
                      <w:p w14:paraId="66159567" w14:textId="77777777" w:rsidR="00AE0598" w:rsidRDefault="0069255A">
                        <w:pPr>
                          <w:spacing w:line="194" w:lineRule="exact"/>
                          <w:rPr>
                            <w:rFonts w:ascii="Segoe UI Symbol"/>
                            <w:sz w:val="16"/>
                          </w:rPr>
                        </w:pPr>
                        <w:r>
                          <w:rPr>
                            <w:rFonts w:ascii="Segoe UI Symbol"/>
                            <w:color w:val="231F20"/>
                            <w:spacing w:val="-4"/>
                            <w:w w:val="95"/>
                            <w:sz w:val="16"/>
                          </w:rPr>
                          <w:t>People</w:t>
                        </w:r>
                      </w:p>
                    </w:txbxContent>
                  </v:textbox>
                </v:shape>
                <v:shape id="docshape99" o:spid="_x0000_s1078" type="#_x0000_t202" style="position:absolute;left:5674;top:3760;width:366;height:1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" filled="f" stroked="f">
                  <v:textbox inset="0,0,0,0">
                    <w:txbxContent>
                      <w:p w14:paraId="68B8D10D" w14:textId="77777777" w:rsidR="00AE0598" w:rsidRDefault="0069255A">
                        <w:pPr>
                          <w:spacing w:line="194" w:lineRule="exact"/>
                          <w:rPr>
                            <w:rFonts w:ascii="Segoe UI Symbol"/>
                            <w:sz w:val="16"/>
                          </w:rPr>
                        </w:pPr>
                        <w:r>
                          <w:rPr>
                            <w:rFonts w:ascii="Segoe UI Symbol"/>
                            <w:color w:val="231F20"/>
                            <w:spacing w:val="-2"/>
                            <w:w w:val="95"/>
                            <w:sz w:val="16"/>
                          </w:rPr>
                          <w:t>Place</w:t>
                        </w:r>
                      </w:p>
                    </w:txbxContent>
                  </v:textbox>
                </v:shape>
                <w10:wrap type="topAndBottom" anchorx="page"/>
              </v:group>
            </w:pict>
          </mc:Fallback>
        </mc:AlternateContent>
      </w:r>
    </w:p>
    <w:p w14:paraId="697FD9C1" w14:textId="77777777" w:rsidR="00AE0598" w:rsidRDefault="00AE0598">
      <w:pPr>
        <w:pStyle w:val="Corpodetexto"/>
        <w:spacing w:before="9"/>
        <w:rPr>
          <w:rFonts w:ascii="Trebuchet MS"/>
          <w:sz w:val="11"/>
        </w:rPr>
      </w:pPr>
    </w:p>
    <w:p w14:paraId="68D1A717" w14:textId="77777777" w:rsidR="00AE0598" w:rsidRDefault="0069255A">
      <w:pPr>
        <w:spacing w:before="100"/>
        <w:ind w:left="110"/>
        <w:rPr>
          <w:rFonts w:ascii="Trebuchet MS"/>
          <w:sz w:val="14"/>
        </w:rPr>
      </w:pPr>
      <w:r>
        <w:rPr>
          <w:rFonts w:ascii="Trebuchet MS"/>
          <w:b/>
          <w:color w:val="231F20"/>
          <w:sz w:val="14"/>
        </w:rPr>
        <w:t>Figure</w:t>
      </w:r>
      <w:r>
        <w:rPr>
          <w:rFonts w:ascii="Trebuchet MS"/>
          <w:b/>
          <w:color w:val="231F20"/>
          <w:spacing w:val="8"/>
          <w:sz w:val="14"/>
        </w:rPr>
        <w:t xml:space="preserve"> </w:t>
      </w:r>
      <w:r>
        <w:rPr>
          <w:rFonts w:ascii="Trebuchet MS"/>
          <w:b/>
          <w:color w:val="231F20"/>
          <w:sz w:val="14"/>
        </w:rPr>
        <w:t>3.1</w:t>
      </w:r>
      <w:r>
        <w:rPr>
          <w:rFonts w:ascii="Trebuchet MS"/>
          <w:b/>
          <w:color w:val="231F20"/>
          <w:spacing w:val="50"/>
          <w:sz w:val="14"/>
        </w:rPr>
        <w:t xml:space="preserve"> </w:t>
      </w:r>
      <w:r>
        <w:rPr>
          <w:rFonts w:ascii="Trebuchet MS"/>
          <w:color w:val="231F20"/>
          <w:sz w:val="14"/>
        </w:rPr>
        <w:t>Sport</w:t>
      </w:r>
      <w:r>
        <w:rPr>
          <w:rFonts w:ascii="Trebuchet MS"/>
          <w:color w:val="231F20"/>
          <w:spacing w:val="9"/>
          <w:sz w:val="14"/>
        </w:rPr>
        <w:t xml:space="preserve"> </w:t>
      </w:r>
      <w:r>
        <w:rPr>
          <w:rFonts w:ascii="Trebuchet MS"/>
          <w:color w:val="231F20"/>
          <w:sz w:val="14"/>
        </w:rPr>
        <w:t>tourism</w:t>
      </w:r>
      <w:r>
        <w:rPr>
          <w:rFonts w:ascii="Trebuchet MS"/>
          <w:color w:val="231F20"/>
          <w:spacing w:val="9"/>
          <w:sz w:val="14"/>
        </w:rPr>
        <w:t xml:space="preserve"> </w:t>
      </w:r>
      <w:r>
        <w:rPr>
          <w:rFonts w:ascii="Trebuchet MS"/>
          <w:color w:val="231F20"/>
          <w:sz w:val="14"/>
        </w:rPr>
        <w:t>as</w:t>
      </w:r>
      <w:r>
        <w:rPr>
          <w:rFonts w:ascii="Trebuchet MS"/>
          <w:color w:val="231F20"/>
          <w:spacing w:val="8"/>
          <w:sz w:val="14"/>
        </w:rPr>
        <w:t xml:space="preserve"> </w:t>
      </w:r>
      <w:r>
        <w:rPr>
          <w:rFonts w:ascii="Trebuchet MS"/>
          <w:color w:val="231F20"/>
          <w:sz w:val="14"/>
        </w:rPr>
        <w:t>an</w:t>
      </w:r>
      <w:r>
        <w:rPr>
          <w:rFonts w:ascii="Trebuchet MS"/>
          <w:color w:val="231F20"/>
          <w:spacing w:val="9"/>
          <w:sz w:val="14"/>
        </w:rPr>
        <w:t xml:space="preserve"> </w:t>
      </w:r>
      <w:r>
        <w:rPr>
          <w:rFonts w:ascii="Trebuchet MS"/>
          <w:color w:val="231F20"/>
          <w:sz w:val="14"/>
        </w:rPr>
        <w:t>interplay</w:t>
      </w:r>
      <w:r>
        <w:rPr>
          <w:rFonts w:ascii="Trebuchet MS"/>
          <w:color w:val="231F20"/>
          <w:spacing w:val="9"/>
          <w:sz w:val="14"/>
        </w:rPr>
        <w:t xml:space="preserve"> </w:t>
      </w:r>
      <w:r>
        <w:rPr>
          <w:rFonts w:ascii="Trebuchet MS"/>
          <w:color w:val="231F20"/>
          <w:sz w:val="14"/>
        </w:rPr>
        <w:t>of</w:t>
      </w:r>
      <w:r>
        <w:rPr>
          <w:rFonts w:ascii="Trebuchet MS"/>
          <w:color w:val="231F20"/>
          <w:spacing w:val="9"/>
          <w:sz w:val="14"/>
        </w:rPr>
        <w:t xml:space="preserve"> </w:t>
      </w:r>
      <w:r>
        <w:rPr>
          <w:rFonts w:ascii="Trebuchet MS"/>
          <w:color w:val="231F20"/>
          <w:sz w:val="14"/>
        </w:rPr>
        <w:t>activity,</w:t>
      </w:r>
      <w:r>
        <w:rPr>
          <w:rFonts w:ascii="Trebuchet MS"/>
          <w:color w:val="231F20"/>
          <w:spacing w:val="8"/>
          <w:sz w:val="14"/>
        </w:rPr>
        <w:t xml:space="preserve"> </w:t>
      </w:r>
      <w:r>
        <w:rPr>
          <w:rFonts w:ascii="Trebuchet MS"/>
          <w:color w:val="231F20"/>
          <w:sz w:val="14"/>
        </w:rPr>
        <w:t>people</w:t>
      </w:r>
      <w:r>
        <w:rPr>
          <w:rFonts w:ascii="Trebuchet MS"/>
          <w:color w:val="231F20"/>
          <w:spacing w:val="9"/>
          <w:sz w:val="14"/>
        </w:rPr>
        <w:t xml:space="preserve"> </w:t>
      </w:r>
      <w:r>
        <w:rPr>
          <w:rFonts w:ascii="Trebuchet MS"/>
          <w:color w:val="231F20"/>
          <w:sz w:val="14"/>
        </w:rPr>
        <w:t>and</w:t>
      </w:r>
      <w:r>
        <w:rPr>
          <w:rFonts w:ascii="Trebuchet MS"/>
          <w:color w:val="231F20"/>
          <w:spacing w:val="9"/>
          <w:sz w:val="14"/>
        </w:rPr>
        <w:t xml:space="preserve"> </w:t>
      </w:r>
      <w:r>
        <w:rPr>
          <w:rFonts w:ascii="Trebuchet MS"/>
          <w:color w:val="231F20"/>
          <w:sz w:val="14"/>
        </w:rPr>
        <w:t>place</w:t>
      </w:r>
      <w:r>
        <w:rPr>
          <w:rFonts w:ascii="Trebuchet MS"/>
          <w:color w:val="231F20"/>
          <w:spacing w:val="8"/>
          <w:sz w:val="14"/>
        </w:rPr>
        <w:t xml:space="preserve"> </w:t>
      </w:r>
      <w:r>
        <w:rPr>
          <w:rFonts w:ascii="Trebuchet MS"/>
          <w:color w:val="231F20"/>
          <w:sz w:val="14"/>
        </w:rPr>
        <w:t>(Source:</w:t>
      </w:r>
      <w:r>
        <w:rPr>
          <w:rFonts w:ascii="Trebuchet MS"/>
          <w:color w:val="231F20"/>
          <w:spacing w:val="9"/>
          <w:sz w:val="14"/>
        </w:rPr>
        <w:t xml:space="preserve"> </w:t>
      </w:r>
      <w:r>
        <w:rPr>
          <w:rFonts w:ascii="Trebuchet MS"/>
          <w:color w:val="231F20"/>
          <w:sz w:val="14"/>
        </w:rPr>
        <w:t>Weed,</w:t>
      </w:r>
      <w:r>
        <w:rPr>
          <w:rFonts w:ascii="Trebuchet MS"/>
          <w:color w:val="231F20"/>
          <w:spacing w:val="9"/>
          <w:sz w:val="14"/>
        </w:rPr>
        <w:t xml:space="preserve"> </w:t>
      </w:r>
      <w:r>
        <w:rPr>
          <w:rFonts w:ascii="Trebuchet MS"/>
          <w:color w:val="231F20"/>
          <w:spacing w:val="-2"/>
          <w:sz w:val="14"/>
        </w:rPr>
        <w:t>2005)</w:t>
      </w:r>
    </w:p>
    <w:p w14:paraId="4E03FF5C" w14:textId="77777777" w:rsidR="00AE0598" w:rsidRDefault="00AE0598">
      <w:pPr>
        <w:pStyle w:val="Corpodetexto"/>
        <w:spacing w:before="1"/>
        <w:rPr>
          <w:rFonts w:ascii="Trebuchet MS"/>
          <w:sz w:val="29"/>
        </w:rPr>
      </w:pPr>
    </w:p>
    <w:p w14:paraId="0A685CBE" w14:textId="77777777" w:rsidR="00AE0598" w:rsidRDefault="0069255A">
      <w:pPr>
        <w:pStyle w:val="Corpodetexto"/>
        <w:spacing w:before="102" w:line="232" w:lineRule="auto"/>
        <w:ind w:left="110" w:right="128"/>
        <w:jc w:val="both"/>
      </w:pPr>
      <w:r>
        <w:rPr>
          <w:color w:val="231F20"/>
        </w:rPr>
        <w:t>sport</w:t>
      </w:r>
      <w:r>
        <w:rPr>
          <w:color w:val="231F20"/>
          <w:spacing w:val="-9"/>
        </w:rPr>
        <w:t xml:space="preserve"> </w:t>
      </w:r>
      <w:r>
        <w:rPr>
          <w:color w:val="231F20"/>
        </w:rPr>
        <w:t>tourism</w:t>
      </w:r>
      <w:r>
        <w:rPr>
          <w:color w:val="231F20"/>
          <w:spacing w:val="-9"/>
        </w:rPr>
        <w:t xml:space="preserve"> </w:t>
      </w:r>
      <w:r>
        <w:rPr>
          <w:color w:val="231F20"/>
        </w:rPr>
        <w:t>phenomena</w:t>
      </w:r>
      <w:r>
        <w:rPr>
          <w:color w:val="231F20"/>
          <w:spacing w:val="-9"/>
        </w:rPr>
        <w:t xml:space="preserve"> </w:t>
      </w:r>
      <w:r>
        <w:rPr>
          <w:color w:val="231F20"/>
        </w:rPr>
        <w:t>in</w:t>
      </w:r>
      <w:r>
        <w:rPr>
          <w:color w:val="231F20"/>
          <w:spacing w:val="-9"/>
        </w:rPr>
        <w:t xml:space="preserve"> </w:t>
      </w:r>
      <w:r>
        <w:rPr>
          <w:color w:val="231F20"/>
        </w:rPr>
        <w:t>relation</w:t>
      </w:r>
      <w:r>
        <w:rPr>
          <w:color w:val="231F20"/>
          <w:spacing w:val="-9"/>
        </w:rPr>
        <w:t xml:space="preserve"> </w:t>
      </w:r>
      <w:r>
        <w:rPr>
          <w:color w:val="231F20"/>
        </w:rPr>
        <w:t>to</w:t>
      </w:r>
      <w:r>
        <w:rPr>
          <w:color w:val="231F20"/>
          <w:spacing w:val="-9"/>
        </w:rPr>
        <w:t xml:space="preserve"> </w:t>
      </w:r>
      <w:r>
        <w:rPr>
          <w:color w:val="231F20"/>
        </w:rPr>
        <w:t>the</w:t>
      </w:r>
      <w:r>
        <w:rPr>
          <w:color w:val="231F20"/>
          <w:spacing w:val="-9"/>
        </w:rPr>
        <w:t xml:space="preserve"> </w:t>
      </w:r>
      <w:r>
        <w:rPr>
          <w:color w:val="231F20"/>
        </w:rPr>
        <w:t>complex</w:t>
      </w:r>
      <w:r>
        <w:rPr>
          <w:color w:val="231F20"/>
          <w:spacing w:val="-9"/>
        </w:rPr>
        <w:t xml:space="preserve"> </w:t>
      </w:r>
      <w:r>
        <w:rPr>
          <w:color w:val="231F20"/>
        </w:rPr>
        <w:t>interplay</w:t>
      </w:r>
      <w:r>
        <w:rPr>
          <w:color w:val="231F20"/>
          <w:spacing w:val="-9"/>
        </w:rPr>
        <w:t xml:space="preserve"> </w:t>
      </w:r>
      <w:r>
        <w:rPr>
          <w:color w:val="231F20"/>
        </w:rPr>
        <w:t>of</w:t>
      </w:r>
      <w:r>
        <w:rPr>
          <w:color w:val="231F20"/>
          <w:spacing w:val="-9"/>
        </w:rPr>
        <w:t xml:space="preserve"> </w:t>
      </w:r>
      <w:r>
        <w:rPr>
          <w:color w:val="231F20"/>
        </w:rPr>
        <w:t>activity, people and place (e.g. Evans &amp; Norcliffe, 2016; Morgan, 2007).</w:t>
      </w:r>
    </w:p>
    <w:p w14:paraId="60BAA336" w14:textId="77777777" w:rsidR="00AE0598" w:rsidRDefault="0069255A">
      <w:pPr>
        <w:pStyle w:val="Corpodetexto"/>
        <w:spacing w:before="3" w:line="232" w:lineRule="auto"/>
        <w:ind w:left="110" w:right="127" w:firstLine="320"/>
        <w:jc w:val="both"/>
      </w:pPr>
      <w:r>
        <w:rPr>
          <w:color w:val="231F20"/>
        </w:rPr>
        <w:t xml:space="preserve">The systematic treatment of sport tourism markets has been well </w:t>
      </w:r>
      <w:r>
        <w:rPr>
          <w:color w:val="231F20"/>
          <w:w w:val="95"/>
        </w:rPr>
        <w:t xml:space="preserve">served by Redmond’s (1990) tripartite sport tourism classification, which </w:t>
      </w:r>
      <w:r>
        <w:rPr>
          <w:color w:val="231F20"/>
        </w:rPr>
        <w:t>includes</w:t>
      </w:r>
      <w:r>
        <w:rPr>
          <w:color w:val="231F20"/>
          <w:spacing w:val="-8"/>
        </w:rPr>
        <w:t xml:space="preserve"> </w:t>
      </w:r>
      <w:r>
        <w:rPr>
          <w:color w:val="231F20"/>
        </w:rPr>
        <w:t>sport</w:t>
      </w:r>
      <w:r>
        <w:rPr>
          <w:color w:val="231F20"/>
          <w:spacing w:val="-8"/>
        </w:rPr>
        <w:t xml:space="preserve"> </w:t>
      </w:r>
      <w:r>
        <w:rPr>
          <w:color w:val="231F20"/>
        </w:rPr>
        <w:t>vacations,</w:t>
      </w:r>
      <w:r>
        <w:rPr>
          <w:color w:val="231F20"/>
          <w:spacing w:val="-8"/>
        </w:rPr>
        <w:t xml:space="preserve"> </w:t>
      </w:r>
      <w:r>
        <w:rPr>
          <w:color w:val="231F20"/>
        </w:rPr>
        <w:t>multi-sport</w:t>
      </w:r>
      <w:r>
        <w:rPr>
          <w:color w:val="231F20"/>
          <w:spacing w:val="-8"/>
        </w:rPr>
        <w:t xml:space="preserve"> </w:t>
      </w:r>
      <w:r>
        <w:rPr>
          <w:color w:val="231F20"/>
        </w:rPr>
        <w:t>festiva</w:t>
      </w:r>
      <w:r>
        <w:rPr>
          <w:color w:val="231F20"/>
        </w:rPr>
        <w:t>ls</w:t>
      </w:r>
      <w:r>
        <w:rPr>
          <w:color w:val="231F20"/>
          <w:spacing w:val="-8"/>
        </w:rPr>
        <w:t xml:space="preserve"> </w:t>
      </w:r>
      <w:r>
        <w:rPr>
          <w:color w:val="231F20"/>
        </w:rPr>
        <w:t>and</w:t>
      </w:r>
      <w:r>
        <w:rPr>
          <w:color w:val="231F20"/>
          <w:spacing w:val="-8"/>
        </w:rPr>
        <w:t xml:space="preserve"> </w:t>
      </w:r>
      <w:r>
        <w:rPr>
          <w:color w:val="231F20"/>
        </w:rPr>
        <w:t>world</w:t>
      </w:r>
      <w:r>
        <w:rPr>
          <w:color w:val="231F20"/>
          <w:spacing w:val="-8"/>
        </w:rPr>
        <w:t xml:space="preserve"> </w:t>
      </w:r>
      <w:r>
        <w:rPr>
          <w:color w:val="231F20"/>
        </w:rPr>
        <w:t xml:space="preserve">championships, </w:t>
      </w:r>
      <w:r>
        <w:rPr>
          <w:color w:val="231F20"/>
          <w:w w:val="95"/>
        </w:rPr>
        <w:t xml:space="preserve">and sports halls of fame and museums. Gibson’s (1998a) literature-based analysis of sport tourism presents a variation of Redmond’s classification. Her classification includes active, event and nostalgia sport tourism. Here, </w:t>
      </w:r>
      <w:r>
        <w:rPr>
          <w:color w:val="231F20"/>
        </w:rPr>
        <w:t>we</w:t>
      </w:r>
      <w:r>
        <w:rPr>
          <w:color w:val="231F20"/>
          <w:spacing w:val="-6"/>
        </w:rPr>
        <w:t xml:space="preserve"> </w:t>
      </w:r>
      <w:r>
        <w:rPr>
          <w:color w:val="231F20"/>
        </w:rPr>
        <w:t>build</w:t>
      </w:r>
      <w:r>
        <w:rPr>
          <w:color w:val="231F20"/>
          <w:spacing w:val="-6"/>
        </w:rPr>
        <w:t xml:space="preserve"> </w:t>
      </w:r>
      <w:r>
        <w:rPr>
          <w:color w:val="231F20"/>
        </w:rPr>
        <w:t>upon</w:t>
      </w:r>
      <w:r>
        <w:rPr>
          <w:color w:val="231F20"/>
          <w:spacing w:val="-6"/>
        </w:rPr>
        <w:t xml:space="preserve"> </w:t>
      </w:r>
      <w:r>
        <w:rPr>
          <w:color w:val="231F20"/>
        </w:rPr>
        <w:t>the</w:t>
      </w:r>
      <w:r>
        <w:rPr>
          <w:color w:val="231F20"/>
          <w:spacing w:val="-6"/>
        </w:rPr>
        <w:t xml:space="preserve"> </w:t>
      </w:r>
      <w:r>
        <w:rPr>
          <w:color w:val="231F20"/>
        </w:rPr>
        <w:t>earlier</w:t>
      </w:r>
      <w:r>
        <w:rPr>
          <w:color w:val="231F20"/>
          <w:spacing w:val="-6"/>
        </w:rPr>
        <w:t xml:space="preserve"> </w:t>
      </w:r>
      <w:r>
        <w:rPr>
          <w:color w:val="231F20"/>
        </w:rPr>
        <w:t>contributions</w:t>
      </w:r>
      <w:r>
        <w:rPr>
          <w:color w:val="231F20"/>
          <w:spacing w:val="-6"/>
        </w:rPr>
        <w:t xml:space="preserve"> </w:t>
      </w:r>
      <w:r>
        <w:rPr>
          <w:color w:val="231F20"/>
        </w:rPr>
        <w:t>of</w:t>
      </w:r>
      <w:r>
        <w:rPr>
          <w:color w:val="231F20"/>
          <w:spacing w:val="-6"/>
        </w:rPr>
        <w:t xml:space="preserve"> </w:t>
      </w:r>
      <w:r>
        <w:rPr>
          <w:color w:val="231F20"/>
        </w:rPr>
        <w:t>Gibson</w:t>
      </w:r>
      <w:r>
        <w:rPr>
          <w:color w:val="231F20"/>
          <w:spacing w:val="-6"/>
        </w:rPr>
        <w:t xml:space="preserve"> </w:t>
      </w:r>
      <w:r>
        <w:rPr>
          <w:color w:val="231F20"/>
        </w:rPr>
        <w:t>(1998a)</w:t>
      </w:r>
      <w:r>
        <w:rPr>
          <w:color w:val="231F20"/>
          <w:spacing w:val="-6"/>
        </w:rPr>
        <w:t xml:space="preserve"> </w:t>
      </w:r>
      <w:r>
        <w:rPr>
          <w:color w:val="231F20"/>
        </w:rPr>
        <w:t>and</w:t>
      </w:r>
      <w:r>
        <w:rPr>
          <w:color w:val="231F20"/>
          <w:spacing w:val="-6"/>
        </w:rPr>
        <w:t xml:space="preserve"> </w:t>
      </w:r>
      <w:r>
        <w:rPr>
          <w:color w:val="231F20"/>
        </w:rPr>
        <w:t>Redmond (1990)</w:t>
      </w:r>
      <w:r>
        <w:rPr>
          <w:color w:val="231F20"/>
          <w:spacing w:val="-1"/>
        </w:rPr>
        <w:t xml:space="preserve"> </w:t>
      </w:r>
      <w:r>
        <w:rPr>
          <w:color w:val="231F20"/>
        </w:rPr>
        <w:t>by</w:t>
      </w:r>
      <w:r>
        <w:rPr>
          <w:color w:val="231F20"/>
          <w:spacing w:val="-1"/>
        </w:rPr>
        <w:t xml:space="preserve"> </w:t>
      </w:r>
      <w:r>
        <w:rPr>
          <w:color w:val="231F20"/>
        </w:rPr>
        <w:t>proposing</w:t>
      </w:r>
      <w:r>
        <w:rPr>
          <w:color w:val="231F20"/>
          <w:spacing w:val="-1"/>
        </w:rPr>
        <w:t xml:space="preserve"> </w:t>
      </w:r>
      <w:r>
        <w:rPr>
          <w:color w:val="231F20"/>
        </w:rPr>
        <w:t>a</w:t>
      </w:r>
      <w:r>
        <w:rPr>
          <w:color w:val="231F20"/>
          <w:spacing w:val="-1"/>
        </w:rPr>
        <w:t xml:space="preserve"> </w:t>
      </w:r>
      <w:r>
        <w:rPr>
          <w:color w:val="231F20"/>
        </w:rPr>
        <w:t>fourfold</w:t>
      </w:r>
      <w:r>
        <w:rPr>
          <w:color w:val="231F20"/>
          <w:spacing w:val="-1"/>
        </w:rPr>
        <w:t xml:space="preserve"> </w:t>
      </w:r>
      <w:r>
        <w:rPr>
          <w:color w:val="231F20"/>
        </w:rPr>
        <w:t>classification</w:t>
      </w:r>
      <w:r>
        <w:rPr>
          <w:color w:val="231F20"/>
          <w:spacing w:val="-1"/>
        </w:rPr>
        <w:t xml:space="preserve"> </w:t>
      </w:r>
      <w:r>
        <w:rPr>
          <w:color w:val="231F20"/>
        </w:rPr>
        <w:t>of</w:t>
      </w:r>
      <w:r>
        <w:rPr>
          <w:color w:val="231F20"/>
          <w:spacing w:val="-1"/>
        </w:rPr>
        <w:t xml:space="preserve"> </w:t>
      </w:r>
      <w:r>
        <w:rPr>
          <w:color w:val="231F20"/>
        </w:rPr>
        <w:t>sport</w:t>
      </w:r>
      <w:r>
        <w:rPr>
          <w:color w:val="231F20"/>
          <w:spacing w:val="-1"/>
        </w:rPr>
        <w:t xml:space="preserve"> </w:t>
      </w:r>
      <w:r>
        <w:rPr>
          <w:color w:val="231F20"/>
        </w:rPr>
        <w:t>tourism:</w:t>
      </w:r>
    </w:p>
    <w:p w14:paraId="731445AD" w14:textId="77777777" w:rsidR="00AE0598" w:rsidRDefault="00AE0598">
      <w:pPr>
        <w:pStyle w:val="Corpodetexto"/>
        <w:spacing w:before="9"/>
        <w:rPr>
          <w:sz w:val="20"/>
        </w:rPr>
      </w:pPr>
    </w:p>
    <w:p w14:paraId="6BC1EFBC" w14:textId="77777777" w:rsidR="00AE0598" w:rsidRDefault="0069255A">
      <w:pPr>
        <w:pStyle w:val="PargrafodaLista"/>
        <w:numPr>
          <w:ilvl w:val="0"/>
          <w:numId w:val="16"/>
        </w:numPr>
        <w:tabs>
          <w:tab w:val="left" w:pos="491"/>
        </w:tabs>
        <w:spacing w:line="243" w:lineRule="exact"/>
        <w:rPr>
          <w:rFonts w:ascii="Cambria"/>
          <w:sz w:val="21"/>
        </w:rPr>
      </w:pPr>
      <w:r>
        <w:rPr>
          <w:rFonts w:ascii="Cambria"/>
          <w:color w:val="231F20"/>
          <w:w w:val="95"/>
          <w:sz w:val="21"/>
        </w:rPr>
        <w:t>Spectator</w:t>
      </w:r>
      <w:r>
        <w:rPr>
          <w:rFonts w:ascii="Cambria"/>
          <w:color w:val="231F20"/>
          <w:spacing w:val="11"/>
          <w:sz w:val="21"/>
        </w:rPr>
        <w:t xml:space="preserve"> </w:t>
      </w:r>
      <w:r>
        <w:rPr>
          <w:rFonts w:ascii="Cambria"/>
          <w:color w:val="231F20"/>
          <w:spacing w:val="-2"/>
          <w:sz w:val="21"/>
        </w:rPr>
        <w:t>events.</w:t>
      </w:r>
    </w:p>
    <w:p w14:paraId="0A170319" w14:textId="77777777" w:rsidR="00AE0598" w:rsidRDefault="0069255A">
      <w:pPr>
        <w:pStyle w:val="PargrafodaLista"/>
        <w:numPr>
          <w:ilvl w:val="0"/>
          <w:numId w:val="16"/>
        </w:numPr>
        <w:tabs>
          <w:tab w:val="left" w:pos="491"/>
        </w:tabs>
        <w:spacing w:line="240" w:lineRule="exact"/>
        <w:rPr>
          <w:rFonts w:ascii="Cambria"/>
          <w:sz w:val="21"/>
        </w:rPr>
      </w:pPr>
      <w:r>
        <w:rPr>
          <w:rFonts w:ascii="Cambria"/>
          <w:color w:val="231F20"/>
          <w:w w:val="95"/>
          <w:sz w:val="21"/>
        </w:rPr>
        <w:t>Participation</w:t>
      </w:r>
      <w:r>
        <w:rPr>
          <w:rFonts w:ascii="Cambria"/>
          <w:color w:val="231F20"/>
          <w:spacing w:val="19"/>
          <w:sz w:val="21"/>
        </w:rPr>
        <w:t xml:space="preserve"> </w:t>
      </w:r>
      <w:r>
        <w:rPr>
          <w:rFonts w:ascii="Cambria"/>
          <w:color w:val="231F20"/>
          <w:spacing w:val="-2"/>
          <w:sz w:val="21"/>
        </w:rPr>
        <w:t>events.</w:t>
      </w:r>
    </w:p>
    <w:p w14:paraId="2FDE9D0A" w14:textId="77777777" w:rsidR="00AE0598" w:rsidRDefault="0069255A">
      <w:pPr>
        <w:pStyle w:val="PargrafodaLista"/>
        <w:numPr>
          <w:ilvl w:val="0"/>
          <w:numId w:val="16"/>
        </w:numPr>
        <w:tabs>
          <w:tab w:val="left" w:pos="491"/>
        </w:tabs>
        <w:spacing w:line="240" w:lineRule="exact"/>
        <w:rPr>
          <w:rFonts w:ascii="Cambria"/>
          <w:sz w:val="21"/>
        </w:rPr>
      </w:pPr>
      <w:r>
        <w:rPr>
          <w:rFonts w:ascii="Cambria"/>
          <w:color w:val="231F20"/>
          <w:w w:val="95"/>
          <w:sz w:val="21"/>
        </w:rPr>
        <w:t>Active</w:t>
      </w:r>
      <w:r>
        <w:rPr>
          <w:rFonts w:ascii="Cambria"/>
          <w:color w:val="231F20"/>
          <w:spacing w:val="6"/>
          <w:sz w:val="21"/>
        </w:rPr>
        <w:t xml:space="preserve"> </w:t>
      </w:r>
      <w:r>
        <w:rPr>
          <w:rFonts w:ascii="Cambria"/>
          <w:color w:val="231F20"/>
          <w:w w:val="95"/>
          <w:sz w:val="21"/>
        </w:rPr>
        <w:t>engagement</w:t>
      </w:r>
      <w:r>
        <w:rPr>
          <w:rFonts w:ascii="Cambria"/>
          <w:color w:val="231F20"/>
          <w:spacing w:val="6"/>
          <w:sz w:val="21"/>
        </w:rPr>
        <w:t xml:space="preserve"> </w:t>
      </w:r>
      <w:r>
        <w:rPr>
          <w:rFonts w:ascii="Cambria"/>
          <w:color w:val="231F20"/>
          <w:w w:val="95"/>
          <w:sz w:val="21"/>
        </w:rPr>
        <w:t>in</w:t>
      </w:r>
      <w:r>
        <w:rPr>
          <w:rFonts w:ascii="Cambria"/>
          <w:color w:val="231F20"/>
          <w:spacing w:val="6"/>
          <w:sz w:val="21"/>
        </w:rPr>
        <w:t xml:space="preserve"> </w:t>
      </w:r>
      <w:r>
        <w:rPr>
          <w:rFonts w:ascii="Cambria"/>
          <w:color w:val="231F20"/>
          <w:w w:val="95"/>
          <w:sz w:val="21"/>
        </w:rPr>
        <w:t>recreation</w:t>
      </w:r>
      <w:r>
        <w:rPr>
          <w:rFonts w:ascii="Cambria"/>
          <w:color w:val="231F20"/>
          <w:spacing w:val="7"/>
          <w:sz w:val="21"/>
        </w:rPr>
        <w:t xml:space="preserve"> </w:t>
      </w:r>
      <w:r>
        <w:rPr>
          <w:rFonts w:ascii="Cambria"/>
          <w:color w:val="231F20"/>
          <w:spacing w:val="-2"/>
          <w:w w:val="95"/>
          <w:sz w:val="21"/>
        </w:rPr>
        <w:t>sports.</w:t>
      </w:r>
    </w:p>
    <w:p w14:paraId="0A3B6300" w14:textId="77777777" w:rsidR="00AE0598" w:rsidRDefault="0069255A">
      <w:pPr>
        <w:pStyle w:val="PargrafodaLista"/>
        <w:numPr>
          <w:ilvl w:val="0"/>
          <w:numId w:val="16"/>
        </w:numPr>
        <w:tabs>
          <w:tab w:val="left" w:pos="491"/>
        </w:tabs>
        <w:spacing w:line="243" w:lineRule="exact"/>
        <w:rPr>
          <w:rFonts w:ascii="Cambria"/>
          <w:sz w:val="21"/>
        </w:rPr>
      </w:pPr>
      <w:r>
        <w:rPr>
          <w:rFonts w:ascii="Cambria"/>
          <w:color w:val="231F20"/>
          <w:w w:val="95"/>
          <w:sz w:val="21"/>
        </w:rPr>
        <w:t>Sports</w:t>
      </w:r>
      <w:r>
        <w:rPr>
          <w:rFonts w:ascii="Cambria"/>
          <w:color w:val="231F20"/>
          <w:spacing w:val="7"/>
          <w:sz w:val="21"/>
        </w:rPr>
        <w:t xml:space="preserve"> </w:t>
      </w:r>
      <w:r>
        <w:rPr>
          <w:rFonts w:ascii="Cambria"/>
          <w:color w:val="231F20"/>
          <w:w w:val="95"/>
          <w:sz w:val="21"/>
        </w:rPr>
        <w:t>heritage</w:t>
      </w:r>
      <w:r>
        <w:rPr>
          <w:rFonts w:ascii="Cambria"/>
          <w:color w:val="231F20"/>
          <w:spacing w:val="7"/>
          <w:sz w:val="21"/>
        </w:rPr>
        <w:t xml:space="preserve"> </w:t>
      </w:r>
      <w:r>
        <w:rPr>
          <w:rFonts w:ascii="Cambria"/>
          <w:color w:val="231F20"/>
          <w:w w:val="95"/>
          <w:sz w:val="21"/>
        </w:rPr>
        <w:t>and</w:t>
      </w:r>
      <w:r>
        <w:rPr>
          <w:rFonts w:ascii="Cambria"/>
          <w:color w:val="231F20"/>
          <w:spacing w:val="7"/>
          <w:sz w:val="21"/>
        </w:rPr>
        <w:t xml:space="preserve"> </w:t>
      </w:r>
      <w:r>
        <w:rPr>
          <w:rFonts w:ascii="Cambria"/>
          <w:color w:val="231F20"/>
          <w:spacing w:val="-2"/>
          <w:w w:val="95"/>
          <w:sz w:val="21"/>
        </w:rPr>
        <w:t>nostalgia.</w:t>
      </w:r>
    </w:p>
    <w:p w14:paraId="2351ACBA" w14:textId="77777777" w:rsidR="00AE0598" w:rsidRDefault="00AE0598">
      <w:pPr>
        <w:pStyle w:val="Corpodetexto"/>
        <w:spacing w:before="11"/>
        <w:rPr>
          <w:sz w:val="19"/>
        </w:rPr>
      </w:pPr>
    </w:p>
    <w:p w14:paraId="0F5C181E" w14:textId="77777777" w:rsidR="00AE0598" w:rsidRDefault="0069255A">
      <w:pPr>
        <w:pStyle w:val="Corpodetexto"/>
        <w:ind w:left="430"/>
      </w:pPr>
      <w:r>
        <w:rPr>
          <w:color w:val="231F20"/>
          <w:w w:val="95"/>
        </w:rPr>
        <w:t>This</w:t>
      </w:r>
      <w:r>
        <w:rPr>
          <w:color w:val="231F20"/>
          <w:spacing w:val="9"/>
        </w:rPr>
        <w:t xml:space="preserve"> </w:t>
      </w:r>
      <w:r>
        <w:rPr>
          <w:color w:val="231F20"/>
          <w:w w:val="95"/>
        </w:rPr>
        <w:t>schema</w:t>
      </w:r>
      <w:r>
        <w:rPr>
          <w:color w:val="231F20"/>
          <w:spacing w:val="9"/>
        </w:rPr>
        <w:t xml:space="preserve"> </w:t>
      </w:r>
      <w:r>
        <w:rPr>
          <w:color w:val="231F20"/>
          <w:w w:val="95"/>
        </w:rPr>
        <w:t>serves</w:t>
      </w:r>
      <w:r>
        <w:rPr>
          <w:color w:val="231F20"/>
          <w:spacing w:val="10"/>
        </w:rPr>
        <w:t xml:space="preserve"> </w:t>
      </w:r>
      <w:r>
        <w:rPr>
          <w:color w:val="231F20"/>
          <w:w w:val="95"/>
        </w:rPr>
        <w:t>as</w:t>
      </w:r>
      <w:r>
        <w:rPr>
          <w:color w:val="231F20"/>
          <w:spacing w:val="9"/>
        </w:rPr>
        <w:t xml:space="preserve"> </w:t>
      </w:r>
      <w:r>
        <w:rPr>
          <w:color w:val="231F20"/>
          <w:w w:val="95"/>
        </w:rPr>
        <w:t>the</w:t>
      </w:r>
      <w:r>
        <w:rPr>
          <w:color w:val="231F20"/>
          <w:spacing w:val="10"/>
        </w:rPr>
        <w:t xml:space="preserve"> </w:t>
      </w:r>
      <w:r>
        <w:rPr>
          <w:color w:val="231F20"/>
          <w:w w:val="95"/>
        </w:rPr>
        <w:t>framework</w:t>
      </w:r>
      <w:r>
        <w:rPr>
          <w:color w:val="231F20"/>
          <w:spacing w:val="9"/>
        </w:rPr>
        <w:t xml:space="preserve"> </w:t>
      </w:r>
      <w:r>
        <w:rPr>
          <w:color w:val="231F20"/>
          <w:w w:val="95"/>
        </w:rPr>
        <w:t>for</w:t>
      </w:r>
      <w:r>
        <w:rPr>
          <w:color w:val="231F20"/>
          <w:spacing w:val="10"/>
        </w:rPr>
        <w:t xml:space="preserve"> </w:t>
      </w:r>
      <w:r>
        <w:rPr>
          <w:color w:val="231F20"/>
          <w:w w:val="95"/>
        </w:rPr>
        <w:t>the</w:t>
      </w:r>
      <w:r>
        <w:rPr>
          <w:color w:val="231F20"/>
          <w:spacing w:val="9"/>
        </w:rPr>
        <w:t xml:space="preserve"> </w:t>
      </w:r>
      <w:r>
        <w:rPr>
          <w:color w:val="231F20"/>
          <w:w w:val="95"/>
        </w:rPr>
        <w:t>following</w:t>
      </w:r>
      <w:r>
        <w:rPr>
          <w:color w:val="231F20"/>
          <w:spacing w:val="10"/>
        </w:rPr>
        <w:t xml:space="preserve"> </w:t>
      </w:r>
      <w:r>
        <w:rPr>
          <w:color w:val="231F20"/>
          <w:spacing w:val="-2"/>
          <w:w w:val="95"/>
        </w:rPr>
        <w:t>discussion.</w:t>
      </w:r>
    </w:p>
    <w:p w14:paraId="5B15E162" w14:textId="77777777" w:rsidR="00AE0598" w:rsidRDefault="00AE0598">
      <w:pPr>
        <w:sectPr w:rsidR="00AE0598">
          <w:pgSz w:w="8850" w:h="13270"/>
          <w:pgMar w:top="720" w:right="1060" w:bottom="280" w:left="1080" w:header="720" w:footer="720" w:gutter="0"/>
          <w:cols w:space="720"/>
        </w:sectPr>
      </w:pPr>
    </w:p>
    <w:p w14:paraId="71744610" w14:textId="77777777" w:rsidR="00AE0598" w:rsidRDefault="0069255A">
      <w:pPr>
        <w:spacing w:before="87"/>
        <w:ind w:left="108"/>
        <w:rPr>
          <w:rFonts w:ascii="Trebuchet MS"/>
          <w:sz w:val="14"/>
        </w:rPr>
      </w:pPr>
      <w:r>
        <w:rPr>
          <w:rFonts w:ascii="Trebuchet MS"/>
          <w:color w:val="231F20"/>
          <w:w w:val="105"/>
          <w:sz w:val="14"/>
        </w:rPr>
        <w:lastRenderedPageBreak/>
        <w:t>46</w:t>
      </w:r>
      <w:r>
        <w:rPr>
          <w:rFonts w:ascii="Trebuchet MS"/>
          <w:color w:val="231F20"/>
          <w:spacing w:val="64"/>
          <w:w w:val="150"/>
          <w:sz w:val="14"/>
        </w:rPr>
        <w:t xml:space="preserve"> </w:t>
      </w:r>
      <w:r>
        <w:rPr>
          <w:rFonts w:ascii="Trebuchet MS"/>
          <w:color w:val="231F20"/>
          <w:w w:val="105"/>
          <w:sz w:val="14"/>
        </w:rPr>
        <w:t>Part</w:t>
      </w:r>
      <w:r>
        <w:rPr>
          <w:rFonts w:ascii="Trebuchet MS"/>
          <w:color w:val="231F20"/>
          <w:spacing w:val="-9"/>
          <w:w w:val="105"/>
          <w:sz w:val="14"/>
        </w:rPr>
        <w:t xml:space="preserve"> </w:t>
      </w:r>
      <w:r>
        <w:rPr>
          <w:rFonts w:ascii="Trebuchet MS"/>
          <w:color w:val="231F20"/>
          <w:w w:val="105"/>
          <w:sz w:val="14"/>
        </w:rPr>
        <w:t>2:</w:t>
      </w:r>
      <w:r>
        <w:rPr>
          <w:rFonts w:ascii="Trebuchet MS"/>
          <w:color w:val="231F20"/>
          <w:spacing w:val="-9"/>
          <w:w w:val="105"/>
          <w:sz w:val="14"/>
        </w:rPr>
        <w:t xml:space="preserve"> </w:t>
      </w:r>
      <w:r>
        <w:rPr>
          <w:rFonts w:ascii="Trebuchet MS"/>
          <w:color w:val="231F20"/>
          <w:w w:val="105"/>
          <w:sz w:val="14"/>
        </w:rPr>
        <w:t>Foundations</w:t>
      </w:r>
      <w:r>
        <w:rPr>
          <w:rFonts w:ascii="Trebuchet MS"/>
          <w:color w:val="231F20"/>
          <w:spacing w:val="-9"/>
          <w:w w:val="105"/>
          <w:sz w:val="14"/>
        </w:rPr>
        <w:t xml:space="preserve"> </w:t>
      </w:r>
      <w:r>
        <w:rPr>
          <w:rFonts w:ascii="Trebuchet MS"/>
          <w:color w:val="231F20"/>
          <w:w w:val="105"/>
          <w:sz w:val="14"/>
        </w:rPr>
        <w:t>of</w:t>
      </w:r>
      <w:r>
        <w:rPr>
          <w:rFonts w:ascii="Trebuchet MS"/>
          <w:color w:val="231F20"/>
          <w:spacing w:val="-9"/>
          <w:w w:val="105"/>
          <w:sz w:val="14"/>
        </w:rPr>
        <w:t xml:space="preserve"> </w:t>
      </w:r>
      <w:r>
        <w:rPr>
          <w:rFonts w:ascii="Trebuchet MS"/>
          <w:color w:val="231F20"/>
          <w:w w:val="105"/>
          <w:sz w:val="14"/>
        </w:rPr>
        <w:t>Sport</w:t>
      </w:r>
      <w:r>
        <w:rPr>
          <w:rFonts w:ascii="Trebuchet MS"/>
          <w:color w:val="231F20"/>
          <w:spacing w:val="-9"/>
          <w:w w:val="105"/>
          <w:sz w:val="14"/>
        </w:rPr>
        <w:t xml:space="preserve"> </w:t>
      </w:r>
      <w:r>
        <w:rPr>
          <w:rFonts w:ascii="Trebuchet MS"/>
          <w:color w:val="231F20"/>
          <w:w w:val="105"/>
          <w:sz w:val="14"/>
        </w:rPr>
        <w:t>Tourism</w:t>
      </w:r>
      <w:r>
        <w:rPr>
          <w:rFonts w:ascii="Trebuchet MS"/>
          <w:color w:val="231F20"/>
          <w:spacing w:val="-9"/>
          <w:w w:val="105"/>
          <w:sz w:val="14"/>
        </w:rPr>
        <w:t xml:space="preserve"> </w:t>
      </w:r>
      <w:r>
        <w:rPr>
          <w:rFonts w:ascii="Trebuchet MS"/>
          <w:color w:val="231F20"/>
          <w:spacing w:val="-2"/>
          <w:w w:val="105"/>
          <w:sz w:val="14"/>
        </w:rPr>
        <w:t>Development</w:t>
      </w:r>
    </w:p>
    <w:p w14:paraId="14B0CF5F" w14:textId="77777777" w:rsidR="00AE0598" w:rsidRDefault="00AE0598">
      <w:pPr>
        <w:pStyle w:val="Corpodetexto"/>
        <w:rPr>
          <w:rFonts w:ascii="Trebuchet MS"/>
          <w:sz w:val="16"/>
        </w:rPr>
      </w:pPr>
    </w:p>
    <w:p w14:paraId="5E103737" w14:textId="77777777" w:rsidR="00AE0598" w:rsidRDefault="0069255A">
      <w:pPr>
        <w:spacing w:before="120"/>
        <w:ind w:left="110"/>
        <w:rPr>
          <w:rFonts w:ascii="Trebuchet MS"/>
          <w:b/>
          <w:sz w:val="20"/>
        </w:rPr>
      </w:pPr>
      <w:r>
        <w:rPr>
          <w:rFonts w:ascii="Trebuchet MS"/>
          <w:b/>
          <w:color w:val="231F20"/>
          <w:sz w:val="20"/>
        </w:rPr>
        <w:t>Spectator</w:t>
      </w:r>
      <w:r>
        <w:rPr>
          <w:rFonts w:ascii="Trebuchet MS"/>
          <w:b/>
          <w:color w:val="231F20"/>
          <w:spacing w:val="1"/>
          <w:sz w:val="20"/>
        </w:rPr>
        <w:t xml:space="preserve"> </w:t>
      </w:r>
      <w:r>
        <w:rPr>
          <w:rFonts w:ascii="Trebuchet MS"/>
          <w:b/>
          <w:color w:val="231F20"/>
          <w:spacing w:val="-2"/>
          <w:sz w:val="20"/>
        </w:rPr>
        <w:t>Events</w:t>
      </w:r>
    </w:p>
    <w:p w14:paraId="2F2332AA" w14:textId="77777777" w:rsidR="00AE0598" w:rsidRDefault="0069255A">
      <w:pPr>
        <w:pStyle w:val="Corpodetexto"/>
        <w:spacing w:before="122" w:line="232" w:lineRule="auto"/>
        <w:ind w:left="110" w:right="127" w:firstLine="320"/>
        <w:jc w:val="both"/>
      </w:pPr>
      <w:r>
        <w:rPr>
          <w:color w:val="231F20"/>
        </w:rPr>
        <w:t xml:space="preserve">Event sport tourism, in its most prominent guise, involves travel to </w:t>
      </w:r>
      <w:r>
        <w:rPr>
          <w:color w:val="231F20"/>
          <w:w w:val="95"/>
        </w:rPr>
        <w:t xml:space="preserve">experience sporting events, where the body of spectators outweighs a small </w:t>
      </w:r>
      <w:r>
        <w:rPr>
          <w:color w:val="231F20"/>
        </w:rPr>
        <w:t xml:space="preserve">number of elite competitors (Hinch &amp; Higham, 2004). The most widely </w:t>
      </w:r>
      <w:r>
        <w:rPr>
          <w:color w:val="231F20"/>
          <w:w w:val="95"/>
        </w:rPr>
        <w:t>researched examples of spectator events focu</w:t>
      </w:r>
      <w:r>
        <w:rPr>
          <w:color w:val="231F20"/>
          <w:w w:val="95"/>
        </w:rPr>
        <w:t xml:space="preserve">s on mega-events such as the </w:t>
      </w:r>
      <w:r>
        <w:rPr>
          <w:color w:val="231F20"/>
        </w:rPr>
        <w:t>Olympic Games, FIFA World Cup, Rugby World Cup and Formula One Grand Prix (Burgan &amp; Mules, 1992; Fourie &amp; Santana-Gallego, 2011; Jones, 2001; Ritchie, 1984; Weed, 2007). However, sports competition may or may not be the primary attraction of a sports event</w:t>
      </w:r>
      <w:r>
        <w:rPr>
          <w:color w:val="231F20"/>
        </w:rPr>
        <w:t>. Hallmark sports events such as the Wimbledon Lawn Tennis Championship may also</w:t>
      </w:r>
      <w:r>
        <w:rPr>
          <w:color w:val="231F20"/>
          <w:spacing w:val="-2"/>
        </w:rPr>
        <w:t xml:space="preserve"> </w:t>
      </w:r>
      <w:r>
        <w:rPr>
          <w:color w:val="231F20"/>
        </w:rPr>
        <w:t>be</w:t>
      </w:r>
      <w:r>
        <w:rPr>
          <w:color w:val="231F20"/>
          <w:spacing w:val="-2"/>
        </w:rPr>
        <w:t xml:space="preserve"> </w:t>
      </w:r>
      <w:r>
        <w:rPr>
          <w:color w:val="231F20"/>
        </w:rPr>
        <w:t>attended</w:t>
      </w:r>
      <w:r>
        <w:rPr>
          <w:color w:val="231F20"/>
          <w:spacing w:val="-2"/>
        </w:rPr>
        <w:t xml:space="preserve"> </w:t>
      </w:r>
      <w:r>
        <w:rPr>
          <w:color w:val="231F20"/>
        </w:rPr>
        <w:t>for</w:t>
      </w:r>
      <w:r>
        <w:rPr>
          <w:color w:val="231F20"/>
          <w:spacing w:val="-2"/>
        </w:rPr>
        <w:t xml:space="preserve"> </w:t>
      </w:r>
      <w:r>
        <w:rPr>
          <w:color w:val="231F20"/>
        </w:rPr>
        <w:t>its</w:t>
      </w:r>
      <w:r>
        <w:rPr>
          <w:color w:val="231F20"/>
          <w:spacing w:val="-2"/>
        </w:rPr>
        <w:t xml:space="preserve"> </w:t>
      </w:r>
      <w:r>
        <w:rPr>
          <w:color w:val="231F20"/>
        </w:rPr>
        <w:t>heritage</w:t>
      </w:r>
      <w:r>
        <w:rPr>
          <w:color w:val="231F20"/>
          <w:spacing w:val="-2"/>
        </w:rPr>
        <w:t xml:space="preserve"> </w:t>
      </w:r>
      <w:r>
        <w:rPr>
          <w:color w:val="231F20"/>
        </w:rPr>
        <w:t>and</w:t>
      </w:r>
      <w:r>
        <w:rPr>
          <w:color w:val="231F20"/>
          <w:spacing w:val="-2"/>
        </w:rPr>
        <w:t xml:space="preserve"> </w:t>
      </w:r>
      <w:r>
        <w:rPr>
          <w:color w:val="231F20"/>
        </w:rPr>
        <w:t>traditional</w:t>
      </w:r>
      <w:r>
        <w:rPr>
          <w:color w:val="231F20"/>
          <w:spacing w:val="-2"/>
        </w:rPr>
        <w:t xml:space="preserve"> </w:t>
      </w:r>
      <w:r>
        <w:rPr>
          <w:color w:val="231F20"/>
        </w:rPr>
        <w:t>value,</w:t>
      </w:r>
      <w:r>
        <w:rPr>
          <w:color w:val="231F20"/>
          <w:spacing w:val="-2"/>
        </w:rPr>
        <w:t xml:space="preserve"> </w:t>
      </w:r>
      <w:r>
        <w:rPr>
          <w:color w:val="231F20"/>
        </w:rPr>
        <w:t>and</w:t>
      </w:r>
      <w:r>
        <w:rPr>
          <w:color w:val="231F20"/>
          <w:spacing w:val="-2"/>
        </w:rPr>
        <w:t xml:space="preserve"> </w:t>
      </w:r>
      <w:r>
        <w:rPr>
          <w:color w:val="231F20"/>
        </w:rPr>
        <w:t>Americas</w:t>
      </w:r>
      <w:r>
        <w:rPr>
          <w:color w:val="231F20"/>
          <w:spacing w:val="-2"/>
        </w:rPr>
        <w:t xml:space="preserve"> </w:t>
      </w:r>
      <w:r>
        <w:rPr>
          <w:color w:val="231F20"/>
        </w:rPr>
        <w:t xml:space="preserve">Cup </w:t>
      </w:r>
      <w:r>
        <w:rPr>
          <w:color w:val="231F20"/>
          <w:w w:val="95"/>
        </w:rPr>
        <w:t xml:space="preserve">and the Super Bowl for commercial and business purposes (O’Reilly </w:t>
      </w:r>
      <w:r>
        <w:rPr>
          <w:i/>
          <w:color w:val="231F20"/>
          <w:w w:val="95"/>
        </w:rPr>
        <w:t>et al</w:t>
      </w:r>
      <w:r>
        <w:rPr>
          <w:color w:val="231F20"/>
          <w:w w:val="95"/>
        </w:rPr>
        <w:t xml:space="preserve">., </w:t>
      </w:r>
      <w:r>
        <w:rPr>
          <w:color w:val="231F20"/>
        </w:rPr>
        <w:t>2008).</w:t>
      </w:r>
      <w:r>
        <w:rPr>
          <w:color w:val="231F20"/>
          <w:spacing w:val="-3"/>
        </w:rPr>
        <w:t xml:space="preserve"> </w:t>
      </w:r>
      <w:r>
        <w:rPr>
          <w:color w:val="231F20"/>
        </w:rPr>
        <w:t>Large-scale</w:t>
      </w:r>
      <w:r>
        <w:rPr>
          <w:color w:val="231F20"/>
          <w:spacing w:val="-3"/>
        </w:rPr>
        <w:t xml:space="preserve"> </w:t>
      </w:r>
      <w:r>
        <w:rPr>
          <w:color w:val="231F20"/>
        </w:rPr>
        <w:t>spectator</w:t>
      </w:r>
      <w:r>
        <w:rPr>
          <w:color w:val="231F20"/>
          <w:spacing w:val="-3"/>
        </w:rPr>
        <w:t xml:space="preserve"> </w:t>
      </w:r>
      <w:r>
        <w:rPr>
          <w:color w:val="231F20"/>
        </w:rPr>
        <w:t>spo</w:t>
      </w:r>
      <w:r>
        <w:rPr>
          <w:color w:val="231F20"/>
        </w:rPr>
        <w:t>rts</w:t>
      </w:r>
      <w:r>
        <w:rPr>
          <w:color w:val="231F20"/>
          <w:spacing w:val="-3"/>
        </w:rPr>
        <w:t xml:space="preserve"> </w:t>
      </w:r>
      <w:r>
        <w:rPr>
          <w:color w:val="231F20"/>
        </w:rPr>
        <w:t>events</w:t>
      </w:r>
      <w:r>
        <w:rPr>
          <w:color w:val="231F20"/>
          <w:spacing w:val="-3"/>
        </w:rPr>
        <w:t xml:space="preserve"> </w:t>
      </w:r>
      <w:r>
        <w:rPr>
          <w:color w:val="231F20"/>
        </w:rPr>
        <w:t>may,</w:t>
      </w:r>
      <w:r>
        <w:rPr>
          <w:color w:val="231F20"/>
          <w:spacing w:val="-3"/>
        </w:rPr>
        <w:t xml:space="preserve"> </w:t>
      </w:r>
      <w:r>
        <w:rPr>
          <w:color w:val="231F20"/>
        </w:rPr>
        <w:t>then,</w:t>
      </w:r>
      <w:r>
        <w:rPr>
          <w:color w:val="231F20"/>
          <w:spacing w:val="-3"/>
        </w:rPr>
        <w:t xml:space="preserve"> </w:t>
      </w:r>
      <w:r>
        <w:rPr>
          <w:color w:val="231F20"/>
        </w:rPr>
        <w:t>attract</w:t>
      </w:r>
      <w:r>
        <w:rPr>
          <w:color w:val="231F20"/>
          <w:spacing w:val="-3"/>
        </w:rPr>
        <w:t xml:space="preserve"> </w:t>
      </w:r>
      <w:r>
        <w:rPr>
          <w:color w:val="231F20"/>
        </w:rPr>
        <w:t>tourists</w:t>
      </w:r>
      <w:r>
        <w:rPr>
          <w:color w:val="231F20"/>
          <w:spacing w:val="-3"/>
        </w:rPr>
        <w:t xml:space="preserve"> </w:t>
      </w:r>
      <w:r>
        <w:rPr>
          <w:color w:val="231F20"/>
        </w:rPr>
        <w:t>for whom the sporting competition is a coincidental or secondary factor in their</w:t>
      </w:r>
      <w:r>
        <w:rPr>
          <w:color w:val="231F20"/>
          <w:spacing w:val="-3"/>
        </w:rPr>
        <w:t xml:space="preserve"> </w:t>
      </w:r>
      <w:r>
        <w:rPr>
          <w:color w:val="231F20"/>
        </w:rPr>
        <w:t>attendance.</w:t>
      </w:r>
      <w:r>
        <w:rPr>
          <w:color w:val="231F20"/>
          <w:spacing w:val="-3"/>
        </w:rPr>
        <w:t xml:space="preserve"> </w:t>
      </w:r>
      <w:r>
        <w:rPr>
          <w:color w:val="231F20"/>
        </w:rPr>
        <w:t>This</w:t>
      </w:r>
      <w:r>
        <w:rPr>
          <w:color w:val="231F20"/>
          <w:spacing w:val="-3"/>
        </w:rPr>
        <w:t xml:space="preserve"> </w:t>
      </w:r>
      <w:r>
        <w:rPr>
          <w:color w:val="231F20"/>
        </w:rPr>
        <w:t>suggests</w:t>
      </w:r>
      <w:r>
        <w:rPr>
          <w:color w:val="231F20"/>
          <w:spacing w:val="-3"/>
        </w:rPr>
        <w:t xml:space="preserve"> </w:t>
      </w:r>
      <w:r>
        <w:rPr>
          <w:color w:val="231F20"/>
        </w:rPr>
        <w:t>that</w:t>
      </w:r>
      <w:r>
        <w:rPr>
          <w:color w:val="231F20"/>
          <w:spacing w:val="-3"/>
        </w:rPr>
        <w:t xml:space="preserve"> </w:t>
      </w:r>
      <w:r>
        <w:rPr>
          <w:color w:val="231F20"/>
        </w:rPr>
        <w:t>approaches</w:t>
      </w:r>
      <w:r>
        <w:rPr>
          <w:color w:val="231F20"/>
          <w:spacing w:val="-3"/>
        </w:rPr>
        <w:t xml:space="preserve"> </w:t>
      </w:r>
      <w:r>
        <w:rPr>
          <w:color w:val="231F20"/>
        </w:rPr>
        <w:t>to</w:t>
      </w:r>
      <w:r>
        <w:rPr>
          <w:color w:val="231F20"/>
          <w:spacing w:val="-3"/>
        </w:rPr>
        <w:t xml:space="preserve"> </w:t>
      </w:r>
      <w:r>
        <w:rPr>
          <w:color w:val="231F20"/>
        </w:rPr>
        <w:t>market</w:t>
      </w:r>
      <w:r>
        <w:rPr>
          <w:color w:val="231F20"/>
          <w:spacing w:val="-3"/>
        </w:rPr>
        <w:t xml:space="preserve"> </w:t>
      </w:r>
      <w:r>
        <w:rPr>
          <w:color w:val="231F20"/>
        </w:rPr>
        <w:t>segmentation are also applicable to spectator event markets, an exercise that requir</w:t>
      </w:r>
      <w:r>
        <w:rPr>
          <w:color w:val="231F20"/>
        </w:rPr>
        <w:t>es further empirical research.</w:t>
      </w:r>
    </w:p>
    <w:p w14:paraId="745B7CFF" w14:textId="77777777" w:rsidR="00AE0598" w:rsidRDefault="0069255A">
      <w:pPr>
        <w:pStyle w:val="Corpodetexto"/>
        <w:spacing w:before="20" w:line="232" w:lineRule="auto"/>
        <w:ind w:left="110" w:right="127" w:firstLine="320"/>
        <w:jc w:val="both"/>
      </w:pPr>
      <w:r>
        <w:rPr>
          <w:color w:val="231F20"/>
        </w:rPr>
        <w:t xml:space="preserve">Numerous avenues of tourism development may be associated with </w:t>
      </w:r>
      <w:r>
        <w:rPr>
          <w:color w:val="231F20"/>
          <w:w w:val="95"/>
        </w:rPr>
        <w:t xml:space="preserve">spectator-driven elite sports events. Faulkner </w:t>
      </w:r>
      <w:r>
        <w:rPr>
          <w:i/>
          <w:color w:val="231F20"/>
          <w:w w:val="95"/>
        </w:rPr>
        <w:t>et al</w:t>
      </w:r>
      <w:r>
        <w:rPr>
          <w:color w:val="231F20"/>
          <w:w w:val="95"/>
        </w:rPr>
        <w:t xml:space="preserve">. (1998) emphasise the </w:t>
      </w:r>
      <w:r>
        <w:rPr>
          <w:color w:val="231F20"/>
        </w:rPr>
        <w:t xml:space="preserve">need for sport and tourism authorities to establish a set of conditions to ensure that </w:t>
      </w:r>
      <w:r>
        <w:rPr>
          <w:color w:val="231F20"/>
        </w:rPr>
        <w:t>this potential is captured. In a study of the 2000 Olympic Games, they state that</w:t>
      </w:r>
    </w:p>
    <w:p w14:paraId="74D72949" w14:textId="77777777" w:rsidR="00AE0598" w:rsidRDefault="00AE0598">
      <w:pPr>
        <w:pStyle w:val="Corpodetexto"/>
        <w:spacing w:before="3"/>
      </w:pPr>
    </w:p>
    <w:p w14:paraId="7D57D006" w14:textId="77777777" w:rsidR="00AE0598" w:rsidRDefault="0069255A">
      <w:pPr>
        <w:spacing w:line="244" w:lineRule="auto"/>
        <w:ind w:left="430" w:right="126"/>
        <w:jc w:val="both"/>
        <w:rPr>
          <w:sz w:val="20"/>
        </w:rPr>
      </w:pPr>
      <w:r>
        <w:rPr>
          <w:color w:val="231F20"/>
          <w:w w:val="95"/>
          <w:sz w:val="20"/>
        </w:rPr>
        <w:t>…in reality, there are both tourism opportunities that can be derived from hosting the games and offsetting negative effects, and the degree to which the former are accentua</w:t>
      </w:r>
      <w:r>
        <w:rPr>
          <w:color w:val="231F20"/>
          <w:w w:val="95"/>
          <w:sz w:val="20"/>
        </w:rPr>
        <w:t xml:space="preserve">ted and the latter ameliorated ultimately depends </w:t>
      </w:r>
      <w:r>
        <w:rPr>
          <w:color w:val="231F20"/>
          <w:sz w:val="20"/>
        </w:rPr>
        <w:t>on</w:t>
      </w:r>
      <w:r>
        <w:rPr>
          <w:color w:val="231F20"/>
          <w:spacing w:val="-2"/>
          <w:sz w:val="20"/>
        </w:rPr>
        <w:t xml:space="preserve"> </w:t>
      </w:r>
      <w:r>
        <w:rPr>
          <w:color w:val="231F20"/>
          <w:sz w:val="20"/>
        </w:rPr>
        <w:t>the</w:t>
      </w:r>
      <w:r>
        <w:rPr>
          <w:color w:val="231F20"/>
          <w:spacing w:val="-2"/>
          <w:sz w:val="20"/>
        </w:rPr>
        <w:t xml:space="preserve"> </w:t>
      </w:r>
      <w:r>
        <w:rPr>
          <w:color w:val="231F20"/>
          <w:sz w:val="20"/>
        </w:rPr>
        <w:t>extent</w:t>
      </w:r>
      <w:r>
        <w:rPr>
          <w:color w:val="231F20"/>
          <w:spacing w:val="-2"/>
          <w:sz w:val="20"/>
        </w:rPr>
        <w:t xml:space="preserve"> </w:t>
      </w:r>
      <w:r>
        <w:rPr>
          <w:color w:val="231F20"/>
          <w:sz w:val="20"/>
        </w:rPr>
        <w:t>to</w:t>
      </w:r>
      <w:r>
        <w:rPr>
          <w:color w:val="231F20"/>
          <w:spacing w:val="-2"/>
          <w:sz w:val="20"/>
        </w:rPr>
        <w:t xml:space="preserve"> </w:t>
      </w:r>
      <w:r>
        <w:rPr>
          <w:color w:val="231F20"/>
          <w:sz w:val="20"/>
        </w:rPr>
        <w:t>which</w:t>
      </w:r>
      <w:r>
        <w:rPr>
          <w:color w:val="231F20"/>
          <w:spacing w:val="-2"/>
          <w:sz w:val="20"/>
        </w:rPr>
        <w:t xml:space="preserve"> </w:t>
      </w:r>
      <w:r>
        <w:rPr>
          <w:color w:val="231F20"/>
          <w:sz w:val="20"/>
        </w:rPr>
        <w:t>the</w:t>
      </w:r>
      <w:r>
        <w:rPr>
          <w:color w:val="231F20"/>
          <w:spacing w:val="-2"/>
          <w:sz w:val="20"/>
        </w:rPr>
        <w:t xml:space="preserve"> </w:t>
      </w:r>
      <w:r>
        <w:rPr>
          <w:color w:val="231F20"/>
          <w:sz w:val="20"/>
        </w:rPr>
        <w:t>leveraging</w:t>
      </w:r>
      <w:r>
        <w:rPr>
          <w:color w:val="231F20"/>
          <w:spacing w:val="-2"/>
          <w:sz w:val="20"/>
        </w:rPr>
        <w:t xml:space="preserve"> </w:t>
      </w:r>
      <w:r>
        <w:rPr>
          <w:color w:val="231F20"/>
          <w:sz w:val="20"/>
        </w:rPr>
        <w:t>strategies</w:t>
      </w:r>
      <w:r>
        <w:rPr>
          <w:color w:val="231F20"/>
          <w:spacing w:val="-2"/>
          <w:sz w:val="20"/>
        </w:rPr>
        <w:t xml:space="preserve"> </w:t>
      </w:r>
      <w:r>
        <w:rPr>
          <w:color w:val="231F20"/>
          <w:sz w:val="20"/>
        </w:rPr>
        <w:t>adopted</w:t>
      </w:r>
      <w:r>
        <w:rPr>
          <w:color w:val="231F20"/>
          <w:spacing w:val="-2"/>
          <w:sz w:val="20"/>
        </w:rPr>
        <w:t xml:space="preserve"> </w:t>
      </w:r>
      <w:r>
        <w:rPr>
          <w:color w:val="231F20"/>
          <w:sz w:val="20"/>
        </w:rPr>
        <w:t>by</w:t>
      </w:r>
      <w:r>
        <w:rPr>
          <w:color w:val="231F20"/>
          <w:spacing w:val="-2"/>
          <w:sz w:val="20"/>
        </w:rPr>
        <w:t xml:space="preserve"> </w:t>
      </w:r>
      <w:r>
        <w:rPr>
          <w:color w:val="231F20"/>
          <w:sz w:val="20"/>
        </w:rPr>
        <w:t>the</w:t>
      </w:r>
      <w:r>
        <w:rPr>
          <w:color w:val="231F20"/>
          <w:spacing w:val="-2"/>
          <w:sz w:val="20"/>
        </w:rPr>
        <w:t xml:space="preserve"> </w:t>
      </w:r>
      <w:r>
        <w:rPr>
          <w:color w:val="231F20"/>
          <w:sz w:val="20"/>
        </w:rPr>
        <w:t xml:space="preserve">industry and relevant public agencies are effectively integrated. (Faulkner </w:t>
      </w:r>
      <w:r>
        <w:rPr>
          <w:i/>
          <w:color w:val="231F20"/>
          <w:sz w:val="20"/>
        </w:rPr>
        <w:t>et al</w:t>
      </w:r>
      <w:r>
        <w:rPr>
          <w:color w:val="231F20"/>
          <w:sz w:val="20"/>
        </w:rPr>
        <w:t>., 1998: 1)</w:t>
      </w:r>
    </w:p>
    <w:p w14:paraId="2CD475C9" w14:textId="77777777" w:rsidR="00AE0598" w:rsidRDefault="00AE0598">
      <w:pPr>
        <w:pStyle w:val="Corpodetexto"/>
        <w:spacing w:before="7"/>
        <w:rPr>
          <w:sz w:val="20"/>
        </w:rPr>
      </w:pPr>
    </w:p>
    <w:p w14:paraId="6DB76061" w14:textId="77777777" w:rsidR="00AE0598" w:rsidRDefault="0069255A">
      <w:pPr>
        <w:pStyle w:val="Corpodetexto"/>
        <w:spacing w:line="232" w:lineRule="auto"/>
        <w:ind w:left="110" w:right="127" w:firstLine="320"/>
        <w:jc w:val="both"/>
      </w:pPr>
      <w:r>
        <w:rPr>
          <w:color w:val="231F20"/>
          <w:w w:val="95"/>
        </w:rPr>
        <w:t>The</w:t>
      </w:r>
      <w:r>
        <w:rPr>
          <w:color w:val="231F20"/>
          <w:spacing w:val="-3"/>
          <w:w w:val="95"/>
        </w:rPr>
        <w:t xml:space="preserve"> </w:t>
      </w:r>
      <w:r>
        <w:rPr>
          <w:color w:val="231F20"/>
          <w:w w:val="95"/>
        </w:rPr>
        <w:t>build-up</w:t>
      </w:r>
      <w:r>
        <w:rPr>
          <w:color w:val="231F20"/>
          <w:spacing w:val="-3"/>
          <w:w w:val="95"/>
        </w:rPr>
        <w:t xml:space="preserve"> </w:t>
      </w:r>
      <w:r>
        <w:rPr>
          <w:color w:val="231F20"/>
          <w:w w:val="95"/>
        </w:rPr>
        <w:t>to</w:t>
      </w:r>
      <w:r>
        <w:rPr>
          <w:color w:val="231F20"/>
          <w:spacing w:val="-3"/>
          <w:w w:val="95"/>
        </w:rPr>
        <w:t xml:space="preserve"> </w:t>
      </w:r>
      <w:r>
        <w:rPr>
          <w:color w:val="231F20"/>
          <w:w w:val="95"/>
        </w:rPr>
        <w:t>the</w:t>
      </w:r>
      <w:r>
        <w:rPr>
          <w:color w:val="231F20"/>
          <w:spacing w:val="-3"/>
          <w:w w:val="95"/>
        </w:rPr>
        <w:t xml:space="preserve"> </w:t>
      </w:r>
      <w:r>
        <w:rPr>
          <w:color w:val="231F20"/>
          <w:w w:val="95"/>
        </w:rPr>
        <w:t>Sydney</w:t>
      </w:r>
      <w:r>
        <w:rPr>
          <w:color w:val="231F20"/>
          <w:spacing w:val="-3"/>
          <w:w w:val="95"/>
        </w:rPr>
        <w:t xml:space="preserve"> </w:t>
      </w:r>
      <w:r>
        <w:rPr>
          <w:color w:val="231F20"/>
          <w:w w:val="95"/>
        </w:rPr>
        <w:t>2000</w:t>
      </w:r>
      <w:r>
        <w:rPr>
          <w:color w:val="231F20"/>
          <w:spacing w:val="-3"/>
          <w:w w:val="95"/>
        </w:rPr>
        <w:t xml:space="preserve"> </w:t>
      </w:r>
      <w:r>
        <w:rPr>
          <w:color w:val="231F20"/>
          <w:w w:val="95"/>
        </w:rPr>
        <w:t>Olympic</w:t>
      </w:r>
      <w:r>
        <w:rPr>
          <w:color w:val="231F20"/>
          <w:spacing w:val="-3"/>
          <w:w w:val="95"/>
        </w:rPr>
        <w:t xml:space="preserve"> </w:t>
      </w:r>
      <w:r>
        <w:rPr>
          <w:color w:val="231F20"/>
          <w:w w:val="95"/>
        </w:rPr>
        <w:t>Games</w:t>
      </w:r>
      <w:r>
        <w:rPr>
          <w:color w:val="231F20"/>
          <w:spacing w:val="-3"/>
          <w:w w:val="95"/>
        </w:rPr>
        <w:t xml:space="preserve"> </w:t>
      </w:r>
      <w:r>
        <w:rPr>
          <w:color w:val="231F20"/>
          <w:w w:val="95"/>
        </w:rPr>
        <w:t>involved</w:t>
      </w:r>
      <w:r>
        <w:rPr>
          <w:color w:val="231F20"/>
          <w:spacing w:val="-3"/>
          <w:w w:val="95"/>
        </w:rPr>
        <w:t xml:space="preserve"> </w:t>
      </w:r>
      <w:r>
        <w:rPr>
          <w:color w:val="231F20"/>
          <w:w w:val="95"/>
        </w:rPr>
        <w:t>a</w:t>
      </w:r>
      <w:r>
        <w:rPr>
          <w:color w:val="231F20"/>
          <w:spacing w:val="-3"/>
          <w:w w:val="95"/>
        </w:rPr>
        <w:t xml:space="preserve"> </w:t>
      </w:r>
      <w:r>
        <w:rPr>
          <w:color w:val="231F20"/>
          <w:w w:val="95"/>
        </w:rPr>
        <w:t xml:space="preserve">coordinated </w:t>
      </w:r>
      <w:r>
        <w:rPr>
          <w:color w:val="231F20"/>
        </w:rPr>
        <w:t xml:space="preserve">leveraging programme to which both sport and tourism administrators at the federal and state </w:t>
      </w:r>
      <w:r>
        <w:rPr>
          <w:color w:val="231F20"/>
        </w:rPr>
        <w:t>levels were required to actively contribute. The outcome was effective destination promotion, successful pre-games training and acclimatisation camps, the stimulation of convention and incentive</w:t>
      </w:r>
      <w:r>
        <w:rPr>
          <w:color w:val="231F20"/>
          <w:spacing w:val="-4"/>
        </w:rPr>
        <w:t xml:space="preserve"> </w:t>
      </w:r>
      <w:r>
        <w:rPr>
          <w:color w:val="231F20"/>
        </w:rPr>
        <w:t>travel,</w:t>
      </w:r>
      <w:r>
        <w:rPr>
          <w:color w:val="231F20"/>
          <w:spacing w:val="-4"/>
        </w:rPr>
        <w:t xml:space="preserve"> </w:t>
      </w:r>
      <w:r>
        <w:rPr>
          <w:color w:val="231F20"/>
        </w:rPr>
        <w:t>the</w:t>
      </w:r>
      <w:r>
        <w:rPr>
          <w:color w:val="231F20"/>
          <w:spacing w:val="-4"/>
        </w:rPr>
        <w:t xml:space="preserve"> </w:t>
      </w:r>
      <w:r>
        <w:rPr>
          <w:color w:val="231F20"/>
        </w:rPr>
        <w:t>promotion</w:t>
      </w:r>
      <w:r>
        <w:rPr>
          <w:color w:val="231F20"/>
          <w:spacing w:val="-4"/>
        </w:rPr>
        <w:t xml:space="preserve"> </w:t>
      </w:r>
      <w:r>
        <w:rPr>
          <w:color w:val="231F20"/>
        </w:rPr>
        <w:t>of</w:t>
      </w:r>
      <w:r>
        <w:rPr>
          <w:color w:val="231F20"/>
          <w:spacing w:val="-4"/>
        </w:rPr>
        <w:t xml:space="preserve"> </w:t>
      </w:r>
      <w:r>
        <w:rPr>
          <w:color w:val="231F20"/>
        </w:rPr>
        <w:t>pre-</w:t>
      </w:r>
      <w:r>
        <w:rPr>
          <w:color w:val="231F20"/>
          <w:spacing w:val="-4"/>
        </w:rPr>
        <w:t xml:space="preserve"> </w:t>
      </w:r>
      <w:r>
        <w:rPr>
          <w:color w:val="231F20"/>
        </w:rPr>
        <w:t>and</w:t>
      </w:r>
      <w:r>
        <w:rPr>
          <w:color w:val="231F20"/>
          <w:spacing w:val="-4"/>
        </w:rPr>
        <w:t xml:space="preserve"> </w:t>
      </w:r>
      <w:r>
        <w:rPr>
          <w:color w:val="231F20"/>
        </w:rPr>
        <w:t>post-Games</w:t>
      </w:r>
      <w:r>
        <w:rPr>
          <w:color w:val="231F20"/>
          <w:spacing w:val="-4"/>
        </w:rPr>
        <w:t xml:space="preserve"> </w:t>
      </w:r>
      <w:r>
        <w:rPr>
          <w:color w:val="231F20"/>
        </w:rPr>
        <w:t>travel</w:t>
      </w:r>
      <w:r>
        <w:rPr>
          <w:color w:val="231F20"/>
          <w:spacing w:val="-4"/>
        </w:rPr>
        <w:t xml:space="preserve"> </w:t>
      </w:r>
      <w:r>
        <w:rPr>
          <w:color w:val="231F20"/>
        </w:rPr>
        <w:t>itinerari</w:t>
      </w:r>
      <w:r>
        <w:rPr>
          <w:color w:val="231F20"/>
        </w:rPr>
        <w:t xml:space="preserve">es and the minimisation of diversion and aversion effects (Faulkner </w:t>
      </w:r>
      <w:r>
        <w:rPr>
          <w:i/>
          <w:color w:val="231F20"/>
        </w:rPr>
        <w:t>et al</w:t>
      </w:r>
      <w:r>
        <w:rPr>
          <w:color w:val="231F20"/>
        </w:rPr>
        <w:t xml:space="preserve">., 1998; O’Brien, 2006). Leveraging elite sports events requires a clear </w:t>
      </w:r>
      <w:r>
        <w:rPr>
          <w:color w:val="231F20"/>
          <w:w w:val="95"/>
        </w:rPr>
        <w:t>understanding of the tourism development opportunities that exist beyond games-induced travel. Indeed, various</w:t>
      </w:r>
      <w:r>
        <w:rPr>
          <w:color w:val="231F20"/>
          <w:w w:val="95"/>
        </w:rPr>
        <w:t xml:space="preserve"> modern Olympic Games have been studied to forecast and/or measure Games-induced travel (Kang &amp; Perdue, 1994; O’Brien, 2006; Pyo </w:t>
      </w:r>
      <w:r>
        <w:rPr>
          <w:i/>
          <w:color w:val="231F20"/>
          <w:w w:val="95"/>
        </w:rPr>
        <w:t>et al</w:t>
      </w:r>
      <w:r>
        <w:rPr>
          <w:color w:val="231F20"/>
          <w:w w:val="95"/>
        </w:rPr>
        <w:t xml:space="preserve">., 1991). It is important to note that the scope </w:t>
      </w:r>
      <w:r>
        <w:rPr>
          <w:color w:val="231F20"/>
        </w:rPr>
        <w:t>and</w:t>
      </w:r>
      <w:r>
        <w:rPr>
          <w:color w:val="231F20"/>
          <w:spacing w:val="6"/>
        </w:rPr>
        <w:t xml:space="preserve"> </w:t>
      </w:r>
      <w:r>
        <w:rPr>
          <w:color w:val="231F20"/>
        </w:rPr>
        <w:t>scale</w:t>
      </w:r>
      <w:r>
        <w:rPr>
          <w:color w:val="231F20"/>
          <w:spacing w:val="7"/>
        </w:rPr>
        <w:t xml:space="preserve"> </w:t>
      </w:r>
      <w:r>
        <w:rPr>
          <w:color w:val="231F20"/>
        </w:rPr>
        <w:t>of</w:t>
      </w:r>
      <w:r>
        <w:rPr>
          <w:color w:val="231F20"/>
          <w:spacing w:val="7"/>
        </w:rPr>
        <w:t xml:space="preserve"> </w:t>
      </w:r>
      <w:r>
        <w:rPr>
          <w:color w:val="231F20"/>
        </w:rPr>
        <w:t>Olympic</w:t>
      </w:r>
      <w:r>
        <w:rPr>
          <w:color w:val="231F20"/>
          <w:spacing w:val="6"/>
        </w:rPr>
        <w:t xml:space="preserve"> </w:t>
      </w:r>
      <w:r>
        <w:rPr>
          <w:color w:val="231F20"/>
        </w:rPr>
        <w:t>tourism</w:t>
      </w:r>
      <w:r>
        <w:rPr>
          <w:color w:val="231F20"/>
          <w:spacing w:val="7"/>
        </w:rPr>
        <w:t xml:space="preserve"> </w:t>
      </w:r>
      <w:r>
        <w:rPr>
          <w:color w:val="231F20"/>
        </w:rPr>
        <w:t>may</w:t>
      </w:r>
      <w:r>
        <w:rPr>
          <w:color w:val="231F20"/>
          <w:spacing w:val="7"/>
        </w:rPr>
        <w:t xml:space="preserve"> </w:t>
      </w:r>
      <w:r>
        <w:rPr>
          <w:color w:val="231F20"/>
        </w:rPr>
        <w:t>be</w:t>
      </w:r>
      <w:r>
        <w:rPr>
          <w:color w:val="231F20"/>
          <w:spacing w:val="6"/>
        </w:rPr>
        <w:t xml:space="preserve"> </w:t>
      </w:r>
      <w:r>
        <w:rPr>
          <w:color w:val="231F20"/>
        </w:rPr>
        <w:t>easily</w:t>
      </w:r>
      <w:r>
        <w:rPr>
          <w:color w:val="231F20"/>
          <w:spacing w:val="7"/>
        </w:rPr>
        <w:t xml:space="preserve"> </w:t>
      </w:r>
      <w:r>
        <w:rPr>
          <w:color w:val="231F20"/>
        </w:rPr>
        <w:t>overestimated</w:t>
      </w:r>
      <w:r>
        <w:rPr>
          <w:color w:val="231F20"/>
          <w:spacing w:val="7"/>
        </w:rPr>
        <w:t xml:space="preserve"> </w:t>
      </w:r>
      <w:r>
        <w:rPr>
          <w:color w:val="231F20"/>
        </w:rPr>
        <w:t>and</w:t>
      </w:r>
      <w:r>
        <w:rPr>
          <w:color w:val="231F20"/>
          <w:spacing w:val="6"/>
        </w:rPr>
        <w:t xml:space="preserve"> </w:t>
      </w:r>
      <w:r>
        <w:rPr>
          <w:color w:val="231F20"/>
          <w:spacing w:val="-2"/>
        </w:rPr>
        <w:t>oversold</w:t>
      </w:r>
    </w:p>
    <w:p w14:paraId="2EF96A91" w14:textId="77777777" w:rsidR="00AE0598" w:rsidRDefault="00AE0598">
      <w:pPr>
        <w:spacing w:line="232" w:lineRule="auto"/>
        <w:jc w:val="both"/>
        <w:sectPr w:rsidR="00AE0598">
          <w:pgSz w:w="8850" w:h="13270"/>
          <w:pgMar w:top="720" w:right="1060" w:bottom="280" w:left="1080" w:header="720" w:footer="720" w:gutter="0"/>
          <w:cols w:space="720"/>
        </w:sectPr>
      </w:pPr>
    </w:p>
    <w:p w14:paraId="317A03EF" w14:textId="77777777" w:rsidR="00AE0598" w:rsidRDefault="0069255A">
      <w:pPr>
        <w:spacing w:before="87"/>
        <w:ind w:left="110" w:right="128"/>
        <w:jc w:val="right"/>
        <w:rPr>
          <w:rFonts w:ascii="Trebuchet MS"/>
          <w:sz w:val="14"/>
        </w:rPr>
      </w:pPr>
      <w:r>
        <w:rPr>
          <w:rFonts w:ascii="Trebuchet MS"/>
          <w:color w:val="231F20"/>
          <w:w w:val="105"/>
          <w:sz w:val="14"/>
        </w:rPr>
        <w:lastRenderedPageBreak/>
        <w:t>Sport</w:t>
      </w:r>
      <w:r>
        <w:rPr>
          <w:rFonts w:ascii="Trebuchet MS"/>
          <w:color w:val="231F20"/>
          <w:spacing w:val="-7"/>
          <w:w w:val="105"/>
          <w:sz w:val="14"/>
        </w:rPr>
        <w:t xml:space="preserve"> </w:t>
      </w:r>
      <w:r>
        <w:rPr>
          <w:rFonts w:ascii="Trebuchet MS"/>
          <w:color w:val="231F20"/>
          <w:w w:val="105"/>
          <w:sz w:val="14"/>
        </w:rPr>
        <w:t>Tourism</w:t>
      </w:r>
      <w:r>
        <w:rPr>
          <w:rFonts w:ascii="Trebuchet MS"/>
          <w:color w:val="231F20"/>
          <w:spacing w:val="-7"/>
          <w:w w:val="105"/>
          <w:sz w:val="14"/>
        </w:rPr>
        <w:t xml:space="preserve"> </w:t>
      </w:r>
      <w:r>
        <w:rPr>
          <w:rFonts w:ascii="Trebuchet MS"/>
          <w:color w:val="231F20"/>
          <w:w w:val="105"/>
          <w:sz w:val="14"/>
        </w:rPr>
        <w:t>Markets</w:t>
      </w:r>
      <w:r>
        <w:rPr>
          <w:rFonts w:ascii="Trebuchet MS"/>
          <w:color w:val="231F20"/>
          <w:spacing w:val="73"/>
          <w:w w:val="150"/>
          <w:sz w:val="14"/>
        </w:rPr>
        <w:t xml:space="preserve"> </w:t>
      </w:r>
      <w:r>
        <w:rPr>
          <w:rFonts w:ascii="Trebuchet MS"/>
          <w:color w:val="231F20"/>
          <w:spacing w:val="-5"/>
          <w:w w:val="105"/>
          <w:sz w:val="14"/>
        </w:rPr>
        <w:t>47</w:t>
      </w:r>
    </w:p>
    <w:p w14:paraId="30F5B7B3" w14:textId="77777777" w:rsidR="00AE0598" w:rsidRDefault="00AE0598">
      <w:pPr>
        <w:pStyle w:val="Corpodetexto"/>
        <w:rPr>
          <w:rFonts w:ascii="Trebuchet MS"/>
          <w:sz w:val="16"/>
        </w:rPr>
      </w:pPr>
    </w:p>
    <w:p w14:paraId="5D9519A1" w14:textId="77777777" w:rsidR="00AE0598" w:rsidRDefault="0069255A">
      <w:pPr>
        <w:pStyle w:val="Corpodetexto"/>
        <w:spacing w:before="118" w:line="232" w:lineRule="auto"/>
        <w:ind w:left="110" w:right="128"/>
        <w:jc w:val="both"/>
      </w:pPr>
      <w:r>
        <w:rPr>
          <w:color w:val="231F20"/>
          <w:w w:val="95"/>
        </w:rPr>
        <w:t xml:space="preserve">(Weed, 2007) and, as Faulkner </w:t>
      </w:r>
      <w:r>
        <w:rPr>
          <w:i/>
          <w:color w:val="231F20"/>
          <w:w w:val="95"/>
        </w:rPr>
        <w:t>et al</w:t>
      </w:r>
      <w:r>
        <w:rPr>
          <w:color w:val="231F20"/>
          <w:w w:val="95"/>
        </w:rPr>
        <w:t xml:space="preserve">. (1998: 10) observe: ‘once the normal </w:t>
      </w:r>
      <w:r>
        <w:rPr>
          <w:color w:val="231F20"/>
        </w:rPr>
        <w:t>level of travel to the host city is factored in to estimates the net effect of games induced travel is much reduced’.</w:t>
      </w:r>
    </w:p>
    <w:p w14:paraId="3C0519E5" w14:textId="77777777" w:rsidR="00AE0598" w:rsidRDefault="0069255A">
      <w:pPr>
        <w:pStyle w:val="Corpodetexto"/>
        <w:spacing w:before="4" w:line="232" w:lineRule="auto"/>
        <w:ind w:left="110" w:right="125" w:firstLine="320"/>
        <w:jc w:val="both"/>
      </w:pPr>
      <w:r>
        <w:rPr>
          <w:color w:val="231F20"/>
        </w:rPr>
        <w:t>It</w:t>
      </w:r>
      <w:r>
        <w:rPr>
          <w:color w:val="231F20"/>
          <w:spacing w:val="-3"/>
        </w:rPr>
        <w:t xml:space="preserve"> </w:t>
      </w:r>
      <w:r>
        <w:rPr>
          <w:color w:val="231F20"/>
        </w:rPr>
        <w:t>is</w:t>
      </w:r>
      <w:r>
        <w:rPr>
          <w:color w:val="231F20"/>
          <w:spacing w:val="-3"/>
        </w:rPr>
        <w:t xml:space="preserve"> </w:t>
      </w:r>
      <w:r>
        <w:rPr>
          <w:color w:val="231F20"/>
        </w:rPr>
        <w:t>important</w:t>
      </w:r>
      <w:r>
        <w:rPr>
          <w:color w:val="231F20"/>
          <w:spacing w:val="-3"/>
        </w:rPr>
        <w:t xml:space="preserve"> </w:t>
      </w:r>
      <w:r>
        <w:rPr>
          <w:color w:val="231F20"/>
        </w:rPr>
        <w:t>to</w:t>
      </w:r>
      <w:r>
        <w:rPr>
          <w:color w:val="231F20"/>
          <w:spacing w:val="-3"/>
        </w:rPr>
        <w:t xml:space="preserve"> </w:t>
      </w:r>
      <w:r>
        <w:rPr>
          <w:color w:val="231F20"/>
        </w:rPr>
        <w:t>acknowledge</w:t>
      </w:r>
      <w:r>
        <w:rPr>
          <w:color w:val="231F20"/>
          <w:spacing w:val="-3"/>
        </w:rPr>
        <w:t xml:space="preserve"> </w:t>
      </w:r>
      <w:r>
        <w:rPr>
          <w:color w:val="231F20"/>
        </w:rPr>
        <w:t>the</w:t>
      </w:r>
      <w:r>
        <w:rPr>
          <w:color w:val="231F20"/>
          <w:spacing w:val="-3"/>
        </w:rPr>
        <w:t xml:space="preserve"> </w:t>
      </w:r>
      <w:r>
        <w:rPr>
          <w:color w:val="231F20"/>
        </w:rPr>
        <w:t>complex</w:t>
      </w:r>
      <w:r>
        <w:rPr>
          <w:color w:val="231F20"/>
          <w:spacing w:val="-3"/>
        </w:rPr>
        <w:t xml:space="preserve"> </w:t>
      </w:r>
      <w:r>
        <w:rPr>
          <w:color w:val="231F20"/>
        </w:rPr>
        <w:t>flows</w:t>
      </w:r>
      <w:r>
        <w:rPr>
          <w:color w:val="231F20"/>
          <w:spacing w:val="-3"/>
        </w:rPr>
        <w:t xml:space="preserve"> </w:t>
      </w:r>
      <w:r>
        <w:rPr>
          <w:color w:val="231F20"/>
        </w:rPr>
        <w:t>of</w:t>
      </w:r>
      <w:r>
        <w:rPr>
          <w:color w:val="231F20"/>
          <w:spacing w:val="-3"/>
        </w:rPr>
        <w:t xml:space="preserve"> </w:t>
      </w:r>
      <w:r>
        <w:rPr>
          <w:color w:val="231F20"/>
        </w:rPr>
        <w:t>visitors</w:t>
      </w:r>
      <w:r>
        <w:rPr>
          <w:color w:val="231F20"/>
          <w:spacing w:val="-3"/>
        </w:rPr>
        <w:t xml:space="preserve"> </w:t>
      </w:r>
      <w:r>
        <w:rPr>
          <w:color w:val="231F20"/>
        </w:rPr>
        <w:t>into</w:t>
      </w:r>
      <w:r>
        <w:rPr>
          <w:color w:val="231F20"/>
          <w:spacing w:val="-3"/>
        </w:rPr>
        <w:t xml:space="preserve"> </w:t>
      </w:r>
      <w:r>
        <w:rPr>
          <w:color w:val="231F20"/>
        </w:rPr>
        <w:t xml:space="preserve">and out of a spatial unit of analysis (which varies with the defined scale of </w:t>
      </w:r>
      <w:r>
        <w:rPr>
          <w:color w:val="231F20"/>
          <w:w w:val="95"/>
        </w:rPr>
        <w:t>the event destination) (Preuss, 2007; Weed, 2007). The diversion</w:t>
      </w:r>
      <w:r>
        <w:rPr>
          <w:color w:val="231F20"/>
          <w:w w:val="95"/>
        </w:rPr>
        <w:t xml:space="preserve"> effects (real or perceived) may be encouraged by media attention paid to capacity </w:t>
      </w:r>
      <w:r>
        <w:rPr>
          <w:color w:val="231F20"/>
        </w:rPr>
        <w:t xml:space="preserve">constraints at the destination (e.g. traffic congestion, over demand for accommodation, resulting in inconvenience, inflated costs and security issues), which may be placed </w:t>
      </w:r>
      <w:r>
        <w:rPr>
          <w:color w:val="231F20"/>
        </w:rPr>
        <w:t xml:space="preserve">under strain when events take place. Pyo </w:t>
      </w:r>
      <w:r>
        <w:rPr>
          <w:i/>
          <w:color w:val="231F20"/>
        </w:rPr>
        <w:t>et al</w:t>
      </w:r>
      <w:r>
        <w:rPr>
          <w:color w:val="231F20"/>
        </w:rPr>
        <w:t xml:space="preserve">. (1991) identify a range of factors that may discourage attendance at summer Olympic Games including political boycotting, price gouging, </w:t>
      </w:r>
      <w:r>
        <w:rPr>
          <w:color w:val="231F20"/>
          <w:w w:val="95"/>
        </w:rPr>
        <w:t>crowding and congestion, and security concerns. Ticket distribution may</w:t>
      </w:r>
      <w:r>
        <w:rPr>
          <w:color w:val="231F20"/>
          <w:w w:val="95"/>
        </w:rPr>
        <w:t xml:space="preserve"> </w:t>
      </w:r>
      <w:r>
        <w:rPr>
          <w:color w:val="231F20"/>
        </w:rPr>
        <w:t xml:space="preserve">also bear upon the propensity of sport tourists to attend events such as the Olympic Games (Thamnopoulos &amp; Gargialianos, 2002). Chalip </w:t>
      </w:r>
      <w:r>
        <w:rPr>
          <w:i/>
          <w:color w:val="231F20"/>
        </w:rPr>
        <w:t>et al</w:t>
      </w:r>
      <w:r>
        <w:rPr>
          <w:color w:val="231F20"/>
        </w:rPr>
        <w:t>. (1998) present an analysis of sources of interest in travel to attend the Olympic Games. Such analyses provide us</w:t>
      </w:r>
      <w:r>
        <w:rPr>
          <w:color w:val="231F20"/>
        </w:rPr>
        <w:t>eful insights into the relative importance</w:t>
      </w:r>
      <w:r>
        <w:rPr>
          <w:color w:val="231F20"/>
          <w:spacing w:val="34"/>
        </w:rPr>
        <w:t xml:space="preserve"> </w:t>
      </w:r>
      <w:r>
        <w:rPr>
          <w:color w:val="231F20"/>
        </w:rPr>
        <w:t>of</w:t>
      </w:r>
      <w:r>
        <w:rPr>
          <w:color w:val="231F20"/>
          <w:spacing w:val="34"/>
        </w:rPr>
        <w:t xml:space="preserve"> </w:t>
      </w:r>
      <w:r>
        <w:rPr>
          <w:color w:val="231F20"/>
        </w:rPr>
        <w:t>the</w:t>
      </w:r>
      <w:r>
        <w:rPr>
          <w:color w:val="231F20"/>
          <w:spacing w:val="34"/>
        </w:rPr>
        <w:t xml:space="preserve"> </w:t>
      </w:r>
      <w:r>
        <w:rPr>
          <w:color w:val="231F20"/>
        </w:rPr>
        <w:t>event</w:t>
      </w:r>
      <w:r>
        <w:rPr>
          <w:color w:val="231F20"/>
          <w:spacing w:val="34"/>
        </w:rPr>
        <w:t xml:space="preserve"> </w:t>
      </w:r>
      <w:r>
        <w:rPr>
          <w:color w:val="231F20"/>
        </w:rPr>
        <w:t>itself,</w:t>
      </w:r>
      <w:r>
        <w:rPr>
          <w:color w:val="231F20"/>
          <w:spacing w:val="34"/>
        </w:rPr>
        <w:t xml:space="preserve"> </w:t>
      </w:r>
      <w:r>
        <w:rPr>
          <w:color w:val="231F20"/>
        </w:rPr>
        <w:t>and</w:t>
      </w:r>
      <w:r>
        <w:rPr>
          <w:color w:val="231F20"/>
          <w:spacing w:val="34"/>
        </w:rPr>
        <w:t xml:space="preserve"> </w:t>
      </w:r>
      <w:r>
        <w:rPr>
          <w:color w:val="231F20"/>
        </w:rPr>
        <w:t>the</w:t>
      </w:r>
      <w:r>
        <w:rPr>
          <w:color w:val="231F20"/>
          <w:spacing w:val="34"/>
        </w:rPr>
        <w:t xml:space="preserve"> </w:t>
      </w:r>
      <w:r>
        <w:rPr>
          <w:color w:val="231F20"/>
        </w:rPr>
        <w:t>destination</w:t>
      </w:r>
      <w:r>
        <w:rPr>
          <w:color w:val="231F20"/>
          <w:spacing w:val="34"/>
        </w:rPr>
        <w:t xml:space="preserve"> </w:t>
      </w:r>
      <w:r>
        <w:rPr>
          <w:color w:val="231F20"/>
        </w:rPr>
        <w:t>hosting</w:t>
      </w:r>
      <w:r>
        <w:rPr>
          <w:color w:val="231F20"/>
          <w:spacing w:val="34"/>
        </w:rPr>
        <w:t xml:space="preserve"> </w:t>
      </w:r>
      <w:r>
        <w:rPr>
          <w:color w:val="231F20"/>
        </w:rPr>
        <w:t>the</w:t>
      </w:r>
      <w:r>
        <w:rPr>
          <w:color w:val="231F20"/>
          <w:spacing w:val="34"/>
        </w:rPr>
        <w:t xml:space="preserve"> </w:t>
      </w:r>
      <w:r>
        <w:rPr>
          <w:color w:val="231F20"/>
        </w:rPr>
        <w:t>event, in terms of the travel decision-making process. These studies offer information that is critical to the successful leveraging of sports events.</w:t>
      </w:r>
    </w:p>
    <w:p w14:paraId="2ABF28F4" w14:textId="77777777" w:rsidR="00AE0598" w:rsidRDefault="0069255A">
      <w:pPr>
        <w:pStyle w:val="Corpodetexto"/>
        <w:spacing w:before="20" w:line="232" w:lineRule="auto"/>
        <w:ind w:left="110" w:right="127" w:firstLine="320"/>
        <w:jc w:val="both"/>
      </w:pPr>
      <w:r>
        <w:rPr>
          <w:color w:val="231F20"/>
        </w:rPr>
        <w:t xml:space="preserve">Sport tourism markets vary from one event to another. However, useful generalisations are possible. For example, Faulkner </w:t>
      </w:r>
      <w:r>
        <w:rPr>
          <w:i/>
          <w:color w:val="231F20"/>
        </w:rPr>
        <w:t>et al</w:t>
      </w:r>
      <w:r>
        <w:rPr>
          <w:color w:val="231F20"/>
        </w:rPr>
        <w:t xml:space="preserve">. (1998) </w:t>
      </w:r>
      <w:r>
        <w:rPr>
          <w:color w:val="231F20"/>
          <w:w w:val="95"/>
        </w:rPr>
        <w:t xml:space="preserve">employ the term ‘sport junkies’ to describe tourists who visit a destination </w:t>
      </w:r>
      <w:r>
        <w:rPr>
          <w:color w:val="231F20"/>
        </w:rPr>
        <w:t>specifically to attend a sporting event, bu</w:t>
      </w:r>
      <w:r>
        <w:rPr>
          <w:color w:val="231F20"/>
        </w:rPr>
        <w:t xml:space="preserve">t demonstrate little propensity to engage in pre- and post-event itineraries. This term describes a sport </w:t>
      </w:r>
      <w:r>
        <w:rPr>
          <w:color w:val="231F20"/>
          <w:w w:val="95"/>
        </w:rPr>
        <w:t>tourism market that is single-mindedly focused on the sports event itself. Chalip (2001) observes that many Australian cities targeted specific market</w:t>
      </w:r>
      <w:r>
        <w:rPr>
          <w:color w:val="231F20"/>
          <w:w w:val="95"/>
        </w:rPr>
        <w:t xml:space="preserve"> </w:t>
      </w:r>
      <w:r>
        <w:rPr>
          <w:color w:val="231F20"/>
        </w:rPr>
        <w:t xml:space="preserve">segments during the lead up to the 2000 Olympic Games. These efforts </w:t>
      </w:r>
      <w:r>
        <w:rPr>
          <w:color w:val="231F20"/>
          <w:w w:val="95"/>
        </w:rPr>
        <w:t xml:space="preserve">often targeted specific national Olympics teams and the travelling fans that </w:t>
      </w:r>
      <w:r>
        <w:rPr>
          <w:color w:val="231F20"/>
        </w:rPr>
        <w:t>follow their teams.</w:t>
      </w:r>
    </w:p>
    <w:p w14:paraId="0292EC6A" w14:textId="77777777" w:rsidR="00AE0598" w:rsidRDefault="0069255A">
      <w:pPr>
        <w:pStyle w:val="Corpodetexto"/>
        <w:spacing w:before="12" w:line="232" w:lineRule="auto"/>
        <w:ind w:left="110" w:right="127" w:firstLine="320"/>
        <w:jc w:val="both"/>
      </w:pPr>
      <w:r>
        <w:rPr>
          <w:color w:val="231F20"/>
        </w:rPr>
        <w:t>Similarly,</w:t>
      </w:r>
      <w:r>
        <w:rPr>
          <w:color w:val="231F20"/>
          <w:spacing w:val="-2"/>
        </w:rPr>
        <w:t xml:space="preserve"> </w:t>
      </w:r>
      <w:r>
        <w:rPr>
          <w:color w:val="231F20"/>
        </w:rPr>
        <w:t>the</w:t>
      </w:r>
      <w:r>
        <w:rPr>
          <w:color w:val="231F20"/>
          <w:spacing w:val="-2"/>
        </w:rPr>
        <w:t xml:space="preserve"> </w:t>
      </w:r>
      <w:r>
        <w:rPr>
          <w:color w:val="231F20"/>
        </w:rPr>
        <w:t>Germany</w:t>
      </w:r>
      <w:r>
        <w:rPr>
          <w:color w:val="231F20"/>
          <w:spacing w:val="-2"/>
        </w:rPr>
        <w:t xml:space="preserve"> </w:t>
      </w:r>
      <w:r>
        <w:rPr>
          <w:color w:val="231F20"/>
        </w:rPr>
        <w:t>2006</w:t>
      </w:r>
      <w:r>
        <w:rPr>
          <w:color w:val="231F20"/>
          <w:spacing w:val="-2"/>
        </w:rPr>
        <w:t xml:space="preserve"> </w:t>
      </w:r>
      <w:r>
        <w:rPr>
          <w:color w:val="231F20"/>
        </w:rPr>
        <w:t>FIFA</w:t>
      </w:r>
      <w:r>
        <w:rPr>
          <w:color w:val="231F20"/>
          <w:spacing w:val="-2"/>
        </w:rPr>
        <w:t xml:space="preserve"> </w:t>
      </w:r>
      <w:r>
        <w:rPr>
          <w:color w:val="231F20"/>
        </w:rPr>
        <w:t>World</w:t>
      </w:r>
      <w:r>
        <w:rPr>
          <w:color w:val="231F20"/>
          <w:spacing w:val="-2"/>
        </w:rPr>
        <w:t xml:space="preserve"> </w:t>
      </w:r>
      <w:r>
        <w:rPr>
          <w:color w:val="231F20"/>
        </w:rPr>
        <w:t>Cup</w:t>
      </w:r>
      <w:r>
        <w:rPr>
          <w:color w:val="231F20"/>
          <w:spacing w:val="-2"/>
        </w:rPr>
        <w:t xml:space="preserve"> </w:t>
      </w:r>
      <w:r>
        <w:rPr>
          <w:color w:val="231F20"/>
        </w:rPr>
        <w:t>fostered</w:t>
      </w:r>
      <w:r>
        <w:rPr>
          <w:color w:val="231F20"/>
          <w:spacing w:val="-2"/>
        </w:rPr>
        <w:t xml:space="preserve"> </w:t>
      </w:r>
      <w:r>
        <w:rPr>
          <w:color w:val="231F20"/>
        </w:rPr>
        <w:t>links</w:t>
      </w:r>
      <w:r>
        <w:rPr>
          <w:color w:val="231F20"/>
          <w:spacing w:val="-2"/>
        </w:rPr>
        <w:t xml:space="preserve"> </w:t>
      </w:r>
      <w:r>
        <w:rPr>
          <w:color w:val="231F20"/>
        </w:rPr>
        <w:t>between national teams competin</w:t>
      </w:r>
      <w:r>
        <w:rPr>
          <w:color w:val="231F20"/>
        </w:rPr>
        <w:t>g in the World Cup, and municipalities that hosted those teams during the tournament. This strategy allowed the development of links between specific football teams, the host cities</w:t>
      </w:r>
      <w:r>
        <w:rPr>
          <w:color w:val="231F20"/>
          <w:spacing w:val="80"/>
        </w:rPr>
        <w:t xml:space="preserve"> </w:t>
      </w:r>
      <w:r>
        <w:rPr>
          <w:color w:val="231F20"/>
        </w:rPr>
        <w:t xml:space="preserve">and the spatial mobilities associated with the large groups of travelling </w:t>
      </w:r>
      <w:r>
        <w:rPr>
          <w:color w:val="231F20"/>
        </w:rPr>
        <w:t>football</w:t>
      </w:r>
      <w:r>
        <w:rPr>
          <w:color w:val="231F20"/>
          <w:spacing w:val="-7"/>
        </w:rPr>
        <w:t xml:space="preserve"> </w:t>
      </w:r>
      <w:r>
        <w:rPr>
          <w:color w:val="231F20"/>
        </w:rPr>
        <w:t>fans</w:t>
      </w:r>
      <w:r>
        <w:rPr>
          <w:color w:val="231F20"/>
          <w:spacing w:val="-7"/>
        </w:rPr>
        <w:t xml:space="preserve"> </w:t>
      </w:r>
      <w:r>
        <w:rPr>
          <w:color w:val="231F20"/>
        </w:rPr>
        <w:t>that</w:t>
      </w:r>
      <w:r>
        <w:rPr>
          <w:color w:val="231F20"/>
          <w:spacing w:val="-7"/>
        </w:rPr>
        <w:t xml:space="preserve"> </w:t>
      </w:r>
      <w:r>
        <w:rPr>
          <w:color w:val="231F20"/>
        </w:rPr>
        <w:t>wanted</w:t>
      </w:r>
      <w:r>
        <w:rPr>
          <w:color w:val="231F20"/>
          <w:spacing w:val="-7"/>
        </w:rPr>
        <w:t xml:space="preserve"> </w:t>
      </w:r>
      <w:r>
        <w:rPr>
          <w:color w:val="231F20"/>
        </w:rPr>
        <w:t>to</w:t>
      </w:r>
      <w:r>
        <w:rPr>
          <w:color w:val="231F20"/>
          <w:spacing w:val="-7"/>
        </w:rPr>
        <w:t xml:space="preserve"> </w:t>
      </w:r>
      <w:r>
        <w:rPr>
          <w:color w:val="231F20"/>
        </w:rPr>
        <w:t>be</w:t>
      </w:r>
      <w:r>
        <w:rPr>
          <w:color w:val="231F20"/>
          <w:spacing w:val="-7"/>
        </w:rPr>
        <w:t xml:space="preserve"> </w:t>
      </w:r>
      <w:r>
        <w:rPr>
          <w:color w:val="231F20"/>
        </w:rPr>
        <w:t>located</w:t>
      </w:r>
      <w:r>
        <w:rPr>
          <w:color w:val="231F20"/>
          <w:spacing w:val="-7"/>
        </w:rPr>
        <w:t xml:space="preserve"> </w:t>
      </w:r>
      <w:r>
        <w:rPr>
          <w:color w:val="231F20"/>
        </w:rPr>
        <w:t>in</w:t>
      </w:r>
      <w:r>
        <w:rPr>
          <w:color w:val="231F20"/>
          <w:spacing w:val="-7"/>
        </w:rPr>
        <w:t xml:space="preserve"> </w:t>
      </w:r>
      <w:r>
        <w:rPr>
          <w:color w:val="231F20"/>
        </w:rPr>
        <w:t>close</w:t>
      </w:r>
      <w:r>
        <w:rPr>
          <w:color w:val="231F20"/>
          <w:spacing w:val="-7"/>
        </w:rPr>
        <w:t xml:space="preserve"> </w:t>
      </w:r>
      <w:r>
        <w:rPr>
          <w:color w:val="231F20"/>
        </w:rPr>
        <w:t>proximity</w:t>
      </w:r>
      <w:r>
        <w:rPr>
          <w:color w:val="231F20"/>
          <w:spacing w:val="-7"/>
        </w:rPr>
        <w:t xml:space="preserve"> </w:t>
      </w:r>
      <w:r>
        <w:rPr>
          <w:color w:val="231F20"/>
        </w:rPr>
        <w:t>to</w:t>
      </w:r>
      <w:r>
        <w:rPr>
          <w:color w:val="231F20"/>
          <w:spacing w:val="-7"/>
        </w:rPr>
        <w:t xml:space="preserve"> </w:t>
      </w:r>
      <w:r>
        <w:rPr>
          <w:color w:val="231F20"/>
        </w:rPr>
        <w:t>‘their’</w:t>
      </w:r>
      <w:r>
        <w:rPr>
          <w:color w:val="231F20"/>
          <w:spacing w:val="-7"/>
        </w:rPr>
        <w:t xml:space="preserve"> </w:t>
      </w:r>
      <w:r>
        <w:rPr>
          <w:color w:val="231F20"/>
        </w:rPr>
        <w:t xml:space="preserve">teams. </w:t>
      </w:r>
      <w:r>
        <w:rPr>
          <w:color w:val="231F20"/>
          <w:w w:val="95"/>
        </w:rPr>
        <w:t xml:space="preserve">There is increasing evidence that the behaviours of travelling fans may be </w:t>
      </w:r>
      <w:r>
        <w:rPr>
          <w:color w:val="231F20"/>
        </w:rPr>
        <w:t>influenced</w:t>
      </w:r>
      <w:r>
        <w:rPr>
          <w:color w:val="231F20"/>
          <w:spacing w:val="-8"/>
        </w:rPr>
        <w:t xml:space="preserve"> </w:t>
      </w:r>
      <w:r>
        <w:rPr>
          <w:color w:val="231F20"/>
        </w:rPr>
        <w:t>by</w:t>
      </w:r>
      <w:r>
        <w:rPr>
          <w:color w:val="231F20"/>
          <w:spacing w:val="-8"/>
        </w:rPr>
        <w:t xml:space="preserve"> </w:t>
      </w:r>
      <w:r>
        <w:rPr>
          <w:color w:val="231F20"/>
        </w:rPr>
        <w:t>the</w:t>
      </w:r>
      <w:r>
        <w:rPr>
          <w:color w:val="231F20"/>
          <w:spacing w:val="-8"/>
        </w:rPr>
        <w:t xml:space="preserve"> </w:t>
      </w:r>
      <w:r>
        <w:rPr>
          <w:color w:val="231F20"/>
        </w:rPr>
        <w:t>location</w:t>
      </w:r>
      <w:r>
        <w:rPr>
          <w:color w:val="231F20"/>
          <w:spacing w:val="-8"/>
        </w:rPr>
        <w:t xml:space="preserve"> </w:t>
      </w:r>
      <w:r>
        <w:rPr>
          <w:color w:val="231F20"/>
        </w:rPr>
        <w:t>(e.g.</w:t>
      </w:r>
      <w:r>
        <w:rPr>
          <w:color w:val="231F20"/>
          <w:spacing w:val="-8"/>
        </w:rPr>
        <w:t xml:space="preserve"> </w:t>
      </w:r>
      <w:r>
        <w:rPr>
          <w:color w:val="231F20"/>
        </w:rPr>
        <w:t>training</w:t>
      </w:r>
      <w:r>
        <w:rPr>
          <w:color w:val="231F20"/>
          <w:spacing w:val="-8"/>
        </w:rPr>
        <w:t xml:space="preserve"> </w:t>
      </w:r>
      <w:r>
        <w:rPr>
          <w:color w:val="231F20"/>
        </w:rPr>
        <w:t>bases)</w:t>
      </w:r>
      <w:r>
        <w:rPr>
          <w:color w:val="231F20"/>
          <w:spacing w:val="-8"/>
        </w:rPr>
        <w:t xml:space="preserve"> </w:t>
      </w:r>
      <w:r>
        <w:rPr>
          <w:color w:val="231F20"/>
        </w:rPr>
        <w:t>of</w:t>
      </w:r>
      <w:r>
        <w:rPr>
          <w:color w:val="231F20"/>
          <w:spacing w:val="-8"/>
        </w:rPr>
        <w:t xml:space="preserve"> </w:t>
      </w:r>
      <w:r>
        <w:rPr>
          <w:color w:val="231F20"/>
        </w:rPr>
        <w:t>‘their’</w:t>
      </w:r>
      <w:r>
        <w:rPr>
          <w:color w:val="231F20"/>
          <w:spacing w:val="-8"/>
        </w:rPr>
        <w:t xml:space="preserve"> </w:t>
      </w:r>
      <w:r>
        <w:rPr>
          <w:color w:val="231F20"/>
        </w:rPr>
        <w:t>teams</w:t>
      </w:r>
      <w:r>
        <w:rPr>
          <w:color w:val="231F20"/>
          <w:spacing w:val="-8"/>
        </w:rPr>
        <w:t xml:space="preserve"> </w:t>
      </w:r>
      <w:r>
        <w:rPr>
          <w:color w:val="231F20"/>
        </w:rPr>
        <w:t>in</w:t>
      </w:r>
      <w:r>
        <w:rPr>
          <w:color w:val="231F20"/>
          <w:spacing w:val="-8"/>
        </w:rPr>
        <w:t xml:space="preserve"> </w:t>
      </w:r>
      <w:r>
        <w:rPr>
          <w:color w:val="231F20"/>
        </w:rPr>
        <w:t>advance of</w:t>
      </w:r>
      <w:r>
        <w:rPr>
          <w:color w:val="231F20"/>
          <w:spacing w:val="32"/>
        </w:rPr>
        <w:t xml:space="preserve"> </w:t>
      </w:r>
      <w:r>
        <w:rPr>
          <w:color w:val="231F20"/>
        </w:rPr>
        <w:t>and</w:t>
      </w:r>
      <w:r>
        <w:rPr>
          <w:color w:val="231F20"/>
          <w:spacing w:val="32"/>
        </w:rPr>
        <w:t xml:space="preserve"> </w:t>
      </w:r>
      <w:r>
        <w:rPr>
          <w:color w:val="231F20"/>
        </w:rPr>
        <w:t>during</w:t>
      </w:r>
      <w:r>
        <w:rPr>
          <w:color w:val="231F20"/>
          <w:spacing w:val="32"/>
        </w:rPr>
        <w:t xml:space="preserve"> </w:t>
      </w:r>
      <w:r>
        <w:rPr>
          <w:color w:val="231F20"/>
        </w:rPr>
        <w:t>competition.</w:t>
      </w:r>
      <w:r>
        <w:rPr>
          <w:color w:val="231F20"/>
          <w:spacing w:val="32"/>
        </w:rPr>
        <w:t xml:space="preserve"> </w:t>
      </w:r>
      <w:r>
        <w:rPr>
          <w:color w:val="231F20"/>
        </w:rPr>
        <w:t>The</w:t>
      </w:r>
      <w:r>
        <w:rPr>
          <w:color w:val="231F20"/>
          <w:spacing w:val="32"/>
        </w:rPr>
        <w:t xml:space="preserve"> </w:t>
      </w:r>
      <w:r>
        <w:rPr>
          <w:color w:val="231F20"/>
        </w:rPr>
        <w:t>‘Barmy</w:t>
      </w:r>
      <w:r>
        <w:rPr>
          <w:color w:val="231F20"/>
          <w:spacing w:val="32"/>
        </w:rPr>
        <w:t xml:space="preserve"> </w:t>
      </w:r>
      <w:r>
        <w:rPr>
          <w:color w:val="231F20"/>
        </w:rPr>
        <w:t>Army’</w:t>
      </w:r>
      <w:r>
        <w:rPr>
          <w:color w:val="231F20"/>
          <w:spacing w:val="32"/>
        </w:rPr>
        <w:t xml:space="preserve"> </w:t>
      </w:r>
      <w:r>
        <w:rPr>
          <w:color w:val="231F20"/>
        </w:rPr>
        <w:t>is</w:t>
      </w:r>
      <w:r>
        <w:rPr>
          <w:color w:val="231F20"/>
          <w:spacing w:val="32"/>
        </w:rPr>
        <w:t xml:space="preserve"> </w:t>
      </w:r>
      <w:r>
        <w:rPr>
          <w:color w:val="231F20"/>
        </w:rPr>
        <w:t>a</w:t>
      </w:r>
      <w:r>
        <w:rPr>
          <w:color w:val="231F20"/>
          <w:spacing w:val="32"/>
        </w:rPr>
        <w:t xml:space="preserve"> </w:t>
      </w:r>
      <w:r>
        <w:rPr>
          <w:color w:val="231F20"/>
        </w:rPr>
        <w:t>case</w:t>
      </w:r>
      <w:r>
        <w:rPr>
          <w:color w:val="231F20"/>
          <w:spacing w:val="32"/>
        </w:rPr>
        <w:t xml:space="preserve"> </w:t>
      </w:r>
      <w:r>
        <w:rPr>
          <w:color w:val="231F20"/>
        </w:rPr>
        <w:t>in</w:t>
      </w:r>
      <w:r>
        <w:rPr>
          <w:color w:val="231F20"/>
          <w:spacing w:val="32"/>
        </w:rPr>
        <w:t xml:space="preserve"> </w:t>
      </w:r>
      <w:r>
        <w:rPr>
          <w:color w:val="231F20"/>
        </w:rPr>
        <w:t>point.</w:t>
      </w:r>
      <w:r>
        <w:rPr>
          <w:color w:val="231F20"/>
          <w:spacing w:val="32"/>
        </w:rPr>
        <w:t xml:space="preserve"> </w:t>
      </w:r>
      <w:r>
        <w:rPr>
          <w:color w:val="231F20"/>
        </w:rPr>
        <w:t>This is a ‘group of England cricket fans who spend vast amounts of time and money</w:t>
      </w:r>
      <w:r>
        <w:rPr>
          <w:color w:val="231F20"/>
          <w:spacing w:val="-3"/>
        </w:rPr>
        <w:t xml:space="preserve"> </w:t>
      </w:r>
      <w:r>
        <w:rPr>
          <w:color w:val="231F20"/>
        </w:rPr>
        <w:t>travelling</w:t>
      </w:r>
      <w:r>
        <w:rPr>
          <w:color w:val="231F20"/>
          <w:spacing w:val="-2"/>
        </w:rPr>
        <w:t xml:space="preserve"> </w:t>
      </w:r>
      <w:r>
        <w:rPr>
          <w:color w:val="231F20"/>
        </w:rPr>
        <w:t>the</w:t>
      </w:r>
      <w:r>
        <w:rPr>
          <w:color w:val="231F20"/>
          <w:spacing w:val="-3"/>
        </w:rPr>
        <w:t xml:space="preserve"> </w:t>
      </w:r>
      <w:r>
        <w:rPr>
          <w:color w:val="231F20"/>
        </w:rPr>
        <w:t>globe</w:t>
      </w:r>
      <w:r>
        <w:rPr>
          <w:color w:val="231F20"/>
          <w:spacing w:val="-3"/>
        </w:rPr>
        <w:t xml:space="preserve"> </w:t>
      </w:r>
      <w:r>
        <w:rPr>
          <w:color w:val="231F20"/>
        </w:rPr>
        <w:t>to</w:t>
      </w:r>
      <w:r>
        <w:rPr>
          <w:color w:val="231F20"/>
          <w:spacing w:val="-2"/>
        </w:rPr>
        <w:t xml:space="preserve"> </w:t>
      </w:r>
      <w:r>
        <w:rPr>
          <w:color w:val="231F20"/>
        </w:rPr>
        <w:t>watch</w:t>
      </w:r>
      <w:r>
        <w:rPr>
          <w:color w:val="231F20"/>
          <w:spacing w:val="-3"/>
        </w:rPr>
        <w:t xml:space="preserve"> </w:t>
      </w:r>
      <w:r>
        <w:rPr>
          <w:color w:val="231F20"/>
        </w:rPr>
        <w:t>what</w:t>
      </w:r>
      <w:r>
        <w:rPr>
          <w:color w:val="231F20"/>
          <w:spacing w:val="-2"/>
        </w:rPr>
        <w:t xml:space="preserve"> </w:t>
      </w:r>
      <w:r>
        <w:rPr>
          <w:color w:val="231F20"/>
        </w:rPr>
        <w:t>has</w:t>
      </w:r>
      <w:r>
        <w:rPr>
          <w:color w:val="231F20"/>
          <w:spacing w:val="-3"/>
        </w:rPr>
        <w:t xml:space="preserve"> </w:t>
      </w:r>
      <w:r>
        <w:rPr>
          <w:color w:val="231F20"/>
        </w:rPr>
        <w:t>been</w:t>
      </w:r>
      <w:r>
        <w:rPr>
          <w:color w:val="231F20"/>
          <w:spacing w:val="-3"/>
        </w:rPr>
        <w:t xml:space="preserve"> </w:t>
      </w:r>
      <w:r>
        <w:rPr>
          <w:color w:val="231F20"/>
        </w:rPr>
        <w:t>in</w:t>
      </w:r>
      <w:r>
        <w:rPr>
          <w:color w:val="231F20"/>
          <w:spacing w:val="-2"/>
        </w:rPr>
        <w:t xml:space="preserve"> </w:t>
      </w:r>
      <w:r>
        <w:rPr>
          <w:color w:val="231F20"/>
        </w:rPr>
        <w:t>recent</w:t>
      </w:r>
      <w:r>
        <w:rPr>
          <w:color w:val="231F20"/>
          <w:spacing w:val="-2"/>
        </w:rPr>
        <w:t xml:space="preserve"> </w:t>
      </w:r>
      <w:r>
        <w:rPr>
          <w:color w:val="231F20"/>
        </w:rPr>
        <w:t>years</w:t>
      </w:r>
      <w:r>
        <w:rPr>
          <w:color w:val="231F20"/>
          <w:spacing w:val="-3"/>
        </w:rPr>
        <w:t xml:space="preserve"> </w:t>
      </w:r>
      <w:r>
        <w:rPr>
          <w:color w:val="231F20"/>
        </w:rPr>
        <w:t>a</w:t>
      </w:r>
      <w:r>
        <w:rPr>
          <w:color w:val="231F20"/>
          <w:spacing w:val="-3"/>
        </w:rPr>
        <w:t xml:space="preserve"> </w:t>
      </w:r>
      <w:r>
        <w:rPr>
          <w:color w:val="231F20"/>
        </w:rPr>
        <w:t xml:space="preserve">less </w:t>
      </w:r>
      <w:r>
        <w:rPr>
          <w:color w:val="231F20"/>
          <w:w w:val="95"/>
        </w:rPr>
        <w:t xml:space="preserve">than successful team’ (Weed &amp; Bull, 2012: 127). Their travel decisions are </w:t>
      </w:r>
      <w:r>
        <w:rPr>
          <w:color w:val="231F20"/>
        </w:rPr>
        <w:t>closely tied to the tour itineraries of their team.</w:t>
      </w:r>
    </w:p>
    <w:p w14:paraId="598454D4" w14:textId="77777777" w:rsidR="00AE0598" w:rsidRDefault="00AE0598">
      <w:pPr>
        <w:spacing w:line="232" w:lineRule="auto"/>
        <w:jc w:val="both"/>
        <w:sectPr w:rsidR="00AE0598">
          <w:pgSz w:w="8850" w:h="13270"/>
          <w:pgMar w:top="720" w:right="1060" w:bottom="280" w:left="1080" w:header="720" w:footer="720" w:gutter="0"/>
          <w:cols w:space="720"/>
        </w:sectPr>
      </w:pPr>
    </w:p>
    <w:p w14:paraId="44B73D4F" w14:textId="77777777" w:rsidR="00AE0598" w:rsidRDefault="0069255A">
      <w:pPr>
        <w:spacing w:before="87"/>
        <w:ind w:left="108"/>
        <w:rPr>
          <w:rFonts w:ascii="Trebuchet MS"/>
          <w:sz w:val="14"/>
        </w:rPr>
      </w:pPr>
      <w:r>
        <w:rPr>
          <w:rFonts w:ascii="Trebuchet MS"/>
          <w:color w:val="231F20"/>
          <w:w w:val="105"/>
          <w:sz w:val="14"/>
        </w:rPr>
        <w:lastRenderedPageBreak/>
        <w:t>48</w:t>
      </w:r>
      <w:r>
        <w:rPr>
          <w:rFonts w:ascii="Trebuchet MS"/>
          <w:color w:val="231F20"/>
          <w:spacing w:val="64"/>
          <w:w w:val="150"/>
          <w:sz w:val="14"/>
        </w:rPr>
        <w:t xml:space="preserve"> </w:t>
      </w:r>
      <w:r>
        <w:rPr>
          <w:rFonts w:ascii="Trebuchet MS"/>
          <w:color w:val="231F20"/>
          <w:w w:val="105"/>
          <w:sz w:val="14"/>
        </w:rPr>
        <w:t>Part</w:t>
      </w:r>
      <w:r>
        <w:rPr>
          <w:rFonts w:ascii="Trebuchet MS"/>
          <w:color w:val="231F20"/>
          <w:spacing w:val="-9"/>
          <w:w w:val="105"/>
          <w:sz w:val="14"/>
        </w:rPr>
        <w:t xml:space="preserve"> </w:t>
      </w:r>
      <w:r>
        <w:rPr>
          <w:rFonts w:ascii="Trebuchet MS"/>
          <w:color w:val="231F20"/>
          <w:w w:val="105"/>
          <w:sz w:val="14"/>
        </w:rPr>
        <w:t>2:</w:t>
      </w:r>
      <w:r>
        <w:rPr>
          <w:rFonts w:ascii="Trebuchet MS"/>
          <w:color w:val="231F20"/>
          <w:spacing w:val="-9"/>
          <w:w w:val="105"/>
          <w:sz w:val="14"/>
        </w:rPr>
        <w:t xml:space="preserve"> </w:t>
      </w:r>
      <w:r>
        <w:rPr>
          <w:rFonts w:ascii="Trebuchet MS"/>
          <w:color w:val="231F20"/>
          <w:w w:val="105"/>
          <w:sz w:val="14"/>
        </w:rPr>
        <w:t>Foundations</w:t>
      </w:r>
      <w:r>
        <w:rPr>
          <w:rFonts w:ascii="Trebuchet MS"/>
          <w:color w:val="231F20"/>
          <w:spacing w:val="-9"/>
          <w:w w:val="105"/>
          <w:sz w:val="14"/>
        </w:rPr>
        <w:t xml:space="preserve"> </w:t>
      </w:r>
      <w:r>
        <w:rPr>
          <w:rFonts w:ascii="Trebuchet MS"/>
          <w:color w:val="231F20"/>
          <w:w w:val="105"/>
          <w:sz w:val="14"/>
        </w:rPr>
        <w:t>of</w:t>
      </w:r>
      <w:r>
        <w:rPr>
          <w:rFonts w:ascii="Trebuchet MS"/>
          <w:color w:val="231F20"/>
          <w:spacing w:val="-9"/>
          <w:w w:val="105"/>
          <w:sz w:val="14"/>
        </w:rPr>
        <w:t xml:space="preserve"> </w:t>
      </w:r>
      <w:r>
        <w:rPr>
          <w:rFonts w:ascii="Trebuchet MS"/>
          <w:color w:val="231F20"/>
          <w:w w:val="105"/>
          <w:sz w:val="14"/>
        </w:rPr>
        <w:t>Sport</w:t>
      </w:r>
      <w:r>
        <w:rPr>
          <w:rFonts w:ascii="Trebuchet MS"/>
          <w:color w:val="231F20"/>
          <w:spacing w:val="-9"/>
          <w:w w:val="105"/>
          <w:sz w:val="14"/>
        </w:rPr>
        <w:t xml:space="preserve"> </w:t>
      </w:r>
      <w:r>
        <w:rPr>
          <w:rFonts w:ascii="Trebuchet MS"/>
          <w:color w:val="231F20"/>
          <w:w w:val="105"/>
          <w:sz w:val="14"/>
        </w:rPr>
        <w:t>Tourism</w:t>
      </w:r>
      <w:r>
        <w:rPr>
          <w:rFonts w:ascii="Trebuchet MS"/>
          <w:color w:val="231F20"/>
          <w:spacing w:val="-9"/>
          <w:w w:val="105"/>
          <w:sz w:val="14"/>
        </w:rPr>
        <w:t xml:space="preserve"> </w:t>
      </w:r>
      <w:r>
        <w:rPr>
          <w:rFonts w:ascii="Trebuchet MS"/>
          <w:color w:val="231F20"/>
          <w:spacing w:val="-2"/>
          <w:w w:val="105"/>
          <w:sz w:val="14"/>
        </w:rPr>
        <w:t>Development</w:t>
      </w:r>
    </w:p>
    <w:p w14:paraId="44B7C695" w14:textId="77777777" w:rsidR="00AE0598" w:rsidRDefault="00AE0598">
      <w:pPr>
        <w:pStyle w:val="Corpodetexto"/>
        <w:rPr>
          <w:rFonts w:ascii="Trebuchet MS"/>
          <w:sz w:val="16"/>
        </w:rPr>
      </w:pPr>
    </w:p>
    <w:p w14:paraId="594A1586" w14:textId="77777777" w:rsidR="00AE0598" w:rsidRDefault="0069255A">
      <w:pPr>
        <w:pStyle w:val="Corpodetexto"/>
        <w:spacing w:before="118" w:line="232" w:lineRule="auto"/>
        <w:ind w:left="110" w:right="123" w:firstLine="320"/>
        <w:jc w:val="both"/>
      </w:pPr>
      <w:r>
        <w:rPr>
          <w:color w:val="231F20"/>
        </w:rPr>
        <w:t>In</w:t>
      </w:r>
      <w:r>
        <w:rPr>
          <w:color w:val="231F20"/>
          <w:spacing w:val="40"/>
        </w:rPr>
        <w:t xml:space="preserve"> </w:t>
      </w:r>
      <w:r>
        <w:rPr>
          <w:color w:val="231F20"/>
        </w:rPr>
        <w:t>contrast</w:t>
      </w:r>
      <w:r>
        <w:rPr>
          <w:color w:val="231F20"/>
          <w:spacing w:val="40"/>
        </w:rPr>
        <w:t xml:space="preserve"> </w:t>
      </w:r>
      <w:r>
        <w:rPr>
          <w:color w:val="231F20"/>
        </w:rPr>
        <w:t>to</w:t>
      </w:r>
      <w:r>
        <w:rPr>
          <w:color w:val="231F20"/>
          <w:spacing w:val="40"/>
        </w:rPr>
        <w:t xml:space="preserve"> </w:t>
      </w:r>
      <w:r>
        <w:rPr>
          <w:color w:val="231F20"/>
        </w:rPr>
        <w:t>‘sport</w:t>
      </w:r>
      <w:r>
        <w:rPr>
          <w:color w:val="231F20"/>
          <w:spacing w:val="40"/>
        </w:rPr>
        <w:t xml:space="preserve"> </w:t>
      </w:r>
      <w:r>
        <w:rPr>
          <w:color w:val="231F20"/>
        </w:rPr>
        <w:t>junkies’,</w:t>
      </w:r>
      <w:r>
        <w:rPr>
          <w:color w:val="231F20"/>
          <w:spacing w:val="40"/>
        </w:rPr>
        <w:t xml:space="preserve"> </w:t>
      </w:r>
      <w:r>
        <w:rPr>
          <w:color w:val="231F20"/>
        </w:rPr>
        <w:t>sport</w:t>
      </w:r>
      <w:r>
        <w:rPr>
          <w:color w:val="231F20"/>
          <w:spacing w:val="40"/>
        </w:rPr>
        <w:t xml:space="preserve"> </w:t>
      </w:r>
      <w:r>
        <w:rPr>
          <w:color w:val="231F20"/>
        </w:rPr>
        <w:t>spectators</w:t>
      </w:r>
      <w:r>
        <w:rPr>
          <w:color w:val="231F20"/>
          <w:spacing w:val="40"/>
        </w:rPr>
        <w:t xml:space="preserve"> </w:t>
      </w:r>
      <w:r>
        <w:rPr>
          <w:color w:val="231F20"/>
        </w:rPr>
        <w:t>may</w:t>
      </w:r>
      <w:r>
        <w:rPr>
          <w:color w:val="231F20"/>
          <w:spacing w:val="40"/>
        </w:rPr>
        <w:t xml:space="preserve"> </w:t>
      </w:r>
      <w:r>
        <w:rPr>
          <w:color w:val="231F20"/>
        </w:rPr>
        <w:t>engage</w:t>
      </w:r>
      <w:r>
        <w:rPr>
          <w:color w:val="231F20"/>
          <w:spacing w:val="40"/>
        </w:rPr>
        <w:t xml:space="preserve"> </w:t>
      </w:r>
      <w:r>
        <w:rPr>
          <w:color w:val="231F20"/>
        </w:rPr>
        <w:t>in</w:t>
      </w:r>
      <w:r>
        <w:rPr>
          <w:color w:val="231F20"/>
          <w:spacing w:val="40"/>
        </w:rPr>
        <w:t xml:space="preserve"> </w:t>
      </w:r>
      <w:r>
        <w:rPr>
          <w:color w:val="231F20"/>
        </w:rPr>
        <w:t>a more casual relationship with sport. In these cases, ‘general interest</w:t>
      </w:r>
      <w:r>
        <w:rPr>
          <w:color w:val="231F20"/>
          <w:spacing w:val="80"/>
        </w:rPr>
        <w:t xml:space="preserve"> </w:t>
      </w:r>
      <w:r>
        <w:rPr>
          <w:color w:val="231F20"/>
        </w:rPr>
        <w:t>and</w:t>
      </w:r>
      <w:r>
        <w:rPr>
          <w:color w:val="231F20"/>
          <w:spacing w:val="40"/>
        </w:rPr>
        <w:t xml:space="preserve"> </w:t>
      </w:r>
      <w:r>
        <w:rPr>
          <w:color w:val="231F20"/>
        </w:rPr>
        <w:t>match</w:t>
      </w:r>
      <w:r>
        <w:rPr>
          <w:color w:val="231F20"/>
          <w:spacing w:val="40"/>
        </w:rPr>
        <w:t xml:space="preserve"> </w:t>
      </w:r>
      <w:r>
        <w:rPr>
          <w:color w:val="231F20"/>
        </w:rPr>
        <w:t>attendance</w:t>
      </w:r>
      <w:r>
        <w:rPr>
          <w:color w:val="231F20"/>
          <w:spacing w:val="40"/>
        </w:rPr>
        <w:t xml:space="preserve"> </w:t>
      </w:r>
      <w:r>
        <w:rPr>
          <w:color w:val="231F20"/>
        </w:rPr>
        <w:t>can</w:t>
      </w:r>
      <w:r>
        <w:rPr>
          <w:color w:val="231F20"/>
          <w:spacing w:val="40"/>
        </w:rPr>
        <w:t xml:space="preserve"> </w:t>
      </w:r>
      <w:r>
        <w:rPr>
          <w:color w:val="231F20"/>
        </w:rPr>
        <w:t>shift</w:t>
      </w:r>
      <w:r>
        <w:rPr>
          <w:color w:val="231F20"/>
          <w:spacing w:val="40"/>
        </w:rPr>
        <w:t xml:space="preserve"> </w:t>
      </w:r>
      <w:r>
        <w:rPr>
          <w:color w:val="231F20"/>
        </w:rPr>
        <w:t>in</w:t>
      </w:r>
      <w:r>
        <w:rPr>
          <w:color w:val="231F20"/>
          <w:spacing w:val="40"/>
        </w:rPr>
        <w:t xml:space="preserve"> </w:t>
      </w:r>
      <w:r>
        <w:rPr>
          <w:color w:val="231F20"/>
        </w:rPr>
        <w:t>response</w:t>
      </w:r>
      <w:r>
        <w:rPr>
          <w:color w:val="231F20"/>
          <w:spacing w:val="40"/>
        </w:rPr>
        <w:t xml:space="preserve"> </w:t>
      </w:r>
      <w:r>
        <w:rPr>
          <w:color w:val="231F20"/>
        </w:rPr>
        <w:t>to</w:t>
      </w:r>
      <w:r>
        <w:rPr>
          <w:color w:val="231F20"/>
          <w:spacing w:val="40"/>
        </w:rPr>
        <w:t xml:space="preserve"> </w:t>
      </w:r>
      <w:r>
        <w:rPr>
          <w:color w:val="231F20"/>
        </w:rPr>
        <w:t>wins</w:t>
      </w:r>
      <w:r>
        <w:rPr>
          <w:color w:val="231F20"/>
          <w:spacing w:val="40"/>
        </w:rPr>
        <w:t xml:space="preserve"> </w:t>
      </w:r>
      <w:r>
        <w:rPr>
          <w:color w:val="231F20"/>
        </w:rPr>
        <w:t>and</w:t>
      </w:r>
      <w:r>
        <w:rPr>
          <w:color w:val="231F20"/>
          <w:spacing w:val="40"/>
        </w:rPr>
        <w:t xml:space="preserve"> </w:t>
      </w:r>
      <w:r>
        <w:rPr>
          <w:color w:val="231F20"/>
        </w:rPr>
        <w:t>losses,</w:t>
      </w:r>
      <w:r>
        <w:rPr>
          <w:color w:val="231F20"/>
          <w:spacing w:val="40"/>
        </w:rPr>
        <w:t xml:space="preserve"> </w:t>
      </w:r>
      <w:r>
        <w:rPr>
          <w:color w:val="231F20"/>
        </w:rPr>
        <w:t>the state of the venue, the appearance of star players and a change in the weather’ (Stewart, 2001: 17). Casual consumers of sport present sport markets with unique challenges associated with accessing this element of sport tourism demand. The importance o</w:t>
      </w:r>
      <w:r>
        <w:rPr>
          <w:color w:val="231F20"/>
        </w:rPr>
        <w:t xml:space="preserve">f understanding the travel motivations and wider pre- and post-event itineraries of sports tourists emerges clearly from these studies. The leveraging of sport tourism events requires consideration of the sport and tourism product at the </w:t>
      </w:r>
      <w:r>
        <w:rPr>
          <w:color w:val="231F20"/>
          <w:w w:val="95"/>
        </w:rPr>
        <w:t>destination; the s</w:t>
      </w:r>
      <w:r>
        <w:rPr>
          <w:color w:val="231F20"/>
          <w:w w:val="95"/>
        </w:rPr>
        <w:t xml:space="preserve">upply and demand for sports facilities and services; and </w:t>
      </w:r>
      <w:r>
        <w:rPr>
          <w:color w:val="231F20"/>
        </w:rPr>
        <w:t xml:space="preserve">tourism experiences before, during and after the event (Faulkner </w:t>
      </w:r>
      <w:r>
        <w:rPr>
          <w:i/>
          <w:color w:val="231F20"/>
        </w:rPr>
        <w:t>et al</w:t>
      </w:r>
      <w:r>
        <w:rPr>
          <w:color w:val="231F20"/>
        </w:rPr>
        <w:t xml:space="preserve">., </w:t>
      </w:r>
      <w:r>
        <w:rPr>
          <w:color w:val="231F20"/>
          <w:w w:val="95"/>
        </w:rPr>
        <w:t xml:space="preserve">1998). Much less is known about the tourism experiences of elite athletes. </w:t>
      </w:r>
      <w:r>
        <w:rPr>
          <w:color w:val="231F20"/>
        </w:rPr>
        <w:t>Conceiving elite athletes as tourists who visit des</w:t>
      </w:r>
      <w:r>
        <w:rPr>
          <w:color w:val="231F20"/>
        </w:rPr>
        <w:t xml:space="preserve">tinations, albeit for </w:t>
      </w:r>
      <w:r>
        <w:rPr>
          <w:color w:val="231F20"/>
          <w:w w:val="95"/>
        </w:rPr>
        <w:t xml:space="preserve">different reasons to those who travel to destinations to experience their sporting performances, is an interesting proposition. Some destinations </w:t>
      </w:r>
      <w:r>
        <w:rPr>
          <w:color w:val="231F20"/>
        </w:rPr>
        <w:t>now seek to actively attract and cater for elite athletes and sports teams (Chalip, 2004</w:t>
      </w:r>
      <w:r>
        <w:rPr>
          <w:color w:val="231F20"/>
        </w:rPr>
        <w:t>b; Francis &amp; Murphy, 2005).</w:t>
      </w:r>
    </w:p>
    <w:p w14:paraId="0A2895E4" w14:textId="77777777" w:rsidR="00AE0598" w:rsidRDefault="00AE0598">
      <w:pPr>
        <w:pStyle w:val="Corpodetexto"/>
        <w:spacing w:before="9"/>
        <w:rPr>
          <w:sz w:val="22"/>
        </w:rPr>
      </w:pPr>
    </w:p>
    <w:p w14:paraId="520B07FF" w14:textId="77777777" w:rsidR="00AE0598" w:rsidRDefault="0069255A">
      <w:pPr>
        <w:ind w:left="110"/>
        <w:rPr>
          <w:rFonts w:ascii="Trebuchet MS"/>
          <w:b/>
          <w:sz w:val="20"/>
        </w:rPr>
      </w:pPr>
      <w:r>
        <w:rPr>
          <w:rFonts w:ascii="Trebuchet MS"/>
          <w:b/>
          <w:color w:val="231F20"/>
          <w:w w:val="95"/>
          <w:sz w:val="20"/>
        </w:rPr>
        <w:t>Participation</w:t>
      </w:r>
      <w:r>
        <w:rPr>
          <w:rFonts w:ascii="Trebuchet MS"/>
          <w:b/>
          <w:color w:val="231F20"/>
          <w:spacing w:val="44"/>
          <w:sz w:val="20"/>
        </w:rPr>
        <w:t xml:space="preserve"> </w:t>
      </w:r>
      <w:r>
        <w:rPr>
          <w:rFonts w:ascii="Trebuchet MS"/>
          <w:b/>
          <w:color w:val="231F20"/>
          <w:spacing w:val="-2"/>
          <w:sz w:val="20"/>
        </w:rPr>
        <w:t>Events</w:t>
      </w:r>
    </w:p>
    <w:p w14:paraId="0C3E9602" w14:textId="77777777" w:rsidR="00AE0598" w:rsidRDefault="0069255A">
      <w:pPr>
        <w:pStyle w:val="Corpodetexto"/>
        <w:spacing w:before="122" w:line="232" w:lineRule="auto"/>
        <w:ind w:left="110" w:right="126" w:firstLine="320"/>
        <w:jc w:val="both"/>
      </w:pPr>
      <w:r>
        <w:rPr>
          <w:color w:val="231F20"/>
        </w:rPr>
        <w:t>Much research in the field of event tourism focuses on large-scale spectator events (Weed, 2007). However, this is only a partial picture</w:t>
      </w:r>
      <w:r>
        <w:rPr>
          <w:color w:val="231F20"/>
          <w:spacing w:val="80"/>
          <w:w w:val="150"/>
        </w:rPr>
        <w:t xml:space="preserve"> </w:t>
      </w:r>
      <w:r>
        <w:rPr>
          <w:color w:val="231F20"/>
        </w:rPr>
        <w:t xml:space="preserve">of event sport tourism (Bull &amp; Weed, 1999; Gratton </w:t>
      </w:r>
      <w:r>
        <w:rPr>
          <w:i/>
          <w:color w:val="231F20"/>
        </w:rPr>
        <w:t>et al</w:t>
      </w:r>
      <w:r>
        <w:rPr>
          <w:color w:val="231F20"/>
        </w:rPr>
        <w:t>., 2005). Ev</w:t>
      </w:r>
      <w:r>
        <w:rPr>
          <w:color w:val="231F20"/>
        </w:rPr>
        <w:t>ent sport tourism includes competitive non-elite, amateur and recreational sports events, where the number of competitors may be large, and the number</w:t>
      </w:r>
      <w:r>
        <w:rPr>
          <w:color w:val="231F20"/>
          <w:spacing w:val="-1"/>
        </w:rPr>
        <w:t xml:space="preserve"> </w:t>
      </w:r>
      <w:r>
        <w:rPr>
          <w:color w:val="231F20"/>
        </w:rPr>
        <w:t>of</w:t>
      </w:r>
      <w:r>
        <w:rPr>
          <w:color w:val="231F20"/>
          <w:spacing w:val="-1"/>
        </w:rPr>
        <w:t xml:space="preserve"> </w:t>
      </w:r>
      <w:r>
        <w:rPr>
          <w:color w:val="231F20"/>
        </w:rPr>
        <w:t>spectators</w:t>
      </w:r>
      <w:r>
        <w:rPr>
          <w:color w:val="231F20"/>
          <w:spacing w:val="-1"/>
        </w:rPr>
        <w:t xml:space="preserve"> </w:t>
      </w:r>
      <w:r>
        <w:rPr>
          <w:color w:val="231F20"/>
        </w:rPr>
        <w:t>negligible</w:t>
      </w:r>
      <w:r>
        <w:rPr>
          <w:color w:val="231F20"/>
          <w:spacing w:val="-1"/>
        </w:rPr>
        <w:t xml:space="preserve"> </w:t>
      </w:r>
      <w:r>
        <w:rPr>
          <w:color w:val="231F20"/>
        </w:rPr>
        <w:t>or</w:t>
      </w:r>
      <w:r>
        <w:rPr>
          <w:color w:val="231F20"/>
          <w:spacing w:val="-1"/>
        </w:rPr>
        <w:t xml:space="preserve"> </w:t>
      </w:r>
      <w:r>
        <w:rPr>
          <w:color w:val="231F20"/>
        </w:rPr>
        <w:t>non-existent</w:t>
      </w:r>
      <w:r>
        <w:rPr>
          <w:color w:val="231F20"/>
          <w:spacing w:val="-1"/>
        </w:rPr>
        <w:t xml:space="preserve"> </w:t>
      </w:r>
      <w:r>
        <w:rPr>
          <w:color w:val="231F20"/>
        </w:rPr>
        <w:t>(Figure</w:t>
      </w:r>
      <w:r>
        <w:rPr>
          <w:color w:val="231F20"/>
          <w:spacing w:val="-1"/>
        </w:rPr>
        <w:t xml:space="preserve"> </w:t>
      </w:r>
      <w:r>
        <w:rPr>
          <w:color w:val="231F20"/>
        </w:rPr>
        <w:t>3.2).</w:t>
      </w:r>
      <w:r>
        <w:rPr>
          <w:color w:val="231F20"/>
          <w:spacing w:val="-1"/>
        </w:rPr>
        <w:t xml:space="preserve"> </w:t>
      </w:r>
      <w:r>
        <w:rPr>
          <w:color w:val="231F20"/>
        </w:rPr>
        <w:t>Exceptions to</w:t>
      </w:r>
      <w:r>
        <w:rPr>
          <w:color w:val="231F20"/>
          <w:spacing w:val="-9"/>
        </w:rPr>
        <w:t xml:space="preserve"> </w:t>
      </w:r>
      <w:r>
        <w:rPr>
          <w:color w:val="231F20"/>
        </w:rPr>
        <w:t>this</w:t>
      </w:r>
      <w:r>
        <w:rPr>
          <w:color w:val="231F20"/>
          <w:spacing w:val="-9"/>
        </w:rPr>
        <w:t xml:space="preserve"> </w:t>
      </w:r>
      <w:r>
        <w:rPr>
          <w:color w:val="231F20"/>
        </w:rPr>
        <w:t>general</w:t>
      </w:r>
      <w:r>
        <w:rPr>
          <w:color w:val="231F20"/>
          <w:spacing w:val="-9"/>
        </w:rPr>
        <w:t xml:space="preserve"> </w:t>
      </w:r>
      <w:r>
        <w:rPr>
          <w:color w:val="231F20"/>
        </w:rPr>
        <w:t>rule</w:t>
      </w:r>
      <w:r>
        <w:rPr>
          <w:color w:val="231F20"/>
          <w:spacing w:val="-9"/>
        </w:rPr>
        <w:t xml:space="preserve"> </w:t>
      </w:r>
      <w:r>
        <w:rPr>
          <w:color w:val="231F20"/>
        </w:rPr>
        <w:t>do</w:t>
      </w:r>
      <w:r>
        <w:rPr>
          <w:color w:val="231F20"/>
          <w:spacing w:val="-9"/>
        </w:rPr>
        <w:t xml:space="preserve"> </w:t>
      </w:r>
      <w:r>
        <w:rPr>
          <w:color w:val="231F20"/>
        </w:rPr>
        <w:t>exist</w:t>
      </w:r>
      <w:r>
        <w:rPr>
          <w:color w:val="231F20"/>
          <w:spacing w:val="-9"/>
        </w:rPr>
        <w:t xml:space="preserve"> </w:t>
      </w:r>
      <w:r>
        <w:rPr>
          <w:color w:val="231F20"/>
        </w:rPr>
        <w:t>where</w:t>
      </w:r>
      <w:r>
        <w:rPr>
          <w:color w:val="231F20"/>
          <w:spacing w:val="-9"/>
        </w:rPr>
        <w:t xml:space="preserve"> </w:t>
      </w:r>
      <w:r>
        <w:rPr>
          <w:color w:val="231F20"/>
        </w:rPr>
        <w:t>non-elite</w:t>
      </w:r>
      <w:r>
        <w:rPr>
          <w:color w:val="231F20"/>
          <w:spacing w:val="-9"/>
        </w:rPr>
        <w:t xml:space="preserve"> </w:t>
      </w:r>
      <w:r>
        <w:rPr>
          <w:color w:val="231F20"/>
        </w:rPr>
        <w:t>events</w:t>
      </w:r>
      <w:r>
        <w:rPr>
          <w:color w:val="231F20"/>
          <w:spacing w:val="-9"/>
        </w:rPr>
        <w:t xml:space="preserve"> </w:t>
      </w:r>
      <w:r>
        <w:rPr>
          <w:color w:val="231F20"/>
        </w:rPr>
        <w:t>attract</w:t>
      </w:r>
      <w:r>
        <w:rPr>
          <w:color w:val="231F20"/>
          <w:spacing w:val="-9"/>
        </w:rPr>
        <w:t xml:space="preserve"> </w:t>
      </w:r>
      <w:r>
        <w:rPr>
          <w:color w:val="231F20"/>
        </w:rPr>
        <w:t>large</w:t>
      </w:r>
      <w:r>
        <w:rPr>
          <w:color w:val="231F20"/>
          <w:spacing w:val="-9"/>
        </w:rPr>
        <w:t xml:space="preserve"> </w:t>
      </w:r>
      <w:r>
        <w:rPr>
          <w:color w:val="231F20"/>
        </w:rPr>
        <w:t xml:space="preserve">numbers </w:t>
      </w:r>
      <w:r>
        <w:rPr>
          <w:color w:val="231F20"/>
          <w:w w:val="95"/>
        </w:rPr>
        <w:t xml:space="preserve">of family and friends as spectators (Carmichael &amp; Murphy, 1996). In some </w:t>
      </w:r>
      <w:r>
        <w:rPr>
          <w:color w:val="231F20"/>
        </w:rPr>
        <w:t>instances, elite and non-elite competitors are accommodated in a single event,</w:t>
      </w:r>
      <w:r>
        <w:rPr>
          <w:color w:val="231F20"/>
          <w:spacing w:val="-5"/>
        </w:rPr>
        <w:t xml:space="preserve"> </w:t>
      </w:r>
      <w:r>
        <w:rPr>
          <w:color w:val="231F20"/>
        </w:rPr>
        <w:t>which</w:t>
      </w:r>
      <w:r>
        <w:rPr>
          <w:color w:val="231F20"/>
          <w:spacing w:val="-5"/>
        </w:rPr>
        <w:t xml:space="preserve"> </w:t>
      </w:r>
      <w:r>
        <w:rPr>
          <w:color w:val="231F20"/>
        </w:rPr>
        <w:t>creates</w:t>
      </w:r>
      <w:r>
        <w:rPr>
          <w:color w:val="231F20"/>
          <w:spacing w:val="-5"/>
        </w:rPr>
        <w:t xml:space="preserve"> </w:t>
      </w:r>
      <w:r>
        <w:rPr>
          <w:color w:val="231F20"/>
        </w:rPr>
        <w:t>a</w:t>
      </w:r>
      <w:r>
        <w:rPr>
          <w:color w:val="231F20"/>
          <w:spacing w:val="-5"/>
        </w:rPr>
        <w:t xml:space="preserve"> </w:t>
      </w:r>
      <w:r>
        <w:rPr>
          <w:color w:val="231F20"/>
        </w:rPr>
        <w:t>broad</w:t>
      </w:r>
      <w:r>
        <w:rPr>
          <w:color w:val="231F20"/>
          <w:spacing w:val="-5"/>
        </w:rPr>
        <w:t xml:space="preserve"> </w:t>
      </w:r>
      <w:r>
        <w:rPr>
          <w:color w:val="231F20"/>
        </w:rPr>
        <w:t>catchment</w:t>
      </w:r>
      <w:r>
        <w:rPr>
          <w:color w:val="231F20"/>
          <w:spacing w:val="-5"/>
        </w:rPr>
        <w:t xml:space="preserve"> </w:t>
      </w:r>
      <w:r>
        <w:rPr>
          <w:color w:val="231F20"/>
        </w:rPr>
        <w:t>of</w:t>
      </w:r>
      <w:r>
        <w:rPr>
          <w:color w:val="231F20"/>
          <w:spacing w:val="-5"/>
        </w:rPr>
        <w:t xml:space="preserve"> </w:t>
      </w:r>
      <w:r>
        <w:rPr>
          <w:color w:val="231F20"/>
        </w:rPr>
        <w:t>elite</w:t>
      </w:r>
      <w:r>
        <w:rPr>
          <w:color w:val="231F20"/>
          <w:spacing w:val="-5"/>
        </w:rPr>
        <w:t xml:space="preserve"> </w:t>
      </w:r>
      <w:r>
        <w:rPr>
          <w:color w:val="231F20"/>
        </w:rPr>
        <w:t>athletes</w:t>
      </w:r>
      <w:r>
        <w:rPr>
          <w:color w:val="231F20"/>
          <w:spacing w:val="-5"/>
        </w:rPr>
        <w:t xml:space="preserve"> </w:t>
      </w:r>
      <w:r>
        <w:rPr>
          <w:color w:val="231F20"/>
        </w:rPr>
        <w:t>(and</w:t>
      </w:r>
      <w:r>
        <w:rPr>
          <w:color w:val="231F20"/>
          <w:spacing w:val="-5"/>
        </w:rPr>
        <w:t xml:space="preserve"> </w:t>
      </w:r>
      <w:r>
        <w:rPr>
          <w:color w:val="231F20"/>
        </w:rPr>
        <w:t>spec</w:t>
      </w:r>
      <w:r>
        <w:rPr>
          <w:color w:val="231F20"/>
        </w:rPr>
        <w:t>tators) and</w:t>
      </w:r>
      <w:r>
        <w:rPr>
          <w:color w:val="231F20"/>
          <w:spacing w:val="-12"/>
        </w:rPr>
        <w:t xml:space="preserve"> </w:t>
      </w:r>
      <w:r>
        <w:rPr>
          <w:color w:val="231F20"/>
        </w:rPr>
        <w:t>non-elite</w:t>
      </w:r>
      <w:r>
        <w:rPr>
          <w:color w:val="231F20"/>
          <w:spacing w:val="-11"/>
        </w:rPr>
        <w:t xml:space="preserve"> </w:t>
      </w:r>
      <w:r>
        <w:rPr>
          <w:color w:val="231F20"/>
        </w:rPr>
        <w:t>competitors.</w:t>
      </w:r>
      <w:r>
        <w:rPr>
          <w:color w:val="231F20"/>
          <w:spacing w:val="-12"/>
        </w:rPr>
        <w:t xml:space="preserve"> </w:t>
      </w:r>
      <w:r>
        <w:rPr>
          <w:color w:val="231F20"/>
        </w:rPr>
        <w:t>The</w:t>
      </w:r>
      <w:r>
        <w:rPr>
          <w:color w:val="231F20"/>
          <w:spacing w:val="-11"/>
        </w:rPr>
        <w:t xml:space="preserve"> </w:t>
      </w:r>
      <w:r>
        <w:rPr>
          <w:color w:val="231F20"/>
        </w:rPr>
        <w:t>London,</w:t>
      </w:r>
      <w:r>
        <w:rPr>
          <w:color w:val="231F20"/>
          <w:spacing w:val="-12"/>
        </w:rPr>
        <w:t xml:space="preserve"> </w:t>
      </w:r>
      <w:r>
        <w:rPr>
          <w:color w:val="231F20"/>
        </w:rPr>
        <w:t>New</w:t>
      </w:r>
      <w:r>
        <w:rPr>
          <w:color w:val="231F20"/>
          <w:spacing w:val="-11"/>
        </w:rPr>
        <w:t xml:space="preserve"> </w:t>
      </w:r>
      <w:r>
        <w:rPr>
          <w:color w:val="231F20"/>
        </w:rPr>
        <w:t>York</w:t>
      </w:r>
      <w:r>
        <w:rPr>
          <w:color w:val="231F20"/>
          <w:spacing w:val="-12"/>
        </w:rPr>
        <w:t xml:space="preserve"> </w:t>
      </w:r>
      <w:r>
        <w:rPr>
          <w:color w:val="231F20"/>
        </w:rPr>
        <w:t>and</w:t>
      </w:r>
      <w:r>
        <w:rPr>
          <w:color w:val="231F20"/>
          <w:spacing w:val="-11"/>
        </w:rPr>
        <w:t xml:space="preserve"> </w:t>
      </w:r>
      <w:r>
        <w:rPr>
          <w:color w:val="231F20"/>
        </w:rPr>
        <w:t>Boston</w:t>
      </w:r>
      <w:r>
        <w:rPr>
          <w:color w:val="231F20"/>
          <w:spacing w:val="-12"/>
        </w:rPr>
        <w:t xml:space="preserve"> </w:t>
      </w:r>
      <w:r>
        <w:rPr>
          <w:color w:val="231F20"/>
        </w:rPr>
        <w:t>marathons provide</w:t>
      </w:r>
      <w:r>
        <w:rPr>
          <w:color w:val="231F20"/>
          <w:spacing w:val="-9"/>
        </w:rPr>
        <w:t xml:space="preserve"> </w:t>
      </w:r>
      <w:r>
        <w:rPr>
          <w:color w:val="231F20"/>
        </w:rPr>
        <w:t>evidence</w:t>
      </w:r>
      <w:r>
        <w:rPr>
          <w:color w:val="231F20"/>
          <w:spacing w:val="-9"/>
        </w:rPr>
        <w:t xml:space="preserve"> </w:t>
      </w:r>
      <w:r>
        <w:rPr>
          <w:color w:val="231F20"/>
        </w:rPr>
        <w:t>of</w:t>
      </w:r>
      <w:r>
        <w:rPr>
          <w:color w:val="231F20"/>
          <w:spacing w:val="-9"/>
        </w:rPr>
        <w:t xml:space="preserve"> </w:t>
      </w:r>
      <w:r>
        <w:rPr>
          <w:color w:val="231F20"/>
        </w:rPr>
        <w:t>the</w:t>
      </w:r>
      <w:r>
        <w:rPr>
          <w:color w:val="231F20"/>
          <w:spacing w:val="-9"/>
        </w:rPr>
        <w:t xml:space="preserve"> </w:t>
      </w:r>
      <w:r>
        <w:rPr>
          <w:color w:val="231F20"/>
        </w:rPr>
        <w:t>success</w:t>
      </w:r>
      <w:r>
        <w:rPr>
          <w:color w:val="231F20"/>
          <w:spacing w:val="-9"/>
        </w:rPr>
        <w:t xml:space="preserve"> </w:t>
      </w:r>
      <w:r>
        <w:rPr>
          <w:color w:val="231F20"/>
        </w:rPr>
        <w:t>of</w:t>
      </w:r>
      <w:r>
        <w:rPr>
          <w:color w:val="231F20"/>
          <w:spacing w:val="-9"/>
        </w:rPr>
        <w:t xml:space="preserve"> </w:t>
      </w:r>
      <w:r>
        <w:rPr>
          <w:color w:val="231F20"/>
        </w:rPr>
        <w:t>such</w:t>
      </w:r>
      <w:r>
        <w:rPr>
          <w:color w:val="231F20"/>
          <w:spacing w:val="-9"/>
        </w:rPr>
        <w:t xml:space="preserve"> </w:t>
      </w:r>
      <w:r>
        <w:rPr>
          <w:color w:val="231F20"/>
        </w:rPr>
        <w:t>events.</w:t>
      </w:r>
      <w:r>
        <w:rPr>
          <w:color w:val="231F20"/>
          <w:spacing w:val="-9"/>
        </w:rPr>
        <w:t xml:space="preserve"> </w:t>
      </w:r>
      <w:r>
        <w:rPr>
          <w:color w:val="231F20"/>
        </w:rPr>
        <w:t>The</w:t>
      </w:r>
      <w:r>
        <w:rPr>
          <w:color w:val="231F20"/>
          <w:spacing w:val="-9"/>
        </w:rPr>
        <w:t xml:space="preserve"> </w:t>
      </w:r>
      <w:r>
        <w:rPr>
          <w:color w:val="231F20"/>
        </w:rPr>
        <w:t>relationship</w:t>
      </w:r>
      <w:r>
        <w:rPr>
          <w:color w:val="231F20"/>
          <w:spacing w:val="-9"/>
        </w:rPr>
        <w:t xml:space="preserve"> </w:t>
      </w:r>
      <w:r>
        <w:rPr>
          <w:color w:val="231F20"/>
        </w:rPr>
        <w:t>between participation and spectatorship in event sport tourism deserves more academic attention. These distinct fo</w:t>
      </w:r>
      <w:r>
        <w:rPr>
          <w:color w:val="231F20"/>
        </w:rPr>
        <w:t xml:space="preserve">rms of event sport tourism justify </w:t>
      </w:r>
      <w:r>
        <w:rPr>
          <w:color w:val="231F20"/>
          <w:w w:val="95"/>
        </w:rPr>
        <w:t xml:space="preserve">separate analysis as the markets, promotional possibilities, infrastructure </w:t>
      </w:r>
      <w:r>
        <w:rPr>
          <w:color w:val="231F20"/>
        </w:rPr>
        <w:t>requirements, tourist behaviours, travel patterns and associated tourist experiences of each are likely to stand in significant contrast.</w:t>
      </w:r>
    </w:p>
    <w:p w14:paraId="580D926F" w14:textId="77777777" w:rsidR="00AE0598" w:rsidRDefault="0069255A">
      <w:pPr>
        <w:pStyle w:val="Corpodetexto"/>
        <w:spacing w:before="21" w:line="232" w:lineRule="auto"/>
        <w:ind w:left="110" w:right="127" w:firstLine="320"/>
        <w:jc w:val="both"/>
      </w:pPr>
      <w:r>
        <w:rPr>
          <w:color w:val="231F20"/>
        </w:rPr>
        <w:t>Bale</w:t>
      </w:r>
      <w:r>
        <w:rPr>
          <w:color w:val="231F20"/>
          <w:spacing w:val="-2"/>
        </w:rPr>
        <w:t xml:space="preserve"> </w:t>
      </w:r>
      <w:r>
        <w:rPr>
          <w:color w:val="231F20"/>
        </w:rPr>
        <w:t>(1</w:t>
      </w:r>
      <w:r>
        <w:rPr>
          <w:color w:val="231F20"/>
        </w:rPr>
        <w:t>989:</w:t>
      </w:r>
      <w:r>
        <w:rPr>
          <w:color w:val="231F20"/>
          <w:spacing w:val="-2"/>
        </w:rPr>
        <w:t xml:space="preserve"> </w:t>
      </w:r>
      <w:r>
        <w:rPr>
          <w:color w:val="231F20"/>
        </w:rPr>
        <w:t>114)</w:t>
      </w:r>
      <w:r>
        <w:rPr>
          <w:color w:val="231F20"/>
          <w:spacing w:val="-2"/>
        </w:rPr>
        <w:t xml:space="preserve"> </w:t>
      </w:r>
      <w:r>
        <w:rPr>
          <w:color w:val="231F20"/>
        </w:rPr>
        <w:t>observes</w:t>
      </w:r>
      <w:r>
        <w:rPr>
          <w:color w:val="231F20"/>
          <w:spacing w:val="-2"/>
        </w:rPr>
        <w:t xml:space="preserve"> </w:t>
      </w:r>
      <w:r>
        <w:rPr>
          <w:color w:val="231F20"/>
        </w:rPr>
        <w:t>that</w:t>
      </w:r>
      <w:r>
        <w:rPr>
          <w:color w:val="231F20"/>
          <w:spacing w:val="-2"/>
        </w:rPr>
        <w:t xml:space="preserve"> </w:t>
      </w:r>
      <w:r>
        <w:rPr>
          <w:color w:val="231F20"/>
        </w:rPr>
        <w:t>‘even</w:t>
      </w:r>
      <w:r>
        <w:rPr>
          <w:color w:val="231F20"/>
          <w:spacing w:val="-2"/>
        </w:rPr>
        <w:t xml:space="preserve"> </w:t>
      </w:r>
      <w:r>
        <w:rPr>
          <w:color w:val="231F20"/>
        </w:rPr>
        <w:t>quite</w:t>
      </w:r>
      <w:r>
        <w:rPr>
          <w:color w:val="231F20"/>
          <w:spacing w:val="-2"/>
        </w:rPr>
        <w:t xml:space="preserve"> </w:t>
      </w:r>
      <w:r>
        <w:rPr>
          <w:color w:val="231F20"/>
        </w:rPr>
        <w:t>small</w:t>
      </w:r>
      <w:r>
        <w:rPr>
          <w:color w:val="231F20"/>
          <w:spacing w:val="-2"/>
        </w:rPr>
        <w:t xml:space="preserve"> </w:t>
      </w:r>
      <w:r>
        <w:rPr>
          <w:color w:val="231F20"/>
        </w:rPr>
        <w:t>sporting</w:t>
      </w:r>
      <w:r>
        <w:rPr>
          <w:color w:val="231F20"/>
          <w:spacing w:val="-2"/>
        </w:rPr>
        <w:t xml:space="preserve"> </w:t>
      </w:r>
      <w:r>
        <w:rPr>
          <w:color w:val="231F20"/>
        </w:rPr>
        <w:t>events</w:t>
      </w:r>
      <w:r>
        <w:rPr>
          <w:color w:val="231F20"/>
          <w:spacing w:val="-2"/>
        </w:rPr>
        <w:t xml:space="preserve"> </w:t>
      </w:r>
      <w:r>
        <w:rPr>
          <w:color w:val="231F20"/>
        </w:rPr>
        <w:t>can generate substantial amounts of revenue for the communities within which</w:t>
      </w:r>
      <w:r>
        <w:rPr>
          <w:color w:val="231F20"/>
          <w:spacing w:val="-1"/>
        </w:rPr>
        <w:t xml:space="preserve"> </w:t>
      </w:r>
      <w:r>
        <w:rPr>
          <w:color w:val="231F20"/>
        </w:rPr>
        <w:t>they</w:t>
      </w:r>
      <w:r>
        <w:rPr>
          <w:color w:val="231F20"/>
          <w:spacing w:val="-1"/>
        </w:rPr>
        <w:t xml:space="preserve"> </w:t>
      </w:r>
      <w:r>
        <w:rPr>
          <w:color w:val="231F20"/>
        </w:rPr>
        <w:t>are</w:t>
      </w:r>
      <w:r>
        <w:rPr>
          <w:color w:val="231F20"/>
          <w:spacing w:val="-1"/>
        </w:rPr>
        <w:t xml:space="preserve"> </w:t>
      </w:r>
      <w:r>
        <w:rPr>
          <w:color w:val="231F20"/>
        </w:rPr>
        <w:t>located’.</w:t>
      </w:r>
      <w:r>
        <w:rPr>
          <w:color w:val="231F20"/>
          <w:spacing w:val="-1"/>
        </w:rPr>
        <w:t xml:space="preserve"> </w:t>
      </w:r>
      <w:r>
        <w:rPr>
          <w:color w:val="231F20"/>
        </w:rPr>
        <w:t>The</w:t>
      </w:r>
      <w:r>
        <w:rPr>
          <w:color w:val="231F20"/>
          <w:spacing w:val="-1"/>
        </w:rPr>
        <w:t xml:space="preserve"> </w:t>
      </w:r>
      <w:r>
        <w:rPr>
          <w:color w:val="231F20"/>
        </w:rPr>
        <w:t>trends</w:t>
      </w:r>
      <w:r>
        <w:rPr>
          <w:color w:val="231F20"/>
          <w:spacing w:val="-1"/>
        </w:rPr>
        <w:t xml:space="preserve"> </w:t>
      </w:r>
      <w:r>
        <w:rPr>
          <w:color w:val="231F20"/>
        </w:rPr>
        <w:t>outlined</w:t>
      </w:r>
      <w:r>
        <w:rPr>
          <w:color w:val="231F20"/>
          <w:spacing w:val="-1"/>
        </w:rPr>
        <w:t xml:space="preserve"> </w:t>
      </w:r>
      <w:r>
        <w:rPr>
          <w:color w:val="231F20"/>
        </w:rPr>
        <w:t>in</w:t>
      </w:r>
      <w:r>
        <w:rPr>
          <w:color w:val="231F20"/>
          <w:spacing w:val="-1"/>
        </w:rPr>
        <w:t xml:space="preserve"> </w:t>
      </w:r>
      <w:r>
        <w:rPr>
          <w:color w:val="231F20"/>
        </w:rPr>
        <w:t>Chapter</w:t>
      </w:r>
      <w:r>
        <w:rPr>
          <w:color w:val="231F20"/>
          <w:spacing w:val="-1"/>
        </w:rPr>
        <w:t xml:space="preserve"> </w:t>
      </w:r>
      <w:r>
        <w:rPr>
          <w:color w:val="231F20"/>
        </w:rPr>
        <w:t>1</w:t>
      </w:r>
      <w:r>
        <w:rPr>
          <w:color w:val="231F20"/>
          <w:spacing w:val="-1"/>
        </w:rPr>
        <w:t xml:space="preserve"> </w:t>
      </w:r>
      <w:r>
        <w:rPr>
          <w:color w:val="231F20"/>
        </w:rPr>
        <w:t>help</w:t>
      </w:r>
      <w:r>
        <w:rPr>
          <w:color w:val="231F20"/>
          <w:spacing w:val="-1"/>
        </w:rPr>
        <w:t xml:space="preserve"> </w:t>
      </w:r>
      <w:r>
        <w:rPr>
          <w:color w:val="231F20"/>
        </w:rPr>
        <w:t>to</w:t>
      </w:r>
      <w:r>
        <w:rPr>
          <w:color w:val="231F20"/>
          <w:spacing w:val="-1"/>
        </w:rPr>
        <w:t xml:space="preserve"> </w:t>
      </w:r>
      <w:r>
        <w:rPr>
          <w:color w:val="231F20"/>
        </w:rPr>
        <w:t xml:space="preserve">explain why participation sports have experienced such growth in recent years, </w:t>
      </w:r>
      <w:r>
        <w:rPr>
          <w:color w:val="231F20"/>
          <w:w w:val="95"/>
        </w:rPr>
        <w:t>which creates leveraging opportunities for tourism destinations (Derom &amp; Ramshaw,</w:t>
      </w:r>
      <w:r>
        <w:rPr>
          <w:color w:val="231F20"/>
          <w:spacing w:val="11"/>
        </w:rPr>
        <w:t xml:space="preserve"> </w:t>
      </w:r>
      <w:r>
        <w:rPr>
          <w:color w:val="231F20"/>
          <w:w w:val="95"/>
        </w:rPr>
        <w:t>2016).</w:t>
      </w:r>
      <w:r>
        <w:rPr>
          <w:color w:val="231F20"/>
          <w:spacing w:val="11"/>
        </w:rPr>
        <w:t xml:space="preserve"> </w:t>
      </w:r>
      <w:r>
        <w:rPr>
          <w:color w:val="231F20"/>
          <w:w w:val="95"/>
        </w:rPr>
        <w:t>Destinations</w:t>
      </w:r>
      <w:r>
        <w:rPr>
          <w:color w:val="231F20"/>
          <w:spacing w:val="12"/>
        </w:rPr>
        <w:t xml:space="preserve"> </w:t>
      </w:r>
      <w:r>
        <w:rPr>
          <w:color w:val="231F20"/>
          <w:w w:val="95"/>
        </w:rPr>
        <w:t>that</w:t>
      </w:r>
      <w:r>
        <w:rPr>
          <w:color w:val="231F20"/>
          <w:spacing w:val="11"/>
        </w:rPr>
        <w:t xml:space="preserve"> </w:t>
      </w:r>
      <w:r>
        <w:rPr>
          <w:color w:val="231F20"/>
          <w:w w:val="95"/>
        </w:rPr>
        <w:t>are</w:t>
      </w:r>
      <w:r>
        <w:rPr>
          <w:color w:val="231F20"/>
          <w:spacing w:val="12"/>
        </w:rPr>
        <w:t xml:space="preserve"> </w:t>
      </w:r>
      <w:r>
        <w:rPr>
          <w:color w:val="231F20"/>
          <w:w w:val="95"/>
        </w:rPr>
        <w:t>unable</w:t>
      </w:r>
      <w:r>
        <w:rPr>
          <w:color w:val="231F20"/>
          <w:spacing w:val="11"/>
        </w:rPr>
        <w:t xml:space="preserve"> </w:t>
      </w:r>
      <w:r>
        <w:rPr>
          <w:color w:val="231F20"/>
          <w:w w:val="95"/>
        </w:rPr>
        <w:t>to</w:t>
      </w:r>
      <w:r>
        <w:rPr>
          <w:color w:val="231F20"/>
          <w:spacing w:val="12"/>
        </w:rPr>
        <w:t xml:space="preserve"> </w:t>
      </w:r>
      <w:r>
        <w:rPr>
          <w:color w:val="231F20"/>
          <w:w w:val="95"/>
        </w:rPr>
        <w:t>host</w:t>
      </w:r>
      <w:r>
        <w:rPr>
          <w:color w:val="231F20"/>
          <w:spacing w:val="11"/>
        </w:rPr>
        <w:t xml:space="preserve"> </w:t>
      </w:r>
      <w:r>
        <w:rPr>
          <w:color w:val="231F20"/>
          <w:w w:val="95"/>
        </w:rPr>
        <w:t>large-scale</w:t>
      </w:r>
      <w:r>
        <w:rPr>
          <w:color w:val="231F20"/>
          <w:spacing w:val="12"/>
        </w:rPr>
        <w:t xml:space="preserve"> </w:t>
      </w:r>
      <w:r>
        <w:rPr>
          <w:color w:val="231F20"/>
          <w:spacing w:val="-2"/>
          <w:w w:val="95"/>
        </w:rPr>
        <w:t>sporting</w:t>
      </w:r>
    </w:p>
    <w:p w14:paraId="1BB77FA6" w14:textId="77777777" w:rsidR="00AE0598" w:rsidRDefault="00AE0598">
      <w:pPr>
        <w:spacing w:line="232" w:lineRule="auto"/>
        <w:jc w:val="both"/>
        <w:sectPr w:rsidR="00AE0598">
          <w:pgSz w:w="8850" w:h="13270"/>
          <w:pgMar w:top="720" w:right="1060" w:bottom="280" w:left="1080" w:header="720" w:footer="720" w:gutter="0"/>
          <w:cols w:space="720"/>
        </w:sectPr>
      </w:pPr>
    </w:p>
    <w:p w14:paraId="69A8B62E" w14:textId="77777777" w:rsidR="00AE0598" w:rsidRDefault="0069255A">
      <w:pPr>
        <w:spacing w:before="87"/>
        <w:ind w:left="110" w:right="128"/>
        <w:jc w:val="right"/>
        <w:rPr>
          <w:rFonts w:ascii="Trebuchet MS"/>
          <w:sz w:val="14"/>
        </w:rPr>
      </w:pPr>
      <w:r>
        <w:rPr>
          <w:rFonts w:ascii="Trebuchet MS"/>
          <w:color w:val="231F20"/>
          <w:w w:val="105"/>
          <w:sz w:val="14"/>
        </w:rPr>
        <w:lastRenderedPageBreak/>
        <w:t>Sport</w:t>
      </w:r>
      <w:r>
        <w:rPr>
          <w:rFonts w:ascii="Trebuchet MS"/>
          <w:color w:val="231F20"/>
          <w:spacing w:val="-7"/>
          <w:w w:val="105"/>
          <w:sz w:val="14"/>
        </w:rPr>
        <w:t xml:space="preserve"> </w:t>
      </w:r>
      <w:r>
        <w:rPr>
          <w:rFonts w:ascii="Trebuchet MS"/>
          <w:color w:val="231F20"/>
          <w:w w:val="105"/>
          <w:sz w:val="14"/>
        </w:rPr>
        <w:t>Tourism</w:t>
      </w:r>
      <w:r>
        <w:rPr>
          <w:rFonts w:ascii="Trebuchet MS"/>
          <w:color w:val="231F20"/>
          <w:spacing w:val="-7"/>
          <w:w w:val="105"/>
          <w:sz w:val="14"/>
        </w:rPr>
        <w:t xml:space="preserve"> </w:t>
      </w:r>
      <w:r>
        <w:rPr>
          <w:rFonts w:ascii="Trebuchet MS"/>
          <w:color w:val="231F20"/>
          <w:w w:val="105"/>
          <w:sz w:val="14"/>
        </w:rPr>
        <w:t>Markets</w:t>
      </w:r>
      <w:r>
        <w:rPr>
          <w:rFonts w:ascii="Trebuchet MS"/>
          <w:color w:val="231F20"/>
          <w:spacing w:val="73"/>
          <w:w w:val="150"/>
          <w:sz w:val="14"/>
        </w:rPr>
        <w:t xml:space="preserve"> </w:t>
      </w:r>
      <w:r>
        <w:rPr>
          <w:rFonts w:ascii="Trebuchet MS"/>
          <w:color w:val="231F20"/>
          <w:spacing w:val="-5"/>
          <w:w w:val="105"/>
          <w:sz w:val="14"/>
        </w:rPr>
        <w:t>49</w:t>
      </w:r>
    </w:p>
    <w:p w14:paraId="0861E95E" w14:textId="77777777" w:rsidR="00AE0598" w:rsidRDefault="00AE0598">
      <w:pPr>
        <w:pStyle w:val="Corpodetexto"/>
        <w:spacing w:before="6"/>
        <w:rPr>
          <w:rFonts w:ascii="Trebuchet MS"/>
          <w:sz w:val="19"/>
        </w:rPr>
      </w:pPr>
    </w:p>
    <w:p w14:paraId="2F4268C8" w14:textId="77777777" w:rsidR="00AE0598" w:rsidRDefault="00AE0598">
      <w:pPr>
        <w:rPr>
          <w:rFonts w:ascii="Trebuchet MS"/>
          <w:sz w:val="19"/>
        </w:rPr>
        <w:sectPr w:rsidR="00AE0598">
          <w:pgSz w:w="8850" w:h="13270"/>
          <w:pgMar w:top="720" w:right="1060" w:bottom="280" w:left="1080" w:header="720" w:footer="720" w:gutter="0"/>
          <w:cols w:space="720"/>
        </w:sectPr>
      </w:pPr>
    </w:p>
    <w:p w14:paraId="21BA8BE3" w14:textId="041BDF55" w:rsidR="00AE0598" w:rsidRDefault="0069255A">
      <w:pPr>
        <w:spacing w:before="103" w:line="244" w:lineRule="auto"/>
        <w:ind w:left="1082"/>
        <w:jc w:val="center"/>
        <w:rPr>
          <w:b/>
          <w:sz w:val="16"/>
        </w:rPr>
      </w:pPr>
      <w:r>
        <w:rPr>
          <w:noProof/>
        </w:rPr>
        <mc:AlternateContent>
          <mc:Choice Requires="wpg">
            <w:drawing>
              <wp:anchor distT="0" distB="0" distL="114300" distR="114300" simplePos="0" relativeHeight="483681280" behindDoc="1" locked="0" layoutInCell="1" allowOverlap="1" wp14:anchorId="49343E42" wp14:editId="3AFC8234">
                <wp:simplePos x="0" y="0"/>
                <wp:positionH relativeFrom="page">
                  <wp:posOffset>855980</wp:posOffset>
                </wp:positionH>
                <wp:positionV relativeFrom="paragraph">
                  <wp:posOffset>330200</wp:posOffset>
                </wp:positionV>
                <wp:extent cx="3129915" cy="1706880"/>
                <wp:effectExtent l="0" t="0" r="0" b="0"/>
                <wp:wrapNone/>
                <wp:docPr id="270" name="docshapegroup1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129915" cy="1706880"/>
                          <a:chOff x="1348" y="520"/>
                          <a:chExt cx="4929" cy="2688"/>
                        </a:xfrm>
                      </wpg:grpSpPr>
                      <wps:wsp>
                        <wps:cNvPr id="271" name="docshape101"/>
                        <wps:cNvSpPr>
                          <a:spLocks/>
                        </wps:cNvSpPr>
                        <wps:spPr bwMode="auto">
                          <a:xfrm>
                            <a:off x="1352" y="524"/>
                            <a:ext cx="2654" cy="2680"/>
                          </a:xfrm>
                          <a:custGeom>
                            <a:avLst/>
                            <a:gdLst>
                              <a:gd name="T0" fmla="+- 0 3342 1352"/>
                              <a:gd name="T1" fmla="*/ T0 w 2654"/>
                              <a:gd name="T2" fmla="+- 0 525 525"/>
                              <a:gd name="T3" fmla="*/ 525 h 2680"/>
                              <a:gd name="T4" fmla="+- 0 2016 1352"/>
                              <a:gd name="T5" fmla="*/ T4 w 2654"/>
                              <a:gd name="T6" fmla="+- 0 525 525"/>
                              <a:gd name="T7" fmla="*/ 525 h 2680"/>
                              <a:gd name="T8" fmla="+- 0 1352 1352"/>
                              <a:gd name="T9" fmla="*/ T8 w 2654"/>
                              <a:gd name="T10" fmla="+- 0 3204 525"/>
                              <a:gd name="T11" fmla="*/ 3204 h 2680"/>
                              <a:gd name="T12" fmla="+- 0 4006 1352"/>
                              <a:gd name="T13" fmla="*/ T12 w 2654"/>
                              <a:gd name="T14" fmla="+- 0 3204 525"/>
                              <a:gd name="T15" fmla="*/ 3204 h 2680"/>
                              <a:gd name="T16" fmla="+- 0 3342 1352"/>
                              <a:gd name="T17" fmla="*/ T16 w 2654"/>
                              <a:gd name="T18" fmla="+- 0 525 525"/>
                              <a:gd name="T19" fmla="*/ 525 h 2680"/>
                            </a:gdLst>
                            <a:ahLst/>
                            <a:cxnLst>
                              <a:cxn ang="0">
                                <a:pos x="T1" y="T3"/>
                              </a:cxn>
                              <a:cxn ang="0">
                                <a:pos x="T5" y="T7"/>
                              </a:cxn>
                              <a:cxn ang="0">
                                <a:pos x="T9" y="T11"/>
                              </a:cxn>
                              <a:cxn ang="0">
                                <a:pos x="T13" y="T15"/>
                              </a:cxn>
                              <a:cxn ang="0">
                                <a:pos x="T17" y="T19"/>
                              </a:cxn>
                            </a:cxnLst>
                            <a:rect l="0" t="0" r="r" b="b"/>
                            <a:pathLst>
                              <a:path w="2654" h="2680">
                                <a:moveTo>
                                  <a:pt x="1990" y="0"/>
                                </a:moveTo>
                                <a:lnTo>
                                  <a:pt x="664" y="0"/>
                                </a:lnTo>
                                <a:lnTo>
                                  <a:pt x="0" y="2679"/>
                                </a:lnTo>
                                <a:lnTo>
                                  <a:pt x="2654" y="2679"/>
                                </a:lnTo>
                                <a:lnTo>
                                  <a:pt x="1990" y="0"/>
                                </a:lnTo>
                                <a:close/>
                              </a:path>
                            </a:pathLst>
                          </a:custGeom>
                          <a:solidFill>
                            <a:srgbClr val="BCBE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2" name="docshape102"/>
                        <wps:cNvSpPr>
                          <a:spLocks/>
                        </wps:cNvSpPr>
                        <wps:spPr bwMode="auto">
                          <a:xfrm>
                            <a:off x="1352" y="524"/>
                            <a:ext cx="2654" cy="2680"/>
                          </a:xfrm>
                          <a:custGeom>
                            <a:avLst/>
                            <a:gdLst>
                              <a:gd name="T0" fmla="+- 0 1352 1352"/>
                              <a:gd name="T1" fmla="*/ T0 w 2654"/>
                              <a:gd name="T2" fmla="+- 0 3204 525"/>
                              <a:gd name="T3" fmla="*/ 3204 h 2680"/>
                              <a:gd name="T4" fmla="+- 0 2016 1352"/>
                              <a:gd name="T5" fmla="*/ T4 w 2654"/>
                              <a:gd name="T6" fmla="+- 0 525 525"/>
                              <a:gd name="T7" fmla="*/ 525 h 2680"/>
                              <a:gd name="T8" fmla="+- 0 3342 1352"/>
                              <a:gd name="T9" fmla="*/ T8 w 2654"/>
                              <a:gd name="T10" fmla="+- 0 525 525"/>
                              <a:gd name="T11" fmla="*/ 525 h 2680"/>
                              <a:gd name="T12" fmla="+- 0 4006 1352"/>
                              <a:gd name="T13" fmla="*/ T12 w 2654"/>
                              <a:gd name="T14" fmla="+- 0 3204 525"/>
                              <a:gd name="T15" fmla="*/ 3204 h 2680"/>
                              <a:gd name="T16" fmla="+- 0 1352 1352"/>
                              <a:gd name="T17" fmla="*/ T16 w 2654"/>
                              <a:gd name="T18" fmla="+- 0 3204 525"/>
                              <a:gd name="T19" fmla="*/ 3204 h 2680"/>
                            </a:gdLst>
                            <a:ahLst/>
                            <a:cxnLst>
                              <a:cxn ang="0">
                                <a:pos x="T1" y="T3"/>
                              </a:cxn>
                              <a:cxn ang="0">
                                <a:pos x="T5" y="T7"/>
                              </a:cxn>
                              <a:cxn ang="0">
                                <a:pos x="T9" y="T11"/>
                              </a:cxn>
                              <a:cxn ang="0">
                                <a:pos x="T13" y="T15"/>
                              </a:cxn>
                              <a:cxn ang="0">
                                <a:pos x="T17" y="T19"/>
                              </a:cxn>
                            </a:cxnLst>
                            <a:rect l="0" t="0" r="r" b="b"/>
                            <a:pathLst>
                              <a:path w="2654" h="2680">
                                <a:moveTo>
                                  <a:pt x="0" y="2679"/>
                                </a:moveTo>
                                <a:lnTo>
                                  <a:pt x="664" y="0"/>
                                </a:lnTo>
                                <a:lnTo>
                                  <a:pt x="1990" y="0"/>
                                </a:lnTo>
                                <a:lnTo>
                                  <a:pt x="2654" y="2679"/>
                                </a:lnTo>
                                <a:lnTo>
                                  <a:pt x="0" y="2679"/>
                                </a:lnTo>
                                <a:close/>
                              </a:path>
                            </a:pathLst>
                          </a:custGeom>
                          <a:noFill/>
                          <a:ln w="5385">
                            <a:solidFill>
                              <a:srgbClr val="231F2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3" name="docshape103"/>
                        <wps:cNvSpPr>
                          <a:spLocks/>
                        </wps:cNvSpPr>
                        <wps:spPr bwMode="auto">
                          <a:xfrm>
                            <a:off x="3618" y="524"/>
                            <a:ext cx="2654" cy="2680"/>
                          </a:xfrm>
                          <a:custGeom>
                            <a:avLst/>
                            <a:gdLst>
                              <a:gd name="T0" fmla="+- 0 6272 3618"/>
                              <a:gd name="T1" fmla="*/ T0 w 2654"/>
                              <a:gd name="T2" fmla="+- 0 525 525"/>
                              <a:gd name="T3" fmla="*/ 525 h 2680"/>
                              <a:gd name="T4" fmla="+- 0 3618 3618"/>
                              <a:gd name="T5" fmla="*/ T4 w 2654"/>
                              <a:gd name="T6" fmla="+- 0 525 525"/>
                              <a:gd name="T7" fmla="*/ 525 h 2680"/>
                              <a:gd name="T8" fmla="+- 0 4282 3618"/>
                              <a:gd name="T9" fmla="*/ T8 w 2654"/>
                              <a:gd name="T10" fmla="+- 0 3204 525"/>
                              <a:gd name="T11" fmla="*/ 3204 h 2680"/>
                              <a:gd name="T12" fmla="+- 0 5609 3618"/>
                              <a:gd name="T13" fmla="*/ T12 w 2654"/>
                              <a:gd name="T14" fmla="+- 0 3204 525"/>
                              <a:gd name="T15" fmla="*/ 3204 h 2680"/>
                              <a:gd name="T16" fmla="+- 0 6272 3618"/>
                              <a:gd name="T17" fmla="*/ T16 w 2654"/>
                              <a:gd name="T18" fmla="+- 0 525 525"/>
                              <a:gd name="T19" fmla="*/ 525 h 2680"/>
                            </a:gdLst>
                            <a:ahLst/>
                            <a:cxnLst>
                              <a:cxn ang="0">
                                <a:pos x="T1" y="T3"/>
                              </a:cxn>
                              <a:cxn ang="0">
                                <a:pos x="T5" y="T7"/>
                              </a:cxn>
                              <a:cxn ang="0">
                                <a:pos x="T9" y="T11"/>
                              </a:cxn>
                              <a:cxn ang="0">
                                <a:pos x="T13" y="T15"/>
                              </a:cxn>
                              <a:cxn ang="0">
                                <a:pos x="T17" y="T19"/>
                              </a:cxn>
                            </a:cxnLst>
                            <a:rect l="0" t="0" r="r" b="b"/>
                            <a:pathLst>
                              <a:path w="2654" h="2680">
                                <a:moveTo>
                                  <a:pt x="2654" y="0"/>
                                </a:moveTo>
                                <a:lnTo>
                                  <a:pt x="0" y="0"/>
                                </a:lnTo>
                                <a:lnTo>
                                  <a:pt x="664" y="2679"/>
                                </a:lnTo>
                                <a:lnTo>
                                  <a:pt x="1991" y="2679"/>
                                </a:lnTo>
                                <a:lnTo>
                                  <a:pt x="2654" y="0"/>
                                </a:lnTo>
                                <a:close/>
                              </a:path>
                            </a:pathLst>
                          </a:custGeom>
                          <a:solidFill>
                            <a:srgbClr val="BCBE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4" name="docshape104"/>
                        <wps:cNvSpPr>
                          <a:spLocks/>
                        </wps:cNvSpPr>
                        <wps:spPr bwMode="auto">
                          <a:xfrm>
                            <a:off x="3618" y="524"/>
                            <a:ext cx="2654" cy="2680"/>
                          </a:xfrm>
                          <a:custGeom>
                            <a:avLst/>
                            <a:gdLst>
                              <a:gd name="T0" fmla="+- 0 6272 3618"/>
                              <a:gd name="T1" fmla="*/ T0 w 2654"/>
                              <a:gd name="T2" fmla="+- 0 525 525"/>
                              <a:gd name="T3" fmla="*/ 525 h 2680"/>
                              <a:gd name="T4" fmla="+- 0 5609 3618"/>
                              <a:gd name="T5" fmla="*/ T4 w 2654"/>
                              <a:gd name="T6" fmla="+- 0 3204 525"/>
                              <a:gd name="T7" fmla="*/ 3204 h 2680"/>
                              <a:gd name="T8" fmla="+- 0 4282 3618"/>
                              <a:gd name="T9" fmla="*/ T8 w 2654"/>
                              <a:gd name="T10" fmla="+- 0 3204 525"/>
                              <a:gd name="T11" fmla="*/ 3204 h 2680"/>
                              <a:gd name="T12" fmla="+- 0 3618 3618"/>
                              <a:gd name="T13" fmla="*/ T12 w 2654"/>
                              <a:gd name="T14" fmla="+- 0 525 525"/>
                              <a:gd name="T15" fmla="*/ 525 h 2680"/>
                              <a:gd name="T16" fmla="+- 0 6272 3618"/>
                              <a:gd name="T17" fmla="*/ T16 w 2654"/>
                              <a:gd name="T18" fmla="+- 0 525 525"/>
                              <a:gd name="T19" fmla="*/ 525 h 2680"/>
                            </a:gdLst>
                            <a:ahLst/>
                            <a:cxnLst>
                              <a:cxn ang="0">
                                <a:pos x="T1" y="T3"/>
                              </a:cxn>
                              <a:cxn ang="0">
                                <a:pos x="T5" y="T7"/>
                              </a:cxn>
                              <a:cxn ang="0">
                                <a:pos x="T9" y="T11"/>
                              </a:cxn>
                              <a:cxn ang="0">
                                <a:pos x="T13" y="T15"/>
                              </a:cxn>
                              <a:cxn ang="0">
                                <a:pos x="T17" y="T19"/>
                              </a:cxn>
                            </a:cxnLst>
                            <a:rect l="0" t="0" r="r" b="b"/>
                            <a:pathLst>
                              <a:path w="2654" h="2680">
                                <a:moveTo>
                                  <a:pt x="2654" y="0"/>
                                </a:moveTo>
                                <a:lnTo>
                                  <a:pt x="1991" y="2679"/>
                                </a:lnTo>
                                <a:lnTo>
                                  <a:pt x="664" y="2679"/>
                                </a:lnTo>
                                <a:lnTo>
                                  <a:pt x="0" y="0"/>
                                </a:lnTo>
                                <a:lnTo>
                                  <a:pt x="2654" y="0"/>
                                </a:lnTo>
                                <a:close/>
                              </a:path>
                            </a:pathLst>
                          </a:custGeom>
                          <a:noFill/>
                          <a:ln w="5385">
                            <a:solidFill>
                              <a:srgbClr val="231F2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115CBE6" id="docshapegroup100" o:spid="_x0000_s1026" style="position:absolute;margin-left:67.4pt;margin-top:26pt;width:246.45pt;height:134.4pt;z-index:-19635200;mso-position-horizontal-relative:page" coordorigin="1348,520" coordsize="4929,26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">
                <v:shape id="docshape101" o:spid="_x0000_s1027" style="position:absolute;left:1352;top:524;width:2654;height:2680;visibility:visible;mso-wrap-style:square;v-text-anchor:top" coordsize="2654,2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" path="m1990,l664,,,2679r2654,l1990,xe" fillcolor="#bcbec0" stroked="f">
                  <v:path arrowok="t" o:connecttype="custom" o:connectlocs="1990,525;664,525;0,3204;2654,3204;1990,525" o:connectangles="0,0,0,0,0"/>
                </v:shape>
                <v:shape id="docshape102" o:spid="_x0000_s1028" style="position:absolute;left:1352;top:524;width:2654;height:2680;visibility:visible;mso-wrap-style:square;v-text-anchor:top" coordsize="2654,2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" path="m,2679l664,,1990,r664,2679l,2679xe" filled="f" strokecolor="#231f20" strokeweight=".14958mm">
                  <v:path arrowok="t" o:connecttype="custom" o:connectlocs="0,3204;664,525;1990,525;2654,3204;0,3204" o:connectangles="0,0,0,0,0"/>
                </v:shape>
                <v:shape id="docshape103" o:spid="_x0000_s1029" style="position:absolute;left:3618;top:524;width:2654;height:2680;visibility:visible;mso-wrap-style:square;v-text-anchor:top" coordsize="2654,2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" path="m2654,l,,664,2679r1327,l2654,xe" fillcolor="#bcbec0" stroked="f">
                  <v:path arrowok="t" o:connecttype="custom" o:connectlocs="2654,525;0,525;664,3204;1991,3204;2654,525" o:connectangles="0,0,0,0,0"/>
                </v:shape>
                <v:shape id="docshape104" o:spid="_x0000_s1030" style="position:absolute;left:3618;top:524;width:2654;height:2680;visibility:visible;mso-wrap-style:square;v-text-anchor:top" coordsize="2654,2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" path="m2654,l1991,2679r-1327,l,,2654,xe" filled="f" strokecolor="#231f20" strokeweight=".14958mm">
                  <v:path arrowok="t" o:connecttype="custom" o:connectlocs="2654,525;1991,3204;664,3204;0,525;2654,525" o:connectangles="0,0,0,0,0"/>
                </v:shape>
                <w10:wrap anchorx="page"/>
              </v:group>
            </w:pict>
          </mc:Fallback>
        </mc:AlternateContent>
      </w:r>
      <w:r>
        <w:rPr>
          <w:b/>
          <w:color w:val="231F20"/>
          <w:sz w:val="16"/>
        </w:rPr>
        <w:t>Elite</w:t>
      </w:r>
      <w:r>
        <w:rPr>
          <w:b/>
          <w:color w:val="231F20"/>
          <w:spacing w:val="-6"/>
          <w:sz w:val="16"/>
        </w:rPr>
        <w:t xml:space="preserve"> </w:t>
      </w:r>
      <w:r>
        <w:rPr>
          <w:b/>
          <w:color w:val="231F20"/>
          <w:sz w:val="16"/>
        </w:rPr>
        <w:t>spectator</w:t>
      </w:r>
      <w:r>
        <w:rPr>
          <w:b/>
          <w:color w:val="231F20"/>
          <w:spacing w:val="40"/>
          <w:sz w:val="16"/>
        </w:rPr>
        <w:t xml:space="preserve"> </w:t>
      </w:r>
      <w:r>
        <w:rPr>
          <w:b/>
          <w:color w:val="231F20"/>
          <w:spacing w:val="-2"/>
          <w:sz w:val="16"/>
        </w:rPr>
        <w:t>events</w:t>
      </w:r>
    </w:p>
    <w:p w14:paraId="0C954508" w14:textId="77777777" w:rsidR="00AE0598" w:rsidRDefault="0069255A">
      <w:pPr>
        <w:spacing w:before="97" w:line="216" w:lineRule="auto"/>
        <w:ind w:left="1315" w:right="324"/>
        <w:jc w:val="center"/>
        <w:rPr>
          <w:rFonts w:ascii="Segoe UI Symbol"/>
          <w:sz w:val="16"/>
        </w:rPr>
      </w:pPr>
      <w:r>
        <w:rPr>
          <w:rFonts w:ascii="Segoe UI Symbol"/>
          <w:color w:val="FFFFFF"/>
          <w:spacing w:val="-2"/>
          <w:sz w:val="16"/>
        </w:rPr>
        <w:t xml:space="preserve">Limited </w:t>
      </w:r>
      <w:r>
        <w:rPr>
          <w:rFonts w:ascii="Segoe UI Symbol"/>
          <w:color w:val="FFFFFF"/>
          <w:spacing w:val="-2"/>
          <w:w w:val="95"/>
          <w:sz w:val="16"/>
        </w:rPr>
        <w:t>number</w:t>
      </w:r>
    </w:p>
    <w:p w14:paraId="5585F4E9" w14:textId="77777777" w:rsidR="00AE0598" w:rsidRDefault="0069255A">
      <w:pPr>
        <w:spacing w:line="196" w:lineRule="exact"/>
        <w:ind w:left="988"/>
        <w:jc w:val="center"/>
        <w:rPr>
          <w:rFonts w:ascii="Segoe UI Symbol"/>
          <w:sz w:val="16"/>
        </w:rPr>
      </w:pPr>
      <w:r>
        <w:rPr>
          <w:rFonts w:ascii="Segoe UI Symbol"/>
          <w:color w:val="FFFFFF"/>
          <w:sz w:val="16"/>
        </w:rPr>
        <w:t>of</w:t>
      </w:r>
      <w:r>
        <w:rPr>
          <w:rFonts w:ascii="Segoe UI Symbol"/>
          <w:color w:val="FFFFFF"/>
          <w:spacing w:val="-10"/>
          <w:sz w:val="16"/>
        </w:rPr>
        <w:t xml:space="preserve"> </w:t>
      </w:r>
      <w:r>
        <w:rPr>
          <w:rFonts w:ascii="Segoe UI Symbol"/>
          <w:color w:val="FFFFFF"/>
          <w:sz w:val="16"/>
        </w:rPr>
        <w:t>elite</w:t>
      </w:r>
      <w:r>
        <w:rPr>
          <w:rFonts w:ascii="Segoe UI Symbol"/>
          <w:color w:val="FFFFFF"/>
          <w:spacing w:val="-10"/>
          <w:sz w:val="16"/>
        </w:rPr>
        <w:t xml:space="preserve"> </w:t>
      </w:r>
      <w:r>
        <w:rPr>
          <w:rFonts w:ascii="Segoe UI Symbol"/>
          <w:color w:val="FFFFFF"/>
          <w:spacing w:val="-2"/>
          <w:sz w:val="16"/>
        </w:rPr>
        <w:t>athletes</w:t>
      </w:r>
    </w:p>
    <w:p w14:paraId="0F11608B" w14:textId="77777777" w:rsidR="00AE0598" w:rsidRDefault="0069255A">
      <w:pPr>
        <w:spacing w:before="103" w:line="244" w:lineRule="auto"/>
        <w:ind w:left="748" w:right="340"/>
        <w:jc w:val="center"/>
        <w:rPr>
          <w:b/>
          <w:sz w:val="16"/>
        </w:rPr>
      </w:pPr>
      <w:r>
        <w:br w:type="column"/>
      </w:r>
      <w:r>
        <w:rPr>
          <w:b/>
          <w:color w:val="231F20"/>
          <w:spacing w:val="-2"/>
          <w:w w:val="105"/>
          <w:sz w:val="16"/>
        </w:rPr>
        <w:t>Non-elite</w:t>
      </w:r>
      <w:r>
        <w:rPr>
          <w:b/>
          <w:color w:val="231F20"/>
          <w:spacing w:val="-7"/>
          <w:w w:val="105"/>
          <w:sz w:val="16"/>
        </w:rPr>
        <w:t xml:space="preserve"> </w:t>
      </w:r>
      <w:r>
        <w:rPr>
          <w:b/>
          <w:color w:val="231F20"/>
          <w:spacing w:val="-2"/>
          <w:w w:val="105"/>
          <w:sz w:val="16"/>
        </w:rPr>
        <w:t>participation</w:t>
      </w:r>
      <w:r>
        <w:rPr>
          <w:b/>
          <w:color w:val="231F20"/>
          <w:spacing w:val="40"/>
          <w:w w:val="105"/>
          <w:sz w:val="16"/>
        </w:rPr>
        <w:t xml:space="preserve"> </w:t>
      </w:r>
      <w:r>
        <w:rPr>
          <w:b/>
          <w:color w:val="231F20"/>
          <w:spacing w:val="-2"/>
          <w:w w:val="105"/>
          <w:sz w:val="16"/>
        </w:rPr>
        <w:t>events</w:t>
      </w:r>
    </w:p>
    <w:p w14:paraId="28B17C6E" w14:textId="77777777" w:rsidR="00AE0598" w:rsidRDefault="00AE0598">
      <w:pPr>
        <w:pStyle w:val="Corpodetexto"/>
        <w:spacing w:before="4"/>
        <w:rPr>
          <w:b/>
          <w:sz w:val="16"/>
        </w:rPr>
      </w:pPr>
    </w:p>
    <w:p w14:paraId="3BFF49D3" w14:textId="77777777" w:rsidR="00AE0598" w:rsidRDefault="0069255A">
      <w:pPr>
        <w:spacing w:line="216" w:lineRule="auto"/>
        <w:ind w:left="452"/>
        <w:jc w:val="center"/>
        <w:rPr>
          <w:rFonts w:ascii="Segoe UI Symbol"/>
          <w:sz w:val="16"/>
        </w:rPr>
      </w:pPr>
      <w:r>
        <w:rPr>
          <w:rFonts w:ascii="Segoe UI Symbol"/>
          <w:color w:val="FFFFFF"/>
          <w:spacing w:val="-2"/>
          <w:sz w:val="16"/>
        </w:rPr>
        <w:t>High</w:t>
      </w:r>
      <w:r>
        <w:rPr>
          <w:rFonts w:ascii="Segoe UI Symbol"/>
          <w:color w:val="FFFFFF"/>
          <w:spacing w:val="-9"/>
          <w:sz w:val="16"/>
        </w:rPr>
        <w:t xml:space="preserve"> </w:t>
      </w:r>
      <w:r>
        <w:rPr>
          <w:rFonts w:ascii="Segoe UI Symbol"/>
          <w:color w:val="FFFFFF"/>
          <w:spacing w:val="-2"/>
          <w:sz w:val="16"/>
        </w:rPr>
        <w:t>volumes</w:t>
      </w:r>
      <w:r>
        <w:rPr>
          <w:rFonts w:ascii="Segoe UI Symbol"/>
          <w:color w:val="FFFFFF"/>
          <w:spacing w:val="-9"/>
          <w:sz w:val="16"/>
        </w:rPr>
        <w:t xml:space="preserve"> </w:t>
      </w:r>
      <w:r>
        <w:rPr>
          <w:rFonts w:ascii="Segoe UI Symbol"/>
          <w:color w:val="FFFFFF"/>
          <w:spacing w:val="-2"/>
          <w:sz w:val="16"/>
        </w:rPr>
        <w:t>of</w:t>
      </w:r>
      <w:r>
        <w:rPr>
          <w:rFonts w:ascii="Segoe UI Symbol"/>
          <w:color w:val="FFFFFF"/>
          <w:spacing w:val="-9"/>
          <w:sz w:val="16"/>
        </w:rPr>
        <w:t xml:space="preserve"> </w:t>
      </w:r>
      <w:r>
        <w:rPr>
          <w:rFonts w:ascii="Segoe UI Symbol"/>
          <w:color w:val="FFFFFF"/>
          <w:spacing w:val="-2"/>
          <w:sz w:val="16"/>
        </w:rPr>
        <w:t>non-elite</w:t>
      </w:r>
      <w:r>
        <w:rPr>
          <w:rFonts w:ascii="Segoe UI Symbol"/>
          <w:color w:val="FFFFFF"/>
          <w:spacing w:val="-9"/>
          <w:sz w:val="16"/>
        </w:rPr>
        <w:t xml:space="preserve"> </w:t>
      </w:r>
      <w:r>
        <w:rPr>
          <w:rFonts w:ascii="Segoe UI Symbol"/>
          <w:color w:val="FFFFFF"/>
          <w:spacing w:val="-2"/>
          <w:sz w:val="16"/>
        </w:rPr>
        <w:t xml:space="preserve">athletes </w:t>
      </w:r>
      <w:r>
        <w:rPr>
          <w:rFonts w:ascii="Segoe UI Symbol"/>
          <w:color w:val="FFFFFF"/>
          <w:sz w:val="16"/>
        </w:rPr>
        <w:t>participate in the event</w:t>
      </w:r>
    </w:p>
    <w:p w14:paraId="4BBFF087" w14:textId="77777777" w:rsidR="00AE0598" w:rsidRDefault="0069255A">
      <w:pPr>
        <w:rPr>
          <w:rFonts w:ascii="Segoe UI Symbol"/>
          <w:sz w:val="20"/>
        </w:rPr>
      </w:pPr>
      <w:r>
        <w:br w:type="column"/>
      </w:r>
    </w:p>
    <w:p w14:paraId="1D7B52D2" w14:textId="7F54EE66" w:rsidR="00AE0598" w:rsidRDefault="0069255A">
      <w:pPr>
        <w:spacing w:before="144" w:line="216" w:lineRule="auto"/>
        <w:ind w:left="193" w:right="281" w:firstLine="131"/>
        <w:rPr>
          <w:rFonts w:ascii="Segoe UI Symbol"/>
          <w:sz w:val="16"/>
        </w:rPr>
      </w:pPr>
      <w:r>
        <w:rPr>
          <w:noProof/>
        </w:rPr>
        <mc:AlternateContent>
          <mc:Choice Requires="wpg">
            <w:drawing>
              <wp:anchor distT="0" distB="0" distL="114300" distR="114300" simplePos="0" relativeHeight="15757824" behindDoc="0" locked="0" layoutInCell="1" allowOverlap="1" wp14:anchorId="7445373A" wp14:editId="49D15920">
                <wp:simplePos x="0" y="0"/>
                <wp:positionH relativeFrom="page">
                  <wp:posOffset>4283075</wp:posOffset>
                </wp:positionH>
                <wp:positionV relativeFrom="paragraph">
                  <wp:posOffset>419100</wp:posOffset>
                </wp:positionV>
                <wp:extent cx="157480" cy="1301750"/>
                <wp:effectExtent l="0" t="0" r="0" b="0"/>
                <wp:wrapNone/>
                <wp:docPr id="267" name="docshapegroup1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7480" cy="1301750"/>
                          <a:chOff x="6745" y="660"/>
                          <a:chExt cx="248" cy="2050"/>
                        </a:xfrm>
                      </wpg:grpSpPr>
                      <wps:wsp>
                        <wps:cNvPr id="268" name="docshape106"/>
                        <wps:cNvSpPr>
                          <a:spLocks/>
                        </wps:cNvSpPr>
                        <wps:spPr bwMode="auto">
                          <a:xfrm>
                            <a:off x="6749" y="664"/>
                            <a:ext cx="239" cy="2042"/>
                          </a:xfrm>
                          <a:custGeom>
                            <a:avLst/>
                            <a:gdLst>
                              <a:gd name="T0" fmla="+- 0 6868 6749"/>
                              <a:gd name="T1" fmla="*/ T0 w 239"/>
                              <a:gd name="T2" fmla="+- 0 664 664"/>
                              <a:gd name="T3" fmla="*/ 664 h 2042"/>
                              <a:gd name="T4" fmla="+- 0 6749 6749"/>
                              <a:gd name="T5" fmla="*/ T4 w 239"/>
                              <a:gd name="T6" fmla="+- 0 784 664"/>
                              <a:gd name="T7" fmla="*/ 784 h 2042"/>
                              <a:gd name="T8" fmla="+- 0 6809 6749"/>
                              <a:gd name="T9" fmla="*/ T8 w 239"/>
                              <a:gd name="T10" fmla="+- 0 784 664"/>
                              <a:gd name="T11" fmla="*/ 784 h 2042"/>
                              <a:gd name="T12" fmla="+- 0 6809 6749"/>
                              <a:gd name="T13" fmla="*/ T12 w 239"/>
                              <a:gd name="T14" fmla="+- 0 2586 664"/>
                              <a:gd name="T15" fmla="*/ 2586 h 2042"/>
                              <a:gd name="T16" fmla="+- 0 6749 6749"/>
                              <a:gd name="T17" fmla="*/ T16 w 239"/>
                              <a:gd name="T18" fmla="+- 0 2586 664"/>
                              <a:gd name="T19" fmla="*/ 2586 h 2042"/>
                              <a:gd name="T20" fmla="+- 0 6868 6749"/>
                              <a:gd name="T21" fmla="*/ T20 w 239"/>
                              <a:gd name="T22" fmla="+- 0 2706 664"/>
                              <a:gd name="T23" fmla="*/ 2706 h 2042"/>
                              <a:gd name="T24" fmla="+- 0 6988 6749"/>
                              <a:gd name="T25" fmla="*/ T24 w 239"/>
                              <a:gd name="T26" fmla="+- 0 2586 664"/>
                              <a:gd name="T27" fmla="*/ 2586 h 2042"/>
                              <a:gd name="T28" fmla="+- 0 6928 6749"/>
                              <a:gd name="T29" fmla="*/ T28 w 239"/>
                              <a:gd name="T30" fmla="+- 0 2586 664"/>
                              <a:gd name="T31" fmla="*/ 2586 h 2042"/>
                              <a:gd name="T32" fmla="+- 0 6928 6749"/>
                              <a:gd name="T33" fmla="*/ T32 w 239"/>
                              <a:gd name="T34" fmla="+- 0 784 664"/>
                              <a:gd name="T35" fmla="*/ 784 h 2042"/>
                              <a:gd name="T36" fmla="+- 0 6988 6749"/>
                              <a:gd name="T37" fmla="*/ T36 w 239"/>
                              <a:gd name="T38" fmla="+- 0 784 664"/>
                              <a:gd name="T39" fmla="*/ 784 h 2042"/>
                              <a:gd name="T40" fmla="+- 0 6868 6749"/>
                              <a:gd name="T41" fmla="*/ T40 w 239"/>
                              <a:gd name="T42" fmla="+- 0 664 664"/>
                              <a:gd name="T43" fmla="*/ 664 h 204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Lst>
                            <a:rect l="0" t="0" r="r" b="b"/>
                            <a:pathLst>
                              <a:path w="239" h="2042">
                                <a:moveTo>
                                  <a:pt x="119" y="0"/>
                                </a:moveTo>
                                <a:lnTo>
                                  <a:pt x="0" y="120"/>
                                </a:lnTo>
                                <a:lnTo>
                                  <a:pt x="60" y="120"/>
                                </a:lnTo>
                                <a:lnTo>
                                  <a:pt x="60" y="1922"/>
                                </a:lnTo>
                                <a:lnTo>
                                  <a:pt x="0" y="1922"/>
                                </a:lnTo>
                                <a:lnTo>
                                  <a:pt x="119" y="2042"/>
                                </a:lnTo>
                                <a:lnTo>
                                  <a:pt x="239" y="1922"/>
                                </a:lnTo>
                                <a:lnTo>
                                  <a:pt x="179" y="1922"/>
                                </a:lnTo>
                                <a:lnTo>
                                  <a:pt x="179" y="120"/>
                                </a:lnTo>
                                <a:lnTo>
                                  <a:pt x="239" y="120"/>
                                </a:lnTo>
                                <a:lnTo>
                                  <a:pt x="119" y="0"/>
                                </a:lnTo>
                                <a:close/>
                              </a:path>
                            </a:pathLst>
                          </a:custGeom>
                          <a:solidFill>
                            <a:srgbClr val="BCBE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9" name="docshape107"/>
                        <wps:cNvSpPr>
                          <a:spLocks/>
                        </wps:cNvSpPr>
                        <wps:spPr bwMode="auto">
                          <a:xfrm>
                            <a:off x="6749" y="664"/>
                            <a:ext cx="239" cy="2042"/>
                          </a:xfrm>
                          <a:custGeom>
                            <a:avLst/>
                            <a:gdLst>
                              <a:gd name="T0" fmla="+- 0 6749 6749"/>
                              <a:gd name="T1" fmla="*/ T0 w 239"/>
                              <a:gd name="T2" fmla="+- 0 784 664"/>
                              <a:gd name="T3" fmla="*/ 784 h 2042"/>
                              <a:gd name="T4" fmla="+- 0 6868 6749"/>
                              <a:gd name="T5" fmla="*/ T4 w 239"/>
                              <a:gd name="T6" fmla="+- 0 664 664"/>
                              <a:gd name="T7" fmla="*/ 664 h 2042"/>
                              <a:gd name="T8" fmla="+- 0 6988 6749"/>
                              <a:gd name="T9" fmla="*/ T8 w 239"/>
                              <a:gd name="T10" fmla="+- 0 784 664"/>
                              <a:gd name="T11" fmla="*/ 784 h 2042"/>
                              <a:gd name="T12" fmla="+- 0 6928 6749"/>
                              <a:gd name="T13" fmla="*/ T12 w 239"/>
                              <a:gd name="T14" fmla="+- 0 784 664"/>
                              <a:gd name="T15" fmla="*/ 784 h 2042"/>
                              <a:gd name="T16" fmla="+- 0 6928 6749"/>
                              <a:gd name="T17" fmla="*/ T16 w 239"/>
                              <a:gd name="T18" fmla="+- 0 2586 664"/>
                              <a:gd name="T19" fmla="*/ 2586 h 2042"/>
                              <a:gd name="T20" fmla="+- 0 6988 6749"/>
                              <a:gd name="T21" fmla="*/ T20 w 239"/>
                              <a:gd name="T22" fmla="+- 0 2586 664"/>
                              <a:gd name="T23" fmla="*/ 2586 h 2042"/>
                              <a:gd name="T24" fmla="+- 0 6868 6749"/>
                              <a:gd name="T25" fmla="*/ T24 w 239"/>
                              <a:gd name="T26" fmla="+- 0 2706 664"/>
                              <a:gd name="T27" fmla="*/ 2706 h 2042"/>
                              <a:gd name="T28" fmla="+- 0 6749 6749"/>
                              <a:gd name="T29" fmla="*/ T28 w 239"/>
                              <a:gd name="T30" fmla="+- 0 2586 664"/>
                              <a:gd name="T31" fmla="*/ 2586 h 2042"/>
                              <a:gd name="T32" fmla="+- 0 6809 6749"/>
                              <a:gd name="T33" fmla="*/ T32 w 239"/>
                              <a:gd name="T34" fmla="+- 0 2586 664"/>
                              <a:gd name="T35" fmla="*/ 2586 h 2042"/>
                              <a:gd name="T36" fmla="+- 0 6809 6749"/>
                              <a:gd name="T37" fmla="*/ T36 w 239"/>
                              <a:gd name="T38" fmla="+- 0 784 664"/>
                              <a:gd name="T39" fmla="*/ 784 h 2042"/>
                              <a:gd name="T40" fmla="+- 0 6749 6749"/>
                              <a:gd name="T41" fmla="*/ T40 w 239"/>
                              <a:gd name="T42" fmla="+- 0 784 664"/>
                              <a:gd name="T43" fmla="*/ 784 h 204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Lst>
                            <a:rect l="0" t="0" r="r" b="b"/>
                            <a:pathLst>
                              <a:path w="239" h="2042">
                                <a:moveTo>
                                  <a:pt x="0" y="120"/>
                                </a:moveTo>
                                <a:lnTo>
                                  <a:pt x="119" y="0"/>
                                </a:lnTo>
                                <a:lnTo>
                                  <a:pt x="239" y="120"/>
                                </a:lnTo>
                                <a:lnTo>
                                  <a:pt x="179" y="120"/>
                                </a:lnTo>
                                <a:lnTo>
                                  <a:pt x="179" y="1922"/>
                                </a:lnTo>
                                <a:lnTo>
                                  <a:pt x="239" y="1922"/>
                                </a:lnTo>
                                <a:lnTo>
                                  <a:pt x="119" y="2042"/>
                                </a:lnTo>
                                <a:lnTo>
                                  <a:pt x="0" y="1922"/>
                                </a:lnTo>
                                <a:lnTo>
                                  <a:pt x="60" y="1922"/>
                                </a:lnTo>
                                <a:lnTo>
                                  <a:pt x="60" y="120"/>
                                </a:lnTo>
                                <a:lnTo>
                                  <a:pt x="0" y="120"/>
                                </a:lnTo>
                                <a:close/>
                              </a:path>
                            </a:pathLst>
                          </a:custGeom>
                          <a:noFill/>
                          <a:ln w="5385">
                            <a:solidFill>
                              <a:srgbClr val="231F2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3779E0C" id="docshapegroup105" o:spid="_x0000_s1026" style="position:absolute;margin-left:337.25pt;margin-top:33pt;width:12.4pt;height:102.5pt;z-index:15757824;mso-position-horizontal-relative:page" coordorigin="6745,660" coordsize="248,2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">
                <v:shape id="docshape106" o:spid="_x0000_s1027" style="position:absolute;left:6749;top:664;width:239;height:2042;visibility:visible;mso-wrap-style:square;v-text-anchor:top" coordsize="23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" path="m119,l,120r60,l60,1922r-60,l119,2042,239,1922r-60,l179,120r60,l119,xe" fillcolor="#bcbec0" stroked="f">
                  <v:path arrowok="t" o:connecttype="custom" o:connectlocs="119,664;0,784;60,784;60,2586;0,2586;119,2706;239,2586;179,2586;179,784;239,784;119,664" o:connectangles="0,0,0,0,0,0,0,0,0,0,0"/>
                </v:shape>
                <v:shape id="docshape107" o:spid="_x0000_s1028" style="position:absolute;left:6749;top:664;width:239;height:2042;visibility:visible;mso-wrap-style:square;v-text-anchor:top" coordsize="23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" path="m,120l119,,239,120r-60,l179,1922r60,l119,2042,,1922r60,l60,120,,120xe" filled="f" strokecolor="#231f20" strokeweight=".14958mm">
                  <v:path arrowok="t" o:connecttype="custom" o:connectlocs="0,784;119,664;239,784;179,784;179,2586;239,2586;119,2706;0,2586;60,2586;60,784;0,784" o:connectangles="0,0,0,0,0,0,0,0,0,0,0"/>
                </v:shape>
                <w10:wrap anchorx="page"/>
              </v:group>
            </w:pict>
          </mc:Fallback>
        </mc:AlternateContent>
      </w:r>
      <w:r>
        <w:rPr>
          <w:rFonts w:ascii="Segoe UI Symbol"/>
          <w:color w:val="231F20"/>
          <w:spacing w:val="-2"/>
          <w:sz w:val="16"/>
        </w:rPr>
        <w:t>Participants and</w:t>
      </w:r>
      <w:r>
        <w:rPr>
          <w:rFonts w:ascii="Segoe UI Symbol"/>
          <w:color w:val="231F20"/>
          <w:spacing w:val="-9"/>
          <w:sz w:val="16"/>
        </w:rPr>
        <w:t xml:space="preserve"> </w:t>
      </w:r>
      <w:r>
        <w:rPr>
          <w:rFonts w:ascii="Segoe UI Symbol"/>
          <w:color w:val="231F20"/>
          <w:spacing w:val="-2"/>
          <w:sz w:val="16"/>
        </w:rPr>
        <w:t>competitors</w:t>
      </w:r>
    </w:p>
    <w:p w14:paraId="1F250BB9" w14:textId="77777777" w:rsidR="00AE0598" w:rsidRDefault="00AE0598">
      <w:pPr>
        <w:spacing w:line="216" w:lineRule="auto"/>
        <w:rPr>
          <w:rFonts w:ascii="Segoe UI Symbol"/>
          <w:sz w:val="16"/>
        </w:rPr>
        <w:sectPr w:rsidR="00AE0598">
          <w:type w:val="continuous"/>
          <w:pgSz w:w="8850" w:h="13270"/>
          <w:pgMar w:top="1080" w:right="1060" w:bottom="280" w:left="1080" w:header="720" w:footer="720" w:gutter="0"/>
          <w:cols w:num="3" w:space="720" w:equalWidth="0">
            <w:col w:w="2182" w:space="40"/>
            <w:col w:w="2834" w:space="39"/>
            <w:col w:w="1615"/>
          </w:cols>
        </w:sectPr>
      </w:pPr>
    </w:p>
    <w:p w14:paraId="6B3F6BFB" w14:textId="77777777" w:rsidR="00AE0598" w:rsidRDefault="00AE0598">
      <w:pPr>
        <w:pStyle w:val="Corpodetexto"/>
        <w:rPr>
          <w:rFonts w:ascii="Segoe UI Symbol"/>
          <w:sz w:val="20"/>
        </w:rPr>
      </w:pPr>
    </w:p>
    <w:p w14:paraId="7B1E69BA" w14:textId="77777777" w:rsidR="00AE0598" w:rsidRDefault="00AE0598">
      <w:pPr>
        <w:pStyle w:val="Corpodetexto"/>
        <w:rPr>
          <w:rFonts w:ascii="Segoe UI Symbol"/>
          <w:sz w:val="20"/>
        </w:rPr>
      </w:pPr>
    </w:p>
    <w:p w14:paraId="58CAF3FD" w14:textId="77777777" w:rsidR="00AE0598" w:rsidRDefault="00AE0598">
      <w:pPr>
        <w:pStyle w:val="Corpodetexto"/>
        <w:rPr>
          <w:rFonts w:ascii="Segoe UI Symbol"/>
          <w:sz w:val="20"/>
        </w:rPr>
      </w:pPr>
    </w:p>
    <w:p w14:paraId="7CFF0EA4" w14:textId="77777777" w:rsidR="00AE0598" w:rsidRDefault="00AE0598">
      <w:pPr>
        <w:pStyle w:val="Corpodetexto"/>
        <w:rPr>
          <w:rFonts w:ascii="Segoe UI Symbol"/>
          <w:sz w:val="20"/>
        </w:rPr>
      </w:pPr>
    </w:p>
    <w:p w14:paraId="5FE1B2B2" w14:textId="77777777" w:rsidR="00AE0598" w:rsidRDefault="00AE0598">
      <w:pPr>
        <w:pStyle w:val="Corpodetexto"/>
        <w:spacing w:before="9"/>
        <w:rPr>
          <w:rFonts w:ascii="Segoe UI Symbol"/>
          <w:sz w:val="19"/>
        </w:rPr>
      </w:pPr>
    </w:p>
    <w:p w14:paraId="70914016" w14:textId="77777777" w:rsidR="00AE0598" w:rsidRDefault="00AE0598">
      <w:pPr>
        <w:rPr>
          <w:rFonts w:ascii="Segoe UI Symbol"/>
          <w:sz w:val="19"/>
        </w:rPr>
        <w:sectPr w:rsidR="00AE0598">
          <w:type w:val="continuous"/>
          <w:pgSz w:w="8850" w:h="13270"/>
          <w:pgMar w:top="1080" w:right="1060" w:bottom="280" w:left="1080" w:header="720" w:footer="720" w:gutter="0"/>
          <w:cols w:space="720"/>
        </w:sectPr>
      </w:pPr>
    </w:p>
    <w:p w14:paraId="0F547BA3" w14:textId="77777777" w:rsidR="00AE0598" w:rsidRDefault="00AE0598">
      <w:pPr>
        <w:pStyle w:val="Corpodetexto"/>
        <w:spacing w:before="8"/>
        <w:rPr>
          <w:rFonts w:ascii="Segoe UI Symbol"/>
          <w:sz w:val="14"/>
        </w:rPr>
      </w:pPr>
    </w:p>
    <w:p w14:paraId="3717E891" w14:textId="77777777" w:rsidR="00AE0598" w:rsidRDefault="0069255A">
      <w:pPr>
        <w:spacing w:line="216" w:lineRule="auto"/>
        <w:ind w:left="1112" w:hanging="649"/>
        <w:rPr>
          <w:rFonts w:ascii="Segoe UI Symbol"/>
          <w:sz w:val="16"/>
        </w:rPr>
      </w:pPr>
      <w:r>
        <w:rPr>
          <w:rFonts w:ascii="Segoe UI Symbol"/>
          <w:color w:val="FFFFFF"/>
          <w:spacing w:val="-2"/>
          <w:sz w:val="16"/>
        </w:rPr>
        <w:t>High</w:t>
      </w:r>
      <w:r>
        <w:rPr>
          <w:rFonts w:ascii="Segoe UI Symbol"/>
          <w:color w:val="FFFFFF"/>
          <w:spacing w:val="-8"/>
          <w:sz w:val="16"/>
        </w:rPr>
        <w:t xml:space="preserve"> </w:t>
      </w:r>
      <w:r>
        <w:rPr>
          <w:rFonts w:ascii="Segoe UI Symbol"/>
          <w:color w:val="FFFFFF"/>
          <w:spacing w:val="-2"/>
          <w:sz w:val="16"/>
        </w:rPr>
        <w:t>volumes</w:t>
      </w:r>
      <w:r>
        <w:rPr>
          <w:rFonts w:ascii="Segoe UI Symbol"/>
          <w:color w:val="FFFFFF"/>
          <w:spacing w:val="-8"/>
          <w:sz w:val="16"/>
        </w:rPr>
        <w:t xml:space="preserve"> </w:t>
      </w:r>
      <w:r>
        <w:rPr>
          <w:rFonts w:ascii="Segoe UI Symbol"/>
          <w:color w:val="FFFFFF"/>
          <w:spacing w:val="-2"/>
          <w:sz w:val="16"/>
        </w:rPr>
        <w:t>of</w:t>
      </w:r>
      <w:r>
        <w:rPr>
          <w:rFonts w:ascii="Segoe UI Symbol"/>
          <w:color w:val="FFFFFF"/>
          <w:spacing w:val="-8"/>
          <w:sz w:val="16"/>
        </w:rPr>
        <w:t xml:space="preserve"> </w:t>
      </w:r>
      <w:r>
        <w:rPr>
          <w:rFonts w:ascii="Segoe UI Symbol"/>
          <w:color w:val="FFFFFF"/>
          <w:spacing w:val="-2"/>
          <w:sz w:val="16"/>
        </w:rPr>
        <w:t xml:space="preserve">spectators/fans </w:t>
      </w:r>
      <w:r>
        <w:rPr>
          <w:rFonts w:ascii="Segoe UI Symbol"/>
          <w:color w:val="FFFFFF"/>
          <w:sz w:val="16"/>
        </w:rPr>
        <w:t>in</w:t>
      </w:r>
      <w:r>
        <w:rPr>
          <w:rFonts w:ascii="Segoe UI Symbol"/>
          <w:color w:val="FFFFFF"/>
          <w:spacing w:val="-3"/>
          <w:sz w:val="16"/>
        </w:rPr>
        <w:t xml:space="preserve"> </w:t>
      </w:r>
      <w:r>
        <w:rPr>
          <w:rFonts w:ascii="Segoe UI Symbol"/>
          <w:color w:val="FFFFFF"/>
          <w:sz w:val="16"/>
        </w:rPr>
        <w:t>attendance</w:t>
      </w:r>
    </w:p>
    <w:p w14:paraId="2B41E00A" w14:textId="77777777" w:rsidR="00AE0598" w:rsidRDefault="0069255A">
      <w:pPr>
        <w:spacing w:before="99" w:line="216" w:lineRule="auto"/>
        <w:ind w:left="463" w:right="38"/>
        <w:jc w:val="center"/>
        <w:rPr>
          <w:rFonts w:ascii="Segoe UI Symbol"/>
          <w:sz w:val="16"/>
        </w:rPr>
      </w:pPr>
      <w:r>
        <w:br w:type="column"/>
      </w:r>
      <w:r>
        <w:rPr>
          <w:rFonts w:ascii="Segoe UI Symbol"/>
          <w:color w:val="FFFFFF"/>
          <w:sz w:val="16"/>
        </w:rPr>
        <w:t>Low</w:t>
      </w:r>
      <w:r>
        <w:rPr>
          <w:rFonts w:ascii="Segoe UI Symbol"/>
          <w:color w:val="FFFFFF"/>
          <w:spacing w:val="-11"/>
          <w:sz w:val="16"/>
        </w:rPr>
        <w:t xml:space="preserve"> </w:t>
      </w:r>
      <w:r>
        <w:rPr>
          <w:rFonts w:ascii="Segoe UI Symbol"/>
          <w:color w:val="FFFFFF"/>
          <w:sz w:val="16"/>
        </w:rPr>
        <w:t>volumes</w:t>
      </w:r>
      <w:r>
        <w:rPr>
          <w:rFonts w:ascii="Segoe UI Symbol"/>
          <w:color w:val="FFFFFF"/>
          <w:spacing w:val="-11"/>
          <w:sz w:val="16"/>
        </w:rPr>
        <w:t xml:space="preserve"> </w:t>
      </w:r>
      <w:r>
        <w:rPr>
          <w:rFonts w:ascii="Segoe UI Symbol"/>
          <w:color w:val="FFFFFF"/>
          <w:sz w:val="16"/>
        </w:rPr>
        <w:t>of spectators</w:t>
      </w:r>
      <w:r>
        <w:rPr>
          <w:rFonts w:ascii="Segoe UI Symbol"/>
          <w:color w:val="FFFFFF"/>
          <w:spacing w:val="-3"/>
          <w:sz w:val="16"/>
        </w:rPr>
        <w:t xml:space="preserve"> </w:t>
      </w:r>
      <w:r>
        <w:rPr>
          <w:rFonts w:ascii="Segoe UI Symbol"/>
          <w:color w:val="FFFFFF"/>
          <w:sz w:val="16"/>
        </w:rPr>
        <w:t xml:space="preserve">in </w:t>
      </w:r>
      <w:r>
        <w:rPr>
          <w:rFonts w:ascii="Segoe UI Symbol"/>
          <w:color w:val="FFFFFF"/>
          <w:spacing w:val="-2"/>
          <w:sz w:val="16"/>
        </w:rPr>
        <w:t>attendance</w:t>
      </w:r>
    </w:p>
    <w:p w14:paraId="193C9F8D" w14:textId="77777777" w:rsidR="00AE0598" w:rsidRDefault="0069255A">
      <w:pPr>
        <w:rPr>
          <w:rFonts w:ascii="Segoe UI Symbol"/>
          <w:sz w:val="20"/>
        </w:rPr>
      </w:pPr>
      <w:r>
        <w:br w:type="column"/>
      </w:r>
    </w:p>
    <w:p w14:paraId="45C19560" w14:textId="77777777" w:rsidR="00AE0598" w:rsidRDefault="00AE0598">
      <w:pPr>
        <w:pStyle w:val="Corpodetexto"/>
        <w:rPr>
          <w:rFonts w:ascii="Segoe UI Symbol"/>
        </w:rPr>
      </w:pPr>
    </w:p>
    <w:p w14:paraId="2E8C63B6" w14:textId="77777777" w:rsidR="00AE0598" w:rsidRDefault="0069255A">
      <w:pPr>
        <w:ind w:left="463"/>
        <w:rPr>
          <w:rFonts w:ascii="Segoe UI Symbol"/>
          <w:sz w:val="16"/>
        </w:rPr>
      </w:pPr>
      <w:r>
        <w:rPr>
          <w:rFonts w:ascii="Segoe UI Symbol"/>
          <w:color w:val="231F20"/>
          <w:spacing w:val="-2"/>
          <w:sz w:val="16"/>
        </w:rPr>
        <w:t>Spectators/fans</w:t>
      </w:r>
    </w:p>
    <w:p w14:paraId="5AD9FCCE" w14:textId="77777777" w:rsidR="00AE0598" w:rsidRDefault="00AE0598">
      <w:pPr>
        <w:rPr>
          <w:rFonts w:ascii="Segoe UI Symbol"/>
          <w:sz w:val="16"/>
        </w:rPr>
        <w:sectPr w:rsidR="00AE0598">
          <w:type w:val="continuous"/>
          <w:pgSz w:w="8850" w:h="13270"/>
          <w:pgMar w:top="1080" w:right="1060" w:bottom="280" w:left="1080" w:header="720" w:footer="720" w:gutter="0"/>
          <w:cols w:num="3" w:space="720" w:equalWidth="0">
            <w:col w:w="2742" w:space="88"/>
            <w:col w:w="1605" w:space="395"/>
            <w:col w:w="1880"/>
          </w:cols>
        </w:sectPr>
      </w:pPr>
    </w:p>
    <w:p w14:paraId="77C453CF" w14:textId="77777777" w:rsidR="00AE0598" w:rsidRDefault="00AE0598">
      <w:pPr>
        <w:pStyle w:val="Corpodetexto"/>
        <w:spacing w:before="13"/>
        <w:rPr>
          <w:rFonts w:ascii="Segoe UI Symbol"/>
          <w:sz w:val="8"/>
        </w:rPr>
      </w:pPr>
    </w:p>
    <w:p w14:paraId="41D01865" w14:textId="77777777" w:rsidR="00AE0598" w:rsidRDefault="0069255A">
      <w:pPr>
        <w:spacing w:before="102" w:line="235" w:lineRule="auto"/>
        <w:ind w:left="110" w:right="128"/>
        <w:jc w:val="both"/>
        <w:rPr>
          <w:rFonts w:ascii="Trebuchet MS"/>
          <w:sz w:val="14"/>
        </w:rPr>
      </w:pPr>
      <w:r>
        <w:rPr>
          <w:rFonts w:ascii="Trebuchet MS"/>
          <w:b/>
          <w:color w:val="231F20"/>
          <w:w w:val="105"/>
          <w:sz w:val="14"/>
        </w:rPr>
        <w:t>Figure 3.2</w:t>
      </w:r>
      <w:r>
        <w:rPr>
          <w:rFonts w:ascii="Trebuchet MS"/>
          <w:b/>
          <w:color w:val="231F20"/>
          <w:spacing w:val="32"/>
          <w:w w:val="105"/>
          <w:sz w:val="14"/>
        </w:rPr>
        <w:t xml:space="preserve"> </w:t>
      </w:r>
      <w:r>
        <w:rPr>
          <w:rFonts w:ascii="Trebuchet MS"/>
          <w:color w:val="231F20"/>
          <w:w w:val="105"/>
          <w:sz w:val="14"/>
        </w:rPr>
        <w:t>Conceptualisation of the relative engagement of spectators and participants in elite and non-elite sport events</w:t>
      </w:r>
    </w:p>
    <w:p w14:paraId="6744BF9E" w14:textId="77777777" w:rsidR="00AE0598" w:rsidRDefault="00AE0598">
      <w:pPr>
        <w:pStyle w:val="Corpodetexto"/>
        <w:spacing w:before="7"/>
        <w:rPr>
          <w:rFonts w:ascii="Trebuchet MS"/>
          <w:sz w:val="14"/>
        </w:rPr>
      </w:pPr>
    </w:p>
    <w:p w14:paraId="537803F0" w14:textId="77777777" w:rsidR="00AE0598" w:rsidRDefault="0069255A">
      <w:pPr>
        <w:pStyle w:val="Corpodetexto"/>
        <w:spacing w:line="232" w:lineRule="auto"/>
        <w:ind w:left="110" w:right="124"/>
        <w:jc w:val="both"/>
      </w:pPr>
      <w:r>
        <w:rPr>
          <w:color w:val="231F20"/>
        </w:rPr>
        <w:t>events due to capacity constraints may compete to attract sub-elite or non-elite</w:t>
      </w:r>
      <w:r>
        <w:rPr>
          <w:color w:val="231F20"/>
          <w:spacing w:val="-3"/>
        </w:rPr>
        <w:t xml:space="preserve"> </w:t>
      </w:r>
      <w:r>
        <w:rPr>
          <w:color w:val="231F20"/>
        </w:rPr>
        <w:t>participation-based</w:t>
      </w:r>
      <w:r>
        <w:rPr>
          <w:color w:val="231F20"/>
          <w:spacing w:val="-3"/>
        </w:rPr>
        <w:t xml:space="preserve"> </w:t>
      </w:r>
      <w:r>
        <w:rPr>
          <w:color w:val="231F20"/>
        </w:rPr>
        <w:t>sport</w:t>
      </w:r>
      <w:r>
        <w:rPr>
          <w:color w:val="231F20"/>
          <w:spacing w:val="-3"/>
        </w:rPr>
        <w:t xml:space="preserve"> </w:t>
      </w:r>
      <w:r>
        <w:rPr>
          <w:color w:val="231F20"/>
        </w:rPr>
        <w:t>events</w:t>
      </w:r>
      <w:r>
        <w:rPr>
          <w:color w:val="231F20"/>
          <w:spacing w:val="-3"/>
        </w:rPr>
        <w:t xml:space="preserve"> </w:t>
      </w:r>
      <w:r>
        <w:rPr>
          <w:color w:val="231F20"/>
        </w:rPr>
        <w:t>(Gratton</w:t>
      </w:r>
      <w:r>
        <w:rPr>
          <w:color w:val="231F20"/>
          <w:spacing w:val="-3"/>
        </w:rPr>
        <w:t xml:space="preserve"> </w:t>
      </w:r>
      <w:r>
        <w:rPr>
          <w:i/>
          <w:color w:val="231F20"/>
        </w:rPr>
        <w:t>et</w:t>
      </w:r>
      <w:r>
        <w:rPr>
          <w:i/>
          <w:color w:val="231F20"/>
          <w:spacing w:val="-3"/>
        </w:rPr>
        <w:t xml:space="preserve"> </w:t>
      </w:r>
      <w:r>
        <w:rPr>
          <w:i/>
          <w:color w:val="231F20"/>
        </w:rPr>
        <w:t>al</w:t>
      </w:r>
      <w:r>
        <w:rPr>
          <w:color w:val="231F20"/>
        </w:rPr>
        <w:t>.,</w:t>
      </w:r>
      <w:r>
        <w:rPr>
          <w:color w:val="231F20"/>
          <w:spacing w:val="-3"/>
        </w:rPr>
        <w:t xml:space="preserve"> </w:t>
      </w:r>
      <w:r>
        <w:rPr>
          <w:color w:val="231F20"/>
        </w:rPr>
        <w:t>2005;</w:t>
      </w:r>
      <w:r>
        <w:rPr>
          <w:color w:val="231F20"/>
          <w:spacing w:val="-3"/>
        </w:rPr>
        <w:t xml:space="preserve"> </w:t>
      </w:r>
      <w:r>
        <w:rPr>
          <w:color w:val="231F20"/>
        </w:rPr>
        <w:t>Higham, 1999). Chogahara and Yamaguchi (1998), for example, report on the National Sports Festival for the Elderly (Japan). This study identifies</w:t>
      </w:r>
      <w:r>
        <w:rPr>
          <w:color w:val="231F20"/>
          <w:spacing w:val="40"/>
        </w:rPr>
        <w:t xml:space="preserve"> </w:t>
      </w:r>
      <w:r>
        <w:rPr>
          <w:color w:val="231F20"/>
        </w:rPr>
        <w:t xml:space="preserve">that participants tend to engage in a wide range of tourist activities, </w:t>
      </w:r>
      <w:r>
        <w:rPr>
          <w:color w:val="231F20"/>
          <w:w w:val="95"/>
        </w:rPr>
        <w:t xml:space="preserve">particularly sightseeing and visiting </w:t>
      </w:r>
      <w:r>
        <w:rPr>
          <w:color w:val="231F20"/>
          <w:w w:val="95"/>
        </w:rPr>
        <w:t>hot spas both during and following the completion of the event. This study confirms that those who participate in lesser or non-competitive sports events are more likely to take advantage</w:t>
      </w:r>
      <w:r>
        <w:rPr>
          <w:color w:val="231F20"/>
          <w:spacing w:val="80"/>
        </w:rPr>
        <w:t xml:space="preserve"> </w:t>
      </w:r>
      <w:r>
        <w:rPr>
          <w:color w:val="231F20"/>
        </w:rPr>
        <w:t>of opportunities to engage in tourist activities at a destination. L</w:t>
      </w:r>
      <w:r>
        <w:rPr>
          <w:color w:val="231F20"/>
        </w:rPr>
        <w:t xml:space="preserve">ittle is known about the travel preferences of participants who form the less </w:t>
      </w:r>
      <w:r>
        <w:rPr>
          <w:color w:val="231F20"/>
          <w:w w:val="95"/>
        </w:rPr>
        <w:t>competitive element of the event sport tourism market. This niche market</w:t>
      </w:r>
      <w:r>
        <w:rPr>
          <w:color w:val="231F20"/>
          <w:spacing w:val="40"/>
        </w:rPr>
        <w:t xml:space="preserve"> </w:t>
      </w:r>
      <w:r>
        <w:rPr>
          <w:color w:val="231F20"/>
        </w:rPr>
        <w:t>is characterised by travel motivations that are distinct from elite and competitive event participants.</w:t>
      </w:r>
    </w:p>
    <w:p w14:paraId="3E3BEB79" w14:textId="77777777" w:rsidR="00AE0598" w:rsidRDefault="0069255A">
      <w:pPr>
        <w:pStyle w:val="Corpodetexto"/>
        <w:spacing w:before="16" w:line="232" w:lineRule="auto"/>
        <w:ind w:left="110" w:right="127" w:firstLine="320"/>
        <w:jc w:val="both"/>
      </w:pPr>
      <w:r>
        <w:rPr>
          <w:color w:val="231F20"/>
        </w:rPr>
        <w:t>T</w:t>
      </w:r>
      <w:r>
        <w:rPr>
          <w:color w:val="231F20"/>
        </w:rPr>
        <w:t xml:space="preserve">he distinction between elite and non-elite event sport tourism is </w:t>
      </w:r>
      <w:r>
        <w:rPr>
          <w:color w:val="231F20"/>
          <w:w w:val="95"/>
        </w:rPr>
        <w:t xml:space="preserve">important (Figure 3.2). Carmichael and Murphy (1996) suggest that event </w:t>
      </w:r>
      <w:r>
        <w:rPr>
          <w:color w:val="231F20"/>
        </w:rPr>
        <w:t>sport tourists should be differentiated on the basis of spectatorship and participation, the latter including athletes</w:t>
      </w:r>
      <w:r>
        <w:rPr>
          <w:color w:val="231F20"/>
        </w:rPr>
        <w:t xml:space="preserve">, officials and coaches. Their study provides insights into visitor origin, length of stay, expenditure patterns, numbers of friends and relatives accompanying participants, and their intentions to return to the town hosting the event. This points towards </w:t>
      </w:r>
      <w:r>
        <w:rPr>
          <w:color w:val="231F20"/>
        </w:rPr>
        <w:t>the tourist motivations that distinguish those who attend elite sports events and those who travel to participate in non-elite sports competitions (Chapter 8).</w:t>
      </w:r>
    </w:p>
    <w:p w14:paraId="1BC56045" w14:textId="77777777" w:rsidR="00AE0598" w:rsidRDefault="0069255A">
      <w:pPr>
        <w:pStyle w:val="Corpodetexto"/>
        <w:spacing w:before="12" w:line="232" w:lineRule="auto"/>
        <w:ind w:left="110" w:right="127" w:firstLine="320"/>
        <w:jc w:val="both"/>
      </w:pPr>
      <w:r>
        <w:rPr>
          <w:color w:val="231F20"/>
        </w:rPr>
        <w:t xml:space="preserve">In response to this point, some attention has been usefully paid to </w:t>
      </w:r>
      <w:r>
        <w:rPr>
          <w:color w:val="231F20"/>
          <w:w w:val="95"/>
        </w:rPr>
        <w:t>‘second-order’</w:t>
      </w:r>
      <w:r>
        <w:rPr>
          <w:color w:val="231F20"/>
          <w:spacing w:val="-5"/>
          <w:w w:val="95"/>
        </w:rPr>
        <w:t xml:space="preserve"> </w:t>
      </w:r>
      <w:r>
        <w:rPr>
          <w:color w:val="231F20"/>
          <w:w w:val="95"/>
        </w:rPr>
        <w:t>(sub-elite)</w:t>
      </w:r>
      <w:r>
        <w:rPr>
          <w:color w:val="231F20"/>
          <w:spacing w:val="-5"/>
          <w:w w:val="95"/>
        </w:rPr>
        <w:t xml:space="preserve"> </w:t>
      </w:r>
      <w:r>
        <w:rPr>
          <w:color w:val="231F20"/>
          <w:w w:val="95"/>
        </w:rPr>
        <w:t>sports</w:t>
      </w:r>
      <w:r>
        <w:rPr>
          <w:color w:val="231F20"/>
          <w:spacing w:val="-5"/>
          <w:w w:val="95"/>
        </w:rPr>
        <w:t xml:space="preserve"> </w:t>
      </w:r>
      <w:r>
        <w:rPr>
          <w:color w:val="231F20"/>
          <w:w w:val="95"/>
        </w:rPr>
        <w:t>events</w:t>
      </w:r>
      <w:r>
        <w:rPr>
          <w:color w:val="231F20"/>
          <w:spacing w:val="-5"/>
          <w:w w:val="95"/>
        </w:rPr>
        <w:t xml:space="preserve"> </w:t>
      </w:r>
      <w:r>
        <w:rPr>
          <w:color w:val="231F20"/>
          <w:w w:val="95"/>
        </w:rPr>
        <w:t>which</w:t>
      </w:r>
      <w:r>
        <w:rPr>
          <w:color w:val="231F20"/>
          <w:spacing w:val="-5"/>
          <w:w w:val="95"/>
        </w:rPr>
        <w:t xml:space="preserve"> </w:t>
      </w:r>
      <w:r>
        <w:rPr>
          <w:color w:val="231F20"/>
          <w:w w:val="95"/>
        </w:rPr>
        <w:t>have</w:t>
      </w:r>
      <w:r>
        <w:rPr>
          <w:color w:val="231F20"/>
          <w:spacing w:val="-5"/>
          <w:w w:val="95"/>
        </w:rPr>
        <w:t xml:space="preserve"> </w:t>
      </w:r>
      <w:r>
        <w:rPr>
          <w:color w:val="231F20"/>
          <w:w w:val="95"/>
        </w:rPr>
        <w:t>been</w:t>
      </w:r>
      <w:r>
        <w:rPr>
          <w:color w:val="231F20"/>
          <w:spacing w:val="-5"/>
          <w:w w:val="95"/>
        </w:rPr>
        <w:t xml:space="preserve"> </w:t>
      </w:r>
      <w:r>
        <w:rPr>
          <w:color w:val="231F20"/>
          <w:w w:val="95"/>
        </w:rPr>
        <w:t>pursued</w:t>
      </w:r>
      <w:r>
        <w:rPr>
          <w:color w:val="231F20"/>
          <w:spacing w:val="-5"/>
          <w:w w:val="95"/>
        </w:rPr>
        <w:t xml:space="preserve"> </w:t>
      </w:r>
      <w:r>
        <w:rPr>
          <w:color w:val="231F20"/>
          <w:w w:val="95"/>
        </w:rPr>
        <w:t>by</w:t>
      </w:r>
      <w:r>
        <w:rPr>
          <w:color w:val="231F20"/>
          <w:spacing w:val="-5"/>
          <w:w w:val="95"/>
        </w:rPr>
        <w:t xml:space="preserve"> </w:t>
      </w:r>
      <w:r>
        <w:rPr>
          <w:color w:val="231F20"/>
          <w:w w:val="95"/>
        </w:rPr>
        <w:t xml:space="preserve">second </w:t>
      </w:r>
      <w:r>
        <w:rPr>
          <w:color w:val="231F20"/>
        </w:rPr>
        <w:t xml:space="preserve">tier or provincial cities seeking to ‘shine on the global stage’ (Whitson, </w:t>
      </w:r>
      <w:r>
        <w:rPr>
          <w:color w:val="231F20"/>
          <w:w w:val="95"/>
        </w:rPr>
        <w:t xml:space="preserve">2004: 1221). Gratton </w:t>
      </w:r>
      <w:r>
        <w:rPr>
          <w:i/>
          <w:color w:val="231F20"/>
          <w:w w:val="95"/>
        </w:rPr>
        <w:t>et al</w:t>
      </w:r>
      <w:r>
        <w:rPr>
          <w:color w:val="231F20"/>
          <w:w w:val="95"/>
        </w:rPr>
        <w:t>. (2005) hig</w:t>
      </w:r>
      <w:r>
        <w:rPr>
          <w:color w:val="231F20"/>
          <w:w w:val="95"/>
        </w:rPr>
        <w:t xml:space="preserve">hlight the sharply contrasting tourism </w:t>
      </w:r>
      <w:r>
        <w:rPr>
          <w:color w:val="231F20"/>
          <w:w w:val="90"/>
        </w:rPr>
        <w:t>contexts</w:t>
      </w:r>
      <w:r>
        <w:rPr>
          <w:color w:val="231F20"/>
        </w:rPr>
        <w:t xml:space="preserve"> </w:t>
      </w:r>
      <w:r>
        <w:rPr>
          <w:color w:val="231F20"/>
          <w:w w:val="90"/>
        </w:rPr>
        <w:t>associated</w:t>
      </w:r>
      <w:r>
        <w:rPr>
          <w:color w:val="231F20"/>
        </w:rPr>
        <w:t xml:space="preserve"> </w:t>
      </w:r>
      <w:r>
        <w:rPr>
          <w:color w:val="231F20"/>
          <w:w w:val="90"/>
        </w:rPr>
        <w:t>with</w:t>
      </w:r>
      <w:r>
        <w:rPr>
          <w:color w:val="231F20"/>
        </w:rPr>
        <w:t xml:space="preserve"> </w:t>
      </w:r>
      <w:r>
        <w:rPr>
          <w:color w:val="231F20"/>
          <w:w w:val="90"/>
        </w:rPr>
        <w:t>second</w:t>
      </w:r>
      <w:r>
        <w:rPr>
          <w:color w:val="231F20"/>
        </w:rPr>
        <w:t xml:space="preserve"> </w:t>
      </w:r>
      <w:r>
        <w:rPr>
          <w:color w:val="231F20"/>
          <w:w w:val="90"/>
        </w:rPr>
        <w:t>tier</w:t>
      </w:r>
      <w:r>
        <w:rPr>
          <w:color w:val="231F20"/>
        </w:rPr>
        <w:t xml:space="preserve"> </w:t>
      </w:r>
      <w:r>
        <w:rPr>
          <w:color w:val="231F20"/>
          <w:w w:val="90"/>
        </w:rPr>
        <w:t>sports</w:t>
      </w:r>
      <w:r>
        <w:rPr>
          <w:color w:val="231F20"/>
        </w:rPr>
        <w:t xml:space="preserve"> </w:t>
      </w:r>
      <w:r>
        <w:rPr>
          <w:color w:val="231F20"/>
          <w:w w:val="90"/>
        </w:rPr>
        <w:t>events</w:t>
      </w:r>
      <w:r>
        <w:rPr>
          <w:color w:val="231F20"/>
        </w:rPr>
        <w:t xml:space="preserve"> </w:t>
      </w:r>
      <w:r>
        <w:rPr>
          <w:color w:val="231F20"/>
          <w:w w:val="90"/>
        </w:rPr>
        <w:t>which</w:t>
      </w:r>
      <w:r>
        <w:rPr>
          <w:color w:val="231F20"/>
        </w:rPr>
        <w:t xml:space="preserve"> </w:t>
      </w:r>
      <w:r>
        <w:rPr>
          <w:color w:val="231F20"/>
          <w:w w:val="90"/>
        </w:rPr>
        <w:t>serves</w:t>
      </w:r>
      <w:r>
        <w:rPr>
          <w:color w:val="231F20"/>
        </w:rPr>
        <w:t xml:space="preserve"> </w:t>
      </w:r>
      <w:r>
        <w:rPr>
          <w:color w:val="231F20"/>
          <w:w w:val="90"/>
        </w:rPr>
        <w:t>as</w:t>
      </w:r>
      <w:r>
        <w:rPr>
          <w:color w:val="231F20"/>
        </w:rPr>
        <w:t xml:space="preserve"> </w:t>
      </w:r>
      <w:r>
        <w:rPr>
          <w:color w:val="231F20"/>
          <w:w w:val="90"/>
        </w:rPr>
        <w:t>a</w:t>
      </w:r>
      <w:r>
        <w:rPr>
          <w:color w:val="231F20"/>
        </w:rPr>
        <w:t xml:space="preserve"> </w:t>
      </w:r>
      <w:r>
        <w:rPr>
          <w:color w:val="231F20"/>
          <w:w w:val="90"/>
        </w:rPr>
        <w:t>warning</w:t>
      </w:r>
    </w:p>
    <w:p w14:paraId="7E0AEC56" w14:textId="77777777" w:rsidR="00AE0598" w:rsidRDefault="00AE0598">
      <w:pPr>
        <w:spacing w:line="232" w:lineRule="auto"/>
        <w:jc w:val="both"/>
        <w:sectPr w:rsidR="00AE0598">
          <w:type w:val="continuous"/>
          <w:pgSz w:w="8850" w:h="13270"/>
          <w:pgMar w:top="1080" w:right="1060" w:bottom="280" w:left="1080" w:header="720" w:footer="720" w:gutter="0"/>
          <w:cols w:space="720"/>
        </w:sectPr>
      </w:pPr>
    </w:p>
    <w:p w14:paraId="0419A511" w14:textId="77777777" w:rsidR="00AE0598" w:rsidRDefault="0069255A">
      <w:pPr>
        <w:spacing w:before="87"/>
        <w:ind w:left="108"/>
        <w:rPr>
          <w:rFonts w:ascii="Trebuchet MS"/>
          <w:sz w:val="14"/>
        </w:rPr>
      </w:pPr>
      <w:r>
        <w:rPr>
          <w:rFonts w:ascii="Trebuchet MS"/>
          <w:color w:val="231F20"/>
          <w:w w:val="105"/>
          <w:sz w:val="14"/>
        </w:rPr>
        <w:lastRenderedPageBreak/>
        <w:t>50</w:t>
      </w:r>
      <w:r>
        <w:rPr>
          <w:rFonts w:ascii="Trebuchet MS"/>
          <w:color w:val="231F20"/>
          <w:spacing w:val="64"/>
          <w:w w:val="150"/>
          <w:sz w:val="14"/>
        </w:rPr>
        <w:t xml:space="preserve"> </w:t>
      </w:r>
      <w:r>
        <w:rPr>
          <w:rFonts w:ascii="Trebuchet MS"/>
          <w:color w:val="231F20"/>
          <w:w w:val="105"/>
          <w:sz w:val="14"/>
        </w:rPr>
        <w:t>Part</w:t>
      </w:r>
      <w:r>
        <w:rPr>
          <w:rFonts w:ascii="Trebuchet MS"/>
          <w:color w:val="231F20"/>
          <w:spacing w:val="-9"/>
          <w:w w:val="105"/>
          <w:sz w:val="14"/>
        </w:rPr>
        <w:t xml:space="preserve"> </w:t>
      </w:r>
      <w:r>
        <w:rPr>
          <w:rFonts w:ascii="Trebuchet MS"/>
          <w:color w:val="231F20"/>
          <w:w w:val="105"/>
          <w:sz w:val="14"/>
        </w:rPr>
        <w:t>2:</w:t>
      </w:r>
      <w:r>
        <w:rPr>
          <w:rFonts w:ascii="Trebuchet MS"/>
          <w:color w:val="231F20"/>
          <w:spacing w:val="-9"/>
          <w:w w:val="105"/>
          <w:sz w:val="14"/>
        </w:rPr>
        <w:t xml:space="preserve"> </w:t>
      </w:r>
      <w:r>
        <w:rPr>
          <w:rFonts w:ascii="Trebuchet MS"/>
          <w:color w:val="231F20"/>
          <w:w w:val="105"/>
          <w:sz w:val="14"/>
        </w:rPr>
        <w:t>Foundations</w:t>
      </w:r>
      <w:r>
        <w:rPr>
          <w:rFonts w:ascii="Trebuchet MS"/>
          <w:color w:val="231F20"/>
          <w:spacing w:val="-9"/>
          <w:w w:val="105"/>
          <w:sz w:val="14"/>
        </w:rPr>
        <w:t xml:space="preserve"> </w:t>
      </w:r>
      <w:r>
        <w:rPr>
          <w:rFonts w:ascii="Trebuchet MS"/>
          <w:color w:val="231F20"/>
          <w:w w:val="105"/>
          <w:sz w:val="14"/>
        </w:rPr>
        <w:t>of</w:t>
      </w:r>
      <w:r>
        <w:rPr>
          <w:rFonts w:ascii="Trebuchet MS"/>
          <w:color w:val="231F20"/>
          <w:spacing w:val="-9"/>
          <w:w w:val="105"/>
          <w:sz w:val="14"/>
        </w:rPr>
        <w:t xml:space="preserve"> </w:t>
      </w:r>
      <w:r>
        <w:rPr>
          <w:rFonts w:ascii="Trebuchet MS"/>
          <w:color w:val="231F20"/>
          <w:w w:val="105"/>
          <w:sz w:val="14"/>
        </w:rPr>
        <w:t>Sport</w:t>
      </w:r>
      <w:r>
        <w:rPr>
          <w:rFonts w:ascii="Trebuchet MS"/>
          <w:color w:val="231F20"/>
          <w:spacing w:val="-9"/>
          <w:w w:val="105"/>
          <w:sz w:val="14"/>
        </w:rPr>
        <w:t xml:space="preserve"> </w:t>
      </w:r>
      <w:r>
        <w:rPr>
          <w:rFonts w:ascii="Trebuchet MS"/>
          <w:color w:val="231F20"/>
          <w:w w:val="105"/>
          <w:sz w:val="14"/>
        </w:rPr>
        <w:t>Tourism</w:t>
      </w:r>
      <w:r>
        <w:rPr>
          <w:rFonts w:ascii="Trebuchet MS"/>
          <w:color w:val="231F20"/>
          <w:spacing w:val="-9"/>
          <w:w w:val="105"/>
          <w:sz w:val="14"/>
        </w:rPr>
        <w:t xml:space="preserve"> </w:t>
      </w:r>
      <w:r>
        <w:rPr>
          <w:rFonts w:ascii="Trebuchet MS"/>
          <w:color w:val="231F20"/>
          <w:spacing w:val="-2"/>
          <w:w w:val="105"/>
          <w:sz w:val="14"/>
        </w:rPr>
        <w:t>Development</w:t>
      </w:r>
    </w:p>
    <w:p w14:paraId="66DE4089" w14:textId="77777777" w:rsidR="00AE0598" w:rsidRDefault="00AE0598">
      <w:pPr>
        <w:pStyle w:val="Corpodetexto"/>
        <w:rPr>
          <w:rFonts w:ascii="Trebuchet MS"/>
          <w:sz w:val="16"/>
        </w:rPr>
      </w:pPr>
    </w:p>
    <w:p w14:paraId="775EACEB" w14:textId="77777777" w:rsidR="00AE0598" w:rsidRDefault="0069255A">
      <w:pPr>
        <w:pStyle w:val="Corpodetexto"/>
        <w:spacing w:before="118" w:line="232" w:lineRule="auto"/>
        <w:ind w:left="110" w:right="127"/>
        <w:jc w:val="both"/>
      </w:pPr>
      <w:r>
        <w:rPr>
          <w:color w:val="231F20"/>
        </w:rPr>
        <w:t xml:space="preserve">to guard against the overselling of the tourism and economic benefits of </w:t>
      </w:r>
      <w:r>
        <w:rPr>
          <w:color w:val="231F20"/>
          <w:w w:val="95"/>
        </w:rPr>
        <w:t xml:space="preserve">hosting such events. Black (2008: 467) notes in reference to ‘second-order’ </w:t>
      </w:r>
      <w:r>
        <w:rPr>
          <w:color w:val="231F20"/>
        </w:rPr>
        <w:t>sports</w:t>
      </w:r>
      <w:r>
        <w:rPr>
          <w:color w:val="231F20"/>
          <w:spacing w:val="-5"/>
        </w:rPr>
        <w:t xml:space="preserve"> </w:t>
      </w:r>
      <w:r>
        <w:rPr>
          <w:color w:val="231F20"/>
        </w:rPr>
        <w:t>events</w:t>
      </w:r>
      <w:r>
        <w:rPr>
          <w:color w:val="231F20"/>
          <w:spacing w:val="-5"/>
        </w:rPr>
        <w:t xml:space="preserve"> </w:t>
      </w:r>
      <w:r>
        <w:rPr>
          <w:color w:val="231F20"/>
        </w:rPr>
        <w:t>that</w:t>
      </w:r>
      <w:r>
        <w:rPr>
          <w:color w:val="231F20"/>
          <w:spacing w:val="-5"/>
        </w:rPr>
        <w:t xml:space="preserve"> </w:t>
      </w:r>
      <w:r>
        <w:rPr>
          <w:color w:val="231F20"/>
        </w:rPr>
        <w:t>‘their</w:t>
      </w:r>
      <w:r>
        <w:rPr>
          <w:color w:val="231F20"/>
          <w:spacing w:val="-5"/>
        </w:rPr>
        <w:t xml:space="preserve"> </w:t>
      </w:r>
      <w:r>
        <w:rPr>
          <w:color w:val="231F20"/>
        </w:rPr>
        <w:t>benefits</w:t>
      </w:r>
      <w:r>
        <w:rPr>
          <w:color w:val="231F20"/>
          <w:spacing w:val="-5"/>
        </w:rPr>
        <w:t xml:space="preserve"> </w:t>
      </w:r>
      <w:r>
        <w:rPr>
          <w:color w:val="231F20"/>
        </w:rPr>
        <w:t>continue</w:t>
      </w:r>
      <w:r>
        <w:rPr>
          <w:color w:val="231F20"/>
          <w:spacing w:val="-5"/>
        </w:rPr>
        <w:t xml:space="preserve"> </w:t>
      </w:r>
      <w:r>
        <w:rPr>
          <w:color w:val="231F20"/>
        </w:rPr>
        <w:t>to</w:t>
      </w:r>
      <w:r>
        <w:rPr>
          <w:color w:val="231F20"/>
          <w:spacing w:val="-5"/>
        </w:rPr>
        <w:t xml:space="preserve"> </w:t>
      </w:r>
      <w:r>
        <w:rPr>
          <w:color w:val="231F20"/>
        </w:rPr>
        <w:t>be</w:t>
      </w:r>
      <w:r>
        <w:rPr>
          <w:color w:val="231F20"/>
          <w:spacing w:val="-5"/>
        </w:rPr>
        <w:t xml:space="preserve"> </w:t>
      </w:r>
      <w:r>
        <w:rPr>
          <w:color w:val="231F20"/>
        </w:rPr>
        <w:t>chronically</w:t>
      </w:r>
      <w:r>
        <w:rPr>
          <w:color w:val="231F20"/>
          <w:spacing w:val="-5"/>
        </w:rPr>
        <w:t xml:space="preserve"> </w:t>
      </w:r>
      <w:r>
        <w:rPr>
          <w:color w:val="231F20"/>
        </w:rPr>
        <w:t>oversold</w:t>
      </w:r>
      <w:r>
        <w:rPr>
          <w:color w:val="231F20"/>
          <w:spacing w:val="-5"/>
        </w:rPr>
        <w:t xml:space="preserve"> </w:t>
      </w:r>
      <w:r>
        <w:rPr>
          <w:color w:val="231F20"/>
        </w:rPr>
        <w:t>and their opportunity costs minimize</w:t>
      </w:r>
      <w:r>
        <w:rPr>
          <w:color w:val="231F20"/>
        </w:rPr>
        <w:t>d or overlooked’. Similarly, Whitson and</w:t>
      </w:r>
      <w:r>
        <w:rPr>
          <w:color w:val="231F20"/>
          <w:spacing w:val="-6"/>
        </w:rPr>
        <w:t xml:space="preserve"> </w:t>
      </w:r>
      <w:r>
        <w:rPr>
          <w:color w:val="231F20"/>
        </w:rPr>
        <w:t>MacIntosh</w:t>
      </w:r>
      <w:r>
        <w:rPr>
          <w:color w:val="231F20"/>
          <w:spacing w:val="-6"/>
        </w:rPr>
        <w:t xml:space="preserve"> </w:t>
      </w:r>
      <w:r>
        <w:rPr>
          <w:color w:val="231F20"/>
        </w:rPr>
        <w:t>(1996:</w:t>
      </w:r>
      <w:r>
        <w:rPr>
          <w:color w:val="231F20"/>
          <w:spacing w:val="-6"/>
        </w:rPr>
        <w:t xml:space="preserve"> </w:t>
      </w:r>
      <w:r>
        <w:rPr>
          <w:color w:val="231F20"/>
        </w:rPr>
        <w:t>288)</w:t>
      </w:r>
      <w:r>
        <w:rPr>
          <w:color w:val="231F20"/>
          <w:spacing w:val="-6"/>
        </w:rPr>
        <w:t xml:space="preserve"> </w:t>
      </w:r>
      <w:r>
        <w:rPr>
          <w:color w:val="231F20"/>
        </w:rPr>
        <w:t>observe</w:t>
      </w:r>
      <w:r>
        <w:rPr>
          <w:color w:val="231F20"/>
          <w:spacing w:val="-6"/>
        </w:rPr>
        <w:t xml:space="preserve"> </w:t>
      </w:r>
      <w:r>
        <w:rPr>
          <w:color w:val="231F20"/>
        </w:rPr>
        <w:t>that</w:t>
      </w:r>
      <w:r>
        <w:rPr>
          <w:color w:val="231F20"/>
          <w:spacing w:val="-6"/>
        </w:rPr>
        <w:t xml:space="preserve"> </w:t>
      </w:r>
      <w:r>
        <w:rPr>
          <w:color w:val="231F20"/>
        </w:rPr>
        <w:t>in</w:t>
      </w:r>
      <w:r>
        <w:rPr>
          <w:color w:val="231F20"/>
          <w:spacing w:val="-6"/>
        </w:rPr>
        <w:t xml:space="preserve"> </w:t>
      </w:r>
      <w:r>
        <w:rPr>
          <w:color w:val="231F20"/>
        </w:rPr>
        <w:t>the</w:t>
      </w:r>
      <w:r>
        <w:rPr>
          <w:color w:val="231F20"/>
          <w:spacing w:val="-6"/>
        </w:rPr>
        <w:t xml:space="preserve"> </w:t>
      </w:r>
      <w:r>
        <w:rPr>
          <w:color w:val="231F20"/>
        </w:rPr>
        <w:t>absence</w:t>
      </w:r>
      <w:r>
        <w:rPr>
          <w:color w:val="231F20"/>
          <w:spacing w:val="-6"/>
        </w:rPr>
        <w:t xml:space="preserve"> </w:t>
      </w:r>
      <w:r>
        <w:rPr>
          <w:color w:val="231F20"/>
        </w:rPr>
        <w:t>of</w:t>
      </w:r>
      <w:r>
        <w:rPr>
          <w:color w:val="231F20"/>
          <w:spacing w:val="-6"/>
        </w:rPr>
        <w:t xml:space="preserve"> </w:t>
      </w:r>
      <w:r>
        <w:rPr>
          <w:color w:val="231F20"/>
        </w:rPr>
        <w:t>an</w:t>
      </w:r>
      <w:r>
        <w:rPr>
          <w:color w:val="231F20"/>
          <w:spacing w:val="-6"/>
        </w:rPr>
        <w:t xml:space="preserve"> </w:t>
      </w:r>
      <w:r>
        <w:rPr>
          <w:color w:val="231F20"/>
        </w:rPr>
        <w:t>established tourism</w:t>
      </w:r>
      <w:r>
        <w:rPr>
          <w:color w:val="231F20"/>
          <w:spacing w:val="-5"/>
        </w:rPr>
        <w:t xml:space="preserve"> </w:t>
      </w:r>
      <w:r>
        <w:rPr>
          <w:color w:val="231F20"/>
        </w:rPr>
        <w:t>trade</w:t>
      </w:r>
      <w:r>
        <w:rPr>
          <w:color w:val="231F20"/>
          <w:spacing w:val="-5"/>
        </w:rPr>
        <w:t xml:space="preserve"> </w:t>
      </w:r>
      <w:r>
        <w:rPr>
          <w:color w:val="231F20"/>
        </w:rPr>
        <w:t>‘…it</w:t>
      </w:r>
      <w:r>
        <w:rPr>
          <w:color w:val="231F20"/>
          <w:spacing w:val="-5"/>
        </w:rPr>
        <w:t xml:space="preserve"> </w:t>
      </w:r>
      <w:r>
        <w:rPr>
          <w:color w:val="231F20"/>
        </w:rPr>
        <w:t>is</w:t>
      </w:r>
      <w:r>
        <w:rPr>
          <w:color w:val="231F20"/>
          <w:spacing w:val="-5"/>
        </w:rPr>
        <w:t xml:space="preserve"> </w:t>
      </w:r>
      <w:r>
        <w:rPr>
          <w:color w:val="231F20"/>
        </w:rPr>
        <w:t>a</w:t>
      </w:r>
      <w:r>
        <w:rPr>
          <w:color w:val="231F20"/>
          <w:spacing w:val="-5"/>
        </w:rPr>
        <w:t xml:space="preserve"> </w:t>
      </w:r>
      <w:r>
        <w:rPr>
          <w:color w:val="231F20"/>
        </w:rPr>
        <w:t>mirage</w:t>
      </w:r>
      <w:r>
        <w:rPr>
          <w:color w:val="231F20"/>
          <w:spacing w:val="-5"/>
        </w:rPr>
        <w:t xml:space="preserve"> </w:t>
      </w:r>
      <w:r>
        <w:rPr>
          <w:color w:val="231F20"/>
        </w:rPr>
        <w:t>to</w:t>
      </w:r>
      <w:r>
        <w:rPr>
          <w:color w:val="231F20"/>
          <w:spacing w:val="-5"/>
        </w:rPr>
        <w:t xml:space="preserve"> </w:t>
      </w:r>
      <w:r>
        <w:rPr>
          <w:color w:val="231F20"/>
        </w:rPr>
        <w:t>think</w:t>
      </w:r>
      <w:r>
        <w:rPr>
          <w:color w:val="231F20"/>
          <w:spacing w:val="-5"/>
        </w:rPr>
        <w:t xml:space="preserve"> </w:t>
      </w:r>
      <w:r>
        <w:rPr>
          <w:color w:val="231F20"/>
        </w:rPr>
        <w:t>that</w:t>
      </w:r>
      <w:r>
        <w:rPr>
          <w:color w:val="231F20"/>
          <w:spacing w:val="-5"/>
        </w:rPr>
        <w:t xml:space="preserve"> </w:t>
      </w:r>
      <w:r>
        <w:rPr>
          <w:color w:val="231F20"/>
        </w:rPr>
        <w:t>a</w:t>
      </w:r>
      <w:r>
        <w:rPr>
          <w:color w:val="231F20"/>
          <w:spacing w:val="-5"/>
        </w:rPr>
        <w:t xml:space="preserve"> </w:t>
      </w:r>
      <w:r>
        <w:rPr>
          <w:color w:val="231F20"/>
        </w:rPr>
        <w:t>substantial</w:t>
      </w:r>
      <w:r>
        <w:rPr>
          <w:color w:val="231F20"/>
          <w:spacing w:val="-5"/>
        </w:rPr>
        <w:t xml:space="preserve"> </w:t>
      </w:r>
      <w:r>
        <w:rPr>
          <w:color w:val="231F20"/>
        </w:rPr>
        <w:t>tourist</w:t>
      </w:r>
      <w:r>
        <w:rPr>
          <w:color w:val="231F20"/>
          <w:spacing w:val="-5"/>
        </w:rPr>
        <w:t xml:space="preserve"> </w:t>
      </w:r>
      <w:r>
        <w:rPr>
          <w:color w:val="231F20"/>
        </w:rPr>
        <w:t>economy can be constructed on the back of such events alone. The imaging effect is</w:t>
      </w:r>
      <w:r>
        <w:rPr>
          <w:color w:val="231F20"/>
          <w:spacing w:val="-9"/>
        </w:rPr>
        <w:t xml:space="preserve"> </w:t>
      </w:r>
      <w:r>
        <w:rPr>
          <w:color w:val="231F20"/>
        </w:rPr>
        <w:t>too</w:t>
      </w:r>
      <w:r>
        <w:rPr>
          <w:color w:val="231F20"/>
          <w:spacing w:val="-9"/>
        </w:rPr>
        <w:t xml:space="preserve"> </w:t>
      </w:r>
      <w:r>
        <w:rPr>
          <w:color w:val="231F20"/>
        </w:rPr>
        <w:t>small</w:t>
      </w:r>
      <w:r>
        <w:rPr>
          <w:color w:val="231F20"/>
          <w:spacing w:val="-9"/>
        </w:rPr>
        <w:t xml:space="preserve"> </w:t>
      </w:r>
      <w:r>
        <w:rPr>
          <w:color w:val="231F20"/>
        </w:rPr>
        <w:t>and</w:t>
      </w:r>
      <w:r>
        <w:rPr>
          <w:color w:val="231F20"/>
          <w:spacing w:val="-9"/>
        </w:rPr>
        <w:t xml:space="preserve"> </w:t>
      </w:r>
      <w:r>
        <w:rPr>
          <w:color w:val="231F20"/>
        </w:rPr>
        <w:t>the</w:t>
      </w:r>
      <w:r>
        <w:rPr>
          <w:color w:val="231F20"/>
          <w:spacing w:val="-9"/>
        </w:rPr>
        <w:t xml:space="preserve"> </w:t>
      </w:r>
      <w:r>
        <w:rPr>
          <w:color w:val="231F20"/>
        </w:rPr>
        <w:t>competition</w:t>
      </w:r>
      <w:r>
        <w:rPr>
          <w:color w:val="231F20"/>
          <w:spacing w:val="-9"/>
        </w:rPr>
        <w:t xml:space="preserve"> </w:t>
      </w:r>
      <w:r>
        <w:rPr>
          <w:color w:val="231F20"/>
        </w:rPr>
        <w:t>is</w:t>
      </w:r>
      <w:r>
        <w:rPr>
          <w:color w:val="231F20"/>
          <w:spacing w:val="-9"/>
        </w:rPr>
        <w:t xml:space="preserve"> </w:t>
      </w:r>
      <w:r>
        <w:rPr>
          <w:color w:val="231F20"/>
        </w:rPr>
        <w:t>too</w:t>
      </w:r>
      <w:r>
        <w:rPr>
          <w:color w:val="231F20"/>
          <w:spacing w:val="-9"/>
        </w:rPr>
        <w:t xml:space="preserve"> </w:t>
      </w:r>
      <w:r>
        <w:rPr>
          <w:color w:val="231F20"/>
        </w:rPr>
        <w:t>great’.</w:t>
      </w:r>
      <w:r>
        <w:rPr>
          <w:color w:val="231F20"/>
          <w:spacing w:val="-9"/>
        </w:rPr>
        <w:t xml:space="preserve"> </w:t>
      </w:r>
      <w:r>
        <w:rPr>
          <w:color w:val="231F20"/>
        </w:rPr>
        <w:t>While</w:t>
      </w:r>
      <w:r>
        <w:rPr>
          <w:color w:val="231F20"/>
          <w:spacing w:val="-9"/>
        </w:rPr>
        <w:t xml:space="preserve"> </w:t>
      </w:r>
      <w:r>
        <w:rPr>
          <w:color w:val="231F20"/>
        </w:rPr>
        <w:t>Higham</w:t>
      </w:r>
      <w:r>
        <w:rPr>
          <w:color w:val="231F20"/>
          <w:spacing w:val="-9"/>
        </w:rPr>
        <w:t xml:space="preserve"> </w:t>
      </w:r>
      <w:r>
        <w:rPr>
          <w:color w:val="231F20"/>
        </w:rPr>
        <w:t>(1999)</w:t>
      </w:r>
      <w:r>
        <w:rPr>
          <w:color w:val="231F20"/>
          <w:spacing w:val="-9"/>
        </w:rPr>
        <w:t xml:space="preserve"> </w:t>
      </w:r>
      <w:r>
        <w:rPr>
          <w:color w:val="231F20"/>
        </w:rPr>
        <w:t xml:space="preserve">notes </w:t>
      </w:r>
      <w:r>
        <w:rPr>
          <w:color w:val="231F20"/>
          <w:w w:val="95"/>
        </w:rPr>
        <w:t>the potential for small-scale events to generate the same positive impacts</w:t>
      </w:r>
      <w:r>
        <w:rPr>
          <w:color w:val="231F20"/>
          <w:spacing w:val="80"/>
        </w:rPr>
        <w:t xml:space="preserve"> </w:t>
      </w:r>
      <w:r>
        <w:rPr>
          <w:color w:val="231F20"/>
        </w:rPr>
        <w:t>as larger events (within th</w:t>
      </w:r>
      <w:r>
        <w:rPr>
          <w:color w:val="231F20"/>
        </w:rPr>
        <w:t>eir own geographical scales of analysis), it is critical that these are realistically considered within the infrastructural and ‘tourist economy’ limitations of smaller communities.</w:t>
      </w:r>
    </w:p>
    <w:p w14:paraId="061CBBD2" w14:textId="77777777" w:rsidR="00AE0598" w:rsidRDefault="0069255A">
      <w:pPr>
        <w:pStyle w:val="Corpodetexto"/>
        <w:spacing w:before="14" w:line="232" w:lineRule="auto"/>
        <w:ind w:left="110" w:right="127" w:firstLine="320"/>
        <w:jc w:val="both"/>
      </w:pPr>
      <w:r>
        <w:rPr>
          <w:color w:val="231F20"/>
        </w:rPr>
        <w:t>These points aside, one of the key justifications for the separate treatme</w:t>
      </w:r>
      <w:r>
        <w:rPr>
          <w:color w:val="231F20"/>
        </w:rPr>
        <w:t xml:space="preserve">nt of participation sports events in this book is the phenomenal growth in participation in highly competitive, sub-elite sports events in </w:t>
      </w:r>
      <w:r>
        <w:rPr>
          <w:color w:val="231F20"/>
          <w:w w:val="95"/>
        </w:rPr>
        <w:t xml:space="preserve">recent years. This has been a feature of the evolution of sport tourism since </w:t>
      </w:r>
      <w:r>
        <w:rPr>
          <w:color w:val="231F20"/>
        </w:rPr>
        <w:t>the publication of the previous edition</w:t>
      </w:r>
      <w:r>
        <w:rPr>
          <w:color w:val="231F20"/>
        </w:rPr>
        <w:t xml:space="preserve"> of this book in 2010. Many such participants</w:t>
      </w:r>
      <w:r>
        <w:rPr>
          <w:color w:val="231F20"/>
          <w:spacing w:val="-6"/>
        </w:rPr>
        <w:t xml:space="preserve"> </w:t>
      </w:r>
      <w:r>
        <w:rPr>
          <w:color w:val="231F20"/>
        </w:rPr>
        <w:t>are</w:t>
      </w:r>
      <w:r>
        <w:rPr>
          <w:color w:val="231F20"/>
          <w:spacing w:val="-6"/>
        </w:rPr>
        <w:t xml:space="preserve"> </w:t>
      </w:r>
      <w:r>
        <w:rPr>
          <w:color w:val="231F20"/>
        </w:rPr>
        <w:t>engaged</w:t>
      </w:r>
      <w:r>
        <w:rPr>
          <w:color w:val="231F20"/>
          <w:spacing w:val="-6"/>
        </w:rPr>
        <w:t xml:space="preserve"> </w:t>
      </w:r>
      <w:r>
        <w:rPr>
          <w:color w:val="231F20"/>
        </w:rPr>
        <w:t>in</w:t>
      </w:r>
      <w:r>
        <w:rPr>
          <w:color w:val="231F20"/>
          <w:spacing w:val="-6"/>
        </w:rPr>
        <w:t xml:space="preserve"> </w:t>
      </w:r>
      <w:r>
        <w:rPr>
          <w:color w:val="231F20"/>
        </w:rPr>
        <w:t>serious</w:t>
      </w:r>
      <w:r>
        <w:rPr>
          <w:color w:val="231F20"/>
          <w:spacing w:val="-6"/>
        </w:rPr>
        <w:t xml:space="preserve"> </w:t>
      </w:r>
      <w:r>
        <w:rPr>
          <w:color w:val="231F20"/>
        </w:rPr>
        <w:t>training</w:t>
      </w:r>
      <w:r>
        <w:rPr>
          <w:color w:val="231F20"/>
          <w:spacing w:val="-6"/>
        </w:rPr>
        <w:t xml:space="preserve"> </w:t>
      </w:r>
      <w:r>
        <w:rPr>
          <w:color w:val="231F20"/>
        </w:rPr>
        <w:t>schedules</w:t>
      </w:r>
      <w:r>
        <w:rPr>
          <w:color w:val="231F20"/>
          <w:spacing w:val="-6"/>
        </w:rPr>
        <w:t xml:space="preserve"> </w:t>
      </w:r>
      <w:r>
        <w:rPr>
          <w:color w:val="231F20"/>
        </w:rPr>
        <w:t>in</w:t>
      </w:r>
      <w:r>
        <w:rPr>
          <w:color w:val="231F20"/>
          <w:spacing w:val="-6"/>
        </w:rPr>
        <w:t xml:space="preserve"> </w:t>
      </w:r>
      <w:r>
        <w:rPr>
          <w:color w:val="231F20"/>
        </w:rPr>
        <w:t>preparation</w:t>
      </w:r>
      <w:r>
        <w:rPr>
          <w:color w:val="231F20"/>
          <w:spacing w:val="-6"/>
        </w:rPr>
        <w:t xml:space="preserve"> </w:t>
      </w:r>
      <w:r>
        <w:rPr>
          <w:color w:val="231F20"/>
        </w:rPr>
        <w:t xml:space="preserve">for </w:t>
      </w:r>
      <w:r>
        <w:rPr>
          <w:color w:val="231F20"/>
          <w:w w:val="95"/>
        </w:rPr>
        <w:t>their target events, but are self-referenced, as opposed to results orientated (Falcous, 2017) in their goals. Such events include sports such as mou</w:t>
      </w:r>
      <w:r>
        <w:rPr>
          <w:color w:val="231F20"/>
          <w:w w:val="95"/>
        </w:rPr>
        <w:t xml:space="preserve">ntain </w:t>
      </w:r>
      <w:r>
        <w:rPr>
          <w:color w:val="231F20"/>
        </w:rPr>
        <w:t xml:space="preserve">biking, triathlon and Ironman, which involve many participants who </w:t>
      </w:r>
      <w:r>
        <w:rPr>
          <w:color w:val="231F20"/>
          <w:w w:val="95"/>
        </w:rPr>
        <w:t xml:space="preserve">train, compete and measure their performance against themselves rather </w:t>
      </w:r>
      <w:r>
        <w:rPr>
          <w:color w:val="231F20"/>
        </w:rPr>
        <w:t>than against other competitors.</w:t>
      </w:r>
    </w:p>
    <w:p w14:paraId="175E11ED" w14:textId="77777777" w:rsidR="00AE0598" w:rsidRDefault="00AE0598">
      <w:pPr>
        <w:pStyle w:val="Corpodetexto"/>
        <w:spacing w:before="8"/>
        <w:rPr>
          <w:sz w:val="18"/>
        </w:rPr>
      </w:pPr>
    </w:p>
    <w:p w14:paraId="0EE27224" w14:textId="77777777" w:rsidR="00AE0598" w:rsidRDefault="0069255A">
      <w:pPr>
        <w:ind w:left="110"/>
        <w:jc w:val="both"/>
        <w:rPr>
          <w:rFonts w:ascii="Trebuchet MS"/>
          <w:b/>
          <w:sz w:val="20"/>
        </w:rPr>
      </w:pPr>
      <w:r>
        <w:rPr>
          <w:rFonts w:ascii="Trebuchet MS"/>
          <w:b/>
          <w:color w:val="231F20"/>
          <w:sz w:val="20"/>
        </w:rPr>
        <w:t>Active</w:t>
      </w:r>
      <w:r>
        <w:rPr>
          <w:rFonts w:ascii="Trebuchet MS"/>
          <w:b/>
          <w:color w:val="231F20"/>
          <w:spacing w:val="3"/>
          <w:sz w:val="20"/>
        </w:rPr>
        <w:t xml:space="preserve"> </w:t>
      </w:r>
      <w:r>
        <w:rPr>
          <w:rFonts w:ascii="Trebuchet MS"/>
          <w:b/>
          <w:color w:val="231F20"/>
          <w:sz w:val="20"/>
        </w:rPr>
        <w:t>Engagement</w:t>
      </w:r>
      <w:r>
        <w:rPr>
          <w:rFonts w:ascii="Trebuchet MS"/>
          <w:b/>
          <w:color w:val="231F20"/>
          <w:spacing w:val="4"/>
          <w:sz w:val="20"/>
        </w:rPr>
        <w:t xml:space="preserve"> </w:t>
      </w:r>
      <w:r>
        <w:rPr>
          <w:rFonts w:ascii="Trebuchet MS"/>
          <w:b/>
          <w:color w:val="231F20"/>
          <w:sz w:val="20"/>
        </w:rPr>
        <w:t>in</w:t>
      </w:r>
      <w:r>
        <w:rPr>
          <w:rFonts w:ascii="Trebuchet MS"/>
          <w:b/>
          <w:color w:val="231F20"/>
          <w:spacing w:val="4"/>
          <w:sz w:val="20"/>
        </w:rPr>
        <w:t xml:space="preserve"> </w:t>
      </w:r>
      <w:r>
        <w:rPr>
          <w:rFonts w:ascii="Trebuchet MS"/>
          <w:b/>
          <w:color w:val="231F20"/>
          <w:sz w:val="20"/>
        </w:rPr>
        <w:t>Recreational</w:t>
      </w:r>
      <w:r>
        <w:rPr>
          <w:rFonts w:ascii="Trebuchet MS"/>
          <w:b/>
          <w:color w:val="231F20"/>
          <w:spacing w:val="3"/>
          <w:sz w:val="20"/>
        </w:rPr>
        <w:t xml:space="preserve"> </w:t>
      </w:r>
      <w:r>
        <w:rPr>
          <w:rFonts w:ascii="Trebuchet MS"/>
          <w:b/>
          <w:color w:val="231F20"/>
          <w:spacing w:val="-4"/>
          <w:sz w:val="20"/>
        </w:rPr>
        <w:t>Sport</w:t>
      </w:r>
    </w:p>
    <w:p w14:paraId="204175AB" w14:textId="77777777" w:rsidR="00AE0598" w:rsidRDefault="0069255A">
      <w:pPr>
        <w:pStyle w:val="Corpodetexto"/>
        <w:spacing w:before="122" w:line="232" w:lineRule="auto"/>
        <w:ind w:left="110" w:right="127" w:firstLine="320"/>
        <w:jc w:val="both"/>
      </w:pPr>
      <w:r>
        <w:rPr>
          <w:color w:val="231F20"/>
        </w:rPr>
        <w:t xml:space="preserve">The active sport tourism market is constituted of individuals who </w:t>
      </w:r>
      <w:r>
        <w:rPr>
          <w:color w:val="231F20"/>
          <w:w w:val="95"/>
        </w:rPr>
        <w:t>pursue</w:t>
      </w:r>
      <w:r>
        <w:rPr>
          <w:color w:val="231F20"/>
          <w:spacing w:val="-9"/>
          <w:w w:val="95"/>
        </w:rPr>
        <w:t xml:space="preserve"> </w:t>
      </w:r>
      <w:r>
        <w:rPr>
          <w:color w:val="231F20"/>
          <w:w w:val="95"/>
        </w:rPr>
        <w:t>physical</w:t>
      </w:r>
      <w:r>
        <w:rPr>
          <w:color w:val="231F20"/>
          <w:spacing w:val="-9"/>
          <w:w w:val="95"/>
        </w:rPr>
        <w:t xml:space="preserve"> </w:t>
      </w:r>
      <w:r>
        <w:rPr>
          <w:color w:val="231F20"/>
          <w:w w:val="95"/>
        </w:rPr>
        <w:t>involvement</w:t>
      </w:r>
      <w:r>
        <w:rPr>
          <w:color w:val="231F20"/>
          <w:spacing w:val="-9"/>
          <w:w w:val="95"/>
        </w:rPr>
        <w:t xml:space="preserve"> </w:t>
      </w:r>
      <w:r>
        <w:rPr>
          <w:color w:val="231F20"/>
          <w:w w:val="95"/>
        </w:rPr>
        <w:t>in</w:t>
      </w:r>
      <w:r>
        <w:rPr>
          <w:color w:val="231F20"/>
          <w:spacing w:val="-9"/>
          <w:w w:val="95"/>
        </w:rPr>
        <w:t xml:space="preserve"> </w:t>
      </w:r>
      <w:r>
        <w:rPr>
          <w:color w:val="231F20"/>
          <w:w w:val="95"/>
        </w:rPr>
        <w:t>competitive</w:t>
      </w:r>
      <w:r>
        <w:rPr>
          <w:color w:val="231F20"/>
          <w:spacing w:val="-9"/>
          <w:w w:val="95"/>
        </w:rPr>
        <w:t xml:space="preserve"> </w:t>
      </w:r>
      <w:r>
        <w:rPr>
          <w:color w:val="231F20"/>
          <w:w w:val="95"/>
        </w:rPr>
        <w:t>or</w:t>
      </w:r>
      <w:r>
        <w:rPr>
          <w:color w:val="231F20"/>
          <w:spacing w:val="-9"/>
          <w:w w:val="95"/>
        </w:rPr>
        <w:t xml:space="preserve"> </w:t>
      </w:r>
      <w:r>
        <w:rPr>
          <w:color w:val="231F20"/>
          <w:w w:val="95"/>
        </w:rPr>
        <w:t>non-competitive</w:t>
      </w:r>
      <w:r>
        <w:rPr>
          <w:color w:val="231F20"/>
          <w:spacing w:val="-9"/>
          <w:w w:val="95"/>
        </w:rPr>
        <w:t xml:space="preserve"> </w:t>
      </w:r>
      <w:r>
        <w:rPr>
          <w:color w:val="231F20"/>
          <w:w w:val="95"/>
        </w:rPr>
        <w:t>sports</w:t>
      </w:r>
      <w:r>
        <w:rPr>
          <w:color w:val="231F20"/>
          <w:spacing w:val="-9"/>
          <w:w w:val="95"/>
        </w:rPr>
        <w:t xml:space="preserve"> </w:t>
      </w:r>
      <w:r>
        <w:rPr>
          <w:color w:val="231F20"/>
          <w:w w:val="95"/>
        </w:rPr>
        <w:t xml:space="preserve">while travelling. These engagements may be defined as ‘de-sportified’ in that they </w:t>
      </w:r>
      <w:r>
        <w:rPr>
          <w:color w:val="231F20"/>
        </w:rPr>
        <w:t>are</w:t>
      </w:r>
      <w:r>
        <w:rPr>
          <w:color w:val="231F20"/>
          <w:spacing w:val="-8"/>
        </w:rPr>
        <w:t xml:space="preserve"> </w:t>
      </w:r>
      <w:r>
        <w:rPr>
          <w:color w:val="231F20"/>
        </w:rPr>
        <w:t>‘loosely</w:t>
      </w:r>
      <w:r>
        <w:rPr>
          <w:color w:val="231F20"/>
          <w:spacing w:val="-8"/>
        </w:rPr>
        <w:t xml:space="preserve"> </w:t>
      </w:r>
      <w:r>
        <w:rPr>
          <w:color w:val="231F20"/>
        </w:rPr>
        <w:t>structured,</w:t>
      </w:r>
      <w:r>
        <w:rPr>
          <w:color w:val="231F20"/>
          <w:spacing w:val="-8"/>
        </w:rPr>
        <w:t xml:space="preserve"> </w:t>
      </w:r>
      <w:r>
        <w:rPr>
          <w:color w:val="231F20"/>
        </w:rPr>
        <w:t>non-competiti</w:t>
      </w:r>
      <w:r>
        <w:rPr>
          <w:color w:val="231F20"/>
        </w:rPr>
        <w:t>ve,</w:t>
      </w:r>
      <w:r>
        <w:rPr>
          <w:color w:val="231F20"/>
          <w:spacing w:val="-8"/>
        </w:rPr>
        <w:t xml:space="preserve"> </w:t>
      </w:r>
      <w:r>
        <w:rPr>
          <w:color w:val="231F20"/>
        </w:rPr>
        <w:t>and</w:t>
      </w:r>
      <w:r>
        <w:rPr>
          <w:color w:val="231F20"/>
          <w:spacing w:val="-8"/>
        </w:rPr>
        <w:t xml:space="preserve"> </w:t>
      </w:r>
      <w:r>
        <w:rPr>
          <w:color w:val="231F20"/>
        </w:rPr>
        <w:t>social</w:t>
      </w:r>
      <w:r>
        <w:rPr>
          <w:color w:val="231F20"/>
          <w:spacing w:val="-8"/>
        </w:rPr>
        <w:t xml:space="preserve"> </w:t>
      </w:r>
      <w:r>
        <w:rPr>
          <w:color w:val="231F20"/>
        </w:rPr>
        <w:t>connective’</w:t>
      </w:r>
      <w:r>
        <w:rPr>
          <w:color w:val="231F20"/>
          <w:spacing w:val="-8"/>
        </w:rPr>
        <w:t xml:space="preserve"> </w:t>
      </w:r>
      <w:r>
        <w:rPr>
          <w:color w:val="231F20"/>
        </w:rPr>
        <w:t xml:space="preserve">(Falcous, </w:t>
      </w:r>
      <w:r>
        <w:rPr>
          <w:color w:val="231F20"/>
          <w:spacing w:val="-2"/>
        </w:rPr>
        <w:t>2017:</w:t>
      </w:r>
      <w:r>
        <w:rPr>
          <w:color w:val="231F20"/>
          <w:spacing w:val="-6"/>
        </w:rPr>
        <w:t xml:space="preserve"> </w:t>
      </w:r>
      <w:r>
        <w:rPr>
          <w:color w:val="231F20"/>
          <w:spacing w:val="-2"/>
        </w:rPr>
        <w:t>1).</w:t>
      </w:r>
      <w:r>
        <w:rPr>
          <w:color w:val="231F20"/>
          <w:spacing w:val="-6"/>
        </w:rPr>
        <w:t xml:space="preserve"> </w:t>
      </w:r>
      <w:r>
        <w:rPr>
          <w:color w:val="231F20"/>
          <w:spacing w:val="-2"/>
        </w:rPr>
        <w:t>A</w:t>
      </w:r>
      <w:r>
        <w:rPr>
          <w:color w:val="231F20"/>
          <w:spacing w:val="-6"/>
        </w:rPr>
        <w:t xml:space="preserve"> </w:t>
      </w:r>
      <w:r>
        <w:rPr>
          <w:color w:val="231F20"/>
          <w:spacing w:val="-2"/>
        </w:rPr>
        <w:t>number</w:t>
      </w:r>
      <w:r>
        <w:rPr>
          <w:color w:val="231F20"/>
          <w:spacing w:val="-6"/>
        </w:rPr>
        <w:t xml:space="preserve"> </w:t>
      </w:r>
      <w:r>
        <w:rPr>
          <w:color w:val="231F20"/>
          <w:spacing w:val="-2"/>
        </w:rPr>
        <w:t>of</w:t>
      </w:r>
      <w:r>
        <w:rPr>
          <w:color w:val="231F20"/>
        </w:rPr>
        <w:t xml:space="preserve"> </w:t>
      </w:r>
      <w:r>
        <w:rPr>
          <w:color w:val="231F20"/>
          <w:spacing w:val="-2"/>
        </w:rPr>
        <w:t>published</w:t>
      </w:r>
      <w:r>
        <w:rPr>
          <w:color w:val="231F20"/>
          <w:spacing w:val="-6"/>
        </w:rPr>
        <w:t xml:space="preserve"> </w:t>
      </w:r>
      <w:r>
        <w:rPr>
          <w:color w:val="231F20"/>
          <w:spacing w:val="-2"/>
        </w:rPr>
        <w:t>articles</w:t>
      </w:r>
      <w:r>
        <w:rPr>
          <w:color w:val="231F20"/>
          <w:spacing w:val="-6"/>
        </w:rPr>
        <w:t xml:space="preserve"> </w:t>
      </w:r>
      <w:r>
        <w:rPr>
          <w:color w:val="231F20"/>
          <w:spacing w:val="-2"/>
        </w:rPr>
        <w:t>examine</w:t>
      </w:r>
      <w:r>
        <w:rPr>
          <w:color w:val="231F20"/>
          <w:spacing w:val="-6"/>
        </w:rPr>
        <w:t xml:space="preserve"> </w:t>
      </w:r>
      <w:r>
        <w:rPr>
          <w:color w:val="231F20"/>
          <w:spacing w:val="-2"/>
        </w:rPr>
        <w:t>the</w:t>
      </w:r>
      <w:r>
        <w:rPr>
          <w:color w:val="231F20"/>
          <w:spacing w:val="-6"/>
        </w:rPr>
        <w:t xml:space="preserve"> </w:t>
      </w:r>
      <w:r>
        <w:rPr>
          <w:color w:val="231F20"/>
          <w:spacing w:val="-2"/>
        </w:rPr>
        <w:t>active</w:t>
      </w:r>
      <w:r>
        <w:rPr>
          <w:color w:val="231F20"/>
          <w:spacing w:val="-6"/>
        </w:rPr>
        <w:t xml:space="preserve"> </w:t>
      </w:r>
      <w:r>
        <w:rPr>
          <w:color w:val="231F20"/>
          <w:spacing w:val="-2"/>
        </w:rPr>
        <w:t>sport</w:t>
      </w:r>
      <w:r>
        <w:rPr>
          <w:color w:val="231F20"/>
          <w:spacing w:val="-6"/>
        </w:rPr>
        <w:t xml:space="preserve"> </w:t>
      </w:r>
      <w:r>
        <w:rPr>
          <w:color w:val="231F20"/>
          <w:spacing w:val="-2"/>
        </w:rPr>
        <w:t xml:space="preserve">tourism </w:t>
      </w:r>
      <w:r>
        <w:rPr>
          <w:color w:val="231F20"/>
        </w:rPr>
        <w:t xml:space="preserve">market (Funk &amp; Bruun, 2007; Getz &amp; McConnell, 2011; Gillett &amp; Kelly, 2006; Green &amp; Chalip, 1998; Shipway &amp; Jones, 2007; Yusof &amp; Douvis, </w:t>
      </w:r>
      <w:r>
        <w:rPr>
          <w:color w:val="231F20"/>
          <w:w w:val="95"/>
        </w:rPr>
        <w:t>2001). However, Gibson (1998a: 53) notes that active sport tourism market research is generally ‘scarce, usually descrip</w:t>
      </w:r>
      <w:r>
        <w:rPr>
          <w:color w:val="231F20"/>
          <w:w w:val="95"/>
        </w:rPr>
        <w:t xml:space="preserve">tive and typically atheoretical’. In 1992, Yiannakis and Gibson introduced the term ‘sportlover’ to describe </w:t>
      </w:r>
      <w:r>
        <w:rPr>
          <w:color w:val="231F20"/>
        </w:rPr>
        <w:t>the</w:t>
      </w:r>
      <w:r>
        <w:rPr>
          <w:color w:val="231F20"/>
          <w:spacing w:val="-10"/>
        </w:rPr>
        <w:t xml:space="preserve"> </w:t>
      </w:r>
      <w:r>
        <w:rPr>
          <w:color w:val="231F20"/>
        </w:rPr>
        <w:t>growing</w:t>
      </w:r>
      <w:r>
        <w:rPr>
          <w:color w:val="231F20"/>
          <w:spacing w:val="-10"/>
        </w:rPr>
        <w:t xml:space="preserve"> </w:t>
      </w:r>
      <w:r>
        <w:rPr>
          <w:color w:val="231F20"/>
        </w:rPr>
        <w:t>travel</w:t>
      </w:r>
      <w:r>
        <w:rPr>
          <w:color w:val="231F20"/>
          <w:spacing w:val="-10"/>
        </w:rPr>
        <w:t xml:space="preserve"> </w:t>
      </w:r>
      <w:r>
        <w:rPr>
          <w:color w:val="231F20"/>
        </w:rPr>
        <w:t>market</w:t>
      </w:r>
      <w:r>
        <w:rPr>
          <w:color w:val="231F20"/>
          <w:spacing w:val="-10"/>
        </w:rPr>
        <w:t xml:space="preserve"> </w:t>
      </w:r>
      <w:r>
        <w:rPr>
          <w:color w:val="231F20"/>
        </w:rPr>
        <w:t>represented</w:t>
      </w:r>
      <w:r>
        <w:rPr>
          <w:color w:val="231F20"/>
          <w:spacing w:val="-10"/>
        </w:rPr>
        <w:t xml:space="preserve"> </w:t>
      </w:r>
      <w:r>
        <w:rPr>
          <w:color w:val="231F20"/>
        </w:rPr>
        <w:t>by</w:t>
      </w:r>
      <w:r>
        <w:rPr>
          <w:color w:val="231F20"/>
          <w:spacing w:val="-10"/>
        </w:rPr>
        <w:t xml:space="preserve"> </w:t>
      </w:r>
      <w:r>
        <w:rPr>
          <w:color w:val="231F20"/>
        </w:rPr>
        <w:t>individuals</w:t>
      </w:r>
      <w:r>
        <w:rPr>
          <w:color w:val="231F20"/>
          <w:spacing w:val="-10"/>
        </w:rPr>
        <w:t xml:space="preserve"> </w:t>
      </w:r>
      <w:r>
        <w:rPr>
          <w:color w:val="231F20"/>
        </w:rPr>
        <w:t>who</w:t>
      </w:r>
      <w:r>
        <w:rPr>
          <w:color w:val="231F20"/>
          <w:spacing w:val="-10"/>
        </w:rPr>
        <w:t xml:space="preserve"> </w:t>
      </w:r>
      <w:r>
        <w:rPr>
          <w:color w:val="231F20"/>
        </w:rPr>
        <w:t>are</w:t>
      </w:r>
      <w:r>
        <w:rPr>
          <w:color w:val="231F20"/>
          <w:spacing w:val="-10"/>
        </w:rPr>
        <w:t xml:space="preserve"> </w:t>
      </w:r>
      <w:r>
        <w:rPr>
          <w:color w:val="231F20"/>
        </w:rPr>
        <w:t xml:space="preserve">physically </w:t>
      </w:r>
      <w:r>
        <w:rPr>
          <w:color w:val="231F20"/>
          <w:spacing w:val="-2"/>
        </w:rPr>
        <w:t>active</w:t>
      </w:r>
      <w:r>
        <w:rPr>
          <w:color w:val="231F20"/>
          <w:spacing w:val="-4"/>
        </w:rPr>
        <w:t xml:space="preserve"> </w:t>
      </w:r>
      <w:r>
        <w:rPr>
          <w:color w:val="231F20"/>
          <w:spacing w:val="-2"/>
        </w:rPr>
        <w:t>and</w:t>
      </w:r>
      <w:r>
        <w:rPr>
          <w:color w:val="231F20"/>
          <w:spacing w:val="-4"/>
        </w:rPr>
        <w:t xml:space="preserve"> </w:t>
      </w:r>
      <w:r>
        <w:rPr>
          <w:color w:val="231F20"/>
          <w:spacing w:val="-2"/>
        </w:rPr>
        <w:t>prefer</w:t>
      </w:r>
      <w:r>
        <w:rPr>
          <w:color w:val="231F20"/>
          <w:spacing w:val="-4"/>
        </w:rPr>
        <w:t xml:space="preserve"> </w:t>
      </w:r>
      <w:r>
        <w:rPr>
          <w:color w:val="231F20"/>
          <w:spacing w:val="-2"/>
        </w:rPr>
        <w:t>to</w:t>
      </w:r>
      <w:r>
        <w:rPr>
          <w:color w:val="231F20"/>
          <w:spacing w:val="-4"/>
        </w:rPr>
        <w:t xml:space="preserve"> </w:t>
      </w:r>
      <w:r>
        <w:rPr>
          <w:color w:val="231F20"/>
          <w:spacing w:val="-2"/>
        </w:rPr>
        <w:t>remain</w:t>
      </w:r>
      <w:r>
        <w:rPr>
          <w:color w:val="231F20"/>
          <w:spacing w:val="-4"/>
        </w:rPr>
        <w:t xml:space="preserve"> </w:t>
      </w:r>
      <w:r>
        <w:rPr>
          <w:color w:val="231F20"/>
          <w:spacing w:val="-2"/>
        </w:rPr>
        <w:t>so</w:t>
      </w:r>
      <w:r>
        <w:rPr>
          <w:color w:val="231F20"/>
          <w:spacing w:val="-4"/>
        </w:rPr>
        <w:t xml:space="preserve"> </w:t>
      </w:r>
      <w:r>
        <w:rPr>
          <w:color w:val="231F20"/>
          <w:spacing w:val="-2"/>
        </w:rPr>
        <w:t>while</w:t>
      </w:r>
      <w:r>
        <w:rPr>
          <w:color w:val="231F20"/>
          <w:spacing w:val="-4"/>
        </w:rPr>
        <w:t xml:space="preserve"> </w:t>
      </w:r>
      <w:r>
        <w:rPr>
          <w:color w:val="231F20"/>
          <w:spacing w:val="-2"/>
        </w:rPr>
        <w:t>traveling</w:t>
      </w:r>
      <w:r>
        <w:rPr>
          <w:color w:val="231F20"/>
          <w:spacing w:val="-4"/>
        </w:rPr>
        <w:t xml:space="preserve"> </w:t>
      </w:r>
      <w:r>
        <w:rPr>
          <w:color w:val="231F20"/>
          <w:spacing w:val="-2"/>
        </w:rPr>
        <w:t>for</w:t>
      </w:r>
      <w:r>
        <w:rPr>
          <w:color w:val="231F20"/>
          <w:spacing w:val="-4"/>
        </w:rPr>
        <w:t xml:space="preserve"> </w:t>
      </w:r>
      <w:r>
        <w:rPr>
          <w:color w:val="231F20"/>
          <w:spacing w:val="-2"/>
        </w:rPr>
        <w:t>business</w:t>
      </w:r>
      <w:r>
        <w:rPr>
          <w:color w:val="231F20"/>
          <w:spacing w:val="-4"/>
        </w:rPr>
        <w:t xml:space="preserve"> </w:t>
      </w:r>
      <w:r>
        <w:rPr>
          <w:color w:val="231F20"/>
          <w:spacing w:val="-2"/>
        </w:rPr>
        <w:t>and/or</w:t>
      </w:r>
      <w:r>
        <w:rPr>
          <w:color w:val="231F20"/>
          <w:spacing w:val="-4"/>
        </w:rPr>
        <w:t xml:space="preserve"> </w:t>
      </w:r>
      <w:r>
        <w:rPr>
          <w:color w:val="231F20"/>
          <w:spacing w:val="-2"/>
        </w:rPr>
        <w:t>leisure.</w:t>
      </w:r>
      <w:r>
        <w:rPr>
          <w:color w:val="231F20"/>
          <w:spacing w:val="-2"/>
        </w:rPr>
        <w:t xml:space="preserve"> </w:t>
      </w:r>
      <w:r>
        <w:rPr>
          <w:color w:val="231F20"/>
          <w:w w:val="95"/>
        </w:rPr>
        <w:t xml:space="preserve">This includes the established markets of tourists who pursue sport activity </w:t>
      </w:r>
      <w:r>
        <w:rPr>
          <w:color w:val="231F20"/>
          <w:spacing w:val="-2"/>
          <w:w w:val="95"/>
        </w:rPr>
        <w:t>holidays</w:t>
      </w:r>
      <w:r>
        <w:rPr>
          <w:color w:val="231F20"/>
          <w:spacing w:val="-3"/>
          <w:w w:val="95"/>
        </w:rPr>
        <w:t xml:space="preserve"> </w:t>
      </w:r>
      <w:r>
        <w:rPr>
          <w:color w:val="231F20"/>
          <w:spacing w:val="-2"/>
          <w:w w:val="95"/>
        </w:rPr>
        <w:t>(e.g.</w:t>
      </w:r>
      <w:r>
        <w:rPr>
          <w:color w:val="231F20"/>
          <w:spacing w:val="-3"/>
          <w:w w:val="95"/>
        </w:rPr>
        <w:t xml:space="preserve"> </w:t>
      </w:r>
      <w:r>
        <w:rPr>
          <w:color w:val="231F20"/>
          <w:spacing w:val="-2"/>
          <w:w w:val="95"/>
        </w:rPr>
        <w:t>skiing</w:t>
      </w:r>
      <w:r>
        <w:rPr>
          <w:color w:val="231F20"/>
          <w:spacing w:val="-3"/>
          <w:w w:val="95"/>
        </w:rPr>
        <w:t xml:space="preserve"> </w:t>
      </w:r>
      <w:r>
        <w:rPr>
          <w:color w:val="231F20"/>
          <w:spacing w:val="-2"/>
          <w:w w:val="95"/>
        </w:rPr>
        <w:t>and</w:t>
      </w:r>
      <w:r>
        <w:rPr>
          <w:color w:val="231F20"/>
          <w:spacing w:val="-3"/>
          <w:w w:val="95"/>
        </w:rPr>
        <w:t xml:space="preserve"> </w:t>
      </w:r>
      <w:r>
        <w:rPr>
          <w:color w:val="231F20"/>
          <w:spacing w:val="-2"/>
          <w:w w:val="95"/>
        </w:rPr>
        <w:t>snowboarding),</w:t>
      </w:r>
      <w:r>
        <w:rPr>
          <w:color w:val="231F20"/>
          <w:spacing w:val="-3"/>
          <w:w w:val="95"/>
        </w:rPr>
        <w:t xml:space="preserve"> </w:t>
      </w:r>
      <w:r>
        <w:rPr>
          <w:color w:val="231F20"/>
          <w:spacing w:val="-2"/>
          <w:w w:val="95"/>
        </w:rPr>
        <w:t>and</w:t>
      </w:r>
      <w:r>
        <w:rPr>
          <w:color w:val="231F20"/>
          <w:spacing w:val="-3"/>
          <w:w w:val="95"/>
        </w:rPr>
        <w:t xml:space="preserve"> </w:t>
      </w:r>
      <w:r>
        <w:rPr>
          <w:color w:val="231F20"/>
          <w:spacing w:val="-2"/>
          <w:w w:val="95"/>
        </w:rPr>
        <w:t>those</w:t>
      </w:r>
      <w:r>
        <w:rPr>
          <w:color w:val="231F20"/>
          <w:spacing w:val="-3"/>
          <w:w w:val="95"/>
        </w:rPr>
        <w:t xml:space="preserve"> </w:t>
      </w:r>
      <w:r>
        <w:rPr>
          <w:color w:val="231F20"/>
          <w:spacing w:val="-2"/>
          <w:w w:val="95"/>
        </w:rPr>
        <w:t>who</w:t>
      </w:r>
      <w:r>
        <w:rPr>
          <w:color w:val="231F20"/>
          <w:spacing w:val="-3"/>
          <w:w w:val="95"/>
        </w:rPr>
        <w:t xml:space="preserve"> </w:t>
      </w:r>
      <w:r>
        <w:rPr>
          <w:color w:val="231F20"/>
          <w:spacing w:val="-2"/>
          <w:w w:val="95"/>
        </w:rPr>
        <w:t>engage</w:t>
      </w:r>
      <w:r>
        <w:rPr>
          <w:color w:val="231F20"/>
          <w:spacing w:val="-3"/>
          <w:w w:val="95"/>
        </w:rPr>
        <w:t xml:space="preserve"> </w:t>
      </w:r>
      <w:r>
        <w:rPr>
          <w:color w:val="231F20"/>
          <w:spacing w:val="-2"/>
          <w:w w:val="95"/>
        </w:rPr>
        <w:t xml:space="preserve">recreationally </w:t>
      </w:r>
      <w:r>
        <w:rPr>
          <w:color w:val="231F20"/>
        </w:rPr>
        <w:t>in</w:t>
      </w:r>
      <w:r>
        <w:rPr>
          <w:color w:val="231F20"/>
          <w:spacing w:val="-1"/>
        </w:rPr>
        <w:t xml:space="preserve"> </w:t>
      </w:r>
      <w:r>
        <w:rPr>
          <w:color w:val="231F20"/>
        </w:rPr>
        <w:t>sports</w:t>
      </w:r>
      <w:r>
        <w:rPr>
          <w:color w:val="231F20"/>
          <w:spacing w:val="-1"/>
        </w:rPr>
        <w:t xml:space="preserve"> </w:t>
      </w:r>
      <w:r>
        <w:rPr>
          <w:color w:val="231F20"/>
        </w:rPr>
        <w:t>activities</w:t>
      </w:r>
      <w:r>
        <w:rPr>
          <w:color w:val="231F20"/>
          <w:spacing w:val="-1"/>
        </w:rPr>
        <w:t xml:space="preserve"> </w:t>
      </w:r>
      <w:r>
        <w:rPr>
          <w:color w:val="231F20"/>
        </w:rPr>
        <w:t>while</w:t>
      </w:r>
      <w:r>
        <w:rPr>
          <w:color w:val="231F20"/>
          <w:spacing w:val="-1"/>
        </w:rPr>
        <w:t xml:space="preserve"> </w:t>
      </w:r>
      <w:r>
        <w:rPr>
          <w:color w:val="231F20"/>
        </w:rPr>
        <w:t>on</w:t>
      </w:r>
      <w:r>
        <w:rPr>
          <w:color w:val="231F20"/>
          <w:spacing w:val="-1"/>
        </w:rPr>
        <w:t xml:space="preserve"> </w:t>
      </w:r>
      <w:r>
        <w:rPr>
          <w:color w:val="231F20"/>
        </w:rPr>
        <w:t>holiday</w:t>
      </w:r>
      <w:r>
        <w:rPr>
          <w:color w:val="231F20"/>
          <w:spacing w:val="-1"/>
        </w:rPr>
        <w:t xml:space="preserve"> </w:t>
      </w:r>
      <w:r>
        <w:rPr>
          <w:color w:val="231F20"/>
        </w:rPr>
        <w:t>(Standeven</w:t>
      </w:r>
      <w:r>
        <w:rPr>
          <w:color w:val="231F20"/>
          <w:spacing w:val="-1"/>
        </w:rPr>
        <w:t xml:space="preserve"> </w:t>
      </w:r>
      <w:r>
        <w:rPr>
          <w:color w:val="231F20"/>
        </w:rPr>
        <w:t>&amp;</w:t>
      </w:r>
      <w:r>
        <w:rPr>
          <w:color w:val="231F20"/>
          <w:spacing w:val="-1"/>
        </w:rPr>
        <w:t xml:space="preserve"> </w:t>
      </w:r>
      <w:r>
        <w:rPr>
          <w:color w:val="231F20"/>
        </w:rPr>
        <w:t>De</w:t>
      </w:r>
      <w:r>
        <w:rPr>
          <w:color w:val="231F20"/>
          <w:spacing w:val="-1"/>
        </w:rPr>
        <w:t xml:space="preserve"> </w:t>
      </w:r>
      <w:r>
        <w:rPr>
          <w:color w:val="231F20"/>
        </w:rPr>
        <w:t>Knop,</w:t>
      </w:r>
      <w:r>
        <w:rPr>
          <w:color w:val="231F20"/>
          <w:spacing w:val="-1"/>
        </w:rPr>
        <w:t xml:space="preserve"> </w:t>
      </w:r>
      <w:r>
        <w:rPr>
          <w:color w:val="231F20"/>
        </w:rPr>
        <w:t>1999).</w:t>
      </w:r>
      <w:r>
        <w:rPr>
          <w:color w:val="231F20"/>
          <w:spacing w:val="-1"/>
        </w:rPr>
        <w:t xml:space="preserve"> </w:t>
      </w:r>
      <w:r>
        <w:rPr>
          <w:color w:val="231F20"/>
        </w:rPr>
        <w:t>More significant,</w:t>
      </w:r>
      <w:r>
        <w:rPr>
          <w:color w:val="231F20"/>
          <w:spacing w:val="-12"/>
        </w:rPr>
        <w:t xml:space="preserve"> </w:t>
      </w:r>
      <w:r>
        <w:rPr>
          <w:color w:val="231F20"/>
        </w:rPr>
        <w:t>perhaps,</w:t>
      </w:r>
      <w:r>
        <w:rPr>
          <w:color w:val="231F20"/>
          <w:spacing w:val="-12"/>
        </w:rPr>
        <w:t xml:space="preserve"> </w:t>
      </w:r>
      <w:r>
        <w:rPr>
          <w:color w:val="231F20"/>
        </w:rPr>
        <w:t>is</w:t>
      </w:r>
      <w:r>
        <w:rPr>
          <w:color w:val="231F20"/>
          <w:spacing w:val="-11"/>
        </w:rPr>
        <w:t xml:space="preserve"> </w:t>
      </w:r>
      <w:r>
        <w:rPr>
          <w:color w:val="231F20"/>
        </w:rPr>
        <w:t>the</w:t>
      </w:r>
      <w:r>
        <w:rPr>
          <w:color w:val="231F20"/>
          <w:spacing w:val="-12"/>
        </w:rPr>
        <w:t xml:space="preserve"> </w:t>
      </w:r>
      <w:r>
        <w:rPr>
          <w:color w:val="231F20"/>
        </w:rPr>
        <w:t>growth</w:t>
      </w:r>
      <w:r>
        <w:rPr>
          <w:color w:val="231F20"/>
          <w:spacing w:val="-11"/>
        </w:rPr>
        <w:t xml:space="preserve"> </w:t>
      </w:r>
      <w:r>
        <w:rPr>
          <w:color w:val="231F20"/>
        </w:rPr>
        <w:t>in</w:t>
      </w:r>
      <w:r>
        <w:rPr>
          <w:color w:val="231F20"/>
          <w:spacing w:val="-12"/>
        </w:rPr>
        <w:t xml:space="preserve"> </w:t>
      </w:r>
      <w:r>
        <w:rPr>
          <w:color w:val="231F20"/>
        </w:rPr>
        <w:t>tourism</w:t>
      </w:r>
      <w:r>
        <w:rPr>
          <w:color w:val="231F20"/>
          <w:spacing w:val="-11"/>
        </w:rPr>
        <w:t xml:space="preserve"> </w:t>
      </w:r>
      <w:r>
        <w:rPr>
          <w:color w:val="231F20"/>
        </w:rPr>
        <w:t>phenomena</w:t>
      </w:r>
      <w:r>
        <w:rPr>
          <w:color w:val="231F20"/>
          <w:spacing w:val="-12"/>
        </w:rPr>
        <w:t xml:space="preserve"> </w:t>
      </w:r>
      <w:r>
        <w:rPr>
          <w:color w:val="231F20"/>
        </w:rPr>
        <w:t>associated</w:t>
      </w:r>
      <w:r>
        <w:rPr>
          <w:color w:val="231F20"/>
          <w:spacing w:val="-12"/>
        </w:rPr>
        <w:t xml:space="preserve"> </w:t>
      </w:r>
      <w:r>
        <w:rPr>
          <w:color w:val="231F20"/>
        </w:rPr>
        <w:t>with those</w:t>
      </w:r>
      <w:r>
        <w:rPr>
          <w:color w:val="231F20"/>
          <w:spacing w:val="-5"/>
        </w:rPr>
        <w:t xml:space="preserve"> </w:t>
      </w:r>
      <w:r>
        <w:rPr>
          <w:color w:val="231F20"/>
        </w:rPr>
        <w:t>who</w:t>
      </w:r>
      <w:r>
        <w:rPr>
          <w:color w:val="231F20"/>
          <w:spacing w:val="-5"/>
        </w:rPr>
        <w:t xml:space="preserve"> </w:t>
      </w:r>
      <w:r>
        <w:rPr>
          <w:color w:val="231F20"/>
        </w:rPr>
        <w:t>are</w:t>
      </w:r>
      <w:r>
        <w:rPr>
          <w:color w:val="231F20"/>
          <w:spacing w:val="-5"/>
        </w:rPr>
        <w:t xml:space="preserve"> </w:t>
      </w:r>
      <w:r>
        <w:rPr>
          <w:color w:val="231F20"/>
        </w:rPr>
        <w:t>motivated</w:t>
      </w:r>
      <w:r>
        <w:rPr>
          <w:color w:val="231F20"/>
          <w:spacing w:val="-5"/>
        </w:rPr>
        <w:t xml:space="preserve"> </w:t>
      </w:r>
      <w:r>
        <w:rPr>
          <w:color w:val="231F20"/>
        </w:rPr>
        <w:t>to</w:t>
      </w:r>
      <w:r>
        <w:rPr>
          <w:color w:val="231F20"/>
          <w:spacing w:val="-5"/>
        </w:rPr>
        <w:t xml:space="preserve"> </w:t>
      </w:r>
      <w:r>
        <w:rPr>
          <w:color w:val="231F20"/>
        </w:rPr>
        <w:t>travel</w:t>
      </w:r>
      <w:r>
        <w:rPr>
          <w:color w:val="231F20"/>
          <w:spacing w:val="-5"/>
        </w:rPr>
        <w:t xml:space="preserve"> </w:t>
      </w:r>
      <w:r>
        <w:rPr>
          <w:color w:val="231F20"/>
        </w:rPr>
        <w:t>to</w:t>
      </w:r>
      <w:r>
        <w:rPr>
          <w:color w:val="231F20"/>
          <w:spacing w:val="-5"/>
        </w:rPr>
        <w:t xml:space="preserve"> </w:t>
      </w:r>
      <w:r>
        <w:rPr>
          <w:color w:val="231F20"/>
        </w:rPr>
        <w:t>specific</w:t>
      </w:r>
      <w:r>
        <w:rPr>
          <w:color w:val="231F20"/>
          <w:spacing w:val="-5"/>
        </w:rPr>
        <w:t xml:space="preserve"> </w:t>
      </w:r>
      <w:r>
        <w:rPr>
          <w:color w:val="231F20"/>
        </w:rPr>
        <w:t>locations</w:t>
      </w:r>
      <w:r>
        <w:rPr>
          <w:color w:val="231F20"/>
          <w:spacing w:val="-5"/>
        </w:rPr>
        <w:t xml:space="preserve"> </w:t>
      </w:r>
      <w:r>
        <w:rPr>
          <w:color w:val="231F20"/>
        </w:rPr>
        <w:t>to</w:t>
      </w:r>
      <w:r>
        <w:rPr>
          <w:color w:val="231F20"/>
          <w:spacing w:val="-5"/>
        </w:rPr>
        <w:t xml:space="preserve"> </w:t>
      </w:r>
      <w:r>
        <w:rPr>
          <w:color w:val="231F20"/>
        </w:rPr>
        <w:t>actively</w:t>
      </w:r>
      <w:r>
        <w:rPr>
          <w:color w:val="231F20"/>
          <w:spacing w:val="-5"/>
        </w:rPr>
        <w:t xml:space="preserve"> </w:t>
      </w:r>
      <w:r>
        <w:rPr>
          <w:color w:val="231F20"/>
        </w:rPr>
        <w:t>engage in</w:t>
      </w:r>
      <w:r>
        <w:rPr>
          <w:color w:val="231F20"/>
          <w:spacing w:val="-4"/>
        </w:rPr>
        <w:t xml:space="preserve"> </w:t>
      </w:r>
      <w:r>
        <w:rPr>
          <w:color w:val="231F20"/>
        </w:rPr>
        <w:t>their</w:t>
      </w:r>
      <w:r>
        <w:rPr>
          <w:color w:val="231F20"/>
          <w:spacing w:val="-4"/>
        </w:rPr>
        <w:t xml:space="preserve"> </w:t>
      </w:r>
      <w:r>
        <w:rPr>
          <w:color w:val="231F20"/>
        </w:rPr>
        <w:t>sporting</w:t>
      </w:r>
      <w:r>
        <w:rPr>
          <w:color w:val="231F20"/>
          <w:spacing w:val="-4"/>
        </w:rPr>
        <w:t xml:space="preserve"> </w:t>
      </w:r>
      <w:r>
        <w:rPr>
          <w:color w:val="231F20"/>
        </w:rPr>
        <w:t>passions.</w:t>
      </w:r>
      <w:r>
        <w:rPr>
          <w:color w:val="231F20"/>
          <w:spacing w:val="-4"/>
        </w:rPr>
        <w:t xml:space="preserve"> </w:t>
      </w:r>
      <w:r>
        <w:rPr>
          <w:color w:val="231F20"/>
        </w:rPr>
        <w:t>These</w:t>
      </w:r>
      <w:r>
        <w:rPr>
          <w:color w:val="231F20"/>
          <w:spacing w:val="-4"/>
        </w:rPr>
        <w:t xml:space="preserve"> </w:t>
      </w:r>
      <w:r>
        <w:rPr>
          <w:color w:val="231F20"/>
        </w:rPr>
        <w:t>active</w:t>
      </w:r>
      <w:r>
        <w:rPr>
          <w:color w:val="231F20"/>
          <w:spacing w:val="-4"/>
        </w:rPr>
        <w:t xml:space="preserve"> </w:t>
      </w:r>
      <w:r>
        <w:rPr>
          <w:color w:val="231F20"/>
        </w:rPr>
        <w:t>participants</w:t>
      </w:r>
      <w:r>
        <w:rPr>
          <w:color w:val="231F20"/>
          <w:spacing w:val="-4"/>
        </w:rPr>
        <w:t xml:space="preserve"> </w:t>
      </w:r>
      <w:r>
        <w:rPr>
          <w:color w:val="231F20"/>
        </w:rPr>
        <w:t>may</w:t>
      </w:r>
      <w:r>
        <w:rPr>
          <w:color w:val="231F20"/>
          <w:spacing w:val="-4"/>
        </w:rPr>
        <w:t xml:space="preserve"> </w:t>
      </w:r>
      <w:r>
        <w:rPr>
          <w:color w:val="231F20"/>
        </w:rPr>
        <w:t>engage</w:t>
      </w:r>
      <w:r>
        <w:rPr>
          <w:color w:val="231F20"/>
          <w:spacing w:val="-4"/>
        </w:rPr>
        <w:t xml:space="preserve"> </w:t>
      </w:r>
      <w:r>
        <w:rPr>
          <w:color w:val="231F20"/>
        </w:rPr>
        <w:t>in</w:t>
      </w:r>
      <w:r>
        <w:rPr>
          <w:color w:val="231F20"/>
          <w:spacing w:val="-4"/>
        </w:rPr>
        <w:t xml:space="preserve"> </w:t>
      </w:r>
      <w:r>
        <w:rPr>
          <w:color w:val="231F20"/>
        </w:rPr>
        <w:t>sport to</w:t>
      </w:r>
      <w:r>
        <w:rPr>
          <w:color w:val="231F20"/>
          <w:spacing w:val="43"/>
        </w:rPr>
        <w:t xml:space="preserve"> </w:t>
      </w:r>
      <w:r>
        <w:rPr>
          <w:color w:val="231F20"/>
        </w:rPr>
        <w:t>develop</w:t>
      </w:r>
      <w:r>
        <w:rPr>
          <w:color w:val="231F20"/>
          <w:spacing w:val="43"/>
        </w:rPr>
        <w:t xml:space="preserve"> </w:t>
      </w:r>
      <w:r>
        <w:rPr>
          <w:color w:val="231F20"/>
        </w:rPr>
        <w:t>their</w:t>
      </w:r>
      <w:r>
        <w:rPr>
          <w:color w:val="231F20"/>
          <w:spacing w:val="43"/>
        </w:rPr>
        <w:t xml:space="preserve"> </w:t>
      </w:r>
      <w:r>
        <w:rPr>
          <w:color w:val="231F20"/>
        </w:rPr>
        <w:t>specific</w:t>
      </w:r>
      <w:r>
        <w:rPr>
          <w:color w:val="231F20"/>
          <w:spacing w:val="44"/>
        </w:rPr>
        <w:t xml:space="preserve"> </w:t>
      </w:r>
      <w:r>
        <w:rPr>
          <w:color w:val="231F20"/>
        </w:rPr>
        <w:t>skills</w:t>
      </w:r>
      <w:r>
        <w:rPr>
          <w:color w:val="231F20"/>
          <w:spacing w:val="43"/>
        </w:rPr>
        <w:t xml:space="preserve"> </w:t>
      </w:r>
      <w:r>
        <w:rPr>
          <w:color w:val="231F20"/>
        </w:rPr>
        <w:t>and</w:t>
      </w:r>
      <w:r>
        <w:rPr>
          <w:color w:val="231F20"/>
          <w:spacing w:val="43"/>
        </w:rPr>
        <w:t xml:space="preserve"> </w:t>
      </w:r>
      <w:r>
        <w:rPr>
          <w:color w:val="231F20"/>
        </w:rPr>
        <w:t>abilities</w:t>
      </w:r>
      <w:r>
        <w:rPr>
          <w:color w:val="231F20"/>
          <w:spacing w:val="44"/>
        </w:rPr>
        <w:t xml:space="preserve"> </w:t>
      </w:r>
      <w:r>
        <w:rPr>
          <w:color w:val="231F20"/>
        </w:rPr>
        <w:t>or</w:t>
      </w:r>
      <w:r>
        <w:rPr>
          <w:color w:val="231F20"/>
          <w:spacing w:val="43"/>
        </w:rPr>
        <w:t xml:space="preserve"> </w:t>
      </w:r>
      <w:r>
        <w:rPr>
          <w:color w:val="231F20"/>
        </w:rPr>
        <w:t>seek</w:t>
      </w:r>
      <w:r>
        <w:rPr>
          <w:color w:val="231F20"/>
          <w:spacing w:val="43"/>
        </w:rPr>
        <w:t xml:space="preserve"> </w:t>
      </w:r>
      <w:r>
        <w:rPr>
          <w:color w:val="231F20"/>
        </w:rPr>
        <w:t>competition,</w:t>
      </w:r>
      <w:r>
        <w:rPr>
          <w:color w:val="231F20"/>
          <w:spacing w:val="44"/>
        </w:rPr>
        <w:t xml:space="preserve"> </w:t>
      </w:r>
      <w:r>
        <w:rPr>
          <w:color w:val="231F20"/>
          <w:spacing w:val="-5"/>
        </w:rPr>
        <w:t>but</w:t>
      </w:r>
    </w:p>
    <w:p w14:paraId="0A4BE981" w14:textId="77777777" w:rsidR="00AE0598" w:rsidRDefault="00AE0598">
      <w:pPr>
        <w:spacing w:line="232" w:lineRule="auto"/>
        <w:jc w:val="both"/>
        <w:sectPr w:rsidR="00AE0598">
          <w:pgSz w:w="8850" w:h="13270"/>
          <w:pgMar w:top="720" w:right="1060" w:bottom="280" w:left="1080" w:header="720" w:footer="720" w:gutter="0"/>
          <w:cols w:space="720"/>
        </w:sectPr>
      </w:pPr>
    </w:p>
    <w:p w14:paraId="1D49BF2D" w14:textId="77777777" w:rsidR="00AE0598" w:rsidRDefault="0069255A">
      <w:pPr>
        <w:spacing w:before="87"/>
        <w:ind w:left="110" w:right="128"/>
        <w:jc w:val="right"/>
        <w:rPr>
          <w:rFonts w:ascii="Trebuchet MS"/>
          <w:sz w:val="14"/>
        </w:rPr>
      </w:pPr>
      <w:r>
        <w:rPr>
          <w:rFonts w:ascii="Trebuchet MS"/>
          <w:color w:val="231F20"/>
          <w:w w:val="105"/>
          <w:sz w:val="14"/>
        </w:rPr>
        <w:lastRenderedPageBreak/>
        <w:t>Sport</w:t>
      </w:r>
      <w:r>
        <w:rPr>
          <w:rFonts w:ascii="Trebuchet MS"/>
          <w:color w:val="231F20"/>
          <w:spacing w:val="-7"/>
          <w:w w:val="105"/>
          <w:sz w:val="14"/>
        </w:rPr>
        <w:t xml:space="preserve"> </w:t>
      </w:r>
      <w:r>
        <w:rPr>
          <w:rFonts w:ascii="Trebuchet MS"/>
          <w:color w:val="231F20"/>
          <w:w w:val="105"/>
          <w:sz w:val="14"/>
        </w:rPr>
        <w:t>Tourism</w:t>
      </w:r>
      <w:r>
        <w:rPr>
          <w:rFonts w:ascii="Trebuchet MS"/>
          <w:color w:val="231F20"/>
          <w:spacing w:val="-7"/>
          <w:w w:val="105"/>
          <w:sz w:val="14"/>
        </w:rPr>
        <w:t xml:space="preserve"> </w:t>
      </w:r>
      <w:r>
        <w:rPr>
          <w:rFonts w:ascii="Trebuchet MS"/>
          <w:color w:val="231F20"/>
          <w:w w:val="105"/>
          <w:sz w:val="14"/>
        </w:rPr>
        <w:t>Markets</w:t>
      </w:r>
      <w:r>
        <w:rPr>
          <w:rFonts w:ascii="Trebuchet MS"/>
          <w:color w:val="231F20"/>
          <w:spacing w:val="73"/>
          <w:w w:val="150"/>
          <w:sz w:val="14"/>
        </w:rPr>
        <w:t xml:space="preserve"> </w:t>
      </w:r>
      <w:r>
        <w:rPr>
          <w:rFonts w:ascii="Trebuchet MS"/>
          <w:color w:val="231F20"/>
          <w:spacing w:val="-5"/>
          <w:w w:val="105"/>
          <w:sz w:val="14"/>
        </w:rPr>
        <w:t>51</w:t>
      </w:r>
    </w:p>
    <w:p w14:paraId="3137D580" w14:textId="77777777" w:rsidR="00AE0598" w:rsidRDefault="00AE0598">
      <w:pPr>
        <w:pStyle w:val="Corpodetexto"/>
        <w:rPr>
          <w:rFonts w:ascii="Trebuchet MS"/>
          <w:sz w:val="16"/>
        </w:rPr>
      </w:pPr>
    </w:p>
    <w:p w14:paraId="46065329" w14:textId="77777777" w:rsidR="00AE0598" w:rsidRDefault="0069255A">
      <w:pPr>
        <w:pStyle w:val="Corpodetexto"/>
        <w:spacing w:before="118" w:line="232" w:lineRule="auto"/>
        <w:ind w:left="110" w:right="127"/>
        <w:jc w:val="both"/>
      </w:pPr>
      <w:r>
        <w:rPr>
          <w:color w:val="231F20"/>
          <w:w w:val="95"/>
        </w:rPr>
        <w:t>increasingly</w:t>
      </w:r>
      <w:r>
        <w:rPr>
          <w:color w:val="231F20"/>
          <w:spacing w:val="-4"/>
          <w:w w:val="95"/>
        </w:rPr>
        <w:t xml:space="preserve"> </w:t>
      </w:r>
      <w:r>
        <w:rPr>
          <w:color w:val="231F20"/>
          <w:w w:val="95"/>
        </w:rPr>
        <w:t>these</w:t>
      </w:r>
      <w:r>
        <w:rPr>
          <w:color w:val="231F20"/>
          <w:spacing w:val="-4"/>
          <w:w w:val="95"/>
        </w:rPr>
        <w:t xml:space="preserve"> </w:t>
      </w:r>
      <w:r>
        <w:rPr>
          <w:color w:val="231F20"/>
          <w:w w:val="95"/>
        </w:rPr>
        <w:t>visitors</w:t>
      </w:r>
      <w:r>
        <w:rPr>
          <w:color w:val="231F20"/>
          <w:spacing w:val="-4"/>
          <w:w w:val="95"/>
        </w:rPr>
        <w:t xml:space="preserve"> </w:t>
      </w:r>
      <w:r>
        <w:rPr>
          <w:color w:val="231F20"/>
          <w:w w:val="95"/>
        </w:rPr>
        <w:t>set</w:t>
      </w:r>
      <w:r>
        <w:rPr>
          <w:color w:val="231F20"/>
          <w:spacing w:val="-4"/>
          <w:w w:val="95"/>
        </w:rPr>
        <w:t xml:space="preserve"> </w:t>
      </w:r>
      <w:r>
        <w:rPr>
          <w:color w:val="231F20"/>
          <w:w w:val="95"/>
        </w:rPr>
        <w:t>out</w:t>
      </w:r>
      <w:r>
        <w:rPr>
          <w:color w:val="231F20"/>
          <w:spacing w:val="-4"/>
          <w:w w:val="95"/>
        </w:rPr>
        <w:t xml:space="preserve"> </w:t>
      </w:r>
      <w:r>
        <w:rPr>
          <w:color w:val="231F20"/>
          <w:w w:val="95"/>
        </w:rPr>
        <w:t>to</w:t>
      </w:r>
      <w:r>
        <w:rPr>
          <w:color w:val="231F20"/>
          <w:spacing w:val="-4"/>
          <w:w w:val="95"/>
        </w:rPr>
        <w:t xml:space="preserve"> </w:t>
      </w:r>
      <w:r>
        <w:rPr>
          <w:color w:val="231F20"/>
          <w:w w:val="95"/>
        </w:rPr>
        <w:t>experience</w:t>
      </w:r>
      <w:r>
        <w:rPr>
          <w:color w:val="231F20"/>
          <w:spacing w:val="-4"/>
          <w:w w:val="95"/>
        </w:rPr>
        <w:t xml:space="preserve"> </w:t>
      </w:r>
      <w:r>
        <w:rPr>
          <w:color w:val="231F20"/>
          <w:w w:val="95"/>
        </w:rPr>
        <w:t>first-hand</w:t>
      </w:r>
      <w:r>
        <w:rPr>
          <w:color w:val="231F20"/>
          <w:spacing w:val="-4"/>
          <w:w w:val="95"/>
        </w:rPr>
        <w:t xml:space="preserve"> </w:t>
      </w:r>
      <w:r>
        <w:rPr>
          <w:color w:val="231F20"/>
          <w:w w:val="95"/>
        </w:rPr>
        <w:t>unique</w:t>
      </w:r>
      <w:r>
        <w:rPr>
          <w:color w:val="231F20"/>
          <w:spacing w:val="-4"/>
          <w:w w:val="95"/>
        </w:rPr>
        <w:t xml:space="preserve"> </w:t>
      </w:r>
      <w:r>
        <w:rPr>
          <w:color w:val="231F20"/>
          <w:w w:val="95"/>
        </w:rPr>
        <w:t>or</w:t>
      </w:r>
      <w:r>
        <w:rPr>
          <w:color w:val="231F20"/>
          <w:spacing w:val="-4"/>
          <w:w w:val="95"/>
        </w:rPr>
        <w:t xml:space="preserve"> </w:t>
      </w:r>
      <w:r>
        <w:rPr>
          <w:color w:val="231F20"/>
          <w:w w:val="95"/>
        </w:rPr>
        <w:t xml:space="preserve">famous sports places, perhaps in order to develop a sense of personal or collective </w:t>
      </w:r>
      <w:r>
        <w:rPr>
          <w:color w:val="231F20"/>
        </w:rPr>
        <w:t>identity,</w:t>
      </w:r>
      <w:r>
        <w:rPr>
          <w:color w:val="231F20"/>
          <w:spacing w:val="-12"/>
        </w:rPr>
        <w:t xml:space="preserve"> </w:t>
      </w:r>
      <w:r>
        <w:rPr>
          <w:color w:val="231F20"/>
        </w:rPr>
        <w:t>and</w:t>
      </w:r>
      <w:r>
        <w:rPr>
          <w:color w:val="231F20"/>
          <w:spacing w:val="-12"/>
        </w:rPr>
        <w:t xml:space="preserve"> </w:t>
      </w:r>
      <w:r>
        <w:rPr>
          <w:color w:val="231F20"/>
        </w:rPr>
        <w:t>to</w:t>
      </w:r>
      <w:r>
        <w:rPr>
          <w:color w:val="231F20"/>
          <w:spacing w:val="-11"/>
        </w:rPr>
        <w:t xml:space="preserve"> </w:t>
      </w:r>
      <w:r>
        <w:rPr>
          <w:color w:val="231F20"/>
        </w:rPr>
        <w:t>develop</w:t>
      </w:r>
      <w:r>
        <w:rPr>
          <w:color w:val="231F20"/>
          <w:spacing w:val="-12"/>
        </w:rPr>
        <w:t xml:space="preserve"> </w:t>
      </w:r>
      <w:r>
        <w:rPr>
          <w:color w:val="231F20"/>
        </w:rPr>
        <w:t>their</w:t>
      </w:r>
      <w:r>
        <w:rPr>
          <w:color w:val="231F20"/>
          <w:spacing w:val="-11"/>
        </w:rPr>
        <w:t xml:space="preserve"> </w:t>
      </w:r>
      <w:r>
        <w:rPr>
          <w:color w:val="231F20"/>
        </w:rPr>
        <w:t>standing</w:t>
      </w:r>
      <w:r>
        <w:rPr>
          <w:color w:val="231F20"/>
          <w:spacing w:val="-12"/>
        </w:rPr>
        <w:t xml:space="preserve"> </w:t>
      </w:r>
      <w:r>
        <w:rPr>
          <w:color w:val="231F20"/>
        </w:rPr>
        <w:t>within</w:t>
      </w:r>
      <w:r>
        <w:rPr>
          <w:color w:val="231F20"/>
          <w:spacing w:val="-11"/>
        </w:rPr>
        <w:t xml:space="preserve"> </w:t>
      </w:r>
      <w:r>
        <w:rPr>
          <w:color w:val="231F20"/>
        </w:rPr>
        <w:t>a</w:t>
      </w:r>
      <w:r>
        <w:rPr>
          <w:color w:val="231F20"/>
          <w:spacing w:val="-12"/>
        </w:rPr>
        <w:t xml:space="preserve"> </w:t>
      </w:r>
      <w:r>
        <w:rPr>
          <w:color w:val="231F20"/>
        </w:rPr>
        <w:t>sport</w:t>
      </w:r>
      <w:r>
        <w:rPr>
          <w:color w:val="231F20"/>
          <w:spacing w:val="-12"/>
        </w:rPr>
        <w:t xml:space="preserve"> </w:t>
      </w:r>
      <w:r>
        <w:rPr>
          <w:color w:val="231F20"/>
        </w:rPr>
        <w:t>subculture</w:t>
      </w:r>
      <w:r>
        <w:rPr>
          <w:color w:val="231F20"/>
          <w:spacing w:val="-11"/>
        </w:rPr>
        <w:t xml:space="preserve"> </w:t>
      </w:r>
      <w:r>
        <w:rPr>
          <w:color w:val="231F20"/>
        </w:rPr>
        <w:t>(Green</w:t>
      </w:r>
      <w:r>
        <w:rPr>
          <w:color w:val="231F20"/>
          <w:spacing w:val="-12"/>
        </w:rPr>
        <w:t xml:space="preserve"> </w:t>
      </w:r>
      <w:r>
        <w:rPr>
          <w:color w:val="231F20"/>
        </w:rPr>
        <w:t xml:space="preserve">&amp; </w:t>
      </w:r>
      <w:r>
        <w:rPr>
          <w:color w:val="231F20"/>
          <w:spacing w:val="-2"/>
        </w:rPr>
        <w:t>Chalip,</w:t>
      </w:r>
      <w:r>
        <w:rPr>
          <w:color w:val="231F20"/>
          <w:spacing w:val="-6"/>
        </w:rPr>
        <w:t xml:space="preserve"> </w:t>
      </w:r>
      <w:r>
        <w:rPr>
          <w:color w:val="231F20"/>
          <w:spacing w:val="-2"/>
        </w:rPr>
        <w:t>1998;</w:t>
      </w:r>
      <w:r>
        <w:rPr>
          <w:color w:val="231F20"/>
          <w:spacing w:val="-6"/>
        </w:rPr>
        <w:t xml:space="preserve"> </w:t>
      </w:r>
      <w:r>
        <w:rPr>
          <w:color w:val="231F20"/>
          <w:spacing w:val="-2"/>
        </w:rPr>
        <w:t>Higham</w:t>
      </w:r>
      <w:r>
        <w:rPr>
          <w:color w:val="231F20"/>
          <w:spacing w:val="-6"/>
        </w:rPr>
        <w:t xml:space="preserve"> </w:t>
      </w:r>
      <w:r>
        <w:rPr>
          <w:color w:val="231F20"/>
          <w:spacing w:val="-2"/>
        </w:rPr>
        <w:t>&amp;</w:t>
      </w:r>
      <w:r>
        <w:rPr>
          <w:color w:val="231F20"/>
          <w:spacing w:val="-6"/>
        </w:rPr>
        <w:t xml:space="preserve"> </w:t>
      </w:r>
      <w:r>
        <w:rPr>
          <w:color w:val="231F20"/>
          <w:spacing w:val="-2"/>
        </w:rPr>
        <w:t>Hinch,</w:t>
      </w:r>
      <w:r>
        <w:rPr>
          <w:color w:val="231F20"/>
          <w:spacing w:val="-6"/>
        </w:rPr>
        <w:t xml:space="preserve"> </w:t>
      </w:r>
      <w:r>
        <w:rPr>
          <w:color w:val="231F20"/>
          <w:spacing w:val="-2"/>
        </w:rPr>
        <w:t>2009).</w:t>
      </w:r>
      <w:r>
        <w:rPr>
          <w:color w:val="231F20"/>
          <w:spacing w:val="-6"/>
        </w:rPr>
        <w:t xml:space="preserve"> </w:t>
      </w:r>
      <w:r>
        <w:rPr>
          <w:color w:val="231F20"/>
          <w:spacing w:val="-2"/>
        </w:rPr>
        <w:t>These</w:t>
      </w:r>
      <w:r>
        <w:rPr>
          <w:color w:val="231F20"/>
          <w:spacing w:val="-6"/>
        </w:rPr>
        <w:t xml:space="preserve"> </w:t>
      </w:r>
      <w:r>
        <w:rPr>
          <w:color w:val="231F20"/>
          <w:spacing w:val="-2"/>
        </w:rPr>
        <w:t>forms</w:t>
      </w:r>
      <w:r>
        <w:rPr>
          <w:color w:val="231F20"/>
          <w:spacing w:val="-6"/>
        </w:rPr>
        <w:t xml:space="preserve"> </w:t>
      </w:r>
      <w:r>
        <w:rPr>
          <w:color w:val="231F20"/>
          <w:spacing w:val="-2"/>
        </w:rPr>
        <w:t>of</w:t>
      </w:r>
      <w:r>
        <w:rPr>
          <w:color w:val="231F20"/>
          <w:spacing w:val="8"/>
        </w:rPr>
        <w:t xml:space="preserve"> </w:t>
      </w:r>
      <w:r>
        <w:rPr>
          <w:color w:val="231F20"/>
          <w:spacing w:val="-2"/>
        </w:rPr>
        <w:t>active</w:t>
      </w:r>
      <w:r>
        <w:rPr>
          <w:color w:val="231F20"/>
          <w:spacing w:val="-6"/>
        </w:rPr>
        <w:t xml:space="preserve"> </w:t>
      </w:r>
      <w:r>
        <w:rPr>
          <w:color w:val="231F20"/>
          <w:spacing w:val="-2"/>
        </w:rPr>
        <w:t>sport</w:t>
      </w:r>
      <w:r>
        <w:rPr>
          <w:color w:val="231F20"/>
          <w:spacing w:val="-6"/>
        </w:rPr>
        <w:t xml:space="preserve"> </w:t>
      </w:r>
      <w:r>
        <w:rPr>
          <w:color w:val="231F20"/>
          <w:spacing w:val="-2"/>
        </w:rPr>
        <w:t xml:space="preserve">tourism </w:t>
      </w:r>
      <w:r>
        <w:rPr>
          <w:color w:val="231F20"/>
        </w:rPr>
        <w:t>may</w:t>
      </w:r>
      <w:r>
        <w:rPr>
          <w:color w:val="231F20"/>
          <w:spacing w:val="-6"/>
        </w:rPr>
        <w:t xml:space="preserve"> </w:t>
      </w:r>
      <w:r>
        <w:rPr>
          <w:color w:val="231F20"/>
        </w:rPr>
        <w:t>also</w:t>
      </w:r>
      <w:r>
        <w:rPr>
          <w:color w:val="231F20"/>
          <w:spacing w:val="-6"/>
        </w:rPr>
        <w:t xml:space="preserve"> </w:t>
      </w:r>
      <w:r>
        <w:rPr>
          <w:color w:val="231F20"/>
        </w:rPr>
        <w:t>allow</w:t>
      </w:r>
      <w:r>
        <w:rPr>
          <w:color w:val="231F20"/>
          <w:spacing w:val="-6"/>
        </w:rPr>
        <w:t xml:space="preserve"> </w:t>
      </w:r>
      <w:r>
        <w:rPr>
          <w:color w:val="231F20"/>
        </w:rPr>
        <w:t>participants</w:t>
      </w:r>
      <w:r>
        <w:rPr>
          <w:color w:val="231F20"/>
          <w:spacing w:val="-6"/>
        </w:rPr>
        <w:t xml:space="preserve"> </w:t>
      </w:r>
      <w:r>
        <w:rPr>
          <w:color w:val="231F20"/>
        </w:rPr>
        <w:t>to</w:t>
      </w:r>
      <w:r>
        <w:rPr>
          <w:color w:val="231F20"/>
          <w:spacing w:val="-6"/>
        </w:rPr>
        <w:t xml:space="preserve"> </w:t>
      </w:r>
      <w:r>
        <w:rPr>
          <w:color w:val="231F20"/>
        </w:rPr>
        <w:t>engage</w:t>
      </w:r>
      <w:r>
        <w:rPr>
          <w:color w:val="231F20"/>
          <w:spacing w:val="-6"/>
        </w:rPr>
        <w:t xml:space="preserve"> </w:t>
      </w:r>
      <w:r>
        <w:rPr>
          <w:color w:val="231F20"/>
        </w:rPr>
        <w:t>with</w:t>
      </w:r>
      <w:r>
        <w:rPr>
          <w:color w:val="231F20"/>
          <w:spacing w:val="-6"/>
        </w:rPr>
        <w:t xml:space="preserve"> </w:t>
      </w:r>
      <w:r>
        <w:rPr>
          <w:color w:val="231F20"/>
        </w:rPr>
        <w:t>the</w:t>
      </w:r>
      <w:r>
        <w:rPr>
          <w:color w:val="231F20"/>
          <w:spacing w:val="-6"/>
        </w:rPr>
        <w:t xml:space="preserve"> </w:t>
      </w:r>
      <w:r>
        <w:rPr>
          <w:color w:val="231F20"/>
        </w:rPr>
        <w:t>elites</w:t>
      </w:r>
      <w:r>
        <w:rPr>
          <w:color w:val="231F20"/>
          <w:spacing w:val="-6"/>
        </w:rPr>
        <w:t xml:space="preserve"> </w:t>
      </w:r>
      <w:r>
        <w:rPr>
          <w:color w:val="231F20"/>
        </w:rPr>
        <w:t>of their</w:t>
      </w:r>
      <w:r>
        <w:rPr>
          <w:color w:val="231F20"/>
          <w:spacing w:val="-6"/>
        </w:rPr>
        <w:t xml:space="preserve"> </w:t>
      </w:r>
      <w:r>
        <w:rPr>
          <w:color w:val="231F20"/>
        </w:rPr>
        <w:t>sports.</w:t>
      </w:r>
    </w:p>
    <w:p w14:paraId="7BB1268E" w14:textId="77777777" w:rsidR="00AE0598" w:rsidRDefault="0069255A">
      <w:pPr>
        <w:pStyle w:val="Corpodetexto"/>
        <w:spacing w:before="6" w:line="232" w:lineRule="auto"/>
        <w:ind w:left="110" w:right="126" w:firstLine="320"/>
        <w:jc w:val="both"/>
      </w:pPr>
      <w:r>
        <w:rPr>
          <w:color w:val="231F20"/>
          <w:w w:val="90"/>
        </w:rPr>
        <w:t xml:space="preserve">The active sport tourism market has typically been portrayed as physically </w:t>
      </w:r>
      <w:r>
        <w:rPr>
          <w:color w:val="231F20"/>
          <w:spacing w:val="-2"/>
          <w:w w:val="95"/>
        </w:rPr>
        <w:t>active,</w:t>
      </w:r>
      <w:r>
        <w:rPr>
          <w:color w:val="231F20"/>
          <w:spacing w:val="-6"/>
          <w:w w:val="95"/>
        </w:rPr>
        <w:t xml:space="preserve"> </w:t>
      </w:r>
      <w:r>
        <w:rPr>
          <w:color w:val="231F20"/>
          <w:spacing w:val="-2"/>
          <w:w w:val="95"/>
        </w:rPr>
        <w:t>college</w:t>
      </w:r>
      <w:r>
        <w:rPr>
          <w:color w:val="231F20"/>
          <w:spacing w:val="-6"/>
          <w:w w:val="95"/>
        </w:rPr>
        <w:t xml:space="preserve"> </w:t>
      </w:r>
      <w:r>
        <w:rPr>
          <w:color w:val="231F20"/>
          <w:spacing w:val="-2"/>
          <w:w w:val="95"/>
        </w:rPr>
        <w:t>educated,</w:t>
      </w:r>
      <w:r>
        <w:rPr>
          <w:color w:val="231F20"/>
          <w:spacing w:val="-6"/>
          <w:w w:val="95"/>
        </w:rPr>
        <w:t xml:space="preserve"> </w:t>
      </w:r>
      <w:r>
        <w:rPr>
          <w:color w:val="231F20"/>
          <w:spacing w:val="-2"/>
          <w:w w:val="95"/>
        </w:rPr>
        <w:t>relatively</w:t>
      </w:r>
      <w:r>
        <w:rPr>
          <w:color w:val="231F20"/>
          <w:spacing w:val="-6"/>
          <w:w w:val="95"/>
        </w:rPr>
        <w:t xml:space="preserve"> </w:t>
      </w:r>
      <w:r>
        <w:rPr>
          <w:color w:val="231F20"/>
          <w:spacing w:val="-2"/>
          <w:w w:val="95"/>
        </w:rPr>
        <w:t>affluent</w:t>
      </w:r>
      <w:r>
        <w:rPr>
          <w:color w:val="231F20"/>
          <w:spacing w:val="-6"/>
          <w:w w:val="95"/>
        </w:rPr>
        <w:t xml:space="preserve"> </w:t>
      </w:r>
      <w:r>
        <w:rPr>
          <w:color w:val="231F20"/>
          <w:spacing w:val="-2"/>
          <w:w w:val="95"/>
        </w:rPr>
        <w:t>and</w:t>
      </w:r>
      <w:r>
        <w:rPr>
          <w:color w:val="231F20"/>
          <w:spacing w:val="-6"/>
          <w:w w:val="95"/>
        </w:rPr>
        <w:t xml:space="preserve"> </w:t>
      </w:r>
      <w:r>
        <w:rPr>
          <w:color w:val="231F20"/>
          <w:spacing w:val="-2"/>
          <w:w w:val="95"/>
        </w:rPr>
        <w:t>18–44</w:t>
      </w:r>
      <w:r>
        <w:rPr>
          <w:color w:val="231F20"/>
          <w:spacing w:val="-6"/>
          <w:w w:val="95"/>
        </w:rPr>
        <w:t xml:space="preserve"> </w:t>
      </w:r>
      <w:r>
        <w:rPr>
          <w:color w:val="231F20"/>
          <w:spacing w:val="-2"/>
          <w:w w:val="95"/>
        </w:rPr>
        <w:t>years</w:t>
      </w:r>
      <w:r>
        <w:rPr>
          <w:color w:val="231F20"/>
          <w:spacing w:val="-6"/>
          <w:w w:val="95"/>
        </w:rPr>
        <w:t xml:space="preserve"> </w:t>
      </w:r>
      <w:r>
        <w:rPr>
          <w:color w:val="231F20"/>
          <w:spacing w:val="-2"/>
          <w:w w:val="95"/>
        </w:rPr>
        <w:t>old</w:t>
      </w:r>
      <w:r>
        <w:rPr>
          <w:color w:val="231F20"/>
          <w:spacing w:val="-6"/>
          <w:w w:val="95"/>
        </w:rPr>
        <w:t xml:space="preserve"> </w:t>
      </w:r>
      <w:r>
        <w:rPr>
          <w:color w:val="231F20"/>
          <w:spacing w:val="-2"/>
          <w:w w:val="95"/>
        </w:rPr>
        <w:t>(Delpy,</w:t>
      </w:r>
      <w:r>
        <w:rPr>
          <w:color w:val="231F20"/>
          <w:spacing w:val="-6"/>
          <w:w w:val="95"/>
        </w:rPr>
        <w:t xml:space="preserve"> </w:t>
      </w:r>
      <w:r>
        <w:rPr>
          <w:color w:val="231F20"/>
          <w:spacing w:val="-2"/>
          <w:w w:val="95"/>
        </w:rPr>
        <w:t xml:space="preserve">1998), </w:t>
      </w:r>
      <w:r>
        <w:rPr>
          <w:color w:val="231F20"/>
        </w:rPr>
        <w:t>but</w:t>
      </w:r>
      <w:r>
        <w:rPr>
          <w:color w:val="231F20"/>
          <w:spacing w:val="-9"/>
        </w:rPr>
        <w:t xml:space="preserve"> </w:t>
      </w:r>
      <w:r>
        <w:rPr>
          <w:color w:val="231F20"/>
        </w:rPr>
        <w:t>the</w:t>
      </w:r>
      <w:r>
        <w:rPr>
          <w:color w:val="231F20"/>
          <w:spacing w:val="-9"/>
        </w:rPr>
        <w:t xml:space="preserve"> </w:t>
      </w:r>
      <w:r>
        <w:rPr>
          <w:color w:val="231F20"/>
        </w:rPr>
        <w:t>assumption</w:t>
      </w:r>
      <w:r>
        <w:rPr>
          <w:color w:val="231F20"/>
          <w:spacing w:val="-9"/>
        </w:rPr>
        <w:t xml:space="preserve"> </w:t>
      </w:r>
      <w:r>
        <w:rPr>
          <w:color w:val="231F20"/>
        </w:rPr>
        <w:t>that</w:t>
      </w:r>
      <w:r>
        <w:rPr>
          <w:color w:val="231F20"/>
          <w:spacing w:val="-9"/>
        </w:rPr>
        <w:t xml:space="preserve"> </w:t>
      </w:r>
      <w:r>
        <w:rPr>
          <w:color w:val="231F20"/>
        </w:rPr>
        <w:t>active</w:t>
      </w:r>
      <w:r>
        <w:rPr>
          <w:color w:val="231F20"/>
          <w:spacing w:val="-9"/>
        </w:rPr>
        <w:t xml:space="preserve"> </w:t>
      </w:r>
      <w:r>
        <w:rPr>
          <w:color w:val="231F20"/>
        </w:rPr>
        <w:t>participants</w:t>
      </w:r>
      <w:r>
        <w:rPr>
          <w:color w:val="231F20"/>
          <w:spacing w:val="-9"/>
        </w:rPr>
        <w:t xml:space="preserve"> </w:t>
      </w:r>
      <w:r>
        <w:rPr>
          <w:color w:val="231F20"/>
        </w:rPr>
        <w:t>in</w:t>
      </w:r>
      <w:r>
        <w:rPr>
          <w:color w:val="231F20"/>
          <w:spacing w:val="-9"/>
        </w:rPr>
        <w:t xml:space="preserve"> </w:t>
      </w:r>
      <w:r>
        <w:rPr>
          <w:color w:val="231F20"/>
        </w:rPr>
        <w:t>sport</w:t>
      </w:r>
      <w:r>
        <w:rPr>
          <w:color w:val="231F20"/>
          <w:spacing w:val="-9"/>
        </w:rPr>
        <w:t xml:space="preserve"> </w:t>
      </w:r>
      <w:r>
        <w:rPr>
          <w:color w:val="231F20"/>
        </w:rPr>
        <w:t>can</w:t>
      </w:r>
      <w:r>
        <w:rPr>
          <w:color w:val="231F20"/>
          <w:spacing w:val="-9"/>
        </w:rPr>
        <w:t xml:space="preserve"> </w:t>
      </w:r>
      <w:r>
        <w:rPr>
          <w:color w:val="231F20"/>
        </w:rPr>
        <w:t>be</w:t>
      </w:r>
      <w:r>
        <w:rPr>
          <w:color w:val="231F20"/>
          <w:spacing w:val="-9"/>
        </w:rPr>
        <w:t xml:space="preserve"> </w:t>
      </w:r>
      <w:r>
        <w:rPr>
          <w:color w:val="231F20"/>
        </w:rPr>
        <w:t>generalised</w:t>
      </w:r>
      <w:r>
        <w:rPr>
          <w:color w:val="231F20"/>
          <w:spacing w:val="-9"/>
        </w:rPr>
        <w:t xml:space="preserve"> </w:t>
      </w:r>
      <w:r>
        <w:rPr>
          <w:color w:val="231F20"/>
        </w:rPr>
        <w:t xml:space="preserve">in </w:t>
      </w:r>
      <w:r>
        <w:rPr>
          <w:color w:val="231F20"/>
          <w:w w:val="95"/>
        </w:rPr>
        <w:t>any</w:t>
      </w:r>
      <w:r>
        <w:rPr>
          <w:color w:val="231F20"/>
          <w:spacing w:val="-7"/>
          <w:w w:val="95"/>
        </w:rPr>
        <w:t xml:space="preserve"> </w:t>
      </w:r>
      <w:r>
        <w:rPr>
          <w:color w:val="231F20"/>
          <w:w w:val="95"/>
        </w:rPr>
        <w:t>way</w:t>
      </w:r>
      <w:r>
        <w:rPr>
          <w:color w:val="231F20"/>
          <w:spacing w:val="-7"/>
          <w:w w:val="95"/>
        </w:rPr>
        <w:t xml:space="preserve"> </w:t>
      </w:r>
      <w:r>
        <w:rPr>
          <w:color w:val="231F20"/>
          <w:w w:val="95"/>
        </w:rPr>
        <w:t>masks</w:t>
      </w:r>
      <w:r>
        <w:rPr>
          <w:color w:val="231F20"/>
          <w:spacing w:val="-7"/>
          <w:w w:val="95"/>
        </w:rPr>
        <w:t xml:space="preserve"> </w:t>
      </w:r>
      <w:r>
        <w:rPr>
          <w:color w:val="231F20"/>
          <w:w w:val="95"/>
        </w:rPr>
        <w:t>a</w:t>
      </w:r>
      <w:r>
        <w:rPr>
          <w:color w:val="231F20"/>
          <w:spacing w:val="-7"/>
          <w:w w:val="95"/>
        </w:rPr>
        <w:t xml:space="preserve"> </w:t>
      </w:r>
      <w:r>
        <w:rPr>
          <w:color w:val="231F20"/>
          <w:w w:val="95"/>
        </w:rPr>
        <w:t>wide</w:t>
      </w:r>
      <w:r>
        <w:rPr>
          <w:color w:val="231F20"/>
          <w:spacing w:val="-7"/>
          <w:w w:val="95"/>
        </w:rPr>
        <w:t xml:space="preserve"> </w:t>
      </w:r>
      <w:r>
        <w:rPr>
          <w:color w:val="231F20"/>
          <w:w w:val="95"/>
        </w:rPr>
        <w:t>and</w:t>
      </w:r>
      <w:r>
        <w:rPr>
          <w:color w:val="231F20"/>
          <w:spacing w:val="-7"/>
          <w:w w:val="95"/>
        </w:rPr>
        <w:t xml:space="preserve"> </w:t>
      </w:r>
      <w:r>
        <w:rPr>
          <w:color w:val="231F20"/>
          <w:w w:val="95"/>
        </w:rPr>
        <w:t>growing</w:t>
      </w:r>
      <w:r>
        <w:rPr>
          <w:color w:val="231F20"/>
          <w:spacing w:val="-7"/>
          <w:w w:val="95"/>
        </w:rPr>
        <w:t xml:space="preserve"> </w:t>
      </w:r>
      <w:r>
        <w:rPr>
          <w:color w:val="231F20"/>
          <w:w w:val="95"/>
        </w:rPr>
        <w:t>diversity</w:t>
      </w:r>
      <w:r>
        <w:rPr>
          <w:color w:val="231F20"/>
          <w:spacing w:val="-7"/>
          <w:w w:val="95"/>
        </w:rPr>
        <w:t xml:space="preserve"> </w:t>
      </w:r>
      <w:r>
        <w:rPr>
          <w:color w:val="231F20"/>
          <w:w w:val="95"/>
        </w:rPr>
        <w:t>within</w:t>
      </w:r>
      <w:r>
        <w:rPr>
          <w:color w:val="231F20"/>
          <w:spacing w:val="-7"/>
          <w:w w:val="95"/>
        </w:rPr>
        <w:t xml:space="preserve"> </w:t>
      </w:r>
      <w:r>
        <w:rPr>
          <w:color w:val="231F20"/>
          <w:w w:val="95"/>
        </w:rPr>
        <w:t>this</w:t>
      </w:r>
      <w:r>
        <w:rPr>
          <w:color w:val="231F20"/>
          <w:spacing w:val="-7"/>
          <w:w w:val="95"/>
        </w:rPr>
        <w:t xml:space="preserve"> </w:t>
      </w:r>
      <w:r>
        <w:rPr>
          <w:color w:val="231F20"/>
          <w:w w:val="95"/>
        </w:rPr>
        <w:t>broad</w:t>
      </w:r>
      <w:r>
        <w:rPr>
          <w:color w:val="231F20"/>
          <w:spacing w:val="-7"/>
          <w:w w:val="95"/>
        </w:rPr>
        <w:t xml:space="preserve"> </w:t>
      </w:r>
      <w:r>
        <w:rPr>
          <w:color w:val="231F20"/>
          <w:w w:val="95"/>
        </w:rPr>
        <w:t xml:space="preserve">classification. </w:t>
      </w:r>
      <w:r>
        <w:rPr>
          <w:color w:val="231F20"/>
        </w:rPr>
        <w:t>A</w:t>
      </w:r>
      <w:r>
        <w:rPr>
          <w:color w:val="231F20"/>
          <w:spacing w:val="-1"/>
        </w:rPr>
        <w:t xml:space="preserve"> </w:t>
      </w:r>
      <w:r>
        <w:rPr>
          <w:color w:val="231F20"/>
        </w:rPr>
        <w:t>failure</w:t>
      </w:r>
      <w:r>
        <w:rPr>
          <w:color w:val="231F20"/>
          <w:spacing w:val="-1"/>
        </w:rPr>
        <w:t xml:space="preserve"> </w:t>
      </w:r>
      <w:r>
        <w:rPr>
          <w:color w:val="231F20"/>
        </w:rPr>
        <w:t>to</w:t>
      </w:r>
      <w:r>
        <w:rPr>
          <w:color w:val="231F20"/>
          <w:spacing w:val="-1"/>
        </w:rPr>
        <w:t xml:space="preserve"> </w:t>
      </w:r>
      <w:r>
        <w:rPr>
          <w:color w:val="231F20"/>
        </w:rPr>
        <w:t>recognise</w:t>
      </w:r>
      <w:r>
        <w:rPr>
          <w:color w:val="231F20"/>
          <w:spacing w:val="-1"/>
        </w:rPr>
        <w:t xml:space="preserve"> </w:t>
      </w:r>
      <w:r>
        <w:rPr>
          <w:color w:val="231F20"/>
        </w:rPr>
        <w:t>and</w:t>
      </w:r>
      <w:r>
        <w:rPr>
          <w:color w:val="231F20"/>
          <w:spacing w:val="-1"/>
        </w:rPr>
        <w:t xml:space="preserve"> </w:t>
      </w:r>
      <w:r>
        <w:rPr>
          <w:color w:val="231F20"/>
        </w:rPr>
        <w:t>capture</w:t>
      </w:r>
      <w:r>
        <w:rPr>
          <w:color w:val="231F20"/>
          <w:spacing w:val="-1"/>
        </w:rPr>
        <w:t xml:space="preserve"> </w:t>
      </w:r>
      <w:r>
        <w:rPr>
          <w:color w:val="231F20"/>
        </w:rPr>
        <w:t>the</w:t>
      </w:r>
      <w:r>
        <w:rPr>
          <w:color w:val="231F20"/>
          <w:spacing w:val="-1"/>
        </w:rPr>
        <w:t xml:space="preserve"> </w:t>
      </w:r>
      <w:r>
        <w:rPr>
          <w:color w:val="231F20"/>
        </w:rPr>
        <w:t>diversity</w:t>
      </w:r>
      <w:r>
        <w:rPr>
          <w:color w:val="231F20"/>
          <w:spacing w:val="-1"/>
        </w:rPr>
        <w:t xml:space="preserve"> </w:t>
      </w:r>
      <w:r>
        <w:rPr>
          <w:color w:val="231F20"/>
        </w:rPr>
        <w:t>of the</w:t>
      </w:r>
      <w:r>
        <w:rPr>
          <w:color w:val="231F20"/>
          <w:spacing w:val="-1"/>
        </w:rPr>
        <w:t xml:space="preserve"> </w:t>
      </w:r>
      <w:r>
        <w:rPr>
          <w:color w:val="231F20"/>
        </w:rPr>
        <w:t>broad</w:t>
      </w:r>
      <w:r>
        <w:rPr>
          <w:color w:val="231F20"/>
          <w:spacing w:val="-1"/>
        </w:rPr>
        <w:t xml:space="preserve"> </w:t>
      </w:r>
      <w:r>
        <w:rPr>
          <w:color w:val="231F20"/>
        </w:rPr>
        <w:t>active</w:t>
      </w:r>
      <w:r>
        <w:rPr>
          <w:color w:val="231F20"/>
          <w:spacing w:val="-1"/>
        </w:rPr>
        <w:t xml:space="preserve"> </w:t>
      </w:r>
      <w:r>
        <w:rPr>
          <w:color w:val="231F20"/>
        </w:rPr>
        <w:t>sport tourism</w:t>
      </w:r>
      <w:r>
        <w:rPr>
          <w:color w:val="231F20"/>
          <w:spacing w:val="-12"/>
        </w:rPr>
        <w:t xml:space="preserve"> </w:t>
      </w:r>
      <w:r>
        <w:rPr>
          <w:color w:val="231F20"/>
        </w:rPr>
        <w:t>market</w:t>
      </w:r>
      <w:r>
        <w:rPr>
          <w:color w:val="231F20"/>
          <w:spacing w:val="-12"/>
        </w:rPr>
        <w:t xml:space="preserve"> </w:t>
      </w:r>
      <w:r>
        <w:rPr>
          <w:color w:val="231F20"/>
        </w:rPr>
        <w:t>does</w:t>
      </w:r>
      <w:r>
        <w:rPr>
          <w:color w:val="231F20"/>
          <w:spacing w:val="-11"/>
        </w:rPr>
        <w:t xml:space="preserve"> </w:t>
      </w:r>
      <w:r>
        <w:rPr>
          <w:color w:val="231F20"/>
        </w:rPr>
        <w:t>the</w:t>
      </w:r>
      <w:r>
        <w:rPr>
          <w:color w:val="231F20"/>
          <w:spacing w:val="-12"/>
        </w:rPr>
        <w:t xml:space="preserve"> </w:t>
      </w:r>
      <w:r>
        <w:rPr>
          <w:color w:val="231F20"/>
        </w:rPr>
        <w:t>field</w:t>
      </w:r>
      <w:r>
        <w:rPr>
          <w:color w:val="231F20"/>
          <w:spacing w:val="-11"/>
        </w:rPr>
        <w:t xml:space="preserve"> </w:t>
      </w:r>
      <w:r>
        <w:rPr>
          <w:color w:val="231F20"/>
        </w:rPr>
        <w:t>a</w:t>
      </w:r>
      <w:r>
        <w:rPr>
          <w:color w:val="231F20"/>
          <w:spacing w:val="-12"/>
        </w:rPr>
        <w:t xml:space="preserve"> </w:t>
      </w:r>
      <w:r>
        <w:rPr>
          <w:color w:val="231F20"/>
        </w:rPr>
        <w:t>disservice</w:t>
      </w:r>
      <w:r>
        <w:rPr>
          <w:color w:val="231F20"/>
          <w:spacing w:val="-11"/>
        </w:rPr>
        <w:t xml:space="preserve"> </w:t>
      </w:r>
      <w:r>
        <w:rPr>
          <w:color w:val="231F20"/>
        </w:rPr>
        <w:t>(Green</w:t>
      </w:r>
      <w:r>
        <w:rPr>
          <w:color w:val="231F20"/>
          <w:spacing w:val="-12"/>
        </w:rPr>
        <w:t xml:space="preserve"> </w:t>
      </w:r>
      <w:r>
        <w:rPr>
          <w:color w:val="231F20"/>
        </w:rPr>
        <w:t>&amp;</w:t>
      </w:r>
      <w:r>
        <w:rPr>
          <w:color w:val="231F20"/>
          <w:spacing w:val="-12"/>
        </w:rPr>
        <w:t xml:space="preserve"> </w:t>
      </w:r>
      <w:r>
        <w:rPr>
          <w:color w:val="231F20"/>
        </w:rPr>
        <w:t>Chalip,</w:t>
      </w:r>
      <w:r>
        <w:rPr>
          <w:color w:val="231F20"/>
          <w:spacing w:val="-11"/>
        </w:rPr>
        <w:t xml:space="preserve"> </w:t>
      </w:r>
      <w:r>
        <w:rPr>
          <w:color w:val="231F20"/>
        </w:rPr>
        <w:t>1998;</w:t>
      </w:r>
      <w:r>
        <w:rPr>
          <w:color w:val="231F20"/>
          <w:spacing w:val="-12"/>
        </w:rPr>
        <w:t xml:space="preserve"> </w:t>
      </w:r>
      <w:r>
        <w:rPr>
          <w:color w:val="231F20"/>
        </w:rPr>
        <w:t xml:space="preserve">Lamont </w:t>
      </w:r>
      <w:r>
        <w:rPr>
          <w:i/>
          <w:color w:val="231F20"/>
        </w:rPr>
        <w:t>et al</w:t>
      </w:r>
      <w:r>
        <w:rPr>
          <w:color w:val="231F20"/>
        </w:rPr>
        <w:t xml:space="preserve">., 2014; Shipway &amp; Jones, 2007). In fact, both those who engage in </w:t>
      </w:r>
      <w:r>
        <w:rPr>
          <w:color w:val="231F20"/>
          <w:w w:val="95"/>
        </w:rPr>
        <w:t>sport</w:t>
      </w:r>
      <w:r>
        <w:rPr>
          <w:color w:val="231F20"/>
          <w:spacing w:val="-7"/>
          <w:w w:val="95"/>
        </w:rPr>
        <w:t xml:space="preserve"> </w:t>
      </w:r>
      <w:r>
        <w:rPr>
          <w:color w:val="231F20"/>
          <w:w w:val="95"/>
        </w:rPr>
        <w:t>(Ross,</w:t>
      </w:r>
      <w:r>
        <w:rPr>
          <w:color w:val="231F20"/>
          <w:spacing w:val="-7"/>
          <w:w w:val="95"/>
        </w:rPr>
        <w:t xml:space="preserve"> </w:t>
      </w:r>
      <w:r>
        <w:rPr>
          <w:color w:val="231F20"/>
          <w:w w:val="95"/>
        </w:rPr>
        <w:t>2007;</w:t>
      </w:r>
      <w:r>
        <w:rPr>
          <w:color w:val="231F20"/>
          <w:spacing w:val="-7"/>
          <w:w w:val="95"/>
        </w:rPr>
        <w:t xml:space="preserve"> </w:t>
      </w:r>
      <w:r>
        <w:rPr>
          <w:color w:val="231F20"/>
          <w:w w:val="95"/>
        </w:rPr>
        <w:t>Stewart</w:t>
      </w:r>
      <w:r>
        <w:rPr>
          <w:color w:val="231F20"/>
          <w:spacing w:val="-7"/>
          <w:w w:val="95"/>
        </w:rPr>
        <w:t xml:space="preserve"> </w:t>
      </w:r>
      <w:r>
        <w:rPr>
          <w:i/>
          <w:color w:val="231F20"/>
          <w:w w:val="95"/>
        </w:rPr>
        <w:t>et</w:t>
      </w:r>
      <w:r>
        <w:rPr>
          <w:i/>
          <w:color w:val="231F20"/>
          <w:spacing w:val="-7"/>
          <w:w w:val="95"/>
        </w:rPr>
        <w:t xml:space="preserve"> </w:t>
      </w:r>
      <w:r>
        <w:rPr>
          <w:i/>
          <w:color w:val="231F20"/>
          <w:w w:val="95"/>
        </w:rPr>
        <w:t>al</w:t>
      </w:r>
      <w:r>
        <w:rPr>
          <w:color w:val="231F20"/>
          <w:w w:val="95"/>
        </w:rPr>
        <w:t>.,</w:t>
      </w:r>
      <w:r>
        <w:rPr>
          <w:color w:val="231F20"/>
          <w:spacing w:val="-7"/>
          <w:w w:val="95"/>
        </w:rPr>
        <w:t xml:space="preserve"> </w:t>
      </w:r>
      <w:r>
        <w:rPr>
          <w:color w:val="231F20"/>
          <w:w w:val="95"/>
        </w:rPr>
        <w:t>2003;</w:t>
      </w:r>
      <w:r>
        <w:rPr>
          <w:color w:val="231F20"/>
          <w:spacing w:val="-7"/>
          <w:w w:val="95"/>
        </w:rPr>
        <w:t xml:space="preserve"> </w:t>
      </w:r>
      <w:r>
        <w:rPr>
          <w:color w:val="231F20"/>
          <w:w w:val="95"/>
        </w:rPr>
        <w:t>Taks</w:t>
      </w:r>
      <w:r>
        <w:rPr>
          <w:color w:val="231F20"/>
          <w:spacing w:val="-7"/>
          <w:w w:val="95"/>
        </w:rPr>
        <w:t xml:space="preserve"> </w:t>
      </w:r>
      <w:r>
        <w:rPr>
          <w:color w:val="231F20"/>
          <w:w w:val="95"/>
        </w:rPr>
        <w:t>&amp;</w:t>
      </w:r>
      <w:r>
        <w:rPr>
          <w:color w:val="231F20"/>
          <w:spacing w:val="-7"/>
          <w:w w:val="95"/>
        </w:rPr>
        <w:t xml:space="preserve"> </w:t>
      </w:r>
      <w:r>
        <w:rPr>
          <w:color w:val="231F20"/>
          <w:w w:val="95"/>
        </w:rPr>
        <w:t>Scheerder,</w:t>
      </w:r>
      <w:r>
        <w:rPr>
          <w:color w:val="231F20"/>
          <w:spacing w:val="-7"/>
          <w:w w:val="95"/>
        </w:rPr>
        <w:t xml:space="preserve"> </w:t>
      </w:r>
      <w:r>
        <w:rPr>
          <w:color w:val="231F20"/>
          <w:w w:val="95"/>
        </w:rPr>
        <w:t>2006)</w:t>
      </w:r>
      <w:r>
        <w:rPr>
          <w:color w:val="231F20"/>
          <w:spacing w:val="-7"/>
          <w:w w:val="95"/>
        </w:rPr>
        <w:t xml:space="preserve"> </w:t>
      </w:r>
      <w:r>
        <w:rPr>
          <w:color w:val="231F20"/>
          <w:w w:val="95"/>
        </w:rPr>
        <w:t>and</w:t>
      </w:r>
      <w:r>
        <w:rPr>
          <w:color w:val="231F20"/>
          <w:spacing w:val="-7"/>
          <w:w w:val="95"/>
        </w:rPr>
        <w:t xml:space="preserve"> </w:t>
      </w:r>
      <w:r>
        <w:rPr>
          <w:color w:val="231F20"/>
          <w:w w:val="95"/>
        </w:rPr>
        <w:t>tourism (Bieger &amp; Laesser, 2002; Dolnicar, 2002) are subject to various approaches to</w:t>
      </w:r>
      <w:r>
        <w:rPr>
          <w:color w:val="231F20"/>
          <w:spacing w:val="-10"/>
          <w:w w:val="95"/>
        </w:rPr>
        <w:t xml:space="preserve"> </w:t>
      </w:r>
      <w:r>
        <w:rPr>
          <w:color w:val="231F20"/>
          <w:w w:val="95"/>
        </w:rPr>
        <w:t>market</w:t>
      </w:r>
      <w:r>
        <w:rPr>
          <w:color w:val="231F20"/>
          <w:spacing w:val="-9"/>
          <w:w w:val="95"/>
        </w:rPr>
        <w:t xml:space="preserve"> </w:t>
      </w:r>
      <w:r>
        <w:rPr>
          <w:color w:val="231F20"/>
          <w:w w:val="95"/>
        </w:rPr>
        <w:t>segmentation.</w:t>
      </w:r>
      <w:r>
        <w:rPr>
          <w:color w:val="231F20"/>
          <w:spacing w:val="-9"/>
          <w:w w:val="95"/>
        </w:rPr>
        <w:t xml:space="preserve"> </w:t>
      </w:r>
      <w:r>
        <w:rPr>
          <w:color w:val="231F20"/>
          <w:w w:val="95"/>
        </w:rPr>
        <w:t>Similarly,</w:t>
      </w:r>
      <w:r>
        <w:rPr>
          <w:color w:val="231F20"/>
          <w:spacing w:val="-9"/>
          <w:w w:val="95"/>
        </w:rPr>
        <w:t xml:space="preserve"> </w:t>
      </w:r>
      <w:r>
        <w:rPr>
          <w:color w:val="231F20"/>
          <w:w w:val="95"/>
        </w:rPr>
        <w:t>va</w:t>
      </w:r>
      <w:r>
        <w:rPr>
          <w:color w:val="231F20"/>
          <w:w w:val="95"/>
        </w:rPr>
        <w:t>rious</w:t>
      </w:r>
      <w:r>
        <w:rPr>
          <w:color w:val="231F20"/>
          <w:spacing w:val="-10"/>
          <w:w w:val="95"/>
        </w:rPr>
        <w:t xml:space="preserve"> </w:t>
      </w:r>
      <w:r>
        <w:rPr>
          <w:color w:val="231F20"/>
          <w:w w:val="95"/>
        </w:rPr>
        <w:t>approaches</w:t>
      </w:r>
      <w:r>
        <w:rPr>
          <w:color w:val="231F20"/>
          <w:spacing w:val="-9"/>
          <w:w w:val="95"/>
        </w:rPr>
        <w:t xml:space="preserve"> </w:t>
      </w:r>
      <w:r>
        <w:rPr>
          <w:color w:val="231F20"/>
          <w:w w:val="95"/>
        </w:rPr>
        <w:t>to</w:t>
      </w:r>
      <w:r>
        <w:rPr>
          <w:color w:val="231F20"/>
          <w:spacing w:val="-9"/>
          <w:w w:val="95"/>
        </w:rPr>
        <w:t xml:space="preserve"> </w:t>
      </w:r>
      <w:r>
        <w:rPr>
          <w:color w:val="231F20"/>
          <w:w w:val="95"/>
        </w:rPr>
        <w:t>segmentation</w:t>
      </w:r>
      <w:r>
        <w:rPr>
          <w:color w:val="231F20"/>
          <w:spacing w:val="-9"/>
          <w:w w:val="95"/>
        </w:rPr>
        <w:t xml:space="preserve"> </w:t>
      </w:r>
      <w:r>
        <w:rPr>
          <w:color w:val="231F20"/>
          <w:w w:val="95"/>
        </w:rPr>
        <w:t xml:space="preserve">have </w:t>
      </w:r>
      <w:r>
        <w:rPr>
          <w:color w:val="231F20"/>
        </w:rPr>
        <w:t>been</w:t>
      </w:r>
      <w:r>
        <w:rPr>
          <w:color w:val="231F20"/>
          <w:spacing w:val="-12"/>
        </w:rPr>
        <w:t xml:space="preserve"> </w:t>
      </w:r>
      <w:r>
        <w:rPr>
          <w:color w:val="231F20"/>
        </w:rPr>
        <w:t>applied</w:t>
      </w:r>
      <w:r>
        <w:rPr>
          <w:color w:val="231F20"/>
          <w:spacing w:val="-12"/>
        </w:rPr>
        <w:t xml:space="preserve"> </w:t>
      </w:r>
      <w:r>
        <w:rPr>
          <w:color w:val="231F20"/>
        </w:rPr>
        <w:t>to</w:t>
      </w:r>
      <w:r>
        <w:rPr>
          <w:color w:val="231F20"/>
          <w:spacing w:val="-11"/>
        </w:rPr>
        <w:t xml:space="preserve"> </w:t>
      </w:r>
      <w:r>
        <w:rPr>
          <w:color w:val="231F20"/>
        </w:rPr>
        <w:t>the</w:t>
      </w:r>
      <w:r>
        <w:rPr>
          <w:color w:val="231F20"/>
          <w:spacing w:val="-12"/>
        </w:rPr>
        <w:t xml:space="preserve"> </w:t>
      </w:r>
      <w:r>
        <w:rPr>
          <w:color w:val="231F20"/>
        </w:rPr>
        <w:t>active</w:t>
      </w:r>
      <w:r>
        <w:rPr>
          <w:color w:val="231F20"/>
          <w:spacing w:val="-11"/>
        </w:rPr>
        <w:t xml:space="preserve"> </w:t>
      </w:r>
      <w:r>
        <w:rPr>
          <w:color w:val="231F20"/>
        </w:rPr>
        <w:t>sport</w:t>
      </w:r>
      <w:r>
        <w:rPr>
          <w:color w:val="231F20"/>
          <w:spacing w:val="-12"/>
        </w:rPr>
        <w:t xml:space="preserve"> </w:t>
      </w:r>
      <w:r>
        <w:rPr>
          <w:color w:val="231F20"/>
        </w:rPr>
        <w:t>tourism</w:t>
      </w:r>
      <w:r>
        <w:rPr>
          <w:color w:val="231F20"/>
          <w:spacing w:val="-11"/>
        </w:rPr>
        <w:t xml:space="preserve"> </w:t>
      </w:r>
      <w:r>
        <w:rPr>
          <w:color w:val="231F20"/>
        </w:rPr>
        <w:t>market</w:t>
      </w:r>
      <w:r>
        <w:rPr>
          <w:color w:val="231F20"/>
          <w:spacing w:val="-12"/>
        </w:rPr>
        <w:t xml:space="preserve"> </w:t>
      </w:r>
      <w:r>
        <w:rPr>
          <w:color w:val="231F20"/>
        </w:rPr>
        <w:t>(e.g.</w:t>
      </w:r>
      <w:r>
        <w:rPr>
          <w:color w:val="231F20"/>
          <w:spacing w:val="-12"/>
        </w:rPr>
        <w:t xml:space="preserve"> </w:t>
      </w:r>
      <w:r>
        <w:rPr>
          <w:color w:val="231F20"/>
        </w:rPr>
        <w:t>Gibson</w:t>
      </w:r>
      <w:r>
        <w:rPr>
          <w:color w:val="231F20"/>
          <w:spacing w:val="-11"/>
        </w:rPr>
        <w:t xml:space="preserve"> </w:t>
      </w:r>
      <w:r>
        <w:rPr>
          <w:i/>
          <w:color w:val="231F20"/>
        </w:rPr>
        <w:t>et</w:t>
      </w:r>
      <w:r>
        <w:rPr>
          <w:i/>
          <w:color w:val="231F20"/>
          <w:spacing w:val="-12"/>
        </w:rPr>
        <w:t xml:space="preserve"> </w:t>
      </w:r>
      <w:r>
        <w:rPr>
          <w:i/>
          <w:color w:val="231F20"/>
        </w:rPr>
        <w:t>al</w:t>
      </w:r>
      <w:r>
        <w:rPr>
          <w:color w:val="231F20"/>
        </w:rPr>
        <w:t>.,</w:t>
      </w:r>
      <w:r>
        <w:rPr>
          <w:color w:val="231F20"/>
          <w:spacing w:val="-11"/>
        </w:rPr>
        <w:t xml:space="preserve"> </w:t>
      </w:r>
      <w:r>
        <w:rPr>
          <w:color w:val="231F20"/>
        </w:rPr>
        <w:t>1998).</w:t>
      </w:r>
    </w:p>
    <w:p w14:paraId="56210D8C" w14:textId="77777777" w:rsidR="00AE0598" w:rsidRDefault="00AE0598">
      <w:pPr>
        <w:pStyle w:val="Corpodetexto"/>
        <w:spacing w:before="1"/>
        <w:rPr>
          <w:sz w:val="22"/>
        </w:rPr>
      </w:pPr>
    </w:p>
    <w:p w14:paraId="4D11865B" w14:textId="77777777" w:rsidR="00AE0598" w:rsidRDefault="0069255A">
      <w:pPr>
        <w:ind w:left="110"/>
        <w:jc w:val="both"/>
        <w:rPr>
          <w:rFonts w:ascii="Trebuchet MS"/>
          <w:sz w:val="20"/>
        </w:rPr>
      </w:pPr>
      <w:r>
        <w:rPr>
          <w:rFonts w:ascii="Trebuchet MS"/>
          <w:color w:val="231F20"/>
          <w:w w:val="105"/>
          <w:sz w:val="20"/>
        </w:rPr>
        <w:t>Geographic</w:t>
      </w:r>
      <w:r>
        <w:rPr>
          <w:rFonts w:ascii="Trebuchet MS"/>
          <w:color w:val="231F20"/>
          <w:spacing w:val="-8"/>
          <w:w w:val="105"/>
          <w:sz w:val="20"/>
        </w:rPr>
        <w:t xml:space="preserve"> </w:t>
      </w:r>
      <w:r>
        <w:rPr>
          <w:rFonts w:ascii="Trebuchet MS"/>
          <w:color w:val="231F20"/>
          <w:w w:val="105"/>
          <w:sz w:val="20"/>
        </w:rPr>
        <w:t>market</w:t>
      </w:r>
      <w:r>
        <w:rPr>
          <w:rFonts w:ascii="Trebuchet MS"/>
          <w:color w:val="231F20"/>
          <w:spacing w:val="-8"/>
          <w:w w:val="105"/>
          <w:sz w:val="20"/>
        </w:rPr>
        <w:t xml:space="preserve"> </w:t>
      </w:r>
      <w:r>
        <w:rPr>
          <w:rFonts w:ascii="Trebuchet MS"/>
          <w:color w:val="231F20"/>
          <w:spacing w:val="-2"/>
          <w:w w:val="105"/>
          <w:sz w:val="20"/>
        </w:rPr>
        <w:t>segmentation</w:t>
      </w:r>
    </w:p>
    <w:p w14:paraId="345C2A60" w14:textId="77777777" w:rsidR="00AE0598" w:rsidRDefault="0069255A">
      <w:pPr>
        <w:pStyle w:val="Corpodetexto"/>
        <w:spacing w:before="122" w:line="232" w:lineRule="auto"/>
        <w:ind w:left="110" w:right="126" w:firstLine="320"/>
        <w:jc w:val="both"/>
      </w:pPr>
      <w:r>
        <w:rPr>
          <w:color w:val="231F20"/>
          <w:w w:val="95"/>
        </w:rPr>
        <w:t xml:space="preserve">Geographic segmentation of the active sport tourism market, based on </w:t>
      </w:r>
      <w:r>
        <w:rPr>
          <w:color w:val="231F20"/>
        </w:rPr>
        <w:t>visitor origins or market location, is a popular approach to the practice of sport tourism. The geography of sport establishes the link between place</w:t>
      </w:r>
      <w:r>
        <w:rPr>
          <w:color w:val="231F20"/>
          <w:spacing w:val="-10"/>
        </w:rPr>
        <w:t xml:space="preserve"> </w:t>
      </w:r>
      <w:r>
        <w:rPr>
          <w:color w:val="231F20"/>
        </w:rPr>
        <w:t>of</w:t>
      </w:r>
      <w:r>
        <w:rPr>
          <w:color w:val="231F20"/>
          <w:spacing w:val="-10"/>
        </w:rPr>
        <w:t xml:space="preserve"> </w:t>
      </w:r>
      <w:r>
        <w:rPr>
          <w:color w:val="231F20"/>
        </w:rPr>
        <w:t>residence</w:t>
      </w:r>
      <w:r>
        <w:rPr>
          <w:color w:val="231F20"/>
          <w:spacing w:val="-10"/>
        </w:rPr>
        <w:t xml:space="preserve"> </w:t>
      </w:r>
      <w:r>
        <w:rPr>
          <w:color w:val="231F20"/>
        </w:rPr>
        <w:t>and</w:t>
      </w:r>
      <w:r>
        <w:rPr>
          <w:color w:val="231F20"/>
          <w:spacing w:val="-10"/>
        </w:rPr>
        <w:t xml:space="preserve"> </w:t>
      </w:r>
      <w:r>
        <w:rPr>
          <w:color w:val="231F20"/>
        </w:rPr>
        <w:t>exposure</w:t>
      </w:r>
      <w:r>
        <w:rPr>
          <w:color w:val="231F20"/>
          <w:spacing w:val="-10"/>
        </w:rPr>
        <w:t xml:space="preserve"> </w:t>
      </w:r>
      <w:r>
        <w:rPr>
          <w:color w:val="231F20"/>
        </w:rPr>
        <w:t>to</w:t>
      </w:r>
      <w:r>
        <w:rPr>
          <w:color w:val="231F20"/>
          <w:spacing w:val="-10"/>
        </w:rPr>
        <w:t xml:space="preserve"> </w:t>
      </w:r>
      <w:r>
        <w:rPr>
          <w:color w:val="231F20"/>
        </w:rPr>
        <w:t>specific</w:t>
      </w:r>
      <w:r>
        <w:rPr>
          <w:color w:val="231F20"/>
          <w:spacing w:val="-10"/>
        </w:rPr>
        <w:t xml:space="preserve"> </w:t>
      </w:r>
      <w:r>
        <w:rPr>
          <w:color w:val="231F20"/>
        </w:rPr>
        <w:t>built</w:t>
      </w:r>
      <w:r>
        <w:rPr>
          <w:color w:val="231F20"/>
          <w:spacing w:val="-10"/>
        </w:rPr>
        <w:t xml:space="preserve"> </w:t>
      </w:r>
      <w:r>
        <w:rPr>
          <w:color w:val="231F20"/>
        </w:rPr>
        <w:t>or</w:t>
      </w:r>
      <w:r>
        <w:rPr>
          <w:color w:val="231F20"/>
          <w:spacing w:val="-10"/>
        </w:rPr>
        <w:t xml:space="preserve"> </w:t>
      </w:r>
      <w:r>
        <w:rPr>
          <w:color w:val="231F20"/>
        </w:rPr>
        <w:t>natural</w:t>
      </w:r>
      <w:r>
        <w:rPr>
          <w:color w:val="231F20"/>
          <w:spacing w:val="-10"/>
        </w:rPr>
        <w:t xml:space="preserve"> </w:t>
      </w:r>
      <w:r>
        <w:rPr>
          <w:color w:val="231F20"/>
        </w:rPr>
        <w:t>(e.g.</w:t>
      </w:r>
      <w:r>
        <w:rPr>
          <w:color w:val="231F20"/>
          <w:spacing w:val="-10"/>
        </w:rPr>
        <w:t xml:space="preserve"> </w:t>
      </w:r>
      <w:r>
        <w:rPr>
          <w:color w:val="231F20"/>
        </w:rPr>
        <w:t xml:space="preserve">seasonal) </w:t>
      </w:r>
      <w:r>
        <w:rPr>
          <w:color w:val="231F20"/>
          <w:w w:val="95"/>
        </w:rPr>
        <w:t>sports resources and, therefore, opportunities to engage in certain sports</w:t>
      </w:r>
      <w:r>
        <w:rPr>
          <w:color w:val="231F20"/>
          <w:spacing w:val="80"/>
          <w:w w:val="150"/>
        </w:rPr>
        <w:t xml:space="preserve"> </w:t>
      </w:r>
      <w:r>
        <w:rPr>
          <w:color w:val="231F20"/>
          <w:w w:val="95"/>
        </w:rPr>
        <w:t>in specified locations (Bale, 1989; Rooney &amp; Pillbury, 1992). Proximity to sports</w:t>
      </w:r>
      <w:r>
        <w:rPr>
          <w:color w:val="231F20"/>
          <w:spacing w:val="-4"/>
          <w:w w:val="95"/>
        </w:rPr>
        <w:t xml:space="preserve"> </w:t>
      </w:r>
      <w:r>
        <w:rPr>
          <w:color w:val="231F20"/>
          <w:w w:val="95"/>
        </w:rPr>
        <w:t>resources,</w:t>
      </w:r>
      <w:r>
        <w:rPr>
          <w:color w:val="231F20"/>
          <w:spacing w:val="-4"/>
          <w:w w:val="95"/>
        </w:rPr>
        <w:t xml:space="preserve"> </w:t>
      </w:r>
      <w:r>
        <w:rPr>
          <w:color w:val="231F20"/>
          <w:w w:val="95"/>
        </w:rPr>
        <w:t>be</w:t>
      </w:r>
      <w:r>
        <w:rPr>
          <w:color w:val="231F20"/>
          <w:spacing w:val="-4"/>
          <w:w w:val="95"/>
        </w:rPr>
        <w:t xml:space="preserve"> </w:t>
      </w:r>
      <w:r>
        <w:rPr>
          <w:color w:val="231F20"/>
          <w:w w:val="95"/>
        </w:rPr>
        <w:t>they</w:t>
      </w:r>
      <w:r>
        <w:rPr>
          <w:color w:val="231F20"/>
          <w:spacing w:val="-4"/>
          <w:w w:val="95"/>
        </w:rPr>
        <w:t xml:space="preserve"> </w:t>
      </w:r>
      <w:r>
        <w:rPr>
          <w:color w:val="231F20"/>
          <w:w w:val="95"/>
        </w:rPr>
        <w:t>natural</w:t>
      </w:r>
      <w:r>
        <w:rPr>
          <w:color w:val="231F20"/>
          <w:spacing w:val="-5"/>
          <w:w w:val="95"/>
        </w:rPr>
        <w:t xml:space="preserve"> </w:t>
      </w:r>
      <w:r>
        <w:rPr>
          <w:color w:val="231F20"/>
          <w:w w:val="95"/>
        </w:rPr>
        <w:t>(e.g.</w:t>
      </w:r>
      <w:r>
        <w:rPr>
          <w:color w:val="231F20"/>
          <w:spacing w:val="-5"/>
          <w:w w:val="95"/>
        </w:rPr>
        <w:t xml:space="preserve"> </w:t>
      </w:r>
      <w:r>
        <w:rPr>
          <w:color w:val="231F20"/>
          <w:w w:val="95"/>
        </w:rPr>
        <w:t>surf</w:t>
      </w:r>
      <w:r>
        <w:rPr>
          <w:color w:val="231F20"/>
          <w:spacing w:val="-4"/>
          <w:w w:val="95"/>
        </w:rPr>
        <w:t xml:space="preserve"> </w:t>
      </w:r>
      <w:r>
        <w:rPr>
          <w:color w:val="231F20"/>
          <w:w w:val="95"/>
        </w:rPr>
        <w:t>beaches),</w:t>
      </w:r>
      <w:r>
        <w:rPr>
          <w:color w:val="231F20"/>
          <w:spacing w:val="-5"/>
          <w:w w:val="95"/>
        </w:rPr>
        <w:t xml:space="preserve"> </w:t>
      </w:r>
      <w:r>
        <w:rPr>
          <w:color w:val="231F20"/>
          <w:w w:val="95"/>
        </w:rPr>
        <w:t>built</w:t>
      </w:r>
      <w:r>
        <w:rPr>
          <w:color w:val="231F20"/>
          <w:spacing w:val="-5"/>
          <w:w w:val="95"/>
        </w:rPr>
        <w:t xml:space="preserve"> </w:t>
      </w:r>
      <w:r>
        <w:rPr>
          <w:color w:val="231F20"/>
          <w:w w:val="95"/>
        </w:rPr>
        <w:t>(e.g.</w:t>
      </w:r>
      <w:r>
        <w:rPr>
          <w:color w:val="231F20"/>
          <w:spacing w:val="-5"/>
          <w:w w:val="95"/>
        </w:rPr>
        <w:t xml:space="preserve"> </w:t>
      </w:r>
      <w:r>
        <w:rPr>
          <w:color w:val="231F20"/>
          <w:w w:val="95"/>
        </w:rPr>
        <w:t>sports</w:t>
      </w:r>
      <w:r>
        <w:rPr>
          <w:color w:val="231F20"/>
          <w:spacing w:val="-4"/>
          <w:w w:val="95"/>
        </w:rPr>
        <w:t xml:space="preserve"> </w:t>
      </w:r>
      <w:r>
        <w:rPr>
          <w:color w:val="231F20"/>
          <w:w w:val="95"/>
        </w:rPr>
        <w:t xml:space="preserve">stadia) </w:t>
      </w:r>
      <w:r>
        <w:rPr>
          <w:color w:val="231F20"/>
        </w:rPr>
        <w:t xml:space="preserve">or a combination of the two (e.g. ski resorts), bears upon the propensity </w:t>
      </w:r>
      <w:r>
        <w:rPr>
          <w:color w:val="231F20"/>
          <w:w w:val="95"/>
        </w:rPr>
        <w:t xml:space="preserve">to consume certain sports as competitors, participants and/or spectators. </w:t>
      </w:r>
      <w:r>
        <w:rPr>
          <w:color w:val="231F20"/>
        </w:rPr>
        <w:t>Place</w:t>
      </w:r>
      <w:r>
        <w:rPr>
          <w:color w:val="231F20"/>
          <w:spacing w:val="-8"/>
        </w:rPr>
        <w:t xml:space="preserve"> </w:t>
      </w:r>
      <w:r>
        <w:rPr>
          <w:color w:val="231F20"/>
        </w:rPr>
        <w:t>of</w:t>
      </w:r>
      <w:r>
        <w:rPr>
          <w:color w:val="231F20"/>
          <w:spacing w:val="-8"/>
        </w:rPr>
        <w:t xml:space="preserve"> </w:t>
      </w:r>
      <w:r>
        <w:rPr>
          <w:color w:val="231F20"/>
        </w:rPr>
        <w:t>residence</w:t>
      </w:r>
      <w:r>
        <w:rPr>
          <w:color w:val="231F20"/>
          <w:spacing w:val="-8"/>
        </w:rPr>
        <w:t xml:space="preserve"> </w:t>
      </w:r>
      <w:r>
        <w:rPr>
          <w:color w:val="231F20"/>
        </w:rPr>
        <w:t>also</w:t>
      </w:r>
      <w:r>
        <w:rPr>
          <w:color w:val="231F20"/>
          <w:spacing w:val="-8"/>
        </w:rPr>
        <w:t xml:space="preserve"> </w:t>
      </w:r>
      <w:r>
        <w:rPr>
          <w:color w:val="231F20"/>
        </w:rPr>
        <w:t>exposes</w:t>
      </w:r>
      <w:r>
        <w:rPr>
          <w:color w:val="231F20"/>
          <w:spacing w:val="-8"/>
        </w:rPr>
        <w:t xml:space="preserve"> </w:t>
      </w:r>
      <w:r>
        <w:rPr>
          <w:color w:val="231F20"/>
        </w:rPr>
        <w:t>individuals</w:t>
      </w:r>
      <w:r>
        <w:rPr>
          <w:color w:val="231F20"/>
          <w:spacing w:val="-8"/>
        </w:rPr>
        <w:t xml:space="preserve"> </w:t>
      </w:r>
      <w:r>
        <w:rPr>
          <w:color w:val="231F20"/>
        </w:rPr>
        <w:t>and</w:t>
      </w:r>
      <w:r>
        <w:rPr>
          <w:color w:val="231F20"/>
          <w:spacing w:val="-8"/>
        </w:rPr>
        <w:t xml:space="preserve"> </w:t>
      </w:r>
      <w:r>
        <w:rPr>
          <w:color w:val="231F20"/>
        </w:rPr>
        <w:t>communities</w:t>
      </w:r>
      <w:r>
        <w:rPr>
          <w:color w:val="231F20"/>
          <w:spacing w:val="-8"/>
        </w:rPr>
        <w:t xml:space="preserve"> </w:t>
      </w:r>
      <w:r>
        <w:rPr>
          <w:color w:val="231F20"/>
        </w:rPr>
        <w:t>to</w:t>
      </w:r>
      <w:r>
        <w:rPr>
          <w:color w:val="231F20"/>
          <w:spacing w:val="-8"/>
        </w:rPr>
        <w:t xml:space="preserve"> </w:t>
      </w:r>
      <w:r>
        <w:rPr>
          <w:color w:val="231F20"/>
        </w:rPr>
        <w:t>the</w:t>
      </w:r>
      <w:r>
        <w:rPr>
          <w:color w:val="231F20"/>
          <w:spacing w:val="-8"/>
        </w:rPr>
        <w:t xml:space="preserve"> </w:t>
      </w:r>
      <w:r>
        <w:rPr>
          <w:color w:val="231F20"/>
        </w:rPr>
        <w:t>sport cultures</w:t>
      </w:r>
      <w:r>
        <w:rPr>
          <w:color w:val="231F20"/>
          <w:spacing w:val="-4"/>
        </w:rPr>
        <w:t xml:space="preserve"> </w:t>
      </w:r>
      <w:r>
        <w:rPr>
          <w:color w:val="231F20"/>
        </w:rPr>
        <w:t>of</w:t>
      </w:r>
      <w:r>
        <w:rPr>
          <w:color w:val="231F20"/>
          <w:spacing w:val="-4"/>
        </w:rPr>
        <w:t xml:space="preserve"> </w:t>
      </w:r>
      <w:r>
        <w:rPr>
          <w:color w:val="231F20"/>
        </w:rPr>
        <w:t>a</w:t>
      </w:r>
      <w:r>
        <w:rPr>
          <w:color w:val="231F20"/>
          <w:spacing w:val="-4"/>
        </w:rPr>
        <w:t xml:space="preserve"> </w:t>
      </w:r>
      <w:r>
        <w:rPr>
          <w:color w:val="231F20"/>
        </w:rPr>
        <w:t>place,</w:t>
      </w:r>
      <w:r>
        <w:rPr>
          <w:color w:val="231F20"/>
          <w:spacing w:val="-4"/>
        </w:rPr>
        <w:t xml:space="preserve"> </w:t>
      </w:r>
      <w:r>
        <w:rPr>
          <w:color w:val="231F20"/>
        </w:rPr>
        <w:t>which</w:t>
      </w:r>
      <w:r>
        <w:rPr>
          <w:color w:val="231F20"/>
          <w:spacing w:val="-4"/>
        </w:rPr>
        <w:t xml:space="preserve"> </w:t>
      </w:r>
      <w:r>
        <w:rPr>
          <w:color w:val="231F20"/>
        </w:rPr>
        <w:t>although</w:t>
      </w:r>
      <w:r>
        <w:rPr>
          <w:color w:val="231F20"/>
          <w:spacing w:val="-4"/>
        </w:rPr>
        <w:t xml:space="preserve"> </w:t>
      </w:r>
      <w:r>
        <w:rPr>
          <w:color w:val="231F20"/>
        </w:rPr>
        <w:t>challenged</w:t>
      </w:r>
      <w:r>
        <w:rPr>
          <w:color w:val="231F20"/>
          <w:spacing w:val="-4"/>
        </w:rPr>
        <w:t xml:space="preserve"> </w:t>
      </w:r>
      <w:r>
        <w:rPr>
          <w:color w:val="231F20"/>
        </w:rPr>
        <w:t>by</w:t>
      </w:r>
      <w:r>
        <w:rPr>
          <w:color w:val="231F20"/>
          <w:spacing w:val="-4"/>
        </w:rPr>
        <w:t xml:space="preserve"> </w:t>
      </w:r>
      <w:r>
        <w:rPr>
          <w:color w:val="231F20"/>
        </w:rPr>
        <w:t>the</w:t>
      </w:r>
      <w:r>
        <w:rPr>
          <w:color w:val="231F20"/>
          <w:spacing w:val="-4"/>
        </w:rPr>
        <w:t xml:space="preserve"> </w:t>
      </w:r>
      <w:r>
        <w:rPr>
          <w:color w:val="231F20"/>
        </w:rPr>
        <w:t>relentless</w:t>
      </w:r>
      <w:r>
        <w:rPr>
          <w:color w:val="231F20"/>
          <w:spacing w:val="-4"/>
        </w:rPr>
        <w:t xml:space="preserve"> </w:t>
      </w:r>
      <w:r>
        <w:rPr>
          <w:color w:val="231F20"/>
        </w:rPr>
        <w:t>progress of global forces in sport and tourism (Higham &amp; Hinch, 2009), continue to</w:t>
      </w:r>
      <w:r>
        <w:rPr>
          <w:color w:val="231F20"/>
          <w:spacing w:val="-6"/>
        </w:rPr>
        <w:t xml:space="preserve"> </w:t>
      </w:r>
      <w:r>
        <w:rPr>
          <w:color w:val="231F20"/>
        </w:rPr>
        <w:t>exist</w:t>
      </w:r>
      <w:r>
        <w:rPr>
          <w:color w:val="231F20"/>
          <w:spacing w:val="-6"/>
        </w:rPr>
        <w:t xml:space="preserve"> </w:t>
      </w:r>
      <w:r>
        <w:rPr>
          <w:color w:val="231F20"/>
        </w:rPr>
        <w:t>at</w:t>
      </w:r>
      <w:r>
        <w:rPr>
          <w:color w:val="231F20"/>
          <w:spacing w:val="-6"/>
        </w:rPr>
        <w:t xml:space="preserve"> </w:t>
      </w:r>
      <w:r>
        <w:rPr>
          <w:color w:val="231F20"/>
        </w:rPr>
        <w:t>a</w:t>
      </w:r>
      <w:r>
        <w:rPr>
          <w:color w:val="231F20"/>
          <w:spacing w:val="-6"/>
        </w:rPr>
        <w:t xml:space="preserve"> </w:t>
      </w:r>
      <w:r>
        <w:rPr>
          <w:color w:val="231F20"/>
        </w:rPr>
        <w:t>range</w:t>
      </w:r>
      <w:r>
        <w:rPr>
          <w:color w:val="231F20"/>
          <w:spacing w:val="-6"/>
        </w:rPr>
        <w:t xml:space="preserve"> </w:t>
      </w:r>
      <w:r>
        <w:rPr>
          <w:color w:val="231F20"/>
        </w:rPr>
        <w:t>of</w:t>
      </w:r>
      <w:r>
        <w:rPr>
          <w:color w:val="231F20"/>
          <w:spacing w:val="-6"/>
        </w:rPr>
        <w:t xml:space="preserve"> </w:t>
      </w:r>
      <w:r>
        <w:rPr>
          <w:color w:val="231F20"/>
        </w:rPr>
        <w:t>spatial</w:t>
      </w:r>
      <w:r>
        <w:rPr>
          <w:color w:val="231F20"/>
          <w:spacing w:val="-6"/>
        </w:rPr>
        <w:t xml:space="preserve"> </w:t>
      </w:r>
      <w:r>
        <w:rPr>
          <w:color w:val="231F20"/>
        </w:rPr>
        <w:t>scales</w:t>
      </w:r>
      <w:r>
        <w:rPr>
          <w:color w:val="231F20"/>
          <w:spacing w:val="-6"/>
        </w:rPr>
        <w:t xml:space="preserve"> </w:t>
      </w:r>
      <w:r>
        <w:rPr>
          <w:color w:val="231F20"/>
        </w:rPr>
        <w:t>of</w:t>
      </w:r>
      <w:r>
        <w:rPr>
          <w:color w:val="231F20"/>
          <w:spacing w:val="-6"/>
        </w:rPr>
        <w:t xml:space="preserve"> </w:t>
      </w:r>
      <w:r>
        <w:rPr>
          <w:color w:val="231F20"/>
        </w:rPr>
        <w:t>analysis</w:t>
      </w:r>
      <w:r>
        <w:rPr>
          <w:color w:val="231F20"/>
          <w:spacing w:val="-6"/>
        </w:rPr>
        <w:t xml:space="preserve"> </w:t>
      </w:r>
      <w:r>
        <w:rPr>
          <w:color w:val="231F20"/>
        </w:rPr>
        <w:t>(see</w:t>
      </w:r>
      <w:r>
        <w:rPr>
          <w:color w:val="231F20"/>
          <w:spacing w:val="-6"/>
        </w:rPr>
        <w:t xml:space="preserve"> </w:t>
      </w:r>
      <w:r>
        <w:rPr>
          <w:color w:val="231F20"/>
        </w:rPr>
        <w:t>Focus</w:t>
      </w:r>
      <w:r>
        <w:rPr>
          <w:color w:val="231F20"/>
          <w:spacing w:val="-6"/>
        </w:rPr>
        <w:t xml:space="preserve"> </w:t>
      </w:r>
      <w:r>
        <w:rPr>
          <w:color w:val="231F20"/>
        </w:rPr>
        <w:t>Point</w:t>
      </w:r>
      <w:r>
        <w:rPr>
          <w:color w:val="231F20"/>
          <w:spacing w:val="-6"/>
        </w:rPr>
        <w:t xml:space="preserve"> </w:t>
      </w:r>
      <w:r>
        <w:rPr>
          <w:color w:val="231F20"/>
        </w:rPr>
        <w:t>3.1).</w:t>
      </w:r>
      <w:r>
        <w:rPr>
          <w:color w:val="231F20"/>
          <w:spacing w:val="-6"/>
        </w:rPr>
        <w:t xml:space="preserve"> </w:t>
      </w:r>
      <w:r>
        <w:rPr>
          <w:color w:val="231F20"/>
        </w:rPr>
        <w:t>It</w:t>
      </w:r>
      <w:r>
        <w:rPr>
          <w:color w:val="231F20"/>
          <w:spacing w:val="-6"/>
        </w:rPr>
        <w:t xml:space="preserve"> </w:t>
      </w:r>
      <w:r>
        <w:rPr>
          <w:color w:val="231F20"/>
        </w:rPr>
        <w:t xml:space="preserve">has </w:t>
      </w:r>
      <w:r>
        <w:rPr>
          <w:color w:val="231F20"/>
          <w:w w:val="95"/>
        </w:rPr>
        <w:t xml:space="preserve">been argued that the safeguarding and embellishment of unique regional </w:t>
      </w:r>
      <w:r>
        <w:rPr>
          <w:color w:val="231F20"/>
        </w:rPr>
        <w:t>sports cultures are critical to the uniqueness of sport and, therefore, the sustainability of sport-related tourism (Hinch &amp; Higham, 2005).</w:t>
      </w:r>
    </w:p>
    <w:p w14:paraId="4ED26C22" w14:textId="592D6538" w:rsidR="00AE0598" w:rsidRDefault="0069255A">
      <w:pPr>
        <w:pStyle w:val="Corpodetexto"/>
        <w:spacing w:before="7"/>
        <w:rPr>
          <w:sz w:val="14"/>
        </w:rPr>
      </w:pPr>
      <w:r>
        <w:rPr>
          <w:noProof/>
        </w:rPr>
        <mc:AlternateContent>
          <mc:Choice Requires="wps">
            <w:drawing>
              <wp:anchor distT="0" distB="0" distL="0" distR="0" simplePos="0" relativeHeight="487617536" behindDoc="1" locked="0" layoutInCell="1" allowOverlap="1" wp14:anchorId="1E649054" wp14:editId="560D5973">
                <wp:simplePos x="0" y="0"/>
                <wp:positionH relativeFrom="page">
                  <wp:posOffset>755650</wp:posOffset>
                </wp:positionH>
                <wp:positionV relativeFrom="paragraph">
                  <wp:posOffset>123825</wp:posOffset>
                </wp:positionV>
                <wp:extent cx="4104005" cy="1301750"/>
                <wp:effectExtent l="0" t="0" r="0" b="0"/>
                <wp:wrapTopAndBottom/>
                <wp:docPr id="266" name="docshape1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04005" cy="1301750"/>
                        </a:xfrm>
                        <a:prstGeom prst="rect">
                          <a:avLst/>
                        </a:prstGeom>
                        <a:solidFill>
                          <a:srgbClr val="DCDDD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F21D93B" w14:textId="77777777" w:rsidR="00AE0598" w:rsidRDefault="0069255A">
                            <w:pPr>
                              <w:spacing w:before="75"/>
                              <w:ind w:left="113"/>
                              <w:jc w:val="both"/>
                              <w:rPr>
                                <w:rFonts w:ascii="Trebuchet MS"/>
                                <w:color w:val="000000"/>
                                <w:sz w:val="20"/>
                              </w:rPr>
                            </w:pPr>
                            <w:r>
                              <w:rPr>
                                <w:rFonts w:ascii="Trebuchet MS"/>
                                <w:color w:val="231F20"/>
                                <w:sz w:val="20"/>
                              </w:rPr>
                              <w:t>Focus</w:t>
                            </w:r>
                            <w:r>
                              <w:rPr>
                                <w:rFonts w:ascii="Trebuchet MS"/>
                                <w:color w:val="231F20"/>
                                <w:spacing w:val="4"/>
                                <w:sz w:val="20"/>
                              </w:rPr>
                              <w:t xml:space="preserve"> </w:t>
                            </w:r>
                            <w:r>
                              <w:rPr>
                                <w:rFonts w:ascii="Trebuchet MS"/>
                                <w:color w:val="231F20"/>
                                <w:sz w:val="20"/>
                              </w:rPr>
                              <w:t>Point</w:t>
                            </w:r>
                            <w:r>
                              <w:rPr>
                                <w:rFonts w:ascii="Trebuchet MS"/>
                                <w:color w:val="231F20"/>
                                <w:spacing w:val="5"/>
                                <w:sz w:val="20"/>
                              </w:rPr>
                              <w:t xml:space="preserve"> </w:t>
                            </w:r>
                            <w:r>
                              <w:rPr>
                                <w:rFonts w:ascii="Trebuchet MS"/>
                                <w:color w:val="231F20"/>
                                <w:sz w:val="20"/>
                              </w:rPr>
                              <w:t>3.1:</w:t>
                            </w:r>
                            <w:r>
                              <w:rPr>
                                <w:rFonts w:ascii="Trebuchet MS"/>
                                <w:color w:val="231F20"/>
                                <w:spacing w:val="5"/>
                                <w:sz w:val="20"/>
                              </w:rPr>
                              <w:t xml:space="preserve"> </w:t>
                            </w:r>
                            <w:r>
                              <w:rPr>
                                <w:rFonts w:ascii="Trebuchet MS"/>
                                <w:color w:val="231F20"/>
                                <w:sz w:val="20"/>
                              </w:rPr>
                              <w:t>Sport</w:t>
                            </w:r>
                            <w:r>
                              <w:rPr>
                                <w:rFonts w:ascii="Trebuchet MS"/>
                                <w:color w:val="231F20"/>
                                <w:spacing w:val="5"/>
                                <w:sz w:val="20"/>
                              </w:rPr>
                              <w:t xml:space="preserve"> </w:t>
                            </w:r>
                            <w:r>
                              <w:rPr>
                                <w:rFonts w:ascii="Trebuchet MS"/>
                                <w:color w:val="231F20"/>
                                <w:sz w:val="20"/>
                              </w:rPr>
                              <w:t>and</w:t>
                            </w:r>
                            <w:r>
                              <w:rPr>
                                <w:rFonts w:ascii="Trebuchet MS"/>
                                <w:color w:val="231F20"/>
                                <w:spacing w:val="5"/>
                                <w:sz w:val="20"/>
                              </w:rPr>
                              <w:t xml:space="preserve"> </w:t>
                            </w:r>
                            <w:r>
                              <w:rPr>
                                <w:rFonts w:ascii="Trebuchet MS"/>
                                <w:color w:val="231F20"/>
                                <w:spacing w:val="-4"/>
                                <w:sz w:val="20"/>
                              </w:rPr>
                              <w:t>Space</w:t>
                            </w:r>
                          </w:p>
                          <w:p w14:paraId="10978467" w14:textId="77777777" w:rsidR="00AE0598" w:rsidRDefault="0069255A">
                            <w:pPr>
                              <w:pStyle w:val="Corpodetexto"/>
                              <w:spacing w:before="122" w:line="232" w:lineRule="auto"/>
                              <w:ind w:left="113" w:right="110"/>
                              <w:jc w:val="both"/>
                              <w:rPr>
                                <w:color w:val="000000"/>
                              </w:rPr>
                            </w:pPr>
                            <w:r>
                              <w:rPr>
                                <w:color w:val="231F20"/>
                              </w:rPr>
                              <w:t>More than</w:t>
                            </w:r>
                            <w:r>
                              <w:rPr>
                                <w:color w:val="231F20"/>
                              </w:rPr>
                              <w:t xml:space="preserve"> a game, sport is ‘a social phenomenon in its own right’ </w:t>
                            </w:r>
                            <w:r>
                              <w:rPr>
                                <w:color w:val="231F20"/>
                                <w:w w:val="95"/>
                              </w:rPr>
                              <w:t xml:space="preserve">(Laidlaw, 2010: 49). Indeed, Laidlaw (2010) explains that sport matters </w:t>
                            </w:r>
                            <w:r>
                              <w:rPr>
                                <w:color w:val="231F20"/>
                              </w:rPr>
                              <w:t>so much to national identity that it can alter the course of social and political history. Sport functions as a social phenomen</w:t>
                            </w:r>
                            <w:r>
                              <w:rPr>
                                <w:color w:val="231F20"/>
                              </w:rPr>
                              <w:t>on at a range</w:t>
                            </w:r>
                            <w:r>
                              <w:rPr>
                                <w:color w:val="231F20"/>
                                <w:spacing w:val="80"/>
                              </w:rPr>
                              <w:t xml:space="preserve"> </w:t>
                            </w:r>
                            <w:r>
                              <w:rPr>
                                <w:color w:val="231F20"/>
                              </w:rPr>
                              <w:t>of</w:t>
                            </w:r>
                            <w:r>
                              <w:rPr>
                                <w:color w:val="231F20"/>
                                <w:spacing w:val="27"/>
                              </w:rPr>
                              <w:t xml:space="preserve"> </w:t>
                            </w:r>
                            <w:r>
                              <w:rPr>
                                <w:color w:val="231F20"/>
                              </w:rPr>
                              <w:t>spatial</w:t>
                            </w:r>
                            <w:r>
                              <w:rPr>
                                <w:color w:val="231F20"/>
                                <w:spacing w:val="28"/>
                              </w:rPr>
                              <w:t xml:space="preserve"> </w:t>
                            </w:r>
                            <w:r>
                              <w:rPr>
                                <w:color w:val="231F20"/>
                              </w:rPr>
                              <w:t>scales.</w:t>
                            </w:r>
                            <w:r>
                              <w:rPr>
                                <w:color w:val="231F20"/>
                                <w:spacing w:val="27"/>
                              </w:rPr>
                              <w:t xml:space="preserve"> </w:t>
                            </w:r>
                            <w:r>
                              <w:rPr>
                                <w:color w:val="231F20"/>
                              </w:rPr>
                              <w:t>Laidlaw</w:t>
                            </w:r>
                            <w:r>
                              <w:rPr>
                                <w:color w:val="231F20"/>
                                <w:spacing w:val="28"/>
                              </w:rPr>
                              <w:t xml:space="preserve"> </w:t>
                            </w:r>
                            <w:r>
                              <w:rPr>
                                <w:color w:val="231F20"/>
                              </w:rPr>
                              <w:t>(2010)</w:t>
                            </w:r>
                            <w:r>
                              <w:rPr>
                                <w:color w:val="231F20"/>
                                <w:spacing w:val="27"/>
                              </w:rPr>
                              <w:t xml:space="preserve"> </w:t>
                            </w:r>
                            <w:r>
                              <w:rPr>
                                <w:color w:val="231F20"/>
                              </w:rPr>
                              <w:t>notes</w:t>
                            </w:r>
                            <w:r>
                              <w:rPr>
                                <w:color w:val="231F20"/>
                                <w:spacing w:val="28"/>
                              </w:rPr>
                              <w:t xml:space="preserve"> </w:t>
                            </w:r>
                            <w:r>
                              <w:rPr>
                                <w:color w:val="231F20"/>
                              </w:rPr>
                              <w:t>the</w:t>
                            </w:r>
                            <w:r>
                              <w:rPr>
                                <w:color w:val="231F20"/>
                                <w:spacing w:val="28"/>
                              </w:rPr>
                              <w:t xml:space="preserve"> </w:t>
                            </w:r>
                            <w:r>
                              <w:rPr>
                                <w:color w:val="231F20"/>
                              </w:rPr>
                              <w:t>important</w:t>
                            </w:r>
                            <w:r>
                              <w:rPr>
                                <w:color w:val="231F20"/>
                                <w:spacing w:val="27"/>
                              </w:rPr>
                              <w:t xml:space="preserve"> </w:t>
                            </w:r>
                            <w:r>
                              <w:rPr>
                                <w:color w:val="231F20"/>
                              </w:rPr>
                              <w:t>role</w:t>
                            </w:r>
                            <w:r>
                              <w:rPr>
                                <w:color w:val="231F20"/>
                                <w:spacing w:val="28"/>
                              </w:rPr>
                              <w:t xml:space="preserve"> </w:t>
                            </w:r>
                            <w:r>
                              <w:rPr>
                                <w:color w:val="231F20"/>
                              </w:rPr>
                              <w:t>of</w:t>
                            </w:r>
                            <w:r>
                              <w:rPr>
                                <w:color w:val="231F20"/>
                                <w:spacing w:val="27"/>
                              </w:rPr>
                              <w:t xml:space="preserve"> </w:t>
                            </w:r>
                            <w:r>
                              <w:rPr>
                                <w:color w:val="231F20"/>
                                <w:spacing w:val="-2"/>
                              </w:rPr>
                              <w:t>sports</w:t>
                            </w:r>
                          </w:p>
                          <w:p w14:paraId="1FBF2056" w14:textId="77777777" w:rsidR="00AE0598" w:rsidRDefault="0069255A">
                            <w:pPr>
                              <w:spacing w:before="102"/>
                              <w:ind w:right="111"/>
                              <w:jc w:val="right"/>
                              <w:rPr>
                                <w:rFonts w:ascii="Trebuchet MS"/>
                                <w:i/>
                                <w:color w:val="000000"/>
                                <w:sz w:val="18"/>
                              </w:rPr>
                            </w:pPr>
                            <w:r>
                              <w:rPr>
                                <w:rFonts w:ascii="Trebuchet MS"/>
                                <w:i/>
                                <w:color w:val="231F20"/>
                                <w:spacing w:val="-2"/>
                                <w:sz w:val="18"/>
                              </w:rPr>
                              <w:t>(Continued)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649054" id="docshape108" o:spid="_x0000_s1079" type="#_x0000_t202" style="position:absolute;margin-left:59.5pt;margin-top:9.75pt;width:323.15pt;height:102.5pt;z-index:-156989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" fillcolor="#dcddde" stroked="f">
                <v:textbox inset="0,0,0,0">
                  <w:txbxContent>
                    <w:p w14:paraId="3F21D93B" w14:textId="77777777" w:rsidR="00AE0598" w:rsidRDefault="0069255A">
                      <w:pPr>
                        <w:spacing w:before="75"/>
                        <w:ind w:left="113"/>
                        <w:jc w:val="both"/>
                        <w:rPr>
                          <w:rFonts w:ascii="Trebuchet MS"/>
                          <w:color w:val="000000"/>
                          <w:sz w:val="20"/>
                        </w:rPr>
                      </w:pPr>
                      <w:r>
                        <w:rPr>
                          <w:rFonts w:ascii="Trebuchet MS"/>
                          <w:color w:val="231F20"/>
                          <w:sz w:val="20"/>
                        </w:rPr>
                        <w:t>Focus</w:t>
                      </w:r>
                      <w:r>
                        <w:rPr>
                          <w:rFonts w:ascii="Trebuchet MS"/>
                          <w:color w:val="231F20"/>
                          <w:spacing w:val="4"/>
                          <w:sz w:val="20"/>
                        </w:rPr>
                        <w:t xml:space="preserve"> </w:t>
                      </w:r>
                      <w:r>
                        <w:rPr>
                          <w:rFonts w:ascii="Trebuchet MS"/>
                          <w:color w:val="231F20"/>
                          <w:sz w:val="20"/>
                        </w:rPr>
                        <w:t>Point</w:t>
                      </w:r>
                      <w:r>
                        <w:rPr>
                          <w:rFonts w:ascii="Trebuchet MS"/>
                          <w:color w:val="231F20"/>
                          <w:spacing w:val="5"/>
                          <w:sz w:val="20"/>
                        </w:rPr>
                        <w:t xml:space="preserve"> </w:t>
                      </w:r>
                      <w:r>
                        <w:rPr>
                          <w:rFonts w:ascii="Trebuchet MS"/>
                          <w:color w:val="231F20"/>
                          <w:sz w:val="20"/>
                        </w:rPr>
                        <w:t>3.1:</w:t>
                      </w:r>
                      <w:r>
                        <w:rPr>
                          <w:rFonts w:ascii="Trebuchet MS"/>
                          <w:color w:val="231F20"/>
                          <w:spacing w:val="5"/>
                          <w:sz w:val="20"/>
                        </w:rPr>
                        <w:t xml:space="preserve"> </w:t>
                      </w:r>
                      <w:r>
                        <w:rPr>
                          <w:rFonts w:ascii="Trebuchet MS"/>
                          <w:color w:val="231F20"/>
                          <w:sz w:val="20"/>
                        </w:rPr>
                        <w:t>Sport</w:t>
                      </w:r>
                      <w:r>
                        <w:rPr>
                          <w:rFonts w:ascii="Trebuchet MS"/>
                          <w:color w:val="231F20"/>
                          <w:spacing w:val="5"/>
                          <w:sz w:val="20"/>
                        </w:rPr>
                        <w:t xml:space="preserve"> </w:t>
                      </w:r>
                      <w:r>
                        <w:rPr>
                          <w:rFonts w:ascii="Trebuchet MS"/>
                          <w:color w:val="231F20"/>
                          <w:sz w:val="20"/>
                        </w:rPr>
                        <w:t>and</w:t>
                      </w:r>
                      <w:r>
                        <w:rPr>
                          <w:rFonts w:ascii="Trebuchet MS"/>
                          <w:color w:val="231F20"/>
                          <w:spacing w:val="5"/>
                          <w:sz w:val="20"/>
                        </w:rPr>
                        <w:t xml:space="preserve"> </w:t>
                      </w:r>
                      <w:r>
                        <w:rPr>
                          <w:rFonts w:ascii="Trebuchet MS"/>
                          <w:color w:val="231F20"/>
                          <w:spacing w:val="-4"/>
                          <w:sz w:val="20"/>
                        </w:rPr>
                        <w:t>Space</w:t>
                      </w:r>
                    </w:p>
                    <w:p w14:paraId="10978467" w14:textId="77777777" w:rsidR="00AE0598" w:rsidRDefault="0069255A">
                      <w:pPr>
                        <w:pStyle w:val="Corpodetexto"/>
                        <w:spacing w:before="122" w:line="232" w:lineRule="auto"/>
                        <w:ind w:left="113" w:right="110"/>
                        <w:jc w:val="both"/>
                        <w:rPr>
                          <w:color w:val="000000"/>
                        </w:rPr>
                      </w:pPr>
                      <w:r>
                        <w:rPr>
                          <w:color w:val="231F20"/>
                        </w:rPr>
                        <w:t>More than</w:t>
                      </w:r>
                      <w:r>
                        <w:rPr>
                          <w:color w:val="231F20"/>
                        </w:rPr>
                        <w:t xml:space="preserve"> a game, sport is ‘a social phenomenon in its own right’ </w:t>
                      </w:r>
                      <w:r>
                        <w:rPr>
                          <w:color w:val="231F20"/>
                          <w:w w:val="95"/>
                        </w:rPr>
                        <w:t xml:space="preserve">(Laidlaw, 2010: 49). Indeed, Laidlaw (2010) explains that sport matters </w:t>
                      </w:r>
                      <w:r>
                        <w:rPr>
                          <w:color w:val="231F20"/>
                        </w:rPr>
                        <w:t>so much to national identity that it can alter the course of social and political history. Sport functions as a social phenomen</w:t>
                      </w:r>
                      <w:r>
                        <w:rPr>
                          <w:color w:val="231F20"/>
                        </w:rPr>
                        <w:t>on at a range</w:t>
                      </w:r>
                      <w:r>
                        <w:rPr>
                          <w:color w:val="231F20"/>
                          <w:spacing w:val="80"/>
                        </w:rPr>
                        <w:t xml:space="preserve"> </w:t>
                      </w:r>
                      <w:r>
                        <w:rPr>
                          <w:color w:val="231F20"/>
                        </w:rPr>
                        <w:t>of</w:t>
                      </w:r>
                      <w:r>
                        <w:rPr>
                          <w:color w:val="231F20"/>
                          <w:spacing w:val="27"/>
                        </w:rPr>
                        <w:t xml:space="preserve"> </w:t>
                      </w:r>
                      <w:r>
                        <w:rPr>
                          <w:color w:val="231F20"/>
                        </w:rPr>
                        <w:t>spatial</w:t>
                      </w:r>
                      <w:r>
                        <w:rPr>
                          <w:color w:val="231F20"/>
                          <w:spacing w:val="28"/>
                        </w:rPr>
                        <w:t xml:space="preserve"> </w:t>
                      </w:r>
                      <w:r>
                        <w:rPr>
                          <w:color w:val="231F20"/>
                        </w:rPr>
                        <w:t>scales.</w:t>
                      </w:r>
                      <w:r>
                        <w:rPr>
                          <w:color w:val="231F20"/>
                          <w:spacing w:val="27"/>
                        </w:rPr>
                        <w:t xml:space="preserve"> </w:t>
                      </w:r>
                      <w:r>
                        <w:rPr>
                          <w:color w:val="231F20"/>
                        </w:rPr>
                        <w:t>Laidlaw</w:t>
                      </w:r>
                      <w:r>
                        <w:rPr>
                          <w:color w:val="231F20"/>
                          <w:spacing w:val="28"/>
                        </w:rPr>
                        <w:t xml:space="preserve"> </w:t>
                      </w:r>
                      <w:r>
                        <w:rPr>
                          <w:color w:val="231F20"/>
                        </w:rPr>
                        <w:t>(2010)</w:t>
                      </w:r>
                      <w:r>
                        <w:rPr>
                          <w:color w:val="231F20"/>
                          <w:spacing w:val="27"/>
                        </w:rPr>
                        <w:t xml:space="preserve"> </w:t>
                      </w:r>
                      <w:r>
                        <w:rPr>
                          <w:color w:val="231F20"/>
                        </w:rPr>
                        <w:t>notes</w:t>
                      </w:r>
                      <w:r>
                        <w:rPr>
                          <w:color w:val="231F20"/>
                          <w:spacing w:val="28"/>
                        </w:rPr>
                        <w:t xml:space="preserve"> </w:t>
                      </w:r>
                      <w:r>
                        <w:rPr>
                          <w:color w:val="231F20"/>
                        </w:rPr>
                        <w:t>the</w:t>
                      </w:r>
                      <w:r>
                        <w:rPr>
                          <w:color w:val="231F20"/>
                          <w:spacing w:val="28"/>
                        </w:rPr>
                        <w:t xml:space="preserve"> </w:t>
                      </w:r>
                      <w:r>
                        <w:rPr>
                          <w:color w:val="231F20"/>
                        </w:rPr>
                        <w:t>important</w:t>
                      </w:r>
                      <w:r>
                        <w:rPr>
                          <w:color w:val="231F20"/>
                          <w:spacing w:val="27"/>
                        </w:rPr>
                        <w:t xml:space="preserve"> </w:t>
                      </w:r>
                      <w:r>
                        <w:rPr>
                          <w:color w:val="231F20"/>
                        </w:rPr>
                        <w:t>role</w:t>
                      </w:r>
                      <w:r>
                        <w:rPr>
                          <w:color w:val="231F20"/>
                          <w:spacing w:val="28"/>
                        </w:rPr>
                        <w:t xml:space="preserve"> </w:t>
                      </w:r>
                      <w:r>
                        <w:rPr>
                          <w:color w:val="231F20"/>
                        </w:rPr>
                        <w:t>of</w:t>
                      </w:r>
                      <w:r>
                        <w:rPr>
                          <w:color w:val="231F20"/>
                          <w:spacing w:val="27"/>
                        </w:rPr>
                        <w:t xml:space="preserve"> </w:t>
                      </w:r>
                      <w:r>
                        <w:rPr>
                          <w:color w:val="231F20"/>
                          <w:spacing w:val="-2"/>
                        </w:rPr>
                        <w:t>sports</w:t>
                      </w:r>
                    </w:p>
                    <w:p w14:paraId="1FBF2056" w14:textId="77777777" w:rsidR="00AE0598" w:rsidRDefault="0069255A">
                      <w:pPr>
                        <w:spacing w:before="102"/>
                        <w:ind w:right="111"/>
                        <w:jc w:val="right"/>
                        <w:rPr>
                          <w:rFonts w:ascii="Trebuchet MS"/>
                          <w:i/>
                          <w:color w:val="000000"/>
                          <w:sz w:val="18"/>
                        </w:rPr>
                      </w:pPr>
                      <w:r>
                        <w:rPr>
                          <w:rFonts w:ascii="Trebuchet MS"/>
                          <w:i/>
                          <w:color w:val="231F20"/>
                          <w:spacing w:val="-2"/>
                          <w:sz w:val="18"/>
                        </w:rPr>
                        <w:t>(Continued)</w:t>
                      </w:r>
                    </w:p>
                  </w:txbxContent>
                </v:textbox>
                <w10:wrap type="topAndBottom" anchorx="page"/>
              </v:shape>
            </w:pict>
          </mc:Fallback>
        </mc:AlternateContent>
      </w:r>
    </w:p>
    <w:p w14:paraId="798B2439" w14:textId="77777777" w:rsidR="00AE0598" w:rsidRDefault="00AE0598">
      <w:pPr>
        <w:rPr>
          <w:sz w:val="14"/>
        </w:rPr>
        <w:sectPr w:rsidR="00AE0598">
          <w:pgSz w:w="8850" w:h="13270"/>
          <w:pgMar w:top="720" w:right="1060" w:bottom="280" w:left="1080" w:header="720" w:footer="720" w:gutter="0"/>
          <w:cols w:space="720"/>
        </w:sectPr>
      </w:pPr>
    </w:p>
    <w:p w14:paraId="69F990AC" w14:textId="77777777" w:rsidR="00AE0598" w:rsidRDefault="0069255A">
      <w:pPr>
        <w:spacing w:before="87"/>
        <w:ind w:left="108"/>
        <w:rPr>
          <w:rFonts w:ascii="Trebuchet MS"/>
          <w:sz w:val="14"/>
        </w:rPr>
      </w:pPr>
      <w:r>
        <w:rPr>
          <w:rFonts w:ascii="Trebuchet MS"/>
          <w:color w:val="231F20"/>
          <w:w w:val="105"/>
          <w:sz w:val="14"/>
        </w:rPr>
        <w:lastRenderedPageBreak/>
        <w:t>52</w:t>
      </w:r>
      <w:r>
        <w:rPr>
          <w:rFonts w:ascii="Trebuchet MS"/>
          <w:color w:val="231F20"/>
          <w:spacing w:val="64"/>
          <w:w w:val="150"/>
          <w:sz w:val="14"/>
        </w:rPr>
        <w:t xml:space="preserve"> </w:t>
      </w:r>
      <w:r>
        <w:rPr>
          <w:rFonts w:ascii="Trebuchet MS"/>
          <w:color w:val="231F20"/>
          <w:w w:val="105"/>
          <w:sz w:val="14"/>
        </w:rPr>
        <w:t>Part</w:t>
      </w:r>
      <w:r>
        <w:rPr>
          <w:rFonts w:ascii="Trebuchet MS"/>
          <w:color w:val="231F20"/>
          <w:spacing w:val="-9"/>
          <w:w w:val="105"/>
          <w:sz w:val="14"/>
        </w:rPr>
        <w:t xml:space="preserve"> </w:t>
      </w:r>
      <w:r>
        <w:rPr>
          <w:rFonts w:ascii="Trebuchet MS"/>
          <w:color w:val="231F20"/>
          <w:w w:val="105"/>
          <w:sz w:val="14"/>
        </w:rPr>
        <w:t>2:</w:t>
      </w:r>
      <w:r>
        <w:rPr>
          <w:rFonts w:ascii="Trebuchet MS"/>
          <w:color w:val="231F20"/>
          <w:spacing w:val="-9"/>
          <w:w w:val="105"/>
          <w:sz w:val="14"/>
        </w:rPr>
        <w:t xml:space="preserve"> </w:t>
      </w:r>
      <w:r>
        <w:rPr>
          <w:rFonts w:ascii="Trebuchet MS"/>
          <w:color w:val="231F20"/>
          <w:w w:val="105"/>
          <w:sz w:val="14"/>
        </w:rPr>
        <w:t>Foundations</w:t>
      </w:r>
      <w:r>
        <w:rPr>
          <w:rFonts w:ascii="Trebuchet MS"/>
          <w:color w:val="231F20"/>
          <w:spacing w:val="-9"/>
          <w:w w:val="105"/>
          <w:sz w:val="14"/>
        </w:rPr>
        <w:t xml:space="preserve"> </w:t>
      </w:r>
      <w:r>
        <w:rPr>
          <w:rFonts w:ascii="Trebuchet MS"/>
          <w:color w:val="231F20"/>
          <w:w w:val="105"/>
          <w:sz w:val="14"/>
        </w:rPr>
        <w:t>of</w:t>
      </w:r>
      <w:r>
        <w:rPr>
          <w:rFonts w:ascii="Trebuchet MS"/>
          <w:color w:val="231F20"/>
          <w:spacing w:val="-9"/>
          <w:w w:val="105"/>
          <w:sz w:val="14"/>
        </w:rPr>
        <w:t xml:space="preserve"> </w:t>
      </w:r>
      <w:r>
        <w:rPr>
          <w:rFonts w:ascii="Trebuchet MS"/>
          <w:color w:val="231F20"/>
          <w:w w:val="105"/>
          <w:sz w:val="14"/>
        </w:rPr>
        <w:t>Sport</w:t>
      </w:r>
      <w:r>
        <w:rPr>
          <w:rFonts w:ascii="Trebuchet MS"/>
          <w:color w:val="231F20"/>
          <w:spacing w:val="-9"/>
          <w:w w:val="105"/>
          <w:sz w:val="14"/>
        </w:rPr>
        <w:t xml:space="preserve"> </w:t>
      </w:r>
      <w:r>
        <w:rPr>
          <w:rFonts w:ascii="Trebuchet MS"/>
          <w:color w:val="231F20"/>
          <w:w w:val="105"/>
          <w:sz w:val="14"/>
        </w:rPr>
        <w:t>Tourism</w:t>
      </w:r>
      <w:r>
        <w:rPr>
          <w:rFonts w:ascii="Trebuchet MS"/>
          <w:color w:val="231F20"/>
          <w:spacing w:val="-9"/>
          <w:w w:val="105"/>
          <w:sz w:val="14"/>
        </w:rPr>
        <w:t xml:space="preserve"> </w:t>
      </w:r>
      <w:r>
        <w:rPr>
          <w:rFonts w:ascii="Trebuchet MS"/>
          <w:color w:val="231F20"/>
          <w:spacing w:val="-2"/>
          <w:w w:val="105"/>
          <w:sz w:val="14"/>
        </w:rPr>
        <w:t>Development</w:t>
      </w:r>
    </w:p>
    <w:p w14:paraId="262FFAF7" w14:textId="77777777" w:rsidR="00AE0598" w:rsidRDefault="00AE0598">
      <w:pPr>
        <w:pStyle w:val="Corpodetexto"/>
        <w:spacing w:before="10"/>
        <w:rPr>
          <w:rFonts w:ascii="Trebuchet MS"/>
          <w:sz w:val="27"/>
        </w:rPr>
      </w:pPr>
    </w:p>
    <w:p w14:paraId="19BB9F76" w14:textId="40CA06DA" w:rsidR="00AE0598" w:rsidRDefault="0069255A">
      <w:pPr>
        <w:spacing w:before="100"/>
        <w:ind w:left="223"/>
        <w:rPr>
          <w:rFonts w:ascii="Trebuchet MS"/>
          <w:sz w:val="18"/>
        </w:rPr>
      </w:pPr>
      <w:r>
        <w:rPr>
          <w:noProof/>
        </w:rPr>
        <mc:AlternateContent>
          <mc:Choice Requires="wps">
            <w:drawing>
              <wp:anchor distT="0" distB="0" distL="114300" distR="114300" simplePos="0" relativeHeight="483682816" behindDoc="1" locked="0" layoutInCell="1" allowOverlap="1" wp14:anchorId="13019B7E" wp14:editId="7AB304BF">
                <wp:simplePos x="0" y="0"/>
                <wp:positionH relativeFrom="page">
                  <wp:posOffset>755650</wp:posOffset>
                </wp:positionH>
                <wp:positionV relativeFrom="paragraph">
                  <wp:posOffset>13335</wp:posOffset>
                </wp:positionV>
                <wp:extent cx="4104005" cy="3829050"/>
                <wp:effectExtent l="0" t="0" r="0" b="0"/>
                <wp:wrapNone/>
                <wp:docPr id="265" name="docshape1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04005" cy="3829050"/>
                        </a:xfrm>
                        <a:prstGeom prst="rect">
                          <a:avLst/>
                        </a:prstGeom>
                        <a:solidFill>
                          <a:srgbClr val="DCDDD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D4F1C4" id="docshape109" o:spid="_x0000_s1026" style="position:absolute;margin-left:59.5pt;margin-top:1.05pt;width:323.15pt;height:301.5pt;z-index:-196336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" fillcolor="#dcddde" stroked="f">
                <w10:wrap anchorx="page"/>
              </v:rect>
            </w:pict>
          </mc:Fallback>
        </mc:AlternateContent>
      </w:r>
      <w:r>
        <w:rPr>
          <w:rFonts w:ascii="Trebuchet MS"/>
          <w:color w:val="231F20"/>
          <w:sz w:val="18"/>
        </w:rPr>
        <w:t>Focus</w:t>
      </w:r>
      <w:r>
        <w:rPr>
          <w:rFonts w:ascii="Trebuchet MS"/>
          <w:color w:val="231F20"/>
          <w:spacing w:val="-7"/>
          <w:sz w:val="18"/>
        </w:rPr>
        <w:t xml:space="preserve"> </w:t>
      </w:r>
      <w:r>
        <w:rPr>
          <w:rFonts w:ascii="Trebuchet MS"/>
          <w:color w:val="231F20"/>
          <w:sz w:val="18"/>
        </w:rPr>
        <w:t>Point</w:t>
      </w:r>
      <w:r>
        <w:rPr>
          <w:rFonts w:ascii="Trebuchet MS"/>
          <w:color w:val="231F20"/>
          <w:spacing w:val="-7"/>
          <w:sz w:val="18"/>
        </w:rPr>
        <w:t xml:space="preserve"> </w:t>
      </w:r>
      <w:r>
        <w:rPr>
          <w:rFonts w:ascii="Trebuchet MS"/>
          <w:color w:val="231F20"/>
          <w:sz w:val="18"/>
        </w:rPr>
        <w:t>3.1:</w:t>
      </w:r>
      <w:r>
        <w:rPr>
          <w:rFonts w:ascii="Trebuchet MS"/>
          <w:color w:val="231F20"/>
          <w:spacing w:val="-7"/>
          <w:sz w:val="18"/>
        </w:rPr>
        <w:t xml:space="preserve"> </w:t>
      </w:r>
      <w:r>
        <w:rPr>
          <w:rFonts w:ascii="Trebuchet MS"/>
          <w:color w:val="231F20"/>
          <w:spacing w:val="-2"/>
          <w:sz w:val="18"/>
        </w:rPr>
        <w:t>(Continued)</w:t>
      </w:r>
    </w:p>
    <w:p w14:paraId="4DE14184" w14:textId="77777777" w:rsidR="00AE0598" w:rsidRDefault="00AE0598">
      <w:pPr>
        <w:pStyle w:val="Corpodetexto"/>
        <w:spacing w:before="9"/>
        <w:rPr>
          <w:rFonts w:ascii="Trebuchet MS"/>
          <w:sz w:val="16"/>
        </w:rPr>
      </w:pPr>
    </w:p>
    <w:p w14:paraId="559B4203" w14:textId="77777777" w:rsidR="00AE0598" w:rsidRDefault="0069255A">
      <w:pPr>
        <w:pStyle w:val="Corpodetexto"/>
        <w:spacing w:before="1" w:line="232" w:lineRule="auto"/>
        <w:ind w:left="223" w:right="239"/>
        <w:jc w:val="both"/>
      </w:pPr>
      <w:r>
        <w:rPr>
          <w:color w:val="231F20"/>
        </w:rPr>
        <w:t xml:space="preserve">in forging national identity in countries such as New Zealand (rugby </w:t>
      </w:r>
      <w:r>
        <w:rPr>
          <w:color w:val="231F20"/>
          <w:w w:val="95"/>
        </w:rPr>
        <w:t xml:space="preserve">union) and Australia (rugby league) just as in the cases of India (cricket), </w:t>
      </w:r>
      <w:r>
        <w:rPr>
          <w:color w:val="231F20"/>
        </w:rPr>
        <w:t>Brazil (football), Canada (ice hockey) and Ireland (Gaelic football). The</w:t>
      </w:r>
      <w:r>
        <w:rPr>
          <w:color w:val="231F20"/>
          <w:spacing w:val="-8"/>
        </w:rPr>
        <w:t xml:space="preserve"> </w:t>
      </w:r>
      <w:r>
        <w:rPr>
          <w:color w:val="231F20"/>
        </w:rPr>
        <w:t>‘entangling</w:t>
      </w:r>
      <w:r>
        <w:rPr>
          <w:color w:val="231F20"/>
          <w:spacing w:val="-8"/>
        </w:rPr>
        <w:t xml:space="preserve"> </w:t>
      </w:r>
      <w:r>
        <w:rPr>
          <w:color w:val="231F20"/>
        </w:rPr>
        <w:t>of</w:t>
      </w:r>
      <w:r>
        <w:rPr>
          <w:color w:val="231F20"/>
          <w:spacing w:val="-8"/>
        </w:rPr>
        <w:t xml:space="preserve"> </w:t>
      </w:r>
      <w:r>
        <w:rPr>
          <w:color w:val="231F20"/>
        </w:rPr>
        <w:t>sport</w:t>
      </w:r>
      <w:r>
        <w:rPr>
          <w:color w:val="231F20"/>
          <w:spacing w:val="-8"/>
        </w:rPr>
        <w:t xml:space="preserve"> </w:t>
      </w:r>
      <w:r>
        <w:rPr>
          <w:color w:val="231F20"/>
        </w:rPr>
        <w:t>and</w:t>
      </w:r>
      <w:r>
        <w:rPr>
          <w:color w:val="231F20"/>
          <w:spacing w:val="-8"/>
        </w:rPr>
        <w:t xml:space="preserve"> </w:t>
      </w:r>
      <w:r>
        <w:rPr>
          <w:color w:val="231F20"/>
        </w:rPr>
        <w:t>national</w:t>
      </w:r>
      <w:r>
        <w:rPr>
          <w:color w:val="231F20"/>
          <w:spacing w:val="-8"/>
        </w:rPr>
        <w:t xml:space="preserve"> </w:t>
      </w:r>
      <w:r>
        <w:rPr>
          <w:color w:val="231F20"/>
        </w:rPr>
        <w:t>im</w:t>
      </w:r>
      <w:r>
        <w:rPr>
          <w:color w:val="231F20"/>
        </w:rPr>
        <w:t>ages</w:t>
      </w:r>
      <w:r>
        <w:rPr>
          <w:color w:val="231F20"/>
          <w:spacing w:val="-8"/>
        </w:rPr>
        <w:t xml:space="preserve"> </w:t>
      </w:r>
      <w:r>
        <w:rPr>
          <w:color w:val="231F20"/>
        </w:rPr>
        <w:t>is</w:t>
      </w:r>
      <w:r>
        <w:rPr>
          <w:color w:val="231F20"/>
          <w:spacing w:val="-8"/>
        </w:rPr>
        <w:t xml:space="preserve"> </w:t>
      </w:r>
      <w:r>
        <w:rPr>
          <w:color w:val="231F20"/>
        </w:rPr>
        <w:t>common’</w:t>
      </w:r>
      <w:r>
        <w:rPr>
          <w:color w:val="231F20"/>
          <w:spacing w:val="-8"/>
        </w:rPr>
        <w:t xml:space="preserve"> </w:t>
      </w:r>
      <w:r>
        <w:rPr>
          <w:color w:val="231F20"/>
        </w:rPr>
        <w:t>(Ward,</w:t>
      </w:r>
      <w:r>
        <w:rPr>
          <w:color w:val="231F20"/>
          <w:spacing w:val="-8"/>
        </w:rPr>
        <w:t xml:space="preserve"> </w:t>
      </w:r>
      <w:r>
        <w:rPr>
          <w:color w:val="231F20"/>
        </w:rPr>
        <w:t>2009: 521).</w:t>
      </w:r>
      <w:r>
        <w:rPr>
          <w:color w:val="231F20"/>
          <w:spacing w:val="-3"/>
        </w:rPr>
        <w:t xml:space="preserve"> </w:t>
      </w:r>
      <w:r>
        <w:rPr>
          <w:color w:val="231F20"/>
        </w:rPr>
        <w:t>Similarly</w:t>
      </w:r>
      <w:r>
        <w:rPr>
          <w:color w:val="231F20"/>
          <w:spacing w:val="-4"/>
        </w:rPr>
        <w:t xml:space="preserve"> </w:t>
      </w:r>
      <w:r>
        <w:rPr>
          <w:color w:val="231F20"/>
        </w:rPr>
        <w:t>at</w:t>
      </w:r>
      <w:r>
        <w:rPr>
          <w:color w:val="231F20"/>
          <w:spacing w:val="-3"/>
        </w:rPr>
        <w:t xml:space="preserve"> </w:t>
      </w:r>
      <w:r>
        <w:rPr>
          <w:color w:val="231F20"/>
        </w:rPr>
        <w:t>a</w:t>
      </w:r>
      <w:r>
        <w:rPr>
          <w:color w:val="231F20"/>
          <w:spacing w:val="-4"/>
        </w:rPr>
        <w:t xml:space="preserve"> </w:t>
      </w:r>
      <w:r>
        <w:rPr>
          <w:color w:val="231F20"/>
        </w:rPr>
        <w:t>regional</w:t>
      </w:r>
      <w:r>
        <w:rPr>
          <w:color w:val="231F20"/>
          <w:spacing w:val="-3"/>
        </w:rPr>
        <w:t xml:space="preserve"> </w:t>
      </w:r>
      <w:r>
        <w:rPr>
          <w:color w:val="231F20"/>
        </w:rPr>
        <w:t>level,</w:t>
      </w:r>
      <w:r>
        <w:rPr>
          <w:color w:val="231F20"/>
          <w:spacing w:val="-4"/>
        </w:rPr>
        <w:t xml:space="preserve"> </w:t>
      </w:r>
      <w:r>
        <w:rPr>
          <w:color w:val="231F20"/>
        </w:rPr>
        <w:t>the</w:t>
      </w:r>
      <w:r>
        <w:rPr>
          <w:color w:val="231F20"/>
          <w:spacing w:val="-3"/>
        </w:rPr>
        <w:t xml:space="preserve"> </w:t>
      </w:r>
      <w:r>
        <w:rPr>
          <w:color w:val="231F20"/>
        </w:rPr>
        <w:t>north</w:t>
      </w:r>
      <w:r>
        <w:rPr>
          <w:color w:val="231F20"/>
          <w:spacing w:val="-4"/>
        </w:rPr>
        <w:t xml:space="preserve"> </w:t>
      </w:r>
      <w:r>
        <w:rPr>
          <w:color w:val="231F20"/>
        </w:rPr>
        <w:t>of</w:t>
      </w:r>
      <w:r>
        <w:rPr>
          <w:color w:val="231F20"/>
          <w:spacing w:val="-3"/>
        </w:rPr>
        <w:t xml:space="preserve"> </w:t>
      </w:r>
      <w:r>
        <w:rPr>
          <w:color w:val="231F20"/>
        </w:rPr>
        <w:t>England</w:t>
      </w:r>
      <w:r>
        <w:rPr>
          <w:color w:val="231F20"/>
          <w:spacing w:val="-4"/>
        </w:rPr>
        <w:t xml:space="preserve"> </w:t>
      </w:r>
      <w:r>
        <w:rPr>
          <w:color w:val="231F20"/>
        </w:rPr>
        <w:t>developed</w:t>
      </w:r>
      <w:r>
        <w:rPr>
          <w:color w:val="231F20"/>
          <w:spacing w:val="-3"/>
        </w:rPr>
        <w:t xml:space="preserve"> </w:t>
      </w:r>
      <w:r>
        <w:rPr>
          <w:color w:val="231F20"/>
        </w:rPr>
        <w:t>as</w:t>
      </w:r>
      <w:r>
        <w:rPr>
          <w:color w:val="231F20"/>
          <w:spacing w:val="-4"/>
        </w:rPr>
        <w:t xml:space="preserve"> </w:t>
      </w:r>
      <w:r>
        <w:rPr>
          <w:color w:val="231F20"/>
        </w:rPr>
        <w:t xml:space="preserve">a </w:t>
      </w:r>
      <w:r>
        <w:rPr>
          <w:color w:val="231F20"/>
          <w:w w:val="95"/>
        </w:rPr>
        <w:t xml:space="preserve">stronghold of rugby league in response to the exclusivity of rugby union </w:t>
      </w:r>
      <w:r>
        <w:rPr>
          <w:color w:val="231F20"/>
        </w:rPr>
        <w:t>in the English Home Counties (Laidlaw, 2010). Rugby union in North America demons</w:t>
      </w:r>
      <w:r>
        <w:rPr>
          <w:color w:val="231F20"/>
        </w:rPr>
        <w:t>trates equally entrenched patterns of participation; both in the United States and Canada the sport prevails on the West Coast.</w:t>
      </w:r>
      <w:r>
        <w:rPr>
          <w:color w:val="231F20"/>
          <w:spacing w:val="-8"/>
        </w:rPr>
        <w:t xml:space="preserve"> </w:t>
      </w:r>
      <w:r>
        <w:rPr>
          <w:color w:val="231F20"/>
        </w:rPr>
        <w:t>The</w:t>
      </w:r>
      <w:r>
        <w:rPr>
          <w:color w:val="231F20"/>
          <w:spacing w:val="-8"/>
        </w:rPr>
        <w:t xml:space="preserve"> </w:t>
      </w:r>
      <w:r>
        <w:rPr>
          <w:color w:val="231F20"/>
        </w:rPr>
        <w:t>same</w:t>
      </w:r>
      <w:r>
        <w:rPr>
          <w:color w:val="231F20"/>
          <w:spacing w:val="-8"/>
        </w:rPr>
        <w:t xml:space="preserve"> </w:t>
      </w:r>
      <w:r>
        <w:rPr>
          <w:color w:val="231F20"/>
        </w:rPr>
        <w:t>even</w:t>
      </w:r>
      <w:r>
        <w:rPr>
          <w:color w:val="231F20"/>
          <w:spacing w:val="-8"/>
        </w:rPr>
        <w:t xml:space="preserve"> </w:t>
      </w:r>
      <w:r>
        <w:rPr>
          <w:color w:val="231F20"/>
        </w:rPr>
        <w:t>applies</w:t>
      </w:r>
      <w:r>
        <w:rPr>
          <w:color w:val="231F20"/>
          <w:spacing w:val="-8"/>
        </w:rPr>
        <w:t xml:space="preserve"> </w:t>
      </w:r>
      <w:r>
        <w:rPr>
          <w:color w:val="231F20"/>
        </w:rPr>
        <w:t>at</w:t>
      </w:r>
      <w:r>
        <w:rPr>
          <w:color w:val="231F20"/>
          <w:spacing w:val="-8"/>
        </w:rPr>
        <w:t xml:space="preserve"> </w:t>
      </w:r>
      <w:r>
        <w:rPr>
          <w:color w:val="231F20"/>
        </w:rPr>
        <w:t>urban</w:t>
      </w:r>
      <w:r>
        <w:rPr>
          <w:color w:val="231F20"/>
          <w:spacing w:val="-8"/>
        </w:rPr>
        <w:t xml:space="preserve"> </w:t>
      </w:r>
      <w:r>
        <w:rPr>
          <w:color w:val="231F20"/>
        </w:rPr>
        <w:t>and</w:t>
      </w:r>
      <w:r>
        <w:rPr>
          <w:color w:val="231F20"/>
          <w:spacing w:val="-8"/>
        </w:rPr>
        <w:t xml:space="preserve"> </w:t>
      </w:r>
      <w:r>
        <w:rPr>
          <w:color w:val="231F20"/>
        </w:rPr>
        <w:t>suburban</w:t>
      </w:r>
      <w:r>
        <w:rPr>
          <w:color w:val="231F20"/>
          <w:spacing w:val="-8"/>
        </w:rPr>
        <w:t xml:space="preserve"> </w:t>
      </w:r>
      <w:r>
        <w:rPr>
          <w:color w:val="231F20"/>
        </w:rPr>
        <w:t>levels</w:t>
      </w:r>
      <w:r>
        <w:rPr>
          <w:color w:val="231F20"/>
          <w:spacing w:val="-8"/>
        </w:rPr>
        <w:t xml:space="preserve"> </w:t>
      </w:r>
      <w:r>
        <w:rPr>
          <w:color w:val="231F20"/>
        </w:rPr>
        <w:t>of</w:t>
      </w:r>
      <w:r>
        <w:rPr>
          <w:color w:val="231F20"/>
          <w:spacing w:val="-8"/>
        </w:rPr>
        <w:t xml:space="preserve"> </w:t>
      </w:r>
      <w:r>
        <w:rPr>
          <w:color w:val="231F20"/>
        </w:rPr>
        <w:t>analysis. Despite</w:t>
      </w:r>
      <w:r>
        <w:rPr>
          <w:color w:val="231F20"/>
          <w:spacing w:val="-5"/>
        </w:rPr>
        <w:t xml:space="preserve"> </w:t>
      </w:r>
      <w:r>
        <w:rPr>
          <w:color w:val="231F20"/>
        </w:rPr>
        <w:t>attempts</w:t>
      </w:r>
      <w:r>
        <w:rPr>
          <w:color w:val="231F20"/>
          <w:spacing w:val="-5"/>
        </w:rPr>
        <w:t xml:space="preserve"> </w:t>
      </w:r>
      <w:r>
        <w:rPr>
          <w:color w:val="231F20"/>
        </w:rPr>
        <w:t>to</w:t>
      </w:r>
      <w:r>
        <w:rPr>
          <w:color w:val="231F20"/>
          <w:spacing w:val="-5"/>
        </w:rPr>
        <w:t xml:space="preserve"> </w:t>
      </w:r>
      <w:r>
        <w:rPr>
          <w:color w:val="231F20"/>
        </w:rPr>
        <w:t>globalise</w:t>
      </w:r>
      <w:r>
        <w:rPr>
          <w:color w:val="231F20"/>
          <w:spacing w:val="-5"/>
        </w:rPr>
        <w:t xml:space="preserve"> </w:t>
      </w:r>
      <w:r>
        <w:rPr>
          <w:color w:val="231F20"/>
        </w:rPr>
        <w:t>sports,</w:t>
      </w:r>
      <w:r>
        <w:rPr>
          <w:color w:val="231F20"/>
          <w:spacing w:val="-5"/>
        </w:rPr>
        <w:t xml:space="preserve"> </w:t>
      </w:r>
      <w:r>
        <w:rPr>
          <w:color w:val="231F20"/>
        </w:rPr>
        <w:t>Melbourne</w:t>
      </w:r>
      <w:r>
        <w:rPr>
          <w:color w:val="231F20"/>
          <w:spacing w:val="-5"/>
        </w:rPr>
        <w:t xml:space="preserve"> </w:t>
      </w:r>
      <w:r>
        <w:rPr>
          <w:color w:val="231F20"/>
        </w:rPr>
        <w:t>(Victoria)</w:t>
      </w:r>
      <w:r>
        <w:rPr>
          <w:color w:val="231F20"/>
          <w:spacing w:val="-5"/>
        </w:rPr>
        <w:t xml:space="preserve"> </w:t>
      </w:r>
      <w:r>
        <w:rPr>
          <w:color w:val="231F20"/>
        </w:rPr>
        <w:t>remains</w:t>
      </w:r>
      <w:r>
        <w:rPr>
          <w:color w:val="231F20"/>
          <w:spacing w:val="-5"/>
        </w:rPr>
        <w:t xml:space="preserve"> </w:t>
      </w:r>
      <w:r>
        <w:rPr>
          <w:color w:val="231F20"/>
        </w:rPr>
        <w:t>an Australian Rules stronghold, as Sydney (New South Wales) remains the</w:t>
      </w:r>
      <w:r>
        <w:rPr>
          <w:color w:val="231F20"/>
          <w:spacing w:val="-5"/>
        </w:rPr>
        <w:t xml:space="preserve"> </w:t>
      </w:r>
      <w:r>
        <w:rPr>
          <w:color w:val="231F20"/>
        </w:rPr>
        <w:t>Australian</w:t>
      </w:r>
      <w:r>
        <w:rPr>
          <w:color w:val="231F20"/>
          <w:spacing w:val="-5"/>
        </w:rPr>
        <w:t xml:space="preserve"> </w:t>
      </w:r>
      <w:r>
        <w:rPr>
          <w:color w:val="231F20"/>
        </w:rPr>
        <w:t>home</w:t>
      </w:r>
      <w:r>
        <w:rPr>
          <w:color w:val="231F20"/>
          <w:spacing w:val="-5"/>
        </w:rPr>
        <w:t xml:space="preserve"> </w:t>
      </w:r>
      <w:r>
        <w:rPr>
          <w:color w:val="231F20"/>
        </w:rPr>
        <w:t>of</w:t>
      </w:r>
      <w:r>
        <w:rPr>
          <w:color w:val="231F20"/>
          <w:spacing w:val="-5"/>
        </w:rPr>
        <w:t xml:space="preserve"> </w:t>
      </w:r>
      <w:r>
        <w:rPr>
          <w:color w:val="231F20"/>
        </w:rPr>
        <w:t>rugby</w:t>
      </w:r>
      <w:r>
        <w:rPr>
          <w:color w:val="231F20"/>
          <w:spacing w:val="-5"/>
        </w:rPr>
        <w:t xml:space="preserve"> </w:t>
      </w:r>
      <w:r>
        <w:rPr>
          <w:color w:val="231F20"/>
        </w:rPr>
        <w:t>union</w:t>
      </w:r>
      <w:r>
        <w:rPr>
          <w:color w:val="231F20"/>
          <w:spacing w:val="-5"/>
        </w:rPr>
        <w:t xml:space="preserve"> </w:t>
      </w:r>
      <w:r>
        <w:rPr>
          <w:color w:val="231F20"/>
        </w:rPr>
        <w:t>and</w:t>
      </w:r>
      <w:r>
        <w:rPr>
          <w:color w:val="231F20"/>
          <w:spacing w:val="-5"/>
        </w:rPr>
        <w:t xml:space="preserve"> </w:t>
      </w:r>
      <w:r>
        <w:rPr>
          <w:color w:val="231F20"/>
        </w:rPr>
        <w:t>Brisbane</w:t>
      </w:r>
      <w:r>
        <w:rPr>
          <w:color w:val="231F20"/>
          <w:spacing w:val="-5"/>
        </w:rPr>
        <w:t xml:space="preserve"> </w:t>
      </w:r>
      <w:r>
        <w:rPr>
          <w:color w:val="231F20"/>
        </w:rPr>
        <w:t>(Queensland)</w:t>
      </w:r>
      <w:r>
        <w:rPr>
          <w:color w:val="231F20"/>
          <w:spacing w:val="-5"/>
        </w:rPr>
        <w:t xml:space="preserve"> </w:t>
      </w:r>
      <w:r>
        <w:rPr>
          <w:color w:val="231F20"/>
        </w:rPr>
        <w:t xml:space="preserve">rugby </w:t>
      </w:r>
      <w:r>
        <w:rPr>
          <w:color w:val="231F20"/>
          <w:w w:val="95"/>
        </w:rPr>
        <w:t>league.</w:t>
      </w:r>
      <w:r>
        <w:rPr>
          <w:color w:val="231F20"/>
          <w:spacing w:val="-4"/>
          <w:w w:val="95"/>
        </w:rPr>
        <w:t xml:space="preserve"> </w:t>
      </w:r>
      <w:r>
        <w:rPr>
          <w:color w:val="231F20"/>
          <w:w w:val="95"/>
        </w:rPr>
        <w:t>The</w:t>
      </w:r>
      <w:r>
        <w:rPr>
          <w:color w:val="231F20"/>
          <w:spacing w:val="-4"/>
          <w:w w:val="95"/>
        </w:rPr>
        <w:t xml:space="preserve"> </w:t>
      </w:r>
      <w:r>
        <w:rPr>
          <w:color w:val="231F20"/>
          <w:w w:val="95"/>
        </w:rPr>
        <w:t>same</w:t>
      </w:r>
      <w:r>
        <w:rPr>
          <w:color w:val="231F20"/>
          <w:spacing w:val="-4"/>
          <w:w w:val="95"/>
        </w:rPr>
        <w:t xml:space="preserve"> </w:t>
      </w:r>
      <w:r>
        <w:rPr>
          <w:color w:val="231F20"/>
          <w:w w:val="95"/>
        </w:rPr>
        <w:t>sociological</w:t>
      </w:r>
      <w:r>
        <w:rPr>
          <w:color w:val="231F20"/>
          <w:spacing w:val="-4"/>
          <w:w w:val="95"/>
        </w:rPr>
        <w:t xml:space="preserve"> </w:t>
      </w:r>
      <w:r>
        <w:rPr>
          <w:color w:val="231F20"/>
          <w:w w:val="95"/>
        </w:rPr>
        <w:t>patterns</w:t>
      </w:r>
      <w:r>
        <w:rPr>
          <w:color w:val="231F20"/>
          <w:spacing w:val="-4"/>
          <w:w w:val="95"/>
        </w:rPr>
        <w:t xml:space="preserve"> </w:t>
      </w:r>
      <w:r>
        <w:rPr>
          <w:color w:val="231F20"/>
          <w:w w:val="95"/>
        </w:rPr>
        <w:t>can</w:t>
      </w:r>
      <w:r>
        <w:rPr>
          <w:color w:val="231F20"/>
          <w:spacing w:val="-4"/>
          <w:w w:val="95"/>
        </w:rPr>
        <w:t xml:space="preserve"> </w:t>
      </w:r>
      <w:r>
        <w:rPr>
          <w:color w:val="231F20"/>
          <w:w w:val="95"/>
        </w:rPr>
        <w:t>even</w:t>
      </w:r>
      <w:r>
        <w:rPr>
          <w:color w:val="231F20"/>
          <w:spacing w:val="-4"/>
          <w:w w:val="95"/>
        </w:rPr>
        <w:t xml:space="preserve"> </w:t>
      </w:r>
      <w:r>
        <w:rPr>
          <w:color w:val="231F20"/>
          <w:w w:val="95"/>
        </w:rPr>
        <w:t>be</w:t>
      </w:r>
      <w:r>
        <w:rPr>
          <w:color w:val="231F20"/>
          <w:spacing w:val="-4"/>
          <w:w w:val="95"/>
        </w:rPr>
        <w:t xml:space="preserve"> </w:t>
      </w:r>
      <w:r>
        <w:rPr>
          <w:color w:val="231F20"/>
          <w:w w:val="95"/>
        </w:rPr>
        <w:t>discerned</w:t>
      </w:r>
      <w:r>
        <w:rPr>
          <w:color w:val="231F20"/>
          <w:spacing w:val="-4"/>
          <w:w w:val="95"/>
        </w:rPr>
        <w:t xml:space="preserve"> </w:t>
      </w:r>
      <w:r>
        <w:rPr>
          <w:color w:val="231F20"/>
          <w:w w:val="95"/>
        </w:rPr>
        <w:t>in</w:t>
      </w:r>
      <w:r>
        <w:rPr>
          <w:color w:val="231F20"/>
          <w:spacing w:val="-4"/>
          <w:w w:val="95"/>
        </w:rPr>
        <w:t xml:space="preserve"> </w:t>
      </w:r>
      <w:r>
        <w:rPr>
          <w:color w:val="231F20"/>
          <w:w w:val="95"/>
        </w:rPr>
        <w:t>suburbia. Sydney working-class suburbs</w:t>
      </w:r>
      <w:r>
        <w:rPr>
          <w:color w:val="231F20"/>
          <w:w w:val="95"/>
        </w:rPr>
        <w:t xml:space="preserve">, such as Balmain and Paramatta, are loyal rugby league communities. In Wellington (New Zealand), the suburb of </w:t>
      </w:r>
      <w:r>
        <w:rPr>
          <w:color w:val="231F20"/>
        </w:rPr>
        <w:t>Wainouiamata</w:t>
      </w:r>
      <w:r>
        <w:rPr>
          <w:color w:val="231F20"/>
          <w:spacing w:val="-1"/>
        </w:rPr>
        <w:t xml:space="preserve"> </w:t>
      </w:r>
      <w:r>
        <w:rPr>
          <w:color w:val="231F20"/>
        </w:rPr>
        <w:t>is</w:t>
      </w:r>
      <w:r>
        <w:rPr>
          <w:color w:val="231F20"/>
          <w:spacing w:val="-1"/>
        </w:rPr>
        <w:t xml:space="preserve"> </w:t>
      </w:r>
      <w:r>
        <w:rPr>
          <w:color w:val="231F20"/>
        </w:rPr>
        <w:t>defined</w:t>
      </w:r>
      <w:r>
        <w:rPr>
          <w:color w:val="231F20"/>
          <w:spacing w:val="-1"/>
        </w:rPr>
        <w:t xml:space="preserve"> </w:t>
      </w:r>
      <w:r>
        <w:rPr>
          <w:color w:val="231F20"/>
        </w:rPr>
        <w:t>by</w:t>
      </w:r>
      <w:r>
        <w:rPr>
          <w:color w:val="231F20"/>
          <w:spacing w:val="-1"/>
        </w:rPr>
        <w:t xml:space="preserve"> </w:t>
      </w:r>
      <w:r>
        <w:rPr>
          <w:color w:val="231F20"/>
        </w:rPr>
        <w:t>rugby</w:t>
      </w:r>
      <w:r>
        <w:rPr>
          <w:color w:val="231F20"/>
          <w:spacing w:val="-1"/>
        </w:rPr>
        <w:t xml:space="preserve"> </w:t>
      </w:r>
      <w:r>
        <w:rPr>
          <w:color w:val="231F20"/>
        </w:rPr>
        <w:t>league</w:t>
      </w:r>
      <w:r>
        <w:rPr>
          <w:color w:val="231F20"/>
          <w:spacing w:val="-1"/>
        </w:rPr>
        <w:t xml:space="preserve"> </w:t>
      </w:r>
      <w:r>
        <w:rPr>
          <w:color w:val="231F20"/>
        </w:rPr>
        <w:t>as</w:t>
      </w:r>
      <w:r>
        <w:rPr>
          <w:color w:val="231F20"/>
          <w:spacing w:val="-1"/>
        </w:rPr>
        <w:t xml:space="preserve"> </w:t>
      </w:r>
      <w:r>
        <w:rPr>
          <w:color w:val="231F20"/>
        </w:rPr>
        <w:t>Petone</w:t>
      </w:r>
      <w:r>
        <w:rPr>
          <w:color w:val="231F20"/>
          <w:spacing w:val="-1"/>
        </w:rPr>
        <w:t xml:space="preserve"> </w:t>
      </w:r>
      <w:r>
        <w:rPr>
          <w:color w:val="231F20"/>
        </w:rPr>
        <w:t>is</w:t>
      </w:r>
      <w:r>
        <w:rPr>
          <w:color w:val="231F20"/>
          <w:spacing w:val="-1"/>
        </w:rPr>
        <w:t xml:space="preserve"> </w:t>
      </w:r>
      <w:r>
        <w:rPr>
          <w:color w:val="231F20"/>
        </w:rPr>
        <w:t>by</w:t>
      </w:r>
      <w:r>
        <w:rPr>
          <w:color w:val="231F20"/>
          <w:spacing w:val="-1"/>
        </w:rPr>
        <w:t xml:space="preserve"> </w:t>
      </w:r>
      <w:r>
        <w:rPr>
          <w:color w:val="231F20"/>
        </w:rPr>
        <w:t>rugby</w:t>
      </w:r>
      <w:r>
        <w:rPr>
          <w:color w:val="231F20"/>
          <w:spacing w:val="-1"/>
        </w:rPr>
        <w:t xml:space="preserve"> </w:t>
      </w:r>
      <w:r>
        <w:rPr>
          <w:color w:val="231F20"/>
        </w:rPr>
        <w:t xml:space="preserve">union </w:t>
      </w:r>
      <w:r>
        <w:rPr>
          <w:color w:val="231F20"/>
          <w:w w:val="95"/>
        </w:rPr>
        <w:t xml:space="preserve">(Laidlaw, 2010). As such, identification with sports clearly takes place at </w:t>
      </w:r>
      <w:r>
        <w:rPr>
          <w:color w:val="231F20"/>
        </w:rPr>
        <w:t>national, regional, local and even suburban scales of analysis.</w:t>
      </w:r>
    </w:p>
    <w:p w14:paraId="40405DDB" w14:textId="77777777" w:rsidR="00AE0598" w:rsidRDefault="00AE0598">
      <w:pPr>
        <w:pStyle w:val="Corpodetexto"/>
        <w:spacing w:before="10"/>
        <w:rPr>
          <w:sz w:val="22"/>
        </w:rPr>
      </w:pPr>
    </w:p>
    <w:p w14:paraId="005D8290" w14:textId="77777777" w:rsidR="00AE0598" w:rsidRDefault="0069255A">
      <w:pPr>
        <w:ind w:left="223"/>
        <w:rPr>
          <w:rFonts w:ascii="Trebuchet MS"/>
          <w:sz w:val="20"/>
        </w:rPr>
      </w:pPr>
      <w:r>
        <w:rPr>
          <w:rFonts w:ascii="Trebuchet MS"/>
          <w:color w:val="231F20"/>
          <w:w w:val="105"/>
          <w:sz w:val="20"/>
        </w:rPr>
        <w:t>Key</w:t>
      </w:r>
      <w:r>
        <w:rPr>
          <w:rFonts w:ascii="Trebuchet MS"/>
          <w:color w:val="231F20"/>
          <w:spacing w:val="-11"/>
          <w:w w:val="105"/>
          <w:sz w:val="20"/>
        </w:rPr>
        <w:t xml:space="preserve"> </w:t>
      </w:r>
      <w:r>
        <w:rPr>
          <w:rFonts w:ascii="Trebuchet MS"/>
          <w:color w:val="231F20"/>
          <w:spacing w:val="-2"/>
          <w:w w:val="105"/>
          <w:sz w:val="20"/>
        </w:rPr>
        <w:t>Reading</w:t>
      </w:r>
    </w:p>
    <w:p w14:paraId="1E668649" w14:textId="77777777" w:rsidR="00AE0598" w:rsidRDefault="0069255A">
      <w:pPr>
        <w:spacing w:before="116"/>
        <w:ind w:left="223"/>
        <w:jc w:val="both"/>
        <w:rPr>
          <w:sz w:val="21"/>
        </w:rPr>
      </w:pPr>
      <w:r>
        <w:rPr>
          <w:color w:val="231F20"/>
          <w:sz w:val="21"/>
        </w:rPr>
        <w:t>Laidlaw,</w:t>
      </w:r>
      <w:r>
        <w:rPr>
          <w:color w:val="231F20"/>
          <w:spacing w:val="13"/>
          <w:sz w:val="21"/>
        </w:rPr>
        <w:t xml:space="preserve"> </w:t>
      </w:r>
      <w:r>
        <w:rPr>
          <w:color w:val="231F20"/>
          <w:sz w:val="21"/>
        </w:rPr>
        <w:t>C.</w:t>
      </w:r>
      <w:r>
        <w:rPr>
          <w:color w:val="231F20"/>
          <w:spacing w:val="14"/>
          <w:sz w:val="21"/>
        </w:rPr>
        <w:t xml:space="preserve"> </w:t>
      </w:r>
      <w:r>
        <w:rPr>
          <w:color w:val="231F20"/>
          <w:sz w:val="21"/>
        </w:rPr>
        <w:t>(2010)</w:t>
      </w:r>
      <w:r>
        <w:rPr>
          <w:color w:val="231F20"/>
          <w:spacing w:val="14"/>
          <w:sz w:val="21"/>
        </w:rPr>
        <w:t xml:space="preserve"> </w:t>
      </w:r>
      <w:r>
        <w:rPr>
          <w:i/>
          <w:color w:val="231F20"/>
          <w:sz w:val="21"/>
        </w:rPr>
        <w:t>Somebody</w:t>
      </w:r>
      <w:r>
        <w:rPr>
          <w:i/>
          <w:color w:val="231F20"/>
          <w:spacing w:val="13"/>
          <w:sz w:val="21"/>
        </w:rPr>
        <w:t xml:space="preserve"> </w:t>
      </w:r>
      <w:r>
        <w:rPr>
          <w:i/>
          <w:color w:val="231F20"/>
          <w:sz w:val="21"/>
        </w:rPr>
        <w:t>Stole</w:t>
      </w:r>
      <w:r>
        <w:rPr>
          <w:i/>
          <w:color w:val="231F20"/>
          <w:spacing w:val="14"/>
          <w:sz w:val="21"/>
        </w:rPr>
        <w:t xml:space="preserve"> </w:t>
      </w:r>
      <w:r>
        <w:rPr>
          <w:i/>
          <w:color w:val="231F20"/>
          <w:sz w:val="21"/>
        </w:rPr>
        <w:t>My</w:t>
      </w:r>
      <w:r>
        <w:rPr>
          <w:i/>
          <w:color w:val="231F20"/>
          <w:spacing w:val="14"/>
          <w:sz w:val="21"/>
        </w:rPr>
        <w:t xml:space="preserve"> </w:t>
      </w:r>
      <w:r>
        <w:rPr>
          <w:i/>
          <w:color w:val="231F20"/>
          <w:sz w:val="21"/>
        </w:rPr>
        <w:t>Game</w:t>
      </w:r>
      <w:r>
        <w:rPr>
          <w:color w:val="231F20"/>
          <w:sz w:val="21"/>
        </w:rPr>
        <w:t>.</w:t>
      </w:r>
      <w:r>
        <w:rPr>
          <w:color w:val="231F20"/>
          <w:spacing w:val="13"/>
          <w:sz w:val="21"/>
        </w:rPr>
        <w:t xml:space="preserve"> </w:t>
      </w:r>
      <w:r>
        <w:rPr>
          <w:color w:val="231F20"/>
          <w:sz w:val="21"/>
        </w:rPr>
        <w:t>New</w:t>
      </w:r>
      <w:r>
        <w:rPr>
          <w:color w:val="231F20"/>
          <w:spacing w:val="14"/>
          <w:sz w:val="21"/>
        </w:rPr>
        <w:t xml:space="preserve"> </w:t>
      </w:r>
      <w:r>
        <w:rPr>
          <w:color w:val="231F20"/>
          <w:sz w:val="21"/>
        </w:rPr>
        <w:t>York:</w:t>
      </w:r>
      <w:r>
        <w:rPr>
          <w:color w:val="231F20"/>
          <w:spacing w:val="14"/>
          <w:sz w:val="21"/>
        </w:rPr>
        <w:t xml:space="preserve"> </w:t>
      </w:r>
      <w:r>
        <w:rPr>
          <w:color w:val="231F20"/>
          <w:spacing w:val="-2"/>
          <w:sz w:val="21"/>
        </w:rPr>
        <w:t>Hachette.</w:t>
      </w:r>
    </w:p>
    <w:p w14:paraId="5E3A6C4C" w14:textId="77777777" w:rsidR="00AE0598" w:rsidRDefault="00AE0598">
      <w:pPr>
        <w:pStyle w:val="Corpodetexto"/>
        <w:spacing w:before="2"/>
        <w:rPr>
          <w:sz w:val="22"/>
        </w:rPr>
      </w:pPr>
    </w:p>
    <w:p w14:paraId="0259764E" w14:textId="77777777" w:rsidR="00AE0598" w:rsidRDefault="0069255A">
      <w:pPr>
        <w:pStyle w:val="Corpodetexto"/>
        <w:spacing w:line="232" w:lineRule="auto"/>
        <w:ind w:left="110" w:right="127" w:firstLine="320"/>
        <w:jc w:val="both"/>
      </w:pPr>
      <w:r>
        <w:rPr>
          <w:color w:val="231F20"/>
        </w:rPr>
        <w:t>Understandably then, the link between n</w:t>
      </w:r>
      <w:r>
        <w:rPr>
          <w:color w:val="231F20"/>
        </w:rPr>
        <w:t xml:space="preserve">ationality and patterns of sport participation is well established (Breuer </w:t>
      </w:r>
      <w:r>
        <w:rPr>
          <w:i/>
          <w:color w:val="231F20"/>
        </w:rPr>
        <w:t>et al</w:t>
      </w:r>
      <w:r>
        <w:rPr>
          <w:color w:val="231F20"/>
        </w:rPr>
        <w:t xml:space="preserve">., 2011; Wicker </w:t>
      </w:r>
      <w:r>
        <w:rPr>
          <w:i/>
          <w:color w:val="231F20"/>
        </w:rPr>
        <w:t>et al</w:t>
      </w:r>
      <w:r>
        <w:rPr>
          <w:color w:val="231F20"/>
        </w:rPr>
        <w:t>., 2013). Patterns of active sport tourism participation can be generalised at a national level in terms of participation rates, engagement in specific spo</w:t>
      </w:r>
      <w:r>
        <w:rPr>
          <w:color w:val="231F20"/>
        </w:rPr>
        <w:t xml:space="preserve">rts and gender and participation (Coakley, 2017). In Canada, for example, participation in sports is highly concentrated in relatively few </w:t>
      </w:r>
      <w:r>
        <w:rPr>
          <w:color w:val="231F20"/>
          <w:w w:val="95"/>
        </w:rPr>
        <w:t xml:space="preserve">sports: golf, ice hockey, swimming, soccer, basketball, baseball and skiing; </w:t>
      </w:r>
      <w:r>
        <w:rPr>
          <w:color w:val="231F20"/>
        </w:rPr>
        <w:t>and</w:t>
      </w:r>
      <w:r>
        <w:rPr>
          <w:color w:val="231F20"/>
          <w:spacing w:val="-10"/>
        </w:rPr>
        <w:t xml:space="preserve"> </w:t>
      </w:r>
      <w:r>
        <w:rPr>
          <w:color w:val="231F20"/>
        </w:rPr>
        <w:t>marked</w:t>
      </w:r>
      <w:r>
        <w:rPr>
          <w:color w:val="231F20"/>
          <w:spacing w:val="-10"/>
        </w:rPr>
        <w:t xml:space="preserve"> </w:t>
      </w:r>
      <w:r>
        <w:rPr>
          <w:color w:val="231F20"/>
        </w:rPr>
        <w:t>by</w:t>
      </w:r>
      <w:r>
        <w:rPr>
          <w:color w:val="231F20"/>
          <w:spacing w:val="-10"/>
        </w:rPr>
        <w:t xml:space="preserve"> </w:t>
      </w:r>
      <w:r>
        <w:rPr>
          <w:color w:val="231F20"/>
        </w:rPr>
        <w:t>a</w:t>
      </w:r>
      <w:r>
        <w:rPr>
          <w:color w:val="231F20"/>
          <w:spacing w:val="-10"/>
        </w:rPr>
        <w:t xml:space="preserve"> </w:t>
      </w:r>
      <w:r>
        <w:rPr>
          <w:color w:val="231F20"/>
        </w:rPr>
        <w:t>significant</w:t>
      </w:r>
      <w:r>
        <w:rPr>
          <w:color w:val="231F20"/>
          <w:spacing w:val="-10"/>
        </w:rPr>
        <w:t xml:space="preserve"> </w:t>
      </w:r>
      <w:r>
        <w:rPr>
          <w:color w:val="231F20"/>
        </w:rPr>
        <w:t>male</w:t>
      </w:r>
      <w:r>
        <w:rPr>
          <w:color w:val="231F20"/>
          <w:spacing w:val="-10"/>
        </w:rPr>
        <w:t xml:space="preserve"> </w:t>
      </w:r>
      <w:r>
        <w:rPr>
          <w:color w:val="231F20"/>
        </w:rPr>
        <w:t>gender</w:t>
      </w:r>
      <w:r>
        <w:rPr>
          <w:color w:val="231F20"/>
          <w:spacing w:val="-10"/>
        </w:rPr>
        <w:t xml:space="preserve"> </w:t>
      </w:r>
      <w:r>
        <w:rPr>
          <w:color w:val="231F20"/>
        </w:rPr>
        <w:t>imbalance</w:t>
      </w:r>
      <w:r>
        <w:rPr>
          <w:color w:val="231F20"/>
          <w:spacing w:val="-10"/>
        </w:rPr>
        <w:t xml:space="preserve"> </w:t>
      </w:r>
      <w:r>
        <w:rPr>
          <w:color w:val="231F20"/>
        </w:rPr>
        <w:t>in</w:t>
      </w:r>
      <w:r>
        <w:rPr>
          <w:color w:val="231F20"/>
          <w:spacing w:val="-10"/>
        </w:rPr>
        <w:t xml:space="preserve"> </w:t>
      </w:r>
      <w:r>
        <w:rPr>
          <w:color w:val="231F20"/>
        </w:rPr>
        <w:t>participation</w:t>
      </w:r>
      <w:r>
        <w:rPr>
          <w:color w:val="231F20"/>
          <w:spacing w:val="-10"/>
        </w:rPr>
        <w:t xml:space="preserve"> </w:t>
      </w:r>
      <w:r>
        <w:rPr>
          <w:color w:val="231F20"/>
        </w:rPr>
        <w:t>rates (Ifedi, 2008).</w:t>
      </w:r>
      <w:r>
        <w:rPr>
          <w:color w:val="231F20"/>
          <w:spacing w:val="-1"/>
        </w:rPr>
        <w:t xml:space="preserve"> </w:t>
      </w:r>
      <w:r>
        <w:rPr>
          <w:color w:val="231F20"/>
        </w:rPr>
        <w:t xml:space="preserve">Studies such as these provide sport and tourism managers </w:t>
      </w:r>
      <w:r>
        <w:rPr>
          <w:color w:val="231F20"/>
          <w:w w:val="95"/>
        </w:rPr>
        <w:t xml:space="preserve">with rich information relating to the increasing intersection between and </w:t>
      </w:r>
      <w:r>
        <w:rPr>
          <w:color w:val="231F20"/>
        </w:rPr>
        <w:t>the</w:t>
      </w:r>
      <w:r>
        <w:rPr>
          <w:color w:val="231F20"/>
          <w:spacing w:val="-4"/>
        </w:rPr>
        <w:t xml:space="preserve"> </w:t>
      </w:r>
      <w:r>
        <w:rPr>
          <w:color w:val="231F20"/>
        </w:rPr>
        <w:t>changing</w:t>
      </w:r>
      <w:r>
        <w:rPr>
          <w:color w:val="231F20"/>
          <w:spacing w:val="-4"/>
        </w:rPr>
        <w:t xml:space="preserve"> </w:t>
      </w:r>
      <w:r>
        <w:rPr>
          <w:color w:val="231F20"/>
        </w:rPr>
        <w:t>patterns</w:t>
      </w:r>
      <w:r>
        <w:rPr>
          <w:color w:val="231F20"/>
          <w:spacing w:val="-4"/>
        </w:rPr>
        <w:t xml:space="preserve"> </w:t>
      </w:r>
      <w:r>
        <w:rPr>
          <w:color w:val="231F20"/>
        </w:rPr>
        <w:t>of</w:t>
      </w:r>
      <w:r>
        <w:rPr>
          <w:color w:val="231F20"/>
          <w:spacing w:val="-4"/>
        </w:rPr>
        <w:t xml:space="preserve"> </w:t>
      </w:r>
      <w:r>
        <w:rPr>
          <w:color w:val="231F20"/>
        </w:rPr>
        <w:t>sport</w:t>
      </w:r>
      <w:r>
        <w:rPr>
          <w:color w:val="231F20"/>
          <w:spacing w:val="-4"/>
        </w:rPr>
        <w:t xml:space="preserve"> </w:t>
      </w:r>
      <w:r>
        <w:rPr>
          <w:color w:val="231F20"/>
        </w:rPr>
        <w:t>participation</w:t>
      </w:r>
      <w:r>
        <w:rPr>
          <w:color w:val="231F20"/>
          <w:spacing w:val="-4"/>
        </w:rPr>
        <w:t xml:space="preserve"> </w:t>
      </w:r>
      <w:r>
        <w:rPr>
          <w:color w:val="231F20"/>
        </w:rPr>
        <w:t>and</w:t>
      </w:r>
      <w:r>
        <w:rPr>
          <w:color w:val="231F20"/>
          <w:spacing w:val="-4"/>
        </w:rPr>
        <w:t xml:space="preserve"> </w:t>
      </w:r>
      <w:r>
        <w:rPr>
          <w:color w:val="231F20"/>
        </w:rPr>
        <w:t>travel</w:t>
      </w:r>
      <w:r>
        <w:rPr>
          <w:color w:val="231F20"/>
          <w:spacing w:val="-4"/>
        </w:rPr>
        <w:t xml:space="preserve"> </w:t>
      </w:r>
      <w:r>
        <w:rPr>
          <w:color w:val="231F20"/>
        </w:rPr>
        <w:t>preferences.</w:t>
      </w:r>
    </w:p>
    <w:p w14:paraId="3D1C47E2" w14:textId="77777777" w:rsidR="00AE0598" w:rsidRDefault="00AE0598">
      <w:pPr>
        <w:pStyle w:val="Corpodetexto"/>
        <w:rPr>
          <w:sz w:val="22"/>
        </w:rPr>
      </w:pPr>
    </w:p>
    <w:p w14:paraId="00FE6FC4" w14:textId="77777777" w:rsidR="00AE0598" w:rsidRDefault="0069255A">
      <w:pPr>
        <w:spacing w:before="1"/>
        <w:ind w:left="110"/>
        <w:rPr>
          <w:rFonts w:ascii="Trebuchet MS"/>
          <w:sz w:val="20"/>
        </w:rPr>
      </w:pPr>
      <w:r>
        <w:rPr>
          <w:rFonts w:ascii="Trebuchet MS"/>
          <w:color w:val="231F20"/>
          <w:sz w:val="20"/>
        </w:rPr>
        <w:t>Socio-economic</w:t>
      </w:r>
      <w:r>
        <w:rPr>
          <w:rFonts w:ascii="Trebuchet MS"/>
          <w:color w:val="231F20"/>
          <w:spacing w:val="33"/>
          <w:sz w:val="20"/>
        </w:rPr>
        <w:t xml:space="preserve"> </w:t>
      </w:r>
      <w:r>
        <w:rPr>
          <w:rFonts w:ascii="Trebuchet MS"/>
          <w:color w:val="231F20"/>
          <w:sz w:val="20"/>
        </w:rPr>
        <w:t>market</w:t>
      </w:r>
      <w:r>
        <w:rPr>
          <w:rFonts w:ascii="Trebuchet MS"/>
          <w:color w:val="231F20"/>
          <w:spacing w:val="33"/>
          <w:sz w:val="20"/>
        </w:rPr>
        <w:t xml:space="preserve"> </w:t>
      </w:r>
      <w:r>
        <w:rPr>
          <w:rFonts w:ascii="Trebuchet MS"/>
          <w:color w:val="231F20"/>
          <w:spacing w:val="-2"/>
          <w:sz w:val="20"/>
        </w:rPr>
        <w:t>segmentation</w:t>
      </w:r>
    </w:p>
    <w:p w14:paraId="3C126155" w14:textId="77777777" w:rsidR="00AE0598" w:rsidRDefault="0069255A">
      <w:pPr>
        <w:pStyle w:val="Corpodetexto"/>
        <w:spacing w:before="122" w:line="232" w:lineRule="auto"/>
        <w:ind w:left="110" w:right="127" w:firstLine="320"/>
        <w:jc w:val="both"/>
      </w:pPr>
      <w:r>
        <w:rPr>
          <w:color w:val="231F20"/>
        </w:rPr>
        <w:t xml:space="preserve">Socio-economic market segmentation is based upon variables such as occupation and income (Swarbrooke &amp; Horner, 1999). Participation in inexpensive, team-based contact sports like street basketball and </w:t>
      </w:r>
      <w:r>
        <w:rPr>
          <w:color w:val="231F20"/>
          <w:w w:val="95"/>
        </w:rPr>
        <w:t>baseball</w:t>
      </w:r>
      <w:r>
        <w:rPr>
          <w:color w:val="231F20"/>
          <w:spacing w:val="13"/>
        </w:rPr>
        <w:t xml:space="preserve"> </w:t>
      </w:r>
      <w:r>
        <w:rPr>
          <w:color w:val="231F20"/>
          <w:w w:val="95"/>
        </w:rPr>
        <w:t>is</w:t>
      </w:r>
      <w:r>
        <w:rPr>
          <w:color w:val="231F20"/>
          <w:spacing w:val="13"/>
        </w:rPr>
        <w:t xml:space="preserve"> </w:t>
      </w:r>
      <w:r>
        <w:rPr>
          <w:color w:val="231F20"/>
          <w:w w:val="95"/>
        </w:rPr>
        <w:t>typical</w:t>
      </w:r>
      <w:r>
        <w:rPr>
          <w:color w:val="231F20"/>
          <w:spacing w:val="14"/>
        </w:rPr>
        <w:t xml:space="preserve"> </w:t>
      </w:r>
      <w:r>
        <w:rPr>
          <w:color w:val="231F20"/>
          <w:w w:val="95"/>
        </w:rPr>
        <w:t>of</w:t>
      </w:r>
      <w:r>
        <w:rPr>
          <w:color w:val="231F20"/>
          <w:spacing w:val="13"/>
        </w:rPr>
        <w:t xml:space="preserve"> </w:t>
      </w:r>
      <w:r>
        <w:rPr>
          <w:color w:val="231F20"/>
          <w:w w:val="95"/>
        </w:rPr>
        <w:t>lower</w:t>
      </w:r>
      <w:r>
        <w:rPr>
          <w:color w:val="231F20"/>
          <w:spacing w:val="14"/>
        </w:rPr>
        <w:t xml:space="preserve"> </w:t>
      </w:r>
      <w:r>
        <w:rPr>
          <w:color w:val="231F20"/>
          <w:w w:val="95"/>
        </w:rPr>
        <w:t>socio-economic</w:t>
      </w:r>
      <w:r>
        <w:rPr>
          <w:color w:val="231F20"/>
          <w:spacing w:val="13"/>
        </w:rPr>
        <w:t xml:space="preserve"> </w:t>
      </w:r>
      <w:r>
        <w:rPr>
          <w:color w:val="231F20"/>
          <w:w w:val="95"/>
        </w:rPr>
        <w:t>urban</w:t>
      </w:r>
      <w:r>
        <w:rPr>
          <w:color w:val="231F20"/>
          <w:spacing w:val="14"/>
        </w:rPr>
        <w:t xml:space="preserve"> </w:t>
      </w:r>
      <w:r>
        <w:rPr>
          <w:color w:val="231F20"/>
          <w:w w:val="95"/>
        </w:rPr>
        <w:t>youth</w:t>
      </w:r>
      <w:r>
        <w:rPr>
          <w:color w:val="231F20"/>
          <w:spacing w:val="13"/>
        </w:rPr>
        <w:t xml:space="preserve"> </w:t>
      </w:r>
      <w:r>
        <w:rPr>
          <w:color w:val="231F20"/>
          <w:w w:val="95"/>
        </w:rPr>
        <w:t>in</w:t>
      </w:r>
      <w:r>
        <w:rPr>
          <w:color w:val="231F20"/>
          <w:spacing w:val="14"/>
        </w:rPr>
        <w:t xml:space="preserve"> </w:t>
      </w:r>
      <w:r>
        <w:rPr>
          <w:color w:val="231F20"/>
          <w:w w:val="95"/>
        </w:rPr>
        <w:t>North</w:t>
      </w:r>
      <w:r>
        <w:rPr>
          <w:color w:val="231F20"/>
          <w:spacing w:val="13"/>
        </w:rPr>
        <w:t xml:space="preserve"> </w:t>
      </w:r>
      <w:r>
        <w:rPr>
          <w:color w:val="231F20"/>
          <w:spacing w:val="-2"/>
          <w:w w:val="95"/>
        </w:rPr>
        <w:t>America</w:t>
      </w:r>
    </w:p>
    <w:p w14:paraId="282CDD63" w14:textId="77777777" w:rsidR="00AE0598" w:rsidRDefault="00AE0598">
      <w:pPr>
        <w:spacing w:line="232" w:lineRule="auto"/>
        <w:jc w:val="both"/>
        <w:sectPr w:rsidR="00AE0598">
          <w:pgSz w:w="8850" w:h="13270"/>
          <w:pgMar w:top="720" w:right="1060" w:bottom="280" w:left="1080" w:header="720" w:footer="720" w:gutter="0"/>
          <w:cols w:space="720"/>
        </w:sectPr>
      </w:pPr>
    </w:p>
    <w:p w14:paraId="5C35E64C" w14:textId="77777777" w:rsidR="00AE0598" w:rsidRDefault="0069255A">
      <w:pPr>
        <w:spacing w:before="87"/>
        <w:ind w:left="110" w:right="128"/>
        <w:jc w:val="right"/>
        <w:rPr>
          <w:rFonts w:ascii="Trebuchet MS"/>
          <w:sz w:val="14"/>
        </w:rPr>
      </w:pPr>
      <w:r>
        <w:rPr>
          <w:rFonts w:ascii="Trebuchet MS"/>
          <w:color w:val="231F20"/>
          <w:w w:val="105"/>
          <w:sz w:val="14"/>
        </w:rPr>
        <w:lastRenderedPageBreak/>
        <w:t>Sport</w:t>
      </w:r>
      <w:r>
        <w:rPr>
          <w:rFonts w:ascii="Trebuchet MS"/>
          <w:color w:val="231F20"/>
          <w:spacing w:val="-7"/>
          <w:w w:val="105"/>
          <w:sz w:val="14"/>
        </w:rPr>
        <w:t xml:space="preserve"> </w:t>
      </w:r>
      <w:r>
        <w:rPr>
          <w:rFonts w:ascii="Trebuchet MS"/>
          <w:color w:val="231F20"/>
          <w:w w:val="105"/>
          <w:sz w:val="14"/>
        </w:rPr>
        <w:t>Tourism</w:t>
      </w:r>
      <w:r>
        <w:rPr>
          <w:rFonts w:ascii="Trebuchet MS"/>
          <w:color w:val="231F20"/>
          <w:spacing w:val="-7"/>
          <w:w w:val="105"/>
          <w:sz w:val="14"/>
        </w:rPr>
        <w:t xml:space="preserve"> </w:t>
      </w:r>
      <w:r>
        <w:rPr>
          <w:rFonts w:ascii="Trebuchet MS"/>
          <w:color w:val="231F20"/>
          <w:w w:val="105"/>
          <w:sz w:val="14"/>
        </w:rPr>
        <w:t>Markets</w:t>
      </w:r>
      <w:r>
        <w:rPr>
          <w:rFonts w:ascii="Trebuchet MS"/>
          <w:color w:val="231F20"/>
          <w:spacing w:val="73"/>
          <w:w w:val="150"/>
          <w:sz w:val="14"/>
        </w:rPr>
        <w:t xml:space="preserve"> </w:t>
      </w:r>
      <w:r>
        <w:rPr>
          <w:rFonts w:ascii="Trebuchet MS"/>
          <w:color w:val="231F20"/>
          <w:spacing w:val="-5"/>
          <w:w w:val="105"/>
          <w:sz w:val="14"/>
        </w:rPr>
        <w:t>53</w:t>
      </w:r>
    </w:p>
    <w:p w14:paraId="1AD0C874" w14:textId="77777777" w:rsidR="00AE0598" w:rsidRDefault="00AE0598">
      <w:pPr>
        <w:pStyle w:val="Corpodetexto"/>
        <w:rPr>
          <w:rFonts w:ascii="Trebuchet MS"/>
          <w:sz w:val="16"/>
        </w:rPr>
      </w:pPr>
    </w:p>
    <w:p w14:paraId="56A6D19F" w14:textId="77777777" w:rsidR="00AE0598" w:rsidRDefault="0069255A">
      <w:pPr>
        <w:pStyle w:val="Corpodetexto"/>
        <w:spacing w:before="118" w:line="232" w:lineRule="auto"/>
        <w:ind w:left="110" w:right="127"/>
        <w:jc w:val="both"/>
      </w:pPr>
      <w:r>
        <w:rPr>
          <w:color w:val="231F20"/>
        </w:rPr>
        <w:t>and Cuba (Thomson, 2000). So too are low barrier, low-cost individual sports such as basketball, boxing and mixed martial arts (MMA), which have paved the way for some athletes to break cycles of disadvantage, abuse</w:t>
      </w:r>
      <w:r>
        <w:rPr>
          <w:color w:val="231F20"/>
          <w:spacing w:val="-4"/>
        </w:rPr>
        <w:t xml:space="preserve"> </w:t>
      </w:r>
      <w:r>
        <w:rPr>
          <w:color w:val="231F20"/>
        </w:rPr>
        <w:t>or</w:t>
      </w:r>
      <w:r>
        <w:rPr>
          <w:color w:val="231F20"/>
          <w:spacing w:val="-4"/>
        </w:rPr>
        <w:t xml:space="preserve"> </w:t>
      </w:r>
      <w:r>
        <w:rPr>
          <w:color w:val="231F20"/>
        </w:rPr>
        <w:t>poverty</w:t>
      </w:r>
      <w:r>
        <w:rPr>
          <w:color w:val="231F20"/>
          <w:spacing w:val="-4"/>
        </w:rPr>
        <w:t xml:space="preserve"> </w:t>
      </w:r>
      <w:r>
        <w:rPr>
          <w:color w:val="231F20"/>
        </w:rPr>
        <w:t>(Coakley,</w:t>
      </w:r>
      <w:r>
        <w:rPr>
          <w:color w:val="231F20"/>
          <w:spacing w:val="-4"/>
        </w:rPr>
        <w:t xml:space="preserve"> </w:t>
      </w:r>
      <w:r>
        <w:rPr>
          <w:color w:val="231F20"/>
        </w:rPr>
        <w:t>2017).</w:t>
      </w:r>
      <w:r>
        <w:rPr>
          <w:color w:val="231F20"/>
          <w:spacing w:val="-4"/>
        </w:rPr>
        <w:t xml:space="preserve"> </w:t>
      </w:r>
      <w:r>
        <w:rPr>
          <w:color w:val="231F20"/>
        </w:rPr>
        <w:t>By</w:t>
      </w:r>
      <w:r>
        <w:rPr>
          <w:color w:val="231F20"/>
          <w:spacing w:val="-4"/>
        </w:rPr>
        <w:t xml:space="preserve"> </w:t>
      </w:r>
      <w:r>
        <w:rPr>
          <w:color w:val="231F20"/>
        </w:rPr>
        <w:t>contrast,</w:t>
      </w:r>
      <w:r>
        <w:rPr>
          <w:color w:val="231F20"/>
          <w:spacing w:val="-4"/>
        </w:rPr>
        <w:t xml:space="preserve"> </w:t>
      </w:r>
      <w:r>
        <w:rPr>
          <w:color w:val="231F20"/>
        </w:rPr>
        <w:t>expensive,</w:t>
      </w:r>
      <w:r>
        <w:rPr>
          <w:color w:val="231F20"/>
          <w:spacing w:val="-4"/>
        </w:rPr>
        <w:t xml:space="preserve"> </w:t>
      </w:r>
      <w:r>
        <w:rPr>
          <w:color w:val="231F20"/>
        </w:rPr>
        <w:t>individual</w:t>
      </w:r>
      <w:r>
        <w:rPr>
          <w:color w:val="231F20"/>
          <w:spacing w:val="-4"/>
        </w:rPr>
        <w:t xml:space="preserve"> </w:t>
      </w:r>
      <w:r>
        <w:rPr>
          <w:color w:val="231F20"/>
        </w:rPr>
        <w:t>and non-contact sports have long been favoured by the upper social classes (Yiannakis, 1975). Booth and Loy (1999: 10) argue that ‘sports such as golf, tennis, sailing, show jumping and skiing… reflect the upper class’s unique aesthe</w:t>
      </w:r>
      <w:r>
        <w:rPr>
          <w:color w:val="231F20"/>
        </w:rPr>
        <w:t xml:space="preserve">tic and ethical dimensions, temporal/spatial orientations, material and symbolic status signs…’. These consumers of sport are </w:t>
      </w:r>
      <w:r>
        <w:rPr>
          <w:color w:val="231F20"/>
          <w:w w:val="105"/>
        </w:rPr>
        <w:t xml:space="preserve">‘… </w:t>
      </w:r>
      <w:r>
        <w:rPr>
          <w:color w:val="231F20"/>
        </w:rPr>
        <w:t xml:space="preserve">free to play sport at midday, mid-week or out of season [by travelling to the opposite hemisphere], and </w:t>
      </w:r>
      <w:r>
        <w:rPr>
          <w:color w:val="231F20"/>
          <w:w w:val="105"/>
        </w:rPr>
        <w:t>…</w:t>
      </w:r>
      <w:r>
        <w:rPr>
          <w:color w:val="231F20"/>
          <w:spacing w:val="-2"/>
          <w:w w:val="105"/>
        </w:rPr>
        <w:t xml:space="preserve"> </w:t>
      </w:r>
      <w:r>
        <w:rPr>
          <w:color w:val="231F20"/>
        </w:rPr>
        <w:t>have the resources to</w:t>
      </w:r>
      <w:r>
        <w:rPr>
          <w:color w:val="231F20"/>
        </w:rPr>
        <w:t xml:space="preserve"> play in exclusive </w:t>
      </w:r>
      <w:r>
        <w:rPr>
          <w:color w:val="231F20"/>
          <w:w w:val="95"/>
        </w:rPr>
        <w:t xml:space="preserve">and secluded places: cloisters, country clubs and lodges, and private game </w:t>
      </w:r>
      <w:r>
        <w:rPr>
          <w:color w:val="231F20"/>
        </w:rPr>
        <w:t xml:space="preserve">reserves’ (Booth </w:t>
      </w:r>
      <w:r>
        <w:rPr>
          <w:color w:val="231F20"/>
          <w:w w:val="105"/>
        </w:rPr>
        <w:t xml:space="preserve">&amp; </w:t>
      </w:r>
      <w:r>
        <w:rPr>
          <w:color w:val="231F20"/>
        </w:rPr>
        <w:t>Loy, 1999: 11). Sport may be used to reproduce and entrench</w:t>
      </w:r>
      <w:r>
        <w:rPr>
          <w:color w:val="231F20"/>
          <w:spacing w:val="-7"/>
        </w:rPr>
        <w:t xml:space="preserve"> </w:t>
      </w:r>
      <w:r>
        <w:rPr>
          <w:color w:val="231F20"/>
        </w:rPr>
        <w:t>class</w:t>
      </w:r>
      <w:r>
        <w:rPr>
          <w:color w:val="231F20"/>
          <w:spacing w:val="-7"/>
        </w:rPr>
        <w:t xml:space="preserve"> </w:t>
      </w:r>
      <w:r>
        <w:rPr>
          <w:color w:val="231F20"/>
        </w:rPr>
        <w:t>distinctions,</w:t>
      </w:r>
      <w:r>
        <w:rPr>
          <w:color w:val="231F20"/>
          <w:spacing w:val="-7"/>
        </w:rPr>
        <w:t xml:space="preserve"> </w:t>
      </w:r>
      <w:r>
        <w:rPr>
          <w:color w:val="231F20"/>
        </w:rPr>
        <w:t>in</w:t>
      </w:r>
      <w:r>
        <w:rPr>
          <w:color w:val="231F20"/>
          <w:spacing w:val="-7"/>
        </w:rPr>
        <w:t xml:space="preserve"> </w:t>
      </w:r>
      <w:r>
        <w:rPr>
          <w:color w:val="231F20"/>
        </w:rPr>
        <w:t>exactly</w:t>
      </w:r>
      <w:r>
        <w:rPr>
          <w:color w:val="231F20"/>
          <w:spacing w:val="-7"/>
        </w:rPr>
        <w:t xml:space="preserve"> </w:t>
      </w:r>
      <w:r>
        <w:rPr>
          <w:color w:val="231F20"/>
        </w:rPr>
        <w:t>the</w:t>
      </w:r>
      <w:r>
        <w:rPr>
          <w:color w:val="231F20"/>
          <w:spacing w:val="-7"/>
        </w:rPr>
        <w:t xml:space="preserve"> </w:t>
      </w:r>
      <w:r>
        <w:rPr>
          <w:color w:val="231F20"/>
        </w:rPr>
        <w:t>way</w:t>
      </w:r>
      <w:r>
        <w:rPr>
          <w:color w:val="231F20"/>
          <w:spacing w:val="-7"/>
        </w:rPr>
        <w:t xml:space="preserve"> </w:t>
      </w:r>
      <w:r>
        <w:rPr>
          <w:color w:val="231F20"/>
        </w:rPr>
        <w:t>that</w:t>
      </w:r>
      <w:r>
        <w:rPr>
          <w:color w:val="231F20"/>
          <w:spacing w:val="-7"/>
        </w:rPr>
        <w:t xml:space="preserve"> </w:t>
      </w:r>
      <w:r>
        <w:rPr>
          <w:color w:val="231F20"/>
        </w:rPr>
        <w:t>distance</w:t>
      </w:r>
      <w:r>
        <w:rPr>
          <w:color w:val="231F20"/>
          <w:spacing w:val="-7"/>
        </w:rPr>
        <w:t xml:space="preserve"> </w:t>
      </w:r>
      <w:r>
        <w:rPr>
          <w:color w:val="231F20"/>
        </w:rPr>
        <w:t>is</w:t>
      </w:r>
      <w:r>
        <w:rPr>
          <w:color w:val="231F20"/>
          <w:spacing w:val="-7"/>
        </w:rPr>
        <w:t xml:space="preserve"> </w:t>
      </w:r>
      <w:r>
        <w:rPr>
          <w:color w:val="231F20"/>
        </w:rPr>
        <w:t>used</w:t>
      </w:r>
      <w:r>
        <w:rPr>
          <w:color w:val="231F20"/>
          <w:spacing w:val="-7"/>
        </w:rPr>
        <w:t xml:space="preserve"> </w:t>
      </w:r>
      <w:r>
        <w:rPr>
          <w:color w:val="231F20"/>
        </w:rPr>
        <w:t>to</w:t>
      </w:r>
      <w:r>
        <w:rPr>
          <w:color w:val="231F20"/>
          <w:spacing w:val="-7"/>
        </w:rPr>
        <w:t xml:space="preserve"> </w:t>
      </w:r>
      <w:r>
        <w:rPr>
          <w:color w:val="231F20"/>
        </w:rPr>
        <w:t>the same effect in tourist holiday decision-making (Casey, 2010).</w:t>
      </w:r>
    </w:p>
    <w:p w14:paraId="58C4A58A" w14:textId="77777777" w:rsidR="00AE0598" w:rsidRDefault="0069255A">
      <w:pPr>
        <w:pStyle w:val="Corpodetexto"/>
        <w:spacing w:before="18" w:line="232" w:lineRule="auto"/>
        <w:ind w:left="110" w:right="127" w:firstLine="320"/>
        <w:jc w:val="both"/>
      </w:pPr>
      <w:r>
        <w:rPr>
          <w:color w:val="231F20"/>
          <w:w w:val="95"/>
        </w:rPr>
        <w:t>The links between sport and socio-economic status, while also subject</w:t>
      </w:r>
      <w:r>
        <w:rPr>
          <w:color w:val="231F20"/>
          <w:spacing w:val="40"/>
        </w:rPr>
        <w:t xml:space="preserve"> </w:t>
      </w:r>
      <w:r>
        <w:rPr>
          <w:color w:val="231F20"/>
        </w:rPr>
        <w:t>to the forces of social and economic globalisation (Higham &amp; Hinch, 2009; Maguire, 2000), are inescapable, both in terms</w:t>
      </w:r>
      <w:r>
        <w:rPr>
          <w:color w:val="231F20"/>
        </w:rPr>
        <w:t xml:space="preserve"> of participation and spectatorship. Many sports in England – croquet, polo, tennis and rugby</w:t>
      </w:r>
      <w:r>
        <w:rPr>
          <w:color w:val="231F20"/>
          <w:spacing w:val="-4"/>
        </w:rPr>
        <w:t xml:space="preserve"> </w:t>
      </w:r>
      <w:r>
        <w:rPr>
          <w:color w:val="231F20"/>
        </w:rPr>
        <w:t>union</w:t>
      </w:r>
      <w:r>
        <w:rPr>
          <w:color w:val="231F20"/>
          <w:spacing w:val="-4"/>
        </w:rPr>
        <w:t xml:space="preserve"> </w:t>
      </w:r>
      <w:r>
        <w:rPr>
          <w:color w:val="231F20"/>
        </w:rPr>
        <w:t>–</w:t>
      </w:r>
      <w:r>
        <w:rPr>
          <w:color w:val="231F20"/>
          <w:spacing w:val="-4"/>
        </w:rPr>
        <w:t xml:space="preserve"> </w:t>
      </w:r>
      <w:r>
        <w:rPr>
          <w:color w:val="231F20"/>
        </w:rPr>
        <w:t>according</w:t>
      </w:r>
      <w:r>
        <w:rPr>
          <w:color w:val="231F20"/>
          <w:spacing w:val="-4"/>
        </w:rPr>
        <w:t xml:space="preserve"> </w:t>
      </w:r>
      <w:r>
        <w:rPr>
          <w:color w:val="231F20"/>
        </w:rPr>
        <w:t>to</w:t>
      </w:r>
      <w:r>
        <w:rPr>
          <w:color w:val="231F20"/>
          <w:spacing w:val="-4"/>
        </w:rPr>
        <w:t xml:space="preserve"> </w:t>
      </w:r>
      <w:r>
        <w:rPr>
          <w:color w:val="231F20"/>
        </w:rPr>
        <w:t>Laidlaw</w:t>
      </w:r>
      <w:r>
        <w:rPr>
          <w:color w:val="231F20"/>
          <w:spacing w:val="-4"/>
        </w:rPr>
        <w:t xml:space="preserve"> </w:t>
      </w:r>
      <w:r>
        <w:rPr>
          <w:color w:val="231F20"/>
        </w:rPr>
        <w:t>(2010:</w:t>
      </w:r>
      <w:r>
        <w:rPr>
          <w:color w:val="231F20"/>
          <w:spacing w:val="-4"/>
        </w:rPr>
        <w:t xml:space="preserve"> </w:t>
      </w:r>
      <w:r>
        <w:rPr>
          <w:color w:val="231F20"/>
        </w:rPr>
        <w:t>49)</w:t>
      </w:r>
      <w:r>
        <w:rPr>
          <w:color w:val="231F20"/>
          <w:spacing w:val="-4"/>
        </w:rPr>
        <w:t xml:space="preserve"> </w:t>
      </w:r>
      <w:r>
        <w:rPr>
          <w:color w:val="231F20"/>
        </w:rPr>
        <w:t>have</w:t>
      </w:r>
      <w:r>
        <w:rPr>
          <w:color w:val="231F20"/>
          <w:spacing w:val="-4"/>
        </w:rPr>
        <w:t xml:space="preserve"> </w:t>
      </w:r>
      <w:r>
        <w:rPr>
          <w:color w:val="231F20"/>
        </w:rPr>
        <w:t>‘served</w:t>
      </w:r>
      <w:r>
        <w:rPr>
          <w:color w:val="231F20"/>
          <w:spacing w:val="-4"/>
        </w:rPr>
        <w:t xml:space="preserve"> </w:t>
      </w:r>
      <w:r>
        <w:rPr>
          <w:color w:val="231F20"/>
        </w:rPr>
        <w:t>to</w:t>
      </w:r>
      <w:r>
        <w:rPr>
          <w:color w:val="231F20"/>
          <w:spacing w:val="-4"/>
        </w:rPr>
        <w:t xml:space="preserve"> </w:t>
      </w:r>
      <w:r>
        <w:rPr>
          <w:color w:val="231F20"/>
        </w:rPr>
        <w:t>divide</w:t>
      </w:r>
      <w:r>
        <w:rPr>
          <w:color w:val="231F20"/>
          <w:spacing w:val="-4"/>
        </w:rPr>
        <w:t xml:space="preserve"> </w:t>
      </w:r>
      <w:r>
        <w:rPr>
          <w:color w:val="231F20"/>
        </w:rPr>
        <w:t>for a very long time. The exclusive preserve of the English public schools… unimaginable to those b</w:t>
      </w:r>
      <w:r>
        <w:rPr>
          <w:color w:val="231F20"/>
        </w:rPr>
        <w:t>eneath the upper middle class’. The masses, Laidlaw</w:t>
      </w:r>
      <w:r>
        <w:rPr>
          <w:color w:val="231F20"/>
          <w:spacing w:val="-5"/>
        </w:rPr>
        <w:t xml:space="preserve"> </w:t>
      </w:r>
      <w:r>
        <w:rPr>
          <w:color w:val="231F20"/>
        </w:rPr>
        <w:t>points</w:t>
      </w:r>
      <w:r>
        <w:rPr>
          <w:color w:val="231F20"/>
          <w:spacing w:val="-5"/>
        </w:rPr>
        <w:t xml:space="preserve"> </w:t>
      </w:r>
      <w:r>
        <w:rPr>
          <w:color w:val="231F20"/>
        </w:rPr>
        <w:t>out,</w:t>
      </w:r>
      <w:r>
        <w:rPr>
          <w:color w:val="231F20"/>
          <w:spacing w:val="-5"/>
        </w:rPr>
        <w:t xml:space="preserve"> </w:t>
      </w:r>
      <w:r>
        <w:rPr>
          <w:color w:val="231F20"/>
        </w:rPr>
        <w:t>no</w:t>
      </w:r>
      <w:r>
        <w:rPr>
          <w:color w:val="231F20"/>
          <w:spacing w:val="-5"/>
        </w:rPr>
        <w:t xml:space="preserve"> </w:t>
      </w:r>
      <w:r>
        <w:rPr>
          <w:color w:val="231F20"/>
        </w:rPr>
        <w:t>doubt</w:t>
      </w:r>
      <w:r>
        <w:rPr>
          <w:color w:val="231F20"/>
          <w:spacing w:val="-5"/>
        </w:rPr>
        <w:t xml:space="preserve"> </w:t>
      </w:r>
      <w:r>
        <w:rPr>
          <w:color w:val="231F20"/>
        </w:rPr>
        <w:t>attracted</w:t>
      </w:r>
      <w:r>
        <w:rPr>
          <w:color w:val="231F20"/>
          <w:spacing w:val="-5"/>
        </w:rPr>
        <w:t xml:space="preserve"> </w:t>
      </w:r>
      <w:r>
        <w:rPr>
          <w:color w:val="231F20"/>
        </w:rPr>
        <w:t>by</w:t>
      </w:r>
      <w:r>
        <w:rPr>
          <w:color w:val="231F20"/>
          <w:spacing w:val="-5"/>
        </w:rPr>
        <w:t xml:space="preserve"> </w:t>
      </w:r>
      <w:r>
        <w:rPr>
          <w:color w:val="231F20"/>
        </w:rPr>
        <w:t>the</w:t>
      </w:r>
      <w:r>
        <w:rPr>
          <w:color w:val="231F20"/>
          <w:spacing w:val="-5"/>
        </w:rPr>
        <w:t xml:space="preserve"> </w:t>
      </w:r>
      <w:r>
        <w:rPr>
          <w:color w:val="231F20"/>
        </w:rPr>
        <w:t>simplicity</w:t>
      </w:r>
      <w:r>
        <w:rPr>
          <w:color w:val="231F20"/>
          <w:spacing w:val="-5"/>
        </w:rPr>
        <w:t xml:space="preserve"> </w:t>
      </w:r>
      <w:r>
        <w:rPr>
          <w:color w:val="231F20"/>
        </w:rPr>
        <w:t>and</w:t>
      </w:r>
      <w:r>
        <w:rPr>
          <w:color w:val="231F20"/>
          <w:spacing w:val="-5"/>
        </w:rPr>
        <w:t xml:space="preserve"> </w:t>
      </w:r>
      <w:r>
        <w:rPr>
          <w:color w:val="231F20"/>
        </w:rPr>
        <w:t>accessibility of the sport, took to football instead, both in England and around the world.</w:t>
      </w:r>
      <w:r>
        <w:rPr>
          <w:color w:val="231F20"/>
          <w:spacing w:val="-10"/>
        </w:rPr>
        <w:t xml:space="preserve"> </w:t>
      </w:r>
      <w:r>
        <w:rPr>
          <w:color w:val="231F20"/>
        </w:rPr>
        <w:t>Rugby</w:t>
      </w:r>
      <w:r>
        <w:rPr>
          <w:color w:val="231F20"/>
          <w:spacing w:val="-10"/>
        </w:rPr>
        <w:t xml:space="preserve"> </w:t>
      </w:r>
      <w:r>
        <w:rPr>
          <w:color w:val="231F20"/>
        </w:rPr>
        <w:t>union</w:t>
      </w:r>
      <w:r>
        <w:rPr>
          <w:color w:val="231F20"/>
          <w:spacing w:val="-10"/>
        </w:rPr>
        <w:t xml:space="preserve"> </w:t>
      </w:r>
      <w:r>
        <w:rPr>
          <w:color w:val="231F20"/>
        </w:rPr>
        <w:t>remains,</w:t>
      </w:r>
      <w:r>
        <w:rPr>
          <w:color w:val="231F20"/>
          <w:spacing w:val="-10"/>
        </w:rPr>
        <w:t xml:space="preserve"> </w:t>
      </w:r>
      <w:r>
        <w:rPr>
          <w:color w:val="231F20"/>
        </w:rPr>
        <w:t>in</w:t>
      </w:r>
      <w:r>
        <w:rPr>
          <w:color w:val="231F20"/>
          <w:spacing w:val="-10"/>
        </w:rPr>
        <w:t xml:space="preserve"> </w:t>
      </w:r>
      <w:r>
        <w:rPr>
          <w:color w:val="231F20"/>
        </w:rPr>
        <w:t>terms</w:t>
      </w:r>
      <w:r>
        <w:rPr>
          <w:color w:val="231F20"/>
          <w:spacing w:val="-10"/>
        </w:rPr>
        <w:t xml:space="preserve"> </w:t>
      </w:r>
      <w:r>
        <w:rPr>
          <w:color w:val="231F20"/>
        </w:rPr>
        <w:t>of</w:t>
      </w:r>
      <w:r>
        <w:rPr>
          <w:color w:val="231F20"/>
          <w:spacing w:val="-10"/>
        </w:rPr>
        <w:t xml:space="preserve"> </w:t>
      </w:r>
      <w:r>
        <w:rPr>
          <w:color w:val="231F20"/>
        </w:rPr>
        <w:t>spectatorship,</w:t>
      </w:r>
      <w:r>
        <w:rPr>
          <w:color w:val="231F20"/>
          <w:spacing w:val="-10"/>
        </w:rPr>
        <w:t xml:space="preserve"> </w:t>
      </w:r>
      <w:r>
        <w:rPr>
          <w:color w:val="231F20"/>
        </w:rPr>
        <w:t>the</w:t>
      </w:r>
      <w:r>
        <w:rPr>
          <w:color w:val="231F20"/>
          <w:spacing w:val="-10"/>
        </w:rPr>
        <w:t xml:space="preserve"> </w:t>
      </w:r>
      <w:r>
        <w:rPr>
          <w:color w:val="231F20"/>
        </w:rPr>
        <w:t>domain</w:t>
      </w:r>
      <w:r>
        <w:rPr>
          <w:color w:val="231F20"/>
          <w:spacing w:val="-10"/>
        </w:rPr>
        <w:t xml:space="preserve"> </w:t>
      </w:r>
      <w:r>
        <w:rPr>
          <w:color w:val="231F20"/>
        </w:rPr>
        <w:t>of</w:t>
      </w:r>
      <w:r>
        <w:rPr>
          <w:color w:val="231F20"/>
          <w:spacing w:val="-10"/>
        </w:rPr>
        <w:t xml:space="preserve"> </w:t>
      </w:r>
      <w:r>
        <w:rPr>
          <w:color w:val="231F20"/>
        </w:rPr>
        <w:t xml:space="preserve">the </w:t>
      </w:r>
      <w:r>
        <w:rPr>
          <w:color w:val="231F20"/>
          <w:w w:val="95"/>
        </w:rPr>
        <w:t xml:space="preserve">gentile in contrast to the local tribal hordes of the fandoms associated with </w:t>
      </w:r>
      <w:r>
        <w:rPr>
          <w:color w:val="231F20"/>
        </w:rPr>
        <w:t xml:space="preserve">football clubs across countries and continents around the globe. While </w:t>
      </w:r>
      <w:r>
        <w:rPr>
          <w:color w:val="231F20"/>
          <w:w w:val="95"/>
        </w:rPr>
        <w:t xml:space="preserve">democratisation has been the dominant trend in recent decades (Coakley, </w:t>
      </w:r>
      <w:r>
        <w:rPr>
          <w:color w:val="231F20"/>
        </w:rPr>
        <w:t>20</w:t>
      </w:r>
      <w:r>
        <w:rPr>
          <w:color w:val="231F20"/>
        </w:rPr>
        <w:t>17; Standeven &amp; De Knop, 1999), these sports entrench and reaffirm socio-economic standing (Booth &amp; Loy, 1999).</w:t>
      </w:r>
    </w:p>
    <w:p w14:paraId="0B0F84BD" w14:textId="77777777" w:rsidR="00AE0598" w:rsidRDefault="00AE0598">
      <w:pPr>
        <w:pStyle w:val="Corpodetexto"/>
        <w:spacing w:before="5"/>
        <w:rPr>
          <w:sz w:val="22"/>
        </w:rPr>
      </w:pPr>
    </w:p>
    <w:p w14:paraId="6D6405D2" w14:textId="77777777" w:rsidR="00AE0598" w:rsidRDefault="0069255A">
      <w:pPr>
        <w:ind w:left="110"/>
        <w:jc w:val="both"/>
        <w:rPr>
          <w:rFonts w:ascii="Trebuchet MS"/>
          <w:sz w:val="20"/>
        </w:rPr>
      </w:pPr>
      <w:r>
        <w:rPr>
          <w:rFonts w:ascii="Trebuchet MS"/>
          <w:color w:val="231F20"/>
          <w:w w:val="105"/>
          <w:sz w:val="20"/>
        </w:rPr>
        <w:t>Demographic</w:t>
      </w:r>
      <w:r>
        <w:rPr>
          <w:rFonts w:ascii="Trebuchet MS"/>
          <w:color w:val="231F20"/>
          <w:spacing w:val="1"/>
          <w:w w:val="105"/>
          <w:sz w:val="20"/>
        </w:rPr>
        <w:t xml:space="preserve"> </w:t>
      </w:r>
      <w:r>
        <w:rPr>
          <w:rFonts w:ascii="Trebuchet MS"/>
          <w:color w:val="231F20"/>
          <w:w w:val="105"/>
          <w:sz w:val="20"/>
        </w:rPr>
        <w:t>market</w:t>
      </w:r>
      <w:r>
        <w:rPr>
          <w:rFonts w:ascii="Trebuchet MS"/>
          <w:color w:val="231F20"/>
          <w:spacing w:val="2"/>
          <w:w w:val="105"/>
          <w:sz w:val="20"/>
        </w:rPr>
        <w:t xml:space="preserve"> </w:t>
      </w:r>
      <w:r>
        <w:rPr>
          <w:rFonts w:ascii="Trebuchet MS"/>
          <w:color w:val="231F20"/>
          <w:spacing w:val="-2"/>
          <w:w w:val="105"/>
          <w:sz w:val="20"/>
        </w:rPr>
        <w:t>segmentation</w:t>
      </w:r>
    </w:p>
    <w:p w14:paraId="31404E37" w14:textId="77777777" w:rsidR="00AE0598" w:rsidRDefault="0069255A">
      <w:pPr>
        <w:pStyle w:val="Corpodetexto"/>
        <w:spacing w:before="123" w:line="232" w:lineRule="auto"/>
        <w:ind w:left="110" w:right="125" w:firstLine="320"/>
        <w:jc w:val="both"/>
      </w:pPr>
      <w:r>
        <w:rPr>
          <w:color w:val="231F20"/>
          <w:w w:val="95"/>
        </w:rPr>
        <w:t>Swarbrooke and Horner (1999: 95) confirm that ‘segmentation based</w:t>
      </w:r>
      <w:r>
        <w:rPr>
          <w:color w:val="231F20"/>
          <w:spacing w:val="40"/>
        </w:rPr>
        <w:t xml:space="preserve"> </w:t>
      </w:r>
      <w:r>
        <w:rPr>
          <w:color w:val="231F20"/>
        </w:rPr>
        <w:t>on subdividing the population on the basis of</w:t>
      </w:r>
      <w:r>
        <w:rPr>
          <w:color w:val="231F20"/>
        </w:rPr>
        <w:t xml:space="preserve"> demographic factors has proved particularly popular in tourism’. The demographic profiling of sport tourism markets in North America shows, for instance, that active participation in sports varies on the basis age (Ifedi, 2008; Loverseed, 2001). The most </w:t>
      </w:r>
      <w:r>
        <w:rPr>
          <w:color w:val="231F20"/>
        </w:rPr>
        <w:t xml:space="preserve">popular participation sports in the United States include recreational swimming (94%), recreational walking (83%) and </w:t>
      </w:r>
      <w:r>
        <w:rPr>
          <w:color w:val="231F20"/>
          <w:w w:val="95"/>
        </w:rPr>
        <w:t xml:space="preserve">bowling (74%). Activities such as fitness walking, treadmill exercises and </w:t>
      </w:r>
      <w:r>
        <w:rPr>
          <w:color w:val="231F20"/>
        </w:rPr>
        <w:t>stretching, and sports such as golf and fishing, are the prefer</w:t>
      </w:r>
      <w:r>
        <w:rPr>
          <w:color w:val="231F20"/>
        </w:rPr>
        <w:t xml:space="preserve">ence of the </w:t>
      </w:r>
      <w:r>
        <w:rPr>
          <w:color w:val="231F20"/>
          <w:w w:val="95"/>
        </w:rPr>
        <w:t xml:space="preserve">seniors market (55 years and older), while basketball, soccer and baseball </w:t>
      </w:r>
      <w:r>
        <w:rPr>
          <w:color w:val="231F20"/>
        </w:rPr>
        <w:t>are</w:t>
      </w:r>
      <w:r>
        <w:rPr>
          <w:color w:val="231F20"/>
          <w:spacing w:val="16"/>
        </w:rPr>
        <w:t xml:space="preserve"> </w:t>
      </w:r>
      <w:r>
        <w:rPr>
          <w:color w:val="231F20"/>
        </w:rPr>
        <w:t>favoured</w:t>
      </w:r>
      <w:r>
        <w:rPr>
          <w:color w:val="231F20"/>
          <w:spacing w:val="16"/>
        </w:rPr>
        <w:t xml:space="preserve"> </w:t>
      </w:r>
      <w:r>
        <w:rPr>
          <w:color w:val="231F20"/>
        </w:rPr>
        <w:t>by</w:t>
      </w:r>
      <w:r>
        <w:rPr>
          <w:color w:val="231F20"/>
          <w:spacing w:val="16"/>
        </w:rPr>
        <w:t xml:space="preserve"> </w:t>
      </w:r>
      <w:r>
        <w:rPr>
          <w:color w:val="231F20"/>
        </w:rPr>
        <w:t>the</w:t>
      </w:r>
      <w:r>
        <w:rPr>
          <w:color w:val="231F20"/>
          <w:spacing w:val="16"/>
        </w:rPr>
        <w:t xml:space="preserve"> </w:t>
      </w:r>
      <w:r>
        <w:rPr>
          <w:color w:val="231F20"/>
        </w:rPr>
        <w:t>youth</w:t>
      </w:r>
      <w:r>
        <w:rPr>
          <w:color w:val="231F20"/>
          <w:spacing w:val="16"/>
        </w:rPr>
        <w:t xml:space="preserve"> </w:t>
      </w:r>
      <w:r>
        <w:rPr>
          <w:color w:val="231F20"/>
        </w:rPr>
        <w:t>market</w:t>
      </w:r>
      <w:r>
        <w:rPr>
          <w:color w:val="231F20"/>
          <w:spacing w:val="16"/>
        </w:rPr>
        <w:t xml:space="preserve"> </w:t>
      </w:r>
      <w:r>
        <w:rPr>
          <w:color w:val="231F20"/>
        </w:rPr>
        <w:t>(6–17</w:t>
      </w:r>
      <w:r>
        <w:rPr>
          <w:color w:val="231F20"/>
          <w:spacing w:val="16"/>
        </w:rPr>
        <w:t xml:space="preserve"> </w:t>
      </w:r>
      <w:r>
        <w:rPr>
          <w:color w:val="231F20"/>
        </w:rPr>
        <w:t>years).</w:t>
      </w:r>
      <w:r>
        <w:rPr>
          <w:color w:val="231F20"/>
          <w:spacing w:val="16"/>
        </w:rPr>
        <w:t xml:space="preserve"> </w:t>
      </w:r>
      <w:r>
        <w:rPr>
          <w:color w:val="231F20"/>
        </w:rPr>
        <w:t>Participation</w:t>
      </w:r>
      <w:r>
        <w:rPr>
          <w:color w:val="231F20"/>
          <w:spacing w:val="16"/>
        </w:rPr>
        <w:t xml:space="preserve"> </w:t>
      </w:r>
      <w:r>
        <w:rPr>
          <w:color w:val="231F20"/>
        </w:rPr>
        <w:t>in</w:t>
      </w:r>
      <w:r>
        <w:rPr>
          <w:color w:val="231F20"/>
          <w:spacing w:val="16"/>
        </w:rPr>
        <w:t xml:space="preserve"> </w:t>
      </w:r>
      <w:r>
        <w:rPr>
          <w:color w:val="231F20"/>
        </w:rPr>
        <w:t>golf</w:t>
      </w:r>
      <w:r>
        <w:rPr>
          <w:color w:val="231F20"/>
          <w:spacing w:val="16"/>
        </w:rPr>
        <w:t xml:space="preserve"> </w:t>
      </w:r>
      <w:r>
        <w:rPr>
          <w:color w:val="231F20"/>
        </w:rPr>
        <w:t>is</w:t>
      </w:r>
    </w:p>
    <w:p w14:paraId="0B055073" w14:textId="77777777" w:rsidR="00AE0598" w:rsidRDefault="00AE0598">
      <w:pPr>
        <w:spacing w:line="232" w:lineRule="auto"/>
        <w:jc w:val="both"/>
        <w:sectPr w:rsidR="00AE0598">
          <w:pgSz w:w="8850" w:h="13270"/>
          <w:pgMar w:top="720" w:right="1060" w:bottom="280" w:left="1080" w:header="720" w:footer="720" w:gutter="0"/>
          <w:cols w:space="720"/>
        </w:sectPr>
      </w:pPr>
    </w:p>
    <w:p w14:paraId="65EC15A8" w14:textId="77777777" w:rsidR="00AE0598" w:rsidRDefault="0069255A">
      <w:pPr>
        <w:spacing w:before="87"/>
        <w:ind w:left="108"/>
        <w:rPr>
          <w:rFonts w:ascii="Trebuchet MS"/>
          <w:sz w:val="14"/>
        </w:rPr>
      </w:pPr>
      <w:r>
        <w:rPr>
          <w:rFonts w:ascii="Trebuchet MS"/>
          <w:color w:val="231F20"/>
          <w:w w:val="105"/>
          <w:sz w:val="14"/>
        </w:rPr>
        <w:lastRenderedPageBreak/>
        <w:t>54</w:t>
      </w:r>
      <w:r>
        <w:rPr>
          <w:rFonts w:ascii="Trebuchet MS"/>
          <w:color w:val="231F20"/>
          <w:spacing w:val="64"/>
          <w:w w:val="150"/>
          <w:sz w:val="14"/>
        </w:rPr>
        <w:t xml:space="preserve"> </w:t>
      </w:r>
      <w:r>
        <w:rPr>
          <w:rFonts w:ascii="Trebuchet MS"/>
          <w:color w:val="231F20"/>
          <w:w w:val="105"/>
          <w:sz w:val="14"/>
        </w:rPr>
        <w:t>Part</w:t>
      </w:r>
      <w:r>
        <w:rPr>
          <w:rFonts w:ascii="Trebuchet MS"/>
          <w:color w:val="231F20"/>
          <w:spacing w:val="-9"/>
          <w:w w:val="105"/>
          <w:sz w:val="14"/>
        </w:rPr>
        <w:t xml:space="preserve"> </w:t>
      </w:r>
      <w:r>
        <w:rPr>
          <w:rFonts w:ascii="Trebuchet MS"/>
          <w:color w:val="231F20"/>
          <w:w w:val="105"/>
          <w:sz w:val="14"/>
        </w:rPr>
        <w:t>2:</w:t>
      </w:r>
      <w:r>
        <w:rPr>
          <w:rFonts w:ascii="Trebuchet MS"/>
          <w:color w:val="231F20"/>
          <w:spacing w:val="-9"/>
          <w:w w:val="105"/>
          <w:sz w:val="14"/>
        </w:rPr>
        <w:t xml:space="preserve"> </w:t>
      </w:r>
      <w:r>
        <w:rPr>
          <w:rFonts w:ascii="Trebuchet MS"/>
          <w:color w:val="231F20"/>
          <w:w w:val="105"/>
          <w:sz w:val="14"/>
        </w:rPr>
        <w:t>Foundations</w:t>
      </w:r>
      <w:r>
        <w:rPr>
          <w:rFonts w:ascii="Trebuchet MS"/>
          <w:color w:val="231F20"/>
          <w:spacing w:val="-9"/>
          <w:w w:val="105"/>
          <w:sz w:val="14"/>
        </w:rPr>
        <w:t xml:space="preserve"> </w:t>
      </w:r>
      <w:r>
        <w:rPr>
          <w:rFonts w:ascii="Trebuchet MS"/>
          <w:color w:val="231F20"/>
          <w:w w:val="105"/>
          <w:sz w:val="14"/>
        </w:rPr>
        <w:t>of</w:t>
      </w:r>
      <w:r>
        <w:rPr>
          <w:rFonts w:ascii="Trebuchet MS"/>
          <w:color w:val="231F20"/>
          <w:spacing w:val="-9"/>
          <w:w w:val="105"/>
          <w:sz w:val="14"/>
        </w:rPr>
        <w:t xml:space="preserve"> </w:t>
      </w:r>
      <w:r>
        <w:rPr>
          <w:rFonts w:ascii="Trebuchet MS"/>
          <w:color w:val="231F20"/>
          <w:w w:val="105"/>
          <w:sz w:val="14"/>
        </w:rPr>
        <w:t>Sport</w:t>
      </w:r>
      <w:r>
        <w:rPr>
          <w:rFonts w:ascii="Trebuchet MS"/>
          <w:color w:val="231F20"/>
          <w:spacing w:val="-9"/>
          <w:w w:val="105"/>
          <w:sz w:val="14"/>
        </w:rPr>
        <w:t xml:space="preserve"> </w:t>
      </w:r>
      <w:r>
        <w:rPr>
          <w:rFonts w:ascii="Trebuchet MS"/>
          <w:color w:val="231F20"/>
          <w:w w:val="105"/>
          <w:sz w:val="14"/>
        </w:rPr>
        <w:t>Tourism</w:t>
      </w:r>
      <w:r>
        <w:rPr>
          <w:rFonts w:ascii="Trebuchet MS"/>
          <w:color w:val="231F20"/>
          <w:spacing w:val="-9"/>
          <w:w w:val="105"/>
          <w:sz w:val="14"/>
        </w:rPr>
        <w:t xml:space="preserve"> </w:t>
      </w:r>
      <w:r>
        <w:rPr>
          <w:rFonts w:ascii="Trebuchet MS"/>
          <w:color w:val="231F20"/>
          <w:spacing w:val="-2"/>
          <w:w w:val="105"/>
          <w:sz w:val="14"/>
        </w:rPr>
        <w:t>Development</w:t>
      </w:r>
    </w:p>
    <w:p w14:paraId="2D07AB9E" w14:textId="77777777" w:rsidR="00AE0598" w:rsidRDefault="00AE0598">
      <w:pPr>
        <w:pStyle w:val="Corpodetexto"/>
        <w:rPr>
          <w:rFonts w:ascii="Trebuchet MS"/>
          <w:sz w:val="16"/>
        </w:rPr>
      </w:pPr>
    </w:p>
    <w:p w14:paraId="1A4FA138" w14:textId="77777777" w:rsidR="00AE0598" w:rsidRDefault="0069255A">
      <w:pPr>
        <w:pStyle w:val="Corpodetexto"/>
        <w:spacing w:before="118" w:line="232" w:lineRule="auto"/>
        <w:ind w:left="110" w:right="125"/>
        <w:jc w:val="both"/>
      </w:pPr>
      <w:r>
        <w:rPr>
          <w:color w:val="231F20"/>
        </w:rPr>
        <w:t>influenced by demographic variables such as income, senior citizenry and ‘empty nest’ status (Tassiopoulos &amp; Haydam, 2008). In Canada, participation in sports such as ice hockey, volleyball and football is dominated by affluent, young, males who are typica</w:t>
      </w:r>
      <w:r>
        <w:rPr>
          <w:color w:val="231F20"/>
        </w:rPr>
        <w:t xml:space="preserve">lly students (Ifedi, </w:t>
      </w:r>
      <w:r>
        <w:rPr>
          <w:color w:val="231F20"/>
          <w:w w:val="90"/>
        </w:rPr>
        <w:t xml:space="preserve">2008). Hudson </w:t>
      </w:r>
      <w:r>
        <w:rPr>
          <w:i/>
          <w:color w:val="231F20"/>
          <w:w w:val="90"/>
        </w:rPr>
        <w:t>et al</w:t>
      </w:r>
      <w:r>
        <w:rPr>
          <w:color w:val="231F20"/>
          <w:w w:val="90"/>
        </w:rPr>
        <w:t xml:space="preserve">. (2010) demonstrate that the perceptions of constraints </w:t>
      </w:r>
      <w:r>
        <w:rPr>
          <w:color w:val="231F20"/>
        </w:rPr>
        <w:t xml:space="preserve">acting upon participants in downhill skiing vary on the basis of cultural </w:t>
      </w:r>
      <w:r>
        <w:rPr>
          <w:color w:val="231F20"/>
          <w:w w:val="95"/>
        </w:rPr>
        <w:t xml:space="preserve">or ethnic background (distinguishing in their study between Chinese and </w:t>
      </w:r>
      <w:r>
        <w:rPr>
          <w:color w:val="231F20"/>
        </w:rPr>
        <w:t>Anglo-Canadia</w:t>
      </w:r>
      <w:r>
        <w:rPr>
          <w:color w:val="231F20"/>
        </w:rPr>
        <w:t>ns) in Canada.</w:t>
      </w:r>
    </w:p>
    <w:p w14:paraId="7BE8AC7E" w14:textId="77777777" w:rsidR="00AE0598" w:rsidRDefault="0069255A">
      <w:pPr>
        <w:pStyle w:val="Corpodetexto"/>
        <w:spacing w:before="10" w:line="232" w:lineRule="auto"/>
        <w:ind w:left="110" w:right="127" w:firstLine="320"/>
        <w:jc w:val="both"/>
      </w:pPr>
      <w:r>
        <w:rPr>
          <w:color w:val="231F20"/>
        </w:rPr>
        <w:t xml:space="preserve">Gibson </w:t>
      </w:r>
      <w:r>
        <w:rPr>
          <w:i/>
          <w:color w:val="231F20"/>
        </w:rPr>
        <w:t>et al</w:t>
      </w:r>
      <w:r>
        <w:rPr>
          <w:color w:val="231F20"/>
        </w:rPr>
        <w:t xml:space="preserve">. (1998) provide one of the more detailed demographic </w:t>
      </w:r>
      <w:r>
        <w:rPr>
          <w:color w:val="231F20"/>
          <w:spacing w:val="-2"/>
          <w:w w:val="95"/>
        </w:rPr>
        <w:t>analyses</w:t>
      </w:r>
      <w:r>
        <w:rPr>
          <w:color w:val="231F20"/>
          <w:spacing w:val="-6"/>
          <w:w w:val="95"/>
        </w:rPr>
        <w:t xml:space="preserve"> </w:t>
      </w:r>
      <w:r>
        <w:rPr>
          <w:color w:val="231F20"/>
          <w:spacing w:val="-2"/>
          <w:w w:val="95"/>
        </w:rPr>
        <w:t>of</w:t>
      </w:r>
      <w:r>
        <w:rPr>
          <w:color w:val="231F20"/>
          <w:spacing w:val="11"/>
        </w:rPr>
        <w:t xml:space="preserve"> </w:t>
      </w:r>
      <w:r>
        <w:rPr>
          <w:color w:val="231F20"/>
          <w:spacing w:val="-2"/>
          <w:w w:val="95"/>
        </w:rPr>
        <w:t>the</w:t>
      </w:r>
      <w:r>
        <w:rPr>
          <w:color w:val="231F20"/>
          <w:spacing w:val="-6"/>
          <w:w w:val="95"/>
        </w:rPr>
        <w:t xml:space="preserve"> </w:t>
      </w:r>
      <w:r>
        <w:rPr>
          <w:color w:val="231F20"/>
          <w:spacing w:val="-2"/>
          <w:w w:val="95"/>
        </w:rPr>
        <w:t>active</w:t>
      </w:r>
      <w:r>
        <w:rPr>
          <w:color w:val="231F20"/>
          <w:spacing w:val="-6"/>
          <w:w w:val="95"/>
        </w:rPr>
        <w:t xml:space="preserve"> </w:t>
      </w:r>
      <w:r>
        <w:rPr>
          <w:color w:val="231F20"/>
          <w:spacing w:val="-2"/>
          <w:w w:val="95"/>
        </w:rPr>
        <w:t>sport</w:t>
      </w:r>
      <w:r>
        <w:rPr>
          <w:color w:val="231F20"/>
          <w:spacing w:val="-6"/>
          <w:w w:val="95"/>
        </w:rPr>
        <w:t xml:space="preserve"> </w:t>
      </w:r>
      <w:r>
        <w:rPr>
          <w:color w:val="231F20"/>
          <w:spacing w:val="-2"/>
          <w:w w:val="95"/>
        </w:rPr>
        <w:t>tourism</w:t>
      </w:r>
      <w:r>
        <w:rPr>
          <w:color w:val="231F20"/>
          <w:spacing w:val="-6"/>
          <w:w w:val="95"/>
        </w:rPr>
        <w:t xml:space="preserve"> </w:t>
      </w:r>
      <w:r>
        <w:rPr>
          <w:color w:val="231F20"/>
          <w:spacing w:val="-2"/>
          <w:w w:val="95"/>
        </w:rPr>
        <w:t>market</w:t>
      </w:r>
      <w:r>
        <w:rPr>
          <w:color w:val="231F20"/>
          <w:spacing w:val="-6"/>
          <w:w w:val="95"/>
        </w:rPr>
        <w:t xml:space="preserve"> </w:t>
      </w:r>
      <w:r>
        <w:rPr>
          <w:color w:val="231F20"/>
          <w:spacing w:val="-2"/>
          <w:w w:val="95"/>
        </w:rPr>
        <w:t>from</w:t>
      </w:r>
      <w:r>
        <w:rPr>
          <w:color w:val="231F20"/>
          <w:spacing w:val="-6"/>
          <w:w w:val="95"/>
        </w:rPr>
        <w:t xml:space="preserve"> </w:t>
      </w:r>
      <w:r>
        <w:rPr>
          <w:color w:val="231F20"/>
          <w:spacing w:val="-2"/>
          <w:w w:val="95"/>
        </w:rPr>
        <w:t>a</w:t>
      </w:r>
      <w:r>
        <w:rPr>
          <w:color w:val="231F20"/>
          <w:spacing w:val="-6"/>
          <w:w w:val="95"/>
        </w:rPr>
        <w:t xml:space="preserve"> </w:t>
      </w:r>
      <w:r>
        <w:rPr>
          <w:color w:val="231F20"/>
          <w:spacing w:val="-2"/>
          <w:w w:val="95"/>
        </w:rPr>
        <w:t>life-span</w:t>
      </w:r>
      <w:r>
        <w:rPr>
          <w:color w:val="231F20"/>
          <w:spacing w:val="-6"/>
          <w:w w:val="95"/>
        </w:rPr>
        <w:t xml:space="preserve"> </w:t>
      </w:r>
      <w:r>
        <w:rPr>
          <w:color w:val="231F20"/>
          <w:spacing w:val="-2"/>
          <w:w w:val="95"/>
        </w:rPr>
        <w:t>perspective.</w:t>
      </w:r>
      <w:r>
        <w:rPr>
          <w:color w:val="231F20"/>
          <w:spacing w:val="-6"/>
          <w:w w:val="95"/>
        </w:rPr>
        <w:t xml:space="preserve"> </w:t>
      </w:r>
      <w:r>
        <w:rPr>
          <w:color w:val="231F20"/>
          <w:spacing w:val="-2"/>
          <w:w w:val="95"/>
        </w:rPr>
        <w:t xml:space="preserve">They </w:t>
      </w:r>
      <w:r>
        <w:rPr>
          <w:color w:val="231F20"/>
          <w:w w:val="95"/>
        </w:rPr>
        <w:t xml:space="preserve">profile the active sport tourist market in the early adulthood (17–39 years), </w:t>
      </w:r>
      <w:r>
        <w:rPr>
          <w:color w:val="231F20"/>
          <w:spacing w:val="-2"/>
          <w:w w:val="95"/>
        </w:rPr>
        <w:t>middle adulthood (</w:t>
      </w:r>
      <w:r>
        <w:rPr>
          <w:color w:val="231F20"/>
          <w:spacing w:val="-2"/>
          <w:w w:val="95"/>
        </w:rPr>
        <w:t xml:space="preserve">40–59 years) and late adulthood (60–91 years) life stages. </w:t>
      </w:r>
      <w:r>
        <w:rPr>
          <w:color w:val="231F20"/>
        </w:rPr>
        <w:t>While</w:t>
      </w:r>
      <w:r>
        <w:rPr>
          <w:color w:val="231F20"/>
          <w:spacing w:val="-5"/>
        </w:rPr>
        <w:t xml:space="preserve"> </w:t>
      </w:r>
      <w:r>
        <w:rPr>
          <w:color w:val="231F20"/>
        </w:rPr>
        <w:t>active</w:t>
      </w:r>
      <w:r>
        <w:rPr>
          <w:color w:val="231F20"/>
          <w:spacing w:val="-5"/>
        </w:rPr>
        <w:t xml:space="preserve"> </w:t>
      </w:r>
      <w:r>
        <w:rPr>
          <w:color w:val="231F20"/>
        </w:rPr>
        <w:t>sport</w:t>
      </w:r>
      <w:r>
        <w:rPr>
          <w:color w:val="231F20"/>
          <w:spacing w:val="-5"/>
        </w:rPr>
        <w:t xml:space="preserve"> </w:t>
      </w:r>
      <w:r>
        <w:rPr>
          <w:color w:val="231F20"/>
        </w:rPr>
        <w:t>tourism</w:t>
      </w:r>
      <w:r>
        <w:rPr>
          <w:color w:val="231F20"/>
          <w:spacing w:val="-5"/>
        </w:rPr>
        <w:t xml:space="preserve"> </w:t>
      </w:r>
      <w:r>
        <w:rPr>
          <w:color w:val="231F20"/>
        </w:rPr>
        <w:t>proved</w:t>
      </w:r>
      <w:r>
        <w:rPr>
          <w:color w:val="231F20"/>
          <w:spacing w:val="-5"/>
        </w:rPr>
        <w:t xml:space="preserve"> </w:t>
      </w:r>
      <w:r>
        <w:rPr>
          <w:color w:val="231F20"/>
        </w:rPr>
        <w:t>to</w:t>
      </w:r>
      <w:r>
        <w:rPr>
          <w:color w:val="231F20"/>
          <w:spacing w:val="-5"/>
        </w:rPr>
        <w:t xml:space="preserve"> </w:t>
      </w:r>
      <w:r>
        <w:rPr>
          <w:color w:val="231F20"/>
        </w:rPr>
        <w:t>be</w:t>
      </w:r>
      <w:r>
        <w:rPr>
          <w:color w:val="231F20"/>
          <w:spacing w:val="-5"/>
        </w:rPr>
        <w:t xml:space="preserve"> </w:t>
      </w:r>
      <w:r>
        <w:rPr>
          <w:color w:val="231F20"/>
        </w:rPr>
        <w:t>pursued</w:t>
      </w:r>
      <w:r>
        <w:rPr>
          <w:color w:val="231F20"/>
          <w:spacing w:val="-5"/>
        </w:rPr>
        <w:t xml:space="preserve"> </w:t>
      </w:r>
      <w:r>
        <w:rPr>
          <w:color w:val="231F20"/>
        </w:rPr>
        <w:t>particularly</w:t>
      </w:r>
      <w:r>
        <w:rPr>
          <w:color w:val="231F20"/>
          <w:spacing w:val="-5"/>
        </w:rPr>
        <w:t xml:space="preserve"> </w:t>
      </w:r>
      <w:r>
        <w:rPr>
          <w:color w:val="231F20"/>
        </w:rPr>
        <w:t>by</w:t>
      </w:r>
      <w:r>
        <w:rPr>
          <w:color w:val="231F20"/>
          <w:spacing w:val="-5"/>
        </w:rPr>
        <w:t xml:space="preserve"> </w:t>
      </w:r>
      <w:r>
        <w:rPr>
          <w:color w:val="231F20"/>
        </w:rPr>
        <w:t>those</w:t>
      </w:r>
      <w:r>
        <w:rPr>
          <w:color w:val="231F20"/>
          <w:spacing w:val="-5"/>
        </w:rPr>
        <w:t xml:space="preserve"> </w:t>
      </w:r>
      <w:r>
        <w:rPr>
          <w:color w:val="231F20"/>
        </w:rPr>
        <w:t xml:space="preserve">in </w:t>
      </w:r>
      <w:r>
        <w:rPr>
          <w:color w:val="231F20"/>
          <w:spacing w:val="-2"/>
        </w:rPr>
        <w:t>early</w:t>
      </w:r>
      <w:r>
        <w:rPr>
          <w:color w:val="231F20"/>
          <w:spacing w:val="-6"/>
        </w:rPr>
        <w:t xml:space="preserve"> </w:t>
      </w:r>
      <w:r>
        <w:rPr>
          <w:color w:val="231F20"/>
          <w:spacing w:val="-2"/>
        </w:rPr>
        <w:t>adulthood,</w:t>
      </w:r>
      <w:r>
        <w:rPr>
          <w:color w:val="231F20"/>
          <w:spacing w:val="-6"/>
        </w:rPr>
        <w:t xml:space="preserve"> </w:t>
      </w:r>
      <w:r>
        <w:rPr>
          <w:color w:val="231F20"/>
          <w:spacing w:val="-2"/>
        </w:rPr>
        <w:t>‘a</w:t>
      </w:r>
      <w:r>
        <w:rPr>
          <w:color w:val="231F20"/>
          <w:spacing w:val="-6"/>
        </w:rPr>
        <w:t xml:space="preserve"> </w:t>
      </w:r>
      <w:r>
        <w:rPr>
          <w:color w:val="231F20"/>
          <w:spacing w:val="-2"/>
        </w:rPr>
        <w:t>sizeable</w:t>
      </w:r>
      <w:r>
        <w:rPr>
          <w:color w:val="231F20"/>
          <w:spacing w:val="-6"/>
        </w:rPr>
        <w:t xml:space="preserve"> </w:t>
      </w:r>
      <w:r>
        <w:rPr>
          <w:color w:val="231F20"/>
          <w:spacing w:val="-2"/>
        </w:rPr>
        <w:t>number</w:t>
      </w:r>
      <w:r>
        <w:rPr>
          <w:color w:val="231F20"/>
          <w:spacing w:val="-6"/>
        </w:rPr>
        <w:t xml:space="preserve"> </w:t>
      </w:r>
      <w:r>
        <w:rPr>
          <w:color w:val="231F20"/>
          <w:spacing w:val="-2"/>
        </w:rPr>
        <w:t>of</w:t>
      </w:r>
      <w:r>
        <w:rPr>
          <w:color w:val="231F20"/>
        </w:rPr>
        <w:t xml:space="preserve"> </w:t>
      </w:r>
      <w:r>
        <w:rPr>
          <w:color w:val="231F20"/>
          <w:spacing w:val="-2"/>
        </w:rPr>
        <w:t>both</w:t>
      </w:r>
      <w:r>
        <w:rPr>
          <w:color w:val="231F20"/>
          <w:spacing w:val="-6"/>
        </w:rPr>
        <w:t xml:space="preserve"> </w:t>
      </w:r>
      <w:r>
        <w:rPr>
          <w:color w:val="231F20"/>
          <w:spacing w:val="-2"/>
        </w:rPr>
        <w:t>men</w:t>
      </w:r>
      <w:r>
        <w:rPr>
          <w:color w:val="231F20"/>
          <w:spacing w:val="-6"/>
        </w:rPr>
        <w:t xml:space="preserve"> </w:t>
      </w:r>
      <w:r>
        <w:rPr>
          <w:color w:val="231F20"/>
          <w:spacing w:val="-2"/>
        </w:rPr>
        <w:t>and</w:t>
      </w:r>
      <w:r>
        <w:rPr>
          <w:color w:val="231F20"/>
          <w:spacing w:val="-6"/>
        </w:rPr>
        <w:t xml:space="preserve"> </w:t>
      </w:r>
      <w:r>
        <w:rPr>
          <w:color w:val="231F20"/>
          <w:spacing w:val="-2"/>
        </w:rPr>
        <w:t>women</w:t>
      </w:r>
      <w:r>
        <w:rPr>
          <w:color w:val="231F20"/>
          <w:spacing w:val="-6"/>
        </w:rPr>
        <w:t xml:space="preserve"> </w:t>
      </w:r>
      <w:r>
        <w:rPr>
          <w:color w:val="231F20"/>
          <w:spacing w:val="-2"/>
        </w:rPr>
        <w:t>choose</w:t>
      </w:r>
      <w:r>
        <w:rPr>
          <w:color w:val="231F20"/>
          <w:spacing w:val="-6"/>
        </w:rPr>
        <w:t xml:space="preserve"> </w:t>
      </w:r>
      <w:r>
        <w:rPr>
          <w:color w:val="231F20"/>
          <w:spacing w:val="-2"/>
        </w:rPr>
        <w:t xml:space="preserve">sport </w:t>
      </w:r>
      <w:r>
        <w:rPr>
          <w:color w:val="231F20"/>
        </w:rPr>
        <w:t xml:space="preserve">orientated vacations in middle and late adulthood as well’ (Gibson </w:t>
      </w:r>
      <w:r>
        <w:rPr>
          <w:i/>
          <w:color w:val="231F20"/>
        </w:rPr>
        <w:t>et al</w:t>
      </w:r>
      <w:r>
        <w:rPr>
          <w:color w:val="231F20"/>
        </w:rPr>
        <w:t>., 1998: 52). They, like Harahousou (1999) and Tokarski (1993), identify physical activity among people in late adulthood as an increasing trend. The</w:t>
      </w:r>
      <w:r>
        <w:rPr>
          <w:color w:val="231F20"/>
          <w:spacing w:val="-4"/>
        </w:rPr>
        <w:t xml:space="preserve"> </w:t>
      </w:r>
      <w:r>
        <w:rPr>
          <w:color w:val="231F20"/>
        </w:rPr>
        <w:t>active</w:t>
      </w:r>
      <w:r>
        <w:rPr>
          <w:color w:val="231F20"/>
          <w:spacing w:val="-4"/>
        </w:rPr>
        <w:t xml:space="preserve"> </w:t>
      </w:r>
      <w:r>
        <w:rPr>
          <w:color w:val="231F20"/>
        </w:rPr>
        <w:t>sport</w:t>
      </w:r>
      <w:r>
        <w:rPr>
          <w:color w:val="231F20"/>
          <w:spacing w:val="-4"/>
        </w:rPr>
        <w:t xml:space="preserve"> </w:t>
      </w:r>
      <w:r>
        <w:rPr>
          <w:color w:val="231F20"/>
        </w:rPr>
        <w:t>tourism</w:t>
      </w:r>
      <w:r>
        <w:rPr>
          <w:color w:val="231F20"/>
          <w:spacing w:val="-4"/>
        </w:rPr>
        <w:t xml:space="preserve"> </w:t>
      </w:r>
      <w:r>
        <w:rPr>
          <w:color w:val="231F20"/>
        </w:rPr>
        <w:t>market</w:t>
      </w:r>
      <w:r>
        <w:rPr>
          <w:color w:val="231F20"/>
          <w:spacing w:val="-4"/>
        </w:rPr>
        <w:t xml:space="preserve"> </w:t>
      </w:r>
      <w:r>
        <w:rPr>
          <w:color w:val="231F20"/>
        </w:rPr>
        <w:t>is</w:t>
      </w:r>
      <w:r>
        <w:rPr>
          <w:color w:val="231F20"/>
          <w:spacing w:val="-4"/>
        </w:rPr>
        <w:t xml:space="preserve"> </w:t>
      </w:r>
      <w:r>
        <w:rPr>
          <w:color w:val="231F20"/>
        </w:rPr>
        <w:t>als</w:t>
      </w:r>
      <w:r>
        <w:rPr>
          <w:color w:val="231F20"/>
        </w:rPr>
        <w:t>o</w:t>
      </w:r>
      <w:r>
        <w:rPr>
          <w:color w:val="231F20"/>
          <w:spacing w:val="-4"/>
        </w:rPr>
        <w:t xml:space="preserve"> </w:t>
      </w:r>
      <w:r>
        <w:rPr>
          <w:color w:val="231F20"/>
        </w:rPr>
        <w:t>influenced</w:t>
      </w:r>
      <w:r>
        <w:rPr>
          <w:color w:val="231F20"/>
          <w:spacing w:val="-4"/>
        </w:rPr>
        <w:t xml:space="preserve"> </w:t>
      </w:r>
      <w:r>
        <w:rPr>
          <w:color w:val="231F20"/>
        </w:rPr>
        <w:t>by</w:t>
      </w:r>
      <w:r>
        <w:rPr>
          <w:color w:val="231F20"/>
          <w:spacing w:val="-4"/>
        </w:rPr>
        <w:t xml:space="preserve"> </w:t>
      </w:r>
      <w:r>
        <w:rPr>
          <w:color w:val="231F20"/>
        </w:rPr>
        <w:t>changes</w:t>
      </w:r>
      <w:r>
        <w:rPr>
          <w:color w:val="231F20"/>
          <w:spacing w:val="-4"/>
        </w:rPr>
        <w:t xml:space="preserve"> </w:t>
      </w:r>
      <w:r>
        <w:rPr>
          <w:color w:val="231F20"/>
        </w:rPr>
        <w:t>in</w:t>
      </w:r>
      <w:r>
        <w:rPr>
          <w:color w:val="231F20"/>
          <w:spacing w:val="-4"/>
        </w:rPr>
        <w:t xml:space="preserve"> </w:t>
      </w:r>
      <w:r>
        <w:rPr>
          <w:color w:val="231F20"/>
        </w:rPr>
        <w:t>societal conventions</w:t>
      </w:r>
      <w:r>
        <w:rPr>
          <w:color w:val="231F20"/>
          <w:spacing w:val="-12"/>
        </w:rPr>
        <w:t xml:space="preserve"> </w:t>
      </w:r>
      <w:r>
        <w:rPr>
          <w:color w:val="231F20"/>
        </w:rPr>
        <w:t>regarding</w:t>
      </w:r>
      <w:r>
        <w:rPr>
          <w:color w:val="231F20"/>
          <w:spacing w:val="-12"/>
        </w:rPr>
        <w:t xml:space="preserve"> </w:t>
      </w:r>
      <w:r>
        <w:rPr>
          <w:color w:val="231F20"/>
        </w:rPr>
        <w:t>female</w:t>
      </w:r>
      <w:r>
        <w:rPr>
          <w:color w:val="231F20"/>
          <w:spacing w:val="-11"/>
        </w:rPr>
        <w:t xml:space="preserve"> </w:t>
      </w:r>
      <w:r>
        <w:rPr>
          <w:color w:val="231F20"/>
        </w:rPr>
        <w:t>participation</w:t>
      </w:r>
      <w:r>
        <w:rPr>
          <w:color w:val="231F20"/>
          <w:spacing w:val="-12"/>
        </w:rPr>
        <w:t xml:space="preserve"> </w:t>
      </w:r>
      <w:r>
        <w:rPr>
          <w:color w:val="231F20"/>
        </w:rPr>
        <w:t>in</w:t>
      </w:r>
      <w:r>
        <w:rPr>
          <w:color w:val="231F20"/>
          <w:spacing w:val="-11"/>
        </w:rPr>
        <w:t xml:space="preserve"> </w:t>
      </w:r>
      <w:r>
        <w:rPr>
          <w:color w:val="231F20"/>
        </w:rPr>
        <w:t>sports.</w:t>
      </w:r>
      <w:r>
        <w:rPr>
          <w:color w:val="231F20"/>
          <w:spacing w:val="-12"/>
        </w:rPr>
        <w:t xml:space="preserve"> </w:t>
      </w:r>
      <w:r>
        <w:rPr>
          <w:color w:val="231F20"/>
        </w:rPr>
        <w:t>Gibson</w:t>
      </w:r>
      <w:r>
        <w:rPr>
          <w:color w:val="231F20"/>
          <w:spacing w:val="-11"/>
        </w:rPr>
        <w:t xml:space="preserve"> </w:t>
      </w:r>
      <w:r>
        <w:rPr>
          <w:i/>
          <w:color w:val="231F20"/>
        </w:rPr>
        <w:t>et</w:t>
      </w:r>
      <w:r>
        <w:rPr>
          <w:i/>
          <w:color w:val="231F20"/>
          <w:spacing w:val="-12"/>
        </w:rPr>
        <w:t xml:space="preserve"> </w:t>
      </w:r>
      <w:r>
        <w:rPr>
          <w:i/>
          <w:color w:val="231F20"/>
        </w:rPr>
        <w:t>al</w:t>
      </w:r>
      <w:r>
        <w:rPr>
          <w:color w:val="231F20"/>
        </w:rPr>
        <w:t>.</w:t>
      </w:r>
      <w:r>
        <w:rPr>
          <w:color w:val="231F20"/>
          <w:spacing w:val="-12"/>
        </w:rPr>
        <w:t xml:space="preserve"> </w:t>
      </w:r>
      <w:r>
        <w:rPr>
          <w:color w:val="231F20"/>
        </w:rPr>
        <w:t>(1998: 54)</w:t>
      </w:r>
      <w:r>
        <w:rPr>
          <w:color w:val="231F20"/>
          <w:spacing w:val="-9"/>
        </w:rPr>
        <w:t xml:space="preserve"> </w:t>
      </w:r>
      <w:r>
        <w:rPr>
          <w:color w:val="231F20"/>
        </w:rPr>
        <w:t>state</w:t>
      </w:r>
      <w:r>
        <w:rPr>
          <w:color w:val="231F20"/>
          <w:spacing w:val="-10"/>
        </w:rPr>
        <w:t xml:space="preserve"> </w:t>
      </w:r>
      <w:r>
        <w:rPr>
          <w:color w:val="231F20"/>
        </w:rPr>
        <w:t>that</w:t>
      </w:r>
      <w:r>
        <w:rPr>
          <w:color w:val="231F20"/>
          <w:spacing w:val="-9"/>
        </w:rPr>
        <w:t xml:space="preserve"> </w:t>
      </w:r>
      <w:r>
        <w:rPr>
          <w:color w:val="231F20"/>
        </w:rPr>
        <w:t>‘the</w:t>
      </w:r>
      <w:r>
        <w:rPr>
          <w:color w:val="231F20"/>
          <w:spacing w:val="-10"/>
        </w:rPr>
        <w:t xml:space="preserve"> </w:t>
      </w:r>
      <w:r>
        <w:rPr>
          <w:color w:val="231F20"/>
        </w:rPr>
        <w:t>subject</w:t>
      </w:r>
      <w:r>
        <w:rPr>
          <w:color w:val="231F20"/>
          <w:spacing w:val="-9"/>
        </w:rPr>
        <w:t xml:space="preserve"> </w:t>
      </w:r>
      <w:r>
        <w:rPr>
          <w:color w:val="231F20"/>
        </w:rPr>
        <w:t>of</w:t>
      </w:r>
      <w:r>
        <w:rPr>
          <w:color w:val="231F20"/>
          <w:spacing w:val="-1"/>
        </w:rPr>
        <w:t xml:space="preserve"> </w:t>
      </w:r>
      <w:r>
        <w:rPr>
          <w:color w:val="231F20"/>
        </w:rPr>
        <w:t>gender</w:t>
      </w:r>
      <w:r>
        <w:rPr>
          <w:color w:val="231F20"/>
          <w:spacing w:val="-9"/>
        </w:rPr>
        <w:t xml:space="preserve"> </w:t>
      </w:r>
      <w:r>
        <w:rPr>
          <w:color w:val="231F20"/>
        </w:rPr>
        <w:t>and</w:t>
      </w:r>
      <w:r>
        <w:rPr>
          <w:color w:val="231F20"/>
          <w:spacing w:val="-10"/>
        </w:rPr>
        <w:t xml:space="preserve"> </w:t>
      </w:r>
      <w:r>
        <w:rPr>
          <w:color w:val="231F20"/>
        </w:rPr>
        <w:t>sport</w:t>
      </w:r>
      <w:r>
        <w:rPr>
          <w:color w:val="231F20"/>
          <w:spacing w:val="-9"/>
        </w:rPr>
        <w:t xml:space="preserve"> </w:t>
      </w:r>
      <w:r>
        <w:rPr>
          <w:color w:val="231F20"/>
        </w:rPr>
        <w:t>is</w:t>
      </w:r>
      <w:r>
        <w:rPr>
          <w:color w:val="231F20"/>
          <w:spacing w:val="-10"/>
        </w:rPr>
        <w:t xml:space="preserve"> </w:t>
      </w:r>
      <w:r>
        <w:rPr>
          <w:color w:val="231F20"/>
        </w:rPr>
        <w:t>full</w:t>
      </w:r>
      <w:r>
        <w:rPr>
          <w:color w:val="231F20"/>
          <w:spacing w:val="-9"/>
        </w:rPr>
        <w:t xml:space="preserve"> </w:t>
      </w:r>
      <w:r>
        <w:rPr>
          <w:color w:val="231F20"/>
        </w:rPr>
        <w:t>of</w:t>
      </w:r>
      <w:r>
        <w:rPr>
          <w:color w:val="231F20"/>
          <w:spacing w:val="-1"/>
        </w:rPr>
        <w:t xml:space="preserve"> </w:t>
      </w:r>
      <w:r>
        <w:rPr>
          <w:color w:val="231F20"/>
        </w:rPr>
        <w:t>examples</w:t>
      </w:r>
      <w:r>
        <w:rPr>
          <w:color w:val="231F20"/>
          <w:spacing w:val="-9"/>
        </w:rPr>
        <w:t xml:space="preserve"> </w:t>
      </w:r>
      <w:r>
        <w:rPr>
          <w:color w:val="231F20"/>
        </w:rPr>
        <w:t xml:space="preserve">showing </w:t>
      </w:r>
      <w:r>
        <w:rPr>
          <w:color w:val="231F20"/>
          <w:w w:val="95"/>
        </w:rPr>
        <w:t xml:space="preserve">how gender-typed social expectations affect women’s participation in sport </w:t>
      </w:r>
      <w:r>
        <w:rPr>
          <w:color w:val="231F20"/>
        </w:rPr>
        <w:t xml:space="preserve">and physical activity’. This situation is emerging from historical male </w:t>
      </w:r>
      <w:r>
        <w:rPr>
          <w:color w:val="231F20"/>
          <w:w w:val="95"/>
        </w:rPr>
        <w:t>domination of</w:t>
      </w:r>
      <w:r>
        <w:rPr>
          <w:color w:val="231F20"/>
        </w:rPr>
        <w:t xml:space="preserve"> </w:t>
      </w:r>
      <w:r>
        <w:rPr>
          <w:color w:val="231F20"/>
          <w:w w:val="95"/>
        </w:rPr>
        <w:t xml:space="preserve">participation, particularly in contact sports, due to changing </w:t>
      </w:r>
      <w:r>
        <w:rPr>
          <w:color w:val="231F20"/>
        </w:rPr>
        <w:t>societal ideologies about the ge</w:t>
      </w:r>
      <w:r>
        <w:rPr>
          <w:color w:val="231F20"/>
        </w:rPr>
        <w:t xml:space="preserve">nder-appropriateness of many activities (Carle &amp; Nauright, 1999; Wiley </w:t>
      </w:r>
      <w:r>
        <w:rPr>
          <w:i/>
          <w:color w:val="231F20"/>
        </w:rPr>
        <w:t>et al</w:t>
      </w:r>
      <w:r>
        <w:rPr>
          <w:color w:val="231F20"/>
        </w:rPr>
        <w:t xml:space="preserve">., 2000; Wright &amp; Clarke, 1999). Women’s rugby union and football have become major growth markets, </w:t>
      </w:r>
      <w:r>
        <w:rPr>
          <w:color w:val="231F20"/>
          <w:w w:val="95"/>
        </w:rPr>
        <w:t>which,</w:t>
      </w:r>
      <w:r>
        <w:rPr>
          <w:color w:val="231F20"/>
          <w:spacing w:val="-2"/>
          <w:w w:val="95"/>
        </w:rPr>
        <w:t xml:space="preserve"> </w:t>
      </w:r>
      <w:r>
        <w:rPr>
          <w:color w:val="231F20"/>
          <w:w w:val="95"/>
        </w:rPr>
        <w:t>in</w:t>
      </w:r>
      <w:r>
        <w:rPr>
          <w:color w:val="231F20"/>
          <w:spacing w:val="-2"/>
          <w:w w:val="95"/>
        </w:rPr>
        <w:t xml:space="preserve"> </w:t>
      </w:r>
      <w:r>
        <w:rPr>
          <w:color w:val="231F20"/>
          <w:w w:val="95"/>
        </w:rPr>
        <w:t>turn,</w:t>
      </w:r>
      <w:r>
        <w:rPr>
          <w:color w:val="231F20"/>
          <w:spacing w:val="-2"/>
          <w:w w:val="95"/>
        </w:rPr>
        <w:t xml:space="preserve"> </w:t>
      </w:r>
      <w:r>
        <w:rPr>
          <w:color w:val="231F20"/>
          <w:w w:val="95"/>
        </w:rPr>
        <w:t>has</w:t>
      </w:r>
      <w:r>
        <w:rPr>
          <w:color w:val="231F20"/>
          <w:spacing w:val="-2"/>
          <w:w w:val="95"/>
        </w:rPr>
        <w:t xml:space="preserve"> </w:t>
      </w:r>
      <w:r>
        <w:rPr>
          <w:color w:val="231F20"/>
          <w:w w:val="95"/>
        </w:rPr>
        <w:t>stimulated</w:t>
      </w:r>
      <w:r>
        <w:rPr>
          <w:color w:val="231F20"/>
          <w:spacing w:val="-2"/>
          <w:w w:val="95"/>
        </w:rPr>
        <w:t xml:space="preserve"> </w:t>
      </w:r>
      <w:r>
        <w:rPr>
          <w:color w:val="231F20"/>
          <w:w w:val="95"/>
        </w:rPr>
        <w:t>the</w:t>
      </w:r>
      <w:r>
        <w:rPr>
          <w:color w:val="231F20"/>
          <w:spacing w:val="-2"/>
          <w:w w:val="95"/>
        </w:rPr>
        <w:t xml:space="preserve"> </w:t>
      </w:r>
      <w:r>
        <w:rPr>
          <w:color w:val="231F20"/>
          <w:w w:val="95"/>
        </w:rPr>
        <w:t>study</w:t>
      </w:r>
      <w:r>
        <w:rPr>
          <w:color w:val="231F20"/>
          <w:spacing w:val="-2"/>
          <w:w w:val="95"/>
        </w:rPr>
        <w:t xml:space="preserve"> </w:t>
      </w:r>
      <w:r>
        <w:rPr>
          <w:color w:val="231F20"/>
          <w:w w:val="95"/>
        </w:rPr>
        <w:t>of</w:t>
      </w:r>
      <w:r>
        <w:rPr>
          <w:color w:val="231F20"/>
        </w:rPr>
        <w:t xml:space="preserve"> </w:t>
      </w:r>
      <w:r>
        <w:rPr>
          <w:color w:val="231F20"/>
          <w:w w:val="95"/>
        </w:rPr>
        <w:t>differentiated</w:t>
      </w:r>
      <w:r>
        <w:rPr>
          <w:color w:val="231F20"/>
          <w:spacing w:val="-2"/>
          <w:w w:val="95"/>
        </w:rPr>
        <w:t xml:space="preserve"> </w:t>
      </w:r>
      <w:r>
        <w:rPr>
          <w:color w:val="231F20"/>
          <w:w w:val="95"/>
        </w:rPr>
        <w:t>sport</w:t>
      </w:r>
      <w:r>
        <w:rPr>
          <w:color w:val="231F20"/>
          <w:spacing w:val="-2"/>
          <w:w w:val="95"/>
        </w:rPr>
        <w:t xml:space="preserve"> </w:t>
      </w:r>
      <w:r>
        <w:rPr>
          <w:color w:val="231F20"/>
          <w:w w:val="95"/>
        </w:rPr>
        <w:t xml:space="preserve">participation </w:t>
      </w:r>
      <w:r>
        <w:rPr>
          <w:color w:val="231F20"/>
        </w:rPr>
        <w:t>e</w:t>
      </w:r>
      <w:r>
        <w:rPr>
          <w:color w:val="231F20"/>
        </w:rPr>
        <w:t>xperiences</w:t>
      </w:r>
      <w:r>
        <w:rPr>
          <w:color w:val="231F20"/>
          <w:spacing w:val="-1"/>
        </w:rPr>
        <w:t xml:space="preserve"> </w:t>
      </w:r>
      <w:r>
        <w:rPr>
          <w:color w:val="231F20"/>
        </w:rPr>
        <w:t>on</w:t>
      </w:r>
      <w:r>
        <w:rPr>
          <w:color w:val="231F20"/>
          <w:spacing w:val="-1"/>
        </w:rPr>
        <w:t xml:space="preserve"> </w:t>
      </w:r>
      <w:r>
        <w:rPr>
          <w:color w:val="231F20"/>
        </w:rPr>
        <w:t>the</w:t>
      </w:r>
      <w:r>
        <w:rPr>
          <w:color w:val="231F20"/>
          <w:spacing w:val="-1"/>
        </w:rPr>
        <w:t xml:space="preserve"> </w:t>
      </w:r>
      <w:r>
        <w:rPr>
          <w:color w:val="231F20"/>
        </w:rPr>
        <w:t>basis</w:t>
      </w:r>
      <w:r>
        <w:rPr>
          <w:color w:val="231F20"/>
          <w:spacing w:val="-1"/>
        </w:rPr>
        <w:t xml:space="preserve"> </w:t>
      </w:r>
      <w:r>
        <w:rPr>
          <w:color w:val="231F20"/>
        </w:rPr>
        <w:t>of gender</w:t>
      </w:r>
      <w:r>
        <w:rPr>
          <w:color w:val="231F20"/>
          <w:spacing w:val="-1"/>
        </w:rPr>
        <w:t xml:space="preserve"> </w:t>
      </w:r>
      <w:r>
        <w:rPr>
          <w:color w:val="231F20"/>
        </w:rPr>
        <w:t>(Green</w:t>
      </w:r>
      <w:r>
        <w:rPr>
          <w:color w:val="231F20"/>
          <w:spacing w:val="-1"/>
        </w:rPr>
        <w:t xml:space="preserve"> </w:t>
      </w:r>
      <w:r>
        <w:rPr>
          <w:color w:val="231F20"/>
        </w:rPr>
        <w:t>&amp;</w:t>
      </w:r>
      <w:r>
        <w:rPr>
          <w:color w:val="231F20"/>
          <w:spacing w:val="-1"/>
        </w:rPr>
        <w:t xml:space="preserve"> </w:t>
      </w:r>
      <w:r>
        <w:rPr>
          <w:color w:val="231F20"/>
        </w:rPr>
        <w:t>Chalip,</w:t>
      </w:r>
      <w:r>
        <w:rPr>
          <w:color w:val="231F20"/>
          <w:spacing w:val="-1"/>
        </w:rPr>
        <w:t xml:space="preserve"> </w:t>
      </w:r>
      <w:r>
        <w:rPr>
          <w:color w:val="231F20"/>
        </w:rPr>
        <w:t>1998).</w:t>
      </w:r>
    </w:p>
    <w:p w14:paraId="282E6519" w14:textId="77777777" w:rsidR="00AE0598" w:rsidRDefault="00AE0598">
      <w:pPr>
        <w:pStyle w:val="Corpodetexto"/>
        <w:spacing w:before="11"/>
        <w:rPr>
          <w:sz w:val="22"/>
        </w:rPr>
      </w:pPr>
    </w:p>
    <w:p w14:paraId="16E9255C" w14:textId="77777777" w:rsidR="00AE0598" w:rsidRDefault="0069255A">
      <w:pPr>
        <w:ind w:left="110"/>
        <w:jc w:val="both"/>
        <w:rPr>
          <w:rFonts w:ascii="Trebuchet MS"/>
          <w:sz w:val="20"/>
        </w:rPr>
      </w:pPr>
      <w:r>
        <w:rPr>
          <w:rFonts w:ascii="Trebuchet MS"/>
          <w:color w:val="231F20"/>
          <w:sz w:val="20"/>
        </w:rPr>
        <w:t>Psychographic</w:t>
      </w:r>
      <w:r>
        <w:rPr>
          <w:rFonts w:ascii="Trebuchet MS"/>
          <w:color w:val="231F20"/>
          <w:spacing w:val="34"/>
          <w:sz w:val="20"/>
        </w:rPr>
        <w:t xml:space="preserve"> </w:t>
      </w:r>
      <w:r>
        <w:rPr>
          <w:rFonts w:ascii="Trebuchet MS"/>
          <w:color w:val="231F20"/>
          <w:sz w:val="20"/>
        </w:rPr>
        <w:t>market</w:t>
      </w:r>
      <w:r>
        <w:rPr>
          <w:rFonts w:ascii="Trebuchet MS"/>
          <w:color w:val="231F20"/>
          <w:spacing w:val="35"/>
          <w:sz w:val="20"/>
        </w:rPr>
        <w:t xml:space="preserve"> </w:t>
      </w:r>
      <w:r>
        <w:rPr>
          <w:rFonts w:ascii="Trebuchet MS"/>
          <w:color w:val="231F20"/>
          <w:spacing w:val="-2"/>
          <w:sz w:val="20"/>
        </w:rPr>
        <w:t>segmentation</w:t>
      </w:r>
    </w:p>
    <w:p w14:paraId="094AF385" w14:textId="77777777" w:rsidR="00AE0598" w:rsidRDefault="0069255A">
      <w:pPr>
        <w:pStyle w:val="Corpodetexto"/>
        <w:spacing w:before="122" w:line="232" w:lineRule="auto"/>
        <w:ind w:left="110" w:right="125" w:firstLine="320"/>
        <w:jc w:val="both"/>
      </w:pPr>
      <w:r>
        <w:rPr>
          <w:color w:val="231F20"/>
        </w:rPr>
        <w:t xml:space="preserve">Psychographic studies are founded on the premise that ‘the lifestyle, attitudes, opinions and personality of people determine their behaviour as consumers’ (Swarbrooke &amp; Horner, 1999: 96). For example, the </w:t>
      </w:r>
      <w:r>
        <w:rPr>
          <w:color w:val="231F20"/>
          <w:w w:val="95"/>
        </w:rPr>
        <w:t xml:space="preserve">psychographic profile of </w:t>
      </w:r>
      <w:r>
        <w:rPr>
          <w:i/>
          <w:color w:val="231F20"/>
          <w:w w:val="95"/>
        </w:rPr>
        <w:t xml:space="preserve">sports-for-all </w:t>
      </w:r>
      <w:r>
        <w:rPr>
          <w:color w:val="231F20"/>
          <w:w w:val="95"/>
        </w:rPr>
        <w:t>participan</w:t>
      </w:r>
      <w:r>
        <w:rPr>
          <w:color w:val="231F20"/>
          <w:w w:val="95"/>
        </w:rPr>
        <w:t xml:space="preserve">ts differs from those who </w:t>
      </w:r>
      <w:r>
        <w:rPr>
          <w:color w:val="231F20"/>
        </w:rPr>
        <w:t>pursue</w:t>
      </w:r>
      <w:r>
        <w:rPr>
          <w:color w:val="231F20"/>
          <w:spacing w:val="-8"/>
        </w:rPr>
        <w:t xml:space="preserve"> </w:t>
      </w:r>
      <w:r>
        <w:rPr>
          <w:color w:val="231F20"/>
        </w:rPr>
        <w:t>technical</w:t>
      </w:r>
      <w:r>
        <w:rPr>
          <w:color w:val="231F20"/>
          <w:spacing w:val="-8"/>
        </w:rPr>
        <w:t xml:space="preserve"> </w:t>
      </w:r>
      <w:r>
        <w:rPr>
          <w:color w:val="231F20"/>
        </w:rPr>
        <w:t>challenge</w:t>
      </w:r>
      <w:r>
        <w:rPr>
          <w:color w:val="231F20"/>
          <w:spacing w:val="-8"/>
        </w:rPr>
        <w:t xml:space="preserve"> </w:t>
      </w:r>
      <w:r>
        <w:rPr>
          <w:color w:val="231F20"/>
        </w:rPr>
        <w:t>or</w:t>
      </w:r>
      <w:r>
        <w:rPr>
          <w:color w:val="231F20"/>
          <w:spacing w:val="-8"/>
        </w:rPr>
        <w:t xml:space="preserve"> </w:t>
      </w:r>
      <w:r>
        <w:rPr>
          <w:color w:val="231F20"/>
        </w:rPr>
        <w:t>competition</w:t>
      </w:r>
      <w:r>
        <w:rPr>
          <w:color w:val="231F20"/>
          <w:spacing w:val="-8"/>
        </w:rPr>
        <w:t xml:space="preserve"> </w:t>
      </w:r>
      <w:r>
        <w:rPr>
          <w:color w:val="231F20"/>
        </w:rPr>
        <w:t>through</w:t>
      </w:r>
      <w:r>
        <w:rPr>
          <w:color w:val="231F20"/>
          <w:spacing w:val="-8"/>
        </w:rPr>
        <w:t xml:space="preserve"> </w:t>
      </w:r>
      <w:r>
        <w:rPr>
          <w:color w:val="231F20"/>
        </w:rPr>
        <w:t>active</w:t>
      </w:r>
      <w:r>
        <w:rPr>
          <w:color w:val="231F20"/>
          <w:spacing w:val="-8"/>
        </w:rPr>
        <w:t xml:space="preserve"> </w:t>
      </w:r>
      <w:r>
        <w:rPr>
          <w:color w:val="231F20"/>
        </w:rPr>
        <w:t>involvement</w:t>
      </w:r>
      <w:r>
        <w:rPr>
          <w:color w:val="231F20"/>
          <w:spacing w:val="-8"/>
        </w:rPr>
        <w:t xml:space="preserve"> </w:t>
      </w:r>
      <w:r>
        <w:rPr>
          <w:color w:val="231F20"/>
        </w:rPr>
        <w:t xml:space="preserve">in sports. The defining criteria of sport-for-all include the absence of entry </w:t>
      </w:r>
      <w:r>
        <w:rPr>
          <w:color w:val="231F20"/>
          <w:w w:val="95"/>
        </w:rPr>
        <w:t xml:space="preserve">qualifications, championship prizes and competition between participants </w:t>
      </w:r>
      <w:r>
        <w:rPr>
          <w:color w:val="231F20"/>
        </w:rPr>
        <w:t>(Nogawa</w:t>
      </w:r>
      <w:r>
        <w:rPr>
          <w:color w:val="231F20"/>
          <w:spacing w:val="-7"/>
        </w:rPr>
        <w:t xml:space="preserve"> </w:t>
      </w:r>
      <w:r>
        <w:rPr>
          <w:i/>
          <w:color w:val="231F20"/>
        </w:rPr>
        <w:t>e</w:t>
      </w:r>
      <w:r>
        <w:rPr>
          <w:i/>
          <w:color w:val="231F20"/>
        </w:rPr>
        <w:t>t</w:t>
      </w:r>
      <w:r>
        <w:rPr>
          <w:i/>
          <w:color w:val="231F20"/>
          <w:spacing w:val="-7"/>
        </w:rPr>
        <w:t xml:space="preserve"> </w:t>
      </w:r>
      <w:r>
        <w:rPr>
          <w:i/>
          <w:color w:val="231F20"/>
        </w:rPr>
        <w:t>al</w:t>
      </w:r>
      <w:r>
        <w:rPr>
          <w:color w:val="231F20"/>
        </w:rPr>
        <w:t>.,</w:t>
      </w:r>
      <w:r>
        <w:rPr>
          <w:color w:val="231F20"/>
          <w:spacing w:val="-7"/>
        </w:rPr>
        <w:t xml:space="preserve"> </w:t>
      </w:r>
      <w:r>
        <w:rPr>
          <w:color w:val="231F20"/>
        </w:rPr>
        <w:t>1996).</w:t>
      </w:r>
      <w:r>
        <w:rPr>
          <w:color w:val="231F20"/>
          <w:spacing w:val="-7"/>
        </w:rPr>
        <w:t xml:space="preserve"> </w:t>
      </w:r>
      <w:r>
        <w:rPr>
          <w:color w:val="231F20"/>
        </w:rPr>
        <w:t>Instead</w:t>
      </w:r>
      <w:r>
        <w:rPr>
          <w:color w:val="231F20"/>
          <w:spacing w:val="-7"/>
        </w:rPr>
        <w:t xml:space="preserve"> </w:t>
      </w:r>
      <w:r>
        <w:rPr>
          <w:color w:val="231F20"/>
        </w:rPr>
        <w:t>‘sport-for-all</w:t>
      </w:r>
      <w:r>
        <w:rPr>
          <w:color w:val="231F20"/>
          <w:spacing w:val="-7"/>
        </w:rPr>
        <w:t xml:space="preserve"> </w:t>
      </w:r>
      <w:r>
        <w:rPr>
          <w:color w:val="231F20"/>
        </w:rPr>
        <w:t>…emphasises</w:t>
      </w:r>
      <w:r>
        <w:rPr>
          <w:color w:val="231F20"/>
          <w:spacing w:val="-7"/>
        </w:rPr>
        <w:t xml:space="preserve"> </w:t>
      </w:r>
      <w:r>
        <w:rPr>
          <w:color w:val="231F20"/>
        </w:rPr>
        <w:t>the</w:t>
      </w:r>
      <w:r>
        <w:rPr>
          <w:color w:val="231F20"/>
          <w:spacing w:val="-7"/>
        </w:rPr>
        <w:t xml:space="preserve"> </w:t>
      </w:r>
      <w:r>
        <w:rPr>
          <w:color w:val="231F20"/>
        </w:rPr>
        <w:t>joy</w:t>
      </w:r>
      <w:r>
        <w:rPr>
          <w:color w:val="231F20"/>
          <w:spacing w:val="-7"/>
        </w:rPr>
        <w:t xml:space="preserve"> </w:t>
      </w:r>
      <w:r>
        <w:rPr>
          <w:color w:val="231F20"/>
        </w:rPr>
        <w:t>of</w:t>
      </w:r>
      <w:r>
        <w:rPr>
          <w:color w:val="231F20"/>
          <w:spacing w:val="-7"/>
        </w:rPr>
        <w:t xml:space="preserve"> </w:t>
      </w:r>
      <w:r>
        <w:rPr>
          <w:color w:val="231F20"/>
        </w:rPr>
        <w:t>sport participation and health-related fitness while de-emphasising excessive competition.</w:t>
      </w:r>
      <w:r>
        <w:rPr>
          <w:color w:val="231F20"/>
          <w:spacing w:val="-9"/>
        </w:rPr>
        <w:t xml:space="preserve"> </w:t>
      </w:r>
      <w:r>
        <w:rPr>
          <w:color w:val="231F20"/>
        </w:rPr>
        <w:t>The</w:t>
      </w:r>
      <w:r>
        <w:rPr>
          <w:color w:val="231F20"/>
          <w:spacing w:val="-9"/>
        </w:rPr>
        <w:t xml:space="preserve"> </w:t>
      </w:r>
      <w:r>
        <w:rPr>
          <w:color w:val="231F20"/>
        </w:rPr>
        <w:t>concept</w:t>
      </w:r>
      <w:r>
        <w:rPr>
          <w:color w:val="231F20"/>
          <w:spacing w:val="-9"/>
        </w:rPr>
        <w:t xml:space="preserve"> </w:t>
      </w:r>
      <w:r>
        <w:rPr>
          <w:color w:val="231F20"/>
        </w:rPr>
        <w:t>of</w:t>
      </w:r>
      <w:r>
        <w:rPr>
          <w:color w:val="231F20"/>
          <w:spacing w:val="-9"/>
        </w:rPr>
        <w:t xml:space="preserve"> </w:t>
      </w:r>
      <w:r>
        <w:rPr>
          <w:color w:val="231F20"/>
        </w:rPr>
        <w:t>a</w:t>
      </w:r>
      <w:r>
        <w:rPr>
          <w:color w:val="231F20"/>
          <w:spacing w:val="-9"/>
        </w:rPr>
        <w:t xml:space="preserve"> </w:t>
      </w:r>
      <w:r>
        <w:rPr>
          <w:color w:val="231F20"/>
        </w:rPr>
        <w:t>sport-for-all</w:t>
      </w:r>
      <w:r>
        <w:rPr>
          <w:color w:val="231F20"/>
          <w:spacing w:val="-9"/>
        </w:rPr>
        <w:t xml:space="preserve"> </w:t>
      </w:r>
      <w:r>
        <w:rPr>
          <w:color w:val="231F20"/>
        </w:rPr>
        <w:t>event</w:t>
      </w:r>
      <w:r>
        <w:rPr>
          <w:color w:val="231F20"/>
          <w:spacing w:val="-9"/>
        </w:rPr>
        <w:t xml:space="preserve"> </w:t>
      </w:r>
      <w:r>
        <w:rPr>
          <w:color w:val="231F20"/>
        </w:rPr>
        <w:t>is</w:t>
      </w:r>
      <w:r>
        <w:rPr>
          <w:color w:val="231F20"/>
          <w:spacing w:val="-9"/>
        </w:rPr>
        <w:t xml:space="preserve"> </w:t>
      </w:r>
      <w:r>
        <w:rPr>
          <w:color w:val="231F20"/>
        </w:rPr>
        <w:t>that</w:t>
      </w:r>
      <w:r>
        <w:rPr>
          <w:color w:val="231F20"/>
          <w:spacing w:val="-9"/>
        </w:rPr>
        <w:t xml:space="preserve"> </w:t>
      </w:r>
      <w:r>
        <w:rPr>
          <w:color w:val="231F20"/>
        </w:rPr>
        <w:t>every</w:t>
      </w:r>
      <w:r>
        <w:rPr>
          <w:color w:val="231F20"/>
          <w:spacing w:val="-9"/>
        </w:rPr>
        <w:t xml:space="preserve"> </w:t>
      </w:r>
      <w:r>
        <w:rPr>
          <w:color w:val="231F20"/>
        </w:rPr>
        <w:t xml:space="preserve">participant is a winner’ (Nogawa </w:t>
      </w:r>
      <w:r>
        <w:rPr>
          <w:i/>
          <w:color w:val="231F20"/>
        </w:rPr>
        <w:t>et al</w:t>
      </w:r>
      <w:r>
        <w:rPr>
          <w:color w:val="231F20"/>
        </w:rPr>
        <w:t xml:space="preserve">., 1996: 47). The active sport tourism market </w:t>
      </w:r>
      <w:r>
        <w:rPr>
          <w:color w:val="231F20"/>
          <w:w w:val="95"/>
        </w:rPr>
        <w:t xml:space="preserve">can be effectively segmented based on the differences between sport-for-all </w:t>
      </w:r>
      <w:r>
        <w:rPr>
          <w:color w:val="231F20"/>
        </w:rPr>
        <w:t>participants and their more competitive counterparts.</w:t>
      </w:r>
    </w:p>
    <w:p w14:paraId="1B6CF888" w14:textId="77777777" w:rsidR="00AE0598" w:rsidRDefault="00AE0598">
      <w:pPr>
        <w:spacing w:line="232" w:lineRule="auto"/>
        <w:jc w:val="both"/>
        <w:sectPr w:rsidR="00AE0598">
          <w:pgSz w:w="8850" w:h="13270"/>
          <w:pgMar w:top="720" w:right="1060" w:bottom="280" w:left="1080" w:header="720" w:footer="720" w:gutter="0"/>
          <w:cols w:space="720"/>
        </w:sectPr>
      </w:pPr>
    </w:p>
    <w:p w14:paraId="3E872A43" w14:textId="77777777" w:rsidR="00AE0598" w:rsidRDefault="0069255A">
      <w:pPr>
        <w:spacing w:before="87"/>
        <w:ind w:left="110" w:right="128"/>
        <w:jc w:val="right"/>
        <w:rPr>
          <w:rFonts w:ascii="Trebuchet MS"/>
          <w:sz w:val="14"/>
        </w:rPr>
      </w:pPr>
      <w:r>
        <w:rPr>
          <w:rFonts w:ascii="Trebuchet MS"/>
          <w:color w:val="231F20"/>
          <w:w w:val="105"/>
          <w:sz w:val="14"/>
        </w:rPr>
        <w:lastRenderedPageBreak/>
        <w:t>Sport</w:t>
      </w:r>
      <w:r>
        <w:rPr>
          <w:rFonts w:ascii="Trebuchet MS"/>
          <w:color w:val="231F20"/>
          <w:spacing w:val="-7"/>
          <w:w w:val="105"/>
          <w:sz w:val="14"/>
        </w:rPr>
        <w:t xml:space="preserve"> </w:t>
      </w:r>
      <w:r>
        <w:rPr>
          <w:rFonts w:ascii="Trebuchet MS"/>
          <w:color w:val="231F20"/>
          <w:w w:val="105"/>
          <w:sz w:val="14"/>
        </w:rPr>
        <w:t>Tourism</w:t>
      </w:r>
      <w:r>
        <w:rPr>
          <w:rFonts w:ascii="Trebuchet MS"/>
          <w:color w:val="231F20"/>
          <w:spacing w:val="-7"/>
          <w:w w:val="105"/>
          <w:sz w:val="14"/>
        </w:rPr>
        <w:t xml:space="preserve"> </w:t>
      </w:r>
      <w:r>
        <w:rPr>
          <w:rFonts w:ascii="Trebuchet MS"/>
          <w:color w:val="231F20"/>
          <w:w w:val="105"/>
          <w:sz w:val="14"/>
        </w:rPr>
        <w:t>Markets</w:t>
      </w:r>
      <w:r>
        <w:rPr>
          <w:rFonts w:ascii="Trebuchet MS"/>
          <w:color w:val="231F20"/>
          <w:spacing w:val="73"/>
          <w:w w:val="150"/>
          <w:sz w:val="14"/>
        </w:rPr>
        <w:t xml:space="preserve"> </w:t>
      </w:r>
      <w:r>
        <w:rPr>
          <w:rFonts w:ascii="Trebuchet MS"/>
          <w:color w:val="231F20"/>
          <w:spacing w:val="-5"/>
          <w:w w:val="105"/>
          <w:sz w:val="14"/>
        </w:rPr>
        <w:t>55</w:t>
      </w:r>
    </w:p>
    <w:p w14:paraId="626D104C" w14:textId="77777777" w:rsidR="00AE0598" w:rsidRDefault="00AE0598">
      <w:pPr>
        <w:pStyle w:val="Corpodetexto"/>
        <w:rPr>
          <w:rFonts w:ascii="Trebuchet MS"/>
          <w:sz w:val="16"/>
        </w:rPr>
      </w:pPr>
    </w:p>
    <w:p w14:paraId="0D172A26" w14:textId="77777777" w:rsidR="00AE0598" w:rsidRDefault="0069255A">
      <w:pPr>
        <w:pStyle w:val="Corpodetexto"/>
        <w:spacing w:before="118" w:line="232" w:lineRule="auto"/>
        <w:ind w:left="110" w:right="126" w:firstLine="320"/>
        <w:jc w:val="both"/>
      </w:pPr>
      <w:r>
        <w:rPr>
          <w:color w:val="231F20"/>
        </w:rPr>
        <w:t>Ac</w:t>
      </w:r>
      <w:r>
        <w:rPr>
          <w:color w:val="231F20"/>
        </w:rPr>
        <w:t xml:space="preserve">tive participation in some sports may also be associated with </w:t>
      </w:r>
      <w:r>
        <w:rPr>
          <w:color w:val="231F20"/>
          <w:w w:val="95"/>
        </w:rPr>
        <w:t xml:space="preserve">distinctive subcultures that are an expression of identity (Green &amp; Chalip, </w:t>
      </w:r>
      <w:r>
        <w:rPr>
          <w:color w:val="231F20"/>
        </w:rPr>
        <w:t>1998). Wheaton (2000, 2004) examined one such subculture in her ethnographic study of windsurfing. She observed that t</w:t>
      </w:r>
      <w:r>
        <w:rPr>
          <w:color w:val="231F20"/>
        </w:rPr>
        <w:t xml:space="preserve">he emergence of </w:t>
      </w:r>
      <w:r>
        <w:rPr>
          <w:color w:val="231F20"/>
          <w:w w:val="95"/>
        </w:rPr>
        <w:t xml:space="preserve">new and individualised leisure sports, such as windsurfing, snowboarding </w:t>
      </w:r>
      <w:r>
        <w:rPr>
          <w:color w:val="231F20"/>
        </w:rPr>
        <w:t xml:space="preserve">and mountain biking, represents ‘much more than …intermittent </w:t>
      </w:r>
      <w:r>
        <w:rPr>
          <w:color w:val="231F20"/>
          <w:w w:val="95"/>
        </w:rPr>
        <w:t xml:space="preserve">recreation; participants are involved in a multi-layered leisure subculture’ </w:t>
      </w:r>
      <w:r>
        <w:rPr>
          <w:color w:val="231F20"/>
        </w:rPr>
        <w:t>(Wheaton, 2000: 256). Subcul</w:t>
      </w:r>
      <w:r>
        <w:rPr>
          <w:color w:val="231F20"/>
        </w:rPr>
        <w:t xml:space="preserve">tures are expressed in various ways, including life choices such as career, work time, place of residence and </w:t>
      </w:r>
      <w:r>
        <w:rPr>
          <w:color w:val="231F20"/>
          <w:w w:val="95"/>
        </w:rPr>
        <w:t>tourist destination preferences (Wheaton, 2013). Similar conclusions have been made in the case of snowboarding (Heino, 2000). Both studies sugges</w:t>
      </w:r>
      <w:r>
        <w:rPr>
          <w:color w:val="231F20"/>
          <w:w w:val="95"/>
        </w:rPr>
        <w:t xml:space="preserve">t </w:t>
      </w:r>
      <w:r>
        <w:rPr>
          <w:color w:val="231F20"/>
        </w:rPr>
        <w:t xml:space="preserve">that the values associated with individual sports can be instrumental in shaping the attitudes and personalities of participants (Chapter 6). Less </w:t>
      </w:r>
      <w:r>
        <w:rPr>
          <w:color w:val="231F20"/>
          <w:w w:val="95"/>
        </w:rPr>
        <w:t>organised and regulated sports, such as beach volleyball, street basketball, mountain biking and skateboard</w:t>
      </w:r>
      <w:r>
        <w:rPr>
          <w:color w:val="231F20"/>
          <w:w w:val="95"/>
        </w:rPr>
        <w:t xml:space="preserve">ing, ‘emphasise values such as excitement, </w:t>
      </w:r>
      <w:r>
        <w:rPr>
          <w:color w:val="231F20"/>
        </w:rPr>
        <w:t>spontaneity, rebellion, non-conformity, sociability and creativity, and these</w:t>
      </w:r>
      <w:r>
        <w:rPr>
          <w:color w:val="231F20"/>
          <w:spacing w:val="-4"/>
        </w:rPr>
        <w:t xml:space="preserve"> </w:t>
      </w:r>
      <w:r>
        <w:rPr>
          <w:color w:val="231F20"/>
        </w:rPr>
        <w:t>are</w:t>
      </w:r>
      <w:r>
        <w:rPr>
          <w:color w:val="231F20"/>
          <w:spacing w:val="-4"/>
        </w:rPr>
        <w:t xml:space="preserve"> </w:t>
      </w:r>
      <w:r>
        <w:rPr>
          <w:color w:val="231F20"/>
        </w:rPr>
        <w:t>assuming</w:t>
      </w:r>
      <w:r>
        <w:rPr>
          <w:color w:val="231F20"/>
          <w:spacing w:val="-4"/>
        </w:rPr>
        <w:t xml:space="preserve"> </w:t>
      </w:r>
      <w:r>
        <w:rPr>
          <w:color w:val="231F20"/>
        </w:rPr>
        <w:t>considerable</w:t>
      </w:r>
      <w:r>
        <w:rPr>
          <w:color w:val="231F20"/>
          <w:spacing w:val="-4"/>
        </w:rPr>
        <w:t xml:space="preserve"> </w:t>
      </w:r>
      <w:r>
        <w:rPr>
          <w:color w:val="231F20"/>
        </w:rPr>
        <w:t>importance</w:t>
      </w:r>
      <w:r>
        <w:rPr>
          <w:color w:val="231F20"/>
          <w:spacing w:val="-4"/>
        </w:rPr>
        <w:t xml:space="preserve"> </w:t>
      </w:r>
      <w:r>
        <w:rPr>
          <w:color w:val="231F20"/>
        </w:rPr>
        <w:t>within</w:t>
      </w:r>
      <w:r>
        <w:rPr>
          <w:color w:val="231F20"/>
          <w:spacing w:val="-4"/>
        </w:rPr>
        <w:t xml:space="preserve"> </w:t>
      </w:r>
      <w:r>
        <w:rPr>
          <w:color w:val="231F20"/>
        </w:rPr>
        <w:t>the</w:t>
      </w:r>
      <w:r>
        <w:rPr>
          <w:color w:val="231F20"/>
          <w:spacing w:val="-4"/>
        </w:rPr>
        <w:t xml:space="preserve"> </w:t>
      </w:r>
      <w:r>
        <w:rPr>
          <w:color w:val="231F20"/>
        </w:rPr>
        <w:t>context</w:t>
      </w:r>
      <w:r>
        <w:rPr>
          <w:color w:val="231F20"/>
          <w:spacing w:val="-4"/>
        </w:rPr>
        <w:t xml:space="preserve"> </w:t>
      </w:r>
      <w:r>
        <w:rPr>
          <w:color w:val="231F20"/>
        </w:rPr>
        <w:t>of</w:t>
      </w:r>
      <w:r>
        <w:rPr>
          <w:color w:val="231F20"/>
          <w:spacing w:val="-4"/>
        </w:rPr>
        <w:t xml:space="preserve"> </w:t>
      </w:r>
      <w:r>
        <w:rPr>
          <w:color w:val="231F20"/>
        </w:rPr>
        <w:t>youth culture’ (Thomson, 2000: 34).</w:t>
      </w:r>
    </w:p>
    <w:p w14:paraId="4CB8B4EB" w14:textId="77777777" w:rsidR="00AE0598" w:rsidRDefault="0069255A">
      <w:pPr>
        <w:pStyle w:val="Corpodetexto"/>
        <w:spacing w:before="22" w:line="232" w:lineRule="auto"/>
        <w:ind w:left="110" w:right="126" w:firstLine="320"/>
        <w:jc w:val="both"/>
      </w:pPr>
      <w:r>
        <w:rPr>
          <w:color w:val="231F20"/>
          <w:w w:val="95"/>
        </w:rPr>
        <w:t xml:space="preserve">The psychographic profiles of sport tourists are also shaped by culture. </w:t>
      </w:r>
      <w:r>
        <w:rPr>
          <w:color w:val="231F20"/>
        </w:rPr>
        <w:t>Cross-cultural</w:t>
      </w:r>
      <w:r>
        <w:rPr>
          <w:color w:val="231F20"/>
          <w:spacing w:val="-9"/>
        </w:rPr>
        <w:t xml:space="preserve"> </w:t>
      </w:r>
      <w:r>
        <w:rPr>
          <w:color w:val="231F20"/>
        </w:rPr>
        <w:t>studies</w:t>
      </w:r>
      <w:r>
        <w:rPr>
          <w:color w:val="231F20"/>
          <w:spacing w:val="-9"/>
        </w:rPr>
        <w:t xml:space="preserve"> </w:t>
      </w:r>
      <w:r>
        <w:rPr>
          <w:color w:val="231F20"/>
        </w:rPr>
        <w:t>have</w:t>
      </w:r>
      <w:r>
        <w:rPr>
          <w:color w:val="231F20"/>
          <w:spacing w:val="-9"/>
        </w:rPr>
        <w:t xml:space="preserve"> </w:t>
      </w:r>
      <w:r>
        <w:rPr>
          <w:color w:val="231F20"/>
        </w:rPr>
        <w:t>shown</w:t>
      </w:r>
      <w:r>
        <w:rPr>
          <w:color w:val="231F20"/>
          <w:spacing w:val="-9"/>
        </w:rPr>
        <w:t xml:space="preserve"> </w:t>
      </w:r>
      <w:r>
        <w:rPr>
          <w:color w:val="231F20"/>
        </w:rPr>
        <w:t>that</w:t>
      </w:r>
      <w:r>
        <w:rPr>
          <w:color w:val="231F20"/>
          <w:spacing w:val="-9"/>
        </w:rPr>
        <w:t xml:space="preserve"> </w:t>
      </w:r>
      <w:r>
        <w:rPr>
          <w:color w:val="231F20"/>
        </w:rPr>
        <w:t>norms</w:t>
      </w:r>
      <w:r>
        <w:rPr>
          <w:color w:val="231F20"/>
          <w:spacing w:val="-9"/>
        </w:rPr>
        <w:t xml:space="preserve"> </w:t>
      </w:r>
      <w:r>
        <w:rPr>
          <w:color w:val="231F20"/>
        </w:rPr>
        <w:t>for</w:t>
      </w:r>
      <w:r>
        <w:rPr>
          <w:color w:val="231F20"/>
          <w:spacing w:val="-9"/>
        </w:rPr>
        <w:t xml:space="preserve"> </w:t>
      </w:r>
      <w:r>
        <w:rPr>
          <w:color w:val="231F20"/>
        </w:rPr>
        <w:t>experiencing</w:t>
      </w:r>
      <w:r>
        <w:rPr>
          <w:color w:val="231F20"/>
          <w:spacing w:val="-9"/>
        </w:rPr>
        <w:t xml:space="preserve"> </w:t>
      </w:r>
      <w:r>
        <w:rPr>
          <w:color w:val="231F20"/>
        </w:rPr>
        <w:t>emotions differ between cultures, with implications for behaviour, well-being and happiness</w:t>
      </w:r>
      <w:r>
        <w:rPr>
          <w:color w:val="231F20"/>
          <w:spacing w:val="-3"/>
        </w:rPr>
        <w:t xml:space="preserve"> </w:t>
      </w:r>
      <w:r>
        <w:rPr>
          <w:color w:val="231F20"/>
        </w:rPr>
        <w:t>(Eid</w:t>
      </w:r>
      <w:r>
        <w:rPr>
          <w:color w:val="231F20"/>
          <w:spacing w:val="-4"/>
        </w:rPr>
        <w:t xml:space="preserve"> </w:t>
      </w:r>
      <w:r>
        <w:rPr>
          <w:color w:val="231F20"/>
        </w:rPr>
        <w:t>&amp;</w:t>
      </w:r>
      <w:r>
        <w:rPr>
          <w:color w:val="231F20"/>
          <w:spacing w:val="-3"/>
        </w:rPr>
        <w:t xml:space="preserve"> </w:t>
      </w:r>
      <w:r>
        <w:rPr>
          <w:color w:val="231F20"/>
        </w:rPr>
        <w:t>Diener,</w:t>
      </w:r>
      <w:r>
        <w:rPr>
          <w:color w:val="231F20"/>
          <w:spacing w:val="-3"/>
        </w:rPr>
        <w:t xml:space="preserve"> </w:t>
      </w:r>
      <w:r>
        <w:rPr>
          <w:color w:val="231F20"/>
        </w:rPr>
        <w:t>2001).</w:t>
      </w:r>
      <w:r>
        <w:rPr>
          <w:color w:val="231F20"/>
          <w:spacing w:val="-4"/>
        </w:rPr>
        <w:t xml:space="preserve"> </w:t>
      </w:r>
      <w:r>
        <w:rPr>
          <w:color w:val="231F20"/>
        </w:rPr>
        <w:t>This</w:t>
      </w:r>
      <w:r>
        <w:rPr>
          <w:color w:val="231F20"/>
          <w:spacing w:val="-3"/>
        </w:rPr>
        <w:t xml:space="preserve"> </w:t>
      </w:r>
      <w:r>
        <w:rPr>
          <w:color w:val="231F20"/>
        </w:rPr>
        <w:t>ap</w:t>
      </w:r>
      <w:r>
        <w:rPr>
          <w:color w:val="231F20"/>
        </w:rPr>
        <w:t>proach</w:t>
      </w:r>
      <w:r>
        <w:rPr>
          <w:color w:val="231F20"/>
          <w:spacing w:val="-3"/>
        </w:rPr>
        <w:t xml:space="preserve"> </w:t>
      </w:r>
      <w:r>
        <w:rPr>
          <w:color w:val="231F20"/>
        </w:rPr>
        <w:t>has</w:t>
      </w:r>
      <w:r>
        <w:rPr>
          <w:color w:val="231F20"/>
          <w:spacing w:val="-3"/>
        </w:rPr>
        <w:t xml:space="preserve"> </w:t>
      </w:r>
      <w:r>
        <w:rPr>
          <w:color w:val="231F20"/>
        </w:rPr>
        <w:t>been</w:t>
      </w:r>
      <w:r>
        <w:rPr>
          <w:color w:val="231F20"/>
          <w:spacing w:val="-3"/>
        </w:rPr>
        <w:t xml:space="preserve"> </w:t>
      </w:r>
      <w:r>
        <w:rPr>
          <w:color w:val="231F20"/>
        </w:rPr>
        <w:t>effectively</w:t>
      </w:r>
      <w:r>
        <w:rPr>
          <w:color w:val="231F20"/>
          <w:spacing w:val="-3"/>
        </w:rPr>
        <w:t xml:space="preserve"> </w:t>
      </w:r>
      <w:r>
        <w:rPr>
          <w:color w:val="231F20"/>
        </w:rPr>
        <w:t xml:space="preserve">used to analyse generic differences between European, American and East </w:t>
      </w:r>
      <w:r>
        <w:rPr>
          <w:color w:val="231F20"/>
          <w:w w:val="95"/>
        </w:rPr>
        <w:t xml:space="preserve">Asian cultures in terms of propensity towards high-arousal positive affect states (e.g. active engagement, excitement and adrenaline) and low-arousal </w:t>
      </w:r>
      <w:r>
        <w:rPr>
          <w:color w:val="231F20"/>
        </w:rPr>
        <w:t>positi</w:t>
      </w:r>
      <w:r>
        <w:rPr>
          <w:color w:val="231F20"/>
        </w:rPr>
        <w:t xml:space="preserve">ve affect states (e.g. passive engagement, calm and peacefulness) (Tsai, 2007) (see Case Study 3.1). Of course, variation exists within </w:t>
      </w:r>
      <w:r>
        <w:rPr>
          <w:color w:val="231F20"/>
          <w:w w:val="95"/>
        </w:rPr>
        <w:t xml:space="preserve">cultures, and engagements in sport may evolve over time. Japanese visitors </w:t>
      </w:r>
      <w:r>
        <w:rPr>
          <w:color w:val="231F20"/>
        </w:rPr>
        <w:t>to New Zealand have been typically associated</w:t>
      </w:r>
      <w:r>
        <w:rPr>
          <w:color w:val="231F20"/>
        </w:rPr>
        <w:t xml:space="preserve"> with relatively passive </w:t>
      </w:r>
      <w:r>
        <w:rPr>
          <w:color w:val="231F20"/>
          <w:w w:val="95"/>
        </w:rPr>
        <w:t xml:space="preserve">activities such as viewing scenery, hot air ballooning and golf. This market </w:t>
      </w:r>
      <w:r>
        <w:rPr>
          <w:color w:val="231F20"/>
        </w:rPr>
        <w:t xml:space="preserve">has evolved over time to become more engaged with activities such as </w:t>
      </w:r>
      <w:r>
        <w:rPr>
          <w:color w:val="231F20"/>
          <w:w w:val="95"/>
        </w:rPr>
        <w:t>skydiving, white-water rafting, jetboating and adventure caving (Pavlovich, 2003). Th</w:t>
      </w:r>
      <w:r>
        <w:rPr>
          <w:color w:val="231F20"/>
          <w:w w:val="95"/>
        </w:rPr>
        <w:t xml:space="preserve">ese dynamic trends in turn contribute to the evolution of tourism </w:t>
      </w:r>
      <w:r>
        <w:rPr>
          <w:color w:val="231F20"/>
        </w:rPr>
        <w:t>destinations (Higham, 2005).</w:t>
      </w:r>
    </w:p>
    <w:p w14:paraId="65016F4A" w14:textId="77777777" w:rsidR="00AE0598" w:rsidRDefault="0069255A">
      <w:pPr>
        <w:pStyle w:val="Corpodetexto"/>
        <w:spacing w:before="19" w:line="232" w:lineRule="auto"/>
        <w:ind w:left="110" w:right="127" w:firstLine="320"/>
        <w:jc w:val="both"/>
      </w:pPr>
      <w:r>
        <w:rPr>
          <w:color w:val="231F20"/>
        </w:rPr>
        <w:t xml:space="preserve">Similarly, it has been argued that career stages unfold over time in association with the development of subcultural identities, which may </w:t>
      </w:r>
      <w:r>
        <w:rPr>
          <w:color w:val="231F20"/>
          <w:w w:val="95"/>
        </w:rPr>
        <w:t>involve travel to spec</w:t>
      </w:r>
      <w:r>
        <w:rPr>
          <w:color w:val="231F20"/>
          <w:w w:val="95"/>
        </w:rPr>
        <w:t xml:space="preserve">ific events or particular locations as part of the career </w:t>
      </w:r>
      <w:r>
        <w:rPr>
          <w:color w:val="231F20"/>
        </w:rPr>
        <w:t xml:space="preserve">ladder (Getz &amp; McConnell, 2014). Such studies ‘highlight the utility of </w:t>
      </w:r>
      <w:r>
        <w:rPr>
          <w:color w:val="231F20"/>
          <w:w w:val="95"/>
        </w:rPr>
        <w:t xml:space="preserve">leveraging event consumers’ identification with a sport’s subculture when </w:t>
      </w:r>
      <w:r>
        <w:rPr>
          <w:color w:val="231F20"/>
        </w:rPr>
        <w:t>promoting</w:t>
      </w:r>
      <w:r>
        <w:rPr>
          <w:color w:val="231F20"/>
          <w:spacing w:val="-9"/>
        </w:rPr>
        <w:t xml:space="preserve"> </w:t>
      </w:r>
      <w:r>
        <w:rPr>
          <w:color w:val="231F20"/>
        </w:rPr>
        <w:t>sports</w:t>
      </w:r>
      <w:r>
        <w:rPr>
          <w:color w:val="231F20"/>
          <w:spacing w:val="-9"/>
        </w:rPr>
        <w:t xml:space="preserve"> </w:t>
      </w:r>
      <w:r>
        <w:rPr>
          <w:color w:val="231F20"/>
        </w:rPr>
        <w:t>events’</w:t>
      </w:r>
      <w:r>
        <w:rPr>
          <w:color w:val="231F20"/>
          <w:spacing w:val="-9"/>
        </w:rPr>
        <w:t xml:space="preserve"> </w:t>
      </w:r>
      <w:r>
        <w:rPr>
          <w:color w:val="231F20"/>
        </w:rPr>
        <w:t>(Green</w:t>
      </w:r>
      <w:r>
        <w:rPr>
          <w:color w:val="231F20"/>
          <w:spacing w:val="-9"/>
        </w:rPr>
        <w:t xml:space="preserve"> </w:t>
      </w:r>
      <w:r>
        <w:rPr>
          <w:color w:val="231F20"/>
        </w:rPr>
        <w:t>&amp;</w:t>
      </w:r>
      <w:r>
        <w:rPr>
          <w:color w:val="231F20"/>
          <w:spacing w:val="-9"/>
        </w:rPr>
        <w:t xml:space="preserve"> </w:t>
      </w:r>
      <w:r>
        <w:rPr>
          <w:color w:val="231F20"/>
        </w:rPr>
        <w:t>Chalip,</w:t>
      </w:r>
      <w:r>
        <w:rPr>
          <w:color w:val="231F20"/>
          <w:spacing w:val="-9"/>
        </w:rPr>
        <w:t xml:space="preserve"> </w:t>
      </w:r>
      <w:r>
        <w:rPr>
          <w:color w:val="231F20"/>
        </w:rPr>
        <w:t>1998:</w:t>
      </w:r>
      <w:r>
        <w:rPr>
          <w:color w:val="231F20"/>
          <w:spacing w:val="-9"/>
        </w:rPr>
        <w:t xml:space="preserve"> </w:t>
      </w:r>
      <w:r>
        <w:rPr>
          <w:color w:val="231F20"/>
        </w:rPr>
        <w:t>288)</w:t>
      </w:r>
      <w:r>
        <w:rPr>
          <w:color w:val="231F20"/>
        </w:rPr>
        <w:t>.</w:t>
      </w:r>
      <w:r>
        <w:rPr>
          <w:color w:val="231F20"/>
          <w:spacing w:val="-9"/>
        </w:rPr>
        <w:t xml:space="preserve"> </w:t>
      </w:r>
      <w:r>
        <w:rPr>
          <w:color w:val="231F20"/>
        </w:rPr>
        <w:t>Indeed,</w:t>
      </w:r>
      <w:r>
        <w:rPr>
          <w:color w:val="231F20"/>
          <w:spacing w:val="-9"/>
        </w:rPr>
        <w:t xml:space="preserve"> </w:t>
      </w:r>
      <w:r>
        <w:rPr>
          <w:color w:val="231F20"/>
        </w:rPr>
        <w:t>Green</w:t>
      </w:r>
      <w:r>
        <w:rPr>
          <w:color w:val="231F20"/>
          <w:spacing w:val="-9"/>
        </w:rPr>
        <w:t xml:space="preserve"> </w:t>
      </w:r>
      <w:r>
        <w:rPr>
          <w:color w:val="231F20"/>
        </w:rPr>
        <w:t xml:space="preserve">and </w:t>
      </w:r>
      <w:r>
        <w:rPr>
          <w:color w:val="231F20"/>
          <w:w w:val="95"/>
        </w:rPr>
        <w:t>Chalip</w:t>
      </w:r>
      <w:r>
        <w:rPr>
          <w:color w:val="231F20"/>
          <w:spacing w:val="-5"/>
          <w:w w:val="95"/>
        </w:rPr>
        <w:t xml:space="preserve"> </w:t>
      </w:r>
      <w:r>
        <w:rPr>
          <w:color w:val="231F20"/>
          <w:w w:val="95"/>
        </w:rPr>
        <w:t>(1998)</w:t>
      </w:r>
      <w:r>
        <w:rPr>
          <w:color w:val="231F20"/>
          <w:spacing w:val="-5"/>
          <w:w w:val="95"/>
        </w:rPr>
        <w:t xml:space="preserve"> </w:t>
      </w:r>
      <w:r>
        <w:rPr>
          <w:color w:val="231F20"/>
          <w:w w:val="95"/>
        </w:rPr>
        <w:t>propose</w:t>
      </w:r>
      <w:r>
        <w:rPr>
          <w:color w:val="231F20"/>
          <w:spacing w:val="-5"/>
          <w:w w:val="95"/>
        </w:rPr>
        <w:t xml:space="preserve"> </w:t>
      </w:r>
      <w:r>
        <w:rPr>
          <w:color w:val="231F20"/>
          <w:w w:val="95"/>
        </w:rPr>
        <w:t>that</w:t>
      </w:r>
      <w:r>
        <w:rPr>
          <w:color w:val="231F20"/>
          <w:spacing w:val="-5"/>
          <w:w w:val="95"/>
        </w:rPr>
        <w:t xml:space="preserve"> </w:t>
      </w:r>
      <w:r>
        <w:rPr>
          <w:color w:val="231F20"/>
          <w:w w:val="95"/>
        </w:rPr>
        <w:t>active</w:t>
      </w:r>
      <w:r>
        <w:rPr>
          <w:color w:val="231F20"/>
          <w:spacing w:val="-5"/>
          <w:w w:val="95"/>
        </w:rPr>
        <w:t xml:space="preserve"> </w:t>
      </w:r>
      <w:r>
        <w:rPr>
          <w:color w:val="231F20"/>
          <w:w w:val="95"/>
        </w:rPr>
        <w:t>participation</w:t>
      </w:r>
      <w:r>
        <w:rPr>
          <w:color w:val="231F20"/>
          <w:spacing w:val="-5"/>
          <w:w w:val="95"/>
        </w:rPr>
        <w:t xml:space="preserve"> </w:t>
      </w:r>
      <w:r>
        <w:rPr>
          <w:color w:val="231F20"/>
          <w:w w:val="95"/>
        </w:rPr>
        <w:t>in</w:t>
      </w:r>
      <w:r>
        <w:rPr>
          <w:color w:val="231F20"/>
          <w:spacing w:val="-5"/>
          <w:w w:val="95"/>
        </w:rPr>
        <w:t xml:space="preserve"> </w:t>
      </w:r>
      <w:r>
        <w:rPr>
          <w:color w:val="231F20"/>
          <w:w w:val="95"/>
        </w:rPr>
        <w:t>sport</w:t>
      </w:r>
      <w:r>
        <w:rPr>
          <w:color w:val="231F20"/>
          <w:spacing w:val="-5"/>
          <w:w w:val="95"/>
        </w:rPr>
        <w:t xml:space="preserve"> </w:t>
      </w:r>
      <w:r>
        <w:rPr>
          <w:color w:val="231F20"/>
          <w:w w:val="95"/>
        </w:rPr>
        <w:t>at</w:t>
      </w:r>
      <w:r>
        <w:rPr>
          <w:color w:val="231F20"/>
          <w:spacing w:val="-5"/>
          <w:w w:val="95"/>
        </w:rPr>
        <w:t xml:space="preserve"> </w:t>
      </w:r>
      <w:r>
        <w:rPr>
          <w:color w:val="231F20"/>
          <w:w w:val="95"/>
        </w:rPr>
        <w:t>a</w:t>
      </w:r>
      <w:r>
        <w:rPr>
          <w:color w:val="231F20"/>
          <w:spacing w:val="-5"/>
          <w:w w:val="95"/>
        </w:rPr>
        <w:t xml:space="preserve"> </w:t>
      </w:r>
      <w:r>
        <w:rPr>
          <w:color w:val="231F20"/>
          <w:w w:val="95"/>
        </w:rPr>
        <w:t>destination</w:t>
      </w:r>
      <w:r>
        <w:rPr>
          <w:color w:val="231F20"/>
          <w:spacing w:val="-5"/>
          <w:w w:val="95"/>
        </w:rPr>
        <w:t xml:space="preserve"> </w:t>
      </w:r>
      <w:r>
        <w:rPr>
          <w:color w:val="231F20"/>
          <w:w w:val="95"/>
        </w:rPr>
        <w:t xml:space="preserve">may give priority to sharing and affirming their identities over the competitive </w:t>
      </w:r>
      <w:r>
        <w:rPr>
          <w:color w:val="231F20"/>
        </w:rPr>
        <w:t>element of participation.</w:t>
      </w:r>
    </w:p>
    <w:p w14:paraId="03175483" w14:textId="77777777" w:rsidR="00AE0598" w:rsidRDefault="00AE0598">
      <w:pPr>
        <w:spacing w:line="232" w:lineRule="auto"/>
        <w:jc w:val="both"/>
        <w:sectPr w:rsidR="00AE0598">
          <w:pgSz w:w="8850" w:h="13270"/>
          <w:pgMar w:top="720" w:right="1060" w:bottom="280" w:left="1080" w:header="720" w:footer="720" w:gutter="0"/>
          <w:cols w:space="720"/>
        </w:sectPr>
      </w:pPr>
    </w:p>
    <w:p w14:paraId="3111C4E9" w14:textId="4E698E5E" w:rsidR="00AE0598" w:rsidRDefault="0069255A">
      <w:pPr>
        <w:spacing w:before="87"/>
        <w:ind w:left="108"/>
        <w:rPr>
          <w:rFonts w:ascii="Trebuchet MS"/>
          <w:sz w:val="14"/>
        </w:rPr>
      </w:pPr>
      <w:r>
        <w:rPr>
          <w:noProof/>
        </w:rPr>
        <w:lastRenderedPageBreak/>
        <mc:AlternateContent>
          <mc:Choice Requires="wps">
            <w:drawing>
              <wp:anchor distT="0" distB="0" distL="114300" distR="114300" simplePos="0" relativeHeight="483683328" behindDoc="1" locked="0" layoutInCell="1" allowOverlap="1" wp14:anchorId="3FB6F45C" wp14:editId="16D04165">
                <wp:simplePos x="0" y="0"/>
                <wp:positionH relativeFrom="page">
                  <wp:posOffset>755650</wp:posOffset>
                </wp:positionH>
                <wp:positionV relativeFrom="page">
                  <wp:posOffset>838200</wp:posOffset>
                </wp:positionV>
                <wp:extent cx="4104005" cy="6729730"/>
                <wp:effectExtent l="0" t="0" r="0" b="0"/>
                <wp:wrapNone/>
                <wp:docPr id="264" name="docshape1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04005" cy="6729730"/>
                        </a:xfrm>
                        <a:prstGeom prst="rect">
                          <a:avLst/>
                        </a:prstGeom>
                        <a:solidFill>
                          <a:srgbClr val="DCDDD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240D26" id="docshape110" o:spid="_x0000_s1026" style="position:absolute;margin-left:59.5pt;margin-top:66pt;width:323.15pt;height:529.9pt;z-index:-196331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" fillcolor="#dcddde" stroked="f">
                <w10:wrap anchorx="page" anchory="page"/>
              </v:rect>
            </w:pict>
          </mc:Fallback>
        </mc:AlternateContent>
      </w:r>
      <w:r>
        <w:rPr>
          <w:rFonts w:ascii="Trebuchet MS"/>
          <w:color w:val="231F20"/>
          <w:w w:val="105"/>
          <w:sz w:val="14"/>
        </w:rPr>
        <w:t>56</w:t>
      </w:r>
      <w:r>
        <w:rPr>
          <w:rFonts w:ascii="Trebuchet MS"/>
          <w:color w:val="231F20"/>
          <w:spacing w:val="64"/>
          <w:w w:val="150"/>
          <w:sz w:val="14"/>
        </w:rPr>
        <w:t xml:space="preserve"> </w:t>
      </w:r>
      <w:r>
        <w:rPr>
          <w:rFonts w:ascii="Trebuchet MS"/>
          <w:color w:val="231F20"/>
          <w:w w:val="105"/>
          <w:sz w:val="14"/>
        </w:rPr>
        <w:t>Part</w:t>
      </w:r>
      <w:r>
        <w:rPr>
          <w:rFonts w:ascii="Trebuchet MS"/>
          <w:color w:val="231F20"/>
          <w:spacing w:val="-9"/>
          <w:w w:val="105"/>
          <w:sz w:val="14"/>
        </w:rPr>
        <w:t xml:space="preserve"> </w:t>
      </w:r>
      <w:r>
        <w:rPr>
          <w:rFonts w:ascii="Trebuchet MS"/>
          <w:color w:val="231F20"/>
          <w:w w:val="105"/>
          <w:sz w:val="14"/>
        </w:rPr>
        <w:t>2:</w:t>
      </w:r>
      <w:r>
        <w:rPr>
          <w:rFonts w:ascii="Trebuchet MS"/>
          <w:color w:val="231F20"/>
          <w:spacing w:val="-9"/>
          <w:w w:val="105"/>
          <w:sz w:val="14"/>
        </w:rPr>
        <w:t xml:space="preserve"> </w:t>
      </w:r>
      <w:r>
        <w:rPr>
          <w:rFonts w:ascii="Trebuchet MS"/>
          <w:color w:val="231F20"/>
          <w:w w:val="105"/>
          <w:sz w:val="14"/>
        </w:rPr>
        <w:t>Foundations</w:t>
      </w:r>
      <w:r>
        <w:rPr>
          <w:rFonts w:ascii="Trebuchet MS"/>
          <w:color w:val="231F20"/>
          <w:spacing w:val="-9"/>
          <w:w w:val="105"/>
          <w:sz w:val="14"/>
        </w:rPr>
        <w:t xml:space="preserve"> </w:t>
      </w:r>
      <w:r>
        <w:rPr>
          <w:rFonts w:ascii="Trebuchet MS"/>
          <w:color w:val="231F20"/>
          <w:w w:val="105"/>
          <w:sz w:val="14"/>
        </w:rPr>
        <w:t>of</w:t>
      </w:r>
      <w:r>
        <w:rPr>
          <w:rFonts w:ascii="Trebuchet MS"/>
          <w:color w:val="231F20"/>
          <w:spacing w:val="-9"/>
          <w:w w:val="105"/>
          <w:sz w:val="14"/>
        </w:rPr>
        <w:t xml:space="preserve"> </w:t>
      </w:r>
      <w:r>
        <w:rPr>
          <w:rFonts w:ascii="Trebuchet MS"/>
          <w:color w:val="231F20"/>
          <w:w w:val="105"/>
          <w:sz w:val="14"/>
        </w:rPr>
        <w:t>Sport</w:t>
      </w:r>
      <w:r>
        <w:rPr>
          <w:rFonts w:ascii="Trebuchet MS"/>
          <w:color w:val="231F20"/>
          <w:spacing w:val="-9"/>
          <w:w w:val="105"/>
          <w:sz w:val="14"/>
        </w:rPr>
        <w:t xml:space="preserve"> </w:t>
      </w:r>
      <w:r>
        <w:rPr>
          <w:rFonts w:ascii="Trebuchet MS"/>
          <w:color w:val="231F20"/>
          <w:w w:val="105"/>
          <w:sz w:val="14"/>
        </w:rPr>
        <w:t>Tourism</w:t>
      </w:r>
      <w:r>
        <w:rPr>
          <w:rFonts w:ascii="Trebuchet MS"/>
          <w:color w:val="231F20"/>
          <w:spacing w:val="-9"/>
          <w:w w:val="105"/>
          <w:sz w:val="14"/>
        </w:rPr>
        <w:t xml:space="preserve"> </w:t>
      </w:r>
      <w:r>
        <w:rPr>
          <w:rFonts w:ascii="Trebuchet MS"/>
          <w:color w:val="231F20"/>
          <w:spacing w:val="-2"/>
          <w:w w:val="105"/>
          <w:sz w:val="14"/>
        </w:rPr>
        <w:t>Development</w:t>
      </w:r>
    </w:p>
    <w:p w14:paraId="11BBF5A4" w14:textId="77777777" w:rsidR="00AE0598" w:rsidRDefault="00AE0598">
      <w:pPr>
        <w:pStyle w:val="Corpodetexto"/>
        <w:spacing w:before="7"/>
        <w:rPr>
          <w:rFonts w:ascii="Trebuchet MS"/>
          <w:sz w:val="27"/>
        </w:rPr>
      </w:pPr>
    </w:p>
    <w:p w14:paraId="72CB5AA2" w14:textId="77777777" w:rsidR="00AE0598" w:rsidRDefault="0069255A">
      <w:pPr>
        <w:spacing w:before="99"/>
        <w:ind w:left="223"/>
        <w:jc w:val="both"/>
        <w:rPr>
          <w:rFonts w:ascii="Trebuchet MS"/>
          <w:sz w:val="20"/>
        </w:rPr>
      </w:pPr>
      <w:r>
        <w:rPr>
          <w:rFonts w:ascii="Trebuchet MS"/>
          <w:color w:val="231F20"/>
          <w:sz w:val="20"/>
        </w:rPr>
        <w:t>Case</w:t>
      </w:r>
      <w:r>
        <w:rPr>
          <w:rFonts w:ascii="Trebuchet MS"/>
          <w:color w:val="231F20"/>
          <w:spacing w:val="5"/>
          <w:sz w:val="20"/>
        </w:rPr>
        <w:t xml:space="preserve"> </w:t>
      </w:r>
      <w:r>
        <w:rPr>
          <w:rFonts w:ascii="Trebuchet MS"/>
          <w:color w:val="231F20"/>
          <w:sz w:val="20"/>
        </w:rPr>
        <w:t>Study</w:t>
      </w:r>
      <w:r>
        <w:rPr>
          <w:rFonts w:ascii="Trebuchet MS"/>
          <w:color w:val="231F20"/>
          <w:spacing w:val="5"/>
          <w:sz w:val="20"/>
        </w:rPr>
        <w:t xml:space="preserve"> </w:t>
      </w:r>
      <w:r>
        <w:rPr>
          <w:rFonts w:ascii="Trebuchet MS"/>
          <w:color w:val="231F20"/>
          <w:sz w:val="20"/>
        </w:rPr>
        <w:t>3.1:</w:t>
      </w:r>
      <w:r>
        <w:rPr>
          <w:rFonts w:ascii="Trebuchet MS"/>
          <w:color w:val="231F20"/>
          <w:spacing w:val="6"/>
          <w:sz w:val="20"/>
        </w:rPr>
        <w:t xml:space="preserve"> </w:t>
      </w:r>
      <w:r>
        <w:rPr>
          <w:rFonts w:ascii="Trebuchet MS"/>
          <w:color w:val="231F20"/>
          <w:sz w:val="20"/>
        </w:rPr>
        <w:t>Culture,</w:t>
      </w:r>
      <w:r>
        <w:rPr>
          <w:rFonts w:ascii="Trebuchet MS"/>
          <w:color w:val="231F20"/>
          <w:spacing w:val="5"/>
          <w:sz w:val="20"/>
        </w:rPr>
        <w:t xml:space="preserve"> </w:t>
      </w:r>
      <w:r>
        <w:rPr>
          <w:rFonts w:ascii="Trebuchet MS"/>
          <w:color w:val="231F20"/>
          <w:sz w:val="20"/>
        </w:rPr>
        <w:t>Ideal</w:t>
      </w:r>
      <w:r>
        <w:rPr>
          <w:rFonts w:ascii="Trebuchet MS"/>
          <w:color w:val="231F20"/>
          <w:spacing w:val="6"/>
          <w:sz w:val="20"/>
        </w:rPr>
        <w:t xml:space="preserve"> </w:t>
      </w:r>
      <w:r>
        <w:rPr>
          <w:rFonts w:ascii="Trebuchet MS"/>
          <w:color w:val="231F20"/>
          <w:sz w:val="20"/>
        </w:rPr>
        <w:t>Affect</w:t>
      </w:r>
      <w:r>
        <w:rPr>
          <w:rFonts w:ascii="Trebuchet MS"/>
          <w:color w:val="231F20"/>
          <w:spacing w:val="5"/>
          <w:sz w:val="20"/>
        </w:rPr>
        <w:t xml:space="preserve"> </w:t>
      </w:r>
      <w:r>
        <w:rPr>
          <w:rFonts w:ascii="Trebuchet MS"/>
          <w:color w:val="231F20"/>
          <w:sz w:val="20"/>
        </w:rPr>
        <w:t>and</w:t>
      </w:r>
      <w:r>
        <w:rPr>
          <w:rFonts w:ascii="Trebuchet MS"/>
          <w:color w:val="231F20"/>
          <w:spacing w:val="5"/>
          <w:sz w:val="20"/>
        </w:rPr>
        <w:t xml:space="preserve"> </w:t>
      </w:r>
      <w:r>
        <w:rPr>
          <w:rFonts w:ascii="Trebuchet MS"/>
          <w:color w:val="231F20"/>
          <w:sz w:val="20"/>
        </w:rPr>
        <w:t>Sport</w:t>
      </w:r>
      <w:r>
        <w:rPr>
          <w:rFonts w:ascii="Trebuchet MS"/>
          <w:color w:val="231F20"/>
          <w:spacing w:val="6"/>
          <w:sz w:val="20"/>
        </w:rPr>
        <w:t xml:space="preserve"> </w:t>
      </w:r>
      <w:r>
        <w:rPr>
          <w:rFonts w:ascii="Trebuchet MS"/>
          <w:color w:val="231F20"/>
          <w:sz w:val="20"/>
        </w:rPr>
        <w:t>Tourist</w:t>
      </w:r>
      <w:r>
        <w:rPr>
          <w:rFonts w:ascii="Trebuchet MS"/>
          <w:color w:val="231F20"/>
          <w:spacing w:val="5"/>
          <w:sz w:val="20"/>
        </w:rPr>
        <w:t xml:space="preserve"> </w:t>
      </w:r>
      <w:r>
        <w:rPr>
          <w:rFonts w:ascii="Trebuchet MS"/>
          <w:color w:val="231F20"/>
          <w:spacing w:val="-2"/>
          <w:sz w:val="20"/>
        </w:rPr>
        <w:t>Motivation</w:t>
      </w:r>
    </w:p>
    <w:p w14:paraId="7E60F2AE" w14:textId="77777777" w:rsidR="00AE0598" w:rsidRDefault="0069255A">
      <w:pPr>
        <w:pStyle w:val="Corpodetexto"/>
        <w:spacing w:before="116"/>
        <w:ind w:left="223"/>
        <w:jc w:val="both"/>
      </w:pPr>
      <w:r>
        <w:rPr>
          <w:color w:val="231F20"/>
        </w:rPr>
        <w:t>Eiji</w:t>
      </w:r>
      <w:r>
        <w:rPr>
          <w:color w:val="231F20"/>
          <w:spacing w:val="-7"/>
        </w:rPr>
        <w:t xml:space="preserve"> </w:t>
      </w:r>
      <w:r>
        <w:rPr>
          <w:color w:val="231F20"/>
        </w:rPr>
        <w:t>Ito,</w:t>
      </w:r>
      <w:r>
        <w:rPr>
          <w:color w:val="231F20"/>
          <w:spacing w:val="-7"/>
        </w:rPr>
        <w:t xml:space="preserve"> </w:t>
      </w:r>
      <w:r>
        <w:rPr>
          <w:color w:val="231F20"/>
        </w:rPr>
        <w:t>Faculty</w:t>
      </w:r>
      <w:r>
        <w:rPr>
          <w:color w:val="231F20"/>
          <w:spacing w:val="-7"/>
        </w:rPr>
        <w:t xml:space="preserve"> </w:t>
      </w:r>
      <w:r>
        <w:rPr>
          <w:color w:val="231F20"/>
        </w:rPr>
        <w:t>of</w:t>
      </w:r>
      <w:r>
        <w:rPr>
          <w:color w:val="231F20"/>
          <w:spacing w:val="-7"/>
        </w:rPr>
        <w:t xml:space="preserve"> </w:t>
      </w:r>
      <w:r>
        <w:rPr>
          <w:color w:val="231F20"/>
        </w:rPr>
        <w:t>Tourism,</w:t>
      </w:r>
      <w:r>
        <w:rPr>
          <w:color w:val="231F20"/>
          <w:spacing w:val="-7"/>
        </w:rPr>
        <w:t xml:space="preserve"> </w:t>
      </w:r>
      <w:r>
        <w:rPr>
          <w:color w:val="231F20"/>
        </w:rPr>
        <w:t>Wakayama</w:t>
      </w:r>
      <w:r>
        <w:rPr>
          <w:color w:val="231F20"/>
          <w:spacing w:val="-7"/>
        </w:rPr>
        <w:t xml:space="preserve"> </w:t>
      </w:r>
      <w:r>
        <w:rPr>
          <w:color w:val="231F20"/>
        </w:rPr>
        <w:t>University,</w:t>
      </w:r>
      <w:r>
        <w:rPr>
          <w:color w:val="231F20"/>
          <w:spacing w:val="-7"/>
        </w:rPr>
        <w:t xml:space="preserve"> </w:t>
      </w:r>
      <w:r>
        <w:rPr>
          <w:color w:val="231F20"/>
          <w:spacing w:val="-4"/>
        </w:rPr>
        <w:t>Japan</w:t>
      </w:r>
    </w:p>
    <w:p w14:paraId="684B0AE6" w14:textId="77777777" w:rsidR="00AE0598" w:rsidRDefault="0069255A">
      <w:pPr>
        <w:pStyle w:val="Corpodetexto"/>
        <w:spacing w:before="120" w:line="232" w:lineRule="auto"/>
        <w:ind w:left="223" w:right="240" w:firstLine="320"/>
        <w:jc w:val="both"/>
      </w:pPr>
      <w:r>
        <w:rPr>
          <w:color w:val="231F20"/>
        </w:rPr>
        <w:t xml:space="preserve">Affect valuation theory (Tsai </w:t>
      </w:r>
      <w:r>
        <w:rPr>
          <w:i/>
          <w:color w:val="231F20"/>
        </w:rPr>
        <w:t>et al</w:t>
      </w:r>
      <w:r>
        <w:rPr>
          <w:color w:val="231F20"/>
        </w:rPr>
        <w:t>., 2006) has been employed to investigate</w:t>
      </w:r>
      <w:r>
        <w:rPr>
          <w:color w:val="231F20"/>
          <w:spacing w:val="-4"/>
        </w:rPr>
        <w:t xml:space="preserve"> </w:t>
      </w:r>
      <w:r>
        <w:rPr>
          <w:color w:val="231F20"/>
        </w:rPr>
        <w:t>the</w:t>
      </w:r>
      <w:r>
        <w:rPr>
          <w:color w:val="231F20"/>
          <w:spacing w:val="-4"/>
        </w:rPr>
        <w:t xml:space="preserve"> </w:t>
      </w:r>
      <w:r>
        <w:rPr>
          <w:color w:val="231F20"/>
        </w:rPr>
        <w:t>associations</w:t>
      </w:r>
      <w:r>
        <w:rPr>
          <w:color w:val="231F20"/>
          <w:spacing w:val="-4"/>
        </w:rPr>
        <w:t xml:space="preserve"> </w:t>
      </w:r>
      <w:r>
        <w:rPr>
          <w:color w:val="231F20"/>
        </w:rPr>
        <w:t>among</w:t>
      </w:r>
      <w:r>
        <w:rPr>
          <w:color w:val="231F20"/>
          <w:spacing w:val="-4"/>
        </w:rPr>
        <w:t xml:space="preserve"> </w:t>
      </w:r>
      <w:r>
        <w:rPr>
          <w:color w:val="231F20"/>
        </w:rPr>
        <w:t>leisure,</w:t>
      </w:r>
      <w:r>
        <w:rPr>
          <w:color w:val="231F20"/>
          <w:spacing w:val="-4"/>
        </w:rPr>
        <w:t xml:space="preserve"> </w:t>
      </w:r>
      <w:r>
        <w:rPr>
          <w:color w:val="231F20"/>
        </w:rPr>
        <w:t>emotions</w:t>
      </w:r>
      <w:r>
        <w:rPr>
          <w:color w:val="231F20"/>
          <w:spacing w:val="-4"/>
        </w:rPr>
        <w:t xml:space="preserve"> </w:t>
      </w:r>
      <w:r>
        <w:rPr>
          <w:color w:val="231F20"/>
        </w:rPr>
        <w:t>and</w:t>
      </w:r>
      <w:r>
        <w:rPr>
          <w:color w:val="231F20"/>
          <w:spacing w:val="-4"/>
        </w:rPr>
        <w:t xml:space="preserve"> </w:t>
      </w:r>
      <w:r>
        <w:rPr>
          <w:color w:val="231F20"/>
        </w:rPr>
        <w:t>culture.</w:t>
      </w:r>
      <w:r>
        <w:rPr>
          <w:color w:val="231F20"/>
          <w:spacing w:val="-4"/>
        </w:rPr>
        <w:t xml:space="preserve"> </w:t>
      </w:r>
      <w:r>
        <w:rPr>
          <w:color w:val="231F20"/>
        </w:rPr>
        <w:t>Tsai (2007) proposed that leisure activities might be a way people try to reduce the discrepancy between their ideal and actual affect. More specifically, peopl</w:t>
      </w:r>
      <w:r>
        <w:rPr>
          <w:color w:val="231F20"/>
        </w:rPr>
        <w:t>e who want to feel high-arousal positive affect (i.e. their</w:t>
      </w:r>
      <w:r>
        <w:rPr>
          <w:color w:val="231F20"/>
          <w:spacing w:val="-10"/>
        </w:rPr>
        <w:t xml:space="preserve"> </w:t>
      </w:r>
      <w:r>
        <w:rPr>
          <w:color w:val="231F20"/>
        </w:rPr>
        <w:t>ideal</w:t>
      </w:r>
      <w:r>
        <w:rPr>
          <w:color w:val="231F20"/>
          <w:spacing w:val="-10"/>
        </w:rPr>
        <w:t xml:space="preserve"> </w:t>
      </w:r>
      <w:r>
        <w:rPr>
          <w:color w:val="231F20"/>
        </w:rPr>
        <w:t>affect)</w:t>
      </w:r>
      <w:r>
        <w:rPr>
          <w:color w:val="231F20"/>
          <w:spacing w:val="-10"/>
        </w:rPr>
        <w:t xml:space="preserve"> </w:t>
      </w:r>
      <w:r>
        <w:rPr>
          <w:color w:val="231F20"/>
        </w:rPr>
        <w:t>would</w:t>
      </w:r>
      <w:r>
        <w:rPr>
          <w:color w:val="231F20"/>
          <w:spacing w:val="-10"/>
        </w:rPr>
        <w:t xml:space="preserve"> </w:t>
      </w:r>
      <w:r>
        <w:rPr>
          <w:color w:val="231F20"/>
        </w:rPr>
        <w:t>like</w:t>
      </w:r>
      <w:r>
        <w:rPr>
          <w:color w:val="231F20"/>
          <w:spacing w:val="-10"/>
        </w:rPr>
        <w:t xml:space="preserve"> </w:t>
      </w:r>
      <w:r>
        <w:rPr>
          <w:color w:val="231F20"/>
        </w:rPr>
        <w:t>to</w:t>
      </w:r>
      <w:r>
        <w:rPr>
          <w:color w:val="231F20"/>
          <w:spacing w:val="-10"/>
        </w:rPr>
        <w:t xml:space="preserve"> </w:t>
      </w:r>
      <w:r>
        <w:rPr>
          <w:color w:val="231F20"/>
        </w:rPr>
        <w:t>participate</w:t>
      </w:r>
      <w:r>
        <w:rPr>
          <w:color w:val="231F20"/>
          <w:spacing w:val="-10"/>
        </w:rPr>
        <w:t xml:space="preserve"> </w:t>
      </w:r>
      <w:r>
        <w:rPr>
          <w:color w:val="231F20"/>
        </w:rPr>
        <w:t>in</w:t>
      </w:r>
      <w:r>
        <w:rPr>
          <w:color w:val="231F20"/>
          <w:spacing w:val="-10"/>
        </w:rPr>
        <w:t xml:space="preserve"> </w:t>
      </w:r>
      <w:r>
        <w:rPr>
          <w:color w:val="231F20"/>
        </w:rPr>
        <w:t>exciting</w:t>
      </w:r>
      <w:r>
        <w:rPr>
          <w:color w:val="231F20"/>
          <w:spacing w:val="-10"/>
        </w:rPr>
        <w:t xml:space="preserve"> </w:t>
      </w:r>
      <w:r>
        <w:rPr>
          <w:color w:val="231F20"/>
        </w:rPr>
        <w:t>activities</w:t>
      </w:r>
      <w:r>
        <w:rPr>
          <w:color w:val="231F20"/>
          <w:spacing w:val="-10"/>
        </w:rPr>
        <w:t xml:space="preserve"> </w:t>
      </w:r>
      <w:r>
        <w:rPr>
          <w:color w:val="231F20"/>
        </w:rPr>
        <w:t>such</w:t>
      </w:r>
      <w:r>
        <w:rPr>
          <w:color w:val="231F20"/>
          <w:spacing w:val="-10"/>
        </w:rPr>
        <w:t xml:space="preserve"> </w:t>
      </w:r>
      <w:r>
        <w:rPr>
          <w:color w:val="231F20"/>
        </w:rPr>
        <w:t>as skydiving,</w:t>
      </w:r>
      <w:r>
        <w:rPr>
          <w:color w:val="231F20"/>
          <w:spacing w:val="-12"/>
        </w:rPr>
        <w:t xml:space="preserve"> </w:t>
      </w:r>
      <w:r>
        <w:rPr>
          <w:color w:val="231F20"/>
        </w:rPr>
        <w:t>whereas</w:t>
      </w:r>
      <w:r>
        <w:rPr>
          <w:color w:val="231F20"/>
          <w:spacing w:val="-12"/>
        </w:rPr>
        <w:t xml:space="preserve"> </w:t>
      </w:r>
      <w:r>
        <w:rPr>
          <w:color w:val="231F20"/>
        </w:rPr>
        <w:t>people</w:t>
      </w:r>
      <w:r>
        <w:rPr>
          <w:color w:val="231F20"/>
          <w:spacing w:val="-11"/>
        </w:rPr>
        <w:t xml:space="preserve"> </w:t>
      </w:r>
      <w:r>
        <w:rPr>
          <w:color w:val="231F20"/>
        </w:rPr>
        <w:t>who</w:t>
      </w:r>
      <w:r>
        <w:rPr>
          <w:color w:val="231F20"/>
          <w:spacing w:val="-12"/>
        </w:rPr>
        <w:t xml:space="preserve"> </w:t>
      </w:r>
      <w:r>
        <w:rPr>
          <w:color w:val="231F20"/>
        </w:rPr>
        <w:t>want</w:t>
      </w:r>
      <w:r>
        <w:rPr>
          <w:color w:val="231F20"/>
          <w:spacing w:val="-11"/>
        </w:rPr>
        <w:t xml:space="preserve"> </w:t>
      </w:r>
      <w:r>
        <w:rPr>
          <w:color w:val="231F20"/>
        </w:rPr>
        <w:t>to</w:t>
      </w:r>
      <w:r>
        <w:rPr>
          <w:color w:val="231F20"/>
          <w:spacing w:val="-12"/>
        </w:rPr>
        <w:t xml:space="preserve"> </w:t>
      </w:r>
      <w:r>
        <w:rPr>
          <w:color w:val="231F20"/>
        </w:rPr>
        <w:t>feel</w:t>
      </w:r>
      <w:r>
        <w:rPr>
          <w:color w:val="231F20"/>
          <w:spacing w:val="-11"/>
        </w:rPr>
        <w:t xml:space="preserve"> </w:t>
      </w:r>
      <w:r>
        <w:rPr>
          <w:color w:val="231F20"/>
        </w:rPr>
        <w:t>low-arousal</w:t>
      </w:r>
      <w:r>
        <w:rPr>
          <w:color w:val="231F20"/>
          <w:spacing w:val="-12"/>
        </w:rPr>
        <w:t xml:space="preserve"> </w:t>
      </w:r>
      <w:r>
        <w:rPr>
          <w:color w:val="231F20"/>
        </w:rPr>
        <w:t>positive</w:t>
      </w:r>
      <w:r>
        <w:rPr>
          <w:color w:val="231F20"/>
          <w:spacing w:val="-12"/>
        </w:rPr>
        <w:t xml:space="preserve"> </w:t>
      </w:r>
      <w:r>
        <w:rPr>
          <w:color w:val="231F20"/>
        </w:rPr>
        <w:t xml:space="preserve">affect </w:t>
      </w:r>
      <w:r>
        <w:rPr>
          <w:color w:val="231F20"/>
          <w:w w:val="95"/>
        </w:rPr>
        <w:t xml:space="preserve">would like to participate in relaxing activities such as hot spring bathing. </w:t>
      </w:r>
      <w:r>
        <w:rPr>
          <w:color w:val="231F20"/>
        </w:rPr>
        <w:t>In Tsai’s (2007) research on ideal affect, she found that European American undergraduate students preferred high-arousal positive affect and participated in active sports more of</w:t>
      </w:r>
      <w:r>
        <w:rPr>
          <w:color w:val="231F20"/>
        </w:rPr>
        <w:t xml:space="preserve">ten compared to Asian </w:t>
      </w:r>
      <w:r>
        <w:rPr>
          <w:color w:val="231F20"/>
          <w:w w:val="95"/>
        </w:rPr>
        <w:t xml:space="preserve">American students who preferred low-arousal positive affect. Thus, Tsai </w:t>
      </w:r>
      <w:r>
        <w:rPr>
          <w:color w:val="231F20"/>
        </w:rPr>
        <w:t>integrated ideal affect, or what one wants to experience emotionally, with the types of activities one wants to engage in and demonstrated that this association m</w:t>
      </w:r>
      <w:r>
        <w:rPr>
          <w:color w:val="231F20"/>
        </w:rPr>
        <w:t>ay be culturally influenced. Recently, Tsai’s proposition</w:t>
      </w:r>
      <w:r>
        <w:rPr>
          <w:color w:val="231F20"/>
          <w:spacing w:val="-9"/>
        </w:rPr>
        <w:t xml:space="preserve"> </w:t>
      </w:r>
      <w:r>
        <w:rPr>
          <w:color w:val="231F20"/>
        </w:rPr>
        <w:t>was</w:t>
      </w:r>
      <w:r>
        <w:rPr>
          <w:color w:val="231F20"/>
          <w:spacing w:val="-9"/>
        </w:rPr>
        <w:t xml:space="preserve"> </w:t>
      </w:r>
      <w:r>
        <w:rPr>
          <w:color w:val="231F20"/>
        </w:rPr>
        <w:t>supported</w:t>
      </w:r>
      <w:r>
        <w:rPr>
          <w:color w:val="231F20"/>
          <w:spacing w:val="-9"/>
        </w:rPr>
        <w:t xml:space="preserve"> </w:t>
      </w:r>
      <w:r>
        <w:rPr>
          <w:color w:val="231F20"/>
        </w:rPr>
        <w:t>by</w:t>
      </w:r>
      <w:r>
        <w:rPr>
          <w:color w:val="231F20"/>
          <w:spacing w:val="-9"/>
        </w:rPr>
        <w:t xml:space="preserve"> </w:t>
      </w:r>
      <w:r>
        <w:rPr>
          <w:color w:val="231F20"/>
        </w:rPr>
        <w:t>Mannell</w:t>
      </w:r>
      <w:r>
        <w:rPr>
          <w:color w:val="231F20"/>
          <w:spacing w:val="-9"/>
        </w:rPr>
        <w:t xml:space="preserve"> </w:t>
      </w:r>
      <w:r>
        <w:rPr>
          <w:i/>
          <w:color w:val="231F20"/>
        </w:rPr>
        <w:t>et</w:t>
      </w:r>
      <w:r>
        <w:rPr>
          <w:i/>
          <w:color w:val="231F20"/>
          <w:spacing w:val="-9"/>
        </w:rPr>
        <w:t xml:space="preserve"> </w:t>
      </w:r>
      <w:r>
        <w:rPr>
          <w:i/>
          <w:color w:val="231F20"/>
        </w:rPr>
        <w:t>al</w:t>
      </w:r>
      <w:r>
        <w:rPr>
          <w:color w:val="231F20"/>
        </w:rPr>
        <w:t>.</w:t>
      </w:r>
      <w:r>
        <w:rPr>
          <w:color w:val="231F20"/>
          <w:spacing w:val="-9"/>
        </w:rPr>
        <w:t xml:space="preserve"> </w:t>
      </w:r>
      <w:r>
        <w:rPr>
          <w:color w:val="231F20"/>
        </w:rPr>
        <w:t>(2014)</w:t>
      </w:r>
      <w:r>
        <w:rPr>
          <w:color w:val="231F20"/>
          <w:spacing w:val="-9"/>
        </w:rPr>
        <w:t xml:space="preserve"> </w:t>
      </w:r>
      <w:r>
        <w:rPr>
          <w:color w:val="231F20"/>
        </w:rPr>
        <w:t>who</w:t>
      </w:r>
      <w:r>
        <w:rPr>
          <w:color w:val="231F20"/>
          <w:spacing w:val="-9"/>
        </w:rPr>
        <w:t xml:space="preserve"> </w:t>
      </w:r>
      <w:r>
        <w:rPr>
          <w:color w:val="231F20"/>
        </w:rPr>
        <w:t>reported</w:t>
      </w:r>
      <w:r>
        <w:rPr>
          <w:color w:val="231F20"/>
          <w:spacing w:val="-9"/>
        </w:rPr>
        <w:t xml:space="preserve"> </w:t>
      </w:r>
      <w:r>
        <w:rPr>
          <w:color w:val="231F20"/>
        </w:rPr>
        <w:t>that during</w:t>
      </w:r>
      <w:r>
        <w:rPr>
          <w:color w:val="231F20"/>
          <w:spacing w:val="-3"/>
        </w:rPr>
        <w:t xml:space="preserve"> </w:t>
      </w:r>
      <w:r>
        <w:rPr>
          <w:color w:val="231F20"/>
        </w:rPr>
        <w:t>leisure,</w:t>
      </w:r>
      <w:r>
        <w:rPr>
          <w:color w:val="231F20"/>
          <w:spacing w:val="-3"/>
        </w:rPr>
        <w:t xml:space="preserve"> </w:t>
      </w:r>
      <w:r>
        <w:rPr>
          <w:color w:val="231F20"/>
        </w:rPr>
        <w:t>but</w:t>
      </w:r>
      <w:r>
        <w:rPr>
          <w:color w:val="231F20"/>
          <w:spacing w:val="-3"/>
        </w:rPr>
        <w:t xml:space="preserve"> </w:t>
      </w:r>
      <w:r>
        <w:rPr>
          <w:color w:val="231F20"/>
        </w:rPr>
        <w:t>not</w:t>
      </w:r>
      <w:r>
        <w:rPr>
          <w:color w:val="231F20"/>
          <w:spacing w:val="-3"/>
        </w:rPr>
        <w:t xml:space="preserve"> </w:t>
      </w:r>
      <w:r>
        <w:rPr>
          <w:color w:val="231F20"/>
        </w:rPr>
        <w:t>paid</w:t>
      </w:r>
      <w:r>
        <w:rPr>
          <w:color w:val="231F20"/>
          <w:spacing w:val="-3"/>
        </w:rPr>
        <w:t xml:space="preserve"> </w:t>
      </w:r>
      <w:r>
        <w:rPr>
          <w:color w:val="231F20"/>
        </w:rPr>
        <w:t>work,</w:t>
      </w:r>
      <w:r>
        <w:rPr>
          <w:color w:val="231F20"/>
          <w:spacing w:val="-3"/>
        </w:rPr>
        <w:t xml:space="preserve"> </w:t>
      </w:r>
      <w:r>
        <w:rPr>
          <w:color w:val="231F20"/>
        </w:rPr>
        <w:t>Euro-Canadian</w:t>
      </w:r>
      <w:r>
        <w:rPr>
          <w:color w:val="231F20"/>
          <w:spacing w:val="-3"/>
        </w:rPr>
        <w:t xml:space="preserve"> </w:t>
      </w:r>
      <w:r>
        <w:rPr>
          <w:color w:val="231F20"/>
        </w:rPr>
        <w:t>adult</w:t>
      </w:r>
      <w:r>
        <w:rPr>
          <w:color w:val="231F20"/>
          <w:spacing w:val="-3"/>
        </w:rPr>
        <w:t xml:space="preserve"> </w:t>
      </w:r>
      <w:r>
        <w:rPr>
          <w:color w:val="231F20"/>
        </w:rPr>
        <w:t>males</w:t>
      </w:r>
      <w:r>
        <w:rPr>
          <w:color w:val="231F20"/>
          <w:spacing w:val="-3"/>
        </w:rPr>
        <w:t xml:space="preserve"> </w:t>
      </w:r>
      <w:r>
        <w:rPr>
          <w:color w:val="231F20"/>
        </w:rPr>
        <w:t>realised their ideal levels of low-arousal positive affect.</w:t>
      </w:r>
    </w:p>
    <w:p w14:paraId="21EE05FA" w14:textId="77777777" w:rsidR="00AE0598" w:rsidRDefault="0069255A">
      <w:pPr>
        <w:pStyle w:val="Corpodetexto"/>
        <w:spacing w:before="21" w:line="232" w:lineRule="auto"/>
        <w:ind w:left="223" w:right="239" w:firstLine="320"/>
        <w:jc w:val="both"/>
      </w:pPr>
      <w:r>
        <w:rPr>
          <w:color w:val="231F20"/>
        </w:rPr>
        <w:t>Given the close rela</w:t>
      </w:r>
      <w:r>
        <w:rPr>
          <w:color w:val="231F20"/>
        </w:rPr>
        <w:t>tionship between leisure and sport tourism, affect valuation theory also helps to understand the motivation of sport tourists. Tsai (2007) reported that when European American undergraduate students were asked about their ideal vacations, they described</w:t>
      </w:r>
      <w:r>
        <w:rPr>
          <w:color w:val="231F20"/>
          <w:spacing w:val="-5"/>
        </w:rPr>
        <w:t xml:space="preserve"> </w:t>
      </w:r>
      <w:r>
        <w:rPr>
          <w:color w:val="231F20"/>
        </w:rPr>
        <w:t>more</w:t>
      </w:r>
      <w:r>
        <w:rPr>
          <w:color w:val="231F20"/>
          <w:spacing w:val="-5"/>
        </w:rPr>
        <w:t xml:space="preserve"> </w:t>
      </w:r>
      <w:r>
        <w:rPr>
          <w:color w:val="231F20"/>
        </w:rPr>
        <w:t>active</w:t>
      </w:r>
      <w:r>
        <w:rPr>
          <w:color w:val="231F20"/>
          <w:spacing w:val="-5"/>
        </w:rPr>
        <w:t xml:space="preserve"> </w:t>
      </w:r>
      <w:r>
        <w:rPr>
          <w:color w:val="231F20"/>
        </w:rPr>
        <w:t>sports</w:t>
      </w:r>
      <w:r>
        <w:rPr>
          <w:color w:val="231F20"/>
          <w:spacing w:val="-5"/>
        </w:rPr>
        <w:t xml:space="preserve"> </w:t>
      </w:r>
      <w:r>
        <w:rPr>
          <w:color w:val="231F20"/>
        </w:rPr>
        <w:t>participation</w:t>
      </w:r>
      <w:r>
        <w:rPr>
          <w:color w:val="231F20"/>
          <w:spacing w:val="-5"/>
        </w:rPr>
        <w:t xml:space="preserve"> </w:t>
      </w:r>
      <w:r>
        <w:rPr>
          <w:color w:val="231F20"/>
        </w:rPr>
        <w:t>(e.g.</w:t>
      </w:r>
      <w:r>
        <w:rPr>
          <w:color w:val="231F20"/>
          <w:spacing w:val="-5"/>
        </w:rPr>
        <w:t xml:space="preserve"> </w:t>
      </w:r>
      <w:r>
        <w:rPr>
          <w:color w:val="231F20"/>
        </w:rPr>
        <w:t>surfing,</w:t>
      </w:r>
      <w:r>
        <w:rPr>
          <w:color w:val="231F20"/>
          <w:spacing w:val="-5"/>
        </w:rPr>
        <w:t xml:space="preserve"> </w:t>
      </w:r>
      <w:r>
        <w:rPr>
          <w:color w:val="231F20"/>
        </w:rPr>
        <w:t>running)</w:t>
      </w:r>
      <w:r>
        <w:rPr>
          <w:color w:val="231F20"/>
          <w:spacing w:val="-5"/>
        </w:rPr>
        <w:t xml:space="preserve"> </w:t>
      </w:r>
      <w:r>
        <w:rPr>
          <w:color w:val="231F20"/>
        </w:rPr>
        <w:t xml:space="preserve">than </w:t>
      </w:r>
      <w:r>
        <w:rPr>
          <w:color w:val="231F20"/>
          <w:w w:val="95"/>
        </w:rPr>
        <w:t>Hong Kong Chinese undergraduate students. Another example is found</w:t>
      </w:r>
      <w:r>
        <w:rPr>
          <w:color w:val="231F20"/>
          <w:spacing w:val="80"/>
        </w:rPr>
        <w:t xml:space="preserve"> </w:t>
      </w:r>
      <w:r>
        <w:rPr>
          <w:color w:val="231F20"/>
        </w:rPr>
        <w:t>in</w:t>
      </w:r>
      <w:r>
        <w:rPr>
          <w:color w:val="231F20"/>
          <w:spacing w:val="-11"/>
        </w:rPr>
        <w:t xml:space="preserve"> </w:t>
      </w:r>
      <w:r>
        <w:rPr>
          <w:color w:val="231F20"/>
        </w:rPr>
        <w:t>the</w:t>
      </w:r>
      <w:r>
        <w:rPr>
          <w:color w:val="231F20"/>
          <w:spacing w:val="-11"/>
        </w:rPr>
        <w:t xml:space="preserve"> </w:t>
      </w:r>
      <w:r>
        <w:rPr>
          <w:color w:val="231F20"/>
        </w:rPr>
        <w:t>context</w:t>
      </w:r>
      <w:r>
        <w:rPr>
          <w:color w:val="231F20"/>
          <w:spacing w:val="-11"/>
        </w:rPr>
        <w:t xml:space="preserve"> </w:t>
      </w:r>
      <w:r>
        <w:rPr>
          <w:color w:val="231F20"/>
        </w:rPr>
        <w:t>of</w:t>
      </w:r>
      <w:r>
        <w:rPr>
          <w:color w:val="231F20"/>
          <w:spacing w:val="-11"/>
        </w:rPr>
        <w:t xml:space="preserve"> </w:t>
      </w:r>
      <w:r>
        <w:rPr>
          <w:color w:val="231F20"/>
        </w:rPr>
        <w:t>outdoor</w:t>
      </w:r>
      <w:r>
        <w:rPr>
          <w:color w:val="231F20"/>
          <w:spacing w:val="-11"/>
        </w:rPr>
        <w:t xml:space="preserve"> </w:t>
      </w:r>
      <w:r>
        <w:rPr>
          <w:color w:val="231F20"/>
        </w:rPr>
        <w:t>recreation</w:t>
      </w:r>
      <w:r>
        <w:rPr>
          <w:color w:val="231F20"/>
          <w:spacing w:val="-11"/>
        </w:rPr>
        <w:t xml:space="preserve"> </w:t>
      </w:r>
      <w:r>
        <w:rPr>
          <w:color w:val="231F20"/>
        </w:rPr>
        <w:t>activities</w:t>
      </w:r>
      <w:r>
        <w:rPr>
          <w:color w:val="231F20"/>
          <w:spacing w:val="-11"/>
        </w:rPr>
        <w:t xml:space="preserve"> </w:t>
      </w:r>
      <w:r>
        <w:rPr>
          <w:color w:val="231F20"/>
        </w:rPr>
        <w:t>that</w:t>
      </w:r>
      <w:r>
        <w:rPr>
          <w:color w:val="231F20"/>
          <w:spacing w:val="-11"/>
        </w:rPr>
        <w:t xml:space="preserve"> </w:t>
      </w:r>
      <w:r>
        <w:rPr>
          <w:color w:val="231F20"/>
        </w:rPr>
        <w:t>some</w:t>
      </w:r>
      <w:r>
        <w:rPr>
          <w:color w:val="231F20"/>
          <w:spacing w:val="-11"/>
        </w:rPr>
        <w:t xml:space="preserve"> </w:t>
      </w:r>
      <w:r>
        <w:rPr>
          <w:color w:val="231F20"/>
        </w:rPr>
        <w:t>people</w:t>
      </w:r>
      <w:r>
        <w:rPr>
          <w:color w:val="231F20"/>
          <w:spacing w:val="-11"/>
        </w:rPr>
        <w:t xml:space="preserve"> </w:t>
      </w:r>
      <w:r>
        <w:rPr>
          <w:color w:val="231F20"/>
        </w:rPr>
        <w:t xml:space="preserve">pursue </w:t>
      </w:r>
      <w:r>
        <w:rPr>
          <w:color w:val="231F20"/>
          <w:w w:val="95"/>
        </w:rPr>
        <w:t xml:space="preserve">during their leisure travels. According to Walker </w:t>
      </w:r>
      <w:r>
        <w:rPr>
          <w:i/>
          <w:color w:val="231F20"/>
          <w:w w:val="95"/>
        </w:rPr>
        <w:t>et al</w:t>
      </w:r>
      <w:r>
        <w:rPr>
          <w:color w:val="231F20"/>
          <w:w w:val="95"/>
        </w:rPr>
        <w:t xml:space="preserve">. (2001), European North-American outdoor recreationists preferred high-arousal activities </w:t>
      </w:r>
      <w:r>
        <w:rPr>
          <w:color w:val="231F20"/>
        </w:rPr>
        <w:t>(e.g. hiking), whereas Chinese outdoor recreationists preferred low- arousal activities (e.g. viewing scenery). Therefore, it is reasonable to suspect that our ideal</w:t>
      </w:r>
      <w:r>
        <w:rPr>
          <w:color w:val="231F20"/>
        </w:rPr>
        <w:t xml:space="preserve"> affect would be key to examine sport tourists’ motivation generally but more particularly in cross-cultural contexts.</w:t>
      </w:r>
    </w:p>
    <w:p w14:paraId="43681B4A" w14:textId="77777777" w:rsidR="00AE0598" w:rsidRDefault="0069255A">
      <w:pPr>
        <w:pStyle w:val="Corpodetexto"/>
        <w:spacing w:before="16" w:line="232" w:lineRule="auto"/>
        <w:ind w:left="223" w:right="237" w:firstLine="320"/>
        <w:jc w:val="both"/>
      </w:pPr>
      <w:r>
        <w:rPr>
          <w:color w:val="231F20"/>
        </w:rPr>
        <w:t>Global</w:t>
      </w:r>
      <w:r>
        <w:rPr>
          <w:color w:val="231F20"/>
          <w:spacing w:val="40"/>
        </w:rPr>
        <w:t xml:space="preserve"> </w:t>
      </w:r>
      <w:r>
        <w:rPr>
          <w:color w:val="231F20"/>
        </w:rPr>
        <w:t>international</w:t>
      </w:r>
      <w:r>
        <w:rPr>
          <w:color w:val="231F20"/>
          <w:spacing w:val="40"/>
        </w:rPr>
        <w:t xml:space="preserve"> </w:t>
      </w:r>
      <w:r>
        <w:rPr>
          <w:color w:val="231F20"/>
        </w:rPr>
        <w:t>tourist</w:t>
      </w:r>
      <w:r>
        <w:rPr>
          <w:color w:val="231F20"/>
          <w:spacing w:val="40"/>
        </w:rPr>
        <w:t xml:space="preserve"> </w:t>
      </w:r>
      <w:r>
        <w:rPr>
          <w:color w:val="231F20"/>
        </w:rPr>
        <w:t>arrivals</w:t>
      </w:r>
      <w:r>
        <w:rPr>
          <w:color w:val="231F20"/>
          <w:spacing w:val="40"/>
        </w:rPr>
        <w:t xml:space="preserve"> </w:t>
      </w:r>
      <w:r>
        <w:rPr>
          <w:color w:val="231F20"/>
        </w:rPr>
        <w:t>reached</w:t>
      </w:r>
      <w:r>
        <w:rPr>
          <w:color w:val="231F20"/>
          <w:spacing w:val="40"/>
        </w:rPr>
        <w:t xml:space="preserve"> </w:t>
      </w:r>
      <w:r>
        <w:rPr>
          <w:color w:val="231F20"/>
        </w:rPr>
        <w:t>1186</w:t>
      </w:r>
      <w:r>
        <w:rPr>
          <w:color w:val="231F20"/>
          <w:spacing w:val="40"/>
        </w:rPr>
        <w:t xml:space="preserve"> </w:t>
      </w:r>
      <w:r>
        <w:rPr>
          <w:color w:val="231F20"/>
        </w:rPr>
        <w:t>million</w:t>
      </w:r>
      <w:r>
        <w:rPr>
          <w:color w:val="231F20"/>
          <w:spacing w:val="40"/>
        </w:rPr>
        <w:t xml:space="preserve"> </w:t>
      </w:r>
      <w:r>
        <w:rPr>
          <w:color w:val="231F20"/>
        </w:rPr>
        <w:t>in 2015 and are expected to reach 1.8 billion by 2030 (World Tourism Organisat</w:t>
      </w:r>
      <w:r>
        <w:rPr>
          <w:color w:val="231F20"/>
        </w:rPr>
        <w:t>ion, 2016). Asian countries are following the same trend as other</w:t>
      </w:r>
      <w:r>
        <w:rPr>
          <w:color w:val="231F20"/>
          <w:spacing w:val="-7"/>
        </w:rPr>
        <w:t xml:space="preserve"> </w:t>
      </w:r>
      <w:r>
        <w:rPr>
          <w:color w:val="231F20"/>
        </w:rPr>
        <w:t>tourism</w:t>
      </w:r>
      <w:r>
        <w:rPr>
          <w:color w:val="231F20"/>
          <w:spacing w:val="-7"/>
        </w:rPr>
        <w:t xml:space="preserve"> </w:t>
      </w:r>
      <w:r>
        <w:rPr>
          <w:color w:val="231F20"/>
        </w:rPr>
        <w:t>destinations.</w:t>
      </w:r>
      <w:r>
        <w:rPr>
          <w:color w:val="231F20"/>
          <w:spacing w:val="-7"/>
        </w:rPr>
        <w:t xml:space="preserve"> </w:t>
      </w:r>
      <w:r>
        <w:rPr>
          <w:color w:val="231F20"/>
        </w:rPr>
        <w:t>Japan</w:t>
      </w:r>
      <w:r>
        <w:rPr>
          <w:color w:val="231F20"/>
          <w:spacing w:val="-7"/>
        </w:rPr>
        <w:t xml:space="preserve"> </w:t>
      </w:r>
      <w:r>
        <w:rPr>
          <w:color w:val="231F20"/>
        </w:rPr>
        <w:t>is</w:t>
      </w:r>
      <w:r>
        <w:rPr>
          <w:color w:val="231F20"/>
          <w:spacing w:val="-7"/>
        </w:rPr>
        <w:t xml:space="preserve"> </w:t>
      </w:r>
      <w:r>
        <w:rPr>
          <w:color w:val="231F20"/>
        </w:rPr>
        <w:t>becoming</w:t>
      </w:r>
      <w:r>
        <w:rPr>
          <w:color w:val="231F20"/>
          <w:spacing w:val="-7"/>
        </w:rPr>
        <w:t xml:space="preserve"> </w:t>
      </w:r>
      <w:r>
        <w:rPr>
          <w:color w:val="231F20"/>
        </w:rPr>
        <w:t>an</w:t>
      </w:r>
      <w:r>
        <w:rPr>
          <w:color w:val="231F20"/>
          <w:spacing w:val="-7"/>
        </w:rPr>
        <w:t xml:space="preserve"> </w:t>
      </w:r>
      <w:r>
        <w:rPr>
          <w:color w:val="231F20"/>
        </w:rPr>
        <w:t>increasingly</w:t>
      </w:r>
      <w:r>
        <w:rPr>
          <w:color w:val="231F20"/>
          <w:spacing w:val="-7"/>
        </w:rPr>
        <w:t xml:space="preserve"> </w:t>
      </w:r>
      <w:r>
        <w:rPr>
          <w:color w:val="231F20"/>
        </w:rPr>
        <w:t>popular tourist destination with the number of international inbound tourists increasing beyond 24 million (Japan National Tourism Org</w:t>
      </w:r>
      <w:r>
        <w:rPr>
          <w:color w:val="231F20"/>
        </w:rPr>
        <w:t>anisation, 2017).</w:t>
      </w:r>
      <w:r>
        <w:rPr>
          <w:color w:val="231F20"/>
          <w:spacing w:val="-5"/>
        </w:rPr>
        <w:t xml:space="preserve"> </w:t>
      </w:r>
      <w:r>
        <w:rPr>
          <w:color w:val="231F20"/>
        </w:rPr>
        <w:t>Although</w:t>
      </w:r>
      <w:r>
        <w:rPr>
          <w:color w:val="231F20"/>
          <w:spacing w:val="-5"/>
        </w:rPr>
        <w:t xml:space="preserve"> </w:t>
      </w:r>
      <w:r>
        <w:rPr>
          <w:color w:val="231F20"/>
        </w:rPr>
        <w:t>most</w:t>
      </w:r>
      <w:r>
        <w:rPr>
          <w:color w:val="231F20"/>
          <w:spacing w:val="-5"/>
        </w:rPr>
        <w:t xml:space="preserve"> </w:t>
      </w:r>
      <w:r>
        <w:rPr>
          <w:color w:val="231F20"/>
        </w:rPr>
        <w:t>inbound</w:t>
      </w:r>
      <w:r>
        <w:rPr>
          <w:color w:val="231F20"/>
          <w:spacing w:val="-5"/>
        </w:rPr>
        <w:t xml:space="preserve"> </w:t>
      </w:r>
      <w:r>
        <w:rPr>
          <w:color w:val="231F20"/>
        </w:rPr>
        <w:t>tourists</w:t>
      </w:r>
      <w:r>
        <w:rPr>
          <w:color w:val="231F20"/>
          <w:spacing w:val="-5"/>
        </w:rPr>
        <w:t xml:space="preserve"> </w:t>
      </w:r>
      <w:r>
        <w:rPr>
          <w:color w:val="231F20"/>
        </w:rPr>
        <w:t>come</w:t>
      </w:r>
      <w:r>
        <w:rPr>
          <w:color w:val="231F20"/>
          <w:spacing w:val="-5"/>
        </w:rPr>
        <w:t xml:space="preserve"> </w:t>
      </w:r>
      <w:r>
        <w:rPr>
          <w:color w:val="231F20"/>
        </w:rPr>
        <w:t>from</w:t>
      </w:r>
      <w:r>
        <w:rPr>
          <w:color w:val="231F20"/>
          <w:spacing w:val="-5"/>
        </w:rPr>
        <w:t xml:space="preserve"> </w:t>
      </w:r>
      <w:r>
        <w:rPr>
          <w:color w:val="231F20"/>
        </w:rPr>
        <w:t>China,</w:t>
      </w:r>
      <w:r>
        <w:rPr>
          <w:color w:val="231F20"/>
          <w:spacing w:val="-5"/>
        </w:rPr>
        <w:t xml:space="preserve"> </w:t>
      </w:r>
      <w:r>
        <w:rPr>
          <w:color w:val="231F20"/>
        </w:rPr>
        <w:t>South</w:t>
      </w:r>
      <w:r>
        <w:rPr>
          <w:color w:val="231F20"/>
          <w:spacing w:val="-5"/>
        </w:rPr>
        <w:t xml:space="preserve"> </w:t>
      </w:r>
      <w:r>
        <w:rPr>
          <w:color w:val="231F20"/>
        </w:rPr>
        <w:t xml:space="preserve">Korea and Taiwan, among European and North American countries, the </w:t>
      </w:r>
      <w:r>
        <w:rPr>
          <w:color w:val="231F20"/>
          <w:w w:val="95"/>
        </w:rPr>
        <w:t>United</w:t>
      </w:r>
      <w:r>
        <w:rPr>
          <w:color w:val="231F20"/>
          <w:spacing w:val="30"/>
        </w:rPr>
        <w:t xml:space="preserve"> </w:t>
      </w:r>
      <w:r>
        <w:rPr>
          <w:color w:val="231F20"/>
          <w:w w:val="95"/>
        </w:rPr>
        <w:t>States</w:t>
      </w:r>
      <w:r>
        <w:rPr>
          <w:color w:val="231F20"/>
          <w:spacing w:val="30"/>
        </w:rPr>
        <w:t xml:space="preserve"> </w:t>
      </w:r>
      <w:r>
        <w:rPr>
          <w:color w:val="231F20"/>
          <w:w w:val="95"/>
        </w:rPr>
        <w:t>became</w:t>
      </w:r>
      <w:r>
        <w:rPr>
          <w:color w:val="231F20"/>
          <w:spacing w:val="30"/>
        </w:rPr>
        <w:t xml:space="preserve"> </w:t>
      </w:r>
      <w:r>
        <w:rPr>
          <w:color w:val="231F20"/>
          <w:w w:val="95"/>
        </w:rPr>
        <w:t>the</w:t>
      </w:r>
      <w:r>
        <w:rPr>
          <w:color w:val="231F20"/>
          <w:spacing w:val="31"/>
        </w:rPr>
        <w:t xml:space="preserve"> </w:t>
      </w:r>
      <w:r>
        <w:rPr>
          <w:color w:val="231F20"/>
          <w:w w:val="95"/>
        </w:rPr>
        <w:t>first</w:t>
      </w:r>
      <w:r>
        <w:rPr>
          <w:color w:val="231F20"/>
          <w:spacing w:val="30"/>
        </w:rPr>
        <w:t xml:space="preserve"> </w:t>
      </w:r>
      <w:r>
        <w:rPr>
          <w:color w:val="231F20"/>
          <w:w w:val="95"/>
        </w:rPr>
        <w:t>country</w:t>
      </w:r>
      <w:r>
        <w:rPr>
          <w:color w:val="231F20"/>
          <w:spacing w:val="30"/>
        </w:rPr>
        <w:t xml:space="preserve"> </w:t>
      </w:r>
      <w:r>
        <w:rPr>
          <w:color w:val="231F20"/>
          <w:w w:val="95"/>
        </w:rPr>
        <w:t>to</w:t>
      </w:r>
      <w:r>
        <w:rPr>
          <w:color w:val="231F20"/>
          <w:spacing w:val="31"/>
        </w:rPr>
        <w:t xml:space="preserve"> </w:t>
      </w:r>
      <w:r>
        <w:rPr>
          <w:color w:val="231F20"/>
          <w:w w:val="95"/>
        </w:rPr>
        <w:t>exceed</w:t>
      </w:r>
      <w:r>
        <w:rPr>
          <w:color w:val="231F20"/>
          <w:spacing w:val="30"/>
        </w:rPr>
        <w:t xml:space="preserve"> </w:t>
      </w:r>
      <w:r>
        <w:rPr>
          <w:color w:val="231F20"/>
          <w:w w:val="95"/>
        </w:rPr>
        <w:t>1</w:t>
      </w:r>
      <w:r>
        <w:rPr>
          <w:color w:val="231F20"/>
          <w:spacing w:val="30"/>
        </w:rPr>
        <w:t xml:space="preserve"> </w:t>
      </w:r>
      <w:r>
        <w:rPr>
          <w:color w:val="231F20"/>
          <w:w w:val="95"/>
        </w:rPr>
        <w:t>million</w:t>
      </w:r>
      <w:r>
        <w:rPr>
          <w:color w:val="231F20"/>
          <w:spacing w:val="31"/>
        </w:rPr>
        <w:t xml:space="preserve"> </w:t>
      </w:r>
      <w:r>
        <w:rPr>
          <w:color w:val="231F20"/>
          <w:w w:val="95"/>
        </w:rPr>
        <w:t>tourists</w:t>
      </w:r>
      <w:r>
        <w:rPr>
          <w:color w:val="231F20"/>
          <w:spacing w:val="30"/>
        </w:rPr>
        <w:t xml:space="preserve"> </w:t>
      </w:r>
      <w:r>
        <w:rPr>
          <w:color w:val="231F20"/>
          <w:spacing w:val="-5"/>
          <w:w w:val="95"/>
        </w:rPr>
        <w:t>to</w:t>
      </w:r>
    </w:p>
    <w:p w14:paraId="0BEBCD10" w14:textId="77777777" w:rsidR="00AE0598" w:rsidRDefault="00AE0598">
      <w:pPr>
        <w:spacing w:line="232" w:lineRule="auto"/>
        <w:jc w:val="both"/>
        <w:sectPr w:rsidR="00AE0598">
          <w:pgSz w:w="8850" w:h="13270"/>
          <w:pgMar w:top="720" w:right="1060" w:bottom="280" w:left="1080" w:header="720" w:footer="720" w:gutter="0"/>
          <w:cols w:space="720"/>
        </w:sectPr>
      </w:pPr>
    </w:p>
    <w:p w14:paraId="702696DB" w14:textId="31AC01C8" w:rsidR="00AE0598" w:rsidRDefault="0069255A">
      <w:pPr>
        <w:spacing w:before="87"/>
        <w:ind w:left="110" w:right="128"/>
        <w:jc w:val="right"/>
        <w:rPr>
          <w:rFonts w:ascii="Trebuchet MS"/>
          <w:sz w:val="14"/>
        </w:rPr>
      </w:pPr>
      <w:r>
        <w:rPr>
          <w:noProof/>
        </w:rPr>
        <w:lastRenderedPageBreak/>
        <mc:AlternateContent>
          <mc:Choice Requires="wps">
            <w:drawing>
              <wp:anchor distT="0" distB="0" distL="114300" distR="114300" simplePos="0" relativeHeight="483683840" behindDoc="1" locked="0" layoutInCell="1" allowOverlap="1" wp14:anchorId="68C9411D" wp14:editId="4715FD87">
                <wp:simplePos x="0" y="0"/>
                <wp:positionH relativeFrom="page">
                  <wp:posOffset>755650</wp:posOffset>
                </wp:positionH>
                <wp:positionV relativeFrom="page">
                  <wp:posOffset>838200</wp:posOffset>
                </wp:positionV>
                <wp:extent cx="4104005" cy="6729730"/>
                <wp:effectExtent l="0" t="0" r="0" b="0"/>
                <wp:wrapNone/>
                <wp:docPr id="263" name="docshape1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04005" cy="6729730"/>
                        </a:xfrm>
                        <a:prstGeom prst="rect">
                          <a:avLst/>
                        </a:prstGeom>
                        <a:solidFill>
                          <a:srgbClr val="DCDDD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CE6065" id="docshape111" o:spid="_x0000_s1026" style="position:absolute;margin-left:59.5pt;margin-top:66pt;width:323.15pt;height:529.9pt;z-index:-196326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" fillcolor="#dcddde" stroked="f">
                <w10:wrap anchorx="page" anchory="page"/>
              </v:rect>
            </w:pict>
          </mc:Fallback>
        </mc:AlternateContent>
      </w:r>
      <w:r>
        <w:rPr>
          <w:rFonts w:ascii="Trebuchet MS"/>
          <w:color w:val="231F20"/>
          <w:w w:val="105"/>
          <w:sz w:val="14"/>
        </w:rPr>
        <w:t>Sport</w:t>
      </w:r>
      <w:r>
        <w:rPr>
          <w:rFonts w:ascii="Trebuchet MS"/>
          <w:color w:val="231F20"/>
          <w:spacing w:val="-7"/>
          <w:w w:val="105"/>
          <w:sz w:val="14"/>
        </w:rPr>
        <w:t xml:space="preserve"> </w:t>
      </w:r>
      <w:r>
        <w:rPr>
          <w:rFonts w:ascii="Trebuchet MS"/>
          <w:color w:val="231F20"/>
          <w:w w:val="105"/>
          <w:sz w:val="14"/>
        </w:rPr>
        <w:t>Tourism</w:t>
      </w:r>
      <w:r>
        <w:rPr>
          <w:rFonts w:ascii="Trebuchet MS"/>
          <w:color w:val="231F20"/>
          <w:spacing w:val="-7"/>
          <w:w w:val="105"/>
          <w:sz w:val="14"/>
        </w:rPr>
        <w:t xml:space="preserve"> </w:t>
      </w:r>
      <w:r>
        <w:rPr>
          <w:rFonts w:ascii="Trebuchet MS"/>
          <w:color w:val="231F20"/>
          <w:w w:val="105"/>
          <w:sz w:val="14"/>
        </w:rPr>
        <w:t>Markets</w:t>
      </w:r>
      <w:r>
        <w:rPr>
          <w:rFonts w:ascii="Trebuchet MS"/>
          <w:color w:val="231F20"/>
          <w:spacing w:val="73"/>
          <w:w w:val="150"/>
          <w:sz w:val="14"/>
        </w:rPr>
        <w:t xml:space="preserve"> </w:t>
      </w:r>
      <w:r>
        <w:rPr>
          <w:rFonts w:ascii="Trebuchet MS"/>
          <w:color w:val="231F20"/>
          <w:spacing w:val="-5"/>
          <w:w w:val="105"/>
          <w:sz w:val="14"/>
        </w:rPr>
        <w:t>57</w:t>
      </w:r>
    </w:p>
    <w:p w14:paraId="13764AAB" w14:textId="77777777" w:rsidR="00AE0598" w:rsidRDefault="00AE0598">
      <w:pPr>
        <w:pStyle w:val="Corpodetexto"/>
        <w:spacing w:before="1"/>
        <w:rPr>
          <w:rFonts w:ascii="Trebuchet MS"/>
          <w:sz w:val="27"/>
        </w:rPr>
      </w:pPr>
    </w:p>
    <w:p w14:paraId="3C1B4662" w14:textId="77777777" w:rsidR="00AE0598" w:rsidRDefault="0069255A">
      <w:pPr>
        <w:pStyle w:val="Corpodetexto"/>
        <w:spacing w:before="103" w:line="232" w:lineRule="auto"/>
        <w:ind w:left="223" w:right="239"/>
        <w:jc w:val="both"/>
      </w:pPr>
      <w:r>
        <w:rPr>
          <w:color w:val="231F20"/>
        </w:rPr>
        <w:t>Japan in 2015 and reached over 1.2 million in 2016 (Japan National Tourism Organisation, 2017). This pattern indicates that the cultural backgrounds of international inbound tourists in Japan have become diverse. The current situation of inbound tourism in</w:t>
      </w:r>
      <w:r>
        <w:rPr>
          <w:color w:val="231F20"/>
        </w:rPr>
        <w:t xml:space="preserve"> Japan warrants</w:t>
      </w:r>
      <w:r>
        <w:rPr>
          <w:color w:val="231F20"/>
          <w:spacing w:val="80"/>
        </w:rPr>
        <w:t xml:space="preserve"> </w:t>
      </w:r>
      <w:r>
        <w:rPr>
          <w:color w:val="231F20"/>
        </w:rPr>
        <w:t xml:space="preserve">a close examination of the relationships that link tourism, motivation </w:t>
      </w:r>
      <w:r>
        <w:rPr>
          <w:color w:val="231F20"/>
          <w:w w:val="95"/>
        </w:rPr>
        <w:t xml:space="preserve">and culture, which will provide important practical implications for the </w:t>
      </w:r>
      <w:r>
        <w:rPr>
          <w:color w:val="231F20"/>
        </w:rPr>
        <w:t>Japanese sport tourism industry.</w:t>
      </w:r>
    </w:p>
    <w:p w14:paraId="7D67E348" w14:textId="77777777" w:rsidR="00AE0598" w:rsidRDefault="0069255A">
      <w:pPr>
        <w:pStyle w:val="Corpodetexto"/>
        <w:spacing w:before="8" w:line="232" w:lineRule="auto"/>
        <w:ind w:left="223" w:right="240" w:firstLine="320"/>
        <w:jc w:val="both"/>
      </w:pPr>
      <w:r>
        <w:rPr>
          <w:color w:val="231F20"/>
          <w:w w:val="95"/>
        </w:rPr>
        <w:t>Affect valuation theory implies that one should consider the cu</w:t>
      </w:r>
      <w:r>
        <w:rPr>
          <w:color w:val="231F20"/>
          <w:w w:val="95"/>
        </w:rPr>
        <w:t xml:space="preserve">ltural </w:t>
      </w:r>
      <w:r>
        <w:rPr>
          <w:color w:val="231F20"/>
        </w:rPr>
        <w:t>backgrounds of tourists to ensure effective tourism marketing. Of course,</w:t>
      </w:r>
      <w:r>
        <w:rPr>
          <w:color w:val="231F20"/>
          <w:spacing w:val="-5"/>
        </w:rPr>
        <w:t xml:space="preserve"> </w:t>
      </w:r>
      <w:r>
        <w:rPr>
          <w:color w:val="231F20"/>
        </w:rPr>
        <w:t>this</w:t>
      </w:r>
      <w:r>
        <w:rPr>
          <w:color w:val="231F20"/>
          <w:spacing w:val="-5"/>
        </w:rPr>
        <w:t xml:space="preserve"> </w:t>
      </w:r>
      <w:r>
        <w:rPr>
          <w:color w:val="231F20"/>
        </w:rPr>
        <w:t>applies</w:t>
      </w:r>
      <w:r>
        <w:rPr>
          <w:color w:val="231F20"/>
          <w:spacing w:val="-5"/>
        </w:rPr>
        <w:t xml:space="preserve"> </w:t>
      </w:r>
      <w:r>
        <w:rPr>
          <w:color w:val="231F20"/>
        </w:rPr>
        <w:t>for</w:t>
      </w:r>
      <w:r>
        <w:rPr>
          <w:color w:val="231F20"/>
          <w:spacing w:val="-5"/>
        </w:rPr>
        <w:t xml:space="preserve"> </w:t>
      </w:r>
      <w:r>
        <w:rPr>
          <w:color w:val="231F20"/>
        </w:rPr>
        <w:t>sport</w:t>
      </w:r>
      <w:r>
        <w:rPr>
          <w:color w:val="231F20"/>
          <w:spacing w:val="-5"/>
        </w:rPr>
        <w:t xml:space="preserve"> </w:t>
      </w:r>
      <w:r>
        <w:rPr>
          <w:color w:val="231F20"/>
        </w:rPr>
        <w:t>tourism</w:t>
      </w:r>
      <w:r>
        <w:rPr>
          <w:color w:val="231F20"/>
          <w:spacing w:val="-5"/>
        </w:rPr>
        <w:t xml:space="preserve"> </w:t>
      </w:r>
      <w:r>
        <w:rPr>
          <w:color w:val="231F20"/>
        </w:rPr>
        <w:t>in</w:t>
      </w:r>
      <w:r>
        <w:rPr>
          <w:color w:val="231F20"/>
          <w:spacing w:val="-5"/>
        </w:rPr>
        <w:t xml:space="preserve"> </w:t>
      </w:r>
      <w:r>
        <w:rPr>
          <w:color w:val="231F20"/>
        </w:rPr>
        <w:t>Japan</w:t>
      </w:r>
      <w:r>
        <w:rPr>
          <w:color w:val="231F20"/>
          <w:spacing w:val="-5"/>
        </w:rPr>
        <w:t xml:space="preserve"> </w:t>
      </w:r>
      <w:r>
        <w:rPr>
          <w:color w:val="231F20"/>
        </w:rPr>
        <w:t>as</w:t>
      </w:r>
      <w:r>
        <w:rPr>
          <w:color w:val="231F20"/>
          <w:spacing w:val="-5"/>
        </w:rPr>
        <w:t xml:space="preserve"> </w:t>
      </w:r>
      <w:r>
        <w:rPr>
          <w:color w:val="231F20"/>
        </w:rPr>
        <w:t>well</w:t>
      </w:r>
      <w:r>
        <w:rPr>
          <w:color w:val="231F20"/>
          <w:spacing w:val="-5"/>
        </w:rPr>
        <w:t xml:space="preserve"> </w:t>
      </w:r>
      <w:r>
        <w:rPr>
          <w:color w:val="231F20"/>
        </w:rPr>
        <w:t>as</w:t>
      </w:r>
      <w:r>
        <w:rPr>
          <w:color w:val="231F20"/>
          <w:spacing w:val="-5"/>
        </w:rPr>
        <w:t xml:space="preserve"> </w:t>
      </w:r>
      <w:r>
        <w:rPr>
          <w:color w:val="231F20"/>
        </w:rPr>
        <w:t>other</w:t>
      </w:r>
      <w:r>
        <w:rPr>
          <w:color w:val="231F20"/>
          <w:spacing w:val="-5"/>
        </w:rPr>
        <w:t xml:space="preserve"> </w:t>
      </w:r>
      <w:r>
        <w:rPr>
          <w:color w:val="231F20"/>
        </w:rPr>
        <w:t>types</w:t>
      </w:r>
      <w:r>
        <w:rPr>
          <w:color w:val="231F20"/>
          <w:spacing w:val="-5"/>
        </w:rPr>
        <w:t xml:space="preserve"> </w:t>
      </w:r>
      <w:r>
        <w:rPr>
          <w:color w:val="231F20"/>
        </w:rPr>
        <w:t>of tourists. First, marine sport activities are an important form of active sport</w:t>
      </w:r>
      <w:r>
        <w:rPr>
          <w:color w:val="231F20"/>
          <w:spacing w:val="-12"/>
        </w:rPr>
        <w:t xml:space="preserve"> </w:t>
      </w:r>
      <w:r>
        <w:rPr>
          <w:color w:val="231F20"/>
        </w:rPr>
        <w:t>tourism,</w:t>
      </w:r>
      <w:r>
        <w:rPr>
          <w:color w:val="231F20"/>
          <w:spacing w:val="-12"/>
        </w:rPr>
        <w:t xml:space="preserve"> </w:t>
      </w:r>
      <w:r>
        <w:rPr>
          <w:color w:val="231F20"/>
        </w:rPr>
        <w:t>given</w:t>
      </w:r>
      <w:r>
        <w:rPr>
          <w:color w:val="231F20"/>
          <w:spacing w:val="-11"/>
        </w:rPr>
        <w:t xml:space="preserve"> </w:t>
      </w:r>
      <w:r>
        <w:rPr>
          <w:color w:val="231F20"/>
        </w:rPr>
        <w:t>Japan’s</w:t>
      </w:r>
      <w:r>
        <w:rPr>
          <w:color w:val="231F20"/>
          <w:spacing w:val="-12"/>
        </w:rPr>
        <w:t xml:space="preserve"> </w:t>
      </w:r>
      <w:r>
        <w:rPr>
          <w:color w:val="231F20"/>
        </w:rPr>
        <w:t>abundan</w:t>
      </w:r>
      <w:r>
        <w:rPr>
          <w:color w:val="231F20"/>
        </w:rPr>
        <w:t>t</w:t>
      </w:r>
      <w:r>
        <w:rPr>
          <w:color w:val="231F20"/>
          <w:spacing w:val="-11"/>
        </w:rPr>
        <w:t xml:space="preserve"> </w:t>
      </w:r>
      <w:r>
        <w:rPr>
          <w:color w:val="231F20"/>
        </w:rPr>
        <w:t>marine</w:t>
      </w:r>
      <w:r>
        <w:rPr>
          <w:color w:val="231F20"/>
          <w:spacing w:val="-12"/>
        </w:rPr>
        <w:t xml:space="preserve"> </w:t>
      </w:r>
      <w:r>
        <w:rPr>
          <w:color w:val="231F20"/>
        </w:rPr>
        <w:t>resources</w:t>
      </w:r>
      <w:r>
        <w:rPr>
          <w:color w:val="231F20"/>
          <w:spacing w:val="-11"/>
        </w:rPr>
        <w:t xml:space="preserve"> </w:t>
      </w:r>
      <w:r>
        <w:rPr>
          <w:color w:val="231F20"/>
        </w:rPr>
        <w:t>which</w:t>
      </w:r>
      <w:r>
        <w:rPr>
          <w:color w:val="231F20"/>
          <w:spacing w:val="-12"/>
        </w:rPr>
        <w:t xml:space="preserve"> </w:t>
      </w:r>
      <w:r>
        <w:rPr>
          <w:color w:val="231F20"/>
        </w:rPr>
        <w:t xml:space="preserve">include </w:t>
      </w:r>
      <w:r>
        <w:rPr>
          <w:color w:val="231F20"/>
          <w:w w:val="95"/>
        </w:rPr>
        <w:t xml:space="preserve">over 6000 islands (Harada, 2016). As Tsai (2007) reported, Westerners </w:t>
      </w:r>
      <w:r>
        <w:rPr>
          <w:color w:val="231F20"/>
          <w:w w:val="90"/>
        </w:rPr>
        <w:t xml:space="preserve">would be expected to be interested in physically rigorous marine activities </w:t>
      </w:r>
      <w:r>
        <w:rPr>
          <w:color w:val="231F20"/>
        </w:rPr>
        <w:t>like</w:t>
      </w:r>
      <w:r>
        <w:rPr>
          <w:color w:val="231F20"/>
          <w:spacing w:val="-11"/>
        </w:rPr>
        <w:t xml:space="preserve"> </w:t>
      </w:r>
      <w:r>
        <w:rPr>
          <w:color w:val="231F20"/>
        </w:rPr>
        <w:t>surfing,</w:t>
      </w:r>
      <w:r>
        <w:rPr>
          <w:color w:val="231F20"/>
          <w:spacing w:val="-11"/>
        </w:rPr>
        <w:t xml:space="preserve"> </w:t>
      </w:r>
      <w:r>
        <w:rPr>
          <w:color w:val="231F20"/>
        </w:rPr>
        <w:t>whereas</w:t>
      </w:r>
      <w:r>
        <w:rPr>
          <w:color w:val="231F20"/>
          <w:spacing w:val="-11"/>
        </w:rPr>
        <w:t xml:space="preserve"> </w:t>
      </w:r>
      <w:r>
        <w:rPr>
          <w:color w:val="231F20"/>
        </w:rPr>
        <w:t>East</w:t>
      </w:r>
      <w:r>
        <w:rPr>
          <w:color w:val="231F20"/>
          <w:spacing w:val="-11"/>
        </w:rPr>
        <w:t xml:space="preserve"> </w:t>
      </w:r>
      <w:r>
        <w:rPr>
          <w:color w:val="231F20"/>
        </w:rPr>
        <w:t>Asians</w:t>
      </w:r>
      <w:r>
        <w:rPr>
          <w:color w:val="231F20"/>
          <w:spacing w:val="-11"/>
        </w:rPr>
        <w:t xml:space="preserve"> </w:t>
      </w:r>
      <w:r>
        <w:rPr>
          <w:color w:val="231F20"/>
        </w:rPr>
        <w:t>would</w:t>
      </w:r>
      <w:r>
        <w:rPr>
          <w:color w:val="231F20"/>
          <w:spacing w:val="-11"/>
        </w:rPr>
        <w:t xml:space="preserve"> </w:t>
      </w:r>
      <w:r>
        <w:rPr>
          <w:color w:val="231F20"/>
        </w:rPr>
        <w:t>be</w:t>
      </w:r>
      <w:r>
        <w:rPr>
          <w:color w:val="231F20"/>
          <w:spacing w:val="-11"/>
        </w:rPr>
        <w:t xml:space="preserve"> </w:t>
      </w:r>
      <w:r>
        <w:rPr>
          <w:color w:val="231F20"/>
        </w:rPr>
        <w:t>more</w:t>
      </w:r>
      <w:r>
        <w:rPr>
          <w:color w:val="231F20"/>
          <w:spacing w:val="-11"/>
        </w:rPr>
        <w:t xml:space="preserve"> </w:t>
      </w:r>
      <w:r>
        <w:rPr>
          <w:color w:val="231F20"/>
        </w:rPr>
        <w:t>likely</w:t>
      </w:r>
      <w:r>
        <w:rPr>
          <w:color w:val="231F20"/>
          <w:spacing w:val="-11"/>
        </w:rPr>
        <w:t xml:space="preserve"> </w:t>
      </w:r>
      <w:r>
        <w:rPr>
          <w:color w:val="231F20"/>
        </w:rPr>
        <w:t>to</w:t>
      </w:r>
      <w:r>
        <w:rPr>
          <w:color w:val="231F20"/>
          <w:spacing w:val="-11"/>
        </w:rPr>
        <w:t xml:space="preserve"> </w:t>
      </w:r>
      <w:r>
        <w:rPr>
          <w:color w:val="231F20"/>
        </w:rPr>
        <w:t>be</w:t>
      </w:r>
      <w:r>
        <w:rPr>
          <w:color w:val="231F20"/>
          <w:spacing w:val="-11"/>
        </w:rPr>
        <w:t xml:space="preserve"> </w:t>
      </w:r>
      <w:r>
        <w:rPr>
          <w:color w:val="231F20"/>
        </w:rPr>
        <w:t>interested in</w:t>
      </w:r>
      <w:r>
        <w:rPr>
          <w:color w:val="231F20"/>
          <w:spacing w:val="-6"/>
        </w:rPr>
        <w:t xml:space="preserve"> </w:t>
      </w:r>
      <w:r>
        <w:rPr>
          <w:color w:val="231F20"/>
        </w:rPr>
        <w:t>re</w:t>
      </w:r>
      <w:r>
        <w:rPr>
          <w:color w:val="231F20"/>
        </w:rPr>
        <w:t>laxing</w:t>
      </w:r>
      <w:r>
        <w:rPr>
          <w:color w:val="231F20"/>
          <w:spacing w:val="-6"/>
        </w:rPr>
        <w:t xml:space="preserve"> </w:t>
      </w:r>
      <w:r>
        <w:rPr>
          <w:color w:val="231F20"/>
        </w:rPr>
        <w:t>marine</w:t>
      </w:r>
      <w:r>
        <w:rPr>
          <w:color w:val="231F20"/>
          <w:spacing w:val="-6"/>
        </w:rPr>
        <w:t xml:space="preserve"> </w:t>
      </w:r>
      <w:r>
        <w:rPr>
          <w:color w:val="231F20"/>
        </w:rPr>
        <w:t>activities</w:t>
      </w:r>
      <w:r>
        <w:rPr>
          <w:color w:val="231F20"/>
          <w:spacing w:val="-6"/>
        </w:rPr>
        <w:t xml:space="preserve"> </w:t>
      </w:r>
      <w:r>
        <w:rPr>
          <w:color w:val="231F20"/>
        </w:rPr>
        <w:t>like</w:t>
      </w:r>
      <w:r>
        <w:rPr>
          <w:color w:val="231F20"/>
          <w:spacing w:val="-6"/>
        </w:rPr>
        <w:t xml:space="preserve"> </w:t>
      </w:r>
      <w:r>
        <w:rPr>
          <w:color w:val="231F20"/>
        </w:rPr>
        <w:t>snorkelling.</w:t>
      </w:r>
      <w:r>
        <w:rPr>
          <w:color w:val="231F20"/>
          <w:spacing w:val="-6"/>
        </w:rPr>
        <w:t xml:space="preserve"> </w:t>
      </w:r>
      <w:r>
        <w:rPr>
          <w:color w:val="231F20"/>
        </w:rPr>
        <w:t>Given</w:t>
      </w:r>
      <w:r>
        <w:rPr>
          <w:color w:val="231F20"/>
          <w:spacing w:val="-6"/>
        </w:rPr>
        <w:t xml:space="preserve"> </w:t>
      </w:r>
      <w:r>
        <w:rPr>
          <w:color w:val="231F20"/>
        </w:rPr>
        <w:t>that</w:t>
      </w:r>
      <w:r>
        <w:rPr>
          <w:color w:val="231F20"/>
          <w:spacing w:val="-6"/>
        </w:rPr>
        <w:t xml:space="preserve"> </w:t>
      </w:r>
      <w:r>
        <w:rPr>
          <w:color w:val="231F20"/>
        </w:rPr>
        <w:t>surfing</w:t>
      </w:r>
      <w:r>
        <w:rPr>
          <w:color w:val="231F20"/>
          <w:spacing w:val="-6"/>
        </w:rPr>
        <w:t xml:space="preserve"> </w:t>
      </w:r>
      <w:r>
        <w:rPr>
          <w:color w:val="231F20"/>
        </w:rPr>
        <w:t>will</w:t>
      </w:r>
      <w:r>
        <w:rPr>
          <w:color w:val="231F20"/>
          <w:spacing w:val="-6"/>
        </w:rPr>
        <w:t xml:space="preserve"> </w:t>
      </w:r>
      <w:r>
        <w:rPr>
          <w:color w:val="231F20"/>
        </w:rPr>
        <w:t xml:space="preserve">be </w:t>
      </w:r>
      <w:r>
        <w:rPr>
          <w:color w:val="231F20"/>
          <w:w w:val="95"/>
        </w:rPr>
        <w:t xml:space="preserve">introduced as a demonstration sport in the Tokyo 2020 Olympics, Japan </w:t>
      </w:r>
      <w:r>
        <w:rPr>
          <w:color w:val="231F20"/>
        </w:rPr>
        <w:t>will</w:t>
      </w:r>
      <w:r>
        <w:rPr>
          <w:color w:val="231F20"/>
          <w:spacing w:val="-7"/>
        </w:rPr>
        <w:t xml:space="preserve"> </w:t>
      </w:r>
      <w:r>
        <w:rPr>
          <w:color w:val="231F20"/>
        </w:rPr>
        <w:t>likely</w:t>
      </w:r>
      <w:r>
        <w:rPr>
          <w:color w:val="231F20"/>
          <w:spacing w:val="-7"/>
        </w:rPr>
        <w:t xml:space="preserve"> </w:t>
      </w:r>
      <w:r>
        <w:rPr>
          <w:color w:val="231F20"/>
        </w:rPr>
        <w:t>capture</w:t>
      </w:r>
      <w:r>
        <w:rPr>
          <w:color w:val="231F20"/>
          <w:spacing w:val="-7"/>
        </w:rPr>
        <w:t xml:space="preserve"> </w:t>
      </w:r>
      <w:r>
        <w:rPr>
          <w:color w:val="231F20"/>
        </w:rPr>
        <w:t>Westerners’</w:t>
      </w:r>
      <w:r>
        <w:rPr>
          <w:color w:val="231F20"/>
          <w:spacing w:val="-7"/>
        </w:rPr>
        <w:t xml:space="preserve"> </w:t>
      </w:r>
      <w:r>
        <w:rPr>
          <w:color w:val="231F20"/>
        </w:rPr>
        <w:t>attention</w:t>
      </w:r>
      <w:r>
        <w:rPr>
          <w:color w:val="231F20"/>
          <w:spacing w:val="-7"/>
        </w:rPr>
        <w:t xml:space="preserve"> </w:t>
      </w:r>
      <w:r>
        <w:rPr>
          <w:color w:val="231F20"/>
        </w:rPr>
        <w:t>as</w:t>
      </w:r>
      <w:r>
        <w:rPr>
          <w:color w:val="231F20"/>
          <w:spacing w:val="-7"/>
        </w:rPr>
        <w:t xml:space="preserve"> </w:t>
      </w:r>
      <w:r>
        <w:rPr>
          <w:color w:val="231F20"/>
        </w:rPr>
        <w:t>a</w:t>
      </w:r>
      <w:r>
        <w:rPr>
          <w:color w:val="231F20"/>
          <w:spacing w:val="-7"/>
        </w:rPr>
        <w:t xml:space="preserve"> </w:t>
      </w:r>
      <w:r>
        <w:rPr>
          <w:color w:val="231F20"/>
        </w:rPr>
        <w:t>surf</w:t>
      </w:r>
      <w:r>
        <w:rPr>
          <w:color w:val="231F20"/>
          <w:spacing w:val="-7"/>
        </w:rPr>
        <w:t xml:space="preserve"> </w:t>
      </w:r>
      <w:r>
        <w:rPr>
          <w:color w:val="231F20"/>
        </w:rPr>
        <w:t>tourism</w:t>
      </w:r>
      <w:r>
        <w:rPr>
          <w:color w:val="231F20"/>
          <w:spacing w:val="-7"/>
        </w:rPr>
        <w:t xml:space="preserve"> </w:t>
      </w:r>
      <w:r>
        <w:rPr>
          <w:color w:val="231F20"/>
        </w:rPr>
        <w:t>destination.</w:t>
      </w:r>
    </w:p>
    <w:p w14:paraId="15873E84" w14:textId="77777777" w:rsidR="00AE0598" w:rsidRDefault="0069255A">
      <w:pPr>
        <w:pStyle w:val="Corpodetexto"/>
        <w:spacing w:before="13" w:line="232" w:lineRule="auto"/>
        <w:ind w:left="223" w:right="240" w:firstLine="320"/>
        <w:jc w:val="both"/>
      </w:pPr>
      <w:r>
        <w:rPr>
          <w:color w:val="231F20"/>
          <w:w w:val="95"/>
        </w:rPr>
        <w:t xml:space="preserve">Second, Japanese baseball games provide an interesting insight into contrasting spectator event sport tourism motivations and experiences. Westerners would, according to Tsai’s (2007) theorisation, be interested </w:t>
      </w:r>
      <w:r>
        <w:rPr>
          <w:color w:val="231F20"/>
        </w:rPr>
        <w:t>in watching baseball games from outfield sea</w:t>
      </w:r>
      <w:r>
        <w:rPr>
          <w:color w:val="231F20"/>
        </w:rPr>
        <w:t xml:space="preserve">ts with private cheering </w:t>
      </w:r>
      <w:r>
        <w:rPr>
          <w:color w:val="231F20"/>
          <w:w w:val="95"/>
        </w:rPr>
        <w:t xml:space="preserve">groups (i.e. unique Japanese style of collective cheering with trumpets or drums), whereas East Asians would be interested in watching the game from luxury infield seats far away from the cheering groups. In addition </w:t>
      </w:r>
      <w:r>
        <w:rPr>
          <w:color w:val="231F20"/>
        </w:rPr>
        <w:t>to the excitin</w:t>
      </w:r>
      <w:r>
        <w:rPr>
          <w:color w:val="231F20"/>
        </w:rPr>
        <w:t xml:space="preserve">g cheering groups, (a) launching balloons at seventh- </w:t>
      </w:r>
      <w:r>
        <w:rPr>
          <w:color w:val="231F20"/>
          <w:w w:val="95"/>
        </w:rPr>
        <w:t xml:space="preserve">inning and (b) buying beer from ‘beer-girls’ who wear highly sexualised </w:t>
      </w:r>
      <w:r>
        <w:rPr>
          <w:color w:val="231F20"/>
        </w:rPr>
        <w:t>uniforms and roam the stands with beer tanks on their backs while smiling and waving to potential customers would also provide hig</w:t>
      </w:r>
      <w:r>
        <w:rPr>
          <w:color w:val="231F20"/>
        </w:rPr>
        <w:t>h- arousal experiential states to Western tourists at Japanese ballparks (Graczyk, 2014).</w:t>
      </w:r>
    </w:p>
    <w:p w14:paraId="0075FD16" w14:textId="77777777" w:rsidR="00AE0598" w:rsidRDefault="0069255A">
      <w:pPr>
        <w:pStyle w:val="Corpodetexto"/>
        <w:spacing w:before="16" w:line="232" w:lineRule="auto"/>
        <w:ind w:left="223" w:right="241" w:firstLine="320"/>
        <w:jc w:val="both"/>
      </w:pPr>
      <w:r>
        <w:rPr>
          <w:color w:val="231F20"/>
          <w:w w:val="95"/>
        </w:rPr>
        <w:t>Lastly,</w:t>
      </w:r>
      <w:r>
        <w:rPr>
          <w:color w:val="231F20"/>
          <w:spacing w:val="-2"/>
          <w:w w:val="95"/>
        </w:rPr>
        <w:t xml:space="preserve"> </w:t>
      </w:r>
      <w:r>
        <w:rPr>
          <w:color w:val="231F20"/>
          <w:w w:val="95"/>
        </w:rPr>
        <w:t>with</w:t>
      </w:r>
      <w:r>
        <w:rPr>
          <w:color w:val="231F20"/>
          <w:spacing w:val="-2"/>
          <w:w w:val="95"/>
        </w:rPr>
        <w:t xml:space="preserve"> </w:t>
      </w:r>
      <w:r>
        <w:rPr>
          <w:color w:val="231F20"/>
          <w:w w:val="95"/>
        </w:rPr>
        <w:t>regard</w:t>
      </w:r>
      <w:r>
        <w:rPr>
          <w:color w:val="231F20"/>
          <w:spacing w:val="-2"/>
          <w:w w:val="95"/>
        </w:rPr>
        <w:t xml:space="preserve"> </w:t>
      </w:r>
      <w:r>
        <w:rPr>
          <w:color w:val="231F20"/>
          <w:w w:val="95"/>
        </w:rPr>
        <w:t>to</w:t>
      </w:r>
      <w:r>
        <w:rPr>
          <w:color w:val="231F20"/>
          <w:spacing w:val="-2"/>
          <w:w w:val="95"/>
        </w:rPr>
        <w:t xml:space="preserve"> </w:t>
      </w:r>
      <w:r>
        <w:rPr>
          <w:color w:val="231F20"/>
          <w:w w:val="95"/>
        </w:rPr>
        <w:t>heritage</w:t>
      </w:r>
      <w:r>
        <w:rPr>
          <w:color w:val="231F20"/>
          <w:spacing w:val="-2"/>
          <w:w w:val="95"/>
        </w:rPr>
        <w:t xml:space="preserve"> </w:t>
      </w:r>
      <w:r>
        <w:rPr>
          <w:color w:val="231F20"/>
          <w:w w:val="95"/>
        </w:rPr>
        <w:t>sport</w:t>
      </w:r>
      <w:r>
        <w:rPr>
          <w:color w:val="231F20"/>
          <w:spacing w:val="-2"/>
          <w:w w:val="95"/>
        </w:rPr>
        <w:t xml:space="preserve"> </w:t>
      </w:r>
      <w:r>
        <w:rPr>
          <w:color w:val="231F20"/>
          <w:w w:val="95"/>
        </w:rPr>
        <w:t>tourism,</w:t>
      </w:r>
      <w:r>
        <w:rPr>
          <w:color w:val="231F20"/>
          <w:spacing w:val="-2"/>
          <w:w w:val="95"/>
        </w:rPr>
        <w:t xml:space="preserve"> </w:t>
      </w:r>
      <w:r>
        <w:rPr>
          <w:color w:val="231F20"/>
          <w:w w:val="95"/>
        </w:rPr>
        <w:t>Westerners</w:t>
      </w:r>
      <w:r>
        <w:rPr>
          <w:color w:val="231F20"/>
          <w:spacing w:val="-2"/>
          <w:w w:val="95"/>
        </w:rPr>
        <w:t xml:space="preserve"> </w:t>
      </w:r>
      <w:r>
        <w:rPr>
          <w:color w:val="231F20"/>
          <w:w w:val="95"/>
        </w:rPr>
        <w:t>are</w:t>
      </w:r>
      <w:r>
        <w:rPr>
          <w:color w:val="231F20"/>
          <w:spacing w:val="-2"/>
          <w:w w:val="95"/>
        </w:rPr>
        <w:t xml:space="preserve"> </w:t>
      </w:r>
      <w:r>
        <w:rPr>
          <w:color w:val="231F20"/>
          <w:w w:val="95"/>
        </w:rPr>
        <w:t>likely</w:t>
      </w:r>
      <w:r>
        <w:rPr>
          <w:color w:val="231F20"/>
          <w:spacing w:val="-2"/>
          <w:w w:val="95"/>
        </w:rPr>
        <w:t xml:space="preserve"> </w:t>
      </w:r>
      <w:r>
        <w:rPr>
          <w:color w:val="231F20"/>
          <w:w w:val="95"/>
        </w:rPr>
        <w:t xml:space="preserve">to be particularly motivated to visit interactive museums with cutting-edge interpretive techniques, designs and technologies, whereas East Asians </w:t>
      </w:r>
      <w:r>
        <w:rPr>
          <w:color w:val="231F20"/>
        </w:rPr>
        <w:t>tend</w:t>
      </w:r>
      <w:r>
        <w:rPr>
          <w:color w:val="231F20"/>
          <w:spacing w:val="-1"/>
        </w:rPr>
        <w:t xml:space="preserve"> </w:t>
      </w:r>
      <w:r>
        <w:rPr>
          <w:color w:val="231F20"/>
        </w:rPr>
        <w:t>to be more</w:t>
      </w:r>
      <w:r>
        <w:rPr>
          <w:color w:val="231F20"/>
          <w:spacing w:val="-1"/>
        </w:rPr>
        <w:t xml:space="preserve"> </w:t>
      </w:r>
      <w:r>
        <w:rPr>
          <w:color w:val="231F20"/>
        </w:rPr>
        <w:t>interested in traditional</w:t>
      </w:r>
      <w:r>
        <w:rPr>
          <w:color w:val="231F20"/>
          <w:spacing w:val="-1"/>
        </w:rPr>
        <w:t xml:space="preserve"> </w:t>
      </w:r>
      <w:r>
        <w:rPr>
          <w:color w:val="231F20"/>
        </w:rPr>
        <w:t>museum-style</w:t>
      </w:r>
      <w:r>
        <w:rPr>
          <w:color w:val="231F20"/>
          <w:spacing w:val="-1"/>
        </w:rPr>
        <w:t xml:space="preserve"> </w:t>
      </w:r>
      <w:r>
        <w:rPr>
          <w:color w:val="231F20"/>
        </w:rPr>
        <w:t>presentations surrounded by a calm atmosphere. For exa</w:t>
      </w:r>
      <w:r>
        <w:rPr>
          <w:color w:val="231F20"/>
        </w:rPr>
        <w:t xml:space="preserve">mple, a world-known Japanese sporting company, ASICS, owns ASICS Sports Museum in </w:t>
      </w:r>
      <w:r>
        <w:rPr>
          <w:color w:val="231F20"/>
          <w:w w:val="95"/>
        </w:rPr>
        <w:t xml:space="preserve">Kobe, which is regarded as a popular tourist destination. Given that this museum offers an interactive and fully immersive experience of virtual </w:t>
      </w:r>
      <w:r>
        <w:rPr>
          <w:color w:val="231F20"/>
        </w:rPr>
        <w:t>athletics through new technol</w:t>
      </w:r>
      <w:r>
        <w:rPr>
          <w:color w:val="231F20"/>
        </w:rPr>
        <w:t xml:space="preserve">ogies (ASICS, n.d.), this sport heritage </w:t>
      </w:r>
      <w:r>
        <w:rPr>
          <w:color w:val="231F20"/>
          <w:w w:val="95"/>
        </w:rPr>
        <w:t>facility would be more appealing to Westerners than East Asians. While theoretically</w:t>
      </w:r>
      <w:r>
        <w:rPr>
          <w:color w:val="231F20"/>
          <w:spacing w:val="6"/>
        </w:rPr>
        <w:t xml:space="preserve"> </w:t>
      </w:r>
      <w:r>
        <w:rPr>
          <w:color w:val="231F20"/>
          <w:w w:val="95"/>
        </w:rPr>
        <w:t>informed,</w:t>
      </w:r>
      <w:r>
        <w:rPr>
          <w:color w:val="231F20"/>
          <w:spacing w:val="7"/>
        </w:rPr>
        <w:t xml:space="preserve"> </w:t>
      </w:r>
      <w:r>
        <w:rPr>
          <w:color w:val="231F20"/>
          <w:w w:val="95"/>
        </w:rPr>
        <w:t>no</w:t>
      </w:r>
      <w:r>
        <w:rPr>
          <w:color w:val="231F20"/>
          <w:spacing w:val="7"/>
        </w:rPr>
        <w:t xml:space="preserve"> </w:t>
      </w:r>
      <w:r>
        <w:rPr>
          <w:color w:val="231F20"/>
          <w:w w:val="95"/>
        </w:rPr>
        <w:t>scientific</w:t>
      </w:r>
      <w:r>
        <w:rPr>
          <w:color w:val="231F20"/>
          <w:spacing w:val="7"/>
        </w:rPr>
        <w:t xml:space="preserve"> </w:t>
      </w:r>
      <w:r>
        <w:rPr>
          <w:color w:val="231F20"/>
          <w:w w:val="95"/>
        </w:rPr>
        <w:t>research</w:t>
      </w:r>
      <w:r>
        <w:rPr>
          <w:color w:val="231F20"/>
          <w:spacing w:val="7"/>
        </w:rPr>
        <w:t xml:space="preserve"> </w:t>
      </w:r>
      <w:r>
        <w:rPr>
          <w:color w:val="231F20"/>
          <w:w w:val="95"/>
        </w:rPr>
        <w:t>has</w:t>
      </w:r>
      <w:r>
        <w:rPr>
          <w:color w:val="231F20"/>
          <w:spacing w:val="7"/>
        </w:rPr>
        <w:t xml:space="preserve"> </w:t>
      </w:r>
      <w:r>
        <w:rPr>
          <w:color w:val="231F20"/>
          <w:w w:val="95"/>
        </w:rPr>
        <w:t>been</w:t>
      </w:r>
      <w:r>
        <w:rPr>
          <w:color w:val="231F20"/>
          <w:spacing w:val="7"/>
        </w:rPr>
        <w:t xml:space="preserve"> </w:t>
      </w:r>
      <w:r>
        <w:rPr>
          <w:color w:val="231F20"/>
          <w:w w:val="95"/>
        </w:rPr>
        <w:t>directed</w:t>
      </w:r>
      <w:r>
        <w:rPr>
          <w:color w:val="231F20"/>
          <w:spacing w:val="7"/>
        </w:rPr>
        <w:t xml:space="preserve"> </w:t>
      </w:r>
      <w:r>
        <w:rPr>
          <w:color w:val="231F20"/>
          <w:spacing w:val="-2"/>
          <w:w w:val="95"/>
        </w:rPr>
        <w:t>towards</w:t>
      </w:r>
    </w:p>
    <w:p w14:paraId="497AF222" w14:textId="77777777" w:rsidR="00AE0598" w:rsidRDefault="0069255A">
      <w:pPr>
        <w:spacing w:before="133"/>
        <w:ind w:left="110" w:right="283"/>
        <w:jc w:val="right"/>
        <w:rPr>
          <w:rFonts w:ascii="Trebuchet MS"/>
          <w:i/>
          <w:sz w:val="18"/>
        </w:rPr>
      </w:pPr>
      <w:r>
        <w:rPr>
          <w:rFonts w:ascii="Trebuchet MS"/>
          <w:i/>
          <w:color w:val="231F20"/>
          <w:spacing w:val="-2"/>
          <w:sz w:val="18"/>
        </w:rPr>
        <w:t>(Continued)</w:t>
      </w:r>
    </w:p>
    <w:p w14:paraId="0CA7E496" w14:textId="77777777" w:rsidR="00AE0598" w:rsidRDefault="00AE0598">
      <w:pPr>
        <w:jc w:val="right"/>
        <w:rPr>
          <w:rFonts w:ascii="Trebuchet MS"/>
          <w:sz w:val="18"/>
        </w:rPr>
        <w:sectPr w:rsidR="00AE0598">
          <w:pgSz w:w="8850" w:h="13270"/>
          <w:pgMar w:top="720" w:right="1060" w:bottom="280" w:left="1080" w:header="720" w:footer="720" w:gutter="0"/>
          <w:cols w:space="720"/>
        </w:sectPr>
      </w:pPr>
    </w:p>
    <w:p w14:paraId="1FF91274" w14:textId="77777777" w:rsidR="00AE0598" w:rsidRDefault="0069255A">
      <w:pPr>
        <w:spacing w:before="87"/>
        <w:ind w:left="108"/>
        <w:rPr>
          <w:rFonts w:ascii="Trebuchet MS"/>
          <w:sz w:val="14"/>
        </w:rPr>
      </w:pPr>
      <w:r>
        <w:rPr>
          <w:rFonts w:ascii="Trebuchet MS"/>
          <w:color w:val="231F20"/>
          <w:w w:val="105"/>
          <w:sz w:val="14"/>
        </w:rPr>
        <w:lastRenderedPageBreak/>
        <w:t>58</w:t>
      </w:r>
      <w:r>
        <w:rPr>
          <w:rFonts w:ascii="Trebuchet MS"/>
          <w:color w:val="231F20"/>
          <w:spacing w:val="64"/>
          <w:w w:val="150"/>
          <w:sz w:val="14"/>
        </w:rPr>
        <w:t xml:space="preserve"> </w:t>
      </w:r>
      <w:r>
        <w:rPr>
          <w:rFonts w:ascii="Trebuchet MS"/>
          <w:color w:val="231F20"/>
          <w:w w:val="105"/>
          <w:sz w:val="14"/>
        </w:rPr>
        <w:t>Part</w:t>
      </w:r>
      <w:r>
        <w:rPr>
          <w:rFonts w:ascii="Trebuchet MS"/>
          <w:color w:val="231F20"/>
          <w:spacing w:val="-9"/>
          <w:w w:val="105"/>
          <w:sz w:val="14"/>
        </w:rPr>
        <w:t xml:space="preserve"> </w:t>
      </w:r>
      <w:r>
        <w:rPr>
          <w:rFonts w:ascii="Trebuchet MS"/>
          <w:color w:val="231F20"/>
          <w:w w:val="105"/>
          <w:sz w:val="14"/>
        </w:rPr>
        <w:t>2:</w:t>
      </w:r>
      <w:r>
        <w:rPr>
          <w:rFonts w:ascii="Trebuchet MS"/>
          <w:color w:val="231F20"/>
          <w:spacing w:val="-9"/>
          <w:w w:val="105"/>
          <w:sz w:val="14"/>
        </w:rPr>
        <w:t xml:space="preserve"> </w:t>
      </w:r>
      <w:r>
        <w:rPr>
          <w:rFonts w:ascii="Trebuchet MS"/>
          <w:color w:val="231F20"/>
          <w:w w:val="105"/>
          <w:sz w:val="14"/>
        </w:rPr>
        <w:t>Foundations</w:t>
      </w:r>
      <w:r>
        <w:rPr>
          <w:rFonts w:ascii="Trebuchet MS"/>
          <w:color w:val="231F20"/>
          <w:spacing w:val="-9"/>
          <w:w w:val="105"/>
          <w:sz w:val="14"/>
        </w:rPr>
        <w:t xml:space="preserve"> </w:t>
      </w:r>
      <w:r>
        <w:rPr>
          <w:rFonts w:ascii="Trebuchet MS"/>
          <w:color w:val="231F20"/>
          <w:w w:val="105"/>
          <w:sz w:val="14"/>
        </w:rPr>
        <w:t>of</w:t>
      </w:r>
      <w:r>
        <w:rPr>
          <w:rFonts w:ascii="Trebuchet MS"/>
          <w:color w:val="231F20"/>
          <w:spacing w:val="-9"/>
          <w:w w:val="105"/>
          <w:sz w:val="14"/>
        </w:rPr>
        <w:t xml:space="preserve"> </w:t>
      </w:r>
      <w:r>
        <w:rPr>
          <w:rFonts w:ascii="Trebuchet MS"/>
          <w:color w:val="231F20"/>
          <w:w w:val="105"/>
          <w:sz w:val="14"/>
        </w:rPr>
        <w:t>Sport</w:t>
      </w:r>
      <w:r>
        <w:rPr>
          <w:rFonts w:ascii="Trebuchet MS"/>
          <w:color w:val="231F20"/>
          <w:spacing w:val="-9"/>
          <w:w w:val="105"/>
          <w:sz w:val="14"/>
        </w:rPr>
        <w:t xml:space="preserve"> </w:t>
      </w:r>
      <w:r>
        <w:rPr>
          <w:rFonts w:ascii="Trebuchet MS"/>
          <w:color w:val="231F20"/>
          <w:w w:val="105"/>
          <w:sz w:val="14"/>
        </w:rPr>
        <w:t>Tourism</w:t>
      </w:r>
      <w:r>
        <w:rPr>
          <w:rFonts w:ascii="Trebuchet MS"/>
          <w:color w:val="231F20"/>
          <w:spacing w:val="-9"/>
          <w:w w:val="105"/>
          <w:sz w:val="14"/>
        </w:rPr>
        <w:t xml:space="preserve"> </w:t>
      </w:r>
      <w:r>
        <w:rPr>
          <w:rFonts w:ascii="Trebuchet MS"/>
          <w:color w:val="231F20"/>
          <w:spacing w:val="-2"/>
          <w:w w:val="105"/>
          <w:sz w:val="14"/>
        </w:rPr>
        <w:t>Development</w:t>
      </w:r>
    </w:p>
    <w:p w14:paraId="3145BC51" w14:textId="77777777" w:rsidR="00AE0598" w:rsidRDefault="00AE0598">
      <w:pPr>
        <w:pStyle w:val="Corpodetexto"/>
        <w:spacing w:before="10"/>
        <w:rPr>
          <w:rFonts w:ascii="Trebuchet MS"/>
          <w:sz w:val="27"/>
        </w:rPr>
      </w:pPr>
    </w:p>
    <w:p w14:paraId="5B56308A" w14:textId="7B50DF4C" w:rsidR="00AE0598" w:rsidRDefault="0069255A">
      <w:pPr>
        <w:spacing w:before="100"/>
        <w:ind w:left="223"/>
        <w:rPr>
          <w:rFonts w:ascii="Trebuchet MS"/>
          <w:sz w:val="18"/>
        </w:rPr>
      </w:pPr>
      <w:r>
        <w:rPr>
          <w:noProof/>
        </w:rPr>
        <mc:AlternateContent>
          <mc:Choice Requires="wps">
            <w:drawing>
              <wp:anchor distT="0" distB="0" distL="114300" distR="114300" simplePos="0" relativeHeight="483684352" behindDoc="1" locked="0" layoutInCell="1" allowOverlap="1" wp14:anchorId="0BD3F19F" wp14:editId="4F4DEB83">
                <wp:simplePos x="0" y="0"/>
                <wp:positionH relativeFrom="page">
                  <wp:posOffset>755650</wp:posOffset>
                </wp:positionH>
                <wp:positionV relativeFrom="paragraph">
                  <wp:posOffset>13335</wp:posOffset>
                </wp:positionV>
                <wp:extent cx="4104005" cy="4191000"/>
                <wp:effectExtent l="0" t="0" r="0" b="0"/>
                <wp:wrapNone/>
                <wp:docPr id="262" name="docshape1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04005" cy="4191000"/>
                        </a:xfrm>
                        <a:prstGeom prst="rect">
                          <a:avLst/>
                        </a:prstGeom>
                        <a:solidFill>
                          <a:srgbClr val="DCDDD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5D5B43" id="docshape112" o:spid="_x0000_s1026" style="position:absolute;margin-left:59.5pt;margin-top:1.05pt;width:323.15pt;height:330pt;z-index:-196321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" fillcolor="#dcddde" stroked="f">
                <w10:wrap anchorx="page"/>
              </v:rect>
            </w:pict>
          </mc:Fallback>
        </mc:AlternateContent>
      </w:r>
      <w:r>
        <w:rPr>
          <w:rFonts w:ascii="Trebuchet MS"/>
          <w:color w:val="231F20"/>
          <w:sz w:val="18"/>
        </w:rPr>
        <w:t>Case</w:t>
      </w:r>
      <w:r>
        <w:rPr>
          <w:rFonts w:ascii="Trebuchet MS"/>
          <w:color w:val="231F20"/>
          <w:spacing w:val="-8"/>
          <w:sz w:val="18"/>
        </w:rPr>
        <w:t xml:space="preserve"> </w:t>
      </w:r>
      <w:r>
        <w:rPr>
          <w:rFonts w:ascii="Trebuchet MS"/>
          <w:color w:val="231F20"/>
          <w:sz w:val="18"/>
        </w:rPr>
        <w:t>Study</w:t>
      </w:r>
      <w:r>
        <w:rPr>
          <w:rFonts w:ascii="Trebuchet MS"/>
          <w:color w:val="231F20"/>
          <w:spacing w:val="-7"/>
          <w:sz w:val="18"/>
        </w:rPr>
        <w:t xml:space="preserve"> </w:t>
      </w:r>
      <w:r>
        <w:rPr>
          <w:rFonts w:ascii="Trebuchet MS"/>
          <w:color w:val="231F20"/>
          <w:sz w:val="18"/>
        </w:rPr>
        <w:t>3.1:</w:t>
      </w:r>
      <w:r>
        <w:rPr>
          <w:rFonts w:ascii="Trebuchet MS"/>
          <w:color w:val="231F20"/>
          <w:spacing w:val="-7"/>
          <w:sz w:val="18"/>
        </w:rPr>
        <w:t xml:space="preserve"> </w:t>
      </w:r>
      <w:r>
        <w:rPr>
          <w:rFonts w:ascii="Trebuchet MS"/>
          <w:color w:val="231F20"/>
          <w:spacing w:val="-2"/>
          <w:sz w:val="18"/>
        </w:rPr>
        <w:t>(Continued)</w:t>
      </w:r>
    </w:p>
    <w:p w14:paraId="1490F20E" w14:textId="77777777" w:rsidR="00AE0598" w:rsidRDefault="00AE0598">
      <w:pPr>
        <w:pStyle w:val="Corpodetexto"/>
        <w:spacing w:before="9"/>
        <w:rPr>
          <w:rFonts w:ascii="Trebuchet MS"/>
          <w:sz w:val="16"/>
        </w:rPr>
      </w:pPr>
    </w:p>
    <w:p w14:paraId="17A2C759" w14:textId="77777777" w:rsidR="00AE0598" w:rsidRDefault="0069255A">
      <w:pPr>
        <w:pStyle w:val="Corpodetexto"/>
        <w:spacing w:before="1" w:line="232" w:lineRule="auto"/>
        <w:ind w:left="223" w:right="244"/>
        <w:jc w:val="both"/>
      </w:pPr>
      <w:r>
        <w:rPr>
          <w:color w:val="231F20"/>
          <w:w w:val="95"/>
        </w:rPr>
        <w:t xml:space="preserve">empirical investigation of these possibilities; therefore, more research is </w:t>
      </w:r>
      <w:r>
        <w:rPr>
          <w:color w:val="231F20"/>
        </w:rPr>
        <w:t>clearly warranted.</w:t>
      </w:r>
    </w:p>
    <w:p w14:paraId="5AC66704" w14:textId="77777777" w:rsidR="00AE0598" w:rsidRDefault="0069255A">
      <w:pPr>
        <w:pStyle w:val="Corpodetexto"/>
        <w:spacing w:before="2" w:line="232" w:lineRule="auto"/>
        <w:ind w:left="223" w:right="240" w:firstLine="320"/>
        <w:jc w:val="both"/>
      </w:pPr>
      <w:r>
        <w:rPr>
          <w:color w:val="231F20"/>
        </w:rPr>
        <w:t xml:space="preserve">In conclusion, Tsai (2007: 254) stated that ‘Ideal affect </w:t>
      </w:r>
      <w:r>
        <w:rPr>
          <w:color w:val="231F20"/>
          <w:w w:val="105"/>
        </w:rPr>
        <w:t xml:space="preserve">… </w:t>
      </w:r>
      <w:r>
        <w:rPr>
          <w:color w:val="231F20"/>
        </w:rPr>
        <w:t xml:space="preserve">directs </w:t>
      </w:r>
      <w:r>
        <w:rPr>
          <w:color w:val="231F20"/>
          <w:w w:val="95"/>
        </w:rPr>
        <w:t xml:space="preserve">people’s behavioral choices’; if so, a fuller understanding of sport tourist </w:t>
      </w:r>
      <w:r>
        <w:rPr>
          <w:color w:val="231F20"/>
          <w:spacing w:val="-2"/>
        </w:rPr>
        <w:t>motivation</w:t>
      </w:r>
      <w:r>
        <w:rPr>
          <w:color w:val="231F20"/>
          <w:spacing w:val="-5"/>
        </w:rPr>
        <w:t xml:space="preserve"> </w:t>
      </w:r>
      <w:r>
        <w:rPr>
          <w:color w:val="231F20"/>
          <w:spacing w:val="-2"/>
        </w:rPr>
        <w:t>can</w:t>
      </w:r>
      <w:r>
        <w:rPr>
          <w:color w:val="231F20"/>
          <w:spacing w:val="-5"/>
        </w:rPr>
        <w:t xml:space="preserve"> </w:t>
      </w:r>
      <w:r>
        <w:rPr>
          <w:color w:val="231F20"/>
          <w:spacing w:val="-2"/>
        </w:rPr>
        <w:t>only</w:t>
      </w:r>
      <w:r>
        <w:rPr>
          <w:color w:val="231F20"/>
          <w:spacing w:val="-5"/>
        </w:rPr>
        <w:t xml:space="preserve"> </w:t>
      </w:r>
      <w:r>
        <w:rPr>
          <w:color w:val="231F20"/>
          <w:spacing w:val="-2"/>
        </w:rPr>
        <w:t>be</w:t>
      </w:r>
      <w:r>
        <w:rPr>
          <w:color w:val="231F20"/>
          <w:spacing w:val="-5"/>
        </w:rPr>
        <w:t xml:space="preserve"> </w:t>
      </w:r>
      <w:r>
        <w:rPr>
          <w:color w:val="231F20"/>
          <w:spacing w:val="-2"/>
        </w:rPr>
        <w:t>achieved</w:t>
      </w:r>
      <w:r>
        <w:rPr>
          <w:color w:val="231F20"/>
          <w:spacing w:val="-5"/>
        </w:rPr>
        <w:t xml:space="preserve"> </w:t>
      </w:r>
      <w:r>
        <w:rPr>
          <w:color w:val="231F20"/>
          <w:spacing w:val="-2"/>
        </w:rPr>
        <w:t>if</w:t>
      </w:r>
      <w:r>
        <w:rPr>
          <w:color w:val="231F20"/>
          <w:spacing w:val="-5"/>
        </w:rPr>
        <w:t xml:space="preserve"> </w:t>
      </w:r>
      <w:r>
        <w:rPr>
          <w:color w:val="231F20"/>
          <w:spacing w:val="-2"/>
        </w:rPr>
        <w:t>attention</w:t>
      </w:r>
      <w:r>
        <w:rPr>
          <w:color w:val="231F20"/>
          <w:spacing w:val="-5"/>
        </w:rPr>
        <w:t xml:space="preserve"> </w:t>
      </w:r>
      <w:r>
        <w:rPr>
          <w:color w:val="231F20"/>
          <w:spacing w:val="-2"/>
        </w:rPr>
        <w:t>is</w:t>
      </w:r>
      <w:r>
        <w:rPr>
          <w:color w:val="231F20"/>
          <w:spacing w:val="-5"/>
        </w:rPr>
        <w:t xml:space="preserve"> </w:t>
      </w:r>
      <w:r>
        <w:rPr>
          <w:color w:val="231F20"/>
          <w:spacing w:val="-2"/>
        </w:rPr>
        <w:t>paid</w:t>
      </w:r>
      <w:r>
        <w:rPr>
          <w:color w:val="231F20"/>
          <w:spacing w:val="-5"/>
        </w:rPr>
        <w:t xml:space="preserve"> </w:t>
      </w:r>
      <w:r>
        <w:rPr>
          <w:color w:val="231F20"/>
          <w:spacing w:val="-2"/>
        </w:rPr>
        <w:t>to</w:t>
      </w:r>
      <w:r>
        <w:rPr>
          <w:color w:val="231F20"/>
          <w:spacing w:val="-5"/>
        </w:rPr>
        <w:t xml:space="preserve"> </w:t>
      </w:r>
      <w:r>
        <w:rPr>
          <w:color w:val="231F20"/>
          <w:spacing w:val="-2"/>
        </w:rPr>
        <w:t>cultural</w:t>
      </w:r>
      <w:r>
        <w:rPr>
          <w:color w:val="231F20"/>
          <w:spacing w:val="-5"/>
        </w:rPr>
        <w:t xml:space="preserve"> </w:t>
      </w:r>
      <w:r>
        <w:rPr>
          <w:color w:val="231F20"/>
          <w:spacing w:val="-2"/>
        </w:rPr>
        <w:t xml:space="preserve">contexts. </w:t>
      </w:r>
      <w:r>
        <w:rPr>
          <w:color w:val="231F20"/>
          <w:w w:val="95"/>
        </w:rPr>
        <w:t>If we can predict what tourists want</w:t>
      </w:r>
      <w:r>
        <w:rPr>
          <w:color w:val="231F20"/>
          <w:w w:val="95"/>
        </w:rPr>
        <w:t xml:space="preserve"> to feel when they partake in leisure </w:t>
      </w:r>
      <w:r>
        <w:rPr>
          <w:color w:val="231F20"/>
        </w:rPr>
        <w:t>travel</w:t>
      </w:r>
      <w:r>
        <w:rPr>
          <w:color w:val="231F20"/>
          <w:spacing w:val="-12"/>
        </w:rPr>
        <w:t xml:space="preserve"> </w:t>
      </w:r>
      <w:r>
        <w:rPr>
          <w:color w:val="231F20"/>
        </w:rPr>
        <w:t>based</w:t>
      </w:r>
      <w:r>
        <w:rPr>
          <w:color w:val="231F20"/>
          <w:spacing w:val="-12"/>
        </w:rPr>
        <w:t xml:space="preserve"> </w:t>
      </w:r>
      <w:r>
        <w:rPr>
          <w:color w:val="231F20"/>
        </w:rPr>
        <w:t>on</w:t>
      </w:r>
      <w:r>
        <w:rPr>
          <w:color w:val="231F20"/>
          <w:spacing w:val="-11"/>
        </w:rPr>
        <w:t xml:space="preserve"> </w:t>
      </w:r>
      <w:r>
        <w:rPr>
          <w:color w:val="231F20"/>
        </w:rPr>
        <w:t>their</w:t>
      </w:r>
      <w:r>
        <w:rPr>
          <w:color w:val="231F20"/>
          <w:spacing w:val="-12"/>
        </w:rPr>
        <w:t xml:space="preserve"> </w:t>
      </w:r>
      <w:r>
        <w:rPr>
          <w:color w:val="231F20"/>
        </w:rPr>
        <w:t>cultural</w:t>
      </w:r>
      <w:r>
        <w:rPr>
          <w:color w:val="231F20"/>
          <w:spacing w:val="-11"/>
        </w:rPr>
        <w:t xml:space="preserve"> </w:t>
      </w:r>
      <w:r>
        <w:rPr>
          <w:color w:val="231F20"/>
        </w:rPr>
        <w:t>background,</w:t>
      </w:r>
      <w:r>
        <w:rPr>
          <w:color w:val="231F20"/>
          <w:spacing w:val="-12"/>
        </w:rPr>
        <w:t xml:space="preserve"> </w:t>
      </w:r>
      <w:r>
        <w:rPr>
          <w:color w:val="231F20"/>
        </w:rPr>
        <w:t>we</w:t>
      </w:r>
      <w:r>
        <w:rPr>
          <w:color w:val="231F20"/>
          <w:spacing w:val="-11"/>
        </w:rPr>
        <w:t xml:space="preserve"> </w:t>
      </w:r>
      <w:r>
        <w:rPr>
          <w:color w:val="231F20"/>
        </w:rPr>
        <w:t>would</w:t>
      </w:r>
      <w:r>
        <w:rPr>
          <w:color w:val="231F20"/>
          <w:spacing w:val="-12"/>
        </w:rPr>
        <w:t xml:space="preserve"> </w:t>
      </w:r>
      <w:r>
        <w:rPr>
          <w:color w:val="231F20"/>
        </w:rPr>
        <w:t>be</w:t>
      </w:r>
      <w:r>
        <w:rPr>
          <w:color w:val="231F20"/>
          <w:spacing w:val="-12"/>
        </w:rPr>
        <w:t xml:space="preserve"> </w:t>
      </w:r>
      <w:r>
        <w:rPr>
          <w:color w:val="231F20"/>
        </w:rPr>
        <w:t>able</w:t>
      </w:r>
      <w:r>
        <w:rPr>
          <w:color w:val="231F20"/>
          <w:spacing w:val="-11"/>
        </w:rPr>
        <w:t xml:space="preserve"> </w:t>
      </w:r>
      <w:r>
        <w:rPr>
          <w:color w:val="231F20"/>
        </w:rPr>
        <w:t>to</w:t>
      </w:r>
      <w:r>
        <w:rPr>
          <w:color w:val="231F20"/>
          <w:spacing w:val="-12"/>
        </w:rPr>
        <w:t xml:space="preserve"> </w:t>
      </w:r>
      <w:r>
        <w:rPr>
          <w:color w:val="231F20"/>
        </w:rPr>
        <w:t xml:space="preserve">develop </w:t>
      </w:r>
      <w:r>
        <w:rPr>
          <w:color w:val="231F20"/>
          <w:w w:val="90"/>
        </w:rPr>
        <w:t xml:space="preserve">more efficient and effective marketing strategies generally and particularly </w:t>
      </w:r>
      <w:r>
        <w:rPr>
          <w:color w:val="231F20"/>
          <w:w w:val="95"/>
        </w:rPr>
        <w:t>for the sport tourism industry. This would open the way for the creati</w:t>
      </w:r>
      <w:r>
        <w:rPr>
          <w:color w:val="231F20"/>
          <w:w w:val="95"/>
        </w:rPr>
        <w:t>on of</w:t>
      </w:r>
      <w:r>
        <w:rPr>
          <w:color w:val="231F20"/>
          <w:spacing w:val="-10"/>
          <w:w w:val="95"/>
        </w:rPr>
        <w:t xml:space="preserve"> </w:t>
      </w:r>
      <w:r>
        <w:rPr>
          <w:color w:val="231F20"/>
          <w:w w:val="95"/>
        </w:rPr>
        <w:t>targeted</w:t>
      </w:r>
      <w:r>
        <w:rPr>
          <w:color w:val="231F20"/>
          <w:spacing w:val="-9"/>
          <w:w w:val="95"/>
        </w:rPr>
        <w:t xml:space="preserve"> </w:t>
      </w:r>
      <w:r>
        <w:rPr>
          <w:color w:val="231F20"/>
          <w:w w:val="95"/>
        </w:rPr>
        <w:t>sport</w:t>
      </w:r>
      <w:r>
        <w:rPr>
          <w:color w:val="231F20"/>
          <w:spacing w:val="-8"/>
          <w:w w:val="95"/>
        </w:rPr>
        <w:t xml:space="preserve"> </w:t>
      </w:r>
      <w:r>
        <w:rPr>
          <w:color w:val="231F20"/>
          <w:w w:val="95"/>
        </w:rPr>
        <w:t>event</w:t>
      </w:r>
      <w:r>
        <w:rPr>
          <w:color w:val="231F20"/>
          <w:spacing w:val="-9"/>
          <w:w w:val="95"/>
        </w:rPr>
        <w:t xml:space="preserve"> </w:t>
      </w:r>
      <w:r>
        <w:rPr>
          <w:color w:val="231F20"/>
          <w:w w:val="95"/>
        </w:rPr>
        <w:t>tour</w:t>
      </w:r>
      <w:r>
        <w:rPr>
          <w:color w:val="231F20"/>
          <w:spacing w:val="-10"/>
          <w:w w:val="95"/>
        </w:rPr>
        <w:t xml:space="preserve"> </w:t>
      </w:r>
      <w:r>
        <w:rPr>
          <w:color w:val="231F20"/>
          <w:w w:val="95"/>
        </w:rPr>
        <w:t>packages,</w:t>
      </w:r>
      <w:r>
        <w:rPr>
          <w:color w:val="231F20"/>
          <w:spacing w:val="-8"/>
          <w:w w:val="95"/>
        </w:rPr>
        <w:t xml:space="preserve"> </w:t>
      </w:r>
      <w:r>
        <w:rPr>
          <w:color w:val="231F20"/>
          <w:w w:val="95"/>
        </w:rPr>
        <w:t>inform</w:t>
      </w:r>
      <w:r>
        <w:rPr>
          <w:color w:val="231F20"/>
          <w:spacing w:val="-10"/>
          <w:w w:val="95"/>
        </w:rPr>
        <w:t xml:space="preserve"> </w:t>
      </w:r>
      <w:r>
        <w:rPr>
          <w:color w:val="231F20"/>
          <w:w w:val="95"/>
        </w:rPr>
        <w:t>event</w:t>
      </w:r>
      <w:r>
        <w:rPr>
          <w:color w:val="231F20"/>
          <w:spacing w:val="-8"/>
          <w:w w:val="95"/>
        </w:rPr>
        <w:t xml:space="preserve"> </w:t>
      </w:r>
      <w:r>
        <w:rPr>
          <w:color w:val="231F20"/>
          <w:w w:val="95"/>
        </w:rPr>
        <w:t>design</w:t>
      </w:r>
      <w:r>
        <w:rPr>
          <w:color w:val="231F20"/>
          <w:spacing w:val="-10"/>
          <w:w w:val="95"/>
        </w:rPr>
        <w:t xml:space="preserve"> </w:t>
      </w:r>
      <w:r>
        <w:rPr>
          <w:color w:val="231F20"/>
          <w:w w:val="95"/>
        </w:rPr>
        <w:t>for</w:t>
      </w:r>
      <w:r>
        <w:rPr>
          <w:color w:val="231F20"/>
          <w:spacing w:val="-8"/>
          <w:w w:val="95"/>
        </w:rPr>
        <w:t xml:space="preserve"> </w:t>
      </w:r>
      <w:r>
        <w:rPr>
          <w:color w:val="231F20"/>
          <w:w w:val="95"/>
        </w:rPr>
        <w:t>active</w:t>
      </w:r>
      <w:r>
        <w:rPr>
          <w:color w:val="231F20"/>
          <w:spacing w:val="-10"/>
          <w:w w:val="95"/>
        </w:rPr>
        <w:t xml:space="preserve"> </w:t>
      </w:r>
      <w:r>
        <w:rPr>
          <w:color w:val="231F20"/>
          <w:w w:val="95"/>
        </w:rPr>
        <w:t>sport participants</w:t>
      </w:r>
      <w:r>
        <w:rPr>
          <w:color w:val="231F20"/>
          <w:spacing w:val="-1"/>
          <w:w w:val="95"/>
        </w:rPr>
        <w:t xml:space="preserve"> </w:t>
      </w:r>
      <w:r>
        <w:rPr>
          <w:color w:val="231F20"/>
          <w:w w:val="95"/>
        </w:rPr>
        <w:t>and allow for market-specific</w:t>
      </w:r>
      <w:r>
        <w:rPr>
          <w:color w:val="231F20"/>
          <w:spacing w:val="-1"/>
          <w:w w:val="95"/>
        </w:rPr>
        <w:t xml:space="preserve"> </w:t>
      </w:r>
      <w:r>
        <w:rPr>
          <w:color w:val="231F20"/>
          <w:w w:val="95"/>
        </w:rPr>
        <w:t>targeted</w:t>
      </w:r>
      <w:r>
        <w:rPr>
          <w:color w:val="231F20"/>
          <w:spacing w:val="-1"/>
          <w:w w:val="95"/>
        </w:rPr>
        <w:t xml:space="preserve"> </w:t>
      </w:r>
      <w:r>
        <w:rPr>
          <w:color w:val="231F20"/>
          <w:w w:val="95"/>
        </w:rPr>
        <w:t>marketing</w:t>
      </w:r>
      <w:r>
        <w:rPr>
          <w:color w:val="231F20"/>
          <w:spacing w:val="-1"/>
          <w:w w:val="95"/>
        </w:rPr>
        <w:t xml:space="preserve"> </w:t>
      </w:r>
      <w:r>
        <w:rPr>
          <w:color w:val="231F20"/>
          <w:w w:val="95"/>
        </w:rPr>
        <w:t xml:space="preserve">campaigns </w:t>
      </w:r>
      <w:r>
        <w:rPr>
          <w:color w:val="231F20"/>
        </w:rPr>
        <w:t>to support events such as the Japan 2019 Rugby World Cup, the 2020 Tokyo Olympic Games and the 2021 Kansai World Masters Games.</w:t>
      </w:r>
    </w:p>
    <w:p w14:paraId="086ADB73" w14:textId="77777777" w:rsidR="00AE0598" w:rsidRDefault="00AE0598">
      <w:pPr>
        <w:pStyle w:val="Corpodetexto"/>
        <w:spacing w:before="1"/>
        <w:rPr>
          <w:sz w:val="22"/>
        </w:rPr>
      </w:pPr>
    </w:p>
    <w:p w14:paraId="067179D6" w14:textId="77777777" w:rsidR="00AE0598" w:rsidRDefault="0069255A">
      <w:pPr>
        <w:ind w:left="223"/>
        <w:rPr>
          <w:rFonts w:ascii="Trebuchet MS"/>
          <w:sz w:val="20"/>
        </w:rPr>
      </w:pPr>
      <w:r>
        <w:rPr>
          <w:rFonts w:ascii="Trebuchet MS"/>
          <w:color w:val="231F20"/>
          <w:w w:val="105"/>
          <w:sz w:val="20"/>
        </w:rPr>
        <w:t>Key</w:t>
      </w:r>
      <w:r>
        <w:rPr>
          <w:rFonts w:ascii="Trebuchet MS"/>
          <w:color w:val="231F20"/>
          <w:spacing w:val="-11"/>
          <w:w w:val="105"/>
          <w:sz w:val="20"/>
        </w:rPr>
        <w:t xml:space="preserve"> </w:t>
      </w:r>
      <w:r>
        <w:rPr>
          <w:rFonts w:ascii="Trebuchet MS"/>
          <w:color w:val="231F20"/>
          <w:spacing w:val="-2"/>
          <w:w w:val="105"/>
          <w:sz w:val="20"/>
        </w:rPr>
        <w:t>Reading</w:t>
      </w:r>
    </w:p>
    <w:p w14:paraId="4A5BBCEA" w14:textId="77777777" w:rsidR="00AE0598" w:rsidRDefault="0069255A">
      <w:pPr>
        <w:pStyle w:val="Corpodetexto"/>
        <w:spacing w:before="122" w:line="232" w:lineRule="auto"/>
        <w:ind w:left="223" w:right="241"/>
        <w:jc w:val="both"/>
      </w:pPr>
      <w:r>
        <w:rPr>
          <w:color w:val="231F20"/>
        </w:rPr>
        <w:t xml:space="preserve">Ito, </w:t>
      </w:r>
      <w:r>
        <w:rPr>
          <w:color w:val="231F20"/>
          <w:w w:val="110"/>
        </w:rPr>
        <w:t xml:space="preserve">E. </w:t>
      </w:r>
      <w:r>
        <w:rPr>
          <w:color w:val="231F20"/>
        </w:rPr>
        <w:t xml:space="preserve">and Walker, </w:t>
      </w:r>
      <w:r>
        <w:rPr>
          <w:color w:val="231F20"/>
          <w:w w:val="110"/>
        </w:rPr>
        <w:t xml:space="preserve">G.J. </w:t>
      </w:r>
      <w:r>
        <w:rPr>
          <w:color w:val="231F20"/>
        </w:rPr>
        <w:t>(2016) Cultural commonality and specificity</w:t>
      </w:r>
      <w:r>
        <w:rPr>
          <w:color w:val="231F20"/>
          <w:spacing w:val="80"/>
        </w:rPr>
        <w:t xml:space="preserve"> </w:t>
      </w:r>
      <w:r>
        <w:rPr>
          <w:color w:val="231F20"/>
        </w:rPr>
        <w:t>in Japanese and Euro-Canadian undergraduate st</w:t>
      </w:r>
      <w:r>
        <w:rPr>
          <w:color w:val="231F20"/>
        </w:rPr>
        <w:t xml:space="preserve">udents’ leisure experiences: An exploratory study on control and positive affect. </w:t>
      </w:r>
      <w:r>
        <w:rPr>
          <w:i/>
          <w:color w:val="231F20"/>
        </w:rPr>
        <w:t xml:space="preserve">Leisure Sciences </w:t>
      </w:r>
      <w:r>
        <w:rPr>
          <w:color w:val="231F20"/>
        </w:rPr>
        <w:t>38, 249–267.</w:t>
      </w:r>
    </w:p>
    <w:p w14:paraId="3C6B435C" w14:textId="77777777" w:rsidR="00AE0598" w:rsidRDefault="0069255A">
      <w:pPr>
        <w:spacing w:before="125" w:line="232" w:lineRule="auto"/>
        <w:ind w:left="223" w:right="241"/>
        <w:jc w:val="both"/>
        <w:rPr>
          <w:sz w:val="21"/>
        </w:rPr>
      </w:pPr>
      <w:r>
        <w:rPr>
          <w:color w:val="231F20"/>
          <w:w w:val="105"/>
          <w:sz w:val="21"/>
        </w:rPr>
        <w:t xml:space="preserve">Tsai, J.L., Chim, L. and Sims, T. (2015) Consumer behavior, culture, and emotion. In S. Ng and A.Y. Lee (eds) </w:t>
      </w:r>
      <w:r>
        <w:rPr>
          <w:i/>
          <w:color w:val="231F20"/>
          <w:w w:val="105"/>
          <w:sz w:val="21"/>
        </w:rPr>
        <w:t xml:space="preserve">Handbook of Culture and </w:t>
      </w:r>
      <w:r>
        <w:rPr>
          <w:i/>
          <w:color w:val="231F20"/>
          <w:sz w:val="21"/>
        </w:rPr>
        <w:t xml:space="preserve">Consumer Behavior </w:t>
      </w:r>
      <w:r>
        <w:rPr>
          <w:color w:val="231F20"/>
          <w:sz w:val="21"/>
        </w:rPr>
        <w:t>(pp. 68–98). New York: Oxford University Press.</w:t>
      </w:r>
    </w:p>
    <w:p w14:paraId="7A03FEE7" w14:textId="77777777" w:rsidR="00AE0598" w:rsidRDefault="0069255A">
      <w:pPr>
        <w:spacing w:before="3" w:line="232" w:lineRule="auto"/>
        <w:ind w:left="223" w:right="241" w:firstLine="320"/>
        <w:jc w:val="both"/>
        <w:rPr>
          <w:i/>
          <w:sz w:val="21"/>
        </w:rPr>
      </w:pPr>
      <w:r>
        <w:rPr>
          <w:i/>
          <w:color w:val="231F20"/>
          <w:sz w:val="21"/>
        </w:rPr>
        <w:t>Additional references cited in this case study are included in the Reference list.</w:t>
      </w:r>
    </w:p>
    <w:p w14:paraId="0656E5FF" w14:textId="77777777" w:rsidR="00AE0598" w:rsidRDefault="00AE0598">
      <w:pPr>
        <w:pStyle w:val="Corpodetexto"/>
        <w:spacing w:before="3"/>
        <w:rPr>
          <w:i/>
          <w:sz w:val="23"/>
        </w:rPr>
      </w:pPr>
    </w:p>
    <w:p w14:paraId="4EC227B3" w14:textId="77777777" w:rsidR="00AE0598" w:rsidRDefault="0069255A">
      <w:pPr>
        <w:ind w:left="110"/>
        <w:rPr>
          <w:rFonts w:ascii="Trebuchet MS"/>
          <w:sz w:val="20"/>
        </w:rPr>
      </w:pPr>
      <w:r>
        <w:rPr>
          <w:rFonts w:ascii="Trebuchet MS"/>
          <w:color w:val="231F20"/>
          <w:sz w:val="20"/>
        </w:rPr>
        <w:t>Behaviouristic</w:t>
      </w:r>
      <w:r>
        <w:rPr>
          <w:rFonts w:ascii="Trebuchet MS"/>
          <w:color w:val="231F20"/>
          <w:spacing w:val="24"/>
          <w:sz w:val="20"/>
        </w:rPr>
        <w:t xml:space="preserve"> </w:t>
      </w:r>
      <w:r>
        <w:rPr>
          <w:rFonts w:ascii="Trebuchet MS"/>
          <w:color w:val="231F20"/>
          <w:sz w:val="20"/>
        </w:rPr>
        <w:t>market</w:t>
      </w:r>
      <w:r>
        <w:rPr>
          <w:rFonts w:ascii="Trebuchet MS"/>
          <w:color w:val="231F20"/>
          <w:spacing w:val="24"/>
          <w:sz w:val="20"/>
        </w:rPr>
        <w:t xml:space="preserve"> </w:t>
      </w:r>
      <w:r>
        <w:rPr>
          <w:rFonts w:ascii="Trebuchet MS"/>
          <w:color w:val="231F20"/>
          <w:spacing w:val="-2"/>
          <w:sz w:val="20"/>
        </w:rPr>
        <w:t>segmentation</w:t>
      </w:r>
    </w:p>
    <w:p w14:paraId="0979E37C" w14:textId="77777777" w:rsidR="00AE0598" w:rsidRDefault="0069255A">
      <w:pPr>
        <w:pStyle w:val="Corpodetexto"/>
        <w:spacing w:before="122" w:line="232" w:lineRule="auto"/>
        <w:ind w:left="110" w:right="127" w:firstLine="320"/>
        <w:jc w:val="both"/>
      </w:pPr>
      <w:r>
        <w:rPr>
          <w:color w:val="231F20"/>
        </w:rPr>
        <w:t>This avenue of segmentation classifies consumers according to their beh</w:t>
      </w:r>
      <w:r>
        <w:rPr>
          <w:color w:val="231F20"/>
        </w:rPr>
        <w:t xml:space="preserve">avioural relationship with a product (Swarbrooke &amp; Horner, 1999), with implications for the visitor experience (Chapter 8). Millington </w:t>
      </w:r>
      <w:r>
        <w:rPr>
          <w:i/>
          <w:color w:val="231F20"/>
        </w:rPr>
        <w:t>et al</w:t>
      </w:r>
      <w:r>
        <w:rPr>
          <w:color w:val="231F20"/>
        </w:rPr>
        <w:t xml:space="preserve">. </w:t>
      </w:r>
      <w:r>
        <w:rPr>
          <w:color w:val="231F20"/>
          <w:w w:val="90"/>
        </w:rPr>
        <w:t xml:space="preserve">(2001), for example, profile the growing number of participants in adventure </w:t>
      </w:r>
      <w:r>
        <w:rPr>
          <w:color w:val="231F20"/>
          <w:w w:val="95"/>
        </w:rPr>
        <w:t xml:space="preserve">tourism dividing the market based on </w:t>
      </w:r>
      <w:r>
        <w:rPr>
          <w:color w:val="231F20"/>
          <w:w w:val="95"/>
        </w:rPr>
        <w:t xml:space="preserve">soft (e.g. cycling, canoeing and horse </w:t>
      </w:r>
      <w:r>
        <w:rPr>
          <w:color w:val="231F20"/>
        </w:rPr>
        <w:t>riding) and hard (e.g. rafting, kayaking, climbing and caving) adventure activities.</w:t>
      </w:r>
      <w:r>
        <w:rPr>
          <w:color w:val="231F20"/>
          <w:spacing w:val="-3"/>
        </w:rPr>
        <w:t xml:space="preserve"> </w:t>
      </w:r>
      <w:r>
        <w:rPr>
          <w:color w:val="231F20"/>
        </w:rPr>
        <w:t>These</w:t>
      </w:r>
      <w:r>
        <w:rPr>
          <w:color w:val="231F20"/>
          <w:spacing w:val="-3"/>
        </w:rPr>
        <w:t xml:space="preserve"> </w:t>
      </w:r>
      <w:r>
        <w:rPr>
          <w:color w:val="231F20"/>
        </w:rPr>
        <w:t>adventure</w:t>
      </w:r>
      <w:r>
        <w:rPr>
          <w:color w:val="231F20"/>
          <w:spacing w:val="-3"/>
        </w:rPr>
        <w:t xml:space="preserve"> </w:t>
      </w:r>
      <w:r>
        <w:rPr>
          <w:color w:val="231F20"/>
        </w:rPr>
        <w:t>sports</w:t>
      </w:r>
      <w:r>
        <w:rPr>
          <w:color w:val="231F20"/>
          <w:spacing w:val="-3"/>
        </w:rPr>
        <w:t xml:space="preserve"> </w:t>
      </w:r>
      <w:r>
        <w:rPr>
          <w:color w:val="231F20"/>
        </w:rPr>
        <w:t>can</w:t>
      </w:r>
      <w:r>
        <w:rPr>
          <w:color w:val="231F20"/>
          <w:spacing w:val="-3"/>
        </w:rPr>
        <w:t xml:space="preserve"> </w:t>
      </w:r>
      <w:r>
        <w:rPr>
          <w:color w:val="231F20"/>
        </w:rPr>
        <w:t>be</w:t>
      </w:r>
      <w:r>
        <w:rPr>
          <w:color w:val="231F20"/>
          <w:spacing w:val="-3"/>
        </w:rPr>
        <w:t xml:space="preserve"> </w:t>
      </w:r>
      <w:r>
        <w:rPr>
          <w:color w:val="231F20"/>
        </w:rPr>
        <w:t>further</w:t>
      </w:r>
      <w:r>
        <w:rPr>
          <w:color w:val="231F20"/>
          <w:spacing w:val="-3"/>
        </w:rPr>
        <w:t xml:space="preserve"> </w:t>
      </w:r>
      <w:r>
        <w:rPr>
          <w:color w:val="231F20"/>
        </w:rPr>
        <w:t>differentiated</w:t>
      </w:r>
      <w:r>
        <w:rPr>
          <w:color w:val="231F20"/>
          <w:spacing w:val="-3"/>
        </w:rPr>
        <w:t xml:space="preserve"> </w:t>
      </w:r>
      <w:r>
        <w:rPr>
          <w:color w:val="231F20"/>
        </w:rPr>
        <w:t>based</w:t>
      </w:r>
      <w:r>
        <w:rPr>
          <w:color w:val="231F20"/>
          <w:spacing w:val="-3"/>
        </w:rPr>
        <w:t xml:space="preserve"> </w:t>
      </w:r>
      <w:r>
        <w:rPr>
          <w:color w:val="231F20"/>
        </w:rPr>
        <w:t xml:space="preserve">on </w:t>
      </w:r>
      <w:r>
        <w:rPr>
          <w:color w:val="231F20"/>
          <w:w w:val="95"/>
        </w:rPr>
        <w:t>the behaviours of participants. Downhill mountain bike racing and whit</w:t>
      </w:r>
      <w:r>
        <w:rPr>
          <w:color w:val="231F20"/>
          <w:w w:val="95"/>
        </w:rPr>
        <w:t xml:space="preserve">e- water kayaking are extreme versions of sport that can be segmented based </w:t>
      </w:r>
      <w:r>
        <w:rPr>
          <w:color w:val="231F20"/>
        </w:rPr>
        <w:t xml:space="preserve">on the motivations and behaviours of participants, and then profiled </w:t>
      </w:r>
      <w:r>
        <w:rPr>
          <w:color w:val="231F20"/>
          <w:w w:val="95"/>
        </w:rPr>
        <w:t xml:space="preserve">demographically (Millington </w:t>
      </w:r>
      <w:r>
        <w:rPr>
          <w:i/>
          <w:color w:val="231F20"/>
          <w:w w:val="95"/>
        </w:rPr>
        <w:t>et al</w:t>
      </w:r>
      <w:r>
        <w:rPr>
          <w:color w:val="231F20"/>
          <w:w w:val="95"/>
        </w:rPr>
        <w:t>., 2001). The link between motivation and behaviour, which is well established</w:t>
      </w:r>
      <w:r>
        <w:rPr>
          <w:color w:val="231F20"/>
          <w:w w:val="95"/>
        </w:rPr>
        <w:t xml:space="preserve"> in the sport and recreation literature </w:t>
      </w:r>
      <w:r>
        <w:rPr>
          <w:color w:val="231F20"/>
        </w:rPr>
        <w:t xml:space="preserve">(Jackson, 1989), is of high relevance to sport tourism. It is important for </w:t>
      </w:r>
      <w:r>
        <w:rPr>
          <w:color w:val="231F20"/>
          <w:w w:val="95"/>
        </w:rPr>
        <w:t>destination</w:t>
      </w:r>
      <w:r>
        <w:rPr>
          <w:color w:val="231F20"/>
          <w:spacing w:val="16"/>
        </w:rPr>
        <w:t xml:space="preserve"> </w:t>
      </w:r>
      <w:r>
        <w:rPr>
          <w:color w:val="231F20"/>
          <w:w w:val="95"/>
        </w:rPr>
        <w:t>marketers</w:t>
      </w:r>
      <w:r>
        <w:rPr>
          <w:color w:val="231F20"/>
          <w:spacing w:val="16"/>
        </w:rPr>
        <w:t xml:space="preserve"> </w:t>
      </w:r>
      <w:r>
        <w:rPr>
          <w:color w:val="231F20"/>
          <w:w w:val="95"/>
        </w:rPr>
        <w:t>to</w:t>
      </w:r>
      <w:r>
        <w:rPr>
          <w:color w:val="231F20"/>
          <w:spacing w:val="16"/>
        </w:rPr>
        <w:t xml:space="preserve"> </w:t>
      </w:r>
      <w:r>
        <w:rPr>
          <w:color w:val="231F20"/>
          <w:w w:val="95"/>
        </w:rPr>
        <w:t>understanding</w:t>
      </w:r>
      <w:r>
        <w:rPr>
          <w:color w:val="231F20"/>
          <w:spacing w:val="17"/>
        </w:rPr>
        <w:t xml:space="preserve"> </w:t>
      </w:r>
      <w:r>
        <w:rPr>
          <w:color w:val="231F20"/>
          <w:w w:val="95"/>
        </w:rPr>
        <w:t>the</w:t>
      </w:r>
      <w:r>
        <w:rPr>
          <w:color w:val="231F20"/>
          <w:spacing w:val="16"/>
        </w:rPr>
        <w:t xml:space="preserve"> </w:t>
      </w:r>
      <w:r>
        <w:rPr>
          <w:color w:val="231F20"/>
          <w:w w:val="95"/>
        </w:rPr>
        <w:t>motivational</w:t>
      </w:r>
      <w:r>
        <w:rPr>
          <w:color w:val="231F20"/>
          <w:spacing w:val="16"/>
        </w:rPr>
        <w:t xml:space="preserve"> </w:t>
      </w:r>
      <w:r>
        <w:rPr>
          <w:color w:val="231F20"/>
          <w:w w:val="95"/>
        </w:rPr>
        <w:t>and</w:t>
      </w:r>
      <w:r>
        <w:rPr>
          <w:color w:val="231F20"/>
          <w:spacing w:val="17"/>
        </w:rPr>
        <w:t xml:space="preserve"> </w:t>
      </w:r>
      <w:r>
        <w:rPr>
          <w:color w:val="231F20"/>
          <w:spacing w:val="-2"/>
          <w:w w:val="95"/>
        </w:rPr>
        <w:t>behavioural</w:t>
      </w:r>
    </w:p>
    <w:p w14:paraId="2418BD47" w14:textId="77777777" w:rsidR="00AE0598" w:rsidRDefault="00AE0598">
      <w:pPr>
        <w:spacing w:line="232" w:lineRule="auto"/>
        <w:jc w:val="both"/>
        <w:sectPr w:rsidR="00AE0598">
          <w:pgSz w:w="8850" w:h="13270"/>
          <w:pgMar w:top="720" w:right="1060" w:bottom="280" w:left="1080" w:header="720" w:footer="720" w:gutter="0"/>
          <w:cols w:space="720"/>
        </w:sectPr>
      </w:pPr>
    </w:p>
    <w:p w14:paraId="64220D3B" w14:textId="77777777" w:rsidR="00AE0598" w:rsidRDefault="0069255A">
      <w:pPr>
        <w:spacing w:before="87"/>
        <w:ind w:left="110" w:right="128"/>
        <w:jc w:val="right"/>
        <w:rPr>
          <w:rFonts w:ascii="Trebuchet MS"/>
          <w:sz w:val="14"/>
        </w:rPr>
      </w:pPr>
      <w:r>
        <w:rPr>
          <w:rFonts w:ascii="Trebuchet MS"/>
          <w:color w:val="231F20"/>
          <w:w w:val="105"/>
          <w:sz w:val="14"/>
        </w:rPr>
        <w:lastRenderedPageBreak/>
        <w:t>Sport</w:t>
      </w:r>
      <w:r>
        <w:rPr>
          <w:rFonts w:ascii="Trebuchet MS"/>
          <w:color w:val="231F20"/>
          <w:spacing w:val="-7"/>
          <w:w w:val="105"/>
          <w:sz w:val="14"/>
        </w:rPr>
        <w:t xml:space="preserve"> </w:t>
      </w:r>
      <w:r>
        <w:rPr>
          <w:rFonts w:ascii="Trebuchet MS"/>
          <w:color w:val="231F20"/>
          <w:w w:val="105"/>
          <w:sz w:val="14"/>
        </w:rPr>
        <w:t>Tourism</w:t>
      </w:r>
      <w:r>
        <w:rPr>
          <w:rFonts w:ascii="Trebuchet MS"/>
          <w:color w:val="231F20"/>
          <w:spacing w:val="-7"/>
          <w:w w:val="105"/>
          <w:sz w:val="14"/>
        </w:rPr>
        <w:t xml:space="preserve"> </w:t>
      </w:r>
      <w:r>
        <w:rPr>
          <w:rFonts w:ascii="Trebuchet MS"/>
          <w:color w:val="231F20"/>
          <w:w w:val="105"/>
          <w:sz w:val="14"/>
        </w:rPr>
        <w:t>Markets</w:t>
      </w:r>
      <w:r>
        <w:rPr>
          <w:rFonts w:ascii="Trebuchet MS"/>
          <w:color w:val="231F20"/>
          <w:spacing w:val="73"/>
          <w:w w:val="150"/>
          <w:sz w:val="14"/>
        </w:rPr>
        <w:t xml:space="preserve"> </w:t>
      </w:r>
      <w:r>
        <w:rPr>
          <w:rFonts w:ascii="Trebuchet MS"/>
          <w:color w:val="231F20"/>
          <w:spacing w:val="-5"/>
          <w:w w:val="105"/>
          <w:sz w:val="14"/>
        </w:rPr>
        <w:t>59</w:t>
      </w:r>
    </w:p>
    <w:p w14:paraId="0962725E" w14:textId="77777777" w:rsidR="00AE0598" w:rsidRDefault="00AE0598">
      <w:pPr>
        <w:pStyle w:val="Corpodetexto"/>
        <w:rPr>
          <w:rFonts w:ascii="Trebuchet MS"/>
          <w:sz w:val="16"/>
        </w:rPr>
      </w:pPr>
    </w:p>
    <w:p w14:paraId="20CA4323" w14:textId="77777777" w:rsidR="00AE0598" w:rsidRDefault="0069255A">
      <w:pPr>
        <w:pStyle w:val="Corpodetexto"/>
        <w:spacing w:before="118" w:line="232" w:lineRule="auto"/>
        <w:ind w:left="110" w:right="128"/>
        <w:jc w:val="both"/>
      </w:pPr>
      <w:r>
        <w:rPr>
          <w:color w:val="231F20"/>
        </w:rPr>
        <w:t xml:space="preserve">profiles of sport tourism market segments. They determine the desired </w:t>
      </w:r>
      <w:r>
        <w:rPr>
          <w:color w:val="231F20"/>
          <w:w w:val="95"/>
        </w:rPr>
        <w:t xml:space="preserve">visitor experience and the secondary activity sets that are associated with </w:t>
      </w:r>
      <w:r>
        <w:rPr>
          <w:color w:val="231F20"/>
        </w:rPr>
        <w:t>members</w:t>
      </w:r>
      <w:r>
        <w:rPr>
          <w:color w:val="231F20"/>
          <w:spacing w:val="-6"/>
        </w:rPr>
        <w:t xml:space="preserve"> </w:t>
      </w:r>
      <w:r>
        <w:rPr>
          <w:color w:val="231F20"/>
        </w:rPr>
        <w:t>of</w:t>
      </w:r>
      <w:r>
        <w:rPr>
          <w:color w:val="231F20"/>
          <w:spacing w:val="-6"/>
        </w:rPr>
        <w:t xml:space="preserve"> </w:t>
      </w:r>
      <w:r>
        <w:rPr>
          <w:color w:val="231F20"/>
        </w:rPr>
        <w:t>specific</w:t>
      </w:r>
      <w:r>
        <w:rPr>
          <w:color w:val="231F20"/>
          <w:spacing w:val="-6"/>
        </w:rPr>
        <w:t xml:space="preserve"> </w:t>
      </w:r>
      <w:r>
        <w:rPr>
          <w:color w:val="231F20"/>
        </w:rPr>
        <w:t>tourism</w:t>
      </w:r>
      <w:r>
        <w:rPr>
          <w:color w:val="231F20"/>
          <w:spacing w:val="-6"/>
        </w:rPr>
        <w:t xml:space="preserve"> </w:t>
      </w:r>
      <w:r>
        <w:rPr>
          <w:color w:val="231F20"/>
        </w:rPr>
        <w:t>market</w:t>
      </w:r>
      <w:r>
        <w:rPr>
          <w:color w:val="231F20"/>
          <w:spacing w:val="-6"/>
        </w:rPr>
        <w:t xml:space="preserve"> </w:t>
      </w:r>
      <w:r>
        <w:rPr>
          <w:color w:val="231F20"/>
        </w:rPr>
        <w:t>segments</w:t>
      </w:r>
      <w:r>
        <w:rPr>
          <w:color w:val="231F20"/>
          <w:spacing w:val="-6"/>
        </w:rPr>
        <w:t xml:space="preserve"> </w:t>
      </w:r>
      <w:r>
        <w:rPr>
          <w:color w:val="231F20"/>
        </w:rPr>
        <w:t>(Nogawa</w:t>
      </w:r>
      <w:r>
        <w:rPr>
          <w:color w:val="231F20"/>
          <w:spacing w:val="-6"/>
        </w:rPr>
        <w:t xml:space="preserve"> </w:t>
      </w:r>
      <w:r>
        <w:rPr>
          <w:i/>
          <w:color w:val="231F20"/>
        </w:rPr>
        <w:t>et</w:t>
      </w:r>
      <w:r>
        <w:rPr>
          <w:i/>
          <w:color w:val="231F20"/>
          <w:spacing w:val="-6"/>
        </w:rPr>
        <w:t xml:space="preserve"> </w:t>
      </w:r>
      <w:r>
        <w:rPr>
          <w:i/>
          <w:color w:val="231F20"/>
        </w:rPr>
        <w:t>al</w:t>
      </w:r>
      <w:r>
        <w:rPr>
          <w:color w:val="231F20"/>
        </w:rPr>
        <w:t>.,</w:t>
      </w:r>
      <w:r>
        <w:rPr>
          <w:color w:val="231F20"/>
          <w:spacing w:val="-6"/>
        </w:rPr>
        <w:t xml:space="preserve"> </w:t>
      </w:r>
      <w:r>
        <w:rPr>
          <w:color w:val="231F20"/>
        </w:rPr>
        <w:t>1996).</w:t>
      </w:r>
    </w:p>
    <w:p w14:paraId="0A7E5808" w14:textId="77777777" w:rsidR="00AE0598" w:rsidRDefault="0069255A">
      <w:pPr>
        <w:pStyle w:val="Corpodetexto"/>
        <w:spacing w:before="4" w:line="232" w:lineRule="auto"/>
        <w:ind w:left="110" w:right="127" w:firstLine="320"/>
        <w:jc w:val="both"/>
      </w:pPr>
      <w:r>
        <w:rPr>
          <w:color w:val="231F20"/>
        </w:rPr>
        <w:t>The sport of skiing provides an illustratio</w:t>
      </w:r>
      <w:r>
        <w:rPr>
          <w:color w:val="231F20"/>
        </w:rPr>
        <w:t xml:space="preserve">n of the varied motivations </w:t>
      </w:r>
      <w:r>
        <w:rPr>
          <w:color w:val="231F20"/>
          <w:w w:val="95"/>
        </w:rPr>
        <w:t xml:space="preserve">and behaviours that exist within the tourist market (Klenosky </w:t>
      </w:r>
      <w:r>
        <w:rPr>
          <w:i/>
          <w:color w:val="231F20"/>
          <w:w w:val="95"/>
        </w:rPr>
        <w:t>et al</w:t>
      </w:r>
      <w:r>
        <w:rPr>
          <w:color w:val="231F20"/>
          <w:w w:val="95"/>
        </w:rPr>
        <w:t xml:space="preserve">., 1993). </w:t>
      </w:r>
      <w:r>
        <w:rPr>
          <w:color w:val="231F20"/>
        </w:rPr>
        <w:t>Richards</w:t>
      </w:r>
      <w:r>
        <w:rPr>
          <w:color w:val="231F20"/>
          <w:spacing w:val="-8"/>
        </w:rPr>
        <w:t xml:space="preserve"> </w:t>
      </w:r>
      <w:r>
        <w:rPr>
          <w:color w:val="231F20"/>
        </w:rPr>
        <w:t>(1996),</w:t>
      </w:r>
      <w:r>
        <w:rPr>
          <w:color w:val="231F20"/>
          <w:spacing w:val="-8"/>
        </w:rPr>
        <w:t xml:space="preserve"> </w:t>
      </w:r>
      <w:r>
        <w:rPr>
          <w:color w:val="231F20"/>
        </w:rPr>
        <w:t>for</w:t>
      </w:r>
      <w:r>
        <w:rPr>
          <w:color w:val="231F20"/>
          <w:spacing w:val="-8"/>
        </w:rPr>
        <w:t xml:space="preserve"> </w:t>
      </w:r>
      <w:r>
        <w:rPr>
          <w:color w:val="231F20"/>
        </w:rPr>
        <w:t>instance,</w:t>
      </w:r>
      <w:r>
        <w:rPr>
          <w:color w:val="231F20"/>
          <w:spacing w:val="-8"/>
        </w:rPr>
        <w:t xml:space="preserve"> </w:t>
      </w:r>
      <w:r>
        <w:rPr>
          <w:color w:val="231F20"/>
        </w:rPr>
        <w:t>analysed</w:t>
      </w:r>
      <w:r>
        <w:rPr>
          <w:color w:val="231F20"/>
          <w:spacing w:val="-8"/>
        </w:rPr>
        <w:t xml:space="preserve"> </w:t>
      </w:r>
      <w:r>
        <w:rPr>
          <w:color w:val="231F20"/>
        </w:rPr>
        <w:t>the</w:t>
      </w:r>
      <w:r>
        <w:rPr>
          <w:color w:val="231F20"/>
          <w:spacing w:val="-8"/>
        </w:rPr>
        <w:t xml:space="preserve"> </w:t>
      </w:r>
      <w:r>
        <w:rPr>
          <w:color w:val="231F20"/>
        </w:rPr>
        <w:t>extent</w:t>
      </w:r>
      <w:r>
        <w:rPr>
          <w:color w:val="231F20"/>
          <w:spacing w:val="-8"/>
        </w:rPr>
        <w:t xml:space="preserve"> </w:t>
      </w:r>
      <w:r>
        <w:rPr>
          <w:color w:val="231F20"/>
        </w:rPr>
        <w:t>to</w:t>
      </w:r>
      <w:r>
        <w:rPr>
          <w:color w:val="231F20"/>
          <w:spacing w:val="-8"/>
        </w:rPr>
        <w:t xml:space="preserve"> </w:t>
      </w:r>
      <w:r>
        <w:rPr>
          <w:color w:val="231F20"/>
        </w:rPr>
        <w:t>which</w:t>
      </w:r>
      <w:r>
        <w:rPr>
          <w:color w:val="231F20"/>
          <w:spacing w:val="-8"/>
        </w:rPr>
        <w:t xml:space="preserve"> </w:t>
      </w:r>
      <w:r>
        <w:rPr>
          <w:color w:val="231F20"/>
        </w:rPr>
        <w:t>British</w:t>
      </w:r>
      <w:r>
        <w:rPr>
          <w:color w:val="231F20"/>
          <w:spacing w:val="-8"/>
        </w:rPr>
        <w:t xml:space="preserve"> </w:t>
      </w:r>
      <w:r>
        <w:rPr>
          <w:color w:val="231F20"/>
        </w:rPr>
        <w:t xml:space="preserve">skiers </w:t>
      </w:r>
      <w:r>
        <w:rPr>
          <w:color w:val="231F20"/>
          <w:w w:val="95"/>
        </w:rPr>
        <w:t xml:space="preserve">are motivated by technical challenge and the enhancement of their skiing </w:t>
      </w:r>
      <w:r>
        <w:rPr>
          <w:color w:val="231F20"/>
        </w:rPr>
        <w:t>ability. This research identified a market segment that was motivated</w:t>
      </w:r>
      <w:r>
        <w:rPr>
          <w:color w:val="231F20"/>
          <w:spacing w:val="80"/>
        </w:rPr>
        <w:t xml:space="preserve"> </w:t>
      </w:r>
      <w:r>
        <w:rPr>
          <w:color w:val="231F20"/>
        </w:rPr>
        <w:t xml:space="preserve">by challenging skiing experiences. The quality of the ski conditions and </w:t>
      </w:r>
      <w:r>
        <w:rPr>
          <w:color w:val="231F20"/>
          <w:w w:val="95"/>
        </w:rPr>
        <w:t>varied terrain were found to be fundamen</w:t>
      </w:r>
      <w:r>
        <w:rPr>
          <w:color w:val="231F20"/>
          <w:w w:val="95"/>
        </w:rPr>
        <w:t xml:space="preserve">tal to the experiences sought by </w:t>
      </w:r>
      <w:r>
        <w:rPr>
          <w:color w:val="231F20"/>
        </w:rPr>
        <w:t xml:space="preserve">this market segment (Richards, 1996). By contrast, the decision-making process of less experienced skiers was influenced more by price and accommodation. Participants in scuba diving (Tabata, 1992) and sport fishing (Roehl </w:t>
      </w:r>
      <w:r>
        <w:rPr>
          <w:i/>
          <w:color w:val="231F20"/>
        </w:rPr>
        <w:t>et al</w:t>
      </w:r>
      <w:r>
        <w:rPr>
          <w:color w:val="231F20"/>
        </w:rPr>
        <w:t xml:space="preserve">., 1993) give increasing priority to the quality of the </w:t>
      </w:r>
      <w:r>
        <w:rPr>
          <w:color w:val="231F20"/>
          <w:w w:val="95"/>
        </w:rPr>
        <w:t>sport</w:t>
      </w:r>
      <w:r>
        <w:rPr>
          <w:color w:val="231F20"/>
          <w:spacing w:val="-7"/>
          <w:w w:val="95"/>
        </w:rPr>
        <w:t xml:space="preserve"> </w:t>
      </w:r>
      <w:r>
        <w:rPr>
          <w:color w:val="231F20"/>
          <w:w w:val="95"/>
        </w:rPr>
        <w:t>experience</w:t>
      </w:r>
      <w:r>
        <w:rPr>
          <w:color w:val="231F20"/>
          <w:spacing w:val="-7"/>
          <w:w w:val="95"/>
        </w:rPr>
        <w:t xml:space="preserve"> </w:t>
      </w:r>
      <w:r>
        <w:rPr>
          <w:color w:val="231F20"/>
          <w:w w:val="95"/>
        </w:rPr>
        <w:t>over</w:t>
      </w:r>
      <w:r>
        <w:rPr>
          <w:color w:val="231F20"/>
          <w:spacing w:val="-7"/>
          <w:w w:val="95"/>
        </w:rPr>
        <w:t xml:space="preserve"> </w:t>
      </w:r>
      <w:r>
        <w:rPr>
          <w:color w:val="231F20"/>
          <w:w w:val="95"/>
        </w:rPr>
        <w:t>other</w:t>
      </w:r>
      <w:r>
        <w:rPr>
          <w:color w:val="231F20"/>
          <w:spacing w:val="-7"/>
          <w:w w:val="95"/>
        </w:rPr>
        <w:t xml:space="preserve"> </w:t>
      </w:r>
      <w:r>
        <w:rPr>
          <w:color w:val="231F20"/>
          <w:w w:val="95"/>
        </w:rPr>
        <w:t>aspects</w:t>
      </w:r>
      <w:r>
        <w:rPr>
          <w:color w:val="231F20"/>
          <w:spacing w:val="-7"/>
          <w:w w:val="95"/>
        </w:rPr>
        <w:t xml:space="preserve"> </w:t>
      </w:r>
      <w:r>
        <w:rPr>
          <w:color w:val="231F20"/>
          <w:w w:val="95"/>
        </w:rPr>
        <w:t>of</w:t>
      </w:r>
      <w:r>
        <w:rPr>
          <w:color w:val="231F20"/>
          <w:spacing w:val="-7"/>
          <w:w w:val="95"/>
        </w:rPr>
        <w:t xml:space="preserve"> </w:t>
      </w:r>
      <w:r>
        <w:rPr>
          <w:color w:val="231F20"/>
          <w:w w:val="95"/>
        </w:rPr>
        <w:t>the</w:t>
      </w:r>
      <w:r>
        <w:rPr>
          <w:color w:val="231F20"/>
          <w:spacing w:val="-7"/>
          <w:w w:val="95"/>
        </w:rPr>
        <w:t xml:space="preserve"> </w:t>
      </w:r>
      <w:r>
        <w:rPr>
          <w:color w:val="231F20"/>
          <w:w w:val="95"/>
        </w:rPr>
        <w:t>visitor</w:t>
      </w:r>
      <w:r>
        <w:rPr>
          <w:color w:val="231F20"/>
          <w:spacing w:val="-7"/>
          <w:w w:val="95"/>
        </w:rPr>
        <w:t xml:space="preserve"> </w:t>
      </w:r>
      <w:r>
        <w:rPr>
          <w:color w:val="231F20"/>
          <w:w w:val="95"/>
        </w:rPr>
        <w:t>experience</w:t>
      </w:r>
      <w:r>
        <w:rPr>
          <w:color w:val="231F20"/>
          <w:spacing w:val="-7"/>
          <w:w w:val="95"/>
        </w:rPr>
        <w:t xml:space="preserve"> </w:t>
      </w:r>
      <w:r>
        <w:rPr>
          <w:color w:val="231F20"/>
          <w:w w:val="95"/>
        </w:rPr>
        <w:t>as</w:t>
      </w:r>
      <w:r>
        <w:rPr>
          <w:color w:val="231F20"/>
          <w:spacing w:val="-7"/>
          <w:w w:val="95"/>
        </w:rPr>
        <w:t xml:space="preserve"> </w:t>
      </w:r>
      <w:r>
        <w:rPr>
          <w:color w:val="231F20"/>
          <w:w w:val="95"/>
        </w:rPr>
        <w:t>they</w:t>
      </w:r>
      <w:r>
        <w:rPr>
          <w:color w:val="231F20"/>
          <w:spacing w:val="-7"/>
          <w:w w:val="95"/>
        </w:rPr>
        <w:t xml:space="preserve"> </w:t>
      </w:r>
      <w:r>
        <w:rPr>
          <w:color w:val="231F20"/>
          <w:w w:val="95"/>
        </w:rPr>
        <w:t xml:space="preserve">become </w:t>
      </w:r>
      <w:r>
        <w:rPr>
          <w:color w:val="231F20"/>
        </w:rPr>
        <w:t>more experienced in their sports. These studies confirm the importance of</w:t>
      </w:r>
      <w:r>
        <w:rPr>
          <w:color w:val="231F20"/>
          <w:spacing w:val="-9"/>
        </w:rPr>
        <w:t xml:space="preserve"> </w:t>
      </w:r>
      <w:r>
        <w:rPr>
          <w:color w:val="231F20"/>
        </w:rPr>
        <w:t>motivations</w:t>
      </w:r>
      <w:r>
        <w:rPr>
          <w:color w:val="231F20"/>
          <w:spacing w:val="-9"/>
        </w:rPr>
        <w:t xml:space="preserve"> </w:t>
      </w:r>
      <w:r>
        <w:rPr>
          <w:color w:val="231F20"/>
        </w:rPr>
        <w:t>and</w:t>
      </w:r>
      <w:r>
        <w:rPr>
          <w:color w:val="231F20"/>
          <w:spacing w:val="-9"/>
        </w:rPr>
        <w:t xml:space="preserve"> </w:t>
      </w:r>
      <w:r>
        <w:rPr>
          <w:color w:val="231F20"/>
        </w:rPr>
        <w:t>behavioural</w:t>
      </w:r>
      <w:r>
        <w:rPr>
          <w:color w:val="231F20"/>
          <w:spacing w:val="-9"/>
        </w:rPr>
        <w:t xml:space="preserve"> </w:t>
      </w:r>
      <w:r>
        <w:rPr>
          <w:color w:val="231F20"/>
        </w:rPr>
        <w:t>profiles</w:t>
      </w:r>
      <w:r>
        <w:rPr>
          <w:color w:val="231F20"/>
          <w:spacing w:val="-9"/>
        </w:rPr>
        <w:t xml:space="preserve"> </w:t>
      </w:r>
      <w:r>
        <w:rPr>
          <w:color w:val="231F20"/>
        </w:rPr>
        <w:t>when</w:t>
      </w:r>
      <w:r>
        <w:rPr>
          <w:color w:val="231F20"/>
          <w:spacing w:val="-9"/>
        </w:rPr>
        <w:t xml:space="preserve"> </w:t>
      </w:r>
      <w:r>
        <w:rPr>
          <w:color w:val="231F20"/>
        </w:rPr>
        <w:t>un</w:t>
      </w:r>
      <w:r>
        <w:rPr>
          <w:color w:val="231F20"/>
        </w:rPr>
        <w:t>dertaking</w:t>
      </w:r>
      <w:r>
        <w:rPr>
          <w:color w:val="231F20"/>
          <w:spacing w:val="-9"/>
        </w:rPr>
        <w:t xml:space="preserve"> </w:t>
      </w:r>
      <w:r>
        <w:rPr>
          <w:color w:val="231F20"/>
        </w:rPr>
        <w:t>sport</w:t>
      </w:r>
      <w:r>
        <w:rPr>
          <w:color w:val="231F20"/>
          <w:spacing w:val="-9"/>
        </w:rPr>
        <w:t xml:space="preserve"> </w:t>
      </w:r>
      <w:r>
        <w:rPr>
          <w:color w:val="231F20"/>
        </w:rPr>
        <w:t>tourism market analyses (Davies &amp; Williment, 2010).</w:t>
      </w:r>
    </w:p>
    <w:p w14:paraId="2C03D4DE" w14:textId="77777777" w:rsidR="00AE0598" w:rsidRDefault="00AE0598">
      <w:pPr>
        <w:pStyle w:val="Corpodetexto"/>
        <w:spacing w:before="5"/>
        <w:rPr>
          <w:sz w:val="22"/>
        </w:rPr>
      </w:pPr>
    </w:p>
    <w:p w14:paraId="2A0A17B3" w14:textId="77777777" w:rsidR="00AE0598" w:rsidRDefault="0069255A">
      <w:pPr>
        <w:ind w:left="110"/>
        <w:jc w:val="both"/>
        <w:rPr>
          <w:rFonts w:ascii="Trebuchet MS"/>
          <w:b/>
          <w:sz w:val="20"/>
        </w:rPr>
      </w:pPr>
      <w:r>
        <w:rPr>
          <w:rFonts w:ascii="Trebuchet MS"/>
          <w:b/>
          <w:color w:val="231F20"/>
          <w:sz w:val="20"/>
        </w:rPr>
        <w:t>Heritage</w:t>
      </w:r>
      <w:r>
        <w:rPr>
          <w:rFonts w:ascii="Trebuchet MS"/>
          <w:b/>
          <w:color w:val="231F20"/>
          <w:spacing w:val="13"/>
          <w:sz w:val="20"/>
        </w:rPr>
        <w:t xml:space="preserve"> </w:t>
      </w:r>
      <w:r>
        <w:rPr>
          <w:rFonts w:ascii="Trebuchet MS"/>
          <w:b/>
          <w:color w:val="231F20"/>
          <w:sz w:val="20"/>
        </w:rPr>
        <w:t>Sport</w:t>
      </w:r>
      <w:r>
        <w:rPr>
          <w:rFonts w:ascii="Trebuchet MS"/>
          <w:b/>
          <w:color w:val="231F20"/>
          <w:spacing w:val="13"/>
          <w:sz w:val="20"/>
        </w:rPr>
        <w:t xml:space="preserve"> </w:t>
      </w:r>
      <w:r>
        <w:rPr>
          <w:rFonts w:ascii="Trebuchet MS"/>
          <w:b/>
          <w:color w:val="231F20"/>
          <w:spacing w:val="-2"/>
          <w:sz w:val="20"/>
        </w:rPr>
        <w:t>Tourism</w:t>
      </w:r>
    </w:p>
    <w:p w14:paraId="603BF9B4" w14:textId="77777777" w:rsidR="00AE0598" w:rsidRDefault="0069255A">
      <w:pPr>
        <w:pStyle w:val="Corpodetexto"/>
        <w:spacing w:before="122" w:line="232" w:lineRule="auto"/>
        <w:ind w:left="110" w:right="127" w:firstLine="320"/>
        <w:jc w:val="both"/>
      </w:pPr>
      <w:r>
        <w:rPr>
          <w:color w:val="231F20"/>
        </w:rPr>
        <w:t>Within our fourfold classification, heritage sport tourism is the least researched, although some important contributions to the published literature now exist (Gammon &amp; Ramshaw, 2013). This form of sport tourism includes tourist visitation to sport museum</w:t>
      </w:r>
      <w:r>
        <w:rPr>
          <w:color w:val="231F20"/>
        </w:rPr>
        <w:t>s, halls of fame, themed bars and restaurants, heritage events and sports reunions (also see</w:t>
      </w:r>
      <w:r>
        <w:rPr>
          <w:color w:val="231F20"/>
          <w:spacing w:val="-8"/>
        </w:rPr>
        <w:t xml:space="preserve"> </w:t>
      </w:r>
      <w:r>
        <w:rPr>
          <w:color w:val="231F20"/>
        </w:rPr>
        <w:t>Chapter</w:t>
      </w:r>
      <w:r>
        <w:rPr>
          <w:color w:val="231F20"/>
          <w:spacing w:val="-8"/>
        </w:rPr>
        <w:t xml:space="preserve"> </w:t>
      </w:r>
      <w:r>
        <w:rPr>
          <w:color w:val="231F20"/>
        </w:rPr>
        <w:t>10).</w:t>
      </w:r>
      <w:r>
        <w:rPr>
          <w:color w:val="231F20"/>
          <w:spacing w:val="-8"/>
        </w:rPr>
        <w:t xml:space="preserve"> </w:t>
      </w:r>
      <w:r>
        <w:rPr>
          <w:color w:val="231F20"/>
        </w:rPr>
        <w:t>Heritage</w:t>
      </w:r>
      <w:r>
        <w:rPr>
          <w:color w:val="231F20"/>
          <w:spacing w:val="-8"/>
        </w:rPr>
        <w:t xml:space="preserve"> </w:t>
      </w:r>
      <w:r>
        <w:rPr>
          <w:color w:val="231F20"/>
        </w:rPr>
        <w:t>is</w:t>
      </w:r>
      <w:r>
        <w:rPr>
          <w:color w:val="231F20"/>
          <w:spacing w:val="-8"/>
        </w:rPr>
        <w:t xml:space="preserve"> </w:t>
      </w:r>
      <w:r>
        <w:rPr>
          <w:color w:val="231F20"/>
        </w:rPr>
        <w:t>a</w:t>
      </w:r>
      <w:r>
        <w:rPr>
          <w:color w:val="231F20"/>
          <w:spacing w:val="-8"/>
        </w:rPr>
        <w:t xml:space="preserve"> </w:t>
      </w:r>
      <w:r>
        <w:rPr>
          <w:color w:val="231F20"/>
        </w:rPr>
        <w:t>rapidly</w:t>
      </w:r>
      <w:r>
        <w:rPr>
          <w:color w:val="231F20"/>
          <w:spacing w:val="-8"/>
        </w:rPr>
        <w:t xml:space="preserve"> </w:t>
      </w:r>
      <w:r>
        <w:rPr>
          <w:color w:val="231F20"/>
        </w:rPr>
        <w:t>developing</w:t>
      </w:r>
      <w:r>
        <w:rPr>
          <w:color w:val="231F20"/>
          <w:spacing w:val="-8"/>
        </w:rPr>
        <w:t xml:space="preserve"> </w:t>
      </w:r>
      <w:r>
        <w:rPr>
          <w:color w:val="231F20"/>
        </w:rPr>
        <w:t>aspect</w:t>
      </w:r>
      <w:r>
        <w:rPr>
          <w:color w:val="231F20"/>
          <w:spacing w:val="-8"/>
        </w:rPr>
        <w:t xml:space="preserve"> </w:t>
      </w:r>
      <w:r>
        <w:rPr>
          <w:color w:val="231F20"/>
        </w:rPr>
        <w:t>of</w:t>
      </w:r>
      <w:r>
        <w:rPr>
          <w:color w:val="231F20"/>
          <w:spacing w:val="-8"/>
        </w:rPr>
        <w:t xml:space="preserve"> </w:t>
      </w:r>
      <w:r>
        <w:rPr>
          <w:color w:val="231F20"/>
        </w:rPr>
        <w:t>sport</w:t>
      </w:r>
      <w:r>
        <w:rPr>
          <w:color w:val="231F20"/>
          <w:spacing w:val="-8"/>
        </w:rPr>
        <w:t xml:space="preserve"> </w:t>
      </w:r>
      <w:r>
        <w:rPr>
          <w:color w:val="231F20"/>
        </w:rPr>
        <w:t xml:space="preserve">tourism. </w:t>
      </w:r>
      <w:r>
        <w:rPr>
          <w:color w:val="231F20"/>
          <w:w w:val="95"/>
        </w:rPr>
        <w:t xml:space="preserve">Gammon (2002) discusses the commercialisation of the past in tourism and </w:t>
      </w:r>
      <w:r>
        <w:rPr>
          <w:color w:val="231F20"/>
        </w:rPr>
        <w:t>relates</w:t>
      </w:r>
      <w:r>
        <w:rPr>
          <w:color w:val="231F20"/>
          <w:spacing w:val="-1"/>
        </w:rPr>
        <w:t xml:space="preserve"> </w:t>
      </w:r>
      <w:r>
        <w:rPr>
          <w:color w:val="231F20"/>
        </w:rPr>
        <w:t>this</w:t>
      </w:r>
      <w:r>
        <w:rPr>
          <w:color w:val="231F20"/>
          <w:spacing w:val="-1"/>
        </w:rPr>
        <w:t xml:space="preserve"> </w:t>
      </w:r>
      <w:r>
        <w:rPr>
          <w:color w:val="231F20"/>
        </w:rPr>
        <w:t>to</w:t>
      </w:r>
      <w:r>
        <w:rPr>
          <w:color w:val="231F20"/>
          <w:spacing w:val="-1"/>
        </w:rPr>
        <w:t xml:space="preserve"> </w:t>
      </w:r>
      <w:r>
        <w:rPr>
          <w:color w:val="231F20"/>
        </w:rPr>
        <w:t>spo</w:t>
      </w:r>
      <w:r>
        <w:rPr>
          <w:color w:val="231F20"/>
        </w:rPr>
        <w:t>rt</w:t>
      </w:r>
      <w:r>
        <w:rPr>
          <w:color w:val="231F20"/>
          <w:spacing w:val="-1"/>
        </w:rPr>
        <w:t xml:space="preserve"> </w:t>
      </w:r>
      <w:r>
        <w:rPr>
          <w:color w:val="231F20"/>
        </w:rPr>
        <w:t>tourism.</w:t>
      </w:r>
      <w:r>
        <w:rPr>
          <w:color w:val="231F20"/>
          <w:spacing w:val="-1"/>
        </w:rPr>
        <w:t xml:space="preserve"> </w:t>
      </w:r>
      <w:r>
        <w:rPr>
          <w:color w:val="231F20"/>
        </w:rPr>
        <w:t>He</w:t>
      </w:r>
      <w:r>
        <w:rPr>
          <w:color w:val="231F20"/>
          <w:spacing w:val="-1"/>
        </w:rPr>
        <w:t xml:space="preserve"> </w:t>
      </w:r>
      <w:r>
        <w:rPr>
          <w:color w:val="231F20"/>
        </w:rPr>
        <w:t>documents</w:t>
      </w:r>
      <w:r>
        <w:rPr>
          <w:color w:val="231F20"/>
          <w:spacing w:val="-1"/>
        </w:rPr>
        <w:t xml:space="preserve"> </w:t>
      </w:r>
      <w:r>
        <w:rPr>
          <w:color w:val="231F20"/>
        </w:rPr>
        <w:t>the</w:t>
      </w:r>
      <w:r>
        <w:rPr>
          <w:color w:val="231F20"/>
          <w:spacing w:val="-1"/>
        </w:rPr>
        <w:t xml:space="preserve"> </w:t>
      </w:r>
      <w:r>
        <w:rPr>
          <w:color w:val="231F20"/>
        </w:rPr>
        <w:t>growth</w:t>
      </w:r>
      <w:r>
        <w:rPr>
          <w:color w:val="231F20"/>
          <w:spacing w:val="-1"/>
        </w:rPr>
        <w:t xml:space="preserve"> </w:t>
      </w:r>
      <w:r>
        <w:rPr>
          <w:color w:val="231F20"/>
        </w:rPr>
        <w:t>of</w:t>
      </w:r>
      <w:r>
        <w:rPr>
          <w:color w:val="231F20"/>
          <w:spacing w:val="-1"/>
        </w:rPr>
        <w:t xml:space="preserve"> </w:t>
      </w:r>
      <w:r>
        <w:rPr>
          <w:color w:val="231F20"/>
        </w:rPr>
        <w:t>heritage</w:t>
      </w:r>
      <w:r>
        <w:rPr>
          <w:color w:val="231F20"/>
          <w:spacing w:val="-1"/>
        </w:rPr>
        <w:t xml:space="preserve"> </w:t>
      </w:r>
      <w:r>
        <w:rPr>
          <w:color w:val="231F20"/>
        </w:rPr>
        <w:t>sport tourism with reference to the mature sport nostalgia industry in North America</w:t>
      </w:r>
      <w:r>
        <w:rPr>
          <w:color w:val="231F20"/>
          <w:spacing w:val="-5"/>
        </w:rPr>
        <w:t xml:space="preserve"> </w:t>
      </w:r>
      <w:r>
        <w:rPr>
          <w:color w:val="231F20"/>
        </w:rPr>
        <w:t>(Gibson,</w:t>
      </w:r>
      <w:r>
        <w:rPr>
          <w:color w:val="231F20"/>
          <w:spacing w:val="-5"/>
        </w:rPr>
        <w:t xml:space="preserve"> </w:t>
      </w:r>
      <w:r>
        <w:rPr>
          <w:color w:val="231F20"/>
        </w:rPr>
        <w:t>2002;</w:t>
      </w:r>
      <w:r>
        <w:rPr>
          <w:color w:val="231F20"/>
          <w:spacing w:val="-5"/>
        </w:rPr>
        <w:t xml:space="preserve"> </w:t>
      </w:r>
      <w:r>
        <w:rPr>
          <w:color w:val="231F20"/>
        </w:rPr>
        <w:t>Redmond,</w:t>
      </w:r>
      <w:r>
        <w:rPr>
          <w:color w:val="231F20"/>
          <w:spacing w:val="-5"/>
        </w:rPr>
        <w:t xml:space="preserve"> </w:t>
      </w:r>
      <w:r>
        <w:rPr>
          <w:color w:val="231F20"/>
        </w:rPr>
        <w:t>1990).</w:t>
      </w:r>
      <w:r>
        <w:rPr>
          <w:color w:val="231F20"/>
          <w:spacing w:val="-5"/>
        </w:rPr>
        <w:t xml:space="preserve"> </w:t>
      </w:r>
      <w:r>
        <w:rPr>
          <w:color w:val="231F20"/>
        </w:rPr>
        <w:t>The</w:t>
      </w:r>
      <w:r>
        <w:rPr>
          <w:color w:val="231F20"/>
          <w:spacing w:val="-5"/>
        </w:rPr>
        <w:t xml:space="preserve"> </w:t>
      </w:r>
      <w:r>
        <w:rPr>
          <w:color w:val="231F20"/>
        </w:rPr>
        <w:t>resource</w:t>
      </w:r>
      <w:r>
        <w:rPr>
          <w:color w:val="231F20"/>
          <w:spacing w:val="-5"/>
        </w:rPr>
        <w:t xml:space="preserve"> </w:t>
      </w:r>
      <w:r>
        <w:rPr>
          <w:color w:val="231F20"/>
        </w:rPr>
        <w:t>base</w:t>
      </w:r>
      <w:r>
        <w:rPr>
          <w:color w:val="231F20"/>
          <w:spacing w:val="-5"/>
        </w:rPr>
        <w:t xml:space="preserve"> </w:t>
      </w:r>
      <w:r>
        <w:rPr>
          <w:color w:val="231F20"/>
        </w:rPr>
        <w:t>for</w:t>
      </w:r>
      <w:r>
        <w:rPr>
          <w:color w:val="231F20"/>
          <w:spacing w:val="-5"/>
        </w:rPr>
        <w:t xml:space="preserve"> </w:t>
      </w:r>
      <w:r>
        <w:rPr>
          <w:color w:val="231F20"/>
        </w:rPr>
        <w:t xml:space="preserve">heritage sport tourism focuses particularly on halls of fame and sport museums. While the former venerate the famous, the gifted or the exceptional, the </w:t>
      </w:r>
      <w:r>
        <w:rPr>
          <w:color w:val="231F20"/>
          <w:w w:val="95"/>
        </w:rPr>
        <w:t>latter</w:t>
      </w:r>
      <w:r>
        <w:rPr>
          <w:color w:val="231F20"/>
          <w:spacing w:val="-7"/>
          <w:w w:val="95"/>
        </w:rPr>
        <w:t xml:space="preserve"> </w:t>
      </w:r>
      <w:r>
        <w:rPr>
          <w:color w:val="231F20"/>
          <w:w w:val="95"/>
        </w:rPr>
        <w:t>contain</w:t>
      </w:r>
      <w:r>
        <w:rPr>
          <w:color w:val="231F20"/>
          <w:spacing w:val="-7"/>
          <w:w w:val="95"/>
        </w:rPr>
        <w:t xml:space="preserve"> </w:t>
      </w:r>
      <w:r>
        <w:rPr>
          <w:color w:val="231F20"/>
          <w:w w:val="95"/>
        </w:rPr>
        <w:t>collections</w:t>
      </w:r>
      <w:r>
        <w:rPr>
          <w:color w:val="231F20"/>
          <w:spacing w:val="-7"/>
          <w:w w:val="95"/>
        </w:rPr>
        <w:t xml:space="preserve"> </w:t>
      </w:r>
      <w:r>
        <w:rPr>
          <w:color w:val="231F20"/>
          <w:w w:val="95"/>
        </w:rPr>
        <w:t>of</w:t>
      </w:r>
      <w:r>
        <w:rPr>
          <w:color w:val="231F20"/>
          <w:spacing w:val="-7"/>
          <w:w w:val="95"/>
        </w:rPr>
        <w:t xml:space="preserve"> </w:t>
      </w:r>
      <w:r>
        <w:rPr>
          <w:color w:val="231F20"/>
          <w:w w:val="95"/>
        </w:rPr>
        <w:t>artefacts</w:t>
      </w:r>
      <w:r>
        <w:rPr>
          <w:color w:val="231F20"/>
          <w:spacing w:val="-7"/>
          <w:w w:val="95"/>
        </w:rPr>
        <w:t xml:space="preserve"> </w:t>
      </w:r>
      <w:r>
        <w:rPr>
          <w:color w:val="231F20"/>
          <w:w w:val="95"/>
        </w:rPr>
        <w:t>and</w:t>
      </w:r>
      <w:r>
        <w:rPr>
          <w:color w:val="231F20"/>
          <w:spacing w:val="-7"/>
          <w:w w:val="95"/>
        </w:rPr>
        <w:t xml:space="preserve"> </w:t>
      </w:r>
      <w:r>
        <w:rPr>
          <w:color w:val="231F20"/>
          <w:w w:val="95"/>
        </w:rPr>
        <w:t>memorabilia</w:t>
      </w:r>
      <w:r>
        <w:rPr>
          <w:color w:val="231F20"/>
          <w:spacing w:val="-7"/>
          <w:w w:val="95"/>
        </w:rPr>
        <w:t xml:space="preserve"> </w:t>
      </w:r>
      <w:r>
        <w:rPr>
          <w:color w:val="231F20"/>
          <w:w w:val="95"/>
        </w:rPr>
        <w:t>that</w:t>
      </w:r>
      <w:r>
        <w:rPr>
          <w:color w:val="231F20"/>
          <w:spacing w:val="-7"/>
          <w:w w:val="95"/>
        </w:rPr>
        <w:t xml:space="preserve"> </w:t>
      </w:r>
      <w:r>
        <w:rPr>
          <w:color w:val="231F20"/>
          <w:w w:val="95"/>
        </w:rPr>
        <w:t>celebrate</w:t>
      </w:r>
      <w:r>
        <w:rPr>
          <w:color w:val="231F20"/>
          <w:spacing w:val="-7"/>
          <w:w w:val="95"/>
        </w:rPr>
        <w:t xml:space="preserve"> </w:t>
      </w:r>
      <w:r>
        <w:rPr>
          <w:color w:val="231F20"/>
          <w:w w:val="95"/>
        </w:rPr>
        <w:t>a</w:t>
      </w:r>
      <w:r>
        <w:rPr>
          <w:color w:val="231F20"/>
          <w:spacing w:val="-7"/>
          <w:w w:val="95"/>
        </w:rPr>
        <w:t xml:space="preserve"> </w:t>
      </w:r>
      <w:r>
        <w:rPr>
          <w:color w:val="231F20"/>
          <w:w w:val="95"/>
        </w:rPr>
        <w:t>sport, rather than high perfor</w:t>
      </w:r>
      <w:r>
        <w:rPr>
          <w:color w:val="231F20"/>
          <w:w w:val="95"/>
        </w:rPr>
        <w:t xml:space="preserve">ming individuals or teams within a sport (Gammon, 2002). The growth in demand for sport heritage extends to stadium tours </w:t>
      </w:r>
      <w:r>
        <w:rPr>
          <w:color w:val="231F20"/>
        </w:rPr>
        <w:t>and</w:t>
      </w:r>
      <w:r>
        <w:rPr>
          <w:color w:val="231F20"/>
          <w:spacing w:val="-7"/>
        </w:rPr>
        <w:t xml:space="preserve"> </w:t>
      </w:r>
      <w:r>
        <w:rPr>
          <w:color w:val="231F20"/>
        </w:rPr>
        <w:t>various</w:t>
      </w:r>
      <w:r>
        <w:rPr>
          <w:color w:val="231F20"/>
          <w:spacing w:val="-7"/>
        </w:rPr>
        <w:t xml:space="preserve"> </w:t>
      </w:r>
      <w:r>
        <w:rPr>
          <w:color w:val="231F20"/>
        </w:rPr>
        <w:t>other</w:t>
      </w:r>
      <w:r>
        <w:rPr>
          <w:color w:val="231F20"/>
          <w:spacing w:val="-7"/>
        </w:rPr>
        <w:t xml:space="preserve"> </w:t>
      </w:r>
      <w:r>
        <w:rPr>
          <w:color w:val="231F20"/>
        </w:rPr>
        <w:t>forms</w:t>
      </w:r>
      <w:r>
        <w:rPr>
          <w:color w:val="231F20"/>
          <w:spacing w:val="-7"/>
        </w:rPr>
        <w:t xml:space="preserve"> </w:t>
      </w:r>
      <w:r>
        <w:rPr>
          <w:color w:val="231F20"/>
        </w:rPr>
        <w:t>of</w:t>
      </w:r>
      <w:r>
        <w:rPr>
          <w:color w:val="231F20"/>
          <w:spacing w:val="-7"/>
        </w:rPr>
        <w:t xml:space="preserve"> </w:t>
      </w:r>
      <w:r>
        <w:rPr>
          <w:color w:val="231F20"/>
        </w:rPr>
        <w:t>heritage</w:t>
      </w:r>
      <w:r>
        <w:rPr>
          <w:color w:val="231F20"/>
          <w:spacing w:val="-7"/>
        </w:rPr>
        <w:t xml:space="preserve"> </w:t>
      </w:r>
      <w:r>
        <w:rPr>
          <w:color w:val="231F20"/>
        </w:rPr>
        <w:t>engagement</w:t>
      </w:r>
      <w:r>
        <w:rPr>
          <w:color w:val="231F20"/>
          <w:spacing w:val="-7"/>
        </w:rPr>
        <w:t xml:space="preserve"> </w:t>
      </w:r>
      <w:r>
        <w:rPr>
          <w:color w:val="231F20"/>
        </w:rPr>
        <w:t>(Gammon</w:t>
      </w:r>
      <w:r>
        <w:rPr>
          <w:color w:val="231F20"/>
          <w:spacing w:val="-7"/>
        </w:rPr>
        <w:t xml:space="preserve"> </w:t>
      </w:r>
      <w:r>
        <w:rPr>
          <w:color w:val="231F20"/>
        </w:rPr>
        <w:t>&amp;</w:t>
      </w:r>
      <w:r>
        <w:rPr>
          <w:color w:val="231F20"/>
          <w:spacing w:val="-7"/>
        </w:rPr>
        <w:t xml:space="preserve"> </w:t>
      </w:r>
      <w:r>
        <w:rPr>
          <w:color w:val="231F20"/>
        </w:rPr>
        <w:t>Fear,</w:t>
      </w:r>
      <w:r>
        <w:rPr>
          <w:color w:val="231F20"/>
          <w:spacing w:val="-7"/>
        </w:rPr>
        <w:t xml:space="preserve"> </w:t>
      </w:r>
      <w:r>
        <w:rPr>
          <w:color w:val="231F20"/>
        </w:rPr>
        <w:t>2005; Ramshaw &amp; Gammon, 2010), although this growth in tourist demand i</w:t>
      </w:r>
      <w:r>
        <w:rPr>
          <w:color w:val="231F20"/>
        </w:rPr>
        <w:t>s not</w:t>
      </w:r>
      <w:r>
        <w:rPr>
          <w:color w:val="231F20"/>
          <w:spacing w:val="-5"/>
        </w:rPr>
        <w:t xml:space="preserve"> </w:t>
      </w:r>
      <w:r>
        <w:rPr>
          <w:color w:val="231F20"/>
        </w:rPr>
        <w:t>yet</w:t>
      </w:r>
      <w:r>
        <w:rPr>
          <w:color w:val="231F20"/>
          <w:spacing w:val="-5"/>
        </w:rPr>
        <w:t xml:space="preserve"> </w:t>
      </w:r>
      <w:r>
        <w:rPr>
          <w:color w:val="231F20"/>
        </w:rPr>
        <w:t>reflected</w:t>
      </w:r>
      <w:r>
        <w:rPr>
          <w:color w:val="231F20"/>
          <w:spacing w:val="-5"/>
        </w:rPr>
        <w:t xml:space="preserve"> </w:t>
      </w:r>
      <w:r>
        <w:rPr>
          <w:color w:val="231F20"/>
        </w:rPr>
        <w:t>in</w:t>
      </w:r>
      <w:r>
        <w:rPr>
          <w:color w:val="231F20"/>
          <w:spacing w:val="-4"/>
        </w:rPr>
        <w:t xml:space="preserve"> </w:t>
      </w:r>
      <w:r>
        <w:rPr>
          <w:color w:val="231F20"/>
        </w:rPr>
        <w:t>a</w:t>
      </w:r>
      <w:r>
        <w:rPr>
          <w:color w:val="231F20"/>
          <w:spacing w:val="-5"/>
        </w:rPr>
        <w:t xml:space="preserve"> </w:t>
      </w:r>
      <w:r>
        <w:rPr>
          <w:color w:val="231F20"/>
        </w:rPr>
        <w:t>large</w:t>
      </w:r>
      <w:r>
        <w:rPr>
          <w:color w:val="231F20"/>
          <w:spacing w:val="-5"/>
        </w:rPr>
        <w:t xml:space="preserve"> </w:t>
      </w:r>
      <w:r>
        <w:rPr>
          <w:color w:val="231F20"/>
        </w:rPr>
        <w:t>published</w:t>
      </w:r>
      <w:r>
        <w:rPr>
          <w:color w:val="231F20"/>
          <w:spacing w:val="-5"/>
        </w:rPr>
        <w:t xml:space="preserve"> </w:t>
      </w:r>
      <w:r>
        <w:rPr>
          <w:color w:val="231F20"/>
        </w:rPr>
        <w:t>body</w:t>
      </w:r>
      <w:r>
        <w:rPr>
          <w:color w:val="231F20"/>
          <w:spacing w:val="-4"/>
        </w:rPr>
        <w:t xml:space="preserve"> </w:t>
      </w:r>
      <w:r>
        <w:rPr>
          <w:color w:val="231F20"/>
        </w:rPr>
        <w:t>of</w:t>
      </w:r>
      <w:r>
        <w:rPr>
          <w:color w:val="231F20"/>
          <w:spacing w:val="-4"/>
        </w:rPr>
        <w:t xml:space="preserve"> </w:t>
      </w:r>
      <w:r>
        <w:rPr>
          <w:color w:val="231F20"/>
        </w:rPr>
        <w:t>research</w:t>
      </w:r>
      <w:r>
        <w:rPr>
          <w:color w:val="231F20"/>
          <w:spacing w:val="-5"/>
        </w:rPr>
        <w:t xml:space="preserve"> </w:t>
      </w:r>
      <w:r>
        <w:rPr>
          <w:color w:val="231F20"/>
        </w:rPr>
        <w:t>on</w:t>
      </w:r>
      <w:r>
        <w:rPr>
          <w:color w:val="231F20"/>
          <w:spacing w:val="-4"/>
        </w:rPr>
        <w:t xml:space="preserve"> </w:t>
      </w:r>
      <w:r>
        <w:rPr>
          <w:color w:val="231F20"/>
        </w:rPr>
        <w:t>this</w:t>
      </w:r>
      <w:r>
        <w:rPr>
          <w:color w:val="231F20"/>
          <w:spacing w:val="-5"/>
        </w:rPr>
        <w:t xml:space="preserve"> </w:t>
      </w:r>
      <w:r>
        <w:rPr>
          <w:color w:val="231F20"/>
        </w:rPr>
        <w:t>topic.</w:t>
      </w:r>
    </w:p>
    <w:p w14:paraId="77E759C3" w14:textId="77777777" w:rsidR="00AE0598" w:rsidRDefault="0069255A">
      <w:pPr>
        <w:pStyle w:val="Corpodetexto"/>
        <w:spacing w:before="22" w:line="232" w:lineRule="auto"/>
        <w:ind w:left="110" w:right="127" w:firstLine="320"/>
        <w:jc w:val="both"/>
      </w:pPr>
      <w:r>
        <w:rPr>
          <w:color w:val="231F20"/>
        </w:rPr>
        <w:t xml:space="preserve">Nostalgia represents an avenue of sport tourism that has strong </w:t>
      </w:r>
      <w:r>
        <w:rPr>
          <w:color w:val="231F20"/>
          <w:w w:val="95"/>
        </w:rPr>
        <w:t xml:space="preserve">parallels with heritage tourism (Redmond, 1990). Bale (1989) notes that </w:t>
      </w:r>
      <w:r>
        <w:rPr>
          <w:color w:val="231F20"/>
        </w:rPr>
        <w:t>sport</w:t>
      </w:r>
      <w:r>
        <w:rPr>
          <w:color w:val="231F20"/>
          <w:spacing w:val="-5"/>
        </w:rPr>
        <w:t xml:space="preserve"> </w:t>
      </w:r>
      <w:r>
        <w:rPr>
          <w:color w:val="231F20"/>
        </w:rPr>
        <w:t>edifices</w:t>
      </w:r>
      <w:r>
        <w:rPr>
          <w:color w:val="231F20"/>
          <w:spacing w:val="-5"/>
        </w:rPr>
        <w:t xml:space="preserve"> </w:t>
      </w:r>
      <w:r>
        <w:rPr>
          <w:color w:val="231F20"/>
        </w:rPr>
        <w:t>may</w:t>
      </w:r>
      <w:r>
        <w:rPr>
          <w:color w:val="231F20"/>
          <w:spacing w:val="-5"/>
        </w:rPr>
        <w:t xml:space="preserve"> </w:t>
      </w:r>
      <w:r>
        <w:rPr>
          <w:color w:val="231F20"/>
        </w:rPr>
        <w:t>develop</w:t>
      </w:r>
      <w:r>
        <w:rPr>
          <w:color w:val="231F20"/>
          <w:spacing w:val="-5"/>
        </w:rPr>
        <w:t xml:space="preserve"> </w:t>
      </w:r>
      <w:r>
        <w:rPr>
          <w:color w:val="231F20"/>
        </w:rPr>
        <w:t>such</w:t>
      </w:r>
      <w:r>
        <w:rPr>
          <w:color w:val="231F20"/>
          <w:spacing w:val="-5"/>
        </w:rPr>
        <w:t xml:space="preserve"> </w:t>
      </w:r>
      <w:r>
        <w:rPr>
          <w:color w:val="231F20"/>
        </w:rPr>
        <w:t>a</w:t>
      </w:r>
      <w:r>
        <w:rPr>
          <w:color w:val="231F20"/>
          <w:spacing w:val="-5"/>
        </w:rPr>
        <w:t xml:space="preserve"> </w:t>
      </w:r>
      <w:r>
        <w:rPr>
          <w:color w:val="231F20"/>
        </w:rPr>
        <w:t>mystique</w:t>
      </w:r>
      <w:r>
        <w:rPr>
          <w:color w:val="231F20"/>
          <w:spacing w:val="-5"/>
        </w:rPr>
        <w:t xml:space="preserve"> </w:t>
      </w:r>
      <w:r>
        <w:rPr>
          <w:color w:val="231F20"/>
        </w:rPr>
        <w:t>that</w:t>
      </w:r>
      <w:r>
        <w:rPr>
          <w:color w:val="231F20"/>
          <w:spacing w:val="-5"/>
        </w:rPr>
        <w:t xml:space="preserve"> </w:t>
      </w:r>
      <w:r>
        <w:rPr>
          <w:color w:val="231F20"/>
        </w:rPr>
        <w:t>they</w:t>
      </w:r>
      <w:r>
        <w:rPr>
          <w:color w:val="231F20"/>
          <w:spacing w:val="-5"/>
        </w:rPr>
        <w:t xml:space="preserve"> </w:t>
      </w:r>
      <w:r>
        <w:rPr>
          <w:color w:val="231F20"/>
        </w:rPr>
        <w:t>become</w:t>
      </w:r>
      <w:r>
        <w:rPr>
          <w:color w:val="231F20"/>
          <w:spacing w:val="-5"/>
        </w:rPr>
        <w:t xml:space="preserve"> </w:t>
      </w:r>
      <w:r>
        <w:rPr>
          <w:color w:val="231F20"/>
        </w:rPr>
        <w:t>subjects</w:t>
      </w:r>
      <w:r>
        <w:rPr>
          <w:color w:val="231F20"/>
          <w:spacing w:val="-5"/>
        </w:rPr>
        <w:t xml:space="preserve"> </w:t>
      </w:r>
      <w:r>
        <w:rPr>
          <w:color w:val="231F20"/>
        </w:rPr>
        <w:t xml:space="preserve">of visitor attention in their own right. Examples of sports venues that have </w:t>
      </w:r>
      <w:r>
        <w:rPr>
          <w:color w:val="231F20"/>
          <w:w w:val="95"/>
        </w:rPr>
        <w:t>powerful</w:t>
      </w:r>
      <w:r>
        <w:rPr>
          <w:color w:val="231F20"/>
          <w:spacing w:val="31"/>
        </w:rPr>
        <w:t xml:space="preserve"> </w:t>
      </w:r>
      <w:r>
        <w:rPr>
          <w:color w:val="231F20"/>
          <w:w w:val="95"/>
        </w:rPr>
        <w:t>heritage</w:t>
      </w:r>
      <w:r>
        <w:rPr>
          <w:color w:val="231F20"/>
          <w:spacing w:val="32"/>
        </w:rPr>
        <w:t xml:space="preserve"> </w:t>
      </w:r>
      <w:r>
        <w:rPr>
          <w:color w:val="231F20"/>
          <w:w w:val="95"/>
        </w:rPr>
        <w:t>values</w:t>
      </w:r>
      <w:r>
        <w:rPr>
          <w:color w:val="231F20"/>
          <w:spacing w:val="32"/>
        </w:rPr>
        <w:t xml:space="preserve"> </w:t>
      </w:r>
      <w:r>
        <w:rPr>
          <w:color w:val="231F20"/>
          <w:w w:val="95"/>
        </w:rPr>
        <w:t>include</w:t>
      </w:r>
      <w:r>
        <w:rPr>
          <w:color w:val="231F20"/>
          <w:spacing w:val="31"/>
        </w:rPr>
        <w:t xml:space="preserve"> </w:t>
      </w:r>
      <w:r>
        <w:rPr>
          <w:color w:val="231F20"/>
          <w:w w:val="95"/>
        </w:rPr>
        <w:t>Wembley</w:t>
      </w:r>
      <w:r>
        <w:rPr>
          <w:color w:val="231F20"/>
          <w:spacing w:val="32"/>
        </w:rPr>
        <w:t xml:space="preserve"> </w:t>
      </w:r>
      <w:r>
        <w:rPr>
          <w:color w:val="231F20"/>
          <w:w w:val="95"/>
        </w:rPr>
        <w:t>Stadium</w:t>
      </w:r>
      <w:r>
        <w:rPr>
          <w:color w:val="231F20"/>
          <w:spacing w:val="32"/>
        </w:rPr>
        <w:t xml:space="preserve"> </w:t>
      </w:r>
      <w:r>
        <w:rPr>
          <w:color w:val="231F20"/>
          <w:w w:val="95"/>
        </w:rPr>
        <w:t>and</w:t>
      </w:r>
      <w:r>
        <w:rPr>
          <w:color w:val="231F20"/>
          <w:spacing w:val="31"/>
        </w:rPr>
        <w:t xml:space="preserve"> </w:t>
      </w:r>
      <w:r>
        <w:rPr>
          <w:color w:val="231F20"/>
          <w:w w:val="95"/>
        </w:rPr>
        <w:t>the</w:t>
      </w:r>
      <w:r>
        <w:rPr>
          <w:color w:val="231F20"/>
          <w:spacing w:val="32"/>
        </w:rPr>
        <w:t xml:space="preserve"> </w:t>
      </w:r>
      <w:r>
        <w:rPr>
          <w:color w:val="231F20"/>
          <w:spacing w:val="-2"/>
          <w:w w:val="95"/>
        </w:rPr>
        <w:t>Wimbledon</w:t>
      </w:r>
    </w:p>
    <w:p w14:paraId="016B72D9" w14:textId="77777777" w:rsidR="00AE0598" w:rsidRDefault="00AE0598">
      <w:pPr>
        <w:spacing w:line="232" w:lineRule="auto"/>
        <w:jc w:val="both"/>
        <w:sectPr w:rsidR="00AE0598">
          <w:pgSz w:w="8850" w:h="13270"/>
          <w:pgMar w:top="720" w:right="1060" w:bottom="280" w:left="1080" w:header="720" w:footer="720" w:gutter="0"/>
          <w:cols w:space="720"/>
        </w:sectPr>
      </w:pPr>
    </w:p>
    <w:p w14:paraId="12219C9E" w14:textId="77777777" w:rsidR="00AE0598" w:rsidRDefault="0069255A">
      <w:pPr>
        <w:spacing w:before="87"/>
        <w:ind w:left="108"/>
        <w:rPr>
          <w:rFonts w:ascii="Trebuchet MS"/>
          <w:sz w:val="14"/>
        </w:rPr>
      </w:pPr>
      <w:r>
        <w:rPr>
          <w:rFonts w:ascii="Trebuchet MS"/>
          <w:color w:val="231F20"/>
          <w:w w:val="105"/>
          <w:sz w:val="14"/>
        </w:rPr>
        <w:lastRenderedPageBreak/>
        <w:t>60</w:t>
      </w:r>
      <w:r>
        <w:rPr>
          <w:rFonts w:ascii="Trebuchet MS"/>
          <w:color w:val="231F20"/>
          <w:spacing w:val="64"/>
          <w:w w:val="150"/>
          <w:sz w:val="14"/>
        </w:rPr>
        <w:t xml:space="preserve"> </w:t>
      </w:r>
      <w:r>
        <w:rPr>
          <w:rFonts w:ascii="Trebuchet MS"/>
          <w:color w:val="231F20"/>
          <w:w w:val="105"/>
          <w:sz w:val="14"/>
        </w:rPr>
        <w:t>Part</w:t>
      </w:r>
      <w:r>
        <w:rPr>
          <w:rFonts w:ascii="Trebuchet MS"/>
          <w:color w:val="231F20"/>
          <w:spacing w:val="-9"/>
          <w:w w:val="105"/>
          <w:sz w:val="14"/>
        </w:rPr>
        <w:t xml:space="preserve"> </w:t>
      </w:r>
      <w:r>
        <w:rPr>
          <w:rFonts w:ascii="Trebuchet MS"/>
          <w:color w:val="231F20"/>
          <w:w w:val="105"/>
          <w:sz w:val="14"/>
        </w:rPr>
        <w:t>2:</w:t>
      </w:r>
      <w:r>
        <w:rPr>
          <w:rFonts w:ascii="Trebuchet MS"/>
          <w:color w:val="231F20"/>
          <w:spacing w:val="-9"/>
          <w:w w:val="105"/>
          <w:sz w:val="14"/>
        </w:rPr>
        <w:t xml:space="preserve"> </w:t>
      </w:r>
      <w:r>
        <w:rPr>
          <w:rFonts w:ascii="Trebuchet MS"/>
          <w:color w:val="231F20"/>
          <w:w w:val="105"/>
          <w:sz w:val="14"/>
        </w:rPr>
        <w:t>Foundations</w:t>
      </w:r>
      <w:r>
        <w:rPr>
          <w:rFonts w:ascii="Trebuchet MS"/>
          <w:color w:val="231F20"/>
          <w:spacing w:val="-9"/>
          <w:w w:val="105"/>
          <w:sz w:val="14"/>
        </w:rPr>
        <w:t xml:space="preserve"> </w:t>
      </w:r>
      <w:r>
        <w:rPr>
          <w:rFonts w:ascii="Trebuchet MS"/>
          <w:color w:val="231F20"/>
          <w:w w:val="105"/>
          <w:sz w:val="14"/>
        </w:rPr>
        <w:t>of</w:t>
      </w:r>
      <w:r>
        <w:rPr>
          <w:rFonts w:ascii="Trebuchet MS"/>
          <w:color w:val="231F20"/>
          <w:spacing w:val="-9"/>
          <w:w w:val="105"/>
          <w:sz w:val="14"/>
        </w:rPr>
        <w:t xml:space="preserve"> </w:t>
      </w:r>
      <w:r>
        <w:rPr>
          <w:rFonts w:ascii="Trebuchet MS"/>
          <w:color w:val="231F20"/>
          <w:w w:val="105"/>
          <w:sz w:val="14"/>
        </w:rPr>
        <w:t>Sport</w:t>
      </w:r>
      <w:r>
        <w:rPr>
          <w:rFonts w:ascii="Trebuchet MS"/>
          <w:color w:val="231F20"/>
          <w:spacing w:val="-9"/>
          <w:w w:val="105"/>
          <w:sz w:val="14"/>
        </w:rPr>
        <w:t xml:space="preserve"> </w:t>
      </w:r>
      <w:r>
        <w:rPr>
          <w:rFonts w:ascii="Trebuchet MS"/>
          <w:color w:val="231F20"/>
          <w:w w:val="105"/>
          <w:sz w:val="14"/>
        </w:rPr>
        <w:t>Tourism</w:t>
      </w:r>
      <w:r>
        <w:rPr>
          <w:rFonts w:ascii="Trebuchet MS"/>
          <w:color w:val="231F20"/>
          <w:spacing w:val="-9"/>
          <w:w w:val="105"/>
          <w:sz w:val="14"/>
        </w:rPr>
        <w:t xml:space="preserve"> </w:t>
      </w:r>
      <w:r>
        <w:rPr>
          <w:rFonts w:ascii="Trebuchet MS"/>
          <w:color w:val="231F20"/>
          <w:spacing w:val="-2"/>
          <w:w w:val="105"/>
          <w:sz w:val="14"/>
        </w:rPr>
        <w:t>Development</w:t>
      </w:r>
    </w:p>
    <w:p w14:paraId="2E820C34" w14:textId="77777777" w:rsidR="00AE0598" w:rsidRDefault="00AE0598">
      <w:pPr>
        <w:pStyle w:val="Corpodetexto"/>
        <w:rPr>
          <w:rFonts w:ascii="Trebuchet MS"/>
          <w:sz w:val="16"/>
        </w:rPr>
      </w:pPr>
    </w:p>
    <w:p w14:paraId="4E1AEBB6" w14:textId="77777777" w:rsidR="00AE0598" w:rsidRDefault="0069255A">
      <w:pPr>
        <w:pStyle w:val="Corpodetexto"/>
        <w:spacing w:before="118" w:line="232" w:lineRule="auto"/>
        <w:ind w:left="110" w:right="126"/>
        <w:jc w:val="both"/>
      </w:pPr>
      <w:r>
        <w:rPr>
          <w:color w:val="231F20"/>
          <w:w w:val="95"/>
        </w:rPr>
        <w:t>Lawn Tenni</w:t>
      </w:r>
      <w:r>
        <w:rPr>
          <w:color w:val="231F20"/>
          <w:w w:val="95"/>
        </w:rPr>
        <w:t xml:space="preserve">s Club (London), the Athens (1896) and Berlin (1936) Olympic </w:t>
      </w:r>
      <w:r>
        <w:rPr>
          <w:color w:val="231F20"/>
        </w:rPr>
        <w:t>stadiums</w:t>
      </w:r>
      <w:r>
        <w:rPr>
          <w:color w:val="231F20"/>
          <w:spacing w:val="-2"/>
        </w:rPr>
        <w:t xml:space="preserve"> </w:t>
      </w:r>
      <w:r>
        <w:rPr>
          <w:color w:val="231F20"/>
        </w:rPr>
        <w:t>and</w:t>
      </w:r>
      <w:r>
        <w:rPr>
          <w:color w:val="231F20"/>
          <w:spacing w:val="-2"/>
        </w:rPr>
        <w:t xml:space="preserve"> </w:t>
      </w:r>
      <w:r>
        <w:rPr>
          <w:color w:val="231F20"/>
        </w:rPr>
        <w:t>the</w:t>
      </w:r>
      <w:r>
        <w:rPr>
          <w:color w:val="231F20"/>
          <w:spacing w:val="-2"/>
        </w:rPr>
        <w:t xml:space="preserve"> </w:t>
      </w:r>
      <w:r>
        <w:rPr>
          <w:color w:val="231F20"/>
        </w:rPr>
        <w:t>Holmenkollen</w:t>
      </w:r>
      <w:r>
        <w:rPr>
          <w:color w:val="231F20"/>
          <w:spacing w:val="-2"/>
        </w:rPr>
        <w:t xml:space="preserve"> </w:t>
      </w:r>
      <w:r>
        <w:rPr>
          <w:color w:val="231F20"/>
        </w:rPr>
        <w:t>ski</w:t>
      </w:r>
      <w:r>
        <w:rPr>
          <w:color w:val="231F20"/>
          <w:spacing w:val="-2"/>
        </w:rPr>
        <w:t xml:space="preserve"> </w:t>
      </w:r>
      <w:r>
        <w:rPr>
          <w:color w:val="231F20"/>
        </w:rPr>
        <w:t>jump</w:t>
      </w:r>
      <w:r>
        <w:rPr>
          <w:color w:val="231F20"/>
          <w:spacing w:val="-2"/>
        </w:rPr>
        <w:t xml:space="preserve"> </w:t>
      </w:r>
      <w:r>
        <w:rPr>
          <w:color w:val="231F20"/>
        </w:rPr>
        <w:t>(Oslo)</w:t>
      </w:r>
      <w:r>
        <w:rPr>
          <w:color w:val="231F20"/>
          <w:spacing w:val="-2"/>
        </w:rPr>
        <w:t xml:space="preserve"> </w:t>
      </w:r>
      <w:r>
        <w:rPr>
          <w:color w:val="231F20"/>
        </w:rPr>
        <w:t>(Bale,</w:t>
      </w:r>
      <w:r>
        <w:rPr>
          <w:color w:val="231F20"/>
          <w:spacing w:val="-2"/>
        </w:rPr>
        <w:t xml:space="preserve"> </w:t>
      </w:r>
      <w:r>
        <w:rPr>
          <w:color w:val="231F20"/>
        </w:rPr>
        <w:t>1989).</w:t>
      </w:r>
      <w:r>
        <w:rPr>
          <w:color w:val="231F20"/>
          <w:spacing w:val="-2"/>
        </w:rPr>
        <w:t xml:space="preserve"> </w:t>
      </w:r>
      <w:r>
        <w:rPr>
          <w:color w:val="231F20"/>
        </w:rPr>
        <w:t>Numerous questions</w:t>
      </w:r>
      <w:r>
        <w:rPr>
          <w:color w:val="231F20"/>
          <w:spacing w:val="-6"/>
        </w:rPr>
        <w:t xml:space="preserve"> </w:t>
      </w:r>
      <w:r>
        <w:rPr>
          <w:color w:val="231F20"/>
        </w:rPr>
        <w:t>relating</w:t>
      </w:r>
      <w:r>
        <w:rPr>
          <w:color w:val="231F20"/>
          <w:spacing w:val="-6"/>
        </w:rPr>
        <w:t xml:space="preserve"> </w:t>
      </w:r>
      <w:r>
        <w:rPr>
          <w:color w:val="231F20"/>
        </w:rPr>
        <w:t>to</w:t>
      </w:r>
      <w:r>
        <w:rPr>
          <w:color w:val="231F20"/>
          <w:spacing w:val="-6"/>
        </w:rPr>
        <w:t xml:space="preserve"> </w:t>
      </w:r>
      <w:r>
        <w:rPr>
          <w:color w:val="231F20"/>
        </w:rPr>
        <w:t>sport</w:t>
      </w:r>
      <w:r>
        <w:rPr>
          <w:color w:val="231F20"/>
          <w:spacing w:val="-6"/>
        </w:rPr>
        <w:t xml:space="preserve"> </w:t>
      </w:r>
      <w:r>
        <w:rPr>
          <w:color w:val="231F20"/>
        </w:rPr>
        <w:t>heritage</w:t>
      </w:r>
      <w:r>
        <w:rPr>
          <w:color w:val="231F20"/>
          <w:spacing w:val="-6"/>
        </w:rPr>
        <w:t xml:space="preserve"> </w:t>
      </w:r>
      <w:r>
        <w:rPr>
          <w:color w:val="231F20"/>
        </w:rPr>
        <w:t>remain</w:t>
      </w:r>
      <w:r>
        <w:rPr>
          <w:color w:val="231F20"/>
          <w:spacing w:val="-6"/>
        </w:rPr>
        <w:t xml:space="preserve"> </w:t>
      </w:r>
      <w:r>
        <w:rPr>
          <w:color w:val="231F20"/>
        </w:rPr>
        <w:t>unanswered.</w:t>
      </w:r>
      <w:r>
        <w:rPr>
          <w:color w:val="231F20"/>
          <w:spacing w:val="-6"/>
        </w:rPr>
        <w:t xml:space="preserve"> </w:t>
      </w:r>
      <w:r>
        <w:rPr>
          <w:color w:val="231F20"/>
        </w:rPr>
        <w:t>The</w:t>
      </w:r>
      <w:r>
        <w:rPr>
          <w:color w:val="231F20"/>
          <w:spacing w:val="-6"/>
        </w:rPr>
        <w:t xml:space="preserve"> </w:t>
      </w:r>
      <w:r>
        <w:rPr>
          <w:color w:val="231F20"/>
        </w:rPr>
        <w:t>need</w:t>
      </w:r>
      <w:r>
        <w:rPr>
          <w:color w:val="231F20"/>
          <w:spacing w:val="-6"/>
        </w:rPr>
        <w:t xml:space="preserve"> </w:t>
      </w:r>
      <w:r>
        <w:rPr>
          <w:color w:val="231F20"/>
        </w:rPr>
        <w:t>exists to understand why people engage in this form of tourism and how nostalgia</w:t>
      </w:r>
      <w:r>
        <w:rPr>
          <w:color w:val="231F20"/>
          <w:spacing w:val="-2"/>
        </w:rPr>
        <w:t xml:space="preserve"> </w:t>
      </w:r>
      <w:r>
        <w:rPr>
          <w:color w:val="231F20"/>
        </w:rPr>
        <w:t>relates</w:t>
      </w:r>
      <w:r>
        <w:rPr>
          <w:color w:val="231F20"/>
          <w:spacing w:val="-2"/>
        </w:rPr>
        <w:t xml:space="preserve"> </w:t>
      </w:r>
      <w:r>
        <w:rPr>
          <w:color w:val="231F20"/>
        </w:rPr>
        <w:t>to</w:t>
      </w:r>
      <w:r>
        <w:rPr>
          <w:color w:val="231F20"/>
          <w:spacing w:val="-2"/>
        </w:rPr>
        <w:t xml:space="preserve"> </w:t>
      </w:r>
      <w:r>
        <w:rPr>
          <w:color w:val="231F20"/>
        </w:rPr>
        <w:t>other</w:t>
      </w:r>
      <w:r>
        <w:rPr>
          <w:color w:val="231F20"/>
          <w:spacing w:val="-2"/>
        </w:rPr>
        <w:t xml:space="preserve"> </w:t>
      </w:r>
      <w:r>
        <w:rPr>
          <w:color w:val="231F20"/>
        </w:rPr>
        <w:t>forms</w:t>
      </w:r>
      <w:r>
        <w:rPr>
          <w:color w:val="231F20"/>
          <w:spacing w:val="-2"/>
        </w:rPr>
        <w:t xml:space="preserve"> </w:t>
      </w:r>
      <w:r>
        <w:rPr>
          <w:color w:val="231F20"/>
        </w:rPr>
        <w:t>of</w:t>
      </w:r>
      <w:r>
        <w:rPr>
          <w:color w:val="231F20"/>
          <w:spacing w:val="-2"/>
        </w:rPr>
        <w:t xml:space="preserve"> </w:t>
      </w:r>
      <w:r>
        <w:rPr>
          <w:color w:val="231F20"/>
        </w:rPr>
        <w:t>heritage</w:t>
      </w:r>
      <w:r>
        <w:rPr>
          <w:color w:val="231F20"/>
          <w:spacing w:val="-2"/>
        </w:rPr>
        <w:t xml:space="preserve"> </w:t>
      </w:r>
      <w:r>
        <w:rPr>
          <w:color w:val="231F20"/>
        </w:rPr>
        <w:t>tourism</w:t>
      </w:r>
      <w:r>
        <w:rPr>
          <w:color w:val="231F20"/>
          <w:spacing w:val="-2"/>
        </w:rPr>
        <w:t xml:space="preserve"> </w:t>
      </w:r>
      <w:r>
        <w:rPr>
          <w:color w:val="231F20"/>
        </w:rPr>
        <w:t>and</w:t>
      </w:r>
      <w:r>
        <w:rPr>
          <w:color w:val="231F20"/>
          <w:spacing w:val="-2"/>
        </w:rPr>
        <w:t xml:space="preserve"> </w:t>
      </w:r>
      <w:r>
        <w:rPr>
          <w:color w:val="231F20"/>
        </w:rPr>
        <w:t>sport</w:t>
      </w:r>
      <w:r>
        <w:rPr>
          <w:color w:val="231F20"/>
          <w:spacing w:val="-2"/>
        </w:rPr>
        <w:t xml:space="preserve"> </w:t>
      </w:r>
      <w:r>
        <w:rPr>
          <w:color w:val="231F20"/>
        </w:rPr>
        <w:t>tourism</w:t>
      </w:r>
      <w:r>
        <w:rPr>
          <w:color w:val="231F20"/>
          <w:spacing w:val="-2"/>
        </w:rPr>
        <w:t xml:space="preserve"> </w:t>
      </w:r>
      <w:r>
        <w:rPr>
          <w:color w:val="231F20"/>
        </w:rPr>
        <w:t>at a destination.</w:t>
      </w:r>
    </w:p>
    <w:p w14:paraId="79D18BE1" w14:textId="77777777" w:rsidR="00AE0598" w:rsidRDefault="0069255A">
      <w:pPr>
        <w:pStyle w:val="Corpodetexto"/>
        <w:spacing w:before="7" w:line="232" w:lineRule="auto"/>
        <w:ind w:left="110" w:right="124" w:firstLine="320"/>
        <w:jc w:val="both"/>
      </w:pPr>
      <w:r>
        <w:rPr>
          <w:color w:val="231F20"/>
          <w:w w:val="95"/>
        </w:rPr>
        <w:t>The focus of research in this field has hitherto examined sport heritage resources (Redmond, 199</w:t>
      </w:r>
      <w:r>
        <w:rPr>
          <w:color w:val="231F20"/>
          <w:w w:val="95"/>
        </w:rPr>
        <w:t xml:space="preserve">0) rather than how and why people engage in this form of sport tourism (Gammon, 2002), although this has started to change </w:t>
      </w:r>
      <w:r>
        <w:rPr>
          <w:color w:val="231F20"/>
        </w:rPr>
        <w:t>(Lamont &amp; McKay, 2012; Morgan, 2007; Ramshaw &amp; Gammon, 2010). How</w:t>
      </w:r>
      <w:r>
        <w:rPr>
          <w:color w:val="231F20"/>
          <w:spacing w:val="-5"/>
        </w:rPr>
        <w:t xml:space="preserve"> </w:t>
      </w:r>
      <w:r>
        <w:rPr>
          <w:color w:val="231F20"/>
        </w:rPr>
        <w:t>sport</w:t>
      </w:r>
      <w:r>
        <w:rPr>
          <w:color w:val="231F20"/>
          <w:spacing w:val="-5"/>
        </w:rPr>
        <w:t xml:space="preserve"> </w:t>
      </w:r>
      <w:r>
        <w:rPr>
          <w:color w:val="231F20"/>
        </w:rPr>
        <w:t>heritage</w:t>
      </w:r>
      <w:r>
        <w:rPr>
          <w:color w:val="231F20"/>
          <w:spacing w:val="-5"/>
        </w:rPr>
        <w:t xml:space="preserve"> </w:t>
      </w:r>
      <w:r>
        <w:rPr>
          <w:color w:val="231F20"/>
        </w:rPr>
        <w:t>relates</w:t>
      </w:r>
      <w:r>
        <w:rPr>
          <w:color w:val="231F20"/>
          <w:spacing w:val="-5"/>
        </w:rPr>
        <w:t xml:space="preserve"> </w:t>
      </w:r>
      <w:r>
        <w:rPr>
          <w:color w:val="231F20"/>
        </w:rPr>
        <w:t>to</w:t>
      </w:r>
      <w:r>
        <w:rPr>
          <w:color w:val="231F20"/>
          <w:spacing w:val="-6"/>
        </w:rPr>
        <w:t xml:space="preserve"> </w:t>
      </w:r>
      <w:r>
        <w:rPr>
          <w:color w:val="231F20"/>
        </w:rPr>
        <w:t>demand</w:t>
      </w:r>
      <w:r>
        <w:rPr>
          <w:color w:val="231F20"/>
          <w:spacing w:val="-5"/>
        </w:rPr>
        <w:t xml:space="preserve"> </w:t>
      </w:r>
      <w:r>
        <w:rPr>
          <w:color w:val="231F20"/>
        </w:rPr>
        <w:t>for</w:t>
      </w:r>
      <w:r>
        <w:rPr>
          <w:color w:val="231F20"/>
          <w:spacing w:val="-5"/>
        </w:rPr>
        <w:t xml:space="preserve"> </w:t>
      </w:r>
      <w:r>
        <w:rPr>
          <w:color w:val="231F20"/>
        </w:rPr>
        <w:t>active</w:t>
      </w:r>
      <w:r>
        <w:rPr>
          <w:color w:val="231F20"/>
          <w:spacing w:val="-6"/>
        </w:rPr>
        <w:t xml:space="preserve"> </w:t>
      </w:r>
      <w:r>
        <w:rPr>
          <w:color w:val="231F20"/>
        </w:rPr>
        <w:t>and</w:t>
      </w:r>
      <w:r>
        <w:rPr>
          <w:color w:val="231F20"/>
          <w:spacing w:val="-5"/>
        </w:rPr>
        <w:t xml:space="preserve"> </w:t>
      </w:r>
      <w:r>
        <w:rPr>
          <w:color w:val="231F20"/>
        </w:rPr>
        <w:t>event</w:t>
      </w:r>
      <w:r>
        <w:rPr>
          <w:color w:val="231F20"/>
          <w:spacing w:val="-5"/>
        </w:rPr>
        <w:t xml:space="preserve"> </w:t>
      </w:r>
      <w:r>
        <w:rPr>
          <w:color w:val="231F20"/>
        </w:rPr>
        <w:t>sport</w:t>
      </w:r>
      <w:r>
        <w:rPr>
          <w:color w:val="231F20"/>
          <w:spacing w:val="-5"/>
        </w:rPr>
        <w:t xml:space="preserve"> </w:t>
      </w:r>
      <w:r>
        <w:rPr>
          <w:color w:val="231F20"/>
        </w:rPr>
        <w:t>tourism</w:t>
      </w:r>
      <w:r>
        <w:rPr>
          <w:color w:val="231F20"/>
        </w:rPr>
        <w:t xml:space="preserve"> experience is also poorly understood. It has become increasingly clear that this form of sport tourism has indistinct boundaries with spectator </w:t>
      </w:r>
      <w:r>
        <w:rPr>
          <w:color w:val="231F20"/>
          <w:w w:val="95"/>
        </w:rPr>
        <w:t xml:space="preserve">events, participation events and active engagements in recreational sports. </w:t>
      </w:r>
      <w:r>
        <w:rPr>
          <w:color w:val="231F20"/>
        </w:rPr>
        <w:t>Travel packages that follow the tou</w:t>
      </w:r>
      <w:r>
        <w:rPr>
          <w:color w:val="231F20"/>
        </w:rPr>
        <w:t xml:space="preserve">r matches of an international sports </w:t>
      </w:r>
      <w:r>
        <w:rPr>
          <w:color w:val="231F20"/>
          <w:w w:val="95"/>
        </w:rPr>
        <w:t xml:space="preserve">team, and which are often led by former star players, illustrate the overlap between spectator event and sport heritage. Similarly, cruise ship packages </w:t>
      </w:r>
      <w:r>
        <w:rPr>
          <w:color w:val="231F20"/>
        </w:rPr>
        <w:t>that offer passengers the opportunity to meet or be coached by spo</w:t>
      </w:r>
      <w:r>
        <w:rPr>
          <w:color w:val="231F20"/>
        </w:rPr>
        <w:t>rts personalities (Gibson, 1998a), hold elements of both active engagement and nostalgia. Recent research on cycling events has shed light on the complex interplay of elements of event attendance, active participation and embodiment, and nostalgia (Derom &amp;</w:t>
      </w:r>
      <w:r>
        <w:rPr>
          <w:color w:val="231F20"/>
        </w:rPr>
        <w:t xml:space="preserve"> Ramshaw, 2016; Lamont &amp; McKay,</w:t>
      </w:r>
      <w:r>
        <w:rPr>
          <w:color w:val="231F20"/>
          <w:spacing w:val="-6"/>
        </w:rPr>
        <w:t xml:space="preserve"> </w:t>
      </w:r>
      <w:r>
        <w:rPr>
          <w:color w:val="231F20"/>
        </w:rPr>
        <w:t>2012)</w:t>
      </w:r>
      <w:r>
        <w:rPr>
          <w:color w:val="231F20"/>
          <w:spacing w:val="-6"/>
        </w:rPr>
        <w:t xml:space="preserve"> </w:t>
      </w:r>
      <w:r>
        <w:rPr>
          <w:color w:val="231F20"/>
        </w:rPr>
        <w:t>(see</w:t>
      </w:r>
      <w:r>
        <w:rPr>
          <w:color w:val="231F20"/>
          <w:spacing w:val="-6"/>
        </w:rPr>
        <w:t xml:space="preserve"> </w:t>
      </w:r>
      <w:r>
        <w:rPr>
          <w:color w:val="231F20"/>
        </w:rPr>
        <w:t>Focus</w:t>
      </w:r>
      <w:r>
        <w:rPr>
          <w:color w:val="231F20"/>
          <w:spacing w:val="-6"/>
        </w:rPr>
        <w:t xml:space="preserve"> </w:t>
      </w:r>
      <w:r>
        <w:rPr>
          <w:color w:val="231F20"/>
        </w:rPr>
        <w:t>Point</w:t>
      </w:r>
      <w:r>
        <w:rPr>
          <w:color w:val="231F20"/>
          <w:spacing w:val="-6"/>
        </w:rPr>
        <w:t xml:space="preserve"> </w:t>
      </w:r>
      <w:r>
        <w:rPr>
          <w:color w:val="231F20"/>
        </w:rPr>
        <w:t>3.2).</w:t>
      </w:r>
      <w:r>
        <w:rPr>
          <w:color w:val="231F20"/>
          <w:spacing w:val="-6"/>
        </w:rPr>
        <w:t xml:space="preserve"> </w:t>
      </w:r>
      <w:r>
        <w:rPr>
          <w:color w:val="231F20"/>
        </w:rPr>
        <w:t>An</w:t>
      </w:r>
      <w:r>
        <w:rPr>
          <w:color w:val="231F20"/>
          <w:spacing w:val="-6"/>
        </w:rPr>
        <w:t xml:space="preserve"> </w:t>
      </w:r>
      <w:r>
        <w:rPr>
          <w:color w:val="231F20"/>
        </w:rPr>
        <w:t>increasingly</w:t>
      </w:r>
      <w:r>
        <w:rPr>
          <w:color w:val="231F20"/>
          <w:spacing w:val="-6"/>
        </w:rPr>
        <w:t xml:space="preserve"> </w:t>
      </w:r>
      <w:r>
        <w:rPr>
          <w:color w:val="231F20"/>
        </w:rPr>
        <w:t>apparent</w:t>
      </w:r>
      <w:r>
        <w:rPr>
          <w:color w:val="231F20"/>
          <w:spacing w:val="-6"/>
        </w:rPr>
        <w:t xml:space="preserve"> </w:t>
      </w:r>
      <w:r>
        <w:rPr>
          <w:color w:val="231F20"/>
        </w:rPr>
        <w:t>trend</w:t>
      </w:r>
      <w:r>
        <w:rPr>
          <w:color w:val="231F20"/>
          <w:spacing w:val="-6"/>
        </w:rPr>
        <w:t xml:space="preserve"> </w:t>
      </w:r>
      <w:r>
        <w:rPr>
          <w:color w:val="231F20"/>
        </w:rPr>
        <w:t xml:space="preserve">over the last decade has, in fact, been the development of sports events that embrace the widest possible spectrum of niche markets, incorporating elements of competition (elite and non-elite), active participation, spectatorship and heritage. Focus Point </w:t>
      </w:r>
      <w:r>
        <w:rPr>
          <w:color w:val="231F20"/>
        </w:rPr>
        <w:t>3.2 points towards a blurring of different forms of engagement in sports, and multimodal experiences in many forms of contemporary sport tourism.</w:t>
      </w:r>
    </w:p>
    <w:p w14:paraId="76F02854" w14:textId="16655193" w:rsidR="00AE0598" w:rsidRDefault="0069255A">
      <w:pPr>
        <w:pStyle w:val="Corpodetexto"/>
        <w:spacing w:before="4"/>
        <w:rPr>
          <w:sz w:val="26"/>
        </w:rPr>
      </w:pPr>
      <w:r>
        <w:rPr>
          <w:noProof/>
        </w:rPr>
        <mc:AlternateContent>
          <mc:Choice Requires="wps">
            <w:drawing>
              <wp:anchor distT="0" distB="0" distL="0" distR="0" simplePos="0" relativeHeight="487620096" behindDoc="1" locked="0" layoutInCell="1" allowOverlap="1" wp14:anchorId="5CE90C72" wp14:editId="74204E36">
                <wp:simplePos x="0" y="0"/>
                <wp:positionH relativeFrom="page">
                  <wp:posOffset>755650</wp:posOffset>
                </wp:positionH>
                <wp:positionV relativeFrom="paragraph">
                  <wp:posOffset>211455</wp:posOffset>
                </wp:positionV>
                <wp:extent cx="4104005" cy="2117725"/>
                <wp:effectExtent l="0" t="0" r="0" b="0"/>
                <wp:wrapTopAndBottom/>
                <wp:docPr id="261" name="docshape1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04005" cy="2117725"/>
                        </a:xfrm>
                        <a:prstGeom prst="rect">
                          <a:avLst/>
                        </a:prstGeom>
                        <a:solidFill>
                          <a:srgbClr val="DCDDD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B47B5E6" w14:textId="77777777" w:rsidR="00AE0598" w:rsidRDefault="0069255A">
                            <w:pPr>
                              <w:spacing w:before="75"/>
                              <w:ind w:left="113"/>
                              <w:jc w:val="both"/>
                              <w:rPr>
                                <w:rFonts w:ascii="Trebuchet MS"/>
                                <w:color w:val="000000"/>
                                <w:sz w:val="20"/>
                              </w:rPr>
                            </w:pPr>
                            <w:r>
                              <w:rPr>
                                <w:rFonts w:ascii="Trebuchet MS"/>
                                <w:color w:val="231F20"/>
                                <w:sz w:val="20"/>
                              </w:rPr>
                              <w:t>Focus</w:t>
                            </w:r>
                            <w:r>
                              <w:rPr>
                                <w:rFonts w:ascii="Trebuchet MS"/>
                                <w:color w:val="231F20"/>
                                <w:spacing w:val="11"/>
                                <w:sz w:val="20"/>
                              </w:rPr>
                              <w:t xml:space="preserve"> </w:t>
                            </w:r>
                            <w:r>
                              <w:rPr>
                                <w:rFonts w:ascii="Trebuchet MS"/>
                                <w:color w:val="231F20"/>
                                <w:sz w:val="20"/>
                              </w:rPr>
                              <w:t>Point</w:t>
                            </w:r>
                            <w:r>
                              <w:rPr>
                                <w:rFonts w:ascii="Trebuchet MS"/>
                                <w:color w:val="231F20"/>
                                <w:spacing w:val="11"/>
                                <w:sz w:val="20"/>
                              </w:rPr>
                              <w:t xml:space="preserve"> </w:t>
                            </w:r>
                            <w:r>
                              <w:rPr>
                                <w:rFonts w:ascii="Trebuchet MS"/>
                                <w:color w:val="231F20"/>
                                <w:sz w:val="20"/>
                              </w:rPr>
                              <w:t>3.2:</w:t>
                            </w:r>
                            <w:r>
                              <w:rPr>
                                <w:rFonts w:ascii="Trebuchet MS"/>
                                <w:color w:val="231F20"/>
                                <w:spacing w:val="12"/>
                                <w:sz w:val="20"/>
                              </w:rPr>
                              <w:t xml:space="preserve"> </w:t>
                            </w:r>
                            <w:r>
                              <w:rPr>
                                <w:rFonts w:ascii="Trebuchet MS"/>
                                <w:color w:val="231F20"/>
                                <w:sz w:val="20"/>
                              </w:rPr>
                              <w:t>Postmodern</w:t>
                            </w:r>
                            <w:r>
                              <w:rPr>
                                <w:rFonts w:ascii="Trebuchet MS"/>
                                <w:color w:val="231F20"/>
                                <w:spacing w:val="11"/>
                                <w:sz w:val="20"/>
                              </w:rPr>
                              <w:t xml:space="preserve"> </w:t>
                            </w:r>
                            <w:r>
                              <w:rPr>
                                <w:rFonts w:ascii="Trebuchet MS"/>
                                <w:color w:val="231F20"/>
                                <w:sz w:val="20"/>
                              </w:rPr>
                              <w:t>Sports</w:t>
                            </w:r>
                            <w:r>
                              <w:rPr>
                                <w:rFonts w:ascii="Trebuchet MS"/>
                                <w:color w:val="231F20"/>
                                <w:spacing w:val="11"/>
                                <w:sz w:val="20"/>
                              </w:rPr>
                              <w:t xml:space="preserve"> </w:t>
                            </w:r>
                            <w:r>
                              <w:rPr>
                                <w:rFonts w:ascii="Trebuchet MS"/>
                                <w:color w:val="231F20"/>
                                <w:sz w:val="20"/>
                              </w:rPr>
                              <w:t>Tourism</w:t>
                            </w:r>
                            <w:r>
                              <w:rPr>
                                <w:rFonts w:ascii="Trebuchet MS"/>
                                <w:color w:val="231F20"/>
                                <w:spacing w:val="12"/>
                                <w:sz w:val="20"/>
                              </w:rPr>
                              <w:t xml:space="preserve"> </w:t>
                            </w:r>
                            <w:r>
                              <w:rPr>
                                <w:rFonts w:ascii="Trebuchet MS"/>
                                <w:color w:val="231F20"/>
                                <w:sz w:val="20"/>
                              </w:rPr>
                              <w:t>at</w:t>
                            </w:r>
                            <w:r>
                              <w:rPr>
                                <w:rFonts w:ascii="Trebuchet MS"/>
                                <w:color w:val="231F20"/>
                                <w:spacing w:val="11"/>
                                <w:sz w:val="20"/>
                              </w:rPr>
                              <w:t xml:space="preserve"> </w:t>
                            </w:r>
                            <w:r>
                              <w:rPr>
                                <w:rFonts w:ascii="Trebuchet MS"/>
                                <w:color w:val="231F20"/>
                                <w:sz w:val="20"/>
                              </w:rPr>
                              <w:t>the</w:t>
                            </w:r>
                            <w:r>
                              <w:rPr>
                                <w:rFonts w:ascii="Trebuchet MS"/>
                                <w:color w:val="231F20"/>
                                <w:spacing w:val="11"/>
                                <w:sz w:val="20"/>
                              </w:rPr>
                              <w:t xml:space="preserve"> </w:t>
                            </w:r>
                            <w:r>
                              <w:rPr>
                                <w:rFonts w:ascii="Trebuchet MS"/>
                                <w:color w:val="231F20"/>
                                <w:sz w:val="20"/>
                              </w:rPr>
                              <w:t>Tour</w:t>
                            </w:r>
                            <w:r>
                              <w:rPr>
                                <w:rFonts w:ascii="Trebuchet MS"/>
                                <w:color w:val="231F20"/>
                                <w:spacing w:val="12"/>
                                <w:sz w:val="20"/>
                              </w:rPr>
                              <w:t xml:space="preserve"> </w:t>
                            </w:r>
                            <w:r>
                              <w:rPr>
                                <w:rFonts w:ascii="Trebuchet MS"/>
                                <w:color w:val="231F20"/>
                                <w:sz w:val="20"/>
                              </w:rPr>
                              <w:t>de</w:t>
                            </w:r>
                            <w:r>
                              <w:rPr>
                                <w:rFonts w:ascii="Trebuchet MS"/>
                                <w:color w:val="231F20"/>
                                <w:spacing w:val="11"/>
                                <w:sz w:val="20"/>
                              </w:rPr>
                              <w:t xml:space="preserve"> </w:t>
                            </w:r>
                            <w:r>
                              <w:rPr>
                                <w:rFonts w:ascii="Trebuchet MS"/>
                                <w:color w:val="231F20"/>
                                <w:spacing w:val="-2"/>
                                <w:sz w:val="20"/>
                              </w:rPr>
                              <w:t>France</w:t>
                            </w:r>
                          </w:p>
                          <w:p w14:paraId="791A0F9F" w14:textId="77777777" w:rsidR="00AE0598" w:rsidRDefault="0069255A">
                            <w:pPr>
                              <w:pStyle w:val="Corpodetexto"/>
                              <w:spacing w:before="116"/>
                              <w:ind w:left="113"/>
                              <w:jc w:val="both"/>
                              <w:rPr>
                                <w:color w:val="000000"/>
                              </w:rPr>
                            </w:pPr>
                            <w:r>
                              <w:rPr>
                                <w:color w:val="231F20"/>
                              </w:rPr>
                              <w:t>Matthew</w:t>
                            </w:r>
                            <w:r>
                              <w:rPr>
                                <w:color w:val="231F20"/>
                                <w:spacing w:val="13"/>
                              </w:rPr>
                              <w:t xml:space="preserve"> </w:t>
                            </w:r>
                            <w:r>
                              <w:rPr>
                                <w:color w:val="231F20"/>
                                <w:spacing w:val="-2"/>
                              </w:rPr>
                              <w:t>Lamont</w:t>
                            </w:r>
                          </w:p>
                          <w:p w14:paraId="77D63A26" w14:textId="77777777" w:rsidR="00AE0598" w:rsidRDefault="0069255A">
                            <w:pPr>
                              <w:pStyle w:val="Corpodetexto"/>
                              <w:spacing w:before="120" w:line="232" w:lineRule="auto"/>
                              <w:ind w:left="113" w:right="110" w:firstLine="320"/>
                              <w:jc w:val="both"/>
                              <w:rPr>
                                <w:color w:val="000000"/>
                              </w:rPr>
                            </w:pPr>
                            <w:r>
                              <w:rPr>
                                <w:color w:val="231F20"/>
                              </w:rPr>
                              <w:t>Organised tours to the Tour de France (</w:t>
                            </w:r>
                            <w:r>
                              <w:rPr>
                                <w:i/>
                                <w:color w:val="231F20"/>
                              </w:rPr>
                              <w:t>Le Tour</w:t>
                            </w:r>
                            <w:r>
                              <w:rPr>
                                <w:color w:val="231F20"/>
                              </w:rPr>
                              <w:t xml:space="preserve">) often augment </w:t>
                            </w:r>
                            <w:r>
                              <w:rPr>
                                <w:color w:val="231F20"/>
                                <w:w w:val="95"/>
                              </w:rPr>
                              <w:t xml:space="preserve">spectating opportunities with active cycling excursions. These emerging, </w:t>
                            </w:r>
                            <w:r>
                              <w:rPr>
                                <w:color w:val="231F20"/>
                              </w:rPr>
                              <w:t xml:space="preserve">multimodal experiences highlight a need for renewed theoretical </w:t>
                            </w:r>
                            <w:r>
                              <w:rPr>
                                <w:color w:val="231F20"/>
                                <w:w w:val="95"/>
                              </w:rPr>
                              <w:t>perspectives</w:t>
                            </w:r>
                            <w:r>
                              <w:rPr>
                                <w:color w:val="231F20"/>
                                <w:spacing w:val="-6"/>
                                <w:w w:val="95"/>
                              </w:rPr>
                              <w:t xml:space="preserve"> </w:t>
                            </w:r>
                            <w:r>
                              <w:rPr>
                                <w:color w:val="231F20"/>
                                <w:w w:val="95"/>
                              </w:rPr>
                              <w:t>to</w:t>
                            </w:r>
                            <w:r>
                              <w:rPr>
                                <w:color w:val="231F20"/>
                                <w:spacing w:val="-6"/>
                                <w:w w:val="95"/>
                              </w:rPr>
                              <w:t xml:space="preserve"> </w:t>
                            </w:r>
                            <w:r>
                              <w:rPr>
                                <w:color w:val="231F20"/>
                                <w:w w:val="95"/>
                              </w:rPr>
                              <w:t>encapsulate</w:t>
                            </w:r>
                            <w:r>
                              <w:rPr>
                                <w:color w:val="231F20"/>
                                <w:spacing w:val="-6"/>
                                <w:w w:val="95"/>
                              </w:rPr>
                              <w:t xml:space="preserve"> </w:t>
                            </w:r>
                            <w:r>
                              <w:rPr>
                                <w:color w:val="231F20"/>
                                <w:w w:val="95"/>
                              </w:rPr>
                              <w:t>evolving</w:t>
                            </w:r>
                            <w:r>
                              <w:rPr>
                                <w:color w:val="231F20"/>
                                <w:spacing w:val="-6"/>
                                <w:w w:val="95"/>
                              </w:rPr>
                              <w:t xml:space="preserve"> </w:t>
                            </w:r>
                            <w:r>
                              <w:rPr>
                                <w:color w:val="231F20"/>
                                <w:w w:val="95"/>
                              </w:rPr>
                              <w:t>sports</w:t>
                            </w:r>
                            <w:r>
                              <w:rPr>
                                <w:color w:val="231F20"/>
                                <w:spacing w:val="-6"/>
                                <w:w w:val="95"/>
                              </w:rPr>
                              <w:t xml:space="preserve"> </w:t>
                            </w:r>
                            <w:r>
                              <w:rPr>
                                <w:color w:val="231F20"/>
                                <w:w w:val="95"/>
                              </w:rPr>
                              <w:t>tourism</w:t>
                            </w:r>
                            <w:r>
                              <w:rPr>
                                <w:color w:val="231F20"/>
                                <w:spacing w:val="-6"/>
                                <w:w w:val="95"/>
                              </w:rPr>
                              <w:t xml:space="preserve"> </w:t>
                            </w:r>
                            <w:r>
                              <w:rPr>
                                <w:color w:val="231F20"/>
                                <w:w w:val="95"/>
                              </w:rPr>
                              <w:t>experiences.</w:t>
                            </w:r>
                            <w:r>
                              <w:rPr>
                                <w:color w:val="231F20"/>
                                <w:spacing w:val="-6"/>
                                <w:w w:val="95"/>
                              </w:rPr>
                              <w:t xml:space="preserve"> </w:t>
                            </w:r>
                            <w:r>
                              <w:rPr>
                                <w:color w:val="231F20"/>
                                <w:w w:val="95"/>
                              </w:rPr>
                              <w:t xml:space="preserve">Applied </w:t>
                            </w:r>
                            <w:r>
                              <w:rPr>
                                <w:color w:val="231F20"/>
                              </w:rPr>
                              <w:t xml:space="preserve">to tourism, the perspective of postmodernism challenges modernist </w:t>
                            </w:r>
                            <w:r>
                              <w:rPr>
                                <w:color w:val="231F20"/>
                                <w:w w:val="90"/>
                              </w:rPr>
                              <w:t>theorisations</w:t>
                            </w:r>
                            <w:r>
                              <w:rPr>
                                <w:color w:val="231F20"/>
                                <w:spacing w:val="-3"/>
                                <w:w w:val="90"/>
                              </w:rPr>
                              <w:t xml:space="preserve"> </w:t>
                            </w:r>
                            <w:r>
                              <w:rPr>
                                <w:color w:val="231F20"/>
                                <w:w w:val="90"/>
                              </w:rPr>
                              <w:t>oftourism</w:t>
                            </w:r>
                            <w:r>
                              <w:rPr>
                                <w:color w:val="231F20"/>
                                <w:spacing w:val="-4"/>
                                <w:w w:val="90"/>
                              </w:rPr>
                              <w:t xml:space="preserve"> </w:t>
                            </w:r>
                            <w:r>
                              <w:rPr>
                                <w:color w:val="231F20"/>
                                <w:w w:val="90"/>
                              </w:rPr>
                              <w:t>experiences</w:t>
                            </w:r>
                            <w:r>
                              <w:rPr>
                                <w:color w:val="231F20"/>
                                <w:spacing w:val="-3"/>
                                <w:w w:val="90"/>
                              </w:rPr>
                              <w:t xml:space="preserve"> </w:t>
                            </w:r>
                            <w:r>
                              <w:rPr>
                                <w:color w:val="231F20"/>
                                <w:w w:val="90"/>
                              </w:rPr>
                              <w:t>as</w:t>
                            </w:r>
                            <w:r>
                              <w:rPr>
                                <w:color w:val="231F20"/>
                                <w:spacing w:val="-4"/>
                                <w:w w:val="90"/>
                              </w:rPr>
                              <w:t xml:space="preserve"> </w:t>
                            </w:r>
                            <w:r>
                              <w:rPr>
                                <w:color w:val="231F20"/>
                                <w:w w:val="90"/>
                              </w:rPr>
                              <w:t>homogeneous</w:t>
                            </w:r>
                            <w:r>
                              <w:rPr>
                                <w:color w:val="231F20"/>
                                <w:spacing w:val="-3"/>
                                <w:w w:val="90"/>
                              </w:rPr>
                              <w:t xml:space="preserve"> </w:t>
                            </w:r>
                            <w:r>
                              <w:rPr>
                                <w:color w:val="231F20"/>
                                <w:w w:val="90"/>
                              </w:rPr>
                              <w:t>with</w:t>
                            </w:r>
                            <w:r>
                              <w:rPr>
                                <w:color w:val="231F20"/>
                                <w:spacing w:val="-4"/>
                                <w:w w:val="90"/>
                              </w:rPr>
                              <w:t xml:space="preserve"> </w:t>
                            </w:r>
                            <w:r>
                              <w:rPr>
                                <w:color w:val="231F20"/>
                                <w:w w:val="90"/>
                              </w:rPr>
                              <w:t>respect</w:t>
                            </w:r>
                            <w:r>
                              <w:rPr>
                                <w:color w:val="231F20"/>
                                <w:spacing w:val="-3"/>
                                <w:w w:val="90"/>
                              </w:rPr>
                              <w:t xml:space="preserve"> </w:t>
                            </w:r>
                            <w:r>
                              <w:rPr>
                                <w:color w:val="231F20"/>
                                <w:w w:val="90"/>
                              </w:rPr>
                              <w:t xml:space="preserve">totourists’ </w:t>
                            </w:r>
                            <w:r>
                              <w:rPr>
                                <w:color w:val="231F20"/>
                                <w:spacing w:val="-2"/>
                                <w:w w:val="95"/>
                              </w:rPr>
                              <w:t>motivations,</w:t>
                            </w:r>
                            <w:r>
                              <w:rPr>
                                <w:color w:val="231F20"/>
                                <w:spacing w:val="-8"/>
                                <w:w w:val="95"/>
                              </w:rPr>
                              <w:t xml:space="preserve"> </w:t>
                            </w:r>
                            <w:r>
                              <w:rPr>
                                <w:color w:val="231F20"/>
                                <w:spacing w:val="-2"/>
                                <w:w w:val="95"/>
                              </w:rPr>
                              <w:t>experiences</w:t>
                            </w:r>
                            <w:r>
                              <w:rPr>
                                <w:color w:val="231F20"/>
                                <w:spacing w:val="-7"/>
                                <w:w w:val="95"/>
                              </w:rPr>
                              <w:t xml:space="preserve"> </w:t>
                            </w:r>
                            <w:r>
                              <w:rPr>
                                <w:color w:val="231F20"/>
                                <w:spacing w:val="-2"/>
                                <w:w w:val="95"/>
                              </w:rPr>
                              <w:t>and</w:t>
                            </w:r>
                            <w:r>
                              <w:rPr>
                                <w:color w:val="231F20"/>
                                <w:spacing w:val="-7"/>
                                <w:w w:val="95"/>
                              </w:rPr>
                              <w:t xml:space="preserve"> </w:t>
                            </w:r>
                            <w:r>
                              <w:rPr>
                                <w:color w:val="231F20"/>
                                <w:spacing w:val="-2"/>
                                <w:w w:val="95"/>
                              </w:rPr>
                              <w:t>environments</w:t>
                            </w:r>
                            <w:r>
                              <w:rPr>
                                <w:color w:val="231F20"/>
                                <w:spacing w:val="-7"/>
                                <w:w w:val="95"/>
                              </w:rPr>
                              <w:t xml:space="preserve"> </w:t>
                            </w:r>
                            <w:r>
                              <w:rPr>
                                <w:color w:val="231F20"/>
                                <w:spacing w:val="-2"/>
                                <w:w w:val="95"/>
                              </w:rPr>
                              <w:t>(Uriely,</w:t>
                            </w:r>
                            <w:r>
                              <w:rPr>
                                <w:color w:val="231F20"/>
                                <w:spacing w:val="-8"/>
                                <w:w w:val="95"/>
                              </w:rPr>
                              <w:t xml:space="preserve"> </w:t>
                            </w:r>
                            <w:r>
                              <w:rPr>
                                <w:color w:val="231F20"/>
                                <w:spacing w:val="-2"/>
                                <w:w w:val="95"/>
                              </w:rPr>
                              <w:t>1997).</w:t>
                            </w:r>
                            <w:r>
                              <w:rPr>
                                <w:color w:val="231F20"/>
                                <w:spacing w:val="-7"/>
                                <w:w w:val="95"/>
                              </w:rPr>
                              <w:t xml:space="preserve"> </w:t>
                            </w:r>
                            <w:r>
                              <w:rPr>
                                <w:color w:val="231F20"/>
                                <w:spacing w:val="-2"/>
                                <w:w w:val="95"/>
                              </w:rPr>
                              <w:t xml:space="preserve">Postmodernism </w:t>
                            </w:r>
                            <w:r>
                              <w:rPr>
                                <w:color w:val="231F20"/>
                                <w:spacing w:val="-4"/>
                                <w:w w:val="95"/>
                              </w:rPr>
                              <w:t>emphasises co</w:t>
                            </w:r>
                            <w:r>
                              <w:rPr>
                                <w:color w:val="231F20"/>
                                <w:spacing w:val="-4"/>
                                <w:w w:val="95"/>
                              </w:rPr>
                              <w:t>ntemporary tourists’ quests for authenticity pursued through</w:t>
                            </w:r>
                            <w:r>
                              <w:rPr>
                                <w:color w:val="231F20"/>
                                <w:w w:val="95"/>
                              </w:rPr>
                              <w:t xml:space="preserve"> multifaceted</w:t>
                            </w:r>
                            <w:r>
                              <w:rPr>
                                <w:color w:val="231F20"/>
                                <w:spacing w:val="-8"/>
                                <w:w w:val="95"/>
                              </w:rPr>
                              <w:t xml:space="preserve"> </w:t>
                            </w:r>
                            <w:r>
                              <w:rPr>
                                <w:color w:val="231F20"/>
                                <w:w w:val="95"/>
                              </w:rPr>
                              <w:t>touristic</w:t>
                            </w:r>
                            <w:r>
                              <w:rPr>
                                <w:color w:val="231F20"/>
                                <w:spacing w:val="-8"/>
                                <w:w w:val="95"/>
                              </w:rPr>
                              <w:t xml:space="preserve"> </w:t>
                            </w:r>
                            <w:r>
                              <w:rPr>
                                <w:color w:val="231F20"/>
                                <w:w w:val="95"/>
                              </w:rPr>
                              <w:t>behaviours</w:t>
                            </w:r>
                            <w:r>
                              <w:rPr>
                                <w:color w:val="231F20"/>
                                <w:spacing w:val="-8"/>
                                <w:w w:val="95"/>
                              </w:rPr>
                              <w:t xml:space="preserve"> </w:t>
                            </w:r>
                            <w:r>
                              <w:rPr>
                                <w:color w:val="231F20"/>
                                <w:w w:val="95"/>
                              </w:rPr>
                              <w:t>imbued</w:t>
                            </w:r>
                            <w:r>
                              <w:rPr>
                                <w:color w:val="231F20"/>
                                <w:spacing w:val="-8"/>
                                <w:w w:val="95"/>
                              </w:rPr>
                              <w:t xml:space="preserve"> </w:t>
                            </w:r>
                            <w:r>
                              <w:rPr>
                                <w:color w:val="231F20"/>
                                <w:w w:val="95"/>
                              </w:rPr>
                              <w:t>with</w:t>
                            </w:r>
                            <w:r>
                              <w:rPr>
                                <w:color w:val="231F20"/>
                                <w:spacing w:val="-8"/>
                                <w:w w:val="95"/>
                              </w:rPr>
                              <w:t xml:space="preserve"> </w:t>
                            </w:r>
                            <w:r>
                              <w:rPr>
                                <w:color w:val="231F20"/>
                                <w:w w:val="95"/>
                              </w:rPr>
                              <w:t>mobility,</w:t>
                            </w:r>
                            <w:r>
                              <w:rPr>
                                <w:color w:val="231F20"/>
                                <w:spacing w:val="-8"/>
                                <w:w w:val="95"/>
                              </w:rPr>
                              <w:t xml:space="preserve"> </w:t>
                            </w:r>
                            <w:r>
                              <w:rPr>
                                <w:color w:val="231F20"/>
                                <w:w w:val="95"/>
                              </w:rPr>
                              <w:t>embodiment</w:t>
                            </w:r>
                            <w:r>
                              <w:rPr>
                                <w:color w:val="231F20"/>
                                <w:spacing w:val="-8"/>
                                <w:w w:val="95"/>
                              </w:rPr>
                              <w:t xml:space="preserve"> </w:t>
                            </w:r>
                            <w:r>
                              <w:rPr>
                                <w:color w:val="231F20"/>
                                <w:w w:val="95"/>
                              </w:rPr>
                              <w:t xml:space="preserve">and </w:t>
                            </w:r>
                            <w:r>
                              <w:rPr>
                                <w:color w:val="231F20"/>
                                <w:spacing w:val="-4"/>
                              </w:rPr>
                              <w:t>nostalgia.</w:t>
                            </w:r>
                            <w:r>
                              <w:rPr>
                                <w:color w:val="231F20"/>
                                <w:spacing w:val="20"/>
                              </w:rPr>
                              <w:t xml:space="preserve"> </w:t>
                            </w:r>
                            <w:r>
                              <w:rPr>
                                <w:color w:val="231F20"/>
                                <w:spacing w:val="-4"/>
                              </w:rPr>
                              <w:t>Moreover,</w:t>
                            </w:r>
                            <w:r>
                              <w:rPr>
                                <w:color w:val="231F20"/>
                                <w:spacing w:val="20"/>
                              </w:rPr>
                              <w:t xml:space="preserve"> </w:t>
                            </w:r>
                            <w:r>
                              <w:rPr>
                                <w:color w:val="231F20"/>
                                <w:spacing w:val="-4"/>
                              </w:rPr>
                              <w:t>validation</w:t>
                            </w:r>
                            <w:r>
                              <w:rPr>
                                <w:color w:val="231F20"/>
                                <w:spacing w:val="20"/>
                              </w:rPr>
                              <w:t xml:space="preserve"> </w:t>
                            </w:r>
                            <w:r>
                              <w:rPr>
                                <w:color w:val="231F20"/>
                                <w:spacing w:val="-4"/>
                              </w:rPr>
                              <w:t>of</w:t>
                            </w:r>
                            <w:r>
                              <w:rPr>
                                <w:color w:val="231F20"/>
                                <w:spacing w:val="20"/>
                              </w:rPr>
                              <w:t xml:space="preserve"> </w:t>
                            </w:r>
                            <w:r>
                              <w:rPr>
                                <w:color w:val="231F20"/>
                                <w:spacing w:val="-4"/>
                              </w:rPr>
                              <w:t>media-shaped</w:t>
                            </w:r>
                            <w:r>
                              <w:rPr>
                                <w:color w:val="231F20"/>
                                <w:spacing w:val="20"/>
                              </w:rPr>
                              <w:t xml:space="preserve"> </w:t>
                            </w:r>
                            <w:r>
                              <w:rPr>
                                <w:color w:val="231F20"/>
                                <w:spacing w:val="-4"/>
                              </w:rPr>
                              <w:t>constructions</w:t>
                            </w:r>
                            <w:r>
                              <w:rPr>
                                <w:color w:val="231F20"/>
                                <w:spacing w:val="20"/>
                              </w:rPr>
                              <w:t xml:space="preserve"> </w:t>
                            </w:r>
                            <w:r>
                              <w:rPr>
                                <w:color w:val="231F20"/>
                                <w:spacing w:val="-4"/>
                              </w:rPr>
                              <w:t>of</w:t>
                            </w:r>
                            <w:r>
                              <w:rPr>
                                <w:color w:val="231F20"/>
                                <w:spacing w:val="20"/>
                              </w:rPr>
                              <w:t xml:space="preserve"> </w:t>
                            </w:r>
                            <w:r>
                              <w:rPr>
                                <w:color w:val="231F20"/>
                                <w:spacing w:val="-4"/>
                              </w:rPr>
                              <w:t>place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E90C72" id="docshape113" o:spid="_x0000_s1080" type="#_x0000_t202" style="position:absolute;margin-left:59.5pt;margin-top:16.65pt;width:323.15pt;height:166.75pt;z-index:-156963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" fillcolor="#dcddde" stroked="f">
                <v:textbox inset="0,0,0,0">
                  <w:txbxContent>
                    <w:p w14:paraId="2B47B5E6" w14:textId="77777777" w:rsidR="00AE0598" w:rsidRDefault="0069255A">
                      <w:pPr>
                        <w:spacing w:before="75"/>
                        <w:ind w:left="113"/>
                        <w:jc w:val="both"/>
                        <w:rPr>
                          <w:rFonts w:ascii="Trebuchet MS"/>
                          <w:color w:val="000000"/>
                          <w:sz w:val="20"/>
                        </w:rPr>
                      </w:pPr>
                      <w:r>
                        <w:rPr>
                          <w:rFonts w:ascii="Trebuchet MS"/>
                          <w:color w:val="231F20"/>
                          <w:sz w:val="20"/>
                        </w:rPr>
                        <w:t>Focus</w:t>
                      </w:r>
                      <w:r>
                        <w:rPr>
                          <w:rFonts w:ascii="Trebuchet MS"/>
                          <w:color w:val="231F20"/>
                          <w:spacing w:val="11"/>
                          <w:sz w:val="20"/>
                        </w:rPr>
                        <w:t xml:space="preserve"> </w:t>
                      </w:r>
                      <w:r>
                        <w:rPr>
                          <w:rFonts w:ascii="Trebuchet MS"/>
                          <w:color w:val="231F20"/>
                          <w:sz w:val="20"/>
                        </w:rPr>
                        <w:t>Point</w:t>
                      </w:r>
                      <w:r>
                        <w:rPr>
                          <w:rFonts w:ascii="Trebuchet MS"/>
                          <w:color w:val="231F20"/>
                          <w:spacing w:val="11"/>
                          <w:sz w:val="20"/>
                        </w:rPr>
                        <w:t xml:space="preserve"> </w:t>
                      </w:r>
                      <w:r>
                        <w:rPr>
                          <w:rFonts w:ascii="Trebuchet MS"/>
                          <w:color w:val="231F20"/>
                          <w:sz w:val="20"/>
                        </w:rPr>
                        <w:t>3.2:</w:t>
                      </w:r>
                      <w:r>
                        <w:rPr>
                          <w:rFonts w:ascii="Trebuchet MS"/>
                          <w:color w:val="231F20"/>
                          <w:spacing w:val="12"/>
                          <w:sz w:val="20"/>
                        </w:rPr>
                        <w:t xml:space="preserve"> </w:t>
                      </w:r>
                      <w:r>
                        <w:rPr>
                          <w:rFonts w:ascii="Trebuchet MS"/>
                          <w:color w:val="231F20"/>
                          <w:sz w:val="20"/>
                        </w:rPr>
                        <w:t>Postmodern</w:t>
                      </w:r>
                      <w:r>
                        <w:rPr>
                          <w:rFonts w:ascii="Trebuchet MS"/>
                          <w:color w:val="231F20"/>
                          <w:spacing w:val="11"/>
                          <w:sz w:val="20"/>
                        </w:rPr>
                        <w:t xml:space="preserve"> </w:t>
                      </w:r>
                      <w:r>
                        <w:rPr>
                          <w:rFonts w:ascii="Trebuchet MS"/>
                          <w:color w:val="231F20"/>
                          <w:sz w:val="20"/>
                        </w:rPr>
                        <w:t>Sports</w:t>
                      </w:r>
                      <w:r>
                        <w:rPr>
                          <w:rFonts w:ascii="Trebuchet MS"/>
                          <w:color w:val="231F20"/>
                          <w:spacing w:val="11"/>
                          <w:sz w:val="20"/>
                        </w:rPr>
                        <w:t xml:space="preserve"> </w:t>
                      </w:r>
                      <w:r>
                        <w:rPr>
                          <w:rFonts w:ascii="Trebuchet MS"/>
                          <w:color w:val="231F20"/>
                          <w:sz w:val="20"/>
                        </w:rPr>
                        <w:t>Tourism</w:t>
                      </w:r>
                      <w:r>
                        <w:rPr>
                          <w:rFonts w:ascii="Trebuchet MS"/>
                          <w:color w:val="231F20"/>
                          <w:spacing w:val="12"/>
                          <w:sz w:val="20"/>
                        </w:rPr>
                        <w:t xml:space="preserve"> </w:t>
                      </w:r>
                      <w:r>
                        <w:rPr>
                          <w:rFonts w:ascii="Trebuchet MS"/>
                          <w:color w:val="231F20"/>
                          <w:sz w:val="20"/>
                        </w:rPr>
                        <w:t>at</w:t>
                      </w:r>
                      <w:r>
                        <w:rPr>
                          <w:rFonts w:ascii="Trebuchet MS"/>
                          <w:color w:val="231F20"/>
                          <w:spacing w:val="11"/>
                          <w:sz w:val="20"/>
                        </w:rPr>
                        <w:t xml:space="preserve"> </w:t>
                      </w:r>
                      <w:r>
                        <w:rPr>
                          <w:rFonts w:ascii="Trebuchet MS"/>
                          <w:color w:val="231F20"/>
                          <w:sz w:val="20"/>
                        </w:rPr>
                        <w:t>the</w:t>
                      </w:r>
                      <w:r>
                        <w:rPr>
                          <w:rFonts w:ascii="Trebuchet MS"/>
                          <w:color w:val="231F20"/>
                          <w:spacing w:val="11"/>
                          <w:sz w:val="20"/>
                        </w:rPr>
                        <w:t xml:space="preserve"> </w:t>
                      </w:r>
                      <w:r>
                        <w:rPr>
                          <w:rFonts w:ascii="Trebuchet MS"/>
                          <w:color w:val="231F20"/>
                          <w:sz w:val="20"/>
                        </w:rPr>
                        <w:t>Tour</w:t>
                      </w:r>
                      <w:r>
                        <w:rPr>
                          <w:rFonts w:ascii="Trebuchet MS"/>
                          <w:color w:val="231F20"/>
                          <w:spacing w:val="12"/>
                          <w:sz w:val="20"/>
                        </w:rPr>
                        <w:t xml:space="preserve"> </w:t>
                      </w:r>
                      <w:r>
                        <w:rPr>
                          <w:rFonts w:ascii="Trebuchet MS"/>
                          <w:color w:val="231F20"/>
                          <w:sz w:val="20"/>
                        </w:rPr>
                        <w:t>de</w:t>
                      </w:r>
                      <w:r>
                        <w:rPr>
                          <w:rFonts w:ascii="Trebuchet MS"/>
                          <w:color w:val="231F20"/>
                          <w:spacing w:val="11"/>
                          <w:sz w:val="20"/>
                        </w:rPr>
                        <w:t xml:space="preserve"> </w:t>
                      </w:r>
                      <w:r>
                        <w:rPr>
                          <w:rFonts w:ascii="Trebuchet MS"/>
                          <w:color w:val="231F20"/>
                          <w:spacing w:val="-2"/>
                          <w:sz w:val="20"/>
                        </w:rPr>
                        <w:t>France</w:t>
                      </w:r>
                    </w:p>
                    <w:p w14:paraId="791A0F9F" w14:textId="77777777" w:rsidR="00AE0598" w:rsidRDefault="0069255A">
                      <w:pPr>
                        <w:pStyle w:val="Corpodetexto"/>
                        <w:spacing w:before="116"/>
                        <w:ind w:left="113"/>
                        <w:jc w:val="both"/>
                        <w:rPr>
                          <w:color w:val="000000"/>
                        </w:rPr>
                      </w:pPr>
                      <w:r>
                        <w:rPr>
                          <w:color w:val="231F20"/>
                        </w:rPr>
                        <w:t>Matthew</w:t>
                      </w:r>
                      <w:r>
                        <w:rPr>
                          <w:color w:val="231F20"/>
                          <w:spacing w:val="13"/>
                        </w:rPr>
                        <w:t xml:space="preserve"> </w:t>
                      </w:r>
                      <w:r>
                        <w:rPr>
                          <w:color w:val="231F20"/>
                          <w:spacing w:val="-2"/>
                        </w:rPr>
                        <w:t>Lamont</w:t>
                      </w:r>
                    </w:p>
                    <w:p w14:paraId="77D63A26" w14:textId="77777777" w:rsidR="00AE0598" w:rsidRDefault="0069255A">
                      <w:pPr>
                        <w:pStyle w:val="Corpodetexto"/>
                        <w:spacing w:before="120" w:line="232" w:lineRule="auto"/>
                        <w:ind w:left="113" w:right="110" w:firstLine="320"/>
                        <w:jc w:val="both"/>
                        <w:rPr>
                          <w:color w:val="000000"/>
                        </w:rPr>
                      </w:pPr>
                      <w:r>
                        <w:rPr>
                          <w:color w:val="231F20"/>
                        </w:rPr>
                        <w:t>Organised tours to the Tour de France (</w:t>
                      </w:r>
                      <w:r>
                        <w:rPr>
                          <w:i/>
                          <w:color w:val="231F20"/>
                        </w:rPr>
                        <w:t>Le Tour</w:t>
                      </w:r>
                      <w:r>
                        <w:rPr>
                          <w:color w:val="231F20"/>
                        </w:rPr>
                        <w:t xml:space="preserve">) often augment </w:t>
                      </w:r>
                      <w:r>
                        <w:rPr>
                          <w:color w:val="231F20"/>
                          <w:w w:val="95"/>
                        </w:rPr>
                        <w:t xml:space="preserve">spectating opportunities with active cycling excursions. These emerging, </w:t>
                      </w:r>
                      <w:r>
                        <w:rPr>
                          <w:color w:val="231F20"/>
                        </w:rPr>
                        <w:t xml:space="preserve">multimodal experiences highlight a need for renewed theoretical </w:t>
                      </w:r>
                      <w:r>
                        <w:rPr>
                          <w:color w:val="231F20"/>
                          <w:w w:val="95"/>
                        </w:rPr>
                        <w:t>perspectives</w:t>
                      </w:r>
                      <w:r>
                        <w:rPr>
                          <w:color w:val="231F20"/>
                          <w:spacing w:val="-6"/>
                          <w:w w:val="95"/>
                        </w:rPr>
                        <w:t xml:space="preserve"> </w:t>
                      </w:r>
                      <w:r>
                        <w:rPr>
                          <w:color w:val="231F20"/>
                          <w:w w:val="95"/>
                        </w:rPr>
                        <w:t>to</w:t>
                      </w:r>
                      <w:r>
                        <w:rPr>
                          <w:color w:val="231F20"/>
                          <w:spacing w:val="-6"/>
                          <w:w w:val="95"/>
                        </w:rPr>
                        <w:t xml:space="preserve"> </w:t>
                      </w:r>
                      <w:r>
                        <w:rPr>
                          <w:color w:val="231F20"/>
                          <w:w w:val="95"/>
                        </w:rPr>
                        <w:t>encapsulate</w:t>
                      </w:r>
                      <w:r>
                        <w:rPr>
                          <w:color w:val="231F20"/>
                          <w:spacing w:val="-6"/>
                          <w:w w:val="95"/>
                        </w:rPr>
                        <w:t xml:space="preserve"> </w:t>
                      </w:r>
                      <w:r>
                        <w:rPr>
                          <w:color w:val="231F20"/>
                          <w:w w:val="95"/>
                        </w:rPr>
                        <w:t>evolving</w:t>
                      </w:r>
                      <w:r>
                        <w:rPr>
                          <w:color w:val="231F20"/>
                          <w:spacing w:val="-6"/>
                          <w:w w:val="95"/>
                        </w:rPr>
                        <w:t xml:space="preserve"> </w:t>
                      </w:r>
                      <w:r>
                        <w:rPr>
                          <w:color w:val="231F20"/>
                          <w:w w:val="95"/>
                        </w:rPr>
                        <w:t>sports</w:t>
                      </w:r>
                      <w:r>
                        <w:rPr>
                          <w:color w:val="231F20"/>
                          <w:spacing w:val="-6"/>
                          <w:w w:val="95"/>
                        </w:rPr>
                        <w:t xml:space="preserve"> </w:t>
                      </w:r>
                      <w:r>
                        <w:rPr>
                          <w:color w:val="231F20"/>
                          <w:w w:val="95"/>
                        </w:rPr>
                        <w:t>tourism</w:t>
                      </w:r>
                      <w:r>
                        <w:rPr>
                          <w:color w:val="231F20"/>
                          <w:spacing w:val="-6"/>
                          <w:w w:val="95"/>
                        </w:rPr>
                        <w:t xml:space="preserve"> </w:t>
                      </w:r>
                      <w:r>
                        <w:rPr>
                          <w:color w:val="231F20"/>
                          <w:w w:val="95"/>
                        </w:rPr>
                        <w:t>experiences.</w:t>
                      </w:r>
                      <w:r>
                        <w:rPr>
                          <w:color w:val="231F20"/>
                          <w:spacing w:val="-6"/>
                          <w:w w:val="95"/>
                        </w:rPr>
                        <w:t xml:space="preserve"> </w:t>
                      </w:r>
                      <w:r>
                        <w:rPr>
                          <w:color w:val="231F20"/>
                          <w:w w:val="95"/>
                        </w:rPr>
                        <w:t xml:space="preserve">Applied </w:t>
                      </w:r>
                      <w:r>
                        <w:rPr>
                          <w:color w:val="231F20"/>
                        </w:rPr>
                        <w:t xml:space="preserve">to tourism, the perspective of postmodernism challenges modernist </w:t>
                      </w:r>
                      <w:r>
                        <w:rPr>
                          <w:color w:val="231F20"/>
                          <w:w w:val="90"/>
                        </w:rPr>
                        <w:t>theorisations</w:t>
                      </w:r>
                      <w:r>
                        <w:rPr>
                          <w:color w:val="231F20"/>
                          <w:spacing w:val="-3"/>
                          <w:w w:val="90"/>
                        </w:rPr>
                        <w:t xml:space="preserve"> </w:t>
                      </w:r>
                      <w:r>
                        <w:rPr>
                          <w:color w:val="231F20"/>
                          <w:w w:val="90"/>
                        </w:rPr>
                        <w:t>oftourism</w:t>
                      </w:r>
                      <w:r>
                        <w:rPr>
                          <w:color w:val="231F20"/>
                          <w:spacing w:val="-4"/>
                          <w:w w:val="90"/>
                        </w:rPr>
                        <w:t xml:space="preserve"> </w:t>
                      </w:r>
                      <w:r>
                        <w:rPr>
                          <w:color w:val="231F20"/>
                          <w:w w:val="90"/>
                        </w:rPr>
                        <w:t>experiences</w:t>
                      </w:r>
                      <w:r>
                        <w:rPr>
                          <w:color w:val="231F20"/>
                          <w:spacing w:val="-3"/>
                          <w:w w:val="90"/>
                        </w:rPr>
                        <w:t xml:space="preserve"> </w:t>
                      </w:r>
                      <w:r>
                        <w:rPr>
                          <w:color w:val="231F20"/>
                          <w:w w:val="90"/>
                        </w:rPr>
                        <w:t>as</w:t>
                      </w:r>
                      <w:r>
                        <w:rPr>
                          <w:color w:val="231F20"/>
                          <w:spacing w:val="-4"/>
                          <w:w w:val="90"/>
                        </w:rPr>
                        <w:t xml:space="preserve"> </w:t>
                      </w:r>
                      <w:r>
                        <w:rPr>
                          <w:color w:val="231F20"/>
                          <w:w w:val="90"/>
                        </w:rPr>
                        <w:t>homogeneous</w:t>
                      </w:r>
                      <w:r>
                        <w:rPr>
                          <w:color w:val="231F20"/>
                          <w:spacing w:val="-3"/>
                          <w:w w:val="90"/>
                        </w:rPr>
                        <w:t xml:space="preserve"> </w:t>
                      </w:r>
                      <w:r>
                        <w:rPr>
                          <w:color w:val="231F20"/>
                          <w:w w:val="90"/>
                        </w:rPr>
                        <w:t>with</w:t>
                      </w:r>
                      <w:r>
                        <w:rPr>
                          <w:color w:val="231F20"/>
                          <w:spacing w:val="-4"/>
                          <w:w w:val="90"/>
                        </w:rPr>
                        <w:t xml:space="preserve"> </w:t>
                      </w:r>
                      <w:r>
                        <w:rPr>
                          <w:color w:val="231F20"/>
                          <w:w w:val="90"/>
                        </w:rPr>
                        <w:t>respect</w:t>
                      </w:r>
                      <w:r>
                        <w:rPr>
                          <w:color w:val="231F20"/>
                          <w:spacing w:val="-3"/>
                          <w:w w:val="90"/>
                        </w:rPr>
                        <w:t xml:space="preserve"> </w:t>
                      </w:r>
                      <w:r>
                        <w:rPr>
                          <w:color w:val="231F20"/>
                          <w:w w:val="90"/>
                        </w:rPr>
                        <w:t xml:space="preserve">totourists’ </w:t>
                      </w:r>
                      <w:r>
                        <w:rPr>
                          <w:color w:val="231F20"/>
                          <w:spacing w:val="-2"/>
                          <w:w w:val="95"/>
                        </w:rPr>
                        <w:t>motivations,</w:t>
                      </w:r>
                      <w:r>
                        <w:rPr>
                          <w:color w:val="231F20"/>
                          <w:spacing w:val="-8"/>
                          <w:w w:val="95"/>
                        </w:rPr>
                        <w:t xml:space="preserve"> </w:t>
                      </w:r>
                      <w:r>
                        <w:rPr>
                          <w:color w:val="231F20"/>
                          <w:spacing w:val="-2"/>
                          <w:w w:val="95"/>
                        </w:rPr>
                        <w:t>experiences</w:t>
                      </w:r>
                      <w:r>
                        <w:rPr>
                          <w:color w:val="231F20"/>
                          <w:spacing w:val="-7"/>
                          <w:w w:val="95"/>
                        </w:rPr>
                        <w:t xml:space="preserve"> </w:t>
                      </w:r>
                      <w:r>
                        <w:rPr>
                          <w:color w:val="231F20"/>
                          <w:spacing w:val="-2"/>
                          <w:w w:val="95"/>
                        </w:rPr>
                        <w:t>and</w:t>
                      </w:r>
                      <w:r>
                        <w:rPr>
                          <w:color w:val="231F20"/>
                          <w:spacing w:val="-7"/>
                          <w:w w:val="95"/>
                        </w:rPr>
                        <w:t xml:space="preserve"> </w:t>
                      </w:r>
                      <w:r>
                        <w:rPr>
                          <w:color w:val="231F20"/>
                          <w:spacing w:val="-2"/>
                          <w:w w:val="95"/>
                        </w:rPr>
                        <w:t>environments</w:t>
                      </w:r>
                      <w:r>
                        <w:rPr>
                          <w:color w:val="231F20"/>
                          <w:spacing w:val="-7"/>
                          <w:w w:val="95"/>
                        </w:rPr>
                        <w:t xml:space="preserve"> </w:t>
                      </w:r>
                      <w:r>
                        <w:rPr>
                          <w:color w:val="231F20"/>
                          <w:spacing w:val="-2"/>
                          <w:w w:val="95"/>
                        </w:rPr>
                        <w:t>(Uriely,</w:t>
                      </w:r>
                      <w:r>
                        <w:rPr>
                          <w:color w:val="231F20"/>
                          <w:spacing w:val="-8"/>
                          <w:w w:val="95"/>
                        </w:rPr>
                        <w:t xml:space="preserve"> </w:t>
                      </w:r>
                      <w:r>
                        <w:rPr>
                          <w:color w:val="231F20"/>
                          <w:spacing w:val="-2"/>
                          <w:w w:val="95"/>
                        </w:rPr>
                        <w:t>1997).</w:t>
                      </w:r>
                      <w:r>
                        <w:rPr>
                          <w:color w:val="231F20"/>
                          <w:spacing w:val="-7"/>
                          <w:w w:val="95"/>
                        </w:rPr>
                        <w:t xml:space="preserve"> </w:t>
                      </w:r>
                      <w:r>
                        <w:rPr>
                          <w:color w:val="231F20"/>
                          <w:spacing w:val="-2"/>
                          <w:w w:val="95"/>
                        </w:rPr>
                        <w:t xml:space="preserve">Postmodernism </w:t>
                      </w:r>
                      <w:r>
                        <w:rPr>
                          <w:color w:val="231F20"/>
                          <w:spacing w:val="-4"/>
                          <w:w w:val="95"/>
                        </w:rPr>
                        <w:t>emphasises co</w:t>
                      </w:r>
                      <w:r>
                        <w:rPr>
                          <w:color w:val="231F20"/>
                          <w:spacing w:val="-4"/>
                          <w:w w:val="95"/>
                        </w:rPr>
                        <w:t>ntemporary tourists’ quests for authenticity pursued through</w:t>
                      </w:r>
                      <w:r>
                        <w:rPr>
                          <w:color w:val="231F20"/>
                          <w:w w:val="95"/>
                        </w:rPr>
                        <w:t xml:space="preserve"> multifaceted</w:t>
                      </w:r>
                      <w:r>
                        <w:rPr>
                          <w:color w:val="231F20"/>
                          <w:spacing w:val="-8"/>
                          <w:w w:val="95"/>
                        </w:rPr>
                        <w:t xml:space="preserve"> </w:t>
                      </w:r>
                      <w:r>
                        <w:rPr>
                          <w:color w:val="231F20"/>
                          <w:w w:val="95"/>
                        </w:rPr>
                        <w:t>touristic</w:t>
                      </w:r>
                      <w:r>
                        <w:rPr>
                          <w:color w:val="231F20"/>
                          <w:spacing w:val="-8"/>
                          <w:w w:val="95"/>
                        </w:rPr>
                        <w:t xml:space="preserve"> </w:t>
                      </w:r>
                      <w:r>
                        <w:rPr>
                          <w:color w:val="231F20"/>
                          <w:w w:val="95"/>
                        </w:rPr>
                        <w:t>behaviours</w:t>
                      </w:r>
                      <w:r>
                        <w:rPr>
                          <w:color w:val="231F20"/>
                          <w:spacing w:val="-8"/>
                          <w:w w:val="95"/>
                        </w:rPr>
                        <w:t xml:space="preserve"> </w:t>
                      </w:r>
                      <w:r>
                        <w:rPr>
                          <w:color w:val="231F20"/>
                          <w:w w:val="95"/>
                        </w:rPr>
                        <w:t>imbued</w:t>
                      </w:r>
                      <w:r>
                        <w:rPr>
                          <w:color w:val="231F20"/>
                          <w:spacing w:val="-8"/>
                          <w:w w:val="95"/>
                        </w:rPr>
                        <w:t xml:space="preserve"> </w:t>
                      </w:r>
                      <w:r>
                        <w:rPr>
                          <w:color w:val="231F20"/>
                          <w:w w:val="95"/>
                        </w:rPr>
                        <w:t>with</w:t>
                      </w:r>
                      <w:r>
                        <w:rPr>
                          <w:color w:val="231F20"/>
                          <w:spacing w:val="-8"/>
                          <w:w w:val="95"/>
                        </w:rPr>
                        <w:t xml:space="preserve"> </w:t>
                      </w:r>
                      <w:r>
                        <w:rPr>
                          <w:color w:val="231F20"/>
                          <w:w w:val="95"/>
                        </w:rPr>
                        <w:t>mobility,</w:t>
                      </w:r>
                      <w:r>
                        <w:rPr>
                          <w:color w:val="231F20"/>
                          <w:spacing w:val="-8"/>
                          <w:w w:val="95"/>
                        </w:rPr>
                        <w:t xml:space="preserve"> </w:t>
                      </w:r>
                      <w:r>
                        <w:rPr>
                          <w:color w:val="231F20"/>
                          <w:w w:val="95"/>
                        </w:rPr>
                        <w:t>embodiment</w:t>
                      </w:r>
                      <w:r>
                        <w:rPr>
                          <w:color w:val="231F20"/>
                          <w:spacing w:val="-8"/>
                          <w:w w:val="95"/>
                        </w:rPr>
                        <w:t xml:space="preserve"> </w:t>
                      </w:r>
                      <w:r>
                        <w:rPr>
                          <w:color w:val="231F20"/>
                          <w:w w:val="95"/>
                        </w:rPr>
                        <w:t xml:space="preserve">and </w:t>
                      </w:r>
                      <w:r>
                        <w:rPr>
                          <w:color w:val="231F20"/>
                          <w:spacing w:val="-4"/>
                        </w:rPr>
                        <w:t>nostalgia.</w:t>
                      </w:r>
                      <w:r>
                        <w:rPr>
                          <w:color w:val="231F20"/>
                          <w:spacing w:val="20"/>
                        </w:rPr>
                        <w:t xml:space="preserve"> </w:t>
                      </w:r>
                      <w:r>
                        <w:rPr>
                          <w:color w:val="231F20"/>
                          <w:spacing w:val="-4"/>
                        </w:rPr>
                        <w:t>Moreover,</w:t>
                      </w:r>
                      <w:r>
                        <w:rPr>
                          <w:color w:val="231F20"/>
                          <w:spacing w:val="20"/>
                        </w:rPr>
                        <w:t xml:space="preserve"> </w:t>
                      </w:r>
                      <w:r>
                        <w:rPr>
                          <w:color w:val="231F20"/>
                          <w:spacing w:val="-4"/>
                        </w:rPr>
                        <w:t>validation</w:t>
                      </w:r>
                      <w:r>
                        <w:rPr>
                          <w:color w:val="231F20"/>
                          <w:spacing w:val="20"/>
                        </w:rPr>
                        <w:t xml:space="preserve"> </w:t>
                      </w:r>
                      <w:r>
                        <w:rPr>
                          <w:color w:val="231F20"/>
                          <w:spacing w:val="-4"/>
                        </w:rPr>
                        <w:t>of</w:t>
                      </w:r>
                      <w:r>
                        <w:rPr>
                          <w:color w:val="231F20"/>
                          <w:spacing w:val="20"/>
                        </w:rPr>
                        <w:t xml:space="preserve"> </w:t>
                      </w:r>
                      <w:r>
                        <w:rPr>
                          <w:color w:val="231F20"/>
                          <w:spacing w:val="-4"/>
                        </w:rPr>
                        <w:t>media-shaped</w:t>
                      </w:r>
                      <w:r>
                        <w:rPr>
                          <w:color w:val="231F20"/>
                          <w:spacing w:val="20"/>
                        </w:rPr>
                        <w:t xml:space="preserve"> </w:t>
                      </w:r>
                      <w:r>
                        <w:rPr>
                          <w:color w:val="231F20"/>
                          <w:spacing w:val="-4"/>
                        </w:rPr>
                        <w:t>constructions</w:t>
                      </w:r>
                      <w:r>
                        <w:rPr>
                          <w:color w:val="231F20"/>
                          <w:spacing w:val="20"/>
                        </w:rPr>
                        <w:t xml:space="preserve"> </w:t>
                      </w:r>
                      <w:r>
                        <w:rPr>
                          <w:color w:val="231F20"/>
                          <w:spacing w:val="-4"/>
                        </w:rPr>
                        <w:t>of</w:t>
                      </w:r>
                      <w:r>
                        <w:rPr>
                          <w:color w:val="231F20"/>
                          <w:spacing w:val="20"/>
                        </w:rPr>
                        <w:t xml:space="preserve"> </w:t>
                      </w:r>
                      <w:r>
                        <w:rPr>
                          <w:color w:val="231F20"/>
                          <w:spacing w:val="-4"/>
                        </w:rPr>
                        <w:t>place</w:t>
                      </w:r>
                    </w:p>
                  </w:txbxContent>
                </v:textbox>
                <w10:wrap type="topAndBottom" anchorx="page"/>
              </v:shape>
            </w:pict>
          </mc:Fallback>
        </mc:AlternateContent>
      </w:r>
    </w:p>
    <w:p w14:paraId="76480670" w14:textId="77777777" w:rsidR="00AE0598" w:rsidRDefault="00AE0598">
      <w:pPr>
        <w:rPr>
          <w:sz w:val="26"/>
        </w:rPr>
        <w:sectPr w:rsidR="00AE0598">
          <w:pgSz w:w="8850" w:h="13270"/>
          <w:pgMar w:top="720" w:right="1060" w:bottom="280" w:left="1080" w:header="720" w:footer="720" w:gutter="0"/>
          <w:cols w:space="720"/>
        </w:sectPr>
      </w:pPr>
    </w:p>
    <w:p w14:paraId="442BF47E" w14:textId="75DF4A2E" w:rsidR="00AE0598" w:rsidRDefault="0069255A">
      <w:pPr>
        <w:spacing w:before="87"/>
        <w:ind w:left="110" w:right="128"/>
        <w:jc w:val="right"/>
        <w:rPr>
          <w:rFonts w:ascii="Trebuchet MS"/>
          <w:sz w:val="14"/>
        </w:rPr>
      </w:pPr>
      <w:r>
        <w:rPr>
          <w:noProof/>
        </w:rPr>
        <w:lastRenderedPageBreak/>
        <mc:AlternateContent>
          <mc:Choice Requires="wps">
            <w:drawing>
              <wp:anchor distT="0" distB="0" distL="114300" distR="114300" simplePos="0" relativeHeight="483685376" behindDoc="1" locked="0" layoutInCell="1" allowOverlap="1" wp14:anchorId="738F4747" wp14:editId="04957CBE">
                <wp:simplePos x="0" y="0"/>
                <wp:positionH relativeFrom="page">
                  <wp:posOffset>755650</wp:posOffset>
                </wp:positionH>
                <wp:positionV relativeFrom="page">
                  <wp:posOffset>838200</wp:posOffset>
                </wp:positionV>
                <wp:extent cx="4104005" cy="6734810"/>
                <wp:effectExtent l="0" t="0" r="0" b="0"/>
                <wp:wrapNone/>
                <wp:docPr id="260" name="docshape1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04005" cy="6734810"/>
                        </a:xfrm>
                        <a:prstGeom prst="rect">
                          <a:avLst/>
                        </a:prstGeom>
                        <a:solidFill>
                          <a:srgbClr val="DCDDD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63D7EC" id="docshape114" o:spid="_x0000_s1026" style="position:absolute;margin-left:59.5pt;margin-top:66pt;width:323.15pt;height:530.3pt;z-index:-196311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" fillcolor="#dcddde" stroked="f">
                <w10:wrap anchorx="page" anchory="page"/>
              </v:rect>
            </w:pict>
          </mc:Fallback>
        </mc:AlternateContent>
      </w:r>
      <w:r>
        <w:rPr>
          <w:rFonts w:ascii="Trebuchet MS"/>
          <w:color w:val="231F20"/>
          <w:w w:val="105"/>
          <w:sz w:val="14"/>
        </w:rPr>
        <w:t>Sport</w:t>
      </w:r>
      <w:r>
        <w:rPr>
          <w:rFonts w:ascii="Trebuchet MS"/>
          <w:color w:val="231F20"/>
          <w:spacing w:val="-7"/>
          <w:w w:val="105"/>
          <w:sz w:val="14"/>
        </w:rPr>
        <w:t xml:space="preserve"> </w:t>
      </w:r>
      <w:r>
        <w:rPr>
          <w:rFonts w:ascii="Trebuchet MS"/>
          <w:color w:val="231F20"/>
          <w:w w:val="105"/>
          <w:sz w:val="14"/>
        </w:rPr>
        <w:t>Tourism</w:t>
      </w:r>
      <w:r>
        <w:rPr>
          <w:rFonts w:ascii="Trebuchet MS"/>
          <w:color w:val="231F20"/>
          <w:spacing w:val="-7"/>
          <w:w w:val="105"/>
          <w:sz w:val="14"/>
        </w:rPr>
        <w:t xml:space="preserve"> </w:t>
      </w:r>
      <w:r>
        <w:rPr>
          <w:rFonts w:ascii="Trebuchet MS"/>
          <w:color w:val="231F20"/>
          <w:w w:val="105"/>
          <w:sz w:val="14"/>
        </w:rPr>
        <w:t>Markets</w:t>
      </w:r>
      <w:r>
        <w:rPr>
          <w:rFonts w:ascii="Trebuchet MS"/>
          <w:color w:val="231F20"/>
          <w:spacing w:val="73"/>
          <w:w w:val="150"/>
          <w:sz w:val="14"/>
        </w:rPr>
        <w:t xml:space="preserve"> </w:t>
      </w:r>
      <w:r>
        <w:rPr>
          <w:rFonts w:ascii="Trebuchet MS"/>
          <w:color w:val="231F20"/>
          <w:spacing w:val="-5"/>
          <w:w w:val="105"/>
          <w:sz w:val="14"/>
        </w:rPr>
        <w:t>61</w:t>
      </w:r>
    </w:p>
    <w:p w14:paraId="654F5EB6" w14:textId="77777777" w:rsidR="00AE0598" w:rsidRDefault="00AE0598">
      <w:pPr>
        <w:pStyle w:val="Corpodetexto"/>
        <w:spacing w:before="1"/>
        <w:rPr>
          <w:rFonts w:ascii="Trebuchet MS"/>
          <w:sz w:val="27"/>
        </w:rPr>
      </w:pPr>
    </w:p>
    <w:p w14:paraId="30F15D43" w14:textId="77777777" w:rsidR="00AE0598" w:rsidRDefault="0069255A">
      <w:pPr>
        <w:pStyle w:val="Corpodetexto"/>
        <w:spacing w:before="103" w:line="232" w:lineRule="auto"/>
        <w:ind w:left="223" w:right="242"/>
        <w:jc w:val="both"/>
      </w:pPr>
      <w:r>
        <w:rPr>
          <w:color w:val="231F20"/>
          <w:w w:val="95"/>
        </w:rPr>
        <w:t>attained through co-presence with sites of personal, cultural or historical significance may yield profound, intensely fulfilling experiences.</w:t>
      </w:r>
    </w:p>
    <w:p w14:paraId="36939175" w14:textId="77777777" w:rsidR="00AE0598" w:rsidRDefault="0069255A">
      <w:pPr>
        <w:pStyle w:val="Corpodetexto"/>
        <w:spacing w:before="2" w:line="232" w:lineRule="auto"/>
        <w:ind w:left="223" w:right="240" w:firstLine="320"/>
        <w:jc w:val="both"/>
      </w:pPr>
      <w:r>
        <w:rPr>
          <w:color w:val="231F20"/>
        </w:rPr>
        <w:t xml:space="preserve">Qualitative data were collected from participants on a cycling and </w:t>
      </w:r>
      <w:r>
        <w:rPr>
          <w:color w:val="231F20"/>
          <w:w w:val="95"/>
        </w:rPr>
        <w:t>spectating</w:t>
      </w:r>
      <w:r>
        <w:rPr>
          <w:color w:val="231F20"/>
          <w:spacing w:val="-7"/>
          <w:w w:val="95"/>
        </w:rPr>
        <w:t xml:space="preserve"> </w:t>
      </w:r>
      <w:r>
        <w:rPr>
          <w:color w:val="231F20"/>
          <w:w w:val="95"/>
        </w:rPr>
        <w:t>tour</w:t>
      </w:r>
      <w:r>
        <w:rPr>
          <w:color w:val="231F20"/>
          <w:spacing w:val="-5"/>
          <w:w w:val="95"/>
        </w:rPr>
        <w:t xml:space="preserve"> </w:t>
      </w:r>
      <w:r>
        <w:rPr>
          <w:color w:val="231F20"/>
          <w:w w:val="95"/>
        </w:rPr>
        <w:t>of</w:t>
      </w:r>
      <w:r>
        <w:rPr>
          <w:color w:val="231F20"/>
          <w:spacing w:val="-7"/>
          <w:w w:val="95"/>
        </w:rPr>
        <w:t xml:space="preserve"> </w:t>
      </w:r>
      <w:r>
        <w:rPr>
          <w:i/>
          <w:color w:val="231F20"/>
          <w:w w:val="95"/>
        </w:rPr>
        <w:t>Le</w:t>
      </w:r>
      <w:r>
        <w:rPr>
          <w:i/>
          <w:color w:val="231F20"/>
          <w:spacing w:val="-5"/>
          <w:w w:val="95"/>
        </w:rPr>
        <w:t xml:space="preserve"> </w:t>
      </w:r>
      <w:r>
        <w:rPr>
          <w:i/>
          <w:color w:val="231F20"/>
          <w:w w:val="95"/>
        </w:rPr>
        <w:t>Tour</w:t>
      </w:r>
      <w:r>
        <w:rPr>
          <w:i/>
          <w:color w:val="231F20"/>
          <w:spacing w:val="-5"/>
          <w:w w:val="95"/>
        </w:rPr>
        <w:t xml:space="preserve"> </w:t>
      </w:r>
      <w:r>
        <w:rPr>
          <w:color w:val="231F20"/>
          <w:w w:val="95"/>
        </w:rPr>
        <w:t>2011</w:t>
      </w:r>
      <w:r>
        <w:rPr>
          <w:color w:val="231F20"/>
          <w:spacing w:val="-5"/>
          <w:w w:val="95"/>
        </w:rPr>
        <w:t xml:space="preserve"> </w:t>
      </w:r>
      <w:r>
        <w:rPr>
          <w:color w:val="231F20"/>
          <w:w w:val="95"/>
        </w:rPr>
        <w:t>to</w:t>
      </w:r>
      <w:r>
        <w:rPr>
          <w:color w:val="231F20"/>
          <w:spacing w:val="-5"/>
          <w:w w:val="95"/>
        </w:rPr>
        <w:t xml:space="preserve"> </w:t>
      </w:r>
      <w:r>
        <w:rPr>
          <w:color w:val="231F20"/>
          <w:w w:val="95"/>
        </w:rPr>
        <w:t>explore</w:t>
      </w:r>
      <w:r>
        <w:rPr>
          <w:color w:val="231F20"/>
          <w:spacing w:val="-5"/>
          <w:w w:val="95"/>
        </w:rPr>
        <w:t xml:space="preserve"> </w:t>
      </w:r>
      <w:r>
        <w:rPr>
          <w:color w:val="231F20"/>
          <w:w w:val="95"/>
        </w:rPr>
        <w:t>their</w:t>
      </w:r>
      <w:r>
        <w:rPr>
          <w:color w:val="231F20"/>
          <w:spacing w:val="-5"/>
          <w:w w:val="95"/>
        </w:rPr>
        <w:t xml:space="preserve"> </w:t>
      </w:r>
      <w:r>
        <w:rPr>
          <w:color w:val="231F20"/>
          <w:w w:val="95"/>
        </w:rPr>
        <w:t>motives</w:t>
      </w:r>
      <w:r>
        <w:rPr>
          <w:color w:val="231F20"/>
          <w:spacing w:val="-5"/>
          <w:w w:val="95"/>
        </w:rPr>
        <w:t xml:space="preserve"> </w:t>
      </w:r>
      <w:r>
        <w:rPr>
          <w:color w:val="231F20"/>
          <w:w w:val="95"/>
        </w:rPr>
        <w:t>and</w:t>
      </w:r>
      <w:r>
        <w:rPr>
          <w:color w:val="231F20"/>
          <w:spacing w:val="-5"/>
          <w:w w:val="95"/>
        </w:rPr>
        <w:t xml:space="preserve"> </w:t>
      </w:r>
      <w:r>
        <w:rPr>
          <w:color w:val="231F20"/>
          <w:w w:val="95"/>
        </w:rPr>
        <w:t xml:space="preserve">consumptive </w:t>
      </w:r>
      <w:r>
        <w:rPr>
          <w:color w:val="231F20"/>
        </w:rPr>
        <w:t>practices.</w:t>
      </w:r>
      <w:r>
        <w:rPr>
          <w:color w:val="231F20"/>
          <w:spacing w:val="-2"/>
        </w:rPr>
        <w:t xml:space="preserve"> </w:t>
      </w:r>
      <w:r>
        <w:rPr>
          <w:color w:val="231F20"/>
        </w:rPr>
        <w:t>Kinaesthetic,</w:t>
      </w:r>
      <w:r>
        <w:rPr>
          <w:color w:val="231F20"/>
          <w:spacing w:val="-2"/>
        </w:rPr>
        <w:t xml:space="preserve"> </w:t>
      </w:r>
      <w:r>
        <w:rPr>
          <w:color w:val="231F20"/>
        </w:rPr>
        <w:t>mobile</w:t>
      </w:r>
      <w:r>
        <w:rPr>
          <w:color w:val="231F20"/>
          <w:spacing w:val="-2"/>
        </w:rPr>
        <w:t xml:space="preserve"> </w:t>
      </w:r>
      <w:r>
        <w:rPr>
          <w:color w:val="231F20"/>
        </w:rPr>
        <w:t>engagement</w:t>
      </w:r>
      <w:r>
        <w:rPr>
          <w:color w:val="231F20"/>
          <w:spacing w:val="-2"/>
        </w:rPr>
        <w:t xml:space="preserve"> </w:t>
      </w:r>
      <w:r>
        <w:rPr>
          <w:color w:val="231F20"/>
        </w:rPr>
        <w:t>with</w:t>
      </w:r>
      <w:r>
        <w:rPr>
          <w:color w:val="231F20"/>
          <w:spacing w:val="-1"/>
        </w:rPr>
        <w:t xml:space="preserve"> </w:t>
      </w:r>
      <w:r>
        <w:rPr>
          <w:i/>
          <w:color w:val="231F20"/>
        </w:rPr>
        <w:t>Le</w:t>
      </w:r>
      <w:r>
        <w:rPr>
          <w:i/>
          <w:color w:val="231F20"/>
          <w:spacing w:val="-2"/>
        </w:rPr>
        <w:t xml:space="preserve"> </w:t>
      </w:r>
      <w:r>
        <w:rPr>
          <w:i/>
          <w:color w:val="231F20"/>
        </w:rPr>
        <w:t>Tour</w:t>
      </w:r>
      <w:r>
        <w:rPr>
          <w:color w:val="231F20"/>
        </w:rPr>
        <w:t>’s</w:t>
      </w:r>
      <w:r>
        <w:rPr>
          <w:color w:val="231F20"/>
          <w:spacing w:val="-2"/>
        </w:rPr>
        <w:t xml:space="preserve"> </w:t>
      </w:r>
      <w:r>
        <w:rPr>
          <w:color w:val="231F20"/>
        </w:rPr>
        <w:t xml:space="preserve">landscapes </w:t>
      </w:r>
      <w:r>
        <w:rPr>
          <w:color w:val="231F20"/>
          <w:w w:val="95"/>
        </w:rPr>
        <w:t xml:space="preserve">permeated narratives around their motives for selecting this tour. Most </w:t>
      </w:r>
      <w:r>
        <w:rPr>
          <w:color w:val="231F20"/>
        </w:rPr>
        <w:t xml:space="preserve">spoke of having followed </w:t>
      </w:r>
      <w:r>
        <w:rPr>
          <w:i/>
          <w:color w:val="231F20"/>
        </w:rPr>
        <w:t xml:space="preserve">Le Tour </w:t>
      </w:r>
      <w:r>
        <w:rPr>
          <w:color w:val="231F20"/>
        </w:rPr>
        <w:t xml:space="preserve">on TV for many years and conveyed </w:t>
      </w:r>
      <w:r>
        <w:rPr>
          <w:color w:val="231F20"/>
          <w:w w:val="95"/>
        </w:rPr>
        <w:t>palpable e</w:t>
      </w:r>
      <w:r>
        <w:rPr>
          <w:color w:val="231F20"/>
          <w:w w:val="95"/>
        </w:rPr>
        <w:t xml:space="preserve">xcitement around cycling its landscapes. Constructed around </w:t>
      </w:r>
      <w:r>
        <w:rPr>
          <w:color w:val="231F20"/>
        </w:rPr>
        <w:t>the</w:t>
      </w:r>
      <w:r>
        <w:rPr>
          <w:color w:val="231F20"/>
          <w:spacing w:val="-9"/>
        </w:rPr>
        <w:t xml:space="preserve"> </w:t>
      </w:r>
      <w:r>
        <w:rPr>
          <w:color w:val="231F20"/>
        </w:rPr>
        <w:t>2011</w:t>
      </w:r>
      <w:r>
        <w:rPr>
          <w:color w:val="231F20"/>
          <w:spacing w:val="-9"/>
        </w:rPr>
        <w:t xml:space="preserve"> </w:t>
      </w:r>
      <w:r>
        <w:rPr>
          <w:color w:val="231F20"/>
        </w:rPr>
        <w:t>event’s</w:t>
      </w:r>
      <w:r>
        <w:rPr>
          <w:color w:val="231F20"/>
          <w:spacing w:val="-9"/>
        </w:rPr>
        <w:t xml:space="preserve"> </w:t>
      </w:r>
      <w:r>
        <w:rPr>
          <w:color w:val="231F20"/>
        </w:rPr>
        <w:t>crescendo</w:t>
      </w:r>
      <w:r>
        <w:rPr>
          <w:color w:val="231F20"/>
          <w:spacing w:val="-9"/>
        </w:rPr>
        <w:t xml:space="preserve"> </w:t>
      </w:r>
      <w:r>
        <w:rPr>
          <w:color w:val="231F20"/>
        </w:rPr>
        <w:t>stages</w:t>
      </w:r>
      <w:r>
        <w:rPr>
          <w:color w:val="231F20"/>
          <w:spacing w:val="-9"/>
        </w:rPr>
        <w:t xml:space="preserve"> </w:t>
      </w:r>
      <w:r>
        <w:rPr>
          <w:color w:val="231F20"/>
        </w:rPr>
        <w:t>in</w:t>
      </w:r>
      <w:r>
        <w:rPr>
          <w:color w:val="231F20"/>
          <w:spacing w:val="-9"/>
        </w:rPr>
        <w:t xml:space="preserve"> </w:t>
      </w:r>
      <w:r>
        <w:rPr>
          <w:color w:val="231F20"/>
        </w:rPr>
        <w:t>the</w:t>
      </w:r>
      <w:r>
        <w:rPr>
          <w:color w:val="231F20"/>
          <w:spacing w:val="-9"/>
        </w:rPr>
        <w:t xml:space="preserve"> </w:t>
      </w:r>
      <w:r>
        <w:rPr>
          <w:color w:val="231F20"/>
        </w:rPr>
        <w:t>French</w:t>
      </w:r>
      <w:r>
        <w:rPr>
          <w:color w:val="231F20"/>
          <w:spacing w:val="-9"/>
        </w:rPr>
        <w:t xml:space="preserve"> </w:t>
      </w:r>
      <w:r>
        <w:rPr>
          <w:color w:val="231F20"/>
        </w:rPr>
        <w:t>Alps,</w:t>
      </w:r>
      <w:r>
        <w:rPr>
          <w:color w:val="231F20"/>
          <w:spacing w:val="-9"/>
        </w:rPr>
        <w:t xml:space="preserve"> </w:t>
      </w:r>
      <w:r>
        <w:rPr>
          <w:color w:val="231F20"/>
        </w:rPr>
        <w:t>a</w:t>
      </w:r>
      <w:r>
        <w:rPr>
          <w:color w:val="231F20"/>
          <w:spacing w:val="-9"/>
        </w:rPr>
        <w:t xml:space="preserve"> </w:t>
      </w:r>
      <w:r>
        <w:rPr>
          <w:color w:val="231F20"/>
        </w:rPr>
        <w:t>mobile</w:t>
      </w:r>
      <w:r>
        <w:rPr>
          <w:color w:val="231F20"/>
          <w:spacing w:val="-9"/>
        </w:rPr>
        <w:t xml:space="preserve"> </w:t>
      </w:r>
      <w:r>
        <w:rPr>
          <w:color w:val="231F20"/>
        </w:rPr>
        <w:t xml:space="preserve">schema enabled participants to cycle parts of </w:t>
      </w:r>
      <w:r>
        <w:rPr>
          <w:i/>
          <w:color w:val="231F20"/>
        </w:rPr>
        <w:t>Le Tour</w:t>
      </w:r>
      <w:r>
        <w:rPr>
          <w:color w:val="231F20"/>
        </w:rPr>
        <w:t>’s route featuring iconic mountain passes such as Alpe d’Huez and the Col du Gal</w:t>
      </w:r>
      <w:r>
        <w:rPr>
          <w:color w:val="231F20"/>
        </w:rPr>
        <w:t xml:space="preserve">ibier, ‘divine </w:t>
      </w:r>
      <w:r>
        <w:rPr>
          <w:color w:val="231F20"/>
          <w:w w:val="95"/>
        </w:rPr>
        <w:t xml:space="preserve">and pitiless backdrops’ (Gaboriau, 2003: 69) where professional cyclists </w:t>
      </w:r>
      <w:r>
        <w:rPr>
          <w:color w:val="231F20"/>
        </w:rPr>
        <w:t>have</w:t>
      </w:r>
      <w:r>
        <w:rPr>
          <w:color w:val="231F20"/>
          <w:spacing w:val="-2"/>
        </w:rPr>
        <w:t xml:space="preserve"> </w:t>
      </w:r>
      <w:r>
        <w:rPr>
          <w:color w:val="231F20"/>
        </w:rPr>
        <w:t>etched</w:t>
      </w:r>
      <w:r>
        <w:rPr>
          <w:color w:val="231F20"/>
          <w:spacing w:val="-2"/>
        </w:rPr>
        <w:t xml:space="preserve"> </w:t>
      </w:r>
      <w:r>
        <w:rPr>
          <w:color w:val="231F20"/>
        </w:rPr>
        <w:t>their</w:t>
      </w:r>
      <w:r>
        <w:rPr>
          <w:color w:val="231F20"/>
          <w:spacing w:val="-2"/>
        </w:rPr>
        <w:t xml:space="preserve"> </w:t>
      </w:r>
      <w:r>
        <w:rPr>
          <w:color w:val="231F20"/>
        </w:rPr>
        <w:t>name</w:t>
      </w:r>
      <w:r>
        <w:rPr>
          <w:color w:val="231F20"/>
          <w:spacing w:val="-2"/>
        </w:rPr>
        <w:t xml:space="preserve"> </w:t>
      </w:r>
      <w:r>
        <w:rPr>
          <w:color w:val="231F20"/>
        </w:rPr>
        <w:t>into</w:t>
      </w:r>
      <w:r>
        <w:rPr>
          <w:color w:val="231F20"/>
          <w:spacing w:val="-2"/>
        </w:rPr>
        <w:t xml:space="preserve"> </w:t>
      </w:r>
      <w:r>
        <w:rPr>
          <w:i/>
          <w:color w:val="231F20"/>
        </w:rPr>
        <w:t>Le</w:t>
      </w:r>
      <w:r>
        <w:rPr>
          <w:i/>
          <w:color w:val="231F20"/>
          <w:spacing w:val="-2"/>
        </w:rPr>
        <w:t xml:space="preserve"> </w:t>
      </w:r>
      <w:r>
        <w:rPr>
          <w:i/>
          <w:color w:val="231F20"/>
        </w:rPr>
        <w:t>Tour</w:t>
      </w:r>
      <w:r>
        <w:rPr>
          <w:i/>
          <w:color w:val="231F20"/>
          <w:spacing w:val="-2"/>
        </w:rPr>
        <w:t xml:space="preserve"> </w:t>
      </w:r>
      <w:r>
        <w:rPr>
          <w:color w:val="231F20"/>
        </w:rPr>
        <w:t>folklore.</w:t>
      </w:r>
      <w:r>
        <w:rPr>
          <w:color w:val="231F20"/>
          <w:spacing w:val="-2"/>
        </w:rPr>
        <w:t xml:space="preserve"> </w:t>
      </w:r>
      <w:r>
        <w:rPr>
          <w:color w:val="231F20"/>
        </w:rPr>
        <w:t>Participants</w:t>
      </w:r>
      <w:r>
        <w:rPr>
          <w:color w:val="231F20"/>
          <w:spacing w:val="-2"/>
        </w:rPr>
        <w:t xml:space="preserve"> </w:t>
      </w:r>
      <w:r>
        <w:rPr>
          <w:color w:val="231F20"/>
        </w:rPr>
        <w:t>then</w:t>
      </w:r>
      <w:r>
        <w:rPr>
          <w:color w:val="231F20"/>
          <w:spacing w:val="-2"/>
        </w:rPr>
        <w:t xml:space="preserve"> </w:t>
      </w:r>
      <w:r>
        <w:rPr>
          <w:color w:val="231F20"/>
        </w:rPr>
        <w:t xml:space="preserve">fluidly </w:t>
      </w:r>
      <w:r>
        <w:rPr>
          <w:color w:val="231F20"/>
          <w:w w:val="95"/>
        </w:rPr>
        <w:t xml:space="preserve">segued into spectator roles, watching the race entourage pass by before </w:t>
      </w:r>
      <w:r>
        <w:rPr>
          <w:color w:val="231F20"/>
        </w:rPr>
        <w:t>being transported by coach back to the hotel at day’s end.</w:t>
      </w:r>
    </w:p>
    <w:p w14:paraId="563FFF3B" w14:textId="77777777" w:rsidR="00AE0598" w:rsidRDefault="0069255A">
      <w:pPr>
        <w:pStyle w:val="Corpodetexto"/>
        <w:spacing w:before="16" w:line="232" w:lineRule="auto"/>
        <w:ind w:left="223" w:right="241" w:firstLine="320"/>
        <w:jc w:val="both"/>
      </w:pPr>
      <w:r>
        <w:rPr>
          <w:color w:val="231F20"/>
        </w:rPr>
        <w:t>While the French Alps were visually striking, participants desired more than merely gazing at imposing landscapes. Intimation</w:t>
      </w:r>
      <w:r>
        <w:rPr>
          <w:color w:val="231F20"/>
        </w:rPr>
        <w:t xml:space="preserve">s of postmodern tourism were evident in that these cycling fans yearned authentic, self-actualising and physically stimulating experiences. </w:t>
      </w:r>
      <w:r>
        <w:rPr>
          <w:color w:val="231F20"/>
          <w:w w:val="95"/>
        </w:rPr>
        <w:t xml:space="preserve">Kinaesthetic submergence in </w:t>
      </w:r>
      <w:r>
        <w:rPr>
          <w:i/>
          <w:color w:val="231F20"/>
          <w:w w:val="95"/>
        </w:rPr>
        <w:t>Le Tour</w:t>
      </w:r>
      <w:r>
        <w:rPr>
          <w:color w:val="231F20"/>
          <w:w w:val="95"/>
        </w:rPr>
        <w:t xml:space="preserve">’s landscapes was a common motive and was crucial to reconciling </w:t>
      </w:r>
      <w:r>
        <w:rPr>
          <w:i/>
          <w:color w:val="231F20"/>
          <w:w w:val="95"/>
        </w:rPr>
        <w:t xml:space="preserve">a priori </w:t>
      </w:r>
      <w:r>
        <w:rPr>
          <w:color w:val="231F20"/>
          <w:w w:val="95"/>
        </w:rPr>
        <w:t>constru</w:t>
      </w:r>
      <w:r>
        <w:rPr>
          <w:color w:val="231F20"/>
          <w:w w:val="95"/>
        </w:rPr>
        <w:t xml:space="preserve">ctions of </w:t>
      </w:r>
      <w:r>
        <w:rPr>
          <w:i/>
          <w:color w:val="231F20"/>
          <w:w w:val="95"/>
        </w:rPr>
        <w:t>Le Tour</w:t>
      </w:r>
      <w:r>
        <w:rPr>
          <w:color w:val="231F20"/>
          <w:w w:val="95"/>
        </w:rPr>
        <w:t xml:space="preserve">’s reality. As one participant described, ‘There are certain great ones [mountains] </w:t>
      </w:r>
      <w:r>
        <w:rPr>
          <w:color w:val="231F20"/>
        </w:rPr>
        <w:t xml:space="preserve">which have so much history of significance in previous Tours </w:t>
      </w:r>
      <w:r>
        <w:rPr>
          <w:color w:val="231F20"/>
          <w:w w:val="105"/>
        </w:rPr>
        <w:t xml:space="preserve">… </w:t>
      </w:r>
      <w:r>
        <w:rPr>
          <w:color w:val="231F20"/>
        </w:rPr>
        <w:t xml:space="preserve">it </w:t>
      </w:r>
      <w:r>
        <w:rPr>
          <w:color w:val="231F20"/>
          <w:w w:val="95"/>
        </w:rPr>
        <w:t xml:space="preserve">would be just like a pilgrimage for me to be able to say I’ve ridden where </w:t>
      </w:r>
      <w:r>
        <w:rPr>
          <w:color w:val="231F20"/>
          <w:w w:val="105"/>
        </w:rPr>
        <w:t xml:space="preserve">X </w:t>
      </w:r>
      <w:r>
        <w:rPr>
          <w:color w:val="231F20"/>
        </w:rPr>
        <w:t xml:space="preserve">attacked </w:t>
      </w:r>
      <w:r>
        <w:rPr>
          <w:color w:val="231F20"/>
          <w:w w:val="105"/>
        </w:rPr>
        <w:t>Y’.</w:t>
      </w:r>
      <w:r>
        <w:rPr>
          <w:color w:val="231F20"/>
          <w:w w:val="105"/>
        </w:rPr>
        <w:t xml:space="preserve"> </w:t>
      </w:r>
      <w:r>
        <w:rPr>
          <w:color w:val="231F20"/>
        </w:rPr>
        <w:t xml:space="preserve">Happenstance encounters with </w:t>
      </w:r>
      <w:r>
        <w:rPr>
          <w:i/>
          <w:color w:val="231F20"/>
        </w:rPr>
        <w:t xml:space="preserve">Le Tour </w:t>
      </w:r>
      <w:r>
        <w:rPr>
          <w:color w:val="231F20"/>
        </w:rPr>
        <w:t>cyclists further enhanced the authenticity of their experiences as did co-constructing roadside</w:t>
      </w:r>
      <w:r>
        <w:rPr>
          <w:color w:val="231F20"/>
          <w:spacing w:val="-3"/>
        </w:rPr>
        <w:t xml:space="preserve"> </w:t>
      </w:r>
      <w:r>
        <w:rPr>
          <w:color w:val="231F20"/>
        </w:rPr>
        <w:t>communitas</w:t>
      </w:r>
      <w:r>
        <w:rPr>
          <w:color w:val="231F20"/>
          <w:spacing w:val="-3"/>
        </w:rPr>
        <w:t xml:space="preserve"> </w:t>
      </w:r>
      <w:r>
        <w:rPr>
          <w:color w:val="231F20"/>
        </w:rPr>
        <w:t>among</w:t>
      </w:r>
      <w:r>
        <w:rPr>
          <w:color w:val="231F20"/>
          <w:spacing w:val="-3"/>
        </w:rPr>
        <w:t xml:space="preserve"> </w:t>
      </w:r>
      <w:r>
        <w:rPr>
          <w:color w:val="231F20"/>
        </w:rPr>
        <w:t>large</w:t>
      </w:r>
      <w:r>
        <w:rPr>
          <w:color w:val="231F20"/>
          <w:spacing w:val="-3"/>
        </w:rPr>
        <w:t xml:space="preserve"> </w:t>
      </w:r>
      <w:r>
        <w:rPr>
          <w:color w:val="231F20"/>
        </w:rPr>
        <w:t>crowds</w:t>
      </w:r>
      <w:r>
        <w:rPr>
          <w:color w:val="231F20"/>
          <w:spacing w:val="-3"/>
        </w:rPr>
        <w:t xml:space="preserve"> </w:t>
      </w:r>
      <w:r>
        <w:rPr>
          <w:color w:val="231F20"/>
        </w:rPr>
        <w:t>of</w:t>
      </w:r>
      <w:r>
        <w:rPr>
          <w:color w:val="231F20"/>
          <w:spacing w:val="-3"/>
        </w:rPr>
        <w:t xml:space="preserve"> </w:t>
      </w:r>
      <w:r>
        <w:rPr>
          <w:color w:val="231F20"/>
        </w:rPr>
        <w:t>spectators.</w:t>
      </w:r>
      <w:r>
        <w:rPr>
          <w:color w:val="231F20"/>
          <w:spacing w:val="-3"/>
        </w:rPr>
        <w:t xml:space="preserve"> </w:t>
      </w:r>
      <w:r>
        <w:rPr>
          <w:color w:val="231F20"/>
        </w:rPr>
        <w:t>Participants’ performative acts thereby created ‘place’, endowing those sites</w:t>
      </w:r>
      <w:r>
        <w:rPr>
          <w:color w:val="231F20"/>
        </w:rPr>
        <w:t xml:space="preserve"> with ‘hot’ authenticity (Cohen </w:t>
      </w:r>
      <w:r>
        <w:rPr>
          <w:color w:val="231F20"/>
          <w:w w:val="105"/>
        </w:rPr>
        <w:t xml:space="preserve">&amp; </w:t>
      </w:r>
      <w:r>
        <w:rPr>
          <w:color w:val="231F20"/>
        </w:rPr>
        <w:t>Cohen, 2012; Lamont, 2014).</w:t>
      </w:r>
    </w:p>
    <w:p w14:paraId="702F7071" w14:textId="77777777" w:rsidR="00AE0598" w:rsidRDefault="0069255A">
      <w:pPr>
        <w:pStyle w:val="Corpodetexto"/>
        <w:spacing w:before="16" w:line="232" w:lineRule="auto"/>
        <w:ind w:left="223" w:right="240" w:firstLine="320"/>
        <w:jc w:val="both"/>
      </w:pPr>
      <w:r>
        <w:rPr>
          <w:color w:val="231F20"/>
        </w:rPr>
        <w:t>This study highlights limitations in seminal sports tourism typologies</w:t>
      </w:r>
      <w:r>
        <w:rPr>
          <w:color w:val="231F20"/>
          <w:spacing w:val="-11"/>
        </w:rPr>
        <w:t xml:space="preserve"> </w:t>
      </w:r>
      <w:r>
        <w:rPr>
          <w:color w:val="231F20"/>
        </w:rPr>
        <w:t>that</w:t>
      </w:r>
      <w:r>
        <w:rPr>
          <w:color w:val="231F20"/>
          <w:spacing w:val="-11"/>
        </w:rPr>
        <w:t xml:space="preserve"> </w:t>
      </w:r>
      <w:r>
        <w:rPr>
          <w:color w:val="231F20"/>
        </w:rPr>
        <w:t>downplay</w:t>
      </w:r>
      <w:r>
        <w:rPr>
          <w:color w:val="231F20"/>
          <w:spacing w:val="-11"/>
        </w:rPr>
        <w:t xml:space="preserve"> </w:t>
      </w:r>
      <w:r>
        <w:rPr>
          <w:color w:val="231F20"/>
        </w:rPr>
        <w:t>potentially</w:t>
      </w:r>
      <w:r>
        <w:rPr>
          <w:color w:val="231F20"/>
          <w:spacing w:val="-11"/>
        </w:rPr>
        <w:t xml:space="preserve"> </w:t>
      </w:r>
      <w:r>
        <w:rPr>
          <w:color w:val="231F20"/>
        </w:rPr>
        <w:t>fluid,</w:t>
      </w:r>
      <w:r>
        <w:rPr>
          <w:color w:val="231F20"/>
          <w:spacing w:val="-11"/>
        </w:rPr>
        <w:t xml:space="preserve"> </w:t>
      </w:r>
      <w:r>
        <w:rPr>
          <w:color w:val="231F20"/>
        </w:rPr>
        <w:t>multifaceted</w:t>
      </w:r>
      <w:r>
        <w:rPr>
          <w:color w:val="231F20"/>
          <w:spacing w:val="-11"/>
        </w:rPr>
        <w:t xml:space="preserve"> </w:t>
      </w:r>
      <w:r>
        <w:rPr>
          <w:color w:val="231F20"/>
        </w:rPr>
        <w:t>roles</w:t>
      </w:r>
      <w:r>
        <w:rPr>
          <w:color w:val="231F20"/>
          <w:spacing w:val="-11"/>
        </w:rPr>
        <w:t xml:space="preserve"> </w:t>
      </w:r>
      <w:r>
        <w:rPr>
          <w:color w:val="231F20"/>
        </w:rPr>
        <w:t>that</w:t>
      </w:r>
      <w:r>
        <w:rPr>
          <w:color w:val="231F20"/>
          <w:spacing w:val="-11"/>
        </w:rPr>
        <w:t xml:space="preserve"> </w:t>
      </w:r>
      <w:r>
        <w:rPr>
          <w:color w:val="231F20"/>
        </w:rPr>
        <w:t>may be adopted by contemporary sports tourists. A postmodernist le</w:t>
      </w:r>
      <w:r>
        <w:rPr>
          <w:color w:val="231F20"/>
        </w:rPr>
        <w:t>ns is beneficial in encapsulating multifarious motivations driving sports tourism participation while simultaneously accounting for diverse modes of consumption imbued with mobility and embodiment in the pursuit of fulfilling, authentic experiences.</w:t>
      </w:r>
    </w:p>
    <w:p w14:paraId="66F9A279" w14:textId="77777777" w:rsidR="00AE0598" w:rsidRDefault="00AE0598">
      <w:pPr>
        <w:pStyle w:val="Corpodetexto"/>
        <w:spacing w:before="8"/>
      </w:pPr>
    </w:p>
    <w:p w14:paraId="11DAECE1" w14:textId="77777777" w:rsidR="00AE0598" w:rsidRDefault="0069255A">
      <w:pPr>
        <w:ind w:left="223"/>
        <w:jc w:val="both"/>
        <w:rPr>
          <w:rFonts w:ascii="Trebuchet MS"/>
          <w:sz w:val="20"/>
        </w:rPr>
      </w:pPr>
      <w:r>
        <w:rPr>
          <w:rFonts w:ascii="Trebuchet MS"/>
          <w:color w:val="231F20"/>
          <w:w w:val="105"/>
          <w:sz w:val="20"/>
        </w:rPr>
        <w:t>Key</w:t>
      </w:r>
      <w:r>
        <w:rPr>
          <w:rFonts w:ascii="Trebuchet MS"/>
          <w:color w:val="231F20"/>
          <w:spacing w:val="-11"/>
          <w:w w:val="105"/>
          <w:sz w:val="20"/>
        </w:rPr>
        <w:t xml:space="preserve"> </w:t>
      </w:r>
      <w:r>
        <w:rPr>
          <w:rFonts w:ascii="Trebuchet MS"/>
          <w:color w:val="231F20"/>
          <w:spacing w:val="-2"/>
          <w:w w:val="105"/>
          <w:sz w:val="20"/>
        </w:rPr>
        <w:t>Reading</w:t>
      </w:r>
    </w:p>
    <w:p w14:paraId="16BE1CF4" w14:textId="77777777" w:rsidR="00AE0598" w:rsidRDefault="0069255A">
      <w:pPr>
        <w:pStyle w:val="Corpodetexto"/>
        <w:spacing w:before="122" w:line="232" w:lineRule="auto"/>
        <w:ind w:left="223" w:right="241"/>
        <w:jc w:val="both"/>
      </w:pPr>
      <w:r>
        <w:rPr>
          <w:color w:val="231F20"/>
        </w:rPr>
        <w:t xml:space="preserve">Lamont, </w:t>
      </w:r>
      <w:r>
        <w:rPr>
          <w:color w:val="231F20"/>
          <w:w w:val="110"/>
        </w:rPr>
        <w:t xml:space="preserve">M. </w:t>
      </w:r>
      <w:r>
        <w:rPr>
          <w:color w:val="231F20"/>
        </w:rPr>
        <w:t xml:space="preserve">and McKay, </w:t>
      </w:r>
      <w:r>
        <w:rPr>
          <w:color w:val="231F20"/>
          <w:w w:val="110"/>
        </w:rPr>
        <w:t xml:space="preserve">J. </w:t>
      </w:r>
      <w:r>
        <w:rPr>
          <w:color w:val="231F20"/>
        </w:rPr>
        <w:t>(2012) Intimations of postmodernity in sports</w:t>
      </w:r>
      <w:r>
        <w:rPr>
          <w:color w:val="231F20"/>
          <w:spacing w:val="40"/>
        </w:rPr>
        <w:t xml:space="preserve"> </w:t>
      </w:r>
      <w:r>
        <w:rPr>
          <w:color w:val="231F20"/>
        </w:rPr>
        <w:t>tourism</w:t>
      </w:r>
      <w:r>
        <w:rPr>
          <w:color w:val="231F20"/>
          <w:spacing w:val="40"/>
        </w:rPr>
        <w:t xml:space="preserve"> </w:t>
      </w:r>
      <w:r>
        <w:rPr>
          <w:color w:val="231F20"/>
        </w:rPr>
        <w:t>at</w:t>
      </w:r>
      <w:r>
        <w:rPr>
          <w:color w:val="231F20"/>
          <w:spacing w:val="40"/>
        </w:rPr>
        <w:t xml:space="preserve"> </w:t>
      </w:r>
      <w:r>
        <w:rPr>
          <w:color w:val="231F20"/>
        </w:rPr>
        <w:t>the</w:t>
      </w:r>
      <w:r>
        <w:rPr>
          <w:color w:val="231F20"/>
          <w:spacing w:val="40"/>
        </w:rPr>
        <w:t xml:space="preserve"> </w:t>
      </w:r>
      <w:r>
        <w:rPr>
          <w:color w:val="231F20"/>
        </w:rPr>
        <w:t>Tour</w:t>
      </w:r>
      <w:r>
        <w:rPr>
          <w:color w:val="231F20"/>
          <w:spacing w:val="40"/>
        </w:rPr>
        <w:t xml:space="preserve"> </w:t>
      </w:r>
      <w:r>
        <w:rPr>
          <w:color w:val="231F20"/>
        </w:rPr>
        <w:t>de</w:t>
      </w:r>
      <w:r>
        <w:rPr>
          <w:color w:val="231F20"/>
          <w:spacing w:val="40"/>
        </w:rPr>
        <w:t xml:space="preserve"> </w:t>
      </w:r>
      <w:r>
        <w:rPr>
          <w:color w:val="231F20"/>
        </w:rPr>
        <w:t>France.</w:t>
      </w:r>
      <w:r>
        <w:rPr>
          <w:color w:val="231F20"/>
          <w:spacing w:val="40"/>
        </w:rPr>
        <w:t xml:space="preserve"> </w:t>
      </w:r>
      <w:r>
        <w:rPr>
          <w:i/>
          <w:color w:val="231F20"/>
        </w:rPr>
        <w:t>Journal</w:t>
      </w:r>
      <w:r>
        <w:rPr>
          <w:i/>
          <w:color w:val="231F20"/>
          <w:spacing w:val="40"/>
        </w:rPr>
        <w:t xml:space="preserve"> </w:t>
      </w:r>
      <w:r>
        <w:rPr>
          <w:i/>
          <w:color w:val="231F20"/>
        </w:rPr>
        <w:t>of</w:t>
      </w:r>
      <w:r>
        <w:rPr>
          <w:i/>
          <w:color w:val="231F20"/>
          <w:spacing w:val="40"/>
        </w:rPr>
        <w:t xml:space="preserve"> </w:t>
      </w:r>
      <w:r>
        <w:rPr>
          <w:i/>
          <w:color w:val="231F20"/>
        </w:rPr>
        <w:t>Sport</w:t>
      </w:r>
      <w:r>
        <w:rPr>
          <w:i/>
          <w:color w:val="231F20"/>
          <w:spacing w:val="38"/>
          <w:w w:val="110"/>
        </w:rPr>
        <w:t xml:space="preserve"> </w:t>
      </w:r>
      <w:r>
        <w:rPr>
          <w:i/>
          <w:color w:val="231F20"/>
          <w:w w:val="110"/>
        </w:rPr>
        <w:t>&amp;</w:t>
      </w:r>
      <w:r>
        <w:rPr>
          <w:i/>
          <w:color w:val="231F20"/>
          <w:spacing w:val="38"/>
          <w:w w:val="110"/>
        </w:rPr>
        <w:t xml:space="preserve"> </w:t>
      </w:r>
      <w:r>
        <w:rPr>
          <w:i/>
          <w:color w:val="231F20"/>
        </w:rPr>
        <w:t xml:space="preserve">Tourism </w:t>
      </w:r>
      <w:r>
        <w:rPr>
          <w:color w:val="231F20"/>
        </w:rPr>
        <w:t>17 (4), 313–331.</w:t>
      </w:r>
    </w:p>
    <w:p w14:paraId="16696C5F" w14:textId="77777777" w:rsidR="00AE0598" w:rsidRDefault="0069255A">
      <w:pPr>
        <w:spacing w:before="4" w:line="232" w:lineRule="auto"/>
        <w:ind w:left="223" w:right="242" w:firstLine="320"/>
        <w:jc w:val="both"/>
        <w:rPr>
          <w:sz w:val="21"/>
        </w:rPr>
      </w:pPr>
      <w:r>
        <w:rPr>
          <w:i/>
          <w:color w:val="231F20"/>
          <w:sz w:val="21"/>
        </w:rPr>
        <w:t>Additional references cited in this focus point are included in the reference list</w:t>
      </w:r>
      <w:r>
        <w:rPr>
          <w:color w:val="231F20"/>
          <w:sz w:val="21"/>
        </w:rPr>
        <w:t>.</w:t>
      </w:r>
    </w:p>
    <w:p w14:paraId="656F4709" w14:textId="77777777" w:rsidR="00AE0598" w:rsidRDefault="00AE0598">
      <w:pPr>
        <w:spacing w:line="232" w:lineRule="auto"/>
        <w:jc w:val="both"/>
        <w:rPr>
          <w:sz w:val="21"/>
        </w:rPr>
        <w:sectPr w:rsidR="00AE0598">
          <w:pgSz w:w="8850" w:h="13270"/>
          <w:pgMar w:top="720" w:right="1060" w:bottom="280" w:left="1080" w:header="720" w:footer="720" w:gutter="0"/>
          <w:cols w:space="720"/>
        </w:sectPr>
      </w:pPr>
    </w:p>
    <w:p w14:paraId="79050BE4" w14:textId="77777777" w:rsidR="00AE0598" w:rsidRDefault="0069255A">
      <w:pPr>
        <w:spacing w:before="87"/>
        <w:ind w:left="108"/>
        <w:rPr>
          <w:rFonts w:ascii="Trebuchet MS"/>
          <w:sz w:val="14"/>
        </w:rPr>
      </w:pPr>
      <w:r>
        <w:rPr>
          <w:rFonts w:ascii="Trebuchet MS"/>
          <w:color w:val="231F20"/>
          <w:w w:val="105"/>
          <w:sz w:val="14"/>
        </w:rPr>
        <w:lastRenderedPageBreak/>
        <w:t>62</w:t>
      </w:r>
      <w:r>
        <w:rPr>
          <w:rFonts w:ascii="Trebuchet MS"/>
          <w:color w:val="231F20"/>
          <w:spacing w:val="64"/>
          <w:w w:val="150"/>
          <w:sz w:val="14"/>
        </w:rPr>
        <w:t xml:space="preserve"> </w:t>
      </w:r>
      <w:r>
        <w:rPr>
          <w:rFonts w:ascii="Trebuchet MS"/>
          <w:color w:val="231F20"/>
          <w:w w:val="105"/>
          <w:sz w:val="14"/>
        </w:rPr>
        <w:t>Part</w:t>
      </w:r>
      <w:r>
        <w:rPr>
          <w:rFonts w:ascii="Trebuchet MS"/>
          <w:color w:val="231F20"/>
          <w:spacing w:val="-9"/>
          <w:w w:val="105"/>
          <w:sz w:val="14"/>
        </w:rPr>
        <w:t xml:space="preserve"> </w:t>
      </w:r>
      <w:r>
        <w:rPr>
          <w:rFonts w:ascii="Trebuchet MS"/>
          <w:color w:val="231F20"/>
          <w:w w:val="105"/>
          <w:sz w:val="14"/>
        </w:rPr>
        <w:t>2:</w:t>
      </w:r>
      <w:r>
        <w:rPr>
          <w:rFonts w:ascii="Trebuchet MS"/>
          <w:color w:val="231F20"/>
          <w:spacing w:val="-9"/>
          <w:w w:val="105"/>
          <w:sz w:val="14"/>
        </w:rPr>
        <w:t xml:space="preserve"> </w:t>
      </w:r>
      <w:r>
        <w:rPr>
          <w:rFonts w:ascii="Trebuchet MS"/>
          <w:color w:val="231F20"/>
          <w:w w:val="105"/>
          <w:sz w:val="14"/>
        </w:rPr>
        <w:t>Foundations</w:t>
      </w:r>
      <w:r>
        <w:rPr>
          <w:rFonts w:ascii="Trebuchet MS"/>
          <w:color w:val="231F20"/>
          <w:spacing w:val="-9"/>
          <w:w w:val="105"/>
          <w:sz w:val="14"/>
        </w:rPr>
        <w:t xml:space="preserve"> </w:t>
      </w:r>
      <w:r>
        <w:rPr>
          <w:rFonts w:ascii="Trebuchet MS"/>
          <w:color w:val="231F20"/>
          <w:w w:val="105"/>
          <w:sz w:val="14"/>
        </w:rPr>
        <w:t>of</w:t>
      </w:r>
      <w:r>
        <w:rPr>
          <w:rFonts w:ascii="Trebuchet MS"/>
          <w:color w:val="231F20"/>
          <w:spacing w:val="-9"/>
          <w:w w:val="105"/>
          <w:sz w:val="14"/>
        </w:rPr>
        <w:t xml:space="preserve"> </w:t>
      </w:r>
      <w:r>
        <w:rPr>
          <w:rFonts w:ascii="Trebuchet MS"/>
          <w:color w:val="231F20"/>
          <w:w w:val="105"/>
          <w:sz w:val="14"/>
        </w:rPr>
        <w:t>Sport</w:t>
      </w:r>
      <w:r>
        <w:rPr>
          <w:rFonts w:ascii="Trebuchet MS"/>
          <w:color w:val="231F20"/>
          <w:spacing w:val="-9"/>
          <w:w w:val="105"/>
          <w:sz w:val="14"/>
        </w:rPr>
        <w:t xml:space="preserve"> </w:t>
      </w:r>
      <w:r>
        <w:rPr>
          <w:rFonts w:ascii="Trebuchet MS"/>
          <w:color w:val="231F20"/>
          <w:w w:val="105"/>
          <w:sz w:val="14"/>
        </w:rPr>
        <w:t>Tourism</w:t>
      </w:r>
      <w:r>
        <w:rPr>
          <w:rFonts w:ascii="Trebuchet MS"/>
          <w:color w:val="231F20"/>
          <w:spacing w:val="-9"/>
          <w:w w:val="105"/>
          <w:sz w:val="14"/>
        </w:rPr>
        <w:t xml:space="preserve"> </w:t>
      </w:r>
      <w:r>
        <w:rPr>
          <w:rFonts w:ascii="Trebuchet MS"/>
          <w:color w:val="231F20"/>
          <w:spacing w:val="-2"/>
          <w:w w:val="105"/>
          <w:sz w:val="14"/>
        </w:rPr>
        <w:t>Development</w:t>
      </w:r>
    </w:p>
    <w:p w14:paraId="51A6320C" w14:textId="77777777" w:rsidR="00AE0598" w:rsidRDefault="00AE0598">
      <w:pPr>
        <w:pStyle w:val="Corpodetexto"/>
        <w:rPr>
          <w:rFonts w:ascii="Trebuchet MS"/>
          <w:sz w:val="16"/>
        </w:rPr>
      </w:pPr>
    </w:p>
    <w:p w14:paraId="6FDAD8E3" w14:textId="77777777" w:rsidR="00AE0598" w:rsidRDefault="0069255A">
      <w:pPr>
        <w:spacing w:before="120"/>
        <w:ind w:left="110"/>
        <w:rPr>
          <w:rFonts w:ascii="Trebuchet MS"/>
          <w:b/>
          <w:sz w:val="20"/>
        </w:rPr>
      </w:pPr>
      <w:r>
        <w:rPr>
          <w:rFonts w:ascii="Trebuchet MS"/>
          <w:b/>
          <w:color w:val="231F20"/>
          <w:spacing w:val="-2"/>
          <w:sz w:val="20"/>
        </w:rPr>
        <w:t>Conclusion</w:t>
      </w:r>
    </w:p>
    <w:p w14:paraId="39BF7733" w14:textId="77777777" w:rsidR="00AE0598" w:rsidRDefault="0069255A">
      <w:pPr>
        <w:pStyle w:val="Corpodetexto"/>
        <w:spacing w:before="122" w:line="232" w:lineRule="auto"/>
        <w:ind w:left="110" w:right="126" w:firstLine="320"/>
        <w:jc w:val="both"/>
      </w:pPr>
      <w:r>
        <w:rPr>
          <w:color w:val="231F20"/>
        </w:rPr>
        <w:t>This chapter confirms that sport tourism may be accurately conceptualised as a specialised market in itself while also being characterised</w:t>
      </w:r>
      <w:r>
        <w:rPr>
          <w:color w:val="231F20"/>
          <w:spacing w:val="-8"/>
        </w:rPr>
        <w:t xml:space="preserve"> </w:t>
      </w:r>
      <w:r>
        <w:rPr>
          <w:color w:val="231F20"/>
        </w:rPr>
        <w:t>by</w:t>
      </w:r>
      <w:r>
        <w:rPr>
          <w:color w:val="231F20"/>
          <w:spacing w:val="-8"/>
        </w:rPr>
        <w:t xml:space="preserve"> </w:t>
      </w:r>
      <w:r>
        <w:rPr>
          <w:color w:val="231F20"/>
        </w:rPr>
        <w:t>a</w:t>
      </w:r>
      <w:r>
        <w:rPr>
          <w:color w:val="231F20"/>
          <w:spacing w:val="-8"/>
        </w:rPr>
        <w:t xml:space="preserve"> </w:t>
      </w:r>
      <w:r>
        <w:rPr>
          <w:color w:val="231F20"/>
        </w:rPr>
        <w:t>diversity</w:t>
      </w:r>
      <w:r>
        <w:rPr>
          <w:color w:val="231F20"/>
          <w:spacing w:val="-8"/>
        </w:rPr>
        <w:t xml:space="preserve"> </w:t>
      </w:r>
      <w:r>
        <w:rPr>
          <w:color w:val="231F20"/>
        </w:rPr>
        <w:t>of</w:t>
      </w:r>
      <w:r>
        <w:rPr>
          <w:color w:val="231F20"/>
          <w:spacing w:val="-8"/>
        </w:rPr>
        <w:t xml:space="preserve"> </w:t>
      </w:r>
      <w:r>
        <w:rPr>
          <w:color w:val="231F20"/>
        </w:rPr>
        <w:t>niche</w:t>
      </w:r>
      <w:r>
        <w:rPr>
          <w:color w:val="231F20"/>
          <w:spacing w:val="-8"/>
        </w:rPr>
        <w:t xml:space="preserve"> </w:t>
      </w:r>
      <w:r>
        <w:rPr>
          <w:color w:val="231F20"/>
        </w:rPr>
        <w:t>markets</w:t>
      </w:r>
      <w:r>
        <w:rPr>
          <w:color w:val="231F20"/>
          <w:spacing w:val="-8"/>
        </w:rPr>
        <w:t xml:space="preserve"> </w:t>
      </w:r>
      <w:r>
        <w:rPr>
          <w:color w:val="231F20"/>
        </w:rPr>
        <w:t>(Bull</w:t>
      </w:r>
      <w:r>
        <w:rPr>
          <w:color w:val="231F20"/>
          <w:spacing w:val="-8"/>
        </w:rPr>
        <w:t xml:space="preserve"> </w:t>
      </w:r>
      <w:r>
        <w:rPr>
          <w:color w:val="231F20"/>
        </w:rPr>
        <w:t>&amp;</w:t>
      </w:r>
      <w:r>
        <w:rPr>
          <w:color w:val="231F20"/>
          <w:spacing w:val="-8"/>
        </w:rPr>
        <w:t xml:space="preserve"> </w:t>
      </w:r>
      <w:r>
        <w:rPr>
          <w:color w:val="231F20"/>
        </w:rPr>
        <w:t>Weed,</w:t>
      </w:r>
      <w:r>
        <w:rPr>
          <w:color w:val="231F20"/>
          <w:spacing w:val="-8"/>
        </w:rPr>
        <w:t xml:space="preserve"> </w:t>
      </w:r>
      <w:r>
        <w:rPr>
          <w:color w:val="231F20"/>
        </w:rPr>
        <w:t>1999;</w:t>
      </w:r>
      <w:r>
        <w:rPr>
          <w:color w:val="231F20"/>
          <w:spacing w:val="-8"/>
        </w:rPr>
        <w:t xml:space="preserve"> </w:t>
      </w:r>
      <w:r>
        <w:rPr>
          <w:color w:val="231F20"/>
        </w:rPr>
        <w:t>Chalip, 2001;</w:t>
      </w:r>
      <w:r>
        <w:rPr>
          <w:color w:val="231F20"/>
          <w:spacing w:val="-8"/>
        </w:rPr>
        <w:t xml:space="preserve"> </w:t>
      </w:r>
      <w:r>
        <w:rPr>
          <w:color w:val="231F20"/>
        </w:rPr>
        <w:t>Higham</w:t>
      </w:r>
      <w:r>
        <w:rPr>
          <w:color w:val="231F20"/>
          <w:spacing w:val="-8"/>
        </w:rPr>
        <w:t xml:space="preserve"> </w:t>
      </w:r>
      <w:r>
        <w:rPr>
          <w:color w:val="231F20"/>
        </w:rPr>
        <w:t>&amp;</w:t>
      </w:r>
      <w:r>
        <w:rPr>
          <w:color w:val="231F20"/>
          <w:spacing w:val="-8"/>
        </w:rPr>
        <w:t xml:space="preserve"> </w:t>
      </w:r>
      <w:r>
        <w:rPr>
          <w:color w:val="231F20"/>
        </w:rPr>
        <w:t>Hinch,</w:t>
      </w:r>
      <w:r>
        <w:rPr>
          <w:color w:val="231F20"/>
          <w:spacing w:val="-8"/>
        </w:rPr>
        <w:t xml:space="preserve"> </w:t>
      </w:r>
      <w:r>
        <w:rPr>
          <w:color w:val="231F20"/>
        </w:rPr>
        <w:t>2009).</w:t>
      </w:r>
      <w:r>
        <w:rPr>
          <w:color w:val="231F20"/>
          <w:spacing w:val="-8"/>
        </w:rPr>
        <w:t xml:space="preserve"> </w:t>
      </w:r>
      <w:r>
        <w:rPr>
          <w:color w:val="231F20"/>
        </w:rPr>
        <w:t>These</w:t>
      </w:r>
      <w:r>
        <w:rPr>
          <w:color w:val="231F20"/>
          <w:spacing w:val="-8"/>
        </w:rPr>
        <w:t xml:space="preserve"> </w:t>
      </w:r>
      <w:r>
        <w:rPr>
          <w:color w:val="231F20"/>
        </w:rPr>
        <w:t>niche</w:t>
      </w:r>
      <w:r>
        <w:rPr>
          <w:color w:val="231F20"/>
          <w:spacing w:val="-8"/>
        </w:rPr>
        <w:t xml:space="preserve"> </w:t>
      </w:r>
      <w:r>
        <w:rPr>
          <w:color w:val="231F20"/>
        </w:rPr>
        <w:t>markets</w:t>
      </w:r>
      <w:r>
        <w:rPr>
          <w:color w:val="231F20"/>
          <w:spacing w:val="-8"/>
        </w:rPr>
        <w:t xml:space="preserve"> </w:t>
      </w:r>
      <w:r>
        <w:rPr>
          <w:color w:val="231F20"/>
        </w:rPr>
        <w:t>can</w:t>
      </w:r>
      <w:r>
        <w:rPr>
          <w:color w:val="231F20"/>
          <w:spacing w:val="-8"/>
        </w:rPr>
        <w:t xml:space="preserve"> </w:t>
      </w:r>
      <w:r>
        <w:rPr>
          <w:color w:val="231F20"/>
        </w:rPr>
        <w:t>be</w:t>
      </w:r>
      <w:r>
        <w:rPr>
          <w:color w:val="231F20"/>
          <w:spacing w:val="-8"/>
        </w:rPr>
        <w:t xml:space="preserve"> </w:t>
      </w:r>
      <w:r>
        <w:rPr>
          <w:color w:val="231F20"/>
        </w:rPr>
        <w:t>d</w:t>
      </w:r>
      <w:r>
        <w:rPr>
          <w:color w:val="231F20"/>
        </w:rPr>
        <w:t xml:space="preserve">ifferentiated through geographic, socio-economic, demographic, psychographic and </w:t>
      </w:r>
      <w:r>
        <w:rPr>
          <w:color w:val="231F20"/>
          <w:w w:val="95"/>
        </w:rPr>
        <w:t>behaviouristic segmentation techniques, and vary on cultural grounds. The relevance</w:t>
      </w:r>
      <w:r>
        <w:rPr>
          <w:color w:val="231F20"/>
          <w:spacing w:val="-3"/>
          <w:w w:val="95"/>
        </w:rPr>
        <w:t xml:space="preserve"> </w:t>
      </w:r>
      <w:r>
        <w:rPr>
          <w:color w:val="231F20"/>
          <w:w w:val="95"/>
        </w:rPr>
        <w:t>of</w:t>
      </w:r>
      <w:r>
        <w:rPr>
          <w:color w:val="231F20"/>
          <w:spacing w:val="-3"/>
          <w:w w:val="95"/>
        </w:rPr>
        <w:t xml:space="preserve"> </w:t>
      </w:r>
      <w:r>
        <w:rPr>
          <w:color w:val="231F20"/>
          <w:w w:val="95"/>
        </w:rPr>
        <w:t>critical</w:t>
      </w:r>
      <w:r>
        <w:rPr>
          <w:color w:val="231F20"/>
          <w:spacing w:val="-3"/>
          <w:w w:val="95"/>
        </w:rPr>
        <w:t xml:space="preserve"> </w:t>
      </w:r>
      <w:r>
        <w:rPr>
          <w:color w:val="231F20"/>
          <w:w w:val="95"/>
        </w:rPr>
        <w:t>sport</w:t>
      </w:r>
      <w:r>
        <w:rPr>
          <w:color w:val="231F20"/>
          <w:spacing w:val="-3"/>
          <w:w w:val="95"/>
        </w:rPr>
        <w:t xml:space="preserve"> </w:t>
      </w:r>
      <w:r>
        <w:rPr>
          <w:color w:val="231F20"/>
          <w:w w:val="95"/>
        </w:rPr>
        <w:t>tourism</w:t>
      </w:r>
      <w:r>
        <w:rPr>
          <w:color w:val="231F20"/>
          <w:spacing w:val="-3"/>
          <w:w w:val="95"/>
        </w:rPr>
        <w:t xml:space="preserve"> </w:t>
      </w:r>
      <w:r>
        <w:rPr>
          <w:color w:val="231F20"/>
          <w:w w:val="95"/>
        </w:rPr>
        <w:t>market</w:t>
      </w:r>
      <w:r>
        <w:rPr>
          <w:color w:val="231F20"/>
          <w:spacing w:val="-3"/>
          <w:w w:val="95"/>
        </w:rPr>
        <w:t xml:space="preserve"> </w:t>
      </w:r>
      <w:r>
        <w:rPr>
          <w:color w:val="231F20"/>
          <w:w w:val="95"/>
        </w:rPr>
        <w:t>insights</w:t>
      </w:r>
      <w:r>
        <w:rPr>
          <w:color w:val="231F20"/>
          <w:spacing w:val="-2"/>
          <w:w w:val="95"/>
        </w:rPr>
        <w:t xml:space="preserve"> </w:t>
      </w:r>
      <w:r>
        <w:rPr>
          <w:color w:val="231F20"/>
          <w:w w:val="95"/>
        </w:rPr>
        <w:t>lies</w:t>
      </w:r>
      <w:r>
        <w:rPr>
          <w:color w:val="231F20"/>
          <w:spacing w:val="-2"/>
          <w:w w:val="95"/>
        </w:rPr>
        <w:t xml:space="preserve"> </w:t>
      </w:r>
      <w:r>
        <w:rPr>
          <w:color w:val="231F20"/>
          <w:w w:val="95"/>
        </w:rPr>
        <w:t>in</w:t>
      </w:r>
      <w:r>
        <w:rPr>
          <w:color w:val="231F20"/>
          <w:spacing w:val="-2"/>
          <w:w w:val="95"/>
        </w:rPr>
        <w:t xml:space="preserve"> </w:t>
      </w:r>
      <w:r>
        <w:rPr>
          <w:color w:val="231F20"/>
          <w:w w:val="95"/>
        </w:rPr>
        <w:t>the</w:t>
      </w:r>
      <w:r>
        <w:rPr>
          <w:color w:val="231F20"/>
          <w:spacing w:val="-1"/>
          <w:w w:val="95"/>
        </w:rPr>
        <w:t xml:space="preserve"> </w:t>
      </w:r>
      <w:r>
        <w:rPr>
          <w:color w:val="231F20"/>
          <w:w w:val="95"/>
        </w:rPr>
        <w:t>diversity</w:t>
      </w:r>
      <w:r>
        <w:rPr>
          <w:color w:val="231F20"/>
          <w:spacing w:val="-1"/>
          <w:w w:val="95"/>
        </w:rPr>
        <w:t xml:space="preserve"> </w:t>
      </w:r>
      <w:r>
        <w:rPr>
          <w:color w:val="231F20"/>
          <w:w w:val="95"/>
        </w:rPr>
        <w:t>of</w:t>
      </w:r>
      <w:r>
        <w:rPr>
          <w:color w:val="231F20"/>
          <w:spacing w:val="-1"/>
          <w:w w:val="95"/>
        </w:rPr>
        <w:t xml:space="preserve"> </w:t>
      </w:r>
      <w:r>
        <w:rPr>
          <w:color w:val="231F20"/>
          <w:w w:val="95"/>
        </w:rPr>
        <w:t xml:space="preserve">the constituent segments that collectively comprise the sport tourism market. The travel profiles (e.g. length of stay, modes of transport, accommodation </w:t>
      </w:r>
      <w:r>
        <w:rPr>
          <w:color w:val="231F20"/>
        </w:rPr>
        <w:t>preferences) and secondary tourism motivations (e.g. attractions and activities) that these travellers</w:t>
      </w:r>
      <w:r>
        <w:rPr>
          <w:color w:val="231F20"/>
        </w:rPr>
        <w:t xml:space="preserve"> bring to the tourism destination are the </w:t>
      </w:r>
      <w:r>
        <w:rPr>
          <w:color w:val="231F20"/>
          <w:w w:val="95"/>
        </w:rPr>
        <w:t xml:space="preserve">subject of tourism market research. Scholarly research that addresses sport </w:t>
      </w:r>
      <w:r>
        <w:rPr>
          <w:color w:val="231F20"/>
        </w:rPr>
        <w:t>and</w:t>
      </w:r>
      <w:r>
        <w:rPr>
          <w:color w:val="231F20"/>
          <w:spacing w:val="-8"/>
        </w:rPr>
        <w:t xml:space="preserve"> </w:t>
      </w:r>
      <w:r>
        <w:rPr>
          <w:color w:val="231F20"/>
        </w:rPr>
        <w:t>tourism</w:t>
      </w:r>
      <w:r>
        <w:rPr>
          <w:color w:val="231F20"/>
          <w:spacing w:val="-8"/>
        </w:rPr>
        <w:t xml:space="preserve"> </w:t>
      </w:r>
      <w:r>
        <w:rPr>
          <w:color w:val="231F20"/>
        </w:rPr>
        <w:t>as</w:t>
      </w:r>
      <w:r>
        <w:rPr>
          <w:color w:val="231F20"/>
          <w:spacing w:val="-8"/>
        </w:rPr>
        <w:t xml:space="preserve"> </w:t>
      </w:r>
      <w:r>
        <w:rPr>
          <w:color w:val="231F20"/>
        </w:rPr>
        <w:t>it</w:t>
      </w:r>
      <w:r>
        <w:rPr>
          <w:color w:val="231F20"/>
          <w:spacing w:val="-9"/>
        </w:rPr>
        <w:t xml:space="preserve"> </w:t>
      </w:r>
      <w:r>
        <w:rPr>
          <w:color w:val="231F20"/>
        </w:rPr>
        <w:t>relates</w:t>
      </w:r>
      <w:r>
        <w:rPr>
          <w:color w:val="231F20"/>
          <w:spacing w:val="-8"/>
        </w:rPr>
        <w:t xml:space="preserve"> </w:t>
      </w:r>
      <w:r>
        <w:rPr>
          <w:color w:val="231F20"/>
        </w:rPr>
        <w:t>to</w:t>
      </w:r>
      <w:r>
        <w:rPr>
          <w:color w:val="231F20"/>
          <w:spacing w:val="-9"/>
        </w:rPr>
        <w:t xml:space="preserve"> </w:t>
      </w:r>
      <w:r>
        <w:rPr>
          <w:color w:val="231F20"/>
        </w:rPr>
        <w:t>different</w:t>
      </w:r>
      <w:r>
        <w:rPr>
          <w:color w:val="231F20"/>
          <w:spacing w:val="-8"/>
        </w:rPr>
        <w:t xml:space="preserve"> </w:t>
      </w:r>
      <w:r>
        <w:rPr>
          <w:color w:val="231F20"/>
        </w:rPr>
        <w:t>niche</w:t>
      </w:r>
      <w:r>
        <w:rPr>
          <w:color w:val="231F20"/>
          <w:spacing w:val="-8"/>
        </w:rPr>
        <w:t xml:space="preserve"> </w:t>
      </w:r>
      <w:r>
        <w:rPr>
          <w:color w:val="231F20"/>
        </w:rPr>
        <w:t>markets</w:t>
      </w:r>
      <w:r>
        <w:rPr>
          <w:color w:val="231F20"/>
          <w:spacing w:val="-8"/>
        </w:rPr>
        <w:t xml:space="preserve"> </w:t>
      </w:r>
      <w:r>
        <w:rPr>
          <w:color w:val="231F20"/>
        </w:rPr>
        <w:t>is</w:t>
      </w:r>
      <w:r>
        <w:rPr>
          <w:color w:val="231F20"/>
          <w:spacing w:val="-8"/>
        </w:rPr>
        <w:t xml:space="preserve"> </w:t>
      </w:r>
      <w:r>
        <w:rPr>
          <w:color w:val="231F20"/>
        </w:rPr>
        <w:t>critically</w:t>
      </w:r>
      <w:r>
        <w:rPr>
          <w:color w:val="231F20"/>
          <w:spacing w:val="-9"/>
        </w:rPr>
        <w:t xml:space="preserve"> </w:t>
      </w:r>
      <w:r>
        <w:rPr>
          <w:color w:val="231F20"/>
        </w:rPr>
        <w:t>important to</w:t>
      </w:r>
      <w:r>
        <w:rPr>
          <w:color w:val="231F20"/>
          <w:spacing w:val="-3"/>
        </w:rPr>
        <w:t xml:space="preserve"> </w:t>
      </w:r>
      <w:r>
        <w:rPr>
          <w:color w:val="231F20"/>
        </w:rPr>
        <w:t>our</w:t>
      </w:r>
      <w:r>
        <w:rPr>
          <w:color w:val="231F20"/>
          <w:spacing w:val="-3"/>
        </w:rPr>
        <w:t xml:space="preserve"> </w:t>
      </w:r>
      <w:r>
        <w:rPr>
          <w:color w:val="231F20"/>
        </w:rPr>
        <w:t>understanding</w:t>
      </w:r>
      <w:r>
        <w:rPr>
          <w:color w:val="231F20"/>
          <w:spacing w:val="-3"/>
        </w:rPr>
        <w:t xml:space="preserve"> </w:t>
      </w:r>
      <w:r>
        <w:rPr>
          <w:color w:val="231F20"/>
        </w:rPr>
        <w:t>of</w:t>
      </w:r>
      <w:r>
        <w:rPr>
          <w:color w:val="231F20"/>
          <w:spacing w:val="-3"/>
        </w:rPr>
        <w:t xml:space="preserve"> </w:t>
      </w:r>
      <w:r>
        <w:rPr>
          <w:color w:val="231F20"/>
        </w:rPr>
        <w:t>sport</w:t>
      </w:r>
      <w:r>
        <w:rPr>
          <w:color w:val="231F20"/>
          <w:spacing w:val="-3"/>
        </w:rPr>
        <w:t xml:space="preserve"> </w:t>
      </w:r>
      <w:r>
        <w:rPr>
          <w:color w:val="231F20"/>
        </w:rPr>
        <w:t>tourism</w:t>
      </w:r>
      <w:r>
        <w:rPr>
          <w:color w:val="231F20"/>
          <w:spacing w:val="-3"/>
        </w:rPr>
        <w:t xml:space="preserve"> </w:t>
      </w:r>
      <w:r>
        <w:rPr>
          <w:color w:val="231F20"/>
        </w:rPr>
        <w:t>phenomena,</w:t>
      </w:r>
      <w:r>
        <w:rPr>
          <w:color w:val="231F20"/>
          <w:spacing w:val="-3"/>
        </w:rPr>
        <w:t xml:space="preserve"> </w:t>
      </w:r>
      <w:r>
        <w:rPr>
          <w:color w:val="231F20"/>
        </w:rPr>
        <w:t>and</w:t>
      </w:r>
      <w:r>
        <w:rPr>
          <w:color w:val="231F20"/>
          <w:spacing w:val="-3"/>
        </w:rPr>
        <w:t xml:space="preserve"> </w:t>
      </w:r>
      <w:r>
        <w:rPr>
          <w:color w:val="231F20"/>
        </w:rPr>
        <w:t>the</w:t>
      </w:r>
      <w:r>
        <w:rPr>
          <w:color w:val="231F20"/>
          <w:spacing w:val="-3"/>
        </w:rPr>
        <w:t xml:space="preserve"> </w:t>
      </w:r>
      <w:r>
        <w:rPr>
          <w:color w:val="231F20"/>
        </w:rPr>
        <w:t>effe</w:t>
      </w:r>
      <w:r>
        <w:rPr>
          <w:color w:val="231F20"/>
        </w:rPr>
        <w:t>ctive</w:t>
      </w:r>
      <w:r>
        <w:rPr>
          <w:color w:val="231F20"/>
          <w:spacing w:val="-3"/>
        </w:rPr>
        <w:t xml:space="preserve"> </w:t>
      </w:r>
      <w:r>
        <w:rPr>
          <w:color w:val="231F20"/>
        </w:rPr>
        <w:t xml:space="preserve">and </w:t>
      </w:r>
      <w:r>
        <w:rPr>
          <w:color w:val="231F20"/>
          <w:w w:val="95"/>
        </w:rPr>
        <w:t>sustainable development of sport-related tourism at a destination (Hinch</w:t>
      </w:r>
      <w:r>
        <w:rPr>
          <w:color w:val="231F20"/>
          <w:spacing w:val="80"/>
          <w:w w:val="150"/>
        </w:rPr>
        <w:t xml:space="preserve"> </w:t>
      </w:r>
      <w:r>
        <w:rPr>
          <w:i/>
          <w:color w:val="231F20"/>
        </w:rPr>
        <w:t>et al</w:t>
      </w:r>
      <w:r>
        <w:rPr>
          <w:color w:val="231F20"/>
        </w:rPr>
        <w:t>., 2016).</w:t>
      </w:r>
    </w:p>
    <w:p w14:paraId="014CA763" w14:textId="77777777" w:rsidR="00AE0598" w:rsidRDefault="0069255A">
      <w:pPr>
        <w:pStyle w:val="Corpodetexto"/>
        <w:spacing w:before="20" w:line="232" w:lineRule="auto"/>
        <w:ind w:left="110" w:right="127" w:firstLine="320"/>
        <w:jc w:val="both"/>
      </w:pPr>
      <w:r>
        <w:rPr>
          <w:color w:val="231F20"/>
        </w:rPr>
        <w:t>The study of sport tourism markets offers rich and timely avenues</w:t>
      </w:r>
      <w:r>
        <w:rPr>
          <w:color w:val="231F20"/>
          <w:spacing w:val="80"/>
        </w:rPr>
        <w:t xml:space="preserve"> </w:t>
      </w:r>
      <w:r>
        <w:rPr>
          <w:color w:val="231F20"/>
        </w:rPr>
        <w:t>of</w:t>
      </w:r>
      <w:r>
        <w:rPr>
          <w:color w:val="231F20"/>
          <w:spacing w:val="-2"/>
        </w:rPr>
        <w:t xml:space="preserve"> </w:t>
      </w:r>
      <w:r>
        <w:rPr>
          <w:color w:val="231F20"/>
        </w:rPr>
        <w:t>academic</w:t>
      </w:r>
      <w:r>
        <w:rPr>
          <w:color w:val="231F20"/>
          <w:spacing w:val="-2"/>
        </w:rPr>
        <w:t xml:space="preserve"> </w:t>
      </w:r>
      <w:r>
        <w:rPr>
          <w:color w:val="231F20"/>
        </w:rPr>
        <w:t>research.</w:t>
      </w:r>
      <w:r>
        <w:rPr>
          <w:color w:val="231F20"/>
          <w:spacing w:val="-2"/>
        </w:rPr>
        <w:t xml:space="preserve"> </w:t>
      </w:r>
      <w:r>
        <w:rPr>
          <w:color w:val="231F20"/>
        </w:rPr>
        <w:t>The</w:t>
      </w:r>
      <w:r>
        <w:rPr>
          <w:color w:val="231F20"/>
          <w:spacing w:val="-2"/>
        </w:rPr>
        <w:t xml:space="preserve"> </w:t>
      </w:r>
      <w:r>
        <w:rPr>
          <w:color w:val="231F20"/>
        </w:rPr>
        <w:t>travel</w:t>
      </w:r>
      <w:r>
        <w:rPr>
          <w:color w:val="231F20"/>
          <w:spacing w:val="-2"/>
        </w:rPr>
        <w:t xml:space="preserve"> </w:t>
      </w:r>
      <w:r>
        <w:rPr>
          <w:color w:val="231F20"/>
        </w:rPr>
        <w:t>motivations</w:t>
      </w:r>
      <w:r>
        <w:rPr>
          <w:color w:val="231F20"/>
          <w:spacing w:val="-2"/>
        </w:rPr>
        <w:t xml:space="preserve"> </w:t>
      </w:r>
      <w:r>
        <w:rPr>
          <w:color w:val="231F20"/>
        </w:rPr>
        <w:t>and</w:t>
      </w:r>
      <w:r>
        <w:rPr>
          <w:color w:val="231F20"/>
          <w:spacing w:val="-2"/>
        </w:rPr>
        <w:t xml:space="preserve"> </w:t>
      </w:r>
      <w:r>
        <w:rPr>
          <w:color w:val="231F20"/>
        </w:rPr>
        <w:t>preferences</w:t>
      </w:r>
      <w:r>
        <w:rPr>
          <w:color w:val="231F20"/>
          <w:spacing w:val="-2"/>
        </w:rPr>
        <w:t xml:space="preserve"> </w:t>
      </w:r>
      <w:r>
        <w:rPr>
          <w:color w:val="231F20"/>
        </w:rPr>
        <w:t>of</w:t>
      </w:r>
      <w:r>
        <w:rPr>
          <w:color w:val="231F20"/>
          <w:spacing w:val="-2"/>
        </w:rPr>
        <w:t xml:space="preserve"> </w:t>
      </w:r>
      <w:r>
        <w:rPr>
          <w:color w:val="231F20"/>
        </w:rPr>
        <w:t>distinct sport</w:t>
      </w:r>
      <w:r>
        <w:rPr>
          <w:color w:val="231F20"/>
          <w:spacing w:val="-1"/>
        </w:rPr>
        <w:t xml:space="preserve"> </w:t>
      </w:r>
      <w:r>
        <w:rPr>
          <w:color w:val="231F20"/>
        </w:rPr>
        <w:t>tourism</w:t>
      </w:r>
      <w:r>
        <w:rPr>
          <w:color w:val="231F20"/>
          <w:spacing w:val="-1"/>
        </w:rPr>
        <w:t xml:space="preserve"> </w:t>
      </w:r>
      <w:r>
        <w:rPr>
          <w:color w:val="231F20"/>
        </w:rPr>
        <w:t>markets,</w:t>
      </w:r>
      <w:r>
        <w:rPr>
          <w:color w:val="231F20"/>
          <w:spacing w:val="-1"/>
        </w:rPr>
        <w:t xml:space="preserve"> </w:t>
      </w:r>
      <w:r>
        <w:rPr>
          <w:color w:val="231F20"/>
        </w:rPr>
        <w:t>and</w:t>
      </w:r>
      <w:r>
        <w:rPr>
          <w:color w:val="231F20"/>
          <w:spacing w:val="-1"/>
        </w:rPr>
        <w:t xml:space="preserve"> </w:t>
      </w:r>
      <w:r>
        <w:rPr>
          <w:color w:val="231F20"/>
        </w:rPr>
        <w:t>the</w:t>
      </w:r>
      <w:r>
        <w:rPr>
          <w:color w:val="231F20"/>
          <w:spacing w:val="-1"/>
        </w:rPr>
        <w:t xml:space="preserve"> </w:t>
      </w:r>
      <w:r>
        <w:rPr>
          <w:color w:val="231F20"/>
        </w:rPr>
        <w:t>tourism</w:t>
      </w:r>
      <w:r>
        <w:rPr>
          <w:color w:val="231F20"/>
          <w:spacing w:val="-1"/>
        </w:rPr>
        <w:t xml:space="preserve"> </w:t>
      </w:r>
      <w:r>
        <w:rPr>
          <w:color w:val="231F20"/>
        </w:rPr>
        <w:t>development</w:t>
      </w:r>
      <w:r>
        <w:rPr>
          <w:color w:val="231F20"/>
          <w:spacing w:val="-1"/>
        </w:rPr>
        <w:t xml:space="preserve"> </w:t>
      </w:r>
      <w:r>
        <w:rPr>
          <w:color w:val="231F20"/>
        </w:rPr>
        <w:t>opportunities</w:t>
      </w:r>
      <w:r>
        <w:rPr>
          <w:color w:val="231F20"/>
          <w:spacing w:val="-1"/>
        </w:rPr>
        <w:t xml:space="preserve"> </w:t>
      </w:r>
      <w:r>
        <w:rPr>
          <w:color w:val="231F20"/>
        </w:rPr>
        <w:t>that they offer, have become subjects of a developing academic literature. Glyptis (1991: 181) was one of the first to observe that sport tourism development</w:t>
      </w:r>
      <w:r>
        <w:rPr>
          <w:color w:val="231F20"/>
          <w:spacing w:val="-3"/>
        </w:rPr>
        <w:t xml:space="preserve"> </w:t>
      </w:r>
      <w:r>
        <w:rPr>
          <w:color w:val="231F20"/>
        </w:rPr>
        <w:t>necessitates</w:t>
      </w:r>
      <w:r>
        <w:rPr>
          <w:color w:val="231F20"/>
          <w:spacing w:val="-3"/>
        </w:rPr>
        <w:t xml:space="preserve"> </w:t>
      </w:r>
      <w:r>
        <w:rPr>
          <w:color w:val="231F20"/>
        </w:rPr>
        <w:t>that</w:t>
      </w:r>
      <w:r>
        <w:rPr>
          <w:color w:val="231F20"/>
          <w:spacing w:val="-3"/>
        </w:rPr>
        <w:t xml:space="preserve"> </w:t>
      </w:r>
      <w:r>
        <w:rPr>
          <w:color w:val="231F20"/>
        </w:rPr>
        <w:t>‘sport</w:t>
      </w:r>
      <w:r>
        <w:rPr>
          <w:color w:val="231F20"/>
          <w:spacing w:val="-3"/>
        </w:rPr>
        <w:t xml:space="preserve"> </w:t>
      </w:r>
      <w:r>
        <w:rPr>
          <w:color w:val="231F20"/>
        </w:rPr>
        <w:t>and</w:t>
      </w:r>
      <w:r>
        <w:rPr>
          <w:color w:val="231F20"/>
          <w:spacing w:val="-3"/>
        </w:rPr>
        <w:t xml:space="preserve"> </w:t>
      </w:r>
      <w:r>
        <w:rPr>
          <w:color w:val="231F20"/>
        </w:rPr>
        <w:t>tourism</w:t>
      </w:r>
      <w:r>
        <w:rPr>
          <w:color w:val="231F20"/>
          <w:spacing w:val="-3"/>
        </w:rPr>
        <w:t xml:space="preserve"> </w:t>
      </w:r>
      <w:r>
        <w:rPr>
          <w:color w:val="231F20"/>
        </w:rPr>
        <w:t>au</w:t>
      </w:r>
      <w:r>
        <w:rPr>
          <w:color w:val="231F20"/>
        </w:rPr>
        <w:t>thorities</w:t>
      </w:r>
      <w:r>
        <w:rPr>
          <w:color w:val="231F20"/>
          <w:spacing w:val="-3"/>
        </w:rPr>
        <w:t xml:space="preserve"> </w:t>
      </w:r>
      <w:r>
        <w:rPr>
          <w:color w:val="231F20"/>
        </w:rPr>
        <w:t>talk</w:t>
      </w:r>
      <w:r>
        <w:rPr>
          <w:color w:val="231F20"/>
          <w:spacing w:val="-3"/>
        </w:rPr>
        <w:t xml:space="preserve"> </w:t>
      </w:r>
      <w:r>
        <w:rPr>
          <w:color w:val="231F20"/>
        </w:rPr>
        <w:t>to</w:t>
      </w:r>
      <w:r>
        <w:rPr>
          <w:color w:val="231F20"/>
          <w:spacing w:val="-3"/>
        </w:rPr>
        <w:t xml:space="preserve"> </w:t>
      </w:r>
      <w:r>
        <w:rPr>
          <w:color w:val="231F20"/>
        </w:rPr>
        <w:t xml:space="preserve">one </w:t>
      </w:r>
      <w:r>
        <w:rPr>
          <w:color w:val="231F20"/>
          <w:w w:val="95"/>
        </w:rPr>
        <w:t xml:space="preserve">another and forge real working partnerships’. Detailed insights into sport tourism markets, that extend across spectator and participation events, to </w:t>
      </w:r>
      <w:r>
        <w:rPr>
          <w:color w:val="231F20"/>
        </w:rPr>
        <w:t>active</w:t>
      </w:r>
      <w:r>
        <w:rPr>
          <w:color w:val="231F20"/>
          <w:spacing w:val="-10"/>
        </w:rPr>
        <w:t xml:space="preserve"> </w:t>
      </w:r>
      <w:r>
        <w:rPr>
          <w:color w:val="231F20"/>
        </w:rPr>
        <w:t>engagement</w:t>
      </w:r>
      <w:r>
        <w:rPr>
          <w:color w:val="231F20"/>
          <w:spacing w:val="-10"/>
        </w:rPr>
        <w:t xml:space="preserve"> </w:t>
      </w:r>
      <w:r>
        <w:rPr>
          <w:color w:val="231F20"/>
        </w:rPr>
        <w:t>in</w:t>
      </w:r>
      <w:r>
        <w:rPr>
          <w:color w:val="231F20"/>
          <w:spacing w:val="-10"/>
        </w:rPr>
        <w:t xml:space="preserve"> </w:t>
      </w:r>
      <w:r>
        <w:rPr>
          <w:color w:val="231F20"/>
        </w:rPr>
        <w:t>recreational</w:t>
      </w:r>
      <w:r>
        <w:rPr>
          <w:color w:val="231F20"/>
          <w:spacing w:val="-10"/>
        </w:rPr>
        <w:t xml:space="preserve"> </w:t>
      </w:r>
      <w:r>
        <w:rPr>
          <w:color w:val="231F20"/>
        </w:rPr>
        <w:t>sports</w:t>
      </w:r>
      <w:r>
        <w:rPr>
          <w:color w:val="231F20"/>
          <w:spacing w:val="-10"/>
        </w:rPr>
        <w:t xml:space="preserve"> </w:t>
      </w:r>
      <w:r>
        <w:rPr>
          <w:color w:val="231F20"/>
        </w:rPr>
        <w:t>and</w:t>
      </w:r>
      <w:r>
        <w:rPr>
          <w:color w:val="231F20"/>
          <w:spacing w:val="-10"/>
        </w:rPr>
        <w:t xml:space="preserve"> </w:t>
      </w:r>
      <w:r>
        <w:rPr>
          <w:color w:val="231F20"/>
        </w:rPr>
        <w:t>sports</w:t>
      </w:r>
      <w:r>
        <w:rPr>
          <w:color w:val="231F20"/>
          <w:spacing w:val="-10"/>
        </w:rPr>
        <w:t xml:space="preserve"> </w:t>
      </w:r>
      <w:r>
        <w:rPr>
          <w:color w:val="231F20"/>
        </w:rPr>
        <w:t>heritage,</w:t>
      </w:r>
      <w:r>
        <w:rPr>
          <w:color w:val="231F20"/>
          <w:spacing w:val="-10"/>
        </w:rPr>
        <w:t xml:space="preserve"> </w:t>
      </w:r>
      <w:r>
        <w:rPr>
          <w:color w:val="231F20"/>
        </w:rPr>
        <w:t>will</w:t>
      </w:r>
      <w:r>
        <w:rPr>
          <w:color w:val="231F20"/>
          <w:spacing w:val="-10"/>
        </w:rPr>
        <w:t xml:space="preserve"> </w:t>
      </w:r>
      <w:r>
        <w:rPr>
          <w:color w:val="231F20"/>
        </w:rPr>
        <w:t>help</w:t>
      </w:r>
      <w:r>
        <w:rPr>
          <w:color w:val="231F20"/>
          <w:spacing w:val="-10"/>
        </w:rPr>
        <w:t xml:space="preserve"> </w:t>
      </w:r>
      <w:r>
        <w:rPr>
          <w:color w:val="231F20"/>
        </w:rPr>
        <w:t>to facilitate the establishment of such partnerships.</w:t>
      </w:r>
    </w:p>
    <w:p w14:paraId="74BE3BDB" w14:textId="77777777" w:rsidR="00AE0598" w:rsidRDefault="00AE0598">
      <w:pPr>
        <w:spacing w:line="232" w:lineRule="auto"/>
        <w:jc w:val="both"/>
        <w:sectPr w:rsidR="00AE0598">
          <w:pgSz w:w="8850" w:h="13270"/>
          <w:pgMar w:top="720" w:right="1060" w:bottom="280" w:left="1080" w:header="720" w:footer="720" w:gutter="0"/>
          <w:cols w:space="720"/>
        </w:sectPr>
      </w:pPr>
    </w:p>
    <w:p w14:paraId="410B37EC" w14:textId="77777777" w:rsidR="00AE0598" w:rsidRDefault="0069255A">
      <w:pPr>
        <w:pStyle w:val="Ttulo1"/>
        <w:spacing w:line="252" w:lineRule="auto"/>
        <w:ind w:left="595" w:right="445" w:hanging="486"/>
      </w:pPr>
      <w:bookmarkStart w:id="10" w:name="_TOC_250009"/>
      <w:r>
        <w:rPr>
          <w:color w:val="231F20"/>
          <w:spacing w:val="-2"/>
          <w:w w:val="105"/>
        </w:rPr>
        <w:lastRenderedPageBreak/>
        <w:t>4</w:t>
      </w:r>
      <w:r>
        <w:rPr>
          <w:color w:val="231F20"/>
          <w:spacing w:val="3"/>
          <w:w w:val="105"/>
        </w:rPr>
        <w:t xml:space="preserve"> </w:t>
      </w:r>
      <w:r>
        <w:rPr>
          <w:color w:val="231F20"/>
          <w:spacing w:val="-2"/>
          <w:w w:val="105"/>
        </w:rPr>
        <w:t>Development</w:t>
      </w:r>
      <w:r>
        <w:rPr>
          <w:color w:val="231F20"/>
          <w:spacing w:val="-35"/>
          <w:w w:val="105"/>
        </w:rPr>
        <w:t xml:space="preserve"> </w:t>
      </w:r>
      <w:r>
        <w:rPr>
          <w:color w:val="231F20"/>
          <w:spacing w:val="-2"/>
          <w:w w:val="105"/>
        </w:rPr>
        <w:t xml:space="preserve">Processes </w:t>
      </w:r>
      <w:bookmarkEnd w:id="10"/>
      <w:r>
        <w:rPr>
          <w:color w:val="231F20"/>
          <w:w w:val="105"/>
        </w:rPr>
        <w:t>and Issues</w:t>
      </w:r>
    </w:p>
    <w:p w14:paraId="666D2562" w14:textId="77777777" w:rsidR="00AE0598" w:rsidRDefault="00AE0598">
      <w:pPr>
        <w:pStyle w:val="Corpodetexto"/>
        <w:spacing w:before="2"/>
        <w:rPr>
          <w:rFonts w:ascii="Trebuchet MS"/>
          <w:sz w:val="78"/>
        </w:rPr>
      </w:pPr>
    </w:p>
    <w:p w14:paraId="044019D7" w14:textId="77777777" w:rsidR="00AE0598" w:rsidRDefault="0069255A">
      <w:pPr>
        <w:spacing w:line="228" w:lineRule="auto"/>
        <w:ind w:left="592" w:right="127" w:firstLine="211"/>
        <w:jc w:val="right"/>
        <w:rPr>
          <w:i/>
          <w:sz w:val="18"/>
        </w:rPr>
      </w:pPr>
      <w:r>
        <w:rPr>
          <w:i/>
          <w:color w:val="231F20"/>
          <w:sz w:val="18"/>
        </w:rPr>
        <w:t>Management of the process of renewal and the redesigning of products and</w:t>
      </w:r>
      <w:r>
        <w:rPr>
          <w:i/>
          <w:color w:val="231F20"/>
          <w:spacing w:val="40"/>
          <w:sz w:val="18"/>
        </w:rPr>
        <w:t xml:space="preserve"> </w:t>
      </w:r>
      <w:r>
        <w:rPr>
          <w:i/>
          <w:color w:val="231F20"/>
          <w:sz w:val="18"/>
        </w:rPr>
        <w:t>services</w:t>
      </w:r>
      <w:r>
        <w:rPr>
          <w:i/>
          <w:color w:val="231F20"/>
          <w:spacing w:val="8"/>
          <w:sz w:val="18"/>
        </w:rPr>
        <w:t xml:space="preserve"> </w:t>
      </w:r>
      <w:r>
        <w:rPr>
          <w:i/>
          <w:color w:val="231F20"/>
          <w:sz w:val="18"/>
        </w:rPr>
        <w:t>is</w:t>
      </w:r>
      <w:r>
        <w:rPr>
          <w:i/>
          <w:color w:val="231F20"/>
          <w:spacing w:val="8"/>
          <w:sz w:val="18"/>
        </w:rPr>
        <w:t xml:space="preserve"> </w:t>
      </w:r>
      <w:r>
        <w:rPr>
          <w:i/>
          <w:color w:val="231F20"/>
          <w:sz w:val="18"/>
        </w:rPr>
        <w:t>a</w:t>
      </w:r>
      <w:r>
        <w:rPr>
          <w:i/>
          <w:color w:val="231F20"/>
          <w:spacing w:val="8"/>
          <w:sz w:val="18"/>
        </w:rPr>
        <w:t xml:space="preserve"> </w:t>
      </w:r>
      <w:r>
        <w:rPr>
          <w:i/>
          <w:color w:val="231F20"/>
          <w:sz w:val="18"/>
        </w:rPr>
        <w:t>field</w:t>
      </w:r>
      <w:r>
        <w:rPr>
          <w:i/>
          <w:color w:val="231F20"/>
          <w:spacing w:val="8"/>
          <w:sz w:val="18"/>
        </w:rPr>
        <w:t xml:space="preserve"> </w:t>
      </w:r>
      <w:r>
        <w:rPr>
          <w:i/>
          <w:color w:val="231F20"/>
          <w:sz w:val="18"/>
        </w:rPr>
        <w:t>where</w:t>
      </w:r>
      <w:r>
        <w:rPr>
          <w:i/>
          <w:color w:val="231F20"/>
          <w:spacing w:val="8"/>
          <w:sz w:val="18"/>
        </w:rPr>
        <w:t xml:space="preserve"> </w:t>
      </w:r>
      <w:r>
        <w:rPr>
          <w:i/>
          <w:color w:val="231F20"/>
          <w:sz w:val="18"/>
        </w:rPr>
        <w:t>sport</w:t>
      </w:r>
      <w:r>
        <w:rPr>
          <w:i/>
          <w:color w:val="231F20"/>
          <w:spacing w:val="8"/>
          <w:sz w:val="18"/>
        </w:rPr>
        <w:t xml:space="preserve"> </w:t>
      </w:r>
      <w:r>
        <w:rPr>
          <w:i/>
          <w:color w:val="231F20"/>
          <w:sz w:val="18"/>
        </w:rPr>
        <w:t>and</w:t>
      </w:r>
      <w:r>
        <w:rPr>
          <w:i/>
          <w:color w:val="231F20"/>
          <w:spacing w:val="9"/>
          <w:sz w:val="18"/>
        </w:rPr>
        <w:t xml:space="preserve"> </w:t>
      </w:r>
      <w:r>
        <w:rPr>
          <w:i/>
          <w:color w:val="231F20"/>
          <w:sz w:val="18"/>
        </w:rPr>
        <w:t>tourism</w:t>
      </w:r>
      <w:r>
        <w:rPr>
          <w:i/>
          <w:color w:val="231F20"/>
          <w:spacing w:val="8"/>
          <w:sz w:val="18"/>
        </w:rPr>
        <w:t xml:space="preserve"> </w:t>
      </w:r>
      <w:r>
        <w:rPr>
          <w:i/>
          <w:color w:val="231F20"/>
          <w:sz w:val="18"/>
        </w:rPr>
        <w:t>can</w:t>
      </w:r>
      <w:r>
        <w:rPr>
          <w:i/>
          <w:color w:val="231F20"/>
          <w:spacing w:val="8"/>
          <w:sz w:val="18"/>
        </w:rPr>
        <w:t xml:space="preserve"> </w:t>
      </w:r>
      <w:r>
        <w:rPr>
          <w:i/>
          <w:color w:val="231F20"/>
          <w:sz w:val="18"/>
        </w:rPr>
        <w:t>exchange</w:t>
      </w:r>
      <w:r>
        <w:rPr>
          <w:i/>
          <w:color w:val="231F20"/>
          <w:spacing w:val="8"/>
          <w:sz w:val="18"/>
        </w:rPr>
        <w:t xml:space="preserve"> </w:t>
      </w:r>
      <w:r>
        <w:rPr>
          <w:i/>
          <w:color w:val="231F20"/>
          <w:sz w:val="18"/>
        </w:rPr>
        <w:t>valuable</w:t>
      </w:r>
      <w:r>
        <w:rPr>
          <w:i/>
          <w:color w:val="231F20"/>
          <w:spacing w:val="8"/>
          <w:sz w:val="18"/>
        </w:rPr>
        <w:t xml:space="preserve"> </w:t>
      </w:r>
      <w:r>
        <w:rPr>
          <w:i/>
          <w:color w:val="231F20"/>
          <w:spacing w:val="-2"/>
          <w:sz w:val="18"/>
        </w:rPr>
        <w:t>experiences.</w:t>
      </w:r>
    </w:p>
    <w:p w14:paraId="2A2BFC89" w14:textId="77777777" w:rsidR="00AE0598" w:rsidRDefault="0069255A">
      <w:pPr>
        <w:spacing w:line="202" w:lineRule="exact"/>
        <w:ind w:left="110" w:right="128"/>
        <w:jc w:val="right"/>
        <w:rPr>
          <w:sz w:val="18"/>
        </w:rPr>
      </w:pPr>
      <w:r>
        <w:rPr>
          <w:color w:val="231F20"/>
          <w:w w:val="95"/>
          <w:sz w:val="18"/>
        </w:rPr>
        <w:t>de</w:t>
      </w:r>
      <w:r>
        <w:rPr>
          <w:color w:val="231F20"/>
          <w:spacing w:val="11"/>
          <w:sz w:val="18"/>
        </w:rPr>
        <w:t xml:space="preserve"> </w:t>
      </w:r>
      <w:r>
        <w:rPr>
          <w:color w:val="231F20"/>
          <w:w w:val="95"/>
          <w:sz w:val="18"/>
        </w:rPr>
        <w:t>Villers,</w:t>
      </w:r>
      <w:r>
        <w:rPr>
          <w:color w:val="231F20"/>
          <w:spacing w:val="11"/>
          <w:sz w:val="18"/>
        </w:rPr>
        <w:t xml:space="preserve"> </w:t>
      </w:r>
      <w:r>
        <w:rPr>
          <w:color w:val="231F20"/>
          <w:w w:val="95"/>
          <w:sz w:val="18"/>
        </w:rPr>
        <w:t>2001:</w:t>
      </w:r>
      <w:r>
        <w:rPr>
          <w:color w:val="231F20"/>
          <w:spacing w:val="12"/>
          <w:sz w:val="18"/>
        </w:rPr>
        <w:t xml:space="preserve"> </w:t>
      </w:r>
      <w:r>
        <w:rPr>
          <w:color w:val="231F20"/>
          <w:spacing w:val="-5"/>
          <w:w w:val="95"/>
          <w:sz w:val="18"/>
        </w:rPr>
        <w:t>12</w:t>
      </w:r>
    </w:p>
    <w:p w14:paraId="7483ECC8" w14:textId="77777777" w:rsidR="00AE0598" w:rsidRDefault="00AE0598">
      <w:pPr>
        <w:pStyle w:val="Corpodetexto"/>
        <w:rPr>
          <w:sz w:val="20"/>
        </w:rPr>
      </w:pPr>
    </w:p>
    <w:p w14:paraId="041FACC5" w14:textId="77777777" w:rsidR="00AE0598" w:rsidRDefault="00AE0598">
      <w:pPr>
        <w:pStyle w:val="Corpodetexto"/>
        <w:rPr>
          <w:sz w:val="22"/>
        </w:rPr>
      </w:pPr>
    </w:p>
    <w:p w14:paraId="4E33BBA3" w14:textId="77777777" w:rsidR="00AE0598" w:rsidRDefault="0069255A">
      <w:pPr>
        <w:ind w:left="110"/>
        <w:rPr>
          <w:rFonts w:ascii="Trebuchet MS"/>
          <w:b/>
          <w:sz w:val="20"/>
        </w:rPr>
      </w:pPr>
      <w:r>
        <w:rPr>
          <w:rFonts w:ascii="Trebuchet MS"/>
          <w:b/>
          <w:color w:val="231F20"/>
          <w:spacing w:val="-2"/>
          <w:sz w:val="20"/>
        </w:rPr>
        <w:t>Introduction</w:t>
      </w:r>
    </w:p>
    <w:p w14:paraId="31B22D4A" w14:textId="77777777" w:rsidR="00AE0598" w:rsidRDefault="0069255A">
      <w:pPr>
        <w:pStyle w:val="Corpodetexto"/>
        <w:spacing w:before="122" w:line="232" w:lineRule="auto"/>
        <w:ind w:left="110" w:right="127" w:firstLine="320"/>
        <w:jc w:val="both"/>
      </w:pPr>
      <w:r>
        <w:rPr>
          <w:color w:val="231F20"/>
        </w:rPr>
        <w:t xml:space="preserve">Change is one of the few constants in contemporary society. By understanding the nature and processes of development, trends can be </w:t>
      </w:r>
      <w:r>
        <w:rPr>
          <w:color w:val="231F20"/>
          <w:w w:val="95"/>
        </w:rPr>
        <w:t xml:space="preserve">identified and potentially influenced. This chapter discusses the concept of </w:t>
      </w:r>
      <w:r>
        <w:rPr>
          <w:color w:val="231F20"/>
          <w:spacing w:val="-2"/>
        </w:rPr>
        <w:t>development</w:t>
      </w:r>
      <w:r>
        <w:rPr>
          <w:color w:val="231F20"/>
          <w:spacing w:val="-5"/>
        </w:rPr>
        <w:t xml:space="preserve"> </w:t>
      </w:r>
      <w:r>
        <w:rPr>
          <w:color w:val="231F20"/>
          <w:spacing w:val="-2"/>
        </w:rPr>
        <w:t>in</w:t>
      </w:r>
      <w:r>
        <w:rPr>
          <w:color w:val="231F20"/>
          <w:spacing w:val="-5"/>
        </w:rPr>
        <w:t xml:space="preserve"> </w:t>
      </w:r>
      <w:r>
        <w:rPr>
          <w:color w:val="231F20"/>
          <w:spacing w:val="-2"/>
        </w:rPr>
        <w:t>relation</w:t>
      </w:r>
      <w:r>
        <w:rPr>
          <w:color w:val="231F20"/>
          <w:spacing w:val="-5"/>
        </w:rPr>
        <w:t xml:space="preserve"> </w:t>
      </w:r>
      <w:r>
        <w:rPr>
          <w:color w:val="231F20"/>
          <w:spacing w:val="-2"/>
        </w:rPr>
        <w:t>to</w:t>
      </w:r>
      <w:r>
        <w:rPr>
          <w:color w:val="231F20"/>
          <w:spacing w:val="-5"/>
        </w:rPr>
        <w:t xml:space="preserve"> </w:t>
      </w:r>
      <w:r>
        <w:rPr>
          <w:color w:val="231F20"/>
          <w:spacing w:val="-2"/>
        </w:rPr>
        <w:t>sport</w:t>
      </w:r>
      <w:r>
        <w:rPr>
          <w:color w:val="231F20"/>
          <w:spacing w:val="-5"/>
        </w:rPr>
        <w:t xml:space="preserve"> </w:t>
      </w:r>
      <w:r>
        <w:rPr>
          <w:color w:val="231F20"/>
          <w:spacing w:val="-2"/>
        </w:rPr>
        <w:t>tourism.</w:t>
      </w:r>
      <w:r>
        <w:rPr>
          <w:color w:val="231F20"/>
          <w:spacing w:val="-5"/>
        </w:rPr>
        <w:t xml:space="preserve"> </w:t>
      </w:r>
      <w:r>
        <w:rPr>
          <w:color w:val="231F20"/>
          <w:spacing w:val="-2"/>
        </w:rPr>
        <w:t>It</w:t>
      </w:r>
      <w:r>
        <w:rPr>
          <w:color w:val="231F20"/>
          <w:spacing w:val="-5"/>
        </w:rPr>
        <w:t xml:space="preserve"> </w:t>
      </w:r>
      <w:r>
        <w:rPr>
          <w:color w:val="231F20"/>
          <w:spacing w:val="-2"/>
        </w:rPr>
        <w:t>is</w:t>
      </w:r>
      <w:r>
        <w:rPr>
          <w:color w:val="231F20"/>
          <w:spacing w:val="-5"/>
        </w:rPr>
        <w:t xml:space="preserve"> </w:t>
      </w:r>
      <w:r>
        <w:rPr>
          <w:color w:val="231F20"/>
          <w:spacing w:val="-2"/>
        </w:rPr>
        <w:t>argued</w:t>
      </w:r>
      <w:r>
        <w:rPr>
          <w:color w:val="231F20"/>
          <w:spacing w:val="-5"/>
        </w:rPr>
        <w:t xml:space="preserve"> </w:t>
      </w:r>
      <w:r>
        <w:rPr>
          <w:color w:val="231F20"/>
          <w:spacing w:val="-2"/>
        </w:rPr>
        <w:t>that</w:t>
      </w:r>
      <w:r>
        <w:rPr>
          <w:color w:val="231F20"/>
          <w:spacing w:val="-5"/>
        </w:rPr>
        <w:t xml:space="preserve"> </w:t>
      </w:r>
      <w:r>
        <w:rPr>
          <w:color w:val="231F20"/>
          <w:spacing w:val="-2"/>
        </w:rPr>
        <w:t>if</w:t>
      </w:r>
      <w:r>
        <w:rPr>
          <w:color w:val="231F20"/>
        </w:rPr>
        <w:t xml:space="preserve"> </w:t>
      </w:r>
      <w:r>
        <w:rPr>
          <w:color w:val="231F20"/>
          <w:spacing w:val="-2"/>
        </w:rPr>
        <w:t>sport</w:t>
      </w:r>
      <w:r>
        <w:rPr>
          <w:color w:val="231F20"/>
          <w:spacing w:val="-5"/>
        </w:rPr>
        <w:t xml:space="preserve"> </w:t>
      </w:r>
      <w:r>
        <w:rPr>
          <w:color w:val="231F20"/>
          <w:spacing w:val="-2"/>
        </w:rPr>
        <w:t xml:space="preserve">tourism </w:t>
      </w:r>
      <w:r>
        <w:rPr>
          <w:color w:val="231F20"/>
          <w:w w:val="95"/>
        </w:rPr>
        <w:t>development</w:t>
      </w:r>
      <w:r>
        <w:rPr>
          <w:color w:val="231F20"/>
          <w:spacing w:val="-1"/>
          <w:w w:val="95"/>
        </w:rPr>
        <w:t xml:space="preserve"> </w:t>
      </w:r>
      <w:r>
        <w:rPr>
          <w:color w:val="231F20"/>
          <w:w w:val="95"/>
        </w:rPr>
        <w:t>is</w:t>
      </w:r>
      <w:r>
        <w:rPr>
          <w:color w:val="231F20"/>
          <w:spacing w:val="-1"/>
          <w:w w:val="95"/>
        </w:rPr>
        <w:t xml:space="preserve"> </w:t>
      </w:r>
      <w:r>
        <w:rPr>
          <w:color w:val="231F20"/>
          <w:w w:val="95"/>
        </w:rPr>
        <w:t>to</w:t>
      </w:r>
      <w:r>
        <w:rPr>
          <w:color w:val="231F20"/>
          <w:spacing w:val="-1"/>
          <w:w w:val="95"/>
        </w:rPr>
        <w:t xml:space="preserve"> </w:t>
      </w:r>
      <w:r>
        <w:rPr>
          <w:color w:val="231F20"/>
          <w:w w:val="95"/>
        </w:rPr>
        <w:t>comply</w:t>
      </w:r>
      <w:r>
        <w:rPr>
          <w:color w:val="231F20"/>
          <w:spacing w:val="-1"/>
          <w:w w:val="95"/>
        </w:rPr>
        <w:t xml:space="preserve"> </w:t>
      </w:r>
      <w:r>
        <w:rPr>
          <w:color w:val="231F20"/>
          <w:w w:val="95"/>
        </w:rPr>
        <w:t>with</w:t>
      </w:r>
      <w:r>
        <w:rPr>
          <w:color w:val="231F20"/>
          <w:spacing w:val="-1"/>
          <w:w w:val="95"/>
        </w:rPr>
        <w:t xml:space="preserve"> </w:t>
      </w:r>
      <w:r>
        <w:rPr>
          <w:color w:val="231F20"/>
          <w:w w:val="95"/>
        </w:rPr>
        <w:t>the</w:t>
      </w:r>
      <w:r>
        <w:rPr>
          <w:color w:val="231F20"/>
          <w:spacing w:val="-1"/>
          <w:w w:val="95"/>
        </w:rPr>
        <w:t xml:space="preserve"> </w:t>
      </w:r>
      <w:r>
        <w:rPr>
          <w:color w:val="231F20"/>
          <w:w w:val="95"/>
        </w:rPr>
        <w:t>paradigm</w:t>
      </w:r>
      <w:r>
        <w:rPr>
          <w:color w:val="231F20"/>
          <w:spacing w:val="-1"/>
          <w:w w:val="95"/>
        </w:rPr>
        <w:t xml:space="preserve"> </w:t>
      </w:r>
      <w:r>
        <w:rPr>
          <w:color w:val="231F20"/>
          <w:w w:val="95"/>
        </w:rPr>
        <w:t>of</w:t>
      </w:r>
      <w:r>
        <w:rPr>
          <w:color w:val="231F20"/>
        </w:rPr>
        <w:t xml:space="preserve"> </w:t>
      </w:r>
      <w:r>
        <w:rPr>
          <w:color w:val="231F20"/>
          <w:w w:val="95"/>
        </w:rPr>
        <w:t>sustainability,</w:t>
      </w:r>
      <w:r>
        <w:rPr>
          <w:color w:val="231F20"/>
          <w:spacing w:val="-1"/>
          <w:w w:val="95"/>
        </w:rPr>
        <w:t xml:space="preserve"> </w:t>
      </w:r>
      <w:r>
        <w:rPr>
          <w:color w:val="231F20"/>
          <w:w w:val="95"/>
        </w:rPr>
        <w:t>then</w:t>
      </w:r>
      <w:r>
        <w:rPr>
          <w:color w:val="231F20"/>
          <w:spacing w:val="-1"/>
          <w:w w:val="95"/>
        </w:rPr>
        <w:t xml:space="preserve"> </w:t>
      </w:r>
      <w:r>
        <w:rPr>
          <w:color w:val="231F20"/>
          <w:w w:val="95"/>
        </w:rPr>
        <w:t xml:space="preserve">planned </w:t>
      </w:r>
      <w:r>
        <w:rPr>
          <w:color w:val="231F20"/>
        </w:rPr>
        <w:t>and</w:t>
      </w:r>
      <w:r>
        <w:rPr>
          <w:color w:val="231F20"/>
          <w:spacing w:val="-12"/>
        </w:rPr>
        <w:t xml:space="preserve"> </w:t>
      </w:r>
      <w:r>
        <w:rPr>
          <w:color w:val="231F20"/>
        </w:rPr>
        <w:t>informed</w:t>
      </w:r>
      <w:r>
        <w:rPr>
          <w:color w:val="231F20"/>
          <w:spacing w:val="-12"/>
        </w:rPr>
        <w:t xml:space="preserve"> </w:t>
      </w:r>
      <w:r>
        <w:rPr>
          <w:color w:val="231F20"/>
        </w:rPr>
        <w:t>intervention</w:t>
      </w:r>
      <w:r>
        <w:rPr>
          <w:color w:val="231F20"/>
          <w:spacing w:val="-11"/>
        </w:rPr>
        <w:t xml:space="preserve"> </w:t>
      </w:r>
      <w:r>
        <w:rPr>
          <w:color w:val="231F20"/>
        </w:rPr>
        <w:t>into</w:t>
      </w:r>
      <w:r>
        <w:rPr>
          <w:color w:val="231F20"/>
          <w:spacing w:val="-12"/>
        </w:rPr>
        <w:t xml:space="preserve"> </w:t>
      </w:r>
      <w:r>
        <w:rPr>
          <w:color w:val="231F20"/>
        </w:rPr>
        <w:t>the</w:t>
      </w:r>
      <w:r>
        <w:rPr>
          <w:color w:val="231F20"/>
          <w:spacing w:val="-11"/>
        </w:rPr>
        <w:t xml:space="preserve"> </w:t>
      </w:r>
      <w:r>
        <w:rPr>
          <w:color w:val="231F20"/>
        </w:rPr>
        <w:t>development</w:t>
      </w:r>
      <w:r>
        <w:rPr>
          <w:color w:val="231F20"/>
          <w:spacing w:val="-12"/>
        </w:rPr>
        <w:t xml:space="preserve"> </w:t>
      </w:r>
      <w:r>
        <w:rPr>
          <w:color w:val="231F20"/>
        </w:rPr>
        <w:t>process</w:t>
      </w:r>
      <w:r>
        <w:rPr>
          <w:color w:val="231F20"/>
          <w:spacing w:val="-11"/>
        </w:rPr>
        <w:t xml:space="preserve"> </w:t>
      </w:r>
      <w:r>
        <w:rPr>
          <w:color w:val="231F20"/>
        </w:rPr>
        <w:t>is</w:t>
      </w:r>
      <w:r>
        <w:rPr>
          <w:color w:val="231F20"/>
          <w:spacing w:val="-12"/>
        </w:rPr>
        <w:t xml:space="preserve"> </w:t>
      </w:r>
      <w:r>
        <w:rPr>
          <w:color w:val="231F20"/>
        </w:rPr>
        <w:t>required.</w:t>
      </w:r>
      <w:r>
        <w:rPr>
          <w:color w:val="231F20"/>
          <w:spacing w:val="-12"/>
        </w:rPr>
        <w:t xml:space="preserve"> </w:t>
      </w:r>
      <w:r>
        <w:rPr>
          <w:color w:val="231F20"/>
        </w:rPr>
        <w:t>The latter</w:t>
      </w:r>
      <w:r>
        <w:rPr>
          <w:color w:val="231F20"/>
          <w:spacing w:val="-10"/>
        </w:rPr>
        <w:t xml:space="preserve"> </w:t>
      </w:r>
      <w:r>
        <w:rPr>
          <w:color w:val="231F20"/>
        </w:rPr>
        <w:t>part</w:t>
      </w:r>
      <w:r>
        <w:rPr>
          <w:color w:val="231F20"/>
          <w:spacing w:val="-10"/>
        </w:rPr>
        <w:t xml:space="preserve"> </w:t>
      </w:r>
      <w:r>
        <w:rPr>
          <w:color w:val="231F20"/>
        </w:rPr>
        <w:t>of</w:t>
      </w:r>
      <w:r>
        <w:rPr>
          <w:color w:val="231F20"/>
          <w:spacing w:val="-2"/>
        </w:rPr>
        <w:t xml:space="preserve"> </w:t>
      </w:r>
      <w:r>
        <w:rPr>
          <w:color w:val="231F20"/>
        </w:rPr>
        <w:t>this</w:t>
      </w:r>
      <w:r>
        <w:rPr>
          <w:color w:val="231F20"/>
          <w:spacing w:val="-10"/>
        </w:rPr>
        <w:t xml:space="preserve"> </w:t>
      </w:r>
      <w:r>
        <w:rPr>
          <w:color w:val="231F20"/>
        </w:rPr>
        <w:t>chapter</w:t>
      </w:r>
      <w:r>
        <w:rPr>
          <w:color w:val="231F20"/>
          <w:spacing w:val="-10"/>
        </w:rPr>
        <w:t xml:space="preserve"> </w:t>
      </w:r>
      <w:r>
        <w:rPr>
          <w:color w:val="231F20"/>
        </w:rPr>
        <w:t>highlights</w:t>
      </w:r>
      <w:r>
        <w:rPr>
          <w:color w:val="231F20"/>
          <w:spacing w:val="-10"/>
        </w:rPr>
        <w:t xml:space="preserve"> </w:t>
      </w:r>
      <w:r>
        <w:rPr>
          <w:color w:val="231F20"/>
        </w:rPr>
        <w:t>three</w:t>
      </w:r>
      <w:r>
        <w:rPr>
          <w:color w:val="231F20"/>
          <w:spacing w:val="-10"/>
        </w:rPr>
        <w:t xml:space="preserve"> </w:t>
      </w:r>
      <w:r>
        <w:rPr>
          <w:color w:val="231F20"/>
        </w:rPr>
        <w:t>key</w:t>
      </w:r>
      <w:r>
        <w:rPr>
          <w:color w:val="231F20"/>
          <w:spacing w:val="-10"/>
        </w:rPr>
        <w:t xml:space="preserve"> </w:t>
      </w:r>
      <w:r>
        <w:rPr>
          <w:color w:val="231F20"/>
        </w:rPr>
        <w:t>issues</w:t>
      </w:r>
      <w:r>
        <w:rPr>
          <w:color w:val="231F20"/>
          <w:spacing w:val="-10"/>
        </w:rPr>
        <w:t xml:space="preserve"> </w:t>
      </w:r>
      <w:r>
        <w:rPr>
          <w:color w:val="231F20"/>
        </w:rPr>
        <w:t>facing</w:t>
      </w:r>
      <w:r>
        <w:rPr>
          <w:color w:val="231F20"/>
          <w:spacing w:val="-10"/>
        </w:rPr>
        <w:t xml:space="preserve"> </w:t>
      </w:r>
      <w:r>
        <w:rPr>
          <w:color w:val="231F20"/>
        </w:rPr>
        <w:t>sport</w:t>
      </w:r>
      <w:r>
        <w:rPr>
          <w:color w:val="231F20"/>
          <w:spacing w:val="-10"/>
        </w:rPr>
        <w:t xml:space="preserve"> </w:t>
      </w:r>
      <w:r>
        <w:rPr>
          <w:color w:val="231F20"/>
        </w:rPr>
        <w:t>tourism development including commodification/authenticity, globalisation</w:t>
      </w:r>
      <w:r>
        <w:rPr>
          <w:color w:val="231F20"/>
          <w:spacing w:val="80"/>
        </w:rPr>
        <w:t xml:space="preserve"> </w:t>
      </w:r>
      <w:r>
        <w:rPr>
          <w:color w:val="231F20"/>
        </w:rPr>
        <w:t xml:space="preserve">and organisational fragmentation. Failure to understand these issues </w:t>
      </w:r>
      <w:r>
        <w:rPr>
          <w:color w:val="231F20"/>
          <w:w w:val="95"/>
        </w:rPr>
        <w:t>compromises the development potential of sport tourism. Brendon Knott’s case study of</w:t>
      </w:r>
      <w:r>
        <w:rPr>
          <w:color w:val="231F20"/>
        </w:rPr>
        <w:t xml:space="preserve"> </w:t>
      </w:r>
      <w:r>
        <w:rPr>
          <w:color w:val="231F20"/>
          <w:w w:val="95"/>
        </w:rPr>
        <w:t>sport tourism development i</w:t>
      </w:r>
      <w:r>
        <w:rPr>
          <w:color w:val="231F20"/>
          <w:w w:val="95"/>
        </w:rPr>
        <w:t>n South Africa illustrates many of the</w:t>
      </w:r>
      <w:r>
        <w:rPr>
          <w:color w:val="231F20"/>
          <w:spacing w:val="-3"/>
          <w:w w:val="95"/>
        </w:rPr>
        <w:t xml:space="preserve"> </w:t>
      </w:r>
      <w:r>
        <w:rPr>
          <w:color w:val="231F20"/>
          <w:w w:val="95"/>
        </w:rPr>
        <w:t>opportunities</w:t>
      </w:r>
      <w:r>
        <w:rPr>
          <w:color w:val="231F20"/>
          <w:spacing w:val="-3"/>
          <w:w w:val="95"/>
        </w:rPr>
        <w:t xml:space="preserve"> </w:t>
      </w:r>
      <w:r>
        <w:rPr>
          <w:color w:val="231F20"/>
          <w:w w:val="95"/>
        </w:rPr>
        <w:t>and</w:t>
      </w:r>
      <w:r>
        <w:rPr>
          <w:color w:val="231F20"/>
          <w:spacing w:val="-3"/>
          <w:w w:val="95"/>
        </w:rPr>
        <w:t xml:space="preserve"> </w:t>
      </w:r>
      <w:r>
        <w:rPr>
          <w:color w:val="231F20"/>
          <w:w w:val="95"/>
        </w:rPr>
        <w:t>challenges</w:t>
      </w:r>
      <w:r>
        <w:rPr>
          <w:color w:val="231F20"/>
          <w:spacing w:val="-3"/>
          <w:w w:val="95"/>
        </w:rPr>
        <w:t xml:space="preserve"> </w:t>
      </w:r>
      <w:r>
        <w:rPr>
          <w:color w:val="231F20"/>
          <w:w w:val="95"/>
        </w:rPr>
        <w:t>that</w:t>
      </w:r>
      <w:r>
        <w:rPr>
          <w:color w:val="231F20"/>
          <w:spacing w:val="-3"/>
          <w:w w:val="95"/>
        </w:rPr>
        <w:t xml:space="preserve"> </w:t>
      </w:r>
      <w:r>
        <w:rPr>
          <w:color w:val="231F20"/>
          <w:w w:val="95"/>
        </w:rPr>
        <w:t>sport</w:t>
      </w:r>
      <w:r>
        <w:rPr>
          <w:color w:val="231F20"/>
          <w:spacing w:val="-3"/>
          <w:w w:val="95"/>
        </w:rPr>
        <w:t xml:space="preserve"> </w:t>
      </w:r>
      <w:r>
        <w:rPr>
          <w:color w:val="231F20"/>
          <w:w w:val="95"/>
        </w:rPr>
        <w:t>tourism</w:t>
      </w:r>
      <w:r>
        <w:rPr>
          <w:color w:val="231F20"/>
          <w:spacing w:val="-3"/>
          <w:w w:val="95"/>
        </w:rPr>
        <w:t xml:space="preserve"> </w:t>
      </w:r>
      <w:r>
        <w:rPr>
          <w:color w:val="231F20"/>
          <w:w w:val="95"/>
        </w:rPr>
        <w:t>presents</w:t>
      </w:r>
      <w:r>
        <w:rPr>
          <w:color w:val="231F20"/>
          <w:spacing w:val="-3"/>
          <w:w w:val="95"/>
        </w:rPr>
        <w:t xml:space="preserve"> </w:t>
      </w:r>
      <w:r>
        <w:rPr>
          <w:color w:val="231F20"/>
          <w:w w:val="95"/>
        </w:rPr>
        <w:t>as</w:t>
      </w:r>
      <w:r>
        <w:rPr>
          <w:color w:val="231F20"/>
          <w:spacing w:val="-3"/>
          <w:w w:val="95"/>
        </w:rPr>
        <w:t xml:space="preserve"> </w:t>
      </w:r>
      <w:r>
        <w:rPr>
          <w:color w:val="231F20"/>
          <w:w w:val="95"/>
        </w:rPr>
        <w:t>an</w:t>
      </w:r>
      <w:r>
        <w:rPr>
          <w:color w:val="231F20"/>
          <w:spacing w:val="-3"/>
          <w:w w:val="95"/>
        </w:rPr>
        <w:t xml:space="preserve"> </w:t>
      </w:r>
      <w:r>
        <w:rPr>
          <w:color w:val="231F20"/>
          <w:w w:val="95"/>
        </w:rPr>
        <w:t>agent</w:t>
      </w:r>
      <w:r>
        <w:rPr>
          <w:color w:val="231F20"/>
          <w:spacing w:val="-3"/>
          <w:w w:val="95"/>
        </w:rPr>
        <w:t xml:space="preserve"> </w:t>
      </w:r>
      <w:r>
        <w:rPr>
          <w:color w:val="231F20"/>
          <w:w w:val="95"/>
        </w:rPr>
        <w:t xml:space="preserve">for </w:t>
      </w:r>
      <w:r>
        <w:rPr>
          <w:color w:val="231F20"/>
        </w:rPr>
        <w:t>development (Case Study 4.1).</w:t>
      </w:r>
    </w:p>
    <w:p w14:paraId="1B8037E4" w14:textId="77777777" w:rsidR="00AE0598" w:rsidRDefault="00AE0598">
      <w:pPr>
        <w:pStyle w:val="Corpodetexto"/>
        <w:spacing w:before="3"/>
        <w:rPr>
          <w:sz w:val="22"/>
        </w:rPr>
      </w:pPr>
    </w:p>
    <w:p w14:paraId="20ECEEA9" w14:textId="77777777" w:rsidR="00AE0598" w:rsidRDefault="0069255A">
      <w:pPr>
        <w:ind w:left="110"/>
        <w:rPr>
          <w:rFonts w:ascii="Trebuchet MS"/>
          <w:b/>
          <w:sz w:val="20"/>
        </w:rPr>
      </w:pPr>
      <w:r>
        <w:rPr>
          <w:rFonts w:ascii="Trebuchet MS"/>
          <w:b/>
          <w:color w:val="231F20"/>
          <w:sz w:val="20"/>
        </w:rPr>
        <w:t>The</w:t>
      </w:r>
      <w:r>
        <w:rPr>
          <w:rFonts w:ascii="Trebuchet MS"/>
          <w:b/>
          <w:color w:val="231F20"/>
          <w:spacing w:val="-5"/>
          <w:sz w:val="20"/>
        </w:rPr>
        <w:t xml:space="preserve"> </w:t>
      </w:r>
      <w:r>
        <w:rPr>
          <w:rFonts w:ascii="Trebuchet MS"/>
          <w:b/>
          <w:color w:val="231F20"/>
          <w:sz w:val="20"/>
        </w:rPr>
        <w:t>Concept</w:t>
      </w:r>
      <w:r>
        <w:rPr>
          <w:rFonts w:ascii="Trebuchet MS"/>
          <w:b/>
          <w:color w:val="231F20"/>
          <w:spacing w:val="-5"/>
          <w:sz w:val="20"/>
        </w:rPr>
        <w:t xml:space="preserve"> </w:t>
      </w:r>
      <w:r>
        <w:rPr>
          <w:rFonts w:ascii="Trebuchet MS"/>
          <w:b/>
          <w:color w:val="231F20"/>
          <w:sz w:val="20"/>
        </w:rPr>
        <w:t>of</w:t>
      </w:r>
      <w:r>
        <w:rPr>
          <w:rFonts w:ascii="Trebuchet MS"/>
          <w:b/>
          <w:color w:val="231F20"/>
          <w:spacing w:val="-5"/>
          <w:sz w:val="20"/>
        </w:rPr>
        <w:t xml:space="preserve"> </w:t>
      </w:r>
      <w:r>
        <w:rPr>
          <w:rFonts w:ascii="Trebuchet MS"/>
          <w:b/>
          <w:color w:val="231F20"/>
          <w:spacing w:val="-2"/>
          <w:sz w:val="20"/>
        </w:rPr>
        <w:t>Development</w:t>
      </w:r>
    </w:p>
    <w:p w14:paraId="3C8C9227" w14:textId="77777777" w:rsidR="00AE0598" w:rsidRDefault="0069255A">
      <w:pPr>
        <w:pStyle w:val="Corpodetexto"/>
        <w:spacing w:before="122" w:line="232" w:lineRule="auto"/>
        <w:ind w:left="110" w:right="127" w:firstLine="320"/>
        <w:jc w:val="both"/>
      </w:pPr>
      <w:r>
        <w:rPr>
          <w:color w:val="231F20"/>
        </w:rPr>
        <w:t>‘Development’</w:t>
      </w:r>
      <w:r>
        <w:rPr>
          <w:color w:val="231F20"/>
          <w:spacing w:val="-6"/>
        </w:rPr>
        <w:t xml:space="preserve"> </w:t>
      </w:r>
      <w:r>
        <w:rPr>
          <w:color w:val="231F20"/>
        </w:rPr>
        <w:t>is</w:t>
      </w:r>
      <w:r>
        <w:rPr>
          <w:color w:val="231F20"/>
          <w:spacing w:val="-6"/>
        </w:rPr>
        <w:t xml:space="preserve"> </w:t>
      </w:r>
      <w:r>
        <w:rPr>
          <w:color w:val="231F20"/>
        </w:rPr>
        <w:t>an</w:t>
      </w:r>
      <w:r>
        <w:rPr>
          <w:color w:val="231F20"/>
          <w:spacing w:val="-6"/>
        </w:rPr>
        <w:t xml:space="preserve"> </w:t>
      </w:r>
      <w:r>
        <w:rPr>
          <w:color w:val="231F20"/>
        </w:rPr>
        <w:t>elusive</w:t>
      </w:r>
      <w:r>
        <w:rPr>
          <w:color w:val="231F20"/>
          <w:spacing w:val="-6"/>
        </w:rPr>
        <w:t xml:space="preserve"> </w:t>
      </w:r>
      <w:r>
        <w:rPr>
          <w:color w:val="231F20"/>
        </w:rPr>
        <w:t>term</w:t>
      </w:r>
      <w:r>
        <w:rPr>
          <w:color w:val="231F20"/>
          <w:spacing w:val="-6"/>
        </w:rPr>
        <w:t xml:space="preserve"> </w:t>
      </w:r>
      <w:r>
        <w:rPr>
          <w:color w:val="231F20"/>
        </w:rPr>
        <w:t>with</w:t>
      </w:r>
      <w:r>
        <w:rPr>
          <w:color w:val="231F20"/>
          <w:spacing w:val="-6"/>
        </w:rPr>
        <w:t xml:space="preserve"> </w:t>
      </w:r>
      <w:r>
        <w:rPr>
          <w:color w:val="231F20"/>
        </w:rPr>
        <w:t>different</w:t>
      </w:r>
      <w:r>
        <w:rPr>
          <w:color w:val="231F20"/>
          <w:spacing w:val="-6"/>
        </w:rPr>
        <w:t xml:space="preserve"> </w:t>
      </w:r>
      <w:r>
        <w:rPr>
          <w:color w:val="231F20"/>
        </w:rPr>
        <w:t>meanings</w:t>
      </w:r>
      <w:r>
        <w:rPr>
          <w:color w:val="231F20"/>
          <w:spacing w:val="-6"/>
        </w:rPr>
        <w:t xml:space="preserve"> </w:t>
      </w:r>
      <w:r>
        <w:rPr>
          <w:color w:val="231F20"/>
        </w:rPr>
        <w:t>in</w:t>
      </w:r>
      <w:r>
        <w:rPr>
          <w:color w:val="231F20"/>
          <w:spacing w:val="-6"/>
        </w:rPr>
        <w:t xml:space="preserve"> </w:t>
      </w:r>
      <w:r>
        <w:rPr>
          <w:color w:val="231F20"/>
        </w:rPr>
        <w:t xml:space="preserve">different </w:t>
      </w:r>
      <w:r>
        <w:rPr>
          <w:color w:val="231F20"/>
          <w:w w:val="95"/>
        </w:rPr>
        <w:t xml:space="preserve">contexts. Members of a broad range of disciplines and professions interpret development in ways that make sense to themselves, perhaps more so than </w:t>
      </w:r>
      <w:r>
        <w:rPr>
          <w:color w:val="231F20"/>
        </w:rPr>
        <w:t xml:space="preserve">others. Even in the context of popular usage, fundamentally different </w:t>
      </w:r>
      <w:r>
        <w:rPr>
          <w:color w:val="231F20"/>
          <w:w w:val="95"/>
        </w:rPr>
        <w:t>meanings of the term exist. Common int</w:t>
      </w:r>
      <w:r>
        <w:rPr>
          <w:color w:val="231F20"/>
          <w:w w:val="95"/>
        </w:rPr>
        <w:t>erpretations include development</w:t>
      </w:r>
      <w:r>
        <w:rPr>
          <w:color w:val="231F20"/>
          <w:spacing w:val="40"/>
        </w:rPr>
        <w:t xml:space="preserve"> </w:t>
      </w:r>
      <w:r>
        <w:rPr>
          <w:color w:val="231F20"/>
          <w:w w:val="95"/>
        </w:rPr>
        <w:t xml:space="preserve">as philosophy, process, plan and product (Sharpley, 2014). As a philosophy, </w:t>
      </w:r>
      <w:r>
        <w:rPr>
          <w:color w:val="231F20"/>
          <w:w w:val="90"/>
        </w:rPr>
        <w:t>development alludes to a desired future state. As a process, it refers to the way</w:t>
      </w:r>
      <w:r>
        <w:rPr>
          <w:color w:val="231F20"/>
          <w:spacing w:val="80"/>
        </w:rPr>
        <w:t xml:space="preserve"> </w:t>
      </w:r>
      <w:r>
        <w:rPr>
          <w:color w:val="231F20"/>
        </w:rPr>
        <w:t>a</w:t>
      </w:r>
      <w:r>
        <w:rPr>
          <w:color w:val="231F20"/>
          <w:spacing w:val="-4"/>
        </w:rPr>
        <w:t xml:space="preserve"> </w:t>
      </w:r>
      <w:r>
        <w:rPr>
          <w:color w:val="231F20"/>
        </w:rPr>
        <w:t>society</w:t>
      </w:r>
      <w:r>
        <w:rPr>
          <w:color w:val="231F20"/>
          <w:spacing w:val="-4"/>
        </w:rPr>
        <w:t xml:space="preserve"> </w:t>
      </w:r>
      <w:r>
        <w:rPr>
          <w:color w:val="231F20"/>
        </w:rPr>
        <w:t>moves</w:t>
      </w:r>
      <w:r>
        <w:rPr>
          <w:color w:val="231F20"/>
          <w:spacing w:val="-4"/>
        </w:rPr>
        <w:t xml:space="preserve"> </w:t>
      </w:r>
      <w:r>
        <w:rPr>
          <w:color w:val="231F20"/>
        </w:rPr>
        <w:t>from</w:t>
      </w:r>
      <w:r>
        <w:rPr>
          <w:color w:val="231F20"/>
          <w:spacing w:val="-4"/>
        </w:rPr>
        <w:t xml:space="preserve"> </w:t>
      </w:r>
      <w:r>
        <w:rPr>
          <w:color w:val="231F20"/>
        </w:rPr>
        <w:t>one</w:t>
      </w:r>
      <w:r>
        <w:rPr>
          <w:color w:val="231F20"/>
          <w:spacing w:val="-4"/>
        </w:rPr>
        <w:t xml:space="preserve"> </w:t>
      </w:r>
      <w:r>
        <w:rPr>
          <w:color w:val="231F20"/>
        </w:rPr>
        <w:t>condition</w:t>
      </w:r>
      <w:r>
        <w:rPr>
          <w:color w:val="231F20"/>
          <w:spacing w:val="-4"/>
        </w:rPr>
        <w:t xml:space="preserve"> </w:t>
      </w:r>
      <w:r>
        <w:rPr>
          <w:color w:val="231F20"/>
        </w:rPr>
        <w:t>to</w:t>
      </w:r>
      <w:r>
        <w:rPr>
          <w:color w:val="231F20"/>
          <w:spacing w:val="-4"/>
        </w:rPr>
        <w:t xml:space="preserve"> </w:t>
      </w:r>
      <w:r>
        <w:rPr>
          <w:color w:val="231F20"/>
        </w:rPr>
        <w:t>another.</w:t>
      </w:r>
      <w:r>
        <w:rPr>
          <w:color w:val="231F20"/>
          <w:spacing w:val="-4"/>
        </w:rPr>
        <w:t xml:space="preserve"> </w:t>
      </w:r>
      <w:r>
        <w:rPr>
          <w:color w:val="231F20"/>
        </w:rPr>
        <w:t>This</w:t>
      </w:r>
      <w:r>
        <w:rPr>
          <w:color w:val="231F20"/>
          <w:spacing w:val="-4"/>
        </w:rPr>
        <w:t xml:space="preserve"> </w:t>
      </w:r>
      <w:r>
        <w:rPr>
          <w:color w:val="231F20"/>
        </w:rPr>
        <w:t>particular</w:t>
      </w:r>
      <w:r>
        <w:rPr>
          <w:color w:val="231F20"/>
          <w:spacing w:val="-4"/>
        </w:rPr>
        <w:t xml:space="preserve"> </w:t>
      </w:r>
      <w:r>
        <w:rPr>
          <w:color w:val="231F20"/>
        </w:rPr>
        <w:t>co</w:t>
      </w:r>
      <w:r>
        <w:rPr>
          <w:color w:val="231F20"/>
        </w:rPr>
        <w:t>ndition or state reflects the product view of development while the articulation of</w:t>
      </w:r>
      <w:r>
        <w:rPr>
          <w:color w:val="231F20"/>
          <w:spacing w:val="16"/>
        </w:rPr>
        <w:t xml:space="preserve"> </w:t>
      </w:r>
      <w:r>
        <w:rPr>
          <w:color w:val="231F20"/>
        </w:rPr>
        <w:t>actions</w:t>
      </w:r>
      <w:r>
        <w:rPr>
          <w:color w:val="231F20"/>
          <w:spacing w:val="16"/>
        </w:rPr>
        <w:t xml:space="preserve"> </w:t>
      </w:r>
      <w:r>
        <w:rPr>
          <w:color w:val="231F20"/>
        </w:rPr>
        <w:t>to</w:t>
      </w:r>
      <w:r>
        <w:rPr>
          <w:color w:val="231F20"/>
          <w:spacing w:val="16"/>
        </w:rPr>
        <w:t xml:space="preserve"> </w:t>
      </w:r>
      <w:r>
        <w:rPr>
          <w:color w:val="231F20"/>
        </w:rPr>
        <w:t>reach</w:t>
      </w:r>
      <w:r>
        <w:rPr>
          <w:color w:val="231F20"/>
          <w:spacing w:val="16"/>
        </w:rPr>
        <w:t xml:space="preserve"> </w:t>
      </w:r>
      <w:r>
        <w:rPr>
          <w:color w:val="231F20"/>
        </w:rPr>
        <w:t>desired</w:t>
      </w:r>
      <w:r>
        <w:rPr>
          <w:color w:val="231F20"/>
          <w:spacing w:val="16"/>
        </w:rPr>
        <w:t xml:space="preserve"> </w:t>
      </w:r>
      <w:r>
        <w:rPr>
          <w:color w:val="231F20"/>
        </w:rPr>
        <w:t>states</w:t>
      </w:r>
      <w:r>
        <w:rPr>
          <w:color w:val="231F20"/>
          <w:spacing w:val="16"/>
        </w:rPr>
        <w:t xml:space="preserve"> </w:t>
      </w:r>
      <w:r>
        <w:rPr>
          <w:color w:val="231F20"/>
        </w:rPr>
        <w:t>is</w:t>
      </w:r>
      <w:r>
        <w:rPr>
          <w:color w:val="231F20"/>
          <w:spacing w:val="16"/>
        </w:rPr>
        <w:t xml:space="preserve"> </w:t>
      </w:r>
      <w:r>
        <w:rPr>
          <w:color w:val="231F20"/>
        </w:rPr>
        <w:t>a</w:t>
      </w:r>
      <w:r>
        <w:rPr>
          <w:color w:val="231F20"/>
          <w:spacing w:val="16"/>
        </w:rPr>
        <w:t xml:space="preserve"> </w:t>
      </w:r>
      <w:r>
        <w:rPr>
          <w:color w:val="231F20"/>
        </w:rPr>
        <w:t>manifestation</w:t>
      </w:r>
      <w:r>
        <w:rPr>
          <w:color w:val="231F20"/>
          <w:spacing w:val="16"/>
        </w:rPr>
        <w:t xml:space="preserve"> </w:t>
      </w:r>
      <w:r>
        <w:rPr>
          <w:color w:val="231F20"/>
        </w:rPr>
        <w:t>of</w:t>
      </w:r>
      <w:r>
        <w:rPr>
          <w:color w:val="231F20"/>
          <w:spacing w:val="16"/>
        </w:rPr>
        <w:t xml:space="preserve"> </w:t>
      </w:r>
      <w:r>
        <w:rPr>
          <w:color w:val="231F20"/>
        </w:rPr>
        <w:t>development</w:t>
      </w:r>
      <w:r>
        <w:rPr>
          <w:color w:val="231F20"/>
          <w:spacing w:val="16"/>
        </w:rPr>
        <w:t xml:space="preserve"> </w:t>
      </w:r>
      <w:r>
        <w:rPr>
          <w:color w:val="231F20"/>
        </w:rPr>
        <w:t xml:space="preserve">as a plan. While these two perspectives are noteworthy, the most relevant </w:t>
      </w:r>
      <w:r>
        <w:rPr>
          <w:color w:val="231F20"/>
          <w:w w:val="95"/>
        </w:rPr>
        <w:t xml:space="preserve">perspectives of development for this chapter are development as a product </w:t>
      </w:r>
      <w:r>
        <w:rPr>
          <w:color w:val="231F20"/>
        </w:rPr>
        <w:t xml:space="preserve">and development as a process. In the case of the former, development is </w:t>
      </w:r>
      <w:r>
        <w:rPr>
          <w:color w:val="231F20"/>
          <w:w w:val="95"/>
        </w:rPr>
        <w:t>treated</w:t>
      </w:r>
      <w:r>
        <w:rPr>
          <w:color w:val="231F20"/>
          <w:spacing w:val="14"/>
        </w:rPr>
        <w:t xml:space="preserve"> </w:t>
      </w:r>
      <w:r>
        <w:rPr>
          <w:color w:val="231F20"/>
          <w:w w:val="95"/>
        </w:rPr>
        <w:t>as</w:t>
      </w:r>
      <w:r>
        <w:rPr>
          <w:color w:val="231F20"/>
          <w:spacing w:val="14"/>
        </w:rPr>
        <w:t xml:space="preserve"> </w:t>
      </w:r>
      <w:r>
        <w:rPr>
          <w:color w:val="231F20"/>
          <w:w w:val="95"/>
        </w:rPr>
        <w:t>a</w:t>
      </w:r>
      <w:r>
        <w:rPr>
          <w:color w:val="231F20"/>
          <w:spacing w:val="14"/>
        </w:rPr>
        <w:t xml:space="preserve"> </w:t>
      </w:r>
      <w:r>
        <w:rPr>
          <w:color w:val="231F20"/>
          <w:w w:val="95"/>
        </w:rPr>
        <w:t>state.</w:t>
      </w:r>
      <w:r>
        <w:rPr>
          <w:color w:val="231F20"/>
          <w:spacing w:val="14"/>
        </w:rPr>
        <w:t xml:space="preserve"> </w:t>
      </w:r>
      <w:r>
        <w:rPr>
          <w:color w:val="231F20"/>
          <w:w w:val="95"/>
        </w:rPr>
        <w:t>This</w:t>
      </w:r>
      <w:r>
        <w:rPr>
          <w:color w:val="231F20"/>
          <w:spacing w:val="14"/>
        </w:rPr>
        <w:t xml:space="preserve"> </w:t>
      </w:r>
      <w:r>
        <w:rPr>
          <w:color w:val="231F20"/>
          <w:w w:val="95"/>
        </w:rPr>
        <w:t>approach</w:t>
      </w:r>
      <w:r>
        <w:rPr>
          <w:color w:val="231F20"/>
          <w:spacing w:val="15"/>
        </w:rPr>
        <w:t xml:space="preserve"> </w:t>
      </w:r>
      <w:r>
        <w:rPr>
          <w:color w:val="231F20"/>
          <w:w w:val="95"/>
        </w:rPr>
        <w:t>is</w:t>
      </w:r>
      <w:r>
        <w:rPr>
          <w:color w:val="231F20"/>
          <w:spacing w:val="14"/>
        </w:rPr>
        <w:t xml:space="preserve"> </w:t>
      </w:r>
      <w:r>
        <w:rPr>
          <w:color w:val="231F20"/>
          <w:w w:val="95"/>
        </w:rPr>
        <w:t>being</w:t>
      </w:r>
      <w:r>
        <w:rPr>
          <w:color w:val="231F20"/>
          <w:spacing w:val="14"/>
        </w:rPr>
        <w:t xml:space="preserve"> </w:t>
      </w:r>
      <w:r>
        <w:rPr>
          <w:color w:val="231F20"/>
          <w:w w:val="95"/>
        </w:rPr>
        <w:t>used</w:t>
      </w:r>
      <w:r>
        <w:rPr>
          <w:color w:val="231F20"/>
          <w:spacing w:val="14"/>
        </w:rPr>
        <w:t xml:space="preserve"> </w:t>
      </w:r>
      <w:r>
        <w:rPr>
          <w:color w:val="231F20"/>
          <w:w w:val="95"/>
        </w:rPr>
        <w:t>when</w:t>
      </w:r>
      <w:r>
        <w:rPr>
          <w:color w:val="231F20"/>
          <w:spacing w:val="14"/>
        </w:rPr>
        <w:t xml:space="preserve"> </w:t>
      </w:r>
      <w:r>
        <w:rPr>
          <w:color w:val="231F20"/>
          <w:w w:val="95"/>
        </w:rPr>
        <w:t>reference</w:t>
      </w:r>
      <w:r>
        <w:rPr>
          <w:color w:val="231F20"/>
          <w:spacing w:val="15"/>
        </w:rPr>
        <w:t xml:space="preserve"> </w:t>
      </w:r>
      <w:r>
        <w:rPr>
          <w:color w:val="231F20"/>
          <w:w w:val="95"/>
        </w:rPr>
        <w:t>is</w:t>
      </w:r>
      <w:r>
        <w:rPr>
          <w:color w:val="231F20"/>
          <w:spacing w:val="14"/>
        </w:rPr>
        <w:t xml:space="preserve"> </w:t>
      </w:r>
      <w:r>
        <w:rPr>
          <w:color w:val="231F20"/>
          <w:w w:val="95"/>
        </w:rPr>
        <w:t>made</w:t>
      </w:r>
      <w:r>
        <w:rPr>
          <w:color w:val="231F20"/>
          <w:spacing w:val="14"/>
        </w:rPr>
        <w:t xml:space="preserve"> </w:t>
      </w:r>
      <w:r>
        <w:rPr>
          <w:color w:val="231F20"/>
          <w:spacing w:val="-5"/>
          <w:w w:val="95"/>
        </w:rPr>
        <w:t>to</w:t>
      </w:r>
    </w:p>
    <w:p w14:paraId="77CFA3F4" w14:textId="77777777" w:rsidR="00AE0598" w:rsidRDefault="00AE0598">
      <w:pPr>
        <w:pStyle w:val="Corpodetexto"/>
        <w:rPr>
          <w:sz w:val="20"/>
        </w:rPr>
      </w:pPr>
    </w:p>
    <w:p w14:paraId="73D1B3E9" w14:textId="77777777" w:rsidR="00AE0598" w:rsidRDefault="00AE0598">
      <w:pPr>
        <w:pStyle w:val="Corpodetexto"/>
        <w:spacing w:before="8"/>
        <w:rPr>
          <w:sz w:val="25"/>
        </w:rPr>
      </w:pPr>
    </w:p>
    <w:p w14:paraId="4EEFDD9E" w14:textId="77777777" w:rsidR="00AE0598" w:rsidRDefault="0069255A">
      <w:pPr>
        <w:spacing w:before="99"/>
        <w:ind w:left="384" w:right="407"/>
        <w:jc w:val="center"/>
        <w:rPr>
          <w:rFonts w:ascii="Trebuchet MS"/>
          <w:sz w:val="16"/>
        </w:rPr>
      </w:pPr>
      <w:r>
        <w:rPr>
          <w:rFonts w:ascii="Trebuchet MS"/>
          <w:color w:val="231F20"/>
          <w:spacing w:val="-5"/>
          <w:w w:val="105"/>
          <w:sz w:val="16"/>
        </w:rPr>
        <w:t>63</w:t>
      </w:r>
    </w:p>
    <w:p w14:paraId="6315C67F" w14:textId="77777777" w:rsidR="00AE0598" w:rsidRDefault="00AE0598">
      <w:pPr>
        <w:jc w:val="center"/>
        <w:rPr>
          <w:rFonts w:ascii="Trebuchet MS"/>
          <w:sz w:val="16"/>
        </w:rPr>
        <w:sectPr w:rsidR="00AE0598">
          <w:pgSz w:w="8850" w:h="13270"/>
          <w:pgMar w:top="1020" w:right="1060" w:bottom="280" w:left="1080" w:header="720" w:footer="720" w:gutter="0"/>
          <w:cols w:space="720"/>
        </w:sectPr>
      </w:pPr>
    </w:p>
    <w:p w14:paraId="556CD6A5" w14:textId="77777777" w:rsidR="00AE0598" w:rsidRDefault="0069255A">
      <w:pPr>
        <w:spacing w:before="87"/>
        <w:ind w:left="108"/>
        <w:rPr>
          <w:rFonts w:ascii="Trebuchet MS"/>
          <w:sz w:val="14"/>
        </w:rPr>
      </w:pPr>
      <w:r>
        <w:rPr>
          <w:rFonts w:ascii="Trebuchet MS"/>
          <w:color w:val="231F20"/>
          <w:w w:val="105"/>
          <w:sz w:val="14"/>
        </w:rPr>
        <w:lastRenderedPageBreak/>
        <w:t>64</w:t>
      </w:r>
      <w:r>
        <w:rPr>
          <w:rFonts w:ascii="Trebuchet MS"/>
          <w:color w:val="231F20"/>
          <w:spacing w:val="64"/>
          <w:w w:val="150"/>
          <w:sz w:val="14"/>
        </w:rPr>
        <w:t xml:space="preserve"> </w:t>
      </w:r>
      <w:r>
        <w:rPr>
          <w:rFonts w:ascii="Trebuchet MS"/>
          <w:color w:val="231F20"/>
          <w:w w:val="105"/>
          <w:sz w:val="14"/>
        </w:rPr>
        <w:t>Part</w:t>
      </w:r>
      <w:r>
        <w:rPr>
          <w:rFonts w:ascii="Trebuchet MS"/>
          <w:color w:val="231F20"/>
          <w:spacing w:val="-9"/>
          <w:w w:val="105"/>
          <w:sz w:val="14"/>
        </w:rPr>
        <w:t xml:space="preserve"> </w:t>
      </w:r>
      <w:r>
        <w:rPr>
          <w:rFonts w:ascii="Trebuchet MS"/>
          <w:color w:val="231F20"/>
          <w:w w:val="105"/>
          <w:sz w:val="14"/>
        </w:rPr>
        <w:t>2:</w:t>
      </w:r>
      <w:r>
        <w:rPr>
          <w:rFonts w:ascii="Trebuchet MS"/>
          <w:color w:val="231F20"/>
          <w:spacing w:val="-9"/>
          <w:w w:val="105"/>
          <w:sz w:val="14"/>
        </w:rPr>
        <w:t xml:space="preserve"> </w:t>
      </w:r>
      <w:r>
        <w:rPr>
          <w:rFonts w:ascii="Trebuchet MS"/>
          <w:color w:val="231F20"/>
          <w:w w:val="105"/>
          <w:sz w:val="14"/>
        </w:rPr>
        <w:t>Foundations</w:t>
      </w:r>
      <w:r>
        <w:rPr>
          <w:rFonts w:ascii="Trebuchet MS"/>
          <w:color w:val="231F20"/>
          <w:spacing w:val="-9"/>
          <w:w w:val="105"/>
          <w:sz w:val="14"/>
        </w:rPr>
        <w:t xml:space="preserve"> </w:t>
      </w:r>
      <w:r>
        <w:rPr>
          <w:rFonts w:ascii="Trebuchet MS"/>
          <w:color w:val="231F20"/>
          <w:w w:val="105"/>
          <w:sz w:val="14"/>
        </w:rPr>
        <w:t>of</w:t>
      </w:r>
      <w:r>
        <w:rPr>
          <w:rFonts w:ascii="Trebuchet MS"/>
          <w:color w:val="231F20"/>
          <w:spacing w:val="-9"/>
          <w:w w:val="105"/>
          <w:sz w:val="14"/>
        </w:rPr>
        <w:t xml:space="preserve"> </w:t>
      </w:r>
      <w:r>
        <w:rPr>
          <w:rFonts w:ascii="Trebuchet MS"/>
          <w:color w:val="231F20"/>
          <w:w w:val="105"/>
          <w:sz w:val="14"/>
        </w:rPr>
        <w:t>Sport</w:t>
      </w:r>
      <w:r>
        <w:rPr>
          <w:rFonts w:ascii="Trebuchet MS"/>
          <w:color w:val="231F20"/>
          <w:spacing w:val="-9"/>
          <w:w w:val="105"/>
          <w:sz w:val="14"/>
        </w:rPr>
        <w:t xml:space="preserve"> </w:t>
      </w:r>
      <w:r>
        <w:rPr>
          <w:rFonts w:ascii="Trebuchet MS"/>
          <w:color w:val="231F20"/>
          <w:w w:val="105"/>
          <w:sz w:val="14"/>
        </w:rPr>
        <w:t>Tourism</w:t>
      </w:r>
      <w:r>
        <w:rPr>
          <w:rFonts w:ascii="Trebuchet MS"/>
          <w:color w:val="231F20"/>
          <w:spacing w:val="-9"/>
          <w:w w:val="105"/>
          <w:sz w:val="14"/>
        </w:rPr>
        <w:t xml:space="preserve"> </w:t>
      </w:r>
      <w:r>
        <w:rPr>
          <w:rFonts w:ascii="Trebuchet MS"/>
          <w:color w:val="231F20"/>
          <w:spacing w:val="-2"/>
          <w:w w:val="105"/>
          <w:sz w:val="14"/>
        </w:rPr>
        <w:t>Development</w:t>
      </w:r>
    </w:p>
    <w:p w14:paraId="4B734FFB" w14:textId="77777777" w:rsidR="00AE0598" w:rsidRDefault="00AE0598">
      <w:pPr>
        <w:pStyle w:val="Corpodetexto"/>
        <w:rPr>
          <w:rFonts w:ascii="Trebuchet MS"/>
          <w:sz w:val="16"/>
        </w:rPr>
      </w:pPr>
    </w:p>
    <w:p w14:paraId="21D03A6F" w14:textId="77777777" w:rsidR="00AE0598" w:rsidRDefault="0069255A">
      <w:pPr>
        <w:pStyle w:val="Corpodetexto"/>
        <w:spacing w:before="118" w:line="232" w:lineRule="auto"/>
        <w:ind w:left="110" w:right="127"/>
        <w:jc w:val="both"/>
      </w:pPr>
      <w:r>
        <w:rPr>
          <w:color w:val="231F20"/>
        </w:rPr>
        <w:t>‘levels</w:t>
      </w:r>
      <w:r>
        <w:rPr>
          <w:color w:val="231F20"/>
          <w:spacing w:val="-11"/>
        </w:rPr>
        <w:t xml:space="preserve"> </w:t>
      </w:r>
      <w:r>
        <w:rPr>
          <w:color w:val="231F20"/>
        </w:rPr>
        <w:t>of</w:t>
      </w:r>
      <w:r>
        <w:rPr>
          <w:color w:val="231F20"/>
          <w:spacing w:val="-11"/>
        </w:rPr>
        <w:t xml:space="preserve"> </w:t>
      </w:r>
      <w:r>
        <w:rPr>
          <w:color w:val="231F20"/>
        </w:rPr>
        <w:t>development’.</w:t>
      </w:r>
      <w:r>
        <w:rPr>
          <w:color w:val="231F20"/>
          <w:spacing w:val="-11"/>
        </w:rPr>
        <w:t xml:space="preserve"> </w:t>
      </w:r>
      <w:r>
        <w:rPr>
          <w:color w:val="231F20"/>
        </w:rPr>
        <w:t>These</w:t>
      </w:r>
      <w:r>
        <w:rPr>
          <w:color w:val="231F20"/>
          <w:spacing w:val="-11"/>
        </w:rPr>
        <w:t xml:space="preserve"> </w:t>
      </w:r>
      <w:r>
        <w:rPr>
          <w:color w:val="231F20"/>
        </w:rPr>
        <w:t>levels</w:t>
      </w:r>
      <w:r>
        <w:rPr>
          <w:color w:val="231F20"/>
          <w:spacing w:val="-11"/>
        </w:rPr>
        <w:t xml:space="preserve"> </w:t>
      </w:r>
      <w:r>
        <w:rPr>
          <w:color w:val="231F20"/>
        </w:rPr>
        <w:t>were</w:t>
      </w:r>
      <w:r>
        <w:rPr>
          <w:color w:val="231F20"/>
          <w:spacing w:val="-11"/>
        </w:rPr>
        <w:t xml:space="preserve"> </w:t>
      </w:r>
      <w:r>
        <w:rPr>
          <w:color w:val="231F20"/>
        </w:rPr>
        <w:t>traditionally</w:t>
      </w:r>
      <w:r>
        <w:rPr>
          <w:color w:val="231F20"/>
          <w:spacing w:val="-11"/>
        </w:rPr>
        <w:t xml:space="preserve"> </w:t>
      </w:r>
      <w:r>
        <w:rPr>
          <w:color w:val="231F20"/>
        </w:rPr>
        <w:t>assessed</w:t>
      </w:r>
      <w:r>
        <w:rPr>
          <w:color w:val="231F20"/>
          <w:spacing w:val="-11"/>
        </w:rPr>
        <w:t xml:space="preserve"> </w:t>
      </w:r>
      <w:r>
        <w:rPr>
          <w:color w:val="231F20"/>
        </w:rPr>
        <w:t>in</w:t>
      </w:r>
      <w:r>
        <w:rPr>
          <w:color w:val="231F20"/>
          <w:spacing w:val="-11"/>
        </w:rPr>
        <w:t xml:space="preserve"> </w:t>
      </w:r>
      <w:r>
        <w:rPr>
          <w:color w:val="231F20"/>
        </w:rPr>
        <w:t>terms of</w:t>
      </w:r>
      <w:r>
        <w:rPr>
          <w:color w:val="231F20"/>
          <w:spacing w:val="-2"/>
        </w:rPr>
        <w:t xml:space="preserve"> </w:t>
      </w:r>
      <w:r>
        <w:rPr>
          <w:color w:val="231F20"/>
        </w:rPr>
        <w:t>economic</w:t>
      </w:r>
      <w:r>
        <w:rPr>
          <w:color w:val="231F20"/>
          <w:spacing w:val="-2"/>
        </w:rPr>
        <w:t xml:space="preserve"> </w:t>
      </w:r>
      <w:r>
        <w:rPr>
          <w:color w:val="231F20"/>
        </w:rPr>
        <w:t>measures</w:t>
      </w:r>
      <w:r>
        <w:rPr>
          <w:color w:val="231F20"/>
          <w:spacing w:val="-2"/>
        </w:rPr>
        <w:t xml:space="preserve"> </w:t>
      </w:r>
      <w:r>
        <w:rPr>
          <w:color w:val="231F20"/>
        </w:rPr>
        <w:t>such</w:t>
      </w:r>
      <w:r>
        <w:rPr>
          <w:color w:val="231F20"/>
          <w:spacing w:val="-2"/>
        </w:rPr>
        <w:t xml:space="preserve"> </w:t>
      </w:r>
      <w:r>
        <w:rPr>
          <w:color w:val="231F20"/>
        </w:rPr>
        <w:t>as</w:t>
      </w:r>
      <w:r>
        <w:rPr>
          <w:color w:val="231F20"/>
          <w:spacing w:val="-2"/>
        </w:rPr>
        <w:t xml:space="preserve"> </w:t>
      </w:r>
      <w:r>
        <w:rPr>
          <w:color w:val="231F20"/>
        </w:rPr>
        <w:t>income</w:t>
      </w:r>
      <w:r>
        <w:rPr>
          <w:color w:val="231F20"/>
          <w:spacing w:val="-2"/>
        </w:rPr>
        <w:t xml:space="preserve"> </w:t>
      </w:r>
      <w:r>
        <w:rPr>
          <w:color w:val="231F20"/>
        </w:rPr>
        <w:t>and</w:t>
      </w:r>
      <w:r>
        <w:rPr>
          <w:color w:val="231F20"/>
          <w:spacing w:val="-2"/>
        </w:rPr>
        <w:t xml:space="preserve"> </w:t>
      </w:r>
      <w:r>
        <w:rPr>
          <w:color w:val="231F20"/>
        </w:rPr>
        <w:t>employment</w:t>
      </w:r>
      <w:r>
        <w:rPr>
          <w:color w:val="231F20"/>
          <w:spacing w:val="-2"/>
        </w:rPr>
        <w:t xml:space="preserve"> </w:t>
      </w:r>
      <w:r>
        <w:rPr>
          <w:color w:val="231F20"/>
        </w:rPr>
        <w:t>but</w:t>
      </w:r>
      <w:r>
        <w:rPr>
          <w:color w:val="231F20"/>
          <w:spacing w:val="-2"/>
        </w:rPr>
        <w:t xml:space="preserve"> </w:t>
      </w:r>
      <w:r>
        <w:rPr>
          <w:color w:val="231F20"/>
        </w:rPr>
        <w:t>increasingly include non-economic measures such as social conditions.</w:t>
      </w:r>
    </w:p>
    <w:p w14:paraId="4C5E7D87" w14:textId="77777777" w:rsidR="00AE0598" w:rsidRDefault="0069255A">
      <w:pPr>
        <w:pStyle w:val="Corpodetexto"/>
        <w:spacing w:before="4" w:line="232" w:lineRule="auto"/>
        <w:ind w:left="110" w:right="127" w:firstLine="320"/>
        <w:jc w:val="both"/>
      </w:pPr>
      <w:r>
        <w:rPr>
          <w:color w:val="231F20"/>
        </w:rPr>
        <w:t>Planners and policymakers seek change that is accompanied by positive</w:t>
      </w:r>
      <w:r>
        <w:rPr>
          <w:color w:val="231F20"/>
          <w:spacing w:val="-5"/>
        </w:rPr>
        <w:t xml:space="preserve"> </w:t>
      </w:r>
      <w:r>
        <w:rPr>
          <w:color w:val="231F20"/>
        </w:rPr>
        <w:t>impacts</w:t>
      </w:r>
      <w:r>
        <w:rPr>
          <w:color w:val="231F20"/>
          <w:spacing w:val="-5"/>
        </w:rPr>
        <w:t xml:space="preserve"> </w:t>
      </w:r>
      <w:r>
        <w:rPr>
          <w:color w:val="231F20"/>
        </w:rPr>
        <w:t>and</w:t>
      </w:r>
      <w:r>
        <w:rPr>
          <w:color w:val="231F20"/>
          <w:spacing w:val="-5"/>
        </w:rPr>
        <w:t xml:space="preserve"> </w:t>
      </w:r>
      <w:r>
        <w:rPr>
          <w:color w:val="231F20"/>
        </w:rPr>
        <w:t>implications.</w:t>
      </w:r>
      <w:r>
        <w:rPr>
          <w:color w:val="231F20"/>
          <w:spacing w:val="-5"/>
        </w:rPr>
        <w:t xml:space="preserve"> </w:t>
      </w:r>
      <w:r>
        <w:rPr>
          <w:color w:val="231F20"/>
        </w:rPr>
        <w:t>Growth</w:t>
      </w:r>
      <w:r>
        <w:rPr>
          <w:color w:val="231F20"/>
          <w:spacing w:val="-5"/>
        </w:rPr>
        <w:t xml:space="preserve"> </w:t>
      </w:r>
      <w:r>
        <w:rPr>
          <w:color w:val="231F20"/>
        </w:rPr>
        <w:t>in</w:t>
      </w:r>
      <w:r>
        <w:rPr>
          <w:color w:val="231F20"/>
          <w:spacing w:val="-5"/>
        </w:rPr>
        <w:t xml:space="preserve"> </w:t>
      </w:r>
      <w:r>
        <w:rPr>
          <w:color w:val="231F20"/>
        </w:rPr>
        <w:t>its</w:t>
      </w:r>
      <w:r>
        <w:rPr>
          <w:color w:val="231F20"/>
          <w:spacing w:val="-5"/>
        </w:rPr>
        <w:t xml:space="preserve"> </w:t>
      </w:r>
      <w:r>
        <w:rPr>
          <w:color w:val="231F20"/>
        </w:rPr>
        <w:t>various</w:t>
      </w:r>
      <w:r>
        <w:rPr>
          <w:color w:val="231F20"/>
          <w:spacing w:val="-5"/>
        </w:rPr>
        <w:t xml:space="preserve"> </w:t>
      </w:r>
      <w:r>
        <w:rPr>
          <w:color w:val="231F20"/>
        </w:rPr>
        <w:t>forms,</w:t>
      </w:r>
      <w:r>
        <w:rPr>
          <w:color w:val="231F20"/>
          <w:spacing w:val="-5"/>
        </w:rPr>
        <w:t xml:space="preserve"> </w:t>
      </w:r>
      <w:r>
        <w:rPr>
          <w:color w:val="231F20"/>
        </w:rPr>
        <w:t>including the number of sport-related visitors to a destinati</w:t>
      </w:r>
      <w:r>
        <w:rPr>
          <w:color w:val="231F20"/>
        </w:rPr>
        <w:t>on, the amount that these visitors spend and the physical development of sport tourism sites,</w:t>
      </w:r>
      <w:r>
        <w:rPr>
          <w:color w:val="231F20"/>
          <w:spacing w:val="-3"/>
        </w:rPr>
        <w:t xml:space="preserve"> </w:t>
      </w:r>
      <w:r>
        <w:rPr>
          <w:color w:val="231F20"/>
        </w:rPr>
        <w:t>are</w:t>
      </w:r>
      <w:r>
        <w:rPr>
          <w:color w:val="231F20"/>
          <w:spacing w:val="-3"/>
        </w:rPr>
        <w:t xml:space="preserve"> </w:t>
      </w:r>
      <w:r>
        <w:rPr>
          <w:color w:val="231F20"/>
        </w:rPr>
        <w:t>often</w:t>
      </w:r>
      <w:r>
        <w:rPr>
          <w:color w:val="231F20"/>
          <w:spacing w:val="-3"/>
        </w:rPr>
        <w:t xml:space="preserve"> </w:t>
      </w:r>
      <w:r>
        <w:rPr>
          <w:color w:val="231F20"/>
        </w:rPr>
        <w:t>key</w:t>
      </w:r>
      <w:r>
        <w:rPr>
          <w:color w:val="231F20"/>
          <w:spacing w:val="-3"/>
        </w:rPr>
        <w:t xml:space="preserve"> </w:t>
      </w:r>
      <w:r>
        <w:rPr>
          <w:color w:val="231F20"/>
        </w:rPr>
        <w:t>objectives.</w:t>
      </w:r>
      <w:r>
        <w:rPr>
          <w:color w:val="231F20"/>
          <w:spacing w:val="-3"/>
        </w:rPr>
        <w:t xml:space="preserve"> </w:t>
      </w:r>
      <w:r>
        <w:rPr>
          <w:color w:val="231F20"/>
        </w:rPr>
        <w:t>Nevertheless,</w:t>
      </w:r>
      <w:r>
        <w:rPr>
          <w:color w:val="231F20"/>
          <w:spacing w:val="-3"/>
        </w:rPr>
        <w:t xml:space="preserve"> </w:t>
      </w:r>
      <w:r>
        <w:rPr>
          <w:color w:val="231F20"/>
        </w:rPr>
        <w:t>it</w:t>
      </w:r>
      <w:r>
        <w:rPr>
          <w:color w:val="231F20"/>
          <w:spacing w:val="-3"/>
        </w:rPr>
        <w:t xml:space="preserve"> </w:t>
      </w:r>
      <w:r>
        <w:rPr>
          <w:color w:val="231F20"/>
        </w:rPr>
        <w:t>is</w:t>
      </w:r>
      <w:r>
        <w:rPr>
          <w:color w:val="231F20"/>
          <w:spacing w:val="-3"/>
        </w:rPr>
        <w:t xml:space="preserve"> </w:t>
      </w:r>
      <w:r>
        <w:rPr>
          <w:color w:val="231F20"/>
        </w:rPr>
        <w:t>wrong</w:t>
      </w:r>
      <w:r>
        <w:rPr>
          <w:color w:val="231F20"/>
          <w:spacing w:val="-3"/>
        </w:rPr>
        <w:t xml:space="preserve"> </w:t>
      </w:r>
      <w:r>
        <w:rPr>
          <w:color w:val="231F20"/>
        </w:rPr>
        <w:t>to</w:t>
      </w:r>
      <w:r>
        <w:rPr>
          <w:color w:val="231F20"/>
          <w:spacing w:val="-3"/>
        </w:rPr>
        <w:t xml:space="preserve"> </w:t>
      </w:r>
      <w:r>
        <w:rPr>
          <w:color w:val="231F20"/>
        </w:rPr>
        <w:t>simply</w:t>
      </w:r>
      <w:r>
        <w:rPr>
          <w:color w:val="231F20"/>
          <w:spacing w:val="-3"/>
        </w:rPr>
        <w:t xml:space="preserve"> </w:t>
      </w:r>
      <w:r>
        <w:rPr>
          <w:color w:val="231F20"/>
        </w:rPr>
        <w:t>equate growth with development, especially when a long-term perspective is taken</w:t>
      </w:r>
      <w:r>
        <w:rPr>
          <w:color w:val="231F20"/>
          <w:spacing w:val="-1"/>
        </w:rPr>
        <w:t xml:space="preserve"> </w:t>
      </w:r>
      <w:r>
        <w:rPr>
          <w:color w:val="231F20"/>
        </w:rPr>
        <w:t>that</w:t>
      </w:r>
      <w:r>
        <w:rPr>
          <w:color w:val="231F20"/>
          <w:spacing w:val="-1"/>
        </w:rPr>
        <w:t xml:space="preserve"> </w:t>
      </w:r>
      <w:r>
        <w:rPr>
          <w:color w:val="231F20"/>
        </w:rPr>
        <w:t>incorporates</w:t>
      </w:r>
      <w:r>
        <w:rPr>
          <w:color w:val="231F20"/>
          <w:spacing w:val="-1"/>
        </w:rPr>
        <w:t xml:space="preserve"> </w:t>
      </w:r>
      <w:r>
        <w:rPr>
          <w:color w:val="231F20"/>
        </w:rPr>
        <w:t>multiple</w:t>
      </w:r>
      <w:r>
        <w:rPr>
          <w:color w:val="231F20"/>
          <w:spacing w:val="-1"/>
        </w:rPr>
        <w:t xml:space="preserve"> </w:t>
      </w:r>
      <w:r>
        <w:rPr>
          <w:color w:val="231F20"/>
        </w:rPr>
        <w:t>stakeholder</w:t>
      </w:r>
      <w:r>
        <w:rPr>
          <w:color w:val="231F20"/>
          <w:spacing w:val="-1"/>
        </w:rPr>
        <w:t xml:space="preserve"> </w:t>
      </w:r>
      <w:r>
        <w:rPr>
          <w:color w:val="231F20"/>
        </w:rPr>
        <w:t>interests</w:t>
      </w:r>
      <w:r>
        <w:rPr>
          <w:color w:val="231F20"/>
          <w:spacing w:val="-1"/>
        </w:rPr>
        <w:t xml:space="preserve"> </w:t>
      </w:r>
      <w:r>
        <w:rPr>
          <w:color w:val="231F20"/>
        </w:rPr>
        <w:t>(Atkisson,</w:t>
      </w:r>
      <w:r>
        <w:rPr>
          <w:color w:val="231F20"/>
          <w:spacing w:val="-1"/>
        </w:rPr>
        <w:t xml:space="preserve"> </w:t>
      </w:r>
      <w:r>
        <w:rPr>
          <w:color w:val="231F20"/>
        </w:rPr>
        <w:t>2000). Development is not just change in terms of growth, it is change that has a positive overall impact. It shoul</w:t>
      </w:r>
      <w:r>
        <w:rPr>
          <w:color w:val="231F20"/>
        </w:rPr>
        <w:t>d, therefore, be assessed in the context of a full range of stakeholders and their often competing and sometimes contradictory goals.</w:t>
      </w:r>
    </w:p>
    <w:p w14:paraId="60028FA3" w14:textId="77777777" w:rsidR="00AE0598" w:rsidRDefault="0069255A">
      <w:pPr>
        <w:pStyle w:val="Corpodetexto"/>
        <w:spacing w:before="13" w:line="232" w:lineRule="auto"/>
        <w:ind w:left="110" w:right="127" w:firstLine="320"/>
        <w:jc w:val="both"/>
      </w:pPr>
      <w:r>
        <w:rPr>
          <w:color w:val="231F20"/>
          <w:w w:val="95"/>
        </w:rPr>
        <w:t>While</w:t>
      </w:r>
      <w:r>
        <w:rPr>
          <w:color w:val="231F20"/>
          <w:spacing w:val="-1"/>
          <w:w w:val="95"/>
        </w:rPr>
        <w:t xml:space="preserve"> </w:t>
      </w:r>
      <w:r>
        <w:rPr>
          <w:color w:val="231F20"/>
          <w:w w:val="95"/>
        </w:rPr>
        <w:t>there</w:t>
      </w:r>
      <w:r>
        <w:rPr>
          <w:color w:val="231F20"/>
          <w:spacing w:val="-1"/>
          <w:w w:val="95"/>
        </w:rPr>
        <w:t xml:space="preserve"> </w:t>
      </w:r>
      <w:r>
        <w:rPr>
          <w:color w:val="231F20"/>
          <w:w w:val="95"/>
        </w:rPr>
        <w:t>is</w:t>
      </w:r>
      <w:r>
        <w:rPr>
          <w:color w:val="231F20"/>
          <w:spacing w:val="-1"/>
          <w:w w:val="95"/>
        </w:rPr>
        <w:t xml:space="preserve"> </w:t>
      </w:r>
      <w:r>
        <w:rPr>
          <w:color w:val="231F20"/>
          <w:w w:val="95"/>
        </w:rPr>
        <w:t>agreement</w:t>
      </w:r>
      <w:r>
        <w:rPr>
          <w:color w:val="231F20"/>
          <w:spacing w:val="-1"/>
          <w:w w:val="95"/>
        </w:rPr>
        <w:t xml:space="preserve"> </w:t>
      </w:r>
      <w:r>
        <w:rPr>
          <w:color w:val="231F20"/>
          <w:w w:val="95"/>
        </w:rPr>
        <w:t>that</w:t>
      </w:r>
      <w:r>
        <w:rPr>
          <w:color w:val="231F20"/>
          <w:spacing w:val="-1"/>
          <w:w w:val="95"/>
        </w:rPr>
        <w:t xml:space="preserve"> </w:t>
      </w:r>
      <w:r>
        <w:rPr>
          <w:color w:val="231F20"/>
          <w:w w:val="95"/>
        </w:rPr>
        <w:t>development</w:t>
      </w:r>
      <w:r>
        <w:rPr>
          <w:color w:val="231F20"/>
          <w:spacing w:val="-1"/>
          <w:w w:val="95"/>
        </w:rPr>
        <w:t xml:space="preserve"> </w:t>
      </w:r>
      <w:r>
        <w:rPr>
          <w:color w:val="231F20"/>
          <w:w w:val="95"/>
        </w:rPr>
        <w:t>as</w:t>
      </w:r>
      <w:r>
        <w:rPr>
          <w:color w:val="231F20"/>
          <w:spacing w:val="-1"/>
          <w:w w:val="95"/>
        </w:rPr>
        <w:t xml:space="preserve"> </w:t>
      </w:r>
      <w:r>
        <w:rPr>
          <w:color w:val="231F20"/>
          <w:w w:val="95"/>
        </w:rPr>
        <w:t>a</w:t>
      </w:r>
      <w:r>
        <w:rPr>
          <w:color w:val="231F20"/>
          <w:spacing w:val="-1"/>
          <w:w w:val="95"/>
        </w:rPr>
        <w:t xml:space="preserve"> </w:t>
      </w:r>
      <w:r>
        <w:rPr>
          <w:color w:val="231F20"/>
          <w:w w:val="95"/>
        </w:rPr>
        <w:t>planned</w:t>
      </w:r>
      <w:r>
        <w:rPr>
          <w:color w:val="231F20"/>
          <w:spacing w:val="-1"/>
          <w:w w:val="95"/>
        </w:rPr>
        <w:t xml:space="preserve"> </w:t>
      </w:r>
      <w:r>
        <w:rPr>
          <w:color w:val="231F20"/>
          <w:w w:val="95"/>
        </w:rPr>
        <w:t>process</w:t>
      </w:r>
      <w:r>
        <w:rPr>
          <w:color w:val="231F20"/>
          <w:spacing w:val="-1"/>
          <w:w w:val="95"/>
        </w:rPr>
        <w:t xml:space="preserve"> </w:t>
      </w:r>
      <w:r>
        <w:rPr>
          <w:color w:val="231F20"/>
          <w:w w:val="95"/>
        </w:rPr>
        <w:t xml:space="preserve">should </w:t>
      </w:r>
      <w:r>
        <w:rPr>
          <w:color w:val="231F20"/>
        </w:rPr>
        <w:t xml:space="preserve">be aimed at positive change over time, there has been less agreement as to what should be used to measure such change. Typically, economic measures have been used as indicators. This is consistent with the </w:t>
      </w:r>
      <w:r>
        <w:rPr>
          <w:color w:val="231F20"/>
          <w:w w:val="95"/>
        </w:rPr>
        <w:t>dominant political-economic system operating throu</w:t>
      </w:r>
      <w:r>
        <w:rPr>
          <w:color w:val="231F20"/>
          <w:w w:val="95"/>
        </w:rPr>
        <w:t xml:space="preserve">ghout the developed </w:t>
      </w:r>
      <w:r>
        <w:rPr>
          <w:color w:val="231F20"/>
        </w:rPr>
        <w:t>world,</w:t>
      </w:r>
      <w:r>
        <w:rPr>
          <w:color w:val="231F20"/>
          <w:spacing w:val="-1"/>
        </w:rPr>
        <w:t xml:space="preserve"> </w:t>
      </w:r>
      <w:r>
        <w:rPr>
          <w:color w:val="231F20"/>
        </w:rPr>
        <w:t>which</w:t>
      </w:r>
      <w:r>
        <w:rPr>
          <w:color w:val="231F20"/>
          <w:spacing w:val="-1"/>
        </w:rPr>
        <w:t xml:space="preserve"> </w:t>
      </w:r>
      <w:r>
        <w:rPr>
          <w:color w:val="231F20"/>
        </w:rPr>
        <w:t>focuses</w:t>
      </w:r>
      <w:r>
        <w:rPr>
          <w:color w:val="231F20"/>
          <w:spacing w:val="-1"/>
        </w:rPr>
        <w:t xml:space="preserve"> </w:t>
      </w:r>
      <w:r>
        <w:rPr>
          <w:color w:val="231F20"/>
        </w:rPr>
        <w:t>on</w:t>
      </w:r>
      <w:r>
        <w:rPr>
          <w:color w:val="231F20"/>
          <w:spacing w:val="-1"/>
        </w:rPr>
        <w:t xml:space="preserve"> </w:t>
      </w:r>
      <w:r>
        <w:rPr>
          <w:color w:val="231F20"/>
        </w:rPr>
        <w:t>economic</w:t>
      </w:r>
      <w:r>
        <w:rPr>
          <w:color w:val="231F20"/>
          <w:spacing w:val="-1"/>
        </w:rPr>
        <w:t xml:space="preserve"> </w:t>
      </w:r>
      <w:r>
        <w:rPr>
          <w:color w:val="231F20"/>
        </w:rPr>
        <w:t>growth</w:t>
      </w:r>
      <w:r>
        <w:rPr>
          <w:color w:val="231F20"/>
          <w:spacing w:val="-1"/>
        </w:rPr>
        <w:t xml:space="preserve"> </w:t>
      </w:r>
      <w:r>
        <w:rPr>
          <w:color w:val="231F20"/>
        </w:rPr>
        <w:t>as</w:t>
      </w:r>
      <w:r>
        <w:rPr>
          <w:color w:val="231F20"/>
          <w:spacing w:val="-1"/>
        </w:rPr>
        <w:t xml:space="preserve"> </w:t>
      </w:r>
      <w:r>
        <w:rPr>
          <w:color w:val="231F20"/>
        </w:rPr>
        <w:t>an</w:t>
      </w:r>
      <w:r>
        <w:rPr>
          <w:color w:val="231F20"/>
          <w:spacing w:val="-1"/>
        </w:rPr>
        <w:t xml:space="preserve"> </w:t>
      </w:r>
      <w:r>
        <w:rPr>
          <w:color w:val="231F20"/>
        </w:rPr>
        <w:t>unassailable</w:t>
      </w:r>
      <w:r>
        <w:rPr>
          <w:color w:val="231F20"/>
          <w:spacing w:val="-1"/>
        </w:rPr>
        <w:t xml:space="preserve"> </w:t>
      </w:r>
      <w:r>
        <w:rPr>
          <w:color w:val="231F20"/>
        </w:rPr>
        <w:t>policy</w:t>
      </w:r>
      <w:r>
        <w:rPr>
          <w:color w:val="231F20"/>
          <w:spacing w:val="-1"/>
        </w:rPr>
        <w:t xml:space="preserve"> </w:t>
      </w:r>
      <w:r>
        <w:rPr>
          <w:color w:val="231F20"/>
        </w:rPr>
        <w:t xml:space="preserve">goal </w:t>
      </w:r>
      <w:r>
        <w:rPr>
          <w:color w:val="231F20"/>
          <w:w w:val="95"/>
        </w:rPr>
        <w:t xml:space="preserve">(Hall, 2008). Notwithstanding this entrenched perspective, definitions of development ‘have tended to be broadened over time and development has </w:t>
      </w:r>
      <w:r>
        <w:rPr>
          <w:color w:val="231F20"/>
        </w:rPr>
        <w:t>gradually come to be</w:t>
      </w:r>
      <w:r>
        <w:rPr>
          <w:color w:val="231F20"/>
        </w:rPr>
        <w:t xml:space="preserve"> viewed as a social as well as an economic process which involves the progressive improvement of conditions and the fulfilment of potential’ (Wall, 1997: 34). For example, poverty reduction has increasingly been recognised by UN agencies as a key developme</w:t>
      </w:r>
      <w:r>
        <w:rPr>
          <w:color w:val="231F20"/>
        </w:rPr>
        <w:t xml:space="preserve">nt objective (Hawkins &amp; Mann, 2007; Rogerson, 2014). Clearly, there has </w:t>
      </w:r>
      <w:r>
        <w:rPr>
          <w:color w:val="231F20"/>
          <w:w w:val="95"/>
        </w:rPr>
        <w:t xml:space="preserve">been a shift over time in the way development has been understood, from a </w:t>
      </w:r>
      <w:r>
        <w:rPr>
          <w:color w:val="231F20"/>
        </w:rPr>
        <w:t>narrow</w:t>
      </w:r>
      <w:r>
        <w:rPr>
          <w:color w:val="231F20"/>
          <w:spacing w:val="-11"/>
        </w:rPr>
        <w:t xml:space="preserve"> </w:t>
      </w:r>
      <w:r>
        <w:rPr>
          <w:color w:val="231F20"/>
        </w:rPr>
        <w:t>focus</w:t>
      </w:r>
      <w:r>
        <w:rPr>
          <w:color w:val="231F20"/>
          <w:spacing w:val="-11"/>
        </w:rPr>
        <w:t xml:space="preserve"> </w:t>
      </w:r>
      <w:r>
        <w:rPr>
          <w:color w:val="231F20"/>
        </w:rPr>
        <w:t>on</w:t>
      </w:r>
      <w:r>
        <w:rPr>
          <w:color w:val="231F20"/>
          <w:spacing w:val="-11"/>
        </w:rPr>
        <w:t xml:space="preserve"> </w:t>
      </w:r>
      <w:r>
        <w:rPr>
          <w:color w:val="231F20"/>
        </w:rPr>
        <w:t>economic</w:t>
      </w:r>
      <w:r>
        <w:rPr>
          <w:color w:val="231F20"/>
          <w:spacing w:val="-11"/>
        </w:rPr>
        <w:t xml:space="preserve"> </w:t>
      </w:r>
      <w:r>
        <w:rPr>
          <w:color w:val="231F20"/>
        </w:rPr>
        <w:t>measures</w:t>
      </w:r>
      <w:r>
        <w:rPr>
          <w:color w:val="231F20"/>
          <w:spacing w:val="-11"/>
        </w:rPr>
        <w:t xml:space="preserve"> </w:t>
      </w:r>
      <w:r>
        <w:rPr>
          <w:color w:val="231F20"/>
        </w:rPr>
        <w:t>to</w:t>
      </w:r>
      <w:r>
        <w:rPr>
          <w:color w:val="231F20"/>
          <w:spacing w:val="-11"/>
        </w:rPr>
        <w:t xml:space="preserve"> </w:t>
      </w:r>
      <w:r>
        <w:rPr>
          <w:color w:val="231F20"/>
        </w:rPr>
        <w:t>a</w:t>
      </w:r>
      <w:r>
        <w:rPr>
          <w:color w:val="231F20"/>
          <w:spacing w:val="-11"/>
        </w:rPr>
        <w:t xml:space="preserve"> </w:t>
      </w:r>
      <w:r>
        <w:rPr>
          <w:color w:val="231F20"/>
        </w:rPr>
        <w:t>broader</w:t>
      </w:r>
      <w:r>
        <w:rPr>
          <w:color w:val="231F20"/>
          <w:spacing w:val="-11"/>
        </w:rPr>
        <w:t xml:space="preserve"> </w:t>
      </w:r>
      <w:r>
        <w:rPr>
          <w:color w:val="231F20"/>
        </w:rPr>
        <w:t>focus</w:t>
      </w:r>
      <w:r>
        <w:rPr>
          <w:color w:val="231F20"/>
          <w:spacing w:val="-11"/>
        </w:rPr>
        <w:t xml:space="preserve"> </w:t>
      </w:r>
      <w:r>
        <w:rPr>
          <w:color w:val="231F20"/>
        </w:rPr>
        <w:t>that,</w:t>
      </w:r>
      <w:r>
        <w:rPr>
          <w:color w:val="231F20"/>
          <w:spacing w:val="-11"/>
        </w:rPr>
        <w:t xml:space="preserve"> </w:t>
      </w:r>
      <w:r>
        <w:rPr>
          <w:color w:val="231F20"/>
        </w:rPr>
        <w:t>according</w:t>
      </w:r>
      <w:r>
        <w:rPr>
          <w:color w:val="231F20"/>
          <w:spacing w:val="-11"/>
        </w:rPr>
        <w:t xml:space="preserve"> </w:t>
      </w:r>
      <w:r>
        <w:rPr>
          <w:color w:val="231F20"/>
        </w:rPr>
        <w:t>to Sharpley (2014), includes:</w:t>
      </w:r>
    </w:p>
    <w:p w14:paraId="5D4D5A1F" w14:textId="77777777" w:rsidR="00AE0598" w:rsidRDefault="00AE0598">
      <w:pPr>
        <w:pStyle w:val="Corpodetexto"/>
        <w:spacing w:before="7"/>
      </w:pPr>
    </w:p>
    <w:p w14:paraId="7B874567" w14:textId="77777777" w:rsidR="00AE0598" w:rsidRDefault="0069255A">
      <w:pPr>
        <w:pStyle w:val="PargrafodaLista"/>
        <w:numPr>
          <w:ilvl w:val="0"/>
          <w:numId w:val="15"/>
        </w:numPr>
        <w:tabs>
          <w:tab w:val="left" w:pos="491"/>
        </w:tabs>
        <w:spacing w:line="243" w:lineRule="exact"/>
        <w:ind w:hanging="381"/>
        <w:rPr>
          <w:rFonts w:ascii="Cambria"/>
          <w:sz w:val="21"/>
        </w:rPr>
      </w:pPr>
      <w:r>
        <w:rPr>
          <w:rFonts w:ascii="Cambria"/>
          <w:color w:val="231F20"/>
          <w:w w:val="95"/>
          <w:sz w:val="21"/>
        </w:rPr>
        <w:t>economic:</w:t>
      </w:r>
      <w:r>
        <w:rPr>
          <w:rFonts w:ascii="Cambria"/>
          <w:color w:val="231F20"/>
          <w:spacing w:val="11"/>
          <w:sz w:val="21"/>
        </w:rPr>
        <w:t xml:space="preserve"> </w:t>
      </w:r>
      <w:r>
        <w:rPr>
          <w:rFonts w:ascii="Cambria"/>
          <w:color w:val="231F20"/>
          <w:w w:val="95"/>
          <w:sz w:val="21"/>
        </w:rPr>
        <w:t>wealth</w:t>
      </w:r>
      <w:r>
        <w:rPr>
          <w:rFonts w:ascii="Cambria"/>
          <w:color w:val="231F20"/>
          <w:spacing w:val="11"/>
          <w:sz w:val="21"/>
        </w:rPr>
        <w:t xml:space="preserve"> </w:t>
      </w:r>
      <w:r>
        <w:rPr>
          <w:rFonts w:ascii="Cambria"/>
          <w:color w:val="231F20"/>
          <w:w w:val="95"/>
          <w:sz w:val="21"/>
        </w:rPr>
        <w:t>creation</w:t>
      </w:r>
      <w:r>
        <w:rPr>
          <w:rFonts w:ascii="Cambria"/>
          <w:color w:val="231F20"/>
          <w:spacing w:val="11"/>
          <w:sz w:val="21"/>
        </w:rPr>
        <w:t xml:space="preserve"> </w:t>
      </w:r>
      <w:r>
        <w:rPr>
          <w:rFonts w:ascii="Cambria"/>
          <w:color w:val="231F20"/>
          <w:w w:val="95"/>
          <w:sz w:val="21"/>
        </w:rPr>
        <w:t>and</w:t>
      </w:r>
      <w:r>
        <w:rPr>
          <w:rFonts w:ascii="Cambria"/>
          <w:color w:val="231F20"/>
          <w:spacing w:val="11"/>
          <w:sz w:val="21"/>
        </w:rPr>
        <w:t xml:space="preserve"> </w:t>
      </w:r>
      <w:r>
        <w:rPr>
          <w:rFonts w:ascii="Cambria"/>
          <w:color w:val="231F20"/>
          <w:w w:val="95"/>
          <w:sz w:val="21"/>
        </w:rPr>
        <w:t>equitable</w:t>
      </w:r>
      <w:r>
        <w:rPr>
          <w:rFonts w:ascii="Cambria"/>
          <w:color w:val="231F20"/>
          <w:spacing w:val="11"/>
          <w:sz w:val="21"/>
        </w:rPr>
        <w:t xml:space="preserve"> </w:t>
      </w:r>
      <w:r>
        <w:rPr>
          <w:rFonts w:ascii="Cambria"/>
          <w:color w:val="231F20"/>
          <w:spacing w:val="-2"/>
          <w:w w:val="95"/>
          <w:sz w:val="21"/>
        </w:rPr>
        <w:t>distribution;</w:t>
      </w:r>
    </w:p>
    <w:p w14:paraId="0F7E8113" w14:textId="77777777" w:rsidR="00AE0598" w:rsidRDefault="0069255A">
      <w:pPr>
        <w:pStyle w:val="PargrafodaLista"/>
        <w:numPr>
          <w:ilvl w:val="0"/>
          <w:numId w:val="15"/>
        </w:numPr>
        <w:tabs>
          <w:tab w:val="left" w:pos="490"/>
        </w:tabs>
        <w:spacing w:line="240" w:lineRule="exact"/>
        <w:ind w:left="489"/>
        <w:rPr>
          <w:rFonts w:ascii="Cambria"/>
          <w:sz w:val="21"/>
        </w:rPr>
      </w:pPr>
      <w:r>
        <w:rPr>
          <w:rFonts w:ascii="Cambria"/>
          <w:color w:val="231F20"/>
          <w:w w:val="95"/>
          <w:sz w:val="21"/>
        </w:rPr>
        <w:t>social:</w:t>
      </w:r>
      <w:r>
        <w:rPr>
          <w:rFonts w:ascii="Cambria"/>
          <w:color w:val="231F20"/>
          <w:spacing w:val="12"/>
          <w:sz w:val="21"/>
        </w:rPr>
        <w:t xml:space="preserve"> </w:t>
      </w:r>
      <w:r>
        <w:rPr>
          <w:rFonts w:ascii="Cambria"/>
          <w:color w:val="231F20"/>
          <w:w w:val="95"/>
          <w:sz w:val="21"/>
        </w:rPr>
        <w:t>progress</w:t>
      </w:r>
      <w:r>
        <w:rPr>
          <w:rFonts w:ascii="Cambria"/>
          <w:color w:val="231F20"/>
          <w:spacing w:val="13"/>
          <w:sz w:val="21"/>
        </w:rPr>
        <w:t xml:space="preserve"> </w:t>
      </w:r>
      <w:r>
        <w:rPr>
          <w:rFonts w:ascii="Cambria"/>
          <w:color w:val="231F20"/>
          <w:w w:val="95"/>
          <w:sz w:val="21"/>
        </w:rPr>
        <w:t>in</w:t>
      </w:r>
      <w:r>
        <w:rPr>
          <w:rFonts w:ascii="Cambria"/>
          <w:color w:val="231F20"/>
          <w:spacing w:val="12"/>
          <w:sz w:val="21"/>
        </w:rPr>
        <w:t xml:space="preserve"> </w:t>
      </w:r>
      <w:r>
        <w:rPr>
          <w:rFonts w:ascii="Cambria"/>
          <w:color w:val="231F20"/>
          <w:w w:val="95"/>
          <w:sz w:val="21"/>
        </w:rPr>
        <w:t>health,</w:t>
      </w:r>
      <w:r>
        <w:rPr>
          <w:rFonts w:ascii="Cambria"/>
          <w:color w:val="231F20"/>
          <w:spacing w:val="13"/>
          <w:sz w:val="21"/>
        </w:rPr>
        <w:t xml:space="preserve"> </w:t>
      </w:r>
      <w:r>
        <w:rPr>
          <w:rFonts w:ascii="Cambria"/>
          <w:color w:val="231F20"/>
          <w:w w:val="95"/>
          <w:sz w:val="21"/>
        </w:rPr>
        <w:t>education,</w:t>
      </w:r>
      <w:r>
        <w:rPr>
          <w:rFonts w:ascii="Cambria"/>
          <w:color w:val="231F20"/>
          <w:spacing w:val="12"/>
          <w:sz w:val="21"/>
        </w:rPr>
        <w:t xml:space="preserve"> </w:t>
      </w:r>
      <w:r>
        <w:rPr>
          <w:rFonts w:ascii="Cambria"/>
          <w:color w:val="231F20"/>
          <w:w w:val="95"/>
          <w:sz w:val="21"/>
        </w:rPr>
        <w:t>employment</w:t>
      </w:r>
      <w:r>
        <w:rPr>
          <w:rFonts w:ascii="Cambria"/>
          <w:color w:val="231F20"/>
          <w:spacing w:val="13"/>
          <w:sz w:val="21"/>
        </w:rPr>
        <w:t xml:space="preserve"> </w:t>
      </w:r>
      <w:r>
        <w:rPr>
          <w:rFonts w:ascii="Cambria"/>
          <w:color w:val="231F20"/>
          <w:w w:val="95"/>
          <w:sz w:val="21"/>
        </w:rPr>
        <w:t>and</w:t>
      </w:r>
      <w:r>
        <w:rPr>
          <w:rFonts w:ascii="Cambria"/>
          <w:color w:val="231F20"/>
          <w:spacing w:val="13"/>
          <w:sz w:val="21"/>
        </w:rPr>
        <w:t xml:space="preserve"> </w:t>
      </w:r>
      <w:r>
        <w:rPr>
          <w:rFonts w:ascii="Cambria"/>
          <w:color w:val="231F20"/>
          <w:spacing w:val="-2"/>
          <w:w w:val="95"/>
          <w:sz w:val="21"/>
        </w:rPr>
        <w:t>housing;</w:t>
      </w:r>
    </w:p>
    <w:p w14:paraId="032A64BD" w14:textId="77777777" w:rsidR="00AE0598" w:rsidRDefault="0069255A">
      <w:pPr>
        <w:pStyle w:val="PargrafodaLista"/>
        <w:numPr>
          <w:ilvl w:val="0"/>
          <w:numId w:val="15"/>
        </w:numPr>
        <w:tabs>
          <w:tab w:val="left" w:pos="491"/>
        </w:tabs>
        <w:spacing w:line="240" w:lineRule="exact"/>
        <w:ind w:hanging="381"/>
        <w:rPr>
          <w:rFonts w:ascii="Cambria"/>
          <w:sz w:val="21"/>
        </w:rPr>
      </w:pPr>
      <w:r>
        <w:rPr>
          <w:rFonts w:ascii="Cambria"/>
          <w:color w:val="231F20"/>
          <w:w w:val="95"/>
          <w:sz w:val="21"/>
        </w:rPr>
        <w:t>political:</w:t>
      </w:r>
      <w:r>
        <w:rPr>
          <w:rFonts w:ascii="Cambria"/>
          <w:color w:val="231F20"/>
          <w:spacing w:val="20"/>
          <w:sz w:val="21"/>
        </w:rPr>
        <w:t xml:space="preserve"> </w:t>
      </w:r>
      <w:r>
        <w:rPr>
          <w:rFonts w:ascii="Cambria"/>
          <w:color w:val="231F20"/>
          <w:w w:val="95"/>
          <w:sz w:val="21"/>
        </w:rPr>
        <w:t>human</w:t>
      </w:r>
      <w:r>
        <w:rPr>
          <w:rFonts w:ascii="Cambria"/>
          <w:color w:val="231F20"/>
          <w:spacing w:val="21"/>
          <w:sz w:val="21"/>
        </w:rPr>
        <w:t xml:space="preserve"> </w:t>
      </w:r>
      <w:r>
        <w:rPr>
          <w:rFonts w:ascii="Cambria"/>
          <w:color w:val="231F20"/>
          <w:w w:val="95"/>
          <w:sz w:val="21"/>
        </w:rPr>
        <w:t>rights</w:t>
      </w:r>
      <w:r>
        <w:rPr>
          <w:rFonts w:ascii="Cambria"/>
          <w:color w:val="231F20"/>
          <w:spacing w:val="20"/>
          <w:sz w:val="21"/>
        </w:rPr>
        <w:t xml:space="preserve"> </w:t>
      </w:r>
      <w:r>
        <w:rPr>
          <w:rFonts w:ascii="Cambria"/>
          <w:color w:val="231F20"/>
          <w:w w:val="95"/>
          <w:sz w:val="21"/>
        </w:rPr>
        <w:t>and</w:t>
      </w:r>
      <w:r>
        <w:rPr>
          <w:rFonts w:ascii="Cambria"/>
          <w:color w:val="231F20"/>
          <w:spacing w:val="21"/>
          <w:sz w:val="21"/>
        </w:rPr>
        <w:t xml:space="preserve"> </w:t>
      </w:r>
      <w:r>
        <w:rPr>
          <w:rFonts w:ascii="Cambria"/>
          <w:color w:val="231F20"/>
          <w:w w:val="95"/>
          <w:sz w:val="21"/>
        </w:rPr>
        <w:t>political</w:t>
      </w:r>
      <w:r>
        <w:rPr>
          <w:rFonts w:ascii="Cambria"/>
          <w:color w:val="231F20"/>
          <w:spacing w:val="21"/>
          <w:sz w:val="21"/>
        </w:rPr>
        <w:t xml:space="preserve"> </w:t>
      </w:r>
      <w:r>
        <w:rPr>
          <w:rFonts w:ascii="Cambria"/>
          <w:color w:val="231F20"/>
          <w:spacing w:val="-2"/>
          <w:w w:val="95"/>
          <w:sz w:val="21"/>
        </w:rPr>
        <w:t>freedom;</w:t>
      </w:r>
    </w:p>
    <w:p w14:paraId="0C6747EF" w14:textId="77777777" w:rsidR="00AE0598" w:rsidRDefault="0069255A">
      <w:pPr>
        <w:pStyle w:val="PargrafodaLista"/>
        <w:numPr>
          <w:ilvl w:val="0"/>
          <w:numId w:val="15"/>
        </w:numPr>
        <w:tabs>
          <w:tab w:val="left" w:pos="491"/>
        </w:tabs>
        <w:spacing w:line="240" w:lineRule="exact"/>
        <w:ind w:hanging="381"/>
        <w:rPr>
          <w:rFonts w:ascii="Cambria"/>
          <w:sz w:val="21"/>
        </w:rPr>
      </w:pPr>
      <w:r>
        <w:rPr>
          <w:rFonts w:ascii="Cambria"/>
          <w:color w:val="231F20"/>
          <w:w w:val="95"/>
          <w:sz w:val="21"/>
        </w:rPr>
        <w:t>culture:</w:t>
      </w:r>
      <w:r>
        <w:rPr>
          <w:rFonts w:ascii="Cambria"/>
          <w:color w:val="231F20"/>
          <w:spacing w:val="13"/>
          <w:sz w:val="21"/>
        </w:rPr>
        <w:t xml:space="preserve"> </w:t>
      </w:r>
      <w:r>
        <w:rPr>
          <w:rFonts w:ascii="Cambria"/>
          <w:color w:val="231F20"/>
          <w:w w:val="95"/>
          <w:sz w:val="21"/>
        </w:rPr>
        <w:t>protection</w:t>
      </w:r>
      <w:r>
        <w:rPr>
          <w:rFonts w:ascii="Cambria"/>
          <w:color w:val="231F20"/>
          <w:spacing w:val="13"/>
          <w:sz w:val="21"/>
        </w:rPr>
        <w:t xml:space="preserve"> </w:t>
      </w:r>
      <w:r>
        <w:rPr>
          <w:rFonts w:ascii="Cambria"/>
          <w:color w:val="231F20"/>
          <w:w w:val="95"/>
          <w:sz w:val="21"/>
        </w:rPr>
        <w:t>of</w:t>
      </w:r>
      <w:r>
        <w:rPr>
          <w:rFonts w:ascii="Cambria"/>
          <w:color w:val="231F20"/>
          <w:spacing w:val="13"/>
          <w:sz w:val="21"/>
        </w:rPr>
        <w:t xml:space="preserve"> </w:t>
      </w:r>
      <w:r>
        <w:rPr>
          <w:rFonts w:ascii="Cambria"/>
          <w:color w:val="231F20"/>
          <w:w w:val="95"/>
          <w:sz w:val="21"/>
        </w:rPr>
        <w:t>identity</w:t>
      </w:r>
      <w:r>
        <w:rPr>
          <w:rFonts w:ascii="Cambria"/>
          <w:color w:val="231F20"/>
          <w:spacing w:val="13"/>
          <w:sz w:val="21"/>
        </w:rPr>
        <w:t xml:space="preserve"> </w:t>
      </w:r>
      <w:r>
        <w:rPr>
          <w:rFonts w:ascii="Cambria"/>
          <w:color w:val="231F20"/>
          <w:w w:val="95"/>
          <w:sz w:val="21"/>
        </w:rPr>
        <w:t>and</w:t>
      </w:r>
      <w:r>
        <w:rPr>
          <w:rFonts w:ascii="Cambria"/>
          <w:color w:val="231F20"/>
          <w:spacing w:val="13"/>
          <w:sz w:val="21"/>
        </w:rPr>
        <w:t xml:space="preserve"> </w:t>
      </w:r>
      <w:r>
        <w:rPr>
          <w:rFonts w:ascii="Cambria"/>
          <w:color w:val="231F20"/>
          <w:w w:val="95"/>
          <w:sz w:val="21"/>
        </w:rPr>
        <w:t>self-</w:t>
      </w:r>
      <w:r>
        <w:rPr>
          <w:rFonts w:ascii="Cambria"/>
          <w:color w:val="231F20"/>
          <w:spacing w:val="-2"/>
          <w:w w:val="95"/>
          <w:sz w:val="21"/>
        </w:rPr>
        <w:t>esteem;</w:t>
      </w:r>
    </w:p>
    <w:p w14:paraId="713F41D0" w14:textId="77777777" w:rsidR="00AE0598" w:rsidRDefault="0069255A">
      <w:pPr>
        <w:pStyle w:val="PargrafodaLista"/>
        <w:numPr>
          <w:ilvl w:val="0"/>
          <w:numId w:val="15"/>
        </w:numPr>
        <w:tabs>
          <w:tab w:val="left" w:pos="491"/>
        </w:tabs>
        <w:spacing w:before="3" w:line="232" w:lineRule="auto"/>
        <w:ind w:right="128"/>
        <w:rPr>
          <w:rFonts w:ascii="Cambria"/>
          <w:sz w:val="21"/>
        </w:rPr>
      </w:pPr>
      <w:r>
        <w:rPr>
          <w:rFonts w:ascii="Cambria"/>
          <w:color w:val="231F20"/>
          <w:w w:val="95"/>
          <w:sz w:val="21"/>
        </w:rPr>
        <w:t>full-life</w:t>
      </w:r>
      <w:r>
        <w:rPr>
          <w:rFonts w:ascii="Cambria"/>
          <w:color w:val="231F20"/>
          <w:spacing w:val="40"/>
          <w:sz w:val="21"/>
        </w:rPr>
        <w:t xml:space="preserve"> </w:t>
      </w:r>
      <w:r>
        <w:rPr>
          <w:rFonts w:ascii="Cambria"/>
          <w:color w:val="231F20"/>
          <w:w w:val="95"/>
          <w:sz w:val="21"/>
        </w:rPr>
        <w:t>paradigm:</w:t>
      </w:r>
      <w:r>
        <w:rPr>
          <w:rFonts w:ascii="Cambria"/>
          <w:color w:val="231F20"/>
          <w:spacing w:val="40"/>
          <w:sz w:val="21"/>
        </w:rPr>
        <w:t xml:space="preserve"> </w:t>
      </w:r>
      <w:r>
        <w:rPr>
          <w:rFonts w:ascii="Cambria"/>
          <w:color w:val="231F20"/>
          <w:w w:val="95"/>
          <w:sz w:val="21"/>
        </w:rPr>
        <w:t>strengthening</w:t>
      </w:r>
      <w:r>
        <w:rPr>
          <w:rFonts w:ascii="Cambria"/>
          <w:color w:val="231F20"/>
          <w:spacing w:val="40"/>
          <w:sz w:val="21"/>
        </w:rPr>
        <w:t xml:space="preserve"> </w:t>
      </w:r>
      <w:r>
        <w:rPr>
          <w:rFonts w:ascii="Cambria"/>
          <w:color w:val="231F20"/>
          <w:w w:val="95"/>
          <w:sz w:val="21"/>
        </w:rPr>
        <w:t>of</w:t>
      </w:r>
      <w:r>
        <w:rPr>
          <w:rFonts w:ascii="Cambria"/>
          <w:color w:val="231F20"/>
          <w:spacing w:val="40"/>
          <w:sz w:val="21"/>
        </w:rPr>
        <w:t xml:space="preserve"> </w:t>
      </w:r>
      <w:r>
        <w:rPr>
          <w:rFonts w:ascii="Cambria"/>
          <w:color w:val="231F20"/>
          <w:w w:val="95"/>
          <w:sz w:val="21"/>
        </w:rPr>
        <w:t>meaning</w:t>
      </w:r>
      <w:r>
        <w:rPr>
          <w:rFonts w:ascii="Cambria"/>
          <w:color w:val="231F20"/>
          <w:spacing w:val="40"/>
          <w:sz w:val="21"/>
        </w:rPr>
        <w:t xml:space="preserve"> </w:t>
      </w:r>
      <w:r>
        <w:rPr>
          <w:rFonts w:ascii="Cambria"/>
          <w:color w:val="231F20"/>
          <w:w w:val="95"/>
          <w:sz w:val="21"/>
        </w:rPr>
        <w:t>systems,</w:t>
      </w:r>
      <w:r>
        <w:rPr>
          <w:rFonts w:ascii="Cambria"/>
          <w:color w:val="231F20"/>
          <w:spacing w:val="40"/>
          <w:sz w:val="21"/>
        </w:rPr>
        <w:t xml:space="preserve"> </w:t>
      </w:r>
      <w:r>
        <w:rPr>
          <w:rFonts w:ascii="Cambria"/>
          <w:color w:val="231F20"/>
          <w:w w:val="95"/>
          <w:sz w:val="21"/>
        </w:rPr>
        <w:t>symbols</w:t>
      </w:r>
      <w:r>
        <w:rPr>
          <w:rFonts w:ascii="Cambria"/>
          <w:color w:val="231F20"/>
          <w:spacing w:val="40"/>
          <w:sz w:val="21"/>
        </w:rPr>
        <w:t xml:space="preserve"> </w:t>
      </w:r>
      <w:r>
        <w:rPr>
          <w:rFonts w:ascii="Cambria"/>
          <w:color w:val="231F20"/>
          <w:w w:val="95"/>
          <w:sz w:val="21"/>
        </w:rPr>
        <w:t xml:space="preserve">and </w:t>
      </w:r>
      <w:r>
        <w:rPr>
          <w:rFonts w:ascii="Cambria"/>
          <w:color w:val="231F20"/>
          <w:spacing w:val="-2"/>
          <w:sz w:val="21"/>
        </w:rPr>
        <w:t>beliefs;</w:t>
      </w:r>
    </w:p>
    <w:p w14:paraId="22CCBCEB" w14:textId="77777777" w:rsidR="00AE0598" w:rsidRDefault="0069255A">
      <w:pPr>
        <w:pStyle w:val="PargrafodaLista"/>
        <w:numPr>
          <w:ilvl w:val="0"/>
          <w:numId w:val="15"/>
        </w:numPr>
        <w:tabs>
          <w:tab w:val="left" w:pos="491"/>
        </w:tabs>
        <w:spacing w:line="243" w:lineRule="exact"/>
        <w:ind w:hanging="381"/>
        <w:rPr>
          <w:rFonts w:ascii="Cambria"/>
          <w:sz w:val="21"/>
        </w:rPr>
      </w:pPr>
      <w:r>
        <w:rPr>
          <w:rFonts w:ascii="Cambria"/>
          <w:color w:val="231F20"/>
          <w:w w:val="95"/>
          <w:sz w:val="21"/>
        </w:rPr>
        <w:t>ecology:</w:t>
      </w:r>
      <w:r>
        <w:rPr>
          <w:rFonts w:ascii="Cambria"/>
          <w:color w:val="231F20"/>
          <w:spacing w:val="15"/>
          <w:sz w:val="21"/>
        </w:rPr>
        <w:t xml:space="preserve"> </w:t>
      </w:r>
      <w:r>
        <w:rPr>
          <w:rFonts w:ascii="Cambria"/>
          <w:color w:val="231F20"/>
          <w:w w:val="95"/>
          <w:sz w:val="21"/>
        </w:rPr>
        <w:t>environmental</w:t>
      </w:r>
      <w:r>
        <w:rPr>
          <w:rFonts w:ascii="Cambria"/>
          <w:color w:val="231F20"/>
          <w:spacing w:val="16"/>
          <w:sz w:val="21"/>
        </w:rPr>
        <w:t xml:space="preserve"> </w:t>
      </w:r>
      <w:r>
        <w:rPr>
          <w:rFonts w:ascii="Cambria"/>
          <w:color w:val="231F20"/>
          <w:spacing w:val="-2"/>
          <w:w w:val="95"/>
          <w:sz w:val="21"/>
        </w:rPr>
        <w:t>sustainability.</w:t>
      </w:r>
    </w:p>
    <w:p w14:paraId="23785160" w14:textId="77777777" w:rsidR="00AE0598" w:rsidRDefault="00AE0598">
      <w:pPr>
        <w:pStyle w:val="Corpodetexto"/>
        <w:spacing w:before="5"/>
        <w:rPr>
          <w:sz w:val="20"/>
        </w:rPr>
      </w:pPr>
    </w:p>
    <w:p w14:paraId="59D686B9" w14:textId="77777777" w:rsidR="00AE0598" w:rsidRDefault="0069255A">
      <w:pPr>
        <w:pStyle w:val="Corpodetexto"/>
        <w:spacing w:line="232" w:lineRule="auto"/>
        <w:ind w:left="110" w:right="129"/>
        <w:jc w:val="both"/>
      </w:pPr>
      <w:r>
        <w:rPr>
          <w:color w:val="231F20"/>
        </w:rPr>
        <w:t xml:space="preserve">For the purpose of this book, we have adopted Sharpley’s (2014: 22) definition of development as ‘…the continuous and positive change in the </w:t>
      </w:r>
      <w:r>
        <w:rPr>
          <w:color w:val="231F20"/>
        </w:rPr>
        <w:t>economic, social, political and cultural dimensions of the human condition,</w:t>
      </w:r>
      <w:r>
        <w:rPr>
          <w:color w:val="231F20"/>
          <w:spacing w:val="-11"/>
        </w:rPr>
        <w:t xml:space="preserve"> </w:t>
      </w:r>
      <w:r>
        <w:rPr>
          <w:color w:val="231F20"/>
        </w:rPr>
        <w:t>guided</w:t>
      </w:r>
      <w:r>
        <w:rPr>
          <w:color w:val="231F20"/>
          <w:spacing w:val="-10"/>
        </w:rPr>
        <w:t xml:space="preserve"> </w:t>
      </w:r>
      <w:r>
        <w:rPr>
          <w:color w:val="231F20"/>
        </w:rPr>
        <w:t>by</w:t>
      </w:r>
      <w:r>
        <w:rPr>
          <w:color w:val="231F20"/>
          <w:spacing w:val="-10"/>
        </w:rPr>
        <w:t xml:space="preserve"> </w:t>
      </w:r>
      <w:r>
        <w:rPr>
          <w:color w:val="231F20"/>
        </w:rPr>
        <w:t>the</w:t>
      </w:r>
      <w:r>
        <w:rPr>
          <w:color w:val="231F20"/>
          <w:spacing w:val="-11"/>
        </w:rPr>
        <w:t xml:space="preserve"> </w:t>
      </w:r>
      <w:r>
        <w:rPr>
          <w:color w:val="231F20"/>
        </w:rPr>
        <w:t>principle</w:t>
      </w:r>
      <w:r>
        <w:rPr>
          <w:color w:val="231F20"/>
          <w:spacing w:val="-11"/>
        </w:rPr>
        <w:t xml:space="preserve"> </w:t>
      </w:r>
      <w:r>
        <w:rPr>
          <w:color w:val="231F20"/>
        </w:rPr>
        <w:t>of</w:t>
      </w:r>
      <w:r>
        <w:rPr>
          <w:color w:val="231F20"/>
          <w:spacing w:val="-10"/>
        </w:rPr>
        <w:t xml:space="preserve"> </w:t>
      </w:r>
      <w:r>
        <w:rPr>
          <w:color w:val="231F20"/>
        </w:rPr>
        <w:t>freedom</w:t>
      </w:r>
      <w:r>
        <w:rPr>
          <w:color w:val="231F20"/>
          <w:spacing w:val="-11"/>
        </w:rPr>
        <w:t xml:space="preserve"> </w:t>
      </w:r>
      <w:r>
        <w:rPr>
          <w:color w:val="231F20"/>
        </w:rPr>
        <w:t>of</w:t>
      </w:r>
      <w:r>
        <w:rPr>
          <w:color w:val="231F20"/>
          <w:spacing w:val="-10"/>
        </w:rPr>
        <w:t xml:space="preserve"> </w:t>
      </w:r>
      <w:r>
        <w:rPr>
          <w:color w:val="231F20"/>
        </w:rPr>
        <w:t>choice</w:t>
      </w:r>
      <w:r>
        <w:rPr>
          <w:color w:val="231F20"/>
          <w:spacing w:val="-10"/>
        </w:rPr>
        <w:t xml:space="preserve"> </w:t>
      </w:r>
      <w:r>
        <w:rPr>
          <w:color w:val="231F20"/>
        </w:rPr>
        <w:t>and</w:t>
      </w:r>
      <w:r>
        <w:rPr>
          <w:color w:val="231F20"/>
          <w:spacing w:val="-11"/>
        </w:rPr>
        <w:t xml:space="preserve"> </w:t>
      </w:r>
      <w:r>
        <w:rPr>
          <w:color w:val="231F20"/>
        </w:rPr>
        <w:t>limited</w:t>
      </w:r>
      <w:r>
        <w:rPr>
          <w:color w:val="231F20"/>
          <w:spacing w:val="-11"/>
        </w:rPr>
        <w:t xml:space="preserve"> </w:t>
      </w:r>
      <w:r>
        <w:rPr>
          <w:color w:val="231F20"/>
        </w:rPr>
        <w:t>by</w:t>
      </w:r>
      <w:r>
        <w:rPr>
          <w:color w:val="231F20"/>
          <w:spacing w:val="-10"/>
        </w:rPr>
        <w:t xml:space="preserve"> </w:t>
      </w:r>
      <w:r>
        <w:rPr>
          <w:color w:val="231F20"/>
        </w:rPr>
        <w:t>the capacity of the environment to sustain such change’.</w:t>
      </w:r>
    </w:p>
    <w:p w14:paraId="15FB3F8D" w14:textId="77777777" w:rsidR="00AE0598" w:rsidRDefault="00AE0598">
      <w:pPr>
        <w:spacing w:line="232" w:lineRule="auto"/>
        <w:jc w:val="both"/>
        <w:sectPr w:rsidR="00AE0598">
          <w:pgSz w:w="8850" w:h="13270"/>
          <w:pgMar w:top="720" w:right="1060" w:bottom="280" w:left="1080" w:header="720" w:footer="720" w:gutter="0"/>
          <w:cols w:space="720"/>
        </w:sectPr>
      </w:pPr>
    </w:p>
    <w:p w14:paraId="62C1BD9E" w14:textId="77777777" w:rsidR="00AE0598" w:rsidRDefault="0069255A">
      <w:pPr>
        <w:spacing w:before="87"/>
        <w:ind w:left="4067"/>
        <w:rPr>
          <w:rFonts w:ascii="Trebuchet MS"/>
          <w:sz w:val="14"/>
        </w:rPr>
      </w:pPr>
      <w:r>
        <w:rPr>
          <w:rFonts w:ascii="Trebuchet MS"/>
          <w:color w:val="231F20"/>
          <w:w w:val="105"/>
          <w:sz w:val="14"/>
        </w:rPr>
        <w:lastRenderedPageBreak/>
        <w:t>Development</w:t>
      </w:r>
      <w:r>
        <w:rPr>
          <w:rFonts w:ascii="Trebuchet MS"/>
          <w:color w:val="231F20"/>
          <w:spacing w:val="-12"/>
          <w:w w:val="105"/>
          <w:sz w:val="14"/>
        </w:rPr>
        <w:t xml:space="preserve"> </w:t>
      </w:r>
      <w:r>
        <w:rPr>
          <w:rFonts w:ascii="Trebuchet MS"/>
          <w:color w:val="231F20"/>
          <w:w w:val="105"/>
          <w:sz w:val="14"/>
        </w:rPr>
        <w:t>Processes</w:t>
      </w:r>
      <w:r>
        <w:rPr>
          <w:rFonts w:ascii="Trebuchet MS"/>
          <w:color w:val="231F20"/>
          <w:spacing w:val="-11"/>
          <w:w w:val="105"/>
          <w:sz w:val="14"/>
        </w:rPr>
        <w:t xml:space="preserve"> </w:t>
      </w:r>
      <w:r>
        <w:rPr>
          <w:rFonts w:ascii="Trebuchet MS"/>
          <w:color w:val="231F20"/>
          <w:w w:val="105"/>
          <w:sz w:val="14"/>
        </w:rPr>
        <w:t>and</w:t>
      </w:r>
      <w:r>
        <w:rPr>
          <w:rFonts w:ascii="Trebuchet MS"/>
          <w:color w:val="231F20"/>
          <w:spacing w:val="-11"/>
          <w:w w:val="105"/>
          <w:sz w:val="14"/>
        </w:rPr>
        <w:t xml:space="preserve"> </w:t>
      </w:r>
      <w:r>
        <w:rPr>
          <w:rFonts w:ascii="Trebuchet MS"/>
          <w:color w:val="231F20"/>
          <w:w w:val="105"/>
          <w:sz w:val="14"/>
        </w:rPr>
        <w:t>Issues</w:t>
      </w:r>
      <w:r>
        <w:rPr>
          <w:rFonts w:ascii="Trebuchet MS"/>
          <w:color w:val="231F20"/>
          <w:spacing w:val="77"/>
          <w:w w:val="105"/>
          <w:sz w:val="14"/>
        </w:rPr>
        <w:t xml:space="preserve"> </w:t>
      </w:r>
      <w:r>
        <w:rPr>
          <w:rFonts w:ascii="Trebuchet MS"/>
          <w:color w:val="231F20"/>
          <w:spacing w:val="-5"/>
          <w:w w:val="105"/>
          <w:sz w:val="14"/>
        </w:rPr>
        <w:t>65</w:t>
      </w:r>
    </w:p>
    <w:p w14:paraId="3D94357C" w14:textId="77777777" w:rsidR="00AE0598" w:rsidRDefault="00AE0598">
      <w:pPr>
        <w:pStyle w:val="Corpodetexto"/>
        <w:rPr>
          <w:rFonts w:ascii="Trebuchet MS"/>
          <w:sz w:val="16"/>
        </w:rPr>
      </w:pPr>
    </w:p>
    <w:p w14:paraId="79D49CC7" w14:textId="77777777" w:rsidR="00AE0598" w:rsidRDefault="0069255A">
      <w:pPr>
        <w:spacing w:before="120"/>
        <w:ind w:left="110"/>
        <w:rPr>
          <w:rFonts w:ascii="Trebuchet MS"/>
          <w:b/>
          <w:sz w:val="20"/>
        </w:rPr>
      </w:pPr>
      <w:r>
        <w:rPr>
          <w:rFonts w:ascii="Trebuchet MS"/>
          <w:b/>
          <w:color w:val="231F20"/>
          <w:sz w:val="20"/>
        </w:rPr>
        <w:t>Sustainable</w:t>
      </w:r>
      <w:r>
        <w:rPr>
          <w:rFonts w:ascii="Trebuchet MS"/>
          <w:b/>
          <w:color w:val="231F20"/>
          <w:spacing w:val="5"/>
          <w:sz w:val="20"/>
        </w:rPr>
        <w:t xml:space="preserve"> </w:t>
      </w:r>
      <w:r>
        <w:rPr>
          <w:rFonts w:ascii="Trebuchet MS"/>
          <w:b/>
          <w:color w:val="231F20"/>
          <w:sz w:val="20"/>
        </w:rPr>
        <w:t>Sport</w:t>
      </w:r>
      <w:r>
        <w:rPr>
          <w:rFonts w:ascii="Trebuchet MS"/>
          <w:b/>
          <w:color w:val="231F20"/>
          <w:spacing w:val="5"/>
          <w:sz w:val="20"/>
        </w:rPr>
        <w:t xml:space="preserve"> </w:t>
      </w:r>
      <w:r>
        <w:rPr>
          <w:rFonts w:ascii="Trebuchet MS"/>
          <w:b/>
          <w:color w:val="231F20"/>
          <w:sz w:val="20"/>
        </w:rPr>
        <w:t>Tourism</w:t>
      </w:r>
      <w:r>
        <w:rPr>
          <w:rFonts w:ascii="Trebuchet MS"/>
          <w:b/>
          <w:color w:val="231F20"/>
          <w:spacing w:val="5"/>
          <w:sz w:val="20"/>
        </w:rPr>
        <w:t xml:space="preserve"> </w:t>
      </w:r>
      <w:r>
        <w:rPr>
          <w:rFonts w:ascii="Trebuchet MS"/>
          <w:b/>
          <w:color w:val="231F20"/>
          <w:spacing w:val="-2"/>
          <w:sz w:val="20"/>
        </w:rPr>
        <w:t>Development</w:t>
      </w:r>
    </w:p>
    <w:p w14:paraId="6C8F6A1D" w14:textId="77777777" w:rsidR="00AE0598" w:rsidRDefault="0069255A">
      <w:pPr>
        <w:pStyle w:val="Corpodetexto"/>
        <w:spacing w:before="122" w:line="232" w:lineRule="auto"/>
        <w:ind w:left="110" w:right="127" w:firstLine="320"/>
        <w:jc w:val="both"/>
      </w:pPr>
      <w:r>
        <w:rPr>
          <w:color w:val="231F20"/>
          <w:w w:val="95"/>
        </w:rPr>
        <w:t>Sustainable</w:t>
      </w:r>
      <w:r>
        <w:rPr>
          <w:color w:val="231F20"/>
          <w:spacing w:val="-10"/>
          <w:w w:val="95"/>
        </w:rPr>
        <w:t xml:space="preserve"> </w:t>
      </w:r>
      <w:r>
        <w:rPr>
          <w:color w:val="231F20"/>
          <w:w w:val="95"/>
        </w:rPr>
        <w:t>development</w:t>
      </w:r>
      <w:r>
        <w:rPr>
          <w:color w:val="231F20"/>
          <w:spacing w:val="-9"/>
          <w:w w:val="95"/>
        </w:rPr>
        <w:t xml:space="preserve"> </w:t>
      </w:r>
      <w:r>
        <w:rPr>
          <w:color w:val="231F20"/>
          <w:w w:val="95"/>
        </w:rPr>
        <w:t>is</w:t>
      </w:r>
      <w:r>
        <w:rPr>
          <w:color w:val="231F20"/>
          <w:spacing w:val="-9"/>
          <w:w w:val="95"/>
        </w:rPr>
        <w:t xml:space="preserve"> </w:t>
      </w:r>
      <w:r>
        <w:rPr>
          <w:color w:val="231F20"/>
          <w:w w:val="95"/>
        </w:rPr>
        <w:t>a</w:t>
      </w:r>
      <w:r>
        <w:rPr>
          <w:color w:val="231F20"/>
          <w:spacing w:val="-9"/>
          <w:w w:val="95"/>
        </w:rPr>
        <w:t xml:space="preserve"> </w:t>
      </w:r>
      <w:r>
        <w:rPr>
          <w:color w:val="231F20"/>
          <w:w w:val="95"/>
        </w:rPr>
        <w:t>contested</w:t>
      </w:r>
      <w:r>
        <w:rPr>
          <w:color w:val="231F20"/>
          <w:spacing w:val="-10"/>
          <w:w w:val="95"/>
        </w:rPr>
        <w:t xml:space="preserve"> </w:t>
      </w:r>
      <w:r>
        <w:rPr>
          <w:color w:val="231F20"/>
          <w:w w:val="95"/>
        </w:rPr>
        <w:t>concept.</w:t>
      </w:r>
      <w:r>
        <w:rPr>
          <w:color w:val="231F20"/>
          <w:spacing w:val="-9"/>
          <w:w w:val="95"/>
        </w:rPr>
        <w:t xml:space="preserve"> </w:t>
      </w:r>
      <w:r>
        <w:rPr>
          <w:color w:val="231F20"/>
          <w:w w:val="95"/>
        </w:rPr>
        <w:t>While</w:t>
      </w:r>
      <w:r>
        <w:rPr>
          <w:color w:val="231F20"/>
          <w:spacing w:val="-9"/>
          <w:w w:val="95"/>
        </w:rPr>
        <w:t xml:space="preserve"> </w:t>
      </w:r>
      <w:r>
        <w:rPr>
          <w:color w:val="231F20"/>
          <w:w w:val="95"/>
        </w:rPr>
        <w:t>few</w:t>
      </w:r>
      <w:r>
        <w:rPr>
          <w:color w:val="231F20"/>
          <w:spacing w:val="-9"/>
          <w:w w:val="95"/>
        </w:rPr>
        <w:t xml:space="preserve"> </w:t>
      </w:r>
      <w:r>
        <w:rPr>
          <w:color w:val="231F20"/>
          <w:w w:val="95"/>
        </w:rPr>
        <w:t>people</w:t>
      </w:r>
      <w:r>
        <w:rPr>
          <w:color w:val="231F20"/>
          <w:spacing w:val="-10"/>
          <w:w w:val="95"/>
        </w:rPr>
        <w:t xml:space="preserve"> </w:t>
      </w:r>
      <w:r>
        <w:rPr>
          <w:color w:val="231F20"/>
          <w:w w:val="95"/>
        </w:rPr>
        <w:t>would claim</w:t>
      </w:r>
      <w:r>
        <w:rPr>
          <w:color w:val="231F20"/>
          <w:spacing w:val="-2"/>
          <w:w w:val="95"/>
        </w:rPr>
        <w:t xml:space="preserve"> </w:t>
      </w:r>
      <w:r>
        <w:rPr>
          <w:color w:val="231F20"/>
          <w:w w:val="95"/>
        </w:rPr>
        <w:t>that</w:t>
      </w:r>
      <w:r>
        <w:rPr>
          <w:color w:val="231F20"/>
          <w:spacing w:val="-2"/>
          <w:w w:val="95"/>
        </w:rPr>
        <w:t xml:space="preserve"> </w:t>
      </w:r>
      <w:r>
        <w:rPr>
          <w:color w:val="231F20"/>
          <w:w w:val="95"/>
        </w:rPr>
        <w:t>they</w:t>
      </w:r>
      <w:r>
        <w:rPr>
          <w:color w:val="231F20"/>
          <w:spacing w:val="-2"/>
          <w:w w:val="95"/>
        </w:rPr>
        <w:t xml:space="preserve"> </w:t>
      </w:r>
      <w:r>
        <w:rPr>
          <w:color w:val="231F20"/>
          <w:w w:val="95"/>
        </w:rPr>
        <w:t>do</w:t>
      </w:r>
      <w:r>
        <w:rPr>
          <w:color w:val="231F20"/>
          <w:spacing w:val="-2"/>
          <w:w w:val="95"/>
        </w:rPr>
        <w:t xml:space="preserve"> </w:t>
      </w:r>
      <w:r>
        <w:rPr>
          <w:color w:val="231F20"/>
          <w:w w:val="95"/>
        </w:rPr>
        <w:t>not</w:t>
      </w:r>
      <w:r>
        <w:rPr>
          <w:color w:val="231F20"/>
          <w:spacing w:val="-2"/>
          <w:w w:val="95"/>
        </w:rPr>
        <w:t xml:space="preserve"> </w:t>
      </w:r>
      <w:r>
        <w:rPr>
          <w:color w:val="231F20"/>
          <w:w w:val="95"/>
        </w:rPr>
        <w:t>support</w:t>
      </w:r>
      <w:r>
        <w:rPr>
          <w:color w:val="231F20"/>
          <w:spacing w:val="-2"/>
          <w:w w:val="95"/>
        </w:rPr>
        <w:t xml:space="preserve"> </w:t>
      </w:r>
      <w:r>
        <w:rPr>
          <w:color w:val="231F20"/>
          <w:w w:val="95"/>
        </w:rPr>
        <w:t>the</w:t>
      </w:r>
      <w:r>
        <w:rPr>
          <w:color w:val="231F20"/>
          <w:spacing w:val="-2"/>
          <w:w w:val="95"/>
        </w:rPr>
        <w:t xml:space="preserve"> </w:t>
      </w:r>
      <w:r>
        <w:rPr>
          <w:color w:val="231F20"/>
          <w:w w:val="95"/>
        </w:rPr>
        <w:t>principle</w:t>
      </w:r>
      <w:r>
        <w:rPr>
          <w:color w:val="231F20"/>
          <w:spacing w:val="-2"/>
          <w:w w:val="95"/>
        </w:rPr>
        <w:t xml:space="preserve"> </w:t>
      </w:r>
      <w:r>
        <w:rPr>
          <w:color w:val="231F20"/>
          <w:w w:val="95"/>
        </w:rPr>
        <w:t>of</w:t>
      </w:r>
      <w:r>
        <w:rPr>
          <w:color w:val="231F20"/>
          <w:spacing w:val="-2"/>
          <w:w w:val="95"/>
        </w:rPr>
        <w:t xml:space="preserve"> </w:t>
      </w:r>
      <w:r>
        <w:rPr>
          <w:color w:val="231F20"/>
          <w:w w:val="95"/>
        </w:rPr>
        <w:t>sustainable</w:t>
      </w:r>
      <w:r>
        <w:rPr>
          <w:color w:val="231F20"/>
          <w:spacing w:val="-2"/>
          <w:w w:val="95"/>
        </w:rPr>
        <w:t xml:space="preserve"> </w:t>
      </w:r>
      <w:r>
        <w:rPr>
          <w:color w:val="231F20"/>
          <w:w w:val="95"/>
        </w:rPr>
        <w:t>development,</w:t>
      </w:r>
      <w:r>
        <w:rPr>
          <w:color w:val="231F20"/>
          <w:spacing w:val="-2"/>
          <w:w w:val="95"/>
        </w:rPr>
        <w:t xml:space="preserve"> </w:t>
      </w:r>
      <w:r>
        <w:rPr>
          <w:color w:val="231F20"/>
          <w:w w:val="95"/>
        </w:rPr>
        <w:t xml:space="preserve">the </w:t>
      </w:r>
      <w:r>
        <w:rPr>
          <w:color w:val="231F20"/>
        </w:rPr>
        <w:t xml:space="preserve">meaning of the concept is not universally shared (Hopwood </w:t>
      </w:r>
      <w:r>
        <w:rPr>
          <w:i/>
          <w:color w:val="231F20"/>
        </w:rPr>
        <w:t>et al</w:t>
      </w:r>
      <w:r>
        <w:rPr>
          <w:color w:val="231F20"/>
        </w:rPr>
        <w:t>., 2005; Pesqueux, 2009). Business advocates tend to emphasise ‘development’ while environmentalists tend to focus on ‘sustainability’. As a result, the phrase</w:t>
      </w:r>
      <w:r>
        <w:rPr>
          <w:color w:val="231F20"/>
          <w:spacing w:val="-8"/>
        </w:rPr>
        <w:t xml:space="preserve"> </w:t>
      </w:r>
      <w:r>
        <w:rPr>
          <w:color w:val="231F20"/>
        </w:rPr>
        <w:t>can</w:t>
      </w:r>
      <w:r>
        <w:rPr>
          <w:color w:val="231F20"/>
          <w:spacing w:val="-8"/>
        </w:rPr>
        <w:t xml:space="preserve"> </w:t>
      </w:r>
      <w:r>
        <w:rPr>
          <w:color w:val="231F20"/>
        </w:rPr>
        <w:t>sometimes</w:t>
      </w:r>
      <w:r>
        <w:rPr>
          <w:color w:val="231F20"/>
          <w:spacing w:val="-8"/>
        </w:rPr>
        <w:t xml:space="preserve"> </w:t>
      </w:r>
      <w:r>
        <w:rPr>
          <w:color w:val="231F20"/>
        </w:rPr>
        <w:t>seem</w:t>
      </w:r>
      <w:r>
        <w:rPr>
          <w:color w:val="231F20"/>
          <w:spacing w:val="-8"/>
        </w:rPr>
        <w:t xml:space="preserve"> </w:t>
      </w:r>
      <w:r>
        <w:rPr>
          <w:color w:val="231F20"/>
        </w:rPr>
        <w:t>like</w:t>
      </w:r>
      <w:r>
        <w:rPr>
          <w:color w:val="231F20"/>
          <w:spacing w:val="-8"/>
        </w:rPr>
        <w:t xml:space="preserve"> </w:t>
      </w:r>
      <w:r>
        <w:rPr>
          <w:color w:val="231F20"/>
        </w:rPr>
        <w:t>a</w:t>
      </w:r>
      <w:r>
        <w:rPr>
          <w:color w:val="231F20"/>
          <w:spacing w:val="-8"/>
        </w:rPr>
        <w:t xml:space="preserve"> </w:t>
      </w:r>
      <w:r>
        <w:rPr>
          <w:color w:val="231F20"/>
        </w:rPr>
        <w:t>contrad</w:t>
      </w:r>
      <w:r>
        <w:rPr>
          <w:color w:val="231F20"/>
        </w:rPr>
        <w:t>iction</w:t>
      </w:r>
      <w:r>
        <w:rPr>
          <w:color w:val="231F20"/>
          <w:spacing w:val="-8"/>
        </w:rPr>
        <w:t xml:space="preserve"> </w:t>
      </w:r>
      <w:r>
        <w:rPr>
          <w:color w:val="231F20"/>
        </w:rPr>
        <w:t>of</w:t>
      </w:r>
      <w:r>
        <w:rPr>
          <w:color w:val="231F20"/>
          <w:spacing w:val="-8"/>
        </w:rPr>
        <w:t xml:space="preserve"> </w:t>
      </w:r>
      <w:r>
        <w:rPr>
          <w:color w:val="231F20"/>
        </w:rPr>
        <w:t>terms.</w:t>
      </w:r>
      <w:r>
        <w:rPr>
          <w:color w:val="231F20"/>
          <w:spacing w:val="-8"/>
        </w:rPr>
        <w:t xml:space="preserve"> </w:t>
      </w:r>
      <w:r>
        <w:rPr>
          <w:color w:val="231F20"/>
        </w:rPr>
        <w:t>Yet,</w:t>
      </w:r>
      <w:r>
        <w:rPr>
          <w:color w:val="231F20"/>
          <w:spacing w:val="-8"/>
        </w:rPr>
        <w:t xml:space="preserve"> </w:t>
      </w:r>
      <w:r>
        <w:rPr>
          <w:color w:val="231F20"/>
        </w:rPr>
        <w:t>behind</w:t>
      </w:r>
      <w:r>
        <w:rPr>
          <w:color w:val="231F20"/>
          <w:spacing w:val="-8"/>
        </w:rPr>
        <w:t xml:space="preserve"> </w:t>
      </w:r>
      <w:r>
        <w:rPr>
          <w:color w:val="231F20"/>
        </w:rPr>
        <w:t xml:space="preserve">the </w:t>
      </w:r>
      <w:r>
        <w:rPr>
          <w:color w:val="231F20"/>
          <w:w w:val="95"/>
        </w:rPr>
        <w:t>rhetoric of the various stakeholders and scholars who debate its merits, it</w:t>
      </w:r>
      <w:r>
        <w:rPr>
          <w:color w:val="231F20"/>
          <w:spacing w:val="80"/>
        </w:rPr>
        <w:t xml:space="preserve"> </w:t>
      </w:r>
      <w:r>
        <w:rPr>
          <w:color w:val="231F20"/>
        </w:rPr>
        <w:t>is a concept that holds widespread appeal.</w:t>
      </w:r>
    </w:p>
    <w:p w14:paraId="54E6C30F" w14:textId="77777777" w:rsidR="00AE0598" w:rsidRDefault="0069255A">
      <w:pPr>
        <w:pStyle w:val="Corpodetexto"/>
        <w:spacing w:before="10" w:line="232" w:lineRule="auto"/>
        <w:ind w:left="110" w:right="125" w:firstLine="320"/>
        <w:jc w:val="both"/>
      </w:pPr>
      <w:r>
        <w:rPr>
          <w:color w:val="231F20"/>
        </w:rPr>
        <w:t>The</w:t>
      </w:r>
      <w:r>
        <w:rPr>
          <w:color w:val="231F20"/>
          <w:spacing w:val="-6"/>
        </w:rPr>
        <w:t xml:space="preserve"> </w:t>
      </w:r>
      <w:r>
        <w:rPr>
          <w:color w:val="231F20"/>
        </w:rPr>
        <w:t>World</w:t>
      </w:r>
      <w:r>
        <w:rPr>
          <w:color w:val="231F20"/>
          <w:spacing w:val="-6"/>
        </w:rPr>
        <w:t xml:space="preserve"> </w:t>
      </w:r>
      <w:r>
        <w:rPr>
          <w:color w:val="231F20"/>
        </w:rPr>
        <w:t>Commission</w:t>
      </w:r>
      <w:r>
        <w:rPr>
          <w:color w:val="231F20"/>
          <w:spacing w:val="-6"/>
        </w:rPr>
        <w:t xml:space="preserve"> </w:t>
      </w:r>
      <w:r>
        <w:rPr>
          <w:color w:val="231F20"/>
        </w:rPr>
        <w:t>on</w:t>
      </w:r>
      <w:r>
        <w:rPr>
          <w:color w:val="231F20"/>
          <w:spacing w:val="-6"/>
        </w:rPr>
        <w:t xml:space="preserve"> </w:t>
      </w:r>
      <w:r>
        <w:rPr>
          <w:color w:val="231F20"/>
        </w:rPr>
        <w:t>Environment</w:t>
      </w:r>
      <w:r>
        <w:rPr>
          <w:color w:val="231F20"/>
          <w:spacing w:val="-6"/>
        </w:rPr>
        <w:t xml:space="preserve"> </w:t>
      </w:r>
      <w:r>
        <w:rPr>
          <w:color w:val="231F20"/>
        </w:rPr>
        <w:t>and</w:t>
      </w:r>
      <w:r>
        <w:rPr>
          <w:color w:val="231F20"/>
          <w:spacing w:val="-6"/>
        </w:rPr>
        <w:t xml:space="preserve"> </w:t>
      </w:r>
      <w:r>
        <w:rPr>
          <w:color w:val="231F20"/>
        </w:rPr>
        <w:t>Development’s</w:t>
      </w:r>
      <w:r>
        <w:rPr>
          <w:color w:val="231F20"/>
          <w:spacing w:val="-6"/>
        </w:rPr>
        <w:t xml:space="preserve"> </w:t>
      </w:r>
      <w:r>
        <w:rPr>
          <w:color w:val="231F20"/>
        </w:rPr>
        <w:t>(WCED) (1987: 4) definition of sustainable development is ‘…development that meets the needs of the present without compromising the ability of future</w:t>
      </w:r>
      <w:r>
        <w:rPr>
          <w:color w:val="231F20"/>
          <w:spacing w:val="-6"/>
        </w:rPr>
        <w:t xml:space="preserve"> </w:t>
      </w:r>
      <w:r>
        <w:rPr>
          <w:color w:val="231F20"/>
        </w:rPr>
        <w:t>generations</w:t>
      </w:r>
      <w:r>
        <w:rPr>
          <w:color w:val="231F20"/>
          <w:spacing w:val="-6"/>
        </w:rPr>
        <w:t xml:space="preserve"> </w:t>
      </w:r>
      <w:r>
        <w:rPr>
          <w:color w:val="231F20"/>
        </w:rPr>
        <w:t>to</w:t>
      </w:r>
      <w:r>
        <w:rPr>
          <w:color w:val="231F20"/>
          <w:spacing w:val="-6"/>
        </w:rPr>
        <w:t xml:space="preserve"> </w:t>
      </w:r>
      <w:r>
        <w:rPr>
          <w:color w:val="231F20"/>
        </w:rPr>
        <w:t>meet</w:t>
      </w:r>
      <w:r>
        <w:rPr>
          <w:color w:val="231F20"/>
          <w:spacing w:val="-6"/>
        </w:rPr>
        <w:t xml:space="preserve"> </w:t>
      </w:r>
      <w:r>
        <w:rPr>
          <w:color w:val="231F20"/>
        </w:rPr>
        <w:t>their</w:t>
      </w:r>
      <w:r>
        <w:rPr>
          <w:color w:val="231F20"/>
          <w:spacing w:val="-6"/>
        </w:rPr>
        <w:t xml:space="preserve"> </w:t>
      </w:r>
      <w:r>
        <w:rPr>
          <w:color w:val="231F20"/>
        </w:rPr>
        <w:t>own</w:t>
      </w:r>
      <w:r>
        <w:rPr>
          <w:color w:val="231F20"/>
          <w:spacing w:val="-6"/>
        </w:rPr>
        <w:t xml:space="preserve"> </w:t>
      </w:r>
      <w:r>
        <w:rPr>
          <w:color w:val="231F20"/>
        </w:rPr>
        <w:t>needs’.</w:t>
      </w:r>
      <w:r>
        <w:rPr>
          <w:color w:val="231F20"/>
          <w:spacing w:val="-6"/>
        </w:rPr>
        <w:t xml:space="preserve"> </w:t>
      </w:r>
      <w:r>
        <w:rPr>
          <w:color w:val="231F20"/>
        </w:rPr>
        <w:t>While</w:t>
      </w:r>
      <w:r>
        <w:rPr>
          <w:color w:val="231F20"/>
          <w:spacing w:val="-6"/>
        </w:rPr>
        <w:t xml:space="preserve"> </w:t>
      </w:r>
      <w:r>
        <w:rPr>
          <w:color w:val="231F20"/>
        </w:rPr>
        <w:t>there</w:t>
      </w:r>
      <w:r>
        <w:rPr>
          <w:color w:val="231F20"/>
          <w:spacing w:val="-6"/>
        </w:rPr>
        <w:t xml:space="preserve"> </w:t>
      </w:r>
      <w:r>
        <w:rPr>
          <w:color w:val="231F20"/>
        </w:rPr>
        <w:t>are</w:t>
      </w:r>
      <w:r>
        <w:rPr>
          <w:color w:val="231F20"/>
          <w:spacing w:val="-6"/>
        </w:rPr>
        <w:t xml:space="preserve"> </w:t>
      </w:r>
      <w:r>
        <w:rPr>
          <w:color w:val="231F20"/>
        </w:rPr>
        <w:t>many</w:t>
      </w:r>
      <w:r>
        <w:rPr>
          <w:color w:val="231F20"/>
          <w:spacing w:val="-6"/>
        </w:rPr>
        <w:t xml:space="preserve"> </w:t>
      </w:r>
      <w:r>
        <w:rPr>
          <w:color w:val="231F20"/>
        </w:rPr>
        <w:t xml:space="preserve">other </w:t>
      </w:r>
      <w:r>
        <w:rPr>
          <w:color w:val="231F20"/>
          <w:w w:val="95"/>
        </w:rPr>
        <w:t>definitions, most early definitions tend</w:t>
      </w:r>
      <w:r>
        <w:rPr>
          <w:color w:val="231F20"/>
          <w:w w:val="95"/>
        </w:rPr>
        <w:t xml:space="preserve">ed to focus on the sustainability of </w:t>
      </w:r>
      <w:r>
        <w:rPr>
          <w:color w:val="231F20"/>
        </w:rPr>
        <w:t>natural ecosystems. The WCED definition is, however, robust enough to include the sustainability of other types of resources including culture, which Mowforth and Munt (2015) describe in terms of tourism hosts being</w:t>
      </w:r>
      <w:r>
        <w:rPr>
          <w:color w:val="231F20"/>
          <w:spacing w:val="-10"/>
        </w:rPr>
        <w:t xml:space="preserve"> </w:t>
      </w:r>
      <w:r>
        <w:rPr>
          <w:color w:val="231F20"/>
        </w:rPr>
        <w:t>abl</w:t>
      </w:r>
      <w:r>
        <w:rPr>
          <w:color w:val="231F20"/>
        </w:rPr>
        <w:t>e</w:t>
      </w:r>
      <w:r>
        <w:rPr>
          <w:color w:val="231F20"/>
          <w:spacing w:val="-10"/>
        </w:rPr>
        <w:t xml:space="preserve"> </w:t>
      </w:r>
      <w:r>
        <w:rPr>
          <w:color w:val="231F20"/>
        </w:rPr>
        <w:t>to</w:t>
      </w:r>
      <w:r>
        <w:rPr>
          <w:color w:val="231F20"/>
          <w:spacing w:val="-11"/>
        </w:rPr>
        <w:t xml:space="preserve"> </w:t>
      </w:r>
      <w:r>
        <w:rPr>
          <w:color w:val="231F20"/>
        </w:rPr>
        <w:t>maintain</w:t>
      </w:r>
      <w:r>
        <w:rPr>
          <w:color w:val="231F20"/>
          <w:spacing w:val="-11"/>
        </w:rPr>
        <w:t xml:space="preserve"> </w:t>
      </w:r>
      <w:r>
        <w:rPr>
          <w:color w:val="231F20"/>
        </w:rPr>
        <w:t>their</w:t>
      </w:r>
      <w:r>
        <w:rPr>
          <w:color w:val="231F20"/>
          <w:spacing w:val="-10"/>
        </w:rPr>
        <w:t xml:space="preserve"> </w:t>
      </w:r>
      <w:r>
        <w:rPr>
          <w:color w:val="231F20"/>
        </w:rPr>
        <w:t>cultural</w:t>
      </w:r>
      <w:r>
        <w:rPr>
          <w:color w:val="231F20"/>
          <w:spacing w:val="-11"/>
        </w:rPr>
        <w:t xml:space="preserve"> </w:t>
      </w:r>
      <w:r>
        <w:rPr>
          <w:color w:val="231F20"/>
        </w:rPr>
        <w:t>identity.</w:t>
      </w:r>
      <w:r>
        <w:rPr>
          <w:color w:val="231F20"/>
          <w:spacing w:val="-10"/>
        </w:rPr>
        <w:t xml:space="preserve"> </w:t>
      </w:r>
      <w:r>
        <w:rPr>
          <w:color w:val="231F20"/>
        </w:rPr>
        <w:t>In</w:t>
      </w:r>
      <w:r>
        <w:rPr>
          <w:color w:val="231F20"/>
          <w:spacing w:val="-11"/>
        </w:rPr>
        <w:t xml:space="preserve"> </w:t>
      </w:r>
      <w:r>
        <w:rPr>
          <w:color w:val="231F20"/>
        </w:rPr>
        <w:t>the</w:t>
      </w:r>
      <w:r>
        <w:rPr>
          <w:color w:val="231F20"/>
          <w:spacing w:val="-10"/>
        </w:rPr>
        <w:t xml:space="preserve"> </w:t>
      </w:r>
      <w:r>
        <w:rPr>
          <w:color w:val="231F20"/>
        </w:rPr>
        <w:t>case</w:t>
      </w:r>
      <w:r>
        <w:rPr>
          <w:color w:val="231F20"/>
          <w:spacing w:val="-11"/>
        </w:rPr>
        <w:t xml:space="preserve"> </w:t>
      </w:r>
      <w:r>
        <w:rPr>
          <w:color w:val="231F20"/>
        </w:rPr>
        <w:t>of</w:t>
      </w:r>
      <w:r>
        <w:rPr>
          <w:color w:val="231F20"/>
          <w:spacing w:val="-11"/>
        </w:rPr>
        <w:t xml:space="preserve"> </w:t>
      </w:r>
      <w:r>
        <w:rPr>
          <w:color w:val="231F20"/>
        </w:rPr>
        <w:t>sport</w:t>
      </w:r>
      <w:r>
        <w:rPr>
          <w:color w:val="231F20"/>
          <w:spacing w:val="-10"/>
        </w:rPr>
        <w:t xml:space="preserve"> </w:t>
      </w:r>
      <w:r>
        <w:rPr>
          <w:color w:val="231F20"/>
        </w:rPr>
        <w:t xml:space="preserve">tourism, </w:t>
      </w:r>
      <w:r>
        <w:rPr>
          <w:color w:val="231F20"/>
          <w:w w:val="95"/>
        </w:rPr>
        <w:t xml:space="preserve">this aspect of the definition encompasses sport as an expression of culture </w:t>
      </w:r>
      <w:r>
        <w:rPr>
          <w:color w:val="231F20"/>
        </w:rPr>
        <w:t>(Chapter 6) as well as the impact that sport tourism has on the physical environment in which it occurs (Chapte</w:t>
      </w:r>
      <w:r>
        <w:rPr>
          <w:color w:val="231F20"/>
        </w:rPr>
        <w:t>r 7).</w:t>
      </w:r>
    </w:p>
    <w:p w14:paraId="33D5FF46" w14:textId="77777777" w:rsidR="00AE0598" w:rsidRDefault="0069255A">
      <w:pPr>
        <w:pStyle w:val="Corpodetexto"/>
        <w:spacing w:before="14" w:line="232" w:lineRule="auto"/>
        <w:ind w:left="110" w:right="127" w:firstLine="320"/>
        <w:jc w:val="both"/>
      </w:pPr>
      <w:r>
        <w:rPr>
          <w:color w:val="231F20"/>
        </w:rPr>
        <w:t>There is a difference between sustainable tourism and sustainable development</w:t>
      </w:r>
      <w:r>
        <w:rPr>
          <w:color w:val="231F20"/>
          <w:spacing w:val="-12"/>
        </w:rPr>
        <w:t xml:space="preserve"> </w:t>
      </w:r>
      <w:r>
        <w:rPr>
          <w:color w:val="231F20"/>
        </w:rPr>
        <w:t>(Liu,</w:t>
      </w:r>
      <w:r>
        <w:rPr>
          <w:color w:val="231F20"/>
          <w:spacing w:val="-12"/>
        </w:rPr>
        <w:t xml:space="preserve"> </w:t>
      </w:r>
      <w:r>
        <w:rPr>
          <w:color w:val="231F20"/>
        </w:rPr>
        <w:t>2003;</w:t>
      </w:r>
      <w:r>
        <w:rPr>
          <w:color w:val="231F20"/>
          <w:spacing w:val="-11"/>
        </w:rPr>
        <w:t xml:space="preserve"> </w:t>
      </w:r>
      <w:r>
        <w:rPr>
          <w:color w:val="231F20"/>
        </w:rPr>
        <w:t>Saarinen,</w:t>
      </w:r>
      <w:r>
        <w:rPr>
          <w:color w:val="231F20"/>
          <w:spacing w:val="-12"/>
        </w:rPr>
        <w:t xml:space="preserve"> </w:t>
      </w:r>
      <w:r>
        <w:rPr>
          <w:color w:val="231F20"/>
        </w:rPr>
        <w:t>2006;</w:t>
      </w:r>
      <w:r>
        <w:rPr>
          <w:color w:val="231F20"/>
          <w:spacing w:val="-11"/>
        </w:rPr>
        <w:t xml:space="preserve"> </w:t>
      </w:r>
      <w:r>
        <w:rPr>
          <w:color w:val="231F20"/>
        </w:rPr>
        <w:t>Zhu,</w:t>
      </w:r>
      <w:r>
        <w:rPr>
          <w:color w:val="231F20"/>
          <w:spacing w:val="-12"/>
        </w:rPr>
        <w:t xml:space="preserve"> </w:t>
      </w:r>
      <w:r>
        <w:rPr>
          <w:color w:val="231F20"/>
        </w:rPr>
        <w:t>2009).</w:t>
      </w:r>
      <w:r>
        <w:rPr>
          <w:color w:val="231F20"/>
          <w:spacing w:val="-11"/>
        </w:rPr>
        <w:t xml:space="preserve"> </w:t>
      </w:r>
      <w:r>
        <w:rPr>
          <w:color w:val="231F20"/>
        </w:rPr>
        <w:t>Sustainable</w:t>
      </w:r>
      <w:r>
        <w:rPr>
          <w:color w:val="231F20"/>
          <w:spacing w:val="-12"/>
        </w:rPr>
        <w:t xml:space="preserve"> </w:t>
      </w:r>
      <w:r>
        <w:rPr>
          <w:color w:val="231F20"/>
        </w:rPr>
        <w:t>tourism is</w:t>
      </w:r>
      <w:r>
        <w:rPr>
          <w:color w:val="231F20"/>
          <w:spacing w:val="-7"/>
        </w:rPr>
        <w:t xml:space="preserve"> </w:t>
      </w:r>
      <w:r>
        <w:rPr>
          <w:color w:val="231F20"/>
        </w:rPr>
        <w:t>‘…tourism</w:t>
      </w:r>
      <w:r>
        <w:rPr>
          <w:color w:val="231F20"/>
          <w:spacing w:val="-7"/>
        </w:rPr>
        <w:t xml:space="preserve"> </w:t>
      </w:r>
      <w:r>
        <w:rPr>
          <w:color w:val="231F20"/>
        </w:rPr>
        <w:t>which</w:t>
      </w:r>
      <w:r>
        <w:rPr>
          <w:color w:val="231F20"/>
          <w:spacing w:val="-7"/>
        </w:rPr>
        <w:t xml:space="preserve"> </w:t>
      </w:r>
      <w:r>
        <w:rPr>
          <w:color w:val="231F20"/>
        </w:rPr>
        <w:t>is</w:t>
      </w:r>
      <w:r>
        <w:rPr>
          <w:color w:val="231F20"/>
          <w:spacing w:val="-7"/>
        </w:rPr>
        <w:t xml:space="preserve"> </w:t>
      </w:r>
      <w:r>
        <w:rPr>
          <w:color w:val="231F20"/>
        </w:rPr>
        <w:t>in</w:t>
      </w:r>
      <w:r>
        <w:rPr>
          <w:color w:val="231F20"/>
          <w:spacing w:val="-7"/>
        </w:rPr>
        <w:t xml:space="preserve"> </w:t>
      </w:r>
      <w:r>
        <w:rPr>
          <w:color w:val="231F20"/>
        </w:rPr>
        <w:t>a</w:t>
      </w:r>
      <w:r>
        <w:rPr>
          <w:color w:val="231F20"/>
          <w:spacing w:val="-7"/>
        </w:rPr>
        <w:t xml:space="preserve"> </w:t>
      </w:r>
      <w:r>
        <w:rPr>
          <w:color w:val="231F20"/>
        </w:rPr>
        <w:t>form</w:t>
      </w:r>
      <w:r>
        <w:rPr>
          <w:color w:val="231F20"/>
          <w:spacing w:val="-7"/>
        </w:rPr>
        <w:t xml:space="preserve"> </w:t>
      </w:r>
      <w:r>
        <w:rPr>
          <w:color w:val="231F20"/>
        </w:rPr>
        <w:t>which</w:t>
      </w:r>
      <w:r>
        <w:rPr>
          <w:color w:val="231F20"/>
          <w:spacing w:val="-7"/>
        </w:rPr>
        <w:t xml:space="preserve"> </w:t>
      </w:r>
      <w:r>
        <w:rPr>
          <w:color w:val="231F20"/>
        </w:rPr>
        <w:t>can</w:t>
      </w:r>
      <w:r>
        <w:rPr>
          <w:color w:val="231F20"/>
          <w:spacing w:val="-7"/>
        </w:rPr>
        <w:t xml:space="preserve"> </w:t>
      </w:r>
      <w:r>
        <w:rPr>
          <w:color w:val="231F20"/>
        </w:rPr>
        <w:t>maintain</w:t>
      </w:r>
      <w:r>
        <w:rPr>
          <w:color w:val="231F20"/>
          <w:spacing w:val="-7"/>
        </w:rPr>
        <w:t xml:space="preserve"> </w:t>
      </w:r>
      <w:r>
        <w:rPr>
          <w:color w:val="231F20"/>
        </w:rPr>
        <w:t>its</w:t>
      </w:r>
      <w:r>
        <w:rPr>
          <w:color w:val="231F20"/>
          <w:spacing w:val="-7"/>
        </w:rPr>
        <w:t xml:space="preserve"> </w:t>
      </w:r>
      <w:r>
        <w:rPr>
          <w:color w:val="231F20"/>
        </w:rPr>
        <w:t>viability</w:t>
      </w:r>
      <w:r>
        <w:rPr>
          <w:color w:val="231F20"/>
          <w:spacing w:val="-7"/>
        </w:rPr>
        <w:t xml:space="preserve"> </w:t>
      </w:r>
      <w:r>
        <w:rPr>
          <w:color w:val="231F20"/>
        </w:rPr>
        <w:t>in</w:t>
      </w:r>
      <w:r>
        <w:rPr>
          <w:color w:val="231F20"/>
          <w:spacing w:val="-7"/>
        </w:rPr>
        <w:t xml:space="preserve"> </w:t>
      </w:r>
      <w:r>
        <w:rPr>
          <w:color w:val="231F20"/>
        </w:rPr>
        <w:t>an</w:t>
      </w:r>
      <w:r>
        <w:rPr>
          <w:color w:val="231F20"/>
          <w:spacing w:val="-7"/>
        </w:rPr>
        <w:t xml:space="preserve"> </w:t>
      </w:r>
      <w:r>
        <w:rPr>
          <w:color w:val="231F20"/>
        </w:rPr>
        <w:t>area for</w:t>
      </w:r>
      <w:r>
        <w:rPr>
          <w:color w:val="231F20"/>
          <w:spacing w:val="-10"/>
        </w:rPr>
        <w:t xml:space="preserve"> </w:t>
      </w:r>
      <w:r>
        <w:rPr>
          <w:color w:val="231F20"/>
        </w:rPr>
        <w:t>an</w:t>
      </w:r>
      <w:r>
        <w:rPr>
          <w:color w:val="231F20"/>
          <w:spacing w:val="-10"/>
        </w:rPr>
        <w:t xml:space="preserve"> </w:t>
      </w:r>
      <w:r>
        <w:rPr>
          <w:color w:val="231F20"/>
        </w:rPr>
        <w:t>indefinite</w:t>
      </w:r>
      <w:r>
        <w:rPr>
          <w:color w:val="231F20"/>
          <w:spacing w:val="-10"/>
        </w:rPr>
        <w:t xml:space="preserve"> </w:t>
      </w:r>
      <w:r>
        <w:rPr>
          <w:color w:val="231F20"/>
        </w:rPr>
        <w:t>period</w:t>
      </w:r>
      <w:r>
        <w:rPr>
          <w:color w:val="231F20"/>
          <w:spacing w:val="-10"/>
        </w:rPr>
        <w:t xml:space="preserve"> </w:t>
      </w:r>
      <w:r>
        <w:rPr>
          <w:color w:val="231F20"/>
        </w:rPr>
        <w:t>of</w:t>
      </w:r>
      <w:r>
        <w:rPr>
          <w:color w:val="231F20"/>
          <w:spacing w:val="-2"/>
        </w:rPr>
        <w:t xml:space="preserve"> </w:t>
      </w:r>
      <w:r>
        <w:rPr>
          <w:color w:val="231F20"/>
        </w:rPr>
        <w:t>time’</w:t>
      </w:r>
      <w:r>
        <w:rPr>
          <w:color w:val="231F20"/>
          <w:spacing w:val="-10"/>
        </w:rPr>
        <w:t xml:space="preserve"> </w:t>
      </w:r>
      <w:r>
        <w:rPr>
          <w:color w:val="231F20"/>
        </w:rPr>
        <w:t>(Butler,</w:t>
      </w:r>
      <w:r>
        <w:rPr>
          <w:color w:val="231F20"/>
          <w:spacing w:val="-10"/>
        </w:rPr>
        <w:t xml:space="preserve"> </w:t>
      </w:r>
      <w:r>
        <w:rPr>
          <w:color w:val="231F20"/>
        </w:rPr>
        <w:t>1993:</w:t>
      </w:r>
      <w:r>
        <w:rPr>
          <w:color w:val="231F20"/>
          <w:spacing w:val="-10"/>
        </w:rPr>
        <w:t xml:space="preserve"> </w:t>
      </w:r>
      <w:r>
        <w:rPr>
          <w:color w:val="231F20"/>
        </w:rPr>
        <w:t>29).</w:t>
      </w:r>
      <w:r>
        <w:rPr>
          <w:color w:val="231F20"/>
          <w:spacing w:val="-10"/>
        </w:rPr>
        <w:t xml:space="preserve"> </w:t>
      </w:r>
      <w:r>
        <w:rPr>
          <w:color w:val="231F20"/>
        </w:rPr>
        <w:t>In</w:t>
      </w:r>
      <w:r>
        <w:rPr>
          <w:color w:val="231F20"/>
          <w:spacing w:val="-10"/>
        </w:rPr>
        <w:t xml:space="preserve"> </w:t>
      </w:r>
      <w:r>
        <w:rPr>
          <w:color w:val="231F20"/>
        </w:rPr>
        <w:t>contrast,</w:t>
      </w:r>
      <w:r>
        <w:rPr>
          <w:color w:val="231F20"/>
          <w:spacing w:val="-10"/>
        </w:rPr>
        <w:t xml:space="preserve"> </w:t>
      </w:r>
      <w:r>
        <w:rPr>
          <w:color w:val="231F20"/>
        </w:rPr>
        <w:t>tourism</w:t>
      </w:r>
      <w:r>
        <w:rPr>
          <w:color w:val="231F20"/>
          <w:spacing w:val="-10"/>
        </w:rPr>
        <w:t xml:space="preserve"> </w:t>
      </w:r>
      <w:r>
        <w:rPr>
          <w:color w:val="231F20"/>
        </w:rPr>
        <w:t>in the</w:t>
      </w:r>
      <w:r>
        <w:rPr>
          <w:color w:val="231F20"/>
          <w:spacing w:val="-1"/>
        </w:rPr>
        <w:t xml:space="preserve"> </w:t>
      </w:r>
      <w:r>
        <w:rPr>
          <w:color w:val="231F20"/>
        </w:rPr>
        <w:t>context</w:t>
      </w:r>
      <w:r>
        <w:rPr>
          <w:color w:val="231F20"/>
          <w:spacing w:val="-1"/>
        </w:rPr>
        <w:t xml:space="preserve"> </w:t>
      </w:r>
      <w:r>
        <w:rPr>
          <w:color w:val="231F20"/>
        </w:rPr>
        <w:t>of sustainable</w:t>
      </w:r>
      <w:r>
        <w:rPr>
          <w:color w:val="231F20"/>
          <w:spacing w:val="-1"/>
        </w:rPr>
        <w:t xml:space="preserve"> </w:t>
      </w:r>
      <w:r>
        <w:rPr>
          <w:color w:val="231F20"/>
        </w:rPr>
        <w:t>development</w:t>
      </w:r>
      <w:r>
        <w:rPr>
          <w:color w:val="231F20"/>
          <w:spacing w:val="-1"/>
        </w:rPr>
        <w:t xml:space="preserve"> </w:t>
      </w:r>
      <w:r>
        <w:rPr>
          <w:color w:val="231F20"/>
        </w:rPr>
        <w:t>is</w:t>
      </w:r>
      <w:r>
        <w:rPr>
          <w:color w:val="231F20"/>
          <w:spacing w:val="-1"/>
        </w:rPr>
        <w:t xml:space="preserve"> </w:t>
      </w:r>
      <w:r>
        <w:rPr>
          <w:color w:val="231F20"/>
        </w:rPr>
        <w:t>tourism</w:t>
      </w:r>
      <w:r>
        <w:rPr>
          <w:color w:val="231F20"/>
          <w:spacing w:val="-1"/>
        </w:rPr>
        <w:t xml:space="preserve"> </w:t>
      </w:r>
      <w:r>
        <w:rPr>
          <w:color w:val="231F20"/>
        </w:rPr>
        <w:t>that</w:t>
      </w:r>
      <w:r>
        <w:rPr>
          <w:color w:val="231F20"/>
          <w:spacing w:val="-1"/>
        </w:rPr>
        <w:t xml:space="preserve"> </w:t>
      </w:r>
      <w:r>
        <w:rPr>
          <w:color w:val="231F20"/>
        </w:rPr>
        <w:t>is</w:t>
      </w:r>
      <w:r>
        <w:rPr>
          <w:color w:val="231F20"/>
          <w:spacing w:val="-1"/>
        </w:rPr>
        <w:t xml:space="preserve"> </w:t>
      </w:r>
      <w:r>
        <w:rPr>
          <w:color w:val="231F20"/>
        </w:rPr>
        <w:t>developed</w:t>
      </w:r>
      <w:r>
        <w:rPr>
          <w:color w:val="231F20"/>
          <w:spacing w:val="-1"/>
        </w:rPr>
        <w:t xml:space="preserve"> </w:t>
      </w:r>
      <w:r>
        <w:rPr>
          <w:color w:val="231F20"/>
        </w:rPr>
        <w:t xml:space="preserve">and </w:t>
      </w:r>
      <w:r>
        <w:rPr>
          <w:color w:val="231F20"/>
          <w:spacing w:val="-2"/>
        </w:rPr>
        <w:t>maintained</w:t>
      </w:r>
      <w:r>
        <w:rPr>
          <w:color w:val="231F20"/>
          <w:spacing w:val="-6"/>
        </w:rPr>
        <w:t xml:space="preserve"> </w:t>
      </w:r>
      <w:r>
        <w:rPr>
          <w:color w:val="231F20"/>
          <w:spacing w:val="-2"/>
        </w:rPr>
        <w:t>in</w:t>
      </w:r>
      <w:r>
        <w:rPr>
          <w:color w:val="231F20"/>
          <w:spacing w:val="-6"/>
        </w:rPr>
        <w:t xml:space="preserve"> </w:t>
      </w:r>
      <w:r>
        <w:rPr>
          <w:color w:val="231F20"/>
          <w:spacing w:val="-2"/>
        </w:rPr>
        <w:t>an</w:t>
      </w:r>
      <w:r>
        <w:rPr>
          <w:color w:val="231F20"/>
          <w:spacing w:val="-6"/>
        </w:rPr>
        <w:t xml:space="preserve"> </w:t>
      </w:r>
      <w:r>
        <w:rPr>
          <w:color w:val="231F20"/>
          <w:spacing w:val="-2"/>
        </w:rPr>
        <w:t>area</w:t>
      </w:r>
      <w:r>
        <w:rPr>
          <w:color w:val="231F20"/>
          <w:spacing w:val="-6"/>
        </w:rPr>
        <w:t xml:space="preserve"> </w:t>
      </w:r>
      <w:r>
        <w:rPr>
          <w:color w:val="231F20"/>
          <w:spacing w:val="-2"/>
        </w:rPr>
        <w:t>(community,</w:t>
      </w:r>
      <w:r>
        <w:rPr>
          <w:color w:val="231F20"/>
          <w:spacing w:val="-6"/>
        </w:rPr>
        <w:t xml:space="preserve"> </w:t>
      </w:r>
      <w:r>
        <w:rPr>
          <w:color w:val="231F20"/>
          <w:spacing w:val="-2"/>
        </w:rPr>
        <w:t>environment)</w:t>
      </w:r>
      <w:r>
        <w:rPr>
          <w:color w:val="231F20"/>
          <w:spacing w:val="-6"/>
        </w:rPr>
        <w:t xml:space="preserve"> </w:t>
      </w:r>
      <w:r>
        <w:rPr>
          <w:color w:val="231F20"/>
          <w:spacing w:val="-2"/>
        </w:rPr>
        <w:t>in</w:t>
      </w:r>
      <w:r>
        <w:rPr>
          <w:color w:val="231F20"/>
          <w:spacing w:val="-6"/>
        </w:rPr>
        <w:t xml:space="preserve"> </w:t>
      </w:r>
      <w:r>
        <w:rPr>
          <w:color w:val="231F20"/>
          <w:spacing w:val="-2"/>
        </w:rPr>
        <w:t>such</w:t>
      </w:r>
      <w:r>
        <w:rPr>
          <w:color w:val="231F20"/>
          <w:spacing w:val="-6"/>
        </w:rPr>
        <w:t xml:space="preserve"> </w:t>
      </w:r>
      <w:r>
        <w:rPr>
          <w:color w:val="231F20"/>
          <w:spacing w:val="-2"/>
        </w:rPr>
        <w:t>a</w:t>
      </w:r>
      <w:r>
        <w:rPr>
          <w:color w:val="231F20"/>
          <w:spacing w:val="-6"/>
        </w:rPr>
        <w:t xml:space="preserve"> </w:t>
      </w:r>
      <w:r>
        <w:rPr>
          <w:color w:val="231F20"/>
          <w:spacing w:val="-2"/>
        </w:rPr>
        <w:t>manner</w:t>
      </w:r>
      <w:r>
        <w:rPr>
          <w:color w:val="231F20"/>
          <w:spacing w:val="-6"/>
        </w:rPr>
        <w:t xml:space="preserve"> </w:t>
      </w:r>
      <w:r>
        <w:rPr>
          <w:color w:val="231F20"/>
          <w:spacing w:val="-2"/>
        </w:rPr>
        <w:t>and</w:t>
      </w:r>
      <w:r>
        <w:rPr>
          <w:color w:val="231F20"/>
          <w:spacing w:val="-6"/>
        </w:rPr>
        <w:t xml:space="preserve"> </w:t>
      </w:r>
      <w:r>
        <w:rPr>
          <w:color w:val="231F20"/>
          <w:spacing w:val="-2"/>
        </w:rPr>
        <w:t xml:space="preserve">at </w:t>
      </w:r>
      <w:r>
        <w:rPr>
          <w:color w:val="231F20"/>
        </w:rPr>
        <w:t>such</w:t>
      </w:r>
      <w:r>
        <w:rPr>
          <w:color w:val="231F20"/>
          <w:spacing w:val="-3"/>
        </w:rPr>
        <w:t xml:space="preserve"> </w:t>
      </w:r>
      <w:r>
        <w:rPr>
          <w:color w:val="231F20"/>
        </w:rPr>
        <w:t>a</w:t>
      </w:r>
      <w:r>
        <w:rPr>
          <w:color w:val="231F20"/>
          <w:spacing w:val="-3"/>
        </w:rPr>
        <w:t xml:space="preserve"> </w:t>
      </w:r>
      <w:r>
        <w:rPr>
          <w:color w:val="231F20"/>
        </w:rPr>
        <w:t>scale</w:t>
      </w:r>
      <w:r>
        <w:rPr>
          <w:color w:val="231F20"/>
          <w:spacing w:val="-3"/>
        </w:rPr>
        <w:t xml:space="preserve"> </w:t>
      </w:r>
      <w:r>
        <w:rPr>
          <w:color w:val="231F20"/>
        </w:rPr>
        <w:t>that</w:t>
      </w:r>
      <w:r>
        <w:rPr>
          <w:color w:val="231F20"/>
          <w:spacing w:val="-3"/>
        </w:rPr>
        <w:t xml:space="preserve"> </w:t>
      </w:r>
      <w:r>
        <w:rPr>
          <w:color w:val="231F20"/>
        </w:rPr>
        <w:t>it</w:t>
      </w:r>
      <w:r>
        <w:rPr>
          <w:color w:val="231F20"/>
          <w:spacing w:val="-3"/>
        </w:rPr>
        <w:t xml:space="preserve"> </w:t>
      </w:r>
      <w:r>
        <w:rPr>
          <w:color w:val="231F20"/>
        </w:rPr>
        <w:t>remains</w:t>
      </w:r>
      <w:r>
        <w:rPr>
          <w:color w:val="231F20"/>
          <w:spacing w:val="-3"/>
        </w:rPr>
        <w:t xml:space="preserve"> </w:t>
      </w:r>
      <w:r>
        <w:rPr>
          <w:color w:val="231F20"/>
        </w:rPr>
        <w:t>viable</w:t>
      </w:r>
      <w:r>
        <w:rPr>
          <w:color w:val="231F20"/>
          <w:spacing w:val="-3"/>
        </w:rPr>
        <w:t xml:space="preserve"> </w:t>
      </w:r>
      <w:r>
        <w:rPr>
          <w:color w:val="231F20"/>
        </w:rPr>
        <w:t>over</w:t>
      </w:r>
      <w:r>
        <w:rPr>
          <w:color w:val="231F20"/>
          <w:spacing w:val="-3"/>
        </w:rPr>
        <w:t xml:space="preserve"> </w:t>
      </w:r>
      <w:r>
        <w:rPr>
          <w:color w:val="231F20"/>
        </w:rPr>
        <w:t>an</w:t>
      </w:r>
      <w:r>
        <w:rPr>
          <w:color w:val="231F20"/>
          <w:spacing w:val="-3"/>
        </w:rPr>
        <w:t xml:space="preserve"> </w:t>
      </w:r>
      <w:r>
        <w:rPr>
          <w:color w:val="231F20"/>
        </w:rPr>
        <w:t>indefinite</w:t>
      </w:r>
      <w:r>
        <w:rPr>
          <w:color w:val="231F20"/>
          <w:spacing w:val="-3"/>
        </w:rPr>
        <w:t xml:space="preserve"> </w:t>
      </w:r>
      <w:r>
        <w:rPr>
          <w:color w:val="231F20"/>
        </w:rPr>
        <w:t>period</w:t>
      </w:r>
      <w:r>
        <w:rPr>
          <w:color w:val="231F20"/>
          <w:spacing w:val="-3"/>
        </w:rPr>
        <w:t xml:space="preserve"> </w:t>
      </w:r>
      <w:r>
        <w:rPr>
          <w:color w:val="231F20"/>
        </w:rPr>
        <w:t>and</w:t>
      </w:r>
      <w:r>
        <w:rPr>
          <w:color w:val="231F20"/>
          <w:spacing w:val="-3"/>
        </w:rPr>
        <w:t xml:space="preserve"> </w:t>
      </w:r>
      <w:r>
        <w:rPr>
          <w:color w:val="231F20"/>
        </w:rPr>
        <w:t>does</w:t>
      </w:r>
      <w:r>
        <w:rPr>
          <w:color w:val="231F20"/>
          <w:spacing w:val="-3"/>
        </w:rPr>
        <w:t xml:space="preserve"> </w:t>
      </w:r>
      <w:r>
        <w:rPr>
          <w:color w:val="231F20"/>
        </w:rPr>
        <w:t>not degrade</w:t>
      </w:r>
      <w:r>
        <w:rPr>
          <w:color w:val="231F20"/>
          <w:spacing w:val="-10"/>
        </w:rPr>
        <w:t xml:space="preserve"> </w:t>
      </w:r>
      <w:r>
        <w:rPr>
          <w:color w:val="231F20"/>
        </w:rPr>
        <w:t>or</w:t>
      </w:r>
      <w:r>
        <w:rPr>
          <w:color w:val="231F20"/>
          <w:spacing w:val="-10"/>
        </w:rPr>
        <w:t xml:space="preserve"> </w:t>
      </w:r>
      <w:r>
        <w:rPr>
          <w:color w:val="231F20"/>
        </w:rPr>
        <w:t>alter</w:t>
      </w:r>
      <w:r>
        <w:rPr>
          <w:color w:val="231F20"/>
          <w:spacing w:val="-10"/>
        </w:rPr>
        <w:t xml:space="preserve"> </w:t>
      </w:r>
      <w:r>
        <w:rPr>
          <w:color w:val="231F20"/>
        </w:rPr>
        <w:t>the</w:t>
      </w:r>
      <w:r>
        <w:rPr>
          <w:color w:val="231F20"/>
          <w:spacing w:val="-10"/>
        </w:rPr>
        <w:t xml:space="preserve"> </w:t>
      </w:r>
      <w:r>
        <w:rPr>
          <w:color w:val="231F20"/>
        </w:rPr>
        <w:t>environment</w:t>
      </w:r>
      <w:r>
        <w:rPr>
          <w:color w:val="231F20"/>
          <w:spacing w:val="-10"/>
        </w:rPr>
        <w:t xml:space="preserve"> </w:t>
      </w:r>
      <w:r>
        <w:rPr>
          <w:color w:val="231F20"/>
        </w:rPr>
        <w:t>(human</w:t>
      </w:r>
      <w:r>
        <w:rPr>
          <w:color w:val="231F20"/>
          <w:spacing w:val="-10"/>
        </w:rPr>
        <w:t xml:space="preserve"> </w:t>
      </w:r>
      <w:r>
        <w:rPr>
          <w:color w:val="231F20"/>
        </w:rPr>
        <w:t>and</w:t>
      </w:r>
      <w:r>
        <w:rPr>
          <w:color w:val="231F20"/>
          <w:spacing w:val="-10"/>
        </w:rPr>
        <w:t xml:space="preserve"> </w:t>
      </w:r>
      <w:r>
        <w:rPr>
          <w:color w:val="231F20"/>
        </w:rPr>
        <w:t>physical)</w:t>
      </w:r>
      <w:r>
        <w:rPr>
          <w:color w:val="231F20"/>
          <w:spacing w:val="-10"/>
        </w:rPr>
        <w:t xml:space="preserve"> </w:t>
      </w:r>
      <w:r>
        <w:rPr>
          <w:color w:val="231F20"/>
        </w:rPr>
        <w:t>in</w:t>
      </w:r>
      <w:r>
        <w:rPr>
          <w:color w:val="231F20"/>
          <w:spacing w:val="-10"/>
        </w:rPr>
        <w:t xml:space="preserve"> </w:t>
      </w:r>
      <w:r>
        <w:rPr>
          <w:color w:val="231F20"/>
        </w:rPr>
        <w:t>which</w:t>
      </w:r>
      <w:r>
        <w:rPr>
          <w:color w:val="231F20"/>
          <w:spacing w:val="-10"/>
        </w:rPr>
        <w:t xml:space="preserve"> </w:t>
      </w:r>
      <w:r>
        <w:rPr>
          <w:color w:val="231F20"/>
        </w:rPr>
        <w:t>it</w:t>
      </w:r>
      <w:r>
        <w:rPr>
          <w:color w:val="231F20"/>
          <w:spacing w:val="-10"/>
        </w:rPr>
        <w:t xml:space="preserve"> </w:t>
      </w:r>
      <w:r>
        <w:rPr>
          <w:color w:val="231F20"/>
        </w:rPr>
        <w:t xml:space="preserve">exists </w:t>
      </w:r>
      <w:r>
        <w:rPr>
          <w:color w:val="231F20"/>
          <w:w w:val="95"/>
        </w:rPr>
        <w:t>to</w:t>
      </w:r>
      <w:r>
        <w:rPr>
          <w:color w:val="231F20"/>
          <w:spacing w:val="-3"/>
          <w:w w:val="95"/>
        </w:rPr>
        <w:t xml:space="preserve"> </w:t>
      </w:r>
      <w:r>
        <w:rPr>
          <w:color w:val="231F20"/>
          <w:w w:val="95"/>
        </w:rPr>
        <w:t>such</w:t>
      </w:r>
      <w:r>
        <w:rPr>
          <w:color w:val="231F20"/>
          <w:spacing w:val="-3"/>
          <w:w w:val="95"/>
        </w:rPr>
        <w:t xml:space="preserve"> </w:t>
      </w:r>
      <w:r>
        <w:rPr>
          <w:color w:val="231F20"/>
          <w:w w:val="95"/>
        </w:rPr>
        <w:t>a</w:t>
      </w:r>
      <w:r>
        <w:rPr>
          <w:color w:val="231F20"/>
          <w:spacing w:val="-3"/>
          <w:w w:val="95"/>
        </w:rPr>
        <w:t xml:space="preserve"> </w:t>
      </w:r>
      <w:r>
        <w:rPr>
          <w:color w:val="231F20"/>
          <w:w w:val="95"/>
        </w:rPr>
        <w:t>degree</w:t>
      </w:r>
      <w:r>
        <w:rPr>
          <w:color w:val="231F20"/>
          <w:spacing w:val="-3"/>
          <w:w w:val="95"/>
        </w:rPr>
        <w:t xml:space="preserve"> </w:t>
      </w:r>
      <w:r>
        <w:rPr>
          <w:color w:val="231F20"/>
          <w:w w:val="95"/>
        </w:rPr>
        <w:t>that</w:t>
      </w:r>
      <w:r>
        <w:rPr>
          <w:color w:val="231F20"/>
          <w:spacing w:val="-3"/>
          <w:w w:val="95"/>
        </w:rPr>
        <w:t xml:space="preserve"> </w:t>
      </w:r>
      <w:r>
        <w:rPr>
          <w:color w:val="231F20"/>
          <w:w w:val="95"/>
        </w:rPr>
        <w:t>it</w:t>
      </w:r>
      <w:r>
        <w:rPr>
          <w:color w:val="231F20"/>
          <w:spacing w:val="-3"/>
          <w:w w:val="95"/>
        </w:rPr>
        <w:t xml:space="preserve"> </w:t>
      </w:r>
      <w:r>
        <w:rPr>
          <w:color w:val="231F20"/>
          <w:w w:val="95"/>
        </w:rPr>
        <w:t>prohibits</w:t>
      </w:r>
      <w:r>
        <w:rPr>
          <w:color w:val="231F20"/>
          <w:spacing w:val="-3"/>
          <w:w w:val="95"/>
        </w:rPr>
        <w:t xml:space="preserve"> </w:t>
      </w:r>
      <w:r>
        <w:rPr>
          <w:color w:val="231F20"/>
          <w:w w:val="95"/>
        </w:rPr>
        <w:t>the</w:t>
      </w:r>
      <w:r>
        <w:rPr>
          <w:color w:val="231F20"/>
          <w:spacing w:val="-3"/>
          <w:w w:val="95"/>
        </w:rPr>
        <w:t xml:space="preserve"> </w:t>
      </w:r>
      <w:r>
        <w:rPr>
          <w:color w:val="231F20"/>
          <w:w w:val="95"/>
        </w:rPr>
        <w:t>successful</w:t>
      </w:r>
      <w:r>
        <w:rPr>
          <w:color w:val="231F20"/>
          <w:spacing w:val="-3"/>
          <w:w w:val="95"/>
        </w:rPr>
        <w:t xml:space="preserve"> </w:t>
      </w:r>
      <w:r>
        <w:rPr>
          <w:color w:val="231F20"/>
          <w:w w:val="95"/>
        </w:rPr>
        <w:t>development</w:t>
      </w:r>
      <w:r>
        <w:rPr>
          <w:color w:val="231F20"/>
          <w:spacing w:val="-3"/>
          <w:w w:val="95"/>
        </w:rPr>
        <w:t xml:space="preserve"> </w:t>
      </w:r>
      <w:r>
        <w:rPr>
          <w:color w:val="231F20"/>
          <w:w w:val="95"/>
        </w:rPr>
        <w:t>and</w:t>
      </w:r>
      <w:r>
        <w:rPr>
          <w:color w:val="231F20"/>
          <w:spacing w:val="-3"/>
          <w:w w:val="95"/>
        </w:rPr>
        <w:t xml:space="preserve"> </w:t>
      </w:r>
      <w:r>
        <w:rPr>
          <w:color w:val="231F20"/>
          <w:w w:val="95"/>
        </w:rPr>
        <w:t>well-being of other activities and processes (Butler, 1993). In their editorial summin</w:t>
      </w:r>
      <w:r>
        <w:rPr>
          <w:color w:val="231F20"/>
          <w:w w:val="95"/>
        </w:rPr>
        <w:t xml:space="preserve">g </w:t>
      </w:r>
      <w:r>
        <w:rPr>
          <w:color w:val="231F20"/>
        </w:rPr>
        <w:t>up</w:t>
      </w:r>
      <w:r>
        <w:rPr>
          <w:color w:val="231F20"/>
          <w:spacing w:val="30"/>
        </w:rPr>
        <w:t xml:space="preserve"> </w:t>
      </w:r>
      <w:r>
        <w:rPr>
          <w:color w:val="231F20"/>
        </w:rPr>
        <w:t>the</w:t>
      </w:r>
      <w:r>
        <w:rPr>
          <w:color w:val="231F20"/>
          <w:spacing w:val="30"/>
        </w:rPr>
        <w:t xml:space="preserve"> </w:t>
      </w:r>
      <w:r>
        <w:rPr>
          <w:color w:val="231F20"/>
        </w:rPr>
        <w:t>first</w:t>
      </w:r>
      <w:r>
        <w:rPr>
          <w:color w:val="231F20"/>
          <w:spacing w:val="30"/>
        </w:rPr>
        <w:t xml:space="preserve"> </w:t>
      </w:r>
      <w:r>
        <w:rPr>
          <w:color w:val="231F20"/>
        </w:rPr>
        <w:t>25</w:t>
      </w:r>
      <w:r>
        <w:rPr>
          <w:color w:val="231F20"/>
          <w:spacing w:val="30"/>
        </w:rPr>
        <w:t xml:space="preserve"> </w:t>
      </w:r>
      <w:r>
        <w:rPr>
          <w:color w:val="231F20"/>
        </w:rPr>
        <w:t>years</w:t>
      </w:r>
      <w:r>
        <w:rPr>
          <w:color w:val="231F20"/>
          <w:spacing w:val="30"/>
        </w:rPr>
        <w:t xml:space="preserve"> </w:t>
      </w:r>
      <w:r>
        <w:rPr>
          <w:color w:val="231F20"/>
        </w:rPr>
        <w:t>of</w:t>
      </w:r>
      <w:r>
        <w:rPr>
          <w:color w:val="231F20"/>
          <w:spacing w:val="40"/>
        </w:rPr>
        <w:t xml:space="preserve"> </w:t>
      </w:r>
      <w:r>
        <w:rPr>
          <w:color w:val="231F20"/>
        </w:rPr>
        <w:t>the</w:t>
      </w:r>
      <w:r>
        <w:rPr>
          <w:color w:val="231F20"/>
          <w:spacing w:val="30"/>
        </w:rPr>
        <w:t xml:space="preserve"> </w:t>
      </w:r>
      <w:r>
        <w:rPr>
          <w:i/>
          <w:color w:val="231F20"/>
        </w:rPr>
        <w:t>Journal</w:t>
      </w:r>
      <w:r>
        <w:rPr>
          <w:i/>
          <w:color w:val="231F20"/>
          <w:spacing w:val="30"/>
        </w:rPr>
        <w:t xml:space="preserve"> </w:t>
      </w:r>
      <w:r>
        <w:rPr>
          <w:i/>
          <w:color w:val="231F20"/>
        </w:rPr>
        <w:t>of</w:t>
      </w:r>
      <w:r>
        <w:rPr>
          <w:i/>
          <w:color w:val="231F20"/>
          <w:spacing w:val="40"/>
        </w:rPr>
        <w:t xml:space="preserve"> </w:t>
      </w:r>
      <w:r>
        <w:rPr>
          <w:i/>
          <w:color w:val="231F20"/>
        </w:rPr>
        <w:t>Sustainable</w:t>
      </w:r>
      <w:r>
        <w:rPr>
          <w:i/>
          <w:color w:val="231F20"/>
          <w:spacing w:val="30"/>
        </w:rPr>
        <w:t xml:space="preserve"> </w:t>
      </w:r>
      <w:r>
        <w:rPr>
          <w:i/>
          <w:color w:val="231F20"/>
        </w:rPr>
        <w:t>Tourism</w:t>
      </w:r>
      <w:r>
        <w:rPr>
          <w:color w:val="231F20"/>
        </w:rPr>
        <w:t>,</w:t>
      </w:r>
      <w:r>
        <w:rPr>
          <w:color w:val="231F20"/>
          <w:spacing w:val="30"/>
        </w:rPr>
        <w:t xml:space="preserve"> </w:t>
      </w:r>
      <w:r>
        <w:rPr>
          <w:color w:val="231F20"/>
        </w:rPr>
        <w:t xml:space="preserve">Bramwell </w:t>
      </w:r>
      <w:r>
        <w:rPr>
          <w:i/>
          <w:color w:val="231F20"/>
        </w:rPr>
        <w:t>et</w:t>
      </w:r>
      <w:r>
        <w:rPr>
          <w:i/>
          <w:color w:val="231F20"/>
          <w:spacing w:val="-12"/>
        </w:rPr>
        <w:t xml:space="preserve"> </w:t>
      </w:r>
      <w:r>
        <w:rPr>
          <w:i/>
          <w:color w:val="231F20"/>
        </w:rPr>
        <w:t>al</w:t>
      </w:r>
      <w:r>
        <w:rPr>
          <w:color w:val="231F20"/>
        </w:rPr>
        <w:t>.</w:t>
      </w:r>
      <w:r>
        <w:rPr>
          <w:color w:val="231F20"/>
          <w:spacing w:val="-12"/>
        </w:rPr>
        <w:t xml:space="preserve"> </w:t>
      </w:r>
      <w:r>
        <w:rPr>
          <w:color w:val="231F20"/>
        </w:rPr>
        <w:t>(2017:</w:t>
      </w:r>
      <w:r>
        <w:rPr>
          <w:color w:val="231F20"/>
          <w:spacing w:val="-11"/>
        </w:rPr>
        <w:t xml:space="preserve"> </w:t>
      </w:r>
      <w:r>
        <w:rPr>
          <w:color w:val="231F20"/>
        </w:rPr>
        <w:t>1)</w:t>
      </w:r>
      <w:r>
        <w:rPr>
          <w:color w:val="231F20"/>
          <w:spacing w:val="-12"/>
        </w:rPr>
        <w:t xml:space="preserve"> </w:t>
      </w:r>
      <w:r>
        <w:rPr>
          <w:color w:val="231F20"/>
        </w:rPr>
        <w:t>report</w:t>
      </w:r>
      <w:r>
        <w:rPr>
          <w:color w:val="231F20"/>
          <w:spacing w:val="-11"/>
        </w:rPr>
        <w:t xml:space="preserve"> </w:t>
      </w:r>
      <w:r>
        <w:rPr>
          <w:color w:val="231F20"/>
        </w:rPr>
        <w:t>that</w:t>
      </w:r>
      <w:r>
        <w:rPr>
          <w:color w:val="231F20"/>
          <w:spacing w:val="-12"/>
        </w:rPr>
        <w:t xml:space="preserve"> </w:t>
      </w:r>
      <w:r>
        <w:rPr>
          <w:color w:val="231F20"/>
        </w:rPr>
        <w:t>the</w:t>
      </w:r>
      <w:r>
        <w:rPr>
          <w:color w:val="231F20"/>
          <w:spacing w:val="-11"/>
        </w:rPr>
        <w:t xml:space="preserve"> </w:t>
      </w:r>
      <w:r>
        <w:rPr>
          <w:color w:val="231F20"/>
        </w:rPr>
        <w:t>concept</w:t>
      </w:r>
      <w:r>
        <w:rPr>
          <w:color w:val="231F20"/>
          <w:spacing w:val="-12"/>
        </w:rPr>
        <w:t xml:space="preserve"> </w:t>
      </w:r>
      <w:r>
        <w:rPr>
          <w:color w:val="231F20"/>
        </w:rPr>
        <w:t>of</w:t>
      </w:r>
      <w:r>
        <w:rPr>
          <w:color w:val="231F20"/>
          <w:spacing w:val="-12"/>
        </w:rPr>
        <w:t xml:space="preserve"> </w:t>
      </w:r>
      <w:r>
        <w:rPr>
          <w:color w:val="231F20"/>
        </w:rPr>
        <w:t>sustainable</w:t>
      </w:r>
      <w:r>
        <w:rPr>
          <w:color w:val="231F20"/>
          <w:spacing w:val="-11"/>
        </w:rPr>
        <w:t xml:space="preserve"> </w:t>
      </w:r>
      <w:r>
        <w:rPr>
          <w:color w:val="231F20"/>
        </w:rPr>
        <w:t>tourism</w:t>
      </w:r>
      <w:r>
        <w:rPr>
          <w:color w:val="231F20"/>
          <w:spacing w:val="-12"/>
        </w:rPr>
        <w:t xml:space="preserve"> </w:t>
      </w:r>
      <w:r>
        <w:rPr>
          <w:color w:val="231F20"/>
        </w:rPr>
        <w:t>has</w:t>
      </w:r>
      <w:r>
        <w:rPr>
          <w:color w:val="231F20"/>
          <w:spacing w:val="-11"/>
        </w:rPr>
        <w:t xml:space="preserve"> </w:t>
      </w:r>
      <w:r>
        <w:rPr>
          <w:color w:val="231F20"/>
        </w:rPr>
        <w:t>evolved to</w:t>
      </w:r>
      <w:r>
        <w:rPr>
          <w:color w:val="231F20"/>
          <w:spacing w:val="-9"/>
        </w:rPr>
        <w:t xml:space="preserve"> </w:t>
      </w:r>
      <w:r>
        <w:rPr>
          <w:color w:val="231F20"/>
        </w:rPr>
        <w:t>where</w:t>
      </w:r>
      <w:r>
        <w:rPr>
          <w:color w:val="231F20"/>
          <w:spacing w:val="-9"/>
        </w:rPr>
        <w:t xml:space="preserve"> </w:t>
      </w:r>
      <w:r>
        <w:rPr>
          <w:color w:val="231F20"/>
        </w:rPr>
        <w:t>it</w:t>
      </w:r>
      <w:r>
        <w:rPr>
          <w:color w:val="231F20"/>
          <w:spacing w:val="-9"/>
        </w:rPr>
        <w:t xml:space="preserve"> </w:t>
      </w:r>
      <w:r>
        <w:rPr>
          <w:color w:val="231F20"/>
        </w:rPr>
        <w:t>is</w:t>
      </w:r>
      <w:r>
        <w:rPr>
          <w:color w:val="231F20"/>
          <w:spacing w:val="-9"/>
        </w:rPr>
        <w:t xml:space="preserve"> </w:t>
      </w:r>
      <w:r>
        <w:rPr>
          <w:color w:val="231F20"/>
        </w:rPr>
        <w:t>‘now</w:t>
      </w:r>
      <w:r>
        <w:rPr>
          <w:color w:val="231F20"/>
          <w:spacing w:val="-9"/>
        </w:rPr>
        <w:t xml:space="preserve"> </w:t>
      </w:r>
      <w:r>
        <w:rPr>
          <w:color w:val="231F20"/>
        </w:rPr>
        <w:t>seen</w:t>
      </w:r>
      <w:r>
        <w:rPr>
          <w:color w:val="231F20"/>
          <w:spacing w:val="-9"/>
        </w:rPr>
        <w:t xml:space="preserve"> </w:t>
      </w:r>
      <w:r>
        <w:rPr>
          <w:color w:val="231F20"/>
        </w:rPr>
        <w:t>as</w:t>
      </w:r>
      <w:r>
        <w:rPr>
          <w:color w:val="231F20"/>
          <w:spacing w:val="-9"/>
        </w:rPr>
        <w:t xml:space="preserve"> </w:t>
      </w:r>
      <w:r>
        <w:rPr>
          <w:color w:val="231F20"/>
        </w:rPr>
        <w:t>a</w:t>
      </w:r>
      <w:r>
        <w:rPr>
          <w:color w:val="231F20"/>
          <w:spacing w:val="-9"/>
        </w:rPr>
        <w:t xml:space="preserve"> </w:t>
      </w:r>
      <w:r>
        <w:rPr>
          <w:color w:val="231F20"/>
        </w:rPr>
        <w:t>normative</w:t>
      </w:r>
      <w:r>
        <w:rPr>
          <w:color w:val="231F20"/>
          <w:spacing w:val="-9"/>
        </w:rPr>
        <w:t xml:space="preserve"> </w:t>
      </w:r>
      <w:r>
        <w:rPr>
          <w:color w:val="231F20"/>
        </w:rPr>
        <w:t>orientation</w:t>
      </w:r>
      <w:r>
        <w:rPr>
          <w:color w:val="231F20"/>
          <w:spacing w:val="-9"/>
        </w:rPr>
        <w:t xml:space="preserve"> </w:t>
      </w:r>
      <w:r>
        <w:rPr>
          <w:color w:val="231F20"/>
        </w:rPr>
        <w:t>that</w:t>
      </w:r>
      <w:r>
        <w:rPr>
          <w:color w:val="231F20"/>
          <w:spacing w:val="-9"/>
        </w:rPr>
        <w:t xml:space="preserve"> </w:t>
      </w:r>
      <w:r>
        <w:rPr>
          <w:color w:val="231F20"/>
        </w:rPr>
        <w:t>seeks</w:t>
      </w:r>
      <w:r>
        <w:rPr>
          <w:color w:val="231F20"/>
          <w:spacing w:val="-9"/>
        </w:rPr>
        <w:t xml:space="preserve"> </w:t>
      </w:r>
      <w:r>
        <w:rPr>
          <w:color w:val="231F20"/>
        </w:rPr>
        <w:t>to</w:t>
      </w:r>
      <w:r>
        <w:rPr>
          <w:color w:val="231F20"/>
          <w:spacing w:val="-9"/>
        </w:rPr>
        <w:t xml:space="preserve"> </w:t>
      </w:r>
      <w:r>
        <w:rPr>
          <w:color w:val="231F20"/>
        </w:rPr>
        <w:t>re-direct societal systems and behaviour on a broad and integrated path toward sustainable</w:t>
      </w:r>
      <w:r>
        <w:rPr>
          <w:color w:val="231F20"/>
          <w:spacing w:val="-5"/>
        </w:rPr>
        <w:t xml:space="preserve"> </w:t>
      </w:r>
      <w:r>
        <w:rPr>
          <w:color w:val="231F20"/>
        </w:rPr>
        <w:t>development’.</w:t>
      </w:r>
      <w:r>
        <w:rPr>
          <w:color w:val="231F20"/>
          <w:spacing w:val="-5"/>
        </w:rPr>
        <w:t xml:space="preserve"> </w:t>
      </w:r>
      <w:r>
        <w:rPr>
          <w:color w:val="231F20"/>
        </w:rPr>
        <w:t>In</w:t>
      </w:r>
      <w:r>
        <w:rPr>
          <w:color w:val="231F20"/>
          <w:spacing w:val="-5"/>
        </w:rPr>
        <w:t xml:space="preserve"> </w:t>
      </w:r>
      <w:r>
        <w:rPr>
          <w:color w:val="231F20"/>
        </w:rPr>
        <w:t>the</w:t>
      </w:r>
      <w:r>
        <w:rPr>
          <w:color w:val="231F20"/>
          <w:spacing w:val="-5"/>
        </w:rPr>
        <w:t xml:space="preserve"> </w:t>
      </w:r>
      <w:r>
        <w:rPr>
          <w:color w:val="231F20"/>
        </w:rPr>
        <w:t>process</w:t>
      </w:r>
      <w:r>
        <w:rPr>
          <w:color w:val="231F20"/>
          <w:spacing w:val="-5"/>
        </w:rPr>
        <w:t xml:space="preserve"> </w:t>
      </w:r>
      <w:r>
        <w:rPr>
          <w:color w:val="231F20"/>
        </w:rPr>
        <w:t>of this</w:t>
      </w:r>
      <w:r>
        <w:rPr>
          <w:color w:val="231F20"/>
          <w:spacing w:val="-5"/>
        </w:rPr>
        <w:t xml:space="preserve"> </w:t>
      </w:r>
      <w:r>
        <w:rPr>
          <w:color w:val="231F20"/>
        </w:rPr>
        <w:t>evolution,</w:t>
      </w:r>
      <w:r>
        <w:rPr>
          <w:color w:val="231F20"/>
          <w:spacing w:val="-5"/>
        </w:rPr>
        <w:t xml:space="preserve"> </w:t>
      </w:r>
      <w:r>
        <w:rPr>
          <w:color w:val="231F20"/>
        </w:rPr>
        <w:t>it</w:t>
      </w:r>
      <w:r>
        <w:rPr>
          <w:color w:val="231F20"/>
          <w:spacing w:val="-5"/>
        </w:rPr>
        <w:t xml:space="preserve"> </w:t>
      </w:r>
      <w:r>
        <w:rPr>
          <w:color w:val="231F20"/>
        </w:rPr>
        <w:t>has</w:t>
      </w:r>
      <w:r>
        <w:rPr>
          <w:color w:val="231F20"/>
          <w:spacing w:val="-5"/>
        </w:rPr>
        <w:t xml:space="preserve"> </w:t>
      </w:r>
      <w:r>
        <w:rPr>
          <w:color w:val="231F20"/>
        </w:rPr>
        <w:t>come</w:t>
      </w:r>
      <w:r>
        <w:rPr>
          <w:color w:val="231F20"/>
          <w:spacing w:val="-5"/>
        </w:rPr>
        <w:t xml:space="preserve"> </w:t>
      </w:r>
      <w:r>
        <w:rPr>
          <w:color w:val="231F20"/>
        </w:rPr>
        <w:t>to embrace social, cultural, economic and political dimensions alongside environmental</w:t>
      </w:r>
      <w:r>
        <w:rPr>
          <w:color w:val="231F20"/>
          <w:spacing w:val="-7"/>
        </w:rPr>
        <w:t xml:space="preserve"> </w:t>
      </w:r>
      <w:r>
        <w:rPr>
          <w:color w:val="231F20"/>
        </w:rPr>
        <w:t>ones.</w:t>
      </w:r>
      <w:r>
        <w:rPr>
          <w:color w:val="231F20"/>
          <w:spacing w:val="-7"/>
        </w:rPr>
        <w:t xml:space="preserve"> </w:t>
      </w:r>
      <w:r>
        <w:rPr>
          <w:color w:val="231F20"/>
        </w:rPr>
        <w:t>Accounting</w:t>
      </w:r>
      <w:r>
        <w:rPr>
          <w:color w:val="231F20"/>
          <w:spacing w:val="-7"/>
        </w:rPr>
        <w:t xml:space="preserve"> </w:t>
      </w:r>
      <w:r>
        <w:rPr>
          <w:color w:val="231F20"/>
        </w:rPr>
        <w:t>f</w:t>
      </w:r>
      <w:r>
        <w:rPr>
          <w:color w:val="231F20"/>
        </w:rPr>
        <w:t>or</w:t>
      </w:r>
      <w:r>
        <w:rPr>
          <w:color w:val="231F20"/>
          <w:spacing w:val="-7"/>
        </w:rPr>
        <w:t xml:space="preserve"> </w:t>
      </w:r>
      <w:r>
        <w:rPr>
          <w:color w:val="231F20"/>
        </w:rPr>
        <w:t>this</w:t>
      </w:r>
      <w:r>
        <w:rPr>
          <w:color w:val="231F20"/>
          <w:spacing w:val="-7"/>
        </w:rPr>
        <w:t xml:space="preserve"> </w:t>
      </w:r>
      <w:r>
        <w:rPr>
          <w:color w:val="231F20"/>
        </w:rPr>
        <w:t>broader</w:t>
      </w:r>
      <w:r>
        <w:rPr>
          <w:color w:val="231F20"/>
          <w:spacing w:val="-7"/>
        </w:rPr>
        <w:t xml:space="preserve"> </w:t>
      </w:r>
      <w:r>
        <w:rPr>
          <w:color w:val="231F20"/>
        </w:rPr>
        <w:t>development</w:t>
      </w:r>
      <w:r>
        <w:rPr>
          <w:color w:val="231F20"/>
          <w:spacing w:val="-7"/>
        </w:rPr>
        <w:t xml:space="preserve"> </w:t>
      </w:r>
      <w:r>
        <w:rPr>
          <w:color w:val="231F20"/>
        </w:rPr>
        <w:t>context</w:t>
      </w:r>
      <w:r>
        <w:rPr>
          <w:color w:val="231F20"/>
          <w:spacing w:val="-7"/>
        </w:rPr>
        <w:t xml:space="preserve"> </w:t>
      </w:r>
      <w:r>
        <w:rPr>
          <w:color w:val="231F20"/>
        </w:rPr>
        <w:t>is challenging</w:t>
      </w:r>
      <w:r>
        <w:rPr>
          <w:color w:val="231F20"/>
          <w:spacing w:val="-10"/>
        </w:rPr>
        <w:t xml:space="preserve"> </w:t>
      </w:r>
      <w:r>
        <w:rPr>
          <w:color w:val="231F20"/>
        </w:rPr>
        <w:t>but</w:t>
      </w:r>
      <w:r>
        <w:rPr>
          <w:color w:val="231F20"/>
          <w:spacing w:val="-10"/>
        </w:rPr>
        <w:t xml:space="preserve"> </w:t>
      </w:r>
      <w:r>
        <w:rPr>
          <w:color w:val="231F20"/>
        </w:rPr>
        <w:t>necessary.</w:t>
      </w:r>
      <w:r>
        <w:rPr>
          <w:color w:val="231F20"/>
          <w:spacing w:val="-10"/>
        </w:rPr>
        <w:t xml:space="preserve"> </w:t>
      </w:r>
      <w:r>
        <w:rPr>
          <w:color w:val="231F20"/>
        </w:rPr>
        <w:t>The</w:t>
      </w:r>
      <w:r>
        <w:rPr>
          <w:color w:val="231F20"/>
          <w:spacing w:val="-10"/>
        </w:rPr>
        <w:t xml:space="preserve"> </w:t>
      </w:r>
      <w:r>
        <w:rPr>
          <w:color w:val="231F20"/>
        </w:rPr>
        <w:t>achievement</w:t>
      </w:r>
      <w:r>
        <w:rPr>
          <w:color w:val="231F20"/>
          <w:spacing w:val="-10"/>
        </w:rPr>
        <w:t xml:space="preserve"> </w:t>
      </w:r>
      <w:r>
        <w:rPr>
          <w:color w:val="231F20"/>
        </w:rPr>
        <w:t>of</w:t>
      </w:r>
      <w:r>
        <w:rPr>
          <w:color w:val="231F20"/>
          <w:spacing w:val="-3"/>
        </w:rPr>
        <w:t xml:space="preserve"> </w:t>
      </w:r>
      <w:r>
        <w:rPr>
          <w:color w:val="231F20"/>
        </w:rPr>
        <w:t>sustainable</w:t>
      </w:r>
      <w:r>
        <w:rPr>
          <w:color w:val="231F20"/>
          <w:spacing w:val="-10"/>
        </w:rPr>
        <w:t xml:space="preserve"> </w:t>
      </w:r>
      <w:r>
        <w:rPr>
          <w:color w:val="231F20"/>
        </w:rPr>
        <w:t>sport</w:t>
      </w:r>
      <w:r>
        <w:rPr>
          <w:color w:val="231F20"/>
          <w:spacing w:val="-10"/>
        </w:rPr>
        <w:t xml:space="preserve"> </w:t>
      </w:r>
      <w:r>
        <w:rPr>
          <w:color w:val="231F20"/>
        </w:rPr>
        <w:t xml:space="preserve">tourism </w:t>
      </w:r>
      <w:r>
        <w:rPr>
          <w:color w:val="231F20"/>
          <w:spacing w:val="-2"/>
        </w:rPr>
        <w:t>requires</w:t>
      </w:r>
      <w:r>
        <w:rPr>
          <w:color w:val="231F20"/>
          <w:spacing w:val="-4"/>
        </w:rPr>
        <w:t xml:space="preserve"> </w:t>
      </w:r>
      <w:r>
        <w:rPr>
          <w:color w:val="231F20"/>
          <w:spacing w:val="-2"/>
        </w:rPr>
        <w:t>a</w:t>
      </w:r>
      <w:r>
        <w:rPr>
          <w:color w:val="231F20"/>
          <w:spacing w:val="-4"/>
        </w:rPr>
        <w:t xml:space="preserve"> </w:t>
      </w:r>
      <w:r>
        <w:rPr>
          <w:color w:val="231F20"/>
          <w:spacing w:val="-2"/>
        </w:rPr>
        <w:t>balance</w:t>
      </w:r>
      <w:r>
        <w:rPr>
          <w:color w:val="231F20"/>
          <w:spacing w:val="-4"/>
        </w:rPr>
        <w:t xml:space="preserve"> </w:t>
      </w:r>
      <w:r>
        <w:rPr>
          <w:color w:val="231F20"/>
          <w:spacing w:val="-2"/>
        </w:rPr>
        <w:t>and,</w:t>
      </w:r>
      <w:r>
        <w:rPr>
          <w:color w:val="231F20"/>
          <w:spacing w:val="-4"/>
        </w:rPr>
        <w:t xml:space="preserve"> </w:t>
      </w:r>
      <w:r>
        <w:rPr>
          <w:color w:val="231F20"/>
          <w:spacing w:val="-2"/>
        </w:rPr>
        <w:t>at</w:t>
      </w:r>
      <w:r>
        <w:rPr>
          <w:color w:val="231F20"/>
          <w:spacing w:val="-4"/>
        </w:rPr>
        <w:t xml:space="preserve"> </w:t>
      </w:r>
      <w:r>
        <w:rPr>
          <w:color w:val="231F20"/>
          <w:spacing w:val="-2"/>
        </w:rPr>
        <w:t>times,</w:t>
      </w:r>
      <w:r>
        <w:rPr>
          <w:color w:val="231F20"/>
          <w:spacing w:val="-4"/>
        </w:rPr>
        <w:t xml:space="preserve"> </w:t>
      </w:r>
      <w:r>
        <w:rPr>
          <w:color w:val="231F20"/>
          <w:spacing w:val="-2"/>
        </w:rPr>
        <w:t>trade-offs</w:t>
      </w:r>
      <w:r>
        <w:rPr>
          <w:color w:val="231F20"/>
          <w:spacing w:val="-4"/>
        </w:rPr>
        <w:t xml:space="preserve"> </w:t>
      </w:r>
      <w:r>
        <w:rPr>
          <w:color w:val="231F20"/>
          <w:spacing w:val="-2"/>
        </w:rPr>
        <w:t>between</w:t>
      </w:r>
      <w:r>
        <w:rPr>
          <w:color w:val="231F20"/>
          <w:spacing w:val="-4"/>
        </w:rPr>
        <w:t xml:space="preserve"> </w:t>
      </w:r>
      <w:r>
        <w:rPr>
          <w:color w:val="231F20"/>
          <w:spacing w:val="-2"/>
        </w:rPr>
        <w:t>goals</w:t>
      </w:r>
      <w:r>
        <w:rPr>
          <w:color w:val="231F20"/>
          <w:spacing w:val="-4"/>
        </w:rPr>
        <w:t xml:space="preserve"> </w:t>
      </w:r>
      <w:r>
        <w:rPr>
          <w:color w:val="231F20"/>
          <w:spacing w:val="-2"/>
        </w:rPr>
        <w:t>in</w:t>
      </w:r>
      <w:r>
        <w:rPr>
          <w:color w:val="231F20"/>
          <w:spacing w:val="-4"/>
        </w:rPr>
        <w:t xml:space="preserve"> </w:t>
      </w:r>
      <w:r>
        <w:rPr>
          <w:color w:val="231F20"/>
          <w:spacing w:val="-2"/>
        </w:rPr>
        <w:t>these</w:t>
      </w:r>
      <w:r>
        <w:rPr>
          <w:color w:val="231F20"/>
          <w:spacing w:val="-4"/>
        </w:rPr>
        <w:t xml:space="preserve"> </w:t>
      </w:r>
      <w:r>
        <w:rPr>
          <w:color w:val="231F20"/>
          <w:spacing w:val="-2"/>
        </w:rPr>
        <w:t xml:space="preserve">various </w:t>
      </w:r>
      <w:r>
        <w:rPr>
          <w:color w:val="231F20"/>
        </w:rPr>
        <w:t>domains of sustainability.</w:t>
      </w:r>
    </w:p>
    <w:p w14:paraId="33AEFEB1" w14:textId="77777777" w:rsidR="00AE0598" w:rsidRDefault="0069255A">
      <w:pPr>
        <w:pStyle w:val="Corpodetexto"/>
        <w:spacing w:before="24" w:line="232" w:lineRule="auto"/>
        <w:ind w:left="110" w:right="127" w:firstLine="320"/>
        <w:jc w:val="both"/>
      </w:pPr>
      <w:r>
        <w:rPr>
          <w:color w:val="231F20"/>
        </w:rPr>
        <w:t>While</w:t>
      </w:r>
      <w:r>
        <w:rPr>
          <w:color w:val="231F20"/>
          <w:spacing w:val="80"/>
        </w:rPr>
        <w:t xml:space="preserve"> </w:t>
      </w:r>
      <w:r>
        <w:rPr>
          <w:color w:val="231F20"/>
        </w:rPr>
        <w:t>sustainable</w:t>
      </w:r>
      <w:r>
        <w:rPr>
          <w:color w:val="231F20"/>
          <w:spacing w:val="80"/>
        </w:rPr>
        <w:t xml:space="preserve"> </w:t>
      </w:r>
      <w:r>
        <w:rPr>
          <w:color w:val="231F20"/>
        </w:rPr>
        <w:t>sport</w:t>
      </w:r>
      <w:r>
        <w:rPr>
          <w:color w:val="231F20"/>
          <w:spacing w:val="80"/>
        </w:rPr>
        <w:t xml:space="preserve"> </w:t>
      </w:r>
      <w:r>
        <w:rPr>
          <w:color w:val="231F20"/>
        </w:rPr>
        <w:t>tourism</w:t>
      </w:r>
      <w:r>
        <w:rPr>
          <w:color w:val="231F20"/>
          <w:spacing w:val="80"/>
        </w:rPr>
        <w:t xml:space="preserve"> </w:t>
      </w:r>
      <w:r>
        <w:rPr>
          <w:color w:val="231F20"/>
        </w:rPr>
        <w:t>is</w:t>
      </w:r>
      <w:r>
        <w:rPr>
          <w:color w:val="231F20"/>
          <w:spacing w:val="80"/>
        </w:rPr>
        <w:t xml:space="preserve"> </w:t>
      </w:r>
      <w:r>
        <w:rPr>
          <w:color w:val="231F20"/>
        </w:rPr>
        <w:t>the</w:t>
      </w:r>
      <w:r>
        <w:rPr>
          <w:color w:val="231F20"/>
          <w:spacing w:val="80"/>
        </w:rPr>
        <w:t xml:space="preserve"> </w:t>
      </w:r>
      <w:r>
        <w:rPr>
          <w:color w:val="231F20"/>
        </w:rPr>
        <w:t>essence</w:t>
      </w:r>
      <w:r>
        <w:rPr>
          <w:color w:val="231F20"/>
          <w:spacing w:val="80"/>
        </w:rPr>
        <w:t xml:space="preserve"> </w:t>
      </w:r>
      <w:r>
        <w:rPr>
          <w:color w:val="231F20"/>
        </w:rPr>
        <w:t>of</w:t>
      </w:r>
      <w:r>
        <w:rPr>
          <w:color w:val="231F20"/>
          <w:spacing w:val="80"/>
        </w:rPr>
        <w:t xml:space="preserve"> </w:t>
      </w:r>
      <w:r>
        <w:rPr>
          <w:color w:val="231F20"/>
        </w:rPr>
        <w:t>Figure</w:t>
      </w:r>
      <w:r>
        <w:rPr>
          <w:color w:val="231F20"/>
          <w:spacing w:val="80"/>
        </w:rPr>
        <w:t xml:space="preserve"> </w:t>
      </w:r>
      <w:r>
        <w:rPr>
          <w:color w:val="231F20"/>
        </w:rPr>
        <w:t>4.1, the</w:t>
      </w:r>
      <w:r>
        <w:rPr>
          <w:color w:val="231F20"/>
          <w:spacing w:val="57"/>
        </w:rPr>
        <w:t xml:space="preserve"> </w:t>
      </w:r>
      <w:r>
        <w:rPr>
          <w:color w:val="231F20"/>
        </w:rPr>
        <w:t>broader</w:t>
      </w:r>
      <w:r>
        <w:rPr>
          <w:color w:val="231F20"/>
          <w:spacing w:val="57"/>
        </w:rPr>
        <w:t xml:space="preserve"> </w:t>
      </w:r>
      <w:r>
        <w:rPr>
          <w:color w:val="231F20"/>
        </w:rPr>
        <w:t>concept</w:t>
      </w:r>
      <w:r>
        <w:rPr>
          <w:color w:val="231F20"/>
          <w:spacing w:val="58"/>
        </w:rPr>
        <w:t xml:space="preserve"> </w:t>
      </w:r>
      <w:r>
        <w:rPr>
          <w:color w:val="231F20"/>
        </w:rPr>
        <w:t>of</w:t>
      </w:r>
      <w:r>
        <w:rPr>
          <w:color w:val="231F20"/>
          <w:spacing w:val="57"/>
        </w:rPr>
        <w:t xml:space="preserve"> </w:t>
      </w:r>
      <w:r>
        <w:rPr>
          <w:color w:val="231F20"/>
        </w:rPr>
        <w:t>sport</w:t>
      </w:r>
      <w:r>
        <w:rPr>
          <w:color w:val="231F20"/>
          <w:spacing w:val="57"/>
        </w:rPr>
        <w:t xml:space="preserve"> </w:t>
      </w:r>
      <w:r>
        <w:rPr>
          <w:color w:val="231F20"/>
        </w:rPr>
        <w:t>tourism</w:t>
      </w:r>
      <w:r>
        <w:rPr>
          <w:color w:val="231F20"/>
          <w:spacing w:val="58"/>
        </w:rPr>
        <w:t xml:space="preserve"> </w:t>
      </w:r>
      <w:r>
        <w:rPr>
          <w:color w:val="231F20"/>
        </w:rPr>
        <w:t>in</w:t>
      </w:r>
      <w:r>
        <w:rPr>
          <w:color w:val="231F20"/>
          <w:spacing w:val="57"/>
        </w:rPr>
        <w:t xml:space="preserve"> </w:t>
      </w:r>
      <w:r>
        <w:rPr>
          <w:color w:val="231F20"/>
        </w:rPr>
        <w:t>the</w:t>
      </w:r>
      <w:r>
        <w:rPr>
          <w:color w:val="231F20"/>
          <w:spacing w:val="58"/>
        </w:rPr>
        <w:t xml:space="preserve"> </w:t>
      </w:r>
      <w:r>
        <w:rPr>
          <w:color w:val="231F20"/>
        </w:rPr>
        <w:t>context</w:t>
      </w:r>
      <w:r>
        <w:rPr>
          <w:color w:val="231F20"/>
          <w:spacing w:val="57"/>
        </w:rPr>
        <w:t xml:space="preserve"> </w:t>
      </w:r>
      <w:r>
        <w:rPr>
          <w:color w:val="231F20"/>
        </w:rPr>
        <w:t>of</w:t>
      </w:r>
      <w:r>
        <w:rPr>
          <w:color w:val="231F20"/>
          <w:spacing w:val="57"/>
        </w:rPr>
        <w:t xml:space="preserve"> </w:t>
      </w:r>
      <w:r>
        <w:rPr>
          <w:color w:val="231F20"/>
          <w:spacing w:val="-2"/>
        </w:rPr>
        <w:t>sustainable</w:t>
      </w:r>
    </w:p>
    <w:p w14:paraId="5B6D931B" w14:textId="77777777" w:rsidR="00AE0598" w:rsidRDefault="00AE0598">
      <w:pPr>
        <w:spacing w:line="232" w:lineRule="auto"/>
        <w:jc w:val="both"/>
        <w:sectPr w:rsidR="00AE0598">
          <w:pgSz w:w="8850" w:h="13270"/>
          <w:pgMar w:top="720" w:right="1060" w:bottom="280" w:left="1080" w:header="720" w:footer="720" w:gutter="0"/>
          <w:cols w:space="720"/>
        </w:sectPr>
      </w:pPr>
    </w:p>
    <w:p w14:paraId="15B1659A" w14:textId="77777777" w:rsidR="00AE0598" w:rsidRDefault="0069255A">
      <w:pPr>
        <w:spacing w:before="87"/>
        <w:ind w:left="108"/>
        <w:rPr>
          <w:rFonts w:ascii="Trebuchet MS"/>
          <w:sz w:val="14"/>
        </w:rPr>
      </w:pPr>
      <w:r>
        <w:rPr>
          <w:rFonts w:ascii="Trebuchet MS"/>
          <w:color w:val="231F20"/>
          <w:w w:val="105"/>
          <w:sz w:val="14"/>
        </w:rPr>
        <w:lastRenderedPageBreak/>
        <w:t>66</w:t>
      </w:r>
      <w:r>
        <w:rPr>
          <w:rFonts w:ascii="Trebuchet MS"/>
          <w:color w:val="231F20"/>
          <w:spacing w:val="64"/>
          <w:w w:val="150"/>
          <w:sz w:val="14"/>
        </w:rPr>
        <w:t xml:space="preserve"> </w:t>
      </w:r>
      <w:r>
        <w:rPr>
          <w:rFonts w:ascii="Trebuchet MS"/>
          <w:color w:val="231F20"/>
          <w:w w:val="105"/>
          <w:sz w:val="14"/>
        </w:rPr>
        <w:t>Part</w:t>
      </w:r>
      <w:r>
        <w:rPr>
          <w:rFonts w:ascii="Trebuchet MS"/>
          <w:color w:val="231F20"/>
          <w:spacing w:val="-9"/>
          <w:w w:val="105"/>
          <w:sz w:val="14"/>
        </w:rPr>
        <w:t xml:space="preserve"> </w:t>
      </w:r>
      <w:r>
        <w:rPr>
          <w:rFonts w:ascii="Trebuchet MS"/>
          <w:color w:val="231F20"/>
          <w:w w:val="105"/>
          <w:sz w:val="14"/>
        </w:rPr>
        <w:t>2:</w:t>
      </w:r>
      <w:r>
        <w:rPr>
          <w:rFonts w:ascii="Trebuchet MS"/>
          <w:color w:val="231F20"/>
          <w:spacing w:val="-9"/>
          <w:w w:val="105"/>
          <w:sz w:val="14"/>
        </w:rPr>
        <w:t xml:space="preserve"> </w:t>
      </w:r>
      <w:r>
        <w:rPr>
          <w:rFonts w:ascii="Trebuchet MS"/>
          <w:color w:val="231F20"/>
          <w:w w:val="105"/>
          <w:sz w:val="14"/>
        </w:rPr>
        <w:t>Foundations</w:t>
      </w:r>
      <w:r>
        <w:rPr>
          <w:rFonts w:ascii="Trebuchet MS"/>
          <w:color w:val="231F20"/>
          <w:spacing w:val="-9"/>
          <w:w w:val="105"/>
          <w:sz w:val="14"/>
        </w:rPr>
        <w:t xml:space="preserve"> </w:t>
      </w:r>
      <w:r>
        <w:rPr>
          <w:rFonts w:ascii="Trebuchet MS"/>
          <w:color w:val="231F20"/>
          <w:w w:val="105"/>
          <w:sz w:val="14"/>
        </w:rPr>
        <w:t>of</w:t>
      </w:r>
      <w:r>
        <w:rPr>
          <w:rFonts w:ascii="Trebuchet MS"/>
          <w:color w:val="231F20"/>
          <w:spacing w:val="-9"/>
          <w:w w:val="105"/>
          <w:sz w:val="14"/>
        </w:rPr>
        <w:t xml:space="preserve"> </w:t>
      </w:r>
      <w:r>
        <w:rPr>
          <w:rFonts w:ascii="Trebuchet MS"/>
          <w:color w:val="231F20"/>
          <w:w w:val="105"/>
          <w:sz w:val="14"/>
        </w:rPr>
        <w:t>Sport</w:t>
      </w:r>
      <w:r>
        <w:rPr>
          <w:rFonts w:ascii="Trebuchet MS"/>
          <w:color w:val="231F20"/>
          <w:spacing w:val="-9"/>
          <w:w w:val="105"/>
          <w:sz w:val="14"/>
        </w:rPr>
        <w:t xml:space="preserve"> </w:t>
      </w:r>
      <w:r>
        <w:rPr>
          <w:rFonts w:ascii="Trebuchet MS"/>
          <w:color w:val="231F20"/>
          <w:w w:val="105"/>
          <w:sz w:val="14"/>
        </w:rPr>
        <w:t>Tourism</w:t>
      </w:r>
      <w:r>
        <w:rPr>
          <w:rFonts w:ascii="Trebuchet MS"/>
          <w:color w:val="231F20"/>
          <w:spacing w:val="-9"/>
          <w:w w:val="105"/>
          <w:sz w:val="14"/>
        </w:rPr>
        <w:t xml:space="preserve"> </w:t>
      </w:r>
      <w:r>
        <w:rPr>
          <w:rFonts w:ascii="Trebuchet MS"/>
          <w:color w:val="231F20"/>
          <w:spacing w:val="-2"/>
          <w:w w:val="105"/>
          <w:sz w:val="14"/>
        </w:rPr>
        <w:t>Development</w:t>
      </w:r>
    </w:p>
    <w:p w14:paraId="519382E9" w14:textId="77777777" w:rsidR="00AE0598" w:rsidRDefault="00AE0598">
      <w:pPr>
        <w:pStyle w:val="Corpodetexto"/>
        <w:spacing w:before="6"/>
        <w:rPr>
          <w:rFonts w:ascii="Trebuchet MS"/>
          <w:sz w:val="19"/>
        </w:rPr>
      </w:pPr>
    </w:p>
    <w:p w14:paraId="231206CD" w14:textId="77777777" w:rsidR="00AE0598" w:rsidRDefault="0069255A">
      <w:pPr>
        <w:tabs>
          <w:tab w:val="left" w:pos="2931"/>
        </w:tabs>
        <w:spacing w:before="103"/>
        <w:ind w:left="384"/>
        <w:jc w:val="center"/>
        <w:rPr>
          <w:b/>
          <w:sz w:val="16"/>
        </w:rPr>
      </w:pPr>
      <w:r>
        <w:rPr>
          <w:b/>
          <w:color w:val="231F20"/>
          <w:w w:val="115"/>
          <w:sz w:val="16"/>
        </w:rPr>
        <w:t>SOCIAL/CULTURAL</w:t>
      </w:r>
      <w:r>
        <w:rPr>
          <w:b/>
          <w:color w:val="231F20"/>
          <w:spacing w:val="-4"/>
          <w:w w:val="115"/>
          <w:sz w:val="16"/>
        </w:rPr>
        <w:t xml:space="preserve"> GOALS</w:t>
      </w:r>
      <w:r>
        <w:rPr>
          <w:b/>
          <w:color w:val="231F20"/>
          <w:sz w:val="16"/>
        </w:rPr>
        <w:tab/>
      </w:r>
      <w:r>
        <w:rPr>
          <w:b/>
          <w:color w:val="231F20"/>
          <w:w w:val="115"/>
          <w:sz w:val="16"/>
        </w:rPr>
        <w:t>ECONOMIC/POLITICAL</w:t>
      </w:r>
      <w:r>
        <w:rPr>
          <w:b/>
          <w:color w:val="231F20"/>
          <w:spacing w:val="15"/>
          <w:w w:val="115"/>
          <w:sz w:val="16"/>
        </w:rPr>
        <w:t xml:space="preserve"> </w:t>
      </w:r>
      <w:r>
        <w:rPr>
          <w:b/>
          <w:color w:val="231F20"/>
          <w:spacing w:val="-4"/>
          <w:w w:val="115"/>
          <w:sz w:val="16"/>
        </w:rPr>
        <w:t>GOALS</w:t>
      </w:r>
    </w:p>
    <w:p w14:paraId="059BBE5E" w14:textId="77777777" w:rsidR="00AE0598" w:rsidRDefault="00AE0598">
      <w:pPr>
        <w:pStyle w:val="Corpodetexto"/>
        <w:rPr>
          <w:b/>
          <w:sz w:val="20"/>
        </w:rPr>
      </w:pPr>
    </w:p>
    <w:p w14:paraId="42E2D219" w14:textId="77777777" w:rsidR="00AE0598" w:rsidRDefault="00AE0598">
      <w:pPr>
        <w:pStyle w:val="Corpodetexto"/>
        <w:spacing w:before="10"/>
        <w:rPr>
          <w:b/>
          <w:sz w:val="29"/>
        </w:rPr>
      </w:pPr>
    </w:p>
    <w:p w14:paraId="12A2DA88" w14:textId="77777777" w:rsidR="00AE0598" w:rsidRDefault="00AE0598">
      <w:pPr>
        <w:rPr>
          <w:sz w:val="29"/>
        </w:rPr>
        <w:sectPr w:rsidR="00AE0598">
          <w:pgSz w:w="8850" w:h="13270"/>
          <w:pgMar w:top="720" w:right="1060" w:bottom="280" w:left="1080" w:header="720" w:footer="720" w:gutter="0"/>
          <w:cols w:space="720"/>
        </w:sectPr>
      </w:pPr>
    </w:p>
    <w:p w14:paraId="0CA657E5" w14:textId="77777777" w:rsidR="00AE0598" w:rsidRDefault="00AE0598">
      <w:pPr>
        <w:pStyle w:val="Corpodetexto"/>
        <w:spacing w:before="4"/>
        <w:rPr>
          <w:b/>
          <w:sz w:val="19"/>
        </w:rPr>
      </w:pPr>
    </w:p>
    <w:p w14:paraId="6486A06A" w14:textId="77777777" w:rsidR="00AE0598" w:rsidRDefault="0069255A">
      <w:pPr>
        <w:spacing w:line="216" w:lineRule="auto"/>
        <w:ind w:left="899" w:right="534"/>
        <w:rPr>
          <w:rFonts w:ascii="Segoe UI Symbol"/>
          <w:sz w:val="16"/>
        </w:rPr>
      </w:pPr>
      <w:r>
        <w:rPr>
          <w:rFonts w:ascii="Segoe UI Symbol"/>
          <w:color w:val="231F20"/>
          <w:spacing w:val="-2"/>
          <w:sz w:val="16"/>
        </w:rPr>
        <w:t>Participation Planning Education Health</w:t>
      </w:r>
    </w:p>
    <w:p w14:paraId="1BC4F381" w14:textId="77777777" w:rsidR="00AE0598" w:rsidRDefault="0069255A">
      <w:pPr>
        <w:spacing w:before="2" w:line="216" w:lineRule="auto"/>
        <w:ind w:left="899"/>
        <w:rPr>
          <w:rFonts w:ascii="Segoe UI Symbol"/>
          <w:sz w:val="16"/>
        </w:rPr>
      </w:pPr>
      <w:r>
        <w:rPr>
          <w:rFonts w:ascii="Segoe UI Symbol"/>
          <w:color w:val="231F20"/>
          <w:sz w:val="16"/>
        </w:rPr>
        <w:t>Visitor</w:t>
      </w:r>
      <w:r>
        <w:rPr>
          <w:rFonts w:ascii="Segoe UI Symbol"/>
          <w:color w:val="231F20"/>
          <w:spacing w:val="-3"/>
          <w:sz w:val="16"/>
        </w:rPr>
        <w:t xml:space="preserve"> </w:t>
      </w:r>
      <w:r>
        <w:rPr>
          <w:rFonts w:ascii="Segoe UI Symbol"/>
          <w:color w:val="231F20"/>
          <w:sz w:val="16"/>
        </w:rPr>
        <w:t xml:space="preserve">Satisfaction </w:t>
      </w:r>
      <w:r>
        <w:rPr>
          <w:rFonts w:ascii="Segoe UI Symbol"/>
          <w:color w:val="231F20"/>
          <w:spacing w:val="-2"/>
          <w:sz w:val="16"/>
        </w:rPr>
        <w:t>Enhancement</w:t>
      </w:r>
      <w:r>
        <w:rPr>
          <w:rFonts w:ascii="Segoe UI Symbol"/>
          <w:color w:val="231F20"/>
          <w:spacing w:val="-9"/>
          <w:sz w:val="16"/>
        </w:rPr>
        <w:t xml:space="preserve"> </w:t>
      </w:r>
      <w:r>
        <w:rPr>
          <w:rFonts w:ascii="Segoe UI Symbol"/>
          <w:color w:val="231F20"/>
          <w:spacing w:val="-2"/>
          <w:sz w:val="16"/>
        </w:rPr>
        <w:t>of</w:t>
      </w:r>
      <w:r>
        <w:rPr>
          <w:rFonts w:ascii="Segoe UI Symbol"/>
          <w:color w:val="231F20"/>
          <w:spacing w:val="-9"/>
          <w:sz w:val="16"/>
        </w:rPr>
        <w:t xml:space="preserve"> </w:t>
      </w:r>
      <w:r>
        <w:rPr>
          <w:rFonts w:ascii="Segoe UI Symbol"/>
          <w:color w:val="231F20"/>
          <w:spacing w:val="-2"/>
          <w:sz w:val="16"/>
        </w:rPr>
        <w:t>Local</w:t>
      </w:r>
    </w:p>
    <w:p w14:paraId="6DBE4C0A" w14:textId="77777777" w:rsidR="00AE0598" w:rsidRDefault="0069255A">
      <w:pPr>
        <w:spacing w:before="10" w:line="192" w:lineRule="auto"/>
        <w:ind w:left="955" w:firstLine="159"/>
        <w:rPr>
          <w:rFonts w:ascii="Segoe UI Symbol"/>
          <w:sz w:val="16"/>
        </w:rPr>
      </w:pPr>
      <w:r>
        <w:rPr>
          <w:rFonts w:ascii="Segoe UI Symbol"/>
          <w:color w:val="231F20"/>
          <w:spacing w:val="-2"/>
          <w:sz w:val="16"/>
        </w:rPr>
        <w:t>Social/Culture Activities</w:t>
      </w:r>
    </w:p>
    <w:p w14:paraId="387813F8" w14:textId="77777777" w:rsidR="00AE0598" w:rsidRDefault="00AE0598">
      <w:pPr>
        <w:pStyle w:val="Corpodetexto"/>
        <w:spacing w:before="4"/>
        <w:rPr>
          <w:rFonts w:ascii="Segoe UI Symbol"/>
          <w:sz w:val="14"/>
        </w:rPr>
      </w:pPr>
    </w:p>
    <w:p w14:paraId="71A2E024" w14:textId="77777777" w:rsidR="00AE0598" w:rsidRDefault="0069255A">
      <w:pPr>
        <w:jc w:val="right"/>
        <w:rPr>
          <w:b/>
          <w:sz w:val="16"/>
        </w:rPr>
      </w:pPr>
      <w:r>
        <w:rPr>
          <w:b/>
          <w:color w:val="231F20"/>
          <w:spacing w:val="-2"/>
          <w:w w:val="105"/>
          <w:sz w:val="16"/>
        </w:rPr>
        <w:t>Sport,</w:t>
      </w:r>
    </w:p>
    <w:p w14:paraId="107DB71F" w14:textId="77777777" w:rsidR="00AE0598" w:rsidRDefault="0069255A">
      <w:pPr>
        <w:spacing w:before="2"/>
        <w:rPr>
          <w:b/>
          <w:sz w:val="28"/>
        </w:rPr>
      </w:pPr>
      <w:r>
        <w:br w:type="column"/>
      </w:r>
    </w:p>
    <w:p w14:paraId="41E6E56C" w14:textId="77777777" w:rsidR="00AE0598" w:rsidRDefault="0069255A">
      <w:pPr>
        <w:spacing w:line="244" w:lineRule="auto"/>
        <w:ind w:left="303" w:right="195"/>
        <w:jc w:val="center"/>
        <w:rPr>
          <w:b/>
          <w:sz w:val="16"/>
        </w:rPr>
      </w:pPr>
      <w:r>
        <w:rPr>
          <w:b/>
          <w:color w:val="231F20"/>
          <w:spacing w:val="-2"/>
          <w:w w:val="105"/>
          <w:sz w:val="16"/>
        </w:rPr>
        <w:t>Sport,</w:t>
      </w:r>
      <w:r>
        <w:rPr>
          <w:b/>
          <w:color w:val="231F20"/>
          <w:spacing w:val="40"/>
          <w:w w:val="105"/>
          <w:sz w:val="16"/>
        </w:rPr>
        <w:t xml:space="preserve"> </w:t>
      </w:r>
      <w:r>
        <w:rPr>
          <w:b/>
          <w:color w:val="231F20"/>
          <w:w w:val="105"/>
          <w:sz w:val="16"/>
        </w:rPr>
        <w:t>Culture</w:t>
      </w:r>
      <w:r>
        <w:rPr>
          <w:b/>
          <w:color w:val="231F20"/>
          <w:spacing w:val="-7"/>
          <w:w w:val="105"/>
          <w:sz w:val="16"/>
        </w:rPr>
        <w:t xml:space="preserve"> </w:t>
      </w:r>
      <w:r>
        <w:rPr>
          <w:b/>
          <w:color w:val="231F20"/>
          <w:w w:val="105"/>
          <w:sz w:val="16"/>
        </w:rPr>
        <w:t>&amp;</w:t>
      </w:r>
      <w:r>
        <w:rPr>
          <w:b/>
          <w:color w:val="231F20"/>
          <w:spacing w:val="40"/>
          <w:w w:val="105"/>
          <w:sz w:val="16"/>
        </w:rPr>
        <w:t xml:space="preserve"> </w:t>
      </w:r>
      <w:r>
        <w:rPr>
          <w:b/>
          <w:color w:val="231F20"/>
          <w:spacing w:val="-2"/>
          <w:w w:val="105"/>
          <w:sz w:val="16"/>
        </w:rPr>
        <w:t>Economy</w:t>
      </w:r>
    </w:p>
    <w:p w14:paraId="51FC2CCF" w14:textId="77777777" w:rsidR="00AE0598" w:rsidRDefault="00AE0598">
      <w:pPr>
        <w:pStyle w:val="Corpodetexto"/>
        <w:rPr>
          <w:b/>
          <w:sz w:val="20"/>
        </w:rPr>
      </w:pPr>
    </w:p>
    <w:p w14:paraId="524FF377" w14:textId="77777777" w:rsidR="00AE0598" w:rsidRDefault="00AE0598">
      <w:pPr>
        <w:pStyle w:val="Corpodetexto"/>
        <w:spacing w:before="9"/>
        <w:rPr>
          <w:b/>
          <w:sz w:val="24"/>
        </w:rPr>
      </w:pPr>
    </w:p>
    <w:p w14:paraId="603BF625" w14:textId="77777777" w:rsidR="00AE0598" w:rsidRDefault="0069255A">
      <w:pPr>
        <w:spacing w:line="244" w:lineRule="auto"/>
        <w:ind w:left="110" w:right="5"/>
        <w:jc w:val="center"/>
        <w:rPr>
          <w:b/>
          <w:sz w:val="16"/>
        </w:rPr>
      </w:pPr>
      <w:r>
        <w:rPr>
          <w:b/>
          <w:color w:val="231F20"/>
          <w:spacing w:val="-2"/>
          <w:w w:val="110"/>
          <w:sz w:val="16"/>
        </w:rPr>
        <w:t>SUSTAINABLE</w:t>
      </w:r>
      <w:r>
        <w:rPr>
          <w:b/>
          <w:color w:val="231F20"/>
          <w:spacing w:val="40"/>
          <w:w w:val="115"/>
          <w:sz w:val="16"/>
        </w:rPr>
        <w:t xml:space="preserve"> </w:t>
      </w:r>
      <w:r>
        <w:rPr>
          <w:b/>
          <w:color w:val="231F20"/>
          <w:spacing w:val="-2"/>
          <w:w w:val="115"/>
          <w:sz w:val="16"/>
        </w:rPr>
        <w:t>SPORT</w:t>
      </w:r>
      <w:r>
        <w:rPr>
          <w:b/>
          <w:color w:val="231F20"/>
          <w:spacing w:val="40"/>
          <w:w w:val="115"/>
          <w:sz w:val="16"/>
        </w:rPr>
        <w:t xml:space="preserve"> </w:t>
      </w:r>
      <w:r>
        <w:rPr>
          <w:b/>
          <w:color w:val="231F20"/>
          <w:spacing w:val="-2"/>
          <w:w w:val="115"/>
          <w:sz w:val="16"/>
        </w:rPr>
        <w:t>TOURISM</w:t>
      </w:r>
    </w:p>
    <w:p w14:paraId="775EC214" w14:textId="77777777" w:rsidR="00AE0598" w:rsidRDefault="0069255A">
      <w:pPr>
        <w:spacing w:before="81" w:line="198" w:lineRule="exact"/>
        <w:ind w:left="247"/>
        <w:rPr>
          <w:rFonts w:ascii="Segoe UI Symbol"/>
          <w:sz w:val="16"/>
        </w:rPr>
      </w:pPr>
      <w:r>
        <w:br w:type="column"/>
      </w:r>
      <w:r>
        <w:rPr>
          <w:rFonts w:ascii="Segoe UI Symbol"/>
          <w:color w:val="231F20"/>
          <w:sz w:val="16"/>
        </w:rPr>
        <w:t>Economic</w:t>
      </w:r>
      <w:r>
        <w:rPr>
          <w:rFonts w:ascii="Segoe UI Symbol"/>
          <w:color w:val="231F20"/>
          <w:spacing w:val="-10"/>
          <w:sz w:val="16"/>
        </w:rPr>
        <w:t xml:space="preserve"> </w:t>
      </w:r>
      <w:r>
        <w:rPr>
          <w:rFonts w:ascii="Segoe UI Symbol"/>
          <w:color w:val="231F20"/>
          <w:spacing w:val="-2"/>
          <w:sz w:val="16"/>
        </w:rPr>
        <w:t>Benefits</w:t>
      </w:r>
    </w:p>
    <w:p w14:paraId="094874E7" w14:textId="66FDB283" w:rsidR="00AE0598" w:rsidRDefault="0069255A">
      <w:pPr>
        <w:spacing w:before="10" w:line="206" w:lineRule="auto"/>
        <w:ind w:left="407" w:right="197"/>
        <w:rPr>
          <w:rFonts w:ascii="Segoe UI Symbol"/>
          <w:sz w:val="16"/>
        </w:rPr>
      </w:pPr>
      <w:r>
        <w:rPr>
          <w:noProof/>
        </w:rPr>
        <mc:AlternateContent>
          <mc:Choice Requires="wps">
            <w:drawing>
              <wp:anchor distT="0" distB="0" distL="114300" distR="114300" simplePos="0" relativeHeight="483685888" behindDoc="1" locked="0" layoutInCell="1" allowOverlap="1" wp14:anchorId="5AAE7523" wp14:editId="5BFBD3EB">
                <wp:simplePos x="0" y="0"/>
                <wp:positionH relativeFrom="page">
                  <wp:posOffset>1056640</wp:posOffset>
                </wp:positionH>
                <wp:positionV relativeFrom="paragraph">
                  <wp:posOffset>-520065</wp:posOffset>
                </wp:positionV>
                <wp:extent cx="3412490" cy="3180080"/>
                <wp:effectExtent l="0" t="0" r="0" b="0"/>
                <wp:wrapNone/>
                <wp:docPr id="259" name="docshape1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412490" cy="3180080"/>
                        </a:xfrm>
                        <a:custGeom>
                          <a:avLst/>
                          <a:gdLst>
                            <a:gd name="T0" fmla="+- 0 1722 1664"/>
                            <a:gd name="T1" fmla="*/ T0 w 5374"/>
                            <a:gd name="T2" fmla="+- 0 414 -819"/>
                            <a:gd name="T3" fmla="*/ 414 h 5008"/>
                            <a:gd name="T4" fmla="+- 0 1925 1664"/>
                            <a:gd name="T5" fmla="*/ T4 w 5374"/>
                            <a:gd name="T6" fmla="+- 0 -35 -819"/>
                            <a:gd name="T7" fmla="*/ -35 h 5008"/>
                            <a:gd name="T8" fmla="+- 0 2248 1664"/>
                            <a:gd name="T9" fmla="*/ T8 w 5374"/>
                            <a:gd name="T10" fmla="+- 0 -403 -819"/>
                            <a:gd name="T11" fmla="*/ -403 h 5008"/>
                            <a:gd name="T12" fmla="+- 0 2669 1664"/>
                            <a:gd name="T13" fmla="*/ T12 w 5374"/>
                            <a:gd name="T14" fmla="+- 0 -667 -819"/>
                            <a:gd name="T15" fmla="*/ -667 h 5008"/>
                            <a:gd name="T16" fmla="+- 0 3163 1664"/>
                            <a:gd name="T17" fmla="*/ T16 w 5374"/>
                            <a:gd name="T18" fmla="+- 0 -805 -819"/>
                            <a:gd name="T19" fmla="*/ -805 h 5008"/>
                            <a:gd name="T20" fmla="+- 0 3693 1664"/>
                            <a:gd name="T21" fmla="*/ T20 w 5374"/>
                            <a:gd name="T22" fmla="+- 0 -794 -819"/>
                            <a:gd name="T23" fmla="*/ -794 h 5008"/>
                            <a:gd name="T24" fmla="+- 0 4178 1664"/>
                            <a:gd name="T25" fmla="*/ T24 w 5374"/>
                            <a:gd name="T26" fmla="+- 0 -637 -819"/>
                            <a:gd name="T27" fmla="*/ -637 h 5008"/>
                            <a:gd name="T28" fmla="+- 0 4587 1664"/>
                            <a:gd name="T29" fmla="*/ T28 w 5374"/>
                            <a:gd name="T30" fmla="+- 0 -356 -819"/>
                            <a:gd name="T31" fmla="*/ -356 h 5008"/>
                            <a:gd name="T32" fmla="+- 0 4894 1664"/>
                            <a:gd name="T33" fmla="*/ T32 w 5374"/>
                            <a:gd name="T34" fmla="+- 0 25 -819"/>
                            <a:gd name="T35" fmla="*/ 25 h 5008"/>
                            <a:gd name="T36" fmla="+- 0 5077 1664"/>
                            <a:gd name="T37" fmla="*/ T36 w 5374"/>
                            <a:gd name="T38" fmla="+- 0 483 -819"/>
                            <a:gd name="T39" fmla="*/ 483 h 5008"/>
                            <a:gd name="T40" fmla="+- 0 5112 1664"/>
                            <a:gd name="T41" fmla="*/ T40 w 5374"/>
                            <a:gd name="T42" fmla="+- 0 992 -819"/>
                            <a:gd name="T43" fmla="*/ 992 h 5008"/>
                            <a:gd name="T44" fmla="+- 0 4990 1664"/>
                            <a:gd name="T45" fmla="*/ T44 w 5374"/>
                            <a:gd name="T46" fmla="+- 0 1476 -819"/>
                            <a:gd name="T47" fmla="*/ 1476 h 5008"/>
                            <a:gd name="T48" fmla="+- 0 4732 1664"/>
                            <a:gd name="T49" fmla="*/ T48 w 5374"/>
                            <a:gd name="T50" fmla="+- 0 1893 -819"/>
                            <a:gd name="T51" fmla="*/ 1893 h 5008"/>
                            <a:gd name="T52" fmla="+- 0 4364 1664"/>
                            <a:gd name="T53" fmla="*/ T52 w 5374"/>
                            <a:gd name="T54" fmla="+- 0 2220 -819"/>
                            <a:gd name="T55" fmla="*/ 2220 h 5008"/>
                            <a:gd name="T56" fmla="+- 0 3909 1664"/>
                            <a:gd name="T57" fmla="*/ T56 w 5374"/>
                            <a:gd name="T58" fmla="+- 0 2433 -819"/>
                            <a:gd name="T59" fmla="*/ 2433 h 5008"/>
                            <a:gd name="T60" fmla="+- 0 3391 1664"/>
                            <a:gd name="T61" fmla="*/ T60 w 5374"/>
                            <a:gd name="T62" fmla="+- 0 2509 -819"/>
                            <a:gd name="T63" fmla="*/ 2509 h 5008"/>
                            <a:gd name="T64" fmla="+- 0 2873 1664"/>
                            <a:gd name="T65" fmla="*/ T64 w 5374"/>
                            <a:gd name="T66" fmla="+- 0 2433 -819"/>
                            <a:gd name="T67" fmla="*/ 2433 h 5008"/>
                            <a:gd name="T68" fmla="+- 0 2418 1664"/>
                            <a:gd name="T69" fmla="*/ T68 w 5374"/>
                            <a:gd name="T70" fmla="+- 0 2220 -819"/>
                            <a:gd name="T71" fmla="*/ 2220 h 5008"/>
                            <a:gd name="T72" fmla="+- 0 2050 1664"/>
                            <a:gd name="T73" fmla="*/ T72 w 5374"/>
                            <a:gd name="T74" fmla="+- 0 1893 -819"/>
                            <a:gd name="T75" fmla="*/ 1893 h 5008"/>
                            <a:gd name="T76" fmla="+- 0 1793 1664"/>
                            <a:gd name="T77" fmla="*/ T76 w 5374"/>
                            <a:gd name="T78" fmla="+- 0 1476 -819"/>
                            <a:gd name="T79" fmla="*/ 1476 h 5008"/>
                            <a:gd name="T80" fmla="+- 0 1671 1664"/>
                            <a:gd name="T81" fmla="*/ T80 w 5374"/>
                            <a:gd name="T82" fmla="+- 0 992 -819"/>
                            <a:gd name="T83" fmla="*/ 992 h 5008"/>
                            <a:gd name="T84" fmla="+- 0 3609 1664"/>
                            <a:gd name="T85" fmla="*/ T84 w 5374"/>
                            <a:gd name="T86" fmla="+- 0 586 -819"/>
                            <a:gd name="T87" fmla="*/ 586 h 5008"/>
                            <a:gd name="T88" fmla="+- 0 3772 1664"/>
                            <a:gd name="T89" fmla="*/ T88 w 5374"/>
                            <a:gd name="T90" fmla="+- 0 119 -819"/>
                            <a:gd name="T91" fmla="*/ 119 h 5008"/>
                            <a:gd name="T92" fmla="+- 0 4064 1664"/>
                            <a:gd name="T93" fmla="*/ T92 w 5374"/>
                            <a:gd name="T94" fmla="+- 0 -274 -819"/>
                            <a:gd name="T95" fmla="*/ -274 h 5008"/>
                            <a:gd name="T96" fmla="+- 0 4459 1664"/>
                            <a:gd name="T97" fmla="*/ T96 w 5374"/>
                            <a:gd name="T98" fmla="+- 0 -571 -819"/>
                            <a:gd name="T99" fmla="*/ -571 h 5008"/>
                            <a:gd name="T100" fmla="+- 0 4935 1664"/>
                            <a:gd name="T101" fmla="*/ T100 w 5374"/>
                            <a:gd name="T102" fmla="+- 0 -747 -819"/>
                            <a:gd name="T103" fmla="*/ -747 h 5008"/>
                            <a:gd name="T104" fmla="+- 0 5463 1664"/>
                            <a:gd name="T105" fmla="*/ T104 w 5374"/>
                            <a:gd name="T106" fmla="+- 0 -780 -819"/>
                            <a:gd name="T107" fmla="*/ -780 h 5008"/>
                            <a:gd name="T108" fmla="+- 0 5966 1664"/>
                            <a:gd name="T109" fmla="*/ T108 w 5374"/>
                            <a:gd name="T110" fmla="+- 0 -662 -819"/>
                            <a:gd name="T111" fmla="*/ -662 h 5008"/>
                            <a:gd name="T112" fmla="+- 0 6398 1664"/>
                            <a:gd name="T113" fmla="*/ T112 w 5374"/>
                            <a:gd name="T114" fmla="+- 0 -415 -819"/>
                            <a:gd name="T115" fmla="*/ -415 h 5008"/>
                            <a:gd name="T116" fmla="+- 0 6737 1664"/>
                            <a:gd name="T117" fmla="*/ T116 w 5374"/>
                            <a:gd name="T118" fmla="+- 0 -60 -819"/>
                            <a:gd name="T119" fmla="*/ -60 h 5008"/>
                            <a:gd name="T120" fmla="+- 0 6958 1664"/>
                            <a:gd name="T121" fmla="*/ T120 w 5374"/>
                            <a:gd name="T122" fmla="+- 0 379 -819"/>
                            <a:gd name="T123" fmla="*/ 379 h 5008"/>
                            <a:gd name="T124" fmla="+- 0 7037 1664"/>
                            <a:gd name="T125" fmla="*/ T124 w 5374"/>
                            <a:gd name="T126" fmla="+- 0 878 -819"/>
                            <a:gd name="T127" fmla="*/ 878 h 5008"/>
                            <a:gd name="T128" fmla="+- 0 6958 1664"/>
                            <a:gd name="T129" fmla="*/ T128 w 5374"/>
                            <a:gd name="T130" fmla="+- 0 1377 -819"/>
                            <a:gd name="T131" fmla="*/ 1377 h 5008"/>
                            <a:gd name="T132" fmla="+- 0 6737 1664"/>
                            <a:gd name="T133" fmla="*/ T132 w 5374"/>
                            <a:gd name="T134" fmla="+- 0 1815 -819"/>
                            <a:gd name="T135" fmla="*/ 1815 h 5008"/>
                            <a:gd name="T136" fmla="+- 0 6398 1664"/>
                            <a:gd name="T137" fmla="*/ T136 w 5374"/>
                            <a:gd name="T138" fmla="+- 0 2170 -819"/>
                            <a:gd name="T139" fmla="*/ 2170 h 5008"/>
                            <a:gd name="T140" fmla="+- 0 5966 1664"/>
                            <a:gd name="T141" fmla="*/ T140 w 5374"/>
                            <a:gd name="T142" fmla="+- 0 2418 -819"/>
                            <a:gd name="T143" fmla="*/ 2418 h 5008"/>
                            <a:gd name="T144" fmla="+- 0 5463 1664"/>
                            <a:gd name="T145" fmla="*/ T144 w 5374"/>
                            <a:gd name="T146" fmla="+- 0 2535 -819"/>
                            <a:gd name="T147" fmla="*/ 2535 h 5008"/>
                            <a:gd name="T148" fmla="+- 0 4935 1664"/>
                            <a:gd name="T149" fmla="*/ T148 w 5374"/>
                            <a:gd name="T150" fmla="+- 0 2502 -819"/>
                            <a:gd name="T151" fmla="*/ 2502 h 5008"/>
                            <a:gd name="T152" fmla="+- 0 4459 1664"/>
                            <a:gd name="T153" fmla="*/ T152 w 5374"/>
                            <a:gd name="T154" fmla="+- 0 2326 -819"/>
                            <a:gd name="T155" fmla="*/ 2326 h 5008"/>
                            <a:gd name="T156" fmla="+- 0 4064 1664"/>
                            <a:gd name="T157" fmla="*/ T156 w 5374"/>
                            <a:gd name="T158" fmla="+- 0 2030 -819"/>
                            <a:gd name="T159" fmla="*/ 2030 h 5008"/>
                            <a:gd name="T160" fmla="+- 0 3772 1664"/>
                            <a:gd name="T161" fmla="*/ T160 w 5374"/>
                            <a:gd name="T162" fmla="+- 0 1636 -819"/>
                            <a:gd name="T163" fmla="*/ 1636 h 5008"/>
                            <a:gd name="T164" fmla="+- 0 3609 1664"/>
                            <a:gd name="T165" fmla="*/ T164 w 5374"/>
                            <a:gd name="T166" fmla="+- 0 1169 -819"/>
                            <a:gd name="T167" fmla="*/ 1169 h 5008"/>
                            <a:gd name="T168" fmla="+- 0 2694 1664"/>
                            <a:gd name="T169" fmla="*/ T168 w 5374"/>
                            <a:gd name="T170" fmla="+- 0 2377 -819"/>
                            <a:gd name="T171" fmla="*/ 2377 h 5008"/>
                            <a:gd name="T172" fmla="+- 0 2816 1664"/>
                            <a:gd name="T173" fmla="*/ T172 w 5374"/>
                            <a:gd name="T174" fmla="+- 0 1893 -819"/>
                            <a:gd name="T175" fmla="*/ 1893 h 5008"/>
                            <a:gd name="T176" fmla="+- 0 3073 1664"/>
                            <a:gd name="T177" fmla="*/ T176 w 5374"/>
                            <a:gd name="T178" fmla="+- 0 1476 -819"/>
                            <a:gd name="T179" fmla="*/ 1476 h 5008"/>
                            <a:gd name="T180" fmla="+- 0 3442 1664"/>
                            <a:gd name="T181" fmla="*/ T180 w 5374"/>
                            <a:gd name="T182" fmla="+- 0 1150 -819"/>
                            <a:gd name="T183" fmla="*/ 1150 h 5008"/>
                            <a:gd name="T184" fmla="+- 0 3897 1664"/>
                            <a:gd name="T185" fmla="*/ T184 w 5374"/>
                            <a:gd name="T186" fmla="+- 0 937 -819"/>
                            <a:gd name="T187" fmla="*/ 937 h 5008"/>
                            <a:gd name="T188" fmla="+- 0 4415 1664"/>
                            <a:gd name="T189" fmla="*/ T188 w 5374"/>
                            <a:gd name="T190" fmla="+- 0 860 -819"/>
                            <a:gd name="T191" fmla="*/ 860 h 5008"/>
                            <a:gd name="T192" fmla="+- 0 4933 1664"/>
                            <a:gd name="T193" fmla="*/ T192 w 5374"/>
                            <a:gd name="T194" fmla="+- 0 937 -819"/>
                            <a:gd name="T195" fmla="*/ 937 h 5008"/>
                            <a:gd name="T196" fmla="+- 0 5388 1664"/>
                            <a:gd name="T197" fmla="*/ T196 w 5374"/>
                            <a:gd name="T198" fmla="+- 0 1150 -819"/>
                            <a:gd name="T199" fmla="*/ 1150 h 5008"/>
                            <a:gd name="T200" fmla="+- 0 5756 1664"/>
                            <a:gd name="T201" fmla="*/ T200 w 5374"/>
                            <a:gd name="T202" fmla="+- 0 1476 -819"/>
                            <a:gd name="T203" fmla="*/ 1476 h 5008"/>
                            <a:gd name="T204" fmla="+- 0 6013 1664"/>
                            <a:gd name="T205" fmla="*/ T204 w 5374"/>
                            <a:gd name="T206" fmla="+- 0 1893 -819"/>
                            <a:gd name="T207" fmla="*/ 1893 h 5008"/>
                            <a:gd name="T208" fmla="+- 0 6135 1664"/>
                            <a:gd name="T209" fmla="*/ T208 w 5374"/>
                            <a:gd name="T210" fmla="+- 0 2377 -819"/>
                            <a:gd name="T211" fmla="*/ 2377 h 5008"/>
                            <a:gd name="T212" fmla="+- 0 6101 1664"/>
                            <a:gd name="T213" fmla="*/ T212 w 5374"/>
                            <a:gd name="T214" fmla="+- 0 2886 -819"/>
                            <a:gd name="T215" fmla="*/ 2886 h 5008"/>
                            <a:gd name="T216" fmla="+- 0 5918 1664"/>
                            <a:gd name="T217" fmla="*/ T216 w 5374"/>
                            <a:gd name="T218" fmla="+- 0 3344 -819"/>
                            <a:gd name="T219" fmla="*/ 3344 h 5008"/>
                            <a:gd name="T220" fmla="+- 0 5610 1664"/>
                            <a:gd name="T221" fmla="*/ T220 w 5374"/>
                            <a:gd name="T222" fmla="+- 0 3725 -819"/>
                            <a:gd name="T223" fmla="*/ 3725 h 5008"/>
                            <a:gd name="T224" fmla="+- 0 5202 1664"/>
                            <a:gd name="T225" fmla="*/ T224 w 5374"/>
                            <a:gd name="T226" fmla="+- 0 4006 -819"/>
                            <a:gd name="T227" fmla="*/ 4006 h 5008"/>
                            <a:gd name="T228" fmla="+- 0 4717 1664"/>
                            <a:gd name="T229" fmla="*/ T228 w 5374"/>
                            <a:gd name="T230" fmla="+- 0 4163 -819"/>
                            <a:gd name="T231" fmla="*/ 4163 h 5008"/>
                            <a:gd name="T232" fmla="+- 0 4186 1664"/>
                            <a:gd name="T233" fmla="*/ T232 w 5374"/>
                            <a:gd name="T234" fmla="+- 0 4174 -819"/>
                            <a:gd name="T235" fmla="*/ 4174 h 5008"/>
                            <a:gd name="T236" fmla="+- 0 3692 1664"/>
                            <a:gd name="T237" fmla="*/ T236 w 5374"/>
                            <a:gd name="T238" fmla="+- 0 4037 -819"/>
                            <a:gd name="T239" fmla="*/ 4037 h 5008"/>
                            <a:gd name="T240" fmla="+- 0 3272 1664"/>
                            <a:gd name="T241" fmla="*/ T240 w 5374"/>
                            <a:gd name="T242" fmla="+- 0 3772 -819"/>
                            <a:gd name="T243" fmla="*/ 3772 h 5008"/>
                            <a:gd name="T244" fmla="+- 0 2948 1664"/>
                            <a:gd name="T245" fmla="*/ T244 w 5374"/>
                            <a:gd name="T246" fmla="+- 0 3404 -819"/>
                            <a:gd name="T247" fmla="*/ 3404 h 5008"/>
                            <a:gd name="T248" fmla="+- 0 2746 1664"/>
                            <a:gd name="T249" fmla="*/ T248 w 5374"/>
                            <a:gd name="T250" fmla="+- 0 2955 -819"/>
                            <a:gd name="T251" fmla="*/ 2955 h 500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 ang="0">
                              <a:pos x="T245" y="T247"/>
                            </a:cxn>
                            <a:cxn ang="0">
                              <a:pos x="T249" y="T251"/>
                            </a:cxn>
                          </a:cxnLst>
                          <a:rect l="0" t="0" r="r" b="b"/>
                          <a:pathLst>
                            <a:path w="5374" h="5008">
                              <a:moveTo>
                                <a:pt x="0" y="1664"/>
                              </a:moveTo>
                              <a:lnTo>
                                <a:pt x="2" y="1590"/>
                              </a:lnTo>
                              <a:lnTo>
                                <a:pt x="7" y="1516"/>
                              </a:lnTo>
                              <a:lnTo>
                                <a:pt x="15" y="1444"/>
                              </a:lnTo>
                              <a:lnTo>
                                <a:pt x="26" y="1373"/>
                              </a:lnTo>
                              <a:lnTo>
                                <a:pt x="41" y="1302"/>
                              </a:lnTo>
                              <a:lnTo>
                                <a:pt x="58" y="1233"/>
                              </a:lnTo>
                              <a:lnTo>
                                <a:pt x="79" y="1165"/>
                              </a:lnTo>
                              <a:lnTo>
                                <a:pt x="102" y="1098"/>
                              </a:lnTo>
                              <a:lnTo>
                                <a:pt x="129" y="1032"/>
                              </a:lnTo>
                              <a:lnTo>
                                <a:pt x="158" y="968"/>
                              </a:lnTo>
                              <a:lnTo>
                                <a:pt x="189" y="905"/>
                              </a:lnTo>
                              <a:lnTo>
                                <a:pt x="224" y="844"/>
                              </a:lnTo>
                              <a:lnTo>
                                <a:pt x="261" y="784"/>
                              </a:lnTo>
                              <a:lnTo>
                                <a:pt x="300" y="726"/>
                              </a:lnTo>
                              <a:lnTo>
                                <a:pt x="342" y="670"/>
                              </a:lnTo>
                              <a:lnTo>
                                <a:pt x="386" y="615"/>
                              </a:lnTo>
                              <a:lnTo>
                                <a:pt x="432" y="563"/>
                              </a:lnTo>
                              <a:lnTo>
                                <a:pt x="481" y="512"/>
                              </a:lnTo>
                              <a:lnTo>
                                <a:pt x="531" y="463"/>
                              </a:lnTo>
                              <a:lnTo>
                                <a:pt x="584" y="416"/>
                              </a:lnTo>
                              <a:lnTo>
                                <a:pt x="639" y="372"/>
                              </a:lnTo>
                              <a:lnTo>
                                <a:pt x="696" y="329"/>
                              </a:lnTo>
                              <a:lnTo>
                                <a:pt x="754" y="289"/>
                              </a:lnTo>
                              <a:lnTo>
                                <a:pt x="814" y="251"/>
                              </a:lnTo>
                              <a:lnTo>
                                <a:pt x="876" y="215"/>
                              </a:lnTo>
                              <a:lnTo>
                                <a:pt x="940" y="182"/>
                              </a:lnTo>
                              <a:lnTo>
                                <a:pt x="1005" y="152"/>
                              </a:lnTo>
                              <a:lnTo>
                                <a:pt x="1072" y="124"/>
                              </a:lnTo>
                              <a:lnTo>
                                <a:pt x="1140" y="99"/>
                              </a:lnTo>
                              <a:lnTo>
                                <a:pt x="1209" y="76"/>
                              </a:lnTo>
                              <a:lnTo>
                                <a:pt x="1280" y="56"/>
                              </a:lnTo>
                              <a:lnTo>
                                <a:pt x="1352" y="39"/>
                              </a:lnTo>
                              <a:lnTo>
                                <a:pt x="1425" y="25"/>
                              </a:lnTo>
                              <a:lnTo>
                                <a:pt x="1499" y="14"/>
                              </a:lnTo>
                              <a:lnTo>
                                <a:pt x="1574" y="6"/>
                              </a:lnTo>
                              <a:lnTo>
                                <a:pt x="1650" y="1"/>
                              </a:lnTo>
                              <a:lnTo>
                                <a:pt x="1727" y="0"/>
                              </a:lnTo>
                              <a:lnTo>
                                <a:pt x="1804" y="1"/>
                              </a:lnTo>
                              <a:lnTo>
                                <a:pt x="1880" y="6"/>
                              </a:lnTo>
                              <a:lnTo>
                                <a:pt x="1955" y="14"/>
                              </a:lnTo>
                              <a:lnTo>
                                <a:pt x="2029" y="25"/>
                              </a:lnTo>
                              <a:lnTo>
                                <a:pt x="2102" y="39"/>
                              </a:lnTo>
                              <a:lnTo>
                                <a:pt x="2174" y="56"/>
                              </a:lnTo>
                              <a:lnTo>
                                <a:pt x="2245" y="76"/>
                              </a:lnTo>
                              <a:lnTo>
                                <a:pt x="2315" y="99"/>
                              </a:lnTo>
                              <a:lnTo>
                                <a:pt x="2383" y="124"/>
                              </a:lnTo>
                              <a:lnTo>
                                <a:pt x="2449" y="152"/>
                              </a:lnTo>
                              <a:lnTo>
                                <a:pt x="2514" y="182"/>
                              </a:lnTo>
                              <a:lnTo>
                                <a:pt x="2578" y="215"/>
                              </a:lnTo>
                              <a:lnTo>
                                <a:pt x="2640" y="251"/>
                              </a:lnTo>
                              <a:lnTo>
                                <a:pt x="2700" y="289"/>
                              </a:lnTo>
                              <a:lnTo>
                                <a:pt x="2759" y="329"/>
                              </a:lnTo>
                              <a:lnTo>
                                <a:pt x="2815" y="372"/>
                              </a:lnTo>
                              <a:lnTo>
                                <a:pt x="2870" y="416"/>
                              </a:lnTo>
                              <a:lnTo>
                                <a:pt x="2923" y="463"/>
                              </a:lnTo>
                              <a:lnTo>
                                <a:pt x="2973" y="512"/>
                              </a:lnTo>
                              <a:lnTo>
                                <a:pt x="3022" y="563"/>
                              </a:lnTo>
                              <a:lnTo>
                                <a:pt x="3068" y="615"/>
                              </a:lnTo>
                              <a:lnTo>
                                <a:pt x="3112" y="670"/>
                              </a:lnTo>
                              <a:lnTo>
                                <a:pt x="3154" y="726"/>
                              </a:lnTo>
                              <a:lnTo>
                                <a:pt x="3194" y="784"/>
                              </a:lnTo>
                              <a:lnTo>
                                <a:pt x="3230" y="844"/>
                              </a:lnTo>
                              <a:lnTo>
                                <a:pt x="3265" y="905"/>
                              </a:lnTo>
                              <a:lnTo>
                                <a:pt x="3297" y="968"/>
                              </a:lnTo>
                              <a:lnTo>
                                <a:pt x="3326" y="1032"/>
                              </a:lnTo>
                              <a:lnTo>
                                <a:pt x="3352" y="1098"/>
                              </a:lnTo>
                              <a:lnTo>
                                <a:pt x="3375" y="1165"/>
                              </a:lnTo>
                              <a:lnTo>
                                <a:pt x="3396" y="1233"/>
                              </a:lnTo>
                              <a:lnTo>
                                <a:pt x="3413" y="1302"/>
                              </a:lnTo>
                              <a:lnTo>
                                <a:pt x="3428" y="1373"/>
                              </a:lnTo>
                              <a:lnTo>
                                <a:pt x="3439" y="1444"/>
                              </a:lnTo>
                              <a:lnTo>
                                <a:pt x="3448" y="1516"/>
                              </a:lnTo>
                              <a:lnTo>
                                <a:pt x="3453" y="1590"/>
                              </a:lnTo>
                              <a:lnTo>
                                <a:pt x="3454" y="1664"/>
                              </a:lnTo>
                              <a:lnTo>
                                <a:pt x="3453" y="1738"/>
                              </a:lnTo>
                              <a:lnTo>
                                <a:pt x="3448" y="1811"/>
                              </a:lnTo>
                              <a:lnTo>
                                <a:pt x="3439" y="1884"/>
                              </a:lnTo>
                              <a:lnTo>
                                <a:pt x="3428" y="1955"/>
                              </a:lnTo>
                              <a:lnTo>
                                <a:pt x="3413" y="2025"/>
                              </a:lnTo>
                              <a:lnTo>
                                <a:pt x="3396" y="2095"/>
                              </a:lnTo>
                              <a:lnTo>
                                <a:pt x="3375" y="2163"/>
                              </a:lnTo>
                              <a:lnTo>
                                <a:pt x="3352" y="2230"/>
                              </a:lnTo>
                              <a:lnTo>
                                <a:pt x="3326" y="2295"/>
                              </a:lnTo>
                              <a:lnTo>
                                <a:pt x="3297" y="2360"/>
                              </a:lnTo>
                              <a:lnTo>
                                <a:pt x="3265" y="2422"/>
                              </a:lnTo>
                              <a:lnTo>
                                <a:pt x="3230" y="2484"/>
                              </a:lnTo>
                              <a:lnTo>
                                <a:pt x="3194" y="2543"/>
                              </a:lnTo>
                              <a:lnTo>
                                <a:pt x="3154" y="2601"/>
                              </a:lnTo>
                              <a:lnTo>
                                <a:pt x="3112" y="2658"/>
                              </a:lnTo>
                              <a:lnTo>
                                <a:pt x="3068" y="2712"/>
                              </a:lnTo>
                              <a:lnTo>
                                <a:pt x="3022" y="2765"/>
                              </a:lnTo>
                              <a:lnTo>
                                <a:pt x="2973" y="2816"/>
                              </a:lnTo>
                              <a:lnTo>
                                <a:pt x="2923" y="2865"/>
                              </a:lnTo>
                              <a:lnTo>
                                <a:pt x="2870" y="2911"/>
                              </a:lnTo>
                              <a:lnTo>
                                <a:pt x="2815" y="2956"/>
                              </a:lnTo>
                              <a:lnTo>
                                <a:pt x="2759" y="2999"/>
                              </a:lnTo>
                              <a:lnTo>
                                <a:pt x="2700" y="3039"/>
                              </a:lnTo>
                              <a:lnTo>
                                <a:pt x="2640" y="3077"/>
                              </a:lnTo>
                              <a:lnTo>
                                <a:pt x="2578" y="3112"/>
                              </a:lnTo>
                              <a:lnTo>
                                <a:pt x="2514" y="3145"/>
                              </a:lnTo>
                              <a:lnTo>
                                <a:pt x="2449" y="3176"/>
                              </a:lnTo>
                              <a:lnTo>
                                <a:pt x="2383" y="3204"/>
                              </a:lnTo>
                              <a:lnTo>
                                <a:pt x="2315" y="3229"/>
                              </a:lnTo>
                              <a:lnTo>
                                <a:pt x="2245" y="3252"/>
                              </a:lnTo>
                              <a:lnTo>
                                <a:pt x="2174" y="3271"/>
                              </a:lnTo>
                              <a:lnTo>
                                <a:pt x="2102" y="3288"/>
                              </a:lnTo>
                              <a:lnTo>
                                <a:pt x="2029" y="3302"/>
                              </a:lnTo>
                              <a:lnTo>
                                <a:pt x="1955" y="3313"/>
                              </a:lnTo>
                              <a:lnTo>
                                <a:pt x="1880" y="3321"/>
                              </a:lnTo>
                              <a:lnTo>
                                <a:pt x="1804" y="3326"/>
                              </a:lnTo>
                              <a:lnTo>
                                <a:pt x="1727" y="3328"/>
                              </a:lnTo>
                              <a:lnTo>
                                <a:pt x="1650" y="3326"/>
                              </a:lnTo>
                              <a:lnTo>
                                <a:pt x="1574" y="3321"/>
                              </a:lnTo>
                              <a:lnTo>
                                <a:pt x="1499" y="3313"/>
                              </a:lnTo>
                              <a:lnTo>
                                <a:pt x="1425" y="3302"/>
                              </a:lnTo>
                              <a:lnTo>
                                <a:pt x="1352" y="3288"/>
                              </a:lnTo>
                              <a:lnTo>
                                <a:pt x="1280" y="3271"/>
                              </a:lnTo>
                              <a:lnTo>
                                <a:pt x="1209" y="3252"/>
                              </a:lnTo>
                              <a:lnTo>
                                <a:pt x="1140" y="3229"/>
                              </a:lnTo>
                              <a:lnTo>
                                <a:pt x="1072" y="3204"/>
                              </a:lnTo>
                              <a:lnTo>
                                <a:pt x="1005" y="3176"/>
                              </a:lnTo>
                              <a:lnTo>
                                <a:pt x="940" y="3145"/>
                              </a:lnTo>
                              <a:lnTo>
                                <a:pt x="876" y="3112"/>
                              </a:lnTo>
                              <a:lnTo>
                                <a:pt x="814" y="3077"/>
                              </a:lnTo>
                              <a:lnTo>
                                <a:pt x="754" y="3039"/>
                              </a:lnTo>
                              <a:lnTo>
                                <a:pt x="696" y="2999"/>
                              </a:lnTo>
                              <a:lnTo>
                                <a:pt x="639" y="2956"/>
                              </a:lnTo>
                              <a:lnTo>
                                <a:pt x="584" y="2911"/>
                              </a:lnTo>
                              <a:lnTo>
                                <a:pt x="531" y="2865"/>
                              </a:lnTo>
                              <a:lnTo>
                                <a:pt x="481" y="2816"/>
                              </a:lnTo>
                              <a:lnTo>
                                <a:pt x="432" y="2765"/>
                              </a:lnTo>
                              <a:lnTo>
                                <a:pt x="386" y="2712"/>
                              </a:lnTo>
                              <a:lnTo>
                                <a:pt x="342" y="2658"/>
                              </a:lnTo>
                              <a:lnTo>
                                <a:pt x="300" y="2601"/>
                              </a:lnTo>
                              <a:lnTo>
                                <a:pt x="261" y="2543"/>
                              </a:lnTo>
                              <a:lnTo>
                                <a:pt x="224" y="2484"/>
                              </a:lnTo>
                              <a:lnTo>
                                <a:pt x="189" y="2422"/>
                              </a:lnTo>
                              <a:lnTo>
                                <a:pt x="158" y="2360"/>
                              </a:lnTo>
                              <a:lnTo>
                                <a:pt x="129" y="2295"/>
                              </a:lnTo>
                              <a:lnTo>
                                <a:pt x="102" y="2230"/>
                              </a:lnTo>
                              <a:lnTo>
                                <a:pt x="79" y="2163"/>
                              </a:lnTo>
                              <a:lnTo>
                                <a:pt x="58" y="2095"/>
                              </a:lnTo>
                              <a:lnTo>
                                <a:pt x="41" y="2025"/>
                              </a:lnTo>
                              <a:lnTo>
                                <a:pt x="26" y="1955"/>
                              </a:lnTo>
                              <a:lnTo>
                                <a:pt x="15" y="1884"/>
                              </a:lnTo>
                              <a:lnTo>
                                <a:pt x="7" y="1811"/>
                              </a:lnTo>
                              <a:lnTo>
                                <a:pt x="2" y="1738"/>
                              </a:lnTo>
                              <a:lnTo>
                                <a:pt x="0" y="1664"/>
                              </a:lnTo>
                              <a:close/>
                              <a:moveTo>
                                <a:pt x="1919" y="1697"/>
                              </a:moveTo>
                              <a:lnTo>
                                <a:pt x="1921" y="1622"/>
                              </a:lnTo>
                              <a:lnTo>
                                <a:pt x="1926" y="1549"/>
                              </a:lnTo>
                              <a:lnTo>
                                <a:pt x="1934" y="1477"/>
                              </a:lnTo>
                              <a:lnTo>
                                <a:pt x="1945" y="1405"/>
                              </a:lnTo>
                              <a:lnTo>
                                <a:pt x="1960" y="1335"/>
                              </a:lnTo>
                              <a:lnTo>
                                <a:pt x="1977" y="1266"/>
                              </a:lnTo>
                              <a:lnTo>
                                <a:pt x="1998" y="1198"/>
                              </a:lnTo>
                              <a:lnTo>
                                <a:pt x="2021" y="1131"/>
                              </a:lnTo>
                              <a:lnTo>
                                <a:pt x="2048" y="1065"/>
                              </a:lnTo>
                              <a:lnTo>
                                <a:pt x="2077" y="1001"/>
                              </a:lnTo>
                              <a:lnTo>
                                <a:pt x="2108" y="938"/>
                              </a:lnTo>
                              <a:lnTo>
                                <a:pt x="2143" y="877"/>
                              </a:lnTo>
                              <a:lnTo>
                                <a:pt x="2180" y="817"/>
                              </a:lnTo>
                              <a:lnTo>
                                <a:pt x="2219" y="759"/>
                              </a:lnTo>
                              <a:lnTo>
                                <a:pt x="2261" y="703"/>
                              </a:lnTo>
                              <a:lnTo>
                                <a:pt x="2305" y="648"/>
                              </a:lnTo>
                              <a:lnTo>
                                <a:pt x="2351" y="595"/>
                              </a:lnTo>
                              <a:lnTo>
                                <a:pt x="2400" y="545"/>
                              </a:lnTo>
                              <a:lnTo>
                                <a:pt x="2450" y="496"/>
                              </a:lnTo>
                              <a:lnTo>
                                <a:pt x="2503" y="449"/>
                              </a:lnTo>
                              <a:lnTo>
                                <a:pt x="2558" y="404"/>
                              </a:lnTo>
                              <a:lnTo>
                                <a:pt x="2615" y="362"/>
                              </a:lnTo>
                              <a:lnTo>
                                <a:pt x="2673" y="322"/>
                              </a:lnTo>
                              <a:lnTo>
                                <a:pt x="2733" y="284"/>
                              </a:lnTo>
                              <a:lnTo>
                                <a:pt x="2795" y="248"/>
                              </a:lnTo>
                              <a:lnTo>
                                <a:pt x="2859" y="215"/>
                              </a:lnTo>
                              <a:lnTo>
                                <a:pt x="2924" y="185"/>
                              </a:lnTo>
                              <a:lnTo>
                                <a:pt x="2991" y="157"/>
                              </a:lnTo>
                              <a:lnTo>
                                <a:pt x="3059" y="131"/>
                              </a:lnTo>
                              <a:lnTo>
                                <a:pt x="3128" y="109"/>
                              </a:lnTo>
                              <a:lnTo>
                                <a:pt x="3199" y="89"/>
                              </a:lnTo>
                              <a:lnTo>
                                <a:pt x="3271" y="72"/>
                              </a:lnTo>
                              <a:lnTo>
                                <a:pt x="3344" y="58"/>
                              </a:lnTo>
                              <a:lnTo>
                                <a:pt x="3418" y="47"/>
                              </a:lnTo>
                              <a:lnTo>
                                <a:pt x="3493" y="39"/>
                              </a:lnTo>
                              <a:lnTo>
                                <a:pt x="3569" y="34"/>
                              </a:lnTo>
                              <a:lnTo>
                                <a:pt x="3646" y="33"/>
                              </a:lnTo>
                              <a:lnTo>
                                <a:pt x="3723" y="34"/>
                              </a:lnTo>
                              <a:lnTo>
                                <a:pt x="3799" y="39"/>
                              </a:lnTo>
                              <a:lnTo>
                                <a:pt x="3874" y="47"/>
                              </a:lnTo>
                              <a:lnTo>
                                <a:pt x="3948" y="58"/>
                              </a:lnTo>
                              <a:lnTo>
                                <a:pt x="4022" y="72"/>
                              </a:lnTo>
                              <a:lnTo>
                                <a:pt x="4093" y="89"/>
                              </a:lnTo>
                              <a:lnTo>
                                <a:pt x="4164" y="109"/>
                              </a:lnTo>
                              <a:lnTo>
                                <a:pt x="4234" y="131"/>
                              </a:lnTo>
                              <a:lnTo>
                                <a:pt x="4302" y="157"/>
                              </a:lnTo>
                              <a:lnTo>
                                <a:pt x="4368" y="185"/>
                              </a:lnTo>
                              <a:lnTo>
                                <a:pt x="4433" y="215"/>
                              </a:lnTo>
                              <a:lnTo>
                                <a:pt x="4497" y="248"/>
                              </a:lnTo>
                              <a:lnTo>
                                <a:pt x="4559" y="284"/>
                              </a:lnTo>
                              <a:lnTo>
                                <a:pt x="4619" y="322"/>
                              </a:lnTo>
                              <a:lnTo>
                                <a:pt x="4678" y="362"/>
                              </a:lnTo>
                              <a:lnTo>
                                <a:pt x="4734" y="404"/>
                              </a:lnTo>
                              <a:lnTo>
                                <a:pt x="4789" y="449"/>
                              </a:lnTo>
                              <a:lnTo>
                                <a:pt x="4842" y="496"/>
                              </a:lnTo>
                              <a:lnTo>
                                <a:pt x="4893" y="545"/>
                              </a:lnTo>
                              <a:lnTo>
                                <a:pt x="4941" y="595"/>
                              </a:lnTo>
                              <a:lnTo>
                                <a:pt x="4987" y="648"/>
                              </a:lnTo>
                              <a:lnTo>
                                <a:pt x="5032" y="703"/>
                              </a:lnTo>
                              <a:lnTo>
                                <a:pt x="5073" y="759"/>
                              </a:lnTo>
                              <a:lnTo>
                                <a:pt x="5113" y="817"/>
                              </a:lnTo>
                              <a:lnTo>
                                <a:pt x="5150" y="877"/>
                              </a:lnTo>
                              <a:lnTo>
                                <a:pt x="5184" y="938"/>
                              </a:lnTo>
                              <a:lnTo>
                                <a:pt x="5216" y="1001"/>
                              </a:lnTo>
                              <a:lnTo>
                                <a:pt x="5245" y="1065"/>
                              </a:lnTo>
                              <a:lnTo>
                                <a:pt x="5271" y="1131"/>
                              </a:lnTo>
                              <a:lnTo>
                                <a:pt x="5294" y="1198"/>
                              </a:lnTo>
                              <a:lnTo>
                                <a:pt x="5315" y="1266"/>
                              </a:lnTo>
                              <a:lnTo>
                                <a:pt x="5332" y="1335"/>
                              </a:lnTo>
                              <a:lnTo>
                                <a:pt x="5347" y="1405"/>
                              </a:lnTo>
                              <a:lnTo>
                                <a:pt x="5358" y="1477"/>
                              </a:lnTo>
                              <a:lnTo>
                                <a:pt x="5367" y="1549"/>
                              </a:lnTo>
                              <a:lnTo>
                                <a:pt x="5372" y="1622"/>
                              </a:lnTo>
                              <a:lnTo>
                                <a:pt x="5373" y="1697"/>
                              </a:lnTo>
                              <a:lnTo>
                                <a:pt x="5372" y="1771"/>
                              </a:lnTo>
                              <a:lnTo>
                                <a:pt x="5367" y="1844"/>
                              </a:lnTo>
                              <a:lnTo>
                                <a:pt x="5358" y="1916"/>
                              </a:lnTo>
                              <a:lnTo>
                                <a:pt x="5347" y="1988"/>
                              </a:lnTo>
                              <a:lnTo>
                                <a:pt x="5332" y="2058"/>
                              </a:lnTo>
                              <a:lnTo>
                                <a:pt x="5315" y="2127"/>
                              </a:lnTo>
                              <a:lnTo>
                                <a:pt x="5294" y="2196"/>
                              </a:lnTo>
                              <a:lnTo>
                                <a:pt x="5271" y="2262"/>
                              </a:lnTo>
                              <a:lnTo>
                                <a:pt x="5245" y="2328"/>
                              </a:lnTo>
                              <a:lnTo>
                                <a:pt x="5216" y="2392"/>
                              </a:lnTo>
                              <a:lnTo>
                                <a:pt x="5184" y="2455"/>
                              </a:lnTo>
                              <a:lnTo>
                                <a:pt x="5150" y="2516"/>
                              </a:lnTo>
                              <a:lnTo>
                                <a:pt x="5113" y="2576"/>
                              </a:lnTo>
                              <a:lnTo>
                                <a:pt x="5073" y="2634"/>
                              </a:lnTo>
                              <a:lnTo>
                                <a:pt x="5032" y="2690"/>
                              </a:lnTo>
                              <a:lnTo>
                                <a:pt x="4987" y="2745"/>
                              </a:lnTo>
                              <a:lnTo>
                                <a:pt x="4941" y="2798"/>
                              </a:lnTo>
                              <a:lnTo>
                                <a:pt x="4893" y="2849"/>
                              </a:lnTo>
                              <a:lnTo>
                                <a:pt x="4842" y="2897"/>
                              </a:lnTo>
                              <a:lnTo>
                                <a:pt x="4789" y="2944"/>
                              </a:lnTo>
                              <a:lnTo>
                                <a:pt x="4734" y="2989"/>
                              </a:lnTo>
                              <a:lnTo>
                                <a:pt x="4678" y="3031"/>
                              </a:lnTo>
                              <a:lnTo>
                                <a:pt x="4619" y="3072"/>
                              </a:lnTo>
                              <a:lnTo>
                                <a:pt x="4559" y="3109"/>
                              </a:lnTo>
                              <a:lnTo>
                                <a:pt x="4497" y="3145"/>
                              </a:lnTo>
                              <a:lnTo>
                                <a:pt x="4433" y="3178"/>
                              </a:lnTo>
                              <a:lnTo>
                                <a:pt x="4368" y="3209"/>
                              </a:lnTo>
                              <a:lnTo>
                                <a:pt x="4302" y="3237"/>
                              </a:lnTo>
                              <a:lnTo>
                                <a:pt x="4234" y="3262"/>
                              </a:lnTo>
                              <a:lnTo>
                                <a:pt x="4164" y="3284"/>
                              </a:lnTo>
                              <a:lnTo>
                                <a:pt x="4093" y="3304"/>
                              </a:lnTo>
                              <a:lnTo>
                                <a:pt x="4022" y="3321"/>
                              </a:lnTo>
                              <a:lnTo>
                                <a:pt x="3948" y="3335"/>
                              </a:lnTo>
                              <a:lnTo>
                                <a:pt x="3874" y="3346"/>
                              </a:lnTo>
                              <a:lnTo>
                                <a:pt x="3799" y="3354"/>
                              </a:lnTo>
                              <a:lnTo>
                                <a:pt x="3723" y="3359"/>
                              </a:lnTo>
                              <a:lnTo>
                                <a:pt x="3646" y="3361"/>
                              </a:lnTo>
                              <a:lnTo>
                                <a:pt x="3569" y="3359"/>
                              </a:lnTo>
                              <a:lnTo>
                                <a:pt x="3493" y="3354"/>
                              </a:lnTo>
                              <a:lnTo>
                                <a:pt x="3418" y="3346"/>
                              </a:lnTo>
                              <a:lnTo>
                                <a:pt x="3344" y="3335"/>
                              </a:lnTo>
                              <a:lnTo>
                                <a:pt x="3271" y="3321"/>
                              </a:lnTo>
                              <a:lnTo>
                                <a:pt x="3199" y="3304"/>
                              </a:lnTo>
                              <a:lnTo>
                                <a:pt x="3128" y="3284"/>
                              </a:lnTo>
                              <a:lnTo>
                                <a:pt x="3059" y="3262"/>
                              </a:lnTo>
                              <a:lnTo>
                                <a:pt x="2991" y="3237"/>
                              </a:lnTo>
                              <a:lnTo>
                                <a:pt x="2924" y="3209"/>
                              </a:lnTo>
                              <a:lnTo>
                                <a:pt x="2859" y="3178"/>
                              </a:lnTo>
                              <a:lnTo>
                                <a:pt x="2795" y="3145"/>
                              </a:lnTo>
                              <a:lnTo>
                                <a:pt x="2733" y="3109"/>
                              </a:lnTo>
                              <a:lnTo>
                                <a:pt x="2673" y="3072"/>
                              </a:lnTo>
                              <a:lnTo>
                                <a:pt x="2615" y="3031"/>
                              </a:lnTo>
                              <a:lnTo>
                                <a:pt x="2558" y="2989"/>
                              </a:lnTo>
                              <a:lnTo>
                                <a:pt x="2503" y="2944"/>
                              </a:lnTo>
                              <a:lnTo>
                                <a:pt x="2450" y="2897"/>
                              </a:lnTo>
                              <a:lnTo>
                                <a:pt x="2400" y="2849"/>
                              </a:lnTo>
                              <a:lnTo>
                                <a:pt x="2351" y="2798"/>
                              </a:lnTo>
                              <a:lnTo>
                                <a:pt x="2305" y="2745"/>
                              </a:lnTo>
                              <a:lnTo>
                                <a:pt x="2261" y="2690"/>
                              </a:lnTo>
                              <a:lnTo>
                                <a:pt x="2219" y="2634"/>
                              </a:lnTo>
                              <a:lnTo>
                                <a:pt x="2180" y="2576"/>
                              </a:lnTo>
                              <a:lnTo>
                                <a:pt x="2143" y="2516"/>
                              </a:lnTo>
                              <a:lnTo>
                                <a:pt x="2108" y="2455"/>
                              </a:lnTo>
                              <a:lnTo>
                                <a:pt x="2077" y="2392"/>
                              </a:lnTo>
                              <a:lnTo>
                                <a:pt x="2048" y="2328"/>
                              </a:lnTo>
                              <a:lnTo>
                                <a:pt x="2021" y="2262"/>
                              </a:lnTo>
                              <a:lnTo>
                                <a:pt x="1998" y="2196"/>
                              </a:lnTo>
                              <a:lnTo>
                                <a:pt x="1977" y="2127"/>
                              </a:lnTo>
                              <a:lnTo>
                                <a:pt x="1960" y="2058"/>
                              </a:lnTo>
                              <a:lnTo>
                                <a:pt x="1945" y="1988"/>
                              </a:lnTo>
                              <a:lnTo>
                                <a:pt x="1934" y="1916"/>
                              </a:lnTo>
                              <a:lnTo>
                                <a:pt x="1926" y="1844"/>
                              </a:lnTo>
                              <a:lnTo>
                                <a:pt x="1921" y="1771"/>
                              </a:lnTo>
                              <a:lnTo>
                                <a:pt x="1919" y="1697"/>
                              </a:lnTo>
                              <a:close/>
                              <a:moveTo>
                                <a:pt x="1023" y="3343"/>
                              </a:moveTo>
                              <a:lnTo>
                                <a:pt x="1025" y="3269"/>
                              </a:lnTo>
                              <a:lnTo>
                                <a:pt x="1030" y="3196"/>
                              </a:lnTo>
                              <a:lnTo>
                                <a:pt x="1038" y="3124"/>
                              </a:lnTo>
                              <a:lnTo>
                                <a:pt x="1050" y="3052"/>
                              </a:lnTo>
                              <a:lnTo>
                                <a:pt x="1064" y="2982"/>
                              </a:lnTo>
                              <a:lnTo>
                                <a:pt x="1082" y="2913"/>
                              </a:lnTo>
                              <a:lnTo>
                                <a:pt x="1102" y="2844"/>
                              </a:lnTo>
                              <a:lnTo>
                                <a:pt x="1126" y="2778"/>
                              </a:lnTo>
                              <a:lnTo>
                                <a:pt x="1152" y="2712"/>
                              </a:lnTo>
                              <a:lnTo>
                                <a:pt x="1181" y="2648"/>
                              </a:lnTo>
                              <a:lnTo>
                                <a:pt x="1213" y="2585"/>
                              </a:lnTo>
                              <a:lnTo>
                                <a:pt x="1247" y="2524"/>
                              </a:lnTo>
                              <a:lnTo>
                                <a:pt x="1284" y="2464"/>
                              </a:lnTo>
                              <a:lnTo>
                                <a:pt x="1323" y="2406"/>
                              </a:lnTo>
                              <a:lnTo>
                                <a:pt x="1365" y="2350"/>
                              </a:lnTo>
                              <a:lnTo>
                                <a:pt x="1409" y="2295"/>
                              </a:lnTo>
                              <a:lnTo>
                                <a:pt x="1456" y="2242"/>
                              </a:lnTo>
                              <a:lnTo>
                                <a:pt x="1504" y="2192"/>
                              </a:lnTo>
                              <a:lnTo>
                                <a:pt x="1555" y="2143"/>
                              </a:lnTo>
                              <a:lnTo>
                                <a:pt x="1608" y="2096"/>
                              </a:lnTo>
                              <a:lnTo>
                                <a:pt x="1662" y="2051"/>
                              </a:lnTo>
                              <a:lnTo>
                                <a:pt x="1719" y="2009"/>
                              </a:lnTo>
                              <a:lnTo>
                                <a:pt x="1778" y="1969"/>
                              </a:lnTo>
                              <a:lnTo>
                                <a:pt x="1838" y="1931"/>
                              </a:lnTo>
                              <a:lnTo>
                                <a:pt x="1900" y="1895"/>
                              </a:lnTo>
                              <a:lnTo>
                                <a:pt x="1963" y="1862"/>
                              </a:lnTo>
                              <a:lnTo>
                                <a:pt x="2028" y="1831"/>
                              </a:lnTo>
                              <a:lnTo>
                                <a:pt x="2095" y="1803"/>
                              </a:lnTo>
                              <a:lnTo>
                                <a:pt x="2163" y="1778"/>
                              </a:lnTo>
                              <a:lnTo>
                                <a:pt x="2233" y="1756"/>
                              </a:lnTo>
                              <a:lnTo>
                                <a:pt x="2303" y="1736"/>
                              </a:lnTo>
                              <a:lnTo>
                                <a:pt x="2375" y="1719"/>
                              </a:lnTo>
                              <a:lnTo>
                                <a:pt x="2448" y="1705"/>
                              </a:lnTo>
                              <a:lnTo>
                                <a:pt x="2522" y="1694"/>
                              </a:lnTo>
                              <a:lnTo>
                                <a:pt x="2598" y="1686"/>
                              </a:lnTo>
                              <a:lnTo>
                                <a:pt x="2674" y="1681"/>
                              </a:lnTo>
                              <a:lnTo>
                                <a:pt x="2751" y="1679"/>
                              </a:lnTo>
                              <a:lnTo>
                                <a:pt x="2828" y="1681"/>
                              </a:lnTo>
                              <a:lnTo>
                                <a:pt x="2904" y="1686"/>
                              </a:lnTo>
                              <a:lnTo>
                                <a:pt x="2979" y="1694"/>
                              </a:lnTo>
                              <a:lnTo>
                                <a:pt x="3053" y="1705"/>
                              </a:lnTo>
                              <a:lnTo>
                                <a:pt x="3126" y="1719"/>
                              </a:lnTo>
                              <a:lnTo>
                                <a:pt x="3198" y="1736"/>
                              </a:lnTo>
                              <a:lnTo>
                                <a:pt x="3269" y="1756"/>
                              </a:lnTo>
                              <a:lnTo>
                                <a:pt x="3338" y="1778"/>
                              </a:lnTo>
                              <a:lnTo>
                                <a:pt x="3406" y="1803"/>
                              </a:lnTo>
                              <a:lnTo>
                                <a:pt x="3473" y="1831"/>
                              </a:lnTo>
                              <a:lnTo>
                                <a:pt x="3538" y="1862"/>
                              </a:lnTo>
                              <a:lnTo>
                                <a:pt x="3601" y="1895"/>
                              </a:lnTo>
                              <a:lnTo>
                                <a:pt x="3663" y="1931"/>
                              </a:lnTo>
                              <a:lnTo>
                                <a:pt x="3724" y="1969"/>
                              </a:lnTo>
                              <a:lnTo>
                                <a:pt x="3782" y="2009"/>
                              </a:lnTo>
                              <a:lnTo>
                                <a:pt x="3839" y="2051"/>
                              </a:lnTo>
                              <a:lnTo>
                                <a:pt x="3894" y="2096"/>
                              </a:lnTo>
                              <a:lnTo>
                                <a:pt x="3946" y="2143"/>
                              </a:lnTo>
                              <a:lnTo>
                                <a:pt x="3997" y="2192"/>
                              </a:lnTo>
                              <a:lnTo>
                                <a:pt x="4046" y="2242"/>
                              </a:lnTo>
                              <a:lnTo>
                                <a:pt x="4092" y="2295"/>
                              </a:lnTo>
                              <a:lnTo>
                                <a:pt x="4136" y="2350"/>
                              </a:lnTo>
                              <a:lnTo>
                                <a:pt x="4178" y="2406"/>
                              </a:lnTo>
                              <a:lnTo>
                                <a:pt x="4217" y="2464"/>
                              </a:lnTo>
                              <a:lnTo>
                                <a:pt x="4254" y="2524"/>
                              </a:lnTo>
                              <a:lnTo>
                                <a:pt x="4288" y="2585"/>
                              </a:lnTo>
                              <a:lnTo>
                                <a:pt x="4320" y="2648"/>
                              </a:lnTo>
                              <a:lnTo>
                                <a:pt x="4349" y="2712"/>
                              </a:lnTo>
                              <a:lnTo>
                                <a:pt x="4375" y="2778"/>
                              </a:lnTo>
                              <a:lnTo>
                                <a:pt x="4399" y="2844"/>
                              </a:lnTo>
                              <a:lnTo>
                                <a:pt x="4419" y="2913"/>
                              </a:lnTo>
                              <a:lnTo>
                                <a:pt x="4437" y="2982"/>
                              </a:lnTo>
                              <a:lnTo>
                                <a:pt x="4451" y="3052"/>
                              </a:lnTo>
                              <a:lnTo>
                                <a:pt x="4463" y="3124"/>
                              </a:lnTo>
                              <a:lnTo>
                                <a:pt x="4471" y="3196"/>
                              </a:lnTo>
                              <a:lnTo>
                                <a:pt x="4476" y="3269"/>
                              </a:lnTo>
                              <a:lnTo>
                                <a:pt x="4478" y="3343"/>
                              </a:lnTo>
                              <a:lnTo>
                                <a:pt x="4476" y="3418"/>
                              </a:lnTo>
                              <a:lnTo>
                                <a:pt x="4471" y="3491"/>
                              </a:lnTo>
                              <a:lnTo>
                                <a:pt x="4463" y="3563"/>
                              </a:lnTo>
                              <a:lnTo>
                                <a:pt x="4451" y="3635"/>
                              </a:lnTo>
                              <a:lnTo>
                                <a:pt x="4437" y="3705"/>
                              </a:lnTo>
                              <a:lnTo>
                                <a:pt x="4419" y="3774"/>
                              </a:lnTo>
                              <a:lnTo>
                                <a:pt x="4399" y="3843"/>
                              </a:lnTo>
                              <a:lnTo>
                                <a:pt x="4375" y="3909"/>
                              </a:lnTo>
                              <a:lnTo>
                                <a:pt x="4349" y="3975"/>
                              </a:lnTo>
                              <a:lnTo>
                                <a:pt x="4320" y="4039"/>
                              </a:lnTo>
                              <a:lnTo>
                                <a:pt x="4288" y="4102"/>
                              </a:lnTo>
                              <a:lnTo>
                                <a:pt x="4254" y="4163"/>
                              </a:lnTo>
                              <a:lnTo>
                                <a:pt x="4217" y="4223"/>
                              </a:lnTo>
                              <a:lnTo>
                                <a:pt x="4178" y="4281"/>
                              </a:lnTo>
                              <a:lnTo>
                                <a:pt x="4136" y="4337"/>
                              </a:lnTo>
                              <a:lnTo>
                                <a:pt x="4092" y="4392"/>
                              </a:lnTo>
                              <a:lnTo>
                                <a:pt x="4046" y="4445"/>
                              </a:lnTo>
                              <a:lnTo>
                                <a:pt x="3997" y="4495"/>
                              </a:lnTo>
                              <a:lnTo>
                                <a:pt x="3946" y="4544"/>
                              </a:lnTo>
                              <a:lnTo>
                                <a:pt x="3894" y="4591"/>
                              </a:lnTo>
                              <a:lnTo>
                                <a:pt x="3839" y="4636"/>
                              </a:lnTo>
                              <a:lnTo>
                                <a:pt x="3782" y="4678"/>
                              </a:lnTo>
                              <a:lnTo>
                                <a:pt x="3724" y="4718"/>
                              </a:lnTo>
                              <a:lnTo>
                                <a:pt x="3663" y="4756"/>
                              </a:lnTo>
                              <a:lnTo>
                                <a:pt x="3601" y="4792"/>
                              </a:lnTo>
                              <a:lnTo>
                                <a:pt x="3538" y="4825"/>
                              </a:lnTo>
                              <a:lnTo>
                                <a:pt x="3473" y="4856"/>
                              </a:lnTo>
                              <a:lnTo>
                                <a:pt x="3406" y="4883"/>
                              </a:lnTo>
                              <a:lnTo>
                                <a:pt x="3338" y="4909"/>
                              </a:lnTo>
                              <a:lnTo>
                                <a:pt x="3269" y="4931"/>
                              </a:lnTo>
                              <a:lnTo>
                                <a:pt x="3198" y="4951"/>
                              </a:lnTo>
                              <a:lnTo>
                                <a:pt x="3126" y="4968"/>
                              </a:lnTo>
                              <a:lnTo>
                                <a:pt x="3053" y="4982"/>
                              </a:lnTo>
                              <a:lnTo>
                                <a:pt x="2979" y="4993"/>
                              </a:lnTo>
                              <a:lnTo>
                                <a:pt x="2904" y="5001"/>
                              </a:lnTo>
                              <a:lnTo>
                                <a:pt x="2828" y="5006"/>
                              </a:lnTo>
                              <a:lnTo>
                                <a:pt x="2751" y="5007"/>
                              </a:lnTo>
                              <a:lnTo>
                                <a:pt x="2674" y="5006"/>
                              </a:lnTo>
                              <a:lnTo>
                                <a:pt x="2598" y="5001"/>
                              </a:lnTo>
                              <a:lnTo>
                                <a:pt x="2522" y="4993"/>
                              </a:lnTo>
                              <a:lnTo>
                                <a:pt x="2448" y="4982"/>
                              </a:lnTo>
                              <a:lnTo>
                                <a:pt x="2375" y="4968"/>
                              </a:lnTo>
                              <a:lnTo>
                                <a:pt x="2303" y="4951"/>
                              </a:lnTo>
                              <a:lnTo>
                                <a:pt x="2233" y="4931"/>
                              </a:lnTo>
                              <a:lnTo>
                                <a:pt x="2163" y="4909"/>
                              </a:lnTo>
                              <a:lnTo>
                                <a:pt x="2095" y="4883"/>
                              </a:lnTo>
                              <a:lnTo>
                                <a:pt x="2028" y="4856"/>
                              </a:lnTo>
                              <a:lnTo>
                                <a:pt x="1963" y="4825"/>
                              </a:lnTo>
                              <a:lnTo>
                                <a:pt x="1900" y="4792"/>
                              </a:lnTo>
                              <a:lnTo>
                                <a:pt x="1838" y="4756"/>
                              </a:lnTo>
                              <a:lnTo>
                                <a:pt x="1778" y="4718"/>
                              </a:lnTo>
                              <a:lnTo>
                                <a:pt x="1719" y="4678"/>
                              </a:lnTo>
                              <a:lnTo>
                                <a:pt x="1662" y="4636"/>
                              </a:lnTo>
                              <a:lnTo>
                                <a:pt x="1608" y="4591"/>
                              </a:lnTo>
                              <a:lnTo>
                                <a:pt x="1555" y="4544"/>
                              </a:lnTo>
                              <a:lnTo>
                                <a:pt x="1504" y="4495"/>
                              </a:lnTo>
                              <a:lnTo>
                                <a:pt x="1456" y="4445"/>
                              </a:lnTo>
                              <a:lnTo>
                                <a:pt x="1409" y="4392"/>
                              </a:lnTo>
                              <a:lnTo>
                                <a:pt x="1365" y="4337"/>
                              </a:lnTo>
                              <a:lnTo>
                                <a:pt x="1323" y="4281"/>
                              </a:lnTo>
                              <a:lnTo>
                                <a:pt x="1284" y="4223"/>
                              </a:lnTo>
                              <a:lnTo>
                                <a:pt x="1247" y="4163"/>
                              </a:lnTo>
                              <a:lnTo>
                                <a:pt x="1213" y="4102"/>
                              </a:lnTo>
                              <a:lnTo>
                                <a:pt x="1181" y="4039"/>
                              </a:lnTo>
                              <a:lnTo>
                                <a:pt x="1152" y="3975"/>
                              </a:lnTo>
                              <a:lnTo>
                                <a:pt x="1126" y="3909"/>
                              </a:lnTo>
                              <a:lnTo>
                                <a:pt x="1102" y="3843"/>
                              </a:lnTo>
                              <a:lnTo>
                                <a:pt x="1082" y="3774"/>
                              </a:lnTo>
                              <a:lnTo>
                                <a:pt x="1064" y="3705"/>
                              </a:lnTo>
                              <a:lnTo>
                                <a:pt x="1050" y="3635"/>
                              </a:lnTo>
                              <a:lnTo>
                                <a:pt x="1038" y="3563"/>
                              </a:lnTo>
                              <a:lnTo>
                                <a:pt x="1030" y="3491"/>
                              </a:lnTo>
                              <a:lnTo>
                                <a:pt x="1025" y="3418"/>
                              </a:lnTo>
                              <a:lnTo>
                                <a:pt x="1023" y="3343"/>
                              </a:lnTo>
                              <a:close/>
                            </a:path>
                          </a:pathLst>
                        </a:custGeom>
                        <a:noFill/>
                        <a:ln w="6350">
                          <a:solidFill>
                            <a:srgbClr val="231F2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87FE59" id="docshape115" o:spid="_x0000_s1026" style="position:absolute;margin-left:83.2pt;margin-top:-40.95pt;width:268.7pt;height:250.4pt;z-index:-196305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5374,50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" path="m,1664r2,-74l7,1516r8,-72l26,1373r15,-71l58,1233r21,-68l102,1098r27,-66l158,968r31,-63l224,844r37,-60l300,726r42,-56l386,615r46,-52l481,512r50,-49l584,416r55,-44l696,329r58,-40l814,251r62,-36l940,182r65,-30l1072,124r68,-25l1209,76r71,-20l1352,39r73,-14l1499,14r75,-8l1650,1,1727,r77,1l1880,6r75,8l2029,25r73,14l2174,56r71,20l2315,99r68,25l2449,152r65,30l2578,215r62,36l2700,289r59,40l2815,372r55,44l2923,463r50,49l3022,563r46,52l3112,670r42,56l3194,784r36,60l3265,905r32,63l3326,1032r26,66l3375,1165r21,68l3413,1302r15,71l3439,1444r9,72l3453,1590r1,74l3453,1738r-5,73l3439,1884r-11,71l3413,2025r-17,70l3375,2163r-23,67l3326,2295r-29,65l3265,2422r-35,62l3194,2543r-40,58l3112,2658r-44,54l3022,2765r-49,51l2923,2865r-53,46l2815,2956r-56,43l2700,3039r-60,38l2578,3112r-64,33l2449,3176r-66,28l2315,3229r-70,23l2174,3271r-72,17l2029,3302r-74,11l1880,3321r-76,5l1727,3328r-77,-2l1574,3321r-75,-8l1425,3302r-73,-14l1280,3271r-71,-19l1140,3229r-68,-25l1005,3176r-65,-31l876,3112r-62,-35l754,3039r-58,-40l639,2956r-55,-45l531,2865r-50,-49l432,2765r-46,-53l342,2658r-42,-57l261,2543r-37,-59l189,2422r-31,-62l129,2295r-27,-65l79,2163,58,2095,41,2025,26,1955,15,1884,7,1811,2,1738,,1664xm1919,1697r2,-75l1926,1549r8,-72l1945,1405r15,-70l1977,1266r21,-68l2021,1131r27,-66l2077,1001r31,-63l2143,877r37,-60l2219,759r42,-56l2305,648r46,-53l2400,545r50,-49l2503,449r55,-45l2615,362r58,-40l2733,284r62,-36l2859,215r65,-30l2991,157r68,-26l3128,109r71,-20l3271,72r73,-14l3418,47r75,-8l3569,34r77,-1l3723,34r76,5l3874,47r74,11l4022,72r71,17l4164,109r70,22l4302,157r66,28l4433,215r64,33l4559,284r60,38l4678,362r56,42l4789,449r53,47l4893,545r48,50l4987,648r45,55l5073,759r40,58l5150,877r34,61l5216,1001r29,64l5271,1131r23,67l5315,1266r17,69l5347,1405r11,72l5367,1549r5,73l5373,1697r-1,74l5367,1844r-9,72l5347,1988r-15,70l5315,2127r-21,69l5271,2262r-26,66l5216,2392r-32,63l5150,2516r-37,60l5073,2634r-41,56l4987,2745r-46,53l4893,2849r-51,48l4789,2944r-55,45l4678,3031r-59,41l4559,3109r-62,36l4433,3178r-65,31l4302,3237r-68,25l4164,3284r-71,20l4022,3321r-74,14l3874,3346r-75,8l3723,3359r-77,2l3569,3359r-76,-5l3418,3346r-74,-11l3271,3321r-72,-17l3128,3284r-69,-22l2991,3237r-67,-28l2859,3178r-64,-33l2733,3109r-60,-37l2615,3031r-57,-42l2503,2944r-53,-47l2400,2849r-49,-51l2305,2745r-44,-55l2219,2634r-39,-58l2143,2516r-35,-61l2077,2392r-29,-64l2021,2262r-23,-66l1977,2127r-17,-69l1945,1988r-11,-72l1926,1844r-5,-73l1919,1697xm1023,3343r2,-74l1030,3196r8,-72l1050,3052r14,-70l1082,2913r20,-69l1126,2778r26,-66l1181,2648r32,-63l1247,2524r37,-60l1323,2406r42,-56l1409,2295r47,-53l1504,2192r51,-49l1608,2096r54,-45l1719,2009r59,-40l1838,1931r62,-36l1963,1862r65,-31l2095,1803r68,-25l2233,1756r70,-20l2375,1719r73,-14l2522,1694r76,-8l2674,1681r77,-2l2828,1681r76,5l2979,1694r74,11l3126,1719r72,17l3269,1756r69,22l3406,1803r67,28l3538,1862r63,33l3663,1931r61,38l3782,2009r57,42l3894,2096r52,47l3997,2192r49,50l4092,2295r44,55l4178,2406r39,58l4254,2524r34,61l4320,2648r29,64l4375,2778r24,66l4419,2913r18,69l4451,3052r12,72l4471,3196r5,73l4478,3343r-2,75l4471,3491r-8,72l4451,3635r-14,70l4419,3774r-20,69l4375,3909r-26,66l4320,4039r-32,63l4254,4163r-37,60l4178,4281r-42,56l4092,4392r-46,53l3997,4495r-51,49l3894,4591r-55,45l3782,4678r-58,40l3663,4756r-62,36l3538,4825r-65,31l3406,4883r-68,26l3269,4931r-71,20l3126,4968r-73,14l2979,4993r-75,8l2828,5006r-77,1l2674,5006r-76,-5l2522,4993r-74,-11l2375,4968r-72,-17l2233,4931r-70,-22l2095,4883r-67,-27l1963,4825r-63,-33l1838,4756r-60,-38l1719,4678r-57,-42l1608,4591r-53,-47l1504,4495r-48,-50l1409,4392r-44,-55l1323,4281r-39,-58l1247,4163r-34,-61l1181,4039r-29,-64l1126,3909r-24,-66l1082,3774r-18,-69l1050,3635r-12,-72l1030,3491r-5,-73l1023,3343xe" filled="f" strokecolor="#231f20" strokeweight=".5pt">
                <v:path arrowok="t" o:connecttype="custom" o:connectlocs="36830,262890;165735,-22225;370840,-255905;638175,-423545;951865,-511175;1288415,-504190;1596390,-404495;1856105,-226060;2051050,15875;2167255,306705;2189480,629920;2112010,937260;1948180,1202055;1714500,1409700;1425575,1544955;1096645,1593215;767715,1544955;478790,1409700;245110,1202055;81915,937260;4445,629920;1235075,372110;1338580,75565;1524000,-173990;1774825,-362585;2077085,-474345;2412365,-495300;2731770,-420370;3006090,-263525;3221355,-38100;3361690,240665;3411855,557530;3361690,874395;3221355,1152525;3006090,1377950;2731770,1535430;2412365,1609725;2077085,1588770;1774825,1477010;1524000,1289050;1338580,1038860;1235075,742315;654050,1509395;731520,1202055;894715,937260;1129030,730250;1417955,594995;1746885,546100;2075815,594995;2364740,730250;2598420,937260;2761615,1202055;2839085,1509395;2817495,1832610;2701290,2123440;2505710,2365375;2246630,2543810;1938655,2643505;1601470,2650490;1287780,2563495;1021080,2395220;815340,2161540;687070,1876425" o:connectangles="0,0,0,0,0,0,0,0,0,0,0,0,0,0,0,0,0,0,0,0,0,0,0,0,0,0,0,0,0,0,0,0,0,0,0,0,0,0,0,0,0,0,0,0,0,0,0,0,0,0,0,0,0,0,0,0,0,0,0,0,0,0,0"/>
                <w10:wrap anchorx="page"/>
              </v:shape>
            </w:pict>
          </mc:Fallback>
        </mc:AlternateContent>
      </w:r>
      <w:r>
        <w:rPr>
          <w:rFonts w:ascii="Segoe UI Symbol"/>
          <w:color w:val="231F20"/>
          <w:sz w:val="16"/>
        </w:rPr>
        <w:t>to</w:t>
      </w:r>
      <w:r>
        <w:rPr>
          <w:rFonts w:ascii="Segoe UI Symbol"/>
          <w:color w:val="231F20"/>
          <w:spacing w:val="-11"/>
          <w:sz w:val="16"/>
        </w:rPr>
        <w:t xml:space="preserve"> </w:t>
      </w:r>
      <w:r>
        <w:rPr>
          <w:rFonts w:ascii="Segoe UI Symbol"/>
          <w:color w:val="231F20"/>
          <w:sz w:val="16"/>
        </w:rPr>
        <w:t>Locals</w:t>
      </w:r>
      <w:r>
        <w:rPr>
          <w:rFonts w:ascii="Segoe UI Symbol"/>
          <w:color w:val="231F20"/>
          <w:spacing w:val="-11"/>
          <w:sz w:val="16"/>
        </w:rPr>
        <w:t xml:space="preserve"> </w:t>
      </w:r>
      <w:r>
        <w:rPr>
          <w:rFonts w:ascii="Segoe UI Symbol"/>
          <w:color w:val="231F20"/>
          <w:sz w:val="16"/>
        </w:rPr>
        <w:t>and</w:t>
      </w:r>
      <w:r>
        <w:rPr>
          <w:rFonts w:ascii="Segoe UI Symbol"/>
          <w:color w:val="231F20"/>
          <w:spacing w:val="-11"/>
          <w:sz w:val="16"/>
        </w:rPr>
        <w:t xml:space="preserve"> </w:t>
      </w:r>
      <w:r>
        <w:rPr>
          <w:rFonts w:ascii="Segoe UI Symbol"/>
          <w:color w:val="231F20"/>
          <w:sz w:val="16"/>
        </w:rPr>
        <w:t xml:space="preserve">Other </w:t>
      </w:r>
      <w:r>
        <w:rPr>
          <w:rFonts w:ascii="Segoe UI Symbol"/>
          <w:color w:val="231F20"/>
          <w:spacing w:val="-2"/>
          <w:sz w:val="16"/>
        </w:rPr>
        <w:t>Stakeholders</w:t>
      </w:r>
    </w:p>
    <w:p w14:paraId="3BB96A4E" w14:textId="77777777" w:rsidR="00AE0598" w:rsidRDefault="0069255A">
      <w:pPr>
        <w:spacing w:before="1" w:line="206" w:lineRule="auto"/>
        <w:ind w:left="407" w:right="1161" w:hanging="160"/>
        <w:rPr>
          <w:rFonts w:ascii="Segoe UI Symbol"/>
          <w:sz w:val="16"/>
        </w:rPr>
      </w:pPr>
      <w:r>
        <w:rPr>
          <w:rFonts w:ascii="Segoe UI Symbol"/>
          <w:color w:val="231F20"/>
          <w:sz w:val="16"/>
        </w:rPr>
        <w:t>Economically</w:t>
      </w:r>
      <w:r>
        <w:rPr>
          <w:rFonts w:ascii="Segoe UI Symbol"/>
          <w:color w:val="231F20"/>
          <w:spacing w:val="-11"/>
          <w:sz w:val="16"/>
        </w:rPr>
        <w:t xml:space="preserve"> </w:t>
      </w:r>
      <w:r>
        <w:rPr>
          <w:rFonts w:ascii="Segoe UI Symbol"/>
          <w:color w:val="231F20"/>
          <w:sz w:val="16"/>
        </w:rPr>
        <w:t xml:space="preserve">Viable </w:t>
      </w:r>
      <w:r>
        <w:rPr>
          <w:rFonts w:ascii="Segoe UI Symbol"/>
          <w:color w:val="231F20"/>
          <w:spacing w:val="-2"/>
          <w:sz w:val="16"/>
        </w:rPr>
        <w:t>Industry</w:t>
      </w:r>
    </w:p>
    <w:p w14:paraId="53300881" w14:textId="77777777" w:rsidR="00AE0598" w:rsidRDefault="0069255A">
      <w:pPr>
        <w:spacing w:line="190" w:lineRule="exact"/>
        <w:ind w:left="247"/>
        <w:rPr>
          <w:rFonts w:ascii="Segoe UI Symbol"/>
          <w:sz w:val="16"/>
        </w:rPr>
      </w:pPr>
      <w:r>
        <w:rPr>
          <w:rFonts w:ascii="Segoe UI Symbol"/>
          <w:color w:val="231F20"/>
          <w:spacing w:val="-2"/>
          <w:sz w:val="16"/>
        </w:rPr>
        <w:t>Political</w:t>
      </w:r>
      <w:r>
        <w:rPr>
          <w:rFonts w:ascii="Segoe UI Symbol"/>
          <w:color w:val="231F20"/>
          <w:spacing w:val="3"/>
          <w:sz w:val="16"/>
        </w:rPr>
        <w:t xml:space="preserve"> </w:t>
      </w:r>
      <w:r>
        <w:rPr>
          <w:rFonts w:ascii="Segoe UI Symbol"/>
          <w:color w:val="231F20"/>
          <w:spacing w:val="-2"/>
          <w:sz w:val="16"/>
        </w:rPr>
        <w:t>Rights</w:t>
      </w:r>
    </w:p>
    <w:p w14:paraId="74C3125B" w14:textId="77777777" w:rsidR="00AE0598" w:rsidRDefault="00AE0598">
      <w:pPr>
        <w:pStyle w:val="Corpodetexto"/>
        <w:rPr>
          <w:rFonts w:ascii="Segoe UI Symbol"/>
          <w:sz w:val="20"/>
        </w:rPr>
      </w:pPr>
    </w:p>
    <w:p w14:paraId="7AA4108F" w14:textId="77777777" w:rsidR="00AE0598" w:rsidRDefault="00AE0598">
      <w:pPr>
        <w:pStyle w:val="Corpodetexto"/>
        <w:rPr>
          <w:rFonts w:ascii="Segoe UI Symbol"/>
          <w:sz w:val="20"/>
        </w:rPr>
      </w:pPr>
    </w:p>
    <w:p w14:paraId="031C468C" w14:textId="77777777" w:rsidR="00AE0598" w:rsidRDefault="0069255A">
      <w:pPr>
        <w:spacing w:before="175"/>
        <w:ind w:left="152"/>
        <w:rPr>
          <w:b/>
          <w:sz w:val="16"/>
        </w:rPr>
      </w:pPr>
      <w:r>
        <w:rPr>
          <w:b/>
          <w:color w:val="231F20"/>
          <w:spacing w:val="-2"/>
          <w:w w:val="105"/>
          <w:sz w:val="16"/>
        </w:rPr>
        <w:t>Sport,</w:t>
      </w:r>
    </w:p>
    <w:p w14:paraId="6ECB216D" w14:textId="77777777" w:rsidR="00AE0598" w:rsidRDefault="00AE0598">
      <w:pPr>
        <w:rPr>
          <w:sz w:val="16"/>
        </w:rPr>
        <w:sectPr w:rsidR="00AE0598">
          <w:type w:val="continuous"/>
          <w:pgSz w:w="8850" w:h="13270"/>
          <w:pgMar w:top="1080" w:right="1060" w:bottom="280" w:left="1080" w:header="720" w:footer="720" w:gutter="0"/>
          <w:cols w:num="3" w:space="720" w:equalWidth="0">
            <w:col w:w="2544" w:space="40"/>
            <w:col w:w="1270" w:space="39"/>
            <w:col w:w="2817"/>
          </w:cols>
        </w:sectPr>
      </w:pPr>
    </w:p>
    <w:p w14:paraId="01CE5820" w14:textId="77777777" w:rsidR="00AE0598" w:rsidRDefault="0069255A">
      <w:pPr>
        <w:spacing w:before="4" w:line="244" w:lineRule="auto"/>
        <w:ind w:left="1811" w:firstLine="115"/>
        <w:rPr>
          <w:b/>
          <w:sz w:val="16"/>
        </w:rPr>
      </w:pPr>
      <w:r>
        <w:rPr>
          <w:b/>
          <w:color w:val="231F20"/>
          <w:w w:val="105"/>
          <w:sz w:val="16"/>
        </w:rPr>
        <w:t>Culture &amp;</w:t>
      </w:r>
      <w:r>
        <w:rPr>
          <w:b/>
          <w:color w:val="231F20"/>
          <w:spacing w:val="40"/>
          <w:w w:val="105"/>
          <w:sz w:val="16"/>
        </w:rPr>
        <w:t xml:space="preserve"> </w:t>
      </w:r>
      <w:r>
        <w:rPr>
          <w:b/>
          <w:color w:val="231F20"/>
          <w:spacing w:val="-2"/>
          <w:sz w:val="16"/>
        </w:rPr>
        <w:t>Environment</w:t>
      </w:r>
    </w:p>
    <w:p w14:paraId="6417820A" w14:textId="77777777" w:rsidR="00AE0598" w:rsidRDefault="0069255A">
      <w:pPr>
        <w:spacing w:before="4" w:line="244" w:lineRule="auto"/>
        <w:ind w:left="950" w:right="1059" w:firstLine="55"/>
        <w:rPr>
          <w:b/>
          <w:sz w:val="16"/>
        </w:rPr>
      </w:pPr>
      <w:r>
        <w:br w:type="column"/>
      </w:r>
      <w:r>
        <w:rPr>
          <w:b/>
          <w:color w:val="231F20"/>
          <w:w w:val="105"/>
          <w:sz w:val="16"/>
        </w:rPr>
        <w:t>Economy &amp;</w:t>
      </w:r>
      <w:r>
        <w:rPr>
          <w:b/>
          <w:color w:val="231F20"/>
          <w:spacing w:val="40"/>
          <w:w w:val="105"/>
          <w:sz w:val="16"/>
        </w:rPr>
        <w:t xml:space="preserve"> </w:t>
      </w:r>
      <w:r>
        <w:rPr>
          <w:b/>
          <w:color w:val="231F20"/>
          <w:spacing w:val="-2"/>
          <w:sz w:val="16"/>
        </w:rPr>
        <w:t>Environment</w:t>
      </w:r>
    </w:p>
    <w:p w14:paraId="74E49F3C" w14:textId="77777777" w:rsidR="00AE0598" w:rsidRDefault="00AE0598">
      <w:pPr>
        <w:spacing w:line="244" w:lineRule="auto"/>
        <w:rPr>
          <w:sz w:val="16"/>
        </w:rPr>
        <w:sectPr w:rsidR="00AE0598">
          <w:type w:val="continuous"/>
          <w:pgSz w:w="8850" w:h="13270"/>
          <w:pgMar w:top="1080" w:right="1060" w:bottom="280" w:left="1080" w:header="720" w:footer="720" w:gutter="0"/>
          <w:cols w:num="2" w:space="720" w:equalWidth="0">
            <w:col w:w="2811" w:space="40"/>
            <w:col w:w="3859"/>
          </w:cols>
        </w:sectPr>
      </w:pPr>
    </w:p>
    <w:p w14:paraId="01BDBD55" w14:textId="77777777" w:rsidR="00AE0598" w:rsidRDefault="00AE0598">
      <w:pPr>
        <w:pStyle w:val="Corpodetexto"/>
        <w:spacing w:before="10"/>
        <w:rPr>
          <w:b/>
          <w:sz w:val="23"/>
        </w:rPr>
      </w:pPr>
    </w:p>
    <w:p w14:paraId="67151528" w14:textId="77777777" w:rsidR="00AE0598" w:rsidRDefault="0069255A">
      <w:pPr>
        <w:spacing w:before="82" w:line="197" w:lineRule="exact"/>
        <w:ind w:left="2445"/>
        <w:jc w:val="both"/>
        <w:rPr>
          <w:rFonts w:ascii="Segoe UI Symbol"/>
          <w:sz w:val="16"/>
        </w:rPr>
      </w:pPr>
      <w:r>
        <w:rPr>
          <w:rFonts w:ascii="Segoe UI Symbol"/>
          <w:color w:val="231F20"/>
          <w:sz w:val="16"/>
        </w:rPr>
        <w:t>Environmental</w:t>
      </w:r>
      <w:r>
        <w:rPr>
          <w:rFonts w:ascii="Segoe UI Symbol"/>
          <w:color w:val="231F20"/>
          <w:spacing w:val="7"/>
          <w:sz w:val="16"/>
        </w:rPr>
        <w:t xml:space="preserve"> </w:t>
      </w:r>
      <w:r>
        <w:rPr>
          <w:rFonts w:ascii="Segoe UI Symbol"/>
          <w:color w:val="231F20"/>
          <w:spacing w:val="-2"/>
          <w:sz w:val="16"/>
        </w:rPr>
        <w:t>Benefits</w:t>
      </w:r>
    </w:p>
    <w:p w14:paraId="2ED990FA" w14:textId="77777777" w:rsidR="00AE0598" w:rsidRDefault="0069255A">
      <w:pPr>
        <w:spacing w:before="10" w:line="204" w:lineRule="auto"/>
        <w:ind w:left="2615" w:right="2132"/>
        <w:jc w:val="both"/>
        <w:rPr>
          <w:rFonts w:ascii="Segoe UI Symbol"/>
          <w:sz w:val="16"/>
        </w:rPr>
      </w:pPr>
      <w:r>
        <w:rPr>
          <w:rFonts w:ascii="Segoe UI Symbol"/>
          <w:color w:val="231F20"/>
          <w:spacing w:val="-2"/>
          <w:sz w:val="16"/>
        </w:rPr>
        <w:t>e.g.</w:t>
      </w:r>
      <w:r>
        <w:rPr>
          <w:rFonts w:ascii="Segoe UI Symbol"/>
          <w:color w:val="231F20"/>
          <w:spacing w:val="-4"/>
          <w:sz w:val="16"/>
        </w:rPr>
        <w:t xml:space="preserve"> </w:t>
      </w:r>
      <w:r>
        <w:rPr>
          <w:rFonts w:ascii="Segoe UI Symbol"/>
          <w:color w:val="231F20"/>
          <w:spacing w:val="-2"/>
          <w:sz w:val="16"/>
        </w:rPr>
        <w:t>Protection</w:t>
      </w:r>
      <w:r>
        <w:rPr>
          <w:rFonts w:ascii="Segoe UI Symbol"/>
          <w:color w:val="231F20"/>
          <w:spacing w:val="-4"/>
          <w:sz w:val="16"/>
        </w:rPr>
        <w:t xml:space="preserve"> </w:t>
      </w:r>
      <w:r>
        <w:rPr>
          <w:rFonts w:ascii="Segoe UI Symbol"/>
          <w:color w:val="231F20"/>
          <w:spacing w:val="-2"/>
          <w:sz w:val="16"/>
        </w:rPr>
        <w:t>of</w:t>
      </w:r>
      <w:r>
        <w:rPr>
          <w:rFonts w:ascii="Segoe UI Symbol"/>
          <w:color w:val="231F20"/>
          <w:spacing w:val="-4"/>
          <w:sz w:val="16"/>
        </w:rPr>
        <w:t xml:space="preserve"> </w:t>
      </w:r>
      <w:r>
        <w:rPr>
          <w:rFonts w:ascii="Segoe UI Symbol"/>
          <w:color w:val="231F20"/>
          <w:spacing w:val="-2"/>
          <w:sz w:val="16"/>
        </w:rPr>
        <w:t>Significant Ecosystem</w:t>
      </w:r>
    </w:p>
    <w:p w14:paraId="6B9B9172" w14:textId="77777777" w:rsidR="00AE0598" w:rsidRDefault="0069255A">
      <w:pPr>
        <w:spacing w:before="1" w:line="204" w:lineRule="auto"/>
        <w:ind w:left="2445" w:right="2101"/>
        <w:jc w:val="both"/>
        <w:rPr>
          <w:rFonts w:ascii="Segoe UI Symbol"/>
          <w:sz w:val="16"/>
        </w:rPr>
      </w:pPr>
      <w:r>
        <w:rPr>
          <w:rFonts w:ascii="Segoe UI Symbol"/>
          <w:color w:val="231F20"/>
          <w:spacing w:val="-2"/>
          <w:sz w:val="16"/>
        </w:rPr>
        <w:t>Minimal</w:t>
      </w:r>
      <w:r>
        <w:rPr>
          <w:rFonts w:ascii="Segoe UI Symbol"/>
          <w:color w:val="231F20"/>
          <w:spacing w:val="-4"/>
          <w:sz w:val="16"/>
        </w:rPr>
        <w:t xml:space="preserve"> </w:t>
      </w:r>
      <w:r>
        <w:rPr>
          <w:rFonts w:ascii="Segoe UI Symbol"/>
          <w:color w:val="231F20"/>
          <w:spacing w:val="-2"/>
          <w:sz w:val="16"/>
        </w:rPr>
        <w:t>Resource</w:t>
      </w:r>
      <w:r>
        <w:rPr>
          <w:rFonts w:ascii="Segoe UI Symbol"/>
          <w:color w:val="231F20"/>
          <w:spacing w:val="-4"/>
          <w:sz w:val="16"/>
        </w:rPr>
        <w:t xml:space="preserve"> </w:t>
      </w:r>
      <w:r>
        <w:rPr>
          <w:rFonts w:ascii="Segoe UI Symbol"/>
          <w:color w:val="231F20"/>
          <w:spacing w:val="-2"/>
          <w:sz w:val="16"/>
        </w:rPr>
        <w:t>Degradation Acceptance</w:t>
      </w:r>
      <w:r>
        <w:rPr>
          <w:rFonts w:ascii="Segoe UI Symbol"/>
          <w:color w:val="231F20"/>
          <w:spacing w:val="-7"/>
          <w:sz w:val="16"/>
        </w:rPr>
        <w:t xml:space="preserve"> </w:t>
      </w:r>
      <w:r>
        <w:rPr>
          <w:rFonts w:ascii="Segoe UI Symbol"/>
          <w:color w:val="231F20"/>
          <w:spacing w:val="-2"/>
          <w:sz w:val="16"/>
        </w:rPr>
        <w:t>of</w:t>
      </w:r>
      <w:r>
        <w:rPr>
          <w:rFonts w:ascii="Segoe UI Symbol"/>
          <w:color w:val="231F20"/>
          <w:spacing w:val="-7"/>
          <w:sz w:val="16"/>
        </w:rPr>
        <w:t xml:space="preserve"> </w:t>
      </w:r>
      <w:r>
        <w:rPr>
          <w:rFonts w:ascii="Segoe UI Symbol"/>
          <w:color w:val="231F20"/>
          <w:spacing w:val="-2"/>
          <w:sz w:val="16"/>
        </w:rPr>
        <w:t>Resource</w:t>
      </w:r>
      <w:r>
        <w:rPr>
          <w:rFonts w:ascii="Segoe UI Symbol"/>
          <w:color w:val="231F20"/>
          <w:spacing w:val="-7"/>
          <w:sz w:val="16"/>
        </w:rPr>
        <w:t xml:space="preserve"> </w:t>
      </w:r>
      <w:r>
        <w:rPr>
          <w:rFonts w:ascii="Segoe UI Symbol"/>
          <w:color w:val="231F20"/>
          <w:spacing w:val="-2"/>
          <w:sz w:val="16"/>
        </w:rPr>
        <w:t xml:space="preserve">Values </w:t>
      </w:r>
      <w:r>
        <w:rPr>
          <w:rFonts w:ascii="Segoe UI Symbol"/>
          <w:color w:val="231F20"/>
          <w:sz w:val="16"/>
        </w:rPr>
        <w:t>Balance between Natural and</w:t>
      </w:r>
    </w:p>
    <w:p w14:paraId="4A27BF52" w14:textId="77777777" w:rsidR="00AE0598" w:rsidRDefault="0069255A">
      <w:pPr>
        <w:spacing w:line="210" w:lineRule="exact"/>
        <w:ind w:left="2605"/>
        <w:jc w:val="both"/>
        <w:rPr>
          <w:rFonts w:ascii="Segoe UI Symbol"/>
          <w:sz w:val="16"/>
        </w:rPr>
      </w:pPr>
      <w:r>
        <w:rPr>
          <w:rFonts w:ascii="Segoe UI Symbol"/>
          <w:color w:val="231F20"/>
          <w:w w:val="105"/>
          <w:sz w:val="16"/>
        </w:rPr>
        <w:t>Built</w:t>
      </w:r>
      <w:r>
        <w:rPr>
          <w:rFonts w:ascii="Segoe UI Symbol"/>
          <w:color w:val="231F20"/>
          <w:spacing w:val="-3"/>
          <w:w w:val="105"/>
          <w:sz w:val="16"/>
        </w:rPr>
        <w:t xml:space="preserve"> </w:t>
      </w:r>
      <w:r>
        <w:rPr>
          <w:rFonts w:ascii="Segoe UI Symbol"/>
          <w:color w:val="231F20"/>
          <w:spacing w:val="-2"/>
          <w:w w:val="105"/>
          <w:sz w:val="16"/>
        </w:rPr>
        <w:t>Facilities</w:t>
      </w:r>
    </w:p>
    <w:p w14:paraId="71E37ED5" w14:textId="77777777" w:rsidR="00AE0598" w:rsidRDefault="00AE0598">
      <w:pPr>
        <w:pStyle w:val="Corpodetexto"/>
        <w:spacing w:before="6"/>
        <w:rPr>
          <w:rFonts w:ascii="Segoe UI Symbol"/>
        </w:rPr>
      </w:pPr>
    </w:p>
    <w:p w14:paraId="3F85AD9C" w14:textId="77777777" w:rsidR="00AE0598" w:rsidRDefault="0069255A">
      <w:pPr>
        <w:spacing w:before="103"/>
        <w:ind w:left="384" w:right="462"/>
        <w:jc w:val="center"/>
        <w:rPr>
          <w:b/>
          <w:sz w:val="16"/>
        </w:rPr>
      </w:pPr>
      <w:r>
        <w:rPr>
          <w:b/>
          <w:color w:val="231F20"/>
          <w:w w:val="115"/>
          <w:sz w:val="16"/>
        </w:rPr>
        <w:t>ENVIRONMENTAL</w:t>
      </w:r>
      <w:r>
        <w:rPr>
          <w:b/>
          <w:color w:val="231F20"/>
          <w:spacing w:val="11"/>
          <w:w w:val="115"/>
          <w:sz w:val="16"/>
        </w:rPr>
        <w:t xml:space="preserve"> </w:t>
      </w:r>
      <w:r>
        <w:rPr>
          <w:b/>
          <w:color w:val="231F20"/>
          <w:spacing w:val="-4"/>
          <w:w w:val="115"/>
          <w:sz w:val="16"/>
        </w:rPr>
        <w:t>GOALS</w:t>
      </w:r>
    </w:p>
    <w:p w14:paraId="066219CF" w14:textId="77777777" w:rsidR="00AE0598" w:rsidRDefault="00AE0598">
      <w:pPr>
        <w:pStyle w:val="Corpodetexto"/>
        <w:spacing w:before="7"/>
        <w:rPr>
          <w:b/>
          <w:sz w:val="9"/>
        </w:rPr>
      </w:pPr>
    </w:p>
    <w:p w14:paraId="7C84CF65" w14:textId="77777777" w:rsidR="00AE0598" w:rsidRDefault="0069255A">
      <w:pPr>
        <w:spacing w:before="99"/>
        <w:ind w:left="108"/>
        <w:rPr>
          <w:rFonts w:ascii="Trebuchet MS"/>
          <w:sz w:val="14"/>
        </w:rPr>
      </w:pPr>
      <w:r>
        <w:rPr>
          <w:rFonts w:ascii="Trebuchet MS"/>
          <w:b/>
          <w:color w:val="231F20"/>
          <w:sz w:val="14"/>
        </w:rPr>
        <w:t>Figure</w:t>
      </w:r>
      <w:r>
        <w:rPr>
          <w:rFonts w:ascii="Trebuchet MS"/>
          <w:b/>
          <w:color w:val="231F20"/>
          <w:spacing w:val="9"/>
          <w:sz w:val="14"/>
        </w:rPr>
        <w:t xml:space="preserve"> </w:t>
      </w:r>
      <w:r>
        <w:rPr>
          <w:rFonts w:ascii="Trebuchet MS"/>
          <w:b/>
          <w:color w:val="231F20"/>
          <w:sz w:val="14"/>
        </w:rPr>
        <w:t>4.1</w:t>
      </w:r>
      <w:r>
        <w:rPr>
          <w:rFonts w:ascii="Trebuchet MS"/>
          <w:b/>
          <w:color w:val="231F20"/>
          <w:spacing w:val="50"/>
          <w:sz w:val="14"/>
        </w:rPr>
        <w:t xml:space="preserve"> </w:t>
      </w:r>
      <w:r>
        <w:rPr>
          <w:rFonts w:ascii="Trebuchet MS"/>
          <w:color w:val="231F20"/>
          <w:sz w:val="14"/>
        </w:rPr>
        <w:t>Sustainable</w:t>
      </w:r>
      <w:r>
        <w:rPr>
          <w:rFonts w:ascii="Trebuchet MS"/>
          <w:color w:val="231F20"/>
          <w:spacing w:val="10"/>
          <w:sz w:val="14"/>
        </w:rPr>
        <w:t xml:space="preserve"> </w:t>
      </w:r>
      <w:r>
        <w:rPr>
          <w:rFonts w:ascii="Trebuchet MS"/>
          <w:color w:val="231F20"/>
          <w:sz w:val="14"/>
        </w:rPr>
        <w:t>sport</w:t>
      </w:r>
      <w:r>
        <w:rPr>
          <w:rFonts w:ascii="Trebuchet MS"/>
          <w:color w:val="231F20"/>
          <w:spacing w:val="9"/>
          <w:sz w:val="14"/>
        </w:rPr>
        <w:t xml:space="preserve"> </w:t>
      </w:r>
      <w:r>
        <w:rPr>
          <w:rFonts w:ascii="Trebuchet MS"/>
          <w:color w:val="231F20"/>
          <w:sz w:val="14"/>
        </w:rPr>
        <w:t>tourism</w:t>
      </w:r>
      <w:r>
        <w:rPr>
          <w:rFonts w:ascii="Trebuchet MS"/>
          <w:color w:val="231F20"/>
          <w:spacing w:val="9"/>
          <w:sz w:val="14"/>
        </w:rPr>
        <w:t xml:space="preserve"> </w:t>
      </w:r>
      <w:r>
        <w:rPr>
          <w:rFonts w:ascii="Trebuchet MS"/>
          <w:color w:val="231F20"/>
          <w:sz w:val="14"/>
        </w:rPr>
        <w:t>(Source:</w:t>
      </w:r>
      <w:r>
        <w:rPr>
          <w:rFonts w:ascii="Trebuchet MS"/>
          <w:color w:val="231F20"/>
          <w:spacing w:val="9"/>
          <w:sz w:val="14"/>
        </w:rPr>
        <w:t xml:space="preserve"> </w:t>
      </w:r>
      <w:r>
        <w:rPr>
          <w:rFonts w:ascii="Trebuchet MS"/>
          <w:color w:val="231F20"/>
          <w:sz w:val="14"/>
        </w:rPr>
        <w:t>After</w:t>
      </w:r>
      <w:r>
        <w:rPr>
          <w:rFonts w:ascii="Trebuchet MS"/>
          <w:color w:val="231F20"/>
          <w:spacing w:val="9"/>
          <w:sz w:val="14"/>
        </w:rPr>
        <w:t xml:space="preserve"> </w:t>
      </w:r>
      <w:r>
        <w:rPr>
          <w:rFonts w:ascii="Trebuchet MS"/>
          <w:color w:val="231F20"/>
          <w:sz w:val="14"/>
        </w:rPr>
        <w:t>Hall,</w:t>
      </w:r>
      <w:r>
        <w:rPr>
          <w:rFonts w:ascii="Trebuchet MS"/>
          <w:color w:val="231F20"/>
          <w:spacing w:val="9"/>
          <w:sz w:val="14"/>
        </w:rPr>
        <w:t xml:space="preserve"> </w:t>
      </w:r>
      <w:r>
        <w:rPr>
          <w:rFonts w:ascii="Trebuchet MS"/>
          <w:color w:val="231F20"/>
          <w:spacing w:val="-4"/>
          <w:sz w:val="14"/>
        </w:rPr>
        <w:t>2007)</w:t>
      </w:r>
    </w:p>
    <w:p w14:paraId="0E15548C" w14:textId="77777777" w:rsidR="00AE0598" w:rsidRDefault="00AE0598">
      <w:pPr>
        <w:pStyle w:val="Corpodetexto"/>
        <w:spacing w:before="7"/>
        <w:rPr>
          <w:rFonts w:ascii="Trebuchet MS"/>
          <w:sz w:val="18"/>
        </w:rPr>
      </w:pPr>
    </w:p>
    <w:p w14:paraId="63594644" w14:textId="77777777" w:rsidR="00AE0598" w:rsidRDefault="0069255A">
      <w:pPr>
        <w:pStyle w:val="Corpodetexto"/>
        <w:spacing w:before="102" w:line="232" w:lineRule="auto"/>
        <w:ind w:left="110" w:right="124"/>
        <w:jc w:val="both"/>
      </w:pPr>
      <w:r>
        <w:rPr>
          <w:color w:val="231F20"/>
        </w:rPr>
        <w:t>development is embodied in the spheres adjoining the centre. A healthy sport tourism economic/political sphere should ideally support and enhance the social/cultural dimension of the community. It should also play a similar role in the context of the natur</w:t>
      </w:r>
      <w:r>
        <w:rPr>
          <w:color w:val="231F20"/>
        </w:rPr>
        <w:t xml:space="preserve">al environment, which </w:t>
      </w:r>
      <w:r>
        <w:rPr>
          <w:color w:val="231F20"/>
          <w:w w:val="95"/>
        </w:rPr>
        <w:t xml:space="preserve">features prominently in many types of sport tourism activity. In addition, sport tourism social/cultural practices should serve as positive forces in relation to the natural environment. There is, however, no guarantee that </w:t>
      </w:r>
      <w:r>
        <w:rPr>
          <w:color w:val="231F20"/>
        </w:rPr>
        <w:t>the intera</w:t>
      </w:r>
      <w:r>
        <w:rPr>
          <w:color w:val="231F20"/>
        </w:rPr>
        <w:t>ction between sport and tourism will necessarily be positive. To achieve positive outcomes, those with management and planning interests in sport tourism must be conscious of the impacts of their decisions throughout the full range of these realms rather t</w:t>
      </w:r>
      <w:r>
        <w:rPr>
          <w:color w:val="231F20"/>
        </w:rPr>
        <w:t>han just at the centre. This awareness needs to be accompanied by a constructive integrated approach to development.</w:t>
      </w:r>
    </w:p>
    <w:p w14:paraId="72E97C83" w14:textId="77777777" w:rsidR="00AE0598" w:rsidRDefault="0069255A">
      <w:pPr>
        <w:pStyle w:val="Corpodetexto"/>
        <w:spacing w:before="16" w:line="232" w:lineRule="auto"/>
        <w:ind w:left="110" w:right="127" w:firstLine="320"/>
        <w:jc w:val="both"/>
      </w:pPr>
      <w:r>
        <w:rPr>
          <w:color w:val="231F20"/>
        </w:rPr>
        <w:t>The</w:t>
      </w:r>
      <w:r>
        <w:rPr>
          <w:color w:val="231F20"/>
          <w:spacing w:val="30"/>
        </w:rPr>
        <w:t xml:space="preserve"> </w:t>
      </w:r>
      <w:r>
        <w:rPr>
          <w:color w:val="231F20"/>
        </w:rPr>
        <w:t>sport</w:t>
      </w:r>
      <w:r>
        <w:rPr>
          <w:color w:val="231F20"/>
          <w:spacing w:val="30"/>
        </w:rPr>
        <w:t xml:space="preserve"> </w:t>
      </w:r>
      <w:r>
        <w:rPr>
          <w:color w:val="231F20"/>
        </w:rPr>
        <w:t>and</w:t>
      </w:r>
      <w:r>
        <w:rPr>
          <w:color w:val="231F20"/>
          <w:spacing w:val="30"/>
        </w:rPr>
        <w:t xml:space="preserve"> </w:t>
      </w:r>
      <w:r>
        <w:rPr>
          <w:color w:val="231F20"/>
        </w:rPr>
        <w:t>tourism</w:t>
      </w:r>
      <w:r>
        <w:rPr>
          <w:color w:val="231F20"/>
          <w:spacing w:val="30"/>
        </w:rPr>
        <w:t xml:space="preserve"> </w:t>
      </w:r>
      <w:r>
        <w:rPr>
          <w:color w:val="231F20"/>
        </w:rPr>
        <w:t>industries</w:t>
      </w:r>
      <w:r>
        <w:rPr>
          <w:color w:val="231F20"/>
          <w:spacing w:val="30"/>
        </w:rPr>
        <w:t xml:space="preserve"> </w:t>
      </w:r>
      <w:r>
        <w:rPr>
          <w:color w:val="231F20"/>
        </w:rPr>
        <w:t>have</w:t>
      </w:r>
      <w:r>
        <w:rPr>
          <w:color w:val="231F20"/>
          <w:spacing w:val="30"/>
        </w:rPr>
        <w:t xml:space="preserve"> </w:t>
      </w:r>
      <w:r>
        <w:rPr>
          <w:color w:val="231F20"/>
        </w:rPr>
        <w:t>vested</w:t>
      </w:r>
      <w:r>
        <w:rPr>
          <w:color w:val="231F20"/>
          <w:spacing w:val="30"/>
        </w:rPr>
        <w:t xml:space="preserve"> </w:t>
      </w:r>
      <w:r>
        <w:rPr>
          <w:color w:val="231F20"/>
        </w:rPr>
        <w:t>interests</w:t>
      </w:r>
      <w:r>
        <w:rPr>
          <w:color w:val="231F20"/>
          <w:spacing w:val="30"/>
        </w:rPr>
        <w:t xml:space="preserve"> </w:t>
      </w:r>
      <w:r>
        <w:rPr>
          <w:color w:val="231F20"/>
        </w:rPr>
        <w:t>as</w:t>
      </w:r>
      <w:r>
        <w:rPr>
          <w:color w:val="231F20"/>
          <w:spacing w:val="30"/>
        </w:rPr>
        <w:t xml:space="preserve"> </w:t>
      </w:r>
      <w:r>
        <w:rPr>
          <w:color w:val="231F20"/>
        </w:rPr>
        <w:t>well</w:t>
      </w:r>
      <w:r>
        <w:rPr>
          <w:color w:val="231F20"/>
          <w:spacing w:val="30"/>
        </w:rPr>
        <w:t xml:space="preserve"> </w:t>
      </w:r>
      <w:r>
        <w:rPr>
          <w:color w:val="231F20"/>
        </w:rPr>
        <w:t xml:space="preserve">as a moral obligation to meet the goal of sustainability. At a micro level, </w:t>
      </w:r>
      <w:r>
        <w:rPr>
          <w:color w:val="231F20"/>
          <w:w w:val="95"/>
        </w:rPr>
        <w:t>sustainable development has a direct impact on the return on investment for</w:t>
      </w:r>
      <w:r>
        <w:rPr>
          <w:color w:val="231F20"/>
          <w:spacing w:val="8"/>
        </w:rPr>
        <w:t xml:space="preserve"> </w:t>
      </w:r>
      <w:r>
        <w:rPr>
          <w:color w:val="231F20"/>
          <w:w w:val="95"/>
        </w:rPr>
        <w:t>sport</w:t>
      </w:r>
      <w:r>
        <w:rPr>
          <w:color w:val="231F20"/>
          <w:spacing w:val="9"/>
        </w:rPr>
        <w:t xml:space="preserve"> </w:t>
      </w:r>
      <w:r>
        <w:rPr>
          <w:color w:val="231F20"/>
          <w:w w:val="95"/>
        </w:rPr>
        <w:t>tourism</w:t>
      </w:r>
      <w:r>
        <w:rPr>
          <w:color w:val="231F20"/>
          <w:spacing w:val="9"/>
        </w:rPr>
        <w:t xml:space="preserve"> </w:t>
      </w:r>
      <w:r>
        <w:rPr>
          <w:color w:val="231F20"/>
          <w:w w:val="95"/>
        </w:rPr>
        <w:t>businesses</w:t>
      </w:r>
      <w:r>
        <w:rPr>
          <w:color w:val="231F20"/>
          <w:spacing w:val="9"/>
        </w:rPr>
        <w:t xml:space="preserve"> </w:t>
      </w:r>
      <w:r>
        <w:rPr>
          <w:color w:val="231F20"/>
          <w:w w:val="95"/>
        </w:rPr>
        <w:t>and</w:t>
      </w:r>
      <w:r>
        <w:rPr>
          <w:color w:val="231F20"/>
          <w:spacing w:val="9"/>
        </w:rPr>
        <w:t xml:space="preserve"> </w:t>
      </w:r>
      <w:r>
        <w:rPr>
          <w:color w:val="231F20"/>
          <w:w w:val="95"/>
        </w:rPr>
        <w:t>the</w:t>
      </w:r>
      <w:r>
        <w:rPr>
          <w:color w:val="231F20"/>
          <w:spacing w:val="9"/>
        </w:rPr>
        <w:t xml:space="preserve"> </w:t>
      </w:r>
      <w:r>
        <w:rPr>
          <w:color w:val="231F20"/>
          <w:w w:val="95"/>
        </w:rPr>
        <w:t>communities</w:t>
      </w:r>
      <w:r>
        <w:rPr>
          <w:color w:val="231F20"/>
          <w:spacing w:val="9"/>
        </w:rPr>
        <w:t xml:space="preserve"> </w:t>
      </w:r>
      <w:r>
        <w:rPr>
          <w:color w:val="231F20"/>
          <w:w w:val="95"/>
        </w:rPr>
        <w:t>in</w:t>
      </w:r>
      <w:r>
        <w:rPr>
          <w:color w:val="231F20"/>
          <w:spacing w:val="8"/>
        </w:rPr>
        <w:t xml:space="preserve"> </w:t>
      </w:r>
      <w:r>
        <w:rPr>
          <w:color w:val="231F20"/>
          <w:w w:val="95"/>
        </w:rPr>
        <w:t>which</w:t>
      </w:r>
      <w:r>
        <w:rPr>
          <w:color w:val="231F20"/>
          <w:spacing w:val="9"/>
        </w:rPr>
        <w:t xml:space="preserve"> </w:t>
      </w:r>
      <w:r>
        <w:rPr>
          <w:color w:val="231F20"/>
          <w:w w:val="95"/>
        </w:rPr>
        <w:t>they</w:t>
      </w:r>
      <w:r>
        <w:rPr>
          <w:color w:val="231F20"/>
          <w:spacing w:val="9"/>
        </w:rPr>
        <w:t xml:space="preserve"> </w:t>
      </w:r>
      <w:r>
        <w:rPr>
          <w:color w:val="231F20"/>
          <w:spacing w:val="-2"/>
          <w:w w:val="95"/>
        </w:rPr>
        <w:t>function.</w:t>
      </w:r>
    </w:p>
    <w:p w14:paraId="025A9751" w14:textId="77777777" w:rsidR="00AE0598" w:rsidRDefault="00AE0598">
      <w:pPr>
        <w:spacing w:line="232" w:lineRule="auto"/>
        <w:jc w:val="both"/>
        <w:sectPr w:rsidR="00AE0598">
          <w:type w:val="continuous"/>
          <w:pgSz w:w="8850" w:h="13270"/>
          <w:pgMar w:top="1080" w:right="1060" w:bottom="280" w:left="1080" w:header="720" w:footer="720" w:gutter="0"/>
          <w:cols w:space="720"/>
        </w:sectPr>
      </w:pPr>
    </w:p>
    <w:p w14:paraId="686BBD4A" w14:textId="77777777" w:rsidR="00AE0598" w:rsidRDefault="0069255A">
      <w:pPr>
        <w:spacing w:before="87"/>
        <w:ind w:left="4067"/>
        <w:rPr>
          <w:rFonts w:ascii="Trebuchet MS"/>
          <w:sz w:val="14"/>
        </w:rPr>
      </w:pPr>
      <w:r>
        <w:rPr>
          <w:rFonts w:ascii="Trebuchet MS"/>
          <w:color w:val="231F20"/>
          <w:w w:val="105"/>
          <w:sz w:val="14"/>
        </w:rPr>
        <w:lastRenderedPageBreak/>
        <w:t>Development</w:t>
      </w:r>
      <w:r>
        <w:rPr>
          <w:rFonts w:ascii="Trebuchet MS"/>
          <w:color w:val="231F20"/>
          <w:spacing w:val="-12"/>
          <w:w w:val="105"/>
          <w:sz w:val="14"/>
        </w:rPr>
        <w:t xml:space="preserve"> </w:t>
      </w:r>
      <w:r>
        <w:rPr>
          <w:rFonts w:ascii="Trebuchet MS"/>
          <w:color w:val="231F20"/>
          <w:w w:val="105"/>
          <w:sz w:val="14"/>
        </w:rPr>
        <w:t>Processes</w:t>
      </w:r>
      <w:r>
        <w:rPr>
          <w:rFonts w:ascii="Trebuchet MS"/>
          <w:color w:val="231F20"/>
          <w:spacing w:val="-11"/>
          <w:w w:val="105"/>
          <w:sz w:val="14"/>
        </w:rPr>
        <w:t xml:space="preserve"> </w:t>
      </w:r>
      <w:r>
        <w:rPr>
          <w:rFonts w:ascii="Trebuchet MS"/>
          <w:color w:val="231F20"/>
          <w:w w:val="105"/>
          <w:sz w:val="14"/>
        </w:rPr>
        <w:t>and</w:t>
      </w:r>
      <w:r>
        <w:rPr>
          <w:rFonts w:ascii="Trebuchet MS"/>
          <w:color w:val="231F20"/>
          <w:spacing w:val="-11"/>
          <w:w w:val="105"/>
          <w:sz w:val="14"/>
        </w:rPr>
        <w:t xml:space="preserve"> </w:t>
      </w:r>
      <w:r>
        <w:rPr>
          <w:rFonts w:ascii="Trebuchet MS"/>
          <w:color w:val="231F20"/>
          <w:w w:val="105"/>
          <w:sz w:val="14"/>
        </w:rPr>
        <w:t>Issues</w:t>
      </w:r>
      <w:r>
        <w:rPr>
          <w:rFonts w:ascii="Trebuchet MS"/>
          <w:color w:val="231F20"/>
          <w:spacing w:val="77"/>
          <w:w w:val="105"/>
          <w:sz w:val="14"/>
        </w:rPr>
        <w:t xml:space="preserve"> </w:t>
      </w:r>
      <w:r>
        <w:rPr>
          <w:rFonts w:ascii="Trebuchet MS"/>
          <w:color w:val="231F20"/>
          <w:spacing w:val="-5"/>
          <w:w w:val="105"/>
          <w:sz w:val="14"/>
        </w:rPr>
        <w:t>67</w:t>
      </w:r>
    </w:p>
    <w:p w14:paraId="0849A8F0" w14:textId="77777777" w:rsidR="00AE0598" w:rsidRDefault="00AE0598">
      <w:pPr>
        <w:pStyle w:val="Corpodetexto"/>
        <w:rPr>
          <w:rFonts w:ascii="Trebuchet MS"/>
          <w:sz w:val="16"/>
        </w:rPr>
      </w:pPr>
    </w:p>
    <w:p w14:paraId="0CE2BCA2" w14:textId="77777777" w:rsidR="00AE0598" w:rsidRDefault="0069255A">
      <w:pPr>
        <w:pStyle w:val="Corpodetexto"/>
        <w:spacing w:before="118" w:line="232" w:lineRule="auto"/>
        <w:ind w:left="110" w:right="127"/>
        <w:jc w:val="both"/>
      </w:pPr>
      <w:r>
        <w:rPr>
          <w:color w:val="231F20"/>
        </w:rPr>
        <w:t>At</w:t>
      </w:r>
      <w:r>
        <w:rPr>
          <w:color w:val="231F20"/>
          <w:spacing w:val="-7"/>
        </w:rPr>
        <w:t xml:space="preserve"> </w:t>
      </w:r>
      <w:r>
        <w:rPr>
          <w:color w:val="231F20"/>
        </w:rPr>
        <w:t>a</w:t>
      </w:r>
      <w:r>
        <w:rPr>
          <w:color w:val="231F20"/>
          <w:spacing w:val="-7"/>
        </w:rPr>
        <w:t xml:space="preserve"> </w:t>
      </w:r>
      <w:r>
        <w:rPr>
          <w:color w:val="231F20"/>
        </w:rPr>
        <w:t>macro</w:t>
      </w:r>
      <w:r>
        <w:rPr>
          <w:color w:val="231F20"/>
          <w:spacing w:val="-7"/>
        </w:rPr>
        <w:t xml:space="preserve"> </w:t>
      </w:r>
      <w:r>
        <w:rPr>
          <w:color w:val="231F20"/>
        </w:rPr>
        <w:t>level,</w:t>
      </w:r>
      <w:r>
        <w:rPr>
          <w:color w:val="231F20"/>
          <w:spacing w:val="-7"/>
        </w:rPr>
        <w:t xml:space="preserve"> </w:t>
      </w:r>
      <w:r>
        <w:rPr>
          <w:color w:val="231F20"/>
        </w:rPr>
        <w:t>sustainable</w:t>
      </w:r>
      <w:r>
        <w:rPr>
          <w:color w:val="231F20"/>
          <w:spacing w:val="-7"/>
        </w:rPr>
        <w:t xml:space="preserve"> </w:t>
      </w:r>
      <w:r>
        <w:rPr>
          <w:color w:val="231F20"/>
        </w:rPr>
        <w:t>development</w:t>
      </w:r>
      <w:r>
        <w:rPr>
          <w:color w:val="231F20"/>
          <w:spacing w:val="-7"/>
        </w:rPr>
        <w:t xml:space="preserve"> </w:t>
      </w:r>
      <w:r>
        <w:rPr>
          <w:color w:val="231F20"/>
        </w:rPr>
        <w:t>has</w:t>
      </w:r>
      <w:r>
        <w:rPr>
          <w:color w:val="231F20"/>
          <w:spacing w:val="-7"/>
        </w:rPr>
        <w:t xml:space="preserve"> </w:t>
      </w:r>
      <w:r>
        <w:rPr>
          <w:color w:val="231F20"/>
        </w:rPr>
        <w:t>global</w:t>
      </w:r>
      <w:r>
        <w:rPr>
          <w:color w:val="231F20"/>
          <w:spacing w:val="-7"/>
        </w:rPr>
        <w:t xml:space="preserve"> </w:t>
      </w:r>
      <w:r>
        <w:rPr>
          <w:color w:val="231F20"/>
        </w:rPr>
        <w:t>implications</w:t>
      </w:r>
      <w:r>
        <w:rPr>
          <w:color w:val="231F20"/>
          <w:spacing w:val="-7"/>
        </w:rPr>
        <w:t xml:space="preserve"> </w:t>
      </w:r>
      <w:r>
        <w:rPr>
          <w:color w:val="231F20"/>
        </w:rPr>
        <w:t xml:space="preserve">across an intricate web of social, economic and environmental domains (Focus Point 4.1). The natural tendency of developers is to focus on economic goals, but if environmental and social cultural resources are viewed as a </w:t>
      </w:r>
      <w:r>
        <w:rPr>
          <w:color w:val="231F20"/>
          <w:w w:val="95"/>
        </w:rPr>
        <w:t>form of capital, a st</w:t>
      </w:r>
      <w:r>
        <w:rPr>
          <w:color w:val="231F20"/>
          <w:w w:val="95"/>
        </w:rPr>
        <w:t xml:space="preserve">rong business argument exists for sustainable practices </w:t>
      </w:r>
      <w:r>
        <w:rPr>
          <w:color w:val="231F20"/>
        </w:rPr>
        <w:t>(Hall,</w:t>
      </w:r>
      <w:r>
        <w:rPr>
          <w:color w:val="231F20"/>
          <w:spacing w:val="-6"/>
        </w:rPr>
        <w:t xml:space="preserve"> </w:t>
      </w:r>
      <w:r>
        <w:rPr>
          <w:color w:val="231F20"/>
        </w:rPr>
        <w:t>2008).</w:t>
      </w:r>
      <w:r>
        <w:rPr>
          <w:color w:val="231F20"/>
          <w:spacing w:val="-6"/>
        </w:rPr>
        <w:t xml:space="preserve"> </w:t>
      </w:r>
      <w:r>
        <w:rPr>
          <w:color w:val="231F20"/>
        </w:rPr>
        <w:t>Beyond</w:t>
      </w:r>
      <w:r>
        <w:rPr>
          <w:color w:val="231F20"/>
          <w:spacing w:val="-6"/>
        </w:rPr>
        <w:t xml:space="preserve"> </w:t>
      </w:r>
      <w:r>
        <w:rPr>
          <w:color w:val="231F20"/>
        </w:rPr>
        <w:t>the</w:t>
      </w:r>
      <w:r>
        <w:rPr>
          <w:color w:val="231F20"/>
          <w:spacing w:val="-6"/>
        </w:rPr>
        <w:t xml:space="preserve"> </w:t>
      </w:r>
      <w:r>
        <w:rPr>
          <w:color w:val="231F20"/>
        </w:rPr>
        <w:t>business</w:t>
      </w:r>
      <w:r>
        <w:rPr>
          <w:color w:val="231F20"/>
          <w:spacing w:val="-6"/>
        </w:rPr>
        <w:t xml:space="preserve"> </w:t>
      </w:r>
      <w:r>
        <w:rPr>
          <w:color w:val="231F20"/>
        </w:rPr>
        <w:t>rationale,</w:t>
      </w:r>
      <w:r>
        <w:rPr>
          <w:color w:val="231F20"/>
          <w:spacing w:val="-6"/>
        </w:rPr>
        <w:t xml:space="preserve"> </w:t>
      </w:r>
      <w:r>
        <w:rPr>
          <w:color w:val="231F20"/>
        </w:rPr>
        <w:t>a</w:t>
      </w:r>
      <w:r>
        <w:rPr>
          <w:color w:val="231F20"/>
          <w:spacing w:val="-6"/>
        </w:rPr>
        <w:t xml:space="preserve"> </w:t>
      </w:r>
      <w:r>
        <w:rPr>
          <w:color w:val="231F20"/>
        </w:rPr>
        <w:t>moral</w:t>
      </w:r>
      <w:r>
        <w:rPr>
          <w:color w:val="231F20"/>
          <w:spacing w:val="-6"/>
        </w:rPr>
        <w:t xml:space="preserve"> </w:t>
      </w:r>
      <w:r>
        <w:rPr>
          <w:color w:val="231F20"/>
        </w:rPr>
        <w:t>responsibility</w:t>
      </w:r>
      <w:r>
        <w:rPr>
          <w:color w:val="231F20"/>
          <w:spacing w:val="-6"/>
        </w:rPr>
        <w:t xml:space="preserve"> </w:t>
      </w:r>
      <w:r>
        <w:rPr>
          <w:color w:val="231F20"/>
        </w:rPr>
        <w:t xml:space="preserve">exists for the pursuit of sustainable development at both the micro and macro </w:t>
      </w:r>
      <w:r>
        <w:rPr>
          <w:color w:val="231F20"/>
          <w:w w:val="95"/>
        </w:rPr>
        <w:t>levels (Pawłowski, 2008). The global relevance of sust</w:t>
      </w:r>
      <w:r>
        <w:rPr>
          <w:color w:val="231F20"/>
          <w:w w:val="95"/>
        </w:rPr>
        <w:t xml:space="preserve">ainable tourism was </w:t>
      </w:r>
      <w:r>
        <w:rPr>
          <w:color w:val="231F20"/>
        </w:rPr>
        <w:t>highlighted by the United Nations designating 2017 as the International Year of Sustainable Tourism for Development. This designation, along with the UN’s Sustainable Development Goals (Table 4.1), provides an ambitious target for secto</w:t>
      </w:r>
      <w:r>
        <w:rPr>
          <w:color w:val="231F20"/>
        </w:rPr>
        <w:t>rs like sport tourism.</w:t>
      </w:r>
    </w:p>
    <w:p w14:paraId="716B443A" w14:textId="77777777" w:rsidR="00AE0598" w:rsidRDefault="00AE0598">
      <w:pPr>
        <w:pStyle w:val="Corpodetexto"/>
        <w:rPr>
          <w:sz w:val="20"/>
        </w:rPr>
      </w:pPr>
    </w:p>
    <w:p w14:paraId="3B2559CF" w14:textId="77777777" w:rsidR="00AE0598" w:rsidRDefault="00AE0598">
      <w:pPr>
        <w:pStyle w:val="Corpodetexto"/>
        <w:spacing w:before="1"/>
        <w:rPr>
          <w:sz w:val="20"/>
        </w:rPr>
      </w:pPr>
    </w:p>
    <w:p w14:paraId="22F3340A" w14:textId="5CCE4E43" w:rsidR="00AE0598" w:rsidRDefault="0069255A">
      <w:pPr>
        <w:spacing w:line="247" w:lineRule="auto"/>
        <w:ind w:left="223"/>
        <w:rPr>
          <w:rFonts w:ascii="Trebuchet MS" w:hAnsi="Trebuchet MS"/>
          <w:sz w:val="20"/>
        </w:rPr>
      </w:pPr>
      <w:r>
        <w:rPr>
          <w:noProof/>
        </w:rPr>
        <mc:AlternateContent>
          <mc:Choice Requires="wps">
            <w:drawing>
              <wp:anchor distT="0" distB="0" distL="114300" distR="114300" simplePos="0" relativeHeight="483686400" behindDoc="1" locked="0" layoutInCell="1" allowOverlap="1" wp14:anchorId="71D0B3C7" wp14:editId="74D9A650">
                <wp:simplePos x="0" y="0"/>
                <wp:positionH relativeFrom="page">
                  <wp:posOffset>755650</wp:posOffset>
                </wp:positionH>
                <wp:positionV relativeFrom="paragraph">
                  <wp:posOffset>-48260</wp:posOffset>
                </wp:positionV>
                <wp:extent cx="4104005" cy="4636135"/>
                <wp:effectExtent l="0" t="0" r="0" b="0"/>
                <wp:wrapNone/>
                <wp:docPr id="258" name="docshape1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04005" cy="4636135"/>
                        </a:xfrm>
                        <a:prstGeom prst="rect">
                          <a:avLst/>
                        </a:prstGeom>
                        <a:solidFill>
                          <a:srgbClr val="DCDDD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D52EEA" id="docshape116" o:spid="_x0000_s1026" style="position:absolute;margin-left:59.5pt;margin-top:-3.8pt;width:323.15pt;height:365.05pt;z-index:-196300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" fillcolor="#dcddde" stroked="f">
                <w10:wrap anchorx="page"/>
              </v:rect>
            </w:pict>
          </mc:Fallback>
        </mc:AlternateContent>
      </w:r>
      <w:r>
        <w:rPr>
          <w:rFonts w:ascii="Trebuchet MS" w:hAnsi="Trebuchet MS"/>
          <w:color w:val="231F20"/>
          <w:w w:val="105"/>
          <w:sz w:val="20"/>
        </w:rPr>
        <w:t>Focus</w:t>
      </w:r>
      <w:r>
        <w:rPr>
          <w:rFonts w:ascii="Trebuchet MS" w:hAnsi="Trebuchet MS"/>
          <w:color w:val="231F20"/>
          <w:spacing w:val="-16"/>
          <w:w w:val="105"/>
          <w:sz w:val="20"/>
        </w:rPr>
        <w:t xml:space="preserve"> </w:t>
      </w:r>
      <w:r>
        <w:rPr>
          <w:rFonts w:ascii="Trebuchet MS" w:hAnsi="Trebuchet MS"/>
          <w:color w:val="231F20"/>
          <w:w w:val="105"/>
          <w:sz w:val="20"/>
        </w:rPr>
        <w:t>Point</w:t>
      </w:r>
      <w:r>
        <w:rPr>
          <w:rFonts w:ascii="Trebuchet MS" w:hAnsi="Trebuchet MS"/>
          <w:color w:val="231F20"/>
          <w:spacing w:val="-16"/>
          <w:w w:val="105"/>
          <w:sz w:val="20"/>
        </w:rPr>
        <w:t xml:space="preserve"> </w:t>
      </w:r>
      <w:r>
        <w:rPr>
          <w:rFonts w:ascii="Trebuchet MS" w:hAnsi="Trebuchet MS"/>
          <w:color w:val="231F20"/>
          <w:w w:val="105"/>
          <w:sz w:val="20"/>
        </w:rPr>
        <w:t>4.1:</w:t>
      </w:r>
      <w:r>
        <w:rPr>
          <w:rFonts w:ascii="Trebuchet MS" w:hAnsi="Trebuchet MS"/>
          <w:color w:val="231F20"/>
          <w:spacing w:val="-16"/>
          <w:w w:val="105"/>
          <w:sz w:val="20"/>
        </w:rPr>
        <w:t xml:space="preserve"> </w:t>
      </w:r>
      <w:r>
        <w:rPr>
          <w:rFonts w:ascii="Trebuchet MS" w:hAnsi="Trebuchet MS"/>
          <w:color w:val="231F20"/>
          <w:w w:val="105"/>
          <w:sz w:val="20"/>
        </w:rPr>
        <w:t>Sustaining</w:t>
      </w:r>
      <w:r>
        <w:rPr>
          <w:rFonts w:ascii="Trebuchet MS" w:hAnsi="Trebuchet MS"/>
          <w:color w:val="231F20"/>
          <w:spacing w:val="-16"/>
          <w:w w:val="105"/>
          <w:sz w:val="20"/>
        </w:rPr>
        <w:t xml:space="preserve"> </w:t>
      </w:r>
      <w:r>
        <w:rPr>
          <w:rFonts w:ascii="Trebuchet MS" w:hAnsi="Trebuchet MS"/>
          <w:color w:val="231F20"/>
          <w:w w:val="105"/>
          <w:sz w:val="20"/>
        </w:rPr>
        <w:t>Participatory</w:t>
      </w:r>
      <w:r>
        <w:rPr>
          <w:rFonts w:ascii="Trebuchet MS" w:hAnsi="Trebuchet MS"/>
          <w:color w:val="231F20"/>
          <w:spacing w:val="-16"/>
          <w:w w:val="105"/>
          <w:sz w:val="20"/>
        </w:rPr>
        <w:t xml:space="preserve"> </w:t>
      </w:r>
      <w:r>
        <w:rPr>
          <w:rFonts w:ascii="Trebuchet MS" w:hAnsi="Trebuchet MS"/>
          <w:color w:val="231F20"/>
          <w:w w:val="105"/>
          <w:sz w:val="20"/>
        </w:rPr>
        <w:t>Events</w:t>
      </w:r>
      <w:r>
        <w:rPr>
          <w:rFonts w:ascii="Trebuchet MS" w:hAnsi="Trebuchet MS"/>
          <w:color w:val="231F20"/>
          <w:spacing w:val="-15"/>
          <w:w w:val="105"/>
          <w:sz w:val="20"/>
        </w:rPr>
        <w:t xml:space="preserve"> </w:t>
      </w:r>
      <w:r>
        <w:rPr>
          <w:rFonts w:ascii="Trebuchet MS" w:hAnsi="Trebuchet MS"/>
          <w:color w:val="231F20"/>
          <w:w w:val="105"/>
          <w:sz w:val="20"/>
        </w:rPr>
        <w:t>–</w:t>
      </w:r>
      <w:r>
        <w:rPr>
          <w:rFonts w:ascii="Trebuchet MS" w:hAnsi="Trebuchet MS"/>
          <w:color w:val="231F20"/>
          <w:spacing w:val="-16"/>
          <w:w w:val="105"/>
          <w:sz w:val="20"/>
        </w:rPr>
        <w:t xml:space="preserve"> </w:t>
      </w:r>
      <w:r>
        <w:rPr>
          <w:rFonts w:ascii="Trebuchet MS" w:hAnsi="Trebuchet MS"/>
          <w:color w:val="231F20"/>
          <w:w w:val="105"/>
          <w:sz w:val="20"/>
        </w:rPr>
        <w:t>The</w:t>
      </w:r>
      <w:r>
        <w:rPr>
          <w:rFonts w:ascii="Trebuchet MS" w:hAnsi="Trebuchet MS"/>
          <w:color w:val="231F20"/>
          <w:spacing w:val="-16"/>
          <w:w w:val="105"/>
          <w:sz w:val="20"/>
        </w:rPr>
        <w:t xml:space="preserve"> </w:t>
      </w:r>
      <w:r>
        <w:rPr>
          <w:rFonts w:ascii="Trebuchet MS" w:hAnsi="Trebuchet MS"/>
          <w:color w:val="231F20"/>
          <w:w w:val="105"/>
          <w:sz w:val="20"/>
        </w:rPr>
        <w:t>Case</w:t>
      </w:r>
      <w:r>
        <w:rPr>
          <w:rFonts w:ascii="Trebuchet MS" w:hAnsi="Trebuchet MS"/>
          <w:color w:val="231F20"/>
          <w:spacing w:val="-16"/>
          <w:w w:val="105"/>
          <w:sz w:val="20"/>
        </w:rPr>
        <w:t xml:space="preserve"> </w:t>
      </w:r>
      <w:r>
        <w:rPr>
          <w:rFonts w:ascii="Trebuchet MS" w:hAnsi="Trebuchet MS"/>
          <w:color w:val="231F20"/>
          <w:w w:val="105"/>
          <w:sz w:val="20"/>
        </w:rPr>
        <w:t>of</w:t>
      </w:r>
      <w:r>
        <w:rPr>
          <w:rFonts w:ascii="Trebuchet MS" w:hAnsi="Trebuchet MS"/>
          <w:color w:val="231F20"/>
          <w:spacing w:val="-16"/>
          <w:w w:val="105"/>
          <w:sz w:val="20"/>
        </w:rPr>
        <w:t xml:space="preserve"> </w:t>
      </w:r>
      <w:r>
        <w:rPr>
          <w:rFonts w:ascii="Trebuchet MS" w:hAnsi="Trebuchet MS"/>
          <w:color w:val="231F20"/>
          <w:w w:val="105"/>
          <w:sz w:val="20"/>
        </w:rPr>
        <w:t>the Canadian Death Race (CDR)</w:t>
      </w:r>
    </w:p>
    <w:p w14:paraId="6720354D" w14:textId="77777777" w:rsidR="00AE0598" w:rsidRDefault="0069255A">
      <w:pPr>
        <w:pStyle w:val="Corpodetexto"/>
        <w:spacing w:before="116" w:line="232" w:lineRule="auto"/>
        <w:ind w:left="223" w:right="241"/>
        <w:jc w:val="both"/>
      </w:pPr>
      <w:r>
        <w:rPr>
          <w:color w:val="231F20"/>
          <w:w w:val="95"/>
        </w:rPr>
        <w:t xml:space="preserve">The CDR is an ultramarathon event held in the small isolated community </w:t>
      </w:r>
      <w:r>
        <w:rPr>
          <w:color w:val="231F20"/>
        </w:rPr>
        <w:t>of Grande</w:t>
      </w:r>
      <w:r>
        <w:rPr>
          <w:color w:val="231F20"/>
          <w:spacing w:val="-7"/>
        </w:rPr>
        <w:t xml:space="preserve"> </w:t>
      </w:r>
      <w:r>
        <w:rPr>
          <w:color w:val="231F20"/>
        </w:rPr>
        <w:t>Cache</w:t>
      </w:r>
      <w:r>
        <w:rPr>
          <w:color w:val="231F20"/>
          <w:spacing w:val="-7"/>
        </w:rPr>
        <w:t xml:space="preserve"> </w:t>
      </w:r>
      <w:r>
        <w:rPr>
          <w:color w:val="231F20"/>
        </w:rPr>
        <w:t>(GC),</w:t>
      </w:r>
      <w:r>
        <w:rPr>
          <w:color w:val="231F20"/>
          <w:spacing w:val="-7"/>
        </w:rPr>
        <w:t xml:space="preserve"> </w:t>
      </w:r>
      <w:r>
        <w:rPr>
          <w:color w:val="231F20"/>
        </w:rPr>
        <w:t>Canada,</w:t>
      </w:r>
      <w:r>
        <w:rPr>
          <w:color w:val="231F20"/>
          <w:spacing w:val="-7"/>
        </w:rPr>
        <w:t xml:space="preserve"> </w:t>
      </w:r>
      <w:r>
        <w:rPr>
          <w:color w:val="231F20"/>
        </w:rPr>
        <w:t>which</w:t>
      </w:r>
      <w:r>
        <w:rPr>
          <w:color w:val="231F20"/>
          <w:spacing w:val="-7"/>
        </w:rPr>
        <w:t xml:space="preserve"> </w:t>
      </w:r>
      <w:r>
        <w:rPr>
          <w:color w:val="231F20"/>
        </w:rPr>
        <w:t>has</w:t>
      </w:r>
      <w:r>
        <w:rPr>
          <w:color w:val="231F20"/>
          <w:spacing w:val="-7"/>
        </w:rPr>
        <w:t xml:space="preserve"> </w:t>
      </w:r>
      <w:r>
        <w:rPr>
          <w:color w:val="231F20"/>
        </w:rPr>
        <w:t>a</w:t>
      </w:r>
      <w:r>
        <w:rPr>
          <w:color w:val="231F20"/>
          <w:spacing w:val="-7"/>
        </w:rPr>
        <w:t xml:space="preserve"> </w:t>
      </w:r>
      <w:r>
        <w:rPr>
          <w:color w:val="231F20"/>
        </w:rPr>
        <w:t>population</w:t>
      </w:r>
      <w:r>
        <w:rPr>
          <w:color w:val="231F20"/>
          <w:spacing w:val="-7"/>
        </w:rPr>
        <w:t xml:space="preserve"> </w:t>
      </w:r>
      <w:r>
        <w:rPr>
          <w:color w:val="231F20"/>
        </w:rPr>
        <w:t>of 4000</w:t>
      </w:r>
      <w:r>
        <w:rPr>
          <w:color w:val="231F20"/>
          <w:spacing w:val="-7"/>
        </w:rPr>
        <w:t xml:space="preserve"> </w:t>
      </w:r>
      <w:r>
        <w:rPr>
          <w:color w:val="231F20"/>
        </w:rPr>
        <w:t xml:space="preserve">(Hinch, </w:t>
      </w:r>
      <w:r>
        <w:rPr>
          <w:color w:val="231F20"/>
          <w:spacing w:val="-2"/>
        </w:rPr>
        <w:t>2013).</w:t>
      </w:r>
      <w:r>
        <w:rPr>
          <w:color w:val="231F20"/>
          <w:spacing w:val="-8"/>
        </w:rPr>
        <w:t xml:space="preserve"> </w:t>
      </w:r>
      <w:r>
        <w:rPr>
          <w:color w:val="231F20"/>
          <w:spacing w:val="-2"/>
        </w:rPr>
        <w:t>The</w:t>
      </w:r>
      <w:r>
        <w:rPr>
          <w:color w:val="231F20"/>
          <w:spacing w:val="-8"/>
        </w:rPr>
        <w:t xml:space="preserve"> </w:t>
      </w:r>
      <w:r>
        <w:rPr>
          <w:color w:val="231F20"/>
          <w:spacing w:val="-2"/>
        </w:rPr>
        <w:t>event</w:t>
      </w:r>
      <w:r>
        <w:rPr>
          <w:color w:val="231F20"/>
          <w:spacing w:val="-8"/>
        </w:rPr>
        <w:t xml:space="preserve"> </w:t>
      </w:r>
      <w:r>
        <w:rPr>
          <w:color w:val="231F20"/>
          <w:spacing w:val="-2"/>
        </w:rPr>
        <w:t>is</w:t>
      </w:r>
      <w:r>
        <w:rPr>
          <w:color w:val="231F20"/>
          <w:spacing w:val="-8"/>
        </w:rPr>
        <w:t xml:space="preserve"> </w:t>
      </w:r>
      <w:r>
        <w:rPr>
          <w:color w:val="231F20"/>
          <w:spacing w:val="-2"/>
        </w:rPr>
        <w:t>appreciated</w:t>
      </w:r>
      <w:r>
        <w:rPr>
          <w:color w:val="231F20"/>
          <w:spacing w:val="-8"/>
        </w:rPr>
        <w:t xml:space="preserve"> </w:t>
      </w:r>
      <w:r>
        <w:rPr>
          <w:color w:val="231F20"/>
          <w:spacing w:val="-2"/>
        </w:rPr>
        <w:t>in</w:t>
      </w:r>
      <w:r>
        <w:rPr>
          <w:color w:val="231F20"/>
          <w:spacing w:val="-8"/>
        </w:rPr>
        <w:t xml:space="preserve"> </w:t>
      </w:r>
      <w:r>
        <w:rPr>
          <w:color w:val="231F20"/>
          <w:spacing w:val="-2"/>
        </w:rPr>
        <w:t>GC</w:t>
      </w:r>
      <w:r>
        <w:rPr>
          <w:color w:val="231F20"/>
          <w:spacing w:val="-8"/>
        </w:rPr>
        <w:t xml:space="preserve"> </w:t>
      </w:r>
      <w:r>
        <w:rPr>
          <w:color w:val="231F20"/>
          <w:spacing w:val="-2"/>
        </w:rPr>
        <w:t>for</w:t>
      </w:r>
      <w:r>
        <w:rPr>
          <w:color w:val="231F20"/>
          <w:spacing w:val="-8"/>
        </w:rPr>
        <w:t xml:space="preserve"> </w:t>
      </w:r>
      <w:r>
        <w:rPr>
          <w:color w:val="231F20"/>
          <w:spacing w:val="-2"/>
        </w:rPr>
        <w:t>putting</w:t>
      </w:r>
      <w:r>
        <w:rPr>
          <w:color w:val="231F20"/>
          <w:spacing w:val="-8"/>
        </w:rPr>
        <w:t xml:space="preserve"> </w:t>
      </w:r>
      <w:r>
        <w:rPr>
          <w:color w:val="231F20"/>
          <w:spacing w:val="-2"/>
        </w:rPr>
        <w:t>the</w:t>
      </w:r>
      <w:r>
        <w:rPr>
          <w:color w:val="231F20"/>
          <w:spacing w:val="-8"/>
        </w:rPr>
        <w:t xml:space="preserve"> </w:t>
      </w:r>
      <w:r>
        <w:rPr>
          <w:color w:val="231F20"/>
          <w:spacing w:val="-2"/>
        </w:rPr>
        <w:t>community</w:t>
      </w:r>
      <w:r>
        <w:rPr>
          <w:color w:val="231F20"/>
          <w:spacing w:val="-8"/>
        </w:rPr>
        <w:t xml:space="preserve"> </w:t>
      </w:r>
      <w:r>
        <w:rPr>
          <w:color w:val="231F20"/>
          <w:spacing w:val="-2"/>
        </w:rPr>
        <w:t>‘on</w:t>
      </w:r>
      <w:r>
        <w:rPr>
          <w:color w:val="231F20"/>
          <w:spacing w:val="-8"/>
        </w:rPr>
        <w:t xml:space="preserve"> </w:t>
      </w:r>
      <w:r>
        <w:rPr>
          <w:color w:val="231F20"/>
          <w:spacing w:val="-2"/>
        </w:rPr>
        <w:t xml:space="preserve">the </w:t>
      </w:r>
      <w:r>
        <w:rPr>
          <w:color w:val="231F20"/>
        </w:rPr>
        <w:t>map’</w:t>
      </w:r>
      <w:r>
        <w:rPr>
          <w:color w:val="231F20"/>
          <w:spacing w:val="-5"/>
        </w:rPr>
        <w:t xml:space="preserve"> </w:t>
      </w:r>
      <w:r>
        <w:rPr>
          <w:color w:val="231F20"/>
        </w:rPr>
        <w:t>and</w:t>
      </w:r>
      <w:r>
        <w:rPr>
          <w:color w:val="231F20"/>
          <w:spacing w:val="-5"/>
        </w:rPr>
        <w:t xml:space="preserve"> </w:t>
      </w:r>
      <w:r>
        <w:rPr>
          <w:color w:val="231F20"/>
        </w:rPr>
        <w:t>providing</w:t>
      </w:r>
      <w:r>
        <w:rPr>
          <w:color w:val="231F20"/>
          <w:spacing w:val="-5"/>
        </w:rPr>
        <w:t xml:space="preserve"> </w:t>
      </w:r>
      <w:r>
        <w:rPr>
          <w:color w:val="231F20"/>
        </w:rPr>
        <w:t>a</w:t>
      </w:r>
      <w:r>
        <w:rPr>
          <w:color w:val="231F20"/>
          <w:spacing w:val="-5"/>
        </w:rPr>
        <w:t xml:space="preserve"> </w:t>
      </w:r>
      <w:r>
        <w:rPr>
          <w:color w:val="231F20"/>
        </w:rPr>
        <w:t>tourism</w:t>
      </w:r>
      <w:r>
        <w:rPr>
          <w:color w:val="231F20"/>
          <w:spacing w:val="-5"/>
        </w:rPr>
        <w:t xml:space="preserve"> </w:t>
      </w:r>
      <w:r>
        <w:rPr>
          <w:color w:val="231F20"/>
        </w:rPr>
        <w:t>initiative</w:t>
      </w:r>
      <w:r>
        <w:rPr>
          <w:color w:val="231F20"/>
          <w:spacing w:val="-5"/>
        </w:rPr>
        <w:t xml:space="preserve"> </w:t>
      </w:r>
      <w:r>
        <w:rPr>
          <w:color w:val="231F20"/>
        </w:rPr>
        <w:t>that</w:t>
      </w:r>
      <w:r>
        <w:rPr>
          <w:color w:val="231F20"/>
          <w:spacing w:val="-5"/>
        </w:rPr>
        <w:t xml:space="preserve"> </w:t>
      </w:r>
      <w:r>
        <w:rPr>
          <w:color w:val="231F20"/>
        </w:rPr>
        <w:t>helps</w:t>
      </w:r>
      <w:r>
        <w:rPr>
          <w:color w:val="231F20"/>
          <w:spacing w:val="-5"/>
        </w:rPr>
        <w:t xml:space="preserve"> </w:t>
      </w:r>
      <w:r>
        <w:rPr>
          <w:color w:val="231F20"/>
        </w:rPr>
        <w:t>to</w:t>
      </w:r>
      <w:r>
        <w:rPr>
          <w:color w:val="231F20"/>
          <w:spacing w:val="-5"/>
        </w:rPr>
        <w:t xml:space="preserve"> </w:t>
      </w:r>
      <w:r>
        <w:rPr>
          <w:color w:val="231F20"/>
        </w:rPr>
        <w:t>offset</w:t>
      </w:r>
      <w:r>
        <w:rPr>
          <w:color w:val="231F20"/>
          <w:spacing w:val="-5"/>
        </w:rPr>
        <w:t xml:space="preserve"> </w:t>
      </w:r>
      <w:r>
        <w:rPr>
          <w:color w:val="231F20"/>
        </w:rPr>
        <w:t>the</w:t>
      </w:r>
      <w:r>
        <w:rPr>
          <w:color w:val="231F20"/>
          <w:spacing w:val="-5"/>
        </w:rPr>
        <w:t xml:space="preserve"> </w:t>
      </w:r>
      <w:r>
        <w:rPr>
          <w:color w:val="231F20"/>
        </w:rPr>
        <w:t xml:space="preserve">cyclical nature of its resource extraction-based economy. The race features a </w:t>
      </w:r>
      <w:r>
        <w:rPr>
          <w:color w:val="231F20"/>
          <w:w w:val="95"/>
        </w:rPr>
        <w:t>course</w:t>
      </w:r>
      <w:r>
        <w:rPr>
          <w:color w:val="231F20"/>
          <w:spacing w:val="-10"/>
          <w:w w:val="95"/>
        </w:rPr>
        <w:t xml:space="preserve"> </w:t>
      </w:r>
      <w:r>
        <w:rPr>
          <w:color w:val="231F20"/>
          <w:w w:val="95"/>
        </w:rPr>
        <w:t>of</w:t>
      </w:r>
      <w:r>
        <w:rPr>
          <w:color w:val="231F20"/>
          <w:spacing w:val="-9"/>
          <w:w w:val="95"/>
        </w:rPr>
        <w:t xml:space="preserve"> </w:t>
      </w:r>
      <w:r>
        <w:rPr>
          <w:color w:val="231F20"/>
          <w:w w:val="95"/>
        </w:rPr>
        <w:t>five</w:t>
      </w:r>
      <w:r>
        <w:rPr>
          <w:color w:val="231F20"/>
          <w:spacing w:val="-9"/>
          <w:w w:val="95"/>
        </w:rPr>
        <w:t xml:space="preserve"> </w:t>
      </w:r>
      <w:r>
        <w:rPr>
          <w:color w:val="231F20"/>
          <w:w w:val="95"/>
        </w:rPr>
        <w:t>stages</w:t>
      </w:r>
      <w:r>
        <w:rPr>
          <w:color w:val="231F20"/>
          <w:spacing w:val="-9"/>
          <w:w w:val="95"/>
        </w:rPr>
        <w:t xml:space="preserve"> </w:t>
      </w:r>
      <w:r>
        <w:rPr>
          <w:color w:val="231F20"/>
          <w:w w:val="95"/>
        </w:rPr>
        <w:t>totalling</w:t>
      </w:r>
      <w:r>
        <w:rPr>
          <w:color w:val="231F20"/>
          <w:spacing w:val="-10"/>
          <w:w w:val="95"/>
        </w:rPr>
        <w:t xml:space="preserve"> </w:t>
      </w:r>
      <w:r>
        <w:rPr>
          <w:color w:val="231F20"/>
          <w:w w:val="95"/>
        </w:rPr>
        <w:t>125</w:t>
      </w:r>
      <w:r>
        <w:rPr>
          <w:color w:val="231F20"/>
          <w:spacing w:val="-9"/>
          <w:w w:val="95"/>
        </w:rPr>
        <w:t xml:space="preserve"> </w:t>
      </w:r>
      <w:r>
        <w:rPr>
          <w:color w:val="231F20"/>
          <w:w w:val="95"/>
        </w:rPr>
        <w:t>km</w:t>
      </w:r>
      <w:r>
        <w:rPr>
          <w:color w:val="231F20"/>
          <w:spacing w:val="-9"/>
          <w:w w:val="95"/>
        </w:rPr>
        <w:t xml:space="preserve"> </w:t>
      </w:r>
      <w:r>
        <w:rPr>
          <w:color w:val="231F20"/>
          <w:w w:val="95"/>
        </w:rPr>
        <w:t>in</w:t>
      </w:r>
      <w:r>
        <w:rPr>
          <w:color w:val="231F20"/>
          <w:spacing w:val="-9"/>
          <w:w w:val="95"/>
        </w:rPr>
        <w:t xml:space="preserve"> </w:t>
      </w:r>
      <w:r>
        <w:rPr>
          <w:color w:val="231F20"/>
          <w:w w:val="95"/>
        </w:rPr>
        <w:t>distance,</w:t>
      </w:r>
      <w:r>
        <w:rPr>
          <w:color w:val="231F20"/>
          <w:spacing w:val="-10"/>
          <w:w w:val="95"/>
        </w:rPr>
        <w:t xml:space="preserve"> </w:t>
      </w:r>
      <w:r>
        <w:rPr>
          <w:color w:val="231F20"/>
          <w:w w:val="95"/>
        </w:rPr>
        <w:t>three</w:t>
      </w:r>
      <w:r>
        <w:rPr>
          <w:color w:val="231F20"/>
          <w:spacing w:val="-9"/>
          <w:w w:val="95"/>
        </w:rPr>
        <w:t xml:space="preserve"> </w:t>
      </w:r>
      <w:r>
        <w:rPr>
          <w:color w:val="231F20"/>
          <w:w w:val="95"/>
        </w:rPr>
        <w:t>mountain</w:t>
      </w:r>
      <w:r>
        <w:rPr>
          <w:color w:val="231F20"/>
          <w:spacing w:val="-9"/>
          <w:w w:val="95"/>
        </w:rPr>
        <w:t xml:space="preserve"> </w:t>
      </w:r>
      <w:r>
        <w:rPr>
          <w:color w:val="231F20"/>
          <w:w w:val="95"/>
        </w:rPr>
        <w:t>summits and 5181.6 m in elevation change, all of</w:t>
      </w:r>
      <w:r>
        <w:rPr>
          <w:color w:val="231F20"/>
        </w:rPr>
        <w:t xml:space="preserve"> </w:t>
      </w:r>
      <w:r>
        <w:rPr>
          <w:color w:val="231F20"/>
          <w:w w:val="95"/>
        </w:rPr>
        <w:t>which must be completed wi</w:t>
      </w:r>
      <w:r>
        <w:rPr>
          <w:color w:val="231F20"/>
          <w:w w:val="95"/>
        </w:rPr>
        <w:t xml:space="preserve">thin 24 hours (CDR, 2017). From its humble beginnings in 2000, participation </w:t>
      </w:r>
      <w:r>
        <w:rPr>
          <w:color w:val="231F20"/>
        </w:rPr>
        <w:t>in</w:t>
      </w:r>
      <w:r>
        <w:rPr>
          <w:color w:val="231F20"/>
          <w:spacing w:val="-8"/>
        </w:rPr>
        <w:t xml:space="preserve"> </w:t>
      </w:r>
      <w:r>
        <w:rPr>
          <w:color w:val="231F20"/>
        </w:rPr>
        <w:t>the</w:t>
      </w:r>
      <w:r>
        <w:rPr>
          <w:color w:val="231F20"/>
          <w:spacing w:val="-8"/>
        </w:rPr>
        <w:t xml:space="preserve"> </w:t>
      </w:r>
      <w:r>
        <w:rPr>
          <w:color w:val="231F20"/>
        </w:rPr>
        <w:t>race</w:t>
      </w:r>
      <w:r>
        <w:rPr>
          <w:color w:val="231F20"/>
          <w:spacing w:val="-8"/>
        </w:rPr>
        <w:t xml:space="preserve"> </w:t>
      </w:r>
      <w:r>
        <w:rPr>
          <w:color w:val="231F20"/>
        </w:rPr>
        <w:t>peaked</w:t>
      </w:r>
      <w:r>
        <w:rPr>
          <w:color w:val="231F20"/>
          <w:spacing w:val="-8"/>
        </w:rPr>
        <w:t xml:space="preserve"> </w:t>
      </w:r>
      <w:r>
        <w:rPr>
          <w:color w:val="231F20"/>
        </w:rPr>
        <w:t>at</w:t>
      </w:r>
      <w:r>
        <w:rPr>
          <w:color w:val="231F20"/>
          <w:spacing w:val="-8"/>
        </w:rPr>
        <w:t xml:space="preserve"> </w:t>
      </w:r>
      <w:r>
        <w:rPr>
          <w:color w:val="231F20"/>
        </w:rPr>
        <w:t>just</w:t>
      </w:r>
      <w:r>
        <w:rPr>
          <w:color w:val="231F20"/>
          <w:spacing w:val="-8"/>
        </w:rPr>
        <w:t xml:space="preserve"> </w:t>
      </w:r>
      <w:r>
        <w:rPr>
          <w:color w:val="231F20"/>
        </w:rPr>
        <w:t>over</w:t>
      </w:r>
      <w:r>
        <w:rPr>
          <w:color w:val="231F20"/>
          <w:spacing w:val="-8"/>
        </w:rPr>
        <w:t xml:space="preserve"> </w:t>
      </w:r>
      <w:r>
        <w:rPr>
          <w:color w:val="231F20"/>
        </w:rPr>
        <w:t>1600</w:t>
      </w:r>
      <w:r>
        <w:rPr>
          <w:color w:val="231F20"/>
          <w:spacing w:val="-8"/>
        </w:rPr>
        <w:t xml:space="preserve"> </w:t>
      </w:r>
      <w:r>
        <w:rPr>
          <w:color w:val="231F20"/>
        </w:rPr>
        <w:t>registered</w:t>
      </w:r>
      <w:r>
        <w:rPr>
          <w:color w:val="231F20"/>
          <w:spacing w:val="-8"/>
        </w:rPr>
        <w:t xml:space="preserve"> </w:t>
      </w:r>
      <w:r>
        <w:rPr>
          <w:color w:val="231F20"/>
        </w:rPr>
        <w:t>runners</w:t>
      </w:r>
      <w:r>
        <w:rPr>
          <w:color w:val="231F20"/>
          <w:spacing w:val="-8"/>
        </w:rPr>
        <w:t xml:space="preserve"> </w:t>
      </w:r>
      <w:r>
        <w:rPr>
          <w:color w:val="231F20"/>
        </w:rPr>
        <w:t>in</w:t>
      </w:r>
      <w:r>
        <w:rPr>
          <w:color w:val="231F20"/>
          <w:spacing w:val="-8"/>
        </w:rPr>
        <w:t xml:space="preserve"> </w:t>
      </w:r>
      <w:r>
        <w:rPr>
          <w:color w:val="231F20"/>
        </w:rPr>
        <w:t>2012.</w:t>
      </w:r>
      <w:r>
        <w:rPr>
          <w:color w:val="231F20"/>
          <w:spacing w:val="-8"/>
        </w:rPr>
        <w:t xml:space="preserve"> </w:t>
      </w:r>
      <w:r>
        <w:rPr>
          <w:color w:val="231F20"/>
        </w:rPr>
        <w:t>These runners and their accompanying support crews essentially double</w:t>
      </w:r>
      <w:r>
        <w:rPr>
          <w:color w:val="231F20"/>
          <w:spacing w:val="40"/>
        </w:rPr>
        <w:t xml:space="preserve"> </w:t>
      </w:r>
      <w:r>
        <w:rPr>
          <w:color w:val="231F20"/>
        </w:rPr>
        <w:t xml:space="preserve">the population of GC on race weekend. Since 2012, registrations have </w:t>
      </w:r>
      <w:r>
        <w:rPr>
          <w:color w:val="231F20"/>
          <w:w w:val="95"/>
        </w:rPr>
        <w:t>decreased</w:t>
      </w:r>
      <w:r>
        <w:rPr>
          <w:color w:val="231F20"/>
          <w:spacing w:val="-10"/>
          <w:w w:val="95"/>
        </w:rPr>
        <w:t xml:space="preserve"> </w:t>
      </w:r>
      <w:r>
        <w:rPr>
          <w:color w:val="231F20"/>
          <w:w w:val="95"/>
        </w:rPr>
        <w:t>marginally</w:t>
      </w:r>
      <w:r>
        <w:rPr>
          <w:color w:val="231F20"/>
          <w:spacing w:val="-9"/>
          <w:w w:val="95"/>
        </w:rPr>
        <w:t xml:space="preserve"> </w:t>
      </w:r>
      <w:r>
        <w:rPr>
          <w:color w:val="231F20"/>
          <w:w w:val="95"/>
        </w:rPr>
        <w:t>due</w:t>
      </w:r>
      <w:r>
        <w:rPr>
          <w:color w:val="231F20"/>
          <w:spacing w:val="-9"/>
          <w:w w:val="95"/>
        </w:rPr>
        <w:t xml:space="preserve"> </w:t>
      </w:r>
      <w:r>
        <w:rPr>
          <w:color w:val="231F20"/>
          <w:w w:val="95"/>
        </w:rPr>
        <w:t>to</w:t>
      </w:r>
      <w:r>
        <w:rPr>
          <w:color w:val="231F20"/>
          <w:spacing w:val="-9"/>
          <w:w w:val="95"/>
        </w:rPr>
        <w:t xml:space="preserve"> </w:t>
      </w:r>
      <w:r>
        <w:rPr>
          <w:color w:val="231F20"/>
          <w:w w:val="95"/>
        </w:rPr>
        <w:t>increased</w:t>
      </w:r>
      <w:r>
        <w:rPr>
          <w:color w:val="231F20"/>
          <w:spacing w:val="-10"/>
          <w:w w:val="95"/>
        </w:rPr>
        <w:t xml:space="preserve"> </w:t>
      </w:r>
      <w:r>
        <w:rPr>
          <w:color w:val="231F20"/>
          <w:w w:val="95"/>
        </w:rPr>
        <w:t>completion</w:t>
      </w:r>
      <w:r>
        <w:rPr>
          <w:color w:val="231F20"/>
          <w:spacing w:val="-9"/>
          <w:w w:val="95"/>
        </w:rPr>
        <w:t xml:space="preserve"> </w:t>
      </w:r>
      <w:r>
        <w:rPr>
          <w:color w:val="231F20"/>
          <w:w w:val="95"/>
        </w:rPr>
        <w:t>of</w:t>
      </w:r>
      <w:r>
        <w:rPr>
          <w:color w:val="231F20"/>
        </w:rPr>
        <w:t xml:space="preserve"> </w:t>
      </w:r>
      <w:r>
        <w:rPr>
          <w:color w:val="231F20"/>
          <w:w w:val="95"/>
        </w:rPr>
        <w:t>other</w:t>
      </w:r>
      <w:r>
        <w:rPr>
          <w:color w:val="231F20"/>
          <w:spacing w:val="-9"/>
          <w:w w:val="95"/>
        </w:rPr>
        <w:t xml:space="preserve"> </w:t>
      </w:r>
      <w:r>
        <w:rPr>
          <w:color w:val="231F20"/>
          <w:w w:val="95"/>
        </w:rPr>
        <w:t>events</w:t>
      </w:r>
      <w:r>
        <w:rPr>
          <w:color w:val="231F20"/>
          <w:spacing w:val="-10"/>
          <w:w w:val="95"/>
        </w:rPr>
        <w:t xml:space="preserve"> </w:t>
      </w:r>
      <w:r>
        <w:rPr>
          <w:color w:val="231F20"/>
          <w:w w:val="95"/>
        </w:rPr>
        <w:t>and</w:t>
      </w:r>
      <w:r>
        <w:rPr>
          <w:color w:val="231F20"/>
          <w:spacing w:val="-9"/>
          <w:w w:val="95"/>
        </w:rPr>
        <w:t xml:space="preserve"> </w:t>
      </w:r>
      <w:r>
        <w:rPr>
          <w:color w:val="231F20"/>
          <w:w w:val="95"/>
        </w:rPr>
        <w:t>the challenges of</w:t>
      </w:r>
      <w:r>
        <w:rPr>
          <w:color w:val="231F20"/>
        </w:rPr>
        <w:t xml:space="preserve"> </w:t>
      </w:r>
      <w:r>
        <w:rPr>
          <w:color w:val="231F20"/>
          <w:w w:val="95"/>
        </w:rPr>
        <w:t>burnout and fatigue within GC. Benefits have accrued in all major</w:t>
      </w:r>
      <w:r>
        <w:rPr>
          <w:color w:val="231F20"/>
          <w:spacing w:val="-1"/>
          <w:w w:val="95"/>
        </w:rPr>
        <w:t xml:space="preserve"> </w:t>
      </w:r>
      <w:r>
        <w:rPr>
          <w:color w:val="231F20"/>
          <w:w w:val="95"/>
        </w:rPr>
        <w:t>realms</w:t>
      </w:r>
      <w:r>
        <w:rPr>
          <w:color w:val="231F20"/>
          <w:spacing w:val="-1"/>
          <w:w w:val="95"/>
        </w:rPr>
        <w:t xml:space="preserve"> </w:t>
      </w:r>
      <w:r>
        <w:rPr>
          <w:color w:val="231F20"/>
          <w:w w:val="95"/>
        </w:rPr>
        <w:t>of</w:t>
      </w:r>
      <w:r>
        <w:rPr>
          <w:color w:val="231F20"/>
        </w:rPr>
        <w:t xml:space="preserve"> </w:t>
      </w:r>
      <w:r>
        <w:rPr>
          <w:color w:val="231F20"/>
          <w:w w:val="95"/>
        </w:rPr>
        <w:t>the</w:t>
      </w:r>
      <w:r>
        <w:rPr>
          <w:color w:val="231F20"/>
          <w:spacing w:val="-1"/>
          <w:w w:val="95"/>
        </w:rPr>
        <w:t xml:space="preserve"> </w:t>
      </w:r>
      <w:r>
        <w:rPr>
          <w:color w:val="231F20"/>
          <w:w w:val="95"/>
        </w:rPr>
        <w:t>community</w:t>
      </w:r>
      <w:r>
        <w:rPr>
          <w:color w:val="231F20"/>
          <w:spacing w:val="-1"/>
          <w:w w:val="95"/>
        </w:rPr>
        <w:t xml:space="preserve"> </w:t>
      </w:r>
      <w:r>
        <w:rPr>
          <w:color w:val="231F20"/>
          <w:w w:val="95"/>
        </w:rPr>
        <w:t>including:</w:t>
      </w:r>
      <w:r>
        <w:rPr>
          <w:color w:val="231F20"/>
          <w:spacing w:val="-1"/>
          <w:w w:val="95"/>
        </w:rPr>
        <w:t xml:space="preserve"> </w:t>
      </w:r>
      <w:r>
        <w:rPr>
          <w:color w:val="231F20"/>
          <w:w w:val="95"/>
        </w:rPr>
        <w:t>(1)</w:t>
      </w:r>
      <w:r>
        <w:rPr>
          <w:color w:val="231F20"/>
          <w:spacing w:val="-1"/>
          <w:w w:val="95"/>
        </w:rPr>
        <w:t xml:space="preserve"> </w:t>
      </w:r>
      <w:r>
        <w:rPr>
          <w:color w:val="231F20"/>
          <w:w w:val="95"/>
        </w:rPr>
        <w:t>the</w:t>
      </w:r>
      <w:r>
        <w:rPr>
          <w:color w:val="231F20"/>
          <w:spacing w:val="-1"/>
          <w:w w:val="95"/>
        </w:rPr>
        <w:t xml:space="preserve"> </w:t>
      </w:r>
      <w:r>
        <w:rPr>
          <w:color w:val="231F20"/>
          <w:w w:val="95"/>
        </w:rPr>
        <w:t>injection</w:t>
      </w:r>
      <w:r>
        <w:rPr>
          <w:color w:val="231F20"/>
          <w:spacing w:val="-1"/>
          <w:w w:val="95"/>
        </w:rPr>
        <w:t xml:space="preserve"> </w:t>
      </w:r>
      <w:r>
        <w:rPr>
          <w:color w:val="231F20"/>
          <w:w w:val="95"/>
        </w:rPr>
        <w:t>of</w:t>
      </w:r>
      <w:r>
        <w:rPr>
          <w:color w:val="231F20"/>
        </w:rPr>
        <w:t xml:space="preserve"> </w:t>
      </w:r>
      <w:r>
        <w:rPr>
          <w:color w:val="231F20"/>
          <w:w w:val="95"/>
        </w:rPr>
        <w:t xml:space="preserve">substantial </w:t>
      </w:r>
      <w:r>
        <w:rPr>
          <w:color w:val="231F20"/>
        </w:rPr>
        <w:t>revenues</w:t>
      </w:r>
      <w:r>
        <w:rPr>
          <w:color w:val="231F20"/>
          <w:spacing w:val="51"/>
        </w:rPr>
        <w:t xml:space="preserve"> </w:t>
      </w:r>
      <w:r>
        <w:rPr>
          <w:color w:val="231F20"/>
        </w:rPr>
        <w:t>for</w:t>
      </w:r>
      <w:r>
        <w:rPr>
          <w:color w:val="231F20"/>
          <w:spacing w:val="52"/>
        </w:rPr>
        <w:t xml:space="preserve"> </w:t>
      </w:r>
      <w:r>
        <w:rPr>
          <w:color w:val="231F20"/>
        </w:rPr>
        <w:t>the</w:t>
      </w:r>
      <w:r>
        <w:rPr>
          <w:color w:val="231F20"/>
          <w:spacing w:val="52"/>
        </w:rPr>
        <w:t xml:space="preserve"> </w:t>
      </w:r>
      <w:r>
        <w:rPr>
          <w:color w:val="231F20"/>
        </w:rPr>
        <w:t>accommodation</w:t>
      </w:r>
      <w:r>
        <w:rPr>
          <w:color w:val="231F20"/>
          <w:spacing w:val="52"/>
        </w:rPr>
        <w:t xml:space="preserve"> </w:t>
      </w:r>
      <w:r>
        <w:rPr>
          <w:color w:val="231F20"/>
        </w:rPr>
        <w:t>and</w:t>
      </w:r>
      <w:r>
        <w:rPr>
          <w:color w:val="231F20"/>
          <w:spacing w:val="52"/>
        </w:rPr>
        <w:t xml:space="preserve"> </w:t>
      </w:r>
      <w:r>
        <w:rPr>
          <w:color w:val="231F20"/>
        </w:rPr>
        <w:t>food</w:t>
      </w:r>
      <w:r>
        <w:rPr>
          <w:color w:val="231F20"/>
          <w:spacing w:val="51"/>
        </w:rPr>
        <w:t xml:space="preserve"> </w:t>
      </w:r>
      <w:r>
        <w:rPr>
          <w:color w:val="231F20"/>
        </w:rPr>
        <w:t>&amp;</w:t>
      </w:r>
      <w:r>
        <w:rPr>
          <w:color w:val="231F20"/>
          <w:spacing w:val="52"/>
        </w:rPr>
        <w:t xml:space="preserve"> </w:t>
      </w:r>
      <w:r>
        <w:rPr>
          <w:color w:val="231F20"/>
        </w:rPr>
        <w:t>beverage</w:t>
      </w:r>
      <w:r>
        <w:rPr>
          <w:color w:val="231F20"/>
          <w:spacing w:val="52"/>
        </w:rPr>
        <w:t xml:space="preserve"> </w:t>
      </w:r>
      <w:r>
        <w:rPr>
          <w:color w:val="231F20"/>
          <w:spacing w:val="-2"/>
          <w:w w:val="95"/>
        </w:rPr>
        <w:t>industries;</w:t>
      </w:r>
    </w:p>
    <w:p w14:paraId="59A9CAB9" w14:textId="77777777" w:rsidR="00AE0598" w:rsidRDefault="0069255A">
      <w:pPr>
        <w:pStyle w:val="Corpodetexto"/>
        <w:spacing w:before="18" w:line="232" w:lineRule="auto"/>
        <w:ind w:left="223" w:right="241"/>
        <w:jc w:val="both"/>
      </w:pPr>
      <w:r>
        <w:rPr>
          <w:color w:val="231F20"/>
          <w:spacing w:val="-2"/>
        </w:rPr>
        <w:t>(2)</w:t>
      </w:r>
      <w:r>
        <w:rPr>
          <w:color w:val="231F20"/>
          <w:spacing w:val="-6"/>
        </w:rPr>
        <w:t xml:space="preserve"> </w:t>
      </w:r>
      <w:r>
        <w:rPr>
          <w:color w:val="231F20"/>
          <w:spacing w:val="-2"/>
        </w:rPr>
        <w:t>increased</w:t>
      </w:r>
      <w:r>
        <w:rPr>
          <w:color w:val="231F20"/>
          <w:spacing w:val="-6"/>
        </w:rPr>
        <w:t xml:space="preserve"> </w:t>
      </w:r>
      <w:r>
        <w:rPr>
          <w:color w:val="231F20"/>
          <w:spacing w:val="-2"/>
        </w:rPr>
        <w:t>community</w:t>
      </w:r>
      <w:r>
        <w:rPr>
          <w:color w:val="231F20"/>
          <w:spacing w:val="-6"/>
        </w:rPr>
        <w:t xml:space="preserve"> </w:t>
      </w:r>
      <w:r>
        <w:rPr>
          <w:color w:val="231F20"/>
          <w:spacing w:val="-2"/>
        </w:rPr>
        <w:t>pride</w:t>
      </w:r>
      <w:r>
        <w:rPr>
          <w:color w:val="231F20"/>
          <w:spacing w:val="-6"/>
        </w:rPr>
        <w:t xml:space="preserve"> </w:t>
      </w:r>
      <w:r>
        <w:rPr>
          <w:color w:val="231F20"/>
          <w:spacing w:val="-2"/>
        </w:rPr>
        <w:t>as</w:t>
      </w:r>
      <w:r>
        <w:rPr>
          <w:color w:val="231F20"/>
          <w:spacing w:val="-6"/>
        </w:rPr>
        <w:t xml:space="preserve"> </w:t>
      </w:r>
      <w:r>
        <w:rPr>
          <w:color w:val="231F20"/>
          <w:spacing w:val="-2"/>
        </w:rPr>
        <w:t>the</w:t>
      </w:r>
      <w:r>
        <w:rPr>
          <w:color w:val="231F20"/>
          <w:spacing w:val="-6"/>
        </w:rPr>
        <w:t xml:space="preserve"> </w:t>
      </w:r>
      <w:r>
        <w:rPr>
          <w:color w:val="231F20"/>
          <w:spacing w:val="-2"/>
        </w:rPr>
        <w:t>community</w:t>
      </w:r>
      <w:r>
        <w:rPr>
          <w:color w:val="231F20"/>
          <w:spacing w:val="-6"/>
        </w:rPr>
        <w:t xml:space="preserve"> </w:t>
      </w:r>
      <w:r>
        <w:rPr>
          <w:color w:val="231F20"/>
          <w:spacing w:val="-2"/>
        </w:rPr>
        <w:t>has</w:t>
      </w:r>
      <w:r>
        <w:rPr>
          <w:color w:val="231F20"/>
          <w:spacing w:val="-6"/>
        </w:rPr>
        <w:t xml:space="preserve"> </w:t>
      </w:r>
      <w:r>
        <w:rPr>
          <w:color w:val="231F20"/>
          <w:spacing w:val="-2"/>
        </w:rPr>
        <w:t>reaped</w:t>
      </w:r>
      <w:r>
        <w:rPr>
          <w:color w:val="231F20"/>
          <w:spacing w:val="-6"/>
        </w:rPr>
        <w:t xml:space="preserve"> </w:t>
      </w:r>
      <w:r>
        <w:rPr>
          <w:color w:val="231F20"/>
          <w:spacing w:val="-2"/>
        </w:rPr>
        <w:t xml:space="preserve">accolades </w:t>
      </w:r>
      <w:r>
        <w:rPr>
          <w:color w:val="231F20"/>
          <w:w w:val="95"/>
        </w:rPr>
        <w:t xml:space="preserve">for hosting such a successful event; and (3) a greater appreciation of the </w:t>
      </w:r>
      <w:r>
        <w:rPr>
          <w:color w:val="231F20"/>
        </w:rPr>
        <w:t>beauty</w:t>
      </w:r>
      <w:r>
        <w:rPr>
          <w:color w:val="231F20"/>
          <w:spacing w:val="-12"/>
        </w:rPr>
        <w:t xml:space="preserve"> </w:t>
      </w:r>
      <w:r>
        <w:rPr>
          <w:color w:val="231F20"/>
        </w:rPr>
        <w:t>of</w:t>
      </w:r>
      <w:r>
        <w:rPr>
          <w:color w:val="231F20"/>
          <w:spacing w:val="-12"/>
        </w:rPr>
        <w:t xml:space="preserve"> </w:t>
      </w:r>
      <w:r>
        <w:rPr>
          <w:color w:val="231F20"/>
        </w:rPr>
        <w:t>the</w:t>
      </w:r>
      <w:r>
        <w:rPr>
          <w:color w:val="231F20"/>
          <w:spacing w:val="-11"/>
        </w:rPr>
        <w:t xml:space="preserve"> </w:t>
      </w:r>
      <w:r>
        <w:rPr>
          <w:color w:val="231F20"/>
        </w:rPr>
        <w:t>surrounding</w:t>
      </w:r>
      <w:r>
        <w:rPr>
          <w:color w:val="231F20"/>
          <w:spacing w:val="-12"/>
        </w:rPr>
        <w:t xml:space="preserve"> </w:t>
      </w:r>
      <w:r>
        <w:rPr>
          <w:color w:val="231F20"/>
        </w:rPr>
        <w:t>landscape</w:t>
      </w:r>
      <w:r>
        <w:rPr>
          <w:color w:val="231F20"/>
          <w:spacing w:val="-11"/>
        </w:rPr>
        <w:t xml:space="preserve"> </w:t>
      </w:r>
      <w:r>
        <w:rPr>
          <w:color w:val="231F20"/>
        </w:rPr>
        <w:t>and</w:t>
      </w:r>
      <w:r>
        <w:rPr>
          <w:color w:val="231F20"/>
          <w:spacing w:val="-12"/>
        </w:rPr>
        <w:t xml:space="preserve"> </w:t>
      </w:r>
      <w:r>
        <w:rPr>
          <w:color w:val="231F20"/>
        </w:rPr>
        <w:t>natural</w:t>
      </w:r>
      <w:r>
        <w:rPr>
          <w:color w:val="231F20"/>
          <w:spacing w:val="-11"/>
        </w:rPr>
        <w:t xml:space="preserve"> </w:t>
      </w:r>
      <w:r>
        <w:rPr>
          <w:color w:val="231F20"/>
        </w:rPr>
        <w:t>setting.</w:t>
      </w:r>
      <w:r>
        <w:rPr>
          <w:color w:val="231F20"/>
          <w:spacing w:val="-12"/>
        </w:rPr>
        <w:t xml:space="preserve"> </w:t>
      </w:r>
      <w:r>
        <w:rPr>
          <w:color w:val="231F20"/>
        </w:rPr>
        <w:t>Despite</w:t>
      </w:r>
      <w:r>
        <w:rPr>
          <w:color w:val="231F20"/>
          <w:spacing w:val="-12"/>
        </w:rPr>
        <w:t xml:space="preserve"> </w:t>
      </w:r>
      <w:r>
        <w:rPr>
          <w:color w:val="231F20"/>
        </w:rPr>
        <w:t xml:space="preserve">these </w:t>
      </w:r>
      <w:r>
        <w:rPr>
          <w:color w:val="231F20"/>
          <w:spacing w:val="-2"/>
        </w:rPr>
        <w:t>benefits,</w:t>
      </w:r>
      <w:r>
        <w:rPr>
          <w:color w:val="231F20"/>
          <w:spacing w:val="-7"/>
        </w:rPr>
        <w:t xml:space="preserve"> </w:t>
      </w:r>
      <w:r>
        <w:rPr>
          <w:color w:val="231F20"/>
          <w:spacing w:val="-2"/>
        </w:rPr>
        <w:t>the</w:t>
      </w:r>
      <w:r>
        <w:rPr>
          <w:color w:val="231F20"/>
          <w:spacing w:val="-7"/>
        </w:rPr>
        <w:t xml:space="preserve"> </w:t>
      </w:r>
      <w:r>
        <w:rPr>
          <w:color w:val="231F20"/>
          <w:spacing w:val="-2"/>
        </w:rPr>
        <w:t>sustainability</w:t>
      </w:r>
      <w:r>
        <w:rPr>
          <w:color w:val="231F20"/>
          <w:spacing w:val="-7"/>
        </w:rPr>
        <w:t xml:space="preserve"> </w:t>
      </w:r>
      <w:r>
        <w:rPr>
          <w:color w:val="231F20"/>
          <w:spacing w:val="-2"/>
        </w:rPr>
        <w:t>of</w:t>
      </w:r>
      <w:r>
        <w:rPr>
          <w:color w:val="231F20"/>
        </w:rPr>
        <w:t xml:space="preserve"> </w:t>
      </w:r>
      <w:r>
        <w:rPr>
          <w:color w:val="231F20"/>
          <w:spacing w:val="-2"/>
        </w:rPr>
        <w:t>the</w:t>
      </w:r>
      <w:r>
        <w:rPr>
          <w:color w:val="231F20"/>
          <w:spacing w:val="-7"/>
        </w:rPr>
        <w:t xml:space="preserve"> </w:t>
      </w:r>
      <w:r>
        <w:rPr>
          <w:color w:val="231F20"/>
          <w:spacing w:val="-2"/>
        </w:rPr>
        <w:t>event</w:t>
      </w:r>
      <w:r>
        <w:rPr>
          <w:color w:val="231F20"/>
          <w:spacing w:val="-7"/>
        </w:rPr>
        <w:t xml:space="preserve"> </w:t>
      </w:r>
      <w:r>
        <w:rPr>
          <w:color w:val="231F20"/>
          <w:spacing w:val="-2"/>
        </w:rPr>
        <w:t>is</w:t>
      </w:r>
      <w:r>
        <w:rPr>
          <w:color w:val="231F20"/>
          <w:spacing w:val="-7"/>
        </w:rPr>
        <w:t xml:space="preserve"> </w:t>
      </w:r>
      <w:r>
        <w:rPr>
          <w:color w:val="231F20"/>
          <w:spacing w:val="-2"/>
        </w:rPr>
        <w:t>being</w:t>
      </w:r>
      <w:r>
        <w:rPr>
          <w:color w:val="231F20"/>
          <w:spacing w:val="-7"/>
        </w:rPr>
        <w:t xml:space="preserve"> </w:t>
      </w:r>
      <w:r>
        <w:rPr>
          <w:color w:val="231F20"/>
          <w:spacing w:val="-2"/>
        </w:rPr>
        <w:t>challenged</w:t>
      </w:r>
      <w:r>
        <w:rPr>
          <w:color w:val="231F20"/>
          <w:spacing w:val="-7"/>
        </w:rPr>
        <w:t xml:space="preserve"> </w:t>
      </w:r>
      <w:r>
        <w:rPr>
          <w:color w:val="231F20"/>
          <w:spacing w:val="-2"/>
        </w:rPr>
        <w:t>on</w:t>
      </w:r>
      <w:r>
        <w:rPr>
          <w:color w:val="231F20"/>
          <w:spacing w:val="-7"/>
        </w:rPr>
        <w:t xml:space="preserve"> </w:t>
      </w:r>
      <w:r>
        <w:rPr>
          <w:color w:val="231F20"/>
          <w:spacing w:val="-2"/>
        </w:rPr>
        <w:t>a</w:t>
      </w:r>
      <w:r>
        <w:rPr>
          <w:color w:val="231F20"/>
          <w:spacing w:val="-7"/>
        </w:rPr>
        <w:t xml:space="preserve"> </w:t>
      </w:r>
      <w:r>
        <w:rPr>
          <w:color w:val="231F20"/>
          <w:spacing w:val="-2"/>
        </w:rPr>
        <w:t>number of</w:t>
      </w:r>
      <w:r>
        <w:rPr>
          <w:color w:val="231F20"/>
        </w:rPr>
        <w:t xml:space="preserve"> </w:t>
      </w:r>
      <w:r>
        <w:rPr>
          <w:color w:val="231F20"/>
          <w:spacing w:val="-2"/>
        </w:rPr>
        <w:t>fronts.</w:t>
      </w:r>
      <w:r>
        <w:rPr>
          <w:color w:val="231F20"/>
          <w:spacing w:val="-7"/>
        </w:rPr>
        <w:t xml:space="preserve"> </w:t>
      </w:r>
      <w:r>
        <w:rPr>
          <w:color w:val="231F20"/>
          <w:spacing w:val="-2"/>
        </w:rPr>
        <w:t>This</w:t>
      </w:r>
      <w:r>
        <w:rPr>
          <w:color w:val="231F20"/>
          <w:spacing w:val="-7"/>
        </w:rPr>
        <w:t xml:space="preserve"> </w:t>
      </w:r>
      <w:r>
        <w:rPr>
          <w:color w:val="231F20"/>
          <w:spacing w:val="-2"/>
        </w:rPr>
        <w:t>is</w:t>
      </w:r>
      <w:r>
        <w:rPr>
          <w:color w:val="231F20"/>
          <w:spacing w:val="-7"/>
        </w:rPr>
        <w:t xml:space="preserve"> </w:t>
      </w:r>
      <w:r>
        <w:rPr>
          <w:color w:val="231F20"/>
          <w:spacing w:val="-2"/>
        </w:rPr>
        <w:t>particularly</w:t>
      </w:r>
      <w:r>
        <w:rPr>
          <w:color w:val="231F20"/>
          <w:spacing w:val="-7"/>
        </w:rPr>
        <w:t xml:space="preserve"> </w:t>
      </w:r>
      <w:r>
        <w:rPr>
          <w:color w:val="231F20"/>
          <w:spacing w:val="-2"/>
        </w:rPr>
        <w:t>true</w:t>
      </w:r>
      <w:r>
        <w:rPr>
          <w:color w:val="231F20"/>
          <w:spacing w:val="-7"/>
        </w:rPr>
        <w:t xml:space="preserve"> </w:t>
      </w:r>
      <w:r>
        <w:rPr>
          <w:color w:val="231F20"/>
          <w:spacing w:val="-2"/>
        </w:rPr>
        <w:t>in</w:t>
      </w:r>
      <w:r>
        <w:rPr>
          <w:color w:val="231F20"/>
          <w:spacing w:val="-7"/>
        </w:rPr>
        <w:t xml:space="preserve"> </w:t>
      </w:r>
      <w:r>
        <w:rPr>
          <w:color w:val="231F20"/>
          <w:spacing w:val="-2"/>
        </w:rPr>
        <w:t>the</w:t>
      </w:r>
      <w:r>
        <w:rPr>
          <w:color w:val="231F20"/>
          <w:spacing w:val="-7"/>
        </w:rPr>
        <w:t xml:space="preserve"> </w:t>
      </w:r>
      <w:r>
        <w:rPr>
          <w:color w:val="231F20"/>
          <w:spacing w:val="-2"/>
        </w:rPr>
        <w:t>social/cultural</w:t>
      </w:r>
      <w:r>
        <w:rPr>
          <w:color w:val="231F20"/>
          <w:spacing w:val="-7"/>
        </w:rPr>
        <w:t xml:space="preserve"> </w:t>
      </w:r>
      <w:r>
        <w:rPr>
          <w:color w:val="231F20"/>
          <w:spacing w:val="-2"/>
        </w:rPr>
        <w:t>realm.</w:t>
      </w:r>
      <w:r>
        <w:rPr>
          <w:color w:val="231F20"/>
          <w:spacing w:val="-7"/>
        </w:rPr>
        <w:t xml:space="preserve"> </w:t>
      </w:r>
      <w:r>
        <w:rPr>
          <w:color w:val="231F20"/>
          <w:spacing w:val="-2"/>
        </w:rPr>
        <w:t>While</w:t>
      </w:r>
      <w:r>
        <w:rPr>
          <w:color w:val="231F20"/>
          <w:spacing w:val="-7"/>
        </w:rPr>
        <w:t xml:space="preserve"> </w:t>
      </w:r>
      <w:r>
        <w:rPr>
          <w:color w:val="231F20"/>
          <w:spacing w:val="-2"/>
        </w:rPr>
        <w:t xml:space="preserve">the </w:t>
      </w:r>
      <w:r>
        <w:rPr>
          <w:color w:val="231F20"/>
        </w:rPr>
        <w:t>flood</w:t>
      </w:r>
      <w:r>
        <w:rPr>
          <w:color w:val="231F20"/>
          <w:spacing w:val="-8"/>
        </w:rPr>
        <w:t xml:space="preserve"> </w:t>
      </w:r>
      <w:r>
        <w:rPr>
          <w:color w:val="231F20"/>
        </w:rPr>
        <w:t>of visitors</w:t>
      </w:r>
      <w:r>
        <w:rPr>
          <w:color w:val="231F20"/>
          <w:spacing w:val="-8"/>
        </w:rPr>
        <w:t xml:space="preserve"> </w:t>
      </w:r>
      <w:r>
        <w:rPr>
          <w:color w:val="231F20"/>
        </w:rPr>
        <w:t>on</w:t>
      </w:r>
      <w:r>
        <w:rPr>
          <w:color w:val="231F20"/>
          <w:spacing w:val="-8"/>
        </w:rPr>
        <w:t xml:space="preserve"> </w:t>
      </w:r>
      <w:r>
        <w:rPr>
          <w:color w:val="231F20"/>
        </w:rPr>
        <w:t>race</w:t>
      </w:r>
      <w:r>
        <w:rPr>
          <w:color w:val="231F20"/>
          <w:spacing w:val="-8"/>
        </w:rPr>
        <w:t xml:space="preserve"> </w:t>
      </w:r>
      <w:r>
        <w:rPr>
          <w:color w:val="231F20"/>
        </w:rPr>
        <w:t>weekend</w:t>
      </w:r>
      <w:r>
        <w:rPr>
          <w:color w:val="231F20"/>
          <w:spacing w:val="-8"/>
        </w:rPr>
        <w:t xml:space="preserve"> </w:t>
      </w:r>
      <w:r>
        <w:rPr>
          <w:color w:val="231F20"/>
        </w:rPr>
        <w:t>is</w:t>
      </w:r>
      <w:r>
        <w:rPr>
          <w:color w:val="231F20"/>
          <w:spacing w:val="-8"/>
        </w:rPr>
        <w:t xml:space="preserve"> </w:t>
      </w:r>
      <w:r>
        <w:rPr>
          <w:color w:val="231F20"/>
        </w:rPr>
        <w:t>appreciated</w:t>
      </w:r>
      <w:r>
        <w:rPr>
          <w:color w:val="231F20"/>
          <w:spacing w:val="-8"/>
        </w:rPr>
        <w:t xml:space="preserve"> </w:t>
      </w:r>
      <w:r>
        <w:rPr>
          <w:color w:val="231F20"/>
        </w:rPr>
        <w:t>by</w:t>
      </w:r>
      <w:r>
        <w:rPr>
          <w:color w:val="231F20"/>
          <w:spacing w:val="-8"/>
        </w:rPr>
        <w:t xml:space="preserve"> </w:t>
      </w:r>
      <w:r>
        <w:rPr>
          <w:color w:val="231F20"/>
        </w:rPr>
        <w:t>many</w:t>
      </w:r>
      <w:r>
        <w:rPr>
          <w:color w:val="231F20"/>
          <w:spacing w:val="-8"/>
        </w:rPr>
        <w:t xml:space="preserve"> </w:t>
      </w:r>
      <w:r>
        <w:rPr>
          <w:color w:val="231F20"/>
        </w:rPr>
        <w:t>residents</w:t>
      </w:r>
      <w:r>
        <w:rPr>
          <w:color w:val="231F20"/>
          <w:spacing w:val="-8"/>
        </w:rPr>
        <w:t xml:space="preserve"> </w:t>
      </w:r>
      <w:r>
        <w:rPr>
          <w:color w:val="231F20"/>
        </w:rPr>
        <w:t xml:space="preserve">for </w:t>
      </w:r>
      <w:r>
        <w:rPr>
          <w:color w:val="231F20"/>
          <w:w w:val="95"/>
        </w:rPr>
        <w:t xml:space="preserve">the energy it brings, others resent the disruption to their normal routine. </w:t>
      </w:r>
      <w:r>
        <w:rPr>
          <w:color w:val="231F20"/>
        </w:rPr>
        <w:t>This reaction is not surprising given the magnitude of the influx of visitors.</w:t>
      </w:r>
      <w:r>
        <w:rPr>
          <w:color w:val="231F20"/>
          <w:spacing w:val="-12"/>
        </w:rPr>
        <w:t xml:space="preserve"> </w:t>
      </w:r>
      <w:r>
        <w:rPr>
          <w:color w:val="231F20"/>
        </w:rPr>
        <w:t>A</w:t>
      </w:r>
      <w:r>
        <w:rPr>
          <w:color w:val="231F20"/>
          <w:spacing w:val="-12"/>
        </w:rPr>
        <w:t xml:space="preserve"> </w:t>
      </w:r>
      <w:r>
        <w:rPr>
          <w:color w:val="231F20"/>
        </w:rPr>
        <w:t>more</w:t>
      </w:r>
      <w:r>
        <w:rPr>
          <w:color w:val="231F20"/>
          <w:spacing w:val="-11"/>
        </w:rPr>
        <w:t xml:space="preserve"> </w:t>
      </w:r>
      <w:r>
        <w:rPr>
          <w:color w:val="231F20"/>
        </w:rPr>
        <w:t>pressing</w:t>
      </w:r>
      <w:r>
        <w:rPr>
          <w:color w:val="231F20"/>
          <w:spacing w:val="-12"/>
        </w:rPr>
        <w:t xml:space="preserve"> </w:t>
      </w:r>
      <w:r>
        <w:rPr>
          <w:color w:val="231F20"/>
        </w:rPr>
        <w:t>challenge</w:t>
      </w:r>
      <w:r>
        <w:rPr>
          <w:color w:val="231F20"/>
          <w:spacing w:val="-11"/>
        </w:rPr>
        <w:t xml:space="preserve"> </w:t>
      </w:r>
      <w:r>
        <w:rPr>
          <w:color w:val="231F20"/>
        </w:rPr>
        <w:t>has</w:t>
      </w:r>
      <w:r>
        <w:rPr>
          <w:color w:val="231F20"/>
          <w:spacing w:val="-12"/>
        </w:rPr>
        <w:t xml:space="preserve"> </w:t>
      </w:r>
      <w:r>
        <w:rPr>
          <w:color w:val="231F20"/>
        </w:rPr>
        <w:t>been</w:t>
      </w:r>
      <w:r>
        <w:rPr>
          <w:color w:val="231F20"/>
          <w:spacing w:val="-11"/>
        </w:rPr>
        <w:t xml:space="preserve"> </w:t>
      </w:r>
      <w:r>
        <w:rPr>
          <w:color w:val="231F20"/>
        </w:rPr>
        <w:t>that</w:t>
      </w:r>
      <w:r>
        <w:rPr>
          <w:color w:val="231F20"/>
          <w:spacing w:val="-12"/>
        </w:rPr>
        <w:t xml:space="preserve"> </w:t>
      </w:r>
      <w:r>
        <w:rPr>
          <w:color w:val="231F20"/>
        </w:rPr>
        <w:t>of</w:t>
      </w:r>
      <w:r>
        <w:rPr>
          <w:color w:val="231F20"/>
          <w:spacing w:val="-12"/>
        </w:rPr>
        <w:t xml:space="preserve"> </w:t>
      </w:r>
      <w:r>
        <w:rPr>
          <w:color w:val="231F20"/>
        </w:rPr>
        <w:t>volunteer</w:t>
      </w:r>
      <w:r>
        <w:rPr>
          <w:color w:val="231F20"/>
          <w:spacing w:val="-11"/>
        </w:rPr>
        <w:t xml:space="preserve"> </w:t>
      </w:r>
      <w:r>
        <w:rPr>
          <w:color w:val="231F20"/>
        </w:rPr>
        <w:t xml:space="preserve">burnout. </w:t>
      </w:r>
      <w:r>
        <w:rPr>
          <w:color w:val="231F20"/>
          <w:w w:val="95"/>
        </w:rPr>
        <w:t>While community groups and individual residents were keen to help out at</w:t>
      </w:r>
      <w:r>
        <w:rPr>
          <w:color w:val="231F20"/>
        </w:rPr>
        <w:t xml:space="preserve"> </w:t>
      </w:r>
      <w:r>
        <w:rPr>
          <w:color w:val="231F20"/>
          <w:w w:val="95"/>
        </w:rPr>
        <w:t>the</w:t>
      </w:r>
      <w:r>
        <w:rPr>
          <w:color w:val="231F20"/>
        </w:rPr>
        <w:t xml:space="preserve"> </w:t>
      </w:r>
      <w:r>
        <w:rPr>
          <w:color w:val="231F20"/>
          <w:w w:val="95"/>
        </w:rPr>
        <w:t>inception</w:t>
      </w:r>
      <w:r>
        <w:rPr>
          <w:color w:val="231F20"/>
          <w:spacing w:val="1"/>
        </w:rPr>
        <w:t xml:space="preserve"> </w:t>
      </w:r>
      <w:r>
        <w:rPr>
          <w:color w:val="231F20"/>
          <w:w w:val="95"/>
        </w:rPr>
        <w:t>of</w:t>
      </w:r>
      <w:r>
        <w:rPr>
          <w:color w:val="231F20"/>
          <w:spacing w:val="15"/>
        </w:rPr>
        <w:t xml:space="preserve"> </w:t>
      </w:r>
      <w:r>
        <w:rPr>
          <w:color w:val="231F20"/>
          <w:w w:val="95"/>
        </w:rPr>
        <w:t>the</w:t>
      </w:r>
      <w:r>
        <w:rPr>
          <w:color w:val="231F20"/>
          <w:spacing w:val="1"/>
        </w:rPr>
        <w:t xml:space="preserve"> </w:t>
      </w:r>
      <w:r>
        <w:rPr>
          <w:color w:val="231F20"/>
          <w:w w:val="95"/>
        </w:rPr>
        <w:t>event,</w:t>
      </w:r>
      <w:r>
        <w:rPr>
          <w:color w:val="231F20"/>
        </w:rPr>
        <w:t xml:space="preserve"> </w:t>
      </w:r>
      <w:r>
        <w:rPr>
          <w:color w:val="231F20"/>
          <w:w w:val="95"/>
        </w:rPr>
        <w:t>their</w:t>
      </w:r>
      <w:r>
        <w:rPr>
          <w:color w:val="231F20"/>
          <w:spacing w:val="1"/>
        </w:rPr>
        <w:t xml:space="preserve"> </w:t>
      </w:r>
      <w:r>
        <w:rPr>
          <w:color w:val="231F20"/>
          <w:w w:val="95"/>
        </w:rPr>
        <w:t>particip</w:t>
      </w:r>
      <w:r>
        <w:rPr>
          <w:color w:val="231F20"/>
          <w:w w:val="95"/>
        </w:rPr>
        <w:t>ation</w:t>
      </w:r>
      <w:r>
        <w:rPr>
          <w:color w:val="231F20"/>
        </w:rPr>
        <w:t xml:space="preserve"> </w:t>
      </w:r>
      <w:r>
        <w:rPr>
          <w:color w:val="231F20"/>
          <w:w w:val="95"/>
        </w:rPr>
        <w:t>has</w:t>
      </w:r>
      <w:r>
        <w:rPr>
          <w:color w:val="231F20"/>
        </w:rPr>
        <w:t xml:space="preserve"> </w:t>
      </w:r>
      <w:r>
        <w:rPr>
          <w:color w:val="231F20"/>
          <w:w w:val="95"/>
        </w:rPr>
        <w:t>steadily</w:t>
      </w:r>
      <w:r>
        <w:rPr>
          <w:color w:val="231F20"/>
          <w:spacing w:val="1"/>
        </w:rPr>
        <w:t xml:space="preserve"> </w:t>
      </w:r>
      <w:r>
        <w:rPr>
          <w:color w:val="231F20"/>
          <w:w w:val="95"/>
        </w:rPr>
        <w:t>dropped</w:t>
      </w:r>
      <w:r>
        <w:rPr>
          <w:color w:val="231F20"/>
        </w:rPr>
        <w:t xml:space="preserve"> </w:t>
      </w:r>
      <w:r>
        <w:rPr>
          <w:color w:val="231F20"/>
          <w:spacing w:val="-5"/>
          <w:w w:val="95"/>
        </w:rPr>
        <w:t>off</w:t>
      </w:r>
    </w:p>
    <w:p w14:paraId="61D30FCB" w14:textId="77777777" w:rsidR="00AE0598" w:rsidRDefault="0069255A">
      <w:pPr>
        <w:spacing w:before="110"/>
        <w:ind w:left="110" w:right="241"/>
        <w:jc w:val="right"/>
        <w:rPr>
          <w:rFonts w:ascii="Trebuchet MS"/>
          <w:i/>
          <w:sz w:val="18"/>
        </w:rPr>
      </w:pPr>
      <w:r>
        <w:rPr>
          <w:rFonts w:ascii="Trebuchet MS"/>
          <w:i/>
          <w:color w:val="231F20"/>
          <w:spacing w:val="-2"/>
          <w:sz w:val="18"/>
        </w:rPr>
        <w:t>(Continued)</w:t>
      </w:r>
    </w:p>
    <w:p w14:paraId="7911D0DC" w14:textId="77777777" w:rsidR="00AE0598" w:rsidRDefault="00AE0598">
      <w:pPr>
        <w:jc w:val="right"/>
        <w:rPr>
          <w:rFonts w:ascii="Trebuchet MS"/>
          <w:sz w:val="18"/>
        </w:rPr>
        <w:sectPr w:rsidR="00AE0598">
          <w:pgSz w:w="8850" w:h="13270"/>
          <w:pgMar w:top="720" w:right="1060" w:bottom="280" w:left="1080" w:header="720" w:footer="720" w:gutter="0"/>
          <w:cols w:space="720"/>
        </w:sectPr>
      </w:pPr>
    </w:p>
    <w:p w14:paraId="3B867A43" w14:textId="77777777" w:rsidR="00AE0598" w:rsidRDefault="0069255A">
      <w:pPr>
        <w:spacing w:before="87"/>
        <w:ind w:left="108"/>
        <w:rPr>
          <w:rFonts w:ascii="Trebuchet MS"/>
          <w:sz w:val="14"/>
        </w:rPr>
      </w:pPr>
      <w:r>
        <w:rPr>
          <w:rFonts w:ascii="Trebuchet MS"/>
          <w:color w:val="231F20"/>
          <w:w w:val="105"/>
          <w:sz w:val="14"/>
        </w:rPr>
        <w:lastRenderedPageBreak/>
        <w:t>68</w:t>
      </w:r>
      <w:r>
        <w:rPr>
          <w:rFonts w:ascii="Trebuchet MS"/>
          <w:color w:val="231F20"/>
          <w:spacing w:val="64"/>
          <w:w w:val="150"/>
          <w:sz w:val="14"/>
        </w:rPr>
        <w:t xml:space="preserve"> </w:t>
      </w:r>
      <w:r>
        <w:rPr>
          <w:rFonts w:ascii="Trebuchet MS"/>
          <w:color w:val="231F20"/>
          <w:w w:val="105"/>
          <w:sz w:val="14"/>
        </w:rPr>
        <w:t>Part</w:t>
      </w:r>
      <w:r>
        <w:rPr>
          <w:rFonts w:ascii="Trebuchet MS"/>
          <w:color w:val="231F20"/>
          <w:spacing w:val="-9"/>
          <w:w w:val="105"/>
          <w:sz w:val="14"/>
        </w:rPr>
        <w:t xml:space="preserve"> </w:t>
      </w:r>
      <w:r>
        <w:rPr>
          <w:rFonts w:ascii="Trebuchet MS"/>
          <w:color w:val="231F20"/>
          <w:w w:val="105"/>
          <w:sz w:val="14"/>
        </w:rPr>
        <w:t>2:</w:t>
      </w:r>
      <w:r>
        <w:rPr>
          <w:rFonts w:ascii="Trebuchet MS"/>
          <w:color w:val="231F20"/>
          <w:spacing w:val="-9"/>
          <w:w w:val="105"/>
          <w:sz w:val="14"/>
        </w:rPr>
        <w:t xml:space="preserve"> </w:t>
      </w:r>
      <w:r>
        <w:rPr>
          <w:rFonts w:ascii="Trebuchet MS"/>
          <w:color w:val="231F20"/>
          <w:w w:val="105"/>
          <w:sz w:val="14"/>
        </w:rPr>
        <w:t>Foundations</w:t>
      </w:r>
      <w:r>
        <w:rPr>
          <w:rFonts w:ascii="Trebuchet MS"/>
          <w:color w:val="231F20"/>
          <w:spacing w:val="-9"/>
          <w:w w:val="105"/>
          <w:sz w:val="14"/>
        </w:rPr>
        <w:t xml:space="preserve"> </w:t>
      </w:r>
      <w:r>
        <w:rPr>
          <w:rFonts w:ascii="Trebuchet MS"/>
          <w:color w:val="231F20"/>
          <w:w w:val="105"/>
          <w:sz w:val="14"/>
        </w:rPr>
        <w:t>of</w:t>
      </w:r>
      <w:r>
        <w:rPr>
          <w:rFonts w:ascii="Trebuchet MS"/>
          <w:color w:val="231F20"/>
          <w:spacing w:val="-9"/>
          <w:w w:val="105"/>
          <w:sz w:val="14"/>
        </w:rPr>
        <w:t xml:space="preserve"> </w:t>
      </w:r>
      <w:r>
        <w:rPr>
          <w:rFonts w:ascii="Trebuchet MS"/>
          <w:color w:val="231F20"/>
          <w:w w:val="105"/>
          <w:sz w:val="14"/>
        </w:rPr>
        <w:t>Sport</w:t>
      </w:r>
      <w:r>
        <w:rPr>
          <w:rFonts w:ascii="Trebuchet MS"/>
          <w:color w:val="231F20"/>
          <w:spacing w:val="-9"/>
          <w:w w:val="105"/>
          <w:sz w:val="14"/>
        </w:rPr>
        <w:t xml:space="preserve"> </w:t>
      </w:r>
      <w:r>
        <w:rPr>
          <w:rFonts w:ascii="Trebuchet MS"/>
          <w:color w:val="231F20"/>
          <w:w w:val="105"/>
          <w:sz w:val="14"/>
        </w:rPr>
        <w:t>Tourism</w:t>
      </w:r>
      <w:r>
        <w:rPr>
          <w:rFonts w:ascii="Trebuchet MS"/>
          <w:color w:val="231F20"/>
          <w:spacing w:val="-9"/>
          <w:w w:val="105"/>
          <w:sz w:val="14"/>
        </w:rPr>
        <w:t xml:space="preserve"> </w:t>
      </w:r>
      <w:r>
        <w:rPr>
          <w:rFonts w:ascii="Trebuchet MS"/>
          <w:color w:val="231F20"/>
          <w:spacing w:val="-2"/>
          <w:w w:val="105"/>
          <w:sz w:val="14"/>
        </w:rPr>
        <w:t>Development</w:t>
      </w:r>
    </w:p>
    <w:p w14:paraId="310D3D60" w14:textId="01625596" w:rsidR="00AE0598" w:rsidRDefault="0069255A">
      <w:pPr>
        <w:pStyle w:val="Corpodetexto"/>
        <w:spacing w:before="6"/>
        <w:rPr>
          <w:rFonts w:ascii="Trebuchet MS"/>
          <w:sz w:val="27"/>
        </w:rPr>
      </w:pPr>
      <w:r>
        <w:rPr>
          <w:noProof/>
        </w:rPr>
        <mc:AlternateContent>
          <mc:Choice Requires="wps">
            <w:drawing>
              <wp:anchor distT="0" distB="0" distL="0" distR="0" simplePos="0" relativeHeight="487622144" behindDoc="1" locked="0" layoutInCell="1" allowOverlap="1" wp14:anchorId="6E8DC0FE" wp14:editId="76FDCB04">
                <wp:simplePos x="0" y="0"/>
                <wp:positionH relativeFrom="page">
                  <wp:posOffset>755650</wp:posOffset>
                </wp:positionH>
                <wp:positionV relativeFrom="paragraph">
                  <wp:posOffset>218440</wp:posOffset>
                </wp:positionV>
                <wp:extent cx="4104005" cy="3286125"/>
                <wp:effectExtent l="0" t="0" r="0" b="0"/>
                <wp:wrapTopAndBottom/>
                <wp:docPr id="257" name="docshape1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04005" cy="3286125"/>
                        </a:xfrm>
                        <a:prstGeom prst="rect">
                          <a:avLst/>
                        </a:prstGeom>
                        <a:solidFill>
                          <a:srgbClr val="DCDDD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BB6E494" w14:textId="77777777" w:rsidR="00AE0598" w:rsidRDefault="0069255A">
                            <w:pPr>
                              <w:spacing w:before="79"/>
                              <w:ind w:left="113"/>
                              <w:jc w:val="both"/>
                              <w:rPr>
                                <w:rFonts w:ascii="Trebuchet MS"/>
                                <w:color w:val="000000"/>
                                <w:sz w:val="18"/>
                              </w:rPr>
                            </w:pPr>
                            <w:r>
                              <w:rPr>
                                <w:rFonts w:ascii="Trebuchet MS"/>
                                <w:color w:val="231F20"/>
                                <w:sz w:val="18"/>
                              </w:rPr>
                              <w:t>Focus</w:t>
                            </w:r>
                            <w:r>
                              <w:rPr>
                                <w:rFonts w:ascii="Trebuchet MS"/>
                                <w:color w:val="231F20"/>
                                <w:spacing w:val="-6"/>
                                <w:sz w:val="18"/>
                              </w:rPr>
                              <w:t xml:space="preserve"> </w:t>
                            </w:r>
                            <w:r>
                              <w:rPr>
                                <w:rFonts w:ascii="Trebuchet MS"/>
                                <w:color w:val="231F20"/>
                                <w:sz w:val="18"/>
                              </w:rPr>
                              <w:t>Point</w:t>
                            </w:r>
                            <w:r>
                              <w:rPr>
                                <w:rFonts w:ascii="Trebuchet MS"/>
                                <w:color w:val="231F20"/>
                                <w:spacing w:val="-6"/>
                                <w:sz w:val="18"/>
                              </w:rPr>
                              <w:t xml:space="preserve"> </w:t>
                            </w:r>
                            <w:r>
                              <w:rPr>
                                <w:rFonts w:ascii="Trebuchet MS"/>
                                <w:color w:val="231F20"/>
                                <w:sz w:val="18"/>
                              </w:rPr>
                              <w:t>4.1:</w:t>
                            </w:r>
                            <w:r>
                              <w:rPr>
                                <w:rFonts w:ascii="Trebuchet MS"/>
                                <w:color w:val="231F20"/>
                                <w:spacing w:val="-7"/>
                                <w:sz w:val="18"/>
                              </w:rPr>
                              <w:t xml:space="preserve"> </w:t>
                            </w:r>
                            <w:r>
                              <w:rPr>
                                <w:rFonts w:ascii="Trebuchet MS"/>
                                <w:color w:val="231F20"/>
                                <w:spacing w:val="-2"/>
                                <w:sz w:val="18"/>
                              </w:rPr>
                              <w:t>(Continued)</w:t>
                            </w:r>
                          </w:p>
                          <w:p w14:paraId="726BE3B2" w14:textId="77777777" w:rsidR="00AE0598" w:rsidRDefault="00AE0598">
                            <w:pPr>
                              <w:pStyle w:val="Corpodetexto"/>
                              <w:spacing w:before="10"/>
                              <w:rPr>
                                <w:rFonts w:ascii="Trebuchet MS"/>
                                <w:color w:val="000000"/>
                                <w:sz w:val="16"/>
                              </w:rPr>
                            </w:pPr>
                          </w:p>
                          <w:p w14:paraId="300B0D04" w14:textId="77777777" w:rsidR="00AE0598" w:rsidRDefault="0069255A">
                            <w:pPr>
                              <w:pStyle w:val="Corpodetexto"/>
                              <w:spacing w:line="232" w:lineRule="auto"/>
                              <w:ind w:left="119" w:right="117"/>
                              <w:jc w:val="both"/>
                              <w:rPr>
                                <w:color w:val="000000"/>
                              </w:rPr>
                            </w:pPr>
                            <w:r>
                              <w:rPr>
                                <w:color w:val="231F20"/>
                                <w:w w:val="95"/>
                              </w:rPr>
                              <w:t>as the demands have increased with the growth of the event, volunteers have</w:t>
                            </w:r>
                            <w:r>
                              <w:rPr>
                                <w:color w:val="231F20"/>
                                <w:spacing w:val="-6"/>
                                <w:w w:val="95"/>
                              </w:rPr>
                              <w:t xml:space="preserve"> </w:t>
                            </w:r>
                            <w:r>
                              <w:rPr>
                                <w:color w:val="231F20"/>
                                <w:w w:val="95"/>
                              </w:rPr>
                              <w:t>simply</w:t>
                            </w:r>
                            <w:r>
                              <w:rPr>
                                <w:color w:val="231F20"/>
                                <w:spacing w:val="-6"/>
                                <w:w w:val="95"/>
                              </w:rPr>
                              <w:t xml:space="preserve"> </w:t>
                            </w:r>
                            <w:r>
                              <w:rPr>
                                <w:color w:val="231F20"/>
                                <w:w w:val="95"/>
                              </w:rPr>
                              <w:t>tired</w:t>
                            </w:r>
                            <w:r>
                              <w:rPr>
                                <w:color w:val="231F20"/>
                                <w:spacing w:val="-6"/>
                                <w:w w:val="95"/>
                              </w:rPr>
                              <w:t xml:space="preserve"> </w:t>
                            </w:r>
                            <w:r>
                              <w:rPr>
                                <w:color w:val="231F20"/>
                                <w:w w:val="95"/>
                              </w:rPr>
                              <w:t>of</w:t>
                            </w:r>
                            <w:r>
                              <w:rPr>
                                <w:color w:val="231F20"/>
                              </w:rPr>
                              <w:t xml:space="preserve"> </w:t>
                            </w:r>
                            <w:r>
                              <w:rPr>
                                <w:color w:val="231F20"/>
                                <w:w w:val="95"/>
                              </w:rPr>
                              <w:t>ongoing</w:t>
                            </w:r>
                            <w:r>
                              <w:rPr>
                                <w:color w:val="231F20"/>
                                <w:spacing w:val="-6"/>
                                <w:w w:val="95"/>
                              </w:rPr>
                              <w:t xml:space="preserve"> </w:t>
                            </w:r>
                            <w:r>
                              <w:rPr>
                                <w:color w:val="231F20"/>
                                <w:w w:val="95"/>
                              </w:rPr>
                              <w:t>participation</w:t>
                            </w:r>
                            <w:r>
                              <w:rPr>
                                <w:color w:val="231F20"/>
                                <w:spacing w:val="-6"/>
                                <w:w w:val="95"/>
                              </w:rPr>
                              <w:t xml:space="preserve"> </w:t>
                            </w:r>
                            <w:r>
                              <w:rPr>
                                <w:color w:val="231F20"/>
                                <w:w w:val="95"/>
                              </w:rPr>
                              <w:t>and</w:t>
                            </w:r>
                            <w:r>
                              <w:rPr>
                                <w:color w:val="231F20"/>
                                <w:spacing w:val="-6"/>
                                <w:w w:val="95"/>
                              </w:rPr>
                              <w:t xml:space="preserve"> </w:t>
                            </w:r>
                            <w:r>
                              <w:rPr>
                                <w:color w:val="231F20"/>
                                <w:w w:val="95"/>
                              </w:rPr>
                              <w:t>concerns</w:t>
                            </w:r>
                            <w:r>
                              <w:rPr>
                                <w:color w:val="231F20"/>
                                <w:spacing w:val="-6"/>
                                <w:w w:val="95"/>
                              </w:rPr>
                              <w:t xml:space="preserve"> </w:t>
                            </w:r>
                            <w:r>
                              <w:rPr>
                                <w:color w:val="231F20"/>
                                <w:w w:val="95"/>
                              </w:rPr>
                              <w:t>have</w:t>
                            </w:r>
                            <w:r>
                              <w:rPr>
                                <w:color w:val="231F20"/>
                                <w:spacing w:val="-6"/>
                                <w:w w:val="95"/>
                              </w:rPr>
                              <w:t xml:space="preserve"> </w:t>
                            </w:r>
                            <w:r>
                              <w:rPr>
                                <w:color w:val="231F20"/>
                                <w:w w:val="95"/>
                              </w:rPr>
                              <w:t>been</w:t>
                            </w:r>
                            <w:r>
                              <w:rPr>
                                <w:color w:val="231F20"/>
                                <w:spacing w:val="-6"/>
                                <w:w w:val="95"/>
                              </w:rPr>
                              <w:t xml:space="preserve"> </w:t>
                            </w:r>
                            <w:r>
                              <w:rPr>
                                <w:color w:val="231F20"/>
                                <w:w w:val="95"/>
                              </w:rPr>
                              <w:t>raised about</w:t>
                            </w:r>
                            <w:r>
                              <w:rPr>
                                <w:color w:val="231F20"/>
                                <w:spacing w:val="-1"/>
                                <w:w w:val="95"/>
                              </w:rPr>
                              <w:t xml:space="preserve"> </w:t>
                            </w:r>
                            <w:r>
                              <w:rPr>
                                <w:color w:val="231F20"/>
                                <w:w w:val="95"/>
                              </w:rPr>
                              <w:t>the</w:t>
                            </w:r>
                            <w:r>
                              <w:rPr>
                                <w:color w:val="231F20"/>
                                <w:spacing w:val="-1"/>
                                <w:w w:val="95"/>
                              </w:rPr>
                              <w:t xml:space="preserve"> </w:t>
                            </w:r>
                            <w:r>
                              <w:rPr>
                                <w:color w:val="231F20"/>
                                <w:w w:val="95"/>
                              </w:rPr>
                              <w:t>equity</w:t>
                            </w:r>
                            <w:r>
                              <w:rPr>
                                <w:color w:val="231F20"/>
                                <w:spacing w:val="-1"/>
                                <w:w w:val="95"/>
                              </w:rPr>
                              <w:t xml:space="preserve"> </w:t>
                            </w:r>
                            <w:r>
                              <w:rPr>
                                <w:color w:val="231F20"/>
                                <w:w w:val="95"/>
                              </w:rPr>
                              <w:t>of the</w:t>
                            </w:r>
                            <w:r>
                              <w:rPr>
                                <w:color w:val="231F20"/>
                                <w:spacing w:val="-1"/>
                                <w:w w:val="95"/>
                              </w:rPr>
                              <w:t xml:space="preserve"> </w:t>
                            </w:r>
                            <w:r>
                              <w:rPr>
                                <w:color w:val="231F20"/>
                                <w:w w:val="95"/>
                              </w:rPr>
                              <w:t>distribution</w:t>
                            </w:r>
                            <w:r>
                              <w:rPr>
                                <w:color w:val="231F20"/>
                                <w:spacing w:val="-1"/>
                                <w:w w:val="95"/>
                              </w:rPr>
                              <w:t xml:space="preserve"> </w:t>
                            </w:r>
                            <w:r>
                              <w:rPr>
                                <w:color w:val="231F20"/>
                                <w:w w:val="95"/>
                              </w:rPr>
                              <w:t>of the</w:t>
                            </w:r>
                            <w:r>
                              <w:rPr>
                                <w:color w:val="231F20"/>
                                <w:spacing w:val="-1"/>
                                <w:w w:val="95"/>
                              </w:rPr>
                              <w:t xml:space="preserve"> </w:t>
                            </w:r>
                            <w:r>
                              <w:rPr>
                                <w:color w:val="231F20"/>
                                <w:w w:val="95"/>
                              </w:rPr>
                              <w:t>event</w:t>
                            </w:r>
                            <w:r>
                              <w:rPr>
                                <w:color w:val="231F20"/>
                                <w:spacing w:val="-1"/>
                                <w:w w:val="95"/>
                              </w:rPr>
                              <w:t xml:space="preserve"> </w:t>
                            </w:r>
                            <w:r>
                              <w:rPr>
                                <w:color w:val="231F20"/>
                                <w:w w:val="95"/>
                              </w:rPr>
                              <w:t>revenues.</w:t>
                            </w:r>
                            <w:r>
                              <w:rPr>
                                <w:color w:val="231F20"/>
                                <w:spacing w:val="-1"/>
                                <w:w w:val="95"/>
                              </w:rPr>
                              <w:t xml:space="preserve"> </w:t>
                            </w:r>
                            <w:r>
                              <w:rPr>
                                <w:color w:val="231F20"/>
                                <w:w w:val="95"/>
                              </w:rPr>
                              <w:t>This</w:t>
                            </w:r>
                            <w:r>
                              <w:rPr>
                                <w:color w:val="231F20"/>
                                <w:spacing w:val="-1"/>
                                <w:w w:val="95"/>
                              </w:rPr>
                              <w:t xml:space="preserve"> </w:t>
                            </w:r>
                            <w:r>
                              <w:rPr>
                                <w:color w:val="231F20"/>
                                <w:w w:val="95"/>
                              </w:rPr>
                              <w:t xml:space="preserve">challenge has been partially addressed by the municipality requiring its employees </w:t>
                            </w:r>
                            <w:r>
                              <w:rPr>
                                <w:color w:val="231F20"/>
                              </w:rPr>
                              <w:t>to help out with the event as part of their work duties and by t</w:t>
                            </w:r>
                            <w:r>
                              <w:rPr>
                                <w:color w:val="231F20"/>
                              </w:rPr>
                              <w:t xml:space="preserve">he </w:t>
                            </w:r>
                            <w:r>
                              <w:rPr>
                                <w:color w:val="231F20"/>
                                <w:w w:val="95"/>
                              </w:rPr>
                              <w:t>recruitment</w:t>
                            </w:r>
                            <w:r>
                              <w:rPr>
                                <w:color w:val="231F20"/>
                                <w:spacing w:val="-7"/>
                                <w:w w:val="95"/>
                              </w:rPr>
                              <w:t xml:space="preserve"> </w:t>
                            </w:r>
                            <w:r>
                              <w:rPr>
                                <w:color w:val="231F20"/>
                                <w:w w:val="95"/>
                              </w:rPr>
                              <w:t>of volunteers</w:t>
                            </w:r>
                            <w:r>
                              <w:rPr>
                                <w:color w:val="231F20"/>
                                <w:spacing w:val="-7"/>
                                <w:w w:val="95"/>
                              </w:rPr>
                              <w:t xml:space="preserve"> </w:t>
                            </w:r>
                            <w:r>
                              <w:rPr>
                                <w:color w:val="231F20"/>
                                <w:w w:val="95"/>
                              </w:rPr>
                              <w:t>from</w:t>
                            </w:r>
                            <w:r>
                              <w:rPr>
                                <w:color w:val="231F20"/>
                                <w:spacing w:val="-7"/>
                                <w:w w:val="95"/>
                              </w:rPr>
                              <w:t xml:space="preserve"> </w:t>
                            </w:r>
                            <w:r>
                              <w:rPr>
                                <w:color w:val="231F20"/>
                                <w:w w:val="95"/>
                              </w:rPr>
                              <w:t>outside</w:t>
                            </w:r>
                            <w:r>
                              <w:rPr>
                                <w:color w:val="231F20"/>
                                <w:spacing w:val="-7"/>
                                <w:w w:val="95"/>
                              </w:rPr>
                              <w:t xml:space="preserve"> </w:t>
                            </w:r>
                            <w:r>
                              <w:rPr>
                                <w:color w:val="231F20"/>
                                <w:w w:val="95"/>
                              </w:rPr>
                              <w:t>of the</w:t>
                            </w:r>
                            <w:r>
                              <w:rPr>
                                <w:color w:val="231F20"/>
                                <w:spacing w:val="-7"/>
                                <w:w w:val="95"/>
                              </w:rPr>
                              <w:t xml:space="preserve"> </w:t>
                            </w:r>
                            <w:r>
                              <w:rPr>
                                <w:color w:val="231F20"/>
                                <w:w w:val="95"/>
                              </w:rPr>
                              <w:t>community</w:t>
                            </w:r>
                            <w:r>
                              <w:rPr>
                                <w:color w:val="231F20"/>
                                <w:spacing w:val="-7"/>
                                <w:w w:val="95"/>
                              </w:rPr>
                              <w:t xml:space="preserve"> </w:t>
                            </w:r>
                            <w:r>
                              <w:rPr>
                                <w:color w:val="231F20"/>
                                <w:w w:val="95"/>
                              </w:rPr>
                              <w:t>(a</w:t>
                            </w:r>
                            <w:r>
                              <w:rPr>
                                <w:color w:val="231F20"/>
                                <w:spacing w:val="-7"/>
                                <w:w w:val="95"/>
                              </w:rPr>
                              <w:t xml:space="preserve"> </w:t>
                            </w:r>
                            <w:r>
                              <w:rPr>
                                <w:color w:val="231F20"/>
                                <w:w w:val="95"/>
                              </w:rPr>
                              <w:t>type</w:t>
                            </w:r>
                            <w:r>
                              <w:rPr>
                                <w:color w:val="231F20"/>
                                <w:spacing w:val="-7"/>
                                <w:w w:val="95"/>
                              </w:rPr>
                              <w:t xml:space="preserve"> </w:t>
                            </w:r>
                            <w:r>
                              <w:rPr>
                                <w:color w:val="231F20"/>
                                <w:w w:val="95"/>
                              </w:rPr>
                              <w:t xml:space="preserve">of sport </w:t>
                            </w:r>
                            <w:r>
                              <w:rPr>
                                <w:color w:val="231F20"/>
                              </w:rPr>
                              <w:t xml:space="preserve">tourist that is poorly understood). The sustainability of the CDR and </w:t>
                            </w:r>
                            <w:r>
                              <w:rPr>
                                <w:color w:val="231F20"/>
                                <w:w w:val="95"/>
                              </w:rPr>
                              <w:t>other participant-based events of this scale in similar sized communities will</w:t>
                            </w:r>
                            <w:r>
                              <w:rPr>
                                <w:color w:val="231F20"/>
                                <w:spacing w:val="-10"/>
                                <w:w w:val="95"/>
                              </w:rPr>
                              <w:t xml:space="preserve"> </w:t>
                            </w:r>
                            <w:r>
                              <w:rPr>
                                <w:color w:val="231F20"/>
                                <w:w w:val="95"/>
                              </w:rPr>
                              <w:t>be</w:t>
                            </w:r>
                            <w:r>
                              <w:rPr>
                                <w:color w:val="231F20"/>
                                <w:spacing w:val="-9"/>
                                <w:w w:val="95"/>
                              </w:rPr>
                              <w:t xml:space="preserve"> </w:t>
                            </w:r>
                            <w:r>
                              <w:rPr>
                                <w:color w:val="231F20"/>
                                <w:w w:val="95"/>
                              </w:rPr>
                              <w:t>closely</w:t>
                            </w:r>
                            <w:r>
                              <w:rPr>
                                <w:color w:val="231F20"/>
                                <w:spacing w:val="-9"/>
                                <w:w w:val="95"/>
                              </w:rPr>
                              <w:t xml:space="preserve"> </w:t>
                            </w:r>
                            <w:r>
                              <w:rPr>
                                <w:color w:val="231F20"/>
                                <w:w w:val="95"/>
                              </w:rPr>
                              <w:t>tied</w:t>
                            </w:r>
                            <w:r>
                              <w:rPr>
                                <w:color w:val="231F20"/>
                                <w:spacing w:val="-9"/>
                                <w:w w:val="95"/>
                              </w:rPr>
                              <w:t xml:space="preserve"> </w:t>
                            </w:r>
                            <w:r>
                              <w:rPr>
                                <w:color w:val="231F20"/>
                                <w:w w:val="95"/>
                              </w:rPr>
                              <w:t>to</w:t>
                            </w:r>
                            <w:r>
                              <w:rPr>
                                <w:color w:val="231F20"/>
                                <w:spacing w:val="-10"/>
                                <w:w w:val="95"/>
                              </w:rPr>
                              <w:t xml:space="preserve"> </w:t>
                            </w:r>
                            <w:r>
                              <w:rPr>
                                <w:color w:val="231F20"/>
                                <w:w w:val="95"/>
                              </w:rPr>
                              <w:t>whether</w:t>
                            </w:r>
                            <w:r>
                              <w:rPr>
                                <w:color w:val="231F20"/>
                                <w:spacing w:val="-9"/>
                                <w:w w:val="95"/>
                              </w:rPr>
                              <w:t xml:space="preserve"> </w:t>
                            </w:r>
                            <w:r>
                              <w:rPr>
                                <w:color w:val="231F20"/>
                                <w:w w:val="95"/>
                              </w:rPr>
                              <w:t>such</w:t>
                            </w:r>
                            <w:r>
                              <w:rPr>
                                <w:color w:val="231F20"/>
                                <w:spacing w:val="-9"/>
                                <w:w w:val="95"/>
                              </w:rPr>
                              <w:t xml:space="preserve"> </w:t>
                            </w:r>
                            <w:r>
                              <w:rPr>
                                <w:color w:val="231F20"/>
                                <w:w w:val="95"/>
                              </w:rPr>
                              <w:t>strategies</w:t>
                            </w:r>
                            <w:r>
                              <w:rPr>
                                <w:color w:val="231F20"/>
                                <w:spacing w:val="-9"/>
                                <w:w w:val="95"/>
                              </w:rPr>
                              <w:t xml:space="preserve"> </w:t>
                            </w:r>
                            <w:r>
                              <w:rPr>
                                <w:color w:val="231F20"/>
                                <w:w w:val="95"/>
                              </w:rPr>
                              <w:t>prove</w:t>
                            </w:r>
                            <w:r>
                              <w:rPr>
                                <w:color w:val="231F20"/>
                                <w:spacing w:val="-10"/>
                                <w:w w:val="95"/>
                              </w:rPr>
                              <w:t xml:space="preserve"> </w:t>
                            </w:r>
                            <w:r>
                              <w:rPr>
                                <w:color w:val="231F20"/>
                                <w:w w:val="95"/>
                              </w:rPr>
                              <w:t>to</w:t>
                            </w:r>
                            <w:r>
                              <w:rPr>
                                <w:color w:val="231F20"/>
                                <w:spacing w:val="-9"/>
                                <w:w w:val="95"/>
                              </w:rPr>
                              <w:t xml:space="preserve"> </w:t>
                            </w:r>
                            <w:r>
                              <w:rPr>
                                <w:color w:val="231F20"/>
                                <w:w w:val="95"/>
                              </w:rPr>
                              <w:t>be</w:t>
                            </w:r>
                            <w:r>
                              <w:rPr>
                                <w:color w:val="231F20"/>
                                <w:spacing w:val="-9"/>
                                <w:w w:val="95"/>
                              </w:rPr>
                              <w:t xml:space="preserve"> </w:t>
                            </w:r>
                            <w:r>
                              <w:rPr>
                                <w:color w:val="231F20"/>
                                <w:w w:val="95"/>
                              </w:rPr>
                              <w:t>successful</w:t>
                            </w:r>
                            <w:r>
                              <w:rPr>
                                <w:color w:val="231F20"/>
                                <w:spacing w:val="-9"/>
                                <w:w w:val="95"/>
                              </w:rPr>
                              <w:t xml:space="preserve"> </w:t>
                            </w:r>
                            <w:r>
                              <w:rPr>
                                <w:color w:val="231F20"/>
                                <w:w w:val="95"/>
                              </w:rPr>
                              <w:t>in</w:t>
                            </w:r>
                            <w:r>
                              <w:rPr>
                                <w:color w:val="231F20"/>
                                <w:spacing w:val="-10"/>
                                <w:w w:val="95"/>
                              </w:rPr>
                              <w:t xml:space="preserve"> </w:t>
                            </w:r>
                            <w:r>
                              <w:rPr>
                                <w:color w:val="231F20"/>
                                <w:w w:val="95"/>
                              </w:rPr>
                              <w:t xml:space="preserve">the </w:t>
                            </w:r>
                            <w:r>
                              <w:rPr>
                                <w:color w:val="231F20"/>
                              </w:rPr>
                              <w:t>long run.</w:t>
                            </w:r>
                          </w:p>
                          <w:p w14:paraId="32FF14EA" w14:textId="77777777" w:rsidR="00AE0598" w:rsidRDefault="00AE0598">
                            <w:pPr>
                              <w:pStyle w:val="Corpodetexto"/>
                              <w:spacing w:before="11"/>
                              <w:rPr>
                                <w:color w:val="000000"/>
                              </w:rPr>
                            </w:pPr>
                          </w:p>
                          <w:p w14:paraId="7ED23344" w14:textId="77777777" w:rsidR="00AE0598" w:rsidRDefault="0069255A">
                            <w:pPr>
                              <w:ind w:left="119"/>
                              <w:jc w:val="both"/>
                              <w:rPr>
                                <w:rFonts w:ascii="Trebuchet MS"/>
                                <w:color w:val="000000"/>
                                <w:sz w:val="20"/>
                              </w:rPr>
                            </w:pPr>
                            <w:r>
                              <w:rPr>
                                <w:rFonts w:ascii="Trebuchet MS"/>
                                <w:color w:val="231F20"/>
                                <w:w w:val="105"/>
                                <w:sz w:val="20"/>
                              </w:rPr>
                              <w:t>Key</w:t>
                            </w:r>
                            <w:r>
                              <w:rPr>
                                <w:rFonts w:ascii="Trebuchet MS"/>
                                <w:color w:val="231F20"/>
                                <w:spacing w:val="-11"/>
                                <w:w w:val="105"/>
                                <w:sz w:val="20"/>
                              </w:rPr>
                              <w:t xml:space="preserve"> </w:t>
                            </w:r>
                            <w:r>
                              <w:rPr>
                                <w:rFonts w:ascii="Trebuchet MS"/>
                                <w:color w:val="231F20"/>
                                <w:spacing w:val="-2"/>
                                <w:w w:val="105"/>
                                <w:sz w:val="20"/>
                              </w:rPr>
                              <w:t>Reading</w:t>
                            </w:r>
                          </w:p>
                          <w:p w14:paraId="6105A4DF" w14:textId="77777777" w:rsidR="00AE0598" w:rsidRDefault="0069255A">
                            <w:pPr>
                              <w:pStyle w:val="Corpodetexto"/>
                              <w:spacing w:before="122" w:line="232" w:lineRule="auto"/>
                              <w:ind w:left="119" w:right="117"/>
                              <w:jc w:val="both"/>
                              <w:rPr>
                                <w:color w:val="000000"/>
                              </w:rPr>
                            </w:pPr>
                            <w:r>
                              <w:rPr>
                                <w:color w:val="231F20"/>
                              </w:rPr>
                              <w:t xml:space="preserve">CDR (online) (2017) The Canadian Death Race. See </w:t>
                            </w:r>
                            <w:hyperlink r:id="rId26">
                              <w:r>
                                <w:rPr>
                                  <w:color w:val="231F20"/>
                                  <w:spacing w:val="-3"/>
                                  <w:w w:val="103"/>
                                </w:rPr>
                                <w:t>h</w:t>
                              </w:r>
                              <w:r>
                                <w:rPr>
                                  <w:color w:val="231F20"/>
                                  <w:spacing w:val="4"/>
                                  <w:w w:val="102"/>
                                </w:rPr>
                                <w:t>t</w:t>
                              </w:r>
                              <w:r>
                                <w:rPr>
                                  <w:color w:val="231F20"/>
                                  <w:spacing w:val="3"/>
                                  <w:w w:val="102"/>
                                </w:rPr>
                                <w:t>t</w:t>
                              </w:r>
                              <w:r>
                                <w:rPr>
                                  <w:color w:val="231F20"/>
                                  <w:spacing w:val="-3"/>
                                  <w:w w:val="102"/>
                                </w:rPr>
                                <w:t>p</w:t>
                              </w:r>
                              <w:r>
                                <w:rPr>
                                  <w:color w:val="231F20"/>
                                  <w:spacing w:val="5"/>
                                  <w:w w:val="109"/>
                                </w:rPr>
                                <w:t>:</w:t>
                              </w:r>
                              <w:r>
                                <w:rPr>
                                  <w:color w:val="231F20"/>
                                  <w:spacing w:val="-5"/>
                                  <w:w w:val="64"/>
                                </w:rPr>
                                <w:t>/</w:t>
                              </w:r>
                              <w:r>
                                <w:rPr>
                                  <w:color w:val="231F20"/>
                                  <w:spacing w:val="-2"/>
                                  <w:w w:val="64"/>
                                </w:rPr>
                                <w:t>/</w:t>
                              </w:r>
                              <w:r>
                                <w:rPr>
                                  <w:color w:val="231F20"/>
                                  <w:spacing w:val="3"/>
                                  <w:w w:val="103"/>
                                </w:rPr>
                                <w:t>ww</w:t>
                              </w:r>
                              <w:r>
                                <w:rPr>
                                  <w:color w:val="231F20"/>
                                  <w:spacing w:val="-12"/>
                                  <w:w w:val="103"/>
                                </w:rPr>
                                <w:t>w</w:t>
                              </w:r>
                              <w:r>
                                <w:rPr>
                                  <w:color w:val="231F20"/>
                                  <w:spacing w:val="-1"/>
                                  <w:w w:val="139"/>
                                </w:rPr>
                                <w:t>.</w:t>
                              </w:r>
                            </w:hyperlink>
                            <w:r>
                              <w:rPr>
                                <w:color w:val="231F20"/>
                                <w:spacing w:val="-1"/>
                                <w:w w:val="99"/>
                              </w:rPr>
                              <w:t xml:space="preserve"> </w:t>
                            </w:r>
                            <w:r>
                              <w:rPr>
                                <w:color w:val="231F20"/>
                                <w:spacing w:val="1"/>
                                <w:w w:val="95"/>
                              </w:rPr>
                              <w:t>c</w:t>
                            </w:r>
                            <w:r>
                              <w:rPr>
                                <w:color w:val="231F20"/>
                                <w:spacing w:val="2"/>
                                <w:w w:val="97"/>
                              </w:rPr>
                              <w:t>a</w:t>
                            </w:r>
                            <w:r>
                              <w:rPr>
                                <w:color w:val="231F20"/>
                                <w:spacing w:val="-1"/>
                                <w:w w:val="95"/>
                              </w:rPr>
                              <w:t>n</w:t>
                            </w:r>
                            <w:r>
                              <w:rPr>
                                <w:color w:val="231F20"/>
                                <w:spacing w:val="-3"/>
                                <w:w w:val="95"/>
                              </w:rPr>
                              <w:t>a</w:t>
                            </w:r>
                            <w:r>
                              <w:rPr>
                                <w:color w:val="231F20"/>
                                <w:spacing w:val="2"/>
                                <w:w w:val="94"/>
                              </w:rPr>
                              <w:t>d</w:t>
                            </w:r>
                            <w:r>
                              <w:rPr>
                                <w:color w:val="231F20"/>
                                <w:spacing w:val="-2"/>
                                <w:w w:val="96"/>
                              </w:rPr>
                              <w:t>i</w:t>
                            </w:r>
                            <w:r>
                              <w:rPr>
                                <w:color w:val="231F20"/>
                                <w:spacing w:val="2"/>
                                <w:w w:val="97"/>
                              </w:rPr>
                              <w:t>a</w:t>
                            </w:r>
                            <w:r>
                              <w:rPr>
                                <w:color w:val="231F20"/>
                                <w:spacing w:val="-2"/>
                                <w:w w:val="94"/>
                              </w:rPr>
                              <w:t>n</w:t>
                            </w:r>
                            <w:r>
                              <w:rPr>
                                <w:color w:val="231F20"/>
                                <w:spacing w:val="-1"/>
                                <w:w w:val="90"/>
                              </w:rPr>
                              <w:t>d</w:t>
                            </w:r>
                            <w:r>
                              <w:rPr>
                                <w:color w:val="231F20"/>
                                <w:spacing w:val="1"/>
                                <w:w w:val="90"/>
                              </w:rPr>
                              <w:t>e</w:t>
                            </w:r>
                            <w:r>
                              <w:rPr>
                                <w:color w:val="231F20"/>
                                <w:spacing w:val="-4"/>
                                <w:w w:val="97"/>
                              </w:rPr>
                              <w:t>a</w:t>
                            </w:r>
                            <w:r>
                              <w:rPr>
                                <w:color w:val="231F20"/>
                                <w:spacing w:val="2"/>
                                <w:w w:val="94"/>
                              </w:rPr>
                              <w:t>t</w:t>
                            </w:r>
                            <w:r>
                              <w:rPr>
                                <w:color w:val="231F20"/>
                                <w:spacing w:val="2"/>
                                <w:w w:val="95"/>
                              </w:rPr>
                              <w:t>h</w:t>
                            </w:r>
                            <w:r>
                              <w:rPr>
                                <w:color w:val="231F20"/>
                                <w:spacing w:val="-3"/>
                                <w:w w:val="89"/>
                              </w:rPr>
                              <w:t>r</w:t>
                            </w:r>
                            <w:r>
                              <w:rPr>
                                <w:color w:val="231F20"/>
                                <w:spacing w:val="-4"/>
                                <w:w w:val="97"/>
                              </w:rPr>
                              <w:t>a</w:t>
                            </w:r>
                            <w:r>
                              <w:rPr>
                                <w:color w:val="231F20"/>
                                <w:w w:val="95"/>
                              </w:rPr>
                              <w:t>c</w:t>
                            </w:r>
                            <w:r>
                              <w:rPr>
                                <w:color w:val="231F20"/>
                                <w:spacing w:val="1"/>
                                <w:w w:val="86"/>
                              </w:rPr>
                              <w:t>e</w:t>
                            </w:r>
                            <w:r>
                              <w:rPr>
                                <w:color w:val="231F20"/>
                                <w:spacing w:val="-2"/>
                                <w:w w:val="131"/>
                              </w:rPr>
                              <w:t>.</w:t>
                            </w:r>
                            <w:r>
                              <w:rPr>
                                <w:color w:val="231F20"/>
                                <w:spacing w:val="-1"/>
                                <w:w w:val="97"/>
                              </w:rPr>
                              <w:t>c</w:t>
                            </w:r>
                            <w:r>
                              <w:rPr>
                                <w:color w:val="231F20"/>
                                <w:spacing w:val="-4"/>
                                <w:w w:val="97"/>
                              </w:rPr>
                              <w:t>o</w:t>
                            </w:r>
                            <w:r>
                              <w:rPr>
                                <w:color w:val="231F20"/>
                                <w:spacing w:val="7"/>
                                <w:w w:val="95"/>
                              </w:rPr>
                              <w:t>m</w:t>
                            </w:r>
                            <w:r>
                              <w:rPr>
                                <w:color w:val="231F20"/>
                                <w:spacing w:val="6"/>
                                <w:w w:val="56"/>
                              </w:rPr>
                              <w:t>/</w:t>
                            </w:r>
                            <w:r>
                              <w:rPr>
                                <w:color w:val="231F20"/>
                                <w:spacing w:val="-3"/>
                                <w:w w:val="95"/>
                              </w:rPr>
                              <w:t>h</w:t>
                            </w:r>
                            <w:r>
                              <w:rPr>
                                <w:color w:val="231F20"/>
                                <w:spacing w:val="-4"/>
                                <w:w w:val="99"/>
                              </w:rPr>
                              <w:t>o</w:t>
                            </w:r>
                            <w:r>
                              <w:rPr>
                                <w:color w:val="231F20"/>
                                <w:spacing w:val="-1"/>
                                <w:w w:val="92"/>
                              </w:rPr>
                              <w:t>m</w:t>
                            </w:r>
                            <w:r>
                              <w:rPr>
                                <w:color w:val="231F20"/>
                                <w:spacing w:val="1"/>
                                <w:w w:val="92"/>
                              </w:rPr>
                              <w:t>e</w:t>
                            </w:r>
                            <w:r>
                              <w:rPr>
                                <w:color w:val="231F20"/>
                                <w:spacing w:val="-1"/>
                                <w:w w:val="104"/>
                              </w:rPr>
                              <w:t>.</w:t>
                            </w:r>
                            <w:r>
                              <w:rPr>
                                <w:color w:val="231F20"/>
                                <w:spacing w:val="-4"/>
                                <w:w w:val="104"/>
                              </w:rPr>
                              <w:t>h</w:t>
                            </w:r>
                            <w:r>
                              <w:rPr>
                                <w:color w:val="231F20"/>
                                <w:w w:val="94"/>
                              </w:rPr>
                              <w:t>t</w:t>
                            </w:r>
                            <w:r>
                              <w:rPr>
                                <w:color w:val="231F20"/>
                                <w:spacing w:val="2"/>
                                <w:w w:val="95"/>
                              </w:rPr>
                              <w:t>m</w:t>
                            </w:r>
                            <w:r>
                              <w:rPr>
                                <w:color w:val="231F20"/>
                                <w:spacing w:val="-2"/>
                                <w:w w:val="98"/>
                              </w:rPr>
                              <w:t>l</w:t>
                            </w:r>
                            <w:r>
                              <w:rPr>
                                <w:color w:val="231F20"/>
                                <w:spacing w:val="-1"/>
                                <w:w w:val="95"/>
                              </w:rPr>
                              <w:t xml:space="preserve"> </w:t>
                            </w:r>
                            <w:r>
                              <w:rPr>
                                <w:color w:val="231F20"/>
                                <w:w w:val="95"/>
                              </w:rPr>
                              <w:t>(accessed 29 August 2017).</w:t>
                            </w:r>
                          </w:p>
                          <w:p w14:paraId="3092F1E1" w14:textId="77777777" w:rsidR="00AE0598" w:rsidRDefault="0069255A">
                            <w:pPr>
                              <w:pStyle w:val="Corpodetexto"/>
                              <w:spacing w:before="123" w:line="232" w:lineRule="auto"/>
                              <w:ind w:left="119" w:right="115"/>
                              <w:jc w:val="both"/>
                              <w:rPr>
                                <w:color w:val="000000"/>
                              </w:rPr>
                            </w:pPr>
                            <w:r>
                              <w:rPr>
                                <w:color w:val="231F20"/>
                              </w:rPr>
                              <w:t>Hinch,</w:t>
                            </w:r>
                            <w:r>
                              <w:rPr>
                                <w:color w:val="231F20"/>
                                <w:spacing w:val="40"/>
                              </w:rPr>
                              <w:t xml:space="preserve"> </w:t>
                            </w:r>
                            <w:r>
                              <w:rPr>
                                <w:color w:val="231F20"/>
                              </w:rPr>
                              <w:t>T.D.</w:t>
                            </w:r>
                            <w:r>
                              <w:rPr>
                                <w:color w:val="231F20"/>
                                <w:spacing w:val="40"/>
                              </w:rPr>
                              <w:t xml:space="preserve"> </w:t>
                            </w:r>
                            <w:r>
                              <w:rPr>
                                <w:color w:val="231F20"/>
                              </w:rPr>
                              <w:t>(2013)</w:t>
                            </w:r>
                            <w:r>
                              <w:rPr>
                                <w:color w:val="231F20"/>
                                <w:spacing w:val="40"/>
                              </w:rPr>
                              <w:t xml:space="preserve"> </w:t>
                            </w:r>
                            <w:r>
                              <w:rPr>
                                <w:color w:val="231F20"/>
                              </w:rPr>
                              <w:t>Ultra-marathons</w:t>
                            </w:r>
                            <w:r>
                              <w:rPr>
                                <w:color w:val="231F20"/>
                                <w:spacing w:val="40"/>
                              </w:rPr>
                              <w:t xml:space="preserve"> </w:t>
                            </w:r>
                            <w:r>
                              <w:rPr>
                                <w:color w:val="231F20"/>
                              </w:rPr>
                              <w:t>and</w:t>
                            </w:r>
                            <w:r>
                              <w:rPr>
                                <w:color w:val="231F20"/>
                                <w:spacing w:val="40"/>
                              </w:rPr>
                              <w:t xml:space="preserve"> </w:t>
                            </w:r>
                            <w:r>
                              <w:rPr>
                                <w:color w:val="231F20"/>
                              </w:rPr>
                              <w:t>tourism</w:t>
                            </w:r>
                            <w:r>
                              <w:rPr>
                                <w:color w:val="231F20"/>
                                <w:spacing w:val="40"/>
                              </w:rPr>
                              <w:t xml:space="preserve"> </w:t>
                            </w:r>
                            <w:r>
                              <w:rPr>
                                <w:color w:val="231F20"/>
                              </w:rPr>
                              <w:t>development:</w:t>
                            </w:r>
                            <w:r>
                              <w:rPr>
                                <w:color w:val="231F20"/>
                                <w:spacing w:val="80"/>
                              </w:rPr>
                              <w:t xml:space="preserve"> </w:t>
                            </w:r>
                            <w:r>
                              <w:rPr>
                                <w:color w:val="231F20"/>
                              </w:rPr>
                              <w:t>The</w:t>
                            </w:r>
                            <w:r>
                              <w:rPr>
                                <w:color w:val="231F20"/>
                                <w:spacing w:val="34"/>
                              </w:rPr>
                              <w:t xml:space="preserve"> </w:t>
                            </w:r>
                            <w:r>
                              <w:rPr>
                                <w:color w:val="231F20"/>
                              </w:rPr>
                              <w:t>case</w:t>
                            </w:r>
                            <w:r>
                              <w:rPr>
                                <w:color w:val="231F20"/>
                                <w:spacing w:val="35"/>
                              </w:rPr>
                              <w:t xml:space="preserve"> </w:t>
                            </w:r>
                            <w:r>
                              <w:rPr>
                                <w:color w:val="231F20"/>
                              </w:rPr>
                              <w:t>of</w:t>
                            </w:r>
                            <w:r>
                              <w:rPr>
                                <w:color w:val="231F20"/>
                                <w:spacing w:val="35"/>
                              </w:rPr>
                              <w:t xml:space="preserve"> </w:t>
                            </w:r>
                            <w:r>
                              <w:rPr>
                                <w:color w:val="231F20"/>
                              </w:rPr>
                              <w:t>the</w:t>
                            </w:r>
                            <w:r>
                              <w:rPr>
                                <w:color w:val="231F20"/>
                                <w:spacing w:val="35"/>
                              </w:rPr>
                              <w:t xml:space="preserve"> </w:t>
                            </w:r>
                            <w:r>
                              <w:rPr>
                                <w:color w:val="231F20"/>
                              </w:rPr>
                              <w:t>Canadian</w:t>
                            </w:r>
                            <w:r>
                              <w:rPr>
                                <w:color w:val="231F20"/>
                                <w:spacing w:val="35"/>
                              </w:rPr>
                              <w:t xml:space="preserve"> </w:t>
                            </w:r>
                            <w:r>
                              <w:rPr>
                                <w:color w:val="231F20"/>
                              </w:rPr>
                              <w:t>Death</w:t>
                            </w:r>
                            <w:r>
                              <w:rPr>
                                <w:color w:val="231F20"/>
                                <w:spacing w:val="35"/>
                              </w:rPr>
                              <w:t xml:space="preserve"> </w:t>
                            </w:r>
                            <w:r>
                              <w:rPr>
                                <w:color w:val="231F20"/>
                              </w:rPr>
                              <w:t>Race</w:t>
                            </w:r>
                            <w:r>
                              <w:rPr>
                                <w:color w:val="231F20"/>
                                <w:spacing w:val="35"/>
                              </w:rPr>
                              <w:t xml:space="preserve"> </w:t>
                            </w:r>
                            <w:r>
                              <w:rPr>
                                <w:color w:val="231F20"/>
                              </w:rPr>
                              <w:t>in</w:t>
                            </w:r>
                            <w:r>
                              <w:rPr>
                                <w:color w:val="231F20"/>
                                <w:spacing w:val="35"/>
                              </w:rPr>
                              <w:t xml:space="preserve"> </w:t>
                            </w:r>
                            <w:r>
                              <w:rPr>
                                <w:color w:val="231F20"/>
                              </w:rPr>
                              <w:t>Grande</w:t>
                            </w:r>
                            <w:r>
                              <w:rPr>
                                <w:color w:val="231F20"/>
                                <w:spacing w:val="35"/>
                              </w:rPr>
                              <w:t xml:space="preserve"> </w:t>
                            </w:r>
                            <w:r>
                              <w:rPr>
                                <w:color w:val="231F20"/>
                              </w:rPr>
                              <w:t>Cache,</w:t>
                            </w:r>
                            <w:r>
                              <w:rPr>
                                <w:color w:val="231F20"/>
                                <w:spacing w:val="35"/>
                              </w:rPr>
                              <w:t xml:space="preserve"> </w:t>
                            </w:r>
                            <w:r>
                              <w:rPr>
                                <w:color w:val="231F20"/>
                              </w:rPr>
                              <w:t>Alberta.</w:t>
                            </w:r>
                            <w:r>
                              <w:rPr>
                                <w:color w:val="231F20"/>
                                <w:spacing w:val="35"/>
                              </w:rPr>
                              <w:t xml:space="preserve"> </w:t>
                            </w:r>
                            <w:r>
                              <w:rPr>
                                <w:color w:val="231F20"/>
                                <w:spacing w:val="-5"/>
                              </w:rPr>
                              <w:t>In</w:t>
                            </w:r>
                          </w:p>
                          <w:p w14:paraId="105609AD" w14:textId="77777777" w:rsidR="00AE0598" w:rsidRDefault="0069255A">
                            <w:pPr>
                              <w:spacing w:before="2" w:line="232" w:lineRule="auto"/>
                              <w:ind w:left="119"/>
                              <w:rPr>
                                <w:color w:val="000000"/>
                                <w:sz w:val="21"/>
                              </w:rPr>
                            </w:pPr>
                            <w:r>
                              <w:rPr>
                                <w:color w:val="231F20"/>
                                <w:sz w:val="21"/>
                              </w:rPr>
                              <w:t xml:space="preserve">B. Garrod and A. Fyall (eds) </w:t>
                            </w:r>
                            <w:r>
                              <w:rPr>
                                <w:i/>
                                <w:color w:val="231F20"/>
                                <w:sz w:val="21"/>
                              </w:rPr>
                              <w:t xml:space="preserve">Contemporary Cases in Sport </w:t>
                            </w:r>
                            <w:r>
                              <w:rPr>
                                <w:color w:val="231F20"/>
                                <w:sz w:val="21"/>
                              </w:rPr>
                              <w:t>(pp. 22–40). Oxford: Goodfellow.</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8DC0FE" id="docshape117" o:spid="_x0000_s1081" type="#_x0000_t202" style="position:absolute;margin-left:59.5pt;margin-top:17.2pt;width:323.15pt;height:258.75pt;z-index:-156943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" fillcolor="#dcddde" stroked="f">
                <v:textbox inset="0,0,0,0">
                  <w:txbxContent>
                    <w:p w14:paraId="3BB6E494" w14:textId="77777777" w:rsidR="00AE0598" w:rsidRDefault="0069255A">
                      <w:pPr>
                        <w:spacing w:before="79"/>
                        <w:ind w:left="113"/>
                        <w:jc w:val="both"/>
                        <w:rPr>
                          <w:rFonts w:ascii="Trebuchet MS"/>
                          <w:color w:val="000000"/>
                          <w:sz w:val="18"/>
                        </w:rPr>
                      </w:pPr>
                      <w:r>
                        <w:rPr>
                          <w:rFonts w:ascii="Trebuchet MS"/>
                          <w:color w:val="231F20"/>
                          <w:sz w:val="18"/>
                        </w:rPr>
                        <w:t>Focus</w:t>
                      </w:r>
                      <w:r>
                        <w:rPr>
                          <w:rFonts w:ascii="Trebuchet MS"/>
                          <w:color w:val="231F20"/>
                          <w:spacing w:val="-6"/>
                          <w:sz w:val="18"/>
                        </w:rPr>
                        <w:t xml:space="preserve"> </w:t>
                      </w:r>
                      <w:r>
                        <w:rPr>
                          <w:rFonts w:ascii="Trebuchet MS"/>
                          <w:color w:val="231F20"/>
                          <w:sz w:val="18"/>
                        </w:rPr>
                        <w:t>Point</w:t>
                      </w:r>
                      <w:r>
                        <w:rPr>
                          <w:rFonts w:ascii="Trebuchet MS"/>
                          <w:color w:val="231F20"/>
                          <w:spacing w:val="-6"/>
                          <w:sz w:val="18"/>
                        </w:rPr>
                        <w:t xml:space="preserve"> </w:t>
                      </w:r>
                      <w:r>
                        <w:rPr>
                          <w:rFonts w:ascii="Trebuchet MS"/>
                          <w:color w:val="231F20"/>
                          <w:sz w:val="18"/>
                        </w:rPr>
                        <w:t>4.1:</w:t>
                      </w:r>
                      <w:r>
                        <w:rPr>
                          <w:rFonts w:ascii="Trebuchet MS"/>
                          <w:color w:val="231F20"/>
                          <w:spacing w:val="-7"/>
                          <w:sz w:val="18"/>
                        </w:rPr>
                        <w:t xml:space="preserve"> </w:t>
                      </w:r>
                      <w:r>
                        <w:rPr>
                          <w:rFonts w:ascii="Trebuchet MS"/>
                          <w:color w:val="231F20"/>
                          <w:spacing w:val="-2"/>
                          <w:sz w:val="18"/>
                        </w:rPr>
                        <w:t>(Continued)</w:t>
                      </w:r>
                    </w:p>
                    <w:p w14:paraId="726BE3B2" w14:textId="77777777" w:rsidR="00AE0598" w:rsidRDefault="00AE0598">
                      <w:pPr>
                        <w:pStyle w:val="Corpodetexto"/>
                        <w:spacing w:before="10"/>
                        <w:rPr>
                          <w:rFonts w:ascii="Trebuchet MS"/>
                          <w:color w:val="000000"/>
                          <w:sz w:val="16"/>
                        </w:rPr>
                      </w:pPr>
                    </w:p>
                    <w:p w14:paraId="300B0D04" w14:textId="77777777" w:rsidR="00AE0598" w:rsidRDefault="0069255A">
                      <w:pPr>
                        <w:pStyle w:val="Corpodetexto"/>
                        <w:spacing w:line="232" w:lineRule="auto"/>
                        <w:ind w:left="119" w:right="117"/>
                        <w:jc w:val="both"/>
                        <w:rPr>
                          <w:color w:val="000000"/>
                        </w:rPr>
                      </w:pPr>
                      <w:r>
                        <w:rPr>
                          <w:color w:val="231F20"/>
                          <w:w w:val="95"/>
                        </w:rPr>
                        <w:t>as the demands have increased with the growth of the event, volunteers have</w:t>
                      </w:r>
                      <w:r>
                        <w:rPr>
                          <w:color w:val="231F20"/>
                          <w:spacing w:val="-6"/>
                          <w:w w:val="95"/>
                        </w:rPr>
                        <w:t xml:space="preserve"> </w:t>
                      </w:r>
                      <w:r>
                        <w:rPr>
                          <w:color w:val="231F20"/>
                          <w:w w:val="95"/>
                        </w:rPr>
                        <w:t>simply</w:t>
                      </w:r>
                      <w:r>
                        <w:rPr>
                          <w:color w:val="231F20"/>
                          <w:spacing w:val="-6"/>
                          <w:w w:val="95"/>
                        </w:rPr>
                        <w:t xml:space="preserve"> </w:t>
                      </w:r>
                      <w:r>
                        <w:rPr>
                          <w:color w:val="231F20"/>
                          <w:w w:val="95"/>
                        </w:rPr>
                        <w:t>tired</w:t>
                      </w:r>
                      <w:r>
                        <w:rPr>
                          <w:color w:val="231F20"/>
                          <w:spacing w:val="-6"/>
                          <w:w w:val="95"/>
                        </w:rPr>
                        <w:t xml:space="preserve"> </w:t>
                      </w:r>
                      <w:r>
                        <w:rPr>
                          <w:color w:val="231F20"/>
                          <w:w w:val="95"/>
                        </w:rPr>
                        <w:t>of</w:t>
                      </w:r>
                      <w:r>
                        <w:rPr>
                          <w:color w:val="231F20"/>
                        </w:rPr>
                        <w:t xml:space="preserve"> </w:t>
                      </w:r>
                      <w:r>
                        <w:rPr>
                          <w:color w:val="231F20"/>
                          <w:w w:val="95"/>
                        </w:rPr>
                        <w:t>ongoing</w:t>
                      </w:r>
                      <w:r>
                        <w:rPr>
                          <w:color w:val="231F20"/>
                          <w:spacing w:val="-6"/>
                          <w:w w:val="95"/>
                        </w:rPr>
                        <w:t xml:space="preserve"> </w:t>
                      </w:r>
                      <w:r>
                        <w:rPr>
                          <w:color w:val="231F20"/>
                          <w:w w:val="95"/>
                        </w:rPr>
                        <w:t>participation</w:t>
                      </w:r>
                      <w:r>
                        <w:rPr>
                          <w:color w:val="231F20"/>
                          <w:spacing w:val="-6"/>
                          <w:w w:val="95"/>
                        </w:rPr>
                        <w:t xml:space="preserve"> </w:t>
                      </w:r>
                      <w:r>
                        <w:rPr>
                          <w:color w:val="231F20"/>
                          <w:w w:val="95"/>
                        </w:rPr>
                        <w:t>and</w:t>
                      </w:r>
                      <w:r>
                        <w:rPr>
                          <w:color w:val="231F20"/>
                          <w:spacing w:val="-6"/>
                          <w:w w:val="95"/>
                        </w:rPr>
                        <w:t xml:space="preserve"> </w:t>
                      </w:r>
                      <w:r>
                        <w:rPr>
                          <w:color w:val="231F20"/>
                          <w:w w:val="95"/>
                        </w:rPr>
                        <w:t>concerns</w:t>
                      </w:r>
                      <w:r>
                        <w:rPr>
                          <w:color w:val="231F20"/>
                          <w:spacing w:val="-6"/>
                          <w:w w:val="95"/>
                        </w:rPr>
                        <w:t xml:space="preserve"> </w:t>
                      </w:r>
                      <w:r>
                        <w:rPr>
                          <w:color w:val="231F20"/>
                          <w:w w:val="95"/>
                        </w:rPr>
                        <w:t>have</w:t>
                      </w:r>
                      <w:r>
                        <w:rPr>
                          <w:color w:val="231F20"/>
                          <w:spacing w:val="-6"/>
                          <w:w w:val="95"/>
                        </w:rPr>
                        <w:t xml:space="preserve"> </w:t>
                      </w:r>
                      <w:r>
                        <w:rPr>
                          <w:color w:val="231F20"/>
                          <w:w w:val="95"/>
                        </w:rPr>
                        <w:t>been</w:t>
                      </w:r>
                      <w:r>
                        <w:rPr>
                          <w:color w:val="231F20"/>
                          <w:spacing w:val="-6"/>
                          <w:w w:val="95"/>
                        </w:rPr>
                        <w:t xml:space="preserve"> </w:t>
                      </w:r>
                      <w:r>
                        <w:rPr>
                          <w:color w:val="231F20"/>
                          <w:w w:val="95"/>
                        </w:rPr>
                        <w:t>raised about</w:t>
                      </w:r>
                      <w:r>
                        <w:rPr>
                          <w:color w:val="231F20"/>
                          <w:spacing w:val="-1"/>
                          <w:w w:val="95"/>
                        </w:rPr>
                        <w:t xml:space="preserve"> </w:t>
                      </w:r>
                      <w:r>
                        <w:rPr>
                          <w:color w:val="231F20"/>
                          <w:w w:val="95"/>
                        </w:rPr>
                        <w:t>the</w:t>
                      </w:r>
                      <w:r>
                        <w:rPr>
                          <w:color w:val="231F20"/>
                          <w:spacing w:val="-1"/>
                          <w:w w:val="95"/>
                        </w:rPr>
                        <w:t xml:space="preserve"> </w:t>
                      </w:r>
                      <w:r>
                        <w:rPr>
                          <w:color w:val="231F20"/>
                          <w:w w:val="95"/>
                        </w:rPr>
                        <w:t>equity</w:t>
                      </w:r>
                      <w:r>
                        <w:rPr>
                          <w:color w:val="231F20"/>
                          <w:spacing w:val="-1"/>
                          <w:w w:val="95"/>
                        </w:rPr>
                        <w:t xml:space="preserve"> </w:t>
                      </w:r>
                      <w:r>
                        <w:rPr>
                          <w:color w:val="231F20"/>
                          <w:w w:val="95"/>
                        </w:rPr>
                        <w:t>of the</w:t>
                      </w:r>
                      <w:r>
                        <w:rPr>
                          <w:color w:val="231F20"/>
                          <w:spacing w:val="-1"/>
                          <w:w w:val="95"/>
                        </w:rPr>
                        <w:t xml:space="preserve"> </w:t>
                      </w:r>
                      <w:r>
                        <w:rPr>
                          <w:color w:val="231F20"/>
                          <w:w w:val="95"/>
                        </w:rPr>
                        <w:t>distribution</w:t>
                      </w:r>
                      <w:r>
                        <w:rPr>
                          <w:color w:val="231F20"/>
                          <w:spacing w:val="-1"/>
                          <w:w w:val="95"/>
                        </w:rPr>
                        <w:t xml:space="preserve"> </w:t>
                      </w:r>
                      <w:r>
                        <w:rPr>
                          <w:color w:val="231F20"/>
                          <w:w w:val="95"/>
                        </w:rPr>
                        <w:t>of the</w:t>
                      </w:r>
                      <w:r>
                        <w:rPr>
                          <w:color w:val="231F20"/>
                          <w:spacing w:val="-1"/>
                          <w:w w:val="95"/>
                        </w:rPr>
                        <w:t xml:space="preserve"> </w:t>
                      </w:r>
                      <w:r>
                        <w:rPr>
                          <w:color w:val="231F20"/>
                          <w:w w:val="95"/>
                        </w:rPr>
                        <w:t>event</w:t>
                      </w:r>
                      <w:r>
                        <w:rPr>
                          <w:color w:val="231F20"/>
                          <w:spacing w:val="-1"/>
                          <w:w w:val="95"/>
                        </w:rPr>
                        <w:t xml:space="preserve"> </w:t>
                      </w:r>
                      <w:r>
                        <w:rPr>
                          <w:color w:val="231F20"/>
                          <w:w w:val="95"/>
                        </w:rPr>
                        <w:t>revenues.</w:t>
                      </w:r>
                      <w:r>
                        <w:rPr>
                          <w:color w:val="231F20"/>
                          <w:spacing w:val="-1"/>
                          <w:w w:val="95"/>
                        </w:rPr>
                        <w:t xml:space="preserve"> </w:t>
                      </w:r>
                      <w:r>
                        <w:rPr>
                          <w:color w:val="231F20"/>
                          <w:w w:val="95"/>
                        </w:rPr>
                        <w:t>This</w:t>
                      </w:r>
                      <w:r>
                        <w:rPr>
                          <w:color w:val="231F20"/>
                          <w:spacing w:val="-1"/>
                          <w:w w:val="95"/>
                        </w:rPr>
                        <w:t xml:space="preserve"> </w:t>
                      </w:r>
                      <w:r>
                        <w:rPr>
                          <w:color w:val="231F20"/>
                          <w:w w:val="95"/>
                        </w:rPr>
                        <w:t xml:space="preserve">challenge has been partially addressed by the municipality requiring its employees </w:t>
                      </w:r>
                      <w:r>
                        <w:rPr>
                          <w:color w:val="231F20"/>
                        </w:rPr>
                        <w:t>to help out with the event as part of their work duties and by t</w:t>
                      </w:r>
                      <w:r>
                        <w:rPr>
                          <w:color w:val="231F20"/>
                        </w:rPr>
                        <w:t xml:space="preserve">he </w:t>
                      </w:r>
                      <w:r>
                        <w:rPr>
                          <w:color w:val="231F20"/>
                          <w:w w:val="95"/>
                        </w:rPr>
                        <w:t>recruitment</w:t>
                      </w:r>
                      <w:r>
                        <w:rPr>
                          <w:color w:val="231F20"/>
                          <w:spacing w:val="-7"/>
                          <w:w w:val="95"/>
                        </w:rPr>
                        <w:t xml:space="preserve"> </w:t>
                      </w:r>
                      <w:r>
                        <w:rPr>
                          <w:color w:val="231F20"/>
                          <w:w w:val="95"/>
                        </w:rPr>
                        <w:t>of volunteers</w:t>
                      </w:r>
                      <w:r>
                        <w:rPr>
                          <w:color w:val="231F20"/>
                          <w:spacing w:val="-7"/>
                          <w:w w:val="95"/>
                        </w:rPr>
                        <w:t xml:space="preserve"> </w:t>
                      </w:r>
                      <w:r>
                        <w:rPr>
                          <w:color w:val="231F20"/>
                          <w:w w:val="95"/>
                        </w:rPr>
                        <w:t>from</w:t>
                      </w:r>
                      <w:r>
                        <w:rPr>
                          <w:color w:val="231F20"/>
                          <w:spacing w:val="-7"/>
                          <w:w w:val="95"/>
                        </w:rPr>
                        <w:t xml:space="preserve"> </w:t>
                      </w:r>
                      <w:r>
                        <w:rPr>
                          <w:color w:val="231F20"/>
                          <w:w w:val="95"/>
                        </w:rPr>
                        <w:t>outside</w:t>
                      </w:r>
                      <w:r>
                        <w:rPr>
                          <w:color w:val="231F20"/>
                          <w:spacing w:val="-7"/>
                          <w:w w:val="95"/>
                        </w:rPr>
                        <w:t xml:space="preserve"> </w:t>
                      </w:r>
                      <w:r>
                        <w:rPr>
                          <w:color w:val="231F20"/>
                          <w:w w:val="95"/>
                        </w:rPr>
                        <w:t>of the</w:t>
                      </w:r>
                      <w:r>
                        <w:rPr>
                          <w:color w:val="231F20"/>
                          <w:spacing w:val="-7"/>
                          <w:w w:val="95"/>
                        </w:rPr>
                        <w:t xml:space="preserve"> </w:t>
                      </w:r>
                      <w:r>
                        <w:rPr>
                          <w:color w:val="231F20"/>
                          <w:w w:val="95"/>
                        </w:rPr>
                        <w:t>community</w:t>
                      </w:r>
                      <w:r>
                        <w:rPr>
                          <w:color w:val="231F20"/>
                          <w:spacing w:val="-7"/>
                          <w:w w:val="95"/>
                        </w:rPr>
                        <w:t xml:space="preserve"> </w:t>
                      </w:r>
                      <w:r>
                        <w:rPr>
                          <w:color w:val="231F20"/>
                          <w:w w:val="95"/>
                        </w:rPr>
                        <w:t>(a</w:t>
                      </w:r>
                      <w:r>
                        <w:rPr>
                          <w:color w:val="231F20"/>
                          <w:spacing w:val="-7"/>
                          <w:w w:val="95"/>
                        </w:rPr>
                        <w:t xml:space="preserve"> </w:t>
                      </w:r>
                      <w:r>
                        <w:rPr>
                          <w:color w:val="231F20"/>
                          <w:w w:val="95"/>
                        </w:rPr>
                        <w:t>type</w:t>
                      </w:r>
                      <w:r>
                        <w:rPr>
                          <w:color w:val="231F20"/>
                          <w:spacing w:val="-7"/>
                          <w:w w:val="95"/>
                        </w:rPr>
                        <w:t xml:space="preserve"> </w:t>
                      </w:r>
                      <w:r>
                        <w:rPr>
                          <w:color w:val="231F20"/>
                          <w:w w:val="95"/>
                        </w:rPr>
                        <w:t xml:space="preserve">of sport </w:t>
                      </w:r>
                      <w:r>
                        <w:rPr>
                          <w:color w:val="231F20"/>
                        </w:rPr>
                        <w:t xml:space="preserve">tourist that is poorly understood). The sustainability of the CDR and </w:t>
                      </w:r>
                      <w:r>
                        <w:rPr>
                          <w:color w:val="231F20"/>
                          <w:w w:val="95"/>
                        </w:rPr>
                        <w:t>other participant-based events of this scale in similar sized communities will</w:t>
                      </w:r>
                      <w:r>
                        <w:rPr>
                          <w:color w:val="231F20"/>
                          <w:spacing w:val="-10"/>
                          <w:w w:val="95"/>
                        </w:rPr>
                        <w:t xml:space="preserve"> </w:t>
                      </w:r>
                      <w:r>
                        <w:rPr>
                          <w:color w:val="231F20"/>
                          <w:w w:val="95"/>
                        </w:rPr>
                        <w:t>be</w:t>
                      </w:r>
                      <w:r>
                        <w:rPr>
                          <w:color w:val="231F20"/>
                          <w:spacing w:val="-9"/>
                          <w:w w:val="95"/>
                        </w:rPr>
                        <w:t xml:space="preserve"> </w:t>
                      </w:r>
                      <w:r>
                        <w:rPr>
                          <w:color w:val="231F20"/>
                          <w:w w:val="95"/>
                        </w:rPr>
                        <w:t>closely</w:t>
                      </w:r>
                      <w:r>
                        <w:rPr>
                          <w:color w:val="231F20"/>
                          <w:spacing w:val="-9"/>
                          <w:w w:val="95"/>
                        </w:rPr>
                        <w:t xml:space="preserve"> </w:t>
                      </w:r>
                      <w:r>
                        <w:rPr>
                          <w:color w:val="231F20"/>
                          <w:w w:val="95"/>
                        </w:rPr>
                        <w:t>tied</w:t>
                      </w:r>
                      <w:r>
                        <w:rPr>
                          <w:color w:val="231F20"/>
                          <w:spacing w:val="-9"/>
                          <w:w w:val="95"/>
                        </w:rPr>
                        <w:t xml:space="preserve"> </w:t>
                      </w:r>
                      <w:r>
                        <w:rPr>
                          <w:color w:val="231F20"/>
                          <w:w w:val="95"/>
                        </w:rPr>
                        <w:t>to</w:t>
                      </w:r>
                      <w:r>
                        <w:rPr>
                          <w:color w:val="231F20"/>
                          <w:spacing w:val="-10"/>
                          <w:w w:val="95"/>
                        </w:rPr>
                        <w:t xml:space="preserve"> </w:t>
                      </w:r>
                      <w:r>
                        <w:rPr>
                          <w:color w:val="231F20"/>
                          <w:w w:val="95"/>
                        </w:rPr>
                        <w:t>whether</w:t>
                      </w:r>
                      <w:r>
                        <w:rPr>
                          <w:color w:val="231F20"/>
                          <w:spacing w:val="-9"/>
                          <w:w w:val="95"/>
                        </w:rPr>
                        <w:t xml:space="preserve"> </w:t>
                      </w:r>
                      <w:r>
                        <w:rPr>
                          <w:color w:val="231F20"/>
                          <w:w w:val="95"/>
                        </w:rPr>
                        <w:t>such</w:t>
                      </w:r>
                      <w:r>
                        <w:rPr>
                          <w:color w:val="231F20"/>
                          <w:spacing w:val="-9"/>
                          <w:w w:val="95"/>
                        </w:rPr>
                        <w:t xml:space="preserve"> </w:t>
                      </w:r>
                      <w:r>
                        <w:rPr>
                          <w:color w:val="231F20"/>
                          <w:w w:val="95"/>
                        </w:rPr>
                        <w:t>strategies</w:t>
                      </w:r>
                      <w:r>
                        <w:rPr>
                          <w:color w:val="231F20"/>
                          <w:spacing w:val="-9"/>
                          <w:w w:val="95"/>
                        </w:rPr>
                        <w:t xml:space="preserve"> </w:t>
                      </w:r>
                      <w:r>
                        <w:rPr>
                          <w:color w:val="231F20"/>
                          <w:w w:val="95"/>
                        </w:rPr>
                        <w:t>prove</w:t>
                      </w:r>
                      <w:r>
                        <w:rPr>
                          <w:color w:val="231F20"/>
                          <w:spacing w:val="-10"/>
                          <w:w w:val="95"/>
                        </w:rPr>
                        <w:t xml:space="preserve"> </w:t>
                      </w:r>
                      <w:r>
                        <w:rPr>
                          <w:color w:val="231F20"/>
                          <w:w w:val="95"/>
                        </w:rPr>
                        <w:t>to</w:t>
                      </w:r>
                      <w:r>
                        <w:rPr>
                          <w:color w:val="231F20"/>
                          <w:spacing w:val="-9"/>
                          <w:w w:val="95"/>
                        </w:rPr>
                        <w:t xml:space="preserve"> </w:t>
                      </w:r>
                      <w:r>
                        <w:rPr>
                          <w:color w:val="231F20"/>
                          <w:w w:val="95"/>
                        </w:rPr>
                        <w:t>be</w:t>
                      </w:r>
                      <w:r>
                        <w:rPr>
                          <w:color w:val="231F20"/>
                          <w:spacing w:val="-9"/>
                          <w:w w:val="95"/>
                        </w:rPr>
                        <w:t xml:space="preserve"> </w:t>
                      </w:r>
                      <w:r>
                        <w:rPr>
                          <w:color w:val="231F20"/>
                          <w:w w:val="95"/>
                        </w:rPr>
                        <w:t>successful</w:t>
                      </w:r>
                      <w:r>
                        <w:rPr>
                          <w:color w:val="231F20"/>
                          <w:spacing w:val="-9"/>
                          <w:w w:val="95"/>
                        </w:rPr>
                        <w:t xml:space="preserve"> </w:t>
                      </w:r>
                      <w:r>
                        <w:rPr>
                          <w:color w:val="231F20"/>
                          <w:w w:val="95"/>
                        </w:rPr>
                        <w:t>in</w:t>
                      </w:r>
                      <w:r>
                        <w:rPr>
                          <w:color w:val="231F20"/>
                          <w:spacing w:val="-10"/>
                          <w:w w:val="95"/>
                        </w:rPr>
                        <w:t xml:space="preserve"> </w:t>
                      </w:r>
                      <w:r>
                        <w:rPr>
                          <w:color w:val="231F20"/>
                          <w:w w:val="95"/>
                        </w:rPr>
                        <w:t xml:space="preserve">the </w:t>
                      </w:r>
                      <w:r>
                        <w:rPr>
                          <w:color w:val="231F20"/>
                        </w:rPr>
                        <w:t>long run.</w:t>
                      </w:r>
                    </w:p>
                    <w:p w14:paraId="32FF14EA" w14:textId="77777777" w:rsidR="00AE0598" w:rsidRDefault="00AE0598">
                      <w:pPr>
                        <w:pStyle w:val="Corpodetexto"/>
                        <w:spacing w:before="11"/>
                        <w:rPr>
                          <w:color w:val="000000"/>
                        </w:rPr>
                      </w:pPr>
                    </w:p>
                    <w:p w14:paraId="7ED23344" w14:textId="77777777" w:rsidR="00AE0598" w:rsidRDefault="0069255A">
                      <w:pPr>
                        <w:ind w:left="119"/>
                        <w:jc w:val="both"/>
                        <w:rPr>
                          <w:rFonts w:ascii="Trebuchet MS"/>
                          <w:color w:val="000000"/>
                          <w:sz w:val="20"/>
                        </w:rPr>
                      </w:pPr>
                      <w:r>
                        <w:rPr>
                          <w:rFonts w:ascii="Trebuchet MS"/>
                          <w:color w:val="231F20"/>
                          <w:w w:val="105"/>
                          <w:sz w:val="20"/>
                        </w:rPr>
                        <w:t>Key</w:t>
                      </w:r>
                      <w:r>
                        <w:rPr>
                          <w:rFonts w:ascii="Trebuchet MS"/>
                          <w:color w:val="231F20"/>
                          <w:spacing w:val="-11"/>
                          <w:w w:val="105"/>
                          <w:sz w:val="20"/>
                        </w:rPr>
                        <w:t xml:space="preserve"> </w:t>
                      </w:r>
                      <w:r>
                        <w:rPr>
                          <w:rFonts w:ascii="Trebuchet MS"/>
                          <w:color w:val="231F20"/>
                          <w:spacing w:val="-2"/>
                          <w:w w:val="105"/>
                          <w:sz w:val="20"/>
                        </w:rPr>
                        <w:t>Reading</w:t>
                      </w:r>
                    </w:p>
                    <w:p w14:paraId="6105A4DF" w14:textId="77777777" w:rsidR="00AE0598" w:rsidRDefault="0069255A">
                      <w:pPr>
                        <w:pStyle w:val="Corpodetexto"/>
                        <w:spacing w:before="122" w:line="232" w:lineRule="auto"/>
                        <w:ind w:left="119" w:right="117"/>
                        <w:jc w:val="both"/>
                        <w:rPr>
                          <w:color w:val="000000"/>
                        </w:rPr>
                      </w:pPr>
                      <w:r>
                        <w:rPr>
                          <w:color w:val="231F20"/>
                        </w:rPr>
                        <w:t xml:space="preserve">CDR (online) (2017) The Canadian Death Race. See </w:t>
                      </w:r>
                      <w:hyperlink r:id="rId27">
                        <w:r>
                          <w:rPr>
                            <w:color w:val="231F20"/>
                            <w:spacing w:val="-3"/>
                            <w:w w:val="103"/>
                          </w:rPr>
                          <w:t>h</w:t>
                        </w:r>
                        <w:r>
                          <w:rPr>
                            <w:color w:val="231F20"/>
                            <w:spacing w:val="4"/>
                            <w:w w:val="102"/>
                          </w:rPr>
                          <w:t>t</w:t>
                        </w:r>
                        <w:r>
                          <w:rPr>
                            <w:color w:val="231F20"/>
                            <w:spacing w:val="3"/>
                            <w:w w:val="102"/>
                          </w:rPr>
                          <w:t>t</w:t>
                        </w:r>
                        <w:r>
                          <w:rPr>
                            <w:color w:val="231F20"/>
                            <w:spacing w:val="-3"/>
                            <w:w w:val="102"/>
                          </w:rPr>
                          <w:t>p</w:t>
                        </w:r>
                        <w:r>
                          <w:rPr>
                            <w:color w:val="231F20"/>
                            <w:spacing w:val="5"/>
                            <w:w w:val="109"/>
                          </w:rPr>
                          <w:t>:</w:t>
                        </w:r>
                        <w:r>
                          <w:rPr>
                            <w:color w:val="231F20"/>
                            <w:spacing w:val="-5"/>
                            <w:w w:val="64"/>
                          </w:rPr>
                          <w:t>/</w:t>
                        </w:r>
                        <w:r>
                          <w:rPr>
                            <w:color w:val="231F20"/>
                            <w:spacing w:val="-2"/>
                            <w:w w:val="64"/>
                          </w:rPr>
                          <w:t>/</w:t>
                        </w:r>
                        <w:r>
                          <w:rPr>
                            <w:color w:val="231F20"/>
                            <w:spacing w:val="3"/>
                            <w:w w:val="103"/>
                          </w:rPr>
                          <w:t>ww</w:t>
                        </w:r>
                        <w:r>
                          <w:rPr>
                            <w:color w:val="231F20"/>
                            <w:spacing w:val="-12"/>
                            <w:w w:val="103"/>
                          </w:rPr>
                          <w:t>w</w:t>
                        </w:r>
                        <w:r>
                          <w:rPr>
                            <w:color w:val="231F20"/>
                            <w:spacing w:val="-1"/>
                            <w:w w:val="139"/>
                          </w:rPr>
                          <w:t>.</w:t>
                        </w:r>
                      </w:hyperlink>
                      <w:r>
                        <w:rPr>
                          <w:color w:val="231F20"/>
                          <w:spacing w:val="-1"/>
                          <w:w w:val="99"/>
                        </w:rPr>
                        <w:t xml:space="preserve"> </w:t>
                      </w:r>
                      <w:r>
                        <w:rPr>
                          <w:color w:val="231F20"/>
                          <w:spacing w:val="1"/>
                          <w:w w:val="95"/>
                        </w:rPr>
                        <w:t>c</w:t>
                      </w:r>
                      <w:r>
                        <w:rPr>
                          <w:color w:val="231F20"/>
                          <w:spacing w:val="2"/>
                          <w:w w:val="97"/>
                        </w:rPr>
                        <w:t>a</w:t>
                      </w:r>
                      <w:r>
                        <w:rPr>
                          <w:color w:val="231F20"/>
                          <w:spacing w:val="-1"/>
                          <w:w w:val="95"/>
                        </w:rPr>
                        <w:t>n</w:t>
                      </w:r>
                      <w:r>
                        <w:rPr>
                          <w:color w:val="231F20"/>
                          <w:spacing w:val="-3"/>
                          <w:w w:val="95"/>
                        </w:rPr>
                        <w:t>a</w:t>
                      </w:r>
                      <w:r>
                        <w:rPr>
                          <w:color w:val="231F20"/>
                          <w:spacing w:val="2"/>
                          <w:w w:val="94"/>
                        </w:rPr>
                        <w:t>d</w:t>
                      </w:r>
                      <w:r>
                        <w:rPr>
                          <w:color w:val="231F20"/>
                          <w:spacing w:val="-2"/>
                          <w:w w:val="96"/>
                        </w:rPr>
                        <w:t>i</w:t>
                      </w:r>
                      <w:r>
                        <w:rPr>
                          <w:color w:val="231F20"/>
                          <w:spacing w:val="2"/>
                          <w:w w:val="97"/>
                        </w:rPr>
                        <w:t>a</w:t>
                      </w:r>
                      <w:r>
                        <w:rPr>
                          <w:color w:val="231F20"/>
                          <w:spacing w:val="-2"/>
                          <w:w w:val="94"/>
                        </w:rPr>
                        <w:t>n</w:t>
                      </w:r>
                      <w:r>
                        <w:rPr>
                          <w:color w:val="231F20"/>
                          <w:spacing w:val="-1"/>
                          <w:w w:val="90"/>
                        </w:rPr>
                        <w:t>d</w:t>
                      </w:r>
                      <w:r>
                        <w:rPr>
                          <w:color w:val="231F20"/>
                          <w:spacing w:val="1"/>
                          <w:w w:val="90"/>
                        </w:rPr>
                        <w:t>e</w:t>
                      </w:r>
                      <w:r>
                        <w:rPr>
                          <w:color w:val="231F20"/>
                          <w:spacing w:val="-4"/>
                          <w:w w:val="97"/>
                        </w:rPr>
                        <w:t>a</w:t>
                      </w:r>
                      <w:r>
                        <w:rPr>
                          <w:color w:val="231F20"/>
                          <w:spacing w:val="2"/>
                          <w:w w:val="94"/>
                        </w:rPr>
                        <w:t>t</w:t>
                      </w:r>
                      <w:r>
                        <w:rPr>
                          <w:color w:val="231F20"/>
                          <w:spacing w:val="2"/>
                          <w:w w:val="95"/>
                        </w:rPr>
                        <w:t>h</w:t>
                      </w:r>
                      <w:r>
                        <w:rPr>
                          <w:color w:val="231F20"/>
                          <w:spacing w:val="-3"/>
                          <w:w w:val="89"/>
                        </w:rPr>
                        <w:t>r</w:t>
                      </w:r>
                      <w:r>
                        <w:rPr>
                          <w:color w:val="231F20"/>
                          <w:spacing w:val="-4"/>
                          <w:w w:val="97"/>
                        </w:rPr>
                        <w:t>a</w:t>
                      </w:r>
                      <w:r>
                        <w:rPr>
                          <w:color w:val="231F20"/>
                          <w:w w:val="95"/>
                        </w:rPr>
                        <w:t>c</w:t>
                      </w:r>
                      <w:r>
                        <w:rPr>
                          <w:color w:val="231F20"/>
                          <w:spacing w:val="1"/>
                          <w:w w:val="86"/>
                        </w:rPr>
                        <w:t>e</w:t>
                      </w:r>
                      <w:r>
                        <w:rPr>
                          <w:color w:val="231F20"/>
                          <w:spacing w:val="-2"/>
                          <w:w w:val="131"/>
                        </w:rPr>
                        <w:t>.</w:t>
                      </w:r>
                      <w:r>
                        <w:rPr>
                          <w:color w:val="231F20"/>
                          <w:spacing w:val="-1"/>
                          <w:w w:val="97"/>
                        </w:rPr>
                        <w:t>c</w:t>
                      </w:r>
                      <w:r>
                        <w:rPr>
                          <w:color w:val="231F20"/>
                          <w:spacing w:val="-4"/>
                          <w:w w:val="97"/>
                        </w:rPr>
                        <w:t>o</w:t>
                      </w:r>
                      <w:r>
                        <w:rPr>
                          <w:color w:val="231F20"/>
                          <w:spacing w:val="7"/>
                          <w:w w:val="95"/>
                        </w:rPr>
                        <w:t>m</w:t>
                      </w:r>
                      <w:r>
                        <w:rPr>
                          <w:color w:val="231F20"/>
                          <w:spacing w:val="6"/>
                          <w:w w:val="56"/>
                        </w:rPr>
                        <w:t>/</w:t>
                      </w:r>
                      <w:r>
                        <w:rPr>
                          <w:color w:val="231F20"/>
                          <w:spacing w:val="-3"/>
                          <w:w w:val="95"/>
                        </w:rPr>
                        <w:t>h</w:t>
                      </w:r>
                      <w:r>
                        <w:rPr>
                          <w:color w:val="231F20"/>
                          <w:spacing w:val="-4"/>
                          <w:w w:val="99"/>
                        </w:rPr>
                        <w:t>o</w:t>
                      </w:r>
                      <w:r>
                        <w:rPr>
                          <w:color w:val="231F20"/>
                          <w:spacing w:val="-1"/>
                          <w:w w:val="92"/>
                        </w:rPr>
                        <w:t>m</w:t>
                      </w:r>
                      <w:r>
                        <w:rPr>
                          <w:color w:val="231F20"/>
                          <w:spacing w:val="1"/>
                          <w:w w:val="92"/>
                        </w:rPr>
                        <w:t>e</w:t>
                      </w:r>
                      <w:r>
                        <w:rPr>
                          <w:color w:val="231F20"/>
                          <w:spacing w:val="-1"/>
                          <w:w w:val="104"/>
                        </w:rPr>
                        <w:t>.</w:t>
                      </w:r>
                      <w:r>
                        <w:rPr>
                          <w:color w:val="231F20"/>
                          <w:spacing w:val="-4"/>
                          <w:w w:val="104"/>
                        </w:rPr>
                        <w:t>h</w:t>
                      </w:r>
                      <w:r>
                        <w:rPr>
                          <w:color w:val="231F20"/>
                          <w:w w:val="94"/>
                        </w:rPr>
                        <w:t>t</w:t>
                      </w:r>
                      <w:r>
                        <w:rPr>
                          <w:color w:val="231F20"/>
                          <w:spacing w:val="2"/>
                          <w:w w:val="95"/>
                        </w:rPr>
                        <w:t>m</w:t>
                      </w:r>
                      <w:r>
                        <w:rPr>
                          <w:color w:val="231F20"/>
                          <w:spacing w:val="-2"/>
                          <w:w w:val="98"/>
                        </w:rPr>
                        <w:t>l</w:t>
                      </w:r>
                      <w:r>
                        <w:rPr>
                          <w:color w:val="231F20"/>
                          <w:spacing w:val="-1"/>
                          <w:w w:val="95"/>
                        </w:rPr>
                        <w:t xml:space="preserve"> </w:t>
                      </w:r>
                      <w:r>
                        <w:rPr>
                          <w:color w:val="231F20"/>
                          <w:w w:val="95"/>
                        </w:rPr>
                        <w:t>(accessed 29 August 2017).</w:t>
                      </w:r>
                    </w:p>
                    <w:p w14:paraId="3092F1E1" w14:textId="77777777" w:rsidR="00AE0598" w:rsidRDefault="0069255A">
                      <w:pPr>
                        <w:pStyle w:val="Corpodetexto"/>
                        <w:spacing w:before="123" w:line="232" w:lineRule="auto"/>
                        <w:ind w:left="119" w:right="115"/>
                        <w:jc w:val="both"/>
                        <w:rPr>
                          <w:color w:val="000000"/>
                        </w:rPr>
                      </w:pPr>
                      <w:r>
                        <w:rPr>
                          <w:color w:val="231F20"/>
                        </w:rPr>
                        <w:t>Hinch,</w:t>
                      </w:r>
                      <w:r>
                        <w:rPr>
                          <w:color w:val="231F20"/>
                          <w:spacing w:val="40"/>
                        </w:rPr>
                        <w:t xml:space="preserve"> </w:t>
                      </w:r>
                      <w:r>
                        <w:rPr>
                          <w:color w:val="231F20"/>
                        </w:rPr>
                        <w:t>T.D.</w:t>
                      </w:r>
                      <w:r>
                        <w:rPr>
                          <w:color w:val="231F20"/>
                          <w:spacing w:val="40"/>
                        </w:rPr>
                        <w:t xml:space="preserve"> </w:t>
                      </w:r>
                      <w:r>
                        <w:rPr>
                          <w:color w:val="231F20"/>
                        </w:rPr>
                        <w:t>(2013)</w:t>
                      </w:r>
                      <w:r>
                        <w:rPr>
                          <w:color w:val="231F20"/>
                          <w:spacing w:val="40"/>
                        </w:rPr>
                        <w:t xml:space="preserve"> </w:t>
                      </w:r>
                      <w:r>
                        <w:rPr>
                          <w:color w:val="231F20"/>
                        </w:rPr>
                        <w:t>Ultra-marathons</w:t>
                      </w:r>
                      <w:r>
                        <w:rPr>
                          <w:color w:val="231F20"/>
                          <w:spacing w:val="40"/>
                        </w:rPr>
                        <w:t xml:space="preserve"> </w:t>
                      </w:r>
                      <w:r>
                        <w:rPr>
                          <w:color w:val="231F20"/>
                        </w:rPr>
                        <w:t>and</w:t>
                      </w:r>
                      <w:r>
                        <w:rPr>
                          <w:color w:val="231F20"/>
                          <w:spacing w:val="40"/>
                        </w:rPr>
                        <w:t xml:space="preserve"> </w:t>
                      </w:r>
                      <w:r>
                        <w:rPr>
                          <w:color w:val="231F20"/>
                        </w:rPr>
                        <w:t>tourism</w:t>
                      </w:r>
                      <w:r>
                        <w:rPr>
                          <w:color w:val="231F20"/>
                          <w:spacing w:val="40"/>
                        </w:rPr>
                        <w:t xml:space="preserve"> </w:t>
                      </w:r>
                      <w:r>
                        <w:rPr>
                          <w:color w:val="231F20"/>
                        </w:rPr>
                        <w:t>development:</w:t>
                      </w:r>
                      <w:r>
                        <w:rPr>
                          <w:color w:val="231F20"/>
                          <w:spacing w:val="80"/>
                        </w:rPr>
                        <w:t xml:space="preserve"> </w:t>
                      </w:r>
                      <w:r>
                        <w:rPr>
                          <w:color w:val="231F20"/>
                        </w:rPr>
                        <w:t>The</w:t>
                      </w:r>
                      <w:r>
                        <w:rPr>
                          <w:color w:val="231F20"/>
                          <w:spacing w:val="34"/>
                        </w:rPr>
                        <w:t xml:space="preserve"> </w:t>
                      </w:r>
                      <w:r>
                        <w:rPr>
                          <w:color w:val="231F20"/>
                        </w:rPr>
                        <w:t>case</w:t>
                      </w:r>
                      <w:r>
                        <w:rPr>
                          <w:color w:val="231F20"/>
                          <w:spacing w:val="35"/>
                        </w:rPr>
                        <w:t xml:space="preserve"> </w:t>
                      </w:r>
                      <w:r>
                        <w:rPr>
                          <w:color w:val="231F20"/>
                        </w:rPr>
                        <w:t>of</w:t>
                      </w:r>
                      <w:r>
                        <w:rPr>
                          <w:color w:val="231F20"/>
                          <w:spacing w:val="35"/>
                        </w:rPr>
                        <w:t xml:space="preserve"> </w:t>
                      </w:r>
                      <w:r>
                        <w:rPr>
                          <w:color w:val="231F20"/>
                        </w:rPr>
                        <w:t>the</w:t>
                      </w:r>
                      <w:r>
                        <w:rPr>
                          <w:color w:val="231F20"/>
                          <w:spacing w:val="35"/>
                        </w:rPr>
                        <w:t xml:space="preserve"> </w:t>
                      </w:r>
                      <w:r>
                        <w:rPr>
                          <w:color w:val="231F20"/>
                        </w:rPr>
                        <w:t>Canadian</w:t>
                      </w:r>
                      <w:r>
                        <w:rPr>
                          <w:color w:val="231F20"/>
                          <w:spacing w:val="35"/>
                        </w:rPr>
                        <w:t xml:space="preserve"> </w:t>
                      </w:r>
                      <w:r>
                        <w:rPr>
                          <w:color w:val="231F20"/>
                        </w:rPr>
                        <w:t>Death</w:t>
                      </w:r>
                      <w:r>
                        <w:rPr>
                          <w:color w:val="231F20"/>
                          <w:spacing w:val="35"/>
                        </w:rPr>
                        <w:t xml:space="preserve"> </w:t>
                      </w:r>
                      <w:r>
                        <w:rPr>
                          <w:color w:val="231F20"/>
                        </w:rPr>
                        <w:t>Race</w:t>
                      </w:r>
                      <w:r>
                        <w:rPr>
                          <w:color w:val="231F20"/>
                          <w:spacing w:val="35"/>
                        </w:rPr>
                        <w:t xml:space="preserve"> </w:t>
                      </w:r>
                      <w:r>
                        <w:rPr>
                          <w:color w:val="231F20"/>
                        </w:rPr>
                        <w:t>in</w:t>
                      </w:r>
                      <w:r>
                        <w:rPr>
                          <w:color w:val="231F20"/>
                          <w:spacing w:val="35"/>
                        </w:rPr>
                        <w:t xml:space="preserve"> </w:t>
                      </w:r>
                      <w:r>
                        <w:rPr>
                          <w:color w:val="231F20"/>
                        </w:rPr>
                        <w:t>Grande</w:t>
                      </w:r>
                      <w:r>
                        <w:rPr>
                          <w:color w:val="231F20"/>
                          <w:spacing w:val="35"/>
                        </w:rPr>
                        <w:t xml:space="preserve"> </w:t>
                      </w:r>
                      <w:r>
                        <w:rPr>
                          <w:color w:val="231F20"/>
                        </w:rPr>
                        <w:t>Cache,</w:t>
                      </w:r>
                      <w:r>
                        <w:rPr>
                          <w:color w:val="231F20"/>
                          <w:spacing w:val="35"/>
                        </w:rPr>
                        <w:t xml:space="preserve"> </w:t>
                      </w:r>
                      <w:r>
                        <w:rPr>
                          <w:color w:val="231F20"/>
                        </w:rPr>
                        <w:t>Alberta.</w:t>
                      </w:r>
                      <w:r>
                        <w:rPr>
                          <w:color w:val="231F20"/>
                          <w:spacing w:val="35"/>
                        </w:rPr>
                        <w:t xml:space="preserve"> </w:t>
                      </w:r>
                      <w:r>
                        <w:rPr>
                          <w:color w:val="231F20"/>
                          <w:spacing w:val="-5"/>
                        </w:rPr>
                        <w:t>In</w:t>
                      </w:r>
                    </w:p>
                    <w:p w14:paraId="105609AD" w14:textId="77777777" w:rsidR="00AE0598" w:rsidRDefault="0069255A">
                      <w:pPr>
                        <w:spacing w:before="2" w:line="232" w:lineRule="auto"/>
                        <w:ind w:left="119"/>
                        <w:rPr>
                          <w:color w:val="000000"/>
                          <w:sz w:val="21"/>
                        </w:rPr>
                      </w:pPr>
                      <w:r>
                        <w:rPr>
                          <w:color w:val="231F20"/>
                          <w:sz w:val="21"/>
                        </w:rPr>
                        <w:t xml:space="preserve">B. Garrod and A. Fyall (eds) </w:t>
                      </w:r>
                      <w:r>
                        <w:rPr>
                          <w:i/>
                          <w:color w:val="231F20"/>
                          <w:sz w:val="21"/>
                        </w:rPr>
                        <w:t xml:space="preserve">Contemporary Cases in Sport </w:t>
                      </w:r>
                      <w:r>
                        <w:rPr>
                          <w:color w:val="231F20"/>
                          <w:sz w:val="21"/>
                        </w:rPr>
                        <w:t>(pp. 22–40). Oxford: Goodfellow.</w:t>
                      </w:r>
                    </w:p>
                  </w:txbxContent>
                </v:textbox>
                <w10:wrap type="topAndBottom" anchorx="page"/>
              </v:shape>
            </w:pict>
          </mc:Fallback>
        </mc:AlternateContent>
      </w:r>
    </w:p>
    <w:p w14:paraId="63F847F7" w14:textId="77777777" w:rsidR="00AE0598" w:rsidRDefault="00AE0598">
      <w:pPr>
        <w:pStyle w:val="Corpodetexto"/>
        <w:spacing w:before="3"/>
        <w:rPr>
          <w:rFonts w:ascii="Trebuchet MS"/>
          <w:sz w:val="12"/>
        </w:rPr>
      </w:pPr>
    </w:p>
    <w:p w14:paraId="46EDC27F" w14:textId="77777777" w:rsidR="00AE0598" w:rsidRDefault="0069255A">
      <w:pPr>
        <w:pStyle w:val="Corpodetexto"/>
        <w:spacing w:before="102" w:line="232" w:lineRule="auto"/>
        <w:ind w:left="110" w:right="125" w:firstLine="319"/>
        <w:jc w:val="both"/>
      </w:pPr>
      <w:r>
        <w:rPr>
          <w:color w:val="231F20"/>
        </w:rPr>
        <w:t xml:space="preserve">Two special issues of the </w:t>
      </w:r>
      <w:r>
        <w:rPr>
          <w:i/>
          <w:color w:val="231F20"/>
        </w:rPr>
        <w:t xml:space="preserve">Journal of Sport </w:t>
      </w:r>
      <w:r>
        <w:rPr>
          <w:i/>
          <w:color w:val="231F20"/>
          <w:w w:val="110"/>
        </w:rPr>
        <w:t xml:space="preserve">&amp; </w:t>
      </w:r>
      <w:r>
        <w:rPr>
          <w:i/>
          <w:color w:val="231F20"/>
        </w:rPr>
        <w:t xml:space="preserve">Tourism </w:t>
      </w:r>
      <w:r>
        <w:rPr>
          <w:color w:val="231F20"/>
        </w:rPr>
        <w:t xml:space="preserve">have made </w:t>
      </w:r>
      <w:r>
        <w:rPr>
          <w:color w:val="231F20"/>
          <w:w w:val="95"/>
        </w:rPr>
        <w:t xml:space="preserve">important contributions to our understanding of sustainability in a sport </w:t>
      </w:r>
      <w:r>
        <w:rPr>
          <w:color w:val="231F20"/>
        </w:rPr>
        <w:t xml:space="preserve">tourism context. The first was Fyall and Jago’s (2009) special issue on sport tourism sustainability. Key insights offered in this special issue </w:t>
      </w:r>
      <w:r>
        <w:rPr>
          <w:color w:val="231F20"/>
          <w:w w:val="95"/>
        </w:rPr>
        <w:t>included:</w:t>
      </w:r>
      <w:r>
        <w:rPr>
          <w:color w:val="231F20"/>
          <w:spacing w:val="19"/>
        </w:rPr>
        <w:t xml:space="preserve"> </w:t>
      </w:r>
      <w:r>
        <w:rPr>
          <w:color w:val="231F20"/>
          <w:w w:val="95"/>
        </w:rPr>
        <w:t>(1)</w:t>
      </w:r>
      <w:r>
        <w:rPr>
          <w:color w:val="231F20"/>
          <w:spacing w:val="19"/>
        </w:rPr>
        <w:t xml:space="preserve"> </w:t>
      </w:r>
      <w:r>
        <w:rPr>
          <w:color w:val="231F20"/>
          <w:w w:val="95"/>
        </w:rPr>
        <w:t>recognition</w:t>
      </w:r>
      <w:r>
        <w:rPr>
          <w:color w:val="231F20"/>
          <w:spacing w:val="19"/>
        </w:rPr>
        <w:t xml:space="preserve"> </w:t>
      </w:r>
      <w:r>
        <w:rPr>
          <w:color w:val="231F20"/>
          <w:w w:val="95"/>
        </w:rPr>
        <w:t>of</w:t>
      </w:r>
      <w:r>
        <w:rPr>
          <w:color w:val="231F20"/>
          <w:spacing w:val="19"/>
        </w:rPr>
        <w:t xml:space="preserve"> </w:t>
      </w:r>
      <w:r>
        <w:rPr>
          <w:color w:val="231F20"/>
          <w:w w:val="95"/>
        </w:rPr>
        <w:t>the</w:t>
      </w:r>
      <w:r>
        <w:rPr>
          <w:color w:val="231F20"/>
          <w:spacing w:val="19"/>
        </w:rPr>
        <w:t xml:space="preserve"> </w:t>
      </w:r>
      <w:r>
        <w:rPr>
          <w:color w:val="231F20"/>
          <w:w w:val="95"/>
        </w:rPr>
        <w:t>need</w:t>
      </w:r>
      <w:r>
        <w:rPr>
          <w:color w:val="231F20"/>
          <w:spacing w:val="19"/>
        </w:rPr>
        <w:t xml:space="preserve"> </w:t>
      </w:r>
      <w:r>
        <w:rPr>
          <w:color w:val="231F20"/>
          <w:w w:val="95"/>
        </w:rPr>
        <w:t>to</w:t>
      </w:r>
      <w:r>
        <w:rPr>
          <w:color w:val="231F20"/>
          <w:spacing w:val="19"/>
        </w:rPr>
        <w:t xml:space="preserve"> </w:t>
      </w:r>
      <w:r>
        <w:rPr>
          <w:color w:val="231F20"/>
          <w:w w:val="95"/>
        </w:rPr>
        <w:t>move</w:t>
      </w:r>
      <w:r>
        <w:rPr>
          <w:color w:val="231F20"/>
          <w:spacing w:val="19"/>
        </w:rPr>
        <w:t xml:space="preserve"> </w:t>
      </w:r>
      <w:r>
        <w:rPr>
          <w:color w:val="231F20"/>
          <w:w w:val="95"/>
        </w:rPr>
        <w:t>from</w:t>
      </w:r>
      <w:r>
        <w:rPr>
          <w:color w:val="231F20"/>
          <w:spacing w:val="19"/>
        </w:rPr>
        <w:t xml:space="preserve"> </w:t>
      </w:r>
      <w:r>
        <w:rPr>
          <w:color w:val="231F20"/>
          <w:w w:val="95"/>
        </w:rPr>
        <w:t>rhetoric</w:t>
      </w:r>
      <w:r>
        <w:rPr>
          <w:color w:val="231F20"/>
          <w:spacing w:val="19"/>
        </w:rPr>
        <w:t xml:space="preserve"> </w:t>
      </w:r>
      <w:r>
        <w:rPr>
          <w:color w:val="231F20"/>
          <w:w w:val="95"/>
        </w:rPr>
        <w:t>to</w:t>
      </w:r>
      <w:r>
        <w:rPr>
          <w:color w:val="231F20"/>
          <w:spacing w:val="19"/>
        </w:rPr>
        <w:t xml:space="preserve"> </w:t>
      </w:r>
      <w:r>
        <w:rPr>
          <w:color w:val="231F20"/>
          <w:w w:val="95"/>
        </w:rPr>
        <w:t>substance;</w:t>
      </w:r>
    </w:p>
    <w:p w14:paraId="2A4B4DF7" w14:textId="77777777" w:rsidR="00AE0598" w:rsidRDefault="0069255A">
      <w:pPr>
        <w:pStyle w:val="Corpodetexto"/>
        <w:spacing w:before="6" w:line="232" w:lineRule="auto"/>
        <w:ind w:left="110" w:right="125"/>
        <w:jc w:val="both"/>
      </w:pPr>
      <w:r>
        <w:rPr>
          <w:color w:val="231F20"/>
          <w:w w:val="95"/>
        </w:rPr>
        <w:t>(2) the increasingly widespread adoption of a triple bottom line approach</w:t>
      </w:r>
      <w:r>
        <w:rPr>
          <w:color w:val="231F20"/>
          <w:spacing w:val="40"/>
        </w:rPr>
        <w:t xml:space="preserve"> </w:t>
      </w:r>
      <w:r>
        <w:rPr>
          <w:color w:val="231F20"/>
        </w:rPr>
        <w:t>to sustainability; and (3) recognition of the fact that sport tourism not only produced impacts that affecte</w:t>
      </w:r>
      <w:r>
        <w:rPr>
          <w:color w:val="231F20"/>
        </w:rPr>
        <w:t>d sustainability in destinations but that it was also a recipient of impacts from external sources which had</w:t>
      </w:r>
      <w:r>
        <w:rPr>
          <w:color w:val="231F20"/>
          <w:spacing w:val="80"/>
        </w:rPr>
        <w:t xml:space="preserve"> </w:t>
      </w:r>
      <w:r>
        <w:rPr>
          <w:color w:val="231F20"/>
        </w:rPr>
        <w:t>a direct influence on sport tourism activities. The second special issue</w:t>
      </w:r>
      <w:r>
        <w:rPr>
          <w:color w:val="231F20"/>
          <w:spacing w:val="80"/>
        </w:rPr>
        <w:t xml:space="preserve"> </w:t>
      </w:r>
      <w:r>
        <w:rPr>
          <w:color w:val="231F20"/>
        </w:rPr>
        <w:t xml:space="preserve">of relevance was Hinch </w:t>
      </w:r>
      <w:r>
        <w:rPr>
          <w:i/>
          <w:color w:val="231F20"/>
        </w:rPr>
        <w:t>et al</w:t>
      </w:r>
      <w:r>
        <w:rPr>
          <w:color w:val="231F20"/>
        </w:rPr>
        <w:t>.’s (2016) special issue on sport tourism dest</w:t>
      </w:r>
      <w:r>
        <w:rPr>
          <w:color w:val="231F20"/>
        </w:rPr>
        <w:t>inations in the context of sustainability. Contributions to this</w:t>
      </w:r>
      <w:r>
        <w:rPr>
          <w:color w:val="231F20"/>
          <w:spacing w:val="80"/>
        </w:rPr>
        <w:t xml:space="preserve"> </w:t>
      </w:r>
      <w:r>
        <w:rPr>
          <w:color w:val="231F20"/>
          <w:w w:val="95"/>
        </w:rPr>
        <w:t>special</w:t>
      </w:r>
      <w:r>
        <w:rPr>
          <w:color w:val="231F20"/>
          <w:spacing w:val="40"/>
        </w:rPr>
        <w:t xml:space="preserve"> </w:t>
      </w:r>
      <w:r>
        <w:rPr>
          <w:color w:val="231F20"/>
          <w:w w:val="95"/>
        </w:rPr>
        <w:t>issue</w:t>
      </w:r>
      <w:r>
        <w:rPr>
          <w:color w:val="231F20"/>
          <w:spacing w:val="40"/>
        </w:rPr>
        <w:t xml:space="preserve"> </w:t>
      </w:r>
      <w:r>
        <w:rPr>
          <w:color w:val="231F20"/>
          <w:w w:val="95"/>
        </w:rPr>
        <w:t>examined</w:t>
      </w:r>
      <w:r>
        <w:rPr>
          <w:color w:val="231F20"/>
          <w:spacing w:val="40"/>
        </w:rPr>
        <w:t xml:space="preserve"> </w:t>
      </w:r>
      <w:r>
        <w:rPr>
          <w:color w:val="231F20"/>
          <w:w w:val="95"/>
        </w:rPr>
        <w:t>the</w:t>
      </w:r>
      <w:r>
        <w:rPr>
          <w:color w:val="231F20"/>
          <w:spacing w:val="40"/>
        </w:rPr>
        <w:t xml:space="preserve"> </w:t>
      </w:r>
      <w:r>
        <w:rPr>
          <w:color w:val="231F20"/>
          <w:w w:val="95"/>
        </w:rPr>
        <w:t>sustainability</w:t>
      </w:r>
      <w:r>
        <w:rPr>
          <w:color w:val="231F20"/>
          <w:spacing w:val="40"/>
        </w:rPr>
        <w:t xml:space="preserve"> </w:t>
      </w:r>
      <w:r>
        <w:rPr>
          <w:color w:val="231F20"/>
          <w:w w:val="95"/>
        </w:rPr>
        <w:t>of</w:t>
      </w:r>
      <w:r>
        <w:rPr>
          <w:color w:val="231F20"/>
          <w:spacing w:val="40"/>
        </w:rPr>
        <w:t xml:space="preserve"> </w:t>
      </w:r>
      <w:r>
        <w:rPr>
          <w:color w:val="231F20"/>
          <w:w w:val="95"/>
        </w:rPr>
        <w:t>sport</w:t>
      </w:r>
      <w:r>
        <w:rPr>
          <w:color w:val="231F20"/>
          <w:spacing w:val="40"/>
        </w:rPr>
        <w:t xml:space="preserve"> </w:t>
      </w:r>
      <w:r>
        <w:rPr>
          <w:color w:val="231F20"/>
          <w:w w:val="95"/>
        </w:rPr>
        <w:t>tourism</w:t>
      </w:r>
      <w:r>
        <w:rPr>
          <w:color w:val="231F20"/>
          <w:spacing w:val="40"/>
        </w:rPr>
        <w:t xml:space="preserve"> </w:t>
      </w:r>
      <w:r>
        <w:rPr>
          <w:color w:val="231F20"/>
          <w:w w:val="95"/>
        </w:rPr>
        <w:t>destinations:</w:t>
      </w:r>
    </w:p>
    <w:p w14:paraId="25FACFAE" w14:textId="77777777" w:rsidR="00AE0598" w:rsidRDefault="0069255A">
      <w:pPr>
        <w:pStyle w:val="Corpodetexto"/>
        <w:spacing w:before="10" w:line="232" w:lineRule="auto"/>
        <w:ind w:left="110" w:right="126"/>
        <w:jc w:val="both"/>
      </w:pPr>
      <w:r>
        <w:rPr>
          <w:color w:val="231F20"/>
        </w:rPr>
        <w:t>(1) at differing scales of activity and destination (Derom &amp; Ramshaw, 2016); (2) single versus multisport destinations</w:t>
      </w:r>
      <w:r>
        <w:rPr>
          <w:color w:val="231F20"/>
        </w:rPr>
        <w:t xml:space="preserve"> (e.g. Carneiro </w:t>
      </w:r>
      <w:r>
        <w:rPr>
          <w:i/>
          <w:color w:val="231F20"/>
        </w:rPr>
        <w:t>et al</w:t>
      </w:r>
      <w:r>
        <w:rPr>
          <w:color w:val="231F20"/>
        </w:rPr>
        <w:t>., 2016);</w:t>
      </w:r>
      <w:r>
        <w:rPr>
          <w:color w:val="231F20"/>
          <w:spacing w:val="38"/>
        </w:rPr>
        <w:t xml:space="preserve"> </w:t>
      </w:r>
      <w:r>
        <w:rPr>
          <w:color w:val="231F20"/>
        </w:rPr>
        <w:t>(3)</w:t>
      </w:r>
      <w:r>
        <w:rPr>
          <w:color w:val="231F20"/>
          <w:spacing w:val="39"/>
        </w:rPr>
        <w:t xml:space="preserve"> </w:t>
      </w:r>
      <w:r>
        <w:rPr>
          <w:color w:val="231F20"/>
        </w:rPr>
        <w:t>publically</w:t>
      </w:r>
      <w:r>
        <w:rPr>
          <w:color w:val="231F20"/>
          <w:spacing w:val="38"/>
        </w:rPr>
        <w:t xml:space="preserve"> </w:t>
      </w:r>
      <w:r>
        <w:rPr>
          <w:color w:val="231F20"/>
        </w:rPr>
        <w:t>managed</w:t>
      </w:r>
      <w:r>
        <w:rPr>
          <w:color w:val="231F20"/>
          <w:spacing w:val="39"/>
        </w:rPr>
        <w:t xml:space="preserve"> </w:t>
      </w:r>
      <w:r>
        <w:rPr>
          <w:color w:val="231F20"/>
        </w:rPr>
        <w:t>resources</w:t>
      </w:r>
      <w:r>
        <w:rPr>
          <w:color w:val="231F20"/>
          <w:spacing w:val="38"/>
        </w:rPr>
        <w:t xml:space="preserve"> </w:t>
      </w:r>
      <w:r>
        <w:rPr>
          <w:color w:val="231F20"/>
        </w:rPr>
        <w:t>(e.g.</w:t>
      </w:r>
      <w:r>
        <w:rPr>
          <w:color w:val="231F20"/>
          <w:spacing w:val="39"/>
        </w:rPr>
        <w:t xml:space="preserve"> </w:t>
      </w:r>
      <w:r>
        <w:rPr>
          <w:color w:val="231F20"/>
        </w:rPr>
        <w:t>Halpenny</w:t>
      </w:r>
      <w:r>
        <w:rPr>
          <w:color w:val="231F20"/>
          <w:spacing w:val="38"/>
        </w:rPr>
        <w:t xml:space="preserve"> </w:t>
      </w:r>
      <w:r>
        <w:rPr>
          <w:i/>
          <w:color w:val="231F20"/>
        </w:rPr>
        <w:t>et</w:t>
      </w:r>
      <w:r>
        <w:rPr>
          <w:i/>
          <w:color w:val="231F20"/>
          <w:spacing w:val="38"/>
        </w:rPr>
        <w:t xml:space="preserve"> </w:t>
      </w:r>
      <w:r>
        <w:rPr>
          <w:i/>
          <w:color w:val="231F20"/>
        </w:rPr>
        <w:t>al</w:t>
      </w:r>
      <w:r>
        <w:rPr>
          <w:color w:val="231F20"/>
        </w:rPr>
        <w:t>.,</w:t>
      </w:r>
      <w:r>
        <w:rPr>
          <w:color w:val="231F20"/>
          <w:spacing w:val="38"/>
        </w:rPr>
        <w:t xml:space="preserve"> </w:t>
      </w:r>
      <w:r>
        <w:rPr>
          <w:color w:val="231F20"/>
          <w:spacing w:val="-2"/>
          <w:w w:val="95"/>
        </w:rPr>
        <w:t>2016);</w:t>
      </w:r>
    </w:p>
    <w:p w14:paraId="21FDFC9C" w14:textId="77777777" w:rsidR="00AE0598" w:rsidRDefault="0069255A">
      <w:pPr>
        <w:pStyle w:val="Corpodetexto"/>
        <w:spacing w:before="3" w:line="232" w:lineRule="auto"/>
        <w:ind w:left="110" w:right="125"/>
        <w:jc w:val="both"/>
      </w:pPr>
      <w:r>
        <w:rPr>
          <w:color w:val="231F20"/>
        </w:rPr>
        <w:t xml:space="preserve">(4) emerging sports (Moularde &amp; Weaver, 2016) versus traditional sports (Evans &amp; Norcliff, 2016); (5) seasonality (Hodeck &amp; Hovermann, </w:t>
      </w:r>
      <w:r>
        <w:rPr>
          <w:color w:val="231F20"/>
          <w:w w:val="95"/>
        </w:rPr>
        <w:t xml:space="preserve">2016); and (6) theory with examples including Usher and Gomez’s (2016) </w:t>
      </w:r>
      <w:r>
        <w:rPr>
          <w:color w:val="231F20"/>
        </w:rPr>
        <w:t>contributions</w:t>
      </w:r>
      <w:r>
        <w:rPr>
          <w:color w:val="231F20"/>
          <w:spacing w:val="21"/>
        </w:rPr>
        <w:t xml:space="preserve"> </w:t>
      </w:r>
      <w:r>
        <w:rPr>
          <w:color w:val="231F20"/>
        </w:rPr>
        <w:t>on</w:t>
      </w:r>
      <w:r>
        <w:rPr>
          <w:color w:val="231F20"/>
          <w:spacing w:val="21"/>
        </w:rPr>
        <w:t xml:space="preserve"> </w:t>
      </w:r>
      <w:r>
        <w:rPr>
          <w:color w:val="231F20"/>
        </w:rPr>
        <w:t>‘territoriality’</w:t>
      </w:r>
      <w:r>
        <w:rPr>
          <w:color w:val="231F20"/>
          <w:spacing w:val="21"/>
        </w:rPr>
        <w:t xml:space="preserve"> </w:t>
      </w:r>
      <w:r>
        <w:rPr>
          <w:color w:val="231F20"/>
        </w:rPr>
        <w:t>in</w:t>
      </w:r>
      <w:r>
        <w:rPr>
          <w:color w:val="231F20"/>
          <w:spacing w:val="21"/>
        </w:rPr>
        <w:t xml:space="preserve"> </w:t>
      </w:r>
      <w:r>
        <w:rPr>
          <w:color w:val="231F20"/>
        </w:rPr>
        <w:t>the</w:t>
      </w:r>
      <w:r>
        <w:rPr>
          <w:color w:val="231F20"/>
          <w:spacing w:val="21"/>
        </w:rPr>
        <w:t xml:space="preserve"> </w:t>
      </w:r>
      <w:r>
        <w:rPr>
          <w:color w:val="231F20"/>
        </w:rPr>
        <w:t>case</w:t>
      </w:r>
      <w:r>
        <w:rPr>
          <w:color w:val="231F20"/>
          <w:spacing w:val="21"/>
        </w:rPr>
        <w:t xml:space="preserve"> </w:t>
      </w:r>
      <w:r>
        <w:rPr>
          <w:color w:val="231F20"/>
        </w:rPr>
        <w:t>of</w:t>
      </w:r>
      <w:r>
        <w:rPr>
          <w:color w:val="231F20"/>
          <w:spacing w:val="21"/>
        </w:rPr>
        <w:t xml:space="preserve"> </w:t>
      </w:r>
      <w:r>
        <w:rPr>
          <w:color w:val="231F20"/>
        </w:rPr>
        <w:t>s</w:t>
      </w:r>
      <w:r>
        <w:rPr>
          <w:color w:val="231F20"/>
        </w:rPr>
        <w:t>urfing</w:t>
      </w:r>
      <w:r>
        <w:rPr>
          <w:color w:val="231F20"/>
          <w:spacing w:val="21"/>
        </w:rPr>
        <w:t xml:space="preserve"> </w:t>
      </w:r>
      <w:r>
        <w:rPr>
          <w:color w:val="231F20"/>
        </w:rPr>
        <w:t>and</w:t>
      </w:r>
      <w:r>
        <w:rPr>
          <w:color w:val="231F20"/>
          <w:spacing w:val="21"/>
        </w:rPr>
        <w:t xml:space="preserve"> </w:t>
      </w:r>
      <w:r>
        <w:rPr>
          <w:color w:val="231F20"/>
        </w:rPr>
        <w:t>Bunning</w:t>
      </w:r>
      <w:r>
        <w:rPr>
          <w:color w:val="231F20"/>
          <w:spacing w:val="21"/>
        </w:rPr>
        <w:t xml:space="preserve"> </w:t>
      </w:r>
      <w:r>
        <w:rPr>
          <w:color w:val="231F20"/>
        </w:rPr>
        <w:t>and</w:t>
      </w:r>
    </w:p>
    <w:p w14:paraId="27D0C191" w14:textId="77777777" w:rsidR="00AE0598" w:rsidRDefault="00AE0598">
      <w:pPr>
        <w:spacing w:line="232" w:lineRule="auto"/>
        <w:jc w:val="both"/>
        <w:sectPr w:rsidR="00AE0598">
          <w:pgSz w:w="8850" w:h="13270"/>
          <w:pgMar w:top="720" w:right="1060" w:bottom="280" w:left="1080" w:header="720" w:footer="720" w:gutter="0"/>
          <w:cols w:space="720"/>
        </w:sectPr>
      </w:pPr>
    </w:p>
    <w:p w14:paraId="0E9EA9CD" w14:textId="77777777" w:rsidR="00AE0598" w:rsidRDefault="0069255A">
      <w:pPr>
        <w:spacing w:before="87"/>
        <w:ind w:left="4067"/>
        <w:rPr>
          <w:rFonts w:ascii="Trebuchet MS"/>
          <w:sz w:val="14"/>
        </w:rPr>
      </w:pPr>
      <w:r>
        <w:rPr>
          <w:rFonts w:ascii="Trebuchet MS"/>
          <w:color w:val="231F20"/>
          <w:w w:val="105"/>
          <w:sz w:val="14"/>
        </w:rPr>
        <w:lastRenderedPageBreak/>
        <w:t>Development</w:t>
      </w:r>
      <w:r>
        <w:rPr>
          <w:rFonts w:ascii="Trebuchet MS"/>
          <w:color w:val="231F20"/>
          <w:spacing w:val="-12"/>
          <w:w w:val="105"/>
          <w:sz w:val="14"/>
        </w:rPr>
        <w:t xml:space="preserve"> </w:t>
      </w:r>
      <w:r>
        <w:rPr>
          <w:rFonts w:ascii="Trebuchet MS"/>
          <w:color w:val="231F20"/>
          <w:w w:val="105"/>
          <w:sz w:val="14"/>
        </w:rPr>
        <w:t>Processes</w:t>
      </w:r>
      <w:r>
        <w:rPr>
          <w:rFonts w:ascii="Trebuchet MS"/>
          <w:color w:val="231F20"/>
          <w:spacing w:val="-11"/>
          <w:w w:val="105"/>
          <w:sz w:val="14"/>
        </w:rPr>
        <w:t xml:space="preserve"> </w:t>
      </w:r>
      <w:r>
        <w:rPr>
          <w:rFonts w:ascii="Trebuchet MS"/>
          <w:color w:val="231F20"/>
          <w:w w:val="105"/>
          <w:sz w:val="14"/>
        </w:rPr>
        <w:t>and</w:t>
      </w:r>
      <w:r>
        <w:rPr>
          <w:rFonts w:ascii="Trebuchet MS"/>
          <w:color w:val="231F20"/>
          <w:spacing w:val="-11"/>
          <w:w w:val="105"/>
          <w:sz w:val="14"/>
        </w:rPr>
        <w:t xml:space="preserve"> </w:t>
      </w:r>
      <w:r>
        <w:rPr>
          <w:rFonts w:ascii="Trebuchet MS"/>
          <w:color w:val="231F20"/>
          <w:w w:val="105"/>
          <w:sz w:val="14"/>
        </w:rPr>
        <w:t>Issues</w:t>
      </w:r>
      <w:r>
        <w:rPr>
          <w:rFonts w:ascii="Trebuchet MS"/>
          <w:color w:val="231F20"/>
          <w:spacing w:val="77"/>
          <w:w w:val="105"/>
          <w:sz w:val="14"/>
        </w:rPr>
        <w:t xml:space="preserve"> </w:t>
      </w:r>
      <w:r>
        <w:rPr>
          <w:rFonts w:ascii="Trebuchet MS"/>
          <w:color w:val="231F20"/>
          <w:spacing w:val="-5"/>
          <w:w w:val="105"/>
          <w:sz w:val="14"/>
        </w:rPr>
        <w:t>69</w:t>
      </w:r>
    </w:p>
    <w:p w14:paraId="77E4D3F1" w14:textId="77777777" w:rsidR="00AE0598" w:rsidRDefault="00AE0598">
      <w:pPr>
        <w:pStyle w:val="Corpodetexto"/>
        <w:spacing w:before="5"/>
        <w:rPr>
          <w:rFonts w:ascii="Trebuchet MS"/>
          <w:sz w:val="18"/>
        </w:rPr>
      </w:pPr>
    </w:p>
    <w:p w14:paraId="20A3C6C7" w14:textId="77777777" w:rsidR="00AE0598" w:rsidRDefault="0069255A">
      <w:pPr>
        <w:spacing w:before="100"/>
        <w:ind w:left="110"/>
        <w:rPr>
          <w:rFonts w:ascii="Trebuchet MS" w:hAnsi="Trebuchet MS"/>
          <w:sz w:val="16"/>
        </w:rPr>
      </w:pPr>
      <w:r>
        <w:rPr>
          <w:rFonts w:ascii="Trebuchet MS" w:hAnsi="Trebuchet MS"/>
          <w:b/>
          <w:color w:val="231F20"/>
          <w:sz w:val="16"/>
        </w:rPr>
        <w:t>Table</w:t>
      </w:r>
      <w:r>
        <w:rPr>
          <w:rFonts w:ascii="Trebuchet MS" w:hAnsi="Trebuchet MS"/>
          <w:b/>
          <w:color w:val="231F20"/>
          <w:spacing w:val="14"/>
          <w:sz w:val="16"/>
        </w:rPr>
        <w:t xml:space="preserve"> </w:t>
      </w:r>
      <w:r>
        <w:rPr>
          <w:rFonts w:ascii="Trebuchet MS" w:hAnsi="Trebuchet MS"/>
          <w:b/>
          <w:color w:val="231F20"/>
          <w:sz w:val="16"/>
        </w:rPr>
        <w:t>4.1</w:t>
      </w:r>
      <w:r>
        <w:rPr>
          <w:rFonts w:ascii="Trebuchet MS" w:hAnsi="Trebuchet MS"/>
          <w:b/>
          <w:color w:val="231F20"/>
          <w:spacing w:val="64"/>
          <w:sz w:val="16"/>
        </w:rPr>
        <w:t xml:space="preserve"> </w:t>
      </w:r>
      <w:r>
        <w:rPr>
          <w:rFonts w:ascii="Trebuchet MS" w:hAnsi="Trebuchet MS"/>
          <w:color w:val="231F20"/>
          <w:sz w:val="16"/>
        </w:rPr>
        <w:t>UN</w:t>
      </w:r>
      <w:r>
        <w:rPr>
          <w:rFonts w:ascii="Trebuchet MS" w:hAnsi="Trebuchet MS"/>
          <w:color w:val="231F20"/>
          <w:spacing w:val="15"/>
          <w:sz w:val="16"/>
        </w:rPr>
        <w:t xml:space="preserve"> </w:t>
      </w:r>
      <w:r>
        <w:rPr>
          <w:rFonts w:ascii="Trebuchet MS" w:hAnsi="Trebuchet MS"/>
          <w:color w:val="231F20"/>
          <w:sz w:val="16"/>
        </w:rPr>
        <w:t>Sustainable</w:t>
      </w:r>
      <w:r>
        <w:rPr>
          <w:rFonts w:ascii="Trebuchet MS" w:hAnsi="Trebuchet MS"/>
          <w:color w:val="231F20"/>
          <w:spacing w:val="14"/>
          <w:sz w:val="16"/>
        </w:rPr>
        <w:t xml:space="preserve"> </w:t>
      </w:r>
      <w:r>
        <w:rPr>
          <w:rFonts w:ascii="Trebuchet MS" w:hAnsi="Trebuchet MS"/>
          <w:color w:val="231F20"/>
          <w:sz w:val="16"/>
        </w:rPr>
        <w:t>Development</w:t>
      </w:r>
      <w:r>
        <w:rPr>
          <w:rFonts w:ascii="Trebuchet MS" w:hAnsi="Trebuchet MS"/>
          <w:color w:val="231F20"/>
          <w:spacing w:val="15"/>
          <w:sz w:val="16"/>
        </w:rPr>
        <w:t xml:space="preserve"> </w:t>
      </w:r>
      <w:r>
        <w:rPr>
          <w:rFonts w:ascii="Trebuchet MS" w:hAnsi="Trebuchet MS"/>
          <w:color w:val="231F20"/>
          <w:sz w:val="16"/>
        </w:rPr>
        <w:t>Goals</w:t>
      </w:r>
      <w:r>
        <w:rPr>
          <w:rFonts w:ascii="Trebuchet MS" w:hAnsi="Trebuchet MS"/>
          <w:color w:val="231F20"/>
          <w:spacing w:val="14"/>
          <w:sz w:val="16"/>
        </w:rPr>
        <w:t xml:space="preserve"> </w:t>
      </w:r>
      <w:r>
        <w:rPr>
          <w:rFonts w:ascii="Trebuchet MS" w:hAnsi="Trebuchet MS"/>
          <w:color w:val="231F20"/>
          <w:spacing w:val="-2"/>
          <w:sz w:val="16"/>
        </w:rPr>
        <w:t>(2015–2030)</w:t>
      </w:r>
    </w:p>
    <w:p w14:paraId="460D8E71" w14:textId="77777777" w:rsidR="00AE0598" w:rsidRDefault="00AE0598">
      <w:pPr>
        <w:pStyle w:val="Corpodetexto"/>
        <w:rPr>
          <w:rFonts w:ascii="Trebuchet MS"/>
          <w:sz w:val="17"/>
        </w:rPr>
      </w:pPr>
    </w:p>
    <w:p w14:paraId="111E7034" w14:textId="0605AC89" w:rsidR="00AE0598" w:rsidRDefault="0069255A">
      <w:pPr>
        <w:pStyle w:val="PargrafodaLista"/>
        <w:numPr>
          <w:ilvl w:val="0"/>
          <w:numId w:val="14"/>
        </w:numPr>
        <w:tabs>
          <w:tab w:val="left" w:pos="549"/>
          <w:tab w:val="left" w:pos="550"/>
          <w:tab w:val="left" w:pos="2959"/>
        </w:tabs>
        <w:rPr>
          <w:sz w:val="14"/>
        </w:rPr>
      </w:pPr>
      <w:r>
        <w:rPr>
          <w:noProof/>
        </w:rPr>
        <mc:AlternateContent>
          <mc:Choice Requires="wps">
            <w:drawing>
              <wp:anchor distT="0" distB="0" distL="0" distR="0" simplePos="0" relativeHeight="487622656" behindDoc="1" locked="0" layoutInCell="1" allowOverlap="1" wp14:anchorId="4F31B919" wp14:editId="5C3C07D7">
                <wp:simplePos x="0" y="0"/>
                <wp:positionH relativeFrom="page">
                  <wp:posOffset>755650</wp:posOffset>
                </wp:positionH>
                <wp:positionV relativeFrom="paragraph">
                  <wp:posOffset>121285</wp:posOffset>
                </wp:positionV>
                <wp:extent cx="4104005" cy="1270"/>
                <wp:effectExtent l="0" t="0" r="0" b="0"/>
                <wp:wrapTopAndBottom/>
                <wp:docPr id="256" name="docshape1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104005" cy="1270"/>
                        </a:xfrm>
                        <a:custGeom>
                          <a:avLst/>
                          <a:gdLst>
                            <a:gd name="T0" fmla="+- 0 1190 1190"/>
                            <a:gd name="T1" fmla="*/ T0 w 6463"/>
                            <a:gd name="T2" fmla="+- 0 1630 1190"/>
                            <a:gd name="T3" fmla="*/ T2 w 6463"/>
                            <a:gd name="T4" fmla="+- 0 4040 1190"/>
                            <a:gd name="T5" fmla="*/ T4 w 6463"/>
                            <a:gd name="T6" fmla="+- 0 7653 1190"/>
                            <a:gd name="T7" fmla="*/ T6 w 6463"/>
                          </a:gdLst>
                          <a:ahLst/>
                          <a:cxnLst>
                            <a:cxn ang="0">
                              <a:pos x="T1" y="0"/>
                            </a:cxn>
                            <a:cxn ang="0">
                              <a:pos x="T3" y="0"/>
                            </a:cxn>
                            <a:cxn ang="0">
                              <a:pos x="T5" y="0"/>
                            </a:cxn>
                            <a:cxn ang="0">
                              <a:pos x="T7" y="0"/>
                            </a:cxn>
                          </a:cxnLst>
                          <a:rect l="0" t="0" r="r" b="b"/>
                          <a:pathLst>
                            <a:path w="6463">
                              <a:moveTo>
                                <a:pt x="0" y="0"/>
                              </a:moveTo>
                              <a:lnTo>
                                <a:pt x="440" y="0"/>
                              </a:lnTo>
                              <a:lnTo>
                                <a:pt x="2850" y="0"/>
                              </a:lnTo>
                              <a:lnTo>
                                <a:pt x="6463" y="0"/>
                              </a:lnTo>
                            </a:path>
                          </a:pathLst>
                        </a:custGeom>
                        <a:noFill/>
                        <a:ln w="3175">
                          <a:solidFill>
                            <a:srgbClr val="231F2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3AC445" id="docshape118" o:spid="_x0000_s1026" style="position:absolute;margin-left:59.5pt;margin-top:9.55pt;width:323.15pt;height:.1pt;z-index:-156938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46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" path="m,l440,,2850,,6463,e" filled="f" strokecolor="#231f20" strokeweight=".25pt">
                <v:path arrowok="t" o:connecttype="custom" o:connectlocs="0,0;279400,0;1809750,0;4104005,0" o:connectangles="0,0,0,0"/>
                <w10:wrap type="topAndBottom" anchorx="page"/>
              </v:shape>
            </w:pict>
          </mc:Fallback>
        </mc:AlternateContent>
      </w:r>
      <w:r>
        <w:rPr>
          <w:color w:val="231F20"/>
          <w:w w:val="105"/>
          <w:sz w:val="14"/>
        </w:rPr>
        <w:t>No</w:t>
      </w:r>
      <w:r>
        <w:rPr>
          <w:color w:val="231F20"/>
          <w:spacing w:val="10"/>
          <w:w w:val="105"/>
          <w:sz w:val="14"/>
        </w:rPr>
        <w:t xml:space="preserve"> </w:t>
      </w:r>
      <w:r>
        <w:rPr>
          <w:color w:val="231F20"/>
          <w:spacing w:val="-2"/>
          <w:w w:val="105"/>
          <w:sz w:val="14"/>
        </w:rPr>
        <w:t>poverty</w:t>
      </w:r>
      <w:r>
        <w:rPr>
          <w:color w:val="231F20"/>
          <w:sz w:val="14"/>
        </w:rPr>
        <w:tab/>
      </w:r>
      <w:r>
        <w:rPr>
          <w:color w:val="231F20"/>
          <w:w w:val="105"/>
          <w:sz w:val="14"/>
        </w:rPr>
        <w:t>End</w:t>
      </w:r>
      <w:r>
        <w:rPr>
          <w:color w:val="231F20"/>
          <w:spacing w:val="-4"/>
          <w:w w:val="105"/>
          <w:sz w:val="14"/>
        </w:rPr>
        <w:t xml:space="preserve"> </w:t>
      </w:r>
      <w:r>
        <w:rPr>
          <w:color w:val="231F20"/>
          <w:w w:val="105"/>
          <w:sz w:val="14"/>
        </w:rPr>
        <w:t>poverty</w:t>
      </w:r>
      <w:r>
        <w:rPr>
          <w:color w:val="231F20"/>
          <w:spacing w:val="-3"/>
          <w:w w:val="105"/>
          <w:sz w:val="14"/>
        </w:rPr>
        <w:t xml:space="preserve"> </w:t>
      </w:r>
      <w:r>
        <w:rPr>
          <w:color w:val="231F20"/>
          <w:w w:val="105"/>
          <w:sz w:val="14"/>
        </w:rPr>
        <w:t>in</w:t>
      </w:r>
      <w:r>
        <w:rPr>
          <w:color w:val="231F20"/>
          <w:spacing w:val="-3"/>
          <w:w w:val="105"/>
          <w:sz w:val="14"/>
        </w:rPr>
        <w:t xml:space="preserve"> </w:t>
      </w:r>
      <w:r>
        <w:rPr>
          <w:color w:val="231F20"/>
          <w:w w:val="105"/>
          <w:sz w:val="14"/>
        </w:rPr>
        <w:t>all</w:t>
      </w:r>
      <w:r>
        <w:rPr>
          <w:color w:val="231F20"/>
          <w:spacing w:val="-3"/>
          <w:w w:val="105"/>
          <w:sz w:val="14"/>
        </w:rPr>
        <w:t xml:space="preserve"> </w:t>
      </w:r>
      <w:r>
        <w:rPr>
          <w:color w:val="231F20"/>
          <w:w w:val="105"/>
          <w:sz w:val="14"/>
        </w:rPr>
        <w:t>its</w:t>
      </w:r>
      <w:r>
        <w:rPr>
          <w:color w:val="231F20"/>
          <w:spacing w:val="-3"/>
          <w:w w:val="105"/>
          <w:sz w:val="14"/>
        </w:rPr>
        <w:t xml:space="preserve"> </w:t>
      </w:r>
      <w:r>
        <w:rPr>
          <w:color w:val="231F20"/>
          <w:w w:val="105"/>
          <w:sz w:val="14"/>
        </w:rPr>
        <w:t>forms</w:t>
      </w:r>
      <w:r>
        <w:rPr>
          <w:color w:val="231F20"/>
          <w:spacing w:val="-3"/>
          <w:w w:val="105"/>
          <w:sz w:val="14"/>
        </w:rPr>
        <w:t xml:space="preserve"> </w:t>
      </w:r>
      <w:r>
        <w:rPr>
          <w:color w:val="231F20"/>
          <w:spacing w:val="-2"/>
          <w:w w:val="105"/>
          <w:sz w:val="14"/>
        </w:rPr>
        <w:t>everywhere</w:t>
      </w:r>
    </w:p>
    <w:p w14:paraId="57C324A0" w14:textId="77777777" w:rsidR="00AE0598" w:rsidRDefault="0069255A">
      <w:pPr>
        <w:pStyle w:val="PargrafodaLista"/>
        <w:numPr>
          <w:ilvl w:val="0"/>
          <w:numId w:val="14"/>
        </w:numPr>
        <w:tabs>
          <w:tab w:val="left" w:pos="549"/>
          <w:tab w:val="left" w:pos="550"/>
          <w:tab w:val="left" w:pos="2959"/>
        </w:tabs>
        <w:spacing w:before="33" w:after="31" w:line="235" w:lineRule="auto"/>
        <w:ind w:left="2959" w:right="502" w:hanging="2850"/>
        <w:rPr>
          <w:sz w:val="14"/>
        </w:rPr>
      </w:pPr>
      <w:r>
        <w:rPr>
          <w:color w:val="231F20"/>
          <w:w w:val="105"/>
          <w:sz w:val="14"/>
        </w:rPr>
        <w:t>Zero</w:t>
      </w:r>
      <w:r>
        <w:rPr>
          <w:color w:val="231F20"/>
          <w:spacing w:val="-9"/>
          <w:w w:val="105"/>
          <w:sz w:val="14"/>
        </w:rPr>
        <w:t xml:space="preserve"> </w:t>
      </w:r>
      <w:r>
        <w:rPr>
          <w:color w:val="231F20"/>
          <w:w w:val="105"/>
          <w:sz w:val="14"/>
        </w:rPr>
        <w:t>hunger</w:t>
      </w:r>
      <w:r>
        <w:rPr>
          <w:color w:val="231F20"/>
          <w:sz w:val="14"/>
        </w:rPr>
        <w:tab/>
      </w:r>
      <w:r>
        <w:rPr>
          <w:color w:val="231F20"/>
          <w:w w:val="105"/>
          <w:sz w:val="14"/>
        </w:rPr>
        <w:t>End hunger, achieve food security and improved nutrition and promote sustainable agriculture</w:t>
      </w:r>
    </w:p>
    <w:p w14:paraId="7460EEA1" w14:textId="25107035" w:rsidR="00AE0598" w:rsidRDefault="0069255A">
      <w:pPr>
        <w:pStyle w:val="Corpodetexto"/>
        <w:spacing w:line="20" w:lineRule="exact"/>
        <w:ind w:left="110"/>
        <w:rPr>
          <w:rFonts w:ascii="Trebuchet MS"/>
          <w:sz w:val="2"/>
        </w:rPr>
      </w:pPr>
      <w:r>
        <w:rPr>
          <w:rFonts w:ascii="Trebuchet MS"/>
          <w:noProof/>
          <w:sz w:val="2"/>
        </w:rPr>
        <mc:AlternateContent>
          <mc:Choice Requires="wpg">
            <w:drawing>
              <wp:inline distT="0" distB="0" distL="0" distR="0" wp14:anchorId="4196D26B" wp14:editId="46EA4972">
                <wp:extent cx="4104005" cy="3175"/>
                <wp:effectExtent l="12700" t="5080" r="7620" b="10795"/>
                <wp:docPr id="254" name="docshapegroup1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04005" cy="3175"/>
                          <a:chOff x="0" y="0"/>
                          <a:chExt cx="6463" cy="5"/>
                        </a:xfrm>
                      </wpg:grpSpPr>
                      <wps:wsp>
                        <wps:cNvPr id="255" name="docshape120"/>
                        <wps:cNvSpPr>
                          <a:spLocks/>
                        </wps:cNvSpPr>
                        <wps:spPr bwMode="auto">
                          <a:xfrm>
                            <a:off x="0" y="2"/>
                            <a:ext cx="6463" cy="2"/>
                          </a:xfrm>
                          <a:custGeom>
                            <a:avLst/>
                            <a:gdLst>
                              <a:gd name="T0" fmla="*/ 0 w 6463"/>
                              <a:gd name="T1" fmla="*/ 439 w 6463"/>
                              <a:gd name="T2" fmla="*/ 2849 w 6463"/>
                              <a:gd name="T3" fmla="*/ 6463 w 6463"/>
                            </a:gdLst>
                            <a:ahLst/>
                            <a:cxnLst>
                              <a:cxn ang="0">
                                <a:pos x="T0" y="0"/>
                              </a:cxn>
                              <a:cxn ang="0">
                                <a:pos x="T1" y="0"/>
                              </a:cxn>
                              <a:cxn ang="0">
                                <a:pos x="T2" y="0"/>
                              </a:cxn>
                              <a:cxn ang="0">
                                <a:pos x="T3" y="0"/>
                              </a:cxn>
                            </a:cxnLst>
                            <a:rect l="0" t="0" r="r" b="b"/>
                            <a:pathLst>
                              <a:path w="6463">
                                <a:moveTo>
                                  <a:pt x="0" y="0"/>
                                </a:moveTo>
                                <a:lnTo>
                                  <a:pt x="439" y="0"/>
                                </a:lnTo>
                                <a:lnTo>
                                  <a:pt x="2849" y="0"/>
                                </a:lnTo>
                                <a:lnTo>
                                  <a:pt x="6463" y="0"/>
                                </a:lnTo>
                              </a:path>
                            </a:pathLst>
                          </a:custGeom>
                          <a:noFill/>
                          <a:ln w="3175">
                            <a:solidFill>
                              <a:srgbClr val="231F2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627DC0EB" id="docshapegroup119" o:spid="_x0000_s1026" style="width:323.15pt;height:.25pt;mso-position-horizontal-relative:char;mso-position-vertical-relative:line" coordsize="64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">
                <v:shape id="docshape120" o:spid="_x0000_s1027" style="position:absolute;top:2;width:6463;height:2;visibility:visible;mso-wrap-style:square;v-text-anchor:top" coordsize="64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" path="m,l439,,2849,,6463,e" filled="f" strokecolor="#231f20" strokeweight=".25pt">
                  <v:path arrowok="t" o:connecttype="custom" o:connectlocs="0,0;439,0;2849,0;6463,0" o:connectangles="0,0,0,0"/>
                </v:shape>
                <w10:anchorlock/>
              </v:group>
            </w:pict>
          </mc:Fallback>
        </mc:AlternateContent>
      </w:r>
    </w:p>
    <w:p w14:paraId="45AF94E4" w14:textId="0C0AC6D6" w:rsidR="00AE0598" w:rsidRDefault="0069255A">
      <w:pPr>
        <w:pStyle w:val="PargrafodaLista"/>
        <w:numPr>
          <w:ilvl w:val="0"/>
          <w:numId w:val="14"/>
        </w:numPr>
        <w:tabs>
          <w:tab w:val="left" w:pos="549"/>
          <w:tab w:val="left" w:pos="550"/>
          <w:tab w:val="left" w:pos="2959"/>
        </w:tabs>
        <w:spacing w:before="16" w:line="235" w:lineRule="auto"/>
        <w:ind w:left="2959" w:right="323" w:hanging="2850"/>
        <w:rPr>
          <w:sz w:val="14"/>
        </w:rPr>
      </w:pPr>
      <w:r>
        <w:rPr>
          <w:noProof/>
        </w:rPr>
        <mc:AlternateContent>
          <mc:Choice Requires="wps">
            <w:drawing>
              <wp:anchor distT="0" distB="0" distL="0" distR="0" simplePos="0" relativeHeight="487623680" behindDoc="1" locked="0" layoutInCell="1" allowOverlap="1" wp14:anchorId="42D8489C" wp14:editId="76CC05E3">
                <wp:simplePos x="0" y="0"/>
                <wp:positionH relativeFrom="page">
                  <wp:posOffset>755650</wp:posOffset>
                </wp:positionH>
                <wp:positionV relativeFrom="paragraph">
                  <wp:posOffset>231775</wp:posOffset>
                </wp:positionV>
                <wp:extent cx="4104005" cy="1270"/>
                <wp:effectExtent l="0" t="0" r="0" b="0"/>
                <wp:wrapTopAndBottom/>
                <wp:docPr id="253" name="docshape1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104005" cy="1270"/>
                        </a:xfrm>
                        <a:custGeom>
                          <a:avLst/>
                          <a:gdLst>
                            <a:gd name="T0" fmla="+- 0 1190 1190"/>
                            <a:gd name="T1" fmla="*/ T0 w 6463"/>
                            <a:gd name="T2" fmla="+- 0 1630 1190"/>
                            <a:gd name="T3" fmla="*/ T2 w 6463"/>
                            <a:gd name="T4" fmla="+- 0 4040 1190"/>
                            <a:gd name="T5" fmla="*/ T4 w 6463"/>
                            <a:gd name="T6" fmla="+- 0 7653 1190"/>
                            <a:gd name="T7" fmla="*/ T6 w 6463"/>
                          </a:gdLst>
                          <a:ahLst/>
                          <a:cxnLst>
                            <a:cxn ang="0">
                              <a:pos x="T1" y="0"/>
                            </a:cxn>
                            <a:cxn ang="0">
                              <a:pos x="T3" y="0"/>
                            </a:cxn>
                            <a:cxn ang="0">
                              <a:pos x="T5" y="0"/>
                            </a:cxn>
                            <a:cxn ang="0">
                              <a:pos x="T7" y="0"/>
                            </a:cxn>
                          </a:cxnLst>
                          <a:rect l="0" t="0" r="r" b="b"/>
                          <a:pathLst>
                            <a:path w="6463">
                              <a:moveTo>
                                <a:pt x="0" y="0"/>
                              </a:moveTo>
                              <a:lnTo>
                                <a:pt x="440" y="0"/>
                              </a:lnTo>
                              <a:lnTo>
                                <a:pt x="2850" y="0"/>
                              </a:lnTo>
                              <a:lnTo>
                                <a:pt x="6463" y="0"/>
                              </a:lnTo>
                            </a:path>
                          </a:pathLst>
                        </a:custGeom>
                        <a:noFill/>
                        <a:ln w="3175">
                          <a:solidFill>
                            <a:srgbClr val="231F2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BFE8D9" id="docshape121" o:spid="_x0000_s1026" style="position:absolute;margin-left:59.5pt;margin-top:18.25pt;width:323.15pt;height:.1pt;z-index:-156928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46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" path="m,l440,,2850,,6463,e" filled="f" strokecolor="#231f20" strokeweight=".25pt">
                <v:path arrowok="t" o:connecttype="custom" o:connectlocs="0,0;279400,0;1809750,0;4104005,0" o:connectangles="0,0,0,0"/>
                <w10:wrap type="topAndBottom" anchorx="page"/>
              </v:shape>
            </w:pict>
          </mc:Fallback>
        </mc:AlternateContent>
      </w:r>
      <w:r>
        <w:rPr>
          <w:color w:val="231F20"/>
          <w:w w:val="105"/>
          <w:sz w:val="14"/>
        </w:rPr>
        <w:t>Good health and well-being</w:t>
      </w:r>
      <w:r>
        <w:rPr>
          <w:color w:val="231F20"/>
          <w:sz w:val="14"/>
        </w:rPr>
        <w:tab/>
      </w:r>
      <w:r>
        <w:rPr>
          <w:color w:val="231F20"/>
          <w:w w:val="105"/>
          <w:sz w:val="14"/>
        </w:rPr>
        <w:t>Ensure healthy lives and promote well-being for all at all ages</w:t>
      </w:r>
    </w:p>
    <w:p w14:paraId="7BEFD926" w14:textId="77777777" w:rsidR="00AE0598" w:rsidRDefault="0069255A">
      <w:pPr>
        <w:pStyle w:val="PargrafodaLista"/>
        <w:numPr>
          <w:ilvl w:val="0"/>
          <w:numId w:val="14"/>
        </w:numPr>
        <w:tabs>
          <w:tab w:val="left" w:pos="549"/>
          <w:tab w:val="left" w:pos="550"/>
          <w:tab w:val="left" w:pos="2959"/>
        </w:tabs>
        <w:spacing w:before="31" w:line="161" w:lineRule="exact"/>
        <w:rPr>
          <w:sz w:val="14"/>
        </w:rPr>
      </w:pPr>
      <w:r>
        <w:rPr>
          <w:color w:val="231F20"/>
          <w:w w:val="105"/>
          <w:sz w:val="14"/>
        </w:rPr>
        <w:t>Qualit</w:t>
      </w:r>
      <w:r>
        <w:rPr>
          <w:color w:val="231F20"/>
          <w:w w:val="105"/>
          <w:sz w:val="14"/>
        </w:rPr>
        <w:t>y</w:t>
      </w:r>
      <w:r>
        <w:rPr>
          <w:color w:val="231F20"/>
          <w:spacing w:val="7"/>
          <w:w w:val="105"/>
          <w:sz w:val="14"/>
        </w:rPr>
        <w:t xml:space="preserve"> </w:t>
      </w:r>
      <w:r>
        <w:rPr>
          <w:color w:val="231F20"/>
          <w:spacing w:val="-2"/>
          <w:w w:val="105"/>
          <w:sz w:val="14"/>
        </w:rPr>
        <w:t>education</w:t>
      </w:r>
      <w:r>
        <w:rPr>
          <w:color w:val="231F20"/>
          <w:sz w:val="14"/>
        </w:rPr>
        <w:tab/>
      </w:r>
      <w:r>
        <w:rPr>
          <w:color w:val="231F20"/>
          <w:w w:val="105"/>
          <w:sz w:val="14"/>
        </w:rPr>
        <w:t>Ensure</w:t>
      </w:r>
      <w:r>
        <w:rPr>
          <w:color w:val="231F20"/>
          <w:spacing w:val="-3"/>
          <w:w w:val="105"/>
          <w:sz w:val="14"/>
        </w:rPr>
        <w:t xml:space="preserve"> </w:t>
      </w:r>
      <w:r>
        <w:rPr>
          <w:color w:val="231F20"/>
          <w:w w:val="105"/>
          <w:sz w:val="14"/>
        </w:rPr>
        <w:t>inclusive</w:t>
      </w:r>
      <w:r>
        <w:rPr>
          <w:color w:val="231F20"/>
          <w:spacing w:val="-2"/>
          <w:w w:val="105"/>
          <w:sz w:val="14"/>
        </w:rPr>
        <w:t xml:space="preserve"> </w:t>
      </w:r>
      <w:r>
        <w:rPr>
          <w:color w:val="231F20"/>
          <w:w w:val="105"/>
          <w:sz w:val="14"/>
        </w:rPr>
        <w:t>and</w:t>
      </w:r>
      <w:r>
        <w:rPr>
          <w:color w:val="231F20"/>
          <w:spacing w:val="-3"/>
          <w:w w:val="105"/>
          <w:sz w:val="14"/>
        </w:rPr>
        <w:t xml:space="preserve"> </w:t>
      </w:r>
      <w:r>
        <w:rPr>
          <w:color w:val="231F20"/>
          <w:w w:val="105"/>
          <w:sz w:val="14"/>
        </w:rPr>
        <w:t>quality</w:t>
      </w:r>
      <w:r>
        <w:rPr>
          <w:color w:val="231F20"/>
          <w:spacing w:val="-2"/>
          <w:w w:val="105"/>
          <w:sz w:val="14"/>
        </w:rPr>
        <w:t xml:space="preserve"> </w:t>
      </w:r>
      <w:r>
        <w:rPr>
          <w:color w:val="231F20"/>
          <w:w w:val="105"/>
          <w:sz w:val="14"/>
        </w:rPr>
        <w:t>education</w:t>
      </w:r>
      <w:r>
        <w:rPr>
          <w:color w:val="231F20"/>
          <w:spacing w:val="-2"/>
          <w:w w:val="105"/>
          <w:sz w:val="14"/>
        </w:rPr>
        <w:t xml:space="preserve"> </w:t>
      </w:r>
      <w:r>
        <w:rPr>
          <w:color w:val="231F20"/>
          <w:w w:val="105"/>
          <w:sz w:val="14"/>
        </w:rPr>
        <w:t>for</w:t>
      </w:r>
      <w:r>
        <w:rPr>
          <w:color w:val="231F20"/>
          <w:spacing w:val="-3"/>
          <w:w w:val="105"/>
          <w:sz w:val="14"/>
        </w:rPr>
        <w:t xml:space="preserve"> </w:t>
      </w:r>
      <w:r>
        <w:rPr>
          <w:color w:val="231F20"/>
          <w:w w:val="105"/>
          <w:sz w:val="14"/>
        </w:rPr>
        <w:t>all</w:t>
      </w:r>
      <w:r>
        <w:rPr>
          <w:color w:val="231F20"/>
          <w:spacing w:val="-2"/>
          <w:w w:val="105"/>
          <w:sz w:val="14"/>
        </w:rPr>
        <w:t xml:space="preserve"> </w:t>
      </w:r>
      <w:r>
        <w:rPr>
          <w:color w:val="231F20"/>
          <w:spacing w:val="-5"/>
          <w:w w:val="105"/>
          <w:sz w:val="14"/>
        </w:rPr>
        <w:t>and</w:t>
      </w:r>
    </w:p>
    <w:p w14:paraId="3B6A7D58" w14:textId="028A5708" w:rsidR="00AE0598" w:rsidRDefault="0069255A">
      <w:pPr>
        <w:spacing w:line="161" w:lineRule="exact"/>
        <w:ind w:left="2959"/>
        <w:rPr>
          <w:rFonts w:ascii="Trebuchet MS"/>
          <w:sz w:val="14"/>
        </w:rPr>
      </w:pPr>
      <w:r>
        <w:rPr>
          <w:noProof/>
        </w:rPr>
        <mc:AlternateContent>
          <mc:Choice Requires="wps">
            <w:drawing>
              <wp:anchor distT="0" distB="0" distL="0" distR="0" simplePos="0" relativeHeight="487624192" behindDoc="1" locked="0" layoutInCell="1" allowOverlap="1" wp14:anchorId="7E666D5F" wp14:editId="1674310C">
                <wp:simplePos x="0" y="0"/>
                <wp:positionH relativeFrom="page">
                  <wp:posOffset>755650</wp:posOffset>
                </wp:positionH>
                <wp:positionV relativeFrom="paragraph">
                  <wp:posOffset>120650</wp:posOffset>
                </wp:positionV>
                <wp:extent cx="4104005" cy="1270"/>
                <wp:effectExtent l="0" t="0" r="0" b="0"/>
                <wp:wrapTopAndBottom/>
                <wp:docPr id="252" name="docshape1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104005" cy="1270"/>
                        </a:xfrm>
                        <a:custGeom>
                          <a:avLst/>
                          <a:gdLst>
                            <a:gd name="T0" fmla="+- 0 1190 1190"/>
                            <a:gd name="T1" fmla="*/ T0 w 6463"/>
                            <a:gd name="T2" fmla="+- 0 1630 1190"/>
                            <a:gd name="T3" fmla="*/ T2 w 6463"/>
                            <a:gd name="T4" fmla="+- 0 4040 1190"/>
                            <a:gd name="T5" fmla="*/ T4 w 6463"/>
                            <a:gd name="T6" fmla="+- 0 7653 1190"/>
                            <a:gd name="T7" fmla="*/ T6 w 6463"/>
                          </a:gdLst>
                          <a:ahLst/>
                          <a:cxnLst>
                            <a:cxn ang="0">
                              <a:pos x="T1" y="0"/>
                            </a:cxn>
                            <a:cxn ang="0">
                              <a:pos x="T3" y="0"/>
                            </a:cxn>
                            <a:cxn ang="0">
                              <a:pos x="T5" y="0"/>
                            </a:cxn>
                            <a:cxn ang="0">
                              <a:pos x="T7" y="0"/>
                            </a:cxn>
                          </a:cxnLst>
                          <a:rect l="0" t="0" r="r" b="b"/>
                          <a:pathLst>
                            <a:path w="6463">
                              <a:moveTo>
                                <a:pt x="0" y="0"/>
                              </a:moveTo>
                              <a:lnTo>
                                <a:pt x="440" y="0"/>
                              </a:lnTo>
                              <a:lnTo>
                                <a:pt x="2850" y="0"/>
                              </a:lnTo>
                              <a:lnTo>
                                <a:pt x="6463" y="0"/>
                              </a:lnTo>
                            </a:path>
                          </a:pathLst>
                        </a:custGeom>
                        <a:noFill/>
                        <a:ln w="3175">
                          <a:solidFill>
                            <a:srgbClr val="231F2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803CDF" id="docshape122" o:spid="_x0000_s1026" style="position:absolute;margin-left:59.5pt;margin-top:9.5pt;width:323.15pt;height:.1pt;z-index:-156922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46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" path="m,l440,,2850,,6463,e" filled="f" strokecolor="#231f20" strokeweight=".25pt">
                <v:path arrowok="t" o:connecttype="custom" o:connectlocs="0,0;279400,0;1809750,0;4104005,0" o:connectangles="0,0,0,0"/>
                <w10:wrap type="topAndBottom" anchorx="page"/>
              </v:shape>
            </w:pict>
          </mc:Fallback>
        </mc:AlternateContent>
      </w:r>
      <w:r>
        <w:rPr>
          <w:rFonts w:ascii="Trebuchet MS"/>
          <w:color w:val="231F20"/>
          <w:w w:val="105"/>
          <w:sz w:val="14"/>
        </w:rPr>
        <w:t>promote</w:t>
      </w:r>
      <w:r>
        <w:rPr>
          <w:rFonts w:ascii="Trebuchet MS"/>
          <w:color w:val="231F20"/>
          <w:spacing w:val="11"/>
          <w:w w:val="105"/>
          <w:sz w:val="14"/>
        </w:rPr>
        <w:t xml:space="preserve"> </w:t>
      </w:r>
      <w:r>
        <w:rPr>
          <w:rFonts w:ascii="Trebuchet MS"/>
          <w:color w:val="231F20"/>
          <w:w w:val="105"/>
          <w:sz w:val="14"/>
        </w:rPr>
        <w:t>lifelong</w:t>
      </w:r>
      <w:r>
        <w:rPr>
          <w:rFonts w:ascii="Trebuchet MS"/>
          <w:color w:val="231F20"/>
          <w:spacing w:val="11"/>
          <w:w w:val="105"/>
          <w:sz w:val="14"/>
        </w:rPr>
        <w:t xml:space="preserve"> </w:t>
      </w:r>
      <w:r>
        <w:rPr>
          <w:rFonts w:ascii="Trebuchet MS"/>
          <w:color w:val="231F20"/>
          <w:spacing w:val="-2"/>
          <w:w w:val="105"/>
          <w:sz w:val="14"/>
        </w:rPr>
        <w:t>learning</w:t>
      </w:r>
    </w:p>
    <w:p w14:paraId="7F575A3A" w14:textId="77777777" w:rsidR="00AE0598" w:rsidRDefault="0069255A">
      <w:pPr>
        <w:pStyle w:val="PargrafodaLista"/>
        <w:numPr>
          <w:ilvl w:val="0"/>
          <w:numId w:val="14"/>
        </w:numPr>
        <w:tabs>
          <w:tab w:val="left" w:pos="549"/>
          <w:tab w:val="left" w:pos="550"/>
          <w:tab w:val="left" w:pos="2959"/>
        </w:tabs>
        <w:spacing w:before="33" w:after="31" w:line="235" w:lineRule="auto"/>
        <w:ind w:left="2959" w:right="404" w:hanging="2850"/>
        <w:rPr>
          <w:sz w:val="14"/>
        </w:rPr>
      </w:pPr>
      <w:r>
        <w:rPr>
          <w:color w:val="231F20"/>
          <w:w w:val="105"/>
          <w:sz w:val="14"/>
        </w:rPr>
        <w:t>Gender</w:t>
      </w:r>
      <w:r>
        <w:rPr>
          <w:color w:val="231F20"/>
          <w:spacing w:val="-9"/>
          <w:w w:val="105"/>
          <w:sz w:val="14"/>
        </w:rPr>
        <w:t xml:space="preserve"> </w:t>
      </w:r>
      <w:r>
        <w:rPr>
          <w:color w:val="231F20"/>
          <w:w w:val="105"/>
          <w:sz w:val="14"/>
        </w:rPr>
        <w:t>equity</w:t>
      </w:r>
      <w:r>
        <w:rPr>
          <w:color w:val="231F20"/>
          <w:sz w:val="14"/>
        </w:rPr>
        <w:tab/>
      </w:r>
      <w:r>
        <w:rPr>
          <w:color w:val="231F20"/>
          <w:w w:val="105"/>
          <w:sz w:val="14"/>
        </w:rPr>
        <w:t>Achieve gender equality and empower all women and</w:t>
      </w:r>
      <w:r>
        <w:rPr>
          <w:color w:val="231F20"/>
          <w:spacing w:val="-9"/>
          <w:w w:val="105"/>
          <w:sz w:val="14"/>
        </w:rPr>
        <w:t xml:space="preserve"> </w:t>
      </w:r>
      <w:r>
        <w:rPr>
          <w:color w:val="231F20"/>
          <w:w w:val="105"/>
          <w:sz w:val="14"/>
        </w:rPr>
        <w:t>girls</w:t>
      </w:r>
    </w:p>
    <w:p w14:paraId="552D6B4A" w14:textId="3EE2BF3F" w:rsidR="00AE0598" w:rsidRDefault="0069255A">
      <w:pPr>
        <w:pStyle w:val="Corpodetexto"/>
        <w:spacing w:line="20" w:lineRule="exact"/>
        <w:ind w:left="110"/>
        <w:rPr>
          <w:rFonts w:ascii="Trebuchet MS"/>
          <w:sz w:val="2"/>
        </w:rPr>
      </w:pPr>
      <w:r>
        <w:rPr>
          <w:rFonts w:ascii="Trebuchet MS"/>
          <w:noProof/>
          <w:sz w:val="2"/>
        </w:rPr>
        <mc:AlternateContent>
          <mc:Choice Requires="wpg">
            <w:drawing>
              <wp:inline distT="0" distB="0" distL="0" distR="0" wp14:anchorId="3A7EDA83" wp14:editId="50AAAE04">
                <wp:extent cx="4104005" cy="3175"/>
                <wp:effectExtent l="12700" t="3810" r="7620" b="12065"/>
                <wp:docPr id="250" name="docshapegroup1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04005" cy="3175"/>
                          <a:chOff x="0" y="0"/>
                          <a:chExt cx="6463" cy="5"/>
                        </a:xfrm>
                      </wpg:grpSpPr>
                      <wps:wsp>
                        <wps:cNvPr id="251" name="docshape124"/>
                        <wps:cNvSpPr>
                          <a:spLocks/>
                        </wps:cNvSpPr>
                        <wps:spPr bwMode="auto">
                          <a:xfrm>
                            <a:off x="0" y="2"/>
                            <a:ext cx="6463" cy="2"/>
                          </a:xfrm>
                          <a:custGeom>
                            <a:avLst/>
                            <a:gdLst>
                              <a:gd name="T0" fmla="*/ 0 w 6463"/>
                              <a:gd name="T1" fmla="*/ 439 w 6463"/>
                              <a:gd name="T2" fmla="*/ 2849 w 6463"/>
                              <a:gd name="T3" fmla="*/ 6463 w 6463"/>
                            </a:gdLst>
                            <a:ahLst/>
                            <a:cxnLst>
                              <a:cxn ang="0">
                                <a:pos x="T0" y="0"/>
                              </a:cxn>
                              <a:cxn ang="0">
                                <a:pos x="T1" y="0"/>
                              </a:cxn>
                              <a:cxn ang="0">
                                <a:pos x="T2" y="0"/>
                              </a:cxn>
                              <a:cxn ang="0">
                                <a:pos x="T3" y="0"/>
                              </a:cxn>
                            </a:cxnLst>
                            <a:rect l="0" t="0" r="r" b="b"/>
                            <a:pathLst>
                              <a:path w="6463">
                                <a:moveTo>
                                  <a:pt x="0" y="0"/>
                                </a:moveTo>
                                <a:lnTo>
                                  <a:pt x="439" y="0"/>
                                </a:lnTo>
                                <a:lnTo>
                                  <a:pt x="2849" y="0"/>
                                </a:lnTo>
                                <a:lnTo>
                                  <a:pt x="6463" y="0"/>
                                </a:lnTo>
                              </a:path>
                            </a:pathLst>
                          </a:custGeom>
                          <a:noFill/>
                          <a:ln w="3175">
                            <a:solidFill>
                              <a:srgbClr val="231F2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6826814A" id="docshapegroup123" o:spid="_x0000_s1026" style="width:323.15pt;height:.25pt;mso-position-horizontal-relative:char;mso-position-vertical-relative:line" coordsize="64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">
                <v:shape id="docshape124" o:spid="_x0000_s1027" style="position:absolute;top:2;width:6463;height:2;visibility:visible;mso-wrap-style:square;v-text-anchor:top" coordsize="64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" path="m,l439,,2849,,6463,e" filled="f" strokecolor="#231f20" strokeweight=".25pt">
                  <v:path arrowok="t" o:connecttype="custom" o:connectlocs="0,0;439,0;2849,0;6463,0" o:connectangles="0,0,0,0"/>
                </v:shape>
                <w10:anchorlock/>
              </v:group>
            </w:pict>
          </mc:Fallback>
        </mc:AlternateContent>
      </w:r>
    </w:p>
    <w:p w14:paraId="4A79D86A" w14:textId="2B0F2D9F" w:rsidR="00AE0598" w:rsidRDefault="0069255A">
      <w:pPr>
        <w:pStyle w:val="PargrafodaLista"/>
        <w:numPr>
          <w:ilvl w:val="0"/>
          <w:numId w:val="14"/>
        </w:numPr>
        <w:tabs>
          <w:tab w:val="left" w:pos="548"/>
          <w:tab w:val="left" w:pos="550"/>
          <w:tab w:val="left" w:pos="2959"/>
        </w:tabs>
        <w:spacing w:before="13"/>
        <w:rPr>
          <w:sz w:val="14"/>
        </w:rPr>
      </w:pPr>
      <w:r>
        <w:rPr>
          <w:noProof/>
        </w:rPr>
        <mc:AlternateContent>
          <mc:Choice Requires="wps">
            <w:drawing>
              <wp:anchor distT="0" distB="0" distL="0" distR="0" simplePos="0" relativeHeight="487625216" behindDoc="1" locked="0" layoutInCell="1" allowOverlap="1" wp14:anchorId="7F58CD6D" wp14:editId="72C5D87D">
                <wp:simplePos x="0" y="0"/>
                <wp:positionH relativeFrom="page">
                  <wp:posOffset>755650</wp:posOffset>
                </wp:positionH>
                <wp:positionV relativeFrom="paragraph">
                  <wp:posOffset>129540</wp:posOffset>
                </wp:positionV>
                <wp:extent cx="4104005" cy="1270"/>
                <wp:effectExtent l="0" t="0" r="0" b="0"/>
                <wp:wrapTopAndBottom/>
                <wp:docPr id="249" name="docshape1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104005" cy="1270"/>
                        </a:xfrm>
                        <a:custGeom>
                          <a:avLst/>
                          <a:gdLst>
                            <a:gd name="T0" fmla="+- 0 1190 1190"/>
                            <a:gd name="T1" fmla="*/ T0 w 6463"/>
                            <a:gd name="T2" fmla="+- 0 1630 1190"/>
                            <a:gd name="T3" fmla="*/ T2 w 6463"/>
                            <a:gd name="T4" fmla="+- 0 4040 1190"/>
                            <a:gd name="T5" fmla="*/ T4 w 6463"/>
                            <a:gd name="T6" fmla="+- 0 7653 1190"/>
                            <a:gd name="T7" fmla="*/ T6 w 6463"/>
                          </a:gdLst>
                          <a:ahLst/>
                          <a:cxnLst>
                            <a:cxn ang="0">
                              <a:pos x="T1" y="0"/>
                            </a:cxn>
                            <a:cxn ang="0">
                              <a:pos x="T3" y="0"/>
                            </a:cxn>
                            <a:cxn ang="0">
                              <a:pos x="T5" y="0"/>
                            </a:cxn>
                            <a:cxn ang="0">
                              <a:pos x="T7" y="0"/>
                            </a:cxn>
                          </a:cxnLst>
                          <a:rect l="0" t="0" r="r" b="b"/>
                          <a:pathLst>
                            <a:path w="6463">
                              <a:moveTo>
                                <a:pt x="0" y="0"/>
                              </a:moveTo>
                              <a:lnTo>
                                <a:pt x="440" y="0"/>
                              </a:lnTo>
                              <a:lnTo>
                                <a:pt x="2850" y="0"/>
                              </a:lnTo>
                              <a:lnTo>
                                <a:pt x="6463" y="0"/>
                              </a:lnTo>
                            </a:path>
                          </a:pathLst>
                        </a:custGeom>
                        <a:noFill/>
                        <a:ln w="3175">
                          <a:solidFill>
                            <a:srgbClr val="231F2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B75F7C" id="docshape125" o:spid="_x0000_s1026" style="position:absolute;margin-left:59.5pt;margin-top:10.2pt;width:323.15pt;height:.1pt;z-index:-156912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46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" path="m,l440,,2850,,6463,e" filled="f" strokecolor="#231f20" strokeweight=".25pt">
                <v:path arrowok="t" o:connecttype="custom" o:connectlocs="0,0;279400,0;1809750,0;4104005,0" o:connectangles="0,0,0,0"/>
                <w10:wrap type="topAndBottom" anchorx="page"/>
              </v:shape>
            </w:pict>
          </mc:Fallback>
        </mc:AlternateContent>
      </w:r>
      <w:r>
        <w:rPr>
          <w:color w:val="231F20"/>
          <w:w w:val="105"/>
          <w:sz w:val="14"/>
        </w:rPr>
        <w:t>Clean</w:t>
      </w:r>
      <w:r>
        <w:rPr>
          <w:color w:val="231F20"/>
          <w:spacing w:val="-2"/>
          <w:w w:val="105"/>
          <w:sz w:val="14"/>
        </w:rPr>
        <w:t xml:space="preserve"> </w:t>
      </w:r>
      <w:r>
        <w:rPr>
          <w:color w:val="231F20"/>
          <w:w w:val="105"/>
          <w:sz w:val="14"/>
        </w:rPr>
        <w:t>water</w:t>
      </w:r>
      <w:r>
        <w:rPr>
          <w:color w:val="231F20"/>
          <w:spacing w:val="-1"/>
          <w:w w:val="105"/>
          <w:sz w:val="14"/>
        </w:rPr>
        <w:t xml:space="preserve"> </w:t>
      </w:r>
      <w:r>
        <w:rPr>
          <w:color w:val="231F20"/>
          <w:w w:val="105"/>
          <w:sz w:val="14"/>
        </w:rPr>
        <w:t>and</w:t>
      </w:r>
      <w:r>
        <w:rPr>
          <w:color w:val="231F20"/>
          <w:spacing w:val="-1"/>
          <w:w w:val="105"/>
          <w:sz w:val="14"/>
        </w:rPr>
        <w:t xml:space="preserve"> </w:t>
      </w:r>
      <w:r>
        <w:rPr>
          <w:color w:val="231F20"/>
          <w:spacing w:val="-2"/>
          <w:w w:val="105"/>
          <w:sz w:val="14"/>
        </w:rPr>
        <w:t>sanitation</w:t>
      </w:r>
      <w:r>
        <w:rPr>
          <w:color w:val="231F20"/>
          <w:sz w:val="14"/>
        </w:rPr>
        <w:tab/>
      </w:r>
      <w:r>
        <w:rPr>
          <w:color w:val="231F20"/>
          <w:w w:val="105"/>
          <w:sz w:val="14"/>
        </w:rPr>
        <w:t>Ensure</w:t>
      </w:r>
      <w:r>
        <w:rPr>
          <w:color w:val="231F20"/>
          <w:spacing w:val="-4"/>
          <w:w w:val="105"/>
          <w:sz w:val="14"/>
        </w:rPr>
        <w:t xml:space="preserve"> </w:t>
      </w:r>
      <w:r>
        <w:rPr>
          <w:color w:val="231F20"/>
          <w:w w:val="105"/>
          <w:sz w:val="14"/>
        </w:rPr>
        <w:t>access</w:t>
      </w:r>
      <w:r>
        <w:rPr>
          <w:color w:val="231F20"/>
          <w:spacing w:val="-4"/>
          <w:w w:val="105"/>
          <w:sz w:val="14"/>
        </w:rPr>
        <w:t xml:space="preserve"> </w:t>
      </w:r>
      <w:r>
        <w:rPr>
          <w:color w:val="231F20"/>
          <w:w w:val="105"/>
          <w:sz w:val="14"/>
        </w:rPr>
        <w:t>to</w:t>
      </w:r>
      <w:r>
        <w:rPr>
          <w:color w:val="231F20"/>
          <w:spacing w:val="-4"/>
          <w:w w:val="105"/>
          <w:sz w:val="14"/>
        </w:rPr>
        <w:t xml:space="preserve"> </w:t>
      </w:r>
      <w:r>
        <w:rPr>
          <w:color w:val="231F20"/>
          <w:w w:val="105"/>
          <w:sz w:val="14"/>
        </w:rPr>
        <w:t>water</w:t>
      </w:r>
      <w:r>
        <w:rPr>
          <w:color w:val="231F20"/>
          <w:spacing w:val="-4"/>
          <w:w w:val="105"/>
          <w:sz w:val="14"/>
        </w:rPr>
        <w:t xml:space="preserve"> </w:t>
      </w:r>
      <w:r>
        <w:rPr>
          <w:color w:val="231F20"/>
          <w:w w:val="105"/>
          <w:sz w:val="14"/>
        </w:rPr>
        <w:t>and</w:t>
      </w:r>
      <w:r>
        <w:rPr>
          <w:color w:val="231F20"/>
          <w:spacing w:val="-4"/>
          <w:w w:val="105"/>
          <w:sz w:val="14"/>
        </w:rPr>
        <w:t xml:space="preserve"> </w:t>
      </w:r>
      <w:r>
        <w:rPr>
          <w:color w:val="231F20"/>
          <w:w w:val="105"/>
          <w:sz w:val="14"/>
        </w:rPr>
        <w:t>sanitation</w:t>
      </w:r>
      <w:r>
        <w:rPr>
          <w:color w:val="231F20"/>
          <w:spacing w:val="-3"/>
          <w:w w:val="105"/>
          <w:sz w:val="14"/>
        </w:rPr>
        <w:t xml:space="preserve"> </w:t>
      </w:r>
      <w:r>
        <w:rPr>
          <w:color w:val="231F20"/>
          <w:w w:val="105"/>
          <w:sz w:val="14"/>
        </w:rPr>
        <w:t>for</w:t>
      </w:r>
      <w:r>
        <w:rPr>
          <w:color w:val="231F20"/>
          <w:spacing w:val="-4"/>
          <w:w w:val="105"/>
          <w:sz w:val="14"/>
        </w:rPr>
        <w:t xml:space="preserve"> </w:t>
      </w:r>
      <w:r>
        <w:rPr>
          <w:color w:val="231F20"/>
          <w:spacing w:val="-5"/>
          <w:w w:val="105"/>
          <w:sz w:val="14"/>
        </w:rPr>
        <w:t>all</w:t>
      </w:r>
    </w:p>
    <w:p w14:paraId="3F702EE1" w14:textId="77777777" w:rsidR="00AE0598" w:rsidRDefault="0069255A">
      <w:pPr>
        <w:pStyle w:val="PargrafodaLista"/>
        <w:numPr>
          <w:ilvl w:val="0"/>
          <w:numId w:val="14"/>
        </w:numPr>
        <w:tabs>
          <w:tab w:val="left" w:pos="549"/>
          <w:tab w:val="left" w:pos="550"/>
          <w:tab w:val="left" w:pos="2959"/>
        </w:tabs>
        <w:spacing w:before="31" w:line="161" w:lineRule="exact"/>
        <w:rPr>
          <w:sz w:val="14"/>
        </w:rPr>
      </w:pPr>
      <w:r>
        <w:rPr>
          <w:color w:val="231F20"/>
          <w:sz w:val="14"/>
        </w:rPr>
        <w:t>Affordable</w:t>
      </w:r>
      <w:r>
        <w:rPr>
          <w:color w:val="231F20"/>
          <w:spacing w:val="29"/>
          <w:sz w:val="14"/>
        </w:rPr>
        <w:t xml:space="preserve"> </w:t>
      </w:r>
      <w:r>
        <w:rPr>
          <w:color w:val="231F20"/>
          <w:sz w:val="14"/>
        </w:rPr>
        <w:t>and</w:t>
      </w:r>
      <w:r>
        <w:rPr>
          <w:color w:val="231F20"/>
          <w:spacing w:val="28"/>
          <w:sz w:val="14"/>
        </w:rPr>
        <w:t xml:space="preserve"> </w:t>
      </w:r>
      <w:r>
        <w:rPr>
          <w:color w:val="231F20"/>
          <w:sz w:val="14"/>
        </w:rPr>
        <w:t>clean</w:t>
      </w:r>
      <w:r>
        <w:rPr>
          <w:color w:val="231F20"/>
          <w:spacing w:val="29"/>
          <w:sz w:val="14"/>
        </w:rPr>
        <w:t xml:space="preserve"> </w:t>
      </w:r>
      <w:r>
        <w:rPr>
          <w:color w:val="231F20"/>
          <w:spacing w:val="-2"/>
          <w:sz w:val="14"/>
        </w:rPr>
        <w:t>energy</w:t>
      </w:r>
      <w:r>
        <w:rPr>
          <w:color w:val="231F20"/>
          <w:sz w:val="14"/>
        </w:rPr>
        <w:tab/>
        <w:t>Ensure</w:t>
      </w:r>
      <w:r>
        <w:rPr>
          <w:color w:val="231F20"/>
          <w:spacing w:val="16"/>
          <w:sz w:val="14"/>
        </w:rPr>
        <w:t xml:space="preserve"> </w:t>
      </w:r>
      <w:r>
        <w:rPr>
          <w:color w:val="231F20"/>
          <w:sz w:val="14"/>
        </w:rPr>
        <w:t>access</w:t>
      </w:r>
      <w:r>
        <w:rPr>
          <w:color w:val="231F20"/>
          <w:spacing w:val="17"/>
          <w:sz w:val="14"/>
        </w:rPr>
        <w:t xml:space="preserve"> </w:t>
      </w:r>
      <w:r>
        <w:rPr>
          <w:color w:val="231F20"/>
          <w:sz w:val="14"/>
        </w:rPr>
        <w:t>to</w:t>
      </w:r>
      <w:r>
        <w:rPr>
          <w:color w:val="231F20"/>
          <w:spacing w:val="16"/>
          <w:sz w:val="14"/>
        </w:rPr>
        <w:t xml:space="preserve"> </w:t>
      </w:r>
      <w:r>
        <w:rPr>
          <w:color w:val="231F20"/>
          <w:sz w:val="14"/>
        </w:rPr>
        <w:t>affordable,</w:t>
      </w:r>
      <w:r>
        <w:rPr>
          <w:color w:val="231F20"/>
          <w:spacing w:val="17"/>
          <w:sz w:val="14"/>
        </w:rPr>
        <w:t xml:space="preserve"> </w:t>
      </w:r>
      <w:r>
        <w:rPr>
          <w:color w:val="231F20"/>
          <w:sz w:val="14"/>
        </w:rPr>
        <w:t>reliable,</w:t>
      </w:r>
      <w:r>
        <w:rPr>
          <w:color w:val="231F20"/>
          <w:spacing w:val="16"/>
          <w:sz w:val="14"/>
        </w:rPr>
        <w:t xml:space="preserve"> </w:t>
      </w:r>
      <w:r>
        <w:rPr>
          <w:color w:val="231F20"/>
          <w:sz w:val="14"/>
        </w:rPr>
        <w:t>sustainable</w:t>
      </w:r>
      <w:r>
        <w:rPr>
          <w:color w:val="231F20"/>
          <w:spacing w:val="17"/>
          <w:sz w:val="14"/>
        </w:rPr>
        <w:t xml:space="preserve"> </w:t>
      </w:r>
      <w:r>
        <w:rPr>
          <w:color w:val="231F20"/>
          <w:spacing w:val="-5"/>
          <w:sz w:val="14"/>
        </w:rPr>
        <w:t>and</w:t>
      </w:r>
    </w:p>
    <w:p w14:paraId="4DC33572" w14:textId="30EA4759" w:rsidR="00AE0598" w:rsidRDefault="0069255A">
      <w:pPr>
        <w:spacing w:line="161" w:lineRule="exact"/>
        <w:ind w:left="2959"/>
        <w:rPr>
          <w:rFonts w:ascii="Trebuchet MS"/>
          <w:sz w:val="14"/>
        </w:rPr>
      </w:pPr>
      <w:r>
        <w:rPr>
          <w:noProof/>
        </w:rPr>
        <mc:AlternateContent>
          <mc:Choice Requires="wps">
            <w:drawing>
              <wp:anchor distT="0" distB="0" distL="114300" distR="114300" simplePos="0" relativeHeight="15769600" behindDoc="0" locked="0" layoutInCell="1" allowOverlap="1" wp14:anchorId="0CCDD70C" wp14:editId="2DC67103">
                <wp:simplePos x="0" y="0"/>
                <wp:positionH relativeFrom="page">
                  <wp:posOffset>755650</wp:posOffset>
                </wp:positionH>
                <wp:positionV relativeFrom="paragraph">
                  <wp:posOffset>120650</wp:posOffset>
                </wp:positionV>
                <wp:extent cx="4104005" cy="1270"/>
                <wp:effectExtent l="0" t="0" r="0" b="0"/>
                <wp:wrapNone/>
                <wp:docPr id="248" name="docshape1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104005" cy="1270"/>
                        </a:xfrm>
                        <a:custGeom>
                          <a:avLst/>
                          <a:gdLst>
                            <a:gd name="T0" fmla="+- 0 1190 1190"/>
                            <a:gd name="T1" fmla="*/ T0 w 6463"/>
                            <a:gd name="T2" fmla="+- 0 1630 1190"/>
                            <a:gd name="T3" fmla="*/ T2 w 6463"/>
                            <a:gd name="T4" fmla="+- 0 4040 1190"/>
                            <a:gd name="T5" fmla="*/ T4 w 6463"/>
                            <a:gd name="T6" fmla="+- 0 7653 1190"/>
                            <a:gd name="T7" fmla="*/ T6 w 6463"/>
                          </a:gdLst>
                          <a:ahLst/>
                          <a:cxnLst>
                            <a:cxn ang="0">
                              <a:pos x="T1" y="0"/>
                            </a:cxn>
                            <a:cxn ang="0">
                              <a:pos x="T3" y="0"/>
                            </a:cxn>
                            <a:cxn ang="0">
                              <a:pos x="T5" y="0"/>
                            </a:cxn>
                            <a:cxn ang="0">
                              <a:pos x="T7" y="0"/>
                            </a:cxn>
                          </a:cxnLst>
                          <a:rect l="0" t="0" r="r" b="b"/>
                          <a:pathLst>
                            <a:path w="6463">
                              <a:moveTo>
                                <a:pt x="0" y="0"/>
                              </a:moveTo>
                              <a:lnTo>
                                <a:pt x="440" y="0"/>
                              </a:lnTo>
                              <a:lnTo>
                                <a:pt x="2850" y="0"/>
                              </a:lnTo>
                              <a:lnTo>
                                <a:pt x="6463" y="0"/>
                              </a:lnTo>
                            </a:path>
                          </a:pathLst>
                        </a:custGeom>
                        <a:noFill/>
                        <a:ln w="3175">
                          <a:solidFill>
                            <a:srgbClr val="231F2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689E2B" id="docshape126" o:spid="_x0000_s1026" style="position:absolute;margin-left:59.5pt;margin-top:9.5pt;width:323.15pt;height:.1pt;z-index:157696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646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" path="m,l440,,2850,,6463,e" filled="f" strokecolor="#231f20" strokeweight=".25pt">
                <v:path arrowok="t" o:connecttype="custom" o:connectlocs="0,0;279400,0;1809750,0;4104005,0" o:connectangles="0,0,0,0"/>
                <w10:wrap anchorx="page"/>
              </v:shape>
            </w:pict>
          </mc:Fallback>
        </mc:AlternateContent>
      </w:r>
      <w:r>
        <w:rPr>
          <w:rFonts w:ascii="Trebuchet MS"/>
          <w:color w:val="231F20"/>
          <w:w w:val="105"/>
          <w:sz w:val="14"/>
        </w:rPr>
        <w:t>modern</w:t>
      </w:r>
      <w:r>
        <w:rPr>
          <w:rFonts w:ascii="Trebuchet MS"/>
          <w:color w:val="231F20"/>
          <w:spacing w:val="8"/>
          <w:w w:val="105"/>
          <w:sz w:val="14"/>
        </w:rPr>
        <w:t xml:space="preserve"> </w:t>
      </w:r>
      <w:r>
        <w:rPr>
          <w:rFonts w:ascii="Trebuchet MS"/>
          <w:color w:val="231F20"/>
          <w:w w:val="105"/>
          <w:sz w:val="14"/>
        </w:rPr>
        <w:t>energy</w:t>
      </w:r>
      <w:r>
        <w:rPr>
          <w:rFonts w:ascii="Trebuchet MS"/>
          <w:color w:val="231F20"/>
          <w:spacing w:val="8"/>
          <w:w w:val="105"/>
          <w:sz w:val="14"/>
        </w:rPr>
        <w:t xml:space="preserve"> </w:t>
      </w:r>
      <w:r>
        <w:rPr>
          <w:rFonts w:ascii="Trebuchet MS"/>
          <w:color w:val="231F20"/>
          <w:w w:val="105"/>
          <w:sz w:val="14"/>
        </w:rPr>
        <w:t>for</w:t>
      </w:r>
      <w:r>
        <w:rPr>
          <w:rFonts w:ascii="Trebuchet MS"/>
          <w:color w:val="231F20"/>
          <w:spacing w:val="8"/>
          <w:w w:val="105"/>
          <w:sz w:val="14"/>
        </w:rPr>
        <w:t xml:space="preserve"> </w:t>
      </w:r>
      <w:r>
        <w:rPr>
          <w:rFonts w:ascii="Trebuchet MS"/>
          <w:color w:val="231F20"/>
          <w:spacing w:val="-5"/>
          <w:w w:val="105"/>
          <w:sz w:val="14"/>
        </w:rPr>
        <w:t>all</w:t>
      </w:r>
    </w:p>
    <w:p w14:paraId="54E629BC" w14:textId="77777777" w:rsidR="00AE0598" w:rsidRDefault="00AE0598">
      <w:pPr>
        <w:spacing w:line="161" w:lineRule="exact"/>
        <w:rPr>
          <w:rFonts w:ascii="Trebuchet MS"/>
          <w:sz w:val="14"/>
        </w:rPr>
        <w:sectPr w:rsidR="00AE0598">
          <w:pgSz w:w="8850" w:h="13270"/>
          <w:pgMar w:top="720" w:right="1060" w:bottom="280" w:left="1080" w:header="720" w:footer="720" w:gutter="0"/>
          <w:cols w:space="720"/>
        </w:sectPr>
      </w:pPr>
    </w:p>
    <w:p w14:paraId="1CDBEA8A" w14:textId="3303F8D3" w:rsidR="00AE0598" w:rsidRDefault="0069255A">
      <w:pPr>
        <w:pStyle w:val="PargrafodaLista"/>
        <w:numPr>
          <w:ilvl w:val="0"/>
          <w:numId w:val="14"/>
        </w:numPr>
        <w:tabs>
          <w:tab w:val="left" w:pos="549"/>
          <w:tab w:val="left" w:pos="550"/>
        </w:tabs>
        <w:spacing w:before="65" w:line="235" w:lineRule="auto"/>
        <w:ind w:right="38"/>
        <w:rPr>
          <w:sz w:val="14"/>
        </w:rPr>
      </w:pPr>
      <w:r>
        <w:rPr>
          <w:noProof/>
        </w:rPr>
        <mc:AlternateContent>
          <mc:Choice Requires="wps">
            <w:drawing>
              <wp:anchor distT="0" distB="0" distL="114300" distR="114300" simplePos="0" relativeHeight="15770112" behindDoc="0" locked="0" layoutInCell="1" allowOverlap="1" wp14:anchorId="4FBF91FE" wp14:editId="7B562630">
                <wp:simplePos x="0" y="0"/>
                <wp:positionH relativeFrom="page">
                  <wp:posOffset>755650</wp:posOffset>
                </wp:positionH>
                <wp:positionV relativeFrom="paragraph">
                  <wp:posOffset>262890</wp:posOffset>
                </wp:positionV>
                <wp:extent cx="4104005" cy="1270"/>
                <wp:effectExtent l="0" t="0" r="0" b="0"/>
                <wp:wrapNone/>
                <wp:docPr id="247" name="docshape1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104005" cy="1270"/>
                        </a:xfrm>
                        <a:custGeom>
                          <a:avLst/>
                          <a:gdLst>
                            <a:gd name="T0" fmla="+- 0 1190 1190"/>
                            <a:gd name="T1" fmla="*/ T0 w 6463"/>
                            <a:gd name="T2" fmla="+- 0 1630 1190"/>
                            <a:gd name="T3" fmla="*/ T2 w 6463"/>
                            <a:gd name="T4" fmla="+- 0 4040 1190"/>
                            <a:gd name="T5" fmla="*/ T4 w 6463"/>
                            <a:gd name="T6" fmla="+- 0 7653 1190"/>
                            <a:gd name="T7" fmla="*/ T6 w 6463"/>
                          </a:gdLst>
                          <a:ahLst/>
                          <a:cxnLst>
                            <a:cxn ang="0">
                              <a:pos x="T1" y="0"/>
                            </a:cxn>
                            <a:cxn ang="0">
                              <a:pos x="T3" y="0"/>
                            </a:cxn>
                            <a:cxn ang="0">
                              <a:pos x="T5" y="0"/>
                            </a:cxn>
                            <a:cxn ang="0">
                              <a:pos x="T7" y="0"/>
                            </a:cxn>
                          </a:cxnLst>
                          <a:rect l="0" t="0" r="r" b="b"/>
                          <a:pathLst>
                            <a:path w="6463">
                              <a:moveTo>
                                <a:pt x="0" y="0"/>
                              </a:moveTo>
                              <a:lnTo>
                                <a:pt x="440" y="0"/>
                              </a:lnTo>
                              <a:lnTo>
                                <a:pt x="2850" y="0"/>
                              </a:lnTo>
                              <a:lnTo>
                                <a:pt x="6463" y="0"/>
                              </a:lnTo>
                            </a:path>
                          </a:pathLst>
                        </a:custGeom>
                        <a:noFill/>
                        <a:ln w="3175">
                          <a:solidFill>
                            <a:srgbClr val="231F2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009210" id="docshape127" o:spid="_x0000_s1026" style="position:absolute;margin-left:59.5pt;margin-top:20.7pt;width:323.15pt;height:.1pt;z-index:157701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646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" path="m,l440,,2850,,6463,e" filled="f" strokecolor="#231f20" strokeweight=".25pt">
                <v:path arrowok="t" o:connecttype="custom" o:connectlocs="0,0;279400,0;1809750,0;4104005,0" o:connectangles="0,0,0,0"/>
                <w10:wrap anchorx="page"/>
              </v:shape>
            </w:pict>
          </mc:Fallback>
        </mc:AlternateContent>
      </w:r>
      <w:r>
        <w:rPr>
          <w:color w:val="231F20"/>
          <w:w w:val="105"/>
          <w:sz w:val="14"/>
        </w:rPr>
        <w:t xml:space="preserve">Decent work and economic </w:t>
      </w:r>
      <w:r>
        <w:rPr>
          <w:color w:val="231F20"/>
          <w:spacing w:val="-2"/>
          <w:w w:val="105"/>
          <w:sz w:val="14"/>
        </w:rPr>
        <w:t>growth</w:t>
      </w:r>
    </w:p>
    <w:p w14:paraId="3BC1706C" w14:textId="77777777" w:rsidR="00AE0598" w:rsidRDefault="0069255A">
      <w:pPr>
        <w:pStyle w:val="PargrafodaLista"/>
        <w:numPr>
          <w:ilvl w:val="0"/>
          <w:numId w:val="14"/>
        </w:numPr>
        <w:tabs>
          <w:tab w:val="left" w:pos="549"/>
          <w:tab w:val="left" w:pos="550"/>
        </w:tabs>
        <w:spacing w:before="66" w:line="235" w:lineRule="auto"/>
        <w:ind w:right="214"/>
        <w:rPr>
          <w:sz w:val="14"/>
        </w:rPr>
      </w:pPr>
      <w:r>
        <w:rPr>
          <w:color w:val="231F20"/>
          <w:w w:val="105"/>
          <w:sz w:val="14"/>
        </w:rPr>
        <w:t xml:space="preserve">Industry, innovation and </w:t>
      </w:r>
      <w:r>
        <w:rPr>
          <w:color w:val="231F20"/>
          <w:spacing w:val="-2"/>
          <w:w w:val="105"/>
          <w:sz w:val="14"/>
        </w:rPr>
        <w:t>infrastructure</w:t>
      </w:r>
    </w:p>
    <w:p w14:paraId="0702B33C" w14:textId="77777777" w:rsidR="00AE0598" w:rsidRDefault="0069255A">
      <w:pPr>
        <w:spacing w:before="65" w:line="235" w:lineRule="auto"/>
        <w:ind w:left="110"/>
        <w:rPr>
          <w:rFonts w:ascii="Trebuchet MS"/>
          <w:sz w:val="14"/>
        </w:rPr>
      </w:pPr>
      <w:r>
        <w:br w:type="column"/>
      </w:r>
      <w:r>
        <w:rPr>
          <w:rFonts w:ascii="Trebuchet MS"/>
          <w:color w:val="231F20"/>
          <w:w w:val="105"/>
          <w:sz w:val="14"/>
        </w:rPr>
        <w:t>Promote inclusive and sustainable economic growth, employment and decent work for all</w:t>
      </w:r>
    </w:p>
    <w:p w14:paraId="0DA2A9AA" w14:textId="77777777" w:rsidR="00AE0598" w:rsidRDefault="0069255A">
      <w:pPr>
        <w:spacing w:before="66" w:line="235" w:lineRule="auto"/>
        <w:ind w:left="110"/>
        <w:rPr>
          <w:rFonts w:ascii="Trebuchet MS"/>
          <w:sz w:val="14"/>
        </w:rPr>
      </w:pPr>
      <w:r>
        <w:rPr>
          <w:rFonts w:ascii="Trebuchet MS"/>
          <w:color w:val="231F20"/>
          <w:w w:val="105"/>
          <w:sz w:val="14"/>
        </w:rPr>
        <w:t>Build</w:t>
      </w:r>
      <w:r>
        <w:rPr>
          <w:rFonts w:ascii="Trebuchet MS"/>
          <w:color w:val="231F20"/>
          <w:spacing w:val="-1"/>
          <w:w w:val="105"/>
          <w:sz w:val="14"/>
        </w:rPr>
        <w:t xml:space="preserve"> </w:t>
      </w:r>
      <w:r>
        <w:rPr>
          <w:rFonts w:ascii="Trebuchet MS"/>
          <w:color w:val="231F20"/>
          <w:w w:val="105"/>
          <w:sz w:val="14"/>
        </w:rPr>
        <w:t>resilient</w:t>
      </w:r>
      <w:r>
        <w:rPr>
          <w:rFonts w:ascii="Trebuchet MS"/>
          <w:color w:val="231F20"/>
          <w:spacing w:val="-1"/>
          <w:w w:val="105"/>
          <w:sz w:val="14"/>
        </w:rPr>
        <w:t xml:space="preserve"> </w:t>
      </w:r>
      <w:r>
        <w:rPr>
          <w:rFonts w:ascii="Trebuchet MS"/>
          <w:color w:val="231F20"/>
          <w:w w:val="105"/>
          <w:sz w:val="14"/>
        </w:rPr>
        <w:t>infrastructure,</w:t>
      </w:r>
      <w:r>
        <w:rPr>
          <w:rFonts w:ascii="Trebuchet MS"/>
          <w:color w:val="231F20"/>
          <w:spacing w:val="-1"/>
          <w:w w:val="105"/>
          <w:sz w:val="14"/>
        </w:rPr>
        <w:t xml:space="preserve"> </w:t>
      </w:r>
      <w:r>
        <w:rPr>
          <w:rFonts w:ascii="Trebuchet MS"/>
          <w:color w:val="231F20"/>
          <w:w w:val="105"/>
          <w:sz w:val="14"/>
        </w:rPr>
        <w:t>promote</w:t>
      </w:r>
      <w:r>
        <w:rPr>
          <w:rFonts w:ascii="Trebuchet MS"/>
          <w:color w:val="231F20"/>
          <w:spacing w:val="-1"/>
          <w:w w:val="105"/>
          <w:sz w:val="14"/>
        </w:rPr>
        <w:t xml:space="preserve"> </w:t>
      </w:r>
      <w:r>
        <w:rPr>
          <w:rFonts w:ascii="Trebuchet MS"/>
          <w:color w:val="231F20"/>
          <w:w w:val="105"/>
          <w:sz w:val="14"/>
        </w:rPr>
        <w:t>sustainable industrialisation and foster innovation</w:t>
      </w:r>
    </w:p>
    <w:p w14:paraId="3453A052" w14:textId="77777777" w:rsidR="00AE0598" w:rsidRDefault="00AE0598">
      <w:pPr>
        <w:spacing w:line="235" w:lineRule="auto"/>
        <w:rPr>
          <w:rFonts w:ascii="Trebuchet MS"/>
          <w:sz w:val="14"/>
        </w:rPr>
        <w:sectPr w:rsidR="00AE0598">
          <w:type w:val="continuous"/>
          <w:pgSz w:w="8850" w:h="13270"/>
          <w:pgMar w:top="1080" w:right="1060" w:bottom="280" w:left="1080" w:header="720" w:footer="720" w:gutter="0"/>
          <w:cols w:num="2" w:space="720" w:equalWidth="0">
            <w:col w:w="2413" w:space="436"/>
            <w:col w:w="3861"/>
          </w:cols>
        </w:sectPr>
      </w:pPr>
    </w:p>
    <w:p w14:paraId="073A4129" w14:textId="77777777" w:rsidR="00AE0598" w:rsidRDefault="00AE0598">
      <w:pPr>
        <w:pStyle w:val="Corpodetexto"/>
        <w:spacing w:before="7"/>
        <w:rPr>
          <w:rFonts w:ascii="Trebuchet MS"/>
          <w:sz w:val="2"/>
        </w:rPr>
      </w:pPr>
    </w:p>
    <w:p w14:paraId="60E26D6D" w14:textId="5C32B905" w:rsidR="00AE0598" w:rsidRDefault="0069255A">
      <w:pPr>
        <w:pStyle w:val="Corpodetexto"/>
        <w:spacing w:line="20" w:lineRule="exact"/>
        <w:ind w:left="110"/>
        <w:rPr>
          <w:rFonts w:ascii="Trebuchet MS"/>
          <w:sz w:val="2"/>
        </w:rPr>
      </w:pPr>
      <w:r>
        <w:rPr>
          <w:rFonts w:ascii="Trebuchet MS"/>
          <w:noProof/>
          <w:sz w:val="2"/>
        </w:rPr>
        <mc:AlternateContent>
          <mc:Choice Requires="wpg">
            <w:drawing>
              <wp:inline distT="0" distB="0" distL="0" distR="0" wp14:anchorId="0350A4AE" wp14:editId="29E5491D">
                <wp:extent cx="4104005" cy="3175"/>
                <wp:effectExtent l="12700" t="11430" r="7620" b="4445"/>
                <wp:docPr id="245" name="docshapegroup1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04005" cy="3175"/>
                          <a:chOff x="0" y="0"/>
                          <a:chExt cx="6463" cy="5"/>
                        </a:xfrm>
                      </wpg:grpSpPr>
                      <wps:wsp>
                        <wps:cNvPr id="246" name="docshape129"/>
                        <wps:cNvSpPr>
                          <a:spLocks/>
                        </wps:cNvSpPr>
                        <wps:spPr bwMode="auto">
                          <a:xfrm>
                            <a:off x="0" y="2"/>
                            <a:ext cx="6463" cy="2"/>
                          </a:xfrm>
                          <a:custGeom>
                            <a:avLst/>
                            <a:gdLst>
                              <a:gd name="T0" fmla="*/ 0 w 6463"/>
                              <a:gd name="T1" fmla="*/ 439 w 6463"/>
                              <a:gd name="T2" fmla="*/ 2849 w 6463"/>
                              <a:gd name="T3" fmla="*/ 6463 w 6463"/>
                            </a:gdLst>
                            <a:ahLst/>
                            <a:cxnLst>
                              <a:cxn ang="0">
                                <a:pos x="T0" y="0"/>
                              </a:cxn>
                              <a:cxn ang="0">
                                <a:pos x="T1" y="0"/>
                              </a:cxn>
                              <a:cxn ang="0">
                                <a:pos x="T2" y="0"/>
                              </a:cxn>
                              <a:cxn ang="0">
                                <a:pos x="T3" y="0"/>
                              </a:cxn>
                            </a:cxnLst>
                            <a:rect l="0" t="0" r="r" b="b"/>
                            <a:pathLst>
                              <a:path w="6463">
                                <a:moveTo>
                                  <a:pt x="0" y="0"/>
                                </a:moveTo>
                                <a:lnTo>
                                  <a:pt x="439" y="0"/>
                                </a:lnTo>
                                <a:lnTo>
                                  <a:pt x="2849" y="0"/>
                                </a:lnTo>
                                <a:lnTo>
                                  <a:pt x="6463" y="0"/>
                                </a:lnTo>
                              </a:path>
                            </a:pathLst>
                          </a:custGeom>
                          <a:noFill/>
                          <a:ln w="3175">
                            <a:solidFill>
                              <a:srgbClr val="231F2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7DC5A0B9" id="docshapegroup128" o:spid="_x0000_s1026" style="width:323.15pt;height:.25pt;mso-position-horizontal-relative:char;mso-position-vertical-relative:line" coordsize="64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">
                <v:shape id="docshape129" o:spid="_x0000_s1027" style="position:absolute;top:2;width:6463;height:2;visibility:visible;mso-wrap-style:square;v-text-anchor:top" coordsize="64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" path="m,l439,,2849,,6463,e" filled="f" strokecolor="#231f20" strokeweight=".25pt">
                  <v:path arrowok="t" o:connecttype="custom" o:connectlocs="0,0;439,0;2849,0;6463,0" o:connectangles="0,0,0,0"/>
                </v:shape>
                <w10:anchorlock/>
              </v:group>
            </w:pict>
          </mc:Fallback>
        </mc:AlternateContent>
      </w:r>
    </w:p>
    <w:p w14:paraId="698CDCE4" w14:textId="185B34B1" w:rsidR="00AE0598" w:rsidRDefault="0069255A">
      <w:pPr>
        <w:pStyle w:val="PargrafodaLista"/>
        <w:numPr>
          <w:ilvl w:val="0"/>
          <w:numId w:val="14"/>
        </w:numPr>
        <w:tabs>
          <w:tab w:val="left" w:pos="550"/>
          <w:tab w:val="left" w:pos="2959"/>
        </w:tabs>
        <w:spacing w:before="14"/>
        <w:rPr>
          <w:sz w:val="14"/>
        </w:rPr>
      </w:pPr>
      <w:r>
        <w:rPr>
          <w:noProof/>
        </w:rPr>
        <mc:AlternateContent>
          <mc:Choice Requires="wps">
            <w:drawing>
              <wp:anchor distT="0" distB="0" distL="114300" distR="114300" simplePos="0" relativeHeight="15770624" behindDoc="0" locked="0" layoutInCell="1" allowOverlap="1" wp14:anchorId="371779DB" wp14:editId="6B182548">
                <wp:simplePos x="0" y="0"/>
                <wp:positionH relativeFrom="page">
                  <wp:posOffset>755650</wp:posOffset>
                </wp:positionH>
                <wp:positionV relativeFrom="paragraph">
                  <wp:posOffset>130175</wp:posOffset>
                </wp:positionV>
                <wp:extent cx="4104005" cy="1270"/>
                <wp:effectExtent l="0" t="0" r="0" b="0"/>
                <wp:wrapNone/>
                <wp:docPr id="244" name="docshape1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104005" cy="1270"/>
                        </a:xfrm>
                        <a:custGeom>
                          <a:avLst/>
                          <a:gdLst>
                            <a:gd name="T0" fmla="+- 0 1190 1190"/>
                            <a:gd name="T1" fmla="*/ T0 w 6463"/>
                            <a:gd name="T2" fmla="+- 0 1630 1190"/>
                            <a:gd name="T3" fmla="*/ T2 w 6463"/>
                            <a:gd name="T4" fmla="+- 0 4040 1190"/>
                            <a:gd name="T5" fmla="*/ T4 w 6463"/>
                            <a:gd name="T6" fmla="+- 0 7653 1190"/>
                            <a:gd name="T7" fmla="*/ T6 w 6463"/>
                          </a:gdLst>
                          <a:ahLst/>
                          <a:cxnLst>
                            <a:cxn ang="0">
                              <a:pos x="T1" y="0"/>
                            </a:cxn>
                            <a:cxn ang="0">
                              <a:pos x="T3" y="0"/>
                            </a:cxn>
                            <a:cxn ang="0">
                              <a:pos x="T5" y="0"/>
                            </a:cxn>
                            <a:cxn ang="0">
                              <a:pos x="T7" y="0"/>
                            </a:cxn>
                          </a:cxnLst>
                          <a:rect l="0" t="0" r="r" b="b"/>
                          <a:pathLst>
                            <a:path w="6463">
                              <a:moveTo>
                                <a:pt x="0" y="0"/>
                              </a:moveTo>
                              <a:lnTo>
                                <a:pt x="440" y="0"/>
                              </a:lnTo>
                              <a:lnTo>
                                <a:pt x="2850" y="0"/>
                              </a:lnTo>
                              <a:lnTo>
                                <a:pt x="6463" y="0"/>
                              </a:lnTo>
                            </a:path>
                          </a:pathLst>
                        </a:custGeom>
                        <a:noFill/>
                        <a:ln w="3175">
                          <a:solidFill>
                            <a:srgbClr val="231F2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2ACE12" id="docshape130" o:spid="_x0000_s1026" style="position:absolute;margin-left:59.5pt;margin-top:10.25pt;width:323.15pt;height:.1pt;z-index:157706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646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" path="m,l440,,2850,,6463,e" filled="f" strokecolor="#231f20" strokeweight=".25pt">
                <v:path arrowok="t" o:connecttype="custom" o:connectlocs="0,0;279400,0;1809750,0;4104005,0" o:connectangles="0,0,0,0"/>
                <w10:wrap anchorx="page"/>
              </v:shape>
            </w:pict>
          </mc:Fallback>
        </mc:AlternateContent>
      </w:r>
      <w:r>
        <w:rPr>
          <w:color w:val="231F20"/>
          <w:sz w:val="14"/>
        </w:rPr>
        <w:t>Reduced</w:t>
      </w:r>
      <w:r>
        <w:rPr>
          <w:color w:val="231F20"/>
          <w:spacing w:val="28"/>
          <w:sz w:val="14"/>
        </w:rPr>
        <w:t xml:space="preserve"> </w:t>
      </w:r>
      <w:r>
        <w:rPr>
          <w:color w:val="231F20"/>
          <w:spacing w:val="-2"/>
          <w:sz w:val="14"/>
        </w:rPr>
        <w:t>inequalities</w:t>
      </w:r>
      <w:r>
        <w:rPr>
          <w:color w:val="231F20"/>
          <w:sz w:val="14"/>
        </w:rPr>
        <w:tab/>
      </w:r>
      <w:r>
        <w:rPr>
          <w:color w:val="231F20"/>
          <w:w w:val="105"/>
          <w:sz w:val="14"/>
        </w:rPr>
        <w:t>Reduce</w:t>
      </w:r>
      <w:r>
        <w:rPr>
          <w:color w:val="231F20"/>
          <w:spacing w:val="7"/>
          <w:w w:val="105"/>
          <w:sz w:val="14"/>
        </w:rPr>
        <w:t xml:space="preserve"> </w:t>
      </w:r>
      <w:r>
        <w:rPr>
          <w:color w:val="231F20"/>
          <w:w w:val="105"/>
          <w:sz w:val="14"/>
        </w:rPr>
        <w:t>inequality</w:t>
      </w:r>
      <w:r>
        <w:rPr>
          <w:color w:val="231F20"/>
          <w:spacing w:val="7"/>
          <w:w w:val="105"/>
          <w:sz w:val="14"/>
        </w:rPr>
        <w:t xml:space="preserve"> </w:t>
      </w:r>
      <w:r>
        <w:rPr>
          <w:color w:val="231F20"/>
          <w:w w:val="105"/>
          <w:sz w:val="14"/>
        </w:rPr>
        <w:t>within</w:t>
      </w:r>
      <w:r>
        <w:rPr>
          <w:color w:val="231F20"/>
          <w:spacing w:val="7"/>
          <w:w w:val="105"/>
          <w:sz w:val="14"/>
        </w:rPr>
        <w:t xml:space="preserve"> </w:t>
      </w:r>
      <w:r>
        <w:rPr>
          <w:color w:val="231F20"/>
          <w:w w:val="105"/>
          <w:sz w:val="14"/>
        </w:rPr>
        <w:t>and</w:t>
      </w:r>
      <w:r>
        <w:rPr>
          <w:color w:val="231F20"/>
          <w:spacing w:val="7"/>
          <w:w w:val="105"/>
          <w:sz w:val="14"/>
        </w:rPr>
        <w:t xml:space="preserve"> </w:t>
      </w:r>
      <w:r>
        <w:rPr>
          <w:color w:val="231F20"/>
          <w:w w:val="105"/>
          <w:sz w:val="14"/>
        </w:rPr>
        <w:t>among</w:t>
      </w:r>
      <w:r>
        <w:rPr>
          <w:color w:val="231F20"/>
          <w:spacing w:val="7"/>
          <w:w w:val="105"/>
          <w:sz w:val="14"/>
        </w:rPr>
        <w:t xml:space="preserve"> </w:t>
      </w:r>
      <w:r>
        <w:rPr>
          <w:color w:val="231F20"/>
          <w:spacing w:val="-2"/>
          <w:w w:val="105"/>
          <w:sz w:val="14"/>
        </w:rPr>
        <w:t>countries</w:t>
      </w:r>
    </w:p>
    <w:p w14:paraId="5C02FF0D" w14:textId="77777777" w:rsidR="00AE0598" w:rsidRDefault="00AE0598">
      <w:pPr>
        <w:rPr>
          <w:sz w:val="14"/>
        </w:rPr>
        <w:sectPr w:rsidR="00AE0598">
          <w:type w:val="continuous"/>
          <w:pgSz w:w="8850" w:h="13270"/>
          <w:pgMar w:top="1080" w:right="1060" w:bottom="280" w:left="1080" w:header="720" w:footer="720" w:gutter="0"/>
          <w:cols w:space="720"/>
        </w:sectPr>
      </w:pPr>
    </w:p>
    <w:p w14:paraId="79FF88F6" w14:textId="00F85A81" w:rsidR="00AE0598" w:rsidRDefault="0069255A">
      <w:pPr>
        <w:pStyle w:val="PargrafodaLista"/>
        <w:numPr>
          <w:ilvl w:val="0"/>
          <w:numId w:val="14"/>
        </w:numPr>
        <w:tabs>
          <w:tab w:val="left" w:pos="549"/>
          <w:tab w:val="left" w:pos="550"/>
        </w:tabs>
        <w:spacing w:before="65" w:line="235" w:lineRule="auto"/>
        <w:ind w:right="594"/>
        <w:rPr>
          <w:sz w:val="14"/>
        </w:rPr>
      </w:pPr>
      <w:r>
        <w:rPr>
          <w:noProof/>
        </w:rPr>
        <mc:AlternateContent>
          <mc:Choice Requires="wps">
            <w:drawing>
              <wp:anchor distT="0" distB="0" distL="114300" distR="114300" simplePos="0" relativeHeight="15771136" behindDoc="0" locked="0" layoutInCell="1" allowOverlap="1" wp14:anchorId="1AAAA2DF" wp14:editId="4A2823F5">
                <wp:simplePos x="0" y="0"/>
                <wp:positionH relativeFrom="page">
                  <wp:posOffset>755650</wp:posOffset>
                </wp:positionH>
                <wp:positionV relativeFrom="paragraph">
                  <wp:posOffset>262890</wp:posOffset>
                </wp:positionV>
                <wp:extent cx="4104005" cy="1270"/>
                <wp:effectExtent l="0" t="0" r="0" b="0"/>
                <wp:wrapNone/>
                <wp:docPr id="243" name="docshape1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104005" cy="1270"/>
                        </a:xfrm>
                        <a:custGeom>
                          <a:avLst/>
                          <a:gdLst>
                            <a:gd name="T0" fmla="+- 0 1190 1190"/>
                            <a:gd name="T1" fmla="*/ T0 w 6463"/>
                            <a:gd name="T2" fmla="+- 0 1630 1190"/>
                            <a:gd name="T3" fmla="*/ T2 w 6463"/>
                            <a:gd name="T4" fmla="+- 0 4040 1190"/>
                            <a:gd name="T5" fmla="*/ T4 w 6463"/>
                            <a:gd name="T6" fmla="+- 0 7653 1190"/>
                            <a:gd name="T7" fmla="*/ T6 w 6463"/>
                          </a:gdLst>
                          <a:ahLst/>
                          <a:cxnLst>
                            <a:cxn ang="0">
                              <a:pos x="T1" y="0"/>
                            </a:cxn>
                            <a:cxn ang="0">
                              <a:pos x="T3" y="0"/>
                            </a:cxn>
                            <a:cxn ang="0">
                              <a:pos x="T5" y="0"/>
                            </a:cxn>
                            <a:cxn ang="0">
                              <a:pos x="T7" y="0"/>
                            </a:cxn>
                          </a:cxnLst>
                          <a:rect l="0" t="0" r="r" b="b"/>
                          <a:pathLst>
                            <a:path w="6463">
                              <a:moveTo>
                                <a:pt x="0" y="0"/>
                              </a:moveTo>
                              <a:lnTo>
                                <a:pt x="440" y="0"/>
                              </a:lnTo>
                              <a:lnTo>
                                <a:pt x="2850" y="0"/>
                              </a:lnTo>
                              <a:lnTo>
                                <a:pt x="6463" y="0"/>
                              </a:lnTo>
                            </a:path>
                          </a:pathLst>
                        </a:custGeom>
                        <a:noFill/>
                        <a:ln w="3175">
                          <a:solidFill>
                            <a:srgbClr val="231F2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A0F2D5" id="docshape131" o:spid="_x0000_s1026" style="position:absolute;margin-left:59.5pt;margin-top:20.7pt;width:323.15pt;height:.1pt;z-index:157711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646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" path="m,l440,,2850,,6463,e" filled="f" strokecolor="#231f20" strokeweight=".25pt">
                <v:path arrowok="t" o:connecttype="custom" o:connectlocs="0,0;279400,0;1809750,0;4104005,0" o:connectangles="0,0,0,0"/>
                <w10:wrap anchorx="page"/>
              </v:shape>
            </w:pict>
          </mc:Fallback>
        </mc:AlternateContent>
      </w:r>
      <w:r>
        <w:rPr>
          <w:color w:val="231F20"/>
          <w:w w:val="105"/>
          <w:sz w:val="14"/>
        </w:rPr>
        <w:t>Sustainable</w:t>
      </w:r>
      <w:r>
        <w:rPr>
          <w:color w:val="231F20"/>
          <w:spacing w:val="-12"/>
          <w:w w:val="105"/>
          <w:sz w:val="14"/>
        </w:rPr>
        <w:t xml:space="preserve"> </w:t>
      </w:r>
      <w:r>
        <w:rPr>
          <w:color w:val="231F20"/>
          <w:w w:val="105"/>
          <w:sz w:val="14"/>
        </w:rPr>
        <w:t>cities</w:t>
      </w:r>
      <w:r>
        <w:rPr>
          <w:color w:val="231F20"/>
          <w:spacing w:val="-11"/>
          <w:w w:val="105"/>
          <w:sz w:val="14"/>
        </w:rPr>
        <w:t xml:space="preserve"> </w:t>
      </w:r>
      <w:r>
        <w:rPr>
          <w:color w:val="231F20"/>
          <w:w w:val="105"/>
          <w:sz w:val="14"/>
        </w:rPr>
        <w:t xml:space="preserve">and </w:t>
      </w:r>
      <w:r>
        <w:rPr>
          <w:color w:val="231F20"/>
          <w:spacing w:val="-2"/>
          <w:w w:val="105"/>
          <w:sz w:val="14"/>
        </w:rPr>
        <w:t>communities</w:t>
      </w:r>
    </w:p>
    <w:p w14:paraId="5B362D24" w14:textId="77777777" w:rsidR="00AE0598" w:rsidRDefault="0069255A">
      <w:pPr>
        <w:pStyle w:val="PargrafodaLista"/>
        <w:numPr>
          <w:ilvl w:val="0"/>
          <w:numId w:val="14"/>
        </w:numPr>
        <w:tabs>
          <w:tab w:val="left" w:pos="550"/>
        </w:tabs>
        <w:spacing w:before="66" w:line="235" w:lineRule="auto"/>
        <w:ind w:right="38"/>
        <w:rPr>
          <w:sz w:val="14"/>
        </w:rPr>
      </w:pPr>
      <w:r>
        <w:rPr>
          <w:color w:val="231F20"/>
          <w:w w:val="105"/>
          <w:sz w:val="14"/>
        </w:rPr>
        <w:t xml:space="preserve">Responsible consumption and </w:t>
      </w:r>
      <w:r>
        <w:rPr>
          <w:color w:val="231F20"/>
          <w:spacing w:val="-2"/>
          <w:w w:val="105"/>
          <w:sz w:val="14"/>
        </w:rPr>
        <w:t>production</w:t>
      </w:r>
    </w:p>
    <w:p w14:paraId="486EADF2" w14:textId="77777777" w:rsidR="00AE0598" w:rsidRDefault="0069255A">
      <w:pPr>
        <w:spacing w:before="62"/>
        <w:ind w:left="110"/>
        <w:rPr>
          <w:rFonts w:ascii="Trebuchet MS"/>
          <w:sz w:val="14"/>
        </w:rPr>
      </w:pPr>
      <w:r>
        <w:br w:type="column"/>
      </w:r>
      <w:r>
        <w:rPr>
          <w:rFonts w:ascii="Trebuchet MS"/>
          <w:color w:val="231F20"/>
          <w:sz w:val="14"/>
        </w:rPr>
        <w:t>Make</w:t>
      </w:r>
      <w:r>
        <w:rPr>
          <w:rFonts w:ascii="Trebuchet MS"/>
          <w:color w:val="231F20"/>
          <w:spacing w:val="10"/>
          <w:sz w:val="14"/>
        </w:rPr>
        <w:t xml:space="preserve"> </w:t>
      </w:r>
      <w:r>
        <w:rPr>
          <w:rFonts w:ascii="Trebuchet MS"/>
          <w:color w:val="231F20"/>
          <w:sz w:val="14"/>
        </w:rPr>
        <w:t>cities</w:t>
      </w:r>
      <w:r>
        <w:rPr>
          <w:rFonts w:ascii="Trebuchet MS"/>
          <w:color w:val="231F20"/>
          <w:spacing w:val="10"/>
          <w:sz w:val="14"/>
        </w:rPr>
        <w:t xml:space="preserve"> </w:t>
      </w:r>
      <w:r>
        <w:rPr>
          <w:rFonts w:ascii="Trebuchet MS"/>
          <w:color w:val="231F20"/>
          <w:sz w:val="14"/>
        </w:rPr>
        <w:t>inclusive,</w:t>
      </w:r>
      <w:r>
        <w:rPr>
          <w:rFonts w:ascii="Trebuchet MS"/>
          <w:color w:val="231F20"/>
          <w:spacing w:val="10"/>
          <w:sz w:val="14"/>
        </w:rPr>
        <w:t xml:space="preserve"> </w:t>
      </w:r>
      <w:r>
        <w:rPr>
          <w:rFonts w:ascii="Trebuchet MS"/>
          <w:color w:val="231F20"/>
          <w:sz w:val="14"/>
        </w:rPr>
        <w:t>safe,</w:t>
      </w:r>
      <w:r>
        <w:rPr>
          <w:rFonts w:ascii="Trebuchet MS"/>
          <w:color w:val="231F20"/>
          <w:spacing w:val="10"/>
          <w:sz w:val="14"/>
        </w:rPr>
        <w:t xml:space="preserve"> </w:t>
      </w:r>
      <w:r>
        <w:rPr>
          <w:rFonts w:ascii="Trebuchet MS"/>
          <w:color w:val="231F20"/>
          <w:sz w:val="14"/>
        </w:rPr>
        <w:t>resilient</w:t>
      </w:r>
      <w:r>
        <w:rPr>
          <w:rFonts w:ascii="Trebuchet MS"/>
          <w:color w:val="231F20"/>
          <w:spacing w:val="10"/>
          <w:sz w:val="14"/>
        </w:rPr>
        <w:t xml:space="preserve"> </w:t>
      </w:r>
      <w:r>
        <w:rPr>
          <w:rFonts w:ascii="Trebuchet MS"/>
          <w:color w:val="231F20"/>
          <w:sz w:val="14"/>
        </w:rPr>
        <w:t>and</w:t>
      </w:r>
      <w:r>
        <w:rPr>
          <w:rFonts w:ascii="Trebuchet MS"/>
          <w:color w:val="231F20"/>
          <w:spacing w:val="10"/>
          <w:sz w:val="14"/>
        </w:rPr>
        <w:t xml:space="preserve"> </w:t>
      </w:r>
      <w:r>
        <w:rPr>
          <w:rFonts w:ascii="Trebuchet MS"/>
          <w:color w:val="231F20"/>
          <w:spacing w:val="-2"/>
          <w:sz w:val="14"/>
        </w:rPr>
        <w:t>sustainable</w:t>
      </w:r>
    </w:p>
    <w:p w14:paraId="5913FE05" w14:textId="77777777" w:rsidR="00AE0598" w:rsidRDefault="00AE0598">
      <w:pPr>
        <w:pStyle w:val="Corpodetexto"/>
        <w:spacing w:before="4"/>
        <w:rPr>
          <w:rFonts w:ascii="Trebuchet MS"/>
          <w:sz w:val="19"/>
        </w:rPr>
      </w:pPr>
    </w:p>
    <w:p w14:paraId="6F04EF3D" w14:textId="77777777" w:rsidR="00AE0598" w:rsidRDefault="0069255A">
      <w:pPr>
        <w:spacing w:before="1" w:line="235" w:lineRule="auto"/>
        <w:ind w:left="110" w:right="93"/>
        <w:rPr>
          <w:rFonts w:ascii="Trebuchet MS"/>
          <w:sz w:val="14"/>
        </w:rPr>
      </w:pPr>
      <w:r>
        <w:rPr>
          <w:rFonts w:ascii="Trebuchet MS"/>
          <w:color w:val="231F20"/>
          <w:w w:val="105"/>
          <w:sz w:val="14"/>
        </w:rPr>
        <w:t xml:space="preserve">Ensure sustainable consumption and production </w:t>
      </w:r>
      <w:r>
        <w:rPr>
          <w:rFonts w:ascii="Trebuchet MS"/>
          <w:color w:val="231F20"/>
          <w:spacing w:val="-2"/>
          <w:w w:val="105"/>
          <w:sz w:val="14"/>
        </w:rPr>
        <w:t>patterns</w:t>
      </w:r>
    </w:p>
    <w:p w14:paraId="2B5AE6CE" w14:textId="77777777" w:rsidR="00AE0598" w:rsidRDefault="00AE0598">
      <w:pPr>
        <w:spacing w:line="235" w:lineRule="auto"/>
        <w:rPr>
          <w:rFonts w:ascii="Trebuchet MS"/>
          <w:sz w:val="14"/>
        </w:rPr>
        <w:sectPr w:rsidR="00AE0598">
          <w:type w:val="continuous"/>
          <w:pgSz w:w="8850" w:h="13270"/>
          <w:pgMar w:top="1080" w:right="1060" w:bottom="280" w:left="1080" w:header="720" w:footer="720" w:gutter="0"/>
          <w:cols w:num="2" w:space="720" w:equalWidth="0">
            <w:col w:w="2590" w:space="260"/>
            <w:col w:w="3860"/>
          </w:cols>
        </w:sectPr>
      </w:pPr>
    </w:p>
    <w:p w14:paraId="59553930" w14:textId="77777777" w:rsidR="00AE0598" w:rsidRDefault="00AE0598">
      <w:pPr>
        <w:pStyle w:val="Corpodetexto"/>
        <w:spacing w:before="6"/>
        <w:rPr>
          <w:rFonts w:ascii="Trebuchet MS"/>
          <w:sz w:val="2"/>
        </w:rPr>
      </w:pPr>
    </w:p>
    <w:p w14:paraId="357FC3CD" w14:textId="7553A196" w:rsidR="00AE0598" w:rsidRDefault="0069255A">
      <w:pPr>
        <w:pStyle w:val="Corpodetexto"/>
        <w:spacing w:line="20" w:lineRule="exact"/>
        <w:ind w:left="110"/>
        <w:rPr>
          <w:rFonts w:ascii="Trebuchet MS"/>
          <w:sz w:val="2"/>
        </w:rPr>
      </w:pPr>
      <w:r>
        <w:rPr>
          <w:rFonts w:ascii="Trebuchet MS"/>
          <w:noProof/>
          <w:sz w:val="2"/>
        </w:rPr>
        <mc:AlternateContent>
          <mc:Choice Requires="wpg">
            <w:drawing>
              <wp:inline distT="0" distB="0" distL="0" distR="0" wp14:anchorId="1F371676" wp14:editId="248AA11D">
                <wp:extent cx="4104005" cy="3175"/>
                <wp:effectExtent l="12700" t="4445" r="7620" b="11430"/>
                <wp:docPr id="241" name="docshapegroup1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04005" cy="3175"/>
                          <a:chOff x="0" y="0"/>
                          <a:chExt cx="6463" cy="5"/>
                        </a:xfrm>
                      </wpg:grpSpPr>
                      <wps:wsp>
                        <wps:cNvPr id="242" name="docshape133"/>
                        <wps:cNvSpPr>
                          <a:spLocks/>
                        </wps:cNvSpPr>
                        <wps:spPr bwMode="auto">
                          <a:xfrm>
                            <a:off x="0" y="2"/>
                            <a:ext cx="6463" cy="2"/>
                          </a:xfrm>
                          <a:custGeom>
                            <a:avLst/>
                            <a:gdLst>
                              <a:gd name="T0" fmla="*/ 0 w 6463"/>
                              <a:gd name="T1" fmla="*/ 439 w 6463"/>
                              <a:gd name="T2" fmla="*/ 2849 w 6463"/>
                              <a:gd name="T3" fmla="*/ 6463 w 6463"/>
                            </a:gdLst>
                            <a:ahLst/>
                            <a:cxnLst>
                              <a:cxn ang="0">
                                <a:pos x="T0" y="0"/>
                              </a:cxn>
                              <a:cxn ang="0">
                                <a:pos x="T1" y="0"/>
                              </a:cxn>
                              <a:cxn ang="0">
                                <a:pos x="T2" y="0"/>
                              </a:cxn>
                              <a:cxn ang="0">
                                <a:pos x="T3" y="0"/>
                              </a:cxn>
                            </a:cxnLst>
                            <a:rect l="0" t="0" r="r" b="b"/>
                            <a:pathLst>
                              <a:path w="6463">
                                <a:moveTo>
                                  <a:pt x="0" y="0"/>
                                </a:moveTo>
                                <a:lnTo>
                                  <a:pt x="439" y="0"/>
                                </a:lnTo>
                                <a:lnTo>
                                  <a:pt x="2849" y="0"/>
                                </a:lnTo>
                                <a:lnTo>
                                  <a:pt x="6463" y="0"/>
                                </a:lnTo>
                              </a:path>
                            </a:pathLst>
                          </a:custGeom>
                          <a:noFill/>
                          <a:ln w="3175">
                            <a:solidFill>
                              <a:srgbClr val="231F2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3C1772A9" id="docshapegroup132" o:spid="_x0000_s1026" style="width:323.15pt;height:.25pt;mso-position-horizontal-relative:char;mso-position-vertical-relative:line" coordsize="64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">
                <v:shape id="docshape133" o:spid="_x0000_s1027" style="position:absolute;top:2;width:6463;height:2;visibility:visible;mso-wrap-style:square;v-text-anchor:top" coordsize="64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" path="m,l439,,2849,,6463,e" filled="f" strokecolor="#231f20" strokeweight=".25pt">
                  <v:path arrowok="t" o:connecttype="custom" o:connectlocs="0,0;439,0;2849,0;6463,0" o:connectangles="0,0,0,0"/>
                </v:shape>
                <w10:anchorlock/>
              </v:group>
            </w:pict>
          </mc:Fallback>
        </mc:AlternateContent>
      </w:r>
    </w:p>
    <w:p w14:paraId="01874F64" w14:textId="33D4447C" w:rsidR="00AE0598" w:rsidRDefault="0069255A">
      <w:pPr>
        <w:pStyle w:val="PargrafodaLista"/>
        <w:numPr>
          <w:ilvl w:val="0"/>
          <w:numId w:val="14"/>
        </w:numPr>
        <w:tabs>
          <w:tab w:val="left" w:pos="550"/>
          <w:tab w:val="left" w:pos="2959"/>
        </w:tabs>
        <w:spacing w:before="17" w:line="235" w:lineRule="auto"/>
        <w:ind w:left="2959" w:right="228" w:hanging="2850"/>
        <w:rPr>
          <w:sz w:val="14"/>
        </w:rPr>
      </w:pPr>
      <w:r>
        <w:rPr>
          <w:noProof/>
        </w:rPr>
        <mc:AlternateContent>
          <mc:Choice Requires="wps">
            <w:drawing>
              <wp:anchor distT="0" distB="0" distL="0" distR="0" simplePos="0" relativeHeight="487626752" behindDoc="1" locked="0" layoutInCell="1" allowOverlap="1" wp14:anchorId="11BA6449" wp14:editId="5E13ACAD">
                <wp:simplePos x="0" y="0"/>
                <wp:positionH relativeFrom="page">
                  <wp:posOffset>755650</wp:posOffset>
                </wp:positionH>
                <wp:positionV relativeFrom="paragraph">
                  <wp:posOffset>232410</wp:posOffset>
                </wp:positionV>
                <wp:extent cx="4104005" cy="1270"/>
                <wp:effectExtent l="0" t="0" r="0" b="0"/>
                <wp:wrapTopAndBottom/>
                <wp:docPr id="240" name="docshape1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104005" cy="1270"/>
                        </a:xfrm>
                        <a:custGeom>
                          <a:avLst/>
                          <a:gdLst>
                            <a:gd name="T0" fmla="+- 0 1190 1190"/>
                            <a:gd name="T1" fmla="*/ T0 w 6463"/>
                            <a:gd name="T2" fmla="+- 0 1630 1190"/>
                            <a:gd name="T3" fmla="*/ T2 w 6463"/>
                            <a:gd name="T4" fmla="+- 0 4040 1190"/>
                            <a:gd name="T5" fmla="*/ T4 w 6463"/>
                            <a:gd name="T6" fmla="+- 0 7653 1190"/>
                            <a:gd name="T7" fmla="*/ T6 w 6463"/>
                          </a:gdLst>
                          <a:ahLst/>
                          <a:cxnLst>
                            <a:cxn ang="0">
                              <a:pos x="T1" y="0"/>
                            </a:cxn>
                            <a:cxn ang="0">
                              <a:pos x="T3" y="0"/>
                            </a:cxn>
                            <a:cxn ang="0">
                              <a:pos x="T5" y="0"/>
                            </a:cxn>
                            <a:cxn ang="0">
                              <a:pos x="T7" y="0"/>
                            </a:cxn>
                          </a:cxnLst>
                          <a:rect l="0" t="0" r="r" b="b"/>
                          <a:pathLst>
                            <a:path w="6463">
                              <a:moveTo>
                                <a:pt x="0" y="0"/>
                              </a:moveTo>
                              <a:lnTo>
                                <a:pt x="440" y="0"/>
                              </a:lnTo>
                              <a:lnTo>
                                <a:pt x="2850" y="0"/>
                              </a:lnTo>
                              <a:lnTo>
                                <a:pt x="6463" y="0"/>
                              </a:lnTo>
                            </a:path>
                          </a:pathLst>
                        </a:custGeom>
                        <a:noFill/>
                        <a:ln w="3175">
                          <a:solidFill>
                            <a:srgbClr val="231F2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D0C68B" id="docshape134" o:spid="_x0000_s1026" style="position:absolute;margin-left:59.5pt;margin-top:18.3pt;width:323.15pt;height:.1pt;z-index:-156897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46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" path="m,l440,,2850,,6463,e" filled="f" strokecolor="#231f20" strokeweight=".25pt">
                <v:path arrowok="t" o:connecttype="custom" o:connectlocs="0,0;279400,0;1809750,0;4104005,0" o:connectangles="0,0,0,0"/>
                <w10:wrap type="topAndBottom" anchorx="page"/>
              </v:shape>
            </w:pict>
          </mc:Fallback>
        </mc:AlternateContent>
      </w:r>
      <w:r>
        <w:rPr>
          <w:color w:val="231F20"/>
          <w:w w:val="105"/>
          <w:sz w:val="14"/>
        </w:rPr>
        <w:t>Climate</w:t>
      </w:r>
      <w:r>
        <w:rPr>
          <w:color w:val="231F20"/>
          <w:spacing w:val="-9"/>
          <w:w w:val="105"/>
          <w:sz w:val="14"/>
        </w:rPr>
        <w:t xml:space="preserve"> </w:t>
      </w:r>
      <w:r>
        <w:rPr>
          <w:color w:val="231F20"/>
          <w:w w:val="105"/>
          <w:sz w:val="14"/>
        </w:rPr>
        <w:t>action</w:t>
      </w:r>
      <w:r>
        <w:rPr>
          <w:color w:val="231F20"/>
          <w:sz w:val="14"/>
        </w:rPr>
        <w:tab/>
      </w:r>
      <w:r>
        <w:rPr>
          <w:color w:val="231F20"/>
          <w:w w:val="105"/>
          <w:sz w:val="14"/>
        </w:rPr>
        <w:t>Take</w:t>
      </w:r>
      <w:r>
        <w:rPr>
          <w:color w:val="231F20"/>
          <w:spacing w:val="-2"/>
          <w:w w:val="105"/>
          <w:sz w:val="14"/>
        </w:rPr>
        <w:t xml:space="preserve"> </w:t>
      </w:r>
      <w:r>
        <w:rPr>
          <w:color w:val="231F20"/>
          <w:w w:val="105"/>
          <w:sz w:val="14"/>
        </w:rPr>
        <w:t>urgent</w:t>
      </w:r>
      <w:r>
        <w:rPr>
          <w:color w:val="231F20"/>
          <w:spacing w:val="-2"/>
          <w:w w:val="105"/>
          <w:sz w:val="14"/>
        </w:rPr>
        <w:t xml:space="preserve"> </w:t>
      </w:r>
      <w:r>
        <w:rPr>
          <w:color w:val="231F20"/>
          <w:w w:val="105"/>
          <w:sz w:val="14"/>
        </w:rPr>
        <w:t>action</w:t>
      </w:r>
      <w:r>
        <w:rPr>
          <w:color w:val="231F20"/>
          <w:spacing w:val="-2"/>
          <w:w w:val="105"/>
          <w:sz w:val="14"/>
        </w:rPr>
        <w:t xml:space="preserve"> </w:t>
      </w:r>
      <w:r>
        <w:rPr>
          <w:color w:val="231F20"/>
          <w:w w:val="105"/>
          <w:sz w:val="14"/>
        </w:rPr>
        <w:t>to</w:t>
      </w:r>
      <w:r>
        <w:rPr>
          <w:color w:val="231F20"/>
          <w:spacing w:val="-2"/>
          <w:w w:val="105"/>
          <w:sz w:val="14"/>
        </w:rPr>
        <w:t xml:space="preserve"> </w:t>
      </w:r>
      <w:r>
        <w:rPr>
          <w:color w:val="231F20"/>
          <w:w w:val="105"/>
          <w:sz w:val="14"/>
        </w:rPr>
        <w:t>combat</w:t>
      </w:r>
      <w:r>
        <w:rPr>
          <w:color w:val="231F20"/>
          <w:spacing w:val="-2"/>
          <w:w w:val="105"/>
          <w:sz w:val="14"/>
        </w:rPr>
        <w:t xml:space="preserve"> </w:t>
      </w:r>
      <w:r>
        <w:rPr>
          <w:color w:val="231F20"/>
          <w:w w:val="105"/>
          <w:sz w:val="14"/>
        </w:rPr>
        <w:t>climate</w:t>
      </w:r>
      <w:r>
        <w:rPr>
          <w:color w:val="231F20"/>
          <w:spacing w:val="-2"/>
          <w:w w:val="105"/>
          <w:sz w:val="14"/>
        </w:rPr>
        <w:t xml:space="preserve"> </w:t>
      </w:r>
      <w:r>
        <w:rPr>
          <w:color w:val="231F20"/>
          <w:w w:val="105"/>
          <w:sz w:val="14"/>
        </w:rPr>
        <w:t>change</w:t>
      </w:r>
      <w:r>
        <w:rPr>
          <w:color w:val="231F20"/>
          <w:spacing w:val="-2"/>
          <w:w w:val="105"/>
          <w:sz w:val="14"/>
        </w:rPr>
        <w:t xml:space="preserve"> </w:t>
      </w:r>
      <w:r>
        <w:rPr>
          <w:color w:val="231F20"/>
          <w:w w:val="105"/>
          <w:sz w:val="14"/>
        </w:rPr>
        <w:t>and</w:t>
      </w:r>
      <w:r>
        <w:rPr>
          <w:color w:val="231F20"/>
          <w:spacing w:val="-2"/>
          <w:w w:val="105"/>
          <w:sz w:val="14"/>
        </w:rPr>
        <w:t xml:space="preserve"> </w:t>
      </w:r>
      <w:r>
        <w:rPr>
          <w:color w:val="231F20"/>
          <w:w w:val="105"/>
          <w:sz w:val="14"/>
        </w:rPr>
        <w:t xml:space="preserve">its </w:t>
      </w:r>
      <w:r>
        <w:rPr>
          <w:color w:val="231F20"/>
          <w:spacing w:val="-2"/>
          <w:w w:val="105"/>
          <w:sz w:val="14"/>
        </w:rPr>
        <w:t>impacts</w:t>
      </w:r>
    </w:p>
    <w:p w14:paraId="3EFD607B" w14:textId="77777777" w:rsidR="00AE0598" w:rsidRDefault="0069255A">
      <w:pPr>
        <w:pStyle w:val="PargrafodaLista"/>
        <w:numPr>
          <w:ilvl w:val="0"/>
          <w:numId w:val="14"/>
        </w:numPr>
        <w:tabs>
          <w:tab w:val="left" w:pos="550"/>
          <w:tab w:val="left" w:pos="2959"/>
        </w:tabs>
        <w:spacing w:before="33" w:after="31" w:line="235" w:lineRule="auto"/>
        <w:ind w:left="2959" w:right="375" w:hanging="2850"/>
        <w:rPr>
          <w:sz w:val="14"/>
        </w:rPr>
      </w:pPr>
      <w:r>
        <w:rPr>
          <w:color w:val="231F20"/>
          <w:w w:val="105"/>
          <w:sz w:val="14"/>
        </w:rPr>
        <w:t>Life below water</w:t>
      </w:r>
      <w:r>
        <w:rPr>
          <w:color w:val="231F20"/>
          <w:sz w:val="14"/>
        </w:rPr>
        <w:tab/>
      </w:r>
      <w:r>
        <w:rPr>
          <w:color w:val="231F20"/>
          <w:w w:val="105"/>
          <w:sz w:val="14"/>
        </w:rPr>
        <w:t>Conserve and sustainably use the oceans, seas and marine</w:t>
      </w:r>
      <w:r>
        <w:rPr>
          <w:color w:val="231F20"/>
          <w:spacing w:val="-9"/>
          <w:w w:val="105"/>
          <w:sz w:val="14"/>
        </w:rPr>
        <w:t xml:space="preserve"> </w:t>
      </w:r>
      <w:r>
        <w:rPr>
          <w:color w:val="231F20"/>
          <w:w w:val="105"/>
          <w:sz w:val="14"/>
        </w:rPr>
        <w:t>resources</w:t>
      </w:r>
    </w:p>
    <w:p w14:paraId="196B2E85" w14:textId="0734F17F" w:rsidR="00AE0598" w:rsidRDefault="0069255A">
      <w:pPr>
        <w:pStyle w:val="Corpodetexto"/>
        <w:spacing w:line="20" w:lineRule="exact"/>
        <w:ind w:left="110"/>
        <w:rPr>
          <w:rFonts w:ascii="Trebuchet MS"/>
          <w:sz w:val="2"/>
        </w:rPr>
      </w:pPr>
      <w:r>
        <w:rPr>
          <w:rFonts w:ascii="Trebuchet MS"/>
          <w:noProof/>
          <w:sz w:val="2"/>
        </w:rPr>
        <mc:AlternateContent>
          <mc:Choice Requires="wpg">
            <w:drawing>
              <wp:inline distT="0" distB="0" distL="0" distR="0" wp14:anchorId="36A60F26" wp14:editId="5AABADBC">
                <wp:extent cx="4104005" cy="3175"/>
                <wp:effectExtent l="12700" t="7620" r="7620" b="8255"/>
                <wp:docPr id="238" name="docshapegroup1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04005" cy="3175"/>
                          <a:chOff x="0" y="0"/>
                          <a:chExt cx="6463" cy="5"/>
                        </a:xfrm>
                      </wpg:grpSpPr>
                      <wps:wsp>
                        <wps:cNvPr id="239" name="docshape136"/>
                        <wps:cNvSpPr>
                          <a:spLocks/>
                        </wps:cNvSpPr>
                        <wps:spPr bwMode="auto">
                          <a:xfrm>
                            <a:off x="0" y="2"/>
                            <a:ext cx="6463" cy="2"/>
                          </a:xfrm>
                          <a:custGeom>
                            <a:avLst/>
                            <a:gdLst>
                              <a:gd name="T0" fmla="*/ 0 w 6463"/>
                              <a:gd name="T1" fmla="*/ 439 w 6463"/>
                              <a:gd name="T2" fmla="*/ 2849 w 6463"/>
                              <a:gd name="T3" fmla="*/ 6463 w 6463"/>
                            </a:gdLst>
                            <a:ahLst/>
                            <a:cxnLst>
                              <a:cxn ang="0">
                                <a:pos x="T0" y="0"/>
                              </a:cxn>
                              <a:cxn ang="0">
                                <a:pos x="T1" y="0"/>
                              </a:cxn>
                              <a:cxn ang="0">
                                <a:pos x="T2" y="0"/>
                              </a:cxn>
                              <a:cxn ang="0">
                                <a:pos x="T3" y="0"/>
                              </a:cxn>
                            </a:cxnLst>
                            <a:rect l="0" t="0" r="r" b="b"/>
                            <a:pathLst>
                              <a:path w="6463">
                                <a:moveTo>
                                  <a:pt x="0" y="0"/>
                                </a:moveTo>
                                <a:lnTo>
                                  <a:pt x="439" y="0"/>
                                </a:lnTo>
                                <a:lnTo>
                                  <a:pt x="2849" y="0"/>
                                </a:lnTo>
                                <a:lnTo>
                                  <a:pt x="6463" y="0"/>
                                </a:lnTo>
                              </a:path>
                            </a:pathLst>
                          </a:custGeom>
                          <a:noFill/>
                          <a:ln w="3175">
                            <a:solidFill>
                              <a:srgbClr val="231F2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3413D45F" id="docshapegroup135" o:spid="_x0000_s1026" style="width:323.15pt;height:.25pt;mso-position-horizontal-relative:char;mso-position-vertical-relative:line" coordsize="64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">
                <v:shape id="docshape136" o:spid="_x0000_s1027" style="position:absolute;top:2;width:6463;height:2;visibility:visible;mso-wrap-style:square;v-text-anchor:top" coordsize="64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" path="m,l439,,2849,,6463,e" filled="f" strokecolor="#231f20" strokeweight=".25pt">
                  <v:path arrowok="t" o:connecttype="custom" o:connectlocs="0,0;439,0;2849,0;6463,0" o:connectangles="0,0,0,0"/>
                </v:shape>
                <w10:anchorlock/>
              </v:group>
            </w:pict>
          </mc:Fallback>
        </mc:AlternateContent>
      </w:r>
    </w:p>
    <w:p w14:paraId="3FE46F78" w14:textId="35BFD2E9" w:rsidR="00AE0598" w:rsidRDefault="0069255A">
      <w:pPr>
        <w:pStyle w:val="PargrafodaLista"/>
        <w:numPr>
          <w:ilvl w:val="0"/>
          <w:numId w:val="14"/>
        </w:numPr>
        <w:tabs>
          <w:tab w:val="left" w:pos="550"/>
          <w:tab w:val="left" w:pos="2959"/>
        </w:tabs>
        <w:spacing w:before="16" w:line="235" w:lineRule="auto"/>
        <w:ind w:left="2959" w:right="242" w:hanging="2850"/>
        <w:jc w:val="both"/>
        <w:rPr>
          <w:sz w:val="14"/>
        </w:rPr>
      </w:pPr>
      <w:r>
        <w:rPr>
          <w:noProof/>
        </w:rPr>
        <mc:AlternateContent>
          <mc:Choice Requires="wps">
            <w:drawing>
              <wp:anchor distT="0" distB="0" distL="114300" distR="114300" simplePos="0" relativeHeight="15771648" behindDoc="0" locked="0" layoutInCell="1" allowOverlap="1" wp14:anchorId="637A574D" wp14:editId="03E6510B">
                <wp:simplePos x="0" y="0"/>
                <wp:positionH relativeFrom="page">
                  <wp:posOffset>755650</wp:posOffset>
                </wp:positionH>
                <wp:positionV relativeFrom="paragraph">
                  <wp:posOffset>333375</wp:posOffset>
                </wp:positionV>
                <wp:extent cx="4104005" cy="1270"/>
                <wp:effectExtent l="0" t="0" r="0" b="0"/>
                <wp:wrapNone/>
                <wp:docPr id="237" name="docshape1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104005" cy="1270"/>
                        </a:xfrm>
                        <a:custGeom>
                          <a:avLst/>
                          <a:gdLst>
                            <a:gd name="T0" fmla="+- 0 1190 1190"/>
                            <a:gd name="T1" fmla="*/ T0 w 6463"/>
                            <a:gd name="T2" fmla="+- 0 1630 1190"/>
                            <a:gd name="T3" fmla="*/ T2 w 6463"/>
                            <a:gd name="T4" fmla="+- 0 4040 1190"/>
                            <a:gd name="T5" fmla="*/ T4 w 6463"/>
                            <a:gd name="T6" fmla="+- 0 7653 1190"/>
                            <a:gd name="T7" fmla="*/ T6 w 6463"/>
                          </a:gdLst>
                          <a:ahLst/>
                          <a:cxnLst>
                            <a:cxn ang="0">
                              <a:pos x="T1" y="0"/>
                            </a:cxn>
                            <a:cxn ang="0">
                              <a:pos x="T3" y="0"/>
                            </a:cxn>
                            <a:cxn ang="0">
                              <a:pos x="T5" y="0"/>
                            </a:cxn>
                            <a:cxn ang="0">
                              <a:pos x="T7" y="0"/>
                            </a:cxn>
                          </a:cxnLst>
                          <a:rect l="0" t="0" r="r" b="b"/>
                          <a:pathLst>
                            <a:path w="6463">
                              <a:moveTo>
                                <a:pt x="0" y="0"/>
                              </a:moveTo>
                              <a:lnTo>
                                <a:pt x="440" y="0"/>
                              </a:lnTo>
                              <a:lnTo>
                                <a:pt x="2850" y="0"/>
                              </a:lnTo>
                              <a:lnTo>
                                <a:pt x="6463" y="0"/>
                              </a:lnTo>
                            </a:path>
                          </a:pathLst>
                        </a:custGeom>
                        <a:noFill/>
                        <a:ln w="3175">
                          <a:solidFill>
                            <a:srgbClr val="231F2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B94435" id="docshape137" o:spid="_x0000_s1026" style="position:absolute;margin-left:59.5pt;margin-top:26.25pt;width:323.15pt;height:.1pt;z-index:157716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646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" path="m,l440,,2850,,6463,e" filled="f" strokecolor="#231f20" strokeweight=".25pt">
                <v:path arrowok="t" o:connecttype="custom" o:connectlocs="0,0;279400,0;1809750,0;4104005,0" o:connectangles="0,0,0,0"/>
                <w10:wrap anchorx="page"/>
              </v:shape>
            </w:pict>
          </mc:Fallback>
        </mc:AlternateContent>
      </w:r>
      <w:r>
        <w:rPr>
          <w:color w:val="231F20"/>
          <w:sz w:val="14"/>
        </w:rPr>
        <w:t>Life on land</w:t>
      </w:r>
      <w:r>
        <w:rPr>
          <w:color w:val="231F20"/>
          <w:sz w:val="14"/>
        </w:rPr>
        <w:tab/>
      </w:r>
      <w:r>
        <w:rPr>
          <w:color w:val="231F20"/>
          <w:sz w:val="14"/>
        </w:rPr>
        <w:t>Sustainably manage forests, combat desertification, halt and reverse land degradation, halt biodiversity</w:t>
      </w:r>
      <w:r>
        <w:rPr>
          <w:color w:val="231F20"/>
          <w:spacing w:val="80"/>
          <w:sz w:val="14"/>
        </w:rPr>
        <w:t xml:space="preserve"> </w:t>
      </w:r>
      <w:r>
        <w:rPr>
          <w:color w:val="231F20"/>
          <w:spacing w:val="-4"/>
          <w:sz w:val="14"/>
        </w:rPr>
        <w:t>loss</w:t>
      </w:r>
    </w:p>
    <w:p w14:paraId="39952F8D" w14:textId="77777777" w:rsidR="00AE0598" w:rsidRDefault="00AE0598">
      <w:pPr>
        <w:spacing w:line="235" w:lineRule="auto"/>
        <w:jc w:val="both"/>
        <w:rPr>
          <w:sz w:val="14"/>
        </w:rPr>
        <w:sectPr w:rsidR="00AE0598">
          <w:type w:val="continuous"/>
          <w:pgSz w:w="8850" w:h="13270"/>
          <w:pgMar w:top="1080" w:right="1060" w:bottom="280" w:left="1080" w:header="720" w:footer="720" w:gutter="0"/>
          <w:cols w:space="720"/>
        </w:sectPr>
      </w:pPr>
    </w:p>
    <w:p w14:paraId="2B4E0FB6" w14:textId="77777777" w:rsidR="00AE0598" w:rsidRDefault="0069255A">
      <w:pPr>
        <w:pStyle w:val="PargrafodaLista"/>
        <w:numPr>
          <w:ilvl w:val="0"/>
          <w:numId w:val="14"/>
        </w:numPr>
        <w:tabs>
          <w:tab w:val="left" w:pos="550"/>
        </w:tabs>
        <w:spacing w:before="67" w:line="235" w:lineRule="auto"/>
        <w:ind w:right="38"/>
        <w:rPr>
          <w:sz w:val="14"/>
        </w:rPr>
      </w:pPr>
      <w:r>
        <w:rPr>
          <w:color w:val="231F20"/>
          <w:sz w:val="14"/>
        </w:rPr>
        <w:t xml:space="preserve">Peace, justice and strong </w:t>
      </w:r>
      <w:r>
        <w:rPr>
          <w:color w:val="231F20"/>
          <w:spacing w:val="-2"/>
          <w:sz w:val="14"/>
        </w:rPr>
        <w:t>institutions</w:t>
      </w:r>
    </w:p>
    <w:p w14:paraId="6CBD8AA3" w14:textId="77777777" w:rsidR="00AE0598" w:rsidRDefault="0069255A">
      <w:pPr>
        <w:spacing w:before="64"/>
        <w:ind w:left="110"/>
        <w:rPr>
          <w:rFonts w:ascii="Trebuchet MS"/>
          <w:sz w:val="14"/>
        </w:rPr>
      </w:pPr>
      <w:r>
        <w:br w:type="column"/>
      </w:r>
      <w:r>
        <w:rPr>
          <w:rFonts w:ascii="Trebuchet MS"/>
          <w:color w:val="231F20"/>
          <w:sz w:val="14"/>
        </w:rPr>
        <w:t>Promote</w:t>
      </w:r>
      <w:r>
        <w:rPr>
          <w:rFonts w:ascii="Trebuchet MS"/>
          <w:color w:val="231F20"/>
          <w:spacing w:val="14"/>
          <w:sz w:val="14"/>
        </w:rPr>
        <w:t xml:space="preserve"> </w:t>
      </w:r>
      <w:r>
        <w:rPr>
          <w:rFonts w:ascii="Trebuchet MS"/>
          <w:color w:val="231F20"/>
          <w:sz w:val="14"/>
        </w:rPr>
        <w:t>just,</w:t>
      </w:r>
      <w:r>
        <w:rPr>
          <w:rFonts w:ascii="Trebuchet MS"/>
          <w:color w:val="231F20"/>
          <w:spacing w:val="15"/>
          <w:sz w:val="14"/>
        </w:rPr>
        <w:t xml:space="preserve"> </w:t>
      </w:r>
      <w:r>
        <w:rPr>
          <w:rFonts w:ascii="Trebuchet MS"/>
          <w:color w:val="231F20"/>
          <w:sz w:val="14"/>
        </w:rPr>
        <w:t>peaceful</w:t>
      </w:r>
      <w:r>
        <w:rPr>
          <w:rFonts w:ascii="Trebuchet MS"/>
          <w:color w:val="231F20"/>
          <w:spacing w:val="15"/>
          <w:sz w:val="14"/>
        </w:rPr>
        <w:t xml:space="preserve"> </w:t>
      </w:r>
      <w:r>
        <w:rPr>
          <w:rFonts w:ascii="Trebuchet MS"/>
          <w:color w:val="231F20"/>
          <w:sz w:val="14"/>
        </w:rPr>
        <w:t>and</w:t>
      </w:r>
      <w:r>
        <w:rPr>
          <w:rFonts w:ascii="Trebuchet MS"/>
          <w:color w:val="231F20"/>
          <w:spacing w:val="15"/>
          <w:sz w:val="14"/>
        </w:rPr>
        <w:t xml:space="preserve"> </w:t>
      </w:r>
      <w:r>
        <w:rPr>
          <w:rFonts w:ascii="Trebuchet MS"/>
          <w:color w:val="231F20"/>
          <w:sz w:val="14"/>
        </w:rPr>
        <w:t>inclusive</w:t>
      </w:r>
      <w:r>
        <w:rPr>
          <w:rFonts w:ascii="Trebuchet MS"/>
          <w:color w:val="231F20"/>
          <w:spacing w:val="15"/>
          <w:sz w:val="14"/>
        </w:rPr>
        <w:t xml:space="preserve"> </w:t>
      </w:r>
      <w:r>
        <w:rPr>
          <w:rFonts w:ascii="Trebuchet MS"/>
          <w:color w:val="231F20"/>
          <w:spacing w:val="-2"/>
          <w:sz w:val="14"/>
        </w:rPr>
        <w:t>societies</w:t>
      </w:r>
    </w:p>
    <w:p w14:paraId="3E7C8108" w14:textId="77777777" w:rsidR="00AE0598" w:rsidRDefault="00AE0598">
      <w:pPr>
        <w:rPr>
          <w:rFonts w:ascii="Trebuchet MS"/>
          <w:sz w:val="14"/>
        </w:rPr>
        <w:sectPr w:rsidR="00AE0598">
          <w:type w:val="continuous"/>
          <w:pgSz w:w="8850" w:h="13270"/>
          <w:pgMar w:top="1080" w:right="1060" w:bottom="280" w:left="1080" w:header="720" w:footer="720" w:gutter="0"/>
          <w:cols w:num="2" w:space="720" w:equalWidth="0">
            <w:col w:w="2245" w:space="604"/>
            <w:col w:w="3861"/>
          </w:cols>
        </w:sectPr>
      </w:pPr>
    </w:p>
    <w:p w14:paraId="496EE673" w14:textId="77777777" w:rsidR="00AE0598" w:rsidRDefault="00AE0598">
      <w:pPr>
        <w:pStyle w:val="Corpodetexto"/>
        <w:spacing w:before="7"/>
        <w:rPr>
          <w:rFonts w:ascii="Trebuchet MS"/>
          <w:sz w:val="2"/>
        </w:rPr>
      </w:pPr>
    </w:p>
    <w:p w14:paraId="3E8B9BC0" w14:textId="63E6BFCF" w:rsidR="00AE0598" w:rsidRDefault="0069255A">
      <w:pPr>
        <w:pStyle w:val="Corpodetexto"/>
        <w:spacing w:line="20" w:lineRule="exact"/>
        <w:ind w:left="110"/>
        <w:rPr>
          <w:rFonts w:ascii="Trebuchet MS"/>
          <w:sz w:val="2"/>
        </w:rPr>
      </w:pPr>
      <w:r>
        <w:rPr>
          <w:rFonts w:ascii="Trebuchet MS"/>
          <w:noProof/>
          <w:sz w:val="2"/>
        </w:rPr>
        <mc:AlternateContent>
          <mc:Choice Requires="wpg">
            <w:drawing>
              <wp:inline distT="0" distB="0" distL="0" distR="0" wp14:anchorId="67741A3C" wp14:editId="239D482E">
                <wp:extent cx="4104005" cy="3175"/>
                <wp:effectExtent l="12700" t="6985" r="7620" b="8890"/>
                <wp:docPr id="235" name="docshapegroup1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04005" cy="3175"/>
                          <a:chOff x="0" y="0"/>
                          <a:chExt cx="6463" cy="5"/>
                        </a:xfrm>
                      </wpg:grpSpPr>
                      <wps:wsp>
                        <wps:cNvPr id="236" name="docshape139"/>
                        <wps:cNvSpPr>
                          <a:spLocks/>
                        </wps:cNvSpPr>
                        <wps:spPr bwMode="auto">
                          <a:xfrm>
                            <a:off x="0" y="2"/>
                            <a:ext cx="6463" cy="2"/>
                          </a:xfrm>
                          <a:custGeom>
                            <a:avLst/>
                            <a:gdLst>
                              <a:gd name="T0" fmla="*/ 0 w 6463"/>
                              <a:gd name="T1" fmla="*/ 439 w 6463"/>
                              <a:gd name="T2" fmla="*/ 2849 w 6463"/>
                              <a:gd name="T3" fmla="*/ 6463 w 6463"/>
                            </a:gdLst>
                            <a:ahLst/>
                            <a:cxnLst>
                              <a:cxn ang="0">
                                <a:pos x="T0" y="0"/>
                              </a:cxn>
                              <a:cxn ang="0">
                                <a:pos x="T1" y="0"/>
                              </a:cxn>
                              <a:cxn ang="0">
                                <a:pos x="T2" y="0"/>
                              </a:cxn>
                              <a:cxn ang="0">
                                <a:pos x="T3" y="0"/>
                              </a:cxn>
                            </a:cxnLst>
                            <a:rect l="0" t="0" r="r" b="b"/>
                            <a:pathLst>
                              <a:path w="6463">
                                <a:moveTo>
                                  <a:pt x="0" y="0"/>
                                </a:moveTo>
                                <a:lnTo>
                                  <a:pt x="439" y="0"/>
                                </a:lnTo>
                                <a:lnTo>
                                  <a:pt x="2849" y="0"/>
                                </a:lnTo>
                                <a:lnTo>
                                  <a:pt x="6463" y="0"/>
                                </a:lnTo>
                              </a:path>
                            </a:pathLst>
                          </a:custGeom>
                          <a:noFill/>
                          <a:ln w="3175">
                            <a:solidFill>
                              <a:srgbClr val="231F2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69929DBE" id="docshapegroup138" o:spid="_x0000_s1026" style="width:323.15pt;height:.25pt;mso-position-horizontal-relative:char;mso-position-vertical-relative:line" coordsize="64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">
                <v:shape id="docshape139" o:spid="_x0000_s1027" style="position:absolute;top:2;width:6463;height:2;visibility:visible;mso-wrap-style:square;v-text-anchor:top" coordsize="64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" path="m,l439,,2849,,6463,e" filled="f" strokecolor="#231f20" strokeweight=".25pt">
                  <v:path arrowok="t" o:connecttype="custom" o:connectlocs="0,0;439,0;2849,0;6463,0" o:connectangles="0,0,0,0"/>
                </v:shape>
                <w10:anchorlock/>
              </v:group>
            </w:pict>
          </mc:Fallback>
        </mc:AlternateContent>
      </w:r>
    </w:p>
    <w:p w14:paraId="0CE2E3A7" w14:textId="77777777" w:rsidR="00AE0598" w:rsidRDefault="0069255A">
      <w:pPr>
        <w:pStyle w:val="PargrafodaLista"/>
        <w:numPr>
          <w:ilvl w:val="0"/>
          <w:numId w:val="14"/>
        </w:numPr>
        <w:tabs>
          <w:tab w:val="left" w:pos="550"/>
          <w:tab w:val="left" w:pos="2959"/>
        </w:tabs>
        <w:spacing w:before="13" w:line="161" w:lineRule="exact"/>
        <w:rPr>
          <w:sz w:val="14"/>
        </w:rPr>
      </w:pPr>
      <w:r>
        <w:rPr>
          <w:color w:val="231F20"/>
          <w:sz w:val="14"/>
        </w:rPr>
        <w:t>Partnerships</w:t>
      </w:r>
      <w:r>
        <w:rPr>
          <w:color w:val="231F20"/>
          <w:spacing w:val="20"/>
          <w:sz w:val="14"/>
        </w:rPr>
        <w:t xml:space="preserve"> </w:t>
      </w:r>
      <w:r>
        <w:rPr>
          <w:color w:val="231F20"/>
          <w:sz w:val="14"/>
        </w:rPr>
        <w:t>for</w:t>
      </w:r>
      <w:r>
        <w:rPr>
          <w:color w:val="231F20"/>
          <w:spacing w:val="20"/>
          <w:sz w:val="14"/>
        </w:rPr>
        <w:t xml:space="preserve"> </w:t>
      </w:r>
      <w:r>
        <w:rPr>
          <w:color w:val="231F20"/>
          <w:sz w:val="14"/>
        </w:rPr>
        <w:t>the</w:t>
      </w:r>
      <w:r>
        <w:rPr>
          <w:color w:val="231F20"/>
          <w:spacing w:val="20"/>
          <w:sz w:val="14"/>
        </w:rPr>
        <w:t xml:space="preserve"> </w:t>
      </w:r>
      <w:r>
        <w:rPr>
          <w:color w:val="231F20"/>
          <w:spacing w:val="-4"/>
          <w:sz w:val="14"/>
        </w:rPr>
        <w:t>goals</w:t>
      </w:r>
      <w:r>
        <w:rPr>
          <w:color w:val="231F20"/>
          <w:sz w:val="14"/>
        </w:rPr>
        <w:tab/>
      </w:r>
      <w:r>
        <w:rPr>
          <w:color w:val="231F20"/>
          <w:w w:val="105"/>
          <w:sz w:val="14"/>
        </w:rPr>
        <w:t>Revitalise</w:t>
      </w:r>
      <w:r>
        <w:rPr>
          <w:color w:val="231F20"/>
          <w:spacing w:val="-1"/>
          <w:w w:val="105"/>
          <w:sz w:val="14"/>
        </w:rPr>
        <w:t xml:space="preserve"> </w:t>
      </w:r>
      <w:r>
        <w:rPr>
          <w:color w:val="231F20"/>
          <w:w w:val="105"/>
          <w:sz w:val="14"/>
        </w:rPr>
        <w:t>the global partnership</w:t>
      </w:r>
      <w:r>
        <w:rPr>
          <w:color w:val="231F20"/>
          <w:spacing w:val="-1"/>
          <w:w w:val="105"/>
          <w:sz w:val="14"/>
        </w:rPr>
        <w:t xml:space="preserve"> </w:t>
      </w:r>
      <w:r>
        <w:rPr>
          <w:color w:val="231F20"/>
          <w:w w:val="105"/>
          <w:sz w:val="14"/>
        </w:rPr>
        <w:t xml:space="preserve">for </w:t>
      </w:r>
      <w:r>
        <w:rPr>
          <w:color w:val="231F20"/>
          <w:spacing w:val="-2"/>
          <w:w w:val="105"/>
          <w:sz w:val="14"/>
        </w:rPr>
        <w:t>sustainable</w:t>
      </w:r>
    </w:p>
    <w:p w14:paraId="77443B68" w14:textId="68B084E4" w:rsidR="00AE0598" w:rsidRDefault="0069255A">
      <w:pPr>
        <w:spacing w:line="161" w:lineRule="exact"/>
        <w:ind w:left="2959"/>
        <w:rPr>
          <w:rFonts w:ascii="Trebuchet MS"/>
          <w:sz w:val="14"/>
        </w:rPr>
      </w:pPr>
      <w:r>
        <w:rPr>
          <w:noProof/>
        </w:rPr>
        <mc:AlternateContent>
          <mc:Choice Requires="wps">
            <w:drawing>
              <wp:anchor distT="0" distB="0" distL="0" distR="0" simplePos="0" relativeHeight="487628288" behindDoc="1" locked="0" layoutInCell="1" allowOverlap="1" wp14:anchorId="08E2922C" wp14:editId="689CF6AF">
                <wp:simplePos x="0" y="0"/>
                <wp:positionH relativeFrom="page">
                  <wp:posOffset>755650</wp:posOffset>
                </wp:positionH>
                <wp:positionV relativeFrom="paragraph">
                  <wp:posOffset>120650</wp:posOffset>
                </wp:positionV>
                <wp:extent cx="4104005" cy="1270"/>
                <wp:effectExtent l="0" t="0" r="0" b="0"/>
                <wp:wrapTopAndBottom/>
                <wp:docPr id="234" name="docshape1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104005" cy="1270"/>
                        </a:xfrm>
                        <a:custGeom>
                          <a:avLst/>
                          <a:gdLst>
                            <a:gd name="T0" fmla="+- 0 1190 1190"/>
                            <a:gd name="T1" fmla="*/ T0 w 6463"/>
                            <a:gd name="T2" fmla="+- 0 1630 1190"/>
                            <a:gd name="T3" fmla="*/ T2 w 6463"/>
                            <a:gd name="T4" fmla="+- 0 4040 1190"/>
                            <a:gd name="T5" fmla="*/ T4 w 6463"/>
                            <a:gd name="T6" fmla="+- 0 4040 1190"/>
                            <a:gd name="T7" fmla="*/ T6 w 6463"/>
                            <a:gd name="T8" fmla="+- 0 7653 1190"/>
                            <a:gd name="T9" fmla="*/ T8 w 6463"/>
                          </a:gdLst>
                          <a:ahLst/>
                          <a:cxnLst>
                            <a:cxn ang="0">
                              <a:pos x="T1" y="0"/>
                            </a:cxn>
                            <a:cxn ang="0">
                              <a:pos x="T3" y="0"/>
                            </a:cxn>
                            <a:cxn ang="0">
                              <a:pos x="T5" y="0"/>
                            </a:cxn>
                            <a:cxn ang="0">
                              <a:pos x="T7" y="0"/>
                            </a:cxn>
                            <a:cxn ang="0">
                              <a:pos x="T9" y="0"/>
                            </a:cxn>
                          </a:cxnLst>
                          <a:rect l="0" t="0" r="r" b="b"/>
                          <a:pathLst>
                            <a:path w="6463">
                              <a:moveTo>
                                <a:pt x="0" y="0"/>
                              </a:moveTo>
                              <a:lnTo>
                                <a:pt x="440" y="0"/>
                              </a:lnTo>
                              <a:lnTo>
                                <a:pt x="2850" y="0"/>
                              </a:lnTo>
                              <a:moveTo>
                                <a:pt x="2850" y="0"/>
                              </a:moveTo>
                              <a:lnTo>
                                <a:pt x="6463" y="0"/>
                              </a:lnTo>
                            </a:path>
                          </a:pathLst>
                        </a:custGeom>
                        <a:noFill/>
                        <a:ln w="3175">
                          <a:solidFill>
                            <a:srgbClr val="231F2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1C433D" id="docshape140" o:spid="_x0000_s1026" style="position:absolute;margin-left:59.5pt;margin-top:9.5pt;width:323.15pt;height:.1pt;z-index:-15688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46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" path="m,l440,,2850,t,l6463,e" filled="f" strokecolor="#231f20" strokeweight=".25pt">
                <v:path arrowok="t" o:connecttype="custom" o:connectlocs="0,0;279400,0;1809750,0;1809750,0;4104005,0" o:connectangles="0,0,0,0,0"/>
                <w10:wrap type="topAndBottom" anchorx="page"/>
              </v:shape>
            </w:pict>
          </mc:Fallback>
        </mc:AlternateContent>
      </w:r>
      <w:r>
        <w:rPr>
          <w:rFonts w:ascii="Trebuchet MS"/>
          <w:color w:val="231F20"/>
          <w:spacing w:val="-2"/>
          <w:w w:val="105"/>
          <w:sz w:val="14"/>
        </w:rPr>
        <w:t>development</w:t>
      </w:r>
    </w:p>
    <w:p w14:paraId="0FA7F866" w14:textId="77777777" w:rsidR="00AE0598" w:rsidRDefault="0069255A">
      <w:pPr>
        <w:spacing w:before="73" w:line="235" w:lineRule="auto"/>
        <w:ind w:left="110" w:right="286"/>
        <w:rPr>
          <w:rFonts w:ascii="Trebuchet MS"/>
          <w:sz w:val="14"/>
        </w:rPr>
      </w:pPr>
      <w:r>
        <w:rPr>
          <w:rFonts w:ascii="Trebuchet MS"/>
          <w:color w:val="231F20"/>
          <w:sz w:val="14"/>
        </w:rPr>
        <w:t>Source:</w:t>
      </w:r>
      <w:r>
        <w:rPr>
          <w:rFonts w:ascii="Trebuchet MS"/>
          <w:color w:val="231F20"/>
          <w:spacing w:val="27"/>
          <w:sz w:val="14"/>
        </w:rPr>
        <w:t xml:space="preserve"> </w:t>
      </w:r>
      <w:r>
        <w:rPr>
          <w:rFonts w:ascii="Trebuchet MS"/>
          <w:color w:val="231F20"/>
          <w:sz w:val="14"/>
        </w:rPr>
        <w:t>UN.</w:t>
      </w:r>
      <w:r>
        <w:rPr>
          <w:rFonts w:ascii="Trebuchet MS"/>
          <w:color w:val="231F20"/>
          <w:spacing w:val="27"/>
          <w:sz w:val="14"/>
        </w:rPr>
        <w:t xml:space="preserve"> </w:t>
      </w:r>
      <w:r>
        <w:rPr>
          <w:rFonts w:ascii="Trebuchet MS"/>
          <w:color w:val="231F20"/>
          <w:sz w:val="14"/>
        </w:rPr>
        <w:t>Sustainable</w:t>
      </w:r>
      <w:r>
        <w:rPr>
          <w:rFonts w:ascii="Trebuchet MS"/>
          <w:color w:val="231F20"/>
          <w:spacing w:val="27"/>
          <w:sz w:val="14"/>
        </w:rPr>
        <w:t xml:space="preserve"> </w:t>
      </w:r>
      <w:r>
        <w:rPr>
          <w:rFonts w:ascii="Trebuchet MS"/>
          <w:color w:val="231F20"/>
          <w:sz w:val="14"/>
        </w:rPr>
        <w:t>Development</w:t>
      </w:r>
      <w:r>
        <w:rPr>
          <w:rFonts w:ascii="Trebuchet MS"/>
          <w:color w:val="231F20"/>
          <w:spacing w:val="27"/>
          <w:sz w:val="14"/>
        </w:rPr>
        <w:t xml:space="preserve"> </w:t>
      </w:r>
      <w:r>
        <w:rPr>
          <w:rFonts w:ascii="Trebuchet MS"/>
          <w:color w:val="231F20"/>
          <w:sz w:val="14"/>
        </w:rPr>
        <w:t>Goals.</w:t>
      </w:r>
      <w:r>
        <w:rPr>
          <w:rFonts w:ascii="Trebuchet MS"/>
          <w:color w:val="231F20"/>
          <w:spacing w:val="27"/>
          <w:sz w:val="14"/>
        </w:rPr>
        <w:t xml:space="preserve"> </w:t>
      </w:r>
      <w:r>
        <w:rPr>
          <w:rFonts w:ascii="Trebuchet MS"/>
          <w:color w:val="231F20"/>
          <w:sz w:val="14"/>
        </w:rPr>
        <w:t>See</w:t>
      </w:r>
      <w:r>
        <w:rPr>
          <w:rFonts w:ascii="Trebuchet MS"/>
          <w:color w:val="231F20"/>
          <w:spacing w:val="27"/>
          <w:sz w:val="14"/>
        </w:rPr>
        <w:t xml:space="preserve"> </w:t>
      </w:r>
      <w:hyperlink r:id="rId28">
        <w:r>
          <w:rPr>
            <w:rFonts w:ascii="Trebuchet MS"/>
            <w:color w:val="231F20"/>
            <w:spacing w:val="-1"/>
            <w:w w:val="113"/>
            <w:sz w:val="14"/>
          </w:rPr>
          <w:t>h</w:t>
        </w:r>
        <w:r>
          <w:rPr>
            <w:rFonts w:ascii="Trebuchet MS"/>
            <w:color w:val="231F20"/>
            <w:spacing w:val="3"/>
            <w:sz w:val="14"/>
          </w:rPr>
          <w:t>t</w:t>
        </w:r>
        <w:r>
          <w:rPr>
            <w:rFonts w:ascii="Trebuchet MS"/>
            <w:color w:val="231F20"/>
            <w:spacing w:val="-2"/>
            <w:sz w:val="14"/>
          </w:rPr>
          <w:t>t</w:t>
        </w:r>
        <w:r>
          <w:rPr>
            <w:rFonts w:ascii="Trebuchet MS"/>
            <w:color w:val="231F20"/>
            <w:spacing w:val="-3"/>
            <w:w w:val="111"/>
            <w:sz w:val="14"/>
          </w:rPr>
          <w:t>p</w:t>
        </w:r>
        <w:r>
          <w:rPr>
            <w:rFonts w:ascii="Trebuchet MS"/>
            <w:color w:val="231F20"/>
            <w:spacing w:val="2"/>
            <w:w w:val="77"/>
            <w:sz w:val="14"/>
          </w:rPr>
          <w:t>:</w:t>
        </w:r>
        <w:r>
          <w:rPr>
            <w:rFonts w:ascii="Trebuchet MS"/>
            <w:color w:val="231F20"/>
            <w:spacing w:val="-1"/>
            <w:w w:val="55"/>
            <w:sz w:val="14"/>
          </w:rPr>
          <w:t>/</w:t>
        </w:r>
        <w:r>
          <w:rPr>
            <w:rFonts w:ascii="Trebuchet MS"/>
            <w:color w:val="231F20"/>
            <w:spacing w:val="3"/>
            <w:w w:val="55"/>
            <w:sz w:val="14"/>
          </w:rPr>
          <w:t>/</w:t>
        </w:r>
        <w:r>
          <w:rPr>
            <w:rFonts w:ascii="Trebuchet MS"/>
            <w:color w:val="231F20"/>
            <w:spacing w:val="4"/>
            <w:w w:val="113"/>
            <w:sz w:val="14"/>
          </w:rPr>
          <w:t>ww</w:t>
        </w:r>
        <w:r>
          <w:rPr>
            <w:rFonts w:ascii="Trebuchet MS"/>
            <w:color w:val="231F20"/>
            <w:spacing w:val="-5"/>
            <w:w w:val="113"/>
            <w:sz w:val="14"/>
          </w:rPr>
          <w:t>w</w:t>
        </w:r>
        <w:r>
          <w:rPr>
            <w:rFonts w:ascii="Trebuchet MS"/>
            <w:color w:val="231F20"/>
            <w:spacing w:val="-3"/>
            <w:w w:val="77"/>
            <w:sz w:val="14"/>
          </w:rPr>
          <w:t>.</w:t>
        </w:r>
        <w:r>
          <w:rPr>
            <w:rFonts w:ascii="Trebuchet MS"/>
            <w:color w:val="231F20"/>
            <w:spacing w:val="-1"/>
            <w:w w:val="113"/>
            <w:sz w:val="14"/>
          </w:rPr>
          <w:t>un</w:t>
        </w:r>
        <w:r>
          <w:rPr>
            <w:rFonts w:ascii="Trebuchet MS"/>
            <w:color w:val="231F20"/>
            <w:spacing w:val="-2"/>
            <w:w w:val="77"/>
            <w:sz w:val="14"/>
          </w:rPr>
          <w:t>.</w:t>
        </w:r>
        <w:r>
          <w:rPr>
            <w:rFonts w:ascii="Trebuchet MS"/>
            <w:color w:val="231F20"/>
            <w:spacing w:val="-1"/>
            <w:w w:val="115"/>
            <w:sz w:val="14"/>
          </w:rPr>
          <w:t>o</w:t>
        </w:r>
        <w:r>
          <w:rPr>
            <w:rFonts w:ascii="Trebuchet MS"/>
            <w:color w:val="231F20"/>
            <w:spacing w:val="-2"/>
            <w:w w:val="102"/>
            <w:sz w:val="14"/>
          </w:rPr>
          <w:t>r</w:t>
        </w:r>
        <w:r>
          <w:rPr>
            <w:rFonts w:ascii="Trebuchet MS"/>
            <w:color w:val="231F20"/>
            <w:spacing w:val="3"/>
            <w:w w:val="123"/>
            <w:sz w:val="14"/>
          </w:rPr>
          <w:t>g</w:t>
        </w:r>
        <w:r>
          <w:rPr>
            <w:rFonts w:ascii="Trebuchet MS"/>
            <w:color w:val="231F20"/>
            <w:spacing w:val="-1"/>
            <w:w w:val="55"/>
            <w:sz w:val="14"/>
          </w:rPr>
          <w:t>/</w:t>
        </w:r>
        <w:r>
          <w:rPr>
            <w:rFonts w:ascii="Trebuchet MS"/>
            <w:color w:val="231F20"/>
            <w:spacing w:val="-1"/>
            <w:w w:val="98"/>
            <w:sz w:val="14"/>
          </w:rPr>
          <w:t>s</w:t>
        </w:r>
        <w:r>
          <w:rPr>
            <w:rFonts w:ascii="Trebuchet MS"/>
            <w:color w:val="231F20"/>
            <w:w w:val="113"/>
            <w:sz w:val="14"/>
          </w:rPr>
          <w:t>u</w:t>
        </w:r>
        <w:r>
          <w:rPr>
            <w:rFonts w:ascii="Trebuchet MS"/>
            <w:color w:val="231F20"/>
            <w:spacing w:val="1"/>
            <w:w w:val="98"/>
            <w:sz w:val="14"/>
          </w:rPr>
          <w:t>s</w:t>
        </w:r>
        <w:r>
          <w:rPr>
            <w:rFonts w:ascii="Trebuchet MS"/>
            <w:color w:val="231F20"/>
            <w:sz w:val="14"/>
          </w:rPr>
          <w:t>t</w:t>
        </w:r>
        <w:r>
          <w:rPr>
            <w:rFonts w:ascii="Trebuchet MS"/>
            <w:color w:val="231F20"/>
            <w:spacing w:val="-2"/>
            <w:w w:val="107"/>
            <w:sz w:val="14"/>
          </w:rPr>
          <w:t>a</w:t>
        </w:r>
        <w:r>
          <w:rPr>
            <w:rFonts w:ascii="Trebuchet MS"/>
            <w:color w:val="231F20"/>
            <w:spacing w:val="-2"/>
            <w:w w:val="99"/>
            <w:sz w:val="14"/>
          </w:rPr>
          <w:t>i</w:t>
        </w:r>
        <w:r>
          <w:rPr>
            <w:rFonts w:ascii="Trebuchet MS"/>
            <w:color w:val="231F20"/>
            <w:spacing w:val="-1"/>
            <w:w w:val="113"/>
            <w:sz w:val="14"/>
          </w:rPr>
          <w:t>n</w:t>
        </w:r>
        <w:r>
          <w:rPr>
            <w:rFonts w:ascii="Trebuchet MS"/>
            <w:color w:val="231F20"/>
            <w:spacing w:val="-1"/>
            <w:w w:val="107"/>
            <w:sz w:val="14"/>
          </w:rPr>
          <w:t>a</w:t>
        </w:r>
        <w:r>
          <w:rPr>
            <w:rFonts w:ascii="Trebuchet MS"/>
            <w:color w:val="231F20"/>
            <w:spacing w:val="-1"/>
            <w:w w:val="111"/>
            <w:sz w:val="14"/>
          </w:rPr>
          <w:t>b</w:t>
        </w:r>
        <w:r>
          <w:rPr>
            <w:rFonts w:ascii="Trebuchet MS"/>
            <w:color w:val="231F20"/>
            <w:spacing w:val="-1"/>
            <w:w w:val="96"/>
            <w:sz w:val="14"/>
          </w:rPr>
          <w:t>l</w:t>
        </w:r>
        <w:r>
          <w:rPr>
            <w:rFonts w:ascii="Trebuchet MS"/>
            <w:color w:val="231F20"/>
            <w:w w:val="103"/>
            <w:sz w:val="14"/>
          </w:rPr>
          <w:t>e</w:t>
        </w:r>
        <w:r>
          <w:rPr>
            <w:rFonts w:ascii="Trebuchet MS"/>
            <w:color w:val="231F20"/>
            <w:w w:val="111"/>
            <w:sz w:val="14"/>
          </w:rPr>
          <w:t>d</w:t>
        </w:r>
        <w:r>
          <w:rPr>
            <w:rFonts w:ascii="Trebuchet MS"/>
            <w:color w:val="231F20"/>
            <w:spacing w:val="-2"/>
            <w:w w:val="103"/>
            <w:sz w:val="14"/>
          </w:rPr>
          <w:t>e</w:t>
        </w:r>
        <w:r>
          <w:rPr>
            <w:rFonts w:ascii="Trebuchet MS"/>
            <w:color w:val="231F20"/>
            <w:spacing w:val="-2"/>
            <w:w w:val="104"/>
            <w:sz w:val="14"/>
          </w:rPr>
          <w:t>v</w:t>
        </w:r>
        <w:r>
          <w:rPr>
            <w:rFonts w:ascii="Trebuchet MS"/>
            <w:color w:val="231F20"/>
            <w:spacing w:val="-1"/>
            <w:w w:val="103"/>
            <w:sz w:val="14"/>
          </w:rPr>
          <w:t>e</w:t>
        </w:r>
        <w:r>
          <w:rPr>
            <w:rFonts w:ascii="Trebuchet MS"/>
            <w:color w:val="231F20"/>
            <w:spacing w:val="-2"/>
            <w:w w:val="96"/>
            <w:sz w:val="14"/>
          </w:rPr>
          <w:t>l</w:t>
        </w:r>
        <w:r>
          <w:rPr>
            <w:rFonts w:ascii="Trebuchet MS"/>
            <w:color w:val="231F20"/>
            <w:spacing w:val="-1"/>
            <w:w w:val="115"/>
            <w:sz w:val="14"/>
          </w:rPr>
          <w:t>o</w:t>
        </w:r>
        <w:r>
          <w:rPr>
            <w:rFonts w:ascii="Trebuchet MS"/>
            <w:color w:val="231F20"/>
            <w:w w:val="111"/>
            <w:sz w:val="14"/>
          </w:rPr>
          <w:t>p</w:t>
        </w:r>
        <w:r>
          <w:rPr>
            <w:rFonts w:ascii="Trebuchet MS"/>
            <w:color w:val="231F20"/>
            <w:w w:val="109"/>
            <w:sz w:val="14"/>
          </w:rPr>
          <w:t>m</w:t>
        </w:r>
        <w:r>
          <w:rPr>
            <w:rFonts w:ascii="Trebuchet MS"/>
            <w:color w:val="231F20"/>
            <w:spacing w:val="-1"/>
            <w:w w:val="103"/>
            <w:sz w:val="14"/>
          </w:rPr>
          <w:t>e</w:t>
        </w:r>
        <w:r>
          <w:rPr>
            <w:rFonts w:ascii="Trebuchet MS"/>
            <w:color w:val="231F20"/>
            <w:spacing w:val="-1"/>
            <w:w w:val="113"/>
            <w:sz w:val="14"/>
          </w:rPr>
          <w:t>n</w:t>
        </w:r>
        <w:r>
          <w:rPr>
            <w:rFonts w:ascii="Trebuchet MS"/>
            <w:color w:val="231F20"/>
            <w:spacing w:val="6"/>
            <w:sz w:val="14"/>
          </w:rPr>
          <w:t>t</w:t>
        </w:r>
        <w:r>
          <w:rPr>
            <w:rFonts w:ascii="Trebuchet MS"/>
            <w:color w:val="231F20"/>
            <w:spacing w:val="-3"/>
            <w:w w:val="55"/>
            <w:sz w:val="14"/>
          </w:rPr>
          <w:t>/</w:t>
        </w:r>
      </w:hyperlink>
      <w:r>
        <w:rPr>
          <w:rFonts w:ascii="Trebuchet MS"/>
          <w:color w:val="231F20"/>
          <w:spacing w:val="-1"/>
          <w:w w:val="99"/>
          <w:sz w:val="14"/>
        </w:rPr>
        <w:t xml:space="preserve"> </w:t>
      </w:r>
      <w:r>
        <w:rPr>
          <w:rFonts w:ascii="Trebuchet MS"/>
          <w:color w:val="231F20"/>
          <w:sz w:val="14"/>
        </w:rPr>
        <w:t>sustainable-development-</w:t>
      </w:r>
      <w:r>
        <w:rPr>
          <w:rFonts w:ascii="Trebuchet MS"/>
          <w:color w:val="231F20"/>
          <w:spacing w:val="-1"/>
          <w:w w:val="124"/>
          <w:sz w:val="14"/>
        </w:rPr>
        <w:t>g</w:t>
      </w:r>
      <w:r>
        <w:rPr>
          <w:rFonts w:ascii="Trebuchet MS"/>
          <w:color w:val="231F20"/>
          <w:spacing w:val="-1"/>
          <w:w w:val="116"/>
          <w:sz w:val="14"/>
        </w:rPr>
        <w:t>o</w:t>
      </w:r>
      <w:r>
        <w:rPr>
          <w:rFonts w:ascii="Trebuchet MS"/>
          <w:color w:val="231F20"/>
          <w:spacing w:val="-2"/>
          <w:w w:val="108"/>
          <w:sz w:val="14"/>
        </w:rPr>
        <w:t>a</w:t>
      </w:r>
      <w:r>
        <w:rPr>
          <w:rFonts w:ascii="Trebuchet MS"/>
          <w:color w:val="231F20"/>
          <w:w w:val="97"/>
          <w:sz w:val="14"/>
        </w:rPr>
        <w:t>l</w:t>
      </w:r>
      <w:r>
        <w:rPr>
          <w:rFonts w:ascii="Trebuchet MS"/>
          <w:color w:val="231F20"/>
          <w:spacing w:val="3"/>
          <w:w w:val="99"/>
          <w:sz w:val="14"/>
        </w:rPr>
        <w:t>s</w:t>
      </w:r>
      <w:r>
        <w:rPr>
          <w:rFonts w:ascii="Trebuchet MS"/>
          <w:color w:val="231F20"/>
          <w:spacing w:val="-3"/>
          <w:w w:val="56"/>
          <w:sz w:val="14"/>
        </w:rPr>
        <w:t>/</w:t>
      </w:r>
      <w:r>
        <w:rPr>
          <w:rFonts w:ascii="Trebuchet MS"/>
          <w:color w:val="231F20"/>
          <w:spacing w:val="24"/>
          <w:sz w:val="14"/>
        </w:rPr>
        <w:t xml:space="preserve"> </w:t>
      </w:r>
      <w:r>
        <w:rPr>
          <w:rFonts w:ascii="Trebuchet MS"/>
          <w:color w:val="231F20"/>
          <w:sz w:val="14"/>
        </w:rPr>
        <w:t>(accessed</w:t>
      </w:r>
      <w:r>
        <w:rPr>
          <w:rFonts w:ascii="Trebuchet MS"/>
          <w:color w:val="231F20"/>
          <w:spacing w:val="24"/>
          <w:sz w:val="14"/>
        </w:rPr>
        <w:t xml:space="preserve"> </w:t>
      </w:r>
      <w:r>
        <w:rPr>
          <w:rFonts w:ascii="Trebuchet MS"/>
          <w:color w:val="231F20"/>
          <w:sz w:val="14"/>
        </w:rPr>
        <w:t>29</w:t>
      </w:r>
      <w:r>
        <w:rPr>
          <w:rFonts w:ascii="Trebuchet MS"/>
          <w:color w:val="231F20"/>
          <w:spacing w:val="24"/>
          <w:sz w:val="14"/>
        </w:rPr>
        <w:t xml:space="preserve"> </w:t>
      </w:r>
      <w:r>
        <w:rPr>
          <w:rFonts w:ascii="Trebuchet MS"/>
          <w:color w:val="231F20"/>
          <w:sz w:val="14"/>
        </w:rPr>
        <w:t>August</w:t>
      </w:r>
      <w:r>
        <w:rPr>
          <w:rFonts w:ascii="Trebuchet MS"/>
          <w:color w:val="231F20"/>
          <w:spacing w:val="24"/>
          <w:sz w:val="14"/>
        </w:rPr>
        <w:t xml:space="preserve"> </w:t>
      </w:r>
      <w:r>
        <w:rPr>
          <w:rFonts w:ascii="Trebuchet MS"/>
          <w:color w:val="231F20"/>
          <w:sz w:val="14"/>
        </w:rPr>
        <w:t>2017).</w:t>
      </w:r>
    </w:p>
    <w:p w14:paraId="39F11F05" w14:textId="77777777" w:rsidR="00AE0598" w:rsidRDefault="00AE0598">
      <w:pPr>
        <w:pStyle w:val="Corpodetexto"/>
        <w:spacing w:before="2"/>
        <w:rPr>
          <w:rFonts w:ascii="Trebuchet MS"/>
          <w:sz w:val="16"/>
        </w:rPr>
      </w:pPr>
    </w:p>
    <w:p w14:paraId="723FE4F8" w14:textId="77777777" w:rsidR="00AE0598" w:rsidRDefault="0069255A">
      <w:pPr>
        <w:pStyle w:val="Corpodetexto"/>
        <w:spacing w:before="103" w:line="232" w:lineRule="auto"/>
        <w:ind w:left="110" w:right="156"/>
      </w:pPr>
      <w:r>
        <w:rPr>
          <w:color w:val="231F20"/>
          <w:w w:val="95"/>
        </w:rPr>
        <w:t>Gibson’s (2016) examination of the role of travel conditions in the context</w:t>
      </w:r>
      <w:r>
        <w:rPr>
          <w:color w:val="231F20"/>
          <w:spacing w:val="40"/>
        </w:rPr>
        <w:t xml:space="preserve"> </w:t>
      </w:r>
      <w:r>
        <w:rPr>
          <w:color w:val="231F20"/>
        </w:rPr>
        <w:t>of active sport tourism events.</w:t>
      </w:r>
    </w:p>
    <w:p w14:paraId="183FFC5A" w14:textId="77777777" w:rsidR="00AE0598" w:rsidRDefault="00AE0598">
      <w:pPr>
        <w:pStyle w:val="Corpodetexto"/>
        <w:spacing w:before="1"/>
      </w:pPr>
    </w:p>
    <w:p w14:paraId="69C0BEB7" w14:textId="77777777" w:rsidR="00AE0598" w:rsidRDefault="0069255A">
      <w:pPr>
        <w:spacing w:before="1"/>
        <w:ind w:left="110"/>
        <w:rPr>
          <w:rFonts w:ascii="Trebuchet MS"/>
          <w:b/>
          <w:sz w:val="20"/>
        </w:rPr>
      </w:pPr>
      <w:r>
        <w:rPr>
          <w:rFonts w:ascii="Trebuchet MS"/>
          <w:b/>
          <w:color w:val="231F20"/>
          <w:spacing w:val="-2"/>
          <w:w w:val="105"/>
          <w:sz w:val="20"/>
        </w:rPr>
        <w:t>Planning</w:t>
      </w:r>
    </w:p>
    <w:p w14:paraId="22617143" w14:textId="77777777" w:rsidR="00AE0598" w:rsidRDefault="0069255A">
      <w:pPr>
        <w:pStyle w:val="Corpodetexto"/>
        <w:spacing w:before="122" w:line="232" w:lineRule="auto"/>
        <w:ind w:left="110" w:right="126" w:firstLine="320"/>
        <w:jc w:val="both"/>
      </w:pPr>
      <w:r>
        <w:rPr>
          <w:color w:val="231F20"/>
        </w:rPr>
        <w:t>Planning is a means of managing change. Given that sport tourism exists in a dynamic environment and given that these processes do not necessarily lead to sustainable outcomes, some sort of intervention in the</w:t>
      </w:r>
      <w:r>
        <w:rPr>
          <w:color w:val="231F20"/>
          <w:spacing w:val="-1"/>
        </w:rPr>
        <w:t xml:space="preserve"> </w:t>
      </w:r>
      <w:r>
        <w:rPr>
          <w:color w:val="231F20"/>
        </w:rPr>
        <w:t>development</w:t>
      </w:r>
      <w:r>
        <w:rPr>
          <w:color w:val="231F20"/>
          <w:spacing w:val="-1"/>
        </w:rPr>
        <w:t xml:space="preserve"> </w:t>
      </w:r>
      <w:r>
        <w:rPr>
          <w:color w:val="231F20"/>
        </w:rPr>
        <w:t>process</w:t>
      </w:r>
      <w:r>
        <w:rPr>
          <w:color w:val="231F20"/>
          <w:spacing w:val="-1"/>
        </w:rPr>
        <w:t xml:space="preserve"> </w:t>
      </w:r>
      <w:r>
        <w:rPr>
          <w:color w:val="231F20"/>
        </w:rPr>
        <w:t>is</w:t>
      </w:r>
      <w:r>
        <w:rPr>
          <w:color w:val="231F20"/>
          <w:spacing w:val="-1"/>
        </w:rPr>
        <w:t xml:space="preserve"> </w:t>
      </w:r>
      <w:r>
        <w:rPr>
          <w:color w:val="231F20"/>
        </w:rPr>
        <w:t>required</w:t>
      </w:r>
      <w:r>
        <w:rPr>
          <w:color w:val="231F20"/>
          <w:spacing w:val="-1"/>
        </w:rPr>
        <w:t xml:space="preserve"> </w:t>
      </w:r>
      <w:r>
        <w:rPr>
          <w:color w:val="231F20"/>
        </w:rPr>
        <w:t>to</w:t>
      </w:r>
      <w:r>
        <w:rPr>
          <w:color w:val="231F20"/>
          <w:spacing w:val="-1"/>
        </w:rPr>
        <w:t xml:space="preserve"> </w:t>
      </w:r>
      <w:r>
        <w:rPr>
          <w:color w:val="231F20"/>
        </w:rPr>
        <w:t>foster</w:t>
      </w:r>
      <w:r>
        <w:rPr>
          <w:color w:val="231F20"/>
          <w:spacing w:val="-1"/>
        </w:rPr>
        <w:t xml:space="preserve"> </w:t>
      </w:r>
      <w:r>
        <w:rPr>
          <w:color w:val="231F20"/>
        </w:rPr>
        <w:t>sust</w:t>
      </w:r>
      <w:r>
        <w:rPr>
          <w:color w:val="231F20"/>
        </w:rPr>
        <w:t>ainability.</w:t>
      </w:r>
      <w:r>
        <w:rPr>
          <w:color w:val="231F20"/>
          <w:spacing w:val="-1"/>
        </w:rPr>
        <w:t xml:space="preserve"> </w:t>
      </w:r>
      <w:r>
        <w:rPr>
          <w:color w:val="231F20"/>
        </w:rPr>
        <w:t xml:space="preserve">Essentially, ‘planning is a process of human thought and action based upon that </w:t>
      </w:r>
      <w:r>
        <w:rPr>
          <w:color w:val="231F20"/>
          <w:w w:val="95"/>
        </w:rPr>
        <w:t xml:space="preserve">thought…’ (Chadwick, 1971: 24). Planning is ‘concerned with anticipating </w:t>
      </w:r>
      <w:r>
        <w:rPr>
          <w:color w:val="231F20"/>
        </w:rPr>
        <w:t>and</w:t>
      </w:r>
      <w:r>
        <w:rPr>
          <w:color w:val="231F20"/>
          <w:spacing w:val="40"/>
        </w:rPr>
        <w:t xml:space="preserve"> </w:t>
      </w:r>
      <w:r>
        <w:rPr>
          <w:color w:val="231F20"/>
        </w:rPr>
        <w:t>regulating</w:t>
      </w:r>
      <w:r>
        <w:rPr>
          <w:color w:val="231F20"/>
          <w:spacing w:val="40"/>
        </w:rPr>
        <w:t xml:space="preserve"> </w:t>
      </w:r>
      <w:r>
        <w:rPr>
          <w:color w:val="231F20"/>
        </w:rPr>
        <w:t>change</w:t>
      </w:r>
      <w:r>
        <w:rPr>
          <w:color w:val="231F20"/>
          <w:spacing w:val="40"/>
        </w:rPr>
        <w:t xml:space="preserve"> </w:t>
      </w:r>
      <w:r>
        <w:rPr>
          <w:color w:val="231F20"/>
        </w:rPr>
        <w:t>in</w:t>
      </w:r>
      <w:r>
        <w:rPr>
          <w:color w:val="231F20"/>
          <w:spacing w:val="40"/>
        </w:rPr>
        <w:t xml:space="preserve"> </w:t>
      </w:r>
      <w:r>
        <w:rPr>
          <w:color w:val="231F20"/>
        </w:rPr>
        <w:t>a</w:t>
      </w:r>
      <w:r>
        <w:rPr>
          <w:color w:val="231F20"/>
          <w:spacing w:val="40"/>
        </w:rPr>
        <w:t xml:space="preserve"> </w:t>
      </w:r>
      <w:r>
        <w:rPr>
          <w:color w:val="231F20"/>
        </w:rPr>
        <w:t>system,</w:t>
      </w:r>
      <w:r>
        <w:rPr>
          <w:color w:val="231F20"/>
          <w:spacing w:val="40"/>
        </w:rPr>
        <w:t xml:space="preserve"> </w:t>
      </w:r>
      <w:r>
        <w:rPr>
          <w:color w:val="231F20"/>
        </w:rPr>
        <w:t>to</w:t>
      </w:r>
      <w:r>
        <w:rPr>
          <w:color w:val="231F20"/>
          <w:spacing w:val="40"/>
        </w:rPr>
        <w:t xml:space="preserve"> </w:t>
      </w:r>
      <w:r>
        <w:rPr>
          <w:color w:val="231F20"/>
        </w:rPr>
        <w:t>promote</w:t>
      </w:r>
      <w:r>
        <w:rPr>
          <w:color w:val="231F20"/>
          <w:spacing w:val="40"/>
        </w:rPr>
        <w:t xml:space="preserve"> </w:t>
      </w:r>
      <w:r>
        <w:rPr>
          <w:color w:val="231F20"/>
        </w:rPr>
        <w:t>orderly</w:t>
      </w:r>
      <w:r>
        <w:rPr>
          <w:color w:val="231F20"/>
          <w:spacing w:val="40"/>
        </w:rPr>
        <w:t xml:space="preserve"> </w:t>
      </w:r>
      <w:r>
        <w:rPr>
          <w:color w:val="231F20"/>
        </w:rPr>
        <w:t>development as</w:t>
      </w:r>
      <w:r>
        <w:rPr>
          <w:color w:val="231F20"/>
          <w:spacing w:val="24"/>
        </w:rPr>
        <w:t xml:space="preserve"> </w:t>
      </w:r>
      <w:r>
        <w:rPr>
          <w:color w:val="231F20"/>
        </w:rPr>
        <w:t>to</w:t>
      </w:r>
      <w:r>
        <w:rPr>
          <w:color w:val="231F20"/>
          <w:spacing w:val="25"/>
        </w:rPr>
        <w:t xml:space="preserve"> </w:t>
      </w:r>
      <w:r>
        <w:rPr>
          <w:color w:val="231F20"/>
        </w:rPr>
        <w:t>increase</w:t>
      </w:r>
      <w:r>
        <w:rPr>
          <w:color w:val="231F20"/>
          <w:spacing w:val="24"/>
        </w:rPr>
        <w:t xml:space="preserve"> </w:t>
      </w:r>
      <w:r>
        <w:rPr>
          <w:color w:val="231F20"/>
        </w:rPr>
        <w:t>the</w:t>
      </w:r>
      <w:r>
        <w:rPr>
          <w:color w:val="231F20"/>
          <w:spacing w:val="25"/>
        </w:rPr>
        <w:t xml:space="preserve"> </w:t>
      </w:r>
      <w:r>
        <w:rPr>
          <w:color w:val="231F20"/>
        </w:rPr>
        <w:t>social,</w:t>
      </w:r>
      <w:r>
        <w:rPr>
          <w:color w:val="231F20"/>
          <w:spacing w:val="24"/>
        </w:rPr>
        <w:t xml:space="preserve"> </w:t>
      </w:r>
      <w:r>
        <w:rPr>
          <w:color w:val="231F20"/>
        </w:rPr>
        <w:t>economic,</w:t>
      </w:r>
      <w:r>
        <w:rPr>
          <w:color w:val="231F20"/>
          <w:spacing w:val="25"/>
        </w:rPr>
        <w:t xml:space="preserve"> </w:t>
      </w:r>
      <w:r>
        <w:rPr>
          <w:color w:val="231F20"/>
        </w:rPr>
        <w:t>and</w:t>
      </w:r>
      <w:r>
        <w:rPr>
          <w:color w:val="231F20"/>
          <w:spacing w:val="24"/>
        </w:rPr>
        <w:t xml:space="preserve"> </w:t>
      </w:r>
      <w:r>
        <w:rPr>
          <w:color w:val="231F20"/>
        </w:rPr>
        <w:t>environmental</w:t>
      </w:r>
      <w:r>
        <w:rPr>
          <w:color w:val="231F20"/>
          <w:spacing w:val="25"/>
        </w:rPr>
        <w:t xml:space="preserve"> </w:t>
      </w:r>
      <w:r>
        <w:rPr>
          <w:color w:val="231F20"/>
        </w:rPr>
        <w:t>benefits</w:t>
      </w:r>
      <w:r>
        <w:rPr>
          <w:color w:val="231F20"/>
          <w:spacing w:val="25"/>
        </w:rPr>
        <w:t xml:space="preserve"> </w:t>
      </w:r>
      <w:r>
        <w:rPr>
          <w:color w:val="231F20"/>
        </w:rPr>
        <w:t>of</w:t>
      </w:r>
      <w:r>
        <w:rPr>
          <w:color w:val="231F20"/>
          <w:spacing w:val="24"/>
        </w:rPr>
        <w:t xml:space="preserve"> </w:t>
      </w:r>
      <w:r>
        <w:rPr>
          <w:color w:val="231F20"/>
          <w:spacing w:val="-5"/>
        </w:rPr>
        <w:t>the</w:t>
      </w:r>
    </w:p>
    <w:p w14:paraId="0F42D7B5" w14:textId="77777777" w:rsidR="00AE0598" w:rsidRDefault="00AE0598">
      <w:pPr>
        <w:spacing w:line="232" w:lineRule="auto"/>
        <w:jc w:val="both"/>
        <w:sectPr w:rsidR="00AE0598">
          <w:type w:val="continuous"/>
          <w:pgSz w:w="8850" w:h="13270"/>
          <w:pgMar w:top="1080" w:right="1060" w:bottom="280" w:left="1080" w:header="720" w:footer="720" w:gutter="0"/>
          <w:cols w:space="720"/>
        </w:sectPr>
      </w:pPr>
    </w:p>
    <w:p w14:paraId="1259EF5B" w14:textId="77777777" w:rsidR="00AE0598" w:rsidRDefault="0069255A">
      <w:pPr>
        <w:spacing w:before="87"/>
        <w:ind w:left="108"/>
        <w:rPr>
          <w:rFonts w:ascii="Trebuchet MS"/>
          <w:sz w:val="14"/>
        </w:rPr>
      </w:pPr>
      <w:r>
        <w:rPr>
          <w:rFonts w:ascii="Trebuchet MS"/>
          <w:color w:val="231F20"/>
          <w:w w:val="105"/>
          <w:sz w:val="14"/>
        </w:rPr>
        <w:lastRenderedPageBreak/>
        <w:t>70</w:t>
      </w:r>
      <w:r>
        <w:rPr>
          <w:rFonts w:ascii="Trebuchet MS"/>
          <w:color w:val="231F20"/>
          <w:spacing w:val="64"/>
          <w:w w:val="150"/>
          <w:sz w:val="14"/>
        </w:rPr>
        <w:t xml:space="preserve"> </w:t>
      </w:r>
      <w:r>
        <w:rPr>
          <w:rFonts w:ascii="Trebuchet MS"/>
          <w:color w:val="231F20"/>
          <w:w w:val="105"/>
          <w:sz w:val="14"/>
        </w:rPr>
        <w:t>Part</w:t>
      </w:r>
      <w:r>
        <w:rPr>
          <w:rFonts w:ascii="Trebuchet MS"/>
          <w:color w:val="231F20"/>
          <w:spacing w:val="-9"/>
          <w:w w:val="105"/>
          <w:sz w:val="14"/>
        </w:rPr>
        <w:t xml:space="preserve"> </w:t>
      </w:r>
      <w:r>
        <w:rPr>
          <w:rFonts w:ascii="Trebuchet MS"/>
          <w:color w:val="231F20"/>
          <w:w w:val="105"/>
          <w:sz w:val="14"/>
        </w:rPr>
        <w:t>2:</w:t>
      </w:r>
      <w:r>
        <w:rPr>
          <w:rFonts w:ascii="Trebuchet MS"/>
          <w:color w:val="231F20"/>
          <w:spacing w:val="-9"/>
          <w:w w:val="105"/>
          <w:sz w:val="14"/>
        </w:rPr>
        <w:t xml:space="preserve"> </w:t>
      </w:r>
      <w:r>
        <w:rPr>
          <w:rFonts w:ascii="Trebuchet MS"/>
          <w:color w:val="231F20"/>
          <w:w w:val="105"/>
          <w:sz w:val="14"/>
        </w:rPr>
        <w:t>Foundations</w:t>
      </w:r>
      <w:r>
        <w:rPr>
          <w:rFonts w:ascii="Trebuchet MS"/>
          <w:color w:val="231F20"/>
          <w:spacing w:val="-9"/>
          <w:w w:val="105"/>
          <w:sz w:val="14"/>
        </w:rPr>
        <w:t xml:space="preserve"> </w:t>
      </w:r>
      <w:r>
        <w:rPr>
          <w:rFonts w:ascii="Trebuchet MS"/>
          <w:color w:val="231F20"/>
          <w:w w:val="105"/>
          <w:sz w:val="14"/>
        </w:rPr>
        <w:t>of</w:t>
      </w:r>
      <w:r>
        <w:rPr>
          <w:rFonts w:ascii="Trebuchet MS"/>
          <w:color w:val="231F20"/>
          <w:spacing w:val="-9"/>
          <w:w w:val="105"/>
          <w:sz w:val="14"/>
        </w:rPr>
        <w:t xml:space="preserve"> </w:t>
      </w:r>
      <w:r>
        <w:rPr>
          <w:rFonts w:ascii="Trebuchet MS"/>
          <w:color w:val="231F20"/>
          <w:w w:val="105"/>
          <w:sz w:val="14"/>
        </w:rPr>
        <w:t>Sport</w:t>
      </w:r>
      <w:r>
        <w:rPr>
          <w:rFonts w:ascii="Trebuchet MS"/>
          <w:color w:val="231F20"/>
          <w:spacing w:val="-9"/>
          <w:w w:val="105"/>
          <w:sz w:val="14"/>
        </w:rPr>
        <w:t xml:space="preserve"> </w:t>
      </w:r>
      <w:r>
        <w:rPr>
          <w:rFonts w:ascii="Trebuchet MS"/>
          <w:color w:val="231F20"/>
          <w:w w:val="105"/>
          <w:sz w:val="14"/>
        </w:rPr>
        <w:t>Tourism</w:t>
      </w:r>
      <w:r>
        <w:rPr>
          <w:rFonts w:ascii="Trebuchet MS"/>
          <w:color w:val="231F20"/>
          <w:spacing w:val="-9"/>
          <w:w w:val="105"/>
          <w:sz w:val="14"/>
        </w:rPr>
        <w:t xml:space="preserve"> </w:t>
      </w:r>
      <w:r>
        <w:rPr>
          <w:rFonts w:ascii="Trebuchet MS"/>
          <w:color w:val="231F20"/>
          <w:spacing w:val="-2"/>
          <w:w w:val="105"/>
          <w:sz w:val="14"/>
        </w:rPr>
        <w:t>Development</w:t>
      </w:r>
    </w:p>
    <w:p w14:paraId="1F403D2B" w14:textId="77777777" w:rsidR="00AE0598" w:rsidRDefault="00AE0598">
      <w:pPr>
        <w:pStyle w:val="Corpodetexto"/>
        <w:rPr>
          <w:rFonts w:ascii="Trebuchet MS"/>
          <w:sz w:val="16"/>
        </w:rPr>
      </w:pPr>
    </w:p>
    <w:p w14:paraId="7E775C8E" w14:textId="77777777" w:rsidR="00AE0598" w:rsidRDefault="0069255A">
      <w:pPr>
        <w:pStyle w:val="Corpodetexto"/>
        <w:spacing w:before="118" w:line="232" w:lineRule="auto"/>
        <w:ind w:left="110" w:right="127"/>
        <w:jc w:val="both"/>
      </w:pPr>
      <w:r>
        <w:rPr>
          <w:color w:val="231F20"/>
          <w:w w:val="95"/>
        </w:rPr>
        <w:t xml:space="preserve">development process’ (Murphy, 1985: 156). It is based on the assumption </w:t>
      </w:r>
      <w:r>
        <w:rPr>
          <w:color w:val="231F20"/>
        </w:rPr>
        <w:t>that even a partial understanding of the dynamics of sport tour</w:t>
      </w:r>
      <w:r>
        <w:rPr>
          <w:color w:val="231F20"/>
        </w:rPr>
        <w:t xml:space="preserve">ism and the world in which it exists, provides the basis to influence change. By </w:t>
      </w:r>
      <w:r>
        <w:rPr>
          <w:color w:val="231F20"/>
          <w:w w:val="95"/>
        </w:rPr>
        <w:t xml:space="preserve">consciously initiating this type of process, developers of sport tourism not </w:t>
      </w:r>
      <w:r>
        <w:rPr>
          <w:color w:val="231F20"/>
        </w:rPr>
        <w:t>only</w:t>
      </w:r>
      <w:r>
        <w:rPr>
          <w:color w:val="231F20"/>
          <w:spacing w:val="-2"/>
        </w:rPr>
        <w:t xml:space="preserve"> </w:t>
      </w:r>
      <w:r>
        <w:rPr>
          <w:color w:val="231F20"/>
        </w:rPr>
        <w:t>act</w:t>
      </w:r>
      <w:r>
        <w:rPr>
          <w:color w:val="231F20"/>
          <w:spacing w:val="-2"/>
        </w:rPr>
        <w:t xml:space="preserve"> </w:t>
      </w:r>
      <w:r>
        <w:rPr>
          <w:color w:val="231F20"/>
        </w:rPr>
        <w:t>in</w:t>
      </w:r>
      <w:r>
        <w:rPr>
          <w:color w:val="231F20"/>
          <w:spacing w:val="-2"/>
        </w:rPr>
        <w:t xml:space="preserve"> </w:t>
      </w:r>
      <w:r>
        <w:rPr>
          <w:color w:val="231F20"/>
        </w:rPr>
        <w:t>their</w:t>
      </w:r>
      <w:r>
        <w:rPr>
          <w:color w:val="231F20"/>
          <w:spacing w:val="-2"/>
        </w:rPr>
        <w:t xml:space="preserve"> </w:t>
      </w:r>
      <w:r>
        <w:rPr>
          <w:color w:val="231F20"/>
        </w:rPr>
        <w:t>best</w:t>
      </w:r>
      <w:r>
        <w:rPr>
          <w:color w:val="231F20"/>
          <w:spacing w:val="-2"/>
        </w:rPr>
        <w:t xml:space="preserve"> </w:t>
      </w:r>
      <w:r>
        <w:rPr>
          <w:color w:val="231F20"/>
        </w:rPr>
        <w:t>self-interests,</w:t>
      </w:r>
      <w:r>
        <w:rPr>
          <w:color w:val="231F20"/>
          <w:spacing w:val="-2"/>
        </w:rPr>
        <w:t xml:space="preserve"> </w:t>
      </w:r>
      <w:r>
        <w:rPr>
          <w:color w:val="231F20"/>
        </w:rPr>
        <w:t>but</w:t>
      </w:r>
      <w:r>
        <w:rPr>
          <w:color w:val="231F20"/>
          <w:spacing w:val="-2"/>
        </w:rPr>
        <w:t xml:space="preserve"> </w:t>
      </w:r>
      <w:r>
        <w:rPr>
          <w:color w:val="231F20"/>
        </w:rPr>
        <w:t>they</w:t>
      </w:r>
      <w:r>
        <w:rPr>
          <w:color w:val="231F20"/>
          <w:spacing w:val="-2"/>
        </w:rPr>
        <w:t xml:space="preserve"> </w:t>
      </w:r>
      <w:r>
        <w:rPr>
          <w:color w:val="231F20"/>
        </w:rPr>
        <w:t>make</w:t>
      </w:r>
      <w:r>
        <w:rPr>
          <w:color w:val="231F20"/>
          <w:spacing w:val="-2"/>
        </w:rPr>
        <w:t xml:space="preserve"> </w:t>
      </w:r>
      <w:r>
        <w:rPr>
          <w:color w:val="231F20"/>
        </w:rPr>
        <w:t>positive</w:t>
      </w:r>
      <w:r>
        <w:rPr>
          <w:color w:val="231F20"/>
          <w:spacing w:val="-2"/>
        </w:rPr>
        <w:t xml:space="preserve"> </w:t>
      </w:r>
      <w:r>
        <w:rPr>
          <w:color w:val="231F20"/>
        </w:rPr>
        <w:t>contributions to the sustainability of the social, cultural, economic and environmental systems in which they function.</w:t>
      </w:r>
    </w:p>
    <w:p w14:paraId="4426ADCB" w14:textId="77777777" w:rsidR="00AE0598" w:rsidRDefault="0069255A">
      <w:pPr>
        <w:pStyle w:val="Corpodetexto"/>
        <w:spacing w:before="8" w:line="232" w:lineRule="auto"/>
        <w:ind w:left="110" w:right="126" w:firstLine="320"/>
        <w:jc w:val="both"/>
      </w:pPr>
      <w:r>
        <w:rPr>
          <w:color w:val="231F20"/>
        </w:rPr>
        <w:t>The underlying process for planning is consistent across a broad range</w:t>
      </w:r>
      <w:r>
        <w:rPr>
          <w:color w:val="231F20"/>
          <w:spacing w:val="-9"/>
        </w:rPr>
        <w:t xml:space="preserve"> </w:t>
      </w:r>
      <w:r>
        <w:rPr>
          <w:color w:val="231F20"/>
        </w:rPr>
        <w:t>of</w:t>
      </w:r>
      <w:r>
        <w:rPr>
          <w:color w:val="231F20"/>
          <w:spacing w:val="-9"/>
        </w:rPr>
        <w:t xml:space="preserve"> </w:t>
      </w:r>
      <w:r>
        <w:rPr>
          <w:color w:val="231F20"/>
        </w:rPr>
        <w:t>fields</w:t>
      </w:r>
      <w:r>
        <w:rPr>
          <w:color w:val="231F20"/>
          <w:spacing w:val="-9"/>
        </w:rPr>
        <w:t xml:space="preserve"> </w:t>
      </w:r>
      <w:r>
        <w:rPr>
          <w:color w:val="231F20"/>
        </w:rPr>
        <w:t>and</w:t>
      </w:r>
      <w:r>
        <w:rPr>
          <w:color w:val="231F20"/>
          <w:spacing w:val="-9"/>
        </w:rPr>
        <w:t xml:space="preserve"> </w:t>
      </w:r>
      <w:r>
        <w:rPr>
          <w:color w:val="231F20"/>
        </w:rPr>
        <w:t>disciplines.</w:t>
      </w:r>
      <w:r>
        <w:rPr>
          <w:color w:val="231F20"/>
          <w:spacing w:val="-9"/>
        </w:rPr>
        <w:t xml:space="preserve"> </w:t>
      </w:r>
      <w:r>
        <w:rPr>
          <w:color w:val="231F20"/>
        </w:rPr>
        <w:t>It</w:t>
      </w:r>
      <w:r>
        <w:rPr>
          <w:color w:val="231F20"/>
          <w:spacing w:val="-9"/>
        </w:rPr>
        <w:t xml:space="preserve"> </w:t>
      </w:r>
      <w:r>
        <w:rPr>
          <w:color w:val="231F20"/>
        </w:rPr>
        <w:t>is</w:t>
      </w:r>
      <w:r>
        <w:rPr>
          <w:color w:val="231F20"/>
          <w:spacing w:val="-9"/>
        </w:rPr>
        <w:t xml:space="preserve"> </w:t>
      </w:r>
      <w:r>
        <w:rPr>
          <w:color w:val="231F20"/>
        </w:rPr>
        <w:t>based</w:t>
      </w:r>
      <w:r>
        <w:rPr>
          <w:color w:val="231F20"/>
          <w:spacing w:val="-9"/>
        </w:rPr>
        <w:t xml:space="preserve"> </w:t>
      </w:r>
      <w:r>
        <w:rPr>
          <w:color w:val="231F20"/>
        </w:rPr>
        <w:t>on</w:t>
      </w:r>
      <w:r>
        <w:rPr>
          <w:color w:val="231F20"/>
          <w:spacing w:val="-9"/>
        </w:rPr>
        <w:t xml:space="preserve"> </w:t>
      </w:r>
      <w:r>
        <w:rPr>
          <w:color w:val="231F20"/>
        </w:rPr>
        <w:t>an</w:t>
      </w:r>
      <w:r>
        <w:rPr>
          <w:color w:val="231F20"/>
          <w:spacing w:val="-9"/>
        </w:rPr>
        <w:t xml:space="preserve"> </w:t>
      </w:r>
      <w:r>
        <w:rPr>
          <w:color w:val="231F20"/>
        </w:rPr>
        <w:t>assessment</w:t>
      </w:r>
      <w:r>
        <w:rPr>
          <w:color w:val="231F20"/>
          <w:spacing w:val="-9"/>
        </w:rPr>
        <w:t xml:space="preserve"> </w:t>
      </w:r>
      <w:r>
        <w:rPr>
          <w:color w:val="231F20"/>
        </w:rPr>
        <w:t>of</w:t>
      </w:r>
      <w:r>
        <w:rPr>
          <w:color w:val="231F20"/>
          <w:spacing w:val="-9"/>
        </w:rPr>
        <w:t xml:space="preserve"> </w:t>
      </w:r>
      <w:r>
        <w:rPr>
          <w:color w:val="231F20"/>
        </w:rPr>
        <w:t>the</w:t>
      </w:r>
      <w:r>
        <w:rPr>
          <w:color w:val="231F20"/>
          <w:spacing w:val="-9"/>
        </w:rPr>
        <w:t xml:space="preserve"> </w:t>
      </w:r>
      <w:r>
        <w:rPr>
          <w:color w:val="231F20"/>
        </w:rPr>
        <w:t>cu</w:t>
      </w:r>
      <w:r>
        <w:rPr>
          <w:color w:val="231F20"/>
        </w:rPr>
        <w:t xml:space="preserve">rrent situation, likely changes that will occur in the environment in which the plan is being conducted, decisions on the desired end state, formulation of some sort of action plan, its implementation, followed by monitoring, </w:t>
      </w:r>
      <w:r>
        <w:rPr>
          <w:color w:val="231F20"/>
          <w:w w:val="95"/>
        </w:rPr>
        <w:t>assessment and adjustment as r</w:t>
      </w:r>
      <w:r>
        <w:rPr>
          <w:color w:val="231F20"/>
          <w:w w:val="95"/>
        </w:rPr>
        <w:t xml:space="preserve">equired (Esfahani </w:t>
      </w:r>
      <w:r>
        <w:rPr>
          <w:i/>
          <w:color w:val="231F20"/>
          <w:w w:val="95"/>
        </w:rPr>
        <w:t>et al</w:t>
      </w:r>
      <w:r>
        <w:rPr>
          <w:color w:val="231F20"/>
          <w:w w:val="95"/>
        </w:rPr>
        <w:t xml:space="preserve">., 2009). Bagheri and </w:t>
      </w:r>
      <w:r>
        <w:rPr>
          <w:color w:val="231F20"/>
        </w:rPr>
        <w:t xml:space="preserve">Hjorth (2007) argue that ‘process-oriented’ planning is more important </w:t>
      </w:r>
      <w:r>
        <w:rPr>
          <w:color w:val="231F20"/>
          <w:w w:val="95"/>
        </w:rPr>
        <w:t xml:space="preserve">than ‘goal-oriented’ planning because sustainable development is an ideal </w:t>
      </w:r>
      <w:r>
        <w:rPr>
          <w:color w:val="231F20"/>
        </w:rPr>
        <w:t>not an absolute end point. From this perspective, the true benefit</w:t>
      </w:r>
      <w:r>
        <w:rPr>
          <w:color w:val="231F20"/>
        </w:rPr>
        <w:t xml:space="preserve"> lies in </w:t>
      </w:r>
      <w:r>
        <w:rPr>
          <w:color w:val="231F20"/>
          <w:w w:val="95"/>
        </w:rPr>
        <w:t xml:space="preserve">the social learning process of engaged stakeholders. Yang and Wall (2009) </w:t>
      </w:r>
      <w:r>
        <w:rPr>
          <w:color w:val="231F20"/>
        </w:rPr>
        <w:t>illustrate</w:t>
      </w:r>
      <w:r>
        <w:rPr>
          <w:color w:val="231F20"/>
          <w:spacing w:val="-4"/>
        </w:rPr>
        <w:t xml:space="preserve"> </w:t>
      </w:r>
      <w:r>
        <w:rPr>
          <w:color w:val="231F20"/>
        </w:rPr>
        <w:t>this</w:t>
      </w:r>
      <w:r>
        <w:rPr>
          <w:color w:val="231F20"/>
          <w:spacing w:val="-4"/>
        </w:rPr>
        <w:t xml:space="preserve"> </w:t>
      </w:r>
      <w:r>
        <w:rPr>
          <w:color w:val="231F20"/>
        </w:rPr>
        <w:t>with</w:t>
      </w:r>
      <w:r>
        <w:rPr>
          <w:color w:val="231F20"/>
          <w:spacing w:val="-4"/>
        </w:rPr>
        <w:t xml:space="preserve"> </w:t>
      </w:r>
      <w:r>
        <w:rPr>
          <w:color w:val="231F20"/>
        </w:rPr>
        <w:t>their</w:t>
      </w:r>
      <w:r>
        <w:rPr>
          <w:color w:val="231F20"/>
          <w:spacing w:val="-4"/>
        </w:rPr>
        <w:t xml:space="preserve"> </w:t>
      </w:r>
      <w:r>
        <w:rPr>
          <w:color w:val="231F20"/>
        </w:rPr>
        <w:t>study</w:t>
      </w:r>
      <w:r>
        <w:rPr>
          <w:color w:val="231F20"/>
          <w:spacing w:val="-4"/>
        </w:rPr>
        <w:t xml:space="preserve"> </w:t>
      </w:r>
      <w:r>
        <w:rPr>
          <w:color w:val="231F20"/>
        </w:rPr>
        <w:t>of</w:t>
      </w:r>
      <w:r>
        <w:rPr>
          <w:color w:val="231F20"/>
          <w:spacing w:val="-4"/>
        </w:rPr>
        <w:t xml:space="preserve"> </w:t>
      </w:r>
      <w:r>
        <w:rPr>
          <w:color w:val="231F20"/>
        </w:rPr>
        <w:t>sustainable</w:t>
      </w:r>
      <w:r>
        <w:rPr>
          <w:color w:val="231F20"/>
          <w:spacing w:val="-4"/>
        </w:rPr>
        <w:t xml:space="preserve"> </w:t>
      </w:r>
      <w:r>
        <w:rPr>
          <w:color w:val="231F20"/>
        </w:rPr>
        <w:t>planning</w:t>
      </w:r>
      <w:r>
        <w:rPr>
          <w:color w:val="231F20"/>
          <w:spacing w:val="-4"/>
        </w:rPr>
        <w:t xml:space="preserve"> </w:t>
      </w:r>
      <w:r>
        <w:rPr>
          <w:color w:val="231F20"/>
        </w:rPr>
        <w:t>for</w:t>
      </w:r>
      <w:r>
        <w:rPr>
          <w:color w:val="231F20"/>
          <w:spacing w:val="-4"/>
        </w:rPr>
        <w:t xml:space="preserve"> </w:t>
      </w:r>
      <w:r>
        <w:rPr>
          <w:color w:val="231F20"/>
        </w:rPr>
        <w:t>ethnic</w:t>
      </w:r>
      <w:r>
        <w:rPr>
          <w:color w:val="231F20"/>
          <w:spacing w:val="-4"/>
        </w:rPr>
        <w:t xml:space="preserve"> </w:t>
      </w:r>
      <w:r>
        <w:rPr>
          <w:color w:val="231F20"/>
        </w:rPr>
        <w:t>tourism in Xishuangbanna, China. They make the point that planners must deal with dynamic issues, which r</w:t>
      </w:r>
      <w:r>
        <w:rPr>
          <w:color w:val="231F20"/>
        </w:rPr>
        <w:t xml:space="preserve">equire ongoing resolution rather than one- </w:t>
      </w:r>
      <w:r>
        <w:rPr>
          <w:color w:val="231F20"/>
          <w:w w:val="95"/>
        </w:rPr>
        <w:t>time attention. While Yang and Wall drew their conclusions in the context</w:t>
      </w:r>
      <w:r>
        <w:rPr>
          <w:color w:val="231F20"/>
          <w:spacing w:val="80"/>
        </w:rPr>
        <w:t xml:space="preserve"> </w:t>
      </w:r>
      <w:r>
        <w:rPr>
          <w:color w:val="231F20"/>
          <w:w w:val="95"/>
        </w:rPr>
        <w:t xml:space="preserve">of ethnic tourism, parallel issues that require continuous attention exist in </w:t>
      </w:r>
      <w:r>
        <w:rPr>
          <w:color w:val="231F20"/>
        </w:rPr>
        <w:t>the realm of sport tourism.</w:t>
      </w:r>
    </w:p>
    <w:p w14:paraId="1AE6287A" w14:textId="77777777" w:rsidR="00AE0598" w:rsidRDefault="00AE0598">
      <w:pPr>
        <w:pStyle w:val="Corpodetexto"/>
        <w:spacing w:before="7"/>
        <w:rPr>
          <w:sz w:val="22"/>
        </w:rPr>
      </w:pPr>
    </w:p>
    <w:p w14:paraId="0AABA119" w14:textId="77777777" w:rsidR="00AE0598" w:rsidRDefault="0069255A">
      <w:pPr>
        <w:ind w:left="110"/>
        <w:jc w:val="both"/>
        <w:rPr>
          <w:rFonts w:ascii="Trebuchet MS"/>
          <w:b/>
          <w:sz w:val="20"/>
        </w:rPr>
      </w:pPr>
      <w:r>
        <w:rPr>
          <w:rFonts w:ascii="Trebuchet MS"/>
          <w:b/>
          <w:color w:val="231F20"/>
          <w:sz w:val="20"/>
        </w:rPr>
        <w:t>Development</w:t>
      </w:r>
      <w:r>
        <w:rPr>
          <w:rFonts w:ascii="Trebuchet MS"/>
          <w:b/>
          <w:color w:val="231F20"/>
          <w:spacing w:val="17"/>
          <w:sz w:val="20"/>
        </w:rPr>
        <w:t xml:space="preserve"> </w:t>
      </w:r>
      <w:r>
        <w:rPr>
          <w:rFonts w:ascii="Trebuchet MS"/>
          <w:b/>
          <w:color w:val="231F20"/>
          <w:spacing w:val="-2"/>
          <w:sz w:val="20"/>
        </w:rPr>
        <w:t>Issues</w:t>
      </w:r>
    </w:p>
    <w:p w14:paraId="754FE836" w14:textId="77777777" w:rsidR="00AE0598" w:rsidRDefault="0069255A">
      <w:pPr>
        <w:pStyle w:val="Corpodetexto"/>
        <w:spacing w:before="122" w:line="232" w:lineRule="auto"/>
        <w:ind w:left="110" w:right="127" w:firstLine="320"/>
        <w:jc w:val="both"/>
      </w:pPr>
      <w:r>
        <w:rPr>
          <w:color w:val="231F20"/>
        </w:rPr>
        <w:t>If planning interventions in the development process are to be successful, then informed consideration of the many issues that exist within</w:t>
      </w:r>
      <w:r>
        <w:rPr>
          <w:color w:val="231F20"/>
          <w:spacing w:val="-6"/>
        </w:rPr>
        <w:t xml:space="preserve"> </w:t>
      </w:r>
      <w:r>
        <w:rPr>
          <w:color w:val="231F20"/>
        </w:rPr>
        <w:t>the</w:t>
      </w:r>
      <w:r>
        <w:rPr>
          <w:color w:val="231F20"/>
          <w:spacing w:val="-6"/>
        </w:rPr>
        <w:t xml:space="preserve"> </w:t>
      </w:r>
      <w:r>
        <w:rPr>
          <w:color w:val="231F20"/>
        </w:rPr>
        <w:t>field</w:t>
      </w:r>
      <w:r>
        <w:rPr>
          <w:color w:val="231F20"/>
          <w:spacing w:val="-7"/>
        </w:rPr>
        <w:t xml:space="preserve"> </w:t>
      </w:r>
      <w:r>
        <w:rPr>
          <w:color w:val="231F20"/>
        </w:rPr>
        <w:t>of</w:t>
      </w:r>
      <w:r>
        <w:rPr>
          <w:color w:val="231F20"/>
          <w:spacing w:val="-6"/>
        </w:rPr>
        <w:t xml:space="preserve"> </w:t>
      </w:r>
      <w:r>
        <w:rPr>
          <w:color w:val="231F20"/>
        </w:rPr>
        <w:t>sport</w:t>
      </w:r>
      <w:r>
        <w:rPr>
          <w:color w:val="231F20"/>
          <w:spacing w:val="-7"/>
        </w:rPr>
        <w:t xml:space="preserve"> </w:t>
      </w:r>
      <w:r>
        <w:rPr>
          <w:color w:val="231F20"/>
        </w:rPr>
        <w:t>tourism</w:t>
      </w:r>
      <w:r>
        <w:rPr>
          <w:color w:val="231F20"/>
          <w:spacing w:val="-7"/>
        </w:rPr>
        <w:t xml:space="preserve"> </w:t>
      </w:r>
      <w:r>
        <w:rPr>
          <w:color w:val="231F20"/>
        </w:rPr>
        <w:t>is</w:t>
      </w:r>
      <w:r>
        <w:rPr>
          <w:color w:val="231F20"/>
          <w:spacing w:val="-7"/>
        </w:rPr>
        <w:t xml:space="preserve"> </w:t>
      </w:r>
      <w:r>
        <w:rPr>
          <w:color w:val="231F20"/>
        </w:rPr>
        <w:t>necessary.</w:t>
      </w:r>
      <w:r>
        <w:rPr>
          <w:color w:val="231F20"/>
          <w:spacing w:val="-6"/>
        </w:rPr>
        <w:t xml:space="preserve"> </w:t>
      </w:r>
      <w:r>
        <w:rPr>
          <w:color w:val="231F20"/>
        </w:rPr>
        <w:t>A</w:t>
      </w:r>
      <w:r>
        <w:rPr>
          <w:color w:val="231F20"/>
          <w:spacing w:val="-7"/>
        </w:rPr>
        <w:t xml:space="preserve"> </w:t>
      </w:r>
      <w:r>
        <w:rPr>
          <w:color w:val="231F20"/>
        </w:rPr>
        <w:t>number</w:t>
      </w:r>
      <w:r>
        <w:rPr>
          <w:color w:val="231F20"/>
          <w:spacing w:val="-7"/>
        </w:rPr>
        <w:t xml:space="preserve"> </w:t>
      </w:r>
      <w:r>
        <w:rPr>
          <w:color w:val="231F20"/>
        </w:rPr>
        <w:t>of</w:t>
      </w:r>
      <w:r>
        <w:rPr>
          <w:color w:val="231F20"/>
          <w:spacing w:val="-6"/>
        </w:rPr>
        <w:t xml:space="preserve"> </w:t>
      </w:r>
      <w:r>
        <w:rPr>
          <w:color w:val="231F20"/>
        </w:rPr>
        <w:t>specific</w:t>
      </w:r>
      <w:r>
        <w:rPr>
          <w:color w:val="231F20"/>
          <w:spacing w:val="-6"/>
        </w:rPr>
        <w:t xml:space="preserve"> </w:t>
      </w:r>
      <w:r>
        <w:rPr>
          <w:color w:val="231F20"/>
        </w:rPr>
        <w:t>issues are</w:t>
      </w:r>
      <w:r>
        <w:rPr>
          <w:color w:val="231F20"/>
          <w:spacing w:val="-10"/>
        </w:rPr>
        <w:t xml:space="preserve"> </w:t>
      </w:r>
      <w:r>
        <w:rPr>
          <w:color w:val="231F20"/>
        </w:rPr>
        <w:t>introduced</w:t>
      </w:r>
      <w:r>
        <w:rPr>
          <w:color w:val="231F20"/>
          <w:spacing w:val="-10"/>
        </w:rPr>
        <w:t xml:space="preserve"> </w:t>
      </w:r>
      <w:r>
        <w:rPr>
          <w:color w:val="231F20"/>
        </w:rPr>
        <w:t>and</w:t>
      </w:r>
      <w:r>
        <w:rPr>
          <w:color w:val="231F20"/>
          <w:spacing w:val="-10"/>
        </w:rPr>
        <w:t xml:space="preserve"> </w:t>
      </w:r>
      <w:r>
        <w:rPr>
          <w:color w:val="231F20"/>
        </w:rPr>
        <w:t>discussed</w:t>
      </w:r>
      <w:r>
        <w:rPr>
          <w:color w:val="231F20"/>
          <w:spacing w:val="-10"/>
        </w:rPr>
        <w:t xml:space="preserve"> </w:t>
      </w:r>
      <w:r>
        <w:rPr>
          <w:color w:val="231F20"/>
        </w:rPr>
        <w:t>in</w:t>
      </w:r>
      <w:r>
        <w:rPr>
          <w:color w:val="231F20"/>
          <w:spacing w:val="-10"/>
        </w:rPr>
        <w:t xml:space="preserve"> </w:t>
      </w:r>
      <w:r>
        <w:rPr>
          <w:color w:val="231F20"/>
        </w:rPr>
        <w:t>the</w:t>
      </w:r>
      <w:r>
        <w:rPr>
          <w:color w:val="231F20"/>
          <w:spacing w:val="-10"/>
        </w:rPr>
        <w:t xml:space="preserve"> </w:t>
      </w:r>
      <w:r>
        <w:rPr>
          <w:color w:val="231F20"/>
        </w:rPr>
        <w:t>chapters</w:t>
      </w:r>
      <w:r>
        <w:rPr>
          <w:color w:val="231F20"/>
          <w:spacing w:val="-10"/>
        </w:rPr>
        <w:t xml:space="preserve"> </w:t>
      </w:r>
      <w:r>
        <w:rPr>
          <w:color w:val="231F20"/>
        </w:rPr>
        <w:t>th</w:t>
      </w:r>
      <w:r>
        <w:rPr>
          <w:color w:val="231F20"/>
        </w:rPr>
        <w:t>at</w:t>
      </w:r>
      <w:r>
        <w:rPr>
          <w:color w:val="231F20"/>
          <w:spacing w:val="-10"/>
        </w:rPr>
        <w:t xml:space="preserve"> </w:t>
      </w:r>
      <w:r>
        <w:rPr>
          <w:color w:val="231F20"/>
        </w:rPr>
        <w:t>follow,</w:t>
      </w:r>
      <w:r>
        <w:rPr>
          <w:color w:val="231F20"/>
          <w:spacing w:val="-10"/>
        </w:rPr>
        <w:t xml:space="preserve"> </w:t>
      </w:r>
      <w:r>
        <w:rPr>
          <w:color w:val="231F20"/>
        </w:rPr>
        <w:t>but</w:t>
      </w:r>
      <w:r>
        <w:rPr>
          <w:color w:val="231F20"/>
          <w:spacing w:val="-10"/>
        </w:rPr>
        <w:t xml:space="preserve"> </w:t>
      </w:r>
      <w:r>
        <w:rPr>
          <w:color w:val="231F20"/>
        </w:rPr>
        <w:t>three</w:t>
      </w:r>
      <w:r>
        <w:rPr>
          <w:color w:val="231F20"/>
          <w:spacing w:val="-10"/>
        </w:rPr>
        <w:t xml:space="preserve"> </w:t>
      </w:r>
      <w:r>
        <w:rPr>
          <w:color w:val="231F20"/>
        </w:rPr>
        <w:t xml:space="preserve">issues have particular significance to sport tourism development. These issues include </w:t>
      </w:r>
      <w:r>
        <w:rPr>
          <w:color w:val="231F20"/>
          <w:w w:val="101"/>
        </w:rPr>
        <w:t>c</w:t>
      </w:r>
      <w:r>
        <w:rPr>
          <w:color w:val="231F20"/>
          <w:spacing w:val="-3"/>
          <w:w w:val="105"/>
        </w:rPr>
        <w:t>o</w:t>
      </w:r>
      <w:r>
        <w:rPr>
          <w:color w:val="231F20"/>
          <w:spacing w:val="2"/>
          <w:w w:val="101"/>
        </w:rPr>
        <w:t>m</w:t>
      </w:r>
      <w:r>
        <w:rPr>
          <w:color w:val="231F20"/>
          <w:spacing w:val="-2"/>
          <w:w w:val="101"/>
        </w:rPr>
        <w:t>m</w:t>
      </w:r>
      <w:r>
        <w:rPr>
          <w:color w:val="231F20"/>
          <w:spacing w:val="2"/>
          <w:w w:val="102"/>
        </w:rPr>
        <w:t>o</w:t>
      </w:r>
      <w:r>
        <w:rPr>
          <w:color w:val="231F20"/>
          <w:spacing w:val="3"/>
          <w:w w:val="102"/>
        </w:rPr>
        <w:t>d</w:t>
      </w:r>
      <w:r>
        <w:rPr>
          <w:color w:val="231F20"/>
          <w:spacing w:val="2"/>
          <w:w w:val="102"/>
        </w:rPr>
        <w:t>i</w:t>
      </w:r>
      <w:r>
        <w:rPr>
          <w:color w:val="231F20"/>
          <w:w w:val="96"/>
        </w:rPr>
        <w:t>fi</w:t>
      </w:r>
      <w:r>
        <w:rPr>
          <w:color w:val="231F20"/>
          <w:spacing w:val="2"/>
          <w:w w:val="102"/>
        </w:rPr>
        <w:t>c</w:t>
      </w:r>
      <w:r>
        <w:rPr>
          <w:color w:val="231F20"/>
          <w:spacing w:val="-3"/>
          <w:w w:val="102"/>
        </w:rPr>
        <w:t>a</w:t>
      </w:r>
      <w:r>
        <w:rPr>
          <w:color w:val="231F20"/>
          <w:spacing w:val="2"/>
          <w:w w:val="101"/>
        </w:rPr>
        <w:t>t</w:t>
      </w:r>
      <w:r>
        <w:rPr>
          <w:color w:val="231F20"/>
          <w:spacing w:val="-3"/>
          <w:w w:val="101"/>
        </w:rPr>
        <w:t>i</w:t>
      </w:r>
      <w:r>
        <w:rPr>
          <w:color w:val="231F20"/>
          <w:spacing w:val="-2"/>
          <w:w w:val="105"/>
        </w:rPr>
        <w:t>o</w:t>
      </w:r>
      <w:r>
        <w:rPr>
          <w:color w:val="231F20"/>
          <w:spacing w:val="8"/>
        </w:rPr>
        <w:t>n</w:t>
      </w:r>
      <w:r>
        <w:rPr>
          <w:color w:val="231F20"/>
          <w:spacing w:val="-9"/>
          <w:w w:val="62"/>
        </w:rPr>
        <w:t>/</w:t>
      </w:r>
      <w:r>
        <w:rPr>
          <w:color w:val="231F20"/>
          <w:spacing w:val="-4"/>
          <w:w w:val="103"/>
        </w:rPr>
        <w:t>a</w:t>
      </w:r>
      <w:r>
        <w:rPr>
          <w:color w:val="231F20"/>
          <w:spacing w:val="-2"/>
          <w:w w:val="101"/>
        </w:rPr>
        <w:t>u</w:t>
      </w:r>
      <w:r>
        <w:rPr>
          <w:color w:val="231F20"/>
          <w:spacing w:val="3"/>
        </w:rPr>
        <w:t>t</w:t>
      </w:r>
      <w:r>
        <w:rPr>
          <w:color w:val="231F20"/>
          <w:spacing w:val="-1"/>
          <w:w w:val="101"/>
        </w:rPr>
        <w:t>h</w:t>
      </w:r>
      <w:r>
        <w:rPr>
          <w:color w:val="231F20"/>
          <w:w w:val="92"/>
        </w:rPr>
        <w:t>e</w:t>
      </w:r>
      <w:r>
        <w:rPr>
          <w:color w:val="231F20"/>
          <w:spacing w:val="-2"/>
        </w:rPr>
        <w:t>n</w:t>
      </w:r>
      <w:r>
        <w:rPr>
          <w:color w:val="231F20"/>
          <w:spacing w:val="2"/>
        </w:rPr>
        <w:t>t</w:t>
      </w:r>
      <w:r>
        <w:rPr>
          <w:color w:val="231F20"/>
          <w:spacing w:val="-2"/>
          <w:w w:val="102"/>
        </w:rPr>
        <w:t>i</w:t>
      </w:r>
      <w:r>
        <w:rPr>
          <w:color w:val="231F20"/>
          <w:spacing w:val="1"/>
          <w:w w:val="101"/>
        </w:rPr>
        <w:t>c</w:t>
      </w:r>
      <w:r>
        <w:rPr>
          <w:color w:val="231F20"/>
          <w:spacing w:val="-3"/>
          <w:w w:val="102"/>
        </w:rPr>
        <w:t>i</w:t>
      </w:r>
      <w:r>
        <w:rPr>
          <w:color w:val="231F20"/>
          <w:spacing w:val="5"/>
        </w:rPr>
        <w:t>t</w:t>
      </w:r>
      <w:r>
        <w:rPr>
          <w:color w:val="231F20"/>
          <w:spacing w:val="-4"/>
        </w:rPr>
        <w:t>y</w:t>
      </w:r>
      <w:r>
        <w:rPr>
          <w:color w:val="231F20"/>
          <w:spacing w:val="-9"/>
          <w:w w:val="62"/>
        </w:rPr>
        <w:t>/</w:t>
      </w:r>
      <w:r>
        <w:rPr>
          <w:color w:val="231F20"/>
          <w:spacing w:val="-4"/>
          <w:w w:val="103"/>
        </w:rPr>
        <w:t>a</w:t>
      </w:r>
      <w:r>
        <w:rPr>
          <w:color w:val="231F20"/>
          <w:spacing w:val="-2"/>
          <w:w w:val="101"/>
        </w:rPr>
        <w:t>u</w:t>
      </w:r>
      <w:r>
        <w:rPr>
          <w:color w:val="231F20"/>
          <w:spacing w:val="2"/>
        </w:rPr>
        <w:t>t</w:t>
      </w:r>
      <w:r>
        <w:rPr>
          <w:color w:val="231F20"/>
          <w:spacing w:val="-1"/>
        </w:rPr>
        <w:t>h</w:t>
      </w:r>
      <w:r>
        <w:rPr>
          <w:color w:val="231F20"/>
          <w:w w:val="92"/>
        </w:rPr>
        <w:t>e</w:t>
      </w:r>
      <w:r>
        <w:rPr>
          <w:color w:val="231F20"/>
          <w:spacing w:val="-2"/>
        </w:rPr>
        <w:t>n</w:t>
      </w:r>
      <w:r>
        <w:rPr>
          <w:color w:val="231F20"/>
          <w:spacing w:val="2"/>
          <w:w w:val="101"/>
        </w:rPr>
        <w:t>t</w:t>
      </w:r>
      <w:r>
        <w:rPr>
          <w:color w:val="231F20"/>
          <w:spacing w:val="-2"/>
          <w:w w:val="101"/>
        </w:rPr>
        <w:t>i</w:t>
      </w:r>
      <w:r>
        <w:rPr>
          <w:color w:val="231F20"/>
          <w:spacing w:val="2"/>
          <w:w w:val="102"/>
        </w:rPr>
        <w:t>c</w:t>
      </w:r>
      <w:r>
        <w:rPr>
          <w:color w:val="231F20"/>
          <w:spacing w:val="-3"/>
          <w:w w:val="102"/>
        </w:rPr>
        <w:t>a</w:t>
      </w:r>
      <w:r>
        <w:rPr>
          <w:color w:val="231F20"/>
          <w:spacing w:val="2"/>
          <w:w w:val="101"/>
        </w:rPr>
        <w:t>t</w:t>
      </w:r>
      <w:r>
        <w:rPr>
          <w:color w:val="231F20"/>
          <w:spacing w:val="-3"/>
          <w:w w:val="101"/>
        </w:rPr>
        <w:t>i</w:t>
      </w:r>
      <w:r>
        <w:rPr>
          <w:color w:val="231F20"/>
          <w:spacing w:val="-2"/>
          <w:w w:val="105"/>
        </w:rPr>
        <w:t>o</w:t>
      </w:r>
      <w:r>
        <w:rPr>
          <w:color w:val="231F20"/>
          <w:spacing w:val="1"/>
        </w:rPr>
        <w:t>n</w:t>
      </w:r>
      <w:r>
        <w:rPr>
          <w:color w:val="231F20"/>
          <w:spacing w:val="-1"/>
          <w:w w:val="137"/>
        </w:rPr>
        <w:t>,</w:t>
      </w:r>
      <w:r>
        <w:rPr>
          <w:color w:val="231F20"/>
          <w:spacing w:val="-1"/>
          <w:w w:val="99"/>
        </w:rPr>
        <w:t xml:space="preserve"> </w:t>
      </w:r>
      <w:r>
        <w:rPr>
          <w:color w:val="231F20"/>
        </w:rPr>
        <w:t>globalisation and organisational fragmentation.</w:t>
      </w:r>
    </w:p>
    <w:p w14:paraId="158C5F4C" w14:textId="77777777" w:rsidR="00AE0598" w:rsidRDefault="00AE0598">
      <w:pPr>
        <w:pStyle w:val="Corpodetexto"/>
        <w:spacing w:before="8"/>
      </w:pPr>
    </w:p>
    <w:p w14:paraId="4530ADDE" w14:textId="77777777" w:rsidR="00AE0598" w:rsidRDefault="0069255A">
      <w:pPr>
        <w:ind w:left="110"/>
        <w:jc w:val="both"/>
        <w:rPr>
          <w:rFonts w:ascii="Trebuchet MS"/>
          <w:sz w:val="20"/>
        </w:rPr>
      </w:pPr>
      <w:r>
        <w:rPr>
          <w:rFonts w:ascii="Trebuchet MS"/>
          <w:color w:val="231F20"/>
          <w:sz w:val="20"/>
        </w:rPr>
        <w:t>Commodification,</w:t>
      </w:r>
      <w:r>
        <w:rPr>
          <w:rFonts w:ascii="Trebuchet MS"/>
          <w:color w:val="231F20"/>
          <w:spacing w:val="35"/>
          <w:sz w:val="20"/>
        </w:rPr>
        <w:t xml:space="preserve"> </w:t>
      </w:r>
      <w:r>
        <w:rPr>
          <w:rFonts w:ascii="Trebuchet MS"/>
          <w:color w:val="231F20"/>
          <w:sz w:val="20"/>
        </w:rPr>
        <w:t>authenticity</w:t>
      </w:r>
      <w:r>
        <w:rPr>
          <w:rFonts w:ascii="Trebuchet MS"/>
          <w:color w:val="231F20"/>
          <w:spacing w:val="36"/>
          <w:sz w:val="20"/>
        </w:rPr>
        <w:t xml:space="preserve"> </w:t>
      </w:r>
      <w:r>
        <w:rPr>
          <w:rFonts w:ascii="Trebuchet MS"/>
          <w:color w:val="231F20"/>
          <w:sz w:val="20"/>
        </w:rPr>
        <w:t>and</w:t>
      </w:r>
      <w:r>
        <w:rPr>
          <w:rFonts w:ascii="Trebuchet MS"/>
          <w:color w:val="231F20"/>
          <w:spacing w:val="36"/>
          <w:sz w:val="20"/>
        </w:rPr>
        <w:t xml:space="preserve"> </w:t>
      </w:r>
      <w:r>
        <w:rPr>
          <w:rFonts w:ascii="Trebuchet MS"/>
          <w:color w:val="231F20"/>
          <w:spacing w:val="-2"/>
          <w:sz w:val="20"/>
        </w:rPr>
        <w:t>authentication</w:t>
      </w:r>
    </w:p>
    <w:p w14:paraId="778AED85" w14:textId="77777777" w:rsidR="00AE0598" w:rsidRDefault="0069255A">
      <w:pPr>
        <w:pStyle w:val="Corpodetexto"/>
        <w:spacing w:before="122" w:line="232" w:lineRule="auto"/>
        <w:ind w:left="110" w:right="127" w:firstLine="320"/>
        <w:jc w:val="both"/>
      </w:pPr>
      <w:r>
        <w:rPr>
          <w:color w:val="231F20"/>
        </w:rPr>
        <w:t>One of the most fundamental issues of sport tourism development concerns the process of commodification and its implications in terms</w:t>
      </w:r>
      <w:r>
        <w:rPr>
          <w:color w:val="231F20"/>
          <w:spacing w:val="40"/>
        </w:rPr>
        <w:t xml:space="preserve"> </w:t>
      </w:r>
      <w:r>
        <w:rPr>
          <w:color w:val="231F20"/>
        </w:rPr>
        <w:t>of authenticity. This issue is predicated on the belief that the search for authenticity is one of the main</w:t>
      </w:r>
      <w:r>
        <w:rPr>
          <w:color w:val="231F20"/>
        </w:rPr>
        <w:t xml:space="preserve"> driving forces for tourists (MacCannell, 1976; Urry, 1990) and that sport represents a dynamic and increasingly prominent tourist attraction (Hinch &amp; Higham, 2001).</w:t>
      </w:r>
    </w:p>
    <w:p w14:paraId="27C6F949" w14:textId="77777777" w:rsidR="00AE0598" w:rsidRDefault="0069255A">
      <w:pPr>
        <w:pStyle w:val="Corpodetexto"/>
        <w:spacing w:before="1"/>
        <w:ind w:left="430"/>
        <w:jc w:val="both"/>
      </w:pPr>
      <w:r>
        <w:rPr>
          <w:color w:val="231F20"/>
          <w:w w:val="95"/>
        </w:rPr>
        <w:t>Cohen</w:t>
      </w:r>
      <w:r>
        <w:rPr>
          <w:color w:val="231F20"/>
          <w:spacing w:val="10"/>
        </w:rPr>
        <w:t xml:space="preserve"> </w:t>
      </w:r>
      <w:r>
        <w:rPr>
          <w:color w:val="231F20"/>
          <w:w w:val="95"/>
        </w:rPr>
        <w:t>(1988)</w:t>
      </w:r>
      <w:r>
        <w:rPr>
          <w:color w:val="231F20"/>
          <w:spacing w:val="10"/>
        </w:rPr>
        <w:t xml:space="preserve"> </w:t>
      </w:r>
      <w:r>
        <w:rPr>
          <w:color w:val="231F20"/>
          <w:w w:val="95"/>
        </w:rPr>
        <w:t>defined</w:t>
      </w:r>
      <w:r>
        <w:rPr>
          <w:color w:val="231F20"/>
          <w:spacing w:val="10"/>
        </w:rPr>
        <w:t xml:space="preserve"> </w:t>
      </w:r>
      <w:r>
        <w:rPr>
          <w:color w:val="231F20"/>
          <w:w w:val="95"/>
        </w:rPr>
        <w:t>commoditisation</w:t>
      </w:r>
      <w:r>
        <w:rPr>
          <w:color w:val="231F20"/>
          <w:spacing w:val="11"/>
        </w:rPr>
        <w:t xml:space="preserve"> </w:t>
      </w:r>
      <w:r>
        <w:rPr>
          <w:color w:val="231F20"/>
          <w:w w:val="95"/>
        </w:rPr>
        <w:t>(commodification)</w:t>
      </w:r>
      <w:r>
        <w:rPr>
          <w:color w:val="231F20"/>
          <w:spacing w:val="10"/>
        </w:rPr>
        <w:t xml:space="preserve"> </w:t>
      </w:r>
      <w:r>
        <w:rPr>
          <w:color w:val="231F20"/>
          <w:spacing w:val="-5"/>
          <w:w w:val="95"/>
        </w:rPr>
        <w:t>as:</w:t>
      </w:r>
    </w:p>
    <w:p w14:paraId="175623A3" w14:textId="77777777" w:rsidR="00AE0598" w:rsidRDefault="00AE0598">
      <w:pPr>
        <w:jc w:val="both"/>
        <w:sectPr w:rsidR="00AE0598">
          <w:pgSz w:w="8850" w:h="13270"/>
          <w:pgMar w:top="720" w:right="1060" w:bottom="280" w:left="1080" w:header="720" w:footer="720" w:gutter="0"/>
          <w:cols w:space="720"/>
        </w:sectPr>
      </w:pPr>
    </w:p>
    <w:p w14:paraId="5EA1EDF1" w14:textId="77777777" w:rsidR="00AE0598" w:rsidRDefault="0069255A">
      <w:pPr>
        <w:spacing w:before="87"/>
        <w:ind w:left="4067"/>
        <w:rPr>
          <w:rFonts w:ascii="Trebuchet MS"/>
          <w:sz w:val="14"/>
        </w:rPr>
      </w:pPr>
      <w:r>
        <w:rPr>
          <w:rFonts w:ascii="Trebuchet MS"/>
          <w:color w:val="231F20"/>
          <w:w w:val="105"/>
          <w:sz w:val="14"/>
        </w:rPr>
        <w:lastRenderedPageBreak/>
        <w:t>Development</w:t>
      </w:r>
      <w:r>
        <w:rPr>
          <w:rFonts w:ascii="Trebuchet MS"/>
          <w:color w:val="231F20"/>
          <w:spacing w:val="-12"/>
          <w:w w:val="105"/>
          <w:sz w:val="14"/>
        </w:rPr>
        <w:t xml:space="preserve"> </w:t>
      </w:r>
      <w:r>
        <w:rPr>
          <w:rFonts w:ascii="Trebuchet MS"/>
          <w:color w:val="231F20"/>
          <w:w w:val="105"/>
          <w:sz w:val="14"/>
        </w:rPr>
        <w:t>Processes</w:t>
      </w:r>
      <w:r>
        <w:rPr>
          <w:rFonts w:ascii="Trebuchet MS"/>
          <w:color w:val="231F20"/>
          <w:spacing w:val="-11"/>
          <w:w w:val="105"/>
          <w:sz w:val="14"/>
        </w:rPr>
        <w:t xml:space="preserve"> </w:t>
      </w:r>
      <w:r>
        <w:rPr>
          <w:rFonts w:ascii="Trebuchet MS"/>
          <w:color w:val="231F20"/>
          <w:w w:val="105"/>
          <w:sz w:val="14"/>
        </w:rPr>
        <w:t>and</w:t>
      </w:r>
      <w:r>
        <w:rPr>
          <w:rFonts w:ascii="Trebuchet MS"/>
          <w:color w:val="231F20"/>
          <w:spacing w:val="-11"/>
          <w:w w:val="105"/>
          <w:sz w:val="14"/>
        </w:rPr>
        <w:t xml:space="preserve"> </w:t>
      </w:r>
      <w:r>
        <w:rPr>
          <w:rFonts w:ascii="Trebuchet MS"/>
          <w:color w:val="231F20"/>
          <w:w w:val="105"/>
          <w:sz w:val="14"/>
        </w:rPr>
        <w:t>Issues</w:t>
      </w:r>
      <w:r>
        <w:rPr>
          <w:rFonts w:ascii="Trebuchet MS"/>
          <w:color w:val="231F20"/>
          <w:spacing w:val="77"/>
          <w:w w:val="105"/>
          <w:sz w:val="14"/>
        </w:rPr>
        <w:t xml:space="preserve"> </w:t>
      </w:r>
      <w:r>
        <w:rPr>
          <w:rFonts w:ascii="Trebuchet MS"/>
          <w:color w:val="231F20"/>
          <w:spacing w:val="-5"/>
          <w:w w:val="105"/>
          <w:sz w:val="14"/>
        </w:rPr>
        <w:t>71</w:t>
      </w:r>
    </w:p>
    <w:p w14:paraId="05322C91" w14:textId="77777777" w:rsidR="00AE0598" w:rsidRDefault="00AE0598">
      <w:pPr>
        <w:pStyle w:val="Corpodetexto"/>
        <w:rPr>
          <w:rFonts w:ascii="Trebuchet MS"/>
          <w:sz w:val="16"/>
        </w:rPr>
      </w:pPr>
    </w:p>
    <w:p w14:paraId="70E46D5F" w14:textId="77777777" w:rsidR="00AE0598" w:rsidRDefault="0069255A">
      <w:pPr>
        <w:spacing w:before="114" w:line="244" w:lineRule="auto"/>
        <w:ind w:left="430" w:right="126"/>
        <w:jc w:val="both"/>
        <w:rPr>
          <w:sz w:val="20"/>
        </w:rPr>
      </w:pPr>
      <w:r>
        <w:rPr>
          <w:color w:val="231F20"/>
          <w:w w:val="95"/>
          <w:sz w:val="20"/>
        </w:rPr>
        <w:t>a process by which things (and activities) come to be evaluated primarily</w:t>
      </w:r>
      <w:r>
        <w:rPr>
          <w:color w:val="231F20"/>
          <w:spacing w:val="80"/>
          <w:sz w:val="20"/>
        </w:rPr>
        <w:t xml:space="preserve"> </w:t>
      </w:r>
      <w:r>
        <w:rPr>
          <w:color w:val="231F20"/>
          <w:sz w:val="20"/>
        </w:rPr>
        <w:t>in</w:t>
      </w:r>
      <w:r>
        <w:rPr>
          <w:color w:val="231F20"/>
          <w:spacing w:val="-3"/>
          <w:sz w:val="20"/>
        </w:rPr>
        <w:t xml:space="preserve"> </w:t>
      </w:r>
      <w:r>
        <w:rPr>
          <w:color w:val="231F20"/>
          <w:sz w:val="20"/>
        </w:rPr>
        <w:t>terms</w:t>
      </w:r>
      <w:r>
        <w:rPr>
          <w:color w:val="231F20"/>
          <w:spacing w:val="-3"/>
          <w:sz w:val="20"/>
        </w:rPr>
        <w:t xml:space="preserve"> </w:t>
      </w:r>
      <w:r>
        <w:rPr>
          <w:color w:val="231F20"/>
          <w:sz w:val="20"/>
        </w:rPr>
        <w:t>of</w:t>
      </w:r>
      <w:r>
        <w:rPr>
          <w:color w:val="231F20"/>
          <w:spacing w:val="-3"/>
          <w:sz w:val="20"/>
        </w:rPr>
        <w:t xml:space="preserve"> </w:t>
      </w:r>
      <w:r>
        <w:rPr>
          <w:color w:val="231F20"/>
          <w:sz w:val="20"/>
        </w:rPr>
        <w:t>their</w:t>
      </w:r>
      <w:r>
        <w:rPr>
          <w:color w:val="231F20"/>
          <w:spacing w:val="-3"/>
          <w:sz w:val="20"/>
        </w:rPr>
        <w:t xml:space="preserve"> </w:t>
      </w:r>
      <w:r>
        <w:rPr>
          <w:color w:val="231F20"/>
          <w:sz w:val="20"/>
        </w:rPr>
        <w:t>exchange</w:t>
      </w:r>
      <w:r>
        <w:rPr>
          <w:color w:val="231F20"/>
          <w:spacing w:val="-3"/>
          <w:sz w:val="20"/>
        </w:rPr>
        <w:t xml:space="preserve"> </w:t>
      </w:r>
      <w:r>
        <w:rPr>
          <w:color w:val="231F20"/>
          <w:sz w:val="20"/>
        </w:rPr>
        <w:t>value,</w:t>
      </w:r>
      <w:r>
        <w:rPr>
          <w:color w:val="231F20"/>
          <w:spacing w:val="-3"/>
          <w:sz w:val="20"/>
        </w:rPr>
        <w:t xml:space="preserve"> </w:t>
      </w:r>
      <w:r>
        <w:rPr>
          <w:color w:val="231F20"/>
          <w:sz w:val="20"/>
        </w:rPr>
        <w:t>in</w:t>
      </w:r>
      <w:r>
        <w:rPr>
          <w:color w:val="231F20"/>
          <w:spacing w:val="-3"/>
          <w:sz w:val="20"/>
        </w:rPr>
        <w:t xml:space="preserve"> </w:t>
      </w:r>
      <w:r>
        <w:rPr>
          <w:color w:val="231F20"/>
          <w:sz w:val="20"/>
        </w:rPr>
        <w:t>a</w:t>
      </w:r>
      <w:r>
        <w:rPr>
          <w:color w:val="231F20"/>
          <w:spacing w:val="-3"/>
          <w:sz w:val="20"/>
        </w:rPr>
        <w:t xml:space="preserve"> </w:t>
      </w:r>
      <w:r>
        <w:rPr>
          <w:color w:val="231F20"/>
          <w:sz w:val="20"/>
        </w:rPr>
        <w:t>context</w:t>
      </w:r>
      <w:r>
        <w:rPr>
          <w:color w:val="231F20"/>
          <w:spacing w:val="-3"/>
          <w:sz w:val="20"/>
        </w:rPr>
        <w:t xml:space="preserve"> </w:t>
      </w:r>
      <w:r>
        <w:rPr>
          <w:color w:val="231F20"/>
          <w:sz w:val="20"/>
        </w:rPr>
        <w:t>of</w:t>
      </w:r>
      <w:r>
        <w:rPr>
          <w:color w:val="231F20"/>
          <w:spacing w:val="-3"/>
          <w:sz w:val="20"/>
        </w:rPr>
        <w:t xml:space="preserve"> </w:t>
      </w:r>
      <w:r>
        <w:rPr>
          <w:color w:val="231F20"/>
          <w:sz w:val="20"/>
        </w:rPr>
        <w:t>trade,</w:t>
      </w:r>
      <w:r>
        <w:rPr>
          <w:color w:val="231F20"/>
          <w:spacing w:val="-3"/>
          <w:sz w:val="20"/>
        </w:rPr>
        <w:t xml:space="preserve"> </w:t>
      </w:r>
      <w:r>
        <w:rPr>
          <w:color w:val="231F20"/>
          <w:sz w:val="20"/>
        </w:rPr>
        <w:t>thereby</w:t>
      </w:r>
      <w:r>
        <w:rPr>
          <w:color w:val="231F20"/>
          <w:spacing w:val="-3"/>
          <w:sz w:val="20"/>
        </w:rPr>
        <w:t xml:space="preserve"> </w:t>
      </w:r>
      <w:r>
        <w:rPr>
          <w:color w:val="231F20"/>
          <w:sz w:val="20"/>
        </w:rPr>
        <w:t xml:space="preserve">becoming </w:t>
      </w:r>
      <w:r>
        <w:rPr>
          <w:color w:val="231F20"/>
          <w:w w:val="95"/>
          <w:sz w:val="20"/>
        </w:rPr>
        <w:t xml:space="preserve">goods (and services); developed exchange systems in which the exchange </w:t>
      </w:r>
      <w:r>
        <w:rPr>
          <w:color w:val="231F20"/>
          <w:sz w:val="20"/>
        </w:rPr>
        <w:t>value</w:t>
      </w:r>
      <w:r>
        <w:rPr>
          <w:color w:val="231F20"/>
          <w:spacing w:val="-5"/>
          <w:sz w:val="20"/>
        </w:rPr>
        <w:t xml:space="preserve"> </w:t>
      </w:r>
      <w:r>
        <w:rPr>
          <w:color w:val="231F20"/>
          <w:sz w:val="20"/>
        </w:rPr>
        <w:t>of</w:t>
      </w:r>
      <w:r>
        <w:rPr>
          <w:color w:val="231F20"/>
          <w:spacing w:val="-5"/>
          <w:sz w:val="20"/>
        </w:rPr>
        <w:t xml:space="preserve"> </w:t>
      </w:r>
      <w:r>
        <w:rPr>
          <w:color w:val="231F20"/>
          <w:sz w:val="20"/>
        </w:rPr>
        <w:t>things</w:t>
      </w:r>
      <w:r>
        <w:rPr>
          <w:color w:val="231F20"/>
          <w:spacing w:val="-5"/>
          <w:sz w:val="20"/>
        </w:rPr>
        <w:t xml:space="preserve"> </w:t>
      </w:r>
      <w:r>
        <w:rPr>
          <w:color w:val="231F20"/>
          <w:sz w:val="20"/>
        </w:rPr>
        <w:t>(and</w:t>
      </w:r>
      <w:r>
        <w:rPr>
          <w:color w:val="231F20"/>
          <w:spacing w:val="-5"/>
          <w:sz w:val="20"/>
        </w:rPr>
        <w:t xml:space="preserve"> </w:t>
      </w:r>
      <w:r>
        <w:rPr>
          <w:color w:val="231F20"/>
          <w:sz w:val="20"/>
        </w:rPr>
        <w:t>activities)</w:t>
      </w:r>
      <w:r>
        <w:rPr>
          <w:color w:val="231F20"/>
          <w:spacing w:val="-5"/>
          <w:sz w:val="20"/>
        </w:rPr>
        <w:t xml:space="preserve"> </w:t>
      </w:r>
      <w:r>
        <w:rPr>
          <w:color w:val="231F20"/>
          <w:sz w:val="20"/>
        </w:rPr>
        <w:t>is</w:t>
      </w:r>
      <w:r>
        <w:rPr>
          <w:color w:val="231F20"/>
          <w:spacing w:val="-5"/>
          <w:sz w:val="20"/>
        </w:rPr>
        <w:t xml:space="preserve"> </w:t>
      </w:r>
      <w:r>
        <w:rPr>
          <w:color w:val="231F20"/>
          <w:sz w:val="20"/>
        </w:rPr>
        <w:t>stated</w:t>
      </w:r>
      <w:r>
        <w:rPr>
          <w:color w:val="231F20"/>
          <w:spacing w:val="-5"/>
          <w:sz w:val="20"/>
        </w:rPr>
        <w:t xml:space="preserve"> </w:t>
      </w:r>
      <w:r>
        <w:rPr>
          <w:color w:val="231F20"/>
          <w:sz w:val="20"/>
        </w:rPr>
        <w:t>in</w:t>
      </w:r>
      <w:r>
        <w:rPr>
          <w:color w:val="231F20"/>
          <w:spacing w:val="-5"/>
          <w:sz w:val="20"/>
        </w:rPr>
        <w:t xml:space="preserve"> </w:t>
      </w:r>
      <w:r>
        <w:rPr>
          <w:color w:val="231F20"/>
          <w:sz w:val="20"/>
        </w:rPr>
        <w:t>terms</w:t>
      </w:r>
      <w:r>
        <w:rPr>
          <w:color w:val="231F20"/>
          <w:spacing w:val="-5"/>
          <w:sz w:val="20"/>
        </w:rPr>
        <w:t xml:space="preserve"> </w:t>
      </w:r>
      <w:r>
        <w:rPr>
          <w:color w:val="231F20"/>
          <w:sz w:val="20"/>
        </w:rPr>
        <w:t>of</w:t>
      </w:r>
      <w:r>
        <w:rPr>
          <w:color w:val="231F20"/>
          <w:spacing w:val="-5"/>
          <w:sz w:val="20"/>
        </w:rPr>
        <w:t xml:space="preserve"> </w:t>
      </w:r>
      <w:r>
        <w:rPr>
          <w:color w:val="231F20"/>
          <w:sz w:val="20"/>
        </w:rPr>
        <w:t>prices</w:t>
      </w:r>
      <w:r>
        <w:rPr>
          <w:color w:val="231F20"/>
          <w:spacing w:val="-5"/>
          <w:sz w:val="20"/>
        </w:rPr>
        <w:t xml:space="preserve"> </w:t>
      </w:r>
      <w:r>
        <w:rPr>
          <w:color w:val="231F20"/>
          <w:sz w:val="20"/>
        </w:rPr>
        <w:t>form</w:t>
      </w:r>
      <w:r>
        <w:rPr>
          <w:color w:val="231F20"/>
          <w:spacing w:val="-5"/>
          <w:sz w:val="20"/>
        </w:rPr>
        <w:t xml:space="preserve"> </w:t>
      </w:r>
      <w:r>
        <w:rPr>
          <w:color w:val="231F20"/>
          <w:sz w:val="20"/>
        </w:rPr>
        <w:t>a</w:t>
      </w:r>
      <w:r>
        <w:rPr>
          <w:color w:val="231F20"/>
          <w:spacing w:val="-5"/>
          <w:sz w:val="20"/>
        </w:rPr>
        <w:t xml:space="preserve"> </w:t>
      </w:r>
      <w:r>
        <w:rPr>
          <w:color w:val="231F20"/>
          <w:sz w:val="20"/>
        </w:rPr>
        <w:t>market. (Cohen, 1988: 380)</w:t>
      </w:r>
    </w:p>
    <w:p w14:paraId="0644C648" w14:textId="77777777" w:rsidR="00AE0598" w:rsidRDefault="00AE0598">
      <w:pPr>
        <w:pStyle w:val="Corpodetexto"/>
        <w:spacing w:before="6"/>
        <w:rPr>
          <w:sz w:val="20"/>
        </w:rPr>
      </w:pPr>
    </w:p>
    <w:p w14:paraId="177779DF" w14:textId="77777777" w:rsidR="00AE0598" w:rsidRDefault="0069255A">
      <w:pPr>
        <w:pStyle w:val="Corpodetexto"/>
        <w:spacing w:line="232" w:lineRule="auto"/>
        <w:ind w:left="110" w:right="130"/>
        <w:jc w:val="both"/>
      </w:pPr>
      <w:r>
        <w:rPr>
          <w:color w:val="231F20"/>
        </w:rPr>
        <w:t>Similarly, in the context of sport, McKay and Kirk (1992) defined commodification as:</w:t>
      </w:r>
    </w:p>
    <w:p w14:paraId="5D8B1EF3" w14:textId="77777777" w:rsidR="00AE0598" w:rsidRDefault="00AE0598">
      <w:pPr>
        <w:pStyle w:val="Corpodetexto"/>
      </w:pPr>
    </w:p>
    <w:p w14:paraId="3D2F404C" w14:textId="77777777" w:rsidR="00AE0598" w:rsidRDefault="0069255A">
      <w:pPr>
        <w:spacing w:line="244" w:lineRule="auto"/>
        <w:ind w:left="430" w:right="127"/>
        <w:jc w:val="both"/>
        <w:rPr>
          <w:sz w:val="20"/>
        </w:rPr>
      </w:pPr>
      <w:r>
        <w:rPr>
          <w:color w:val="231F20"/>
          <w:sz w:val="20"/>
        </w:rPr>
        <w:t xml:space="preserve">the process by which objects and people become organized as things to be exchanged in a market. Whereas cultural activities such as </w:t>
      </w:r>
      <w:r>
        <w:rPr>
          <w:color w:val="231F20"/>
          <w:w w:val="105"/>
          <w:sz w:val="20"/>
        </w:rPr>
        <w:t xml:space="preserve">… </w:t>
      </w:r>
      <w:r>
        <w:rPr>
          <w:color w:val="231F20"/>
          <w:sz w:val="20"/>
        </w:rPr>
        <w:t>sport once</w:t>
      </w:r>
      <w:r>
        <w:rPr>
          <w:color w:val="231F20"/>
          <w:spacing w:val="-4"/>
          <w:sz w:val="20"/>
        </w:rPr>
        <w:t xml:space="preserve"> </w:t>
      </w:r>
      <w:r>
        <w:rPr>
          <w:color w:val="231F20"/>
          <w:sz w:val="20"/>
        </w:rPr>
        <w:t>were</w:t>
      </w:r>
      <w:r>
        <w:rPr>
          <w:color w:val="231F20"/>
          <w:spacing w:val="-4"/>
          <w:sz w:val="20"/>
        </w:rPr>
        <w:t xml:space="preserve"> </w:t>
      </w:r>
      <w:r>
        <w:rPr>
          <w:color w:val="231F20"/>
          <w:sz w:val="20"/>
        </w:rPr>
        <w:t>based</w:t>
      </w:r>
      <w:r>
        <w:rPr>
          <w:color w:val="231F20"/>
          <w:spacing w:val="-4"/>
          <w:sz w:val="20"/>
        </w:rPr>
        <w:t xml:space="preserve"> </w:t>
      </w:r>
      <w:r>
        <w:rPr>
          <w:color w:val="231F20"/>
          <w:sz w:val="20"/>
        </w:rPr>
        <w:t>primarily</w:t>
      </w:r>
      <w:r>
        <w:rPr>
          <w:color w:val="231F20"/>
          <w:spacing w:val="-4"/>
          <w:sz w:val="20"/>
        </w:rPr>
        <w:t xml:space="preserve"> </w:t>
      </w:r>
      <w:r>
        <w:rPr>
          <w:color w:val="231F20"/>
          <w:sz w:val="20"/>
        </w:rPr>
        <w:t>on</w:t>
      </w:r>
      <w:r>
        <w:rPr>
          <w:color w:val="231F20"/>
          <w:spacing w:val="-4"/>
          <w:sz w:val="20"/>
        </w:rPr>
        <w:t xml:space="preserve"> </w:t>
      </w:r>
      <w:r>
        <w:rPr>
          <w:color w:val="231F20"/>
          <w:sz w:val="20"/>
        </w:rPr>
        <w:t>intrinsic</w:t>
      </w:r>
      <w:r>
        <w:rPr>
          <w:color w:val="231F20"/>
          <w:spacing w:val="-4"/>
          <w:sz w:val="20"/>
        </w:rPr>
        <w:t xml:space="preserve"> </w:t>
      </w:r>
      <w:r>
        <w:rPr>
          <w:color w:val="231F20"/>
          <w:sz w:val="20"/>
        </w:rPr>
        <w:t>worth,</w:t>
      </w:r>
      <w:r>
        <w:rPr>
          <w:color w:val="231F20"/>
          <w:spacing w:val="-4"/>
          <w:sz w:val="20"/>
        </w:rPr>
        <w:t xml:space="preserve"> </w:t>
      </w:r>
      <w:r>
        <w:rPr>
          <w:color w:val="231F20"/>
          <w:sz w:val="20"/>
        </w:rPr>
        <w:t>they</w:t>
      </w:r>
      <w:r>
        <w:rPr>
          <w:color w:val="231F20"/>
          <w:spacing w:val="-4"/>
          <w:sz w:val="20"/>
        </w:rPr>
        <w:t xml:space="preserve"> </w:t>
      </w:r>
      <w:r>
        <w:rPr>
          <w:color w:val="231F20"/>
          <w:sz w:val="20"/>
        </w:rPr>
        <w:t>are</w:t>
      </w:r>
      <w:r>
        <w:rPr>
          <w:color w:val="231F20"/>
          <w:spacing w:val="-4"/>
          <w:sz w:val="20"/>
        </w:rPr>
        <w:t xml:space="preserve"> </w:t>
      </w:r>
      <w:r>
        <w:rPr>
          <w:color w:val="231F20"/>
          <w:sz w:val="20"/>
        </w:rPr>
        <w:t>now</w:t>
      </w:r>
      <w:r>
        <w:rPr>
          <w:color w:val="231F20"/>
          <w:spacing w:val="-4"/>
          <w:sz w:val="20"/>
        </w:rPr>
        <w:t xml:space="preserve"> </w:t>
      </w:r>
      <w:r>
        <w:rPr>
          <w:color w:val="231F20"/>
          <w:sz w:val="20"/>
        </w:rPr>
        <w:t xml:space="preserve">increasingly constituted by market values. (McKay </w:t>
      </w:r>
      <w:r>
        <w:rPr>
          <w:color w:val="231F20"/>
          <w:w w:val="105"/>
          <w:sz w:val="20"/>
        </w:rPr>
        <w:t xml:space="preserve">&amp; </w:t>
      </w:r>
      <w:r>
        <w:rPr>
          <w:color w:val="231F20"/>
          <w:sz w:val="20"/>
        </w:rPr>
        <w:t>Kirk, 1992: 10)</w:t>
      </w:r>
    </w:p>
    <w:p w14:paraId="58C26C4A" w14:textId="77777777" w:rsidR="00AE0598" w:rsidRDefault="00AE0598">
      <w:pPr>
        <w:pStyle w:val="Corpodetexto"/>
        <w:spacing w:before="5"/>
        <w:rPr>
          <w:sz w:val="20"/>
        </w:rPr>
      </w:pPr>
    </w:p>
    <w:p w14:paraId="35C13411" w14:textId="77777777" w:rsidR="00AE0598" w:rsidRDefault="0069255A">
      <w:pPr>
        <w:pStyle w:val="Corpodetexto"/>
        <w:spacing w:line="232" w:lineRule="auto"/>
        <w:ind w:left="110" w:right="127"/>
        <w:jc w:val="both"/>
      </w:pPr>
      <w:r>
        <w:rPr>
          <w:color w:val="231F20"/>
          <w:w w:val="95"/>
        </w:rPr>
        <w:t>These definitions feature the same fundamental characteristics: a process</w:t>
      </w:r>
      <w:r>
        <w:rPr>
          <w:color w:val="231F20"/>
          <w:spacing w:val="80"/>
        </w:rPr>
        <w:t xml:space="preserve"> </w:t>
      </w:r>
      <w:r>
        <w:rPr>
          <w:color w:val="231F20"/>
        </w:rPr>
        <w:t>of commercialisation that superimposes economic values on things or activities</w:t>
      </w:r>
      <w:r>
        <w:rPr>
          <w:color w:val="231F20"/>
          <w:spacing w:val="-2"/>
        </w:rPr>
        <w:t xml:space="preserve"> </w:t>
      </w:r>
      <w:r>
        <w:rPr>
          <w:color w:val="231F20"/>
        </w:rPr>
        <w:t>that</w:t>
      </w:r>
      <w:r>
        <w:rPr>
          <w:color w:val="231F20"/>
          <w:spacing w:val="-2"/>
        </w:rPr>
        <w:t xml:space="preserve"> </w:t>
      </w:r>
      <w:r>
        <w:rPr>
          <w:color w:val="231F20"/>
        </w:rPr>
        <w:t>were</w:t>
      </w:r>
      <w:r>
        <w:rPr>
          <w:color w:val="231F20"/>
          <w:spacing w:val="-2"/>
        </w:rPr>
        <w:t xml:space="preserve"> </w:t>
      </w:r>
      <w:r>
        <w:rPr>
          <w:color w:val="231F20"/>
        </w:rPr>
        <w:t>not</w:t>
      </w:r>
      <w:r>
        <w:rPr>
          <w:color w:val="231F20"/>
          <w:spacing w:val="-2"/>
        </w:rPr>
        <w:t xml:space="preserve"> </w:t>
      </w:r>
      <w:r>
        <w:rPr>
          <w:color w:val="231F20"/>
        </w:rPr>
        <w:t>previously</w:t>
      </w:r>
      <w:r>
        <w:rPr>
          <w:color w:val="231F20"/>
          <w:spacing w:val="-2"/>
        </w:rPr>
        <w:t xml:space="preserve"> </w:t>
      </w:r>
      <w:r>
        <w:rPr>
          <w:color w:val="231F20"/>
        </w:rPr>
        <w:t>valued</w:t>
      </w:r>
      <w:r>
        <w:rPr>
          <w:color w:val="231F20"/>
          <w:spacing w:val="-2"/>
        </w:rPr>
        <w:t xml:space="preserve"> </w:t>
      </w:r>
      <w:r>
        <w:rPr>
          <w:color w:val="231F20"/>
        </w:rPr>
        <w:t>in</w:t>
      </w:r>
      <w:r>
        <w:rPr>
          <w:color w:val="231F20"/>
          <w:spacing w:val="-2"/>
        </w:rPr>
        <w:t xml:space="preserve"> </w:t>
      </w:r>
      <w:r>
        <w:rPr>
          <w:color w:val="231F20"/>
        </w:rPr>
        <w:t>this</w:t>
      </w:r>
      <w:r>
        <w:rPr>
          <w:color w:val="231F20"/>
          <w:spacing w:val="-2"/>
        </w:rPr>
        <w:t xml:space="preserve"> </w:t>
      </w:r>
      <w:r>
        <w:rPr>
          <w:color w:val="231F20"/>
        </w:rPr>
        <w:t>way.</w:t>
      </w:r>
    </w:p>
    <w:p w14:paraId="4FF73A34" w14:textId="77777777" w:rsidR="00AE0598" w:rsidRDefault="0069255A">
      <w:pPr>
        <w:pStyle w:val="Corpodetexto"/>
        <w:spacing w:before="4" w:line="232" w:lineRule="auto"/>
        <w:ind w:left="110" w:right="127" w:firstLine="320"/>
        <w:jc w:val="both"/>
      </w:pPr>
      <w:r>
        <w:rPr>
          <w:color w:val="231F20"/>
          <w:w w:val="95"/>
        </w:rPr>
        <w:t xml:space="preserve">Tourism critics argue that the commercialisation of culture introduces </w:t>
      </w:r>
      <w:r>
        <w:rPr>
          <w:color w:val="231F20"/>
        </w:rPr>
        <w:t>economic</w:t>
      </w:r>
      <w:r>
        <w:rPr>
          <w:color w:val="231F20"/>
          <w:spacing w:val="-6"/>
        </w:rPr>
        <w:t xml:space="preserve"> </w:t>
      </w:r>
      <w:r>
        <w:rPr>
          <w:color w:val="231F20"/>
        </w:rPr>
        <w:t>relations</w:t>
      </w:r>
      <w:r>
        <w:rPr>
          <w:color w:val="231F20"/>
          <w:spacing w:val="-6"/>
        </w:rPr>
        <w:t xml:space="preserve"> </w:t>
      </w:r>
      <w:r>
        <w:rPr>
          <w:color w:val="231F20"/>
        </w:rPr>
        <w:t>into</w:t>
      </w:r>
      <w:r>
        <w:rPr>
          <w:color w:val="231F20"/>
          <w:spacing w:val="-6"/>
        </w:rPr>
        <w:t xml:space="preserve"> </w:t>
      </w:r>
      <w:r>
        <w:rPr>
          <w:color w:val="231F20"/>
        </w:rPr>
        <w:t>an</w:t>
      </w:r>
      <w:r>
        <w:rPr>
          <w:color w:val="231F20"/>
          <w:spacing w:val="-6"/>
        </w:rPr>
        <w:t xml:space="preserve"> </w:t>
      </w:r>
      <w:r>
        <w:rPr>
          <w:color w:val="231F20"/>
        </w:rPr>
        <w:t>area</w:t>
      </w:r>
      <w:r>
        <w:rPr>
          <w:color w:val="231F20"/>
          <w:spacing w:val="-6"/>
        </w:rPr>
        <w:t xml:space="preserve"> </w:t>
      </w:r>
      <w:r>
        <w:rPr>
          <w:color w:val="231F20"/>
        </w:rPr>
        <w:t>where</w:t>
      </w:r>
      <w:r>
        <w:rPr>
          <w:color w:val="231F20"/>
          <w:spacing w:val="-6"/>
        </w:rPr>
        <w:t xml:space="preserve"> </w:t>
      </w:r>
      <w:r>
        <w:rPr>
          <w:color w:val="231F20"/>
        </w:rPr>
        <w:t>they</w:t>
      </w:r>
      <w:r>
        <w:rPr>
          <w:color w:val="231F20"/>
          <w:spacing w:val="-6"/>
        </w:rPr>
        <w:t xml:space="preserve"> </w:t>
      </w:r>
      <w:r>
        <w:rPr>
          <w:color w:val="231F20"/>
        </w:rPr>
        <w:t>previously</w:t>
      </w:r>
      <w:r>
        <w:rPr>
          <w:color w:val="231F20"/>
          <w:spacing w:val="-6"/>
        </w:rPr>
        <w:t xml:space="preserve"> </w:t>
      </w:r>
      <w:r>
        <w:rPr>
          <w:color w:val="231F20"/>
        </w:rPr>
        <w:t>played</w:t>
      </w:r>
      <w:r>
        <w:rPr>
          <w:color w:val="231F20"/>
          <w:spacing w:val="-6"/>
        </w:rPr>
        <w:t xml:space="preserve"> </w:t>
      </w:r>
      <w:r>
        <w:rPr>
          <w:color w:val="231F20"/>
        </w:rPr>
        <w:t>no</w:t>
      </w:r>
      <w:r>
        <w:rPr>
          <w:color w:val="231F20"/>
          <w:spacing w:val="-6"/>
        </w:rPr>
        <w:t xml:space="preserve"> </w:t>
      </w:r>
      <w:r>
        <w:rPr>
          <w:color w:val="231F20"/>
        </w:rPr>
        <w:t>part.</w:t>
      </w:r>
      <w:r>
        <w:rPr>
          <w:color w:val="231F20"/>
          <w:spacing w:val="-6"/>
        </w:rPr>
        <w:t xml:space="preserve"> </w:t>
      </w:r>
      <w:r>
        <w:rPr>
          <w:color w:val="231F20"/>
        </w:rPr>
        <w:t xml:space="preserve">In </w:t>
      </w:r>
      <w:r>
        <w:rPr>
          <w:color w:val="231F20"/>
          <w:w w:val="95"/>
        </w:rPr>
        <w:t>the</w:t>
      </w:r>
      <w:r>
        <w:rPr>
          <w:color w:val="231F20"/>
          <w:spacing w:val="-5"/>
          <w:w w:val="95"/>
        </w:rPr>
        <w:t xml:space="preserve"> </w:t>
      </w:r>
      <w:r>
        <w:rPr>
          <w:color w:val="231F20"/>
          <w:w w:val="95"/>
        </w:rPr>
        <w:t>process</w:t>
      </w:r>
      <w:r>
        <w:rPr>
          <w:color w:val="231F20"/>
          <w:spacing w:val="-5"/>
          <w:w w:val="95"/>
        </w:rPr>
        <w:t xml:space="preserve"> </w:t>
      </w:r>
      <w:r>
        <w:rPr>
          <w:color w:val="231F20"/>
          <w:w w:val="95"/>
        </w:rPr>
        <w:t>of</w:t>
      </w:r>
      <w:r>
        <w:rPr>
          <w:color w:val="231F20"/>
          <w:spacing w:val="-5"/>
          <w:w w:val="95"/>
        </w:rPr>
        <w:t xml:space="preserve"> </w:t>
      </w:r>
      <w:r>
        <w:rPr>
          <w:color w:val="231F20"/>
          <w:w w:val="95"/>
        </w:rPr>
        <w:t>commercialisation,</w:t>
      </w:r>
      <w:r>
        <w:rPr>
          <w:color w:val="231F20"/>
          <w:spacing w:val="-5"/>
          <w:w w:val="95"/>
        </w:rPr>
        <w:t xml:space="preserve"> </w:t>
      </w:r>
      <w:r>
        <w:rPr>
          <w:color w:val="231F20"/>
          <w:w w:val="95"/>
        </w:rPr>
        <w:t>real</w:t>
      </w:r>
      <w:r>
        <w:rPr>
          <w:color w:val="231F20"/>
          <w:spacing w:val="-5"/>
          <w:w w:val="95"/>
        </w:rPr>
        <w:t xml:space="preserve"> </w:t>
      </w:r>
      <w:r>
        <w:rPr>
          <w:color w:val="231F20"/>
          <w:w w:val="95"/>
        </w:rPr>
        <w:t>authenticity</w:t>
      </w:r>
      <w:r>
        <w:rPr>
          <w:color w:val="231F20"/>
          <w:spacing w:val="-5"/>
          <w:w w:val="95"/>
        </w:rPr>
        <w:t xml:space="preserve"> </w:t>
      </w:r>
      <w:r>
        <w:rPr>
          <w:color w:val="231F20"/>
          <w:w w:val="95"/>
        </w:rPr>
        <w:t>is</w:t>
      </w:r>
      <w:r>
        <w:rPr>
          <w:color w:val="231F20"/>
          <w:spacing w:val="-5"/>
          <w:w w:val="95"/>
        </w:rPr>
        <w:t xml:space="preserve"> </w:t>
      </w:r>
      <w:r>
        <w:rPr>
          <w:color w:val="231F20"/>
          <w:w w:val="95"/>
        </w:rPr>
        <w:t>destroyed</w:t>
      </w:r>
      <w:r>
        <w:rPr>
          <w:color w:val="231F20"/>
          <w:spacing w:val="-5"/>
          <w:w w:val="95"/>
        </w:rPr>
        <w:t xml:space="preserve"> </w:t>
      </w:r>
      <w:r>
        <w:rPr>
          <w:color w:val="231F20"/>
          <w:w w:val="95"/>
        </w:rPr>
        <w:t>and</w:t>
      </w:r>
      <w:r>
        <w:rPr>
          <w:color w:val="231F20"/>
          <w:spacing w:val="-5"/>
          <w:w w:val="95"/>
        </w:rPr>
        <w:t xml:space="preserve"> </w:t>
      </w:r>
      <w:r>
        <w:rPr>
          <w:color w:val="231F20"/>
          <w:w w:val="95"/>
        </w:rPr>
        <w:t>a</w:t>
      </w:r>
      <w:r>
        <w:rPr>
          <w:color w:val="231F20"/>
          <w:spacing w:val="-5"/>
          <w:w w:val="95"/>
        </w:rPr>
        <w:t xml:space="preserve"> </w:t>
      </w:r>
      <w:r>
        <w:rPr>
          <w:color w:val="231F20"/>
          <w:w w:val="95"/>
        </w:rPr>
        <w:t xml:space="preserve">covert </w:t>
      </w:r>
      <w:r>
        <w:rPr>
          <w:color w:val="231F20"/>
        </w:rPr>
        <w:t xml:space="preserve">‘staged authenticity’ emerges. As the fact that this staged authenticity is </w:t>
      </w:r>
      <w:r>
        <w:rPr>
          <w:color w:val="231F20"/>
          <w:w w:val="95"/>
        </w:rPr>
        <w:t xml:space="preserve">not real dawns on tourists, it thwarts their genuine search for authenticity </w:t>
      </w:r>
      <w:r>
        <w:rPr>
          <w:color w:val="231F20"/>
        </w:rPr>
        <w:t>(MacCannell, 1973; Yang &amp; Wall, 2009). Cohen (1988), however, argued that commod</w:t>
      </w:r>
      <w:r>
        <w:rPr>
          <w:color w:val="231F20"/>
        </w:rPr>
        <w:t>itisation does not necessarily destroy the meaning of a cultural attraction although it may change it.</w:t>
      </w:r>
    </w:p>
    <w:p w14:paraId="5A80C869" w14:textId="77777777" w:rsidR="00AE0598" w:rsidRDefault="0069255A">
      <w:pPr>
        <w:pStyle w:val="Corpodetexto"/>
        <w:spacing w:before="10" w:line="232" w:lineRule="auto"/>
        <w:ind w:left="110" w:right="127" w:firstLine="320"/>
        <w:jc w:val="both"/>
      </w:pPr>
      <w:r>
        <w:rPr>
          <w:color w:val="231F20"/>
        </w:rPr>
        <w:t xml:space="preserve">Critics of the commodification of sport suggest that the professionalisation of various competitions and the broader commercialisation of sport through the media and the interests of large </w:t>
      </w:r>
      <w:r>
        <w:rPr>
          <w:color w:val="231F20"/>
          <w:w w:val="95"/>
        </w:rPr>
        <w:t>manufacturing/retail corporations have had a detrimental effect. St</w:t>
      </w:r>
      <w:r>
        <w:rPr>
          <w:color w:val="231F20"/>
          <w:w w:val="95"/>
        </w:rPr>
        <w:t xml:space="preserve">ewart </w:t>
      </w:r>
      <w:r>
        <w:rPr>
          <w:color w:val="231F20"/>
        </w:rPr>
        <w:t>(1987) articulates this position by arguing:</w:t>
      </w:r>
    </w:p>
    <w:p w14:paraId="19955716" w14:textId="77777777" w:rsidR="00AE0598" w:rsidRDefault="00AE0598">
      <w:pPr>
        <w:pStyle w:val="Corpodetexto"/>
        <w:spacing w:before="3"/>
      </w:pPr>
    </w:p>
    <w:p w14:paraId="113AB2E6" w14:textId="77777777" w:rsidR="00AE0598" w:rsidRDefault="0069255A">
      <w:pPr>
        <w:spacing w:line="244" w:lineRule="auto"/>
        <w:ind w:left="430" w:right="127"/>
        <w:jc w:val="both"/>
        <w:rPr>
          <w:sz w:val="20"/>
        </w:rPr>
      </w:pPr>
      <w:r>
        <w:rPr>
          <w:color w:val="231F20"/>
          <w:sz w:val="20"/>
        </w:rPr>
        <w:t>social hegemony of the commodity form is apparent as the practice of sport</w:t>
      </w:r>
      <w:r>
        <w:rPr>
          <w:color w:val="231F20"/>
          <w:spacing w:val="40"/>
          <w:sz w:val="20"/>
        </w:rPr>
        <w:t xml:space="preserve"> </w:t>
      </w:r>
      <w:r>
        <w:rPr>
          <w:color w:val="231F20"/>
          <w:sz w:val="20"/>
        </w:rPr>
        <w:t>is</w:t>
      </w:r>
      <w:r>
        <w:rPr>
          <w:color w:val="231F20"/>
          <w:spacing w:val="40"/>
          <w:sz w:val="20"/>
        </w:rPr>
        <w:t xml:space="preserve"> </w:t>
      </w:r>
      <w:r>
        <w:rPr>
          <w:color w:val="231F20"/>
          <w:sz w:val="20"/>
        </w:rPr>
        <w:t>shaped</w:t>
      </w:r>
      <w:r>
        <w:rPr>
          <w:color w:val="231F20"/>
          <w:spacing w:val="40"/>
          <w:sz w:val="20"/>
        </w:rPr>
        <w:t xml:space="preserve"> </w:t>
      </w:r>
      <w:r>
        <w:rPr>
          <w:color w:val="231F20"/>
          <w:sz w:val="20"/>
        </w:rPr>
        <w:t>and</w:t>
      </w:r>
      <w:r>
        <w:rPr>
          <w:color w:val="231F20"/>
          <w:spacing w:val="40"/>
          <w:sz w:val="20"/>
        </w:rPr>
        <w:t xml:space="preserve"> </w:t>
      </w:r>
      <w:r>
        <w:rPr>
          <w:color w:val="231F20"/>
          <w:sz w:val="20"/>
        </w:rPr>
        <w:t>dominated</w:t>
      </w:r>
      <w:r>
        <w:rPr>
          <w:color w:val="231F20"/>
          <w:spacing w:val="40"/>
          <w:sz w:val="20"/>
        </w:rPr>
        <w:t xml:space="preserve"> </w:t>
      </w:r>
      <w:r>
        <w:rPr>
          <w:color w:val="231F20"/>
          <w:sz w:val="20"/>
        </w:rPr>
        <w:t>by</w:t>
      </w:r>
      <w:r>
        <w:rPr>
          <w:color w:val="231F20"/>
          <w:spacing w:val="40"/>
          <w:sz w:val="20"/>
        </w:rPr>
        <w:t xml:space="preserve"> </w:t>
      </w:r>
      <w:r>
        <w:rPr>
          <w:color w:val="231F20"/>
          <w:sz w:val="20"/>
        </w:rPr>
        <w:t>the</w:t>
      </w:r>
      <w:r>
        <w:rPr>
          <w:color w:val="231F20"/>
          <w:spacing w:val="40"/>
          <w:sz w:val="20"/>
        </w:rPr>
        <w:t xml:space="preserve"> </w:t>
      </w:r>
      <w:r>
        <w:rPr>
          <w:color w:val="231F20"/>
          <w:sz w:val="20"/>
        </w:rPr>
        <w:t>values</w:t>
      </w:r>
      <w:r>
        <w:rPr>
          <w:color w:val="231F20"/>
          <w:spacing w:val="40"/>
          <w:sz w:val="20"/>
        </w:rPr>
        <w:t xml:space="preserve"> </w:t>
      </w:r>
      <w:r>
        <w:rPr>
          <w:color w:val="231F20"/>
          <w:sz w:val="20"/>
        </w:rPr>
        <w:t>and</w:t>
      </w:r>
      <w:r>
        <w:rPr>
          <w:color w:val="231F20"/>
          <w:spacing w:val="40"/>
          <w:sz w:val="20"/>
        </w:rPr>
        <w:t xml:space="preserve"> </w:t>
      </w:r>
      <w:r>
        <w:rPr>
          <w:color w:val="231F20"/>
          <w:sz w:val="20"/>
        </w:rPr>
        <w:t>instrumentalities of a market. …the idealized model of sport, along with its traditiona</w:t>
      </w:r>
      <w:r>
        <w:rPr>
          <w:color w:val="231F20"/>
          <w:sz w:val="20"/>
        </w:rPr>
        <w:t xml:space="preserve">l </w:t>
      </w:r>
      <w:r>
        <w:rPr>
          <w:color w:val="231F20"/>
          <w:w w:val="95"/>
          <w:sz w:val="20"/>
        </w:rPr>
        <w:t>ritualized meanings, metaphysical aura, and skill democracy, is destroyed</w:t>
      </w:r>
      <w:r>
        <w:rPr>
          <w:color w:val="231F20"/>
          <w:spacing w:val="40"/>
          <w:sz w:val="20"/>
        </w:rPr>
        <w:t xml:space="preserve"> </w:t>
      </w:r>
      <w:r>
        <w:rPr>
          <w:color w:val="231F20"/>
          <w:sz w:val="20"/>
        </w:rPr>
        <w:t>as sport becomes just another item to be trafficked as a commodity. (Stewart, 1987: 172)</w:t>
      </w:r>
    </w:p>
    <w:p w14:paraId="13EDD51C" w14:textId="77777777" w:rsidR="00AE0598" w:rsidRDefault="00AE0598">
      <w:pPr>
        <w:pStyle w:val="Corpodetexto"/>
        <w:spacing w:before="7"/>
        <w:rPr>
          <w:sz w:val="20"/>
        </w:rPr>
      </w:pPr>
    </w:p>
    <w:p w14:paraId="26154573" w14:textId="77777777" w:rsidR="00AE0598" w:rsidRDefault="0069255A">
      <w:pPr>
        <w:pStyle w:val="Corpodetexto"/>
        <w:spacing w:line="232" w:lineRule="auto"/>
        <w:ind w:left="110" w:right="128"/>
        <w:jc w:val="both"/>
      </w:pPr>
      <w:r>
        <w:rPr>
          <w:color w:val="231F20"/>
        </w:rPr>
        <w:t>A particularly good illustration of this line of argument is the commodification of the Ol</w:t>
      </w:r>
      <w:r>
        <w:rPr>
          <w:color w:val="231F20"/>
        </w:rPr>
        <w:t xml:space="preserve">ympic Games. Starting as a strictly amateur </w:t>
      </w:r>
      <w:r>
        <w:rPr>
          <w:color w:val="231F20"/>
          <w:w w:val="95"/>
        </w:rPr>
        <w:t xml:space="preserve">event that was envisioned as an instrument for international goodwill, the Games have evolved into a global commercial giant of imposing power and </w:t>
      </w:r>
      <w:r>
        <w:rPr>
          <w:color w:val="231F20"/>
        </w:rPr>
        <w:t xml:space="preserve">influence (Barney </w:t>
      </w:r>
      <w:r>
        <w:rPr>
          <w:i/>
          <w:color w:val="231F20"/>
        </w:rPr>
        <w:t>et al</w:t>
      </w:r>
      <w:r>
        <w:rPr>
          <w:color w:val="231F20"/>
        </w:rPr>
        <w:t>., 2002). In a similar vein, Morgan (2014)</w:t>
      </w:r>
      <w:r>
        <w:rPr>
          <w:color w:val="231F20"/>
        </w:rPr>
        <w:t xml:space="preserve"> argues </w:t>
      </w:r>
      <w:r>
        <w:rPr>
          <w:color w:val="231F20"/>
          <w:w w:val="95"/>
        </w:rPr>
        <w:t>that</w:t>
      </w:r>
      <w:r>
        <w:rPr>
          <w:color w:val="231F20"/>
          <w:spacing w:val="3"/>
        </w:rPr>
        <w:t xml:space="preserve"> </w:t>
      </w:r>
      <w:r>
        <w:rPr>
          <w:color w:val="231F20"/>
          <w:w w:val="95"/>
        </w:rPr>
        <w:t>the</w:t>
      </w:r>
      <w:r>
        <w:rPr>
          <w:color w:val="231F20"/>
          <w:spacing w:val="3"/>
        </w:rPr>
        <w:t xml:space="preserve"> </w:t>
      </w:r>
      <w:r>
        <w:rPr>
          <w:color w:val="231F20"/>
          <w:w w:val="95"/>
        </w:rPr>
        <w:t>commodification</w:t>
      </w:r>
      <w:r>
        <w:rPr>
          <w:color w:val="231F20"/>
          <w:spacing w:val="3"/>
        </w:rPr>
        <w:t xml:space="preserve"> </w:t>
      </w:r>
      <w:r>
        <w:rPr>
          <w:color w:val="231F20"/>
          <w:w w:val="95"/>
        </w:rPr>
        <w:t>of</w:t>
      </w:r>
      <w:r>
        <w:rPr>
          <w:color w:val="231F20"/>
          <w:spacing w:val="4"/>
        </w:rPr>
        <w:t xml:space="preserve"> </w:t>
      </w:r>
      <w:r>
        <w:rPr>
          <w:color w:val="231F20"/>
          <w:w w:val="95"/>
        </w:rPr>
        <w:t>place</w:t>
      </w:r>
      <w:r>
        <w:rPr>
          <w:color w:val="231F20"/>
          <w:spacing w:val="3"/>
        </w:rPr>
        <w:t xml:space="preserve"> </w:t>
      </w:r>
      <w:r>
        <w:rPr>
          <w:color w:val="231F20"/>
          <w:w w:val="95"/>
        </w:rPr>
        <w:t>in</w:t>
      </w:r>
      <w:r>
        <w:rPr>
          <w:color w:val="231F20"/>
          <w:spacing w:val="3"/>
        </w:rPr>
        <w:t xml:space="preserve"> </w:t>
      </w:r>
      <w:r>
        <w:rPr>
          <w:color w:val="231F20"/>
          <w:w w:val="95"/>
        </w:rPr>
        <w:t>tourism</w:t>
      </w:r>
      <w:r>
        <w:rPr>
          <w:color w:val="231F20"/>
          <w:spacing w:val="4"/>
        </w:rPr>
        <w:t xml:space="preserve"> </w:t>
      </w:r>
      <w:r>
        <w:rPr>
          <w:color w:val="231F20"/>
          <w:w w:val="95"/>
        </w:rPr>
        <w:t>has</w:t>
      </w:r>
      <w:r>
        <w:rPr>
          <w:color w:val="231F20"/>
          <w:spacing w:val="3"/>
        </w:rPr>
        <w:t xml:space="preserve"> </w:t>
      </w:r>
      <w:r>
        <w:rPr>
          <w:color w:val="231F20"/>
          <w:w w:val="95"/>
        </w:rPr>
        <w:t>often</w:t>
      </w:r>
      <w:r>
        <w:rPr>
          <w:color w:val="231F20"/>
          <w:spacing w:val="3"/>
        </w:rPr>
        <w:t xml:space="preserve"> </w:t>
      </w:r>
      <w:r>
        <w:rPr>
          <w:color w:val="231F20"/>
          <w:w w:val="95"/>
        </w:rPr>
        <w:t>undermined</w:t>
      </w:r>
      <w:r>
        <w:rPr>
          <w:color w:val="231F20"/>
          <w:spacing w:val="3"/>
        </w:rPr>
        <w:t xml:space="preserve"> </w:t>
      </w:r>
      <w:r>
        <w:rPr>
          <w:color w:val="231F20"/>
          <w:spacing w:val="-2"/>
          <w:w w:val="95"/>
        </w:rPr>
        <w:t>culture</w:t>
      </w:r>
    </w:p>
    <w:p w14:paraId="1916220C" w14:textId="77777777" w:rsidR="00AE0598" w:rsidRDefault="00AE0598">
      <w:pPr>
        <w:spacing w:line="232" w:lineRule="auto"/>
        <w:jc w:val="both"/>
        <w:sectPr w:rsidR="00AE0598">
          <w:pgSz w:w="8850" w:h="13270"/>
          <w:pgMar w:top="720" w:right="1060" w:bottom="280" w:left="1080" w:header="720" w:footer="720" w:gutter="0"/>
          <w:cols w:space="720"/>
        </w:sectPr>
      </w:pPr>
    </w:p>
    <w:p w14:paraId="0124F4F7" w14:textId="77777777" w:rsidR="00AE0598" w:rsidRDefault="0069255A">
      <w:pPr>
        <w:spacing w:before="87"/>
        <w:ind w:left="108"/>
        <w:rPr>
          <w:rFonts w:ascii="Trebuchet MS"/>
          <w:sz w:val="14"/>
        </w:rPr>
      </w:pPr>
      <w:r>
        <w:rPr>
          <w:rFonts w:ascii="Trebuchet MS"/>
          <w:color w:val="231F20"/>
          <w:w w:val="105"/>
          <w:sz w:val="14"/>
        </w:rPr>
        <w:lastRenderedPageBreak/>
        <w:t>72</w:t>
      </w:r>
      <w:r>
        <w:rPr>
          <w:rFonts w:ascii="Trebuchet MS"/>
          <w:color w:val="231F20"/>
          <w:spacing w:val="64"/>
          <w:w w:val="150"/>
          <w:sz w:val="14"/>
        </w:rPr>
        <w:t xml:space="preserve"> </w:t>
      </w:r>
      <w:r>
        <w:rPr>
          <w:rFonts w:ascii="Trebuchet MS"/>
          <w:color w:val="231F20"/>
          <w:w w:val="105"/>
          <w:sz w:val="14"/>
        </w:rPr>
        <w:t>Part</w:t>
      </w:r>
      <w:r>
        <w:rPr>
          <w:rFonts w:ascii="Trebuchet MS"/>
          <w:color w:val="231F20"/>
          <w:spacing w:val="-9"/>
          <w:w w:val="105"/>
          <w:sz w:val="14"/>
        </w:rPr>
        <w:t xml:space="preserve"> </w:t>
      </w:r>
      <w:r>
        <w:rPr>
          <w:rFonts w:ascii="Trebuchet MS"/>
          <w:color w:val="231F20"/>
          <w:w w:val="105"/>
          <w:sz w:val="14"/>
        </w:rPr>
        <w:t>2:</w:t>
      </w:r>
      <w:r>
        <w:rPr>
          <w:rFonts w:ascii="Trebuchet MS"/>
          <w:color w:val="231F20"/>
          <w:spacing w:val="-9"/>
          <w:w w:val="105"/>
          <w:sz w:val="14"/>
        </w:rPr>
        <w:t xml:space="preserve"> </w:t>
      </w:r>
      <w:r>
        <w:rPr>
          <w:rFonts w:ascii="Trebuchet MS"/>
          <w:color w:val="231F20"/>
          <w:w w:val="105"/>
          <w:sz w:val="14"/>
        </w:rPr>
        <w:t>Foundations</w:t>
      </w:r>
      <w:r>
        <w:rPr>
          <w:rFonts w:ascii="Trebuchet MS"/>
          <w:color w:val="231F20"/>
          <w:spacing w:val="-9"/>
          <w:w w:val="105"/>
          <w:sz w:val="14"/>
        </w:rPr>
        <w:t xml:space="preserve"> </w:t>
      </w:r>
      <w:r>
        <w:rPr>
          <w:rFonts w:ascii="Trebuchet MS"/>
          <w:color w:val="231F20"/>
          <w:w w:val="105"/>
          <w:sz w:val="14"/>
        </w:rPr>
        <w:t>of</w:t>
      </w:r>
      <w:r>
        <w:rPr>
          <w:rFonts w:ascii="Trebuchet MS"/>
          <w:color w:val="231F20"/>
          <w:spacing w:val="-9"/>
          <w:w w:val="105"/>
          <w:sz w:val="14"/>
        </w:rPr>
        <w:t xml:space="preserve"> </w:t>
      </w:r>
      <w:r>
        <w:rPr>
          <w:rFonts w:ascii="Trebuchet MS"/>
          <w:color w:val="231F20"/>
          <w:w w:val="105"/>
          <w:sz w:val="14"/>
        </w:rPr>
        <w:t>Sport</w:t>
      </w:r>
      <w:r>
        <w:rPr>
          <w:rFonts w:ascii="Trebuchet MS"/>
          <w:color w:val="231F20"/>
          <w:spacing w:val="-9"/>
          <w:w w:val="105"/>
          <w:sz w:val="14"/>
        </w:rPr>
        <w:t xml:space="preserve"> </w:t>
      </w:r>
      <w:r>
        <w:rPr>
          <w:rFonts w:ascii="Trebuchet MS"/>
          <w:color w:val="231F20"/>
          <w:w w:val="105"/>
          <w:sz w:val="14"/>
        </w:rPr>
        <w:t>Tourism</w:t>
      </w:r>
      <w:r>
        <w:rPr>
          <w:rFonts w:ascii="Trebuchet MS"/>
          <w:color w:val="231F20"/>
          <w:spacing w:val="-9"/>
          <w:w w:val="105"/>
          <w:sz w:val="14"/>
        </w:rPr>
        <w:t xml:space="preserve"> </w:t>
      </w:r>
      <w:r>
        <w:rPr>
          <w:rFonts w:ascii="Trebuchet MS"/>
          <w:color w:val="231F20"/>
          <w:spacing w:val="-2"/>
          <w:w w:val="105"/>
          <w:sz w:val="14"/>
        </w:rPr>
        <w:t>Development</w:t>
      </w:r>
    </w:p>
    <w:p w14:paraId="01D6499A" w14:textId="77777777" w:rsidR="00AE0598" w:rsidRDefault="00AE0598">
      <w:pPr>
        <w:pStyle w:val="Corpodetexto"/>
        <w:rPr>
          <w:rFonts w:ascii="Trebuchet MS"/>
          <w:sz w:val="16"/>
        </w:rPr>
      </w:pPr>
    </w:p>
    <w:p w14:paraId="14D25052" w14:textId="77777777" w:rsidR="00AE0598" w:rsidRDefault="0069255A">
      <w:pPr>
        <w:pStyle w:val="Corpodetexto"/>
        <w:spacing w:before="118" w:line="232" w:lineRule="auto"/>
        <w:ind w:left="110" w:right="128"/>
        <w:jc w:val="both"/>
      </w:pPr>
      <w:r>
        <w:rPr>
          <w:color w:val="231F20"/>
          <w:w w:val="95"/>
        </w:rPr>
        <w:t>and identity in popular tourist destinations. Clearly, the commodification</w:t>
      </w:r>
      <w:r>
        <w:rPr>
          <w:color w:val="231F20"/>
          <w:spacing w:val="80"/>
          <w:w w:val="150"/>
        </w:rPr>
        <w:t xml:space="preserve"> </w:t>
      </w:r>
      <w:r>
        <w:rPr>
          <w:color w:val="231F20"/>
        </w:rPr>
        <w:t>of</w:t>
      </w:r>
      <w:r>
        <w:rPr>
          <w:color w:val="231F20"/>
          <w:spacing w:val="-3"/>
        </w:rPr>
        <w:t xml:space="preserve"> </w:t>
      </w:r>
      <w:r>
        <w:rPr>
          <w:color w:val="231F20"/>
        </w:rPr>
        <w:t>sport</w:t>
      </w:r>
      <w:r>
        <w:rPr>
          <w:color w:val="231F20"/>
          <w:spacing w:val="-3"/>
        </w:rPr>
        <w:t xml:space="preserve"> </w:t>
      </w:r>
      <w:r>
        <w:rPr>
          <w:color w:val="231F20"/>
        </w:rPr>
        <w:t>and</w:t>
      </w:r>
      <w:r>
        <w:rPr>
          <w:color w:val="231F20"/>
          <w:spacing w:val="-3"/>
        </w:rPr>
        <w:t xml:space="preserve"> </w:t>
      </w:r>
      <w:r>
        <w:rPr>
          <w:color w:val="231F20"/>
        </w:rPr>
        <w:t>places</w:t>
      </w:r>
      <w:r>
        <w:rPr>
          <w:color w:val="231F20"/>
          <w:spacing w:val="-3"/>
        </w:rPr>
        <w:t xml:space="preserve"> </w:t>
      </w:r>
      <w:r>
        <w:rPr>
          <w:color w:val="231F20"/>
        </w:rPr>
        <w:t>is</w:t>
      </w:r>
      <w:r>
        <w:rPr>
          <w:color w:val="231F20"/>
          <w:spacing w:val="-3"/>
        </w:rPr>
        <w:t xml:space="preserve"> </w:t>
      </w:r>
      <w:r>
        <w:rPr>
          <w:color w:val="231F20"/>
        </w:rPr>
        <w:t>not</w:t>
      </w:r>
      <w:r>
        <w:rPr>
          <w:color w:val="231F20"/>
          <w:spacing w:val="-3"/>
        </w:rPr>
        <w:t xml:space="preserve"> </w:t>
      </w:r>
      <w:r>
        <w:rPr>
          <w:color w:val="231F20"/>
        </w:rPr>
        <w:t>always</w:t>
      </w:r>
      <w:r>
        <w:rPr>
          <w:color w:val="231F20"/>
          <w:spacing w:val="-3"/>
        </w:rPr>
        <w:t xml:space="preserve"> </w:t>
      </w:r>
      <w:r>
        <w:rPr>
          <w:color w:val="231F20"/>
        </w:rPr>
        <w:t>problematic</w:t>
      </w:r>
      <w:r>
        <w:rPr>
          <w:color w:val="231F20"/>
          <w:spacing w:val="-3"/>
        </w:rPr>
        <w:t xml:space="preserve"> </w:t>
      </w:r>
      <w:r>
        <w:rPr>
          <w:color w:val="231F20"/>
        </w:rPr>
        <w:t>as</w:t>
      </w:r>
      <w:r>
        <w:rPr>
          <w:color w:val="231F20"/>
          <w:spacing w:val="-3"/>
        </w:rPr>
        <w:t xml:space="preserve"> </w:t>
      </w:r>
      <w:r>
        <w:rPr>
          <w:color w:val="231F20"/>
        </w:rPr>
        <w:t>it</w:t>
      </w:r>
      <w:r>
        <w:rPr>
          <w:color w:val="231F20"/>
          <w:spacing w:val="-3"/>
        </w:rPr>
        <w:t xml:space="preserve"> </w:t>
      </w:r>
      <w:r>
        <w:rPr>
          <w:color w:val="231F20"/>
        </w:rPr>
        <w:t>also</w:t>
      </w:r>
      <w:r>
        <w:rPr>
          <w:color w:val="231F20"/>
          <w:spacing w:val="-3"/>
        </w:rPr>
        <w:t xml:space="preserve"> </w:t>
      </w:r>
      <w:r>
        <w:rPr>
          <w:color w:val="231F20"/>
        </w:rPr>
        <w:t>brings</w:t>
      </w:r>
      <w:r>
        <w:rPr>
          <w:color w:val="231F20"/>
          <w:spacing w:val="-3"/>
        </w:rPr>
        <w:t xml:space="preserve"> </w:t>
      </w:r>
      <w:r>
        <w:rPr>
          <w:color w:val="231F20"/>
        </w:rPr>
        <w:t>benefits</w:t>
      </w:r>
      <w:r>
        <w:rPr>
          <w:color w:val="231F20"/>
          <w:spacing w:val="-3"/>
        </w:rPr>
        <w:t xml:space="preserve"> </w:t>
      </w:r>
      <w:r>
        <w:rPr>
          <w:color w:val="231F20"/>
        </w:rPr>
        <w:t>in the economic, social and environmental realms.</w:t>
      </w:r>
    </w:p>
    <w:p w14:paraId="636021AE" w14:textId="77777777" w:rsidR="00AE0598" w:rsidRDefault="0069255A">
      <w:pPr>
        <w:pStyle w:val="Corpodetexto"/>
        <w:spacing w:before="4" w:line="232" w:lineRule="auto"/>
        <w:ind w:left="110" w:right="124" w:firstLine="320"/>
        <w:jc w:val="both"/>
      </w:pPr>
      <w:r>
        <w:rPr>
          <w:color w:val="231F20"/>
        </w:rPr>
        <w:t xml:space="preserve">Authenticity is closely related to commodification. Cole (2007) distinguishes between the perspectives of government, tourist and villagers in Eastern Indonesia. While governments and tourists found </w:t>
      </w:r>
      <w:r>
        <w:rPr>
          <w:color w:val="231F20"/>
          <w:w w:val="95"/>
        </w:rPr>
        <w:t>authenticity to be problematic, villagers saw the commodi</w:t>
      </w:r>
      <w:r>
        <w:rPr>
          <w:color w:val="231F20"/>
          <w:w w:val="95"/>
        </w:rPr>
        <w:t>fication of their culture as empowering. In a tourism context, authenticity has traditionally been viewed in relation to the object of interest, the originals or the thing</w:t>
      </w:r>
      <w:r>
        <w:rPr>
          <w:color w:val="231F20"/>
          <w:spacing w:val="80"/>
        </w:rPr>
        <w:t xml:space="preserve"> </w:t>
      </w:r>
      <w:r>
        <w:rPr>
          <w:color w:val="231F20"/>
        </w:rPr>
        <w:t>or</w:t>
      </w:r>
      <w:r>
        <w:rPr>
          <w:color w:val="231F20"/>
          <w:spacing w:val="29"/>
        </w:rPr>
        <w:t xml:space="preserve"> </w:t>
      </w:r>
      <w:r>
        <w:rPr>
          <w:color w:val="231F20"/>
        </w:rPr>
        <w:t>activity</w:t>
      </w:r>
      <w:r>
        <w:rPr>
          <w:color w:val="231F20"/>
          <w:spacing w:val="29"/>
        </w:rPr>
        <w:t xml:space="preserve"> </w:t>
      </w:r>
      <w:r>
        <w:rPr>
          <w:color w:val="231F20"/>
        </w:rPr>
        <w:t>that</w:t>
      </w:r>
      <w:r>
        <w:rPr>
          <w:color w:val="231F20"/>
          <w:spacing w:val="29"/>
        </w:rPr>
        <w:t xml:space="preserve"> </w:t>
      </w:r>
      <w:r>
        <w:rPr>
          <w:color w:val="231F20"/>
        </w:rPr>
        <w:t>the</w:t>
      </w:r>
      <w:r>
        <w:rPr>
          <w:color w:val="231F20"/>
          <w:spacing w:val="29"/>
        </w:rPr>
        <w:t xml:space="preserve"> </w:t>
      </w:r>
      <w:r>
        <w:rPr>
          <w:color w:val="231F20"/>
        </w:rPr>
        <w:t>tourists</w:t>
      </w:r>
      <w:r>
        <w:rPr>
          <w:color w:val="231F20"/>
          <w:spacing w:val="29"/>
        </w:rPr>
        <w:t xml:space="preserve"> </w:t>
      </w:r>
      <w:r>
        <w:rPr>
          <w:color w:val="231F20"/>
        </w:rPr>
        <w:t>have</w:t>
      </w:r>
      <w:r>
        <w:rPr>
          <w:color w:val="231F20"/>
          <w:spacing w:val="29"/>
        </w:rPr>
        <w:t xml:space="preserve"> </w:t>
      </w:r>
      <w:r>
        <w:rPr>
          <w:color w:val="231F20"/>
        </w:rPr>
        <w:t>come</w:t>
      </w:r>
      <w:r>
        <w:rPr>
          <w:color w:val="231F20"/>
          <w:spacing w:val="29"/>
        </w:rPr>
        <w:t xml:space="preserve"> </w:t>
      </w:r>
      <w:r>
        <w:rPr>
          <w:color w:val="231F20"/>
        </w:rPr>
        <w:t>to</w:t>
      </w:r>
      <w:r>
        <w:rPr>
          <w:color w:val="231F20"/>
          <w:spacing w:val="29"/>
        </w:rPr>
        <w:t xml:space="preserve"> </w:t>
      </w:r>
      <w:r>
        <w:rPr>
          <w:color w:val="231F20"/>
        </w:rPr>
        <w:t>see</w:t>
      </w:r>
      <w:r>
        <w:rPr>
          <w:color w:val="231F20"/>
          <w:spacing w:val="29"/>
        </w:rPr>
        <w:t xml:space="preserve"> </w:t>
      </w:r>
      <w:r>
        <w:rPr>
          <w:color w:val="231F20"/>
        </w:rPr>
        <w:t>(Wang,</w:t>
      </w:r>
      <w:r>
        <w:rPr>
          <w:color w:val="231F20"/>
          <w:spacing w:val="29"/>
        </w:rPr>
        <w:t xml:space="preserve"> </w:t>
      </w:r>
      <w:r>
        <w:rPr>
          <w:color w:val="231F20"/>
        </w:rPr>
        <w:t>1999).</w:t>
      </w:r>
      <w:r>
        <w:rPr>
          <w:color w:val="231F20"/>
          <w:spacing w:val="29"/>
        </w:rPr>
        <w:t xml:space="preserve"> </w:t>
      </w:r>
      <w:r>
        <w:rPr>
          <w:color w:val="231F20"/>
        </w:rPr>
        <w:t>This</w:t>
      </w:r>
      <w:r>
        <w:rPr>
          <w:color w:val="231F20"/>
          <w:spacing w:val="29"/>
        </w:rPr>
        <w:t xml:space="preserve"> </w:t>
      </w:r>
      <w:r>
        <w:rPr>
          <w:color w:val="231F20"/>
        </w:rPr>
        <w:t xml:space="preserve">can be thought of </w:t>
      </w:r>
      <w:r>
        <w:rPr>
          <w:color w:val="231F20"/>
        </w:rPr>
        <w:t>as comparable to a museum curator’s perspective where experts</w:t>
      </w:r>
      <w:r>
        <w:rPr>
          <w:color w:val="231F20"/>
          <w:spacing w:val="-2"/>
        </w:rPr>
        <w:t xml:space="preserve"> </w:t>
      </w:r>
      <w:r>
        <w:rPr>
          <w:color w:val="231F20"/>
        </w:rPr>
        <w:t>in</w:t>
      </w:r>
      <w:r>
        <w:rPr>
          <w:color w:val="231F20"/>
          <w:spacing w:val="-2"/>
        </w:rPr>
        <w:t xml:space="preserve"> </w:t>
      </w:r>
      <w:r>
        <w:rPr>
          <w:color w:val="231F20"/>
        </w:rPr>
        <w:t>such</w:t>
      </w:r>
      <w:r>
        <w:rPr>
          <w:color w:val="231F20"/>
          <w:spacing w:val="-2"/>
        </w:rPr>
        <w:t xml:space="preserve"> </w:t>
      </w:r>
      <w:r>
        <w:rPr>
          <w:color w:val="231F20"/>
        </w:rPr>
        <w:t>matters</w:t>
      </w:r>
      <w:r>
        <w:rPr>
          <w:color w:val="231F20"/>
          <w:spacing w:val="-2"/>
        </w:rPr>
        <w:t xml:space="preserve"> </w:t>
      </w:r>
      <w:r>
        <w:rPr>
          <w:color w:val="231F20"/>
        </w:rPr>
        <w:t>test</w:t>
      </w:r>
      <w:r>
        <w:rPr>
          <w:color w:val="231F20"/>
          <w:spacing w:val="-2"/>
        </w:rPr>
        <w:t xml:space="preserve"> </w:t>
      </w:r>
      <w:r>
        <w:rPr>
          <w:color w:val="231F20"/>
        </w:rPr>
        <w:t>whether</w:t>
      </w:r>
      <w:r>
        <w:rPr>
          <w:color w:val="231F20"/>
          <w:spacing w:val="-2"/>
        </w:rPr>
        <w:t xml:space="preserve"> </w:t>
      </w:r>
      <w:r>
        <w:rPr>
          <w:color w:val="231F20"/>
        </w:rPr>
        <w:t>objects</w:t>
      </w:r>
      <w:r>
        <w:rPr>
          <w:color w:val="231F20"/>
          <w:spacing w:val="-2"/>
        </w:rPr>
        <w:t xml:space="preserve"> </w:t>
      </w:r>
      <w:r>
        <w:rPr>
          <w:color w:val="231F20"/>
        </w:rPr>
        <w:t>of</w:t>
      </w:r>
      <w:r>
        <w:rPr>
          <w:color w:val="231F20"/>
          <w:spacing w:val="-2"/>
        </w:rPr>
        <w:t xml:space="preserve"> </w:t>
      </w:r>
      <w:r>
        <w:rPr>
          <w:color w:val="231F20"/>
        </w:rPr>
        <w:t>art</w:t>
      </w:r>
      <w:r>
        <w:rPr>
          <w:color w:val="231F20"/>
          <w:spacing w:val="-2"/>
        </w:rPr>
        <w:t xml:space="preserve"> </w:t>
      </w:r>
      <w:r>
        <w:rPr>
          <w:color w:val="231F20"/>
        </w:rPr>
        <w:t>are</w:t>
      </w:r>
      <w:r>
        <w:rPr>
          <w:color w:val="231F20"/>
          <w:spacing w:val="-2"/>
        </w:rPr>
        <w:t xml:space="preserve"> </w:t>
      </w:r>
      <w:r>
        <w:rPr>
          <w:color w:val="231F20"/>
        </w:rPr>
        <w:t>what</w:t>
      </w:r>
      <w:r>
        <w:rPr>
          <w:color w:val="231F20"/>
          <w:spacing w:val="-2"/>
        </w:rPr>
        <w:t xml:space="preserve"> </w:t>
      </w:r>
      <w:r>
        <w:rPr>
          <w:color w:val="231F20"/>
        </w:rPr>
        <w:t>they</w:t>
      </w:r>
      <w:r>
        <w:rPr>
          <w:color w:val="231F20"/>
          <w:spacing w:val="-2"/>
        </w:rPr>
        <w:t xml:space="preserve"> </w:t>
      </w:r>
      <w:r>
        <w:rPr>
          <w:color w:val="231F20"/>
        </w:rPr>
        <w:t xml:space="preserve">appear </w:t>
      </w:r>
      <w:r>
        <w:rPr>
          <w:color w:val="231F20"/>
          <w:w w:val="95"/>
        </w:rPr>
        <w:t>to be or are claimed to be (Cohen, 1988). The sporting parallel is manifest</w:t>
      </w:r>
      <w:r>
        <w:rPr>
          <w:color w:val="231F20"/>
          <w:spacing w:val="80"/>
        </w:rPr>
        <w:t xml:space="preserve"> </w:t>
      </w:r>
      <w:r>
        <w:rPr>
          <w:color w:val="231F20"/>
        </w:rPr>
        <w:t>in popular criticism of any break from tradition, esp</w:t>
      </w:r>
      <w:r>
        <w:rPr>
          <w:color w:val="231F20"/>
        </w:rPr>
        <w:t>ecially in relation to rule changes. From this perspective, a thing or activity is judged to be authentic or not in a relatively objective manner. Reisinger and Steiner (2005) take issue with this view, arguing that it is not possible to judge object authe</w:t>
      </w:r>
      <w:r>
        <w:rPr>
          <w:color w:val="231F20"/>
        </w:rPr>
        <w:t>nticity. In the face of such criticism, the pursuit of objective authenticity has gradually given away to more flexible interpretations</w:t>
      </w:r>
      <w:r>
        <w:rPr>
          <w:color w:val="231F20"/>
          <w:spacing w:val="80"/>
        </w:rPr>
        <w:t xml:space="preserve"> </w:t>
      </w:r>
      <w:r>
        <w:rPr>
          <w:color w:val="231F20"/>
        </w:rPr>
        <w:t>of authenticity where it is appreciated that there is seldom an absolute authenticity, but that it is more often negotia</w:t>
      </w:r>
      <w:r>
        <w:rPr>
          <w:color w:val="231F20"/>
        </w:rPr>
        <w:t xml:space="preserve">ted in some fashion. Wang (1999) has termed this as ‘constructive authenticity’. As part of the </w:t>
      </w:r>
      <w:r>
        <w:rPr>
          <w:color w:val="231F20"/>
          <w:w w:val="95"/>
        </w:rPr>
        <w:t xml:space="preserve">commodification process, the tourism industry has continued to present </w:t>
      </w:r>
      <w:r>
        <w:rPr>
          <w:color w:val="231F20"/>
        </w:rPr>
        <w:t xml:space="preserve">‘staged authenticity’, albeit increasingly in an overt form. Rather than </w:t>
      </w:r>
      <w:r>
        <w:rPr>
          <w:color w:val="231F20"/>
          <w:w w:val="95"/>
        </w:rPr>
        <w:t xml:space="preserve">taking tourists </w:t>
      </w:r>
      <w:r>
        <w:rPr>
          <w:color w:val="231F20"/>
          <w:w w:val="95"/>
        </w:rPr>
        <w:t xml:space="preserve">to the backstage of a destination to experience real culture, </w:t>
      </w:r>
      <w:r>
        <w:rPr>
          <w:color w:val="231F20"/>
        </w:rPr>
        <w:t>tourism operators use the front stage where a destination’s culture is presented in a controlled way via museums, heritage centres, cultural performances and other similar forums. A dedicated st</w:t>
      </w:r>
      <w:r>
        <w:rPr>
          <w:color w:val="231F20"/>
        </w:rPr>
        <w:t>age for tourism allows for greater influence over impacts and addresses the operational constraints associated with tourist activity such as the restricted scheduling that typically characterises tourists.</w:t>
      </w:r>
    </w:p>
    <w:p w14:paraId="79F8F121" w14:textId="77777777" w:rsidR="00AE0598" w:rsidRDefault="0069255A">
      <w:pPr>
        <w:pStyle w:val="Corpodetexto"/>
        <w:spacing w:before="33" w:line="232" w:lineRule="auto"/>
        <w:ind w:left="110" w:right="124" w:firstLine="320"/>
        <w:jc w:val="both"/>
      </w:pPr>
      <w:r>
        <w:rPr>
          <w:color w:val="231F20"/>
        </w:rPr>
        <w:t>Timothy and Boyd’s (2002) review of the authentici</w:t>
      </w:r>
      <w:r>
        <w:rPr>
          <w:color w:val="231F20"/>
        </w:rPr>
        <w:t xml:space="preserve">ty debate in the context of heritage tourism highlights several important issues that are especially relevant in relation to heritage sport tourism. They suggest five types of common distortions of the past including: invented places </w:t>
      </w:r>
      <w:r>
        <w:rPr>
          <w:color w:val="231F20"/>
          <w:w w:val="95"/>
        </w:rPr>
        <w:t>or reconstructed pasts</w:t>
      </w:r>
      <w:r>
        <w:rPr>
          <w:color w:val="231F20"/>
          <w:w w:val="95"/>
        </w:rPr>
        <w:t xml:space="preserve">; relative authenticity that recognises the subjective </w:t>
      </w:r>
      <w:r>
        <w:rPr>
          <w:color w:val="231F20"/>
        </w:rPr>
        <w:t>nature of interpreting the past; ethnic intruders in the form of non-local interpreters; sanitised and idealised pasts; and finally, the unknown</w:t>
      </w:r>
      <w:r>
        <w:rPr>
          <w:color w:val="231F20"/>
          <w:spacing w:val="40"/>
        </w:rPr>
        <w:t xml:space="preserve"> </w:t>
      </w:r>
      <w:r>
        <w:rPr>
          <w:color w:val="231F20"/>
        </w:rPr>
        <w:t>past</w:t>
      </w:r>
      <w:r>
        <w:rPr>
          <w:color w:val="231F20"/>
          <w:spacing w:val="-2"/>
        </w:rPr>
        <w:t xml:space="preserve"> </w:t>
      </w:r>
      <w:r>
        <w:rPr>
          <w:color w:val="231F20"/>
        </w:rPr>
        <w:t>in</w:t>
      </w:r>
      <w:r>
        <w:rPr>
          <w:color w:val="231F20"/>
          <w:spacing w:val="-2"/>
        </w:rPr>
        <w:t xml:space="preserve"> </w:t>
      </w:r>
      <w:r>
        <w:rPr>
          <w:color w:val="231F20"/>
        </w:rPr>
        <w:t>which</w:t>
      </w:r>
      <w:r>
        <w:rPr>
          <w:color w:val="231F20"/>
          <w:spacing w:val="-2"/>
        </w:rPr>
        <w:t xml:space="preserve"> </w:t>
      </w:r>
      <w:r>
        <w:rPr>
          <w:color w:val="231F20"/>
        </w:rPr>
        <w:t>it</w:t>
      </w:r>
      <w:r>
        <w:rPr>
          <w:color w:val="231F20"/>
          <w:spacing w:val="-2"/>
        </w:rPr>
        <w:t xml:space="preserve"> </w:t>
      </w:r>
      <w:r>
        <w:rPr>
          <w:color w:val="231F20"/>
        </w:rPr>
        <w:t>is</w:t>
      </w:r>
      <w:r>
        <w:rPr>
          <w:color w:val="231F20"/>
          <w:spacing w:val="-2"/>
        </w:rPr>
        <w:t xml:space="preserve"> </w:t>
      </w:r>
      <w:r>
        <w:rPr>
          <w:color w:val="231F20"/>
        </w:rPr>
        <w:t>recognised</w:t>
      </w:r>
      <w:r>
        <w:rPr>
          <w:color w:val="231F20"/>
          <w:spacing w:val="-2"/>
        </w:rPr>
        <w:t xml:space="preserve"> </w:t>
      </w:r>
      <w:r>
        <w:rPr>
          <w:color w:val="231F20"/>
        </w:rPr>
        <w:t>that</w:t>
      </w:r>
      <w:r>
        <w:rPr>
          <w:color w:val="231F20"/>
          <w:spacing w:val="-2"/>
        </w:rPr>
        <w:t xml:space="preserve"> </w:t>
      </w:r>
      <w:r>
        <w:rPr>
          <w:color w:val="231F20"/>
        </w:rPr>
        <w:t>interpretations</w:t>
      </w:r>
      <w:r>
        <w:rPr>
          <w:color w:val="231F20"/>
          <w:spacing w:val="-2"/>
        </w:rPr>
        <w:t xml:space="preserve"> </w:t>
      </w:r>
      <w:r>
        <w:rPr>
          <w:color w:val="231F20"/>
        </w:rPr>
        <w:t>of</w:t>
      </w:r>
      <w:r>
        <w:rPr>
          <w:color w:val="231F20"/>
          <w:spacing w:val="-2"/>
        </w:rPr>
        <w:t xml:space="preserve"> </w:t>
      </w:r>
      <w:r>
        <w:rPr>
          <w:color w:val="231F20"/>
        </w:rPr>
        <w:t>the</w:t>
      </w:r>
      <w:r>
        <w:rPr>
          <w:color w:val="231F20"/>
          <w:spacing w:val="-2"/>
        </w:rPr>
        <w:t xml:space="preserve"> </w:t>
      </w:r>
      <w:r>
        <w:rPr>
          <w:color w:val="231F20"/>
        </w:rPr>
        <w:t>past</w:t>
      </w:r>
      <w:r>
        <w:rPr>
          <w:color w:val="231F20"/>
          <w:spacing w:val="-2"/>
        </w:rPr>
        <w:t xml:space="preserve"> </w:t>
      </w:r>
      <w:r>
        <w:rPr>
          <w:color w:val="231F20"/>
        </w:rPr>
        <w:t>can</w:t>
      </w:r>
      <w:r>
        <w:rPr>
          <w:color w:val="231F20"/>
          <w:spacing w:val="-2"/>
        </w:rPr>
        <w:t xml:space="preserve"> </w:t>
      </w:r>
      <w:r>
        <w:rPr>
          <w:color w:val="231F20"/>
        </w:rPr>
        <w:t>only</w:t>
      </w:r>
      <w:r>
        <w:rPr>
          <w:color w:val="231F20"/>
          <w:spacing w:val="-2"/>
        </w:rPr>
        <w:t xml:space="preserve"> </w:t>
      </w:r>
      <w:r>
        <w:rPr>
          <w:color w:val="231F20"/>
        </w:rPr>
        <w:t>be partial.</w:t>
      </w:r>
      <w:r>
        <w:rPr>
          <w:color w:val="231F20"/>
          <w:spacing w:val="-10"/>
        </w:rPr>
        <w:t xml:space="preserve"> </w:t>
      </w:r>
      <w:r>
        <w:rPr>
          <w:color w:val="231F20"/>
        </w:rPr>
        <w:t>Sport</w:t>
      </w:r>
      <w:r>
        <w:rPr>
          <w:color w:val="231F20"/>
          <w:spacing w:val="-10"/>
        </w:rPr>
        <w:t xml:space="preserve"> </w:t>
      </w:r>
      <w:r>
        <w:rPr>
          <w:color w:val="231F20"/>
        </w:rPr>
        <w:t>tourism</w:t>
      </w:r>
      <w:r>
        <w:rPr>
          <w:color w:val="231F20"/>
          <w:spacing w:val="-10"/>
        </w:rPr>
        <w:t xml:space="preserve"> </w:t>
      </w:r>
      <w:r>
        <w:rPr>
          <w:color w:val="231F20"/>
        </w:rPr>
        <w:t>examples</w:t>
      </w:r>
      <w:r>
        <w:rPr>
          <w:color w:val="231F20"/>
          <w:spacing w:val="-10"/>
        </w:rPr>
        <w:t xml:space="preserve"> </w:t>
      </w:r>
      <w:r>
        <w:rPr>
          <w:color w:val="231F20"/>
        </w:rPr>
        <w:t>in</w:t>
      </w:r>
      <w:r>
        <w:rPr>
          <w:color w:val="231F20"/>
          <w:spacing w:val="-10"/>
        </w:rPr>
        <w:t xml:space="preserve"> </w:t>
      </w:r>
      <w:r>
        <w:rPr>
          <w:color w:val="231F20"/>
        </w:rPr>
        <w:t>these</w:t>
      </w:r>
      <w:r>
        <w:rPr>
          <w:color w:val="231F20"/>
          <w:spacing w:val="-10"/>
        </w:rPr>
        <w:t xml:space="preserve"> </w:t>
      </w:r>
      <w:r>
        <w:rPr>
          <w:color w:val="231F20"/>
        </w:rPr>
        <w:t>categories</w:t>
      </w:r>
      <w:r>
        <w:rPr>
          <w:color w:val="231F20"/>
          <w:spacing w:val="-10"/>
        </w:rPr>
        <w:t xml:space="preserve"> </w:t>
      </w:r>
      <w:r>
        <w:rPr>
          <w:color w:val="231F20"/>
        </w:rPr>
        <w:t>include:</w:t>
      </w:r>
      <w:r>
        <w:rPr>
          <w:color w:val="231F20"/>
          <w:spacing w:val="-10"/>
        </w:rPr>
        <w:t xml:space="preserve"> </w:t>
      </w:r>
      <w:r>
        <w:rPr>
          <w:color w:val="231F20"/>
        </w:rPr>
        <w:t>fantasy</w:t>
      </w:r>
      <w:r>
        <w:rPr>
          <w:color w:val="231F20"/>
          <w:spacing w:val="-10"/>
        </w:rPr>
        <w:t xml:space="preserve"> </w:t>
      </w:r>
      <w:r>
        <w:rPr>
          <w:color w:val="231F20"/>
        </w:rPr>
        <w:t xml:space="preserve">sport </w:t>
      </w:r>
      <w:r>
        <w:rPr>
          <w:color w:val="231F20"/>
          <w:w w:val="95"/>
        </w:rPr>
        <w:t xml:space="preserve">camps, contradictory views of historic sporting matches, great geographic </w:t>
      </w:r>
      <w:r>
        <w:rPr>
          <w:color w:val="231F20"/>
        </w:rPr>
        <w:t>diversity reflected in the playing and coaching rosters, highly nos</w:t>
      </w:r>
      <w:r>
        <w:rPr>
          <w:color w:val="231F20"/>
        </w:rPr>
        <w:t>talgic interpretations of past sporting glory and hero worship, and memories of</w:t>
      </w:r>
      <w:r>
        <w:rPr>
          <w:color w:val="231F20"/>
          <w:spacing w:val="14"/>
        </w:rPr>
        <w:t xml:space="preserve"> </w:t>
      </w:r>
      <w:r>
        <w:rPr>
          <w:color w:val="231F20"/>
        </w:rPr>
        <w:t>the</w:t>
      </w:r>
      <w:r>
        <w:rPr>
          <w:color w:val="231F20"/>
          <w:spacing w:val="14"/>
        </w:rPr>
        <w:t xml:space="preserve"> </w:t>
      </w:r>
      <w:r>
        <w:rPr>
          <w:color w:val="231F20"/>
        </w:rPr>
        <w:t>past</w:t>
      </w:r>
      <w:r>
        <w:rPr>
          <w:color w:val="231F20"/>
          <w:spacing w:val="14"/>
        </w:rPr>
        <w:t xml:space="preserve"> </w:t>
      </w:r>
      <w:r>
        <w:rPr>
          <w:color w:val="231F20"/>
        </w:rPr>
        <w:t>built</w:t>
      </w:r>
      <w:r>
        <w:rPr>
          <w:color w:val="231F20"/>
          <w:spacing w:val="14"/>
        </w:rPr>
        <w:t xml:space="preserve"> </w:t>
      </w:r>
      <w:r>
        <w:rPr>
          <w:color w:val="231F20"/>
        </w:rPr>
        <w:t>on</w:t>
      </w:r>
      <w:r>
        <w:rPr>
          <w:color w:val="231F20"/>
          <w:spacing w:val="14"/>
        </w:rPr>
        <w:t xml:space="preserve"> </w:t>
      </w:r>
      <w:r>
        <w:rPr>
          <w:color w:val="231F20"/>
        </w:rPr>
        <w:t>selected</w:t>
      </w:r>
      <w:r>
        <w:rPr>
          <w:color w:val="231F20"/>
          <w:spacing w:val="14"/>
        </w:rPr>
        <w:t xml:space="preserve"> </w:t>
      </w:r>
      <w:r>
        <w:rPr>
          <w:color w:val="231F20"/>
        </w:rPr>
        <w:t>statistical</w:t>
      </w:r>
      <w:r>
        <w:rPr>
          <w:color w:val="231F20"/>
          <w:spacing w:val="14"/>
        </w:rPr>
        <w:t xml:space="preserve"> </w:t>
      </w:r>
      <w:r>
        <w:rPr>
          <w:color w:val="231F20"/>
        </w:rPr>
        <w:t>summaries</w:t>
      </w:r>
      <w:r>
        <w:rPr>
          <w:color w:val="231F20"/>
          <w:spacing w:val="14"/>
        </w:rPr>
        <w:t xml:space="preserve"> </w:t>
      </w:r>
      <w:r>
        <w:rPr>
          <w:color w:val="231F20"/>
        </w:rPr>
        <w:t>associated</w:t>
      </w:r>
      <w:r>
        <w:rPr>
          <w:color w:val="231F20"/>
          <w:spacing w:val="14"/>
        </w:rPr>
        <w:t xml:space="preserve"> </w:t>
      </w:r>
      <w:r>
        <w:rPr>
          <w:color w:val="231F20"/>
        </w:rPr>
        <w:t>with</w:t>
      </w:r>
      <w:r>
        <w:rPr>
          <w:color w:val="231F20"/>
          <w:spacing w:val="14"/>
        </w:rPr>
        <w:t xml:space="preserve"> </w:t>
      </w:r>
      <w:r>
        <w:rPr>
          <w:color w:val="231F20"/>
        </w:rPr>
        <w:t>elite</w:t>
      </w:r>
    </w:p>
    <w:p w14:paraId="5E476A22" w14:textId="77777777" w:rsidR="00AE0598" w:rsidRDefault="00AE0598">
      <w:pPr>
        <w:spacing w:line="232" w:lineRule="auto"/>
        <w:jc w:val="both"/>
        <w:sectPr w:rsidR="00AE0598">
          <w:pgSz w:w="8850" w:h="13270"/>
          <w:pgMar w:top="720" w:right="1060" w:bottom="280" w:left="1080" w:header="720" w:footer="720" w:gutter="0"/>
          <w:cols w:space="720"/>
        </w:sectPr>
      </w:pPr>
    </w:p>
    <w:p w14:paraId="74BF90F6" w14:textId="77777777" w:rsidR="00AE0598" w:rsidRDefault="0069255A">
      <w:pPr>
        <w:spacing w:before="87"/>
        <w:ind w:left="4067"/>
        <w:rPr>
          <w:rFonts w:ascii="Trebuchet MS"/>
          <w:sz w:val="14"/>
        </w:rPr>
      </w:pPr>
      <w:r>
        <w:rPr>
          <w:rFonts w:ascii="Trebuchet MS"/>
          <w:color w:val="231F20"/>
          <w:w w:val="105"/>
          <w:sz w:val="14"/>
        </w:rPr>
        <w:lastRenderedPageBreak/>
        <w:t>Development</w:t>
      </w:r>
      <w:r>
        <w:rPr>
          <w:rFonts w:ascii="Trebuchet MS"/>
          <w:color w:val="231F20"/>
          <w:spacing w:val="-12"/>
          <w:w w:val="105"/>
          <w:sz w:val="14"/>
        </w:rPr>
        <w:t xml:space="preserve"> </w:t>
      </w:r>
      <w:r>
        <w:rPr>
          <w:rFonts w:ascii="Trebuchet MS"/>
          <w:color w:val="231F20"/>
          <w:w w:val="105"/>
          <w:sz w:val="14"/>
        </w:rPr>
        <w:t>Processes</w:t>
      </w:r>
      <w:r>
        <w:rPr>
          <w:rFonts w:ascii="Trebuchet MS"/>
          <w:color w:val="231F20"/>
          <w:spacing w:val="-11"/>
          <w:w w:val="105"/>
          <w:sz w:val="14"/>
        </w:rPr>
        <w:t xml:space="preserve"> </w:t>
      </w:r>
      <w:r>
        <w:rPr>
          <w:rFonts w:ascii="Trebuchet MS"/>
          <w:color w:val="231F20"/>
          <w:w w:val="105"/>
          <w:sz w:val="14"/>
        </w:rPr>
        <w:t>and</w:t>
      </w:r>
      <w:r>
        <w:rPr>
          <w:rFonts w:ascii="Trebuchet MS"/>
          <w:color w:val="231F20"/>
          <w:spacing w:val="-11"/>
          <w:w w:val="105"/>
          <w:sz w:val="14"/>
        </w:rPr>
        <w:t xml:space="preserve"> </w:t>
      </w:r>
      <w:r>
        <w:rPr>
          <w:rFonts w:ascii="Trebuchet MS"/>
          <w:color w:val="231F20"/>
          <w:w w:val="105"/>
          <w:sz w:val="14"/>
        </w:rPr>
        <w:t>Issues</w:t>
      </w:r>
      <w:r>
        <w:rPr>
          <w:rFonts w:ascii="Trebuchet MS"/>
          <w:color w:val="231F20"/>
          <w:spacing w:val="77"/>
          <w:w w:val="105"/>
          <w:sz w:val="14"/>
        </w:rPr>
        <w:t xml:space="preserve"> </w:t>
      </w:r>
      <w:r>
        <w:rPr>
          <w:rFonts w:ascii="Trebuchet MS"/>
          <w:color w:val="231F20"/>
          <w:spacing w:val="-5"/>
          <w:w w:val="105"/>
          <w:sz w:val="14"/>
        </w:rPr>
        <w:t>73</w:t>
      </w:r>
    </w:p>
    <w:p w14:paraId="74291BCF" w14:textId="77777777" w:rsidR="00AE0598" w:rsidRDefault="00AE0598">
      <w:pPr>
        <w:pStyle w:val="Corpodetexto"/>
        <w:rPr>
          <w:rFonts w:ascii="Trebuchet MS"/>
          <w:sz w:val="16"/>
        </w:rPr>
      </w:pPr>
    </w:p>
    <w:p w14:paraId="681CCA82" w14:textId="77777777" w:rsidR="00AE0598" w:rsidRDefault="0069255A">
      <w:pPr>
        <w:pStyle w:val="Corpodetexto"/>
        <w:spacing w:before="118" w:line="232" w:lineRule="auto"/>
        <w:ind w:left="110" w:right="128"/>
        <w:jc w:val="both"/>
      </w:pPr>
      <w:r>
        <w:rPr>
          <w:color w:val="231F20"/>
        </w:rPr>
        <w:t xml:space="preserve">competition (Gammon &amp; Ramshaw, 2007). All of these distortions </w:t>
      </w:r>
      <w:r>
        <w:rPr>
          <w:color w:val="231F20"/>
          <w:w w:val="95"/>
        </w:rPr>
        <w:t xml:space="preserve">compromise objective authenticity but they do not necessarily detract from </w:t>
      </w:r>
      <w:r>
        <w:rPr>
          <w:color w:val="231F20"/>
        </w:rPr>
        <w:t>the experience of the visitor.</w:t>
      </w:r>
    </w:p>
    <w:p w14:paraId="3391D63D" w14:textId="77777777" w:rsidR="00AE0598" w:rsidRDefault="0069255A">
      <w:pPr>
        <w:pStyle w:val="Corpodetexto"/>
        <w:spacing w:before="4" w:line="232" w:lineRule="auto"/>
        <w:ind w:left="110" w:right="126" w:firstLine="320"/>
        <w:jc w:val="both"/>
      </w:pPr>
      <w:r>
        <w:rPr>
          <w:color w:val="231F20"/>
        </w:rPr>
        <w:t xml:space="preserve">While many academics have criticised the tourism industry’s failure </w:t>
      </w:r>
      <w:r>
        <w:rPr>
          <w:color w:val="231F20"/>
          <w:w w:val="95"/>
        </w:rPr>
        <w:t>to provide ‘objecti</w:t>
      </w:r>
      <w:r>
        <w:rPr>
          <w:color w:val="231F20"/>
          <w:w w:val="95"/>
        </w:rPr>
        <w:t xml:space="preserve">ve authenticity’ (e.g. Boorstin, 1975; Greenwood, 1989), </w:t>
      </w:r>
      <w:r>
        <w:rPr>
          <w:color w:val="231F20"/>
        </w:rPr>
        <w:t>others</w:t>
      </w:r>
      <w:r>
        <w:rPr>
          <w:color w:val="231F20"/>
          <w:spacing w:val="-8"/>
        </w:rPr>
        <w:t xml:space="preserve"> </w:t>
      </w:r>
      <w:r>
        <w:rPr>
          <w:color w:val="231F20"/>
        </w:rPr>
        <w:t>recognise</w:t>
      </w:r>
      <w:r>
        <w:rPr>
          <w:color w:val="231F20"/>
          <w:spacing w:val="-8"/>
        </w:rPr>
        <w:t xml:space="preserve"> </w:t>
      </w:r>
      <w:r>
        <w:rPr>
          <w:color w:val="231F20"/>
        </w:rPr>
        <w:t>that</w:t>
      </w:r>
      <w:r>
        <w:rPr>
          <w:color w:val="231F20"/>
          <w:spacing w:val="-8"/>
        </w:rPr>
        <w:t xml:space="preserve"> </w:t>
      </w:r>
      <w:r>
        <w:rPr>
          <w:color w:val="231F20"/>
        </w:rPr>
        <w:t>tourists</w:t>
      </w:r>
      <w:r>
        <w:rPr>
          <w:color w:val="231F20"/>
          <w:spacing w:val="-8"/>
        </w:rPr>
        <w:t xml:space="preserve"> </w:t>
      </w:r>
      <w:r>
        <w:rPr>
          <w:color w:val="231F20"/>
        </w:rPr>
        <w:t>often</w:t>
      </w:r>
      <w:r>
        <w:rPr>
          <w:color w:val="231F20"/>
          <w:spacing w:val="-8"/>
        </w:rPr>
        <w:t xml:space="preserve"> </w:t>
      </w:r>
      <w:r>
        <w:rPr>
          <w:color w:val="231F20"/>
        </w:rPr>
        <w:t>seek</w:t>
      </w:r>
      <w:r>
        <w:rPr>
          <w:color w:val="231F20"/>
          <w:spacing w:val="-8"/>
        </w:rPr>
        <w:t xml:space="preserve"> </w:t>
      </w:r>
      <w:r>
        <w:rPr>
          <w:color w:val="231F20"/>
        </w:rPr>
        <w:t>contrived</w:t>
      </w:r>
      <w:r>
        <w:rPr>
          <w:color w:val="231F20"/>
          <w:spacing w:val="-8"/>
        </w:rPr>
        <w:t xml:space="preserve"> </w:t>
      </w:r>
      <w:r>
        <w:rPr>
          <w:color w:val="231F20"/>
        </w:rPr>
        <w:t>experiences</w:t>
      </w:r>
      <w:r>
        <w:rPr>
          <w:color w:val="231F20"/>
          <w:spacing w:val="-8"/>
        </w:rPr>
        <w:t xml:space="preserve"> </w:t>
      </w:r>
      <w:r>
        <w:rPr>
          <w:color w:val="231F20"/>
        </w:rPr>
        <w:t>as</w:t>
      </w:r>
      <w:r>
        <w:rPr>
          <w:color w:val="231F20"/>
          <w:spacing w:val="-8"/>
        </w:rPr>
        <w:t xml:space="preserve"> </w:t>
      </w:r>
      <w:r>
        <w:rPr>
          <w:color w:val="231F20"/>
        </w:rPr>
        <w:t>part</w:t>
      </w:r>
      <w:r>
        <w:rPr>
          <w:color w:val="231F20"/>
          <w:spacing w:val="-8"/>
        </w:rPr>
        <w:t xml:space="preserve"> </w:t>
      </w:r>
      <w:r>
        <w:rPr>
          <w:color w:val="231F20"/>
        </w:rPr>
        <w:t>of their desire to have fun (Moscardo, 2000; Urry, 1990). Notwithstanding this</w:t>
      </w:r>
      <w:r>
        <w:rPr>
          <w:color w:val="231F20"/>
          <w:spacing w:val="-1"/>
        </w:rPr>
        <w:t xml:space="preserve"> </w:t>
      </w:r>
      <w:r>
        <w:rPr>
          <w:color w:val="231F20"/>
        </w:rPr>
        <w:t>perspective,</w:t>
      </w:r>
      <w:r>
        <w:rPr>
          <w:color w:val="231F20"/>
          <w:spacing w:val="-1"/>
        </w:rPr>
        <w:t xml:space="preserve"> </w:t>
      </w:r>
      <w:r>
        <w:rPr>
          <w:color w:val="231F20"/>
        </w:rPr>
        <w:t>it</w:t>
      </w:r>
      <w:r>
        <w:rPr>
          <w:color w:val="231F20"/>
          <w:spacing w:val="-1"/>
        </w:rPr>
        <w:t xml:space="preserve"> </w:t>
      </w:r>
      <w:r>
        <w:rPr>
          <w:color w:val="231F20"/>
        </w:rPr>
        <w:t>is</w:t>
      </w:r>
      <w:r>
        <w:rPr>
          <w:color w:val="231F20"/>
          <w:spacing w:val="-1"/>
        </w:rPr>
        <w:t xml:space="preserve"> </w:t>
      </w:r>
      <w:r>
        <w:rPr>
          <w:color w:val="231F20"/>
        </w:rPr>
        <w:t>acknowledged</w:t>
      </w:r>
      <w:r>
        <w:rPr>
          <w:color w:val="231F20"/>
          <w:spacing w:val="-1"/>
        </w:rPr>
        <w:t xml:space="preserve"> </w:t>
      </w:r>
      <w:r>
        <w:rPr>
          <w:color w:val="231F20"/>
        </w:rPr>
        <w:t>that</w:t>
      </w:r>
      <w:r>
        <w:rPr>
          <w:color w:val="231F20"/>
          <w:spacing w:val="-1"/>
        </w:rPr>
        <w:t xml:space="preserve"> </w:t>
      </w:r>
      <w:r>
        <w:rPr>
          <w:color w:val="231F20"/>
        </w:rPr>
        <w:t>many</w:t>
      </w:r>
      <w:r>
        <w:rPr>
          <w:color w:val="231F20"/>
          <w:spacing w:val="-1"/>
        </w:rPr>
        <w:t xml:space="preserve"> </w:t>
      </w:r>
      <w:r>
        <w:rPr>
          <w:color w:val="231F20"/>
        </w:rPr>
        <w:t>touris</w:t>
      </w:r>
      <w:r>
        <w:rPr>
          <w:color w:val="231F20"/>
        </w:rPr>
        <w:t>ts</w:t>
      </w:r>
      <w:r>
        <w:rPr>
          <w:color w:val="231F20"/>
          <w:spacing w:val="-1"/>
        </w:rPr>
        <w:t xml:space="preserve"> </w:t>
      </w:r>
      <w:r>
        <w:rPr>
          <w:color w:val="231F20"/>
        </w:rPr>
        <w:t>are</w:t>
      </w:r>
      <w:r>
        <w:rPr>
          <w:color w:val="231F20"/>
          <w:spacing w:val="-1"/>
        </w:rPr>
        <w:t xml:space="preserve"> </w:t>
      </w:r>
      <w:r>
        <w:rPr>
          <w:color w:val="231F20"/>
        </w:rPr>
        <w:t>searching</w:t>
      </w:r>
      <w:r>
        <w:rPr>
          <w:color w:val="231F20"/>
          <w:spacing w:val="-1"/>
        </w:rPr>
        <w:t xml:space="preserve"> </w:t>
      </w:r>
      <w:r>
        <w:rPr>
          <w:color w:val="231F20"/>
        </w:rPr>
        <w:t xml:space="preserve">for </w:t>
      </w:r>
      <w:r>
        <w:rPr>
          <w:color w:val="231F20"/>
          <w:w w:val="95"/>
        </w:rPr>
        <w:t xml:space="preserve">authentic experiences rather than authentic objects (McIntosh &amp; Prentice, </w:t>
      </w:r>
      <w:r>
        <w:rPr>
          <w:color w:val="231F20"/>
        </w:rPr>
        <w:t xml:space="preserve">1999; Tolkach </w:t>
      </w:r>
      <w:r>
        <w:rPr>
          <w:i/>
          <w:color w:val="231F20"/>
        </w:rPr>
        <w:t>et al</w:t>
      </w:r>
      <w:r>
        <w:rPr>
          <w:color w:val="231F20"/>
        </w:rPr>
        <w:t xml:space="preserve">., 2016). This is consistent with the more general consumer search for authenticity in products, services and experiences </w:t>
      </w:r>
      <w:r>
        <w:rPr>
          <w:color w:val="231F20"/>
          <w:w w:val="95"/>
        </w:rPr>
        <w:t xml:space="preserve">(Gilmore &amp; Pine, 2007; Yeoman </w:t>
      </w:r>
      <w:r>
        <w:rPr>
          <w:i/>
          <w:color w:val="231F20"/>
          <w:w w:val="95"/>
        </w:rPr>
        <w:t>et al</w:t>
      </w:r>
      <w:r>
        <w:rPr>
          <w:color w:val="231F20"/>
          <w:w w:val="95"/>
        </w:rPr>
        <w:t xml:space="preserve">., 2007). Wang (1999) has articulated this ‘rethinking’ of authenticity, describing an activity-related authenticity </w:t>
      </w:r>
      <w:r>
        <w:rPr>
          <w:color w:val="231F20"/>
        </w:rPr>
        <w:t>which he refers to as existential authenticity:</w:t>
      </w:r>
    </w:p>
    <w:p w14:paraId="7CD4A30B" w14:textId="77777777" w:rsidR="00AE0598" w:rsidRDefault="00AE0598">
      <w:pPr>
        <w:pStyle w:val="Corpodetexto"/>
        <w:spacing w:before="10"/>
      </w:pPr>
    </w:p>
    <w:p w14:paraId="047FE8BE" w14:textId="77777777" w:rsidR="00AE0598" w:rsidRDefault="0069255A">
      <w:pPr>
        <w:spacing w:line="244" w:lineRule="auto"/>
        <w:ind w:left="430" w:right="126"/>
        <w:jc w:val="both"/>
        <w:rPr>
          <w:sz w:val="20"/>
        </w:rPr>
      </w:pPr>
      <w:r>
        <w:rPr>
          <w:color w:val="231F20"/>
          <w:sz w:val="20"/>
        </w:rPr>
        <w:t>Existential authenticity refers to a potential existent</w:t>
      </w:r>
      <w:r>
        <w:rPr>
          <w:color w:val="231F20"/>
          <w:sz w:val="20"/>
        </w:rPr>
        <w:t>ial state of Being that is to be activated by tourist activities. Correspondingly, authentic experiences in tourism are to achieve this activated existential state of Being</w:t>
      </w:r>
      <w:r>
        <w:rPr>
          <w:color w:val="231F20"/>
          <w:spacing w:val="40"/>
          <w:sz w:val="20"/>
        </w:rPr>
        <w:t xml:space="preserve"> </w:t>
      </w:r>
      <w:r>
        <w:rPr>
          <w:color w:val="231F20"/>
          <w:sz w:val="20"/>
        </w:rPr>
        <w:t>within</w:t>
      </w:r>
      <w:r>
        <w:rPr>
          <w:color w:val="231F20"/>
          <w:spacing w:val="40"/>
          <w:sz w:val="20"/>
        </w:rPr>
        <w:t xml:space="preserve"> </w:t>
      </w:r>
      <w:r>
        <w:rPr>
          <w:color w:val="231F20"/>
          <w:sz w:val="20"/>
        </w:rPr>
        <w:t>the</w:t>
      </w:r>
      <w:r>
        <w:rPr>
          <w:color w:val="231F20"/>
          <w:spacing w:val="40"/>
          <w:sz w:val="20"/>
        </w:rPr>
        <w:t xml:space="preserve"> </w:t>
      </w:r>
      <w:r>
        <w:rPr>
          <w:color w:val="231F20"/>
          <w:sz w:val="20"/>
        </w:rPr>
        <w:t>liminal</w:t>
      </w:r>
      <w:r>
        <w:rPr>
          <w:color w:val="231F20"/>
          <w:spacing w:val="40"/>
          <w:sz w:val="20"/>
        </w:rPr>
        <w:t xml:space="preserve"> </w:t>
      </w:r>
      <w:r>
        <w:rPr>
          <w:color w:val="231F20"/>
          <w:sz w:val="20"/>
        </w:rPr>
        <w:t>process</w:t>
      </w:r>
      <w:r>
        <w:rPr>
          <w:color w:val="231F20"/>
          <w:spacing w:val="40"/>
          <w:sz w:val="20"/>
        </w:rPr>
        <w:t xml:space="preserve"> </w:t>
      </w:r>
      <w:r>
        <w:rPr>
          <w:color w:val="231F20"/>
          <w:sz w:val="20"/>
        </w:rPr>
        <w:t>of</w:t>
      </w:r>
      <w:r>
        <w:rPr>
          <w:color w:val="231F20"/>
          <w:spacing w:val="40"/>
          <w:sz w:val="20"/>
        </w:rPr>
        <w:t xml:space="preserve"> </w:t>
      </w:r>
      <w:r>
        <w:rPr>
          <w:color w:val="231F20"/>
          <w:sz w:val="20"/>
        </w:rPr>
        <w:t>tourism.</w:t>
      </w:r>
      <w:r>
        <w:rPr>
          <w:color w:val="231F20"/>
          <w:spacing w:val="40"/>
          <w:sz w:val="20"/>
        </w:rPr>
        <w:t xml:space="preserve"> </w:t>
      </w:r>
      <w:r>
        <w:rPr>
          <w:color w:val="231F20"/>
          <w:sz w:val="20"/>
        </w:rPr>
        <w:t>Existential</w:t>
      </w:r>
      <w:r>
        <w:rPr>
          <w:color w:val="231F20"/>
          <w:spacing w:val="40"/>
          <w:sz w:val="20"/>
        </w:rPr>
        <w:t xml:space="preserve"> </w:t>
      </w:r>
      <w:r>
        <w:rPr>
          <w:color w:val="231F20"/>
          <w:sz w:val="20"/>
        </w:rPr>
        <w:t>authenticity can have nothing to</w:t>
      </w:r>
      <w:r>
        <w:rPr>
          <w:color w:val="231F20"/>
          <w:sz w:val="20"/>
        </w:rPr>
        <w:t xml:space="preserve"> do with the authenticity of toured objects. (Wang, 1999: 352)</w:t>
      </w:r>
    </w:p>
    <w:p w14:paraId="3A106B5C" w14:textId="77777777" w:rsidR="00AE0598" w:rsidRDefault="00AE0598">
      <w:pPr>
        <w:pStyle w:val="Corpodetexto"/>
        <w:spacing w:before="7"/>
        <w:rPr>
          <w:sz w:val="20"/>
        </w:rPr>
      </w:pPr>
    </w:p>
    <w:p w14:paraId="22F373F4" w14:textId="77777777" w:rsidR="00AE0598" w:rsidRDefault="0069255A">
      <w:pPr>
        <w:pStyle w:val="Corpodetexto"/>
        <w:spacing w:line="232" w:lineRule="auto"/>
        <w:ind w:left="110" w:right="126"/>
        <w:jc w:val="both"/>
      </w:pPr>
      <w:r>
        <w:rPr>
          <w:color w:val="231F20"/>
        </w:rPr>
        <w:t xml:space="preserve">This type of authenticity would seem to hold considerable relevance for </w:t>
      </w:r>
      <w:r>
        <w:rPr>
          <w:color w:val="231F20"/>
          <w:w w:val="95"/>
        </w:rPr>
        <w:t xml:space="preserve">sport tourism with its focus on experience. It also represents an interesting </w:t>
      </w:r>
      <w:r>
        <w:rPr>
          <w:color w:val="231F20"/>
        </w:rPr>
        <w:t>dynamic in relation to the blurring of spo</w:t>
      </w:r>
      <w:r>
        <w:rPr>
          <w:color w:val="231F20"/>
        </w:rPr>
        <w:t>rt and entertainment. The key is engagement. If tourists are actively engaged as spectators or as active participants in a sport, they are likely to view their experience as being authentic regardless of how others may assess the situation. Sport is unique</w:t>
      </w:r>
      <w:r>
        <w:rPr>
          <w:color w:val="231F20"/>
          <w:spacing w:val="-1"/>
        </w:rPr>
        <w:t xml:space="preserve"> </w:t>
      </w:r>
      <w:r>
        <w:rPr>
          <w:color w:val="231F20"/>
        </w:rPr>
        <w:t>compared</w:t>
      </w:r>
      <w:r>
        <w:rPr>
          <w:color w:val="231F20"/>
          <w:spacing w:val="-1"/>
        </w:rPr>
        <w:t xml:space="preserve"> </w:t>
      </w:r>
      <w:r>
        <w:rPr>
          <w:color w:val="231F20"/>
        </w:rPr>
        <w:t>to</w:t>
      </w:r>
      <w:r>
        <w:rPr>
          <w:color w:val="231F20"/>
          <w:spacing w:val="-1"/>
        </w:rPr>
        <w:t xml:space="preserve"> </w:t>
      </w:r>
      <w:r>
        <w:rPr>
          <w:color w:val="231F20"/>
        </w:rPr>
        <w:t>other</w:t>
      </w:r>
      <w:r>
        <w:rPr>
          <w:color w:val="231F20"/>
          <w:spacing w:val="-1"/>
        </w:rPr>
        <w:t xml:space="preserve"> </w:t>
      </w:r>
      <w:r>
        <w:rPr>
          <w:color w:val="231F20"/>
        </w:rPr>
        <w:t>types</w:t>
      </w:r>
      <w:r>
        <w:rPr>
          <w:color w:val="231F20"/>
          <w:spacing w:val="-1"/>
        </w:rPr>
        <w:t xml:space="preserve"> </w:t>
      </w:r>
      <w:r>
        <w:rPr>
          <w:color w:val="231F20"/>
        </w:rPr>
        <w:t>of</w:t>
      </w:r>
      <w:r>
        <w:rPr>
          <w:color w:val="231F20"/>
          <w:spacing w:val="-1"/>
        </w:rPr>
        <w:t xml:space="preserve"> </w:t>
      </w:r>
      <w:r>
        <w:rPr>
          <w:color w:val="231F20"/>
        </w:rPr>
        <w:t>tourist</w:t>
      </w:r>
      <w:r>
        <w:rPr>
          <w:color w:val="231F20"/>
          <w:spacing w:val="-1"/>
        </w:rPr>
        <w:t xml:space="preserve"> </w:t>
      </w:r>
      <w:r>
        <w:rPr>
          <w:color w:val="231F20"/>
        </w:rPr>
        <w:t>attractions</w:t>
      </w:r>
      <w:r>
        <w:rPr>
          <w:color w:val="231F20"/>
          <w:spacing w:val="-1"/>
        </w:rPr>
        <w:t xml:space="preserve"> </w:t>
      </w:r>
      <w:r>
        <w:rPr>
          <w:color w:val="231F20"/>
        </w:rPr>
        <w:t>in</w:t>
      </w:r>
      <w:r>
        <w:rPr>
          <w:color w:val="231F20"/>
          <w:spacing w:val="-1"/>
        </w:rPr>
        <w:t xml:space="preserve"> </w:t>
      </w:r>
      <w:r>
        <w:rPr>
          <w:color w:val="231F20"/>
        </w:rPr>
        <w:t>this</w:t>
      </w:r>
      <w:r>
        <w:rPr>
          <w:color w:val="231F20"/>
          <w:spacing w:val="-1"/>
        </w:rPr>
        <w:t xml:space="preserve"> </w:t>
      </w:r>
      <w:r>
        <w:rPr>
          <w:color w:val="231F20"/>
        </w:rPr>
        <w:t>regard.</w:t>
      </w:r>
      <w:r>
        <w:rPr>
          <w:color w:val="231F20"/>
          <w:spacing w:val="-1"/>
        </w:rPr>
        <w:t xml:space="preserve"> </w:t>
      </w:r>
      <w:r>
        <w:rPr>
          <w:color w:val="231F20"/>
        </w:rPr>
        <w:t xml:space="preserve">Key characteristics of sport that promote experiential authenticity include: </w:t>
      </w:r>
      <w:r>
        <w:rPr>
          <w:color w:val="231F20"/>
          <w:w w:val="95"/>
        </w:rPr>
        <w:t xml:space="preserve">uncertain outcomes, display as part of performance, its physical basis and </w:t>
      </w:r>
      <w:r>
        <w:rPr>
          <w:color w:val="231F20"/>
        </w:rPr>
        <w:t xml:space="preserve">all-sensory nature, self-making and the </w:t>
      </w:r>
      <w:r>
        <w:rPr>
          <w:color w:val="231F20"/>
        </w:rPr>
        <w:t>construction of identity, and its propensity</w:t>
      </w:r>
      <w:r>
        <w:rPr>
          <w:color w:val="231F20"/>
          <w:spacing w:val="-5"/>
        </w:rPr>
        <w:t xml:space="preserve"> </w:t>
      </w:r>
      <w:r>
        <w:rPr>
          <w:color w:val="231F20"/>
        </w:rPr>
        <w:t>to</w:t>
      </w:r>
      <w:r>
        <w:rPr>
          <w:color w:val="231F20"/>
          <w:spacing w:val="-5"/>
        </w:rPr>
        <w:t xml:space="preserve"> </w:t>
      </w:r>
      <w:r>
        <w:rPr>
          <w:color w:val="231F20"/>
        </w:rPr>
        <w:t>develop</w:t>
      </w:r>
      <w:r>
        <w:rPr>
          <w:color w:val="231F20"/>
          <w:spacing w:val="-5"/>
        </w:rPr>
        <w:t xml:space="preserve"> </w:t>
      </w:r>
      <w:r>
        <w:rPr>
          <w:color w:val="231F20"/>
        </w:rPr>
        <w:t>community.</w:t>
      </w:r>
      <w:r>
        <w:rPr>
          <w:color w:val="231F20"/>
          <w:spacing w:val="-5"/>
        </w:rPr>
        <w:t xml:space="preserve"> </w:t>
      </w:r>
      <w:r>
        <w:rPr>
          <w:color w:val="231F20"/>
        </w:rPr>
        <w:t>To</w:t>
      </w:r>
      <w:r>
        <w:rPr>
          <w:color w:val="231F20"/>
          <w:spacing w:val="-5"/>
        </w:rPr>
        <w:t xml:space="preserve"> </w:t>
      </w:r>
      <w:r>
        <w:rPr>
          <w:color w:val="231F20"/>
        </w:rPr>
        <w:t>a</w:t>
      </w:r>
      <w:r>
        <w:rPr>
          <w:color w:val="231F20"/>
          <w:spacing w:val="-5"/>
        </w:rPr>
        <w:t xml:space="preserve"> </w:t>
      </w:r>
      <w:r>
        <w:rPr>
          <w:color w:val="231F20"/>
        </w:rPr>
        <w:t>large</w:t>
      </w:r>
      <w:r>
        <w:rPr>
          <w:color w:val="231F20"/>
          <w:spacing w:val="-5"/>
        </w:rPr>
        <w:t xml:space="preserve"> </w:t>
      </w:r>
      <w:r>
        <w:rPr>
          <w:color w:val="231F20"/>
        </w:rPr>
        <w:t>extent,</w:t>
      </w:r>
      <w:r>
        <w:rPr>
          <w:color w:val="231F20"/>
          <w:spacing w:val="-5"/>
        </w:rPr>
        <w:t xml:space="preserve"> </w:t>
      </w:r>
      <w:r>
        <w:rPr>
          <w:color w:val="231F20"/>
        </w:rPr>
        <w:t>authenticity</w:t>
      </w:r>
      <w:r>
        <w:rPr>
          <w:color w:val="231F20"/>
          <w:spacing w:val="-5"/>
        </w:rPr>
        <w:t xml:space="preserve"> </w:t>
      </w:r>
      <w:r>
        <w:rPr>
          <w:color w:val="231F20"/>
        </w:rPr>
        <w:t>is</w:t>
      </w:r>
      <w:r>
        <w:rPr>
          <w:color w:val="231F20"/>
          <w:spacing w:val="-5"/>
        </w:rPr>
        <w:t xml:space="preserve"> </w:t>
      </w:r>
      <w:r>
        <w:rPr>
          <w:color w:val="231F20"/>
        </w:rPr>
        <w:t>what makes sport so compelling (Hinch &amp; Higham, 2005).</w:t>
      </w:r>
    </w:p>
    <w:p w14:paraId="70B40EB6" w14:textId="77777777" w:rsidR="00AE0598" w:rsidRDefault="0069255A">
      <w:pPr>
        <w:pStyle w:val="Corpodetexto"/>
        <w:spacing w:before="14" w:line="232" w:lineRule="auto"/>
        <w:ind w:left="110" w:right="124" w:firstLine="320"/>
        <w:jc w:val="both"/>
      </w:pPr>
      <w:r>
        <w:rPr>
          <w:color w:val="231F20"/>
          <w:w w:val="95"/>
        </w:rPr>
        <w:t>Wang (1999) expands on his interpretation of existential authenticity</w:t>
      </w:r>
      <w:r>
        <w:rPr>
          <w:color w:val="231F20"/>
          <w:spacing w:val="40"/>
        </w:rPr>
        <w:t xml:space="preserve"> </w:t>
      </w:r>
      <w:r>
        <w:rPr>
          <w:color w:val="231F20"/>
        </w:rPr>
        <w:t xml:space="preserve">by introducing four subcategories. The first of these is intra-personal authenticity as manifest in bodily feelings – a major dimension of </w:t>
      </w:r>
      <w:r>
        <w:rPr>
          <w:color w:val="231F20"/>
          <w:w w:val="95"/>
        </w:rPr>
        <w:t>participatory events and active sport tourism. Intra-personal authenticity</w:t>
      </w:r>
      <w:r>
        <w:rPr>
          <w:color w:val="231F20"/>
          <w:spacing w:val="40"/>
        </w:rPr>
        <w:t xml:space="preserve"> </w:t>
      </w:r>
      <w:r>
        <w:rPr>
          <w:color w:val="231F20"/>
        </w:rPr>
        <w:t>as manifest in self-identity is the second</w:t>
      </w:r>
      <w:r>
        <w:rPr>
          <w:color w:val="231F20"/>
        </w:rPr>
        <w:t xml:space="preserve"> subcategory. This category is described as ‘self-making’ and is often found in extreme and lifestyle sports in which participants can reaffirm and develop their sense of identity. A third type is inter-personal authenticity that enhances family ties.</w:t>
      </w:r>
      <w:r>
        <w:rPr>
          <w:color w:val="231F20"/>
          <w:spacing w:val="12"/>
        </w:rPr>
        <w:t xml:space="preserve"> </w:t>
      </w:r>
      <w:r>
        <w:rPr>
          <w:color w:val="231F20"/>
        </w:rPr>
        <w:t>In</w:t>
      </w:r>
      <w:r>
        <w:rPr>
          <w:color w:val="231F20"/>
          <w:spacing w:val="12"/>
        </w:rPr>
        <w:t xml:space="preserve"> </w:t>
      </w:r>
      <w:r>
        <w:rPr>
          <w:color w:val="231F20"/>
        </w:rPr>
        <w:t>a</w:t>
      </w:r>
      <w:r>
        <w:rPr>
          <w:color w:val="231F20"/>
          <w:spacing w:val="12"/>
        </w:rPr>
        <w:t xml:space="preserve"> </w:t>
      </w:r>
      <w:r>
        <w:rPr>
          <w:color w:val="231F20"/>
        </w:rPr>
        <w:t>sporting</w:t>
      </w:r>
      <w:r>
        <w:rPr>
          <w:color w:val="231F20"/>
          <w:spacing w:val="12"/>
        </w:rPr>
        <w:t xml:space="preserve"> </w:t>
      </w:r>
      <w:r>
        <w:rPr>
          <w:color w:val="231F20"/>
        </w:rPr>
        <w:t>context,</w:t>
      </w:r>
      <w:r>
        <w:rPr>
          <w:color w:val="231F20"/>
          <w:spacing w:val="12"/>
        </w:rPr>
        <w:t xml:space="preserve"> </w:t>
      </w:r>
      <w:r>
        <w:rPr>
          <w:color w:val="231F20"/>
        </w:rPr>
        <w:t>family</w:t>
      </w:r>
      <w:r>
        <w:rPr>
          <w:color w:val="231F20"/>
          <w:spacing w:val="12"/>
        </w:rPr>
        <w:t xml:space="preserve"> </w:t>
      </w:r>
      <w:r>
        <w:rPr>
          <w:color w:val="231F20"/>
        </w:rPr>
        <w:t>ties</w:t>
      </w:r>
      <w:r>
        <w:rPr>
          <w:color w:val="231F20"/>
          <w:spacing w:val="12"/>
        </w:rPr>
        <w:t xml:space="preserve"> </w:t>
      </w:r>
      <w:r>
        <w:rPr>
          <w:color w:val="231F20"/>
        </w:rPr>
        <w:t>are</w:t>
      </w:r>
      <w:r>
        <w:rPr>
          <w:color w:val="231F20"/>
          <w:spacing w:val="12"/>
        </w:rPr>
        <w:t xml:space="preserve"> </w:t>
      </w:r>
      <w:r>
        <w:rPr>
          <w:color w:val="231F20"/>
        </w:rPr>
        <w:t>closely</w:t>
      </w:r>
      <w:r>
        <w:rPr>
          <w:color w:val="231F20"/>
          <w:spacing w:val="12"/>
        </w:rPr>
        <w:t xml:space="preserve"> </w:t>
      </w:r>
      <w:r>
        <w:rPr>
          <w:color w:val="231F20"/>
        </w:rPr>
        <w:t>related</w:t>
      </w:r>
      <w:r>
        <w:rPr>
          <w:color w:val="231F20"/>
          <w:spacing w:val="12"/>
        </w:rPr>
        <w:t xml:space="preserve"> </w:t>
      </w:r>
      <w:r>
        <w:rPr>
          <w:color w:val="231F20"/>
        </w:rPr>
        <w:t>to</w:t>
      </w:r>
      <w:r>
        <w:rPr>
          <w:color w:val="231F20"/>
          <w:spacing w:val="12"/>
        </w:rPr>
        <w:t xml:space="preserve"> </w:t>
      </w:r>
      <w:r>
        <w:rPr>
          <w:color w:val="231F20"/>
        </w:rPr>
        <w:t>the</w:t>
      </w:r>
      <w:r>
        <w:rPr>
          <w:color w:val="231F20"/>
          <w:spacing w:val="12"/>
        </w:rPr>
        <w:t xml:space="preserve"> </w:t>
      </w:r>
      <w:r>
        <w:rPr>
          <w:color w:val="231F20"/>
        </w:rPr>
        <w:t>concept</w:t>
      </w:r>
    </w:p>
    <w:p w14:paraId="46A5495D" w14:textId="77777777" w:rsidR="00AE0598" w:rsidRDefault="00AE0598">
      <w:pPr>
        <w:spacing w:line="232" w:lineRule="auto"/>
        <w:jc w:val="both"/>
        <w:sectPr w:rsidR="00AE0598">
          <w:pgSz w:w="8850" w:h="13270"/>
          <w:pgMar w:top="720" w:right="1060" w:bottom="280" w:left="1080" w:header="720" w:footer="720" w:gutter="0"/>
          <w:cols w:space="720"/>
        </w:sectPr>
      </w:pPr>
    </w:p>
    <w:p w14:paraId="4DFC4854" w14:textId="77777777" w:rsidR="00AE0598" w:rsidRDefault="0069255A">
      <w:pPr>
        <w:spacing w:before="87"/>
        <w:ind w:left="108"/>
        <w:rPr>
          <w:rFonts w:ascii="Trebuchet MS"/>
          <w:sz w:val="14"/>
        </w:rPr>
      </w:pPr>
      <w:r>
        <w:rPr>
          <w:rFonts w:ascii="Trebuchet MS"/>
          <w:color w:val="231F20"/>
          <w:w w:val="105"/>
          <w:sz w:val="14"/>
        </w:rPr>
        <w:lastRenderedPageBreak/>
        <w:t>74</w:t>
      </w:r>
      <w:r>
        <w:rPr>
          <w:rFonts w:ascii="Trebuchet MS"/>
          <w:color w:val="231F20"/>
          <w:spacing w:val="64"/>
          <w:w w:val="150"/>
          <w:sz w:val="14"/>
        </w:rPr>
        <w:t xml:space="preserve"> </w:t>
      </w:r>
      <w:r>
        <w:rPr>
          <w:rFonts w:ascii="Trebuchet MS"/>
          <w:color w:val="231F20"/>
          <w:w w:val="105"/>
          <w:sz w:val="14"/>
        </w:rPr>
        <w:t>Part</w:t>
      </w:r>
      <w:r>
        <w:rPr>
          <w:rFonts w:ascii="Trebuchet MS"/>
          <w:color w:val="231F20"/>
          <w:spacing w:val="-9"/>
          <w:w w:val="105"/>
          <w:sz w:val="14"/>
        </w:rPr>
        <w:t xml:space="preserve"> </w:t>
      </w:r>
      <w:r>
        <w:rPr>
          <w:rFonts w:ascii="Trebuchet MS"/>
          <w:color w:val="231F20"/>
          <w:w w:val="105"/>
          <w:sz w:val="14"/>
        </w:rPr>
        <w:t>2:</w:t>
      </w:r>
      <w:r>
        <w:rPr>
          <w:rFonts w:ascii="Trebuchet MS"/>
          <w:color w:val="231F20"/>
          <w:spacing w:val="-9"/>
          <w:w w:val="105"/>
          <w:sz w:val="14"/>
        </w:rPr>
        <w:t xml:space="preserve"> </w:t>
      </w:r>
      <w:r>
        <w:rPr>
          <w:rFonts w:ascii="Trebuchet MS"/>
          <w:color w:val="231F20"/>
          <w:w w:val="105"/>
          <w:sz w:val="14"/>
        </w:rPr>
        <w:t>Foundations</w:t>
      </w:r>
      <w:r>
        <w:rPr>
          <w:rFonts w:ascii="Trebuchet MS"/>
          <w:color w:val="231F20"/>
          <w:spacing w:val="-9"/>
          <w:w w:val="105"/>
          <w:sz w:val="14"/>
        </w:rPr>
        <w:t xml:space="preserve"> </w:t>
      </w:r>
      <w:r>
        <w:rPr>
          <w:rFonts w:ascii="Trebuchet MS"/>
          <w:color w:val="231F20"/>
          <w:w w:val="105"/>
          <w:sz w:val="14"/>
        </w:rPr>
        <w:t>of</w:t>
      </w:r>
      <w:r>
        <w:rPr>
          <w:rFonts w:ascii="Trebuchet MS"/>
          <w:color w:val="231F20"/>
          <w:spacing w:val="-9"/>
          <w:w w:val="105"/>
          <w:sz w:val="14"/>
        </w:rPr>
        <w:t xml:space="preserve"> </w:t>
      </w:r>
      <w:r>
        <w:rPr>
          <w:rFonts w:ascii="Trebuchet MS"/>
          <w:color w:val="231F20"/>
          <w:w w:val="105"/>
          <w:sz w:val="14"/>
        </w:rPr>
        <w:t>Sport</w:t>
      </w:r>
      <w:r>
        <w:rPr>
          <w:rFonts w:ascii="Trebuchet MS"/>
          <w:color w:val="231F20"/>
          <w:spacing w:val="-9"/>
          <w:w w:val="105"/>
          <w:sz w:val="14"/>
        </w:rPr>
        <w:t xml:space="preserve"> </w:t>
      </w:r>
      <w:r>
        <w:rPr>
          <w:rFonts w:ascii="Trebuchet MS"/>
          <w:color w:val="231F20"/>
          <w:w w:val="105"/>
          <w:sz w:val="14"/>
        </w:rPr>
        <w:t>Tourism</w:t>
      </w:r>
      <w:r>
        <w:rPr>
          <w:rFonts w:ascii="Trebuchet MS"/>
          <w:color w:val="231F20"/>
          <w:spacing w:val="-9"/>
          <w:w w:val="105"/>
          <w:sz w:val="14"/>
        </w:rPr>
        <w:t xml:space="preserve"> </w:t>
      </w:r>
      <w:r>
        <w:rPr>
          <w:rFonts w:ascii="Trebuchet MS"/>
          <w:color w:val="231F20"/>
          <w:spacing w:val="-2"/>
          <w:w w:val="105"/>
          <w:sz w:val="14"/>
        </w:rPr>
        <w:t>Development</w:t>
      </w:r>
    </w:p>
    <w:p w14:paraId="626FACA9" w14:textId="77777777" w:rsidR="00AE0598" w:rsidRDefault="00AE0598">
      <w:pPr>
        <w:pStyle w:val="Corpodetexto"/>
        <w:rPr>
          <w:rFonts w:ascii="Trebuchet MS"/>
          <w:sz w:val="16"/>
        </w:rPr>
      </w:pPr>
    </w:p>
    <w:p w14:paraId="713FA9AE" w14:textId="77777777" w:rsidR="00AE0598" w:rsidRDefault="0069255A">
      <w:pPr>
        <w:pStyle w:val="Corpodetexto"/>
        <w:spacing w:before="118" w:line="232" w:lineRule="auto"/>
        <w:ind w:left="110" w:right="129"/>
        <w:jc w:val="both"/>
      </w:pPr>
      <w:r>
        <w:rPr>
          <w:color w:val="231F20"/>
        </w:rPr>
        <w:t>of</w:t>
      </w:r>
      <w:r>
        <w:rPr>
          <w:color w:val="231F20"/>
          <w:spacing w:val="-5"/>
        </w:rPr>
        <w:t xml:space="preserve"> </w:t>
      </w:r>
      <w:r>
        <w:rPr>
          <w:color w:val="231F20"/>
        </w:rPr>
        <w:t>a</w:t>
      </w:r>
      <w:r>
        <w:rPr>
          <w:color w:val="231F20"/>
          <w:spacing w:val="-5"/>
        </w:rPr>
        <w:t xml:space="preserve"> </w:t>
      </w:r>
      <w:r>
        <w:rPr>
          <w:color w:val="231F20"/>
        </w:rPr>
        <w:t>team.</w:t>
      </w:r>
      <w:r>
        <w:rPr>
          <w:color w:val="231F20"/>
          <w:spacing w:val="-5"/>
        </w:rPr>
        <w:t xml:space="preserve"> </w:t>
      </w:r>
      <w:r>
        <w:rPr>
          <w:color w:val="231F20"/>
        </w:rPr>
        <w:t>Finally,</w:t>
      </w:r>
      <w:r>
        <w:rPr>
          <w:color w:val="231F20"/>
          <w:spacing w:val="-5"/>
        </w:rPr>
        <w:t xml:space="preserve"> </w:t>
      </w:r>
      <w:r>
        <w:rPr>
          <w:color w:val="231F20"/>
        </w:rPr>
        <w:t>inter-personal</w:t>
      </w:r>
      <w:r>
        <w:rPr>
          <w:color w:val="231F20"/>
          <w:spacing w:val="-5"/>
        </w:rPr>
        <w:t xml:space="preserve"> </w:t>
      </w:r>
      <w:r>
        <w:rPr>
          <w:color w:val="231F20"/>
        </w:rPr>
        <w:t>authenticity</w:t>
      </w:r>
      <w:r>
        <w:rPr>
          <w:color w:val="231F20"/>
          <w:spacing w:val="-5"/>
        </w:rPr>
        <w:t xml:space="preserve"> </w:t>
      </w:r>
      <w:r>
        <w:rPr>
          <w:color w:val="231F20"/>
        </w:rPr>
        <w:t>can</w:t>
      </w:r>
      <w:r>
        <w:rPr>
          <w:color w:val="231F20"/>
          <w:spacing w:val="-5"/>
        </w:rPr>
        <w:t xml:space="preserve"> </w:t>
      </w:r>
      <w:r>
        <w:rPr>
          <w:color w:val="231F20"/>
        </w:rPr>
        <w:t>be</w:t>
      </w:r>
      <w:r>
        <w:rPr>
          <w:color w:val="231F20"/>
          <w:spacing w:val="-5"/>
        </w:rPr>
        <w:t xml:space="preserve"> </w:t>
      </w:r>
      <w:r>
        <w:rPr>
          <w:color w:val="231F20"/>
        </w:rPr>
        <w:t>found</w:t>
      </w:r>
      <w:r>
        <w:rPr>
          <w:color w:val="231F20"/>
          <w:spacing w:val="-5"/>
        </w:rPr>
        <w:t xml:space="preserve"> </w:t>
      </w:r>
      <w:r>
        <w:rPr>
          <w:color w:val="231F20"/>
        </w:rPr>
        <w:t>in</w:t>
      </w:r>
      <w:r>
        <w:rPr>
          <w:color w:val="231F20"/>
          <w:spacing w:val="-5"/>
        </w:rPr>
        <w:t xml:space="preserve"> </w:t>
      </w:r>
      <w:r>
        <w:rPr>
          <w:color w:val="231F20"/>
        </w:rPr>
        <w:t>the</w:t>
      </w:r>
      <w:r>
        <w:rPr>
          <w:color w:val="231F20"/>
          <w:spacing w:val="-5"/>
        </w:rPr>
        <w:t xml:space="preserve"> </w:t>
      </w:r>
      <w:r>
        <w:rPr>
          <w:color w:val="231F20"/>
        </w:rPr>
        <w:t xml:space="preserve">vibrant </w:t>
      </w:r>
      <w:r>
        <w:rPr>
          <w:color w:val="231F20"/>
          <w:w w:val="95"/>
        </w:rPr>
        <w:t xml:space="preserve">communities associated with various sports including fandoms and sport </w:t>
      </w:r>
      <w:r>
        <w:rPr>
          <w:color w:val="231F20"/>
          <w:spacing w:val="-2"/>
        </w:rPr>
        <w:t>subcultures.</w:t>
      </w:r>
    </w:p>
    <w:p w14:paraId="325D73B2" w14:textId="77777777" w:rsidR="00AE0598" w:rsidRDefault="0069255A">
      <w:pPr>
        <w:pStyle w:val="Corpodetexto"/>
        <w:spacing w:before="4" w:line="232" w:lineRule="auto"/>
        <w:ind w:left="110" w:right="127" w:firstLine="320"/>
        <w:jc w:val="both"/>
      </w:pPr>
      <w:r>
        <w:rPr>
          <w:color w:val="231F20"/>
        </w:rPr>
        <w:t>Despite an intriguing and active academic discourse on tourism authenticity,</w:t>
      </w:r>
      <w:r>
        <w:rPr>
          <w:color w:val="231F20"/>
          <w:spacing w:val="-7"/>
        </w:rPr>
        <w:t xml:space="preserve"> </w:t>
      </w:r>
      <w:r>
        <w:rPr>
          <w:color w:val="231F20"/>
        </w:rPr>
        <w:t>a</w:t>
      </w:r>
      <w:r>
        <w:rPr>
          <w:color w:val="231F20"/>
          <w:spacing w:val="-7"/>
        </w:rPr>
        <w:t xml:space="preserve"> </w:t>
      </w:r>
      <w:r>
        <w:rPr>
          <w:color w:val="231F20"/>
        </w:rPr>
        <w:t>consensus</w:t>
      </w:r>
      <w:r>
        <w:rPr>
          <w:color w:val="231F20"/>
          <w:spacing w:val="-7"/>
        </w:rPr>
        <w:t xml:space="preserve"> </w:t>
      </w:r>
      <w:r>
        <w:rPr>
          <w:color w:val="231F20"/>
        </w:rPr>
        <w:t>has</w:t>
      </w:r>
      <w:r>
        <w:rPr>
          <w:color w:val="231F20"/>
          <w:spacing w:val="-7"/>
        </w:rPr>
        <w:t xml:space="preserve"> </w:t>
      </w:r>
      <w:r>
        <w:rPr>
          <w:color w:val="231F20"/>
        </w:rPr>
        <w:t>not</w:t>
      </w:r>
      <w:r>
        <w:rPr>
          <w:color w:val="231F20"/>
          <w:spacing w:val="-7"/>
        </w:rPr>
        <w:t xml:space="preserve"> </w:t>
      </w:r>
      <w:r>
        <w:rPr>
          <w:color w:val="231F20"/>
        </w:rPr>
        <w:t>emerged.</w:t>
      </w:r>
      <w:r>
        <w:rPr>
          <w:color w:val="231F20"/>
          <w:spacing w:val="-7"/>
        </w:rPr>
        <w:t xml:space="preserve"> </w:t>
      </w:r>
      <w:r>
        <w:rPr>
          <w:color w:val="231F20"/>
        </w:rPr>
        <w:t>In</w:t>
      </w:r>
      <w:r>
        <w:rPr>
          <w:color w:val="231F20"/>
          <w:spacing w:val="-7"/>
        </w:rPr>
        <w:t xml:space="preserve"> </w:t>
      </w:r>
      <w:r>
        <w:rPr>
          <w:color w:val="231F20"/>
        </w:rPr>
        <w:t>reflecting</w:t>
      </w:r>
      <w:r>
        <w:rPr>
          <w:color w:val="231F20"/>
          <w:spacing w:val="-7"/>
        </w:rPr>
        <w:t xml:space="preserve"> </w:t>
      </w:r>
      <w:r>
        <w:rPr>
          <w:color w:val="231F20"/>
        </w:rPr>
        <w:t>on</w:t>
      </w:r>
      <w:r>
        <w:rPr>
          <w:color w:val="231F20"/>
          <w:spacing w:val="-7"/>
        </w:rPr>
        <w:t xml:space="preserve"> </w:t>
      </w:r>
      <w:r>
        <w:rPr>
          <w:color w:val="231F20"/>
        </w:rPr>
        <w:t>this</w:t>
      </w:r>
      <w:r>
        <w:rPr>
          <w:color w:val="231F20"/>
          <w:spacing w:val="-7"/>
        </w:rPr>
        <w:t xml:space="preserve"> </w:t>
      </w:r>
      <w:r>
        <w:rPr>
          <w:color w:val="231F20"/>
        </w:rPr>
        <w:t xml:space="preserve">situation, </w:t>
      </w:r>
      <w:r>
        <w:rPr>
          <w:color w:val="231F20"/>
          <w:w w:val="95"/>
        </w:rPr>
        <w:t>Cohen and Cohen (2012: 1296) refr</w:t>
      </w:r>
      <w:r>
        <w:rPr>
          <w:color w:val="231F20"/>
          <w:w w:val="95"/>
        </w:rPr>
        <w:t xml:space="preserve">amed the focus to one of authentication </w:t>
      </w:r>
      <w:r>
        <w:rPr>
          <w:color w:val="231F20"/>
        </w:rPr>
        <w:t>or</w:t>
      </w:r>
      <w:r>
        <w:rPr>
          <w:color w:val="231F20"/>
          <w:spacing w:val="-9"/>
        </w:rPr>
        <w:t xml:space="preserve"> </w:t>
      </w:r>
      <w:r>
        <w:rPr>
          <w:color w:val="231F20"/>
        </w:rPr>
        <w:t>the</w:t>
      </w:r>
      <w:r>
        <w:rPr>
          <w:color w:val="231F20"/>
          <w:spacing w:val="-9"/>
        </w:rPr>
        <w:t xml:space="preserve"> </w:t>
      </w:r>
      <w:r>
        <w:rPr>
          <w:color w:val="231F20"/>
        </w:rPr>
        <w:t>social</w:t>
      </w:r>
      <w:r>
        <w:rPr>
          <w:color w:val="231F20"/>
          <w:spacing w:val="-9"/>
        </w:rPr>
        <w:t xml:space="preserve"> </w:t>
      </w:r>
      <w:r>
        <w:rPr>
          <w:color w:val="231F20"/>
        </w:rPr>
        <w:t>processes</w:t>
      </w:r>
      <w:r>
        <w:rPr>
          <w:color w:val="231F20"/>
          <w:spacing w:val="-9"/>
        </w:rPr>
        <w:t xml:space="preserve"> </w:t>
      </w:r>
      <w:r>
        <w:rPr>
          <w:color w:val="231F20"/>
        </w:rPr>
        <w:t>through</w:t>
      </w:r>
      <w:r>
        <w:rPr>
          <w:color w:val="231F20"/>
          <w:spacing w:val="-9"/>
        </w:rPr>
        <w:t xml:space="preserve"> </w:t>
      </w:r>
      <w:r>
        <w:rPr>
          <w:color w:val="231F20"/>
        </w:rPr>
        <w:t>which</w:t>
      </w:r>
      <w:r>
        <w:rPr>
          <w:color w:val="231F20"/>
          <w:spacing w:val="-9"/>
        </w:rPr>
        <w:t xml:space="preserve"> </w:t>
      </w:r>
      <w:r>
        <w:rPr>
          <w:color w:val="231F20"/>
        </w:rPr>
        <w:t>the</w:t>
      </w:r>
      <w:r>
        <w:rPr>
          <w:color w:val="231F20"/>
          <w:spacing w:val="-9"/>
        </w:rPr>
        <w:t xml:space="preserve"> </w:t>
      </w:r>
      <w:r>
        <w:rPr>
          <w:color w:val="231F20"/>
        </w:rPr>
        <w:t>authenticity</w:t>
      </w:r>
      <w:r>
        <w:rPr>
          <w:color w:val="231F20"/>
          <w:spacing w:val="-9"/>
        </w:rPr>
        <w:t xml:space="preserve"> </w:t>
      </w:r>
      <w:r>
        <w:rPr>
          <w:color w:val="231F20"/>
        </w:rPr>
        <w:t>of</w:t>
      </w:r>
      <w:r>
        <w:rPr>
          <w:color w:val="231F20"/>
          <w:spacing w:val="-9"/>
        </w:rPr>
        <w:t xml:space="preserve"> </w:t>
      </w:r>
      <w:r>
        <w:rPr>
          <w:color w:val="231F20"/>
        </w:rPr>
        <w:t>the</w:t>
      </w:r>
      <w:r>
        <w:rPr>
          <w:color w:val="231F20"/>
          <w:spacing w:val="-9"/>
        </w:rPr>
        <w:t xml:space="preserve"> </w:t>
      </w:r>
      <w:r>
        <w:rPr>
          <w:color w:val="231F20"/>
        </w:rPr>
        <w:t>attraction</w:t>
      </w:r>
      <w:r>
        <w:rPr>
          <w:color w:val="231F20"/>
          <w:spacing w:val="-9"/>
        </w:rPr>
        <w:t xml:space="preserve"> </w:t>
      </w:r>
      <w:r>
        <w:rPr>
          <w:color w:val="231F20"/>
        </w:rPr>
        <w:t xml:space="preserve">is </w:t>
      </w:r>
      <w:r>
        <w:rPr>
          <w:color w:val="231F20"/>
          <w:w w:val="95"/>
        </w:rPr>
        <w:t xml:space="preserve">formed. They defined authentication as ‘a process by which something – a </w:t>
      </w:r>
      <w:r>
        <w:rPr>
          <w:color w:val="231F20"/>
        </w:rPr>
        <w:t>role,</w:t>
      </w:r>
      <w:r>
        <w:rPr>
          <w:color w:val="231F20"/>
          <w:spacing w:val="-3"/>
        </w:rPr>
        <w:t xml:space="preserve"> </w:t>
      </w:r>
      <w:r>
        <w:rPr>
          <w:color w:val="231F20"/>
        </w:rPr>
        <w:t>product,</w:t>
      </w:r>
      <w:r>
        <w:rPr>
          <w:color w:val="231F20"/>
          <w:spacing w:val="-3"/>
        </w:rPr>
        <w:t xml:space="preserve"> </w:t>
      </w:r>
      <w:r>
        <w:rPr>
          <w:color w:val="231F20"/>
        </w:rPr>
        <w:t>site,</w:t>
      </w:r>
      <w:r>
        <w:rPr>
          <w:color w:val="231F20"/>
          <w:spacing w:val="-3"/>
        </w:rPr>
        <w:t xml:space="preserve"> </w:t>
      </w:r>
      <w:r>
        <w:rPr>
          <w:color w:val="231F20"/>
        </w:rPr>
        <w:t>object</w:t>
      </w:r>
      <w:r>
        <w:rPr>
          <w:color w:val="231F20"/>
          <w:spacing w:val="-3"/>
        </w:rPr>
        <w:t xml:space="preserve"> </w:t>
      </w:r>
      <w:r>
        <w:rPr>
          <w:color w:val="231F20"/>
        </w:rPr>
        <w:t>or</w:t>
      </w:r>
      <w:r>
        <w:rPr>
          <w:color w:val="231F20"/>
          <w:spacing w:val="-3"/>
        </w:rPr>
        <w:t xml:space="preserve"> </w:t>
      </w:r>
      <w:r>
        <w:rPr>
          <w:color w:val="231F20"/>
        </w:rPr>
        <w:t>event</w:t>
      </w:r>
      <w:r>
        <w:rPr>
          <w:color w:val="231F20"/>
          <w:spacing w:val="-3"/>
        </w:rPr>
        <w:t xml:space="preserve"> </w:t>
      </w:r>
      <w:r>
        <w:rPr>
          <w:color w:val="231F20"/>
        </w:rPr>
        <w:t>–</w:t>
      </w:r>
      <w:r>
        <w:rPr>
          <w:color w:val="231F20"/>
          <w:spacing w:val="-3"/>
        </w:rPr>
        <w:t xml:space="preserve"> </w:t>
      </w:r>
      <w:r>
        <w:rPr>
          <w:color w:val="231F20"/>
        </w:rPr>
        <w:t>is</w:t>
      </w:r>
      <w:r>
        <w:rPr>
          <w:color w:val="231F20"/>
          <w:spacing w:val="-3"/>
        </w:rPr>
        <w:t xml:space="preserve"> </w:t>
      </w:r>
      <w:r>
        <w:rPr>
          <w:color w:val="231F20"/>
        </w:rPr>
        <w:t>confirmed</w:t>
      </w:r>
      <w:r>
        <w:rPr>
          <w:color w:val="231F20"/>
          <w:spacing w:val="-3"/>
        </w:rPr>
        <w:t xml:space="preserve"> </w:t>
      </w:r>
      <w:r>
        <w:rPr>
          <w:color w:val="231F20"/>
        </w:rPr>
        <w:t>as</w:t>
      </w:r>
      <w:r>
        <w:rPr>
          <w:color w:val="231F20"/>
          <w:spacing w:val="-3"/>
        </w:rPr>
        <w:t xml:space="preserve"> </w:t>
      </w:r>
      <w:r>
        <w:rPr>
          <w:color w:val="231F20"/>
        </w:rPr>
        <w:t>“original”,</w:t>
      </w:r>
      <w:r>
        <w:rPr>
          <w:color w:val="231F20"/>
          <w:spacing w:val="-3"/>
        </w:rPr>
        <w:t xml:space="preserve"> </w:t>
      </w:r>
      <w:r>
        <w:rPr>
          <w:color w:val="231F20"/>
        </w:rPr>
        <w:t xml:space="preserve">“genuine”, </w:t>
      </w:r>
      <w:r>
        <w:rPr>
          <w:color w:val="231F20"/>
          <w:w w:val="95"/>
        </w:rPr>
        <w:t xml:space="preserve">“real” or “trustworthy”’. They further characterised this concept into ‘cool’ </w:t>
      </w:r>
      <w:r>
        <w:rPr>
          <w:color w:val="231F20"/>
        </w:rPr>
        <w:t>and</w:t>
      </w:r>
      <w:r>
        <w:rPr>
          <w:color w:val="231F20"/>
          <w:spacing w:val="-5"/>
        </w:rPr>
        <w:t xml:space="preserve"> </w:t>
      </w:r>
      <w:r>
        <w:rPr>
          <w:color w:val="231F20"/>
        </w:rPr>
        <w:t>‘hot’</w:t>
      </w:r>
      <w:r>
        <w:rPr>
          <w:color w:val="231F20"/>
          <w:spacing w:val="-5"/>
        </w:rPr>
        <w:t xml:space="preserve"> </w:t>
      </w:r>
      <w:r>
        <w:rPr>
          <w:color w:val="231F20"/>
        </w:rPr>
        <w:t>authentication</w:t>
      </w:r>
      <w:r>
        <w:rPr>
          <w:color w:val="231F20"/>
          <w:spacing w:val="-5"/>
        </w:rPr>
        <w:t xml:space="preserve"> </w:t>
      </w:r>
      <w:r>
        <w:rPr>
          <w:color w:val="231F20"/>
        </w:rPr>
        <w:t>with</w:t>
      </w:r>
      <w:r>
        <w:rPr>
          <w:color w:val="231F20"/>
          <w:spacing w:val="-5"/>
        </w:rPr>
        <w:t xml:space="preserve"> </w:t>
      </w:r>
      <w:r>
        <w:rPr>
          <w:color w:val="231F20"/>
        </w:rPr>
        <w:t>cool</w:t>
      </w:r>
      <w:r>
        <w:rPr>
          <w:color w:val="231F20"/>
          <w:spacing w:val="-5"/>
        </w:rPr>
        <w:t xml:space="preserve"> </w:t>
      </w:r>
      <w:r>
        <w:rPr>
          <w:color w:val="231F20"/>
        </w:rPr>
        <w:t>authentication</w:t>
      </w:r>
      <w:r>
        <w:rPr>
          <w:color w:val="231F20"/>
          <w:spacing w:val="-5"/>
        </w:rPr>
        <w:t xml:space="preserve"> </w:t>
      </w:r>
      <w:r>
        <w:rPr>
          <w:color w:val="231F20"/>
        </w:rPr>
        <w:t>being</w:t>
      </w:r>
      <w:r>
        <w:rPr>
          <w:color w:val="231F20"/>
          <w:spacing w:val="-5"/>
        </w:rPr>
        <w:t xml:space="preserve"> </w:t>
      </w:r>
      <w:r>
        <w:rPr>
          <w:color w:val="231F20"/>
        </w:rPr>
        <w:t>closely</w:t>
      </w:r>
      <w:r>
        <w:rPr>
          <w:color w:val="231F20"/>
          <w:spacing w:val="-5"/>
        </w:rPr>
        <w:t xml:space="preserve"> </w:t>
      </w:r>
      <w:r>
        <w:rPr>
          <w:color w:val="231F20"/>
        </w:rPr>
        <w:t>related</w:t>
      </w:r>
      <w:r>
        <w:rPr>
          <w:color w:val="231F20"/>
          <w:spacing w:val="-5"/>
        </w:rPr>
        <w:t xml:space="preserve"> </w:t>
      </w:r>
      <w:r>
        <w:rPr>
          <w:color w:val="231F20"/>
        </w:rPr>
        <w:t>to Wang’s (1999) concept of objective. Fundamentally, cool authentication is guided</w:t>
      </w:r>
      <w:r>
        <w:rPr>
          <w:color w:val="231F20"/>
        </w:rPr>
        <w:t xml:space="preserve"> by experts who declare an object, site, event, custom, role or person to be authentic based on scientific knowledge. Such declarations are often contested but are commonly employed in tourism contexts. In contrast, hot authentication is more closely align</w:t>
      </w:r>
      <w:r>
        <w:rPr>
          <w:color w:val="231F20"/>
        </w:rPr>
        <w:t xml:space="preserve">ed with Wang’s (1999) concept of experiential authenticity. Cohen and Cohen (2012: 1301) describe hot authentication as ‘an affective self-reinforcing process in </w:t>
      </w:r>
      <w:r>
        <w:rPr>
          <w:color w:val="231F20"/>
          <w:w w:val="95"/>
        </w:rPr>
        <w:t>which the sacredness, sublimity, or genuineness of sites, objects or events</w:t>
      </w:r>
      <w:r>
        <w:rPr>
          <w:color w:val="231F20"/>
          <w:spacing w:val="80"/>
        </w:rPr>
        <w:t xml:space="preserve"> </w:t>
      </w:r>
      <w:r>
        <w:rPr>
          <w:color w:val="231F20"/>
          <w:w w:val="95"/>
        </w:rPr>
        <w:t>is constantly perp</w:t>
      </w:r>
      <w:r>
        <w:rPr>
          <w:color w:val="231F20"/>
          <w:w w:val="95"/>
        </w:rPr>
        <w:t xml:space="preserve">etuated, confirmed (and augmented) by public practice, </w:t>
      </w:r>
      <w:r>
        <w:rPr>
          <w:color w:val="231F20"/>
        </w:rPr>
        <w:t>rather than by some declaration’.</w:t>
      </w:r>
    </w:p>
    <w:p w14:paraId="462C3454" w14:textId="77777777" w:rsidR="00AE0598" w:rsidRDefault="0069255A">
      <w:pPr>
        <w:pStyle w:val="Corpodetexto"/>
        <w:spacing w:before="21" w:line="232" w:lineRule="auto"/>
        <w:ind w:left="110" w:right="125" w:firstLine="320"/>
        <w:jc w:val="both"/>
      </w:pPr>
      <w:r>
        <w:rPr>
          <w:color w:val="231F20"/>
        </w:rPr>
        <w:t>Lamont’s (2014) study on authentication in sport tourism was one</w:t>
      </w:r>
      <w:r>
        <w:rPr>
          <w:color w:val="231F20"/>
          <w:spacing w:val="40"/>
        </w:rPr>
        <w:t xml:space="preserve"> </w:t>
      </w:r>
      <w:r>
        <w:rPr>
          <w:color w:val="231F20"/>
        </w:rPr>
        <w:t>of the first empirical studies to examine this process. In his study of the French Alps as a significa</w:t>
      </w:r>
      <w:r>
        <w:rPr>
          <w:color w:val="231F20"/>
        </w:rPr>
        <w:t xml:space="preserve">nt landscape in the Tour de France, Lamont </w:t>
      </w:r>
      <w:r>
        <w:rPr>
          <w:color w:val="231F20"/>
          <w:w w:val="95"/>
        </w:rPr>
        <w:t xml:space="preserve">used the context of a commercial tour that included opportunities to cycle </w:t>
      </w:r>
      <w:r>
        <w:rPr>
          <w:color w:val="231F20"/>
        </w:rPr>
        <w:t xml:space="preserve">parts of the route just prior to the professional competitors to study the </w:t>
      </w:r>
      <w:r>
        <w:rPr>
          <w:color w:val="231F20"/>
          <w:w w:val="90"/>
        </w:rPr>
        <w:t xml:space="preserve">authentication process. Three key categories of authentication </w:t>
      </w:r>
      <w:r>
        <w:rPr>
          <w:color w:val="231F20"/>
          <w:w w:val="90"/>
        </w:rPr>
        <w:t>emerged from</w:t>
      </w:r>
      <w:r>
        <w:rPr>
          <w:color w:val="231F20"/>
          <w:spacing w:val="40"/>
        </w:rPr>
        <w:t xml:space="preserve"> </w:t>
      </w:r>
      <w:r>
        <w:rPr>
          <w:color w:val="231F20"/>
        </w:rPr>
        <w:t>his</w:t>
      </w:r>
      <w:r>
        <w:rPr>
          <w:color w:val="231F20"/>
          <w:spacing w:val="-9"/>
        </w:rPr>
        <w:t xml:space="preserve"> </w:t>
      </w:r>
      <w:r>
        <w:rPr>
          <w:color w:val="231F20"/>
        </w:rPr>
        <w:t>participant</w:t>
      </w:r>
      <w:r>
        <w:rPr>
          <w:color w:val="231F20"/>
          <w:spacing w:val="-9"/>
        </w:rPr>
        <w:t xml:space="preserve"> </w:t>
      </w:r>
      <w:r>
        <w:rPr>
          <w:color w:val="231F20"/>
        </w:rPr>
        <w:t>observations</w:t>
      </w:r>
      <w:r>
        <w:rPr>
          <w:color w:val="231F20"/>
          <w:spacing w:val="-9"/>
        </w:rPr>
        <w:t xml:space="preserve"> </w:t>
      </w:r>
      <w:r>
        <w:rPr>
          <w:color w:val="231F20"/>
        </w:rPr>
        <w:t>and</w:t>
      </w:r>
      <w:r>
        <w:rPr>
          <w:color w:val="231F20"/>
          <w:spacing w:val="-9"/>
        </w:rPr>
        <w:t xml:space="preserve"> </w:t>
      </w:r>
      <w:r>
        <w:rPr>
          <w:color w:val="231F20"/>
        </w:rPr>
        <w:t>interviews.</w:t>
      </w:r>
      <w:r>
        <w:rPr>
          <w:color w:val="231F20"/>
          <w:spacing w:val="-9"/>
        </w:rPr>
        <w:t xml:space="preserve"> </w:t>
      </w:r>
      <w:r>
        <w:rPr>
          <w:color w:val="231F20"/>
        </w:rPr>
        <w:t>The</w:t>
      </w:r>
      <w:r>
        <w:rPr>
          <w:color w:val="231F20"/>
          <w:spacing w:val="-9"/>
        </w:rPr>
        <w:t xml:space="preserve"> </w:t>
      </w:r>
      <w:r>
        <w:rPr>
          <w:color w:val="231F20"/>
        </w:rPr>
        <w:t>first</w:t>
      </w:r>
      <w:r>
        <w:rPr>
          <w:color w:val="231F20"/>
          <w:spacing w:val="-9"/>
        </w:rPr>
        <w:t xml:space="preserve"> </w:t>
      </w:r>
      <w:r>
        <w:rPr>
          <w:color w:val="231F20"/>
        </w:rPr>
        <w:t>was</w:t>
      </w:r>
      <w:r>
        <w:rPr>
          <w:color w:val="231F20"/>
          <w:spacing w:val="-9"/>
        </w:rPr>
        <w:t xml:space="preserve"> </w:t>
      </w:r>
      <w:r>
        <w:rPr>
          <w:color w:val="231F20"/>
        </w:rPr>
        <w:t xml:space="preserve">authentication </w:t>
      </w:r>
      <w:r>
        <w:rPr>
          <w:color w:val="231F20"/>
          <w:w w:val="95"/>
        </w:rPr>
        <w:t>through ‘embodied athletic performances’ as experienced through the act</w:t>
      </w:r>
      <w:r>
        <w:rPr>
          <w:color w:val="231F20"/>
          <w:spacing w:val="80"/>
        </w:rPr>
        <w:t xml:space="preserve"> </w:t>
      </w:r>
      <w:r>
        <w:rPr>
          <w:color w:val="231F20"/>
        </w:rPr>
        <w:t>of</w:t>
      </w:r>
      <w:r>
        <w:rPr>
          <w:color w:val="231F20"/>
          <w:spacing w:val="-8"/>
        </w:rPr>
        <w:t xml:space="preserve"> </w:t>
      </w:r>
      <w:r>
        <w:rPr>
          <w:color w:val="231F20"/>
        </w:rPr>
        <w:t>performing</w:t>
      </w:r>
      <w:r>
        <w:rPr>
          <w:color w:val="231F20"/>
          <w:spacing w:val="-8"/>
        </w:rPr>
        <w:t xml:space="preserve"> </w:t>
      </w:r>
      <w:r>
        <w:rPr>
          <w:color w:val="231F20"/>
        </w:rPr>
        <w:t>a</w:t>
      </w:r>
      <w:r>
        <w:rPr>
          <w:color w:val="231F20"/>
          <w:spacing w:val="-8"/>
        </w:rPr>
        <w:t xml:space="preserve"> </w:t>
      </w:r>
      <w:r>
        <w:rPr>
          <w:color w:val="231F20"/>
        </w:rPr>
        <w:t>similar</w:t>
      </w:r>
      <w:r>
        <w:rPr>
          <w:color w:val="231F20"/>
          <w:spacing w:val="-8"/>
        </w:rPr>
        <w:t xml:space="preserve"> </w:t>
      </w:r>
      <w:r>
        <w:rPr>
          <w:color w:val="231F20"/>
        </w:rPr>
        <w:t>activity</w:t>
      </w:r>
      <w:r>
        <w:rPr>
          <w:color w:val="231F20"/>
          <w:spacing w:val="-8"/>
        </w:rPr>
        <w:t xml:space="preserve"> </w:t>
      </w:r>
      <w:r>
        <w:rPr>
          <w:color w:val="231F20"/>
        </w:rPr>
        <w:t>in</w:t>
      </w:r>
      <w:r>
        <w:rPr>
          <w:color w:val="231F20"/>
          <w:spacing w:val="-8"/>
        </w:rPr>
        <w:t xml:space="preserve"> </w:t>
      </w:r>
      <w:r>
        <w:rPr>
          <w:color w:val="231F20"/>
        </w:rPr>
        <w:t>the</w:t>
      </w:r>
      <w:r>
        <w:rPr>
          <w:color w:val="231F20"/>
          <w:spacing w:val="-8"/>
        </w:rPr>
        <w:t xml:space="preserve"> </w:t>
      </w:r>
      <w:r>
        <w:rPr>
          <w:color w:val="231F20"/>
        </w:rPr>
        <w:t>same</w:t>
      </w:r>
      <w:r>
        <w:rPr>
          <w:color w:val="231F20"/>
          <w:spacing w:val="-8"/>
        </w:rPr>
        <w:t xml:space="preserve"> </w:t>
      </w:r>
      <w:r>
        <w:rPr>
          <w:color w:val="231F20"/>
        </w:rPr>
        <w:t>place</w:t>
      </w:r>
      <w:r>
        <w:rPr>
          <w:color w:val="231F20"/>
          <w:spacing w:val="-8"/>
        </w:rPr>
        <w:t xml:space="preserve"> </w:t>
      </w:r>
      <w:r>
        <w:rPr>
          <w:color w:val="231F20"/>
        </w:rPr>
        <w:t>that</w:t>
      </w:r>
      <w:r>
        <w:rPr>
          <w:color w:val="231F20"/>
          <w:spacing w:val="-8"/>
        </w:rPr>
        <w:t xml:space="preserve"> </w:t>
      </w:r>
      <w:r>
        <w:rPr>
          <w:color w:val="231F20"/>
        </w:rPr>
        <w:t>professional</w:t>
      </w:r>
      <w:r>
        <w:rPr>
          <w:color w:val="231F20"/>
          <w:spacing w:val="-8"/>
        </w:rPr>
        <w:t xml:space="preserve"> </w:t>
      </w:r>
      <w:r>
        <w:rPr>
          <w:color w:val="231F20"/>
        </w:rPr>
        <w:t xml:space="preserve">riders in the Tour de France perform. In this case, authentication went beyond </w:t>
      </w:r>
      <w:r>
        <w:rPr>
          <w:color w:val="231F20"/>
          <w:w w:val="95"/>
        </w:rPr>
        <w:t xml:space="preserve">the tourism gaze that reflects the tourism industry’s promotional messages </w:t>
      </w:r>
      <w:r>
        <w:rPr>
          <w:color w:val="231F20"/>
        </w:rPr>
        <w:t>(Urry,</w:t>
      </w:r>
      <w:r>
        <w:rPr>
          <w:color w:val="231F20"/>
          <w:spacing w:val="-8"/>
        </w:rPr>
        <w:t xml:space="preserve"> </w:t>
      </w:r>
      <w:r>
        <w:rPr>
          <w:color w:val="231F20"/>
        </w:rPr>
        <w:t>1990)</w:t>
      </w:r>
      <w:r>
        <w:rPr>
          <w:color w:val="231F20"/>
          <w:spacing w:val="-8"/>
        </w:rPr>
        <w:t xml:space="preserve"> </w:t>
      </w:r>
      <w:r>
        <w:rPr>
          <w:color w:val="231F20"/>
        </w:rPr>
        <w:t>to</w:t>
      </w:r>
      <w:r>
        <w:rPr>
          <w:color w:val="231F20"/>
          <w:spacing w:val="-8"/>
        </w:rPr>
        <w:t xml:space="preserve"> </w:t>
      </w:r>
      <w:r>
        <w:rPr>
          <w:color w:val="231F20"/>
        </w:rPr>
        <w:t>one</w:t>
      </w:r>
      <w:r>
        <w:rPr>
          <w:color w:val="231F20"/>
          <w:spacing w:val="-8"/>
        </w:rPr>
        <w:t xml:space="preserve"> </w:t>
      </w:r>
      <w:r>
        <w:rPr>
          <w:color w:val="231F20"/>
        </w:rPr>
        <w:t>of</w:t>
      </w:r>
      <w:r>
        <w:rPr>
          <w:color w:val="231F20"/>
          <w:spacing w:val="-8"/>
        </w:rPr>
        <w:t xml:space="preserve"> </w:t>
      </w:r>
      <w:r>
        <w:rPr>
          <w:color w:val="231F20"/>
        </w:rPr>
        <w:t>a</w:t>
      </w:r>
      <w:r>
        <w:rPr>
          <w:color w:val="231F20"/>
          <w:spacing w:val="-8"/>
        </w:rPr>
        <w:t xml:space="preserve"> </w:t>
      </w:r>
      <w:r>
        <w:rPr>
          <w:color w:val="231F20"/>
        </w:rPr>
        <w:t>full</w:t>
      </w:r>
      <w:r>
        <w:rPr>
          <w:color w:val="231F20"/>
          <w:spacing w:val="-8"/>
        </w:rPr>
        <w:t xml:space="preserve"> </w:t>
      </w:r>
      <w:r>
        <w:rPr>
          <w:color w:val="231F20"/>
        </w:rPr>
        <w:t>range</w:t>
      </w:r>
      <w:r>
        <w:rPr>
          <w:color w:val="231F20"/>
          <w:spacing w:val="-8"/>
        </w:rPr>
        <w:t xml:space="preserve"> </w:t>
      </w:r>
      <w:r>
        <w:rPr>
          <w:color w:val="231F20"/>
        </w:rPr>
        <w:t>of</w:t>
      </w:r>
      <w:r>
        <w:rPr>
          <w:color w:val="231F20"/>
          <w:spacing w:val="-8"/>
        </w:rPr>
        <w:t xml:space="preserve"> </w:t>
      </w:r>
      <w:r>
        <w:rPr>
          <w:color w:val="231F20"/>
        </w:rPr>
        <w:t>sensory</w:t>
      </w:r>
      <w:r>
        <w:rPr>
          <w:color w:val="231F20"/>
          <w:spacing w:val="-8"/>
        </w:rPr>
        <w:t xml:space="preserve"> </w:t>
      </w:r>
      <w:r>
        <w:rPr>
          <w:color w:val="231F20"/>
        </w:rPr>
        <w:t>experiences</w:t>
      </w:r>
      <w:r>
        <w:rPr>
          <w:color w:val="231F20"/>
          <w:spacing w:val="-8"/>
        </w:rPr>
        <w:t xml:space="preserve"> </w:t>
      </w:r>
      <w:r>
        <w:rPr>
          <w:color w:val="231F20"/>
        </w:rPr>
        <w:t>as</w:t>
      </w:r>
      <w:r>
        <w:rPr>
          <w:color w:val="231F20"/>
          <w:spacing w:val="-8"/>
        </w:rPr>
        <w:t xml:space="preserve"> </w:t>
      </w:r>
      <w:r>
        <w:rPr>
          <w:color w:val="231F20"/>
        </w:rPr>
        <w:t>described</w:t>
      </w:r>
      <w:r>
        <w:rPr>
          <w:color w:val="231F20"/>
          <w:spacing w:val="-8"/>
        </w:rPr>
        <w:t xml:space="preserve"> </w:t>
      </w:r>
      <w:r>
        <w:rPr>
          <w:color w:val="231F20"/>
        </w:rPr>
        <w:t xml:space="preserve">by </w:t>
      </w:r>
      <w:r>
        <w:rPr>
          <w:color w:val="231F20"/>
          <w:w w:val="95"/>
        </w:rPr>
        <w:t>Spinney (2006) in a similar</w:t>
      </w:r>
      <w:r>
        <w:rPr>
          <w:color w:val="231F20"/>
          <w:w w:val="95"/>
        </w:rPr>
        <w:t xml:space="preserve"> cycling experience. The second authentication </w:t>
      </w:r>
      <w:r>
        <w:rPr>
          <w:color w:val="231F20"/>
        </w:rPr>
        <w:t xml:space="preserve">process involved ‘collective roadside practices’ during which the sport tourists became part of the festive atmosphere of the Tour. A state of </w:t>
      </w:r>
      <w:r>
        <w:rPr>
          <w:color w:val="231F20"/>
          <w:w w:val="95"/>
        </w:rPr>
        <w:t xml:space="preserve">communitas or celebration at the level of both the tour group and </w:t>
      </w:r>
      <w:r>
        <w:rPr>
          <w:color w:val="231F20"/>
          <w:w w:val="95"/>
        </w:rPr>
        <w:t xml:space="preserve">the race </w:t>
      </w:r>
      <w:r>
        <w:rPr>
          <w:color w:val="231F20"/>
        </w:rPr>
        <w:t xml:space="preserve">itself broke down the normal social barriers and fostered an authentic experience. The third authentication process that Lamont (2014) found was the ‘mediation of touristic encounters with place’. In particular, the ways that these sport tourists </w:t>
      </w:r>
      <w:r>
        <w:rPr>
          <w:color w:val="231F20"/>
        </w:rPr>
        <w:t>communicated their experiences on their tour</w:t>
      </w:r>
      <w:r>
        <w:rPr>
          <w:color w:val="231F20"/>
          <w:spacing w:val="-5"/>
        </w:rPr>
        <w:t xml:space="preserve"> </w:t>
      </w:r>
      <w:r>
        <w:rPr>
          <w:color w:val="231F20"/>
        </w:rPr>
        <w:t>through</w:t>
      </w:r>
      <w:r>
        <w:rPr>
          <w:color w:val="231F20"/>
          <w:spacing w:val="-6"/>
        </w:rPr>
        <w:t xml:space="preserve"> </w:t>
      </w:r>
      <w:r>
        <w:rPr>
          <w:color w:val="231F20"/>
        </w:rPr>
        <w:t>photographs</w:t>
      </w:r>
      <w:r>
        <w:rPr>
          <w:color w:val="231F20"/>
          <w:spacing w:val="-6"/>
        </w:rPr>
        <w:t xml:space="preserve"> </w:t>
      </w:r>
      <w:r>
        <w:rPr>
          <w:color w:val="231F20"/>
        </w:rPr>
        <w:t>and</w:t>
      </w:r>
      <w:r>
        <w:rPr>
          <w:color w:val="231F20"/>
          <w:spacing w:val="-6"/>
        </w:rPr>
        <w:t xml:space="preserve"> </w:t>
      </w:r>
      <w:r>
        <w:rPr>
          <w:color w:val="231F20"/>
        </w:rPr>
        <w:t>social</w:t>
      </w:r>
      <w:r>
        <w:rPr>
          <w:color w:val="231F20"/>
          <w:spacing w:val="-5"/>
        </w:rPr>
        <w:t xml:space="preserve"> </w:t>
      </w:r>
      <w:r>
        <w:rPr>
          <w:color w:val="231F20"/>
        </w:rPr>
        <w:t>media</w:t>
      </w:r>
      <w:r>
        <w:rPr>
          <w:color w:val="231F20"/>
          <w:spacing w:val="-6"/>
        </w:rPr>
        <w:t xml:space="preserve"> </w:t>
      </w:r>
      <w:r>
        <w:rPr>
          <w:color w:val="231F20"/>
        </w:rPr>
        <w:t>proved</w:t>
      </w:r>
      <w:r>
        <w:rPr>
          <w:color w:val="231F20"/>
          <w:spacing w:val="-5"/>
        </w:rPr>
        <w:t xml:space="preserve"> </w:t>
      </w:r>
      <w:r>
        <w:rPr>
          <w:color w:val="231F20"/>
        </w:rPr>
        <w:t>to</w:t>
      </w:r>
      <w:r>
        <w:rPr>
          <w:color w:val="231F20"/>
          <w:spacing w:val="-5"/>
        </w:rPr>
        <w:t xml:space="preserve"> </w:t>
      </w:r>
      <w:r>
        <w:rPr>
          <w:color w:val="231F20"/>
        </w:rPr>
        <w:t>be</w:t>
      </w:r>
      <w:r>
        <w:rPr>
          <w:color w:val="231F20"/>
          <w:spacing w:val="-5"/>
        </w:rPr>
        <w:t xml:space="preserve"> </w:t>
      </w:r>
      <w:r>
        <w:rPr>
          <w:color w:val="231F20"/>
        </w:rPr>
        <w:t>a</w:t>
      </w:r>
      <w:r>
        <w:rPr>
          <w:color w:val="231F20"/>
          <w:spacing w:val="-6"/>
        </w:rPr>
        <w:t xml:space="preserve"> </w:t>
      </w:r>
      <w:r>
        <w:rPr>
          <w:color w:val="231F20"/>
        </w:rPr>
        <w:t>powerful</w:t>
      </w:r>
      <w:r>
        <w:rPr>
          <w:color w:val="231F20"/>
          <w:spacing w:val="-5"/>
        </w:rPr>
        <w:t xml:space="preserve"> </w:t>
      </w:r>
      <w:r>
        <w:rPr>
          <w:color w:val="231F20"/>
        </w:rPr>
        <w:t>way for them to authenticate their experience on the mountain ranges of the Tour de France.</w:t>
      </w:r>
    </w:p>
    <w:p w14:paraId="28E04AFE" w14:textId="77777777" w:rsidR="00AE0598" w:rsidRDefault="00AE0598">
      <w:pPr>
        <w:spacing w:line="232" w:lineRule="auto"/>
        <w:jc w:val="both"/>
        <w:sectPr w:rsidR="00AE0598">
          <w:pgSz w:w="8850" w:h="13270"/>
          <w:pgMar w:top="720" w:right="1060" w:bottom="280" w:left="1080" w:header="720" w:footer="720" w:gutter="0"/>
          <w:cols w:space="720"/>
        </w:sectPr>
      </w:pPr>
    </w:p>
    <w:p w14:paraId="3FA9A8E6" w14:textId="77777777" w:rsidR="00AE0598" w:rsidRDefault="0069255A">
      <w:pPr>
        <w:spacing w:before="87"/>
        <w:ind w:left="4067"/>
        <w:rPr>
          <w:rFonts w:ascii="Trebuchet MS"/>
          <w:sz w:val="14"/>
        </w:rPr>
      </w:pPr>
      <w:r>
        <w:rPr>
          <w:rFonts w:ascii="Trebuchet MS"/>
          <w:color w:val="231F20"/>
          <w:w w:val="105"/>
          <w:sz w:val="14"/>
        </w:rPr>
        <w:lastRenderedPageBreak/>
        <w:t>Development</w:t>
      </w:r>
      <w:r>
        <w:rPr>
          <w:rFonts w:ascii="Trebuchet MS"/>
          <w:color w:val="231F20"/>
          <w:spacing w:val="-12"/>
          <w:w w:val="105"/>
          <w:sz w:val="14"/>
        </w:rPr>
        <w:t xml:space="preserve"> </w:t>
      </w:r>
      <w:r>
        <w:rPr>
          <w:rFonts w:ascii="Trebuchet MS"/>
          <w:color w:val="231F20"/>
          <w:w w:val="105"/>
          <w:sz w:val="14"/>
        </w:rPr>
        <w:t>Processes</w:t>
      </w:r>
      <w:r>
        <w:rPr>
          <w:rFonts w:ascii="Trebuchet MS"/>
          <w:color w:val="231F20"/>
          <w:spacing w:val="-11"/>
          <w:w w:val="105"/>
          <w:sz w:val="14"/>
        </w:rPr>
        <w:t xml:space="preserve"> </w:t>
      </w:r>
      <w:r>
        <w:rPr>
          <w:rFonts w:ascii="Trebuchet MS"/>
          <w:color w:val="231F20"/>
          <w:w w:val="105"/>
          <w:sz w:val="14"/>
        </w:rPr>
        <w:t>and</w:t>
      </w:r>
      <w:r>
        <w:rPr>
          <w:rFonts w:ascii="Trebuchet MS"/>
          <w:color w:val="231F20"/>
          <w:spacing w:val="-11"/>
          <w:w w:val="105"/>
          <w:sz w:val="14"/>
        </w:rPr>
        <w:t xml:space="preserve"> </w:t>
      </w:r>
      <w:r>
        <w:rPr>
          <w:rFonts w:ascii="Trebuchet MS"/>
          <w:color w:val="231F20"/>
          <w:w w:val="105"/>
          <w:sz w:val="14"/>
        </w:rPr>
        <w:t>Issues</w:t>
      </w:r>
      <w:r>
        <w:rPr>
          <w:rFonts w:ascii="Trebuchet MS"/>
          <w:color w:val="231F20"/>
          <w:spacing w:val="77"/>
          <w:w w:val="105"/>
          <w:sz w:val="14"/>
        </w:rPr>
        <w:t xml:space="preserve"> </w:t>
      </w:r>
      <w:r>
        <w:rPr>
          <w:rFonts w:ascii="Trebuchet MS"/>
          <w:color w:val="231F20"/>
          <w:spacing w:val="-5"/>
          <w:w w:val="105"/>
          <w:sz w:val="14"/>
        </w:rPr>
        <w:t>75</w:t>
      </w:r>
    </w:p>
    <w:p w14:paraId="6AC142FD" w14:textId="77777777" w:rsidR="00AE0598" w:rsidRDefault="00AE0598">
      <w:pPr>
        <w:pStyle w:val="Corpodetexto"/>
        <w:rPr>
          <w:rFonts w:ascii="Trebuchet MS"/>
          <w:sz w:val="16"/>
        </w:rPr>
      </w:pPr>
    </w:p>
    <w:p w14:paraId="1333D009" w14:textId="77777777" w:rsidR="00AE0598" w:rsidRDefault="0069255A">
      <w:pPr>
        <w:spacing w:before="120"/>
        <w:ind w:left="110"/>
        <w:rPr>
          <w:rFonts w:ascii="Trebuchet MS"/>
          <w:sz w:val="20"/>
        </w:rPr>
      </w:pPr>
      <w:r>
        <w:rPr>
          <w:rFonts w:ascii="Trebuchet MS"/>
          <w:color w:val="231F20"/>
          <w:spacing w:val="-2"/>
          <w:w w:val="105"/>
          <w:sz w:val="20"/>
        </w:rPr>
        <w:t>Globalisation</w:t>
      </w:r>
    </w:p>
    <w:p w14:paraId="45C0A0DE" w14:textId="77777777" w:rsidR="00AE0598" w:rsidRDefault="0069255A">
      <w:pPr>
        <w:pStyle w:val="Corpodetexto"/>
        <w:spacing w:before="122" w:line="232" w:lineRule="auto"/>
        <w:ind w:left="110" w:right="123" w:firstLine="320"/>
        <w:jc w:val="both"/>
      </w:pPr>
      <w:r>
        <w:rPr>
          <w:color w:val="231F20"/>
        </w:rPr>
        <w:t>The term ‘globalisation’ can bring forth a variety of reactions as exemplified by the positive response to the concept of a ‘global village’ through to the passionate protests decrying economic inequities and cultural imperialism that have be</w:t>
      </w:r>
      <w:r>
        <w:rPr>
          <w:color w:val="231F20"/>
        </w:rPr>
        <w:t>come a predictable part of world economic</w:t>
      </w:r>
      <w:r>
        <w:rPr>
          <w:color w:val="231F20"/>
          <w:spacing w:val="29"/>
        </w:rPr>
        <w:t xml:space="preserve"> </w:t>
      </w:r>
      <w:r>
        <w:rPr>
          <w:color w:val="231F20"/>
        </w:rPr>
        <w:t>summits.</w:t>
      </w:r>
      <w:r>
        <w:rPr>
          <w:color w:val="231F20"/>
          <w:spacing w:val="29"/>
        </w:rPr>
        <w:t xml:space="preserve"> </w:t>
      </w:r>
      <w:r>
        <w:rPr>
          <w:color w:val="231F20"/>
        </w:rPr>
        <w:t>Simply</w:t>
      </w:r>
      <w:r>
        <w:rPr>
          <w:color w:val="231F20"/>
          <w:spacing w:val="29"/>
        </w:rPr>
        <w:t xml:space="preserve"> </w:t>
      </w:r>
      <w:r>
        <w:rPr>
          <w:color w:val="231F20"/>
        </w:rPr>
        <w:t>put,</w:t>
      </w:r>
      <w:r>
        <w:rPr>
          <w:color w:val="231F20"/>
          <w:spacing w:val="29"/>
        </w:rPr>
        <w:t xml:space="preserve"> </w:t>
      </w:r>
      <w:r>
        <w:rPr>
          <w:color w:val="231F20"/>
        </w:rPr>
        <w:t>globalisation</w:t>
      </w:r>
      <w:r>
        <w:rPr>
          <w:color w:val="231F20"/>
          <w:spacing w:val="29"/>
        </w:rPr>
        <w:t xml:space="preserve"> </w:t>
      </w:r>
      <w:r>
        <w:rPr>
          <w:color w:val="231F20"/>
        </w:rPr>
        <w:t>is</w:t>
      </w:r>
      <w:r>
        <w:rPr>
          <w:color w:val="231F20"/>
          <w:spacing w:val="29"/>
        </w:rPr>
        <w:t xml:space="preserve"> </w:t>
      </w:r>
      <w:r>
        <w:rPr>
          <w:color w:val="231F20"/>
        </w:rPr>
        <w:t>the</w:t>
      </w:r>
      <w:r>
        <w:rPr>
          <w:color w:val="231F20"/>
          <w:spacing w:val="29"/>
        </w:rPr>
        <w:t xml:space="preserve"> </w:t>
      </w:r>
      <w:r>
        <w:rPr>
          <w:color w:val="231F20"/>
        </w:rPr>
        <w:t>process</w:t>
      </w:r>
      <w:r>
        <w:rPr>
          <w:color w:val="231F20"/>
          <w:spacing w:val="29"/>
        </w:rPr>
        <w:t xml:space="preserve"> </w:t>
      </w:r>
      <w:r>
        <w:rPr>
          <w:color w:val="231F20"/>
        </w:rPr>
        <w:t>that</w:t>
      </w:r>
      <w:r>
        <w:rPr>
          <w:color w:val="231F20"/>
          <w:spacing w:val="29"/>
        </w:rPr>
        <w:t xml:space="preserve"> </w:t>
      </w:r>
      <w:r>
        <w:rPr>
          <w:color w:val="231F20"/>
        </w:rPr>
        <w:t>leads to an ever-tightening network of connections, which cut across national boundaries. It is characterised by the worldwide compression of time and space (M</w:t>
      </w:r>
      <w:r>
        <w:rPr>
          <w:color w:val="231F20"/>
        </w:rPr>
        <w:t>owforth &amp; Munt, 2015). Sport is increasingly being used</w:t>
      </w:r>
      <w:r>
        <w:rPr>
          <w:color w:val="231F20"/>
          <w:spacing w:val="80"/>
          <w:w w:val="150"/>
        </w:rPr>
        <w:t xml:space="preserve"> </w:t>
      </w:r>
      <w:r>
        <w:rPr>
          <w:color w:val="231F20"/>
        </w:rPr>
        <w:t>as a way to position destinations within this global world (see Case Study 4.1).</w:t>
      </w:r>
    </w:p>
    <w:p w14:paraId="09E835F3" w14:textId="77777777" w:rsidR="00AE0598" w:rsidRDefault="0069255A">
      <w:pPr>
        <w:pStyle w:val="Corpodetexto"/>
        <w:spacing w:before="12" w:line="232" w:lineRule="auto"/>
        <w:ind w:left="110" w:right="125" w:firstLine="320"/>
        <w:jc w:val="both"/>
      </w:pPr>
      <w:r>
        <w:rPr>
          <w:color w:val="231F20"/>
        </w:rPr>
        <w:t>In many ways, globalisation is a new way of looking at development. Globalisation</w:t>
      </w:r>
      <w:r>
        <w:rPr>
          <w:color w:val="231F20"/>
          <w:spacing w:val="40"/>
        </w:rPr>
        <w:t xml:space="preserve"> </w:t>
      </w:r>
      <w:r>
        <w:rPr>
          <w:color w:val="231F20"/>
        </w:rPr>
        <w:t>is</w:t>
      </w:r>
      <w:r>
        <w:rPr>
          <w:color w:val="231F20"/>
          <w:spacing w:val="40"/>
        </w:rPr>
        <w:t xml:space="preserve"> </w:t>
      </w:r>
      <w:r>
        <w:rPr>
          <w:color w:val="231F20"/>
        </w:rPr>
        <w:t>manifest</w:t>
      </w:r>
      <w:r>
        <w:rPr>
          <w:color w:val="231F20"/>
          <w:spacing w:val="40"/>
        </w:rPr>
        <w:t xml:space="preserve"> </w:t>
      </w:r>
      <w:r>
        <w:rPr>
          <w:color w:val="231F20"/>
        </w:rPr>
        <w:t>in</w:t>
      </w:r>
      <w:r>
        <w:rPr>
          <w:color w:val="231F20"/>
          <w:spacing w:val="40"/>
        </w:rPr>
        <w:t xml:space="preserve"> </w:t>
      </w:r>
      <w:r>
        <w:rPr>
          <w:color w:val="231F20"/>
        </w:rPr>
        <w:t>a</w:t>
      </w:r>
      <w:r>
        <w:rPr>
          <w:color w:val="231F20"/>
          <w:spacing w:val="40"/>
        </w:rPr>
        <w:t xml:space="preserve"> </w:t>
      </w:r>
      <w:r>
        <w:rPr>
          <w:color w:val="231F20"/>
        </w:rPr>
        <w:t>web</w:t>
      </w:r>
      <w:r>
        <w:rPr>
          <w:color w:val="231F20"/>
          <w:spacing w:val="40"/>
        </w:rPr>
        <w:t xml:space="preserve"> </w:t>
      </w:r>
      <w:r>
        <w:rPr>
          <w:color w:val="231F20"/>
        </w:rPr>
        <w:t>of</w:t>
      </w:r>
      <w:r>
        <w:rPr>
          <w:color w:val="231F20"/>
          <w:spacing w:val="40"/>
        </w:rPr>
        <w:t xml:space="preserve"> </w:t>
      </w:r>
      <w:r>
        <w:rPr>
          <w:color w:val="231F20"/>
        </w:rPr>
        <w:t>political,</w:t>
      </w:r>
      <w:r>
        <w:rPr>
          <w:color w:val="231F20"/>
          <w:spacing w:val="40"/>
        </w:rPr>
        <w:t xml:space="preserve"> </w:t>
      </w:r>
      <w:r>
        <w:rPr>
          <w:color w:val="231F20"/>
        </w:rPr>
        <w:t>ec</w:t>
      </w:r>
      <w:r>
        <w:rPr>
          <w:color w:val="231F20"/>
        </w:rPr>
        <w:t>onomic,</w:t>
      </w:r>
      <w:r>
        <w:rPr>
          <w:color w:val="231F20"/>
          <w:spacing w:val="40"/>
        </w:rPr>
        <w:t xml:space="preserve"> </w:t>
      </w:r>
      <w:r>
        <w:rPr>
          <w:color w:val="231F20"/>
        </w:rPr>
        <w:t>cultural</w:t>
      </w:r>
      <w:r>
        <w:rPr>
          <w:color w:val="231F20"/>
          <w:spacing w:val="80"/>
        </w:rPr>
        <w:t xml:space="preserve"> </w:t>
      </w:r>
      <w:r>
        <w:rPr>
          <w:color w:val="231F20"/>
        </w:rPr>
        <w:t>and social interconnections (Go, 2004; Lew, 2014; Milne &amp; Ateljevic, 2004). It is no longer possible for communities to function in isolation from</w:t>
      </w:r>
      <w:r>
        <w:rPr>
          <w:color w:val="231F20"/>
          <w:spacing w:val="29"/>
        </w:rPr>
        <w:t xml:space="preserve"> </w:t>
      </w:r>
      <w:r>
        <w:rPr>
          <w:color w:val="231F20"/>
        </w:rPr>
        <w:t>other</w:t>
      </w:r>
      <w:r>
        <w:rPr>
          <w:color w:val="231F20"/>
          <w:spacing w:val="29"/>
        </w:rPr>
        <w:t xml:space="preserve"> </w:t>
      </w:r>
      <w:r>
        <w:rPr>
          <w:color w:val="231F20"/>
        </w:rPr>
        <w:t>parts</w:t>
      </w:r>
      <w:r>
        <w:rPr>
          <w:color w:val="231F20"/>
          <w:spacing w:val="29"/>
        </w:rPr>
        <w:t xml:space="preserve"> </w:t>
      </w:r>
      <w:r>
        <w:rPr>
          <w:color w:val="231F20"/>
        </w:rPr>
        <w:t>of</w:t>
      </w:r>
      <w:r>
        <w:rPr>
          <w:color w:val="231F20"/>
          <w:spacing w:val="29"/>
        </w:rPr>
        <w:t xml:space="preserve"> </w:t>
      </w:r>
      <w:r>
        <w:rPr>
          <w:color w:val="231F20"/>
        </w:rPr>
        <w:t>the</w:t>
      </w:r>
      <w:r>
        <w:rPr>
          <w:color w:val="231F20"/>
          <w:spacing w:val="29"/>
        </w:rPr>
        <w:t xml:space="preserve"> </w:t>
      </w:r>
      <w:r>
        <w:rPr>
          <w:color w:val="231F20"/>
        </w:rPr>
        <w:t>globe.</w:t>
      </w:r>
      <w:r>
        <w:rPr>
          <w:color w:val="231F20"/>
          <w:spacing w:val="29"/>
        </w:rPr>
        <w:t xml:space="preserve"> </w:t>
      </w:r>
      <w:r>
        <w:rPr>
          <w:color w:val="231F20"/>
        </w:rPr>
        <w:t>Globalisation</w:t>
      </w:r>
      <w:r>
        <w:rPr>
          <w:color w:val="231F20"/>
          <w:spacing w:val="29"/>
        </w:rPr>
        <w:t xml:space="preserve"> </w:t>
      </w:r>
      <w:r>
        <w:rPr>
          <w:color w:val="231F20"/>
        </w:rPr>
        <w:t>is</w:t>
      </w:r>
      <w:r>
        <w:rPr>
          <w:color w:val="231F20"/>
          <w:spacing w:val="29"/>
        </w:rPr>
        <w:t xml:space="preserve"> </w:t>
      </w:r>
      <w:r>
        <w:rPr>
          <w:color w:val="231F20"/>
        </w:rPr>
        <w:t>a</w:t>
      </w:r>
      <w:r>
        <w:rPr>
          <w:color w:val="231F20"/>
          <w:spacing w:val="29"/>
        </w:rPr>
        <w:t xml:space="preserve"> </w:t>
      </w:r>
      <w:r>
        <w:rPr>
          <w:color w:val="231F20"/>
        </w:rPr>
        <w:t>complex</w:t>
      </w:r>
      <w:r>
        <w:rPr>
          <w:color w:val="231F20"/>
          <w:spacing w:val="29"/>
        </w:rPr>
        <w:t xml:space="preserve"> </w:t>
      </w:r>
      <w:r>
        <w:rPr>
          <w:color w:val="231F20"/>
        </w:rPr>
        <w:t>process</w:t>
      </w:r>
      <w:r>
        <w:rPr>
          <w:color w:val="231F20"/>
          <w:spacing w:val="29"/>
        </w:rPr>
        <w:t xml:space="preserve"> </w:t>
      </w:r>
      <w:r>
        <w:rPr>
          <w:color w:val="231F20"/>
        </w:rPr>
        <w:t xml:space="preserve">and a variety of interpretations and perspectives have emerged (Silk &amp; </w:t>
      </w:r>
      <w:r>
        <w:rPr>
          <w:color w:val="231F20"/>
          <w:w w:val="95"/>
        </w:rPr>
        <w:t>Jackson,</w:t>
      </w:r>
      <w:r>
        <w:rPr>
          <w:color w:val="231F20"/>
          <w:spacing w:val="38"/>
        </w:rPr>
        <w:t xml:space="preserve"> </w:t>
      </w:r>
      <w:r>
        <w:rPr>
          <w:color w:val="231F20"/>
          <w:w w:val="95"/>
        </w:rPr>
        <w:t>2000).</w:t>
      </w:r>
      <w:r>
        <w:rPr>
          <w:color w:val="231F20"/>
          <w:spacing w:val="38"/>
        </w:rPr>
        <w:t xml:space="preserve"> </w:t>
      </w:r>
      <w:r>
        <w:rPr>
          <w:color w:val="231F20"/>
          <w:w w:val="95"/>
        </w:rPr>
        <w:t>The</w:t>
      </w:r>
      <w:r>
        <w:rPr>
          <w:color w:val="231F20"/>
          <w:spacing w:val="38"/>
        </w:rPr>
        <w:t xml:space="preserve"> </w:t>
      </w:r>
      <w:r>
        <w:rPr>
          <w:color w:val="231F20"/>
          <w:w w:val="95"/>
        </w:rPr>
        <w:t>cultural</w:t>
      </w:r>
      <w:r>
        <w:rPr>
          <w:color w:val="231F20"/>
          <w:spacing w:val="38"/>
        </w:rPr>
        <w:t xml:space="preserve"> </w:t>
      </w:r>
      <w:r>
        <w:rPr>
          <w:color w:val="231F20"/>
          <w:w w:val="95"/>
        </w:rPr>
        <w:t>imperialist</w:t>
      </w:r>
      <w:r>
        <w:rPr>
          <w:color w:val="231F20"/>
          <w:spacing w:val="38"/>
        </w:rPr>
        <w:t xml:space="preserve"> </w:t>
      </w:r>
      <w:r>
        <w:rPr>
          <w:color w:val="231F20"/>
          <w:w w:val="95"/>
        </w:rPr>
        <w:t>interpretation</w:t>
      </w:r>
      <w:r>
        <w:rPr>
          <w:color w:val="231F20"/>
          <w:spacing w:val="38"/>
        </w:rPr>
        <w:t xml:space="preserve"> </w:t>
      </w:r>
      <w:r>
        <w:rPr>
          <w:color w:val="231F20"/>
          <w:w w:val="95"/>
        </w:rPr>
        <w:t>sees</w:t>
      </w:r>
      <w:r>
        <w:rPr>
          <w:color w:val="231F20"/>
          <w:spacing w:val="38"/>
        </w:rPr>
        <w:t xml:space="preserve"> </w:t>
      </w:r>
      <w:r>
        <w:rPr>
          <w:color w:val="231F20"/>
          <w:w w:val="95"/>
        </w:rPr>
        <w:t>local</w:t>
      </w:r>
      <w:r>
        <w:rPr>
          <w:color w:val="231F20"/>
          <w:spacing w:val="38"/>
        </w:rPr>
        <w:t xml:space="preserve"> </w:t>
      </w:r>
      <w:r>
        <w:rPr>
          <w:color w:val="231F20"/>
          <w:w w:val="95"/>
        </w:rPr>
        <w:t xml:space="preserve">culture </w:t>
      </w:r>
      <w:r>
        <w:rPr>
          <w:color w:val="231F20"/>
        </w:rPr>
        <w:t>as being displaced by a foreign one, causing a homogenising trend and the creation of a common global culture.</w:t>
      </w:r>
      <w:r>
        <w:rPr>
          <w:color w:val="231F20"/>
        </w:rPr>
        <w:t xml:space="preserve"> This form of imperialism is often</w:t>
      </w:r>
      <w:r>
        <w:rPr>
          <w:color w:val="231F20"/>
          <w:spacing w:val="40"/>
        </w:rPr>
        <w:t xml:space="preserve"> </w:t>
      </w:r>
      <w:r>
        <w:rPr>
          <w:color w:val="231F20"/>
        </w:rPr>
        <w:t>equated</w:t>
      </w:r>
      <w:r>
        <w:rPr>
          <w:color w:val="231F20"/>
          <w:spacing w:val="40"/>
        </w:rPr>
        <w:t xml:space="preserve"> </w:t>
      </w:r>
      <w:r>
        <w:rPr>
          <w:color w:val="231F20"/>
        </w:rPr>
        <w:t>with</w:t>
      </w:r>
      <w:r>
        <w:rPr>
          <w:color w:val="231F20"/>
          <w:spacing w:val="40"/>
        </w:rPr>
        <w:t xml:space="preserve"> </w:t>
      </w:r>
      <w:r>
        <w:rPr>
          <w:color w:val="231F20"/>
        </w:rPr>
        <w:t>Americanisation,</w:t>
      </w:r>
      <w:r>
        <w:rPr>
          <w:color w:val="231F20"/>
          <w:spacing w:val="40"/>
        </w:rPr>
        <w:t xml:space="preserve"> </w:t>
      </w:r>
      <w:r>
        <w:rPr>
          <w:color w:val="231F20"/>
        </w:rPr>
        <w:t>as</w:t>
      </w:r>
      <w:r>
        <w:rPr>
          <w:color w:val="231F20"/>
          <w:spacing w:val="40"/>
        </w:rPr>
        <w:t xml:space="preserve"> </w:t>
      </w:r>
      <w:r>
        <w:rPr>
          <w:color w:val="231F20"/>
        </w:rPr>
        <w:t>the</w:t>
      </w:r>
      <w:r>
        <w:rPr>
          <w:color w:val="231F20"/>
          <w:spacing w:val="40"/>
        </w:rPr>
        <w:t xml:space="preserve"> </w:t>
      </w:r>
      <w:r>
        <w:rPr>
          <w:color w:val="231F20"/>
        </w:rPr>
        <w:t>US</w:t>
      </w:r>
      <w:r>
        <w:rPr>
          <w:color w:val="231F20"/>
          <w:spacing w:val="40"/>
        </w:rPr>
        <w:t xml:space="preserve"> </w:t>
      </w:r>
      <w:r>
        <w:rPr>
          <w:color w:val="231F20"/>
        </w:rPr>
        <w:t>economy</w:t>
      </w:r>
      <w:r>
        <w:rPr>
          <w:color w:val="231F20"/>
          <w:spacing w:val="40"/>
        </w:rPr>
        <w:t xml:space="preserve"> </w:t>
      </w:r>
      <w:r>
        <w:rPr>
          <w:color w:val="231F20"/>
        </w:rPr>
        <w:t>and</w:t>
      </w:r>
      <w:r>
        <w:rPr>
          <w:color w:val="231F20"/>
          <w:spacing w:val="40"/>
        </w:rPr>
        <w:t xml:space="preserve"> </w:t>
      </w:r>
      <w:r>
        <w:rPr>
          <w:color w:val="231F20"/>
        </w:rPr>
        <w:t>culture are viewed as the dominant forces in the global system although they are currently being challenged by China’s growing economy. A cultural hegemony interpretatio</w:t>
      </w:r>
      <w:r>
        <w:rPr>
          <w:color w:val="231F20"/>
        </w:rPr>
        <w:t xml:space="preserve">n sees globalisation as a two-way process. Local </w:t>
      </w:r>
      <w:r>
        <w:rPr>
          <w:color w:val="231F20"/>
          <w:w w:val="95"/>
        </w:rPr>
        <w:t xml:space="preserve">communities receive global images, goods and services but interpret them </w:t>
      </w:r>
      <w:r>
        <w:rPr>
          <w:color w:val="231F20"/>
        </w:rPr>
        <w:t>on</w:t>
      </w:r>
      <w:r>
        <w:rPr>
          <w:color w:val="231F20"/>
          <w:spacing w:val="-3"/>
        </w:rPr>
        <w:t xml:space="preserve"> </w:t>
      </w:r>
      <w:r>
        <w:rPr>
          <w:color w:val="231F20"/>
        </w:rPr>
        <w:t>their</w:t>
      </w:r>
      <w:r>
        <w:rPr>
          <w:color w:val="231F20"/>
          <w:spacing w:val="-3"/>
        </w:rPr>
        <w:t xml:space="preserve"> </w:t>
      </w:r>
      <w:r>
        <w:rPr>
          <w:color w:val="231F20"/>
        </w:rPr>
        <w:t>own</w:t>
      </w:r>
      <w:r>
        <w:rPr>
          <w:color w:val="231F20"/>
          <w:spacing w:val="-3"/>
        </w:rPr>
        <w:t xml:space="preserve"> </w:t>
      </w:r>
      <w:r>
        <w:rPr>
          <w:color w:val="231F20"/>
        </w:rPr>
        <w:t>terms.</w:t>
      </w:r>
      <w:r>
        <w:rPr>
          <w:color w:val="231F20"/>
          <w:spacing w:val="-3"/>
        </w:rPr>
        <w:t xml:space="preserve"> </w:t>
      </w:r>
      <w:r>
        <w:rPr>
          <w:color w:val="231F20"/>
        </w:rPr>
        <w:t>In</w:t>
      </w:r>
      <w:r>
        <w:rPr>
          <w:color w:val="231F20"/>
          <w:spacing w:val="-3"/>
        </w:rPr>
        <w:t xml:space="preserve"> </w:t>
      </w:r>
      <w:r>
        <w:rPr>
          <w:color w:val="231F20"/>
        </w:rPr>
        <w:t>this</w:t>
      </w:r>
      <w:r>
        <w:rPr>
          <w:color w:val="231F20"/>
          <w:spacing w:val="-3"/>
        </w:rPr>
        <w:t xml:space="preserve"> </w:t>
      </w:r>
      <w:r>
        <w:rPr>
          <w:color w:val="231F20"/>
        </w:rPr>
        <w:t>two-way</w:t>
      </w:r>
      <w:r>
        <w:rPr>
          <w:color w:val="231F20"/>
          <w:spacing w:val="-3"/>
        </w:rPr>
        <w:t xml:space="preserve"> </w:t>
      </w:r>
      <w:r>
        <w:rPr>
          <w:color w:val="231F20"/>
        </w:rPr>
        <w:t>relationship,</w:t>
      </w:r>
      <w:r>
        <w:rPr>
          <w:color w:val="231F20"/>
          <w:spacing w:val="-3"/>
        </w:rPr>
        <w:t xml:space="preserve"> </w:t>
      </w:r>
      <w:r>
        <w:rPr>
          <w:color w:val="231F20"/>
        </w:rPr>
        <w:t>local</w:t>
      </w:r>
      <w:r>
        <w:rPr>
          <w:color w:val="231F20"/>
          <w:spacing w:val="-3"/>
        </w:rPr>
        <w:t xml:space="preserve"> </w:t>
      </w:r>
      <w:r>
        <w:rPr>
          <w:color w:val="231F20"/>
        </w:rPr>
        <w:t>groups</w:t>
      </w:r>
      <w:r>
        <w:rPr>
          <w:color w:val="231F20"/>
          <w:spacing w:val="-3"/>
        </w:rPr>
        <w:t xml:space="preserve"> </w:t>
      </w:r>
      <w:r>
        <w:rPr>
          <w:color w:val="231F20"/>
        </w:rPr>
        <w:t>play</w:t>
      </w:r>
      <w:r>
        <w:rPr>
          <w:color w:val="231F20"/>
          <w:spacing w:val="-3"/>
        </w:rPr>
        <w:t xml:space="preserve"> </w:t>
      </w:r>
      <w:r>
        <w:rPr>
          <w:color w:val="231F20"/>
        </w:rPr>
        <w:t>a</w:t>
      </w:r>
      <w:r>
        <w:rPr>
          <w:color w:val="231F20"/>
          <w:spacing w:val="-3"/>
        </w:rPr>
        <w:t xml:space="preserve"> </w:t>
      </w:r>
      <w:r>
        <w:rPr>
          <w:color w:val="231F20"/>
        </w:rPr>
        <w:t>key role in the way global trends are manifest in their locale (</w:t>
      </w:r>
      <w:r>
        <w:rPr>
          <w:color w:val="231F20"/>
        </w:rPr>
        <w:t xml:space="preserve">Whitson &amp; Macintosh, 1996). Finally, the figurational perspective advocates a view of globalisation as a process. This perspective emphasises a long-term </w:t>
      </w:r>
      <w:r>
        <w:rPr>
          <w:color w:val="231F20"/>
          <w:w w:val="95"/>
        </w:rPr>
        <w:t xml:space="preserve">historical approach that involves the examination of cases of domination </w:t>
      </w:r>
      <w:r>
        <w:rPr>
          <w:color w:val="231F20"/>
        </w:rPr>
        <w:t>and resistance over time. Mag</w:t>
      </w:r>
      <w:r>
        <w:rPr>
          <w:color w:val="231F20"/>
        </w:rPr>
        <w:t>uire’s (1999: 3) definition of globalisation fits this interpretation.</w:t>
      </w:r>
    </w:p>
    <w:p w14:paraId="2C6A61D4" w14:textId="77777777" w:rsidR="00AE0598" w:rsidRDefault="0069255A">
      <w:pPr>
        <w:pStyle w:val="Corpodetexto"/>
        <w:spacing w:before="26" w:line="232" w:lineRule="auto"/>
        <w:ind w:left="110" w:right="127" w:firstLine="320"/>
        <w:jc w:val="both"/>
      </w:pPr>
      <w:r>
        <w:rPr>
          <w:color w:val="231F20"/>
        </w:rPr>
        <w:t>Globalisation processes are viewed here as long-term processes that have</w:t>
      </w:r>
      <w:r>
        <w:rPr>
          <w:color w:val="231F20"/>
          <w:spacing w:val="-1"/>
        </w:rPr>
        <w:t xml:space="preserve"> </w:t>
      </w:r>
      <w:r>
        <w:rPr>
          <w:color w:val="231F20"/>
        </w:rPr>
        <w:t>occurred</w:t>
      </w:r>
      <w:r>
        <w:rPr>
          <w:color w:val="231F20"/>
          <w:spacing w:val="-1"/>
        </w:rPr>
        <w:t xml:space="preserve"> </w:t>
      </w:r>
      <w:r>
        <w:rPr>
          <w:color w:val="231F20"/>
        </w:rPr>
        <w:t>unevenly</w:t>
      </w:r>
      <w:r>
        <w:rPr>
          <w:color w:val="231F20"/>
          <w:spacing w:val="-1"/>
        </w:rPr>
        <w:t xml:space="preserve"> </w:t>
      </w:r>
      <w:r>
        <w:rPr>
          <w:color w:val="231F20"/>
        </w:rPr>
        <w:t>across</w:t>
      </w:r>
      <w:r>
        <w:rPr>
          <w:color w:val="231F20"/>
          <w:spacing w:val="-1"/>
        </w:rPr>
        <w:t xml:space="preserve"> </w:t>
      </w:r>
      <w:r>
        <w:rPr>
          <w:color w:val="231F20"/>
        </w:rPr>
        <w:t>all</w:t>
      </w:r>
      <w:r>
        <w:rPr>
          <w:color w:val="231F20"/>
          <w:spacing w:val="-1"/>
        </w:rPr>
        <w:t xml:space="preserve"> </w:t>
      </w:r>
      <w:r>
        <w:rPr>
          <w:color w:val="231F20"/>
        </w:rPr>
        <w:t>areas</w:t>
      </w:r>
      <w:r>
        <w:rPr>
          <w:color w:val="231F20"/>
          <w:spacing w:val="-1"/>
        </w:rPr>
        <w:t xml:space="preserve"> </w:t>
      </w:r>
      <w:r>
        <w:rPr>
          <w:color w:val="231F20"/>
        </w:rPr>
        <w:t>of</w:t>
      </w:r>
      <w:r>
        <w:rPr>
          <w:color w:val="231F20"/>
          <w:spacing w:val="-1"/>
        </w:rPr>
        <w:t xml:space="preserve"> </w:t>
      </w:r>
      <w:r>
        <w:rPr>
          <w:color w:val="231F20"/>
        </w:rPr>
        <w:t>the</w:t>
      </w:r>
      <w:r>
        <w:rPr>
          <w:color w:val="231F20"/>
          <w:spacing w:val="-1"/>
        </w:rPr>
        <w:t xml:space="preserve"> </w:t>
      </w:r>
      <w:r>
        <w:rPr>
          <w:color w:val="231F20"/>
        </w:rPr>
        <w:t>planet.</w:t>
      </w:r>
      <w:r>
        <w:rPr>
          <w:color w:val="231F20"/>
          <w:spacing w:val="-1"/>
        </w:rPr>
        <w:t xml:space="preserve"> </w:t>
      </w:r>
      <w:r>
        <w:rPr>
          <w:color w:val="231F20"/>
        </w:rPr>
        <w:t>These</w:t>
      </w:r>
      <w:r>
        <w:rPr>
          <w:color w:val="231F20"/>
          <w:spacing w:val="-1"/>
        </w:rPr>
        <w:t xml:space="preserve"> </w:t>
      </w:r>
      <w:r>
        <w:rPr>
          <w:color w:val="231F20"/>
        </w:rPr>
        <w:t>processes</w:t>
      </w:r>
      <w:r>
        <w:rPr>
          <w:color w:val="231F20"/>
          <w:spacing w:val="-1"/>
        </w:rPr>
        <w:t xml:space="preserve"> </w:t>
      </w:r>
      <w:r>
        <w:rPr>
          <w:color w:val="231F20"/>
        </w:rPr>
        <w:t>– involving an increasing intensification of global interconnectedness – appear</w:t>
      </w:r>
      <w:r>
        <w:rPr>
          <w:color w:val="231F20"/>
          <w:spacing w:val="37"/>
        </w:rPr>
        <w:t xml:space="preserve"> </w:t>
      </w:r>
      <w:r>
        <w:rPr>
          <w:color w:val="231F20"/>
        </w:rPr>
        <w:t>to</w:t>
      </w:r>
      <w:r>
        <w:rPr>
          <w:color w:val="231F20"/>
          <w:spacing w:val="37"/>
        </w:rPr>
        <w:t xml:space="preserve"> </w:t>
      </w:r>
      <w:r>
        <w:rPr>
          <w:color w:val="231F20"/>
        </w:rPr>
        <w:t>be</w:t>
      </w:r>
      <w:r>
        <w:rPr>
          <w:color w:val="231F20"/>
          <w:spacing w:val="37"/>
        </w:rPr>
        <w:t xml:space="preserve"> </w:t>
      </w:r>
      <w:r>
        <w:rPr>
          <w:color w:val="231F20"/>
        </w:rPr>
        <w:t>gathering</w:t>
      </w:r>
      <w:r>
        <w:rPr>
          <w:color w:val="231F20"/>
          <w:spacing w:val="36"/>
        </w:rPr>
        <w:t xml:space="preserve"> </w:t>
      </w:r>
      <w:r>
        <w:rPr>
          <w:color w:val="231F20"/>
        </w:rPr>
        <w:t>momentum</w:t>
      </w:r>
      <w:r>
        <w:rPr>
          <w:color w:val="231F20"/>
          <w:spacing w:val="37"/>
        </w:rPr>
        <w:t xml:space="preserve"> </w:t>
      </w:r>
      <w:r>
        <w:rPr>
          <w:color w:val="231F20"/>
        </w:rPr>
        <w:t>and</w:t>
      </w:r>
      <w:r>
        <w:rPr>
          <w:color w:val="231F20"/>
          <w:spacing w:val="36"/>
        </w:rPr>
        <w:t xml:space="preserve"> </w:t>
      </w:r>
      <w:r>
        <w:rPr>
          <w:color w:val="231F20"/>
        </w:rPr>
        <w:t>despite</w:t>
      </w:r>
      <w:r>
        <w:rPr>
          <w:color w:val="231F20"/>
          <w:spacing w:val="36"/>
        </w:rPr>
        <w:t xml:space="preserve"> </w:t>
      </w:r>
      <w:r>
        <w:rPr>
          <w:color w:val="231F20"/>
        </w:rPr>
        <w:t>their</w:t>
      </w:r>
      <w:r>
        <w:rPr>
          <w:color w:val="231F20"/>
          <w:spacing w:val="36"/>
        </w:rPr>
        <w:t xml:space="preserve"> </w:t>
      </w:r>
      <w:r>
        <w:rPr>
          <w:color w:val="231F20"/>
        </w:rPr>
        <w:t>‘unevenness’,</w:t>
      </w:r>
      <w:r>
        <w:rPr>
          <w:color w:val="231F20"/>
          <w:spacing w:val="36"/>
        </w:rPr>
        <w:t xml:space="preserve"> </w:t>
      </w:r>
      <w:r>
        <w:rPr>
          <w:color w:val="231F20"/>
        </w:rPr>
        <w:t xml:space="preserve">it is more difficult to understand local or national experiences without reference to these global flows. Every aspect </w:t>
      </w:r>
      <w:r>
        <w:rPr>
          <w:color w:val="231F20"/>
        </w:rPr>
        <w:t xml:space="preserve">of social reality – people’s living conditions, beliefs, knowledge and actions – is intertwined with </w:t>
      </w:r>
      <w:r>
        <w:rPr>
          <w:color w:val="231F20"/>
          <w:w w:val="95"/>
        </w:rPr>
        <w:t>unfolding globalisation processes. These processes include the emergence</w:t>
      </w:r>
      <w:r>
        <w:rPr>
          <w:color w:val="231F20"/>
          <w:spacing w:val="40"/>
        </w:rPr>
        <w:t xml:space="preserve"> </w:t>
      </w:r>
      <w:r>
        <w:rPr>
          <w:color w:val="231F20"/>
        </w:rPr>
        <w:t>of</w:t>
      </w:r>
      <w:r>
        <w:rPr>
          <w:color w:val="231F20"/>
          <w:spacing w:val="-5"/>
        </w:rPr>
        <w:t xml:space="preserve"> </w:t>
      </w:r>
      <w:r>
        <w:rPr>
          <w:color w:val="231F20"/>
        </w:rPr>
        <w:t>a</w:t>
      </w:r>
      <w:r>
        <w:rPr>
          <w:color w:val="231F20"/>
          <w:spacing w:val="-5"/>
        </w:rPr>
        <w:t xml:space="preserve"> </w:t>
      </w:r>
      <w:r>
        <w:rPr>
          <w:color w:val="231F20"/>
        </w:rPr>
        <w:t>global</w:t>
      </w:r>
      <w:r>
        <w:rPr>
          <w:color w:val="231F20"/>
          <w:spacing w:val="-5"/>
        </w:rPr>
        <w:t xml:space="preserve"> </w:t>
      </w:r>
      <w:r>
        <w:rPr>
          <w:color w:val="231F20"/>
        </w:rPr>
        <w:t>economy,</w:t>
      </w:r>
      <w:r>
        <w:rPr>
          <w:color w:val="231F20"/>
          <w:spacing w:val="-5"/>
        </w:rPr>
        <w:t xml:space="preserve"> </w:t>
      </w:r>
      <w:r>
        <w:rPr>
          <w:color w:val="231F20"/>
        </w:rPr>
        <w:t>a</w:t>
      </w:r>
      <w:r>
        <w:rPr>
          <w:color w:val="231F20"/>
          <w:spacing w:val="-5"/>
        </w:rPr>
        <w:t xml:space="preserve"> </w:t>
      </w:r>
      <w:r>
        <w:rPr>
          <w:color w:val="231F20"/>
        </w:rPr>
        <w:t>transnational</w:t>
      </w:r>
      <w:r>
        <w:rPr>
          <w:color w:val="231F20"/>
          <w:spacing w:val="-5"/>
        </w:rPr>
        <w:t xml:space="preserve"> </w:t>
      </w:r>
      <w:r>
        <w:rPr>
          <w:color w:val="231F20"/>
        </w:rPr>
        <w:t>cosmopolitan</w:t>
      </w:r>
      <w:r>
        <w:rPr>
          <w:color w:val="231F20"/>
          <w:spacing w:val="-5"/>
        </w:rPr>
        <w:t xml:space="preserve"> </w:t>
      </w:r>
      <w:r>
        <w:rPr>
          <w:color w:val="231F20"/>
        </w:rPr>
        <w:t>culture</w:t>
      </w:r>
      <w:r>
        <w:rPr>
          <w:color w:val="231F20"/>
          <w:spacing w:val="-5"/>
        </w:rPr>
        <w:t xml:space="preserve"> </w:t>
      </w:r>
      <w:r>
        <w:rPr>
          <w:color w:val="231F20"/>
        </w:rPr>
        <w:t>and</w:t>
      </w:r>
      <w:r>
        <w:rPr>
          <w:color w:val="231F20"/>
          <w:spacing w:val="-5"/>
        </w:rPr>
        <w:t xml:space="preserve"> </w:t>
      </w:r>
      <w:r>
        <w:rPr>
          <w:color w:val="231F20"/>
        </w:rPr>
        <w:t>a</w:t>
      </w:r>
      <w:r>
        <w:rPr>
          <w:color w:val="231F20"/>
          <w:spacing w:val="-5"/>
        </w:rPr>
        <w:t xml:space="preserve"> </w:t>
      </w:r>
      <w:r>
        <w:rPr>
          <w:color w:val="231F20"/>
        </w:rPr>
        <w:t>range</w:t>
      </w:r>
      <w:r>
        <w:rPr>
          <w:color w:val="231F20"/>
          <w:spacing w:val="-5"/>
        </w:rPr>
        <w:t xml:space="preserve"> </w:t>
      </w:r>
      <w:r>
        <w:rPr>
          <w:color w:val="231F20"/>
        </w:rPr>
        <w:t>of internati</w:t>
      </w:r>
      <w:r>
        <w:rPr>
          <w:color w:val="231F20"/>
        </w:rPr>
        <w:t>onal social movements.</w:t>
      </w:r>
    </w:p>
    <w:p w14:paraId="0837BE7D" w14:textId="77777777" w:rsidR="00AE0598" w:rsidRDefault="00AE0598">
      <w:pPr>
        <w:spacing w:line="232" w:lineRule="auto"/>
        <w:jc w:val="both"/>
        <w:sectPr w:rsidR="00AE0598">
          <w:pgSz w:w="8850" w:h="13270"/>
          <w:pgMar w:top="720" w:right="1060" w:bottom="280" w:left="1080" w:header="720" w:footer="720" w:gutter="0"/>
          <w:cols w:space="720"/>
        </w:sectPr>
      </w:pPr>
    </w:p>
    <w:p w14:paraId="5D9364ED" w14:textId="6264454C" w:rsidR="00AE0598" w:rsidRDefault="0069255A">
      <w:pPr>
        <w:spacing w:before="87"/>
        <w:ind w:left="108"/>
        <w:rPr>
          <w:rFonts w:ascii="Trebuchet MS"/>
          <w:sz w:val="14"/>
        </w:rPr>
      </w:pPr>
      <w:r>
        <w:rPr>
          <w:noProof/>
        </w:rPr>
        <w:lastRenderedPageBreak/>
        <mc:AlternateContent>
          <mc:Choice Requires="wps">
            <w:drawing>
              <wp:anchor distT="0" distB="0" distL="114300" distR="114300" simplePos="0" relativeHeight="483696128" behindDoc="1" locked="0" layoutInCell="1" allowOverlap="1" wp14:anchorId="770E5FF2" wp14:editId="7E5A1F00">
                <wp:simplePos x="0" y="0"/>
                <wp:positionH relativeFrom="page">
                  <wp:posOffset>755650</wp:posOffset>
                </wp:positionH>
                <wp:positionV relativeFrom="page">
                  <wp:posOffset>838200</wp:posOffset>
                </wp:positionV>
                <wp:extent cx="4104005" cy="6813550"/>
                <wp:effectExtent l="0" t="0" r="0" b="0"/>
                <wp:wrapNone/>
                <wp:docPr id="233" name="docshape1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04005" cy="6813550"/>
                        </a:xfrm>
                        <a:prstGeom prst="rect">
                          <a:avLst/>
                        </a:prstGeom>
                        <a:solidFill>
                          <a:srgbClr val="DCDDD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6EE634" id="docshape141" o:spid="_x0000_s1026" style="position:absolute;margin-left:59.5pt;margin-top:66pt;width:323.15pt;height:536.5pt;z-index:-196203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" fillcolor="#dcddde" stroked="f">
                <w10:wrap anchorx="page" anchory="page"/>
              </v:rect>
            </w:pict>
          </mc:Fallback>
        </mc:AlternateContent>
      </w:r>
      <w:r>
        <w:rPr>
          <w:rFonts w:ascii="Trebuchet MS"/>
          <w:color w:val="231F20"/>
          <w:w w:val="105"/>
          <w:sz w:val="14"/>
        </w:rPr>
        <w:t>76</w:t>
      </w:r>
      <w:r>
        <w:rPr>
          <w:rFonts w:ascii="Trebuchet MS"/>
          <w:color w:val="231F20"/>
          <w:spacing w:val="64"/>
          <w:w w:val="150"/>
          <w:sz w:val="14"/>
        </w:rPr>
        <w:t xml:space="preserve"> </w:t>
      </w:r>
      <w:r>
        <w:rPr>
          <w:rFonts w:ascii="Trebuchet MS"/>
          <w:color w:val="231F20"/>
          <w:w w:val="105"/>
          <w:sz w:val="14"/>
        </w:rPr>
        <w:t>Part</w:t>
      </w:r>
      <w:r>
        <w:rPr>
          <w:rFonts w:ascii="Trebuchet MS"/>
          <w:color w:val="231F20"/>
          <w:spacing w:val="-9"/>
          <w:w w:val="105"/>
          <w:sz w:val="14"/>
        </w:rPr>
        <w:t xml:space="preserve"> </w:t>
      </w:r>
      <w:r>
        <w:rPr>
          <w:rFonts w:ascii="Trebuchet MS"/>
          <w:color w:val="231F20"/>
          <w:w w:val="105"/>
          <w:sz w:val="14"/>
        </w:rPr>
        <w:t>2:</w:t>
      </w:r>
      <w:r>
        <w:rPr>
          <w:rFonts w:ascii="Trebuchet MS"/>
          <w:color w:val="231F20"/>
          <w:spacing w:val="-9"/>
          <w:w w:val="105"/>
          <w:sz w:val="14"/>
        </w:rPr>
        <w:t xml:space="preserve"> </w:t>
      </w:r>
      <w:r>
        <w:rPr>
          <w:rFonts w:ascii="Trebuchet MS"/>
          <w:color w:val="231F20"/>
          <w:w w:val="105"/>
          <w:sz w:val="14"/>
        </w:rPr>
        <w:t>Foundations</w:t>
      </w:r>
      <w:r>
        <w:rPr>
          <w:rFonts w:ascii="Trebuchet MS"/>
          <w:color w:val="231F20"/>
          <w:spacing w:val="-9"/>
          <w:w w:val="105"/>
          <w:sz w:val="14"/>
        </w:rPr>
        <w:t xml:space="preserve"> </w:t>
      </w:r>
      <w:r>
        <w:rPr>
          <w:rFonts w:ascii="Trebuchet MS"/>
          <w:color w:val="231F20"/>
          <w:w w:val="105"/>
          <w:sz w:val="14"/>
        </w:rPr>
        <w:t>of</w:t>
      </w:r>
      <w:r>
        <w:rPr>
          <w:rFonts w:ascii="Trebuchet MS"/>
          <w:color w:val="231F20"/>
          <w:spacing w:val="-9"/>
          <w:w w:val="105"/>
          <w:sz w:val="14"/>
        </w:rPr>
        <w:t xml:space="preserve"> </w:t>
      </w:r>
      <w:r>
        <w:rPr>
          <w:rFonts w:ascii="Trebuchet MS"/>
          <w:color w:val="231F20"/>
          <w:w w:val="105"/>
          <w:sz w:val="14"/>
        </w:rPr>
        <w:t>Sport</w:t>
      </w:r>
      <w:r>
        <w:rPr>
          <w:rFonts w:ascii="Trebuchet MS"/>
          <w:color w:val="231F20"/>
          <w:spacing w:val="-9"/>
          <w:w w:val="105"/>
          <w:sz w:val="14"/>
        </w:rPr>
        <w:t xml:space="preserve"> </w:t>
      </w:r>
      <w:r>
        <w:rPr>
          <w:rFonts w:ascii="Trebuchet MS"/>
          <w:color w:val="231F20"/>
          <w:w w:val="105"/>
          <w:sz w:val="14"/>
        </w:rPr>
        <w:t>Tourism</w:t>
      </w:r>
      <w:r>
        <w:rPr>
          <w:rFonts w:ascii="Trebuchet MS"/>
          <w:color w:val="231F20"/>
          <w:spacing w:val="-9"/>
          <w:w w:val="105"/>
          <w:sz w:val="14"/>
        </w:rPr>
        <w:t xml:space="preserve"> </w:t>
      </w:r>
      <w:r>
        <w:rPr>
          <w:rFonts w:ascii="Trebuchet MS"/>
          <w:color w:val="231F20"/>
          <w:spacing w:val="-2"/>
          <w:w w:val="105"/>
          <w:sz w:val="14"/>
        </w:rPr>
        <w:t>Development</w:t>
      </w:r>
    </w:p>
    <w:p w14:paraId="7A93B5AE" w14:textId="77777777" w:rsidR="00AE0598" w:rsidRDefault="00AE0598">
      <w:pPr>
        <w:pStyle w:val="Corpodetexto"/>
        <w:spacing w:before="2"/>
        <w:rPr>
          <w:rFonts w:ascii="Trebuchet MS"/>
          <w:sz w:val="28"/>
        </w:rPr>
      </w:pPr>
    </w:p>
    <w:p w14:paraId="0FADCF65" w14:textId="77777777" w:rsidR="00AE0598" w:rsidRDefault="0069255A">
      <w:pPr>
        <w:spacing w:before="99" w:line="247" w:lineRule="auto"/>
        <w:ind w:left="230"/>
        <w:rPr>
          <w:rFonts w:ascii="Trebuchet MS" w:hAnsi="Trebuchet MS"/>
          <w:sz w:val="20"/>
        </w:rPr>
      </w:pPr>
      <w:r>
        <w:rPr>
          <w:rFonts w:ascii="Trebuchet MS" w:hAnsi="Trebuchet MS"/>
          <w:color w:val="231F20"/>
          <w:w w:val="105"/>
          <w:sz w:val="20"/>
        </w:rPr>
        <w:t>Case</w:t>
      </w:r>
      <w:r>
        <w:rPr>
          <w:rFonts w:ascii="Trebuchet MS" w:hAnsi="Trebuchet MS"/>
          <w:color w:val="231F20"/>
          <w:spacing w:val="-1"/>
          <w:w w:val="105"/>
          <w:sz w:val="20"/>
        </w:rPr>
        <w:t xml:space="preserve"> </w:t>
      </w:r>
      <w:r>
        <w:rPr>
          <w:rFonts w:ascii="Trebuchet MS" w:hAnsi="Trebuchet MS"/>
          <w:color w:val="231F20"/>
          <w:w w:val="105"/>
          <w:sz w:val="20"/>
        </w:rPr>
        <w:t>Study</w:t>
      </w:r>
      <w:r>
        <w:rPr>
          <w:rFonts w:ascii="Trebuchet MS" w:hAnsi="Trebuchet MS"/>
          <w:color w:val="231F20"/>
          <w:spacing w:val="-1"/>
          <w:w w:val="105"/>
          <w:sz w:val="20"/>
        </w:rPr>
        <w:t xml:space="preserve"> </w:t>
      </w:r>
      <w:r>
        <w:rPr>
          <w:rFonts w:ascii="Trebuchet MS" w:hAnsi="Trebuchet MS"/>
          <w:color w:val="231F20"/>
          <w:w w:val="105"/>
          <w:sz w:val="20"/>
        </w:rPr>
        <w:t>4.1:</w:t>
      </w:r>
      <w:r>
        <w:rPr>
          <w:rFonts w:ascii="Trebuchet MS" w:hAnsi="Trebuchet MS"/>
          <w:color w:val="231F20"/>
          <w:spacing w:val="-1"/>
          <w:w w:val="105"/>
          <w:sz w:val="20"/>
        </w:rPr>
        <w:t xml:space="preserve"> </w:t>
      </w:r>
      <w:r>
        <w:rPr>
          <w:rFonts w:ascii="Trebuchet MS" w:hAnsi="Trebuchet MS"/>
          <w:color w:val="231F20"/>
          <w:w w:val="105"/>
          <w:sz w:val="20"/>
        </w:rPr>
        <w:t>Leveraging</w:t>
      </w:r>
      <w:r>
        <w:rPr>
          <w:rFonts w:ascii="Trebuchet MS" w:hAnsi="Trebuchet MS"/>
          <w:color w:val="231F20"/>
          <w:spacing w:val="-1"/>
          <w:w w:val="105"/>
          <w:sz w:val="20"/>
        </w:rPr>
        <w:t xml:space="preserve"> </w:t>
      </w:r>
      <w:r>
        <w:rPr>
          <w:rFonts w:ascii="Trebuchet MS" w:hAnsi="Trebuchet MS"/>
          <w:color w:val="231F20"/>
          <w:w w:val="105"/>
          <w:sz w:val="20"/>
        </w:rPr>
        <w:t>Sport</w:t>
      </w:r>
      <w:r>
        <w:rPr>
          <w:rFonts w:ascii="Trebuchet MS" w:hAnsi="Trebuchet MS"/>
          <w:color w:val="231F20"/>
          <w:spacing w:val="-1"/>
          <w:w w:val="105"/>
          <w:sz w:val="20"/>
        </w:rPr>
        <w:t xml:space="preserve"> </w:t>
      </w:r>
      <w:r>
        <w:rPr>
          <w:rFonts w:ascii="Trebuchet MS" w:hAnsi="Trebuchet MS"/>
          <w:color w:val="231F20"/>
          <w:w w:val="105"/>
          <w:sz w:val="20"/>
        </w:rPr>
        <w:t>Tourism</w:t>
      </w:r>
      <w:r>
        <w:rPr>
          <w:rFonts w:ascii="Trebuchet MS" w:hAnsi="Trebuchet MS"/>
          <w:color w:val="231F20"/>
          <w:spacing w:val="-1"/>
          <w:w w:val="105"/>
          <w:sz w:val="20"/>
        </w:rPr>
        <w:t xml:space="preserve"> </w:t>
      </w:r>
      <w:r>
        <w:rPr>
          <w:rFonts w:ascii="Trebuchet MS" w:hAnsi="Trebuchet MS"/>
          <w:color w:val="231F20"/>
          <w:w w:val="105"/>
          <w:sz w:val="20"/>
        </w:rPr>
        <w:t>Events</w:t>
      </w:r>
      <w:r>
        <w:rPr>
          <w:rFonts w:ascii="Trebuchet MS" w:hAnsi="Trebuchet MS"/>
          <w:color w:val="231F20"/>
          <w:spacing w:val="-1"/>
          <w:w w:val="105"/>
          <w:sz w:val="20"/>
        </w:rPr>
        <w:t xml:space="preserve"> </w:t>
      </w:r>
      <w:r>
        <w:rPr>
          <w:rFonts w:ascii="Trebuchet MS" w:hAnsi="Trebuchet MS"/>
          <w:color w:val="231F20"/>
          <w:w w:val="105"/>
          <w:sz w:val="20"/>
        </w:rPr>
        <w:t>as</w:t>
      </w:r>
      <w:r>
        <w:rPr>
          <w:rFonts w:ascii="Trebuchet MS" w:hAnsi="Trebuchet MS"/>
          <w:color w:val="231F20"/>
          <w:spacing w:val="-1"/>
          <w:w w:val="105"/>
          <w:sz w:val="20"/>
        </w:rPr>
        <w:t xml:space="preserve"> </w:t>
      </w:r>
      <w:r>
        <w:rPr>
          <w:rFonts w:ascii="Trebuchet MS" w:hAnsi="Trebuchet MS"/>
          <w:color w:val="231F20"/>
          <w:w w:val="105"/>
          <w:sz w:val="20"/>
        </w:rPr>
        <w:t>Catalysts</w:t>
      </w:r>
      <w:r>
        <w:rPr>
          <w:rFonts w:ascii="Trebuchet MS" w:hAnsi="Trebuchet MS"/>
          <w:color w:val="231F20"/>
          <w:spacing w:val="-1"/>
          <w:w w:val="105"/>
          <w:sz w:val="20"/>
        </w:rPr>
        <w:t xml:space="preserve"> </w:t>
      </w:r>
      <w:r>
        <w:rPr>
          <w:rFonts w:ascii="Trebuchet MS" w:hAnsi="Trebuchet MS"/>
          <w:color w:val="231F20"/>
          <w:w w:val="105"/>
          <w:sz w:val="20"/>
        </w:rPr>
        <w:t>for Sustainable</w:t>
      </w:r>
      <w:r>
        <w:rPr>
          <w:rFonts w:ascii="Trebuchet MS" w:hAnsi="Trebuchet MS"/>
          <w:color w:val="231F20"/>
          <w:spacing w:val="-4"/>
          <w:w w:val="105"/>
          <w:sz w:val="20"/>
        </w:rPr>
        <w:t xml:space="preserve"> </w:t>
      </w:r>
      <w:r>
        <w:rPr>
          <w:rFonts w:ascii="Trebuchet MS" w:hAnsi="Trebuchet MS"/>
          <w:color w:val="231F20"/>
          <w:w w:val="105"/>
          <w:sz w:val="20"/>
        </w:rPr>
        <w:t>Place</w:t>
      </w:r>
      <w:r>
        <w:rPr>
          <w:rFonts w:ascii="Trebuchet MS" w:hAnsi="Trebuchet MS"/>
          <w:color w:val="231F20"/>
          <w:spacing w:val="-4"/>
          <w:w w:val="105"/>
          <w:sz w:val="20"/>
        </w:rPr>
        <w:t xml:space="preserve"> </w:t>
      </w:r>
      <w:r>
        <w:rPr>
          <w:rFonts w:ascii="Trebuchet MS" w:hAnsi="Trebuchet MS"/>
          <w:color w:val="231F20"/>
          <w:w w:val="105"/>
          <w:sz w:val="20"/>
        </w:rPr>
        <w:t>Brand</w:t>
      </w:r>
      <w:r>
        <w:rPr>
          <w:rFonts w:ascii="Trebuchet MS" w:hAnsi="Trebuchet MS"/>
          <w:color w:val="231F20"/>
          <w:spacing w:val="-4"/>
          <w:w w:val="105"/>
          <w:sz w:val="20"/>
        </w:rPr>
        <w:t xml:space="preserve"> </w:t>
      </w:r>
      <w:r>
        <w:rPr>
          <w:rFonts w:ascii="Trebuchet MS" w:hAnsi="Trebuchet MS"/>
          <w:color w:val="231F20"/>
          <w:w w:val="105"/>
          <w:sz w:val="20"/>
        </w:rPr>
        <w:t>Development</w:t>
      </w:r>
      <w:r>
        <w:rPr>
          <w:rFonts w:ascii="Trebuchet MS" w:hAnsi="Trebuchet MS"/>
          <w:color w:val="231F20"/>
          <w:spacing w:val="-4"/>
          <w:w w:val="105"/>
          <w:sz w:val="20"/>
        </w:rPr>
        <w:t xml:space="preserve"> </w:t>
      </w:r>
      <w:r>
        <w:rPr>
          <w:rFonts w:ascii="Trebuchet MS" w:hAnsi="Trebuchet MS"/>
          <w:color w:val="231F20"/>
          <w:w w:val="105"/>
          <w:sz w:val="20"/>
        </w:rPr>
        <w:t>–</w:t>
      </w:r>
      <w:r>
        <w:rPr>
          <w:rFonts w:ascii="Trebuchet MS" w:hAnsi="Trebuchet MS"/>
          <w:color w:val="231F20"/>
          <w:spacing w:val="-4"/>
          <w:w w:val="105"/>
          <w:sz w:val="20"/>
        </w:rPr>
        <w:t xml:space="preserve"> </w:t>
      </w:r>
      <w:r>
        <w:rPr>
          <w:rFonts w:ascii="Trebuchet MS" w:hAnsi="Trebuchet MS"/>
          <w:color w:val="231F20"/>
          <w:w w:val="105"/>
          <w:sz w:val="20"/>
        </w:rPr>
        <w:t>South</w:t>
      </w:r>
      <w:r>
        <w:rPr>
          <w:rFonts w:ascii="Trebuchet MS" w:hAnsi="Trebuchet MS"/>
          <w:color w:val="231F20"/>
          <w:spacing w:val="-4"/>
          <w:w w:val="105"/>
          <w:sz w:val="20"/>
        </w:rPr>
        <w:t xml:space="preserve"> </w:t>
      </w:r>
      <w:r>
        <w:rPr>
          <w:rFonts w:ascii="Trebuchet MS" w:hAnsi="Trebuchet MS"/>
          <w:color w:val="231F20"/>
          <w:w w:val="105"/>
          <w:sz w:val="20"/>
        </w:rPr>
        <w:t>Africa</w:t>
      </w:r>
      <w:r>
        <w:rPr>
          <w:rFonts w:ascii="Trebuchet MS" w:hAnsi="Trebuchet MS"/>
          <w:color w:val="231F20"/>
          <w:spacing w:val="-4"/>
          <w:w w:val="105"/>
          <w:sz w:val="20"/>
        </w:rPr>
        <w:t xml:space="preserve"> </w:t>
      </w:r>
      <w:r>
        <w:rPr>
          <w:rFonts w:ascii="Trebuchet MS" w:hAnsi="Trebuchet MS"/>
          <w:color w:val="231F20"/>
          <w:w w:val="105"/>
          <w:sz w:val="20"/>
        </w:rPr>
        <w:t>and</w:t>
      </w:r>
      <w:r>
        <w:rPr>
          <w:rFonts w:ascii="Trebuchet MS" w:hAnsi="Trebuchet MS"/>
          <w:color w:val="231F20"/>
          <w:spacing w:val="-4"/>
          <w:w w:val="105"/>
          <w:sz w:val="20"/>
        </w:rPr>
        <w:t xml:space="preserve"> </w:t>
      </w:r>
      <w:r>
        <w:rPr>
          <w:rFonts w:ascii="Trebuchet MS" w:hAnsi="Trebuchet MS"/>
          <w:color w:val="231F20"/>
          <w:w w:val="105"/>
          <w:sz w:val="20"/>
        </w:rPr>
        <w:t>the</w:t>
      </w:r>
      <w:r>
        <w:rPr>
          <w:rFonts w:ascii="Trebuchet MS" w:hAnsi="Trebuchet MS"/>
          <w:color w:val="231F20"/>
          <w:spacing w:val="-4"/>
          <w:w w:val="105"/>
          <w:sz w:val="20"/>
        </w:rPr>
        <w:t xml:space="preserve"> </w:t>
      </w:r>
      <w:r>
        <w:rPr>
          <w:rFonts w:ascii="Trebuchet MS" w:hAnsi="Trebuchet MS"/>
          <w:color w:val="231F20"/>
          <w:w w:val="105"/>
          <w:sz w:val="20"/>
        </w:rPr>
        <w:t>2010 FIFA World Cup</w:t>
      </w:r>
    </w:p>
    <w:p w14:paraId="19FA20D9" w14:textId="77777777" w:rsidR="00AE0598" w:rsidRDefault="0069255A">
      <w:pPr>
        <w:pStyle w:val="Corpodetexto"/>
        <w:spacing w:before="111"/>
        <w:ind w:left="230"/>
        <w:jc w:val="both"/>
      </w:pPr>
      <w:r>
        <w:rPr>
          <w:color w:val="231F20"/>
          <w:w w:val="95"/>
        </w:rPr>
        <w:t>Brendon</w:t>
      </w:r>
      <w:r>
        <w:rPr>
          <w:color w:val="231F20"/>
          <w:spacing w:val="21"/>
        </w:rPr>
        <w:t xml:space="preserve"> </w:t>
      </w:r>
      <w:r>
        <w:rPr>
          <w:color w:val="231F20"/>
          <w:w w:val="95"/>
        </w:rPr>
        <w:t>Knott,</w:t>
      </w:r>
      <w:r>
        <w:rPr>
          <w:color w:val="231F20"/>
          <w:spacing w:val="21"/>
        </w:rPr>
        <w:t xml:space="preserve"> </w:t>
      </w:r>
      <w:r>
        <w:rPr>
          <w:color w:val="231F20"/>
          <w:w w:val="95"/>
        </w:rPr>
        <w:t>Cape</w:t>
      </w:r>
      <w:r>
        <w:rPr>
          <w:color w:val="231F20"/>
          <w:spacing w:val="21"/>
        </w:rPr>
        <w:t xml:space="preserve"> </w:t>
      </w:r>
      <w:r>
        <w:rPr>
          <w:color w:val="231F20"/>
          <w:w w:val="95"/>
        </w:rPr>
        <w:t>Peninsula</w:t>
      </w:r>
      <w:r>
        <w:rPr>
          <w:color w:val="231F20"/>
          <w:spacing w:val="21"/>
        </w:rPr>
        <w:t xml:space="preserve"> </w:t>
      </w:r>
      <w:r>
        <w:rPr>
          <w:color w:val="231F20"/>
          <w:w w:val="95"/>
        </w:rPr>
        <w:t>University</w:t>
      </w:r>
      <w:r>
        <w:rPr>
          <w:color w:val="231F20"/>
          <w:spacing w:val="21"/>
        </w:rPr>
        <w:t xml:space="preserve"> </w:t>
      </w:r>
      <w:r>
        <w:rPr>
          <w:color w:val="231F20"/>
          <w:w w:val="95"/>
        </w:rPr>
        <w:t>of</w:t>
      </w:r>
      <w:r>
        <w:rPr>
          <w:color w:val="231F20"/>
          <w:spacing w:val="21"/>
        </w:rPr>
        <w:t xml:space="preserve"> </w:t>
      </w:r>
      <w:r>
        <w:rPr>
          <w:color w:val="231F20"/>
          <w:spacing w:val="-2"/>
          <w:w w:val="95"/>
        </w:rPr>
        <w:t>Technology</w:t>
      </w:r>
    </w:p>
    <w:p w14:paraId="2BCADF6D" w14:textId="77777777" w:rsidR="00AE0598" w:rsidRDefault="0069255A">
      <w:pPr>
        <w:pStyle w:val="Corpodetexto"/>
        <w:spacing w:before="120" w:line="232" w:lineRule="auto"/>
        <w:ind w:left="230" w:right="247" w:firstLine="320"/>
        <w:jc w:val="both"/>
      </w:pPr>
      <w:r>
        <w:rPr>
          <w:color w:val="231F20"/>
        </w:rPr>
        <w:t xml:space="preserve">Sport tourism events have been frequently coupled with urban </w:t>
      </w:r>
      <w:r>
        <w:rPr>
          <w:color w:val="231F20"/>
          <w:w w:val="95"/>
        </w:rPr>
        <w:t>regeneration</w:t>
      </w:r>
      <w:r>
        <w:rPr>
          <w:color w:val="231F20"/>
          <w:spacing w:val="-7"/>
          <w:w w:val="95"/>
        </w:rPr>
        <w:t xml:space="preserve"> </w:t>
      </w:r>
      <w:r>
        <w:rPr>
          <w:color w:val="231F20"/>
          <w:w w:val="95"/>
        </w:rPr>
        <w:t>and</w:t>
      </w:r>
      <w:r>
        <w:rPr>
          <w:color w:val="231F20"/>
          <w:spacing w:val="-6"/>
          <w:w w:val="95"/>
        </w:rPr>
        <w:t xml:space="preserve"> </w:t>
      </w:r>
      <w:r>
        <w:rPr>
          <w:color w:val="231F20"/>
          <w:w w:val="95"/>
        </w:rPr>
        <w:t>event-linked</w:t>
      </w:r>
      <w:r>
        <w:rPr>
          <w:color w:val="231F20"/>
          <w:spacing w:val="-7"/>
          <w:w w:val="95"/>
        </w:rPr>
        <w:t xml:space="preserve"> </w:t>
      </w:r>
      <w:r>
        <w:rPr>
          <w:color w:val="231F20"/>
          <w:w w:val="95"/>
        </w:rPr>
        <w:t>or</w:t>
      </w:r>
      <w:r>
        <w:rPr>
          <w:color w:val="231F20"/>
          <w:spacing w:val="-7"/>
          <w:w w:val="95"/>
        </w:rPr>
        <w:t xml:space="preserve"> </w:t>
      </w:r>
      <w:r>
        <w:rPr>
          <w:color w:val="231F20"/>
          <w:w w:val="95"/>
        </w:rPr>
        <w:t>event-themed</w:t>
      </w:r>
      <w:r>
        <w:rPr>
          <w:color w:val="231F20"/>
          <w:spacing w:val="-7"/>
          <w:w w:val="95"/>
        </w:rPr>
        <w:t xml:space="preserve"> </w:t>
      </w:r>
      <w:r>
        <w:rPr>
          <w:color w:val="231F20"/>
          <w:w w:val="95"/>
        </w:rPr>
        <w:t>sustainable</w:t>
      </w:r>
      <w:r>
        <w:rPr>
          <w:color w:val="231F20"/>
          <w:spacing w:val="-6"/>
          <w:w w:val="95"/>
        </w:rPr>
        <w:t xml:space="preserve"> </w:t>
      </w:r>
      <w:r>
        <w:rPr>
          <w:color w:val="231F20"/>
          <w:w w:val="95"/>
        </w:rPr>
        <w:t xml:space="preserve">development </w:t>
      </w:r>
      <w:r>
        <w:rPr>
          <w:color w:val="231F20"/>
        </w:rPr>
        <w:t>projects. Beyond tourism benefits such as improving accommodation capacity</w:t>
      </w:r>
      <w:r>
        <w:rPr>
          <w:color w:val="231F20"/>
          <w:spacing w:val="40"/>
        </w:rPr>
        <w:t xml:space="preserve"> </w:t>
      </w:r>
      <w:r>
        <w:rPr>
          <w:color w:val="231F20"/>
        </w:rPr>
        <w:t>and</w:t>
      </w:r>
      <w:r>
        <w:rPr>
          <w:color w:val="231F20"/>
          <w:spacing w:val="40"/>
        </w:rPr>
        <w:t xml:space="preserve"> </w:t>
      </w:r>
      <w:r>
        <w:rPr>
          <w:color w:val="231F20"/>
        </w:rPr>
        <w:t>servic</w:t>
      </w:r>
      <w:r>
        <w:rPr>
          <w:color w:val="231F20"/>
        </w:rPr>
        <w:t>e</w:t>
      </w:r>
      <w:r>
        <w:rPr>
          <w:color w:val="231F20"/>
          <w:spacing w:val="40"/>
        </w:rPr>
        <w:t xml:space="preserve"> </w:t>
      </w:r>
      <w:r>
        <w:rPr>
          <w:color w:val="231F20"/>
        </w:rPr>
        <w:t>delivery,</w:t>
      </w:r>
      <w:r>
        <w:rPr>
          <w:color w:val="231F20"/>
          <w:spacing w:val="40"/>
        </w:rPr>
        <w:t xml:space="preserve"> </w:t>
      </w:r>
      <w:r>
        <w:rPr>
          <w:color w:val="231F20"/>
        </w:rPr>
        <w:t>these</w:t>
      </w:r>
      <w:r>
        <w:rPr>
          <w:color w:val="231F20"/>
          <w:spacing w:val="40"/>
        </w:rPr>
        <w:t xml:space="preserve"> </w:t>
      </w:r>
      <w:r>
        <w:rPr>
          <w:color w:val="231F20"/>
        </w:rPr>
        <w:t>investments</w:t>
      </w:r>
      <w:r>
        <w:rPr>
          <w:color w:val="231F20"/>
          <w:spacing w:val="40"/>
        </w:rPr>
        <w:t xml:space="preserve"> </w:t>
      </w:r>
      <w:r>
        <w:rPr>
          <w:color w:val="231F20"/>
        </w:rPr>
        <w:t>are</w:t>
      </w:r>
      <w:r>
        <w:rPr>
          <w:color w:val="231F20"/>
          <w:spacing w:val="40"/>
        </w:rPr>
        <w:t xml:space="preserve"> </w:t>
      </w:r>
      <w:r>
        <w:rPr>
          <w:color w:val="231F20"/>
        </w:rPr>
        <w:t>often</w:t>
      </w:r>
      <w:r>
        <w:rPr>
          <w:color w:val="231F20"/>
          <w:spacing w:val="40"/>
        </w:rPr>
        <w:t xml:space="preserve"> </w:t>
      </w:r>
      <w:r>
        <w:rPr>
          <w:color w:val="231F20"/>
        </w:rPr>
        <w:t>aimed at signalling or reinforcing a nation’s event hosting and project management</w:t>
      </w:r>
      <w:r>
        <w:rPr>
          <w:color w:val="231F20"/>
          <w:spacing w:val="40"/>
        </w:rPr>
        <w:t xml:space="preserve"> </w:t>
      </w:r>
      <w:r>
        <w:rPr>
          <w:color w:val="231F20"/>
        </w:rPr>
        <w:t>capability</w:t>
      </w:r>
      <w:r>
        <w:rPr>
          <w:color w:val="231F20"/>
          <w:spacing w:val="40"/>
        </w:rPr>
        <w:t xml:space="preserve"> </w:t>
      </w:r>
      <w:r>
        <w:rPr>
          <w:color w:val="231F20"/>
        </w:rPr>
        <w:t>and</w:t>
      </w:r>
      <w:r>
        <w:rPr>
          <w:color w:val="231F20"/>
          <w:spacing w:val="40"/>
        </w:rPr>
        <w:t xml:space="preserve"> </w:t>
      </w:r>
      <w:r>
        <w:rPr>
          <w:color w:val="231F20"/>
        </w:rPr>
        <w:t>enhancing</w:t>
      </w:r>
      <w:r>
        <w:rPr>
          <w:color w:val="231F20"/>
          <w:spacing w:val="40"/>
        </w:rPr>
        <w:t xml:space="preserve"> </w:t>
      </w:r>
      <w:r>
        <w:rPr>
          <w:color w:val="231F20"/>
        </w:rPr>
        <w:t>its</w:t>
      </w:r>
      <w:r>
        <w:rPr>
          <w:color w:val="231F20"/>
          <w:spacing w:val="40"/>
        </w:rPr>
        <w:t xml:space="preserve"> </w:t>
      </w:r>
      <w:r>
        <w:rPr>
          <w:color w:val="231F20"/>
        </w:rPr>
        <w:t>global</w:t>
      </w:r>
      <w:r>
        <w:rPr>
          <w:color w:val="231F20"/>
          <w:spacing w:val="40"/>
        </w:rPr>
        <w:t xml:space="preserve"> </w:t>
      </w:r>
      <w:r>
        <w:rPr>
          <w:color w:val="231F20"/>
        </w:rPr>
        <w:t>reputation.</w:t>
      </w:r>
      <w:r>
        <w:rPr>
          <w:color w:val="231F20"/>
          <w:spacing w:val="40"/>
        </w:rPr>
        <w:t xml:space="preserve"> </w:t>
      </w:r>
      <w:r>
        <w:rPr>
          <w:color w:val="231F20"/>
        </w:rPr>
        <w:t>This has</w:t>
      </w:r>
      <w:r>
        <w:rPr>
          <w:color w:val="231F20"/>
          <w:spacing w:val="-1"/>
        </w:rPr>
        <w:t xml:space="preserve"> </w:t>
      </w:r>
      <w:r>
        <w:rPr>
          <w:color w:val="231F20"/>
        </w:rPr>
        <w:t>been</w:t>
      </w:r>
      <w:r>
        <w:rPr>
          <w:color w:val="231F20"/>
          <w:spacing w:val="-1"/>
        </w:rPr>
        <w:t xml:space="preserve"> </w:t>
      </w:r>
      <w:r>
        <w:rPr>
          <w:color w:val="231F20"/>
        </w:rPr>
        <w:t>particularly</w:t>
      </w:r>
      <w:r>
        <w:rPr>
          <w:color w:val="231F20"/>
          <w:spacing w:val="-1"/>
        </w:rPr>
        <w:t xml:space="preserve"> </w:t>
      </w:r>
      <w:r>
        <w:rPr>
          <w:color w:val="231F20"/>
        </w:rPr>
        <w:t>true</w:t>
      </w:r>
      <w:r>
        <w:rPr>
          <w:color w:val="231F20"/>
          <w:spacing w:val="-1"/>
        </w:rPr>
        <w:t xml:space="preserve"> </w:t>
      </w:r>
      <w:r>
        <w:rPr>
          <w:color w:val="231F20"/>
        </w:rPr>
        <w:t>among</w:t>
      </w:r>
      <w:r>
        <w:rPr>
          <w:color w:val="231F20"/>
          <w:spacing w:val="-1"/>
        </w:rPr>
        <w:t xml:space="preserve"> </w:t>
      </w:r>
      <w:r>
        <w:rPr>
          <w:color w:val="231F20"/>
        </w:rPr>
        <w:t>emerging</w:t>
      </w:r>
      <w:r>
        <w:rPr>
          <w:color w:val="231F20"/>
          <w:spacing w:val="-1"/>
        </w:rPr>
        <w:t xml:space="preserve"> </w:t>
      </w:r>
      <w:r>
        <w:rPr>
          <w:color w:val="231F20"/>
        </w:rPr>
        <w:t>nations,</w:t>
      </w:r>
      <w:r>
        <w:rPr>
          <w:color w:val="231F20"/>
          <w:spacing w:val="-1"/>
        </w:rPr>
        <w:t xml:space="preserve"> </w:t>
      </w:r>
      <w:r>
        <w:rPr>
          <w:color w:val="231F20"/>
        </w:rPr>
        <w:t>which</w:t>
      </w:r>
      <w:r>
        <w:rPr>
          <w:color w:val="231F20"/>
          <w:spacing w:val="-1"/>
        </w:rPr>
        <w:t xml:space="preserve"> </w:t>
      </w:r>
      <w:r>
        <w:rPr>
          <w:color w:val="231F20"/>
        </w:rPr>
        <w:t>have</w:t>
      </w:r>
      <w:r>
        <w:rPr>
          <w:color w:val="231F20"/>
          <w:spacing w:val="-1"/>
        </w:rPr>
        <w:t xml:space="preserve"> </w:t>
      </w:r>
      <w:r>
        <w:rPr>
          <w:color w:val="231F20"/>
        </w:rPr>
        <w:t xml:space="preserve">often </w:t>
      </w:r>
      <w:r>
        <w:rPr>
          <w:color w:val="231F20"/>
          <w:w w:val="95"/>
        </w:rPr>
        <w:t>pursued</w:t>
      </w:r>
      <w:r>
        <w:rPr>
          <w:color w:val="231F20"/>
        </w:rPr>
        <w:t xml:space="preserve"> </w:t>
      </w:r>
      <w:r>
        <w:rPr>
          <w:color w:val="231F20"/>
          <w:w w:val="95"/>
        </w:rPr>
        <w:t>mega-events</w:t>
      </w:r>
      <w:r>
        <w:rPr>
          <w:color w:val="231F20"/>
        </w:rPr>
        <w:t xml:space="preserve"> </w:t>
      </w:r>
      <w:r>
        <w:rPr>
          <w:color w:val="231F20"/>
          <w:w w:val="95"/>
        </w:rPr>
        <w:t>to</w:t>
      </w:r>
      <w:r>
        <w:rPr>
          <w:color w:val="231F20"/>
        </w:rPr>
        <w:t xml:space="preserve"> </w:t>
      </w:r>
      <w:r>
        <w:rPr>
          <w:color w:val="231F20"/>
          <w:w w:val="95"/>
        </w:rPr>
        <w:t>enhance</w:t>
      </w:r>
      <w:r>
        <w:rPr>
          <w:color w:val="231F20"/>
        </w:rPr>
        <w:t xml:space="preserve"> </w:t>
      </w:r>
      <w:r>
        <w:rPr>
          <w:color w:val="231F20"/>
          <w:w w:val="95"/>
        </w:rPr>
        <w:t>their</w:t>
      </w:r>
      <w:r>
        <w:rPr>
          <w:color w:val="231F20"/>
        </w:rPr>
        <w:t xml:space="preserve"> </w:t>
      </w:r>
      <w:r>
        <w:rPr>
          <w:color w:val="231F20"/>
          <w:w w:val="95"/>
        </w:rPr>
        <w:t>reputation</w:t>
      </w:r>
      <w:r>
        <w:rPr>
          <w:color w:val="231F20"/>
        </w:rPr>
        <w:t xml:space="preserve"> </w:t>
      </w:r>
      <w:r>
        <w:rPr>
          <w:color w:val="231F20"/>
          <w:w w:val="95"/>
        </w:rPr>
        <w:t>or</w:t>
      </w:r>
      <w:r>
        <w:rPr>
          <w:color w:val="231F20"/>
        </w:rPr>
        <w:t xml:space="preserve"> </w:t>
      </w:r>
      <w:r>
        <w:rPr>
          <w:color w:val="231F20"/>
          <w:w w:val="95"/>
        </w:rPr>
        <w:t>national</w:t>
      </w:r>
      <w:r>
        <w:rPr>
          <w:color w:val="231F20"/>
        </w:rPr>
        <w:t xml:space="preserve"> </w:t>
      </w:r>
      <w:r>
        <w:rPr>
          <w:color w:val="231F20"/>
          <w:w w:val="95"/>
        </w:rPr>
        <w:t>brand</w:t>
      </w:r>
      <w:r>
        <w:rPr>
          <w:color w:val="231F20"/>
        </w:rPr>
        <w:t xml:space="preserve"> </w:t>
      </w:r>
      <w:r>
        <w:rPr>
          <w:color w:val="231F20"/>
          <w:w w:val="95"/>
        </w:rPr>
        <w:t>on</w:t>
      </w:r>
      <w:r>
        <w:rPr>
          <w:color w:val="231F20"/>
          <w:spacing w:val="80"/>
          <w:w w:val="150"/>
        </w:rPr>
        <w:t xml:space="preserve"> </w:t>
      </w:r>
      <w:r>
        <w:rPr>
          <w:color w:val="231F20"/>
        </w:rPr>
        <w:t>a global platform:</w:t>
      </w:r>
    </w:p>
    <w:p w14:paraId="20EA3416" w14:textId="77777777" w:rsidR="00AE0598" w:rsidRDefault="00AE0598">
      <w:pPr>
        <w:pStyle w:val="Corpodetexto"/>
        <w:spacing w:before="7"/>
      </w:pPr>
    </w:p>
    <w:p w14:paraId="53DD0183" w14:textId="77777777" w:rsidR="00AE0598" w:rsidRDefault="0069255A">
      <w:pPr>
        <w:spacing w:before="1" w:line="244" w:lineRule="auto"/>
        <w:ind w:left="550" w:right="247"/>
        <w:jc w:val="both"/>
        <w:rPr>
          <w:sz w:val="20"/>
        </w:rPr>
      </w:pPr>
      <w:r>
        <w:rPr>
          <w:color w:val="231F20"/>
          <w:w w:val="95"/>
          <w:sz w:val="20"/>
        </w:rPr>
        <w:t>Many emerging nations have risked a great deal in betting that hosting</w:t>
      </w:r>
      <w:r>
        <w:rPr>
          <w:color w:val="231F20"/>
          <w:spacing w:val="80"/>
          <w:sz w:val="20"/>
        </w:rPr>
        <w:t xml:space="preserve"> </w:t>
      </w:r>
      <w:r>
        <w:rPr>
          <w:color w:val="231F20"/>
          <w:w w:val="95"/>
          <w:sz w:val="20"/>
        </w:rPr>
        <w:t xml:space="preserve">of a mega-event can be a fast-track to world recognition and reputation </w:t>
      </w:r>
      <w:r>
        <w:rPr>
          <w:color w:val="231F20"/>
          <w:w w:val="90"/>
          <w:sz w:val="20"/>
        </w:rPr>
        <w:t>enhancement,</w:t>
      </w:r>
      <w:r>
        <w:rPr>
          <w:color w:val="231F20"/>
          <w:sz w:val="20"/>
        </w:rPr>
        <w:t xml:space="preserve"> </w:t>
      </w:r>
      <w:r>
        <w:rPr>
          <w:color w:val="231F20"/>
          <w:w w:val="90"/>
          <w:sz w:val="20"/>
        </w:rPr>
        <w:t>and</w:t>
      </w:r>
      <w:r>
        <w:rPr>
          <w:color w:val="231F20"/>
          <w:sz w:val="20"/>
        </w:rPr>
        <w:t xml:space="preserve"> </w:t>
      </w:r>
      <w:r>
        <w:rPr>
          <w:color w:val="231F20"/>
          <w:w w:val="90"/>
          <w:sz w:val="20"/>
        </w:rPr>
        <w:t>there</w:t>
      </w:r>
      <w:r>
        <w:rPr>
          <w:color w:val="231F20"/>
          <w:sz w:val="20"/>
        </w:rPr>
        <w:t xml:space="preserve"> </w:t>
      </w:r>
      <w:r>
        <w:rPr>
          <w:color w:val="231F20"/>
          <w:w w:val="90"/>
          <w:sz w:val="20"/>
        </w:rPr>
        <w:t>i</w:t>
      </w:r>
      <w:r>
        <w:rPr>
          <w:color w:val="231F20"/>
          <w:w w:val="90"/>
          <w:sz w:val="20"/>
        </w:rPr>
        <w:t>s</w:t>
      </w:r>
      <w:r>
        <w:rPr>
          <w:color w:val="231F20"/>
          <w:sz w:val="20"/>
        </w:rPr>
        <w:t xml:space="preserve"> </w:t>
      </w:r>
      <w:r>
        <w:rPr>
          <w:color w:val="231F20"/>
          <w:w w:val="90"/>
          <w:sz w:val="20"/>
        </w:rPr>
        <w:t>considerable</w:t>
      </w:r>
      <w:r>
        <w:rPr>
          <w:color w:val="231F20"/>
          <w:sz w:val="20"/>
        </w:rPr>
        <w:t xml:space="preserve"> </w:t>
      </w:r>
      <w:r>
        <w:rPr>
          <w:color w:val="231F20"/>
          <w:w w:val="90"/>
          <w:sz w:val="20"/>
        </w:rPr>
        <w:t>evidence</w:t>
      </w:r>
      <w:r>
        <w:rPr>
          <w:color w:val="231F20"/>
          <w:sz w:val="20"/>
        </w:rPr>
        <w:t xml:space="preserve"> </w:t>
      </w:r>
      <w:r>
        <w:rPr>
          <w:color w:val="231F20"/>
          <w:w w:val="90"/>
          <w:sz w:val="20"/>
        </w:rPr>
        <w:t>that</w:t>
      </w:r>
      <w:r>
        <w:rPr>
          <w:color w:val="231F20"/>
          <w:sz w:val="20"/>
        </w:rPr>
        <w:t xml:space="preserve"> </w:t>
      </w:r>
      <w:r>
        <w:rPr>
          <w:color w:val="231F20"/>
          <w:w w:val="90"/>
          <w:sz w:val="20"/>
        </w:rPr>
        <w:t>this</w:t>
      </w:r>
      <w:r>
        <w:rPr>
          <w:color w:val="231F20"/>
          <w:sz w:val="20"/>
        </w:rPr>
        <w:t xml:space="preserve"> </w:t>
      </w:r>
      <w:r>
        <w:rPr>
          <w:color w:val="231F20"/>
          <w:w w:val="90"/>
          <w:sz w:val="20"/>
        </w:rPr>
        <w:t>bet</w:t>
      </w:r>
      <w:r>
        <w:rPr>
          <w:color w:val="231F20"/>
          <w:sz w:val="20"/>
        </w:rPr>
        <w:t xml:space="preserve"> </w:t>
      </w:r>
      <w:r>
        <w:rPr>
          <w:color w:val="231F20"/>
          <w:w w:val="90"/>
          <w:sz w:val="20"/>
        </w:rPr>
        <w:t>has</w:t>
      </w:r>
      <w:r>
        <w:rPr>
          <w:color w:val="231F20"/>
          <w:sz w:val="20"/>
        </w:rPr>
        <w:t xml:space="preserve"> </w:t>
      </w:r>
      <w:r>
        <w:rPr>
          <w:color w:val="231F20"/>
          <w:w w:val="90"/>
          <w:sz w:val="20"/>
        </w:rPr>
        <w:t>payoffs</w:t>
      </w:r>
      <w:r>
        <w:rPr>
          <w:color w:val="231F20"/>
          <w:spacing w:val="80"/>
          <w:sz w:val="20"/>
        </w:rPr>
        <w:t xml:space="preserve"> </w:t>
      </w:r>
      <w:r>
        <w:rPr>
          <w:color w:val="231F20"/>
          <w:w w:val="95"/>
          <w:sz w:val="20"/>
        </w:rPr>
        <w:t xml:space="preserve">in positive impacts on country images and reputations as producers of </w:t>
      </w:r>
      <w:r>
        <w:rPr>
          <w:color w:val="231F20"/>
          <w:sz w:val="20"/>
        </w:rPr>
        <w:t xml:space="preserve">products and as tourism destinations. (Heslop </w:t>
      </w:r>
      <w:r>
        <w:rPr>
          <w:i/>
          <w:color w:val="231F20"/>
          <w:sz w:val="20"/>
        </w:rPr>
        <w:t>et al</w:t>
      </w:r>
      <w:r>
        <w:rPr>
          <w:color w:val="231F20"/>
          <w:sz w:val="20"/>
        </w:rPr>
        <w:t>., 2013: 13)</w:t>
      </w:r>
    </w:p>
    <w:p w14:paraId="608FF067" w14:textId="77777777" w:rsidR="00AE0598" w:rsidRDefault="00AE0598">
      <w:pPr>
        <w:pStyle w:val="Corpodetexto"/>
        <w:spacing w:before="6"/>
        <w:rPr>
          <w:sz w:val="20"/>
        </w:rPr>
      </w:pPr>
    </w:p>
    <w:p w14:paraId="0D069C40" w14:textId="77777777" w:rsidR="00AE0598" w:rsidRDefault="0069255A">
      <w:pPr>
        <w:pStyle w:val="Corpodetexto"/>
        <w:spacing w:line="232" w:lineRule="auto"/>
        <w:ind w:left="230" w:right="247"/>
        <w:jc w:val="both"/>
      </w:pPr>
      <w:r>
        <w:rPr>
          <w:color w:val="231F20"/>
        </w:rPr>
        <w:t>In</w:t>
      </w:r>
      <w:r>
        <w:rPr>
          <w:color w:val="231F20"/>
          <w:spacing w:val="-2"/>
        </w:rPr>
        <w:t xml:space="preserve"> </w:t>
      </w:r>
      <w:r>
        <w:rPr>
          <w:color w:val="231F20"/>
        </w:rPr>
        <w:t>the</w:t>
      </w:r>
      <w:r>
        <w:rPr>
          <w:color w:val="231F20"/>
          <w:spacing w:val="-2"/>
        </w:rPr>
        <w:t xml:space="preserve"> </w:t>
      </w:r>
      <w:r>
        <w:rPr>
          <w:color w:val="231F20"/>
        </w:rPr>
        <w:t>case</w:t>
      </w:r>
      <w:r>
        <w:rPr>
          <w:color w:val="231F20"/>
          <w:spacing w:val="-2"/>
        </w:rPr>
        <w:t xml:space="preserve"> </w:t>
      </w:r>
      <w:r>
        <w:rPr>
          <w:color w:val="231F20"/>
        </w:rPr>
        <w:t>of South</w:t>
      </w:r>
      <w:r>
        <w:rPr>
          <w:color w:val="231F20"/>
          <w:spacing w:val="-2"/>
        </w:rPr>
        <w:t xml:space="preserve"> </w:t>
      </w:r>
      <w:r>
        <w:rPr>
          <w:color w:val="231F20"/>
        </w:rPr>
        <w:t>Africa,</w:t>
      </w:r>
      <w:r>
        <w:rPr>
          <w:color w:val="231F20"/>
          <w:spacing w:val="-2"/>
        </w:rPr>
        <w:t xml:space="preserve"> </w:t>
      </w:r>
      <w:r>
        <w:rPr>
          <w:color w:val="231F20"/>
        </w:rPr>
        <w:t>the</w:t>
      </w:r>
      <w:r>
        <w:rPr>
          <w:color w:val="231F20"/>
          <w:spacing w:val="-2"/>
        </w:rPr>
        <w:t xml:space="preserve"> </w:t>
      </w:r>
      <w:r>
        <w:rPr>
          <w:color w:val="231F20"/>
        </w:rPr>
        <w:t>hosting</w:t>
      </w:r>
      <w:r>
        <w:rPr>
          <w:color w:val="231F20"/>
          <w:spacing w:val="-2"/>
        </w:rPr>
        <w:t xml:space="preserve"> </w:t>
      </w:r>
      <w:r>
        <w:rPr>
          <w:color w:val="231F20"/>
        </w:rPr>
        <w:t>of sport</w:t>
      </w:r>
      <w:r>
        <w:rPr>
          <w:color w:val="231F20"/>
          <w:spacing w:val="-2"/>
        </w:rPr>
        <w:t xml:space="preserve"> </w:t>
      </w:r>
      <w:r>
        <w:rPr>
          <w:color w:val="231F20"/>
        </w:rPr>
        <w:t>mega-events</w:t>
      </w:r>
      <w:r>
        <w:rPr>
          <w:color w:val="231F20"/>
          <w:spacing w:val="-2"/>
        </w:rPr>
        <w:t xml:space="preserve"> </w:t>
      </w:r>
      <w:r>
        <w:rPr>
          <w:color w:val="231F20"/>
        </w:rPr>
        <w:t>has</w:t>
      </w:r>
      <w:r>
        <w:rPr>
          <w:color w:val="231F20"/>
          <w:spacing w:val="-2"/>
        </w:rPr>
        <w:t xml:space="preserve"> </w:t>
      </w:r>
      <w:r>
        <w:rPr>
          <w:color w:val="231F20"/>
        </w:rPr>
        <w:t xml:space="preserve">been </w:t>
      </w:r>
      <w:r>
        <w:rPr>
          <w:color w:val="231F20"/>
          <w:w w:val="95"/>
        </w:rPr>
        <w:t>part</w:t>
      </w:r>
      <w:r>
        <w:rPr>
          <w:color w:val="231F20"/>
          <w:spacing w:val="-2"/>
          <w:w w:val="95"/>
        </w:rPr>
        <w:t xml:space="preserve"> </w:t>
      </w:r>
      <w:r>
        <w:rPr>
          <w:color w:val="231F20"/>
          <w:w w:val="95"/>
        </w:rPr>
        <w:t>of</w:t>
      </w:r>
      <w:r>
        <w:rPr>
          <w:color w:val="231F20"/>
        </w:rPr>
        <w:t xml:space="preserve"> </w:t>
      </w:r>
      <w:r>
        <w:rPr>
          <w:color w:val="231F20"/>
          <w:w w:val="95"/>
        </w:rPr>
        <w:t>a</w:t>
      </w:r>
      <w:r>
        <w:rPr>
          <w:color w:val="231F20"/>
          <w:spacing w:val="-2"/>
          <w:w w:val="95"/>
        </w:rPr>
        <w:t xml:space="preserve"> </w:t>
      </w:r>
      <w:r>
        <w:rPr>
          <w:color w:val="231F20"/>
          <w:w w:val="95"/>
        </w:rPr>
        <w:t>larger</w:t>
      </w:r>
      <w:r>
        <w:rPr>
          <w:color w:val="231F20"/>
          <w:spacing w:val="-2"/>
          <w:w w:val="95"/>
        </w:rPr>
        <w:t xml:space="preserve"> </w:t>
      </w:r>
      <w:r>
        <w:rPr>
          <w:color w:val="231F20"/>
          <w:w w:val="95"/>
        </w:rPr>
        <w:t>national</w:t>
      </w:r>
      <w:r>
        <w:rPr>
          <w:color w:val="231F20"/>
          <w:spacing w:val="-2"/>
          <w:w w:val="95"/>
        </w:rPr>
        <w:t xml:space="preserve"> </w:t>
      </w:r>
      <w:r>
        <w:rPr>
          <w:color w:val="231F20"/>
          <w:w w:val="95"/>
        </w:rPr>
        <w:t>agenda</w:t>
      </w:r>
      <w:r>
        <w:rPr>
          <w:color w:val="231F20"/>
          <w:spacing w:val="-2"/>
          <w:w w:val="95"/>
        </w:rPr>
        <w:t xml:space="preserve"> </w:t>
      </w:r>
      <w:r>
        <w:rPr>
          <w:color w:val="231F20"/>
          <w:w w:val="95"/>
        </w:rPr>
        <w:t>for</w:t>
      </w:r>
      <w:r>
        <w:rPr>
          <w:color w:val="231F20"/>
          <w:spacing w:val="-2"/>
          <w:w w:val="95"/>
        </w:rPr>
        <w:t xml:space="preserve"> </w:t>
      </w:r>
      <w:r>
        <w:rPr>
          <w:color w:val="231F20"/>
          <w:w w:val="95"/>
        </w:rPr>
        <w:t>nation</w:t>
      </w:r>
      <w:r>
        <w:rPr>
          <w:color w:val="231F20"/>
          <w:spacing w:val="-2"/>
          <w:w w:val="95"/>
        </w:rPr>
        <w:t xml:space="preserve"> </w:t>
      </w:r>
      <w:r>
        <w:rPr>
          <w:color w:val="231F20"/>
          <w:w w:val="95"/>
        </w:rPr>
        <w:t>building</w:t>
      </w:r>
      <w:r>
        <w:rPr>
          <w:color w:val="231F20"/>
          <w:spacing w:val="-2"/>
          <w:w w:val="95"/>
        </w:rPr>
        <w:t xml:space="preserve"> </w:t>
      </w:r>
      <w:r>
        <w:rPr>
          <w:color w:val="231F20"/>
          <w:w w:val="95"/>
        </w:rPr>
        <w:t>as</w:t>
      </w:r>
      <w:r>
        <w:rPr>
          <w:color w:val="231F20"/>
          <w:spacing w:val="-2"/>
          <w:w w:val="95"/>
        </w:rPr>
        <w:t xml:space="preserve"> </w:t>
      </w:r>
      <w:r>
        <w:rPr>
          <w:color w:val="231F20"/>
          <w:w w:val="95"/>
        </w:rPr>
        <w:t>well</w:t>
      </w:r>
      <w:r>
        <w:rPr>
          <w:color w:val="231F20"/>
          <w:spacing w:val="-2"/>
          <w:w w:val="95"/>
        </w:rPr>
        <w:t xml:space="preserve"> </w:t>
      </w:r>
      <w:r>
        <w:rPr>
          <w:color w:val="231F20"/>
          <w:w w:val="95"/>
        </w:rPr>
        <w:t>as</w:t>
      </w:r>
      <w:r>
        <w:rPr>
          <w:color w:val="231F20"/>
          <w:spacing w:val="-2"/>
          <w:w w:val="95"/>
        </w:rPr>
        <w:t xml:space="preserve"> </w:t>
      </w:r>
      <w:r>
        <w:rPr>
          <w:color w:val="231F20"/>
          <w:w w:val="95"/>
        </w:rPr>
        <w:t>showcasing the</w:t>
      </w:r>
      <w:r>
        <w:rPr>
          <w:color w:val="231F20"/>
          <w:spacing w:val="-6"/>
          <w:w w:val="95"/>
        </w:rPr>
        <w:t xml:space="preserve"> </w:t>
      </w:r>
      <w:r>
        <w:rPr>
          <w:color w:val="231F20"/>
          <w:w w:val="95"/>
        </w:rPr>
        <w:t>state</w:t>
      </w:r>
      <w:r>
        <w:rPr>
          <w:color w:val="231F20"/>
          <w:spacing w:val="-6"/>
          <w:w w:val="95"/>
        </w:rPr>
        <w:t xml:space="preserve"> </w:t>
      </w:r>
      <w:r>
        <w:rPr>
          <w:color w:val="231F20"/>
          <w:w w:val="95"/>
        </w:rPr>
        <w:t>as</w:t>
      </w:r>
      <w:r>
        <w:rPr>
          <w:color w:val="231F20"/>
          <w:spacing w:val="-6"/>
          <w:w w:val="95"/>
        </w:rPr>
        <w:t xml:space="preserve"> </w:t>
      </w:r>
      <w:r>
        <w:rPr>
          <w:color w:val="231F20"/>
          <w:w w:val="95"/>
        </w:rPr>
        <w:t>a</w:t>
      </w:r>
      <w:r>
        <w:rPr>
          <w:color w:val="231F20"/>
          <w:spacing w:val="-6"/>
          <w:w w:val="95"/>
        </w:rPr>
        <w:t xml:space="preserve"> </w:t>
      </w:r>
      <w:r>
        <w:rPr>
          <w:color w:val="231F20"/>
          <w:w w:val="95"/>
        </w:rPr>
        <w:t>‘global</w:t>
      </w:r>
      <w:r>
        <w:rPr>
          <w:color w:val="231F20"/>
          <w:spacing w:val="-6"/>
          <w:w w:val="95"/>
        </w:rPr>
        <w:t xml:space="preserve"> </w:t>
      </w:r>
      <w:r>
        <w:rPr>
          <w:color w:val="231F20"/>
          <w:w w:val="95"/>
        </w:rPr>
        <w:t>middle</w:t>
      </w:r>
      <w:r>
        <w:rPr>
          <w:color w:val="231F20"/>
          <w:spacing w:val="-6"/>
          <w:w w:val="95"/>
        </w:rPr>
        <w:t xml:space="preserve"> </w:t>
      </w:r>
      <w:r>
        <w:rPr>
          <w:color w:val="231F20"/>
          <w:w w:val="95"/>
        </w:rPr>
        <w:t>power’</w:t>
      </w:r>
      <w:r>
        <w:rPr>
          <w:color w:val="231F20"/>
          <w:spacing w:val="-6"/>
          <w:w w:val="95"/>
        </w:rPr>
        <w:t xml:space="preserve"> </w:t>
      </w:r>
      <w:r>
        <w:rPr>
          <w:color w:val="231F20"/>
          <w:w w:val="95"/>
        </w:rPr>
        <w:t>(Cornelissen,</w:t>
      </w:r>
      <w:r>
        <w:rPr>
          <w:color w:val="231F20"/>
          <w:spacing w:val="-6"/>
          <w:w w:val="95"/>
        </w:rPr>
        <w:t xml:space="preserve"> </w:t>
      </w:r>
      <w:r>
        <w:rPr>
          <w:color w:val="231F20"/>
          <w:w w:val="95"/>
        </w:rPr>
        <w:t>2008:</w:t>
      </w:r>
      <w:r>
        <w:rPr>
          <w:color w:val="231F20"/>
          <w:spacing w:val="-6"/>
          <w:w w:val="95"/>
        </w:rPr>
        <w:t xml:space="preserve"> </w:t>
      </w:r>
      <w:r>
        <w:rPr>
          <w:color w:val="231F20"/>
          <w:w w:val="95"/>
        </w:rPr>
        <w:t>486).</w:t>
      </w:r>
      <w:r>
        <w:rPr>
          <w:color w:val="231F20"/>
          <w:spacing w:val="-6"/>
          <w:w w:val="95"/>
        </w:rPr>
        <w:t xml:space="preserve"> </w:t>
      </w:r>
      <w:r>
        <w:rPr>
          <w:color w:val="231F20"/>
          <w:w w:val="95"/>
        </w:rPr>
        <w:t>The</w:t>
      </w:r>
      <w:r>
        <w:rPr>
          <w:color w:val="231F20"/>
          <w:spacing w:val="-6"/>
          <w:w w:val="95"/>
        </w:rPr>
        <w:t xml:space="preserve"> </w:t>
      </w:r>
      <w:r>
        <w:rPr>
          <w:color w:val="231F20"/>
          <w:w w:val="95"/>
        </w:rPr>
        <w:t>country has</w:t>
      </w:r>
      <w:r>
        <w:rPr>
          <w:color w:val="231F20"/>
          <w:spacing w:val="-2"/>
          <w:w w:val="95"/>
        </w:rPr>
        <w:t xml:space="preserve"> </w:t>
      </w:r>
      <w:r>
        <w:rPr>
          <w:color w:val="231F20"/>
          <w:w w:val="95"/>
        </w:rPr>
        <w:t>staged</w:t>
      </w:r>
      <w:r>
        <w:rPr>
          <w:color w:val="231F20"/>
          <w:spacing w:val="-2"/>
          <w:w w:val="95"/>
        </w:rPr>
        <w:t xml:space="preserve"> </w:t>
      </w:r>
      <w:r>
        <w:rPr>
          <w:color w:val="231F20"/>
          <w:w w:val="95"/>
        </w:rPr>
        <w:t>a</w:t>
      </w:r>
      <w:r>
        <w:rPr>
          <w:color w:val="231F20"/>
          <w:spacing w:val="-2"/>
          <w:w w:val="95"/>
        </w:rPr>
        <w:t xml:space="preserve"> </w:t>
      </w:r>
      <w:r>
        <w:rPr>
          <w:color w:val="231F20"/>
          <w:w w:val="95"/>
        </w:rPr>
        <w:t>series</w:t>
      </w:r>
      <w:r>
        <w:rPr>
          <w:color w:val="231F20"/>
          <w:spacing w:val="-2"/>
          <w:w w:val="95"/>
        </w:rPr>
        <w:t xml:space="preserve"> </w:t>
      </w:r>
      <w:r>
        <w:rPr>
          <w:color w:val="231F20"/>
          <w:w w:val="95"/>
        </w:rPr>
        <w:t>of</w:t>
      </w:r>
      <w:r>
        <w:rPr>
          <w:color w:val="231F20"/>
        </w:rPr>
        <w:t xml:space="preserve"> </w:t>
      </w:r>
      <w:r>
        <w:rPr>
          <w:color w:val="231F20"/>
          <w:w w:val="95"/>
        </w:rPr>
        <w:t>major</w:t>
      </w:r>
      <w:r>
        <w:rPr>
          <w:color w:val="231F20"/>
          <w:spacing w:val="-2"/>
          <w:w w:val="95"/>
        </w:rPr>
        <w:t xml:space="preserve"> </w:t>
      </w:r>
      <w:r>
        <w:rPr>
          <w:color w:val="231F20"/>
          <w:w w:val="95"/>
        </w:rPr>
        <w:t>and</w:t>
      </w:r>
      <w:r>
        <w:rPr>
          <w:color w:val="231F20"/>
          <w:spacing w:val="-2"/>
          <w:w w:val="95"/>
        </w:rPr>
        <w:t xml:space="preserve"> </w:t>
      </w:r>
      <w:r>
        <w:rPr>
          <w:color w:val="231F20"/>
          <w:w w:val="95"/>
        </w:rPr>
        <w:t>mega-sport</w:t>
      </w:r>
      <w:r>
        <w:rPr>
          <w:color w:val="231F20"/>
          <w:spacing w:val="-2"/>
          <w:w w:val="95"/>
        </w:rPr>
        <w:t xml:space="preserve"> </w:t>
      </w:r>
      <w:r>
        <w:rPr>
          <w:color w:val="231F20"/>
          <w:w w:val="95"/>
        </w:rPr>
        <w:t>events</w:t>
      </w:r>
      <w:r>
        <w:rPr>
          <w:color w:val="231F20"/>
          <w:spacing w:val="-2"/>
          <w:w w:val="95"/>
        </w:rPr>
        <w:t xml:space="preserve"> </w:t>
      </w:r>
      <w:r>
        <w:rPr>
          <w:color w:val="231F20"/>
          <w:w w:val="95"/>
        </w:rPr>
        <w:t>that</w:t>
      </w:r>
      <w:r>
        <w:rPr>
          <w:color w:val="231F20"/>
          <w:spacing w:val="-2"/>
          <w:w w:val="95"/>
        </w:rPr>
        <w:t xml:space="preserve"> </w:t>
      </w:r>
      <w:r>
        <w:rPr>
          <w:color w:val="231F20"/>
          <w:w w:val="95"/>
        </w:rPr>
        <w:t>include</w:t>
      </w:r>
      <w:r>
        <w:rPr>
          <w:color w:val="231F20"/>
          <w:spacing w:val="-2"/>
          <w:w w:val="95"/>
        </w:rPr>
        <w:t xml:space="preserve"> </w:t>
      </w:r>
      <w:r>
        <w:rPr>
          <w:color w:val="231F20"/>
          <w:w w:val="95"/>
        </w:rPr>
        <w:t>the</w:t>
      </w:r>
      <w:r>
        <w:rPr>
          <w:color w:val="231F20"/>
          <w:spacing w:val="-2"/>
          <w:w w:val="95"/>
        </w:rPr>
        <w:t xml:space="preserve"> </w:t>
      </w:r>
      <w:r>
        <w:rPr>
          <w:color w:val="231F20"/>
          <w:w w:val="95"/>
        </w:rPr>
        <w:t xml:space="preserve">1995 </w:t>
      </w:r>
      <w:r>
        <w:rPr>
          <w:color w:val="231F20"/>
        </w:rPr>
        <w:t xml:space="preserve">Rugby World </w:t>
      </w:r>
      <w:r>
        <w:rPr>
          <w:color w:val="231F20"/>
        </w:rPr>
        <w:t>Cup, the 1996 African Cup of Nations (football) and the 2003 ICC Cricket World Cup. However, the 2010 FIFA World Cup will serve as the focus of this case study given its scale and international profile. The CEO of the organising committee clearly stated th</w:t>
      </w:r>
      <w:r>
        <w:rPr>
          <w:color w:val="231F20"/>
        </w:rPr>
        <w:t xml:space="preserve">at the </w:t>
      </w:r>
      <w:r>
        <w:rPr>
          <w:color w:val="231F20"/>
          <w:w w:val="95"/>
        </w:rPr>
        <w:t>event</w:t>
      </w:r>
      <w:r>
        <w:rPr>
          <w:color w:val="231F20"/>
          <w:spacing w:val="-3"/>
          <w:w w:val="95"/>
        </w:rPr>
        <w:t xml:space="preserve"> </w:t>
      </w:r>
      <w:r>
        <w:rPr>
          <w:color w:val="231F20"/>
          <w:w w:val="95"/>
        </w:rPr>
        <w:t>was:</w:t>
      </w:r>
      <w:r>
        <w:rPr>
          <w:color w:val="231F20"/>
          <w:spacing w:val="-3"/>
          <w:w w:val="95"/>
        </w:rPr>
        <w:t xml:space="preserve"> </w:t>
      </w:r>
      <w:r>
        <w:rPr>
          <w:color w:val="231F20"/>
          <w:w w:val="95"/>
        </w:rPr>
        <w:t>‘about</w:t>
      </w:r>
      <w:r>
        <w:rPr>
          <w:color w:val="231F20"/>
          <w:spacing w:val="-3"/>
          <w:w w:val="95"/>
        </w:rPr>
        <w:t xml:space="preserve"> </w:t>
      </w:r>
      <w:r>
        <w:rPr>
          <w:color w:val="231F20"/>
          <w:w w:val="95"/>
        </w:rPr>
        <w:t>nation-building,</w:t>
      </w:r>
      <w:r>
        <w:rPr>
          <w:color w:val="231F20"/>
          <w:spacing w:val="-3"/>
          <w:w w:val="95"/>
        </w:rPr>
        <w:t xml:space="preserve"> </w:t>
      </w:r>
      <w:r>
        <w:rPr>
          <w:color w:val="231F20"/>
          <w:w w:val="95"/>
        </w:rPr>
        <w:t>it’s</w:t>
      </w:r>
      <w:r>
        <w:rPr>
          <w:color w:val="231F20"/>
          <w:spacing w:val="-3"/>
          <w:w w:val="95"/>
        </w:rPr>
        <w:t xml:space="preserve"> </w:t>
      </w:r>
      <w:r>
        <w:rPr>
          <w:color w:val="231F20"/>
          <w:w w:val="95"/>
        </w:rPr>
        <w:t>about</w:t>
      </w:r>
      <w:r>
        <w:rPr>
          <w:color w:val="231F20"/>
          <w:spacing w:val="-3"/>
          <w:w w:val="95"/>
        </w:rPr>
        <w:t xml:space="preserve"> </w:t>
      </w:r>
      <w:r>
        <w:rPr>
          <w:color w:val="231F20"/>
          <w:w w:val="95"/>
        </w:rPr>
        <w:t>infrastructure</w:t>
      </w:r>
      <w:r>
        <w:rPr>
          <w:color w:val="231F20"/>
          <w:spacing w:val="-3"/>
          <w:w w:val="95"/>
        </w:rPr>
        <w:t xml:space="preserve"> </w:t>
      </w:r>
      <w:r>
        <w:rPr>
          <w:color w:val="231F20"/>
          <w:w w:val="95"/>
        </w:rPr>
        <w:t xml:space="preserve">improvement, it’s about country branding, it’s about repositioning, it’s about improving </w:t>
      </w:r>
      <w:r>
        <w:rPr>
          <w:color w:val="231F20"/>
        </w:rPr>
        <w:t>the image of our country, and it’s about tourism promotion’ (Allmers &amp;</w:t>
      </w:r>
      <w:r>
        <w:rPr>
          <w:color w:val="231F20"/>
          <w:spacing w:val="-12"/>
        </w:rPr>
        <w:t xml:space="preserve"> </w:t>
      </w:r>
      <w:r>
        <w:rPr>
          <w:color w:val="231F20"/>
        </w:rPr>
        <w:t>Maennig,</w:t>
      </w:r>
      <w:r>
        <w:rPr>
          <w:color w:val="231F20"/>
          <w:spacing w:val="-12"/>
        </w:rPr>
        <w:t xml:space="preserve"> </w:t>
      </w:r>
      <w:r>
        <w:rPr>
          <w:color w:val="231F20"/>
        </w:rPr>
        <w:t>2009:</w:t>
      </w:r>
      <w:r>
        <w:rPr>
          <w:color w:val="231F20"/>
          <w:spacing w:val="-11"/>
        </w:rPr>
        <w:t xml:space="preserve"> </w:t>
      </w:r>
      <w:r>
        <w:rPr>
          <w:color w:val="231F20"/>
        </w:rPr>
        <w:t>500).</w:t>
      </w:r>
      <w:r>
        <w:rPr>
          <w:color w:val="231F20"/>
          <w:spacing w:val="-12"/>
        </w:rPr>
        <w:t xml:space="preserve"> </w:t>
      </w:r>
      <w:r>
        <w:rPr>
          <w:color w:val="231F20"/>
        </w:rPr>
        <w:t>Key</w:t>
      </w:r>
      <w:r>
        <w:rPr>
          <w:color w:val="231F20"/>
          <w:spacing w:val="-11"/>
        </w:rPr>
        <w:t xml:space="preserve"> </w:t>
      </w:r>
      <w:r>
        <w:rPr>
          <w:color w:val="231F20"/>
        </w:rPr>
        <w:t>development</w:t>
      </w:r>
      <w:r>
        <w:rPr>
          <w:color w:val="231F20"/>
          <w:spacing w:val="-12"/>
        </w:rPr>
        <w:t xml:space="preserve"> </w:t>
      </w:r>
      <w:r>
        <w:rPr>
          <w:color w:val="231F20"/>
        </w:rPr>
        <w:t>issues</w:t>
      </w:r>
      <w:r>
        <w:rPr>
          <w:color w:val="231F20"/>
          <w:spacing w:val="-11"/>
        </w:rPr>
        <w:t xml:space="preserve"> </w:t>
      </w:r>
      <w:r>
        <w:rPr>
          <w:color w:val="231F20"/>
        </w:rPr>
        <w:t>associated</w:t>
      </w:r>
      <w:r>
        <w:rPr>
          <w:color w:val="231F20"/>
          <w:spacing w:val="-12"/>
        </w:rPr>
        <w:t xml:space="preserve"> </w:t>
      </w:r>
      <w:r>
        <w:rPr>
          <w:color w:val="231F20"/>
        </w:rPr>
        <w:t>with</w:t>
      </w:r>
      <w:r>
        <w:rPr>
          <w:color w:val="231F20"/>
          <w:spacing w:val="-12"/>
        </w:rPr>
        <w:t xml:space="preserve"> </w:t>
      </w:r>
      <w:r>
        <w:rPr>
          <w:color w:val="231F20"/>
        </w:rPr>
        <w:t xml:space="preserve">South </w:t>
      </w:r>
      <w:r>
        <w:rPr>
          <w:color w:val="231F20"/>
          <w:spacing w:val="-2"/>
        </w:rPr>
        <w:t>Africa’s</w:t>
      </w:r>
      <w:r>
        <w:rPr>
          <w:color w:val="231F20"/>
          <w:spacing w:val="-7"/>
        </w:rPr>
        <w:t xml:space="preserve"> </w:t>
      </w:r>
      <w:r>
        <w:rPr>
          <w:color w:val="231F20"/>
          <w:spacing w:val="-2"/>
        </w:rPr>
        <w:t>hosting</w:t>
      </w:r>
      <w:r>
        <w:rPr>
          <w:color w:val="231F20"/>
          <w:spacing w:val="-7"/>
        </w:rPr>
        <w:t xml:space="preserve"> </w:t>
      </w:r>
      <w:r>
        <w:rPr>
          <w:color w:val="231F20"/>
          <w:spacing w:val="-2"/>
        </w:rPr>
        <w:t>of</w:t>
      </w:r>
      <w:r>
        <w:rPr>
          <w:color w:val="231F20"/>
          <w:spacing w:val="6"/>
        </w:rPr>
        <w:t xml:space="preserve"> </w:t>
      </w:r>
      <w:r>
        <w:rPr>
          <w:color w:val="231F20"/>
          <w:spacing w:val="-2"/>
        </w:rPr>
        <w:t>the</w:t>
      </w:r>
      <w:r>
        <w:rPr>
          <w:color w:val="231F20"/>
          <w:spacing w:val="-7"/>
        </w:rPr>
        <w:t xml:space="preserve"> </w:t>
      </w:r>
      <w:r>
        <w:rPr>
          <w:color w:val="231F20"/>
          <w:spacing w:val="-2"/>
        </w:rPr>
        <w:t>FIFA</w:t>
      </w:r>
      <w:r>
        <w:rPr>
          <w:color w:val="231F20"/>
          <w:spacing w:val="-7"/>
        </w:rPr>
        <w:t xml:space="preserve"> </w:t>
      </w:r>
      <w:r>
        <w:rPr>
          <w:color w:val="231F20"/>
          <w:spacing w:val="-2"/>
        </w:rPr>
        <w:t>World</w:t>
      </w:r>
      <w:r>
        <w:rPr>
          <w:color w:val="231F20"/>
          <w:spacing w:val="-7"/>
        </w:rPr>
        <w:t xml:space="preserve"> </w:t>
      </w:r>
      <w:r>
        <w:rPr>
          <w:color w:val="231F20"/>
          <w:spacing w:val="-2"/>
        </w:rPr>
        <w:t>Cup</w:t>
      </w:r>
      <w:r>
        <w:rPr>
          <w:color w:val="231F20"/>
          <w:spacing w:val="-7"/>
        </w:rPr>
        <w:t xml:space="preserve"> </w:t>
      </w:r>
      <w:r>
        <w:rPr>
          <w:color w:val="231F20"/>
          <w:spacing w:val="-2"/>
        </w:rPr>
        <w:t>are</w:t>
      </w:r>
      <w:r>
        <w:rPr>
          <w:color w:val="231F20"/>
          <w:spacing w:val="-7"/>
        </w:rPr>
        <w:t xml:space="preserve"> </w:t>
      </w:r>
      <w:r>
        <w:rPr>
          <w:color w:val="231F20"/>
          <w:spacing w:val="-2"/>
        </w:rPr>
        <w:t>highlighted</w:t>
      </w:r>
      <w:r>
        <w:rPr>
          <w:color w:val="231F20"/>
          <w:spacing w:val="-7"/>
        </w:rPr>
        <w:t xml:space="preserve"> </w:t>
      </w:r>
      <w:r>
        <w:rPr>
          <w:color w:val="231F20"/>
          <w:spacing w:val="-2"/>
        </w:rPr>
        <w:t>next</w:t>
      </w:r>
      <w:r>
        <w:rPr>
          <w:color w:val="231F20"/>
          <w:spacing w:val="-7"/>
        </w:rPr>
        <w:t xml:space="preserve"> </w:t>
      </w:r>
      <w:r>
        <w:rPr>
          <w:color w:val="231F20"/>
          <w:spacing w:val="-2"/>
        </w:rPr>
        <w:t>based</w:t>
      </w:r>
      <w:r>
        <w:rPr>
          <w:color w:val="231F20"/>
          <w:spacing w:val="-7"/>
        </w:rPr>
        <w:t xml:space="preserve"> </w:t>
      </w:r>
      <w:r>
        <w:rPr>
          <w:color w:val="231F20"/>
          <w:spacing w:val="-2"/>
        </w:rPr>
        <w:t>on</w:t>
      </w:r>
      <w:r>
        <w:rPr>
          <w:color w:val="231F20"/>
          <w:spacing w:val="-7"/>
        </w:rPr>
        <w:t xml:space="preserve"> </w:t>
      </w:r>
      <w:r>
        <w:rPr>
          <w:color w:val="231F20"/>
          <w:spacing w:val="-2"/>
        </w:rPr>
        <w:t xml:space="preserve">an </w:t>
      </w:r>
      <w:r>
        <w:rPr>
          <w:color w:val="231F20"/>
        </w:rPr>
        <w:t>empirical</w:t>
      </w:r>
      <w:r>
        <w:rPr>
          <w:color w:val="231F20"/>
          <w:spacing w:val="-12"/>
        </w:rPr>
        <w:t xml:space="preserve"> </w:t>
      </w:r>
      <w:r>
        <w:rPr>
          <w:color w:val="231F20"/>
        </w:rPr>
        <w:t>assessment</w:t>
      </w:r>
      <w:r>
        <w:rPr>
          <w:color w:val="231F20"/>
          <w:spacing w:val="-11"/>
        </w:rPr>
        <w:t xml:space="preserve"> </w:t>
      </w:r>
      <w:r>
        <w:rPr>
          <w:color w:val="231F20"/>
        </w:rPr>
        <w:t>of the</w:t>
      </w:r>
      <w:r>
        <w:rPr>
          <w:color w:val="231F20"/>
          <w:spacing w:val="-12"/>
        </w:rPr>
        <w:t xml:space="preserve"> </w:t>
      </w:r>
      <w:r>
        <w:rPr>
          <w:color w:val="231F20"/>
        </w:rPr>
        <w:t>event</w:t>
      </w:r>
      <w:r>
        <w:rPr>
          <w:color w:val="231F20"/>
          <w:spacing w:val="-11"/>
        </w:rPr>
        <w:t xml:space="preserve"> </w:t>
      </w:r>
      <w:r>
        <w:rPr>
          <w:color w:val="231F20"/>
        </w:rPr>
        <w:t>(Knott,</w:t>
      </w:r>
      <w:r>
        <w:rPr>
          <w:color w:val="231F20"/>
          <w:spacing w:val="-12"/>
        </w:rPr>
        <w:t xml:space="preserve"> </w:t>
      </w:r>
      <w:r>
        <w:rPr>
          <w:color w:val="231F20"/>
        </w:rPr>
        <w:t>2015)</w:t>
      </w:r>
      <w:r>
        <w:rPr>
          <w:color w:val="231F20"/>
        </w:rPr>
        <w:t>.</w:t>
      </w:r>
    </w:p>
    <w:p w14:paraId="51A50E41" w14:textId="77777777" w:rsidR="00AE0598" w:rsidRDefault="00AE0598">
      <w:pPr>
        <w:pStyle w:val="Corpodetexto"/>
        <w:spacing w:before="11"/>
      </w:pPr>
    </w:p>
    <w:p w14:paraId="4420A6A2" w14:textId="77777777" w:rsidR="00AE0598" w:rsidRDefault="0069255A">
      <w:pPr>
        <w:ind w:left="230"/>
        <w:rPr>
          <w:rFonts w:ascii="Trebuchet MS"/>
          <w:i/>
          <w:sz w:val="18"/>
        </w:rPr>
      </w:pPr>
      <w:r>
        <w:rPr>
          <w:rFonts w:ascii="Trebuchet MS"/>
          <w:i/>
          <w:color w:val="231F20"/>
          <w:w w:val="105"/>
          <w:sz w:val="18"/>
        </w:rPr>
        <w:t>Urban</w:t>
      </w:r>
      <w:r>
        <w:rPr>
          <w:rFonts w:ascii="Trebuchet MS"/>
          <w:i/>
          <w:color w:val="231F20"/>
          <w:spacing w:val="4"/>
          <w:w w:val="105"/>
          <w:sz w:val="18"/>
        </w:rPr>
        <w:t xml:space="preserve"> </w:t>
      </w:r>
      <w:r>
        <w:rPr>
          <w:rFonts w:ascii="Trebuchet MS"/>
          <w:i/>
          <w:color w:val="231F20"/>
          <w:spacing w:val="-2"/>
          <w:w w:val="105"/>
          <w:sz w:val="18"/>
        </w:rPr>
        <w:t>development</w:t>
      </w:r>
    </w:p>
    <w:p w14:paraId="33A57895" w14:textId="77777777" w:rsidR="00AE0598" w:rsidRDefault="0069255A">
      <w:pPr>
        <w:pStyle w:val="Corpodetexto"/>
        <w:spacing w:before="6" w:line="232" w:lineRule="auto"/>
        <w:ind w:left="230" w:right="247" w:firstLine="320"/>
        <w:jc w:val="both"/>
      </w:pPr>
      <w:r>
        <w:rPr>
          <w:color w:val="231F20"/>
        </w:rPr>
        <w:t>The stakeholders’ experiences confirmed that this mega-event’s perceived success and positive legacy were in large part attributed to the event-linked urban development projects, especially those aimed at improving crucial areas of urban and tourism infras</w:t>
      </w:r>
      <w:r>
        <w:rPr>
          <w:color w:val="231F20"/>
        </w:rPr>
        <w:t xml:space="preserve">tructure. In addition to the stadiums, private and public entities in the host cities </w:t>
      </w:r>
      <w:r>
        <w:rPr>
          <w:color w:val="231F20"/>
          <w:w w:val="95"/>
        </w:rPr>
        <w:t>and provinces invested heavily in building facilities and infrastructure</w:t>
      </w:r>
      <w:r>
        <w:rPr>
          <w:color w:val="231F20"/>
          <w:spacing w:val="80"/>
        </w:rPr>
        <w:t xml:space="preserve"> </w:t>
      </w:r>
      <w:r>
        <w:rPr>
          <w:color w:val="231F20"/>
        </w:rPr>
        <w:t>as</w:t>
      </w:r>
      <w:r>
        <w:rPr>
          <w:color w:val="231F20"/>
          <w:spacing w:val="71"/>
        </w:rPr>
        <w:t xml:space="preserve"> </w:t>
      </w:r>
      <w:r>
        <w:rPr>
          <w:color w:val="231F20"/>
        </w:rPr>
        <w:t>part</w:t>
      </w:r>
      <w:r>
        <w:rPr>
          <w:color w:val="231F20"/>
          <w:spacing w:val="70"/>
        </w:rPr>
        <w:t xml:space="preserve"> </w:t>
      </w:r>
      <w:r>
        <w:rPr>
          <w:color w:val="231F20"/>
        </w:rPr>
        <w:t>of</w:t>
      </w:r>
      <w:r>
        <w:rPr>
          <w:color w:val="231F20"/>
          <w:spacing w:val="70"/>
        </w:rPr>
        <w:t xml:space="preserve"> </w:t>
      </w:r>
      <w:r>
        <w:rPr>
          <w:color w:val="231F20"/>
        </w:rPr>
        <w:t>associated</w:t>
      </w:r>
      <w:r>
        <w:rPr>
          <w:color w:val="231F20"/>
          <w:spacing w:val="71"/>
        </w:rPr>
        <w:t xml:space="preserve"> </w:t>
      </w:r>
      <w:r>
        <w:rPr>
          <w:color w:val="231F20"/>
        </w:rPr>
        <w:t>urban</w:t>
      </w:r>
      <w:r>
        <w:rPr>
          <w:color w:val="231F20"/>
          <w:spacing w:val="71"/>
        </w:rPr>
        <w:t xml:space="preserve"> </w:t>
      </w:r>
      <w:r>
        <w:rPr>
          <w:color w:val="231F20"/>
        </w:rPr>
        <w:t>rejuvenation</w:t>
      </w:r>
      <w:r>
        <w:rPr>
          <w:color w:val="231F20"/>
          <w:spacing w:val="70"/>
        </w:rPr>
        <w:t xml:space="preserve"> </w:t>
      </w:r>
      <w:r>
        <w:rPr>
          <w:color w:val="231F20"/>
        </w:rPr>
        <w:t>projects.</w:t>
      </w:r>
      <w:r>
        <w:rPr>
          <w:color w:val="231F20"/>
          <w:spacing w:val="71"/>
        </w:rPr>
        <w:t xml:space="preserve"> </w:t>
      </w:r>
      <w:r>
        <w:rPr>
          <w:color w:val="231F20"/>
        </w:rPr>
        <w:t>For</w:t>
      </w:r>
      <w:r>
        <w:rPr>
          <w:color w:val="231F20"/>
          <w:spacing w:val="71"/>
        </w:rPr>
        <w:t xml:space="preserve"> </w:t>
      </w:r>
      <w:r>
        <w:rPr>
          <w:color w:val="231F20"/>
          <w:spacing w:val="-2"/>
        </w:rPr>
        <w:t>example,</w:t>
      </w:r>
    </w:p>
    <w:p w14:paraId="6E0FBCE6" w14:textId="77777777" w:rsidR="00AE0598" w:rsidRDefault="00AE0598">
      <w:pPr>
        <w:spacing w:line="232" w:lineRule="auto"/>
        <w:jc w:val="both"/>
        <w:sectPr w:rsidR="00AE0598">
          <w:pgSz w:w="8850" w:h="13270"/>
          <w:pgMar w:top="720" w:right="1060" w:bottom="280" w:left="1080" w:header="720" w:footer="720" w:gutter="0"/>
          <w:cols w:space="720"/>
        </w:sectPr>
      </w:pPr>
    </w:p>
    <w:p w14:paraId="6CCEBC69" w14:textId="5BDB6E34" w:rsidR="00AE0598" w:rsidRDefault="0069255A">
      <w:pPr>
        <w:spacing w:before="87"/>
        <w:ind w:left="4067"/>
        <w:rPr>
          <w:rFonts w:ascii="Trebuchet MS"/>
          <w:sz w:val="14"/>
        </w:rPr>
      </w:pPr>
      <w:r>
        <w:rPr>
          <w:noProof/>
        </w:rPr>
        <w:lastRenderedPageBreak/>
        <mc:AlternateContent>
          <mc:Choice Requires="wps">
            <w:drawing>
              <wp:anchor distT="0" distB="0" distL="114300" distR="114300" simplePos="0" relativeHeight="483696640" behindDoc="1" locked="0" layoutInCell="1" allowOverlap="1" wp14:anchorId="7D83CF6E" wp14:editId="7E92ABF2">
                <wp:simplePos x="0" y="0"/>
                <wp:positionH relativeFrom="page">
                  <wp:posOffset>755650</wp:posOffset>
                </wp:positionH>
                <wp:positionV relativeFrom="page">
                  <wp:posOffset>838200</wp:posOffset>
                </wp:positionV>
                <wp:extent cx="4104005" cy="6718300"/>
                <wp:effectExtent l="0" t="0" r="0" b="0"/>
                <wp:wrapNone/>
                <wp:docPr id="232" name="docshape1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04005" cy="6718300"/>
                        </a:xfrm>
                        <a:prstGeom prst="rect">
                          <a:avLst/>
                        </a:prstGeom>
                        <a:solidFill>
                          <a:srgbClr val="DCDDD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217F1B" id="docshape142" o:spid="_x0000_s1026" style="position:absolute;margin-left:59.5pt;margin-top:66pt;width:323.15pt;height:529pt;z-index:-196198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" fillcolor="#dcddde" stroked="f">
                <w10:wrap anchorx="page" anchory="page"/>
              </v:rect>
            </w:pict>
          </mc:Fallback>
        </mc:AlternateContent>
      </w:r>
      <w:r>
        <w:rPr>
          <w:rFonts w:ascii="Trebuchet MS"/>
          <w:color w:val="231F20"/>
          <w:w w:val="105"/>
          <w:sz w:val="14"/>
        </w:rPr>
        <w:t>Development</w:t>
      </w:r>
      <w:r>
        <w:rPr>
          <w:rFonts w:ascii="Trebuchet MS"/>
          <w:color w:val="231F20"/>
          <w:spacing w:val="-12"/>
          <w:w w:val="105"/>
          <w:sz w:val="14"/>
        </w:rPr>
        <w:t xml:space="preserve"> </w:t>
      </w:r>
      <w:r>
        <w:rPr>
          <w:rFonts w:ascii="Trebuchet MS"/>
          <w:color w:val="231F20"/>
          <w:w w:val="105"/>
          <w:sz w:val="14"/>
        </w:rPr>
        <w:t>Processes</w:t>
      </w:r>
      <w:r>
        <w:rPr>
          <w:rFonts w:ascii="Trebuchet MS"/>
          <w:color w:val="231F20"/>
          <w:spacing w:val="-11"/>
          <w:w w:val="105"/>
          <w:sz w:val="14"/>
        </w:rPr>
        <w:t xml:space="preserve"> </w:t>
      </w:r>
      <w:r>
        <w:rPr>
          <w:rFonts w:ascii="Trebuchet MS"/>
          <w:color w:val="231F20"/>
          <w:w w:val="105"/>
          <w:sz w:val="14"/>
        </w:rPr>
        <w:t>and</w:t>
      </w:r>
      <w:r>
        <w:rPr>
          <w:rFonts w:ascii="Trebuchet MS"/>
          <w:color w:val="231F20"/>
          <w:spacing w:val="-11"/>
          <w:w w:val="105"/>
          <w:sz w:val="14"/>
        </w:rPr>
        <w:t xml:space="preserve"> </w:t>
      </w:r>
      <w:r>
        <w:rPr>
          <w:rFonts w:ascii="Trebuchet MS"/>
          <w:color w:val="231F20"/>
          <w:w w:val="105"/>
          <w:sz w:val="14"/>
        </w:rPr>
        <w:t>Issues</w:t>
      </w:r>
      <w:r>
        <w:rPr>
          <w:rFonts w:ascii="Trebuchet MS"/>
          <w:color w:val="231F20"/>
          <w:spacing w:val="77"/>
          <w:w w:val="105"/>
          <w:sz w:val="14"/>
        </w:rPr>
        <w:t xml:space="preserve"> </w:t>
      </w:r>
      <w:r>
        <w:rPr>
          <w:rFonts w:ascii="Trebuchet MS"/>
          <w:color w:val="231F20"/>
          <w:spacing w:val="-5"/>
          <w:w w:val="105"/>
          <w:sz w:val="14"/>
        </w:rPr>
        <w:t>77</w:t>
      </w:r>
    </w:p>
    <w:p w14:paraId="521F07E6" w14:textId="77777777" w:rsidR="00AE0598" w:rsidRDefault="00AE0598">
      <w:pPr>
        <w:pStyle w:val="Corpodetexto"/>
        <w:spacing w:before="8"/>
        <w:rPr>
          <w:rFonts w:ascii="Trebuchet MS"/>
          <w:sz w:val="27"/>
        </w:rPr>
      </w:pPr>
    </w:p>
    <w:p w14:paraId="0B7ED0DC" w14:textId="77777777" w:rsidR="00AE0598" w:rsidRDefault="0069255A">
      <w:pPr>
        <w:pStyle w:val="Corpodetexto"/>
        <w:spacing w:before="102" w:line="232" w:lineRule="auto"/>
        <w:ind w:left="230" w:right="246"/>
        <w:jc w:val="both"/>
      </w:pPr>
      <w:r>
        <w:rPr>
          <w:color w:val="231F20"/>
        </w:rPr>
        <w:t>significant</w:t>
      </w:r>
      <w:r>
        <w:rPr>
          <w:color w:val="231F20"/>
          <w:spacing w:val="-7"/>
        </w:rPr>
        <w:t xml:space="preserve"> </w:t>
      </w:r>
      <w:r>
        <w:rPr>
          <w:color w:val="231F20"/>
        </w:rPr>
        <w:t>airport</w:t>
      </w:r>
      <w:r>
        <w:rPr>
          <w:color w:val="231F20"/>
          <w:spacing w:val="-7"/>
        </w:rPr>
        <w:t xml:space="preserve"> </w:t>
      </w:r>
      <w:r>
        <w:rPr>
          <w:color w:val="231F20"/>
        </w:rPr>
        <w:t>upgrades</w:t>
      </w:r>
      <w:r>
        <w:rPr>
          <w:color w:val="231F20"/>
          <w:spacing w:val="-7"/>
        </w:rPr>
        <w:t xml:space="preserve"> </w:t>
      </w:r>
      <w:r>
        <w:rPr>
          <w:color w:val="231F20"/>
        </w:rPr>
        <w:t>were</w:t>
      </w:r>
      <w:r>
        <w:rPr>
          <w:color w:val="231F20"/>
          <w:spacing w:val="-7"/>
        </w:rPr>
        <w:t xml:space="preserve"> </w:t>
      </w:r>
      <w:r>
        <w:rPr>
          <w:color w:val="231F20"/>
        </w:rPr>
        <w:t>made</w:t>
      </w:r>
      <w:r>
        <w:rPr>
          <w:color w:val="231F20"/>
          <w:spacing w:val="-7"/>
        </w:rPr>
        <w:t xml:space="preserve"> </w:t>
      </w:r>
      <w:r>
        <w:rPr>
          <w:color w:val="231F20"/>
        </w:rPr>
        <w:t>at</w:t>
      </w:r>
      <w:r>
        <w:rPr>
          <w:color w:val="231F20"/>
          <w:spacing w:val="-7"/>
        </w:rPr>
        <w:t xml:space="preserve"> </w:t>
      </w:r>
      <w:r>
        <w:rPr>
          <w:color w:val="231F20"/>
        </w:rPr>
        <w:t>the</w:t>
      </w:r>
      <w:r>
        <w:rPr>
          <w:color w:val="231F20"/>
          <w:spacing w:val="-7"/>
        </w:rPr>
        <w:t xml:space="preserve"> </w:t>
      </w:r>
      <w:r>
        <w:rPr>
          <w:color w:val="231F20"/>
        </w:rPr>
        <w:t>Johannesburg</w:t>
      </w:r>
      <w:r>
        <w:rPr>
          <w:color w:val="231F20"/>
          <w:spacing w:val="-7"/>
        </w:rPr>
        <w:t xml:space="preserve"> </w:t>
      </w:r>
      <w:r>
        <w:rPr>
          <w:color w:val="231F20"/>
        </w:rPr>
        <w:t>and</w:t>
      </w:r>
      <w:r>
        <w:rPr>
          <w:color w:val="231F20"/>
          <w:spacing w:val="-7"/>
        </w:rPr>
        <w:t xml:space="preserve"> </w:t>
      </w:r>
      <w:r>
        <w:rPr>
          <w:color w:val="231F20"/>
        </w:rPr>
        <w:t xml:space="preserve">Cape Town international airports, while a completely new international airport was built for Durban. Other major and minor renovations to </w:t>
      </w:r>
      <w:r>
        <w:rPr>
          <w:color w:val="231F20"/>
          <w:w w:val="95"/>
        </w:rPr>
        <w:t xml:space="preserve">domestic terminals were made as part of the event preparations around </w:t>
      </w:r>
      <w:r>
        <w:rPr>
          <w:color w:val="231F20"/>
        </w:rPr>
        <w:t>the</w:t>
      </w:r>
      <w:r>
        <w:rPr>
          <w:color w:val="231F20"/>
          <w:spacing w:val="-12"/>
        </w:rPr>
        <w:t xml:space="preserve"> </w:t>
      </w:r>
      <w:r>
        <w:rPr>
          <w:color w:val="231F20"/>
        </w:rPr>
        <w:t>country.</w:t>
      </w:r>
      <w:r>
        <w:rPr>
          <w:color w:val="231F20"/>
          <w:spacing w:val="-12"/>
        </w:rPr>
        <w:t xml:space="preserve"> </w:t>
      </w:r>
      <w:r>
        <w:rPr>
          <w:color w:val="231F20"/>
        </w:rPr>
        <w:t>Additional</w:t>
      </w:r>
      <w:r>
        <w:rPr>
          <w:color w:val="231F20"/>
          <w:spacing w:val="-11"/>
        </w:rPr>
        <w:t xml:space="preserve"> </w:t>
      </w:r>
      <w:r>
        <w:rPr>
          <w:color w:val="231F20"/>
        </w:rPr>
        <w:t>transportation</w:t>
      </w:r>
      <w:r>
        <w:rPr>
          <w:color w:val="231F20"/>
          <w:spacing w:val="-12"/>
        </w:rPr>
        <w:t xml:space="preserve"> </w:t>
      </w:r>
      <w:r>
        <w:rPr>
          <w:color w:val="231F20"/>
        </w:rPr>
        <w:t>projects</w:t>
      </w:r>
      <w:r>
        <w:rPr>
          <w:color w:val="231F20"/>
          <w:spacing w:val="-11"/>
        </w:rPr>
        <w:t xml:space="preserve"> </w:t>
      </w:r>
      <w:r>
        <w:rPr>
          <w:color w:val="231F20"/>
        </w:rPr>
        <w:t>included</w:t>
      </w:r>
      <w:r>
        <w:rPr>
          <w:color w:val="231F20"/>
          <w:spacing w:val="-12"/>
        </w:rPr>
        <w:t xml:space="preserve"> </w:t>
      </w:r>
      <w:r>
        <w:rPr>
          <w:color w:val="231F20"/>
        </w:rPr>
        <w:t>the</w:t>
      </w:r>
      <w:r>
        <w:rPr>
          <w:color w:val="231F20"/>
          <w:spacing w:val="-11"/>
        </w:rPr>
        <w:t xml:space="preserve"> </w:t>
      </w:r>
      <w:r>
        <w:rPr>
          <w:color w:val="231F20"/>
        </w:rPr>
        <w:t xml:space="preserve">‘Gautrain’ </w:t>
      </w:r>
      <w:r>
        <w:rPr>
          <w:color w:val="231F20"/>
          <w:w w:val="95"/>
        </w:rPr>
        <w:t xml:space="preserve">(a sophisticated new rail service in the Johannesburg and Pretoria urban </w:t>
      </w:r>
      <w:r>
        <w:rPr>
          <w:color w:val="231F20"/>
        </w:rPr>
        <w:t>area), the launch of a new Bus Rapid Transit (BRT) transportation network</w:t>
      </w:r>
      <w:r>
        <w:rPr>
          <w:color w:val="231F20"/>
          <w:spacing w:val="-3"/>
        </w:rPr>
        <w:t xml:space="preserve"> </w:t>
      </w:r>
      <w:r>
        <w:rPr>
          <w:color w:val="231F20"/>
        </w:rPr>
        <w:t>and</w:t>
      </w:r>
      <w:r>
        <w:rPr>
          <w:color w:val="231F20"/>
          <w:spacing w:val="-3"/>
        </w:rPr>
        <w:t xml:space="preserve"> </w:t>
      </w:r>
      <w:r>
        <w:rPr>
          <w:color w:val="231F20"/>
        </w:rPr>
        <w:t>the</w:t>
      </w:r>
      <w:r>
        <w:rPr>
          <w:color w:val="231F20"/>
          <w:spacing w:val="-3"/>
        </w:rPr>
        <w:t xml:space="preserve"> </w:t>
      </w:r>
      <w:r>
        <w:rPr>
          <w:color w:val="231F20"/>
        </w:rPr>
        <w:t>upgrading</w:t>
      </w:r>
      <w:r>
        <w:rPr>
          <w:color w:val="231F20"/>
          <w:spacing w:val="-3"/>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rPr>
        <w:t>main</w:t>
      </w:r>
      <w:r>
        <w:rPr>
          <w:color w:val="231F20"/>
          <w:spacing w:val="-3"/>
        </w:rPr>
        <w:t xml:space="preserve"> </w:t>
      </w:r>
      <w:r>
        <w:rPr>
          <w:color w:val="231F20"/>
        </w:rPr>
        <w:t>rail</w:t>
      </w:r>
      <w:r>
        <w:rPr>
          <w:color w:val="231F20"/>
          <w:spacing w:val="-3"/>
        </w:rPr>
        <w:t xml:space="preserve"> </w:t>
      </w:r>
      <w:r>
        <w:rPr>
          <w:color w:val="231F20"/>
        </w:rPr>
        <w:t>terminal</w:t>
      </w:r>
      <w:r>
        <w:rPr>
          <w:color w:val="231F20"/>
          <w:spacing w:val="-3"/>
        </w:rPr>
        <w:t xml:space="preserve"> </w:t>
      </w:r>
      <w:r>
        <w:rPr>
          <w:color w:val="231F20"/>
        </w:rPr>
        <w:t>in</w:t>
      </w:r>
      <w:r>
        <w:rPr>
          <w:color w:val="231F20"/>
          <w:spacing w:val="-3"/>
        </w:rPr>
        <w:t xml:space="preserve"> </w:t>
      </w:r>
      <w:r>
        <w:rPr>
          <w:color w:val="231F20"/>
        </w:rPr>
        <w:t>the</w:t>
      </w:r>
      <w:r>
        <w:rPr>
          <w:color w:val="231F20"/>
          <w:spacing w:val="-3"/>
        </w:rPr>
        <w:t xml:space="preserve"> </w:t>
      </w:r>
      <w:r>
        <w:rPr>
          <w:color w:val="231F20"/>
        </w:rPr>
        <w:t>city</w:t>
      </w:r>
      <w:r>
        <w:rPr>
          <w:color w:val="231F20"/>
          <w:spacing w:val="-3"/>
        </w:rPr>
        <w:t xml:space="preserve"> </w:t>
      </w:r>
      <w:r>
        <w:rPr>
          <w:color w:val="231F20"/>
        </w:rPr>
        <w:t>centre of Cape Town.</w:t>
      </w:r>
    </w:p>
    <w:p w14:paraId="1B1F3448" w14:textId="77777777" w:rsidR="00AE0598" w:rsidRDefault="00AE0598">
      <w:pPr>
        <w:pStyle w:val="Corpodetexto"/>
        <w:spacing w:before="5"/>
      </w:pPr>
    </w:p>
    <w:p w14:paraId="17257604" w14:textId="77777777" w:rsidR="00AE0598" w:rsidRDefault="0069255A">
      <w:pPr>
        <w:ind w:left="230"/>
        <w:jc w:val="both"/>
        <w:rPr>
          <w:rFonts w:ascii="Trebuchet MS"/>
          <w:i/>
          <w:sz w:val="18"/>
        </w:rPr>
      </w:pPr>
      <w:r>
        <w:rPr>
          <w:rFonts w:ascii="Trebuchet MS"/>
          <w:i/>
          <w:color w:val="231F20"/>
          <w:sz w:val="18"/>
        </w:rPr>
        <w:t>Authent</w:t>
      </w:r>
      <w:r>
        <w:rPr>
          <w:rFonts w:ascii="Trebuchet MS"/>
          <w:i/>
          <w:color w:val="231F20"/>
          <w:sz w:val="18"/>
        </w:rPr>
        <w:t>icity</w:t>
      </w:r>
      <w:r>
        <w:rPr>
          <w:rFonts w:ascii="Trebuchet MS"/>
          <w:i/>
          <w:color w:val="231F20"/>
          <w:spacing w:val="13"/>
          <w:sz w:val="18"/>
        </w:rPr>
        <w:t xml:space="preserve"> </w:t>
      </w:r>
      <w:r>
        <w:rPr>
          <w:rFonts w:ascii="Trebuchet MS"/>
          <w:i/>
          <w:color w:val="231F20"/>
          <w:sz w:val="18"/>
        </w:rPr>
        <w:t>and</w:t>
      </w:r>
      <w:r>
        <w:rPr>
          <w:rFonts w:ascii="Trebuchet MS"/>
          <w:i/>
          <w:color w:val="231F20"/>
          <w:spacing w:val="13"/>
          <w:sz w:val="18"/>
        </w:rPr>
        <w:t xml:space="preserve"> </w:t>
      </w:r>
      <w:r>
        <w:rPr>
          <w:rFonts w:ascii="Trebuchet MS"/>
          <w:i/>
          <w:color w:val="231F20"/>
          <w:sz w:val="18"/>
        </w:rPr>
        <w:t>cultural</w:t>
      </w:r>
      <w:r>
        <w:rPr>
          <w:rFonts w:ascii="Trebuchet MS"/>
          <w:i/>
          <w:color w:val="231F20"/>
          <w:spacing w:val="13"/>
          <w:sz w:val="18"/>
        </w:rPr>
        <w:t xml:space="preserve"> </w:t>
      </w:r>
      <w:r>
        <w:rPr>
          <w:rFonts w:ascii="Trebuchet MS"/>
          <w:i/>
          <w:color w:val="231F20"/>
          <w:spacing w:val="-2"/>
          <w:sz w:val="18"/>
        </w:rPr>
        <w:t>showcasing</w:t>
      </w:r>
    </w:p>
    <w:p w14:paraId="132D325A" w14:textId="77777777" w:rsidR="00AE0598" w:rsidRDefault="0069255A">
      <w:pPr>
        <w:pStyle w:val="Corpodetexto"/>
        <w:spacing w:before="7" w:line="232" w:lineRule="auto"/>
        <w:ind w:left="230" w:right="247" w:firstLine="320"/>
        <w:jc w:val="both"/>
      </w:pPr>
      <w:r>
        <w:rPr>
          <w:color w:val="231F20"/>
          <w:w w:val="95"/>
        </w:rPr>
        <w:t>The</w:t>
      </w:r>
      <w:r>
        <w:rPr>
          <w:color w:val="231F20"/>
          <w:spacing w:val="-2"/>
          <w:w w:val="95"/>
        </w:rPr>
        <w:t xml:space="preserve"> </w:t>
      </w:r>
      <w:r>
        <w:rPr>
          <w:color w:val="231F20"/>
          <w:w w:val="95"/>
        </w:rPr>
        <w:t>design,</w:t>
      </w:r>
      <w:r>
        <w:rPr>
          <w:color w:val="231F20"/>
          <w:spacing w:val="-3"/>
          <w:w w:val="95"/>
        </w:rPr>
        <w:t xml:space="preserve"> </w:t>
      </w:r>
      <w:r>
        <w:rPr>
          <w:color w:val="231F20"/>
          <w:w w:val="95"/>
        </w:rPr>
        <w:t>aesthetic</w:t>
      </w:r>
      <w:r>
        <w:rPr>
          <w:color w:val="231F20"/>
          <w:spacing w:val="-2"/>
          <w:w w:val="95"/>
        </w:rPr>
        <w:t xml:space="preserve"> </w:t>
      </w:r>
      <w:r>
        <w:rPr>
          <w:color w:val="231F20"/>
          <w:w w:val="95"/>
        </w:rPr>
        <w:t>and</w:t>
      </w:r>
      <w:r>
        <w:rPr>
          <w:color w:val="231F20"/>
          <w:spacing w:val="-3"/>
          <w:w w:val="95"/>
        </w:rPr>
        <w:t xml:space="preserve"> </w:t>
      </w:r>
      <w:r>
        <w:rPr>
          <w:color w:val="231F20"/>
          <w:w w:val="95"/>
        </w:rPr>
        <w:t>iconographic</w:t>
      </w:r>
      <w:r>
        <w:rPr>
          <w:color w:val="231F20"/>
          <w:spacing w:val="-2"/>
          <w:w w:val="95"/>
        </w:rPr>
        <w:t xml:space="preserve"> </w:t>
      </w:r>
      <w:r>
        <w:rPr>
          <w:color w:val="231F20"/>
          <w:w w:val="95"/>
        </w:rPr>
        <w:t>elements</w:t>
      </w:r>
      <w:r>
        <w:rPr>
          <w:color w:val="231F20"/>
          <w:spacing w:val="-3"/>
          <w:w w:val="95"/>
        </w:rPr>
        <w:t xml:space="preserve"> </w:t>
      </w:r>
      <w:r>
        <w:rPr>
          <w:color w:val="231F20"/>
          <w:w w:val="95"/>
        </w:rPr>
        <w:t>of</w:t>
      </w:r>
      <w:r>
        <w:rPr>
          <w:color w:val="231F20"/>
        </w:rPr>
        <w:t xml:space="preserve"> </w:t>
      </w:r>
      <w:r>
        <w:rPr>
          <w:color w:val="231F20"/>
          <w:w w:val="95"/>
        </w:rPr>
        <w:t>the</w:t>
      </w:r>
      <w:r>
        <w:rPr>
          <w:color w:val="231F20"/>
          <w:spacing w:val="-2"/>
          <w:w w:val="95"/>
        </w:rPr>
        <w:t xml:space="preserve"> </w:t>
      </w:r>
      <w:r>
        <w:rPr>
          <w:color w:val="231F20"/>
          <w:w w:val="95"/>
        </w:rPr>
        <w:t>new</w:t>
      </w:r>
      <w:r>
        <w:rPr>
          <w:color w:val="231F20"/>
          <w:spacing w:val="-3"/>
          <w:w w:val="95"/>
        </w:rPr>
        <w:t xml:space="preserve"> </w:t>
      </w:r>
      <w:r>
        <w:rPr>
          <w:color w:val="231F20"/>
          <w:w w:val="95"/>
        </w:rPr>
        <w:t xml:space="preserve">stadiums </w:t>
      </w:r>
      <w:r>
        <w:rPr>
          <w:color w:val="231F20"/>
          <w:spacing w:val="-2"/>
          <w:w w:val="95"/>
        </w:rPr>
        <w:t xml:space="preserve">were consciously developed to reflect local culture and identities. The new </w:t>
      </w:r>
      <w:r>
        <w:rPr>
          <w:color w:val="231F20"/>
          <w:w w:val="95"/>
        </w:rPr>
        <w:t>stadiums</w:t>
      </w:r>
      <w:r>
        <w:rPr>
          <w:color w:val="231F20"/>
          <w:spacing w:val="-1"/>
          <w:w w:val="95"/>
        </w:rPr>
        <w:t xml:space="preserve"> </w:t>
      </w:r>
      <w:r>
        <w:rPr>
          <w:color w:val="231F20"/>
          <w:w w:val="95"/>
        </w:rPr>
        <w:t>featured</w:t>
      </w:r>
      <w:r>
        <w:rPr>
          <w:color w:val="231F20"/>
          <w:spacing w:val="-1"/>
          <w:w w:val="95"/>
        </w:rPr>
        <w:t xml:space="preserve"> </w:t>
      </w:r>
      <w:r>
        <w:rPr>
          <w:color w:val="231F20"/>
          <w:w w:val="95"/>
        </w:rPr>
        <w:t>eye-catching</w:t>
      </w:r>
      <w:r>
        <w:rPr>
          <w:color w:val="231F20"/>
          <w:spacing w:val="-1"/>
          <w:w w:val="95"/>
        </w:rPr>
        <w:t xml:space="preserve"> </w:t>
      </w:r>
      <w:r>
        <w:rPr>
          <w:color w:val="231F20"/>
          <w:w w:val="95"/>
        </w:rPr>
        <w:t>iconic</w:t>
      </w:r>
      <w:r>
        <w:rPr>
          <w:color w:val="231F20"/>
          <w:spacing w:val="-1"/>
          <w:w w:val="95"/>
        </w:rPr>
        <w:t xml:space="preserve"> </w:t>
      </w:r>
      <w:r>
        <w:rPr>
          <w:color w:val="231F20"/>
          <w:w w:val="95"/>
        </w:rPr>
        <w:t>designs</w:t>
      </w:r>
      <w:r>
        <w:rPr>
          <w:color w:val="231F20"/>
          <w:spacing w:val="-1"/>
          <w:w w:val="95"/>
        </w:rPr>
        <w:t xml:space="preserve"> </w:t>
      </w:r>
      <w:r>
        <w:rPr>
          <w:color w:val="231F20"/>
          <w:w w:val="95"/>
        </w:rPr>
        <w:t>that</w:t>
      </w:r>
      <w:r>
        <w:rPr>
          <w:color w:val="231F20"/>
          <w:spacing w:val="-1"/>
          <w:w w:val="95"/>
        </w:rPr>
        <w:t xml:space="preserve"> </w:t>
      </w:r>
      <w:r>
        <w:rPr>
          <w:color w:val="231F20"/>
          <w:w w:val="95"/>
        </w:rPr>
        <w:t>stakeholders</w:t>
      </w:r>
      <w:r>
        <w:rPr>
          <w:color w:val="231F20"/>
          <w:spacing w:val="-1"/>
          <w:w w:val="95"/>
        </w:rPr>
        <w:t xml:space="preserve"> </w:t>
      </w:r>
      <w:r>
        <w:rPr>
          <w:color w:val="231F20"/>
          <w:w w:val="95"/>
        </w:rPr>
        <w:t xml:space="preserve">believed </w:t>
      </w:r>
      <w:r>
        <w:rPr>
          <w:color w:val="231F20"/>
        </w:rPr>
        <w:t>enhanced rather than detracted from the cities’ skylines. Authentic African</w:t>
      </w:r>
      <w:r>
        <w:rPr>
          <w:color w:val="231F20"/>
          <w:spacing w:val="-5"/>
        </w:rPr>
        <w:t xml:space="preserve"> </w:t>
      </w:r>
      <w:r>
        <w:rPr>
          <w:color w:val="231F20"/>
        </w:rPr>
        <w:t>themes</w:t>
      </w:r>
      <w:r>
        <w:rPr>
          <w:color w:val="231F20"/>
          <w:spacing w:val="-5"/>
        </w:rPr>
        <w:t xml:space="preserve"> </w:t>
      </w:r>
      <w:r>
        <w:rPr>
          <w:color w:val="231F20"/>
        </w:rPr>
        <w:t>were</w:t>
      </w:r>
      <w:r>
        <w:rPr>
          <w:color w:val="231F20"/>
          <w:spacing w:val="-5"/>
        </w:rPr>
        <w:t xml:space="preserve"> </w:t>
      </w:r>
      <w:r>
        <w:rPr>
          <w:color w:val="231F20"/>
        </w:rPr>
        <w:t>used</w:t>
      </w:r>
      <w:r>
        <w:rPr>
          <w:color w:val="231F20"/>
          <w:spacing w:val="-5"/>
        </w:rPr>
        <w:t xml:space="preserve"> </w:t>
      </w:r>
      <w:r>
        <w:rPr>
          <w:color w:val="231F20"/>
        </w:rPr>
        <w:t>in</w:t>
      </w:r>
      <w:r>
        <w:rPr>
          <w:color w:val="231F20"/>
          <w:spacing w:val="-5"/>
        </w:rPr>
        <w:t xml:space="preserve"> </w:t>
      </w:r>
      <w:r>
        <w:rPr>
          <w:color w:val="231F20"/>
        </w:rPr>
        <w:t>stadiums</w:t>
      </w:r>
      <w:r>
        <w:rPr>
          <w:color w:val="231F20"/>
          <w:spacing w:val="-5"/>
        </w:rPr>
        <w:t xml:space="preserve"> </w:t>
      </w:r>
      <w:r>
        <w:rPr>
          <w:color w:val="231F20"/>
        </w:rPr>
        <w:t>such</w:t>
      </w:r>
      <w:r>
        <w:rPr>
          <w:color w:val="231F20"/>
          <w:spacing w:val="-5"/>
        </w:rPr>
        <w:t xml:space="preserve"> </w:t>
      </w:r>
      <w:r>
        <w:rPr>
          <w:color w:val="231F20"/>
        </w:rPr>
        <w:t>as</w:t>
      </w:r>
      <w:r>
        <w:rPr>
          <w:color w:val="231F20"/>
          <w:spacing w:val="-5"/>
        </w:rPr>
        <w:t xml:space="preserve"> </w:t>
      </w:r>
      <w:r>
        <w:rPr>
          <w:color w:val="231F20"/>
        </w:rPr>
        <w:t>the</w:t>
      </w:r>
      <w:r>
        <w:rPr>
          <w:color w:val="231F20"/>
          <w:spacing w:val="-5"/>
        </w:rPr>
        <w:t xml:space="preserve"> </w:t>
      </w:r>
      <w:r>
        <w:rPr>
          <w:color w:val="231F20"/>
        </w:rPr>
        <w:t>Mbombela</w:t>
      </w:r>
      <w:r>
        <w:rPr>
          <w:color w:val="231F20"/>
          <w:spacing w:val="-5"/>
        </w:rPr>
        <w:t xml:space="preserve"> </w:t>
      </w:r>
      <w:r>
        <w:rPr>
          <w:color w:val="231F20"/>
        </w:rPr>
        <w:t xml:space="preserve">Stadium in Nelspruit (featuring giraffe-resembling supporting structures and </w:t>
      </w:r>
      <w:r>
        <w:rPr>
          <w:color w:val="231F20"/>
          <w:w w:val="95"/>
        </w:rPr>
        <w:t xml:space="preserve">zebra-striped spectator seating) and the Soccer City </w:t>
      </w:r>
      <w:r>
        <w:rPr>
          <w:color w:val="231F20"/>
          <w:w w:val="95"/>
        </w:rPr>
        <w:t xml:space="preserve">stadium in Soweto, </w:t>
      </w:r>
      <w:r>
        <w:rPr>
          <w:color w:val="231F20"/>
        </w:rPr>
        <w:t xml:space="preserve">Johannesburg (modelled on an African </w:t>
      </w:r>
      <w:r>
        <w:rPr>
          <w:i/>
          <w:color w:val="231F20"/>
        </w:rPr>
        <w:t>calabash</w:t>
      </w:r>
      <w:r>
        <w:rPr>
          <w:color w:val="231F20"/>
        </w:rPr>
        <w:t xml:space="preserve">, a type of traditional </w:t>
      </w:r>
      <w:r>
        <w:rPr>
          <w:color w:val="231F20"/>
          <w:w w:val="95"/>
        </w:rPr>
        <w:t xml:space="preserve">wooden bowl). While these designs were used to differentiate the brand </w:t>
      </w:r>
      <w:r>
        <w:rPr>
          <w:color w:val="231F20"/>
        </w:rPr>
        <w:t>of each</w:t>
      </w:r>
      <w:r>
        <w:rPr>
          <w:color w:val="231F20"/>
          <w:spacing w:val="-1"/>
        </w:rPr>
        <w:t xml:space="preserve"> </w:t>
      </w:r>
      <w:r>
        <w:rPr>
          <w:color w:val="231F20"/>
        </w:rPr>
        <w:t>stadium,</w:t>
      </w:r>
      <w:r>
        <w:rPr>
          <w:color w:val="231F20"/>
          <w:spacing w:val="-1"/>
        </w:rPr>
        <w:t xml:space="preserve"> </w:t>
      </w:r>
      <w:r>
        <w:rPr>
          <w:color w:val="231F20"/>
        </w:rPr>
        <w:t>as</w:t>
      </w:r>
      <w:r>
        <w:rPr>
          <w:color w:val="231F20"/>
          <w:spacing w:val="-1"/>
        </w:rPr>
        <w:t xml:space="preserve"> </w:t>
      </w:r>
      <w:r>
        <w:rPr>
          <w:color w:val="231F20"/>
        </w:rPr>
        <w:t>a</w:t>
      </w:r>
      <w:r>
        <w:rPr>
          <w:color w:val="231F20"/>
          <w:spacing w:val="-1"/>
        </w:rPr>
        <w:t xml:space="preserve"> </w:t>
      </w:r>
      <w:r>
        <w:rPr>
          <w:color w:val="231F20"/>
        </w:rPr>
        <w:t>whole,</w:t>
      </w:r>
      <w:r>
        <w:rPr>
          <w:color w:val="231F20"/>
          <w:spacing w:val="-1"/>
        </w:rPr>
        <w:t xml:space="preserve"> </w:t>
      </w:r>
      <w:r>
        <w:rPr>
          <w:color w:val="231F20"/>
        </w:rPr>
        <w:t>they</w:t>
      </w:r>
      <w:r>
        <w:rPr>
          <w:color w:val="231F20"/>
          <w:spacing w:val="-1"/>
        </w:rPr>
        <w:t xml:space="preserve"> </w:t>
      </w:r>
      <w:r>
        <w:rPr>
          <w:color w:val="231F20"/>
        </w:rPr>
        <w:t>distinguished</w:t>
      </w:r>
      <w:r>
        <w:rPr>
          <w:color w:val="231F20"/>
          <w:spacing w:val="-1"/>
        </w:rPr>
        <w:t xml:space="preserve"> </w:t>
      </w:r>
      <w:r>
        <w:rPr>
          <w:color w:val="231F20"/>
        </w:rPr>
        <w:t>South</w:t>
      </w:r>
      <w:r>
        <w:rPr>
          <w:color w:val="231F20"/>
          <w:spacing w:val="-1"/>
        </w:rPr>
        <w:t xml:space="preserve"> </w:t>
      </w:r>
      <w:r>
        <w:rPr>
          <w:color w:val="231F20"/>
        </w:rPr>
        <w:t>Africa</w:t>
      </w:r>
      <w:r>
        <w:rPr>
          <w:color w:val="231F20"/>
          <w:spacing w:val="-1"/>
        </w:rPr>
        <w:t xml:space="preserve"> </w:t>
      </w:r>
      <w:r>
        <w:rPr>
          <w:color w:val="231F20"/>
        </w:rPr>
        <w:t>as</w:t>
      </w:r>
      <w:r>
        <w:rPr>
          <w:color w:val="231F20"/>
          <w:spacing w:val="-1"/>
        </w:rPr>
        <w:t xml:space="preserve"> </w:t>
      </w:r>
      <w:r>
        <w:rPr>
          <w:color w:val="231F20"/>
        </w:rPr>
        <w:t>a</w:t>
      </w:r>
      <w:r>
        <w:rPr>
          <w:color w:val="231F20"/>
          <w:spacing w:val="-1"/>
        </w:rPr>
        <w:t xml:space="preserve"> </w:t>
      </w:r>
      <w:r>
        <w:rPr>
          <w:color w:val="231F20"/>
        </w:rPr>
        <w:t xml:space="preserve">FIFA </w:t>
      </w:r>
      <w:r>
        <w:rPr>
          <w:color w:val="231F20"/>
          <w:w w:val="95"/>
        </w:rPr>
        <w:t>World</w:t>
      </w:r>
      <w:r>
        <w:rPr>
          <w:color w:val="231F20"/>
          <w:spacing w:val="-10"/>
          <w:w w:val="95"/>
        </w:rPr>
        <w:t xml:space="preserve"> </w:t>
      </w:r>
      <w:r>
        <w:rPr>
          <w:color w:val="231F20"/>
          <w:w w:val="95"/>
        </w:rPr>
        <w:t>Cup</w:t>
      </w:r>
      <w:r>
        <w:rPr>
          <w:color w:val="231F20"/>
          <w:spacing w:val="-10"/>
          <w:w w:val="95"/>
        </w:rPr>
        <w:t xml:space="preserve"> </w:t>
      </w:r>
      <w:r>
        <w:rPr>
          <w:color w:val="231F20"/>
          <w:w w:val="95"/>
        </w:rPr>
        <w:t>host</w:t>
      </w:r>
      <w:r>
        <w:rPr>
          <w:color w:val="231F20"/>
          <w:spacing w:val="-9"/>
          <w:w w:val="95"/>
        </w:rPr>
        <w:t xml:space="preserve"> </w:t>
      </w:r>
      <w:r>
        <w:rPr>
          <w:color w:val="231F20"/>
          <w:w w:val="95"/>
        </w:rPr>
        <w:t>and</w:t>
      </w:r>
      <w:r>
        <w:rPr>
          <w:color w:val="231F20"/>
          <w:spacing w:val="-10"/>
          <w:w w:val="95"/>
        </w:rPr>
        <w:t xml:space="preserve"> </w:t>
      </w:r>
      <w:r>
        <w:rPr>
          <w:color w:val="231F20"/>
          <w:w w:val="95"/>
        </w:rPr>
        <w:t>as</w:t>
      </w:r>
      <w:r>
        <w:rPr>
          <w:color w:val="231F20"/>
          <w:spacing w:val="-10"/>
          <w:w w:val="95"/>
        </w:rPr>
        <w:t xml:space="preserve"> </w:t>
      </w:r>
      <w:r>
        <w:rPr>
          <w:color w:val="231F20"/>
          <w:w w:val="95"/>
        </w:rPr>
        <w:t>an</w:t>
      </w:r>
      <w:r>
        <w:rPr>
          <w:color w:val="231F20"/>
          <w:spacing w:val="-9"/>
          <w:w w:val="95"/>
        </w:rPr>
        <w:t xml:space="preserve"> </w:t>
      </w:r>
      <w:r>
        <w:rPr>
          <w:color w:val="231F20"/>
          <w:w w:val="95"/>
        </w:rPr>
        <w:t>emerging</w:t>
      </w:r>
      <w:r>
        <w:rPr>
          <w:color w:val="231F20"/>
          <w:spacing w:val="-10"/>
          <w:w w:val="95"/>
        </w:rPr>
        <w:t xml:space="preserve"> </w:t>
      </w:r>
      <w:r>
        <w:rPr>
          <w:color w:val="231F20"/>
          <w:w w:val="95"/>
        </w:rPr>
        <w:t>economy</w:t>
      </w:r>
      <w:r>
        <w:rPr>
          <w:color w:val="231F20"/>
          <w:spacing w:val="-9"/>
          <w:w w:val="95"/>
        </w:rPr>
        <w:t xml:space="preserve"> </w:t>
      </w:r>
      <w:r>
        <w:rPr>
          <w:color w:val="231F20"/>
          <w:w w:val="95"/>
        </w:rPr>
        <w:t>with</w:t>
      </w:r>
      <w:r>
        <w:rPr>
          <w:color w:val="231F20"/>
          <w:spacing w:val="-10"/>
          <w:w w:val="95"/>
        </w:rPr>
        <w:t xml:space="preserve"> </w:t>
      </w:r>
      <w:r>
        <w:rPr>
          <w:color w:val="231F20"/>
          <w:w w:val="95"/>
        </w:rPr>
        <w:t>a</w:t>
      </w:r>
      <w:r>
        <w:rPr>
          <w:color w:val="231F20"/>
          <w:spacing w:val="-10"/>
          <w:w w:val="95"/>
        </w:rPr>
        <w:t xml:space="preserve"> </w:t>
      </w:r>
      <w:r>
        <w:rPr>
          <w:color w:val="231F20"/>
          <w:w w:val="95"/>
        </w:rPr>
        <w:t>rich</w:t>
      </w:r>
      <w:r>
        <w:rPr>
          <w:color w:val="231F20"/>
          <w:spacing w:val="-9"/>
          <w:w w:val="95"/>
        </w:rPr>
        <w:t xml:space="preserve"> </w:t>
      </w:r>
      <w:r>
        <w:rPr>
          <w:color w:val="231F20"/>
          <w:w w:val="95"/>
        </w:rPr>
        <w:t>cultural</w:t>
      </w:r>
      <w:r>
        <w:rPr>
          <w:color w:val="231F20"/>
          <w:spacing w:val="-10"/>
          <w:w w:val="95"/>
        </w:rPr>
        <w:t xml:space="preserve"> </w:t>
      </w:r>
      <w:r>
        <w:rPr>
          <w:color w:val="231F20"/>
          <w:spacing w:val="-2"/>
          <w:w w:val="95"/>
        </w:rPr>
        <w:t>heritage.</w:t>
      </w:r>
    </w:p>
    <w:p w14:paraId="47F15154" w14:textId="77777777" w:rsidR="00AE0598" w:rsidRDefault="00AE0598">
      <w:pPr>
        <w:pStyle w:val="Corpodetexto"/>
        <w:spacing w:before="7"/>
      </w:pPr>
    </w:p>
    <w:p w14:paraId="0FC9EAEC" w14:textId="77777777" w:rsidR="00AE0598" w:rsidRDefault="0069255A">
      <w:pPr>
        <w:ind w:left="230"/>
        <w:jc w:val="both"/>
        <w:rPr>
          <w:rFonts w:ascii="Trebuchet MS"/>
          <w:i/>
          <w:sz w:val="18"/>
        </w:rPr>
      </w:pPr>
      <w:r>
        <w:rPr>
          <w:rFonts w:ascii="Trebuchet MS"/>
          <w:i/>
          <w:color w:val="231F20"/>
          <w:w w:val="105"/>
          <w:sz w:val="18"/>
        </w:rPr>
        <w:t>Sustaining</w:t>
      </w:r>
      <w:r>
        <w:rPr>
          <w:rFonts w:ascii="Trebuchet MS"/>
          <w:i/>
          <w:color w:val="231F20"/>
          <w:spacing w:val="-1"/>
          <w:w w:val="105"/>
          <w:sz w:val="18"/>
        </w:rPr>
        <w:t xml:space="preserve"> </w:t>
      </w:r>
      <w:r>
        <w:rPr>
          <w:rFonts w:ascii="Trebuchet MS"/>
          <w:i/>
          <w:color w:val="231F20"/>
          <w:spacing w:val="-2"/>
          <w:w w:val="105"/>
          <w:sz w:val="18"/>
        </w:rPr>
        <w:t>legacies</w:t>
      </w:r>
    </w:p>
    <w:p w14:paraId="50460652" w14:textId="77777777" w:rsidR="00AE0598" w:rsidRDefault="0069255A">
      <w:pPr>
        <w:pStyle w:val="Corpodetexto"/>
        <w:spacing w:before="7" w:line="232" w:lineRule="auto"/>
        <w:ind w:left="230" w:right="246" w:firstLine="320"/>
        <w:jc w:val="right"/>
      </w:pPr>
      <w:r>
        <w:rPr>
          <w:color w:val="231F20"/>
        </w:rPr>
        <w:t>Despite</w:t>
      </w:r>
      <w:r>
        <w:rPr>
          <w:color w:val="231F20"/>
          <w:spacing w:val="40"/>
        </w:rPr>
        <w:t xml:space="preserve"> </w:t>
      </w:r>
      <w:r>
        <w:rPr>
          <w:color w:val="231F20"/>
        </w:rPr>
        <w:t>lofty</w:t>
      </w:r>
      <w:r>
        <w:rPr>
          <w:color w:val="231F20"/>
          <w:spacing w:val="40"/>
        </w:rPr>
        <w:t xml:space="preserve"> </w:t>
      </w:r>
      <w:r>
        <w:rPr>
          <w:color w:val="231F20"/>
        </w:rPr>
        <w:t>objectives</w:t>
      </w:r>
      <w:r>
        <w:rPr>
          <w:color w:val="231F20"/>
          <w:spacing w:val="40"/>
        </w:rPr>
        <w:t xml:space="preserve"> </w:t>
      </w:r>
      <w:r>
        <w:rPr>
          <w:color w:val="231F20"/>
        </w:rPr>
        <w:t>and</w:t>
      </w:r>
      <w:r>
        <w:rPr>
          <w:color w:val="231F20"/>
          <w:spacing w:val="40"/>
        </w:rPr>
        <w:t xml:space="preserve"> </w:t>
      </w:r>
      <w:r>
        <w:rPr>
          <w:color w:val="231F20"/>
        </w:rPr>
        <w:t>major</w:t>
      </w:r>
      <w:r>
        <w:rPr>
          <w:color w:val="231F20"/>
          <w:spacing w:val="40"/>
        </w:rPr>
        <w:t xml:space="preserve"> </w:t>
      </w:r>
      <w:r>
        <w:rPr>
          <w:color w:val="231F20"/>
        </w:rPr>
        <w:t>investments,</w:t>
      </w:r>
      <w:r>
        <w:rPr>
          <w:color w:val="231F20"/>
          <w:spacing w:val="40"/>
        </w:rPr>
        <w:t xml:space="preserve"> </w:t>
      </w:r>
      <w:r>
        <w:rPr>
          <w:color w:val="231F20"/>
        </w:rPr>
        <w:t>several</w:t>
      </w:r>
      <w:r>
        <w:rPr>
          <w:color w:val="231F20"/>
          <w:spacing w:val="40"/>
        </w:rPr>
        <w:t xml:space="preserve"> </w:t>
      </w:r>
      <w:r>
        <w:rPr>
          <w:color w:val="231F20"/>
        </w:rPr>
        <w:t>of</w:t>
      </w:r>
      <w:r>
        <w:rPr>
          <w:color w:val="231F20"/>
          <w:spacing w:val="40"/>
        </w:rPr>
        <w:t xml:space="preserve"> </w:t>
      </w:r>
      <w:r>
        <w:rPr>
          <w:color w:val="231F20"/>
        </w:rPr>
        <w:t>the stadiums</w:t>
      </w:r>
      <w:r>
        <w:rPr>
          <w:color w:val="231F20"/>
          <w:spacing w:val="40"/>
        </w:rPr>
        <w:t xml:space="preserve"> </w:t>
      </w:r>
      <w:r>
        <w:rPr>
          <w:color w:val="231F20"/>
        </w:rPr>
        <w:t>built</w:t>
      </w:r>
      <w:r>
        <w:rPr>
          <w:color w:val="231F20"/>
          <w:spacing w:val="40"/>
        </w:rPr>
        <w:t xml:space="preserve"> </w:t>
      </w:r>
      <w:r>
        <w:rPr>
          <w:color w:val="231F20"/>
        </w:rPr>
        <w:t>for</w:t>
      </w:r>
      <w:r>
        <w:rPr>
          <w:color w:val="231F20"/>
          <w:spacing w:val="40"/>
        </w:rPr>
        <w:t xml:space="preserve"> </w:t>
      </w:r>
      <w:r>
        <w:rPr>
          <w:color w:val="231F20"/>
        </w:rPr>
        <w:t>the</w:t>
      </w:r>
      <w:r>
        <w:rPr>
          <w:color w:val="231F20"/>
          <w:spacing w:val="40"/>
        </w:rPr>
        <w:t xml:space="preserve"> </w:t>
      </w:r>
      <w:r>
        <w:rPr>
          <w:color w:val="231F20"/>
        </w:rPr>
        <w:t>2010</w:t>
      </w:r>
      <w:r>
        <w:rPr>
          <w:color w:val="231F20"/>
          <w:spacing w:val="40"/>
        </w:rPr>
        <w:t xml:space="preserve"> </w:t>
      </w:r>
      <w:r>
        <w:rPr>
          <w:color w:val="231F20"/>
        </w:rPr>
        <w:t>FIFA</w:t>
      </w:r>
      <w:r>
        <w:rPr>
          <w:color w:val="231F20"/>
          <w:spacing w:val="40"/>
        </w:rPr>
        <w:t xml:space="preserve"> </w:t>
      </w:r>
      <w:r>
        <w:rPr>
          <w:color w:val="231F20"/>
        </w:rPr>
        <w:t>World</w:t>
      </w:r>
      <w:r>
        <w:rPr>
          <w:color w:val="231F20"/>
          <w:spacing w:val="40"/>
        </w:rPr>
        <w:t xml:space="preserve"> </w:t>
      </w:r>
      <w:r>
        <w:rPr>
          <w:color w:val="231F20"/>
        </w:rPr>
        <w:t>Cup</w:t>
      </w:r>
      <w:r>
        <w:rPr>
          <w:color w:val="231F20"/>
          <w:spacing w:val="40"/>
        </w:rPr>
        <w:t xml:space="preserve"> </w:t>
      </w:r>
      <w:r>
        <w:rPr>
          <w:color w:val="231F20"/>
        </w:rPr>
        <w:t>have</w:t>
      </w:r>
      <w:r>
        <w:rPr>
          <w:color w:val="231F20"/>
          <w:spacing w:val="40"/>
        </w:rPr>
        <w:t xml:space="preserve"> </w:t>
      </w:r>
      <w:r>
        <w:rPr>
          <w:color w:val="231F20"/>
        </w:rPr>
        <w:t>struggled.</w:t>
      </w:r>
      <w:r>
        <w:rPr>
          <w:color w:val="231F20"/>
          <w:spacing w:val="40"/>
        </w:rPr>
        <w:t xml:space="preserve"> </w:t>
      </w:r>
      <w:r>
        <w:rPr>
          <w:color w:val="231F20"/>
        </w:rPr>
        <w:t xml:space="preserve">For </w:t>
      </w:r>
      <w:r>
        <w:rPr>
          <w:color w:val="231F20"/>
          <w:w w:val="95"/>
        </w:rPr>
        <w:t>example,</w:t>
      </w:r>
      <w:r>
        <w:rPr>
          <w:color w:val="231F20"/>
          <w:spacing w:val="-1"/>
          <w:w w:val="95"/>
        </w:rPr>
        <w:t xml:space="preserve"> </w:t>
      </w:r>
      <w:r>
        <w:rPr>
          <w:color w:val="231F20"/>
          <w:w w:val="95"/>
        </w:rPr>
        <w:t>the</w:t>
      </w:r>
      <w:r>
        <w:rPr>
          <w:color w:val="231F20"/>
          <w:spacing w:val="-1"/>
          <w:w w:val="95"/>
        </w:rPr>
        <w:t xml:space="preserve"> </w:t>
      </w:r>
      <w:r>
        <w:rPr>
          <w:color w:val="231F20"/>
          <w:w w:val="95"/>
        </w:rPr>
        <w:t>Cape</w:t>
      </w:r>
      <w:r>
        <w:rPr>
          <w:color w:val="231F20"/>
          <w:spacing w:val="-1"/>
          <w:w w:val="95"/>
        </w:rPr>
        <w:t xml:space="preserve"> </w:t>
      </w:r>
      <w:r>
        <w:rPr>
          <w:color w:val="231F20"/>
          <w:w w:val="95"/>
        </w:rPr>
        <w:t>Town</w:t>
      </w:r>
      <w:r>
        <w:rPr>
          <w:color w:val="231F20"/>
          <w:spacing w:val="-1"/>
          <w:w w:val="95"/>
        </w:rPr>
        <w:t xml:space="preserve"> </w:t>
      </w:r>
      <w:r>
        <w:rPr>
          <w:color w:val="231F20"/>
          <w:w w:val="95"/>
        </w:rPr>
        <w:t>stadium</w:t>
      </w:r>
      <w:r>
        <w:rPr>
          <w:color w:val="231F20"/>
          <w:spacing w:val="-1"/>
          <w:w w:val="95"/>
        </w:rPr>
        <w:t xml:space="preserve"> </w:t>
      </w:r>
      <w:r>
        <w:rPr>
          <w:color w:val="231F20"/>
          <w:w w:val="95"/>
        </w:rPr>
        <w:t>has</w:t>
      </w:r>
      <w:r>
        <w:rPr>
          <w:color w:val="231F20"/>
          <w:spacing w:val="-1"/>
          <w:w w:val="95"/>
        </w:rPr>
        <w:t xml:space="preserve"> </w:t>
      </w:r>
      <w:r>
        <w:rPr>
          <w:color w:val="231F20"/>
          <w:w w:val="95"/>
        </w:rPr>
        <w:t>been</w:t>
      </w:r>
      <w:r>
        <w:rPr>
          <w:color w:val="231F20"/>
          <w:spacing w:val="-1"/>
          <w:w w:val="95"/>
        </w:rPr>
        <w:t xml:space="preserve"> </w:t>
      </w:r>
      <w:r>
        <w:rPr>
          <w:color w:val="231F20"/>
          <w:w w:val="95"/>
        </w:rPr>
        <w:t>underutilised</w:t>
      </w:r>
      <w:r>
        <w:rPr>
          <w:color w:val="231F20"/>
          <w:spacing w:val="-1"/>
          <w:w w:val="95"/>
        </w:rPr>
        <w:t xml:space="preserve"> </w:t>
      </w:r>
      <w:r>
        <w:rPr>
          <w:color w:val="231F20"/>
          <w:w w:val="95"/>
        </w:rPr>
        <w:t>and</w:t>
      </w:r>
      <w:r>
        <w:rPr>
          <w:color w:val="231F20"/>
          <w:spacing w:val="-1"/>
          <w:w w:val="95"/>
        </w:rPr>
        <w:t xml:space="preserve"> </w:t>
      </w:r>
      <w:r>
        <w:rPr>
          <w:color w:val="231F20"/>
          <w:w w:val="95"/>
        </w:rPr>
        <w:t>is</w:t>
      </w:r>
      <w:r>
        <w:rPr>
          <w:color w:val="231F20"/>
          <w:spacing w:val="-1"/>
          <w:w w:val="95"/>
        </w:rPr>
        <w:t xml:space="preserve"> </w:t>
      </w:r>
      <w:r>
        <w:rPr>
          <w:color w:val="231F20"/>
          <w:w w:val="95"/>
        </w:rPr>
        <w:t>no</w:t>
      </w:r>
      <w:r>
        <w:rPr>
          <w:color w:val="231F20"/>
          <w:spacing w:val="-1"/>
          <w:w w:val="95"/>
        </w:rPr>
        <w:t xml:space="preserve"> </w:t>
      </w:r>
      <w:r>
        <w:rPr>
          <w:color w:val="231F20"/>
          <w:w w:val="95"/>
        </w:rPr>
        <w:t>longer considered</w:t>
      </w:r>
      <w:r>
        <w:rPr>
          <w:color w:val="231F20"/>
          <w:spacing w:val="39"/>
        </w:rPr>
        <w:t xml:space="preserve"> </w:t>
      </w:r>
      <w:r>
        <w:rPr>
          <w:color w:val="231F20"/>
          <w:w w:val="95"/>
        </w:rPr>
        <w:t>a</w:t>
      </w:r>
      <w:r>
        <w:rPr>
          <w:color w:val="231F20"/>
          <w:spacing w:val="39"/>
        </w:rPr>
        <w:t xml:space="preserve"> </w:t>
      </w:r>
      <w:r>
        <w:rPr>
          <w:color w:val="231F20"/>
          <w:w w:val="95"/>
        </w:rPr>
        <w:t>sustainable</w:t>
      </w:r>
      <w:r>
        <w:rPr>
          <w:color w:val="231F20"/>
          <w:spacing w:val="39"/>
        </w:rPr>
        <w:t xml:space="preserve"> </w:t>
      </w:r>
      <w:r>
        <w:rPr>
          <w:color w:val="231F20"/>
          <w:w w:val="95"/>
        </w:rPr>
        <w:t>legacy.</w:t>
      </w:r>
      <w:r>
        <w:rPr>
          <w:color w:val="231F20"/>
          <w:spacing w:val="39"/>
        </w:rPr>
        <w:t xml:space="preserve"> </w:t>
      </w:r>
      <w:r>
        <w:rPr>
          <w:color w:val="231F20"/>
          <w:w w:val="95"/>
        </w:rPr>
        <w:t>Generally,</w:t>
      </w:r>
      <w:r>
        <w:rPr>
          <w:color w:val="231F20"/>
          <w:spacing w:val="39"/>
        </w:rPr>
        <w:t xml:space="preserve"> </w:t>
      </w:r>
      <w:r>
        <w:rPr>
          <w:color w:val="231F20"/>
          <w:w w:val="95"/>
        </w:rPr>
        <w:t>these</w:t>
      </w:r>
      <w:r>
        <w:rPr>
          <w:color w:val="231F20"/>
          <w:spacing w:val="39"/>
        </w:rPr>
        <w:t xml:space="preserve"> </w:t>
      </w:r>
      <w:r>
        <w:rPr>
          <w:color w:val="231F20"/>
          <w:w w:val="95"/>
        </w:rPr>
        <w:t>stadiums</w:t>
      </w:r>
      <w:r>
        <w:rPr>
          <w:color w:val="231F20"/>
          <w:spacing w:val="39"/>
        </w:rPr>
        <w:t xml:space="preserve"> </w:t>
      </w:r>
      <w:r>
        <w:rPr>
          <w:color w:val="231F20"/>
          <w:w w:val="95"/>
        </w:rPr>
        <w:t>have</w:t>
      </w:r>
      <w:r>
        <w:rPr>
          <w:color w:val="231F20"/>
          <w:spacing w:val="39"/>
        </w:rPr>
        <w:t xml:space="preserve"> </w:t>
      </w:r>
      <w:r>
        <w:rPr>
          <w:color w:val="231F20"/>
          <w:w w:val="95"/>
        </w:rPr>
        <w:t>been criticised</w:t>
      </w:r>
      <w:r>
        <w:rPr>
          <w:color w:val="231F20"/>
          <w:spacing w:val="26"/>
        </w:rPr>
        <w:t xml:space="preserve"> </w:t>
      </w:r>
      <w:r>
        <w:rPr>
          <w:color w:val="231F20"/>
          <w:w w:val="95"/>
        </w:rPr>
        <w:t>for</w:t>
      </w:r>
      <w:r>
        <w:rPr>
          <w:color w:val="231F20"/>
          <w:spacing w:val="26"/>
        </w:rPr>
        <w:t xml:space="preserve"> </w:t>
      </w:r>
      <w:r>
        <w:rPr>
          <w:color w:val="231F20"/>
          <w:w w:val="95"/>
        </w:rPr>
        <w:t>not</w:t>
      </w:r>
      <w:r>
        <w:rPr>
          <w:color w:val="231F20"/>
          <w:spacing w:val="26"/>
        </w:rPr>
        <w:t xml:space="preserve"> </w:t>
      </w:r>
      <w:r>
        <w:rPr>
          <w:color w:val="231F20"/>
          <w:w w:val="95"/>
        </w:rPr>
        <w:t>being</w:t>
      </w:r>
      <w:r>
        <w:rPr>
          <w:color w:val="231F20"/>
          <w:spacing w:val="26"/>
        </w:rPr>
        <w:t xml:space="preserve"> </w:t>
      </w:r>
      <w:r>
        <w:rPr>
          <w:color w:val="231F20"/>
          <w:w w:val="95"/>
        </w:rPr>
        <w:t>sustainable</w:t>
      </w:r>
      <w:r>
        <w:rPr>
          <w:color w:val="231F20"/>
          <w:spacing w:val="26"/>
        </w:rPr>
        <w:t xml:space="preserve"> </w:t>
      </w:r>
      <w:r>
        <w:rPr>
          <w:color w:val="231F20"/>
          <w:w w:val="95"/>
        </w:rPr>
        <w:t>post-event</w:t>
      </w:r>
      <w:r>
        <w:rPr>
          <w:color w:val="231F20"/>
          <w:spacing w:val="26"/>
        </w:rPr>
        <w:t xml:space="preserve"> </w:t>
      </w:r>
      <w:r>
        <w:rPr>
          <w:color w:val="231F20"/>
          <w:w w:val="95"/>
        </w:rPr>
        <w:t>despite</w:t>
      </w:r>
      <w:r>
        <w:rPr>
          <w:color w:val="231F20"/>
          <w:spacing w:val="26"/>
        </w:rPr>
        <w:t xml:space="preserve"> </w:t>
      </w:r>
      <w:r>
        <w:rPr>
          <w:color w:val="231F20"/>
          <w:w w:val="95"/>
        </w:rPr>
        <w:t>their</w:t>
      </w:r>
      <w:r>
        <w:rPr>
          <w:color w:val="231F20"/>
          <w:spacing w:val="26"/>
        </w:rPr>
        <w:t xml:space="preserve"> </w:t>
      </w:r>
      <w:r>
        <w:rPr>
          <w:color w:val="231F20"/>
          <w:w w:val="95"/>
        </w:rPr>
        <w:t>innovative designs.</w:t>
      </w:r>
      <w:r>
        <w:rPr>
          <w:color w:val="231F20"/>
          <w:spacing w:val="-6"/>
          <w:w w:val="95"/>
        </w:rPr>
        <w:t xml:space="preserve"> </w:t>
      </w:r>
      <w:r>
        <w:rPr>
          <w:color w:val="231F20"/>
          <w:w w:val="95"/>
        </w:rPr>
        <w:t>Post-event</w:t>
      </w:r>
      <w:r>
        <w:rPr>
          <w:color w:val="231F20"/>
          <w:spacing w:val="-6"/>
          <w:w w:val="95"/>
        </w:rPr>
        <w:t xml:space="preserve"> </w:t>
      </w:r>
      <w:r>
        <w:rPr>
          <w:color w:val="231F20"/>
          <w:w w:val="95"/>
        </w:rPr>
        <w:t>assessment</w:t>
      </w:r>
      <w:r>
        <w:rPr>
          <w:color w:val="231F20"/>
          <w:spacing w:val="-6"/>
          <w:w w:val="95"/>
        </w:rPr>
        <w:t xml:space="preserve"> </w:t>
      </w:r>
      <w:r>
        <w:rPr>
          <w:color w:val="231F20"/>
          <w:w w:val="95"/>
        </w:rPr>
        <w:t>suggests</w:t>
      </w:r>
      <w:r>
        <w:rPr>
          <w:color w:val="231F20"/>
          <w:spacing w:val="-6"/>
          <w:w w:val="95"/>
        </w:rPr>
        <w:t xml:space="preserve"> </w:t>
      </w:r>
      <w:r>
        <w:rPr>
          <w:color w:val="231F20"/>
          <w:w w:val="95"/>
        </w:rPr>
        <w:t>that</w:t>
      </w:r>
      <w:r>
        <w:rPr>
          <w:color w:val="231F20"/>
          <w:spacing w:val="-6"/>
          <w:w w:val="95"/>
        </w:rPr>
        <w:t xml:space="preserve"> </w:t>
      </w:r>
      <w:r>
        <w:rPr>
          <w:color w:val="231F20"/>
          <w:w w:val="95"/>
        </w:rPr>
        <w:t>more</w:t>
      </w:r>
      <w:r>
        <w:rPr>
          <w:color w:val="231F20"/>
          <w:spacing w:val="-6"/>
          <w:w w:val="95"/>
        </w:rPr>
        <w:t xml:space="preserve"> </w:t>
      </w:r>
      <w:r>
        <w:rPr>
          <w:color w:val="231F20"/>
          <w:w w:val="95"/>
        </w:rPr>
        <w:t>effective</w:t>
      </w:r>
      <w:r>
        <w:rPr>
          <w:color w:val="231F20"/>
          <w:spacing w:val="-6"/>
          <w:w w:val="95"/>
        </w:rPr>
        <w:t xml:space="preserve"> </w:t>
      </w:r>
      <w:r>
        <w:rPr>
          <w:color w:val="231F20"/>
          <w:w w:val="95"/>
        </w:rPr>
        <w:t>leveraging</w:t>
      </w:r>
      <w:r>
        <w:rPr>
          <w:color w:val="231F20"/>
          <w:spacing w:val="-6"/>
          <w:w w:val="95"/>
        </w:rPr>
        <w:t xml:space="preserve"> </w:t>
      </w:r>
      <w:r>
        <w:rPr>
          <w:color w:val="231F20"/>
          <w:w w:val="95"/>
        </w:rPr>
        <w:t xml:space="preserve">of stadiums was required such as being designed for multipurpose use and </w:t>
      </w:r>
      <w:r>
        <w:rPr>
          <w:color w:val="231F20"/>
        </w:rPr>
        <w:t>commercial</w:t>
      </w:r>
      <w:r>
        <w:rPr>
          <w:color w:val="231F20"/>
          <w:spacing w:val="12"/>
        </w:rPr>
        <w:t xml:space="preserve"> </w:t>
      </w:r>
      <w:r>
        <w:rPr>
          <w:color w:val="231F20"/>
        </w:rPr>
        <w:t>activities.</w:t>
      </w:r>
      <w:r>
        <w:rPr>
          <w:color w:val="231F20"/>
          <w:spacing w:val="12"/>
        </w:rPr>
        <w:t xml:space="preserve"> </w:t>
      </w:r>
      <w:r>
        <w:rPr>
          <w:color w:val="231F20"/>
        </w:rPr>
        <w:t>The</w:t>
      </w:r>
      <w:r>
        <w:rPr>
          <w:color w:val="231F20"/>
          <w:spacing w:val="12"/>
        </w:rPr>
        <w:t xml:space="preserve"> </w:t>
      </w:r>
      <w:r>
        <w:rPr>
          <w:color w:val="231F20"/>
        </w:rPr>
        <w:t>stadium</w:t>
      </w:r>
      <w:r>
        <w:rPr>
          <w:color w:val="231F20"/>
          <w:spacing w:val="12"/>
        </w:rPr>
        <w:t xml:space="preserve"> </w:t>
      </w:r>
      <w:r>
        <w:rPr>
          <w:color w:val="231F20"/>
        </w:rPr>
        <w:t>in</w:t>
      </w:r>
      <w:r>
        <w:rPr>
          <w:color w:val="231F20"/>
          <w:spacing w:val="12"/>
        </w:rPr>
        <w:t xml:space="preserve"> </w:t>
      </w:r>
      <w:r>
        <w:rPr>
          <w:color w:val="231F20"/>
        </w:rPr>
        <w:t>Durban</w:t>
      </w:r>
      <w:r>
        <w:rPr>
          <w:color w:val="231F20"/>
          <w:spacing w:val="12"/>
        </w:rPr>
        <w:t xml:space="preserve"> </w:t>
      </w:r>
      <w:r>
        <w:rPr>
          <w:color w:val="231F20"/>
        </w:rPr>
        <w:t>has</w:t>
      </w:r>
      <w:r>
        <w:rPr>
          <w:color w:val="231F20"/>
          <w:spacing w:val="12"/>
        </w:rPr>
        <w:t xml:space="preserve"> </w:t>
      </w:r>
      <w:r>
        <w:rPr>
          <w:color w:val="231F20"/>
        </w:rPr>
        <w:t>been</w:t>
      </w:r>
      <w:r>
        <w:rPr>
          <w:color w:val="231F20"/>
          <w:spacing w:val="12"/>
        </w:rPr>
        <w:t xml:space="preserve"> </w:t>
      </w:r>
      <w:r>
        <w:rPr>
          <w:color w:val="231F20"/>
        </w:rPr>
        <w:t>successful</w:t>
      </w:r>
      <w:r>
        <w:rPr>
          <w:color w:val="231F20"/>
          <w:spacing w:val="12"/>
        </w:rPr>
        <w:t xml:space="preserve"> </w:t>
      </w:r>
      <w:r>
        <w:rPr>
          <w:color w:val="231F20"/>
        </w:rPr>
        <w:t xml:space="preserve">in </w:t>
      </w:r>
      <w:r>
        <w:rPr>
          <w:color w:val="231F20"/>
          <w:w w:val="95"/>
        </w:rPr>
        <w:t>this regard with a bungee jump, retail and restaurant attractions and the post-FIFA hosting of a variety of other s</w:t>
      </w:r>
      <w:r>
        <w:rPr>
          <w:color w:val="231F20"/>
          <w:w w:val="95"/>
        </w:rPr>
        <w:t>port and charity-linked events.</w:t>
      </w:r>
      <w:r>
        <w:rPr>
          <w:color w:val="231F20"/>
        </w:rPr>
        <w:t xml:space="preserve"> Beyond</w:t>
      </w:r>
      <w:r>
        <w:rPr>
          <w:color w:val="231F20"/>
          <w:spacing w:val="18"/>
        </w:rPr>
        <w:t xml:space="preserve"> </w:t>
      </w:r>
      <w:r>
        <w:rPr>
          <w:color w:val="231F20"/>
        </w:rPr>
        <w:t>this,</w:t>
      </w:r>
      <w:r>
        <w:rPr>
          <w:color w:val="231F20"/>
          <w:spacing w:val="18"/>
        </w:rPr>
        <w:t xml:space="preserve"> </w:t>
      </w:r>
      <w:r>
        <w:rPr>
          <w:color w:val="231F20"/>
        </w:rPr>
        <w:t>the</w:t>
      </w:r>
      <w:r>
        <w:rPr>
          <w:color w:val="231F20"/>
          <w:spacing w:val="18"/>
        </w:rPr>
        <w:t xml:space="preserve"> </w:t>
      </w:r>
      <w:r>
        <w:rPr>
          <w:color w:val="231F20"/>
        </w:rPr>
        <w:t>stadiums</w:t>
      </w:r>
      <w:r>
        <w:rPr>
          <w:color w:val="231F20"/>
          <w:spacing w:val="18"/>
        </w:rPr>
        <w:t xml:space="preserve"> </w:t>
      </w:r>
      <w:r>
        <w:rPr>
          <w:color w:val="231F20"/>
        </w:rPr>
        <w:t>should</w:t>
      </w:r>
      <w:r>
        <w:rPr>
          <w:color w:val="231F20"/>
          <w:spacing w:val="18"/>
        </w:rPr>
        <w:t xml:space="preserve"> </w:t>
      </w:r>
      <w:r>
        <w:rPr>
          <w:color w:val="231F20"/>
        </w:rPr>
        <w:t>also</w:t>
      </w:r>
      <w:r>
        <w:rPr>
          <w:color w:val="231F20"/>
          <w:spacing w:val="18"/>
        </w:rPr>
        <w:t xml:space="preserve"> </w:t>
      </w:r>
      <w:r>
        <w:rPr>
          <w:color w:val="231F20"/>
        </w:rPr>
        <w:t>have</w:t>
      </w:r>
      <w:r>
        <w:rPr>
          <w:color w:val="231F20"/>
          <w:spacing w:val="18"/>
        </w:rPr>
        <w:t xml:space="preserve"> </w:t>
      </w:r>
      <w:r>
        <w:rPr>
          <w:color w:val="231F20"/>
        </w:rPr>
        <w:t>been</w:t>
      </w:r>
      <w:r>
        <w:rPr>
          <w:color w:val="231F20"/>
          <w:spacing w:val="18"/>
        </w:rPr>
        <w:t xml:space="preserve"> </w:t>
      </w:r>
      <w:r>
        <w:rPr>
          <w:color w:val="231F20"/>
        </w:rPr>
        <w:t>leveraged</w:t>
      </w:r>
      <w:r>
        <w:rPr>
          <w:color w:val="231F20"/>
          <w:spacing w:val="18"/>
        </w:rPr>
        <w:t xml:space="preserve"> </w:t>
      </w:r>
      <w:r>
        <w:rPr>
          <w:color w:val="231F20"/>
        </w:rPr>
        <w:t>as</w:t>
      </w:r>
      <w:r>
        <w:rPr>
          <w:color w:val="231F20"/>
          <w:spacing w:val="18"/>
        </w:rPr>
        <w:t xml:space="preserve"> </w:t>
      </w:r>
      <w:r>
        <w:rPr>
          <w:color w:val="231F20"/>
        </w:rPr>
        <w:t>key domestic</w:t>
      </w:r>
      <w:r>
        <w:rPr>
          <w:color w:val="231F20"/>
          <w:spacing w:val="40"/>
        </w:rPr>
        <w:t xml:space="preserve"> </w:t>
      </w:r>
      <w:r>
        <w:rPr>
          <w:color w:val="231F20"/>
        </w:rPr>
        <w:t>and</w:t>
      </w:r>
      <w:r>
        <w:rPr>
          <w:color w:val="231F20"/>
          <w:spacing w:val="40"/>
        </w:rPr>
        <w:t xml:space="preserve"> </w:t>
      </w:r>
      <w:r>
        <w:rPr>
          <w:color w:val="231F20"/>
        </w:rPr>
        <w:t>international</w:t>
      </w:r>
      <w:r>
        <w:rPr>
          <w:color w:val="231F20"/>
          <w:spacing w:val="40"/>
        </w:rPr>
        <w:t xml:space="preserve"> </w:t>
      </w:r>
      <w:r>
        <w:rPr>
          <w:color w:val="231F20"/>
        </w:rPr>
        <w:t>tourist</w:t>
      </w:r>
      <w:r>
        <w:rPr>
          <w:color w:val="231F20"/>
          <w:spacing w:val="40"/>
        </w:rPr>
        <w:t xml:space="preserve"> </w:t>
      </w:r>
      <w:r>
        <w:rPr>
          <w:color w:val="231F20"/>
        </w:rPr>
        <w:t>attractions</w:t>
      </w:r>
      <w:r>
        <w:rPr>
          <w:color w:val="231F20"/>
          <w:spacing w:val="40"/>
        </w:rPr>
        <w:t xml:space="preserve"> </w:t>
      </w:r>
      <w:r>
        <w:rPr>
          <w:color w:val="231F20"/>
        </w:rPr>
        <w:t>in</w:t>
      </w:r>
      <w:r>
        <w:rPr>
          <w:color w:val="231F20"/>
          <w:spacing w:val="40"/>
        </w:rPr>
        <w:t xml:space="preserve"> </w:t>
      </w:r>
      <w:r>
        <w:rPr>
          <w:color w:val="231F20"/>
        </w:rPr>
        <w:t>their</w:t>
      </w:r>
      <w:r>
        <w:rPr>
          <w:color w:val="231F20"/>
          <w:spacing w:val="40"/>
        </w:rPr>
        <w:t xml:space="preserve"> </w:t>
      </w:r>
      <w:r>
        <w:rPr>
          <w:color w:val="231F20"/>
        </w:rPr>
        <w:t>own</w:t>
      </w:r>
      <w:r>
        <w:rPr>
          <w:color w:val="231F20"/>
          <w:spacing w:val="40"/>
        </w:rPr>
        <w:t xml:space="preserve"> </w:t>
      </w:r>
      <w:r>
        <w:rPr>
          <w:color w:val="231F20"/>
        </w:rPr>
        <w:t>right, forming</w:t>
      </w:r>
      <w:r>
        <w:rPr>
          <w:color w:val="231F20"/>
          <w:spacing w:val="20"/>
        </w:rPr>
        <w:t xml:space="preserve"> </w:t>
      </w:r>
      <w:r>
        <w:rPr>
          <w:color w:val="231F20"/>
        </w:rPr>
        <w:t>part</w:t>
      </w:r>
      <w:r>
        <w:rPr>
          <w:color w:val="231F20"/>
          <w:spacing w:val="21"/>
        </w:rPr>
        <w:t xml:space="preserve"> </w:t>
      </w:r>
      <w:r>
        <w:rPr>
          <w:color w:val="231F20"/>
        </w:rPr>
        <w:t>of</w:t>
      </w:r>
      <w:r>
        <w:rPr>
          <w:color w:val="231F20"/>
          <w:spacing w:val="21"/>
        </w:rPr>
        <w:t xml:space="preserve"> </w:t>
      </w:r>
      <w:r>
        <w:rPr>
          <w:color w:val="231F20"/>
        </w:rPr>
        <w:t>the</w:t>
      </w:r>
      <w:r>
        <w:rPr>
          <w:color w:val="231F20"/>
          <w:spacing w:val="20"/>
        </w:rPr>
        <w:t xml:space="preserve"> </w:t>
      </w:r>
      <w:r>
        <w:rPr>
          <w:color w:val="231F20"/>
        </w:rPr>
        <w:t>destination</w:t>
      </w:r>
      <w:r>
        <w:rPr>
          <w:color w:val="231F20"/>
          <w:spacing w:val="20"/>
        </w:rPr>
        <w:t xml:space="preserve"> </w:t>
      </w:r>
      <w:r>
        <w:rPr>
          <w:color w:val="231F20"/>
        </w:rPr>
        <w:t>branding</w:t>
      </w:r>
      <w:r>
        <w:rPr>
          <w:color w:val="231F20"/>
          <w:spacing w:val="21"/>
        </w:rPr>
        <w:t xml:space="preserve"> </w:t>
      </w:r>
      <w:r>
        <w:rPr>
          <w:color w:val="231F20"/>
        </w:rPr>
        <w:t>mix</w:t>
      </w:r>
      <w:r>
        <w:rPr>
          <w:color w:val="231F20"/>
          <w:spacing w:val="20"/>
        </w:rPr>
        <w:t xml:space="preserve"> </w:t>
      </w:r>
      <w:r>
        <w:rPr>
          <w:color w:val="231F20"/>
        </w:rPr>
        <w:t>of</w:t>
      </w:r>
      <w:r>
        <w:rPr>
          <w:color w:val="231F20"/>
          <w:spacing w:val="21"/>
        </w:rPr>
        <w:t xml:space="preserve"> </w:t>
      </w:r>
      <w:r>
        <w:rPr>
          <w:color w:val="231F20"/>
        </w:rPr>
        <w:t>the</w:t>
      </w:r>
      <w:r>
        <w:rPr>
          <w:color w:val="231F20"/>
          <w:spacing w:val="20"/>
        </w:rPr>
        <w:t xml:space="preserve"> </w:t>
      </w:r>
      <w:r>
        <w:rPr>
          <w:color w:val="231F20"/>
        </w:rPr>
        <w:t>host</w:t>
      </w:r>
      <w:r>
        <w:rPr>
          <w:color w:val="231F20"/>
          <w:spacing w:val="20"/>
        </w:rPr>
        <w:t xml:space="preserve"> </w:t>
      </w:r>
      <w:r>
        <w:rPr>
          <w:color w:val="231F20"/>
        </w:rPr>
        <w:t>cities.</w:t>
      </w:r>
      <w:r>
        <w:rPr>
          <w:color w:val="231F20"/>
          <w:spacing w:val="20"/>
        </w:rPr>
        <w:t xml:space="preserve"> </w:t>
      </w:r>
      <w:r>
        <w:rPr>
          <w:color w:val="231F20"/>
        </w:rPr>
        <w:t xml:space="preserve">One </w:t>
      </w:r>
      <w:r>
        <w:rPr>
          <w:color w:val="231F20"/>
          <w:w w:val="95"/>
        </w:rPr>
        <w:t xml:space="preserve">study respondent emphasised the challenge of leveraging the stadiums, urging South Africans to ‘think outside the box’ with regard to stadium </w:t>
      </w:r>
      <w:r>
        <w:rPr>
          <w:color w:val="231F20"/>
        </w:rPr>
        <w:t>activities.</w:t>
      </w:r>
      <w:r>
        <w:rPr>
          <w:color w:val="231F20"/>
          <w:spacing w:val="30"/>
        </w:rPr>
        <w:t xml:space="preserve"> </w:t>
      </w:r>
      <w:r>
        <w:rPr>
          <w:color w:val="231F20"/>
        </w:rPr>
        <w:t>An</w:t>
      </w:r>
      <w:r>
        <w:rPr>
          <w:color w:val="231F20"/>
          <w:spacing w:val="30"/>
        </w:rPr>
        <w:t xml:space="preserve"> </w:t>
      </w:r>
      <w:r>
        <w:rPr>
          <w:color w:val="231F20"/>
        </w:rPr>
        <w:t>important</w:t>
      </w:r>
      <w:r>
        <w:rPr>
          <w:color w:val="231F20"/>
          <w:spacing w:val="30"/>
        </w:rPr>
        <w:t xml:space="preserve"> </w:t>
      </w:r>
      <w:r>
        <w:rPr>
          <w:color w:val="231F20"/>
        </w:rPr>
        <w:t>lesson</w:t>
      </w:r>
      <w:r>
        <w:rPr>
          <w:color w:val="231F20"/>
          <w:spacing w:val="30"/>
        </w:rPr>
        <w:t xml:space="preserve"> </w:t>
      </w:r>
      <w:r>
        <w:rPr>
          <w:color w:val="231F20"/>
        </w:rPr>
        <w:t>learned</w:t>
      </w:r>
      <w:r>
        <w:rPr>
          <w:color w:val="231F20"/>
          <w:spacing w:val="30"/>
        </w:rPr>
        <w:t xml:space="preserve"> </w:t>
      </w:r>
      <w:r>
        <w:rPr>
          <w:color w:val="231F20"/>
        </w:rPr>
        <w:t>in</w:t>
      </w:r>
      <w:r>
        <w:rPr>
          <w:color w:val="231F20"/>
          <w:spacing w:val="30"/>
        </w:rPr>
        <w:t xml:space="preserve"> </w:t>
      </w:r>
      <w:r>
        <w:rPr>
          <w:color w:val="231F20"/>
        </w:rPr>
        <w:t>South</w:t>
      </w:r>
      <w:r>
        <w:rPr>
          <w:color w:val="231F20"/>
          <w:spacing w:val="30"/>
        </w:rPr>
        <w:t xml:space="preserve"> </w:t>
      </w:r>
      <w:r>
        <w:rPr>
          <w:color w:val="231F20"/>
        </w:rPr>
        <w:t>Africa</w:t>
      </w:r>
      <w:r>
        <w:rPr>
          <w:color w:val="231F20"/>
          <w:spacing w:val="30"/>
        </w:rPr>
        <w:t xml:space="preserve"> </w:t>
      </w:r>
      <w:r>
        <w:rPr>
          <w:color w:val="231F20"/>
        </w:rPr>
        <w:t>is</w:t>
      </w:r>
      <w:r>
        <w:rPr>
          <w:color w:val="231F20"/>
          <w:spacing w:val="30"/>
        </w:rPr>
        <w:t xml:space="preserve"> </w:t>
      </w:r>
      <w:r>
        <w:rPr>
          <w:color w:val="231F20"/>
        </w:rPr>
        <w:t>that</w:t>
      </w:r>
      <w:r>
        <w:rPr>
          <w:color w:val="231F20"/>
          <w:spacing w:val="30"/>
        </w:rPr>
        <w:t xml:space="preserve"> </w:t>
      </w:r>
      <w:r>
        <w:rPr>
          <w:color w:val="231F20"/>
        </w:rPr>
        <w:t>FIFA World</w:t>
      </w:r>
      <w:r>
        <w:rPr>
          <w:color w:val="231F20"/>
          <w:spacing w:val="40"/>
        </w:rPr>
        <w:t xml:space="preserve"> </w:t>
      </w:r>
      <w:r>
        <w:rPr>
          <w:color w:val="231F20"/>
        </w:rPr>
        <w:t>Cup</w:t>
      </w:r>
      <w:r>
        <w:rPr>
          <w:color w:val="231F20"/>
          <w:spacing w:val="40"/>
        </w:rPr>
        <w:t xml:space="preserve"> </w:t>
      </w:r>
      <w:r>
        <w:rPr>
          <w:color w:val="231F20"/>
        </w:rPr>
        <w:t>legacy</w:t>
      </w:r>
      <w:r>
        <w:rPr>
          <w:color w:val="231F20"/>
          <w:spacing w:val="40"/>
        </w:rPr>
        <w:t xml:space="preserve"> </w:t>
      </w:r>
      <w:r>
        <w:rPr>
          <w:color w:val="231F20"/>
        </w:rPr>
        <w:t>projects</w:t>
      </w:r>
      <w:r>
        <w:rPr>
          <w:color w:val="231F20"/>
          <w:spacing w:val="40"/>
        </w:rPr>
        <w:t xml:space="preserve"> </w:t>
      </w:r>
      <w:r>
        <w:rPr>
          <w:color w:val="231F20"/>
        </w:rPr>
        <w:t>are</w:t>
      </w:r>
      <w:r>
        <w:rPr>
          <w:color w:val="231F20"/>
          <w:spacing w:val="40"/>
        </w:rPr>
        <w:t xml:space="preserve"> </w:t>
      </w:r>
      <w:r>
        <w:rPr>
          <w:color w:val="231F20"/>
        </w:rPr>
        <w:t>not</w:t>
      </w:r>
      <w:r>
        <w:rPr>
          <w:color w:val="231F20"/>
          <w:spacing w:val="40"/>
        </w:rPr>
        <w:t xml:space="preserve"> </w:t>
      </w:r>
      <w:r>
        <w:rPr>
          <w:color w:val="231F20"/>
        </w:rPr>
        <w:t>just</w:t>
      </w:r>
      <w:r>
        <w:rPr>
          <w:color w:val="231F20"/>
          <w:spacing w:val="40"/>
        </w:rPr>
        <w:t xml:space="preserve"> </w:t>
      </w:r>
      <w:r>
        <w:rPr>
          <w:color w:val="231F20"/>
        </w:rPr>
        <w:t>about</w:t>
      </w:r>
      <w:r>
        <w:rPr>
          <w:color w:val="231F20"/>
          <w:spacing w:val="40"/>
        </w:rPr>
        <w:t xml:space="preserve"> </w:t>
      </w:r>
      <w:r>
        <w:rPr>
          <w:color w:val="231F20"/>
        </w:rPr>
        <w:t>impressing</w:t>
      </w:r>
      <w:r>
        <w:rPr>
          <w:color w:val="231F20"/>
          <w:spacing w:val="40"/>
        </w:rPr>
        <w:t xml:space="preserve"> </w:t>
      </w:r>
      <w:r>
        <w:rPr>
          <w:color w:val="231F20"/>
        </w:rPr>
        <w:t>a</w:t>
      </w:r>
      <w:r>
        <w:rPr>
          <w:color w:val="231F20"/>
          <w:spacing w:val="40"/>
        </w:rPr>
        <w:t xml:space="preserve"> </w:t>
      </w:r>
      <w:r>
        <w:rPr>
          <w:color w:val="231F20"/>
        </w:rPr>
        <w:t>world audience.</w:t>
      </w:r>
      <w:r>
        <w:rPr>
          <w:color w:val="231F20"/>
          <w:spacing w:val="8"/>
        </w:rPr>
        <w:t xml:space="preserve"> </w:t>
      </w:r>
      <w:r>
        <w:rPr>
          <w:color w:val="231F20"/>
        </w:rPr>
        <w:t>They</w:t>
      </w:r>
      <w:r>
        <w:rPr>
          <w:color w:val="231F20"/>
          <w:spacing w:val="9"/>
        </w:rPr>
        <w:t xml:space="preserve"> </w:t>
      </w:r>
      <w:r>
        <w:rPr>
          <w:color w:val="231F20"/>
        </w:rPr>
        <w:t>need</w:t>
      </w:r>
      <w:r>
        <w:rPr>
          <w:color w:val="231F20"/>
          <w:spacing w:val="8"/>
        </w:rPr>
        <w:t xml:space="preserve"> </w:t>
      </w:r>
      <w:r>
        <w:rPr>
          <w:color w:val="231F20"/>
        </w:rPr>
        <w:t>to</w:t>
      </w:r>
      <w:r>
        <w:rPr>
          <w:color w:val="231F20"/>
          <w:spacing w:val="9"/>
        </w:rPr>
        <w:t xml:space="preserve"> </w:t>
      </w:r>
      <w:r>
        <w:rPr>
          <w:color w:val="231F20"/>
        </w:rPr>
        <w:t>be</w:t>
      </w:r>
      <w:r>
        <w:rPr>
          <w:color w:val="231F20"/>
          <w:spacing w:val="9"/>
        </w:rPr>
        <w:t xml:space="preserve"> </w:t>
      </w:r>
      <w:r>
        <w:rPr>
          <w:color w:val="231F20"/>
        </w:rPr>
        <w:t>planned</w:t>
      </w:r>
      <w:r>
        <w:rPr>
          <w:color w:val="231F20"/>
          <w:spacing w:val="8"/>
        </w:rPr>
        <w:t xml:space="preserve"> </w:t>
      </w:r>
      <w:r>
        <w:rPr>
          <w:color w:val="231F20"/>
        </w:rPr>
        <w:t>within</w:t>
      </w:r>
      <w:r>
        <w:rPr>
          <w:color w:val="231F20"/>
          <w:spacing w:val="9"/>
        </w:rPr>
        <w:t xml:space="preserve"> </w:t>
      </w:r>
      <w:r>
        <w:rPr>
          <w:color w:val="231F20"/>
        </w:rPr>
        <w:t>a</w:t>
      </w:r>
      <w:r>
        <w:rPr>
          <w:color w:val="231F20"/>
          <w:spacing w:val="8"/>
        </w:rPr>
        <w:t xml:space="preserve"> </w:t>
      </w:r>
      <w:r>
        <w:rPr>
          <w:color w:val="231F20"/>
        </w:rPr>
        <w:t>sustainable</w:t>
      </w:r>
      <w:r>
        <w:rPr>
          <w:color w:val="231F20"/>
          <w:spacing w:val="9"/>
        </w:rPr>
        <w:t xml:space="preserve"> </w:t>
      </w:r>
      <w:r>
        <w:rPr>
          <w:color w:val="231F20"/>
          <w:spacing w:val="-2"/>
          <w:w w:val="95"/>
        </w:rPr>
        <w:t>development</w:t>
      </w:r>
    </w:p>
    <w:p w14:paraId="296D6689" w14:textId="77777777" w:rsidR="00AE0598" w:rsidRDefault="0069255A">
      <w:pPr>
        <w:spacing w:before="150"/>
        <w:ind w:left="110" w:right="241"/>
        <w:jc w:val="right"/>
        <w:rPr>
          <w:rFonts w:ascii="Trebuchet MS"/>
          <w:i/>
          <w:sz w:val="18"/>
        </w:rPr>
      </w:pPr>
      <w:r>
        <w:rPr>
          <w:rFonts w:ascii="Trebuchet MS"/>
          <w:i/>
          <w:color w:val="231F20"/>
          <w:spacing w:val="-2"/>
          <w:sz w:val="18"/>
        </w:rPr>
        <w:t>(Continued)</w:t>
      </w:r>
    </w:p>
    <w:p w14:paraId="65035B14" w14:textId="77777777" w:rsidR="00AE0598" w:rsidRDefault="00AE0598">
      <w:pPr>
        <w:jc w:val="right"/>
        <w:rPr>
          <w:rFonts w:ascii="Trebuchet MS"/>
          <w:sz w:val="18"/>
        </w:rPr>
        <w:sectPr w:rsidR="00AE0598">
          <w:pgSz w:w="8850" w:h="13270"/>
          <w:pgMar w:top="720" w:right="1060" w:bottom="280" w:left="1080" w:header="720" w:footer="720" w:gutter="0"/>
          <w:cols w:space="720"/>
        </w:sectPr>
      </w:pPr>
    </w:p>
    <w:p w14:paraId="4CC9E8C7" w14:textId="4059C18E" w:rsidR="00AE0598" w:rsidRDefault="0069255A">
      <w:pPr>
        <w:spacing w:before="87"/>
        <w:ind w:left="108"/>
        <w:rPr>
          <w:rFonts w:ascii="Trebuchet MS"/>
          <w:sz w:val="14"/>
        </w:rPr>
      </w:pPr>
      <w:r>
        <w:rPr>
          <w:noProof/>
        </w:rPr>
        <w:lastRenderedPageBreak/>
        <mc:AlternateContent>
          <mc:Choice Requires="wps">
            <w:drawing>
              <wp:anchor distT="0" distB="0" distL="114300" distR="114300" simplePos="0" relativeHeight="483697152" behindDoc="1" locked="0" layoutInCell="1" allowOverlap="1" wp14:anchorId="44B9AD5D" wp14:editId="09709D93">
                <wp:simplePos x="0" y="0"/>
                <wp:positionH relativeFrom="page">
                  <wp:posOffset>755650</wp:posOffset>
                </wp:positionH>
                <wp:positionV relativeFrom="page">
                  <wp:posOffset>838200</wp:posOffset>
                </wp:positionV>
                <wp:extent cx="4104005" cy="6743700"/>
                <wp:effectExtent l="0" t="0" r="0" b="0"/>
                <wp:wrapNone/>
                <wp:docPr id="231" name="docshape1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04005" cy="6743700"/>
                        </a:xfrm>
                        <a:prstGeom prst="rect">
                          <a:avLst/>
                        </a:prstGeom>
                        <a:solidFill>
                          <a:srgbClr val="DCDDD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880253" id="docshape143" o:spid="_x0000_s1026" style="position:absolute;margin-left:59.5pt;margin-top:66pt;width:323.15pt;height:531pt;z-index:-196193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" fillcolor="#dcddde" stroked="f">
                <w10:wrap anchorx="page" anchory="page"/>
              </v:rect>
            </w:pict>
          </mc:Fallback>
        </mc:AlternateContent>
      </w:r>
      <w:r>
        <w:rPr>
          <w:rFonts w:ascii="Trebuchet MS"/>
          <w:color w:val="231F20"/>
          <w:w w:val="105"/>
          <w:sz w:val="14"/>
        </w:rPr>
        <w:t>78</w:t>
      </w:r>
      <w:r>
        <w:rPr>
          <w:rFonts w:ascii="Trebuchet MS"/>
          <w:color w:val="231F20"/>
          <w:spacing w:val="64"/>
          <w:w w:val="150"/>
          <w:sz w:val="14"/>
        </w:rPr>
        <w:t xml:space="preserve"> </w:t>
      </w:r>
      <w:r>
        <w:rPr>
          <w:rFonts w:ascii="Trebuchet MS"/>
          <w:color w:val="231F20"/>
          <w:w w:val="105"/>
          <w:sz w:val="14"/>
        </w:rPr>
        <w:t>Part</w:t>
      </w:r>
      <w:r>
        <w:rPr>
          <w:rFonts w:ascii="Trebuchet MS"/>
          <w:color w:val="231F20"/>
          <w:spacing w:val="-9"/>
          <w:w w:val="105"/>
          <w:sz w:val="14"/>
        </w:rPr>
        <w:t xml:space="preserve"> </w:t>
      </w:r>
      <w:r>
        <w:rPr>
          <w:rFonts w:ascii="Trebuchet MS"/>
          <w:color w:val="231F20"/>
          <w:w w:val="105"/>
          <w:sz w:val="14"/>
        </w:rPr>
        <w:t>2:</w:t>
      </w:r>
      <w:r>
        <w:rPr>
          <w:rFonts w:ascii="Trebuchet MS"/>
          <w:color w:val="231F20"/>
          <w:spacing w:val="-9"/>
          <w:w w:val="105"/>
          <w:sz w:val="14"/>
        </w:rPr>
        <w:t xml:space="preserve"> </w:t>
      </w:r>
      <w:r>
        <w:rPr>
          <w:rFonts w:ascii="Trebuchet MS"/>
          <w:color w:val="231F20"/>
          <w:w w:val="105"/>
          <w:sz w:val="14"/>
        </w:rPr>
        <w:t>Foundations</w:t>
      </w:r>
      <w:r>
        <w:rPr>
          <w:rFonts w:ascii="Trebuchet MS"/>
          <w:color w:val="231F20"/>
          <w:spacing w:val="-9"/>
          <w:w w:val="105"/>
          <w:sz w:val="14"/>
        </w:rPr>
        <w:t xml:space="preserve"> </w:t>
      </w:r>
      <w:r>
        <w:rPr>
          <w:rFonts w:ascii="Trebuchet MS"/>
          <w:color w:val="231F20"/>
          <w:w w:val="105"/>
          <w:sz w:val="14"/>
        </w:rPr>
        <w:t>of</w:t>
      </w:r>
      <w:r>
        <w:rPr>
          <w:rFonts w:ascii="Trebuchet MS"/>
          <w:color w:val="231F20"/>
          <w:spacing w:val="-9"/>
          <w:w w:val="105"/>
          <w:sz w:val="14"/>
        </w:rPr>
        <w:t xml:space="preserve"> </w:t>
      </w:r>
      <w:r>
        <w:rPr>
          <w:rFonts w:ascii="Trebuchet MS"/>
          <w:color w:val="231F20"/>
          <w:w w:val="105"/>
          <w:sz w:val="14"/>
        </w:rPr>
        <w:t>Sport</w:t>
      </w:r>
      <w:r>
        <w:rPr>
          <w:rFonts w:ascii="Trebuchet MS"/>
          <w:color w:val="231F20"/>
          <w:spacing w:val="-9"/>
          <w:w w:val="105"/>
          <w:sz w:val="14"/>
        </w:rPr>
        <w:t xml:space="preserve"> </w:t>
      </w:r>
      <w:r>
        <w:rPr>
          <w:rFonts w:ascii="Trebuchet MS"/>
          <w:color w:val="231F20"/>
          <w:w w:val="105"/>
          <w:sz w:val="14"/>
        </w:rPr>
        <w:t>Tourism</w:t>
      </w:r>
      <w:r>
        <w:rPr>
          <w:rFonts w:ascii="Trebuchet MS"/>
          <w:color w:val="231F20"/>
          <w:spacing w:val="-9"/>
          <w:w w:val="105"/>
          <w:sz w:val="14"/>
        </w:rPr>
        <w:t xml:space="preserve"> </w:t>
      </w:r>
      <w:r>
        <w:rPr>
          <w:rFonts w:ascii="Trebuchet MS"/>
          <w:color w:val="231F20"/>
          <w:spacing w:val="-2"/>
          <w:w w:val="105"/>
          <w:sz w:val="14"/>
        </w:rPr>
        <w:t>Development</w:t>
      </w:r>
    </w:p>
    <w:p w14:paraId="78F40450" w14:textId="77777777" w:rsidR="00AE0598" w:rsidRDefault="00AE0598">
      <w:pPr>
        <w:pStyle w:val="Corpodetexto"/>
        <w:spacing w:before="10"/>
        <w:rPr>
          <w:rFonts w:ascii="Trebuchet MS"/>
          <w:sz w:val="27"/>
        </w:rPr>
      </w:pPr>
    </w:p>
    <w:p w14:paraId="44567217" w14:textId="77777777" w:rsidR="00AE0598" w:rsidRDefault="0069255A">
      <w:pPr>
        <w:spacing w:before="100"/>
        <w:ind w:left="223"/>
        <w:jc w:val="both"/>
        <w:rPr>
          <w:rFonts w:ascii="Trebuchet MS"/>
          <w:sz w:val="18"/>
        </w:rPr>
      </w:pPr>
      <w:r>
        <w:rPr>
          <w:rFonts w:ascii="Trebuchet MS"/>
          <w:color w:val="231F20"/>
          <w:sz w:val="18"/>
        </w:rPr>
        <w:t>Case</w:t>
      </w:r>
      <w:r>
        <w:rPr>
          <w:rFonts w:ascii="Trebuchet MS"/>
          <w:color w:val="231F20"/>
          <w:spacing w:val="-7"/>
          <w:sz w:val="18"/>
        </w:rPr>
        <w:t xml:space="preserve"> </w:t>
      </w:r>
      <w:r>
        <w:rPr>
          <w:rFonts w:ascii="Trebuchet MS"/>
          <w:color w:val="231F20"/>
          <w:sz w:val="18"/>
        </w:rPr>
        <w:t>Study</w:t>
      </w:r>
      <w:r>
        <w:rPr>
          <w:rFonts w:ascii="Trebuchet MS"/>
          <w:color w:val="231F20"/>
          <w:spacing w:val="-6"/>
          <w:sz w:val="18"/>
        </w:rPr>
        <w:t xml:space="preserve"> </w:t>
      </w:r>
      <w:r>
        <w:rPr>
          <w:rFonts w:ascii="Trebuchet MS"/>
          <w:color w:val="231F20"/>
          <w:sz w:val="18"/>
        </w:rPr>
        <w:t>4.1:</w:t>
      </w:r>
      <w:r>
        <w:rPr>
          <w:rFonts w:ascii="Trebuchet MS"/>
          <w:color w:val="231F20"/>
          <w:spacing w:val="-6"/>
          <w:sz w:val="18"/>
        </w:rPr>
        <w:t xml:space="preserve"> </w:t>
      </w:r>
      <w:r>
        <w:rPr>
          <w:rFonts w:ascii="Trebuchet MS"/>
          <w:color w:val="231F20"/>
          <w:spacing w:val="-2"/>
          <w:sz w:val="18"/>
        </w:rPr>
        <w:t>(Continued)</w:t>
      </w:r>
    </w:p>
    <w:p w14:paraId="4363AE1A" w14:textId="77777777" w:rsidR="00AE0598" w:rsidRDefault="00AE0598">
      <w:pPr>
        <w:pStyle w:val="Corpodetexto"/>
        <w:spacing w:before="9"/>
        <w:rPr>
          <w:rFonts w:ascii="Trebuchet MS"/>
          <w:sz w:val="16"/>
        </w:rPr>
      </w:pPr>
    </w:p>
    <w:p w14:paraId="621AFBCD" w14:textId="77777777" w:rsidR="00AE0598" w:rsidRDefault="0069255A">
      <w:pPr>
        <w:pStyle w:val="Corpodetexto"/>
        <w:spacing w:before="1" w:line="232" w:lineRule="auto"/>
        <w:ind w:left="230" w:right="245"/>
        <w:jc w:val="both"/>
      </w:pPr>
      <w:r>
        <w:rPr>
          <w:color w:val="231F20"/>
          <w:w w:val="95"/>
        </w:rPr>
        <w:t xml:space="preserve">context, aimed at assisting economic development, social cohesion and </w:t>
      </w:r>
      <w:r>
        <w:rPr>
          <w:color w:val="231F20"/>
        </w:rPr>
        <w:t xml:space="preserve">environmental integrity in the long term. For example, stakeholders </w:t>
      </w:r>
      <w:r>
        <w:rPr>
          <w:color w:val="231F20"/>
          <w:w w:val="95"/>
        </w:rPr>
        <w:t xml:space="preserve">cited Barcelona as a city that utilised the 1992 Olympic Games platform </w:t>
      </w:r>
      <w:r>
        <w:rPr>
          <w:color w:val="231F20"/>
        </w:rPr>
        <w:t xml:space="preserve">for developments that assisted with the brand </w:t>
      </w:r>
      <w:r>
        <w:rPr>
          <w:color w:val="231F20"/>
        </w:rPr>
        <w:t xml:space="preserve">image transformation of the city and the revitalisation of its tourism appeal. Sustainable development in a country like South Africa requires that the benefits or legacies of such mega-events should reach beyond the immediate </w:t>
      </w:r>
      <w:r>
        <w:rPr>
          <w:color w:val="231F20"/>
          <w:w w:val="95"/>
        </w:rPr>
        <w:t>event-hosting area or city. S</w:t>
      </w:r>
      <w:r>
        <w:rPr>
          <w:color w:val="231F20"/>
          <w:w w:val="95"/>
        </w:rPr>
        <w:t xml:space="preserve">maller municipal areas in South Africa such </w:t>
      </w:r>
      <w:r>
        <w:rPr>
          <w:color w:val="231F20"/>
        </w:rPr>
        <w:t xml:space="preserve">as Mbombela would have benefited significantly from infrastructure </w:t>
      </w:r>
      <w:r>
        <w:rPr>
          <w:color w:val="231F20"/>
          <w:w w:val="95"/>
        </w:rPr>
        <w:t>development projects associated with the new stadiums in terms of road and transport improvements and other tourism services developments.</w:t>
      </w:r>
    </w:p>
    <w:p w14:paraId="403AD7F1" w14:textId="77777777" w:rsidR="00AE0598" w:rsidRDefault="0069255A">
      <w:pPr>
        <w:pStyle w:val="Corpodetexto"/>
        <w:spacing w:before="13" w:line="232" w:lineRule="auto"/>
        <w:ind w:left="230" w:right="247" w:firstLine="320"/>
        <w:jc w:val="both"/>
      </w:pPr>
      <w:r>
        <w:rPr>
          <w:color w:val="231F20"/>
          <w:spacing w:val="-2"/>
          <w:w w:val="95"/>
        </w:rPr>
        <w:t>These</w:t>
      </w:r>
      <w:r>
        <w:rPr>
          <w:color w:val="231F20"/>
          <w:spacing w:val="-3"/>
          <w:w w:val="95"/>
        </w:rPr>
        <w:t xml:space="preserve"> </w:t>
      </w:r>
      <w:r>
        <w:rPr>
          <w:color w:val="231F20"/>
          <w:spacing w:val="-2"/>
          <w:w w:val="95"/>
        </w:rPr>
        <w:t>projects</w:t>
      </w:r>
      <w:r>
        <w:rPr>
          <w:color w:val="231F20"/>
          <w:spacing w:val="-3"/>
          <w:w w:val="95"/>
        </w:rPr>
        <w:t xml:space="preserve"> </w:t>
      </w:r>
      <w:r>
        <w:rPr>
          <w:color w:val="231F20"/>
          <w:spacing w:val="-2"/>
          <w:w w:val="95"/>
        </w:rPr>
        <w:t>and</w:t>
      </w:r>
      <w:r>
        <w:rPr>
          <w:color w:val="231F20"/>
          <w:spacing w:val="-3"/>
          <w:w w:val="95"/>
        </w:rPr>
        <w:t xml:space="preserve"> </w:t>
      </w:r>
      <w:r>
        <w:rPr>
          <w:color w:val="231F20"/>
          <w:spacing w:val="-2"/>
          <w:w w:val="95"/>
        </w:rPr>
        <w:t>activities</w:t>
      </w:r>
      <w:r>
        <w:rPr>
          <w:color w:val="231F20"/>
          <w:spacing w:val="-3"/>
          <w:w w:val="95"/>
        </w:rPr>
        <w:t xml:space="preserve"> </w:t>
      </w:r>
      <w:r>
        <w:rPr>
          <w:color w:val="231F20"/>
          <w:spacing w:val="-2"/>
          <w:w w:val="95"/>
        </w:rPr>
        <w:t>are</w:t>
      </w:r>
      <w:r>
        <w:rPr>
          <w:color w:val="231F20"/>
          <w:spacing w:val="-3"/>
          <w:w w:val="95"/>
        </w:rPr>
        <w:t xml:space="preserve"> </w:t>
      </w:r>
      <w:r>
        <w:rPr>
          <w:color w:val="231F20"/>
          <w:spacing w:val="-2"/>
          <w:w w:val="95"/>
        </w:rPr>
        <w:t>examples</w:t>
      </w:r>
      <w:r>
        <w:rPr>
          <w:color w:val="231F20"/>
          <w:spacing w:val="-3"/>
          <w:w w:val="95"/>
        </w:rPr>
        <w:t xml:space="preserve"> </w:t>
      </w:r>
      <w:r>
        <w:rPr>
          <w:color w:val="231F20"/>
          <w:spacing w:val="-2"/>
          <w:w w:val="95"/>
        </w:rPr>
        <w:t>of</w:t>
      </w:r>
      <w:r>
        <w:rPr>
          <w:color w:val="231F20"/>
          <w:spacing w:val="12"/>
        </w:rPr>
        <w:t xml:space="preserve"> </w:t>
      </w:r>
      <w:r>
        <w:rPr>
          <w:color w:val="231F20"/>
          <w:spacing w:val="-2"/>
          <w:w w:val="95"/>
        </w:rPr>
        <w:t>the</w:t>
      </w:r>
      <w:r>
        <w:rPr>
          <w:color w:val="231F20"/>
          <w:spacing w:val="-3"/>
          <w:w w:val="95"/>
        </w:rPr>
        <w:t xml:space="preserve"> </w:t>
      </w:r>
      <w:r>
        <w:rPr>
          <w:color w:val="231F20"/>
          <w:spacing w:val="-2"/>
          <w:w w:val="95"/>
        </w:rPr>
        <w:t>key</w:t>
      </w:r>
      <w:r>
        <w:rPr>
          <w:color w:val="231F20"/>
          <w:spacing w:val="-3"/>
          <w:w w:val="95"/>
        </w:rPr>
        <w:t xml:space="preserve"> </w:t>
      </w:r>
      <w:r>
        <w:rPr>
          <w:color w:val="231F20"/>
          <w:spacing w:val="-2"/>
          <w:w w:val="95"/>
        </w:rPr>
        <w:t>leveraging</w:t>
      </w:r>
      <w:r>
        <w:rPr>
          <w:color w:val="231F20"/>
          <w:spacing w:val="-3"/>
          <w:w w:val="95"/>
        </w:rPr>
        <w:t xml:space="preserve"> </w:t>
      </w:r>
      <w:r>
        <w:rPr>
          <w:color w:val="231F20"/>
          <w:spacing w:val="-2"/>
          <w:w w:val="95"/>
        </w:rPr>
        <w:t xml:space="preserve">efforts </w:t>
      </w:r>
      <w:r>
        <w:rPr>
          <w:color w:val="231F20"/>
        </w:rPr>
        <w:t>that</w:t>
      </w:r>
      <w:r>
        <w:rPr>
          <w:color w:val="231F20"/>
          <w:spacing w:val="-12"/>
        </w:rPr>
        <w:t xml:space="preserve"> </w:t>
      </w:r>
      <w:r>
        <w:rPr>
          <w:color w:val="231F20"/>
        </w:rPr>
        <w:t>added</w:t>
      </w:r>
      <w:r>
        <w:rPr>
          <w:color w:val="231F20"/>
          <w:spacing w:val="-12"/>
        </w:rPr>
        <w:t xml:space="preserve"> </w:t>
      </w:r>
      <w:r>
        <w:rPr>
          <w:color w:val="231F20"/>
        </w:rPr>
        <w:t>to</w:t>
      </w:r>
      <w:r>
        <w:rPr>
          <w:color w:val="231F20"/>
          <w:spacing w:val="-11"/>
        </w:rPr>
        <w:t xml:space="preserve"> </w:t>
      </w:r>
      <w:r>
        <w:rPr>
          <w:color w:val="231F20"/>
        </w:rPr>
        <w:t>the</w:t>
      </w:r>
      <w:r>
        <w:rPr>
          <w:color w:val="231F20"/>
          <w:spacing w:val="-12"/>
        </w:rPr>
        <w:t xml:space="preserve"> </w:t>
      </w:r>
      <w:r>
        <w:rPr>
          <w:color w:val="231F20"/>
        </w:rPr>
        <w:t>perceived</w:t>
      </w:r>
      <w:r>
        <w:rPr>
          <w:color w:val="231F20"/>
          <w:spacing w:val="-11"/>
        </w:rPr>
        <w:t xml:space="preserve"> </w:t>
      </w:r>
      <w:r>
        <w:rPr>
          <w:color w:val="231F20"/>
        </w:rPr>
        <w:t>success</w:t>
      </w:r>
      <w:r>
        <w:rPr>
          <w:color w:val="231F20"/>
          <w:spacing w:val="-12"/>
        </w:rPr>
        <w:t xml:space="preserve"> </w:t>
      </w:r>
      <w:r>
        <w:rPr>
          <w:color w:val="231F20"/>
        </w:rPr>
        <w:t>of</w:t>
      </w:r>
      <w:r>
        <w:rPr>
          <w:color w:val="231F20"/>
          <w:spacing w:val="-11"/>
        </w:rPr>
        <w:t xml:space="preserve"> </w:t>
      </w:r>
      <w:r>
        <w:rPr>
          <w:color w:val="231F20"/>
        </w:rPr>
        <w:t>the</w:t>
      </w:r>
      <w:r>
        <w:rPr>
          <w:color w:val="231F20"/>
          <w:spacing w:val="-12"/>
        </w:rPr>
        <w:t xml:space="preserve"> </w:t>
      </w:r>
      <w:r>
        <w:rPr>
          <w:color w:val="231F20"/>
        </w:rPr>
        <w:t>event,</w:t>
      </w:r>
      <w:r>
        <w:rPr>
          <w:color w:val="231F20"/>
          <w:spacing w:val="-12"/>
        </w:rPr>
        <w:t xml:space="preserve"> </w:t>
      </w:r>
      <w:r>
        <w:rPr>
          <w:color w:val="231F20"/>
        </w:rPr>
        <w:t>enhanced</w:t>
      </w:r>
      <w:r>
        <w:rPr>
          <w:color w:val="231F20"/>
          <w:spacing w:val="-11"/>
        </w:rPr>
        <w:t xml:space="preserve"> </w:t>
      </w:r>
      <w:r>
        <w:rPr>
          <w:color w:val="231F20"/>
        </w:rPr>
        <w:t>the</w:t>
      </w:r>
      <w:r>
        <w:rPr>
          <w:color w:val="231F20"/>
          <w:spacing w:val="-12"/>
        </w:rPr>
        <w:t xml:space="preserve"> </w:t>
      </w:r>
      <w:r>
        <w:rPr>
          <w:color w:val="231F20"/>
        </w:rPr>
        <w:t xml:space="preserve">nation’s </w:t>
      </w:r>
      <w:r>
        <w:rPr>
          <w:color w:val="231F20"/>
          <w:w w:val="90"/>
        </w:rPr>
        <w:t xml:space="preserve">international reputation and improved tourists’ experience, thus positively </w:t>
      </w:r>
      <w:r>
        <w:rPr>
          <w:color w:val="231F20"/>
          <w:w w:val="95"/>
        </w:rPr>
        <w:t>impacting</w:t>
      </w:r>
      <w:r>
        <w:rPr>
          <w:color w:val="231F20"/>
          <w:spacing w:val="-2"/>
          <w:w w:val="95"/>
        </w:rPr>
        <w:t xml:space="preserve"> </w:t>
      </w:r>
      <w:r>
        <w:rPr>
          <w:color w:val="231F20"/>
          <w:w w:val="95"/>
        </w:rPr>
        <w:t>the</w:t>
      </w:r>
      <w:r>
        <w:rPr>
          <w:color w:val="231F20"/>
          <w:spacing w:val="-2"/>
          <w:w w:val="95"/>
        </w:rPr>
        <w:t xml:space="preserve"> </w:t>
      </w:r>
      <w:r>
        <w:rPr>
          <w:color w:val="231F20"/>
          <w:w w:val="95"/>
        </w:rPr>
        <w:t>nation’s</w:t>
      </w:r>
      <w:r>
        <w:rPr>
          <w:color w:val="231F20"/>
          <w:spacing w:val="-2"/>
          <w:w w:val="95"/>
        </w:rPr>
        <w:t xml:space="preserve"> </w:t>
      </w:r>
      <w:r>
        <w:rPr>
          <w:color w:val="231F20"/>
          <w:w w:val="95"/>
        </w:rPr>
        <w:t>brand</w:t>
      </w:r>
      <w:r>
        <w:rPr>
          <w:color w:val="231F20"/>
          <w:spacing w:val="-2"/>
          <w:w w:val="95"/>
        </w:rPr>
        <w:t xml:space="preserve"> </w:t>
      </w:r>
      <w:r>
        <w:rPr>
          <w:color w:val="231F20"/>
          <w:w w:val="95"/>
        </w:rPr>
        <w:t>development.</w:t>
      </w:r>
      <w:r>
        <w:rPr>
          <w:color w:val="231F20"/>
          <w:spacing w:val="-2"/>
          <w:w w:val="95"/>
        </w:rPr>
        <w:t xml:space="preserve"> </w:t>
      </w:r>
      <w:r>
        <w:rPr>
          <w:color w:val="231F20"/>
          <w:w w:val="95"/>
        </w:rPr>
        <w:t>Investments</w:t>
      </w:r>
      <w:r>
        <w:rPr>
          <w:color w:val="231F20"/>
          <w:spacing w:val="-2"/>
          <w:w w:val="95"/>
        </w:rPr>
        <w:t xml:space="preserve"> </w:t>
      </w:r>
      <w:r>
        <w:rPr>
          <w:color w:val="231F20"/>
          <w:w w:val="95"/>
        </w:rPr>
        <w:t>in</w:t>
      </w:r>
      <w:r>
        <w:rPr>
          <w:color w:val="231F20"/>
          <w:spacing w:val="-2"/>
          <w:w w:val="95"/>
        </w:rPr>
        <w:t xml:space="preserve"> </w:t>
      </w:r>
      <w:r>
        <w:rPr>
          <w:color w:val="231F20"/>
          <w:w w:val="95"/>
        </w:rPr>
        <w:t>infrastructure developments</w:t>
      </w:r>
      <w:r>
        <w:rPr>
          <w:color w:val="231F20"/>
          <w:spacing w:val="-1"/>
          <w:w w:val="95"/>
        </w:rPr>
        <w:t xml:space="preserve"> </w:t>
      </w:r>
      <w:r>
        <w:rPr>
          <w:color w:val="231F20"/>
          <w:w w:val="95"/>
        </w:rPr>
        <w:t>at</w:t>
      </w:r>
      <w:r>
        <w:rPr>
          <w:color w:val="231F20"/>
          <w:spacing w:val="-1"/>
          <w:w w:val="95"/>
        </w:rPr>
        <w:t xml:space="preserve"> </w:t>
      </w:r>
      <w:r>
        <w:rPr>
          <w:color w:val="231F20"/>
          <w:w w:val="95"/>
        </w:rPr>
        <w:t>similar</w:t>
      </w:r>
      <w:r>
        <w:rPr>
          <w:color w:val="231F20"/>
          <w:spacing w:val="-1"/>
          <w:w w:val="95"/>
        </w:rPr>
        <w:t xml:space="preserve"> </w:t>
      </w:r>
      <w:r>
        <w:rPr>
          <w:color w:val="231F20"/>
          <w:w w:val="95"/>
        </w:rPr>
        <w:t>events</w:t>
      </w:r>
      <w:r>
        <w:rPr>
          <w:color w:val="231F20"/>
          <w:spacing w:val="-1"/>
          <w:w w:val="95"/>
        </w:rPr>
        <w:t xml:space="preserve"> </w:t>
      </w:r>
      <w:r>
        <w:rPr>
          <w:color w:val="231F20"/>
          <w:w w:val="95"/>
        </w:rPr>
        <w:t>have</w:t>
      </w:r>
      <w:r>
        <w:rPr>
          <w:color w:val="231F20"/>
          <w:spacing w:val="-1"/>
          <w:w w:val="95"/>
        </w:rPr>
        <w:t xml:space="preserve"> </w:t>
      </w:r>
      <w:r>
        <w:rPr>
          <w:color w:val="231F20"/>
          <w:w w:val="95"/>
        </w:rPr>
        <w:t>the</w:t>
      </w:r>
      <w:r>
        <w:rPr>
          <w:color w:val="231F20"/>
          <w:spacing w:val="-1"/>
          <w:w w:val="95"/>
        </w:rPr>
        <w:t xml:space="preserve"> </w:t>
      </w:r>
      <w:r>
        <w:rPr>
          <w:color w:val="231F20"/>
          <w:w w:val="95"/>
        </w:rPr>
        <w:t>potential</w:t>
      </w:r>
      <w:r>
        <w:rPr>
          <w:color w:val="231F20"/>
          <w:spacing w:val="-1"/>
          <w:w w:val="95"/>
        </w:rPr>
        <w:t xml:space="preserve"> </w:t>
      </w:r>
      <w:r>
        <w:rPr>
          <w:color w:val="231F20"/>
          <w:w w:val="95"/>
        </w:rPr>
        <w:t>to</w:t>
      </w:r>
      <w:r>
        <w:rPr>
          <w:color w:val="231F20"/>
          <w:spacing w:val="-1"/>
          <w:w w:val="95"/>
        </w:rPr>
        <w:t xml:space="preserve"> </w:t>
      </w:r>
      <w:r>
        <w:rPr>
          <w:color w:val="231F20"/>
          <w:w w:val="95"/>
        </w:rPr>
        <w:t>provide</w:t>
      </w:r>
      <w:r>
        <w:rPr>
          <w:color w:val="231F20"/>
          <w:spacing w:val="-1"/>
          <w:w w:val="95"/>
        </w:rPr>
        <w:t xml:space="preserve"> </w:t>
      </w:r>
      <w:r>
        <w:rPr>
          <w:color w:val="231F20"/>
          <w:w w:val="95"/>
        </w:rPr>
        <w:t>an</w:t>
      </w:r>
      <w:r>
        <w:rPr>
          <w:color w:val="231F20"/>
          <w:spacing w:val="-1"/>
          <w:w w:val="95"/>
        </w:rPr>
        <w:t xml:space="preserve"> </w:t>
      </w:r>
      <w:r>
        <w:rPr>
          <w:color w:val="231F20"/>
          <w:w w:val="95"/>
        </w:rPr>
        <w:t xml:space="preserve">enabling </w:t>
      </w:r>
      <w:r>
        <w:rPr>
          <w:color w:val="231F20"/>
          <w:spacing w:val="-2"/>
        </w:rPr>
        <w:t>environment</w:t>
      </w:r>
      <w:r>
        <w:rPr>
          <w:color w:val="231F20"/>
          <w:spacing w:val="-8"/>
        </w:rPr>
        <w:t xml:space="preserve"> </w:t>
      </w:r>
      <w:r>
        <w:rPr>
          <w:color w:val="231F20"/>
          <w:spacing w:val="-2"/>
        </w:rPr>
        <w:t>not</w:t>
      </w:r>
      <w:r>
        <w:rPr>
          <w:color w:val="231F20"/>
          <w:spacing w:val="-8"/>
        </w:rPr>
        <w:t xml:space="preserve"> </w:t>
      </w:r>
      <w:r>
        <w:rPr>
          <w:color w:val="231F20"/>
          <w:spacing w:val="-2"/>
        </w:rPr>
        <w:t>only</w:t>
      </w:r>
      <w:r>
        <w:rPr>
          <w:color w:val="231F20"/>
          <w:spacing w:val="-8"/>
        </w:rPr>
        <w:t xml:space="preserve"> </w:t>
      </w:r>
      <w:r>
        <w:rPr>
          <w:color w:val="231F20"/>
          <w:spacing w:val="-2"/>
        </w:rPr>
        <w:t>for</w:t>
      </w:r>
      <w:r>
        <w:rPr>
          <w:color w:val="231F20"/>
          <w:spacing w:val="-8"/>
        </w:rPr>
        <w:t xml:space="preserve"> </w:t>
      </w:r>
      <w:r>
        <w:rPr>
          <w:color w:val="231F20"/>
          <w:spacing w:val="-2"/>
        </w:rPr>
        <w:t>the</w:t>
      </w:r>
      <w:r>
        <w:rPr>
          <w:color w:val="231F20"/>
          <w:spacing w:val="-8"/>
        </w:rPr>
        <w:t xml:space="preserve"> </w:t>
      </w:r>
      <w:r>
        <w:rPr>
          <w:color w:val="231F20"/>
          <w:spacing w:val="-2"/>
        </w:rPr>
        <w:t>delivery</w:t>
      </w:r>
      <w:r>
        <w:rPr>
          <w:color w:val="231F20"/>
          <w:spacing w:val="-8"/>
        </w:rPr>
        <w:t xml:space="preserve"> </w:t>
      </w:r>
      <w:r>
        <w:rPr>
          <w:color w:val="231F20"/>
          <w:spacing w:val="-2"/>
        </w:rPr>
        <w:t>of</w:t>
      </w:r>
      <w:r>
        <w:rPr>
          <w:color w:val="231F20"/>
        </w:rPr>
        <w:t xml:space="preserve"> </w:t>
      </w:r>
      <w:r>
        <w:rPr>
          <w:color w:val="231F20"/>
          <w:spacing w:val="-2"/>
        </w:rPr>
        <w:t>the</w:t>
      </w:r>
      <w:r>
        <w:rPr>
          <w:color w:val="231F20"/>
          <w:spacing w:val="-8"/>
        </w:rPr>
        <w:t xml:space="preserve"> </w:t>
      </w:r>
      <w:r>
        <w:rPr>
          <w:color w:val="231F20"/>
          <w:spacing w:val="-2"/>
        </w:rPr>
        <w:t>event</w:t>
      </w:r>
      <w:r>
        <w:rPr>
          <w:color w:val="231F20"/>
          <w:spacing w:val="-8"/>
        </w:rPr>
        <w:t xml:space="preserve"> </w:t>
      </w:r>
      <w:r>
        <w:rPr>
          <w:color w:val="231F20"/>
          <w:spacing w:val="-2"/>
        </w:rPr>
        <w:t>itself,</w:t>
      </w:r>
      <w:r>
        <w:rPr>
          <w:color w:val="231F20"/>
          <w:spacing w:val="-8"/>
        </w:rPr>
        <w:t xml:space="preserve"> </w:t>
      </w:r>
      <w:r>
        <w:rPr>
          <w:color w:val="231F20"/>
          <w:spacing w:val="-2"/>
        </w:rPr>
        <w:t>but</w:t>
      </w:r>
      <w:r>
        <w:rPr>
          <w:color w:val="231F20"/>
          <w:spacing w:val="-8"/>
        </w:rPr>
        <w:t xml:space="preserve"> </w:t>
      </w:r>
      <w:r>
        <w:rPr>
          <w:color w:val="231F20"/>
          <w:spacing w:val="-2"/>
        </w:rPr>
        <w:t>also</w:t>
      </w:r>
      <w:r>
        <w:rPr>
          <w:color w:val="231F20"/>
          <w:spacing w:val="-8"/>
        </w:rPr>
        <w:t xml:space="preserve"> </w:t>
      </w:r>
      <w:r>
        <w:rPr>
          <w:color w:val="231F20"/>
          <w:spacing w:val="-2"/>
        </w:rPr>
        <w:t>for</w:t>
      </w:r>
      <w:r>
        <w:rPr>
          <w:color w:val="231F20"/>
          <w:spacing w:val="-8"/>
        </w:rPr>
        <w:t xml:space="preserve"> </w:t>
      </w:r>
      <w:r>
        <w:rPr>
          <w:color w:val="231F20"/>
          <w:spacing w:val="-2"/>
        </w:rPr>
        <w:t>the host</w:t>
      </w:r>
      <w:r>
        <w:rPr>
          <w:color w:val="231F20"/>
          <w:spacing w:val="-5"/>
        </w:rPr>
        <w:t xml:space="preserve"> </w:t>
      </w:r>
      <w:r>
        <w:rPr>
          <w:color w:val="231F20"/>
          <w:spacing w:val="-2"/>
        </w:rPr>
        <w:t>community,</w:t>
      </w:r>
      <w:r>
        <w:rPr>
          <w:color w:val="231F20"/>
          <w:spacing w:val="-5"/>
        </w:rPr>
        <w:t xml:space="preserve"> </w:t>
      </w:r>
      <w:r>
        <w:rPr>
          <w:color w:val="231F20"/>
          <w:spacing w:val="-2"/>
        </w:rPr>
        <w:t>its</w:t>
      </w:r>
      <w:r>
        <w:rPr>
          <w:color w:val="231F20"/>
          <w:spacing w:val="-5"/>
        </w:rPr>
        <w:t xml:space="preserve"> </w:t>
      </w:r>
      <w:r>
        <w:rPr>
          <w:color w:val="231F20"/>
          <w:spacing w:val="-2"/>
        </w:rPr>
        <w:t>businesses,</w:t>
      </w:r>
      <w:r>
        <w:rPr>
          <w:color w:val="231F20"/>
          <w:spacing w:val="-5"/>
        </w:rPr>
        <w:t xml:space="preserve"> </w:t>
      </w:r>
      <w:r>
        <w:rPr>
          <w:color w:val="231F20"/>
          <w:spacing w:val="-2"/>
        </w:rPr>
        <w:t>tourists</w:t>
      </w:r>
      <w:r>
        <w:rPr>
          <w:color w:val="231F20"/>
          <w:spacing w:val="-5"/>
        </w:rPr>
        <w:t xml:space="preserve"> </w:t>
      </w:r>
      <w:r>
        <w:rPr>
          <w:color w:val="231F20"/>
          <w:spacing w:val="-2"/>
        </w:rPr>
        <w:t>and</w:t>
      </w:r>
      <w:r>
        <w:rPr>
          <w:color w:val="231F20"/>
          <w:spacing w:val="-5"/>
        </w:rPr>
        <w:t xml:space="preserve"> </w:t>
      </w:r>
      <w:r>
        <w:rPr>
          <w:color w:val="231F20"/>
          <w:spacing w:val="-2"/>
        </w:rPr>
        <w:t>investors,</w:t>
      </w:r>
      <w:r>
        <w:rPr>
          <w:color w:val="231F20"/>
          <w:spacing w:val="-5"/>
        </w:rPr>
        <w:t xml:space="preserve"> </w:t>
      </w:r>
      <w:r>
        <w:rPr>
          <w:color w:val="231F20"/>
          <w:spacing w:val="-2"/>
        </w:rPr>
        <w:t>and</w:t>
      </w:r>
      <w:r>
        <w:rPr>
          <w:color w:val="231F20"/>
          <w:spacing w:val="-5"/>
        </w:rPr>
        <w:t xml:space="preserve"> </w:t>
      </w:r>
      <w:r>
        <w:rPr>
          <w:color w:val="231F20"/>
          <w:spacing w:val="-2"/>
        </w:rPr>
        <w:t>possibly</w:t>
      </w:r>
      <w:r>
        <w:rPr>
          <w:color w:val="231F20"/>
          <w:spacing w:val="-5"/>
        </w:rPr>
        <w:t xml:space="preserve"> </w:t>
      </w:r>
      <w:r>
        <w:rPr>
          <w:color w:val="231F20"/>
          <w:spacing w:val="-2"/>
        </w:rPr>
        <w:t xml:space="preserve">for </w:t>
      </w:r>
      <w:r>
        <w:rPr>
          <w:color w:val="231F20"/>
        </w:rPr>
        <w:t>the</w:t>
      </w:r>
      <w:r>
        <w:rPr>
          <w:color w:val="231F20"/>
          <w:spacing w:val="-6"/>
        </w:rPr>
        <w:t xml:space="preserve"> </w:t>
      </w:r>
      <w:r>
        <w:rPr>
          <w:color w:val="231F20"/>
        </w:rPr>
        <w:t>hosting</w:t>
      </w:r>
      <w:r>
        <w:rPr>
          <w:color w:val="231F20"/>
          <w:spacing w:val="-6"/>
        </w:rPr>
        <w:t xml:space="preserve"> </w:t>
      </w:r>
      <w:r>
        <w:rPr>
          <w:color w:val="231F20"/>
        </w:rPr>
        <w:t>of future</w:t>
      </w:r>
      <w:r>
        <w:rPr>
          <w:color w:val="231F20"/>
          <w:spacing w:val="-6"/>
        </w:rPr>
        <w:t xml:space="preserve"> </w:t>
      </w:r>
      <w:r>
        <w:rPr>
          <w:color w:val="231F20"/>
        </w:rPr>
        <w:t>large-scale</w:t>
      </w:r>
      <w:r>
        <w:rPr>
          <w:color w:val="231F20"/>
          <w:spacing w:val="-6"/>
        </w:rPr>
        <w:t xml:space="preserve"> </w:t>
      </w:r>
      <w:r>
        <w:rPr>
          <w:color w:val="231F20"/>
        </w:rPr>
        <w:t>events.</w:t>
      </w:r>
      <w:r>
        <w:rPr>
          <w:color w:val="231F20"/>
          <w:spacing w:val="-6"/>
        </w:rPr>
        <w:t xml:space="preserve"> </w:t>
      </w:r>
      <w:r>
        <w:rPr>
          <w:color w:val="231F20"/>
        </w:rPr>
        <w:t>If planned,</w:t>
      </w:r>
      <w:r>
        <w:rPr>
          <w:color w:val="231F20"/>
          <w:spacing w:val="-6"/>
        </w:rPr>
        <w:t xml:space="preserve"> </w:t>
      </w:r>
      <w:r>
        <w:rPr>
          <w:color w:val="231F20"/>
        </w:rPr>
        <w:t>built</w:t>
      </w:r>
      <w:r>
        <w:rPr>
          <w:color w:val="231F20"/>
          <w:spacing w:val="-6"/>
        </w:rPr>
        <w:t xml:space="preserve"> </w:t>
      </w:r>
      <w:r>
        <w:rPr>
          <w:color w:val="231F20"/>
        </w:rPr>
        <w:t>and</w:t>
      </w:r>
      <w:r>
        <w:rPr>
          <w:color w:val="231F20"/>
          <w:spacing w:val="-6"/>
        </w:rPr>
        <w:t xml:space="preserve"> </w:t>
      </w:r>
      <w:r>
        <w:rPr>
          <w:color w:val="231F20"/>
        </w:rPr>
        <w:t xml:space="preserve">managed </w:t>
      </w:r>
      <w:r>
        <w:rPr>
          <w:color w:val="231F20"/>
          <w:spacing w:val="-2"/>
        </w:rPr>
        <w:t>in</w:t>
      </w:r>
      <w:r>
        <w:rPr>
          <w:color w:val="231F20"/>
          <w:spacing w:val="-5"/>
        </w:rPr>
        <w:t xml:space="preserve"> </w:t>
      </w:r>
      <w:r>
        <w:rPr>
          <w:color w:val="231F20"/>
          <w:spacing w:val="-2"/>
        </w:rPr>
        <w:t>a</w:t>
      </w:r>
      <w:r>
        <w:rPr>
          <w:color w:val="231F20"/>
          <w:spacing w:val="-5"/>
        </w:rPr>
        <w:t xml:space="preserve"> </w:t>
      </w:r>
      <w:r>
        <w:rPr>
          <w:color w:val="231F20"/>
          <w:spacing w:val="-2"/>
        </w:rPr>
        <w:t>sustainable</w:t>
      </w:r>
      <w:r>
        <w:rPr>
          <w:color w:val="231F20"/>
          <w:spacing w:val="-5"/>
        </w:rPr>
        <w:t xml:space="preserve"> </w:t>
      </w:r>
      <w:r>
        <w:rPr>
          <w:color w:val="231F20"/>
          <w:spacing w:val="-2"/>
        </w:rPr>
        <w:t>manner,</w:t>
      </w:r>
      <w:r>
        <w:rPr>
          <w:color w:val="231F20"/>
          <w:spacing w:val="-5"/>
        </w:rPr>
        <w:t xml:space="preserve"> </w:t>
      </w:r>
      <w:r>
        <w:rPr>
          <w:color w:val="231F20"/>
          <w:spacing w:val="-2"/>
        </w:rPr>
        <w:t>these</w:t>
      </w:r>
      <w:r>
        <w:rPr>
          <w:color w:val="231F20"/>
          <w:spacing w:val="-5"/>
        </w:rPr>
        <w:t xml:space="preserve"> </w:t>
      </w:r>
      <w:r>
        <w:rPr>
          <w:color w:val="231F20"/>
          <w:spacing w:val="-2"/>
        </w:rPr>
        <w:t>initiatives</w:t>
      </w:r>
      <w:r>
        <w:rPr>
          <w:color w:val="231F20"/>
          <w:spacing w:val="-5"/>
        </w:rPr>
        <w:t xml:space="preserve"> </w:t>
      </w:r>
      <w:r>
        <w:rPr>
          <w:color w:val="231F20"/>
          <w:spacing w:val="-2"/>
        </w:rPr>
        <w:t>can</w:t>
      </w:r>
      <w:r>
        <w:rPr>
          <w:color w:val="231F20"/>
          <w:spacing w:val="-5"/>
        </w:rPr>
        <w:t xml:space="preserve"> </w:t>
      </w:r>
      <w:r>
        <w:rPr>
          <w:color w:val="231F20"/>
          <w:spacing w:val="-2"/>
        </w:rPr>
        <w:t>create</w:t>
      </w:r>
      <w:r>
        <w:rPr>
          <w:color w:val="231F20"/>
          <w:spacing w:val="-5"/>
        </w:rPr>
        <w:t xml:space="preserve"> </w:t>
      </w:r>
      <w:r>
        <w:rPr>
          <w:color w:val="231F20"/>
          <w:spacing w:val="-2"/>
        </w:rPr>
        <w:t>positive</w:t>
      </w:r>
      <w:r>
        <w:rPr>
          <w:color w:val="231F20"/>
          <w:spacing w:val="-5"/>
        </w:rPr>
        <w:t xml:space="preserve"> </w:t>
      </w:r>
      <w:r>
        <w:rPr>
          <w:color w:val="231F20"/>
          <w:spacing w:val="-2"/>
        </w:rPr>
        <w:t xml:space="preserve">leveraging </w:t>
      </w:r>
      <w:r>
        <w:rPr>
          <w:color w:val="231F20"/>
        </w:rPr>
        <w:t xml:space="preserve">opportunities for tourism development. These leveraging activities </w:t>
      </w:r>
      <w:r>
        <w:rPr>
          <w:color w:val="231F20"/>
          <w:w w:val="95"/>
        </w:rPr>
        <w:t xml:space="preserve">should be considered within a sustainable development framework that considers the nation’s strategic developmental objectives. Although this case study focuses on leveraging opportunities </w:t>
      </w:r>
      <w:r>
        <w:rPr>
          <w:color w:val="231F20"/>
          <w:w w:val="95"/>
        </w:rPr>
        <w:t xml:space="preserve">associated with a mega- event, there was support among study respondents for more sustainable </w:t>
      </w:r>
      <w:r>
        <w:rPr>
          <w:color w:val="231F20"/>
        </w:rPr>
        <w:t xml:space="preserve">smaller, regular, local (home-grown) sporting events. These smaller </w:t>
      </w:r>
      <w:r>
        <w:rPr>
          <w:color w:val="231F20"/>
          <w:w w:val="95"/>
        </w:rPr>
        <w:t>events</w:t>
      </w:r>
      <w:r>
        <w:rPr>
          <w:color w:val="231F20"/>
          <w:spacing w:val="-10"/>
          <w:w w:val="95"/>
        </w:rPr>
        <w:t xml:space="preserve"> </w:t>
      </w:r>
      <w:r>
        <w:rPr>
          <w:color w:val="231F20"/>
          <w:w w:val="95"/>
        </w:rPr>
        <w:t>were</w:t>
      </w:r>
      <w:r>
        <w:rPr>
          <w:color w:val="231F20"/>
          <w:spacing w:val="-9"/>
          <w:w w:val="95"/>
        </w:rPr>
        <w:t xml:space="preserve"> </w:t>
      </w:r>
      <w:r>
        <w:rPr>
          <w:color w:val="231F20"/>
          <w:w w:val="95"/>
        </w:rPr>
        <w:t>perceived</w:t>
      </w:r>
      <w:r>
        <w:rPr>
          <w:color w:val="231F20"/>
          <w:spacing w:val="-9"/>
          <w:w w:val="95"/>
        </w:rPr>
        <w:t xml:space="preserve"> </w:t>
      </w:r>
      <w:r>
        <w:rPr>
          <w:color w:val="231F20"/>
          <w:w w:val="95"/>
        </w:rPr>
        <w:t>to</w:t>
      </w:r>
      <w:r>
        <w:rPr>
          <w:color w:val="231F20"/>
          <w:spacing w:val="-9"/>
          <w:w w:val="95"/>
        </w:rPr>
        <w:t xml:space="preserve"> </w:t>
      </w:r>
      <w:r>
        <w:rPr>
          <w:color w:val="231F20"/>
          <w:w w:val="95"/>
        </w:rPr>
        <w:t>be</w:t>
      </w:r>
      <w:r>
        <w:rPr>
          <w:color w:val="231F20"/>
          <w:spacing w:val="-10"/>
          <w:w w:val="95"/>
        </w:rPr>
        <w:t xml:space="preserve"> </w:t>
      </w:r>
      <w:r>
        <w:rPr>
          <w:color w:val="231F20"/>
          <w:w w:val="95"/>
        </w:rPr>
        <w:t>less</w:t>
      </w:r>
      <w:r>
        <w:rPr>
          <w:color w:val="231F20"/>
          <w:spacing w:val="-9"/>
          <w:w w:val="95"/>
        </w:rPr>
        <w:t xml:space="preserve"> </w:t>
      </w:r>
      <w:r>
        <w:rPr>
          <w:color w:val="231F20"/>
          <w:w w:val="95"/>
        </w:rPr>
        <w:t>costly</w:t>
      </w:r>
      <w:r>
        <w:rPr>
          <w:color w:val="231F20"/>
          <w:spacing w:val="-9"/>
          <w:w w:val="95"/>
        </w:rPr>
        <w:t xml:space="preserve"> </w:t>
      </w:r>
      <w:r>
        <w:rPr>
          <w:color w:val="231F20"/>
          <w:w w:val="95"/>
        </w:rPr>
        <w:t>and</w:t>
      </w:r>
      <w:r>
        <w:rPr>
          <w:color w:val="231F20"/>
          <w:spacing w:val="-9"/>
          <w:w w:val="95"/>
        </w:rPr>
        <w:t xml:space="preserve"> </w:t>
      </w:r>
      <w:r>
        <w:rPr>
          <w:color w:val="231F20"/>
          <w:w w:val="95"/>
        </w:rPr>
        <w:t>to</w:t>
      </w:r>
      <w:r>
        <w:rPr>
          <w:color w:val="231F20"/>
          <w:spacing w:val="-10"/>
          <w:w w:val="95"/>
        </w:rPr>
        <w:t xml:space="preserve"> </w:t>
      </w:r>
      <w:r>
        <w:rPr>
          <w:color w:val="231F20"/>
          <w:w w:val="95"/>
        </w:rPr>
        <w:t>provide</w:t>
      </w:r>
      <w:r>
        <w:rPr>
          <w:color w:val="231F20"/>
          <w:spacing w:val="-9"/>
          <w:w w:val="95"/>
        </w:rPr>
        <w:t xml:space="preserve"> </w:t>
      </w:r>
      <w:r>
        <w:rPr>
          <w:color w:val="231F20"/>
          <w:w w:val="95"/>
        </w:rPr>
        <w:t>more</w:t>
      </w:r>
      <w:r>
        <w:rPr>
          <w:color w:val="231F20"/>
          <w:spacing w:val="-9"/>
          <w:w w:val="95"/>
        </w:rPr>
        <w:t xml:space="preserve"> </w:t>
      </w:r>
      <w:r>
        <w:rPr>
          <w:color w:val="231F20"/>
          <w:w w:val="95"/>
        </w:rPr>
        <w:t>niche</w:t>
      </w:r>
      <w:r>
        <w:rPr>
          <w:color w:val="231F20"/>
          <w:spacing w:val="-9"/>
          <w:w w:val="95"/>
        </w:rPr>
        <w:t xml:space="preserve"> </w:t>
      </w:r>
      <w:r>
        <w:rPr>
          <w:color w:val="231F20"/>
          <w:w w:val="95"/>
        </w:rPr>
        <w:t>benefits than</w:t>
      </w:r>
      <w:r>
        <w:rPr>
          <w:color w:val="231F20"/>
          <w:spacing w:val="-3"/>
          <w:w w:val="95"/>
        </w:rPr>
        <w:t xml:space="preserve"> </w:t>
      </w:r>
      <w:r>
        <w:rPr>
          <w:color w:val="231F20"/>
          <w:w w:val="95"/>
        </w:rPr>
        <w:t>those</w:t>
      </w:r>
      <w:r>
        <w:rPr>
          <w:color w:val="231F20"/>
          <w:spacing w:val="-3"/>
          <w:w w:val="95"/>
        </w:rPr>
        <w:t xml:space="preserve"> </w:t>
      </w:r>
      <w:r>
        <w:rPr>
          <w:color w:val="231F20"/>
          <w:w w:val="95"/>
        </w:rPr>
        <w:t>normally</w:t>
      </w:r>
      <w:r>
        <w:rPr>
          <w:color w:val="231F20"/>
          <w:spacing w:val="-3"/>
          <w:w w:val="95"/>
        </w:rPr>
        <w:t xml:space="preserve"> </w:t>
      </w:r>
      <w:r>
        <w:rPr>
          <w:color w:val="231F20"/>
          <w:w w:val="95"/>
        </w:rPr>
        <w:t>leveraged</w:t>
      </w:r>
      <w:r>
        <w:rPr>
          <w:color w:val="231F20"/>
          <w:spacing w:val="-3"/>
          <w:w w:val="95"/>
        </w:rPr>
        <w:t xml:space="preserve"> </w:t>
      </w:r>
      <w:r>
        <w:rPr>
          <w:color w:val="231F20"/>
          <w:w w:val="95"/>
        </w:rPr>
        <w:t>from</w:t>
      </w:r>
      <w:r>
        <w:rPr>
          <w:color w:val="231F20"/>
          <w:spacing w:val="-3"/>
          <w:w w:val="95"/>
        </w:rPr>
        <w:t xml:space="preserve"> </w:t>
      </w:r>
      <w:r>
        <w:rPr>
          <w:color w:val="231F20"/>
          <w:w w:val="95"/>
        </w:rPr>
        <w:t>mega-events.</w:t>
      </w:r>
      <w:r>
        <w:rPr>
          <w:color w:val="231F20"/>
          <w:spacing w:val="-3"/>
          <w:w w:val="95"/>
        </w:rPr>
        <w:t xml:space="preserve"> </w:t>
      </w:r>
      <w:r>
        <w:rPr>
          <w:color w:val="231F20"/>
          <w:w w:val="95"/>
        </w:rPr>
        <w:t>Overall,</w:t>
      </w:r>
      <w:r>
        <w:rPr>
          <w:color w:val="231F20"/>
          <w:spacing w:val="-3"/>
          <w:w w:val="95"/>
        </w:rPr>
        <w:t xml:space="preserve"> </w:t>
      </w:r>
      <w:r>
        <w:rPr>
          <w:color w:val="231F20"/>
          <w:w w:val="95"/>
        </w:rPr>
        <w:t>this</w:t>
      </w:r>
      <w:r>
        <w:rPr>
          <w:color w:val="231F20"/>
          <w:spacing w:val="-3"/>
          <w:w w:val="95"/>
        </w:rPr>
        <w:t xml:space="preserve"> </w:t>
      </w:r>
      <w:r>
        <w:rPr>
          <w:color w:val="231F20"/>
          <w:w w:val="95"/>
        </w:rPr>
        <w:t>case</w:t>
      </w:r>
      <w:r>
        <w:rPr>
          <w:color w:val="231F20"/>
          <w:spacing w:val="-3"/>
          <w:w w:val="95"/>
        </w:rPr>
        <w:t xml:space="preserve"> </w:t>
      </w:r>
      <w:r>
        <w:rPr>
          <w:color w:val="231F20"/>
          <w:w w:val="95"/>
        </w:rPr>
        <w:t xml:space="preserve">study provides evidence in support of the assertions that sport tourism events </w:t>
      </w:r>
      <w:r>
        <w:rPr>
          <w:color w:val="231F20"/>
        </w:rPr>
        <w:t>can be leveraged to build place identity and to position destinations (Higham</w:t>
      </w:r>
      <w:r>
        <w:rPr>
          <w:color w:val="231F20"/>
          <w:spacing w:val="-9"/>
        </w:rPr>
        <w:t xml:space="preserve"> </w:t>
      </w:r>
      <w:r>
        <w:rPr>
          <w:color w:val="231F20"/>
        </w:rPr>
        <w:t>&amp;</w:t>
      </w:r>
      <w:r>
        <w:rPr>
          <w:color w:val="231F20"/>
          <w:spacing w:val="-9"/>
        </w:rPr>
        <w:t xml:space="preserve"> </w:t>
      </w:r>
      <w:r>
        <w:rPr>
          <w:color w:val="231F20"/>
        </w:rPr>
        <w:t>Hinch,</w:t>
      </w:r>
      <w:r>
        <w:rPr>
          <w:color w:val="231F20"/>
          <w:spacing w:val="-9"/>
        </w:rPr>
        <w:t xml:space="preserve"> </w:t>
      </w:r>
      <w:r>
        <w:rPr>
          <w:color w:val="231F20"/>
        </w:rPr>
        <w:t>2009).</w:t>
      </w:r>
      <w:r>
        <w:rPr>
          <w:color w:val="231F20"/>
          <w:spacing w:val="-9"/>
        </w:rPr>
        <w:t xml:space="preserve"> </w:t>
      </w:r>
      <w:r>
        <w:rPr>
          <w:color w:val="231F20"/>
        </w:rPr>
        <w:t>While</w:t>
      </w:r>
      <w:r>
        <w:rPr>
          <w:color w:val="231F20"/>
          <w:spacing w:val="-9"/>
        </w:rPr>
        <w:t xml:space="preserve"> </w:t>
      </w:r>
      <w:r>
        <w:rPr>
          <w:color w:val="231F20"/>
        </w:rPr>
        <w:t>the</w:t>
      </w:r>
      <w:r>
        <w:rPr>
          <w:color w:val="231F20"/>
          <w:spacing w:val="-9"/>
        </w:rPr>
        <w:t xml:space="preserve"> </w:t>
      </w:r>
      <w:r>
        <w:rPr>
          <w:color w:val="231F20"/>
        </w:rPr>
        <w:t>2010</w:t>
      </w:r>
      <w:r>
        <w:rPr>
          <w:color w:val="231F20"/>
          <w:spacing w:val="-9"/>
        </w:rPr>
        <w:t xml:space="preserve"> </w:t>
      </w:r>
      <w:r>
        <w:rPr>
          <w:color w:val="231F20"/>
        </w:rPr>
        <w:t>FIFA</w:t>
      </w:r>
      <w:r>
        <w:rPr>
          <w:color w:val="231F20"/>
          <w:spacing w:val="-9"/>
        </w:rPr>
        <w:t xml:space="preserve"> </w:t>
      </w:r>
      <w:r>
        <w:rPr>
          <w:color w:val="231F20"/>
        </w:rPr>
        <w:t>World</w:t>
      </w:r>
      <w:r>
        <w:rPr>
          <w:color w:val="231F20"/>
          <w:spacing w:val="-9"/>
        </w:rPr>
        <w:t xml:space="preserve"> </w:t>
      </w:r>
      <w:r>
        <w:rPr>
          <w:color w:val="231F20"/>
        </w:rPr>
        <w:t>Cup</w:t>
      </w:r>
      <w:r>
        <w:rPr>
          <w:color w:val="231F20"/>
          <w:spacing w:val="-9"/>
        </w:rPr>
        <w:t xml:space="preserve"> </w:t>
      </w:r>
      <w:r>
        <w:rPr>
          <w:color w:val="231F20"/>
        </w:rPr>
        <w:t>was</w:t>
      </w:r>
      <w:r>
        <w:rPr>
          <w:color w:val="231F20"/>
          <w:spacing w:val="-9"/>
        </w:rPr>
        <w:t xml:space="preserve"> </w:t>
      </w:r>
      <w:r>
        <w:rPr>
          <w:color w:val="231F20"/>
        </w:rPr>
        <w:t xml:space="preserve">deemed </w:t>
      </w:r>
      <w:r>
        <w:rPr>
          <w:color w:val="231F20"/>
          <w:w w:val="95"/>
        </w:rPr>
        <w:t>a success in terms of</w:t>
      </w:r>
      <w:r>
        <w:rPr>
          <w:color w:val="231F20"/>
        </w:rPr>
        <w:t xml:space="preserve"> </w:t>
      </w:r>
      <w:r>
        <w:rPr>
          <w:color w:val="231F20"/>
          <w:w w:val="95"/>
        </w:rPr>
        <w:t xml:space="preserve">positioning South Africa on the world stage during </w:t>
      </w:r>
      <w:r>
        <w:rPr>
          <w:color w:val="231F20"/>
          <w:spacing w:val="-2"/>
        </w:rPr>
        <w:t>the</w:t>
      </w:r>
      <w:r>
        <w:rPr>
          <w:color w:val="231F20"/>
          <w:spacing w:val="-3"/>
        </w:rPr>
        <w:t xml:space="preserve"> </w:t>
      </w:r>
      <w:r>
        <w:rPr>
          <w:color w:val="231F20"/>
          <w:spacing w:val="-2"/>
        </w:rPr>
        <w:t>competition</w:t>
      </w:r>
      <w:r>
        <w:rPr>
          <w:color w:val="231F20"/>
          <w:spacing w:val="-3"/>
        </w:rPr>
        <w:t xml:space="preserve"> </w:t>
      </w:r>
      <w:r>
        <w:rPr>
          <w:color w:val="231F20"/>
          <w:spacing w:val="-2"/>
        </w:rPr>
        <w:t>(Roche,</w:t>
      </w:r>
      <w:r>
        <w:rPr>
          <w:color w:val="231F20"/>
          <w:spacing w:val="-3"/>
        </w:rPr>
        <w:t xml:space="preserve"> </w:t>
      </w:r>
      <w:r>
        <w:rPr>
          <w:color w:val="231F20"/>
          <w:spacing w:val="-2"/>
        </w:rPr>
        <w:t>2000),</w:t>
      </w:r>
      <w:r>
        <w:rPr>
          <w:color w:val="231F20"/>
          <w:spacing w:val="-3"/>
        </w:rPr>
        <w:t xml:space="preserve"> </w:t>
      </w:r>
      <w:r>
        <w:rPr>
          <w:color w:val="231F20"/>
          <w:spacing w:val="-2"/>
        </w:rPr>
        <w:t>its</w:t>
      </w:r>
      <w:r>
        <w:rPr>
          <w:color w:val="231F20"/>
          <w:spacing w:val="-3"/>
        </w:rPr>
        <w:t xml:space="preserve"> </w:t>
      </w:r>
      <w:r>
        <w:rPr>
          <w:color w:val="231F20"/>
          <w:spacing w:val="-2"/>
        </w:rPr>
        <w:t>economic</w:t>
      </w:r>
      <w:r>
        <w:rPr>
          <w:color w:val="231F20"/>
          <w:spacing w:val="-3"/>
        </w:rPr>
        <w:t xml:space="preserve"> </w:t>
      </w:r>
      <w:r>
        <w:rPr>
          <w:color w:val="231F20"/>
          <w:spacing w:val="-2"/>
        </w:rPr>
        <w:t>and</w:t>
      </w:r>
      <w:r>
        <w:rPr>
          <w:color w:val="231F20"/>
          <w:spacing w:val="-3"/>
        </w:rPr>
        <w:t xml:space="preserve"> </w:t>
      </w:r>
      <w:r>
        <w:rPr>
          <w:color w:val="231F20"/>
          <w:spacing w:val="-2"/>
        </w:rPr>
        <w:t>social</w:t>
      </w:r>
      <w:r>
        <w:rPr>
          <w:color w:val="231F20"/>
          <w:spacing w:val="-3"/>
        </w:rPr>
        <w:t xml:space="preserve"> </w:t>
      </w:r>
      <w:r>
        <w:rPr>
          <w:color w:val="231F20"/>
          <w:spacing w:val="-2"/>
        </w:rPr>
        <w:t>legacy</w:t>
      </w:r>
      <w:r>
        <w:rPr>
          <w:color w:val="231F20"/>
          <w:spacing w:val="-3"/>
        </w:rPr>
        <w:t xml:space="preserve"> </w:t>
      </w:r>
      <w:r>
        <w:rPr>
          <w:color w:val="231F20"/>
          <w:spacing w:val="-2"/>
        </w:rPr>
        <w:t>has</w:t>
      </w:r>
      <w:r>
        <w:rPr>
          <w:color w:val="231F20"/>
          <w:spacing w:val="-3"/>
        </w:rPr>
        <w:t xml:space="preserve"> </w:t>
      </w:r>
      <w:r>
        <w:rPr>
          <w:color w:val="231F20"/>
          <w:spacing w:val="-2"/>
        </w:rPr>
        <w:t xml:space="preserve">been </w:t>
      </w:r>
      <w:r>
        <w:rPr>
          <w:color w:val="231F20"/>
        </w:rPr>
        <w:t>more problematic at a local and domestic level.</w:t>
      </w:r>
    </w:p>
    <w:p w14:paraId="2C7B04AE" w14:textId="77777777" w:rsidR="00AE0598" w:rsidRDefault="00AE0598">
      <w:pPr>
        <w:pStyle w:val="Corpodetexto"/>
        <w:spacing w:before="3"/>
        <w:rPr>
          <w:sz w:val="23"/>
        </w:rPr>
      </w:pPr>
    </w:p>
    <w:p w14:paraId="066F4FAC" w14:textId="77777777" w:rsidR="00AE0598" w:rsidRDefault="0069255A">
      <w:pPr>
        <w:ind w:left="230"/>
        <w:jc w:val="both"/>
        <w:rPr>
          <w:rFonts w:ascii="Trebuchet MS"/>
          <w:sz w:val="20"/>
        </w:rPr>
      </w:pPr>
      <w:r>
        <w:rPr>
          <w:rFonts w:ascii="Trebuchet MS"/>
          <w:color w:val="231F20"/>
          <w:w w:val="105"/>
          <w:sz w:val="20"/>
        </w:rPr>
        <w:t>Key</w:t>
      </w:r>
      <w:r>
        <w:rPr>
          <w:rFonts w:ascii="Trebuchet MS"/>
          <w:color w:val="231F20"/>
          <w:spacing w:val="-11"/>
          <w:w w:val="105"/>
          <w:sz w:val="20"/>
        </w:rPr>
        <w:t xml:space="preserve"> </w:t>
      </w:r>
      <w:r>
        <w:rPr>
          <w:rFonts w:ascii="Trebuchet MS"/>
          <w:color w:val="231F20"/>
          <w:spacing w:val="-2"/>
          <w:w w:val="105"/>
          <w:sz w:val="20"/>
        </w:rPr>
        <w:t>Reading</w:t>
      </w:r>
    </w:p>
    <w:p w14:paraId="77501F65" w14:textId="77777777" w:rsidR="00AE0598" w:rsidRDefault="0069255A">
      <w:pPr>
        <w:pStyle w:val="Corpodetexto"/>
        <w:spacing w:before="122" w:line="232" w:lineRule="auto"/>
        <w:ind w:left="230" w:right="248"/>
        <w:jc w:val="both"/>
      </w:pPr>
      <w:r>
        <w:rPr>
          <w:color w:val="231F20"/>
        </w:rPr>
        <w:t>Knott, B. (2015) The strategic contribut</w:t>
      </w:r>
      <w:r>
        <w:rPr>
          <w:color w:val="231F20"/>
        </w:rPr>
        <w:t>ion of sport mega-events to nation branding: The case of South Africa and the 2010 FIFA World Cup. Unpublished PhD thesis, Bournemouth University.</w:t>
      </w:r>
    </w:p>
    <w:p w14:paraId="57D16272" w14:textId="77777777" w:rsidR="00AE0598" w:rsidRDefault="0069255A">
      <w:pPr>
        <w:spacing w:before="4" w:line="232" w:lineRule="auto"/>
        <w:ind w:left="230" w:right="247" w:firstLine="320"/>
        <w:jc w:val="both"/>
        <w:rPr>
          <w:i/>
          <w:sz w:val="21"/>
        </w:rPr>
      </w:pPr>
      <w:r>
        <w:rPr>
          <w:i/>
          <w:color w:val="231F20"/>
          <w:sz w:val="21"/>
        </w:rPr>
        <w:t>Additional references cited in this case study are included in the reference list.</w:t>
      </w:r>
    </w:p>
    <w:p w14:paraId="16BA99E4" w14:textId="77777777" w:rsidR="00AE0598" w:rsidRDefault="00AE0598">
      <w:pPr>
        <w:spacing w:line="232" w:lineRule="auto"/>
        <w:jc w:val="both"/>
        <w:rPr>
          <w:sz w:val="21"/>
        </w:rPr>
        <w:sectPr w:rsidR="00AE0598">
          <w:pgSz w:w="8850" w:h="13270"/>
          <w:pgMar w:top="720" w:right="1060" w:bottom="280" w:left="1080" w:header="720" w:footer="720" w:gutter="0"/>
          <w:cols w:space="720"/>
        </w:sectPr>
      </w:pPr>
    </w:p>
    <w:p w14:paraId="0FAE7794" w14:textId="77777777" w:rsidR="00AE0598" w:rsidRDefault="0069255A">
      <w:pPr>
        <w:spacing w:before="87"/>
        <w:ind w:left="4067"/>
        <w:rPr>
          <w:rFonts w:ascii="Trebuchet MS"/>
          <w:sz w:val="14"/>
        </w:rPr>
      </w:pPr>
      <w:r>
        <w:rPr>
          <w:rFonts w:ascii="Trebuchet MS"/>
          <w:color w:val="231F20"/>
          <w:w w:val="105"/>
          <w:sz w:val="14"/>
        </w:rPr>
        <w:lastRenderedPageBreak/>
        <w:t>Development</w:t>
      </w:r>
      <w:r>
        <w:rPr>
          <w:rFonts w:ascii="Trebuchet MS"/>
          <w:color w:val="231F20"/>
          <w:spacing w:val="-12"/>
          <w:w w:val="105"/>
          <w:sz w:val="14"/>
        </w:rPr>
        <w:t xml:space="preserve"> </w:t>
      </w:r>
      <w:r>
        <w:rPr>
          <w:rFonts w:ascii="Trebuchet MS"/>
          <w:color w:val="231F20"/>
          <w:w w:val="105"/>
          <w:sz w:val="14"/>
        </w:rPr>
        <w:t>Processes</w:t>
      </w:r>
      <w:r>
        <w:rPr>
          <w:rFonts w:ascii="Trebuchet MS"/>
          <w:color w:val="231F20"/>
          <w:spacing w:val="-11"/>
          <w:w w:val="105"/>
          <w:sz w:val="14"/>
        </w:rPr>
        <w:t xml:space="preserve"> </w:t>
      </w:r>
      <w:r>
        <w:rPr>
          <w:rFonts w:ascii="Trebuchet MS"/>
          <w:color w:val="231F20"/>
          <w:w w:val="105"/>
          <w:sz w:val="14"/>
        </w:rPr>
        <w:t>and</w:t>
      </w:r>
      <w:r>
        <w:rPr>
          <w:rFonts w:ascii="Trebuchet MS"/>
          <w:color w:val="231F20"/>
          <w:spacing w:val="-11"/>
          <w:w w:val="105"/>
          <w:sz w:val="14"/>
        </w:rPr>
        <w:t xml:space="preserve"> </w:t>
      </w:r>
      <w:r>
        <w:rPr>
          <w:rFonts w:ascii="Trebuchet MS"/>
          <w:color w:val="231F20"/>
          <w:w w:val="105"/>
          <w:sz w:val="14"/>
        </w:rPr>
        <w:t>Issues</w:t>
      </w:r>
      <w:r>
        <w:rPr>
          <w:rFonts w:ascii="Trebuchet MS"/>
          <w:color w:val="231F20"/>
          <w:spacing w:val="77"/>
          <w:w w:val="105"/>
          <w:sz w:val="14"/>
        </w:rPr>
        <w:t xml:space="preserve"> </w:t>
      </w:r>
      <w:r>
        <w:rPr>
          <w:rFonts w:ascii="Trebuchet MS"/>
          <w:color w:val="231F20"/>
          <w:spacing w:val="-5"/>
          <w:w w:val="105"/>
          <w:sz w:val="14"/>
        </w:rPr>
        <w:t>79</w:t>
      </w:r>
    </w:p>
    <w:p w14:paraId="332E21A3" w14:textId="77777777" w:rsidR="00AE0598" w:rsidRDefault="00AE0598">
      <w:pPr>
        <w:pStyle w:val="Corpodetexto"/>
        <w:rPr>
          <w:rFonts w:ascii="Trebuchet MS"/>
          <w:sz w:val="16"/>
        </w:rPr>
      </w:pPr>
    </w:p>
    <w:p w14:paraId="0BCD3EE3" w14:textId="77777777" w:rsidR="00AE0598" w:rsidRDefault="0069255A">
      <w:pPr>
        <w:pStyle w:val="Corpodetexto"/>
        <w:spacing w:before="118" w:line="232" w:lineRule="auto"/>
        <w:ind w:left="110" w:right="126" w:firstLine="320"/>
        <w:jc w:val="both"/>
      </w:pPr>
      <w:r>
        <w:rPr>
          <w:color w:val="231F20"/>
          <w:w w:val="95"/>
        </w:rPr>
        <w:t xml:space="preserve">One of the dominant interdependencies that characterises globalisation </w:t>
      </w:r>
      <w:r>
        <w:rPr>
          <w:color w:val="231F20"/>
        </w:rPr>
        <w:t>is the relationship between economics and culture. On the one hand, globalisation</w:t>
      </w:r>
      <w:r>
        <w:rPr>
          <w:color w:val="231F20"/>
          <w:spacing w:val="40"/>
        </w:rPr>
        <w:t xml:space="preserve"> </w:t>
      </w:r>
      <w:r>
        <w:rPr>
          <w:color w:val="231F20"/>
        </w:rPr>
        <w:t>can</w:t>
      </w:r>
      <w:r>
        <w:rPr>
          <w:color w:val="231F20"/>
          <w:spacing w:val="40"/>
        </w:rPr>
        <w:t xml:space="preserve"> </w:t>
      </w:r>
      <w:r>
        <w:rPr>
          <w:color w:val="231F20"/>
        </w:rPr>
        <w:t>be</w:t>
      </w:r>
      <w:r>
        <w:rPr>
          <w:color w:val="231F20"/>
          <w:spacing w:val="40"/>
        </w:rPr>
        <w:t xml:space="preserve"> </w:t>
      </w:r>
      <w:r>
        <w:rPr>
          <w:color w:val="231F20"/>
        </w:rPr>
        <w:t>described</w:t>
      </w:r>
      <w:r>
        <w:rPr>
          <w:color w:val="231F20"/>
          <w:spacing w:val="40"/>
        </w:rPr>
        <w:t xml:space="preserve"> </w:t>
      </w:r>
      <w:r>
        <w:rPr>
          <w:color w:val="231F20"/>
        </w:rPr>
        <w:t>as</w:t>
      </w:r>
      <w:r>
        <w:rPr>
          <w:color w:val="231F20"/>
          <w:spacing w:val="40"/>
        </w:rPr>
        <w:t xml:space="preserve"> </w:t>
      </w:r>
      <w:r>
        <w:rPr>
          <w:color w:val="231F20"/>
        </w:rPr>
        <w:t>a</w:t>
      </w:r>
      <w:r>
        <w:rPr>
          <w:color w:val="231F20"/>
          <w:spacing w:val="40"/>
        </w:rPr>
        <w:t xml:space="preserve"> </w:t>
      </w:r>
      <w:r>
        <w:rPr>
          <w:color w:val="231F20"/>
        </w:rPr>
        <w:t>culture</w:t>
      </w:r>
      <w:r>
        <w:rPr>
          <w:color w:val="231F20"/>
          <w:spacing w:val="40"/>
        </w:rPr>
        <w:t xml:space="preserve"> </w:t>
      </w:r>
      <w:r>
        <w:rPr>
          <w:color w:val="231F20"/>
        </w:rPr>
        <w:t>of</w:t>
      </w:r>
      <w:r>
        <w:rPr>
          <w:color w:val="231F20"/>
          <w:spacing w:val="40"/>
        </w:rPr>
        <w:t xml:space="preserve"> </w:t>
      </w:r>
      <w:r>
        <w:rPr>
          <w:color w:val="231F20"/>
        </w:rPr>
        <w:t>consumption</w:t>
      </w:r>
      <w:r>
        <w:rPr>
          <w:color w:val="231F20"/>
          <w:spacing w:val="40"/>
        </w:rPr>
        <w:t xml:space="preserve"> </w:t>
      </w:r>
      <w:r>
        <w:rPr>
          <w:color w:val="231F20"/>
        </w:rPr>
        <w:t xml:space="preserve">inclusive of sport and tourism. </w:t>
      </w:r>
      <w:r>
        <w:rPr>
          <w:color w:val="231F20"/>
        </w:rPr>
        <w:t xml:space="preserve">On the other hand, it can be characterised as the consumption of culture (Higham &amp; Hinch, 2009). For example, media conglomerates and major sporting goods manufacturers/retailers like </w:t>
      </w:r>
      <w:r>
        <w:rPr>
          <w:color w:val="231F20"/>
          <w:w w:val="95"/>
        </w:rPr>
        <w:t>Nike have been identified as powerful forces influencing the globalisati</w:t>
      </w:r>
      <w:r>
        <w:rPr>
          <w:color w:val="231F20"/>
          <w:w w:val="95"/>
        </w:rPr>
        <w:t>on</w:t>
      </w:r>
      <w:r>
        <w:rPr>
          <w:color w:val="231F20"/>
          <w:spacing w:val="80"/>
        </w:rPr>
        <w:t xml:space="preserve"> </w:t>
      </w:r>
      <w:r>
        <w:rPr>
          <w:color w:val="231F20"/>
        </w:rPr>
        <w:t xml:space="preserve">of sport (Harvey </w:t>
      </w:r>
      <w:r>
        <w:rPr>
          <w:i/>
          <w:color w:val="231F20"/>
        </w:rPr>
        <w:t>et al</w:t>
      </w:r>
      <w:r>
        <w:rPr>
          <w:color w:val="231F20"/>
        </w:rPr>
        <w:t xml:space="preserve">., 1996; Thibault, 2009). While Maguire (1994) has </w:t>
      </w:r>
      <w:r>
        <w:rPr>
          <w:color w:val="231F20"/>
          <w:w w:val="95"/>
        </w:rPr>
        <w:t>argued</w:t>
      </w:r>
      <w:r>
        <w:rPr>
          <w:color w:val="231F20"/>
          <w:spacing w:val="-1"/>
          <w:w w:val="95"/>
        </w:rPr>
        <w:t xml:space="preserve"> </w:t>
      </w:r>
      <w:r>
        <w:rPr>
          <w:color w:val="231F20"/>
          <w:w w:val="95"/>
        </w:rPr>
        <w:t>that</w:t>
      </w:r>
      <w:r>
        <w:rPr>
          <w:color w:val="231F20"/>
          <w:spacing w:val="-1"/>
          <w:w w:val="95"/>
        </w:rPr>
        <w:t xml:space="preserve"> </w:t>
      </w:r>
      <w:r>
        <w:rPr>
          <w:color w:val="231F20"/>
          <w:w w:val="95"/>
        </w:rPr>
        <w:t>the</w:t>
      </w:r>
      <w:r>
        <w:rPr>
          <w:color w:val="231F20"/>
          <w:spacing w:val="-1"/>
          <w:w w:val="95"/>
        </w:rPr>
        <w:t xml:space="preserve"> </w:t>
      </w:r>
      <w:r>
        <w:rPr>
          <w:color w:val="231F20"/>
          <w:w w:val="95"/>
        </w:rPr>
        <w:t>influence</w:t>
      </w:r>
      <w:r>
        <w:rPr>
          <w:color w:val="231F20"/>
          <w:spacing w:val="-1"/>
          <w:w w:val="95"/>
        </w:rPr>
        <w:t xml:space="preserve"> </w:t>
      </w:r>
      <w:r>
        <w:rPr>
          <w:color w:val="231F20"/>
          <w:w w:val="95"/>
        </w:rPr>
        <w:t>of</w:t>
      </w:r>
      <w:r>
        <w:rPr>
          <w:color w:val="231F20"/>
          <w:spacing w:val="-1"/>
          <w:w w:val="95"/>
        </w:rPr>
        <w:t xml:space="preserve"> </w:t>
      </w:r>
      <w:r>
        <w:rPr>
          <w:color w:val="231F20"/>
          <w:w w:val="95"/>
        </w:rPr>
        <w:t>developments</w:t>
      </w:r>
      <w:r>
        <w:rPr>
          <w:color w:val="231F20"/>
          <w:spacing w:val="-1"/>
          <w:w w:val="95"/>
        </w:rPr>
        <w:t xml:space="preserve"> </w:t>
      </w:r>
      <w:r>
        <w:rPr>
          <w:color w:val="231F20"/>
          <w:w w:val="95"/>
        </w:rPr>
        <w:t>such</w:t>
      </w:r>
      <w:r>
        <w:rPr>
          <w:color w:val="231F20"/>
          <w:spacing w:val="-1"/>
          <w:w w:val="95"/>
        </w:rPr>
        <w:t xml:space="preserve"> </w:t>
      </w:r>
      <w:r>
        <w:rPr>
          <w:color w:val="231F20"/>
          <w:w w:val="95"/>
        </w:rPr>
        <w:t>as</w:t>
      </w:r>
      <w:r>
        <w:rPr>
          <w:color w:val="231F20"/>
          <w:spacing w:val="-1"/>
          <w:w w:val="95"/>
        </w:rPr>
        <w:t xml:space="preserve"> </w:t>
      </w:r>
      <w:r>
        <w:rPr>
          <w:color w:val="231F20"/>
          <w:w w:val="95"/>
        </w:rPr>
        <w:t>the</w:t>
      </w:r>
      <w:r>
        <w:rPr>
          <w:color w:val="231F20"/>
          <w:spacing w:val="-1"/>
          <w:w w:val="95"/>
        </w:rPr>
        <w:t xml:space="preserve"> </w:t>
      </w:r>
      <w:r>
        <w:rPr>
          <w:color w:val="231F20"/>
          <w:w w:val="95"/>
        </w:rPr>
        <w:t>internet</w:t>
      </w:r>
      <w:r>
        <w:rPr>
          <w:color w:val="231F20"/>
          <w:spacing w:val="-1"/>
          <w:w w:val="95"/>
        </w:rPr>
        <w:t xml:space="preserve"> </w:t>
      </w:r>
      <w:r>
        <w:rPr>
          <w:color w:val="231F20"/>
          <w:w w:val="95"/>
        </w:rPr>
        <w:t xml:space="preserve">demonstrate </w:t>
      </w:r>
      <w:r>
        <w:rPr>
          <w:color w:val="231F20"/>
        </w:rPr>
        <w:t>that the globalisation process is not necessarily guided or planned, others like Thibault (2009) have demonstrated that major international corporations have been very strategic in their manipulation of global forces. The actions of these players in global</w:t>
      </w:r>
      <w:r>
        <w:rPr>
          <w:color w:val="231F20"/>
        </w:rPr>
        <w:t>isation are driven by self- interest through the commodification of sport.</w:t>
      </w:r>
    </w:p>
    <w:p w14:paraId="5BF247AE" w14:textId="77777777" w:rsidR="00AE0598" w:rsidRDefault="0069255A">
      <w:pPr>
        <w:pStyle w:val="Corpodetexto"/>
        <w:spacing w:before="17" w:line="232" w:lineRule="auto"/>
        <w:ind w:left="110" w:right="125" w:firstLine="320"/>
        <w:jc w:val="both"/>
      </w:pPr>
      <w:r>
        <w:rPr>
          <w:color w:val="231F20"/>
        </w:rPr>
        <w:t>Mowforth and Munt (2015) have suggested a similar dynamic in the case of tourism. There is a constant process of commodification driven by the tourism industry’s relentless search for ‘new destinations’. As these places are increasingly connected to touris</w:t>
      </w:r>
      <w:r>
        <w:rPr>
          <w:color w:val="231F20"/>
        </w:rPr>
        <w:t>m-generating regions, globalisation</w:t>
      </w:r>
      <w:r>
        <w:rPr>
          <w:color w:val="231F20"/>
          <w:spacing w:val="-1"/>
        </w:rPr>
        <w:t xml:space="preserve"> </w:t>
      </w:r>
      <w:r>
        <w:rPr>
          <w:color w:val="231F20"/>
        </w:rPr>
        <w:t>through</w:t>
      </w:r>
      <w:r>
        <w:rPr>
          <w:color w:val="231F20"/>
          <w:spacing w:val="-1"/>
        </w:rPr>
        <w:t xml:space="preserve"> </w:t>
      </w:r>
      <w:r>
        <w:rPr>
          <w:color w:val="231F20"/>
        </w:rPr>
        <w:t>tourism</w:t>
      </w:r>
      <w:r>
        <w:rPr>
          <w:color w:val="231F20"/>
          <w:spacing w:val="-1"/>
        </w:rPr>
        <w:t xml:space="preserve"> </w:t>
      </w:r>
      <w:r>
        <w:rPr>
          <w:color w:val="231F20"/>
        </w:rPr>
        <w:t>is</w:t>
      </w:r>
      <w:r>
        <w:rPr>
          <w:color w:val="231F20"/>
          <w:spacing w:val="-1"/>
        </w:rPr>
        <w:t xml:space="preserve"> </w:t>
      </w:r>
      <w:r>
        <w:rPr>
          <w:color w:val="231F20"/>
        </w:rPr>
        <w:t>manifest</w:t>
      </w:r>
      <w:r>
        <w:rPr>
          <w:color w:val="231F20"/>
          <w:spacing w:val="-1"/>
        </w:rPr>
        <w:t xml:space="preserve"> </w:t>
      </w:r>
      <w:r>
        <w:rPr>
          <w:color w:val="231F20"/>
        </w:rPr>
        <w:t>in</w:t>
      </w:r>
      <w:r>
        <w:rPr>
          <w:color w:val="231F20"/>
          <w:spacing w:val="-1"/>
        </w:rPr>
        <w:t xml:space="preserve"> </w:t>
      </w:r>
      <w:r>
        <w:rPr>
          <w:color w:val="231F20"/>
        </w:rPr>
        <w:t>a</w:t>
      </w:r>
      <w:r>
        <w:rPr>
          <w:color w:val="231F20"/>
          <w:spacing w:val="-1"/>
        </w:rPr>
        <w:t xml:space="preserve"> </w:t>
      </w:r>
      <w:r>
        <w:rPr>
          <w:color w:val="231F20"/>
        </w:rPr>
        <w:t>very</w:t>
      </w:r>
      <w:r>
        <w:rPr>
          <w:color w:val="231F20"/>
          <w:spacing w:val="-1"/>
        </w:rPr>
        <w:t xml:space="preserve"> </w:t>
      </w:r>
      <w:r>
        <w:rPr>
          <w:color w:val="231F20"/>
        </w:rPr>
        <w:t>tangible</w:t>
      </w:r>
      <w:r>
        <w:rPr>
          <w:color w:val="231F20"/>
          <w:spacing w:val="-1"/>
        </w:rPr>
        <w:t xml:space="preserve"> </w:t>
      </w:r>
      <w:r>
        <w:rPr>
          <w:color w:val="231F20"/>
        </w:rPr>
        <w:t>fashion.</w:t>
      </w:r>
      <w:r>
        <w:rPr>
          <w:color w:val="231F20"/>
          <w:spacing w:val="-1"/>
        </w:rPr>
        <w:t xml:space="preserve"> </w:t>
      </w:r>
      <w:r>
        <w:rPr>
          <w:color w:val="231F20"/>
        </w:rPr>
        <w:t xml:space="preserve">One example of this is the increasing fragmentation of production through practices such as ‘outsourcing’ in the production of tourist experiences </w:t>
      </w:r>
      <w:r>
        <w:rPr>
          <w:color w:val="231F20"/>
          <w:w w:val="95"/>
        </w:rPr>
        <w:t xml:space="preserve">(Nowak </w:t>
      </w:r>
      <w:r>
        <w:rPr>
          <w:i/>
          <w:color w:val="231F20"/>
          <w:w w:val="95"/>
        </w:rPr>
        <w:t>et al</w:t>
      </w:r>
      <w:r>
        <w:rPr>
          <w:color w:val="231F20"/>
          <w:w w:val="95"/>
        </w:rPr>
        <w:t>., 20</w:t>
      </w:r>
      <w:r>
        <w:rPr>
          <w:color w:val="231F20"/>
          <w:w w:val="95"/>
        </w:rPr>
        <w:t xml:space="preserve">09). Other characteristics of globalisation that have been </w:t>
      </w:r>
      <w:r>
        <w:rPr>
          <w:color w:val="231F20"/>
        </w:rPr>
        <w:t xml:space="preserve">identified in a tourism context include transnational ownership, labour mobility, cross-border marketing and the sale of intellectual know-how </w:t>
      </w:r>
      <w:r>
        <w:rPr>
          <w:color w:val="231F20"/>
          <w:w w:val="95"/>
        </w:rPr>
        <w:t>(Hjalager, 2007). Even the promotion of destinations i</w:t>
      </w:r>
      <w:r>
        <w:rPr>
          <w:color w:val="231F20"/>
          <w:w w:val="95"/>
        </w:rPr>
        <w:t xml:space="preserve">n a more globalised </w:t>
      </w:r>
      <w:r>
        <w:rPr>
          <w:color w:val="231F20"/>
        </w:rPr>
        <w:t>world</w:t>
      </w:r>
      <w:r>
        <w:rPr>
          <w:color w:val="231F20"/>
          <w:spacing w:val="-9"/>
        </w:rPr>
        <w:t xml:space="preserve"> </w:t>
      </w:r>
      <w:r>
        <w:rPr>
          <w:color w:val="231F20"/>
        </w:rPr>
        <w:t>has</w:t>
      </w:r>
      <w:r>
        <w:rPr>
          <w:color w:val="231F20"/>
          <w:spacing w:val="-9"/>
        </w:rPr>
        <w:t xml:space="preserve"> </w:t>
      </w:r>
      <w:r>
        <w:rPr>
          <w:color w:val="231F20"/>
        </w:rPr>
        <w:t>created</w:t>
      </w:r>
      <w:r>
        <w:rPr>
          <w:color w:val="231F20"/>
          <w:spacing w:val="-9"/>
        </w:rPr>
        <w:t xml:space="preserve"> </w:t>
      </w:r>
      <w:r>
        <w:rPr>
          <w:color w:val="231F20"/>
        </w:rPr>
        <w:t>challenges</w:t>
      </w:r>
      <w:r>
        <w:rPr>
          <w:color w:val="231F20"/>
          <w:spacing w:val="-9"/>
        </w:rPr>
        <w:t xml:space="preserve"> </w:t>
      </w:r>
      <w:r>
        <w:rPr>
          <w:color w:val="231F20"/>
        </w:rPr>
        <w:t>through</w:t>
      </w:r>
      <w:r>
        <w:rPr>
          <w:color w:val="231F20"/>
          <w:spacing w:val="-9"/>
        </w:rPr>
        <w:t xml:space="preserve"> </w:t>
      </w:r>
      <w:r>
        <w:rPr>
          <w:color w:val="231F20"/>
        </w:rPr>
        <w:t>the</w:t>
      </w:r>
      <w:r>
        <w:rPr>
          <w:color w:val="231F20"/>
          <w:spacing w:val="-9"/>
        </w:rPr>
        <w:t xml:space="preserve"> </w:t>
      </w:r>
      <w:r>
        <w:rPr>
          <w:color w:val="231F20"/>
        </w:rPr>
        <w:t>separation</w:t>
      </w:r>
      <w:r>
        <w:rPr>
          <w:color w:val="231F20"/>
          <w:spacing w:val="-9"/>
        </w:rPr>
        <w:t xml:space="preserve"> </w:t>
      </w:r>
      <w:r>
        <w:rPr>
          <w:color w:val="231F20"/>
        </w:rPr>
        <w:t>of</w:t>
      </w:r>
      <w:r>
        <w:rPr>
          <w:color w:val="231F20"/>
          <w:spacing w:val="-9"/>
        </w:rPr>
        <w:t xml:space="preserve"> </w:t>
      </w:r>
      <w:r>
        <w:rPr>
          <w:color w:val="231F20"/>
        </w:rPr>
        <w:t>place</w:t>
      </w:r>
      <w:r>
        <w:rPr>
          <w:color w:val="231F20"/>
          <w:spacing w:val="-9"/>
        </w:rPr>
        <w:t xml:space="preserve"> </w:t>
      </w:r>
      <w:r>
        <w:rPr>
          <w:color w:val="231F20"/>
        </w:rPr>
        <w:t>image</w:t>
      </w:r>
      <w:r>
        <w:rPr>
          <w:color w:val="231F20"/>
          <w:spacing w:val="-9"/>
        </w:rPr>
        <w:t xml:space="preserve"> </w:t>
      </w:r>
      <w:r>
        <w:rPr>
          <w:color w:val="231F20"/>
        </w:rPr>
        <w:t>from culture and identity (Morgan, 2014).</w:t>
      </w:r>
    </w:p>
    <w:p w14:paraId="78B4C768" w14:textId="77777777" w:rsidR="00AE0598" w:rsidRDefault="0069255A">
      <w:pPr>
        <w:pStyle w:val="Corpodetexto"/>
        <w:spacing w:before="15" w:line="232" w:lineRule="auto"/>
        <w:ind w:left="110" w:right="127" w:firstLine="320"/>
        <w:jc w:val="both"/>
      </w:pPr>
      <w:r>
        <w:rPr>
          <w:color w:val="231F20"/>
        </w:rPr>
        <w:t>Tourism is, in fact, a significant force in the globalisation of sport. Jackson and Andrews (1999) have pointed out the influen</w:t>
      </w:r>
      <w:r>
        <w:rPr>
          <w:color w:val="231F20"/>
        </w:rPr>
        <w:t>ce of tourism- savvy</w:t>
      </w:r>
      <w:r>
        <w:rPr>
          <w:color w:val="231F20"/>
          <w:spacing w:val="-7"/>
        </w:rPr>
        <w:t xml:space="preserve"> </w:t>
      </w:r>
      <w:r>
        <w:rPr>
          <w:color w:val="231F20"/>
        </w:rPr>
        <w:t>Disney</w:t>
      </w:r>
      <w:r>
        <w:rPr>
          <w:color w:val="231F20"/>
          <w:spacing w:val="-7"/>
        </w:rPr>
        <w:t xml:space="preserve"> </w:t>
      </w:r>
      <w:r>
        <w:rPr>
          <w:color w:val="231F20"/>
        </w:rPr>
        <w:t>Corporation</w:t>
      </w:r>
      <w:r>
        <w:rPr>
          <w:color w:val="231F20"/>
          <w:spacing w:val="-7"/>
        </w:rPr>
        <w:t xml:space="preserve"> </w:t>
      </w:r>
      <w:r>
        <w:rPr>
          <w:color w:val="231F20"/>
        </w:rPr>
        <w:t>on</w:t>
      </w:r>
      <w:r>
        <w:rPr>
          <w:color w:val="231F20"/>
          <w:spacing w:val="-7"/>
        </w:rPr>
        <w:t xml:space="preserve"> </w:t>
      </w:r>
      <w:r>
        <w:rPr>
          <w:color w:val="231F20"/>
        </w:rPr>
        <w:t>the</w:t>
      </w:r>
      <w:r>
        <w:rPr>
          <w:color w:val="231F20"/>
          <w:spacing w:val="-7"/>
        </w:rPr>
        <w:t xml:space="preserve"> </w:t>
      </w:r>
      <w:r>
        <w:rPr>
          <w:color w:val="231F20"/>
        </w:rPr>
        <w:t>business</w:t>
      </w:r>
      <w:r>
        <w:rPr>
          <w:color w:val="231F20"/>
          <w:spacing w:val="-7"/>
        </w:rPr>
        <w:t xml:space="preserve"> </w:t>
      </w:r>
      <w:r>
        <w:rPr>
          <w:color w:val="231F20"/>
        </w:rPr>
        <w:t>model</w:t>
      </w:r>
      <w:r>
        <w:rPr>
          <w:color w:val="231F20"/>
          <w:spacing w:val="-7"/>
        </w:rPr>
        <w:t xml:space="preserve"> </w:t>
      </w:r>
      <w:r>
        <w:rPr>
          <w:color w:val="231F20"/>
        </w:rPr>
        <w:t>adopted</w:t>
      </w:r>
      <w:r>
        <w:rPr>
          <w:color w:val="231F20"/>
          <w:spacing w:val="-7"/>
        </w:rPr>
        <w:t xml:space="preserve"> </w:t>
      </w:r>
      <w:r>
        <w:rPr>
          <w:color w:val="231F20"/>
        </w:rPr>
        <w:t>by</w:t>
      </w:r>
      <w:r>
        <w:rPr>
          <w:color w:val="231F20"/>
          <w:spacing w:val="-7"/>
        </w:rPr>
        <w:t xml:space="preserve"> </w:t>
      </w:r>
      <w:r>
        <w:rPr>
          <w:color w:val="231F20"/>
        </w:rPr>
        <w:t>David</w:t>
      </w:r>
      <w:r>
        <w:rPr>
          <w:color w:val="231F20"/>
          <w:spacing w:val="-7"/>
        </w:rPr>
        <w:t xml:space="preserve"> </w:t>
      </w:r>
      <w:r>
        <w:rPr>
          <w:color w:val="231F20"/>
        </w:rPr>
        <w:t>Stern during</w:t>
      </w:r>
      <w:r>
        <w:rPr>
          <w:color w:val="231F20"/>
          <w:spacing w:val="-9"/>
        </w:rPr>
        <w:t xml:space="preserve"> </w:t>
      </w:r>
      <w:r>
        <w:rPr>
          <w:color w:val="231F20"/>
        </w:rPr>
        <w:t>his</w:t>
      </w:r>
      <w:r>
        <w:rPr>
          <w:color w:val="231F20"/>
          <w:spacing w:val="-9"/>
        </w:rPr>
        <w:t xml:space="preserve"> </w:t>
      </w:r>
      <w:r>
        <w:rPr>
          <w:color w:val="231F20"/>
        </w:rPr>
        <w:t>tenure</w:t>
      </w:r>
      <w:r>
        <w:rPr>
          <w:color w:val="231F20"/>
          <w:spacing w:val="-9"/>
        </w:rPr>
        <w:t xml:space="preserve"> </w:t>
      </w:r>
      <w:r>
        <w:rPr>
          <w:color w:val="231F20"/>
        </w:rPr>
        <w:t>as</w:t>
      </w:r>
      <w:r>
        <w:rPr>
          <w:color w:val="231F20"/>
          <w:spacing w:val="-9"/>
        </w:rPr>
        <w:t xml:space="preserve"> </w:t>
      </w:r>
      <w:r>
        <w:rPr>
          <w:color w:val="231F20"/>
        </w:rPr>
        <w:t>the</w:t>
      </w:r>
      <w:r>
        <w:rPr>
          <w:color w:val="231F20"/>
          <w:spacing w:val="-9"/>
        </w:rPr>
        <w:t xml:space="preserve"> </w:t>
      </w:r>
      <w:r>
        <w:rPr>
          <w:color w:val="231F20"/>
        </w:rPr>
        <w:t>commissioner</w:t>
      </w:r>
      <w:r>
        <w:rPr>
          <w:color w:val="231F20"/>
          <w:spacing w:val="-9"/>
        </w:rPr>
        <w:t xml:space="preserve"> </w:t>
      </w:r>
      <w:r>
        <w:rPr>
          <w:color w:val="231F20"/>
        </w:rPr>
        <w:t>of</w:t>
      </w:r>
      <w:r>
        <w:rPr>
          <w:color w:val="231F20"/>
          <w:spacing w:val="-9"/>
        </w:rPr>
        <w:t xml:space="preserve"> </w:t>
      </w:r>
      <w:r>
        <w:rPr>
          <w:color w:val="231F20"/>
        </w:rPr>
        <w:t>the</w:t>
      </w:r>
      <w:r>
        <w:rPr>
          <w:color w:val="231F20"/>
          <w:spacing w:val="-9"/>
        </w:rPr>
        <w:t xml:space="preserve"> </w:t>
      </w:r>
      <w:r>
        <w:rPr>
          <w:color w:val="231F20"/>
        </w:rPr>
        <w:t>National</w:t>
      </w:r>
      <w:r>
        <w:rPr>
          <w:color w:val="231F20"/>
          <w:spacing w:val="-9"/>
        </w:rPr>
        <w:t xml:space="preserve"> </w:t>
      </w:r>
      <w:r>
        <w:rPr>
          <w:color w:val="231F20"/>
        </w:rPr>
        <w:t>Basketball</w:t>
      </w:r>
      <w:r>
        <w:rPr>
          <w:color w:val="231F20"/>
          <w:spacing w:val="-9"/>
        </w:rPr>
        <w:t xml:space="preserve"> </w:t>
      </w:r>
      <w:r>
        <w:rPr>
          <w:color w:val="231F20"/>
        </w:rPr>
        <w:t>League. In her critique of globalisation in sport, Thibault (2009) describes its ‘inconvenient</w:t>
      </w:r>
      <w:r>
        <w:rPr>
          <w:color w:val="231F20"/>
          <w:spacing w:val="-8"/>
        </w:rPr>
        <w:t xml:space="preserve"> </w:t>
      </w:r>
      <w:r>
        <w:rPr>
          <w:color w:val="231F20"/>
        </w:rPr>
        <w:t>truths’.</w:t>
      </w:r>
      <w:r>
        <w:rPr>
          <w:color w:val="231F20"/>
          <w:spacing w:val="-8"/>
        </w:rPr>
        <w:t xml:space="preserve"> </w:t>
      </w:r>
      <w:r>
        <w:rPr>
          <w:color w:val="231F20"/>
        </w:rPr>
        <w:t>These</w:t>
      </w:r>
      <w:r>
        <w:rPr>
          <w:color w:val="231F20"/>
          <w:spacing w:val="-8"/>
        </w:rPr>
        <w:t xml:space="preserve"> </w:t>
      </w:r>
      <w:r>
        <w:rPr>
          <w:color w:val="231F20"/>
        </w:rPr>
        <w:t>include</w:t>
      </w:r>
      <w:r>
        <w:rPr>
          <w:color w:val="231F20"/>
          <w:spacing w:val="-8"/>
        </w:rPr>
        <w:t xml:space="preserve"> </w:t>
      </w:r>
      <w:r>
        <w:rPr>
          <w:color w:val="231F20"/>
        </w:rPr>
        <w:t>the</w:t>
      </w:r>
      <w:r>
        <w:rPr>
          <w:color w:val="231F20"/>
          <w:spacing w:val="-8"/>
        </w:rPr>
        <w:t xml:space="preserve"> </w:t>
      </w:r>
      <w:r>
        <w:rPr>
          <w:color w:val="231F20"/>
        </w:rPr>
        <w:t>emerging</w:t>
      </w:r>
      <w:r>
        <w:rPr>
          <w:color w:val="231F20"/>
          <w:spacing w:val="-8"/>
        </w:rPr>
        <w:t xml:space="preserve"> </w:t>
      </w:r>
      <w:r>
        <w:rPr>
          <w:color w:val="231F20"/>
        </w:rPr>
        <w:t>division</w:t>
      </w:r>
      <w:r>
        <w:rPr>
          <w:color w:val="231F20"/>
          <w:spacing w:val="-8"/>
        </w:rPr>
        <w:t xml:space="preserve"> </w:t>
      </w:r>
      <w:r>
        <w:rPr>
          <w:color w:val="231F20"/>
        </w:rPr>
        <w:t>of</w:t>
      </w:r>
      <w:r>
        <w:rPr>
          <w:color w:val="231F20"/>
          <w:spacing w:val="-8"/>
        </w:rPr>
        <w:t xml:space="preserve"> </w:t>
      </w:r>
      <w:r>
        <w:rPr>
          <w:color w:val="231F20"/>
        </w:rPr>
        <w:t>labour</w:t>
      </w:r>
      <w:r>
        <w:rPr>
          <w:color w:val="231F20"/>
          <w:spacing w:val="-8"/>
        </w:rPr>
        <w:t xml:space="preserve"> </w:t>
      </w:r>
      <w:r>
        <w:rPr>
          <w:color w:val="231F20"/>
        </w:rPr>
        <w:t>such as the use of cheap workers from developing countries to manufacture sporting</w:t>
      </w:r>
      <w:r>
        <w:rPr>
          <w:color w:val="231F20"/>
          <w:spacing w:val="-3"/>
        </w:rPr>
        <w:t xml:space="preserve"> </w:t>
      </w:r>
      <w:r>
        <w:rPr>
          <w:color w:val="231F20"/>
        </w:rPr>
        <w:t>goods,</w:t>
      </w:r>
      <w:r>
        <w:rPr>
          <w:color w:val="231F20"/>
          <w:spacing w:val="-3"/>
        </w:rPr>
        <w:t xml:space="preserve"> </w:t>
      </w:r>
      <w:r>
        <w:rPr>
          <w:color w:val="231F20"/>
        </w:rPr>
        <w:t>increased</w:t>
      </w:r>
      <w:r>
        <w:rPr>
          <w:color w:val="231F20"/>
          <w:spacing w:val="-3"/>
        </w:rPr>
        <w:t xml:space="preserve"> </w:t>
      </w:r>
      <w:r>
        <w:rPr>
          <w:color w:val="231F20"/>
        </w:rPr>
        <w:t>mobili</w:t>
      </w:r>
      <w:r>
        <w:rPr>
          <w:color w:val="231F20"/>
        </w:rPr>
        <w:t>ty</w:t>
      </w:r>
      <w:r>
        <w:rPr>
          <w:color w:val="231F20"/>
          <w:spacing w:val="-3"/>
        </w:rPr>
        <w:t xml:space="preserve"> </w:t>
      </w:r>
      <w:r>
        <w:rPr>
          <w:color w:val="231F20"/>
        </w:rPr>
        <w:t>of</w:t>
      </w:r>
      <w:r>
        <w:rPr>
          <w:color w:val="231F20"/>
          <w:spacing w:val="-3"/>
        </w:rPr>
        <w:t xml:space="preserve"> </w:t>
      </w:r>
      <w:r>
        <w:rPr>
          <w:color w:val="231F20"/>
        </w:rPr>
        <w:t>elite</w:t>
      </w:r>
      <w:r>
        <w:rPr>
          <w:color w:val="231F20"/>
          <w:spacing w:val="-3"/>
        </w:rPr>
        <w:t xml:space="preserve"> </w:t>
      </w:r>
      <w:r>
        <w:rPr>
          <w:color w:val="231F20"/>
        </w:rPr>
        <w:t>athletes</w:t>
      </w:r>
      <w:r>
        <w:rPr>
          <w:color w:val="231F20"/>
          <w:spacing w:val="-3"/>
        </w:rPr>
        <w:t xml:space="preserve"> </w:t>
      </w:r>
      <w:r>
        <w:rPr>
          <w:color w:val="231F20"/>
        </w:rPr>
        <w:t>from</w:t>
      </w:r>
      <w:r>
        <w:rPr>
          <w:color w:val="231F20"/>
          <w:spacing w:val="-3"/>
        </w:rPr>
        <w:t xml:space="preserve"> </w:t>
      </w:r>
      <w:r>
        <w:rPr>
          <w:color w:val="231F20"/>
        </w:rPr>
        <w:t>poor</w:t>
      </w:r>
      <w:r>
        <w:rPr>
          <w:color w:val="231F20"/>
          <w:spacing w:val="-3"/>
        </w:rPr>
        <w:t xml:space="preserve"> </w:t>
      </w:r>
      <w:r>
        <w:rPr>
          <w:color w:val="231F20"/>
        </w:rPr>
        <w:t>to</w:t>
      </w:r>
      <w:r>
        <w:rPr>
          <w:color w:val="231F20"/>
          <w:spacing w:val="-3"/>
        </w:rPr>
        <w:t xml:space="preserve"> </w:t>
      </w:r>
      <w:r>
        <w:rPr>
          <w:color w:val="231F20"/>
        </w:rPr>
        <w:t>wealthy countries, increased influence by the global media and increased environmental</w:t>
      </w:r>
      <w:r>
        <w:rPr>
          <w:color w:val="231F20"/>
          <w:spacing w:val="-4"/>
        </w:rPr>
        <w:t xml:space="preserve"> </w:t>
      </w:r>
      <w:r>
        <w:rPr>
          <w:color w:val="231F20"/>
        </w:rPr>
        <w:t>impacts</w:t>
      </w:r>
      <w:r>
        <w:rPr>
          <w:color w:val="231F20"/>
          <w:spacing w:val="-4"/>
        </w:rPr>
        <w:t xml:space="preserve"> </w:t>
      </w:r>
      <w:r>
        <w:rPr>
          <w:color w:val="231F20"/>
        </w:rPr>
        <w:t>that</w:t>
      </w:r>
      <w:r>
        <w:rPr>
          <w:color w:val="231F20"/>
          <w:spacing w:val="-4"/>
        </w:rPr>
        <w:t xml:space="preserve"> </w:t>
      </w:r>
      <w:r>
        <w:rPr>
          <w:color w:val="231F20"/>
        </w:rPr>
        <w:t>are</w:t>
      </w:r>
      <w:r>
        <w:rPr>
          <w:color w:val="231F20"/>
          <w:spacing w:val="-4"/>
        </w:rPr>
        <w:t xml:space="preserve"> </w:t>
      </w:r>
      <w:r>
        <w:rPr>
          <w:color w:val="231F20"/>
        </w:rPr>
        <w:t>in</w:t>
      </w:r>
      <w:r>
        <w:rPr>
          <w:color w:val="231F20"/>
          <w:spacing w:val="-4"/>
        </w:rPr>
        <w:t xml:space="preserve"> </w:t>
      </w:r>
      <w:r>
        <w:rPr>
          <w:color w:val="231F20"/>
        </w:rPr>
        <w:t>part</w:t>
      </w:r>
      <w:r>
        <w:rPr>
          <w:color w:val="231F20"/>
          <w:spacing w:val="-4"/>
        </w:rPr>
        <w:t xml:space="preserve"> </w:t>
      </w:r>
      <w:r>
        <w:rPr>
          <w:color w:val="231F20"/>
        </w:rPr>
        <w:t>due</w:t>
      </w:r>
      <w:r>
        <w:rPr>
          <w:color w:val="231F20"/>
          <w:spacing w:val="-4"/>
        </w:rPr>
        <w:t xml:space="preserve"> </w:t>
      </w:r>
      <w:r>
        <w:rPr>
          <w:color w:val="231F20"/>
        </w:rPr>
        <w:t>to</w:t>
      </w:r>
      <w:r>
        <w:rPr>
          <w:color w:val="231F20"/>
          <w:spacing w:val="-4"/>
        </w:rPr>
        <w:t xml:space="preserve"> </w:t>
      </w:r>
      <w:r>
        <w:rPr>
          <w:color w:val="231F20"/>
        </w:rPr>
        <w:t>sport-based</w:t>
      </w:r>
      <w:r>
        <w:rPr>
          <w:color w:val="231F20"/>
          <w:spacing w:val="-4"/>
        </w:rPr>
        <w:t xml:space="preserve"> </w:t>
      </w:r>
      <w:r>
        <w:rPr>
          <w:color w:val="231F20"/>
        </w:rPr>
        <w:t>travel.</w:t>
      </w:r>
    </w:p>
    <w:p w14:paraId="4A52E1E2" w14:textId="77777777" w:rsidR="00AE0598" w:rsidRDefault="0069255A">
      <w:pPr>
        <w:pStyle w:val="Corpodetexto"/>
        <w:spacing w:before="12" w:line="232" w:lineRule="auto"/>
        <w:ind w:left="110" w:right="127" w:firstLine="320"/>
        <w:jc w:val="both"/>
      </w:pPr>
      <w:r>
        <w:rPr>
          <w:color w:val="231F20"/>
        </w:rPr>
        <w:t xml:space="preserve">One of the most interesting aspects of these debates from a tourism </w:t>
      </w:r>
      <w:r>
        <w:rPr>
          <w:color w:val="231F20"/>
          <w:w w:val="95"/>
        </w:rPr>
        <w:t xml:space="preserve">perspective is </w:t>
      </w:r>
      <w:r>
        <w:rPr>
          <w:color w:val="231F20"/>
          <w:w w:val="95"/>
        </w:rPr>
        <w:t>whether globalisation is leading towards a homogenisation</w:t>
      </w:r>
      <w:r>
        <w:rPr>
          <w:color w:val="231F20"/>
          <w:spacing w:val="80"/>
        </w:rPr>
        <w:t xml:space="preserve"> </w:t>
      </w:r>
      <w:r>
        <w:rPr>
          <w:color w:val="231F20"/>
          <w:w w:val="95"/>
        </w:rPr>
        <w:t>of</w:t>
      </w:r>
      <w:r>
        <w:rPr>
          <w:color w:val="231F20"/>
          <w:spacing w:val="-4"/>
          <w:w w:val="95"/>
        </w:rPr>
        <w:t xml:space="preserve"> </w:t>
      </w:r>
      <w:r>
        <w:rPr>
          <w:color w:val="231F20"/>
          <w:w w:val="95"/>
        </w:rPr>
        <w:t>sport</w:t>
      </w:r>
      <w:r>
        <w:rPr>
          <w:color w:val="231F20"/>
          <w:spacing w:val="-5"/>
          <w:w w:val="95"/>
        </w:rPr>
        <w:t xml:space="preserve"> </w:t>
      </w:r>
      <w:r>
        <w:rPr>
          <w:color w:val="231F20"/>
          <w:w w:val="95"/>
        </w:rPr>
        <w:t>culture</w:t>
      </w:r>
      <w:r>
        <w:rPr>
          <w:color w:val="231F20"/>
          <w:spacing w:val="-5"/>
          <w:w w:val="95"/>
        </w:rPr>
        <w:t xml:space="preserve"> </w:t>
      </w:r>
      <w:r>
        <w:rPr>
          <w:color w:val="231F20"/>
          <w:w w:val="95"/>
        </w:rPr>
        <w:t>or</w:t>
      </w:r>
      <w:r>
        <w:rPr>
          <w:color w:val="231F20"/>
          <w:spacing w:val="-4"/>
          <w:w w:val="95"/>
        </w:rPr>
        <w:t xml:space="preserve"> </w:t>
      </w:r>
      <w:r>
        <w:rPr>
          <w:color w:val="231F20"/>
          <w:w w:val="95"/>
        </w:rPr>
        <w:t>whether</w:t>
      </w:r>
      <w:r>
        <w:rPr>
          <w:color w:val="231F20"/>
          <w:spacing w:val="-5"/>
          <w:w w:val="95"/>
        </w:rPr>
        <w:t xml:space="preserve"> </w:t>
      </w:r>
      <w:r>
        <w:rPr>
          <w:color w:val="231F20"/>
          <w:w w:val="95"/>
        </w:rPr>
        <w:t>local</w:t>
      </w:r>
      <w:r>
        <w:rPr>
          <w:color w:val="231F20"/>
          <w:spacing w:val="-5"/>
          <w:w w:val="95"/>
        </w:rPr>
        <w:t xml:space="preserve"> </w:t>
      </w:r>
      <w:r>
        <w:rPr>
          <w:color w:val="231F20"/>
          <w:w w:val="95"/>
        </w:rPr>
        <w:t>resistance</w:t>
      </w:r>
      <w:r>
        <w:rPr>
          <w:color w:val="231F20"/>
          <w:spacing w:val="-4"/>
          <w:w w:val="95"/>
        </w:rPr>
        <w:t xml:space="preserve"> </w:t>
      </w:r>
      <w:r>
        <w:rPr>
          <w:color w:val="231F20"/>
          <w:w w:val="95"/>
        </w:rPr>
        <w:t>will</w:t>
      </w:r>
      <w:r>
        <w:rPr>
          <w:color w:val="231F20"/>
          <w:spacing w:val="-4"/>
          <w:w w:val="95"/>
        </w:rPr>
        <w:t xml:space="preserve"> </w:t>
      </w:r>
      <w:r>
        <w:rPr>
          <w:color w:val="231F20"/>
          <w:w w:val="95"/>
        </w:rPr>
        <w:t>retain</w:t>
      </w:r>
      <w:r>
        <w:rPr>
          <w:color w:val="231F20"/>
          <w:spacing w:val="-4"/>
          <w:w w:val="95"/>
        </w:rPr>
        <w:t xml:space="preserve"> </w:t>
      </w:r>
      <w:r>
        <w:rPr>
          <w:color w:val="231F20"/>
          <w:w w:val="95"/>
        </w:rPr>
        <w:t>or</w:t>
      </w:r>
      <w:r>
        <w:rPr>
          <w:color w:val="231F20"/>
          <w:spacing w:val="-4"/>
          <w:w w:val="95"/>
        </w:rPr>
        <w:t xml:space="preserve"> </w:t>
      </w:r>
      <w:r>
        <w:rPr>
          <w:color w:val="231F20"/>
          <w:w w:val="95"/>
        </w:rPr>
        <w:t>even</w:t>
      </w:r>
      <w:r>
        <w:rPr>
          <w:color w:val="231F20"/>
          <w:spacing w:val="-5"/>
          <w:w w:val="95"/>
        </w:rPr>
        <w:t xml:space="preserve"> </w:t>
      </w:r>
      <w:r>
        <w:rPr>
          <w:color w:val="231F20"/>
          <w:w w:val="95"/>
        </w:rPr>
        <w:t>foster</w:t>
      </w:r>
      <w:r>
        <w:rPr>
          <w:color w:val="231F20"/>
          <w:spacing w:val="-5"/>
          <w:w w:val="95"/>
        </w:rPr>
        <w:t xml:space="preserve"> </w:t>
      </w:r>
      <w:r>
        <w:rPr>
          <w:color w:val="231F20"/>
          <w:w w:val="95"/>
        </w:rPr>
        <w:t xml:space="preserve">greater </w:t>
      </w:r>
      <w:r>
        <w:rPr>
          <w:color w:val="231F20"/>
        </w:rPr>
        <w:t xml:space="preserve">differences between places (Go, 2004; Maguire, 2002). This is especially </w:t>
      </w:r>
      <w:r>
        <w:rPr>
          <w:color w:val="231F20"/>
          <w:w w:val="95"/>
        </w:rPr>
        <w:t>significant</w:t>
      </w:r>
      <w:r>
        <w:rPr>
          <w:color w:val="231F20"/>
          <w:spacing w:val="-3"/>
          <w:w w:val="95"/>
        </w:rPr>
        <w:t xml:space="preserve"> </w:t>
      </w:r>
      <w:r>
        <w:rPr>
          <w:color w:val="231F20"/>
          <w:w w:val="95"/>
        </w:rPr>
        <w:t>because</w:t>
      </w:r>
      <w:r>
        <w:rPr>
          <w:color w:val="231F20"/>
          <w:spacing w:val="-3"/>
          <w:w w:val="95"/>
        </w:rPr>
        <w:t xml:space="preserve"> </w:t>
      </w:r>
      <w:r>
        <w:rPr>
          <w:color w:val="231F20"/>
          <w:w w:val="95"/>
        </w:rPr>
        <w:t>in</w:t>
      </w:r>
      <w:r>
        <w:rPr>
          <w:color w:val="231F20"/>
          <w:spacing w:val="-3"/>
          <w:w w:val="95"/>
        </w:rPr>
        <w:t xml:space="preserve"> </w:t>
      </w:r>
      <w:r>
        <w:rPr>
          <w:color w:val="231F20"/>
          <w:w w:val="95"/>
        </w:rPr>
        <w:t>a</w:t>
      </w:r>
      <w:r>
        <w:rPr>
          <w:color w:val="231F20"/>
          <w:spacing w:val="-3"/>
          <w:w w:val="95"/>
        </w:rPr>
        <w:t xml:space="preserve"> </w:t>
      </w:r>
      <w:r>
        <w:rPr>
          <w:color w:val="231F20"/>
          <w:w w:val="95"/>
        </w:rPr>
        <w:t>world</w:t>
      </w:r>
      <w:r>
        <w:rPr>
          <w:color w:val="231F20"/>
          <w:spacing w:val="-3"/>
          <w:w w:val="95"/>
        </w:rPr>
        <w:t xml:space="preserve"> </w:t>
      </w:r>
      <w:r>
        <w:rPr>
          <w:color w:val="231F20"/>
          <w:w w:val="95"/>
        </w:rPr>
        <w:t>where</w:t>
      </w:r>
      <w:r>
        <w:rPr>
          <w:color w:val="231F20"/>
          <w:spacing w:val="-3"/>
          <w:w w:val="95"/>
        </w:rPr>
        <w:t xml:space="preserve"> </w:t>
      </w:r>
      <w:r>
        <w:rPr>
          <w:color w:val="231F20"/>
          <w:w w:val="95"/>
        </w:rPr>
        <w:t>there</w:t>
      </w:r>
      <w:r>
        <w:rPr>
          <w:color w:val="231F20"/>
          <w:spacing w:val="-3"/>
          <w:w w:val="95"/>
        </w:rPr>
        <w:t xml:space="preserve"> </w:t>
      </w:r>
      <w:r>
        <w:rPr>
          <w:color w:val="231F20"/>
          <w:w w:val="95"/>
        </w:rPr>
        <w:t>are</w:t>
      </w:r>
      <w:r>
        <w:rPr>
          <w:color w:val="231F20"/>
          <w:spacing w:val="-3"/>
          <w:w w:val="95"/>
        </w:rPr>
        <w:t xml:space="preserve"> </w:t>
      </w:r>
      <w:r>
        <w:rPr>
          <w:color w:val="231F20"/>
          <w:w w:val="95"/>
        </w:rPr>
        <w:t>growing</w:t>
      </w:r>
      <w:r>
        <w:rPr>
          <w:color w:val="231F20"/>
          <w:spacing w:val="-3"/>
          <w:w w:val="95"/>
        </w:rPr>
        <w:t xml:space="preserve"> </w:t>
      </w:r>
      <w:r>
        <w:rPr>
          <w:color w:val="231F20"/>
          <w:w w:val="95"/>
        </w:rPr>
        <w:t>similarities</w:t>
      </w:r>
      <w:r>
        <w:rPr>
          <w:color w:val="231F20"/>
          <w:spacing w:val="-3"/>
          <w:w w:val="95"/>
        </w:rPr>
        <w:t xml:space="preserve"> </w:t>
      </w:r>
      <w:r>
        <w:rPr>
          <w:color w:val="231F20"/>
          <w:w w:val="95"/>
        </w:rPr>
        <w:t>between many places, there really is little need to travel. Homogenisation is seen as</w:t>
      </w:r>
      <w:r>
        <w:rPr>
          <w:color w:val="231F20"/>
          <w:spacing w:val="80"/>
        </w:rPr>
        <w:t xml:space="preserve"> </w:t>
      </w:r>
      <w:r>
        <w:rPr>
          <w:color w:val="231F20"/>
          <w:w w:val="95"/>
        </w:rPr>
        <w:t>a</w:t>
      </w:r>
      <w:r>
        <w:rPr>
          <w:color w:val="231F20"/>
          <w:spacing w:val="7"/>
        </w:rPr>
        <w:t xml:space="preserve"> </w:t>
      </w:r>
      <w:r>
        <w:rPr>
          <w:color w:val="231F20"/>
          <w:w w:val="95"/>
        </w:rPr>
        <w:t>significant</w:t>
      </w:r>
      <w:r>
        <w:rPr>
          <w:color w:val="231F20"/>
          <w:spacing w:val="9"/>
        </w:rPr>
        <w:t xml:space="preserve"> </w:t>
      </w:r>
      <w:r>
        <w:rPr>
          <w:color w:val="231F20"/>
          <w:w w:val="95"/>
        </w:rPr>
        <w:t>concern</w:t>
      </w:r>
      <w:r>
        <w:rPr>
          <w:color w:val="231F20"/>
          <w:spacing w:val="9"/>
        </w:rPr>
        <w:t xml:space="preserve"> </w:t>
      </w:r>
      <w:r>
        <w:rPr>
          <w:color w:val="231F20"/>
          <w:w w:val="95"/>
        </w:rPr>
        <w:t>in</w:t>
      </w:r>
      <w:r>
        <w:rPr>
          <w:color w:val="231F20"/>
          <w:spacing w:val="9"/>
        </w:rPr>
        <w:t xml:space="preserve"> </w:t>
      </w:r>
      <w:r>
        <w:rPr>
          <w:color w:val="231F20"/>
          <w:w w:val="95"/>
        </w:rPr>
        <w:t>tour</w:t>
      </w:r>
      <w:r>
        <w:rPr>
          <w:color w:val="231F20"/>
          <w:w w:val="95"/>
        </w:rPr>
        <w:t>ism</w:t>
      </w:r>
      <w:r>
        <w:rPr>
          <w:color w:val="231F20"/>
          <w:spacing w:val="9"/>
        </w:rPr>
        <w:t xml:space="preserve"> </w:t>
      </w:r>
      <w:r>
        <w:rPr>
          <w:color w:val="231F20"/>
          <w:w w:val="95"/>
        </w:rPr>
        <w:t>(Dwyer,</w:t>
      </w:r>
      <w:r>
        <w:rPr>
          <w:color w:val="231F20"/>
          <w:spacing w:val="9"/>
        </w:rPr>
        <w:t xml:space="preserve"> </w:t>
      </w:r>
      <w:r>
        <w:rPr>
          <w:color w:val="231F20"/>
          <w:w w:val="95"/>
        </w:rPr>
        <w:t>2014)</w:t>
      </w:r>
      <w:r>
        <w:rPr>
          <w:color w:val="231F20"/>
          <w:spacing w:val="9"/>
        </w:rPr>
        <w:t xml:space="preserve"> </w:t>
      </w:r>
      <w:r>
        <w:rPr>
          <w:color w:val="231F20"/>
          <w:w w:val="95"/>
        </w:rPr>
        <w:t>but</w:t>
      </w:r>
      <w:r>
        <w:rPr>
          <w:color w:val="231F20"/>
          <w:spacing w:val="9"/>
        </w:rPr>
        <w:t xml:space="preserve"> </w:t>
      </w:r>
      <w:r>
        <w:rPr>
          <w:color w:val="231F20"/>
          <w:w w:val="95"/>
        </w:rPr>
        <w:t>has</w:t>
      </w:r>
      <w:r>
        <w:rPr>
          <w:color w:val="231F20"/>
          <w:spacing w:val="9"/>
        </w:rPr>
        <w:t xml:space="preserve"> </w:t>
      </w:r>
      <w:r>
        <w:rPr>
          <w:color w:val="231F20"/>
          <w:w w:val="95"/>
        </w:rPr>
        <w:t>also</w:t>
      </w:r>
      <w:r>
        <w:rPr>
          <w:color w:val="231F20"/>
          <w:spacing w:val="9"/>
        </w:rPr>
        <w:t xml:space="preserve"> </w:t>
      </w:r>
      <w:r>
        <w:rPr>
          <w:color w:val="231F20"/>
          <w:w w:val="95"/>
        </w:rPr>
        <w:t>been</w:t>
      </w:r>
      <w:r>
        <w:rPr>
          <w:color w:val="231F20"/>
          <w:spacing w:val="9"/>
        </w:rPr>
        <w:t xml:space="preserve"> </w:t>
      </w:r>
      <w:r>
        <w:rPr>
          <w:color w:val="231F20"/>
          <w:w w:val="95"/>
        </w:rPr>
        <w:t>raised</w:t>
      </w:r>
      <w:r>
        <w:rPr>
          <w:color w:val="231F20"/>
          <w:spacing w:val="9"/>
        </w:rPr>
        <w:t xml:space="preserve"> </w:t>
      </w:r>
      <w:r>
        <w:rPr>
          <w:color w:val="231F20"/>
          <w:spacing w:val="-5"/>
          <w:w w:val="95"/>
        </w:rPr>
        <w:t>in</w:t>
      </w:r>
    </w:p>
    <w:p w14:paraId="68B073BD" w14:textId="77777777" w:rsidR="00AE0598" w:rsidRDefault="00AE0598">
      <w:pPr>
        <w:spacing w:line="232" w:lineRule="auto"/>
        <w:jc w:val="both"/>
        <w:sectPr w:rsidR="00AE0598">
          <w:pgSz w:w="8850" w:h="13270"/>
          <w:pgMar w:top="720" w:right="1060" w:bottom="280" w:left="1080" w:header="720" w:footer="720" w:gutter="0"/>
          <w:cols w:space="720"/>
        </w:sectPr>
      </w:pPr>
    </w:p>
    <w:p w14:paraId="5455154A" w14:textId="77777777" w:rsidR="00AE0598" w:rsidRDefault="0069255A">
      <w:pPr>
        <w:spacing w:before="87"/>
        <w:ind w:left="108"/>
        <w:rPr>
          <w:rFonts w:ascii="Trebuchet MS"/>
          <w:sz w:val="14"/>
        </w:rPr>
      </w:pPr>
      <w:r>
        <w:rPr>
          <w:rFonts w:ascii="Trebuchet MS"/>
          <w:color w:val="231F20"/>
          <w:w w:val="105"/>
          <w:sz w:val="14"/>
        </w:rPr>
        <w:lastRenderedPageBreak/>
        <w:t>80</w:t>
      </w:r>
      <w:r>
        <w:rPr>
          <w:rFonts w:ascii="Trebuchet MS"/>
          <w:color w:val="231F20"/>
          <w:spacing w:val="64"/>
          <w:w w:val="150"/>
          <w:sz w:val="14"/>
        </w:rPr>
        <w:t xml:space="preserve"> </w:t>
      </w:r>
      <w:r>
        <w:rPr>
          <w:rFonts w:ascii="Trebuchet MS"/>
          <w:color w:val="231F20"/>
          <w:w w:val="105"/>
          <w:sz w:val="14"/>
        </w:rPr>
        <w:t>Part</w:t>
      </w:r>
      <w:r>
        <w:rPr>
          <w:rFonts w:ascii="Trebuchet MS"/>
          <w:color w:val="231F20"/>
          <w:spacing w:val="-9"/>
          <w:w w:val="105"/>
          <w:sz w:val="14"/>
        </w:rPr>
        <w:t xml:space="preserve"> </w:t>
      </w:r>
      <w:r>
        <w:rPr>
          <w:rFonts w:ascii="Trebuchet MS"/>
          <w:color w:val="231F20"/>
          <w:w w:val="105"/>
          <w:sz w:val="14"/>
        </w:rPr>
        <w:t>2:</w:t>
      </w:r>
      <w:r>
        <w:rPr>
          <w:rFonts w:ascii="Trebuchet MS"/>
          <w:color w:val="231F20"/>
          <w:spacing w:val="-9"/>
          <w:w w:val="105"/>
          <w:sz w:val="14"/>
        </w:rPr>
        <w:t xml:space="preserve"> </w:t>
      </w:r>
      <w:r>
        <w:rPr>
          <w:rFonts w:ascii="Trebuchet MS"/>
          <w:color w:val="231F20"/>
          <w:w w:val="105"/>
          <w:sz w:val="14"/>
        </w:rPr>
        <w:t>Foundations</w:t>
      </w:r>
      <w:r>
        <w:rPr>
          <w:rFonts w:ascii="Trebuchet MS"/>
          <w:color w:val="231F20"/>
          <w:spacing w:val="-9"/>
          <w:w w:val="105"/>
          <w:sz w:val="14"/>
        </w:rPr>
        <w:t xml:space="preserve"> </w:t>
      </w:r>
      <w:r>
        <w:rPr>
          <w:rFonts w:ascii="Trebuchet MS"/>
          <w:color w:val="231F20"/>
          <w:w w:val="105"/>
          <w:sz w:val="14"/>
        </w:rPr>
        <w:t>of</w:t>
      </w:r>
      <w:r>
        <w:rPr>
          <w:rFonts w:ascii="Trebuchet MS"/>
          <w:color w:val="231F20"/>
          <w:spacing w:val="-9"/>
          <w:w w:val="105"/>
          <w:sz w:val="14"/>
        </w:rPr>
        <w:t xml:space="preserve"> </w:t>
      </w:r>
      <w:r>
        <w:rPr>
          <w:rFonts w:ascii="Trebuchet MS"/>
          <w:color w:val="231F20"/>
          <w:w w:val="105"/>
          <w:sz w:val="14"/>
        </w:rPr>
        <w:t>Sport</w:t>
      </w:r>
      <w:r>
        <w:rPr>
          <w:rFonts w:ascii="Trebuchet MS"/>
          <w:color w:val="231F20"/>
          <w:spacing w:val="-9"/>
          <w:w w:val="105"/>
          <w:sz w:val="14"/>
        </w:rPr>
        <w:t xml:space="preserve"> </w:t>
      </w:r>
      <w:r>
        <w:rPr>
          <w:rFonts w:ascii="Trebuchet MS"/>
          <w:color w:val="231F20"/>
          <w:w w:val="105"/>
          <w:sz w:val="14"/>
        </w:rPr>
        <w:t>Tourism</w:t>
      </w:r>
      <w:r>
        <w:rPr>
          <w:rFonts w:ascii="Trebuchet MS"/>
          <w:color w:val="231F20"/>
          <w:spacing w:val="-9"/>
          <w:w w:val="105"/>
          <w:sz w:val="14"/>
        </w:rPr>
        <w:t xml:space="preserve"> </w:t>
      </w:r>
      <w:r>
        <w:rPr>
          <w:rFonts w:ascii="Trebuchet MS"/>
          <w:color w:val="231F20"/>
          <w:spacing w:val="-2"/>
          <w:w w:val="105"/>
          <w:sz w:val="14"/>
        </w:rPr>
        <w:t>Development</w:t>
      </w:r>
    </w:p>
    <w:p w14:paraId="5F1EACD8" w14:textId="77777777" w:rsidR="00AE0598" w:rsidRDefault="00AE0598">
      <w:pPr>
        <w:pStyle w:val="Corpodetexto"/>
        <w:rPr>
          <w:rFonts w:ascii="Trebuchet MS"/>
          <w:sz w:val="16"/>
        </w:rPr>
      </w:pPr>
    </w:p>
    <w:p w14:paraId="36D9C910" w14:textId="77777777" w:rsidR="00AE0598" w:rsidRDefault="0069255A">
      <w:pPr>
        <w:pStyle w:val="Corpodetexto"/>
        <w:spacing w:before="118" w:line="232" w:lineRule="auto"/>
        <w:ind w:left="110" w:right="127"/>
        <w:jc w:val="both"/>
      </w:pPr>
      <w:r>
        <w:rPr>
          <w:color w:val="231F20"/>
        </w:rPr>
        <w:t xml:space="preserve">the context of sport. For example, Silk and Andrews (2001) suggest that </w:t>
      </w:r>
      <w:r>
        <w:rPr>
          <w:color w:val="231F20"/>
          <w:w w:val="95"/>
        </w:rPr>
        <w:t xml:space="preserve">electronic spaces or the ‘space of flows’ may supersede the ‘space of places’. </w:t>
      </w:r>
      <w:r>
        <w:rPr>
          <w:color w:val="231F20"/>
        </w:rPr>
        <w:t>In the context of sport tourism, if sporting culture were to evolve into a homogeneous global culture, mu</w:t>
      </w:r>
      <w:r>
        <w:rPr>
          <w:color w:val="231F20"/>
        </w:rPr>
        <w:t>ch of the existing incentive to travel for sport</w:t>
      </w:r>
      <w:r>
        <w:rPr>
          <w:color w:val="231F20"/>
          <w:spacing w:val="-3"/>
        </w:rPr>
        <w:t xml:space="preserve"> </w:t>
      </w:r>
      <w:r>
        <w:rPr>
          <w:color w:val="231F20"/>
        </w:rPr>
        <w:t>would</w:t>
      </w:r>
      <w:r>
        <w:rPr>
          <w:color w:val="231F20"/>
          <w:spacing w:val="-3"/>
        </w:rPr>
        <w:t xml:space="preserve"> </w:t>
      </w:r>
      <w:r>
        <w:rPr>
          <w:color w:val="231F20"/>
        </w:rPr>
        <w:t>be</w:t>
      </w:r>
      <w:r>
        <w:rPr>
          <w:color w:val="231F20"/>
          <w:spacing w:val="-3"/>
        </w:rPr>
        <w:t xml:space="preserve"> </w:t>
      </w:r>
      <w:r>
        <w:rPr>
          <w:color w:val="231F20"/>
        </w:rPr>
        <w:t>lost.</w:t>
      </w:r>
      <w:r>
        <w:rPr>
          <w:color w:val="231F20"/>
          <w:spacing w:val="-3"/>
        </w:rPr>
        <w:t xml:space="preserve"> </w:t>
      </w:r>
      <w:r>
        <w:rPr>
          <w:color w:val="231F20"/>
        </w:rPr>
        <w:t>This</w:t>
      </w:r>
      <w:r>
        <w:rPr>
          <w:color w:val="231F20"/>
          <w:spacing w:val="-3"/>
        </w:rPr>
        <w:t xml:space="preserve"> </w:t>
      </w:r>
      <w:r>
        <w:rPr>
          <w:color w:val="231F20"/>
        </w:rPr>
        <w:t>debate</w:t>
      </w:r>
      <w:r>
        <w:rPr>
          <w:color w:val="231F20"/>
          <w:spacing w:val="-3"/>
        </w:rPr>
        <w:t xml:space="preserve"> </w:t>
      </w:r>
      <w:r>
        <w:rPr>
          <w:color w:val="231F20"/>
        </w:rPr>
        <w:t>is,</w:t>
      </w:r>
      <w:r>
        <w:rPr>
          <w:color w:val="231F20"/>
          <w:spacing w:val="-3"/>
        </w:rPr>
        <w:t xml:space="preserve"> </w:t>
      </w:r>
      <w:r>
        <w:rPr>
          <w:color w:val="231F20"/>
        </w:rPr>
        <w:t>therefore,</w:t>
      </w:r>
      <w:r>
        <w:rPr>
          <w:color w:val="231F20"/>
          <w:spacing w:val="-3"/>
        </w:rPr>
        <w:t xml:space="preserve"> </w:t>
      </w:r>
      <w:r>
        <w:rPr>
          <w:color w:val="231F20"/>
        </w:rPr>
        <w:t>an</w:t>
      </w:r>
      <w:r>
        <w:rPr>
          <w:color w:val="231F20"/>
          <w:spacing w:val="-3"/>
        </w:rPr>
        <w:t xml:space="preserve"> </w:t>
      </w:r>
      <w:r>
        <w:rPr>
          <w:color w:val="231F20"/>
        </w:rPr>
        <w:t>important</w:t>
      </w:r>
      <w:r>
        <w:rPr>
          <w:color w:val="231F20"/>
          <w:spacing w:val="-3"/>
        </w:rPr>
        <w:t xml:space="preserve"> </w:t>
      </w:r>
      <w:r>
        <w:rPr>
          <w:color w:val="231F20"/>
        </w:rPr>
        <w:t>one</w:t>
      </w:r>
      <w:r>
        <w:rPr>
          <w:color w:val="231F20"/>
          <w:spacing w:val="-3"/>
        </w:rPr>
        <w:t xml:space="preserve"> </w:t>
      </w:r>
      <w:r>
        <w:rPr>
          <w:color w:val="231F20"/>
        </w:rPr>
        <w:t>for</w:t>
      </w:r>
      <w:r>
        <w:rPr>
          <w:color w:val="231F20"/>
          <w:spacing w:val="-3"/>
        </w:rPr>
        <w:t xml:space="preserve"> </w:t>
      </w:r>
      <w:r>
        <w:rPr>
          <w:color w:val="231F20"/>
        </w:rPr>
        <w:t>sport tourism development.</w:t>
      </w:r>
    </w:p>
    <w:p w14:paraId="5C03488C" w14:textId="77777777" w:rsidR="00AE0598" w:rsidRDefault="0069255A">
      <w:pPr>
        <w:pStyle w:val="Corpodetexto"/>
        <w:spacing w:before="7" w:line="232" w:lineRule="auto"/>
        <w:ind w:left="110" w:right="127" w:firstLine="320"/>
        <w:jc w:val="both"/>
      </w:pPr>
      <w:r>
        <w:rPr>
          <w:color w:val="231F20"/>
          <w:w w:val="95"/>
        </w:rPr>
        <w:t xml:space="preserve">The essence of the homogenisation/heterogenisation debate in sport is </w:t>
      </w:r>
      <w:r>
        <w:rPr>
          <w:color w:val="231F20"/>
        </w:rPr>
        <w:t>nicely summarised by Silk and Jackson (2000):</w:t>
      </w:r>
    </w:p>
    <w:p w14:paraId="0503059E" w14:textId="77777777" w:rsidR="00AE0598" w:rsidRDefault="00AE0598">
      <w:pPr>
        <w:pStyle w:val="Corpodetexto"/>
      </w:pPr>
    </w:p>
    <w:p w14:paraId="5FFB414F" w14:textId="77777777" w:rsidR="00AE0598" w:rsidRDefault="0069255A">
      <w:pPr>
        <w:spacing w:line="244" w:lineRule="auto"/>
        <w:ind w:left="430" w:right="127"/>
        <w:jc w:val="both"/>
        <w:rPr>
          <w:sz w:val="20"/>
        </w:rPr>
      </w:pPr>
      <w:r>
        <w:rPr>
          <w:color w:val="231F20"/>
          <w:sz w:val="20"/>
        </w:rPr>
        <w:t>[h]omogenisation heralds the advent of an era dominated by creeping global</w:t>
      </w:r>
      <w:r>
        <w:rPr>
          <w:color w:val="231F20"/>
          <w:spacing w:val="-2"/>
          <w:sz w:val="20"/>
        </w:rPr>
        <w:t xml:space="preserve"> </w:t>
      </w:r>
      <w:r>
        <w:rPr>
          <w:color w:val="231F20"/>
          <w:sz w:val="20"/>
        </w:rPr>
        <w:t>standardization.</w:t>
      </w:r>
      <w:r>
        <w:rPr>
          <w:color w:val="231F20"/>
          <w:spacing w:val="-2"/>
          <w:sz w:val="20"/>
        </w:rPr>
        <w:t xml:space="preserve"> </w:t>
      </w:r>
      <w:r>
        <w:rPr>
          <w:color w:val="231F20"/>
          <w:sz w:val="20"/>
        </w:rPr>
        <w:t>Heterogenisation,</w:t>
      </w:r>
      <w:r>
        <w:rPr>
          <w:color w:val="231F20"/>
          <w:spacing w:val="-2"/>
          <w:sz w:val="20"/>
        </w:rPr>
        <w:t xml:space="preserve"> </w:t>
      </w:r>
      <w:r>
        <w:rPr>
          <w:color w:val="231F20"/>
          <w:sz w:val="20"/>
        </w:rPr>
        <w:t>however,</w:t>
      </w:r>
      <w:r>
        <w:rPr>
          <w:color w:val="231F20"/>
          <w:spacing w:val="-2"/>
          <w:sz w:val="20"/>
        </w:rPr>
        <w:t xml:space="preserve"> </w:t>
      </w:r>
      <w:r>
        <w:rPr>
          <w:color w:val="231F20"/>
          <w:sz w:val="20"/>
        </w:rPr>
        <w:t>rejects</w:t>
      </w:r>
      <w:r>
        <w:rPr>
          <w:color w:val="231F20"/>
          <w:spacing w:val="-2"/>
          <w:sz w:val="20"/>
        </w:rPr>
        <w:t xml:space="preserve"> </w:t>
      </w:r>
      <w:r>
        <w:rPr>
          <w:color w:val="231F20"/>
          <w:sz w:val="20"/>
        </w:rPr>
        <w:t>the</w:t>
      </w:r>
      <w:r>
        <w:rPr>
          <w:color w:val="231F20"/>
          <w:spacing w:val="-2"/>
          <w:sz w:val="20"/>
        </w:rPr>
        <w:t xml:space="preserve"> </w:t>
      </w:r>
      <w:r>
        <w:rPr>
          <w:color w:val="231F20"/>
          <w:sz w:val="20"/>
        </w:rPr>
        <w:t>influence of global technologies and products in favour of stressing the inherent uniqueness of localities. The former category suggests that we are becoming</w:t>
      </w:r>
      <w:r>
        <w:rPr>
          <w:color w:val="231F20"/>
          <w:spacing w:val="-3"/>
          <w:sz w:val="20"/>
        </w:rPr>
        <w:t xml:space="preserve"> </w:t>
      </w:r>
      <w:r>
        <w:rPr>
          <w:color w:val="231F20"/>
          <w:sz w:val="20"/>
        </w:rPr>
        <w:t>more</w:t>
      </w:r>
      <w:r>
        <w:rPr>
          <w:color w:val="231F20"/>
          <w:spacing w:val="-3"/>
          <w:sz w:val="20"/>
        </w:rPr>
        <w:t xml:space="preserve"> </w:t>
      </w:r>
      <w:r>
        <w:rPr>
          <w:color w:val="231F20"/>
          <w:sz w:val="20"/>
        </w:rPr>
        <w:t>alike</w:t>
      </w:r>
      <w:r>
        <w:rPr>
          <w:color w:val="231F20"/>
          <w:spacing w:val="-3"/>
          <w:sz w:val="20"/>
        </w:rPr>
        <w:t xml:space="preserve"> </w:t>
      </w:r>
      <w:r>
        <w:rPr>
          <w:color w:val="231F20"/>
          <w:sz w:val="20"/>
        </w:rPr>
        <w:t>and</w:t>
      </w:r>
      <w:r>
        <w:rPr>
          <w:color w:val="231F20"/>
          <w:spacing w:val="-3"/>
          <w:sz w:val="20"/>
        </w:rPr>
        <w:t xml:space="preserve"> </w:t>
      </w:r>
      <w:r>
        <w:rPr>
          <w:color w:val="231F20"/>
          <w:sz w:val="20"/>
        </w:rPr>
        <w:t>heading</w:t>
      </w:r>
      <w:r>
        <w:rPr>
          <w:color w:val="231F20"/>
          <w:spacing w:val="-3"/>
          <w:sz w:val="20"/>
        </w:rPr>
        <w:t xml:space="preserve"> </w:t>
      </w:r>
      <w:r>
        <w:rPr>
          <w:color w:val="231F20"/>
          <w:sz w:val="20"/>
        </w:rPr>
        <w:t>towards</w:t>
      </w:r>
      <w:r>
        <w:rPr>
          <w:color w:val="231F20"/>
          <w:spacing w:val="-3"/>
          <w:sz w:val="20"/>
        </w:rPr>
        <w:t xml:space="preserve"> </w:t>
      </w:r>
      <w:r>
        <w:rPr>
          <w:color w:val="231F20"/>
          <w:sz w:val="20"/>
        </w:rPr>
        <w:t>a</w:t>
      </w:r>
      <w:r>
        <w:rPr>
          <w:color w:val="231F20"/>
          <w:spacing w:val="-3"/>
          <w:sz w:val="20"/>
        </w:rPr>
        <w:t xml:space="preserve"> </w:t>
      </w:r>
      <w:r>
        <w:rPr>
          <w:color w:val="231F20"/>
          <w:sz w:val="20"/>
        </w:rPr>
        <w:t>uniform</w:t>
      </w:r>
      <w:r>
        <w:rPr>
          <w:color w:val="231F20"/>
          <w:spacing w:val="-3"/>
          <w:sz w:val="20"/>
        </w:rPr>
        <w:t xml:space="preserve"> </w:t>
      </w:r>
      <w:r>
        <w:rPr>
          <w:color w:val="231F20"/>
          <w:sz w:val="20"/>
        </w:rPr>
        <w:t>global</w:t>
      </w:r>
      <w:r>
        <w:rPr>
          <w:color w:val="231F20"/>
          <w:spacing w:val="-3"/>
          <w:sz w:val="20"/>
        </w:rPr>
        <w:t xml:space="preserve"> </w:t>
      </w:r>
      <w:r>
        <w:rPr>
          <w:color w:val="231F20"/>
          <w:sz w:val="20"/>
        </w:rPr>
        <w:t>culture.</w:t>
      </w:r>
      <w:r>
        <w:rPr>
          <w:color w:val="231F20"/>
          <w:spacing w:val="-3"/>
          <w:sz w:val="20"/>
        </w:rPr>
        <w:t xml:space="preserve"> </w:t>
      </w:r>
      <w:r>
        <w:rPr>
          <w:color w:val="231F20"/>
          <w:sz w:val="20"/>
        </w:rPr>
        <w:t>The latter emphasizes cultural difference</w:t>
      </w:r>
      <w:r>
        <w:rPr>
          <w:color w:val="231F20"/>
          <w:sz w:val="20"/>
        </w:rPr>
        <w:t>s and the power of the particular. (Silk &amp; Jackson, 2000: 102)</w:t>
      </w:r>
    </w:p>
    <w:p w14:paraId="45055568" w14:textId="77777777" w:rsidR="00AE0598" w:rsidRDefault="00AE0598">
      <w:pPr>
        <w:pStyle w:val="Corpodetexto"/>
        <w:spacing w:before="7"/>
        <w:rPr>
          <w:sz w:val="20"/>
        </w:rPr>
      </w:pPr>
    </w:p>
    <w:p w14:paraId="78AA4B39" w14:textId="77777777" w:rsidR="00AE0598" w:rsidRDefault="0069255A">
      <w:pPr>
        <w:pStyle w:val="Corpodetexto"/>
        <w:spacing w:before="1" w:line="232" w:lineRule="auto"/>
        <w:ind w:left="110" w:right="123"/>
        <w:jc w:val="both"/>
      </w:pPr>
      <w:r>
        <w:rPr>
          <w:color w:val="231F20"/>
        </w:rPr>
        <w:t>Those who see the forces of globalisation leading to the homogenisation of sport have argued that there is ample evidence to suggest that sport culture</w:t>
      </w:r>
      <w:r>
        <w:rPr>
          <w:color w:val="231F20"/>
          <w:spacing w:val="40"/>
        </w:rPr>
        <w:t xml:space="preserve"> </w:t>
      </w:r>
      <w:r>
        <w:rPr>
          <w:color w:val="231F20"/>
        </w:rPr>
        <w:t>is</w:t>
      </w:r>
      <w:r>
        <w:rPr>
          <w:color w:val="231F20"/>
          <w:spacing w:val="40"/>
        </w:rPr>
        <w:t xml:space="preserve"> </w:t>
      </w:r>
      <w:r>
        <w:rPr>
          <w:color w:val="231F20"/>
        </w:rPr>
        <w:t>growing</w:t>
      </w:r>
      <w:r>
        <w:rPr>
          <w:color w:val="231F20"/>
          <w:spacing w:val="40"/>
        </w:rPr>
        <w:t xml:space="preserve"> </w:t>
      </w:r>
      <w:r>
        <w:rPr>
          <w:color w:val="231F20"/>
        </w:rPr>
        <w:t>more</w:t>
      </w:r>
      <w:r>
        <w:rPr>
          <w:color w:val="231F20"/>
          <w:spacing w:val="40"/>
        </w:rPr>
        <w:t xml:space="preserve"> </w:t>
      </w:r>
      <w:r>
        <w:rPr>
          <w:color w:val="231F20"/>
        </w:rPr>
        <w:t>similar</w:t>
      </w:r>
      <w:r>
        <w:rPr>
          <w:color w:val="231F20"/>
          <w:spacing w:val="40"/>
        </w:rPr>
        <w:t xml:space="preserve"> </w:t>
      </w:r>
      <w:r>
        <w:rPr>
          <w:color w:val="231F20"/>
        </w:rPr>
        <w:t>throughout</w:t>
      </w:r>
      <w:r>
        <w:rPr>
          <w:color w:val="231F20"/>
          <w:spacing w:val="40"/>
        </w:rPr>
        <w:t xml:space="preserve"> </w:t>
      </w:r>
      <w:r>
        <w:rPr>
          <w:color w:val="231F20"/>
        </w:rPr>
        <w:t>the</w:t>
      </w:r>
      <w:r>
        <w:rPr>
          <w:color w:val="231F20"/>
          <w:spacing w:val="40"/>
        </w:rPr>
        <w:t xml:space="preserve"> </w:t>
      </w:r>
      <w:r>
        <w:rPr>
          <w:color w:val="231F20"/>
        </w:rPr>
        <w:t>world.</w:t>
      </w:r>
      <w:r>
        <w:rPr>
          <w:color w:val="231F20"/>
          <w:spacing w:val="40"/>
        </w:rPr>
        <w:t xml:space="preserve"> </w:t>
      </w:r>
      <w:r>
        <w:rPr>
          <w:color w:val="231F20"/>
        </w:rPr>
        <w:t>For</w:t>
      </w:r>
      <w:r>
        <w:rPr>
          <w:color w:val="231F20"/>
          <w:spacing w:val="40"/>
        </w:rPr>
        <w:t xml:space="preserve"> </w:t>
      </w:r>
      <w:r>
        <w:rPr>
          <w:color w:val="231F20"/>
        </w:rPr>
        <w:t xml:space="preserve">example, </w:t>
      </w:r>
      <w:r>
        <w:rPr>
          <w:color w:val="231F20"/>
          <w:w w:val="95"/>
        </w:rPr>
        <w:t>the emergence of homogeneous sportscapes as m</w:t>
      </w:r>
      <w:r>
        <w:rPr>
          <w:color w:val="231F20"/>
          <w:w w:val="95"/>
        </w:rPr>
        <w:t xml:space="preserve">anifest in standardised </w:t>
      </w:r>
      <w:r>
        <w:rPr>
          <w:color w:val="231F20"/>
        </w:rPr>
        <w:t xml:space="preserve">stadiums and sports fields (Bale, 1993) is consistent with this view. </w:t>
      </w:r>
      <w:r>
        <w:rPr>
          <w:color w:val="231F20"/>
          <w:w w:val="95"/>
        </w:rPr>
        <w:t xml:space="preserve">Rowe and Lawrence (1996: 10) also suggest that cultural commentators </w:t>
      </w:r>
      <w:r>
        <w:rPr>
          <w:color w:val="231F20"/>
        </w:rPr>
        <w:t xml:space="preserve">find ‘evidence’ of this new phenomenon in international sports media spectacles (such as the </w:t>
      </w:r>
      <w:r>
        <w:rPr>
          <w:color w:val="231F20"/>
        </w:rPr>
        <w:t>Olympic Games and the FIFA World Cup); geographically</w:t>
      </w:r>
      <w:r>
        <w:rPr>
          <w:color w:val="231F20"/>
          <w:spacing w:val="40"/>
        </w:rPr>
        <w:t xml:space="preserve"> </w:t>
      </w:r>
      <w:r>
        <w:rPr>
          <w:color w:val="231F20"/>
        </w:rPr>
        <w:t>‘mobile’</w:t>
      </w:r>
      <w:r>
        <w:rPr>
          <w:color w:val="231F20"/>
          <w:spacing w:val="40"/>
        </w:rPr>
        <w:t xml:space="preserve"> </w:t>
      </w:r>
      <w:r>
        <w:rPr>
          <w:color w:val="231F20"/>
        </w:rPr>
        <w:t>sports</w:t>
      </w:r>
      <w:r>
        <w:rPr>
          <w:color w:val="231F20"/>
          <w:spacing w:val="40"/>
        </w:rPr>
        <w:t xml:space="preserve"> </w:t>
      </w:r>
      <w:r>
        <w:rPr>
          <w:color w:val="231F20"/>
        </w:rPr>
        <w:t>(such</w:t>
      </w:r>
      <w:r>
        <w:rPr>
          <w:color w:val="231F20"/>
          <w:spacing w:val="40"/>
        </w:rPr>
        <w:t xml:space="preserve"> </w:t>
      </w:r>
      <w:r>
        <w:rPr>
          <w:color w:val="231F20"/>
        </w:rPr>
        <w:t>as</w:t>
      </w:r>
      <w:r>
        <w:rPr>
          <w:color w:val="231F20"/>
          <w:spacing w:val="40"/>
        </w:rPr>
        <w:t xml:space="preserve"> </w:t>
      </w:r>
      <w:r>
        <w:rPr>
          <w:color w:val="231F20"/>
        </w:rPr>
        <w:t>basketball</w:t>
      </w:r>
      <w:r>
        <w:rPr>
          <w:color w:val="231F20"/>
          <w:spacing w:val="40"/>
        </w:rPr>
        <w:t xml:space="preserve"> </w:t>
      </w:r>
      <w:r>
        <w:rPr>
          <w:color w:val="231F20"/>
        </w:rPr>
        <w:t>and</w:t>
      </w:r>
      <w:r>
        <w:rPr>
          <w:color w:val="231F20"/>
          <w:spacing w:val="40"/>
        </w:rPr>
        <w:t xml:space="preserve"> </w:t>
      </w:r>
      <w:r>
        <w:rPr>
          <w:color w:val="231F20"/>
        </w:rPr>
        <w:t>golf);</w:t>
      </w:r>
      <w:r>
        <w:rPr>
          <w:color w:val="231F20"/>
          <w:spacing w:val="40"/>
        </w:rPr>
        <w:t xml:space="preserve"> </w:t>
      </w:r>
      <w:r>
        <w:rPr>
          <w:color w:val="231F20"/>
        </w:rPr>
        <w:t>and</w:t>
      </w:r>
      <w:r>
        <w:rPr>
          <w:color w:val="231F20"/>
          <w:spacing w:val="80"/>
          <w:w w:val="150"/>
        </w:rPr>
        <w:t xml:space="preserve"> </w:t>
      </w:r>
      <w:r>
        <w:rPr>
          <w:color w:val="231F20"/>
          <w:spacing w:val="9"/>
        </w:rPr>
        <w:t>US-</w:t>
      </w:r>
      <w:r>
        <w:rPr>
          <w:color w:val="231F20"/>
        </w:rPr>
        <w:t>originated advertising, promotion, marketing and ‘packaging’ practices (such as celebrity endorsements and the high-pressure sale of sports parapher</w:t>
      </w:r>
      <w:r>
        <w:rPr>
          <w:color w:val="231F20"/>
        </w:rPr>
        <w:t>nalia).</w:t>
      </w:r>
    </w:p>
    <w:p w14:paraId="3814BEBF" w14:textId="77777777" w:rsidR="00AE0598" w:rsidRDefault="0069255A">
      <w:pPr>
        <w:pStyle w:val="Corpodetexto"/>
        <w:spacing w:before="14" w:line="232" w:lineRule="auto"/>
        <w:ind w:left="110" w:right="127" w:firstLine="320"/>
        <w:jc w:val="both"/>
      </w:pPr>
      <w:r>
        <w:rPr>
          <w:color w:val="231F20"/>
        </w:rPr>
        <w:t>Yet, even commentators who show some level of support for this hypothesis recognise that there are other forces at work that seem to counter the processes of homogenisation.</w:t>
      </w:r>
    </w:p>
    <w:p w14:paraId="0EE674BD" w14:textId="77777777" w:rsidR="00AE0598" w:rsidRDefault="00AE0598">
      <w:pPr>
        <w:pStyle w:val="Corpodetexto"/>
        <w:spacing w:before="1"/>
      </w:pPr>
    </w:p>
    <w:p w14:paraId="3A1937D9" w14:textId="77777777" w:rsidR="00AE0598" w:rsidRDefault="0069255A">
      <w:pPr>
        <w:spacing w:line="244" w:lineRule="auto"/>
        <w:ind w:left="430" w:right="124"/>
        <w:jc w:val="both"/>
        <w:rPr>
          <w:sz w:val="20"/>
        </w:rPr>
      </w:pPr>
      <w:r>
        <w:rPr>
          <w:color w:val="231F20"/>
          <w:sz w:val="20"/>
        </w:rPr>
        <w:t xml:space="preserve">Globalization is accordingly best understood as a balance and blend </w:t>
      </w:r>
      <w:r>
        <w:rPr>
          <w:color w:val="231F20"/>
          <w:w w:val="95"/>
          <w:sz w:val="20"/>
        </w:rPr>
        <w:t xml:space="preserve">between diminishing contrasts and increasing varieties, a commingling of cultures and attempts by more established groups to control and regulate access to global flows. Global sport development can be understood in the </w:t>
      </w:r>
      <w:r>
        <w:rPr>
          <w:color w:val="231F20"/>
          <w:sz w:val="20"/>
        </w:rPr>
        <w:t>same terms: that is, in the late twe</w:t>
      </w:r>
      <w:r>
        <w:rPr>
          <w:color w:val="231F20"/>
          <w:sz w:val="20"/>
        </w:rPr>
        <w:t xml:space="preserve">ntieth century we are witnessing the </w:t>
      </w:r>
      <w:r>
        <w:rPr>
          <w:color w:val="231F20"/>
          <w:w w:val="95"/>
          <w:sz w:val="20"/>
        </w:rPr>
        <w:t xml:space="preserve">globalization of sports and the increasing diversification of sport cultures. </w:t>
      </w:r>
      <w:r>
        <w:rPr>
          <w:color w:val="231F20"/>
          <w:sz w:val="20"/>
        </w:rPr>
        <w:t>(Maguire, 1999: 213)</w:t>
      </w:r>
    </w:p>
    <w:p w14:paraId="74805AB8" w14:textId="77777777" w:rsidR="00AE0598" w:rsidRDefault="00AE0598">
      <w:pPr>
        <w:pStyle w:val="Corpodetexto"/>
        <w:spacing w:before="8"/>
        <w:rPr>
          <w:sz w:val="20"/>
        </w:rPr>
      </w:pPr>
    </w:p>
    <w:p w14:paraId="7B252B58" w14:textId="77777777" w:rsidR="00AE0598" w:rsidRDefault="0069255A">
      <w:pPr>
        <w:pStyle w:val="Corpodetexto"/>
        <w:spacing w:line="232" w:lineRule="auto"/>
        <w:ind w:left="110" w:right="127"/>
        <w:jc w:val="both"/>
      </w:pPr>
      <w:r>
        <w:rPr>
          <w:color w:val="231F20"/>
          <w:w w:val="95"/>
        </w:rPr>
        <w:t xml:space="preserve">Many sport theorists share the view of co-existent forces for homogeneity </w:t>
      </w:r>
      <w:r>
        <w:rPr>
          <w:color w:val="231F20"/>
        </w:rPr>
        <w:t>and</w:t>
      </w:r>
      <w:r>
        <w:rPr>
          <w:color w:val="231F20"/>
          <w:spacing w:val="-5"/>
        </w:rPr>
        <w:t xml:space="preserve"> </w:t>
      </w:r>
      <w:r>
        <w:rPr>
          <w:color w:val="231F20"/>
        </w:rPr>
        <w:t>diversification</w:t>
      </w:r>
      <w:r>
        <w:rPr>
          <w:color w:val="231F20"/>
          <w:spacing w:val="-5"/>
        </w:rPr>
        <w:t xml:space="preserve"> </w:t>
      </w:r>
      <w:r>
        <w:rPr>
          <w:color w:val="231F20"/>
        </w:rPr>
        <w:t>(Denham,</w:t>
      </w:r>
      <w:r>
        <w:rPr>
          <w:color w:val="231F20"/>
          <w:spacing w:val="-5"/>
        </w:rPr>
        <w:t xml:space="preserve"> </w:t>
      </w:r>
      <w:r>
        <w:rPr>
          <w:color w:val="231F20"/>
        </w:rPr>
        <w:t>2004;</w:t>
      </w:r>
      <w:r>
        <w:rPr>
          <w:color w:val="231F20"/>
          <w:spacing w:val="-5"/>
        </w:rPr>
        <w:t xml:space="preserve"> </w:t>
      </w:r>
      <w:r>
        <w:rPr>
          <w:color w:val="231F20"/>
        </w:rPr>
        <w:t>Melnic</w:t>
      </w:r>
      <w:r>
        <w:rPr>
          <w:color w:val="231F20"/>
          <w:spacing w:val="-5"/>
        </w:rPr>
        <w:t xml:space="preserve"> </w:t>
      </w:r>
      <w:r>
        <w:rPr>
          <w:color w:val="231F20"/>
        </w:rPr>
        <w:t>&amp;</w:t>
      </w:r>
      <w:r>
        <w:rPr>
          <w:color w:val="231F20"/>
          <w:spacing w:val="-5"/>
        </w:rPr>
        <w:t xml:space="preserve"> </w:t>
      </w:r>
      <w:r>
        <w:rPr>
          <w:color w:val="231F20"/>
        </w:rPr>
        <w:t>J</w:t>
      </w:r>
      <w:r>
        <w:rPr>
          <w:color w:val="231F20"/>
        </w:rPr>
        <w:t>ackson,</w:t>
      </w:r>
      <w:r>
        <w:rPr>
          <w:color w:val="231F20"/>
          <w:spacing w:val="-5"/>
        </w:rPr>
        <w:t xml:space="preserve"> </w:t>
      </w:r>
      <w:r>
        <w:rPr>
          <w:color w:val="231F20"/>
        </w:rPr>
        <w:t>2002;</w:t>
      </w:r>
      <w:r>
        <w:rPr>
          <w:color w:val="231F20"/>
          <w:spacing w:val="-5"/>
        </w:rPr>
        <w:t xml:space="preserve"> </w:t>
      </w:r>
      <w:r>
        <w:rPr>
          <w:color w:val="231F20"/>
        </w:rPr>
        <w:t>Washington &amp;</w:t>
      </w:r>
      <w:r>
        <w:rPr>
          <w:color w:val="231F20"/>
          <w:spacing w:val="-1"/>
        </w:rPr>
        <w:t xml:space="preserve"> </w:t>
      </w:r>
      <w:r>
        <w:rPr>
          <w:color w:val="231F20"/>
        </w:rPr>
        <w:t>Karen,</w:t>
      </w:r>
      <w:r>
        <w:rPr>
          <w:color w:val="231F20"/>
          <w:spacing w:val="-1"/>
        </w:rPr>
        <w:t xml:space="preserve"> </w:t>
      </w:r>
      <w:r>
        <w:rPr>
          <w:color w:val="231F20"/>
        </w:rPr>
        <w:t>2001).</w:t>
      </w:r>
      <w:r>
        <w:rPr>
          <w:color w:val="231F20"/>
          <w:spacing w:val="-1"/>
        </w:rPr>
        <w:t xml:space="preserve"> </w:t>
      </w:r>
      <w:r>
        <w:rPr>
          <w:color w:val="231F20"/>
        </w:rPr>
        <w:t>At</w:t>
      </w:r>
      <w:r>
        <w:rPr>
          <w:color w:val="231F20"/>
          <w:spacing w:val="-1"/>
        </w:rPr>
        <w:t xml:space="preserve"> </w:t>
      </w:r>
      <w:r>
        <w:rPr>
          <w:color w:val="231F20"/>
        </w:rPr>
        <w:t>an</w:t>
      </w:r>
      <w:r>
        <w:rPr>
          <w:color w:val="231F20"/>
          <w:spacing w:val="-1"/>
        </w:rPr>
        <w:t xml:space="preserve"> </w:t>
      </w:r>
      <w:r>
        <w:rPr>
          <w:color w:val="231F20"/>
        </w:rPr>
        <w:t>empirical</w:t>
      </w:r>
      <w:r>
        <w:rPr>
          <w:color w:val="231F20"/>
          <w:spacing w:val="-1"/>
        </w:rPr>
        <w:t xml:space="preserve"> </w:t>
      </w:r>
      <w:r>
        <w:rPr>
          <w:color w:val="231F20"/>
        </w:rPr>
        <w:t>level,</w:t>
      </w:r>
      <w:r>
        <w:rPr>
          <w:color w:val="231F20"/>
          <w:spacing w:val="-1"/>
        </w:rPr>
        <w:t xml:space="preserve"> </w:t>
      </w:r>
      <w:r>
        <w:rPr>
          <w:color w:val="231F20"/>
        </w:rPr>
        <w:t>there</w:t>
      </w:r>
      <w:r>
        <w:rPr>
          <w:color w:val="231F20"/>
          <w:spacing w:val="-1"/>
        </w:rPr>
        <w:t xml:space="preserve"> </w:t>
      </w:r>
      <w:r>
        <w:rPr>
          <w:color w:val="231F20"/>
        </w:rPr>
        <w:t>is</w:t>
      </w:r>
      <w:r>
        <w:rPr>
          <w:color w:val="231F20"/>
          <w:spacing w:val="-1"/>
        </w:rPr>
        <w:t xml:space="preserve"> </w:t>
      </w:r>
      <w:r>
        <w:rPr>
          <w:color w:val="231F20"/>
        </w:rPr>
        <w:t>also</w:t>
      </w:r>
      <w:r>
        <w:rPr>
          <w:color w:val="231F20"/>
          <w:spacing w:val="-1"/>
        </w:rPr>
        <w:t xml:space="preserve"> </w:t>
      </w:r>
      <w:r>
        <w:rPr>
          <w:color w:val="231F20"/>
        </w:rPr>
        <w:t>support</w:t>
      </w:r>
      <w:r>
        <w:rPr>
          <w:color w:val="231F20"/>
          <w:spacing w:val="-1"/>
        </w:rPr>
        <w:t xml:space="preserve"> </w:t>
      </w:r>
      <w:r>
        <w:rPr>
          <w:color w:val="231F20"/>
        </w:rPr>
        <w:t>for</w:t>
      </w:r>
      <w:r>
        <w:rPr>
          <w:color w:val="231F20"/>
          <w:spacing w:val="-1"/>
        </w:rPr>
        <w:t xml:space="preserve"> </w:t>
      </w:r>
      <w:r>
        <w:rPr>
          <w:color w:val="231F20"/>
        </w:rPr>
        <w:t>the</w:t>
      </w:r>
      <w:r>
        <w:rPr>
          <w:color w:val="231F20"/>
          <w:spacing w:val="-1"/>
        </w:rPr>
        <w:t xml:space="preserve"> </w:t>
      </w:r>
      <w:r>
        <w:rPr>
          <w:color w:val="231F20"/>
        </w:rPr>
        <w:t xml:space="preserve">thesis </w:t>
      </w:r>
      <w:r>
        <w:rPr>
          <w:color w:val="231F20"/>
          <w:w w:val="95"/>
        </w:rPr>
        <w:t>that local resistance ensures that there is a significant degree of difference</w:t>
      </w:r>
    </w:p>
    <w:p w14:paraId="5BFCBB63" w14:textId="77777777" w:rsidR="00AE0598" w:rsidRDefault="00AE0598">
      <w:pPr>
        <w:spacing w:line="232" w:lineRule="auto"/>
        <w:jc w:val="both"/>
        <w:sectPr w:rsidR="00AE0598">
          <w:pgSz w:w="8850" w:h="13270"/>
          <w:pgMar w:top="720" w:right="1060" w:bottom="280" w:left="1080" w:header="720" w:footer="720" w:gutter="0"/>
          <w:cols w:space="720"/>
        </w:sectPr>
      </w:pPr>
    </w:p>
    <w:p w14:paraId="09ADBEE0" w14:textId="77777777" w:rsidR="00AE0598" w:rsidRDefault="0069255A">
      <w:pPr>
        <w:spacing w:before="87"/>
        <w:ind w:left="4067"/>
        <w:rPr>
          <w:rFonts w:ascii="Trebuchet MS"/>
          <w:sz w:val="14"/>
        </w:rPr>
      </w:pPr>
      <w:r>
        <w:rPr>
          <w:rFonts w:ascii="Trebuchet MS"/>
          <w:color w:val="231F20"/>
          <w:w w:val="105"/>
          <w:sz w:val="14"/>
        </w:rPr>
        <w:lastRenderedPageBreak/>
        <w:t>Development</w:t>
      </w:r>
      <w:r>
        <w:rPr>
          <w:rFonts w:ascii="Trebuchet MS"/>
          <w:color w:val="231F20"/>
          <w:spacing w:val="-12"/>
          <w:w w:val="105"/>
          <w:sz w:val="14"/>
        </w:rPr>
        <w:t xml:space="preserve"> </w:t>
      </w:r>
      <w:r>
        <w:rPr>
          <w:rFonts w:ascii="Trebuchet MS"/>
          <w:color w:val="231F20"/>
          <w:w w:val="105"/>
          <w:sz w:val="14"/>
        </w:rPr>
        <w:t>Processes</w:t>
      </w:r>
      <w:r>
        <w:rPr>
          <w:rFonts w:ascii="Trebuchet MS"/>
          <w:color w:val="231F20"/>
          <w:spacing w:val="-11"/>
          <w:w w:val="105"/>
          <w:sz w:val="14"/>
        </w:rPr>
        <w:t xml:space="preserve"> </w:t>
      </w:r>
      <w:r>
        <w:rPr>
          <w:rFonts w:ascii="Trebuchet MS"/>
          <w:color w:val="231F20"/>
          <w:w w:val="105"/>
          <w:sz w:val="14"/>
        </w:rPr>
        <w:t>and</w:t>
      </w:r>
      <w:r>
        <w:rPr>
          <w:rFonts w:ascii="Trebuchet MS"/>
          <w:color w:val="231F20"/>
          <w:spacing w:val="-11"/>
          <w:w w:val="105"/>
          <w:sz w:val="14"/>
        </w:rPr>
        <w:t xml:space="preserve"> </w:t>
      </w:r>
      <w:r>
        <w:rPr>
          <w:rFonts w:ascii="Trebuchet MS"/>
          <w:color w:val="231F20"/>
          <w:w w:val="105"/>
          <w:sz w:val="14"/>
        </w:rPr>
        <w:t>Issues</w:t>
      </w:r>
      <w:r>
        <w:rPr>
          <w:rFonts w:ascii="Trebuchet MS"/>
          <w:color w:val="231F20"/>
          <w:spacing w:val="77"/>
          <w:w w:val="105"/>
          <w:sz w:val="14"/>
        </w:rPr>
        <w:t xml:space="preserve"> </w:t>
      </w:r>
      <w:r>
        <w:rPr>
          <w:rFonts w:ascii="Trebuchet MS"/>
          <w:color w:val="231F20"/>
          <w:spacing w:val="-5"/>
          <w:w w:val="105"/>
          <w:sz w:val="14"/>
        </w:rPr>
        <w:t>81</w:t>
      </w:r>
    </w:p>
    <w:p w14:paraId="69805F27" w14:textId="77777777" w:rsidR="00AE0598" w:rsidRDefault="00AE0598">
      <w:pPr>
        <w:pStyle w:val="Corpodetexto"/>
        <w:rPr>
          <w:rFonts w:ascii="Trebuchet MS"/>
          <w:sz w:val="16"/>
        </w:rPr>
      </w:pPr>
    </w:p>
    <w:p w14:paraId="7CCF5BD1" w14:textId="77777777" w:rsidR="00AE0598" w:rsidRDefault="0069255A">
      <w:pPr>
        <w:pStyle w:val="Corpodetexto"/>
        <w:spacing w:before="118" w:line="232" w:lineRule="auto"/>
        <w:ind w:left="110" w:right="125"/>
        <w:jc w:val="both"/>
      </w:pPr>
      <w:r>
        <w:rPr>
          <w:color w:val="231F20"/>
        </w:rPr>
        <w:t>between local sport cultures. Despite global trends to export US sports like American football, regionally prominent sports like Australian</w:t>
      </w:r>
      <w:r>
        <w:rPr>
          <w:color w:val="231F20"/>
          <w:spacing w:val="40"/>
        </w:rPr>
        <w:t xml:space="preserve"> </w:t>
      </w:r>
      <w:r>
        <w:rPr>
          <w:color w:val="231F20"/>
        </w:rPr>
        <w:t xml:space="preserve">Rules football and rugby league have prevailed in Australia (Rowe </w:t>
      </w:r>
      <w:r>
        <w:rPr>
          <w:i/>
          <w:color w:val="231F20"/>
        </w:rPr>
        <w:t>et al.</w:t>
      </w:r>
      <w:r>
        <w:rPr>
          <w:color w:val="231F20"/>
        </w:rPr>
        <w:t>, 1994).</w:t>
      </w:r>
      <w:r>
        <w:rPr>
          <w:color w:val="231F20"/>
          <w:spacing w:val="-11"/>
        </w:rPr>
        <w:t xml:space="preserve"> </w:t>
      </w:r>
      <w:r>
        <w:rPr>
          <w:color w:val="231F20"/>
        </w:rPr>
        <w:t>Similarly,</w:t>
      </w:r>
      <w:r>
        <w:rPr>
          <w:color w:val="231F20"/>
          <w:spacing w:val="-11"/>
        </w:rPr>
        <w:t xml:space="preserve"> </w:t>
      </w:r>
      <w:r>
        <w:rPr>
          <w:color w:val="231F20"/>
        </w:rPr>
        <w:t>it</w:t>
      </w:r>
      <w:r>
        <w:rPr>
          <w:color w:val="231F20"/>
          <w:spacing w:val="-11"/>
        </w:rPr>
        <w:t xml:space="preserve"> </w:t>
      </w:r>
      <w:r>
        <w:rPr>
          <w:color w:val="231F20"/>
        </w:rPr>
        <w:t>has</w:t>
      </w:r>
      <w:r>
        <w:rPr>
          <w:color w:val="231F20"/>
          <w:spacing w:val="-11"/>
        </w:rPr>
        <w:t xml:space="preserve"> </w:t>
      </w:r>
      <w:r>
        <w:rPr>
          <w:color w:val="231F20"/>
        </w:rPr>
        <w:t>been</w:t>
      </w:r>
      <w:r>
        <w:rPr>
          <w:color w:val="231F20"/>
          <w:spacing w:val="-11"/>
        </w:rPr>
        <w:t xml:space="preserve"> </w:t>
      </w:r>
      <w:r>
        <w:rPr>
          <w:color w:val="231F20"/>
        </w:rPr>
        <w:t>argued</w:t>
      </w:r>
      <w:r>
        <w:rPr>
          <w:color w:val="231F20"/>
          <w:spacing w:val="-11"/>
        </w:rPr>
        <w:t xml:space="preserve"> </w:t>
      </w:r>
      <w:r>
        <w:rPr>
          <w:color w:val="231F20"/>
        </w:rPr>
        <w:t>that</w:t>
      </w:r>
      <w:r>
        <w:rPr>
          <w:color w:val="231F20"/>
          <w:spacing w:val="-11"/>
        </w:rPr>
        <w:t xml:space="preserve"> </w:t>
      </w:r>
      <w:r>
        <w:rPr>
          <w:color w:val="231F20"/>
        </w:rPr>
        <w:t>New</w:t>
      </w:r>
      <w:r>
        <w:rPr>
          <w:color w:val="231F20"/>
          <w:spacing w:val="-11"/>
        </w:rPr>
        <w:t xml:space="preserve"> </w:t>
      </w:r>
      <w:r>
        <w:rPr>
          <w:color w:val="231F20"/>
        </w:rPr>
        <w:t>Zealanders</w:t>
      </w:r>
      <w:r>
        <w:rPr>
          <w:color w:val="231F20"/>
          <w:spacing w:val="-11"/>
        </w:rPr>
        <w:t xml:space="preserve"> </w:t>
      </w:r>
      <w:r>
        <w:rPr>
          <w:color w:val="231F20"/>
        </w:rPr>
        <w:t>have</w:t>
      </w:r>
      <w:r>
        <w:rPr>
          <w:color w:val="231F20"/>
          <w:spacing w:val="-11"/>
        </w:rPr>
        <w:t xml:space="preserve"> </w:t>
      </w:r>
      <w:r>
        <w:rPr>
          <w:color w:val="231F20"/>
        </w:rPr>
        <w:t>negotiated the introduction of basketball on their own terms (Jackson &amp; Andrews, 1999).</w:t>
      </w:r>
      <w:r>
        <w:rPr>
          <w:color w:val="231F20"/>
          <w:spacing w:val="-12"/>
        </w:rPr>
        <w:t xml:space="preserve"> </w:t>
      </w:r>
      <w:r>
        <w:rPr>
          <w:color w:val="231F20"/>
        </w:rPr>
        <w:t>Likewise,</w:t>
      </w:r>
      <w:r>
        <w:rPr>
          <w:color w:val="231F20"/>
          <w:spacing w:val="-12"/>
        </w:rPr>
        <w:t xml:space="preserve"> </w:t>
      </w:r>
      <w:r>
        <w:rPr>
          <w:color w:val="231F20"/>
        </w:rPr>
        <w:t>Bernstein</w:t>
      </w:r>
      <w:r>
        <w:rPr>
          <w:color w:val="231F20"/>
          <w:spacing w:val="-11"/>
        </w:rPr>
        <w:t xml:space="preserve"> </w:t>
      </w:r>
      <w:r>
        <w:rPr>
          <w:color w:val="231F20"/>
        </w:rPr>
        <w:t>(2000)</w:t>
      </w:r>
      <w:r>
        <w:rPr>
          <w:color w:val="231F20"/>
          <w:spacing w:val="-12"/>
        </w:rPr>
        <w:t xml:space="preserve"> </w:t>
      </w:r>
      <w:r>
        <w:rPr>
          <w:color w:val="231F20"/>
        </w:rPr>
        <w:t>found</w:t>
      </w:r>
      <w:r>
        <w:rPr>
          <w:color w:val="231F20"/>
          <w:spacing w:val="-11"/>
        </w:rPr>
        <w:t xml:space="preserve"> </w:t>
      </w:r>
      <w:r>
        <w:rPr>
          <w:color w:val="231F20"/>
        </w:rPr>
        <w:t>that</w:t>
      </w:r>
      <w:r>
        <w:rPr>
          <w:color w:val="231F20"/>
          <w:spacing w:val="-12"/>
        </w:rPr>
        <w:t xml:space="preserve"> </w:t>
      </w:r>
      <w:r>
        <w:rPr>
          <w:color w:val="231F20"/>
        </w:rPr>
        <w:t>despite</w:t>
      </w:r>
      <w:r>
        <w:rPr>
          <w:color w:val="231F20"/>
          <w:spacing w:val="-11"/>
        </w:rPr>
        <w:t xml:space="preserve"> </w:t>
      </w:r>
      <w:r>
        <w:rPr>
          <w:color w:val="231F20"/>
        </w:rPr>
        <w:t>the</w:t>
      </w:r>
      <w:r>
        <w:rPr>
          <w:color w:val="231F20"/>
          <w:spacing w:val="-12"/>
        </w:rPr>
        <w:t xml:space="preserve"> </w:t>
      </w:r>
      <w:r>
        <w:rPr>
          <w:color w:val="231F20"/>
        </w:rPr>
        <w:t>powerful</w:t>
      </w:r>
      <w:r>
        <w:rPr>
          <w:color w:val="231F20"/>
          <w:spacing w:val="-12"/>
        </w:rPr>
        <w:t xml:space="preserve"> </w:t>
      </w:r>
      <w:r>
        <w:rPr>
          <w:color w:val="231F20"/>
        </w:rPr>
        <w:t xml:space="preserve">forces </w:t>
      </w:r>
      <w:r>
        <w:rPr>
          <w:color w:val="231F20"/>
          <w:w w:val="95"/>
        </w:rPr>
        <w:t>of the global media, press coverage of the 1992 Olympics in Barcelona was characte</w:t>
      </w:r>
      <w:r>
        <w:rPr>
          <w:color w:val="231F20"/>
          <w:w w:val="95"/>
        </w:rPr>
        <w:t>rised</w:t>
      </w:r>
      <w:r>
        <w:rPr>
          <w:color w:val="231F20"/>
          <w:spacing w:val="-4"/>
          <w:w w:val="95"/>
        </w:rPr>
        <w:t xml:space="preserve"> </w:t>
      </w:r>
      <w:r>
        <w:rPr>
          <w:color w:val="231F20"/>
          <w:w w:val="95"/>
        </w:rPr>
        <w:t>by</w:t>
      </w:r>
      <w:r>
        <w:rPr>
          <w:color w:val="231F20"/>
          <w:spacing w:val="-4"/>
          <w:w w:val="95"/>
        </w:rPr>
        <w:t xml:space="preserve"> </w:t>
      </w:r>
      <w:r>
        <w:rPr>
          <w:color w:val="231F20"/>
          <w:w w:val="95"/>
        </w:rPr>
        <w:t>local</w:t>
      </w:r>
      <w:r>
        <w:rPr>
          <w:color w:val="231F20"/>
          <w:spacing w:val="-4"/>
          <w:w w:val="95"/>
        </w:rPr>
        <w:t xml:space="preserve"> </w:t>
      </w:r>
      <w:r>
        <w:rPr>
          <w:color w:val="231F20"/>
          <w:w w:val="95"/>
        </w:rPr>
        <w:t>or</w:t>
      </w:r>
      <w:r>
        <w:rPr>
          <w:color w:val="231F20"/>
          <w:spacing w:val="-4"/>
          <w:w w:val="95"/>
        </w:rPr>
        <w:t xml:space="preserve"> </w:t>
      </w:r>
      <w:r>
        <w:rPr>
          <w:color w:val="231F20"/>
          <w:w w:val="95"/>
        </w:rPr>
        <w:t>national</w:t>
      </w:r>
      <w:r>
        <w:rPr>
          <w:color w:val="231F20"/>
          <w:spacing w:val="-4"/>
          <w:w w:val="95"/>
        </w:rPr>
        <w:t xml:space="preserve"> </w:t>
      </w:r>
      <w:r>
        <w:rPr>
          <w:color w:val="231F20"/>
          <w:w w:val="95"/>
        </w:rPr>
        <w:t>perspectives.</w:t>
      </w:r>
      <w:r>
        <w:rPr>
          <w:color w:val="231F20"/>
          <w:spacing w:val="-4"/>
          <w:w w:val="95"/>
        </w:rPr>
        <w:t xml:space="preserve"> </w:t>
      </w:r>
      <w:r>
        <w:rPr>
          <w:color w:val="231F20"/>
          <w:w w:val="95"/>
        </w:rPr>
        <w:t>Nationalistic</w:t>
      </w:r>
      <w:r>
        <w:rPr>
          <w:color w:val="231F20"/>
          <w:spacing w:val="-4"/>
          <w:w w:val="95"/>
        </w:rPr>
        <w:t xml:space="preserve"> </w:t>
      </w:r>
      <w:r>
        <w:rPr>
          <w:color w:val="231F20"/>
          <w:w w:val="95"/>
        </w:rPr>
        <w:t xml:space="preserve">interpretations </w:t>
      </w:r>
      <w:r>
        <w:rPr>
          <w:color w:val="231F20"/>
        </w:rPr>
        <w:t>of</w:t>
      </w:r>
      <w:r>
        <w:rPr>
          <w:color w:val="231F20"/>
          <w:spacing w:val="-12"/>
        </w:rPr>
        <w:t xml:space="preserve"> </w:t>
      </w:r>
      <w:r>
        <w:rPr>
          <w:color w:val="231F20"/>
        </w:rPr>
        <w:t>sporting</w:t>
      </w:r>
      <w:r>
        <w:rPr>
          <w:color w:val="231F20"/>
          <w:spacing w:val="-12"/>
        </w:rPr>
        <w:t xml:space="preserve"> </w:t>
      </w:r>
      <w:r>
        <w:rPr>
          <w:color w:val="231F20"/>
        </w:rPr>
        <w:t>events</w:t>
      </w:r>
      <w:r>
        <w:rPr>
          <w:color w:val="231F20"/>
          <w:spacing w:val="-11"/>
        </w:rPr>
        <w:t xml:space="preserve"> </w:t>
      </w:r>
      <w:r>
        <w:rPr>
          <w:color w:val="231F20"/>
        </w:rPr>
        <w:t>and</w:t>
      </w:r>
      <w:r>
        <w:rPr>
          <w:color w:val="231F20"/>
          <w:spacing w:val="-12"/>
        </w:rPr>
        <w:t xml:space="preserve"> </w:t>
      </w:r>
      <w:r>
        <w:rPr>
          <w:color w:val="231F20"/>
        </w:rPr>
        <w:t>performances</w:t>
      </w:r>
      <w:r>
        <w:rPr>
          <w:color w:val="231F20"/>
          <w:spacing w:val="-11"/>
        </w:rPr>
        <w:t xml:space="preserve"> </w:t>
      </w:r>
      <w:r>
        <w:rPr>
          <w:color w:val="231F20"/>
        </w:rPr>
        <w:t>still</w:t>
      </w:r>
      <w:r>
        <w:rPr>
          <w:color w:val="231F20"/>
          <w:spacing w:val="-12"/>
        </w:rPr>
        <w:t xml:space="preserve"> </w:t>
      </w:r>
      <w:r>
        <w:rPr>
          <w:color w:val="231F20"/>
        </w:rPr>
        <w:t>dominate</w:t>
      </w:r>
      <w:r>
        <w:rPr>
          <w:color w:val="231F20"/>
          <w:spacing w:val="-11"/>
        </w:rPr>
        <w:t xml:space="preserve"> </w:t>
      </w:r>
      <w:r>
        <w:rPr>
          <w:color w:val="231F20"/>
        </w:rPr>
        <w:t>media</w:t>
      </w:r>
      <w:r>
        <w:rPr>
          <w:color w:val="231F20"/>
          <w:spacing w:val="-12"/>
        </w:rPr>
        <w:t xml:space="preserve"> </w:t>
      </w:r>
      <w:r>
        <w:rPr>
          <w:color w:val="231F20"/>
        </w:rPr>
        <w:t>coverage.</w:t>
      </w:r>
    </w:p>
    <w:p w14:paraId="3A025C69" w14:textId="77777777" w:rsidR="00AE0598" w:rsidRDefault="0069255A">
      <w:pPr>
        <w:pStyle w:val="Corpodetexto"/>
        <w:spacing w:before="11" w:line="232" w:lineRule="auto"/>
        <w:ind w:left="110" w:right="127" w:firstLine="320"/>
        <w:jc w:val="both"/>
      </w:pPr>
      <w:r>
        <w:rPr>
          <w:color w:val="231F20"/>
          <w:w w:val="95"/>
        </w:rPr>
        <w:t xml:space="preserve">Notwithstanding the powerful momentum of globalisation processes, </w:t>
      </w:r>
      <w:r>
        <w:rPr>
          <w:color w:val="231F20"/>
        </w:rPr>
        <w:t>the environment in which they occur is dynamic. This is particularly</w:t>
      </w:r>
      <w:r>
        <w:rPr>
          <w:color w:val="231F20"/>
          <w:spacing w:val="80"/>
          <w:w w:val="150"/>
        </w:rPr>
        <w:t xml:space="preserve"> </w:t>
      </w:r>
      <w:r>
        <w:rPr>
          <w:color w:val="231F20"/>
        </w:rPr>
        <w:t>the case in terms of the political environment, which has seen popular protests against the perception of a neoliberal ag</w:t>
      </w:r>
      <w:r>
        <w:rPr>
          <w:color w:val="231F20"/>
        </w:rPr>
        <w:t xml:space="preserve">enda that favours the concentration of wealth in the hands of fewer and fewer people (Mitlin </w:t>
      </w:r>
      <w:r>
        <w:rPr>
          <w:i/>
          <w:color w:val="231F20"/>
          <w:w w:val="95"/>
        </w:rPr>
        <w:t>et al</w:t>
      </w:r>
      <w:r>
        <w:rPr>
          <w:color w:val="231F20"/>
          <w:w w:val="95"/>
        </w:rPr>
        <w:t xml:space="preserve">., 2007). More recently, popular movements in Europe and the United </w:t>
      </w:r>
      <w:r>
        <w:rPr>
          <w:color w:val="231F20"/>
        </w:rPr>
        <w:t xml:space="preserve">States have challenged free trade agreements, and liberal policies on </w:t>
      </w:r>
      <w:r>
        <w:rPr>
          <w:color w:val="231F20"/>
          <w:w w:val="95"/>
        </w:rPr>
        <w:t xml:space="preserve">immigration suggest </w:t>
      </w:r>
      <w:r>
        <w:rPr>
          <w:color w:val="231F20"/>
          <w:w w:val="95"/>
        </w:rPr>
        <w:t>that the processes of globalisation are not inevitable</w:t>
      </w:r>
      <w:r>
        <w:rPr>
          <w:color w:val="231F20"/>
          <w:spacing w:val="80"/>
        </w:rPr>
        <w:t xml:space="preserve"> </w:t>
      </w:r>
      <w:r>
        <w:rPr>
          <w:color w:val="231F20"/>
        </w:rPr>
        <w:t>as they recently appeared.</w:t>
      </w:r>
    </w:p>
    <w:p w14:paraId="079FE8D0" w14:textId="77777777" w:rsidR="00AE0598" w:rsidRDefault="00AE0598">
      <w:pPr>
        <w:pStyle w:val="Corpodetexto"/>
        <w:spacing w:before="10"/>
      </w:pPr>
    </w:p>
    <w:p w14:paraId="1CB31DAD" w14:textId="77777777" w:rsidR="00AE0598" w:rsidRDefault="0069255A">
      <w:pPr>
        <w:ind w:left="110"/>
        <w:jc w:val="both"/>
        <w:rPr>
          <w:rFonts w:ascii="Trebuchet MS"/>
          <w:sz w:val="20"/>
        </w:rPr>
      </w:pPr>
      <w:r>
        <w:rPr>
          <w:rFonts w:ascii="Trebuchet MS"/>
          <w:color w:val="231F20"/>
          <w:w w:val="105"/>
          <w:sz w:val="20"/>
        </w:rPr>
        <w:t>Organisational</w:t>
      </w:r>
      <w:r>
        <w:rPr>
          <w:rFonts w:ascii="Trebuchet MS"/>
          <w:color w:val="231F20"/>
          <w:spacing w:val="9"/>
          <w:w w:val="105"/>
          <w:sz w:val="20"/>
        </w:rPr>
        <w:t xml:space="preserve"> </w:t>
      </w:r>
      <w:r>
        <w:rPr>
          <w:rFonts w:ascii="Trebuchet MS"/>
          <w:color w:val="231F20"/>
          <w:spacing w:val="-2"/>
          <w:w w:val="105"/>
          <w:sz w:val="20"/>
        </w:rPr>
        <w:t>fragmentation</w:t>
      </w:r>
    </w:p>
    <w:p w14:paraId="1E862C79" w14:textId="77777777" w:rsidR="00AE0598" w:rsidRDefault="0069255A">
      <w:pPr>
        <w:pStyle w:val="Corpodetexto"/>
        <w:spacing w:before="122" w:line="232" w:lineRule="auto"/>
        <w:ind w:left="110" w:right="127" w:firstLine="320"/>
        <w:jc w:val="both"/>
      </w:pPr>
      <w:r>
        <w:rPr>
          <w:color w:val="231F20"/>
          <w:w w:val="95"/>
        </w:rPr>
        <w:t xml:space="preserve">Globalisation is about increasing interconnections. These interconnec- </w:t>
      </w:r>
      <w:r>
        <w:rPr>
          <w:color w:val="231F20"/>
        </w:rPr>
        <w:t>tions</w:t>
      </w:r>
      <w:r>
        <w:rPr>
          <w:color w:val="231F20"/>
          <w:spacing w:val="-12"/>
        </w:rPr>
        <w:t xml:space="preserve"> </w:t>
      </w:r>
      <w:r>
        <w:rPr>
          <w:color w:val="231F20"/>
        </w:rPr>
        <w:t>take</w:t>
      </w:r>
      <w:r>
        <w:rPr>
          <w:color w:val="231F20"/>
          <w:spacing w:val="-12"/>
        </w:rPr>
        <w:t xml:space="preserve"> </w:t>
      </w:r>
      <w:r>
        <w:rPr>
          <w:color w:val="231F20"/>
        </w:rPr>
        <w:t>the</w:t>
      </w:r>
      <w:r>
        <w:rPr>
          <w:color w:val="231F20"/>
          <w:spacing w:val="-11"/>
        </w:rPr>
        <w:t xml:space="preserve"> </w:t>
      </w:r>
      <w:r>
        <w:rPr>
          <w:color w:val="231F20"/>
        </w:rPr>
        <w:t>form</w:t>
      </w:r>
      <w:r>
        <w:rPr>
          <w:color w:val="231F20"/>
          <w:spacing w:val="-12"/>
        </w:rPr>
        <w:t xml:space="preserve"> </w:t>
      </w:r>
      <w:r>
        <w:rPr>
          <w:color w:val="231F20"/>
        </w:rPr>
        <w:t>of</w:t>
      </w:r>
      <w:r>
        <w:rPr>
          <w:color w:val="231F20"/>
          <w:spacing w:val="-9"/>
        </w:rPr>
        <w:t xml:space="preserve"> </w:t>
      </w:r>
      <w:r>
        <w:rPr>
          <w:color w:val="231F20"/>
        </w:rPr>
        <w:t>networks</w:t>
      </w:r>
      <w:r>
        <w:rPr>
          <w:color w:val="231F20"/>
          <w:spacing w:val="-12"/>
        </w:rPr>
        <w:t xml:space="preserve"> </w:t>
      </w:r>
      <w:r>
        <w:rPr>
          <w:color w:val="231F20"/>
        </w:rPr>
        <w:t>of</w:t>
      </w:r>
      <w:r>
        <w:rPr>
          <w:color w:val="231F20"/>
          <w:spacing w:val="-4"/>
        </w:rPr>
        <w:t xml:space="preserve"> </w:t>
      </w:r>
      <w:r>
        <w:rPr>
          <w:color w:val="231F20"/>
        </w:rPr>
        <w:t>interacting</w:t>
      </w:r>
      <w:r>
        <w:rPr>
          <w:color w:val="231F20"/>
          <w:spacing w:val="-12"/>
        </w:rPr>
        <w:t xml:space="preserve"> </w:t>
      </w:r>
      <w:r>
        <w:rPr>
          <w:color w:val="231F20"/>
        </w:rPr>
        <w:t>and</w:t>
      </w:r>
      <w:r>
        <w:rPr>
          <w:color w:val="231F20"/>
          <w:spacing w:val="-12"/>
        </w:rPr>
        <w:t xml:space="preserve"> </w:t>
      </w:r>
      <w:r>
        <w:rPr>
          <w:color w:val="231F20"/>
        </w:rPr>
        <w:t>interdependent</w:t>
      </w:r>
      <w:r>
        <w:rPr>
          <w:color w:val="231F20"/>
          <w:spacing w:val="-11"/>
        </w:rPr>
        <w:t xml:space="preserve"> </w:t>
      </w:r>
      <w:r>
        <w:rPr>
          <w:color w:val="231F20"/>
        </w:rPr>
        <w:t xml:space="preserve">actors. </w:t>
      </w:r>
      <w:r>
        <w:rPr>
          <w:color w:val="231F20"/>
          <w:spacing w:val="-2"/>
        </w:rPr>
        <w:t>March</w:t>
      </w:r>
      <w:r>
        <w:rPr>
          <w:color w:val="231F20"/>
          <w:spacing w:val="-6"/>
        </w:rPr>
        <w:t xml:space="preserve"> </w:t>
      </w:r>
      <w:r>
        <w:rPr>
          <w:color w:val="231F20"/>
          <w:spacing w:val="-2"/>
        </w:rPr>
        <w:t>and</w:t>
      </w:r>
      <w:r>
        <w:rPr>
          <w:color w:val="231F20"/>
          <w:spacing w:val="-6"/>
        </w:rPr>
        <w:t xml:space="preserve"> </w:t>
      </w:r>
      <w:r>
        <w:rPr>
          <w:color w:val="231F20"/>
          <w:spacing w:val="-2"/>
        </w:rPr>
        <w:t>Wilkinson</w:t>
      </w:r>
      <w:r>
        <w:rPr>
          <w:color w:val="231F20"/>
          <w:spacing w:val="-6"/>
        </w:rPr>
        <w:t xml:space="preserve"> </w:t>
      </w:r>
      <w:r>
        <w:rPr>
          <w:color w:val="231F20"/>
          <w:spacing w:val="-2"/>
        </w:rPr>
        <w:t>(2009:</w:t>
      </w:r>
      <w:r>
        <w:rPr>
          <w:color w:val="231F20"/>
          <w:spacing w:val="-6"/>
        </w:rPr>
        <w:t xml:space="preserve"> </w:t>
      </w:r>
      <w:r>
        <w:rPr>
          <w:color w:val="231F20"/>
          <w:spacing w:val="-2"/>
        </w:rPr>
        <w:t>461)</w:t>
      </w:r>
      <w:r>
        <w:rPr>
          <w:color w:val="231F20"/>
          <w:spacing w:val="-6"/>
        </w:rPr>
        <w:t xml:space="preserve"> </w:t>
      </w:r>
      <w:r>
        <w:rPr>
          <w:color w:val="231F20"/>
          <w:spacing w:val="-2"/>
        </w:rPr>
        <w:t>describe</w:t>
      </w:r>
      <w:r>
        <w:rPr>
          <w:color w:val="231F20"/>
          <w:spacing w:val="-6"/>
        </w:rPr>
        <w:t xml:space="preserve"> </w:t>
      </w:r>
      <w:r>
        <w:rPr>
          <w:color w:val="231F20"/>
          <w:spacing w:val="-2"/>
        </w:rPr>
        <w:t>them</w:t>
      </w:r>
      <w:r>
        <w:rPr>
          <w:color w:val="231F20"/>
          <w:spacing w:val="-6"/>
        </w:rPr>
        <w:t xml:space="preserve"> </w:t>
      </w:r>
      <w:r>
        <w:rPr>
          <w:color w:val="231F20"/>
          <w:spacing w:val="-2"/>
        </w:rPr>
        <w:t>as</w:t>
      </w:r>
      <w:r>
        <w:rPr>
          <w:color w:val="231F20"/>
          <w:spacing w:val="-6"/>
        </w:rPr>
        <w:t xml:space="preserve"> </w:t>
      </w:r>
      <w:r>
        <w:rPr>
          <w:color w:val="231F20"/>
          <w:spacing w:val="-2"/>
        </w:rPr>
        <w:t>‘complex</w:t>
      </w:r>
      <w:r>
        <w:rPr>
          <w:color w:val="231F20"/>
          <w:spacing w:val="-6"/>
        </w:rPr>
        <w:t xml:space="preserve"> </w:t>
      </w:r>
      <w:r>
        <w:rPr>
          <w:color w:val="231F20"/>
          <w:spacing w:val="-2"/>
        </w:rPr>
        <w:t>and</w:t>
      </w:r>
      <w:r>
        <w:rPr>
          <w:color w:val="231F20"/>
          <w:spacing w:val="-6"/>
        </w:rPr>
        <w:t xml:space="preserve"> </w:t>
      </w:r>
      <w:r>
        <w:rPr>
          <w:color w:val="231F20"/>
          <w:spacing w:val="-2"/>
        </w:rPr>
        <w:t xml:space="preserve">mutable </w:t>
      </w:r>
      <w:r>
        <w:rPr>
          <w:color w:val="231F20"/>
        </w:rPr>
        <w:t>entities</w:t>
      </w:r>
      <w:r>
        <w:rPr>
          <w:color w:val="231F20"/>
          <w:spacing w:val="-1"/>
        </w:rPr>
        <w:t xml:space="preserve"> </w:t>
      </w:r>
      <w:r>
        <w:rPr>
          <w:color w:val="231F20"/>
        </w:rPr>
        <w:t>that</w:t>
      </w:r>
      <w:r>
        <w:rPr>
          <w:color w:val="231F20"/>
          <w:spacing w:val="-1"/>
        </w:rPr>
        <w:t xml:space="preserve"> </w:t>
      </w:r>
      <w:r>
        <w:rPr>
          <w:color w:val="231F20"/>
        </w:rPr>
        <w:t>develop</w:t>
      </w:r>
      <w:r>
        <w:rPr>
          <w:color w:val="231F20"/>
          <w:spacing w:val="-1"/>
        </w:rPr>
        <w:t xml:space="preserve"> </w:t>
      </w:r>
      <w:r>
        <w:rPr>
          <w:color w:val="231F20"/>
        </w:rPr>
        <w:t>and</w:t>
      </w:r>
      <w:r>
        <w:rPr>
          <w:color w:val="231F20"/>
          <w:spacing w:val="-1"/>
        </w:rPr>
        <w:t xml:space="preserve"> </w:t>
      </w:r>
      <w:r>
        <w:rPr>
          <w:color w:val="231F20"/>
        </w:rPr>
        <w:t>evolve</w:t>
      </w:r>
      <w:r>
        <w:rPr>
          <w:color w:val="231F20"/>
          <w:spacing w:val="-1"/>
        </w:rPr>
        <w:t xml:space="preserve"> </w:t>
      </w:r>
      <w:r>
        <w:rPr>
          <w:color w:val="231F20"/>
        </w:rPr>
        <w:t>over</w:t>
      </w:r>
      <w:r>
        <w:rPr>
          <w:color w:val="231F20"/>
          <w:spacing w:val="-1"/>
        </w:rPr>
        <w:t xml:space="preserve"> </w:t>
      </w:r>
      <w:r>
        <w:rPr>
          <w:color w:val="231F20"/>
        </w:rPr>
        <w:t>time</w:t>
      </w:r>
      <w:r>
        <w:rPr>
          <w:color w:val="231F20"/>
          <w:spacing w:val="-1"/>
        </w:rPr>
        <w:t xml:space="preserve"> </w:t>
      </w:r>
      <w:r>
        <w:rPr>
          <w:color w:val="231F20"/>
        </w:rPr>
        <w:t>in</w:t>
      </w:r>
      <w:r>
        <w:rPr>
          <w:color w:val="231F20"/>
          <w:spacing w:val="-1"/>
        </w:rPr>
        <w:t xml:space="preserve"> </w:t>
      </w:r>
      <w:r>
        <w:rPr>
          <w:color w:val="231F20"/>
        </w:rPr>
        <w:t>response</w:t>
      </w:r>
      <w:r>
        <w:rPr>
          <w:color w:val="231F20"/>
          <w:spacing w:val="-1"/>
        </w:rPr>
        <w:t xml:space="preserve"> </w:t>
      </w:r>
      <w:r>
        <w:rPr>
          <w:color w:val="231F20"/>
        </w:rPr>
        <w:t>to</w:t>
      </w:r>
      <w:r>
        <w:rPr>
          <w:color w:val="231F20"/>
          <w:spacing w:val="-1"/>
        </w:rPr>
        <w:t xml:space="preserve"> </w:t>
      </w:r>
      <w:r>
        <w:rPr>
          <w:color w:val="231F20"/>
        </w:rPr>
        <w:t>environmental and</w:t>
      </w:r>
      <w:r>
        <w:rPr>
          <w:color w:val="231F20"/>
          <w:spacing w:val="-12"/>
        </w:rPr>
        <w:t xml:space="preserve"> </w:t>
      </w:r>
      <w:r>
        <w:rPr>
          <w:color w:val="231F20"/>
        </w:rPr>
        <w:t>organisational</w:t>
      </w:r>
      <w:r>
        <w:rPr>
          <w:color w:val="231F20"/>
          <w:spacing w:val="-12"/>
        </w:rPr>
        <w:t xml:space="preserve"> </w:t>
      </w:r>
      <w:r>
        <w:rPr>
          <w:color w:val="231F20"/>
        </w:rPr>
        <w:t>developments</w:t>
      </w:r>
      <w:r>
        <w:rPr>
          <w:color w:val="231F20"/>
          <w:spacing w:val="-11"/>
        </w:rPr>
        <w:t xml:space="preserve"> </w:t>
      </w:r>
      <w:r>
        <w:rPr>
          <w:color w:val="231F20"/>
        </w:rPr>
        <w:t>and</w:t>
      </w:r>
      <w:r>
        <w:rPr>
          <w:color w:val="231F20"/>
          <w:spacing w:val="-12"/>
        </w:rPr>
        <w:t xml:space="preserve"> </w:t>
      </w:r>
      <w:r>
        <w:rPr>
          <w:color w:val="231F20"/>
        </w:rPr>
        <w:t>demands’.</w:t>
      </w:r>
      <w:r>
        <w:rPr>
          <w:color w:val="231F20"/>
          <w:spacing w:val="-11"/>
        </w:rPr>
        <w:t xml:space="preserve"> </w:t>
      </w:r>
      <w:r>
        <w:rPr>
          <w:color w:val="231F20"/>
        </w:rPr>
        <w:t>Pressures</w:t>
      </w:r>
      <w:r>
        <w:rPr>
          <w:color w:val="231F20"/>
          <w:spacing w:val="-12"/>
        </w:rPr>
        <w:t xml:space="preserve"> </w:t>
      </w:r>
      <w:r>
        <w:rPr>
          <w:color w:val="231F20"/>
        </w:rPr>
        <w:t>to</w:t>
      </w:r>
      <w:r>
        <w:rPr>
          <w:color w:val="231F20"/>
          <w:spacing w:val="-11"/>
        </w:rPr>
        <w:t xml:space="preserve"> </w:t>
      </w:r>
      <w:r>
        <w:rPr>
          <w:color w:val="231F20"/>
        </w:rPr>
        <w:t xml:space="preserve">collaborate </w:t>
      </w:r>
      <w:r>
        <w:rPr>
          <w:color w:val="231F20"/>
          <w:w w:val="95"/>
        </w:rPr>
        <w:t>include global trends such as: (1) the pursuit of</w:t>
      </w:r>
      <w:r>
        <w:rPr>
          <w:color w:val="231F20"/>
          <w:spacing w:val="19"/>
        </w:rPr>
        <w:t xml:space="preserve"> </w:t>
      </w:r>
      <w:r>
        <w:rPr>
          <w:color w:val="231F20"/>
          <w:w w:val="95"/>
        </w:rPr>
        <w:t>public sector effectiveness,</w:t>
      </w:r>
    </w:p>
    <w:p w14:paraId="1C64E165" w14:textId="77777777" w:rsidR="00AE0598" w:rsidRDefault="0069255A">
      <w:pPr>
        <w:pStyle w:val="Corpodetexto"/>
        <w:spacing w:before="7" w:line="232" w:lineRule="auto"/>
        <w:ind w:left="110" w:right="127"/>
        <w:jc w:val="both"/>
      </w:pPr>
      <w:r>
        <w:rPr>
          <w:color w:val="231F20"/>
        </w:rPr>
        <w:t>(2)</w:t>
      </w:r>
      <w:r>
        <w:rPr>
          <w:color w:val="231F20"/>
          <w:spacing w:val="-10"/>
        </w:rPr>
        <w:t xml:space="preserve"> </w:t>
      </w:r>
      <w:r>
        <w:rPr>
          <w:color w:val="231F20"/>
        </w:rPr>
        <w:t>public</w:t>
      </w:r>
      <w:r>
        <w:rPr>
          <w:color w:val="231F20"/>
          <w:spacing w:val="-10"/>
        </w:rPr>
        <w:t xml:space="preserve"> </w:t>
      </w:r>
      <w:r>
        <w:rPr>
          <w:color w:val="231F20"/>
        </w:rPr>
        <w:t>sector</w:t>
      </w:r>
      <w:r>
        <w:rPr>
          <w:color w:val="231F20"/>
          <w:spacing w:val="-10"/>
        </w:rPr>
        <w:t xml:space="preserve"> </w:t>
      </w:r>
      <w:r>
        <w:rPr>
          <w:color w:val="231F20"/>
        </w:rPr>
        <w:t>budget</w:t>
      </w:r>
      <w:r>
        <w:rPr>
          <w:color w:val="231F20"/>
          <w:spacing w:val="-10"/>
        </w:rPr>
        <w:t xml:space="preserve"> </w:t>
      </w:r>
      <w:r>
        <w:rPr>
          <w:color w:val="231F20"/>
        </w:rPr>
        <w:t>cuts</w:t>
      </w:r>
      <w:r>
        <w:rPr>
          <w:color w:val="231F20"/>
          <w:spacing w:val="-10"/>
        </w:rPr>
        <w:t xml:space="preserve"> </w:t>
      </w:r>
      <w:r>
        <w:rPr>
          <w:color w:val="231F20"/>
        </w:rPr>
        <w:t>and</w:t>
      </w:r>
      <w:r>
        <w:rPr>
          <w:color w:val="231F20"/>
          <w:spacing w:val="-10"/>
        </w:rPr>
        <w:t xml:space="preserve"> </w:t>
      </w:r>
      <w:r>
        <w:rPr>
          <w:color w:val="231F20"/>
        </w:rPr>
        <w:t>restructuring,</w:t>
      </w:r>
      <w:r>
        <w:rPr>
          <w:color w:val="231F20"/>
          <w:spacing w:val="-10"/>
        </w:rPr>
        <w:t xml:space="preserve"> </w:t>
      </w:r>
      <w:r>
        <w:rPr>
          <w:color w:val="231F20"/>
        </w:rPr>
        <w:t>(3)</w:t>
      </w:r>
      <w:r>
        <w:rPr>
          <w:color w:val="231F20"/>
          <w:spacing w:val="-10"/>
        </w:rPr>
        <w:t xml:space="preserve"> </w:t>
      </w:r>
      <w:r>
        <w:rPr>
          <w:color w:val="231F20"/>
        </w:rPr>
        <w:t>fragmentation</w:t>
      </w:r>
      <w:r>
        <w:rPr>
          <w:color w:val="231F20"/>
          <w:spacing w:val="-10"/>
        </w:rPr>
        <w:t xml:space="preserve"> </w:t>
      </w:r>
      <w:r>
        <w:rPr>
          <w:color w:val="231F20"/>
        </w:rPr>
        <w:t>within the sport and tourism sectors, (4) pursuit of best practices and industry trends and (5) institutionalisation within the sport and tourism sectors (Zapata Campos, 2014). The tourism sector is full of variations of these partnerships</w:t>
      </w:r>
      <w:r>
        <w:rPr>
          <w:color w:val="231F20"/>
          <w:spacing w:val="-12"/>
        </w:rPr>
        <w:t xml:space="preserve"> </w:t>
      </w:r>
      <w:r>
        <w:rPr>
          <w:color w:val="231F20"/>
        </w:rPr>
        <w:t>including</w:t>
      </w:r>
      <w:r>
        <w:rPr>
          <w:color w:val="231F20"/>
          <w:spacing w:val="-12"/>
        </w:rPr>
        <w:t xml:space="preserve"> </w:t>
      </w:r>
      <w:r>
        <w:rPr>
          <w:color w:val="231F20"/>
        </w:rPr>
        <w:t>touris</w:t>
      </w:r>
      <w:r>
        <w:rPr>
          <w:color w:val="231F20"/>
        </w:rPr>
        <w:t>t</w:t>
      </w:r>
      <w:r>
        <w:rPr>
          <w:color w:val="231F20"/>
          <w:spacing w:val="-11"/>
        </w:rPr>
        <w:t xml:space="preserve"> </w:t>
      </w:r>
      <w:r>
        <w:rPr>
          <w:color w:val="231F20"/>
        </w:rPr>
        <w:t>boards,</w:t>
      </w:r>
      <w:r>
        <w:rPr>
          <w:color w:val="231F20"/>
          <w:spacing w:val="-12"/>
        </w:rPr>
        <w:t xml:space="preserve"> </w:t>
      </w:r>
      <w:r>
        <w:rPr>
          <w:color w:val="231F20"/>
        </w:rPr>
        <w:t>industry</w:t>
      </w:r>
      <w:r>
        <w:rPr>
          <w:color w:val="231F20"/>
          <w:spacing w:val="-11"/>
        </w:rPr>
        <w:t xml:space="preserve"> </w:t>
      </w:r>
      <w:r>
        <w:rPr>
          <w:color w:val="231F20"/>
        </w:rPr>
        <w:t>associations,</w:t>
      </w:r>
      <w:r>
        <w:rPr>
          <w:color w:val="231F20"/>
          <w:spacing w:val="-12"/>
        </w:rPr>
        <w:t xml:space="preserve"> </w:t>
      </w:r>
      <w:r>
        <w:rPr>
          <w:color w:val="231F20"/>
        </w:rPr>
        <w:t>chambers</w:t>
      </w:r>
      <w:r>
        <w:rPr>
          <w:color w:val="231F20"/>
          <w:spacing w:val="-11"/>
        </w:rPr>
        <w:t xml:space="preserve"> </w:t>
      </w:r>
      <w:r>
        <w:rPr>
          <w:color w:val="231F20"/>
        </w:rPr>
        <w:t xml:space="preserve">of </w:t>
      </w:r>
      <w:r>
        <w:rPr>
          <w:color w:val="231F20"/>
          <w:w w:val="95"/>
        </w:rPr>
        <w:t xml:space="preserve">commerce, convention bureaux and strategic alliances, while sport features a more hierarchical public sector framework. Sport tourism alliances such </w:t>
      </w:r>
      <w:r>
        <w:rPr>
          <w:color w:val="231F20"/>
        </w:rPr>
        <w:t>as</w:t>
      </w:r>
      <w:r>
        <w:rPr>
          <w:color w:val="231F20"/>
          <w:spacing w:val="-1"/>
        </w:rPr>
        <w:t xml:space="preserve"> </w:t>
      </w:r>
      <w:r>
        <w:rPr>
          <w:color w:val="231F20"/>
        </w:rPr>
        <w:t>those</w:t>
      </w:r>
      <w:r>
        <w:rPr>
          <w:color w:val="231F20"/>
          <w:spacing w:val="-1"/>
        </w:rPr>
        <w:t xml:space="preserve"> </w:t>
      </w:r>
      <w:r>
        <w:rPr>
          <w:color w:val="231F20"/>
        </w:rPr>
        <w:t>found</w:t>
      </w:r>
      <w:r>
        <w:rPr>
          <w:color w:val="231F20"/>
          <w:spacing w:val="-1"/>
        </w:rPr>
        <w:t xml:space="preserve"> </w:t>
      </w:r>
      <w:r>
        <w:rPr>
          <w:color w:val="231F20"/>
        </w:rPr>
        <w:t>in</w:t>
      </w:r>
      <w:r>
        <w:rPr>
          <w:color w:val="231F20"/>
          <w:spacing w:val="-1"/>
        </w:rPr>
        <w:t xml:space="preserve"> </w:t>
      </w:r>
      <w:r>
        <w:rPr>
          <w:color w:val="231F20"/>
        </w:rPr>
        <w:t>Canada</w:t>
      </w:r>
      <w:r>
        <w:rPr>
          <w:color w:val="231F20"/>
          <w:spacing w:val="-1"/>
        </w:rPr>
        <w:t xml:space="preserve"> </w:t>
      </w:r>
      <w:r>
        <w:rPr>
          <w:color w:val="231F20"/>
        </w:rPr>
        <w:t>and</w:t>
      </w:r>
      <w:r>
        <w:rPr>
          <w:color w:val="231F20"/>
          <w:spacing w:val="-1"/>
        </w:rPr>
        <w:t xml:space="preserve"> </w:t>
      </w:r>
      <w:r>
        <w:rPr>
          <w:color w:val="231F20"/>
        </w:rPr>
        <w:t>in</w:t>
      </w:r>
      <w:r>
        <w:rPr>
          <w:color w:val="231F20"/>
          <w:spacing w:val="-1"/>
        </w:rPr>
        <w:t xml:space="preserve"> </w:t>
      </w:r>
      <w:r>
        <w:rPr>
          <w:color w:val="231F20"/>
        </w:rPr>
        <w:t>Japan</w:t>
      </w:r>
      <w:r>
        <w:rPr>
          <w:color w:val="231F20"/>
          <w:spacing w:val="-1"/>
        </w:rPr>
        <w:t xml:space="preserve"> </w:t>
      </w:r>
      <w:r>
        <w:rPr>
          <w:color w:val="231F20"/>
        </w:rPr>
        <w:t>(Focus</w:t>
      </w:r>
      <w:r>
        <w:rPr>
          <w:color w:val="231F20"/>
          <w:spacing w:val="-1"/>
        </w:rPr>
        <w:t xml:space="preserve"> </w:t>
      </w:r>
      <w:r>
        <w:rPr>
          <w:color w:val="231F20"/>
        </w:rPr>
        <w:t>Point</w:t>
      </w:r>
      <w:r>
        <w:rPr>
          <w:color w:val="231F20"/>
          <w:spacing w:val="-1"/>
        </w:rPr>
        <w:t xml:space="preserve"> </w:t>
      </w:r>
      <w:r>
        <w:rPr>
          <w:color w:val="231F20"/>
        </w:rPr>
        <w:t>4.2)</w:t>
      </w:r>
      <w:r>
        <w:rPr>
          <w:color w:val="231F20"/>
          <w:spacing w:val="-1"/>
        </w:rPr>
        <w:t xml:space="preserve"> </w:t>
      </w:r>
      <w:r>
        <w:rPr>
          <w:color w:val="231F20"/>
        </w:rPr>
        <w:t>are</w:t>
      </w:r>
      <w:r>
        <w:rPr>
          <w:color w:val="231F20"/>
          <w:spacing w:val="-1"/>
        </w:rPr>
        <w:t xml:space="preserve"> </w:t>
      </w:r>
      <w:r>
        <w:rPr>
          <w:color w:val="231F20"/>
        </w:rPr>
        <w:t>in</w:t>
      </w:r>
      <w:r>
        <w:rPr>
          <w:color w:val="231F20"/>
        </w:rPr>
        <w:t xml:space="preserve">creasingly </w:t>
      </w:r>
      <w:r>
        <w:rPr>
          <w:color w:val="231F20"/>
          <w:w w:val="95"/>
        </w:rPr>
        <w:t>being introduced as a way to capture the synergies related to sport events.</w:t>
      </w:r>
    </w:p>
    <w:p w14:paraId="6527A573" w14:textId="77777777" w:rsidR="00AE0598" w:rsidRDefault="00AE0598">
      <w:pPr>
        <w:pStyle w:val="Corpodetexto"/>
        <w:rPr>
          <w:sz w:val="20"/>
        </w:rPr>
      </w:pPr>
    </w:p>
    <w:p w14:paraId="3D030ABD" w14:textId="244AA71B" w:rsidR="00AE0598" w:rsidRDefault="0069255A">
      <w:pPr>
        <w:pStyle w:val="Corpodetexto"/>
        <w:spacing w:before="4"/>
      </w:pPr>
      <w:r>
        <w:rPr>
          <w:noProof/>
        </w:rPr>
        <mc:AlternateContent>
          <mc:Choice Requires="wps">
            <w:drawing>
              <wp:anchor distT="0" distB="0" distL="0" distR="0" simplePos="0" relativeHeight="487632896" behindDoc="1" locked="0" layoutInCell="1" allowOverlap="1" wp14:anchorId="223CB31C" wp14:editId="3F2908FD">
                <wp:simplePos x="0" y="0"/>
                <wp:positionH relativeFrom="page">
                  <wp:posOffset>755650</wp:posOffset>
                </wp:positionH>
                <wp:positionV relativeFrom="paragraph">
                  <wp:posOffset>173990</wp:posOffset>
                </wp:positionV>
                <wp:extent cx="4104005" cy="1143000"/>
                <wp:effectExtent l="0" t="0" r="0" b="0"/>
                <wp:wrapTopAndBottom/>
                <wp:docPr id="230" name="docshape1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04005" cy="1143000"/>
                        </a:xfrm>
                        <a:prstGeom prst="rect">
                          <a:avLst/>
                        </a:prstGeom>
                        <a:solidFill>
                          <a:srgbClr val="DCDDD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3B46B95" w14:textId="77777777" w:rsidR="00AE0598" w:rsidRDefault="0069255A">
                            <w:pPr>
                              <w:spacing w:before="82"/>
                              <w:ind w:left="119"/>
                              <w:jc w:val="both"/>
                              <w:rPr>
                                <w:rFonts w:ascii="Trebuchet MS"/>
                                <w:color w:val="000000"/>
                                <w:sz w:val="20"/>
                              </w:rPr>
                            </w:pPr>
                            <w:r>
                              <w:rPr>
                                <w:rFonts w:ascii="Trebuchet MS"/>
                                <w:color w:val="231F20"/>
                                <w:sz w:val="20"/>
                              </w:rPr>
                              <w:t>Focus</w:t>
                            </w:r>
                            <w:r>
                              <w:rPr>
                                <w:rFonts w:ascii="Trebuchet MS"/>
                                <w:color w:val="231F20"/>
                                <w:spacing w:val="13"/>
                                <w:sz w:val="20"/>
                              </w:rPr>
                              <w:t xml:space="preserve"> </w:t>
                            </w:r>
                            <w:r>
                              <w:rPr>
                                <w:rFonts w:ascii="Trebuchet MS"/>
                                <w:color w:val="231F20"/>
                                <w:sz w:val="20"/>
                              </w:rPr>
                              <w:t>Point</w:t>
                            </w:r>
                            <w:r>
                              <w:rPr>
                                <w:rFonts w:ascii="Trebuchet MS"/>
                                <w:color w:val="231F20"/>
                                <w:spacing w:val="14"/>
                                <w:sz w:val="20"/>
                              </w:rPr>
                              <w:t xml:space="preserve"> </w:t>
                            </w:r>
                            <w:r>
                              <w:rPr>
                                <w:rFonts w:ascii="Trebuchet MS"/>
                                <w:color w:val="231F20"/>
                                <w:sz w:val="20"/>
                              </w:rPr>
                              <w:t>4.2:</w:t>
                            </w:r>
                            <w:r>
                              <w:rPr>
                                <w:rFonts w:ascii="Trebuchet MS"/>
                                <w:color w:val="231F20"/>
                                <w:spacing w:val="14"/>
                                <w:sz w:val="20"/>
                              </w:rPr>
                              <w:t xml:space="preserve"> </w:t>
                            </w:r>
                            <w:r>
                              <w:rPr>
                                <w:rFonts w:ascii="Trebuchet MS"/>
                                <w:color w:val="231F20"/>
                                <w:sz w:val="20"/>
                              </w:rPr>
                              <w:t>Sport</w:t>
                            </w:r>
                            <w:r>
                              <w:rPr>
                                <w:rFonts w:ascii="Trebuchet MS"/>
                                <w:color w:val="231F20"/>
                                <w:spacing w:val="14"/>
                                <w:sz w:val="20"/>
                              </w:rPr>
                              <w:t xml:space="preserve"> </w:t>
                            </w:r>
                            <w:r>
                              <w:rPr>
                                <w:rFonts w:ascii="Trebuchet MS"/>
                                <w:color w:val="231F20"/>
                                <w:sz w:val="20"/>
                              </w:rPr>
                              <w:t>Tourism</w:t>
                            </w:r>
                            <w:r>
                              <w:rPr>
                                <w:rFonts w:ascii="Trebuchet MS"/>
                                <w:color w:val="231F20"/>
                                <w:spacing w:val="13"/>
                                <w:sz w:val="20"/>
                              </w:rPr>
                              <w:t xml:space="preserve"> </w:t>
                            </w:r>
                            <w:r>
                              <w:rPr>
                                <w:rFonts w:ascii="Trebuchet MS"/>
                                <w:color w:val="231F20"/>
                                <w:sz w:val="20"/>
                              </w:rPr>
                              <w:t>Alliances</w:t>
                            </w:r>
                            <w:r>
                              <w:rPr>
                                <w:rFonts w:ascii="Trebuchet MS"/>
                                <w:color w:val="231F20"/>
                                <w:spacing w:val="14"/>
                                <w:sz w:val="20"/>
                              </w:rPr>
                              <w:t xml:space="preserve"> </w:t>
                            </w:r>
                            <w:r>
                              <w:rPr>
                                <w:rFonts w:ascii="Trebuchet MS"/>
                                <w:color w:val="231F20"/>
                                <w:sz w:val="20"/>
                              </w:rPr>
                              <w:t>in</w:t>
                            </w:r>
                            <w:r>
                              <w:rPr>
                                <w:rFonts w:ascii="Trebuchet MS"/>
                                <w:color w:val="231F20"/>
                                <w:spacing w:val="14"/>
                                <w:sz w:val="20"/>
                              </w:rPr>
                              <w:t xml:space="preserve"> </w:t>
                            </w:r>
                            <w:r>
                              <w:rPr>
                                <w:rFonts w:ascii="Trebuchet MS"/>
                                <w:color w:val="231F20"/>
                                <w:sz w:val="20"/>
                              </w:rPr>
                              <w:t>Canada</w:t>
                            </w:r>
                            <w:r>
                              <w:rPr>
                                <w:rFonts w:ascii="Trebuchet MS"/>
                                <w:color w:val="231F20"/>
                                <w:spacing w:val="14"/>
                                <w:sz w:val="20"/>
                              </w:rPr>
                              <w:t xml:space="preserve"> </w:t>
                            </w:r>
                            <w:r>
                              <w:rPr>
                                <w:rFonts w:ascii="Trebuchet MS"/>
                                <w:color w:val="231F20"/>
                                <w:sz w:val="20"/>
                              </w:rPr>
                              <w:t>and</w:t>
                            </w:r>
                            <w:r>
                              <w:rPr>
                                <w:rFonts w:ascii="Trebuchet MS"/>
                                <w:color w:val="231F20"/>
                                <w:spacing w:val="13"/>
                                <w:sz w:val="20"/>
                              </w:rPr>
                              <w:t xml:space="preserve"> </w:t>
                            </w:r>
                            <w:r>
                              <w:rPr>
                                <w:rFonts w:ascii="Trebuchet MS"/>
                                <w:color w:val="231F20"/>
                                <w:spacing w:val="-2"/>
                                <w:sz w:val="20"/>
                              </w:rPr>
                              <w:t>Japan</w:t>
                            </w:r>
                          </w:p>
                          <w:p w14:paraId="7B900BEA" w14:textId="77777777" w:rsidR="00AE0598" w:rsidRDefault="0069255A">
                            <w:pPr>
                              <w:pStyle w:val="Corpodetexto"/>
                              <w:spacing w:before="122" w:line="232" w:lineRule="auto"/>
                              <w:ind w:left="119" w:right="118"/>
                              <w:jc w:val="both"/>
                              <w:rPr>
                                <w:color w:val="000000"/>
                              </w:rPr>
                            </w:pPr>
                            <w:r>
                              <w:rPr>
                                <w:color w:val="231F20"/>
                              </w:rPr>
                              <w:t>Initiated in 2000, the Canadian Sport Tourism Alliance (CSTA, 2000) has</w:t>
                            </w:r>
                            <w:r>
                              <w:rPr>
                                <w:color w:val="231F20"/>
                                <w:spacing w:val="-11"/>
                              </w:rPr>
                              <w:t xml:space="preserve"> </w:t>
                            </w:r>
                            <w:r>
                              <w:rPr>
                                <w:color w:val="231F20"/>
                              </w:rPr>
                              <w:t>grown</w:t>
                            </w:r>
                            <w:r>
                              <w:rPr>
                                <w:color w:val="231F20"/>
                                <w:spacing w:val="-11"/>
                              </w:rPr>
                              <w:t xml:space="preserve"> </w:t>
                            </w:r>
                            <w:r>
                              <w:rPr>
                                <w:color w:val="231F20"/>
                              </w:rPr>
                              <w:t>from</w:t>
                            </w:r>
                            <w:r>
                              <w:rPr>
                                <w:color w:val="231F20"/>
                                <w:spacing w:val="-11"/>
                              </w:rPr>
                              <w:t xml:space="preserve"> </w:t>
                            </w:r>
                            <w:r>
                              <w:rPr>
                                <w:color w:val="231F20"/>
                              </w:rPr>
                              <w:t>18</w:t>
                            </w:r>
                            <w:r>
                              <w:rPr>
                                <w:color w:val="231F20"/>
                                <w:spacing w:val="-11"/>
                              </w:rPr>
                              <w:t xml:space="preserve"> </w:t>
                            </w:r>
                            <w:r>
                              <w:rPr>
                                <w:color w:val="231F20"/>
                              </w:rPr>
                              <w:t>founding</w:t>
                            </w:r>
                            <w:r>
                              <w:rPr>
                                <w:color w:val="231F20"/>
                                <w:spacing w:val="-11"/>
                              </w:rPr>
                              <w:t xml:space="preserve"> </w:t>
                            </w:r>
                            <w:r>
                              <w:rPr>
                                <w:color w:val="231F20"/>
                              </w:rPr>
                              <w:t>members</w:t>
                            </w:r>
                            <w:r>
                              <w:rPr>
                                <w:color w:val="231F20"/>
                                <w:spacing w:val="-11"/>
                              </w:rPr>
                              <w:t xml:space="preserve"> </w:t>
                            </w:r>
                            <w:r>
                              <w:rPr>
                                <w:color w:val="231F20"/>
                              </w:rPr>
                              <w:t>to</w:t>
                            </w:r>
                            <w:r>
                              <w:rPr>
                                <w:color w:val="231F20"/>
                                <w:spacing w:val="-11"/>
                              </w:rPr>
                              <w:t xml:space="preserve"> </w:t>
                            </w:r>
                            <w:r>
                              <w:rPr>
                                <w:color w:val="231F20"/>
                              </w:rPr>
                              <w:t>over</w:t>
                            </w:r>
                            <w:r>
                              <w:rPr>
                                <w:color w:val="231F20"/>
                                <w:spacing w:val="-11"/>
                              </w:rPr>
                              <w:t xml:space="preserve"> </w:t>
                            </w:r>
                            <w:r>
                              <w:rPr>
                                <w:color w:val="231F20"/>
                              </w:rPr>
                              <w:t>500</w:t>
                            </w:r>
                            <w:r>
                              <w:rPr>
                                <w:color w:val="231F20"/>
                                <w:spacing w:val="-11"/>
                              </w:rPr>
                              <w:t xml:space="preserve"> </w:t>
                            </w:r>
                            <w:r>
                              <w:rPr>
                                <w:color w:val="231F20"/>
                              </w:rPr>
                              <w:t>members</w:t>
                            </w:r>
                            <w:r>
                              <w:rPr>
                                <w:color w:val="231F20"/>
                                <w:spacing w:val="-11"/>
                              </w:rPr>
                              <w:t xml:space="preserve"> </w:t>
                            </w:r>
                            <w:r>
                              <w:rPr>
                                <w:color w:val="231F20"/>
                              </w:rPr>
                              <w:t xml:space="preserve">including </w:t>
                            </w:r>
                            <w:r>
                              <w:rPr>
                                <w:color w:val="231F20"/>
                                <w:w w:val="95"/>
                              </w:rPr>
                              <w:t xml:space="preserve">200+ municipalities, 250+ national and provincial sport organisations, </w:t>
                            </w:r>
                            <w:r>
                              <w:rPr>
                                <w:color w:val="231F20"/>
                              </w:rPr>
                              <w:t>20+</w:t>
                            </w:r>
                            <w:r>
                              <w:rPr>
                                <w:color w:val="231F20"/>
                                <w:spacing w:val="48"/>
                              </w:rPr>
                              <w:t xml:space="preserve"> </w:t>
                            </w:r>
                            <w:r>
                              <w:rPr>
                                <w:color w:val="231F20"/>
                              </w:rPr>
                              <w:t>educational</w:t>
                            </w:r>
                            <w:r>
                              <w:rPr>
                                <w:color w:val="231F20"/>
                                <w:spacing w:val="48"/>
                              </w:rPr>
                              <w:t xml:space="preserve"> </w:t>
                            </w:r>
                            <w:r>
                              <w:rPr>
                                <w:color w:val="231F20"/>
                              </w:rPr>
                              <w:t>institutions</w:t>
                            </w:r>
                            <w:r>
                              <w:rPr>
                                <w:color w:val="231F20"/>
                                <w:spacing w:val="49"/>
                              </w:rPr>
                              <w:t xml:space="preserve"> </w:t>
                            </w:r>
                            <w:r>
                              <w:rPr>
                                <w:color w:val="231F20"/>
                              </w:rPr>
                              <w:t>and</w:t>
                            </w:r>
                            <w:r>
                              <w:rPr>
                                <w:color w:val="231F20"/>
                                <w:spacing w:val="48"/>
                              </w:rPr>
                              <w:t xml:space="preserve"> </w:t>
                            </w:r>
                            <w:r>
                              <w:rPr>
                                <w:color w:val="231F20"/>
                              </w:rPr>
                              <w:t>a</w:t>
                            </w:r>
                            <w:r>
                              <w:rPr>
                                <w:color w:val="231F20"/>
                                <w:spacing w:val="49"/>
                              </w:rPr>
                              <w:t xml:space="preserve"> </w:t>
                            </w:r>
                            <w:r>
                              <w:rPr>
                                <w:color w:val="231F20"/>
                              </w:rPr>
                              <w:t>variety</w:t>
                            </w:r>
                            <w:r>
                              <w:rPr>
                                <w:color w:val="231F20"/>
                                <w:spacing w:val="48"/>
                              </w:rPr>
                              <w:t xml:space="preserve"> </w:t>
                            </w:r>
                            <w:r>
                              <w:rPr>
                                <w:color w:val="231F20"/>
                              </w:rPr>
                              <w:t>of</w:t>
                            </w:r>
                            <w:r>
                              <w:rPr>
                                <w:color w:val="231F20"/>
                                <w:spacing w:val="49"/>
                              </w:rPr>
                              <w:t xml:space="preserve"> </w:t>
                            </w:r>
                            <w:r>
                              <w:rPr>
                                <w:color w:val="231F20"/>
                              </w:rPr>
                              <w:t>produc</w:t>
                            </w:r>
                            <w:r>
                              <w:rPr>
                                <w:color w:val="231F20"/>
                              </w:rPr>
                              <w:t>t</w:t>
                            </w:r>
                            <w:r>
                              <w:rPr>
                                <w:color w:val="231F20"/>
                                <w:spacing w:val="48"/>
                              </w:rPr>
                              <w:t xml:space="preserve"> </w:t>
                            </w:r>
                            <w:r>
                              <w:rPr>
                                <w:color w:val="231F20"/>
                              </w:rPr>
                              <w:t>and</w:t>
                            </w:r>
                            <w:r>
                              <w:rPr>
                                <w:color w:val="231F20"/>
                                <w:spacing w:val="48"/>
                              </w:rPr>
                              <w:t xml:space="preserve"> </w:t>
                            </w:r>
                            <w:r>
                              <w:rPr>
                                <w:color w:val="231F20"/>
                                <w:spacing w:val="-2"/>
                              </w:rPr>
                              <w:t>service</w:t>
                            </w:r>
                          </w:p>
                          <w:p w14:paraId="60261993" w14:textId="77777777" w:rsidR="00AE0598" w:rsidRDefault="0069255A">
                            <w:pPr>
                              <w:spacing w:before="63"/>
                              <w:ind w:right="119"/>
                              <w:jc w:val="right"/>
                              <w:rPr>
                                <w:rFonts w:ascii="Trebuchet MS"/>
                                <w:i/>
                                <w:color w:val="000000"/>
                                <w:sz w:val="18"/>
                              </w:rPr>
                            </w:pPr>
                            <w:r>
                              <w:rPr>
                                <w:rFonts w:ascii="Trebuchet MS"/>
                                <w:i/>
                                <w:color w:val="231F20"/>
                                <w:spacing w:val="-2"/>
                                <w:sz w:val="18"/>
                              </w:rPr>
                              <w:t>(Continued)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3CB31C" id="docshape144" o:spid="_x0000_s1082" type="#_x0000_t202" style="position:absolute;margin-left:59.5pt;margin-top:13.7pt;width:323.15pt;height:90pt;z-index:-156835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" fillcolor="#dcddde" stroked="f">
                <v:textbox inset="0,0,0,0">
                  <w:txbxContent>
                    <w:p w14:paraId="43B46B95" w14:textId="77777777" w:rsidR="00AE0598" w:rsidRDefault="0069255A">
                      <w:pPr>
                        <w:spacing w:before="82"/>
                        <w:ind w:left="119"/>
                        <w:jc w:val="both"/>
                        <w:rPr>
                          <w:rFonts w:ascii="Trebuchet MS"/>
                          <w:color w:val="000000"/>
                          <w:sz w:val="20"/>
                        </w:rPr>
                      </w:pPr>
                      <w:r>
                        <w:rPr>
                          <w:rFonts w:ascii="Trebuchet MS"/>
                          <w:color w:val="231F20"/>
                          <w:sz w:val="20"/>
                        </w:rPr>
                        <w:t>Focus</w:t>
                      </w:r>
                      <w:r>
                        <w:rPr>
                          <w:rFonts w:ascii="Trebuchet MS"/>
                          <w:color w:val="231F20"/>
                          <w:spacing w:val="13"/>
                          <w:sz w:val="20"/>
                        </w:rPr>
                        <w:t xml:space="preserve"> </w:t>
                      </w:r>
                      <w:r>
                        <w:rPr>
                          <w:rFonts w:ascii="Trebuchet MS"/>
                          <w:color w:val="231F20"/>
                          <w:sz w:val="20"/>
                        </w:rPr>
                        <w:t>Point</w:t>
                      </w:r>
                      <w:r>
                        <w:rPr>
                          <w:rFonts w:ascii="Trebuchet MS"/>
                          <w:color w:val="231F20"/>
                          <w:spacing w:val="14"/>
                          <w:sz w:val="20"/>
                        </w:rPr>
                        <w:t xml:space="preserve"> </w:t>
                      </w:r>
                      <w:r>
                        <w:rPr>
                          <w:rFonts w:ascii="Trebuchet MS"/>
                          <w:color w:val="231F20"/>
                          <w:sz w:val="20"/>
                        </w:rPr>
                        <w:t>4.2:</w:t>
                      </w:r>
                      <w:r>
                        <w:rPr>
                          <w:rFonts w:ascii="Trebuchet MS"/>
                          <w:color w:val="231F20"/>
                          <w:spacing w:val="14"/>
                          <w:sz w:val="20"/>
                        </w:rPr>
                        <w:t xml:space="preserve"> </w:t>
                      </w:r>
                      <w:r>
                        <w:rPr>
                          <w:rFonts w:ascii="Trebuchet MS"/>
                          <w:color w:val="231F20"/>
                          <w:sz w:val="20"/>
                        </w:rPr>
                        <w:t>Sport</w:t>
                      </w:r>
                      <w:r>
                        <w:rPr>
                          <w:rFonts w:ascii="Trebuchet MS"/>
                          <w:color w:val="231F20"/>
                          <w:spacing w:val="14"/>
                          <w:sz w:val="20"/>
                        </w:rPr>
                        <w:t xml:space="preserve"> </w:t>
                      </w:r>
                      <w:r>
                        <w:rPr>
                          <w:rFonts w:ascii="Trebuchet MS"/>
                          <w:color w:val="231F20"/>
                          <w:sz w:val="20"/>
                        </w:rPr>
                        <w:t>Tourism</w:t>
                      </w:r>
                      <w:r>
                        <w:rPr>
                          <w:rFonts w:ascii="Trebuchet MS"/>
                          <w:color w:val="231F20"/>
                          <w:spacing w:val="13"/>
                          <w:sz w:val="20"/>
                        </w:rPr>
                        <w:t xml:space="preserve"> </w:t>
                      </w:r>
                      <w:r>
                        <w:rPr>
                          <w:rFonts w:ascii="Trebuchet MS"/>
                          <w:color w:val="231F20"/>
                          <w:sz w:val="20"/>
                        </w:rPr>
                        <w:t>Alliances</w:t>
                      </w:r>
                      <w:r>
                        <w:rPr>
                          <w:rFonts w:ascii="Trebuchet MS"/>
                          <w:color w:val="231F20"/>
                          <w:spacing w:val="14"/>
                          <w:sz w:val="20"/>
                        </w:rPr>
                        <w:t xml:space="preserve"> </w:t>
                      </w:r>
                      <w:r>
                        <w:rPr>
                          <w:rFonts w:ascii="Trebuchet MS"/>
                          <w:color w:val="231F20"/>
                          <w:sz w:val="20"/>
                        </w:rPr>
                        <w:t>in</w:t>
                      </w:r>
                      <w:r>
                        <w:rPr>
                          <w:rFonts w:ascii="Trebuchet MS"/>
                          <w:color w:val="231F20"/>
                          <w:spacing w:val="14"/>
                          <w:sz w:val="20"/>
                        </w:rPr>
                        <w:t xml:space="preserve"> </w:t>
                      </w:r>
                      <w:r>
                        <w:rPr>
                          <w:rFonts w:ascii="Trebuchet MS"/>
                          <w:color w:val="231F20"/>
                          <w:sz w:val="20"/>
                        </w:rPr>
                        <w:t>Canada</w:t>
                      </w:r>
                      <w:r>
                        <w:rPr>
                          <w:rFonts w:ascii="Trebuchet MS"/>
                          <w:color w:val="231F20"/>
                          <w:spacing w:val="14"/>
                          <w:sz w:val="20"/>
                        </w:rPr>
                        <w:t xml:space="preserve"> </w:t>
                      </w:r>
                      <w:r>
                        <w:rPr>
                          <w:rFonts w:ascii="Trebuchet MS"/>
                          <w:color w:val="231F20"/>
                          <w:sz w:val="20"/>
                        </w:rPr>
                        <w:t>and</w:t>
                      </w:r>
                      <w:r>
                        <w:rPr>
                          <w:rFonts w:ascii="Trebuchet MS"/>
                          <w:color w:val="231F20"/>
                          <w:spacing w:val="13"/>
                          <w:sz w:val="20"/>
                        </w:rPr>
                        <w:t xml:space="preserve"> </w:t>
                      </w:r>
                      <w:r>
                        <w:rPr>
                          <w:rFonts w:ascii="Trebuchet MS"/>
                          <w:color w:val="231F20"/>
                          <w:spacing w:val="-2"/>
                          <w:sz w:val="20"/>
                        </w:rPr>
                        <w:t>Japan</w:t>
                      </w:r>
                    </w:p>
                    <w:p w14:paraId="7B900BEA" w14:textId="77777777" w:rsidR="00AE0598" w:rsidRDefault="0069255A">
                      <w:pPr>
                        <w:pStyle w:val="Corpodetexto"/>
                        <w:spacing w:before="122" w:line="232" w:lineRule="auto"/>
                        <w:ind w:left="119" w:right="118"/>
                        <w:jc w:val="both"/>
                        <w:rPr>
                          <w:color w:val="000000"/>
                        </w:rPr>
                      </w:pPr>
                      <w:r>
                        <w:rPr>
                          <w:color w:val="231F20"/>
                        </w:rPr>
                        <w:t>Initiated in 2000, the Canadian Sport Tourism Alliance (CSTA, 2000) has</w:t>
                      </w:r>
                      <w:r>
                        <w:rPr>
                          <w:color w:val="231F20"/>
                          <w:spacing w:val="-11"/>
                        </w:rPr>
                        <w:t xml:space="preserve"> </w:t>
                      </w:r>
                      <w:r>
                        <w:rPr>
                          <w:color w:val="231F20"/>
                        </w:rPr>
                        <w:t>grown</w:t>
                      </w:r>
                      <w:r>
                        <w:rPr>
                          <w:color w:val="231F20"/>
                          <w:spacing w:val="-11"/>
                        </w:rPr>
                        <w:t xml:space="preserve"> </w:t>
                      </w:r>
                      <w:r>
                        <w:rPr>
                          <w:color w:val="231F20"/>
                        </w:rPr>
                        <w:t>from</w:t>
                      </w:r>
                      <w:r>
                        <w:rPr>
                          <w:color w:val="231F20"/>
                          <w:spacing w:val="-11"/>
                        </w:rPr>
                        <w:t xml:space="preserve"> </w:t>
                      </w:r>
                      <w:r>
                        <w:rPr>
                          <w:color w:val="231F20"/>
                        </w:rPr>
                        <w:t>18</w:t>
                      </w:r>
                      <w:r>
                        <w:rPr>
                          <w:color w:val="231F20"/>
                          <w:spacing w:val="-11"/>
                        </w:rPr>
                        <w:t xml:space="preserve"> </w:t>
                      </w:r>
                      <w:r>
                        <w:rPr>
                          <w:color w:val="231F20"/>
                        </w:rPr>
                        <w:t>founding</w:t>
                      </w:r>
                      <w:r>
                        <w:rPr>
                          <w:color w:val="231F20"/>
                          <w:spacing w:val="-11"/>
                        </w:rPr>
                        <w:t xml:space="preserve"> </w:t>
                      </w:r>
                      <w:r>
                        <w:rPr>
                          <w:color w:val="231F20"/>
                        </w:rPr>
                        <w:t>members</w:t>
                      </w:r>
                      <w:r>
                        <w:rPr>
                          <w:color w:val="231F20"/>
                          <w:spacing w:val="-11"/>
                        </w:rPr>
                        <w:t xml:space="preserve"> </w:t>
                      </w:r>
                      <w:r>
                        <w:rPr>
                          <w:color w:val="231F20"/>
                        </w:rPr>
                        <w:t>to</w:t>
                      </w:r>
                      <w:r>
                        <w:rPr>
                          <w:color w:val="231F20"/>
                          <w:spacing w:val="-11"/>
                        </w:rPr>
                        <w:t xml:space="preserve"> </w:t>
                      </w:r>
                      <w:r>
                        <w:rPr>
                          <w:color w:val="231F20"/>
                        </w:rPr>
                        <w:t>over</w:t>
                      </w:r>
                      <w:r>
                        <w:rPr>
                          <w:color w:val="231F20"/>
                          <w:spacing w:val="-11"/>
                        </w:rPr>
                        <w:t xml:space="preserve"> </w:t>
                      </w:r>
                      <w:r>
                        <w:rPr>
                          <w:color w:val="231F20"/>
                        </w:rPr>
                        <w:t>500</w:t>
                      </w:r>
                      <w:r>
                        <w:rPr>
                          <w:color w:val="231F20"/>
                          <w:spacing w:val="-11"/>
                        </w:rPr>
                        <w:t xml:space="preserve"> </w:t>
                      </w:r>
                      <w:r>
                        <w:rPr>
                          <w:color w:val="231F20"/>
                        </w:rPr>
                        <w:t>members</w:t>
                      </w:r>
                      <w:r>
                        <w:rPr>
                          <w:color w:val="231F20"/>
                          <w:spacing w:val="-11"/>
                        </w:rPr>
                        <w:t xml:space="preserve"> </w:t>
                      </w:r>
                      <w:r>
                        <w:rPr>
                          <w:color w:val="231F20"/>
                        </w:rPr>
                        <w:t xml:space="preserve">including </w:t>
                      </w:r>
                      <w:r>
                        <w:rPr>
                          <w:color w:val="231F20"/>
                          <w:w w:val="95"/>
                        </w:rPr>
                        <w:t xml:space="preserve">200+ municipalities, 250+ national and provincial sport organisations, </w:t>
                      </w:r>
                      <w:r>
                        <w:rPr>
                          <w:color w:val="231F20"/>
                        </w:rPr>
                        <w:t>20+</w:t>
                      </w:r>
                      <w:r>
                        <w:rPr>
                          <w:color w:val="231F20"/>
                          <w:spacing w:val="48"/>
                        </w:rPr>
                        <w:t xml:space="preserve"> </w:t>
                      </w:r>
                      <w:r>
                        <w:rPr>
                          <w:color w:val="231F20"/>
                        </w:rPr>
                        <w:t>educational</w:t>
                      </w:r>
                      <w:r>
                        <w:rPr>
                          <w:color w:val="231F20"/>
                          <w:spacing w:val="48"/>
                        </w:rPr>
                        <w:t xml:space="preserve"> </w:t>
                      </w:r>
                      <w:r>
                        <w:rPr>
                          <w:color w:val="231F20"/>
                        </w:rPr>
                        <w:t>institutions</w:t>
                      </w:r>
                      <w:r>
                        <w:rPr>
                          <w:color w:val="231F20"/>
                          <w:spacing w:val="49"/>
                        </w:rPr>
                        <w:t xml:space="preserve"> </w:t>
                      </w:r>
                      <w:r>
                        <w:rPr>
                          <w:color w:val="231F20"/>
                        </w:rPr>
                        <w:t>and</w:t>
                      </w:r>
                      <w:r>
                        <w:rPr>
                          <w:color w:val="231F20"/>
                          <w:spacing w:val="48"/>
                        </w:rPr>
                        <w:t xml:space="preserve"> </w:t>
                      </w:r>
                      <w:r>
                        <w:rPr>
                          <w:color w:val="231F20"/>
                        </w:rPr>
                        <w:t>a</w:t>
                      </w:r>
                      <w:r>
                        <w:rPr>
                          <w:color w:val="231F20"/>
                          <w:spacing w:val="49"/>
                        </w:rPr>
                        <w:t xml:space="preserve"> </w:t>
                      </w:r>
                      <w:r>
                        <w:rPr>
                          <w:color w:val="231F20"/>
                        </w:rPr>
                        <w:t>variety</w:t>
                      </w:r>
                      <w:r>
                        <w:rPr>
                          <w:color w:val="231F20"/>
                          <w:spacing w:val="48"/>
                        </w:rPr>
                        <w:t xml:space="preserve"> </w:t>
                      </w:r>
                      <w:r>
                        <w:rPr>
                          <w:color w:val="231F20"/>
                        </w:rPr>
                        <w:t>of</w:t>
                      </w:r>
                      <w:r>
                        <w:rPr>
                          <w:color w:val="231F20"/>
                          <w:spacing w:val="49"/>
                        </w:rPr>
                        <w:t xml:space="preserve"> </w:t>
                      </w:r>
                      <w:r>
                        <w:rPr>
                          <w:color w:val="231F20"/>
                        </w:rPr>
                        <w:t>produc</w:t>
                      </w:r>
                      <w:r>
                        <w:rPr>
                          <w:color w:val="231F20"/>
                        </w:rPr>
                        <w:t>t</w:t>
                      </w:r>
                      <w:r>
                        <w:rPr>
                          <w:color w:val="231F20"/>
                          <w:spacing w:val="48"/>
                        </w:rPr>
                        <w:t xml:space="preserve"> </w:t>
                      </w:r>
                      <w:r>
                        <w:rPr>
                          <w:color w:val="231F20"/>
                        </w:rPr>
                        <w:t>and</w:t>
                      </w:r>
                      <w:r>
                        <w:rPr>
                          <w:color w:val="231F20"/>
                          <w:spacing w:val="48"/>
                        </w:rPr>
                        <w:t xml:space="preserve"> </w:t>
                      </w:r>
                      <w:r>
                        <w:rPr>
                          <w:color w:val="231F20"/>
                          <w:spacing w:val="-2"/>
                        </w:rPr>
                        <w:t>service</w:t>
                      </w:r>
                    </w:p>
                    <w:p w14:paraId="60261993" w14:textId="77777777" w:rsidR="00AE0598" w:rsidRDefault="0069255A">
                      <w:pPr>
                        <w:spacing w:before="63"/>
                        <w:ind w:right="119"/>
                        <w:jc w:val="right"/>
                        <w:rPr>
                          <w:rFonts w:ascii="Trebuchet MS"/>
                          <w:i/>
                          <w:color w:val="000000"/>
                          <w:sz w:val="18"/>
                        </w:rPr>
                      </w:pPr>
                      <w:r>
                        <w:rPr>
                          <w:rFonts w:ascii="Trebuchet MS"/>
                          <w:i/>
                          <w:color w:val="231F20"/>
                          <w:spacing w:val="-2"/>
                          <w:sz w:val="18"/>
                        </w:rPr>
                        <w:t>(Continued)</w:t>
                      </w:r>
                    </w:p>
                  </w:txbxContent>
                </v:textbox>
                <w10:wrap type="topAndBottom" anchorx="page"/>
              </v:shape>
            </w:pict>
          </mc:Fallback>
        </mc:AlternateContent>
      </w:r>
    </w:p>
    <w:p w14:paraId="38BFC5F5" w14:textId="77777777" w:rsidR="00AE0598" w:rsidRDefault="00AE0598">
      <w:pPr>
        <w:sectPr w:rsidR="00AE0598">
          <w:pgSz w:w="8850" w:h="13270"/>
          <w:pgMar w:top="720" w:right="1060" w:bottom="280" w:left="1080" w:header="720" w:footer="720" w:gutter="0"/>
          <w:cols w:space="720"/>
        </w:sectPr>
      </w:pPr>
    </w:p>
    <w:p w14:paraId="301A24EB" w14:textId="77777777" w:rsidR="00AE0598" w:rsidRDefault="0069255A">
      <w:pPr>
        <w:spacing w:before="87"/>
        <w:ind w:left="108"/>
        <w:rPr>
          <w:rFonts w:ascii="Trebuchet MS"/>
          <w:sz w:val="14"/>
        </w:rPr>
      </w:pPr>
      <w:r>
        <w:rPr>
          <w:rFonts w:ascii="Trebuchet MS"/>
          <w:color w:val="231F20"/>
          <w:w w:val="105"/>
          <w:sz w:val="14"/>
        </w:rPr>
        <w:lastRenderedPageBreak/>
        <w:t>82</w:t>
      </w:r>
      <w:r>
        <w:rPr>
          <w:rFonts w:ascii="Trebuchet MS"/>
          <w:color w:val="231F20"/>
          <w:spacing w:val="64"/>
          <w:w w:val="150"/>
          <w:sz w:val="14"/>
        </w:rPr>
        <w:t xml:space="preserve"> </w:t>
      </w:r>
      <w:r>
        <w:rPr>
          <w:rFonts w:ascii="Trebuchet MS"/>
          <w:color w:val="231F20"/>
          <w:w w:val="105"/>
          <w:sz w:val="14"/>
        </w:rPr>
        <w:t>Part</w:t>
      </w:r>
      <w:r>
        <w:rPr>
          <w:rFonts w:ascii="Trebuchet MS"/>
          <w:color w:val="231F20"/>
          <w:spacing w:val="-9"/>
          <w:w w:val="105"/>
          <w:sz w:val="14"/>
        </w:rPr>
        <w:t xml:space="preserve"> </w:t>
      </w:r>
      <w:r>
        <w:rPr>
          <w:rFonts w:ascii="Trebuchet MS"/>
          <w:color w:val="231F20"/>
          <w:w w:val="105"/>
          <w:sz w:val="14"/>
        </w:rPr>
        <w:t>2:</w:t>
      </w:r>
      <w:r>
        <w:rPr>
          <w:rFonts w:ascii="Trebuchet MS"/>
          <w:color w:val="231F20"/>
          <w:spacing w:val="-9"/>
          <w:w w:val="105"/>
          <w:sz w:val="14"/>
        </w:rPr>
        <w:t xml:space="preserve"> </w:t>
      </w:r>
      <w:r>
        <w:rPr>
          <w:rFonts w:ascii="Trebuchet MS"/>
          <w:color w:val="231F20"/>
          <w:w w:val="105"/>
          <w:sz w:val="14"/>
        </w:rPr>
        <w:t>Foundations</w:t>
      </w:r>
      <w:r>
        <w:rPr>
          <w:rFonts w:ascii="Trebuchet MS"/>
          <w:color w:val="231F20"/>
          <w:spacing w:val="-9"/>
          <w:w w:val="105"/>
          <w:sz w:val="14"/>
        </w:rPr>
        <w:t xml:space="preserve"> </w:t>
      </w:r>
      <w:r>
        <w:rPr>
          <w:rFonts w:ascii="Trebuchet MS"/>
          <w:color w:val="231F20"/>
          <w:w w:val="105"/>
          <w:sz w:val="14"/>
        </w:rPr>
        <w:t>of</w:t>
      </w:r>
      <w:r>
        <w:rPr>
          <w:rFonts w:ascii="Trebuchet MS"/>
          <w:color w:val="231F20"/>
          <w:spacing w:val="-9"/>
          <w:w w:val="105"/>
          <w:sz w:val="14"/>
        </w:rPr>
        <w:t xml:space="preserve"> </w:t>
      </w:r>
      <w:r>
        <w:rPr>
          <w:rFonts w:ascii="Trebuchet MS"/>
          <w:color w:val="231F20"/>
          <w:w w:val="105"/>
          <w:sz w:val="14"/>
        </w:rPr>
        <w:t>Sport</w:t>
      </w:r>
      <w:r>
        <w:rPr>
          <w:rFonts w:ascii="Trebuchet MS"/>
          <w:color w:val="231F20"/>
          <w:spacing w:val="-9"/>
          <w:w w:val="105"/>
          <w:sz w:val="14"/>
        </w:rPr>
        <w:t xml:space="preserve"> </w:t>
      </w:r>
      <w:r>
        <w:rPr>
          <w:rFonts w:ascii="Trebuchet MS"/>
          <w:color w:val="231F20"/>
          <w:w w:val="105"/>
          <w:sz w:val="14"/>
        </w:rPr>
        <w:t>Tourism</w:t>
      </w:r>
      <w:r>
        <w:rPr>
          <w:rFonts w:ascii="Trebuchet MS"/>
          <w:color w:val="231F20"/>
          <w:spacing w:val="-9"/>
          <w:w w:val="105"/>
          <w:sz w:val="14"/>
        </w:rPr>
        <w:t xml:space="preserve"> </w:t>
      </w:r>
      <w:r>
        <w:rPr>
          <w:rFonts w:ascii="Trebuchet MS"/>
          <w:color w:val="231F20"/>
          <w:spacing w:val="-2"/>
          <w:w w:val="105"/>
          <w:sz w:val="14"/>
        </w:rPr>
        <w:t>Development</w:t>
      </w:r>
    </w:p>
    <w:p w14:paraId="760707D6" w14:textId="77777777" w:rsidR="00AE0598" w:rsidRDefault="00AE0598">
      <w:pPr>
        <w:pStyle w:val="Corpodetexto"/>
        <w:spacing w:before="10"/>
        <w:rPr>
          <w:rFonts w:ascii="Trebuchet MS"/>
          <w:sz w:val="27"/>
        </w:rPr>
      </w:pPr>
    </w:p>
    <w:p w14:paraId="06C48CFD" w14:textId="0AF75EC0" w:rsidR="00AE0598" w:rsidRDefault="0069255A">
      <w:pPr>
        <w:spacing w:before="100"/>
        <w:ind w:left="223"/>
        <w:jc w:val="both"/>
        <w:rPr>
          <w:rFonts w:ascii="Trebuchet MS"/>
          <w:sz w:val="18"/>
        </w:rPr>
      </w:pPr>
      <w:r>
        <w:rPr>
          <w:noProof/>
        </w:rPr>
        <mc:AlternateContent>
          <mc:Choice Requires="wps">
            <w:drawing>
              <wp:anchor distT="0" distB="0" distL="114300" distR="114300" simplePos="0" relativeHeight="483698176" behindDoc="1" locked="0" layoutInCell="1" allowOverlap="1" wp14:anchorId="0DB00959" wp14:editId="74A577F1">
                <wp:simplePos x="0" y="0"/>
                <wp:positionH relativeFrom="page">
                  <wp:posOffset>755650</wp:posOffset>
                </wp:positionH>
                <wp:positionV relativeFrom="paragraph">
                  <wp:posOffset>13335</wp:posOffset>
                </wp:positionV>
                <wp:extent cx="4104005" cy="5240020"/>
                <wp:effectExtent l="0" t="0" r="0" b="0"/>
                <wp:wrapNone/>
                <wp:docPr id="229" name="docshape1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04005" cy="5240020"/>
                        </a:xfrm>
                        <a:prstGeom prst="rect">
                          <a:avLst/>
                        </a:prstGeom>
                        <a:solidFill>
                          <a:srgbClr val="DCDDD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E21E86" id="docshape145" o:spid="_x0000_s1026" style="position:absolute;margin-left:59.5pt;margin-top:1.05pt;width:323.15pt;height:412.6pt;z-index:-196183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" fillcolor="#dcddde" stroked="f">
                <w10:wrap anchorx="page"/>
              </v:rect>
            </w:pict>
          </mc:Fallback>
        </mc:AlternateContent>
      </w:r>
      <w:r>
        <w:rPr>
          <w:rFonts w:ascii="Trebuchet MS"/>
          <w:color w:val="231F20"/>
          <w:sz w:val="18"/>
        </w:rPr>
        <w:t>Focus</w:t>
      </w:r>
      <w:r>
        <w:rPr>
          <w:rFonts w:ascii="Trebuchet MS"/>
          <w:color w:val="231F20"/>
          <w:spacing w:val="2"/>
          <w:sz w:val="18"/>
        </w:rPr>
        <w:t xml:space="preserve"> </w:t>
      </w:r>
      <w:r>
        <w:rPr>
          <w:rFonts w:ascii="Trebuchet MS"/>
          <w:color w:val="231F20"/>
          <w:sz w:val="18"/>
        </w:rPr>
        <w:t>Point</w:t>
      </w:r>
      <w:r>
        <w:rPr>
          <w:rFonts w:ascii="Trebuchet MS"/>
          <w:color w:val="231F20"/>
          <w:spacing w:val="2"/>
          <w:sz w:val="18"/>
        </w:rPr>
        <w:t xml:space="preserve"> </w:t>
      </w:r>
      <w:r>
        <w:rPr>
          <w:rFonts w:ascii="Trebuchet MS"/>
          <w:color w:val="231F20"/>
          <w:sz w:val="18"/>
        </w:rPr>
        <w:t>4.2:</w:t>
      </w:r>
      <w:r>
        <w:rPr>
          <w:rFonts w:ascii="Trebuchet MS"/>
          <w:color w:val="231F20"/>
          <w:spacing w:val="1"/>
          <w:sz w:val="18"/>
        </w:rPr>
        <w:t xml:space="preserve"> </w:t>
      </w:r>
      <w:r>
        <w:rPr>
          <w:rFonts w:ascii="Trebuchet MS"/>
          <w:color w:val="231F20"/>
          <w:spacing w:val="-2"/>
          <w:sz w:val="18"/>
        </w:rPr>
        <w:t>(Continued)</w:t>
      </w:r>
    </w:p>
    <w:p w14:paraId="3D617D48" w14:textId="77777777" w:rsidR="00AE0598" w:rsidRDefault="00AE0598">
      <w:pPr>
        <w:pStyle w:val="Corpodetexto"/>
        <w:spacing w:before="9"/>
        <w:rPr>
          <w:rFonts w:ascii="Trebuchet MS"/>
          <w:sz w:val="16"/>
        </w:rPr>
      </w:pPr>
    </w:p>
    <w:p w14:paraId="601015E9" w14:textId="77777777" w:rsidR="00AE0598" w:rsidRDefault="0069255A">
      <w:pPr>
        <w:pStyle w:val="Corpodetexto"/>
        <w:spacing w:before="1" w:line="232" w:lineRule="auto"/>
        <w:ind w:left="230" w:right="247"/>
        <w:jc w:val="both"/>
      </w:pPr>
      <w:r>
        <w:rPr>
          <w:color w:val="231F20"/>
        </w:rPr>
        <w:t>suppliers to the industry. It has worked in close cooperation with Destination Canada to support the development of event-based sport tourism in Canada. The key to the CSTA’s success has been its ability to</w:t>
      </w:r>
      <w:r>
        <w:rPr>
          <w:color w:val="231F20"/>
          <w:spacing w:val="-4"/>
        </w:rPr>
        <w:t xml:space="preserve"> </w:t>
      </w:r>
      <w:r>
        <w:rPr>
          <w:color w:val="231F20"/>
        </w:rPr>
        <w:t>connect</w:t>
      </w:r>
      <w:r>
        <w:rPr>
          <w:color w:val="231F20"/>
          <w:spacing w:val="-4"/>
        </w:rPr>
        <w:t xml:space="preserve"> </w:t>
      </w:r>
      <w:r>
        <w:rPr>
          <w:color w:val="231F20"/>
        </w:rPr>
        <w:t>the</w:t>
      </w:r>
      <w:r>
        <w:rPr>
          <w:color w:val="231F20"/>
          <w:spacing w:val="-4"/>
        </w:rPr>
        <w:t xml:space="preserve"> </w:t>
      </w:r>
      <w:r>
        <w:rPr>
          <w:color w:val="231F20"/>
        </w:rPr>
        <w:t>various</w:t>
      </w:r>
      <w:r>
        <w:rPr>
          <w:color w:val="231F20"/>
          <w:spacing w:val="-4"/>
        </w:rPr>
        <w:t xml:space="preserve"> </w:t>
      </w:r>
      <w:r>
        <w:rPr>
          <w:color w:val="231F20"/>
        </w:rPr>
        <w:t>stakeholders</w:t>
      </w:r>
      <w:r>
        <w:rPr>
          <w:color w:val="231F20"/>
          <w:spacing w:val="-4"/>
        </w:rPr>
        <w:t xml:space="preserve"> </w:t>
      </w:r>
      <w:r>
        <w:rPr>
          <w:color w:val="231F20"/>
        </w:rPr>
        <w:t>in</w:t>
      </w:r>
      <w:r>
        <w:rPr>
          <w:color w:val="231F20"/>
          <w:spacing w:val="-4"/>
        </w:rPr>
        <w:t xml:space="preserve"> </w:t>
      </w:r>
      <w:r>
        <w:rPr>
          <w:color w:val="231F20"/>
        </w:rPr>
        <w:t>this</w:t>
      </w:r>
      <w:r>
        <w:rPr>
          <w:color w:val="231F20"/>
          <w:spacing w:val="-4"/>
        </w:rPr>
        <w:t xml:space="preserve"> </w:t>
      </w:r>
      <w:r>
        <w:rPr>
          <w:color w:val="231F20"/>
        </w:rPr>
        <w:t>realm</w:t>
      </w:r>
      <w:r>
        <w:rPr>
          <w:color w:val="231F20"/>
          <w:spacing w:val="-4"/>
        </w:rPr>
        <w:t xml:space="preserve"> </w:t>
      </w:r>
      <w:r>
        <w:rPr>
          <w:color w:val="231F20"/>
        </w:rPr>
        <w:t>and</w:t>
      </w:r>
      <w:r>
        <w:rPr>
          <w:color w:val="231F20"/>
          <w:spacing w:val="-4"/>
        </w:rPr>
        <w:t xml:space="preserve"> </w:t>
      </w:r>
      <w:r>
        <w:rPr>
          <w:color w:val="231F20"/>
        </w:rPr>
        <w:t>to</w:t>
      </w:r>
      <w:r>
        <w:rPr>
          <w:color w:val="231F20"/>
          <w:spacing w:val="-4"/>
        </w:rPr>
        <w:t xml:space="preserve"> </w:t>
      </w:r>
      <w:r>
        <w:rPr>
          <w:color w:val="231F20"/>
        </w:rPr>
        <w:t>provide</w:t>
      </w:r>
      <w:r>
        <w:rPr>
          <w:color w:val="231F20"/>
          <w:spacing w:val="-4"/>
        </w:rPr>
        <w:t xml:space="preserve"> </w:t>
      </w:r>
      <w:r>
        <w:rPr>
          <w:color w:val="231F20"/>
        </w:rPr>
        <w:t>them with information and resources. Sport organisations are effectively partnered with host destinations to bid on and deliver a wide range</w:t>
      </w:r>
      <w:r>
        <w:rPr>
          <w:color w:val="231F20"/>
          <w:spacing w:val="40"/>
        </w:rPr>
        <w:t xml:space="preserve"> </w:t>
      </w:r>
      <w:r>
        <w:rPr>
          <w:color w:val="231F20"/>
        </w:rPr>
        <w:t>of sporting events. The CSTA bases its activities on a solid planning framework</w:t>
      </w:r>
      <w:r>
        <w:rPr>
          <w:color w:val="231F20"/>
          <w:spacing w:val="-5"/>
        </w:rPr>
        <w:t xml:space="preserve"> </w:t>
      </w:r>
      <w:r>
        <w:rPr>
          <w:color w:val="231F20"/>
        </w:rPr>
        <w:t>that</w:t>
      </w:r>
      <w:r>
        <w:rPr>
          <w:color w:val="231F20"/>
          <w:spacing w:val="-5"/>
        </w:rPr>
        <w:t xml:space="preserve"> </w:t>
      </w:r>
      <w:r>
        <w:rPr>
          <w:color w:val="231F20"/>
        </w:rPr>
        <w:t>is</w:t>
      </w:r>
      <w:r>
        <w:rPr>
          <w:color w:val="231F20"/>
          <w:spacing w:val="-5"/>
        </w:rPr>
        <w:t xml:space="preserve"> </w:t>
      </w:r>
      <w:r>
        <w:rPr>
          <w:color w:val="231F20"/>
        </w:rPr>
        <w:t>guided</w:t>
      </w:r>
      <w:r>
        <w:rPr>
          <w:color w:val="231F20"/>
          <w:spacing w:val="-5"/>
        </w:rPr>
        <w:t xml:space="preserve"> </w:t>
      </w:r>
      <w:r>
        <w:rPr>
          <w:color w:val="231F20"/>
        </w:rPr>
        <w:t>by</w:t>
      </w:r>
      <w:r>
        <w:rPr>
          <w:color w:val="231F20"/>
          <w:spacing w:val="-5"/>
        </w:rPr>
        <w:t xml:space="preserve"> </w:t>
      </w:r>
      <w:r>
        <w:rPr>
          <w:color w:val="231F20"/>
        </w:rPr>
        <w:t>its</w:t>
      </w:r>
      <w:r>
        <w:rPr>
          <w:color w:val="231F20"/>
          <w:spacing w:val="-5"/>
        </w:rPr>
        <w:t xml:space="preserve"> </w:t>
      </w:r>
      <w:r>
        <w:rPr>
          <w:color w:val="231F20"/>
        </w:rPr>
        <w:t>mission</w:t>
      </w:r>
      <w:r>
        <w:rPr>
          <w:color w:val="231F20"/>
          <w:spacing w:val="-5"/>
        </w:rPr>
        <w:t xml:space="preserve"> </w:t>
      </w:r>
      <w:r>
        <w:rPr>
          <w:color w:val="231F20"/>
        </w:rPr>
        <w:t>to</w:t>
      </w:r>
      <w:r>
        <w:rPr>
          <w:color w:val="231F20"/>
          <w:spacing w:val="-5"/>
        </w:rPr>
        <w:t xml:space="preserve"> </w:t>
      </w:r>
      <w:r>
        <w:rPr>
          <w:color w:val="231F20"/>
        </w:rPr>
        <w:t>increase</w:t>
      </w:r>
      <w:r>
        <w:rPr>
          <w:color w:val="231F20"/>
          <w:spacing w:val="-5"/>
        </w:rPr>
        <w:t xml:space="preserve"> </w:t>
      </w:r>
      <w:r>
        <w:rPr>
          <w:color w:val="231F20"/>
        </w:rPr>
        <w:t>Canadian</w:t>
      </w:r>
      <w:r>
        <w:rPr>
          <w:color w:val="231F20"/>
          <w:spacing w:val="-5"/>
        </w:rPr>
        <w:t xml:space="preserve"> </w:t>
      </w:r>
      <w:r>
        <w:rPr>
          <w:color w:val="231F20"/>
        </w:rPr>
        <w:t xml:space="preserve">capacity </w:t>
      </w:r>
      <w:r>
        <w:rPr>
          <w:color w:val="231F20"/>
          <w:w w:val="95"/>
        </w:rPr>
        <w:t>and competitiveness to attract and host sport events. Specific objectives include: (1) to establish Canada as a preferred sport tourism destination;</w:t>
      </w:r>
    </w:p>
    <w:p w14:paraId="642574EB" w14:textId="77777777" w:rsidR="00AE0598" w:rsidRDefault="0069255A">
      <w:pPr>
        <w:pStyle w:val="Corpodetexto"/>
        <w:spacing w:before="12" w:line="232" w:lineRule="auto"/>
        <w:ind w:left="230" w:right="247"/>
        <w:jc w:val="both"/>
      </w:pPr>
      <w:r>
        <w:rPr>
          <w:color w:val="231F20"/>
          <w:w w:val="95"/>
        </w:rPr>
        <w:t>(2) to enhance the image and profile of the sport tourism ind</w:t>
      </w:r>
      <w:r>
        <w:rPr>
          <w:color w:val="231F20"/>
          <w:w w:val="95"/>
        </w:rPr>
        <w:t>ustry; (3) to facilitate</w:t>
      </w:r>
      <w:r>
        <w:rPr>
          <w:color w:val="231F20"/>
          <w:spacing w:val="39"/>
        </w:rPr>
        <w:t xml:space="preserve"> </w:t>
      </w:r>
      <w:r>
        <w:rPr>
          <w:color w:val="231F20"/>
          <w:w w:val="95"/>
        </w:rPr>
        <w:t>networking,</w:t>
      </w:r>
      <w:r>
        <w:rPr>
          <w:color w:val="231F20"/>
          <w:spacing w:val="40"/>
        </w:rPr>
        <w:t xml:space="preserve"> </w:t>
      </w:r>
      <w:r>
        <w:rPr>
          <w:color w:val="231F20"/>
          <w:w w:val="95"/>
        </w:rPr>
        <w:t>educational</w:t>
      </w:r>
      <w:r>
        <w:rPr>
          <w:color w:val="231F20"/>
          <w:spacing w:val="40"/>
        </w:rPr>
        <w:t xml:space="preserve"> </w:t>
      </w:r>
      <w:r>
        <w:rPr>
          <w:color w:val="231F20"/>
          <w:w w:val="95"/>
        </w:rPr>
        <w:t>and</w:t>
      </w:r>
      <w:r>
        <w:rPr>
          <w:color w:val="231F20"/>
          <w:spacing w:val="40"/>
        </w:rPr>
        <w:t xml:space="preserve"> </w:t>
      </w:r>
      <w:r>
        <w:rPr>
          <w:color w:val="231F20"/>
          <w:w w:val="95"/>
        </w:rPr>
        <w:t>communications</w:t>
      </w:r>
      <w:r>
        <w:rPr>
          <w:color w:val="231F20"/>
          <w:spacing w:val="40"/>
        </w:rPr>
        <w:t xml:space="preserve"> </w:t>
      </w:r>
      <w:r>
        <w:rPr>
          <w:color w:val="231F20"/>
          <w:spacing w:val="-2"/>
          <w:w w:val="95"/>
        </w:rPr>
        <w:t>opportunities;</w:t>
      </w:r>
    </w:p>
    <w:p w14:paraId="0C033D15" w14:textId="77777777" w:rsidR="00AE0598" w:rsidRDefault="0069255A">
      <w:pPr>
        <w:pStyle w:val="Corpodetexto"/>
        <w:spacing w:before="2" w:line="232" w:lineRule="auto"/>
        <w:ind w:left="230" w:right="249"/>
        <w:jc w:val="both"/>
      </w:pPr>
      <w:r>
        <w:rPr>
          <w:color w:val="231F20"/>
        </w:rPr>
        <w:t>(4) to develop and facilitate access to industry tools; (5) to build investment</w:t>
      </w:r>
      <w:r>
        <w:rPr>
          <w:color w:val="231F20"/>
          <w:spacing w:val="5"/>
        </w:rPr>
        <w:t xml:space="preserve"> </w:t>
      </w:r>
      <w:r>
        <w:rPr>
          <w:color w:val="231F20"/>
        </w:rPr>
        <w:t>in</w:t>
      </w:r>
      <w:r>
        <w:rPr>
          <w:color w:val="231F20"/>
          <w:spacing w:val="6"/>
        </w:rPr>
        <w:t xml:space="preserve"> </w:t>
      </w:r>
      <w:r>
        <w:rPr>
          <w:color w:val="231F20"/>
        </w:rPr>
        <w:t>sport</w:t>
      </w:r>
      <w:r>
        <w:rPr>
          <w:color w:val="231F20"/>
          <w:spacing w:val="5"/>
        </w:rPr>
        <w:t xml:space="preserve"> </w:t>
      </w:r>
      <w:r>
        <w:rPr>
          <w:color w:val="231F20"/>
        </w:rPr>
        <w:t>tourism</w:t>
      </w:r>
      <w:r>
        <w:rPr>
          <w:color w:val="231F20"/>
          <w:spacing w:val="6"/>
        </w:rPr>
        <w:t xml:space="preserve"> </w:t>
      </w:r>
      <w:r>
        <w:rPr>
          <w:color w:val="231F20"/>
        </w:rPr>
        <w:t>from</w:t>
      </w:r>
      <w:r>
        <w:rPr>
          <w:color w:val="231F20"/>
          <w:spacing w:val="5"/>
        </w:rPr>
        <w:t xml:space="preserve"> </w:t>
      </w:r>
      <w:r>
        <w:rPr>
          <w:color w:val="231F20"/>
        </w:rPr>
        <w:t>the</w:t>
      </w:r>
      <w:r>
        <w:rPr>
          <w:color w:val="231F20"/>
          <w:spacing w:val="6"/>
        </w:rPr>
        <w:t xml:space="preserve"> </w:t>
      </w:r>
      <w:r>
        <w:rPr>
          <w:color w:val="231F20"/>
        </w:rPr>
        <w:t>public</w:t>
      </w:r>
      <w:r>
        <w:rPr>
          <w:color w:val="231F20"/>
          <w:spacing w:val="5"/>
        </w:rPr>
        <w:t xml:space="preserve"> </w:t>
      </w:r>
      <w:r>
        <w:rPr>
          <w:color w:val="231F20"/>
        </w:rPr>
        <w:t>and</w:t>
      </w:r>
      <w:r>
        <w:rPr>
          <w:color w:val="231F20"/>
          <w:spacing w:val="6"/>
        </w:rPr>
        <w:t xml:space="preserve"> </w:t>
      </w:r>
      <w:r>
        <w:rPr>
          <w:color w:val="231F20"/>
        </w:rPr>
        <w:t>private</w:t>
      </w:r>
      <w:r>
        <w:rPr>
          <w:color w:val="231F20"/>
          <w:spacing w:val="5"/>
        </w:rPr>
        <w:t xml:space="preserve"> </w:t>
      </w:r>
      <w:r>
        <w:rPr>
          <w:color w:val="231F20"/>
        </w:rPr>
        <w:t>sectors;</w:t>
      </w:r>
      <w:r>
        <w:rPr>
          <w:color w:val="231F20"/>
          <w:spacing w:val="6"/>
        </w:rPr>
        <w:t xml:space="preserve"> </w:t>
      </w:r>
      <w:r>
        <w:rPr>
          <w:color w:val="231F20"/>
        </w:rPr>
        <w:t>and</w:t>
      </w:r>
    </w:p>
    <w:p w14:paraId="734AFCB5" w14:textId="77777777" w:rsidR="00AE0598" w:rsidRDefault="0069255A">
      <w:pPr>
        <w:pStyle w:val="Corpodetexto"/>
        <w:spacing w:before="2" w:line="232" w:lineRule="auto"/>
        <w:ind w:left="230" w:right="247"/>
        <w:jc w:val="both"/>
      </w:pPr>
      <w:r>
        <w:rPr>
          <w:color w:val="231F20"/>
          <w:w w:val="95"/>
        </w:rPr>
        <w:t>(6) to coordinate research, data co</w:t>
      </w:r>
      <w:r>
        <w:rPr>
          <w:color w:val="231F20"/>
          <w:w w:val="95"/>
        </w:rPr>
        <w:t xml:space="preserve">llection, monitoring and reporting of </w:t>
      </w:r>
      <w:r>
        <w:rPr>
          <w:color w:val="231F20"/>
        </w:rPr>
        <w:t>activity within the sport tourism industry. The success of the CSTA is one</w:t>
      </w:r>
      <w:r>
        <w:rPr>
          <w:color w:val="231F20"/>
          <w:spacing w:val="-3"/>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rPr>
        <w:t>reasons</w:t>
      </w:r>
      <w:r>
        <w:rPr>
          <w:color w:val="231F20"/>
          <w:spacing w:val="-3"/>
        </w:rPr>
        <w:t xml:space="preserve"> </w:t>
      </w:r>
      <w:r>
        <w:rPr>
          <w:color w:val="231F20"/>
        </w:rPr>
        <w:t>that</w:t>
      </w:r>
      <w:r>
        <w:rPr>
          <w:color w:val="231F20"/>
          <w:spacing w:val="-3"/>
        </w:rPr>
        <w:t xml:space="preserve"> </w:t>
      </w:r>
      <w:r>
        <w:rPr>
          <w:color w:val="231F20"/>
        </w:rPr>
        <w:t>the</w:t>
      </w:r>
      <w:r>
        <w:rPr>
          <w:color w:val="231F20"/>
          <w:spacing w:val="-3"/>
        </w:rPr>
        <w:t xml:space="preserve"> </w:t>
      </w:r>
      <w:r>
        <w:rPr>
          <w:color w:val="231F20"/>
        </w:rPr>
        <w:t>Japan</w:t>
      </w:r>
      <w:r>
        <w:rPr>
          <w:color w:val="231F20"/>
          <w:spacing w:val="-3"/>
        </w:rPr>
        <w:t xml:space="preserve"> </w:t>
      </w:r>
      <w:r>
        <w:rPr>
          <w:color w:val="231F20"/>
        </w:rPr>
        <w:t>Sport</w:t>
      </w:r>
      <w:r>
        <w:rPr>
          <w:color w:val="231F20"/>
          <w:spacing w:val="-3"/>
        </w:rPr>
        <w:t xml:space="preserve"> </w:t>
      </w:r>
      <w:r>
        <w:rPr>
          <w:color w:val="231F20"/>
        </w:rPr>
        <w:t>Tourism</w:t>
      </w:r>
      <w:r>
        <w:rPr>
          <w:color w:val="231F20"/>
          <w:spacing w:val="-3"/>
        </w:rPr>
        <w:t xml:space="preserve"> </w:t>
      </w:r>
      <w:r>
        <w:rPr>
          <w:color w:val="231F20"/>
        </w:rPr>
        <w:t>Alliance</w:t>
      </w:r>
      <w:r>
        <w:rPr>
          <w:color w:val="231F20"/>
          <w:spacing w:val="-3"/>
        </w:rPr>
        <w:t xml:space="preserve"> </w:t>
      </w:r>
      <w:r>
        <w:rPr>
          <w:color w:val="231F20"/>
        </w:rPr>
        <w:t>(JSTA,</w:t>
      </w:r>
      <w:r>
        <w:rPr>
          <w:color w:val="231F20"/>
          <w:spacing w:val="-3"/>
        </w:rPr>
        <w:t xml:space="preserve"> </w:t>
      </w:r>
      <w:r>
        <w:rPr>
          <w:color w:val="231F20"/>
        </w:rPr>
        <w:t>2011) used</w:t>
      </w:r>
      <w:r>
        <w:rPr>
          <w:color w:val="231F20"/>
          <w:spacing w:val="-1"/>
        </w:rPr>
        <w:t xml:space="preserve"> </w:t>
      </w:r>
      <w:r>
        <w:rPr>
          <w:color w:val="231F20"/>
        </w:rPr>
        <w:t>CSTA</w:t>
      </w:r>
      <w:r>
        <w:rPr>
          <w:color w:val="231F20"/>
          <w:spacing w:val="-1"/>
        </w:rPr>
        <w:t xml:space="preserve"> </w:t>
      </w:r>
      <w:r>
        <w:rPr>
          <w:color w:val="231F20"/>
        </w:rPr>
        <w:t>as</w:t>
      </w:r>
      <w:r>
        <w:rPr>
          <w:color w:val="231F20"/>
          <w:spacing w:val="-1"/>
        </w:rPr>
        <w:t xml:space="preserve"> </w:t>
      </w:r>
      <w:r>
        <w:rPr>
          <w:color w:val="231F20"/>
        </w:rPr>
        <w:t>a</w:t>
      </w:r>
      <w:r>
        <w:rPr>
          <w:color w:val="231F20"/>
          <w:spacing w:val="-1"/>
        </w:rPr>
        <w:t xml:space="preserve"> </w:t>
      </w:r>
      <w:r>
        <w:rPr>
          <w:color w:val="231F20"/>
        </w:rPr>
        <w:t>model</w:t>
      </w:r>
      <w:r>
        <w:rPr>
          <w:color w:val="231F20"/>
          <w:spacing w:val="-1"/>
        </w:rPr>
        <w:t xml:space="preserve"> </w:t>
      </w:r>
      <w:r>
        <w:rPr>
          <w:color w:val="231F20"/>
        </w:rPr>
        <w:t>for</w:t>
      </w:r>
      <w:r>
        <w:rPr>
          <w:color w:val="231F20"/>
          <w:spacing w:val="-1"/>
        </w:rPr>
        <w:t xml:space="preserve"> </w:t>
      </w:r>
      <w:r>
        <w:rPr>
          <w:color w:val="231F20"/>
        </w:rPr>
        <w:t>its</w:t>
      </w:r>
      <w:r>
        <w:rPr>
          <w:color w:val="231F20"/>
          <w:spacing w:val="-1"/>
        </w:rPr>
        <w:t xml:space="preserve"> </w:t>
      </w:r>
      <w:r>
        <w:rPr>
          <w:color w:val="231F20"/>
        </w:rPr>
        <w:t>own</w:t>
      </w:r>
      <w:r>
        <w:rPr>
          <w:color w:val="231F20"/>
          <w:spacing w:val="-1"/>
        </w:rPr>
        <w:t xml:space="preserve"> </w:t>
      </w:r>
      <w:r>
        <w:rPr>
          <w:color w:val="231F20"/>
        </w:rPr>
        <w:t>development</w:t>
      </w:r>
      <w:r>
        <w:rPr>
          <w:color w:val="231F20"/>
          <w:spacing w:val="-1"/>
        </w:rPr>
        <w:t xml:space="preserve"> </w:t>
      </w:r>
      <w:r>
        <w:rPr>
          <w:color w:val="231F20"/>
        </w:rPr>
        <w:t>in</w:t>
      </w:r>
      <w:r>
        <w:rPr>
          <w:color w:val="231F20"/>
          <w:spacing w:val="-1"/>
        </w:rPr>
        <w:t xml:space="preserve"> </w:t>
      </w:r>
      <w:r>
        <w:rPr>
          <w:color w:val="231F20"/>
        </w:rPr>
        <w:t>2011.</w:t>
      </w:r>
      <w:r>
        <w:rPr>
          <w:color w:val="231F20"/>
          <w:spacing w:val="-1"/>
        </w:rPr>
        <w:t xml:space="preserve"> </w:t>
      </w:r>
      <w:r>
        <w:rPr>
          <w:color w:val="231F20"/>
        </w:rPr>
        <w:t>However,</w:t>
      </w:r>
      <w:r>
        <w:rPr>
          <w:color w:val="231F20"/>
          <w:spacing w:val="-1"/>
        </w:rPr>
        <w:t xml:space="preserve"> </w:t>
      </w:r>
      <w:r>
        <w:rPr>
          <w:color w:val="231F20"/>
        </w:rPr>
        <w:t>the JSTA has made some substantial additions to the CSTA model. It has increased the scope of its mandate to include participant events and active sport. This expansion of its mandate is more in line with the</w:t>
      </w:r>
      <w:r>
        <w:rPr>
          <w:color w:val="231F20"/>
          <w:spacing w:val="40"/>
        </w:rPr>
        <w:t xml:space="preserve"> </w:t>
      </w:r>
      <w:r>
        <w:rPr>
          <w:color w:val="231F20"/>
        </w:rPr>
        <w:t>full range of sport tourism attractions (see Ch</w:t>
      </w:r>
      <w:r>
        <w:rPr>
          <w:color w:val="231F20"/>
        </w:rPr>
        <w:t>apter 2) and as such, it increases</w:t>
      </w:r>
      <w:r>
        <w:rPr>
          <w:color w:val="231F20"/>
          <w:spacing w:val="-4"/>
        </w:rPr>
        <w:t xml:space="preserve"> </w:t>
      </w:r>
      <w:r>
        <w:rPr>
          <w:color w:val="231F20"/>
        </w:rPr>
        <w:t>the</w:t>
      </w:r>
      <w:r>
        <w:rPr>
          <w:color w:val="231F20"/>
          <w:spacing w:val="-4"/>
        </w:rPr>
        <w:t xml:space="preserve"> </w:t>
      </w:r>
      <w:r>
        <w:rPr>
          <w:color w:val="231F20"/>
        </w:rPr>
        <w:t>JSTA’s</w:t>
      </w:r>
      <w:r>
        <w:rPr>
          <w:color w:val="231F20"/>
          <w:spacing w:val="-4"/>
        </w:rPr>
        <w:t xml:space="preserve"> </w:t>
      </w:r>
      <w:r>
        <w:rPr>
          <w:color w:val="231F20"/>
        </w:rPr>
        <w:t>ability</w:t>
      </w:r>
      <w:r>
        <w:rPr>
          <w:color w:val="231F20"/>
          <w:spacing w:val="-4"/>
        </w:rPr>
        <w:t xml:space="preserve"> </w:t>
      </w:r>
      <w:r>
        <w:rPr>
          <w:color w:val="231F20"/>
        </w:rPr>
        <w:t>to</w:t>
      </w:r>
      <w:r>
        <w:rPr>
          <w:color w:val="231F20"/>
          <w:spacing w:val="-4"/>
        </w:rPr>
        <w:t xml:space="preserve"> </w:t>
      </w:r>
      <w:r>
        <w:rPr>
          <w:color w:val="231F20"/>
        </w:rPr>
        <w:t>embrace</w:t>
      </w:r>
      <w:r>
        <w:rPr>
          <w:color w:val="231F20"/>
          <w:spacing w:val="-4"/>
        </w:rPr>
        <w:t xml:space="preserve"> </w:t>
      </w:r>
      <w:r>
        <w:rPr>
          <w:color w:val="231F20"/>
        </w:rPr>
        <w:t>a</w:t>
      </w:r>
      <w:r>
        <w:rPr>
          <w:color w:val="231F20"/>
          <w:spacing w:val="-4"/>
        </w:rPr>
        <w:t xml:space="preserve"> </w:t>
      </w:r>
      <w:r>
        <w:rPr>
          <w:color w:val="231F20"/>
        </w:rPr>
        <w:t>broad</w:t>
      </w:r>
      <w:r>
        <w:rPr>
          <w:color w:val="231F20"/>
          <w:spacing w:val="-4"/>
        </w:rPr>
        <w:t xml:space="preserve"> </w:t>
      </w:r>
      <w:r>
        <w:rPr>
          <w:color w:val="231F20"/>
        </w:rPr>
        <w:t>range</w:t>
      </w:r>
      <w:r>
        <w:rPr>
          <w:color w:val="231F20"/>
          <w:spacing w:val="-4"/>
        </w:rPr>
        <w:t xml:space="preserve"> </w:t>
      </w:r>
      <w:r>
        <w:rPr>
          <w:color w:val="231F20"/>
        </w:rPr>
        <w:t>of</w:t>
      </w:r>
      <w:r>
        <w:rPr>
          <w:color w:val="231F20"/>
          <w:spacing w:val="-4"/>
        </w:rPr>
        <w:t xml:space="preserve"> </w:t>
      </w:r>
      <w:r>
        <w:rPr>
          <w:color w:val="231F20"/>
        </w:rPr>
        <w:t>sport</w:t>
      </w:r>
      <w:r>
        <w:rPr>
          <w:color w:val="231F20"/>
          <w:spacing w:val="-4"/>
        </w:rPr>
        <w:t xml:space="preserve"> </w:t>
      </w:r>
      <w:r>
        <w:rPr>
          <w:color w:val="231F20"/>
        </w:rPr>
        <w:t>tourism strategies</w:t>
      </w:r>
      <w:r>
        <w:rPr>
          <w:color w:val="231F20"/>
          <w:spacing w:val="-9"/>
        </w:rPr>
        <w:t xml:space="preserve"> </w:t>
      </w:r>
      <w:r>
        <w:rPr>
          <w:color w:val="231F20"/>
        </w:rPr>
        <w:t>in</w:t>
      </w:r>
      <w:r>
        <w:rPr>
          <w:color w:val="231F20"/>
          <w:spacing w:val="-9"/>
        </w:rPr>
        <w:t xml:space="preserve"> </w:t>
      </w:r>
      <w:r>
        <w:rPr>
          <w:color w:val="231F20"/>
        </w:rPr>
        <w:t>support</w:t>
      </w:r>
      <w:r>
        <w:rPr>
          <w:color w:val="231F20"/>
          <w:spacing w:val="-9"/>
        </w:rPr>
        <w:t xml:space="preserve"> </w:t>
      </w:r>
      <w:r>
        <w:rPr>
          <w:color w:val="231F20"/>
        </w:rPr>
        <w:t>of</w:t>
      </w:r>
      <w:r>
        <w:rPr>
          <w:color w:val="231F20"/>
          <w:spacing w:val="-9"/>
        </w:rPr>
        <w:t xml:space="preserve"> </w:t>
      </w:r>
      <w:r>
        <w:rPr>
          <w:color w:val="231F20"/>
        </w:rPr>
        <w:t>desired</w:t>
      </w:r>
      <w:r>
        <w:rPr>
          <w:color w:val="231F20"/>
          <w:spacing w:val="-9"/>
        </w:rPr>
        <w:t xml:space="preserve"> </w:t>
      </w:r>
      <w:r>
        <w:rPr>
          <w:color w:val="231F20"/>
        </w:rPr>
        <w:t>outcomes</w:t>
      </w:r>
      <w:r>
        <w:rPr>
          <w:color w:val="231F20"/>
          <w:spacing w:val="-9"/>
        </w:rPr>
        <w:t xml:space="preserve"> </w:t>
      </w:r>
      <w:r>
        <w:rPr>
          <w:color w:val="231F20"/>
        </w:rPr>
        <w:t>like</w:t>
      </w:r>
      <w:r>
        <w:rPr>
          <w:color w:val="231F20"/>
          <w:spacing w:val="-9"/>
        </w:rPr>
        <w:t xml:space="preserve"> </w:t>
      </w:r>
      <w:r>
        <w:rPr>
          <w:color w:val="231F20"/>
        </w:rPr>
        <w:t>regional</w:t>
      </w:r>
      <w:r>
        <w:rPr>
          <w:color w:val="231F20"/>
          <w:spacing w:val="-9"/>
        </w:rPr>
        <w:t xml:space="preserve"> </w:t>
      </w:r>
      <w:r>
        <w:rPr>
          <w:color w:val="231F20"/>
        </w:rPr>
        <w:t>development.</w:t>
      </w:r>
    </w:p>
    <w:p w14:paraId="1ECDA0CB" w14:textId="77777777" w:rsidR="00AE0598" w:rsidRDefault="00AE0598">
      <w:pPr>
        <w:pStyle w:val="Corpodetexto"/>
        <w:rPr>
          <w:sz w:val="22"/>
        </w:rPr>
      </w:pPr>
    </w:p>
    <w:p w14:paraId="519E5B18" w14:textId="77777777" w:rsidR="00AE0598" w:rsidRDefault="0069255A">
      <w:pPr>
        <w:ind w:left="230"/>
        <w:jc w:val="both"/>
        <w:rPr>
          <w:rFonts w:ascii="Trebuchet MS"/>
          <w:sz w:val="20"/>
        </w:rPr>
      </w:pPr>
      <w:r>
        <w:rPr>
          <w:rFonts w:ascii="Trebuchet MS"/>
          <w:color w:val="231F20"/>
          <w:w w:val="105"/>
          <w:sz w:val="20"/>
        </w:rPr>
        <w:t>Key</w:t>
      </w:r>
      <w:r>
        <w:rPr>
          <w:rFonts w:ascii="Trebuchet MS"/>
          <w:color w:val="231F20"/>
          <w:spacing w:val="-11"/>
          <w:w w:val="105"/>
          <w:sz w:val="20"/>
        </w:rPr>
        <w:t xml:space="preserve"> </w:t>
      </w:r>
      <w:r>
        <w:rPr>
          <w:rFonts w:ascii="Trebuchet MS"/>
          <w:color w:val="231F20"/>
          <w:spacing w:val="-2"/>
          <w:w w:val="105"/>
          <w:sz w:val="20"/>
        </w:rPr>
        <w:t>Reading</w:t>
      </w:r>
    </w:p>
    <w:p w14:paraId="43198F45" w14:textId="77777777" w:rsidR="00AE0598" w:rsidRDefault="0069255A">
      <w:pPr>
        <w:pStyle w:val="Corpodetexto"/>
        <w:spacing w:before="122" w:line="232" w:lineRule="auto"/>
        <w:ind w:left="230" w:right="248"/>
        <w:jc w:val="both"/>
      </w:pPr>
      <w:r>
        <w:rPr>
          <w:color w:val="231F20"/>
        </w:rPr>
        <w:t xml:space="preserve">Canadian Sport Tourism Alliance (2002) CSTA official website. See </w:t>
      </w:r>
      <w:hyperlink r:id="rId29">
        <w:r>
          <w:rPr>
            <w:color w:val="231F20"/>
            <w:spacing w:val="-4"/>
          </w:rPr>
          <w:t>h</w:t>
        </w:r>
        <w:r>
          <w:rPr>
            <w:color w:val="231F20"/>
            <w:spacing w:val="3"/>
            <w:w w:val="99"/>
          </w:rPr>
          <w:t>t</w:t>
        </w:r>
        <w:r>
          <w:rPr>
            <w:color w:val="231F20"/>
            <w:spacing w:val="2"/>
            <w:w w:val="99"/>
          </w:rPr>
          <w:t>t</w:t>
        </w:r>
        <w:r>
          <w:rPr>
            <w:color w:val="231F20"/>
            <w:spacing w:val="-4"/>
            <w:w w:val="99"/>
          </w:rPr>
          <w:t>p</w:t>
        </w:r>
        <w:r>
          <w:rPr>
            <w:color w:val="231F20"/>
            <w:spacing w:val="4"/>
            <w:w w:val="106"/>
          </w:rPr>
          <w:t>:</w:t>
        </w:r>
        <w:r>
          <w:rPr>
            <w:color w:val="231F20"/>
            <w:spacing w:val="-6"/>
            <w:w w:val="61"/>
          </w:rPr>
          <w:t>/</w:t>
        </w:r>
        <w:r>
          <w:rPr>
            <w:color w:val="231F20"/>
            <w:spacing w:val="-3"/>
            <w:w w:val="61"/>
          </w:rPr>
          <w:t>/</w:t>
        </w:r>
        <w:r>
          <w:rPr>
            <w:color w:val="231F20"/>
            <w:spacing w:val="2"/>
          </w:rPr>
          <w:t>ww</w:t>
        </w:r>
        <w:r>
          <w:rPr>
            <w:color w:val="231F20"/>
            <w:spacing w:val="-13"/>
          </w:rPr>
          <w:t>w</w:t>
        </w:r>
        <w:r>
          <w:rPr>
            <w:color w:val="231F20"/>
            <w:spacing w:val="-2"/>
            <w:w w:val="136"/>
          </w:rPr>
          <w:t>.</w:t>
        </w:r>
        <w:r>
          <w:rPr>
            <w:color w:val="231F20"/>
            <w:spacing w:val="1"/>
          </w:rPr>
          <w:t>c</w:t>
        </w:r>
        <w:r>
          <w:rPr>
            <w:color w:val="231F20"/>
            <w:spacing w:val="2"/>
            <w:w w:val="102"/>
          </w:rPr>
          <w:t>a</w:t>
        </w:r>
        <w:r>
          <w:rPr>
            <w:color w:val="231F20"/>
            <w:spacing w:val="-1"/>
            <w:w w:val="99"/>
          </w:rPr>
          <w:t>n</w:t>
        </w:r>
        <w:r>
          <w:rPr>
            <w:color w:val="231F20"/>
            <w:spacing w:val="-3"/>
            <w:w w:val="102"/>
          </w:rPr>
          <w:t>a</w:t>
        </w:r>
        <w:r>
          <w:rPr>
            <w:color w:val="231F20"/>
            <w:spacing w:val="2"/>
            <w:w w:val="99"/>
          </w:rPr>
          <w:t>d</w:t>
        </w:r>
        <w:r>
          <w:rPr>
            <w:color w:val="231F20"/>
            <w:spacing w:val="-2"/>
            <w:w w:val="101"/>
          </w:rPr>
          <w:t>i</w:t>
        </w:r>
        <w:r>
          <w:rPr>
            <w:color w:val="231F20"/>
            <w:spacing w:val="2"/>
            <w:w w:val="102"/>
          </w:rPr>
          <w:t>a</w:t>
        </w:r>
        <w:r>
          <w:rPr>
            <w:color w:val="231F20"/>
            <w:spacing w:val="-1"/>
            <w:w w:val="95"/>
          </w:rPr>
          <w:t>n</w:t>
        </w:r>
        <w:r>
          <w:rPr>
            <w:color w:val="231F20"/>
            <w:spacing w:val="-2"/>
            <w:w w:val="95"/>
          </w:rPr>
          <w:t>s</w:t>
        </w:r>
        <w:r>
          <w:rPr>
            <w:color w:val="231F20"/>
            <w:spacing w:val="-1"/>
            <w:w w:val="101"/>
          </w:rPr>
          <w:t>p</w:t>
        </w:r>
        <w:r>
          <w:rPr>
            <w:color w:val="231F20"/>
            <w:spacing w:val="-3"/>
            <w:w w:val="101"/>
          </w:rPr>
          <w:t>o</w:t>
        </w:r>
        <w:r>
          <w:rPr>
            <w:color w:val="231F20"/>
            <w:spacing w:val="3"/>
            <w:w w:val="94"/>
          </w:rPr>
          <w:t>r</w:t>
        </w:r>
        <w:r>
          <w:rPr>
            <w:color w:val="231F20"/>
            <w:spacing w:val="3"/>
            <w:w w:val="99"/>
          </w:rPr>
          <w:t>t</w:t>
        </w:r>
        <w:r>
          <w:rPr>
            <w:color w:val="231F20"/>
            <w:spacing w:val="-4"/>
            <w:w w:val="99"/>
          </w:rPr>
          <w:t>t</w:t>
        </w:r>
        <w:r>
          <w:rPr>
            <w:color w:val="231F20"/>
            <w:spacing w:val="-3"/>
            <w:w w:val="104"/>
          </w:rPr>
          <w:t>o</w:t>
        </w:r>
        <w:r>
          <w:rPr>
            <w:color w:val="231F20"/>
            <w:spacing w:val="2"/>
          </w:rPr>
          <w:t>u</w:t>
        </w:r>
        <w:r>
          <w:rPr>
            <w:color w:val="231F20"/>
            <w:spacing w:val="1"/>
            <w:w w:val="94"/>
          </w:rPr>
          <w:t>r</w:t>
        </w:r>
        <w:r>
          <w:rPr>
            <w:color w:val="231F20"/>
            <w:spacing w:val="-1"/>
            <w:w w:val="95"/>
          </w:rPr>
          <w:t>i</w:t>
        </w:r>
        <w:r>
          <w:rPr>
            <w:color w:val="231F20"/>
            <w:spacing w:val="-3"/>
            <w:w w:val="95"/>
          </w:rPr>
          <w:t>s</w:t>
        </w:r>
        <w:r>
          <w:rPr>
            <w:color w:val="231F20"/>
            <w:spacing w:val="-1"/>
            <w:w w:val="107"/>
          </w:rPr>
          <w:t>m</w:t>
        </w:r>
        <w:r>
          <w:rPr>
            <w:color w:val="231F20"/>
            <w:spacing w:val="-2"/>
            <w:w w:val="107"/>
          </w:rPr>
          <w:t>.</w:t>
        </w:r>
        <w:r>
          <w:rPr>
            <w:color w:val="231F20"/>
            <w:spacing w:val="-1"/>
            <w:w w:val="102"/>
          </w:rPr>
          <w:t>c</w:t>
        </w:r>
        <w:r>
          <w:rPr>
            <w:color w:val="231F20"/>
            <w:spacing w:val="-4"/>
            <w:w w:val="102"/>
          </w:rPr>
          <w:t>o</w:t>
        </w:r>
        <w:r>
          <w:rPr>
            <w:color w:val="231F20"/>
            <w:spacing w:val="7"/>
          </w:rPr>
          <w:t>m</w:t>
        </w:r>
        <w:r>
          <w:rPr>
            <w:color w:val="231F20"/>
            <w:spacing w:val="-5"/>
            <w:w w:val="61"/>
          </w:rPr>
          <w:t>/</w:t>
        </w:r>
        <w:r>
          <w:rPr>
            <w:color w:val="231F20"/>
            <w:spacing w:val="-1"/>
            <w:w w:val="101"/>
          </w:rPr>
          <w:t>p</w:t>
        </w:r>
        <w:r>
          <w:rPr>
            <w:color w:val="231F20"/>
            <w:spacing w:val="-3"/>
            <w:w w:val="101"/>
          </w:rPr>
          <w:t>o</w:t>
        </w:r>
        <w:r>
          <w:rPr>
            <w:color w:val="231F20"/>
            <w:spacing w:val="3"/>
            <w:w w:val="94"/>
          </w:rPr>
          <w:t>r</w:t>
        </w:r>
        <w:r>
          <w:rPr>
            <w:color w:val="231F20"/>
            <w:w w:val="99"/>
          </w:rPr>
          <w:t>t</w:t>
        </w:r>
        <w:r>
          <w:rPr>
            <w:color w:val="231F20"/>
            <w:spacing w:val="1"/>
            <w:w w:val="102"/>
          </w:rPr>
          <w:t>a</w:t>
        </w:r>
        <w:r>
          <w:rPr>
            <w:color w:val="231F20"/>
            <w:spacing w:val="6"/>
            <w:w w:val="103"/>
          </w:rPr>
          <w:t>l</w:t>
        </w:r>
        <w:r>
          <w:rPr>
            <w:color w:val="231F20"/>
            <w:spacing w:val="6"/>
            <w:w w:val="138"/>
          </w:rPr>
          <w:t>_</w:t>
        </w:r>
        <w:r>
          <w:rPr>
            <w:color w:val="231F20"/>
            <w:spacing w:val="1"/>
            <w:w w:val="91"/>
          </w:rPr>
          <w:t>e</w:t>
        </w:r>
        <w:r>
          <w:rPr>
            <w:color w:val="231F20"/>
            <w:spacing w:val="1"/>
            <w:w w:val="136"/>
          </w:rPr>
          <w:t>.</w:t>
        </w:r>
        <w:r>
          <w:rPr>
            <w:color w:val="231F20"/>
            <w:spacing w:val="-1"/>
            <w:w w:val="102"/>
          </w:rPr>
          <w:t>a</w:t>
        </w:r>
        <w:r>
          <w:rPr>
            <w:color w:val="231F20"/>
            <w:spacing w:val="-2"/>
            <w:w w:val="91"/>
          </w:rPr>
          <w:t>s</w:t>
        </w:r>
        <w:r>
          <w:rPr>
            <w:color w:val="231F20"/>
            <w:spacing w:val="-6"/>
            <w:w w:val="99"/>
          </w:rPr>
          <w:t>p</w:t>
        </w:r>
        <w:r>
          <w:rPr>
            <w:color w:val="231F20"/>
            <w:spacing w:val="-2"/>
            <w:w w:val="113"/>
          </w:rPr>
          <w:t>x</w:t>
        </w:r>
      </w:hyperlink>
      <w:r>
        <w:rPr>
          <w:color w:val="231F20"/>
          <w:spacing w:val="-1"/>
          <w:w w:val="99"/>
        </w:rPr>
        <w:t xml:space="preserve"> </w:t>
      </w:r>
      <w:r>
        <w:rPr>
          <w:color w:val="231F20"/>
        </w:rPr>
        <w:t>(accessed on</w:t>
      </w:r>
      <w:r>
        <w:rPr>
          <w:color w:val="231F20"/>
          <w:spacing w:val="40"/>
        </w:rPr>
        <w:t xml:space="preserve"> </w:t>
      </w:r>
      <w:r>
        <w:rPr>
          <w:color w:val="231F20"/>
        </w:rPr>
        <w:t>10 August 2017).</w:t>
      </w:r>
    </w:p>
    <w:p w14:paraId="469A24F4" w14:textId="77777777" w:rsidR="00AE0598" w:rsidRDefault="0069255A">
      <w:pPr>
        <w:pStyle w:val="Corpodetexto"/>
        <w:spacing w:before="124" w:line="232" w:lineRule="auto"/>
        <w:ind w:left="230" w:right="248"/>
        <w:jc w:val="both"/>
      </w:pPr>
      <w:r>
        <w:rPr>
          <w:color w:val="231F20"/>
        </w:rPr>
        <w:t>Japan</w:t>
      </w:r>
      <w:r>
        <w:rPr>
          <w:color w:val="231F20"/>
          <w:spacing w:val="-6"/>
        </w:rPr>
        <w:t xml:space="preserve"> </w:t>
      </w:r>
      <w:r>
        <w:rPr>
          <w:color w:val="231F20"/>
        </w:rPr>
        <w:t>Sport</w:t>
      </w:r>
      <w:r>
        <w:rPr>
          <w:color w:val="231F20"/>
          <w:spacing w:val="-6"/>
        </w:rPr>
        <w:t xml:space="preserve"> </w:t>
      </w:r>
      <w:r>
        <w:rPr>
          <w:color w:val="231F20"/>
        </w:rPr>
        <w:t>Tourism</w:t>
      </w:r>
      <w:r>
        <w:rPr>
          <w:color w:val="231F20"/>
          <w:spacing w:val="-6"/>
        </w:rPr>
        <w:t xml:space="preserve"> </w:t>
      </w:r>
      <w:r>
        <w:rPr>
          <w:color w:val="231F20"/>
        </w:rPr>
        <w:t>Alliance</w:t>
      </w:r>
      <w:r>
        <w:rPr>
          <w:color w:val="231F20"/>
          <w:spacing w:val="-6"/>
        </w:rPr>
        <w:t xml:space="preserve"> </w:t>
      </w:r>
      <w:r>
        <w:rPr>
          <w:color w:val="231F20"/>
        </w:rPr>
        <w:t>(2011)</w:t>
      </w:r>
      <w:r>
        <w:rPr>
          <w:color w:val="231F20"/>
          <w:spacing w:val="-6"/>
        </w:rPr>
        <w:t xml:space="preserve"> </w:t>
      </w:r>
      <w:r>
        <w:rPr>
          <w:color w:val="231F20"/>
        </w:rPr>
        <w:t>JSTA</w:t>
      </w:r>
      <w:r>
        <w:rPr>
          <w:color w:val="231F20"/>
          <w:spacing w:val="-6"/>
        </w:rPr>
        <w:t xml:space="preserve"> </w:t>
      </w:r>
      <w:r>
        <w:rPr>
          <w:color w:val="231F20"/>
        </w:rPr>
        <w:t>official</w:t>
      </w:r>
      <w:r>
        <w:rPr>
          <w:color w:val="231F20"/>
          <w:spacing w:val="-6"/>
        </w:rPr>
        <w:t xml:space="preserve"> </w:t>
      </w:r>
      <w:r>
        <w:rPr>
          <w:color w:val="231F20"/>
        </w:rPr>
        <w:t>website.</w:t>
      </w:r>
      <w:r>
        <w:rPr>
          <w:color w:val="231F20"/>
          <w:spacing w:val="-6"/>
        </w:rPr>
        <w:t xml:space="preserve"> </w:t>
      </w:r>
      <w:r>
        <w:rPr>
          <w:color w:val="231F20"/>
        </w:rPr>
        <w:t>See</w:t>
      </w:r>
      <w:r>
        <w:rPr>
          <w:color w:val="231F20"/>
          <w:spacing w:val="-6"/>
        </w:rPr>
        <w:t xml:space="preserve"> </w:t>
      </w:r>
      <w:r>
        <w:rPr>
          <w:color w:val="231F20"/>
        </w:rPr>
        <w:t xml:space="preserve">http:// </w:t>
      </w:r>
      <w:r>
        <w:rPr>
          <w:color w:val="231F20"/>
          <w:w w:val="97"/>
        </w:rPr>
        <w:t>sp</w:t>
      </w:r>
      <w:r>
        <w:rPr>
          <w:color w:val="231F20"/>
          <w:spacing w:val="-2"/>
          <w:w w:val="97"/>
        </w:rPr>
        <w:t>o</w:t>
      </w:r>
      <w:r>
        <w:rPr>
          <w:color w:val="231F20"/>
          <w:spacing w:val="4"/>
          <w:w w:val="93"/>
        </w:rPr>
        <w:t>r</w:t>
      </w:r>
      <w:r>
        <w:rPr>
          <w:color w:val="231F20"/>
          <w:spacing w:val="4"/>
          <w:w w:val="98"/>
        </w:rPr>
        <w:t>t</w:t>
      </w:r>
      <w:r>
        <w:rPr>
          <w:color w:val="231F20"/>
          <w:spacing w:val="-3"/>
          <w:w w:val="98"/>
        </w:rPr>
        <w:t>t</w:t>
      </w:r>
      <w:r>
        <w:rPr>
          <w:color w:val="231F20"/>
          <w:spacing w:val="-2"/>
          <w:w w:val="103"/>
        </w:rPr>
        <w:t>o</w:t>
      </w:r>
      <w:r>
        <w:rPr>
          <w:color w:val="231F20"/>
          <w:spacing w:val="3"/>
          <w:w w:val="99"/>
        </w:rPr>
        <w:t>u</w:t>
      </w:r>
      <w:r>
        <w:rPr>
          <w:color w:val="231F20"/>
          <w:spacing w:val="2"/>
          <w:w w:val="93"/>
        </w:rPr>
        <w:t>r</w:t>
      </w:r>
      <w:r>
        <w:rPr>
          <w:color w:val="231F20"/>
        </w:rPr>
        <w:t>i</w:t>
      </w:r>
      <w:r>
        <w:rPr>
          <w:color w:val="231F20"/>
          <w:spacing w:val="-2"/>
          <w:w w:val="90"/>
        </w:rPr>
        <w:t>s</w:t>
      </w:r>
      <w:r>
        <w:rPr>
          <w:color w:val="231F20"/>
          <w:spacing w:val="1"/>
          <w:w w:val="99"/>
        </w:rPr>
        <w:t>m</w:t>
      </w:r>
      <w:r>
        <w:rPr>
          <w:color w:val="231F20"/>
          <w:spacing w:val="-2"/>
          <w:w w:val="135"/>
        </w:rPr>
        <w:t>.</w:t>
      </w:r>
      <w:r>
        <w:rPr>
          <w:color w:val="231F20"/>
          <w:spacing w:val="-2"/>
          <w:w w:val="103"/>
        </w:rPr>
        <w:t>o</w:t>
      </w:r>
      <w:r>
        <w:rPr>
          <w:color w:val="231F20"/>
          <w:spacing w:val="-7"/>
          <w:w w:val="93"/>
        </w:rPr>
        <w:t>r</w:t>
      </w:r>
      <w:r>
        <w:rPr>
          <w:color w:val="231F20"/>
          <w:spacing w:val="-3"/>
          <w:w w:val="135"/>
        </w:rPr>
        <w:t>.</w:t>
      </w:r>
      <w:r>
        <w:rPr>
          <w:color w:val="231F20"/>
          <w:spacing w:val="-3"/>
          <w:w w:val="104"/>
        </w:rPr>
        <w:t>j</w:t>
      </w:r>
      <w:r>
        <w:rPr>
          <w:color w:val="231F20"/>
          <w:spacing w:val="2"/>
          <w:w w:val="98"/>
        </w:rPr>
        <w:t>p</w:t>
      </w:r>
      <w:r>
        <w:rPr>
          <w:color w:val="231F20"/>
          <w:spacing w:val="-1"/>
          <w:w w:val="60"/>
        </w:rPr>
        <w:t>/</w:t>
      </w:r>
      <w:r>
        <w:rPr>
          <w:color w:val="231F20"/>
          <w:spacing w:val="-1"/>
          <w:w w:val="99"/>
        </w:rPr>
        <w:t xml:space="preserve"> </w:t>
      </w:r>
      <w:r>
        <w:rPr>
          <w:color w:val="231F20"/>
        </w:rPr>
        <w:t>(accessed</w:t>
      </w:r>
      <w:r>
        <w:rPr>
          <w:color w:val="231F20"/>
          <w:spacing w:val="-1"/>
        </w:rPr>
        <w:t xml:space="preserve"> </w:t>
      </w:r>
      <w:r>
        <w:rPr>
          <w:color w:val="231F20"/>
        </w:rPr>
        <w:t>on</w:t>
      </w:r>
      <w:r>
        <w:rPr>
          <w:color w:val="231F20"/>
          <w:spacing w:val="-1"/>
        </w:rPr>
        <w:t xml:space="preserve"> </w:t>
      </w:r>
      <w:r>
        <w:rPr>
          <w:color w:val="231F20"/>
        </w:rPr>
        <w:t>10</w:t>
      </w:r>
      <w:r>
        <w:rPr>
          <w:color w:val="231F20"/>
          <w:spacing w:val="-1"/>
        </w:rPr>
        <w:t xml:space="preserve"> </w:t>
      </w:r>
      <w:r>
        <w:rPr>
          <w:color w:val="231F20"/>
        </w:rPr>
        <w:t>August</w:t>
      </w:r>
      <w:r>
        <w:rPr>
          <w:color w:val="231F20"/>
          <w:spacing w:val="-1"/>
        </w:rPr>
        <w:t xml:space="preserve"> </w:t>
      </w:r>
      <w:r>
        <w:rPr>
          <w:color w:val="231F20"/>
        </w:rPr>
        <w:t>2017).</w:t>
      </w:r>
    </w:p>
    <w:p w14:paraId="22888B25" w14:textId="77777777" w:rsidR="00AE0598" w:rsidRDefault="00AE0598">
      <w:pPr>
        <w:pStyle w:val="Corpodetexto"/>
        <w:spacing w:before="6"/>
        <w:rPr>
          <w:sz w:val="31"/>
        </w:rPr>
      </w:pPr>
    </w:p>
    <w:p w14:paraId="6B4ED07F" w14:textId="77777777" w:rsidR="00AE0598" w:rsidRDefault="0069255A">
      <w:pPr>
        <w:pStyle w:val="Corpodetexto"/>
        <w:spacing w:line="232" w:lineRule="auto"/>
        <w:ind w:left="119" w:right="117" w:firstLine="320"/>
        <w:jc w:val="both"/>
      </w:pPr>
      <w:r>
        <w:rPr>
          <w:color w:val="231F20"/>
          <w:w w:val="95"/>
        </w:rPr>
        <w:t xml:space="preserve">It is challenging to articulate goals and implement successful strategies </w:t>
      </w:r>
      <w:r>
        <w:rPr>
          <w:color w:val="231F20"/>
        </w:rPr>
        <w:t xml:space="preserve">in such a complex environment. Organisational fragmentation therefore </w:t>
      </w:r>
      <w:r>
        <w:rPr>
          <w:color w:val="231F20"/>
          <w:w w:val="95"/>
        </w:rPr>
        <w:t xml:space="preserve">remains an issue. The broad range of interests found within many of these partnerships presents substantial challenges despite the common ground </w:t>
      </w:r>
      <w:r>
        <w:rPr>
          <w:color w:val="231F20"/>
        </w:rPr>
        <w:t>that may exist (Zapata Campos, 2014). A p</w:t>
      </w:r>
      <w:r>
        <w:rPr>
          <w:color w:val="231F20"/>
        </w:rPr>
        <w:t xml:space="preserve">rerequisite to addressing these issues is not only recognition of existing and potential networks, but a genuine willingness and ability for these players to work together </w:t>
      </w:r>
      <w:r>
        <w:rPr>
          <w:color w:val="231F20"/>
          <w:w w:val="95"/>
        </w:rPr>
        <w:t>in</w:t>
      </w:r>
      <w:r>
        <w:rPr>
          <w:color w:val="231F20"/>
          <w:spacing w:val="23"/>
        </w:rPr>
        <w:t xml:space="preserve"> </w:t>
      </w:r>
      <w:r>
        <w:rPr>
          <w:color w:val="231F20"/>
          <w:w w:val="95"/>
        </w:rPr>
        <w:t>pursuit</w:t>
      </w:r>
      <w:r>
        <w:rPr>
          <w:color w:val="231F20"/>
          <w:spacing w:val="23"/>
        </w:rPr>
        <w:t xml:space="preserve"> </w:t>
      </w:r>
      <w:r>
        <w:rPr>
          <w:color w:val="231F20"/>
          <w:w w:val="95"/>
        </w:rPr>
        <w:t>of</w:t>
      </w:r>
      <w:r>
        <w:rPr>
          <w:color w:val="231F20"/>
          <w:spacing w:val="23"/>
        </w:rPr>
        <w:t xml:space="preserve"> </w:t>
      </w:r>
      <w:r>
        <w:rPr>
          <w:color w:val="231F20"/>
          <w:w w:val="95"/>
        </w:rPr>
        <w:t>their</w:t>
      </w:r>
      <w:r>
        <w:rPr>
          <w:color w:val="231F20"/>
          <w:spacing w:val="23"/>
        </w:rPr>
        <w:t xml:space="preserve"> </w:t>
      </w:r>
      <w:r>
        <w:rPr>
          <w:color w:val="231F20"/>
          <w:w w:val="95"/>
        </w:rPr>
        <w:t>common</w:t>
      </w:r>
      <w:r>
        <w:rPr>
          <w:color w:val="231F20"/>
          <w:spacing w:val="23"/>
        </w:rPr>
        <w:t xml:space="preserve"> </w:t>
      </w:r>
      <w:r>
        <w:rPr>
          <w:color w:val="231F20"/>
          <w:w w:val="95"/>
        </w:rPr>
        <w:t>interests</w:t>
      </w:r>
      <w:r>
        <w:rPr>
          <w:color w:val="231F20"/>
          <w:spacing w:val="23"/>
        </w:rPr>
        <w:t xml:space="preserve"> </w:t>
      </w:r>
      <w:r>
        <w:rPr>
          <w:color w:val="231F20"/>
          <w:w w:val="95"/>
        </w:rPr>
        <w:t>related</w:t>
      </w:r>
      <w:r>
        <w:rPr>
          <w:color w:val="231F20"/>
          <w:spacing w:val="23"/>
        </w:rPr>
        <w:t xml:space="preserve"> </w:t>
      </w:r>
      <w:r>
        <w:rPr>
          <w:color w:val="231F20"/>
          <w:w w:val="95"/>
        </w:rPr>
        <w:t>to</w:t>
      </w:r>
      <w:r>
        <w:rPr>
          <w:color w:val="231F20"/>
          <w:spacing w:val="23"/>
        </w:rPr>
        <w:t xml:space="preserve"> </w:t>
      </w:r>
      <w:r>
        <w:rPr>
          <w:color w:val="231F20"/>
          <w:w w:val="95"/>
        </w:rPr>
        <w:t>sustainable</w:t>
      </w:r>
      <w:r>
        <w:rPr>
          <w:color w:val="231F20"/>
          <w:spacing w:val="23"/>
        </w:rPr>
        <w:t xml:space="preserve"> </w:t>
      </w:r>
      <w:r>
        <w:rPr>
          <w:color w:val="231F20"/>
          <w:w w:val="95"/>
        </w:rPr>
        <w:t>sport</w:t>
      </w:r>
      <w:r>
        <w:rPr>
          <w:color w:val="231F20"/>
          <w:spacing w:val="23"/>
        </w:rPr>
        <w:t xml:space="preserve"> </w:t>
      </w:r>
      <w:r>
        <w:rPr>
          <w:color w:val="231F20"/>
          <w:w w:val="95"/>
        </w:rPr>
        <w:t>tourism</w:t>
      </w:r>
    </w:p>
    <w:p w14:paraId="49A191F8" w14:textId="77777777" w:rsidR="00AE0598" w:rsidRDefault="00AE0598">
      <w:pPr>
        <w:spacing w:line="232" w:lineRule="auto"/>
        <w:jc w:val="both"/>
        <w:sectPr w:rsidR="00AE0598">
          <w:pgSz w:w="8850" w:h="13270"/>
          <w:pgMar w:top="720" w:right="1060" w:bottom="280" w:left="1080" w:header="720" w:footer="720" w:gutter="0"/>
          <w:cols w:space="720"/>
        </w:sectPr>
      </w:pPr>
    </w:p>
    <w:p w14:paraId="5669BE6B" w14:textId="77777777" w:rsidR="00AE0598" w:rsidRDefault="0069255A">
      <w:pPr>
        <w:spacing w:before="87"/>
        <w:ind w:left="4067"/>
        <w:rPr>
          <w:rFonts w:ascii="Trebuchet MS"/>
          <w:sz w:val="14"/>
        </w:rPr>
      </w:pPr>
      <w:r>
        <w:rPr>
          <w:rFonts w:ascii="Trebuchet MS"/>
          <w:color w:val="231F20"/>
          <w:w w:val="105"/>
          <w:sz w:val="14"/>
        </w:rPr>
        <w:lastRenderedPageBreak/>
        <w:t>Development</w:t>
      </w:r>
      <w:r>
        <w:rPr>
          <w:rFonts w:ascii="Trebuchet MS"/>
          <w:color w:val="231F20"/>
          <w:spacing w:val="-12"/>
          <w:w w:val="105"/>
          <w:sz w:val="14"/>
        </w:rPr>
        <w:t xml:space="preserve"> </w:t>
      </w:r>
      <w:r>
        <w:rPr>
          <w:rFonts w:ascii="Trebuchet MS"/>
          <w:color w:val="231F20"/>
          <w:w w:val="105"/>
          <w:sz w:val="14"/>
        </w:rPr>
        <w:t>Processes</w:t>
      </w:r>
      <w:r>
        <w:rPr>
          <w:rFonts w:ascii="Trebuchet MS"/>
          <w:color w:val="231F20"/>
          <w:spacing w:val="-11"/>
          <w:w w:val="105"/>
          <w:sz w:val="14"/>
        </w:rPr>
        <w:t xml:space="preserve"> </w:t>
      </w:r>
      <w:r>
        <w:rPr>
          <w:rFonts w:ascii="Trebuchet MS"/>
          <w:color w:val="231F20"/>
          <w:w w:val="105"/>
          <w:sz w:val="14"/>
        </w:rPr>
        <w:t>and</w:t>
      </w:r>
      <w:r>
        <w:rPr>
          <w:rFonts w:ascii="Trebuchet MS"/>
          <w:color w:val="231F20"/>
          <w:spacing w:val="-11"/>
          <w:w w:val="105"/>
          <w:sz w:val="14"/>
        </w:rPr>
        <w:t xml:space="preserve"> </w:t>
      </w:r>
      <w:r>
        <w:rPr>
          <w:rFonts w:ascii="Trebuchet MS"/>
          <w:color w:val="231F20"/>
          <w:w w:val="105"/>
          <w:sz w:val="14"/>
        </w:rPr>
        <w:t>Issues</w:t>
      </w:r>
      <w:r>
        <w:rPr>
          <w:rFonts w:ascii="Trebuchet MS"/>
          <w:color w:val="231F20"/>
          <w:spacing w:val="77"/>
          <w:w w:val="105"/>
          <w:sz w:val="14"/>
        </w:rPr>
        <w:t xml:space="preserve"> </w:t>
      </w:r>
      <w:r>
        <w:rPr>
          <w:rFonts w:ascii="Trebuchet MS"/>
          <w:color w:val="231F20"/>
          <w:spacing w:val="-5"/>
          <w:w w:val="105"/>
          <w:sz w:val="14"/>
        </w:rPr>
        <w:t>83</w:t>
      </w:r>
    </w:p>
    <w:p w14:paraId="31BAFB38" w14:textId="77777777" w:rsidR="00AE0598" w:rsidRDefault="00AE0598">
      <w:pPr>
        <w:pStyle w:val="Corpodetexto"/>
        <w:rPr>
          <w:rFonts w:ascii="Trebuchet MS"/>
          <w:sz w:val="16"/>
        </w:rPr>
      </w:pPr>
    </w:p>
    <w:p w14:paraId="6D445FD8" w14:textId="77777777" w:rsidR="00AE0598" w:rsidRDefault="0069255A">
      <w:pPr>
        <w:pStyle w:val="Corpodetexto"/>
        <w:spacing w:before="118" w:line="232" w:lineRule="auto"/>
        <w:ind w:left="110" w:right="126"/>
        <w:jc w:val="both"/>
      </w:pPr>
      <w:r>
        <w:rPr>
          <w:color w:val="231F20"/>
        </w:rPr>
        <w:t xml:space="preserve">development. This outcome is most likely to occur when each partner has a clear understanding of the synergy that can be captured by the </w:t>
      </w:r>
      <w:r>
        <w:rPr>
          <w:color w:val="231F20"/>
          <w:w w:val="95"/>
        </w:rPr>
        <w:t xml:space="preserve">partnership and how this synergy makes a contribution to each partners’ </w:t>
      </w:r>
      <w:r>
        <w:rPr>
          <w:color w:val="231F20"/>
        </w:rPr>
        <w:t>core mandate.</w:t>
      </w:r>
    </w:p>
    <w:p w14:paraId="731DCCC3" w14:textId="77777777" w:rsidR="00AE0598" w:rsidRDefault="0069255A">
      <w:pPr>
        <w:pStyle w:val="Corpodetexto"/>
        <w:spacing w:before="5" w:line="232" w:lineRule="auto"/>
        <w:ind w:left="110" w:right="126" w:firstLine="320"/>
        <w:jc w:val="both"/>
      </w:pPr>
      <w:r>
        <w:rPr>
          <w:color w:val="231F20"/>
        </w:rPr>
        <w:t>Until recently, however, partners</w:t>
      </w:r>
      <w:r>
        <w:rPr>
          <w:color w:val="231F20"/>
        </w:rPr>
        <w:t>hips in sport tourism have been largely ineffective. For example, a study of six European states in the early</w:t>
      </w:r>
      <w:r>
        <w:rPr>
          <w:color w:val="231F20"/>
          <w:spacing w:val="-2"/>
        </w:rPr>
        <w:t xml:space="preserve"> </w:t>
      </w:r>
      <w:r>
        <w:rPr>
          <w:color w:val="231F20"/>
        </w:rPr>
        <w:t>1980s</w:t>
      </w:r>
      <w:r>
        <w:rPr>
          <w:color w:val="231F20"/>
          <w:spacing w:val="-2"/>
        </w:rPr>
        <w:t xml:space="preserve"> </w:t>
      </w:r>
      <w:r>
        <w:rPr>
          <w:color w:val="231F20"/>
        </w:rPr>
        <w:t>identified</w:t>
      </w:r>
      <w:r>
        <w:rPr>
          <w:color w:val="231F20"/>
          <w:spacing w:val="-2"/>
        </w:rPr>
        <w:t xml:space="preserve"> </w:t>
      </w:r>
      <w:r>
        <w:rPr>
          <w:color w:val="231F20"/>
        </w:rPr>
        <w:t>a</w:t>
      </w:r>
      <w:r>
        <w:rPr>
          <w:color w:val="231F20"/>
          <w:spacing w:val="-2"/>
        </w:rPr>
        <w:t xml:space="preserve"> </w:t>
      </w:r>
      <w:r>
        <w:rPr>
          <w:color w:val="231F20"/>
        </w:rPr>
        <w:t>perceived</w:t>
      </w:r>
      <w:r>
        <w:rPr>
          <w:color w:val="231F20"/>
          <w:spacing w:val="-2"/>
        </w:rPr>
        <w:t xml:space="preserve"> </w:t>
      </w:r>
      <w:r>
        <w:rPr>
          <w:color w:val="231F20"/>
        </w:rPr>
        <w:t>linkage</w:t>
      </w:r>
      <w:r>
        <w:rPr>
          <w:color w:val="231F20"/>
          <w:spacing w:val="-2"/>
        </w:rPr>
        <w:t xml:space="preserve"> </w:t>
      </w:r>
      <w:r>
        <w:rPr>
          <w:color w:val="231F20"/>
        </w:rPr>
        <w:t>between</w:t>
      </w:r>
      <w:r>
        <w:rPr>
          <w:color w:val="231F20"/>
          <w:spacing w:val="-2"/>
        </w:rPr>
        <w:t xml:space="preserve"> </w:t>
      </w:r>
      <w:r>
        <w:rPr>
          <w:color w:val="231F20"/>
        </w:rPr>
        <w:t>sport</w:t>
      </w:r>
      <w:r>
        <w:rPr>
          <w:color w:val="231F20"/>
          <w:spacing w:val="-2"/>
        </w:rPr>
        <w:t xml:space="preserve"> </w:t>
      </w:r>
      <w:r>
        <w:rPr>
          <w:color w:val="231F20"/>
        </w:rPr>
        <w:t>and</w:t>
      </w:r>
      <w:r>
        <w:rPr>
          <w:color w:val="231F20"/>
          <w:spacing w:val="-2"/>
        </w:rPr>
        <w:t xml:space="preserve"> </w:t>
      </w:r>
      <w:r>
        <w:rPr>
          <w:color w:val="231F20"/>
        </w:rPr>
        <w:t>tourism</w:t>
      </w:r>
      <w:r>
        <w:rPr>
          <w:color w:val="231F20"/>
          <w:spacing w:val="-2"/>
        </w:rPr>
        <w:t xml:space="preserve"> </w:t>
      </w:r>
      <w:r>
        <w:rPr>
          <w:color w:val="231F20"/>
        </w:rPr>
        <w:t xml:space="preserve">in the minds of participants, commercial providers and local authorities (Glyptis, </w:t>
      </w:r>
      <w:r>
        <w:rPr>
          <w:color w:val="231F20"/>
        </w:rPr>
        <w:t>1991). However, despite this perception, there was a lack of conscious</w:t>
      </w:r>
      <w:r>
        <w:rPr>
          <w:color w:val="231F20"/>
          <w:spacing w:val="-3"/>
        </w:rPr>
        <w:t xml:space="preserve"> </w:t>
      </w:r>
      <w:r>
        <w:rPr>
          <w:color w:val="231F20"/>
        </w:rPr>
        <w:t>integration</w:t>
      </w:r>
      <w:r>
        <w:rPr>
          <w:color w:val="231F20"/>
          <w:spacing w:val="-3"/>
        </w:rPr>
        <w:t xml:space="preserve"> </w:t>
      </w:r>
      <w:r>
        <w:rPr>
          <w:color w:val="231F20"/>
        </w:rPr>
        <w:t>by</w:t>
      </w:r>
      <w:r>
        <w:rPr>
          <w:color w:val="231F20"/>
          <w:spacing w:val="-4"/>
        </w:rPr>
        <w:t xml:space="preserve"> </w:t>
      </w:r>
      <w:r>
        <w:rPr>
          <w:color w:val="231F20"/>
        </w:rPr>
        <w:t>policymakers,</w:t>
      </w:r>
      <w:r>
        <w:rPr>
          <w:color w:val="231F20"/>
          <w:spacing w:val="-3"/>
        </w:rPr>
        <w:t xml:space="preserve"> </w:t>
      </w:r>
      <w:r>
        <w:rPr>
          <w:color w:val="231F20"/>
        </w:rPr>
        <w:t>planners</w:t>
      </w:r>
      <w:r>
        <w:rPr>
          <w:color w:val="231F20"/>
          <w:spacing w:val="-3"/>
        </w:rPr>
        <w:t xml:space="preserve"> </w:t>
      </w:r>
      <w:r>
        <w:rPr>
          <w:color w:val="231F20"/>
        </w:rPr>
        <w:t>and</w:t>
      </w:r>
      <w:r>
        <w:rPr>
          <w:color w:val="231F20"/>
          <w:spacing w:val="-3"/>
        </w:rPr>
        <w:t xml:space="preserve"> </w:t>
      </w:r>
      <w:r>
        <w:rPr>
          <w:color w:val="231F20"/>
        </w:rPr>
        <w:t>public</w:t>
      </w:r>
      <w:r>
        <w:rPr>
          <w:color w:val="231F20"/>
          <w:spacing w:val="-4"/>
        </w:rPr>
        <w:t xml:space="preserve"> </w:t>
      </w:r>
      <w:r>
        <w:rPr>
          <w:color w:val="231F20"/>
        </w:rPr>
        <w:t>providers</w:t>
      </w:r>
      <w:r>
        <w:rPr>
          <w:color w:val="231F20"/>
          <w:spacing w:val="-3"/>
        </w:rPr>
        <w:t xml:space="preserve"> </w:t>
      </w:r>
      <w:r>
        <w:rPr>
          <w:color w:val="231F20"/>
        </w:rPr>
        <w:t xml:space="preserve">at the national level. Weed and Bull (1997a) noted that by the late 1990s </w:t>
      </w:r>
      <w:r>
        <w:rPr>
          <w:color w:val="231F20"/>
          <w:w w:val="95"/>
        </w:rPr>
        <w:t xml:space="preserve">there were still very few joint sport tourism initiatives among the regional </w:t>
      </w:r>
      <w:r>
        <w:rPr>
          <w:color w:val="231F20"/>
        </w:rPr>
        <w:t>agencies responsible for sport (Sports Council regional offices) and tourism (regional tourist boards) in</w:t>
      </w:r>
      <w:r>
        <w:rPr>
          <w:color w:val="231F20"/>
        </w:rPr>
        <w:t xml:space="preserve"> England. Even in Australia, which</w:t>
      </w:r>
      <w:r>
        <w:rPr>
          <w:color w:val="231F20"/>
          <w:spacing w:val="80"/>
          <w:w w:val="150"/>
        </w:rPr>
        <w:t xml:space="preserve"> </w:t>
      </w:r>
      <w:r>
        <w:rPr>
          <w:color w:val="231F20"/>
        </w:rPr>
        <w:t>is a leader in sport tourism partnerships, the primary rationale for the development of its policy on sport tourism was the lack of an identity and cohesiveness perceived in this area (Commonwealth Department of Industry,</w:t>
      </w:r>
      <w:r>
        <w:rPr>
          <w:color w:val="231F20"/>
        </w:rPr>
        <w:t xml:space="preserve"> Science and Resources, 2000).</w:t>
      </w:r>
    </w:p>
    <w:p w14:paraId="5945593D" w14:textId="77777777" w:rsidR="00AE0598" w:rsidRDefault="0069255A">
      <w:pPr>
        <w:pStyle w:val="Corpodetexto"/>
        <w:spacing w:before="17" w:line="232" w:lineRule="auto"/>
        <w:ind w:left="110" w:right="124" w:firstLine="320"/>
        <w:jc w:val="both"/>
      </w:pPr>
      <w:r>
        <w:rPr>
          <w:color w:val="231F20"/>
        </w:rPr>
        <w:t xml:space="preserve">The need for partnerships and strategic alliances in tourism and in </w:t>
      </w:r>
      <w:r>
        <w:rPr>
          <w:color w:val="231F20"/>
          <w:w w:val="95"/>
        </w:rPr>
        <w:t xml:space="preserve">sport has grown over the past 25 years, especially as government resources </w:t>
      </w:r>
      <w:r>
        <w:rPr>
          <w:color w:val="231F20"/>
        </w:rPr>
        <w:t>that were traditionally directed towards these areas have been reduced (Zapata Cam</w:t>
      </w:r>
      <w:r>
        <w:rPr>
          <w:color w:val="231F20"/>
        </w:rPr>
        <w:t xml:space="preserve">pos, 2014). While a broad range of models for partnership have emerged, they can generally be described as ‘…a voluntary pooling </w:t>
      </w:r>
      <w:r>
        <w:rPr>
          <w:color w:val="231F20"/>
          <w:w w:val="105"/>
        </w:rPr>
        <w:t>of</w:t>
      </w:r>
      <w:r>
        <w:rPr>
          <w:color w:val="231F20"/>
          <w:spacing w:val="-1"/>
          <w:w w:val="105"/>
        </w:rPr>
        <w:t xml:space="preserve"> </w:t>
      </w:r>
      <w:r>
        <w:rPr>
          <w:color w:val="231F20"/>
          <w:w w:val="105"/>
        </w:rPr>
        <w:t>resources</w:t>
      </w:r>
      <w:r>
        <w:rPr>
          <w:color w:val="231F20"/>
          <w:spacing w:val="-1"/>
          <w:w w:val="105"/>
        </w:rPr>
        <w:t xml:space="preserve"> </w:t>
      </w:r>
      <w:r>
        <w:rPr>
          <w:color w:val="231F20"/>
          <w:w w:val="105"/>
        </w:rPr>
        <w:t>(labour,</w:t>
      </w:r>
      <w:r>
        <w:rPr>
          <w:color w:val="231F20"/>
          <w:spacing w:val="-1"/>
          <w:w w:val="105"/>
        </w:rPr>
        <w:t xml:space="preserve"> </w:t>
      </w:r>
      <w:r>
        <w:rPr>
          <w:color w:val="231F20"/>
          <w:w w:val="105"/>
        </w:rPr>
        <w:t>money,</w:t>
      </w:r>
      <w:r>
        <w:rPr>
          <w:color w:val="231F20"/>
          <w:spacing w:val="-1"/>
          <w:w w:val="105"/>
        </w:rPr>
        <w:t xml:space="preserve"> </w:t>
      </w:r>
      <w:r>
        <w:rPr>
          <w:color w:val="231F20"/>
          <w:w w:val="105"/>
        </w:rPr>
        <w:t>information,</w:t>
      </w:r>
      <w:r>
        <w:rPr>
          <w:color w:val="231F20"/>
          <w:spacing w:val="-1"/>
          <w:w w:val="105"/>
        </w:rPr>
        <w:t xml:space="preserve"> </w:t>
      </w:r>
      <w:r>
        <w:rPr>
          <w:color w:val="231F20"/>
          <w:w w:val="105"/>
        </w:rPr>
        <w:t>etc.)</w:t>
      </w:r>
      <w:r>
        <w:rPr>
          <w:color w:val="231F20"/>
          <w:spacing w:val="-1"/>
          <w:w w:val="105"/>
        </w:rPr>
        <w:t xml:space="preserve"> </w:t>
      </w:r>
      <w:r>
        <w:rPr>
          <w:color w:val="231F20"/>
          <w:w w:val="105"/>
        </w:rPr>
        <w:t>between</w:t>
      </w:r>
      <w:r>
        <w:rPr>
          <w:color w:val="231F20"/>
          <w:spacing w:val="-1"/>
          <w:w w:val="105"/>
        </w:rPr>
        <w:t xml:space="preserve"> </w:t>
      </w:r>
      <w:r>
        <w:rPr>
          <w:color w:val="231F20"/>
          <w:w w:val="105"/>
        </w:rPr>
        <w:t>two</w:t>
      </w:r>
      <w:r>
        <w:rPr>
          <w:color w:val="231F20"/>
          <w:spacing w:val="-1"/>
          <w:w w:val="105"/>
        </w:rPr>
        <w:t xml:space="preserve"> </w:t>
      </w:r>
      <w:r>
        <w:rPr>
          <w:color w:val="231F20"/>
          <w:w w:val="105"/>
        </w:rPr>
        <w:t>or</w:t>
      </w:r>
      <w:r>
        <w:rPr>
          <w:color w:val="231F20"/>
          <w:spacing w:val="-1"/>
          <w:w w:val="105"/>
        </w:rPr>
        <w:t xml:space="preserve"> </w:t>
      </w:r>
      <w:r>
        <w:rPr>
          <w:color w:val="231F20"/>
          <w:w w:val="105"/>
        </w:rPr>
        <w:t xml:space="preserve">more </w:t>
      </w:r>
      <w:r>
        <w:rPr>
          <w:color w:val="231F20"/>
        </w:rPr>
        <w:t>parties to accomplish collaborative goals’ (Selin &amp; Chavez,</w:t>
      </w:r>
      <w:r>
        <w:rPr>
          <w:color w:val="231F20"/>
        </w:rPr>
        <w:t xml:space="preserve"> 1995: 845). </w:t>
      </w:r>
      <w:r>
        <w:rPr>
          <w:color w:val="231F20"/>
          <w:w w:val="95"/>
        </w:rPr>
        <w:t xml:space="preserve">Partnership is particularly important in a sport tourism context given the </w:t>
      </w:r>
      <w:r>
        <w:rPr>
          <w:color w:val="231F20"/>
        </w:rPr>
        <w:t>many stakeholders involved. In his study of the restructuring of winter resorts in the French Alps, Tuppen (2000: 337) noted that development ‘…results</w:t>
      </w:r>
      <w:r>
        <w:rPr>
          <w:color w:val="231F20"/>
          <w:spacing w:val="-1"/>
        </w:rPr>
        <w:t xml:space="preserve"> </w:t>
      </w:r>
      <w:r>
        <w:rPr>
          <w:color w:val="231F20"/>
        </w:rPr>
        <w:t>from</w:t>
      </w:r>
      <w:r>
        <w:rPr>
          <w:color w:val="231F20"/>
          <w:spacing w:val="-1"/>
        </w:rPr>
        <w:t xml:space="preserve"> </w:t>
      </w:r>
      <w:r>
        <w:rPr>
          <w:color w:val="231F20"/>
        </w:rPr>
        <w:t>the</w:t>
      </w:r>
      <w:r>
        <w:rPr>
          <w:color w:val="231F20"/>
          <w:spacing w:val="-1"/>
        </w:rPr>
        <w:t xml:space="preserve"> </w:t>
      </w:r>
      <w:r>
        <w:rPr>
          <w:color w:val="231F20"/>
        </w:rPr>
        <w:t>actions</w:t>
      </w:r>
      <w:r>
        <w:rPr>
          <w:color w:val="231F20"/>
          <w:spacing w:val="-1"/>
        </w:rPr>
        <w:t xml:space="preserve"> </w:t>
      </w:r>
      <w:r>
        <w:rPr>
          <w:color w:val="231F20"/>
        </w:rPr>
        <w:t>of</w:t>
      </w:r>
      <w:r>
        <w:rPr>
          <w:color w:val="231F20"/>
          <w:spacing w:val="-1"/>
        </w:rPr>
        <w:t xml:space="preserve"> </w:t>
      </w:r>
      <w:r>
        <w:rPr>
          <w:color w:val="231F20"/>
        </w:rPr>
        <w:t>different</w:t>
      </w:r>
      <w:r>
        <w:rPr>
          <w:color w:val="231F20"/>
          <w:spacing w:val="-1"/>
        </w:rPr>
        <w:t xml:space="preserve"> </w:t>
      </w:r>
      <w:r>
        <w:rPr>
          <w:color w:val="231F20"/>
        </w:rPr>
        <w:t>organisations</w:t>
      </w:r>
      <w:r>
        <w:rPr>
          <w:color w:val="231F20"/>
          <w:spacing w:val="-1"/>
        </w:rPr>
        <w:t xml:space="preserve"> </w:t>
      </w:r>
      <w:r>
        <w:rPr>
          <w:color w:val="231F20"/>
        </w:rPr>
        <w:t>and</w:t>
      </w:r>
      <w:r>
        <w:rPr>
          <w:color w:val="231F20"/>
          <w:spacing w:val="-1"/>
        </w:rPr>
        <w:t xml:space="preserve"> </w:t>
      </w:r>
      <w:r>
        <w:rPr>
          <w:color w:val="231F20"/>
        </w:rPr>
        <w:t>interest</w:t>
      </w:r>
      <w:r>
        <w:rPr>
          <w:color w:val="231F20"/>
          <w:spacing w:val="-1"/>
        </w:rPr>
        <w:t xml:space="preserve"> </w:t>
      </w:r>
      <w:r>
        <w:rPr>
          <w:color w:val="231F20"/>
        </w:rPr>
        <w:t xml:space="preserve">groups </w:t>
      </w:r>
      <w:r>
        <w:rPr>
          <w:color w:val="231F20"/>
          <w:w w:val="105"/>
        </w:rPr>
        <w:t>in both the public and private sectors, often rendering management</w:t>
      </w:r>
      <w:r>
        <w:rPr>
          <w:color w:val="231F20"/>
          <w:spacing w:val="40"/>
          <w:w w:val="105"/>
        </w:rPr>
        <w:t xml:space="preserve"> </w:t>
      </w:r>
      <w:r>
        <w:rPr>
          <w:color w:val="231F20"/>
          <w:w w:val="105"/>
        </w:rPr>
        <w:t xml:space="preserve">a complex task’. In addition to the sheer number and diversity of </w:t>
      </w:r>
      <w:r>
        <w:rPr>
          <w:color w:val="231F20"/>
        </w:rPr>
        <w:t xml:space="preserve">stakeholders who may be involved, the dynamic of power shifts among </w:t>
      </w:r>
      <w:r>
        <w:rPr>
          <w:color w:val="231F20"/>
          <w:w w:val="105"/>
        </w:rPr>
        <w:t>these s</w:t>
      </w:r>
      <w:r>
        <w:rPr>
          <w:color w:val="231F20"/>
          <w:w w:val="105"/>
        </w:rPr>
        <w:t xml:space="preserve">takeholders throughout the temporal course of development </w:t>
      </w:r>
      <w:r>
        <w:rPr>
          <w:color w:val="231F20"/>
        </w:rPr>
        <w:t>further complicates these partnerships.</w:t>
      </w:r>
    </w:p>
    <w:p w14:paraId="547D5180" w14:textId="77777777" w:rsidR="00AE0598" w:rsidRDefault="0069255A">
      <w:pPr>
        <w:pStyle w:val="Corpodetexto"/>
        <w:spacing w:before="19" w:line="232" w:lineRule="auto"/>
        <w:ind w:left="110" w:right="127" w:firstLine="320"/>
        <w:jc w:val="both"/>
      </w:pPr>
      <w:r>
        <w:rPr>
          <w:color w:val="231F20"/>
          <w:w w:val="95"/>
        </w:rPr>
        <w:t xml:space="preserve">There are various additional constraints to sport tourism partnerships. Competition between stakeholders, bureaucratic inertia and geographic as </w:t>
      </w:r>
      <w:r>
        <w:rPr>
          <w:color w:val="231F20"/>
          <w:spacing w:val="-2"/>
        </w:rPr>
        <w:t>well</w:t>
      </w:r>
      <w:r>
        <w:rPr>
          <w:color w:val="231F20"/>
          <w:spacing w:val="-7"/>
        </w:rPr>
        <w:t xml:space="preserve"> </w:t>
      </w:r>
      <w:r>
        <w:rPr>
          <w:color w:val="231F20"/>
          <w:spacing w:val="-2"/>
        </w:rPr>
        <w:t>as</w:t>
      </w:r>
      <w:r>
        <w:rPr>
          <w:color w:val="231F20"/>
          <w:spacing w:val="-7"/>
        </w:rPr>
        <w:t xml:space="preserve"> </w:t>
      </w:r>
      <w:r>
        <w:rPr>
          <w:color w:val="231F20"/>
          <w:spacing w:val="-2"/>
        </w:rPr>
        <w:t>organisational</w:t>
      </w:r>
      <w:r>
        <w:rPr>
          <w:color w:val="231F20"/>
          <w:spacing w:val="-7"/>
        </w:rPr>
        <w:t xml:space="preserve"> </w:t>
      </w:r>
      <w:r>
        <w:rPr>
          <w:color w:val="231F20"/>
          <w:spacing w:val="-2"/>
        </w:rPr>
        <w:t>fragmentation</w:t>
      </w:r>
      <w:r>
        <w:rPr>
          <w:color w:val="231F20"/>
          <w:spacing w:val="-7"/>
        </w:rPr>
        <w:t xml:space="preserve"> </w:t>
      </w:r>
      <w:r>
        <w:rPr>
          <w:color w:val="231F20"/>
          <w:spacing w:val="-2"/>
        </w:rPr>
        <w:t>are</w:t>
      </w:r>
      <w:r>
        <w:rPr>
          <w:color w:val="231F20"/>
          <w:spacing w:val="-7"/>
        </w:rPr>
        <w:t xml:space="preserve"> </w:t>
      </w:r>
      <w:r>
        <w:rPr>
          <w:color w:val="231F20"/>
          <w:spacing w:val="-2"/>
        </w:rPr>
        <w:t>typical</w:t>
      </w:r>
      <w:r>
        <w:rPr>
          <w:color w:val="231F20"/>
          <w:spacing w:val="-7"/>
        </w:rPr>
        <w:t xml:space="preserve"> </w:t>
      </w:r>
      <w:r>
        <w:rPr>
          <w:color w:val="231F20"/>
          <w:spacing w:val="-2"/>
        </w:rPr>
        <w:t>(Selin</w:t>
      </w:r>
      <w:r>
        <w:rPr>
          <w:color w:val="231F20"/>
          <w:spacing w:val="-7"/>
        </w:rPr>
        <w:t xml:space="preserve"> </w:t>
      </w:r>
      <w:r>
        <w:rPr>
          <w:color w:val="231F20"/>
          <w:spacing w:val="-2"/>
        </w:rPr>
        <w:t>&amp;</w:t>
      </w:r>
      <w:r>
        <w:rPr>
          <w:color w:val="231F20"/>
          <w:spacing w:val="-7"/>
        </w:rPr>
        <w:t xml:space="preserve"> </w:t>
      </w:r>
      <w:r>
        <w:rPr>
          <w:color w:val="231F20"/>
          <w:spacing w:val="-2"/>
        </w:rPr>
        <w:t>Chavez,</w:t>
      </w:r>
      <w:r>
        <w:rPr>
          <w:color w:val="231F20"/>
          <w:spacing w:val="-7"/>
        </w:rPr>
        <w:t xml:space="preserve"> </w:t>
      </w:r>
      <w:r>
        <w:rPr>
          <w:color w:val="231F20"/>
          <w:spacing w:val="-2"/>
        </w:rPr>
        <w:t>1995).</w:t>
      </w:r>
      <w:r>
        <w:rPr>
          <w:color w:val="231F20"/>
          <w:spacing w:val="-7"/>
        </w:rPr>
        <w:t xml:space="preserve"> </w:t>
      </w:r>
      <w:r>
        <w:rPr>
          <w:color w:val="231F20"/>
          <w:spacing w:val="-2"/>
        </w:rPr>
        <w:t xml:space="preserve">In </w:t>
      </w:r>
      <w:r>
        <w:rPr>
          <w:color w:val="231F20"/>
        </w:rPr>
        <w:t xml:space="preserve">the specific context of sport tourism, the Commonwealth Department of </w:t>
      </w:r>
      <w:r>
        <w:rPr>
          <w:color w:val="231F20"/>
          <w:w w:val="95"/>
        </w:rPr>
        <w:t>Industry,</w:t>
      </w:r>
      <w:r>
        <w:rPr>
          <w:color w:val="231F20"/>
          <w:spacing w:val="-6"/>
          <w:w w:val="95"/>
        </w:rPr>
        <w:t xml:space="preserve"> </w:t>
      </w:r>
      <w:r>
        <w:rPr>
          <w:color w:val="231F20"/>
          <w:w w:val="95"/>
        </w:rPr>
        <w:t>Science</w:t>
      </w:r>
      <w:r>
        <w:rPr>
          <w:color w:val="231F20"/>
          <w:spacing w:val="-5"/>
          <w:w w:val="95"/>
        </w:rPr>
        <w:t xml:space="preserve"> </w:t>
      </w:r>
      <w:r>
        <w:rPr>
          <w:color w:val="231F20"/>
          <w:w w:val="95"/>
        </w:rPr>
        <w:t>and</w:t>
      </w:r>
      <w:r>
        <w:rPr>
          <w:color w:val="231F20"/>
          <w:spacing w:val="-5"/>
          <w:w w:val="95"/>
        </w:rPr>
        <w:t xml:space="preserve"> </w:t>
      </w:r>
      <w:r>
        <w:rPr>
          <w:color w:val="231F20"/>
          <w:w w:val="95"/>
        </w:rPr>
        <w:t>Resources</w:t>
      </w:r>
      <w:r>
        <w:rPr>
          <w:color w:val="231F20"/>
          <w:spacing w:val="-5"/>
          <w:w w:val="95"/>
        </w:rPr>
        <w:t xml:space="preserve"> </w:t>
      </w:r>
      <w:r>
        <w:rPr>
          <w:color w:val="231F20"/>
          <w:w w:val="95"/>
        </w:rPr>
        <w:t>(2000)</w:t>
      </w:r>
      <w:r>
        <w:rPr>
          <w:color w:val="231F20"/>
          <w:spacing w:val="-5"/>
          <w:w w:val="95"/>
        </w:rPr>
        <w:t xml:space="preserve"> </w:t>
      </w:r>
      <w:r>
        <w:rPr>
          <w:color w:val="231F20"/>
          <w:w w:val="95"/>
        </w:rPr>
        <w:t>highlighted</w:t>
      </w:r>
      <w:r>
        <w:rPr>
          <w:color w:val="231F20"/>
          <w:spacing w:val="-5"/>
          <w:w w:val="95"/>
        </w:rPr>
        <w:t xml:space="preserve"> </w:t>
      </w:r>
      <w:r>
        <w:rPr>
          <w:color w:val="231F20"/>
          <w:w w:val="95"/>
        </w:rPr>
        <w:t>the</w:t>
      </w:r>
      <w:r>
        <w:rPr>
          <w:color w:val="231F20"/>
          <w:spacing w:val="-5"/>
          <w:w w:val="95"/>
        </w:rPr>
        <w:t xml:space="preserve"> </w:t>
      </w:r>
      <w:r>
        <w:rPr>
          <w:color w:val="231F20"/>
          <w:w w:val="95"/>
        </w:rPr>
        <w:t>lack</w:t>
      </w:r>
      <w:r>
        <w:rPr>
          <w:color w:val="231F20"/>
          <w:spacing w:val="-5"/>
          <w:w w:val="95"/>
        </w:rPr>
        <w:t xml:space="preserve"> </w:t>
      </w:r>
      <w:r>
        <w:rPr>
          <w:color w:val="231F20"/>
          <w:w w:val="95"/>
        </w:rPr>
        <w:t>of awareness</w:t>
      </w:r>
      <w:r>
        <w:rPr>
          <w:color w:val="231F20"/>
          <w:spacing w:val="-5"/>
          <w:w w:val="95"/>
        </w:rPr>
        <w:t xml:space="preserve"> </w:t>
      </w:r>
      <w:r>
        <w:rPr>
          <w:color w:val="231F20"/>
          <w:w w:val="95"/>
        </w:rPr>
        <w:t>of the mutual benefits of establishing allian</w:t>
      </w:r>
      <w:r>
        <w:rPr>
          <w:color w:val="231F20"/>
          <w:w w:val="95"/>
        </w:rPr>
        <w:t xml:space="preserve">ces and difficulties in coordinating </w:t>
      </w:r>
      <w:r>
        <w:rPr>
          <w:color w:val="231F20"/>
        </w:rPr>
        <w:t>resources</w:t>
      </w:r>
      <w:r>
        <w:rPr>
          <w:color w:val="231F20"/>
          <w:spacing w:val="-3"/>
        </w:rPr>
        <w:t xml:space="preserve"> </w:t>
      </w:r>
      <w:r>
        <w:rPr>
          <w:color w:val="231F20"/>
        </w:rPr>
        <w:t>and</w:t>
      </w:r>
      <w:r>
        <w:rPr>
          <w:color w:val="231F20"/>
          <w:spacing w:val="-3"/>
        </w:rPr>
        <w:t xml:space="preserve"> </w:t>
      </w:r>
      <w:r>
        <w:rPr>
          <w:color w:val="231F20"/>
        </w:rPr>
        <w:t>information.</w:t>
      </w:r>
      <w:r>
        <w:rPr>
          <w:color w:val="231F20"/>
          <w:spacing w:val="-3"/>
        </w:rPr>
        <w:t xml:space="preserve"> </w:t>
      </w:r>
      <w:r>
        <w:rPr>
          <w:color w:val="231F20"/>
        </w:rPr>
        <w:t>Based</w:t>
      </w:r>
      <w:r>
        <w:rPr>
          <w:color w:val="231F20"/>
          <w:spacing w:val="-3"/>
        </w:rPr>
        <w:t xml:space="preserve"> </w:t>
      </w:r>
      <w:r>
        <w:rPr>
          <w:color w:val="231F20"/>
        </w:rPr>
        <w:t>on</w:t>
      </w:r>
      <w:r>
        <w:rPr>
          <w:color w:val="231F20"/>
          <w:spacing w:val="-3"/>
        </w:rPr>
        <w:t xml:space="preserve"> </w:t>
      </w:r>
      <w:r>
        <w:rPr>
          <w:color w:val="231F20"/>
        </w:rPr>
        <w:t>a</w:t>
      </w:r>
      <w:r>
        <w:rPr>
          <w:color w:val="231F20"/>
          <w:spacing w:val="-3"/>
        </w:rPr>
        <w:t xml:space="preserve"> </w:t>
      </w:r>
      <w:r>
        <w:rPr>
          <w:color w:val="231F20"/>
        </w:rPr>
        <w:t>study</w:t>
      </w:r>
      <w:r>
        <w:rPr>
          <w:color w:val="231F20"/>
          <w:spacing w:val="-3"/>
        </w:rPr>
        <w:t xml:space="preserve"> </w:t>
      </w:r>
      <w:r>
        <w:rPr>
          <w:color w:val="231F20"/>
        </w:rPr>
        <w:t>of sport</w:t>
      </w:r>
      <w:r>
        <w:rPr>
          <w:color w:val="231F20"/>
          <w:spacing w:val="-3"/>
        </w:rPr>
        <w:t xml:space="preserve"> </w:t>
      </w:r>
      <w:r>
        <w:rPr>
          <w:color w:val="231F20"/>
        </w:rPr>
        <w:t>and</w:t>
      </w:r>
      <w:r>
        <w:rPr>
          <w:color w:val="231F20"/>
          <w:spacing w:val="-3"/>
        </w:rPr>
        <w:t xml:space="preserve"> </w:t>
      </w:r>
      <w:r>
        <w:rPr>
          <w:color w:val="231F20"/>
        </w:rPr>
        <w:t>tourism</w:t>
      </w:r>
      <w:r>
        <w:rPr>
          <w:color w:val="231F20"/>
          <w:spacing w:val="-3"/>
        </w:rPr>
        <w:t xml:space="preserve"> </w:t>
      </w:r>
      <w:r>
        <w:rPr>
          <w:color w:val="231F20"/>
        </w:rPr>
        <w:t>policy in the UK, Weed (2003) added that the main constraints to successful sport</w:t>
      </w:r>
      <w:r>
        <w:rPr>
          <w:color w:val="231F20"/>
          <w:spacing w:val="52"/>
        </w:rPr>
        <w:t xml:space="preserve"> </w:t>
      </w:r>
      <w:r>
        <w:rPr>
          <w:color w:val="231F20"/>
        </w:rPr>
        <w:t>tourism</w:t>
      </w:r>
      <w:r>
        <w:rPr>
          <w:color w:val="231F20"/>
          <w:spacing w:val="52"/>
        </w:rPr>
        <w:t xml:space="preserve"> </w:t>
      </w:r>
      <w:r>
        <w:rPr>
          <w:color w:val="231F20"/>
        </w:rPr>
        <w:t>partnerships</w:t>
      </w:r>
      <w:r>
        <w:rPr>
          <w:color w:val="231F20"/>
          <w:spacing w:val="52"/>
        </w:rPr>
        <w:t xml:space="preserve"> </w:t>
      </w:r>
      <w:r>
        <w:rPr>
          <w:color w:val="231F20"/>
        </w:rPr>
        <w:t>were</w:t>
      </w:r>
      <w:r>
        <w:rPr>
          <w:color w:val="231F20"/>
          <w:spacing w:val="52"/>
        </w:rPr>
        <w:t xml:space="preserve"> </w:t>
      </w:r>
      <w:r>
        <w:rPr>
          <w:color w:val="231F20"/>
        </w:rPr>
        <w:t>ideological</w:t>
      </w:r>
      <w:r>
        <w:rPr>
          <w:color w:val="231F20"/>
          <w:spacing w:val="52"/>
        </w:rPr>
        <w:t xml:space="preserve"> </w:t>
      </w:r>
      <w:r>
        <w:rPr>
          <w:color w:val="231F20"/>
        </w:rPr>
        <w:t>differences,</w:t>
      </w:r>
      <w:r>
        <w:rPr>
          <w:color w:val="231F20"/>
          <w:spacing w:val="52"/>
        </w:rPr>
        <w:t xml:space="preserve"> </w:t>
      </w:r>
      <w:r>
        <w:rPr>
          <w:color w:val="231F20"/>
          <w:spacing w:val="-2"/>
          <w:w w:val="95"/>
        </w:rPr>
        <w:t>inconsistent</w:t>
      </w:r>
    </w:p>
    <w:p w14:paraId="66AC7B42" w14:textId="77777777" w:rsidR="00AE0598" w:rsidRDefault="00AE0598">
      <w:pPr>
        <w:spacing w:line="232" w:lineRule="auto"/>
        <w:jc w:val="both"/>
        <w:sectPr w:rsidR="00AE0598">
          <w:pgSz w:w="8850" w:h="13270"/>
          <w:pgMar w:top="720" w:right="1060" w:bottom="280" w:left="1080" w:header="720" w:footer="720" w:gutter="0"/>
          <w:cols w:space="720"/>
        </w:sectPr>
      </w:pPr>
    </w:p>
    <w:p w14:paraId="02017211" w14:textId="77777777" w:rsidR="00AE0598" w:rsidRDefault="0069255A">
      <w:pPr>
        <w:spacing w:before="87"/>
        <w:ind w:left="108"/>
        <w:jc w:val="both"/>
        <w:rPr>
          <w:rFonts w:ascii="Trebuchet MS"/>
          <w:sz w:val="14"/>
        </w:rPr>
      </w:pPr>
      <w:r>
        <w:rPr>
          <w:rFonts w:ascii="Trebuchet MS"/>
          <w:color w:val="231F20"/>
          <w:w w:val="105"/>
          <w:sz w:val="14"/>
        </w:rPr>
        <w:lastRenderedPageBreak/>
        <w:t>84</w:t>
      </w:r>
      <w:r>
        <w:rPr>
          <w:rFonts w:ascii="Trebuchet MS"/>
          <w:color w:val="231F20"/>
          <w:spacing w:val="64"/>
          <w:w w:val="150"/>
          <w:sz w:val="14"/>
        </w:rPr>
        <w:t xml:space="preserve"> </w:t>
      </w:r>
      <w:r>
        <w:rPr>
          <w:rFonts w:ascii="Trebuchet MS"/>
          <w:color w:val="231F20"/>
          <w:w w:val="105"/>
          <w:sz w:val="14"/>
        </w:rPr>
        <w:t>Part</w:t>
      </w:r>
      <w:r>
        <w:rPr>
          <w:rFonts w:ascii="Trebuchet MS"/>
          <w:color w:val="231F20"/>
          <w:spacing w:val="-9"/>
          <w:w w:val="105"/>
          <w:sz w:val="14"/>
        </w:rPr>
        <w:t xml:space="preserve"> </w:t>
      </w:r>
      <w:r>
        <w:rPr>
          <w:rFonts w:ascii="Trebuchet MS"/>
          <w:color w:val="231F20"/>
          <w:w w:val="105"/>
          <w:sz w:val="14"/>
        </w:rPr>
        <w:t>2:</w:t>
      </w:r>
      <w:r>
        <w:rPr>
          <w:rFonts w:ascii="Trebuchet MS"/>
          <w:color w:val="231F20"/>
          <w:spacing w:val="-9"/>
          <w:w w:val="105"/>
          <w:sz w:val="14"/>
        </w:rPr>
        <w:t xml:space="preserve"> </w:t>
      </w:r>
      <w:r>
        <w:rPr>
          <w:rFonts w:ascii="Trebuchet MS"/>
          <w:color w:val="231F20"/>
          <w:w w:val="105"/>
          <w:sz w:val="14"/>
        </w:rPr>
        <w:t>Foundations</w:t>
      </w:r>
      <w:r>
        <w:rPr>
          <w:rFonts w:ascii="Trebuchet MS"/>
          <w:color w:val="231F20"/>
          <w:spacing w:val="-9"/>
          <w:w w:val="105"/>
          <w:sz w:val="14"/>
        </w:rPr>
        <w:t xml:space="preserve"> </w:t>
      </w:r>
      <w:r>
        <w:rPr>
          <w:rFonts w:ascii="Trebuchet MS"/>
          <w:color w:val="231F20"/>
          <w:w w:val="105"/>
          <w:sz w:val="14"/>
        </w:rPr>
        <w:t>of</w:t>
      </w:r>
      <w:r>
        <w:rPr>
          <w:rFonts w:ascii="Trebuchet MS"/>
          <w:color w:val="231F20"/>
          <w:spacing w:val="-9"/>
          <w:w w:val="105"/>
          <w:sz w:val="14"/>
        </w:rPr>
        <w:t xml:space="preserve"> </w:t>
      </w:r>
      <w:r>
        <w:rPr>
          <w:rFonts w:ascii="Trebuchet MS"/>
          <w:color w:val="231F20"/>
          <w:w w:val="105"/>
          <w:sz w:val="14"/>
        </w:rPr>
        <w:t>Sport</w:t>
      </w:r>
      <w:r>
        <w:rPr>
          <w:rFonts w:ascii="Trebuchet MS"/>
          <w:color w:val="231F20"/>
          <w:spacing w:val="-9"/>
          <w:w w:val="105"/>
          <w:sz w:val="14"/>
        </w:rPr>
        <w:t xml:space="preserve"> </w:t>
      </w:r>
      <w:r>
        <w:rPr>
          <w:rFonts w:ascii="Trebuchet MS"/>
          <w:color w:val="231F20"/>
          <w:w w:val="105"/>
          <w:sz w:val="14"/>
        </w:rPr>
        <w:t>Tourism</w:t>
      </w:r>
      <w:r>
        <w:rPr>
          <w:rFonts w:ascii="Trebuchet MS"/>
          <w:color w:val="231F20"/>
          <w:spacing w:val="-9"/>
          <w:w w:val="105"/>
          <w:sz w:val="14"/>
        </w:rPr>
        <w:t xml:space="preserve"> </w:t>
      </w:r>
      <w:r>
        <w:rPr>
          <w:rFonts w:ascii="Trebuchet MS"/>
          <w:color w:val="231F20"/>
          <w:spacing w:val="-2"/>
          <w:w w:val="105"/>
          <w:sz w:val="14"/>
        </w:rPr>
        <w:t>Development</w:t>
      </w:r>
    </w:p>
    <w:p w14:paraId="0C81968C" w14:textId="77777777" w:rsidR="00AE0598" w:rsidRDefault="00AE0598">
      <w:pPr>
        <w:pStyle w:val="Corpodetexto"/>
        <w:rPr>
          <w:rFonts w:ascii="Trebuchet MS"/>
          <w:sz w:val="16"/>
        </w:rPr>
      </w:pPr>
    </w:p>
    <w:p w14:paraId="62793E52" w14:textId="77777777" w:rsidR="00AE0598" w:rsidRDefault="0069255A">
      <w:pPr>
        <w:pStyle w:val="Corpodetexto"/>
        <w:spacing w:before="118" w:line="232" w:lineRule="auto"/>
        <w:ind w:left="110" w:right="128"/>
        <w:jc w:val="both"/>
      </w:pPr>
      <w:r>
        <w:rPr>
          <w:color w:val="231F20"/>
          <w:w w:val="95"/>
        </w:rPr>
        <w:t xml:space="preserve">understanding of key concepts and definitions, differing regional contexts, </w:t>
      </w:r>
      <w:r>
        <w:rPr>
          <w:color w:val="231F20"/>
          <w:spacing w:val="-2"/>
        </w:rPr>
        <w:t>unsupportive</w:t>
      </w:r>
      <w:r>
        <w:rPr>
          <w:color w:val="231F20"/>
          <w:spacing w:val="-10"/>
        </w:rPr>
        <w:t xml:space="preserve"> </w:t>
      </w:r>
      <w:r>
        <w:rPr>
          <w:color w:val="231F20"/>
          <w:spacing w:val="-2"/>
        </w:rPr>
        <w:t>government</w:t>
      </w:r>
      <w:r>
        <w:rPr>
          <w:color w:val="231F20"/>
          <w:spacing w:val="-9"/>
        </w:rPr>
        <w:t xml:space="preserve"> </w:t>
      </w:r>
      <w:r>
        <w:rPr>
          <w:color w:val="231F20"/>
          <w:spacing w:val="-2"/>
        </w:rPr>
        <w:t>policy,</w:t>
      </w:r>
      <w:r>
        <w:rPr>
          <w:color w:val="231F20"/>
          <w:spacing w:val="-10"/>
        </w:rPr>
        <w:t xml:space="preserve"> </w:t>
      </w:r>
      <w:r>
        <w:rPr>
          <w:color w:val="231F20"/>
          <w:spacing w:val="-2"/>
        </w:rPr>
        <w:t>intransigent</w:t>
      </w:r>
      <w:r>
        <w:rPr>
          <w:color w:val="231F20"/>
          <w:spacing w:val="-9"/>
        </w:rPr>
        <w:t xml:space="preserve"> </w:t>
      </w:r>
      <w:r>
        <w:rPr>
          <w:color w:val="231F20"/>
          <w:spacing w:val="-2"/>
        </w:rPr>
        <w:t>organisational</w:t>
      </w:r>
      <w:r>
        <w:rPr>
          <w:color w:val="231F20"/>
          <w:spacing w:val="-10"/>
        </w:rPr>
        <w:t xml:space="preserve"> </w:t>
      </w:r>
      <w:r>
        <w:rPr>
          <w:color w:val="231F20"/>
          <w:spacing w:val="-2"/>
        </w:rPr>
        <w:t>cultures</w:t>
      </w:r>
      <w:r>
        <w:rPr>
          <w:color w:val="231F20"/>
          <w:spacing w:val="-9"/>
        </w:rPr>
        <w:t xml:space="preserve"> </w:t>
      </w:r>
      <w:r>
        <w:rPr>
          <w:color w:val="231F20"/>
          <w:spacing w:val="-2"/>
        </w:rPr>
        <w:t>and structures, and individuals with contradictory styles and interests.</w:t>
      </w:r>
    </w:p>
    <w:p w14:paraId="6058A8DE" w14:textId="77777777" w:rsidR="00AE0598" w:rsidRDefault="0069255A">
      <w:pPr>
        <w:pStyle w:val="Corpodetexto"/>
        <w:spacing w:before="4" w:line="232" w:lineRule="auto"/>
        <w:ind w:left="110" w:right="127" w:firstLine="320"/>
        <w:jc w:val="both"/>
      </w:pPr>
      <w:r>
        <w:rPr>
          <w:color w:val="231F20"/>
        </w:rPr>
        <w:t>The bottom line is that successful partnerships need partners who recognise their mutual interest. Participating organisations must also</w:t>
      </w:r>
      <w:r>
        <w:rPr>
          <w:color w:val="231F20"/>
          <w:spacing w:val="80"/>
        </w:rPr>
        <w:t xml:space="preserve"> </w:t>
      </w:r>
      <w:r>
        <w:rPr>
          <w:color w:val="231F20"/>
        </w:rPr>
        <w:t>be characterised by a domain focus that is goa</w:t>
      </w:r>
      <w:r>
        <w:rPr>
          <w:color w:val="231F20"/>
        </w:rPr>
        <w:t xml:space="preserve">l oriented rather than organisation oriented. Kennelly and Toohey’s (2014) case study of a </w:t>
      </w:r>
      <w:r>
        <w:rPr>
          <w:color w:val="231F20"/>
          <w:w w:val="95"/>
        </w:rPr>
        <w:t>strategic</w:t>
      </w:r>
      <w:r>
        <w:rPr>
          <w:color w:val="231F20"/>
          <w:spacing w:val="38"/>
        </w:rPr>
        <w:t xml:space="preserve"> </w:t>
      </w:r>
      <w:r>
        <w:rPr>
          <w:color w:val="231F20"/>
          <w:w w:val="95"/>
        </w:rPr>
        <w:t>alliance</w:t>
      </w:r>
      <w:r>
        <w:rPr>
          <w:color w:val="231F20"/>
          <w:spacing w:val="38"/>
        </w:rPr>
        <w:t xml:space="preserve"> </w:t>
      </w:r>
      <w:r>
        <w:rPr>
          <w:color w:val="231F20"/>
          <w:w w:val="95"/>
        </w:rPr>
        <w:t>between</w:t>
      </w:r>
      <w:r>
        <w:rPr>
          <w:color w:val="231F20"/>
          <w:spacing w:val="38"/>
        </w:rPr>
        <w:t xml:space="preserve"> </w:t>
      </w:r>
      <w:r>
        <w:rPr>
          <w:color w:val="231F20"/>
          <w:w w:val="95"/>
        </w:rPr>
        <w:t>(1)</w:t>
      </w:r>
      <w:r>
        <w:rPr>
          <w:color w:val="231F20"/>
          <w:spacing w:val="38"/>
        </w:rPr>
        <w:t xml:space="preserve"> </w:t>
      </w:r>
      <w:r>
        <w:rPr>
          <w:color w:val="231F20"/>
          <w:w w:val="95"/>
        </w:rPr>
        <w:t>an</w:t>
      </w:r>
      <w:r>
        <w:rPr>
          <w:color w:val="231F20"/>
          <w:spacing w:val="38"/>
        </w:rPr>
        <w:t xml:space="preserve"> </w:t>
      </w:r>
      <w:r>
        <w:rPr>
          <w:color w:val="231F20"/>
          <w:w w:val="95"/>
        </w:rPr>
        <w:t>Australian</w:t>
      </w:r>
      <w:r>
        <w:rPr>
          <w:color w:val="231F20"/>
          <w:spacing w:val="38"/>
        </w:rPr>
        <w:t xml:space="preserve"> </w:t>
      </w:r>
      <w:r>
        <w:rPr>
          <w:color w:val="231F20"/>
          <w:w w:val="95"/>
        </w:rPr>
        <w:t>national</w:t>
      </w:r>
      <w:r>
        <w:rPr>
          <w:color w:val="231F20"/>
          <w:spacing w:val="38"/>
        </w:rPr>
        <w:t xml:space="preserve"> </w:t>
      </w:r>
      <w:r>
        <w:rPr>
          <w:color w:val="231F20"/>
          <w:w w:val="95"/>
        </w:rPr>
        <w:t>sport</w:t>
      </w:r>
      <w:r>
        <w:rPr>
          <w:color w:val="231F20"/>
          <w:spacing w:val="38"/>
        </w:rPr>
        <w:t xml:space="preserve"> </w:t>
      </w:r>
      <w:r>
        <w:rPr>
          <w:color w:val="231F20"/>
          <w:w w:val="95"/>
        </w:rPr>
        <w:t>organisation,</w:t>
      </w:r>
    </w:p>
    <w:p w14:paraId="44533C71" w14:textId="77777777" w:rsidR="00AE0598" w:rsidRDefault="0069255A">
      <w:pPr>
        <w:pStyle w:val="Corpodetexto"/>
        <w:spacing w:before="6" w:line="232" w:lineRule="auto"/>
        <w:ind w:left="110" w:right="126"/>
        <w:jc w:val="both"/>
      </w:pPr>
      <w:r>
        <w:rPr>
          <w:color w:val="231F20"/>
        </w:rPr>
        <w:t xml:space="preserve">(2) Australian rugby union and (3) sport tour operators suggested that these sport tourism alliances have potential. They found that alliance partners accrued a range of tangible (including financial) and intangible </w:t>
      </w:r>
      <w:r>
        <w:rPr>
          <w:color w:val="231F20"/>
          <w:w w:val="95"/>
        </w:rPr>
        <w:t xml:space="preserve">benefits that encouraged continued support for the partnership. Moreover, </w:t>
      </w:r>
      <w:r>
        <w:rPr>
          <w:color w:val="231F20"/>
        </w:rPr>
        <w:t>the partnership also benefited rugby fans by providing a better rugby experience and served the public interest more broadly by making a positive contribution to the national economy</w:t>
      </w:r>
      <w:r>
        <w:rPr>
          <w:color w:val="231F20"/>
        </w:rPr>
        <w:t>.</w:t>
      </w:r>
    </w:p>
    <w:p w14:paraId="48429530" w14:textId="77777777" w:rsidR="00AE0598" w:rsidRDefault="00AE0598">
      <w:pPr>
        <w:pStyle w:val="Corpodetexto"/>
        <w:spacing w:before="7"/>
      </w:pPr>
    </w:p>
    <w:p w14:paraId="3D623FFC" w14:textId="77777777" w:rsidR="00AE0598" w:rsidRDefault="0069255A">
      <w:pPr>
        <w:ind w:left="110"/>
        <w:rPr>
          <w:rFonts w:ascii="Trebuchet MS"/>
          <w:b/>
          <w:sz w:val="20"/>
        </w:rPr>
      </w:pPr>
      <w:r>
        <w:rPr>
          <w:rFonts w:ascii="Trebuchet MS"/>
          <w:b/>
          <w:color w:val="231F20"/>
          <w:spacing w:val="-2"/>
          <w:sz w:val="20"/>
        </w:rPr>
        <w:t>Conclusion</w:t>
      </w:r>
    </w:p>
    <w:p w14:paraId="7D3D6F73" w14:textId="77777777" w:rsidR="00AE0598" w:rsidRDefault="0069255A">
      <w:pPr>
        <w:pStyle w:val="Corpodetexto"/>
        <w:spacing w:before="122" w:line="232" w:lineRule="auto"/>
        <w:ind w:left="110" w:right="127" w:firstLine="320"/>
        <w:jc w:val="both"/>
      </w:pPr>
      <w:r>
        <w:rPr>
          <w:color w:val="231F20"/>
        </w:rPr>
        <w:t>The</w:t>
      </w:r>
      <w:r>
        <w:rPr>
          <w:color w:val="231F20"/>
          <w:spacing w:val="-7"/>
        </w:rPr>
        <w:t xml:space="preserve"> </w:t>
      </w:r>
      <w:r>
        <w:rPr>
          <w:color w:val="231F20"/>
        </w:rPr>
        <w:t>underlying</w:t>
      </w:r>
      <w:r>
        <w:rPr>
          <w:color w:val="231F20"/>
          <w:spacing w:val="-7"/>
        </w:rPr>
        <w:t xml:space="preserve"> </w:t>
      </w:r>
      <w:r>
        <w:rPr>
          <w:color w:val="231F20"/>
        </w:rPr>
        <w:t>premise</w:t>
      </w:r>
      <w:r>
        <w:rPr>
          <w:color w:val="231F20"/>
          <w:spacing w:val="-7"/>
        </w:rPr>
        <w:t xml:space="preserve"> </w:t>
      </w:r>
      <w:r>
        <w:rPr>
          <w:color w:val="231F20"/>
        </w:rPr>
        <w:t>of</w:t>
      </w:r>
      <w:r>
        <w:rPr>
          <w:color w:val="231F20"/>
          <w:spacing w:val="-7"/>
        </w:rPr>
        <w:t xml:space="preserve"> </w:t>
      </w:r>
      <w:r>
        <w:rPr>
          <w:color w:val="231F20"/>
        </w:rPr>
        <w:t>this</w:t>
      </w:r>
      <w:r>
        <w:rPr>
          <w:color w:val="231F20"/>
          <w:spacing w:val="-7"/>
        </w:rPr>
        <w:t xml:space="preserve"> </w:t>
      </w:r>
      <w:r>
        <w:rPr>
          <w:color w:val="231F20"/>
        </w:rPr>
        <w:t>book</w:t>
      </w:r>
      <w:r>
        <w:rPr>
          <w:color w:val="231F20"/>
          <w:spacing w:val="-7"/>
        </w:rPr>
        <w:t xml:space="preserve"> </w:t>
      </w:r>
      <w:r>
        <w:rPr>
          <w:color w:val="231F20"/>
        </w:rPr>
        <w:t>is</w:t>
      </w:r>
      <w:r>
        <w:rPr>
          <w:color w:val="231F20"/>
          <w:spacing w:val="-7"/>
        </w:rPr>
        <w:t xml:space="preserve"> </w:t>
      </w:r>
      <w:r>
        <w:rPr>
          <w:color w:val="231F20"/>
        </w:rPr>
        <w:t>that</w:t>
      </w:r>
      <w:r>
        <w:rPr>
          <w:color w:val="231F20"/>
          <w:spacing w:val="-7"/>
        </w:rPr>
        <w:t xml:space="preserve"> </w:t>
      </w:r>
      <w:r>
        <w:rPr>
          <w:color w:val="231F20"/>
        </w:rPr>
        <w:t>the</w:t>
      </w:r>
      <w:r>
        <w:rPr>
          <w:color w:val="231F20"/>
          <w:spacing w:val="-7"/>
        </w:rPr>
        <w:t xml:space="preserve"> </w:t>
      </w:r>
      <w:r>
        <w:rPr>
          <w:color w:val="231F20"/>
        </w:rPr>
        <w:t>sustainability</w:t>
      </w:r>
      <w:r>
        <w:rPr>
          <w:color w:val="231F20"/>
          <w:spacing w:val="-7"/>
        </w:rPr>
        <w:t xml:space="preserve"> </w:t>
      </w:r>
      <w:r>
        <w:rPr>
          <w:color w:val="231F20"/>
        </w:rPr>
        <w:t>of</w:t>
      </w:r>
      <w:r>
        <w:rPr>
          <w:color w:val="231F20"/>
          <w:spacing w:val="-7"/>
        </w:rPr>
        <w:t xml:space="preserve"> </w:t>
      </w:r>
      <w:r>
        <w:rPr>
          <w:color w:val="231F20"/>
        </w:rPr>
        <w:t xml:space="preserve">sport </w:t>
      </w:r>
      <w:r>
        <w:rPr>
          <w:color w:val="231F20"/>
          <w:w w:val="95"/>
        </w:rPr>
        <w:t xml:space="preserve">tourism can be facilitated by active intervention in the processes operating </w:t>
      </w:r>
      <w:r>
        <w:rPr>
          <w:color w:val="231F20"/>
        </w:rPr>
        <w:t>in the realms of sport and tourism. Such interventions should target the spectator event, par</w:t>
      </w:r>
      <w:r>
        <w:rPr>
          <w:color w:val="231F20"/>
        </w:rPr>
        <w:t xml:space="preserve">ticipant event, active and heritage dimensions of </w:t>
      </w:r>
      <w:r>
        <w:rPr>
          <w:color w:val="231F20"/>
          <w:w w:val="95"/>
        </w:rPr>
        <w:t xml:space="preserve">sport tourism. Planning will help to optimise the design (or redesign) and </w:t>
      </w:r>
      <w:r>
        <w:rPr>
          <w:color w:val="231F20"/>
        </w:rPr>
        <w:t>development</w:t>
      </w:r>
      <w:r>
        <w:rPr>
          <w:color w:val="231F20"/>
          <w:spacing w:val="-12"/>
        </w:rPr>
        <w:t xml:space="preserve"> </w:t>
      </w:r>
      <w:r>
        <w:rPr>
          <w:color w:val="231F20"/>
        </w:rPr>
        <w:t>of</w:t>
      </w:r>
      <w:r>
        <w:rPr>
          <w:color w:val="231F20"/>
          <w:spacing w:val="-11"/>
        </w:rPr>
        <w:t xml:space="preserve"> </w:t>
      </w:r>
      <w:r>
        <w:rPr>
          <w:color w:val="231F20"/>
        </w:rPr>
        <w:t>sport</w:t>
      </w:r>
      <w:r>
        <w:rPr>
          <w:color w:val="231F20"/>
          <w:spacing w:val="-12"/>
        </w:rPr>
        <w:t xml:space="preserve"> </w:t>
      </w:r>
      <w:r>
        <w:rPr>
          <w:color w:val="231F20"/>
        </w:rPr>
        <w:t>tourism</w:t>
      </w:r>
      <w:r>
        <w:rPr>
          <w:color w:val="231F20"/>
          <w:spacing w:val="-11"/>
        </w:rPr>
        <w:t xml:space="preserve"> </w:t>
      </w:r>
      <w:r>
        <w:rPr>
          <w:color w:val="231F20"/>
        </w:rPr>
        <w:t>products</w:t>
      </w:r>
      <w:r>
        <w:rPr>
          <w:color w:val="231F20"/>
          <w:spacing w:val="-12"/>
        </w:rPr>
        <w:t xml:space="preserve"> </w:t>
      </w:r>
      <w:r>
        <w:rPr>
          <w:color w:val="231F20"/>
        </w:rPr>
        <w:t>and</w:t>
      </w:r>
      <w:r>
        <w:rPr>
          <w:color w:val="231F20"/>
          <w:spacing w:val="-11"/>
        </w:rPr>
        <w:t xml:space="preserve"> </w:t>
      </w:r>
      <w:r>
        <w:rPr>
          <w:color w:val="231F20"/>
        </w:rPr>
        <w:t>services</w:t>
      </w:r>
      <w:r>
        <w:rPr>
          <w:color w:val="231F20"/>
          <w:spacing w:val="-12"/>
        </w:rPr>
        <w:t xml:space="preserve"> </w:t>
      </w:r>
      <w:r>
        <w:rPr>
          <w:color w:val="231F20"/>
        </w:rPr>
        <w:t>and</w:t>
      </w:r>
      <w:r>
        <w:rPr>
          <w:color w:val="231F20"/>
          <w:spacing w:val="-11"/>
        </w:rPr>
        <w:t xml:space="preserve"> </w:t>
      </w:r>
      <w:r>
        <w:rPr>
          <w:color w:val="231F20"/>
        </w:rPr>
        <w:t>by</w:t>
      </w:r>
      <w:r>
        <w:rPr>
          <w:color w:val="231F20"/>
          <w:spacing w:val="-12"/>
        </w:rPr>
        <w:t xml:space="preserve"> </w:t>
      </w:r>
      <w:r>
        <w:rPr>
          <w:color w:val="231F20"/>
        </w:rPr>
        <w:t>so</w:t>
      </w:r>
      <w:r>
        <w:rPr>
          <w:color w:val="231F20"/>
          <w:spacing w:val="-11"/>
        </w:rPr>
        <w:t xml:space="preserve"> </w:t>
      </w:r>
      <w:r>
        <w:rPr>
          <w:color w:val="231F20"/>
        </w:rPr>
        <w:t>doing,</w:t>
      </w:r>
      <w:r>
        <w:rPr>
          <w:color w:val="231F20"/>
          <w:spacing w:val="-12"/>
        </w:rPr>
        <w:t xml:space="preserve"> </w:t>
      </w:r>
      <w:r>
        <w:rPr>
          <w:color w:val="231F20"/>
        </w:rPr>
        <w:t>will impact the environment in which sport tourism functions.</w:t>
      </w:r>
    </w:p>
    <w:p w14:paraId="38E984DD" w14:textId="77777777" w:rsidR="00AE0598" w:rsidRDefault="0069255A">
      <w:pPr>
        <w:pStyle w:val="Corpodetexto"/>
        <w:spacing w:before="9" w:line="232" w:lineRule="auto"/>
        <w:ind w:left="110" w:right="126" w:firstLine="320"/>
        <w:jc w:val="both"/>
      </w:pPr>
      <w:r>
        <w:rPr>
          <w:color w:val="231F20"/>
        </w:rPr>
        <w:t>S</w:t>
      </w:r>
      <w:r>
        <w:rPr>
          <w:color w:val="231F20"/>
        </w:rPr>
        <w:t>port</w:t>
      </w:r>
      <w:r>
        <w:rPr>
          <w:color w:val="231F20"/>
          <w:spacing w:val="-3"/>
        </w:rPr>
        <w:t xml:space="preserve"> </w:t>
      </w:r>
      <w:r>
        <w:rPr>
          <w:color w:val="231F20"/>
        </w:rPr>
        <w:t>tourism</w:t>
      </w:r>
      <w:r>
        <w:rPr>
          <w:color w:val="231F20"/>
          <w:spacing w:val="-3"/>
        </w:rPr>
        <w:t xml:space="preserve"> </w:t>
      </w:r>
      <w:r>
        <w:rPr>
          <w:color w:val="231F20"/>
        </w:rPr>
        <w:t>developers</w:t>
      </w:r>
      <w:r>
        <w:rPr>
          <w:color w:val="231F20"/>
          <w:spacing w:val="-3"/>
        </w:rPr>
        <w:t xml:space="preserve"> </w:t>
      </w:r>
      <w:r>
        <w:rPr>
          <w:color w:val="231F20"/>
        </w:rPr>
        <w:t>need</w:t>
      </w:r>
      <w:r>
        <w:rPr>
          <w:color w:val="231F20"/>
          <w:spacing w:val="-3"/>
        </w:rPr>
        <w:t xml:space="preserve"> </w:t>
      </w:r>
      <w:r>
        <w:rPr>
          <w:color w:val="231F20"/>
        </w:rPr>
        <w:t>to</w:t>
      </w:r>
      <w:r>
        <w:rPr>
          <w:color w:val="231F20"/>
          <w:spacing w:val="-3"/>
        </w:rPr>
        <w:t xml:space="preserve"> </w:t>
      </w:r>
      <w:r>
        <w:rPr>
          <w:color w:val="231F20"/>
        </w:rPr>
        <w:t>be</w:t>
      </w:r>
      <w:r>
        <w:rPr>
          <w:color w:val="231F20"/>
          <w:spacing w:val="-3"/>
        </w:rPr>
        <w:t xml:space="preserve"> </w:t>
      </w:r>
      <w:r>
        <w:rPr>
          <w:color w:val="231F20"/>
        </w:rPr>
        <w:t>conscious</w:t>
      </w:r>
      <w:r>
        <w:rPr>
          <w:color w:val="231F20"/>
          <w:spacing w:val="-3"/>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rPr>
        <w:t>challenges</w:t>
      </w:r>
      <w:r>
        <w:rPr>
          <w:color w:val="231F20"/>
          <w:spacing w:val="-3"/>
        </w:rPr>
        <w:t xml:space="preserve"> </w:t>
      </w:r>
      <w:r>
        <w:rPr>
          <w:color w:val="231F20"/>
        </w:rPr>
        <w:t>that they face in terms of c</w:t>
      </w:r>
      <w:r>
        <w:rPr>
          <w:color w:val="231F20"/>
          <w:spacing w:val="-3"/>
          <w:w w:val="104"/>
        </w:rPr>
        <w:t>o</w:t>
      </w:r>
      <w:r>
        <w:rPr>
          <w:color w:val="231F20"/>
          <w:spacing w:val="2"/>
        </w:rPr>
        <w:t>m</w:t>
      </w:r>
      <w:r>
        <w:rPr>
          <w:color w:val="231F20"/>
          <w:spacing w:val="-2"/>
        </w:rPr>
        <w:t>m</w:t>
      </w:r>
      <w:r>
        <w:rPr>
          <w:color w:val="231F20"/>
          <w:spacing w:val="1"/>
          <w:w w:val="104"/>
        </w:rPr>
        <w:t>o</w:t>
      </w:r>
      <w:r>
        <w:rPr>
          <w:color w:val="231F20"/>
          <w:spacing w:val="3"/>
          <w:w w:val="99"/>
        </w:rPr>
        <w:t>d</w:t>
      </w:r>
      <w:r>
        <w:rPr>
          <w:color w:val="231F20"/>
          <w:spacing w:val="3"/>
          <w:w w:val="101"/>
        </w:rPr>
        <w:t>i</w:t>
      </w:r>
      <w:r>
        <w:rPr>
          <w:color w:val="231F20"/>
          <w:spacing w:val="-1"/>
          <w:w w:val="95"/>
        </w:rPr>
        <w:t>f</w:t>
      </w:r>
      <w:r>
        <w:rPr>
          <w:color w:val="231F20"/>
          <w:spacing w:val="2"/>
          <w:w w:val="95"/>
        </w:rPr>
        <w:t>i</w:t>
      </w:r>
      <w:r>
        <w:rPr>
          <w:color w:val="231F20"/>
          <w:spacing w:val="2"/>
          <w:w w:val="101"/>
        </w:rPr>
        <w:t>c</w:t>
      </w:r>
      <w:r>
        <w:rPr>
          <w:color w:val="231F20"/>
          <w:spacing w:val="-3"/>
          <w:w w:val="101"/>
        </w:rPr>
        <w:t>a</w:t>
      </w:r>
      <w:r>
        <w:rPr>
          <w:color w:val="231F20"/>
          <w:spacing w:val="2"/>
        </w:rPr>
        <w:t>t</w:t>
      </w:r>
      <w:r>
        <w:rPr>
          <w:color w:val="231F20"/>
          <w:spacing w:val="-3"/>
        </w:rPr>
        <w:t>i</w:t>
      </w:r>
      <w:r>
        <w:rPr>
          <w:color w:val="231F20"/>
          <w:spacing w:val="-2"/>
          <w:w w:val="104"/>
        </w:rPr>
        <w:t>o</w:t>
      </w:r>
      <w:r>
        <w:rPr>
          <w:color w:val="231F20"/>
          <w:spacing w:val="8"/>
          <w:w w:val="99"/>
        </w:rPr>
        <w:t>n</w:t>
      </w:r>
      <w:r>
        <w:rPr>
          <w:color w:val="231F20"/>
          <w:spacing w:val="-9"/>
          <w:w w:val="61"/>
        </w:rPr>
        <w:t>/</w:t>
      </w:r>
      <w:r>
        <w:rPr>
          <w:color w:val="231F20"/>
          <w:spacing w:val="-4"/>
          <w:w w:val="102"/>
        </w:rPr>
        <w:t>a</w:t>
      </w:r>
      <w:r>
        <w:rPr>
          <w:color w:val="231F20"/>
          <w:spacing w:val="-2"/>
        </w:rPr>
        <w:t>u</w:t>
      </w:r>
      <w:r>
        <w:rPr>
          <w:color w:val="231F20"/>
          <w:spacing w:val="3"/>
          <w:w w:val="99"/>
        </w:rPr>
        <w:t>t</w:t>
      </w:r>
      <w:r>
        <w:rPr>
          <w:color w:val="231F20"/>
          <w:spacing w:val="-1"/>
        </w:rPr>
        <w:t>h</w:t>
      </w:r>
      <w:r>
        <w:rPr>
          <w:color w:val="231F20"/>
          <w:w w:val="91"/>
        </w:rPr>
        <w:t>e</w:t>
      </w:r>
      <w:r>
        <w:rPr>
          <w:color w:val="231F20"/>
          <w:spacing w:val="-2"/>
          <w:w w:val="99"/>
        </w:rPr>
        <w:t>n</w:t>
      </w:r>
      <w:r>
        <w:rPr>
          <w:color w:val="231F20"/>
          <w:spacing w:val="2"/>
          <w:w w:val="99"/>
        </w:rPr>
        <w:t>t</w:t>
      </w:r>
      <w:r>
        <w:rPr>
          <w:color w:val="231F20"/>
          <w:spacing w:val="-2"/>
          <w:w w:val="101"/>
        </w:rPr>
        <w:t>i</w:t>
      </w:r>
      <w:r>
        <w:rPr>
          <w:color w:val="231F20"/>
          <w:spacing w:val="1"/>
        </w:rPr>
        <w:t>c</w:t>
      </w:r>
      <w:r>
        <w:rPr>
          <w:color w:val="231F20"/>
          <w:spacing w:val="-3"/>
          <w:w w:val="101"/>
        </w:rPr>
        <w:t>i</w:t>
      </w:r>
      <w:r>
        <w:rPr>
          <w:color w:val="231F20"/>
          <w:spacing w:val="5"/>
          <w:w w:val="99"/>
        </w:rPr>
        <w:t>t</w:t>
      </w:r>
      <w:r>
        <w:rPr>
          <w:color w:val="231F20"/>
          <w:spacing w:val="-15"/>
          <w:w w:val="99"/>
        </w:rPr>
        <w:t>y</w:t>
      </w:r>
      <w:r>
        <w:rPr>
          <w:color w:val="231F20"/>
          <w:spacing w:val="-1"/>
          <w:w w:val="136"/>
        </w:rPr>
        <w:t>,</w:t>
      </w:r>
      <w:r>
        <w:rPr>
          <w:color w:val="231F20"/>
          <w:spacing w:val="-1"/>
          <w:w w:val="99"/>
        </w:rPr>
        <w:t xml:space="preserve"> </w:t>
      </w:r>
      <w:r>
        <w:rPr>
          <w:color w:val="231F20"/>
        </w:rPr>
        <w:t xml:space="preserve">globalisation and </w:t>
      </w:r>
      <w:r>
        <w:rPr>
          <w:color w:val="231F20"/>
          <w:w w:val="95"/>
        </w:rPr>
        <w:t xml:space="preserve">organisational fragmentation. They should, however, also be aware of the </w:t>
      </w:r>
      <w:r>
        <w:rPr>
          <w:color w:val="231F20"/>
        </w:rPr>
        <w:t>opportunities</w:t>
      </w:r>
      <w:r>
        <w:rPr>
          <w:color w:val="231F20"/>
          <w:spacing w:val="-2"/>
        </w:rPr>
        <w:t xml:space="preserve"> </w:t>
      </w:r>
      <w:r>
        <w:rPr>
          <w:color w:val="231F20"/>
        </w:rPr>
        <w:t>that</w:t>
      </w:r>
      <w:r>
        <w:rPr>
          <w:color w:val="231F20"/>
          <w:spacing w:val="-2"/>
        </w:rPr>
        <w:t xml:space="preserve"> </w:t>
      </w:r>
      <w:r>
        <w:rPr>
          <w:color w:val="231F20"/>
        </w:rPr>
        <w:t>accompany</w:t>
      </w:r>
      <w:r>
        <w:rPr>
          <w:color w:val="231F20"/>
          <w:spacing w:val="-2"/>
        </w:rPr>
        <w:t xml:space="preserve"> </w:t>
      </w:r>
      <w:r>
        <w:rPr>
          <w:color w:val="231F20"/>
        </w:rPr>
        <w:t>these</w:t>
      </w:r>
      <w:r>
        <w:rPr>
          <w:color w:val="231F20"/>
          <w:spacing w:val="-2"/>
        </w:rPr>
        <w:t xml:space="preserve"> </w:t>
      </w:r>
      <w:r>
        <w:rPr>
          <w:color w:val="231F20"/>
        </w:rPr>
        <w:t>issues.</w:t>
      </w:r>
      <w:r>
        <w:rPr>
          <w:color w:val="231F20"/>
          <w:spacing w:val="-2"/>
        </w:rPr>
        <w:t xml:space="preserve"> </w:t>
      </w:r>
      <w:r>
        <w:rPr>
          <w:color w:val="231F20"/>
        </w:rPr>
        <w:t>In</w:t>
      </w:r>
      <w:r>
        <w:rPr>
          <w:color w:val="231F20"/>
          <w:spacing w:val="-2"/>
        </w:rPr>
        <w:t xml:space="preserve"> </w:t>
      </w:r>
      <w:r>
        <w:rPr>
          <w:color w:val="231F20"/>
        </w:rPr>
        <w:t>terms</w:t>
      </w:r>
      <w:r>
        <w:rPr>
          <w:color w:val="231F20"/>
          <w:spacing w:val="-2"/>
        </w:rPr>
        <w:t xml:space="preserve"> </w:t>
      </w:r>
      <w:r>
        <w:rPr>
          <w:color w:val="231F20"/>
        </w:rPr>
        <w:t>of</w:t>
      </w:r>
      <w:r>
        <w:rPr>
          <w:color w:val="231F20"/>
          <w:spacing w:val="-2"/>
        </w:rPr>
        <w:t xml:space="preserve"> </w:t>
      </w:r>
      <w:r>
        <w:rPr>
          <w:color w:val="231F20"/>
        </w:rPr>
        <w:t>commodification and authenticity, the protection of the sport attraction should be a fundamental objective. Care must be taken t</w:t>
      </w:r>
      <w:r>
        <w:rPr>
          <w:color w:val="231F20"/>
        </w:rPr>
        <w:t xml:space="preserve">o keep the spirit of sport </w:t>
      </w:r>
      <w:r>
        <w:rPr>
          <w:color w:val="231F20"/>
          <w:w w:val="95"/>
        </w:rPr>
        <w:t xml:space="preserve">competition and the entertainment spectacle in appropriate balance. Media representations need to be rooted in place (Chapter 6). The authenticity of </w:t>
      </w:r>
      <w:r>
        <w:rPr>
          <w:color w:val="231F20"/>
        </w:rPr>
        <w:t>the</w:t>
      </w:r>
      <w:r>
        <w:rPr>
          <w:color w:val="231F20"/>
          <w:spacing w:val="-8"/>
        </w:rPr>
        <w:t xml:space="preserve"> </w:t>
      </w:r>
      <w:r>
        <w:rPr>
          <w:color w:val="231F20"/>
        </w:rPr>
        <w:t>sport</w:t>
      </w:r>
      <w:r>
        <w:rPr>
          <w:color w:val="231F20"/>
          <w:spacing w:val="-8"/>
        </w:rPr>
        <w:t xml:space="preserve"> </w:t>
      </w:r>
      <w:r>
        <w:rPr>
          <w:color w:val="231F20"/>
        </w:rPr>
        <w:t>attraction</w:t>
      </w:r>
      <w:r>
        <w:rPr>
          <w:color w:val="231F20"/>
          <w:spacing w:val="-8"/>
        </w:rPr>
        <w:t xml:space="preserve"> </w:t>
      </w:r>
      <w:r>
        <w:rPr>
          <w:color w:val="231F20"/>
        </w:rPr>
        <w:t>should</w:t>
      </w:r>
      <w:r>
        <w:rPr>
          <w:color w:val="231F20"/>
          <w:spacing w:val="-8"/>
        </w:rPr>
        <w:t xml:space="preserve"> </w:t>
      </w:r>
      <w:r>
        <w:rPr>
          <w:color w:val="231F20"/>
        </w:rPr>
        <w:t>be</w:t>
      </w:r>
      <w:r>
        <w:rPr>
          <w:color w:val="231F20"/>
          <w:spacing w:val="-8"/>
        </w:rPr>
        <w:t xml:space="preserve"> </w:t>
      </w:r>
      <w:r>
        <w:rPr>
          <w:color w:val="231F20"/>
        </w:rPr>
        <w:t>retained</w:t>
      </w:r>
      <w:r>
        <w:rPr>
          <w:color w:val="231F20"/>
          <w:spacing w:val="-8"/>
        </w:rPr>
        <w:t xml:space="preserve"> </w:t>
      </w:r>
      <w:r>
        <w:rPr>
          <w:color w:val="231F20"/>
        </w:rPr>
        <w:t>without</w:t>
      </w:r>
      <w:r>
        <w:rPr>
          <w:color w:val="231F20"/>
          <w:spacing w:val="-8"/>
        </w:rPr>
        <w:t xml:space="preserve"> </w:t>
      </w:r>
      <w:r>
        <w:rPr>
          <w:color w:val="231F20"/>
        </w:rPr>
        <w:t>suppressing</w:t>
      </w:r>
      <w:r>
        <w:rPr>
          <w:color w:val="231F20"/>
          <w:spacing w:val="-8"/>
        </w:rPr>
        <w:t xml:space="preserve"> </w:t>
      </w:r>
      <w:r>
        <w:rPr>
          <w:color w:val="231F20"/>
        </w:rPr>
        <w:t>the</w:t>
      </w:r>
      <w:r>
        <w:rPr>
          <w:color w:val="231F20"/>
          <w:spacing w:val="-8"/>
        </w:rPr>
        <w:t xml:space="preserve"> </w:t>
      </w:r>
      <w:r>
        <w:rPr>
          <w:color w:val="231F20"/>
        </w:rPr>
        <w:t>dynamic evoluti</w:t>
      </w:r>
      <w:r>
        <w:rPr>
          <w:color w:val="231F20"/>
        </w:rPr>
        <w:t>on</w:t>
      </w:r>
      <w:r>
        <w:rPr>
          <w:color w:val="231F20"/>
          <w:spacing w:val="-4"/>
        </w:rPr>
        <w:t xml:space="preserve"> </w:t>
      </w:r>
      <w:r>
        <w:rPr>
          <w:color w:val="231F20"/>
        </w:rPr>
        <w:t>of</w:t>
      </w:r>
      <w:r>
        <w:rPr>
          <w:color w:val="231F20"/>
          <w:spacing w:val="-4"/>
        </w:rPr>
        <w:t xml:space="preserve"> </w:t>
      </w:r>
      <w:r>
        <w:rPr>
          <w:color w:val="231F20"/>
        </w:rPr>
        <w:t>a</w:t>
      </w:r>
      <w:r>
        <w:rPr>
          <w:color w:val="231F20"/>
          <w:spacing w:val="-4"/>
        </w:rPr>
        <w:t xml:space="preserve"> </w:t>
      </w:r>
      <w:r>
        <w:rPr>
          <w:color w:val="231F20"/>
        </w:rPr>
        <w:t>sport</w:t>
      </w:r>
      <w:r>
        <w:rPr>
          <w:color w:val="231F20"/>
          <w:spacing w:val="-4"/>
        </w:rPr>
        <w:t xml:space="preserve"> </w:t>
      </w:r>
      <w:r>
        <w:rPr>
          <w:color w:val="231F20"/>
        </w:rPr>
        <w:t>(Chapter</w:t>
      </w:r>
      <w:r>
        <w:rPr>
          <w:color w:val="231F20"/>
          <w:spacing w:val="-4"/>
        </w:rPr>
        <w:t xml:space="preserve"> </w:t>
      </w:r>
      <w:r>
        <w:rPr>
          <w:color w:val="231F20"/>
        </w:rPr>
        <w:t>10).</w:t>
      </w:r>
      <w:r>
        <w:rPr>
          <w:color w:val="231F20"/>
          <w:spacing w:val="-4"/>
        </w:rPr>
        <w:t xml:space="preserve"> </w:t>
      </w:r>
      <w:r>
        <w:rPr>
          <w:color w:val="231F20"/>
        </w:rPr>
        <w:t>Relative</w:t>
      </w:r>
      <w:r>
        <w:rPr>
          <w:color w:val="231F20"/>
          <w:spacing w:val="-4"/>
        </w:rPr>
        <w:t xml:space="preserve"> </w:t>
      </w:r>
      <w:r>
        <w:rPr>
          <w:color w:val="231F20"/>
        </w:rPr>
        <w:t>to</w:t>
      </w:r>
      <w:r>
        <w:rPr>
          <w:color w:val="231F20"/>
          <w:spacing w:val="-4"/>
        </w:rPr>
        <w:t xml:space="preserve"> </w:t>
      </w:r>
      <w:r>
        <w:rPr>
          <w:color w:val="231F20"/>
        </w:rPr>
        <w:t>many</w:t>
      </w:r>
      <w:r>
        <w:rPr>
          <w:color w:val="231F20"/>
          <w:spacing w:val="-4"/>
        </w:rPr>
        <w:t xml:space="preserve"> </w:t>
      </w:r>
      <w:r>
        <w:rPr>
          <w:color w:val="231F20"/>
        </w:rPr>
        <w:t>other</w:t>
      </w:r>
      <w:r>
        <w:rPr>
          <w:color w:val="231F20"/>
          <w:spacing w:val="-4"/>
        </w:rPr>
        <w:t xml:space="preserve"> </w:t>
      </w:r>
      <w:r>
        <w:rPr>
          <w:color w:val="231F20"/>
        </w:rPr>
        <w:t>types</w:t>
      </w:r>
      <w:r>
        <w:rPr>
          <w:color w:val="231F20"/>
          <w:spacing w:val="-4"/>
        </w:rPr>
        <w:t xml:space="preserve"> </w:t>
      </w:r>
      <w:r>
        <w:rPr>
          <w:color w:val="231F20"/>
        </w:rPr>
        <w:t>of</w:t>
      </w:r>
      <w:r>
        <w:rPr>
          <w:color w:val="231F20"/>
          <w:spacing w:val="-4"/>
        </w:rPr>
        <w:t xml:space="preserve"> </w:t>
      </w:r>
      <w:r>
        <w:rPr>
          <w:color w:val="231F20"/>
        </w:rPr>
        <w:t xml:space="preserve">tourist </w:t>
      </w:r>
      <w:r>
        <w:rPr>
          <w:color w:val="231F20"/>
          <w:w w:val="95"/>
        </w:rPr>
        <w:t>attractions,</w:t>
      </w:r>
      <w:r>
        <w:rPr>
          <w:color w:val="231F20"/>
          <w:spacing w:val="-4"/>
          <w:w w:val="95"/>
        </w:rPr>
        <w:t xml:space="preserve"> </w:t>
      </w:r>
      <w:r>
        <w:rPr>
          <w:color w:val="231F20"/>
          <w:w w:val="95"/>
        </w:rPr>
        <w:t>sport</w:t>
      </w:r>
      <w:r>
        <w:rPr>
          <w:color w:val="231F20"/>
          <w:spacing w:val="-4"/>
          <w:w w:val="95"/>
        </w:rPr>
        <w:t xml:space="preserve"> </w:t>
      </w:r>
      <w:r>
        <w:rPr>
          <w:color w:val="231F20"/>
          <w:w w:val="95"/>
        </w:rPr>
        <w:t>has</w:t>
      </w:r>
      <w:r>
        <w:rPr>
          <w:color w:val="231F20"/>
          <w:spacing w:val="-4"/>
          <w:w w:val="95"/>
        </w:rPr>
        <w:t xml:space="preserve"> </w:t>
      </w:r>
      <w:r>
        <w:rPr>
          <w:color w:val="231F20"/>
          <w:w w:val="95"/>
        </w:rPr>
        <w:t>a</w:t>
      </w:r>
      <w:r>
        <w:rPr>
          <w:color w:val="231F20"/>
          <w:spacing w:val="-4"/>
          <w:w w:val="95"/>
        </w:rPr>
        <w:t xml:space="preserve"> </w:t>
      </w:r>
      <w:r>
        <w:rPr>
          <w:color w:val="231F20"/>
          <w:w w:val="95"/>
        </w:rPr>
        <w:t>major</w:t>
      </w:r>
      <w:r>
        <w:rPr>
          <w:color w:val="231F20"/>
          <w:spacing w:val="-4"/>
          <w:w w:val="95"/>
        </w:rPr>
        <w:t xml:space="preserve"> </w:t>
      </w:r>
      <w:r>
        <w:rPr>
          <w:color w:val="231F20"/>
          <w:w w:val="95"/>
        </w:rPr>
        <w:t>advantage</w:t>
      </w:r>
      <w:r>
        <w:rPr>
          <w:color w:val="231F20"/>
          <w:spacing w:val="-4"/>
          <w:w w:val="95"/>
        </w:rPr>
        <w:t xml:space="preserve"> </w:t>
      </w:r>
      <w:r>
        <w:rPr>
          <w:color w:val="231F20"/>
          <w:w w:val="95"/>
        </w:rPr>
        <w:t>in</w:t>
      </w:r>
      <w:r>
        <w:rPr>
          <w:color w:val="231F20"/>
          <w:spacing w:val="-4"/>
          <w:w w:val="95"/>
        </w:rPr>
        <w:t xml:space="preserve"> </w:t>
      </w:r>
      <w:r>
        <w:rPr>
          <w:color w:val="231F20"/>
          <w:w w:val="95"/>
        </w:rPr>
        <w:t>terms</w:t>
      </w:r>
      <w:r>
        <w:rPr>
          <w:color w:val="231F20"/>
          <w:spacing w:val="-4"/>
          <w:w w:val="95"/>
        </w:rPr>
        <w:t xml:space="preserve"> </w:t>
      </w:r>
      <w:r>
        <w:rPr>
          <w:color w:val="231F20"/>
          <w:w w:val="95"/>
        </w:rPr>
        <w:t>of</w:t>
      </w:r>
      <w:r>
        <w:rPr>
          <w:color w:val="231F20"/>
          <w:spacing w:val="-4"/>
          <w:w w:val="95"/>
        </w:rPr>
        <w:t xml:space="preserve"> </w:t>
      </w:r>
      <w:r>
        <w:rPr>
          <w:color w:val="231F20"/>
          <w:w w:val="95"/>
        </w:rPr>
        <w:t>the</w:t>
      </w:r>
      <w:r>
        <w:rPr>
          <w:color w:val="231F20"/>
          <w:spacing w:val="-4"/>
          <w:w w:val="95"/>
        </w:rPr>
        <w:t xml:space="preserve"> </w:t>
      </w:r>
      <w:r>
        <w:rPr>
          <w:color w:val="231F20"/>
          <w:w w:val="95"/>
        </w:rPr>
        <w:t>joys</w:t>
      </w:r>
      <w:r>
        <w:rPr>
          <w:color w:val="231F20"/>
          <w:spacing w:val="-4"/>
          <w:w w:val="95"/>
        </w:rPr>
        <w:t xml:space="preserve"> </w:t>
      </w:r>
      <w:r>
        <w:rPr>
          <w:color w:val="231F20"/>
          <w:w w:val="95"/>
        </w:rPr>
        <w:t>of</w:t>
      </w:r>
      <w:r>
        <w:rPr>
          <w:color w:val="231F20"/>
          <w:spacing w:val="-4"/>
          <w:w w:val="95"/>
        </w:rPr>
        <w:t xml:space="preserve"> </w:t>
      </w:r>
      <w:r>
        <w:rPr>
          <w:color w:val="231F20"/>
          <w:w w:val="95"/>
        </w:rPr>
        <w:t xml:space="preserve">performance, </w:t>
      </w:r>
      <w:r>
        <w:rPr>
          <w:color w:val="231F20"/>
        </w:rPr>
        <w:t>its unpredictable drama, its embodied nature and the communities that are associated with it. By maintaining the integrity of sports, spectators and active sport tourists will have access to the ‘backstage’ of sporting destinations where they are more like</w:t>
      </w:r>
      <w:r>
        <w:rPr>
          <w:color w:val="231F20"/>
        </w:rPr>
        <w:t>ly to enjoy authentic experiences of place.</w:t>
      </w:r>
    </w:p>
    <w:p w14:paraId="719AF650" w14:textId="77777777" w:rsidR="00AE0598" w:rsidRDefault="0069255A">
      <w:pPr>
        <w:pStyle w:val="Corpodetexto"/>
        <w:spacing w:before="19" w:line="232" w:lineRule="auto"/>
        <w:ind w:left="110" w:right="127" w:firstLine="320"/>
        <w:jc w:val="both"/>
      </w:pPr>
      <w:r>
        <w:rPr>
          <w:color w:val="231F20"/>
          <w:w w:val="95"/>
        </w:rPr>
        <w:t xml:space="preserve">Globalisation issues play out around the trade-off between global and </w:t>
      </w:r>
      <w:r>
        <w:rPr>
          <w:color w:val="231F20"/>
        </w:rPr>
        <w:t xml:space="preserve">local interests. In many cases, the motivation for hosting major sporting </w:t>
      </w:r>
      <w:r>
        <w:rPr>
          <w:color w:val="231F20"/>
          <w:w w:val="95"/>
        </w:rPr>
        <w:t>events is to establish the host city as a significant player in a gl</w:t>
      </w:r>
      <w:r>
        <w:rPr>
          <w:color w:val="231F20"/>
          <w:w w:val="95"/>
        </w:rPr>
        <w:t>obal context.</w:t>
      </w:r>
    </w:p>
    <w:p w14:paraId="60E847B5" w14:textId="77777777" w:rsidR="00AE0598" w:rsidRDefault="00AE0598">
      <w:pPr>
        <w:spacing w:line="232" w:lineRule="auto"/>
        <w:jc w:val="both"/>
        <w:sectPr w:rsidR="00AE0598">
          <w:pgSz w:w="8850" w:h="13270"/>
          <w:pgMar w:top="720" w:right="1060" w:bottom="280" w:left="1080" w:header="720" w:footer="720" w:gutter="0"/>
          <w:cols w:space="720"/>
        </w:sectPr>
      </w:pPr>
    </w:p>
    <w:p w14:paraId="4A13D347" w14:textId="77777777" w:rsidR="00AE0598" w:rsidRDefault="0069255A">
      <w:pPr>
        <w:spacing w:before="87"/>
        <w:ind w:left="4067"/>
        <w:rPr>
          <w:rFonts w:ascii="Trebuchet MS"/>
          <w:sz w:val="14"/>
        </w:rPr>
      </w:pPr>
      <w:r>
        <w:rPr>
          <w:rFonts w:ascii="Trebuchet MS"/>
          <w:color w:val="231F20"/>
          <w:w w:val="105"/>
          <w:sz w:val="14"/>
        </w:rPr>
        <w:lastRenderedPageBreak/>
        <w:t>Development</w:t>
      </w:r>
      <w:r>
        <w:rPr>
          <w:rFonts w:ascii="Trebuchet MS"/>
          <w:color w:val="231F20"/>
          <w:spacing w:val="-12"/>
          <w:w w:val="105"/>
          <w:sz w:val="14"/>
        </w:rPr>
        <w:t xml:space="preserve"> </w:t>
      </w:r>
      <w:r>
        <w:rPr>
          <w:rFonts w:ascii="Trebuchet MS"/>
          <w:color w:val="231F20"/>
          <w:w w:val="105"/>
          <w:sz w:val="14"/>
        </w:rPr>
        <w:t>Processes</w:t>
      </w:r>
      <w:r>
        <w:rPr>
          <w:rFonts w:ascii="Trebuchet MS"/>
          <w:color w:val="231F20"/>
          <w:spacing w:val="-11"/>
          <w:w w:val="105"/>
          <w:sz w:val="14"/>
        </w:rPr>
        <w:t xml:space="preserve"> </w:t>
      </w:r>
      <w:r>
        <w:rPr>
          <w:rFonts w:ascii="Trebuchet MS"/>
          <w:color w:val="231F20"/>
          <w:w w:val="105"/>
          <w:sz w:val="14"/>
        </w:rPr>
        <w:t>and</w:t>
      </w:r>
      <w:r>
        <w:rPr>
          <w:rFonts w:ascii="Trebuchet MS"/>
          <w:color w:val="231F20"/>
          <w:spacing w:val="-11"/>
          <w:w w:val="105"/>
          <w:sz w:val="14"/>
        </w:rPr>
        <w:t xml:space="preserve"> </w:t>
      </w:r>
      <w:r>
        <w:rPr>
          <w:rFonts w:ascii="Trebuchet MS"/>
          <w:color w:val="231F20"/>
          <w:w w:val="105"/>
          <w:sz w:val="14"/>
        </w:rPr>
        <w:t>Issues</w:t>
      </w:r>
      <w:r>
        <w:rPr>
          <w:rFonts w:ascii="Trebuchet MS"/>
          <w:color w:val="231F20"/>
          <w:spacing w:val="77"/>
          <w:w w:val="105"/>
          <w:sz w:val="14"/>
        </w:rPr>
        <w:t xml:space="preserve"> </w:t>
      </w:r>
      <w:r>
        <w:rPr>
          <w:rFonts w:ascii="Trebuchet MS"/>
          <w:color w:val="231F20"/>
          <w:spacing w:val="-5"/>
          <w:w w:val="105"/>
          <w:sz w:val="14"/>
        </w:rPr>
        <w:t>85</w:t>
      </w:r>
    </w:p>
    <w:p w14:paraId="759D338A" w14:textId="77777777" w:rsidR="00AE0598" w:rsidRDefault="00AE0598">
      <w:pPr>
        <w:pStyle w:val="Corpodetexto"/>
        <w:rPr>
          <w:rFonts w:ascii="Trebuchet MS"/>
          <w:sz w:val="16"/>
        </w:rPr>
      </w:pPr>
    </w:p>
    <w:p w14:paraId="2ACF32CA" w14:textId="77777777" w:rsidR="00AE0598" w:rsidRDefault="0069255A">
      <w:pPr>
        <w:pStyle w:val="Corpodetexto"/>
        <w:spacing w:before="118" w:line="232" w:lineRule="auto"/>
        <w:ind w:left="110" w:right="127"/>
        <w:jc w:val="both"/>
      </w:pPr>
      <w:r>
        <w:rPr>
          <w:color w:val="231F20"/>
        </w:rPr>
        <w:t>For this to happen, the local context of the event needs to be considered and negotiated. Active and heritage-based sport tourism attractions can be used to mediate global demands. Sport tour</w:t>
      </w:r>
      <w:r>
        <w:rPr>
          <w:color w:val="231F20"/>
        </w:rPr>
        <w:t xml:space="preserve">ism strategies to foster a </w:t>
      </w:r>
      <w:r>
        <w:rPr>
          <w:color w:val="231F20"/>
          <w:w w:val="95"/>
        </w:rPr>
        <w:t xml:space="preserve">positive local identity and destination image should be driven by significant </w:t>
      </w:r>
      <w:r>
        <w:rPr>
          <w:color w:val="231F20"/>
        </w:rPr>
        <w:t>local input.</w:t>
      </w:r>
    </w:p>
    <w:p w14:paraId="69DC3A62" w14:textId="77777777" w:rsidR="00AE0598" w:rsidRDefault="0069255A">
      <w:pPr>
        <w:pStyle w:val="Corpodetexto"/>
        <w:spacing w:before="6" w:line="232" w:lineRule="auto"/>
        <w:ind w:left="110" w:right="126" w:firstLine="320"/>
        <w:jc w:val="both"/>
      </w:pPr>
      <w:r>
        <w:rPr>
          <w:color w:val="231F20"/>
          <w:w w:val="95"/>
        </w:rPr>
        <w:t>Sport</w:t>
      </w:r>
      <w:r>
        <w:rPr>
          <w:color w:val="231F20"/>
          <w:spacing w:val="-7"/>
          <w:w w:val="95"/>
        </w:rPr>
        <w:t xml:space="preserve"> </w:t>
      </w:r>
      <w:r>
        <w:rPr>
          <w:color w:val="231F20"/>
          <w:w w:val="95"/>
        </w:rPr>
        <w:t>tourism</w:t>
      </w:r>
      <w:r>
        <w:rPr>
          <w:color w:val="231F20"/>
          <w:spacing w:val="-7"/>
          <w:w w:val="95"/>
        </w:rPr>
        <w:t xml:space="preserve"> </w:t>
      </w:r>
      <w:r>
        <w:rPr>
          <w:color w:val="231F20"/>
          <w:w w:val="95"/>
        </w:rPr>
        <w:t>partnerships</w:t>
      </w:r>
      <w:r>
        <w:rPr>
          <w:color w:val="231F20"/>
          <w:spacing w:val="-7"/>
          <w:w w:val="95"/>
        </w:rPr>
        <w:t xml:space="preserve"> </w:t>
      </w:r>
      <w:r>
        <w:rPr>
          <w:color w:val="231F20"/>
          <w:w w:val="95"/>
        </w:rPr>
        <w:t>should</w:t>
      </w:r>
      <w:r>
        <w:rPr>
          <w:color w:val="231F20"/>
          <w:spacing w:val="-7"/>
          <w:w w:val="95"/>
        </w:rPr>
        <w:t xml:space="preserve"> </w:t>
      </w:r>
      <w:r>
        <w:rPr>
          <w:color w:val="231F20"/>
          <w:w w:val="95"/>
        </w:rPr>
        <w:t>be</w:t>
      </w:r>
      <w:r>
        <w:rPr>
          <w:color w:val="231F20"/>
          <w:spacing w:val="-7"/>
          <w:w w:val="95"/>
        </w:rPr>
        <w:t xml:space="preserve"> </w:t>
      </w:r>
      <w:r>
        <w:rPr>
          <w:color w:val="231F20"/>
          <w:w w:val="95"/>
        </w:rPr>
        <w:t>established</w:t>
      </w:r>
      <w:r>
        <w:rPr>
          <w:color w:val="231F20"/>
          <w:spacing w:val="-7"/>
          <w:w w:val="95"/>
        </w:rPr>
        <w:t xml:space="preserve"> </w:t>
      </w:r>
      <w:r>
        <w:rPr>
          <w:color w:val="231F20"/>
          <w:w w:val="95"/>
        </w:rPr>
        <w:t>and</w:t>
      </w:r>
      <w:r>
        <w:rPr>
          <w:color w:val="231F20"/>
          <w:spacing w:val="-7"/>
          <w:w w:val="95"/>
        </w:rPr>
        <w:t xml:space="preserve"> </w:t>
      </w:r>
      <w:r>
        <w:rPr>
          <w:color w:val="231F20"/>
          <w:w w:val="95"/>
        </w:rPr>
        <w:t>operationalised</w:t>
      </w:r>
      <w:r>
        <w:rPr>
          <w:color w:val="231F20"/>
          <w:spacing w:val="-7"/>
          <w:w w:val="95"/>
        </w:rPr>
        <w:t xml:space="preserve"> </w:t>
      </w:r>
      <w:r>
        <w:rPr>
          <w:color w:val="231F20"/>
          <w:w w:val="95"/>
        </w:rPr>
        <w:t xml:space="preserve">in a way that is mutually beneficial to partner members and the wider society (from the local to the global scale). One of the first steps in such an exercise is to articulate the advantages and goals of cooperative partnerships which </w:t>
      </w:r>
      <w:r>
        <w:rPr>
          <w:color w:val="231F20"/>
        </w:rPr>
        <w:t>usually require caref</w:t>
      </w:r>
      <w:r>
        <w:rPr>
          <w:color w:val="231F20"/>
        </w:rPr>
        <w:t>ul negotiation. It is particularly important for the tourism industry to demonstrate the benefits of involvement for sport groups.</w:t>
      </w:r>
      <w:r>
        <w:rPr>
          <w:color w:val="231F20"/>
          <w:spacing w:val="-1"/>
        </w:rPr>
        <w:t xml:space="preserve"> </w:t>
      </w:r>
      <w:r>
        <w:rPr>
          <w:color w:val="231F20"/>
        </w:rPr>
        <w:t>Sporting</w:t>
      </w:r>
      <w:r>
        <w:rPr>
          <w:color w:val="231F20"/>
          <w:spacing w:val="-1"/>
        </w:rPr>
        <w:t xml:space="preserve"> </w:t>
      </w:r>
      <w:r>
        <w:rPr>
          <w:color w:val="231F20"/>
        </w:rPr>
        <w:t>interests</w:t>
      </w:r>
      <w:r>
        <w:rPr>
          <w:color w:val="231F20"/>
          <w:spacing w:val="-1"/>
        </w:rPr>
        <w:t xml:space="preserve"> </w:t>
      </w:r>
      <w:r>
        <w:rPr>
          <w:color w:val="231F20"/>
        </w:rPr>
        <w:t>must</w:t>
      </w:r>
      <w:r>
        <w:rPr>
          <w:color w:val="231F20"/>
          <w:spacing w:val="-1"/>
        </w:rPr>
        <w:t xml:space="preserve"> </w:t>
      </w:r>
      <w:r>
        <w:rPr>
          <w:color w:val="231F20"/>
        </w:rPr>
        <w:t>be</w:t>
      </w:r>
      <w:r>
        <w:rPr>
          <w:color w:val="231F20"/>
          <w:spacing w:val="-1"/>
        </w:rPr>
        <w:t xml:space="preserve"> </w:t>
      </w:r>
      <w:r>
        <w:rPr>
          <w:color w:val="231F20"/>
        </w:rPr>
        <w:t>convinced</w:t>
      </w:r>
      <w:r>
        <w:rPr>
          <w:color w:val="231F20"/>
          <w:spacing w:val="-1"/>
        </w:rPr>
        <w:t xml:space="preserve"> </w:t>
      </w:r>
      <w:r>
        <w:rPr>
          <w:color w:val="231F20"/>
        </w:rPr>
        <w:t>that</w:t>
      </w:r>
      <w:r>
        <w:rPr>
          <w:color w:val="231F20"/>
          <w:spacing w:val="-1"/>
        </w:rPr>
        <w:t xml:space="preserve"> </w:t>
      </w:r>
      <w:r>
        <w:rPr>
          <w:color w:val="231F20"/>
        </w:rPr>
        <w:t>their</w:t>
      </w:r>
      <w:r>
        <w:rPr>
          <w:color w:val="231F20"/>
          <w:spacing w:val="-1"/>
        </w:rPr>
        <w:t xml:space="preserve"> </w:t>
      </w:r>
      <w:r>
        <w:rPr>
          <w:color w:val="231F20"/>
        </w:rPr>
        <w:t>cooperation</w:t>
      </w:r>
      <w:r>
        <w:rPr>
          <w:color w:val="231F20"/>
          <w:spacing w:val="-1"/>
        </w:rPr>
        <w:t xml:space="preserve"> </w:t>
      </w:r>
      <w:r>
        <w:rPr>
          <w:color w:val="231F20"/>
        </w:rPr>
        <w:t xml:space="preserve">will </w:t>
      </w:r>
      <w:r>
        <w:rPr>
          <w:color w:val="231F20"/>
          <w:w w:val="95"/>
        </w:rPr>
        <w:t>result in increased gate receipts, facility development, new</w:t>
      </w:r>
      <w:r>
        <w:rPr>
          <w:color w:val="231F20"/>
          <w:w w:val="95"/>
        </w:rPr>
        <w:t xml:space="preserve"> participants for their sport and similar types of benefits. It is not sufficient for the tourism industry to be a silent partner, and significant beneficiary, of sport tourism. </w:t>
      </w:r>
      <w:r>
        <w:rPr>
          <w:color w:val="231F20"/>
        </w:rPr>
        <w:t xml:space="preserve">Beyond the recognition of these benefits, specific strategies need to be </w:t>
      </w:r>
      <w:r>
        <w:rPr>
          <w:color w:val="231F20"/>
          <w:w w:val="95"/>
        </w:rPr>
        <w:t>devel</w:t>
      </w:r>
      <w:r>
        <w:rPr>
          <w:color w:val="231F20"/>
          <w:w w:val="95"/>
        </w:rPr>
        <w:t xml:space="preserve">oped to address the constraints on alliances and partnerships that are discussed in this chapter. Unproductive competition between stakeholders </w:t>
      </w:r>
      <w:r>
        <w:rPr>
          <w:color w:val="231F20"/>
        </w:rPr>
        <w:t xml:space="preserve">is a significant barrier to development. Communication linkages that </w:t>
      </w:r>
      <w:r>
        <w:rPr>
          <w:color w:val="231F20"/>
          <w:w w:val="95"/>
        </w:rPr>
        <w:t>reduce fragmentation between and within sta</w:t>
      </w:r>
      <w:r>
        <w:rPr>
          <w:color w:val="231F20"/>
          <w:w w:val="95"/>
        </w:rPr>
        <w:t xml:space="preserve">keholder groups are one way </w:t>
      </w:r>
      <w:r>
        <w:rPr>
          <w:color w:val="231F20"/>
        </w:rPr>
        <w:t>of addressing these barriers.</w:t>
      </w:r>
    </w:p>
    <w:p w14:paraId="40B8BAFC" w14:textId="77777777" w:rsidR="00AE0598" w:rsidRDefault="00AE0598">
      <w:pPr>
        <w:spacing w:line="232" w:lineRule="auto"/>
        <w:jc w:val="both"/>
        <w:sectPr w:rsidR="00AE0598">
          <w:pgSz w:w="8850" w:h="13270"/>
          <w:pgMar w:top="720" w:right="1060" w:bottom="280" w:left="1080" w:header="720" w:footer="720" w:gutter="0"/>
          <w:cols w:space="720"/>
        </w:sectPr>
      </w:pPr>
    </w:p>
    <w:p w14:paraId="09EA3948" w14:textId="77777777" w:rsidR="00AE0598" w:rsidRDefault="00AE0598">
      <w:pPr>
        <w:pStyle w:val="Corpodetexto"/>
        <w:rPr>
          <w:sz w:val="17"/>
        </w:rPr>
      </w:pPr>
    </w:p>
    <w:p w14:paraId="79A42990" w14:textId="77777777" w:rsidR="00AE0598" w:rsidRDefault="00AE0598">
      <w:pPr>
        <w:rPr>
          <w:sz w:val="17"/>
        </w:rPr>
        <w:sectPr w:rsidR="00AE0598">
          <w:pgSz w:w="8850" w:h="13270"/>
          <w:pgMar w:top="1240" w:right="1060" w:bottom="280" w:left="1080" w:header="720" w:footer="720" w:gutter="0"/>
          <w:cols w:space="720"/>
        </w:sectPr>
      </w:pPr>
    </w:p>
    <w:p w14:paraId="29DB722C" w14:textId="77777777" w:rsidR="00AE0598" w:rsidRDefault="0069255A">
      <w:pPr>
        <w:spacing w:before="77"/>
        <w:ind w:left="110"/>
        <w:rPr>
          <w:rFonts w:ascii="Trebuchet MS"/>
          <w:sz w:val="46"/>
        </w:rPr>
      </w:pPr>
      <w:r>
        <w:rPr>
          <w:rFonts w:ascii="Trebuchet MS"/>
          <w:color w:val="231F20"/>
          <w:sz w:val="46"/>
        </w:rPr>
        <w:lastRenderedPageBreak/>
        <w:t>Part</w:t>
      </w:r>
      <w:r>
        <w:rPr>
          <w:rFonts w:ascii="Trebuchet MS"/>
          <w:color w:val="231F20"/>
          <w:spacing w:val="-9"/>
          <w:sz w:val="46"/>
        </w:rPr>
        <w:t xml:space="preserve"> </w:t>
      </w:r>
      <w:r>
        <w:rPr>
          <w:rFonts w:ascii="Trebuchet MS"/>
          <w:color w:val="231F20"/>
          <w:spacing w:val="-12"/>
          <w:w w:val="105"/>
          <w:sz w:val="46"/>
        </w:rPr>
        <w:t>3</w:t>
      </w:r>
    </w:p>
    <w:p w14:paraId="62B7DB5F" w14:textId="77777777" w:rsidR="00AE0598" w:rsidRDefault="0069255A">
      <w:pPr>
        <w:spacing w:before="26" w:line="252" w:lineRule="auto"/>
        <w:ind w:left="110"/>
        <w:rPr>
          <w:rFonts w:ascii="Trebuchet MS"/>
          <w:sz w:val="46"/>
        </w:rPr>
      </w:pPr>
      <w:r>
        <w:rPr>
          <w:rFonts w:ascii="Trebuchet MS"/>
          <w:color w:val="231F20"/>
          <w:spacing w:val="-2"/>
          <w:w w:val="105"/>
          <w:sz w:val="46"/>
        </w:rPr>
        <w:t>Sport</w:t>
      </w:r>
      <w:r>
        <w:rPr>
          <w:rFonts w:ascii="Trebuchet MS"/>
          <w:color w:val="231F20"/>
          <w:spacing w:val="-35"/>
          <w:w w:val="105"/>
          <w:sz w:val="46"/>
        </w:rPr>
        <w:t xml:space="preserve"> </w:t>
      </w:r>
      <w:r>
        <w:rPr>
          <w:rFonts w:ascii="Trebuchet MS"/>
          <w:color w:val="231F20"/>
          <w:spacing w:val="-2"/>
          <w:w w:val="105"/>
          <w:sz w:val="46"/>
        </w:rPr>
        <w:t>Tourism</w:t>
      </w:r>
      <w:r>
        <w:rPr>
          <w:rFonts w:ascii="Trebuchet MS"/>
          <w:color w:val="231F20"/>
          <w:spacing w:val="-34"/>
          <w:w w:val="105"/>
          <w:sz w:val="46"/>
        </w:rPr>
        <w:t xml:space="preserve"> </w:t>
      </w:r>
      <w:r>
        <w:rPr>
          <w:rFonts w:ascii="Trebuchet MS"/>
          <w:color w:val="231F20"/>
          <w:spacing w:val="-2"/>
          <w:w w:val="105"/>
          <w:sz w:val="46"/>
        </w:rPr>
        <w:t xml:space="preserve">Development </w:t>
      </w:r>
      <w:r>
        <w:rPr>
          <w:rFonts w:ascii="Trebuchet MS"/>
          <w:color w:val="231F20"/>
          <w:w w:val="105"/>
          <w:sz w:val="46"/>
        </w:rPr>
        <w:t>and Space</w:t>
      </w:r>
    </w:p>
    <w:p w14:paraId="4267C01A" w14:textId="77777777" w:rsidR="00AE0598" w:rsidRDefault="00AE0598">
      <w:pPr>
        <w:spacing w:line="252" w:lineRule="auto"/>
        <w:rPr>
          <w:rFonts w:ascii="Trebuchet MS"/>
          <w:sz w:val="46"/>
        </w:rPr>
        <w:sectPr w:rsidR="00AE0598">
          <w:pgSz w:w="8850" w:h="13270"/>
          <w:pgMar w:top="1020" w:right="1060" w:bottom="280" w:left="1080" w:header="720" w:footer="720" w:gutter="0"/>
          <w:cols w:space="720"/>
        </w:sectPr>
      </w:pPr>
    </w:p>
    <w:p w14:paraId="21417133" w14:textId="77777777" w:rsidR="00AE0598" w:rsidRDefault="00AE0598">
      <w:pPr>
        <w:pStyle w:val="Corpodetexto"/>
        <w:spacing w:before="2"/>
        <w:rPr>
          <w:rFonts w:ascii="Trebuchet MS"/>
          <w:sz w:val="17"/>
        </w:rPr>
      </w:pPr>
    </w:p>
    <w:p w14:paraId="66A07D81" w14:textId="77777777" w:rsidR="00AE0598" w:rsidRDefault="00AE0598">
      <w:pPr>
        <w:rPr>
          <w:rFonts w:ascii="Trebuchet MS"/>
          <w:sz w:val="17"/>
        </w:rPr>
        <w:sectPr w:rsidR="00AE0598">
          <w:pgSz w:w="8850" w:h="13270"/>
          <w:pgMar w:top="1240" w:right="1060" w:bottom="280" w:left="1080" w:header="720" w:footer="720" w:gutter="0"/>
          <w:cols w:space="720"/>
        </w:sectPr>
      </w:pPr>
    </w:p>
    <w:p w14:paraId="35FB9EBF" w14:textId="77777777" w:rsidR="00AE0598" w:rsidRDefault="0069255A">
      <w:pPr>
        <w:pStyle w:val="Ttulo1"/>
        <w:spacing w:line="252" w:lineRule="auto"/>
        <w:ind w:left="595" w:right="598" w:hanging="486"/>
      </w:pPr>
      <w:bookmarkStart w:id="11" w:name="5._Space:_Location_and_Travel_Flows"/>
      <w:bookmarkStart w:id="12" w:name="_TOC_250008"/>
      <w:bookmarkEnd w:id="11"/>
      <w:r>
        <w:rPr>
          <w:color w:val="231F20"/>
          <w:spacing w:val="-2"/>
          <w:w w:val="105"/>
        </w:rPr>
        <w:lastRenderedPageBreak/>
        <w:t>5</w:t>
      </w:r>
      <w:r>
        <w:rPr>
          <w:color w:val="231F20"/>
          <w:spacing w:val="3"/>
          <w:w w:val="105"/>
        </w:rPr>
        <w:t xml:space="preserve"> </w:t>
      </w:r>
      <w:r>
        <w:rPr>
          <w:color w:val="231F20"/>
          <w:spacing w:val="-2"/>
          <w:w w:val="105"/>
        </w:rPr>
        <w:t>Space:</w:t>
      </w:r>
      <w:r>
        <w:rPr>
          <w:color w:val="231F20"/>
          <w:spacing w:val="-35"/>
          <w:w w:val="105"/>
        </w:rPr>
        <w:t xml:space="preserve"> </w:t>
      </w:r>
      <w:r>
        <w:rPr>
          <w:color w:val="231F20"/>
          <w:spacing w:val="-2"/>
          <w:w w:val="105"/>
        </w:rPr>
        <w:t>Location</w:t>
      </w:r>
      <w:r>
        <w:rPr>
          <w:color w:val="231F20"/>
          <w:spacing w:val="-34"/>
          <w:w w:val="105"/>
        </w:rPr>
        <w:t xml:space="preserve"> </w:t>
      </w:r>
      <w:r>
        <w:rPr>
          <w:color w:val="231F20"/>
          <w:spacing w:val="-2"/>
          <w:w w:val="105"/>
        </w:rPr>
        <w:t xml:space="preserve">and </w:t>
      </w:r>
      <w:r>
        <w:rPr>
          <w:color w:val="231F20"/>
          <w:w w:val="105"/>
        </w:rPr>
        <w:t>Travel</w:t>
      </w:r>
      <w:r>
        <w:rPr>
          <w:color w:val="231F20"/>
          <w:spacing w:val="-23"/>
          <w:w w:val="105"/>
        </w:rPr>
        <w:t xml:space="preserve"> </w:t>
      </w:r>
      <w:bookmarkEnd w:id="12"/>
      <w:r>
        <w:rPr>
          <w:color w:val="231F20"/>
          <w:w w:val="105"/>
        </w:rPr>
        <w:t>Flows</w:t>
      </w:r>
    </w:p>
    <w:p w14:paraId="1105D9E9" w14:textId="77777777" w:rsidR="00AE0598" w:rsidRDefault="00AE0598">
      <w:pPr>
        <w:pStyle w:val="Corpodetexto"/>
        <w:spacing w:before="2"/>
        <w:rPr>
          <w:rFonts w:ascii="Trebuchet MS"/>
          <w:sz w:val="78"/>
        </w:rPr>
      </w:pPr>
    </w:p>
    <w:p w14:paraId="28856EED" w14:textId="77777777" w:rsidR="00AE0598" w:rsidRDefault="0069255A">
      <w:pPr>
        <w:spacing w:line="228" w:lineRule="auto"/>
        <w:ind w:left="1958" w:right="127" w:hanging="799"/>
        <w:jc w:val="right"/>
        <w:rPr>
          <w:i/>
          <w:sz w:val="18"/>
        </w:rPr>
      </w:pPr>
      <w:r>
        <w:rPr>
          <w:i/>
          <w:color w:val="231F20"/>
          <w:sz w:val="18"/>
        </w:rPr>
        <w:t>Although sport tourism can boost export spending in a defined region,</w:t>
      </w:r>
      <w:r>
        <w:rPr>
          <w:i/>
          <w:color w:val="231F20"/>
          <w:spacing w:val="40"/>
          <w:sz w:val="18"/>
        </w:rPr>
        <w:t xml:space="preserve"> </w:t>
      </w:r>
      <w:r>
        <w:rPr>
          <w:i/>
          <w:color w:val="231F20"/>
          <w:sz w:val="18"/>
        </w:rPr>
        <w:t>not</w:t>
      </w:r>
      <w:r>
        <w:rPr>
          <w:i/>
          <w:color w:val="231F20"/>
          <w:spacing w:val="13"/>
          <w:sz w:val="18"/>
        </w:rPr>
        <w:t xml:space="preserve"> </w:t>
      </w:r>
      <w:r>
        <w:rPr>
          <w:i/>
          <w:color w:val="231F20"/>
          <w:sz w:val="18"/>
        </w:rPr>
        <w:t>all</w:t>
      </w:r>
      <w:r>
        <w:rPr>
          <w:i/>
          <w:color w:val="231F20"/>
          <w:spacing w:val="13"/>
          <w:sz w:val="18"/>
        </w:rPr>
        <w:t xml:space="preserve"> </w:t>
      </w:r>
      <w:r>
        <w:rPr>
          <w:i/>
          <w:color w:val="231F20"/>
          <w:sz w:val="18"/>
        </w:rPr>
        <w:t>communities</w:t>
      </w:r>
      <w:r>
        <w:rPr>
          <w:i/>
          <w:color w:val="231F20"/>
          <w:spacing w:val="14"/>
          <w:sz w:val="18"/>
        </w:rPr>
        <w:t xml:space="preserve"> </w:t>
      </w:r>
      <w:r>
        <w:rPr>
          <w:i/>
          <w:color w:val="231F20"/>
          <w:sz w:val="18"/>
        </w:rPr>
        <w:t>have</w:t>
      </w:r>
      <w:r>
        <w:rPr>
          <w:i/>
          <w:color w:val="231F20"/>
          <w:spacing w:val="13"/>
          <w:sz w:val="18"/>
        </w:rPr>
        <w:t xml:space="preserve"> </w:t>
      </w:r>
      <w:r>
        <w:rPr>
          <w:i/>
          <w:color w:val="231F20"/>
          <w:sz w:val="18"/>
        </w:rPr>
        <w:t>an</w:t>
      </w:r>
      <w:r>
        <w:rPr>
          <w:i/>
          <w:color w:val="231F20"/>
          <w:spacing w:val="13"/>
          <w:sz w:val="18"/>
        </w:rPr>
        <w:t xml:space="preserve"> </w:t>
      </w:r>
      <w:r>
        <w:rPr>
          <w:i/>
          <w:color w:val="231F20"/>
          <w:sz w:val="18"/>
        </w:rPr>
        <w:t>equal</w:t>
      </w:r>
      <w:r>
        <w:rPr>
          <w:i/>
          <w:color w:val="231F20"/>
          <w:spacing w:val="14"/>
          <w:sz w:val="18"/>
        </w:rPr>
        <w:t xml:space="preserve"> </w:t>
      </w:r>
      <w:r>
        <w:rPr>
          <w:i/>
          <w:color w:val="231F20"/>
          <w:sz w:val="18"/>
        </w:rPr>
        <w:t>likelihood</w:t>
      </w:r>
      <w:r>
        <w:rPr>
          <w:i/>
          <w:color w:val="231F20"/>
          <w:spacing w:val="13"/>
          <w:sz w:val="18"/>
        </w:rPr>
        <w:t xml:space="preserve"> </w:t>
      </w:r>
      <w:r>
        <w:rPr>
          <w:i/>
          <w:color w:val="231F20"/>
          <w:sz w:val="18"/>
        </w:rPr>
        <w:t>of</w:t>
      </w:r>
      <w:r>
        <w:rPr>
          <w:i/>
          <w:color w:val="231F20"/>
          <w:spacing w:val="13"/>
          <w:sz w:val="18"/>
        </w:rPr>
        <w:t xml:space="preserve"> </w:t>
      </w:r>
      <w:r>
        <w:rPr>
          <w:i/>
          <w:color w:val="231F20"/>
          <w:spacing w:val="-2"/>
          <w:sz w:val="18"/>
        </w:rPr>
        <w:t>successfully</w:t>
      </w:r>
    </w:p>
    <w:p w14:paraId="21FD452E" w14:textId="77777777" w:rsidR="00AE0598" w:rsidRDefault="0069255A">
      <w:pPr>
        <w:spacing w:line="196" w:lineRule="exact"/>
        <w:ind w:left="110" w:right="128"/>
        <w:jc w:val="right"/>
        <w:rPr>
          <w:i/>
          <w:sz w:val="18"/>
        </w:rPr>
      </w:pPr>
      <w:r>
        <w:rPr>
          <w:i/>
          <w:color w:val="231F20"/>
          <w:sz w:val="18"/>
        </w:rPr>
        <w:t>hosting</w:t>
      </w:r>
      <w:r>
        <w:rPr>
          <w:i/>
          <w:color w:val="231F20"/>
          <w:spacing w:val="13"/>
          <w:sz w:val="18"/>
        </w:rPr>
        <w:t xml:space="preserve"> </w:t>
      </w:r>
      <w:r>
        <w:rPr>
          <w:i/>
          <w:color w:val="231F20"/>
          <w:sz w:val="18"/>
        </w:rPr>
        <w:t>an</w:t>
      </w:r>
      <w:r>
        <w:rPr>
          <w:i/>
          <w:color w:val="231F20"/>
          <w:spacing w:val="13"/>
          <w:sz w:val="18"/>
        </w:rPr>
        <w:t xml:space="preserve"> </w:t>
      </w:r>
      <w:r>
        <w:rPr>
          <w:i/>
          <w:color w:val="231F20"/>
          <w:sz w:val="18"/>
        </w:rPr>
        <w:t>event,</w:t>
      </w:r>
      <w:r>
        <w:rPr>
          <w:i/>
          <w:color w:val="231F20"/>
          <w:spacing w:val="13"/>
          <w:sz w:val="18"/>
        </w:rPr>
        <w:t xml:space="preserve"> </w:t>
      </w:r>
      <w:r>
        <w:rPr>
          <w:i/>
          <w:color w:val="231F20"/>
          <w:sz w:val="18"/>
        </w:rPr>
        <w:t>tournament,</w:t>
      </w:r>
      <w:r>
        <w:rPr>
          <w:i/>
          <w:color w:val="231F20"/>
          <w:spacing w:val="13"/>
          <w:sz w:val="18"/>
        </w:rPr>
        <w:t xml:space="preserve"> </w:t>
      </w:r>
      <w:r>
        <w:rPr>
          <w:i/>
          <w:color w:val="231F20"/>
          <w:sz w:val="18"/>
        </w:rPr>
        <w:t>or</w:t>
      </w:r>
      <w:r>
        <w:rPr>
          <w:i/>
          <w:color w:val="231F20"/>
          <w:spacing w:val="13"/>
          <w:sz w:val="18"/>
        </w:rPr>
        <w:t xml:space="preserve"> </w:t>
      </w:r>
      <w:r>
        <w:rPr>
          <w:i/>
          <w:color w:val="231F20"/>
          <w:spacing w:val="-4"/>
          <w:sz w:val="18"/>
        </w:rPr>
        <w:t>team.</w:t>
      </w:r>
    </w:p>
    <w:p w14:paraId="0C53A957" w14:textId="77777777" w:rsidR="00AE0598" w:rsidRDefault="0069255A">
      <w:pPr>
        <w:spacing w:line="206" w:lineRule="exact"/>
        <w:ind w:left="110" w:right="128"/>
        <w:jc w:val="right"/>
        <w:rPr>
          <w:sz w:val="18"/>
        </w:rPr>
      </w:pPr>
      <w:r>
        <w:rPr>
          <w:color w:val="231F20"/>
          <w:w w:val="95"/>
          <w:sz w:val="18"/>
        </w:rPr>
        <w:t>Daniels,</w:t>
      </w:r>
      <w:r>
        <w:rPr>
          <w:color w:val="231F20"/>
          <w:spacing w:val="20"/>
          <w:sz w:val="18"/>
        </w:rPr>
        <w:t xml:space="preserve"> </w:t>
      </w:r>
      <w:r>
        <w:rPr>
          <w:color w:val="231F20"/>
          <w:w w:val="95"/>
          <w:sz w:val="18"/>
        </w:rPr>
        <w:t>2007:</w:t>
      </w:r>
      <w:r>
        <w:rPr>
          <w:color w:val="231F20"/>
          <w:spacing w:val="20"/>
          <w:sz w:val="18"/>
        </w:rPr>
        <w:t xml:space="preserve"> </w:t>
      </w:r>
      <w:r>
        <w:rPr>
          <w:color w:val="231F20"/>
          <w:spacing w:val="-5"/>
          <w:w w:val="95"/>
          <w:sz w:val="18"/>
        </w:rPr>
        <w:t>333</w:t>
      </w:r>
    </w:p>
    <w:p w14:paraId="009427DB" w14:textId="77777777" w:rsidR="00AE0598" w:rsidRDefault="00AE0598">
      <w:pPr>
        <w:pStyle w:val="Corpodetexto"/>
        <w:rPr>
          <w:sz w:val="20"/>
        </w:rPr>
      </w:pPr>
    </w:p>
    <w:p w14:paraId="4EC9A758" w14:textId="77777777" w:rsidR="00AE0598" w:rsidRDefault="00AE0598">
      <w:pPr>
        <w:pStyle w:val="Corpodetexto"/>
        <w:rPr>
          <w:sz w:val="22"/>
        </w:rPr>
      </w:pPr>
    </w:p>
    <w:p w14:paraId="2925A9F2" w14:textId="77777777" w:rsidR="00AE0598" w:rsidRDefault="0069255A">
      <w:pPr>
        <w:ind w:left="110"/>
        <w:rPr>
          <w:rFonts w:ascii="Trebuchet MS"/>
          <w:b/>
          <w:sz w:val="20"/>
        </w:rPr>
      </w:pPr>
      <w:r>
        <w:rPr>
          <w:rFonts w:ascii="Trebuchet MS"/>
          <w:b/>
          <w:color w:val="231F20"/>
          <w:spacing w:val="-2"/>
          <w:sz w:val="20"/>
        </w:rPr>
        <w:t>Introduction</w:t>
      </w:r>
    </w:p>
    <w:p w14:paraId="24F57917" w14:textId="77777777" w:rsidR="00AE0598" w:rsidRDefault="0069255A">
      <w:pPr>
        <w:pStyle w:val="Corpodetexto"/>
        <w:spacing w:before="122" w:line="232" w:lineRule="auto"/>
        <w:ind w:left="110" w:right="124" w:firstLine="320"/>
        <w:jc w:val="both"/>
      </w:pPr>
      <w:r>
        <w:rPr>
          <w:color w:val="231F20"/>
        </w:rPr>
        <w:t>Sport</w:t>
      </w:r>
      <w:r>
        <w:rPr>
          <w:color w:val="231F20"/>
          <w:spacing w:val="-9"/>
        </w:rPr>
        <w:t xml:space="preserve"> </w:t>
      </w:r>
      <w:r>
        <w:rPr>
          <w:color w:val="231F20"/>
        </w:rPr>
        <w:t>tourism</w:t>
      </w:r>
      <w:r>
        <w:rPr>
          <w:color w:val="231F20"/>
          <w:spacing w:val="-9"/>
        </w:rPr>
        <w:t xml:space="preserve"> </w:t>
      </w:r>
      <w:r>
        <w:rPr>
          <w:color w:val="231F20"/>
        </w:rPr>
        <w:t>development</w:t>
      </w:r>
      <w:r>
        <w:rPr>
          <w:color w:val="231F20"/>
          <w:spacing w:val="-9"/>
        </w:rPr>
        <w:t xml:space="preserve"> </w:t>
      </w:r>
      <w:r>
        <w:rPr>
          <w:color w:val="231F20"/>
        </w:rPr>
        <w:t>takes</w:t>
      </w:r>
      <w:r>
        <w:rPr>
          <w:color w:val="231F20"/>
          <w:spacing w:val="-9"/>
        </w:rPr>
        <w:t xml:space="preserve"> </w:t>
      </w:r>
      <w:r>
        <w:rPr>
          <w:color w:val="231F20"/>
        </w:rPr>
        <w:t>place</w:t>
      </w:r>
      <w:r>
        <w:rPr>
          <w:color w:val="231F20"/>
          <w:spacing w:val="-9"/>
        </w:rPr>
        <w:t xml:space="preserve"> </w:t>
      </w:r>
      <w:r>
        <w:rPr>
          <w:color w:val="231F20"/>
        </w:rPr>
        <w:t>within</w:t>
      </w:r>
      <w:r>
        <w:rPr>
          <w:color w:val="231F20"/>
          <w:spacing w:val="-9"/>
        </w:rPr>
        <w:t xml:space="preserve"> </w:t>
      </w:r>
      <w:r>
        <w:rPr>
          <w:color w:val="231F20"/>
        </w:rPr>
        <w:t>a</w:t>
      </w:r>
      <w:r>
        <w:rPr>
          <w:color w:val="231F20"/>
          <w:spacing w:val="-9"/>
        </w:rPr>
        <w:t xml:space="preserve"> </w:t>
      </w:r>
      <w:r>
        <w:rPr>
          <w:color w:val="231F20"/>
        </w:rPr>
        <w:t>complexity</w:t>
      </w:r>
      <w:r>
        <w:rPr>
          <w:color w:val="231F20"/>
          <w:spacing w:val="-9"/>
        </w:rPr>
        <w:t xml:space="preserve"> </w:t>
      </w:r>
      <w:r>
        <w:rPr>
          <w:color w:val="231F20"/>
        </w:rPr>
        <w:t>of</w:t>
      </w:r>
      <w:r>
        <w:rPr>
          <w:color w:val="231F20"/>
          <w:spacing w:val="-9"/>
        </w:rPr>
        <w:t xml:space="preserve"> </w:t>
      </w:r>
      <w:r>
        <w:rPr>
          <w:color w:val="231F20"/>
        </w:rPr>
        <w:t xml:space="preserve">spatial </w:t>
      </w:r>
      <w:r>
        <w:rPr>
          <w:color w:val="231F20"/>
          <w:w w:val="95"/>
        </w:rPr>
        <w:t xml:space="preserve">parameters. Different sports are reliant to differing degrees on natural or </w:t>
      </w:r>
      <w:r>
        <w:rPr>
          <w:color w:val="231F20"/>
        </w:rPr>
        <w:t>built</w:t>
      </w:r>
      <w:r>
        <w:rPr>
          <w:color w:val="231F20"/>
          <w:spacing w:val="-2"/>
        </w:rPr>
        <w:t xml:space="preserve"> </w:t>
      </w:r>
      <w:r>
        <w:rPr>
          <w:color w:val="231F20"/>
        </w:rPr>
        <w:t>resources</w:t>
      </w:r>
      <w:r>
        <w:rPr>
          <w:color w:val="231F20"/>
          <w:spacing w:val="-2"/>
        </w:rPr>
        <w:t xml:space="preserve"> </w:t>
      </w:r>
      <w:r>
        <w:rPr>
          <w:color w:val="231F20"/>
        </w:rPr>
        <w:t>or</w:t>
      </w:r>
      <w:r>
        <w:rPr>
          <w:color w:val="231F20"/>
          <w:spacing w:val="-2"/>
        </w:rPr>
        <w:t xml:space="preserve"> </w:t>
      </w:r>
      <w:r>
        <w:rPr>
          <w:color w:val="231F20"/>
        </w:rPr>
        <w:t>a</w:t>
      </w:r>
      <w:r>
        <w:rPr>
          <w:color w:val="231F20"/>
          <w:spacing w:val="-2"/>
        </w:rPr>
        <w:t xml:space="preserve"> </w:t>
      </w:r>
      <w:r>
        <w:rPr>
          <w:color w:val="231F20"/>
        </w:rPr>
        <w:t>combination</w:t>
      </w:r>
      <w:r>
        <w:rPr>
          <w:color w:val="231F20"/>
          <w:spacing w:val="-2"/>
        </w:rPr>
        <w:t xml:space="preserve"> </w:t>
      </w:r>
      <w:r>
        <w:rPr>
          <w:color w:val="231F20"/>
        </w:rPr>
        <w:t>of</w:t>
      </w:r>
      <w:r>
        <w:rPr>
          <w:color w:val="231F20"/>
          <w:spacing w:val="-2"/>
        </w:rPr>
        <w:t xml:space="preserve"> </w:t>
      </w:r>
      <w:r>
        <w:rPr>
          <w:color w:val="231F20"/>
        </w:rPr>
        <w:t>natural</w:t>
      </w:r>
      <w:r>
        <w:rPr>
          <w:color w:val="231F20"/>
          <w:spacing w:val="-2"/>
        </w:rPr>
        <w:t xml:space="preserve"> </w:t>
      </w:r>
      <w:r>
        <w:rPr>
          <w:color w:val="231F20"/>
        </w:rPr>
        <w:t>resources</w:t>
      </w:r>
      <w:r>
        <w:rPr>
          <w:color w:val="231F20"/>
          <w:spacing w:val="-2"/>
        </w:rPr>
        <w:t xml:space="preserve"> </w:t>
      </w:r>
      <w:r>
        <w:rPr>
          <w:color w:val="231F20"/>
        </w:rPr>
        <w:t>and</w:t>
      </w:r>
      <w:r>
        <w:rPr>
          <w:color w:val="231F20"/>
          <w:spacing w:val="-2"/>
        </w:rPr>
        <w:t xml:space="preserve"> </w:t>
      </w:r>
      <w:r>
        <w:rPr>
          <w:color w:val="231F20"/>
        </w:rPr>
        <w:t>built</w:t>
      </w:r>
      <w:r>
        <w:rPr>
          <w:color w:val="231F20"/>
          <w:spacing w:val="-2"/>
        </w:rPr>
        <w:t xml:space="preserve"> </w:t>
      </w:r>
      <w:r>
        <w:rPr>
          <w:color w:val="231F20"/>
        </w:rPr>
        <w:t>facilities. Some sports are rigidly anchored to specific and non-transportable natural resourc</w:t>
      </w:r>
      <w:r>
        <w:rPr>
          <w:color w:val="231F20"/>
        </w:rPr>
        <w:t>es. Others are relatively free of resource constraints and may</w:t>
      </w:r>
      <w:r>
        <w:rPr>
          <w:color w:val="231F20"/>
          <w:spacing w:val="-1"/>
        </w:rPr>
        <w:t xml:space="preserve"> </w:t>
      </w:r>
      <w:r>
        <w:rPr>
          <w:color w:val="231F20"/>
        </w:rPr>
        <w:t>be</w:t>
      </w:r>
      <w:r>
        <w:rPr>
          <w:color w:val="231F20"/>
          <w:spacing w:val="-1"/>
        </w:rPr>
        <w:t xml:space="preserve"> </w:t>
      </w:r>
      <w:r>
        <w:rPr>
          <w:color w:val="231F20"/>
        </w:rPr>
        <w:t>located</w:t>
      </w:r>
      <w:r>
        <w:rPr>
          <w:color w:val="231F20"/>
          <w:spacing w:val="-1"/>
        </w:rPr>
        <w:t xml:space="preserve"> </w:t>
      </w:r>
      <w:r>
        <w:rPr>
          <w:color w:val="231F20"/>
        </w:rPr>
        <w:t>where</w:t>
      </w:r>
      <w:r>
        <w:rPr>
          <w:color w:val="231F20"/>
          <w:spacing w:val="-1"/>
        </w:rPr>
        <w:t xml:space="preserve"> </w:t>
      </w:r>
      <w:r>
        <w:rPr>
          <w:color w:val="231F20"/>
        </w:rPr>
        <w:t>proximity</w:t>
      </w:r>
      <w:r>
        <w:rPr>
          <w:color w:val="231F20"/>
          <w:spacing w:val="-1"/>
        </w:rPr>
        <w:t xml:space="preserve"> </w:t>
      </w:r>
      <w:r>
        <w:rPr>
          <w:color w:val="231F20"/>
        </w:rPr>
        <w:t>to</w:t>
      </w:r>
      <w:r>
        <w:rPr>
          <w:color w:val="231F20"/>
          <w:spacing w:val="-1"/>
        </w:rPr>
        <w:t xml:space="preserve"> </w:t>
      </w:r>
      <w:r>
        <w:rPr>
          <w:color w:val="231F20"/>
        </w:rPr>
        <w:t>concentrations</w:t>
      </w:r>
      <w:r>
        <w:rPr>
          <w:color w:val="231F20"/>
          <w:spacing w:val="-1"/>
        </w:rPr>
        <w:t xml:space="preserve"> </w:t>
      </w:r>
      <w:r>
        <w:rPr>
          <w:color w:val="231F20"/>
        </w:rPr>
        <w:t>of</w:t>
      </w:r>
      <w:r>
        <w:rPr>
          <w:color w:val="231F20"/>
          <w:spacing w:val="-1"/>
        </w:rPr>
        <w:t xml:space="preserve"> </w:t>
      </w:r>
      <w:r>
        <w:rPr>
          <w:color w:val="231F20"/>
        </w:rPr>
        <w:t>population</w:t>
      </w:r>
      <w:r>
        <w:rPr>
          <w:color w:val="231F20"/>
          <w:spacing w:val="-1"/>
        </w:rPr>
        <w:t xml:space="preserve"> </w:t>
      </w:r>
      <w:r>
        <w:rPr>
          <w:color w:val="231F20"/>
        </w:rPr>
        <w:t>and/or a</w:t>
      </w:r>
      <w:r>
        <w:rPr>
          <w:color w:val="231F20"/>
          <w:spacing w:val="-9"/>
        </w:rPr>
        <w:t xml:space="preserve"> </w:t>
      </w:r>
      <w:r>
        <w:rPr>
          <w:color w:val="231F20"/>
        </w:rPr>
        <w:t>tourism</w:t>
      </w:r>
      <w:r>
        <w:rPr>
          <w:color w:val="231F20"/>
          <w:spacing w:val="-9"/>
        </w:rPr>
        <w:t xml:space="preserve"> </w:t>
      </w:r>
      <w:r>
        <w:rPr>
          <w:color w:val="231F20"/>
        </w:rPr>
        <w:t>economy</w:t>
      </w:r>
      <w:r>
        <w:rPr>
          <w:color w:val="231F20"/>
          <w:spacing w:val="-9"/>
        </w:rPr>
        <w:t xml:space="preserve"> </w:t>
      </w:r>
      <w:r>
        <w:rPr>
          <w:color w:val="231F20"/>
        </w:rPr>
        <w:t>offer</w:t>
      </w:r>
      <w:r>
        <w:rPr>
          <w:color w:val="231F20"/>
          <w:spacing w:val="-9"/>
        </w:rPr>
        <w:t xml:space="preserve"> </w:t>
      </w:r>
      <w:r>
        <w:rPr>
          <w:color w:val="231F20"/>
        </w:rPr>
        <w:t>the</w:t>
      </w:r>
      <w:r>
        <w:rPr>
          <w:color w:val="231F20"/>
          <w:spacing w:val="-9"/>
        </w:rPr>
        <w:t xml:space="preserve"> </w:t>
      </w:r>
      <w:r>
        <w:rPr>
          <w:color w:val="231F20"/>
        </w:rPr>
        <w:t>greatest</w:t>
      </w:r>
      <w:r>
        <w:rPr>
          <w:color w:val="231F20"/>
          <w:spacing w:val="-9"/>
        </w:rPr>
        <w:t xml:space="preserve"> </w:t>
      </w:r>
      <w:r>
        <w:rPr>
          <w:color w:val="231F20"/>
        </w:rPr>
        <w:t>competitive</w:t>
      </w:r>
      <w:r>
        <w:rPr>
          <w:color w:val="231F20"/>
          <w:spacing w:val="-9"/>
        </w:rPr>
        <w:t xml:space="preserve"> </w:t>
      </w:r>
      <w:r>
        <w:rPr>
          <w:color w:val="231F20"/>
        </w:rPr>
        <w:t>advantage</w:t>
      </w:r>
      <w:r>
        <w:rPr>
          <w:color w:val="231F20"/>
          <w:spacing w:val="-9"/>
        </w:rPr>
        <w:t xml:space="preserve"> </w:t>
      </w:r>
      <w:r>
        <w:rPr>
          <w:color w:val="231F20"/>
        </w:rPr>
        <w:t>(Bale,</w:t>
      </w:r>
      <w:r>
        <w:rPr>
          <w:color w:val="231F20"/>
          <w:spacing w:val="-10"/>
        </w:rPr>
        <w:t xml:space="preserve"> </w:t>
      </w:r>
      <w:r>
        <w:rPr>
          <w:color w:val="231F20"/>
        </w:rPr>
        <w:t>1989; Mason &amp; Duquette, 2008). Distance–time–cost thresholds also shape</w:t>
      </w:r>
      <w:r>
        <w:rPr>
          <w:color w:val="231F20"/>
          <w:spacing w:val="80"/>
        </w:rPr>
        <w:t xml:space="preserve"> </w:t>
      </w:r>
      <w:r>
        <w:rPr>
          <w:color w:val="231F20"/>
        </w:rPr>
        <w:t>the spatial travel patterns of sport tourists (Bale, 1989). However, sport tourism</w:t>
      </w:r>
      <w:r>
        <w:rPr>
          <w:color w:val="231F20"/>
          <w:spacing w:val="-1"/>
        </w:rPr>
        <w:t xml:space="preserve"> </w:t>
      </w:r>
      <w:r>
        <w:rPr>
          <w:color w:val="231F20"/>
        </w:rPr>
        <w:t>market</w:t>
      </w:r>
      <w:r>
        <w:rPr>
          <w:color w:val="231F20"/>
          <w:spacing w:val="-1"/>
        </w:rPr>
        <w:t xml:space="preserve"> </w:t>
      </w:r>
      <w:r>
        <w:rPr>
          <w:color w:val="231F20"/>
        </w:rPr>
        <w:t>range</w:t>
      </w:r>
      <w:r>
        <w:rPr>
          <w:color w:val="231F20"/>
          <w:spacing w:val="-1"/>
        </w:rPr>
        <w:t xml:space="preserve"> </w:t>
      </w:r>
      <w:r>
        <w:rPr>
          <w:color w:val="231F20"/>
        </w:rPr>
        <w:t>and</w:t>
      </w:r>
      <w:r>
        <w:rPr>
          <w:color w:val="231F20"/>
          <w:spacing w:val="-1"/>
        </w:rPr>
        <w:t xml:space="preserve"> </w:t>
      </w:r>
      <w:r>
        <w:rPr>
          <w:color w:val="231F20"/>
        </w:rPr>
        <w:t>travel</w:t>
      </w:r>
      <w:r>
        <w:rPr>
          <w:color w:val="231F20"/>
          <w:spacing w:val="-1"/>
        </w:rPr>
        <w:t xml:space="preserve"> </w:t>
      </w:r>
      <w:r>
        <w:rPr>
          <w:color w:val="231F20"/>
        </w:rPr>
        <w:t>flows</w:t>
      </w:r>
      <w:r>
        <w:rPr>
          <w:color w:val="231F20"/>
          <w:spacing w:val="-1"/>
        </w:rPr>
        <w:t xml:space="preserve"> </w:t>
      </w:r>
      <w:r>
        <w:rPr>
          <w:color w:val="231F20"/>
        </w:rPr>
        <w:t>can</w:t>
      </w:r>
      <w:r>
        <w:rPr>
          <w:color w:val="231F20"/>
          <w:spacing w:val="-1"/>
        </w:rPr>
        <w:t xml:space="preserve"> </w:t>
      </w:r>
      <w:r>
        <w:rPr>
          <w:color w:val="231F20"/>
        </w:rPr>
        <w:t>be</w:t>
      </w:r>
      <w:r>
        <w:rPr>
          <w:color w:val="231F20"/>
          <w:spacing w:val="-1"/>
        </w:rPr>
        <w:t xml:space="preserve"> </w:t>
      </w:r>
      <w:r>
        <w:rPr>
          <w:color w:val="231F20"/>
        </w:rPr>
        <w:t>moderated</w:t>
      </w:r>
      <w:r>
        <w:rPr>
          <w:color w:val="231F20"/>
          <w:spacing w:val="-1"/>
        </w:rPr>
        <w:t xml:space="preserve"> </w:t>
      </w:r>
      <w:r>
        <w:rPr>
          <w:color w:val="231F20"/>
        </w:rPr>
        <w:t>and</w:t>
      </w:r>
      <w:r>
        <w:rPr>
          <w:color w:val="231F20"/>
          <w:spacing w:val="-1"/>
        </w:rPr>
        <w:t xml:space="preserve"> </w:t>
      </w:r>
      <w:r>
        <w:rPr>
          <w:color w:val="231F20"/>
        </w:rPr>
        <w:t>shaped</w:t>
      </w:r>
      <w:r>
        <w:rPr>
          <w:color w:val="231F20"/>
          <w:spacing w:val="-1"/>
        </w:rPr>
        <w:t xml:space="preserve"> </w:t>
      </w:r>
      <w:r>
        <w:rPr>
          <w:color w:val="231F20"/>
        </w:rPr>
        <w:t>by strategic planning actions and partnersh</w:t>
      </w:r>
      <w:r>
        <w:rPr>
          <w:color w:val="231F20"/>
        </w:rPr>
        <w:t xml:space="preserve">ips at a range of spatial levels </w:t>
      </w:r>
      <w:r>
        <w:rPr>
          <w:color w:val="231F20"/>
          <w:w w:val="95"/>
        </w:rPr>
        <w:t>(Higham, 2005). Successful strategies require that consideration be given</w:t>
      </w:r>
      <w:r>
        <w:rPr>
          <w:color w:val="231F20"/>
          <w:spacing w:val="80"/>
        </w:rPr>
        <w:t xml:space="preserve"> </w:t>
      </w:r>
      <w:r>
        <w:rPr>
          <w:color w:val="231F20"/>
        </w:rPr>
        <w:t xml:space="preserve">to the relationships that exist between sport, tourism and space. This </w:t>
      </w:r>
      <w:r>
        <w:rPr>
          <w:color w:val="231F20"/>
          <w:w w:val="95"/>
        </w:rPr>
        <w:t xml:space="preserve">chapter discusses the locations where different forms of sport tourism take </w:t>
      </w:r>
      <w:r>
        <w:rPr>
          <w:color w:val="231F20"/>
        </w:rPr>
        <w:t>pl</w:t>
      </w:r>
      <w:r>
        <w:rPr>
          <w:color w:val="231F20"/>
        </w:rPr>
        <w:t>ace,</w:t>
      </w:r>
      <w:r>
        <w:rPr>
          <w:color w:val="231F20"/>
          <w:spacing w:val="-1"/>
        </w:rPr>
        <w:t xml:space="preserve"> </w:t>
      </w:r>
      <w:r>
        <w:rPr>
          <w:color w:val="231F20"/>
        </w:rPr>
        <w:t>and</w:t>
      </w:r>
      <w:r>
        <w:rPr>
          <w:color w:val="231F20"/>
          <w:spacing w:val="-1"/>
        </w:rPr>
        <w:t xml:space="preserve"> </w:t>
      </w:r>
      <w:r>
        <w:rPr>
          <w:color w:val="231F20"/>
        </w:rPr>
        <w:t>the</w:t>
      </w:r>
      <w:r>
        <w:rPr>
          <w:color w:val="231F20"/>
          <w:spacing w:val="-1"/>
        </w:rPr>
        <w:t xml:space="preserve"> </w:t>
      </w:r>
      <w:r>
        <w:rPr>
          <w:color w:val="231F20"/>
        </w:rPr>
        <w:t>‘movement</w:t>
      </w:r>
      <w:r>
        <w:rPr>
          <w:color w:val="231F20"/>
          <w:spacing w:val="-1"/>
        </w:rPr>
        <w:t xml:space="preserve"> </w:t>
      </w:r>
      <w:r>
        <w:rPr>
          <w:color w:val="231F20"/>
        </w:rPr>
        <w:t>of</w:t>
      </w:r>
      <w:r>
        <w:rPr>
          <w:color w:val="231F20"/>
          <w:spacing w:val="-1"/>
        </w:rPr>
        <w:t xml:space="preserve"> </w:t>
      </w:r>
      <w:r>
        <w:rPr>
          <w:color w:val="231F20"/>
        </w:rPr>
        <w:t>tourists</w:t>
      </w:r>
      <w:r>
        <w:rPr>
          <w:color w:val="231F20"/>
          <w:spacing w:val="-1"/>
        </w:rPr>
        <w:t xml:space="preserve"> </w:t>
      </w:r>
      <w:r>
        <w:rPr>
          <w:color w:val="231F20"/>
        </w:rPr>
        <w:t>from</w:t>
      </w:r>
      <w:r>
        <w:rPr>
          <w:color w:val="231F20"/>
          <w:spacing w:val="-1"/>
        </w:rPr>
        <w:t xml:space="preserve"> </w:t>
      </w:r>
      <w:r>
        <w:rPr>
          <w:color w:val="231F20"/>
        </w:rPr>
        <w:t>originating</w:t>
      </w:r>
      <w:r>
        <w:rPr>
          <w:color w:val="231F20"/>
          <w:spacing w:val="-1"/>
        </w:rPr>
        <w:t xml:space="preserve"> </w:t>
      </w:r>
      <w:r>
        <w:rPr>
          <w:color w:val="231F20"/>
        </w:rPr>
        <w:t>markets</w:t>
      </w:r>
      <w:r>
        <w:rPr>
          <w:color w:val="231F20"/>
          <w:spacing w:val="-1"/>
        </w:rPr>
        <w:t xml:space="preserve"> </w:t>
      </w:r>
      <w:r>
        <w:rPr>
          <w:color w:val="231F20"/>
        </w:rPr>
        <w:t>to</w:t>
      </w:r>
      <w:r>
        <w:rPr>
          <w:color w:val="231F20"/>
          <w:spacing w:val="-1"/>
        </w:rPr>
        <w:t xml:space="preserve"> </w:t>
      </w:r>
      <w:r>
        <w:rPr>
          <w:color w:val="231F20"/>
        </w:rPr>
        <w:t>leisure destinations of their choice’ (Mitchell &amp; Murphy, 1991: 57). It examines sport</w:t>
      </w:r>
      <w:r>
        <w:rPr>
          <w:color w:val="231F20"/>
          <w:spacing w:val="-3"/>
        </w:rPr>
        <w:t xml:space="preserve"> </w:t>
      </w:r>
      <w:r>
        <w:rPr>
          <w:color w:val="231F20"/>
        </w:rPr>
        <w:t>tourism</w:t>
      </w:r>
      <w:r>
        <w:rPr>
          <w:color w:val="231F20"/>
          <w:spacing w:val="-3"/>
        </w:rPr>
        <w:t xml:space="preserve"> </w:t>
      </w:r>
      <w:r>
        <w:rPr>
          <w:color w:val="231F20"/>
        </w:rPr>
        <w:t>resource</w:t>
      </w:r>
      <w:r>
        <w:rPr>
          <w:color w:val="231F20"/>
          <w:spacing w:val="-3"/>
        </w:rPr>
        <w:t xml:space="preserve"> </w:t>
      </w:r>
      <w:r>
        <w:rPr>
          <w:color w:val="231F20"/>
        </w:rPr>
        <w:t>requirements,</w:t>
      </w:r>
      <w:r>
        <w:rPr>
          <w:color w:val="231F20"/>
          <w:spacing w:val="-3"/>
        </w:rPr>
        <w:t xml:space="preserve"> </w:t>
      </w:r>
      <w:r>
        <w:rPr>
          <w:color w:val="231F20"/>
        </w:rPr>
        <w:t>destination</w:t>
      </w:r>
      <w:r>
        <w:rPr>
          <w:color w:val="231F20"/>
          <w:spacing w:val="-3"/>
        </w:rPr>
        <w:t xml:space="preserve"> </w:t>
      </w:r>
      <w:r>
        <w:rPr>
          <w:color w:val="231F20"/>
        </w:rPr>
        <w:t>hierarchies</w:t>
      </w:r>
      <w:r>
        <w:rPr>
          <w:color w:val="231F20"/>
          <w:spacing w:val="-3"/>
        </w:rPr>
        <w:t xml:space="preserve"> </w:t>
      </w:r>
      <w:r>
        <w:rPr>
          <w:color w:val="231F20"/>
        </w:rPr>
        <w:t>and</w:t>
      </w:r>
      <w:r>
        <w:rPr>
          <w:color w:val="231F20"/>
          <w:spacing w:val="-3"/>
        </w:rPr>
        <w:t xml:space="preserve"> </w:t>
      </w:r>
      <w:r>
        <w:rPr>
          <w:color w:val="231F20"/>
        </w:rPr>
        <w:t xml:space="preserve">travel </w:t>
      </w:r>
      <w:r>
        <w:rPr>
          <w:color w:val="231F20"/>
          <w:w w:val="95"/>
        </w:rPr>
        <w:t xml:space="preserve">flows. The locational requirements and travel flows associated with sports that take place in central and peripheral areas are then addressed, followed by consideration of the spatial travel patterns associated with active sport </w:t>
      </w:r>
      <w:r>
        <w:rPr>
          <w:color w:val="231F20"/>
        </w:rPr>
        <w:t>tourism.</w:t>
      </w:r>
      <w:r>
        <w:rPr>
          <w:color w:val="231F20"/>
          <w:spacing w:val="-3"/>
        </w:rPr>
        <w:t xml:space="preserve"> </w:t>
      </w:r>
      <w:r>
        <w:rPr>
          <w:color w:val="231F20"/>
        </w:rPr>
        <w:t>The</w:t>
      </w:r>
      <w:r>
        <w:rPr>
          <w:color w:val="231F20"/>
          <w:spacing w:val="-3"/>
        </w:rPr>
        <w:t xml:space="preserve"> </w:t>
      </w:r>
      <w:r>
        <w:rPr>
          <w:color w:val="231F20"/>
        </w:rPr>
        <w:t>concept</w:t>
      </w:r>
      <w:r>
        <w:rPr>
          <w:color w:val="231F20"/>
          <w:spacing w:val="-3"/>
        </w:rPr>
        <w:t xml:space="preserve"> </w:t>
      </w:r>
      <w:r>
        <w:rPr>
          <w:color w:val="231F20"/>
        </w:rPr>
        <w:t>of</w:t>
      </w:r>
      <w:r>
        <w:rPr>
          <w:color w:val="231F20"/>
          <w:spacing w:val="-3"/>
        </w:rPr>
        <w:t xml:space="preserve"> </w:t>
      </w:r>
      <w:r>
        <w:rPr>
          <w:color w:val="231F20"/>
        </w:rPr>
        <w:t>sca</w:t>
      </w:r>
      <w:r>
        <w:rPr>
          <w:color w:val="231F20"/>
        </w:rPr>
        <w:t>le,</w:t>
      </w:r>
      <w:r>
        <w:rPr>
          <w:color w:val="231F20"/>
          <w:spacing w:val="-3"/>
        </w:rPr>
        <w:t xml:space="preserve"> </w:t>
      </w:r>
      <w:r>
        <w:rPr>
          <w:color w:val="231F20"/>
        </w:rPr>
        <w:t>so</w:t>
      </w:r>
      <w:r>
        <w:rPr>
          <w:color w:val="231F20"/>
          <w:spacing w:val="-3"/>
        </w:rPr>
        <w:t xml:space="preserve"> </w:t>
      </w:r>
      <w:r>
        <w:rPr>
          <w:color w:val="231F20"/>
        </w:rPr>
        <w:t>central</w:t>
      </w:r>
      <w:r>
        <w:rPr>
          <w:color w:val="231F20"/>
          <w:spacing w:val="-3"/>
        </w:rPr>
        <w:t xml:space="preserve"> </w:t>
      </w:r>
      <w:r>
        <w:rPr>
          <w:color w:val="231F20"/>
        </w:rPr>
        <w:t>to</w:t>
      </w:r>
      <w:r>
        <w:rPr>
          <w:color w:val="231F20"/>
          <w:spacing w:val="-3"/>
        </w:rPr>
        <w:t xml:space="preserve"> </w:t>
      </w:r>
      <w:r>
        <w:rPr>
          <w:color w:val="231F20"/>
        </w:rPr>
        <w:t>geographical</w:t>
      </w:r>
      <w:r>
        <w:rPr>
          <w:color w:val="231F20"/>
          <w:spacing w:val="-3"/>
        </w:rPr>
        <w:t xml:space="preserve"> </w:t>
      </w:r>
      <w:r>
        <w:rPr>
          <w:color w:val="231F20"/>
        </w:rPr>
        <w:t>theory</w:t>
      </w:r>
      <w:r>
        <w:rPr>
          <w:color w:val="231F20"/>
          <w:spacing w:val="-3"/>
        </w:rPr>
        <w:t xml:space="preserve"> </w:t>
      </w:r>
      <w:r>
        <w:rPr>
          <w:color w:val="231F20"/>
        </w:rPr>
        <w:t>(Higham &amp; Hinch, 2006), and how it is being reshaped by global political and environmental</w:t>
      </w:r>
      <w:r>
        <w:rPr>
          <w:color w:val="231F20"/>
          <w:spacing w:val="-5"/>
        </w:rPr>
        <w:t xml:space="preserve"> </w:t>
      </w:r>
      <w:r>
        <w:rPr>
          <w:color w:val="231F20"/>
        </w:rPr>
        <w:t>change,</w:t>
      </w:r>
      <w:r>
        <w:rPr>
          <w:color w:val="231F20"/>
          <w:spacing w:val="-5"/>
        </w:rPr>
        <w:t xml:space="preserve"> </w:t>
      </w:r>
      <w:r>
        <w:rPr>
          <w:color w:val="231F20"/>
        </w:rPr>
        <w:t>is</w:t>
      </w:r>
      <w:r>
        <w:rPr>
          <w:color w:val="231F20"/>
          <w:spacing w:val="-5"/>
        </w:rPr>
        <w:t xml:space="preserve"> </w:t>
      </w:r>
      <w:r>
        <w:rPr>
          <w:color w:val="231F20"/>
        </w:rPr>
        <w:t>a</w:t>
      </w:r>
      <w:r>
        <w:rPr>
          <w:color w:val="231F20"/>
          <w:spacing w:val="-5"/>
        </w:rPr>
        <w:t xml:space="preserve"> </w:t>
      </w:r>
      <w:r>
        <w:rPr>
          <w:color w:val="231F20"/>
        </w:rPr>
        <w:t>recurring</w:t>
      </w:r>
      <w:r>
        <w:rPr>
          <w:color w:val="231F20"/>
          <w:spacing w:val="-5"/>
        </w:rPr>
        <w:t xml:space="preserve"> </w:t>
      </w:r>
      <w:r>
        <w:rPr>
          <w:color w:val="231F20"/>
        </w:rPr>
        <w:t>element</w:t>
      </w:r>
      <w:r>
        <w:rPr>
          <w:color w:val="231F20"/>
          <w:spacing w:val="-5"/>
        </w:rPr>
        <w:t xml:space="preserve"> </w:t>
      </w:r>
      <w:r>
        <w:rPr>
          <w:color w:val="231F20"/>
        </w:rPr>
        <w:t>of</w:t>
      </w:r>
      <w:r>
        <w:rPr>
          <w:color w:val="231F20"/>
          <w:spacing w:val="-5"/>
        </w:rPr>
        <w:t xml:space="preserve"> </w:t>
      </w:r>
      <w:r>
        <w:rPr>
          <w:color w:val="231F20"/>
        </w:rPr>
        <w:t>these</w:t>
      </w:r>
      <w:r>
        <w:rPr>
          <w:color w:val="231F20"/>
          <w:spacing w:val="-5"/>
        </w:rPr>
        <w:t xml:space="preserve"> </w:t>
      </w:r>
      <w:r>
        <w:rPr>
          <w:color w:val="231F20"/>
        </w:rPr>
        <w:t>discussions.</w:t>
      </w:r>
    </w:p>
    <w:p w14:paraId="78332877" w14:textId="77777777" w:rsidR="00AE0598" w:rsidRDefault="00AE0598">
      <w:pPr>
        <w:pStyle w:val="Corpodetexto"/>
        <w:spacing w:before="3"/>
        <w:rPr>
          <w:sz w:val="23"/>
        </w:rPr>
      </w:pPr>
    </w:p>
    <w:p w14:paraId="5DA45783" w14:textId="77777777" w:rsidR="00AE0598" w:rsidRDefault="0069255A">
      <w:pPr>
        <w:spacing w:before="1"/>
        <w:ind w:left="110"/>
        <w:rPr>
          <w:rFonts w:ascii="Trebuchet MS"/>
          <w:b/>
          <w:sz w:val="20"/>
        </w:rPr>
      </w:pPr>
      <w:r>
        <w:rPr>
          <w:rFonts w:ascii="Trebuchet MS"/>
          <w:b/>
          <w:color w:val="231F20"/>
          <w:sz w:val="20"/>
        </w:rPr>
        <w:t>Sport,</w:t>
      </w:r>
      <w:r>
        <w:rPr>
          <w:rFonts w:ascii="Trebuchet MS"/>
          <w:b/>
          <w:color w:val="231F20"/>
          <w:spacing w:val="-3"/>
          <w:sz w:val="20"/>
        </w:rPr>
        <w:t xml:space="preserve"> </w:t>
      </w:r>
      <w:r>
        <w:rPr>
          <w:rFonts w:ascii="Trebuchet MS"/>
          <w:b/>
          <w:color w:val="231F20"/>
          <w:sz w:val="20"/>
        </w:rPr>
        <w:t>Tourism</w:t>
      </w:r>
      <w:r>
        <w:rPr>
          <w:rFonts w:ascii="Trebuchet MS"/>
          <w:b/>
          <w:color w:val="231F20"/>
          <w:spacing w:val="-3"/>
          <w:sz w:val="20"/>
        </w:rPr>
        <w:t xml:space="preserve"> </w:t>
      </w:r>
      <w:r>
        <w:rPr>
          <w:rFonts w:ascii="Trebuchet MS"/>
          <w:b/>
          <w:color w:val="231F20"/>
          <w:sz w:val="20"/>
        </w:rPr>
        <w:t>and</w:t>
      </w:r>
      <w:r>
        <w:rPr>
          <w:rFonts w:ascii="Trebuchet MS"/>
          <w:b/>
          <w:color w:val="231F20"/>
          <w:spacing w:val="-3"/>
          <w:sz w:val="20"/>
        </w:rPr>
        <w:t xml:space="preserve"> </w:t>
      </w:r>
      <w:r>
        <w:rPr>
          <w:rFonts w:ascii="Trebuchet MS"/>
          <w:b/>
          <w:color w:val="231F20"/>
          <w:spacing w:val="-4"/>
          <w:sz w:val="20"/>
        </w:rPr>
        <w:t>Space</w:t>
      </w:r>
    </w:p>
    <w:p w14:paraId="04BE2737" w14:textId="77777777" w:rsidR="00AE0598" w:rsidRDefault="0069255A">
      <w:pPr>
        <w:pStyle w:val="Corpodetexto"/>
        <w:spacing w:before="122" w:line="232" w:lineRule="auto"/>
        <w:ind w:left="110" w:right="128" w:firstLine="320"/>
        <w:jc w:val="both"/>
      </w:pPr>
      <w:r>
        <w:rPr>
          <w:color w:val="231F20"/>
          <w:w w:val="95"/>
        </w:rPr>
        <w:t>Space and place are concepts that are central to</w:t>
      </w:r>
      <w:r>
        <w:rPr>
          <w:color w:val="231F20"/>
          <w:w w:val="95"/>
        </w:rPr>
        <w:t xml:space="preserve"> the geography of sport (Bale, 1989) and the geography of tourism (Hall &amp; Page, 2014; Lew, 2001; Pearce, 1987). Unlike recreation and free play, many sports require defined spatial</w:t>
      </w:r>
      <w:r>
        <w:rPr>
          <w:color w:val="231F20"/>
          <w:spacing w:val="4"/>
        </w:rPr>
        <w:t xml:space="preserve"> </w:t>
      </w:r>
      <w:r>
        <w:rPr>
          <w:color w:val="231F20"/>
          <w:w w:val="95"/>
        </w:rPr>
        <w:t>delineations,</w:t>
      </w:r>
      <w:r>
        <w:rPr>
          <w:color w:val="231F20"/>
          <w:spacing w:val="4"/>
        </w:rPr>
        <w:t xml:space="preserve"> </w:t>
      </w:r>
      <w:r>
        <w:rPr>
          <w:color w:val="231F20"/>
          <w:w w:val="95"/>
        </w:rPr>
        <w:t>such</w:t>
      </w:r>
      <w:r>
        <w:rPr>
          <w:color w:val="231F20"/>
          <w:spacing w:val="4"/>
        </w:rPr>
        <w:t xml:space="preserve"> </w:t>
      </w:r>
      <w:r>
        <w:rPr>
          <w:color w:val="231F20"/>
          <w:w w:val="95"/>
        </w:rPr>
        <w:t>as</w:t>
      </w:r>
      <w:r>
        <w:rPr>
          <w:color w:val="231F20"/>
          <w:spacing w:val="4"/>
        </w:rPr>
        <w:t xml:space="preserve"> </w:t>
      </w:r>
      <w:r>
        <w:rPr>
          <w:color w:val="231F20"/>
          <w:w w:val="95"/>
        </w:rPr>
        <w:t>the</w:t>
      </w:r>
      <w:r>
        <w:rPr>
          <w:color w:val="231F20"/>
          <w:spacing w:val="4"/>
        </w:rPr>
        <w:t xml:space="preserve"> </w:t>
      </w:r>
      <w:r>
        <w:rPr>
          <w:color w:val="231F20"/>
          <w:w w:val="95"/>
        </w:rPr>
        <w:t>length</w:t>
      </w:r>
      <w:r>
        <w:rPr>
          <w:color w:val="231F20"/>
          <w:spacing w:val="4"/>
        </w:rPr>
        <w:t xml:space="preserve"> </w:t>
      </w:r>
      <w:r>
        <w:rPr>
          <w:color w:val="231F20"/>
          <w:w w:val="95"/>
        </w:rPr>
        <w:t>of</w:t>
      </w:r>
      <w:r>
        <w:rPr>
          <w:color w:val="231F20"/>
          <w:spacing w:val="5"/>
        </w:rPr>
        <w:t xml:space="preserve"> </w:t>
      </w:r>
      <w:r>
        <w:rPr>
          <w:color w:val="231F20"/>
          <w:w w:val="95"/>
        </w:rPr>
        <w:t>a</w:t>
      </w:r>
      <w:r>
        <w:rPr>
          <w:color w:val="231F20"/>
          <w:spacing w:val="4"/>
        </w:rPr>
        <w:t xml:space="preserve"> </w:t>
      </w:r>
      <w:r>
        <w:rPr>
          <w:color w:val="231F20"/>
          <w:w w:val="95"/>
        </w:rPr>
        <w:t>marathon</w:t>
      </w:r>
      <w:r>
        <w:rPr>
          <w:color w:val="231F20"/>
          <w:spacing w:val="4"/>
        </w:rPr>
        <w:t xml:space="preserve"> </w:t>
      </w:r>
      <w:r>
        <w:rPr>
          <w:color w:val="231F20"/>
          <w:w w:val="95"/>
        </w:rPr>
        <w:t>(26</w:t>
      </w:r>
      <w:r>
        <w:rPr>
          <w:color w:val="231F20"/>
          <w:spacing w:val="4"/>
        </w:rPr>
        <w:t xml:space="preserve"> </w:t>
      </w:r>
      <w:r>
        <w:rPr>
          <w:color w:val="231F20"/>
          <w:w w:val="95"/>
        </w:rPr>
        <w:t>miles,</w:t>
      </w:r>
      <w:r>
        <w:rPr>
          <w:color w:val="231F20"/>
          <w:spacing w:val="4"/>
        </w:rPr>
        <w:t xml:space="preserve"> </w:t>
      </w:r>
      <w:r>
        <w:rPr>
          <w:color w:val="231F20"/>
          <w:w w:val="95"/>
        </w:rPr>
        <w:t>385</w:t>
      </w:r>
      <w:r>
        <w:rPr>
          <w:color w:val="231F20"/>
          <w:spacing w:val="4"/>
        </w:rPr>
        <w:t xml:space="preserve"> </w:t>
      </w:r>
      <w:r>
        <w:rPr>
          <w:color w:val="231F20"/>
          <w:spacing w:val="-2"/>
          <w:w w:val="95"/>
        </w:rPr>
        <w:t>yards)</w:t>
      </w:r>
    </w:p>
    <w:p w14:paraId="0DF32EAB" w14:textId="77777777" w:rsidR="00AE0598" w:rsidRDefault="00AE0598">
      <w:pPr>
        <w:pStyle w:val="Corpodetexto"/>
        <w:spacing w:before="6"/>
        <w:rPr>
          <w:sz w:val="27"/>
        </w:rPr>
      </w:pPr>
    </w:p>
    <w:p w14:paraId="455206C0" w14:textId="77777777" w:rsidR="00AE0598" w:rsidRDefault="0069255A">
      <w:pPr>
        <w:spacing w:before="100"/>
        <w:ind w:left="384" w:right="406"/>
        <w:jc w:val="center"/>
        <w:rPr>
          <w:rFonts w:ascii="Trebuchet MS"/>
          <w:sz w:val="16"/>
        </w:rPr>
      </w:pPr>
      <w:r>
        <w:rPr>
          <w:rFonts w:ascii="Trebuchet MS"/>
          <w:color w:val="231F20"/>
          <w:spacing w:val="-5"/>
          <w:w w:val="105"/>
          <w:sz w:val="16"/>
        </w:rPr>
        <w:t>89</w:t>
      </w:r>
    </w:p>
    <w:p w14:paraId="76D9C92A" w14:textId="77777777" w:rsidR="00AE0598" w:rsidRDefault="00AE0598">
      <w:pPr>
        <w:jc w:val="center"/>
        <w:rPr>
          <w:rFonts w:ascii="Trebuchet MS"/>
          <w:sz w:val="16"/>
        </w:rPr>
        <w:sectPr w:rsidR="00AE0598">
          <w:pgSz w:w="8850" w:h="13270"/>
          <w:pgMar w:top="1020" w:right="1060" w:bottom="280" w:left="1080" w:header="720" w:footer="720" w:gutter="0"/>
          <w:cols w:space="720"/>
        </w:sectPr>
      </w:pPr>
    </w:p>
    <w:p w14:paraId="1C075329" w14:textId="77777777" w:rsidR="00AE0598" w:rsidRDefault="0069255A">
      <w:pPr>
        <w:spacing w:before="87"/>
        <w:ind w:left="108"/>
        <w:rPr>
          <w:rFonts w:ascii="Trebuchet MS"/>
          <w:sz w:val="14"/>
        </w:rPr>
      </w:pPr>
      <w:r>
        <w:rPr>
          <w:rFonts w:ascii="Trebuchet MS"/>
          <w:color w:val="231F20"/>
          <w:w w:val="105"/>
          <w:sz w:val="14"/>
        </w:rPr>
        <w:lastRenderedPageBreak/>
        <w:t>90</w:t>
      </w:r>
      <w:r>
        <w:rPr>
          <w:rFonts w:ascii="Trebuchet MS"/>
          <w:color w:val="231F20"/>
          <w:spacing w:val="66"/>
          <w:w w:val="150"/>
          <w:sz w:val="14"/>
        </w:rPr>
        <w:t xml:space="preserve"> </w:t>
      </w:r>
      <w:r>
        <w:rPr>
          <w:rFonts w:ascii="Trebuchet MS"/>
          <w:color w:val="231F20"/>
          <w:w w:val="105"/>
          <w:sz w:val="14"/>
        </w:rPr>
        <w:t>Part</w:t>
      </w:r>
      <w:r>
        <w:rPr>
          <w:rFonts w:ascii="Trebuchet MS"/>
          <w:color w:val="231F20"/>
          <w:spacing w:val="-9"/>
          <w:w w:val="105"/>
          <w:sz w:val="14"/>
        </w:rPr>
        <w:t xml:space="preserve"> </w:t>
      </w:r>
      <w:r>
        <w:rPr>
          <w:rFonts w:ascii="Trebuchet MS"/>
          <w:color w:val="231F20"/>
          <w:w w:val="105"/>
          <w:sz w:val="14"/>
        </w:rPr>
        <w:t>3:</w:t>
      </w:r>
      <w:r>
        <w:rPr>
          <w:rFonts w:ascii="Trebuchet MS"/>
          <w:color w:val="231F20"/>
          <w:spacing w:val="-9"/>
          <w:w w:val="105"/>
          <w:sz w:val="14"/>
        </w:rPr>
        <w:t xml:space="preserve"> </w:t>
      </w:r>
      <w:r>
        <w:rPr>
          <w:rFonts w:ascii="Trebuchet MS"/>
          <w:color w:val="231F20"/>
          <w:w w:val="105"/>
          <w:sz w:val="14"/>
        </w:rPr>
        <w:t>Sport</w:t>
      </w:r>
      <w:r>
        <w:rPr>
          <w:rFonts w:ascii="Trebuchet MS"/>
          <w:color w:val="231F20"/>
          <w:spacing w:val="-9"/>
          <w:w w:val="105"/>
          <w:sz w:val="14"/>
        </w:rPr>
        <w:t xml:space="preserve"> </w:t>
      </w:r>
      <w:r>
        <w:rPr>
          <w:rFonts w:ascii="Trebuchet MS"/>
          <w:color w:val="231F20"/>
          <w:w w:val="105"/>
          <w:sz w:val="14"/>
        </w:rPr>
        <w:t>Tourism</w:t>
      </w:r>
      <w:r>
        <w:rPr>
          <w:rFonts w:ascii="Trebuchet MS"/>
          <w:color w:val="231F20"/>
          <w:spacing w:val="-8"/>
          <w:w w:val="105"/>
          <w:sz w:val="14"/>
        </w:rPr>
        <w:t xml:space="preserve"> </w:t>
      </w:r>
      <w:r>
        <w:rPr>
          <w:rFonts w:ascii="Trebuchet MS"/>
          <w:color w:val="231F20"/>
          <w:w w:val="105"/>
          <w:sz w:val="14"/>
        </w:rPr>
        <w:t>Development</w:t>
      </w:r>
      <w:r>
        <w:rPr>
          <w:rFonts w:ascii="Trebuchet MS"/>
          <w:color w:val="231F20"/>
          <w:spacing w:val="-9"/>
          <w:w w:val="105"/>
          <w:sz w:val="14"/>
        </w:rPr>
        <w:t xml:space="preserve"> </w:t>
      </w:r>
      <w:r>
        <w:rPr>
          <w:rFonts w:ascii="Trebuchet MS"/>
          <w:color w:val="231F20"/>
          <w:w w:val="105"/>
          <w:sz w:val="14"/>
        </w:rPr>
        <w:t>and</w:t>
      </w:r>
      <w:r>
        <w:rPr>
          <w:rFonts w:ascii="Trebuchet MS"/>
          <w:color w:val="231F20"/>
          <w:spacing w:val="-9"/>
          <w:w w:val="105"/>
          <w:sz w:val="14"/>
        </w:rPr>
        <w:t xml:space="preserve"> </w:t>
      </w:r>
      <w:r>
        <w:rPr>
          <w:rFonts w:ascii="Trebuchet MS"/>
          <w:color w:val="231F20"/>
          <w:spacing w:val="-2"/>
          <w:w w:val="105"/>
          <w:sz w:val="14"/>
        </w:rPr>
        <w:t>Space</w:t>
      </w:r>
    </w:p>
    <w:p w14:paraId="600E0BF5" w14:textId="77777777" w:rsidR="00AE0598" w:rsidRDefault="00AE0598">
      <w:pPr>
        <w:pStyle w:val="Corpodetexto"/>
        <w:rPr>
          <w:rFonts w:ascii="Trebuchet MS"/>
          <w:sz w:val="16"/>
        </w:rPr>
      </w:pPr>
    </w:p>
    <w:p w14:paraId="15ED9B76" w14:textId="77777777" w:rsidR="00AE0598" w:rsidRDefault="0069255A">
      <w:pPr>
        <w:pStyle w:val="Corpodetexto"/>
        <w:spacing w:before="118" w:line="232" w:lineRule="auto"/>
        <w:ind w:left="110" w:right="127"/>
        <w:jc w:val="both"/>
      </w:pPr>
      <w:r>
        <w:rPr>
          <w:color w:val="231F20"/>
        </w:rPr>
        <w:t>or</w:t>
      </w:r>
      <w:r>
        <w:rPr>
          <w:color w:val="231F20"/>
          <w:spacing w:val="-1"/>
        </w:rPr>
        <w:t xml:space="preserve"> </w:t>
      </w:r>
      <w:r>
        <w:rPr>
          <w:color w:val="231F20"/>
        </w:rPr>
        <w:t>the</w:t>
      </w:r>
      <w:r>
        <w:rPr>
          <w:color w:val="231F20"/>
          <w:spacing w:val="-1"/>
        </w:rPr>
        <w:t xml:space="preserve"> </w:t>
      </w:r>
      <w:r>
        <w:rPr>
          <w:color w:val="231F20"/>
        </w:rPr>
        <w:t>physical</w:t>
      </w:r>
      <w:r>
        <w:rPr>
          <w:color w:val="231F20"/>
          <w:spacing w:val="-1"/>
        </w:rPr>
        <w:t xml:space="preserve"> </w:t>
      </w:r>
      <w:r>
        <w:rPr>
          <w:color w:val="231F20"/>
        </w:rPr>
        <w:t>parameters</w:t>
      </w:r>
      <w:r>
        <w:rPr>
          <w:color w:val="231F20"/>
          <w:spacing w:val="-1"/>
        </w:rPr>
        <w:t xml:space="preserve"> </w:t>
      </w:r>
      <w:r>
        <w:rPr>
          <w:color w:val="231F20"/>
        </w:rPr>
        <w:t>of</w:t>
      </w:r>
      <w:r>
        <w:rPr>
          <w:color w:val="231F20"/>
          <w:spacing w:val="-1"/>
        </w:rPr>
        <w:t xml:space="preserve"> </w:t>
      </w:r>
      <w:r>
        <w:rPr>
          <w:color w:val="231F20"/>
        </w:rPr>
        <w:t>a</w:t>
      </w:r>
      <w:r>
        <w:rPr>
          <w:color w:val="231F20"/>
          <w:spacing w:val="-1"/>
        </w:rPr>
        <w:t xml:space="preserve"> </w:t>
      </w:r>
      <w:r>
        <w:rPr>
          <w:color w:val="231F20"/>
        </w:rPr>
        <w:t>basketball</w:t>
      </w:r>
      <w:r>
        <w:rPr>
          <w:color w:val="231F20"/>
          <w:spacing w:val="-1"/>
        </w:rPr>
        <w:t xml:space="preserve"> </w:t>
      </w:r>
      <w:r>
        <w:rPr>
          <w:color w:val="231F20"/>
        </w:rPr>
        <w:t>court</w:t>
      </w:r>
      <w:r>
        <w:rPr>
          <w:color w:val="231F20"/>
          <w:spacing w:val="-1"/>
        </w:rPr>
        <w:t xml:space="preserve"> </w:t>
      </w:r>
      <w:r>
        <w:rPr>
          <w:color w:val="231F20"/>
        </w:rPr>
        <w:t>(29</w:t>
      </w:r>
      <w:r>
        <w:rPr>
          <w:color w:val="231F20"/>
          <w:spacing w:val="-1"/>
        </w:rPr>
        <w:t xml:space="preserve"> </w:t>
      </w:r>
      <w:r>
        <w:rPr>
          <w:color w:val="231F20"/>
        </w:rPr>
        <w:t>×</w:t>
      </w:r>
      <w:r>
        <w:rPr>
          <w:color w:val="231F20"/>
          <w:spacing w:val="-1"/>
        </w:rPr>
        <w:t xml:space="preserve"> </w:t>
      </w:r>
      <w:r>
        <w:rPr>
          <w:color w:val="231F20"/>
        </w:rPr>
        <w:t>15</w:t>
      </w:r>
      <w:r>
        <w:rPr>
          <w:color w:val="231F20"/>
          <w:spacing w:val="-1"/>
        </w:rPr>
        <w:t xml:space="preserve"> </w:t>
      </w:r>
      <w:r>
        <w:rPr>
          <w:color w:val="231F20"/>
        </w:rPr>
        <w:t>m).</w:t>
      </w:r>
      <w:r>
        <w:rPr>
          <w:color w:val="231F20"/>
          <w:spacing w:val="-1"/>
        </w:rPr>
        <w:t xml:space="preserve"> </w:t>
      </w:r>
      <w:r>
        <w:rPr>
          <w:color w:val="231F20"/>
        </w:rPr>
        <w:t>The</w:t>
      </w:r>
      <w:r>
        <w:rPr>
          <w:color w:val="231F20"/>
          <w:spacing w:val="-1"/>
        </w:rPr>
        <w:t xml:space="preserve"> </w:t>
      </w:r>
      <w:r>
        <w:rPr>
          <w:color w:val="231F20"/>
        </w:rPr>
        <w:t>spatial boundaries</w:t>
      </w:r>
      <w:r>
        <w:rPr>
          <w:color w:val="231F20"/>
          <w:spacing w:val="-1"/>
        </w:rPr>
        <w:t xml:space="preserve"> </w:t>
      </w:r>
      <w:r>
        <w:rPr>
          <w:color w:val="231F20"/>
        </w:rPr>
        <w:t>that</w:t>
      </w:r>
      <w:r>
        <w:rPr>
          <w:color w:val="231F20"/>
          <w:spacing w:val="-1"/>
        </w:rPr>
        <w:t xml:space="preserve"> </w:t>
      </w:r>
      <w:r>
        <w:rPr>
          <w:color w:val="231F20"/>
        </w:rPr>
        <w:t>are</w:t>
      </w:r>
      <w:r>
        <w:rPr>
          <w:color w:val="231F20"/>
          <w:spacing w:val="-1"/>
        </w:rPr>
        <w:t xml:space="preserve"> </w:t>
      </w:r>
      <w:r>
        <w:rPr>
          <w:color w:val="231F20"/>
        </w:rPr>
        <w:t>applied</w:t>
      </w:r>
      <w:r>
        <w:rPr>
          <w:color w:val="231F20"/>
          <w:spacing w:val="-1"/>
        </w:rPr>
        <w:t xml:space="preserve"> </w:t>
      </w:r>
      <w:r>
        <w:rPr>
          <w:color w:val="231F20"/>
        </w:rPr>
        <w:t>to</w:t>
      </w:r>
      <w:r>
        <w:rPr>
          <w:color w:val="231F20"/>
          <w:spacing w:val="-1"/>
        </w:rPr>
        <w:t xml:space="preserve"> </w:t>
      </w:r>
      <w:r>
        <w:rPr>
          <w:color w:val="231F20"/>
        </w:rPr>
        <w:t>sports</w:t>
      </w:r>
      <w:r>
        <w:rPr>
          <w:color w:val="231F20"/>
          <w:spacing w:val="-1"/>
        </w:rPr>
        <w:t xml:space="preserve"> </w:t>
      </w:r>
      <w:r>
        <w:rPr>
          <w:color w:val="231F20"/>
        </w:rPr>
        <w:t>are</w:t>
      </w:r>
      <w:r>
        <w:rPr>
          <w:color w:val="231F20"/>
          <w:spacing w:val="-1"/>
        </w:rPr>
        <w:t xml:space="preserve"> </w:t>
      </w:r>
      <w:r>
        <w:rPr>
          <w:color w:val="231F20"/>
        </w:rPr>
        <w:t>written</w:t>
      </w:r>
      <w:r>
        <w:rPr>
          <w:color w:val="231F20"/>
          <w:spacing w:val="-1"/>
        </w:rPr>
        <w:t xml:space="preserve"> </w:t>
      </w:r>
      <w:r>
        <w:rPr>
          <w:color w:val="231F20"/>
        </w:rPr>
        <w:t>into</w:t>
      </w:r>
      <w:r>
        <w:rPr>
          <w:color w:val="231F20"/>
          <w:spacing w:val="-1"/>
        </w:rPr>
        <w:t xml:space="preserve"> </w:t>
      </w:r>
      <w:r>
        <w:rPr>
          <w:color w:val="231F20"/>
        </w:rPr>
        <w:t>rules</w:t>
      </w:r>
      <w:r>
        <w:rPr>
          <w:color w:val="231F20"/>
          <w:spacing w:val="-1"/>
        </w:rPr>
        <w:t xml:space="preserve"> </w:t>
      </w:r>
      <w:r>
        <w:rPr>
          <w:color w:val="231F20"/>
        </w:rPr>
        <w:t>and</w:t>
      </w:r>
      <w:r>
        <w:rPr>
          <w:color w:val="231F20"/>
          <w:spacing w:val="-1"/>
        </w:rPr>
        <w:t xml:space="preserve"> </w:t>
      </w:r>
      <w:r>
        <w:rPr>
          <w:color w:val="231F20"/>
        </w:rPr>
        <w:t>codes</w:t>
      </w:r>
      <w:r>
        <w:rPr>
          <w:color w:val="231F20"/>
          <w:spacing w:val="-1"/>
        </w:rPr>
        <w:t xml:space="preserve"> </w:t>
      </w:r>
      <w:r>
        <w:rPr>
          <w:color w:val="231F20"/>
        </w:rPr>
        <w:t xml:space="preserve">of regulation. These rules may be explicit in terms of player movement, as in the case of netball (where, for example, defenders must remain in the </w:t>
      </w:r>
      <w:r>
        <w:rPr>
          <w:color w:val="231F20"/>
          <w:w w:val="95"/>
        </w:rPr>
        <w:t>defensive half of the court), or implicit, where a defensive formation will be weakened or broken if a playe</w:t>
      </w:r>
      <w:r>
        <w:rPr>
          <w:color w:val="231F20"/>
          <w:w w:val="95"/>
        </w:rPr>
        <w:t xml:space="preserve">r moves out of position. ‘In many cases sport </w:t>
      </w:r>
      <w:r>
        <w:rPr>
          <w:color w:val="231F20"/>
        </w:rPr>
        <w:t>involves the dominance of territory or the mastery of distance; spatial infractions are punished and spatial progress is often a major objective’ (Bale, 1989: 12).</w:t>
      </w:r>
    </w:p>
    <w:p w14:paraId="5771AF18" w14:textId="77777777" w:rsidR="00AE0598" w:rsidRDefault="0069255A">
      <w:pPr>
        <w:pStyle w:val="Corpodetexto"/>
        <w:spacing w:before="11" w:line="232" w:lineRule="auto"/>
        <w:ind w:left="110" w:right="126" w:firstLine="320"/>
        <w:jc w:val="both"/>
      </w:pPr>
      <w:r>
        <w:rPr>
          <w:color w:val="231F20"/>
          <w:w w:val="95"/>
        </w:rPr>
        <w:t>Tourism is also characterised by a spatial com</w:t>
      </w:r>
      <w:r>
        <w:rPr>
          <w:color w:val="231F20"/>
          <w:w w:val="95"/>
        </w:rPr>
        <w:t xml:space="preserve">ponent. To be considered a tourist, individuals must leave and then eventually return to their home </w:t>
      </w:r>
      <w:r>
        <w:rPr>
          <w:color w:val="231F20"/>
        </w:rPr>
        <w:t>(Chapter 2). Travel is one of the necessary conditions of tourism, and it is for this reason that the spatial implications of tourism are important. A varie</w:t>
      </w:r>
      <w:r>
        <w:rPr>
          <w:color w:val="231F20"/>
        </w:rPr>
        <w:t xml:space="preserve">ty of qualifiers have been placed on this dimension including a </w:t>
      </w:r>
      <w:r>
        <w:rPr>
          <w:color w:val="231F20"/>
          <w:w w:val="95"/>
        </w:rPr>
        <w:t>range of minimum travel distances, but the fundamental concept of travel</w:t>
      </w:r>
      <w:r>
        <w:rPr>
          <w:color w:val="231F20"/>
          <w:spacing w:val="80"/>
          <w:w w:val="150"/>
        </w:rPr>
        <w:t xml:space="preserve"> </w:t>
      </w:r>
      <w:r>
        <w:rPr>
          <w:color w:val="231F20"/>
          <w:w w:val="95"/>
        </w:rPr>
        <w:t xml:space="preserve">is universal (Hall, 2004). The spatial dimensions of sport and tourism are </w:t>
      </w:r>
      <w:r>
        <w:rPr>
          <w:color w:val="231F20"/>
        </w:rPr>
        <w:t>critically important to the respective field</w:t>
      </w:r>
      <w:r>
        <w:rPr>
          <w:color w:val="231F20"/>
        </w:rPr>
        <w:t>s.</w:t>
      </w:r>
    </w:p>
    <w:p w14:paraId="3F571285" w14:textId="77777777" w:rsidR="00AE0598" w:rsidRDefault="0069255A">
      <w:pPr>
        <w:pStyle w:val="Corpodetexto"/>
        <w:spacing w:before="9" w:line="232" w:lineRule="auto"/>
        <w:ind w:left="110" w:right="127" w:firstLine="320"/>
        <w:jc w:val="both"/>
      </w:pPr>
      <w:r>
        <w:rPr>
          <w:color w:val="231F20"/>
          <w:w w:val="95"/>
        </w:rPr>
        <w:t xml:space="preserve">The spatial element of sport tourism, as it is addressed in this chapter, </w:t>
      </w:r>
      <w:r>
        <w:rPr>
          <w:color w:val="231F20"/>
        </w:rPr>
        <w:t xml:space="preserve">centres on the locations and regions in which specific sports take place, </w:t>
      </w:r>
      <w:r>
        <w:rPr>
          <w:color w:val="231F20"/>
          <w:w w:val="95"/>
        </w:rPr>
        <w:t xml:space="preserve">travel flows that are directly or indirectly associated with those sports and </w:t>
      </w:r>
      <w:r>
        <w:rPr>
          <w:color w:val="231F20"/>
        </w:rPr>
        <w:t>the ways that these flows</w:t>
      </w:r>
      <w:r>
        <w:rPr>
          <w:color w:val="231F20"/>
          <w:spacing w:val="-1"/>
        </w:rPr>
        <w:t xml:space="preserve"> </w:t>
      </w:r>
      <w:r>
        <w:rPr>
          <w:color w:val="231F20"/>
        </w:rPr>
        <w:t>may</w:t>
      </w:r>
      <w:r>
        <w:rPr>
          <w:color w:val="231F20"/>
          <w:spacing w:val="-1"/>
        </w:rPr>
        <w:t xml:space="preserve"> </w:t>
      </w:r>
      <w:r>
        <w:rPr>
          <w:color w:val="231F20"/>
        </w:rPr>
        <w:t>be moderated</w:t>
      </w:r>
      <w:r>
        <w:rPr>
          <w:color w:val="231F20"/>
          <w:spacing w:val="-1"/>
        </w:rPr>
        <w:t xml:space="preserve"> </w:t>
      </w:r>
      <w:r>
        <w:rPr>
          <w:color w:val="231F20"/>
        </w:rPr>
        <w:t>and</w:t>
      </w:r>
      <w:r>
        <w:rPr>
          <w:color w:val="231F20"/>
          <w:spacing w:val="-1"/>
        </w:rPr>
        <w:t xml:space="preserve"> </w:t>
      </w:r>
      <w:r>
        <w:rPr>
          <w:color w:val="231F20"/>
        </w:rPr>
        <w:t>facilitated. A</w:t>
      </w:r>
      <w:r>
        <w:rPr>
          <w:color w:val="231F20"/>
          <w:spacing w:val="-1"/>
        </w:rPr>
        <w:t xml:space="preserve"> </w:t>
      </w:r>
      <w:r>
        <w:rPr>
          <w:color w:val="231F20"/>
        </w:rPr>
        <w:t>variety</w:t>
      </w:r>
      <w:r>
        <w:rPr>
          <w:color w:val="231F20"/>
          <w:spacing w:val="-1"/>
        </w:rPr>
        <w:t xml:space="preserve"> </w:t>
      </w:r>
      <w:r>
        <w:rPr>
          <w:color w:val="231F20"/>
        </w:rPr>
        <w:t xml:space="preserve">of </w:t>
      </w:r>
      <w:r>
        <w:rPr>
          <w:color w:val="231F20"/>
          <w:w w:val="95"/>
        </w:rPr>
        <w:t>questions emerge from this discussion associated with the resource base, location and management of sport</w:t>
      </w:r>
      <w:r>
        <w:rPr>
          <w:color w:val="231F20"/>
          <w:w w:val="95"/>
        </w:rPr>
        <w:t xml:space="preserve"> attractions. For example, to what extent </w:t>
      </w:r>
      <w:r>
        <w:rPr>
          <w:color w:val="231F20"/>
        </w:rPr>
        <w:t>can</w:t>
      </w:r>
      <w:r>
        <w:rPr>
          <w:color w:val="231F20"/>
          <w:spacing w:val="-11"/>
        </w:rPr>
        <w:t xml:space="preserve"> </w:t>
      </w:r>
      <w:r>
        <w:rPr>
          <w:color w:val="231F20"/>
        </w:rPr>
        <w:t>sports</w:t>
      </w:r>
      <w:r>
        <w:rPr>
          <w:color w:val="231F20"/>
          <w:spacing w:val="-11"/>
        </w:rPr>
        <w:t xml:space="preserve"> </w:t>
      </w:r>
      <w:r>
        <w:rPr>
          <w:color w:val="231F20"/>
        </w:rPr>
        <w:t>resources</w:t>
      </w:r>
      <w:r>
        <w:rPr>
          <w:color w:val="231F20"/>
          <w:spacing w:val="-11"/>
        </w:rPr>
        <w:t xml:space="preserve"> </w:t>
      </w:r>
      <w:r>
        <w:rPr>
          <w:color w:val="231F20"/>
        </w:rPr>
        <w:t>be</w:t>
      </w:r>
      <w:r>
        <w:rPr>
          <w:color w:val="231F20"/>
          <w:spacing w:val="-11"/>
        </w:rPr>
        <w:t xml:space="preserve"> </w:t>
      </w:r>
      <w:r>
        <w:rPr>
          <w:color w:val="231F20"/>
        </w:rPr>
        <w:t>reproduced</w:t>
      </w:r>
      <w:r>
        <w:rPr>
          <w:color w:val="231F20"/>
          <w:spacing w:val="-11"/>
        </w:rPr>
        <w:t xml:space="preserve"> </w:t>
      </w:r>
      <w:r>
        <w:rPr>
          <w:color w:val="231F20"/>
        </w:rPr>
        <w:t>and</w:t>
      </w:r>
      <w:r>
        <w:rPr>
          <w:color w:val="231F20"/>
          <w:spacing w:val="-11"/>
        </w:rPr>
        <w:t xml:space="preserve"> </w:t>
      </w:r>
      <w:r>
        <w:rPr>
          <w:color w:val="231F20"/>
        </w:rPr>
        <w:t>transported?</w:t>
      </w:r>
      <w:r>
        <w:rPr>
          <w:color w:val="231F20"/>
          <w:spacing w:val="-11"/>
        </w:rPr>
        <w:t xml:space="preserve"> </w:t>
      </w:r>
      <w:r>
        <w:rPr>
          <w:color w:val="231F20"/>
        </w:rPr>
        <w:t>Similarly,</w:t>
      </w:r>
      <w:r>
        <w:rPr>
          <w:color w:val="231F20"/>
          <w:spacing w:val="-11"/>
        </w:rPr>
        <w:t xml:space="preserve"> </w:t>
      </w:r>
      <w:r>
        <w:rPr>
          <w:color w:val="231F20"/>
        </w:rPr>
        <w:t>what</w:t>
      </w:r>
      <w:r>
        <w:rPr>
          <w:color w:val="231F20"/>
          <w:spacing w:val="-11"/>
        </w:rPr>
        <w:t xml:space="preserve"> </w:t>
      </w:r>
      <w:r>
        <w:rPr>
          <w:color w:val="231F20"/>
        </w:rPr>
        <w:t>are the</w:t>
      </w:r>
      <w:r>
        <w:rPr>
          <w:color w:val="231F20"/>
          <w:spacing w:val="29"/>
        </w:rPr>
        <w:t xml:space="preserve"> </w:t>
      </w:r>
      <w:r>
        <w:rPr>
          <w:color w:val="231F20"/>
        </w:rPr>
        <w:t>implications</w:t>
      </w:r>
      <w:r>
        <w:rPr>
          <w:color w:val="231F20"/>
          <w:spacing w:val="29"/>
        </w:rPr>
        <w:t xml:space="preserve"> </w:t>
      </w:r>
      <w:r>
        <w:rPr>
          <w:color w:val="231F20"/>
        </w:rPr>
        <w:t>of</w:t>
      </w:r>
      <w:r>
        <w:rPr>
          <w:color w:val="231F20"/>
          <w:spacing w:val="29"/>
        </w:rPr>
        <w:t xml:space="preserve"> </w:t>
      </w:r>
      <w:r>
        <w:rPr>
          <w:color w:val="231F20"/>
        </w:rPr>
        <w:t>changes</w:t>
      </w:r>
      <w:r>
        <w:rPr>
          <w:color w:val="231F20"/>
          <w:spacing w:val="29"/>
        </w:rPr>
        <w:t xml:space="preserve"> </w:t>
      </w:r>
      <w:r>
        <w:rPr>
          <w:color w:val="231F20"/>
        </w:rPr>
        <w:t>within</w:t>
      </w:r>
      <w:r>
        <w:rPr>
          <w:color w:val="231F20"/>
          <w:spacing w:val="29"/>
        </w:rPr>
        <w:t xml:space="preserve"> </w:t>
      </w:r>
      <w:r>
        <w:rPr>
          <w:color w:val="231F20"/>
        </w:rPr>
        <w:t>a</w:t>
      </w:r>
      <w:r>
        <w:rPr>
          <w:color w:val="231F20"/>
          <w:spacing w:val="29"/>
        </w:rPr>
        <w:t xml:space="preserve"> </w:t>
      </w:r>
      <w:r>
        <w:rPr>
          <w:color w:val="231F20"/>
        </w:rPr>
        <w:t>sport</w:t>
      </w:r>
      <w:r>
        <w:rPr>
          <w:color w:val="231F20"/>
          <w:spacing w:val="29"/>
        </w:rPr>
        <w:t xml:space="preserve"> </w:t>
      </w:r>
      <w:r>
        <w:rPr>
          <w:color w:val="231F20"/>
        </w:rPr>
        <w:t>in</w:t>
      </w:r>
      <w:r>
        <w:rPr>
          <w:color w:val="231F20"/>
          <w:spacing w:val="29"/>
        </w:rPr>
        <w:t xml:space="preserve"> </w:t>
      </w:r>
      <w:r>
        <w:rPr>
          <w:color w:val="231F20"/>
        </w:rPr>
        <w:t>terms</w:t>
      </w:r>
      <w:r>
        <w:rPr>
          <w:color w:val="231F20"/>
          <w:spacing w:val="29"/>
        </w:rPr>
        <w:t xml:space="preserve"> </w:t>
      </w:r>
      <w:r>
        <w:rPr>
          <w:color w:val="231F20"/>
        </w:rPr>
        <w:t>of</w:t>
      </w:r>
      <w:r>
        <w:rPr>
          <w:color w:val="231F20"/>
          <w:spacing w:val="29"/>
        </w:rPr>
        <w:t xml:space="preserve"> </w:t>
      </w:r>
      <w:r>
        <w:rPr>
          <w:color w:val="231F20"/>
        </w:rPr>
        <w:t>the</w:t>
      </w:r>
      <w:r>
        <w:rPr>
          <w:color w:val="231F20"/>
          <w:spacing w:val="29"/>
        </w:rPr>
        <w:t xml:space="preserve"> </w:t>
      </w:r>
      <w:r>
        <w:rPr>
          <w:color w:val="231F20"/>
        </w:rPr>
        <w:t>propensity of spectators to travel to attend a sporting event? And at what scales of analysis, ranging from local/regional to global, do particular sport and tourist flows interplay?</w:t>
      </w:r>
    </w:p>
    <w:p w14:paraId="0A6E5A40" w14:textId="77777777" w:rsidR="00AE0598" w:rsidRDefault="00AE0598">
      <w:pPr>
        <w:pStyle w:val="Corpodetexto"/>
        <w:spacing w:before="1"/>
        <w:rPr>
          <w:sz w:val="22"/>
        </w:rPr>
      </w:pPr>
    </w:p>
    <w:p w14:paraId="46890C3C" w14:textId="77777777" w:rsidR="00AE0598" w:rsidRDefault="0069255A">
      <w:pPr>
        <w:ind w:left="110"/>
        <w:jc w:val="both"/>
        <w:rPr>
          <w:rFonts w:ascii="Trebuchet MS"/>
          <w:sz w:val="20"/>
        </w:rPr>
      </w:pPr>
      <w:r>
        <w:rPr>
          <w:rFonts w:ascii="Trebuchet MS"/>
          <w:color w:val="231F20"/>
          <w:sz w:val="20"/>
        </w:rPr>
        <w:t>Spatial</w:t>
      </w:r>
      <w:r>
        <w:rPr>
          <w:rFonts w:ascii="Trebuchet MS"/>
          <w:color w:val="231F20"/>
          <w:spacing w:val="13"/>
          <w:sz w:val="20"/>
        </w:rPr>
        <w:t xml:space="preserve"> </w:t>
      </w:r>
      <w:r>
        <w:rPr>
          <w:rFonts w:ascii="Trebuchet MS"/>
          <w:color w:val="231F20"/>
          <w:sz w:val="20"/>
        </w:rPr>
        <w:t>analysis</w:t>
      </w:r>
      <w:r>
        <w:rPr>
          <w:rFonts w:ascii="Trebuchet MS"/>
          <w:color w:val="231F20"/>
          <w:spacing w:val="14"/>
          <w:sz w:val="20"/>
        </w:rPr>
        <w:t xml:space="preserve"> </w:t>
      </w:r>
      <w:r>
        <w:rPr>
          <w:rFonts w:ascii="Trebuchet MS"/>
          <w:color w:val="231F20"/>
          <w:sz w:val="20"/>
        </w:rPr>
        <w:t>of</w:t>
      </w:r>
      <w:r>
        <w:rPr>
          <w:rFonts w:ascii="Trebuchet MS"/>
          <w:color w:val="231F20"/>
          <w:spacing w:val="14"/>
          <w:sz w:val="20"/>
        </w:rPr>
        <w:t xml:space="preserve"> </w:t>
      </w:r>
      <w:r>
        <w:rPr>
          <w:rFonts w:ascii="Trebuchet MS"/>
          <w:color w:val="231F20"/>
          <w:sz w:val="20"/>
        </w:rPr>
        <w:t>sport</w:t>
      </w:r>
      <w:r>
        <w:rPr>
          <w:rFonts w:ascii="Trebuchet MS"/>
          <w:color w:val="231F20"/>
          <w:spacing w:val="13"/>
          <w:sz w:val="20"/>
        </w:rPr>
        <w:t xml:space="preserve"> </w:t>
      </w:r>
      <w:r>
        <w:rPr>
          <w:rFonts w:ascii="Trebuchet MS"/>
          <w:color w:val="231F20"/>
          <w:spacing w:val="-2"/>
          <w:sz w:val="20"/>
        </w:rPr>
        <w:t>tourism</w:t>
      </w:r>
    </w:p>
    <w:p w14:paraId="12A7427A" w14:textId="77777777" w:rsidR="00AE0598" w:rsidRDefault="0069255A">
      <w:pPr>
        <w:pStyle w:val="Corpodetexto"/>
        <w:spacing w:before="122" w:line="232" w:lineRule="auto"/>
        <w:ind w:left="110" w:right="127" w:firstLine="320"/>
        <w:jc w:val="both"/>
      </w:pPr>
      <w:r>
        <w:rPr>
          <w:color w:val="231F20"/>
          <w:w w:val="95"/>
        </w:rPr>
        <w:t xml:space="preserve">The spatial analysis of sport tourism </w:t>
      </w:r>
      <w:r>
        <w:rPr>
          <w:color w:val="231F20"/>
          <w:w w:val="95"/>
        </w:rPr>
        <w:t xml:space="preserve">involves the study of the locations </w:t>
      </w:r>
      <w:r>
        <w:rPr>
          <w:color w:val="231F20"/>
        </w:rPr>
        <w:t xml:space="preserve">in which sports occur, and the movement of tourists into and at these </w:t>
      </w:r>
      <w:r>
        <w:rPr>
          <w:color w:val="231F20"/>
          <w:w w:val="95"/>
        </w:rPr>
        <w:t xml:space="preserve">locations. Such an analysis finds its theoretical foundation in the geography </w:t>
      </w:r>
      <w:r>
        <w:rPr>
          <w:color w:val="231F20"/>
        </w:rPr>
        <w:t>of sport (Bale, 1989, 1993; Rooney, 1988), which introduces concepts suc</w:t>
      </w:r>
      <w:r>
        <w:rPr>
          <w:color w:val="231F20"/>
        </w:rPr>
        <w:t xml:space="preserve">h as central place theory, distance decay and location hierarchy for </w:t>
      </w:r>
      <w:r>
        <w:rPr>
          <w:color w:val="231F20"/>
          <w:w w:val="95"/>
        </w:rPr>
        <w:t xml:space="preserve">consideration in the study of sport tourism. This analysis also draws on the </w:t>
      </w:r>
      <w:r>
        <w:rPr>
          <w:color w:val="231F20"/>
        </w:rPr>
        <w:t>geography</w:t>
      </w:r>
      <w:r>
        <w:rPr>
          <w:color w:val="231F20"/>
          <w:spacing w:val="-8"/>
        </w:rPr>
        <w:t xml:space="preserve"> </w:t>
      </w:r>
      <w:r>
        <w:rPr>
          <w:color w:val="231F20"/>
        </w:rPr>
        <w:t>of</w:t>
      </w:r>
      <w:r>
        <w:rPr>
          <w:color w:val="231F20"/>
          <w:spacing w:val="-8"/>
        </w:rPr>
        <w:t xml:space="preserve"> </w:t>
      </w:r>
      <w:r>
        <w:rPr>
          <w:color w:val="231F20"/>
        </w:rPr>
        <w:t>tourism,</w:t>
      </w:r>
      <w:r>
        <w:rPr>
          <w:color w:val="231F20"/>
          <w:spacing w:val="-8"/>
        </w:rPr>
        <w:t xml:space="preserve"> </w:t>
      </w:r>
      <w:r>
        <w:rPr>
          <w:color w:val="231F20"/>
        </w:rPr>
        <w:t>which</w:t>
      </w:r>
      <w:r>
        <w:rPr>
          <w:color w:val="231F20"/>
          <w:spacing w:val="-8"/>
        </w:rPr>
        <w:t xml:space="preserve"> </w:t>
      </w:r>
      <w:r>
        <w:rPr>
          <w:color w:val="231F20"/>
        </w:rPr>
        <w:t>considers</w:t>
      </w:r>
      <w:r>
        <w:rPr>
          <w:color w:val="231F20"/>
          <w:spacing w:val="-8"/>
        </w:rPr>
        <w:t xml:space="preserve"> </w:t>
      </w:r>
      <w:r>
        <w:rPr>
          <w:color w:val="231F20"/>
        </w:rPr>
        <w:t>the</w:t>
      </w:r>
      <w:r>
        <w:rPr>
          <w:color w:val="231F20"/>
          <w:spacing w:val="-8"/>
        </w:rPr>
        <w:t xml:space="preserve"> </w:t>
      </w:r>
      <w:r>
        <w:rPr>
          <w:color w:val="231F20"/>
        </w:rPr>
        <w:t>‘spatial</w:t>
      </w:r>
      <w:r>
        <w:rPr>
          <w:color w:val="231F20"/>
          <w:spacing w:val="-8"/>
        </w:rPr>
        <w:t xml:space="preserve"> </w:t>
      </w:r>
      <w:r>
        <w:rPr>
          <w:color w:val="231F20"/>
        </w:rPr>
        <w:t>expression</w:t>
      </w:r>
      <w:r>
        <w:rPr>
          <w:color w:val="231F20"/>
          <w:spacing w:val="-8"/>
        </w:rPr>
        <w:t xml:space="preserve"> </w:t>
      </w:r>
      <w:r>
        <w:rPr>
          <w:color w:val="231F20"/>
        </w:rPr>
        <w:t>of</w:t>
      </w:r>
      <w:r>
        <w:rPr>
          <w:color w:val="231F20"/>
          <w:spacing w:val="-8"/>
        </w:rPr>
        <w:t xml:space="preserve"> </w:t>
      </w:r>
      <w:r>
        <w:rPr>
          <w:color w:val="231F20"/>
        </w:rPr>
        <w:t>tourism as a physical activity, focusing on both tourist-generating and tourist- receiving areas as well as the links between’ (Boniface &amp; Cooper, 1994). The</w:t>
      </w:r>
      <w:r>
        <w:rPr>
          <w:color w:val="231F20"/>
          <w:spacing w:val="-2"/>
        </w:rPr>
        <w:t xml:space="preserve"> </w:t>
      </w:r>
      <w:r>
        <w:rPr>
          <w:color w:val="231F20"/>
        </w:rPr>
        <w:t>concept</w:t>
      </w:r>
      <w:r>
        <w:rPr>
          <w:color w:val="231F20"/>
          <w:spacing w:val="-2"/>
        </w:rPr>
        <w:t xml:space="preserve"> </w:t>
      </w:r>
      <w:r>
        <w:rPr>
          <w:color w:val="231F20"/>
        </w:rPr>
        <w:t>of</w:t>
      </w:r>
      <w:r>
        <w:rPr>
          <w:color w:val="231F20"/>
          <w:spacing w:val="-3"/>
        </w:rPr>
        <w:t xml:space="preserve"> </w:t>
      </w:r>
      <w:r>
        <w:rPr>
          <w:color w:val="231F20"/>
        </w:rPr>
        <w:t>scale,</w:t>
      </w:r>
      <w:r>
        <w:rPr>
          <w:color w:val="231F20"/>
          <w:spacing w:val="-3"/>
        </w:rPr>
        <w:t xml:space="preserve"> </w:t>
      </w:r>
      <w:r>
        <w:rPr>
          <w:color w:val="231F20"/>
        </w:rPr>
        <w:t>from</w:t>
      </w:r>
      <w:r>
        <w:rPr>
          <w:color w:val="231F20"/>
          <w:spacing w:val="-3"/>
        </w:rPr>
        <w:t xml:space="preserve"> </w:t>
      </w:r>
      <w:r>
        <w:rPr>
          <w:color w:val="231F20"/>
        </w:rPr>
        <w:t>city</w:t>
      </w:r>
      <w:r>
        <w:rPr>
          <w:color w:val="231F20"/>
          <w:spacing w:val="-3"/>
        </w:rPr>
        <w:t xml:space="preserve"> </w:t>
      </w:r>
      <w:r>
        <w:rPr>
          <w:color w:val="231F20"/>
        </w:rPr>
        <w:t>and</w:t>
      </w:r>
      <w:r>
        <w:rPr>
          <w:color w:val="231F20"/>
          <w:spacing w:val="-2"/>
        </w:rPr>
        <w:t xml:space="preserve"> </w:t>
      </w:r>
      <w:r>
        <w:rPr>
          <w:color w:val="231F20"/>
        </w:rPr>
        <w:t>state/province</w:t>
      </w:r>
      <w:r>
        <w:rPr>
          <w:color w:val="231F20"/>
          <w:spacing w:val="-3"/>
        </w:rPr>
        <w:t xml:space="preserve"> </w:t>
      </w:r>
      <w:r>
        <w:rPr>
          <w:color w:val="231F20"/>
        </w:rPr>
        <w:t>to</w:t>
      </w:r>
      <w:r>
        <w:rPr>
          <w:color w:val="231F20"/>
          <w:spacing w:val="-3"/>
        </w:rPr>
        <w:t xml:space="preserve"> </w:t>
      </w:r>
      <w:r>
        <w:rPr>
          <w:color w:val="231F20"/>
        </w:rPr>
        <w:t>national</w:t>
      </w:r>
      <w:r>
        <w:rPr>
          <w:color w:val="231F20"/>
          <w:spacing w:val="-3"/>
        </w:rPr>
        <w:t xml:space="preserve"> </w:t>
      </w:r>
      <w:r>
        <w:rPr>
          <w:color w:val="231F20"/>
        </w:rPr>
        <w:t>and</w:t>
      </w:r>
      <w:r>
        <w:rPr>
          <w:color w:val="231F20"/>
          <w:spacing w:val="-2"/>
        </w:rPr>
        <w:t xml:space="preserve"> </w:t>
      </w:r>
      <w:r>
        <w:rPr>
          <w:color w:val="231F20"/>
        </w:rPr>
        <w:t xml:space="preserve">global </w:t>
      </w:r>
      <w:r>
        <w:rPr>
          <w:color w:val="231F20"/>
          <w:w w:val="95"/>
        </w:rPr>
        <w:t>scales of analysis, is criti</w:t>
      </w:r>
      <w:r>
        <w:rPr>
          <w:color w:val="231F20"/>
          <w:w w:val="95"/>
        </w:rPr>
        <w:t xml:space="preserve">cal to these discussions. So too, interestingly, is the growth of e-sports and virtual reality, which opens the way to experiences </w:t>
      </w:r>
      <w:r>
        <w:rPr>
          <w:color w:val="231F20"/>
        </w:rPr>
        <w:t>of</w:t>
      </w:r>
      <w:r>
        <w:rPr>
          <w:color w:val="231F20"/>
          <w:spacing w:val="-6"/>
        </w:rPr>
        <w:t xml:space="preserve"> </w:t>
      </w:r>
      <w:r>
        <w:rPr>
          <w:color w:val="231F20"/>
        </w:rPr>
        <w:t>sport</w:t>
      </w:r>
      <w:r>
        <w:rPr>
          <w:color w:val="231F20"/>
          <w:spacing w:val="-6"/>
        </w:rPr>
        <w:t xml:space="preserve"> </w:t>
      </w:r>
      <w:r>
        <w:rPr>
          <w:color w:val="231F20"/>
        </w:rPr>
        <w:t>that</w:t>
      </w:r>
      <w:r>
        <w:rPr>
          <w:color w:val="231F20"/>
          <w:spacing w:val="-6"/>
        </w:rPr>
        <w:t xml:space="preserve"> </w:t>
      </w:r>
      <w:r>
        <w:rPr>
          <w:color w:val="231F20"/>
        </w:rPr>
        <w:t>are</w:t>
      </w:r>
      <w:r>
        <w:rPr>
          <w:color w:val="231F20"/>
          <w:spacing w:val="-6"/>
        </w:rPr>
        <w:t xml:space="preserve"> </w:t>
      </w:r>
      <w:r>
        <w:rPr>
          <w:color w:val="231F20"/>
        </w:rPr>
        <w:t>largely</w:t>
      </w:r>
      <w:r>
        <w:rPr>
          <w:color w:val="231F20"/>
          <w:spacing w:val="-6"/>
        </w:rPr>
        <w:t xml:space="preserve"> </w:t>
      </w:r>
      <w:r>
        <w:rPr>
          <w:color w:val="231F20"/>
        </w:rPr>
        <w:t>or</w:t>
      </w:r>
      <w:r>
        <w:rPr>
          <w:color w:val="231F20"/>
          <w:spacing w:val="-6"/>
        </w:rPr>
        <w:t xml:space="preserve"> </w:t>
      </w:r>
      <w:r>
        <w:rPr>
          <w:color w:val="231F20"/>
        </w:rPr>
        <w:t>entirely</w:t>
      </w:r>
      <w:r>
        <w:rPr>
          <w:color w:val="231F20"/>
          <w:spacing w:val="-6"/>
        </w:rPr>
        <w:t xml:space="preserve"> </w:t>
      </w:r>
      <w:r>
        <w:rPr>
          <w:color w:val="231F20"/>
        </w:rPr>
        <w:t>free</w:t>
      </w:r>
      <w:r>
        <w:rPr>
          <w:color w:val="231F20"/>
          <w:spacing w:val="-6"/>
        </w:rPr>
        <w:t xml:space="preserve"> </w:t>
      </w:r>
      <w:r>
        <w:rPr>
          <w:color w:val="231F20"/>
        </w:rPr>
        <w:t>of</w:t>
      </w:r>
      <w:r>
        <w:rPr>
          <w:color w:val="231F20"/>
          <w:spacing w:val="-6"/>
        </w:rPr>
        <w:t xml:space="preserve"> </w:t>
      </w:r>
      <w:r>
        <w:rPr>
          <w:color w:val="231F20"/>
        </w:rPr>
        <w:t>(physical)</w:t>
      </w:r>
      <w:r>
        <w:rPr>
          <w:color w:val="231F20"/>
          <w:spacing w:val="-6"/>
        </w:rPr>
        <w:t xml:space="preserve"> </w:t>
      </w:r>
      <w:r>
        <w:rPr>
          <w:color w:val="231F20"/>
        </w:rPr>
        <w:t>spatial</w:t>
      </w:r>
      <w:r>
        <w:rPr>
          <w:color w:val="231F20"/>
          <w:spacing w:val="-6"/>
        </w:rPr>
        <w:t xml:space="preserve"> </w:t>
      </w:r>
      <w:r>
        <w:rPr>
          <w:color w:val="231F20"/>
        </w:rPr>
        <w:t>parameters.</w:t>
      </w:r>
    </w:p>
    <w:p w14:paraId="35ADEC48" w14:textId="77777777" w:rsidR="00AE0598" w:rsidRDefault="00AE0598">
      <w:pPr>
        <w:spacing w:line="232" w:lineRule="auto"/>
        <w:jc w:val="both"/>
        <w:sectPr w:rsidR="00AE0598">
          <w:pgSz w:w="8850" w:h="13270"/>
          <w:pgMar w:top="720" w:right="1060" w:bottom="280" w:left="1080" w:header="720" w:footer="720" w:gutter="0"/>
          <w:cols w:space="720"/>
        </w:sectPr>
      </w:pPr>
    </w:p>
    <w:p w14:paraId="6C4E5534" w14:textId="77777777" w:rsidR="00AE0598" w:rsidRDefault="0069255A">
      <w:pPr>
        <w:spacing w:before="87"/>
        <w:ind w:left="4148"/>
        <w:rPr>
          <w:rFonts w:ascii="Trebuchet MS"/>
          <w:sz w:val="14"/>
        </w:rPr>
      </w:pPr>
      <w:r>
        <w:rPr>
          <w:rFonts w:ascii="Trebuchet MS"/>
          <w:color w:val="231F20"/>
          <w:w w:val="105"/>
          <w:sz w:val="14"/>
        </w:rPr>
        <w:lastRenderedPageBreak/>
        <w:t>Space:</w:t>
      </w:r>
      <w:r>
        <w:rPr>
          <w:rFonts w:ascii="Trebuchet MS"/>
          <w:color w:val="231F20"/>
          <w:spacing w:val="-12"/>
          <w:w w:val="105"/>
          <w:sz w:val="14"/>
        </w:rPr>
        <w:t xml:space="preserve"> </w:t>
      </w:r>
      <w:r>
        <w:rPr>
          <w:rFonts w:ascii="Trebuchet MS"/>
          <w:color w:val="231F20"/>
          <w:w w:val="105"/>
          <w:sz w:val="14"/>
        </w:rPr>
        <w:t>Location</w:t>
      </w:r>
      <w:r>
        <w:rPr>
          <w:rFonts w:ascii="Trebuchet MS"/>
          <w:color w:val="231F20"/>
          <w:spacing w:val="-11"/>
          <w:w w:val="105"/>
          <w:sz w:val="14"/>
        </w:rPr>
        <w:t xml:space="preserve"> </w:t>
      </w:r>
      <w:r>
        <w:rPr>
          <w:rFonts w:ascii="Trebuchet MS"/>
          <w:color w:val="231F20"/>
          <w:w w:val="105"/>
          <w:sz w:val="14"/>
        </w:rPr>
        <w:t>and</w:t>
      </w:r>
      <w:r>
        <w:rPr>
          <w:rFonts w:ascii="Trebuchet MS"/>
          <w:color w:val="231F20"/>
          <w:spacing w:val="-11"/>
          <w:w w:val="105"/>
          <w:sz w:val="14"/>
        </w:rPr>
        <w:t xml:space="preserve"> </w:t>
      </w:r>
      <w:r>
        <w:rPr>
          <w:rFonts w:ascii="Trebuchet MS"/>
          <w:color w:val="231F20"/>
          <w:w w:val="105"/>
          <w:sz w:val="14"/>
        </w:rPr>
        <w:t>Travel</w:t>
      </w:r>
      <w:r>
        <w:rPr>
          <w:rFonts w:ascii="Trebuchet MS"/>
          <w:color w:val="231F20"/>
          <w:spacing w:val="-11"/>
          <w:w w:val="105"/>
          <w:sz w:val="14"/>
        </w:rPr>
        <w:t xml:space="preserve"> </w:t>
      </w:r>
      <w:r>
        <w:rPr>
          <w:rFonts w:ascii="Trebuchet MS"/>
          <w:color w:val="231F20"/>
          <w:w w:val="105"/>
          <w:sz w:val="14"/>
        </w:rPr>
        <w:t>Flows</w:t>
      </w:r>
      <w:r>
        <w:rPr>
          <w:rFonts w:ascii="Trebuchet MS"/>
          <w:color w:val="231F20"/>
          <w:spacing w:val="59"/>
          <w:w w:val="105"/>
          <w:sz w:val="14"/>
        </w:rPr>
        <w:t xml:space="preserve"> </w:t>
      </w:r>
      <w:r>
        <w:rPr>
          <w:rFonts w:ascii="Trebuchet MS"/>
          <w:color w:val="231F20"/>
          <w:spacing w:val="-5"/>
          <w:w w:val="105"/>
          <w:sz w:val="14"/>
        </w:rPr>
        <w:t>91</w:t>
      </w:r>
    </w:p>
    <w:p w14:paraId="14279DEF" w14:textId="77777777" w:rsidR="00AE0598" w:rsidRDefault="00AE0598">
      <w:pPr>
        <w:pStyle w:val="Corpodetexto"/>
        <w:rPr>
          <w:rFonts w:ascii="Trebuchet MS"/>
          <w:sz w:val="16"/>
        </w:rPr>
      </w:pPr>
    </w:p>
    <w:p w14:paraId="4EE29EFC" w14:textId="77777777" w:rsidR="00AE0598" w:rsidRDefault="0069255A">
      <w:pPr>
        <w:pStyle w:val="Corpodetexto"/>
        <w:spacing w:before="118" w:line="232" w:lineRule="auto"/>
        <w:ind w:left="110" w:right="122" w:firstLine="320"/>
        <w:jc w:val="both"/>
      </w:pPr>
      <w:r>
        <w:rPr>
          <w:color w:val="231F20"/>
        </w:rPr>
        <w:t>The (physical) spatial elements of sport tourism vary dramatically between sports that tend to be centrally located (urban) and those that take</w:t>
      </w:r>
      <w:r>
        <w:rPr>
          <w:color w:val="231F20"/>
          <w:spacing w:val="-2"/>
        </w:rPr>
        <w:t xml:space="preserve"> </w:t>
      </w:r>
      <w:r>
        <w:rPr>
          <w:color w:val="231F20"/>
        </w:rPr>
        <w:t>place</w:t>
      </w:r>
      <w:r>
        <w:rPr>
          <w:color w:val="231F20"/>
          <w:spacing w:val="-2"/>
        </w:rPr>
        <w:t xml:space="preserve"> </w:t>
      </w:r>
      <w:r>
        <w:rPr>
          <w:color w:val="231F20"/>
        </w:rPr>
        <w:t>in</w:t>
      </w:r>
      <w:r>
        <w:rPr>
          <w:color w:val="231F20"/>
          <w:spacing w:val="-2"/>
        </w:rPr>
        <w:t xml:space="preserve"> </w:t>
      </w:r>
      <w:r>
        <w:rPr>
          <w:color w:val="231F20"/>
        </w:rPr>
        <w:t>peripheral</w:t>
      </w:r>
      <w:r>
        <w:rPr>
          <w:color w:val="231F20"/>
          <w:spacing w:val="-2"/>
        </w:rPr>
        <w:t xml:space="preserve"> </w:t>
      </w:r>
      <w:r>
        <w:rPr>
          <w:color w:val="231F20"/>
        </w:rPr>
        <w:t>regions.</w:t>
      </w:r>
      <w:r>
        <w:rPr>
          <w:color w:val="231F20"/>
          <w:spacing w:val="-2"/>
        </w:rPr>
        <w:t xml:space="preserve"> </w:t>
      </w:r>
      <w:r>
        <w:rPr>
          <w:color w:val="231F20"/>
        </w:rPr>
        <w:t>Once</w:t>
      </w:r>
      <w:r>
        <w:rPr>
          <w:color w:val="231F20"/>
          <w:spacing w:val="-2"/>
        </w:rPr>
        <w:t xml:space="preserve"> </w:t>
      </w:r>
      <w:r>
        <w:rPr>
          <w:color w:val="231F20"/>
        </w:rPr>
        <w:t>again,</w:t>
      </w:r>
      <w:r>
        <w:rPr>
          <w:color w:val="231F20"/>
          <w:spacing w:val="-2"/>
        </w:rPr>
        <w:t xml:space="preserve"> </w:t>
      </w:r>
      <w:r>
        <w:rPr>
          <w:color w:val="231F20"/>
        </w:rPr>
        <w:t>definitions</w:t>
      </w:r>
      <w:r>
        <w:rPr>
          <w:color w:val="231F20"/>
          <w:spacing w:val="-2"/>
        </w:rPr>
        <w:t xml:space="preserve"> </w:t>
      </w:r>
      <w:r>
        <w:rPr>
          <w:color w:val="231F20"/>
        </w:rPr>
        <w:t>of</w:t>
      </w:r>
      <w:r>
        <w:rPr>
          <w:color w:val="231F20"/>
          <w:spacing w:val="-2"/>
        </w:rPr>
        <w:t xml:space="preserve"> </w:t>
      </w:r>
      <w:r>
        <w:rPr>
          <w:color w:val="231F20"/>
        </w:rPr>
        <w:t>central</w:t>
      </w:r>
      <w:r>
        <w:rPr>
          <w:color w:val="231F20"/>
          <w:spacing w:val="-2"/>
        </w:rPr>
        <w:t xml:space="preserve"> </w:t>
      </w:r>
      <w:r>
        <w:rPr>
          <w:color w:val="231F20"/>
        </w:rPr>
        <w:t>(core) and peripheral (periphery) change wit</w:t>
      </w:r>
      <w:r>
        <w:rPr>
          <w:color w:val="231F20"/>
        </w:rPr>
        <w:t xml:space="preserve">h scale or resolution of analysis, from the globally peripheral to the national and regional peripheries. </w:t>
      </w:r>
      <w:r>
        <w:rPr>
          <w:color w:val="231F20"/>
          <w:w w:val="95"/>
        </w:rPr>
        <w:t xml:space="preserve">The spatial elements of sport tourism in central and peripheral locations </w:t>
      </w:r>
      <w:r>
        <w:rPr>
          <w:color w:val="231F20"/>
        </w:rPr>
        <w:t xml:space="preserve">justify separate analysis. Sport tourism in urban locations is typically </w:t>
      </w:r>
      <w:r>
        <w:rPr>
          <w:color w:val="231F20"/>
          <w:w w:val="95"/>
        </w:rPr>
        <w:t>bas</w:t>
      </w:r>
      <w:r>
        <w:rPr>
          <w:color w:val="231F20"/>
          <w:w w:val="95"/>
        </w:rPr>
        <w:t xml:space="preserve">ed on constructed sports facilities, whereas sport tourism in peripheral areas is generally based on the presence of nature-based resources, which </w:t>
      </w:r>
      <w:r>
        <w:rPr>
          <w:color w:val="231F20"/>
        </w:rPr>
        <w:t xml:space="preserve">may be modified or complemented by built facilities. This distinction </w:t>
      </w:r>
      <w:r>
        <w:rPr>
          <w:color w:val="231F20"/>
          <w:w w:val="95"/>
        </w:rPr>
        <w:t>reflects Boniface and Cooper’s (1994) t</w:t>
      </w:r>
      <w:r>
        <w:rPr>
          <w:color w:val="231F20"/>
          <w:w w:val="95"/>
        </w:rPr>
        <w:t xml:space="preserve">ripartite classification of tourism </w:t>
      </w:r>
      <w:r>
        <w:rPr>
          <w:color w:val="231F20"/>
        </w:rPr>
        <w:t>resources as:</w:t>
      </w:r>
    </w:p>
    <w:p w14:paraId="66F9F61F" w14:textId="77777777" w:rsidR="00AE0598" w:rsidRDefault="00AE0598">
      <w:pPr>
        <w:pStyle w:val="Corpodetexto"/>
        <w:spacing w:before="8"/>
      </w:pPr>
    </w:p>
    <w:p w14:paraId="1E63F588" w14:textId="77777777" w:rsidR="00AE0598" w:rsidRDefault="0069255A">
      <w:pPr>
        <w:pStyle w:val="PargrafodaLista"/>
        <w:numPr>
          <w:ilvl w:val="0"/>
          <w:numId w:val="13"/>
        </w:numPr>
        <w:tabs>
          <w:tab w:val="left" w:pos="490"/>
        </w:tabs>
        <w:spacing w:line="232" w:lineRule="auto"/>
        <w:ind w:right="129"/>
        <w:jc w:val="both"/>
        <w:rPr>
          <w:rFonts w:ascii="Cambria"/>
          <w:sz w:val="21"/>
        </w:rPr>
      </w:pPr>
      <w:r>
        <w:rPr>
          <w:rFonts w:ascii="Cambria"/>
          <w:color w:val="231F20"/>
          <w:w w:val="95"/>
          <w:sz w:val="21"/>
        </w:rPr>
        <w:t xml:space="preserve">User orientated: Centrally located, intensive developments providing </w:t>
      </w:r>
      <w:r>
        <w:rPr>
          <w:rFonts w:ascii="Cambria"/>
          <w:color w:val="231F20"/>
          <w:sz w:val="21"/>
        </w:rPr>
        <w:t>proximity</w:t>
      </w:r>
      <w:r>
        <w:rPr>
          <w:rFonts w:ascii="Cambria"/>
          <w:color w:val="231F20"/>
          <w:spacing w:val="-4"/>
          <w:sz w:val="21"/>
        </w:rPr>
        <w:t xml:space="preserve"> </w:t>
      </w:r>
      <w:r>
        <w:rPr>
          <w:rFonts w:ascii="Cambria"/>
          <w:color w:val="231F20"/>
          <w:sz w:val="21"/>
        </w:rPr>
        <w:t>to</w:t>
      </w:r>
      <w:r>
        <w:rPr>
          <w:rFonts w:ascii="Cambria"/>
          <w:color w:val="231F20"/>
          <w:spacing w:val="-4"/>
          <w:sz w:val="21"/>
        </w:rPr>
        <w:t xml:space="preserve"> </w:t>
      </w:r>
      <w:r>
        <w:rPr>
          <w:rFonts w:ascii="Cambria"/>
          <w:color w:val="231F20"/>
          <w:sz w:val="21"/>
        </w:rPr>
        <w:t>markets</w:t>
      </w:r>
      <w:r>
        <w:rPr>
          <w:rFonts w:ascii="Cambria"/>
          <w:color w:val="231F20"/>
          <w:spacing w:val="-4"/>
          <w:sz w:val="21"/>
        </w:rPr>
        <w:t xml:space="preserve"> </w:t>
      </w:r>
      <w:r>
        <w:rPr>
          <w:rFonts w:ascii="Cambria"/>
          <w:color w:val="231F20"/>
          <w:sz w:val="21"/>
        </w:rPr>
        <w:t>and</w:t>
      </w:r>
      <w:r>
        <w:rPr>
          <w:rFonts w:ascii="Cambria"/>
          <w:color w:val="231F20"/>
          <w:spacing w:val="-4"/>
          <w:sz w:val="21"/>
        </w:rPr>
        <w:t xml:space="preserve"> </w:t>
      </w:r>
      <w:r>
        <w:rPr>
          <w:rFonts w:ascii="Cambria"/>
          <w:color w:val="231F20"/>
          <w:sz w:val="21"/>
        </w:rPr>
        <w:t>tourism</w:t>
      </w:r>
      <w:r>
        <w:rPr>
          <w:rFonts w:ascii="Cambria"/>
          <w:color w:val="231F20"/>
          <w:spacing w:val="-4"/>
          <w:sz w:val="21"/>
        </w:rPr>
        <w:t xml:space="preserve"> </w:t>
      </w:r>
      <w:r>
        <w:rPr>
          <w:rFonts w:ascii="Cambria"/>
          <w:color w:val="231F20"/>
          <w:sz w:val="21"/>
        </w:rPr>
        <w:t>infrastructure,</w:t>
      </w:r>
      <w:r>
        <w:rPr>
          <w:rFonts w:ascii="Cambria"/>
          <w:color w:val="231F20"/>
          <w:spacing w:val="-4"/>
          <w:sz w:val="21"/>
        </w:rPr>
        <w:t xml:space="preserve"> </w:t>
      </w:r>
      <w:r>
        <w:rPr>
          <w:rFonts w:ascii="Cambria"/>
          <w:color w:val="231F20"/>
          <w:sz w:val="21"/>
        </w:rPr>
        <w:t>and</w:t>
      </w:r>
      <w:r>
        <w:rPr>
          <w:rFonts w:ascii="Cambria"/>
          <w:color w:val="231F20"/>
          <w:spacing w:val="-4"/>
          <w:sz w:val="21"/>
        </w:rPr>
        <w:t xml:space="preserve"> </w:t>
      </w:r>
      <w:r>
        <w:rPr>
          <w:rFonts w:ascii="Cambria"/>
          <w:color w:val="231F20"/>
          <w:sz w:val="21"/>
        </w:rPr>
        <w:t>based</w:t>
      </w:r>
      <w:r>
        <w:rPr>
          <w:rFonts w:ascii="Cambria"/>
          <w:color w:val="231F20"/>
          <w:spacing w:val="-4"/>
          <w:sz w:val="21"/>
        </w:rPr>
        <w:t xml:space="preserve"> </w:t>
      </w:r>
      <w:r>
        <w:rPr>
          <w:rFonts w:ascii="Cambria"/>
          <w:color w:val="231F20"/>
          <w:sz w:val="21"/>
        </w:rPr>
        <w:t>on</w:t>
      </w:r>
      <w:r>
        <w:rPr>
          <w:rFonts w:ascii="Cambria"/>
          <w:color w:val="231F20"/>
          <w:spacing w:val="-4"/>
          <w:sz w:val="21"/>
        </w:rPr>
        <w:t xml:space="preserve"> </w:t>
      </w:r>
      <w:r>
        <w:rPr>
          <w:rFonts w:ascii="Cambria"/>
          <w:color w:val="231F20"/>
          <w:sz w:val="21"/>
        </w:rPr>
        <w:t>built or artificial facilities and attractions.</w:t>
      </w:r>
    </w:p>
    <w:p w14:paraId="7BCF15F4" w14:textId="77777777" w:rsidR="00AE0598" w:rsidRDefault="0069255A">
      <w:pPr>
        <w:pStyle w:val="PargrafodaLista"/>
        <w:numPr>
          <w:ilvl w:val="0"/>
          <w:numId w:val="13"/>
        </w:numPr>
        <w:tabs>
          <w:tab w:val="left" w:pos="490"/>
        </w:tabs>
        <w:spacing w:before="4" w:line="232" w:lineRule="auto"/>
        <w:ind w:right="127"/>
        <w:jc w:val="both"/>
        <w:rPr>
          <w:rFonts w:ascii="Cambria"/>
          <w:sz w:val="21"/>
        </w:rPr>
      </w:pPr>
      <w:r>
        <w:rPr>
          <w:rFonts w:ascii="Cambria"/>
          <w:color w:val="231F20"/>
          <w:w w:val="95"/>
          <w:sz w:val="21"/>
        </w:rPr>
        <w:t>Intermediate: Located with</w:t>
      </w:r>
      <w:r>
        <w:rPr>
          <w:rFonts w:ascii="Cambria"/>
          <w:color w:val="231F20"/>
          <w:w w:val="95"/>
          <w:sz w:val="21"/>
        </w:rPr>
        <w:t xml:space="preserve"> a view to accessibility, based on resources </w:t>
      </w:r>
      <w:r>
        <w:rPr>
          <w:rFonts w:ascii="Cambria"/>
          <w:color w:val="231F20"/>
          <w:sz w:val="21"/>
        </w:rPr>
        <w:t>that are built and/or natural.</w:t>
      </w:r>
    </w:p>
    <w:p w14:paraId="528A30A5" w14:textId="77777777" w:rsidR="00AE0598" w:rsidRDefault="0069255A">
      <w:pPr>
        <w:pStyle w:val="PargrafodaLista"/>
        <w:numPr>
          <w:ilvl w:val="0"/>
          <w:numId w:val="13"/>
        </w:numPr>
        <w:tabs>
          <w:tab w:val="left" w:pos="491"/>
        </w:tabs>
        <w:spacing w:before="2" w:line="232" w:lineRule="auto"/>
        <w:ind w:right="127"/>
        <w:jc w:val="both"/>
        <w:rPr>
          <w:rFonts w:ascii="Cambria"/>
          <w:sz w:val="21"/>
        </w:rPr>
      </w:pPr>
      <w:r>
        <w:rPr>
          <w:rFonts w:ascii="Cambria"/>
          <w:color w:val="231F20"/>
          <w:sz w:val="21"/>
        </w:rPr>
        <w:t xml:space="preserve">Resource based: High quality natural resources that tend to be </w:t>
      </w:r>
      <w:r>
        <w:rPr>
          <w:rFonts w:ascii="Cambria"/>
          <w:color w:val="231F20"/>
          <w:w w:val="95"/>
          <w:sz w:val="21"/>
        </w:rPr>
        <w:t xml:space="preserve">spatially removed from centres of population and located on the basis </w:t>
      </w:r>
      <w:r>
        <w:rPr>
          <w:rFonts w:ascii="Cambria"/>
          <w:color w:val="231F20"/>
          <w:sz w:val="21"/>
        </w:rPr>
        <w:t>of remote and limited resource availability.</w:t>
      </w:r>
    </w:p>
    <w:p w14:paraId="1A78FF4A" w14:textId="77777777" w:rsidR="00AE0598" w:rsidRDefault="00AE0598">
      <w:pPr>
        <w:pStyle w:val="Corpodetexto"/>
        <w:spacing w:before="9"/>
        <w:rPr>
          <w:sz w:val="20"/>
        </w:rPr>
      </w:pPr>
    </w:p>
    <w:p w14:paraId="2EE66917" w14:textId="77777777" w:rsidR="00AE0598" w:rsidRDefault="0069255A">
      <w:pPr>
        <w:pStyle w:val="Corpodetexto"/>
        <w:spacing w:line="232" w:lineRule="auto"/>
        <w:ind w:left="110" w:right="127"/>
        <w:jc w:val="both"/>
      </w:pPr>
      <w:r>
        <w:rPr>
          <w:color w:val="231F20"/>
        </w:rPr>
        <w:t xml:space="preserve">The spatial concept of distance decay applies to both sport and tourism. </w:t>
      </w:r>
      <w:r>
        <w:rPr>
          <w:color w:val="231F20"/>
          <w:w w:val="95"/>
        </w:rPr>
        <w:t xml:space="preserve">For example, in the case of elite sport, a discernible pattern exists in terms </w:t>
      </w:r>
      <w:r>
        <w:rPr>
          <w:color w:val="231F20"/>
        </w:rPr>
        <w:t>of the home or away status of a sports contest, and the probability of winning. Not only is winning away</w:t>
      </w:r>
      <w:r>
        <w:rPr>
          <w:color w:val="231F20"/>
        </w:rPr>
        <w:t xml:space="preserve"> less probable than at home, but ‘the probability</w:t>
      </w:r>
      <w:r>
        <w:rPr>
          <w:color w:val="231F20"/>
          <w:spacing w:val="-2"/>
        </w:rPr>
        <w:t xml:space="preserve"> </w:t>
      </w:r>
      <w:r>
        <w:rPr>
          <w:color w:val="231F20"/>
        </w:rPr>
        <w:t>of</w:t>
      </w:r>
      <w:r>
        <w:rPr>
          <w:color w:val="231F20"/>
          <w:spacing w:val="-2"/>
        </w:rPr>
        <w:t xml:space="preserve"> </w:t>
      </w:r>
      <w:r>
        <w:rPr>
          <w:color w:val="231F20"/>
        </w:rPr>
        <w:t>winning</w:t>
      </w:r>
      <w:r>
        <w:rPr>
          <w:color w:val="231F20"/>
          <w:spacing w:val="-2"/>
        </w:rPr>
        <w:t xml:space="preserve"> </w:t>
      </w:r>
      <w:r>
        <w:rPr>
          <w:color w:val="231F20"/>
        </w:rPr>
        <w:t>forms</w:t>
      </w:r>
      <w:r>
        <w:rPr>
          <w:color w:val="231F20"/>
          <w:spacing w:val="-2"/>
        </w:rPr>
        <w:t xml:space="preserve"> </w:t>
      </w:r>
      <w:r>
        <w:rPr>
          <w:color w:val="231F20"/>
        </w:rPr>
        <w:t>a</w:t>
      </w:r>
      <w:r>
        <w:rPr>
          <w:color w:val="231F20"/>
          <w:spacing w:val="-2"/>
        </w:rPr>
        <w:t xml:space="preserve"> </w:t>
      </w:r>
      <w:r>
        <w:rPr>
          <w:color w:val="231F20"/>
        </w:rPr>
        <w:t>clear</w:t>
      </w:r>
      <w:r>
        <w:rPr>
          <w:color w:val="231F20"/>
          <w:spacing w:val="-2"/>
        </w:rPr>
        <w:t xml:space="preserve"> </w:t>
      </w:r>
      <w:r>
        <w:rPr>
          <w:color w:val="231F20"/>
        </w:rPr>
        <w:t>gradient</w:t>
      </w:r>
      <w:r>
        <w:rPr>
          <w:color w:val="231F20"/>
          <w:spacing w:val="-2"/>
        </w:rPr>
        <w:t xml:space="preserve"> </w:t>
      </w:r>
      <w:r>
        <w:rPr>
          <w:color w:val="231F20"/>
        </w:rPr>
        <w:t>according</w:t>
      </w:r>
      <w:r>
        <w:rPr>
          <w:color w:val="231F20"/>
          <w:spacing w:val="-2"/>
        </w:rPr>
        <w:t xml:space="preserve"> </w:t>
      </w:r>
      <w:r>
        <w:rPr>
          <w:color w:val="231F20"/>
        </w:rPr>
        <w:t>to</w:t>
      </w:r>
      <w:r>
        <w:rPr>
          <w:color w:val="231F20"/>
          <w:spacing w:val="-2"/>
        </w:rPr>
        <w:t xml:space="preserve"> </w:t>
      </w:r>
      <w:r>
        <w:rPr>
          <w:color w:val="231F20"/>
        </w:rPr>
        <w:t>distance</w:t>
      </w:r>
      <w:r>
        <w:rPr>
          <w:color w:val="231F20"/>
          <w:spacing w:val="-2"/>
        </w:rPr>
        <w:t xml:space="preserve"> </w:t>
      </w:r>
      <w:r>
        <w:rPr>
          <w:color w:val="231F20"/>
        </w:rPr>
        <w:t xml:space="preserve">from </w:t>
      </w:r>
      <w:r>
        <w:rPr>
          <w:color w:val="231F20"/>
          <w:w w:val="95"/>
        </w:rPr>
        <w:t xml:space="preserve">home’ (Bale, 1989: 31). The further a team travels from its home venue, the </w:t>
      </w:r>
      <w:r>
        <w:rPr>
          <w:color w:val="231F20"/>
        </w:rPr>
        <w:t>less likely it is to win.</w:t>
      </w:r>
    </w:p>
    <w:p w14:paraId="585A5B77" w14:textId="77777777" w:rsidR="00AE0598" w:rsidRDefault="0069255A">
      <w:pPr>
        <w:pStyle w:val="Corpodetexto"/>
        <w:spacing w:before="9" w:line="232" w:lineRule="auto"/>
        <w:ind w:left="110" w:right="126" w:firstLine="320"/>
        <w:jc w:val="both"/>
      </w:pPr>
      <w:r>
        <w:rPr>
          <w:color w:val="231F20"/>
          <w:w w:val="95"/>
        </w:rPr>
        <w:t>In</w:t>
      </w:r>
      <w:r>
        <w:rPr>
          <w:color w:val="231F20"/>
          <w:spacing w:val="-6"/>
          <w:w w:val="95"/>
        </w:rPr>
        <w:t xml:space="preserve"> </w:t>
      </w:r>
      <w:r>
        <w:rPr>
          <w:color w:val="231F20"/>
          <w:w w:val="95"/>
        </w:rPr>
        <w:t>the</w:t>
      </w:r>
      <w:r>
        <w:rPr>
          <w:color w:val="231F20"/>
          <w:spacing w:val="-6"/>
          <w:w w:val="95"/>
        </w:rPr>
        <w:t xml:space="preserve"> </w:t>
      </w:r>
      <w:r>
        <w:rPr>
          <w:color w:val="231F20"/>
          <w:w w:val="95"/>
        </w:rPr>
        <w:t>context</w:t>
      </w:r>
      <w:r>
        <w:rPr>
          <w:color w:val="231F20"/>
          <w:spacing w:val="-6"/>
          <w:w w:val="95"/>
        </w:rPr>
        <w:t xml:space="preserve"> </w:t>
      </w:r>
      <w:r>
        <w:rPr>
          <w:color w:val="231F20"/>
          <w:w w:val="95"/>
        </w:rPr>
        <w:t>of</w:t>
      </w:r>
      <w:r>
        <w:rPr>
          <w:color w:val="231F20"/>
          <w:spacing w:val="-6"/>
          <w:w w:val="95"/>
        </w:rPr>
        <w:t xml:space="preserve"> </w:t>
      </w:r>
      <w:r>
        <w:rPr>
          <w:color w:val="231F20"/>
          <w:w w:val="95"/>
        </w:rPr>
        <w:t>sport</w:t>
      </w:r>
      <w:r>
        <w:rPr>
          <w:color w:val="231F20"/>
          <w:spacing w:val="-6"/>
          <w:w w:val="95"/>
        </w:rPr>
        <w:t xml:space="preserve"> </w:t>
      </w:r>
      <w:r>
        <w:rPr>
          <w:color w:val="231F20"/>
          <w:w w:val="95"/>
        </w:rPr>
        <w:t>tourism,</w:t>
      </w:r>
      <w:r>
        <w:rPr>
          <w:color w:val="231F20"/>
          <w:spacing w:val="-6"/>
          <w:w w:val="95"/>
        </w:rPr>
        <w:t xml:space="preserve"> </w:t>
      </w:r>
      <w:r>
        <w:rPr>
          <w:color w:val="231F20"/>
          <w:w w:val="95"/>
        </w:rPr>
        <w:t>sports</w:t>
      </w:r>
      <w:r>
        <w:rPr>
          <w:color w:val="231F20"/>
          <w:spacing w:val="-6"/>
          <w:w w:val="95"/>
        </w:rPr>
        <w:t xml:space="preserve"> </w:t>
      </w:r>
      <w:r>
        <w:rPr>
          <w:color w:val="231F20"/>
          <w:w w:val="95"/>
        </w:rPr>
        <w:t>tha</w:t>
      </w:r>
      <w:r>
        <w:rPr>
          <w:color w:val="231F20"/>
          <w:w w:val="95"/>
        </w:rPr>
        <w:t>t</w:t>
      </w:r>
      <w:r>
        <w:rPr>
          <w:color w:val="231F20"/>
          <w:spacing w:val="-6"/>
          <w:w w:val="95"/>
        </w:rPr>
        <w:t xml:space="preserve"> </w:t>
      </w:r>
      <w:r>
        <w:rPr>
          <w:color w:val="231F20"/>
          <w:w w:val="95"/>
        </w:rPr>
        <w:t>take</w:t>
      </w:r>
      <w:r>
        <w:rPr>
          <w:color w:val="231F20"/>
          <w:spacing w:val="-6"/>
          <w:w w:val="95"/>
        </w:rPr>
        <w:t xml:space="preserve"> </w:t>
      </w:r>
      <w:r>
        <w:rPr>
          <w:color w:val="231F20"/>
          <w:w w:val="95"/>
        </w:rPr>
        <w:t>place</w:t>
      </w:r>
      <w:r>
        <w:rPr>
          <w:color w:val="231F20"/>
          <w:spacing w:val="-6"/>
          <w:w w:val="95"/>
        </w:rPr>
        <w:t xml:space="preserve"> </w:t>
      </w:r>
      <w:r>
        <w:rPr>
          <w:color w:val="231F20"/>
          <w:w w:val="95"/>
        </w:rPr>
        <w:t>in</w:t>
      </w:r>
      <w:r>
        <w:rPr>
          <w:color w:val="231F20"/>
          <w:spacing w:val="-6"/>
          <w:w w:val="95"/>
        </w:rPr>
        <w:t xml:space="preserve"> </w:t>
      </w:r>
      <w:r>
        <w:rPr>
          <w:color w:val="231F20"/>
          <w:w w:val="95"/>
        </w:rPr>
        <w:t>central</w:t>
      </w:r>
      <w:r>
        <w:rPr>
          <w:color w:val="231F20"/>
          <w:spacing w:val="-6"/>
          <w:w w:val="95"/>
        </w:rPr>
        <w:t xml:space="preserve"> </w:t>
      </w:r>
      <w:r>
        <w:rPr>
          <w:color w:val="231F20"/>
          <w:w w:val="95"/>
        </w:rPr>
        <w:t xml:space="preserve">locations </w:t>
      </w:r>
      <w:r>
        <w:rPr>
          <w:color w:val="231F20"/>
        </w:rPr>
        <w:t>are</w:t>
      </w:r>
      <w:r>
        <w:rPr>
          <w:color w:val="231F20"/>
          <w:spacing w:val="-4"/>
        </w:rPr>
        <w:t xml:space="preserve"> </w:t>
      </w:r>
      <w:r>
        <w:rPr>
          <w:color w:val="231F20"/>
        </w:rPr>
        <w:t>generally</w:t>
      </w:r>
      <w:r>
        <w:rPr>
          <w:color w:val="231F20"/>
          <w:spacing w:val="-4"/>
        </w:rPr>
        <w:t xml:space="preserve"> </w:t>
      </w:r>
      <w:r>
        <w:rPr>
          <w:color w:val="231F20"/>
        </w:rPr>
        <w:t>advantaged</w:t>
      </w:r>
      <w:r>
        <w:rPr>
          <w:color w:val="231F20"/>
          <w:spacing w:val="-4"/>
        </w:rPr>
        <w:t xml:space="preserve"> </w:t>
      </w:r>
      <w:r>
        <w:rPr>
          <w:color w:val="231F20"/>
        </w:rPr>
        <w:t>by</w:t>
      </w:r>
      <w:r>
        <w:rPr>
          <w:color w:val="231F20"/>
          <w:spacing w:val="-4"/>
        </w:rPr>
        <w:t xml:space="preserve"> </w:t>
      </w:r>
      <w:r>
        <w:rPr>
          <w:color w:val="231F20"/>
        </w:rPr>
        <w:t>proximity</w:t>
      </w:r>
      <w:r>
        <w:rPr>
          <w:color w:val="231F20"/>
          <w:spacing w:val="-4"/>
        </w:rPr>
        <w:t xml:space="preserve"> </w:t>
      </w:r>
      <w:r>
        <w:rPr>
          <w:color w:val="231F20"/>
        </w:rPr>
        <w:t>to</w:t>
      </w:r>
      <w:r>
        <w:rPr>
          <w:color w:val="231F20"/>
          <w:spacing w:val="-4"/>
        </w:rPr>
        <w:t xml:space="preserve"> </w:t>
      </w:r>
      <w:r>
        <w:rPr>
          <w:color w:val="231F20"/>
        </w:rPr>
        <w:t>markets.</w:t>
      </w:r>
      <w:r>
        <w:rPr>
          <w:color w:val="231F20"/>
          <w:spacing w:val="-4"/>
        </w:rPr>
        <w:t xml:space="preserve"> </w:t>
      </w:r>
      <w:r>
        <w:rPr>
          <w:color w:val="231F20"/>
        </w:rPr>
        <w:t>Residents</w:t>
      </w:r>
      <w:r>
        <w:rPr>
          <w:color w:val="231F20"/>
          <w:spacing w:val="-4"/>
        </w:rPr>
        <w:t xml:space="preserve"> </w:t>
      </w:r>
      <w:r>
        <w:rPr>
          <w:color w:val="231F20"/>
        </w:rPr>
        <w:t>of</w:t>
      </w:r>
      <w:r>
        <w:rPr>
          <w:color w:val="231F20"/>
          <w:spacing w:val="-4"/>
        </w:rPr>
        <w:t xml:space="preserve"> </w:t>
      </w:r>
      <w:r>
        <w:rPr>
          <w:color w:val="231F20"/>
        </w:rPr>
        <w:t xml:space="preserve">adjacent </w:t>
      </w:r>
      <w:r>
        <w:rPr>
          <w:color w:val="231F20"/>
          <w:w w:val="95"/>
        </w:rPr>
        <w:t xml:space="preserve">regions or from peripheral areas are less likely to travel to a sporting event </w:t>
      </w:r>
      <w:r>
        <w:rPr>
          <w:color w:val="231F20"/>
        </w:rPr>
        <w:t>or activity than those located nearby (Daniels, 2007; Pearce, 1989). Th</w:t>
      </w:r>
      <w:r>
        <w:rPr>
          <w:color w:val="231F20"/>
        </w:rPr>
        <w:t>e gravity</w:t>
      </w:r>
      <w:r>
        <w:rPr>
          <w:color w:val="231F20"/>
          <w:spacing w:val="-10"/>
        </w:rPr>
        <w:t xml:space="preserve"> </w:t>
      </w:r>
      <w:r>
        <w:rPr>
          <w:color w:val="231F20"/>
        </w:rPr>
        <w:t>model</w:t>
      </w:r>
      <w:r>
        <w:rPr>
          <w:color w:val="231F20"/>
          <w:spacing w:val="-10"/>
        </w:rPr>
        <w:t xml:space="preserve"> </w:t>
      </w:r>
      <w:r>
        <w:rPr>
          <w:color w:val="231F20"/>
        </w:rPr>
        <w:t>of</w:t>
      </w:r>
      <w:r>
        <w:rPr>
          <w:color w:val="231F20"/>
          <w:spacing w:val="-10"/>
        </w:rPr>
        <w:t xml:space="preserve"> </w:t>
      </w:r>
      <w:r>
        <w:rPr>
          <w:color w:val="231F20"/>
        </w:rPr>
        <w:t>distance</w:t>
      </w:r>
      <w:r>
        <w:rPr>
          <w:color w:val="231F20"/>
          <w:spacing w:val="-10"/>
        </w:rPr>
        <w:t xml:space="preserve"> </w:t>
      </w:r>
      <w:r>
        <w:rPr>
          <w:color w:val="231F20"/>
        </w:rPr>
        <w:t>decay</w:t>
      </w:r>
      <w:r>
        <w:rPr>
          <w:color w:val="231F20"/>
          <w:spacing w:val="-10"/>
        </w:rPr>
        <w:t xml:space="preserve"> </w:t>
      </w:r>
      <w:r>
        <w:rPr>
          <w:color w:val="231F20"/>
        </w:rPr>
        <w:t>suggests</w:t>
      </w:r>
      <w:r>
        <w:rPr>
          <w:color w:val="231F20"/>
          <w:spacing w:val="-10"/>
        </w:rPr>
        <w:t xml:space="preserve"> </w:t>
      </w:r>
      <w:r>
        <w:rPr>
          <w:color w:val="231F20"/>
        </w:rPr>
        <w:t>that</w:t>
      </w:r>
      <w:r>
        <w:rPr>
          <w:color w:val="231F20"/>
          <w:spacing w:val="-10"/>
        </w:rPr>
        <w:t xml:space="preserve"> </w:t>
      </w:r>
      <w:r>
        <w:rPr>
          <w:color w:val="231F20"/>
        </w:rPr>
        <w:t>tourist</w:t>
      </w:r>
      <w:r>
        <w:rPr>
          <w:color w:val="231F20"/>
          <w:spacing w:val="-10"/>
        </w:rPr>
        <w:t xml:space="preserve"> </w:t>
      </w:r>
      <w:r>
        <w:rPr>
          <w:color w:val="231F20"/>
        </w:rPr>
        <w:t>flows</w:t>
      </w:r>
      <w:r>
        <w:rPr>
          <w:color w:val="231F20"/>
          <w:spacing w:val="-10"/>
        </w:rPr>
        <w:t xml:space="preserve"> </w:t>
      </w:r>
      <w:r>
        <w:rPr>
          <w:color w:val="231F20"/>
        </w:rPr>
        <w:t>decrease</w:t>
      </w:r>
      <w:r>
        <w:rPr>
          <w:color w:val="231F20"/>
          <w:spacing w:val="-10"/>
        </w:rPr>
        <w:t xml:space="preserve"> </w:t>
      </w:r>
      <w:r>
        <w:rPr>
          <w:color w:val="231F20"/>
        </w:rPr>
        <w:t>with distance</w:t>
      </w:r>
      <w:r>
        <w:rPr>
          <w:color w:val="231F20"/>
          <w:spacing w:val="-3"/>
        </w:rPr>
        <w:t xml:space="preserve"> </w:t>
      </w:r>
      <w:r>
        <w:rPr>
          <w:color w:val="231F20"/>
        </w:rPr>
        <w:t>from</w:t>
      </w:r>
      <w:r>
        <w:rPr>
          <w:color w:val="231F20"/>
          <w:spacing w:val="-3"/>
        </w:rPr>
        <w:t xml:space="preserve"> </w:t>
      </w:r>
      <w:r>
        <w:rPr>
          <w:color w:val="231F20"/>
        </w:rPr>
        <w:t>the</w:t>
      </w:r>
      <w:r>
        <w:rPr>
          <w:color w:val="231F20"/>
          <w:spacing w:val="-3"/>
        </w:rPr>
        <w:t xml:space="preserve"> </w:t>
      </w:r>
      <w:r>
        <w:rPr>
          <w:color w:val="231F20"/>
        </w:rPr>
        <w:t>origin</w:t>
      </w:r>
      <w:r>
        <w:rPr>
          <w:color w:val="231F20"/>
          <w:spacing w:val="-3"/>
        </w:rPr>
        <w:t xml:space="preserve"> </w:t>
      </w:r>
      <w:r>
        <w:rPr>
          <w:color w:val="231F20"/>
        </w:rPr>
        <w:t>(Boniface</w:t>
      </w:r>
      <w:r>
        <w:rPr>
          <w:color w:val="231F20"/>
          <w:spacing w:val="-3"/>
        </w:rPr>
        <w:t xml:space="preserve"> </w:t>
      </w:r>
      <w:r>
        <w:rPr>
          <w:color w:val="231F20"/>
        </w:rPr>
        <w:t>&amp;</w:t>
      </w:r>
      <w:r>
        <w:rPr>
          <w:color w:val="231F20"/>
          <w:spacing w:val="-3"/>
        </w:rPr>
        <w:t xml:space="preserve"> </w:t>
      </w:r>
      <w:r>
        <w:rPr>
          <w:color w:val="231F20"/>
        </w:rPr>
        <w:t>Cooper,</w:t>
      </w:r>
      <w:r>
        <w:rPr>
          <w:color w:val="231F20"/>
          <w:spacing w:val="-3"/>
        </w:rPr>
        <w:t xml:space="preserve"> </w:t>
      </w:r>
      <w:r>
        <w:rPr>
          <w:color w:val="231F20"/>
        </w:rPr>
        <w:t>1994).</w:t>
      </w:r>
      <w:r>
        <w:rPr>
          <w:color w:val="231F20"/>
          <w:spacing w:val="-3"/>
        </w:rPr>
        <w:t xml:space="preserve"> </w:t>
      </w:r>
      <w:r>
        <w:rPr>
          <w:color w:val="231F20"/>
        </w:rPr>
        <w:t>In</w:t>
      </w:r>
      <w:r>
        <w:rPr>
          <w:color w:val="231F20"/>
          <w:spacing w:val="-3"/>
        </w:rPr>
        <w:t xml:space="preserve"> </w:t>
      </w:r>
      <w:r>
        <w:rPr>
          <w:color w:val="231F20"/>
        </w:rPr>
        <w:t>theory,</w:t>
      </w:r>
      <w:r>
        <w:rPr>
          <w:color w:val="231F20"/>
          <w:spacing w:val="-3"/>
        </w:rPr>
        <w:t xml:space="preserve"> </w:t>
      </w:r>
      <w:r>
        <w:rPr>
          <w:color w:val="231F20"/>
        </w:rPr>
        <w:t xml:space="preserve">therefore, the power of attraction that a sport may exert upon the travel decision process diminishes as the distance between the origin and sport site or venue increases. The distance decay function that underlies the gravity model has been understood to </w:t>
      </w:r>
      <w:r>
        <w:rPr>
          <w:color w:val="231F20"/>
        </w:rPr>
        <w:t>be influenced by increasing travel costs and</w:t>
      </w:r>
      <w:r>
        <w:rPr>
          <w:color w:val="231F20"/>
          <w:spacing w:val="-4"/>
        </w:rPr>
        <w:t xml:space="preserve"> </w:t>
      </w:r>
      <w:r>
        <w:rPr>
          <w:color w:val="231F20"/>
        </w:rPr>
        <w:t>declining</w:t>
      </w:r>
      <w:r>
        <w:rPr>
          <w:color w:val="231F20"/>
          <w:spacing w:val="-4"/>
        </w:rPr>
        <w:t xml:space="preserve"> </w:t>
      </w:r>
      <w:r>
        <w:rPr>
          <w:color w:val="231F20"/>
        </w:rPr>
        <w:t>knowledge</w:t>
      </w:r>
      <w:r>
        <w:rPr>
          <w:color w:val="231F20"/>
          <w:spacing w:val="-4"/>
        </w:rPr>
        <w:t xml:space="preserve"> </w:t>
      </w:r>
      <w:r>
        <w:rPr>
          <w:color w:val="231F20"/>
        </w:rPr>
        <w:t>of</w:t>
      </w:r>
      <w:r>
        <w:rPr>
          <w:color w:val="231F20"/>
          <w:spacing w:val="-4"/>
        </w:rPr>
        <w:t xml:space="preserve"> </w:t>
      </w:r>
      <w:r>
        <w:rPr>
          <w:color w:val="231F20"/>
        </w:rPr>
        <w:t>distant</w:t>
      </w:r>
      <w:r>
        <w:rPr>
          <w:color w:val="231F20"/>
          <w:spacing w:val="-4"/>
        </w:rPr>
        <w:t xml:space="preserve"> </w:t>
      </w:r>
      <w:r>
        <w:rPr>
          <w:color w:val="231F20"/>
        </w:rPr>
        <w:t>locations</w:t>
      </w:r>
      <w:r>
        <w:rPr>
          <w:color w:val="231F20"/>
          <w:spacing w:val="-4"/>
        </w:rPr>
        <w:t xml:space="preserve"> </w:t>
      </w:r>
      <w:r>
        <w:rPr>
          <w:color w:val="231F20"/>
        </w:rPr>
        <w:t>(Mitchell</w:t>
      </w:r>
      <w:r>
        <w:rPr>
          <w:color w:val="231F20"/>
          <w:spacing w:val="-4"/>
        </w:rPr>
        <w:t xml:space="preserve"> </w:t>
      </w:r>
      <w:r>
        <w:rPr>
          <w:color w:val="231F20"/>
        </w:rPr>
        <w:t>&amp;</w:t>
      </w:r>
      <w:r>
        <w:rPr>
          <w:color w:val="231F20"/>
          <w:spacing w:val="-4"/>
        </w:rPr>
        <w:t xml:space="preserve"> </w:t>
      </w:r>
      <w:r>
        <w:rPr>
          <w:color w:val="231F20"/>
        </w:rPr>
        <w:t>Murphy,</w:t>
      </w:r>
      <w:r>
        <w:rPr>
          <w:color w:val="231F20"/>
          <w:spacing w:val="-4"/>
        </w:rPr>
        <w:t xml:space="preserve"> </w:t>
      </w:r>
      <w:r>
        <w:rPr>
          <w:color w:val="231F20"/>
        </w:rPr>
        <w:t>1991). Therefore,</w:t>
      </w:r>
      <w:r>
        <w:rPr>
          <w:color w:val="231F20"/>
          <w:spacing w:val="-10"/>
        </w:rPr>
        <w:t xml:space="preserve"> </w:t>
      </w:r>
      <w:r>
        <w:rPr>
          <w:color w:val="231F20"/>
        </w:rPr>
        <w:t>in</w:t>
      </w:r>
      <w:r>
        <w:rPr>
          <w:color w:val="231F20"/>
          <w:spacing w:val="-10"/>
        </w:rPr>
        <w:t xml:space="preserve"> </w:t>
      </w:r>
      <w:r>
        <w:rPr>
          <w:color w:val="231F20"/>
        </w:rPr>
        <w:t>the</w:t>
      </w:r>
      <w:r>
        <w:rPr>
          <w:color w:val="231F20"/>
          <w:spacing w:val="-10"/>
        </w:rPr>
        <w:t xml:space="preserve"> </w:t>
      </w:r>
      <w:r>
        <w:rPr>
          <w:color w:val="231F20"/>
        </w:rPr>
        <w:t>case</w:t>
      </w:r>
      <w:r>
        <w:rPr>
          <w:color w:val="231F20"/>
          <w:spacing w:val="-10"/>
        </w:rPr>
        <w:t xml:space="preserve"> </w:t>
      </w:r>
      <w:r>
        <w:rPr>
          <w:color w:val="231F20"/>
        </w:rPr>
        <w:t>of</w:t>
      </w:r>
      <w:r>
        <w:rPr>
          <w:color w:val="231F20"/>
          <w:spacing w:val="-10"/>
        </w:rPr>
        <w:t xml:space="preserve"> </w:t>
      </w:r>
      <w:r>
        <w:rPr>
          <w:color w:val="231F20"/>
        </w:rPr>
        <w:t>event</w:t>
      </w:r>
      <w:r>
        <w:rPr>
          <w:color w:val="231F20"/>
          <w:spacing w:val="-10"/>
        </w:rPr>
        <w:t xml:space="preserve"> </w:t>
      </w:r>
      <w:r>
        <w:rPr>
          <w:color w:val="231F20"/>
        </w:rPr>
        <w:t>sport</w:t>
      </w:r>
      <w:r>
        <w:rPr>
          <w:color w:val="231F20"/>
          <w:spacing w:val="-10"/>
        </w:rPr>
        <w:t xml:space="preserve"> </w:t>
      </w:r>
      <w:r>
        <w:rPr>
          <w:color w:val="231F20"/>
        </w:rPr>
        <w:t>tourism,</w:t>
      </w:r>
      <w:r>
        <w:rPr>
          <w:color w:val="231F20"/>
          <w:spacing w:val="-10"/>
        </w:rPr>
        <w:t xml:space="preserve"> </w:t>
      </w:r>
      <w:r>
        <w:rPr>
          <w:color w:val="231F20"/>
        </w:rPr>
        <w:t>all</w:t>
      </w:r>
      <w:r>
        <w:rPr>
          <w:color w:val="231F20"/>
          <w:spacing w:val="-10"/>
        </w:rPr>
        <w:t xml:space="preserve"> </w:t>
      </w:r>
      <w:r>
        <w:rPr>
          <w:color w:val="231F20"/>
        </w:rPr>
        <w:t>other</w:t>
      </w:r>
      <w:r>
        <w:rPr>
          <w:color w:val="231F20"/>
          <w:spacing w:val="-10"/>
        </w:rPr>
        <w:t xml:space="preserve"> </w:t>
      </w:r>
      <w:r>
        <w:rPr>
          <w:color w:val="231F20"/>
        </w:rPr>
        <w:t>things</w:t>
      </w:r>
      <w:r>
        <w:rPr>
          <w:color w:val="231F20"/>
          <w:spacing w:val="-10"/>
        </w:rPr>
        <w:t xml:space="preserve"> </w:t>
      </w:r>
      <w:r>
        <w:rPr>
          <w:color w:val="231F20"/>
        </w:rPr>
        <w:t>being</w:t>
      </w:r>
      <w:r>
        <w:rPr>
          <w:color w:val="231F20"/>
          <w:spacing w:val="-10"/>
        </w:rPr>
        <w:t xml:space="preserve"> </w:t>
      </w:r>
      <w:r>
        <w:rPr>
          <w:color w:val="231F20"/>
        </w:rPr>
        <w:t xml:space="preserve">equal, </w:t>
      </w:r>
      <w:r>
        <w:rPr>
          <w:color w:val="231F20"/>
          <w:w w:val="95"/>
        </w:rPr>
        <w:t>the further a team travels to compete the less likely that their h</w:t>
      </w:r>
      <w:r>
        <w:rPr>
          <w:color w:val="231F20"/>
          <w:w w:val="95"/>
        </w:rPr>
        <w:t xml:space="preserve">ome-based </w:t>
      </w:r>
      <w:r>
        <w:rPr>
          <w:color w:val="231F20"/>
        </w:rPr>
        <w:t>supporters will accompany them.</w:t>
      </w:r>
    </w:p>
    <w:p w14:paraId="1D73C258" w14:textId="77777777" w:rsidR="00AE0598" w:rsidRDefault="00AE0598">
      <w:pPr>
        <w:spacing w:line="232" w:lineRule="auto"/>
        <w:jc w:val="both"/>
        <w:sectPr w:rsidR="00AE0598">
          <w:pgSz w:w="8850" w:h="13270"/>
          <w:pgMar w:top="720" w:right="1060" w:bottom="280" w:left="1080" w:header="720" w:footer="720" w:gutter="0"/>
          <w:cols w:space="720"/>
        </w:sectPr>
      </w:pPr>
    </w:p>
    <w:p w14:paraId="7CF362D6" w14:textId="77777777" w:rsidR="00AE0598" w:rsidRDefault="0069255A">
      <w:pPr>
        <w:spacing w:before="87"/>
        <w:ind w:left="108"/>
        <w:rPr>
          <w:rFonts w:ascii="Trebuchet MS"/>
          <w:sz w:val="14"/>
        </w:rPr>
      </w:pPr>
      <w:r>
        <w:rPr>
          <w:rFonts w:ascii="Trebuchet MS"/>
          <w:color w:val="231F20"/>
          <w:w w:val="105"/>
          <w:sz w:val="14"/>
        </w:rPr>
        <w:lastRenderedPageBreak/>
        <w:t>92</w:t>
      </w:r>
      <w:r>
        <w:rPr>
          <w:rFonts w:ascii="Trebuchet MS"/>
          <w:color w:val="231F20"/>
          <w:spacing w:val="66"/>
          <w:w w:val="150"/>
          <w:sz w:val="14"/>
        </w:rPr>
        <w:t xml:space="preserve"> </w:t>
      </w:r>
      <w:r>
        <w:rPr>
          <w:rFonts w:ascii="Trebuchet MS"/>
          <w:color w:val="231F20"/>
          <w:w w:val="105"/>
          <w:sz w:val="14"/>
        </w:rPr>
        <w:t>Part</w:t>
      </w:r>
      <w:r>
        <w:rPr>
          <w:rFonts w:ascii="Trebuchet MS"/>
          <w:color w:val="231F20"/>
          <w:spacing w:val="-9"/>
          <w:w w:val="105"/>
          <w:sz w:val="14"/>
        </w:rPr>
        <w:t xml:space="preserve"> </w:t>
      </w:r>
      <w:r>
        <w:rPr>
          <w:rFonts w:ascii="Trebuchet MS"/>
          <w:color w:val="231F20"/>
          <w:w w:val="105"/>
          <w:sz w:val="14"/>
        </w:rPr>
        <w:t>3:</w:t>
      </w:r>
      <w:r>
        <w:rPr>
          <w:rFonts w:ascii="Trebuchet MS"/>
          <w:color w:val="231F20"/>
          <w:spacing w:val="-9"/>
          <w:w w:val="105"/>
          <w:sz w:val="14"/>
        </w:rPr>
        <w:t xml:space="preserve"> </w:t>
      </w:r>
      <w:r>
        <w:rPr>
          <w:rFonts w:ascii="Trebuchet MS"/>
          <w:color w:val="231F20"/>
          <w:w w:val="105"/>
          <w:sz w:val="14"/>
        </w:rPr>
        <w:t>Sport</w:t>
      </w:r>
      <w:r>
        <w:rPr>
          <w:rFonts w:ascii="Trebuchet MS"/>
          <w:color w:val="231F20"/>
          <w:spacing w:val="-9"/>
          <w:w w:val="105"/>
          <w:sz w:val="14"/>
        </w:rPr>
        <w:t xml:space="preserve"> </w:t>
      </w:r>
      <w:r>
        <w:rPr>
          <w:rFonts w:ascii="Trebuchet MS"/>
          <w:color w:val="231F20"/>
          <w:w w:val="105"/>
          <w:sz w:val="14"/>
        </w:rPr>
        <w:t>Tourism</w:t>
      </w:r>
      <w:r>
        <w:rPr>
          <w:rFonts w:ascii="Trebuchet MS"/>
          <w:color w:val="231F20"/>
          <w:spacing w:val="-8"/>
          <w:w w:val="105"/>
          <w:sz w:val="14"/>
        </w:rPr>
        <w:t xml:space="preserve"> </w:t>
      </w:r>
      <w:r>
        <w:rPr>
          <w:rFonts w:ascii="Trebuchet MS"/>
          <w:color w:val="231F20"/>
          <w:w w:val="105"/>
          <w:sz w:val="14"/>
        </w:rPr>
        <w:t>Development</w:t>
      </w:r>
      <w:r>
        <w:rPr>
          <w:rFonts w:ascii="Trebuchet MS"/>
          <w:color w:val="231F20"/>
          <w:spacing w:val="-9"/>
          <w:w w:val="105"/>
          <w:sz w:val="14"/>
        </w:rPr>
        <w:t xml:space="preserve"> </w:t>
      </w:r>
      <w:r>
        <w:rPr>
          <w:rFonts w:ascii="Trebuchet MS"/>
          <w:color w:val="231F20"/>
          <w:w w:val="105"/>
          <w:sz w:val="14"/>
        </w:rPr>
        <w:t>and</w:t>
      </w:r>
      <w:r>
        <w:rPr>
          <w:rFonts w:ascii="Trebuchet MS"/>
          <w:color w:val="231F20"/>
          <w:spacing w:val="-9"/>
          <w:w w:val="105"/>
          <w:sz w:val="14"/>
        </w:rPr>
        <w:t xml:space="preserve"> </w:t>
      </w:r>
      <w:r>
        <w:rPr>
          <w:rFonts w:ascii="Trebuchet MS"/>
          <w:color w:val="231F20"/>
          <w:spacing w:val="-2"/>
          <w:w w:val="105"/>
          <w:sz w:val="14"/>
        </w:rPr>
        <w:t>Space</w:t>
      </w:r>
    </w:p>
    <w:p w14:paraId="2023A6C7" w14:textId="77777777" w:rsidR="00AE0598" w:rsidRDefault="00AE0598">
      <w:pPr>
        <w:pStyle w:val="Corpodetexto"/>
        <w:rPr>
          <w:rFonts w:ascii="Trebuchet MS"/>
          <w:sz w:val="16"/>
        </w:rPr>
      </w:pPr>
    </w:p>
    <w:p w14:paraId="12C1DDAA" w14:textId="77777777" w:rsidR="00AE0598" w:rsidRDefault="0069255A">
      <w:pPr>
        <w:pStyle w:val="Corpodetexto"/>
        <w:spacing w:before="118" w:line="232" w:lineRule="auto"/>
        <w:ind w:left="110" w:right="126" w:firstLine="320"/>
        <w:jc w:val="both"/>
      </w:pPr>
      <w:r>
        <w:rPr>
          <w:color w:val="231F20"/>
        </w:rPr>
        <w:t>In reality, a linear distance decay function is moderated by a range</w:t>
      </w:r>
      <w:r>
        <w:rPr>
          <w:color w:val="231F20"/>
          <w:spacing w:val="40"/>
        </w:rPr>
        <w:t xml:space="preserve"> </w:t>
      </w:r>
      <w:r>
        <w:rPr>
          <w:color w:val="231F20"/>
        </w:rPr>
        <w:t xml:space="preserve">of factors (Miossec, 1977), such as cultural and climatic characteristics, which may act as barriers or facilitators to travel (Cooper </w:t>
      </w:r>
      <w:r>
        <w:rPr>
          <w:i/>
          <w:color w:val="231F20"/>
        </w:rPr>
        <w:t>et al</w:t>
      </w:r>
      <w:r>
        <w:rPr>
          <w:color w:val="231F20"/>
        </w:rPr>
        <w:t>., 1993; Mitchell &amp; Murphy, 1991). Travel flows may be mediated by a number</w:t>
      </w:r>
      <w:r>
        <w:rPr>
          <w:color w:val="231F20"/>
          <w:spacing w:val="40"/>
        </w:rPr>
        <w:t xml:space="preserve"> </w:t>
      </w:r>
      <w:r>
        <w:rPr>
          <w:color w:val="231F20"/>
        </w:rPr>
        <w:t>of interrelated variables (Boniface &amp; Co</w:t>
      </w:r>
      <w:r>
        <w:rPr>
          <w:color w:val="231F20"/>
        </w:rPr>
        <w:t>oper, 1994). Zonal travel patterns can be ‘modified by the hierarchy of resort destinations, the spatial</w:t>
      </w:r>
      <w:r>
        <w:rPr>
          <w:color w:val="231F20"/>
          <w:spacing w:val="-3"/>
        </w:rPr>
        <w:t xml:space="preserve"> </w:t>
      </w:r>
      <w:r>
        <w:rPr>
          <w:color w:val="231F20"/>
        </w:rPr>
        <w:t>advantages</w:t>
      </w:r>
      <w:r>
        <w:rPr>
          <w:color w:val="231F20"/>
          <w:spacing w:val="-3"/>
        </w:rPr>
        <w:t xml:space="preserve"> </w:t>
      </w:r>
      <w:r>
        <w:rPr>
          <w:color w:val="231F20"/>
        </w:rPr>
        <w:t>offered</w:t>
      </w:r>
      <w:r>
        <w:rPr>
          <w:color w:val="231F20"/>
          <w:spacing w:val="-3"/>
        </w:rPr>
        <w:t xml:space="preserve"> </w:t>
      </w:r>
      <w:r>
        <w:rPr>
          <w:color w:val="231F20"/>
        </w:rPr>
        <w:t>by</w:t>
      </w:r>
      <w:r>
        <w:rPr>
          <w:color w:val="231F20"/>
          <w:spacing w:val="-3"/>
        </w:rPr>
        <w:t xml:space="preserve"> </w:t>
      </w:r>
      <w:r>
        <w:rPr>
          <w:color w:val="231F20"/>
        </w:rPr>
        <w:t>major</w:t>
      </w:r>
      <w:r>
        <w:rPr>
          <w:color w:val="231F20"/>
          <w:spacing w:val="-3"/>
        </w:rPr>
        <w:t xml:space="preserve"> </w:t>
      </w:r>
      <w:r>
        <w:rPr>
          <w:color w:val="231F20"/>
        </w:rPr>
        <w:t>transport</w:t>
      </w:r>
      <w:r>
        <w:rPr>
          <w:color w:val="231F20"/>
          <w:spacing w:val="-3"/>
        </w:rPr>
        <w:t xml:space="preserve"> </w:t>
      </w:r>
      <w:r>
        <w:rPr>
          <w:color w:val="231F20"/>
        </w:rPr>
        <w:t>routes,</w:t>
      </w:r>
      <w:r>
        <w:rPr>
          <w:color w:val="231F20"/>
          <w:spacing w:val="-3"/>
        </w:rPr>
        <w:t xml:space="preserve"> </w:t>
      </w:r>
      <w:r>
        <w:rPr>
          <w:color w:val="231F20"/>
        </w:rPr>
        <w:t>and</w:t>
      </w:r>
      <w:r>
        <w:rPr>
          <w:color w:val="231F20"/>
          <w:spacing w:val="-3"/>
        </w:rPr>
        <w:t xml:space="preserve"> </w:t>
      </w:r>
      <w:r>
        <w:rPr>
          <w:color w:val="231F20"/>
        </w:rPr>
        <w:t>locations</w:t>
      </w:r>
      <w:r>
        <w:rPr>
          <w:color w:val="231F20"/>
          <w:spacing w:val="-3"/>
        </w:rPr>
        <w:t xml:space="preserve"> </w:t>
      </w:r>
      <w:r>
        <w:rPr>
          <w:color w:val="231F20"/>
        </w:rPr>
        <w:t>with outstanding (unique) reputations’ (Mitchell &amp; Murphy, 1991: 63). The provision of low-</w:t>
      </w:r>
      <w:r>
        <w:rPr>
          <w:color w:val="231F20"/>
        </w:rPr>
        <w:t xml:space="preserve">cost (budget) air services over the last decade is one obvious example of infrastructure and service development that may </w:t>
      </w:r>
      <w:r>
        <w:rPr>
          <w:color w:val="231F20"/>
          <w:w w:val="95"/>
        </w:rPr>
        <w:t xml:space="preserve">mediate physical distance and redefine space (Casey, 2010). The distance </w:t>
      </w:r>
      <w:r>
        <w:rPr>
          <w:color w:val="231F20"/>
        </w:rPr>
        <w:t xml:space="preserve">decay function of sport tourism may also be mediated by such </w:t>
      </w:r>
      <w:r>
        <w:rPr>
          <w:color w:val="231F20"/>
        </w:rPr>
        <w:t xml:space="preserve">things as the quality of the opposition, importance of the competition, duration of the event, number of matches that will be played by a team or athlete </w:t>
      </w:r>
      <w:r>
        <w:rPr>
          <w:color w:val="231F20"/>
          <w:w w:val="95"/>
        </w:rPr>
        <w:t>and</w:t>
      </w:r>
      <w:r>
        <w:rPr>
          <w:color w:val="231F20"/>
          <w:spacing w:val="29"/>
        </w:rPr>
        <w:t xml:space="preserve"> </w:t>
      </w:r>
      <w:r>
        <w:rPr>
          <w:color w:val="231F20"/>
          <w:w w:val="95"/>
        </w:rPr>
        <w:t>the</w:t>
      </w:r>
      <w:r>
        <w:rPr>
          <w:color w:val="231F20"/>
          <w:spacing w:val="29"/>
        </w:rPr>
        <w:t xml:space="preserve"> </w:t>
      </w:r>
      <w:r>
        <w:rPr>
          <w:color w:val="231F20"/>
          <w:w w:val="95"/>
        </w:rPr>
        <w:t>travel</w:t>
      </w:r>
      <w:r>
        <w:rPr>
          <w:color w:val="231F20"/>
          <w:spacing w:val="29"/>
        </w:rPr>
        <w:t xml:space="preserve"> </w:t>
      </w:r>
      <w:r>
        <w:rPr>
          <w:color w:val="231F20"/>
          <w:w w:val="95"/>
        </w:rPr>
        <w:t>distances</w:t>
      </w:r>
      <w:r>
        <w:rPr>
          <w:color w:val="231F20"/>
          <w:spacing w:val="29"/>
        </w:rPr>
        <w:t xml:space="preserve"> </w:t>
      </w:r>
      <w:r>
        <w:rPr>
          <w:color w:val="231F20"/>
          <w:w w:val="95"/>
        </w:rPr>
        <w:t>between</w:t>
      </w:r>
      <w:r>
        <w:rPr>
          <w:color w:val="231F20"/>
          <w:spacing w:val="29"/>
        </w:rPr>
        <w:t xml:space="preserve"> </w:t>
      </w:r>
      <w:r>
        <w:rPr>
          <w:color w:val="231F20"/>
          <w:w w:val="95"/>
        </w:rPr>
        <w:t>competition</w:t>
      </w:r>
      <w:r>
        <w:rPr>
          <w:color w:val="231F20"/>
          <w:spacing w:val="29"/>
        </w:rPr>
        <w:t xml:space="preserve"> </w:t>
      </w:r>
      <w:r>
        <w:rPr>
          <w:color w:val="231F20"/>
          <w:w w:val="95"/>
        </w:rPr>
        <w:t>venues.</w:t>
      </w:r>
      <w:r>
        <w:rPr>
          <w:color w:val="231F20"/>
          <w:spacing w:val="29"/>
        </w:rPr>
        <w:t xml:space="preserve"> </w:t>
      </w:r>
      <w:r>
        <w:rPr>
          <w:color w:val="231F20"/>
          <w:w w:val="95"/>
        </w:rPr>
        <w:t>The</w:t>
      </w:r>
      <w:r>
        <w:rPr>
          <w:color w:val="231F20"/>
          <w:spacing w:val="29"/>
        </w:rPr>
        <w:t xml:space="preserve"> </w:t>
      </w:r>
      <w:r>
        <w:rPr>
          <w:color w:val="231F20"/>
          <w:w w:val="95"/>
        </w:rPr>
        <w:t xml:space="preserve">attractiveness of the sport and the location (destination) where the sport takes place may </w:t>
      </w:r>
      <w:r>
        <w:rPr>
          <w:color w:val="231F20"/>
        </w:rPr>
        <w:t xml:space="preserve">in combination create a powerful tourism proposition (Higham, 2005), </w:t>
      </w:r>
      <w:r>
        <w:rPr>
          <w:color w:val="231F20"/>
          <w:w w:val="95"/>
        </w:rPr>
        <w:t xml:space="preserve">which can be further embellished through strategic branding, packaging, </w:t>
      </w:r>
      <w:r>
        <w:rPr>
          <w:color w:val="231F20"/>
        </w:rPr>
        <w:t>leveraging</w:t>
      </w:r>
      <w:r>
        <w:rPr>
          <w:color w:val="231F20"/>
          <w:spacing w:val="8"/>
        </w:rPr>
        <w:t xml:space="preserve"> </w:t>
      </w:r>
      <w:r>
        <w:rPr>
          <w:color w:val="231F20"/>
        </w:rPr>
        <w:t>and</w:t>
      </w:r>
      <w:r>
        <w:rPr>
          <w:color w:val="231F20"/>
          <w:spacing w:val="9"/>
        </w:rPr>
        <w:t xml:space="preserve"> </w:t>
      </w:r>
      <w:r>
        <w:rPr>
          <w:color w:val="231F20"/>
        </w:rPr>
        <w:t>bundling</w:t>
      </w:r>
      <w:r>
        <w:rPr>
          <w:color w:val="231F20"/>
          <w:spacing w:val="9"/>
        </w:rPr>
        <w:t xml:space="preserve"> </w:t>
      </w:r>
      <w:r>
        <w:rPr>
          <w:color w:val="231F20"/>
        </w:rPr>
        <w:t>initiatives</w:t>
      </w:r>
      <w:r>
        <w:rPr>
          <w:color w:val="231F20"/>
          <w:spacing w:val="9"/>
        </w:rPr>
        <w:t xml:space="preserve"> </w:t>
      </w:r>
      <w:r>
        <w:rPr>
          <w:color w:val="231F20"/>
        </w:rPr>
        <w:t>(Chalip,</w:t>
      </w:r>
      <w:r>
        <w:rPr>
          <w:color w:val="231F20"/>
          <w:spacing w:val="9"/>
        </w:rPr>
        <w:t xml:space="preserve"> </w:t>
      </w:r>
      <w:r>
        <w:rPr>
          <w:color w:val="231F20"/>
        </w:rPr>
        <w:t>2006;</w:t>
      </w:r>
      <w:r>
        <w:rPr>
          <w:color w:val="231F20"/>
          <w:spacing w:val="9"/>
        </w:rPr>
        <w:t xml:space="preserve"> </w:t>
      </w:r>
      <w:r>
        <w:rPr>
          <w:color w:val="231F20"/>
        </w:rPr>
        <w:t>Chalip</w:t>
      </w:r>
      <w:r>
        <w:rPr>
          <w:color w:val="231F20"/>
          <w:spacing w:val="9"/>
        </w:rPr>
        <w:t xml:space="preserve"> </w:t>
      </w:r>
      <w:r>
        <w:rPr>
          <w:color w:val="231F20"/>
        </w:rPr>
        <w:t>&amp;</w:t>
      </w:r>
      <w:r>
        <w:rPr>
          <w:color w:val="231F20"/>
          <w:spacing w:val="9"/>
        </w:rPr>
        <w:t xml:space="preserve"> </w:t>
      </w:r>
      <w:r>
        <w:rPr>
          <w:color w:val="231F20"/>
        </w:rPr>
        <w:t>Costa,</w:t>
      </w:r>
      <w:r>
        <w:rPr>
          <w:color w:val="231F20"/>
          <w:spacing w:val="9"/>
        </w:rPr>
        <w:t xml:space="preserve"> </w:t>
      </w:r>
      <w:r>
        <w:rPr>
          <w:color w:val="231F20"/>
          <w:spacing w:val="-2"/>
        </w:rPr>
        <w:t>2005;</w:t>
      </w:r>
    </w:p>
    <w:p w14:paraId="32616D2B" w14:textId="77777777" w:rsidR="00AE0598" w:rsidRDefault="0069255A">
      <w:pPr>
        <w:pStyle w:val="Corpodetexto"/>
        <w:spacing w:before="23" w:line="232" w:lineRule="auto"/>
        <w:ind w:left="110" w:right="127"/>
        <w:jc w:val="both"/>
      </w:pPr>
      <w:r>
        <w:rPr>
          <w:color w:val="231F20"/>
        </w:rPr>
        <w:t xml:space="preserve">Chalip &amp; McGuirty, 2004; O’Brien, 2007). These factors, in combination, </w:t>
      </w:r>
      <w:r>
        <w:rPr>
          <w:color w:val="231F20"/>
          <w:w w:val="95"/>
        </w:rPr>
        <w:t xml:space="preserve">can significantly enhance the spatial range and travel flows associated with </w:t>
      </w:r>
      <w:r>
        <w:rPr>
          <w:color w:val="231F20"/>
        </w:rPr>
        <w:t>sport phenomena.</w:t>
      </w:r>
    </w:p>
    <w:p w14:paraId="5EA5DD1E" w14:textId="77777777" w:rsidR="00AE0598" w:rsidRDefault="00AE0598">
      <w:pPr>
        <w:pStyle w:val="Corpodetexto"/>
        <w:spacing w:before="3"/>
      </w:pPr>
    </w:p>
    <w:p w14:paraId="1C20A137" w14:textId="77777777" w:rsidR="00AE0598" w:rsidRDefault="0069255A">
      <w:pPr>
        <w:ind w:left="110"/>
        <w:jc w:val="both"/>
        <w:rPr>
          <w:rFonts w:ascii="Trebuchet MS"/>
          <w:sz w:val="20"/>
        </w:rPr>
      </w:pPr>
      <w:r>
        <w:rPr>
          <w:rFonts w:ascii="Trebuchet MS"/>
          <w:color w:val="231F20"/>
          <w:sz w:val="20"/>
        </w:rPr>
        <w:t>Sport</w:t>
      </w:r>
      <w:r>
        <w:rPr>
          <w:rFonts w:ascii="Trebuchet MS"/>
          <w:color w:val="231F20"/>
          <w:spacing w:val="17"/>
          <w:sz w:val="20"/>
        </w:rPr>
        <w:t xml:space="preserve"> </w:t>
      </w:r>
      <w:r>
        <w:rPr>
          <w:rFonts w:ascii="Trebuchet MS"/>
          <w:color w:val="231F20"/>
          <w:sz w:val="20"/>
        </w:rPr>
        <w:t>locations,</w:t>
      </w:r>
      <w:r>
        <w:rPr>
          <w:rFonts w:ascii="Trebuchet MS"/>
          <w:color w:val="231F20"/>
          <w:spacing w:val="17"/>
          <w:sz w:val="20"/>
        </w:rPr>
        <w:t xml:space="preserve"> </w:t>
      </w:r>
      <w:r>
        <w:rPr>
          <w:rFonts w:ascii="Trebuchet MS"/>
          <w:color w:val="231F20"/>
          <w:sz w:val="20"/>
        </w:rPr>
        <w:t>location</w:t>
      </w:r>
      <w:r>
        <w:rPr>
          <w:rFonts w:ascii="Trebuchet MS"/>
          <w:color w:val="231F20"/>
          <w:spacing w:val="17"/>
          <w:sz w:val="20"/>
        </w:rPr>
        <w:t xml:space="preserve"> </w:t>
      </w:r>
      <w:r>
        <w:rPr>
          <w:rFonts w:ascii="Trebuchet MS"/>
          <w:color w:val="231F20"/>
          <w:sz w:val="20"/>
        </w:rPr>
        <w:t>hierarchies</w:t>
      </w:r>
      <w:r>
        <w:rPr>
          <w:rFonts w:ascii="Trebuchet MS"/>
          <w:color w:val="231F20"/>
          <w:spacing w:val="17"/>
          <w:sz w:val="20"/>
        </w:rPr>
        <w:t xml:space="preserve"> </w:t>
      </w:r>
      <w:r>
        <w:rPr>
          <w:rFonts w:ascii="Trebuchet MS"/>
          <w:color w:val="231F20"/>
          <w:sz w:val="20"/>
        </w:rPr>
        <w:t>an</w:t>
      </w:r>
      <w:r>
        <w:rPr>
          <w:rFonts w:ascii="Trebuchet MS"/>
          <w:color w:val="231F20"/>
          <w:sz w:val="20"/>
        </w:rPr>
        <w:t>d</w:t>
      </w:r>
      <w:r>
        <w:rPr>
          <w:rFonts w:ascii="Trebuchet MS"/>
          <w:color w:val="231F20"/>
          <w:spacing w:val="17"/>
          <w:sz w:val="20"/>
        </w:rPr>
        <w:t xml:space="preserve"> </w:t>
      </w:r>
      <w:r>
        <w:rPr>
          <w:rFonts w:ascii="Trebuchet MS"/>
          <w:color w:val="231F20"/>
          <w:spacing w:val="-2"/>
          <w:sz w:val="20"/>
        </w:rPr>
        <w:t>tourism</w:t>
      </w:r>
    </w:p>
    <w:p w14:paraId="2AD5823D" w14:textId="77777777" w:rsidR="00AE0598" w:rsidRDefault="0069255A">
      <w:pPr>
        <w:pStyle w:val="Corpodetexto"/>
        <w:spacing w:before="122" w:line="232" w:lineRule="auto"/>
        <w:ind w:left="110" w:right="127" w:firstLine="320"/>
        <w:jc w:val="both"/>
      </w:pPr>
      <w:r>
        <w:rPr>
          <w:color w:val="231F20"/>
        </w:rPr>
        <w:t xml:space="preserve">Modern sports exist in a continual state of change. The dynamics of </w:t>
      </w:r>
      <w:r>
        <w:rPr>
          <w:color w:val="231F20"/>
          <w:w w:val="95"/>
        </w:rPr>
        <w:t>change</w:t>
      </w:r>
      <w:r>
        <w:rPr>
          <w:color w:val="231F20"/>
          <w:spacing w:val="-3"/>
          <w:w w:val="95"/>
        </w:rPr>
        <w:t xml:space="preserve"> </w:t>
      </w:r>
      <w:r>
        <w:rPr>
          <w:color w:val="231F20"/>
          <w:w w:val="95"/>
        </w:rPr>
        <w:t>are</w:t>
      </w:r>
      <w:r>
        <w:rPr>
          <w:color w:val="231F20"/>
          <w:spacing w:val="-3"/>
          <w:w w:val="95"/>
        </w:rPr>
        <w:t xml:space="preserve"> </w:t>
      </w:r>
      <w:r>
        <w:rPr>
          <w:color w:val="231F20"/>
          <w:w w:val="95"/>
        </w:rPr>
        <w:t>often</w:t>
      </w:r>
      <w:r>
        <w:rPr>
          <w:color w:val="231F20"/>
          <w:spacing w:val="-3"/>
          <w:w w:val="95"/>
        </w:rPr>
        <w:t xml:space="preserve"> </w:t>
      </w:r>
      <w:r>
        <w:rPr>
          <w:color w:val="231F20"/>
          <w:w w:val="95"/>
        </w:rPr>
        <w:t>driven</w:t>
      </w:r>
      <w:r>
        <w:rPr>
          <w:color w:val="231F20"/>
          <w:spacing w:val="-3"/>
          <w:w w:val="95"/>
        </w:rPr>
        <w:t xml:space="preserve"> </w:t>
      </w:r>
      <w:r>
        <w:rPr>
          <w:color w:val="231F20"/>
          <w:w w:val="95"/>
        </w:rPr>
        <w:t>by</w:t>
      </w:r>
      <w:r>
        <w:rPr>
          <w:color w:val="231F20"/>
          <w:spacing w:val="-3"/>
          <w:w w:val="95"/>
        </w:rPr>
        <w:t xml:space="preserve"> </w:t>
      </w:r>
      <w:r>
        <w:rPr>
          <w:color w:val="231F20"/>
          <w:w w:val="95"/>
        </w:rPr>
        <w:t>economic</w:t>
      </w:r>
      <w:r>
        <w:rPr>
          <w:color w:val="231F20"/>
          <w:spacing w:val="-3"/>
          <w:w w:val="95"/>
        </w:rPr>
        <w:t xml:space="preserve"> </w:t>
      </w:r>
      <w:r>
        <w:rPr>
          <w:color w:val="231F20"/>
          <w:w w:val="95"/>
        </w:rPr>
        <w:t>processes</w:t>
      </w:r>
      <w:r>
        <w:rPr>
          <w:color w:val="231F20"/>
          <w:spacing w:val="-3"/>
          <w:w w:val="95"/>
        </w:rPr>
        <w:t xml:space="preserve"> </w:t>
      </w:r>
      <w:r>
        <w:rPr>
          <w:color w:val="231F20"/>
          <w:w w:val="95"/>
        </w:rPr>
        <w:t>that</w:t>
      </w:r>
      <w:r>
        <w:rPr>
          <w:color w:val="231F20"/>
          <w:spacing w:val="-3"/>
          <w:w w:val="95"/>
        </w:rPr>
        <w:t xml:space="preserve"> </w:t>
      </w:r>
      <w:r>
        <w:rPr>
          <w:color w:val="231F20"/>
          <w:w w:val="95"/>
        </w:rPr>
        <w:t>bear</w:t>
      </w:r>
      <w:r>
        <w:rPr>
          <w:color w:val="231F20"/>
          <w:spacing w:val="-3"/>
          <w:w w:val="95"/>
        </w:rPr>
        <w:t xml:space="preserve"> </w:t>
      </w:r>
      <w:r>
        <w:rPr>
          <w:color w:val="231F20"/>
          <w:w w:val="95"/>
        </w:rPr>
        <w:t>upon</w:t>
      </w:r>
      <w:r>
        <w:rPr>
          <w:color w:val="231F20"/>
          <w:spacing w:val="-3"/>
          <w:w w:val="95"/>
        </w:rPr>
        <w:t xml:space="preserve"> </w:t>
      </w:r>
      <w:r>
        <w:rPr>
          <w:color w:val="231F20"/>
          <w:w w:val="95"/>
        </w:rPr>
        <w:t>the</w:t>
      </w:r>
      <w:r>
        <w:rPr>
          <w:color w:val="231F20"/>
          <w:spacing w:val="-3"/>
          <w:w w:val="95"/>
        </w:rPr>
        <w:t xml:space="preserve"> </w:t>
      </w:r>
      <w:r>
        <w:rPr>
          <w:color w:val="231F20"/>
          <w:w w:val="95"/>
        </w:rPr>
        <w:t>structure of</w:t>
      </w:r>
      <w:r>
        <w:rPr>
          <w:color w:val="231F20"/>
          <w:spacing w:val="-7"/>
          <w:w w:val="95"/>
        </w:rPr>
        <w:t xml:space="preserve"> </w:t>
      </w:r>
      <w:r>
        <w:rPr>
          <w:color w:val="231F20"/>
          <w:w w:val="95"/>
        </w:rPr>
        <w:t>competitive</w:t>
      </w:r>
      <w:r>
        <w:rPr>
          <w:color w:val="231F20"/>
          <w:spacing w:val="-7"/>
          <w:w w:val="95"/>
        </w:rPr>
        <w:t xml:space="preserve"> </w:t>
      </w:r>
      <w:r>
        <w:rPr>
          <w:color w:val="231F20"/>
          <w:w w:val="95"/>
        </w:rPr>
        <w:t>sports</w:t>
      </w:r>
      <w:r>
        <w:rPr>
          <w:color w:val="231F20"/>
          <w:spacing w:val="-7"/>
          <w:w w:val="95"/>
        </w:rPr>
        <w:t xml:space="preserve"> </w:t>
      </w:r>
      <w:r>
        <w:rPr>
          <w:color w:val="231F20"/>
          <w:w w:val="95"/>
        </w:rPr>
        <w:t>(e.g.</w:t>
      </w:r>
      <w:r>
        <w:rPr>
          <w:color w:val="231F20"/>
          <w:spacing w:val="-7"/>
          <w:w w:val="95"/>
        </w:rPr>
        <w:t xml:space="preserve"> </w:t>
      </w:r>
      <w:r>
        <w:rPr>
          <w:color w:val="231F20"/>
          <w:w w:val="95"/>
        </w:rPr>
        <w:t>the</w:t>
      </w:r>
      <w:r>
        <w:rPr>
          <w:color w:val="231F20"/>
          <w:spacing w:val="-7"/>
          <w:w w:val="95"/>
        </w:rPr>
        <w:t xml:space="preserve"> </w:t>
      </w:r>
      <w:r>
        <w:rPr>
          <w:color w:val="231F20"/>
          <w:w w:val="95"/>
        </w:rPr>
        <w:t>development</w:t>
      </w:r>
      <w:r>
        <w:rPr>
          <w:color w:val="231F20"/>
          <w:spacing w:val="-7"/>
          <w:w w:val="95"/>
        </w:rPr>
        <w:t xml:space="preserve"> </w:t>
      </w:r>
      <w:r>
        <w:rPr>
          <w:color w:val="231F20"/>
          <w:w w:val="95"/>
        </w:rPr>
        <w:t>of</w:t>
      </w:r>
      <w:r>
        <w:rPr>
          <w:color w:val="231F20"/>
          <w:spacing w:val="-7"/>
          <w:w w:val="95"/>
        </w:rPr>
        <w:t xml:space="preserve"> </w:t>
      </w:r>
      <w:r>
        <w:rPr>
          <w:color w:val="231F20"/>
          <w:w w:val="95"/>
        </w:rPr>
        <w:t>new</w:t>
      </w:r>
      <w:r>
        <w:rPr>
          <w:color w:val="231F20"/>
          <w:spacing w:val="-7"/>
          <w:w w:val="95"/>
        </w:rPr>
        <w:t xml:space="preserve"> </w:t>
      </w:r>
      <w:r>
        <w:rPr>
          <w:color w:val="231F20"/>
          <w:w w:val="95"/>
        </w:rPr>
        <w:t>league</w:t>
      </w:r>
      <w:r>
        <w:rPr>
          <w:color w:val="231F20"/>
          <w:spacing w:val="-7"/>
          <w:w w:val="95"/>
        </w:rPr>
        <w:t xml:space="preserve"> </w:t>
      </w:r>
      <w:r>
        <w:rPr>
          <w:color w:val="231F20"/>
          <w:w w:val="95"/>
        </w:rPr>
        <w:t>competitions),</w:t>
      </w:r>
      <w:r>
        <w:rPr>
          <w:color w:val="231F20"/>
          <w:spacing w:val="-7"/>
          <w:w w:val="95"/>
        </w:rPr>
        <w:t xml:space="preserve"> </w:t>
      </w:r>
      <w:r>
        <w:rPr>
          <w:color w:val="231F20"/>
          <w:w w:val="95"/>
        </w:rPr>
        <w:t xml:space="preserve">the location of sport facilities, the changing distribution of nature-based sports resources and the rise and fall of sport attractions. Bale (1989: 77) refers to </w:t>
      </w:r>
      <w:r>
        <w:rPr>
          <w:color w:val="231F20"/>
        </w:rPr>
        <w:t>‘the</w:t>
      </w:r>
      <w:r>
        <w:rPr>
          <w:color w:val="231F20"/>
          <w:spacing w:val="-9"/>
        </w:rPr>
        <w:t xml:space="preserve"> </w:t>
      </w:r>
      <w:r>
        <w:rPr>
          <w:color w:val="231F20"/>
        </w:rPr>
        <w:t>growth</w:t>
      </w:r>
      <w:r>
        <w:rPr>
          <w:color w:val="231F20"/>
          <w:spacing w:val="-9"/>
        </w:rPr>
        <w:t xml:space="preserve"> </w:t>
      </w:r>
      <w:r>
        <w:rPr>
          <w:color w:val="231F20"/>
        </w:rPr>
        <w:t>and</w:t>
      </w:r>
      <w:r>
        <w:rPr>
          <w:color w:val="231F20"/>
          <w:spacing w:val="-9"/>
        </w:rPr>
        <w:t xml:space="preserve"> </w:t>
      </w:r>
      <w:r>
        <w:rPr>
          <w:color w:val="231F20"/>
        </w:rPr>
        <w:t>decline</w:t>
      </w:r>
      <w:r>
        <w:rPr>
          <w:color w:val="231F20"/>
          <w:spacing w:val="-9"/>
        </w:rPr>
        <w:t xml:space="preserve"> </w:t>
      </w:r>
      <w:r>
        <w:rPr>
          <w:color w:val="231F20"/>
        </w:rPr>
        <w:t>in</w:t>
      </w:r>
      <w:r>
        <w:rPr>
          <w:color w:val="231F20"/>
          <w:spacing w:val="-9"/>
        </w:rPr>
        <w:t xml:space="preserve"> </w:t>
      </w:r>
      <w:r>
        <w:rPr>
          <w:color w:val="231F20"/>
        </w:rPr>
        <w:t>importance</w:t>
      </w:r>
      <w:r>
        <w:rPr>
          <w:color w:val="231F20"/>
          <w:spacing w:val="-9"/>
        </w:rPr>
        <w:t xml:space="preserve"> </w:t>
      </w:r>
      <w:r>
        <w:rPr>
          <w:color w:val="231F20"/>
        </w:rPr>
        <w:t>of</w:t>
      </w:r>
      <w:r>
        <w:rPr>
          <w:color w:val="231F20"/>
          <w:spacing w:val="-9"/>
        </w:rPr>
        <w:t xml:space="preserve"> </w:t>
      </w:r>
      <w:r>
        <w:rPr>
          <w:color w:val="231F20"/>
        </w:rPr>
        <w:t>different</w:t>
      </w:r>
      <w:r>
        <w:rPr>
          <w:color w:val="231F20"/>
          <w:spacing w:val="-9"/>
        </w:rPr>
        <w:t xml:space="preserve"> </w:t>
      </w:r>
      <w:r>
        <w:rPr>
          <w:color w:val="231F20"/>
        </w:rPr>
        <w:t>sport</w:t>
      </w:r>
      <w:r>
        <w:rPr>
          <w:color w:val="231F20"/>
          <w:spacing w:val="-9"/>
        </w:rPr>
        <w:t xml:space="preserve"> </w:t>
      </w:r>
      <w:r>
        <w:rPr>
          <w:color w:val="231F20"/>
        </w:rPr>
        <w:t>locations’,</w:t>
      </w:r>
      <w:r>
        <w:rPr>
          <w:color w:val="231F20"/>
          <w:spacing w:val="-9"/>
        </w:rPr>
        <w:t xml:space="preserve"> </w:t>
      </w:r>
      <w:r>
        <w:rPr>
          <w:color w:val="231F20"/>
        </w:rPr>
        <w:t xml:space="preserve">which </w:t>
      </w:r>
      <w:r>
        <w:rPr>
          <w:color w:val="231F20"/>
          <w:w w:val="95"/>
        </w:rPr>
        <w:t>parallels Butler’s</w:t>
      </w:r>
      <w:r>
        <w:rPr>
          <w:color w:val="231F20"/>
          <w:w w:val="95"/>
        </w:rPr>
        <w:t xml:space="preserve"> (1980, 2006) tourist area life cycle theory (Chapter 10). These dynamics have implications for the scale of the player and spectator </w:t>
      </w:r>
      <w:r>
        <w:rPr>
          <w:color w:val="231F20"/>
        </w:rPr>
        <w:t>catchments. Within the ranks of professional sports, the limitations associated with only drawing players from areas nearb</w:t>
      </w:r>
      <w:r>
        <w:rPr>
          <w:color w:val="231F20"/>
        </w:rPr>
        <w:t xml:space="preserve">y the home team site are alleviated through external recruitment (regional, national or </w:t>
      </w:r>
      <w:r>
        <w:rPr>
          <w:color w:val="231F20"/>
          <w:w w:val="95"/>
        </w:rPr>
        <w:t>global), player transfers and draft schemes. The spectator catchment, and the</w:t>
      </w:r>
      <w:r>
        <w:rPr>
          <w:color w:val="231F20"/>
          <w:spacing w:val="-4"/>
          <w:w w:val="95"/>
        </w:rPr>
        <w:t xml:space="preserve"> </w:t>
      </w:r>
      <w:r>
        <w:rPr>
          <w:color w:val="231F20"/>
          <w:w w:val="95"/>
        </w:rPr>
        <w:t>propensity</w:t>
      </w:r>
      <w:r>
        <w:rPr>
          <w:color w:val="231F20"/>
          <w:spacing w:val="-4"/>
          <w:w w:val="95"/>
        </w:rPr>
        <w:t xml:space="preserve"> </w:t>
      </w:r>
      <w:r>
        <w:rPr>
          <w:color w:val="231F20"/>
          <w:w w:val="95"/>
        </w:rPr>
        <w:t>for</w:t>
      </w:r>
      <w:r>
        <w:rPr>
          <w:color w:val="231F20"/>
          <w:spacing w:val="-4"/>
          <w:w w:val="95"/>
        </w:rPr>
        <w:t xml:space="preserve"> </w:t>
      </w:r>
      <w:r>
        <w:rPr>
          <w:color w:val="231F20"/>
          <w:w w:val="95"/>
        </w:rPr>
        <w:t>residents</w:t>
      </w:r>
      <w:r>
        <w:rPr>
          <w:color w:val="231F20"/>
          <w:spacing w:val="-4"/>
          <w:w w:val="95"/>
        </w:rPr>
        <w:t xml:space="preserve"> </w:t>
      </w:r>
      <w:r>
        <w:rPr>
          <w:color w:val="231F20"/>
          <w:w w:val="95"/>
        </w:rPr>
        <w:t>and</w:t>
      </w:r>
      <w:r>
        <w:rPr>
          <w:color w:val="231F20"/>
          <w:spacing w:val="-4"/>
          <w:w w:val="95"/>
        </w:rPr>
        <w:t xml:space="preserve"> </w:t>
      </w:r>
      <w:r>
        <w:rPr>
          <w:color w:val="231F20"/>
          <w:w w:val="95"/>
        </w:rPr>
        <w:t>non-residents</w:t>
      </w:r>
      <w:r>
        <w:rPr>
          <w:color w:val="231F20"/>
          <w:spacing w:val="-4"/>
          <w:w w:val="95"/>
        </w:rPr>
        <w:t xml:space="preserve"> </w:t>
      </w:r>
      <w:r>
        <w:rPr>
          <w:color w:val="231F20"/>
          <w:w w:val="95"/>
        </w:rPr>
        <w:t>in</w:t>
      </w:r>
      <w:r>
        <w:rPr>
          <w:color w:val="231F20"/>
          <w:spacing w:val="-4"/>
          <w:w w:val="95"/>
        </w:rPr>
        <w:t xml:space="preserve"> </w:t>
      </w:r>
      <w:r>
        <w:rPr>
          <w:color w:val="231F20"/>
          <w:w w:val="95"/>
        </w:rPr>
        <w:t>different</w:t>
      </w:r>
      <w:r>
        <w:rPr>
          <w:color w:val="231F20"/>
          <w:spacing w:val="-4"/>
          <w:w w:val="95"/>
        </w:rPr>
        <w:t xml:space="preserve"> </w:t>
      </w:r>
      <w:r>
        <w:rPr>
          <w:color w:val="231F20"/>
          <w:w w:val="95"/>
        </w:rPr>
        <w:t>regions</w:t>
      </w:r>
      <w:r>
        <w:rPr>
          <w:color w:val="231F20"/>
          <w:spacing w:val="-4"/>
          <w:w w:val="95"/>
        </w:rPr>
        <w:t xml:space="preserve"> </w:t>
      </w:r>
      <w:r>
        <w:rPr>
          <w:color w:val="231F20"/>
          <w:w w:val="95"/>
        </w:rPr>
        <w:t>to</w:t>
      </w:r>
      <w:r>
        <w:rPr>
          <w:color w:val="231F20"/>
          <w:spacing w:val="-4"/>
          <w:w w:val="95"/>
        </w:rPr>
        <w:t xml:space="preserve"> </w:t>
      </w:r>
      <w:r>
        <w:rPr>
          <w:color w:val="231F20"/>
          <w:w w:val="95"/>
        </w:rPr>
        <w:t xml:space="preserve">attend </w:t>
      </w:r>
      <w:r>
        <w:rPr>
          <w:color w:val="231F20"/>
        </w:rPr>
        <w:t>live</w:t>
      </w:r>
      <w:r>
        <w:rPr>
          <w:color w:val="231F20"/>
          <w:spacing w:val="-4"/>
        </w:rPr>
        <w:t xml:space="preserve"> </w:t>
      </w:r>
      <w:r>
        <w:rPr>
          <w:color w:val="231F20"/>
        </w:rPr>
        <w:t>sport,</w:t>
      </w:r>
      <w:r>
        <w:rPr>
          <w:color w:val="231F20"/>
          <w:spacing w:val="-4"/>
        </w:rPr>
        <w:t xml:space="preserve"> </w:t>
      </w:r>
      <w:r>
        <w:rPr>
          <w:color w:val="231F20"/>
        </w:rPr>
        <w:t>is</w:t>
      </w:r>
      <w:r>
        <w:rPr>
          <w:color w:val="231F20"/>
          <w:spacing w:val="-4"/>
        </w:rPr>
        <w:t xml:space="preserve"> </w:t>
      </w:r>
      <w:r>
        <w:rPr>
          <w:color w:val="231F20"/>
        </w:rPr>
        <w:t>a</w:t>
      </w:r>
      <w:r>
        <w:rPr>
          <w:color w:val="231F20"/>
          <w:spacing w:val="-4"/>
        </w:rPr>
        <w:t xml:space="preserve"> </w:t>
      </w:r>
      <w:r>
        <w:rPr>
          <w:color w:val="231F20"/>
        </w:rPr>
        <w:t>separate</w:t>
      </w:r>
      <w:r>
        <w:rPr>
          <w:color w:val="231F20"/>
          <w:spacing w:val="-4"/>
        </w:rPr>
        <w:t xml:space="preserve"> </w:t>
      </w:r>
      <w:r>
        <w:rPr>
          <w:color w:val="231F20"/>
        </w:rPr>
        <w:t>but</w:t>
      </w:r>
      <w:r>
        <w:rPr>
          <w:color w:val="231F20"/>
          <w:spacing w:val="-4"/>
        </w:rPr>
        <w:t xml:space="preserve"> </w:t>
      </w:r>
      <w:r>
        <w:rPr>
          <w:color w:val="231F20"/>
        </w:rPr>
        <w:t>similar</w:t>
      </w:r>
      <w:r>
        <w:rPr>
          <w:color w:val="231F20"/>
          <w:spacing w:val="-4"/>
        </w:rPr>
        <w:t xml:space="preserve"> </w:t>
      </w:r>
      <w:r>
        <w:rPr>
          <w:color w:val="231F20"/>
        </w:rPr>
        <w:t>issue</w:t>
      </w:r>
      <w:r>
        <w:rPr>
          <w:color w:val="231F20"/>
          <w:spacing w:val="-4"/>
        </w:rPr>
        <w:t xml:space="preserve"> </w:t>
      </w:r>
      <w:r>
        <w:rPr>
          <w:color w:val="231F20"/>
        </w:rPr>
        <w:t>that</w:t>
      </w:r>
      <w:r>
        <w:rPr>
          <w:color w:val="231F20"/>
          <w:spacing w:val="-4"/>
        </w:rPr>
        <w:t xml:space="preserve"> </w:t>
      </w:r>
      <w:r>
        <w:rPr>
          <w:color w:val="231F20"/>
        </w:rPr>
        <w:t>is</w:t>
      </w:r>
      <w:r>
        <w:rPr>
          <w:color w:val="231F20"/>
          <w:spacing w:val="-4"/>
        </w:rPr>
        <w:t xml:space="preserve"> </w:t>
      </w:r>
      <w:r>
        <w:rPr>
          <w:color w:val="231F20"/>
        </w:rPr>
        <w:t>of</w:t>
      </w:r>
      <w:r>
        <w:rPr>
          <w:color w:val="231F20"/>
          <w:spacing w:val="-4"/>
        </w:rPr>
        <w:t xml:space="preserve"> </w:t>
      </w:r>
      <w:r>
        <w:rPr>
          <w:color w:val="231F20"/>
        </w:rPr>
        <w:t>particular</w:t>
      </w:r>
      <w:r>
        <w:rPr>
          <w:color w:val="231F20"/>
          <w:spacing w:val="-4"/>
        </w:rPr>
        <w:t xml:space="preserve"> </w:t>
      </w:r>
      <w:r>
        <w:rPr>
          <w:color w:val="231F20"/>
        </w:rPr>
        <w:t>relevance</w:t>
      </w:r>
      <w:r>
        <w:rPr>
          <w:color w:val="231F20"/>
          <w:spacing w:val="-4"/>
        </w:rPr>
        <w:t xml:space="preserve"> </w:t>
      </w:r>
      <w:r>
        <w:rPr>
          <w:color w:val="231F20"/>
        </w:rPr>
        <w:t xml:space="preserve">to </w:t>
      </w:r>
      <w:r>
        <w:rPr>
          <w:color w:val="231F20"/>
          <w:w w:val="95"/>
        </w:rPr>
        <w:t xml:space="preserve">sports marketing managers. Professional sports franchises seek to attract </w:t>
      </w:r>
      <w:r>
        <w:rPr>
          <w:color w:val="231F20"/>
        </w:rPr>
        <w:t>the best athletes to their players’ roster and, simultaneously, build and retain</w:t>
      </w:r>
      <w:r>
        <w:rPr>
          <w:color w:val="231F20"/>
          <w:spacing w:val="-5"/>
        </w:rPr>
        <w:t xml:space="preserve"> </w:t>
      </w:r>
      <w:r>
        <w:rPr>
          <w:color w:val="231F20"/>
        </w:rPr>
        <w:t>the</w:t>
      </w:r>
      <w:r>
        <w:rPr>
          <w:color w:val="231F20"/>
          <w:spacing w:val="-5"/>
        </w:rPr>
        <w:t xml:space="preserve"> </w:t>
      </w:r>
      <w:r>
        <w:rPr>
          <w:color w:val="231F20"/>
        </w:rPr>
        <w:t>widest</w:t>
      </w:r>
      <w:r>
        <w:rPr>
          <w:color w:val="231F20"/>
          <w:spacing w:val="-5"/>
        </w:rPr>
        <w:t xml:space="preserve"> </w:t>
      </w:r>
      <w:r>
        <w:rPr>
          <w:color w:val="231F20"/>
        </w:rPr>
        <w:t>possible</w:t>
      </w:r>
      <w:r>
        <w:rPr>
          <w:color w:val="231F20"/>
          <w:spacing w:val="-5"/>
        </w:rPr>
        <w:t xml:space="preserve"> </w:t>
      </w:r>
      <w:r>
        <w:rPr>
          <w:color w:val="231F20"/>
        </w:rPr>
        <w:t>catchment</w:t>
      </w:r>
      <w:r>
        <w:rPr>
          <w:color w:val="231F20"/>
          <w:spacing w:val="-5"/>
        </w:rPr>
        <w:t xml:space="preserve"> </w:t>
      </w:r>
      <w:r>
        <w:rPr>
          <w:color w:val="231F20"/>
        </w:rPr>
        <w:t>of</w:t>
      </w:r>
      <w:r>
        <w:rPr>
          <w:color w:val="231F20"/>
          <w:spacing w:val="-5"/>
        </w:rPr>
        <w:t xml:space="preserve"> </w:t>
      </w:r>
      <w:r>
        <w:rPr>
          <w:color w:val="231F20"/>
        </w:rPr>
        <w:t>fans.</w:t>
      </w:r>
      <w:r>
        <w:rPr>
          <w:color w:val="231F20"/>
          <w:spacing w:val="-5"/>
        </w:rPr>
        <w:t xml:space="preserve"> </w:t>
      </w:r>
      <w:r>
        <w:rPr>
          <w:color w:val="231F20"/>
        </w:rPr>
        <w:t>Interests</w:t>
      </w:r>
      <w:r>
        <w:rPr>
          <w:color w:val="231F20"/>
          <w:spacing w:val="-5"/>
        </w:rPr>
        <w:t xml:space="preserve"> </w:t>
      </w:r>
      <w:r>
        <w:rPr>
          <w:color w:val="231F20"/>
        </w:rPr>
        <w:t>in</w:t>
      </w:r>
      <w:r>
        <w:rPr>
          <w:color w:val="231F20"/>
          <w:spacing w:val="-5"/>
        </w:rPr>
        <w:t xml:space="preserve"> </w:t>
      </w:r>
      <w:r>
        <w:rPr>
          <w:color w:val="231F20"/>
        </w:rPr>
        <w:t>building</w:t>
      </w:r>
      <w:r>
        <w:rPr>
          <w:color w:val="231F20"/>
          <w:spacing w:val="-5"/>
        </w:rPr>
        <w:t xml:space="preserve"> </w:t>
      </w:r>
      <w:r>
        <w:rPr>
          <w:color w:val="231F20"/>
        </w:rPr>
        <w:t>a</w:t>
      </w:r>
      <w:r>
        <w:rPr>
          <w:color w:val="231F20"/>
          <w:spacing w:val="-5"/>
        </w:rPr>
        <w:t xml:space="preserve"> </w:t>
      </w:r>
      <w:r>
        <w:rPr>
          <w:color w:val="231F20"/>
        </w:rPr>
        <w:t>team profile and supporter base beyond the geographical area that the team actually represents may be significan</w:t>
      </w:r>
      <w:r>
        <w:rPr>
          <w:color w:val="231F20"/>
        </w:rPr>
        <w:t>tly advanced in collaboration with tourism destination managers at sport locations.</w:t>
      </w:r>
    </w:p>
    <w:p w14:paraId="5BF22E08" w14:textId="77777777" w:rsidR="00AE0598" w:rsidRDefault="00AE0598">
      <w:pPr>
        <w:spacing w:line="232" w:lineRule="auto"/>
        <w:jc w:val="both"/>
        <w:sectPr w:rsidR="00AE0598">
          <w:pgSz w:w="8850" w:h="13270"/>
          <w:pgMar w:top="720" w:right="1060" w:bottom="280" w:left="1080" w:header="720" w:footer="720" w:gutter="0"/>
          <w:cols w:space="720"/>
        </w:sectPr>
      </w:pPr>
    </w:p>
    <w:p w14:paraId="74DCDADF" w14:textId="77777777" w:rsidR="00AE0598" w:rsidRDefault="0069255A">
      <w:pPr>
        <w:spacing w:before="87"/>
        <w:ind w:left="4148"/>
        <w:rPr>
          <w:rFonts w:ascii="Trebuchet MS"/>
          <w:sz w:val="14"/>
        </w:rPr>
      </w:pPr>
      <w:r>
        <w:rPr>
          <w:rFonts w:ascii="Trebuchet MS"/>
          <w:color w:val="231F20"/>
          <w:w w:val="105"/>
          <w:sz w:val="14"/>
        </w:rPr>
        <w:lastRenderedPageBreak/>
        <w:t>Space:</w:t>
      </w:r>
      <w:r>
        <w:rPr>
          <w:rFonts w:ascii="Trebuchet MS"/>
          <w:color w:val="231F20"/>
          <w:spacing w:val="-12"/>
          <w:w w:val="105"/>
          <w:sz w:val="14"/>
        </w:rPr>
        <w:t xml:space="preserve"> </w:t>
      </w:r>
      <w:r>
        <w:rPr>
          <w:rFonts w:ascii="Trebuchet MS"/>
          <w:color w:val="231F20"/>
          <w:w w:val="105"/>
          <w:sz w:val="14"/>
        </w:rPr>
        <w:t>Location</w:t>
      </w:r>
      <w:r>
        <w:rPr>
          <w:rFonts w:ascii="Trebuchet MS"/>
          <w:color w:val="231F20"/>
          <w:spacing w:val="-11"/>
          <w:w w:val="105"/>
          <w:sz w:val="14"/>
        </w:rPr>
        <w:t xml:space="preserve"> </w:t>
      </w:r>
      <w:r>
        <w:rPr>
          <w:rFonts w:ascii="Trebuchet MS"/>
          <w:color w:val="231F20"/>
          <w:w w:val="105"/>
          <w:sz w:val="14"/>
        </w:rPr>
        <w:t>and</w:t>
      </w:r>
      <w:r>
        <w:rPr>
          <w:rFonts w:ascii="Trebuchet MS"/>
          <w:color w:val="231F20"/>
          <w:spacing w:val="-11"/>
          <w:w w:val="105"/>
          <w:sz w:val="14"/>
        </w:rPr>
        <w:t xml:space="preserve"> </w:t>
      </w:r>
      <w:r>
        <w:rPr>
          <w:rFonts w:ascii="Trebuchet MS"/>
          <w:color w:val="231F20"/>
          <w:w w:val="105"/>
          <w:sz w:val="14"/>
        </w:rPr>
        <w:t>Travel</w:t>
      </w:r>
      <w:r>
        <w:rPr>
          <w:rFonts w:ascii="Trebuchet MS"/>
          <w:color w:val="231F20"/>
          <w:spacing w:val="-11"/>
          <w:w w:val="105"/>
          <w:sz w:val="14"/>
        </w:rPr>
        <w:t xml:space="preserve"> </w:t>
      </w:r>
      <w:r>
        <w:rPr>
          <w:rFonts w:ascii="Trebuchet MS"/>
          <w:color w:val="231F20"/>
          <w:w w:val="105"/>
          <w:sz w:val="14"/>
        </w:rPr>
        <w:t>Flows</w:t>
      </w:r>
      <w:r>
        <w:rPr>
          <w:rFonts w:ascii="Trebuchet MS"/>
          <w:color w:val="231F20"/>
          <w:spacing w:val="59"/>
          <w:w w:val="105"/>
          <w:sz w:val="14"/>
        </w:rPr>
        <w:t xml:space="preserve"> </w:t>
      </w:r>
      <w:r>
        <w:rPr>
          <w:rFonts w:ascii="Trebuchet MS"/>
          <w:color w:val="231F20"/>
          <w:spacing w:val="-5"/>
          <w:w w:val="105"/>
          <w:sz w:val="14"/>
        </w:rPr>
        <w:t>93</w:t>
      </w:r>
    </w:p>
    <w:p w14:paraId="57C5816A" w14:textId="77777777" w:rsidR="00AE0598" w:rsidRDefault="00AE0598">
      <w:pPr>
        <w:pStyle w:val="Corpodetexto"/>
        <w:rPr>
          <w:rFonts w:ascii="Trebuchet MS"/>
          <w:sz w:val="16"/>
        </w:rPr>
      </w:pPr>
    </w:p>
    <w:p w14:paraId="4F02A8A2" w14:textId="77777777" w:rsidR="00AE0598" w:rsidRDefault="0069255A">
      <w:pPr>
        <w:pStyle w:val="Corpodetexto"/>
        <w:spacing w:before="118" w:line="232" w:lineRule="auto"/>
        <w:ind w:left="110" w:right="127" w:firstLine="320"/>
        <w:jc w:val="both"/>
      </w:pPr>
      <w:r>
        <w:rPr>
          <w:color w:val="231F20"/>
          <w:w w:val="95"/>
        </w:rPr>
        <w:t>Central place theory lends itself very conveniently to the study of sport and tourism (Daniels, 2007). Sports attractions</w:t>
      </w:r>
      <w:r>
        <w:rPr>
          <w:color w:val="231F20"/>
          <w:w w:val="95"/>
        </w:rPr>
        <w:t xml:space="preserve"> exist within a hierarchical </w:t>
      </w:r>
      <w:r>
        <w:rPr>
          <w:color w:val="231F20"/>
        </w:rPr>
        <w:t xml:space="preserve">organisational structure (Table 5.1) in a similar fashion to other tourist </w:t>
      </w:r>
      <w:r>
        <w:rPr>
          <w:color w:val="231F20"/>
          <w:w w:val="95"/>
        </w:rPr>
        <w:t>attractions (Leiper, 1990). This hierarchy reflects the fact that some sports centres</w:t>
      </w:r>
      <w:r>
        <w:rPr>
          <w:color w:val="231F20"/>
          <w:spacing w:val="-3"/>
          <w:w w:val="95"/>
        </w:rPr>
        <w:t xml:space="preserve"> </w:t>
      </w:r>
      <w:r>
        <w:rPr>
          <w:color w:val="231F20"/>
          <w:w w:val="95"/>
        </w:rPr>
        <w:t>primarily</w:t>
      </w:r>
      <w:r>
        <w:rPr>
          <w:color w:val="231F20"/>
          <w:spacing w:val="-3"/>
          <w:w w:val="95"/>
        </w:rPr>
        <w:t xml:space="preserve"> </w:t>
      </w:r>
      <w:r>
        <w:rPr>
          <w:color w:val="231F20"/>
          <w:w w:val="95"/>
        </w:rPr>
        <w:t>draw</w:t>
      </w:r>
      <w:r>
        <w:rPr>
          <w:color w:val="231F20"/>
          <w:spacing w:val="-3"/>
          <w:w w:val="95"/>
        </w:rPr>
        <w:t xml:space="preserve"> </w:t>
      </w:r>
      <w:r>
        <w:rPr>
          <w:color w:val="231F20"/>
          <w:w w:val="95"/>
        </w:rPr>
        <w:t>upon</w:t>
      </w:r>
      <w:r>
        <w:rPr>
          <w:color w:val="231F20"/>
          <w:spacing w:val="-3"/>
          <w:w w:val="95"/>
        </w:rPr>
        <w:t xml:space="preserve"> </w:t>
      </w:r>
      <w:r>
        <w:rPr>
          <w:color w:val="231F20"/>
          <w:w w:val="95"/>
        </w:rPr>
        <w:t>a</w:t>
      </w:r>
      <w:r>
        <w:rPr>
          <w:color w:val="231F20"/>
          <w:spacing w:val="-3"/>
          <w:w w:val="95"/>
        </w:rPr>
        <w:t xml:space="preserve"> </w:t>
      </w:r>
      <w:r>
        <w:rPr>
          <w:color w:val="231F20"/>
          <w:w w:val="95"/>
        </w:rPr>
        <w:t>local</w:t>
      </w:r>
      <w:r>
        <w:rPr>
          <w:color w:val="231F20"/>
          <w:spacing w:val="-3"/>
          <w:w w:val="95"/>
        </w:rPr>
        <w:t xml:space="preserve"> </w:t>
      </w:r>
      <w:r>
        <w:rPr>
          <w:color w:val="231F20"/>
          <w:w w:val="95"/>
        </w:rPr>
        <w:t>catchment,</w:t>
      </w:r>
      <w:r>
        <w:rPr>
          <w:color w:val="231F20"/>
          <w:spacing w:val="-3"/>
          <w:w w:val="95"/>
        </w:rPr>
        <w:t xml:space="preserve"> </w:t>
      </w:r>
      <w:r>
        <w:rPr>
          <w:color w:val="231F20"/>
          <w:w w:val="95"/>
        </w:rPr>
        <w:t>while</w:t>
      </w:r>
      <w:r>
        <w:rPr>
          <w:color w:val="231F20"/>
          <w:spacing w:val="-3"/>
          <w:w w:val="95"/>
        </w:rPr>
        <w:t xml:space="preserve"> </w:t>
      </w:r>
      <w:r>
        <w:rPr>
          <w:color w:val="231F20"/>
          <w:w w:val="95"/>
        </w:rPr>
        <w:t>others</w:t>
      </w:r>
      <w:r>
        <w:rPr>
          <w:color w:val="231F20"/>
          <w:spacing w:val="-3"/>
          <w:w w:val="95"/>
        </w:rPr>
        <w:t xml:space="preserve"> </w:t>
      </w:r>
      <w:r>
        <w:rPr>
          <w:color w:val="231F20"/>
          <w:w w:val="95"/>
        </w:rPr>
        <w:t>situated</w:t>
      </w:r>
      <w:r>
        <w:rPr>
          <w:color w:val="231F20"/>
          <w:spacing w:val="-3"/>
          <w:w w:val="95"/>
        </w:rPr>
        <w:t xml:space="preserve"> </w:t>
      </w:r>
      <w:r>
        <w:rPr>
          <w:color w:val="231F20"/>
          <w:w w:val="95"/>
        </w:rPr>
        <w:t xml:space="preserve">higher </w:t>
      </w:r>
      <w:r>
        <w:rPr>
          <w:color w:val="231F20"/>
        </w:rPr>
        <w:t xml:space="preserve">in the sports hierarchy draw upon regional, national and international catchments. Bale (1989: 79) explains that sports facilities situated in </w:t>
      </w:r>
      <w:r>
        <w:rPr>
          <w:color w:val="231F20"/>
          <w:w w:val="95"/>
        </w:rPr>
        <w:t xml:space="preserve">central locations are located ‘as close to potential users as possible in order </w:t>
      </w:r>
      <w:r>
        <w:rPr>
          <w:color w:val="231F20"/>
        </w:rPr>
        <w:t>to maximise pleas</w:t>
      </w:r>
      <w:r>
        <w:rPr>
          <w:color w:val="231F20"/>
        </w:rPr>
        <w:t>ure from the sport experience and to minimise travel, and</w:t>
      </w:r>
      <w:r>
        <w:rPr>
          <w:color w:val="231F20"/>
          <w:spacing w:val="-5"/>
        </w:rPr>
        <w:t xml:space="preserve"> </w:t>
      </w:r>
      <w:r>
        <w:rPr>
          <w:color w:val="231F20"/>
        </w:rPr>
        <w:t>hence</w:t>
      </w:r>
      <w:r>
        <w:rPr>
          <w:color w:val="231F20"/>
          <w:spacing w:val="-5"/>
        </w:rPr>
        <w:t xml:space="preserve"> </w:t>
      </w:r>
      <w:r>
        <w:rPr>
          <w:color w:val="231F20"/>
        </w:rPr>
        <w:t>cost’.</w:t>
      </w:r>
      <w:r>
        <w:rPr>
          <w:color w:val="231F20"/>
          <w:spacing w:val="-5"/>
        </w:rPr>
        <w:t xml:space="preserve"> </w:t>
      </w:r>
      <w:r>
        <w:rPr>
          <w:color w:val="231F20"/>
        </w:rPr>
        <w:t>This</w:t>
      </w:r>
      <w:r>
        <w:rPr>
          <w:color w:val="231F20"/>
          <w:spacing w:val="-5"/>
        </w:rPr>
        <w:t xml:space="preserve"> </w:t>
      </w:r>
      <w:r>
        <w:rPr>
          <w:color w:val="231F20"/>
        </w:rPr>
        <w:t>characteristic</w:t>
      </w:r>
      <w:r>
        <w:rPr>
          <w:color w:val="231F20"/>
          <w:spacing w:val="-5"/>
        </w:rPr>
        <w:t xml:space="preserve"> </w:t>
      </w:r>
      <w:r>
        <w:rPr>
          <w:color w:val="231F20"/>
        </w:rPr>
        <w:t>has</w:t>
      </w:r>
      <w:r>
        <w:rPr>
          <w:color w:val="231F20"/>
          <w:spacing w:val="-5"/>
        </w:rPr>
        <w:t xml:space="preserve"> </w:t>
      </w:r>
      <w:r>
        <w:rPr>
          <w:color w:val="231F20"/>
        </w:rPr>
        <w:t>been</w:t>
      </w:r>
      <w:r>
        <w:rPr>
          <w:color w:val="231F20"/>
          <w:spacing w:val="-5"/>
        </w:rPr>
        <w:t xml:space="preserve"> </w:t>
      </w:r>
      <w:r>
        <w:rPr>
          <w:color w:val="231F20"/>
        </w:rPr>
        <w:t>complicated</w:t>
      </w:r>
      <w:r>
        <w:rPr>
          <w:color w:val="231F20"/>
          <w:spacing w:val="-5"/>
        </w:rPr>
        <w:t xml:space="preserve"> </w:t>
      </w:r>
      <w:r>
        <w:rPr>
          <w:color w:val="231F20"/>
        </w:rPr>
        <w:t>in</w:t>
      </w:r>
      <w:r>
        <w:rPr>
          <w:color w:val="231F20"/>
          <w:spacing w:val="-5"/>
        </w:rPr>
        <w:t xml:space="preserve"> </w:t>
      </w:r>
      <w:r>
        <w:rPr>
          <w:color w:val="231F20"/>
        </w:rPr>
        <w:t>recent</w:t>
      </w:r>
      <w:r>
        <w:rPr>
          <w:color w:val="231F20"/>
          <w:spacing w:val="-5"/>
        </w:rPr>
        <w:t xml:space="preserve"> </w:t>
      </w:r>
      <w:r>
        <w:rPr>
          <w:color w:val="231F20"/>
        </w:rPr>
        <w:t>years as</w:t>
      </w:r>
      <w:r>
        <w:rPr>
          <w:color w:val="231F20"/>
          <w:spacing w:val="-10"/>
        </w:rPr>
        <w:t xml:space="preserve"> </w:t>
      </w:r>
      <w:r>
        <w:rPr>
          <w:color w:val="231F20"/>
        </w:rPr>
        <w:t>new</w:t>
      </w:r>
      <w:r>
        <w:rPr>
          <w:color w:val="231F20"/>
          <w:spacing w:val="-10"/>
        </w:rPr>
        <w:t xml:space="preserve"> </w:t>
      </w:r>
      <w:r>
        <w:rPr>
          <w:color w:val="231F20"/>
        </w:rPr>
        <w:t>factors</w:t>
      </w:r>
      <w:r>
        <w:rPr>
          <w:color w:val="231F20"/>
          <w:spacing w:val="-10"/>
        </w:rPr>
        <w:t xml:space="preserve"> </w:t>
      </w:r>
      <w:r>
        <w:rPr>
          <w:color w:val="231F20"/>
        </w:rPr>
        <w:t>have</w:t>
      </w:r>
      <w:r>
        <w:rPr>
          <w:color w:val="231F20"/>
          <w:spacing w:val="-10"/>
        </w:rPr>
        <w:t xml:space="preserve"> </w:t>
      </w:r>
      <w:r>
        <w:rPr>
          <w:color w:val="231F20"/>
        </w:rPr>
        <w:t>emerged</w:t>
      </w:r>
      <w:r>
        <w:rPr>
          <w:color w:val="231F20"/>
          <w:spacing w:val="-10"/>
        </w:rPr>
        <w:t xml:space="preserve"> </w:t>
      </w:r>
      <w:r>
        <w:rPr>
          <w:color w:val="231F20"/>
        </w:rPr>
        <w:t>that</w:t>
      </w:r>
      <w:r>
        <w:rPr>
          <w:color w:val="231F20"/>
          <w:spacing w:val="-10"/>
        </w:rPr>
        <w:t xml:space="preserve"> </w:t>
      </w:r>
      <w:r>
        <w:rPr>
          <w:color w:val="231F20"/>
        </w:rPr>
        <w:t>influence</w:t>
      </w:r>
      <w:r>
        <w:rPr>
          <w:color w:val="231F20"/>
          <w:spacing w:val="-10"/>
        </w:rPr>
        <w:t xml:space="preserve"> </w:t>
      </w:r>
      <w:r>
        <w:rPr>
          <w:color w:val="231F20"/>
        </w:rPr>
        <w:t>the</w:t>
      </w:r>
      <w:r>
        <w:rPr>
          <w:color w:val="231F20"/>
          <w:spacing w:val="-10"/>
        </w:rPr>
        <w:t xml:space="preserve"> </w:t>
      </w:r>
      <w:r>
        <w:rPr>
          <w:color w:val="231F20"/>
        </w:rPr>
        <w:t>status</w:t>
      </w:r>
      <w:r>
        <w:rPr>
          <w:color w:val="231F20"/>
          <w:spacing w:val="-10"/>
        </w:rPr>
        <w:t xml:space="preserve"> </w:t>
      </w:r>
      <w:r>
        <w:rPr>
          <w:color w:val="231F20"/>
        </w:rPr>
        <w:t>of</w:t>
      </w:r>
      <w:r>
        <w:rPr>
          <w:color w:val="231F20"/>
          <w:spacing w:val="-10"/>
        </w:rPr>
        <w:t xml:space="preserve"> </w:t>
      </w:r>
      <w:r>
        <w:rPr>
          <w:color w:val="231F20"/>
        </w:rPr>
        <w:t>sports</w:t>
      </w:r>
      <w:r>
        <w:rPr>
          <w:color w:val="231F20"/>
          <w:spacing w:val="-10"/>
        </w:rPr>
        <w:t xml:space="preserve"> </w:t>
      </w:r>
      <w:r>
        <w:rPr>
          <w:color w:val="231F20"/>
        </w:rPr>
        <w:t>locations. These factors include facility sharing, changing acce</w:t>
      </w:r>
      <w:r>
        <w:rPr>
          <w:color w:val="231F20"/>
        </w:rPr>
        <w:t>ss to infrastructure and travel nodes, proximity to tourism and service developments, and prominence</w:t>
      </w:r>
      <w:r>
        <w:rPr>
          <w:color w:val="231F20"/>
          <w:spacing w:val="-5"/>
        </w:rPr>
        <w:t xml:space="preserve"> </w:t>
      </w:r>
      <w:r>
        <w:rPr>
          <w:color w:val="231F20"/>
        </w:rPr>
        <w:t>in</w:t>
      </w:r>
      <w:r>
        <w:rPr>
          <w:color w:val="231F20"/>
          <w:spacing w:val="-5"/>
        </w:rPr>
        <w:t xml:space="preserve"> </w:t>
      </w:r>
      <w:r>
        <w:rPr>
          <w:color w:val="231F20"/>
        </w:rPr>
        <w:t>media</w:t>
      </w:r>
      <w:r>
        <w:rPr>
          <w:color w:val="231F20"/>
          <w:spacing w:val="-5"/>
        </w:rPr>
        <w:t xml:space="preserve"> </w:t>
      </w:r>
      <w:r>
        <w:rPr>
          <w:color w:val="231F20"/>
        </w:rPr>
        <w:t>markets</w:t>
      </w:r>
      <w:r>
        <w:rPr>
          <w:color w:val="231F20"/>
          <w:spacing w:val="-5"/>
        </w:rPr>
        <w:t xml:space="preserve"> </w:t>
      </w:r>
      <w:r>
        <w:rPr>
          <w:color w:val="231F20"/>
        </w:rPr>
        <w:t>(Stevens,</w:t>
      </w:r>
      <w:r>
        <w:rPr>
          <w:color w:val="231F20"/>
          <w:spacing w:val="-5"/>
        </w:rPr>
        <w:t xml:space="preserve"> </w:t>
      </w:r>
      <w:r>
        <w:rPr>
          <w:color w:val="231F20"/>
        </w:rPr>
        <w:t>2001).</w:t>
      </w:r>
    </w:p>
    <w:p w14:paraId="340C229F" w14:textId="77777777" w:rsidR="00AE0598" w:rsidRDefault="0069255A">
      <w:pPr>
        <w:pStyle w:val="Corpodetexto"/>
        <w:spacing w:before="17" w:line="232" w:lineRule="auto"/>
        <w:ind w:left="110" w:right="127" w:firstLine="320"/>
        <w:jc w:val="both"/>
      </w:pPr>
      <w:r>
        <w:rPr>
          <w:color w:val="231F20"/>
        </w:rPr>
        <w:t xml:space="preserve">The notion that the demand for sports decreases with distance from </w:t>
      </w:r>
      <w:r>
        <w:rPr>
          <w:color w:val="231F20"/>
          <w:w w:val="95"/>
        </w:rPr>
        <w:t>the location at which the sport is consumed applies to</w:t>
      </w:r>
      <w:r>
        <w:rPr>
          <w:color w:val="231F20"/>
          <w:w w:val="95"/>
        </w:rPr>
        <w:t xml:space="preserve"> sport spectatorship</w:t>
      </w:r>
      <w:r>
        <w:rPr>
          <w:color w:val="231F20"/>
          <w:spacing w:val="40"/>
        </w:rPr>
        <w:t xml:space="preserve"> </w:t>
      </w:r>
      <w:r>
        <w:rPr>
          <w:color w:val="231F20"/>
        </w:rPr>
        <w:t xml:space="preserve">as well as participation. Bale (1989) introduces the term ‘spheres of </w:t>
      </w:r>
      <w:r>
        <w:rPr>
          <w:color w:val="231F20"/>
          <w:w w:val="95"/>
        </w:rPr>
        <w:t xml:space="preserve">influence’, which describes the power of attraction that sports teams exert </w:t>
      </w:r>
      <w:r>
        <w:rPr>
          <w:color w:val="231F20"/>
        </w:rPr>
        <w:t xml:space="preserve">upon spectators. As noted in references to the model of distance decay, </w:t>
      </w:r>
      <w:r>
        <w:rPr>
          <w:color w:val="231F20"/>
          <w:w w:val="95"/>
        </w:rPr>
        <w:t xml:space="preserve">the slope and range of the spatial demand curve for sport spectatorship is </w:t>
      </w:r>
      <w:r>
        <w:rPr>
          <w:color w:val="231F20"/>
        </w:rPr>
        <w:t xml:space="preserve">elastic. It may be influenced by factors that are, to some degree, beyond </w:t>
      </w:r>
      <w:r>
        <w:rPr>
          <w:color w:val="231F20"/>
          <w:w w:val="95"/>
        </w:rPr>
        <w:t xml:space="preserve">the immediate control of sports managers, such as the fortunes of the team </w:t>
      </w:r>
      <w:r>
        <w:rPr>
          <w:color w:val="231F20"/>
        </w:rPr>
        <w:t>(win/loss</w:t>
      </w:r>
      <w:r>
        <w:rPr>
          <w:color w:val="231F20"/>
          <w:spacing w:val="-8"/>
        </w:rPr>
        <w:t xml:space="preserve"> </w:t>
      </w:r>
      <w:r>
        <w:rPr>
          <w:color w:val="231F20"/>
        </w:rPr>
        <w:t>record),</w:t>
      </w:r>
      <w:r>
        <w:rPr>
          <w:color w:val="231F20"/>
          <w:spacing w:val="-8"/>
        </w:rPr>
        <w:t xml:space="preserve"> </w:t>
      </w:r>
      <w:r>
        <w:rPr>
          <w:color w:val="231F20"/>
        </w:rPr>
        <w:t>circumstances</w:t>
      </w:r>
      <w:r>
        <w:rPr>
          <w:color w:val="231F20"/>
          <w:spacing w:val="-8"/>
        </w:rPr>
        <w:t xml:space="preserve"> </w:t>
      </w:r>
      <w:r>
        <w:rPr>
          <w:color w:val="231F20"/>
        </w:rPr>
        <w:t>of</w:t>
      </w:r>
      <w:r>
        <w:rPr>
          <w:color w:val="231F20"/>
          <w:spacing w:val="-8"/>
        </w:rPr>
        <w:t xml:space="preserve"> </w:t>
      </w:r>
      <w:r>
        <w:rPr>
          <w:color w:val="231F20"/>
        </w:rPr>
        <w:t>the</w:t>
      </w:r>
      <w:r>
        <w:rPr>
          <w:color w:val="231F20"/>
          <w:spacing w:val="-8"/>
        </w:rPr>
        <w:t xml:space="preserve"> </w:t>
      </w:r>
      <w:r>
        <w:rPr>
          <w:color w:val="231F20"/>
        </w:rPr>
        <w:t>competition,</w:t>
      </w:r>
      <w:r>
        <w:rPr>
          <w:color w:val="231F20"/>
          <w:spacing w:val="-8"/>
        </w:rPr>
        <w:t xml:space="preserve"> </w:t>
      </w:r>
      <w:r>
        <w:rPr>
          <w:color w:val="231F20"/>
        </w:rPr>
        <w:t>league</w:t>
      </w:r>
      <w:r>
        <w:rPr>
          <w:color w:val="231F20"/>
          <w:spacing w:val="-8"/>
        </w:rPr>
        <w:t xml:space="preserve"> </w:t>
      </w:r>
      <w:r>
        <w:rPr>
          <w:color w:val="231F20"/>
        </w:rPr>
        <w:t>position</w:t>
      </w:r>
      <w:r>
        <w:rPr>
          <w:color w:val="231F20"/>
          <w:spacing w:val="-8"/>
        </w:rPr>
        <w:t xml:space="preserve"> </w:t>
      </w:r>
      <w:r>
        <w:rPr>
          <w:color w:val="231F20"/>
        </w:rPr>
        <w:t xml:space="preserve">and </w:t>
      </w:r>
      <w:r>
        <w:rPr>
          <w:color w:val="231F20"/>
          <w:w w:val="95"/>
        </w:rPr>
        <w:t>weather. A distinct range of factors influence the demand curve relating to sport participation. These factors include costs of access (White &amp; Wilson, 1999), the standard of the sport resource and the uniqueness of</w:t>
      </w:r>
      <w:r>
        <w:rPr>
          <w:color w:val="231F20"/>
          <w:w w:val="95"/>
        </w:rPr>
        <w:t xml:space="preserve"> the sport </w:t>
      </w:r>
      <w:r>
        <w:rPr>
          <w:color w:val="231F20"/>
        </w:rPr>
        <w:t>tourism experience. Additional touristic opportunities, such as visiting friends and relatives, or achieving other desired tourist experiences at a destination may also moderate the demand curve.</w:t>
      </w:r>
    </w:p>
    <w:p w14:paraId="50990A73" w14:textId="77777777" w:rsidR="00AE0598" w:rsidRDefault="0069255A">
      <w:pPr>
        <w:pStyle w:val="Corpodetexto"/>
        <w:spacing w:before="18" w:line="232" w:lineRule="auto"/>
        <w:ind w:left="110" w:right="128" w:firstLine="320"/>
        <w:jc w:val="both"/>
      </w:pPr>
      <w:r>
        <w:rPr>
          <w:color w:val="231F20"/>
          <w:w w:val="90"/>
        </w:rPr>
        <w:t>The concept of the sport location hierarchy is ce</w:t>
      </w:r>
      <w:r>
        <w:rPr>
          <w:color w:val="231F20"/>
          <w:w w:val="90"/>
        </w:rPr>
        <w:t xml:space="preserve">ntral to these discussions. </w:t>
      </w:r>
      <w:r>
        <w:rPr>
          <w:color w:val="231F20"/>
          <w:w w:val="95"/>
        </w:rPr>
        <w:t>Not only do sports resources exist in a location hierarchy (Bale, 1989), but</w:t>
      </w:r>
    </w:p>
    <w:p w14:paraId="1A32ABB5" w14:textId="77777777" w:rsidR="00AE0598" w:rsidRDefault="00AE0598">
      <w:pPr>
        <w:pStyle w:val="Corpodetexto"/>
        <w:rPr>
          <w:sz w:val="28"/>
        </w:rPr>
      </w:pPr>
    </w:p>
    <w:p w14:paraId="24F1EEA3" w14:textId="77777777" w:rsidR="00AE0598" w:rsidRDefault="0069255A">
      <w:pPr>
        <w:spacing w:before="100"/>
        <w:ind w:left="110"/>
        <w:rPr>
          <w:rFonts w:ascii="Trebuchet MS"/>
          <w:sz w:val="16"/>
        </w:rPr>
      </w:pPr>
      <w:r>
        <w:rPr>
          <w:rFonts w:ascii="Trebuchet MS"/>
          <w:b/>
          <w:color w:val="231F20"/>
          <w:sz w:val="16"/>
        </w:rPr>
        <w:t>Table</w:t>
      </w:r>
      <w:r>
        <w:rPr>
          <w:rFonts w:ascii="Trebuchet MS"/>
          <w:b/>
          <w:color w:val="231F20"/>
          <w:spacing w:val="1"/>
          <w:sz w:val="16"/>
        </w:rPr>
        <w:t xml:space="preserve"> </w:t>
      </w:r>
      <w:r>
        <w:rPr>
          <w:rFonts w:ascii="Trebuchet MS"/>
          <w:b/>
          <w:color w:val="231F20"/>
          <w:sz w:val="16"/>
        </w:rPr>
        <w:t>5.1</w:t>
      </w:r>
      <w:r>
        <w:rPr>
          <w:rFonts w:ascii="Trebuchet MS"/>
          <w:b/>
          <w:color w:val="231F20"/>
          <w:spacing w:val="41"/>
          <w:sz w:val="16"/>
        </w:rPr>
        <w:t xml:space="preserve"> </w:t>
      </w:r>
      <w:r>
        <w:rPr>
          <w:rFonts w:ascii="Trebuchet MS"/>
          <w:color w:val="231F20"/>
          <w:sz w:val="16"/>
        </w:rPr>
        <w:t>Theory</w:t>
      </w:r>
      <w:r>
        <w:rPr>
          <w:rFonts w:ascii="Trebuchet MS"/>
          <w:color w:val="231F20"/>
          <w:spacing w:val="1"/>
          <w:sz w:val="16"/>
        </w:rPr>
        <w:t xml:space="preserve"> </w:t>
      </w:r>
      <w:r>
        <w:rPr>
          <w:rFonts w:ascii="Trebuchet MS"/>
          <w:color w:val="231F20"/>
          <w:sz w:val="16"/>
        </w:rPr>
        <w:t>of</w:t>
      </w:r>
      <w:r>
        <w:rPr>
          <w:rFonts w:ascii="Trebuchet MS"/>
          <w:color w:val="231F20"/>
          <w:spacing w:val="2"/>
          <w:sz w:val="16"/>
        </w:rPr>
        <w:t xml:space="preserve"> </w:t>
      </w:r>
      <w:r>
        <w:rPr>
          <w:rFonts w:ascii="Trebuchet MS"/>
          <w:color w:val="231F20"/>
          <w:sz w:val="16"/>
        </w:rPr>
        <w:t>sports</w:t>
      </w:r>
      <w:r>
        <w:rPr>
          <w:rFonts w:ascii="Trebuchet MS"/>
          <w:color w:val="231F20"/>
          <w:spacing w:val="1"/>
          <w:sz w:val="16"/>
        </w:rPr>
        <w:t xml:space="preserve"> </w:t>
      </w:r>
      <w:r>
        <w:rPr>
          <w:rFonts w:ascii="Trebuchet MS"/>
          <w:color w:val="231F20"/>
          <w:spacing w:val="-2"/>
          <w:sz w:val="16"/>
        </w:rPr>
        <w:t>locations</w:t>
      </w:r>
    </w:p>
    <w:p w14:paraId="705C994F" w14:textId="5D590B94" w:rsidR="00AE0598" w:rsidRDefault="0069255A">
      <w:pPr>
        <w:pStyle w:val="Corpodetexto"/>
        <w:spacing w:before="1"/>
        <w:rPr>
          <w:rFonts w:ascii="Trebuchet MS"/>
          <w:sz w:val="12"/>
        </w:rPr>
      </w:pPr>
      <w:r>
        <w:rPr>
          <w:noProof/>
        </w:rPr>
        <mc:AlternateContent>
          <mc:Choice Requires="wps">
            <w:drawing>
              <wp:anchor distT="0" distB="0" distL="0" distR="0" simplePos="0" relativeHeight="487633920" behindDoc="1" locked="0" layoutInCell="1" allowOverlap="1" wp14:anchorId="35635C72" wp14:editId="4B38CE8E">
                <wp:simplePos x="0" y="0"/>
                <wp:positionH relativeFrom="page">
                  <wp:posOffset>755650</wp:posOffset>
                </wp:positionH>
                <wp:positionV relativeFrom="paragraph">
                  <wp:posOffset>104140</wp:posOffset>
                </wp:positionV>
                <wp:extent cx="4097655" cy="1270"/>
                <wp:effectExtent l="0" t="0" r="0" b="0"/>
                <wp:wrapTopAndBottom/>
                <wp:docPr id="228" name="docshape1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097655" cy="1270"/>
                        </a:xfrm>
                        <a:custGeom>
                          <a:avLst/>
                          <a:gdLst>
                            <a:gd name="T0" fmla="+- 0 1190 1190"/>
                            <a:gd name="T1" fmla="*/ T0 w 6453"/>
                            <a:gd name="T2" fmla="+- 0 7643 1190"/>
                            <a:gd name="T3" fmla="*/ T2 w 6453"/>
                          </a:gdLst>
                          <a:ahLst/>
                          <a:cxnLst>
                            <a:cxn ang="0">
                              <a:pos x="T1" y="0"/>
                            </a:cxn>
                            <a:cxn ang="0">
                              <a:pos x="T3" y="0"/>
                            </a:cxn>
                          </a:cxnLst>
                          <a:rect l="0" t="0" r="r" b="b"/>
                          <a:pathLst>
                            <a:path w="6453">
                              <a:moveTo>
                                <a:pt x="0" y="0"/>
                              </a:moveTo>
                              <a:lnTo>
                                <a:pt x="6453" y="0"/>
                              </a:lnTo>
                            </a:path>
                          </a:pathLst>
                        </a:custGeom>
                        <a:noFill/>
                        <a:ln w="3175">
                          <a:solidFill>
                            <a:srgbClr val="231F2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195FDC" id="docshape146" o:spid="_x0000_s1026" style="position:absolute;margin-left:59.5pt;margin-top:8.2pt;width:322.65pt;height:.1pt;z-index:-156825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45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" path="m,l6453,e" filled="f" strokecolor="#231f20" strokeweight=".25pt">
                <v:path arrowok="t" o:connecttype="custom" o:connectlocs="0,0;4097655,0" o:connectangles="0,0"/>
                <w10:wrap type="topAndBottom" anchorx="page"/>
              </v:shape>
            </w:pict>
          </mc:Fallback>
        </mc:AlternateContent>
      </w:r>
    </w:p>
    <w:p w14:paraId="2B727173" w14:textId="77777777" w:rsidR="00AE0598" w:rsidRDefault="0069255A">
      <w:pPr>
        <w:pStyle w:val="PargrafodaLista"/>
        <w:numPr>
          <w:ilvl w:val="0"/>
          <w:numId w:val="12"/>
        </w:numPr>
        <w:tabs>
          <w:tab w:val="left" w:pos="343"/>
        </w:tabs>
        <w:spacing w:before="33" w:after="31" w:line="235" w:lineRule="auto"/>
        <w:ind w:right="330"/>
        <w:rPr>
          <w:sz w:val="14"/>
        </w:rPr>
      </w:pPr>
      <w:r>
        <w:rPr>
          <w:color w:val="231F20"/>
          <w:sz w:val="14"/>
        </w:rPr>
        <w:t>The</w:t>
      </w:r>
      <w:r>
        <w:rPr>
          <w:color w:val="231F20"/>
          <w:spacing w:val="24"/>
          <w:sz w:val="14"/>
        </w:rPr>
        <w:t xml:space="preserve"> </w:t>
      </w:r>
      <w:r>
        <w:rPr>
          <w:color w:val="231F20"/>
          <w:sz w:val="14"/>
        </w:rPr>
        <w:t>main</w:t>
      </w:r>
      <w:r>
        <w:rPr>
          <w:color w:val="231F20"/>
          <w:spacing w:val="24"/>
          <w:sz w:val="14"/>
        </w:rPr>
        <w:t xml:space="preserve"> </w:t>
      </w:r>
      <w:r>
        <w:rPr>
          <w:color w:val="231F20"/>
          <w:sz w:val="14"/>
        </w:rPr>
        <w:t>function</w:t>
      </w:r>
      <w:r>
        <w:rPr>
          <w:color w:val="231F20"/>
          <w:spacing w:val="24"/>
          <w:sz w:val="14"/>
        </w:rPr>
        <w:t xml:space="preserve"> </w:t>
      </w:r>
      <w:r>
        <w:rPr>
          <w:color w:val="231F20"/>
          <w:sz w:val="14"/>
        </w:rPr>
        <w:t>of</w:t>
      </w:r>
      <w:r>
        <w:rPr>
          <w:color w:val="231F20"/>
          <w:spacing w:val="24"/>
          <w:sz w:val="14"/>
        </w:rPr>
        <w:t xml:space="preserve"> </w:t>
      </w:r>
      <w:r>
        <w:rPr>
          <w:color w:val="231F20"/>
          <w:sz w:val="14"/>
        </w:rPr>
        <w:t>sports</w:t>
      </w:r>
      <w:r>
        <w:rPr>
          <w:color w:val="231F20"/>
          <w:spacing w:val="24"/>
          <w:sz w:val="14"/>
        </w:rPr>
        <w:t xml:space="preserve"> </w:t>
      </w:r>
      <w:r>
        <w:rPr>
          <w:color w:val="231F20"/>
          <w:sz w:val="14"/>
        </w:rPr>
        <w:t>locations</w:t>
      </w:r>
      <w:r>
        <w:rPr>
          <w:color w:val="231F20"/>
          <w:spacing w:val="24"/>
          <w:sz w:val="14"/>
        </w:rPr>
        <w:t xml:space="preserve"> </w:t>
      </w:r>
      <w:r>
        <w:rPr>
          <w:color w:val="231F20"/>
          <w:sz w:val="14"/>
        </w:rPr>
        <w:t>is</w:t>
      </w:r>
      <w:r>
        <w:rPr>
          <w:color w:val="231F20"/>
          <w:spacing w:val="24"/>
          <w:sz w:val="14"/>
        </w:rPr>
        <w:t xml:space="preserve"> </w:t>
      </w:r>
      <w:r>
        <w:rPr>
          <w:color w:val="231F20"/>
          <w:sz w:val="14"/>
        </w:rPr>
        <w:t>to</w:t>
      </w:r>
      <w:r>
        <w:rPr>
          <w:color w:val="231F20"/>
          <w:spacing w:val="24"/>
          <w:sz w:val="14"/>
        </w:rPr>
        <w:t xml:space="preserve"> </w:t>
      </w:r>
      <w:r>
        <w:rPr>
          <w:color w:val="231F20"/>
          <w:sz w:val="14"/>
        </w:rPr>
        <w:t>provide</w:t>
      </w:r>
      <w:r>
        <w:rPr>
          <w:color w:val="231F20"/>
          <w:spacing w:val="24"/>
          <w:sz w:val="14"/>
        </w:rPr>
        <w:t xml:space="preserve"> </w:t>
      </w:r>
      <w:r>
        <w:rPr>
          <w:color w:val="231F20"/>
          <w:sz w:val="14"/>
        </w:rPr>
        <w:t>sports</w:t>
      </w:r>
      <w:r>
        <w:rPr>
          <w:color w:val="231F20"/>
          <w:spacing w:val="24"/>
          <w:sz w:val="14"/>
        </w:rPr>
        <w:t xml:space="preserve"> </w:t>
      </w:r>
      <w:r>
        <w:rPr>
          <w:color w:val="231F20"/>
          <w:sz w:val="14"/>
        </w:rPr>
        <w:t>outlets</w:t>
      </w:r>
      <w:r>
        <w:rPr>
          <w:color w:val="231F20"/>
          <w:spacing w:val="24"/>
          <w:sz w:val="14"/>
        </w:rPr>
        <w:t xml:space="preserve"> </w:t>
      </w:r>
      <w:r>
        <w:rPr>
          <w:color w:val="231F20"/>
          <w:sz w:val="14"/>
        </w:rPr>
        <w:t>for</w:t>
      </w:r>
      <w:r>
        <w:rPr>
          <w:color w:val="231F20"/>
          <w:spacing w:val="24"/>
          <w:sz w:val="14"/>
        </w:rPr>
        <w:t xml:space="preserve"> </w:t>
      </w:r>
      <w:r>
        <w:rPr>
          <w:color w:val="231F20"/>
          <w:sz w:val="14"/>
        </w:rPr>
        <w:t>a</w:t>
      </w:r>
      <w:r>
        <w:rPr>
          <w:color w:val="231F20"/>
          <w:spacing w:val="24"/>
          <w:sz w:val="14"/>
        </w:rPr>
        <w:t xml:space="preserve"> </w:t>
      </w:r>
      <w:r>
        <w:rPr>
          <w:color w:val="231F20"/>
          <w:sz w:val="14"/>
        </w:rPr>
        <w:t>surrounding</w:t>
      </w:r>
      <w:r>
        <w:rPr>
          <w:color w:val="231F20"/>
          <w:spacing w:val="24"/>
          <w:sz w:val="14"/>
        </w:rPr>
        <w:t xml:space="preserve"> </w:t>
      </w:r>
      <w:r>
        <w:rPr>
          <w:color w:val="231F20"/>
          <w:sz w:val="14"/>
        </w:rPr>
        <w:t>hinter- land.</w:t>
      </w:r>
      <w:r>
        <w:rPr>
          <w:color w:val="231F20"/>
          <w:spacing w:val="30"/>
          <w:sz w:val="14"/>
        </w:rPr>
        <w:t xml:space="preserve"> </w:t>
      </w:r>
      <w:r>
        <w:rPr>
          <w:color w:val="231F20"/>
          <w:sz w:val="14"/>
        </w:rPr>
        <w:t>Sports</w:t>
      </w:r>
      <w:r>
        <w:rPr>
          <w:color w:val="231F20"/>
          <w:spacing w:val="30"/>
          <w:sz w:val="14"/>
        </w:rPr>
        <w:t xml:space="preserve"> </w:t>
      </w:r>
      <w:r>
        <w:rPr>
          <w:color w:val="231F20"/>
          <w:sz w:val="14"/>
        </w:rPr>
        <w:t>facilities</w:t>
      </w:r>
      <w:r>
        <w:rPr>
          <w:color w:val="231F20"/>
          <w:spacing w:val="30"/>
          <w:sz w:val="14"/>
        </w:rPr>
        <w:t xml:space="preserve"> </w:t>
      </w:r>
      <w:r>
        <w:rPr>
          <w:color w:val="231F20"/>
          <w:sz w:val="14"/>
        </w:rPr>
        <w:t>are</w:t>
      </w:r>
      <w:r>
        <w:rPr>
          <w:color w:val="231F20"/>
          <w:spacing w:val="30"/>
          <w:sz w:val="14"/>
        </w:rPr>
        <w:t xml:space="preserve"> </w:t>
      </w:r>
      <w:r>
        <w:rPr>
          <w:color w:val="231F20"/>
          <w:sz w:val="14"/>
        </w:rPr>
        <w:t>therefore</w:t>
      </w:r>
      <w:r>
        <w:rPr>
          <w:color w:val="231F20"/>
          <w:spacing w:val="30"/>
          <w:sz w:val="14"/>
        </w:rPr>
        <w:t xml:space="preserve"> </w:t>
      </w:r>
      <w:r>
        <w:rPr>
          <w:color w:val="231F20"/>
          <w:sz w:val="14"/>
        </w:rPr>
        <w:t>centrally</w:t>
      </w:r>
      <w:r>
        <w:rPr>
          <w:color w:val="231F20"/>
          <w:spacing w:val="30"/>
          <w:sz w:val="14"/>
        </w:rPr>
        <w:t xml:space="preserve"> </w:t>
      </w:r>
      <w:r>
        <w:rPr>
          <w:color w:val="231F20"/>
          <w:sz w:val="14"/>
        </w:rPr>
        <w:t>located</w:t>
      </w:r>
      <w:r>
        <w:rPr>
          <w:color w:val="231F20"/>
          <w:spacing w:val="30"/>
          <w:sz w:val="14"/>
        </w:rPr>
        <w:t xml:space="preserve"> </w:t>
      </w:r>
      <w:r>
        <w:rPr>
          <w:color w:val="231F20"/>
          <w:sz w:val="14"/>
        </w:rPr>
        <w:t>within</w:t>
      </w:r>
      <w:r>
        <w:rPr>
          <w:color w:val="231F20"/>
          <w:spacing w:val="30"/>
          <w:sz w:val="14"/>
        </w:rPr>
        <w:t xml:space="preserve"> </w:t>
      </w:r>
      <w:r>
        <w:rPr>
          <w:color w:val="231F20"/>
          <w:sz w:val="14"/>
        </w:rPr>
        <w:t>their</w:t>
      </w:r>
      <w:r>
        <w:rPr>
          <w:color w:val="231F20"/>
          <w:spacing w:val="30"/>
          <w:sz w:val="14"/>
        </w:rPr>
        <w:t xml:space="preserve"> </w:t>
      </w:r>
      <w:r>
        <w:rPr>
          <w:color w:val="231F20"/>
          <w:sz w:val="14"/>
        </w:rPr>
        <w:t>market</w:t>
      </w:r>
      <w:r>
        <w:rPr>
          <w:color w:val="231F20"/>
          <w:spacing w:val="30"/>
          <w:sz w:val="14"/>
        </w:rPr>
        <w:t xml:space="preserve"> </w:t>
      </w:r>
      <w:r>
        <w:rPr>
          <w:color w:val="231F20"/>
          <w:sz w:val="14"/>
        </w:rPr>
        <w:t>areas.</w:t>
      </w:r>
    </w:p>
    <w:p w14:paraId="60770518" w14:textId="48A7B4E9" w:rsidR="00AE0598" w:rsidRDefault="0069255A">
      <w:pPr>
        <w:pStyle w:val="Corpodetexto"/>
        <w:spacing w:line="20" w:lineRule="exact"/>
        <w:ind w:left="110"/>
        <w:rPr>
          <w:rFonts w:ascii="Trebuchet MS"/>
          <w:sz w:val="2"/>
        </w:rPr>
      </w:pPr>
      <w:r>
        <w:rPr>
          <w:rFonts w:ascii="Trebuchet MS"/>
          <w:noProof/>
          <w:sz w:val="2"/>
        </w:rPr>
        <mc:AlternateContent>
          <mc:Choice Requires="wpg">
            <w:drawing>
              <wp:inline distT="0" distB="0" distL="0" distR="0" wp14:anchorId="3FDE5556" wp14:editId="4CD2A8EF">
                <wp:extent cx="4097655" cy="3175"/>
                <wp:effectExtent l="12700" t="5715" r="13970" b="10160"/>
                <wp:docPr id="226" name="docshapegroup1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097655" cy="3175"/>
                          <a:chOff x="0" y="0"/>
                          <a:chExt cx="6453" cy="5"/>
                        </a:xfrm>
                      </wpg:grpSpPr>
                      <wps:wsp>
                        <wps:cNvPr id="227" name="Line 228"/>
                        <wps:cNvCnPr>
                          <a:cxnSpLocks noChangeShapeType="1"/>
                        </wps:cNvCnPr>
                        <wps:spPr bwMode="auto">
                          <a:xfrm>
                            <a:off x="0" y="2"/>
                            <a:ext cx="6453" cy="0"/>
                          </a:xfrm>
                          <a:prstGeom prst="line">
                            <a:avLst/>
                          </a:prstGeom>
                          <a:noFill/>
                          <a:ln w="3175">
                            <a:solidFill>
                              <a:srgbClr val="231F2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2A6413E9" id="docshapegroup147" o:spid="_x0000_s1026" style="width:322.65pt;height:.25pt;mso-position-horizontal-relative:char;mso-position-vertical-relative:line" coordsize="64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">
                <v:line id="Line 228" o:spid="_x0000_s1027" style="position:absolute;visibility:visible;mso-wrap-style:square" from="0,2" to="64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" strokecolor="#231f20" strokeweight=".25pt"/>
                <w10:anchorlock/>
              </v:group>
            </w:pict>
          </mc:Fallback>
        </mc:AlternateContent>
      </w:r>
    </w:p>
    <w:p w14:paraId="510B4C06" w14:textId="38960B28" w:rsidR="00AE0598" w:rsidRDefault="0069255A">
      <w:pPr>
        <w:pStyle w:val="PargrafodaLista"/>
        <w:numPr>
          <w:ilvl w:val="0"/>
          <w:numId w:val="12"/>
        </w:numPr>
        <w:tabs>
          <w:tab w:val="left" w:pos="354"/>
        </w:tabs>
        <w:spacing w:before="13"/>
        <w:ind w:left="353" w:hanging="244"/>
        <w:rPr>
          <w:sz w:val="14"/>
        </w:rPr>
      </w:pPr>
      <w:r>
        <w:rPr>
          <w:noProof/>
        </w:rPr>
        <mc:AlternateContent>
          <mc:Choice Requires="wps">
            <w:drawing>
              <wp:anchor distT="0" distB="0" distL="0" distR="0" simplePos="0" relativeHeight="487634944" behindDoc="1" locked="0" layoutInCell="1" allowOverlap="1" wp14:anchorId="778D828B" wp14:editId="6CCE1204">
                <wp:simplePos x="0" y="0"/>
                <wp:positionH relativeFrom="page">
                  <wp:posOffset>755650</wp:posOffset>
                </wp:positionH>
                <wp:positionV relativeFrom="paragraph">
                  <wp:posOffset>129540</wp:posOffset>
                </wp:positionV>
                <wp:extent cx="4097655" cy="1270"/>
                <wp:effectExtent l="0" t="0" r="0" b="0"/>
                <wp:wrapTopAndBottom/>
                <wp:docPr id="225" name="docshape1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097655" cy="1270"/>
                        </a:xfrm>
                        <a:custGeom>
                          <a:avLst/>
                          <a:gdLst>
                            <a:gd name="T0" fmla="+- 0 1190 1190"/>
                            <a:gd name="T1" fmla="*/ T0 w 6453"/>
                            <a:gd name="T2" fmla="+- 0 7643 1190"/>
                            <a:gd name="T3" fmla="*/ T2 w 6453"/>
                          </a:gdLst>
                          <a:ahLst/>
                          <a:cxnLst>
                            <a:cxn ang="0">
                              <a:pos x="T1" y="0"/>
                            </a:cxn>
                            <a:cxn ang="0">
                              <a:pos x="T3" y="0"/>
                            </a:cxn>
                          </a:cxnLst>
                          <a:rect l="0" t="0" r="r" b="b"/>
                          <a:pathLst>
                            <a:path w="6453">
                              <a:moveTo>
                                <a:pt x="0" y="0"/>
                              </a:moveTo>
                              <a:lnTo>
                                <a:pt x="6453" y="0"/>
                              </a:lnTo>
                            </a:path>
                          </a:pathLst>
                        </a:custGeom>
                        <a:noFill/>
                        <a:ln w="3175">
                          <a:solidFill>
                            <a:srgbClr val="231F2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DA4815B" id="docshape148" o:spid="_x0000_s1026" style="position:absolute;margin-left:59.5pt;margin-top:10.2pt;width:322.65pt;height:.1pt;z-index:-156815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45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" path="m,l6453,e" filled="f" strokecolor="#231f20" strokeweight=".25pt">
                <v:path arrowok="t" o:connecttype="custom" o:connectlocs="0,0;4097655,0" o:connectangles="0,0"/>
                <w10:wrap type="topAndBottom" anchorx="page"/>
              </v:shape>
            </w:pict>
          </mc:Fallback>
        </mc:AlternateContent>
      </w:r>
      <w:r>
        <w:rPr>
          <w:color w:val="231F20"/>
          <w:w w:val="105"/>
          <w:sz w:val="14"/>
        </w:rPr>
        <w:t>The greater</w:t>
      </w:r>
      <w:r>
        <w:rPr>
          <w:color w:val="231F20"/>
          <w:spacing w:val="1"/>
          <w:w w:val="105"/>
          <w:sz w:val="14"/>
        </w:rPr>
        <w:t xml:space="preserve"> </w:t>
      </w:r>
      <w:r>
        <w:rPr>
          <w:color w:val="231F20"/>
          <w:w w:val="105"/>
          <w:sz w:val="14"/>
        </w:rPr>
        <w:t>the number</w:t>
      </w:r>
      <w:r>
        <w:rPr>
          <w:color w:val="231F20"/>
          <w:spacing w:val="1"/>
          <w:w w:val="105"/>
          <w:sz w:val="14"/>
        </w:rPr>
        <w:t xml:space="preserve"> </w:t>
      </w:r>
      <w:r>
        <w:rPr>
          <w:color w:val="231F20"/>
          <w:w w:val="105"/>
          <w:sz w:val="14"/>
        </w:rPr>
        <w:t>of sports</w:t>
      </w:r>
      <w:r>
        <w:rPr>
          <w:color w:val="231F20"/>
          <w:spacing w:val="1"/>
          <w:w w:val="105"/>
          <w:sz w:val="14"/>
        </w:rPr>
        <w:t xml:space="preserve"> </w:t>
      </w:r>
      <w:r>
        <w:rPr>
          <w:color w:val="231F20"/>
          <w:w w:val="105"/>
          <w:sz w:val="14"/>
        </w:rPr>
        <w:t>provided, the</w:t>
      </w:r>
      <w:r>
        <w:rPr>
          <w:color w:val="231F20"/>
          <w:spacing w:val="1"/>
          <w:w w:val="105"/>
          <w:sz w:val="14"/>
        </w:rPr>
        <w:t xml:space="preserve"> </w:t>
      </w:r>
      <w:r>
        <w:rPr>
          <w:color w:val="231F20"/>
          <w:w w:val="105"/>
          <w:sz w:val="14"/>
        </w:rPr>
        <w:t>higher</w:t>
      </w:r>
      <w:r>
        <w:rPr>
          <w:color w:val="231F20"/>
          <w:spacing w:val="1"/>
          <w:w w:val="105"/>
          <w:sz w:val="14"/>
        </w:rPr>
        <w:t xml:space="preserve"> </w:t>
      </w:r>
      <w:r>
        <w:rPr>
          <w:color w:val="231F20"/>
          <w:w w:val="105"/>
          <w:sz w:val="14"/>
        </w:rPr>
        <w:t>the order</w:t>
      </w:r>
      <w:r>
        <w:rPr>
          <w:color w:val="231F20"/>
          <w:spacing w:val="1"/>
          <w:w w:val="105"/>
          <w:sz w:val="14"/>
        </w:rPr>
        <w:t xml:space="preserve"> </w:t>
      </w:r>
      <w:r>
        <w:rPr>
          <w:color w:val="231F20"/>
          <w:w w:val="105"/>
          <w:sz w:val="14"/>
        </w:rPr>
        <w:t>of the</w:t>
      </w:r>
      <w:r>
        <w:rPr>
          <w:color w:val="231F20"/>
          <w:spacing w:val="1"/>
          <w:w w:val="105"/>
          <w:sz w:val="14"/>
        </w:rPr>
        <w:t xml:space="preserve"> </w:t>
      </w:r>
      <w:r>
        <w:rPr>
          <w:color w:val="231F20"/>
          <w:w w:val="105"/>
          <w:sz w:val="14"/>
        </w:rPr>
        <w:t xml:space="preserve">sports </w:t>
      </w:r>
      <w:r>
        <w:rPr>
          <w:color w:val="231F20"/>
          <w:spacing w:val="-2"/>
          <w:w w:val="105"/>
          <w:sz w:val="14"/>
        </w:rPr>
        <w:t>location.</w:t>
      </w:r>
    </w:p>
    <w:p w14:paraId="39706802" w14:textId="77777777" w:rsidR="00AE0598" w:rsidRDefault="0069255A">
      <w:pPr>
        <w:pStyle w:val="PargrafodaLista"/>
        <w:numPr>
          <w:ilvl w:val="0"/>
          <w:numId w:val="12"/>
        </w:numPr>
        <w:tabs>
          <w:tab w:val="left" w:pos="354"/>
        </w:tabs>
        <w:spacing w:before="33" w:after="31" w:line="235" w:lineRule="auto"/>
        <w:ind w:left="353" w:right="402" w:hanging="243"/>
        <w:rPr>
          <w:sz w:val="14"/>
        </w:rPr>
      </w:pPr>
      <w:r>
        <w:rPr>
          <w:color w:val="231F20"/>
          <w:sz w:val="14"/>
        </w:rPr>
        <w:t>Low-order</w:t>
      </w:r>
      <w:r>
        <w:rPr>
          <w:color w:val="231F20"/>
          <w:spacing w:val="29"/>
          <w:sz w:val="14"/>
        </w:rPr>
        <w:t xml:space="preserve"> </w:t>
      </w:r>
      <w:r>
        <w:rPr>
          <w:color w:val="231F20"/>
          <w:sz w:val="14"/>
        </w:rPr>
        <w:t>sports</w:t>
      </w:r>
      <w:r>
        <w:rPr>
          <w:color w:val="231F20"/>
          <w:spacing w:val="29"/>
          <w:sz w:val="14"/>
        </w:rPr>
        <w:t xml:space="preserve"> </w:t>
      </w:r>
      <w:r>
        <w:rPr>
          <w:color w:val="231F20"/>
          <w:sz w:val="14"/>
        </w:rPr>
        <w:t>locations</w:t>
      </w:r>
      <w:r>
        <w:rPr>
          <w:color w:val="231F20"/>
          <w:spacing w:val="29"/>
          <w:sz w:val="14"/>
        </w:rPr>
        <w:t xml:space="preserve"> </w:t>
      </w:r>
      <w:r>
        <w:rPr>
          <w:color w:val="231F20"/>
          <w:sz w:val="14"/>
        </w:rPr>
        <w:t>provide</w:t>
      </w:r>
      <w:r>
        <w:rPr>
          <w:color w:val="231F20"/>
          <w:spacing w:val="29"/>
          <w:sz w:val="14"/>
        </w:rPr>
        <w:t xml:space="preserve"> </w:t>
      </w:r>
      <w:r>
        <w:rPr>
          <w:color w:val="231F20"/>
          <w:sz w:val="14"/>
        </w:rPr>
        <w:t>sporting</w:t>
      </w:r>
      <w:r>
        <w:rPr>
          <w:color w:val="231F20"/>
          <w:spacing w:val="29"/>
          <w:sz w:val="14"/>
        </w:rPr>
        <w:t xml:space="preserve"> </w:t>
      </w:r>
      <w:r>
        <w:rPr>
          <w:color w:val="231F20"/>
          <w:sz w:val="14"/>
        </w:rPr>
        <w:t>facilities</w:t>
      </w:r>
      <w:r>
        <w:rPr>
          <w:color w:val="231F20"/>
          <w:spacing w:val="29"/>
          <w:sz w:val="14"/>
        </w:rPr>
        <w:t xml:space="preserve"> </w:t>
      </w:r>
      <w:r>
        <w:rPr>
          <w:color w:val="231F20"/>
          <w:sz w:val="14"/>
        </w:rPr>
        <w:t>that</w:t>
      </w:r>
      <w:r>
        <w:rPr>
          <w:color w:val="231F20"/>
          <w:spacing w:val="29"/>
          <w:sz w:val="14"/>
        </w:rPr>
        <w:t xml:space="preserve"> </w:t>
      </w:r>
      <w:r>
        <w:rPr>
          <w:color w:val="231F20"/>
          <w:sz w:val="14"/>
        </w:rPr>
        <w:t>are</w:t>
      </w:r>
      <w:r>
        <w:rPr>
          <w:color w:val="231F20"/>
          <w:spacing w:val="29"/>
          <w:sz w:val="14"/>
        </w:rPr>
        <w:t xml:space="preserve"> </w:t>
      </w:r>
      <w:r>
        <w:rPr>
          <w:color w:val="231F20"/>
          <w:sz w:val="14"/>
        </w:rPr>
        <w:t>used</w:t>
      </w:r>
      <w:r>
        <w:rPr>
          <w:color w:val="231F20"/>
          <w:spacing w:val="29"/>
          <w:sz w:val="14"/>
        </w:rPr>
        <w:t xml:space="preserve"> </w:t>
      </w:r>
      <w:r>
        <w:rPr>
          <w:color w:val="231F20"/>
          <w:sz w:val="14"/>
        </w:rPr>
        <w:t>by</w:t>
      </w:r>
      <w:r>
        <w:rPr>
          <w:color w:val="231F20"/>
          <w:spacing w:val="29"/>
          <w:sz w:val="14"/>
        </w:rPr>
        <w:t xml:space="preserve"> </w:t>
      </w:r>
      <w:r>
        <w:rPr>
          <w:color w:val="231F20"/>
          <w:sz w:val="14"/>
        </w:rPr>
        <w:t>smaller</w:t>
      </w:r>
      <w:r>
        <w:rPr>
          <w:color w:val="231F20"/>
          <w:spacing w:val="29"/>
          <w:sz w:val="14"/>
        </w:rPr>
        <w:t xml:space="preserve"> </w:t>
      </w:r>
      <w:r>
        <w:rPr>
          <w:color w:val="231F20"/>
          <w:sz w:val="14"/>
        </w:rPr>
        <w:t>catchment areas;</w:t>
      </w:r>
      <w:r>
        <w:rPr>
          <w:color w:val="231F20"/>
          <w:spacing w:val="20"/>
          <w:sz w:val="14"/>
        </w:rPr>
        <w:t xml:space="preserve"> </w:t>
      </w:r>
      <w:r>
        <w:rPr>
          <w:color w:val="231F20"/>
          <w:sz w:val="14"/>
        </w:rPr>
        <w:t>the</w:t>
      </w:r>
      <w:r>
        <w:rPr>
          <w:color w:val="231F20"/>
          <w:spacing w:val="20"/>
          <w:sz w:val="14"/>
        </w:rPr>
        <w:t xml:space="preserve"> </w:t>
      </w:r>
      <w:r>
        <w:rPr>
          <w:color w:val="231F20"/>
          <w:sz w:val="14"/>
        </w:rPr>
        <w:t>threshold</w:t>
      </w:r>
      <w:r>
        <w:rPr>
          <w:color w:val="231F20"/>
          <w:spacing w:val="20"/>
          <w:sz w:val="14"/>
        </w:rPr>
        <w:t xml:space="preserve"> </w:t>
      </w:r>
      <w:r>
        <w:rPr>
          <w:color w:val="231F20"/>
          <w:sz w:val="14"/>
        </w:rPr>
        <w:t>population</w:t>
      </w:r>
      <w:r>
        <w:rPr>
          <w:color w:val="231F20"/>
          <w:spacing w:val="20"/>
          <w:sz w:val="14"/>
        </w:rPr>
        <w:t xml:space="preserve"> </w:t>
      </w:r>
      <w:r>
        <w:rPr>
          <w:color w:val="231F20"/>
          <w:sz w:val="14"/>
        </w:rPr>
        <w:t>needed</w:t>
      </w:r>
      <w:r>
        <w:rPr>
          <w:color w:val="231F20"/>
          <w:spacing w:val="20"/>
          <w:sz w:val="14"/>
        </w:rPr>
        <w:t xml:space="preserve"> </w:t>
      </w:r>
      <w:r>
        <w:rPr>
          <w:color w:val="231F20"/>
          <w:sz w:val="14"/>
        </w:rPr>
        <w:t>for</w:t>
      </w:r>
      <w:r>
        <w:rPr>
          <w:color w:val="231F20"/>
          <w:spacing w:val="20"/>
          <w:sz w:val="14"/>
        </w:rPr>
        <w:t xml:space="preserve"> </w:t>
      </w:r>
      <w:r>
        <w:rPr>
          <w:color w:val="231F20"/>
          <w:sz w:val="14"/>
        </w:rPr>
        <w:t>the</w:t>
      </w:r>
      <w:r>
        <w:rPr>
          <w:color w:val="231F20"/>
          <w:spacing w:val="20"/>
          <w:sz w:val="14"/>
        </w:rPr>
        <w:t xml:space="preserve"> </w:t>
      </w:r>
      <w:r>
        <w:rPr>
          <w:color w:val="231F20"/>
          <w:sz w:val="14"/>
        </w:rPr>
        <w:t>viability</w:t>
      </w:r>
      <w:r>
        <w:rPr>
          <w:color w:val="231F20"/>
          <w:spacing w:val="20"/>
          <w:sz w:val="14"/>
        </w:rPr>
        <w:t xml:space="preserve"> </w:t>
      </w:r>
      <w:r>
        <w:rPr>
          <w:color w:val="231F20"/>
          <w:sz w:val="14"/>
        </w:rPr>
        <w:t>of</w:t>
      </w:r>
      <w:r>
        <w:rPr>
          <w:color w:val="231F20"/>
          <w:spacing w:val="20"/>
          <w:sz w:val="14"/>
        </w:rPr>
        <w:t xml:space="preserve"> </w:t>
      </w:r>
      <w:r>
        <w:rPr>
          <w:color w:val="231F20"/>
          <w:sz w:val="14"/>
        </w:rPr>
        <w:t>a</w:t>
      </w:r>
      <w:r>
        <w:rPr>
          <w:color w:val="231F20"/>
          <w:spacing w:val="20"/>
          <w:sz w:val="14"/>
        </w:rPr>
        <w:t xml:space="preserve"> </w:t>
      </w:r>
      <w:r>
        <w:rPr>
          <w:color w:val="231F20"/>
          <w:sz w:val="14"/>
        </w:rPr>
        <w:t>lower-order</w:t>
      </w:r>
      <w:r>
        <w:rPr>
          <w:color w:val="231F20"/>
          <w:spacing w:val="20"/>
          <w:sz w:val="14"/>
        </w:rPr>
        <w:t xml:space="preserve"> </w:t>
      </w:r>
      <w:r>
        <w:rPr>
          <w:color w:val="231F20"/>
          <w:sz w:val="14"/>
        </w:rPr>
        <w:t>place</w:t>
      </w:r>
      <w:r>
        <w:rPr>
          <w:color w:val="231F20"/>
          <w:spacing w:val="20"/>
          <w:sz w:val="14"/>
        </w:rPr>
        <w:t xml:space="preserve"> </w:t>
      </w:r>
      <w:r>
        <w:rPr>
          <w:color w:val="231F20"/>
          <w:sz w:val="14"/>
        </w:rPr>
        <w:t>is</w:t>
      </w:r>
      <w:r>
        <w:rPr>
          <w:color w:val="231F20"/>
          <w:spacing w:val="20"/>
          <w:sz w:val="14"/>
        </w:rPr>
        <w:t xml:space="preserve"> </w:t>
      </w:r>
      <w:r>
        <w:rPr>
          <w:color w:val="231F20"/>
          <w:sz w:val="14"/>
        </w:rPr>
        <w:t>smaller.</w:t>
      </w:r>
    </w:p>
    <w:p w14:paraId="2852E8CC" w14:textId="16C9692E" w:rsidR="00AE0598" w:rsidRDefault="0069255A">
      <w:pPr>
        <w:pStyle w:val="Corpodetexto"/>
        <w:spacing w:line="20" w:lineRule="exact"/>
        <w:ind w:left="110"/>
        <w:rPr>
          <w:rFonts w:ascii="Trebuchet MS"/>
          <w:sz w:val="2"/>
        </w:rPr>
      </w:pPr>
      <w:r>
        <w:rPr>
          <w:rFonts w:ascii="Trebuchet MS"/>
          <w:noProof/>
          <w:sz w:val="2"/>
        </w:rPr>
        <mc:AlternateContent>
          <mc:Choice Requires="wpg">
            <w:drawing>
              <wp:inline distT="0" distB="0" distL="0" distR="0" wp14:anchorId="0AD60BDB" wp14:editId="68300F57">
                <wp:extent cx="4097655" cy="3175"/>
                <wp:effectExtent l="12700" t="10795" r="13970" b="5080"/>
                <wp:docPr id="223" name="docshapegroup1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097655" cy="3175"/>
                          <a:chOff x="0" y="0"/>
                          <a:chExt cx="6453" cy="5"/>
                        </a:xfrm>
                      </wpg:grpSpPr>
                      <wps:wsp>
                        <wps:cNvPr id="224" name="Line 225"/>
                        <wps:cNvCnPr>
                          <a:cxnSpLocks noChangeShapeType="1"/>
                        </wps:cNvCnPr>
                        <wps:spPr bwMode="auto">
                          <a:xfrm>
                            <a:off x="0" y="2"/>
                            <a:ext cx="6453" cy="0"/>
                          </a:xfrm>
                          <a:prstGeom prst="line">
                            <a:avLst/>
                          </a:prstGeom>
                          <a:noFill/>
                          <a:ln w="3175">
                            <a:solidFill>
                              <a:srgbClr val="231F2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0EBCC302" id="docshapegroup149" o:spid="_x0000_s1026" style="width:322.65pt;height:.25pt;mso-position-horizontal-relative:char;mso-position-vertical-relative:line" coordsize="64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">
                <v:line id="Line 225" o:spid="_x0000_s1027" style="position:absolute;visibility:visible;mso-wrap-style:square" from="0,2" to="64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" strokecolor="#231f20" strokeweight=".25pt"/>
                <w10:anchorlock/>
              </v:group>
            </w:pict>
          </mc:Fallback>
        </mc:AlternateContent>
      </w:r>
    </w:p>
    <w:p w14:paraId="0FB9AC4F" w14:textId="5C84F9F2" w:rsidR="00AE0598" w:rsidRDefault="0069255A">
      <w:pPr>
        <w:pStyle w:val="PargrafodaLista"/>
        <w:numPr>
          <w:ilvl w:val="0"/>
          <w:numId w:val="12"/>
        </w:numPr>
        <w:tabs>
          <w:tab w:val="left" w:pos="352"/>
        </w:tabs>
        <w:spacing w:before="16" w:line="235" w:lineRule="auto"/>
        <w:ind w:left="351" w:right="373" w:hanging="242"/>
        <w:rPr>
          <w:sz w:val="14"/>
        </w:rPr>
      </w:pPr>
      <w:r>
        <w:rPr>
          <w:noProof/>
        </w:rPr>
        <mc:AlternateContent>
          <mc:Choice Requires="wps">
            <w:drawing>
              <wp:anchor distT="0" distB="0" distL="0" distR="0" simplePos="0" relativeHeight="487635968" behindDoc="1" locked="0" layoutInCell="1" allowOverlap="1" wp14:anchorId="78DC6670" wp14:editId="1E9F336F">
                <wp:simplePos x="0" y="0"/>
                <wp:positionH relativeFrom="page">
                  <wp:posOffset>755650</wp:posOffset>
                </wp:positionH>
                <wp:positionV relativeFrom="paragraph">
                  <wp:posOffset>231775</wp:posOffset>
                </wp:positionV>
                <wp:extent cx="4097655" cy="1270"/>
                <wp:effectExtent l="0" t="0" r="0" b="0"/>
                <wp:wrapTopAndBottom/>
                <wp:docPr id="222" name="docshape1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097655" cy="1270"/>
                        </a:xfrm>
                        <a:custGeom>
                          <a:avLst/>
                          <a:gdLst>
                            <a:gd name="T0" fmla="+- 0 1190 1190"/>
                            <a:gd name="T1" fmla="*/ T0 w 6453"/>
                            <a:gd name="T2" fmla="+- 0 7643 1190"/>
                            <a:gd name="T3" fmla="*/ T2 w 6453"/>
                          </a:gdLst>
                          <a:ahLst/>
                          <a:cxnLst>
                            <a:cxn ang="0">
                              <a:pos x="T1" y="0"/>
                            </a:cxn>
                            <a:cxn ang="0">
                              <a:pos x="T3" y="0"/>
                            </a:cxn>
                          </a:cxnLst>
                          <a:rect l="0" t="0" r="r" b="b"/>
                          <a:pathLst>
                            <a:path w="6453">
                              <a:moveTo>
                                <a:pt x="0" y="0"/>
                              </a:moveTo>
                              <a:lnTo>
                                <a:pt x="6453" y="0"/>
                              </a:lnTo>
                            </a:path>
                          </a:pathLst>
                        </a:custGeom>
                        <a:noFill/>
                        <a:ln w="3175">
                          <a:solidFill>
                            <a:srgbClr val="231F2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BE961E" id="docshape150" o:spid="_x0000_s1026" style="position:absolute;margin-left:59.5pt;margin-top:18.25pt;width:322.65pt;height:.1pt;z-index:-156805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45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" path="m,l6453,e" filled="f" strokecolor="#231f20" strokeweight=".25pt">
                <v:path arrowok="t" o:connecttype="custom" o:connectlocs="0,0;4097655,0" o:connectangles="0,0"/>
                <w10:wrap type="topAndBottom" anchorx="page"/>
              </v:shape>
            </w:pict>
          </mc:Fallback>
        </mc:AlternateContent>
      </w:r>
      <w:r>
        <w:rPr>
          <w:color w:val="231F20"/>
          <w:sz w:val="14"/>
        </w:rPr>
        <w:t>Higher-order</w:t>
      </w:r>
      <w:r>
        <w:rPr>
          <w:color w:val="231F20"/>
          <w:spacing w:val="24"/>
          <w:sz w:val="14"/>
        </w:rPr>
        <w:t xml:space="preserve"> </w:t>
      </w:r>
      <w:r>
        <w:rPr>
          <w:color w:val="231F20"/>
          <w:sz w:val="14"/>
        </w:rPr>
        <w:t>locations</w:t>
      </w:r>
      <w:r>
        <w:rPr>
          <w:color w:val="231F20"/>
          <w:spacing w:val="24"/>
          <w:sz w:val="14"/>
        </w:rPr>
        <w:t xml:space="preserve"> </w:t>
      </w:r>
      <w:r>
        <w:rPr>
          <w:color w:val="231F20"/>
          <w:sz w:val="14"/>
        </w:rPr>
        <w:t>are</w:t>
      </w:r>
      <w:r>
        <w:rPr>
          <w:color w:val="231F20"/>
          <w:spacing w:val="24"/>
          <w:sz w:val="14"/>
        </w:rPr>
        <w:t xml:space="preserve"> </w:t>
      </w:r>
      <w:r>
        <w:rPr>
          <w:color w:val="231F20"/>
          <w:sz w:val="14"/>
        </w:rPr>
        <w:t>fewer</w:t>
      </w:r>
      <w:r>
        <w:rPr>
          <w:color w:val="231F20"/>
          <w:spacing w:val="24"/>
          <w:sz w:val="14"/>
        </w:rPr>
        <w:t xml:space="preserve"> </w:t>
      </w:r>
      <w:r>
        <w:rPr>
          <w:color w:val="231F20"/>
          <w:sz w:val="14"/>
        </w:rPr>
        <w:t>in</w:t>
      </w:r>
      <w:r>
        <w:rPr>
          <w:color w:val="231F20"/>
          <w:spacing w:val="24"/>
          <w:sz w:val="14"/>
        </w:rPr>
        <w:t xml:space="preserve"> </w:t>
      </w:r>
      <w:r>
        <w:rPr>
          <w:color w:val="231F20"/>
          <w:sz w:val="14"/>
        </w:rPr>
        <w:t>number</w:t>
      </w:r>
      <w:r>
        <w:rPr>
          <w:color w:val="231F20"/>
          <w:spacing w:val="24"/>
          <w:sz w:val="14"/>
        </w:rPr>
        <w:t xml:space="preserve"> </w:t>
      </w:r>
      <w:r>
        <w:rPr>
          <w:color w:val="231F20"/>
          <w:sz w:val="14"/>
        </w:rPr>
        <w:t>and</w:t>
      </w:r>
      <w:r>
        <w:rPr>
          <w:color w:val="231F20"/>
          <w:spacing w:val="24"/>
          <w:sz w:val="14"/>
        </w:rPr>
        <w:t xml:space="preserve"> </w:t>
      </w:r>
      <w:r>
        <w:rPr>
          <w:color w:val="231F20"/>
          <w:sz w:val="14"/>
        </w:rPr>
        <w:t>are</w:t>
      </w:r>
      <w:r>
        <w:rPr>
          <w:color w:val="231F20"/>
          <w:spacing w:val="24"/>
          <w:sz w:val="14"/>
        </w:rPr>
        <w:t xml:space="preserve"> </w:t>
      </w:r>
      <w:r>
        <w:rPr>
          <w:color w:val="231F20"/>
          <w:sz w:val="14"/>
        </w:rPr>
        <w:t>more</w:t>
      </w:r>
      <w:r>
        <w:rPr>
          <w:color w:val="231F20"/>
          <w:spacing w:val="24"/>
          <w:sz w:val="14"/>
        </w:rPr>
        <w:t xml:space="preserve"> </w:t>
      </w:r>
      <w:r>
        <w:rPr>
          <w:color w:val="231F20"/>
          <w:sz w:val="14"/>
        </w:rPr>
        <w:t>widely</w:t>
      </w:r>
      <w:r>
        <w:rPr>
          <w:color w:val="231F20"/>
          <w:spacing w:val="24"/>
          <w:sz w:val="14"/>
        </w:rPr>
        <w:t xml:space="preserve"> </w:t>
      </w:r>
      <w:r>
        <w:rPr>
          <w:color w:val="231F20"/>
          <w:sz w:val="14"/>
        </w:rPr>
        <w:t>spaced.</w:t>
      </w:r>
      <w:r>
        <w:rPr>
          <w:color w:val="231F20"/>
          <w:spacing w:val="24"/>
          <w:sz w:val="14"/>
        </w:rPr>
        <w:t xml:space="preserve"> </w:t>
      </w:r>
      <w:r>
        <w:rPr>
          <w:color w:val="231F20"/>
          <w:sz w:val="14"/>
        </w:rPr>
        <w:t>They</w:t>
      </w:r>
      <w:r>
        <w:rPr>
          <w:color w:val="231F20"/>
          <w:spacing w:val="24"/>
          <w:sz w:val="14"/>
        </w:rPr>
        <w:t xml:space="preserve"> </w:t>
      </w:r>
      <w:r>
        <w:rPr>
          <w:color w:val="231F20"/>
          <w:sz w:val="14"/>
        </w:rPr>
        <w:t>have</w:t>
      </w:r>
      <w:r>
        <w:rPr>
          <w:color w:val="231F20"/>
          <w:spacing w:val="24"/>
          <w:sz w:val="14"/>
        </w:rPr>
        <w:t xml:space="preserve"> </w:t>
      </w:r>
      <w:r>
        <w:rPr>
          <w:color w:val="231F20"/>
          <w:sz w:val="14"/>
        </w:rPr>
        <w:t>large population</w:t>
      </w:r>
      <w:r>
        <w:rPr>
          <w:color w:val="231F20"/>
          <w:spacing w:val="-7"/>
          <w:sz w:val="14"/>
        </w:rPr>
        <w:t xml:space="preserve"> </w:t>
      </w:r>
      <w:r>
        <w:rPr>
          <w:color w:val="231F20"/>
          <w:sz w:val="14"/>
        </w:rPr>
        <w:t>thresholds.</w:t>
      </w:r>
    </w:p>
    <w:p w14:paraId="61141024" w14:textId="77777777" w:rsidR="00AE0598" w:rsidRDefault="0069255A">
      <w:pPr>
        <w:pStyle w:val="PargrafodaLista"/>
        <w:numPr>
          <w:ilvl w:val="0"/>
          <w:numId w:val="12"/>
        </w:numPr>
        <w:tabs>
          <w:tab w:val="left" w:pos="355"/>
        </w:tabs>
        <w:spacing w:before="33" w:after="32" w:line="235" w:lineRule="auto"/>
        <w:ind w:left="354" w:right="286" w:hanging="245"/>
        <w:rPr>
          <w:sz w:val="14"/>
        </w:rPr>
      </w:pPr>
      <w:r>
        <w:rPr>
          <w:color w:val="231F20"/>
          <w:w w:val="105"/>
          <w:sz w:val="14"/>
        </w:rPr>
        <w:t xml:space="preserve">A hierarchy of sports locations exists in order to make as efficient as possible the arrange- ment of sports </w:t>
      </w:r>
      <w:r>
        <w:rPr>
          <w:color w:val="231F20"/>
          <w:w w:val="105"/>
          <w:sz w:val="14"/>
        </w:rPr>
        <w:t>opportunities for (a) consumers who wish to minimise their travel to obtain the sport they want and (b) producers of sports who must maintain a minimum threshold</w:t>
      </w:r>
      <w:r>
        <w:rPr>
          <w:color w:val="231F20"/>
          <w:spacing w:val="80"/>
          <w:w w:val="105"/>
          <w:sz w:val="14"/>
        </w:rPr>
        <w:t xml:space="preserve"> </w:t>
      </w:r>
      <w:r>
        <w:rPr>
          <w:color w:val="231F20"/>
          <w:w w:val="105"/>
          <w:sz w:val="14"/>
        </w:rPr>
        <w:t>of customers to survive.</w:t>
      </w:r>
    </w:p>
    <w:p w14:paraId="59BC0CD1" w14:textId="1008AAD2" w:rsidR="00AE0598" w:rsidRDefault="0069255A">
      <w:pPr>
        <w:pStyle w:val="Corpodetexto"/>
        <w:spacing w:line="20" w:lineRule="exact"/>
        <w:ind w:left="110"/>
        <w:rPr>
          <w:rFonts w:ascii="Trebuchet MS"/>
          <w:sz w:val="2"/>
        </w:rPr>
      </w:pPr>
      <w:r>
        <w:rPr>
          <w:rFonts w:ascii="Trebuchet MS"/>
          <w:noProof/>
          <w:sz w:val="2"/>
        </w:rPr>
        <mc:AlternateContent>
          <mc:Choice Requires="wpg">
            <w:drawing>
              <wp:inline distT="0" distB="0" distL="0" distR="0" wp14:anchorId="3A52DF48" wp14:editId="627DD2B1">
                <wp:extent cx="4097655" cy="3175"/>
                <wp:effectExtent l="12700" t="6985" r="13970" b="8890"/>
                <wp:docPr id="220" name="docshapegroup1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097655" cy="3175"/>
                          <a:chOff x="0" y="0"/>
                          <a:chExt cx="6453" cy="5"/>
                        </a:xfrm>
                      </wpg:grpSpPr>
                      <wps:wsp>
                        <wps:cNvPr id="221" name="Line 222"/>
                        <wps:cNvCnPr>
                          <a:cxnSpLocks noChangeShapeType="1"/>
                        </wps:cNvCnPr>
                        <wps:spPr bwMode="auto">
                          <a:xfrm>
                            <a:off x="0" y="2"/>
                            <a:ext cx="6453" cy="0"/>
                          </a:xfrm>
                          <a:prstGeom prst="line">
                            <a:avLst/>
                          </a:prstGeom>
                          <a:noFill/>
                          <a:ln w="3175">
                            <a:solidFill>
                              <a:srgbClr val="231F2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34C4EB3E" id="docshapegroup151" o:spid="_x0000_s1026" style="width:322.65pt;height:.25pt;mso-position-horizontal-relative:char;mso-position-vertical-relative:line" coordsize="64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">
                <v:line id="Line 222" o:spid="_x0000_s1027" style="position:absolute;visibility:visible;mso-wrap-style:square" from="0,2" to="64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" strokecolor="#231f20" strokeweight=".25pt"/>
                <w10:anchorlock/>
              </v:group>
            </w:pict>
          </mc:Fallback>
        </mc:AlternateContent>
      </w:r>
    </w:p>
    <w:p w14:paraId="1E44A2AB" w14:textId="77777777" w:rsidR="00AE0598" w:rsidRDefault="0069255A">
      <w:pPr>
        <w:spacing w:before="53"/>
        <w:ind w:left="110"/>
        <w:rPr>
          <w:rFonts w:ascii="Trebuchet MS"/>
          <w:sz w:val="14"/>
        </w:rPr>
      </w:pPr>
      <w:r>
        <w:rPr>
          <w:rFonts w:ascii="Trebuchet MS"/>
          <w:color w:val="231F20"/>
          <w:sz w:val="14"/>
        </w:rPr>
        <w:t>Sour</w:t>
      </w:r>
      <w:r>
        <w:rPr>
          <w:rFonts w:ascii="Trebuchet MS"/>
          <w:color w:val="231F20"/>
          <w:sz w:val="14"/>
        </w:rPr>
        <w:t>ce:</w:t>
      </w:r>
      <w:r>
        <w:rPr>
          <w:rFonts w:ascii="Trebuchet MS"/>
          <w:color w:val="231F20"/>
          <w:spacing w:val="12"/>
          <w:sz w:val="14"/>
        </w:rPr>
        <w:t xml:space="preserve"> </w:t>
      </w:r>
      <w:r>
        <w:rPr>
          <w:rFonts w:ascii="Trebuchet MS"/>
          <w:color w:val="231F20"/>
          <w:sz w:val="14"/>
        </w:rPr>
        <w:t>After</w:t>
      </w:r>
      <w:r>
        <w:rPr>
          <w:rFonts w:ascii="Trebuchet MS"/>
          <w:color w:val="231F20"/>
          <w:spacing w:val="13"/>
          <w:sz w:val="14"/>
        </w:rPr>
        <w:t xml:space="preserve"> </w:t>
      </w:r>
      <w:r>
        <w:rPr>
          <w:rFonts w:ascii="Trebuchet MS"/>
          <w:color w:val="231F20"/>
          <w:sz w:val="14"/>
        </w:rPr>
        <w:t>Bale</w:t>
      </w:r>
      <w:r>
        <w:rPr>
          <w:rFonts w:ascii="Trebuchet MS"/>
          <w:color w:val="231F20"/>
          <w:spacing w:val="12"/>
          <w:sz w:val="14"/>
        </w:rPr>
        <w:t xml:space="preserve"> </w:t>
      </w:r>
      <w:r>
        <w:rPr>
          <w:rFonts w:ascii="Trebuchet MS"/>
          <w:color w:val="231F20"/>
          <w:spacing w:val="-2"/>
          <w:sz w:val="14"/>
        </w:rPr>
        <w:t>(1989).</w:t>
      </w:r>
    </w:p>
    <w:p w14:paraId="4A212D72" w14:textId="77777777" w:rsidR="00AE0598" w:rsidRDefault="00AE0598">
      <w:pPr>
        <w:rPr>
          <w:rFonts w:ascii="Trebuchet MS"/>
          <w:sz w:val="14"/>
        </w:rPr>
        <w:sectPr w:rsidR="00AE0598">
          <w:pgSz w:w="8850" w:h="13270"/>
          <w:pgMar w:top="720" w:right="1060" w:bottom="280" w:left="1080" w:header="720" w:footer="720" w:gutter="0"/>
          <w:cols w:space="720"/>
        </w:sectPr>
      </w:pPr>
    </w:p>
    <w:p w14:paraId="75D95882" w14:textId="77777777" w:rsidR="00AE0598" w:rsidRDefault="0069255A">
      <w:pPr>
        <w:spacing w:before="87"/>
        <w:ind w:left="108"/>
        <w:rPr>
          <w:rFonts w:ascii="Trebuchet MS"/>
          <w:sz w:val="14"/>
        </w:rPr>
      </w:pPr>
      <w:r>
        <w:rPr>
          <w:rFonts w:ascii="Trebuchet MS"/>
          <w:color w:val="231F20"/>
          <w:w w:val="105"/>
          <w:sz w:val="14"/>
        </w:rPr>
        <w:lastRenderedPageBreak/>
        <w:t>94</w:t>
      </w:r>
      <w:r>
        <w:rPr>
          <w:rFonts w:ascii="Trebuchet MS"/>
          <w:color w:val="231F20"/>
          <w:spacing w:val="66"/>
          <w:w w:val="150"/>
          <w:sz w:val="14"/>
        </w:rPr>
        <w:t xml:space="preserve"> </w:t>
      </w:r>
      <w:r>
        <w:rPr>
          <w:rFonts w:ascii="Trebuchet MS"/>
          <w:color w:val="231F20"/>
          <w:w w:val="105"/>
          <w:sz w:val="14"/>
        </w:rPr>
        <w:t>Part</w:t>
      </w:r>
      <w:r>
        <w:rPr>
          <w:rFonts w:ascii="Trebuchet MS"/>
          <w:color w:val="231F20"/>
          <w:spacing w:val="-9"/>
          <w:w w:val="105"/>
          <w:sz w:val="14"/>
        </w:rPr>
        <w:t xml:space="preserve"> </w:t>
      </w:r>
      <w:r>
        <w:rPr>
          <w:rFonts w:ascii="Trebuchet MS"/>
          <w:color w:val="231F20"/>
          <w:w w:val="105"/>
          <w:sz w:val="14"/>
        </w:rPr>
        <w:t>3:</w:t>
      </w:r>
      <w:r>
        <w:rPr>
          <w:rFonts w:ascii="Trebuchet MS"/>
          <w:color w:val="231F20"/>
          <w:spacing w:val="-9"/>
          <w:w w:val="105"/>
          <w:sz w:val="14"/>
        </w:rPr>
        <w:t xml:space="preserve"> </w:t>
      </w:r>
      <w:r>
        <w:rPr>
          <w:rFonts w:ascii="Trebuchet MS"/>
          <w:color w:val="231F20"/>
          <w:w w:val="105"/>
          <w:sz w:val="14"/>
        </w:rPr>
        <w:t>Sport</w:t>
      </w:r>
      <w:r>
        <w:rPr>
          <w:rFonts w:ascii="Trebuchet MS"/>
          <w:color w:val="231F20"/>
          <w:spacing w:val="-9"/>
          <w:w w:val="105"/>
          <w:sz w:val="14"/>
        </w:rPr>
        <w:t xml:space="preserve"> </w:t>
      </w:r>
      <w:r>
        <w:rPr>
          <w:rFonts w:ascii="Trebuchet MS"/>
          <w:color w:val="231F20"/>
          <w:w w:val="105"/>
          <w:sz w:val="14"/>
        </w:rPr>
        <w:t>Tourism</w:t>
      </w:r>
      <w:r>
        <w:rPr>
          <w:rFonts w:ascii="Trebuchet MS"/>
          <w:color w:val="231F20"/>
          <w:spacing w:val="-8"/>
          <w:w w:val="105"/>
          <w:sz w:val="14"/>
        </w:rPr>
        <w:t xml:space="preserve"> </w:t>
      </w:r>
      <w:r>
        <w:rPr>
          <w:rFonts w:ascii="Trebuchet MS"/>
          <w:color w:val="231F20"/>
          <w:w w:val="105"/>
          <w:sz w:val="14"/>
        </w:rPr>
        <w:t>Development</w:t>
      </w:r>
      <w:r>
        <w:rPr>
          <w:rFonts w:ascii="Trebuchet MS"/>
          <w:color w:val="231F20"/>
          <w:spacing w:val="-9"/>
          <w:w w:val="105"/>
          <w:sz w:val="14"/>
        </w:rPr>
        <w:t xml:space="preserve"> </w:t>
      </w:r>
      <w:r>
        <w:rPr>
          <w:rFonts w:ascii="Trebuchet MS"/>
          <w:color w:val="231F20"/>
          <w:w w:val="105"/>
          <w:sz w:val="14"/>
        </w:rPr>
        <w:t>and</w:t>
      </w:r>
      <w:r>
        <w:rPr>
          <w:rFonts w:ascii="Trebuchet MS"/>
          <w:color w:val="231F20"/>
          <w:spacing w:val="-9"/>
          <w:w w:val="105"/>
          <w:sz w:val="14"/>
        </w:rPr>
        <w:t xml:space="preserve"> </w:t>
      </w:r>
      <w:r>
        <w:rPr>
          <w:rFonts w:ascii="Trebuchet MS"/>
          <w:color w:val="231F20"/>
          <w:spacing w:val="-2"/>
          <w:w w:val="105"/>
          <w:sz w:val="14"/>
        </w:rPr>
        <w:t>Space</w:t>
      </w:r>
    </w:p>
    <w:p w14:paraId="2E257B39" w14:textId="77777777" w:rsidR="00AE0598" w:rsidRDefault="00AE0598">
      <w:pPr>
        <w:pStyle w:val="Corpodetexto"/>
        <w:rPr>
          <w:rFonts w:ascii="Trebuchet MS"/>
          <w:sz w:val="16"/>
        </w:rPr>
      </w:pPr>
    </w:p>
    <w:p w14:paraId="6EF50741" w14:textId="77777777" w:rsidR="00AE0598" w:rsidRDefault="0069255A">
      <w:pPr>
        <w:pStyle w:val="Corpodetexto"/>
        <w:spacing w:before="118" w:line="232" w:lineRule="auto"/>
        <w:ind w:left="110" w:right="126"/>
        <w:jc w:val="both"/>
      </w:pPr>
      <w:r>
        <w:rPr>
          <w:color w:val="231F20"/>
          <w:w w:val="95"/>
        </w:rPr>
        <w:t>so too do tourism destinations (Higham &amp; Hinch, 2006). These hierarchies are competitive and dynamic such that while sports may evolve in terms of participation and interest (Coakley, 2017), tourism destinations may rise and fall in prominence (Butler, 198</w:t>
      </w:r>
      <w:r>
        <w:rPr>
          <w:color w:val="231F20"/>
          <w:w w:val="95"/>
        </w:rPr>
        <w:t xml:space="preserve">0) (see also Chapter 10). As such, sport and tourism managers may collaborate to bring together powerful sports </w:t>
      </w:r>
      <w:r>
        <w:rPr>
          <w:color w:val="231F20"/>
        </w:rPr>
        <w:t>experiences, historically significant moments and unique destinations</w:t>
      </w:r>
      <w:r>
        <w:rPr>
          <w:color w:val="231F20"/>
          <w:spacing w:val="80"/>
        </w:rPr>
        <w:t xml:space="preserve"> </w:t>
      </w:r>
      <w:r>
        <w:rPr>
          <w:color w:val="231F20"/>
        </w:rPr>
        <w:t xml:space="preserve">in a way that encourages travel decision-making. The key, according to </w:t>
      </w:r>
      <w:r>
        <w:rPr>
          <w:color w:val="231F20"/>
          <w:w w:val="95"/>
        </w:rPr>
        <w:t>Har</w:t>
      </w:r>
      <w:r>
        <w:rPr>
          <w:color w:val="231F20"/>
          <w:w w:val="95"/>
        </w:rPr>
        <w:t>rison-Hill and Chalip (2005), is to create a powerful synergy between</w:t>
      </w:r>
      <w:r>
        <w:rPr>
          <w:color w:val="231F20"/>
          <w:spacing w:val="40"/>
        </w:rPr>
        <w:t xml:space="preserve"> </w:t>
      </w:r>
      <w:r>
        <w:rPr>
          <w:color w:val="231F20"/>
          <w:w w:val="95"/>
        </w:rPr>
        <w:t xml:space="preserve">the sport and the destination. Destinations that have succeeded in creating this synergy are likely to be more prominent than competing destinations, </w:t>
      </w:r>
      <w:r>
        <w:rPr>
          <w:color w:val="231F20"/>
        </w:rPr>
        <w:t>and therefore ascend the sport touri</w:t>
      </w:r>
      <w:r>
        <w:rPr>
          <w:color w:val="231F20"/>
        </w:rPr>
        <w:t xml:space="preserve">sm location hierarchy. The stadium </w:t>
      </w:r>
      <w:r>
        <w:rPr>
          <w:color w:val="231F20"/>
          <w:w w:val="95"/>
        </w:rPr>
        <w:t xml:space="preserve">location hierarchy is a particularly competitive aspect of sport tourism (see </w:t>
      </w:r>
      <w:r>
        <w:rPr>
          <w:color w:val="231F20"/>
        </w:rPr>
        <w:t>Focus Point 5.1).</w:t>
      </w:r>
    </w:p>
    <w:p w14:paraId="492448BE" w14:textId="77777777" w:rsidR="00AE0598" w:rsidRDefault="00AE0598">
      <w:pPr>
        <w:pStyle w:val="Corpodetexto"/>
        <w:rPr>
          <w:sz w:val="20"/>
        </w:rPr>
      </w:pPr>
    </w:p>
    <w:p w14:paraId="10076BE1" w14:textId="77777777" w:rsidR="00AE0598" w:rsidRDefault="00AE0598">
      <w:pPr>
        <w:pStyle w:val="Corpodetexto"/>
        <w:spacing w:before="8"/>
        <w:rPr>
          <w:sz w:val="18"/>
        </w:rPr>
      </w:pPr>
    </w:p>
    <w:p w14:paraId="07C25BD3" w14:textId="1011E362" w:rsidR="00AE0598" w:rsidRDefault="0069255A">
      <w:pPr>
        <w:ind w:left="223"/>
        <w:jc w:val="both"/>
        <w:rPr>
          <w:rFonts w:ascii="Trebuchet MS"/>
          <w:sz w:val="20"/>
        </w:rPr>
      </w:pPr>
      <w:r>
        <w:rPr>
          <w:noProof/>
        </w:rPr>
        <mc:AlternateContent>
          <mc:Choice Requires="wps">
            <w:drawing>
              <wp:anchor distT="0" distB="0" distL="114300" distR="114300" simplePos="0" relativeHeight="483701760" behindDoc="1" locked="0" layoutInCell="1" allowOverlap="1" wp14:anchorId="5072CD84" wp14:editId="4CDB31CA">
                <wp:simplePos x="0" y="0"/>
                <wp:positionH relativeFrom="page">
                  <wp:posOffset>755650</wp:posOffset>
                </wp:positionH>
                <wp:positionV relativeFrom="paragraph">
                  <wp:posOffset>-48260</wp:posOffset>
                </wp:positionV>
                <wp:extent cx="4104005" cy="4460240"/>
                <wp:effectExtent l="0" t="0" r="0" b="0"/>
                <wp:wrapNone/>
                <wp:docPr id="219" name="docshape1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04005" cy="4460240"/>
                        </a:xfrm>
                        <a:prstGeom prst="rect">
                          <a:avLst/>
                        </a:prstGeom>
                        <a:solidFill>
                          <a:srgbClr val="DCDDD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52AB10" id="docshape152" o:spid="_x0000_s1026" style="position:absolute;margin-left:59.5pt;margin-top:-3.8pt;width:323.15pt;height:351.2pt;z-index:-196147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" fillcolor="#dcddde" stroked="f">
                <w10:wrap anchorx="page"/>
              </v:rect>
            </w:pict>
          </mc:Fallback>
        </mc:AlternateContent>
      </w:r>
      <w:r>
        <w:rPr>
          <w:rFonts w:ascii="Trebuchet MS"/>
          <w:color w:val="231F20"/>
          <w:sz w:val="20"/>
        </w:rPr>
        <w:t>Focus</w:t>
      </w:r>
      <w:r>
        <w:rPr>
          <w:rFonts w:ascii="Trebuchet MS"/>
          <w:color w:val="231F20"/>
          <w:spacing w:val="5"/>
          <w:sz w:val="20"/>
        </w:rPr>
        <w:t xml:space="preserve"> </w:t>
      </w:r>
      <w:r>
        <w:rPr>
          <w:rFonts w:ascii="Trebuchet MS"/>
          <w:color w:val="231F20"/>
          <w:sz w:val="20"/>
        </w:rPr>
        <w:t>Point</w:t>
      </w:r>
      <w:r>
        <w:rPr>
          <w:rFonts w:ascii="Trebuchet MS"/>
          <w:color w:val="231F20"/>
          <w:spacing w:val="5"/>
          <w:sz w:val="20"/>
        </w:rPr>
        <w:t xml:space="preserve"> </w:t>
      </w:r>
      <w:r>
        <w:rPr>
          <w:rFonts w:ascii="Trebuchet MS"/>
          <w:color w:val="231F20"/>
          <w:sz w:val="20"/>
        </w:rPr>
        <w:t>5.1:</w:t>
      </w:r>
      <w:r>
        <w:rPr>
          <w:rFonts w:ascii="Trebuchet MS"/>
          <w:color w:val="231F20"/>
          <w:spacing w:val="5"/>
          <w:sz w:val="20"/>
        </w:rPr>
        <w:t xml:space="preserve"> </w:t>
      </w:r>
      <w:r>
        <w:rPr>
          <w:rFonts w:ascii="Trebuchet MS"/>
          <w:color w:val="231F20"/>
          <w:sz w:val="20"/>
        </w:rPr>
        <w:t>The</w:t>
      </w:r>
      <w:r>
        <w:rPr>
          <w:rFonts w:ascii="Trebuchet MS"/>
          <w:color w:val="231F20"/>
          <w:spacing w:val="5"/>
          <w:sz w:val="20"/>
        </w:rPr>
        <w:t xml:space="preserve"> </w:t>
      </w:r>
      <w:r>
        <w:rPr>
          <w:rFonts w:ascii="Trebuchet MS"/>
          <w:color w:val="231F20"/>
          <w:sz w:val="20"/>
        </w:rPr>
        <w:t>Stadium</w:t>
      </w:r>
      <w:r>
        <w:rPr>
          <w:rFonts w:ascii="Trebuchet MS"/>
          <w:color w:val="231F20"/>
          <w:spacing w:val="6"/>
          <w:sz w:val="20"/>
        </w:rPr>
        <w:t xml:space="preserve"> </w:t>
      </w:r>
      <w:r>
        <w:rPr>
          <w:rFonts w:ascii="Trebuchet MS"/>
          <w:color w:val="231F20"/>
          <w:sz w:val="20"/>
        </w:rPr>
        <w:t>Location</w:t>
      </w:r>
      <w:r>
        <w:rPr>
          <w:rFonts w:ascii="Trebuchet MS"/>
          <w:color w:val="231F20"/>
          <w:spacing w:val="5"/>
          <w:sz w:val="20"/>
        </w:rPr>
        <w:t xml:space="preserve"> </w:t>
      </w:r>
      <w:r>
        <w:rPr>
          <w:rFonts w:ascii="Trebuchet MS"/>
          <w:color w:val="231F20"/>
          <w:spacing w:val="-2"/>
          <w:sz w:val="20"/>
        </w:rPr>
        <w:t>Hierarchy</w:t>
      </w:r>
    </w:p>
    <w:p w14:paraId="46497343" w14:textId="77777777" w:rsidR="00AE0598" w:rsidRDefault="0069255A">
      <w:pPr>
        <w:pStyle w:val="Corpodetexto"/>
        <w:spacing w:before="122" w:line="232" w:lineRule="auto"/>
        <w:ind w:left="223" w:right="239"/>
        <w:jc w:val="both"/>
      </w:pPr>
      <w:r>
        <w:rPr>
          <w:color w:val="231F20"/>
        </w:rPr>
        <w:t>Sports stadiums exist within a location hierarchy that is dynamic and competitive (Bale, 1989). The status of a stadium within the location hierarchy has important implications for city economic development, tourism and service sector interests. Millennium</w:t>
      </w:r>
      <w:r>
        <w:rPr>
          <w:color w:val="231F20"/>
        </w:rPr>
        <w:t xml:space="preserve"> Stadium (Cardiff), Rogers Centre (Toronto), Etihad Stadium (Melbourne) and Westpac </w:t>
      </w:r>
      <w:r>
        <w:rPr>
          <w:color w:val="231F20"/>
          <w:w w:val="90"/>
        </w:rPr>
        <w:t>Stadium</w:t>
      </w:r>
      <w:r>
        <w:rPr>
          <w:color w:val="231F20"/>
        </w:rPr>
        <w:t xml:space="preserve"> </w:t>
      </w:r>
      <w:r>
        <w:rPr>
          <w:color w:val="231F20"/>
          <w:w w:val="90"/>
        </w:rPr>
        <w:t>(Wellington)</w:t>
      </w:r>
      <w:r>
        <w:rPr>
          <w:color w:val="231F20"/>
        </w:rPr>
        <w:t xml:space="preserve"> </w:t>
      </w:r>
      <w:r>
        <w:rPr>
          <w:color w:val="231F20"/>
          <w:w w:val="90"/>
        </w:rPr>
        <w:t>are</w:t>
      </w:r>
      <w:r>
        <w:rPr>
          <w:color w:val="231F20"/>
        </w:rPr>
        <w:t xml:space="preserve"> </w:t>
      </w:r>
      <w:r>
        <w:rPr>
          <w:color w:val="231F20"/>
          <w:w w:val="90"/>
        </w:rPr>
        <w:t>examples</w:t>
      </w:r>
      <w:r>
        <w:rPr>
          <w:color w:val="231F20"/>
        </w:rPr>
        <w:t xml:space="preserve"> </w:t>
      </w:r>
      <w:r>
        <w:rPr>
          <w:color w:val="231F20"/>
          <w:w w:val="90"/>
        </w:rPr>
        <w:t>of</w:t>
      </w:r>
      <w:r>
        <w:rPr>
          <w:color w:val="231F20"/>
        </w:rPr>
        <w:t xml:space="preserve"> </w:t>
      </w:r>
      <w:r>
        <w:rPr>
          <w:color w:val="231F20"/>
          <w:w w:val="90"/>
        </w:rPr>
        <w:t>stadiums</w:t>
      </w:r>
      <w:r>
        <w:rPr>
          <w:color w:val="231F20"/>
        </w:rPr>
        <w:t xml:space="preserve"> </w:t>
      </w:r>
      <w:r>
        <w:rPr>
          <w:color w:val="231F20"/>
          <w:w w:val="90"/>
        </w:rPr>
        <w:t>that</w:t>
      </w:r>
      <w:r>
        <w:rPr>
          <w:color w:val="231F20"/>
        </w:rPr>
        <w:t xml:space="preserve"> </w:t>
      </w:r>
      <w:r>
        <w:rPr>
          <w:color w:val="231F20"/>
          <w:w w:val="90"/>
        </w:rPr>
        <w:t>have</w:t>
      </w:r>
      <w:r>
        <w:rPr>
          <w:color w:val="231F20"/>
        </w:rPr>
        <w:t xml:space="preserve"> </w:t>
      </w:r>
      <w:r>
        <w:rPr>
          <w:color w:val="231F20"/>
          <w:w w:val="90"/>
        </w:rPr>
        <w:t>been</w:t>
      </w:r>
      <w:r>
        <w:rPr>
          <w:color w:val="231F20"/>
        </w:rPr>
        <w:t xml:space="preserve"> </w:t>
      </w:r>
      <w:r>
        <w:rPr>
          <w:color w:val="231F20"/>
          <w:w w:val="90"/>
        </w:rPr>
        <w:t>developed</w:t>
      </w:r>
      <w:r>
        <w:rPr>
          <w:color w:val="231F20"/>
          <w:spacing w:val="80"/>
          <w:w w:val="150"/>
        </w:rPr>
        <w:t xml:space="preserve"> </w:t>
      </w:r>
      <w:r>
        <w:rPr>
          <w:color w:val="231F20"/>
          <w:w w:val="95"/>
        </w:rPr>
        <w:t xml:space="preserve">in inner-city sites, with immediate proximity to central transport nodes </w:t>
      </w:r>
      <w:r>
        <w:rPr>
          <w:color w:val="231F20"/>
        </w:rPr>
        <w:t>and the urban services secto</w:t>
      </w:r>
      <w:r>
        <w:rPr>
          <w:color w:val="231F20"/>
        </w:rPr>
        <w:t>r. The concept of the location hierarchy confirms that beyond the importance of urban stadium facilities, it is the relative position of a stadium within a spatio-political region that is of considerable importance. After 50 years of developmental status q</w:t>
      </w:r>
      <w:r>
        <w:rPr>
          <w:color w:val="231F20"/>
        </w:rPr>
        <w:t xml:space="preserve">uo, a period of intense stadium (re)development has occurred in New Zealand in recent years, with implications for hosting tier one </w:t>
      </w:r>
      <w:r>
        <w:rPr>
          <w:color w:val="231F20"/>
          <w:w w:val="95"/>
        </w:rPr>
        <w:t xml:space="preserve">sports events, the location of professional sports franchises, attracting </w:t>
      </w:r>
      <w:r>
        <w:rPr>
          <w:color w:val="231F20"/>
        </w:rPr>
        <w:t>concerts and other cultural events, attention in m</w:t>
      </w:r>
      <w:r>
        <w:rPr>
          <w:color w:val="231F20"/>
        </w:rPr>
        <w:t>edia markets and sponsorship. Triggered initially by the professionalisation of rugby union in 1996 and the subsequent hosting of the Rugby World Cup (RWC) in 2011, stadiums throughout New Zealand have been subject to a period of intense redevelopment. Mos</w:t>
      </w:r>
      <w:r>
        <w:rPr>
          <w:color w:val="231F20"/>
        </w:rPr>
        <w:t xml:space="preserve">t notably, Wellington’s historic Athletic Park was retired in the late 1990s, and replaced by </w:t>
      </w:r>
      <w:r>
        <w:rPr>
          <w:color w:val="231F20"/>
          <w:w w:val="95"/>
        </w:rPr>
        <w:t xml:space="preserve">the new Westpac Trust Stadium in downtown Wellington in 1999. This </w:t>
      </w:r>
      <w:r>
        <w:rPr>
          <w:color w:val="231F20"/>
        </w:rPr>
        <w:t>anchor project (among others) repositioned Wellington as a tourism destination</w:t>
      </w:r>
      <w:r>
        <w:rPr>
          <w:color w:val="231F20"/>
          <w:spacing w:val="-5"/>
        </w:rPr>
        <w:t xml:space="preserve"> </w:t>
      </w:r>
      <w:r>
        <w:rPr>
          <w:color w:val="231F20"/>
        </w:rPr>
        <w:t>and,</w:t>
      </w:r>
      <w:r>
        <w:rPr>
          <w:color w:val="231F20"/>
          <w:spacing w:val="-5"/>
        </w:rPr>
        <w:t xml:space="preserve"> </w:t>
      </w:r>
      <w:r>
        <w:rPr>
          <w:color w:val="231F20"/>
        </w:rPr>
        <w:t>with</w:t>
      </w:r>
      <w:r>
        <w:rPr>
          <w:color w:val="231F20"/>
          <w:spacing w:val="-5"/>
        </w:rPr>
        <w:t xml:space="preserve"> </w:t>
      </w:r>
      <w:r>
        <w:rPr>
          <w:color w:val="231F20"/>
        </w:rPr>
        <w:t>the</w:t>
      </w:r>
      <w:r>
        <w:rPr>
          <w:color w:val="231F20"/>
          <w:spacing w:val="-5"/>
        </w:rPr>
        <w:t xml:space="preserve"> </w:t>
      </w:r>
      <w:r>
        <w:rPr>
          <w:color w:val="231F20"/>
        </w:rPr>
        <w:t>su</w:t>
      </w:r>
      <w:r>
        <w:rPr>
          <w:color w:val="231F20"/>
        </w:rPr>
        <w:t>ccessful</w:t>
      </w:r>
      <w:r>
        <w:rPr>
          <w:color w:val="231F20"/>
          <w:spacing w:val="-5"/>
        </w:rPr>
        <w:t xml:space="preserve"> </w:t>
      </w:r>
      <w:r>
        <w:rPr>
          <w:color w:val="231F20"/>
        </w:rPr>
        <w:t>bidding</w:t>
      </w:r>
      <w:r>
        <w:rPr>
          <w:color w:val="231F20"/>
          <w:spacing w:val="-5"/>
        </w:rPr>
        <w:t xml:space="preserve"> </w:t>
      </w:r>
      <w:r>
        <w:rPr>
          <w:color w:val="231F20"/>
        </w:rPr>
        <w:t>to</w:t>
      </w:r>
      <w:r>
        <w:rPr>
          <w:color w:val="231F20"/>
          <w:spacing w:val="-5"/>
        </w:rPr>
        <w:t xml:space="preserve"> </w:t>
      </w:r>
      <w:r>
        <w:rPr>
          <w:color w:val="231F20"/>
        </w:rPr>
        <w:t>host</w:t>
      </w:r>
      <w:r>
        <w:rPr>
          <w:color w:val="231F20"/>
          <w:spacing w:val="-5"/>
        </w:rPr>
        <w:t xml:space="preserve"> </w:t>
      </w:r>
      <w:r>
        <w:rPr>
          <w:color w:val="231F20"/>
        </w:rPr>
        <w:t>events</w:t>
      </w:r>
      <w:r>
        <w:rPr>
          <w:color w:val="231F20"/>
          <w:spacing w:val="-5"/>
        </w:rPr>
        <w:t xml:space="preserve"> </w:t>
      </w:r>
      <w:r>
        <w:rPr>
          <w:color w:val="231F20"/>
        </w:rPr>
        <w:t>such</w:t>
      </w:r>
      <w:r>
        <w:rPr>
          <w:color w:val="231F20"/>
          <w:spacing w:val="-5"/>
        </w:rPr>
        <w:t xml:space="preserve"> </w:t>
      </w:r>
      <w:r>
        <w:rPr>
          <w:color w:val="231F20"/>
        </w:rPr>
        <w:t>as</w:t>
      </w:r>
      <w:r>
        <w:rPr>
          <w:color w:val="231F20"/>
          <w:spacing w:val="-5"/>
        </w:rPr>
        <w:t xml:space="preserve"> </w:t>
      </w:r>
      <w:r>
        <w:rPr>
          <w:color w:val="231F20"/>
        </w:rPr>
        <w:t>the IRB Wellington Sevens series (1999–2017), propelled Wellington to the</w:t>
      </w:r>
      <w:r>
        <w:rPr>
          <w:color w:val="231F20"/>
          <w:spacing w:val="-2"/>
        </w:rPr>
        <w:t xml:space="preserve"> </w:t>
      </w:r>
      <w:r>
        <w:rPr>
          <w:color w:val="231F20"/>
        </w:rPr>
        <w:t>top</w:t>
      </w:r>
      <w:r>
        <w:rPr>
          <w:color w:val="231F20"/>
          <w:spacing w:val="-2"/>
        </w:rPr>
        <w:t xml:space="preserve"> </w:t>
      </w:r>
      <w:r>
        <w:rPr>
          <w:color w:val="231F20"/>
        </w:rPr>
        <w:t>of</w:t>
      </w:r>
      <w:r>
        <w:rPr>
          <w:color w:val="231F20"/>
          <w:spacing w:val="-2"/>
        </w:rPr>
        <w:t xml:space="preserve"> </w:t>
      </w:r>
      <w:r>
        <w:rPr>
          <w:color w:val="231F20"/>
        </w:rPr>
        <w:t>the</w:t>
      </w:r>
      <w:r>
        <w:rPr>
          <w:color w:val="231F20"/>
          <w:spacing w:val="-2"/>
        </w:rPr>
        <w:t xml:space="preserve"> </w:t>
      </w:r>
      <w:r>
        <w:rPr>
          <w:color w:val="231F20"/>
        </w:rPr>
        <w:t>stadium</w:t>
      </w:r>
      <w:r>
        <w:rPr>
          <w:color w:val="231F20"/>
          <w:spacing w:val="-2"/>
        </w:rPr>
        <w:t xml:space="preserve"> </w:t>
      </w:r>
      <w:r>
        <w:rPr>
          <w:color w:val="231F20"/>
        </w:rPr>
        <w:t>location</w:t>
      </w:r>
      <w:r>
        <w:rPr>
          <w:color w:val="231F20"/>
          <w:spacing w:val="-2"/>
        </w:rPr>
        <w:t xml:space="preserve"> </w:t>
      </w:r>
      <w:r>
        <w:rPr>
          <w:color w:val="231F20"/>
        </w:rPr>
        <w:t>hierarchy</w:t>
      </w:r>
      <w:r>
        <w:rPr>
          <w:color w:val="231F20"/>
          <w:spacing w:val="-2"/>
        </w:rPr>
        <w:t xml:space="preserve"> </w:t>
      </w:r>
      <w:r>
        <w:rPr>
          <w:color w:val="231F20"/>
        </w:rPr>
        <w:t>in</w:t>
      </w:r>
      <w:r>
        <w:rPr>
          <w:color w:val="231F20"/>
          <w:spacing w:val="-2"/>
        </w:rPr>
        <w:t xml:space="preserve"> </w:t>
      </w:r>
      <w:r>
        <w:rPr>
          <w:color w:val="231F20"/>
        </w:rPr>
        <w:t>New</w:t>
      </w:r>
      <w:r>
        <w:rPr>
          <w:color w:val="231F20"/>
          <w:spacing w:val="-2"/>
        </w:rPr>
        <w:t xml:space="preserve"> </w:t>
      </w:r>
      <w:r>
        <w:rPr>
          <w:color w:val="231F20"/>
        </w:rPr>
        <w:t>Zealand.</w:t>
      </w:r>
      <w:r>
        <w:rPr>
          <w:color w:val="231F20"/>
          <w:spacing w:val="-2"/>
        </w:rPr>
        <w:t xml:space="preserve"> </w:t>
      </w:r>
      <w:r>
        <w:rPr>
          <w:color w:val="231F20"/>
        </w:rPr>
        <w:t xml:space="preserve">Subsequent stadium development in the southern New Zealand city of Dunedin </w:t>
      </w:r>
      <w:r>
        <w:rPr>
          <w:color w:val="231F20"/>
          <w:w w:val="95"/>
        </w:rPr>
        <w:t>offers further insights into the stadium location hierarchy. The Forsyth</w:t>
      </w:r>
    </w:p>
    <w:p w14:paraId="0AD7A15E" w14:textId="77777777" w:rsidR="00AE0598" w:rsidRDefault="00AE0598">
      <w:pPr>
        <w:spacing w:line="232" w:lineRule="auto"/>
        <w:jc w:val="both"/>
        <w:sectPr w:rsidR="00AE0598">
          <w:pgSz w:w="8850" w:h="13270"/>
          <w:pgMar w:top="720" w:right="1060" w:bottom="280" w:left="1080" w:header="720" w:footer="720" w:gutter="0"/>
          <w:cols w:space="720"/>
        </w:sectPr>
      </w:pPr>
    </w:p>
    <w:p w14:paraId="0D564654" w14:textId="5992AD86" w:rsidR="00AE0598" w:rsidRDefault="0069255A">
      <w:pPr>
        <w:spacing w:before="87"/>
        <w:ind w:left="4148"/>
        <w:rPr>
          <w:rFonts w:ascii="Trebuchet MS"/>
          <w:sz w:val="14"/>
        </w:rPr>
      </w:pPr>
      <w:r>
        <w:rPr>
          <w:noProof/>
        </w:rPr>
        <w:lastRenderedPageBreak/>
        <mc:AlternateContent>
          <mc:Choice Requires="wps">
            <w:drawing>
              <wp:anchor distT="0" distB="0" distL="114300" distR="114300" simplePos="0" relativeHeight="483702272" behindDoc="1" locked="0" layoutInCell="1" allowOverlap="1" wp14:anchorId="5F430EA7" wp14:editId="4D232D6E">
                <wp:simplePos x="0" y="0"/>
                <wp:positionH relativeFrom="page">
                  <wp:posOffset>755650</wp:posOffset>
                </wp:positionH>
                <wp:positionV relativeFrom="page">
                  <wp:posOffset>838200</wp:posOffset>
                </wp:positionV>
                <wp:extent cx="4104005" cy="6645910"/>
                <wp:effectExtent l="0" t="0" r="0" b="0"/>
                <wp:wrapNone/>
                <wp:docPr id="218" name="docshape1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04005" cy="6645910"/>
                        </a:xfrm>
                        <a:prstGeom prst="rect">
                          <a:avLst/>
                        </a:prstGeom>
                        <a:solidFill>
                          <a:srgbClr val="DCDDD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434F40" id="docshape153" o:spid="_x0000_s1026" style="position:absolute;margin-left:59.5pt;margin-top:66pt;width:323.15pt;height:523.3pt;z-index:-196142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" fillcolor="#dcddde" stroked="f">
                <w10:wrap anchorx="page" anchory="page"/>
              </v:rect>
            </w:pict>
          </mc:Fallback>
        </mc:AlternateContent>
      </w:r>
      <w:r>
        <w:rPr>
          <w:rFonts w:ascii="Trebuchet MS"/>
          <w:color w:val="231F20"/>
          <w:w w:val="105"/>
          <w:sz w:val="14"/>
        </w:rPr>
        <w:t>Space:</w:t>
      </w:r>
      <w:r>
        <w:rPr>
          <w:rFonts w:ascii="Trebuchet MS"/>
          <w:color w:val="231F20"/>
          <w:spacing w:val="-12"/>
          <w:w w:val="105"/>
          <w:sz w:val="14"/>
        </w:rPr>
        <w:t xml:space="preserve"> </w:t>
      </w:r>
      <w:r>
        <w:rPr>
          <w:rFonts w:ascii="Trebuchet MS"/>
          <w:color w:val="231F20"/>
          <w:w w:val="105"/>
          <w:sz w:val="14"/>
        </w:rPr>
        <w:t>Location</w:t>
      </w:r>
      <w:r>
        <w:rPr>
          <w:rFonts w:ascii="Trebuchet MS"/>
          <w:color w:val="231F20"/>
          <w:spacing w:val="-11"/>
          <w:w w:val="105"/>
          <w:sz w:val="14"/>
        </w:rPr>
        <w:t xml:space="preserve"> </w:t>
      </w:r>
      <w:r>
        <w:rPr>
          <w:rFonts w:ascii="Trebuchet MS"/>
          <w:color w:val="231F20"/>
          <w:w w:val="105"/>
          <w:sz w:val="14"/>
        </w:rPr>
        <w:t>and</w:t>
      </w:r>
      <w:r>
        <w:rPr>
          <w:rFonts w:ascii="Trebuchet MS"/>
          <w:color w:val="231F20"/>
          <w:spacing w:val="-11"/>
          <w:w w:val="105"/>
          <w:sz w:val="14"/>
        </w:rPr>
        <w:t xml:space="preserve"> </w:t>
      </w:r>
      <w:r>
        <w:rPr>
          <w:rFonts w:ascii="Trebuchet MS"/>
          <w:color w:val="231F20"/>
          <w:w w:val="105"/>
          <w:sz w:val="14"/>
        </w:rPr>
        <w:t>Travel</w:t>
      </w:r>
      <w:r>
        <w:rPr>
          <w:rFonts w:ascii="Trebuchet MS"/>
          <w:color w:val="231F20"/>
          <w:spacing w:val="-11"/>
          <w:w w:val="105"/>
          <w:sz w:val="14"/>
        </w:rPr>
        <w:t xml:space="preserve"> </w:t>
      </w:r>
      <w:r>
        <w:rPr>
          <w:rFonts w:ascii="Trebuchet MS"/>
          <w:color w:val="231F20"/>
          <w:w w:val="105"/>
          <w:sz w:val="14"/>
        </w:rPr>
        <w:t>Flows</w:t>
      </w:r>
      <w:r>
        <w:rPr>
          <w:rFonts w:ascii="Trebuchet MS"/>
          <w:color w:val="231F20"/>
          <w:spacing w:val="59"/>
          <w:w w:val="105"/>
          <w:sz w:val="14"/>
        </w:rPr>
        <w:t xml:space="preserve"> </w:t>
      </w:r>
      <w:r>
        <w:rPr>
          <w:rFonts w:ascii="Trebuchet MS"/>
          <w:color w:val="231F20"/>
          <w:spacing w:val="-5"/>
          <w:w w:val="105"/>
          <w:sz w:val="14"/>
        </w:rPr>
        <w:t>95</w:t>
      </w:r>
    </w:p>
    <w:p w14:paraId="41D4BA50" w14:textId="77777777" w:rsidR="00AE0598" w:rsidRDefault="00AE0598">
      <w:pPr>
        <w:pStyle w:val="Corpodetexto"/>
        <w:spacing w:before="1"/>
        <w:rPr>
          <w:rFonts w:ascii="Trebuchet MS"/>
          <w:sz w:val="27"/>
        </w:rPr>
      </w:pPr>
    </w:p>
    <w:p w14:paraId="18FC78F0" w14:textId="77777777" w:rsidR="00AE0598" w:rsidRDefault="0069255A">
      <w:pPr>
        <w:pStyle w:val="Corpodetexto"/>
        <w:spacing w:before="103" w:line="232" w:lineRule="auto"/>
        <w:ind w:left="223" w:right="238"/>
        <w:jc w:val="both"/>
      </w:pPr>
      <w:r>
        <w:rPr>
          <w:color w:val="231F20"/>
        </w:rPr>
        <w:t>Barr Stadium (Dunedin, New Zealand) was a greenfields pr</w:t>
      </w:r>
      <w:r>
        <w:rPr>
          <w:color w:val="231F20"/>
        </w:rPr>
        <w:t>oject that resulted in the retirement of the historic Carisbrook Stadium, and the development</w:t>
      </w:r>
      <w:r>
        <w:rPr>
          <w:color w:val="231F20"/>
          <w:spacing w:val="-9"/>
        </w:rPr>
        <w:t xml:space="preserve"> </w:t>
      </w:r>
      <w:r>
        <w:rPr>
          <w:color w:val="231F20"/>
        </w:rPr>
        <w:t>of</w:t>
      </w:r>
      <w:r>
        <w:rPr>
          <w:color w:val="231F20"/>
          <w:spacing w:val="-9"/>
        </w:rPr>
        <w:t xml:space="preserve"> </w:t>
      </w:r>
      <w:r>
        <w:rPr>
          <w:color w:val="231F20"/>
        </w:rPr>
        <w:t>a</w:t>
      </w:r>
      <w:r>
        <w:rPr>
          <w:color w:val="231F20"/>
          <w:spacing w:val="-9"/>
        </w:rPr>
        <w:t xml:space="preserve"> </w:t>
      </w:r>
      <w:r>
        <w:rPr>
          <w:color w:val="231F20"/>
        </w:rPr>
        <w:t>new</w:t>
      </w:r>
      <w:r>
        <w:rPr>
          <w:color w:val="231F20"/>
          <w:spacing w:val="-9"/>
        </w:rPr>
        <w:t xml:space="preserve"> </w:t>
      </w:r>
      <w:r>
        <w:rPr>
          <w:color w:val="231F20"/>
        </w:rPr>
        <w:t>stadium</w:t>
      </w:r>
      <w:r>
        <w:rPr>
          <w:color w:val="231F20"/>
          <w:spacing w:val="-9"/>
        </w:rPr>
        <w:t xml:space="preserve"> </w:t>
      </w:r>
      <w:r>
        <w:rPr>
          <w:color w:val="231F20"/>
        </w:rPr>
        <w:t>in</w:t>
      </w:r>
      <w:r>
        <w:rPr>
          <w:color w:val="231F20"/>
          <w:spacing w:val="-9"/>
        </w:rPr>
        <w:t xml:space="preserve"> </w:t>
      </w:r>
      <w:r>
        <w:rPr>
          <w:color w:val="231F20"/>
        </w:rPr>
        <w:t>an</w:t>
      </w:r>
      <w:r>
        <w:rPr>
          <w:color w:val="231F20"/>
          <w:spacing w:val="-9"/>
        </w:rPr>
        <w:t xml:space="preserve"> </w:t>
      </w:r>
      <w:r>
        <w:rPr>
          <w:color w:val="231F20"/>
        </w:rPr>
        <w:t>inner-city</w:t>
      </w:r>
      <w:r>
        <w:rPr>
          <w:color w:val="231F20"/>
          <w:spacing w:val="-9"/>
        </w:rPr>
        <w:t xml:space="preserve"> </w:t>
      </w:r>
      <w:r>
        <w:rPr>
          <w:color w:val="231F20"/>
        </w:rPr>
        <w:t>location</w:t>
      </w:r>
      <w:r>
        <w:rPr>
          <w:color w:val="231F20"/>
          <w:spacing w:val="-9"/>
        </w:rPr>
        <w:t xml:space="preserve"> </w:t>
      </w:r>
      <w:r>
        <w:rPr>
          <w:color w:val="231F20"/>
        </w:rPr>
        <w:t>adjacent</w:t>
      </w:r>
      <w:r>
        <w:rPr>
          <w:color w:val="231F20"/>
          <w:spacing w:val="-9"/>
        </w:rPr>
        <w:t xml:space="preserve"> </w:t>
      </w:r>
      <w:r>
        <w:rPr>
          <w:color w:val="231F20"/>
        </w:rPr>
        <w:t>to</w:t>
      </w:r>
      <w:r>
        <w:rPr>
          <w:color w:val="231F20"/>
          <w:spacing w:val="-9"/>
        </w:rPr>
        <w:t xml:space="preserve"> </w:t>
      </w:r>
      <w:r>
        <w:rPr>
          <w:color w:val="231F20"/>
        </w:rPr>
        <w:t>the Dunedin railway station and the University of Otago. Completed in 2011 with a fixed roof, it features a number of revolutionary design features</w:t>
      </w:r>
      <w:r>
        <w:rPr>
          <w:color w:val="231F20"/>
          <w:spacing w:val="-4"/>
        </w:rPr>
        <w:t xml:space="preserve"> </w:t>
      </w:r>
      <w:r>
        <w:rPr>
          <w:color w:val="231F20"/>
        </w:rPr>
        <w:t>that</w:t>
      </w:r>
      <w:r>
        <w:rPr>
          <w:color w:val="231F20"/>
          <w:spacing w:val="-4"/>
        </w:rPr>
        <w:t xml:space="preserve"> </w:t>
      </w:r>
      <w:r>
        <w:rPr>
          <w:color w:val="231F20"/>
        </w:rPr>
        <w:t>underpin</w:t>
      </w:r>
      <w:r>
        <w:rPr>
          <w:color w:val="231F20"/>
          <w:spacing w:val="-4"/>
        </w:rPr>
        <w:t xml:space="preserve"> </w:t>
      </w:r>
      <w:r>
        <w:rPr>
          <w:color w:val="231F20"/>
        </w:rPr>
        <w:t>its</w:t>
      </w:r>
      <w:r>
        <w:rPr>
          <w:color w:val="231F20"/>
          <w:spacing w:val="-4"/>
        </w:rPr>
        <w:t xml:space="preserve"> </w:t>
      </w:r>
      <w:r>
        <w:rPr>
          <w:color w:val="231F20"/>
        </w:rPr>
        <w:t>claim</w:t>
      </w:r>
      <w:r>
        <w:rPr>
          <w:color w:val="231F20"/>
          <w:spacing w:val="-4"/>
        </w:rPr>
        <w:t xml:space="preserve"> </w:t>
      </w:r>
      <w:r>
        <w:rPr>
          <w:color w:val="231F20"/>
        </w:rPr>
        <w:t>to</w:t>
      </w:r>
      <w:r>
        <w:rPr>
          <w:color w:val="231F20"/>
          <w:spacing w:val="-4"/>
        </w:rPr>
        <w:t xml:space="preserve"> </w:t>
      </w:r>
      <w:r>
        <w:rPr>
          <w:color w:val="231F20"/>
        </w:rPr>
        <w:t>be</w:t>
      </w:r>
      <w:r>
        <w:rPr>
          <w:color w:val="231F20"/>
          <w:spacing w:val="-4"/>
        </w:rPr>
        <w:t xml:space="preserve"> </w:t>
      </w:r>
      <w:r>
        <w:rPr>
          <w:color w:val="231F20"/>
        </w:rPr>
        <w:t>the</w:t>
      </w:r>
      <w:r>
        <w:rPr>
          <w:color w:val="231F20"/>
          <w:spacing w:val="-4"/>
        </w:rPr>
        <w:t xml:space="preserve"> </w:t>
      </w:r>
      <w:r>
        <w:rPr>
          <w:color w:val="231F20"/>
        </w:rPr>
        <w:t>world’s</w:t>
      </w:r>
      <w:r>
        <w:rPr>
          <w:color w:val="231F20"/>
          <w:spacing w:val="-4"/>
        </w:rPr>
        <w:t xml:space="preserve"> </w:t>
      </w:r>
      <w:r>
        <w:rPr>
          <w:color w:val="231F20"/>
        </w:rPr>
        <w:t>only</w:t>
      </w:r>
      <w:r>
        <w:rPr>
          <w:color w:val="231F20"/>
          <w:spacing w:val="-4"/>
        </w:rPr>
        <w:t xml:space="preserve"> </w:t>
      </w:r>
      <w:r>
        <w:rPr>
          <w:color w:val="231F20"/>
        </w:rPr>
        <w:t>fixed</w:t>
      </w:r>
      <w:r>
        <w:rPr>
          <w:color w:val="231F20"/>
          <w:spacing w:val="-4"/>
        </w:rPr>
        <w:t xml:space="preserve"> </w:t>
      </w:r>
      <w:r>
        <w:rPr>
          <w:color w:val="231F20"/>
        </w:rPr>
        <w:t>roof</w:t>
      </w:r>
      <w:r>
        <w:rPr>
          <w:color w:val="231F20"/>
          <w:spacing w:val="-4"/>
        </w:rPr>
        <w:t xml:space="preserve"> </w:t>
      </w:r>
      <w:r>
        <w:rPr>
          <w:color w:val="231F20"/>
        </w:rPr>
        <w:t>(non- retractable) stadium with a permanent natura</w:t>
      </w:r>
      <w:r>
        <w:rPr>
          <w:color w:val="231F20"/>
        </w:rPr>
        <w:t>l turf playing surface. The roof is made of ethylene tetrafluoroethylene (ETFE), a fluorine- based</w:t>
      </w:r>
      <w:r>
        <w:rPr>
          <w:color w:val="231F20"/>
          <w:spacing w:val="-3"/>
        </w:rPr>
        <w:t xml:space="preserve"> </w:t>
      </w:r>
      <w:r>
        <w:rPr>
          <w:color w:val="231F20"/>
        </w:rPr>
        <w:t>plastic</w:t>
      </w:r>
      <w:r>
        <w:rPr>
          <w:color w:val="231F20"/>
          <w:spacing w:val="-3"/>
        </w:rPr>
        <w:t xml:space="preserve"> </w:t>
      </w:r>
      <w:r>
        <w:rPr>
          <w:color w:val="231F20"/>
        </w:rPr>
        <w:t>that</w:t>
      </w:r>
      <w:r>
        <w:rPr>
          <w:color w:val="231F20"/>
          <w:spacing w:val="-3"/>
        </w:rPr>
        <w:t xml:space="preserve"> </w:t>
      </w:r>
      <w:r>
        <w:rPr>
          <w:color w:val="231F20"/>
        </w:rPr>
        <w:t>was</w:t>
      </w:r>
      <w:r>
        <w:rPr>
          <w:color w:val="231F20"/>
          <w:spacing w:val="-3"/>
        </w:rPr>
        <w:t xml:space="preserve"> </w:t>
      </w:r>
      <w:r>
        <w:rPr>
          <w:color w:val="231F20"/>
        </w:rPr>
        <w:t>originally</w:t>
      </w:r>
      <w:r>
        <w:rPr>
          <w:color w:val="231F20"/>
          <w:spacing w:val="-3"/>
        </w:rPr>
        <w:t xml:space="preserve"> </w:t>
      </w:r>
      <w:r>
        <w:rPr>
          <w:color w:val="231F20"/>
        </w:rPr>
        <w:t>developed</w:t>
      </w:r>
      <w:r>
        <w:rPr>
          <w:color w:val="231F20"/>
          <w:spacing w:val="-3"/>
        </w:rPr>
        <w:t xml:space="preserve"> </w:t>
      </w:r>
      <w:r>
        <w:rPr>
          <w:color w:val="231F20"/>
        </w:rPr>
        <w:t>for</w:t>
      </w:r>
      <w:r>
        <w:rPr>
          <w:color w:val="231F20"/>
          <w:spacing w:val="-3"/>
        </w:rPr>
        <w:t xml:space="preserve"> </w:t>
      </w:r>
      <w:r>
        <w:rPr>
          <w:color w:val="231F20"/>
        </w:rPr>
        <w:t>the</w:t>
      </w:r>
      <w:r>
        <w:rPr>
          <w:color w:val="231F20"/>
          <w:spacing w:val="-3"/>
        </w:rPr>
        <w:t xml:space="preserve"> </w:t>
      </w:r>
      <w:r>
        <w:rPr>
          <w:color w:val="231F20"/>
        </w:rPr>
        <w:t>space</w:t>
      </w:r>
      <w:r>
        <w:rPr>
          <w:color w:val="231F20"/>
          <w:spacing w:val="-3"/>
        </w:rPr>
        <w:t xml:space="preserve"> </w:t>
      </w:r>
      <w:r>
        <w:rPr>
          <w:color w:val="231F20"/>
        </w:rPr>
        <w:t>industry</w:t>
      </w:r>
      <w:r>
        <w:rPr>
          <w:color w:val="231F20"/>
          <w:spacing w:val="-3"/>
        </w:rPr>
        <w:t xml:space="preserve"> </w:t>
      </w:r>
      <w:r>
        <w:rPr>
          <w:color w:val="231F20"/>
        </w:rPr>
        <w:t>and subsequently used in the construction of the Eden Project (UK) and Beijing’s 2008 Olympic Na</w:t>
      </w:r>
      <w:r>
        <w:rPr>
          <w:color w:val="231F20"/>
        </w:rPr>
        <w:t>tional Aquatics Centre (the Water Cube). This technology affords protection from the elements but allows ultraviolet light to support natural grass growth irrigated by water that is harvested from the stadium roof. The fixed roof is considered</w:t>
      </w:r>
      <w:r>
        <w:rPr>
          <w:color w:val="231F20"/>
          <w:spacing w:val="80"/>
        </w:rPr>
        <w:t xml:space="preserve"> </w:t>
      </w:r>
      <w:r>
        <w:rPr>
          <w:color w:val="231F20"/>
          <w:w w:val="95"/>
        </w:rPr>
        <w:t xml:space="preserve">a strategic </w:t>
      </w:r>
      <w:r>
        <w:rPr>
          <w:color w:val="231F20"/>
          <w:w w:val="95"/>
        </w:rPr>
        <w:t xml:space="preserve">advantage of great importance in attracting sport and other </w:t>
      </w:r>
      <w:r>
        <w:rPr>
          <w:color w:val="231F20"/>
        </w:rPr>
        <w:t>events,</w:t>
      </w:r>
      <w:r>
        <w:rPr>
          <w:color w:val="231F20"/>
          <w:spacing w:val="-3"/>
        </w:rPr>
        <w:t xml:space="preserve"> </w:t>
      </w:r>
      <w:r>
        <w:rPr>
          <w:color w:val="231F20"/>
        </w:rPr>
        <w:t>and</w:t>
      </w:r>
      <w:r>
        <w:rPr>
          <w:color w:val="231F20"/>
          <w:spacing w:val="-3"/>
        </w:rPr>
        <w:t xml:space="preserve"> </w:t>
      </w:r>
      <w:r>
        <w:rPr>
          <w:color w:val="231F20"/>
        </w:rPr>
        <w:t>boosting</w:t>
      </w:r>
      <w:r>
        <w:rPr>
          <w:color w:val="231F20"/>
          <w:spacing w:val="-3"/>
        </w:rPr>
        <w:t xml:space="preserve"> </w:t>
      </w:r>
      <w:r>
        <w:rPr>
          <w:color w:val="231F20"/>
        </w:rPr>
        <w:t>advanced</w:t>
      </w:r>
      <w:r>
        <w:rPr>
          <w:color w:val="231F20"/>
          <w:spacing w:val="-4"/>
        </w:rPr>
        <w:t xml:space="preserve"> </w:t>
      </w:r>
      <w:r>
        <w:rPr>
          <w:color w:val="231F20"/>
        </w:rPr>
        <w:t>ticket</w:t>
      </w:r>
      <w:r>
        <w:rPr>
          <w:color w:val="231F20"/>
          <w:spacing w:val="-4"/>
        </w:rPr>
        <w:t xml:space="preserve"> </w:t>
      </w:r>
      <w:r>
        <w:rPr>
          <w:color w:val="231F20"/>
        </w:rPr>
        <w:t>sales</w:t>
      </w:r>
      <w:r>
        <w:rPr>
          <w:color w:val="231F20"/>
          <w:spacing w:val="-3"/>
        </w:rPr>
        <w:t xml:space="preserve"> </w:t>
      </w:r>
      <w:r>
        <w:rPr>
          <w:color w:val="231F20"/>
        </w:rPr>
        <w:t>because</w:t>
      </w:r>
      <w:r>
        <w:rPr>
          <w:color w:val="231F20"/>
          <w:spacing w:val="-3"/>
        </w:rPr>
        <w:t xml:space="preserve"> </w:t>
      </w:r>
      <w:r>
        <w:rPr>
          <w:color w:val="231F20"/>
        </w:rPr>
        <w:t>the</w:t>
      </w:r>
      <w:r>
        <w:rPr>
          <w:color w:val="231F20"/>
          <w:spacing w:val="-3"/>
        </w:rPr>
        <w:t xml:space="preserve"> </w:t>
      </w:r>
      <w:r>
        <w:rPr>
          <w:color w:val="231F20"/>
        </w:rPr>
        <w:t>vagaries</w:t>
      </w:r>
      <w:r>
        <w:rPr>
          <w:color w:val="231F20"/>
          <w:spacing w:val="-4"/>
        </w:rPr>
        <w:t xml:space="preserve"> </w:t>
      </w:r>
      <w:r>
        <w:rPr>
          <w:color w:val="231F20"/>
        </w:rPr>
        <w:t>of</w:t>
      </w:r>
      <w:r>
        <w:rPr>
          <w:color w:val="231F20"/>
          <w:spacing w:val="-4"/>
        </w:rPr>
        <w:t xml:space="preserve"> </w:t>
      </w:r>
      <w:r>
        <w:rPr>
          <w:color w:val="231F20"/>
        </w:rPr>
        <w:t xml:space="preserve">the southern New Zealand climate are neutralised and eliminated from </w:t>
      </w:r>
      <w:r>
        <w:rPr>
          <w:color w:val="231F20"/>
          <w:w w:val="95"/>
        </w:rPr>
        <w:t>the purchase decision. It affords a spectator experience that is superior</w:t>
      </w:r>
      <w:r>
        <w:rPr>
          <w:color w:val="231F20"/>
          <w:spacing w:val="40"/>
        </w:rPr>
        <w:t xml:space="preserve"> </w:t>
      </w:r>
      <w:r>
        <w:rPr>
          <w:color w:val="231F20"/>
        </w:rPr>
        <w:t>to any other stadium in New Zealand. At the same time, the question arises</w:t>
      </w:r>
      <w:r>
        <w:rPr>
          <w:color w:val="231F20"/>
          <w:spacing w:val="-5"/>
        </w:rPr>
        <w:t xml:space="preserve"> </w:t>
      </w:r>
      <w:r>
        <w:rPr>
          <w:color w:val="231F20"/>
        </w:rPr>
        <w:t>as</w:t>
      </w:r>
      <w:r>
        <w:rPr>
          <w:color w:val="231F20"/>
          <w:spacing w:val="-5"/>
        </w:rPr>
        <w:t xml:space="preserve"> </w:t>
      </w:r>
      <w:r>
        <w:rPr>
          <w:color w:val="231F20"/>
        </w:rPr>
        <w:t>to</w:t>
      </w:r>
      <w:r>
        <w:rPr>
          <w:color w:val="231F20"/>
          <w:spacing w:val="-5"/>
        </w:rPr>
        <w:t xml:space="preserve"> </w:t>
      </w:r>
      <w:r>
        <w:rPr>
          <w:color w:val="231F20"/>
        </w:rPr>
        <w:t>whether</w:t>
      </w:r>
      <w:r>
        <w:rPr>
          <w:color w:val="231F20"/>
          <w:spacing w:val="-5"/>
        </w:rPr>
        <w:t xml:space="preserve"> </w:t>
      </w:r>
      <w:r>
        <w:rPr>
          <w:color w:val="231F20"/>
        </w:rPr>
        <w:t>the</w:t>
      </w:r>
      <w:r>
        <w:rPr>
          <w:color w:val="231F20"/>
          <w:spacing w:val="-5"/>
        </w:rPr>
        <w:t xml:space="preserve"> </w:t>
      </w:r>
      <w:r>
        <w:rPr>
          <w:color w:val="231F20"/>
        </w:rPr>
        <w:t>production</w:t>
      </w:r>
      <w:r>
        <w:rPr>
          <w:color w:val="231F20"/>
          <w:spacing w:val="-5"/>
        </w:rPr>
        <w:t xml:space="preserve"> </w:t>
      </w:r>
      <w:r>
        <w:rPr>
          <w:color w:val="231F20"/>
        </w:rPr>
        <w:t>of</w:t>
      </w:r>
      <w:r>
        <w:rPr>
          <w:color w:val="231F20"/>
          <w:spacing w:val="-5"/>
        </w:rPr>
        <w:t xml:space="preserve"> </w:t>
      </w:r>
      <w:r>
        <w:rPr>
          <w:color w:val="231F20"/>
        </w:rPr>
        <w:t>sports</w:t>
      </w:r>
      <w:r>
        <w:rPr>
          <w:color w:val="231F20"/>
          <w:spacing w:val="-5"/>
        </w:rPr>
        <w:t xml:space="preserve"> </w:t>
      </w:r>
      <w:r>
        <w:rPr>
          <w:color w:val="231F20"/>
        </w:rPr>
        <w:t>in</w:t>
      </w:r>
      <w:r>
        <w:rPr>
          <w:color w:val="231F20"/>
          <w:spacing w:val="-5"/>
        </w:rPr>
        <w:t xml:space="preserve"> </w:t>
      </w:r>
      <w:r>
        <w:rPr>
          <w:color w:val="231F20"/>
        </w:rPr>
        <w:t>standardised</w:t>
      </w:r>
      <w:r>
        <w:rPr>
          <w:color w:val="231F20"/>
          <w:spacing w:val="-5"/>
        </w:rPr>
        <w:t xml:space="preserve"> </w:t>
      </w:r>
      <w:r>
        <w:rPr>
          <w:color w:val="231F20"/>
        </w:rPr>
        <w:t>facilities that represent a complete removal from the unique elements of place actually represents a threat to tourism. The stadium roof represents</w:t>
      </w:r>
      <w:r>
        <w:rPr>
          <w:color w:val="231F20"/>
          <w:spacing w:val="80"/>
        </w:rPr>
        <w:t xml:space="preserve"> </w:t>
      </w:r>
      <w:r>
        <w:rPr>
          <w:color w:val="231F20"/>
        </w:rPr>
        <w:t>a loss of authenticity for some because the weather was once an important aspect of playing</w:t>
      </w:r>
      <w:r>
        <w:rPr>
          <w:color w:val="231F20"/>
        </w:rPr>
        <w:t xml:space="preserve"> style that offered a unique home ground advantage. Will there be a backlash? Does standardisation ultimately result in the loss of local uniqueness, or does it actually enhance</w:t>
      </w:r>
      <w:r>
        <w:rPr>
          <w:color w:val="231F20"/>
          <w:spacing w:val="80"/>
        </w:rPr>
        <w:t xml:space="preserve"> </w:t>
      </w:r>
      <w:r>
        <w:rPr>
          <w:color w:val="231F20"/>
        </w:rPr>
        <w:t>place differentiation, uniqueness and recognisability? Currently, the fixed st</w:t>
      </w:r>
      <w:r>
        <w:rPr>
          <w:color w:val="231F20"/>
        </w:rPr>
        <w:t xml:space="preserve">adium roof is unique, but it is likely to be replicated perhaps most immediately in the neighbouring city of Christchurch, which is </w:t>
      </w:r>
      <w:r>
        <w:rPr>
          <w:color w:val="231F20"/>
          <w:w w:val="95"/>
        </w:rPr>
        <w:t xml:space="preserve">being rebuilt after the 2010–2011 earthquake sequence that destroyed Christchurch’s Jade Stadium (formerly Lancaster Park), </w:t>
      </w:r>
      <w:r>
        <w:rPr>
          <w:color w:val="231F20"/>
          <w:w w:val="95"/>
        </w:rPr>
        <w:t>which had been extensively</w:t>
      </w:r>
      <w:r>
        <w:rPr>
          <w:color w:val="231F20"/>
        </w:rPr>
        <w:t xml:space="preserve"> </w:t>
      </w:r>
      <w:r>
        <w:rPr>
          <w:color w:val="231F20"/>
          <w:w w:val="95"/>
        </w:rPr>
        <w:t>rebuilt</w:t>
      </w:r>
      <w:r>
        <w:rPr>
          <w:color w:val="231F20"/>
        </w:rPr>
        <w:t xml:space="preserve"> </w:t>
      </w:r>
      <w:r>
        <w:rPr>
          <w:color w:val="231F20"/>
          <w:w w:val="95"/>
        </w:rPr>
        <w:t>immediately</w:t>
      </w:r>
      <w:r>
        <w:rPr>
          <w:color w:val="231F20"/>
        </w:rPr>
        <w:t xml:space="preserve"> </w:t>
      </w:r>
      <w:r>
        <w:rPr>
          <w:color w:val="231F20"/>
          <w:w w:val="95"/>
        </w:rPr>
        <w:t>prior</w:t>
      </w:r>
      <w:r>
        <w:rPr>
          <w:color w:val="231F20"/>
        </w:rPr>
        <w:t xml:space="preserve"> </w:t>
      </w:r>
      <w:r>
        <w:rPr>
          <w:color w:val="231F20"/>
          <w:w w:val="95"/>
        </w:rPr>
        <w:t>to</w:t>
      </w:r>
      <w:r>
        <w:rPr>
          <w:color w:val="231F20"/>
        </w:rPr>
        <w:t xml:space="preserve"> </w:t>
      </w:r>
      <w:r>
        <w:rPr>
          <w:color w:val="231F20"/>
          <w:w w:val="95"/>
        </w:rPr>
        <w:t>the</w:t>
      </w:r>
      <w:r>
        <w:rPr>
          <w:color w:val="231F20"/>
        </w:rPr>
        <w:t xml:space="preserve"> </w:t>
      </w:r>
      <w:r>
        <w:rPr>
          <w:color w:val="231F20"/>
          <w:w w:val="95"/>
        </w:rPr>
        <w:t>Christchurch</w:t>
      </w:r>
      <w:r>
        <w:rPr>
          <w:color w:val="231F20"/>
        </w:rPr>
        <w:t xml:space="preserve"> </w:t>
      </w:r>
      <w:r>
        <w:rPr>
          <w:color w:val="231F20"/>
          <w:w w:val="95"/>
        </w:rPr>
        <w:t>earthquakes.</w:t>
      </w:r>
      <w:r>
        <w:rPr>
          <w:color w:val="231F20"/>
          <w:spacing w:val="80"/>
          <w:w w:val="150"/>
        </w:rPr>
        <w:t xml:space="preserve"> </w:t>
      </w:r>
      <w:r>
        <w:rPr>
          <w:color w:val="231F20"/>
        </w:rPr>
        <w:t xml:space="preserve">If so, the status of unique destinations that seek to host sports events </w:t>
      </w:r>
      <w:r>
        <w:rPr>
          <w:color w:val="231F20"/>
          <w:w w:val="95"/>
        </w:rPr>
        <w:t xml:space="preserve">may be compromised as the venues for sport become more standardised </w:t>
      </w:r>
      <w:r>
        <w:rPr>
          <w:color w:val="231F20"/>
        </w:rPr>
        <w:t>and</w:t>
      </w:r>
      <w:r>
        <w:rPr>
          <w:color w:val="231F20"/>
          <w:spacing w:val="-4"/>
        </w:rPr>
        <w:t xml:space="preserve"> </w:t>
      </w:r>
      <w:r>
        <w:rPr>
          <w:color w:val="231F20"/>
        </w:rPr>
        <w:t>less</w:t>
      </w:r>
      <w:r>
        <w:rPr>
          <w:color w:val="231F20"/>
          <w:spacing w:val="-4"/>
        </w:rPr>
        <w:t xml:space="preserve"> </w:t>
      </w:r>
      <w:r>
        <w:rPr>
          <w:color w:val="231F20"/>
        </w:rPr>
        <w:t>distinctive</w:t>
      </w:r>
      <w:r>
        <w:rPr>
          <w:color w:val="231F20"/>
          <w:spacing w:val="-4"/>
        </w:rPr>
        <w:t xml:space="preserve"> </w:t>
      </w:r>
      <w:r>
        <w:rPr>
          <w:color w:val="231F20"/>
        </w:rPr>
        <w:t>and</w:t>
      </w:r>
      <w:r>
        <w:rPr>
          <w:color w:val="231F20"/>
          <w:spacing w:val="-4"/>
        </w:rPr>
        <w:t xml:space="preserve"> </w:t>
      </w:r>
      <w:r>
        <w:rPr>
          <w:color w:val="231F20"/>
        </w:rPr>
        <w:t>reco</w:t>
      </w:r>
      <w:r>
        <w:rPr>
          <w:color w:val="231F20"/>
        </w:rPr>
        <w:t>gnisable,</w:t>
      </w:r>
      <w:r>
        <w:rPr>
          <w:color w:val="231F20"/>
          <w:spacing w:val="-4"/>
        </w:rPr>
        <w:t xml:space="preserve"> </w:t>
      </w:r>
      <w:r>
        <w:rPr>
          <w:color w:val="231F20"/>
        </w:rPr>
        <w:t>but</w:t>
      </w:r>
      <w:r>
        <w:rPr>
          <w:color w:val="231F20"/>
          <w:spacing w:val="-4"/>
        </w:rPr>
        <w:t xml:space="preserve"> </w:t>
      </w:r>
      <w:r>
        <w:rPr>
          <w:color w:val="231F20"/>
        </w:rPr>
        <w:t>the</w:t>
      </w:r>
      <w:r>
        <w:rPr>
          <w:color w:val="231F20"/>
          <w:spacing w:val="-4"/>
        </w:rPr>
        <w:t xml:space="preserve"> </w:t>
      </w:r>
      <w:r>
        <w:rPr>
          <w:color w:val="231F20"/>
        </w:rPr>
        <w:t>dynamics</w:t>
      </w:r>
      <w:r>
        <w:rPr>
          <w:color w:val="231F20"/>
          <w:spacing w:val="-4"/>
        </w:rPr>
        <w:t xml:space="preserve"> </w:t>
      </w:r>
      <w:r>
        <w:rPr>
          <w:color w:val="231F20"/>
        </w:rPr>
        <w:t>of</w:t>
      </w:r>
      <w:r>
        <w:rPr>
          <w:color w:val="231F20"/>
          <w:spacing w:val="-4"/>
        </w:rPr>
        <w:t xml:space="preserve"> </w:t>
      </w:r>
      <w:r>
        <w:rPr>
          <w:color w:val="231F20"/>
        </w:rPr>
        <w:t>the</w:t>
      </w:r>
      <w:r>
        <w:rPr>
          <w:color w:val="231F20"/>
          <w:spacing w:val="-4"/>
        </w:rPr>
        <w:t xml:space="preserve"> </w:t>
      </w:r>
      <w:r>
        <w:rPr>
          <w:color w:val="231F20"/>
        </w:rPr>
        <w:t>stadium location hierarchy will continue.</w:t>
      </w:r>
    </w:p>
    <w:p w14:paraId="28B85BEA" w14:textId="77777777" w:rsidR="00AE0598" w:rsidRDefault="00AE0598">
      <w:pPr>
        <w:pStyle w:val="Corpodetexto"/>
        <w:spacing w:before="7"/>
        <w:rPr>
          <w:sz w:val="24"/>
        </w:rPr>
      </w:pPr>
    </w:p>
    <w:p w14:paraId="43AAF9D9" w14:textId="77777777" w:rsidR="00AE0598" w:rsidRDefault="0069255A">
      <w:pPr>
        <w:ind w:left="223"/>
        <w:jc w:val="both"/>
        <w:rPr>
          <w:rFonts w:ascii="Trebuchet MS"/>
          <w:sz w:val="20"/>
        </w:rPr>
      </w:pPr>
      <w:r>
        <w:rPr>
          <w:rFonts w:ascii="Trebuchet MS"/>
          <w:color w:val="231F20"/>
          <w:w w:val="105"/>
          <w:sz w:val="20"/>
        </w:rPr>
        <w:t>Key</w:t>
      </w:r>
      <w:r>
        <w:rPr>
          <w:rFonts w:ascii="Trebuchet MS"/>
          <w:color w:val="231F20"/>
          <w:spacing w:val="-11"/>
          <w:w w:val="105"/>
          <w:sz w:val="20"/>
        </w:rPr>
        <w:t xml:space="preserve"> </w:t>
      </w:r>
      <w:r>
        <w:rPr>
          <w:rFonts w:ascii="Trebuchet MS"/>
          <w:color w:val="231F20"/>
          <w:spacing w:val="-2"/>
          <w:w w:val="105"/>
          <w:sz w:val="20"/>
        </w:rPr>
        <w:t>Reading</w:t>
      </w:r>
    </w:p>
    <w:p w14:paraId="113FCB82" w14:textId="77777777" w:rsidR="00AE0598" w:rsidRDefault="0069255A">
      <w:pPr>
        <w:spacing w:before="116"/>
        <w:ind w:left="223"/>
        <w:jc w:val="both"/>
        <w:rPr>
          <w:sz w:val="21"/>
        </w:rPr>
      </w:pPr>
      <w:r>
        <w:rPr>
          <w:color w:val="231F20"/>
          <w:sz w:val="21"/>
        </w:rPr>
        <w:t>Bale,</w:t>
      </w:r>
      <w:r>
        <w:rPr>
          <w:color w:val="231F20"/>
          <w:spacing w:val="14"/>
          <w:sz w:val="21"/>
        </w:rPr>
        <w:t xml:space="preserve"> </w:t>
      </w:r>
      <w:r>
        <w:rPr>
          <w:color w:val="231F20"/>
          <w:sz w:val="21"/>
        </w:rPr>
        <w:t>J.</w:t>
      </w:r>
      <w:r>
        <w:rPr>
          <w:color w:val="231F20"/>
          <w:spacing w:val="17"/>
          <w:sz w:val="21"/>
        </w:rPr>
        <w:t xml:space="preserve"> </w:t>
      </w:r>
      <w:r>
        <w:rPr>
          <w:color w:val="231F20"/>
          <w:sz w:val="21"/>
        </w:rPr>
        <w:t>(1989)</w:t>
      </w:r>
      <w:r>
        <w:rPr>
          <w:color w:val="231F20"/>
          <w:spacing w:val="15"/>
          <w:sz w:val="21"/>
        </w:rPr>
        <w:t xml:space="preserve"> </w:t>
      </w:r>
      <w:r>
        <w:rPr>
          <w:i/>
          <w:color w:val="231F20"/>
          <w:sz w:val="21"/>
        </w:rPr>
        <w:t>Sports</w:t>
      </w:r>
      <w:r>
        <w:rPr>
          <w:i/>
          <w:color w:val="231F20"/>
          <w:spacing w:val="16"/>
          <w:sz w:val="21"/>
        </w:rPr>
        <w:t xml:space="preserve"> </w:t>
      </w:r>
      <w:r>
        <w:rPr>
          <w:i/>
          <w:color w:val="231F20"/>
          <w:sz w:val="21"/>
        </w:rPr>
        <w:t>Geography</w:t>
      </w:r>
      <w:r>
        <w:rPr>
          <w:color w:val="231F20"/>
          <w:sz w:val="21"/>
        </w:rPr>
        <w:t>.</w:t>
      </w:r>
      <w:r>
        <w:rPr>
          <w:color w:val="231F20"/>
          <w:spacing w:val="16"/>
          <w:sz w:val="21"/>
        </w:rPr>
        <w:t xml:space="preserve"> </w:t>
      </w:r>
      <w:r>
        <w:rPr>
          <w:color w:val="231F20"/>
          <w:sz w:val="21"/>
        </w:rPr>
        <w:t>London:</w:t>
      </w:r>
      <w:r>
        <w:rPr>
          <w:color w:val="231F20"/>
          <w:spacing w:val="16"/>
          <w:sz w:val="21"/>
        </w:rPr>
        <w:t xml:space="preserve"> </w:t>
      </w:r>
      <w:r>
        <w:rPr>
          <w:color w:val="231F20"/>
          <w:sz w:val="21"/>
        </w:rPr>
        <w:t>E&amp;FN</w:t>
      </w:r>
      <w:r>
        <w:rPr>
          <w:color w:val="231F20"/>
          <w:spacing w:val="16"/>
          <w:sz w:val="21"/>
        </w:rPr>
        <w:t xml:space="preserve"> </w:t>
      </w:r>
      <w:r>
        <w:rPr>
          <w:color w:val="231F20"/>
          <w:spacing w:val="-2"/>
          <w:sz w:val="21"/>
        </w:rPr>
        <w:t>Spon.</w:t>
      </w:r>
    </w:p>
    <w:p w14:paraId="576EED40" w14:textId="77777777" w:rsidR="00AE0598" w:rsidRDefault="0069255A">
      <w:pPr>
        <w:pStyle w:val="Corpodetexto"/>
        <w:spacing w:before="120" w:line="232" w:lineRule="auto"/>
        <w:ind w:left="223" w:right="241"/>
        <w:jc w:val="both"/>
      </w:pPr>
      <w:r>
        <w:rPr>
          <w:color w:val="231F20"/>
        </w:rPr>
        <w:t xml:space="preserve">Forsyth Barr Stadium. Construction facts and figures. See https:// </w:t>
      </w:r>
      <w:r>
        <w:rPr>
          <w:color w:val="231F20"/>
          <w:spacing w:val="-3"/>
          <w:w w:val="103"/>
        </w:rPr>
        <w:t>f</w:t>
      </w:r>
      <w:r>
        <w:rPr>
          <w:color w:val="231F20"/>
          <w:spacing w:val="-3"/>
          <w:w w:val="97"/>
        </w:rPr>
        <w:t>o</w:t>
      </w:r>
      <w:r>
        <w:rPr>
          <w:color w:val="231F20"/>
          <w:spacing w:val="-2"/>
          <w:w w:val="88"/>
        </w:rPr>
        <w:t>rs</w:t>
      </w:r>
      <w:r>
        <w:rPr>
          <w:color w:val="231F20"/>
          <w:spacing w:val="2"/>
          <w:w w:val="88"/>
        </w:rPr>
        <w:t>y</w:t>
      </w:r>
      <w:r>
        <w:rPr>
          <w:color w:val="231F20"/>
          <w:spacing w:val="2"/>
          <w:w w:val="92"/>
        </w:rPr>
        <w:t>t</w:t>
      </w:r>
      <w:r>
        <w:rPr>
          <w:color w:val="231F20"/>
          <w:spacing w:val="-3"/>
          <w:w w:val="93"/>
        </w:rPr>
        <w:t>h</w:t>
      </w:r>
      <w:r>
        <w:rPr>
          <w:color w:val="231F20"/>
          <w:spacing w:val="-3"/>
          <w:w w:val="94"/>
        </w:rPr>
        <w:t>b</w:t>
      </w:r>
      <w:r>
        <w:rPr>
          <w:color w:val="231F20"/>
          <w:spacing w:val="1"/>
          <w:w w:val="95"/>
        </w:rPr>
        <w:t>a</w:t>
      </w:r>
      <w:r>
        <w:rPr>
          <w:color w:val="231F20"/>
          <w:w w:val="87"/>
        </w:rPr>
        <w:t>r</w:t>
      </w:r>
      <w:r>
        <w:rPr>
          <w:color w:val="231F20"/>
          <w:spacing w:val="-2"/>
          <w:w w:val="87"/>
        </w:rPr>
        <w:t>rs</w:t>
      </w:r>
      <w:r>
        <w:rPr>
          <w:color w:val="231F20"/>
          <w:w w:val="87"/>
        </w:rPr>
        <w:t>t</w:t>
      </w:r>
      <w:r>
        <w:rPr>
          <w:color w:val="231F20"/>
          <w:spacing w:val="-3"/>
          <w:w w:val="95"/>
        </w:rPr>
        <w:t>a</w:t>
      </w:r>
      <w:r>
        <w:rPr>
          <w:color w:val="231F20"/>
          <w:spacing w:val="2"/>
          <w:w w:val="92"/>
        </w:rPr>
        <w:t>d</w:t>
      </w:r>
      <w:r>
        <w:rPr>
          <w:color w:val="231F20"/>
          <w:spacing w:val="-5"/>
          <w:w w:val="94"/>
        </w:rPr>
        <w:t>i</w:t>
      </w:r>
      <w:r>
        <w:rPr>
          <w:color w:val="231F20"/>
          <w:spacing w:val="1"/>
          <w:w w:val="93"/>
        </w:rPr>
        <w:t>u</w:t>
      </w:r>
      <w:r>
        <w:rPr>
          <w:color w:val="231F20"/>
          <w:w w:val="93"/>
        </w:rPr>
        <w:t>m</w:t>
      </w:r>
      <w:r>
        <w:rPr>
          <w:color w:val="231F20"/>
          <w:spacing w:val="-2"/>
          <w:w w:val="101"/>
        </w:rPr>
        <w:t>.c</w:t>
      </w:r>
      <w:r>
        <w:rPr>
          <w:color w:val="231F20"/>
          <w:spacing w:val="-3"/>
          <w:w w:val="101"/>
        </w:rPr>
        <w:t>o</w:t>
      </w:r>
      <w:r>
        <w:rPr>
          <w:color w:val="231F20"/>
          <w:spacing w:val="-1"/>
          <w:w w:val="129"/>
        </w:rPr>
        <w:t>.</w:t>
      </w:r>
      <w:r>
        <w:rPr>
          <w:color w:val="231F20"/>
          <w:spacing w:val="2"/>
          <w:w w:val="92"/>
        </w:rPr>
        <w:t>n</w:t>
      </w:r>
      <w:r>
        <w:rPr>
          <w:color w:val="231F20"/>
          <w:spacing w:val="6"/>
          <w:w w:val="90"/>
        </w:rPr>
        <w:t>z</w:t>
      </w:r>
      <w:r>
        <w:rPr>
          <w:color w:val="231F20"/>
          <w:spacing w:val="-5"/>
          <w:w w:val="54"/>
        </w:rPr>
        <w:t>/</w:t>
      </w:r>
      <w:r>
        <w:rPr>
          <w:color w:val="231F20"/>
          <w:spacing w:val="-2"/>
          <w:w w:val="92"/>
        </w:rPr>
        <w:t>n</w:t>
      </w:r>
      <w:r>
        <w:rPr>
          <w:color w:val="231F20"/>
          <w:spacing w:val="-2"/>
          <w:w w:val="88"/>
        </w:rPr>
        <w:t>ew</w:t>
      </w:r>
      <w:r>
        <w:rPr>
          <w:color w:val="231F20"/>
          <w:spacing w:val="4"/>
          <w:w w:val="88"/>
        </w:rPr>
        <w:t>s</w:t>
      </w:r>
      <w:r>
        <w:rPr>
          <w:color w:val="231F20"/>
          <w:spacing w:val="-10"/>
          <w:w w:val="54"/>
        </w:rPr>
        <w:t>/</w:t>
      </w:r>
      <w:r>
        <w:rPr>
          <w:color w:val="231F20"/>
          <w:spacing w:val="1"/>
          <w:w w:val="95"/>
        </w:rPr>
        <w:t>a</w:t>
      </w:r>
      <w:r>
        <w:rPr>
          <w:color w:val="231F20"/>
          <w:spacing w:val="3"/>
          <w:w w:val="87"/>
        </w:rPr>
        <w:t>r</w:t>
      </w:r>
      <w:r>
        <w:rPr>
          <w:color w:val="231F20"/>
          <w:spacing w:val="1"/>
          <w:w w:val="92"/>
        </w:rPr>
        <w:t>t</w:t>
      </w:r>
      <w:r>
        <w:rPr>
          <w:color w:val="231F20"/>
          <w:spacing w:val="-3"/>
          <w:w w:val="94"/>
        </w:rPr>
        <w:t>i</w:t>
      </w:r>
      <w:r>
        <w:rPr>
          <w:color w:val="231F20"/>
          <w:spacing w:val="-2"/>
          <w:w w:val="90"/>
        </w:rPr>
        <w:t>cl</w:t>
      </w:r>
      <w:r>
        <w:rPr>
          <w:color w:val="231F20"/>
          <w:spacing w:val="5"/>
          <w:w w:val="90"/>
        </w:rPr>
        <w:t>e</w:t>
      </w:r>
      <w:r>
        <w:rPr>
          <w:color w:val="231F20"/>
          <w:spacing w:val="7"/>
          <w:w w:val="54"/>
        </w:rPr>
        <w:t>/</w:t>
      </w:r>
      <w:r>
        <w:rPr>
          <w:color w:val="231F20"/>
          <w:spacing w:val="-2"/>
          <w:w w:val="83"/>
        </w:rPr>
        <w:t>7</w:t>
      </w:r>
      <w:r>
        <w:rPr>
          <w:color w:val="231F20"/>
          <w:spacing w:val="-6"/>
          <w:w w:val="83"/>
        </w:rPr>
        <w:t>1</w:t>
      </w:r>
      <w:r>
        <w:rPr>
          <w:color w:val="231F20"/>
          <w:spacing w:val="-2"/>
          <w:w w:val="83"/>
        </w:rPr>
        <w:t>6</w:t>
      </w:r>
      <w:r>
        <w:rPr>
          <w:color w:val="231F20"/>
          <w:spacing w:val="18"/>
        </w:rPr>
        <w:t xml:space="preserve"> </w:t>
      </w:r>
      <w:r>
        <w:rPr>
          <w:color w:val="231F20"/>
          <w:w w:val="90"/>
        </w:rPr>
        <w:t>(accessed</w:t>
      </w:r>
      <w:r>
        <w:rPr>
          <w:color w:val="231F20"/>
          <w:spacing w:val="18"/>
        </w:rPr>
        <w:t xml:space="preserve"> </w:t>
      </w:r>
      <w:r>
        <w:rPr>
          <w:color w:val="231F20"/>
          <w:w w:val="90"/>
        </w:rPr>
        <w:t>8</w:t>
      </w:r>
      <w:r>
        <w:rPr>
          <w:color w:val="231F20"/>
          <w:spacing w:val="18"/>
        </w:rPr>
        <w:t xml:space="preserve"> </w:t>
      </w:r>
      <w:r>
        <w:rPr>
          <w:color w:val="231F20"/>
          <w:w w:val="90"/>
        </w:rPr>
        <w:t>September</w:t>
      </w:r>
      <w:r>
        <w:rPr>
          <w:color w:val="231F20"/>
          <w:spacing w:val="18"/>
        </w:rPr>
        <w:t xml:space="preserve"> </w:t>
      </w:r>
      <w:r>
        <w:rPr>
          <w:color w:val="231F20"/>
          <w:w w:val="90"/>
        </w:rPr>
        <w:t>2017).</w:t>
      </w:r>
    </w:p>
    <w:p w14:paraId="5590A4D6" w14:textId="77777777" w:rsidR="00AE0598" w:rsidRDefault="00AE0598">
      <w:pPr>
        <w:spacing w:line="232" w:lineRule="auto"/>
        <w:jc w:val="both"/>
        <w:sectPr w:rsidR="00AE0598">
          <w:pgSz w:w="8850" w:h="13270"/>
          <w:pgMar w:top="720" w:right="1060" w:bottom="280" w:left="1080" w:header="720" w:footer="720" w:gutter="0"/>
          <w:cols w:space="720"/>
        </w:sectPr>
      </w:pPr>
    </w:p>
    <w:p w14:paraId="291097DC" w14:textId="77777777" w:rsidR="00AE0598" w:rsidRDefault="0069255A">
      <w:pPr>
        <w:spacing w:before="87"/>
        <w:ind w:left="108"/>
        <w:rPr>
          <w:rFonts w:ascii="Trebuchet MS"/>
          <w:sz w:val="14"/>
        </w:rPr>
      </w:pPr>
      <w:r>
        <w:rPr>
          <w:rFonts w:ascii="Trebuchet MS"/>
          <w:color w:val="231F20"/>
          <w:w w:val="105"/>
          <w:sz w:val="14"/>
        </w:rPr>
        <w:lastRenderedPageBreak/>
        <w:t>96</w:t>
      </w:r>
      <w:r>
        <w:rPr>
          <w:rFonts w:ascii="Trebuchet MS"/>
          <w:color w:val="231F20"/>
          <w:spacing w:val="66"/>
          <w:w w:val="150"/>
          <w:sz w:val="14"/>
        </w:rPr>
        <w:t xml:space="preserve"> </w:t>
      </w:r>
      <w:r>
        <w:rPr>
          <w:rFonts w:ascii="Trebuchet MS"/>
          <w:color w:val="231F20"/>
          <w:w w:val="105"/>
          <w:sz w:val="14"/>
        </w:rPr>
        <w:t>Part</w:t>
      </w:r>
      <w:r>
        <w:rPr>
          <w:rFonts w:ascii="Trebuchet MS"/>
          <w:color w:val="231F20"/>
          <w:spacing w:val="-9"/>
          <w:w w:val="105"/>
          <w:sz w:val="14"/>
        </w:rPr>
        <w:t xml:space="preserve"> </w:t>
      </w:r>
      <w:r>
        <w:rPr>
          <w:rFonts w:ascii="Trebuchet MS"/>
          <w:color w:val="231F20"/>
          <w:w w:val="105"/>
          <w:sz w:val="14"/>
        </w:rPr>
        <w:t>3:</w:t>
      </w:r>
      <w:r>
        <w:rPr>
          <w:rFonts w:ascii="Trebuchet MS"/>
          <w:color w:val="231F20"/>
          <w:spacing w:val="-9"/>
          <w:w w:val="105"/>
          <w:sz w:val="14"/>
        </w:rPr>
        <w:t xml:space="preserve"> </w:t>
      </w:r>
      <w:r>
        <w:rPr>
          <w:rFonts w:ascii="Trebuchet MS"/>
          <w:color w:val="231F20"/>
          <w:w w:val="105"/>
          <w:sz w:val="14"/>
        </w:rPr>
        <w:t>Sport</w:t>
      </w:r>
      <w:r>
        <w:rPr>
          <w:rFonts w:ascii="Trebuchet MS"/>
          <w:color w:val="231F20"/>
          <w:spacing w:val="-9"/>
          <w:w w:val="105"/>
          <w:sz w:val="14"/>
        </w:rPr>
        <w:t xml:space="preserve"> </w:t>
      </w:r>
      <w:r>
        <w:rPr>
          <w:rFonts w:ascii="Trebuchet MS"/>
          <w:color w:val="231F20"/>
          <w:w w:val="105"/>
          <w:sz w:val="14"/>
        </w:rPr>
        <w:t>Tourism</w:t>
      </w:r>
      <w:r>
        <w:rPr>
          <w:rFonts w:ascii="Trebuchet MS"/>
          <w:color w:val="231F20"/>
          <w:spacing w:val="-8"/>
          <w:w w:val="105"/>
          <w:sz w:val="14"/>
        </w:rPr>
        <w:t xml:space="preserve"> </w:t>
      </w:r>
      <w:r>
        <w:rPr>
          <w:rFonts w:ascii="Trebuchet MS"/>
          <w:color w:val="231F20"/>
          <w:w w:val="105"/>
          <w:sz w:val="14"/>
        </w:rPr>
        <w:t>Development</w:t>
      </w:r>
      <w:r>
        <w:rPr>
          <w:rFonts w:ascii="Trebuchet MS"/>
          <w:color w:val="231F20"/>
          <w:spacing w:val="-9"/>
          <w:w w:val="105"/>
          <w:sz w:val="14"/>
        </w:rPr>
        <w:t xml:space="preserve"> </w:t>
      </w:r>
      <w:r>
        <w:rPr>
          <w:rFonts w:ascii="Trebuchet MS"/>
          <w:color w:val="231F20"/>
          <w:w w:val="105"/>
          <w:sz w:val="14"/>
        </w:rPr>
        <w:t>and</w:t>
      </w:r>
      <w:r>
        <w:rPr>
          <w:rFonts w:ascii="Trebuchet MS"/>
          <w:color w:val="231F20"/>
          <w:spacing w:val="-9"/>
          <w:w w:val="105"/>
          <w:sz w:val="14"/>
        </w:rPr>
        <w:t xml:space="preserve"> </w:t>
      </w:r>
      <w:r>
        <w:rPr>
          <w:rFonts w:ascii="Trebuchet MS"/>
          <w:color w:val="231F20"/>
          <w:spacing w:val="-2"/>
          <w:w w:val="105"/>
          <w:sz w:val="14"/>
        </w:rPr>
        <w:t>Space</w:t>
      </w:r>
    </w:p>
    <w:p w14:paraId="7C9E9EE5" w14:textId="77777777" w:rsidR="00AE0598" w:rsidRDefault="00AE0598">
      <w:pPr>
        <w:pStyle w:val="Corpodetexto"/>
        <w:rPr>
          <w:rFonts w:ascii="Trebuchet MS"/>
          <w:sz w:val="16"/>
        </w:rPr>
      </w:pPr>
    </w:p>
    <w:p w14:paraId="6C42BE6F" w14:textId="77777777" w:rsidR="00AE0598" w:rsidRDefault="0069255A">
      <w:pPr>
        <w:spacing w:before="120"/>
        <w:ind w:left="110"/>
        <w:rPr>
          <w:rFonts w:ascii="Trebuchet MS"/>
          <w:b/>
          <w:sz w:val="20"/>
        </w:rPr>
      </w:pPr>
      <w:r>
        <w:rPr>
          <w:rFonts w:ascii="Trebuchet MS"/>
          <w:b/>
          <w:color w:val="231F20"/>
          <w:sz w:val="20"/>
        </w:rPr>
        <w:t>The</w:t>
      </w:r>
      <w:r>
        <w:rPr>
          <w:rFonts w:ascii="Trebuchet MS"/>
          <w:b/>
          <w:color w:val="231F20"/>
          <w:spacing w:val="-1"/>
          <w:sz w:val="20"/>
        </w:rPr>
        <w:t xml:space="preserve"> </w:t>
      </w:r>
      <w:r>
        <w:rPr>
          <w:rFonts w:ascii="Trebuchet MS"/>
          <w:b/>
          <w:color w:val="231F20"/>
          <w:sz w:val="20"/>
        </w:rPr>
        <w:t>Spatial Analysis of Sport Tourism in</w:t>
      </w:r>
      <w:r>
        <w:rPr>
          <w:rFonts w:ascii="Trebuchet MS"/>
          <w:b/>
          <w:color w:val="231F20"/>
          <w:spacing w:val="-1"/>
          <w:sz w:val="20"/>
        </w:rPr>
        <w:t xml:space="preserve"> </w:t>
      </w:r>
      <w:r>
        <w:rPr>
          <w:rFonts w:ascii="Trebuchet MS"/>
          <w:b/>
          <w:color w:val="231F20"/>
          <w:sz w:val="20"/>
        </w:rPr>
        <w:t xml:space="preserve">Central </w:t>
      </w:r>
      <w:r>
        <w:rPr>
          <w:rFonts w:ascii="Trebuchet MS"/>
          <w:b/>
          <w:color w:val="231F20"/>
          <w:spacing w:val="-2"/>
          <w:sz w:val="20"/>
        </w:rPr>
        <w:t>Locations</w:t>
      </w:r>
    </w:p>
    <w:p w14:paraId="5790A348" w14:textId="77777777" w:rsidR="00AE0598" w:rsidRDefault="0069255A">
      <w:pPr>
        <w:pStyle w:val="Corpodetexto"/>
        <w:spacing w:before="122" w:line="232" w:lineRule="auto"/>
        <w:ind w:left="110" w:right="126" w:firstLine="320"/>
        <w:jc w:val="both"/>
      </w:pPr>
      <w:r>
        <w:rPr>
          <w:color w:val="231F20"/>
        </w:rPr>
        <w:t>In practice ‘a vast number of physical, economic and social barriers will</w:t>
      </w:r>
      <w:r>
        <w:rPr>
          <w:color w:val="231F20"/>
          <w:spacing w:val="-6"/>
        </w:rPr>
        <w:t xml:space="preserve"> </w:t>
      </w:r>
      <w:r>
        <w:rPr>
          <w:color w:val="231F20"/>
        </w:rPr>
        <w:t>contribute</w:t>
      </w:r>
      <w:r>
        <w:rPr>
          <w:color w:val="231F20"/>
          <w:spacing w:val="-6"/>
        </w:rPr>
        <w:t xml:space="preserve"> </w:t>
      </w:r>
      <w:r>
        <w:rPr>
          <w:color w:val="231F20"/>
        </w:rPr>
        <w:t>to</w:t>
      </w:r>
      <w:r>
        <w:rPr>
          <w:color w:val="231F20"/>
          <w:spacing w:val="-6"/>
        </w:rPr>
        <w:t xml:space="preserve"> </w:t>
      </w:r>
      <w:r>
        <w:rPr>
          <w:color w:val="231F20"/>
        </w:rPr>
        <w:t>a</w:t>
      </w:r>
      <w:r>
        <w:rPr>
          <w:color w:val="231F20"/>
          <w:spacing w:val="-6"/>
        </w:rPr>
        <w:t xml:space="preserve"> </w:t>
      </w:r>
      <w:r>
        <w:rPr>
          <w:color w:val="231F20"/>
        </w:rPr>
        <w:t>distortion</w:t>
      </w:r>
      <w:r>
        <w:rPr>
          <w:color w:val="231F20"/>
          <w:spacing w:val="-6"/>
        </w:rPr>
        <w:t xml:space="preserve"> </w:t>
      </w:r>
      <w:r>
        <w:rPr>
          <w:color w:val="231F20"/>
        </w:rPr>
        <w:t>of</w:t>
      </w:r>
      <w:r>
        <w:rPr>
          <w:color w:val="231F20"/>
          <w:spacing w:val="-6"/>
        </w:rPr>
        <w:t xml:space="preserve"> </w:t>
      </w:r>
      <w:r>
        <w:rPr>
          <w:color w:val="231F20"/>
        </w:rPr>
        <w:t>the</w:t>
      </w:r>
      <w:r>
        <w:rPr>
          <w:color w:val="231F20"/>
          <w:spacing w:val="-6"/>
        </w:rPr>
        <w:t xml:space="preserve"> </w:t>
      </w:r>
      <w:r>
        <w:rPr>
          <w:color w:val="231F20"/>
        </w:rPr>
        <w:t>central</w:t>
      </w:r>
      <w:r>
        <w:rPr>
          <w:color w:val="231F20"/>
          <w:spacing w:val="-6"/>
        </w:rPr>
        <w:t xml:space="preserve"> </w:t>
      </w:r>
      <w:r>
        <w:rPr>
          <w:color w:val="231F20"/>
        </w:rPr>
        <w:t>place</w:t>
      </w:r>
      <w:r>
        <w:rPr>
          <w:color w:val="231F20"/>
          <w:spacing w:val="-6"/>
        </w:rPr>
        <w:t xml:space="preserve"> </w:t>
      </w:r>
      <w:r>
        <w:rPr>
          <w:color w:val="231F20"/>
        </w:rPr>
        <w:t>model’</w:t>
      </w:r>
      <w:r>
        <w:rPr>
          <w:color w:val="231F20"/>
          <w:spacing w:val="-7"/>
        </w:rPr>
        <w:t xml:space="preserve"> </w:t>
      </w:r>
      <w:r>
        <w:rPr>
          <w:color w:val="231F20"/>
        </w:rPr>
        <w:t>(Bale,</w:t>
      </w:r>
      <w:r>
        <w:rPr>
          <w:color w:val="231F20"/>
          <w:spacing w:val="-6"/>
        </w:rPr>
        <w:t xml:space="preserve"> </w:t>
      </w:r>
      <w:r>
        <w:rPr>
          <w:color w:val="231F20"/>
        </w:rPr>
        <w:t>1989:</w:t>
      </w:r>
      <w:r>
        <w:rPr>
          <w:color w:val="231F20"/>
          <w:spacing w:val="-6"/>
        </w:rPr>
        <w:t xml:space="preserve"> </w:t>
      </w:r>
      <w:r>
        <w:rPr>
          <w:color w:val="231F20"/>
        </w:rPr>
        <w:t xml:space="preserve">81; see also Daniels, 2007; Mason </w:t>
      </w:r>
      <w:r>
        <w:rPr>
          <w:i/>
          <w:color w:val="231F20"/>
        </w:rPr>
        <w:t>et al</w:t>
      </w:r>
      <w:r>
        <w:rPr>
          <w:color w:val="231F20"/>
        </w:rPr>
        <w:t xml:space="preserve">., 2008). For example, the catchment population required to support a professional sports franchise will vary </w:t>
      </w:r>
      <w:r>
        <w:rPr>
          <w:color w:val="231F20"/>
          <w:w w:val="95"/>
        </w:rPr>
        <w:t>as determined by the propensity of residents within the catchment area to support the team. Small city team</w:t>
      </w:r>
      <w:r>
        <w:rPr>
          <w:color w:val="231F20"/>
          <w:w w:val="95"/>
        </w:rPr>
        <w:t xml:space="preserve">s, such as the Saskatchewan Roughriders (Canadian Football League) and the Green Bay Packers (National Football League, USA), serve to illustrate that the level of support a team receives at </w:t>
      </w:r>
      <w:r>
        <w:rPr>
          <w:color w:val="231F20"/>
        </w:rPr>
        <w:t>its</w:t>
      </w:r>
      <w:r>
        <w:rPr>
          <w:color w:val="231F20"/>
          <w:spacing w:val="-9"/>
        </w:rPr>
        <w:t xml:space="preserve"> </w:t>
      </w:r>
      <w:r>
        <w:rPr>
          <w:color w:val="231F20"/>
        </w:rPr>
        <w:t>stadium</w:t>
      </w:r>
      <w:r>
        <w:rPr>
          <w:color w:val="231F20"/>
          <w:spacing w:val="-9"/>
        </w:rPr>
        <w:t xml:space="preserve"> </w:t>
      </w:r>
      <w:r>
        <w:rPr>
          <w:color w:val="231F20"/>
        </w:rPr>
        <w:t>may</w:t>
      </w:r>
      <w:r>
        <w:rPr>
          <w:color w:val="231F20"/>
          <w:spacing w:val="-9"/>
        </w:rPr>
        <w:t xml:space="preserve"> </w:t>
      </w:r>
      <w:r>
        <w:rPr>
          <w:color w:val="231F20"/>
        </w:rPr>
        <w:t>bear</w:t>
      </w:r>
      <w:r>
        <w:rPr>
          <w:color w:val="231F20"/>
          <w:spacing w:val="-8"/>
        </w:rPr>
        <w:t xml:space="preserve"> </w:t>
      </w:r>
      <w:r>
        <w:rPr>
          <w:color w:val="231F20"/>
        </w:rPr>
        <w:t>little</w:t>
      </w:r>
      <w:r>
        <w:rPr>
          <w:color w:val="231F20"/>
          <w:spacing w:val="-9"/>
        </w:rPr>
        <w:t xml:space="preserve"> </w:t>
      </w:r>
      <w:r>
        <w:rPr>
          <w:color w:val="231F20"/>
        </w:rPr>
        <w:t>resemblance</w:t>
      </w:r>
      <w:r>
        <w:rPr>
          <w:color w:val="231F20"/>
          <w:spacing w:val="-9"/>
        </w:rPr>
        <w:t xml:space="preserve"> </w:t>
      </w:r>
      <w:r>
        <w:rPr>
          <w:color w:val="231F20"/>
        </w:rPr>
        <w:t>to</w:t>
      </w:r>
      <w:r>
        <w:rPr>
          <w:color w:val="231F20"/>
          <w:spacing w:val="-8"/>
        </w:rPr>
        <w:t xml:space="preserve"> </w:t>
      </w:r>
      <w:r>
        <w:rPr>
          <w:color w:val="231F20"/>
        </w:rPr>
        <w:t>the</w:t>
      </w:r>
      <w:r>
        <w:rPr>
          <w:color w:val="231F20"/>
          <w:spacing w:val="-9"/>
        </w:rPr>
        <w:t xml:space="preserve"> </w:t>
      </w:r>
      <w:r>
        <w:rPr>
          <w:color w:val="231F20"/>
        </w:rPr>
        <w:t>population</w:t>
      </w:r>
      <w:r>
        <w:rPr>
          <w:color w:val="231F20"/>
          <w:spacing w:val="-8"/>
        </w:rPr>
        <w:t xml:space="preserve"> </w:t>
      </w:r>
      <w:r>
        <w:rPr>
          <w:color w:val="231F20"/>
        </w:rPr>
        <w:t>of</w:t>
      </w:r>
      <w:r>
        <w:rPr>
          <w:color w:val="231F20"/>
          <w:spacing w:val="-8"/>
        </w:rPr>
        <w:t xml:space="preserve"> </w:t>
      </w:r>
      <w:r>
        <w:rPr>
          <w:color w:val="231F20"/>
        </w:rPr>
        <w:t>the</w:t>
      </w:r>
      <w:r>
        <w:rPr>
          <w:color w:val="231F20"/>
          <w:spacing w:val="-9"/>
        </w:rPr>
        <w:t xml:space="preserve"> </w:t>
      </w:r>
      <w:r>
        <w:rPr>
          <w:color w:val="231F20"/>
        </w:rPr>
        <w:t>host</w:t>
      </w:r>
      <w:r>
        <w:rPr>
          <w:color w:val="231F20"/>
          <w:spacing w:val="-9"/>
        </w:rPr>
        <w:t xml:space="preserve"> </w:t>
      </w:r>
      <w:r>
        <w:rPr>
          <w:color w:val="231F20"/>
        </w:rPr>
        <w:t xml:space="preserve">city. </w:t>
      </w:r>
      <w:r>
        <w:rPr>
          <w:color w:val="231F20"/>
          <w:w w:val="95"/>
        </w:rPr>
        <w:t xml:space="preserve">The Roughriders, for instance, survive due to a strong team following from across the province of Saskatchewan. This example confirms that ‘human and cultural factors can upset the rationally economic world predicted by </w:t>
      </w:r>
      <w:r>
        <w:rPr>
          <w:color w:val="231F20"/>
        </w:rPr>
        <w:t>central place models’ (Ba</w:t>
      </w:r>
      <w:r>
        <w:rPr>
          <w:color w:val="231F20"/>
        </w:rPr>
        <w:t>le, 1989: 82). These factors help to explain the higher</w:t>
      </w:r>
      <w:r>
        <w:rPr>
          <w:color w:val="231F20"/>
          <w:spacing w:val="-2"/>
        </w:rPr>
        <w:t xml:space="preserve"> </w:t>
      </w:r>
      <w:r>
        <w:rPr>
          <w:color w:val="231F20"/>
        </w:rPr>
        <w:t>than</w:t>
      </w:r>
      <w:r>
        <w:rPr>
          <w:color w:val="231F20"/>
          <w:spacing w:val="-2"/>
        </w:rPr>
        <w:t xml:space="preserve"> </w:t>
      </w:r>
      <w:r>
        <w:rPr>
          <w:color w:val="231F20"/>
        </w:rPr>
        <w:t>expected</w:t>
      </w:r>
      <w:r>
        <w:rPr>
          <w:color w:val="231F20"/>
          <w:spacing w:val="-2"/>
        </w:rPr>
        <w:t xml:space="preserve"> </w:t>
      </w:r>
      <w:r>
        <w:rPr>
          <w:color w:val="231F20"/>
        </w:rPr>
        <w:t>loyalty</w:t>
      </w:r>
      <w:r>
        <w:rPr>
          <w:color w:val="231F20"/>
          <w:spacing w:val="-2"/>
        </w:rPr>
        <w:t xml:space="preserve"> </w:t>
      </w:r>
      <w:r>
        <w:rPr>
          <w:color w:val="231F20"/>
        </w:rPr>
        <w:t>from</w:t>
      </w:r>
      <w:r>
        <w:rPr>
          <w:color w:val="231F20"/>
          <w:spacing w:val="-2"/>
        </w:rPr>
        <w:t xml:space="preserve"> </w:t>
      </w:r>
      <w:r>
        <w:rPr>
          <w:color w:val="231F20"/>
        </w:rPr>
        <w:t>within</w:t>
      </w:r>
      <w:r>
        <w:rPr>
          <w:color w:val="231F20"/>
          <w:spacing w:val="-2"/>
        </w:rPr>
        <w:t xml:space="preserve"> </w:t>
      </w:r>
      <w:r>
        <w:rPr>
          <w:color w:val="231F20"/>
        </w:rPr>
        <w:t>and</w:t>
      </w:r>
      <w:r>
        <w:rPr>
          <w:color w:val="231F20"/>
          <w:spacing w:val="-2"/>
        </w:rPr>
        <w:t xml:space="preserve"> </w:t>
      </w:r>
      <w:r>
        <w:rPr>
          <w:color w:val="231F20"/>
        </w:rPr>
        <w:t>beyond</w:t>
      </w:r>
      <w:r>
        <w:rPr>
          <w:color w:val="231F20"/>
          <w:spacing w:val="-2"/>
        </w:rPr>
        <w:t xml:space="preserve"> </w:t>
      </w:r>
      <w:r>
        <w:rPr>
          <w:color w:val="231F20"/>
        </w:rPr>
        <w:t>the</w:t>
      </w:r>
      <w:r>
        <w:rPr>
          <w:color w:val="231F20"/>
          <w:spacing w:val="-2"/>
        </w:rPr>
        <w:t xml:space="preserve"> </w:t>
      </w:r>
      <w:r>
        <w:rPr>
          <w:color w:val="231F20"/>
        </w:rPr>
        <w:t>local</w:t>
      </w:r>
      <w:r>
        <w:rPr>
          <w:color w:val="231F20"/>
          <w:spacing w:val="-2"/>
        </w:rPr>
        <w:t xml:space="preserve"> </w:t>
      </w:r>
      <w:r>
        <w:rPr>
          <w:color w:val="231F20"/>
        </w:rPr>
        <w:t>spectator catchment that some teams are able to generate.</w:t>
      </w:r>
    </w:p>
    <w:p w14:paraId="62D4DDD7" w14:textId="77777777" w:rsidR="00AE0598" w:rsidRDefault="0069255A">
      <w:pPr>
        <w:pStyle w:val="Corpodetexto"/>
        <w:spacing w:before="18" w:line="232" w:lineRule="auto"/>
        <w:ind w:left="110" w:right="126" w:firstLine="320"/>
        <w:jc w:val="both"/>
      </w:pPr>
      <w:r>
        <w:rPr>
          <w:color w:val="231F20"/>
        </w:rPr>
        <w:t xml:space="preserve">Inter-urban travel is an increasingly common by-product of sport. </w:t>
      </w:r>
      <w:r>
        <w:rPr>
          <w:color w:val="231F20"/>
          <w:w w:val="95"/>
        </w:rPr>
        <w:t>Bale (1989: 112) notes that ‘in an age of relatively easy inter-regional and international</w:t>
      </w:r>
      <w:r>
        <w:rPr>
          <w:color w:val="231F20"/>
          <w:spacing w:val="-4"/>
          <w:w w:val="95"/>
        </w:rPr>
        <w:t xml:space="preserve"> </w:t>
      </w:r>
      <w:r>
        <w:rPr>
          <w:color w:val="231F20"/>
          <w:w w:val="95"/>
        </w:rPr>
        <w:t>travel,</w:t>
      </w:r>
      <w:r>
        <w:rPr>
          <w:color w:val="231F20"/>
          <w:spacing w:val="-4"/>
          <w:w w:val="95"/>
        </w:rPr>
        <w:t xml:space="preserve"> </w:t>
      </w:r>
      <w:r>
        <w:rPr>
          <w:color w:val="231F20"/>
          <w:w w:val="95"/>
        </w:rPr>
        <w:t>sports</w:t>
      </w:r>
      <w:r>
        <w:rPr>
          <w:color w:val="231F20"/>
          <w:spacing w:val="-4"/>
          <w:w w:val="95"/>
        </w:rPr>
        <w:t xml:space="preserve"> </w:t>
      </w:r>
      <w:r>
        <w:rPr>
          <w:color w:val="231F20"/>
          <w:w w:val="95"/>
        </w:rPr>
        <w:t>events</w:t>
      </w:r>
      <w:r>
        <w:rPr>
          <w:color w:val="231F20"/>
          <w:spacing w:val="-4"/>
          <w:w w:val="95"/>
        </w:rPr>
        <w:t xml:space="preserve"> </w:t>
      </w:r>
      <w:r>
        <w:rPr>
          <w:color w:val="231F20"/>
          <w:w w:val="95"/>
        </w:rPr>
        <w:t>are</w:t>
      </w:r>
      <w:r>
        <w:rPr>
          <w:color w:val="231F20"/>
          <w:spacing w:val="-4"/>
          <w:w w:val="95"/>
        </w:rPr>
        <w:t xml:space="preserve"> </w:t>
      </w:r>
      <w:r>
        <w:rPr>
          <w:color w:val="231F20"/>
          <w:w w:val="95"/>
        </w:rPr>
        <w:t>able</w:t>
      </w:r>
      <w:r>
        <w:rPr>
          <w:color w:val="231F20"/>
          <w:spacing w:val="-4"/>
          <w:w w:val="95"/>
        </w:rPr>
        <w:t xml:space="preserve"> </w:t>
      </w:r>
      <w:r>
        <w:rPr>
          <w:color w:val="231F20"/>
          <w:w w:val="95"/>
        </w:rPr>
        <w:t>to</w:t>
      </w:r>
      <w:r>
        <w:rPr>
          <w:color w:val="231F20"/>
          <w:spacing w:val="-4"/>
          <w:w w:val="95"/>
        </w:rPr>
        <w:t xml:space="preserve"> </w:t>
      </w:r>
      <w:r>
        <w:rPr>
          <w:color w:val="231F20"/>
          <w:w w:val="95"/>
        </w:rPr>
        <w:t>generate</w:t>
      </w:r>
      <w:r>
        <w:rPr>
          <w:color w:val="231F20"/>
          <w:spacing w:val="-4"/>
          <w:w w:val="95"/>
        </w:rPr>
        <w:t xml:space="preserve"> </w:t>
      </w:r>
      <w:r>
        <w:rPr>
          <w:color w:val="231F20"/>
          <w:w w:val="95"/>
        </w:rPr>
        <w:t>substantial</w:t>
      </w:r>
      <w:r>
        <w:rPr>
          <w:color w:val="231F20"/>
          <w:spacing w:val="-4"/>
          <w:w w:val="95"/>
        </w:rPr>
        <w:t xml:space="preserve"> </w:t>
      </w:r>
      <w:r>
        <w:rPr>
          <w:color w:val="231F20"/>
          <w:w w:val="95"/>
        </w:rPr>
        <w:t xml:space="preserve">recurrent </w:t>
      </w:r>
      <w:r>
        <w:rPr>
          <w:color w:val="231F20"/>
        </w:rPr>
        <w:t xml:space="preserve">gatherings of peoples </w:t>
      </w:r>
      <w:r>
        <w:rPr>
          <w:color w:val="231F20"/>
          <w:w w:val="105"/>
        </w:rPr>
        <w:t xml:space="preserve">… </w:t>
      </w:r>
      <w:r>
        <w:rPr>
          <w:color w:val="231F20"/>
        </w:rPr>
        <w:t xml:space="preserve">and hence </w:t>
      </w:r>
      <w:r>
        <w:rPr>
          <w:color w:val="231F20"/>
          <w:w w:val="105"/>
        </w:rPr>
        <w:t xml:space="preserve">… </w:t>
      </w:r>
      <w:r>
        <w:rPr>
          <w:color w:val="231F20"/>
        </w:rPr>
        <w:t xml:space="preserve">[they contribute] </w:t>
      </w:r>
      <w:r>
        <w:rPr>
          <w:color w:val="231F20"/>
          <w:w w:val="105"/>
        </w:rPr>
        <w:t xml:space="preserve">… </w:t>
      </w:r>
      <w:r>
        <w:rPr>
          <w:color w:val="231F20"/>
        </w:rPr>
        <w:t xml:space="preserve">to the wealth and economic dominance of the big city’. Increasingly, sport events and </w:t>
      </w:r>
      <w:r>
        <w:rPr>
          <w:color w:val="231F20"/>
          <w:w w:val="95"/>
        </w:rPr>
        <w:t xml:space="preserve">facilities are being used as economic anchors in the entertainment districts </w:t>
      </w:r>
      <w:r>
        <w:rPr>
          <w:color w:val="231F20"/>
        </w:rPr>
        <w:t xml:space="preserve">of higher-order urban centres (Mason </w:t>
      </w:r>
      <w:r>
        <w:rPr>
          <w:i/>
          <w:color w:val="231F20"/>
        </w:rPr>
        <w:t>et al</w:t>
      </w:r>
      <w:r>
        <w:rPr>
          <w:color w:val="231F20"/>
        </w:rPr>
        <w:t>., 2008). The sports location</w:t>
      </w:r>
      <w:r>
        <w:rPr>
          <w:color w:val="231F20"/>
        </w:rPr>
        <w:t xml:space="preserve"> hierarchy and the spatial demand curve, both of which are subject to change over time, influence the status of a sport tourism destination. In </w:t>
      </w:r>
      <w:r>
        <w:rPr>
          <w:color w:val="231F20"/>
          <w:w w:val="95"/>
        </w:rPr>
        <w:t xml:space="preserve">most cases, sports teams compete at a home venue to which spectators will </w:t>
      </w:r>
      <w:r>
        <w:rPr>
          <w:color w:val="231F20"/>
        </w:rPr>
        <w:t>travel from within the host region and</w:t>
      </w:r>
      <w:r>
        <w:rPr>
          <w:color w:val="231F20"/>
        </w:rPr>
        <w:t xml:space="preserve">, possibly, further afield (Gibson, 2002; Higham </w:t>
      </w:r>
      <w:r>
        <w:rPr>
          <w:color w:val="231F20"/>
          <w:w w:val="105"/>
        </w:rPr>
        <w:t xml:space="preserve">&amp; </w:t>
      </w:r>
      <w:r>
        <w:rPr>
          <w:color w:val="231F20"/>
        </w:rPr>
        <w:t>Hinch, 2000).</w:t>
      </w:r>
    </w:p>
    <w:p w14:paraId="1B4F7566" w14:textId="77777777" w:rsidR="00AE0598" w:rsidRDefault="0069255A">
      <w:pPr>
        <w:pStyle w:val="Corpodetexto"/>
        <w:spacing w:before="15" w:line="232" w:lineRule="auto"/>
        <w:ind w:left="110" w:right="125" w:firstLine="320"/>
        <w:jc w:val="both"/>
      </w:pPr>
      <w:r>
        <w:rPr>
          <w:color w:val="231F20"/>
        </w:rPr>
        <w:t>Traditionally competition leagues are characterised by a series of home and away games, which are attended by supporters of both teams in</w:t>
      </w:r>
      <w:r>
        <w:rPr>
          <w:color w:val="231F20"/>
          <w:spacing w:val="-8"/>
        </w:rPr>
        <w:t xml:space="preserve"> </w:t>
      </w:r>
      <w:r>
        <w:rPr>
          <w:color w:val="231F20"/>
        </w:rPr>
        <w:t>varying</w:t>
      </w:r>
      <w:r>
        <w:rPr>
          <w:color w:val="231F20"/>
          <w:spacing w:val="-8"/>
        </w:rPr>
        <w:t xml:space="preserve"> </w:t>
      </w:r>
      <w:r>
        <w:rPr>
          <w:color w:val="231F20"/>
        </w:rPr>
        <w:t>proportions.</w:t>
      </w:r>
      <w:r>
        <w:rPr>
          <w:color w:val="231F20"/>
          <w:spacing w:val="-8"/>
        </w:rPr>
        <w:t xml:space="preserve"> </w:t>
      </w:r>
      <w:r>
        <w:rPr>
          <w:color w:val="231F20"/>
        </w:rPr>
        <w:t>Home</w:t>
      </w:r>
      <w:r>
        <w:rPr>
          <w:color w:val="231F20"/>
          <w:spacing w:val="-8"/>
        </w:rPr>
        <w:t xml:space="preserve"> </w:t>
      </w:r>
      <w:r>
        <w:rPr>
          <w:color w:val="231F20"/>
        </w:rPr>
        <w:t>games</w:t>
      </w:r>
      <w:r>
        <w:rPr>
          <w:color w:val="231F20"/>
          <w:spacing w:val="-8"/>
        </w:rPr>
        <w:t xml:space="preserve"> </w:t>
      </w:r>
      <w:r>
        <w:rPr>
          <w:color w:val="231F20"/>
        </w:rPr>
        <w:t>tend</w:t>
      </w:r>
      <w:r>
        <w:rPr>
          <w:color w:val="231F20"/>
          <w:spacing w:val="-8"/>
        </w:rPr>
        <w:t xml:space="preserve"> </w:t>
      </w:r>
      <w:r>
        <w:rPr>
          <w:color w:val="231F20"/>
        </w:rPr>
        <w:t>to</w:t>
      </w:r>
      <w:r>
        <w:rPr>
          <w:color w:val="231F20"/>
          <w:spacing w:val="-8"/>
        </w:rPr>
        <w:t xml:space="preserve"> </w:t>
      </w:r>
      <w:r>
        <w:rPr>
          <w:color w:val="231F20"/>
        </w:rPr>
        <w:t>be</w:t>
      </w:r>
      <w:r>
        <w:rPr>
          <w:color w:val="231F20"/>
          <w:spacing w:val="-8"/>
        </w:rPr>
        <w:t xml:space="preserve"> </w:t>
      </w:r>
      <w:r>
        <w:rPr>
          <w:color w:val="231F20"/>
        </w:rPr>
        <w:t>dominated</w:t>
      </w:r>
      <w:r>
        <w:rPr>
          <w:color w:val="231F20"/>
          <w:spacing w:val="-8"/>
        </w:rPr>
        <w:t xml:space="preserve"> </w:t>
      </w:r>
      <w:r>
        <w:rPr>
          <w:color w:val="231F20"/>
        </w:rPr>
        <w:t>by</w:t>
      </w:r>
      <w:r>
        <w:rPr>
          <w:color w:val="231F20"/>
          <w:spacing w:val="-8"/>
        </w:rPr>
        <w:t xml:space="preserve"> </w:t>
      </w:r>
      <w:r>
        <w:rPr>
          <w:color w:val="231F20"/>
        </w:rPr>
        <w:t xml:space="preserve">hometown </w:t>
      </w:r>
      <w:r>
        <w:rPr>
          <w:color w:val="231F20"/>
          <w:w w:val="95"/>
        </w:rPr>
        <w:t xml:space="preserve">supporters, although sport and tourism managers may devise strategies to </w:t>
      </w:r>
      <w:r>
        <w:rPr>
          <w:color w:val="231F20"/>
        </w:rPr>
        <w:t>encourage</w:t>
      </w:r>
      <w:r>
        <w:rPr>
          <w:color w:val="231F20"/>
          <w:spacing w:val="-5"/>
        </w:rPr>
        <w:t xml:space="preserve"> </w:t>
      </w:r>
      <w:r>
        <w:rPr>
          <w:color w:val="231F20"/>
        </w:rPr>
        <w:t>visiting</w:t>
      </w:r>
      <w:r>
        <w:rPr>
          <w:color w:val="231F20"/>
          <w:spacing w:val="-5"/>
        </w:rPr>
        <w:t xml:space="preserve"> </w:t>
      </w:r>
      <w:r>
        <w:rPr>
          <w:color w:val="231F20"/>
        </w:rPr>
        <w:t>fans,</w:t>
      </w:r>
      <w:r>
        <w:rPr>
          <w:color w:val="231F20"/>
          <w:spacing w:val="-5"/>
        </w:rPr>
        <w:t xml:space="preserve"> </w:t>
      </w:r>
      <w:r>
        <w:rPr>
          <w:color w:val="231F20"/>
        </w:rPr>
        <w:t>casual</w:t>
      </w:r>
      <w:r>
        <w:rPr>
          <w:color w:val="231F20"/>
          <w:spacing w:val="-5"/>
        </w:rPr>
        <w:t xml:space="preserve"> </w:t>
      </w:r>
      <w:r>
        <w:rPr>
          <w:color w:val="231F20"/>
        </w:rPr>
        <w:t>spectators</w:t>
      </w:r>
      <w:r>
        <w:rPr>
          <w:color w:val="231F20"/>
          <w:spacing w:val="-5"/>
        </w:rPr>
        <w:t xml:space="preserve"> </w:t>
      </w:r>
      <w:r>
        <w:rPr>
          <w:color w:val="231F20"/>
        </w:rPr>
        <w:t>and</w:t>
      </w:r>
      <w:r>
        <w:rPr>
          <w:color w:val="231F20"/>
          <w:spacing w:val="-5"/>
        </w:rPr>
        <w:t xml:space="preserve"> </w:t>
      </w:r>
      <w:r>
        <w:rPr>
          <w:color w:val="231F20"/>
        </w:rPr>
        <w:t>tourists</w:t>
      </w:r>
      <w:r>
        <w:rPr>
          <w:color w:val="231F20"/>
          <w:spacing w:val="-5"/>
        </w:rPr>
        <w:t xml:space="preserve"> </w:t>
      </w:r>
      <w:r>
        <w:rPr>
          <w:color w:val="231F20"/>
        </w:rPr>
        <w:t>at</w:t>
      </w:r>
      <w:r>
        <w:rPr>
          <w:color w:val="231F20"/>
          <w:spacing w:val="-5"/>
        </w:rPr>
        <w:t xml:space="preserve"> </w:t>
      </w:r>
      <w:r>
        <w:rPr>
          <w:color w:val="231F20"/>
        </w:rPr>
        <w:t>a</w:t>
      </w:r>
      <w:r>
        <w:rPr>
          <w:color w:val="231F20"/>
          <w:spacing w:val="-5"/>
        </w:rPr>
        <w:t xml:space="preserve"> </w:t>
      </w:r>
      <w:r>
        <w:rPr>
          <w:color w:val="231F20"/>
        </w:rPr>
        <w:t>destination</w:t>
      </w:r>
      <w:r>
        <w:rPr>
          <w:color w:val="231F20"/>
          <w:spacing w:val="-5"/>
        </w:rPr>
        <w:t xml:space="preserve"> </w:t>
      </w:r>
      <w:r>
        <w:rPr>
          <w:color w:val="231F20"/>
        </w:rPr>
        <w:t>to attend</w:t>
      </w:r>
      <w:r>
        <w:rPr>
          <w:color w:val="231F20"/>
          <w:spacing w:val="-3"/>
        </w:rPr>
        <w:t xml:space="preserve"> </w:t>
      </w:r>
      <w:r>
        <w:rPr>
          <w:color w:val="231F20"/>
        </w:rPr>
        <w:t>a</w:t>
      </w:r>
      <w:r>
        <w:rPr>
          <w:color w:val="231F20"/>
          <w:spacing w:val="-3"/>
        </w:rPr>
        <w:t xml:space="preserve"> </w:t>
      </w:r>
      <w:r>
        <w:rPr>
          <w:color w:val="231F20"/>
        </w:rPr>
        <w:t>sports</w:t>
      </w:r>
      <w:r>
        <w:rPr>
          <w:color w:val="231F20"/>
          <w:spacing w:val="-3"/>
        </w:rPr>
        <w:t xml:space="preserve"> </w:t>
      </w:r>
      <w:r>
        <w:rPr>
          <w:color w:val="231F20"/>
        </w:rPr>
        <w:t>contest.</w:t>
      </w:r>
      <w:r>
        <w:rPr>
          <w:color w:val="231F20"/>
          <w:spacing w:val="-3"/>
        </w:rPr>
        <w:t xml:space="preserve"> </w:t>
      </w:r>
      <w:r>
        <w:rPr>
          <w:color w:val="231F20"/>
        </w:rPr>
        <w:t>It</w:t>
      </w:r>
      <w:r>
        <w:rPr>
          <w:color w:val="231F20"/>
          <w:spacing w:val="-3"/>
        </w:rPr>
        <w:t xml:space="preserve"> </w:t>
      </w:r>
      <w:r>
        <w:rPr>
          <w:color w:val="231F20"/>
        </w:rPr>
        <w:t>is</w:t>
      </w:r>
      <w:r>
        <w:rPr>
          <w:color w:val="231F20"/>
          <w:spacing w:val="-3"/>
        </w:rPr>
        <w:t xml:space="preserve"> </w:t>
      </w:r>
      <w:r>
        <w:rPr>
          <w:color w:val="231F20"/>
        </w:rPr>
        <w:t>also</w:t>
      </w:r>
      <w:r>
        <w:rPr>
          <w:color w:val="231F20"/>
          <w:spacing w:val="-3"/>
        </w:rPr>
        <w:t xml:space="preserve"> </w:t>
      </w:r>
      <w:r>
        <w:rPr>
          <w:color w:val="231F20"/>
        </w:rPr>
        <w:t>noteworthy</w:t>
      </w:r>
      <w:r>
        <w:rPr>
          <w:color w:val="231F20"/>
          <w:spacing w:val="-3"/>
        </w:rPr>
        <w:t xml:space="preserve"> </w:t>
      </w:r>
      <w:r>
        <w:rPr>
          <w:color w:val="231F20"/>
        </w:rPr>
        <w:t>that</w:t>
      </w:r>
      <w:r>
        <w:rPr>
          <w:color w:val="231F20"/>
          <w:spacing w:val="-3"/>
        </w:rPr>
        <w:t xml:space="preserve"> </w:t>
      </w:r>
      <w:r>
        <w:rPr>
          <w:color w:val="231F20"/>
        </w:rPr>
        <w:t>home</w:t>
      </w:r>
      <w:r>
        <w:rPr>
          <w:color w:val="231F20"/>
          <w:spacing w:val="-3"/>
        </w:rPr>
        <w:t xml:space="preserve"> </w:t>
      </w:r>
      <w:r>
        <w:rPr>
          <w:color w:val="231F20"/>
        </w:rPr>
        <w:t>team</w:t>
      </w:r>
      <w:r>
        <w:rPr>
          <w:color w:val="231F20"/>
          <w:spacing w:val="-3"/>
        </w:rPr>
        <w:t xml:space="preserve"> </w:t>
      </w:r>
      <w:r>
        <w:rPr>
          <w:color w:val="231F20"/>
        </w:rPr>
        <w:t xml:space="preserve">supporters </w:t>
      </w:r>
      <w:r>
        <w:rPr>
          <w:color w:val="231F20"/>
          <w:w w:val="95"/>
        </w:rPr>
        <w:t>are not necessarily hometown residents. As an example, since the return of Newcastle United football club to the English Premier League, an estimated 170,000 long-weekend trips to Newcastle per year have been undertaken</w:t>
      </w:r>
      <w:r>
        <w:rPr>
          <w:color w:val="231F20"/>
          <w:spacing w:val="40"/>
        </w:rPr>
        <w:t xml:space="preserve"> </w:t>
      </w:r>
      <w:r>
        <w:rPr>
          <w:color w:val="231F20"/>
        </w:rPr>
        <w:t>by Norwegians who support this footb</w:t>
      </w:r>
      <w:r>
        <w:rPr>
          <w:color w:val="231F20"/>
        </w:rPr>
        <w:t xml:space="preserve">all club (Law, 2002). Strong and enduring support for Newcastle and Liverpool football clubs in Norway </w:t>
      </w:r>
      <w:r>
        <w:rPr>
          <w:color w:val="231F20"/>
          <w:w w:val="95"/>
        </w:rPr>
        <w:t>arises from the initiation of regular television coverage of English football</w:t>
      </w:r>
      <w:r>
        <w:rPr>
          <w:color w:val="231F20"/>
          <w:spacing w:val="40"/>
        </w:rPr>
        <w:t xml:space="preserve"> </w:t>
      </w:r>
      <w:r>
        <w:rPr>
          <w:color w:val="231F20"/>
        </w:rPr>
        <w:t>in</w:t>
      </w:r>
      <w:r>
        <w:rPr>
          <w:color w:val="231F20"/>
          <w:spacing w:val="-6"/>
        </w:rPr>
        <w:t xml:space="preserve"> </w:t>
      </w:r>
      <w:r>
        <w:rPr>
          <w:color w:val="231F20"/>
        </w:rPr>
        <w:t>Norway</w:t>
      </w:r>
      <w:r>
        <w:rPr>
          <w:color w:val="231F20"/>
          <w:spacing w:val="-6"/>
        </w:rPr>
        <w:t xml:space="preserve"> </w:t>
      </w:r>
      <w:r>
        <w:rPr>
          <w:color w:val="231F20"/>
        </w:rPr>
        <w:t>in</w:t>
      </w:r>
      <w:r>
        <w:rPr>
          <w:color w:val="231F20"/>
          <w:spacing w:val="-6"/>
        </w:rPr>
        <w:t xml:space="preserve"> </w:t>
      </w:r>
      <w:r>
        <w:rPr>
          <w:color w:val="231F20"/>
        </w:rPr>
        <w:t>the</w:t>
      </w:r>
      <w:r>
        <w:rPr>
          <w:color w:val="231F20"/>
          <w:spacing w:val="-6"/>
        </w:rPr>
        <w:t xml:space="preserve"> </w:t>
      </w:r>
      <w:r>
        <w:rPr>
          <w:color w:val="231F20"/>
        </w:rPr>
        <w:t>1970s,</w:t>
      </w:r>
      <w:r>
        <w:rPr>
          <w:color w:val="231F20"/>
          <w:spacing w:val="-6"/>
        </w:rPr>
        <w:t xml:space="preserve"> </w:t>
      </w:r>
      <w:r>
        <w:rPr>
          <w:color w:val="231F20"/>
        </w:rPr>
        <w:t>when</w:t>
      </w:r>
      <w:r>
        <w:rPr>
          <w:color w:val="231F20"/>
          <w:spacing w:val="-6"/>
        </w:rPr>
        <w:t xml:space="preserve"> </w:t>
      </w:r>
      <w:r>
        <w:rPr>
          <w:color w:val="231F20"/>
        </w:rPr>
        <w:t>these</w:t>
      </w:r>
      <w:r>
        <w:rPr>
          <w:color w:val="231F20"/>
          <w:spacing w:val="-6"/>
        </w:rPr>
        <w:t xml:space="preserve"> </w:t>
      </w:r>
      <w:r>
        <w:rPr>
          <w:color w:val="231F20"/>
        </w:rPr>
        <w:t>clubs</w:t>
      </w:r>
      <w:r>
        <w:rPr>
          <w:color w:val="231F20"/>
          <w:spacing w:val="-6"/>
        </w:rPr>
        <w:t xml:space="preserve"> </w:t>
      </w:r>
      <w:r>
        <w:rPr>
          <w:color w:val="231F20"/>
        </w:rPr>
        <w:t>were</w:t>
      </w:r>
      <w:r>
        <w:rPr>
          <w:color w:val="231F20"/>
          <w:spacing w:val="-6"/>
        </w:rPr>
        <w:t xml:space="preserve"> </w:t>
      </w:r>
      <w:r>
        <w:rPr>
          <w:color w:val="231F20"/>
        </w:rPr>
        <w:t>forces</w:t>
      </w:r>
      <w:r>
        <w:rPr>
          <w:color w:val="231F20"/>
          <w:spacing w:val="-6"/>
        </w:rPr>
        <w:t xml:space="preserve"> </w:t>
      </w:r>
      <w:r>
        <w:rPr>
          <w:color w:val="231F20"/>
        </w:rPr>
        <w:t>of</w:t>
      </w:r>
      <w:r>
        <w:rPr>
          <w:color w:val="231F20"/>
          <w:spacing w:val="-6"/>
        </w:rPr>
        <w:t xml:space="preserve"> </w:t>
      </w:r>
      <w:r>
        <w:rPr>
          <w:color w:val="231F20"/>
        </w:rPr>
        <w:t>the</w:t>
      </w:r>
      <w:r>
        <w:rPr>
          <w:color w:val="231F20"/>
          <w:spacing w:val="-6"/>
        </w:rPr>
        <w:t xml:space="preserve"> </w:t>
      </w:r>
      <w:r>
        <w:rPr>
          <w:color w:val="231F20"/>
        </w:rPr>
        <w:t>English</w:t>
      </w:r>
      <w:r>
        <w:rPr>
          <w:color w:val="231F20"/>
          <w:spacing w:val="-6"/>
        </w:rPr>
        <w:t xml:space="preserve"> </w:t>
      </w:r>
      <w:r>
        <w:rPr>
          <w:color w:val="231F20"/>
        </w:rPr>
        <w:t>first d</w:t>
      </w:r>
      <w:r>
        <w:rPr>
          <w:color w:val="231F20"/>
        </w:rPr>
        <w:t>ivision</w:t>
      </w:r>
      <w:r>
        <w:rPr>
          <w:color w:val="231F20"/>
          <w:spacing w:val="-4"/>
        </w:rPr>
        <w:t xml:space="preserve"> </w:t>
      </w:r>
      <w:r>
        <w:rPr>
          <w:color w:val="231F20"/>
        </w:rPr>
        <w:t>(now</w:t>
      </w:r>
      <w:r>
        <w:rPr>
          <w:color w:val="231F20"/>
          <w:spacing w:val="-4"/>
        </w:rPr>
        <w:t xml:space="preserve"> </w:t>
      </w:r>
      <w:r>
        <w:rPr>
          <w:color w:val="231F20"/>
        </w:rPr>
        <w:t>Premier</w:t>
      </w:r>
      <w:r>
        <w:rPr>
          <w:color w:val="231F20"/>
          <w:spacing w:val="-4"/>
        </w:rPr>
        <w:t xml:space="preserve"> </w:t>
      </w:r>
      <w:r>
        <w:rPr>
          <w:color w:val="231F20"/>
        </w:rPr>
        <w:t>League)</w:t>
      </w:r>
      <w:r>
        <w:rPr>
          <w:color w:val="231F20"/>
          <w:spacing w:val="-4"/>
        </w:rPr>
        <w:t xml:space="preserve"> </w:t>
      </w:r>
      <w:r>
        <w:rPr>
          <w:color w:val="231F20"/>
        </w:rPr>
        <w:t>(see</w:t>
      </w:r>
      <w:r>
        <w:rPr>
          <w:color w:val="231F20"/>
          <w:spacing w:val="-4"/>
        </w:rPr>
        <w:t xml:space="preserve"> </w:t>
      </w:r>
      <w:r>
        <w:rPr>
          <w:color w:val="231F20"/>
        </w:rPr>
        <w:t>also</w:t>
      </w:r>
      <w:r>
        <w:rPr>
          <w:color w:val="231F20"/>
          <w:spacing w:val="-4"/>
        </w:rPr>
        <w:t xml:space="preserve"> </w:t>
      </w:r>
      <w:r>
        <w:rPr>
          <w:color w:val="231F20"/>
        </w:rPr>
        <w:t>Case</w:t>
      </w:r>
      <w:r>
        <w:rPr>
          <w:color w:val="231F20"/>
          <w:spacing w:val="-4"/>
        </w:rPr>
        <w:t xml:space="preserve"> </w:t>
      </w:r>
      <w:r>
        <w:rPr>
          <w:color w:val="231F20"/>
        </w:rPr>
        <w:t>Study</w:t>
      </w:r>
      <w:r>
        <w:rPr>
          <w:color w:val="231F20"/>
          <w:spacing w:val="-5"/>
        </w:rPr>
        <w:t xml:space="preserve"> </w:t>
      </w:r>
      <w:r>
        <w:rPr>
          <w:color w:val="231F20"/>
        </w:rPr>
        <w:t>6.1).</w:t>
      </w:r>
    </w:p>
    <w:p w14:paraId="525779EF" w14:textId="77777777" w:rsidR="00AE0598" w:rsidRDefault="0069255A">
      <w:pPr>
        <w:pStyle w:val="Corpodetexto"/>
        <w:spacing w:before="17" w:line="232" w:lineRule="auto"/>
        <w:ind w:left="110" w:right="127" w:firstLine="320"/>
        <w:jc w:val="both"/>
      </w:pPr>
      <w:r>
        <w:rPr>
          <w:color w:val="231F20"/>
        </w:rPr>
        <w:t>Other models exist in the spatial organisation of sport competitions. ‘An</w:t>
      </w:r>
      <w:r>
        <w:rPr>
          <w:color w:val="231F20"/>
          <w:spacing w:val="16"/>
        </w:rPr>
        <w:t xml:space="preserve"> </w:t>
      </w:r>
      <w:r>
        <w:rPr>
          <w:color w:val="231F20"/>
        </w:rPr>
        <w:t>alternative</w:t>
      </w:r>
      <w:r>
        <w:rPr>
          <w:color w:val="231F20"/>
          <w:spacing w:val="16"/>
        </w:rPr>
        <w:t xml:space="preserve"> </w:t>
      </w:r>
      <w:r>
        <w:rPr>
          <w:color w:val="231F20"/>
        </w:rPr>
        <w:t>form</w:t>
      </w:r>
      <w:r>
        <w:rPr>
          <w:color w:val="231F20"/>
          <w:spacing w:val="16"/>
        </w:rPr>
        <w:t xml:space="preserve"> </w:t>
      </w:r>
      <w:r>
        <w:rPr>
          <w:color w:val="231F20"/>
        </w:rPr>
        <w:t>of</w:t>
      </w:r>
      <w:r>
        <w:rPr>
          <w:color w:val="231F20"/>
          <w:spacing w:val="16"/>
        </w:rPr>
        <w:t xml:space="preserve"> </w:t>
      </w:r>
      <w:r>
        <w:rPr>
          <w:color w:val="231F20"/>
        </w:rPr>
        <w:t>spatial</w:t>
      </w:r>
      <w:r>
        <w:rPr>
          <w:color w:val="231F20"/>
          <w:spacing w:val="16"/>
        </w:rPr>
        <w:t xml:space="preserve"> </w:t>
      </w:r>
      <w:r>
        <w:rPr>
          <w:color w:val="231F20"/>
        </w:rPr>
        <w:t>organisation</w:t>
      </w:r>
      <w:r>
        <w:rPr>
          <w:color w:val="231F20"/>
          <w:spacing w:val="16"/>
        </w:rPr>
        <w:t xml:space="preserve"> </w:t>
      </w:r>
      <w:r>
        <w:rPr>
          <w:color w:val="231F20"/>
        </w:rPr>
        <w:t>is</w:t>
      </w:r>
      <w:r>
        <w:rPr>
          <w:color w:val="231F20"/>
          <w:spacing w:val="16"/>
        </w:rPr>
        <w:t xml:space="preserve"> </w:t>
      </w:r>
      <w:r>
        <w:rPr>
          <w:color w:val="231F20"/>
        </w:rPr>
        <w:t>for</w:t>
      </w:r>
      <w:r>
        <w:rPr>
          <w:color w:val="231F20"/>
          <w:spacing w:val="16"/>
        </w:rPr>
        <w:t xml:space="preserve"> </w:t>
      </w:r>
      <w:r>
        <w:rPr>
          <w:color w:val="231F20"/>
        </w:rPr>
        <w:t>the</w:t>
      </w:r>
      <w:r>
        <w:rPr>
          <w:color w:val="231F20"/>
          <w:spacing w:val="16"/>
        </w:rPr>
        <w:t xml:space="preserve"> </w:t>
      </w:r>
      <w:r>
        <w:rPr>
          <w:color w:val="231F20"/>
        </w:rPr>
        <w:t>sport</w:t>
      </w:r>
      <w:r>
        <w:rPr>
          <w:color w:val="231F20"/>
          <w:spacing w:val="16"/>
        </w:rPr>
        <w:t xml:space="preserve"> </w:t>
      </w:r>
      <w:r>
        <w:rPr>
          <w:color w:val="231F20"/>
        </w:rPr>
        <w:t>to</w:t>
      </w:r>
      <w:r>
        <w:rPr>
          <w:color w:val="231F20"/>
          <w:spacing w:val="16"/>
        </w:rPr>
        <w:t xml:space="preserve"> </w:t>
      </w:r>
      <w:r>
        <w:rPr>
          <w:color w:val="231F20"/>
        </w:rPr>
        <w:t>travel</w:t>
      </w:r>
      <w:r>
        <w:rPr>
          <w:color w:val="231F20"/>
          <w:spacing w:val="16"/>
        </w:rPr>
        <w:t xml:space="preserve"> </w:t>
      </w:r>
      <w:r>
        <w:rPr>
          <w:color w:val="231F20"/>
        </w:rPr>
        <w:t>to</w:t>
      </w:r>
    </w:p>
    <w:p w14:paraId="00EDA24A" w14:textId="77777777" w:rsidR="00AE0598" w:rsidRDefault="00AE0598">
      <w:pPr>
        <w:spacing w:line="232" w:lineRule="auto"/>
        <w:jc w:val="both"/>
        <w:sectPr w:rsidR="00AE0598">
          <w:pgSz w:w="8850" w:h="13270"/>
          <w:pgMar w:top="720" w:right="1060" w:bottom="280" w:left="1080" w:header="720" w:footer="720" w:gutter="0"/>
          <w:cols w:space="720"/>
        </w:sectPr>
      </w:pPr>
    </w:p>
    <w:p w14:paraId="3777A9E7" w14:textId="77777777" w:rsidR="00AE0598" w:rsidRDefault="0069255A">
      <w:pPr>
        <w:spacing w:before="87"/>
        <w:ind w:left="4148"/>
        <w:rPr>
          <w:rFonts w:ascii="Trebuchet MS"/>
          <w:sz w:val="14"/>
        </w:rPr>
      </w:pPr>
      <w:r>
        <w:rPr>
          <w:rFonts w:ascii="Trebuchet MS"/>
          <w:color w:val="231F20"/>
          <w:w w:val="105"/>
          <w:sz w:val="14"/>
        </w:rPr>
        <w:lastRenderedPageBreak/>
        <w:t>Space:</w:t>
      </w:r>
      <w:r>
        <w:rPr>
          <w:rFonts w:ascii="Trebuchet MS"/>
          <w:color w:val="231F20"/>
          <w:spacing w:val="-12"/>
          <w:w w:val="105"/>
          <w:sz w:val="14"/>
        </w:rPr>
        <w:t xml:space="preserve"> </w:t>
      </w:r>
      <w:r>
        <w:rPr>
          <w:rFonts w:ascii="Trebuchet MS"/>
          <w:color w:val="231F20"/>
          <w:w w:val="105"/>
          <w:sz w:val="14"/>
        </w:rPr>
        <w:t>Location</w:t>
      </w:r>
      <w:r>
        <w:rPr>
          <w:rFonts w:ascii="Trebuchet MS"/>
          <w:color w:val="231F20"/>
          <w:spacing w:val="-11"/>
          <w:w w:val="105"/>
          <w:sz w:val="14"/>
        </w:rPr>
        <w:t xml:space="preserve"> </w:t>
      </w:r>
      <w:r>
        <w:rPr>
          <w:rFonts w:ascii="Trebuchet MS"/>
          <w:color w:val="231F20"/>
          <w:w w:val="105"/>
          <w:sz w:val="14"/>
        </w:rPr>
        <w:t>and</w:t>
      </w:r>
      <w:r>
        <w:rPr>
          <w:rFonts w:ascii="Trebuchet MS"/>
          <w:color w:val="231F20"/>
          <w:spacing w:val="-11"/>
          <w:w w:val="105"/>
          <w:sz w:val="14"/>
        </w:rPr>
        <w:t xml:space="preserve"> </w:t>
      </w:r>
      <w:r>
        <w:rPr>
          <w:rFonts w:ascii="Trebuchet MS"/>
          <w:color w:val="231F20"/>
          <w:w w:val="105"/>
          <w:sz w:val="14"/>
        </w:rPr>
        <w:t>Travel</w:t>
      </w:r>
      <w:r>
        <w:rPr>
          <w:rFonts w:ascii="Trebuchet MS"/>
          <w:color w:val="231F20"/>
          <w:spacing w:val="-11"/>
          <w:w w:val="105"/>
          <w:sz w:val="14"/>
        </w:rPr>
        <w:t xml:space="preserve"> </w:t>
      </w:r>
      <w:r>
        <w:rPr>
          <w:rFonts w:ascii="Trebuchet MS"/>
          <w:color w:val="231F20"/>
          <w:w w:val="105"/>
          <w:sz w:val="14"/>
        </w:rPr>
        <w:t>Flows</w:t>
      </w:r>
      <w:r>
        <w:rPr>
          <w:rFonts w:ascii="Trebuchet MS"/>
          <w:color w:val="231F20"/>
          <w:spacing w:val="59"/>
          <w:w w:val="105"/>
          <w:sz w:val="14"/>
        </w:rPr>
        <w:t xml:space="preserve"> </w:t>
      </w:r>
      <w:r>
        <w:rPr>
          <w:rFonts w:ascii="Trebuchet MS"/>
          <w:color w:val="231F20"/>
          <w:spacing w:val="-5"/>
          <w:w w:val="105"/>
          <w:sz w:val="14"/>
        </w:rPr>
        <w:t>97</w:t>
      </w:r>
    </w:p>
    <w:p w14:paraId="04BDE587" w14:textId="77777777" w:rsidR="00AE0598" w:rsidRDefault="00AE0598">
      <w:pPr>
        <w:pStyle w:val="Corpodetexto"/>
        <w:rPr>
          <w:rFonts w:ascii="Trebuchet MS"/>
          <w:sz w:val="16"/>
        </w:rPr>
      </w:pPr>
    </w:p>
    <w:p w14:paraId="041B2C7C" w14:textId="77777777" w:rsidR="00AE0598" w:rsidRDefault="0069255A">
      <w:pPr>
        <w:pStyle w:val="Corpodetexto"/>
        <w:spacing w:before="118" w:line="232" w:lineRule="auto"/>
        <w:ind w:left="110" w:right="127"/>
        <w:jc w:val="both"/>
      </w:pPr>
      <w:r>
        <w:rPr>
          <w:color w:val="231F20"/>
        </w:rPr>
        <w:t xml:space="preserve">the people in order to attract sufficient business to meet its threshold population’ (Bale, 1989: 85). While some sports are rigidly anchored to </w:t>
      </w:r>
      <w:r>
        <w:rPr>
          <w:color w:val="231F20"/>
          <w:w w:val="95"/>
        </w:rPr>
        <w:t xml:space="preserve">specific and non-transportable natural resources, others are relatively free </w:t>
      </w:r>
      <w:r>
        <w:rPr>
          <w:color w:val="231F20"/>
        </w:rPr>
        <w:t>of</w:t>
      </w:r>
      <w:r>
        <w:rPr>
          <w:color w:val="231F20"/>
          <w:spacing w:val="-6"/>
        </w:rPr>
        <w:t xml:space="preserve"> </w:t>
      </w:r>
      <w:r>
        <w:rPr>
          <w:color w:val="231F20"/>
        </w:rPr>
        <w:t>resource</w:t>
      </w:r>
      <w:r>
        <w:rPr>
          <w:color w:val="231F20"/>
          <w:spacing w:val="-6"/>
        </w:rPr>
        <w:t xml:space="preserve"> </w:t>
      </w:r>
      <w:r>
        <w:rPr>
          <w:color w:val="231F20"/>
        </w:rPr>
        <w:t>constraints</w:t>
      </w:r>
      <w:r>
        <w:rPr>
          <w:color w:val="231F20"/>
          <w:spacing w:val="-6"/>
        </w:rPr>
        <w:t xml:space="preserve"> </w:t>
      </w:r>
      <w:r>
        <w:rPr>
          <w:color w:val="231F20"/>
        </w:rPr>
        <w:t>and</w:t>
      </w:r>
      <w:r>
        <w:rPr>
          <w:color w:val="231F20"/>
          <w:spacing w:val="-6"/>
        </w:rPr>
        <w:t xml:space="preserve"> </w:t>
      </w:r>
      <w:r>
        <w:rPr>
          <w:color w:val="231F20"/>
        </w:rPr>
        <w:t>may</w:t>
      </w:r>
      <w:r>
        <w:rPr>
          <w:color w:val="231F20"/>
          <w:spacing w:val="-6"/>
        </w:rPr>
        <w:t xml:space="preserve"> </w:t>
      </w:r>
      <w:r>
        <w:rPr>
          <w:color w:val="231F20"/>
        </w:rPr>
        <w:t>be</w:t>
      </w:r>
      <w:r>
        <w:rPr>
          <w:color w:val="231F20"/>
          <w:spacing w:val="-6"/>
        </w:rPr>
        <w:t xml:space="preserve"> </w:t>
      </w:r>
      <w:r>
        <w:rPr>
          <w:color w:val="231F20"/>
        </w:rPr>
        <w:t>transported</w:t>
      </w:r>
      <w:r>
        <w:rPr>
          <w:color w:val="231F20"/>
          <w:spacing w:val="-6"/>
        </w:rPr>
        <w:t xml:space="preserve"> </w:t>
      </w:r>
      <w:r>
        <w:rPr>
          <w:color w:val="231F20"/>
        </w:rPr>
        <w:t>(Chapter</w:t>
      </w:r>
      <w:r>
        <w:rPr>
          <w:color w:val="231F20"/>
          <w:spacing w:val="-6"/>
        </w:rPr>
        <w:t xml:space="preserve"> </w:t>
      </w:r>
      <w:r>
        <w:rPr>
          <w:color w:val="231F20"/>
        </w:rPr>
        <w:t>7).</w:t>
      </w:r>
      <w:r>
        <w:rPr>
          <w:color w:val="231F20"/>
          <w:spacing w:val="-6"/>
        </w:rPr>
        <w:t xml:space="preserve"> </w:t>
      </w:r>
      <w:r>
        <w:rPr>
          <w:color w:val="231F20"/>
        </w:rPr>
        <w:t>A</w:t>
      </w:r>
      <w:r>
        <w:rPr>
          <w:color w:val="231F20"/>
          <w:spacing w:val="-6"/>
        </w:rPr>
        <w:t xml:space="preserve"> </w:t>
      </w:r>
      <w:r>
        <w:rPr>
          <w:color w:val="231F20"/>
        </w:rPr>
        <w:t xml:space="preserve">marathon </w:t>
      </w:r>
      <w:r>
        <w:rPr>
          <w:color w:val="231F20"/>
          <w:w w:val="95"/>
        </w:rPr>
        <w:t xml:space="preserve">course, for example, can be located to take advantage of concentrations of </w:t>
      </w:r>
      <w:r>
        <w:rPr>
          <w:color w:val="231F20"/>
        </w:rPr>
        <w:t>population, distinctive urban landmarks or unique scenic settings.</w:t>
      </w:r>
    </w:p>
    <w:p w14:paraId="21864C9E" w14:textId="77777777" w:rsidR="00AE0598" w:rsidRDefault="0069255A">
      <w:pPr>
        <w:pStyle w:val="Corpodetexto"/>
        <w:spacing w:before="7" w:line="232" w:lineRule="auto"/>
        <w:ind w:left="110" w:right="126" w:firstLine="320"/>
        <w:jc w:val="both"/>
      </w:pPr>
      <w:r>
        <w:rPr>
          <w:color w:val="231F20"/>
        </w:rPr>
        <w:t xml:space="preserve">Professional sports tours involve a tour circuit incorporating a </w:t>
      </w:r>
      <w:r>
        <w:rPr>
          <w:color w:val="231F20"/>
          <w:w w:val="95"/>
        </w:rPr>
        <w:t>recurring</w:t>
      </w:r>
      <w:r>
        <w:rPr>
          <w:color w:val="231F20"/>
          <w:spacing w:val="-7"/>
          <w:w w:val="95"/>
        </w:rPr>
        <w:t xml:space="preserve"> </w:t>
      </w:r>
      <w:r>
        <w:rPr>
          <w:color w:val="231F20"/>
          <w:w w:val="95"/>
        </w:rPr>
        <w:t>seasonal</w:t>
      </w:r>
      <w:r>
        <w:rPr>
          <w:color w:val="231F20"/>
          <w:spacing w:val="-7"/>
          <w:w w:val="95"/>
        </w:rPr>
        <w:t xml:space="preserve"> </w:t>
      </w:r>
      <w:r>
        <w:rPr>
          <w:color w:val="231F20"/>
          <w:w w:val="95"/>
        </w:rPr>
        <w:t>calendar</w:t>
      </w:r>
      <w:r>
        <w:rPr>
          <w:color w:val="231F20"/>
          <w:spacing w:val="-7"/>
          <w:w w:val="95"/>
        </w:rPr>
        <w:t xml:space="preserve"> </w:t>
      </w:r>
      <w:r>
        <w:rPr>
          <w:color w:val="231F20"/>
          <w:w w:val="95"/>
        </w:rPr>
        <w:t>of</w:t>
      </w:r>
      <w:r>
        <w:rPr>
          <w:color w:val="231F20"/>
          <w:spacing w:val="-7"/>
          <w:w w:val="95"/>
        </w:rPr>
        <w:t xml:space="preserve"> </w:t>
      </w:r>
      <w:r>
        <w:rPr>
          <w:color w:val="231F20"/>
          <w:w w:val="95"/>
        </w:rPr>
        <w:t>events</w:t>
      </w:r>
      <w:r>
        <w:rPr>
          <w:color w:val="231F20"/>
          <w:spacing w:val="-7"/>
          <w:w w:val="95"/>
        </w:rPr>
        <w:t xml:space="preserve"> </w:t>
      </w:r>
      <w:r>
        <w:rPr>
          <w:color w:val="231F20"/>
          <w:w w:val="95"/>
        </w:rPr>
        <w:t>in</w:t>
      </w:r>
      <w:r>
        <w:rPr>
          <w:color w:val="231F20"/>
          <w:spacing w:val="-7"/>
          <w:w w:val="95"/>
        </w:rPr>
        <w:t xml:space="preserve"> </w:t>
      </w:r>
      <w:r>
        <w:rPr>
          <w:color w:val="231F20"/>
          <w:w w:val="95"/>
        </w:rPr>
        <w:t>different</w:t>
      </w:r>
      <w:r>
        <w:rPr>
          <w:color w:val="231F20"/>
          <w:spacing w:val="-7"/>
          <w:w w:val="95"/>
        </w:rPr>
        <w:t xml:space="preserve"> </w:t>
      </w:r>
      <w:r>
        <w:rPr>
          <w:color w:val="231F20"/>
          <w:w w:val="95"/>
        </w:rPr>
        <w:t>venues</w:t>
      </w:r>
      <w:r>
        <w:rPr>
          <w:color w:val="231F20"/>
          <w:spacing w:val="-7"/>
          <w:w w:val="95"/>
        </w:rPr>
        <w:t xml:space="preserve"> </w:t>
      </w:r>
      <w:r>
        <w:rPr>
          <w:color w:val="231F20"/>
          <w:w w:val="95"/>
        </w:rPr>
        <w:t>where</w:t>
      </w:r>
      <w:r>
        <w:rPr>
          <w:color w:val="231F20"/>
          <w:spacing w:val="-7"/>
          <w:w w:val="95"/>
        </w:rPr>
        <w:t xml:space="preserve"> </w:t>
      </w:r>
      <w:r>
        <w:rPr>
          <w:color w:val="231F20"/>
          <w:w w:val="95"/>
        </w:rPr>
        <w:t xml:space="preserve">competition </w:t>
      </w:r>
      <w:r>
        <w:rPr>
          <w:color w:val="231F20"/>
        </w:rPr>
        <w:t>takes place. These tours are designed to improve spectator access to sports and therefore revenues, and are scheduled in cases such as golf (e.g. Professional Golf Association Tour) and tenn</w:t>
      </w:r>
      <w:r>
        <w:rPr>
          <w:color w:val="231F20"/>
        </w:rPr>
        <w:t xml:space="preserve">is (e.g. Association of </w:t>
      </w:r>
      <w:r>
        <w:rPr>
          <w:color w:val="231F20"/>
          <w:w w:val="95"/>
        </w:rPr>
        <w:t xml:space="preserve">Tennis Professionals Tour) to take advantage of seasonal conditions at the </w:t>
      </w:r>
      <w:r>
        <w:rPr>
          <w:color w:val="231F20"/>
        </w:rPr>
        <w:t>destination</w:t>
      </w:r>
      <w:r>
        <w:rPr>
          <w:color w:val="231F20"/>
          <w:spacing w:val="-7"/>
        </w:rPr>
        <w:t xml:space="preserve"> </w:t>
      </w:r>
      <w:r>
        <w:rPr>
          <w:color w:val="231F20"/>
        </w:rPr>
        <w:t>(see</w:t>
      </w:r>
      <w:r>
        <w:rPr>
          <w:color w:val="231F20"/>
          <w:spacing w:val="-7"/>
        </w:rPr>
        <w:t xml:space="preserve"> </w:t>
      </w:r>
      <w:r>
        <w:rPr>
          <w:color w:val="231F20"/>
        </w:rPr>
        <w:t>also</w:t>
      </w:r>
      <w:r>
        <w:rPr>
          <w:color w:val="231F20"/>
          <w:spacing w:val="-7"/>
        </w:rPr>
        <w:t xml:space="preserve"> </w:t>
      </w:r>
      <w:r>
        <w:rPr>
          <w:color w:val="231F20"/>
        </w:rPr>
        <w:t>Chapter</w:t>
      </w:r>
      <w:r>
        <w:rPr>
          <w:color w:val="231F20"/>
          <w:spacing w:val="-7"/>
        </w:rPr>
        <w:t xml:space="preserve"> </w:t>
      </w:r>
      <w:r>
        <w:rPr>
          <w:color w:val="231F20"/>
        </w:rPr>
        <w:t>9).</w:t>
      </w:r>
      <w:r>
        <w:rPr>
          <w:color w:val="231F20"/>
          <w:spacing w:val="-7"/>
        </w:rPr>
        <w:t xml:space="preserve"> </w:t>
      </w:r>
      <w:r>
        <w:rPr>
          <w:color w:val="231F20"/>
        </w:rPr>
        <w:t>A</w:t>
      </w:r>
      <w:r>
        <w:rPr>
          <w:color w:val="231F20"/>
          <w:spacing w:val="-7"/>
        </w:rPr>
        <w:t xml:space="preserve"> </w:t>
      </w:r>
      <w:r>
        <w:rPr>
          <w:color w:val="231F20"/>
        </w:rPr>
        <w:t>professional</w:t>
      </w:r>
      <w:r>
        <w:rPr>
          <w:color w:val="231F20"/>
          <w:spacing w:val="-7"/>
        </w:rPr>
        <w:t xml:space="preserve"> </w:t>
      </w:r>
      <w:r>
        <w:rPr>
          <w:color w:val="231F20"/>
        </w:rPr>
        <w:t>tour</w:t>
      </w:r>
      <w:r>
        <w:rPr>
          <w:color w:val="231F20"/>
          <w:spacing w:val="-7"/>
        </w:rPr>
        <w:t xml:space="preserve"> </w:t>
      </w:r>
      <w:r>
        <w:rPr>
          <w:color w:val="231F20"/>
        </w:rPr>
        <w:t>has</w:t>
      </w:r>
      <w:r>
        <w:rPr>
          <w:color w:val="231F20"/>
          <w:spacing w:val="-7"/>
        </w:rPr>
        <w:t xml:space="preserve"> </w:t>
      </w:r>
      <w:r>
        <w:rPr>
          <w:color w:val="231F20"/>
        </w:rPr>
        <w:t>two</w:t>
      </w:r>
      <w:r>
        <w:rPr>
          <w:color w:val="231F20"/>
          <w:spacing w:val="-7"/>
        </w:rPr>
        <w:t xml:space="preserve"> </w:t>
      </w:r>
      <w:r>
        <w:rPr>
          <w:color w:val="231F20"/>
        </w:rPr>
        <w:t xml:space="preserve">noteworthy </w:t>
      </w:r>
      <w:r>
        <w:rPr>
          <w:color w:val="231F20"/>
          <w:w w:val="95"/>
        </w:rPr>
        <w:t xml:space="preserve">implications for sport tourism. First, it transforms the athlete or contestant </w:t>
      </w:r>
      <w:r>
        <w:rPr>
          <w:color w:val="231F20"/>
        </w:rPr>
        <w:t xml:space="preserve">into </w:t>
      </w:r>
      <w:r>
        <w:rPr>
          <w:color w:val="231F20"/>
        </w:rPr>
        <w:t>an elite sport tourist as the tour circuit moves from one venue, city, country</w:t>
      </w:r>
      <w:r>
        <w:rPr>
          <w:color w:val="231F20"/>
          <w:spacing w:val="-1"/>
        </w:rPr>
        <w:t xml:space="preserve"> </w:t>
      </w:r>
      <w:r>
        <w:rPr>
          <w:color w:val="231F20"/>
        </w:rPr>
        <w:t>or</w:t>
      </w:r>
      <w:r>
        <w:rPr>
          <w:color w:val="231F20"/>
          <w:spacing w:val="-1"/>
        </w:rPr>
        <w:t xml:space="preserve"> </w:t>
      </w:r>
      <w:r>
        <w:rPr>
          <w:color w:val="231F20"/>
        </w:rPr>
        <w:t>continent</w:t>
      </w:r>
      <w:r>
        <w:rPr>
          <w:color w:val="231F20"/>
          <w:spacing w:val="-1"/>
        </w:rPr>
        <w:t xml:space="preserve"> </w:t>
      </w:r>
      <w:r>
        <w:rPr>
          <w:color w:val="231F20"/>
        </w:rPr>
        <w:t>to</w:t>
      </w:r>
      <w:r>
        <w:rPr>
          <w:color w:val="231F20"/>
          <w:spacing w:val="-1"/>
        </w:rPr>
        <w:t xml:space="preserve"> </w:t>
      </w:r>
      <w:r>
        <w:rPr>
          <w:color w:val="231F20"/>
        </w:rPr>
        <w:t>the</w:t>
      </w:r>
      <w:r>
        <w:rPr>
          <w:color w:val="231F20"/>
          <w:spacing w:val="-1"/>
        </w:rPr>
        <w:t xml:space="preserve"> </w:t>
      </w:r>
      <w:r>
        <w:rPr>
          <w:color w:val="231F20"/>
        </w:rPr>
        <w:t>next.</w:t>
      </w:r>
      <w:r>
        <w:rPr>
          <w:color w:val="231F20"/>
          <w:spacing w:val="-1"/>
        </w:rPr>
        <w:t xml:space="preserve"> </w:t>
      </w:r>
      <w:r>
        <w:rPr>
          <w:color w:val="231F20"/>
        </w:rPr>
        <w:t>Secondly,</w:t>
      </w:r>
      <w:r>
        <w:rPr>
          <w:color w:val="231F20"/>
          <w:spacing w:val="-1"/>
        </w:rPr>
        <w:t xml:space="preserve"> </w:t>
      </w:r>
      <w:r>
        <w:rPr>
          <w:color w:val="231F20"/>
        </w:rPr>
        <w:t>it</w:t>
      </w:r>
      <w:r>
        <w:rPr>
          <w:color w:val="231F20"/>
          <w:spacing w:val="-1"/>
        </w:rPr>
        <w:t xml:space="preserve"> </w:t>
      </w:r>
      <w:r>
        <w:rPr>
          <w:color w:val="231F20"/>
        </w:rPr>
        <w:t>creates</w:t>
      </w:r>
      <w:r>
        <w:rPr>
          <w:color w:val="231F20"/>
          <w:spacing w:val="-1"/>
        </w:rPr>
        <w:t xml:space="preserve"> </w:t>
      </w:r>
      <w:r>
        <w:rPr>
          <w:color w:val="231F20"/>
        </w:rPr>
        <w:t>the</w:t>
      </w:r>
      <w:r>
        <w:rPr>
          <w:color w:val="231F20"/>
          <w:spacing w:val="-1"/>
        </w:rPr>
        <w:t xml:space="preserve"> </w:t>
      </w:r>
      <w:r>
        <w:rPr>
          <w:color w:val="231F20"/>
        </w:rPr>
        <w:t>opportunity</w:t>
      </w:r>
      <w:r>
        <w:rPr>
          <w:color w:val="231F20"/>
          <w:spacing w:val="-1"/>
        </w:rPr>
        <w:t xml:space="preserve"> </w:t>
      </w:r>
      <w:r>
        <w:rPr>
          <w:color w:val="231F20"/>
        </w:rPr>
        <w:t>for sport tourism development and periodic marketing associated with the regularly recurring visit of the professional sports tour. World Rugby’s (formerly the International Rugby Board) HSBC World Seven Series, most notably the annual tournament that is h</w:t>
      </w:r>
      <w:r>
        <w:rPr>
          <w:color w:val="231F20"/>
        </w:rPr>
        <w:t xml:space="preserve">osted in Hong Kong, has </w:t>
      </w:r>
      <w:r>
        <w:rPr>
          <w:color w:val="231F20"/>
          <w:w w:val="95"/>
        </w:rPr>
        <w:t xml:space="preserve">been developed and promoted as a sports festival, often in association with </w:t>
      </w:r>
      <w:r>
        <w:rPr>
          <w:color w:val="231F20"/>
        </w:rPr>
        <w:t xml:space="preserve">other urban tourist activities. While the Hong Kong Sevens has achieved sustained success for several decades, the Wellington (New Zealand) </w:t>
      </w:r>
      <w:r>
        <w:rPr>
          <w:color w:val="231F20"/>
          <w:w w:val="95"/>
        </w:rPr>
        <w:t>Sevens tournamen</w:t>
      </w:r>
      <w:r>
        <w:rPr>
          <w:color w:val="231F20"/>
          <w:w w:val="95"/>
        </w:rPr>
        <w:t xml:space="preserve">t, which in the 1990s developed into a colourful festival </w:t>
      </w:r>
      <w:r>
        <w:rPr>
          <w:color w:val="231F20"/>
        </w:rPr>
        <w:t>and</w:t>
      </w:r>
      <w:r>
        <w:rPr>
          <w:color w:val="231F20"/>
          <w:spacing w:val="-11"/>
        </w:rPr>
        <w:t xml:space="preserve"> </w:t>
      </w:r>
      <w:r>
        <w:rPr>
          <w:color w:val="231F20"/>
        </w:rPr>
        <w:t>platform</w:t>
      </w:r>
      <w:r>
        <w:rPr>
          <w:color w:val="231F20"/>
          <w:spacing w:val="-11"/>
        </w:rPr>
        <w:t xml:space="preserve"> </w:t>
      </w:r>
      <w:r>
        <w:rPr>
          <w:color w:val="231F20"/>
        </w:rPr>
        <w:t>of</w:t>
      </w:r>
      <w:r>
        <w:rPr>
          <w:color w:val="231F20"/>
          <w:spacing w:val="-11"/>
        </w:rPr>
        <w:t xml:space="preserve"> </w:t>
      </w:r>
      <w:r>
        <w:rPr>
          <w:color w:val="231F20"/>
        </w:rPr>
        <w:t>contemporary</w:t>
      </w:r>
      <w:r>
        <w:rPr>
          <w:color w:val="231F20"/>
          <w:spacing w:val="-11"/>
        </w:rPr>
        <w:t xml:space="preserve"> </w:t>
      </w:r>
      <w:r>
        <w:rPr>
          <w:color w:val="231F20"/>
        </w:rPr>
        <w:t>culture,</w:t>
      </w:r>
      <w:r>
        <w:rPr>
          <w:color w:val="231F20"/>
          <w:spacing w:val="-11"/>
        </w:rPr>
        <w:t xml:space="preserve"> </w:t>
      </w:r>
      <w:r>
        <w:rPr>
          <w:color w:val="231F20"/>
        </w:rPr>
        <w:t>has</w:t>
      </w:r>
      <w:r>
        <w:rPr>
          <w:color w:val="231F20"/>
          <w:spacing w:val="-11"/>
        </w:rPr>
        <w:t xml:space="preserve"> </w:t>
      </w:r>
      <w:r>
        <w:rPr>
          <w:color w:val="231F20"/>
        </w:rPr>
        <w:t>fallen</w:t>
      </w:r>
      <w:r>
        <w:rPr>
          <w:color w:val="231F20"/>
          <w:spacing w:val="-11"/>
        </w:rPr>
        <w:t xml:space="preserve"> </w:t>
      </w:r>
      <w:r>
        <w:rPr>
          <w:color w:val="231F20"/>
        </w:rPr>
        <w:t>in</w:t>
      </w:r>
      <w:r>
        <w:rPr>
          <w:color w:val="231F20"/>
          <w:spacing w:val="-11"/>
        </w:rPr>
        <w:t xml:space="preserve"> </w:t>
      </w:r>
      <w:r>
        <w:rPr>
          <w:color w:val="231F20"/>
        </w:rPr>
        <w:t>prominence</w:t>
      </w:r>
      <w:r>
        <w:rPr>
          <w:color w:val="231F20"/>
          <w:spacing w:val="-11"/>
        </w:rPr>
        <w:t xml:space="preserve"> </w:t>
      </w:r>
      <w:r>
        <w:rPr>
          <w:color w:val="231F20"/>
        </w:rPr>
        <w:t>in</w:t>
      </w:r>
      <w:r>
        <w:rPr>
          <w:color w:val="231F20"/>
          <w:spacing w:val="-11"/>
        </w:rPr>
        <w:t xml:space="preserve"> </w:t>
      </w:r>
      <w:r>
        <w:rPr>
          <w:color w:val="231F20"/>
        </w:rPr>
        <w:t>recent years. This has been attributed to the emergence of the rival Auckland Nines</w:t>
      </w:r>
      <w:r>
        <w:rPr>
          <w:color w:val="231F20"/>
          <w:spacing w:val="-3"/>
        </w:rPr>
        <w:t xml:space="preserve"> </w:t>
      </w:r>
      <w:r>
        <w:rPr>
          <w:color w:val="231F20"/>
        </w:rPr>
        <w:t>(Rugby</w:t>
      </w:r>
      <w:r>
        <w:rPr>
          <w:color w:val="231F20"/>
          <w:spacing w:val="-3"/>
        </w:rPr>
        <w:t xml:space="preserve"> </w:t>
      </w:r>
      <w:r>
        <w:rPr>
          <w:color w:val="231F20"/>
        </w:rPr>
        <w:t>League)</w:t>
      </w:r>
      <w:r>
        <w:rPr>
          <w:color w:val="231F20"/>
          <w:spacing w:val="-3"/>
        </w:rPr>
        <w:t xml:space="preserve"> </w:t>
      </w:r>
      <w:r>
        <w:rPr>
          <w:color w:val="231F20"/>
        </w:rPr>
        <w:t>and</w:t>
      </w:r>
      <w:r>
        <w:rPr>
          <w:color w:val="231F20"/>
          <w:spacing w:val="-3"/>
        </w:rPr>
        <w:t xml:space="preserve"> </w:t>
      </w:r>
      <w:r>
        <w:rPr>
          <w:color w:val="231F20"/>
        </w:rPr>
        <w:t>the</w:t>
      </w:r>
      <w:r>
        <w:rPr>
          <w:color w:val="231F20"/>
          <w:spacing w:val="-3"/>
        </w:rPr>
        <w:t xml:space="preserve"> </w:t>
      </w:r>
      <w:r>
        <w:rPr>
          <w:color w:val="231F20"/>
        </w:rPr>
        <w:t>association</w:t>
      </w:r>
      <w:r>
        <w:rPr>
          <w:color w:val="231F20"/>
          <w:spacing w:val="-3"/>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rPr>
        <w:t>Wellin</w:t>
      </w:r>
      <w:r>
        <w:rPr>
          <w:color w:val="231F20"/>
        </w:rPr>
        <w:t>gton</w:t>
      </w:r>
      <w:r>
        <w:rPr>
          <w:color w:val="231F20"/>
          <w:spacing w:val="-3"/>
        </w:rPr>
        <w:t xml:space="preserve"> </w:t>
      </w:r>
      <w:r>
        <w:rPr>
          <w:color w:val="231F20"/>
        </w:rPr>
        <w:t>Sevens</w:t>
      </w:r>
      <w:r>
        <w:rPr>
          <w:color w:val="231F20"/>
          <w:spacing w:val="-3"/>
        </w:rPr>
        <w:t xml:space="preserve"> </w:t>
      </w:r>
      <w:r>
        <w:rPr>
          <w:color w:val="231F20"/>
        </w:rPr>
        <w:t>with excessive alcohol consumption (Gee, 2014).</w:t>
      </w:r>
    </w:p>
    <w:p w14:paraId="38360C63" w14:textId="77777777" w:rsidR="00AE0598" w:rsidRDefault="0069255A">
      <w:pPr>
        <w:pStyle w:val="Corpodetexto"/>
        <w:spacing w:before="27" w:line="232" w:lineRule="auto"/>
        <w:ind w:left="110" w:right="121" w:firstLine="320"/>
        <w:jc w:val="both"/>
      </w:pPr>
      <w:r>
        <w:rPr>
          <w:color w:val="231F20"/>
        </w:rPr>
        <w:t xml:space="preserve">Formula One, which currently involves 17 races in the annual Grand </w:t>
      </w:r>
      <w:r>
        <w:rPr>
          <w:color w:val="231F20"/>
          <w:w w:val="95"/>
        </w:rPr>
        <w:t>Prix circuit, is another example of an annual professional sport competition that has been developed on the principle of periodic</w:t>
      </w:r>
      <w:r>
        <w:rPr>
          <w:color w:val="231F20"/>
          <w:w w:val="95"/>
        </w:rPr>
        <w:t xml:space="preserve"> marketing, although </w:t>
      </w:r>
      <w:r>
        <w:rPr>
          <w:color w:val="231F20"/>
        </w:rPr>
        <w:t xml:space="preserve">this sport is characterised by intense competition between cities to host F1 Grand Prix events (Henderson </w:t>
      </w:r>
      <w:r>
        <w:rPr>
          <w:i/>
          <w:color w:val="231F20"/>
        </w:rPr>
        <w:t>et al</w:t>
      </w:r>
      <w:r>
        <w:rPr>
          <w:color w:val="231F20"/>
        </w:rPr>
        <w:t>., 2010). Recurring sports events, despite</w:t>
      </w:r>
      <w:r>
        <w:rPr>
          <w:color w:val="231F20"/>
          <w:spacing w:val="40"/>
        </w:rPr>
        <w:t xml:space="preserve"> </w:t>
      </w:r>
      <w:r>
        <w:rPr>
          <w:color w:val="231F20"/>
        </w:rPr>
        <w:t>the</w:t>
      </w:r>
      <w:r>
        <w:rPr>
          <w:color w:val="231F20"/>
          <w:spacing w:val="40"/>
        </w:rPr>
        <w:t xml:space="preserve"> </w:t>
      </w:r>
      <w:r>
        <w:rPr>
          <w:color w:val="231F20"/>
        </w:rPr>
        <w:t>threat</w:t>
      </w:r>
      <w:r>
        <w:rPr>
          <w:color w:val="231F20"/>
          <w:spacing w:val="40"/>
        </w:rPr>
        <w:t xml:space="preserve"> </w:t>
      </w:r>
      <w:r>
        <w:rPr>
          <w:color w:val="231F20"/>
        </w:rPr>
        <w:t>of</w:t>
      </w:r>
      <w:r>
        <w:rPr>
          <w:color w:val="231F20"/>
          <w:spacing w:val="40"/>
        </w:rPr>
        <w:t xml:space="preserve"> </w:t>
      </w:r>
      <w:r>
        <w:rPr>
          <w:color w:val="231F20"/>
        </w:rPr>
        <w:t>locational</w:t>
      </w:r>
      <w:r>
        <w:rPr>
          <w:color w:val="231F20"/>
          <w:spacing w:val="40"/>
        </w:rPr>
        <w:t xml:space="preserve"> </w:t>
      </w:r>
      <w:r>
        <w:rPr>
          <w:color w:val="231F20"/>
        </w:rPr>
        <w:t>change,</w:t>
      </w:r>
      <w:r>
        <w:rPr>
          <w:color w:val="231F20"/>
          <w:spacing w:val="40"/>
        </w:rPr>
        <w:t xml:space="preserve"> </w:t>
      </w:r>
      <w:r>
        <w:rPr>
          <w:color w:val="231F20"/>
        </w:rPr>
        <w:t>stand</w:t>
      </w:r>
      <w:r>
        <w:rPr>
          <w:color w:val="231F20"/>
          <w:spacing w:val="40"/>
        </w:rPr>
        <w:t xml:space="preserve"> </w:t>
      </w:r>
      <w:r>
        <w:rPr>
          <w:color w:val="231F20"/>
        </w:rPr>
        <w:t>in</w:t>
      </w:r>
      <w:r>
        <w:rPr>
          <w:color w:val="231F20"/>
          <w:spacing w:val="40"/>
        </w:rPr>
        <w:t xml:space="preserve"> </w:t>
      </w:r>
      <w:r>
        <w:rPr>
          <w:color w:val="231F20"/>
        </w:rPr>
        <w:t>contrast</w:t>
      </w:r>
      <w:r>
        <w:rPr>
          <w:color w:val="231F20"/>
          <w:spacing w:val="40"/>
        </w:rPr>
        <w:t xml:space="preserve"> </w:t>
      </w:r>
      <w:r>
        <w:rPr>
          <w:color w:val="231F20"/>
        </w:rPr>
        <w:t>to</w:t>
      </w:r>
      <w:r>
        <w:rPr>
          <w:color w:val="231F20"/>
          <w:spacing w:val="40"/>
        </w:rPr>
        <w:t xml:space="preserve"> </w:t>
      </w:r>
      <w:r>
        <w:rPr>
          <w:color w:val="231F20"/>
        </w:rPr>
        <w:t>biennial and quadrennial sp</w:t>
      </w:r>
      <w:r>
        <w:rPr>
          <w:color w:val="231F20"/>
        </w:rPr>
        <w:t xml:space="preserve">orts events such as the </w:t>
      </w:r>
      <w:r>
        <w:rPr>
          <w:i/>
          <w:color w:val="231F20"/>
        </w:rPr>
        <w:t xml:space="preserve">Federation Internationale de Football Association </w:t>
      </w:r>
      <w:r>
        <w:rPr>
          <w:color w:val="231F20"/>
        </w:rPr>
        <w:t>(FIFA) Football World Cup and the International Cricket Council (ICC) Cricket World Cup, the International Amateur Athletics Federation (IAAF) World Championships and the Olympic Gam</w:t>
      </w:r>
      <w:r>
        <w:rPr>
          <w:color w:val="231F20"/>
        </w:rPr>
        <w:t xml:space="preserve">es. The cities that host these events change, as determined by </w:t>
      </w:r>
      <w:r>
        <w:rPr>
          <w:color w:val="231F20"/>
          <w:w w:val="95"/>
        </w:rPr>
        <w:t>bidding processes, which presents different challenges and opportunities</w:t>
      </w:r>
      <w:r>
        <w:rPr>
          <w:color w:val="231F20"/>
          <w:spacing w:val="80"/>
        </w:rPr>
        <w:t xml:space="preserve"> </w:t>
      </w:r>
      <w:r>
        <w:rPr>
          <w:color w:val="231F20"/>
        </w:rPr>
        <w:t>to sport tourism destination managers. In these cases, it is particularly important that sport and tourism managers collaborate to take full advantage of the opportunities that these events present; be they in the form of regeneration, business development</w:t>
      </w:r>
      <w:r>
        <w:rPr>
          <w:color w:val="231F20"/>
        </w:rPr>
        <w:t xml:space="preserve">, destination marketing, </w:t>
      </w:r>
      <w:r>
        <w:rPr>
          <w:color w:val="231F20"/>
          <w:w w:val="95"/>
        </w:rPr>
        <w:t>reimaging,</w:t>
      </w:r>
      <w:r>
        <w:rPr>
          <w:color w:val="231F20"/>
          <w:spacing w:val="29"/>
        </w:rPr>
        <w:t xml:space="preserve"> </w:t>
      </w:r>
      <w:r>
        <w:rPr>
          <w:color w:val="231F20"/>
          <w:w w:val="95"/>
        </w:rPr>
        <w:t>tourism</w:t>
      </w:r>
      <w:r>
        <w:rPr>
          <w:color w:val="231F20"/>
          <w:spacing w:val="29"/>
        </w:rPr>
        <w:t xml:space="preserve"> </w:t>
      </w:r>
      <w:r>
        <w:rPr>
          <w:color w:val="231F20"/>
          <w:w w:val="95"/>
        </w:rPr>
        <w:t>or</w:t>
      </w:r>
      <w:r>
        <w:rPr>
          <w:color w:val="231F20"/>
          <w:spacing w:val="29"/>
        </w:rPr>
        <w:t xml:space="preserve"> </w:t>
      </w:r>
      <w:r>
        <w:rPr>
          <w:color w:val="231F20"/>
          <w:w w:val="95"/>
        </w:rPr>
        <w:t>event</w:t>
      </w:r>
      <w:r>
        <w:rPr>
          <w:color w:val="231F20"/>
          <w:spacing w:val="29"/>
        </w:rPr>
        <w:t xml:space="preserve"> </w:t>
      </w:r>
      <w:r>
        <w:rPr>
          <w:color w:val="231F20"/>
          <w:w w:val="95"/>
        </w:rPr>
        <w:t>legacy</w:t>
      </w:r>
      <w:r>
        <w:rPr>
          <w:color w:val="231F20"/>
          <w:spacing w:val="29"/>
        </w:rPr>
        <w:t xml:space="preserve"> </w:t>
      </w:r>
      <w:r>
        <w:rPr>
          <w:color w:val="231F20"/>
          <w:w w:val="95"/>
        </w:rPr>
        <w:t>(Weed,</w:t>
      </w:r>
      <w:r>
        <w:rPr>
          <w:color w:val="231F20"/>
          <w:spacing w:val="29"/>
        </w:rPr>
        <w:t xml:space="preserve"> </w:t>
      </w:r>
      <w:r>
        <w:rPr>
          <w:color w:val="231F20"/>
          <w:w w:val="95"/>
        </w:rPr>
        <w:t>2007).</w:t>
      </w:r>
      <w:r>
        <w:rPr>
          <w:color w:val="231F20"/>
          <w:spacing w:val="29"/>
        </w:rPr>
        <w:t xml:space="preserve"> </w:t>
      </w:r>
      <w:r>
        <w:rPr>
          <w:color w:val="231F20"/>
          <w:w w:val="95"/>
        </w:rPr>
        <w:t>One</w:t>
      </w:r>
      <w:r>
        <w:rPr>
          <w:color w:val="231F20"/>
          <w:spacing w:val="29"/>
        </w:rPr>
        <w:t xml:space="preserve"> </w:t>
      </w:r>
      <w:r>
        <w:rPr>
          <w:color w:val="231F20"/>
          <w:w w:val="95"/>
        </w:rPr>
        <w:t>such</w:t>
      </w:r>
      <w:r>
        <w:rPr>
          <w:color w:val="231F20"/>
          <w:spacing w:val="29"/>
        </w:rPr>
        <w:t xml:space="preserve"> </w:t>
      </w:r>
      <w:r>
        <w:rPr>
          <w:color w:val="231F20"/>
          <w:w w:val="95"/>
        </w:rPr>
        <w:t>strategy</w:t>
      </w:r>
      <w:r>
        <w:rPr>
          <w:color w:val="231F20"/>
          <w:spacing w:val="29"/>
        </w:rPr>
        <w:t xml:space="preserve"> </w:t>
      </w:r>
      <w:r>
        <w:rPr>
          <w:color w:val="231F20"/>
          <w:spacing w:val="-5"/>
          <w:w w:val="95"/>
        </w:rPr>
        <w:t>has</w:t>
      </w:r>
    </w:p>
    <w:p w14:paraId="0C85F448" w14:textId="77777777" w:rsidR="00AE0598" w:rsidRDefault="00AE0598">
      <w:pPr>
        <w:spacing w:line="232" w:lineRule="auto"/>
        <w:jc w:val="both"/>
        <w:sectPr w:rsidR="00AE0598">
          <w:pgSz w:w="8850" w:h="13270"/>
          <w:pgMar w:top="720" w:right="1060" w:bottom="280" w:left="1080" w:header="720" w:footer="720" w:gutter="0"/>
          <w:cols w:space="720"/>
        </w:sectPr>
      </w:pPr>
    </w:p>
    <w:p w14:paraId="09F9181F" w14:textId="77777777" w:rsidR="00AE0598" w:rsidRDefault="0069255A">
      <w:pPr>
        <w:spacing w:before="87"/>
        <w:ind w:left="108"/>
        <w:rPr>
          <w:rFonts w:ascii="Trebuchet MS"/>
          <w:sz w:val="14"/>
        </w:rPr>
      </w:pPr>
      <w:r>
        <w:rPr>
          <w:rFonts w:ascii="Trebuchet MS"/>
          <w:color w:val="231F20"/>
          <w:w w:val="105"/>
          <w:sz w:val="14"/>
        </w:rPr>
        <w:lastRenderedPageBreak/>
        <w:t>98</w:t>
      </w:r>
      <w:r>
        <w:rPr>
          <w:rFonts w:ascii="Trebuchet MS"/>
          <w:color w:val="231F20"/>
          <w:spacing w:val="66"/>
          <w:w w:val="150"/>
          <w:sz w:val="14"/>
        </w:rPr>
        <w:t xml:space="preserve"> </w:t>
      </w:r>
      <w:r>
        <w:rPr>
          <w:rFonts w:ascii="Trebuchet MS"/>
          <w:color w:val="231F20"/>
          <w:w w:val="105"/>
          <w:sz w:val="14"/>
        </w:rPr>
        <w:t>Part</w:t>
      </w:r>
      <w:r>
        <w:rPr>
          <w:rFonts w:ascii="Trebuchet MS"/>
          <w:color w:val="231F20"/>
          <w:spacing w:val="-9"/>
          <w:w w:val="105"/>
          <w:sz w:val="14"/>
        </w:rPr>
        <w:t xml:space="preserve"> </w:t>
      </w:r>
      <w:r>
        <w:rPr>
          <w:rFonts w:ascii="Trebuchet MS"/>
          <w:color w:val="231F20"/>
          <w:w w:val="105"/>
          <w:sz w:val="14"/>
        </w:rPr>
        <w:t>3:</w:t>
      </w:r>
      <w:r>
        <w:rPr>
          <w:rFonts w:ascii="Trebuchet MS"/>
          <w:color w:val="231F20"/>
          <w:spacing w:val="-9"/>
          <w:w w:val="105"/>
          <w:sz w:val="14"/>
        </w:rPr>
        <w:t xml:space="preserve"> </w:t>
      </w:r>
      <w:r>
        <w:rPr>
          <w:rFonts w:ascii="Trebuchet MS"/>
          <w:color w:val="231F20"/>
          <w:w w:val="105"/>
          <w:sz w:val="14"/>
        </w:rPr>
        <w:t>Sport</w:t>
      </w:r>
      <w:r>
        <w:rPr>
          <w:rFonts w:ascii="Trebuchet MS"/>
          <w:color w:val="231F20"/>
          <w:spacing w:val="-9"/>
          <w:w w:val="105"/>
          <w:sz w:val="14"/>
        </w:rPr>
        <w:t xml:space="preserve"> </w:t>
      </w:r>
      <w:r>
        <w:rPr>
          <w:rFonts w:ascii="Trebuchet MS"/>
          <w:color w:val="231F20"/>
          <w:w w:val="105"/>
          <w:sz w:val="14"/>
        </w:rPr>
        <w:t>Tourism</w:t>
      </w:r>
      <w:r>
        <w:rPr>
          <w:rFonts w:ascii="Trebuchet MS"/>
          <w:color w:val="231F20"/>
          <w:spacing w:val="-8"/>
          <w:w w:val="105"/>
          <w:sz w:val="14"/>
        </w:rPr>
        <w:t xml:space="preserve"> </w:t>
      </w:r>
      <w:r>
        <w:rPr>
          <w:rFonts w:ascii="Trebuchet MS"/>
          <w:color w:val="231F20"/>
          <w:w w:val="105"/>
          <w:sz w:val="14"/>
        </w:rPr>
        <w:t>Development</w:t>
      </w:r>
      <w:r>
        <w:rPr>
          <w:rFonts w:ascii="Trebuchet MS"/>
          <w:color w:val="231F20"/>
          <w:spacing w:val="-9"/>
          <w:w w:val="105"/>
          <w:sz w:val="14"/>
        </w:rPr>
        <w:t xml:space="preserve"> </w:t>
      </w:r>
      <w:r>
        <w:rPr>
          <w:rFonts w:ascii="Trebuchet MS"/>
          <w:color w:val="231F20"/>
          <w:w w:val="105"/>
          <w:sz w:val="14"/>
        </w:rPr>
        <w:t>and</w:t>
      </w:r>
      <w:r>
        <w:rPr>
          <w:rFonts w:ascii="Trebuchet MS"/>
          <w:color w:val="231F20"/>
          <w:spacing w:val="-9"/>
          <w:w w:val="105"/>
          <w:sz w:val="14"/>
        </w:rPr>
        <w:t xml:space="preserve"> </w:t>
      </w:r>
      <w:r>
        <w:rPr>
          <w:rFonts w:ascii="Trebuchet MS"/>
          <w:color w:val="231F20"/>
          <w:spacing w:val="-2"/>
          <w:w w:val="105"/>
          <w:sz w:val="14"/>
        </w:rPr>
        <w:t>Space</w:t>
      </w:r>
    </w:p>
    <w:p w14:paraId="341F05F3" w14:textId="77777777" w:rsidR="00AE0598" w:rsidRDefault="00AE0598">
      <w:pPr>
        <w:pStyle w:val="Corpodetexto"/>
        <w:rPr>
          <w:rFonts w:ascii="Trebuchet MS"/>
          <w:sz w:val="16"/>
        </w:rPr>
      </w:pPr>
    </w:p>
    <w:p w14:paraId="253406F5" w14:textId="77777777" w:rsidR="00AE0598" w:rsidRDefault="0069255A">
      <w:pPr>
        <w:pStyle w:val="Corpodetexto"/>
        <w:spacing w:before="118" w:line="232" w:lineRule="auto"/>
        <w:ind w:left="110" w:right="125"/>
        <w:jc w:val="both"/>
      </w:pPr>
      <w:r>
        <w:rPr>
          <w:color w:val="231F20"/>
        </w:rPr>
        <w:t>been</w:t>
      </w:r>
      <w:r>
        <w:rPr>
          <w:color w:val="231F20"/>
          <w:spacing w:val="-7"/>
        </w:rPr>
        <w:t xml:space="preserve"> </w:t>
      </w:r>
      <w:r>
        <w:rPr>
          <w:color w:val="231F20"/>
        </w:rPr>
        <w:t>to</w:t>
      </w:r>
      <w:r>
        <w:rPr>
          <w:color w:val="231F20"/>
          <w:spacing w:val="-8"/>
        </w:rPr>
        <w:t xml:space="preserve"> </w:t>
      </w:r>
      <w:r>
        <w:rPr>
          <w:color w:val="231F20"/>
        </w:rPr>
        <w:t>build</w:t>
      </w:r>
      <w:r>
        <w:rPr>
          <w:color w:val="231F20"/>
          <w:spacing w:val="-7"/>
        </w:rPr>
        <w:t xml:space="preserve"> </w:t>
      </w:r>
      <w:r>
        <w:rPr>
          <w:color w:val="231F20"/>
        </w:rPr>
        <w:t>the</w:t>
      </w:r>
      <w:r>
        <w:rPr>
          <w:color w:val="231F20"/>
          <w:spacing w:val="-7"/>
        </w:rPr>
        <w:t xml:space="preserve"> </w:t>
      </w:r>
      <w:r>
        <w:rPr>
          <w:color w:val="231F20"/>
        </w:rPr>
        <w:t>imagery</w:t>
      </w:r>
      <w:r>
        <w:rPr>
          <w:color w:val="231F20"/>
          <w:spacing w:val="-8"/>
        </w:rPr>
        <w:t xml:space="preserve"> </w:t>
      </w:r>
      <w:r>
        <w:rPr>
          <w:color w:val="231F20"/>
        </w:rPr>
        <w:t>associated</w:t>
      </w:r>
      <w:r>
        <w:rPr>
          <w:color w:val="231F20"/>
          <w:spacing w:val="-8"/>
        </w:rPr>
        <w:t xml:space="preserve"> </w:t>
      </w:r>
      <w:r>
        <w:rPr>
          <w:color w:val="231F20"/>
        </w:rPr>
        <w:t>with</w:t>
      </w:r>
      <w:r>
        <w:rPr>
          <w:color w:val="231F20"/>
          <w:spacing w:val="-8"/>
        </w:rPr>
        <w:t xml:space="preserve"> </w:t>
      </w:r>
      <w:r>
        <w:rPr>
          <w:color w:val="231F20"/>
        </w:rPr>
        <w:t>events</w:t>
      </w:r>
      <w:r>
        <w:rPr>
          <w:color w:val="231F20"/>
          <w:spacing w:val="-8"/>
        </w:rPr>
        <w:t xml:space="preserve"> </w:t>
      </w:r>
      <w:r>
        <w:rPr>
          <w:color w:val="231F20"/>
        </w:rPr>
        <w:t>by,</w:t>
      </w:r>
      <w:r>
        <w:rPr>
          <w:color w:val="231F20"/>
          <w:spacing w:val="-7"/>
        </w:rPr>
        <w:t xml:space="preserve"> </w:t>
      </w:r>
      <w:r>
        <w:rPr>
          <w:color w:val="231F20"/>
        </w:rPr>
        <w:t>among</w:t>
      </w:r>
      <w:r>
        <w:rPr>
          <w:color w:val="231F20"/>
          <w:spacing w:val="-7"/>
        </w:rPr>
        <w:t xml:space="preserve"> </w:t>
      </w:r>
      <w:r>
        <w:rPr>
          <w:color w:val="231F20"/>
        </w:rPr>
        <w:t>other</w:t>
      </w:r>
      <w:r>
        <w:rPr>
          <w:color w:val="231F20"/>
          <w:spacing w:val="-7"/>
        </w:rPr>
        <w:t xml:space="preserve"> </w:t>
      </w:r>
      <w:r>
        <w:rPr>
          <w:color w:val="231F20"/>
        </w:rPr>
        <w:t>things, hosting</w:t>
      </w:r>
      <w:r>
        <w:rPr>
          <w:color w:val="231F20"/>
          <w:spacing w:val="-2"/>
        </w:rPr>
        <w:t xml:space="preserve"> </w:t>
      </w:r>
      <w:r>
        <w:rPr>
          <w:color w:val="231F20"/>
        </w:rPr>
        <w:t>specific</w:t>
      </w:r>
      <w:r>
        <w:rPr>
          <w:color w:val="231F20"/>
          <w:spacing w:val="-2"/>
        </w:rPr>
        <w:t xml:space="preserve"> </w:t>
      </w:r>
      <w:r>
        <w:rPr>
          <w:color w:val="231F20"/>
        </w:rPr>
        <w:t>sports</w:t>
      </w:r>
      <w:r>
        <w:rPr>
          <w:color w:val="231F20"/>
          <w:spacing w:val="-2"/>
        </w:rPr>
        <w:t xml:space="preserve"> </w:t>
      </w:r>
      <w:r>
        <w:rPr>
          <w:color w:val="231F20"/>
        </w:rPr>
        <w:t>in</w:t>
      </w:r>
      <w:r>
        <w:rPr>
          <w:color w:val="231F20"/>
          <w:spacing w:val="-2"/>
        </w:rPr>
        <w:t xml:space="preserve"> </w:t>
      </w:r>
      <w:r>
        <w:rPr>
          <w:color w:val="231F20"/>
        </w:rPr>
        <w:t>association</w:t>
      </w:r>
      <w:r>
        <w:rPr>
          <w:color w:val="231F20"/>
          <w:spacing w:val="-2"/>
        </w:rPr>
        <w:t xml:space="preserve"> </w:t>
      </w:r>
      <w:r>
        <w:rPr>
          <w:color w:val="231F20"/>
        </w:rPr>
        <w:t>with</w:t>
      </w:r>
      <w:r>
        <w:rPr>
          <w:color w:val="231F20"/>
          <w:spacing w:val="-2"/>
        </w:rPr>
        <w:t xml:space="preserve"> </w:t>
      </w:r>
      <w:r>
        <w:rPr>
          <w:color w:val="231F20"/>
        </w:rPr>
        <w:t>prominent</w:t>
      </w:r>
      <w:r>
        <w:rPr>
          <w:color w:val="231F20"/>
          <w:spacing w:val="-2"/>
        </w:rPr>
        <w:t xml:space="preserve"> </w:t>
      </w:r>
      <w:r>
        <w:rPr>
          <w:color w:val="231F20"/>
        </w:rPr>
        <w:t>and</w:t>
      </w:r>
      <w:r>
        <w:rPr>
          <w:color w:val="231F20"/>
          <w:spacing w:val="-2"/>
        </w:rPr>
        <w:t xml:space="preserve"> </w:t>
      </w:r>
      <w:r>
        <w:rPr>
          <w:color w:val="231F20"/>
        </w:rPr>
        <w:t>iconic</w:t>
      </w:r>
      <w:r>
        <w:rPr>
          <w:color w:val="231F20"/>
          <w:spacing w:val="-2"/>
        </w:rPr>
        <w:t xml:space="preserve"> </w:t>
      </w:r>
      <w:r>
        <w:rPr>
          <w:color w:val="231F20"/>
        </w:rPr>
        <w:t xml:space="preserve">tourism attractions at the host destination. Images of Horse Guards Parade and </w:t>
      </w:r>
      <w:r>
        <w:rPr>
          <w:color w:val="231F20"/>
          <w:w w:val="95"/>
        </w:rPr>
        <w:t xml:space="preserve">Buckingham Palace (London 2012 Olympic Games), Christ the Redeemer </w:t>
      </w:r>
      <w:r>
        <w:rPr>
          <w:color w:val="231F20"/>
        </w:rPr>
        <w:t>(Rio de Janeiro 2016 Olympics Games) and the Champs-Élysées an</w:t>
      </w:r>
      <w:r>
        <w:rPr>
          <w:color w:val="231F20"/>
        </w:rPr>
        <w:t>d Arc de Triomphe (Paris, Tour de France), are classic examples of the use of iconic urban monuments in the projection of sports event imagery to a global audience. The use of landscape vistas and recognisable heritage sites may also be considered to effec</w:t>
      </w:r>
      <w:r>
        <w:rPr>
          <w:color w:val="231F20"/>
        </w:rPr>
        <w:t>tively project imagery to external audiences in association with sports events.</w:t>
      </w:r>
    </w:p>
    <w:p w14:paraId="57FBAA03" w14:textId="77777777" w:rsidR="00AE0598" w:rsidRDefault="00AE0598">
      <w:pPr>
        <w:pStyle w:val="Corpodetexto"/>
        <w:rPr>
          <w:sz w:val="22"/>
        </w:rPr>
      </w:pPr>
    </w:p>
    <w:p w14:paraId="6CB61A17" w14:textId="77777777" w:rsidR="00AE0598" w:rsidRDefault="0069255A">
      <w:pPr>
        <w:ind w:left="110"/>
        <w:jc w:val="both"/>
        <w:rPr>
          <w:rFonts w:ascii="Trebuchet MS"/>
          <w:sz w:val="20"/>
        </w:rPr>
      </w:pPr>
      <w:r>
        <w:rPr>
          <w:rFonts w:ascii="Trebuchet MS"/>
          <w:color w:val="231F20"/>
          <w:w w:val="105"/>
          <w:sz w:val="20"/>
        </w:rPr>
        <w:t>Sport</w:t>
      </w:r>
      <w:r>
        <w:rPr>
          <w:rFonts w:ascii="Trebuchet MS"/>
          <w:color w:val="231F20"/>
          <w:spacing w:val="-9"/>
          <w:w w:val="105"/>
          <w:sz w:val="20"/>
        </w:rPr>
        <w:t xml:space="preserve"> </w:t>
      </w:r>
      <w:r>
        <w:rPr>
          <w:rFonts w:ascii="Trebuchet MS"/>
          <w:color w:val="231F20"/>
          <w:w w:val="105"/>
          <w:sz w:val="20"/>
        </w:rPr>
        <w:t>tourism</w:t>
      </w:r>
      <w:r>
        <w:rPr>
          <w:rFonts w:ascii="Trebuchet MS"/>
          <w:color w:val="231F20"/>
          <w:spacing w:val="-8"/>
          <w:w w:val="105"/>
          <w:sz w:val="20"/>
        </w:rPr>
        <w:t xml:space="preserve"> </w:t>
      </w:r>
      <w:r>
        <w:rPr>
          <w:rFonts w:ascii="Trebuchet MS"/>
          <w:color w:val="231F20"/>
          <w:w w:val="105"/>
          <w:sz w:val="20"/>
        </w:rPr>
        <w:t>market</w:t>
      </w:r>
      <w:r>
        <w:rPr>
          <w:rFonts w:ascii="Trebuchet MS"/>
          <w:color w:val="231F20"/>
          <w:spacing w:val="-9"/>
          <w:w w:val="105"/>
          <w:sz w:val="20"/>
        </w:rPr>
        <w:t xml:space="preserve"> </w:t>
      </w:r>
      <w:r>
        <w:rPr>
          <w:rFonts w:ascii="Trebuchet MS"/>
          <w:color w:val="231F20"/>
          <w:spacing w:val="-4"/>
          <w:w w:val="105"/>
          <w:sz w:val="20"/>
        </w:rPr>
        <w:t>range</w:t>
      </w:r>
    </w:p>
    <w:p w14:paraId="2113DEDE" w14:textId="77777777" w:rsidR="00AE0598" w:rsidRDefault="0069255A">
      <w:pPr>
        <w:pStyle w:val="Corpodetexto"/>
        <w:spacing w:before="122" w:line="232" w:lineRule="auto"/>
        <w:ind w:left="110" w:right="128" w:firstLine="320"/>
        <w:jc w:val="both"/>
      </w:pPr>
      <w:r>
        <w:rPr>
          <w:color w:val="231F20"/>
        </w:rPr>
        <w:t>The market range of a sports team varies according to a wide array of</w:t>
      </w:r>
      <w:r>
        <w:rPr>
          <w:color w:val="231F20"/>
          <w:spacing w:val="-5"/>
        </w:rPr>
        <w:t xml:space="preserve"> </w:t>
      </w:r>
      <w:r>
        <w:rPr>
          <w:color w:val="231F20"/>
        </w:rPr>
        <w:t>factors.</w:t>
      </w:r>
      <w:r>
        <w:rPr>
          <w:color w:val="231F20"/>
          <w:spacing w:val="-5"/>
        </w:rPr>
        <w:t xml:space="preserve"> </w:t>
      </w:r>
      <w:r>
        <w:rPr>
          <w:color w:val="231F20"/>
        </w:rPr>
        <w:t>These</w:t>
      </w:r>
      <w:r>
        <w:rPr>
          <w:color w:val="231F20"/>
          <w:spacing w:val="-5"/>
        </w:rPr>
        <w:t xml:space="preserve"> </w:t>
      </w:r>
      <w:r>
        <w:rPr>
          <w:color w:val="231F20"/>
        </w:rPr>
        <w:t>include</w:t>
      </w:r>
      <w:r>
        <w:rPr>
          <w:color w:val="231F20"/>
          <w:spacing w:val="-5"/>
        </w:rPr>
        <w:t xml:space="preserve"> </w:t>
      </w:r>
      <w:r>
        <w:rPr>
          <w:color w:val="231F20"/>
        </w:rPr>
        <w:t>historic</w:t>
      </w:r>
      <w:r>
        <w:rPr>
          <w:color w:val="231F20"/>
          <w:spacing w:val="-5"/>
        </w:rPr>
        <w:t xml:space="preserve"> </w:t>
      </w:r>
      <w:r>
        <w:rPr>
          <w:color w:val="231F20"/>
        </w:rPr>
        <w:t>record,</w:t>
      </w:r>
      <w:r>
        <w:rPr>
          <w:color w:val="231F20"/>
          <w:spacing w:val="-5"/>
        </w:rPr>
        <w:t xml:space="preserve"> </w:t>
      </w:r>
      <w:r>
        <w:rPr>
          <w:color w:val="231F20"/>
        </w:rPr>
        <w:t>style</w:t>
      </w:r>
      <w:r>
        <w:rPr>
          <w:color w:val="231F20"/>
          <w:spacing w:val="-5"/>
        </w:rPr>
        <w:t xml:space="preserve"> </w:t>
      </w:r>
      <w:r>
        <w:rPr>
          <w:color w:val="231F20"/>
        </w:rPr>
        <w:t>of</w:t>
      </w:r>
      <w:r>
        <w:rPr>
          <w:color w:val="231F20"/>
          <w:spacing w:val="-5"/>
        </w:rPr>
        <w:t xml:space="preserve"> </w:t>
      </w:r>
      <w:r>
        <w:rPr>
          <w:color w:val="231F20"/>
        </w:rPr>
        <w:t>play,</w:t>
      </w:r>
      <w:r>
        <w:rPr>
          <w:color w:val="231F20"/>
          <w:spacing w:val="-5"/>
        </w:rPr>
        <w:t xml:space="preserve"> </w:t>
      </w:r>
      <w:r>
        <w:rPr>
          <w:color w:val="231F20"/>
        </w:rPr>
        <w:t>team</w:t>
      </w:r>
      <w:r>
        <w:rPr>
          <w:color w:val="231F20"/>
          <w:spacing w:val="-5"/>
        </w:rPr>
        <w:t xml:space="preserve"> </w:t>
      </w:r>
      <w:r>
        <w:rPr>
          <w:color w:val="231F20"/>
        </w:rPr>
        <w:t>image,</w:t>
      </w:r>
      <w:r>
        <w:rPr>
          <w:color w:val="231F20"/>
          <w:spacing w:val="-5"/>
        </w:rPr>
        <w:t xml:space="preserve"> </w:t>
      </w:r>
      <w:r>
        <w:rPr>
          <w:color w:val="231F20"/>
        </w:rPr>
        <w:t xml:space="preserve">public </w:t>
      </w:r>
      <w:r>
        <w:rPr>
          <w:color w:val="231F20"/>
          <w:w w:val="95"/>
        </w:rPr>
        <w:t xml:space="preserve">promotion and the success of the team, which influence the status of a team as a tourist attraction (Hinch &amp; Higham, 2001). Similar factors apply to the </w:t>
      </w:r>
      <w:r>
        <w:rPr>
          <w:color w:val="231F20"/>
        </w:rPr>
        <w:t>visiting</w:t>
      </w:r>
      <w:r>
        <w:rPr>
          <w:color w:val="231F20"/>
          <w:spacing w:val="-8"/>
        </w:rPr>
        <w:t xml:space="preserve"> </w:t>
      </w:r>
      <w:r>
        <w:rPr>
          <w:color w:val="231F20"/>
        </w:rPr>
        <w:t>team</w:t>
      </w:r>
      <w:r>
        <w:rPr>
          <w:color w:val="231F20"/>
          <w:spacing w:val="-8"/>
        </w:rPr>
        <w:t xml:space="preserve"> </w:t>
      </w:r>
      <w:r>
        <w:rPr>
          <w:color w:val="231F20"/>
        </w:rPr>
        <w:t>as</w:t>
      </w:r>
      <w:r>
        <w:rPr>
          <w:color w:val="231F20"/>
          <w:spacing w:val="-8"/>
        </w:rPr>
        <w:t xml:space="preserve"> </w:t>
      </w:r>
      <w:r>
        <w:rPr>
          <w:color w:val="231F20"/>
        </w:rPr>
        <w:t>well</w:t>
      </w:r>
      <w:r>
        <w:rPr>
          <w:color w:val="231F20"/>
          <w:spacing w:val="-8"/>
        </w:rPr>
        <w:t xml:space="preserve"> </w:t>
      </w:r>
      <w:r>
        <w:rPr>
          <w:color w:val="231F20"/>
        </w:rPr>
        <w:t>as</w:t>
      </w:r>
      <w:r>
        <w:rPr>
          <w:color w:val="231F20"/>
          <w:spacing w:val="-8"/>
        </w:rPr>
        <w:t xml:space="preserve"> </w:t>
      </w:r>
      <w:r>
        <w:rPr>
          <w:color w:val="231F20"/>
        </w:rPr>
        <w:t>the</w:t>
      </w:r>
      <w:r>
        <w:rPr>
          <w:color w:val="231F20"/>
          <w:spacing w:val="-8"/>
        </w:rPr>
        <w:t xml:space="preserve"> </w:t>
      </w:r>
      <w:r>
        <w:rPr>
          <w:color w:val="231F20"/>
        </w:rPr>
        <w:t>home</w:t>
      </w:r>
      <w:r>
        <w:rPr>
          <w:color w:val="231F20"/>
          <w:spacing w:val="-8"/>
        </w:rPr>
        <w:t xml:space="preserve"> </w:t>
      </w:r>
      <w:r>
        <w:rPr>
          <w:color w:val="231F20"/>
        </w:rPr>
        <w:t>team.</w:t>
      </w:r>
      <w:r>
        <w:rPr>
          <w:color w:val="231F20"/>
          <w:spacing w:val="-8"/>
        </w:rPr>
        <w:t xml:space="preserve"> </w:t>
      </w:r>
      <w:r>
        <w:rPr>
          <w:color w:val="231F20"/>
        </w:rPr>
        <w:t>A</w:t>
      </w:r>
      <w:r>
        <w:rPr>
          <w:color w:val="231F20"/>
          <w:spacing w:val="-8"/>
        </w:rPr>
        <w:t xml:space="preserve"> </w:t>
      </w:r>
      <w:r>
        <w:rPr>
          <w:color w:val="231F20"/>
        </w:rPr>
        <w:t>recent</w:t>
      </w:r>
      <w:r>
        <w:rPr>
          <w:color w:val="231F20"/>
          <w:spacing w:val="-8"/>
        </w:rPr>
        <w:t xml:space="preserve"> </w:t>
      </w:r>
      <w:r>
        <w:rPr>
          <w:color w:val="231F20"/>
        </w:rPr>
        <w:t>trend</w:t>
      </w:r>
      <w:r>
        <w:rPr>
          <w:color w:val="231F20"/>
          <w:spacing w:val="-8"/>
        </w:rPr>
        <w:t xml:space="preserve"> </w:t>
      </w:r>
      <w:r>
        <w:rPr>
          <w:color w:val="231F20"/>
        </w:rPr>
        <w:t>in</w:t>
      </w:r>
      <w:r>
        <w:rPr>
          <w:color w:val="231F20"/>
          <w:spacing w:val="-8"/>
        </w:rPr>
        <w:t xml:space="preserve"> </w:t>
      </w:r>
      <w:r>
        <w:rPr>
          <w:color w:val="231F20"/>
        </w:rPr>
        <w:t>North</w:t>
      </w:r>
      <w:r>
        <w:rPr>
          <w:color w:val="231F20"/>
          <w:spacing w:val="-8"/>
        </w:rPr>
        <w:t xml:space="preserve"> </w:t>
      </w:r>
      <w:r>
        <w:rPr>
          <w:color w:val="231F20"/>
        </w:rPr>
        <w:t xml:space="preserve">American </w:t>
      </w:r>
      <w:r>
        <w:rPr>
          <w:color w:val="231F20"/>
          <w:w w:val="95"/>
        </w:rPr>
        <w:t>professional sport leag</w:t>
      </w:r>
      <w:r>
        <w:rPr>
          <w:color w:val="231F20"/>
          <w:w w:val="95"/>
        </w:rPr>
        <w:t>ues is to charge spectators a premium to watch the top-ranked visiting teams. For most sports clubs, the spectator catchment</w:t>
      </w:r>
      <w:r>
        <w:rPr>
          <w:color w:val="231F20"/>
          <w:spacing w:val="80"/>
        </w:rPr>
        <w:t xml:space="preserve"> </w:t>
      </w:r>
      <w:r>
        <w:rPr>
          <w:color w:val="231F20"/>
        </w:rPr>
        <w:t>is local/regional in scale, although some successful clubs have managed to</w:t>
      </w:r>
      <w:r>
        <w:rPr>
          <w:color w:val="231F20"/>
          <w:spacing w:val="-7"/>
        </w:rPr>
        <w:t xml:space="preserve"> </w:t>
      </w:r>
      <w:r>
        <w:rPr>
          <w:color w:val="231F20"/>
        </w:rPr>
        <w:t>extend</w:t>
      </w:r>
      <w:r>
        <w:rPr>
          <w:color w:val="231F20"/>
          <w:spacing w:val="-7"/>
        </w:rPr>
        <w:t xml:space="preserve"> </w:t>
      </w:r>
      <w:r>
        <w:rPr>
          <w:color w:val="231F20"/>
        </w:rPr>
        <w:t>the</w:t>
      </w:r>
      <w:r>
        <w:rPr>
          <w:color w:val="231F20"/>
          <w:spacing w:val="-7"/>
        </w:rPr>
        <w:t xml:space="preserve"> </w:t>
      </w:r>
      <w:r>
        <w:rPr>
          <w:color w:val="231F20"/>
        </w:rPr>
        <w:t>range</w:t>
      </w:r>
      <w:r>
        <w:rPr>
          <w:color w:val="231F20"/>
          <w:spacing w:val="-7"/>
        </w:rPr>
        <w:t xml:space="preserve"> </w:t>
      </w:r>
      <w:r>
        <w:rPr>
          <w:color w:val="231F20"/>
        </w:rPr>
        <w:t>of</w:t>
      </w:r>
      <w:r>
        <w:rPr>
          <w:color w:val="231F20"/>
          <w:spacing w:val="-7"/>
        </w:rPr>
        <w:t xml:space="preserve"> </w:t>
      </w:r>
      <w:r>
        <w:rPr>
          <w:color w:val="231F20"/>
        </w:rPr>
        <w:t>their</w:t>
      </w:r>
      <w:r>
        <w:rPr>
          <w:color w:val="231F20"/>
          <w:spacing w:val="-7"/>
        </w:rPr>
        <w:t xml:space="preserve"> </w:t>
      </w:r>
      <w:r>
        <w:rPr>
          <w:color w:val="231F20"/>
        </w:rPr>
        <w:t>spectator</w:t>
      </w:r>
      <w:r>
        <w:rPr>
          <w:color w:val="231F20"/>
          <w:spacing w:val="-7"/>
        </w:rPr>
        <w:t xml:space="preserve"> </w:t>
      </w:r>
      <w:r>
        <w:rPr>
          <w:color w:val="231F20"/>
        </w:rPr>
        <w:t>markets,</w:t>
      </w:r>
      <w:r>
        <w:rPr>
          <w:color w:val="231F20"/>
          <w:spacing w:val="-7"/>
        </w:rPr>
        <w:t xml:space="preserve"> </w:t>
      </w:r>
      <w:r>
        <w:rPr>
          <w:color w:val="231F20"/>
        </w:rPr>
        <w:t>fan</w:t>
      </w:r>
      <w:r>
        <w:rPr>
          <w:color w:val="231F20"/>
          <w:spacing w:val="-7"/>
        </w:rPr>
        <w:t xml:space="preserve"> </w:t>
      </w:r>
      <w:r>
        <w:rPr>
          <w:color w:val="231F20"/>
        </w:rPr>
        <w:t>base</w:t>
      </w:r>
      <w:r>
        <w:rPr>
          <w:color w:val="231F20"/>
          <w:spacing w:val="-7"/>
        </w:rPr>
        <w:t xml:space="preserve"> </w:t>
      </w:r>
      <w:r>
        <w:rPr>
          <w:color w:val="231F20"/>
        </w:rPr>
        <w:t>an</w:t>
      </w:r>
      <w:r>
        <w:rPr>
          <w:color w:val="231F20"/>
        </w:rPr>
        <w:t>d</w:t>
      </w:r>
      <w:r>
        <w:rPr>
          <w:color w:val="231F20"/>
          <w:spacing w:val="-7"/>
        </w:rPr>
        <w:t xml:space="preserve"> </w:t>
      </w:r>
      <w:r>
        <w:rPr>
          <w:color w:val="231F20"/>
        </w:rPr>
        <w:t>media</w:t>
      </w:r>
      <w:r>
        <w:rPr>
          <w:color w:val="231F20"/>
          <w:spacing w:val="-7"/>
        </w:rPr>
        <w:t xml:space="preserve"> </w:t>
      </w:r>
      <w:r>
        <w:rPr>
          <w:color w:val="231F20"/>
        </w:rPr>
        <w:t>reach.</w:t>
      </w:r>
    </w:p>
    <w:p w14:paraId="12599D87" w14:textId="77777777" w:rsidR="00AE0598" w:rsidRDefault="0069255A">
      <w:pPr>
        <w:pStyle w:val="Corpodetexto"/>
        <w:spacing w:before="11" w:line="232" w:lineRule="auto"/>
        <w:ind w:left="110" w:right="126" w:firstLine="320"/>
        <w:jc w:val="both"/>
      </w:pPr>
      <w:r>
        <w:rPr>
          <w:color w:val="231F20"/>
          <w:w w:val="95"/>
        </w:rPr>
        <w:t>‘Hallmark</w:t>
      </w:r>
      <w:r>
        <w:rPr>
          <w:color w:val="231F20"/>
          <w:spacing w:val="-2"/>
          <w:w w:val="95"/>
        </w:rPr>
        <w:t xml:space="preserve"> </w:t>
      </w:r>
      <w:r>
        <w:rPr>
          <w:color w:val="231F20"/>
          <w:w w:val="95"/>
        </w:rPr>
        <w:t>teams’</w:t>
      </w:r>
      <w:r>
        <w:rPr>
          <w:color w:val="231F20"/>
          <w:spacing w:val="-2"/>
          <w:w w:val="95"/>
        </w:rPr>
        <w:t xml:space="preserve"> </w:t>
      </w:r>
      <w:r>
        <w:rPr>
          <w:color w:val="231F20"/>
          <w:w w:val="95"/>
        </w:rPr>
        <w:t>are</w:t>
      </w:r>
      <w:r>
        <w:rPr>
          <w:color w:val="231F20"/>
          <w:spacing w:val="-2"/>
          <w:w w:val="95"/>
        </w:rPr>
        <w:t xml:space="preserve"> </w:t>
      </w:r>
      <w:r>
        <w:rPr>
          <w:color w:val="231F20"/>
          <w:w w:val="95"/>
        </w:rPr>
        <w:t>those</w:t>
      </w:r>
      <w:r>
        <w:rPr>
          <w:color w:val="231F20"/>
          <w:spacing w:val="-2"/>
          <w:w w:val="95"/>
        </w:rPr>
        <w:t xml:space="preserve"> </w:t>
      </w:r>
      <w:r>
        <w:rPr>
          <w:color w:val="231F20"/>
          <w:w w:val="95"/>
        </w:rPr>
        <w:t>that</w:t>
      </w:r>
      <w:r>
        <w:rPr>
          <w:color w:val="231F20"/>
          <w:spacing w:val="-2"/>
          <w:w w:val="95"/>
        </w:rPr>
        <w:t xml:space="preserve"> </w:t>
      </w:r>
      <w:r>
        <w:rPr>
          <w:color w:val="231F20"/>
          <w:w w:val="95"/>
        </w:rPr>
        <w:t>‘regularly</w:t>
      </w:r>
      <w:r>
        <w:rPr>
          <w:color w:val="231F20"/>
          <w:spacing w:val="-2"/>
          <w:w w:val="95"/>
        </w:rPr>
        <w:t xml:space="preserve"> </w:t>
      </w:r>
      <w:r>
        <w:rPr>
          <w:color w:val="231F20"/>
          <w:w w:val="95"/>
        </w:rPr>
        <w:t>attract</w:t>
      </w:r>
      <w:r>
        <w:rPr>
          <w:color w:val="231F20"/>
          <w:spacing w:val="-2"/>
          <w:w w:val="95"/>
        </w:rPr>
        <w:t xml:space="preserve"> </w:t>
      </w:r>
      <w:r>
        <w:rPr>
          <w:color w:val="231F20"/>
          <w:w w:val="95"/>
        </w:rPr>
        <w:t>large</w:t>
      </w:r>
      <w:r>
        <w:rPr>
          <w:color w:val="231F20"/>
          <w:spacing w:val="-2"/>
          <w:w w:val="95"/>
        </w:rPr>
        <w:t xml:space="preserve"> </w:t>
      </w:r>
      <w:r>
        <w:rPr>
          <w:color w:val="231F20"/>
          <w:w w:val="95"/>
        </w:rPr>
        <w:t>spectator</w:t>
      </w:r>
      <w:r>
        <w:rPr>
          <w:color w:val="231F20"/>
          <w:spacing w:val="-2"/>
          <w:w w:val="95"/>
        </w:rPr>
        <w:t xml:space="preserve"> </w:t>
      </w:r>
      <w:r>
        <w:rPr>
          <w:color w:val="231F20"/>
          <w:w w:val="95"/>
        </w:rPr>
        <w:t xml:space="preserve">crowds (and) have now become synonymous with tourism place promotion as well as short break leisure tourism packages’ (Stevens, 2001: 61). In such cases, </w:t>
      </w:r>
      <w:r>
        <w:rPr>
          <w:color w:val="231F20"/>
        </w:rPr>
        <w:t>the scale of analysis that applies to spectator flows may be international or</w:t>
      </w:r>
      <w:r>
        <w:rPr>
          <w:color w:val="231F20"/>
          <w:spacing w:val="-2"/>
        </w:rPr>
        <w:t xml:space="preserve"> </w:t>
      </w:r>
      <w:r>
        <w:rPr>
          <w:color w:val="231F20"/>
        </w:rPr>
        <w:t>global.</w:t>
      </w:r>
      <w:r>
        <w:rPr>
          <w:color w:val="231F20"/>
          <w:spacing w:val="-2"/>
        </w:rPr>
        <w:t xml:space="preserve"> </w:t>
      </w:r>
      <w:r>
        <w:rPr>
          <w:color w:val="231F20"/>
        </w:rPr>
        <w:t>Bale</w:t>
      </w:r>
      <w:r>
        <w:rPr>
          <w:color w:val="231F20"/>
          <w:spacing w:val="-2"/>
        </w:rPr>
        <w:t xml:space="preserve"> </w:t>
      </w:r>
      <w:r>
        <w:rPr>
          <w:color w:val="231F20"/>
        </w:rPr>
        <w:t>(1993)</w:t>
      </w:r>
      <w:r>
        <w:rPr>
          <w:color w:val="231F20"/>
          <w:spacing w:val="-2"/>
        </w:rPr>
        <w:t xml:space="preserve"> </w:t>
      </w:r>
      <w:r>
        <w:rPr>
          <w:color w:val="231F20"/>
        </w:rPr>
        <w:t>note</w:t>
      </w:r>
      <w:r>
        <w:rPr>
          <w:color w:val="231F20"/>
        </w:rPr>
        <w:t>s</w:t>
      </w:r>
      <w:r>
        <w:rPr>
          <w:color w:val="231F20"/>
          <w:spacing w:val="-2"/>
        </w:rPr>
        <w:t xml:space="preserve"> </w:t>
      </w:r>
      <w:r>
        <w:rPr>
          <w:color w:val="231F20"/>
        </w:rPr>
        <w:t>that</w:t>
      </w:r>
      <w:r>
        <w:rPr>
          <w:color w:val="231F20"/>
          <w:spacing w:val="-2"/>
        </w:rPr>
        <w:t xml:space="preserve"> </w:t>
      </w:r>
      <w:r>
        <w:rPr>
          <w:color w:val="231F20"/>
        </w:rPr>
        <w:t>football</w:t>
      </w:r>
      <w:r>
        <w:rPr>
          <w:color w:val="231F20"/>
          <w:spacing w:val="-2"/>
        </w:rPr>
        <w:t xml:space="preserve"> </w:t>
      </w:r>
      <w:r>
        <w:rPr>
          <w:color w:val="231F20"/>
        </w:rPr>
        <w:t>clubs</w:t>
      </w:r>
      <w:r>
        <w:rPr>
          <w:color w:val="231F20"/>
          <w:spacing w:val="-2"/>
        </w:rPr>
        <w:t xml:space="preserve"> </w:t>
      </w:r>
      <w:r>
        <w:rPr>
          <w:color w:val="231F20"/>
        </w:rPr>
        <w:t>such</w:t>
      </w:r>
      <w:r>
        <w:rPr>
          <w:color w:val="231F20"/>
          <w:spacing w:val="-2"/>
        </w:rPr>
        <w:t xml:space="preserve"> </w:t>
      </w:r>
      <w:r>
        <w:rPr>
          <w:color w:val="231F20"/>
        </w:rPr>
        <w:t>as</w:t>
      </w:r>
      <w:r>
        <w:rPr>
          <w:color w:val="231F20"/>
          <w:spacing w:val="-2"/>
        </w:rPr>
        <w:t xml:space="preserve"> </w:t>
      </w:r>
      <w:r>
        <w:rPr>
          <w:color w:val="231F20"/>
        </w:rPr>
        <w:t>FC</w:t>
      </w:r>
      <w:r>
        <w:rPr>
          <w:color w:val="231F20"/>
          <w:spacing w:val="-2"/>
        </w:rPr>
        <w:t xml:space="preserve"> </w:t>
      </w:r>
      <w:r>
        <w:rPr>
          <w:color w:val="231F20"/>
        </w:rPr>
        <w:t>Barcelona</w:t>
      </w:r>
      <w:r>
        <w:rPr>
          <w:color w:val="231F20"/>
          <w:spacing w:val="-2"/>
        </w:rPr>
        <w:t xml:space="preserve"> </w:t>
      </w:r>
      <w:r>
        <w:rPr>
          <w:color w:val="231F20"/>
        </w:rPr>
        <w:t xml:space="preserve">and </w:t>
      </w:r>
      <w:r>
        <w:rPr>
          <w:color w:val="231F20"/>
          <w:w w:val="95"/>
        </w:rPr>
        <w:t>Manchester United receive high levels of media attention. This has helped</w:t>
      </w:r>
      <w:r>
        <w:rPr>
          <w:color w:val="231F20"/>
          <w:spacing w:val="40"/>
        </w:rPr>
        <w:t xml:space="preserve"> </w:t>
      </w:r>
      <w:r>
        <w:rPr>
          <w:color w:val="231F20"/>
        </w:rPr>
        <w:t>to build a support base that extends far beyond the location that teams actually represent. While Manchester United football club divid</w:t>
      </w:r>
      <w:r>
        <w:rPr>
          <w:color w:val="231F20"/>
        </w:rPr>
        <w:t>es the city</w:t>
      </w:r>
      <w:r>
        <w:rPr>
          <w:color w:val="231F20"/>
          <w:spacing w:val="-4"/>
        </w:rPr>
        <w:t xml:space="preserve"> </w:t>
      </w:r>
      <w:r>
        <w:rPr>
          <w:color w:val="231F20"/>
        </w:rPr>
        <w:t>of</w:t>
      </w:r>
      <w:r>
        <w:rPr>
          <w:color w:val="231F20"/>
          <w:spacing w:val="-4"/>
        </w:rPr>
        <w:t xml:space="preserve"> </w:t>
      </w:r>
      <w:r>
        <w:rPr>
          <w:color w:val="231F20"/>
        </w:rPr>
        <w:t>Manchester</w:t>
      </w:r>
      <w:r>
        <w:rPr>
          <w:color w:val="231F20"/>
          <w:spacing w:val="-4"/>
        </w:rPr>
        <w:t xml:space="preserve"> </w:t>
      </w:r>
      <w:r>
        <w:rPr>
          <w:color w:val="231F20"/>
        </w:rPr>
        <w:t>with</w:t>
      </w:r>
      <w:r>
        <w:rPr>
          <w:color w:val="231F20"/>
          <w:spacing w:val="-4"/>
        </w:rPr>
        <w:t xml:space="preserve"> </w:t>
      </w:r>
      <w:r>
        <w:rPr>
          <w:color w:val="231F20"/>
        </w:rPr>
        <w:t>its</w:t>
      </w:r>
      <w:r>
        <w:rPr>
          <w:color w:val="231F20"/>
          <w:spacing w:val="-4"/>
        </w:rPr>
        <w:t xml:space="preserve"> </w:t>
      </w:r>
      <w:r>
        <w:rPr>
          <w:color w:val="231F20"/>
        </w:rPr>
        <w:t>local</w:t>
      </w:r>
      <w:r>
        <w:rPr>
          <w:color w:val="231F20"/>
          <w:spacing w:val="-4"/>
        </w:rPr>
        <w:t xml:space="preserve"> </w:t>
      </w:r>
      <w:r>
        <w:rPr>
          <w:color w:val="231F20"/>
        </w:rPr>
        <w:t>club</w:t>
      </w:r>
      <w:r>
        <w:rPr>
          <w:color w:val="231F20"/>
          <w:spacing w:val="-4"/>
        </w:rPr>
        <w:t xml:space="preserve"> </w:t>
      </w:r>
      <w:r>
        <w:rPr>
          <w:color w:val="231F20"/>
        </w:rPr>
        <w:t>rival</w:t>
      </w:r>
      <w:r>
        <w:rPr>
          <w:color w:val="231F20"/>
          <w:spacing w:val="-4"/>
        </w:rPr>
        <w:t xml:space="preserve"> </w:t>
      </w:r>
      <w:r>
        <w:rPr>
          <w:color w:val="231F20"/>
        </w:rPr>
        <w:t>Manchester</w:t>
      </w:r>
      <w:r>
        <w:rPr>
          <w:color w:val="231F20"/>
          <w:spacing w:val="-4"/>
        </w:rPr>
        <w:t xml:space="preserve"> </w:t>
      </w:r>
      <w:r>
        <w:rPr>
          <w:color w:val="231F20"/>
        </w:rPr>
        <w:t>City,</w:t>
      </w:r>
      <w:r>
        <w:rPr>
          <w:color w:val="231F20"/>
          <w:spacing w:val="-4"/>
        </w:rPr>
        <w:t xml:space="preserve"> </w:t>
      </w:r>
      <w:r>
        <w:rPr>
          <w:color w:val="231F20"/>
        </w:rPr>
        <w:t>the</w:t>
      </w:r>
      <w:r>
        <w:rPr>
          <w:color w:val="231F20"/>
          <w:spacing w:val="-4"/>
        </w:rPr>
        <w:t xml:space="preserve"> </w:t>
      </w:r>
      <w:r>
        <w:rPr>
          <w:color w:val="231F20"/>
        </w:rPr>
        <w:t>club</w:t>
      </w:r>
      <w:r>
        <w:rPr>
          <w:color w:val="231F20"/>
          <w:spacing w:val="-4"/>
        </w:rPr>
        <w:t xml:space="preserve"> </w:t>
      </w:r>
      <w:r>
        <w:rPr>
          <w:color w:val="231F20"/>
        </w:rPr>
        <w:t>is</w:t>
      </w:r>
      <w:r>
        <w:rPr>
          <w:color w:val="231F20"/>
          <w:spacing w:val="-4"/>
        </w:rPr>
        <w:t xml:space="preserve"> </w:t>
      </w:r>
      <w:r>
        <w:rPr>
          <w:color w:val="231F20"/>
        </w:rPr>
        <w:t xml:space="preserve">an international sports brand with a global supporter base (Hill &amp; Vincent, </w:t>
      </w:r>
      <w:r>
        <w:rPr>
          <w:color w:val="231F20"/>
          <w:w w:val="95"/>
        </w:rPr>
        <w:t xml:space="preserve">2006), which built in the 1990s/2000s on the multiple brand personalities </w:t>
      </w:r>
      <w:r>
        <w:rPr>
          <w:color w:val="231F20"/>
        </w:rPr>
        <w:t>of David Beckham and part</w:t>
      </w:r>
      <w:r>
        <w:rPr>
          <w:color w:val="231F20"/>
        </w:rPr>
        <w:t xml:space="preserve">icularly his prominence in the Asian markets </w:t>
      </w:r>
      <w:r>
        <w:rPr>
          <w:color w:val="231F20"/>
          <w:w w:val="95"/>
        </w:rPr>
        <w:t xml:space="preserve">(Vincent </w:t>
      </w:r>
      <w:r>
        <w:rPr>
          <w:i/>
          <w:color w:val="231F20"/>
          <w:w w:val="95"/>
        </w:rPr>
        <w:t>et al</w:t>
      </w:r>
      <w:r>
        <w:rPr>
          <w:color w:val="231F20"/>
          <w:w w:val="95"/>
        </w:rPr>
        <w:t xml:space="preserve">., 2009). FC Barcelona now has more official fan club members </w:t>
      </w:r>
      <w:r>
        <w:rPr>
          <w:color w:val="231F20"/>
        </w:rPr>
        <w:t>in Indonesia than it does in Spain. The implications for tourist market range are significant. Manchester United Premier League games p</w:t>
      </w:r>
      <w:r>
        <w:rPr>
          <w:color w:val="231F20"/>
        </w:rPr>
        <w:t>layed at Old Trafford regularly attract between 4000 and 6000 international tourists to the Greater Manchester area (Stevens, 2001). Similarly, 46% of all spectators that attend Baltimore Orioles (USA) baseball matches</w:t>
      </w:r>
      <w:r>
        <w:rPr>
          <w:color w:val="231F20"/>
          <w:spacing w:val="80"/>
        </w:rPr>
        <w:t xml:space="preserve"> </w:t>
      </w:r>
      <w:r>
        <w:rPr>
          <w:color w:val="231F20"/>
        </w:rPr>
        <w:t>at the Camden Yards Stadium are sport</w:t>
      </w:r>
      <w:r>
        <w:rPr>
          <w:color w:val="231F20"/>
        </w:rPr>
        <w:t xml:space="preserve"> excursionists and sport tourists, approximately</w:t>
      </w:r>
      <w:r>
        <w:rPr>
          <w:color w:val="231F20"/>
          <w:spacing w:val="-11"/>
        </w:rPr>
        <w:t xml:space="preserve"> </w:t>
      </w:r>
      <w:r>
        <w:rPr>
          <w:color w:val="231F20"/>
        </w:rPr>
        <w:t>11,000</w:t>
      </w:r>
      <w:r>
        <w:rPr>
          <w:color w:val="231F20"/>
          <w:spacing w:val="-11"/>
        </w:rPr>
        <w:t xml:space="preserve"> </w:t>
      </w:r>
      <w:r>
        <w:rPr>
          <w:color w:val="231F20"/>
        </w:rPr>
        <w:t>of</w:t>
      </w:r>
      <w:r>
        <w:rPr>
          <w:color w:val="231F20"/>
          <w:spacing w:val="-11"/>
        </w:rPr>
        <w:t xml:space="preserve"> </w:t>
      </w:r>
      <w:r>
        <w:rPr>
          <w:color w:val="231F20"/>
        </w:rPr>
        <w:t>whom</w:t>
      </w:r>
      <w:r>
        <w:rPr>
          <w:color w:val="231F20"/>
          <w:spacing w:val="-11"/>
        </w:rPr>
        <w:t xml:space="preserve"> </w:t>
      </w:r>
      <w:r>
        <w:rPr>
          <w:color w:val="231F20"/>
        </w:rPr>
        <w:t>remain</w:t>
      </w:r>
      <w:r>
        <w:rPr>
          <w:color w:val="231F20"/>
          <w:spacing w:val="-11"/>
        </w:rPr>
        <w:t xml:space="preserve"> </w:t>
      </w:r>
      <w:r>
        <w:rPr>
          <w:color w:val="231F20"/>
        </w:rPr>
        <w:t>in</w:t>
      </w:r>
      <w:r>
        <w:rPr>
          <w:color w:val="231F20"/>
          <w:spacing w:val="-11"/>
        </w:rPr>
        <w:t xml:space="preserve"> </w:t>
      </w:r>
      <w:r>
        <w:rPr>
          <w:color w:val="231F20"/>
        </w:rPr>
        <w:t>Baltimore</w:t>
      </w:r>
      <w:r>
        <w:rPr>
          <w:color w:val="231F20"/>
          <w:spacing w:val="-11"/>
        </w:rPr>
        <w:t xml:space="preserve"> </w:t>
      </w:r>
      <w:r>
        <w:rPr>
          <w:color w:val="231F20"/>
        </w:rPr>
        <w:t>for</w:t>
      </w:r>
      <w:r>
        <w:rPr>
          <w:color w:val="231F20"/>
          <w:spacing w:val="-11"/>
        </w:rPr>
        <w:t xml:space="preserve"> </w:t>
      </w:r>
      <w:r>
        <w:rPr>
          <w:color w:val="231F20"/>
        </w:rPr>
        <w:t>at</w:t>
      </w:r>
      <w:r>
        <w:rPr>
          <w:color w:val="231F20"/>
          <w:spacing w:val="-11"/>
        </w:rPr>
        <w:t xml:space="preserve"> </w:t>
      </w:r>
      <w:r>
        <w:rPr>
          <w:color w:val="231F20"/>
        </w:rPr>
        <w:t>least</w:t>
      </w:r>
      <w:r>
        <w:rPr>
          <w:color w:val="231F20"/>
          <w:spacing w:val="-11"/>
        </w:rPr>
        <w:t xml:space="preserve"> </w:t>
      </w:r>
      <w:r>
        <w:rPr>
          <w:color w:val="231F20"/>
        </w:rPr>
        <w:t>one</w:t>
      </w:r>
      <w:r>
        <w:rPr>
          <w:color w:val="231F20"/>
          <w:spacing w:val="-11"/>
        </w:rPr>
        <w:t xml:space="preserve"> </w:t>
      </w:r>
      <w:r>
        <w:rPr>
          <w:color w:val="231F20"/>
        </w:rPr>
        <w:t>night (Stevens, 2001).</w:t>
      </w:r>
    </w:p>
    <w:p w14:paraId="12FD0456" w14:textId="77777777" w:rsidR="00AE0598" w:rsidRDefault="00AE0598">
      <w:pPr>
        <w:spacing w:line="232" w:lineRule="auto"/>
        <w:jc w:val="both"/>
        <w:sectPr w:rsidR="00AE0598">
          <w:pgSz w:w="8850" w:h="13270"/>
          <w:pgMar w:top="720" w:right="1060" w:bottom="280" w:left="1080" w:header="720" w:footer="720" w:gutter="0"/>
          <w:cols w:space="720"/>
        </w:sectPr>
      </w:pPr>
    </w:p>
    <w:p w14:paraId="0F9C04E0" w14:textId="77777777" w:rsidR="00AE0598" w:rsidRDefault="0069255A">
      <w:pPr>
        <w:spacing w:before="87"/>
        <w:ind w:left="4148"/>
        <w:rPr>
          <w:rFonts w:ascii="Trebuchet MS"/>
          <w:sz w:val="14"/>
        </w:rPr>
      </w:pPr>
      <w:r>
        <w:rPr>
          <w:rFonts w:ascii="Trebuchet MS"/>
          <w:color w:val="231F20"/>
          <w:w w:val="105"/>
          <w:sz w:val="14"/>
        </w:rPr>
        <w:lastRenderedPageBreak/>
        <w:t>Space:</w:t>
      </w:r>
      <w:r>
        <w:rPr>
          <w:rFonts w:ascii="Trebuchet MS"/>
          <w:color w:val="231F20"/>
          <w:spacing w:val="-12"/>
          <w:w w:val="105"/>
          <w:sz w:val="14"/>
        </w:rPr>
        <w:t xml:space="preserve"> </w:t>
      </w:r>
      <w:r>
        <w:rPr>
          <w:rFonts w:ascii="Trebuchet MS"/>
          <w:color w:val="231F20"/>
          <w:w w:val="105"/>
          <w:sz w:val="14"/>
        </w:rPr>
        <w:t>Location</w:t>
      </w:r>
      <w:r>
        <w:rPr>
          <w:rFonts w:ascii="Trebuchet MS"/>
          <w:color w:val="231F20"/>
          <w:spacing w:val="-11"/>
          <w:w w:val="105"/>
          <w:sz w:val="14"/>
        </w:rPr>
        <w:t xml:space="preserve"> </w:t>
      </w:r>
      <w:r>
        <w:rPr>
          <w:rFonts w:ascii="Trebuchet MS"/>
          <w:color w:val="231F20"/>
          <w:w w:val="105"/>
          <w:sz w:val="14"/>
        </w:rPr>
        <w:t>and</w:t>
      </w:r>
      <w:r>
        <w:rPr>
          <w:rFonts w:ascii="Trebuchet MS"/>
          <w:color w:val="231F20"/>
          <w:spacing w:val="-11"/>
          <w:w w:val="105"/>
          <w:sz w:val="14"/>
        </w:rPr>
        <w:t xml:space="preserve"> </w:t>
      </w:r>
      <w:r>
        <w:rPr>
          <w:rFonts w:ascii="Trebuchet MS"/>
          <w:color w:val="231F20"/>
          <w:w w:val="105"/>
          <w:sz w:val="14"/>
        </w:rPr>
        <w:t>Travel</w:t>
      </w:r>
      <w:r>
        <w:rPr>
          <w:rFonts w:ascii="Trebuchet MS"/>
          <w:color w:val="231F20"/>
          <w:spacing w:val="-11"/>
          <w:w w:val="105"/>
          <w:sz w:val="14"/>
        </w:rPr>
        <w:t xml:space="preserve"> </w:t>
      </w:r>
      <w:r>
        <w:rPr>
          <w:rFonts w:ascii="Trebuchet MS"/>
          <w:color w:val="231F20"/>
          <w:w w:val="105"/>
          <w:sz w:val="14"/>
        </w:rPr>
        <w:t>Flows</w:t>
      </w:r>
      <w:r>
        <w:rPr>
          <w:rFonts w:ascii="Trebuchet MS"/>
          <w:color w:val="231F20"/>
          <w:spacing w:val="59"/>
          <w:w w:val="105"/>
          <w:sz w:val="14"/>
        </w:rPr>
        <w:t xml:space="preserve"> </w:t>
      </w:r>
      <w:r>
        <w:rPr>
          <w:rFonts w:ascii="Trebuchet MS"/>
          <w:color w:val="231F20"/>
          <w:spacing w:val="-5"/>
          <w:w w:val="105"/>
          <w:sz w:val="14"/>
        </w:rPr>
        <w:t>99</w:t>
      </w:r>
    </w:p>
    <w:p w14:paraId="6F73D09A" w14:textId="77777777" w:rsidR="00AE0598" w:rsidRDefault="00AE0598">
      <w:pPr>
        <w:pStyle w:val="Corpodetexto"/>
        <w:rPr>
          <w:rFonts w:ascii="Trebuchet MS"/>
          <w:sz w:val="16"/>
        </w:rPr>
      </w:pPr>
    </w:p>
    <w:p w14:paraId="49168BDF" w14:textId="77777777" w:rsidR="00AE0598" w:rsidRDefault="0069255A">
      <w:pPr>
        <w:pStyle w:val="Corpodetexto"/>
        <w:spacing w:before="118" w:line="232" w:lineRule="auto"/>
        <w:ind w:left="110" w:right="126" w:firstLine="320"/>
        <w:jc w:val="both"/>
      </w:pPr>
      <w:r>
        <w:rPr>
          <w:color w:val="231F20"/>
          <w:w w:val="95"/>
        </w:rPr>
        <w:t>The</w:t>
      </w:r>
      <w:r>
        <w:rPr>
          <w:color w:val="231F20"/>
          <w:spacing w:val="-9"/>
          <w:w w:val="95"/>
        </w:rPr>
        <w:t xml:space="preserve"> </w:t>
      </w:r>
      <w:r>
        <w:rPr>
          <w:color w:val="231F20"/>
          <w:w w:val="95"/>
        </w:rPr>
        <w:t>spatial</w:t>
      </w:r>
      <w:r>
        <w:rPr>
          <w:color w:val="231F20"/>
          <w:spacing w:val="-9"/>
          <w:w w:val="95"/>
        </w:rPr>
        <w:t xml:space="preserve"> </w:t>
      </w:r>
      <w:r>
        <w:rPr>
          <w:color w:val="231F20"/>
          <w:w w:val="95"/>
        </w:rPr>
        <w:t>travel</w:t>
      </w:r>
      <w:r>
        <w:rPr>
          <w:color w:val="231F20"/>
          <w:spacing w:val="-9"/>
          <w:w w:val="95"/>
        </w:rPr>
        <w:t xml:space="preserve"> </w:t>
      </w:r>
      <w:r>
        <w:rPr>
          <w:color w:val="231F20"/>
          <w:w w:val="95"/>
        </w:rPr>
        <w:t>patterns</w:t>
      </w:r>
      <w:r>
        <w:rPr>
          <w:color w:val="231F20"/>
          <w:spacing w:val="-9"/>
          <w:w w:val="95"/>
        </w:rPr>
        <w:t xml:space="preserve"> </w:t>
      </w:r>
      <w:r>
        <w:rPr>
          <w:color w:val="231F20"/>
          <w:w w:val="95"/>
        </w:rPr>
        <w:t>associated</w:t>
      </w:r>
      <w:r>
        <w:rPr>
          <w:color w:val="231F20"/>
          <w:spacing w:val="-9"/>
          <w:w w:val="95"/>
        </w:rPr>
        <w:t xml:space="preserve"> </w:t>
      </w:r>
      <w:r>
        <w:rPr>
          <w:color w:val="231F20"/>
          <w:w w:val="95"/>
        </w:rPr>
        <w:t>with</w:t>
      </w:r>
      <w:r>
        <w:rPr>
          <w:color w:val="231F20"/>
          <w:spacing w:val="-9"/>
          <w:w w:val="95"/>
        </w:rPr>
        <w:t xml:space="preserve"> </w:t>
      </w:r>
      <w:r>
        <w:rPr>
          <w:color w:val="231F20"/>
          <w:w w:val="95"/>
        </w:rPr>
        <w:t>a</w:t>
      </w:r>
      <w:r>
        <w:rPr>
          <w:color w:val="231F20"/>
          <w:spacing w:val="-9"/>
          <w:w w:val="95"/>
        </w:rPr>
        <w:t xml:space="preserve"> </w:t>
      </w:r>
      <w:r>
        <w:rPr>
          <w:color w:val="231F20"/>
          <w:w w:val="95"/>
        </w:rPr>
        <w:t>sports</w:t>
      </w:r>
      <w:r>
        <w:rPr>
          <w:color w:val="231F20"/>
          <w:spacing w:val="-9"/>
          <w:w w:val="95"/>
        </w:rPr>
        <w:t xml:space="preserve"> </w:t>
      </w:r>
      <w:r>
        <w:rPr>
          <w:color w:val="231F20"/>
          <w:w w:val="95"/>
        </w:rPr>
        <w:t>team</w:t>
      </w:r>
      <w:r>
        <w:rPr>
          <w:color w:val="231F20"/>
          <w:spacing w:val="-9"/>
          <w:w w:val="95"/>
        </w:rPr>
        <w:t xml:space="preserve"> </w:t>
      </w:r>
      <w:r>
        <w:rPr>
          <w:color w:val="231F20"/>
          <w:w w:val="95"/>
        </w:rPr>
        <w:t>may</w:t>
      </w:r>
      <w:r>
        <w:rPr>
          <w:color w:val="231F20"/>
          <w:spacing w:val="-9"/>
          <w:w w:val="95"/>
        </w:rPr>
        <w:t xml:space="preserve"> </w:t>
      </w:r>
      <w:r>
        <w:rPr>
          <w:color w:val="231F20"/>
          <w:w w:val="95"/>
        </w:rPr>
        <w:t>be</w:t>
      </w:r>
      <w:r>
        <w:rPr>
          <w:color w:val="231F20"/>
          <w:spacing w:val="-9"/>
          <w:w w:val="95"/>
        </w:rPr>
        <w:t xml:space="preserve"> </w:t>
      </w:r>
      <w:r>
        <w:rPr>
          <w:color w:val="231F20"/>
          <w:w w:val="95"/>
        </w:rPr>
        <w:t xml:space="preserve">mapped </w:t>
      </w:r>
      <w:r>
        <w:rPr>
          <w:color w:val="231F20"/>
        </w:rPr>
        <w:t>using readily available secondary data such as the places of residence of season</w:t>
      </w:r>
      <w:r>
        <w:rPr>
          <w:color w:val="231F20"/>
          <w:spacing w:val="-2"/>
        </w:rPr>
        <w:t xml:space="preserve"> </w:t>
      </w:r>
      <w:r>
        <w:rPr>
          <w:color w:val="231F20"/>
        </w:rPr>
        <w:t>ticket</w:t>
      </w:r>
      <w:r>
        <w:rPr>
          <w:color w:val="231F20"/>
          <w:spacing w:val="-2"/>
        </w:rPr>
        <w:t xml:space="preserve"> </w:t>
      </w:r>
      <w:r>
        <w:rPr>
          <w:color w:val="231F20"/>
        </w:rPr>
        <w:t>holders,</w:t>
      </w:r>
      <w:r>
        <w:rPr>
          <w:color w:val="231F20"/>
          <w:spacing w:val="-2"/>
        </w:rPr>
        <w:t xml:space="preserve"> </w:t>
      </w:r>
      <w:r>
        <w:rPr>
          <w:color w:val="231F20"/>
        </w:rPr>
        <w:t>or</w:t>
      </w:r>
      <w:r>
        <w:rPr>
          <w:color w:val="231F20"/>
          <w:spacing w:val="-2"/>
        </w:rPr>
        <w:t xml:space="preserve"> </w:t>
      </w:r>
      <w:r>
        <w:rPr>
          <w:color w:val="231F20"/>
        </w:rPr>
        <w:t>fan</w:t>
      </w:r>
      <w:r>
        <w:rPr>
          <w:color w:val="231F20"/>
          <w:spacing w:val="-2"/>
        </w:rPr>
        <w:t xml:space="preserve"> </w:t>
      </w:r>
      <w:r>
        <w:rPr>
          <w:color w:val="231F20"/>
        </w:rPr>
        <w:t>club</w:t>
      </w:r>
      <w:r>
        <w:rPr>
          <w:color w:val="231F20"/>
          <w:spacing w:val="-2"/>
        </w:rPr>
        <w:t xml:space="preserve"> </w:t>
      </w:r>
      <w:r>
        <w:rPr>
          <w:color w:val="231F20"/>
        </w:rPr>
        <w:t>members.</w:t>
      </w:r>
      <w:r>
        <w:rPr>
          <w:color w:val="231F20"/>
          <w:spacing w:val="-2"/>
        </w:rPr>
        <w:t xml:space="preserve"> </w:t>
      </w:r>
      <w:r>
        <w:rPr>
          <w:color w:val="231F20"/>
        </w:rPr>
        <w:t>Extending</w:t>
      </w:r>
      <w:r>
        <w:rPr>
          <w:color w:val="231F20"/>
          <w:spacing w:val="-2"/>
        </w:rPr>
        <w:t xml:space="preserve"> </w:t>
      </w:r>
      <w:r>
        <w:rPr>
          <w:color w:val="231F20"/>
        </w:rPr>
        <w:t>the</w:t>
      </w:r>
      <w:r>
        <w:rPr>
          <w:color w:val="231F20"/>
          <w:spacing w:val="-2"/>
        </w:rPr>
        <w:t xml:space="preserve"> </w:t>
      </w:r>
      <w:r>
        <w:rPr>
          <w:color w:val="231F20"/>
        </w:rPr>
        <w:t>study</w:t>
      </w:r>
      <w:r>
        <w:rPr>
          <w:color w:val="231F20"/>
          <w:spacing w:val="-2"/>
        </w:rPr>
        <w:t xml:space="preserve"> </w:t>
      </w:r>
      <w:r>
        <w:rPr>
          <w:color w:val="231F20"/>
        </w:rPr>
        <w:t>of</w:t>
      </w:r>
      <w:r>
        <w:rPr>
          <w:color w:val="231F20"/>
          <w:spacing w:val="-2"/>
        </w:rPr>
        <w:t xml:space="preserve"> </w:t>
      </w:r>
      <w:r>
        <w:rPr>
          <w:color w:val="231F20"/>
        </w:rPr>
        <w:t>sport spectator</w:t>
      </w:r>
      <w:r>
        <w:rPr>
          <w:color w:val="231F20"/>
          <w:spacing w:val="-1"/>
        </w:rPr>
        <w:t xml:space="preserve"> </w:t>
      </w:r>
      <w:r>
        <w:rPr>
          <w:color w:val="231F20"/>
        </w:rPr>
        <w:t>travel</w:t>
      </w:r>
      <w:r>
        <w:rPr>
          <w:color w:val="231F20"/>
          <w:spacing w:val="-1"/>
        </w:rPr>
        <w:t xml:space="preserve"> </w:t>
      </w:r>
      <w:r>
        <w:rPr>
          <w:color w:val="231F20"/>
        </w:rPr>
        <w:t>flows</w:t>
      </w:r>
      <w:r>
        <w:rPr>
          <w:color w:val="231F20"/>
          <w:spacing w:val="-1"/>
        </w:rPr>
        <w:t xml:space="preserve"> </w:t>
      </w:r>
      <w:r>
        <w:rPr>
          <w:color w:val="231F20"/>
        </w:rPr>
        <w:t>to</w:t>
      </w:r>
      <w:r>
        <w:rPr>
          <w:color w:val="231F20"/>
          <w:spacing w:val="-1"/>
        </w:rPr>
        <w:t xml:space="preserve"> </w:t>
      </w:r>
      <w:r>
        <w:rPr>
          <w:color w:val="231F20"/>
        </w:rPr>
        <w:t>include</w:t>
      </w:r>
      <w:r>
        <w:rPr>
          <w:color w:val="231F20"/>
          <w:spacing w:val="-1"/>
        </w:rPr>
        <w:t xml:space="preserve"> </w:t>
      </w:r>
      <w:r>
        <w:rPr>
          <w:color w:val="231F20"/>
        </w:rPr>
        <w:t>‘casual’</w:t>
      </w:r>
      <w:r>
        <w:rPr>
          <w:color w:val="231F20"/>
          <w:spacing w:val="-1"/>
        </w:rPr>
        <w:t xml:space="preserve"> </w:t>
      </w:r>
      <w:r>
        <w:rPr>
          <w:color w:val="231F20"/>
        </w:rPr>
        <w:t>spectator</w:t>
      </w:r>
      <w:r>
        <w:rPr>
          <w:color w:val="231F20"/>
          <w:spacing w:val="-1"/>
        </w:rPr>
        <w:t xml:space="preserve"> </w:t>
      </w:r>
      <w:r>
        <w:rPr>
          <w:color w:val="231F20"/>
        </w:rPr>
        <w:t>markets</w:t>
      </w:r>
      <w:r>
        <w:rPr>
          <w:color w:val="231F20"/>
          <w:spacing w:val="-1"/>
        </w:rPr>
        <w:t xml:space="preserve"> </w:t>
      </w:r>
      <w:r>
        <w:rPr>
          <w:color w:val="231F20"/>
        </w:rPr>
        <w:t>is</w:t>
      </w:r>
      <w:r>
        <w:rPr>
          <w:color w:val="231F20"/>
          <w:spacing w:val="-1"/>
        </w:rPr>
        <w:t xml:space="preserve"> </w:t>
      </w:r>
      <w:r>
        <w:rPr>
          <w:color w:val="231F20"/>
        </w:rPr>
        <w:t>now</w:t>
      </w:r>
      <w:r>
        <w:rPr>
          <w:color w:val="231F20"/>
          <w:spacing w:val="-1"/>
        </w:rPr>
        <w:t xml:space="preserve"> </w:t>
      </w:r>
      <w:r>
        <w:rPr>
          <w:color w:val="231F20"/>
        </w:rPr>
        <w:t xml:space="preserve">much </w:t>
      </w:r>
      <w:r>
        <w:rPr>
          <w:color w:val="231F20"/>
          <w:w w:val="95"/>
        </w:rPr>
        <w:t xml:space="preserve">more straightforward than in the past due to the development of electronic </w:t>
      </w:r>
      <w:r>
        <w:rPr>
          <w:color w:val="231F20"/>
        </w:rPr>
        <w:t xml:space="preserve">ticketing and data systems. These big data sources allow insights into </w:t>
      </w:r>
      <w:r>
        <w:rPr>
          <w:color w:val="231F20"/>
          <w:w w:val="95"/>
        </w:rPr>
        <w:t xml:space="preserve">attendance over time which may illuminate key factors influencing spatial </w:t>
      </w:r>
      <w:r>
        <w:rPr>
          <w:color w:val="231F20"/>
        </w:rPr>
        <w:t>travel</w:t>
      </w:r>
      <w:r>
        <w:rPr>
          <w:color w:val="231F20"/>
          <w:spacing w:val="-2"/>
        </w:rPr>
        <w:t xml:space="preserve"> </w:t>
      </w:r>
      <w:r>
        <w:rPr>
          <w:color w:val="231F20"/>
        </w:rPr>
        <w:t>flows</w:t>
      </w:r>
      <w:r>
        <w:rPr>
          <w:color w:val="231F20"/>
          <w:spacing w:val="-2"/>
        </w:rPr>
        <w:t xml:space="preserve"> </w:t>
      </w:r>
      <w:r>
        <w:rPr>
          <w:color w:val="231F20"/>
        </w:rPr>
        <w:t>and</w:t>
      </w:r>
      <w:r>
        <w:rPr>
          <w:color w:val="231F20"/>
          <w:spacing w:val="-2"/>
        </w:rPr>
        <w:t xml:space="preserve"> </w:t>
      </w:r>
      <w:r>
        <w:rPr>
          <w:color w:val="231F20"/>
        </w:rPr>
        <w:t>attendance.</w:t>
      </w:r>
      <w:r>
        <w:rPr>
          <w:color w:val="231F20"/>
          <w:spacing w:val="-2"/>
        </w:rPr>
        <w:t xml:space="preserve"> </w:t>
      </w:r>
      <w:r>
        <w:rPr>
          <w:color w:val="231F20"/>
        </w:rPr>
        <w:t>These</w:t>
      </w:r>
      <w:r>
        <w:rPr>
          <w:color w:val="231F20"/>
          <w:spacing w:val="-2"/>
        </w:rPr>
        <w:t xml:space="preserve"> </w:t>
      </w:r>
      <w:r>
        <w:rPr>
          <w:color w:val="231F20"/>
        </w:rPr>
        <w:t>a</w:t>
      </w:r>
      <w:r>
        <w:rPr>
          <w:color w:val="231F20"/>
        </w:rPr>
        <w:t>nalyses</w:t>
      </w:r>
      <w:r>
        <w:rPr>
          <w:color w:val="231F20"/>
          <w:spacing w:val="-2"/>
        </w:rPr>
        <w:t xml:space="preserve"> </w:t>
      </w:r>
      <w:r>
        <w:rPr>
          <w:color w:val="231F20"/>
        </w:rPr>
        <w:t>may</w:t>
      </w:r>
      <w:r>
        <w:rPr>
          <w:color w:val="231F20"/>
          <w:spacing w:val="-2"/>
        </w:rPr>
        <w:t xml:space="preserve"> </w:t>
      </w:r>
      <w:r>
        <w:rPr>
          <w:color w:val="231F20"/>
        </w:rPr>
        <w:t>afford</w:t>
      </w:r>
      <w:r>
        <w:rPr>
          <w:color w:val="231F20"/>
          <w:spacing w:val="-2"/>
        </w:rPr>
        <w:t xml:space="preserve"> </w:t>
      </w:r>
      <w:r>
        <w:rPr>
          <w:color w:val="231F20"/>
        </w:rPr>
        <w:t>some</w:t>
      </w:r>
      <w:r>
        <w:rPr>
          <w:color w:val="231F20"/>
          <w:spacing w:val="-2"/>
        </w:rPr>
        <w:t xml:space="preserve"> </w:t>
      </w:r>
      <w:r>
        <w:rPr>
          <w:color w:val="231F20"/>
        </w:rPr>
        <w:t>idea</w:t>
      </w:r>
      <w:r>
        <w:rPr>
          <w:color w:val="231F20"/>
          <w:spacing w:val="-2"/>
        </w:rPr>
        <w:t xml:space="preserve"> </w:t>
      </w:r>
      <w:r>
        <w:rPr>
          <w:color w:val="231F20"/>
        </w:rPr>
        <w:t>of</w:t>
      </w:r>
      <w:r>
        <w:rPr>
          <w:color w:val="231F20"/>
          <w:spacing w:val="-2"/>
        </w:rPr>
        <w:t xml:space="preserve"> </w:t>
      </w:r>
      <w:r>
        <w:rPr>
          <w:color w:val="231F20"/>
        </w:rPr>
        <w:t xml:space="preserve">the </w:t>
      </w:r>
      <w:r>
        <w:rPr>
          <w:color w:val="231F20"/>
          <w:w w:val="95"/>
        </w:rPr>
        <w:t xml:space="preserve">range and specific regions from which sport tourism spectators originate. </w:t>
      </w:r>
      <w:r>
        <w:rPr>
          <w:color w:val="231F20"/>
        </w:rPr>
        <w:t xml:space="preserve">Extending market range beyond the local geographical boundaries of a </w:t>
      </w:r>
      <w:r>
        <w:rPr>
          <w:color w:val="231F20"/>
          <w:w w:val="90"/>
        </w:rPr>
        <w:t xml:space="preserve">designated team franchise area may be achieved nationally or internationally </w:t>
      </w:r>
      <w:r>
        <w:rPr>
          <w:color w:val="231F20"/>
          <w:w w:val="95"/>
        </w:rPr>
        <w:t xml:space="preserve">through match attendance, as well as merchandise sales or supporters club memberships. The continued success of a team influences its market range, </w:t>
      </w:r>
      <w:r>
        <w:rPr>
          <w:color w:val="231F20"/>
        </w:rPr>
        <w:t>but enduring success is very rare. This factor alone cannot explain the sustained</w:t>
      </w:r>
      <w:r>
        <w:rPr>
          <w:color w:val="231F20"/>
          <w:spacing w:val="-3"/>
        </w:rPr>
        <w:t xml:space="preserve"> </w:t>
      </w:r>
      <w:r>
        <w:rPr>
          <w:color w:val="231F20"/>
        </w:rPr>
        <w:t>and</w:t>
      </w:r>
      <w:r>
        <w:rPr>
          <w:color w:val="231F20"/>
          <w:spacing w:val="-3"/>
        </w:rPr>
        <w:t xml:space="preserve"> </w:t>
      </w:r>
      <w:r>
        <w:rPr>
          <w:color w:val="231F20"/>
        </w:rPr>
        <w:t>extended</w:t>
      </w:r>
      <w:r>
        <w:rPr>
          <w:color w:val="231F20"/>
          <w:spacing w:val="-3"/>
        </w:rPr>
        <w:t xml:space="preserve"> </w:t>
      </w:r>
      <w:r>
        <w:rPr>
          <w:color w:val="231F20"/>
        </w:rPr>
        <w:t>fan</w:t>
      </w:r>
      <w:r>
        <w:rPr>
          <w:color w:val="231F20"/>
          <w:spacing w:val="-3"/>
        </w:rPr>
        <w:t xml:space="preserve"> </w:t>
      </w:r>
      <w:r>
        <w:rPr>
          <w:color w:val="231F20"/>
        </w:rPr>
        <w:t>bases</w:t>
      </w:r>
      <w:r>
        <w:rPr>
          <w:color w:val="231F20"/>
          <w:spacing w:val="-3"/>
        </w:rPr>
        <w:t xml:space="preserve"> </w:t>
      </w:r>
      <w:r>
        <w:rPr>
          <w:color w:val="231F20"/>
        </w:rPr>
        <w:t>tha</w:t>
      </w:r>
      <w:r>
        <w:rPr>
          <w:color w:val="231F20"/>
        </w:rPr>
        <w:t>t</w:t>
      </w:r>
      <w:r>
        <w:rPr>
          <w:color w:val="231F20"/>
          <w:spacing w:val="-3"/>
        </w:rPr>
        <w:t xml:space="preserve"> </w:t>
      </w:r>
      <w:r>
        <w:rPr>
          <w:color w:val="231F20"/>
        </w:rPr>
        <w:t>some</w:t>
      </w:r>
      <w:r>
        <w:rPr>
          <w:color w:val="231F20"/>
          <w:spacing w:val="-3"/>
        </w:rPr>
        <w:t xml:space="preserve"> </w:t>
      </w:r>
      <w:r>
        <w:rPr>
          <w:color w:val="231F20"/>
        </w:rPr>
        <w:t>teams</w:t>
      </w:r>
      <w:r>
        <w:rPr>
          <w:color w:val="231F20"/>
          <w:spacing w:val="-3"/>
        </w:rPr>
        <w:t xml:space="preserve"> </w:t>
      </w:r>
      <w:r>
        <w:rPr>
          <w:color w:val="231F20"/>
        </w:rPr>
        <w:t>enjoy.</w:t>
      </w:r>
      <w:r>
        <w:rPr>
          <w:color w:val="231F20"/>
          <w:spacing w:val="-3"/>
        </w:rPr>
        <w:t xml:space="preserve"> </w:t>
      </w:r>
      <w:r>
        <w:rPr>
          <w:color w:val="231F20"/>
        </w:rPr>
        <w:t>Individual</w:t>
      </w:r>
      <w:r>
        <w:rPr>
          <w:color w:val="231F20"/>
          <w:spacing w:val="-3"/>
        </w:rPr>
        <w:t xml:space="preserve"> </w:t>
      </w:r>
      <w:r>
        <w:rPr>
          <w:color w:val="231F20"/>
        </w:rPr>
        <w:t xml:space="preserve">star </w:t>
      </w:r>
      <w:r>
        <w:rPr>
          <w:color w:val="231F20"/>
          <w:w w:val="95"/>
        </w:rPr>
        <w:t xml:space="preserve">players and the aura, glamour and heritage associated with teams and the </w:t>
      </w:r>
      <w:r>
        <w:rPr>
          <w:color w:val="231F20"/>
        </w:rPr>
        <w:t>venues</w:t>
      </w:r>
      <w:r>
        <w:rPr>
          <w:color w:val="231F20"/>
          <w:spacing w:val="-1"/>
        </w:rPr>
        <w:t xml:space="preserve"> </w:t>
      </w:r>
      <w:r>
        <w:rPr>
          <w:color w:val="231F20"/>
        </w:rPr>
        <w:t>at</w:t>
      </w:r>
      <w:r>
        <w:rPr>
          <w:color w:val="231F20"/>
          <w:spacing w:val="-1"/>
        </w:rPr>
        <w:t xml:space="preserve"> </w:t>
      </w:r>
      <w:r>
        <w:rPr>
          <w:color w:val="231F20"/>
        </w:rPr>
        <w:t>which</w:t>
      </w:r>
      <w:r>
        <w:rPr>
          <w:color w:val="231F20"/>
          <w:spacing w:val="-1"/>
        </w:rPr>
        <w:t xml:space="preserve"> </w:t>
      </w:r>
      <w:r>
        <w:rPr>
          <w:color w:val="231F20"/>
        </w:rPr>
        <w:t>they</w:t>
      </w:r>
      <w:r>
        <w:rPr>
          <w:color w:val="231F20"/>
          <w:spacing w:val="-1"/>
        </w:rPr>
        <w:t xml:space="preserve"> </w:t>
      </w:r>
      <w:r>
        <w:rPr>
          <w:color w:val="231F20"/>
        </w:rPr>
        <w:t>compete</w:t>
      </w:r>
      <w:r>
        <w:rPr>
          <w:color w:val="231F20"/>
          <w:spacing w:val="-1"/>
        </w:rPr>
        <w:t xml:space="preserve"> </w:t>
      </w:r>
      <w:r>
        <w:rPr>
          <w:color w:val="231F20"/>
        </w:rPr>
        <w:t>contribute</w:t>
      </w:r>
      <w:r>
        <w:rPr>
          <w:color w:val="231F20"/>
          <w:spacing w:val="-1"/>
        </w:rPr>
        <w:t xml:space="preserve"> </w:t>
      </w:r>
      <w:r>
        <w:rPr>
          <w:color w:val="231F20"/>
        </w:rPr>
        <w:t>to</w:t>
      </w:r>
      <w:r>
        <w:rPr>
          <w:color w:val="231F20"/>
          <w:spacing w:val="-1"/>
        </w:rPr>
        <w:t xml:space="preserve"> </w:t>
      </w:r>
      <w:r>
        <w:rPr>
          <w:color w:val="231F20"/>
        </w:rPr>
        <w:t>the</w:t>
      </w:r>
      <w:r>
        <w:rPr>
          <w:color w:val="231F20"/>
          <w:spacing w:val="-1"/>
        </w:rPr>
        <w:t xml:space="preserve"> </w:t>
      </w:r>
      <w:r>
        <w:rPr>
          <w:color w:val="231F20"/>
        </w:rPr>
        <w:t>enduring</w:t>
      </w:r>
      <w:r>
        <w:rPr>
          <w:color w:val="231F20"/>
          <w:spacing w:val="-1"/>
        </w:rPr>
        <w:t xml:space="preserve"> </w:t>
      </w:r>
      <w:r>
        <w:rPr>
          <w:color w:val="231F20"/>
        </w:rPr>
        <w:t>allure</w:t>
      </w:r>
      <w:r>
        <w:rPr>
          <w:color w:val="231F20"/>
          <w:spacing w:val="-1"/>
        </w:rPr>
        <w:t xml:space="preserve"> </w:t>
      </w:r>
      <w:r>
        <w:rPr>
          <w:color w:val="231F20"/>
        </w:rPr>
        <w:t>of</w:t>
      </w:r>
      <w:r>
        <w:rPr>
          <w:color w:val="231F20"/>
          <w:spacing w:val="-1"/>
        </w:rPr>
        <w:t xml:space="preserve"> </w:t>
      </w:r>
      <w:r>
        <w:rPr>
          <w:color w:val="231F20"/>
        </w:rPr>
        <w:t xml:space="preserve">some sports teams. The same factors may influence the propensity of visitors to engage in nostalgia sport tourism (Ramshaw &amp; Gammon, 2016). The </w:t>
      </w:r>
      <w:r>
        <w:rPr>
          <w:color w:val="231F20"/>
          <w:w w:val="95"/>
        </w:rPr>
        <w:t>atmosphere of the home stadium, the colour and parochialism of the home fans and the public presentation of prom</w:t>
      </w:r>
      <w:r>
        <w:rPr>
          <w:color w:val="231F20"/>
          <w:w w:val="95"/>
        </w:rPr>
        <w:t>inent team players may also bear upon the supporter catchments that are generated by sports teams. These factors apply to sports teams and professional franchises at various levels</w:t>
      </w:r>
      <w:r>
        <w:rPr>
          <w:color w:val="231F20"/>
          <w:spacing w:val="40"/>
        </w:rPr>
        <w:t xml:space="preserve"> </w:t>
      </w:r>
      <w:r>
        <w:rPr>
          <w:color w:val="231F20"/>
        </w:rPr>
        <w:t>of competition and scales of analysis (Mason &amp; Duquette, 2008).</w:t>
      </w:r>
    </w:p>
    <w:p w14:paraId="0100C175" w14:textId="77777777" w:rsidR="00AE0598" w:rsidRDefault="0069255A">
      <w:pPr>
        <w:pStyle w:val="Corpodetexto"/>
        <w:spacing w:before="29" w:line="232" w:lineRule="auto"/>
        <w:ind w:left="110" w:right="125" w:firstLine="320"/>
        <w:jc w:val="both"/>
      </w:pPr>
      <w:r>
        <w:rPr>
          <w:color w:val="231F20"/>
        </w:rPr>
        <w:t>It is evide</w:t>
      </w:r>
      <w:r>
        <w:rPr>
          <w:color w:val="231F20"/>
        </w:rPr>
        <w:t xml:space="preserve">nt that the spatial range of sport tourism phenomena and related mobilities has expanded considerably (Higham &amp; Hinch, 2009). The driving forces and consequences of globalisation (see Chapter 4) have been the focus of much academic attention in the fields </w:t>
      </w:r>
      <w:r>
        <w:rPr>
          <w:color w:val="231F20"/>
        </w:rPr>
        <w:t>of sport</w:t>
      </w:r>
      <w:r>
        <w:rPr>
          <w:color w:val="231F20"/>
          <w:spacing w:val="40"/>
        </w:rPr>
        <w:t xml:space="preserve"> </w:t>
      </w:r>
      <w:r>
        <w:rPr>
          <w:color w:val="231F20"/>
        </w:rPr>
        <w:t>and</w:t>
      </w:r>
      <w:r>
        <w:rPr>
          <w:color w:val="231F20"/>
          <w:spacing w:val="33"/>
        </w:rPr>
        <w:t xml:space="preserve"> </w:t>
      </w:r>
      <w:r>
        <w:rPr>
          <w:color w:val="231F20"/>
        </w:rPr>
        <w:t>tourism</w:t>
      </w:r>
      <w:r>
        <w:rPr>
          <w:color w:val="231F20"/>
          <w:spacing w:val="33"/>
        </w:rPr>
        <w:t xml:space="preserve"> </w:t>
      </w:r>
      <w:r>
        <w:rPr>
          <w:color w:val="231F20"/>
        </w:rPr>
        <w:t>(e.g.</w:t>
      </w:r>
      <w:r>
        <w:rPr>
          <w:color w:val="231F20"/>
          <w:spacing w:val="33"/>
        </w:rPr>
        <w:t xml:space="preserve"> </w:t>
      </w:r>
      <w:r>
        <w:rPr>
          <w:color w:val="231F20"/>
        </w:rPr>
        <w:t>Maguire,</w:t>
      </w:r>
      <w:r>
        <w:rPr>
          <w:color w:val="231F20"/>
          <w:spacing w:val="33"/>
        </w:rPr>
        <w:t xml:space="preserve"> </w:t>
      </w:r>
      <w:r>
        <w:rPr>
          <w:color w:val="231F20"/>
        </w:rPr>
        <w:t>1994,</w:t>
      </w:r>
      <w:r>
        <w:rPr>
          <w:color w:val="231F20"/>
          <w:spacing w:val="33"/>
        </w:rPr>
        <w:t xml:space="preserve"> </w:t>
      </w:r>
      <w:r>
        <w:rPr>
          <w:color w:val="231F20"/>
        </w:rPr>
        <w:t>1999;</w:t>
      </w:r>
      <w:r>
        <w:rPr>
          <w:color w:val="231F20"/>
          <w:spacing w:val="33"/>
        </w:rPr>
        <w:t xml:space="preserve"> </w:t>
      </w:r>
      <w:r>
        <w:rPr>
          <w:color w:val="231F20"/>
        </w:rPr>
        <w:t>Mowforth</w:t>
      </w:r>
      <w:r>
        <w:rPr>
          <w:color w:val="231F20"/>
          <w:spacing w:val="33"/>
        </w:rPr>
        <w:t xml:space="preserve"> </w:t>
      </w:r>
      <w:r>
        <w:rPr>
          <w:color w:val="231F20"/>
        </w:rPr>
        <w:t>&amp;</w:t>
      </w:r>
      <w:r>
        <w:rPr>
          <w:color w:val="231F20"/>
          <w:spacing w:val="33"/>
        </w:rPr>
        <w:t xml:space="preserve"> </w:t>
      </w:r>
      <w:r>
        <w:rPr>
          <w:color w:val="231F20"/>
        </w:rPr>
        <w:t>Munt,</w:t>
      </w:r>
      <w:r>
        <w:rPr>
          <w:color w:val="231F20"/>
          <w:spacing w:val="33"/>
        </w:rPr>
        <w:t xml:space="preserve"> </w:t>
      </w:r>
      <w:r>
        <w:rPr>
          <w:color w:val="231F20"/>
        </w:rPr>
        <w:t>2015;</w:t>
      </w:r>
      <w:r>
        <w:rPr>
          <w:color w:val="231F20"/>
          <w:spacing w:val="33"/>
        </w:rPr>
        <w:t xml:space="preserve"> </w:t>
      </w:r>
      <w:r>
        <w:rPr>
          <w:color w:val="231F20"/>
        </w:rPr>
        <w:t xml:space="preserve">Silk &amp; Andrews, 2001). Higham and Hinch (2009: 10) note that ‘sport and </w:t>
      </w:r>
      <w:r>
        <w:rPr>
          <w:color w:val="231F20"/>
          <w:w w:val="95"/>
        </w:rPr>
        <w:t>tourism have figured prominently in the development of new relationships between cities, regions and states in te</w:t>
      </w:r>
      <w:r>
        <w:rPr>
          <w:color w:val="231F20"/>
          <w:w w:val="95"/>
        </w:rPr>
        <w:t xml:space="preserve">rms of international trade, business development, capital investment and job growth’. Important debates centre on who wins and who loses under neoliberalism and globalisation (Harvey, </w:t>
      </w:r>
      <w:r>
        <w:rPr>
          <w:color w:val="231F20"/>
        </w:rPr>
        <w:t xml:space="preserve">2007), and whether globalisation leads to increasing standardisation or </w:t>
      </w:r>
      <w:r>
        <w:rPr>
          <w:color w:val="231F20"/>
          <w:w w:val="95"/>
        </w:rPr>
        <w:t xml:space="preserve">whether local resistance and negotiation will retain or even foster greater </w:t>
      </w:r>
      <w:r>
        <w:rPr>
          <w:color w:val="231F20"/>
        </w:rPr>
        <w:t>differences between places (Bale, 2002; Hall, 1998; Page &amp; Hall, 2003; Silk &amp; Andrews, 2001). While it is generally agreed that forces of and resistance to homogeneity coexist (Har</w:t>
      </w:r>
      <w:r>
        <w:rPr>
          <w:color w:val="231F20"/>
        </w:rPr>
        <w:t>vey &amp; Houle, 1994; Washington</w:t>
      </w:r>
      <w:r>
        <w:rPr>
          <w:color w:val="231F20"/>
          <w:spacing w:val="40"/>
        </w:rPr>
        <w:t xml:space="preserve"> </w:t>
      </w:r>
      <w:r>
        <w:rPr>
          <w:color w:val="231F20"/>
          <w:w w:val="95"/>
        </w:rPr>
        <w:t>&amp; Karen, 2001), the EU Brexit referendum (23 June 2016), Theresa May’s triggering</w:t>
      </w:r>
      <w:r>
        <w:rPr>
          <w:color w:val="231F20"/>
        </w:rPr>
        <w:t xml:space="preserve"> </w:t>
      </w:r>
      <w:r>
        <w:rPr>
          <w:color w:val="231F20"/>
          <w:w w:val="95"/>
        </w:rPr>
        <w:t>of</w:t>
      </w:r>
      <w:r>
        <w:rPr>
          <w:color w:val="231F20"/>
        </w:rPr>
        <w:t xml:space="preserve"> </w:t>
      </w:r>
      <w:r>
        <w:rPr>
          <w:color w:val="231F20"/>
          <w:w w:val="95"/>
        </w:rPr>
        <w:t>Article</w:t>
      </w:r>
      <w:r>
        <w:rPr>
          <w:color w:val="231F20"/>
        </w:rPr>
        <w:t xml:space="preserve"> </w:t>
      </w:r>
      <w:r>
        <w:rPr>
          <w:color w:val="231F20"/>
          <w:w w:val="95"/>
        </w:rPr>
        <w:t>50</w:t>
      </w:r>
      <w:r>
        <w:rPr>
          <w:color w:val="231F20"/>
        </w:rPr>
        <w:t xml:space="preserve"> </w:t>
      </w:r>
      <w:r>
        <w:rPr>
          <w:color w:val="231F20"/>
          <w:w w:val="95"/>
        </w:rPr>
        <w:t>(29</w:t>
      </w:r>
      <w:r>
        <w:rPr>
          <w:color w:val="231F20"/>
        </w:rPr>
        <w:t xml:space="preserve"> </w:t>
      </w:r>
      <w:r>
        <w:rPr>
          <w:color w:val="231F20"/>
          <w:w w:val="95"/>
        </w:rPr>
        <w:t>March</w:t>
      </w:r>
      <w:r>
        <w:rPr>
          <w:color w:val="231F20"/>
        </w:rPr>
        <w:t xml:space="preserve"> </w:t>
      </w:r>
      <w:r>
        <w:rPr>
          <w:color w:val="231F20"/>
          <w:w w:val="95"/>
        </w:rPr>
        <w:t>2017)</w:t>
      </w:r>
      <w:r>
        <w:rPr>
          <w:color w:val="231F20"/>
        </w:rPr>
        <w:t xml:space="preserve"> </w:t>
      </w:r>
      <w:r>
        <w:rPr>
          <w:color w:val="231F20"/>
          <w:w w:val="95"/>
        </w:rPr>
        <w:t>and</w:t>
      </w:r>
      <w:r>
        <w:rPr>
          <w:color w:val="231F20"/>
        </w:rPr>
        <w:t xml:space="preserve"> </w:t>
      </w:r>
      <w:r>
        <w:rPr>
          <w:color w:val="231F20"/>
          <w:w w:val="95"/>
        </w:rPr>
        <w:t>the</w:t>
      </w:r>
      <w:r>
        <w:rPr>
          <w:color w:val="231F20"/>
        </w:rPr>
        <w:t xml:space="preserve"> </w:t>
      </w:r>
      <w:r>
        <w:rPr>
          <w:color w:val="231F20"/>
          <w:w w:val="95"/>
        </w:rPr>
        <w:t>US</w:t>
      </w:r>
      <w:r>
        <w:rPr>
          <w:color w:val="231F20"/>
        </w:rPr>
        <w:t xml:space="preserve"> </w:t>
      </w:r>
      <w:r>
        <w:rPr>
          <w:color w:val="231F20"/>
          <w:w w:val="95"/>
        </w:rPr>
        <w:t>presidential</w:t>
      </w:r>
      <w:r>
        <w:rPr>
          <w:color w:val="231F20"/>
        </w:rPr>
        <w:t xml:space="preserve"> </w:t>
      </w:r>
      <w:r>
        <w:rPr>
          <w:color w:val="231F20"/>
          <w:w w:val="95"/>
        </w:rPr>
        <w:t>election</w:t>
      </w:r>
      <w:r>
        <w:rPr>
          <w:color w:val="231F20"/>
          <w:spacing w:val="80"/>
          <w:w w:val="150"/>
        </w:rPr>
        <w:t xml:space="preserve"> </w:t>
      </w:r>
      <w:r>
        <w:rPr>
          <w:color w:val="231F20"/>
          <w:w w:val="95"/>
        </w:rPr>
        <w:t>(8 November 2016) were historic moments in the context of globalisation. These</w:t>
      </w:r>
      <w:r>
        <w:rPr>
          <w:color w:val="231F20"/>
          <w:spacing w:val="24"/>
        </w:rPr>
        <w:t xml:space="preserve"> </w:t>
      </w:r>
      <w:r>
        <w:rPr>
          <w:color w:val="231F20"/>
          <w:w w:val="95"/>
        </w:rPr>
        <w:t>seismic</w:t>
      </w:r>
      <w:r>
        <w:rPr>
          <w:color w:val="231F20"/>
          <w:spacing w:val="24"/>
        </w:rPr>
        <w:t xml:space="preserve"> </w:t>
      </w:r>
      <w:r>
        <w:rPr>
          <w:color w:val="231F20"/>
          <w:w w:val="95"/>
        </w:rPr>
        <w:t>shifts</w:t>
      </w:r>
      <w:r>
        <w:rPr>
          <w:color w:val="231F20"/>
          <w:spacing w:val="26"/>
        </w:rPr>
        <w:t xml:space="preserve"> </w:t>
      </w:r>
      <w:r>
        <w:rPr>
          <w:color w:val="231F20"/>
          <w:w w:val="95"/>
        </w:rPr>
        <w:t>in</w:t>
      </w:r>
      <w:r>
        <w:rPr>
          <w:color w:val="231F20"/>
          <w:spacing w:val="26"/>
        </w:rPr>
        <w:t xml:space="preserve"> </w:t>
      </w:r>
      <w:r>
        <w:rPr>
          <w:color w:val="231F20"/>
          <w:w w:val="95"/>
        </w:rPr>
        <w:t>global</w:t>
      </w:r>
      <w:r>
        <w:rPr>
          <w:color w:val="231F20"/>
          <w:spacing w:val="26"/>
        </w:rPr>
        <w:t xml:space="preserve"> </w:t>
      </w:r>
      <w:r>
        <w:rPr>
          <w:color w:val="231F20"/>
          <w:w w:val="95"/>
        </w:rPr>
        <w:t>politics</w:t>
      </w:r>
      <w:r>
        <w:rPr>
          <w:color w:val="231F20"/>
          <w:spacing w:val="26"/>
        </w:rPr>
        <w:t xml:space="preserve"> </w:t>
      </w:r>
      <w:r>
        <w:rPr>
          <w:color w:val="231F20"/>
          <w:w w:val="95"/>
        </w:rPr>
        <w:t>will</w:t>
      </w:r>
      <w:r>
        <w:rPr>
          <w:color w:val="231F20"/>
          <w:spacing w:val="26"/>
        </w:rPr>
        <w:t xml:space="preserve"> </w:t>
      </w:r>
      <w:r>
        <w:rPr>
          <w:color w:val="231F20"/>
          <w:w w:val="95"/>
        </w:rPr>
        <w:t>reshape</w:t>
      </w:r>
      <w:r>
        <w:rPr>
          <w:color w:val="231F20"/>
          <w:spacing w:val="24"/>
        </w:rPr>
        <w:t xml:space="preserve"> </w:t>
      </w:r>
      <w:r>
        <w:rPr>
          <w:color w:val="231F20"/>
          <w:w w:val="95"/>
        </w:rPr>
        <w:t>the</w:t>
      </w:r>
      <w:r>
        <w:rPr>
          <w:color w:val="231F20"/>
          <w:spacing w:val="24"/>
        </w:rPr>
        <w:t xml:space="preserve"> </w:t>
      </w:r>
      <w:r>
        <w:rPr>
          <w:color w:val="231F20"/>
          <w:w w:val="95"/>
        </w:rPr>
        <w:t>spatial</w:t>
      </w:r>
      <w:r>
        <w:rPr>
          <w:color w:val="231F20"/>
          <w:spacing w:val="24"/>
        </w:rPr>
        <w:t xml:space="preserve"> </w:t>
      </w:r>
      <w:r>
        <w:rPr>
          <w:color w:val="231F20"/>
          <w:w w:val="95"/>
        </w:rPr>
        <w:t>patterns</w:t>
      </w:r>
      <w:r>
        <w:rPr>
          <w:color w:val="231F20"/>
          <w:spacing w:val="24"/>
        </w:rPr>
        <w:t xml:space="preserve"> </w:t>
      </w:r>
      <w:r>
        <w:rPr>
          <w:color w:val="231F20"/>
          <w:w w:val="95"/>
        </w:rPr>
        <w:t>of</w:t>
      </w:r>
    </w:p>
    <w:p w14:paraId="150A5802" w14:textId="77777777" w:rsidR="00AE0598" w:rsidRDefault="00AE0598">
      <w:pPr>
        <w:spacing w:line="232" w:lineRule="auto"/>
        <w:jc w:val="both"/>
        <w:sectPr w:rsidR="00AE0598">
          <w:pgSz w:w="8850" w:h="13270"/>
          <w:pgMar w:top="720" w:right="1060" w:bottom="280" w:left="1080" w:header="720" w:footer="720" w:gutter="0"/>
          <w:cols w:space="720"/>
        </w:sectPr>
      </w:pPr>
    </w:p>
    <w:p w14:paraId="48DF088A" w14:textId="77777777" w:rsidR="00AE0598" w:rsidRDefault="0069255A">
      <w:pPr>
        <w:spacing w:before="87"/>
        <w:ind w:left="108"/>
        <w:rPr>
          <w:rFonts w:ascii="Trebuchet MS"/>
          <w:sz w:val="14"/>
        </w:rPr>
      </w:pPr>
      <w:r>
        <w:rPr>
          <w:rFonts w:ascii="Trebuchet MS"/>
          <w:color w:val="231F20"/>
          <w:w w:val="105"/>
          <w:sz w:val="14"/>
        </w:rPr>
        <w:lastRenderedPageBreak/>
        <w:t>100</w:t>
      </w:r>
      <w:r>
        <w:rPr>
          <w:rFonts w:ascii="Trebuchet MS"/>
          <w:color w:val="231F20"/>
          <w:spacing w:val="66"/>
          <w:w w:val="150"/>
          <w:sz w:val="14"/>
        </w:rPr>
        <w:t xml:space="preserve"> </w:t>
      </w:r>
      <w:r>
        <w:rPr>
          <w:rFonts w:ascii="Trebuchet MS"/>
          <w:color w:val="231F20"/>
          <w:w w:val="105"/>
          <w:sz w:val="14"/>
        </w:rPr>
        <w:t>Part</w:t>
      </w:r>
      <w:r>
        <w:rPr>
          <w:rFonts w:ascii="Trebuchet MS"/>
          <w:color w:val="231F20"/>
          <w:spacing w:val="-9"/>
          <w:w w:val="105"/>
          <w:sz w:val="14"/>
        </w:rPr>
        <w:t xml:space="preserve"> </w:t>
      </w:r>
      <w:r>
        <w:rPr>
          <w:rFonts w:ascii="Trebuchet MS"/>
          <w:color w:val="231F20"/>
          <w:w w:val="105"/>
          <w:sz w:val="14"/>
        </w:rPr>
        <w:t>3:</w:t>
      </w:r>
      <w:r>
        <w:rPr>
          <w:rFonts w:ascii="Trebuchet MS"/>
          <w:color w:val="231F20"/>
          <w:spacing w:val="-8"/>
          <w:w w:val="105"/>
          <w:sz w:val="14"/>
        </w:rPr>
        <w:t xml:space="preserve"> </w:t>
      </w:r>
      <w:r>
        <w:rPr>
          <w:rFonts w:ascii="Trebuchet MS"/>
          <w:color w:val="231F20"/>
          <w:w w:val="105"/>
          <w:sz w:val="14"/>
        </w:rPr>
        <w:t>Sport</w:t>
      </w:r>
      <w:r>
        <w:rPr>
          <w:rFonts w:ascii="Trebuchet MS"/>
          <w:color w:val="231F20"/>
          <w:spacing w:val="-9"/>
          <w:w w:val="105"/>
          <w:sz w:val="14"/>
        </w:rPr>
        <w:t xml:space="preserve"> </w:t>
      </w:r>
      <w:r>
        <w:rPr>
          <w:rFonts w:ascii="Trebuchet MS"/>
          <w:color w:val="231F20"/>
          <w:w w:val="105"/>
          <w:sz w:val="14"/>
        </w:rPr>
        <w:t>Tourism</w:t>
      </w:r>
      <w:r>
        <w:rPr>
          <w:rFonts w:ascii="Trebuchet MS"/>
          <w:color w:val="231F20"/>
          <w:spacing w:val="-9"/>
          <w:w w:val="105"/>
          <w:sz w:val="14"/>
        </w:rPr>
        <w:t xml:space="preserve"> </w:t>
      </w:r>
      <w:r>
        <w:rPr>
          <w:rFonts w:ascii="Trebuchet MS"/>
          <w:color w:val="231F20"/>
          <w:w w:val="105"/>
          <w:sz w:val="14"/>
        </w:rPr>
        <w:t>Development</w:t>
      </w:r>
      <w:r>
        <w:rPr>
          <w:rFonts w:ascii="Trebuchet MS"/>
          <w:color w:val="231F20"/>
          <w:spacing w:val="-9"/>
          <w:w w:val="105"/>
          <w:sz w:val="14"/>
        </w:rPr>
        <w:t xml:space="preserve"> </w:t>
      </w:r>
      <w:r>
        <w:rPr>
          <w:rFonts w:ascii="Trebuchet MS"/>
          <w:color w:val="231F20"/>
          <w:w w:val="105"/>
          <w:sz w:val="14"/>
        </w:rPr>
        <w:t>and</w:t>
      </w:r>
      <w:r>
        <w:rPr>
          <w:rFonts w:ascii="Trebuchet MS"/>
          <w:color w:val="231F20"/>
          <w:spacing w:val="-8"/>
          <w:w w:val="105"/>
          <w:sz w:val="14"/>
        </w:rPr>
        <w:t xml:space="preserve"> </w:t>
      </w:r>
      <w:r>
        <w:rPr>
          <w:rFonts w:ascii="Trebuchet MS"/>
          <w:color w:val="231F20"/>
          <w:spacing w:val="-2"/>
          <w:w w:val="105"/>
          <w:sz w:val="14"/>
        </w:rPr>
        <w:t>Space</w:t>
      </w:r>
    </w:p>
    <w:p w14:paraId="2F5763DF" w14:textId="77777777" w:rsidR="00AE0598" w:rsidRDefault="00AE0598">
      <w:pPr>
        <w:pStyle w:val="Corpodetexto"/>
        <w:rPr>
          <w:rFonts w:ascii="Trebuchet MS"/>
          <w:sz w:val="16"/>
        </w:rPr>
      </w:pPr>
    </w:p>
    <w:p w14:paraId="469F39FA" w14:textId="77777777" w:rsidR="00AE0598" w:rsidRDefault="0069255A">
      <w:pPr>
        <w:pStyle w:val="Corpodetexto"/>
        <w:spacing w:before="118" w:line="232" w:lineRule="auto"/>
        <w:ind w:left="110" w:right="286"/>
      </w:pPr>
      <w:r>
        <w:rPr>
          <w:color w:val="231F20"/>
          <w:w w:val="95"/>
        </w:rPr>
        <w:t>sports leagues, travel flows, sport labour markets, sport labour migration</w:t>
      </w:r>
      <w:r>
        <w:rPr>
          <w:color w:val="231F20"/>
          <w:spacing w:val="40"/>
        </w:rPr>
        <w:t xml:space="preserve"> </w:t>
      </w:r>
      <w:r>
        <w:rPr>
          <w:color w:val="231F20"/>
        </w:rPr>
        <w:t>and the wider mobilities of sport-related tourism.</w:t>
      </w:r>
    </w:p>
    <w:p w14:paraId="65800F19" w14:textId="77777777" w:rsidR="00AE0598" w:rsidRDefault="00AE0598">
      <w:pPr>
        <w:pStyle w:val="Corpodetexto"/>
        <w:spacing w:before="2"/>
      </w:pPr>
    </w:p>
    <w:p w14:paraId="7CD025C5" w14:textId="77777777" w:rsidR="00AE0598" w:rsidRDefault="0069255A">
      <w:pPr>
        <w:ind w:left="110"/>
        <w:rPr>
          <w:rFonts w:ascii="Trebuchet MS"/>
          <w:sz w:val="20"/>
        </w:rPr>
      </w:pPr>
      <w:r>
        <w:rPr>
          <w:rFonts w:ascii="Trebuchet MS"/>
          <w:color w:val="231F20"/>
          <w:sz w:val="20"/>
        </w:rPr>
        <w:t>Sport,</w:t>
      </w:r>
      <w:r>
        <w:rPr>
          <w:rFonts w:ascii="Trebuchet MS"/>
          <w:color w:val="231F20"/>
          <w:spacing w:val="9"/>
          <w:sz w:val="20"/>
        </w:rPr>
        <w:t xml:space="preserve"> </w:t>
      </w:r>
      <w:r>
        <w:rPr>
          <w:rFonts w:ascii="Trebuchet MS"/>
          <w:color w:val="231F20"/>
          <w:sz w:val="20"/>
        </w:rPr>
        <w:t>space</w:t>
      </w:r>
      <w:r>
        <w:rPr>
          <w:rFonts w:ascii="Trebuchet MS"/>
          <w:color w:val="231F20"/>
          <w:spacing w:val="10"/>
          <w:sz w:val="20"/>
        </w:rPr>
        <w:t xml:space="preserve"> </w:t>
      </w:r>
      <w:r>
        <w:rPr>
          <w:rFonts w:ascii="Trebuchet MS"/>
          <w:color w:val="231F20"/>
          <w:sz w:val="20"/>
        </w:rPr>
        <w:t>and</w:t>
      </w:r>
      <w:r>
        <w:rPr>
          <w:rFonts w:ascii="Trebuchet MS"/>
          <w:color w:val="231F20"/>
          <w:spacing w:val="9"/>
          <w:sz w:val="20"/>
        </w:rPr>
        <w:t xml:space="preserve"> </w:t>
      </w:r>
      <w:r>
        <w:rPr>
          <w:rFonts w:ascii="Trebuchet MS"/>
          <w:color w:val="231F20"/>
          <w:sz w:val="20"/>
        </w:rPr>
        <w:t>the</w:t>
      </w:r>
      <w:r>
        <w:rPr>
          <w:rFonts w:ascii="Trebuchet MS"/>
          <w:color w:val="231F20"/>
          <w:spacing w:val="10"/>
          <w:sz w:val="20"/>
        </w:rPr>
        <w:t xml:space="preserve"> </w:t>
      </w:r>
      <w:r>
        <w:rPr>
          <w:rFonts w:ascii="Trebuchet MS"/>
          <w:color w:val="231F20"/>
          <w:sz w:val="20"/>
        </w:rPr>
        <w:t>visitor</w:t>
      </w:r>
      <w:r>
        <w:rPr>
          <w:rFonts w:ascii="Trebuchet MS"/>
          <w:color w:val="231F20"/>
          <w:spacing w:val="10"/>
          <w:sz w:val="20"/>
        </w:rPr>
        <w:t xml:space="preserve"> </w:t>
      </w:r>
      <w:r>
        <w:rPr>
          <w:rFonts w:ascii="Trebuchet MS"/>
          <w:color w:val="231F20"/>
          <w:spacing w:val="-2"/>
          <w:sz w:val="20"/>
        </w:rPr>
        <w:t>experience</w:t>
      </w:r>
    </w:p>
    <w:p w14:paraId="5845E1CA" w14:textId="77777777" w:rsidR="00AE0598" w:rsidRDefault="0069255A">
      <w:pPr>
        <w:pStyle w:val="Corpodetexto"/>
        <w:spacing w:before="122" w:line="232" w:lineRule="auto"/>
        <w:ind w:left="110" w:right="123" w:firstLine="320"/>
        <w:jc w:val="both"/>
      </w:pPr>
      <w:r>
        <w:rPr>
          <w:color w:val="231F20"/>
        </w:rPr>
        <w:t>The distances that sport tourists travel usually influence the experiences that are pursued at the destination. The time–distance–</w:t>
      </w:r>
      <w:r>
        <w:rPr>
          <w:color w:val="231F20"/>
          <w:spacing w:val="40"/>
        </w:rPr>
        <w:t xml:space="preserve"> </w:t>
      </w:r>
      <w:r>
        <w:rPr>
          <w:color w:val="231F20"/>
        </w:rPr>
        <w:t>cost thresholds of tourism are such that the increasing investment of discretionary</w:t>
      </w:r>
      <w:r>
        <w:rPr>
          <w:color w:val="231F20"/>
          <w:spacing w:val="30"/>
        </w:rPr>
        <w:t xml:space="preserve"> </w:t>
      </w:r>
      <w:r>
        <w:rPr>
          <w:color w:val="231F20"/>
        </w:rPr>
        <w:t>time</w:t>
      </w:r>
      <w:r>
        <w:rPr>
          <w:color w:val="231F20"/>
          <w:spacing w:val="30"/>
        </w:rPr>
        <w:t xml:space="preserve"> </w:t>
      </w:r>
      <w:r>
        <w:rPr>
          <w:color w:val="231F20"/>
        </w:rPr>
        <w:t>and</w:t>
      </w:r>
      <w:r>
        <w:rPr>
          <w:color w:val="231F20"/>
          <w:spacing w:val="30"/>
        </w:rPr>
        <w:t xml:space="preserve"> </w:t>
      </w:r>
      <w:r>
        <w:rPr>
          <w:color w:val="231F20"/>
        </w:rPr>
        <w:t>income</w:t>
      </w:r>
      <w:r>
        <w:rPr>
          <w:color w:val="231F20"/>
          <w:spacing w:val="30"/>
        </w:rPr>
        <w:t xml:space="preserve"> </w:t>
      </w:r>
      <w:r>
        <w:rPr>
          <w:color w:val="231F20"/>
        </w:rPr>
        <w:t>on</w:t>
      </w:r>
      <w:r>
        <w:rPr>
          <w:color w:val="231F20"/>
          <w:spacing w:val="30"/>
        </w:rPr>
        <w:t xml:space="preserve"> </w:t>
      </w:r>
      <w:r>
        <w:rPr>
          <w:color w:val="231F20"/>
        </w:rPr>
        <w:t>travel</w:t>
      </w:r>
      <w:r>
        <w:rPr>
          <w:color w:val="231F20"/>
          <w:spacing w:val="30"/>
        </w:rPr>
        <w:t xml:space="preserve"> </w:t>
      </w:r>
      <w:r>
        <w:rPr>
          <w:color w:val="231F20"/>
        </w:rPr>
        <w:t>will</w:t>
      </w:r>
      <w:r>
        <w:rPr>
          <w:color w:val="231F20"/>
          <w:spacing w:val="30"/>
        </w:rPr>
        <w:t xml:space="preserve"> </w:t>
      </w:r>
      <w:r>
        <w:rPr>
          <w:color w:val="231F20"/>
        </w:rPr>
        <w:t>bear</w:t>
      </w:r>
      <w:r>
        <w:rPr>
          <w:color w:val="231F20"/>
          <w:spacing w:val="30"/>
        </w:rPr>
        <w:t xml:space="preserve"> </w:t>
      </w:r>
      <w:r>
        <w:rPr>
          <w:color w:val="231F20"/>
        </w:rPr>
        <w:t>upon</w:t>
      </w:r>
      <w:r>
        <w:rPr>
          <w:color w:val="231F20"/>
          <w:spacing w:val="30"/>
        </w:rPr>
        <w:t xml:space="preserve"> </w:t>
      </w:r>
      <w:r>
        <w:rPr>
          <w:color w:val="231F20"/>
        </w:rPr>
        <w:t>most</w:t>
      </w:r>
      <w:r>
        <w:rPr>
          <w:color w:val="231F20"/>
          <w:spacing w:val="30"/>
        </w:rPr>
        <w:t xml:space="preserve"> </w:t>
      </w:r>
      <w:r>
        <w:rPr>
          <w:color w:val="231F20"/>
        </w:rPr>
        <w:t xml:space="preserve">aspects of the visitor experience (Chapter 8). For instance, the further sport tourists travel, the more likely it is that they will spend some time at the destination engaging in other types of touristic activities (Nogawa </w:t>
      </w:r>
      <w:r>
        <w:rPr>
          <w:i/>
          <w:color w:val="231F20"/>
        </w:rPr>
        <w:t>et al.</w:t>
      </w:r>
      <w:r>
        <w:rPr>
          <w:color w:val="231F20"/>
        </w:rPr>
        <w:t>, 1996). It is also n</w:t>
      </w:r>
      <w:r>
        <w:rPr>
          <w:color w:val="231F20"/>
        </w:rPr>
        <w:t>oteworthy that the area that a sports team represents may in fact require ‘home’ supporters to travel considerable distances</w:t>
      </w:r>
      <w:r>
        <w:rPr>
          <w:color w:val="231F20"/>
          <w:spacing w:val="40"/>
        </w:rPr>
        <w:t xml:space="preserve"> </w:t>
      </w:r>
      <w:r>
        <w:rPr>
          <w:color w:val="231F20"/>
        </w:rPr>
        <w:t>to support their team. A national team performing in international competition at home may attract domestic supporters from through</w:t>
      </w:r>
      <w:r>
        <w:rPr>
          <w:color w:val="231F20"/>
        </w:rPr>
        <w:t xml:space="preserve">out the country that it represents, who travel long distances to attend as </w:t>
      </w:r>
      <w:r>
        <w:rPr>
          <w:color w:val="231F20"/>
          <w:w w:val="95"/>
        </w:rPr>
        <w:t xml:space="preserve">domestic tourists. Indeed, expatriates may also return to their country of </w:t>
      </w:r>
      <w:r>
        <w:rPr>
          <w:color w:val="231F20"/>
        </w:rPr>
        <w:t xml:space="preserve">origin to support or compete on sports teams (Higham &amp; Hinch, 2006). Thus, the spatial area that a sports </w:t>
      </w:r>
      <w:r>
        <w:rPr>
          <w:color w:val="231F20"/>
        </w:rPr>
        <w:t>team or club represents may vary considerably from the spatial extent of the team’s support catchment.</w:t>
      </w:r>
      <w:r>
        <w:rPr>
          <w:color w:val="231F20"/>
          <w:spacing w:val="40"/>
        </w:rPr>
        <w:t xml:space="preserve"> </w:t>
      </w:r>
      <w:r>
        <w:rPr>
          <w:color w:val="231F20"/>
        </w:rPr>
        <w:t>So,</w:t>
      </w:r>
      <w:r>
        <w:rPr>
          <w:color w:val="231F20"/>
          <w:spacing w:val="23"/>
        </w:rPr>
        <w:t xml:space="preserve"> </w:t>
      </w:r>
      <w:r>
        <w:rPr>
          <w:color w:val="231F20"/>
        </w:rPr>
        <w:t>for</w:t>
      </w:r>
      <w:r>
        <w:rPr>
          <w:color w:val="231F20"/>
          <w:spacing w:val="23"/>
        </w:rPr>
        <w:t xml:space="preserve"> </w:t>
      </w:r>
      <w:r>
        <w:rPr>
          <w:color w:val="231F20"/>
        </w:rPr>
        <w:t>example,</w:t>
      </w:r>
      <w:r>
        <w:rPr>
          <w:color w:val="231F20"/>
          <w:spacing w:val="23"/>
        </w:rPr>
        <w:t xml:space="preserve"> </w:t>
      </w:r>
      <w:r>
        <w:rPr>
          <w:color w:val="231F20"/>
        </w:rPr>
        <w:t>Manchester</w:t>
      </w:r>
      <w:r>
        <w:rPr>
          <w:color w:val="231F20"/>
          <w:spacing w:val="23"/>
        </w:rPr>
        <w:t xml:space="preserve"> </w:t>
      </w:r>
      <w:r>
        <w:rPr>
          <w:color w:val="231F20"/>
        </w:rPr>
        <w:t>United</w:t>
      </w:r>
      <w:r>
        <w:rPr>
          <w:color w:val="231F20"/>
          <w:spacing w:val="23"/>
        </w:rPr>
        <w:t xml:space="preserve"> </w:t>
      </w:r>
      <w:r>
        <w:rPr>
          <w:color w:val="231F20"/>
        </w:rPr>
        <w:t>FC</w:t>
      </w:r>
      <w:r>
        <w:rPr>
          <w:color w:val="231F20"/>
          <w:spacing w:val="23"/>
        </w:rPr>
        <w:t xml:space="preserve"> </w:t>
      </w:r>
      <w:r>
        <w:rPr>
          <w:color w:val="231F20"/>
        </w:rPr>
        <w:t>represents</w:t>
      </w:r>
      <w:r>
        <w:rPr>
          <w:color w:val="231F20"/>
          <w:spacing w:val="23"/>
        </w:rPr>
        <w:t xml:space="preserve"> </w:t>
      </w:r>
      <w:r>
        <w:rPr>
          <w:color w:val="231F20"/>
        </w:rPr>
        <w:t>one</w:t>
      </w:r>
      <w:r>
        <w:rPr>
          <w:color w:val="231F20"/>
          <w:spacing w:val="23"/>
        </w:rPr>
        <w:t xml:space="preserve"> </w:t>
      </w:r>
      <w:r>
        <w:rPr>
          <w:color w:val="231F20"/>
        </w:rPr>
        <w:t>part</w:t>
      </w:r>
      <w:r>
        <w:rPr>
          <w:color w:val="231F20"/>
          <w:spacing w:val="23"/>
        </w:rPr>
        <w:t xml:space="preserve"> </w:t>
      </w:r>
      <w:r>
        <w:rPr>
          <w:color w:val="231F20"/>
        </w:rPr>
        <w:t>of</w:t>
      </w:r>
      <w:r>
        <w:rPr>
          <w:color w:val="231F20"/>
          <w:spacing w:val="23"/>
        </w:rPr>
        <w:t xml:space="preserve"> </w:t>
      </w:r>
      <w:r>
        <w:rPr>
          <w:color w:val="231F20"/>
        </w:rPr>
        <w:t>the</w:t>
      </w:r>
      <w:r>
        <w:rPr>
          <w:color w:val="231F20"/>
          <w:spacing w:val="23"/>
        </w:rPr>
        <w:t xml:space="preserve"> </w:t>
      </w:r>
      <w:r>
        <w:rPr>
          <w:color w:val="231F20"/>
        </w:rPr>
        <w:t>city of Manchester, quite separate from local rivals Manchester City FC;</w:t>
      </w:r>
      <w:r>
        <w:rPr>
          <w:color w:val="231F20"/>
          <w:spacing w:val="80"/>
          <w:w w:val="150"/>
        </w:rPr>
        <w:t xml:space="preserve"> </w:t>
      </w:r>
      <w:r>
        <w:rPr>
          <w:color w:val="231F20"/>
        </w:rPr>
        <w:t xml:space="preserve">both are highly successful Premier League football clubs with loyal and global supporter bases. This raises the prospect of spectators travelling </w:t>
      </w:r>
      <w:r>
        <w:rPr>
          <w:color w:val="231F20"/>
          <w:w w:val="95"/>
        </w:rPr>
        <w:t xml:space="preserve">as domestic or international tourists without feeling that they are leaving </w:t>
      </w:r>
      <w:r>
        <w:rPr>
          <w:color w:val="231F20"/>
        </w:rPr>
        <w:t>‘home’, or indeed feeling that the</w:t>
      </w:r>
      <w:r>
        <w:rPr>
          <w:color w:val="231F20"/>
        </w:rPr>
        <w:t>y are going ‘home’, which may have interesting implications for the visitor experience.</w:t>
      </w:r>
    </w:p>
    <w:p w14:paraId="0BF3D987" w14:textId="77777777" w:rsidR="00AE0598" w:rsidRDefault="0069255A">
      <w:pPr>
        <w:pStyle w:val="Corpodetexto"/>
        <w:spacing w:before="27" w:line="232" w:lineRule="auto"/>
        <w:ind w:left="110" w:right="124" w:firstLine="320"/>
        <w:jc w:val="both"/>
      </w:pPr>
      <w:r>
        <w:rPr>
          <w:color w:val="231F20"/>
        </w:rPr>
        <w:t xml:space="preserve">Visitor expenditure patterns associated with the sport tourist experience are of particular interest to sport, tourism and service </w:t>
      </w:r>
      <w:r>
        <w:rPr>
          <w:color w:val="231F20"/>
          <w:w w:val="95"/>
        </w:rPr>
        <w:t>industries. Insights exist into ‘both</w:t>
      </w:r>
      <w:r>
        <w:rPr>
          <w:color w:val="231F20"/>
          <w:w w:val="95"/>
        </w:rPr>
        <w:t xml:space="preserve"> the costs and benefits to a community</w:t>
      </w:r>
      <w:r>
        <w:rPr>
          <w:color w:val="231F20"/>
          <w:spacing w:val="80"/>
          <w:w w:val="150"/>
        </w:rPr>
        <w:t xml:space="preserve"> </w:t>
      </w:r>
      <w:r>
        <w:rPr>
          <w:color w:val="231F20"/>
        </w:rPr>
        <w:t>of attracting a professional sports outfit and the economic impact of an existing sports franchise on the city in which it is located’ (Bale, 1993: 77). The expenditures that may be associated with the location of a s</w:t>
      </w:r>
      <w:r>
        <w:rPr>
          <w:color w:val="231F20"/>
        </w:rPr>
        <w:t>ports</w:t>
      </w:r>
      <w:r>
        <w:rPr>
          <w:color w:val="231F20"/>
          <w:spacing w:val="-3"/>
        </w:rPr>
        <w:t xml:space="preserve"> </w:t>
      </w:r>
      <w:r>
        <w:rPr>
          <w:color w:val="231F20"/>
        </w:rPr>
        <w:t>club</w:t>
      </w:r>
      <w:r>
        <w:rPr>
          <w:color w:val="231F20"/>
          <w:spacing w:val="-3"/>
        </w:rPr>
        <w:t xml:space="preserve"> </w:t>
      </w:r>
      <w:r>
        <w:rPr>
          <w:color w:val="231F20"/>
        </w:rPr>
        <w:t>or</w:t>
      </w:r>
      <w:r>
        <w:rPr>
          <w:color w:val="231F20"/>
          <w:spacing w:val="-3"/>
        </w:rPr>
        <w:t xml:space="preserve"> </w:t>
      </w:r>
      <w:r>
        <w:rPr>
          <w:color w:val="231F20"/>
        </w:rPr>
        <w:t>franchise</w:t>
      </w:r>
      <w:r>
        <w:rPr>
          <w:color w:val="231F20"/>
          <w:spacing w:val="-3"/>
        </w:rPr>
        <w:t xml:space="preserve"> </w:t>
      </w:r>
      <w:r>
        <w:rPr>
          <w:color w:val="231F20"/>
        </w:rPr>
        <w:t>in</w:t>
      </w:r>
      <w:r>
        <w:rPr>
          <w:color w:val="231F20"/>
          <w:spacing w:val="-3"/>
        </w:rPr>
        <w:t xml:space="preserve"> </w:t>
      </w:r>
      <w:r>
        <w:rPr>
          <w:color w:val="231F20"/>
        </w:rPr>
        <w:t>an</w:t>
      </w:r>
      <w:r>
        <w:rPr>
          <w:color w:val="231F20"/>
          <w:spacing w:val="-3"/>
        </w:rPr>
        <w:t xml:space="preserve"> </w:t>
      </w:r>
      <w:r>
        <w:rPr>
          <w:color w:val="231F20"/>
        </w:rPr>
        <w:t>urban</w:t>
      </w:r>
      <w:r>
        <w:rPr>
          <w:color w:val="231F20"/>
          <w:spacing w:val="-3"/>
        </w:rPr>
        <w:t xml:space="preserve"> </w:t>
      </w:r>
      <w:r>
        <w:rPr>
          <w:color w:val="231F20"/>
        </w:rPr>
        <w:t>area</w:t>
      </w:r>
      <w:r>
        <w:rPr>
          <w:color w:val="231F20"/>
          <w:spacing w:val="-3"/>
        </w:rPr>
        <w:t xml:space="preserve"> </w:t>
      </w:r>
      <w:r>
        <w:rPr>
          <w:color w:val="231F20"/>
        </w:rPr>
        <w:t>may</w:t>
      </w:r>
      <w:r>
        <w:rPr>
          <w:color w:val="231F20"/>
          <w:spacing w:val="-3"/>
        </w:rPr>
        <w:t xml:space="preserve"> </w:t>
      </w:r>
      <w:r>
        <w:rPr>
          <w:color w:val="231F20"/>
        </w:rPr>
        <w:t>include</w:t>
      </w:r>
      <w:r>
        <w:rPr>
          <w:color w:val="231F20"/>
          <w:spacing w:val="-3"/>
        </w:rPr>
        <w:t xml:space="preserve"> </w:t>
      </w:r>
      <w:r>
        <w:rPr>
          <w:color w:val="231F20"/>
        </w:rPr>
        <w:t>club</w:t>
      </w:r>
      <w:r>
        <w:rPr>
          <w:color w:val="231F20"/>
          <w:spacing w:val="-3"/>
        </w:rPr>
        <w:t xml:space="preserve"> </w:t>
      </w:r>
      <w:r>
        <w:rPr>
          <w:color w:val="231F20"/>
        </w:rPr>
        <w:t xml:space="preserve">expenditures, or those associated with the production of the sport, and expenditures </w:t>
      </w:r>
      <w:r>
        <w:rPr>
          <w:color w:val="231F20"/>
          <w:w w:val="95"/>
        </w:rPr>
        <w:t xml:space="preserve">generated by local and non-local spectators. Such expenditures will vary </w:t>
      </w:r>
      <w:r>
        <w:rPr>
          <w:color w:val="231F20"/>
        </w:rPr>
        <w:t xml:space="preserve">with the size of the urban area and the </w:t>
      </w:r>
      <w:r>
        <w:rPr>
          <w:color w:val="231F20"/>
        </w:rPr>
        <w:t>definition of its geographical parameters. Bale (1993: 81) points out, in direct reference to English football, that ‘as distance from the football club increases, the positive spill</w:t>
      </w:r>
      <w:r>
        <w:rPr>
          <w:color w:val="231F20"/>
          <w:spacing w:val="21"/>
        </w:rPr>
        <w:t xml:space="preserve"> </w:t>
      </w:r>
      <w:r>
        <w:rPr>
          <w:color w:val="231F20"/>
        </w:rPr>
        <w:t>over</w:t>
      </w:r>
      <w:r>
        <w:rPr>
          <w:color w:val="231F20"/>
          <w:spacing w:val="21"/>
        </w:rPr>
        <w:t xml:space="preserve"> </w:t>
      </w:r>
      <w:r>
        <w:rPr>
          <w:color w:val="231F20"/>
        </w:rPr>
        <w:t>effect</w:t>
      </w:r>
      <w:r>
        <w:rPr>
          <w:color w:val="231F20"/>
          <w:spacing w:val="21"/>
        </w:rPr>
        <w:t xml:space="preserve"> </w:t>
      </w:r>
      <w:r>
        <w:rPr>
          <w:color w:val="231F20"/>
        </w:rPr>
        <w:t>on</w:t>
      </w:r>
      <w:r>
        <w:rPr>
          <w:color w:val="231F20"/>
          <w:spacing w:val="21"/>
        </w:rPr>
        <w:t xml:space="preserve"> </w:t>
      </w:r>
      <w:r>
        <w:rPr>
          <w:color w:val="231F20"/>
        </w:rPr>
        <w:t>retailers</w:t>
      </w:r>
      <w:r>
        <w:rPr>
          <w:color w:val="231F20"/>
          <w:spacing w:val="21"/>
        </w:rPr>
        <w:t xml:space="preserve"> </w:t>
      </w:r>
      <w:r>
        <w:rPr>
          <w:color w:val="231F20"/>
        </w:rPr>
        <w:t>is</w:t>
      </w:r>
      <w:r>
        <w:rPr>
          <w:color w:val="231F20"/>
          <w:spacing w:val="21"/>
        </w:rPr>
        <w:t xml:space="preserve"> </w:t>
      </w:r>
      <w:r>
        <w:rPr>
          <w:color w:val="231F20"/>
        </w:rPr>
        <w:t>likely</w:t>
      </w:r>
      <w:r>
        <w:rPr>
          <w:color w:val="231F20"/>
          <w:spacing w:val="21"/>
        </w:rPr>
        <w:t xml:space="preserve"> </w:t>
      </w:r>
      <w:r>
        <w:rPr>
          <w:color w:val="231F20"/>
        </w:rPr>
        <w:t>to</w:t>
      </w:r>
      <w:r>
        <w:rPr>
          <w:color w:val="231F20"/>
          <w:spacing w:val="21"/>
        </w:rPr>
        <w:t xml:space="preserve"> </w:t>
      </w:r>
      <w:r>
        <w:rPr>
          <w:color w:val="231F20"/>
        </w:rPr>
        <w:t>decline</w:t>
      </w:r>
      <w:r>
        <w:rPr>
          <w:color w:val="231F20"/>
          <w:spacing w:val="21"/>
        </w:rPr>
        <w:t xml:space="preserve"> </w:t>
      </w:r>
      <w:r>
        <w:rPr>
          <w:color w:val="231F20"/>
        </w:rPr>
        <w:t>until</w:t>
      </w:r>
      <w:r>
        <w:rPr>
          <w:color w:val="231F20"/>
          <w:spacing w:val="21"/>
        </w:rPr>
        <w:t xml:space="preserve"> </w:t>
      </w:r>
      <w:r>
        <w:rPr>
          <w:color w:val="231F20"/>
        </w:rPr>
        <w:t>a</w:t>
      </w:r>
      <w:r>
        <w:rPr>
          <w:color w:val="231F20"/>
          <w:spacing w:val="21"/>
        </w:rPr>
        <w:t xml:space="preserve"> </w:t>
      </w:r>
      <w:r>
        <w:rPr>
          <w:color w:val="231F20"/>
        </w:rPr>
        <w:t>particular</w:t>
      </w:r>
      <w:r>
        <w:rPr>
          <w:color w:val="231F20"/>
          <w:spacing w:val="21"/>
        </w:rPr>
        <w:t xml:space="preserve"> </w:t>
      </w:r>
      <w:r>
        <w:rPr>
          <w:color w:val="231F20"/>
        </w:rPr>
        <w:t>point is</w:t>
      </w:r>
      <w:r>
        <w:rPr>
          <w:color w:val="231F20"/>
          <w:spacing w:val="32"/>
        </w:rPr>
        <w:t xml:space="preserve"> </w:t>
      </w:r>
      <w:r>
        <w:rPr>
          <w:color w:val="231F20"/>
        </w:rPr>
        <w:t>reached</w:t>
      </w:r>
      <w:r>
        <w:rPr>
          <w:color w:val="231F20"/>
          <w:spacing w:val="32"/>
        </w:rPr>
        <w:t xml:space="preserve"> </w:t>
      </w:r>
      <w:r>
        <w:rPr>
          <w:color w:val="231F20"/>
        </w:rPr>
        <w:t>at</w:t>
      </w:r>
      <w:r>
        <w:rPr>
          <w:color w:val="231F20"/>
          <w:spacing w:val="32"/>
        </w:rPr>
        <w:t xml:space="preserve"> </w:t>
      </w:r>
      <w:r>
        <w:rPr>
          <w:color w:val="231F20"/>
        </w:rPr>
        <w:t>which</w:t>
      </w:r>
      <w:r>
        <w:rPr>
          <w:color w:val="231F20"/>
          <w:spacing w:val="32"/>
        </w:rPr>
        <w:t xml:space="preserve"> </w:t>
      </w:r>
      <w:r>
        <w:rPr>
          <w:color w:val="231F20"/>
        </w:rPr>
        <w:t>the</w:t>
      </w:r>
      <w:r>
        <w:rPr>
          <w:color w:val="231F20"/>
          <w:spacing w:val="32"/>
        </w:rPr>
        <w:t xml:space="preserve"> </w:t>
      </w:r>
      <w:r>
        <w:rPr>
          <w:color w:val="231F20"/>
        </w:rPr>
        <w:t>club</w:t>
      </w:r>
      <w:r>
        <w:rPr>
          <w:color w:val="231F20"/>
          <w:spacing w:val="32"/>
        </w:rPr>
        <w:t xml:space="preserve"> </w:t>
      </w:r>
      <w:r>
        <w:rPr>
          <w:color w:val="231F20"/>
        </w:rPr>
        <w:t>has</w:t>
      </w:r>
      <w:r>
        <w:rPr>
          <w:color w:val="231F20"/>
          <w:spacing w:val="32"/>
        </w:rPr>
        <w:t xml:space="preserve"> </w:t>
      </w:r>
      <w:r>
        <w:rPr>
          <w:color w:val="231F20"/>
        </w:rPr>
        <w:t>no</w:t>
      </w:r>
      <w:r>
        <w:rPr>
          <w:color w:val="231F20"/>
          <w:spacing w:val="32"/>
        </w:rPr>
        <w:t xml:space="preserve"> </w:t>
      </w:r>
      <w:r>
        <w:rPr>
          <w:color w:val="231F20"/>
        </w:rPr>
        <w:t>direct</w:t>
      </w:r>
      <w:r>
        <w:rPr>
          <w:color w:val="231F20"/>
          <w:spacing w:val="32"/>
        </w:rPr>
        <w:t xml:space="preserve"> </w:t>
      </w:r>
      <w:r>
        <w:rPr>
          <w:color w:val="231F20"/>
        </w:rPr>
        <w:t>economic</w:t>
      </w:r>
      <w:r>
        <w:rPr>
          <w:color w:val="231F20"/>
          <w:spacing w:val="32"/>
        </w:rPr>
        <w:t xml:space="preserve"> </w:t>
      </w:r>
      <w:r>
        <w:rPr>
          <w:color w:val="231F20"/>
        </w:rPr>
        <w:t>impact</w:t>
      </w:r>
      <w:r>
        <w:rPr>
          <w:color w:val="231F20"/>
          <w:spacing w:val="32"/>
        </w:rPr>
        <w:t xml:space="preserve"> </w:t>
      </w:r>
      <w:r>
        <w:rPr>
          <w:color w:val="231F20"/>
        </w:rPr>
        <w:t>at</w:t>
      </w:r>
      <w:r>
        <w:rPr>
          <w:color w:val="231F20"/>
          <w:spacing w:val="32"/>
        </w:rPr>
        <w:t xml:space="preserve"> </w:t>
      </w:r>
      <w:r>
        <w:rPr>
          <w:color w:val="231F20"/>
        </w:rPr>
        <w:t>all’</w:t>
      </w:r>
      <w:r>
        <w:rPr>
          <w:i/>
          <w:color w:val="231F20"/>
        </w:rPr>
        <w:t>.</w:t>
      </w:r>
      <w:r>
        <w:rPr>
          <w:i/>
          <w:color w:val="231F20"/>
          <w:spacing w:val="32"/>
        </w:rPr>
        <w:t xml:space="preserve"> </w:t>
      </w:r>
      <w:r>
        <w:rPr>
          <w:color w:val="231F20"/>
        </w:rPr>
        <w:t>It is noteworthy that the spending patterns of different sport spectator catchments</w:t>
      </w:r>
      <w:r>
        <w:rPr>
          <w:color w:val="231F20"/>
          <w:spacing w:val="40"/>
        </w:rPr>
        <w:t xml:space="preserve"> </w:t>
      </w:r>
      <w:r>
        <w:rPr>
          <w:color w:val="231F20"/>
        </w:rPr>
        <w:t>may</w:t>
      </w:r>
      <w:r>
        <w:rPr>
          <w:color w:val="231F20"/>
          <w:spacing w:val="40"/>
        </w:rPr>
        <w:t xml:space="preserve"> </w:t>
      </w:r>
      <w:r>
        <w:rPr>
          <w:color w:val="231F20"/>
        </w:rPr>
        <w:t>be</w:t>
      </w:r>
      <w:r>
        <w:rPr>
          <w:color w:val="231F20"/>
          <w:spacing w:val="40"/>
        </w:rPr>
        <w:t xml:space="preserve"> </w:t>
      </w:r>
      <w:r>
        <w:rPr>
          <w:color w:val="231F20"/>
        </w:rPr>
        <w:t>quite</w:t>
      </w:r>
      <w:r>
        <w:rPr>
          <w:color w:val="231F20"/>
          <w:spacing w:val="40"/>
        </w:rPr>
        <w:t xml:space="preserve"> </w:t>
      </w:r>
      <w:r>
        <w:rPr>
          <w:color w:val="231F20"/>
        </w:rPr>
        <w:t>unique,</w:t>
      </w:r>
      <w:r>
        <w:rPr>
          <w:color w:val="231F20"/>
          <w:spacing w:val="40"/>
        </w:rPr>
        <w:t xml:space="preserve"> </w:t>
      </w:r>
      <w:r>
        <w:rPr>
          <w:color w:val="231F20"/>
        </w:rPr>
        <w:t>with</w:t>
      </w:r>
      <w:r>
        <w:rPr>
          <w:color w:val="231F20"/>
          <w:spacing w:val="40"/>
        </w:rPr>
        <w:t xml:space="preserve"> </w:t>
      </w:r>
      <w:r>
        <w:rPr>
          <w:color w:val="231F20"/>
        </w:rPr>
        <w:t>variation</w:t>
      </w:r>
      <w:r>
        <w:rPr>
          <w:color w:val="231F20"/>
          <w:spacing w:val="40"/>
        </w:rPr>
        <w:t xml:space="preserve"> </w:t>
      </w:r>
      <w:r>
        <w:rPr>
          <w:color w:val="231F20"/>
        </w:rPr>
        <w:t>between</w:t>
      </w:r>
      <w:r>
        <w:rPr>
          <w:color w:val="231F20"/>
          <w:spacing w:val="40"/>
        </w:rPr>
        <w:t xml:space="preserve"> </w:t>
      </w:r>
      <w:r>
        <w:rPr>
          <w:color w:val="231F20"/>
        </w:rPr>
        <w:t>local</w:t>
      </w:r>
      <w:r>
        <w:rPr>
          <w:color w:val="231F20"/>
          <w:spacing w:val="40"/>
        </w:rPr>
        <w:t xml:space="preserve"> </w:t>
      </w:r>
      <w:r>
        <w:rPr>
          <w:color w:val="231F20"/>
        </w:rPr>
        <w:t>and</w:t>
      </w:r>
    </w:p>
    <w:p w14:paraId="24ECCD09" w14:textId="77777777" w:rsidR="00AE0598" w:rsidRDefault="00AE0598">
      <w:pPr>
        <w:spacing w:line="232" w:lineRule="auto"/>
        <w:jc w:val="both"/>
        <w:sectPr w:rsidR="00AE0598">
          <w:pgSz w:w="8850" w:h="13270"/>
          <w:pgMar w:top="720" w:right="1060" w:bottom="280" w:left="1080" w:header="720" w:footer="720" w:gutter="0"/>
          <w:cols w:space="720"/>
        </w:sectPr>
      </w:pPr>
    </w:p>
    <w:p w14:paraId="2B82A691" w14:textId="77777777" w:rsidR="00AE0598" w:rsidRDefault="0069255A">
      <w:pPr>
        <w:spacing w:before="87"/>
        <w:ind w:left="4070"/>
        <w:rPr>
          <w:rFonts w:ascii="Trebuchet MS"/>
          <w:sz w:val="14"/>
        </w:rPr>
      </w:pPr>
      <w:r>
        <w:rPr>
          <w:rFonts w:ascii="Trebuchet MS"/>
          <w:color w:val="231F20"/>
          <w:w w:val="105"/>
          <w:sz w:val="14"/>
        </w:rPr>
        <w:lastRenderedPageBreak/>
        <w:t>Space:</w:t>
      </w:r>
      <w:r>
        <w:rPr>
          <w:rFonts w:ascii="Trebuchet MS"/>
          <w:color w:val="231F20"/>
          <w:spacing w:val="-12"/>
          <w:w w:val="105"/>
          <w:sz w:val="14"/>
        </w:rPr>
        <w:t xml:space="preserve"> </w:t>
      </w:r>
      <w:r>
        <w:rPr>
          <w:rFonts w:ascii="Trebuchet MS"/>
          <w:color w:val="231F20"/>
          <w:w w:val="105"/>
          <w:sz w:val="14"/>
        </w:rPr>
        <w:t>Location</w:t>
      </w:r>
      <w:r>
        <w:rPr>
          <w:rFonts w:ascii="Trebuchet MS"/>
          <w:color w:val="231F20"/>
          <w:spacing w:val="-11"/>
          <w:w w:val="105"/>
          <w:sz w:val="14"/>
        </w:rPr>
        <w:t xml:space="preserve"> </w:t>
      </w:r>
      <w:r>
        <w:rPr>
          <w:rFonts w:ascii="Trebuchet MS"/>
          <w:color w:val="231F20"/>
          <w:w w:val="105"/>
          <w:sz w:val="14"/>
        </w:rPr>
        <w:t>and</w:t>
      </w:r>
      <w:r>
        <w:rPr>
          <w:rFonts w:ascii="Trebuchet MS"/>
          <w:color w:val="231F20"/>
          <w:spacing w:val="-11"/>
          <w:w w:val="105"/>
          <w:sz w:val="14"/>
        </w:rPr>
        <w:t xml:space="preserve"> </w:t>
      </w:r>
      <w:r>
        <w:rPr>
          <w:rFonts w:ascii="Trebuchet MS"/>
          <w:color w:val="231F20"/>
          <w:w w:val="105"/>
          <w:sz w:val="14"/>
        </w:rPr>
        <w:t>Travel</w:t>
      </w:r>
      <w:r>
        <w:rPr>
          <w:rFonts w:ascii="Trebuchet MS"/>
          <w:color w:val="231F20"/>
          <w:spacing w:val="-11"/>
          <w:w w:val="105"/>
          <w:sz w:val="14"/>
        </w:rPr>
        <w:t xml:space="preserve"> </w:t>
      </w:r>
      <w:r>
        <w:rPr>
          <w:rFonts w:ascii="Trebuchet MS"/>
          <w:color w:val="231F20"/>
          <w:w w:val="105"/>
          <w:sz w:val="14"/>
        </w:rPr>
        <w:t>Flows</w:t>
      </w:r>
      <w:r>
        <w:rPr>
          <w:rFonts w:ascii="Trebuchet MS"/>
          <w:color w:val="231F20"/>
          <w:spacing w:val="59"/>
          <w:w w:val="105"/>
          <w:sz w:val="14"/>
        </w:rPr>
        <w:t xml:space="preserve"> </w:t>
      </w:r>
      <w:r>
        <w:rPr>
          <w:rFonts w:ascii="Trebuchet MS"/>
          <w:color w:val="231F20"/>
          <w:spacing w:val="-5"/>
          <w:w w:val="105"/>
          <w:sz w:val="14"/>
        </w:rPr>
        <w:t>101</w:t>
      </w:r>
    </w:p>
    <w:p w14:paraId="4E3CC96A" w14:textId="77777777" w:rsidR="00AE0598" w:rsidRDefault="00AE0598">
      <w:pPr>
        <w:pStyle w:val="Corpodetexto"/>
        <w:rPr>
          <w:rFonts w:ascii="Trebuchet MS"/>
          <w:sz w:val="16"/>
        </w:rPr>
      </w:pPr>
    </w:p>
    <w:p w14:paraId="0D07BEF4" w14:textId="77777777" w:rsidR="00AE0598" w:rsidRDefault="0069255A">
      <w:pPr>
        <w:pStyle w:val="Corpodetexto"/>
        <w:spacing w:before="118" w:line="232" w:lineRule="auto"/>
        <w:ind w:left="110" w:right="124"/>
        <w:jc w:val="both"/>
      </w:pPr>
      <w:r>
        <w:rPr>
          <w:color w:val="231F20"/>
        </w:rPr>
        <w:t>non-local</w:t>
      </w:r>
      <w:r>
        <w:rPr>
          <w:color w:val="231F20"/>
          <w:spacing w:val="40"/>
        </w:rPr>
        <w:t xml:space="preserve"> </w:t>
      </w:r>
      <w:r>
        <w:rPr>
          <w:color w:val="231F20"/>
        </w:rPr>
        <w:t>visitor</w:t>
      </w:r>
      <w:r>
        <w:rPr>
          <w:color w:val="231F20"/>
          <w:spacing w:val="40"/>
        </w:rPr>
        <w:t xml:space="preserve"> </w:t>
      </w:r>
      <w:r>
        <w:rPr>
          <w:color w:val="231F20"/>
        </w:rPr>
        <w:t>expenditure</w:t>
      </w:r>
      <w:r>
        <w:rPr>
          <w:color w:val="231F20"/>
          <w:spacing w:val="40"/>
        </w:rPr>
        <w:t xml:space="preserve"> </w:t>
      </w:r>
      <w:r>
        <w:rPr>
          <w:color w:val="231F20"/>
        </w:rPr>
        <w:t>patterns</w:t>
      </w:r>
      <w:r>
        <w:rPr>
          <w:color w:val="231F20"/>
          <w:spacing w:val="40"/>
        </w:rPr>
        <w:t xml:space="preserve"> </w:t>
      </w:r>
      <w:r>
        <w:rPr>
          <w:color w:val="231F20"/>
        </w:rPr>
        <w:t>particularly</w:t>
      </w:r>
      <w:r>
        <w:rPr>
          <w:color w:val="231F20"/>
          <w:spacing w:val="40"/>
        </w:rPr>
        <w:t xml:space="preserve"> </w:t>
      </w:r>
      <w:r>
        <w:rPr>
          <w:color w:val="231F20"/>
        </w:rPr>
        <w:t>evident</w:t>
      </w:r>
      <w:r>
        <w:rPr>
          <w:color w:val="231F20"/>
          <w:spacing w:val="40"/>
        </w:rPr>
        <w:t xml:space="preserve"> </w:t>
      </w:r>
      <w:r>
        <w:rPr>
          <w:color w:val="231F20"/>
        </w:rPr>
        <w:t>(Gibson</w:t>
      </w:r>
      <w:r>
        <w:rPr>
          <w:color w:val="231F20"/>
          <w:spacing w:val="80"/>
          <w:w w:val="150"/>
        </w:rPr>
        <w:t xml:space="preserve"> </w:t>
      </w:r>
      <w:r>
        <w:rPr>
          <w:i/>
          <w:color w:val="231F20"/>
        </w:rPr>
        <w:t>et al.</w:t>
      </w:r>
      <w:r>
        <w:rPr>
          <w:color w:val="231F20"/>
        </w:rPr>
        <w:t>, 2002). However, relatively little research has been committed to this aspect of</w:t>
      </w:r>
      <w:r>
        <w:rPr>
          <w:color w:val="231F20"/>
          <w:spacing w:val="40"/>
        </w:rPr>
        <w:t xml:space="preserve"> </w:t>
      </w:r>
      <w:r>
        <w:rPr>
          <w:color w:val="231F20"/>
        </w:rPr>
        <w:t>sport tourism (Chapter 8).</w:t>
      </w:r>
    </w:p>
    <w:p w14:paraId="7D354924" w14:textId="77777777" w:rsidR="00AE0598" w:rsidRDefault="00AE0598">
      <w:pPr>
        <w:pStyle w:val="Corpodetexto"/>
        <w:spacing w:before="3"/>
      </w:pPr>
    </w:p>
    <w:p w14:paraId="0043D441" w14:textId="77777777" w:rsidR="00AE0598" w:rsidRDefault="0069255A">
      <w:pPr>
        <w:ind w:left="110"/>
        <w:jc w:val="both"/>
        <w:rPr>
          <w:rFonts w:ascii="Trebuchet MS"/>
          <w:sz w:val="20"/>
        </w:rPr>
      </w:pPr>
      <w:r>
        <w:rPr>
          <w:rFonts w:ascii="Trebuchet MS"/>
          <w:color w:val="231F20"/>
          <w:w w:val="105"/>
          <w:sz w:val="20"/>
        </w:rPr>
        <w:t>Sport</w:t>
      </w:r>
      <w:r>
        <w:rPr>
          <w:rFonts w:ascii="Trebuchet MS"/>
          <w:color w:val="231F20"/>
          <w:spacing w:val="-6"/>
          <w:w w:val="105"/>
          <w:sz w:val="20"/>
        </w:rPr>
        <w:t xml:space="preserve"> </w:t>
      </w:r>
      <w:r>
        <w:rPr>
          <w:rFonts w:ascii="Trebuchet MS"/>
          <w:color w:val="231F20"/>
          <w:w w:val="105"/>
          <w:sz w:val="20"/>
        </w:rPr>
        <w:t>tourism</w:t>
      </w:r>
      <w:r>
        <w:rPr>
          <w:rFonts w:ascii="Trebuchet MS"/>
          <w:color w:val="231F20"/>
          <w:spacing w:val="-6"/>
          <w:w w:val="105"/>
          <w:sz w:val="20"/>
        </w:rPr>
        <w:t xml:space="preserve"> </w:t>
      </w:r>
      <w:r>
        <w:rPr>
          <w:rFonts w:ascii="Trebuchet MS"/>
          <w:color w:val="231F20"/>
          <w:w w:val="105"/>
          <w:sz w:val="20"/>
        </w:rPr>
        <w:t>and</w:t>
      </w:r>
      <w:r>
        <w:rPr>
          <w:rFonts w:ascii="Trebuchet MS"/>
          <w:color w:val="231F20"/>
          <w:spacing w:val="-5"/>
          <w:w w:val="105"/>
          <w:sz w:val="20"/>
        </w:rPr>
        <w:t xml:space="preserve"> </w:t>
      </w:r>
      <w:r>
        <w:rPr>
          <w:rFonts w:ascii="Trebuchet MS"/>
          <w:color w:val="231F20"/>
          <w:w w:val="105"/>
          <w:sz w:val="20"/>
        </w:rPr>
        <w:t>the</w:t>
      </w:r>
      <w:r>
        <w:rPr>
          <w:rFonts w:ascii="Trebuchet MS"/>
          <w:color w:val="231F20"/>
          <w:spacing w:val="-6"/>
          <w:w w:val="105"/>
          <w:sz w:val="20"/>
        </w:rPr>
        <w:t xml:space="preserve"> </w:t>
      </w:r>
      <w:r>
        <w:rPr>
          <w:rFonts w:ascii="Trebuchet MS"/>
          <w:color w:val="231F20"/>
          <w:w w:val="105"/>
          <w:sz w:val="20"/>
        </w:rPr>
        <w:t>status</w:t>
      </w:r>
      <w:r>
        <w:rPr>
          <w:rFonts w:ascii="Trebuchet MS"/>
          <w:color w:val="231F20"/>
          <w:spacing w:val="-5"/>
          <w:w w:val="105"/>
          <w:sz w:val="20"/>
        </w:rPr>
        <w:t xml:space="preserve"> </w:t>
      </w:r>
      <w:r>
        <w:rPr>
          <w:rFonts w:ascii="Trebuchet MS"/>
          <w:color w:val="231F20"/>
          <w:w w:val="105"/>
          <w:sz w:val="20"/>
        </w:rPr>
        <w:t>of</w:t>
      </w:r>
      <w:r>
        <w:rPr>
          <w:rFonts w:ascii="Trebuchet MS"/>
          <w:color w:val="231F20"/>
          <w:spacing w:val="-6"/>
          <w:w w:val="105"/>
          <w:sz w:val="20"/>
        </w:rPr>
        <w:t xml:space="preserve"> </w:t>
      </w:r>
      <w:r>
        <w:rPr>
          <w:rFonts w:ascii="Trebuchet MS"/>
          <w:color w:val="231F20"/>
          <w:w w:val="105"/>
          <w:sz w:val="20"/>
        </w:rPr>
        <w:t>sport</w:t>
      </w:r>
      <w:r>
        <w:rPr>
          <w:rFonts w:ascii="Trebuchet MS"/>
          <w:color w:val="231F20"/>
          <w:spacing w:val="-6"/>
          <w:w w:val="105"/>
          <w:sz w:val="20"/>
        </w:rPr>
        <w:t xml:space="preserve"> </w:t>
      </w:r>
      <w:r>
        <w:rPr>
          <w:rFonts w:ascii="Trebuchet MS"/>
          <w:color w:val="231F20"/>
          <w:spacing w:val="-2"/>
          <w:w w:val="105"/>
          <w:sz w:val="20"/>
        </w:rPr>
        <w:t>centres</w:t>
      </w:r>
    </w:p>
    <w:p w14:paraId="453283ED" w14:textId="77777777" w:rsidR="00AE0598" w:rsidRDefault="0069255A">
      <w:pPr>
        <w:pStyle w:val="Corpodetexto"/>
        <w:spacing w:before="122" w:line="232" w:lineRule="auto"/>
        <w:ind w:left="110" w:right="123" w:firstLine="320"/>
        <w:jc w:val="both"/>
      </w:pPr>
      <w:r>
        <w:rPr>
          <w:color w:val="231F20"/>
        </w:rPr>
        <w:t>At the local scale, urban centres have been at the forefront of a new phase of entertainment consumption, which Belanger (2000) describes as the spectacularisation of space. This process is ‘creating a new urban landscape filled with casinos, megaplex cine</w:t>
      </w:r>
      <w:r>
        <w:rPr>
          <w:color w:val="231F20"/>
        </w:rPr>
        <w:t xml:space="preserve">mas, themed restaurants, </w:t>
      </w:r>
      <w:r>
        <w:rPr>
          <w:color w:val="231F20"/>
          <w:w w:val="95"/>
        </w:rPr>
        <w:t>simulation</w:t>
      </w:r>
      <w:r>
        <w:rPr>
          <w:color w:val="231F20"/>
          <w:spacing w:val="34"/>
        </w:rPr>
        <w:t xml:space="preserve"> </w:t>
      </w:r>
      <w:r>
        <w:rPr>
          <w:color w:val="231F20"/>
          <w:w w:val="95"/>
        </w:rPr>
        <w:t>theatres,</w:t>
      </w:r>
      <w:r>
        <w:rPr>
          <w:color w:val="231F20"/>
          <w:spacing w:val="34"/>
        </w:rPr>
        <w:t xml:space="preserve"> </w:t>
      </w:r>
      <w:r>
        <w:rPr>
          <w:color w:val="231F20"/>
          <w:w w:val="95"/>
        </w:rPr>
        <w:t>stadia</w:t>
      </w:r>
      <w:r>
        <w:rPr>
          <w:color w:val="231F20"/>
          <w:spacing w:val="34"/>
        </w:rPr>
        <w:t xml:space="preserve"> </w:t>
      </w:r>
      <w:r>
        <w:rPr>
          <w:color w:val="231F20"/>
          <w:w w:val="95"/>
        </w:rPr>
        <w:t>and</w:t>
      </w:r>
      <w:r>
        <w:rPr>
          <w:color w:val="231F20"/>
          <w:spacing w:val="34"/>
        </w:rPr>
        <w:t xml:space="preserve"> </w:t>
      </w:r>
      <w:r>
        <w:rPr>
          <w:color w:val="231F20"/>
          <w:w w:val="95"/>
        </w:rPr>
        <w:t>sports</w:t>
      </w:r>
      <w:r>
        <w:rPr>
          <w:color w:val="231F20"/>
          <w:spacing w:val="34"/>
        </w:rPr>
        <w:t xml:space="preserve"> </w:t>
      </w:r>
      <w:r>
        <w:rPr>
          <w:color w:val="231F20"/>
          <w:w w:val="95"/>
        </w:rPr>
        <w:t>complexes’</w:t>
      </w:r>
      <w:r>
        <w:rPr>
          <w:color w:val="231F20"/>
          <w:spacing w:val="34"/>
        </w:rPr>
        <w:t xml:space="preserve"> </w:t>
      </w:r>
      <w:r>
        <w:rPr>
          <w:color w:val="231F20"/>
          <w:w w:val="95"/>
        </w:rPr>
        <w:t>(Belanger,</w:t>
      </w:r>
      <w:r>
        <w:rPr>
          <w:color w:val="231F20"/>
          <w:spacing w:val="34"/>
        </w:rPr>
        <w:t xml:space="preserve"> </w:t>
      </w:r>
      <w:r>
        <w:rPr>
          <w:color w:val="231F20"/>
          <w:w w:val="95"/>
        </w:rPr>
        <w:t>2000:</w:t>
      </w:r>
      <w:r>
        <w:rPr>
          <w:color w:val="231F20"/>
          <w:spacing w:val="34"/>
        </w:rPr>
        <w:t xml:space="preserve"> </w:t>
      </w:r>
      <w:r>
        <w:rPr>
          <w:color w:val="231F20"/>
          <w:w w:val="95"/>
        </w:rPr>
        <w:t>378)</w:t>
      </w:r>
      <w:r>
        <w:rPr>
          <w:i/>
          <w:color w:val="231F20"/>
          <w:w w:val="95"/>
        </w:rPr>
        <w:t xml:space="preserve">. </w:t>
      </w:r>
      <w:r>
        <w:rPr>
          <w:color w:val="231F20"/>
        </w:rPr>
        <w:t>In many cases, this new urban landscape exists in nodal entertainment enclaves that may function as ‘sport precincts’ and ‘tourist precincts’ (Leiper, 1990; M</w:t>
      </w:r>
      <w:r>
        <w:rPr>
          <w:color w:val="231F20"/>
        </w:rPr>
        <w:t xml:space="preserve">ason </w:t>
      </w:r>
      <w:r>
        <w:rPr>
          <w:i/>
          <w:color w:val="231F20"/>
        </w:rPr>
        <w:t>et al</w:t>
      </w:r>
      <w:r>
        <w:rPr>
          <w:color w:val="231F20"/>
        </w:rPr>
        <w:t>., 2008). ‘These group-specific combinations</w:t>
      </w:r>
      <w:r>
        <w:rPr>
          <w:color w:val="231F20"/>
          <w:spacing w:val="40"/>
        </w:rPr>
        <w:t xml:space="preserve"> </w:t>
      </w:r>
      <w:r>
        <w:rPr>
          <w:color w:val="231F20"/>
        </w:rPr>
        <w:t>of spatially related attractions and facilities are called “complexes”’ (Dietvorst, 1995: 165). The status of sports centres is enhanced when facility developments are planned in coordination with ente</w:t>
      </w:r>
      <w:r>
        <w:rPr>
          <w:color w:val="231F20"/>
        </w:rPr>
        <w:t xml:space="preserve">rtainment, tourism and service sector interests. Central sports locations that are situated adjacent to city service and entertainment areas have become an important aspect of the planning for sports centres (Chapin, 2004; Gratton </w:t>
      </w:r>
      <w:r>
        <w:rPr>
          <w:i/>
          <w:color w:val="231F20"/>
        </w:rPr>
        <w:t>et al</w:t>
      </w:r>
      <w:r>
        <w:rPr>
          <w:color w:val="231F20"/>
        </w:rPr>
        <w:t>., 2005; Thornley, 2</w:t>
      </w:r>
      <w:r>
        <w:rPr>
          <w:color w:val="231F20"/>
        </w:rPr>
        <w:t>002).</w:t>
      </w:r>
    </w:p>
    <w:p w14:paraId="3DFBEB6C" w14:textId="77777777" w:rsidR="00AE0598" w:rsidRDefault="0069255A">
      <w:pPr>
        <w:pStyle w:val="Corpodetexto"/>
        <w:spacing w:before="18" w:line="232" w:lineRule="auto"/>
        <w:ind w:left="110" w:right="125" w:firstLine="320"/>
        <w:jc w:val="both"/>
      </w:pPr>
      <w:r>
        <w:rPr>
          <w:color w:val="231F20"/>
        </w:rPr>
        <w:t xml:space="preserve">The development of the modern stadium features prominently in </w:t>
      </w:r>
      <w:r>
        <w:rPr>
          <w:color w:val="231F20"/>
          <w:w w:val="95"/>
        </w:rPr>
        <w:t xml:space="preserve">advancing the status of sport centres that function as tourist destinations. </w:t>
      </w:r>
      <w:r>
        <w:rPr>
          <w:color w:val="231F20"/>
        </w:rPr>
        <w:t xml:space="preserve">Stadiums have been developed alongside hotel and convention centre complexes as part of urban regeneration and </w:t>
      </w:r>
      <w:r>
        <w:rPr>
          <w:color w:val="231F20"/>
        </w:rPr>
        <w:t>inner-city tourist-based development programmes, and some North American cities have collaborated</w:t>
      </w:r>
      <w:r>
        <w:rPr>
          <w:color w:val="231F20"/>
          <w:spacing w:val="40"/>
        </w:rPr>
        <w:t xml:space="preserve"> </w:t>
      </w:r>
      <w:r>
        <w:rPr>
          <w:color w:val="231F20"/>
        </w:rPr>
        <w:t>with</w:t>
      </w:r>
      <w:r>
        <w:rPr>
          <w:color w:val="231F20"/>
          <w:spacing w:val="40"/>
        </w:rPr>
        <w:t xml:space="preserve"> </w:t>
      </w:r>
      <w:r>
        <w:rPr>
          <w:color w:val="231F20"/>
        </w:rPr>
        <w:t>sports</w:t>
      </w:r>
      <w:r>
        <w:rPr>
          <w:color w:val="231F20"/>
          <w:spacing w:val="40"/>
        </w:rPr>
        <w:t xml:space="preserve"> </w:t>
      </w:r>
      <w:r>
        <w:rPr>
          <w:color w:val="231F20"/>
        </w:rPr>
        <w:t>franchises</w:t>
      </w:r>
      <w:r>
        <w:rPr>
          <w:color w:val="231F20"/>
          <w:spacing w:val="40"/>
        </w:rPr>
        <w:t xml:space="preserve"> </w:t>
      </w:r>
      <w:r>
        <w:rPr>
          <w:color w:val="231F20"/>
        </w:rPr>
        <w:t>to</w:t>
      </w:r>
      <w:r>
        <w:rPr>
          <w:color w:val="231F20"/>
          <w:spacing w:val="40"/>
        </w:rPr>
        <w:t xml:space="preserve"> </w:t>
      </w:r>
      <w:r>
        <w:rPr>
          <w:color w:val="231F20"/>
        </w:rPr>
        <w:t>maximise</w:t>
      </w:r>
      <w:r>
        <w:rPr>
          <w:color w:val="231F20"/>
          <w:spacing w:val="40"/>
        </w:rPr>
        <w:t xml:space="preserve"> </w:t>
      </w:r>
      <w:r>
        <w:rPr>
          <w:color w:val="231F20"/>
        </w:rPr>
        <w:t>the</w:t>
      </w:r>
      <w:r>
        <w:rPr>
          <w:color w:val="231F20"/>
          <w:spacing w:val="40"/>
        </w:rPr>
        <w:t xml:space="preserve"> </w:t>
      </w:r>
      <w:r>
        <w:rPr>
          <w:color w:val="231F20"/>
        </w:rPr>
        <w:t>heritage</w:t>
      </w:r>
      <w:r>
        <w:rPr>
          <w:color w:val="231F20"/>
          <w:spacing w:val="40"/>
        </w:rPr>
        <w:t xml:space="preserve"> </w:t>
      </w:r>
      <w:r>
        <w:rPr>
          <w:color w:val="231F20"/>
        </w:rPr>
        <w:t>value</w:t>
      </w:r>
      <w:r>
        <w:rPr>
          <w:color w:val="231F20"/>
          <w:spacing w:val="40"/>
        </w:rPr>
        <w:t xml:space="preserve"> </w:t>
      </w:r>
      <w:r>
        <w:rPr>
          <w:color w:val="231F20"/>
        </w:rPr>
        <w:t xml:space="preserve">of tourist experiences by embracing the sporting past in urban sports facilities (Mason </w:t>
      </w:r>
      <w:r>
        <w:rPr>
          <w:i/>
          <w:color w:val="231F20"/>
        </w:rPr>
        <w:t>et al</w:t>
      </w:r>
      <w:r>
        <w:rPr>
          <w:color w:val="231F20"/>
        </w:rPr>
        <w:t xml:space="preserve">., 2005). These projects have stimulated the </w:t>
      </w:r>
      <w:r>
        <w:rPr>
          <w:color w:val="231F20"/>
          <w:w w:val="95"/>
        </w:rPr>
        <w:t>development of the service industry, including travel agents specialising in sport tourism, to accommodate the needs o</w:t>
      </w:r>
      <w:r>
        <w:rPr>
          <w:color w:val="231F20"/>
          <w:w w:val="95"/>
        </w:rPr>
        <w:t xml:space="preserve">f tourists. These developments, </w:t>
      </w:r>
      <w:r>
        <w:rPr>
          <w:color w:val="231F20"/>
        </w:rPr>
        <w:t xml:space="preserve">in combination with ancillary tourism services such as accommodation, </w:t>
      </w:r>
      <w:r>
        <w:rPr>
          <w:color w:val="231F20"/>
          <w:w w:val="95"/>
        </w:rPr>
        <w:t>transport, dining and entertainment, enhance the status of sports centres.</w:t>
      </w:r>
      <w:r>
        <w:rPr>
          <w:color w:val="231F20"/>
          <w:spacing w:val="40"/>
        </w:rPr>
        <w:t xml:space="preserve"> </w:t>
      </w:r>
      <w:r>
        <w:rPr>
          <w:color w:val="231F20"/>
        </w:rPr>
        <w:t xml:space="preserve">In Australia, the Melbourne and Olympic Parks (MOP) precinct is a case </w:t>
      </w:r>
      <w:r>
        <w:rPr>
          <w:color w:val="231F20"/>
          <w:w w:val="95"/>
        </w:rPr>
        <w:t xml:space="preserve">example </w:t>
      </w:r>
      <w:r>
        <w:rPr>
          <w:color w:val="231F20"/>
          <w:w w:val="95"/>
        </w:rPr>
        <w:t xml:space="preserve">of the development of concentrated and world-class urban sports </w:t>
      </w:r>
      <w:r>
        <w:rPr>
          <w:color w:val="231F20"/>
        </w:rPr>
        <w:t>resources in a manner that is closely tied to tourism and service sector development (Hede &amp; Kellet, 2010; Smith, 2010). Beyond immediate sports facilities, the hosting of sport mega-events ca</w:t>
      </w:r>
      <w:r>
        <w:rPr>
          <w:color w:val="231F20"/>
        </w:rPr>
        <w:t xml:space="preserve">n bring significant </w:t>
      </w:r>
      <w:r>
        <w:rPr>
          <w:color w:val="231F20"/>
          <w:w w:val="95"/>
        </w:rPr>
        <w:t>change to destination image (Kaplanidou &amp; Vogt, 2007; Smith, 2005) and urban form. It is critically important that sport and destination managers,</w:t>
      </w:r>
      <w:r>
        <w:rPr>
          <w:color w:val="231F20"/>
          <w:spacing w:val="40"/>
        </w:rPr>
        <w:t xml:space="preserve"> </w:t>
      </w:r>
      <w:r>
        <w:rPr>
          <w:color w:val="231F20"/>
        </w:rPr>
        <w:t>as</w:t>
      </w:r>
      <w:r>
        <w:rPr>
          <w:color w:val="231F20"/>
          <w:spacing w:val="-9"/>
        </w:rPr>
        <w:t xml:space="preserve"> </w:t>
      </w:r>
      <w:r>
        <w:rPr>
          <w:color w:val="231F20"/>
        </w:rPr>
        <w:t>well</w:t>
      </w:r>
      <w:r>
        <w:rPr>
          <w:color w:val="231F20"/>
          <w:spacing w:val="-9"/>
        </w:rPr>
        <w:t xml:space="preserve"> </w:t>
      </w:r>
      <w:r>
        <w:rPr>
          <w:color w:val="231F20"/>
        </w:rPr>
        <w:t>as</w:t>
      </w:r>
      <w:r>
        <w:rPr>
          <w:color w:val="231F20"/>
          <w:spacing w:val="-9"/>
        </w:rPr>
        <w:t xml:space="preserve"> </w:t>
      </w:r>
      <w:r>
        <w:rPr>
          <w:color w:val="231F20"/>
        </w:rPr>
        <w:t>civic</w:t>
      </w:r>
      <w:r>
        <w:rPr>
          <w:color w:val="231F20"/>
          <w:spacing w:val="-9"/>
        </w:rPr>
        <w:t xml:space="preserve"> </w:t>
      </w:r>
      <w:r>
        <w:rPr>
          <w:color w:val="231F20"/>
        </w:rPr>
        <w:t>leaders</w:t>
      </w:r>
      <w:r>
        <w:rPr>
          <w:color w:val="231F20"/>
          <w:spacing w:val="-9"/>
        </w:rPr>
        <w:t xml:space="preserve"> </w:t>
      </w:r>
      <w:r>
        <w:rPr>
          <w:color w:val="231F20"/>
        </w:rPr>
        <w:t>and</w:t>
      </w:r>
      <w:r>
        <w:rPr>
          <w:color w:val="231F20"/>
          <w:spacing w:val="-9"/>
        </w:rPr>
        <w:t xml:space="preserve"> </w:t>
      </w:r>
      <w:r>
        <w:rPr>
          <w:color w:val="231F20"/>
        </w:rPr>
        <w:t>urban</w:t>
      </w:r>
      <w:r>
        <w:rPr>
          <w:color w:val="231F20"/>
          <w:spacing w:val="-9"/>
        </w:rPr>
        <w:t xml:space="preserve"> </w:t>
      </w:r>
      <w:r>
        <w:rPr>
          <w:color w:val="231F20"/>
        </w:rPr>
        <w:t>planners,</w:t>
      </w:r>
      <w:r>
        <w:rPr>
          <w:color w:val="231F20"/>
          <w:spacing w:val="-9"/>
        </w:rPr>
        <w:t xml:space="preserve"> </w:t>
      </w:r>
      <w:r>
        <w:rPr>
          <w:color w:val="231F20"/>
        </w:rPr>
        <w:t>are</w:t>
      </w:r>
      <w:r>
        <w:rPr>
          <w:color w:val="231F20"/>
          <w:spacing w:val="-9"/>
        </w:rPr>
        <w:t xml:space="preserve"> </w:t>
      </w:r>
      <w:r>
        <w:rPr>
          <w:color w:val="231F20"/>
        </w:rPr>
        <w:t>conscious</w:t>
      </w:r>
      <w:r>
        <w:rPr>
          <w:color w:val="231F20"/>
          <w:spacing w:val="-9"/>
        </w:rPr>
        <w:t xml:space="preserve"> </w:t>
      </w:r>
      <w:r>
        <w:rPr>
          <w:color w:val="231F20"/>
        </w:rPr>
        <w:t>of</w:t>
      </w:r>
      <w:r>
        <w:rPr>
          <w:color w:val="231F20"/>
          <w:spacing w:val="-9"/>
        </w:rPr>
        <w:t xml:space="preserve"> </w:t>
      </w:r>
      <w:r>
        <w:rPr>
          <w:color w:val="231F20"/>
        </w:rPr>
        <w:t>the</w:t>
      </w:r>
      <w:r>
        <w:rPr>
          <w:color w:val="231F20"/>
          <w:spacing w:val="-9"/>
        </w:rPr>
        <w:t xml:space="preserve"> </w:t>
      </w:r>
      <w:r>
        <w:rPr>
          <w:color w:val="231F20"/>
        </w:rPr>
        <w:t>potential for sport and</w:t>
      </w:r>
      <w:r>
        <w:rPr>
          <w:color w:val="231F20"/>
        </w:rPr>
        <w:t xml:space="preserve"> event development to drive exclusionary practices in host cities (Case Study 5.1).</w:t>
      </w:r>
    </w:p>
    <w:p w14:paraId="04836BAD" w14:textId="77777777" w:rsidR="00AE0598" w:rsidRDefault="00AE0598">
      <w:pPr>
        <w:spacing w:line="232" w:lineRule="auto"/>
        <w:jc w:val="both"/>
        <w:sectPr w:rsidR="00AE0598">
          <w:pgSz w:w="8850" w:h="13270"/>
          <w:pgMar w:top="720" w:right="1060" w:bottom="280" w:left="1080" w:header="720" w:footer="720" w:gutter="0"/>
          <w:cols w:space="720"/>
        </w:sectPr>
      </w:pPr>
    </w:p>
    <w:p w14:paraId="40C66C5E" w14:textId="5469FA5B" w:rsidR="00AE0598" w:rsidRDefault="0069255A">
      <w:pPr>
        <w:spacing w:before="87"/>
        <w:ind w:left="108"/>
        <w:rPr>
          <w:rFonts w:ascii="Trebuchet MS"/>
          <w:sz w:val="14"/>
        </w:rPr>
      </w:pPr>
      <w:r>
        <w:rPr>
          <w:noProof/>
        </w:rPr>
        <w:lastRenderedPageBreak/>
        <mc:AlternateContent>
          <mc:Choice Requires="wps">
            <w:drawing>
              <wp:anchor distT="0" distB="0" distL="114300" distR="114300" simplePos="0" relativeHeight="483702784" behindDoc="1" locked="0" layoutInCell="1" allowOverlap="1" wp14:anchorId="2A96045F" wp14:editId="67AF8ABA">
                <wp:simplePos x="0" y="0"/>
                <wp:positionH relativeFrom="page">
                  <wp:posOffset>755650</wp:posOffset>
                </wp:positionH>
                <wp:positionV relativeFrom="page">
                  <wp:posOffset>838200</wp:posOffset>
                </wp:positionV>
                <wp:extent cx="4104005" cy="6813550"/>
                <wp:effectExtent l="0" t="0" r="0" b="0"/>
                <wp:wrapNone/>
                <wp:docPr id="217" name="docshape1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04005" cy="6813550"/>
                        </a:xfrm>
                        <a:prstGeom prst="rect">
                          <a:avLst/>
                        </a:prstGeom>
                        <a:solidFill>
                          <a:srgbClr val="DCDDD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47592F" id="docshape154" o:spid="_x0000_s1026" style="position:absolute;margin-left:59.5pt;margin-top:66pt;width:323.15pt;height:536.5pt;z-index:-196136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" fillcolor="#dcddde" stroked="f">
                <w10:wrap anchorx="page" anchory="page"/>
              </v:rect>
            </w:pict>
          </mc:Fallback>
        </mc:AlternateContent>
      </w:r>
      <w:r>
        <w:rPr>
          <w:rFonts w:ascii="Trebuchet MS"/>
          <w:color w:val="231F20"/>
          <w:w w:val="105"/>
          <w:sz w:val="14"/>
        </w:rPr>
        <w:t>102</w:t>
      </w:r>
      <w:r>
        <w:rPr>
          <w:rFonts w:ascii="Trebuchet MS"/>
          <w:color w:val="231F20"/>
          <w:spacing w:val="66"/>
          <w:w w:val="150"/>
          <w:sz w:val="14"/>
        </w:rPr>
        <w:t xml:space="preserve"> </w:t>
      </w:r>
      <w:r>
        <w:rPr>
          <w:rFonts w:ascii="Trebuchet MS"/>
          <w:color w:val="231F20"/>
          <w:w w:val="105"/>
          <w:sz w:val="14"/>
        </w:rPr>
        <w:t>Part</w:t>
      </w:r>
      <w:r>
        <w:rPr>
          <w:rFonts w:ascii="Trebuchet MS"/>
          <w:color w:val="231F20"/>
          <w:spacing w:val="-9"/>
          <w:w w:val="105"/>
          <w:sz w:val="14"/>
        </w:rPr>
        <w:t xml:space="preserve"> </w:t>
      </w:r>
      <w:r>
        <w:rPr>
          <w:rFonts w:ascii="Trebuchet MS"/>
          <w:color w:val="231F20"/>
          <w:w w:val="105"/>
          <w:sz w:val="14"/>
        </w:rPr>
        <w:t>3:</w:t>
      </w:r>
      <w:r>
        <w:rPr>
          <w:rFonts w:ascii="Trebuchet MS"/>
          <w:color w:val="231F20"/>
          <w:spacing w:val="-8"/>
          <w:w w:val="105"/>
          <w:sz w:val="14"/>
        </w:rPr>
        <w:t xml:space="preserve"> </w:t>
      </w:r>
      <w:r>
        <w:rPr>
          <w:rFonts w:ascii="Trebuchet MS"/>
          <w:color w:val="231F20"/>
          <w:w w:val="105"/>
          <w:sz w:val="14"/>
        </w:rPr>
        <w:t>Sport</w:t>
      </w:r>
      <w:r>
        <w:rPr>
          <w:rFonts w:ascii="Trebuchet MS"/>
          <w:color w:val="231F20"/>
          <w:spacing w:val="-9"/>
          <w:w w:val="105"/>
          <w:sz w:val="14"/>
        </w:rPr>
        <w:t xml:space="preserve"> </w:t>
      </w:r>
      <w:r>
        <w:rPr>
          <w:rFonts w:ascii="Trebuchet MS"/>
          <w:color w:val="231F20"/>
          <w:w w:val="105"/>
          <w:sz w:val="14"/>
        </w:rPr>
        <w:t>Tourism</w:t>
      </w:r>
      <w:r>
        <w:rPr>
          <w:rFonts w:ascii="Trebuchet MS"/>
          <w:color w:val="231F20"/>
          <w:spacing w:val="-9"/>
          <w:w w:val="105"/>
          <w:sz w:val="14"/>
        </w:rPr>
        <w:t xml:space="preserve"> </w:t>
      </w:r>
      <w:r>
        <w:rPr>
          <w:rFonts w:ascii="Trebuchet MS"/>
          <w:color w:val="231F20"/>
          <w:w w:val="105"/>
          <w:sz w:val="14"/>
        </w:rPr>
        <w:t>Development</w:t>
      </w:r>
      <w:r>
        <w:rPr>
          <w:rFonts w:ascii="Trebuchet MS"/>
          <w:color w:val="231F20"/>
          <w:spacing w:val="-9"/>
          <w:w w:val="105"/>
          <w:sz w:val="14"/>
        </w:rPr>
        <w:t xml:space="preserve"> </w:t>
      </w:r>
      <w:r>
        <w:rPr>
          <w:rFonts w:ascii="Trebuchet MS"/>
          <w:color w:val="231F20"/>
          <w:w w:val="105"/>
          <w:sz w:val="14"/>
        </w:rPr>
        <w:t>and</w:t>
      </w:r>
      <w:r>
        <w:rPr>
          <w:rFonts w:ascii="Trebuchet MS"/>
          <w:color w:val="231F20"/>
          <w:spacing w:val="-8"/>
          <w:w w:val="105"/>
          <w:sz w:val="14"/>
        </w:rPr>
        <w:t xml:space="preserve"> </w:t>
      </w:r>
      <w:r>
        <w:rPr>
          <w:rFonts w:ascii="Trebuchet MS"/>
          <w:color w:val="231F20"/>
          <w:spacing w:val="-2"/>
          <w:w w:val="105"/>
          <w:sz w:val="14"/>
        </w:rPr>
        <w:t>Space</w:t>
      </w:r>
    </w:p>
    <w:p w14:paraId="1738258C" w14:textId="77777777" w:rsidR="00AE0598" w:rsidRDefault="00AE0598">
      <w:pPr>
        <w:pStyle w:val="Corpodetexto"/>
        <w:spacing w:before="7"/>
        <w:rPr>
          <w:rFonts w:ascii="Trebuchet MS"/>
          <w:sz w:val="27"/>
        </w:rPr>
      </w:pPr>
    </w:p>
    <w:p w14:paraId="600525B4" w14:textId="77777777" w:rsidR="00AE0598" w:rsidRDefault="0069255A">
      <w:pPr>
        <w:spacing w:before="99" w:line="247" w:lineRule="auto"/>
        <w:ind w:left="223" w:right="998"/>
        <w:rPr>
          <w:rFonts w:ascii="Trebuchet MS" w:hAnsi="Trebuchet MS"/>
          <w:sz w:val="20"/>
        </w:rPr>
      </w:pPr>
      <w:r>
        <w:rPr>
          <w:rFonts w:ascii="Trebuchet MS" w:hAnsi="Trebuchet MS"/>
          <w:color w:val="231F20"/>
          <w:w w:val="105"/>
          <w:sz w:val="20"/>
        </w:rPr>
        <w:t>Case</w:t>
      </w:r>
      <w:r>
        <w:rPr>
          <w:rFonts w:ascii="Trebuchet MS" w:hAnsi="Trebuchet MS"/>
          <w:color w:val="231F20"/>
          <w:spacing w:val="-10"/>
          <w:w w:val="105"/>
          <w:sz w:val="20"/>
        </w:rPr>
        <w:t xml:space="preserve"> </w:t>
      </w:r>
      <w:r>
        <w:rPr>
          <w:rFonts w:ascii="Trebuchet MS" w:hAnsi="Trebuchet MS"/>
          <w:color w:val="231F20"/>
          <w:w w:val="105"/>
          <w:sz w:val="20"/>
        </w:rPr>
        <w:t>Study</w:t>
      </w:r>
      <w:r>
        <w:rPr>
          <w:rFonts w:ascii="Trebuchet MS" w:hAnsi="Trebuchet MS"/>
          <w:color w:val="231F20"/>
          <w:spacing w:val="-10"/>
          <w:w w:val="105"/>
          <w:sz w:val="20"/>
        </w:rPr>
        <w:t xml:space="preserve"> </w:t>
      </w:r>
      <w:r>
        <w:rPr>
          <w:rFonts w:ascii="Trebuchet MS" w:hAnsi="Trebuchet MS"/>
          <w:color w:val="231F20"/>
          <w:w w:val="105"/>
          <w:sz w:val="20"/>
        </w:rPr>
        <w:t>5.1:</w:t>
      </w:r>
      <w:r>
        <w:rPr>
          <w:rFonts w:ascii="Trebuchet MS" w:hAnsi="Trebuchet MS"/>
          <w:color w:val="231F20"/>
          <w:spacing w:val="-10"/>
          <w:w w:val="105"/>
          <w:sz w:val="20"/>
        </w:rPr>
        <w:t xml:space="preserve"> </w:t>
      </w:r>
      <w:r>
        <w:rPr>
          <w:rFonts w:ascii="Trebuchet MS" w:hAnsi="Trebuchet MS"/>
          <w:color w:val="231F20"/>
          <w:w w:val="105"/>
          <w:sz w:val="20"/>
        </w:rPr>
        <w:t>Mega</w:t>
      </w:r>
      <w:r>
        <w:rPr>
          <w:rFonts w:ascii="Trebuchet MS" w:hAnsi="Trebuchet MS"/>
          <w:color w:val="231F20"/>
          <w:spacing w:val="-10"/>
          <w:w w:val="105"/>
          <w:sz w:val="20"/>
        </w:rPr>
        <w:t xml:space="preserve"> </w:t>
      </w:r>
      <w:r>
        <w:rPr>
          <w:rFonts w:ascii="Trebuchet MS" w:hAnsi="Trebuchet MS"/>
          <w:color w:val="231F20"/>
          <w:w w:val="105"/>
          <w:sz w:val="20"/>
        </w:rPr>
        <w:t>Sports</w:t>
      </w:r>
      <w:r>
        <w:rPr>
          <w:rFonts w:ascii="Trebuchet MS" w:hAnsi="Trebuchet MS"/>
          <w:color w:val="231F20"/>
          <w:spacing w:val="-10"/>
          <w:w w:val="105"/>
          <w:sz w:val="20"/>
        </w:rPr>
        <w:t xml:space="preserve"> </w:t>
      </w:r>
      <w:r>
        <w:rPr>
          <w:rFonts w:ascii="Trebuchet MS" w:hAnsi="Trebuchet MS"/>
          <w:color w:val="231F20"/>
          <w:w w:val="105"/>
          <w:sz w:val="20"/>
        </w:rPr>
        <w:t>Events</w:t>
      </w:r>
      <w:r>
        <w:rPr>
          <w:rFonts w:ascii="Trebuchet MS" w:hAnsi="Trebuchet MS"/>
          <w:color w:val="231F20"/>
          <w:spacing w:val="-10"/>
          <w:w w:val="105"/>
          <w:sz w:val="20"/>
        </w:rPr>
        <w:t xml:space="preserve"> </w:t>
      </w:r>
      <w:r>
        <w:rPr>
          <w:rFonts w:ascii="Trebuchet MS" w:hAnsi="Trebuchet MS"/>
          <w:color w:val="231F20"/>
          <w:w w:val="105"/>
          <w:sz w:val="20"/>
        </w:rPr>
        <w:t>and</w:t>
      </w:r>
      <w:r>
        <w:rPr>
          <w:rFonts w:ascii="Trebuchet MS" w:hAnsi="Trebuchet MS"/>
          <w:color w:val="231F20"/>
          <w:spacing w:val="-10"/>
          <w:w w:val="105"/>
          <w:sz w:val="20"/>
        </w:rPr>
        <w:t xml:space="preserve"> </w:t>
      </w:r>
      <w:r>
        <w:rPr>
          <w:rFonts w:ascii="Trebuchet MS" w:hAnsi="Trebuchet MS"/>
          <w:color w:val="231F20"/>
          <w:w w:val="105"/>
          <w:sz w:val="20"/>
        </w:rPr>
        <w:t>the</w:t>
      </w:r>
      <w:r>
        <w:rPr>
          <w:rFonts w:ascii="Trebuchet MS" w:hAnsi="Trebuchet MS"/>
          <w:color w:val="231F20"/>
          <w:spacing w:val="-10"/>
          <w:w w:val="105"/>
          <w:sz w:val="20"/>
        </w:rPr>
        <w:t xml:space="preserve"> </w:t>
      </w:r>
      <w:r>
        <w:rPr>
          <w:rFonts w:ascii="Trebuchet MS" w:hAnsi="Trebuchet MS"/>
          <w:color w:val="231F20"/>
          <w:w w:val="105"/>
          <w:sz w:val="20"/>
        </w:rPr>
        <w:t>‘Geographies of Exclusion’</w:t>
      </w:r>
    </w:p>
    <w:p w14:paraId="40844CEC" w14:textId="77777777" w:rsidR="00AE0598" w:rsidRDefault="0069255A">
      <w:pPr>
        <w:pStyle w:val="Corpodetexto"/>
        <w:spacing w:before="116" w:line="232" w:lineRule="auto"/>
        <w:ind w:left="223" w:right="130"/>
      </w:pPr>
      <w:r>
        <w:rPr>
          <w:color w:val="231F20"/>
        </w:rPr>
        <w:t>Arianne</w:t>
      </w:r>
      <w:r>
        <w:rPr>
          <w:color w:val="231F20"/>
          <w:spacing w:val="40"/>
        </w:rPr>
        <w:t xml:space="preserve"> </w:t>
      </w:r>
      <w:r>
        <w:rPr>
          <w:color w:val="231F20"/>
        </w:rPr>
        <w:t>C.</w:t>
      </w:r>
      <w:r>
        <w:rPr>
          <w:color w:val="231F20"/>
          <w:spacing w:val="40"/>
        </w:rPr>
        <w:t xml:space="preserve"> </w:t>
      </w:r>
      <w:r>
        <w:rPr>
          <w:color w:val="231F20"/>
        </w:rPr>
        <w:t>Reis,</w:t>
      </w:r>
      <w:r>
        <w:rPr>
          <w:color w:val="231F20"/>
          <w:spacing w:val="40"/>
        </w:rPr>
        <w:t xml:space="preserve"> </w:t>
      </w:r>
      <w:r>
        <w:rPr>
          <w:color w:val="231F20"/>
        </w:rPr>
        <w:t>School</w:t>
      </w:r>
      <w:r>
        <w:rPr>
          <w:color w:val="231F20"/>
          <w:spacing w:val="40"/>
        </w:rPr>
        <w:t xml:space="preserve"> </w:t>
      </w:r>
      <w:r>
        <w:rPr>
          <w:color w:val="231F20"/>
        </w:rPr>
        <w:t>of</w:t>
      </w:r>
      <w:r>
        <w:rPr>
          <w:color w:val="231F20"/>
          <w:spacing w:val="40"/>
        </w:rPr>
        <w:t xml:space="preserve"> </w:t>
      </w:r>
      <w:r>
        <w:rPr>
          <w:color w:val="231F20"/>
        </w:rPr>
        <w:t>Science</w:t>
      </w:r>
      <w:r>
        <w:rPr>
          <w:color w:val="231F20"/>
          <w:spacing w:val="40"/>
        </w:rPr>
        <w:t xml:space="preserve"> </w:t>
      </w:r>
      <w:r>
        <w:rPr>
          <w:color w:val="231F20"/>
        </w:rPr>
        <w:t>and</w:t>
      </w:r>
      <w:r>
        <w:rPr>
          <w:color w:val="231F20"/>
          <w:spacing w:val="40"/>
        </w:rPr>
        <w:t xml:space="preserve"> </w:t>
      </w:r>
      <w:r>
        <w:rPr>
          <w:color w:val="231F20"/>
        </w:rPr>
        <w:t>Health,</w:t>
      </w:r>
      <w:r>
        <w:rPr>
          <w:color w:val="231F20"/>
          <w:spacing w:val="40"/>
        </w:rPr>
        <w:t xml:space="preserve"> </w:t>
      </w:r>
      <w:r>
        <w:rPr>
          <w:color w:val="231F20"/>
        </w:rPr>
        <w:t>Western</w:t>
      </w:r>
      <w:r>
        <w:rPr>
          <w:color w:val="231F20"/>
          <w:spacing w:val="40"/>
        </w:rPr>
        <w:t xml:space="preserve"> </w:t>
      </w:r>
      <w:r>
        <w:rPr>
          <w:color w:val="231F20"/>
        </w:rPr>
        <w:t>Sydney</w:t>
      </w:r>
      <w:r>
        <w:rPr>
          <w:color w:val="231F20"/>
          <w:spacing w:val="80"/>
          <w:w w:val="150"/>
        </w:rPr>
        <w:t xml:space="preserve"> </w:t>
      </w:r>
      <w:r>
        <w:rPr>
          <w:color w:val="231F20"/>
        </w:rPr>
        <w:t>University, Australia</w:t>
      </w:r>
    </w:p>
    <w:p w14:paraId="2E87CE1B" w14:textId="77777777" w:rsidR="00AE0598" w:rsidRDefault="0069255A">
      <w:pPr>
        <w:pStyle w:val="Corpodetexto"/>
        <w:spacing w:before="122" w:line="232" w:lineRule="auto"/>
        <w:ind w:left="223" w:right="239" w:firstLine="320"/>
        <w:jc w:val="right"/>
      </w:pPr>
      <w:r>
        <w:rPr>
          <w:color w:val="231F20"/>
          <w:spacing w:val="-2"/>
        </w:rPr>
        <w:t xml:space="preserve">Mega sport events such as the Olympic Games have the potential to </w:t>
      </w:r>
      <w:r>
        <w:rPr>
          <w:color w:val="231F20"/>
          <w:spacing w:val="-4"/>
        </w:rPr>
        <w:t>transform</w:t>
      </w:r>
      <w:r>
        <w:rPr>
          <w:color w:val="231F20"/>
          <w:spacing w:val="12"/>
        </w:rPr>
        <w:t xml:space="preserve"> </w:t>
      </w:r>
      <w:r>
        <w:rPr>
          <w:color w:val="231F20"/>
          <w:spacing w:val="-4"/>
        </w:rPr>
        <w:t>cities.</w:t>
      </w:r>
      <w:r>
        <w:rPr>
          <w:color w:val="231F20"/>
          <w:spacing w:val="12"/>
        </w:rPr>
        <w:t xml:space="preserve"> </w:t>
      </w:r>
      <w:r>
        <w:rPr>
          <w:color w:val="231F20"/>
          <w:spacing w:val="-4"/>
        </w:rPr>
        <w:t>This</w:t>
      </w:r>
      <w:r>
        <w:rPr>
          <w:color w:val="231F20"/>
          <w:spacing w:val="12"/>
        </w:rPr>
        <w:t xml:space="preserve"> </w:t>
      </w:r>
      <w:r>
        <w:rPr>
          <w:color w:val="231F20"/>
          <w:spacing w:val="-4"/>
        </w:rPr>
        <w:t>transformation,</w:t>
      </w:r>
      <w:r>
        <w:rPr>
          <w:color w:val="231F20"/>
          <w:spacing w:val="12"/>
        </w:rPr>
        <w:t xml:space="preserve"> </w:t>
      </w:r>
      <w:r>
        <w:rPr>
          <w:color w:val="231F20"/>
          <w:spacing w:val="-4"/>
        </w:rPr>
        <w:t>however,</w:t>
      </w:r>
      <w:r>
        <w:rPr>
          <w:color w:val="231F20"/>
          <w:spacing w:val="12"/>
        </w:rPr>
        <w:t xml:space="preserve"> </w:t>
      </w:r>
      <w:r>
        <w:rPr>
          <w:color w:val="231F20"/>
          <w:spacing w:val="-4"/>
        </w:rPr>
        <w:t>is</w:t>
      </w:r>
      <w:r>
        <w:rPr>
          <w:color w:val="231F20"/>
          <w:spacing w:val="12"/>
        </w:rPr>
        <w:t xml:space="preserve"> </w:t>
      </w:r>
      <w:r>
        <w:rPr>
          <w:color w:val="231F20"/>
          <w:spacing w:val="-4"/>
        </w:rPr>
        <w:t>not</w:t>
      </w:r>
      <w:r>
        <w:rPr>
          <w:color w:val="231F20"/>
          <w:spacing w:val="12"/>
        </w:rPr>
        <w:t xml:space="preserve"> </w:t>
      </w:r>
      <w:r>
        <w:rPr>
          <w:color w:val="231F20"/>
          <w:spacing w:val="-4"/>
        </w:rPr>
        <w:t>always</w:t>
      </w:r>
      <w:r>
        <w:rPr>
          <w:color w:val="231F20"/>
          <w:spacing w:val="12"/>
        </w:rPr>
        <w:t xml:space="preserve"> </w:t>
      </w:r>
      <w:r>
        <w:rPr>
          <w:color w:val="231F20"/>
          <w:spacing w:val="-4"/>
        </w:rPr>
        <w:t>a</w:t>
      </w:r>
      <w:r>
        <w:rPr>
          <w:color w:val="231F20"/>
          <w:spacing w:val="12"/>
        </w:rPr>
        <w:t xml:space="preserve"> </w:t>
      </w:r>
      <w:r>
        <w:rPr>
          <w:color w:val="231F20"/>
          <w:spacing w:val="-4"/>
        </w:rPr>
        <w:t xml:space="preserve">positive </w:t>
      </w:r>
      <w:r>
        <w:rPr>
          <w:color w:val="231F20"/>
          <w:w w:val="95"/>
        </w:rPr>
        <w:t>one,</w:t>
      </w:r>
      <w:r>
        <w:rPr>
          <w:color w:val="231F20"/>
          <w:spacing w:val="-10"/>
          <w:w w:val="95"/>
        </w:rPr>
        <w:t xml:space="preserve"> </w:t>
      </w:r>
      <w:r>
        <w:rPr>
          <w:color w:val="231F20"/>
          <w:w w:val="95"/>
        </w:rPr>
        <w:t>nor</w:t>
      </w:r>
      <w:r>
        <w:rPr>
          <w:color w:val="231F20"/>
          <w:spacing w:val="-9"/>
          <w:w w:val="95"/>
        </w:rPr>
        <w:t xml:space="preserve"> </w:t>
      </w:r>
      <w:r>
        <w:rPr>
          <w:color w:val="231F20"/>
          <w:w w:val="95"/>
        </w:rPr>
        <w:t>is</w:t>
      </w:r>
      <w:r>
        <w:rPr>
          <w:color w:val="231F20"/>
          <w:spacing w:val="-9"/>
          <w:w w:val="95"/>
        </w:rPr>
        <w:t xml:space="preserve"> </w:t>
      </w:r>
      <w:r>
        <w:rPr>
          <w:color w:val="231F20"/>
          <w:w w:val="95"/>
        </w:rPr>
        <w:t>it</w:t>
      </w:r>
      <w:r>
        <w:rPr>
          <w:color w:val="231F20"/>
          <w:spacing w:val="-9"/>
          <w:w w:val="95"/>
        </w:rPr>
        <w:t xml:space="preserve"> </w:t>
      </w:r>
      <w:r>
        <w:rPr>
          <w:color w:val="231F20"/>
          <w:w w:val="95"/>
        </w:rPr>
        <w:t>equally</w:t>
      </w:r>
      <w:r>
        <w:rPr>
          <w:color w:val="231F20"/>
          <w:spacing w:val="-10"/>
          <w:w w:val="95"/>
        </w:rPr>
        <w:t xml:space="preserve"> </w:t>
      </w:r>
      <w:r>
        <w:rPr>
          <w:color w:val="231F20"/>
          <w:w w:val="95"/>
        </w:rPr>
        <w:t>distributed</w:t>
      </w:r>
      <w:r>
        <w:rPr>
          <w:color w:val="231F20"/>
          <w:spacing w:val="-9"/>
          <w:w w:val="95"/>
        </w:rPr>
        <w:t xml:space="preserve"> </w:t>
      </w:r>
      <w:r>
        <w:rPr>
          <w:color w:val="231F20"/>
          <w:w w:val="95"/>
        </w:rPr>
        <w:t>across</w:t>
      </w:r>
      <w:r>
        <w:rPr>
          <w:color w:val="231F20"/>
          <w:spacing w:val="-9"/>
          <w:w w:val="95"/>
        </w:rPr>
        <w:t xml:space="preserve"> </w:t>
      </w:r>
      <w:r>
        <w:rPr>
          <w:color w:val="231F20"/>
          <w:w w:val="95"/>
        </w:rPr>
        <w:t>the</w:t>
      </w:r>
      <w:r>
        <w:rPr>
          <w:color w:val="231F20"/>
          <w:spacing w:val="-9"/>
          <w:w w:val="95"/>
        </w:rPr>
        <w:t xml:space="preserve"> </w:t>
      </w:r>
      <w:r>
        <w:rPr>
          <w:color w:val="231F20"/>
          <w:w w:val="95"/>
        </w:rPr>
        <w:t>host</w:t>
      </w:r>
      <w:r>
        <w:rPr>
          <w:color w:val="231F20"/>
          <w:spacing w:val="-10"/>
          <w:w w:val="95"/>
        </w:rPr>
        <w:t xml:space="preserve"> </w:t>
      </w:r>
      <w:r>
        <w:rPr>
          <w:color w:val="231F20"/>
          <w:w w:val="95"/>
        </w:rPr>
        <w:t>city</w:t>
      </w:r>
      <w:r>
        <w:rPr>
          <w:color w:val="231F20"/>
          <w:spacing w:val="-9"/>
          <w:w w:val="95"/>
        </w:rPr>
        <w:t xml:space="preserve"> </w:t>
      </w:r>
      <w:r>
        <w:rPr>
          <w:color w:val="231F20"/>
          <w:w w:val="95"/>
        </w:rPr>
        <w:t>and</w:t>
      </w:r>
      <w:r>
        <w:rPr>
          <w:color w:val="231F20"/>
          <w:spacing w:val="-9"/>
          <w:w w:val="95"/>
        </w:rPr>
        <w:t xml:space="preserve"> </w:t>
      </w:r>
      <w:r>
        <w:rPr>
          <w:color w:val="231F20"/>
          <w:w w:val="95"/>
        </w:rPr>
        <w:t>all</w:t>
      </w:r>
      <w:r>
        <w:rPr>
          <w:color w:val="231F20"/>
          <w:spacing w:val="-9"/>
          <w:w w:val="95"/>
        </w:rPr>
        <w:t xml:space="preserve"> </w:t>
      </w:r>
      <w:r>
        <w:rPr>
          <w:color w:val="231F20"/>
          <w:w w:val="95"/>
        </w:rPr>
        <w:t>of</w:t>
      </w:r>
      <w:r>
        <w:rPr>
          <w:color w:val="231F20"/>
          <w:spacing w:val="-9"/>
          <w:w w:val="95"/>
        </w:rPr>
        <w:t xml:space="preserve"> </w:t>
      </w:r>
      <w:r>
        <w:rPr>
          <w:color w:val="231F20"/>
          <w:w w:val="95"/>
        </w:rPr>
        <w:t>its</w:t>
      </w:r>
      <w:r>
        <w:rPr>
          <w:color w:val="231F20"/>
          <w:spacing w:val="-9"/>
          <w:w w:val="95"/>
        </w:rPr>
        <w:t xml:space="preserve"> </w:t>
      </w:r>
      <w:r>
        <w:rPr>
          <w:color w:val="231F20"/>
          <w:w w:val="95"/>
        </w:rPr>
        <w:t>residents. Indeed,</w:t>
      </w:r>
      <w:r>
        <w:rPr>
          <w:color w:val="231F20"/>
          <w:spacing w:val="21"/>
        </w:rPr>
        <w:t xml:space="preserve"> </w:t>
      </w:r>
      <w:r>
        <w:rPr>
          <w:color w:val="231F20"/>
          <w:w w:val="95"/>
        </w:rPr>
        <w:t>recent</w:t>
      </w:r>
      <w:r>
        <w:rPr>
          <w:color w:val="231F20"/>
          <w:spacing w:val="21"/>
        </w:rPr>
        <w:t xml:space="preserve"> </w:t>
      </w:r>
      <w:r>
        <w:rPr>
          <w:color w:val="231F20"/>
          <w:w w:val="95"/>
        </w:rPr>
        <w:t>and</w:t>
      </w:r>
      <w:r>
        <w:rPr>
          <w:color w:val="231F20"/>
          <w:spacing w:val="21"/>
        </w:rPr>
        <w:t xml:space="preserve"> </w:t>
      </w:r>
      <w:r>
        <w:rPr>
          <w:color w:val="231F20"/>
          <w:w w:val="95"/>
        </w:rPr>
        <w:t>not</w:t>
      </w:r>
      <w:r>
        <w:rPr>
          <w:color w:val="231F20"/>
          <w:spacing w:val="21"/>
        </w:rPr>
        <w:t xml:space="preserve"> </w:t>
      </w:r>
      <w:r>
        <w:rPr>
          <w:color w:val="231F20"/>
          <w:w w:val="95"/>
        </w:rPr>
        <w:t>so</w:t>
      </w:r>
      <w:r>
        <w:rPr>
          <w:color w:val="231F20"/>
          <w:spacing w:val="21"/>
        </w:rPr>
        <w:t xml:space="preserve"> </w:t>
      </w:r>
      <w:r>
        <w:rPr>
          <w:color w:val="231F20"/>
          <w:w w:val="95"/>
        </w:rPr>
        <w:t>recent</w:t>
      </w:r>
      <w:r>
        <w:rPr>
          <w:color w:val="231F20"/>
          <w:spacing w:val="21"/>
        </w:rPr>
        <w:t xml:space="preserve"> </w:t>
      </w:r>
      <w:r>
        <w:rPr>
          <w:color w:val="231F20"/>
          <w:w w:val="95"/>
        </w:rPr>
        <w:t>experiences</w:t>
      </w:r>
      <w:r>
        <w:rPr>
          <w:color w:val="231F20"/>
          <w:spacing w:val="21"/>
        </w:rPr>
        <w:t xml:space="preserve"> </w:t>
      </w:r>
      <w:r>
        <w:rPr>
          <w:color w:val="231F20"/>
          <w:w w:val="95"/>
        </w:rPr>
        <w:t>have</w:t>
      </w:r>
      <w:r>
        <w:rPr>
          <w:color w:val="231F20"/>
          <w:spacing w:val="21"/>
        </w:rPr>
        <w:t xml:space="preserve"> </w:t>
      </w:r>
      <w:r>
        <w:rPr>
          <w:color w:val="231F20"/>
          <w:w w:val="95"/>
        </w:rPr>
        <w:t>called</w:t>
      </w:r>
      <w:r>
        <w:rPr>
          <w:color w:val="231F20"/>
          <w:spacing w:val="21"/>
        </w:rPr>
        <w:t xml:space="preserve"> </w:t>
      </w:r>
      <w:r>
        <w:rPr>
          <w:color w:val="231F20"/>
          <w:w w:val="95"/>
        </w:rPr>
        <w:t>into</w:t>
      </w:r>
      <w:r>
        <w:rPr>
          <w:color w:val="231F20"/>
          <w:spacing w:val="21"/>
        </w:rPr>
        <w:t xml:space="preserve"> </w:t>
      </w:r>
      <w:r>
        <w:rPr>
          <w:color w:val="231F20"/>
          <w:w w:val="95"/>
        </w:rPr>
        <w:t>question the</w:t>
      </w:r>
      <w:r>
        <w:rPr>
          <w:color w:val="231F20"/>
          <w:spacing w:val="24"/>
        </w:rPr>
        <w:t xml:space="preserve"> </w:t>
      </w:r>
      <w:r>
        <w:rPr>
          <w:color w:val="231F20"/>
          <w:w w:val="95"/>
        </w:rPr>
        <w:t>benefits</w:t>
      </w:r>
      <w:r>
        <w:rPr>
          <w:color w:val="231F20"/>
          <w:spacing w:val="24"/>
        </w:rPr>
        <w:t xml:space="preserve"> </w:t>
      </w:r>
      <w:r>
        <w:rPr>
          <w:color w:val="231F20"/>
          <w:w w:val="95"/>
        </w:rPr>
        <w:t>of</w:t>
      </w:r>
      <w:r>
        <w:rPr>
          <w:color w:val="231F20"/>
          <w:spacing w:val="37"/>
        </w:rPr>
        <w:t xml:space="preserve"> </w:t>
      </w:r>
      <w:r>
        <w:rPr>
          <w:color w:val="231F20"/>
          <w:w w:val="95"/>
        </w:rPr>
        <w:t>event-induced</w:t>
      </w:r>
      <w:r>
        <w:rPr>
          <w:color w:val="231F20"/>
          <w:spacing w:val="24"/>
        </w:rPr>
        <w:t xml:space="preserve"> </w:t>
      </w:r>
      <w:r>
        <w:rPr>
          <w:color w:val="231F20"/>
          <w:w w:val="95"/>
        </w:rPr>
        <w:t>urban</w:t>
      </w:r>
      <w:r>
        <w:rPr>
          <w:color w:val="231F20"/>
          <w:spacing w:val="24"/>
        </w:rPr>
        <w:t xml:space="preserve"> </w:t>
      </w:r>
      <w:r>
        <w:rPr>
          <w:color w:val="231F20"/>
          <w:w w:val="95"/>
        </w:rPr>
        <w:t>transformations.</w:t>
      </w:r>
      <w:r>
        <w:rPr>
          <w:color w:val="231F20"/>
          <w:spacing w:val="24"/>
        </w:rPr>
        <w:t xml:space="preserve"> </w:t>
      </w:r>
      <w:r>
        <w:rPr>
          <w:color w:val="231F20"/>
          <w:w w:val="95"/>
        </w:rPr>
        <w:t>Gustafson</w:t>
      </w:r>
      <w:r>
        <w:rPr>
          <w:color w:val="231F20"/>
          <w:spacing w:val="24"/>
        </w:rPr>
        <w:t xml:space="preserve"> </w:t>
      </w:r>
      <w:r>
        <w:rPr>
          <w:color w:val="231F20"/>
          <w:w w:val="95"/>
        </w:rPr>
        <w:t>(2013: 199),</w:t>
      </w:r>
      <w:r>
        <w:rPr>
          <w:color w:val="231F20"/>
          <w:spacing w:val="22"/>
        </w:rPr>
        <w:t xml:space="preserve"> </w:t>
      </w:r>
      <w:r>
        <w:rPr>
          <w:color w:val="231F20"/>
          <w:w w:val="95"/>
        </w:rPr>
        <w:t>for</w:t>
      </w:r>
      <w:r>
        <w:rPr>
          <w:color w:val="231F20"/>
          <w:spacing w:val="22"/>
        </w:rPr>
        <w:t xml:space="preserve"> </w:t>
      </w:r>
      <w:r>
        <w:rPr>
          <w:color w:val="231F20"/>
          <w:w w:val="95"/>
        </w:rPr>
        <w:t>instance,</w:t>
      </w:r>
      <w:r>
        <w:rPr>
          <w:color w:val="231F20"/>
          <w:spacing w:val="22"/>
        </w:rPr>
        <w:t xml:space="preserve"> </w:t>
      </w:r>
      <w:r>
        <w:rPr>
          <w:color w:val="231F20"/>
          <w:w w:val="95"/>
        </w:rPr>
        <w:t>reminds</w:t>
      </w:r>
      <w:r>
        <w:rPr>
          <w:color w:val="231F20"/>
          <w:spacing w:val="22"/>
        </w:rPr>
        <w:t xml:space="preserve"> </w:t>
      </w:r>
      <w:r>
        <w:rPr>
          <w:color w:val="231F20"/>
          <w:w w:val="95"/>
        </w:rPr>
        <w:t>us</w:t>
      </w:r>
      <w:r>
        <w:rPr>
          <w:color w:val="231F20"/>
          <w:spacing w:val="22"/>
        </w:rPr>
        <w:t xml:space="preserve"> </w:t>
      </w:r>
      <w:r>
        <w:rPr>
          <w:color w:val="231F20"/>
          <w:w w:val="95"/>
        </w:rPr>
        <w:t>of</w:t>
      </w:r>
      <w:r>
        <w:rPr>
          <w:color w:val="231F20"/>
          <w:spacing w:val="36"/>
        </w:rPr>
        <w:t xml:space="preserve"> </w:t>
      </w:r>
      <w:r>
        <w:rPr>
          <w:color w:val="231F20"/>
          <w:w w:val="95"/>
        </w:rPr>
        <w:t>the</w:t>
      </w:r>
      <w:r>
        <w:rPr>
          <w:color w:val="231F20"/>
          <w:spacing w:val="22"/>
        </w:rPr>
        <w:t xml:space="preserve"> </w:t>
      </w:r>
      <w:r>
        <w:rPr>
          <w:color w:val="231F20"/>
          <w:w w:val="95"/>
        </w:rPr>
        <w:t>dramatic</w:t>
      </w:r>
      <w:r>
        <w:rPr>
          <w:color w:val="231F20"/>
          <w:spacing w:val="22"/>
        </w:rPr>
        <w:t xml:space="preserve"> </w:t>
      </w:r>
      <w:r>
        <w:rPr>
          <w:color w:val="231F20"/>
          <w:w w:val="95"/>
        </w:rPr>
        <w:t>infrastructural</w:t>
      </w:r>
      <w:r>
        <w:rPr>
          <w:color w:val="231F20"/>
          <w:spacing w:val="22"/>
        </w:rPr>
        <w:t xml:space="preserve"> </w:t>
      </w:r>
      <w:r>
        <w:rPr>
          <w:color w:val="231F20"/>
          <w:w w:val="95"/>
        </w:rPr>
        <w:t xml:space="preserve">overhaul </w:t>
      </w:r>
      <w:r>
        <w:rPr>
          <w:color w:val="231F20"/>
          <w:spacing w:val="-2"/>
        </w:rPr>
        <w:t xml:space="preserve">carried out in Atlanta in preparation for the 1996 Olympic Games, with </w:t>
      </w:r>
      <w:r>
        <w:rPr>
          <w:color w:val="231F20"/>
        </w:rPr>
        <w:t>the</w:t>
      </w:r>
      <w:r>
        <w:rPr>
          <w:color w:val="231F20"/>
          <w:spacing w:val="9"/>
        </w:rPr>
        <w:t xml:space="preserve"> </w:t>
      </w:r>
      <w:r>
        <w:rPr>
          <w:color w:val="231F20"/>
        </w:rPr>
        <w:t>‘destruction</w:t>
      </w:r>
      <w:r>
        <w:rPr>
          <w:color w:val="231F20"/>
          <w:spacing w:val="9"/>
        </w:rPr>
        <w:t xml:space="preserve"> </w:t>
      </w:r>
      <w:r>
        <w:rPr>
          <w:color w:val="231F20"/>
        </w:rPr>
        <w:t>of</w:t>
      </w:r>
      <w:r>
        <w:rPr>
          <w:color w:val="231F20"/>
          <w:spacing w:val="18"/>
          <w:w w:val="105"/>
        </w:rPr>
        <w:t xml:space="preserve"> </w:t>
      </w:r>
      <w:r>
        <w:rPr>
          <w:color w:val="231F20"/>
          <w:w w:val="105"/>
        </w:rPr>
        <w:t>…</w:t>
      </w:r>
      <w:r>
        <w:rPr>
          <w:color w:val="231F20"/>
          <w:spacing w:val="12"/>
          <w:w w:val="105"/>
        </w:rPr>
        <w:t xml:space="preserve"> </w:t>
      </w:r>
      <w:r>
        <w:rPr>
          <w:color w:val="231F20"/>
        </w:rPr>
        <w:t>large</w:t>
      </w:r>
      <w:r>
        <w:rPr>
          <w:color w:val="231F20"/>
          <w:spacing w:val="9"/>
        </w:rPr>
        <w:t xml:space="preserve"> </w:t>
      </w:r>
      <w:r>
        <w:rPr>
          <w:color w:val="231F20"/>
        </w:rPr>
        <w:t>public</w:t>
      </w:r>
      <w:r>
        <w:rPr>
          <w:color w:val="231F20"/>
          <w:spacing w:val="9"/>
        </w:rPr>
        <w:t xml:space="preserve"> </w:t>
      </w:r>
      <w:r>
        <w:rPr>
          <w:color w:val="231F20"/>
        </w:rPr>
        <w:t>housing</w:t>
      </w:r>
      <w:r>
        <w:rPr>
          <w:color w:val="231F20"/>
          <w:spacing w:val="9"/>
        </w:rPr>
        <w:t xml:space="preserve"> </w:t>
      </w:r>
      <w:r>
        <w:rPr>
          <w:color w:val="231F20"/>
        </w:rPr>
        <w:t>projects</w:t>
      </w:r>
      <w:r>
        <w:rPr>
          <w:color w:val="231F20"/>
          <w:spacing w:val="9"/>
        </w:rPr>
        <w:t xml:space="preserve"> </w:t>
      </w:r>
      <w:r>
        <w:rPr>
          <w:color w:val="231F20"/>
        </w:rPr>
        <w:t>to</w:t>
      </w:r>
      <w:r>
        <w:rPr>
          <w:color w:val="231F20"/>
          <w:spacing w:val="9"/>
        </w:rPr>
        <w:t xml:space="preserve"> </w:t>
      </w:r>
      <w:r>
        <w:rPr>
          <w:color w:val="231F20"/>
        </w:rPr>
        <w:t>make</w:t>
      </w:r>
      <w:r>
        <w:rPr>
          <w:color w:val="231F20"/>
          <w:spacing w:val="9"/>
        </w:rPr>
        <w:t xml:space="preserve"> </w:t>
      </w:r>
      <w:r>
        <w:rPr>
          <w:color w:val="231F20"/>
        </w:rPr>
        <w:t>room</w:t>
      </w:r>
      <w:r>
        <w:rPr>
          <w:color w:val="231F20"/>
          <w:spacing w:val="9"/>
        </w:rPr>
        <w:t xml:space="preserve"> </w:t>
      </w:r>
      <w:r>
        <w:rPr>
          <w:color w:val="231F20"/>
        </w:rPr>
        <w:t xml:space="preserve">for </w:t>
      </w:r>
      <w:r>
        <w:rPr>
          <w:color w:val="231F20"/>
          <w:spacing w:val="-2"/>
        </w:rPr>
        <w:t>Olympic</w:t>
      </w:r>
      <w:r>
        <w:rPr>
          <w:color w:val="231F20"/>
          <w:spacing w:val="21"/>
        </w:rPr>
        <w:t xml:space="preserve"> </w:t>
      </w:r>
      <w:r>
        <w:rPr>
          <w:color w:val="231F20"/>
          <w:spacing w:val="-2"/>
        </w:rPr>
        <w:t>venues,</w:t>
      </w:r>
      <w:r>
        <w:rPr>
          <w:color w:val="231F20"/>
          <w:spacing w:val="21"/>
        </w:rPr>
        <w:t xml:space="preserve"> </w:t>
      </w:r>
      <w:r>
        <w:rPr>
          <w:color w:val="231F20"/>
          <w:spacing w:val="-2"/>
        </w:rPr>
        <w:t>to</w:t>
      </w:r>
      <w:r>
        <w:rPr>
          <w:color w:val="231F20"/>
          <w:spacing w:val="21"/>
        </w:rPr>
        <w:t xml:space="preserve"> </w:t>
      </w:r>
      <w:r>
        <w:rPr>
          <w:i/>
          <w:color w:val="231F20"/>
          <w:spacing w:val="-2"/>
        </w:rPr>
        <w:t>clean</w:t>
      </w:r>
      <w:r>
        <w:rPr>
          <w:i/>
          <w:color w:val="231F20"/>
          <w:spacing w:val="21"/>
        </w:rPr>
        <w:t xml:space="preserve"> </w:t>
      </w:r>
      <w:r>
        <w:rPr>
          <w:i/>
          <w:color w:val="231F20"/>
          <w:spacing w:val="-2"/>
        </w:rPr>
        <w:t>up</w:t>
      </w:r>
      <w:r>
        <w:rPr>
          <w:i/>
          <w:color w:val="231F20"/>
          <w:spacing w:val="21"/>
        </w:rPr>
        <w:t xml:space="preserve"> </w:t>
      </w:r>
      <w:r>
        <w:rPr>
          <w:color w:val="231F20"/>
          <w:spacing w:val="-2"/>
        </w:rPr>
        <w:t>the</w:t>
      </w:r>
      <w:r>
        <w:rPr>
          <w:color w:val="231F20"/>
          <w:spacing w:val="21"/>
        </w:rPr>
        <w:t xml:space="preserve"> </w:t>
      </w:r>
      <w:r>
        <w:rPr>
          <w:color w:val="231F20"/>
          <w:spacing w:val="-2"/>
        </w:rPr>
        <w:t>city’s</w:t>
      </w:r>
      <w:r>
        <w:rPr>
          <w:color w:val="231F20"/>
          <w:spacing w:val="21"/>
        </w:rPr>
        <w:t xml:space="preserve"> </w:t>
      </w:r>
      <w:r>
        <w:rPr>
          <w:color w:val="231F20"/>
          <w:spacing w:val="-2"/>
        </w:rPr>
        <w:t>neighbourhoods</w:t>
      </w:r>
      <w:r>
        <w:rPr>
          <w:color w:val="231F20"/>
          <w:spacing w:val="21"/>
        </w:rPr>
        <w:t xml:space="preserve"> </w:t>
      </w:r>
      <w:r>
        <w:rPr>
          <w:color w:val="231F20"/>
          <w:spacing w:val="-2"/>
        </w:rPr>
        <w:t>around</w:t>
      </w:r>
      <w:r>
        <w:rPr>
          <w:color w:val="231F20"/>
          <w:spacing w:val="21"/>
        </w:rPr>
        <w:t xml:space="preserve"> </w:t>
      </w:r>
      <w:r>
        <w:rPr>
          <w:color w:val="231F20"/>
          <w:spacing w:val="-2"/>
        </w:rPr>
        <w:t>venue sites</w:t>
      </w:r>
      <w:r>
        <w:rPr>
          <w:color w:val="231F20"/>
          <w:spacing w:val="9"/>
        </w:rPr>
        <w:t xml:space="preserve"> </w:t>
      </w:r>
      <w:r>
        <w:rPr>
          <w:color w:val="231F20"/>
          <w:spacing w:val="-2"/>
        </w:rPr>
        <w:t>and</w:t>
      </w:r>
      <w:r>
        <w:rPr>
          <w:color w:val="231F20"/>
          <w:spacing w:val="9"/>
        </w:rPr>
        <w:t xml:space="preserve"> </w:t>
      </w:r>
      <w:r>
        <w:rPr>
          <w:color w:val="231F20"/>
          <w:spacing w:val="-2"/>
        </w:rPr>
        <w:t>to</w:t>
      </w:r>
      <w:r>
        <w:rPr>
          <w:color w:val="231F20"/>
          <w:spacing w:val="9"/>
        </w:rPr>
        <w:t xml:space="preserve"> </w:t>
      </w:r>
      <w:r>
        <w:rPr>
          <w:color w:val="231F20"/>
          <w:spacing w:val="-2"/>
        </w:rPr>
        <w:t>remove</w:t>
      </w:r>
      <w:r>
        <w:rPr>
          <w:color w:val="231F20"/>
          <w:spacing w:val="9"/>
        </w:rPr>
        <w:t xml:space="preserve"> </w:t>
      </w:r>
      <w:r>
        <w:rPr>
          <w:color w:val="231F20"/>
          <w:spacing w:val="-2"/>
        </w:rPr>
        <w:t>the</w:t>
      </w:r>
      <w:r>
        <w:rPr>
          <w:color w:val="231F20"/>
          <w:spacing w:val="10"/>
        </w:rPr>
        <w:t xml:space="preserve"> </w:t>
      </w:r>
      <w:r>
        <w:rPr>
          <w:color w:val="231F20"/>
          <w:spacing w:val="-2"/>
        </w:rPr>
        <w:t>city’s</w:t>
      </w:r>
      <w:r>
        <w:rPr>
          <w:color w:val="231F20"/>
          <w:spacing w:val="9"/>
        </w:rPr>
        <w:t xml:space="preserve"> </w:t>
      </w:r>
      <w:r>
        <w:rPr>
          <w:color w:val="231F20"/>
          <w:spacing w:val="-2"/>
        </w:rPr>
        <w:t>homeless</w:t>
      </w:r>
      <w:r>
        <w:rPr>
          <w:color w:val="231F20"/>
          <w:spacing w:val="9"/>
        </w:rPr>
        <w:t xml:space="preserve"> </w:t>
      </w:r>
      <w:r>
        <w:rPr>
          <w:color w:val="231F20"/>
          <w:spacing w:val="-2"/>
        </w:rPr>
        <w:t>population</w:t>
      </w:r>
      <w:r>
        <w:rPr>
          <w:color w:val="231F20"/>
          <w:spacing w:val="9"/>
        </w:rPr>
        <w:t xml:space="preserve"> </w:t>
      </w:r>
      <w:r>
        <w:rPr>
          <w:color w:val="231F20"/>
          <w:spacing w:val="-2"/>
        </w:rPr>
        <w:t>from</w:t>
      </w:r>
      <w:r>
        <w:rPr>
          <w:color w:val="231F20"/>
          <w:spacing w:val="9"/>
        </w:rPr>
        <w:t xml:space="preserve"> </w:t>
      </w:r>
      <w:r>
        <w:rPr>
          <w:color w:val="231F20"/>
          <w:spacing w:val="-2"/>
        </w:rPr>
        <w:t>the</w:t>
      </w:r>
      <w:r>
        <w:rPr>
          <w:color w:val="231F20"/>
          <w:spacing w:val="10"/>
        </w:rPr>
        <w:t xml:space="preserve"> </w:t>
      </w:r>
      <w:r>
        <w:rPr>
          <w:color w:val="231F20"/>
          <w:spacing w:val="-2"/>
        </w:rPr>
        <w:t xml:space="preserve">emerging </w:t>
      </w:r>
      <w:r>
        <w:rPr>
          <w:color w:val="231F20"/>
          <w:w w:val="95"/>
        </w:rPr>
        <w:t>Olympic</w:t>
      </w:r>
      <w:r>
        <w:rPr>
          <w:color w:val="231F20"/>
          <w:spacing w:val="40"/>
        </w:rPr>
        <w:t xml:space="preserve"> </w:t>
      </w:r>
      <w:r>
        <w:rPr>
          <w:color w:val="231F20"/>
          <w:w w:val="95"/>
        </w:rPr>
        <w:t>landscape’.</w:t>
      </w:r>
      <w:r>
        <w:rPr>
          <w:color w:val="231F20"/>
          <w:spacing w:val="40"/>
        </w:rPr>
        <w:t xml:space="preserve"> </w:t>
      </w:r>
      <w:r>
        <w:rPr>
          <w:color w:val="231F20"/>
          <w:w w:val="95"/>
        </w:rPr>
        <w:t>Gustafson</w:t>
      </w:r>
      <w:r>
        <w:rPr>
          <w:color w:val="231F20"/>
          <w:spacing w:val="40"/>
        </w:rPr>
        <w:t xml:space="preserve"> </w:t>
      </w:r>
      <w:r>
        <w:rPr>
          <w:color w:val="231F20"/>
          <w:w w:val="95"/>
        </w:rPr>
        <w:t>(2013)</w:t>
      </w:r>
      <w:r>
        <w:rPr>
          <w:color w:val="231F20"/>
          <w:spacing w:val="40"/>
        </w:rPr>
        <w:t xml:space="preserve"> </w:t>
      </w:r>
      <w:r>
        <w:rPr>
          <w:color w:val="231F20"/>
          <w:w w:val="95"/>
        </w:rPr>
        <w:t>estimates</w:t>
      </w:r>
      <w:r>
        <w:rPr>
          <w:color w:val="231F20"/>
          <w:spacing w:val="40"/>
        </w:rPr>
        <w:t xml:space="preserve"> </w:t>
      </w:r>
      <w:r>
        <w:rPr>
          <w:color w:val="231F20"/>
          <w:w w:val="95"/>
        </w:rPr>
        <w:t>30,000</w:t>
      </w:r>
      <w:r>
        <w:rPr>
          <w:color w:val="231F20"/>
          <w:spacing w:val="40"/>
        </w:rPr>
        <w:t xml:space="preserve"> </w:t>
      </w:r>
      <w:r>
        <w:rPr>
          <w:color w:val="231F20"/>
          <w:w w:val="95"/>
        </w:rPr>
        <w:t>evictions</w:t>
      </w:r>
      <w:r>
        <w:rPr>
          <w:color w:val="231F20"/>
          <w:spacing w:val="40"/>
        </w:rPr>
        <w:t xml:space="preserve"> </w:t>
      </w:r>
      <w:r>
        <w:rPr>
          <w:color w:val="231F20"/>
          <w:w w:val="95"/>
        </w:rPr>
        <w:t xml:space="preserve">and </w:t>
      </w:r>
      <w:r>
        <w:rPr>
          <w:color w:val="231F20"/>
          <w:spacing w:val="-2"/>
          <w:w w:val="95"/>
        </w:rPr>
        <w:t>displacements</w:t>
      </w:r>
      <w:r>
        <w:rPr>
          <w:color w:val="231F20"/>
          <w:spacing w:val="-3"/>
          <w:w w:val="95"/>
        </w:rPr>
        <w:t xml:space="preserve"> </w:t>
      </w:r>
      <w:r>
        <w:rPr>
          <w:color w:val="231F20"/>
          <w:spacing w:val="-2"/>
          <w:w w:val="95"/>
        </w:rPr>
        <w:t>between</w:t>
      </w:r>
      <w:r>
        <w:rPr>
          <w:color w:val="231F20"/>
          <w:spacing w:val="-3"/>
          <w:w w:val="95"/>
        </w:rPr>
        <w:t xml:space="preserve"> </w:t>
      </w:r>
      <w:r>
        <w:rPr>
          <w:color w:val="231F20"/>
          <w:spacing w:val="-2"/>
          <w:w w:val="95"/>
        </w:rPr>
        <w:t>1990</w:t>
      </w:r>
      <w:r>
        <w:rPr>
          <w:color w:val="231F20"/>
          <w:spacing w:val="-3"/>
          <w:w w:val="95"/>
        </w:rPr>
        <w:t xml:space="preserve"> </w:t>
      </w:r>
      <w:r>
        <w:rPr>
          <w:color w:val="231F20"/>
          <w:spacing w:val="-2"/>
          <w:w w:val="95"/>
        </w:rPr>
        <w:t>when</w:t>
      </w:r>
      <w:r>
        <w:rPr>
          <w:color w:val="231F20"/>
          <w:spacing w:val="-3"/>
          <w:w w:val="95"/>
        </w:rPr>
        <w:t xml:space="preserve"> </w:t>
      </w:r>
      <w:r>
        <w:rPr>
          <w:color w:val="231F20"/>
          <w:spacing w:val="-2"/>
          <w:w w:val="95"/>
        </w:rPr>
        <w:t>the</w:t>
      </w:r>
      <w:r>
        <w:rPr>
          <w:color w:val="231F20"/>
          <w:spacing w:val="-3"/>
          <w:w w:val="95"/>
        </w:rPr>
        <w:t xml:space="preserve"> </w:t>
      </w:r>
      <w:r>
        <w:rPr>
          <w:color w:val="231F20"/>
          <w:spacing w:val="-2"/>
          <w:w w:val="95"/>
        </w:rPr>
        <w:t>Atlanta</w:t>
      </w:r>
      <w:r>
        <w:rPr>
          <w:color w:val="231F20"/>
          <w:spacing w:val="-3"/>
          <w:w w:val="95"/>
        </w:rPr>
        <w:t xml:space="preserve"> </w:t>
      </w:r>
      <w:r>
        <w:rPr>
          <w:color w:val="231F20"/>
          <w:spacing w:val="-2"/>
          <w:w w:val="95"/>
        </w:rPr>
        <w:t>Olympic</w:t>
      </w:r>
      <w:r>
        <w:rPr>
          <w:color w:val="231F20"/>
          <w:spacing w:val="-3"/>
          <w:w w:val="95"/>
        </w:rPr>
        <w:t xml:space="preserve"> </w:t>
      </w:r>
      <w:r>
        <w:rPr>
          <w:color w:val="231F20"/>
          <w:spacing w:val="-2"/>
          <w:w w:val="95"/>
        </w:rPr>
        <w:t>bid</w:t>
      </w:r>
      <w:r>
        <w:rPr>
          <w:color w:val="231F20"/>
          <w:spacing w:val="-3"/>
          <w:w w:val="95"/>
        </w:rPr>
        <w:t xml:space="preserve"> </w:t>
      </w:r>
      <w:r>
        <w:rPr>
          <w:color w:val="231F20"/>
          <w:spacing w:val="-2"/>
          <w:w w:val="95"/>
        </w:rPr>
        <w:t>was</w:t>
      </w:r>
      <w:r>
        <w:rPr>
          <w:color w:val="231F20"/>
          <w:spacing w:val="-3"/>
          <w:w w:val="95"/>
        </w:rPr>
        <w:t xml:space="preserve"> </w:t>
      </w:r>
      <w:r>
        <w:rPr>
          <w:color w:val="231F20"/>
          <w:spacing w:val="-2"/>
          <w:w w:val="95"/>
        </w:rPr>
        <w:t xml:space="preserve">successful </w:t>
      </w:r>
      <w:r>
        <w:rPr>
          <w:color w:val="231F20"/>
          <w:spacing w:val="-2"/>
        </w:rPr>
        <w:t>and the hosting of</w:t>
      </w:r>
      <w:r>
        <w:rPr>
          <w:color w:val="231F20"/>
          <w:spacing w:val="10"/>
        </w:rPr>
        <w:t xml:space="preserve"> </w:t>
      </w:r>
      <w:r>
        <w:rPr>
          <w:color w:val="231F20"/>
          <w:spacing w:val="-2"/>
        </w:rPr>
        <w:t>the event in 1996. In London, young residents of</w:t>
      </w:r>
      <w:r>
        <w:rPr>
          <w:color w:val="231F20"/>
          <w:spacing w:val="10"/>
        </w:rPr>
        <w:t xml:space="preserve"> </w:t>
      </w:r>
      <w:r>
        <w:rPr>
          <w:color w:val="231F20"/>
          <w:spacing w:val="-2"/>
        </w:rPr>
        <w:t xml:space="preserve">the </w:t>
      </w:r>
      <w:r>
        <w:rPr>
          <w:color w:val="231F20"/>
        </w:rPr>
        <w:t>Stratford</w:t>
      </w:r>
      <w:r>
        <w:rPr>
          <w:color w:val="231F20"/>
          <w:spacing w:val="13"/>
        </w:rPr>
        <w:t xml:space="preserve"> </w:t>
      </w:r>
      <w:r>
        <w:rPr>
          <w:color w:val="231F20"/>
        </w:rPr>
        <w:t>area</w:t>
      </w:r>
      <w:r>
        <w:rPr>
          <w:color w:val="231F20"/>
          <w:spacing w:val="13"/>
        </w:rPr>
        <w:t xml:space="preserve"> </w:t>
      </w:r>
      <w:r>
        <w:rPr>
          <w:color w:val="231F20"/>
        </w:rPr>
        <w:t>o</w:t>
      </w:r>
      <w:r>
        <w:rPr>
          <w:color w:val="231F20"/>
        </w:rPr>
        <w:t>f</w:t>
      </w:r>
      <w:r>
        <w:rPr>
          <w:color w:val="231F20"/>
          <w:spacing w:val="24"/>
        </w:rPr>
        <w:t xml:space="preserve"> </w:t>
      </w:r>
      <w:r>
        <w:rPr>
          <w:color w:val="231F20"/>
        </w:rPr>
        <w:t>Newham,</w:t>
      </w:r>
      <w:r>
        <w:rPr>
          <w:color w:val="231F20"/>
          <w:spacing w:val="13"/>
        </w:rPr>
        <w:t xml:space="preserve"> </w:t>
      </w:r>
      <w:r>
        <w:rPr>
          <w:color w:val="231F20"/>
        </w:rPr>
        <w:t>in</w:t>
      </w:r>
      <w:r>
        <w:rPr>
          <w:color w:val="231F20"/>
          <w:spacing w:val="13"/>
        </w:rPr>
        <w:t xml:space="preserve"> </w:t>
      </w:r>
      <w:r>
        <w:rPr>
          <w:color w:val="231F20"/>
        </w:rPr>
        <w:t>the</w:t>
      </w:r>
      <w:r>
        <w:rPr>
          <w:color w:val="231F20"/>
          <w:spacing w:val="13"/>
        </w:rPr>
        <w:t xml:space="preserve"> </w:t>
      </w:r>
      <w:r>
        <w:rPr>
          <w:color w:val="231F20"/>
        </w:rPr>
        <w:t>East</w:t>
      </w:r>
      <w:r>
        <w:rPr>
          <w:color w:val="231F20"/>
          <w:spacing w:val="13"/>
        </w:rPr>
        <w:t xml:space="preserve"> </w:t>
      </w:r>
      <w:r>
        <w:rPr>
          <w:color w:val="231F20"/>
        </w:rPr>
        <w:t>London</w:t>
      </w:r>
      <w:r>
        <w:rPr>
          <w:color w:val="231F20"/>
          <w:spacing w:val="13"/>
        </w:rPr>
        <w:t xml:space="preserve"> </w:t>
      </w:r>
      <w:r>
        <w:rPr>
          <w:color w:val="231F20"/>
        </w:rPr>
        <w:t>region</w:t>
      </w:r>
      <w:r>
        <w:rPr>
          <w:color w:val="231F20"/>
          <w:spacing w:val="13"/>
        </w:rPr>
        <w:t xml:space="preserve"> </w:t>
      </w:r>
      <w:r>
        <w:rPr>
          <w:color w:val="231F20"/>
        </w:rPr>
        <w:t>where</w:t>
      </w:r>
      <w:r>
        <w:rPr>
          <w:color w:val="231F20"/>
          <w:spacing w:val="13"/>
        </w:rPr>
        <w:t xml:space="preserve"> </w:t>
      </w:r>
      <w:r>
        <w:rPr>
          <w:color w:val="231F20"/>
        </w:rPr>
        <w:t>most</w:t>
      </w:r>
      <w:r>
        <w:rPr>
          <w:color w:val="231F20"/>
          <w:spacing w:val="13"/>
        </w:rPr>
        <w:t xml:space="preserve"> </w:t>
      </w:r>
      <w:r>
        <w:rPr>
          <w:color w:val="231F20"/>
        </w:rPr>
        <w:t xml:space="preserve">of </w:t>
      </w:r>
      <w:r>
        <w:rPr>
          <w:color w:val="231F20"/>
          <w:spacing w:val="-2"/>
        </w:rPr>
        <w:t>the</w:t>
      </w:r>
      <w:r>
        <w:rPr>
          <w:color w:val="231F20"/>
          <w:spacing w:val="19"/>
        </w:rPr>
        <w:t xml:space="preserve"> </w:t>
      </w:r>
      <w:r>
        <w:rPr>
          <w:color w:val="231F20"/>
          <w:spacing w:val="-2"/>
        </w:rPr>
        <w:t>Olympic</w:t>
      </w:r>
      <w:r>
        <w:rPr>
          <w:color w:val="231F20"/>
          <w:spacing w:val="19"/>
        </w:rPr>
        <w:t xml:space="preserve"> </w:t>
      </w:r>
      <w:r>
        <w:rPr>
          <w:color w:val="231F20"/>
          <w:spacing w:val="-2"/>
        </w:rPr>
        <w:t>venues</w:t>
      </w:r>
      <w:r>
        <w:rPr>
          <w:color w:val="231F20"/>
          <w:spacing w:val="19"/>
        </w:rPr>
        <w:t xml:space="preserve"> </w:t>
      </w:r>
      <w:r>
        <w:rPr>
          <w:color w:val="231F20"/>
          <w:spacing w:val="-2"/>
        </w:rPr>
        <w:t>were</w:t>
      </w:r>
      <w:r>
        <w:rPr>
          <w:color w:val="231F20"/>
          <w:spacing w:val="19"/>
        </w:rPr>
        <w:t xml:space="preserve"> </w:t>
      </w:r>
      <w:r>
        <w:rPr>
          <w:color w:val="231F20"/>
          <w:spacing w:val="-2"/>
        </w:rPr>
        <w:t>located,</w:t>
      </w:r>
      <w:r>
        <w:rPr>
          <w:color w:val="231F20"/>
          <w:spacing w:val="19"/>
        </w:rPr>
        <w:t xml:space="preserve"> </w:t>
      </w:r>
      <w:r>
        <w:rPr>
          <w:color w:val="231F20"/>
          <w:spacing w:val="-2"/>
        </w:rPr>
        <w:t>reported</w:t>
      </w:r>
      <w:r>
        <w:rPr>
          <w:color w:val="231F20"/>
          <w:spacing w:val="19"/>
        </w:rPr>
        <w:t xml:space="preserve"> </w:t>
      </w:r>
      <w:r>
        <w:rPr>
          <w:color w:val="231F20"/>
          <w:spacing w:val="-2"/>
        </w:rPr>
        <w:t>the</w:t>
      </w:r>
      <w:r>
        <w:rPr>
          <w:color w:val="231F20"/>
          <w:spacing w:val="19"/>
        </w:rPr>
        <w:t xml:space="preserve"> </w:t>
      </w:r>
      <w:r>
        <w:rPr>
          <w:color w:val="231F20"/>
          <w:spacing w:val="-2"/>
        </w:rPr>
        <w:t>gentrification</w:t>
      </w:r>
      <w:r>
        <w:rPr>
          <w:color w:val="231F20"/>
          <w:spacing w:val="19"/>
        </w:rPr>
        <w:t xml:space="preserve"> </w:t>
      </w:r>
      <w:r>
        <w:rPr>
          <w:color w:val="231F20"/>
          <w:spacing w:val="-2"/>
        </w:rPr>
        <w:t>of</w:t>
      </w:r>
      <w:r>
        <w:rPr>
          <w:color w:val="231F20"/>
          <w:spacing w:val="30"/>
        </w:rPr>
        <w:t xml:space="preserve"> </w:t>
      </w:r>
      <w:r>
        <w:rPr>
          <w:color w:val="231F20"/>
          <w:spacing w:val="-2"/>
        </w:rPr>
        <w:t xml:space="preserve">their </w:t>
      </w:r>
      <w:r>
        <w:rPr>
          <w:color w:val="231F20"/>
          <w:w w:val="95"/>
        </w:rPr>
        <w:t>neighbourhood</w:t>
      </w:r>
      <w:r>
        <w:rPr>
          <w:color w:val="231F20"/>
          <w:spacing w:val="-4"/>
          <w:w w:val="95"/>
        </w:rPr>
        <w:t xml:space="preserve"> </w:t>
      </w:r>
      <w:r>
        <w:rPr>
          <w:color w:val="231F20"/>
          <w:w w:val="95"/>
        </w:rPr>
        <w:t>and</w:t>
      </w:r>
      <w:r>
        <w:rPr>
          <w:color w:val="231F20"/>
          <w:spacing w:val="-4"/>
          <w:w w:val="95"/>
        </w:rPr>
        <w:t xml:space="preserve"> </w:t>
      </w:r>
      <w:r>
        <w:rPr>
          <w:color w:val="231F20"/>
          <w:w w:val="95"/>
        </w:rPr>
        <w:t>concern</w:t>
      </w:r>
      <w:r>
        <w:rPr>
          <w:color w:val="231F20"/>
          <w:spacing w:val="-4"/>
          <w:w w:val="95"/>
        </w:rPr>
        <w:t xml:space="preserve"> </w:t>
      </w:r>
      <w:r>
        <w:rPr>
          <w:color w:val="231F20"/>
          <w:w w:val="95"/>
        </w:rPr>
        <w:t>about</w:t>
      </w:r>
      <w:r>
        <w:rPr>
          <w:color w:val="231F20"/>
          <w:spacing w:val="-4"/>
          <w:w w:val="95"/>
        </w:rPr>
        <w:t xml:space="preserve"> </w:t>
      </w:r>
      <w:r>
        <w:rPr>
          <w:color w:val="231F20"/>
          <w:w w:val="95"/>
        </w:rPr>
        <w:t>their</w:t>
      </w:r>
      <w:r>
        <w:rPr>
          <w:color w:val="231F20"/>
          <w:spacing w:val="-4"/>
          <w:w w:val="95"/>
        </w:rPr>
        <w:t xml:space="preserve"> </w:t>
      </w:r>
      <w:r>
        <w:rPr>
          <w:color w:val="231F20"/>
          <w:w w:val="95"/>
        </w:rPr>
        <w:t>ability</w:t>
      </w:r>
      <w:r>
        <w:rPr>
          <w:color w:val="231F20"/>
          <w:spacing w:val="-4"/>
          <w:w w:val="95"/>
        </w:rPr>
        <w:t xml:space="preserve"> </w:t>
      </w:r>
      <w:r>
        <w:rPr>
          <w:color w:val="231F20"/>
          <w:w w:val="95"/>
        </w:rPr>
        <w:t>to</w:t>
      </w:r>
      <w:r>
        <w:rPr>
          <w:color w:val="231F20"/>
          <w:spacing w:val="-4"/>
          <w:w w:val="95"/>
        </w:rPr>
        <w:t xml:space="preserve"> </w:t>
      </w:r>
      <w:r>
        <w:rPr>
          <w:color w:val="231F20"/>
          <w:w w:val="95"/>
        </w:rPr>
        <w:t>remain</w:t>
      </w:r>
      <w:r>
        <w:rPr>
          <w:color w:val="231F20"/>
          <w:spacing w:val="-4"/>
          <w:w w:val="95"/>
        </w:rPr>
        <w:t xml:space="preserve"> </w:t>
      </w:r>
      <w:r>
        <w:rPr>
          <w:color w:val="231F20"/>
          <w:w w:val="95"/>
        </w:rPr>
        <w:t>in</w:t>
      </w:r>
      <w:r>
        <w:rPr>
          <w:color w:val="231F20"/>
          <w:spacing w:val="-4"/>
          <w:w w:val="95"/>
        </w:rPr>
        <w:t xml:space="preserve"> </w:t>
      </w:r>
      <w:r>
        <w:rPr>
          <w:color w:val="231F20"/>
          <w:w w:val="95"/>
        </w:rPr>
        <w:t>the</w:t>
      </w:r>
      <w:r>
        <w:rPr>
          <w:color w:val="231F20"/>
          <w:spacing w:val="-4"/>
          <w:w w:val="95"/>
        </w:rPr>
        <w:t xml:space="preserve"> </w:t>
      </w:r>
      <w:r>
        <w:rPr>
          <w:color w:val="231F20"/>
          <w:w w:val="95"/>
        </w:rPr>
        <w:t>area</w:t>
      </w:r>
      <w:r>
        <w:rPr>
          <w:color w:val="231F20"/>
          <w:spacing w:val="-4"/>
          <w:w w:val="95"/>
        </w:rPr>
        <w:t xml:space="preserve"> </w:t>
      </w:r>
      <w:r>
        <w:rPr>
          <w:color w:val="231F20"/>
          <w:w w:val="95"/>
        </w:rPr>
        <w:t>after the</w:t>
      </w:r>
      <w:r>
        <w:rPr>
          <w:color w:val="231F20"/>
          <w:spacing w:val="-3"/>
          <w:w w:val="95"/>
        </w:rPr>
        <w:t xml:space="preserve"> </w:t>
      </w:r>
      <w:r>
        <w:rPr>
          <w:color w:val="231F20"/>
          <w:w w:val="95"/>
        </w:rPr>
        <w:t>Olympics</w:t>
      </w:r>
      <w:r>
        <w:rPr>
          <w:color w:val="231F20"/>
          <w:spacing w:val="-3"/>
          <w:w w:val="95"/>
        </w:rPr>
        <w:t xml:space="preserve"> </w:t>
      </w:r>
      <w:r>
        <w:rPr>
          <w:color w:val="231F20"/>
          <w:w w:val="95"/>
        </w:rPr>
        <w:t>Games</w:t>
      </w:r>
      <w:r>
        <w:rPr>
          <w:color w:val="231F20"/>
          <w:spacing w:val="-3"/>
          <w:w w:val="95"/>
        </w:rPr>
        <w:t xml:space="preserve"> </w:t>
      </w:r>
      <w:r>
        <w:rPr>
          <w:color w:val="231F20"/>
          <w:w w:val="95"/>
        </w:rPr>
        <w:t>(Kennelly</w:t>
      </w:r>
      <w:r>
        <w:rPr>
          <w:color w:val="231F20"/>
          <w:spacing w:val="-3"/>
          <w:w w:val="95"/>
        </w:rPr>
        <w:t xml:space="preserve"> </w:t>
      </w:r>
      <w:r>
        <w:rPr>
          <w:color w:val="231F20"/>
          <w:w w:val="95"/>
        </w:rPr>
        <w:t>&amp;</w:t>
      </w:r>
      <w:r>
        <w:rPr>
          <w:color w:val="231F20"/>
          <w:spacing w:val="-3"/>
          <w:w w:val="95"/>
        </w:rPr>
        <w:t xml:space="preserve"> </w:t>
      </w:r>
      <w:r>
        <w:rPr>
          <w:color w:val="231F20"/>
          <w:w w:val="95"/>
        </w:rPr>
        <w:t>Watt,</w:t>
      </w:r>
      <w:r>
        <w:rPr>
          <w:color w:val="231F20"/>
          <w:spacing w:val="-3"/>
          <w:w w:val="95"/>
        </w:rPr>
        <w:t xml:space="preserve"> </w:t>
      </w:r>
      <w:r>
        <w:rPr>
          <w:color w:val="231F20"/>
          <w:w w:val="95"/>
        </w:rPr>
        <w:t>2012).</w:t>
      </w:r>
      <w:r>
        <w:rPr>
          <w:color w:val="231F20"/>
          <w:spacing w:val="-3"/>
          <w:w w:val="95"/>
        </w:rPr>
        <w:t xml:space="preserve"> </w:t>
      </w:r>
      <w:r>
        <w:rPr>
          <w:color w:val="231F20"/>
          <w:w w:val="95"/>
        </w:rPr>
        <w:t>Also</w:t>
      </w:r>
      <w:r>
        <w:rPr>
          <w:color w:val="231F20"/>
          <w:spacing w:val="-3"/>
          <w:w w:val="95"/>
        </w:rPr>
        <w:t xml:space="preserve"> </w:t>
      </w:r>
      <w:r>
        <w:rPr>
          <w:color w:val="231F20"/>
          <w:w w:val="95"/>
        </w:rPr>
        <w:t>in</w:t>
      </w:r>
      <w:r>
        <w:rPr>
          <w:color w:val="231F20"/>
          <w:spacing w:val="-3"/>
          <w:w w:val="95"/>
        </w:rPr>
        <w:t xml:space="preserve"> </w:t>
      </w:r>
      <w:r>
        <w:rPr>
          <w:color w:val="231F20"/>
          <w:w w:val="95"/>
        </w:rPr>
        <w:t>‘Rio</w:t>
      </w:r>
      <w:r>
        <w:rPr>
          <w:color w:val="231F20"/>
          <w:spacing w:val="-3"/>
          <w:w w:val="95"/>
        </w:rPr>
        <w:t xml:space="preserve"> </w:t>
      </w:r>
      <w:r>
        <w:rPr>
          <w:color w:val="231F20"/>
          <w:w w:val="95"/>
        </w:rPr>
        <w:t>2016’,</w:t>
      </w:r>
      <w:r>
        <w:rPr>
          <w:color w:val="231F20"/>
          <w:spacing w:val="-3"/>
          <w:w w:val="95"/>
        </w:rPr>
        <w:t xml:space="preserve"> </w:t>
      </w:r>
      <w:r>
        <w:rPr>
          <w:color w:val="231F20"/>
          <w:w w:val="95"/>
        </w:rPr>
        <w:t xml:space="preserve">Silvestre </w:t>
      </w:r>
      <w:r>
        <w:rPr>
          <w:color w:val="231F20"/>
          <w:spacing w:val="-2"/>
          <w:w w:val="95"/>
        </w:rPr>
        <w:t>and</w:t>
      </w:r>
      <w:r>
        <w:rPr>
          <w:color w:val="231F20"/>
          <w:spacing w:val="-6"/>
          <w:w w:val="95"/>
        </w:rPr>
        <w:t xml:space="preserve"> </w:t>
      </w:r>
      <w:r>
        <w:rPr>
          <w:color w:val="231F20"/>
          <w:spacing w:val="-2"/>
          <w:w w:val="95"/>
        </w:rPr>
        <w:t>Oliveira</w:t>
      </w:r>
      <w:r>
        <w:rPr>
          <w:color w:val="231F20"/>
          <w:spacing w:val="-6"/>
          <w:w w:val="95"/>
        </w:rPr>
        <w:t xml:space="preserve"> </w:t>
      </w:r>
      <w:r>
        <w:rPr>
          <w:color w:val="231F20"/>
          <w:spacing w:val="-2"/>
          <w:w w:val="95"/>
        </w:rPr>
        <w:t>(2012)</w:t>
      </w:r>
      <w:r>
        <w:rPr>
          <w:color w:val="231F20"/>
          <w:spacing w:val="-6"/>
          <w:w w:val="95"/>
        </w:rPr>
        <w:t xml:space="preserve"> </w:t>
      </w:r>
      <w:r>
        <w:rPr>
          <w:color w:val="231F20"/>
          <w:spacing w:val="-2"/>
          <w:w w:val="95"/>
        </w:rPr>
        <w:t>reported</w:t>
      </w:r>
      <w:r>
        <w:rPr>
          <w:color w:val="231F20"/>
          <w:spacing w:val="-6"/>
          <w:w w:val="95"/>
        </w:rPr>
        <w:t xml:space="preserve"> </w:t>
      </w:r>
      <w:r>
        <w:rPr>
          <w:color w:val="231F20"/>
          <w:spacing w:val="-2"/>
          <w:w w:val="95"/>
        </w:rPr>
        <w:t>on</w:t>
      </w:r>
      <w:r>
        <w:rPr>
          <w:color w:val="231F20"/>
          <w:spacing w:val="-6"/>
          <w:w w:val="95"/>
        </w:rPr>
        <w:t xml:space="preserve"> </w:t>
      </w:r>
      <w:r>
        <w:rPr>
          <w:color w:val="231F20"/>
          <w:spacing w:val="-2"/>
          <w:w w:val="95"/>
        </w:rPr>
        <w:t>the</w:t>
      </w:r>
      <w:r>
        <w:rPr>
          <w:color w:val="231F20"/>
          <w:spacing w:val="-6"/>
          <w:w w:val="95"/>
        </w:rPr>
        <w:t xml:space="preserve"> </w:t>
      </w:r>
      <w:r>
        <w:rPr>
          <w:color w:val="231F20"/>
          <w:spacing w:val="-2"/>
          <w:w w:val="95"/>
        </w:rPr>
        <w:t>changing</w:t>
      </w:r>
      <w:r>
        <w:rPr>
          <w:color w:val="231F20"/>
          <w:spacing w:val="-6"/>
          <w:w w:val="95"/>
        </w:rPr>
        <w:t xml:space="preserve"> </w:t>
      </w:r>
      <w:r>
        <w:rPr>
          <w:color w:val="231F20"/>
          <w:spacing w:val="-2"/>
          <w:w w:val="95"/>
        </w:rPr>
        <w:t>geographies</w:t>
      </w:r>
      <w:r>
        <w:rPr>
          <w:color w:val="231F20"/>
          <w:spacing w:val="-6"/>
          <w:w w:val="95"/>
        </w:rPr>
        <w:t xml:space="preserve"> </w:t>
      </w:r>
      <w:r>
        <w:rPr>
          <w:color w:val="231F20"/>
          <w:spacing w:val="-2"/>
          <w:w w:val="95"/>
        </w:rPr>
        <w:t>of</w:t>
      </w:r>
      <w:r>
        <w:rPr>
          <w:color w:val="231F20"/>
          <w:spacing w:val="7"/>
        </w:rPr>
        <w:t xml:space="preserve"> </w:t>
      </w:r>
      <w:r>
        <w:rPr>
          <w:color w:val="231F20"/>
          <w:spacing w:val="-2"/>
          <w:w w:val="95"/>
        </w:rPr>
        <w:t>the</w:t>
      </w:r>
      <w:r>
        <w:rPr>
          <w:color w:val="231F20"/>
          <w:spacing w:val="-6"/>
          <w:w w:val="95"/>
        </w:rPr>
        <w:t xml:space="preserve"> </w:t>
      </w:r>
      <w:r>
        <w:rPr>
          <w:color w:val="231F20"/>
          <w:spacing w:val="-2"/>
          <w:w w:val="95"/>
        </w:rPr>
        <w:t>west</w:t>
      </w:r>
      <w:r>
        <w:rPr>
          <w:color w:val="231F20"/>
          <w:spacing w:val="-6"/>
          <w:w w:val="95"/>
        </w:rPr>
        <w:t xml:space="preserve"> </w:t>
      </w:r>
      <w:r>
        <w:rPr>
          <w:color w:val="231F20"/>
          <w:spacing w:val="-2"/>
          <w:w w:val="95"/>
        </w:rPr>
        <w:t xml:space="preserve">zone </w:t>
      </w:r>
      <w:r>
        <w:rPr>
          <w:color w:val="231F20"/>
          <w:w w:val="95"/>
        </w:rPr>
        <w:t>of</w:t>
      </w:r>
      <w:r>
        <w:rPr>
          <w:color w:val="231F20"/>
          <w:spacing w:val="20"/>
        </w:rPr>
        <w:t xml:space="preserve"> </w:t>
      </w:r>
      <w:r>
        <w:rPr>
          <w:color w:val="231F20"/>
          <w:w w:val="95"/>
        </w:rPr>
        <w:t>the city and negative effects on the several low socio-economic status (SES) communities that had, at least four years before the event, already been</w:t>
      </w:r>
      <w:r>
        <w:rPr>
          <w:color w:val="231F20"/>
          <w:spacing w:val="-2"/>
          <w:w w:val="95"/>
        </w:rPr>
        <w:t xml:space="preserve"> </w:t>
      </w:r>
      <w:r>
        <w:rPr>
          <w:color w:val="231F20"/>
          <w:w w:val="95"/>
        </w:rPr>
        <w:t>displaced</w:t>
      </w:r>
      <w:r>
        <w:rPr>
          <w:color w:val="231F20"/>
          <w:spacing w:val="-2"/>
          <w:w w:val="95"/>
        </w:rPr>
        <w:t xml:space="preserve"> </w:t>
      </w:r>
      <w:r>
        <w:rPr>
          <w:color w:val="231F20"/>
          <w:w w:val="95"/>
        </w:rPr>
        <w:t>to</w:t>
      </w:r>
      <w:r>
        <w:rPr>
          <w:color w:val="231F20"/>
          <w:spacing w:val="-2"/>
          <w:w w:val="95"/>
        </w:rPr>
        <w:t xml:space="preserve"> </w:t>
      </w:r>
      <w:r>
        <w:rPr>
          <w:color w:val="231F20"/>
          <w:w w:val="95"/>
        </w:rPr>
        <w:t>make</w:t>
      </w:r>
      <w:r>
        <w:rPr>
          <w:color w:val="231F20"/>
          <w:spacing w:val="-2"/>
          <w:w w:val="95"/>
        </w:rPr>
        <w:t xml:space="preserve"> </w:t>
      </w:r>
      <w:r>
        <w:rPr>
          <w:color w:val="231F20"/>
          <w:w w:val="95"/>
        </w:rPr>
        <w:t>way</w:t>
      </w:r>
      <w:r>
        <w:rPr>
          <w:color w:val="231F20"/>
          <w:spacing w:val="-2"/>
          <w:w w:val="95"/>
        </w:rPr>
        <w:t xml:space="preserve"> </w:t>
      </w:r>
      <w:r>
        <w:rPr>
          <w:color w:val="231F20"/>
          <w:w w:val="95"/>
        </w:rPr>
        <w:t>for</w:t>
      </w:r>
      <w:r>
        <w:rPr>
          <w:color w:val="231F20"/>
          <w:spacing w:val="-2"/>
          <w:w w:val="95"/>
        </w:rPr>
        <w:t xml:space="preserve"> </w:t>
      </w:r>
      <w:r>
        <w:rPr>
          <w:color w:val="231F20"/>
          <w:w w:val="95"/>
        </w:rPr>
        <w:t>new</w:t>
      </w:r>
      <w:r>
        <w:rPr>
          <w:color w:val="231F20"/>
          <w:spacing w:val="-2"/>
          <w:w w:val="95"/>
        </w:rPr>
        <w:t xml:space="preserve"> </w:t>
      </w:r>
      <w:r>
        <w:rPr>
          <w:color w:val="231F20"/>
          <w:w w:val="95"/>
        </w:rPr>
        <w:t>highways,</w:t>
      </w:r>
      <w:r>
        <w:rPr>
          <w:color w:val="231F20"/>
          <w:spacing w:val="-2"/>
          <w:w w:val="95"/>
        </w:rPr>
        <w:t xml:space="preserve"> </w:t>
      </w:r>
      <w:r>
        <w:rPr>
          <w:color w:val="231F20"/>
          <w:w w:val="95"/>
        </w:rPr>
        <w:t>metro</w:t>
      </w:r>
      <w:r>
        <w:rPr>
          <w:color w:val="231F20"/>
          <w:spacing w:val="-2"/>
          <w:w w:val="95"/>
        </w:rPr>
        <w:t xml:space="preserve"> </w:t>
      </w:r>
      <w:r>
        <w:rPr>
          <w:color w:val="231F20"/>
          <w:w w:val="95"/>
        </w:rPr>
        <w:t>lines</w:t>
      </w:r>
      <w:r>
        <w:rPr>
          <w:color w:val="231F20"/>
          <w:spacing w:val="-2"/>
          <w:w w:val="95"/>
        </w:rPr>
        <w:t xml:space="preserve"> </w:t>
      </w:r>
      <w:r>
        <w:rPr>
          <w:color w:val="231F20"/>
          <w:w w:val="95"/>
        </w:rPr>
        <w:t>and</w:t>
      </w:r>
      <w:r>
        <w:rPr>
          <w:color w:val="231F20"/>
          <w:spacing w:val="-2"/>
          <w:w w:val="95"/>
        </w:rPr>
        <w:t xml:space="preserve"> </w:t>
      </w:r>
      <w:r>
        <w:rPr>
          <w:color w:val="231F20"/>
          <w:w w:val="95"/>
        </w:rPr>
        <w:t>stadiums. Clearly,</w:t>
      </w:r>
      <w:r>
        <w:rPr>
          <w:color w:val="231F20"/>
          <w:spacing w:val="-1"/>
          <w:w w:val="95"/>
        </w:rPr>
        <w:t xml:space="preserve"> </w:t>
      </w:r>
      <w:r>
        <w:rPr>
          <w:color w:val="231F20"/>
          <w:w w:val="95"/>
        </w:rPr>
        <w:t>these</w:t>
      </w:r>
      <w:r>
        <w:rPr>
          <w:color w:val="231F20"/>
          <w:spacing w:val="-1"/>
          <w:w w:val="95"/>
        </w:rPr>
        <w:t xml:space="preserve"> </w:t>
      </w:r>
      <w:r>
        <w:rPr>
          <w:color w:val="231F20"/>
          <w:w w:val="95"/>
        </w:rPr>
        <w:t>urban</w:t>
      </w:r>
      <w:r>
        <w:rPr>
          <w:color w:val="231F20"/>
          <w:spacing w:val="-1"/>
          <w:w w:val="95"/>
        </w:rPr>
        <w:t xml:space="preserve"> </w:t>
      </w:r>
      <w:r>
        <w:rPr>
          <w:color w:val="231F20"/>
          <w:w w:val="95"/>
        </w:rPr>
        <w:t>transformations</w:t>
      </w:r>
      <w:r>
        <w:rPr>
          <w:color w:val="231F20"/>
          <w:spacing w:val="-1"/>
          <w:w w:val="95"/>
        </w:rPr>
        <w:t xml:space="preserve"> </w:t>
      </w:r>
      <w:r>
        <w:rPr>
          <w:color w:val="231F20"/>
          <w:w w:val="95"/>
        </w:rPr>
        <w:t>have</w:t>
      </w:r>
      <w:r>
        <w:rPr>
          <w:color w:val="231F20"/>
          <w:spacing w:val="-1"/>
          <w:w w:val="95"/>
        </w:rPr>
        <w:t xml:space="preserve"> </w:t>
      </w:r>
      <w:r>
        <w:rPr>
          <w:color w:val="231F20"/>
          <w:w w:val="95"/>
        </w:rPr>
        <w:t>important</w:t>
      </w:r>
      <w:r>
        <w:rPr>
          <w:color w:val="231F20"/>
          <w:spacing w:val="-1"/>
          <w:w w:val="95"/>
        </w:rPr>
        <w:t xml:space="preserve"> </w:t>
      </w:r>
      <w:r>
        <w:rPr>
          <w:color w:val="231F20"/>
          <w:w w:val="95"/>
        </w:rPr>
        <w:t>impacts</w:t>
      </w:r>
      <w:r>
        <w:rPr>
          <w:color w:val="231F20"/>
          <w:spacing w:val="-1"/>
          <w:w w:val="95"/>
        </w:rPr>
        <w:t xml:space="preserve"> </w:t>
      </w:r>
      <w:r>
        <w:rPr>
          <w:color w:val="231F20"/>
          <w:w w:val="95"/>
        </w:rPr>
        <w:t>on</w:t>
      </w:r>
      <w:r>
        <w:rPr>
          <w:color w:val="231F20"/>
          <w:spacing w:val="-1"/>
          <w:w w:val="95"/>
        </w:rPr>
        <w:t xml:space="preserve"> </w:t>
      </w:r>
      <w:r>
        <w:rPr>
          <w:color w:val="231F20"/>
          <w:w w:val="95"/>
        </w:rPr>
        <w:t>the</w:t>
      </w:r>
      <w:r>
        <w:rPr>
          <w:color w:val="231F20"/>
          <w:spacing w:val="-1"/>
          <w:w w:val="95"/>
        </w:rPr>
        <w:t xml:space="preserve"> </w:t>
      </w:r>
      <w:r>
        <w:rPr>
          <w:color w:val="231F20"/>
          <w:w w:val="95"/>
        </w:rPr>
        <w:t xml:space="preserve">lives </w:t>
      </w:r>
      <w:r>
        <w:rPr>
          <w:color w:val="231F20"/>
          <w:spacing w:val="-2"/>
        </w:rPr>
        <w:t>of</w:t>
      </w:r>
      <w:r>
        <w:rPr>
          <w:color w:val="231F20"/>
          <w:spacing w:val="9"/>
        </w:rPr>
        <w:t xml:space="preserve"> </w:t>
      </w:r>
      <w:r>
        <w:rPr>
          <w:color w:val="231F20"/>
          <w:spacing w:val="-2"/>
        </w:rPr>
        <w:t>individuals and</w:t>
      </w:r>
      <w:r>
        <w:rPr>
          <w:color w:val="231F20"/>
          <w:spacing w:val="-1"/>
        </w:rPr>
        <w:t xml:space="preserve"> </w:t>
      </w:r>
      <w:r>
        <w:rPr>
          <w:color w:val="231F20"/>
          <w:spacing w:val="-2"/>
        </w:rPr>
        <w:t>communities,</w:t>
      </w:r>
      <w:r>
        <w:rPr>
          <w:color w:val="231F20"/>
          <w:spacing w:val="-1"/>
        </w:rPr>
        <w:t xml:space="preserve"> </w:t>
      </w:r>
      <w:r>
        <w:rPr>
          <w:color w:val="231F20"/>
          <w:spacing w:val="-2"/>
        </w:rPr>
        <w:t>frequently</w:t>
      </w:r>
      <w:r>
        <w:rPr>
          <w:color w:val="231F20"/>
          <w:spacing w:val="-1"/>
        </w:rPr>
        <w:t xml:space="preserve"> </w:t>
      </w:r>
      <w:r>
        <w:rPr>
          <w:color w:val="231F20"/>
          <w:spacing w:val="-2"/>
        </w:rPr>
        <w:t>reinforcing the</w:t>
      </w:r>
      <w:r>
        <w:rPr>
          <w:color w:val="231F20"/>
          <w:spacing w:val="-1"/>
        </w:rPr>
        <w:t xml:space="preserve"> </w:t>
      </w:r>
      <w:r>
        <w:rPr>
          <w:color w:val="231F20"/>
          <w:spacing w:val="-2"/>
        </w:rPr>
        <w:t>exclusion</w:t>
      </w:r>
      <w:r>
        <w:rPr>
          <w:color w:val="231F20"/>
          <w:spacing w:val="-1"/>
        </w:rPr>
        <w:t xml:space="preserve"> </w:t>
      </w:r>
      <w:r>
        <w:rPr>
          <w:color w:val="231F20"/>
          <w:spacing w:val="-2"/>
        </w:rPr>
        <w:t xml:space="preserve">of </w:t>
      </w:r>
      <w:r>
        <w:rPr>
          <w:color w:val="231F20"/>
          <w:spacing w:val="-2"/>
          <w:w w:val="95"/>
        </w:rPr>
        <w:t>those</w:t>
      </w:r>
      <w:r>
        <w:rPr>
          <w:color w:val="231F20"/>
          <w:spacing w:val="-8"/>
          <w:w w:val="95"/>
        </w:rPr>
        <w:t xml:space="preserve"> </w:t>
      </w:r>
      <w:r>
        <w:rPr>
          <w:color w:val="231F20"/>
          <w:spacing w:val="-2"/>
          <w:w w:val="95"/>
        </w:rPr>
        <w:t>who</w:t>
      </w:r>
      <w:r>
        <w:rPr>
          <w:color w:val="231F20"/>
          <w:spacing w:val="-8"/>
          <w:w w:val="95"/>
        </w:rPr>
        <w:t xml:space="preserve"> </w:t>
      </w:r>
      <w:r>
        <w:rPr>
          <w:color w:val="231F20"/>
          <w:spacing w:val="-2"/>
          <w:w w:val="95"/>
        </w:rPr>
        <w:t>are</w:t>
      </w:r>
      <w:r>
        <w:rPr>
          <w:color w:val="231F20"/>
          <w:spacing w:val="-8"/>
          <w:w w:val="95"/>
        </w:rPr>
        <w:t xml:space="preserve"> </w:t>
      </w:r>
      <w:r>
        <w:rPr>
          <w:color w:val="231F20"/>
          <w:spacing w:val="-2"/>
          <w:w w:val="95"/>
        </w:rPr>
        <w:t>already</w:t>
      </w:r>
      <w:r>
        <w:rPr>
          <w:color w:val="231F20"/>
          <w:spacing w:val="-8"/>
          <w:w w:val="95"/>
        </w:rPr>
        <w:t xml:space="preserve"> </w:t>
      </w:r>
      <w:r>
        <w:rPr>
          <w:color w:val="231F20"/>
          <w:spacing w:val="-2"/>
          <w:w w:val="95"/>
        </w:rPr>
        <w:t>living</w:t>
      </w:r>
      <w:r>
        <w:rPr>
          <w:color w:val="231F20"/>
          <w:spacing w:val="-8"/>
          <w:w w:val="95"/>
        </w:rPr>
        <w:t xml:space="preserve"> </w:t>
      </w:r>
      <w:r>
        <w:rPr>
          <w:color w:val="231F20"/>
          <w:spacing w:val="-2"/>
          <w:w w:val="95"/>
        </w:rPr>
        <w:t>on</w:t>
      </w:r>
      <w:r>
        <w:rPr>
          <w:color w:val="231F20"/>
          <w:spacing w:val="-8"/>
          <w:w w:val="95"/>
        </w:rPr>
        <w:t xml:space="preserve"> </w:t>
      </w:r>
      <w:r>
        <w:rPr>
          <w:color w:val="231F20"/>
          <w:spacing w:val="-2"/>
          <w:w w:val="95"/>
        </w:rPr>
        <w:t>the</w:t>
      </w:r>
      <w:r>
        <w:rPr>
          <w:color w:val="231F20"/>
          <w:spacing w:val="-8"/>
          <w:w w:val="95"/>
        </w:rPr>
        <w:t xml:space="preserve"> </w:t>
      </w:r>
      <w:r>
        <w:rPr>
          <w:color w:val="231F20"/>
          <w:spacing w:val="-2"/>
          <w:w w:val="95"/>
        </w:rPr>
        <w:t>margins</w:t>
      </w:r>
      <w:r>
        <w:rPr>
          <w:color w:val="231F20"/>
          <w:spacing w:val="-8"/>
          <w:w w:val="95"/>
        </w:rPr>
        <w:t xml:space="preserve"> </w:t>
      </w:r>
      <w:r>
        <w:rPr>
          <w:color w:val="231F20"/>
          <w:spacing w:val="-2"/>
          <w:w w:val="95"/>
        </w:rPr>
        <w:t>of</w:t>
      </w:r>
      <w:r>
        <w:rPr>
          <w:color w:val="231F20"/>
          <w:spacing w:val="7"/>
        </w:rPr>
        <w:t xml:space="preserve"> </w:t>
      </w:r>
      <w:r>
        <w:rPr>
          <w:color w:val="231F20"/>
          <w:spacing w:val="-2"/>
          <w:w w:val="95"/>
        </w:rPr>
        <w:t>society</w:t>
      </w:r>
      <w:r>
        <w:rPr>
          <w:color w:val="231F20"/>
          <w:spacing w:val="-8"/>
          <w:w w:val="95"/>
        </w:rPr>
        <w:t xml:space="preserve"> </w:t>
      </w:r>
      <w:r>
        <w:rPr>
          <w:color w:val="231F20"/>
          <w:spacing w:val="-2"/>
          <w:w w:val="95"/>
        </w:rPr>
        <w:t>(Broudehoux,</w:t>
      </w:r>
      <w:r>
        <w:rPr>
          <w:color w:val="231F20"/>
          <w:spacing w:val="-8"/>
          <w:w w:val="95"/>
        </w:rPr>
        <w:t xml:space="preserve"> </w:t>
      </w:r>
      <w:r>
        <w:rPr>
          <w:color w:val="231F20"/>
          <w:spacing w:val="-2"/>
          <w:w w:val="95"/>
        </w:rPr>
        <w:t xml:space="preserve">2016). </w:t>
      </w:r>
      <w:r>
        <w:rPr>
          <w:color w:val="231F20"/>
        </w:rPr>
        <w:t>These</w:t>
      </w:r>
      <w:r>
        <w:rPr>
          <w:color w:val="231F20"/>
          <w:spacing w:val="40"/>
        </w:rPr>
        <w:t xml:space="preserve"> </w:t>
      </w:r>
      <w:r>
        <w:rPr>
          <w:color w:val="231F20"/>
        </w:rPr>
        <w:t>exclusionary</w:t>
      </w:r>
      <w:r>
        <w:rPr>
          <w:color w:val="231F20"/>
          <w:spacing w:val="40"/>
        </w:rPr>
        <w:t xml:space="preserve"> </w:t>
      </w:r>
      <w:r>
        <w:rPr>
          <w:color w:val="231F20"/>
        </w:rPr>
        <w:t>practices</w:t>
      </w:r>
      <w:r>
        <w:rPr>
          <w:color w:val="231F20"/>
          <w:spacing w:val="40"/>
        </w:rPr>
        <w:t xml:space="preserve"> </w:t>
      </w:r>
      <w:r>
        <w:rPr>
          <w:color w:val="231F20"/>
        </w:rPr>
        <w:t>have</w:t>
      </w:r>
      <w:r>
        <w:rPr>
          <w:color w:val="231F20"/>
          <w:spacing w:val="40"/>
        </w:rPr>
        <w:t xml:space="preserve"> </w:t>
      </w:r>
      <w:r>
        <w:rPr>
          <w:color w:val="231F20"/>
        </w:rPr>
        <w:t>considerable</w:t>
      </w:r>
      <w:r>
        <w:rPr>
          <w:color w:val="231F20"/>
          <w:spacing w:val="40"/>
        </w:rPr>
        <w:t xml:space="preserve"> </w:t>
      </w:r>
      <w:r>
        <w:rPr>
          <w:color w:val="231F20"/>
        </w:rPr>
        <w:t>ramifications</w:t>
      </w:r>
      <w:r>
        <w:rPr>
          <w:color w:val="231F20"/>
          <w:spacing w:val="40"/>
        </w:rPr>
        <w:t xml:space="preserve"> </w:t>
      </w:r>
      <w:r>
        <w:rPr>
          <w:color w:val="231F20"/>
        </w:rPr>
        <w:t>for different</w:t>
      </w:r>
      <w:r>
        <w:rPr>
          <w:color w:val="231F20"/>
          <w:spacing w:val="11"/>
        </w:rPr>
        <w:t xml:space="preserve"> </w:t>
      </w:r>
      <w:r>
        <w:rPr>
          <w:color w:val="231F20"/>
        </w:rPr>
        <w:t>aspects</w:t>
      </w:r>
      <w:r>
        <w:rPr>
          <w:color w:val="231F20"/>
          <w:spacing w:val="11"/>
        </w:rPr>
        <w:t xml:space="preserve"> </w:t>
      </w:r>
      <w:r>
        <w:rPr>
          <w:color w:val="231F20"/>
        </w:rPr>
        <w:t>of</w:t>
      </w:r>
      <w:r>
        <w:rPr>
          <w:color w:val="231F20"/>
          <w:spacing w:val="11"/>
        </w:rPr>
        <w:t xml:space="preserve"> </w:t>
      </w:r>
      <w:r>
        <w:rPr>
          <w:color w:val="231F20"/>
        </w:rPr>
        <w:t>living</w:t>
      </w:r>
      <w:r>
        <w:rPr>
          <w:color w:val="231F20"/>
          <w:spacing w:val="11"/>
        </w:rPr>
        <w:t xml:space="preserve"> </w:t>
      </w:r>
      <w:r>
        <w:rPr>
          <w:color w:val="231F20"/>
        </w:rPr>
        <w:t>in</w:t>
      </w:r>
      <w:r>
        <w:rPr>
          <w:color w:val="231F20"/>
          <w:spacing w:val="11"/>
        </w:rPr>
        <w:t xml:space="preserve"> </w:t>
      </w:r>
      <w:r>
        <w:rPr>
          <w:color w:val="231F20"/>
        </w:rPr>
        <w:t>these</w:t>
      </w:r>
      <w:r>
        <w:rPr>
          <w:color w:val="231F20"/>
          <w:spacing w:val="11"/>
        </w:rPr>
        <w:t xml:space="preserve"> </w:t>
      </w:r>
      <w:r>
        <w:rPr>
          <w:color w:val="231F20"/>
        </w:rPr>
        <w:t>host</w:t>
      </w:r>
      <w:r>
        <w:rPr>
          <w:color w:val="231F20"/>
          <w:spacing w:val="11"/>
        </w:rPr>
        <w:t xml:space="preserve"> </w:t>
      </w:r>
      <w:r>
        <w:rPr>
          <w:color w:val="231F20"/>
        </w:rPr>
        <w:t>cities.</w:t>
      </w:r>
      <w:r>
        <w:rPr>
          <w:color w:val="231F20"/>
          <w:spacing w:val="11"/>
        </w:rPr>
        <w:t xml:space="preserve"> </w:t>
      </w:r>
      <w:r>
        <w:rPr>
          <w:color w:val="231F20"/>
        </w:rPr>
        <w:t>One</w:t>
      </w:r>
      <w:r>
        <w:rPr>
          <w:color w:val="231F20"/>
          <w:spacing w:val="11"/>
        </w:rPr>
        <w:t xml:space="preserve"> </w:t>
      </w:r>
      <w:r>
        <w:rPr>
          <w:color w:val="231F20"/>
        </w:rPr>
        <w:t>of</w:t>
      </w:r>
      <w:r>
        <w:rPr>
          <w:color w:val="231F20"/>
          <w:spacing w:val="11"/>
        </w:rPr>
        <w:t xml:space="preserve"> </w:t>
      </w:r>
      <w:r>
        <w:rPr>
          <w:color w:val="231F20"/>
        </w:rPr>
        <w:t>these</w:t>
      </w:r>
      <w:r>
        <w:rPr>
          <w:color w:val="231F20"/>
          <w:spacing w:val="11"/>
        </w:rPr>
        <w:t xml:space="preserve"> </w:t>
      </w:r>
      <w:r>
        <w:rPr>
          <w:color w:val="231F20"/>
        </w:rPr>
        <w:t>aspects</w:t>
      </w:r>
      <w:r>
        <w:rPr>
          <w:color w:val="231F20"/>
          <w:spacing w:val="11"/>
        </w:rPr>
        <w:t xml:space="preserve"> </w:t>
      </w:r>
      <w:r>
        <w:rPr>
          <w:color w:val="231F20"/>
        </w:rPr>
        <w:t xml:space="preserve">is </w:t>
      </w:r>
      <w:r>
        <w:rPr>
          <w:color w:val="231F20"/>
          <w:w w:val="95"/>
        </w:rPr>
        <w:t>leisure</w:t>
      </w:r>
      <w:r>
        <w:rPr>
          <w:color w:val="231F20"/>
          <w:spacing w:val="28"/>
        </w:rPr>
        <w:t xml:space="preserve"> </w:t>
      </w:r>
      <w:r>
        <w:rPr>
          <w:color w:val="231F20"/>
          <w:w w:val="95"/>
        </w:rPr>
        <w:t>practice,</w:t>
      </w:r>
      <w:r>
        <w:rPr>
          <w:color w:val="231F20"/>
          <w:spacing w:val="28"/>
        </w:rPr>
        <w:t xml:space="preserve"> </w:t>
      </w:r>
      <w:r>
        <w:rPr>
          <w:color w:val="231F20"/>
          <w:w w:val="95"/>
        </w:rPr>
        <w:t>including</w:t>
      </w:r>
      <w:r>
        <w:rPr>
          <w:color w:val="231F20"/>
          <w:spacing w:val="28"/>
        </w:rPr>
        <w:t xml:space="preserve"> </w:t>
      </w:r>
      <w:r>
        <w:rPr>
          <w:color w:val="231F20"/>
          <w:w w:val="95"/>
        </w:rPr>
        <w:t>participation</w:t>
      </w:r>
      <w:r>
        <w:rPr>
          <w:color w:val="231F20"/>
          <w:spacing w:val="28"/>
        </w:rPr>
        <w:t xml:space="preserve"> </w:t>
      </w:r>
      <w:r>
        <w:rPr>
          <w:color w:val="231F20"/>
          <w:w w:val="95"/>
        </w:rPr>
        <w:t>in</w:t>
      </w:r>
      <w:r>
        <w:rPr>
          <w:color w:val="231F20"/>
          <w:spacing w:val="28"/>
        </w:rPr>
        <w:t xml:space="preserve"> </w:t>
      </w:r>
      <w:r>
        <w:rPr>
          <w:color w:val="231F20"/>
          <w:w w:val="95"/>
        </w:rPr>
        <w:t>sport,</w:t>
      </w:r>
      <w:r>
        <w:rPr>
          <w:color w:val="231F20"/>
          <w:spacing w:val="28"/>
        </w:rPr>
        <w:t xml:space="preserve"> </w:t>
      </w:r>
      <w:r>
        <w:rPr>
          <w:color w:val="231F20"/>
          <w:w w:val="95"/>
        </w:rPr>
        <w:t>the</w:t>
      </w:r>
      <w:r>
        <w:rPr>
          <w:color w:val="231F20"/>
          <w:spacing w:val="28"/>
        </w:rPr>
        <w:t xml:space="preserve"> </w:t>
      </w:r>
      <w:r>
        <w:rPr>
          <w:color w:val="231F20"/>
          <w:w w:val="95"/>
        </w:rPr>
        <w:t>very</w:t>
      </w:r>
      <w:r>
        <w:rPr>
          <w:color w:val="231F20"/>
          <w:spacing w:val="28"/>
        </w:rPr>
        <w:t xml:space="preserve"> </w:t>
      </w:r>
      <w:r>
        <w:rPr>
          <w:i/>
          <w:color w:val="231F20"/>
          <w:w w:val="95"/>
        </w:rPr>
        <w:t>raison</w:t>
      </w:r>
      <w:r>
        <w:rPr>
          <w:i/>
          <w:color w:val="231F20"/>
          <w:spacing w:val="28"/>
        </w:rPr>
        <w:t xml:space="preserve"> </w:t>
      </w:r>
      <w:r>
        <w:rPr>
          <w:i/>
          <w:color w:val="231F20"/>
          <w:w w:val="95"/>
        </w:rPr>
        <w:t xml:space="preserve">d’être </w:t>
      </w:r>
      <w:r>
        <w:rPr>
          <w:color w:val="231F20"/>
          <w:w w:val="95"/>
        </w:rPr>
        <w:t>of these events</w:t>
      </w:r>
      <w:r>
        <w:rPr>
          <w:i/>
          <w:color w:val="231F20"/>
          <w:w w:val="95"/>
        </w:rPr>
        <w:t xml:space="preserve">. </w:t>
      </w:r>
      <w:r>
        <w:rPr>
          <w:color w:val="231F20"/>
          <w:w w:val="95"/>
        </w:rPr>
        <w:t xml:space="preserve">It is widely accepted in the academic literature that the physical environment in which one lives influences leisure and physical activity habits (Sallis </w:t>
      </w:r>
      <w:r>
        <w:rPr>
          <w:i/>
          <w:color w:val="231F20"/>
          <w:w w:val="95"/>
        </w:rPr>
        <w:t>et al</w:t>
      </w:r>
      <w:r>
        <w:rPr>
          <w:color w:val="231F20"/>
          <w:w w:val="95"/>
        </w:rPr>
        <w:t>., 2006). Not only can the availability of leisure spaces shape leisure particip</w:t>
      </w:r>
      <w:r>
        <w:rPr>
          <w:color w:val="231F20"/>
          <w:w w:val="95"/>
        </w:rPr>
        <w:t xml:space="preserve">ation but also our relationships with these spaces can facilitate and influence the way we move and use our bodies, </w:t>
      </w:r>
      <w:r>
        <w:rPr>
          <w:color w:val="231F20"/>
        </w:rPr>
        <w:t>and</w:t>
      </w:r>
      <w:r>
        <w:rPr>
          <w:color w:val="231F20"/>
          <w:spacing w:val="17"/>
        </w:rPr>
        <w:t xml:space="preserve"> </w:t>
      </w:r>
      <w:r>
        <w:rPr>
          <w:color w:val="231F20"/>
        </w:rPr>
        <w:t>help</w:t>
      </w:r>
      <w:r>
        <w:rPr>
          <w:color w:val="231F20"/>
          <w:spacing w:val="16"/>
        </w:rPr>
        <w:t xml:space="preserve"> </w:t>
      </w:r>
      <w:r>
        <w:rPr>
          <w:color w:val="231F20"/>
        </w:rPr>
        <w:t>develop</w:t>
      </w:r>
      <w:r>
        <w:rPr>
          <w:color w:val="231F20"/>
          <w:spacing w:val="17"/>
        </w:rPr>
        <w:t xml:space="preserve"> </w:t>
      </w:r>
      <w:r>
        <w:rPr>
          <w:color w:val="231F20"/>
        </w:rPr>
        <w:t>a</w:t>
      </w:r>
      <w:r>
        <w:rPr>
          <w:color w:val="231F20"/>
          <w:spacing w:val="17"/>
        </w:rPr>
        <w:t xml:space="preserve"> </w:t>
      </w:r>
      <w:r>
        <w:rPr>
          <w:color w:val="231F20"/>
        </w:rPr>
        <w:t>‘sense</w:t>
      </w:r>
      <w:r>
        <w:rPr>
          <w:color w:val="231F20"/>
          <w:spacing w:val="17"/>
        </w:rPr>
        <w:t xml:space="preserve"> </w:t>
      </w:r>
      <w:r>
        <w:rPr>
          <w:color w:val="231F20"/>
        </w:rPr>
        <w:t>of</w:t>
      </w:r>
      <w:r>
        <w:rPr>
          <w:color w:val="231F20"/>
          <w:spacing w:val="16"/>
        </w:rPr>
        <w:t xml:space="preserve"> </w:t>
      </w:r>
      <w:r>
        <w:rPr>
          <w:color w:val="231F20"/>
        </w:rPr>
        <w:t>place’,</w:t>
      </w:r>
      <w:r>
        <w:rPr>
          <w:color w:val="231F20"/>
          <w:spacing w:val="17"/>
        </w:rPr>
        <w:t xml:space="preserve"> </w:t>
      </w:r>
      <w:r>
        <w:rPr>
          <w:color w:val="231F20"/>
        </w:rPr>
        <w:t>fundamental</w:t>
      </w:r>
      <w:r>
        <w:rPr>
          <w:color w:val="231F20"/>
          <w:spacing w:val="17"/>
        </w:rPr>
        <w:t xml:space="preserve"> </w:t>
      </w:r>
      <w:r>
        <w:rPr>
          <w:color w:val="231F20"/>
        </w:rPr>
        <w:t>to</w:t>
      </w:r>
      <w:r>
        <w:rPr>
          <w:color w:val="231F20"/>
          <w:spacing w:val="16"/>
        </w:rPr>
        <w:t xml:space="preserve"> </w:t>
      </w:r>
      <w:r>
        <w:rPr>
          <w:color w:val="231F20"/>
        </w:rPr>
        <w:t>the</w:t>
      </w:r>
      <w:r>
        <w:rPr>
          <w:color w:val="231F20"/>
          <w:spacing w:val="17"/>
        </w:rPr>
        <w:t xml:space="preserve"> </w:t>
      </w:r>
      <w:r>
        <w:rPr>
          <w:color w:val="231F20"/>
        </w:rPr>
        <w:t>construction of</w:t>
      </w:r>
      <w:r>
        <w:rPr>
          <w:color w:val="231F20"/>
          <w:spacing w:val="24"/>
        </w:rPr>
        <w:t xml:space="preserve"> </w:t>
      </w:r>
      <w:r>
        <w:rPr>
          <w:color w:val="231F20"/>
        </w:rPr>
        <w:t>individual</w:t>
      </w:r>
      <w:r>
        <w:rPr>
          <w:color w:val="231F20"/>
          <w:spacing w:val="24"/>
        </w:rPr>
        <w:t xml:space="preserve"> </w:t>
      </w:r>
      <w:r>
        <w:rPr>
          <w:color w:val="231F20"/>
        </w:rPr>
        <w:t>and</w:t>
      </w:r>
      <w:r>
        <w:rPr>
          <w:color w:val="231F20"/>
          <w:spacing w:val="24"/>
        </w:rPr>
        <w:t xml:space="preserve"> </w:t>
      </w:r>
      <w:r>
        <w:rPr>
          <w:color w:val="231F20"/>
        </w:rPr>
        <w:t>community</w:t>
      </w:r>
      <w:r>
        <w:rPr>
          <w:color w:val="231F20"/>
          <w:spacing w:val="24"/>
        </w:rPr>
        <w:t xml:space="preserve"> </w:t>
      </w:r>
      <w:r>
        <w:rPr>
          <w:color w:val="231F20"/>
        </w:rPr>
        <w:t>identity</w:t>
      </w:r>
      <w:r>
        <w:rPr>
          <w:color w:val="231F20"/>
          <w:spacing w:val="24"/>
        </w:rPr>
        <w:t xml:space="preserve"> </w:t>
      </w:r>
      <w:r>
        <w:rPr>
          <w:color w:val="231F20"/>
        </w:rPr>
        <w:t>(Sampson</w:t>
      </w:r>
      <w:r>
        <w:rPr>
          <w:color w:val="231F20"/>
          <w:spacing w:val="22"/>
          <w:w w:val="105"/>
        </w:rPr>
        <w:t xml:space="preserve"> </w:t>
      </w:r>
      <w:r>
        <w:rPr>
          <w:color w:val="231F20"/>
          <w:w w:val="105"/>
        </w:rPr>
        <w:t>&amp;</w:t>
      </w:r>
      <w:r>
        <w:rPr>
          <w:color w:val="231F20"/>
          <w:spacing w:val="22"/>
          <w:w w:val="105"/>
        </w:rPr>
        <w:t xml:space="preserve"> </w:t>
      </w:r>
      <w:r>
        <w:rPr>
          <w:color w:val="231F20"/>
        </w:rPr>
        <w:t>Goodrich,</w:t>
      </w:r>
      <w:r>
        <w:rPr>
          <w:color w:val="231F20"/>
          <w:spacing w:val="24"/>
        </w:rPr>
        <w:t xml:space="preserve"> </w:t>
      </w:r>
      <w:r>
        <w:rPr>
          <w:color w:val="231F20"/>
        </w:rPr>
        <w:t>2009). Fragme</w:t>
      </w:r>
      <w:r>
        <w:rPr>
          <w:color w:val="231F20"/>
        </w:rPr>
        <w:t>nted,</w:t>
      </w:r>
      <w:r>
        <w:rPr>
          <w:color w:val="231F20"/>
          <w:spacing w:val="30"/>
        </w:rPr>
        <w:t xml:space="preserve"> </w:t>
      </w:r>
      <w:r>
        <w:rPr>
          <w:color w:val="231F20"/>
        </w:rPr>
        <w:t>unfamiliar,</w:t>
      </w:r>
      <w:r>
        <w:rPr>
          <w:color w:val="231F20"/>
          <w:spacing w:val="30"/>
        </w:rPr>
        <w:t xml:space="preserve"> </w:t>
      </w:r>
      <w:r>
        <w:rPr>
          <w:color w:val="231F20"/>
        </w:rPr>
        <w:t>unsafe,</w:t>
      </w:r>
      <w:r>
        <w:rPr>
          <w:color w:val="231F20"/>
          <w:spacing w:val="30"/>
        </w:rPr>
        <w:t xml:space="preserve"> </w:t>
      </w:r>
      <w:r>
        <w:rPr>
          <w:color w:val="231F20"/>
        </w:rPr>
        <w:t>dirty</w:t>
      </w:r>
      <w:r>
        <w:rPr>
          <w:color w:val="231F20"/>
          <w:spacing w:val="30"/>
        </w:rPr>
        <w:t xml:space="preserve"> </w:t>
      </w:r>
      <w:r>
        <w:rPr>
          <w:color w:val="231F20"/>
        </w:rPr>
        <w:t>places</w:t>
      </w:r>
      <w:r>
        <w:rPr>
          <w:color w:val="231F20"/>
          <w:spacing w:val="30"/>
        </w:rPr>
        <w:t xml:space="preserve"> </w:t>
      </w:r>
      <w:r>
        <w:rPr>
          <w:color w:val="231F20"/>
        </w:rPr>
        <w:t>may</w:t>
      </w:r>
      <w:r>
        <w:rPr>
          <w:color w:val="231F20"/>
          <w:spacing w:val="30"/>
        </w:rPr>
        <w:t xml:space="preserve"> </w:t>
      </w:r>
      <w:r>
        <w:rPr>
          <w:color w:val="231F20"/>
        </w:rPr>
        <w:t>have</w:t>
      </w:r>
      <w:r>
        <w:rPr>
          <w:color w:val="231F20"/>
          <w:spacing w:val="30"/>
        </w:rPr>
        <w:t xml:space="preserve"> </w:t>
      </w:r>
      <w:r>
        <w:rPr>
          <w:color w:val="231F20"/>
        </w:rPr>
        <w:t>a</w:t>
      </w:r>
      <w:r>
        <w:rPr>
          <w:color w:val="231F20"/>
          <w:spacing w:val="30"/>
        </w:rPr>
        <w:t xml:space="preserve"> </w:t>
      </w:r>
      <w:r>
        <w:rPr>
          <w:color w:val="231F20"/>
        </w:rPr>
        <w:t>significant impact</w:t>
      </w:r>
      <w:r>
        <w:rPr>
          <w:color w:val="231F20"/>
          <w:spacing w:val="-3"/>
        </w:rPr>
        <w:t xml:space="preserve"> </w:t>
      </w:r>
      <w:r>
        <w:rPr>
          <w:color w:val="231F20"/>
        </w:rPr>
        <w:t>not</w:t>
      </w:r>
      <w:r>
        <w:rPr>
          <w:color w:val="231F20"/>
          <w:spacing w:val="-3"/>
        </w:rPr>
        <w:t xml:space="preserve"> </w:t>
      </w:r>
      <w:r>
        <w:rPr>
          <w:color w:val="231F20"/>
        </w:rPr>
        <w:t>only</w:t>
      </w:r>
      <w:r>
        <w:rPr>
          <w:color w:val="231F20"/>
          <w:spacing w:val="-3"/>
        </w:rPr>
        <w:t xml:space="preserve"> </w:t>
      </w:r>
      <w:r>
        <w:rPr>
          <w:color w:val="231F20"/>
        </w:rPr>
        <w:t>on</w:t>
      </w:r>
      <w:r>
        <w:rPr>
          <w:color w:val="231F20"/>
          <w:spacing w:val="-3"/>
        </w:rPr>
        <w:t xml:space="preserve"> </w:t>
      </w:r>
      <w:r>
        <w:rPr>
          <w:color w:val="231F20"/>
        </w:rPr>
        <w:t>how</w:t>
      </w:r>
      <w:r>
        <w:rPr>
          <w:color w:val="231F20"/>
          <w:spacing w:val="-3"/>
        </w:rPr>
        <w:t xml:space="preserve"> </w:t>
      </w:r>
      <w:r>
        <w:rPr>
          <w:color w:val="231F20"/>
        </w:rPr>
        <w:t>a</w:t>
      </w:r>
      <w:r>
        <w:rPr>
          <w:color w:val="231F20"/>
          <w:spacing w:val="-3"/>
        </w:rPr>
        <w:t xml:space="preserve"> </w:t>
      </w:r>
      <w:r>
        <w:rPr>
          <w:color w:val="231F20"/>
        </w:rPr>
        <w:t>person</w:t>
      </w:r>
      <w:r>
        <w:rPr>
          <w:color w:val="231F20"/>
          <w:spacing w:val="-3"/>
        </w:rPr>
        <w:t xml:space="preserve"> </w:t>
      </w:r>
      <w:r>
        <w:rPr>
          <w:color w:val="231F20"/>
        </w:rPr>
        <w:t>feels</w:t>
      </w:r>
      <w:r>
        <w:rPr>
          <w:color w:val="231F20"/>
          <w:spacing w:val="-3"/>
        </w:rPr>
        <w:t xml:space="preserve"> </w:t>
      </w:r>
      <w:r>
        <w:rPr>
          <w:color w:val="231F20"/>
        </w:rPr>
        <w:t>about</w:t>
      </w:r>
      <w:r>
        <w:rPr>
          <w:color w:val="231F20"/>
          <w:spacing w:val="-3"/>
        </w:rPr>
        <w:t xml:space="preserve"> </w:t>
      </w:r>
      <w:r>
        <w:rPr>
          <w:color w:val="231F20"/>
        </w:rPr>
        <w:t>where</w:t>
      </w:r>
      <w:r>
        <w:rPr>
          <w:color w:val="231F20"/>
          <w:spacing w:val="-3"/>
        </w:rPr>
        <w:t xml:space="preserve"> </w:t>
      </w:r>
      <w:r>
        <w:rPr>
          <w:color w:val="231F20"/>
        </w:rPr>
        <w:t>she</w:t>
      </w:r>
      <w:r>
        <w:rPr>
          <w:color w:val="231F20"/>
          <w:spacing w:val="-3"/>
        </w:rPr>
        <w:t xml:space="preserve"> </w:t>
      </w:r>
      <w:r>
        <w:rPr>
          <w:color w:val="231F20"/>
        </w:rPr>
        <w:t>or</w:t>
      </w:r>
      <w:r>
        <w:rPr>
          <w:color w:val="231F20"/>
          <w:spacing w:val="-3"/>
        </w:rPr>
        <w:t xml:space="preserve"> </w:t>
      </w:r>
      <w:r>
        <w:rPr>
          <w:color w:val="231F20"/>
        </w:rPr>
        <w:t>he</w:t>
      </w:r>
      <w:r>
        <w:rPr>
          <w:color w:val="231F20"/>
          <w:spacing w:val="-3"/>
        </w:rPr>
        <w:t xml:space="preserve"> </w:t>
      </w:r>
      <w:r>
        <w:rPr>
          <w:color w:val="231F20"/>
        </w:rPr>
        <w:t>lives</w:t>
      </w:r>
      <w:r>
        <w:rPr>
          <w:color w:val="231F20"/>
          <w:spacing w:val="-3"/>
        </w:rPr>
        <w:t xml:space="preserve"> </w:t>
      </w:r>
      <w:r>
        <w:rPr>
          <w:color w:val="231F20"/>
        </w:rPr>
        <w:t>but also</w:t>
      </w:r>
      <w:r>
        <w:rPr>
          <w:color w:val="231F20"/>
          <w:spacing w:val="-4"/>
        </w:rPr>
        <w:t xml:space="preserve"> </w:t>
      </w:r>
      <w:r>
        <w:rPr>
          <w:color w:val="231F20"/>
        </w:rPr>
        <w:t>how</w:t>
      </w:r>
      <w:r>
        <w:rPr>
          <w:color w:val="231F20"/>
          <w:spacing w:val="-3"/>
        </w:rPr>
        <w:t xml:space="preserve"> </w:t>
      </w:r>
      <w:r>
        <w:rPr>
          <w:color w:val="231F20"/>
        </w:rPr>
        <w:t>she</w:t>
      </w:r>
      <w:r>
        <w:rPr>
          <w:color w:val="231F20"/>
          <w:spacing w:val="-3"/>
        </w:rPr>
        <w:t xml:space="preserve"> </w:t>
      </w:r>
      <w:r>
        <w:rPr>
          <w:color w:val="231F20"/>
        </w:rPr>
        <w:t>or</w:t>
      </w:r>
      <w:r>
        <w:rPr>
          <w:color w:val="231F20"/>
          <w:spacing w:val="-3"/>
        </w:rPr>
        <w:t xml:space="preserve"> </w:t>
      </w:r>
      <w:r>
        <w:rPr>
          <w:color w:val="231F20"/>
        </w:rPr>
        <w:t>he</w:t>
      </w:r>
      <w:r>
        <w:rPr>
          <w:color w:val="231F20"/>
          <w:spacing w:val="-3"/>
        </w:rPr>
        <w:t xml:space="preserve"> </w:t>
      </w:r>
      <w:r>
        <w:rPr>
          <w:color w:val="231F20"/>
        </w:rPr>
        <w:t>feels</w:t>
      </w:r>
      <w:r>
        <w:rPr>
          <w:color w:val="231F20"/>
          <w:spacing w:val="-4"/>
        </w:rPr>
        <w:t xml:space="preserve"> </w:t>
      </w:r>
      <w:r>
        <w:rPr>
          <w:color w:val="231F20"/>
        </w:rPr>
        <w:t>about</w:t>
      </w:r>
      <w:r>
        <w:rPr>
          <w:color w:val="231F20"/>
          <w:spacing w:val="-3"/>
        </w:rPr>
        <w:t xml:space="preserve"> </w:t>
      </w:r>
      <w:r>
        <w:rPr>
          <w:color w:val="231F20"/>
        </w:rPr>
        <w:t>herself</w:t>
      </w:r>
      <w:r>
        <w:rPr>
          <w:color w:val="231F20"/>
          <w:spacing w:val="-3"/>
        </w:rPr>
        <w:t xml:space="preserve"> </w:t>
      </w:r>
      <w:r>
        <w:rPr>
          <w:color w:val="231F20"/>
        </w:rPr>
        <w:t>or</w:t>
      </w:r>
      <w:r>
        <w:rPr>
          <w:color w:val="231F20"/>
          <w:spacing w:val="-3"/>
        </w:rPr>
        <w:t xml:space="preserve"> </w:t>
      </w:r>
      <w:r>
        <w:rPr>
          <w:color w:val="231F20"/>
        </w:rPr>
        <w:t>himself.</w:t>
      </w:r>
      <w:r>
        <w:rPr>
          <w:color w:val="231F20"/>
          <w:spacing w:val="-3"/>
        </w:rPr>
        <w:t xml:space="preserve"> </w:t>
      </w:r>
      <w:r>
        <w:rPr>
          <w:color w:val="231F20"/>
        </w:rPr>
        <w:t>Public</w:t>
      </w:r>
      <w:r>
        <w:rPr>
          <w:color w:val="231F20"/>
          <w:spacing w:val="-4"/>
        </w:rPr>
        <w:t xml:space="preserve"> </w:t>
      </w:r>
      <w:r>
        <w:rPr>
          <w:color w:val="231F20"/>
        </w:rPr>
        <w:t>leisure</w:t>
      </w:r>
      <w:r>
        <w:rPr>
          <w:color w:val="231F20"/>
          <w:spacing w:val="-3"/>
        </w:rPr>
        <w:t xml:space="preserve"> </w:t>
      </w:r>
      <w:r>
        <w:rPr>
          <w:color w:val="231F20"/>
        </w:rPr>
        <w:t>spaces within</w:t>
      </w:r>
      <w:r>
        <w:rPr>
          <w:color w:val="231F20"/>
          <w:spacing w:val="16"/>
        </w:rPr>
        <w:t xml:space="preserve"> </w:t>
      </w:r>
      <w:r>
        <w:rPr>
          <w:color w:val="231F20"/>
        </w:rPr>
        <w:t>communities</w:t>
      </w:r>
      <w:r>
        <w:rPr>
          <w:color w:val="231F20"/>
          <w:spacing w:val="16"/>
        </w:rPr>
        <w:t xml:space="preserve"> </w:t>
      </w:r>
      <w:r>
        <w:rPr>
          <w:color w:val="231F20"/>
        </w:rPr>
        <w:t>can</w:t>
      </w:r>
      <w:r>
        <w:rPr>
          <w:color w:val="231F20"/>
          <w:spacing w:val="16"/>
        </w:rPr>
        <w:t xml:space="preserve"> </w:t>
      </w:r>
      <w:r>
        <w:rPr>
          <w:color w:val="231F20"/>
        </w:rPr>
        <w:t>thus</w:t>
      </w:r>
      <w:r>
        <w:rPr>
          <w:color w:val="231F20"/>
          <w:spacing w:val="16"/>
        </w:rPr>
        <w:t xml:space="preserve"> </w:t>
      </w:r>
      <w:r>
        <w:rPr>
          <w:color w:val="231F20"/>
        </w:rPr>
        <w:t>suggest</w:t>
      </w:r>
      <w:r>
        <w:rPr>
          <w:color w:val="231F20"/>
          <w:spacing w:val="16"/>
        </w:rPr>
        <w:t xml:space="preserve"> </w:t>
      </w:r>
      <w:r>
        <w:rPr>
          <w:color w:val="231F20"/>
        </w:rPr>
        <w:t>a</w:t>
      </w:r>
      <w:r>
        <w:rPr>
          <w:color w:val="231F20"/>
          <w:spacing w:val="16"/>
        </w:rPr>
        <w:t xml:space="preserve"> </w:t>
      </w:r>
      <w:r>
        <w:rPr>
          <w:color w:val="231F20"/>
        </w:rPr>
        <w:t>lot</w:t>
      </w:r>
      <w:r>
        <w:rPr>
          <w:color w:val="231F20"/>
          <w:spacing w:val="16"/>
        </w:rPr>
        <w:t xml:space="preserve"> </w:t>
      </w:r>
      <w:r>
        <w:rPr>
          <w:color w:val="231F20"/>
        </w:rPr>
        <w:t>about</w:t>
      </w:r>
      <w:r>
        <w:rPr>
          <w:color w:val="231F20"/>
          <w:spacing w:val="16"/>
        </w:rPr>
        <w:t xml:space="preserve"> </w:t>
      </w:r>
      <w:r>
        <w:rPr>
          <w:color w:val="231F20"/>
        </w:rPr>
        <w:t>the</w:t>
      </w:r>
      <w:r>
        <w:rPr>
          <w:color w:val="231F20"/>
          <w:spacing w:val="16"/>
        </w:rPr>
        <w:t xml:space="preserve"> </w:t>
      </w:r>
      <w:r>
        <w:rPr>
          <w:color w:val="231F20"/>
        </w:rPr>
        <w:t>identity</w:t>
      </w:r>
      <w:r>
        <w:rPr>
          <w:color w:val="231F20"/>
          <w:spacing w:val="16"/>
        </w:rPr>
        <w:t xml:space="preserve"> </w:t>
      </w:r>
      <w:r>
        <w:rPr>
          <w:color w:val="231F20"/>
        </w:rPr>
        <w:t>of</w:t>
      </w:r>
      <w:r>
        <w:rPr>
          <w:color w:val="231F20"/>
          <w:spacing w:val="16"/>
        </w:rPr>
        <w:t xml:space="preserve"> </w:t>
      </w:r>
      <w:r>
        <w:rPr>
          <w:color w:val="231F20"/>
        </w:rPr>
        <w:t xml:space="preserve">that </w:t>
      </w:r>
      <w:r>
        <w:rPr>
          <w:color w:val="231F20"/>
          <w:w w:val="95"/>
        </w:rPr>
        <w:t>community,</w:t>
      </w:r>
      <w:r>
        <w:rPr>
          <w:color w:val="231F20"/>
          <w:spacing w:val="16"/>
        </w:rPr>
        <w:t xml:space="preserve"> </w:t>
      </w:r>
      <w:r>
        <w:rPr>
          <w:color w:val="231F20"/>
          <w:w w:val="95"/>
        </w:rPr>
        <w:t>an</w:t>
      </w:r>
      <w:r>
        <w:rPr>
          <w:color w:val="231F20"/>
          <w:spacing w:val="16"/>
        </w:rPr>
        <w:t xml:space="preserve"> </w:t>
      </w:r>
      <w:r>
        <w:rPr>
          <w:color w:val="231F20"/>
          <w:w w:val="95"/>
        </w:rPr>
        <w:t>identity</w:t>
      </w:r>
      <w:r>
        <w:rPr>
          <w:color w:val="231F20"/>
          <w:spacing w:val="17"/>
        </w:rPr>
        <w:t xml:space="preserve"> </w:t>
      </w:r>
      <w:r>
        <w:rPr>
          <w:color w:val="231F20"/>
          <w:w w:val="95"/>
        </w:rPr>
        <w:t>that</w:t>
      </w:r>
      <w:r>
        <w:rPr>
          <w:color w:val="231F20"/>
          <w:spacing w:val="16"/>
        </w:rPr>
        <w:t xml:space="preserve"> </w:t>
      </w:r>
      <w:r>
        <w:rPr>
          <w:color w:val="231F20"/>
          <w:w w:val="95"/>
        </w:rPr>
        <w:t>can</w:t>
      </w:r>
      <w:r>
        <w:rPr>
          <w:color w:val="231F20"/>
          <w:spacing w:val="16"/>
        </w:rPr>
        <w:t xml:space="preserve"> </w:t>
      </w:r>
      <w:r>
        <w:rPr>
          <w:color w:val="231F20"/>
          <w:w w:val="95"/>
        </w:rPr>
        <w:t>certainly</w:t>
      </w:r>
      <w:r>
        <w:rPr>
          <w:color w:val="231F20"/>
          <w:spacing w:val="17"/>
        </w:rPr>
        <w:t xml:space="preserve"> </w:t>
      </w:r>
      <w:r>
        <w:rPr>
          <w:color w:val="231F20"/>
          <w:w w:val="95"/>
        </w:rPr>
        <w:t>be</w:t>
      </w:r>
      <w:r>
        <w:rPr>
          <w:color w:val="231F20"/>
          <w:spacing w:val="16"/>
        </w:rPr>
        <w:t xml:space="preserve"> </w:t>
      </w:r>
      <w:r>
        <w:rPr>
          <w:color w:val="231F20"/>
          <w:w w:val="95"/>
        </w:rPr>
        <w:t>imposed</w:t>
      </w:r>
      <w:r>
        <w:rPr>
          <w:color w:val="231F20"/>
          <w:spacing w:val="17"/>
        </w:rPr>
        <w:t xml:space="preserve"> </w:t>
      </w:r>
      <w:r>
        <w:rPr>
          <w:color w:val="231F20"/>
          <w:w w:val="95"/>
        </w:rPr>
        <w:t>through</w:t>
      </w:r>
      <w:r>
        <w:rPr>
          <w:color w:val="231F20"/>
          <w:spacing w:val="16"/>
        </w:rPr>
        <w:t xml:space="preserve"> </w:t>
      </w:r>
      <w:r>
        <w:rPr>
          <w:color w:val="231F20"/>
          <w:spacing w:val="-2"/>
          <w:w w:val="95"/>
        </w:rPr>
        <w:t>external</w:t>
      </w:r>
    </w:p>
    <w:p w14:paraId="2AFAA984" w14:textId="77777777" w:rsidR="00AE0598" w:rsidRDefault="00AE0598">
      <w:pPr>
        <w:spacing w:line="232" w:lineRule="auto"/>
        <w:jc w:val="right"/>
        <w:sectPr w:rsidR="00AE0598">
          <w:pgSz w:w="8850" w:h="13270"/>
          <w:pgMar w:top="720" w:right="1060" w:bottom="280" w:left="1080" w:header="720" w:footer="720" w:gutter="0"/>
          <w:cols w:space="720"/>
        </w:sectPr>
      </w:pPr>
    </w:p>
    <w:p w14:paraId="6D460045" w14:textId="6F64B24C" w:rsidR="00AE0598" w:rsidRDefault="0069255A">
      <w:pPr>
        <w:spacing w:before="87"/>
        <w:ind w:left="4070"/>
        <w:rPr>
          <w:rFonts w:ascii="Trebuchet MS"/>
          <w:sz w:val="14"/>
        </w:rPr>
      </w:pPr>
      <w:r>
        <w:rPr>
          <w:noProof/>
        </w:rPr>
        <w:lastRenderedPageBreak/>
        <mc:AlternateContent>
          <mc:Choice Requires="wps">
            <w:drawing>
              <wp:anchor distT="0" distB="0" distL="114300" distR="114300" simplePos="0" relativeHeight="483703296" behindDoc="1" locked="0" layoutInCell="1" allowOverlap="1" wp14:anchorId="583272F9" wp14:editId="4A95C99F">
                <wp:simplePos x="0" y="0"/>
                <wp:positionH relativeFrom="page">
                  <wp:posOffset>755650</wp:posOffset>
                </wp:positionH>
                <wp:positionV relativeFrom="page">
                  <wp:posOffset>838200</wp:posOffset>
                </wp:positionV>
                <wp:extent cx="4104005" cy="6686550"/>
                <wp:effectExtent l="0" t="0" r="0" b="0"/>
                <wp:wrapNone/>
                <wp:docPr id="216" name="docshape1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04005" cy="6686550"/>
                        </a:xfrm>
                        <a:prstGeom prst="rect">
                          <a:avLst/>
                        </a:prstGeom>
                        <a:solidFill>
                          <a:srgbClr val="DCDDD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CD1C37" id="docshape155" o:spid="_x0000_s1026" style="position:absolute;margin-left:59.5pt;margin-top:66pt;width:323.15pt;height:526.5pt;z-index:-196131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" fillcolor="#dcddde" stroked="f">
                <w10:wrap anchorx="page" anchory="page"/>
              </v:rect>
            </w:pict>
          </mc:Fallback>
        </mc:AlternateContent>
      </w:r>
      <w:r>
        <w:rPr>
          <w:rFonts w:ascii="Trebuchet MS"/>
          <w:color w:val="231F20"/>
          <w:w w:val="105"/>
          <w:sz w:val="14"/>
        </w:rPr>
        <w:t>Space:</w:t>
      </w:r>
      <w:r>
        <w:rPr>
          <w:rFonts w:ascii="Trebuchet MS"/>
          <w:color w:val="231F20"/>
          <w:spacing w:val="-12"/>
          <w:w w:val="105"/>
          <w:sz w:val="14"/>
        </w:rPr>
        <w:t xml:space="preserve"> </w:t>
      </w:r>
      <w:r>
        <w:rPr>
          <w:rFonts w:ascii="Trebuchet MS"/>
          <w:color w:val="231F20"/>
          <w:w w:val="105"/>
          <w:sz w:val="14"/>
        </w:rPr>
        <w:t>Location</w:t>
      </w:r>
      <w:r>
        <w:rPr>
          <w:rFonts w:ascii="Trebuchet MS"/>
          <w:color w:val="231F20"/>
          <w:spacing w:val="-11"/>
          <w:w w:val="105"/>
          <w:sz w:val="14"/>
        </w:rPr>
        <w:t xml:space="preserve"> </w:t>
      </w:r>
      <w:r>
        <w:rPr>
          <w:rFonts w:ascii="Trebuchet MS"/>
          <w:color w:val="231F20"/>
          <w:w w:val="105"/>
          <w:sz w:val="14"/>
        </w:rPr>
        <w:t>and</w:t>
      </w:r>
      <w:r>
        <w:rPr>
          <w:rFonts w:ascii="Trebuchet MS"/>
          <w:color w:val="231F20"/>
          <w:spacing w:val="-11"/>
          <w:w w:val="105"/>
          <w:sz w:val="14"/>
        </w:rPr>
        <w:t xml:space="preserve"> </w:t>
      </w:r>
      <w:r>
        <w:rPr>
          <w:rFonts w:ascii="Trebuchet MS"/>
          <w:color w:val="231F20"/>
          <w:w w:val="105"/>
          <w:sz w:val="14"/>
        </w:rPr>
        <w:t>Travel</w:t>
      </w:r>
      <w:r>
        <w:rPr>
          <w:rFonts w:ascii="Trebuchet MS"/>
          <w:color w:val="231F20"/>
          <w:spacing w:val="-11"/>
          <w:w w:val="105"/>
          <w:sz w:val="14"/>
        </w:rPr>
        <w:t xml:space="preserve"> </w:t>
      </w:r>
      <w:r>
        <w:rPr>
          <w:rFonts w:ascii="Trebuchet MS"/>
          <w:color w:val="231F20"/>
          <w:w w:val="105"/>
          <w:sz w:val="14"/>
        </w:rPr>
        <w:t>Flows</w:t>
      </w:r>
      <w:r>
        <w:rPr>
          <w:rFonts w:ascii="Trebuchet MS"/>
          <w:color w:val="231F20"/>
          <w:spacing w:val="59"/>
          <w:w w:val="105"/>
          <w:sz w:val="14"/>
        </w:rPr>
        <w:t xml:space="preserve"> </w:t>
      </w:r>
      <w:r>
        <w:rPr>
          <w:rFonts w:ascii="Trebuchet MS"/>
          <w:color w:val="231F20"/>
          <w:spacing w:val="-5"/>
          <w:w w:val="105"/>
          <w:sz w:val="14"/>
        </w:rPr>
        <w:t>103</w:t>
      </w:r>
    </w:p>
    <w:p w14:paraId="318556AC" w14:textId="77777777" w:rsidR="00AE0598" w:rsidRDefault="00AE0598">
      <w:pPr>
        <w:pStyle w:val="Corpodetexto"/>
        <w:spacing w:before="1"/>
        <w:rPr>
          <w:rFonts w:ascii="Trebuchet MS"/>
          <w:sz w:val="27"/>
        </w:rPr>
      </w:pPr>
    </w:p>
    <w:p w14:paraId="635AC4D9" w14:textId="77777777" w:rsidR="00AE0598" w:rsidRDefault="0069255A">
      <w:pPr>
        <w:pStyle w:val="Corpodetexto"/>
        <w:spacing w:before="103" w:line="232" w:lineRule="auto"/>
        <w:ind w:left="223" w:right="241"/>
        <w:jc w:val="right"/>
      </w:pPr>
      <w:r>
        <w:rPr>
          <w:color w:val="231F20"/>
        </w:rPr>
        <w:t>forces but</w:t>
      </w:r>
      <w:r>
        <w:rPr>
          <w:color w:val="231F20"/>
          <w:spacing w:val="-1"/>
        </w:rPr>
        <w:t xml:space="preserve"> </w:t>
      </w:r>
      <w:r>
        <w:rPr>
          <w:color w:val="231F20"/>
        </w:rPr>
        <w:t>that,</w:t>
      </w:r>
      <w:r>
        <w:rPr>
          <w:color w:val="231F20"/>
          <w:spacing w:val="-1"/>
        </w:rPr>
        <w:t xml:space="preserve"> </w:t>
      </w:r>
      <w:r>
        <w:rPr>
          <w:color w:val="231F20"/>
        </w:rPr>
        <w:t>nonetheless, significantly impacts on how those living within</w:t>
      </w:r>
      <w:r>
        <w:rPr>
          <w:color w:val="231F20"/>
          <w:spacing w:val="34"/>
        </w:rPr>
        <w:t xml:space="preserve"> </w:t>
      </w:r>
      <w:r>
        <w:rPr>
          <w:color w:val="231F20"/>
        </w:rPr>
        <w:t>that</w:t>
      </w:r>
      <w:r>
        <w:rPr>
          <w:color w:val="231F20"/>
          <w:spacing w:val="34"/>
        </w:rPr>
        <w:t xml:space="preserve"> </w:t>
      </w:r>
      <w:r>
        <w:rPr>
          <w:color w:val="231F20"/>
        </w:rPr>
        <w:t>community</w:t>
      </w:r>
      <w:r>
        <w:rPr>
          <w:color w:val="231F20"/>
          <w:spacing w:val="35"/>
        </w:rPr>
        <w:t xml:space="preserve"> </w:t>
      </w:r>
      <w:r>
        <w:rPr>
          <w:color w:val="231F20"/>
        </w:rPr>
        <w:t>see</w:t>
      </w:r>
      <w:r>
        <w:rPr>
          <w:color w:val="231F20"/>
          <w:spacing w:val="35"/>
        </w:rPr>
        <w:t xml:space="preserve"> </w:t>
      </w:r>
      <w:r>
        <w:rPr>
          <w:color w:val="231F20"/>
        </w:rPr>
        <w:t>themselves.</w:t>
      </w:r>
      <w:r>
        <w:rPr>
          <w:color w:val="231F20"/>
          <w:spacing w:val="35"/>
        </w:rPr>
        <w:t xml:space="preserve"> </w:t>
      </w:r>
      <w:r>
        <w:rPr>
          <w:color w:val="231F20"/>
        </w:rPr>
        <w:t>Previous</w:t>
      </w:r>
      <w:r>
        <w:rPr>
          <w:color w:val="231F20"/>
          <w:spacing w:val="34"/>
        </w:rPr>
        <w:t xml:space="preserve"> </w:t>
      </w:r>
      <w:r>
        <w:rPr>
          <w:color w:val="231F20"/>
        </w:rPr>
        <w:t>research</w:t>
      </w:r>
      <w:r>
        <w:rPr>
          <w:color w:val="231F20"/>
          <w:spacing w:val="35"/>
        </w:rPr>
        <w:t xml:space="preserve"> </w:t>
      </w:r>
      <w:r>
        <w:rPr>
          <w:color w:val="231F20"/>
        </w:rPr>
        <w:t>has</w:t>
      </w:r>
      <w:r>
        <w:rPr>
          <w:color w:val="231F20"/>
          <w:spacing w:val="35"/>
        </w:rPr>
        <w:t xml:space="preserve"> </w:t>
      </w:r>
      <w:r>
        <w:rPr>
          <w:color w:val="231F20"/>
        </w:rPr>
        <w:t xml:space="preserve">also </w:t>
      </w:r>
      <w:r>
        <w:rPr>
          <w:color w:val="231F20"/>
          <w:w w:val="95"/>
        </w:rPr>
        <w:t>indicated</w:t>
      </w:r>
      <w:r>
        <w:rPr>
          <w:color w:val="231F20"/>
          <w:spacing w:val="35"/>
        </w:rPr>
        <w:t xml:space="preserve"> </w:t>
      </w:r>
      <w:r>
        <w:rPr>
          <w:color w:val="231F20"/>
          <w:w w:val="95"/>
        </w:rPr>
        <w:t>that</w:t>
      </w:r>
      <w:r>
        <w:rPr>
          <w:color w:val="231F20"/>
          <w:spacing w:val="35"/>
        </w:rPr>
        <w:t xml:space="preserve"> </w:t>
      </w:r>
      <w:r>
        <w:rPr>
          <w:color w:val="231F20"/>
          <w:w w:val="95"/>
        </w:rPr>
        <w:t>the</w:t>
      </w:r>
      <w:r>
        <w:rPr>
          <w:color w:val="231F20"/>
          <w:spacing w:val="35"/>
        </w:rPr>
        <w:t xml:space="preserve"> </w:t>
      </w:r>
      <w:r>
        <w:rPr>
          <w:color w:val="231F20"/>
          <w:w w:val="95"/>
        </w:rPr>
        <w:t>availability,</w:t>
      </w:r>
      <w:r>
        <w:rPr>
          <w:color w:val="231F20"/>
          <w:spacing w:val="35"/>
        </w:rPr>
        <w:t xml:space="preserve"> </w:t>
      </w:r>
      <w:r>
        <w:rPr>
          <w:color w:val="231F20"/>
          <w:w w:val="95"/>
        </w:rPr>
        <w:t>access</w:t>
      </w:r>
      <w:r>
        <w:rPr>
          <w:color w:val="231F20"/>
          <w:spacing w:val="35"/>
        </w:rPr>
        <w:t xml:space="preserve"> </w:t>
      </w:r>
      <w:r>
        <w:rPr>
          <w:color w:val="231F20"/>
          <w:w w:val="95"/>
        </w:rPr>
        <w:t>and</w:t>
      </w:r>
      <w:r>
        <w:rPr>
          <w:color w:val="231F20"/>
          <w:spacing w:val="35"/>
        </w:rPr>
        <w:t xml:space="preserve"> </w:t>
      </w:r>
      <w:r>
        <w:rPr>
          <w:color w:val="231F20"/>
          <w:w w:val="95"/>
        </w:rPr>
        <w:t>physical/social</w:t>
      </w:r>
      <w:r>
        <w:rPr>
          <w:color w:val="231F20"/>
          <w:spacing w:val="35"/>
        </w:rPr>
        <w:t xml:space="preserve"> </w:t>
      </w:r>
      <w:r>
        <w:rPr>
          <w:color w:val="231F20"/>
          <w:w w:val="95"/>
        </w:rPr>
        <w:t>attributes</w:t>
      </w:r>
      <w:r>
        <w:rPr>
          <w:color w:val="231F20"/>
          <w:spacing w:val="35"/>
        </w:rPr>
        <w:t xml:space="preserve"> </w:t>
      </w:r>
      <w:r>
        <w:rPr>
          <w:color w:val="231F20"/>
          <w:w w:val="95"/>
        </w:rPr>
        <w:t>of such</w:t>
      </w:r>
      <w:r>
        <w:rPr>
          <w:color w:val="231F20"/>
          <w:spacing w:val="15"/>
        </w:rPr>
        <w:t xml:space="preserve"> </w:t>
      </w:r>
      <w:r>
        <w:rPr>
          <w:color w:val="231F20"/>
          <w:w w:val="95"/>
        </w:rPr>
        <w:t>aesthetics</w:t>
      </w:r>
      <w:r>
        <w:rPr>
          <w:color w:val="231F20"/>
          <w:spacing w:val="15"/>
        </w:rPr>
        <w:t xml:space="preserve"> </w:t>
      </w:r>
      <w:r>
        <w:rPr>
          <w:color w:val="231F20"/>
          <w:w w:val="95"/>
        </w:rPr>
        <w:t>and</w:t>
      </w:r>
      <w:r>
        <w:rPr>
          <w:color w:val="231F20"/>
          <w:spacing w:val="15"/>
        </w:rPr>
        <w:t xml:space="preserve"> </w:t>
      </w:r>
      <w:r>
        <w:rPr>
          <w:color w:val="231F20"/>
          <w:w w:val="95"/>
        </w:rPr>
        <w:t>safety</w:t>
      </w:r>
      <w:r>
        <w:rPr>
          <w:color w:val="231F20"/>
          <w:spacing w:val="15"/>
        </w:rPr>
        <w:t xml:space="preserve"> </w:t>
      </w:r>
      <w:r>
        <w:rPr>
          <w:color w:val="231F20"/>
          <w:w w:val="95"/>
        </w:rPr>
        <w:t>of</w:t>
      </w:r>
      <w:r>
        <w:rPr>
          <w:color w:val="231F20"/>
          <w:spacing w:val="15"/>
        </w:rPr>
        <w:t xml:space="preserve"> </w:t>
      </w:r>
      <w:r>
        <w:rPr>
          <w:color w:val="231F20"/>
          <w:w w:val="95"/>
        </w:rPr>
        <w:t>spaces</w:t>
      </w:r>
      <w:r>
        <w:rPr>
          <w:color w:val="231F20"/>
          <w:spacing w:val="15"/>
        </w:rPr>
        <w:t xml:space="preserve"> </w:t>
      </w:r>
      <w:r>
        <w:rPr>
          <w:color w:val="231F20"/>
          <w:w w:val="95"/>
        </w:rPr>
        <w:t>for</w:t>
      </w:r>
      <w:r>
        <w:rPr>
          <w:color w:val="231F20"/>
          <w:spacing w:val="15"/>
        </w:rPr>
        <w:t xml:space="preserve"> </w:t>
      </w:r>
      <w:r>
        <w:rPr>
          <w:color w:val="231F20"/>
          <w:w w:val="95"/>
        </w:rPr>
        <w:t>active</w:t>
      </w:r>
      <w:r>
        <w:rPr>
          <w:color w:val="231F20"/>
          <w:spacing w:val="15"/>
        </w:rPr>
        <w:t xml:space="preserve"> </w:t>
      </w:r>
      <w:r>
        <w:rPr>
          <w:color w:val="231F20"/>
          <w:w w:val="95"/>
        </w:rPr>
        <w:t>leisure</w:t>
      </w:r>
      <w:r>
        <w:rPr>
          <w:color w:val="231F20"/>
          <w:spacing w:val="15"/>
        </w:rPr>
        <w:t xml:space="preserve"> </w:t>
      </w:r>
      <w:r>
        <w:rPr>
          <w:color w:val="231F20"/>
          <w:w w:val="95"/>
        </w:rPr>
        <w:t>are</w:t>
      </w:r>
      <w:r>
        <w:rPr>
          <w:color w:val="231F20"/>
          <w:spacing w:val="15"/>
        </w:rPr>
        <w:t xml:space="preserve"> </w:t>
      </w:r>
      <w:r>
        <w:rPr>
          <w:color w:val="231F20"/>
          <w:w w:val="95"/>
        </w:rPr>
        <w:t>influenced</w:t>
      </w:r>
      <w:r>
        <w:rPr>
          <w:color w:val="231F20"/>
          <w:spacing w:val="15"/>
        </w:rPr>
        <w:t xml:space="preserve"> </w:t>
      </w:r>
      <w:r>
        <w:rPr>
          <w:color w:val="231F20"/>
          <w:w w:val="95"/>
        </w:rPr>
        <w:t xml:space="preserve">by a neighbourhood’s socio-economic level and that low SES areas possess </w:t>
      </w:r>
      <w:r>
        <w:rPr>
          <w:color w:val="231F20"/>
        </w:rPr>
        <w:t>fewer</w:t>
      </w:r>
      <w:r>
        <w:rPr>
          <w:color w:val="231F20"/>
          <w:spacing w:val="-2"/>
        </w:rPr>
        <w:t xml:space="preserve"> </w:t>
      </w:r>
      <w:r>
        <w:rPr>
          <w:color w:val="231F20"/>
        </w:rPr>
        <w:t>facilities</w:t>
      </w:r>
      <w:r>
        <w:rPr>
          <w:color w:val="231F20"/>
          <w:spacing w:val="-2"/>
        </w:rPr>
        <w:t xml:space="preserve"> </w:t>
      </w:r>
      <w:r>
        <w:rPr>
          <w:color w:val="231F20"/>
        </w:rPr>
        <w:t>of</w:t>
      </w:r>
      <w:r>
        <w:rPr>
          <w:color w:val="231F20"/>
          <w:spacing w:val="-2"/>
        </w:rPr>
        <w:t xml:space="preserve"> </w:t>
      </w:r>
      <w:r>
        <w:rPr>
          <w:color w:val="231F20"/>
        </w:rPr>
        <w:t>poorer</w:t>
      </w:r>
      <w:r>
        <w:rPr>
          <w:color w:val="231F20"/>
          <w:spacing w:val="-2"/>
        </w:rPr>
        <w:t xml:space="preserve"> </w:t>
      </w:r>
      <w:r>
        <w:rPr>
          <w:color w:val="231F20"/>
        </w:rPr>
        <w:t>quality</w:t>
      </w:r>
      <w:r>
        <w:rPr>
          <w:color w:val="231F20"/>
          <w:spacing w:val="-2"/>
        </w:rPr>
        <w:t xml:space="preserve"> </w:t>
      </w:r>
      <w:r>
        <w:rPr>
          <w:color w:val="231F20"/>
        </w:rPr>
        <w:t>than</w:t>
      </w:r>
      <w:r>
        <w:rPr>
          <w:color w:val="231F20"/>
          <w:spacing w:val="-2"/>
        </w:rPr>
        <w:t xml:space="preserve"> </w:t>
      </w:r>
      <w:r>
        <w:rPr>
          <w:color w:val="231F20"/>
        </w:rPr>
        <w:t>the</w:t>
      </w:r>
      <w:r>
        <w:rPr>
          <w:color w:val="231F20"/>
          <w:spacing w:val="-2"/>
        </w:rPr>
        <w:t xml:space="preserve"> </w:t>
      </w:r>
      <w:r>
        <w:rPr>
          <w:color w:val="231F20"/>
        </w:rPr>
        <w:t>average</w:t>
      </w:r>
      <w:r>
        <w:rPr>
          <w:color w:val="231F20"/>
          <w:spacing w:val="-2"/>
        </w:rPr>
        <w:t xml:space="preserve"> </w:t>
      </w:r>
      <w:r>
        <w:rPr>
          <w:color w:val="231F20"/>
        </w:rPr>
        <w:t>(Vieira</w:t>
      </w:r>
      <w:r>
        <w:rPr>
          <w:color w:val="231F20"/>
          <w:spacing w:val="-2"/>
        </w:rPr>
        <w:t xml:space="preserve"> </w:t>
      </w:r>
      <w:r>
        <w:rPr>
          <w:i/>
          <w:color w:val="231F20"/>
        </w:rPr>
        <w:t>et</w:t>
      </w:r>
      <w:r>
        <w:rPr>
          <w:i/>
          <w:color w:val="231F20"/>
          <w:spacing w:val="-2"/>
        </w:rPr>
        <w:t xml:space="preserve"> </w:t>
      </w:r>
      <w:r>
        <w:rPr>
          <w:i/>
          <w:color w:val="231F20"/>
        </w:rPr>
        <w:t>al</w:t>
      </w:r>
      <w:r>
        <w:rPr>
          <w:color w:val="231F20"/>
        </w:rPr>
        <w:t>.,</w:t>
      </w:r>
      <w:r>
        <w:rPr>
          <w:color w:val="231F20"/>
          <w:spacing w:val="-3"/>
        </w:rPr>
        <w:t xml:space="preserve"> </w:t>
      </w:r>
      <w:r>
        <w:rPr>
          <w:color w:val="231F20"/>
        </w:rPr>
        <w:t xml:space="preserve">2013). </w:t>
      </w:r>
      <w:r>
        <w:rPr>
          <w:color w:val="231F20"/>
          <w:w w:val="95"/>
        </w:rPr>
        <w:t xml:space="preserve">Such a thesis aligns well with Sibley’s (1995) ‘geographies of exclusion’. </w:t>
      </w:r>
      <w:r>
        <w:rPr>
          <w:color w:val="231F20"/>
        </w:rPr>
        <w:t>The</w:t>
      </w:r>
      <w:r>
        <w:rPr>
          <w:color w:val="231F20"/>
          <w:spacing w:val="-8"/>
        </w:rPr>
        <w:t xml:space="preserve"> </w:t>
      </w:r>
      <w:r>
        <w:rPr>
          <w:color w:val="231F20"/>
        </w:rPr>
        <w:t>term</w:t>
      </w:r>
      <w:r>
        <w:rPr>
          <w:color w:val="231F20"/>
          <w:spacing w:val="-8"/>
        </w:rPr>
        <w:t xml:space="preserve"> </w:t>
      </w:r>
      <w:r>
        <w:rPr>
          <w:color w:val="231F20"/>
        </w:rPr>
        <w:t>‘geographies</w:t>
      </w:r>
      <w:r>
        <w:rPr>
          <w:color w:val="231F20"/>
          <w:spacing w:val="-8"/>
        </w:rPr>
        <w:t xml:space="preserve"> </w:t>
      </w:r>
      <w:r>
        <w:rPr>
          <w:color w:val="231F20"/>
        </w:rPr>
        <w:t>of exclusion’</w:t>
      </w:r>
      <w:r>
        <w:rPr>
          <w:color w:val="231F20"/>
          <w:spacing w:val="-8"/>
        </w:rPr>
        <w:t xml:space="preserve"> </w:t>
      </w:r>
      <w:r>
        <w:rPr>
          <w:color w:val="231F20"/>
        </w:rPr>
        <w:t>was</w:t>
      </w:r>
      <w:r>
        <w:rPr>
          <w:color w:val="231F20"/>
          <w:spacing w:val="-8"/>
        </w:rPr>
        <w:t xml:space="preserve"> </w:t>
      </w:r>
      <w:r>
        <w:rPr>
          <w:color w:val="231F20"/>
        </w:rPr>
        <w:t>coined</w:t>
      </w:r>
      <w:r>
        <w:rPr>
          <w:color w:val="231F20"/>
          <w:spacing w:val="-8"/>
        </w:rPr>
        <w:t xml:space="preserve"> </w:t>
      </w:r>
      <w:r>
        <w:rPr>
          <w:color w:val="231F20"/>
        </w:rPr>
        <w:t>by</w:t>
      </w:r>
      <w:r>
        <w:rPr>
          <w:color w:val="231F20"/>
          <w:spacing w:val="-8"/>
        </w:rPr>
        <w:t xml:space="preserve"> </w:t>
      </w:r>
      <w:r>
        <w:rPr>
          <w:color w:val="231F20"/>
        </w:rPr>
        <w:t>Sibley</w:t>
      </w:r>
      <w:r>
        <w:rPr>
          <w:color w:val="231F20"/>
          <w:spacing w:val="-8"/>
        </w:rPr>
        <w:t xml:space="preserve"> </w:t>
      </w:r>
      <w:r>
        <w:rPr>
          <w:color w:val="231F20"/>
        </w:rPr>
        <w:t>(1995)</w:t>
      </w:r>
      <w:r>
        <w:rPr>
          <w:color w:val="231F20"/>
          <w:spacing w:val="-8"/>
        </w:rPr>
        <w:t xml:space="preserve"> </w:t>
      </w:r>
      <w:r>
        <w:rPr>
          <w:color w:val="231F20"/>
        </w:rPr>
        <w:t>and openly</w:t>
      </w:r>
      <w:r>
        <w:rPr>
          <w:color w:val="231F20"/>
          <w:spacing w:val="5"/>
        </w:rPr>
        <w:t xml:space="preserve"> </w:t>
      </w:r>
      <w:r>
        <w:rPr>
          <w:color w:val="231F20"/>
        </w:rPr>
        <w:t>influenced</w:t>
      </w:r>
      <w:r>
        <w:rPr>
          <w:color w:val="231F20"/>
          <w:spacing w:val="6"/>
        </w:rPr>
        <w:t xml:space="preserve"> </w:t>
      </w:r>
      <w:r>
        <w:rPr>
          <w:color w:val="231F20"/>
        </w:rPr>
        <w:t>by</w:t>
      </w:r>
      <w:r>
        <w:rPr>
          <w:color w:val="231F20"/>
          <w:spacing w:val="6"/>
        </w:rPr>
        <w:t xml:space="preserve"> </w:t>
      </w:r>
      <w:r>
        <w:rPr>
          <w:color w:val="231F20"/>
        </w:rPr>
        <w:t>the</w:t>
      </w:r>
      <w:r>
        <w:rPr>
          <w:color w:val="231F20"/>
          <w:spacing w:val="6"/>
        </w:rPr>
        <w:t xml:space="preserve"> </w:t>
      </w:r>
      <w:r>
        <w:rPr>
          <w:color w:val="231F20"/>
        </w:rPr>
        <w:t>works</w:t>
      </w:r>
      <w:r>
        <w:rPr>
          <w:color w:val="231F20"/>
          <w:spacing w:val="6"/>
        </w:rPr>
        <w:t xml:space="preserve"> </w:t>
      </w:r>
      <w:r>
        <w:rPr>
          <w:color w:val="231F20"/>
        </w:rPr>
        <w:t>of</w:t>
      </w:r>
      <w:r>
        <w:rPr>
          <w:color w:val="231F20"/>
          <w:spacing w:val="16"/>
        </w:rPr>
        <w:t xml:space="preserve"> </w:t>
      </w:r>
      <w:r>
        <w:rPr>
          <w:color w:val="231F20"/>
        </w:rPr>
        <w:t>David</w:t>
      </w:r>
      <w:r>
        <w:rPr>
          <w:color w:val="231F20"/>
          <w:spacing w:val="6"/>
        </w:rPr>
        <w:t xml:space="preserve"> </w:t>
      </w:r>
      <w:r>
        <w:rPr>
          <w:color w:val="231F20"/>
        </w:rPr>
        <w:t>Harvey,</w:t>
      </w:r>
      <w:r>
        <w:rPr>
          <w:color w:val="231F20"/>
          <w:spacing w:val="6"/>
        </w:rPr>
        <w:t xml:space="preserve"> </w:t>
      </w:r>
      <w:r>
        <w:rPr>
          <w:color w:val="231F20"/>
        </w:rPr>
        <w:t>whose</w:t>
      </w:r>
      <w:r>
        <w:rPr>
          <w:color w:val="231F20"/>
          <w:spacing w:val="6"/>
        </w:rPr>
        <w:t xml:space="preserve"> </w:t>
      </w:r>
      <w:r>
        <w:rPr>
          <w:color w:val="231F20"/>
        </w:rPr>
        <w:t>work</w:t>
      </w:r>
      <w:r>
        <w:rPr>
          <w:color w:val="231F20"/>
          <w:spacing w:val="6"/>
        </w:rPr>
        <w:t xml:space="preserve"> </w:t>
      </w:r>
      <w:r>
        <w:rPr>
          <w:color w:val="231F20"/>
        </w:rPr>
        <w:t>in</w:t>
      </w:r>
      <w:r>
        <w:rPr>
          <w:color w:val="231F20"/>
          <w:spacing w:val="6"/>
        </w:rPr>
        <w:t xml:space="preserve"> </w:t>
      </w:r>
      <w:r>
        <w:rPr>
          <w:color w:val="231F20"/>
        </w:rPr>
        <w:t>turn draws</w:t>
      </w:r>
      <w:r>
        <w:rPr>
          <w:color w:val="231F20"/>
          <w:spacing w:val="7"/>
        </w:rPr>
        <w:t xml:space="preserve"> </w:t>
      </w:r>
      <w:r>
        <w:rPr>
          <w:color w:val="231F20"/>
        </w:rPr>
        <w:t>heavily</w:t>
      </w:r>
      <w:r>
        <w:rPr>
          <w:color w:val="231F20"/>
          <w:spacing w:val="7"/>
        </w:rPr>
        <w:t xml:space="preserve"> </w:t>
      </w:r>
      <w:r>
        <w:rPr>
          <w:color w:val="231F20"/>
        </w:rPr>
        <w:t>on</w:t>
      </w:r>
      <w:r>
        <w:rPr>
          <w:color w:val="231F20"/>
          <w:spacing w:val="7"/>
        </w:rPr>
        <w:t xml:space="preserve"> </w:t>
      </w:r>
      <w:r>
        <w:rPr>
          <w:color w:val="231F20"/>
        </w:rPr>
        <w:t>Marx</w:t>
      </w:r>
      <w:r>
        <w:rPr>
          <w:color w:val="231F20"/>
          <w:spacing w:val="7"/>
        </w:rPr>
        <w:t xml:space="preserve"> </w:t>
      </w:r>
      <w:r>
        <w:rPr>
          <w:color w:val="231F20"/>
        </w:rPr>
        <w:t>and</w:t>
      </w:r>
      <w:r>
        <w:rPr>
          <w:color w:val="231F20"/>
          <w:spacing w:val="7"/>
        </w:rPr>
        <w:t xml:space="preserve"> </w:t>
      </w:r>
      <w:r>
        <w:rPr>
          <w:color w:val="231F20"/>
        </w:rPr>
        <w:t>Engels</w:t>
      </w:r>
      <w:r>
        <w:rPr>
          <w:color w:val="231F20"/>
          <w:spacing w:val="7"/>
        </w:rPr>
        <w:t xml:space="preserve"> </w:t>
      </w:r>
      <w:r>
        <w:rPr>
          <w:color w:val="231F20"/>
        </w:rPr>
        <w:t>and</w:t>
      </w:r>
      <w:r>
        <w:rPr>
          <w:color w:val="231F20"/>
          <w:spacing w:val="7"/>
        </w:rPr>
        <w:t xml:space="preserve"> </w:t>
      </w:r>
      <w:r>
        <w:rPr>
          <w:color w:val="231F20"/>
        </w:rPr>
        <w:t>their</w:t>
      </w:r>
      <w:r>
        <w:rPr>
          <w:color w:val="231F20"/>
          <w:spacing w:val="7"/>
        </w:rPr>
        <w:t xml:space="preserve"> </w:t>
      </w:r>
      <w:r>
        <w:rPr>
          <w:color w:val="231F20"/>
        </w:rPr>
        <w:t>theories</w:t>
      </w:r>
      <w:r>
        <w:rPr>
          <w:color w:val="231F20"/>
          <w:spacing w:val="7"/>
        </w:rPr>
        <w:t xml:space="preserve"> </w:t>
      </w:r>
      <w:r>
        <w:rPr>
          <w:color w:val="231F20"/>
        </w:rPr>
        <w:t>about</w:t>
      </w:r>
      <w:r>
        <w:rPr>
          <w:color w:val="231F20"/>
          <w:spacing w:val="7"/>
        </w:rPr>
        <w:t xml:space="preserve"> </w:t>
      </w:r>
      <w:r>
        <w:rPr>
          <w:color w:val="231F20"/>
        </w:rPr>
        <w:t xml:space="preserve">capitalist </w:t>
      </w:r>
      <w:r>
        <w:rPr>
          <w:color w:val="231F20"/>
          <w:spacing w:val="-2"/>
        </w:rPr>
        <w:t>society and capital accumulation. Engels famously said that t</w:t>
      </w:r>
      <w:r>
        <w:rPr>
          <w:color w:val="231F20"/>
          <w:spacing w:val="-2"/>
        </w:rPr>
        <w:t xml:space="preserve">he human </w:t>
      </w:r>
      <w:r>
        <w:rPr>
          <w:color w:val="231F20"/>
        </w:rPr>
        <w:t>landscape</w:t>
      </w:r>
      <w:r>
        <w:rPr>
          <w:color w:val="231F20"/>
          <w:spacing w:val="2"/>
        </w:rPr>
        <w:t xml:space="preserve"> </w:t>
      </w:r>
      <w:r>
        <w:rPr>
          <w:color w:val="231F20"/>
        </w:rPr>
        <w:t>can</w:t>
      </w:r>
      <w:r>
        <w:rPr>
          <w:color w:val="231F20"/>
          <w:spacing w:val="2"/>
        </w:rPr>
        <w:t xml:space="preserve"> </w:t>
      </w:r>
      <w:r>
        <w:rPr>
          <w:color w:val="231F20"/>
        </w:rPr>
        <w:t>be</w:t>
      </w:r>
      <w:r>
        <w:rPr>
          <w:color w:val="231F20"/>
          <w:spacing w:val="2"/>
        </w:rPr>
        <w:t xml:space="preserve"> </w:t>
      </w:r>
      <w:r>
        <w:rPr>
          <w:color w:val="231F20"/>
        </w:rPr>
        <w:t>read</w:t>
      </w:r>
      <w:r>
        <w:rPr>
          <w:color w:val="231F20"/>
          <w:spacing w:val="2"/>
        </w:rPr>
        <w:t xml:space="preserve"> </w:t>
      </w:r>
      <w:r>
        <w:rPr>
          <w:color w:val="231F20"/>
        </w:rPr>
        <w:t>as</w:t>
      </w:r>
      <w:r>
        <w:rPr>
          <w:color w:val="231F20"/>
          <w:spacing w:val="2"/>
        </w:rPr>
        <w:t xml:space="preserve"> </w:t>
      </w:r>
      <w:r>
        <w:rPr>
          <w:color w:val="231F20"/>
        </w:rPr>
        <w:t>a</w:t>
      </w:r>
      <w:r>
        <w:rPr>
          <w:color w:val="231F20"/>
          <w:spacing w:val="2"/>
        </w:rPr>
        <w:t xml:space="preserve"> </w:t>
      </w:r>
      <w:r>
        <w:rPr>
          <w:color w:val="231F20"/>
        </w:rPr>
        <w:t>landscape</w:t>
      </w:r>
      <w:r>
        <w:rPr>
          <w:color w:val="231F20"/>
          <w:spacing w:val="2"/>
        </w:rPr>
        <w:t xml:space="preserve"> </w:t>
      </w:r>
      <w:r>
        <w:rPr>
          <w:color w:val="231F20"/>
        </w:rPr>
        <w:t>of</w:t>
      </w:r>
      <w:r>
        <w:rPr>
          <w:color w:val="231F20"/>
          <w:spacing w:val="13"/>
        </w:rPr>
        <w:t xml:space="preserve"> </w:t>
      </w:r>
      <w:r>
        <w:rPr>
          <w:color w:val="231F20"/>
        </w:rPr>
        <w:t>exclusion.</w:t>
      </w:r>
      <w:r>
        <w:rPr>
          <w:color w:val="231F20"/>
          <w:spacing w:val="2"/>
        </w:rPr>
        <w:t xml:space="preserve"> </w:t>
      </w:r>
      <w:r>
        <w:rPr>
          <w:color w:val="231F20"/>
        </w:rPr>
        <w:t>Marx</w:t>
      </w:r>
      <w:r>
        <w:rPr>
          <w:color w:val="231F20"/>
          <w:spacing w:val="2"/>
        </w:rPr>
        <w:t xml:space="preserve"> </w:t>
      </w:r>
      <w:r>
        <w:rPr>
          <w:color w:val="231F20"/>
        </w:rPr>
        <w:t>illustrated</w:t>
      </w:r>
      <w:r>
        <w:rPr>
          <w:color w:val="231F20"/>
          <w:spacing w:val="2"/>
        </w:rPr>
        <w:t xml:space="preserve"> </w:t>
      </w:r>
      <w:r>
        <w:rPr>
          <w:color w:val="231F20"/>
        </w:rPr>
        <w:t xml:space="preserve">in </w:t>
      </w:r>
      <w:r>
        <w:rPr>
          <w:i/>
          <w:color w:val="231F20"/>
        </w:rPr>
        <w:t>Capital</w:t>
      </w:r>
      <w:r>
        <w:rPr>
          <w:i/>
          <w:color w:val="231F20"/>
          <w:spacing w:val="9"/>
        </w:rPr>
        <w:t xml:space="preserve"> </w:t>
      </w:r>
      <w:r>
        <w:rPr>
          <w:color w:val="231F20"/>
        </w:rPr>
        <w:t>how</w:t>
      </w:r>
      <w:r>
        <w:rPr>
          <w:color w:val="231F20"/>
          <w:spacing w:val="10"/>
        </w:rPr>
        <w:t xml:space="preserve"> </w:t>
      </w:r>
      <w:r>
        <w:rPr>
          <w:color w:val="231F20"/>
        </w:rPr>
        <w:t>capitalism</w:t>
      </w:r>
      <w:r>
        <w:rPr>
          <w:color w:val="231F20"/>
          <w:spacing w:val="10"/>
        </w:rPr>
        <w:t xml:space="preserve"> </w:t>
      </w:r>
      <w:r>
        <w:rPr>
          <w:color w:val="231F20"/>
        </w:rPr>
        <w:t>uses</w:t>
      </w:r>
      <w:r>
        <w:rPr>
          <w:color w:val="231F20"/>
          <w:spacing w:val="10"/>
        </w:rPr>
        <w:t xml:space="preserve"> </w:t>
      </w:r>
      <w:r>
        <w:rPr>
          <w:color w:val="231F20"/>
        </w:rPr>
        <w:t>space</w:t>
      </w:r>
      <w:r>
        <w:rPr>
          <w:color w:val="231F20"/>
          <w:spacing w:val="10"/>
        </w:rPr>
        <w:t xml:space="preserve"> </w:t>
      </w:r>
      <w:r>
        <w:rPr>
          <w:color w:val="231F20"/>
        </w:rPr>
        <w:t>to</w:t>
      </w:r>
      <w:r>
        <w:rPr>
          <w:color w:val="231F20"/>
          <w:spacing w:val="9"/>
        </w:rPr>
        <w:t xml:space="preserve"> </w:t>
      </w:r>
      <w:r>
        <w:rPr>
          <w:color w:val="231F20"/>
        </w:rPr>
        <w:t>solve</w:t>
      </w:r>
      <w:r>
        <w:rPr>
          <w:color w:val="231F20"/>
          <w:spacing w:val="10"/>
        </w:rPr>
        <w:t xml:space="preserve"> </w:t>
      </w:r>
      <w:r>
        <w:rPr>
          <w:color w:val="231F20"/>
        </w:rPr>
        <w:t>its</w:t>
      </w:r>
      <w:r>
        <w:rPr>
          <w:color w:val="231F20"/>
          <w:spacing w:val="10"/>
        </w:rPr>
        <w:t xml:space="preserve"> </w:t>
      </w:r>
      <w:r>
        <w:rPr>
          <w:color w:val="231F20"/>
        </w:rPr>
        <w:t>internal</w:t>
      </w:r>
      <w:r>
        <w:rPr>
          <w:color w:val="231F20"/>
          <w:spacing w:val="10"/>
        </w:rPr>
        <w:t xml:space="preserve"> </w:t>
      </w:r>
      <w:r>
        <w:rPr>
          <w:color w:val="231F20"/>
        </w:rPr>
        <w:t xml:space="preserve">contradictions </w:t>
      </w:r>
      <w:r>
        <w:rPr>
          <w:color w:val="231F20"/>
          <w:spacing w:val="-2"/>
        </w:rPr>
        <w:t>and</w:t>
      </w:r>
      <w:r>
        <w:rPr>
          <w:color w:val="231F20"/>
          <w:spacing w:val="18"/>
        </w:rPr>
        <w:t xml:space="preserve"> </w:t>
      </w:r>
      <w:r>
        <w:rPr>
          <w:color w:val="231F20"/>
          <w:spacing w:val="-2"/>
        </w:rPr>
        <w:t>Harvey</w:t>
      </w:r>
      <w:r>
        <w:rPr>
          <w:color w:val="231F20"/>
          <w:spacing w:val="18"/>
        </w:rPr>
        <w:t xml:space="preserve"> </w:t>
      </w:r>
      <w:r>
        <w:rPr>
          <w:color w:val="231F20"/>
          <w:spacing w:val="-2"/>
        </w:rPr>
        <w:t>further</w:t>
      </w:r>
      <w:r>
        <w:rPr>
          <w:color w:val="231F20"/>
          <w:spacing w:val="18"/>
        </w:rPr>
        <w:t xml:space="preserve"> </w:t>
      </w:r>
      <w:r>
        <w:rPr>
          <w:color w:val="231F20"/>
          <w:spacing w:val="-2"/>
        </w:rPr>
        <w:t>developed</w:t>
      </w:r>
      <w:r>
        <w:rPr>
          <w:color w:val="231F20"/>
          <w:spacing w:val="18"/>
        </w:rPr>
        <w:t xml:space="preserve"> </w:t>
      </w:r>
      <w:r>
        <w:rPr>
          <w:color w:val="231F20"/>
          <w:spacing w:val="-2"/>
        </w:rPr>
        <w:t>this</w:t>
      </w:r>
      <w:r>
        <w:rPr>
          <w:color w:val="231F20"/>
          <w:spacing w:val="18"/>
        </w:rPr>
        <w:t xml:space="preserve"> </w:t>
      </w:r>
      <w:r>
        <w:rPr>
          <w:color w:val="231F20"/>
          <w:spacing w:val="-2"/>
        </w:rPr>
        <w:t>argument</w:t>
      </w:r>
      <w:r>
        <w:rPr>
          <w:color w:val="231F20"/>
          <w:spacing w:val="18"/>
        </w:rPr>
        <w:t xml:space="preserve"> </w:t>
      </w:r>
      <w:r>
        <w:rPr>
          <w:color w:val="231F20"/>
          <w:spacing w:val="-2"/>
        </w:rPr>
        <w:t>to</w:t>
      </w:r>
      <w:r>
        <w:rPr>
          <w:color w:val="231F20"/>
          <w:spacing w:val="18"/>
        </w:rPr>
        <w:t xml:space="preserve"> </w:t>
      </w:r>
      <w:r>
        <w:rPr>
          <w:color w:val="231F20"/>
          <w:spacing w:val="-2"/>
        </w:rPr>
        <w:t>explain</w:t>
      </w:r>
      <w:r>
        <w:rPr>
          <w:color w:val="231F20"/>
          <w:spacing w:val="18"/>
        </w:rPr>
        <w:t xml:space="preserve"> </w:t>
      </w:r>
      <w:r>
        <w:rPr>
          <w:color w:val="231F20"/>
          <w:spacing w:val="-2"/>
        </w:rPr>
        <w:t>various</w:t>
      </w:r>
      <w:r>
        <w:rPr>
          <w:color w:val="231F20"/>
          <w:spacing w:val="18"/>
        </w:rPr>
        <w:t xml:space="preserve"> </w:t>
      </w:r>
      <w:r>
        <w:rPr>
          <w:color w:val="231F20"/>
          <w:spacing w:val="-2"/>
        </w:rPr>
        <w:t>ways in</w:t>
      </w:r>
      <w:r>
        <w:rPr>
          <w:color w:val="231F20"/>
          <w:spacing w:val="21"/>
        </w:rPr>
        <w:t xml:space="preserve"> </w:t>
      </w:r>
      <w:r>
        <w:rPr>
          <w:color w:val="231F20"/>
          <w:spacing w:val="-2"/>
        </w:rPr>
        <w:t>which,</w:t>
      </w:r>
      <w:r>
        <w:rPr>
          <w:color w:val="231F20"/>
          <w:spacing w:val="21"/>
        </w:rPr>
        <w:t xml:space="preserve"> </w:t>
      </w:r>
      <w:r>
        <w:rPr>
          <w:color w:val="231F20"/>
          <w:spacing w:val="-2"/>
        </w:rPr>
        <w:t>in</w:t>
      </w:r>
      <w:r>
        <w:rPr>
          <w:color w:val="231F20"/>
          <w:spacing w:val="21"/>
        </w:rPr>
        <w:t xml:space="preserve"> </w:t>
      </w:r>
      <w:r>
        <w:rPr>
          <w:color w:val="231F20"/>
          <w:spacing w:val="-2"/>
        </w:rPr>
        <w:t>modern</w:t>
      </w:r>
      <w:r>
        <w:rPr>
          <w:color w:val="231F20"/>
          <w:spacing w:val="21"/>
        </w:rPr>
        <w:t xml:space="preserve"> </w:t>
      </w:r>
      <w:r>
        <w:rPr>
          <w:color w:val="231F20"/>
          <w:spacing w:val="-2"/>
        </w:rPr>
        <w:t>capitalist</w:t>
      </w:r>
      <w:r>
        <w:rPr>
          <w:color w:val="231F20"/>
          <w:spacing w:val="21"/>
        </w:rPr>
        <w:t xml:space="preserve"> </w:t>
      </w:r>
      <w:r>
        <w:rPr>
          <w:color w:val="231F20"/>
          <w:spacing w:val="-2"/>
        </w:rPr>
        <w:t>societies,</w:t>
      </w:r>
      <w:r>
        <w:rPr>
          <w:color w:val="231F20"/>
          <w:spacing w:val="21"/>
        </w:rPr>
        <w:t xml:space="preserve"> </w:t>
      </w:r>
      <w:r>
        <w:rPr>
          <w:color w:val="231F20"/>
          <w:spacing w:val="-2"/>
        </w:rPr>
        <w:t>socio-spatial</w:t>
      </w:r>
      <w:r>
        <w:rPr>
          <w:color w:val="231F20"/>
          <w:spacing w:val="21"/>
        </w:rPr>
        <w:t xml:space="preserve"> </w:t>
      </w:r>
      <w:r>
        <w:rPr>
          <w:color w:val="231F20"/>
          <w:spacing w:val="-2"/>
        </w:rPr>
        <w:t>issues</w:t>
      </w:r>
      <w:r>
        <w:rPr>
          <w:color w:val="231F20"/>
          <w:spacing w:val="21"/>
        </w:rPr>
        <w:t xml:space="preserve"> </w:t>
      </w:r>
      <w:r>
        <w:rPr>
          <w:color w:val="231F20"/>
          <w:spacing w:val="-2"/>
        </w:rPr>
        <w:t xml:space="preserve">reinforce </w:t>
      </w:r>
      <w:r>
        <w:rPr>
          <w:color w:val="231F20"/>
        </w:rPr>
        <w:t>exclusion.</w:t>
      </w:r>
      <w:r>
        <w:rPr>
          <w:color w:val="231F20"/>
          <w:spacing w:val="15"/>
        </w:rPr>
        <w:t xml:space="preserve"> </w:t>
      </w:r>
      <w:r>
        <w:rPr>
          <w:color w:val="231F20"/>
        </w:rPr>
        <w:t>Two</w:t>
      </w:r>
      <w:r>
        <w:rPr>
          <w:color w:val="231F20"/>
          <w:spacing w:val="15"/>
        </w:rPr>
        <w:t xml:space="preserve"> </w:t>
      </w:r>
      <w:r>
        <w:rPr>
          <w:color w:val="231F20"/>
        </w:rPr>
        <w:t>examples</w:t>
      </w:r>
      <w:r>
        <w:rPr>
          <w:color w:val="231F20"/>
          <w:spacing w:val="15"/>
        </w:rPr>
        <w:t xml:space="preserve"> </w:t>
      </w:r>
      <w:r>
        <w:rPr>
          <w:color w:val="231F20"/>
        </w:rPr>
        <w:t>offered</w:t>
      </w:r>
      <w:r>
        <w:rPr>
          <w:color w:val="231F20"/>
          <w:spacing w:val="15"/>
        </w:rPr>
        <w:t xml:space="preserve"> </w:t>
      </w:r>
      <w:r>
        <w:rPr>
          <w:color w:val="231F20"/>
        </w:rPr>
        <w:t>by</w:t>
      </w:r>
      <w:r>
        <w:rPr>
          <w:color w:val="231F20"/>
          <w:spacing w:val="15"/>
        </w:rPr>
        <w:t xml:space="preserve"> </w:t>
      </w:r>
      <w:r>
        <w:rPr>
          <w:color w:val="231F20"/>
        </w:rPr>
        <w:t>Harvey</w:t>
      </w:r>
      <w:r>
        <w:rPr>
          <w:color w:val="231F20"/>
          <w:spacing w:val="15"/>
        </w:rPr>
        <w:t xml:space="preserve"> </w:t>
      </w:r>
      <w:r>
        <w:rPr>
          <w:color w:val="231F20"/>
        </w:rPr>
        <w:t>and</w:t>
      </w:r>
      <w:r>
        <w:rPr>
          <w:color w:val="231F20"/>
          <w:spacing w:val="15"/>
        </w:rPr>
        <w:t xml:space="preserve"> </w:t>
      </w:r>
      <w:r>
        <w:rPr>
          <w:color w:val="231F20"/>
        </w:rPr>
        <w:t>Sibley</w:t>
      </w:r>
      <w:r>
        <w:rPr>
          <w:color w:val="231F20"/>
          <w:spacing w:val="15"/>
        </w:rPr>
        <w:t xml:space="preserve"> </w:t>
      </w:r>
      <w:r>
        <w:rPr>
          <w:color w:val="231F20"/>
        </w:rPr>
        <w:t>are</w:t>
      </w:r>
      <w:r>
        <w:rPr>
          <w:color w:val="231F20"/>
          <w:spacing w:val="15"/>
        </w:rPr>
        <w:t xml:space="preserve"> </w:t>
      </w:r>
      <w:r>
        <w:rPr>
          <w:color w:val="231F20"/>
        </w:rPr>
        <w:t xml:space="preserve">shopping </w:t>
      </w:r>
      <w:r>
        <w:rPr>
          <w:color w:val="231F20"/>
          <w:w w:val="95"/>
        </w:rPr>
        <w:t>malls and condominiums. Their focus has concentrated more on spaces that are purposely designed to exclude, albeit in a veiled form. In general though, less attention has been paid to the development of</w:t>
      </w:r>
      <w:r>
        <w:rPr>
          <w:color w:val="231F20"/>
        </w:rPr>
        <w:t xml:space="preserve"> </w:t>
      </w:r>
      <w:r>
        <w:rPr>
          <w:color w:val="231F20"/>
          <w:w w:val="95"/>
        </w:rPr>
        <w:t>spaces within poor communities that reinforce margina</w:t>
      </w:r>
      <w:r>
        <w:rPr>
          <w:color w:val="231F20"/>
          <w:w w:val="95"/>
        </w:rPr>
        <w:t>lity and exclusion. Such spaces have been investigated before, social housing being an important case in point (Hackworth, 2008). However, to date, little attention has been paid to urban transformations as enacted through the staging of</w:t>
      </w:r>
      <w:r>
        <w:rPr>
          <w:color w:val="231F20"/>
        </w:rPr>
        <w:t xml:space="preserve"> </w:t>
      </w:r>
      <w:r>
        <w:rPr>
          <w:color w:val="231F20"/>
          <w:w w:val="95"/>
        </w:rPr>
        <w:t>mega-events. In th</w:t>
      </w:r>
      <w:r>
        <w:rPr>
          <w:color w:val="231F20"/>
          <w:w w:val="95"/>
        </w:rPr>
        <w:t>is case, the geographies of</w:t>
      </w:r>
      <w:r>
        <w:rPr>
          <w:color w:val="231F20"/>
        </w:rPr>
        <w:t xml:space="preserve"> </w:t>
      </w:r>
      <w:r>
        <w:rPr>
          <w:color w:val="231F20"/>
          <w:w w:val="95"/>
        </w:rPr>
        <w:t>exclusion may apply to communities that have</w:t>
      </w:r>
      <w:r>
        <w:rPr>
          <w:color w:val="231F20"/>
          <w:spacing w:val="11"/>
        </w:rPr>
        <w:t xml:space="preserve"> </w:t>
      </w:r>
      <w:r>
        <w:rPr>
          <w:color w:val="231F20"/>
          <w:w w:val="95"/>
        </w:rPr>
        <w:t>not</w:t>
      </w:r>
      <w:r>
        <w:rPr>
          <w:color w:val="231F20"/>
          <w:spacing w:val="11"/>
        </w:rPr>
        <w:t xml:space="preserve"> </w:t>
      </w:r>
      <w:r>
        <w:rPr>
          <w:color w:val="231F20"/>
          <w:w w:val="95"/>
        </w:rPr>
        <w:t>been</w:t>
      </w:r>
      <w:r>
        <w:rPr>
          <w:color w:val="231F20"/>
          <w:spacing w:val="11"/>
        </w:rPr>
        <w:t xml:space="preserve"> </w:t>
      </w:r>
      <w:r>
        <w:rPr>
          <w:color w:val="231F20"/>
          <w:w w:val="95"/>
        </w:rPr>
        <w:t>directly</w:t>
      </w:r>
      <w:r>
        <w:rPr>
          <w:color w:val="231F20"/>
          <w:spacing w:val="11"/>
        </w:rPr>
        <w:t xml:space="preserve"> </w:t>
      </w:r>
      <w:r>
        <w:rPr>
          <w:color w:val="231F20"/>
          <w:w w:val="95"/>
        </w:rPr>
        <w:t>displaced</w:t>
      </w:r>
      <w:r>
        <w:rPr>
          <w:color w:val="231F20"/>
          <w:spacing w:val="11"/>
        </w:rPr>
        <w:t xml:space="preserve"> </w:t>
      </w:r>
      <w:r>
        <w:rPr>
          <w:color w:val="231F20"/>
          <w:w w:val="95"/>
        </w:rPr>
        <w:t>or</w:t>
      </w:r>
      <w:r>
        <w:rPr>
          <w:color w:val="231F20"/>
          <w:spacing w:val="12"/>
        </w:rPr>
        <w:t xml:space="preserve"> </w:t>
      </w:r>
      <w:r>
        <w:rPr>
          <w:color w:val="231F20"/>
          <w:w w:val="95"/>
        </w:rPr>
        <w:t>gentrified</w:t>
      </w:r>
      <w:r>
        <w:rPr>
          <w:color w:val="231F20"/>
          <w:spacing w:val="11"/>
        </w:rPr>
        <w:t xml:space="preserve"> </w:t>
      </w:r>
      <w:r>
        <w:rPr>
          <w:color w:val="231F20"/>
          <w:w w:val="95"/>
        </w:rPr>
        <w:t>but</w:t>
      </w:r>
      <w:r>
        <w:rPr>
          <w:color w:val="231F20"/>
          <w:spacing w:val="11"/>
        </w:rPr>
        <w:t xml:space="preserve"> </w:t>
      </w:r>
      <w:r>
        <w:rPr>
          <w:color w:val="231F20"/>
          <w:w w:val="95"/>
        </w:rPr>
        <w:t>that</w:t>
      </w:r>
      <w:r>
        <w:rPr>
          <w:color w:val="231F20"/>
          <w:spacing w:val="11"/>
        </w:rPr>
        <w:t xml:space="preserve"> </w:t>
      </w:r>
      <w:r>
        <w:rPr>
          <w:color w:val="231F20"/>
          <w:w w:val="95"/>
        </w:rPr>
        <w:t>nonetheless</w:t>
      </w:r>
      <w:r>
        <w:rPr>
          <w:color w:val="231F20"/>
          <w:spacing w:val="11"/>
        </w:rPr>
        <w:t xml:space="preserve"> </w:t>
      </w:r>
      <w:r>
        <w:rPr>
          <w:color w:val="231F20"/>
          <w:spacing w:val="-4"/>
          <w:w w:val="95"/>
        </w:rPr>
        <w:t>have</w:t>
      </w:r>
    </w:p>
    <w:p w14:paraId="2C3E93CC" w14:textId="77777777" w:rsidR="00AE0598" w:rsidRDefault="0069255A">
      <w:pPr>
        <w:pStyle w:val="Corpodetexto"/>
        <w:spacing w:before="24" w:line="243" w:lineRule="exact"/>
        <w:ind w:left="223"/>
        <w:jc w:val="both"/>
      </w:pPr>
      <w:r>
        <w:rPr>
          <w:color w:val="231F20"/>
          <w:w w:val="95"/>
        </w:rPr>
        <w:t>suffered</w:t>
      </w:r>
      <w:r>
        <w:rPr>
          <w:color w:val="231F20"/>
          <w:spacing w:val="-9"/>
          <w:w w:val="95"/>
        </w:rPr>
        <w:t xml:space="preserve"> </w:t>
      </w:r>
      <w:r>
        <w:rPr>
          <w:color w:val="231F20"/>
          <w:w w:val="95"/>
        </w:rPr>
        <w:t>severely</w:t>
      </w:r>
      <w:r>
        <w:rPr>
          <w:color w:val="231F20"/>
          <w:spacing w:val="-9"/>
          <w:w w:val="95"/>
        </w:rPr>
        <w:t xml:space="preserve"> </w:t>
      </w:r>
      <w:r>
        <w:rPr>
          <w:color w:val="231F20"/>
          <w:w w:val="95"/>
        </w:rPr>
        <w:t>from</w:t>
      </w:r>
      <w:r>
        <w:rPr>
          <w:color w:val="231F20"/>
          <w:spacing w:val="-9"/>
          <w:w w:val="95"/>
        </w:rPr>
        <w:t xml:space="preserve"> </w:t>
      </w:r>
      <w:r>
        <w:rPr>
          <w:color w:val="231F20"/>
          <w:w w:val="95"/>
        </w:rPr>
        <w:t>associated</w:t>
      </w:r>
      <w:r>
        <w:rPr>
          <w:color w:val="231F20"/>
          <w:spacing w:val="-8"/>
          <w:w w:val="95"/>
        </w:rPr>
        <w:t xml:space="preserve"> </w:t>
      </w:r>
      <w:r>
        <w:rPr>
          <w:color w:val="231F20"/>
          <w:w w:val="95"/>
        </w:rPr>
        <w:t>urban</w:t>
      </w:r>
      <w:r>
        <w:rPr>
          <w:color w:val="231F20"/>
          <w:spacing w:val="-9"/>
          <w:w w:val="95"/>
        </w:rPr>
        <w:t xml:space="preserve"> </w:t>
      </w:r>
      <w:r>
        <w:rPr>
          <w:color w:val="231F20"/>
          <w:w w:val="95"/>
        </w:rPr>
        <w:t>‘renewal’</w:t>
      </w:r>
      <w:r>
        <w:rPr>
          <w:color w:val="231F20"/>
          <w:spacing w:val="-9"/>
          <w:w w:val="95"/>
        </w:rPr>
        <w:t xml:space="preserve"> </w:t>
      </w:r>
      <w:r>
        <w:rPr>
          <w:color w:val="231F20"/>
          <w:spacing w:val="-2"/>
          <w:w w:val="95"/>
        </w:rPr>
        <w:t>projects.</w:t>
      </w:r>
    </w:p>
    <w:p w14:paraId="77B8C037" w14:textId="77777777" w:rsidR="00AE0598" w:rsidRDefault="0069255A">
      <w:pPr>
        <w:pStyle w:val="Corpodetexto"/>
        <w:spacing w:before="2" w:line="232" w:lineRule="auto"/>
        <w:ind w:left="223" w:right="239" w:firstLine="320"/>
        <w:jc w:val="both"/>
      </w:pPr>
      <w:r>
        <w:rPr>
          <w:color w:val="231F20"/>
          <w:w w:val="95"/>
        </w:rPr>
        <w:t>In an effort to address this concern, a series of studi</w:t>
      </w:r>
      <w:r>
        <w:rPr>
          <w:color w:val="231F20"/>
          <w:w w:val="95"/>
        </w:rPr>
        <w:t xml:space="preserve">es was conducted in low SES communities in Rio de Janeiro before, during and immediately </w:t>
      </w:r>
      <w:r>
        <w:rPr>
          <w:color w:val="231F20"/>
        </w:rPr>
        <w:t>after the 2016 Olympic Games. These studies focused particularly on exploring</w:t>
      </w:r>
      <w:r>
        <w:rPr>
          <w:color w:val="231F20"/>
          <w:spacing w:val="-7"/>
        </w:rPr>
        <w:t xml:space="preserve"> </w:t>
      </w:r>
      <w:r>
        <w:rPr>
          <w:color w:val="231F20"/>
        </w:rPr>
        <w:t>the</w:t>
      </w:r>
      <w:r>
        <w:rPr>
          <w:color w:val="231F20"/>
          <w:spacing w:val="-7"/>
        </w:rPr>
        <w:t xml:space="preserve"> </w:t>
      </w:r>
      <w:r>
        <w:rPr>
          <w:color w:val="231F20"/>
        </w:rPr>
        <w:t>impacts</w:t>
      </w:r>
      <w:r>
        <w:rPr>
          <w:color w:val="231F20"/>
          <w:spacing w:val="-7"/>
        </w:rPr>
        <w:t xml:space="preserve"> </w:t>
      </w:r>
      <w:r>
        <w:rPr>
          <w:color w:val="231F20"/>
        </w:rPr>
        <w:t>of</w:t>
      </w:r>
      <w:r>
        <w:rPr>
          <w:color w:val="231F20"/>
          <w:spacing w:val="-7"/>
        </w:rPr>
        <w:t xml:space="preserve"> </w:t>
      </w:r>
      <w:r>
        <w:rPr>
          <w:color w:val="231F20"/>
        </w:rPr>
        <w:t>the</w:t>
      </w:r>
      <w:r>
        <w:rPr>
          <w:color w:val="231F20"/>
          <w:spacing w:val="-7"/>
        </w:rPr>
        <w:t xml:space="preserve"> </w:t>
      </w:r>
      <w:r>
        <w:rPr>
          <w:color w:val="231F20"/>
        </w:rPr>
        <w:t>urban</w:t>
      </w:r>
      <w:r>
        <w:rPr>
          <w:color w:val="231F20"/>
          <w:spacing w:val="-7"/>
        </w:rPr>
        <w:t xml:space="preserve"> </w:t>
      </w:r>
      <w:r>
        <w:rPr>
          <w:color w:val="231F20"/>
        </w:rPr>
        <w:t>transformations</w:t>
      </w:r>
      <w:r>
        <w:rPr>
          <w:color w:val="231F20"/>
          <w:spacing w:val="-7"/>
        </w:rPr>
        <w:t xml:space="preserve"> </w:t>
      </w:r>
      <w:r>
        <w:rPr>
          <w:color w:val="231F20"/>
        </w:rPr>
        <w:t>taking</w:t>
      </w:r>
      <w:r>
        <w:rPr>
          <w:color w:val="231F20"/>
          <w:spacing w:val="-7"/>
        </w:rPr>
        <w:t xml:space="preserve"> </w:t>
      </w:r>
      <w:r>
        <w:rPr>
          <w:color w:val="231F20"/>
        </w:rPr>
        <w:t>place</w:t>
      </w:r>
      <w:r>
        <w:rPr>
          <w:color w:val="231F20"/>
          <w:spacing w:val="-7"/>
        </w:rPr>
        <w:t xml:space="preserve"> </w:t>
      </w:r>
      <w:r>
        <w:rPr>
          <w:color w:val="231F20"/>
        </w:rPr>
        <w:t>in</w:t>
      </w:r>
      <w:r>
        <w:rPr>
          <w:color w:val="231F20"/>
          <w:spacing w:val="-7"/>
        </w:rPr>
        <w:t xml:space="preserve"> </w:t>
      </w:r>
      <w:r>
        <w:rPr>
          <w:color w:val="231F20"/>
        </w:rPr>
        <w:t xml:space="preserve">the city for the hosting of the 2016 Rio Olympic Games on leisure spaces available to the community, and on residents’ engagement with these </w:t>
      </w:r>
      <w:r>
        <w:rPr>
          <w:color w:val="231F20"/>
          <w:w w:val="95"/>
        </w:rPr>
        <w:t>spaces</w:t>
      </w:r>
      <w:r>
        <w:rPr>
          <w:color w:val="231F20"/>
          <w:spacing w:val="-5"/>
          <w:w w:val="95"/>
        </w:rPr>
        <w:t xml:space="preserve"> </w:t>
      </w:r>
      <w:r>
        <w:rPr>
          <w:color w:val="231F20"/>
          <w:w w:val="95"/>
        </w:rPr>
        <w:t>(Reis</w:t>
      </w:r>
      <w:r>
        <w:rPr>
          <w:color w:val="231F20"/>
          <w:spacing w:val="-6"/>
          <w:w w:val="95"/>
        </w:rPr>
        <w:t xml:space="preserve"> </w:t>
      </w:r>
      <w:r>
        <w:rPr>
          <w:i/>
          <w:color w:val="231F20"/>
          <w:w w:val="95"/>
        </w:rPr>
        <w:t>et</w:t>
      </w:r>
      <w:r>
        <w:rPr>
          <w:i/>
          <w:color w:val="231F20"/>
          <w:spacing w:val="-5"/>
          <w:w w:val="95"/>
        </w:rPr>
        <w:t xml:space="preserve"> </w:t>
      </w:r>
      <w:r>
        <w:rPr>
          <w:i/>
          <w:color w:val="231F20"/>
          <w:w w:val="95"/>
        </w:rPr>
        <w:t>al</w:t>
      </w:r>
      <w:r>
        <w:rPr>
          <w:color w:val="231F20"/>
          <w:w w:val="95"/>
        </w:rPr>
        <w:t>.,</w:t>
      </w:r>
      <w:r>
        <w:rPr>
          <w:color w:val="231F20"/>
          <w:spacing w:val="-5"/>
          <w:w w:val="95"/>
        </w:rPr>
        <w:t xml:space="preserve"> </w:t>
      </w:r>
      <w:r>
        <w:rPr>
          <w:color w:val="231F20"/>
          <w:w w:val="95"/>
        </w:rPr>
        <w:t>2013,</w:t>
      </w:r>
      <w:r>
        <w:rPr>
          <w:color w:val="231F20"/>
          <w:spacing w:val="-5"/>
          <w:w w:val="95"/>
        </w:rPr>
        <w:t xml:space="preserve"> </w:t>
      </w:r>
      <w:r>
        <w:rPr>
          <w:color w:val="231F20"/>
          <w:w w:val="95"/>
        </w:rPr>
        <w:t>2014,</w:t>
      </w:r>
      <w:r>
        <w:rPr>
          <w:color w:val="231F20"/>
          <w:spacing w:val="-5"/>
          <w:w w:val="95"/>
        </w:rPr>
        <w:t xml:space="preserve"> </w:t>
      </w:r>
      <w:r>
        <w:rPr>
          <w:color w:val="231F20"/>
          <w:w w:val="95"/>
        </w:rPr>
        <w:t>2016;</w:t>
      </w:r>
      <w:r>
        <w:rPr>
          <w:color w:val="231F20"/>
          <w:spacing w:val="-5"/>
          <w:w w:val="95"/>
        </w:rPr>
        <w:t xml:space="preserve"> </w:t>
      </w:r>
      <w:r>
        <w:rPr>
          <w:color w:val="231F20"/>
          <w:w w:val="95"/>
        </w:rPr>
        <w:t>Sousa</w:t>
      </w:r>
      <w:r>
        <w:rPr>
          <w:color w:val="231F20"/>
          <w:spacing w:val="-5"/>
          <w:w w:val="95"/>
        </w:rPr>
        <w:t xml:space="preserve"> </w:t>
      </w:r>
      <w:r>
        <w:rPr>
          <w:color w:val="231F20"/>
          <w:w w:val="95"/>
        </w:rPr>
        <w:t>Mast</w:t>
      </w:r>
      <w:r>
        <w:rPr>
          <w:color w:val="231F20"/>
          <w:spacing w:val="-6"/>
          <w:w w:val="95"/>
        </w:rPr>
        <w:t xml:space="preserve"> </w:t>
      </w:r>
      <w:r>
        <w:rPr>
          <w:i/>
          <w:color w:val="231F20"/>
          <w:w w:val="95"/>
        </w:rPr>
        <w:t>et</w:t>
      </w:r>
      <w:r>
        <w:rPr>
          <w:i/>
          <w:color w:val="231F20"/>
          <w:spacing w:val="-5"/>
          <w:w w:val="95"/>
        </w:rPr>
        <w:t xml:space="preserve"> </w:t>
      </w:r>
      <w:r>
        <w:rPr>
          <w:i/>
          <w:color w:val="231F20"/>
          <w:w w:val="95"/>
        </w:rPr>
        <w:t>al</w:t>
      </w:r>
      <w:r>
        <w:rPr>
          <w:color w:val="231F20"/>
          <w:w w:val="95"/>
        </w:rPr>
        <w:t>.,</w:t>
      </w:r>
      <w:r>
        <w:rPr>
          <w:color w:val="231F20"/>
          <w:spacing w:val="-5"/>
          <w:w w:val="95"/>
        </w:rPr>
        <w:t xml:space="preserve"> </w:t>
      </w:r>
      <w:r>
        <w:rPr>
          <w:color w:val="231F20"/>
          <w:w w:val="95"/>
        </w:rPr>
        <w:t>2013,</w:t>
      </w:r>
      <w:r>
        <w:rPr>
          <w:color w:val="231F20"/>
          <w:spacing w:val="-5"/>
          <w:w w:val="95"/>
        </w:rPr>
        <w:t xml:space="preserve"> </w:t>
      </w:r>
      <w:r>
        <w:rPr>
          <w:color w:val="231F20"/>
          <w:w w:val="95"/>
        </w:rPr>
        <w:t>2016,</w:t>
      </w:r>
      <w:r>
        <w:rPr>
          <w:color w:val="231F20"/>
          <w:spacing w:val="-5"/>
          <w:w w:val="95"/>
        </w:rPr>
        <w:t xml:space="preserve"> </w:t>
      </w:r>
      <w:r>
        <w:rPr>
          <w:color w:val="231F20"/>
          <w:w w:val="95"/>
        </w:rPr>
        <w:t xml:space="preserve">2017). </w:t>
      </w:r>
      <w:r>
        <w:rPr>
          <w:color w:val="231F20"/>
          <w:w w:val="90"/>
        </w:rPr>
        <w:t>We found that leisure spaces within th</w:t>
      </w:r>
      <w:r>
        <w:rPr>
          <w:color w:val="231F20"/>
          <w:w w:val="90"/>
        </w:rPr>
        <w:t xml:space="preserve">ese communities reflect the broader </w:t>
      </w:r>
      <w:r>
        <w:rPr>
          <w:color w:val="231F20"/>
        </w:rPr>
        <w:t>exclusion</w:t>
      </w:r>
      <w:r>
        <w:rPr>
          <w:color w:val="231F20"/>
          <w:spacing w:val="-10"/>
        </w:rPr>
        <w:t xml:space="preserve"> </w:t>
      </w:r>
      <w:r>
        <w:rPr>
          <w:color w:val="231F20"/>
        </w:rPr>
        <w:t>patterns</w:t>
      </w:r>
      <w:r>
        <w:rPr>
          <w:color w:val="231F20"/>
          <w:spacing w:val="-10"/>
        </w:rPr>
        <w:t xml:space="preserve"> </w:t>
      </w:r>
      <w:r>
        <w:rPr>
          <w:color w:val="231F20"/>
        </w:rPr>
        <w:t>faced</w:t>
      </w:r>
      <w:r>
        <w:rPr>
          <w:color w:val="231F20"/>
          <w:spacing w:val="-10"/>
        </w:rPr>
        <w:t xml:space="preserve"> </w:t>
      </w:r>
      <w:r>
        <w:rPr>
          <w:color w:val="231F20"/>
        </w:rPr>
        <w:t>by</w:t>
      </w:r>
      <w:r>
        <w:rPr>
          <w:color w:val="231F20"/>
          <w:spacing w:val="-10"/>
        </w:rPr>
        <w:t xml:space="preserve"> </w:t>
      </w:r>
      <w:r>
        <w:rPr>
          <w:color w:val="231F20"/>
        </w:rPr>
        <w:t>low</w:t>
      </w:r>
      <w:r>
        <w:rPr>
          <w:color w:val="231F20"/>
          <w:spacing w:val="-10"/>
        </w:rPr>
        <w:t xml:space="preserve"> </w:t>
      </w:r>
      <w:r>
        <w:rPr>
          <w:color w:val="231F20"/>
        </w:rPr>
        <w:t>SES</w:t>
      </w:r>
      <w:r>
        <w:rPr>
          <w:color w:val="231F20"/>
          <w:spacing w:val="-10"/>
        </w:rPr>
        <w:t xml:space="preserve"> </w:t>
      </w:r>
      <w:r>
        <w:rPr>
          <w:color w:val="231F20"/>
        </w:rPr>
        <w:t>communities</w:t>
      </w:r>
      <w:r>
        <w:rPr>
          <w:color w:val="231F20"/>
          <w:spacing w:val="-10"/>
        </w:rPr>
        <w:t xml:space="preserve"> </w:t>
      </w:r>
      <w:r>
        <w:rPr>
          <w:color w:val="231F20"/>
        </w:rPr>
        <w:t>in</w:t>
      </w:r>
      <w:r>
        <w:rPr>
          <w:color w:val="231F20"/>
          <w:spacing w:val="-10"/>
        </w:rPr>
        <w:t xml:space="preserve"> </w:t>
      </w:r>
      <w:r>
        <w:rPr>
          <w:color w:val="231F20"/>
        </w:rPr>
        <w:t>Rio</w:t>
      </w:r>
      <w:r>
        <w:rPr>
          <w:color w:val="231F20"/>
          <w:spacing w:val="-10"/>
        </w:rPr>
        <w:t xml:space="preserve"> </w:t>
      </w:r>
      <w:r>
        <w:rPr>
          <w:color w:val="231F20"/>
        </w:rPr>
        <w:t>de</w:t>
      </w:r>
      <w:r>
        <w:rPr>
          <w:color w:val="231F20"/>
          <w:spacing w:val="-10"/>
        </w:rPr>
        <w:t xml:space="preserve"> </w:t>
      </w:r>
      <w:r>
        <w:rPr>
          <w:color w:val="231F20"/>
        </w:rPr>
        <w:t>Janeiro</w:t>
      </w:r>
      <w:r>
        <w:rPr>
          <w:color w:val="231F20"/>
          <w:spacing w:val="-10"/>
        </w:rPr>
        <w:t xml:space="preserve"> </w:t>
      </w:r>
      <w:r>
        <w:rPr>
          <w:color w:val="231F20"/>
        </w:rPr>
        <w:t xml:space="preserve">and </w:t>
      </w:r>
      <w:r>
        <w:rPr>
          <w:color w:val="231F20"/>
          <w:w w:val="95"/>
        </w:rPr>
        <w:t xml:space="preserve">other major urban centres around the world. They are of poorer quality, </w:t>
      </w:r>
      <w:r>
        <w:rPr>
          <w:color w:val="231F20"/>
        </w:rPr>
        <w:t>access</w:t>
      </w:r>
      <w:r>
        <w:rPr>
          <w:color w:val="231F20"/>
          <w:spacing w:val="-9"/>
        </w:rPr>
        <w:t xml:space="preserve"> </w:t>
      </w:r>
      <w:r>
        <w:rPr>
          <w:color w:val="231F20"/>
        </w:rPr>
        <w:t>is</w:t>
      </w:r>
      <w:r>
        <w:rPr>
          <w:color w:val="231F20"/>
          <w:spacing w:val="-9"/>
        </w:rPr>
        <w:t xml:space="preserve"> </w:t>
      </w:r>
      <w:r>
        <w:rPr>
          <w:color w:val="231F20"/>
        </w:rPr>
        <w:t>significantly</w:t>
      </w:r>
      <w:r>
        <w:rPr>
          <w:color w:val="231F20"/>
          <w:spacing w:val="-9"/>
        </w:rPr>
        <w:t xml:space="preserve"> </w:t>
      </w:r>
      <w:r>
        <w:rPr>
          <w:color w:val="231F20"/>
        </w:rPr>
        <w:t>impeded</w:t>
      </w:r>
      <w:r>
        <w:rPr>
          <w:color w:val="231F20"/>
          <w:spacing w:val="-9"/>
        </w:rPr>
        <w:t xml:space="preserve"> </w:t>
      </w:r>
      <w:r>
        <w:rPr>
          <w:color w:val="231F20"/>
        </w:rPr>
        <w:t>by</w:t>
      </w:r>
      <w:r>
        <w:rPr>
          <w:color w:val="231F20"/>
          <w:spacing w:val="-9"/>
        </w:rPr>
        <w:t xml:space="preserve"> </w:t>
      </w:r>
      <w:r>
        <w:rPr>
          <w:color w:val="231F20"/>
        </w:rPr>
        <w:t>violence,</w:t>
      </w:r>
      <w:r>
        <w:rPr>
          <w:color w:val="231F20"/>
          <w:spacing w:val="-9"/>
        </w:rPr>
        <w:t xml:space="preserve"> </w:t>
      </w:r>
      <w:r>
        <w:rPr>
          <w:color w:val="231F20"/>
        </w:rPr>
        <w:t>they</w:t>
      </w:r>
      <w:r>
        <w:rPr>
          <w:color w:val="231F20"/>
          <w:spacing w:val="-9"/>
        </w:rPr>
        <w:t xml:space="preserve"> </w:t>
      </w:r>
      <w:r>
        <w:rPr>
          <w:color w:val="231F20"/>
        </w:rPr>
        <w:t>lack</w:t>
      </w:r>
      <w:r>
        <w:rPr>
          <w:color w:val="231F20"/>
          <w:spacing w:val="-9"/>
        </w:rPr>
        <w:t xml:space="preserve"> </w:t>
      </w:r>
      <w:r>
        <w:rPr>
          <w:color w:val="231F20"/>
        </w:rPr>
        <w:t>maintenance,</w:t>
      </w:r>
      <w:r>
        <w:rPr>
          <w:color w:val="231F20"/>
          <w:spacing w:val="-9"/>
        </w:rPr>
        <w:t xml:space="preserve"> </w:t>
      </w:r>
      <w:r>
        <w:rPr>
          <w:color w:val="231F20"/>
        </w:rPr>
        <w:t>are degraded and are frequently ephemeral as disjointed infrastructural and social projects come and go, accompanying any political change. Mega-events</w:t>
      </w:r>
      <w:r>
        <w:rPr>
          <w:color w:val="231F20"/>
          <w:spacing w:val="-4"/>
        </w:rPr>
        <w:t xml:space="preserve"> </w:t>
      </w:r>
      <w:r>
        <w:rPr>
          <w:color w:val="231F20"/>
        </w:rPr>
        <w:t>are</w:t>
      </w:r>
      <w:r>
        <w:rPr>
          <w:color w:val="231F20"/>
          <w:spacing w:val="-4"/>
        </w:rPr>
        <w:t xml:space="preserve"> </w:t>
      </w:r>
      <w:r>
        <w:rPr>
          <w:color w:val="231F20"/>
        </w:rPr>
        <w:t>one</w:t>
      </w:r>
      <w:r>
        <w:rPr>
          <w:color w:val="231F20"/>
          <w:spacing w:val="-4"/>
        </w:rPr>
        <w:t xml:space="preserve"> </w:t>
      </w:r>
      <w:r>
        <w:rPr>
          <w:color w:val="231F20"/>
        </w:rPr>
        <w:t>of</w:t>
      </w:r>
      <w:r>
        <w:rPr>
          <w:color w:val="231F20"/>
          <w:spacing w:val="-4"/>
        </w:rPr>
        <w:t xml:space="preserve"> </w:t>
      </w:r>
      <w:r>
        <w:rPr>
          <w:color w:val="231F20"/>
        </w:rPr>
        <w:t>the</w:t>
      </w:r>
      <w:r>
        <w:rPr>
          <w:color w:val="231F20"/>
          <w:spacing w:val="-4"/>
        </w:rPr>
        <w:t xml:space="preserve"> </w:t>
      </w:r>
      <w:r>
        <w:rPr>
          <w:color w:val="231F20"/>
        </w:rPr>
        <w:t>various</w:t>
      </w:r>
      <w:r>
        <w:rPr>
          <w:color w:val="231F20"/>
          <w:spacing w:val="-4"/>
        </w:rPr>
        <w:t xml:space="preserve"> </w:t>
      </w:r>
      <w:r>
        <w:rPr>
          <w:color w:val="231F20"/>
        </w:rPr>
        <w:t>influences</w:t>
      </w:r>
      <w:r>
        <w:rPr>
          <w:color w:val="231F20"/>
          <w:spacing w:val="-4"/>
        </w:rPr>
        <w:t xml:space="preserve"> </w:t>
      </w:r>
      <w:r>
        <w:rPr>
          <w:color w:val="231F20"/>
        </w:rPr>
        <w:t>that</w:t>
      </w:r>
      <w:r>
        <w:rPr>
          <w:color w:val="231F20"/>
          <w:spacing w:val="-4"/>
        </w:rPr>
        <w:t xml:space="preserve"> </w:t>
      </w:r>
      <w:r>
        <w:rPr>
          <w:color w:val="231F20"/>
        </w:rPr>
        <w:t>these</w:t>
      </w:r>
      <w:r>
        <w:rPr>
          <w:color w:val="231F20"/>
          <w:spacing w:val="-4"/>
        </w:rPr>
        <w:t xml:space="preserve"> </w:t>
      </w:r>
      <w:r>
        <w:rPr>
          <w:color w:val="231F20"/>
        </w:rPr>
        <w:t xml:space="preserve">communities </w:t>
      </w:r>
      <w:r>
        <w:rPr>
          <w:color w:val="231F20"/>
          <w:w w:val="95"/>
        </w:rPr>
        <w:t>experience in the midst of discour</w:t>
      </w:r>
      <w:r>
        <w:rPr>
          <w:color w:val="231F20"/>
          <w:w w:val="95"/>
        </w:rPr>
        <w:t xml:space="preserve">ses of ‘regeneration’ of disadvantaged </w:t>
      </w:r>
      <w:r>
        <w:rPr>
          <w:color w:val="231F20"/>
        </w:rPr>
        <w:t>communities,</w:t>
      </w:r>
      <w:r>
        <w:rPr>
          <w:color w:val="231F20"/>
          <w:spacing w:val="-3"/>
        </w:rPr>
        <w:t xml:space="preserve"> </w:t>
      </w:r>
      <w:r>
        <w:rPr>
          <w:color w:val="231F20"/>
        </w:rPr>
        <w:t>but</w:t>
      </w:r>
      <w:r>
        <w:rPr>
          <w:color w:val="231F20"/>
          <w:spacing w:val="-4"/>
        </w:rPr>
        <w:t xml:space="preserve"> </w:t>
      </w:r>
      <w:r>
        <w:rPr>
          <w:color w:val="231F20"/>
        </w:rPr>
        <w:t>are</w:t>
      </w:r>
      <w:r>
        <w:rPr>
          <w:color w:val="231F20"/>
          <w:spacing w:val="-4"/>
        </w:rPr>
        <w:t xml:space="preserve"> </w:t>
      </w:r>
      <w:r>
        <w:rPr>
          <w:color w:val="231F20"/>
        </w:rPr>
        <w:t>nonetheless</w:t>
      </w:r>
      <w:r>
        <w:rPr>
          <w:color w:val="231F20"/>
          <w:spacing w:val="-4"/>
        </w:rPr>
        <w:t xml:space="preserve"> </w:t>
      </w:r>
      <w:r>
        <w:rPr>
          <w:color w:val="231F20"/>
        </w:rPr>
        <w:t>a</w:t>
      </w:r>
      <w:r>
        <w:rPr>
          <w:color w:val="231F20"/>
          <w:spacing w:val="-4"/>
        </w:rPr>
        <w:t xml:space="preserve"> </w:t>
      </w:r>
      <w:r>
        <w:rPr>
          <w:color w:val="231F20"/>
        </w:rPr>
        <w:t>very</w:t>
      </w:r>
      <w:r>
        <w:rPr>
          <w:color w:val="231F20"/>
          <w:spacing w:val="-3"/>
        </w:rPr>
        <w:t xml:space="preserve"> </w:t>
      </w:r>
      <w:r>
        <w:rPr>
          <w:color w:val="231F20"/>
        </w:rPr>
        <w:t>significant</w:t>
      </w:r>
      <w:r>
        <w:rPr>
          <w:color w:val="231F20"/>
          <w:spacing w:val="-3"/>
        </w:rPr>
        <w:t xml:space="preserve"> </w:t>
      </w:r>
      <w:r>
        <w:rPr>
          <w:color w:val="231F20"/>
        </w:rPr>
        <w:t>one.</w:t>
      </w:r>
    </w:p>
    <w:p w14:paraId="05B2E649" w14:textId="77777777" w:rsidR="00AE0598" w:rsidRDefault="0069255A">
      <w:pPr>
        <w:spacing w:before="67"/>
        <w:ind w:left="110" w:right="241"/>
        <w:jc w:val="right"/>
        <w:rPr>
          <w:rFonts w:ascii="Trebuchet MS"/>
          <w:i/>
          <w:sz w:val="18"/>
        </w:rPr>
      </w:pPr>
      <w:r>
        <w:rPr>
          <w:rFonts w:ascii="Trebuchet MS"/>
          <w:i/>
          <w:color w:val="231F20"/>
          <w:spacing w:val="-2"/>
          <w:sz w:val="18"/>
        </w:rPr>
        <w:t>(Continued)</w:t>
      </w:r>
    </w:p>
    <w:p w14:paraId="3B392C00" w14:textId="77777777" w:rsidR="00AE0598" w:rsidRDefault="00AE0598">
      <w:pPr>
        <w:jc w:val="right"/>
        <w:rPr>
          <w:rFonts w:ascii="Trebuchet MS"/>
          <w:sz w:val="18"/>
        </w:rPr>
        <w:sectPr w:rsidR="00AE0598">
          <w:pgSz w:w="8850" w:h="13270"/>
          <w:pgMar w:top="720" w:right="1060" w:bottom="280" w:left="1080" w:header="720" w:footer="720" w:gutter="0"/>
          <w:cols w:space="720"/>
        </w:sectPr>
      </w:pPr>
    </w:p>
    <w:p w14:paraId="1B59DFA8" w14:textId="77777777" w:rsidR="00AE0598" w:rsidRDefault="0069255A">
      <w:pPr>
        <w:spacing w:before="87"/>
        <w:ind w:left="108"/>
        <w:rPr>
          <w:rFonts w:ascii="Trebuchet MS"/>
          <w:sz w:val="14"/>
        </w:rPr>
      </w:pPr>
      <w:r>
        <w:rPr>
          <w:rFonts w:ascii="Trebuchet MS"/>
          <w:color w:val="231F20"/>
          <w:w w:val="105"/>
          <w:sz w:val="14"/>
        </w:rPr>
        <w:lastRenderedPageBreak/>
        <w:t>104</w:t>
      </w:r>
      <w:r>
        <w:rPr>
          <w:rFonts w:ascii="Trebuchet MS"/>
          <w:color w:val="231F20"/>
          <w:spacing w:val="66"/>
          <w:w w:val="150"/>
          <w:sz w:val="14"/>
        </w:rPr>
        <w:t xml:space="preserve"> </w:t>
      </w:r>
      <w:r>
        <w:rPr>
          <w:rFonts w:ascii="Trebuchet MS"/>
          <w:color w:val="231F20"/>
          <w:w w:val="105"/>
          <w:sz w:val="14"/>
        </w:rPr>
        <w:t>Part</w:t>
      </w:r>
      <w:r>
        <w:rPr>
          <w:rFonts w:ascii="Trebuchet MS"/>
          <w:color w:val="231F20"/>
          <w:spacing w:val="-9"/>
          <w:w w:val="105"/>
          <w:sz w:val="14"/>
        </w:rPr>
        <w:t xml:space="preserve"> </w:t>
      </w:r>
      <w:r>
        <w:rPr>
          <w:rFonts w:ascii="Trebuchet MS"/>
          <w:color w:val="231F20"/>
          <w:w w:val="105"/>
          <w:sz w:val="14"/>
        </w:rPr>
        <w:t>3:</w:t>
      </w:r>
      <w:r>
        <w:rPr>
          <w:rFonts w:ascii="Trebuchet MS"/>
          <w:color w:val="231F20"/>
          <w:spacing w:val="-8"/>
          <w:w w:val="105"/>
          <w:sz w:val="14"/>
        </w:rPr>
        <w:t xml:space="preserve"> </w:t>
      </w:r>
      <w:r>
        <w:rPr>
          <w:rFonts w:ascii="Trebuchet MS"/>
          <w:color w:val="231F20"/>
          <w:w w:val="105"/>
          <w:sz w:val="14"/>
        </w:rPr>
        <w:t>Sport</w:t>
      </w:r>
      <w:r>
        <w:rPr>
          <w:rFonts w:ascii="Trebuchet MS"/>
          <w:color w:val="231F20"/>
          <w:spacing w:val="-9"/>
          <w:w w:val="105"/>
          <w:sz w:val="14"/>
        </w:rPr>
        <w:t xml:space="preserve"> </w:t>
      </w:r>
      <w:r>
        <w:rPr>
          <w:rFonts w:ascii="Trebuchet MS"/>
          <w:color w:val="231F20"/>
          <w:w w:val="105"/>
          <w:sz w:val="14"/>
        </w:rPr>
        <w:t>Tourism</w:t>
      </w:r>
      <w:r>
        <w:rPr>
          <w:rFonts w:ascii="Trebuchet MS"/>
          <w:color w:val="231F20"/>
          <w:spacing w:val="-9"/>
          <w:w w:val="105"/>
          <w:sz w:val="14"/>
        </w:rPr>
        <w:t xml:space="preserve"> </w:t>
      </w:r>
      <w:r>
        <w:rPr>
          <w:rFonts w:ascii="Trebuchet MS"/>
          <w:color w:val="231F20"/>
          <w:w w:val="105"/>
          <w:sz w:val="14"/>
        </w:rPr>
        <w:t>Development</w:t>
      </w:r>
      <w:r>
        <w:rPr>
          <w:rFonts w:ascii="Trebuchet MS"/>
          <w:color w:val="231F20"/>
          <w:spacing w:val="-9"/>
          <w:w w:val="105"/>
          <w:sz w:val="14"/>
        </w:rPr>
        <w:t xml:space="preserve"> </w:t>
      </w:r>
      <w:r>
        <w:rPr>
          <w:rFonts w:ascii="Trebuchet MS"/>
          <w:color w:val="231F20"/>
          <w:w w:val="105"/>
          <w:sz w:val="14"/>
        </w:rPr>
        <w:t>and</w:t>
      </w:r>
      <w:r>
        <w:rPr>
          <w:rFonts w:ascii="Trebuchet MS"/>
          <w:color w:val="231F20"/>
          <w:spacing w:val="-8"/>
          <w:w w:val="105"/>
          <w:sz w:val="14"/>
        </w:rPr>
        <w:t xml:space="preserve"> </w:t>
      </w:r>
      <w:r>
        <w:rPr>
          <w:rFonts w:ascii="Trebuchet MS"/>
          <w:color w:val="231F20"/>
          <w:spacing w:val="-2"/>
          <w:w w:val="105"/>
          <w:sz w:val="14"/>
        </w:rPr>
        <w:t>Space</w:t>
      </w:r>
    </w:p>
    <w:p w14:paraId="61E5F9D5" w14:textId="77777777" w:rsidR="00AE0598" w:rsidRDefault="00AE0598">
      <w:pPr>
        <w:pStyle w:val="Corpodetexto"/>
        <w:spacing w:before="7"/>
        <w:rPr>
          <w:rFonts w:ascii="Trebuchet MS"/>
          <w:sz w:val="27"/>
        </w:rPr>
      </w:pPr>
    </w:p>
    <w:p w14:paraId="4EAE5D5C" w14:textId="090BDC0F" w:rsidR="00AE0598" w:rsidRDefault="0069255A">
      <w:pPr>
        <w:spacing w:before="99"/>
        <w:ind w:left="223"/>
        <w:rPr>
          <w:rFonts w:ascii="Trebuchet MS"/>
          <w:sz w:val="18"/>
        </w:rPr>
      </w:pPr>
      <w:r>
        <w:rPr>
          <w:noProof/>
        </w:rPr>
        <mc:AlternateContent>
          <mc:Choice Requires="wps">
            <w:drawing>
              <wp:anchor distT="0" distB="0" distL="114300" distR="114300" simplePos="0" relativeHeight="483703808" behindDoc="1" locked="0" layoutInCell="1" allowOverlap="1" wp14:anchorId="227198B8" wp14:editId="0F38972A">
                <wp:simplePos x="0" y="0"/>
                <wp:positionH relativeFrom="page">
                  <wp:posOffset>755650</wp:posOffset>
                </wp:positionH>
                <wp:positionV relativeFrom="paragraph">
                  <wp:posOffset>14605</wp:posOffset>
                </wp:positionV>
                <wp:extent cx="4104005" cy="5082540"/>
                <wp:effectExtent l="0" t="0" r="0" b="0"/>
                <wp:wrapNone/>
                <wp:docPr id="215" name="docshape1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04005" cy="5082540"/>
                        </a:xfrm>
                        <a:prstGeom prst="rect">
                          <a:avLst/>
                        </a:prstGeom>
                        <a:solidFill>
                          <a:srgbClr val="DCDDD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3D2739" id="docshape156" o:spid="_x0000_s1026" style="position:absolute;margin-left:59.5pt;margin-top:1.15pt;width:323.15pt;height:400.2pt;z-index:-196126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" fillcolor="#dcddde" stroked="f">
                <w10:wrap anchorx="page"/>
              </v:rect>
            </w:pict>
          </mc:Fallback>
        </mc:AlternateContent>
      </w:r>
      <w:r>
        <w:rPr>
          <w:rFonts w:ascii="Trebuchet MS"/>
          <w:color w:val="231F20"/>
          <w:sz w:val="20"/>
        </w:rPr>
        <w:t>Case</w:t>
      </w:r>
      <w:r>
        <w:rPr>
          <w:rFonts w:ascii="Trebuchet MS"/>
          <w:color w:val="231F20"/>
          <w:spacing w:val="-10"/>
          <w:sz w:val="20"/>
        </w:rPr>
        <w:t xml:space="preserve"> </w:t>
      </w:r>
      <w:r>
        <w:rPr>
          <w:rFonts w:ascii="Trebuchet MS"/>
          <w:color w:val="231F20"/>
          <w:sz w:val="20"/>
        </w:rPr>
        <w:t>Study</w:t>
      </w:r>
      <w:r>
        <w:rPr>
          <w:rFonts w:ascii="Trebuchet MS"/>
          <w:color w:val="231F20"/>
          <w:spacing w:val="-9"/>
          <w:sz w:val="20"/>
        </w:rPr>
        <w:t xml:space="preserve"> </w:t>
      </w:r>
      <w:r>
        <w:rPr>
          <w:rFonts w:ascii="Trebuchet MS"/>
          <w:color w:val="231F20"/>
          <w:sz w:val="20"/>
        </w:rPr>
        <w:t>5.1</w:t>
      </w:r>
      <w:r>
        <w:rPr>
          <w:rFonts w:ascii="Trebuchet MS"/>
          <w:color w:val="231F20"/>
          <w:sz w:val="18"/>
        </w:rPr>
        <w:t>:</w:t>
      </w:r>
      <w:r>
        <w:rPr>
          <w:rFonts w:ascii="Trebuchet MS"/>
          <w:color w:val="231F20"/>
          <w:spacing w:val="-9"/>
          <w:sz w:val="18"/>
        </w:rPr>
        <w:t xml:space="preserve"> </w:t>
      </w:r>
      <w:r>
        <w:rPr>
          <w:rFonts w:ascii="Trebuchet MS"/>
          <w:color w:val="231F20"/>
          <w:spacing w:val="-2"/>
          <w:sz w:val="18"/>
        </w:rPr>
        <w:t>(Continued)</w:t>
      </w:r>
    </w:p>
    <w:p w14:paraId="12406B5D" w14:textId="77777777" w:rsidR="00AE0598" w:rsidRDefault="0069255A">
      <w:pPr>
        <w:pStyle w:val="Corpodetexto"/>
        <w:spacing w:before="176" w:line="232" w:lineRule="auto"/>
        <w:ind w:left="223" w:right="240" w:firstLine="320"/>
        <w:jc w:val="both"/>
      </w:pPr>
      <w:r>
        <w:rPr>
          <w:color w:val="231F20"/>
          <w:w w:val="95"/>
        </w:rPr>
        <w:t>These</w:t>
      </w:r>
      <w:r>
        <w:rPr>
          <w:color w:val="231F20"/>
          <w:spacing w:val="-3"/>
          <w:w w:val="95"/>
        </w:rPr>
        <w:t xml:space="preserve"> </w:t>
      </w:r>
      <w:r>
        <w:rPr>
          <w:color w:val="231F20"/>
          <w:w w:val="95"/>
        </w:rPr>
        <w:t>studies</w:t>
      </w:r>
      <w:r>
        <w:rPr>
          <w:color w:val="231F20"/>
          <w:spacing w:val="-3"/>
          <w:w w:val="95"/>
        </w:rPr>
        <w:t xml:space="preserve"> </w:t>
      </w:r>
      <w:r>
        <w:rPr>
          <w:color w:val="231F20"/>
          <w:w w:val="95"/>
        </w:rPr>
        <w:t>challenge</w:t>
      </w:r>
      <w:r>
        <w:rPr>
          <w:color w:val="231F20"/>
          <w:spacing w:val="-3"/>
          <w:w w:val="95"/>
        </w:rPr>
        <w:t xml:space="preserve"> </w:t>
      </w:r>
      <w:r>
        <w:rPr>
          <w:color w:val="231F20"/>
          <w:w w:val="95"/>
        </w:rPr>
        <w:t>the</w:t>
      </w:r>
      <w:r>
        <w:rPr>
          <w:color w:val="231F20"/>
          <w:spacing w:val="-3"/>
          <w:w w:val="95"/>
        </w:rPr>
        <w:t xml:space="preserve"> </w:t>
      </w:r>
      <w:r>
        <w:rPr>
          <w:color w:val="231F20"/>
          <w:w w:val="95"/>
        </w:rPr>
        <w:t>future</w:t>
      </w:r>
      <w:r>
        <w:rPr>
          <w:color w:val="231F20"/>
          <w:spacing w:val="-3"/>
          <w:w w:val="95"/>
        </w:rPr>
        <w:t xml:space="preserve"> </w:t>
      </w:r>
      <w:r>
        <w:rPr>
          <w:color w:val="231F20"/>
          <w:w w:val="95"/>
        </w:rPr>
        <w:t>of</w:t>
      </w:r>
      <w:r>
        <w:rPr>
          <w:color w:val="231F20"/>
          <w:spacing w:val="-3"/>
          <w:w w:val="95"/>
        </w:rPr>
        <w:t xml:space="preserve"> </w:t>
      </w:r>
      <w:r>
        <w:rPr>
          <w:color w:val="231F20"/>
          <w:w w:val="95"/>
        </w:rPr>
        <w:t>mega</w:t>
      </w:r>
      <w:r>
        <w:rPr>
          <w:color w:val="231F20"/>
          <w:spacing w:val="-3"/>
          <w:w w:val="95"/>
        </w:rPr>
        <w:t xml:space="preserve"> </w:t>
      </w:r>
      <w:r>
        <w:rPr>
          <w:color w:val="231F20"/>
          <w:w w:val="95"/>
        </w:rPr>
        <w:t>sports</w:t>
      </w:r>
      <w:r>
        <w:rPr>
          <w:color w:val="231F20"/>
          <w:spacing w:val="-3"/>
          <w:w w:val="95"/>
        </w:rPr>
        <w:t xml:space="preserve"> </w:t>
      </w:r>
      <w:r>
        <w:rPr>
          <w:color w:val="231F20"/>
          <w:w w:val="95"/>
        </w:rPr>
        <w:t>events</w:t>
      </w:r>
      <w:r>
        <w:rPr>
          <w:color w:val="231F20"/>
          <w:spacing w:val="-3"/>
          <w:w w:val="95"/>
        </w:rPr>
        <w:t xml:space="preserve"> </w:t>
      </w:r>
      <w:r>
        <w:rPr>
          <w:color w:val="231F20"/>
          <w:w w:val="95"/>
        </w:rPr>
        <w:t>in</w:t>
      </w:r>
      <w:r>
        <w:rPr>
          <w:color w:val="231F20"/>
          <w:spacing w:val="-3"/>
          <w:w w:val="95"/>
        </w:rPr>
        <w:t xml:space="preserve"> </w:t>
      </w:r>
      <w:r>
        <w:rPr>
          <w:color w:val="231F20"/>
          <w:w w:val="95"/>
        </w:rPr>
        <w:t>two</w:t>
      </w:r>
      <w:r>
        <w:rPr>
          <w:color w:val="231F20"/>
          <w:spacing w:val="-3"/>
          <w:w w:val="95"/>
        </w:rPr>
        <w:t xml:space="preserve"> </w:t>
      </w:r>
      <w:r>
        <w:rPr>
          <w:color w:val="231F20"/>
          <w:w w:val="95"/>
        </w:rPr>
        <w:t xml:space="preserve">ways. </w:t>
      </w:r>
      <w:r>
        <w:rPr>
          <w:color w:val="231F20"/>
        </w:rPr>
        <w:t>First,</w:t>
      </w:r>
      <w:r>
        <w:rPr>
          <w:color w:val="231F20"/>
          <w:spacing w:val="-6"/>
        </w:rPr>
        <w:t xml:space="preserve"> </w:t>
      </w:r>
      <w:r>
        <w:rPr>
          <w:color w:val="231F20"/>
        </w:rPr>
        <w:t>if</w:t>
      </w:r>
      <w:r>
        <w:rPr>
          <w:color w:val="231F20"/>
          <w:spacing w:val="-6"/>
        </w:rPr>
        <w:t xml:space="preserve"> </w:t>
      </w:r>
      <w:r>
        <w:rPr>
          <w:color w:val="231F20"/>
        </w:rPr>
        <w:t>we</w:t>
      </w:r>
      <w:r>
        <w:rPr>
          <w:color w:val="231F20"/>
          <w:spacing w:val="-6"/>
        </w:rPr>
        <w:t xml:space="preserve"> </w:t>
      </w:r>
      <w:r>
        <w:rPr>
          <w:color w:val="231F20"/>
        </w:rPr>
        <w:t>understand</w:t>
      </w:r>
      <w:r>
        <w:rPr>
          <w:color w:val="231F20"/>
          <w:spacing w:val="-6"/>
        </w:rPr>
        <w:t xml:space="preserve"> </w:t>
      </w:r>
      <w:r>
        <w:rPr>
          <w:color w:val="231F20"/>
        </w:rPr>
        <w:t>leisure</w:t>
      </w:r>
      <w:r>
        <w:rPr>
          <w:color w:val="231F20"/>
          <w:spacing w:val="-6"/>
        </w:rPr>
        <w:t xml:space="preserve"> </w:t>
      </w:r>
      <w:r>
        <w:rPr>
          <w:color w:val="231F20"/>
        </w:rPr>
        <w:t>as</w:t>
      </w:r>
      <w:r>
        <w:rPr>
          <w:color w:val="231F20"/>
          <w:spacing w:val="-6"/>
        </w:rPr>
        <w:t xml:space="preserve"> </w:t>
      </w:r>
      <w:r>
        <w:rPr>
          <w:color w:val="231F20"/>
        </w:rPr>
        <w:t>being</w:t>
      </w:r>
      <w:r>
        <w:rPr>
          <w:color w:val="231F20"/>
          <w:spacing w:val="-6"/>
        </w:rPr>
        <w:t xml:space="preserve"> </w:t>
      </w:r>
      <w:r>
        <w:rPr>
          <w:color w:val="231F20"/>
        </w:rPr>
        <w:t>dependent</w:t>
      </w:r>
      <w:r>
        <w:rPr>
          <w:color w:val="231F20"/>
          <w:spacing w:val="-6"/>
        </w:rPr>
        <w:t xml:space="preserve"> </w:t>
      </w:r>
      <w:r>
        <w:rPr>
          <w:color w:val="231F20"/>
        </w:rPr>
        <w:t>upon</w:t>
      </w:r>
      <w:r>
        <w:rPr>
          <w:color w:val="231F20"/>
          <w:spacing w:val="-6"/>
        </w:rPr>
        <w:t xml:space="preserve"> </w:t>
      </w:r>
      <w:r>
        <w:rPr>
          <w:color w:val="231F20"/>
        </w:rPr>
        <w:t>opportunities that</w:t>
      </w:r>
      <w:r>
        <w:rPr>
          <w:color w:val="231F20"/>
          <w:spacing w:val="-5"/>
        </w:rPr>
        <w:t xml:space="preserve"> </w:t>
      </w:r>
      <w:r>
        <w:rPr>
          <w:color w:val="231F20"/>
        </w:rPr>
        <w:t>are</w:t>
      </w:r>
      <w:r>
        <w:rPr>
          <w:color w:val="231F20"/>
          <w:spacing w:val="-5"/>
        </w:rPr>
        <w:t xml:space="preserve"> </w:t>
      </w:r>
      <w:r>
        <w:rPr>
          <w:color w:val="231F20"/>
        </w:rPr>
        <w:t>created</w:t>
      </w:r>
      <w:r>
        <w:rPr>
          <w:color w:val="231F20"/>
          <w:spacing w:val="-5"/>
        </w:rPr>
        <w:t xml:space="preserve"> </w:t>
      </w:r>
      <w:r>
        <w:rPr>
          <w:color w:val="231F20"/>
        </w:rPr>
        <w:t>in</w:t>
      </w:r>
      <w:r>
        <w:rPr>
          <w:color w:val="231F20"/>
          <w:spacing w:val="-5"/>
        </w:rPr>
        <w:t xml:space="preserve"> </w:t>
      </w:r>
      <w:r>
        <w:rPr>
          <w:color w:val="231F20"/>
        </w:rPr>
        <w:t>advance</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experience</w:t>
      </w:r>
      <w:r>
        <w:rPr>
          <w:color w:val="231F20"/>
          <w:spacing w:val="-5"/>
        </w:rPr>
        <w:t xml:space="preserve"> </w:t>
      </w:r>
      <w:r>
        <w:rPr>
          <w:color w:val="231F20"/>
        </w:rPr>
        <w:t>(Elias</w:t>
      </w:r>
      <w:r>
        <w:rPr>
          <w:color w:val="231F20"/>
          <w:spacing w:val="-5"/>
        </w:rPr>
        <w:t xml:space="preserve"> </w:t>
      </w:r>
      <w:r>
        <w:rPr>
          <w:color w:val="231F20"/>
        </w:rPr>
        <w:t>&amp;</w:t>
      </w:r>
      <w:r>
        <w:rPr>
          <w:color w:val="231F20"/>
          <w:spacing w:val="-5"/>
        </w:rPr>
        <w:t xml:space="preserve"> </w:t>
      </w:r>
      <w:r>
        <w:rPr>
          <w:color w:val="231F20"/>
        </w:rPr>
        <w:t>Dunning,</w:t>
      </w:r>
      <w:r>
        <w:rPr>
          <w:color w:val="231F20"/>
          <w:spacing w:val="-5"/>
        </w:rPr>
        <w:t xml:space="preserve"> </w:t>
      </w:r>
      <w:r>
        <w:rPr>
          <w:color w:val="231F20"/>
        </w:rPr>
        <w:t xml:space="preserve">2008), </w:t>
      </w:r>
      <w:r>
        <w:rPr>
          <w:color w:val="231F20"/>
          <w:w w:val="95"/>
        </w:rPr>
        <w:t>and</w:t>
      </w:r>
      <w:r>
        <w:rPr>
          <w:color w:val="231F20"/>
          <w:spacing w:val="-8"/>
          <w:w w:val="95"/>
        </w:rPr>
        <w:t xml:space="preserve"> </w:t>
      </w:r>
      <w:r>
        <w:rPr>
          <w:color w:val="231F20"/>
          <w:w w:val="95"/>
        </w:rPr>
        <w:t>that</w:t>
      </w:r>
      <w:r>
        <w:rPr>
          <w:color w:val="231F20"/>
          <w:spacing w:val="-8"/>
          <w:w w:val="95"/>
        </w:rPr>
        <w:t xml:space="preserve"> </w:t>
      </w:r>
      <w:r>
        <w:rPr>
          <w:color w:val="231F20"/>
          <w:w w:val="95"/>
        </w:rPr>
        <w:t>leisure</w:t>
      </w:r>
      <w:r>
        <w:rPr>
          <w:color w:val="231F20"/>
          <w:spacing w:val="-8"/>
          <w:w w:val="95"/>
        </w:rPr>
        <w:t xml:space="preserve"> </w:t>
      </w:r>
      <w:r>
        <w:rPr>
          <w:color w:val="231F20"/>
          <w:w w:val="95"/>
        </w:rPr>
        <w:t>is</w:t>
      </w:r>
      <w:r>
        <w:rPr>
          <w:color w:val="231F20"/>
          <w:spacing w:val="-8"/>
          <w:w w:val="95"/>
        </w:rPr>
        <w:t xml:space="preserve"> </w:t>
      </w:r>
      <w:r>
        <w:rPr>
          <w:color w:val="231F20"/>
          <w:w w:val="95"/>
        </w:rPr>
        <w:t>central</w:t>
      </w:r>
      <w:r>
        <w:rPr>
          <w:color w:val="231F20"/>
          <w:spacing w:val="-8"/>
          <w:w w:val="95"/>
        </w:rPr>
        <w:t xml:space="preserve"> </w:t>
      </w:r>
      <w:r>
        <w:rPr>
          <w:color w:val="231F20"/>
          <w:w w:val="95"/>
        </w:rPr>
        <w:t>to</w:t>
      </w:r>
      <w:r>
        <w:rPr>
          <w:color w:val="231F20"/>
          <w:spacing w:val="-8"/>
          <w:w w:val="95"/>
        </w:rPr>
        <w:t xml:space="preserve"> </w:t>
      </w:r>
      <w:r>
        <w:rPr>
          <w:color w:val="231F20"/>
          <w:w w:val="95"/>
        </w:rPr>
        <w:t>the</w:t>
      </w:r>
      <w:r>
        <w:rPr>
          <w:color w:val="231F20"/>
          <w:spacing w:val="-8"/>
          <w:w w:val="95"/>
        </w:rPr>
        <w:t xml:space="preserve"> </w:t>
      </w:r>
      <w:r>
        <w:rPr>
          <w:color w:val="231F20"/>
          <w:w w:val="95"/>
        </w:rPr>
        <w:t>very</w:t>
      </w:r>
      <w:r>
        <w:rPr>
          <w:color w:val="231F20"/>
          <w:spacing w:val="-8"/>
          <w:w w:val="95"/>
        </w:rPr>
        <w:t xml:space="preserve"> </w:t>
      </w:r>
      <w:r>
        <w:rPr>
          <w:color w:val="231F20"/>
          <w:w w:val="95"/>
        </w:rPr>
        <w:t>idea</w:t>
      </w:r>
      <w:r>
        <w:rPr>
          <w:color w:val="231F20"/>
          <w:spacing w:val="-8"/>
          <w:w w:val="95"/>
        </w:rPr>
        <w:t xml:space="preserve"> </w:t>
      </w:r>
      <w:r>
        <w:rPr>
          <w:color w:val="231F20"/>
          <w:w w:val="95"/>
        </w:rPr>
        <w:t>of</w:t>
      </w:r>
      <w:r>
        <w:rPr>
          <w:color w:val="231F20"/>
          <w:spacing w:val="-8"/>
          <w:w w:val="95"/>
        </w:rPr>
        <w:t xml:space="preserve"> </w:t>
      </w:r>
      <w:r>
        <w:rPr>
          <w:color w:val="231F20"/>
          <w:w w:val="95"/>
        </w:rPr>
        <w:t>mega</w:t>
      </w:r>
      <w:r>
        <w:rPr>
          <w:color w:val="231F20"/>
          <w:spacing w:val="-8"/>
          <w:w w:val="95"/>
        </w:rPr>
        <w:t xml:space="preserve"> </w:t>
      </w:r>
      <w:r>
        <w:rPr>
          <w:color w:val="231F20"/>
          <w:w w:val="95"/>
        </w:rPr>
        <w:t>sport</w:t>
      </w:r>
      <w:r>
        <w:rPr>
          <w:color w:val="231F20"/>
          <w:spacing w:val="-8"/>
          <w:w w:val="95"/>
        </w:rPr>
        <w:t xml:space="preserve"> </w:t>
      </w:r>
      <w:r>
        <w:rPr>
          <w:color w:val="231F20"/>
          <w:w w:val="95"/>
        </w:rPr>
        <w:t>events,</w:t>
      </w:r>
      <w:r>
        <w:rPr>
          <w:color w:val="231F20"/>
          <w:spacing w:val="-8"/>
          <w:w w:val="95"/>
        </w:rPr>
        <w:t xml:space="preserve"> </w:t>
      </w:r>
      <w:r>
        <w:rPr>
          <w:color w:val="231F20"/>
          <w:w w:val="95"/>
        </w:rPr>
        <w:t>the</w:t>
      </w:r>
      <w:r>
        <w:rPr>
          <w:color w:val="231F20"/>
          <w:spacing w:val="-8"/>
          <w:w w:val="95"/>
        </w:rPr>
        <w:t xml:space="preserve"> </w:t>
      </w:r>
      <w:r>
        <w:rPr>
          <w:color w:val="231F20"/>
          <w:w w:val="95"/>
        </w:rPr>
        <w:t xml:space="preserve">spaces </w:t>
      </w:r>
      <w:r>
        <w:rPr>
          <w:color w:val="231F20"/>
        </w:rPr>
        <w:t>in which this soc</w:t>
      </w:r>
      <w:r>
        <w:rPr>
          <w:color w:val="231F20"/>
        </w:rPr>
        <w:t>ial practice can take place are critically important to urban transformation projects. Second, the democratisation of access to leisure spaces, including the permanency of physical ‘realities’ and the consequent creation of meaningful ties, must be taken s</w:t>
      </w:r>
      <w:r>
        <w:rPr>
          <w:color w:val="231F20"/>
        </w:rPr>
        <w:t xml:space="preserve">eriously by event organisers and governments that support their hosting. The experiences reported so far suggest a significant disregard for those living on the margins, being frequently ‘moved on’ (Lea </w:t>
      </w:r>
      <w:r>
        <w:rPr>
          <w:i/>
          <w:color w:val="231F20"/>
        </w:rPr>
        <w:t>et al</w:t>
      </w:r>
      <w:r>
        <w:rPr>
          <w:color w:val="231F20"/>
        </w:rPr>
        <w:t>., 2012) by urban renewal projects through displacement or gentrification. As Sibley</w:t>
      </w:r>
      <w:r>
        <w:rPr>
          <w:color w:val="231F20"/>
          <w:spacing w:val="-2"/>
        </w:rPr>
        <w:t xml:space="preserve"> </w:t>
      </w:r>
      <w:r>
        <w:rPr>
          <w:color w:val="231F20"/>
        </w:rPr>
        <w:t>(1995:</w:t>
      </w:r>
      <w:r>
        <w:rPr>
          <w:color w:val="231F20"/>
          <w:spacing w:val="-2"/>
        </w:rPr>
        <w:t xml:space="preserve"> </w:t>
      </w:r>
      <w:r>
        <w:rPr>
          <w:color w:val="231F20"/>
        </w:rPr>
        <w:t>ix)</w:t>
      </w:r>
      <w:r>
        <w:rPr>
          <w:color w:val="231F20"/>
          <w:spacing w:val="-2"/>
        </w:rPr>
        <w:t xml:space="preserve"> </w:t>
      </w:r>
      <w:r>
        <w:rPr>
          <w:color w:val="231F20"/>
        </w:rPr>
        <w:t>argues,</w:t>
      </w:r>
      <w:r>
        <w:rPr>
          <w:color w:val="231F20"/>
          <w:spacing w:val="-2"/>
        </w:rPr>
        <w:t xml:space="preserve"> </w:t>
      </w:r>
      <w:r>
        <w:rPr>
          <w:color w:val="231F20"/>
        </w:rPr>
        <w:t>‘power</w:t>
      </w:r>
      <w:r>
        <w:rPr>
          <w:color w:val="231F20"/>
          <w:spacing w:val="-2"/>
        </w:rPr>
        <w:t xml:space="preserve"> </w:t>
      </w:r>
      <w:r>
        <w:rPr>
          <w:color w:val="231F20"/>
        </w:rPr>
        <w:t>is</w:t>
      </w:r>
      <w:r>
        <w:rPr>
          <w:color w:val="231F20"/>
          <w:spacing w:val="-2"/>
        </w:rPr>
        <w:t xml:space="preserve"> </w:t>
      </w:r>
      <w:r>
        <w:rPr>
          <w:color w:val="231F20"/>
        </w:rPr>
        <w:t>expressed</w:t>
      </w:r>
      <w:r>
        <w:rPr>
          <w:color w:val="231F20"/>
          <w:spacing w:val="-2"/>
        </w:rPr>
        <w:t xml:space="preserve"> </w:t>
      </w:r>
      <w:r>
        <w:rPr>
          <w:color w:val="231F20"/>
        </w:rPr>
        <w:t>in</w:t>
      </w:r>
      <w:r>
        <w:rPr>
          <w:color w:val="231F20"/>
          <w:spacing w:val="-2"/>
        </w:rPr>
        <w:t xml:space="preserve"> </w:t>
      </w:r>
      <w:r>
        <w:rPr>
          <w:color w:val="231F20"/>
        </w:rPr>
        <w:t>the</w:t>
      </w:r>
      <w:r>
        <w:rPr>
          <w:color w:val="231F20"/>
          <w:spacing w:val="-2"/>
        </w:rPr>
        <w:t xml:space="preserve"> </w:t>
      </w:r>
      <w:r>
        <w:rPr>
          <w:color w:val="231F20"/>
        </w:rPr>
        <w:t>monopolisation</w:t>
      </w:r>
      <w:r>
        <w:rPr>
          <w:color w:val="231F20"/>
          <w:spacing w:val="-2"/>
        </w:rPr>
        <w:t xml:space="preserve"> </w:t>
      </w:r>
      <w:r>
        <w:rPr>
          <w:color w:val="231F20"/>
        </w:rPr>
        <w:t>of space and the relegation of weaker groups in society to less desirable environments’. By carelessly modifyi</w:t>
      </w:r>
      <w:r>
        <w:rPr>
          <w:color w:val="231F20"/>
        </w:rPr>
        <w:t>ng the urban environment to create a stage for hosting athletes, officials and tourists, mega-event organisers and the political institutions behind them are allowing the perpetuation of exclusion that is not only geographically located but also geographic</w:t>
      </w:r>
      <w:r>
        <w:rPr>
          <w:color w:val="231F20"/>
        </w:rPr>
        <w:t>ally reinforced.</w:t>
      </w:r>
    </w:p>
    <w:p w14:paraId="4C639990" w14:textId="77777777" w:rsidR="00AE0598" w:rsidRDefault="00AE0598">
      <w:pPr>
        <w:pStyle w:val="Corpodetexto"/>
        <w:spacing w:before="10"/>
        <w:rPr>
          <w:sz w:val="22"/>
        </w:rPr>
      </w:pPr>
    </w:p>
    <w:p w14:paraId="24070DCB" w14:textId="77777777" w:rsidR="00AE0598" w:rsidRDefault="0069255A">
      <w:pPr>
        <w:spacing w:before="1"/>
        <w:ind w:left="223"/>
        <w:rPr>
          <w:rFonts w:ascii="Trebuchet MS"/>
          <w:sz w:val="20"/>
        </w:rPr>
      </w:pPr>
      <w:r>
        <w:rPr>
          <w:rFonts w:ascii="Trebuchet MS"/>
          <w:color w:val="231F20"/>
          <w:w w:val="105"/>
          <w:sz w:val="20"/>
        </w:rPr>
        <w:t>Key</w:t>
      </w:r>
      <w:r>
        <w:rPr>
          <w:rFonts w:ascii="Trebuchet MS"/>
          <w:color w:val="231F20"/>
          <w:spacing w:val="-11"/>
          <w:w w:val="105"/>
          <w:sz w:val="20"/>
        </w:rPr>
        <w:t xml:space="preserve"> </w:t>
      </w:r>
      <w:r>
        <w:rPr>
          <w:rFonts w:ascii="Trebuchet MS"/>
          <w:color w:val="231F20"/>
          <w:spacing w:val="-2"/>
          <w:w w:val="105"/>
          <w:sz w:val="20"/>
        </w:rPr>
        <w:t>Reading</w:t>
      </w:r>
    </w:p>
    <w:p w14:paraId="3DA8EE7A" w14:textId="77777777" w:rsidR="00AE0598" w:rsidRDefault="0069255A">
      <w:pPr>
        <w:spacing w:before="122" w:line="232" w:lineRule="auto"/>
        <w:ind w:left="223" w:right="241"/>
        <w:jc w:val="both"/>
        <w:rPr>
          <w:sz w:val="21"/>
        </w:rPr>
      </w:pPr>
      <w:r>
        <w:rPr>
          <w:color w:val="231F20"/>
          <w:sz w:val="21"/>
        </w:rPr>
        <w:t xml:space="preserve">Sibley, D. (1995) </w:t>
      </w:r>
      <w:r>
        <w:rPr>
          <w:i/>
          <w:color w:val="231F20"/>
          <w:sz w:val="21"/>
        </w:rPr>
        <w:t>Geographies of Exclusion: Society and Difference in the West</w:t>
      </w:r>
      <w:r>
        <w:rPr>
          <w:color w:val="231F20"/>
          <w:sz w:val="21"/>
        </w:rPr>
        <w:t>. London: Routledge.</w:t>
      </w:r>
    </w:p>
    <w:p w14:paraId="14D18DF9" w14:textId="77777777" w:rsidR="00AE0598" w:rsidRDefault="0069255A">
      <w:pPr>
        <w:pStyle w:val="Corpodetexto"/>
        <w:spacing w:before="122" w:line="232" w:lineRule="auto"/>
        <w:ind w:left="223" w:right="236"/>
        <w:jc w:val="both"/>
      </w:pPr>
      <w:r>
        <w:rPr>
          <w:color w:val="231F20"/>
          <w:w w:val="105"/>
        </w:rPr>
        <w:t>Sousa</w:t>
      </w:r>
      <w:r>
        <w:rPr>
          <w:color w:val="231F20"/>
          <w:spacing w:val="-4"/>
          <w:w w:val="105"/>
        </w:rPr>
        <w:t xml:space="preserve"> </w:t>
      </w:r>
      <w:r>
        <w:rPr>
          <w:color w:val="231F20"/>
          <w:w w:val="105"/>
        </w:rPr>
        <w:t>Mast,</w:t>
      </w:r>
      <w:r>
        <w:rPr>
          <w:color w:val="231F20"/>
          <w:spacing w:val="-4"/>
          <w:w w:val="105"/>
        </w:rPr>
        <w:t xml:space="preserve"> </w:t>
      </w:r>
      <w:r>
        <w:rPr>
          <w:color w:val="231F20"/>
          <w:w w:val="105"/>
        </w:rPr>
        <w:t>F.R.,</w:t>
      </w:r>
      <w:r>
        <w:rPr>
          <w:color w:val="231F20"/>
          <w:spacing w:val="-4"/>
          <w:w w:val="105"/>
        </w:rPr>
        <w:t xml:space="preserve"> </w:t>
      </w:r>
      <w:r>
        <w:rPr>
          <w:color w:val="231F20"/>
          <w:w w:val="105"/>
        </w:rPr>
        <w:t>Reis,</w:t>
      </w:r>
      <w:r>
        <w:rPr>
          <w:color w:val="231F20"/>
          <w:spacing w:val="-4"/>
          <w:w w:val="105"/>
        </w:rPr>
        <w:t xml:space="preserve"> </w:t>
      </w:r>
      <w:r>
        <w:rPr>
          <w:color w:val="231F20"/>
          <w:w w:val="105"/>
        </w:rPr>
        <w:t>A.C.,</w:t>
      </w:r>
      <w:r>
        <w:rPr>
          <w:color w:val="231F20"/>
          <w:spacing w:val="-4"/>
          <w:w w:val="105"/>
        </w:rPr>
        <w:t xml:space="preserve"> </w:t>
      </w:r>
      <w:r>
        <w:rPr>
          <w:color w:val="231F20"/>
          <w:w w:val="105"/>
        </w:rPr>
        <w:t>Vieira,</w:t>
      </w:r>
      <w:r>
        <w:rPr>
          <w:color w:val="231F20"/>
          <w:spacing w:val="-4"/>
          <w:w w:val="105"/>
        </w:rPr>
        <w:t xml:space="preserve"> </w:t>
      </w:r>
      <w:r>
        <w:rPr>
          <w:color w:val="231F20"/>
          <w:w w:val="105"/>
        </w:rPr>
        <w:t>M.C.,</w:t>
      </w:r>
      <w:r>
        <w:rPr>
          <w:color w:val="231F20"/>
          <w:spacing w:val="-4"/>
          <w:w w:val="105"/>
        </w:rPr>
        <w:t xml:space="preserve"> </w:t>
      </w:r>
      <w:r>
        <w:rPr>
          <w:color w:val="231F20"/>
          <w:w w:val="105"/>
        </w:rPr>
        <w:t>Sperandei,</w:t>
      </w:r>
      <w:r>
        <w:rPr>
          <w:color w:val="231F20"/>
          <w:spacing w:val="-4"/>
          <w:w w:val="105"/>
        </w:rPr>
        <w:t xml:space="preserve"> </w:t>
      </w:r>
      <w:r>
        <w:rPr>
          <w:color w:val="231F20"/>
          <w:w w:val="105"/>
        </w:rPr>
        <w:t>S.,</w:t>
      </w:r>
      <w:r>
        <w:rPr>
          <w:color w:val="231F20"/>
          <w:spacing w:val="-4"/>
          <w:w w:val="105"/>
        </w:rPr>
        <w:t xml:space="preserve"> </w:t>
      </w:r>
      <w:r>
        <w:rPr>
          <w:color w:val="231F20"/>
          <w:w w:val="105"/>
        </w:rPr>
        <w:t>Gurgel,</w:t>
      </w:r>
      <w:r>
        <w:rPr>
          <w:color w:val="231F20"/>
          <w:spacing w:val="-4"/>
          <w:w w:val="105"/>
        </w:rPr>
        <w:t xml:space="preserve"> </w:t>
      </w:r>
      <w:r>
        <w:rPr>
          <w:color w:val="231F20"/>
          <w:w w:val="105"/>
        </w:rPr>
        <w:t>L.</w:t>
      </w:r>
      <w:r>
        <w:rPr>
          <w:color w:val="231F20"/>
          <w:spacing w:val="-4"/>
          <w:w w:val="105"/>
        </w:rPr>
        <w:t xml:space="preserve"> </w:t>
      </w:r>
      <w:r>
        <w:rPr>
          <w:color w:val="231F20"/>
          <w:w w:val="105"/>
        </w:rPr>
        <w:t xml:space="preserve">and </w:t>
      </w:r>
      <w:r>
        <w:rPr>
          <w:color w:val="231F20"/>
          <w:w w:val="95"/>
        </w:rPr>
        <w:t xml:space="preserve">Pühse, U. (2017) Does being an Olympic city help improve recreational resources? Examining the quality of physical activity resources in a low- </w:t>
      </w:r>
      <w:r>
        <w:rPr>
          <w:color w:val="231F20"/>
        </w:rPr>
        <w:t>income</w:t>
      </w:r>
      <w:r>
        <w:rPr>
          <w:color w:val="231F20"/>
          <w:spacing w:val="-4"/>
        </w:rPr>
        <w:t xml:space="preserve"> </w:t>
      </w:r>
      <w:r>
        <w:rPr>
          <w:color w:val="231F20"/>
        </w:rPr>
        <w:t>neighborhood</w:t>
      </w:r>
      <w:r>
        <w:rPr>
          <w:color w:val="231F20"/>
          <w:spacing w:val="-4"/>
        </w:rPr>
        <w:t xml:space="preserve"> </w:t>
      </w:r>
      <w:r>
        <w:rPr>
          <w:color w:val="231F20"/>
        </w:rPr>
        <w:t>of</w:t>
      </w:r>
      <w:r>
        <w:rPr>
          <w:color w:val="231F20"/>
          <w:spacing w:val="-4"/>
        </w:rPr>
        <w:t xml:space="preserve"> </w:t>
      </w:r>
      <w:r>
        <w:rPr>
          <w:color w:val="231F20"/>
        </w:rPr>
        <w:t>Rio</w:t>
      </w:r>
      <w:r>
        <w:rPr>
          <w:color w:val="231F20"/>
          <w:spacing w:val="-4"/>
        </w:rPr>
        <w:t xml:space="preserve"> </w:t>
      </w:r>
      <w:r>
        <w:rPr>
          <w:color w:val="231F20"/>
        </w:rPr>
        <w:t>de</w:t>
      </w:r>
      <w:r>
        <w:rPr>
          <w:color w:val="231F20"/>
          <w:spacing w:val="-4"/>
        </w:rPr>
        <w:t xml:space="preserve"> </w:t>
      </w:r>
      <w:r>
        <w:rPr>
          <w:color w:val="231F20"/>
        </w:rPr>
        <w:t>Janeiro.</w:t>
      </w:r>
      <w:r>
        <w:rPr>
          <w:color w:val="231F20"/>
          <w:spacing w:val="-4"/>
        </w:rPr>
        <w:t xml:space="preserve"> </w:t>
      </w:r>
      <w:r>
        <w:rPr>
          <w:i/>
          <w:color w:val="231F20"/>
        </w:rPr>
        <w:t>International</w:t>
      </w:r>
      <w:r>
        <w:rPr>
          <w:i/>
          <w:color w:val="231F20"/>
          <w:spacing w:val="-4"/>
        </w:rPr>
        <w:t xml:space="preserve"> </w:t>
      </w:r>
      <w:r>
        <w:rPr>
          <w:i/>
          <w:color w:val="231F20"/>
        </w:rPr>
        <w:t>Journal</w:t>
      </w:r>
      <w:r>
        <w:rPr>
          <w:i/>
          <w:color w:val="231F20"/>
          <w:spacing w:val="-4"/>
        </w:rPr>
        <w:t xml:space="preserve"> </w:t>
      </w:r>
      <w:r>
        <w:rPr>
          <w:i/>
          <w:color w:val="231F20"/>
        </w:rPr>
        <w:t>of</w:t>
      </w:r>
      <w:r>
        <w:rPr>
          <w:i/>
          <w:color w:val="231F20"/>
          <w:spacing w:val="-4"/>
        </w:rPr>
        <w:t xml:space="preserve"> </w:t>
      </w:r>
      <w:r>
        <w:rPr>
          <w:i/>
          <w:color w:val="231F20"/>
        </w:rPr>
        <w:t xml:space="preserve">Public </w:t>
      </w:r>
      <w:r>
        <w:rPr>
          <w:i/>
          <w:color w:val="231F20"/>
          <w:w w:val="105"/>
        </w:rPr>
        <w:t>Health</w:t>
      </w:r>
      <w:r>
        <w:rPr>
          <w:i/>
          <w:color w:val="231F20"/>
          <w:spacing w:val="-5"/>
          <w:w w:val="105"/>
        </w:rPr>
        <w:t xml:space="preserve"> </w:t>
      </w:r>
      <w:r>
        <w:rPr>
          <w:color w:val="231F20"/>
          <w:w w:val="105"/>
        </w:rPr>
        <w:t>62</w:t>
      </w:r>
      <w:r>
        <w:rPr>
          <w:color w:val="231F20"/>
          <w:spacing w:val="-5"/>
          <w:w w:val="105"/>
        </w:rPr>
        <w:t xml:space="preserve"> </w:t>
      </w:r>
      <w:r>
        <w:rPr>
          <w:color w:val="231F20"/>
          <w:w w:val="105"/>
        </w:rPr>
        <w:t>(2),</w:t>
      </w:r>
      <w:r>
        <w:rPr>
          <w:color w:val="231F20"/>
          <w:spacing w:val="-5"/>
          <w:w w:val="105"/>
        </w:rPr>
        <w:t xml:space="preserve"> </w:t>
      </w:r>
      <w:r>
        <w:rPr>
          <w:color w:val="231F20"/>
          <w:w w:val="105"/>
        </w:rPr>
        <w:t>263–268.</w:t>
      </w:r>
    </w:p>
    <w:p w14:paraId="46404028" w14:textId="77777777" w:rsidR="00AE0598" w:rsidRDefault="0069255A">
      <w:pPr>
        <w:spacing w:before="6" w:line="232" w:lineRule="auto"/>
        <w:ind w:left="223" w:right="241" w:firstLine="320"/>
        <w:jc w:val="both"/>
        <w:rPr>
          <w:i/>
          <w:sz w:val="21"/>
        </w:rPr>
      </w:pPr>
      <w:r>
        <w:rPr>
          <w:i/>
          <w:color w:val="231F20"/>
          <w:sz w:val="21"/>
        </w:rPr>
        <w:t>Additional references cited in this case study are included in the reference list.</w:t>
      </w:r>
    </w:p>
    <w:p w14:paraId="29EA08F0" w14:textId="77777777" w:rsidR="00AE0598" w:rsidRDefault="00AE0598">
      <w:pPr>
        <w:pStyle w:val="Corpodetexto"/>
        <w:spacing w:before="9"/>
        <w:rPr>
          <w:i/>
          <w:sz w:val="19"/>
        </w:rPr>
      </w:pPr>
    </w:p>
    <w:p w14:paraId="1265A0D4" w14:textId="77777777" w:rsidR="00AE0598" w:rsidRDefault="0069255A">
      <w:pPr>
        <w:pStyle w:val="Corpodetexto"/>
        <w:spacing w:before="1" w:line="232" w:lineRule="auto"/>
        <w:ind w:left="115" w:right="121" w:firstLine="320"/>
        <w:jc w:val="both"/>
      </w:pPr>
      <w:r>
        <w:rPr>
          <w:color w:val="231F20"/>
          <w:w w:val="95"/>
        </w:rPr>
        <w:t>The</w:t>
      </w:r>
      <w:r>
        <w:rPr>
          <w:color w:val="231F20"/>
          <w:spacing w:val="-2"/>
          <w:w w:val="95"/>
        </w:rPr>
        <w:t xml:space="preserve"> </w:t>
      </w:r>
      <w:r>
        <w:rPr>
          <w:color w:val="231F20"/>
          <w:w w:val="95"/>
        </w:rPr>
        <w:t>concept</w:t>
      </w:r>
      <w:r>
        <w:rPr>
          <w:color w:val="231F20"/>
          <w:spacing w:val="-2"/>
          <w:w w:val="95"/>
        </w:rPr>
        <w:t xml:space="preserve"> </w:t>
      </w:r>
      <w:r>
        <w:rPr>
          <w:color w:val="231F20"/>
          <w:w w:val="95"/>
        </w:rPr>
        <w:t>of</w:t>
      </w:r>
      <w:r>
        <w:rPr>
          <w:color w:val="231F20"/>
          <w:spacing w:val="-2"/>
          <w:w w:val="95"/>
        </w:rPr>
        <w:t xml:space="preserve"> </w:t>
      </w:r>
      <w:r>
        <w:rPr>
          <w:color w:val="231F20"/>
          <w:w w:val="95"/>
        </w:rPr>
        <w:t>a</w:t>
      </w:r>
      <w:r>
        <w:rPr>
          <w:color w:val="231F20"/>
          <w:spacing w:val="-2"/>
          <w:w w:val="95"/>
        </w:rPr>
        <w:t xml:space="preserve"> </w:t>
      </w:r>
      <w:r>
        <w:rPr>
          <w:color w:val="231F20"/>
          <w:w w:val="95"/>
        </w:rPr>
        <w:t>sport</w:t>
      </w:r>
      <w:r>
        <w:rPr>
          <w:color w:val="231F20"/>
          <w:spacing w:val="-2"/>
          <w:w w:val="95"/>
        </w:rPr>
        <w:t xml:space="preserve"> </w:t>
      </w:r>
      <w:r>
        <w:rPr>
          <w:color w:val="231F20"/>
          <w:w w:val="95"/>
        </w:rPr>
        <w:t>centre</w:t>
      </w:r>
      <w:r>
        <w:rPr>
          <w:color w:val="231F20"/>
          <w:spacing w:val="-2"/>
          <w:w w:val="95"/>
        </w:rPr>
        <w:t xml:space="preserve"> </w:t>
      </w:r>
      <w:r>
        <w:rPr>
          <w:color w:val="231F20"/>
          <w:w w:val="95"/>
        </w:rPr>
        <w:t>gives</w:t>
      </w:r>
      <w:r>
        <w:rPr>
          <w:color w:val="231F20"/>
          <w:spacing w:val="-2"/>
          <w:w w:val="95"/>
        </w:rPr>
        <w:t xml:space="preserve"> </w:t>
      </w:r>
      <w:r>
        <w:rPr>
          <w:color w:val="231F20"/>
          <w:w w:val="95"/>
        </w:rPr>
        <w:t>rise</w:t>
      </w:r>
      <w:r>
        <w:rPr>
          <w:color w:val="231F20"/>
          <w:spacing w:val="-2"/>
          <w:w w:val="95"/>
        </w:rPr>
        <w:t xml:space="preserve"> </w:t>
      </w:r>
      <w:r>
        <w:rPr>
          <w:color w:val="231F20"/>
          <w:w w:val="95"/>
        </w:rPr>
        <w:t>to</w:t>
      </w:r>
      <w:r>
        <w:rPr>
          <w:color w:val="231F20"/>
          <w:spacing w:val="-2"/>
          <w:w w:val="95"/>
        </w:rPr>
        <w:t xml:space="preserve"> </w:t>
      </w:r>
      <w:r>
        <w:rPr>
          <w:color w:val="231F20"/>
          <w:w w:val="95"/>
        </w:rPr>
        <w:t>the</w:t>
      </w:r>
      <w:r>
        <w:rPr>
          <w:color w:val="231F20"/>
          <w:spacing w:val="-2"/>
          <w:w w:val="95"/>
        </w:rPr>
        <w:t xml:space="preserve"> </w:t>
      </w:r>
      <w:r>
        <w:rPr>
          <w:color w:val="231F20"/>
          <w:w w:val="95"/>
        </w:rPr>
        <w:t>concept</w:t>
      </w:r>
      <w:r>
        <w:rPr>
          <w:color w:val="231F20"/>
          <w:spacing w:val="-2"/>
          <w:w w:val="95"/>
        </w:rPr>
        <w:t xml:space="preserve"> </w:t>
      </w:r>
      <w:r>
        <w:rPr>
          <w:color w:val="231F20"/>
          <w:w w:val="95"/>
        </w:rPr>
        <w:t>of</w:t>
      </w:r>
      <w:r>
        <w:rPr>
          <w:color w:val="231F20"/>
          <w:spacing w:val="-2"/>
          <w:w w:val="95"/>
        </w:rPr>
        <w:t xml:space="preserve"> </w:t>
      </w:r>
      <w:r>
        <w:rPr>
          <w:color w:val="231F20"/>
          <w:w w:val="95"/>
        </w:rPr>
        <w:t>a</w:t>
      </w:r>
      <w:r>
        <w:rPr>
          <w:color w:val="231F20"/>
          <w:spacing w:val="-2"/>
          <w:w w:val="95"/>
        </w:rPr>
        <w:t xml:space="preserve"> </w:t>
      </w:r>
      <w:r>
        <w:rPr>
          <w:color w:val="231F20"/>
          <w:w w:val="95"/>
        </w:rPr>
        <w:t>sport</w:t>
      </w:r>
      <w:r>
        <w:rPr>
          <w:color w:val="231F20"/>
          <w:spacing w:val="-2"/>
          <w:w w:val="95"/>
        </w:rPr>
        <w:t xml:space="preserve"> </w:t>
      </w:r>
      <w:r>
        <w:rPr>
          <w:color w:val="231F20"/>
          <w:w w:val="95"/>
        </w:rPr>
        <w:t xml:space="preserve">tourism </w:t>
      </w:r>
      <w:r>
        <w:rPr>
          <w:color w:val="231F20"/>
        </w:rPr>
        <w:t>centre, sport tourism destination or sports resort. The attractiveness of sport</w:t>
      </w:r>
      <w:r>
        <w:rPr>
          <w:color w:val="231F20"/>
          <w:spacing w:val="-3"/>
        </w:rPr>
        <w:t xml:space="preserve"> </w:t>
      </w:r>
      <w:r>
        <w:rPr>
          <w:color w:val="231F20"/>
        </w:rPr>
        <w:t>tourism</w:t>
      </w:r>
      <w:r>
        <w:rPr>
          <w:color w:val="231F20"/>
          <w:spacing w:val="-3"/>
        </w:rPr>
        <w:t xml:space="preserve"> </w:t>
      </w:r>
      <w:r>
        <w:rPr>
          <w:color w:val="231F20"/>
        </w:rPr>
        <w:t>centres</w:t>
      </w:r>
      <w:r>
        <w:rPr>
          <w:color w:val="231F20"/>
          <w:spacing w:val="-3"/>
        </w:rPr>
        <w:t xml:space="preserve"> </w:t>
      </w:r>
      <w:r>
        <w:rPr>
          <w:color w:val="231F20"/>
        </w:rPr>
        <w:t>may</w:t>
      </w:r>
      <w:r>
        <w:rPr>
          <w:color w:val="231F20"/>
          <w:spacing w:val="-3"/>
        </w:rPr>
        <w:t xml:space="preserve"> </w:t>
      </w:r>
      <w:r>
        <w:rPr>
          <w:color w:val="231F20"/>
        </w:rPr>
        <w:t>draw</w:t>
      </w:r>
      <w:r>
        <w:rPr>
          <w:color w:val="231F20"/>
          <w:spacing w:val="-4"/>
        </w:rPr>
        <w:t xml:space="preserve"> </w:t>
      </w:r>
      <w:r>
        <w:rPr>
          <w:color w:val="231F20"/>
        </w:rPr>
        <w:t>upon</w:t>
      </w:r>
      <w:r>
        <w:rPr>
          <w:color w:val="231F20"/>
          <w:spacing w:val="-4"/>
        </w:rPr>
        <w:t xml:space="preserve"> </w:t>
      </w:r>
      <w:r>
        <w:rPr>
          <w:color w:val="231F20"/>
        </w:rPr>
        <w:t>the</w:t>
      </w:r>
      <w:r>
        <w:rPr>
          <w:color w:val="231F20"/>
          <w:spacing w:val="-3"/>
        </w:rPr>
        <w:t xml:space="preserve"> </w:t>
      </w:r>
      <w:r>
        <w:rPr>
          <w:color w:val="231F20"/>
        </w:rPr>
        <w:t>uniqueness</w:t>
      </w:r>
      <w:r>
        <w:rPr>
          <w:color w:val="231F20"/>
          <w:spacing w:val="-4"/>
        </w:rPr>
        <w:t xml:space="preserve"> </w:t>
      </w:r>
      <w:r>
        <w:rPr>
          <w:color w:val="231F20"/>
        </w:rPr>
        <w:t>of</w:t>
      </w:r>
      <w:r>
        <w:rPr>
          <w:color w:val="231F20"/>
          <w:spacing w:val="-4"/>
        </w:rPr>
        <w:t xml:space="preserve"> </w:t>
      </w:r>
      <w:r>
        <w:rPr>
          <w:color w:val="231F20"/>
        </w:rPr>
        <w:t>different</w:t>
      </w:r>
      <w:r>
        <w:rPr>
          <w:color w:val="231F20"/>
          <w:spacing w:val="-3"/>
        </w:rPr>
        <w:t xml:space="preserve"> </w:t>
      </w:r>
      <w:r>
        <w:rPr>
          <w:color w:val="231F20"/>
        </w:rPr>
        <w:t xml:space="preserve">sports regions that exist within a country (Rooney &amp; Pillsbury, 1992). By </w:t>
      </w:r>
      <w:r>
        <w:rPr>
          <w:color w:val="231F20"/>
          <w:w w:val="95"/>
        </w:rPr>
        <w:t xml:space="preserve">definition, a sport tourism centre requires </w:t>
      </w:r>
      <w:r>
        <w:rPr>
          <w:color w:val="231F20"/>
          <w:w w:val="95"/>
        </w:rPr>
        <w:t xml:space="preserve">the presence of sports facilities and resources as well as tourism infrastructure and services (Standeven &amp; </w:t>
      </w:r>
      <w:r>
        <w:rPr>
          <w:color w:val="231F20"/>
        </w:rPr>
        <w:t>De</w:t>
      </w:r>
      <w:r>
        <w:rPr>
          <w:color w:val="231F20"/>
          <w:spacing w:val="-8"/>
        </w:rPr>
        <w:t xml:space="preserve"> </w:t>
      </w:r>
      <w:r>
        <w:rPr>
          <w:color w:val="231F20"/>
        </w:rPr>
        <w:t>Knop,</w:t>
      </w:r>
      <w:r>
        <w:rPr>
          <w:color w:val="231F20"/>
          <w:spacing w:val="-8"/>
        </w:rPr>
        <w:t xml:space="preserve"> </w:t>
      </w:r>
      <w:r>
        <w:rPr>
          <w:color w:val="231F20"/>
        </w:rPr>
        <w:t>1999).</w:t>
      </w:r>
      <w:r>
        <w:rPr>
          <w:color w:val="231F20"/>
          <w:spacing w:val="-8"/>
        </w:rPr>
        <w:t xml:space="preserve"> </w:t>
      </w:r>
      <w:r>
        <w:rPr>
          <w:color w:val="231F20"/>
        </w:rPr>
        <w:t>‘To</w:t>
      </w:r>
      <w:r>
        <w:rPr>
          <w:color w:val="231F20"/>
          <w:spacing w:val="-8"/>
        </w:rPr>
        <w:t xml:space="preserve"> </w:t>
      </w:r>
      <w:r>
        <w:rPr>
          <w:color w:val="231F20"/>
        </w:rPr>
        <w:t>the</w:t>
      </w:r>
      <w:r>
        <w:rPr>
          <w:color w:val="231F20"/>
          <w:spacing w:val="-8"/>
        </w:rPr>
        <w:t xml:space="preserve"> </w:t>
      </w:r>
      <w:r>
        <w:rPr>
          <w:color w:val="231F20"/>
        </w:rPr>
        <w:t>visitor</w:t>
      </w:r>
      <w:r>
        <w:rPr>
          <w:color w:val="231F20"/>
          <w:spacing w:val="-8"/>
        </w:rPr>
        <w:t xml:space="preserve"> </w:t>
      </w:r>
      <w:r>
        <w:rPr>
          <w:color w:val="231F20"/>
        </w:rPr>
        <w:t>the</w:t>
      </w:r>
      <w:r>
        <w:rPr>
          <w:color w:val="231F20"/>
          <w:spacing w:val="-8"/>
        </w:rPr>
        <w:t xml:space="preserve"> </w:t>
      </w:r>
      <w:r>
        <w:rPr>
          <w:color w:val="231F20"/>
        </w:rPr>
        <w:t>amenities</w:t>
      </w:r>
      <w:r>
        <w:rPr>
          <w:color w:val="231F20"/>
          <w:spacing w:val="-8"/>
        </w:rPr>
        <w:t xml:space="preserve"> </w:t>
      </w:r>
      <w:r>
        <w:rPr>
          <w:color w:val="231F20"/>
        </w:rPr>
        <w:t>appear</w:t>
      </w:r>
      <w:r>
        <w:rPr>
          <w:color w:val="231F20"/>
          <w:spacing w:val="-8"/>
        </w:rPr>
        <w:t xml:space="preserve"> </w:t>
      </w:r>
      <w:r>
        <w:rPr>
          <w:color w:val="231F20"/>
        </w:rPr>
        <w:t>to</w:t>
      </w:r>
      <w:r>
        <w:rPr>
          <w:color w:val="231F20"/>
          <w:spacing w:val="-8"/>
        </w:rPr>
        <w:t xml:space="preserve"> </w:t>
      </w:r>
      <w:r>
        <w:rPr>
          <w:color w:val="231F20"/>
        </w:rPr>
        <w:t>be</w:t>
      </w:r>
      <w:r>
        <w:rPr>
          <w:color w:val="231F20"/>
          <w:spacing w:val="-8"/>
        </w:rPr>
        <w:t xml:space="preserve"> </w:t>
      </w:r>
      <w:r>
        <w:rPr>
          <w:color w:val="231F20"/>
        </w:rPr>
        <w:t>related</w:t>
      </w:r>
      <w:r>
        <w:rPr>
          <w:color w:val="231F20"/>
          <w:spacing w:val="-8"/>
        </w:rPr>
        <w:t xml:space="preserve"> </w:t>
      </w:r>
      <w:r>
        <w:rPr>
          <w:color w:val="231F20"/>
        </w:rPr>
        <w:t>to</w:t>
      </w:r>
      <w:r>
        <w:rPr>
          <w:color w:val="231F20"/>
          <w:spacing w:val="-8"/>
        </w:rPr>
        <w:t xml:space="preserve"> </w:t>
      </w:r>
      <w:r>
        <w:rPr>
          <w:color w:val="231F20"/>
        </w:rPr>
        <w:t xml:space="preserve">each </w:t>
      </w:r>
      <w:r>
        <w:rPr>
          <w:color w:val="231F20"/>
          <w:w w:val="95"/>
        </w:rPr>
        <w:t>other; the whole is more attractive than each separate amenity’ (Dietvors</w:t>
      </w:r>
      <w:r>
        <w:rPr>
          <w:color w:val="231F20"/>
          <w:w w:val="95"/>
        </w:rPr>
        <w:t xml:space="preserve">t, </w:t>
      </w:r>
      <w:r>
        <w:rPr>
          <w:color w:val="231F20"/>
        </w:rPr>
        <w:t>1995: 165). Sport tourism centres have the capacity to accommodate significant</w:t>
      </w:r>
      <w:r>
        <w:rPr>
          <w:color w:val="231F20"/>
          <w:spacing w:val="13"/>
        </w:rPr>
        <w:t xml:space="preserve"> </w:t>
      </w:r>
      <w:r>
        <w:rPr>
          <w:color w:val="231F20"/>
        </w:rPr>
        <w:t>inward</w:t>
      </w:r>
      <w:r>
        <w:rPr>
          <w:color w:val="231F20"/>
          <w:spacing w:val="13"/>
        </w:rPr>
        <w:t xml:space="preserve"> </w:t>
      </w:r>
      <w:r>
        <w:rPr>
          <w:color w:val="231F20"/>
        </w:rPr>
        <w:t>travel</w:t>
      </w:r>
      <w:r>
        <w:rPr>
          <w:color w:val="231F20"/>
          <w:spacing w:val="13"/>
        </w:rPr>
        <w:t xml:space="preserve"> </w:t>
      </w:r>
      <w:r>
        <w:rPr>
          <w:color w:val="231F20"/>
        </w:rPr>
        <w:t>flows</w:t>
      </w:r>
      <w:r>
        <w:rPr>
          <w:color w:val="231F20"/>
          <w:spacing w:val="12"/>
        </w:rPr>
        <w:t xml:space="preserve"> </w:t>
      </w:r>
      <w:r>
        <w:rPr>
          <w:color w:val="231F20"/>
        </w:rPr>
        <w:t>at</w:t>
      </w:r>
      <w:r>
        <w:rPr>
          <w:color w:val="231F20"/>
          <w:spacing w:val="13"/>
        </w:rPr>
        <w:t xml:space="preserve"> </w:t>
      </w:r>
      <w:r>
        <w:rPr>
          <w:color w:val="231F20"/>
        </w:rPr>
        <w:t>a</w:t>
      </w:r>
      <w:r>
        <w:rPr>
          <w:color w:val="231F20"/>
          <w:spacing w:val="12"/>
        </w:rPr>
        <w:t xml:space="preserve"> </w:t>
      </w:r>
      <w:r>
        <w:rPr>
          <w:color w:val="231F20"/>
        </w:rPr>
        <w:t>destination.</w:t>
      </w:r>
      <w:r>
        <w:rPr>
          <w:color w:val="231F20"/>
          <w:spacing w:val="12"/>
        </w:rPr>
        <w:t xml:space="preserve"> </w:t>
      </w:r>
      <w:r>
        <w:rPr>
          <w:color w:val="231F20"/>
        </w:rPr>
        <w:t>An</w:t>
      </w:r>
      <w:r>
        <w:rPr>
          <w:color w:val="231F20"/>
          <w:spacing w:val="13"/>
        </w:rPr>
        <w:t xml:space="preserve"> </w:t>
      </w:r>
      <w:r>
        <w:rPr>
          <w:color w:val="231F20"/>
        </w:rPr>
        <w:t>established</w:t>
      </w:r>
      <w:r>
        <w:rPr>
          <w:color w:val="231F20"/>
          <w:spacing w:val="12"/>
        </w:rPr>
        <w:t xml:space="preserve"> </w:t>
      </w:r>
      <w:r>
        <w:rPr>
          <w:color w:val="231F20"/>
        </w:rPr>
        <w:t>tourism</w:t>
      </w:r>
    </w:p>
    <w:p w14:paraId="5FD79CFC" w14:textId="77777777" w:rsidR="00AE0598" w:rsidRDefault="00AE0598">
      <w:pPr>
        <w:spacing w:line="232" w:lineRule="auto"/>
        <w:jc w:val="both"/>
        <w:sectPr w:rsidR="00AE0598">
          <w:pgSz w:w="8850" w:h="13270"/>
          <w:pgMar w:top="720" w:right="1060" w:bottom="280" w:left="1080" w:header="720" w:footer="720" w:gutter="0"/>
          <w:cols w:space="720"/>
        </w:sectPr>
      </w:pPr>
    </w:p>
    <w:p w14:paraId="6DAE63AF" w14:textId="77777777" w:rsidR="00AE0598" w:rsidRDefault="0069255A">
      <w:pPr>
        <w:spacing w:before="87"/>
        <w:ind w:left="4070"/>
        <w:rPr>
          <w:rFonts w:ascii="Trebuchet MS"/>
          <w:sz w:val="14"/>
        </w:rPr>
      </w:pPr>
      <w:r>
        <w:rPr>
          <w:rFonts w:ascii="Trebuchet MS"/>
          <w:color w:val="231F20"/>
          <w:w w:val="105"/>
          <w:sz w:val="14"/>
        </w:rPr>
        <w:lastRenderedPageBreak/>
        <w:t>Space:</w:t>
      </w:r>
      <w:r>
        <w:rPr>
          <w:rFonts w:ascii="Trebuchet MS"/>
          <w:color w:val="231F20"/>
          <w:spacing w:val="-12"/>
          <w:w w:val="105"/>
          <w:sz w:val="14"/>
        </w:rPr>
        <w:t xml:space="preserve"> </w:t>
      </w:r>
      <w:r>
        <w:rPr>
          <w:rFonts w:ascii="Trebuchet MS"/>
          <w:color w:val="231F20"/>
          <w:w w:val="105"/>
          <w:sz w:val="14"/>
        </w:rPr>
        <w:t>Location</w:t>
      </w:r>
      <w:r>
        <w:rPr>
          <w:rFonts w:ascii="Trebuchet MS"/>
          <w:color w:val="231F20"/>
          <w:spacing w:val="-11"/>
          <w:w w:val="105"/>
          <w:sz w:val="14"/>
        </w:rPr>
        <w:t xml:space="preserve"> </w:t>
      </w:r>
      <w:r>
        <w:rPr>
          <w:rFonts w:ascii="Trebuchet MS"/>
          <w:color w:val="231F20"/>
          <w:w w:val="105"/>
          <w:sz w:val="14"/>
        </w:rPr>
        <w:t>and</w:t>
      </w:r>
      <w:r>
        <w:rPr>
          <w:rFonts w:ascii="Trebuchet MS"/>
          <w:color w:val="231F20"/>
          <w:spacing w:val="-11"/>
          <w:w w:val="105"/>
          <w:sz w:val="14"/>
        </w:rPr>
        <w:t xml:space="preserve"> </w:t>
      </w:r>
      <w:r>
        <w:rPr>
          <w:rFonts w:ascii="Trebuchet MS"/>
          <w:color w:val="231F20"/>
          <w:w w:val="105"/>
          <w:sz w:val="14"/>
        </w:rPr>
        <w:t>Travel</w:t>
      </w:r>
      <w:r>
        <w:rPr>
          <w:rFonts w:ascii="Trebuchet MS"/>
          <w:color w:val="231F20"/>
          <w:spacing w:val="-11"/>
          <w:w w:val="105"/>
          <w:sz w:val="14"/>
        </w:rPr>
        <w:t xml:space="preserve"> </w:t>
      </w:r>
      <w:r>
        <w:rPr>
          <w:rFonts w:ascii="Trebuchet MS"/>
          <w:color w:val="231F20"/>
          <w:w w:val="105"/>
          <w:sz w:val="14"/>
        </w:rPr>
        <w:t>Flows</w:t>
      </w:r>
      <w:r>
        <w:rPr>
          <w:rFonts w:ascii="Trebuchet MS"/>
          <w:color w:val="231F20"/>
          <w:spacing w:val="59"/>
          <w:w w:val="105"/>
          <w:sz w:val="14"/>
        </w:rPr>
        <w:t xml:space="preserve"> </w:t>
      </w:r>
      <w:r>
        <w:rPr>
          <w:rFonts w:ascii="Trebuchet MS"/>
          <w:color w:val="231F20"/>
          <w:spacing w:val="-5"/>
          <w:w w:val="105"/>
          <w:sz w:val="14"/>
        </w:rPr>
        <w:t>105</w:t>
      </w:r>
    </w:p>
    <w:p w14:paraId="56331F3E" w14:textId="77777777" w:rsidR="00AE0598" w:rsidRDefault="00AE0598">
      <w:pPr>
        <w:pStyle w:val="Corpodetexto"/>
        <w:rPr>
          <w:rFonts w:ascii="Trebuchet MS"/>
          <w:sz w:val="16"/>
        </w:rPr>
      </w:pPr>
    </w:p>
    <w:p w14:paraId="0242724E" w14:textId="77777777" w:rsidR="00AE0598" w:rsidRDefault="0069255A">
      <w:pPr>
        <w:pStyle w:val="Corpodetexto"/>
        <w:spacing w:before="118" w:line="232" w:lineRule="auto"/>
        <w:ind w:left="110" w:right="127"/>
        <w:jc w:val="both"/>
      </w:pPr>
      <w:r>
        <w:rPr>
          <w:color w:val="231F20"/>
        </w:rPr>
        <w:t>economy in the form of national and/or international transport nodes, an</w:t>
      </w:r>
      <w:r>
        <w:rPr>
          <w:color w:val="231F20"/>
          <w:spacing w:val="-8"/>
        </w:rPr>
        <w:t xml:space="preserve"> </w:t>
      </w:r>
      <w:r>
        <w:rPr>
          <w:color w:val="231F20"/>
        </w:rPr>
        <w:t>established</w:t>
      </w:r>
      <w:r>
        <w:rPr>
          <w:color w:val="231F20"/>
          <w:spacing w:val="-8"/>
        </w:rPr>
        <w:t xml:space="preserve"> </w:t>
      </w:r>
      <w:r>
        <w:rPr>
          <w:color w:val="231F20"/>
        </w:rPr>
        <w:t>accommodation</w:t>
      </w:r>
      <w:r>
        <w:rPr>
          <w:color w:val="231F20"/>
          <w:spacing w:val="-8"/>
        </w:rPr>
        <w:t xml:space="preserve"> </w:t>
      </w:r>
      <w:r>
        <w:rPr>
          <w:color w:val="231F20"/>
        </w:rPr>
        <w:t>sector,</w:t>
      </w:r>
      <w:r>
        <w:rPr>
          <w:color w:val="231F20"/>
          <w:spacing w:val="-8"/>
        </w:rPr>
        <w:t xml:space="preserve"> </w:t>
      </w:r>
      <w:r>
        <w:rPr>
          <w:color w:val="231F20"/>
        </w:rPr>
        <w:t>tourist</w:t>
      </w:r>
      <w:r>
        <w:rPr>
          <w:color w:val="231F20"/>
          <w:spacing w:val="-8"/>
        </w:rPr>
        <w:t xml:space="preserve"> </w:t>
      </w:r>
      <w:r>
        <w:rPr>
          <w:color w:val="231F20"/>
        </w:rPr>
        <w:t>attractions</w:t>
      </w:r>
      <w:r>
        <w:rPr>
          <w:color w:val="231F20"/>
          <w:spacing w:val="-8"/>
        </w:rPr>
        <w:t xml:space="preserve"> </w:t>
      </w:r>
      <w:r>
        <w:rPr>
          <w:color w:val="231F20"/>
        </w:rPr>
        <w:t>to</w:t>
      </w:r>
      <w:r>
        <w:rPr>
          <w:color w:val="231F20"/>
          <w:spacing w:val="-8"/>
        </w:rPr>
        <w:t xml:space="preserve"> </w:t>
      </w:r>
      <w:r>
        <w:rPr>
          <w:color w:val="231F20"/>
        </w:rPr>
        <w:t>complement the</w:t>
      </w:r>
      <w:r>
        <w:rPr>
          <w:color w:val="231F20"/>
          <w:spacing w:val="-8"/>
        </w:rPr>
        <w:t xml:space="preserve"> </w:t>
      </w:r>
      <w:r>
        <w:rPr>
          <w:color w:val="231F20"/>
        </w:rPr>
        <w:t>sport</w:t>
      </w:r>
      <w:r>
        <w:rPr>
          <w:color w:val="231F20"/>
          <w:spacing w:val="-8"/>
        </w:rPr>
        <w:t xml:space="preserve"> </w:t>
      </w:r>
      <w:r>
        <w:rPr>
          <w:color w:val="231F20"/>
        </w:rPr>
        <w:t>industry</w:t>
      </w:r>
      <w:r>
        <w:rPr>
          <w:color w:val="231F20"/>
          <w:spacing w:val="-8"/>
        </w:rPr>
        <w:t xml:space="preserve"> </w:t>
      </w:r>
      <w:r>
        <w:rPr>
          <w:color w:val="231F20"/>
        </w:rPr>
        <w:t>and</w:t>
      </w:r>
      <w:r>
        <w:rPr>
          <w:color w:val="231F20"/>
          <w:spacing w:val="-8"/>
        </w:rPr>
        <w:t xml:space="preserve"> </w:t>
      </w:r>
      <w:r>
        <w:rPr>
          <w:color w:val="231F20"/>
        </w:rPr>
        <w:t>a</w:t>
      </w:r>
      <w:r>
        <w:rPr>
          <w:color w:val="231F20"/>
          <w:spacing w:val="-8"/>
        </w:rPr>
        <w:t xml:space="preserve"> </w:t>
      </w:r>
      <w:r>
        <w:rPr>
          <w:color w:val="231F20"/>
        </w:rPr>
        <w:t>well-developed</w:t>
      </w:r>
      <w:r>
        <w:rPr>
          <w:color w:val="231F20"/>
          <w:spacing w:val="-8"/>
        </w:rPr>
        <w:t xml:space="preserve"> </w:t>
      </w:r>
      <w:r>
        <w:rPr>
          <w:color w:val="231F20"/>
        </w:rPr>
        <w:t>service</w:t>
      </w:r>
      <w:r>
        <w:rPr>
          <w:color w:val="231F20"/>
          <w:spacing w:val="-8"/>
        </w:rPr>
        <w:t xml:space="preserve"> </w:t>
      </w:r>
      <w:r>
        <w:rPr>
          <w:color w:val="231F20"/>
        </w:rPr>
        <w:t>sector</w:t>
      </w:r>
      <w:r>
        <w:rPr>
          <w:color w:val="231F20"/>
          <w:spacing w:val="-8"/>
        </w:rPr>
        <w:t xml:space="preserve"> </w:t>
      </w:r>
      <w:r>
        <w:rPr>
          <w:color w:val="231F20"/>
        </w:rPr>
        <w:t>including</w:t>
      </w:r>
      <w:r>
        <w:rPr>
          <w:color w:val="231F20"/>
          <w:spacing w:val="-8"/>
        </w:rPr>
        <w:t xml:space="preserve"> </w:t>
      </w:r>
      <w:r>
        <w:rPr>
          <w:color w:val="231F20"/>
        </w:rPr>
        <w:t>tourism information services is critical to its fu</w:t>
      </w:r>
      <w:r>
        <w:rPr>
          <w:color w:val="231F20"/>
        </w:rPr>
        <w:t>nctionality (Whitson, 2004).</w:t>
      </w:r>
    </w:p>
    <w:p w14:paraId="4A27D993" w14:textId="77777777" w:rsidR="00AE0598" w:rsidRDefault="0069255A">
      <w:pPr>
        <w:pStyle w:val="Corpodetexto"/>
        <w:spacing w:before="5" w:line="232" w:lineRule="auto"/>
        <w:ind w:left="110" w:right="126" w:firstLine="320"/>
        <w:jc w:val="both"/>
      </w:pPr>
      <w:r>
        <w:rPr>
          <w:color w:val="231F20"/>
          <w:w w:val="95"/>
        </w:rPr>
        <w:t>The</w:t>
      </w:r>
      <w:r>
        <w:rPr>
          <w:color w:val="231F20"/>
          <w:spacing w:val="-4"/>
          <w:w w:val="95"/>
        </w:rPr>
        <w:t xml:space="preserve"> </w:t>
      </w:r>
      <w:r>
        <w:rPr>
          <w:color w:val="231F20"/>
          <w:w w:val="95"/>
        </w:rPr>
        <w:t>development</w:t>
      </w:r>
      <w:r>
        <w:rPr>
          <w:color w:val="231F20"/>
          <w:spacing w:val="-4"/>
          <w:w w:val="95"/>
        </w:rPr>
        <w:t xml:space="preserve"> </w:t>
      </w:r>
      <w:r>
        <w:rPr>
          <w:color w:val="231F20"/>
          <w:w w:val="95"/>
        </w:rPr>
        <w:t>and</w:t>
      </w:r>
      <w:r>
        <w:rPr>
          <w:color w:val="231F20"/>
          <w:spacing w:val="-4"/>
          <w:w w:val="95"/>
        </w:rPr>
        <w:t xml:space="preserve"> </w:t>
      </w:r>
      <w:r>
        <w:rPr>
          <w:color w:val="231F20"/>
          <w:w w:val="95"/>
        </w:rPr>
        <w:t>management</w:t>
      </w:r>
      <w:r>
        <w:rPr>
          <w:color w:val="231F20"/>
          <w:spacing w:val="-4"/>
          <w:w w:val="95"/>
        </w:rPr>
        <w:t xml:space="preserve"> </w:t>
      </w:r>
      <w:r>
        <w:rPr>
          <w:color w:val="231F20"/>
          <w:w w:val="95"/>
        </w:rPr>
        <w:t>of</w:t>
      </w:r>
      <w:r>
        <w:rPr>
          <w:color w:val="231F20"/>
          <w:spacing w:val="-4"/>
          <w:w w:val="95"/>
        </w:rPr>
        <w:t xml:space="preserve"> </w:t>
      </w:r>
      <w:r>
        <w:rPr>
          <w:color w:val="231F20"/>
          <w:w w:val="95"/>
        </w:rPr>
        <w:t>sport</w:t>
      </w:r>
      <w:r>
        <w:rPr>
          <w:color w:val="231F20"/>
          <w:spacing w:val="-4"/>
          <w:w w:val="95"/>
        </w:rPr>
        <w:t xml:space="preserve"> </w:t>
      </w:r>
      <w:r>
        <w:rPr>
          <w:color w:val="231F20"/>
          <w:w w:val="95"/>
        </w:rPr>
        <w:t>tourism</w:t>
      </w:r>
      <w:r>
        <w:rPr>
          <w:color w:val="231F20"/>
          <w:spacing w:val="-4"/>
          <w:w w:val="95"/>
        </w:rPr>
        <w:t xml:space="preserve"> </w:t>
      </w:r>
      <w:r>
        <w:rPr>
          <w:color w:val="231F20"/>
          <w:w w:val="95"/>
        </w:rPr>
        <w:t>centres</w:t>
      </w:r>
      <w:r>
        <w:rPr>
          <w:color w:val="231F20"/>
          <w:spacing w:val="-4"/>
          <w:w w:val="95"/>
        </w:rPr>
        <w:t xml:space="preserve"> </w:t>
      </w:r>
      <w:r>
        <w:rPr>
          <w:color w:val="231F20"/>
          <w:w w:val="95"/>
        </w:rPr>
        <w:t>and</w:t>
      </w:r>
      <w:r>
        <w:rPr>
          <w:color w:val="231F20"/>
          <w:spacing w:val="-4"/>
          <w:w w:val="95"/>
        </w:rPr>
        <w:t xml:space="preserve"> </w:t>
      </w:r>
      <w:r>
        <w:rPr>
          <w:color w:val="231F20"/>
          <w:w w:val="95"/>
        </w:rPr>
        <w:t xml:space="preserve">regions </w:t>
      </w:r>
      <w:r>
        <w:rPr>
          <w:color w:val="231F20"/>
        </w:rPr>
        <w:t>require the strategic and coordinated development of both sport and tourism</w:t>
      </w:r>
      <w:r>
        <w:rPr>
          <w:color w:val="231F20"/>
          <w:spacing w:val="-4"/>
        </w:rPr>
        <w:t xml:space="preserve"> </w:t>
      </w:r>
      <w:r>
        <w:rPr>
          <w:color w:val="231F20"/>
        </w:rPr>
        <w:t>resources</w:t>
      </w:r>
      <w:r>
        <w:rPr>
          <w:color w:val="231F20"/>
          <w:spacing w:val="-4"/>
        </w:rPr>
        <w:t xml:space="preserve"> </w:t>
      </w:r>
      <w:r>
        <w:rPr>
          <w:color w:val="231F20"/>
        </w:rPr>
        <w:t>(Maier</w:t>
      </w:r>
      <w:r>
        <w:rPr>
          <w:color w:val="231F20"/>
          <w:spacing w:val="-4"/>
        </w:rPr>
        <w:t xml:space="preserve"> </w:t>
      </w:r>
      <w:r>
        <w:rPr>
          <w:color w:val="231F20"/>
        </w:rPr>
        <w:t>&amp;</w:t>
      </w:r>
      <w:r>
        <w:rPr>
          <w:color w:val="231F20"/>
          <w:spacing w:val="-4"/>
        </w:rPr>
        <w:t xml:space="preserve"> </w:t>
      </w:r>
      <w:r>
        <w:rPr>
          <w:color w:val="231F20"/>
        </w:rPr>
        <w:t>Weber,</w:t>
      </w:r>
      <w:r>
        <w:rPr>
          <w:color w:val="231F20"/>
          <w:spacing w:val="-4"/>
        </w:rPr>
        <w:t xml:space="preserve"> </w:t>
      </w:r>
      <w:r>
        <w:rPr>
          <w:color w:val="231F20"/>
        </w:rPr>
        <w:t>1993;</w:t>
      </w:r>
      <w:r>
        <w:rPr>
          <w:color w:val="231F20"/>
          <w:spacing w:val="-4"/>
        </w:rPr>
        <w:t xml:space="preserve"> </w:t>
      </w:r>
      <w:r>
        <w:rPr>
          <w:color w:val="231F20"/>
        </w:rPr>
        <w:t>Pigeassou,</w:t>
      </w:r>
      <w:r>
        <w:rPr>
          <w:color w:val="231F20"/>
          <w:spacing w:val="-4"/>
        </w:rPr>
        <w:t xml:space="preserve"> </w:t>
      </w:r>
      <w:r>
        <w:rPr>
          <w:color w:val="231F20"/>
        </w:rPr>
        <w:t>2002),</w:t>
      </w:r>
      <w:r>
        <w:rPr>
          <w:color w:val="231F20"/>
          <w:spacing w:val="-4"/>
        </w:rPr>
        <w:t xml:space="preserve"> </w:t>
      </w:r>
      <w:r>
        <w:rPr>
          <w:color w:val="231F20"/>
        </w:rPr>
        <w:t>with</w:t>
      </w:r>
      <w:r>
        <w:rPr>
          <w:color w:val="231F20"/>
          <w:spacing w:val="-4"/>
        </w:rPr>
        <w:t xml:space="preserve"> </w:t>
      </w:r>
      <w:r>
        <w:rPr>
          <w:color w:val="231F20"/>
        </w:rPr>
        <w:t>careful consideration given to strategic development opportunities, which may enhance</w:t>
      </w:r>
      <w:r>
        <w:rPr>
          <w:color w:val="231F20"/>
          <w:spacing w:val="-7"/>
        </w:rPr>
        <w:t xml:space="preserve"> </w:t>
      </w:r>
      <w:r>
        <w:rPr>
          <w:color w:val="231F20"/>
        </w:rPr>
        <w:t>the</w:t>
      </w:r>
      <w:r>
        <w:rPr>
          <w:color w:val="231F20"/>
          <w:spacing w:val="-7"/>
        </w:rPr>
        <w:t xml:space="preserve"> </w:t>
      </w:r>
      <w:r>
        <w:rPr>
          <w:color w:val="231F20"/>
        </w:rPr>
        <w:t>status</w:t>
      </w:r>
      <w:r>
        <w:rPr>
          <w:color w:val="231F20"/>
          <w:spacing w:val="-7"/>
        </w:rPr>
        <w:t xml:space="preserve"> </w:t>
      </w:r>
      <w:r>
        <w:rPr>
          <w:color w:val="231F20"/>
        </w:rPr>
        <w:t>of</w:t>
      </w:r>
      <w:r>
        <w:rPr>
          <w:color w:val="231F20"/>
          <w:spacing w:val="-7"/>
        </w:rPr>
        <w:t xml:space="preserve"> </w:t>
      </w:r>
      <w:r>
        <w:rPr>
          <w:color w:val="231F20"/>
        </w:rPr>
        <w:t>sport</w:t>
      </w:r>
      <w:r>
        <w:rPr>
          <w:color w:val="231F20"/>
          <w:spacing w:val="-7"/>
        </w:rPr>
        <w:t xml:space="preserve"> </w:t>
      </w:r>
      <w:r>
        <w:rPr>
          <w:color w:val="231F20"/>
        </w:rPr>
        <w:t>tourism</w:t>
      </w:r>
      <w:r>
        <w:rPr>
          <w:color w:val="231F20"/>
          <w:spacing w:val="-7"/>
        </w:rPr>
        <w:t xml:space="preserve"> </w:t>
      </w:r>
      <w:r>
        <w:rPr>
          <w:color w:val="231F20"/>
        </w:rPr>
        <w:t>centres.</w:t>
      </w:r>
      <w:r>
        <w:rPr>
          <w:color w:val="231F20"/>
          <w:spacing w:val="-7"/>
        </w:rPr>
        <w:t xml:space="preserve"> </w:t>
      </w:r>
      <w:r>
        <w:rPr>
          <w:color w:val="231F20"/>
        </w:rPr>
        <w:t>International</w:t>
      </w:r>
      <w:r>
        <w:rPr>
          <w:color w:val="231F20"/>
          <w:spacing w:val="-7"/>
        </w:rPr>
        <w:t xml:space="preserve"> </w:t>
      </w:r>
      <w:r>
        <w:rPr>
          <w:color w:val="231F20"/>
        </w:rPr>
        <w:t>Football</w:t>
      </w:r>
      <w:r>
        <w:rPr>
          <w:color w:val="231F20"/>
          <w:spacing w:val="-7"/>
        </w:rPr>
        <w:t xml:space="preserve"> </w:t>
      </w:r>
      <w:r>
        <w:rPr>
          <w:color w:val="231F20"/>
        </w:rPr>
        <w:t>Camp Styria is an excellent example of strategic sport tourism development. Located in the Alps region of Stei</w:t>
      </w:r>
      <w:r>
        <w:rPr>
          <w:color w:val="231F20"/>
        </w:rPr>
        <w:t>emark (Austria), Camp Styria offers integrated</w:t>
      </w:r>
      <w:r>
        <w:rPr>
          <w:color w:val="231F20"/>
          <w:spacing w:val="-6"/>
        </w:rPr>
        <w:t xml:space="preserve"> </w:t>
      </w:r>
      <w:r>
        <w:rPr>
          <w:color w:val="231F20"/>
        </w:rPr>
        <w:t>high-altitude</w:t>
      </w:r>
      <w:r>
        <w:rPr>
          <w:color w:val="231F20"/>
          <w:spacing w:val="-6"/>
        </w:rPr>
        <w:t xml:space="preserve"> </w:t>
      </w:r>
      <w:r>
        <w:rPr>
          <w:color w:val="231F20"/>
        </w:rPr>
        <w:t>football</w:t>
      </w:r>
      <w:r>
        <w:rPr>
          <w:color w:val="231F20"/>
          <w:spacing w:val="-6"/>
        </w:rPr>
        <w:t xml:space="preserve"> </w:t>
      </w:r>
      <w:r>
        <w:rPr>
          <w:color w:val="231F20"/>
        </w:rPr>
        <w:t>training</w:t>
      </w:r>
      <w:r>
        <w:rPr>
          <w:color w:val="231F20"/>
          <w:spacing w:val="-6"/>
        </w:rPr>
        <w:t xml:space="preserve"> </w:t>
      </w:r>
      <w:r>
        <w:rPr>
          <w:color w:val="231F20"/>
        </w:rPr>
        <w:t>venues</w:t>
      </w:r>
      <w:r>
        <w:rPr>
          <w:color w:val="231F20"/>
          <w:spacing w:val="-6"/>
        </w:rPr>
        <w:t xml:space="preserve"> </w:t>
      </w:r>
      <w:r>
        <w:rPr>
          <w:color w:val="231F20"/>
        </w:rPr>
        <w:t>that</w:t>
      </w:r>
      <w:r>
        <w:rPr>
          <w:color w:val="231F20"/>
          <w:spacing w:val="-6"/>
        </w:rPr>
        <w:t xml:space="preserve"> </w:t>
      </w:r>
      <w:r>
        <w:rPr>
          <w:color w:val="231F20"/>
        </w:rPr>
        <w:t>target</w:t>
      </w:r>
      <w:r>
        <w:rPr>
          <w:color w:val="231F20"/>
          <w:spacing w:val="-6"/>
        </w:rPr>
        <w:t xml:space="preserve"> </w:t>
      </w:r>
      <w:r>
        <w:rPr>
          <w:color w:val="231F20"/>
        </w:rPr>
        <w:t>elite</w:t>
      </w:r>
      <w:r>
        <w:rPr>
          <w:color w:val="231F20"/>
          <w:spacing w:val="-6"/>
        </w:rPr>
        <w:t xml:space="preserve"> </w:t>
      </w:r>
      <w:r>
        <w:rPr>
          <w:color w:val="231F20"/>
        </w:rPr>
        <w:t>football clubs and international football teams to prepare for pre-season league (summer camps) and international competition. In this case, altitude an</w:t>
      </w:r>
      <w:r>
        <w:rPr>
          <w:color w:val="231F20"/>
        </w:rPr>
        <w:t>d world-class training facilities provide a competitive setting for the physical</w:t>
      </w:r>
      <w:r>
        <w:rPr>
          <w:color w:val="231F20"/>
          <w:spacing w:val="-9"/>
        </w:rPr>
        <w:t xml:space="preserve"> </w:t>
      </w:r>
      <w:r>
        <w:rPr>
          <w:color w:val="231F20"/>
        </w:rPr>
        <w:t>conditioning</w:t>
      </w:r>
      <w:r>
        <w:rPr>
          <w:color w:val="231F20"/>
          <w:spacing w:val="-9"/>
        </w:rPr>
        <w:t xml:space="preserve"> </w:t>
      </w:r>
      <w:r>
        <w:rPr>
          <w:color w:val="231F20"/>
        </w:rPr>
        <w:t>and</w:t>
      </w:r>
      <w:r>
        <w:rPr>
          <w:color w:val="231F20"/>
          <w:spacing w:val="-9"/>
        </w:rPr>
        <w:t xml:space="preserve"> </w:t>
      </w:r>
      <w:r>
        <w:rPr>
          <w:color w:val="231F20"/>
        </w:rPr>
        <w:t>preparation</w:t>
      </w:r>
      <w:r>
        <w:rPr>
          <w:color w:val="231F20"/>
          <w:spacing w:val="-9"/>
        </w:rPr>
        <w:t xml:space="preserve"> </w:t>
      </w:r>
      <w:r>
        <w:rPr>
          <w:color w:val="231F20"/>
        </w:rPr>
        <w:t>of</w:t>
      </w:r>
      <w:r>
        <w:rPr>
          <w:color w:val="231F20"/>
          <w:spacing w:val="-9"/>
        </w:rPr>
        <w:t xml:space="preserve"> </w:t>
      </w:r>
      <w:r>
        <w:rPr>
          <w:color w:val="231F20"/>
        </w:rPr>
        <w:t>sports</w:t>
      </w:r>
      <w:r>
        <w:rPr>
          <w:color w:val="231F20"/>
          <w:spacing w:val="-9"/>
        </w:rPr>
        <w:t xml:space="preserve"> </w:t>
      </w:r>
      <w:r>
        <w:rPr>
          <w:color w:val="231F20"/>
        </w:rPr>
        <w:t>teams,</w:t>
      </w:r>
      <w:r>
        <w:rPr>
          <w:color w:val="231F20"/>
          <w:spacing w:val="-9"/>
        </w:rPr>
        <w:t xml:space="preserve"> </w:t>
      </w:r>
      <w:r>
        <w:rPr>
          <w:color w:val="231F20"/>
        </w:rPr>
        <w:t>with</w:t>
      </w:r>
      <w:r>
        <w:rPr>
          <w:color w:val="231F20"/>
          <w:spacing w:val="-9"/>
        </w:rPr>
        <w:t xml:space="preserve"> </w:t>
      </w:r>
      <w:r>
        <w:rPr>
          <w:color w:val="231F20"/>
        </w:rPr>
        <w:t>Graz</w:t>
      </w:r>
      <w:r>
        <w:rPr>
          <w:color w:val="231F20"/>
          <w:spacing w:val="-9"/>
        </w:rPr>
        <w:t xml:space="preserve"> </w:t>
      </w:r>
      <w:r>
        <w:rPr>
          <w:color w:val="231F20"/>
        </w:rPr>
        <w:t>serving as</w:t>
      </w:r>
      <w:r>
        <w:rPr>
          <w:color w:val="231F20"/>
          <w:spacing w:val="-1"/>
        </w:rPr>
        <w:t xml:space="preserve"> </w:t>
      </w:r>
      <w:r>
        <w:rPr>
          <w:color w:val="231F20"/>
        </w:rPr>
        <w:t>a</w:t>
      </w:r>
      <w:r>
        <w:rPr>
          <w:color w:val="231F20"/>
          <w:spacing w:val="-1"/>
        </w:rPr>
        <w:t xml:space="preserve"> </w:t>
      </w:r>
      <w:r>
        <w:rPr>
          <w:color w:val="231F20"/>
        </w:rPr>
        <w:t>convenient</w:t>
      </w:r>
      <w:r>
        <w:rPr>
          <w:color w:val="231F20"/>
          <w:spacing w:val="-1"/>
        </w:rPr>
        <w:t xml:space="preserve"> </w:t>
      </w:r>
      <w:r>
        <w:rPr>
          <w:color w:val="231F20"/>
        </w:rPr>
        <w:t>regional</w:t>
      </w:r>
      <w:r>
        <w:rPr>
          <w:color w:val="231F20"/>
          <w:spacing w:val="-1"/>
        </w:rPr>
        <w:t xml:space="preserve"> </w:t>
      </w:r>
      <w:r>
        <w:rPr>
          <w:color w:val="231F20"/>
        </w:rPr>
        <w:t>air</w:t>
      </w:r>
      <w:r>
        <w:rPr>
          <w:color w:val="231F20"/>
          <w:spacing w:val="-1"/>
        </w:rPr>
        <w:t xml:space="preserve"> </w:t>
      </w:r>
      <w:r>
        <w:rPr>
          <w:color w:val="231F20"/>
        </w:rPr>
        <w:t>transport</w:t>
      </w:r>
      <w:r>
        <w:rPr>
          <w:color w:val="231F20"/>
          <w:spacing w:val="-1"/>
        </w:rPr>
        <w:t xml:space="preserve"> </w:t>
      </w:r>
      <w:r>
        <w:rPr>
          <w:color w:val="231F20"/>
        </w:rPr>
        <w:t>gateway.</w:t>
      </w:r>
      <w:r>
        <w:rPr>
          <w:color w:val="231F20"/>
          <w:spacing w:val="-1"/>
        </w:rPr>
        <w:t xml:space="preserve"> </w:t>
      </w:r>
      <w:r>
        <w:rPr>
          <w:color w:val="231F20"/>
        </w:rPr>
        <w:t>Camp</w:t>
      </w:r>
      <w:r>
        <w:rPr>
          <w:color w:val="231F20"/>
          <w:spacing w:val="-1"/>
        </w:rPr>
        <w:t xml:space="preserve"> </w:t>
      </w:r>
      <w:r>
        <w:rPr>
          <w:color w:val="231F20"/>
        </w:rPr>
        <w:t>Styria</w:t>
      </w:r>
      <w:r>
        <w:rPr>
          <w:color w:val="231F20"/>
          <w:spacing w:val="-1"/>
        </w:rPr>
        <w:t xml:space="preserve"> </w:t>
      </w:r>
      <w:r>
        <w:rPr>
          <w:color w:val="231F20"/>
        </w:rPr>
        <w:t>has</w:t>
      </w:r>
      <w:r>
        <w:rPr>
          <w:color w:val="231F20"/>
          <w:spacing w:val="-1"/>
        </w:rPr>
        <w:t xml:space="preserve"> </w:t>
      </w:r>
      <w:r>
        <w:rPr>
          <w:color w:val="231F20"/>
        </w:rPr>
        <w:t>become a sport centre, offering a combination of sport and tourism resources to serve a specialist elite sport market.</w:t>
      </w:r>
    </w:p>
    <w:p w14:paraId="75D2C1EE" w14:textId="77777777" w:rsidR="00AE0598" w:rsidRDefault="00AE0598">
      <w:pPr>
        <w:pStyle w:val="Corpodetexto"/>
        <w:spacing w:before="5"/>
        <w:rPr>
          <w:sz w:val="22"/>
        </w:rPr>
      </w:pPr>
    </w:p>
    <w:p w14:paraId="3166BD06" w14:textId="77777777" w:rsidR="00AE0598" w:rsidRDefault="0069255A">
      <w:pPr>
        <w:ind w:left="110"/>
        <w:jc w:val="both"/>
        <w:rPr>
          <w:rFonts w:ascii="Trebuchet MS"/>
          <w:sz w:val="20"/>
        </w:rPr>
      </w:pPr>
      <w:r>
        <w:rPr>
          <w:rFonts w:ascii="Trebuchet MS"/>
          <w:color w:val="231F20"/>
          <w:w w:val="105"/>
          <w:sz w:val="20"/>
        </w:rPr>
        <w:t>The</w:t>
      </w:r>
      <w:r>
        <w:rPr>
          <w:rFonts w:ascii="Trebuchet MS"/>
          <w:color w:val="231F20"/>
          <w:spacing w:val="-12"/>
          <w:w w:val="105"/>
          <w:sz w:val="20"/>
        </w:rPr>
        <w:t xml:space="preserve"> </w:t>
      </w:r>
      <w:r>
        <w:rPr>
          <w:rFonts w:ascii="Trebuchet MS"/>
          <w:color w:val="231F20"/>
          <w:w w:val="105"/>
          <w:sz w:val="20"/>
        </w:rPr>
        <w:t>evolution</w:t>
      </w:r>
      <w:r>
        <w:rPr>
          <w:rFonts w:ascii="Trebuchet MS"/>
          <w:color w:val="231F20"/>
          <w:spacing w:val="-12"/>
          <w:w w:val="105"/>
          <w:sz w:val="20"/>
        </w:rPr>
        <w:t xml:space="preserve"> </w:t>
      </w:r>
      <w:r>
        <w:rPr>
          <w:rFonts w:ascii="Trebuchet MS"/>
          <w:color w:val="231F20"/>
          <w:w w:val="105"/>
          <w:sz w:val="20"/>
        </w:rPr>
        <w:t>of</w:t>
      </w:r>
      <w:r>
        <w:rPr>
          <w:rFonts w:ascii="Trebuchet MS"/>
          <w:color w:val="231F20"/>
          <w:spacing w:val="-12"/>
          <w:w w:val="105"/>
          <w:sz w:val="20"/>
        </w:rPr>
        <w:t xml:space="preserve"> </w:t>
      </w:r>
      <w:r>
        <w:rPr>
          <w:rFonts w:ascii="Trebuchet MS"/>
          <w:color w:val="231F20"/>
          <w:w w:val="105"/>
          <w:sz w:val="20"/>
        </w:rPr>
        <w:t>sport</w:t>
      </w:r>
      <w:r>
        <w:rPr>
          <w:rFonts w:ascii="Trebuchet MS"/>
          <w:color w:val="231F20"/>
          <w:spacing w:val="-11"/>
          <w:w w:val="105"/>
          <w:sz w:val="20"/>
        </w:rPr>
        <w:t xml:space="preserve"> </w:t>
      </w:r>
      <w:r>
        <w:rPr>
          <w:rFonts w:ascii="Trebuchet MS"/>
          <w:color w:val="231F20"/>
          <w:w w:val="105"/>
          <w:sz w:val="20"/>
        </w:rPr>
        <w:t>tourism</w:t>
      </w:r>
      <w:r>
        <w:rPr>
          <w:rFonts w:ascii="Trebuchet MS"/>
          <w:color w:val="231F20"/>
          <w:spacing w:val="-12"/>
          <w:w w:val="105"/>
          <w:sz w:val="20"/>
        </w:rPr>
        <w:t xml:space="preserve"> </w:t>
      </w:r>
      <w:r>
        <w:rPr>
          <w:rFonts w:ascii="Trebuchet MS"/>
          <w:color w:val="231F20"/>
          <w:w w:val="105"/>
          <w:sz w:val="20"/>
        </w:rPr>
        <w:t>in</w:t>
      </w:r>
      <w:r>
        <w:rPr>
          <w:rFonts w:ascii="Trebuchet MS"/>
          <w:color w:val="231F20"/>
          <w:spacing w:val="-12"/>
          <w:w w:val="105"/>
          <w:sz w:val="20"/>
        </w:rPr>
        <w:t xml:space="preserve"> </w:t>
      </w:r>
      <w:r>
        <w:rPr>
          <w:rFonts w:ascii="Trebuchet MS"/>
          <w:color w:val="231F20"/>
          <w:w w:val="105"/>
          <w:sz w:val="20"/>
        </w:rPr>
        <w:t>central</w:t>
      </w:r>
      <w:r>
        <w:rPr>
          <w:rFonts w:ascii="Trebuchet MS"/>
          <w:color w:val="231F20"/>
          <w:spacing w:val="-11"/>
          <w:w w:val="105"/>
          <w:sz w:val="20"/>
        </w:rPr>
        <w:t xml:space="preserve"> </w:t>
      </w:r>
      <w:r>
        <w:rPr>
          <w:rFonts w:ascii="Trebuchet MS"/>
          <w:color w:val="231F20"/>
          <w:spacing w:val="-2"/>
          <w:w w:val="105"/>
          <w:sz w:val="20"/>
        </w:rPr>
        <w:t>locations</w:t>
      </w:r>
    </w:p>
    <w:p w14:paraId="4D6E68DE" w14:textId="77777777" w:rsidR="00AE0598" w:rsidRDefault="0069255A">
      <w:pPr>
        <w:pStyle w:val="Corpodetexto"/>
        <w:spacing w:before="122" w:line="232" w:lineRule="auto"/>
        <w:ind w:left="110" w:right="127" w:firstLine="320"/>
        <w:jc w:val="both"/>
      </w:pPr>
      <w:r>
        <w:rPr>
          <w:color w:val="231F20"/>
        </w:rPr>
        <w:t>Spatial change within the sports industry takes place continually within the urban milieu (Bale, 1989). This is particularly evident in the locational</w:t>
      </w:r>
      <w:r>
        <w:rPr>
          <w:color w:val="231F20"/>
          <w:spacing w:val="-3"/>
        </w:rPr>
        <w:t xml:space="preserve"> </w:t>
      </w:r>
      <w:r>
        <w:rPr>
          <w:color w:val="231F20"/>
        </w:rPr>
        <w:t>dynamics</w:t>
      </w:r>
      <w:r>
        <w:rPr>
          <w:color w:val="231F20"/>
          <w:spacing w:val="-3"/>
        </w:rPr>
        <w:t xml:space="preserve"> </w:t>
      </w:r>
      <w:r>
        <w:rPr>
          <w:color w:val="231F20"/>
        </w:rPr>
        <w:t>of</w:t>
      </w:r>
      <w:r>
        <w:rPr>
          <w:color w:val="231F20"/>
          <w:spacing w:val="-3"/>
        </w:rPr>
        <w:t xml:space="preserve"> </w:t>
      </w:r>
      <w:r>
        <w:rPr>
          <w:color w:val="231F20"/>
        </w:rPr>
        <w:t>team</w:t>
      </w:r>
      <w:r>
        <w:rPr>
          <w:color w:val="231F20"/>
          <w:spacing w:val="-3"/>
        </w:rPr>
        <w:t xml:space="preserve"> </w:t>
      </w:r>
      <w:r>
        <w:rPr>
          <w:color w:val="231F20"/>
        </w:rPr>
        <w:t>sports</w:t>
      </w:r>
      <w:r>
        <w:rPr>
          <w:color w:val="231F20"/>
          <w:spacing w:val="-3"/>
        </w:rPr>
        <w:t xml:space="preserve"> </w:t>
      </w:r>
      <w:r>
        <w:rPr>
          <w:color w:val="231F20"/>
        </w:rPr>
        <w:t>in</w:t>
      </w:r>
      <w:r>
        <w:rPr>
          <w:color w:val="231F20"/>
          <w:spacing w:val="-3"/>
        </w:rPr>
        <w:t xml:space="preserve"> </w:t>
      </w:r>
      <w:r>
        <w:rPr>
          <w:color w:val="231F20"/>
        </w:rPr>
        <w:t>Europe</w:t>
      </w:r>
      <w:r>
        <w:rPr>
          <w:color w:val="231F20"/>
          <w:spacing w:val="-3"/>
        </w:rPr>
        <w:t xml:space="preserve"> </w:t>
      </w:r>
      <w:r>
        <w:rPr>
          <w:color w:val="231F20"/>
        </w:rPr>
        <w:t>and</w:t>
      </w:r>
      <w:r>
        <w:rPr>
          <w:color w:val="231F20"/>
          <w:spacing w:val="-3"/>
        </w:rPr>
        <w:t xml:space="preserve"> </w:t>
      </w:r>
      <w:r>
        <w:rPr>
          <w:color w:val="231F20"/>
        </w:rPr>
        <w:t>North</w:t>
      </w:r>
      <w:r>
        <w:rPr>
          <w:color w:val="231F20"/>
          <w:spacing w:val="-3"/>
        </w:rPr>
        <w:t xml:space="preserve"> </w:t>
      </w:r>
      <w:r>
        <w:rPr>
          <w:color w:val="231F20"/>
        </w:rPr>
        <w:t>America.</w:t>
      </w:r>
      <w:r>
        <w:rPr>
          <w:color w:val="231F20"/>
          <w:spacing w:val="-3"/>
        </w:rPr>
        <w:t xml:space="preserve"> </w:t>
      </w:r>
      <w:r>
        <w:rPr>
          <w:color w:val="231F20"/>
        </w:rPr>
        <w:t xml:space="preserve">Sports </w:t>
      </w:r>
      <w:r>
        <w:rPr>
          <w:color w:val="231F20"/>
          <w:w w:val="95"/>
        </w:rPr>
        <w:t>stadiums in Britain were originally located t</w:t>
      </w:r>
      <w:r>
        <w:rPr>
          <w:color w:val="231F20"/>
          <w:w w:val="95"/>
        </w:rPr>
        <w:t xml:space="preserve">o take advantage of population </w:t>
      </w:r>
      <w:r>
        <w:rPr>
          <w:color w:val="231F20"/>
        </w:rPr>
        <w:t>concentrations</w:t>
      </w:r>
      <w:r>
        <w:rPr>
          <w:color w:val="231F20"/>
          <w:spacing w:val="-7"/>
        </w:rPr>
        <w:t xml:space="preserve"> </w:t>
      </w:r>
      <w:r>
        <w:rPr>
          <w:color w:val="231F20"/>
        </w:rPr>
        <w:t>and</w:t>
      </w:r>
      <w:r>
        <w:rPr>
          <w:color w:val="231F20"/>
          <w:spacing w:val="-7"/>
        </w:rPr>
        <w:t xml:space="preserve"> </w:t>
      </w:r>
      <w:r>
        <w:rPr>
          <w:color w:val="231F20"/>
        </w:rPr>
        <w:t>transport</w:t>
      </w:r>
      <w:r>
        <w:rPr>
          <w:color w:val="231F20"/>
          <w:spacing w:val="-7"/>
        </w:rPr>
        <w:t xml:space="preserve"> </w:t>
      </w:r>
      <w:r>
        <w:rPr>
          <w:color w:val="231F20"/>
        </w:rPr>
        <w:t>nodes.</w:t>
      </w:r>
      <w:r>
        <w:rPr>
          <w:color w:val="231F20"/>
          <w:spacing w:val="-7"/>
        </w:rPr>
        <w:t xml:space="preserve"> </w:t>
      </w:r>
      <w:r>
        <w:rPr>
          <w:color w:val="231F20"/>
        </w:rPr>
        <w:t>The</w:t>
      </w:r>
      <w:r>
        <w:rPr>
          <w:color w:val="231F20"/>
          <w:spacing w:val="-7"/>
        </w:rPr>
        <w:t xml:space="preserve"> </w:t>
      </w:r>
      <w:r>
        <w:rPr>
          <w:color w:val="231F20"/>
        </w:rPr>
        <w:t>strategy</w:t>
      </w:r>
      <w:r>
        <w:rPr>
          <w:color w:val="231F20"/>
          <w:spacing w:val="-7"/>
        </w:rPr>
        <w:t xml:space="preserve"> </w:t>
      </w:r>
      <w:r>
        <w:rPr>
          <w:color w:val="231F20"/>
        </w:rPr>
        <w:t>of</w:t>
      </w:r>
      <w:r>
        <w:rPr>
          <w:color w:val="231F20"/>
          <w:spacing w:val="-7"/>
        </w:rPr>
        <w:t xml:space="preserve"> </w:t>
      </w:r>
      <w:r>
        <w:rPr>
          <w:color w:val="231F20"/>
        </w:rPr>
        <w:t>minimum</w:t>
      </w:r>
      <w:r>
        <w:rPr>
          <w:color w:val="231F20"/>
          <w:spacing w:val="-7"/>
        </w:rPr>
        <w:t xml:space="preserve"> </w:t>
      </w:r>
      <w:r>
        <w:rPr>
          <w:color w:val="231F20"/>
        </w:rPr>
        <w:t>aggregate travel</w:t>
      </w:r>
      <w:r>
        <w:rPr>
          <w:color w:val="231F20"/>
          <w:spacing w:val="-9"/>
        </w:rPr>
        <w:t xml:space="preserve"> </w:t>
      </w:r>
      <w:r>
        <w:rPr>
          <w:color w:val="231F20"/>
        </w:rPr>
        <w:t>for</w:t>
      </w:r>
      <w:r>
        <w:rPr>
          <w:color w:val="231F20"/>
          <w:spacing w:val="-9"/>
        </w:rPr>
        <w:t xml:space="preserve"> </w:t>
      </w:r>
      <w:r>
        <w:rPr>
          <w:color w:val="231F20"/>
        </w:rPr>
        <w:t>sport</w:t>
      </w:r>
      <w:r>
        <w:rPr>
          <w:color w:val="231F20"/>
          <w:spacing w:val="-9"/>
        </w:rPr>
        <w:t xml:space="preserve"> </w:t>
      </w:r>
      <w:r>
        <w:rPr>
          <w:color w:val="231F20"/>
        </w:rPr>
        <w:t>spectators</w:t>
      </w:r>
      <w:r>
        <w:rPr>
          <w:color w:val="231F20"/>
          <w:spacing w:val="-9"/>
        </w:rPr>
        <w:t xml:space="preserve"> </w:t>
      </w:r>
      <w:r>
        <w:rPr>
          <w:color w:val="231F20"/>
        </w:rPr>
        <w:t>resulted</w:t>
      </w:r>
      <w:r>
        <w:rPr>
          <w:color w:val="231F20"/>
          <w:spacing w:val="-9"/>
        </w:rPr>
        <w:t xml:space="preserve"> </w:t>
      </w:r>
      <w:r>
        <w:rPr>
          <w:color w:val="231F20"/>
        </w:rPr>
        <w:t>in</w:t>
      </w:r>
      <w:r>
        <w:rPr>
          <w:color w:val="231F20"/>
          <w:spacing w:val="-9"/>
        </w:rPr>
        <w:t xml:space="preserve"> </w:t>
      </w:r>
      <w:r>
        <w:rPr>
          <w:color w:val="231F20"/>
        </w:rPr>
        <w:t>the</w:t>
      </w:r>
      <w:r>
        <w:rPr>
          <w:color w:val="231F20"/>
          <w:spacing w:val="-9"/>
        </w:rPr>
        <w:t xml:space="preserve"> </w:t>
      </w:r>
      <w:r>
        <w:rPr>
          <w:color w:val="231F20"/>
        </w:rPr>
        <w:t>development</w:t>
      </w:r>
      <w:r>
        <w:rPr>
          <w:color w:val="231F20"/>
          <w:spacing w:val="-9"/>
        </w:rPr>
        <w:t xml:space="preserve"> </w:t>
      </w:r>
      <w:r>
        <w:rPr>
          <w:color w:val="231F20"/>
        </w:rPr>
        <w:t>of</w:t>
      </w:r>
      <w:r>
        <w:rPr>
          <w:color w:val="231F20"/>
          <w:spacing w:val="-9"/>
        </w:rPr>
        <w:t xml:space="preserve"> </w:t>
      </w:r>
      <w:r>
        <w:rPr>
          <w:color w:val="231F20"/>
        </w:rPr>
        <w:t>sport</w:t>
      </w:r>
      <w:r>
        <w:rPr>
          <w:color w:val="231F20"/>
          <w:spacing w:val="-9"/>
        </w:rPr>
        <w:t xml:space="preserve"> </w:t>
      </w:r>
      <w:r>
        <w:rPr>
          <w:color w:val="231F20"/>
        </w:rPr>
        <w:t xml:space="preserve">stadiums in inner-city locations. Urban hub-and-spoke public transport networks </w:t>
      </w:r>
      <w:r>
        <w:rPr>
          <w:color w:val="231F20"/>
          <w:w w:val="95"/>
        </w:rPr>
        <w:t xml:space="preserve">brought the majority of supporters relatively short distances by train and bus to attend sports matches at central locations. However, these locational </w:t>
      </w:r>
      <w:r>
        <w:rPr>
          <w:color w:val="231F20"/>
        </w:rPr>
        <w:t xml:space="preserve">criteria have lost much </w:t>
      </w:r>
      <w:r>
        <w:rPr>
          <w:color w:val="231F20"/>
        </w:rPr>
        <w:t>of their relevance given increasing stadium size and</w:t>
      </w:r>
      <w:r>
        <w:rPr>
          <w:color w:val="231F20"/>
          <w:spacing w:val="-11"/>
        </w:rPr>
        <w:t xml:space="preserve"> </w:t>
      </w:r>
      <w:r>
        <w:rPr>
          <w:color w:val="231F20"/>
        </w:rPr>
        <w:t>the</w:t>
      </w:r>
      <w:r>
        <w:rPr>
          <w:color w:val="231F20"/>
          <w:spacing w:val="-11"/>
        </w:rPr>
        <w:t xml:space="preserve"> </w:t>
      </w:r>
      <w:r>
        <w:rPr>
          <w:color w:val="231F20"/>
        </w:rPr>
        <w:t>need</w:t>
      </w:r>
      <w:r>
        <w:rPr>
          <w:color w:val="231F20"/>
          <w:spacing w:val="-11"/>
        </w:rPr>
        <w:t xml:space="preserve"> </w:t>
      </w:r>
      <w:r>
        <w:rPr>
          <w:color w:val="231F20"/>
        </w:rPr>
        <w:t>for</w:t>
      </w:r>
      <w:r>
        <w:rPr>
          <w:color w:val="231F20"/>
          <w:spacing w:val="-11"/>
        </w:rPr>
        <w:t xml:space="preserve"> </w:t>
      </w:r>
      <w:r>
        <w:rPr>
          <w:color w:val="231F20"/>
        </w:rPr>
        <w:t>safe,</w:t>
      </w:r>
      <w:r>
        <w:rPr>
          <w:color w:val="231F20"/>
          <w:spacing w:val="-11"/>
        </w:rPr>
        <w:t xml:space="preserve"> </w:t>
      </w:r>
      <w:r>
        <w:rPr>
          <w:color w:val="231F20"/>
        </w:rPr>
        <w:t>seated</w:t>
      </w:r>
      <w:r>
        <w:rPr>
          <w:color w:val="231F20"/>
          <w:spacing w:val="-11"/>
        </w:rPr>
        <w:t xml:space="preserve"> </w:t>
      </w:r>
      <w:r>
        <w:rPr>
          <w:color w:val="231F20"/>
        </w:rPr>
        <w:t>stadiums</w:t>
      </w:r>
      <w:r>
        <w:rPr>
          <w:color w:val="231F20"/>
          <w:spacing w:val="-11"/>
        </w:rPr>
        <w:t xml:space="preserve"> </w:t>
      </w:r>
      <w:r>
        <w:rPr>
          <w:color w:val="231F20"/>
        </w:rPr>
        <w:t>following</w:t>
      </w:r>
      <w:r>
        <w:rPr>
          <w:color w:val="231F20"/>
          <w:spacing w:val="-11"/>
        </w:rPr>
        <w:t xml:space="preserve"> </w:t>
      </w:r>
      <w:r>
        <w:rPr>
          <w:color w:val="231F20"/>
        </w:rPr>
        <w:t>the</w:t>
      </w:r>
      <w:r>
        <w:rPr>
          <w:color w:val="231F20"/>
          <w:spacing w:val="-11"/>
        </w:rPr>
        <w:t xml:space="preserve"> </w:t>
      </w:r>
      <w:r>
        <w:rPr>
          <w:color w:val="231F20"/>
        </w:rPr>
        <w:t>introduction</w:t>
      </w:r>
      <w:r>
        <w:rPr>
          <w:color w:val="231F20"/>
          <w:spacing w:val="-11"/>
        </w:rPr>
        <w:t xml:space="preserve"> </w:t>
      </w:r>
      <w:r>
        <w:rPr>
          <w:color w:val="231F20"/>
        </w:rPr>
        <w:t>of</w:t>
      </w:r>
      <w:r>
        <w:rPr>
          <w:color w:val="231F20"/>
          <w:spacing w:val="-11"/>
        </w:rPr>
        <w:t xml:space="preserve"> </w:t>
      </w:r>
      <w:r>
        <w:rPr>
          <w:color w:val="231F20"/>
        </w:rPr>
        <w:t xml:space="preserve">strict </w:t>
      </w:r>
      <w:r>
        <w:rPr>
          <w:color w:val="231F20"/>
          <w:w w:val="95"/>
        </w:rPr>
        <w:t xml:space="preserve">stadium safety regulation in the 1980s (Bale, 1993; Paramio </w:t>
      </w:r>
      <w:r>
        <w:rPr>
          <w:i/>
          <w:color w:val="231F20"/>
          <w:w w:val="95"/>
        </w:rPr>
        <w:t>et al</w:t>
      </w:r>
      <w:r>
        <w:rPr>
          <w:color w:val="231F20"/>
          <w:w w:val="95"/>
        </w:rPr>
        <w:t>., 2008).</w:t>
      </w:r>
    </w:p>
    <w:p w14:paraId="1FB9F6C0" w14:textId="77777777" w:rsidR="00AE0598" w:rsidRDefault="0069255A">
      <w:pPr>
        <w:pStyle w:val="Corpodetexto"/>
        <w:spacing w:before="15" w:line="232" w:lineRule="auto"/>
        <w:ind w:left="110" w:right="127" w:firstLine="320"/>
        <w:jc w:val="both"/>
      </w:pPr>
      <w:r>
        <w:rPr>
          <w:color w:val="231F20"/>
        </w:rPr>
        <w:t>The situation of locational flux arrived relatively bela</w:t>
      </w:r>
      <w:r>
        <w:rPr>
          <w:color w:val="231F20"/>
        </w:rPr>
        <w:t xml:space="preserve">tedly in British </w:t>
      </w:r>
      <w:r>
        <w:rPr>
          <w:color w:val="231F20"/>
          <w:w w:val="95"/>
        </w:rPr>
        <w:t xml:space="preserve">sports, although in recent times crowd safety and revenue generation have </w:t>
      </w:r>
      <w:r>
        <w:rPr>
          <w:color w:val="231F20"/>
        </w:rPr>
        <w:t>driven the development of new stadiums, facility sharing and relocation in</w:t>
      </w:r>
      <w:r>
        <w:rPr>
          <w:color w:val="231F20"/>
          <w:spacing w:val="-10"/>
        </w:rPr>
        <w:t xml:space="preserve"> </w:t>
      </w:r>
      <w:r>
        <w:rPr>
          <w:color w:val="231F20"/>
        </w:rPr>
        <w:t>various</w:t>
      </w:r>
      <w:r>
        <w:rPr>
          <w:color w:val="231F20"/>
          <w:spacing w:val="-10"/>
        </w:rPr>
        <w:t xml:space="preserve"> </w:t>
      </w:r>
      <w:r>
        <w:rPr>
          <w:color w:val="231F20"/>
        </w:rPr>
        <w:t>sports</w:t>
      </w:r>
      <w:r>
        <w:rPr>
          <w:color w:val="231F20"/>
          <w:spacing w:val="-10"/>
        </w:rPr>
        <w:t xml:space="preserve"> </w:t>
      </w:r>
      <w:r>
        <w:rPr>
          <w:color w:val="231F20"/>
        </w:rPr>
        <w:t>(see</w:t>
      </w:r>
      <w:r>
        <w:rPr>
          <w:color w:val="231F20"/>
          <w:spacing w:val="-10"/>
        </w:rPr>
        <w:t xml:space="preserve"> </w:t>
      </w:r>
      <w:r>
        <w:rPr>
          <w:color w:val="231F20"/>
        </w:rPr>
        <w:t>Focus</w:t>
      </w:r>
      <w:r>
        <w:rPr>
          <w:color w:val="231F20"/>
          <w:spacing w:val="-10"/>
        </w:rPr>
        <w:t xml:space="preserve"> </w:t>
      </w:r>
      <w:r>
        <w:rPr>
          <w:color w:val="231F20"/>
        </w:rPr>
        <w:t>Point</w:t>
      </w:r>
      <w:r>
        <w:rPr>
          <w:color w:val="231F20"/>
          <w:spacing w:val="-10"/>
        </w:rPr>
        <w:t xml:space="preserve"> </w:t>
      </w:r>
      <w:r>
        <w:rPr>
          <w:color w:val="231F20"/>
        </w:rPr>
        <w:t>5.2).</w:t>
      </w:r>
      <w:r>
        <w:rPr>
          <w:color w:val="231F20"/>
          <w:spacing w:val="-10"/>
        </w:rPr>
        <w:t xml:space="preserve"> </w:t>
      </w:r>
      <w:r>
        <w:rPr>
          <w:color w:val="231F20"/>
        </w:rPr>
        <w:t>By</w:t>
      </w:r>
      <w:r>
        <w:rPr>
          <w:color w:val="231F20"/>
          <w:spacing w:val="-10"/>
        </w:rPr>
        <w:t xml:space="preserve"> </w:t>
      </w:r>
      <w:r>
        <w:rPr>
          <w:color w:val="231F20"/>
        </w:rPr>
        <w:t>contrast,</w:t>
      </w:r>
      <w:r>
        <w:rPr>
          <w:color w:val="231F20"/>
          <w:spacing w:val="-10"/>
        </w:rPr>
        <w:t xml:space="preserve"> </w:t>
      </w:r>
      <w:r>
        <w:rPr>
          <w:color w:val="231F20"/>
        </w:rPr>
        <w:t>the</w:t>
      </w:r>
      <w:r>
        <w:rPr>
          <w:color w:val="231F20"/>
          <w:spacing w:val="-10"/>
        </w:rPr>
        <w:t xml:space="preserve"> </w:t>
      </w:r>
      <w:r>
        <w:rPr>
          <w:color w:val="231F20"/>
        </w:rPr>
        <w:t>situation</w:t>
      </w:r>
      <w:r>
        <w:rPr>
          <w:color w:val="231F20"/>
          <w:spacing w:val="-10"/>
        </w:rPr>
        <w:t xml:space="preserve"> </w:t>
      </w:r>
      <w:r>
        <w:rPr>
          <w:color w:val="231F20"/>
        </w:rPr>
        <w:t>in</w:t>
      </w:r>
      <w:r>
        <w:rPr>
          <w:color w:val="231F20"/>
          <w:spacing w:val="-10"/>
        </w:rPr>
        <w:t xml:space="preserve"> </w:t>
      </w:r>
      <w:r>
        <w:rPr>
          <w:color w:val="231F20"/>
        </w:rPr>
        <w:t>North America ‘has been characterised since 1950 by a state of locational flux’ (Bale,</w:t>
      </w:r>
      <w:r>
        <w:rPr>
          <w:color w:val="231F20"/>
          <w:spacing w:val="-5"/>
        </w:rPr>
        <w:t xml:space="preserve"> </w:t>
      </w:r>
      <w:r>
        <w:rPr>
          <w:color w:val="231F20"/>
        </w:rPr>
        <w:t>1993:</w:t>
      </w:r>
      <w:r>
        <w:rPr>
          <w:color w:val="231F20"/>
          <w:spacing w:val="-5"/>
        </w:rPr>
        <w:t xml:space="preserve"> </w:t>
      </w:r>
      <w:r>
        <w:rPr>
          <w:color w:val="231F20"/>
        </w:rPr>
        <w:t>150).</w:t>
      </w:r>
      <w:r>
        <w:rPr>
          <w:color w:val="231F20"/>
          <w:spacing w:val="-5"/>
        </w:rPr>
        <w:t xml:space="preserve"> </w:t>
      </w:r>
      <w:r>
        <w:rPr>
          <w:color w:val="231F20"/>
        </w:rPr>
        <w:t>Over</w:t>
      </w:r>
      <w:r>
        <w:rPr>
          <w:color w:val="231F20"/>
          <w:spacing w:val="-5"/>
        </w:rPr>
        <w:t xml:space="preserve"> </w:t>
      </w:r>
      <w:r>
        <w:rPr>
          <w:color w:val="231F20"/>
        </w:rPr>
        <w:t>the</w:t>
      </w:r>
      <w:r>
        <w:rPr>
          <w:color w:val="231F20"/>
          <w:spacing w:val="-5"/>
        </w:rPr>
        <w:t xml:space="preserve"> </w:t>
      </w:r>
      <w:r>
        <w:rPr>
          <w:color w:val="231F20"/>
        </w:rPr>
        <w:t>past</w:t>
      </w:r>
      <w:r>
        <w:rPr>
          <w:color w:val="231F20"/>
          <w:spacing w:val="-5"/>
        </w:rPr>
        <w:t xml:space="preserve"> </w:t>
      </w:r>
      <w:r>
        <w:rPr>
          <w:color w:val="231F20"/>
        </w:rPr>
        <w:t>50</w:t>
      </w:r>
      <w:r>
        <w:rPr>
          <w:color w:val="231F20"/>
          <w:spacing w:val="-5"/>
        </w:rPr>
        <w:t xml:space="preserve"> </w:t>
      </w:r>
      <w:r>
        <w:rPr>
          <w:color w:val="231F20"/>
        </w:rPr>
        <w:t>years,</w:t>
      </w:r>
      <w:r>
        <w:rPr>
          <w:color w:val="231F20"/>
          <w:spacing w:val="-5"/>
        </w:rPr>
        <w:t xml:space="preserve"> </w:t>
      </w:r>
      <w:r>
        <w:rPr>
          <w:color w:val="231F20"/>
        </w:rPr>
        <w:t>many</w:t>
      </w:r>
      <w:r>
        <w:rPr>
          <w:color w:val="231F20"/>
          <w:spacing w:val="-5"/>
        </w:rPr>
        <w:t xml:space="preserve"> </w:t>
      </w:r>
      <w:r>
        <w:rPr>
          <w:color w:val="231F20"/>
        </w:rPr>
        <w:t>high</w:t>
      </w:r>
      <w:r>
        <w:rPr>
          <w:color w:val="231F20"/>
          <w:spacing w:val="-5"/>
        </w:rPr>
        <w:t xml:space="preserve"> </w:t>
      </w:r>
      <w:r>
        <w:rPr>
          <w:color w:val="231F20"/>
        </w:rPr>
        <w:t>profile</w:t>
      </w:r>
      <w:r>
        <w:rPr>
          <w:color w:val="231F20"/>
          <w:spacing w:val="-5"/>
        </w:rPr>
        <w:t xml:space="preserve"> </w:t>
      </w:r>
      <w:r>
        <w:rPr>
          <w:color w:val="231F20"/>
        </w:rPr>
        <w:t xml:space="preserve">professional football, baseball and ice hockey franchises in North America have been </w:t>
      </w:r>
      <w:r>
        <w:rPr>
          <w:color w:val="231F20"/>
          <w:w w:val="95"/>
        </w:rPr>
        <w:t>relocated from one city, state</w:t>
      </w:r>
      <w:r>
        <w:rPr>
          <w:color w:val="231F20"/>
          <w:w w:val="95"/>
        </w:rPr>
        <w:t xml:space="preserve"> or country to the next. Here, a different scale</w:t>
      </w:r>
      <w:r>
        <w:rPr>
          <w:color w:val="231F20"/>
        </w:rPr>
        <w:t xml:space="preserve"> </w:t>
      </w:r>
      <w:r>
        <w:rPr>
          <w:color w:val="231F20"/>
          <w:w w:val="95"/>
        </w:rPr>
        <w:t>of analysis applies as entire teams are relocated between cities in different states</w:t>
      </w:r>
      <w:r>
        <w:rPr>
          <w:color w:val="231F20"/>
          <w:spacing w:val="-1"/>
          <w:w w:val="95"/>
        </w:rPr>
        <w:t xml:space="preserve"> </w:t>
      </w:r>
      <w:r>
        <w:rPr>
          <w:color w:val="231F20"/>
          <w:w w:val="95"/>
        </w:rPr>
        <w:t>and</w:t>
      </w:r>
      <w:r>
        <w:rPr>
          <w:color w:val="231F20"/>
          <w:spacing w:val="-1"/>
          <w:w w:val="95"/>
        </w:rPr>
        <w:t xml:space="preserve"> </w:t>
      </w:r>
      <w:r>
        <w:rPr>
          <w:color w:val="231F20"/>
          <w:w w:val="95"/>
        </w:rPr>
        <w:t>countries.</w:t>
      </w:r>
      <w:r>
        <w:rPr>
          <w:color w:val="231F20"/>
          <w:spacing w:val="-1"/>
          <w:w w:val="95"/>
        </w:rPr>
        <w:t xml:space="preserve"> </w:t>
      </w:r>
      <w:r>
        <w:rPr>
          <w:color w:val="231F20"/>
          <w:w w:val="95"/>
        </w:rPr>
        <w:t>The</w:t>
      </w:r>
      <w:r>
        <w:rPr>
          <w:color w:val="231F20"/>
          <w:spacing w:val="-1"/>
          <w:w w:val="95"/>
        </w:rPr>
        <w:t xml:space="preserve"> </w:t>
      </w:r>
      <w:r>
        <w:rPr>
          <w:color w:val="231F20"/>
          <w:w w:val="95"/>
        </w:rPr>
        <w:t>geographic</w:t>
      </w:r>
      <w:r>
        <w:rPr>
          <w:color w:val="231F20"/>
          <w:spacing w:val="-1"/>
          <w:w w:val="95"/>
        </w:rPr>
        <w:t xml:space="preserve"> </w:t>
      </w:r>
      <w:r>
        <w:rPr>
          <w:color w:val="231F20"/>
          <w:w w:val="95"/>
        </w:rPr>
        <w:t>delineations</w:t>
      </w:r>
      <w:r>
        <w:rPr>
          <w:color w:val="231F20"/>
          <w:spacing w:val="-1"/>
          <w:w w:val="95"/>
        </w:rPr>
        <w:t xml:space="preserve"> </w:t>
      </w:r>
      <w:r>
        <w:rPr>
          <w:color w:val="231F20"/>
          <w:w w:val="95"/>
        </w:rPr>
        <w:t>of</w:t>
      </w:r>
      <w:r>
        <w:rPr>
          <w:color w:val="231F20"/>
          <w:spacing w:val="-1"/>
          <w:w w:val="95"/>
        </w:rPr>
        <w:t xml:space="preserve"> </w:t>
      </w:r>
      <w:r>
        <w:rPr>
          <w:color w:val="231F20"/>
          <w:w w:val="95"/>
        </w:rPr>
        <w:t>sport</w:t>
      </w:r>
      <w:r>
        <w:rPr>
          <w:color w:val="231F20"/>
          <w:spacing w:val="-1"/>
          <w:w w:val="95"/>
        </w:rPr>
        <w:t xml:space="preserve"> </w:t>
      </w:r>
      <w:r>
        <w:rPr>
          <w:color w:val="231F20"/>
          <w:w w:val="95"/>
        </w:rPr>
        <w:t>competition</w:t>
      </w:r>
      <w:r>
        <w:rPr>
          <w:color w:val="231F20"/>
          <w:spacing w:val="-1"/>
          <w:w w:val="95"/>
        </w:rPr>
        <w:t xml:space="preserve"> </w:t>
      </w:r>
      <w:r>
        <w:rPr>
          <w:color w:val="231F20"/>
          <w:w w:val="95"/>
        </w:rPr>
        <w:t>have</w:t>
      </w:r>
    </w:p>
    <w:p w14:paraId="3C3BDF05" w14:textId="77777777" w:rsidR="00AE0598" w:rsidRDefault="00AE0598">
      <w:pPr>
        <w:spacing w:line="232" w:lineRule="auto"/>
        <w:jc w:val="both"/>
        <w:sectPr w:rsidR="00AE0598">
          <w:pgSz w:w="8850" w:h="13270"/>
          <w:pgMar w:top="720" w:right="1060" w:bottom="280" w:left="1080" w:header="720" w:footer="720" w:gutter="0"/>
          <w:cols w:space="720"/>
        </w:sectPr>
      </w:pPr>
    </w:p>
    <w:p w14:paraId="5FE7904A" w14:textId="77777777" w:rsidR="00AE0598" w:rsidRDefault="0069255A">
      <w:pPr>
        <w:spacing w:before="87"/>
        <w:ind w:left="108"/>
        <w:rPr>
          <w:rFonts w:ascii="Trebuchet MS"/>
          <w:sz w:val="14"/>
        </w:rPr>
      </w:pPr>
      <w:r>
        <w:rPr>
          <w:rFonts w:ascii="Trebuchet MS"/>
          <w:color w:val="231F20"/>
          <w:w w:val="105"/>
          <w:sz w:val="14"/>
        </w:rPr>
        <w:lastRenderedPageBreak/>
        <w:t>106</w:t>
      </w:r>
      <w:r>
        <w:rPr>
          <w:rFonts w:ascii="Trebuchet MS"/>
          <w:color w:val="231F20"/>
          <w:spacing w:val="66"/>
          <w:w w:val="150"/>
          <w:sz w:val="14"/>
        </w:rPr>
        <w:t xml:space="preserve"> </w:t>
      </w:r>
      <w:r>
        <w:rPr>
          <w:rFonts w:ascii="Trebuchet MS"/>
          <w:color w:val="231F20"/>
          <w:w w:val="105"/>
          <w:sz w:val="14"/>
        </w:rPr>
        <w:t>Part</w:t>
      </w:r>
      <w:r>
        <w:rPr>
          <w:rFonts w:ascii="Trebuchet MS"/>
          <w:color w:val="231F20"/>
          <w:spacing w:val="-9"/>
          <w:w w:val="105"/>
          <w:sz w:val="14"/>
        </w:rPr>
        <w:t xml:space="preserve"> </w:t>
      </w:r>
      <w:r>
        <w:rPr>
          <w:rFonts w:ascii="Trebuchet MS"/>
          <w:color w:val="231F20"/>
          <w:w w:val="105"/>
          <w:sz w:val="14"/>
        </w:rPr>
        <w:t>3:</w:t>
      </w:r>
      <w:r>
        <w:rPr>
          <w:rFonts w:ascii="Trebuchet MS"/>
          <w:color w:val="231F20"/>
          <w:spacing w:val="-8"/>
          <w:w w:val="105"/>
          <w:sz w:val="14"/>
        </w:rPr>
        <w:t xml:space="preserve"> </w:t>
      </w:r>
      <w:r>
        <w:rPr>
          <w:rFonts w:ascii="Trebuchet MS"/>
          <w:color w:val="231F20"/>
          <w:w w:val="105"/>
          <w:sz w:val="14"/>
        </w:rPr>
        <w:t>Sport</w:t>
      </w:r>
      <w:r>
        <w:rPr>
          <w:rFonts w:ascii="Trebuchet MS"/>
          <w:color w:val="231F20"/>
          <w:spacing w:val="-9"/>
          <w:w w:val="105"/>
          <w:sz w:val="14"/>
        </w:rPr>
        <w:t xml:space="preserve"> </w:t>
      </w:r>
      <w:r>
        <w:rPr>
          <w:rFonts w:ascii="Trebuchet MS"/>
          <w:color w:val="231F20"/>
          <w:w w:val="105"/>
          <w:sz w:val="14"/>
        </w:rPr>
        <w:t>Tourism</w:t>
      </w:r>
      <w:r>
        <w:rPr>
          <w:rFonts w:ascii="Trebuchet MS"/>
          <w:color w:val="231F20"/>
          <w:spacing w:val="-9"/>
          <w:w w:val="105"/>
          <w:sz w:val="14"/>
        </w:rPr>
        <w:t xml:space="preserve"> </w:t>
      </w:r>
      <w:r>
        <w:rPr>
          <w:rFonts w:ascii="Trebuchet MS"/>
          <w:color w:val="231F20"/>
          <w:w w:val="105"/>
          <w:sz w:val="14"/>
        </w:rPr>
        <w:t>Development</w:t>
      </w:r>
      <w:r>
        <w:rPr>
          <w:rFonts w:ascii="Trebuchet MS"/>
          <w:color w:val="231F20"/>
          <w:spacing w:val="-9"/>
          <w:w w:val="105"/>
          <w:sz w:val="14"/>
        </w:rPr>
        <w:t xml:space="preserve"> </w:t>
      </w:r>
      <w:r>
        <w:rPr>
          <w:rFonts w:ascii="Trebuchet MS"/>
          <w:color w:val="231F20"/>
          <w:w w:val="105"/>
          <w:sz w:val="14"/>
        </w:rPr>
        <w:t>and</w:t>
      </w:r>
      <w:r>
        <w:rPr>
          <w:rFonts w:ascii="Trebuchet MS"/>
          <w:color w:val="231F20"/>
          <w:spacing w:val="-8"/>
          <w:w w:val="105"/>
          <w:sz w:val="14"/>
        </w:rPr>
        <w:t xml:space="preserve"> </w:t>
      </w:r>
      <w:r>
        <w:rPr>
          <w:rFonts w:ascii="Trebuchet MS"/>
          <w:color w:val="231F20"/>
          <w:spacing w:val="-2"/>
          <w:w w:val="105"/>
          <w:sz w:val="14"/>
        </w:rPr>
        <w:t>Space</w:t>
      </w:r>
    </w:p>
    <w:p w14:paraId="5197600B" w14:textId="77777777" w:rsidR="00AE0598" w:rsidRDefault="00AE0598">
      <w:pPr>
        <w:pStyle w:val="Corpodetexto"/>
        <w:rPr>
          <w:rFonts w:ascii="Trebuchet MS"/>
          <w:sz w:val="16"/>
        </w:rPr>
      </w:pPr>
    </w:p>
    <w:p w14:paraId="374C54D2" w14:textId="77777777" w:rsidR="00AE0598" w:rsidRDefault="0069255A">
      <w:pPr>
        <w:pStyle w:val="Corpodetexto"/>
        <w:spacing w:before="118" w:line="232" w:lineRule="auto"/>
        <w:ind w:left="110" w:right="128"/>
        <w:jc w:val="both"/>
      </w:pPr>
      <w:r>
        <w:rPr>
          <w:color w:val="231F20"/>
          <w:w w:val="95"/>
        </w:rPr>
        <w:t xml:space="preserve">changed dramatically through this process. The expansion of professional </w:t>
      </w:r>
      <w:r>
        <w:rPr>
          <w:color w:val="231F20"/>
        </w:rPr>
        <w:t>ice hockey franchises to the warm weather climates of California and Florida, and the relocation of teams between Canada and the United States, aptly demonstrat</w:t>
      </w:r>
      <w:r>
        <w:rPr>
          <w:color w:val="231F20"/>
        </w:rPr>
        <w:t>e this point.</w:t>
      </w:r>
    </w:p>
    <w:p w14:paraId="065ED96E" w14:textId="77777777" w:rsidR="00AE0598" w:rsidRDefault="00AE0598">
      <w:pPr>
        <w:pStyle w:val="Corpodetexto"/>
        <w:spacing w:before="7"/>
        <w:rPr>
          <w:sz w:val="27"/>
        </w:rPr>
      </w:pPr>
    </w:p>
    <w:p w14:paraId="7FC7FBF7" w14:textId="506E9AD6" w:rsidR="00AE0598" w:rsidRDefault="0069255A">
      <w:pPr>
        <w:spacing w:before="99"/>
        <w:ind w:left="223"/>
        <w:jc w:val="both"/>
        <w:rPr>
          <w:rFonts w:ascii="Trebuchet MS"/>
          <w:sz w:val="20"/>
        </w:rPr>
      </w:pPr>
      <w:r>
        <w:rPr>
          <w:noProof/>
        </w:rPr>
        <mc:AlternateContent>
          <mc:Choice Requires="wps">
            <w:drawing>
              <wp:anchor distT="0" distB="0" distL="114300" distR="114300" simplePos="0" relativeHeight="483704320" behindDoc="1" locked="0" layoutInCell="1" allowOverlap="1" wp14:anchorId="7AFC91A6" wp14:editId="07A4982D">
                <wp:simplePos x="0" y="0"/>
                <wp:positionH relativeFrom="page">
                  <wp:posOffset>755650</wp:posOffset>
                </wp:positionH>
                <wp:positionV relativeFrom="paragraph">
                  <wp:posOffset>14605</wp:posOffset>
                </wp:positionV>
                <wp:extent cx="4104005" cy="5844540"/>
                <wp:effectExtent l="0" t="0" r="0" b="0"/>
                <wp:wrapNone/>
                <wp:docPr id="214" name="docshape1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04005" cy="5844540"/>
                        </a:xfrm>
                        <a:prstGeom prst="rect">
                          <a:avLst/>
                        </a:prstGeom>
                        <a:solidFill>
                          <a:srgbClr val="DCDDD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E19357" id="docshape157" o:spid="_x0000_s1026" style="position:absolute;margin-left:59.5pt;margin-top:1.15pt;width:323.15pt;height:460.2pt;z-index:-196121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" fillcolor="#dcddde" stroked="f">
                <w10:wrap anchorx="page"/>
              </v:rect>
            </w:pict>
          </mc:Fallback>
        </mc:AlternateContent>
      </w:r>
      <w:r>
        <w:rPr>
          <w:rFonts w:ascii="Trebuchet MS"/>
          <w:color w:val="231F20"/>
          <w:sz w:val="20"/>
        </w:rPr>
        <w:t>Focus</w:t>
      </w:r>
      <w:r>
        <w:rPr>
          <w:rFonts w:ascii="Trebuchet MS"/>
          <w:color w:val="231F20"/>
          <w:spacing w:val="15"/>
          <w:sz w:val="20"/>
        </w:rPr>
        <w:t xml:space="preserve"> </w:t>
      </w:r>
      <w:r>
        <w:rPr>
          <w:rFonts w:ascii="Trebuchet MS"/>
          <w:color w:val="231F20"/>
          <w:sz w:val="20"/>
        </w:rPr>
        <w:t>Point</w:t>
      </w:r>
      <w:r>
        <w:rPr>
          <w:rFonts w:ascii="Trebuchet MS"/>
          <w:color w:val="231F20"/>
          <w:spacing w:val="16"/>
          <w:sz w:val="20"/>
        </w:rPr>
        <w:t xml:space="preserve"> </w:t>
      </w:r>
      <w:r>
        <w:rPr>
          <w:rFonts w:ascii="Trebuchet MS"/>
          <w:color w:val="231F20"/>
          <w:sz w:val="20"/>
        </w:rPr>
        <w:t>5.2:</w:t>
      </w:r>
      <w:r>
        <w:rPr>
          <w:rFonts w:ascii="Trebuchet MS"/>
          <w:color w:val="231F20"/>
          <w:spacing w:val="15"/>
          <w:sz w:val="20"/>
        </w:rPr>
        <w:t xml:space="preserve"> </w:t>
      </w:r>
      <w:r>
        <w:rPr>
          <w:rFonts w:ascii="Trebuchet MS"/>
          <w:color w:val="231F20"/>
          <w:sz w:val="20"/>
        </w:rPr>
        <w:t>Sports</w:t>
      </w:r>
      <w:r>
        <w:rPr>
          <w:rFonts w:ascii="Trebuchet MS"/>
          <w:color w:val="231F20"/>
          <w:spacing w:val="16"/>
          <w:sz w:val="20"/>
        </w:rPr>
        <w:t xml:space="preserve"> </w:t>
      </w:r>
      <w:r>
        <w:rPr>
          <w:rFonts w:ascii="Trebuchet MS"/>
          <w:color w:val="231F20"/>
          <w:sz w:val="20"/>
        </w:rPr>
        <w:t>Stadiums</w:t>
      </w:r>
      <w:r>
        <w:rPr>
          <w:rFonts w:ascii="Trebuchet MS"/>
          <w:color w:val="231F20"/>
          <w:spacing w:val="15"/>
          <w:sz w:val="20"/>
        </w:rPr>
        <w:t xml:space="preserve"> </w:t>
      </w:r>
      <w:r>
        <w:rPr>
          <w:rFonts w:ascii="Trebuchet MS"/>
          <w:color w:val="231F20"/>
          <w:sz w:val="20"/>
        </w:rPr>
        <w:t>and</w:t>
      </w:r>
      <w:r>
        <w:rPr>
          <w:rFonts w:ascii="Trebuchet MS"/>
          <w:color w:val="231F20"/>
          <w:spacing w:val="16"/>
          <w:sz w:val="20"/>
        </w:rPr>
        <w:t xml:space="preserve"> </w:t>
      </w:r>
      <w:r>
        <w:rPr>
          <w:rFonts w:ascii="Trebuchet MS"/>
          <w:color w:val="231F20"/>
          <w:sz w:val="20"/>
        </w:rPr>
        <w:t>Locational</w:t>
      </w:r>
      <w:r>
        <w:rPr>
          <w:rFonts w:ascii="Trebuchet MS"/>
          <w:color w:val="231F20"/>
          <w:spacing w:val="15"/>
          <w:sz w:val="20"/>
        </w:rPr>
        <w:t xml:space="preserve"> </w:t>
      </w:r>
      <w:r>
        <w:rPr>
          <w:rFonts w:ascii="Trebuchet MS"/>
          <w:color w:val="231F20"/>
          <w:spacing w:val="-4"/>
          <w:sz w:val="20"/>
        </w:rPr>
        <w:t>Flux</w:t>
      </w:r>
    </w:p>
    <w:p w14:paraId="361A3CF9" w14:textId="77777777" w:rsidR="00AE0598" w:rsidRDefault="0069255A">
      <w:pPr>
        <w:pStyle w:val="Corpodetexto"/>
        <w:spacing w:before="122" w:line="232" w:lineRule="auto"/>
        <w:ind w:left="223" w:right="237"/>
        <w:jc w:val="both"/>
      </w:pPr>
      <w:r>
        <w:rPr>
          <w:color w:val="231F20"/>
        </w:rPr>
        <w:t xml:space="preserve">Deliberations relating to the location and design of a stadium have </w:t>
      </w:r>
      <w:r>
        <w:rPr>
          <w:color w:val="231F20"/>
          <w:w w:val="95"/>
        </w:rPr>
        <w:t xml:space="preserve">important implications for a sports team in terms of player recruitment, the interests of local fans, heritage and the </w:t>
      </w:r>
      <w:r>
        <w:rPr>
          <w:color w:val="231F20"/>
          <w:w w:val="95"/>
        </w:rPr>
        <w:t xml:space="preserve">extent to which a sports team </w:t>
      </w:r>
      <w:r>
        <w:rPr>
          <w:color w:val="231F20"/>
        </w:rPr>
        <w:t xml:space="preserve">may function as a tourist attraction. In the English Premier League (EPL) names like Highbury, Maine Road and Upton Park (Arsenal, Manchester City and West Ham United, respectively) were iconic </w:t>
      </w:r>
      <w:r>
        <w:rPr>
          <w:color w:val="231F20"/>
          <w:w w:val="95"/>
        </w:rPr>
        <w:t>venues steeped in sports heritag</w:t>
      </w:r>
      <w:r>
        <w:rPr>
          <w:color w:val="231F20"/>
          <w:w w:val="95"/>
        </w:rPr>
        <w:t xml:space="preserve">e. However, these historic venues have </w:t>
      </w:r>
      <w:r>
        <w:rPr>
          <w:color w:val="231F20"/>
        </w:rPr>
        <w:t>been consigned to residential redevelopment in recent years, and the clubs relocated. Emirates Stadium became the new home of Arsenal FC in July 2006. Manchester City FC relocated to the Etihad Stadium following the 2</w:t>
      </w:r>
      <w:r>
        <w:rPr>
          <w:color w:val="231F20"/>
        </w:rPr>
        <w:t>002 Manchester Commonwealth Games and home to West Ham United FC is now London Stadium, which was constructed for the 2012 London Olympic Games. This cements a trend towards locational flux, long evident in North American professional sports, but a relativ</w:t>
      </w:r>
      <w:r>
        <w:rPr>
          <w:color w:val="231F20"/>
        </w:rPr>
        <w:t xml:space="preserve">ely belated development in the UK. Other London sport </w:t>
      </w:r>
      <w:r>
        <w:rPr>
          <w:color w:val="231F20"/>
          <w:w w:val="95"/>
        </w:rPr>
        <w:t xml:space="preserve">clubs have relocated completely in search of large, safe sport facilities. </w:t>
      </w:r>
      <w:r>
        <w:rPr>
          <w:color w:val="231F20"/>
        </w:rPr>
        <w:t>‘For more than 100 years Wimbledon FC called south London home.</w:t>
      </w:r>
      <w:r>
        <w:rPr>
          <w:color w:val="231F20"/>
          <w:spacing w:val="40"/>
        </w:rPr>
        <w:t xml:space="preserve"> </w:t>
      </w:r>
      <w:r>
        <w:rPr>
          <w:color w:val="231F20"/>
        </w:rPr>
        <w:t>It was there, like any home, that foundations were laid, memori</w:t>
      </w:r>
      <w:r>
        <w:rPr>
          <w:color w:val="231F20"/>
        </w:rPr>
        <w:t xml:space="preserve">es were created and a legacy was built… The club was forced to leave Plough Lane in 1991 – their home since 1912 – after the Taylor Report recommended that all top-flight teams should have all-seater </w:t>
      </w:r>
      <w:r>
        <w:rPr>
          <w:color w:val="231F20"/>
          <w:w w:val="95"/>
        </w:rPr>
        <w:t>stadiums’</w:t>
      </w:r>
      <w:r>
        <w:rPr>
          <w:color w:val="231F20"/>
        </w:rPr>
        <w:t xml:space="preserve"> </w:t>
      </w:r>
      <w:r>
        <w:rPr>
          <w:color w:val="231F20"/>
          <w:w w:val="95"/>
        </w:rPr>
        <w:t>(</w:t>
      </w:r>
      <w:r>
        <w:rPr>
          <w:i/>
          <w:color w:val="231F20"/>
          <w:w w:val="95"/>
        </w:rPr>
        <w:t>The</w:t>
      </w:r>
      <w:r>
        <w:rPr>
          <w:i/>
          <w:color w:val="231F20"/>
        </w:rPr>
        <w:t xml:space="preserve"> </w:t>
      </w:r>
      <w:r>
        <w:rPr>
          <w:i/>
          <w:color w:val="231F20"/>
          <w:w w:val="95"/>
        </w:rPr>
        <w:t>Guardian</w:t>
      </w:r>
      <w:r>
        <w:rPr>
          <w:color w:val="231F20"/>
          <w:w w:val="95"/>
        </w:rPr>
        <w:t>,</w:t>
      </w:r>
      <w:r>
        <w:rPr>
          <w:color w:val="231F20"/>
        </w:rPr>
        <w:t xml:space="preserve"> </w:t>
      </w:r>
      <w:r>
        <w:rPr>
          <w:color w:val="231F20"/>
          <w:w w:val="95"/>
        </w:rPr>
        <w:t>2016:</w:t>
      </w:r>
      <w:r>
        <w:rPr>
          <w:color w:val="231F20"/>
        </w:rPr>
        <w:t xml:space="preserve"> </w:t>
      </w:r>
      <w:r>
        <w:rPr>
          <w:color w:val="231F20"/>
          <w:w w:val="95"/>
        </w:rPr>
        <w:t>online).</w:t>
      </w:r>
      <w:r>
        <w:rPr>
          <w:color w:val="231F20"/>
        </w:rPr>
        <w:t xml:space="preserve"> </w:t>
      </w:r>
      <w:r>
        <w:rPr>
          <w:color w:val="231F20"/>
          <w:w w:val="95"/>
        </w:rPr>
        <w:t>After</w:t>
      </w:r>
      <w:r>
        <w:rPr>
          <w:color w:val="231F20"/>
        </w:rPr>
        <w:t xml:space="preserve"> </w:t>
      </w:r>
      <w:r>
        <w:rPr>
          <w:color w:val="231F20"/>
          <w:w w:val="95"/>
        </w:rPr>
        <w:t>a</w:t>
      </w:r>
      <w:r>
        <w:rPr>
          <w:color w:val="231F20"/>
        </w:rPr>
        <w:t xml:space="preserve"> </w:t>
      </w:r>
      <w:r>
        <w:rPr>
          <w:color w:val="231F20"/>
          <w:w w:val="95"/>
        </w:rPr>
        <w:t>long</w:t>
      </w:r>
      <w:r>
        <w:rPr>
          <w:color w:val="231F20"/>
        </w:rPr>
        <w:t xml:space="preserve"> </w:t>
      </w:r>
      <w:r>
        <w:rPr>
          <w:color w:val="231F20"/>
          <w:w w:val="95"/>
        </w:rPr>
        <w:t>and</w:t>
      </w:r>
      <w:r>
        <w:rPr>
          <w:color w:val="231F20"/>
        </w:rPr>
        <w:t xml:space="preserve"> </w:t>
      </w:r>
      <w:r>
        <w:rPr>
          <w:color w:val="231F20"/>
          <w:w w:val="95"/>
        </w:rPr>
        <w:t>proud</w:t>
      </w:r>
      <w:r>
        <w:rPr>
          <w:color w:val="231F20"/>
        </w:rPr>
        <w:t xml:space="preserve"> </w:t>
      </w:r>
      <w:r>
        <w:rPr>
          <w:color w:val="231F20"/>
          <w:w w:val="95"/>
        </w:rPr>
        <w:t>history</w:t>
      </w:r>
      <w:r>
        <w:rPr>
          <w:color w:val="231F20"/>
          <w:spacing w:val="80"/>
          <w:w w:val="150"/>
        </w:rPr>
        <w:t xml:space="preserve"> </w:t>
      </w:r>
      <w:r>
        <w:rPr>
          <w:color w:val="231F20"/>
        </w:rPr>
        <w:t xml:space="preserve">at Plough Lane (including the FA Cup final victory over the mighty </w:t>
      </w:r>
      <w:r>
        <w:rPr>
          <w:color w:val="231F20"/>
          <w:w w:val="95"/>
        </w:rPr>
        <w:t>Liverpool</w:t>
      </w:r>
      <w:r>
        <w:rPr>
          <w:color w:val="231F20"/>
          <w:spacing w:val="26"/>
        </w:rPr>
        <w:t xml:space="preserve"> </w:t>
      </w:r>
      <w:r>
        <w:rPr>
          <w:color w:val="231F20"/>
          <w:w w:val="95"/>
        </w:rPr>
        <w:t>FC,</w:t>
      </w:r>
      <w:r>
        <w:rPr>
          <w:color w:val="231F20"/>
          <w:spacing w:val="26"/>
        </w:rPr>
        <w:t xml:space="preserve"> </w:t>
      </w:r>
      <w:r>
        <w:rPr>
          <w:color w:val="231F20"/>
          <w:w w:val="95"/>
        </w:rPr>
        <w:t>the</w:t>
      </w:r>
      <w:r>
        <w:rPr>
          <w:color w:val="231F20"/>
          <w:spacing w:val="26"/>
        </w:rPr>
        <w:t xml:space="preserve"> </w:t>
      </w:r>
      <w:r>
        <w:rPr>
          <w:color w:val="231F20"/>
          <w:w w:val="95"/>
        </w:rPr>
        <w:t>dominant</w:t>
      </w:r>
      <w:r>
        <w:rPr>
          <w:color w:val="231F20"/>
          <w:spacing w:val="26"/>
        </w:rPr>
        <w:t xml:space="preserve"> </w:t>
      </w:r>
      <w:r>
        <w:rPr>
          <w:color w:val="231F20"/>
          <w:w w:val="95"/>
        </w:rPr>
        <w:t>English</w:t>
      </w:r>
      <w:r>
        <w:rPr>
          <w:color w:val="231F20"/>
          <w:spacing w:val="26"/>
        </w:rPr>
        <w:t xml:space="preserve"> </w:t>
      </w:r>
      <w:r>
        <w:rPr>
          <w:color w:val="231F20"/>
          <w:w w:val="95"/>
        </w:rPr>
        <w:t>Premier</w:t>
      </w:r>
      <w:r>
        <w:rPr>
          <w:color w:val="231F20"/>
          <w:spacing w:val="26"/>
        </w:rPr>
        <w:t xml:space="preserve"> </w:t>
      </w:r>
      <w:r>
        <w:rPr>
          <w:color w:val="231F20"/>
          <w:w w:val="95"/>
        </w:rPr>
        <w:t>League</w:t>
      </w:r>
      <w:r>
        <w:rPr>
          <w:color w:val="231F20"/>
          <w:spacing w:val="26"/>
        </w:rPr>
        <w:t xml:space="preserve"> </w:t>
      </w:r>
      <w:r>
        <w:rPr>
          <w:color w:val="231F20"/>
          <w:w w:val="95"/>
        </w:rPr>
        <w:t>club</w:t>
      </w:r>
      <w:r>
        <w:rPr>
          <w:color w:val="231F20"/>
          <w:spacing w:val="26"/>
        </w:rPr>
        <w:t xml:space="preserve"> </w:t>
      </w:r>
      <w:r>
        <w:rPr>
          <w:color w:val="231F20"/>
          <w:w w:val="95"/>
        </w:rPr>
        <w:t>of</w:t>
      </w:r>
      <w:r>
        <w:rPr>
          <w:color w:val="231F20"/>
          <w:spacing w:val="26"/>
        </w:rPr>
        <w:t xml:space="preserve"> </w:t>
      </w:r>
      <w:r>
        <w:rPr>
          <w:color w:val="231F20"/>
          <w:w w:val="95"/>
        </w:rPr>
        <w:t>the</w:t>
      </w:r>
      <w:r>
        <w:rPr>
          <w:color w:val="231F20"/>
          <w:spacing w:val="26"/>
        </w:rPr>
        <w:t xml:space="preserve"> </w:t>
      </w:r>
      <w:r>
        <w:rPr>
          <w:color w:val="231F20"/>
          <w:w w:val="95"/>
        </w:rPr>
        <w:t xml:space="preserve">1980s, </w:t>
      </w:r>
      <w:r>
        <w:rPr>
          <w:color w:val="231F20"/>
        </w:rPr>
        <w:t>at Wembley Stadium on the 14 May 1987), and a decade of ground sharing</w:t>
      </w:r>
      <w:r>
        <w:rPr>
          <w:color w:val="231F20"/>
          <w:spacing w:val="40"/>
        </w:rPr>
        <w:t xml:space="preserve"> </w:t>
      </w:r>
      <w:r>
        <w:rPr>
          <w:color w:val="231F20"/>
        </w:rPr>
        <w:t>with</w:t>
      </w:r>
      <w:r>
        <w:rPr>
          <w:color w:val="231F20"/>
          <w:spacing w:val="40"/>
        </w:rPr>
        <w:t xml:space="preserve"> </w:t>
      </w:r>
      <w:r>
        <w:rPr>
          <w:color w:val="231F20"/>
        </w:rPr>
        <w:t>Crystal</w:t>
      </w:r>
      <w:r>
        <w:rPr>
          <w:color w:val="231F20"/>
          <w:spacing w:val="40"/>
        </w:rPr>
        <w:t xml:space="preserve"> </w:t>
      </w:r>
      <w:r>
        <w:rPr>
          <w:color w:val="231F20"/>
        </w:rPr>
        <w:t>Palace</w:t>
      </w:r>
      <w:r>
        <w:rPr>
          <w:color w:val="231F20"/>
          <w:spacing w:val="40"/>
        </w:rPr>
        <w:t xml:space="preserve"> </w:t>
      </w:r>
      <w:r>
        <w:rPr>
          <w:color w:val="231F20"/>
        </w:rPr>
        <w:t>(Selhurst</w:t>
      </w:r>
      <w:r>
        <w:rPr>
          <w:color w:val="231F20"/>
          <w:spacing w:val="40"/>
        </w:rPr>
        <w:t xml:space="preserve"> </w:t>
      </w:r>
      <w:r>
        <w:rPr>
          <w:color w:val="231F20"/>
        </w:rPr>
        <w:t>P</w:t>
      </w:r>
      <w:r>
        <w:rPr>
          <w:color w:val="231F20"/>
        </w:rPr>
        <w:t>ark,</w:t>
      </w:r>
      <w:r>
        <w:rPr>
          <w:color w:val="231F20"/>
          <w:spacing w:val="40"/>
        </w:rPr>
        <w:t xml:space="preserve"> </w:t>
      </w:r>
      <w:r>
        <w:rPr>
          <w:color w:val="231F20"/>
        </w:rPr>
        <w:t>London),</w:t>
      </w:r>
      <w:r>
        <w:rPr>
          <w:color w:val="231F20"/>
          <w:spacing w:val="40"/>
        </w:rPr>
        <w:t xml:space="preserve"> </w:t>
      </w:r>
      <w:r>
        <w:rPr>
          <w:color w:val="231F20"/>
        </w:rPr>
        <w:t xml:space="preserve">Wimbledon FC was relocated to Milton Keynes (56 miles to the north-west of London) and renamed the Milton Keynes Dons. The loss of heritage associated with this move and name change resulted in the complete </w:t>
      </w:r>
      <w:r>
        <w:rPr>
          <w:color w:val="231F20"/>
          <w:w w:val="95"/>
        </w:rPr>
        <w:t xml:space="preserve">dislocation of lifelong club fans, </w:t>
      </w:r>
      <w:r>
        <w:rPr>
          <w:color w:val="231F20"/>
          <w:w w:val="95"/>
        </w:rPr>
        <w:t xml:space="preserve">leading supporters to form a new club </w:t>
      </w:r>
      <w:r>
        <w:rPr>
          <w:color w:val="231F20"/>
        </w:rPr>
        <w:t>(AFC Wimbledon) at the original venue (Plough Lane, Wimbledon). Locational flux has now extended to other sports in the UK. The Wasps Rugby Club announced in October 2014 that from December</w:t>
      </w:r>
      <w:r>
        <w:rPr>
          <w:color w:val="231F20"/>
          <w:spacing w:val="40"/>
        </w:rPr>
        <w:t xml:space="preserve"> </w:t>
      </w:r>
      <w:r>
        <w:rPr>
          <w:color w:val="231F20"/>
        </w:rPr>
        <w:t>of that year it would be hos</w:t>
      </w:r>
      <w:r>
        <w:rPr>
          <w:color w:val="231F20"/>
        </w:rPr>
        <w:t>ting its ‘home’ games at Ricoh Arena in Coventry,</w:t>
      </w:r>
      <w:r>
        <w:rPr>
          <w:color w:val="231F20"/>
          <w:spacing w:val="40"/>
        </w:rPr>
        <w:t xml:space="preserve"> </w:t>
      </w:r>
      <w:r>
        <w:rPr>
          <w:color w:val="231F20"/>
        </w:rPr>
        <w:t>a</w:t>
      </w:r>
      <w:r>
        <w:rPr>
          <w:color w:val="231F20"/>
          <w:spacing w:val="40"/>
        </w:rPr>
        <w:t xml:space="preserve"> </w:t>
      </w:r>
      <w:r>
        <w:rPr>
          <w:color w:val="231F20"/>
        </w:rPr>
        <w:t>multipurpose</w:t>
      </w:r>
      <w:r>
        <w:rPr>
          <w:color w:val="231F20"/>
          <w:spacing w:val="40"/>
        </w:rPr>
        <w:t xml:space="preserve"> </w:t>
      </w:r>
      <w:r>
        <w:rPr>
          <w:color w:val="231F20"/>
        </w:rPr>
        <w:t>stadium</w:t>
      </w:r>
      <w:r>
        <w:rPr>
          <w:color w:val="231F20"/>
          <w:spacing w:val="40"/>
        </w:rPr>
        <w:t xml:space="preserve"> </w:t>
      </w:r>
      <w:r>
        <w:rPr>
          <w:color w:val="231F20"/>
        </w:rPr>
        <w:t>and</w:t>
      </w:r>
      <w:r>
        <w:rPr>
          <w:color w:val="231F20"/>
          <w:spacing w:val="40"/>
        </w:rPr>
        <w:t xml:space="preserve"> </w:t>
      </w:r>
      <w:r>
        <w:rPr>
          <w:color w:val="231F20"/>
        </w:rPr>
        <w:t>home</w:t>
      </w:r>
      <w:r>
        <w:rPr>
          <w:color w:val="231F20"/>
          <w:spacing w:val="40"/>
        </w:rPr>
        <w:t xml:space="preserve"> </w:t>
      </w:r>
      <w:r>
        <w:rPr>
          <w:color w:val="231F20"/>
        </w:rPr>
        <w:t>to</w:t>
      </w:r>
      <w:r>
        <w:rPr>
          <w:color w:val="231F20"/>
          <w:spacing w:val="40"/>
        </w:rPr>
        <w:t xml:space="preserve"> </w:t>
      </w:r>
      <w:r>
        <w:rPr>
          <w:color w:val="231F20"/>
        </w:rPr>
        <w:t>Coventry</w:t>
      </w:r>
      <w:r>
        <w:rPr>
          <w:color w:val="231F20"/>
          <w:spacing w:val="40"/>
        </w:rPr>
        <w:t xml:space="preserve"> </w:t>
      </w:r>
      <w:r>
        <w:rPr>
          <w:color w:val="231F20"/>
        </w:rPr>
        <w:t>FC,</w:t>
      </w:r>
      <w:r>
        <w:rPr>
          <w:color w:val="231F20"/>
          <w:spacing w:val="40"/>
        </w:rPr>
        <w:t xml:space="preserve"> </w:t>
      </w:r>
      <w:r>
        <w:rPr>
          <w:color w:val="231F20"/>
        </w:rPr>
        <w:t xml:space="preserve">that </w:t>
      </w:r>
      <w:r>
        <w:rPr>
          <w:color w:val="231F20"/>
          <w:w w:val="95"/>
        </w:rPr>
        <w:t>was</w:t>
      </w:r>
      <w:r>
        <w:rPr>
          <w:color w:val="231F20"/>
          <w:spacing w:val="40"/>
        </w:rPr>
        <w:t xml:space="preserve"> </w:t>
      </w:r>
      <w:r>
        <w:rPr>
          <w:color w:val="231F20"/>
          <w:w w:val="95"/>
        </w:rPr>
        <w:t>developed</w:t>
      </w:r>
      <w:r>
        <w:rPr>
          <w:color w:val="231F20"/>
          <w:spacing w:val="40"/>
        </w:rPr>
        <w:t xml:space="preserve"> </w:t>
      </w:r>
      <w:r>
        <w:rPr>
          <w:color w:val="231F20"/>
          <w:w w:val="95"/>
        </w:rPr>
        <w:t>in</w:t>
      </w:r>
      <w:r>
        <w:rPr>
          <w:color w:val="231F20"/>
          <w:spacing w:val="40"/>
        </w:rPr>
        <w:t xml:space="preserve"> </w:t>
      </w:r>
      <w:r>
        <w:rPr>
          <w:color w:val="231F20"/>
          <w:w w:val="95"/>
        </w:rPr>
        <w:t>association</w:t>
      </w:r>
      <w:r>
        <w:rPr>
          <w:color w:val="231F20"/>
          <w:spacing w:val="40"/>
        </w:rPr>
        <w:t xml:space="preserve"> </w:t>
      </w:r>
      <w:r>
        <w:rPr>
          <w:color w:val="231F20"/>
          <w:w w:val="95"/>
        </w:rPr>
        <w:t>with</w:t>
      </w:r>
      <w:r>
        <w:rPr>
          <w:color w:val="231F20"/>
          <w:spacing w:val="40"/>
        </w:rPr>
        <w:t xml:space="preserve"> </w:t>
      </w:r>
      <w:r>
        <w:rPr>
          <w:color w:val="231F20"/>
          <w:w w:val="95"/>
        </w:rPr>
        <w:t>conference,</w:t>
      </w:r>
      <w:r>
        <w:rPr>
          <w:color w:val="231F20"/>
          <w:spacing w:val="40"/>
        </w:rPr>
        <w:t xml:space="preserve"> </w:t>
      </w:r>
      <w:r>
        <w:rPr>
          <w:color w:val="231F20"/>
          <w:w w:val="95"/>
        </w:rPr>
        <w:t>training,</w:t>
      </w:r>
      <w:r>
        <w:rPr>
          <w:color w:val="231F20"/>
          <w:spacing w:val="40"/>
        </w:rPr>
        <w:t xml:space="preserve"> </w:t>
      </w:r>
      <w:r>
        <w:rPr>
          <w:color w:val="231F20"/>
          <w:w w:val="95"/>
        </w:rPr>
        <w:t>banqueting,</w:t>
      </w:r>
    </w:p>
    <w:p w14:paraId="27A1FB3E" w14:textId="77777777" w:rsidR="00AE0598" w:rsidRDefault="00AE0598">
      <w:pPr>
        <w:spacing w:line="232" w:lineRule="auto"/>
        <w:jc w:val="both"/>
        <w:sectPr w:rsidR="00AE0598">
          <w:pgSz w:w="8850" w:h="13270"/>
          <w:pgMar w:top="720" w:right="1060" w:bottom="280" w:left="1080" w:header="720" w:footer="720" w:gutter="0"/>
          <w:cols w:space="720"/>
        </w:sectPr>
      </w:pPr>
    </w:p>
    <w:p w14:paraId="0C304AC0" w14:textId="77777777" w:rsidR="00AE0598" w:rsidRDefault="0069255A">
      <w:pPr>
        <w:spacing w:before="87"/>
        <w:ind w:left="4070"/>
        <w:rPr>
          <w:rFonts w:ascii="Trebuchet MS"/>
          <w:sz w:val="14"/>
        </w:rPr>
      </w:pPr>
      <w:r>
        <w:rPr>
          <w:rFonts w:ascii="Trebuchet MS"/>
          <w:color w:val="231F20"/>
          <w:w w:val="105"/>
          <w:sz w:val="14"/>
        </w:rPr>
        <w:lastRenderedPageBreak/>
        <w:t>Space:</w:t>
      </w:r>
      <w:r>
        <w:rPr>
          <w:rFonts w:ascii="Trebuchet MS"/>
          <w:color w:val="231F20"/>
          <w:spacing w:val="-12"/>
          <w:w w:val="105"/>
          <w:sz w:val="14"/>
        </w:rPr>
        <w:t xml:space="preserve"> </w:t>
      </w:r>
      <w:r>
        <w:rPr>
          <w:rFonts w:ascii="Trebuchet MS"/>
          <w:color w:val="231F20"/>
          <w:w w:val="105"/>
          <w:sz w:val="14"/>
        </w:rPr>
        <w:t>Location</w:t>
      </w:r>
      <w:r>
        <w:rPr>
          <w:rFonts w:ascii="Trebuchet MS"/>
          <w:color w:val="231F20"/>
          <w:spacing w:val="-11"/>
          <w:w w:val="105"/>
          <w:sz w:val="14"/>
        </w:rPr>
        <w:t xml:space="preserve"> </w:t>
      </w:r>
      <w:r>
        <w:rPr>
          <w:rFonts w:ascii="Trebuchet MS"/>
          <w:color w:val="231F20"/>
          <w:w w:val="105"/>
          <w:sz w:val="14"/>
        </w:rPr>
        <w:t>and</w:t>
      </w:r>
      <w:r>
        <w:rPr>
          <w:rFonts w:ascii="Trebuchet MS"/>
          <w:color w:val="231F20"/>
          <w:spacing w:val="-11"/>
          <w:w w:val="105"/>
          <w:sz w:val="14"/>
        </w:rPr>
        <w:t xml:space="preserve"> </w:t>
      </w:r>
      <w:r>
        <w:rPr>
          <w:rFonts w:ascii="Trebuchet MS"/>
          <w:color w:val="231F20"/>
          <w:w w:val="105"/>
          <w:sz w:val="14"/>
        </w:rPr>
        <w:t>Travel</w:t>
      </w:r>
      <w:r>
        <w:rPr>
          <w:rFonts w:ascii="Trebuchet MS"/>
          <w:color w:val="231F20"/>
          <w:spacing w:val="-11"/>
          <w:w w:val="105"/>
          <w:sz w:val="14"/>
        </w:rPr>
        <w:t xml:space="preserve"> </w:t>
      </w:r>
      <w:r>
        <w:rPr>
          <w:rFonts w:ascii="Trebuchet MS"/>
          <w:color w:val="231F20"/>
          <w:w w:val="105"/>
          <w:sz w:val="14"/>
        </w:rPr>
        <w:t>Flows</w:t>
      </w:r>
      <w:r>
        <w:rPr>
          <w:rFonts w:ascii="Trebuchet MS"/>
          <w:color w:val="231F20"/>
          <w:spacing w:val="59"/>
          <w:w w:val="105"/>
          <w:sz w:val="14"/>
        </w:rPr>
        <w:t xml:space="preserve"> </w:t>
      </w:r>
      <w:r>
        <w:rPr>
          <w:rFonts w:ascii="Trebuchet MS"/>
          <w:color w:val="231F20"/>
          <w:spacing w:val="-5"/>
          <w:w w:val="105"/>
          <w:sz w:val="14"/>
        </w:rPr>
        <w:t>107</w:t>
      </w:r>
    </w:p>
    <w:p w14:paraId="33B05755" w14:textId="6FC84DA2" w:rsidR="00AE0598" w:rsidRDefault="0069255A">
      <w:pPr>
        <w:pStyle w:val="Corpodetexto"/>
        <w:spacing w:before="6"/>
        <w:rPr>
          <w:rFonts w:ascii="Trebuchet MS"/>
          <w:sz w:val="27"/>
        </w:rPr>
      </w:pPr>
      <w:r>
        <w:rPr>
          <w:noProof/>
        </w:rPr>
        <mc:AlternateContent>
          <mc:Choice Requires="wps">
            <w:drawing>
              <wp:anchor distT="0" distB="0" distL="0" distR="0" simplePos="0" relativeHeight="487640064" behindDoc="1" locked="0" layoutInCell="1" allowOverlap="1" wp14:anchorId="466C8018" wp14:editId="4DCA9523">
                <wp:simplePos x="0" y="0"/>
                <wp:positionH relativeFrom="page">
                  <wp:posOffset>755650</wp:posOffset>
                </wp:positionH>
                <wp:positionV relativeFrom="paragraph">
                  <wp:posOffset>218440</wp:posOffset>
                </wp:positionV>
                <wp:extent cx="4104005" cy="2919730"/>
                <wp:effectExtent l="0" t="0" r="0" b="0"/>
                <wp:wrapTopAndBottom/>
                <wp:docPr id="213" name="docshape1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04005" cy="2919730"/>
                        </a:xfrm>
                        <a:prstGeom prst="rect">
                          <a:avLst/>
                        </a:prstGeom>
                        <a:solidFill>
                          <a:srgbClr val="DCDDD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C5AD99A" w14:textId="77777777" w:rsidR="00AE0598" w:rsidRDefault="0069255A">
                            <w:pPr>
                              <w:pStyle w:val="Corpodetexto"/>
                              <w:spacing w:before="73" w:line="232" w:lineRule="auto"/>
                              <w:ind w:left="113" w:right="107"/>
                              <w:jc w:val="both"/>
                              <w:rPr>
                                <w:color w:val="000000"/>
                              </w:rPr>
                            </w:pPr>
                            <w:r>
                              <w:rPr>
                                <w:color w:val="231F20"/>
                              </w:rPr>
                              <w:t>exhibition, music and sports facilities, a casino and shopping centre, Tesco supermarket and hotel accommodation. In terms of market range and accessibility, it is claimed that Ricoh Arena, Coventry, is centrally located within a two-hour drive of 75% of t</w:t>
                            </w:r>
                            <w:r>
                              <w:rPr>
                                <w:color w:val="231F20"/>
                              </w:rPr>
                              <w:t>he population of England. This is, however, for local fans 81.3 miles (130 km) via the M40 from the club’s former venue in High Wycombe (north-west of London) and, as the case of Wimbledon FC amply demonstrates, the loss of heritage associated with the rel</w:t>
                            </w:r>
                            <w:r>
                              <w:rPr>
                                <w:color w:val="231F20"/>
                              </w:rPr>
                              <w:t>ocation of a sports club should not be underestimated.</w:t>
                            </w:r>
                          </w:p>
                          <w:p w14:paraId="745AE5FF" w14:textId="77777777" w:rsidR="00AE0598" w:rsidRDefault="00AE0598">
                            <w:pPr>
                              <w:pStyle w:val="Corpodetexto"/>
                              <w:spacing w:before="5"/>
                              <w:rPr>
                                <w:color w:val="000000"/>
                              </w:rPr>
                            </w:pPr>
                          </w:p>
                          <w:p w14:paraId="5E366DFB" w14:textId="77777777" w:rsidR="00AE0598" w:rsidRDefault="0069255A">
                            <w:pPr>
                              <w:ind w:left="113"/>
                              <w:rPr>
                                <w:rFonts w:ascii="Trebuchet MS"/>
                                <w:i/>
                                <w:color w:val="000000"/>
                                <w:sz w:val="18"/>
                              </w:rPr>
                            </w:pPr>
                            <w:r>
                              <w:rPr>
                                <w:rFonts w:ascii="Trebuchet MS"/>
                                <w:i/>
                                <w:color w:val="231F20"/>
                                <w:spacing w:val="-2"/>
                                <w:sz w:val="18"/>
                              </w:rPr>
                              <w:t>Sources</w:t>
                            </w:r>
                          </w:p>
                          <w:p w14:paraId="69262A3F" w14:textId="77777777" w:rsidR="00AE0598" w:rsidRDefault="0069255A">
                            <w:pPr>
                              <w:pStyle w:val="Corpodetexto"/>
                              <w:spacing w:before="6" w:line="232" w:lineRule="auto"/>
                              <w:ind w:left="113" w:right="110"/>
                              <w:jc w:val="both"/>
                              <w:rPr>
                                <w:color w:val="000000"/>
                              </w:rPr>
                            </w:pPr>
                            <w:r>
                              <w:rPr>
                                <w:color w:val="231F20"/>
                              </w:rPr>
                              <w:t xml:space="preserve">The Guardian (2016) The Resurrection of AFC Wimbledon. The Guardian online (18 May 2016). See </w:t>
                            </w:r>
                            <w:r>
                              <w:rPr>
                                <w:color w:val="231F20"/>
                                <w:spacing w:val="-4"/>
                                <w:w w:val="102"/>
                              </w:rPr>
                              <w:t>h</w:t>
                            </w:r>
                            <w:r>
                              <w:rPr>
                                <w:color w:val="231F20"/>
                                <w:spacing w:val="3"/>
                                <w:w w:val="101"/>
                              </w:rPr>
                              <w:t>t</w:t>
                            </w:r>
                            <w:r>
                              <w:rPr>
                                <w:color w:val="231F20"/>
                                <w:spacing w:val="2"/>
                                <w:w w:val="101"/>
                              </w:rPr>
                              <w:t>t</w:t>
                            </w:r>
                            <w:r>
                              <w:rPr>
                                <w:color w:val="231F20"/>
                                <w:spacing w:val="-1"/>
                                <w:w w:val="101"/>
                              </w:rPr>
                              <w:t>p</w:t>
                            </w:r>
                            <w:r>
                              <w:rPr>
                                <w:color w:val="231F20"/>
                                <w:spacing w:val="-3"/>
                                <w:w w:val="93"/>
                              </w:rPr>
                              <w:t>s</w:t>
                            </w:r>
                            <w:r>
                              <w:rPr>
                                <w:color w:val="231F20"/>
                                <w:spacing w:val="4"/>
                                <w:w w:val="108"/>
                              </w:rPr>
                              <w:t>:</w:t>
                            </w:r>
                            <w:r>
                              <w:rPr>
                                <w:color w:val="231F20"/>
                                <w:spacing w:val="-6"/>
                                <w:w w:val="63"/>
                              </w:rPr>
                              <w:t>/</w:t>
                            </w:r>
                            <w:r>
                              <w:rPr>
                                <w:color w:val="231F20"/>
                                <w:spacing w:val="-3"/>
                                <w:w w:val="63"/>
                              </w:rPr>
                              <w:t>/</w:t>
                            </w:r>
                            <w:hyperlink r:id="rId30">
                              <w:r>
                                <w:rPr>
                                  <w:color w:val="231F20"/>
                                  <w:spacing w:val="2"/>
                                  <w:w w:val="102"/>
                                </w:rPr>
                                <w:t>ww</w:t>
                              </w:r>
                              <w:r>
                                <w:rPr>
                                  <w:color w:val="231F20"/>
                                  <w:spacing w:val="-13"/>
                                  <w:w w:val="102"/>
                                </w:rPr>
                                <w:t>w</w:t>
                              </w:r>
                              <w:r>
                                <w:rPr>
                                  <w:color w:val="231F20"/>
                                  <w:spacing w:val="-3"/>
                                  <w:w w:val="138"/>
                                </w:rPr>
                                <w:t>.</w:t>
                              </w:r>
                              <w:r>
                                <w:rPr>
                                  <w:color w:val="231F20"/>
                                  <w:spacing w:val="2"/>
                                  <w:w w:val="101"/>
                                </w:rPr>
                                <w:t>t</w:t>
                              </w:r>
                              <w:r>
                                <w:rPr>
                                  <w:color w:val="231F20"/>
                                  <w:spacing w:val="-1"/>
                                  <w:w w:val="99"/>
                                </w:rPr>
                                <w:t>he</w:t>
                              </w:r>
                              <w:r>
                                <w:rPr>
                                  <w:color w:val="231F20"/>
                                  <w:spacing w:val="3"/>
                                  <w:w w:val="99"/>
                                </w:rPr>
                                <w:t>g</w:t>
                              </w:r>
                              <w:r>
                                <w:rPr>
                                  <w:color w:val="231F20"/>
                                  <w:w w:val="102"/>
                                </w:rPr>
                                <w:t>u</w:t>
                              </w:r>
                              <w:r>
                                <w:rPr>
                                  <w:color w:val="231F20"/>
                                  <w:spacing w:val="1"/>
                                  <w:w w:val="104"/>
                                </w:rPr>
                                <w:t>a</w:t>
                              </w:r>
                              <w:r>
                                <w:rPr>
                                  <w:color w:val="231F20"/>
                                  <w:spacing w:val="-4"/>
                                  <w:w w:val="96"/>
                                </w:rPr>
                                <w:t>r</w:t>
                              </w:r>
                              <w:r>
                                <w:rPr>
                                  <w:color w:val="231F20"/>
                                  <w:spacing w:val="2"/>
                                  <w:w w:val="101"/>
                                </w:rPr>
                                <w:t>d</w:t>
                              </w:r>
                              <w:r>
                                <w:rPr>
                                  <w:color w:val="231F20"/>
                                  <w:spacing w:val="-2"/>
                                  <w:w w:val="103"/>
                                </w:rPr>
                                <w:t>i</w:t>
                              </w:r>
                              <w:r>
                                <w:rPr>
                                  <w:color w:val="231F20"/>
                                  <w:spacing w:val="2"/>
                                  <w:w w:val="104"/>
                                </w:rPr>
                                <w:t>a</w:t>
                              </w:r>
                              <w:r>
                                <w:rPr>
                                  <w:color w:val="231F20"/>
                                  <w:spacing w:val="-1"/>
                                  <w:w w:val="101"/>
                                </w:rPr>
                                <w:t>n</w:t>
                              </w:r>
                              <w:r>
                                <w:rPr>
                                  <w:color w:val="231F20"/>
                                  <w:spacing w:val="-1"/>
                                  <w:w w:val="110"/>
                                </w:rPr>
                                <w:t>.c</w:t>
                              </w:r>
                              <w:r>
                                <w:rPr>
                                  <w:color w:val="231F20"/>
                                  <w:spacing w:val="-4"/>
                                  <w:w w:val="110"/>
                                </w:rPr>
                                <w:t>o</w:t>
                              </w:r>
                              <w:r>
                                <w:rPr>
                                  <w:color w:val="231F20"/>
                                  <w:spacing w:val="7"/>
                                  <w:w w:val="102"/>
                                </w:rPr>
                                <w:t>m</w:t>
                              </w:r>
                              <w:r>
                                <w:rPr>
                                  <w:color w:val="231F20"/>
                                  <w:spacing w:val="-2"/>
                                  <w:w w:val="63"/>
                                </w:rPr>
                                <w:t>/</w:t>
                              </w:r>
                            </w:hyperlink>
                            <w:r>
                              <w:rPr>
                                <w:color w:val="231F20"/>
                                <w:spacing w:val="-1"/>
                                <w:w w:val="99"/>
                              </w:rPr>
                              <w:t xml:space="preserve"> </w:t>
                            </w:r>
                            <w:r>
                              <w:rPr>
                                <w:color w:val="231F20"/>
                                <w:spacing w:val="-2"/>
                                <w:w w:val="90"/>
                              </w:rPr>
                              <w:t>football/copa90/2016/may/18/afc-wimbledon-players-fans-manager-</w:t>
                            </w:r>
                            <w:r>
                              <w:rPr>
                                <w:color w:val="231F20"/>
                                <w:w w:val="90"/>
                              </w:rPr>
                              <w:t xml:space="preserve"> </w:t>
                            </w:r>
                            <w:r>
                              <w:rPr>
                                <w:color w:val="231F20"/>
                                <w:w w:val="95"/>
                              </w:rPr>
                              <w:t>league-two-play-off (accessed 8 September 2017).</w:t>
                            </w:r>
                          </w:p>
                          <w:p w14:paraId="782F9A96" w14:textId="77777777" w:rsidR="00AE0598" w:rsidRDefault="0069255A">
                            <w:pPr>
                              <w:pStyle w:val="Corpodetexto"/>
                              <w:spacing w:before="125" w:line="232" w:lineRule="auto"/>
                              <w:ind w:left="113" w:right="111"/>
                              <w:jc w:val="both"/>
                              <w:rPr>
                                <w:color w:val="000000"/>
                              </w:rPr>
                            </w:pPr>
                            <w:r>
                              <w:rPr>
                                <w:color w:val="231F20"/>
                                <w:w w:val="95"/>
                              </w:rPr>
                              <w:t xml:space="preserve">Ricoh Arena. See </w:t>
                            </w:r>
                            <w:hyperlink r:id="rId31">
                              <w:r>
                                <w:rPr>
                                  <w:color w:val="231F20"/>
                                  <w:w w:val="95"/>
                                </w:rPr>
                                <w:t>http://www.ricoharena.com/about-us/</w:t>
                              </w:r>
                            </w:hyperlink>
                            <w:r>
                              <w:rPr>
                                <w:color w:val="231F20"/>
                                <w:w w:val="95"/>
                              </w:rPr>
                              <w:t xml:space="preserve"> and https:// </w:t>
                            </w:r>
                            <w:r>
                              <w:rPr>
                                <w:color w:val="231F20"/>
                                <w:spacing w:val="-2"/>
                                <w:w w:val="83"/>
                              </w:rPr>
                              <w:t>e</w:t>
                            </w:r>
                            <w:r>
                              <w:rPr>
                                <w:color w:val="231F20"/>
                                <w:spacing w:val="-2"/>
                                <w:w w:val="91"/>
                              </w:rPr>
                              <w:t>n</w:t>
                            </w:r>
                            <w:r>
                              <w:rPr>
                                <w:color w:val="231F20"/>
                                <w:spacing w:val="-15"/>
                                <w:w w:val="128"/>
                              </w:rPr>
                              <w:t>.</w:t>
                            </w:r>
                            <w:r>
                              <w:rPr>
                                <w:color w:val="231F20"/>
                                <w:spacing w:val="-1"/>
                                <w:w w:val="92"/>
                              </w:rPr>
                              <w:t>w</w:t>
                            </w:r>
                            <w:r>
                              <w:rPr>
                                <w:color w:val="231F20"/>
                                <w:w w:val="95"/>
                              </w:rPr>
                              <w:t>ik</w:t>
                            </w:r>
                            <w:r>
                              <w:rPr>
                                <w:color w:val="231F20"/>
                                <w:spacing w:val="-5"/>
                                <w:w w:val="95"/>
                              </w:rPr>
                              <w:t>i</w:t>
                            </w:r>
                            <w:r>
                              <w:rPr>
                                <w:color w:val="231F20"/>
                                <w:spacing w:val="-1"/>
                                <w:w w:val="91"/>
                              </w:rPr>
                              <w:t>p</w:t>
                            </w:r>
                            <w:r>
                              <w:rPr>
                                <w:color w:val="231F20"/>
                                <w:w w:val="89"/>
                              </w:rPr>
                              <w:t>ed</w:t>
                            </w:r>
                            <w:r>
                              <w:rPr>
                                <w:color w:val="231F20"/>
                                <w:spacing w:val="-3"/>
                                <w:w w:val="89"/>
                              </w:rPr>
                              <w:t>i</w:t>
                            </w:r>
                            <w:r>
                              <w:rPr>
                                <w:color w:val="231F20"/>
                                <w:spacing w:val="-2"/>
                                <w:w w:val="94"/>
                              </w:rPr>
                              <w:t>a</w:t>
                            </w:r>
                            <w:r>
                              <w:rPr>
                                <w:color w:val="231F20"/>
                                <w:spacing w:val="-4"/>
                                <w:w w:val="128"/>
                              </w:rPr>
                              <w:t>.</w:t>
                            </w:r>
                            <w:r>
                              <w:rPr>
                                <w:color w:val="231F20"/>
                                <w:spacing w:val="-5"/>
                                <w:w w:val="96"/>
                              </w:rPr>
                              <w:t>o</w:t>
                            </w:r>
                            <w:r>
                              <w:rPr>
                                <w:color w:val="231F20"/>
                                <w:spacing w:val="-3"/>
                                <w:w w:val="86"/>
                              </w:rPr>
                              <w:t>r</w:t>
                            </w:r>
                            <w:r>
                              <w:rPr>
                                <w:color w:val="231F20"/>
                                <w:spacing w:val="8"/>
                                <w:w w:val="92"/>
                              </w:rPr>
                              <w:t>g</w:t>
                            </w:r>
                            <w:r>
                              <w:rPr>
                                <w:color w:val="231F20"/>
                                <w:spacing w:val="-5"/>
                                <w:w w:val="53"/>
                              </w:rPr>
                              <w:t>/</w:t>
                            </w:r>
                            <w:r>
                              <w:rPr>
                                <w:color w:val="231F20"/>
                                <w:spacing w:val="-1"/>
                                <w:w w:val="92"/>
                              </w:rPr>
                              <w:t>w</w:t>
                            </w:r>
                            <w:r>
                              <w:rPr>
                                <w:color w:val="231F20"/>
                                <w:w w:val="95"/>
                              </w:rPr>
                              <w:t>ik</w:t>
                            </w:r>
                            <w:r>
                              <w:rPr>
                                <w:color w:val="231F20"/>
                                <w:spacing w:val="5"/>
                                <w:w w:val="95"/>
                              </w:rPr>
                              <w:t>i</w:t>
                            </w:r>
                            <w:r>
                              <w:rPr>
                                <w:color w:val="231F20"/>
                                <w:spacing w:val="5"/>
                                <w:w w:val="53"/>
                              </w:rPr>
                              <w:t>/</w:t>
                            </w:r>
                            <w:r>
                              <w:rPr>
                                <w:color w:val="231F20"/>
                                <w:spacing w:val="3"/>
                                <w:w w:val="108"/>
                              </w:rPr>
                              <w:t>R</w:t>
                            </w:r>
                            <w:r>
                              <w:rPr>
                                <w:color w:val="231F20"/>
                                <w:spacing w:val="-5"/>
                                <w:w w:val="93"/>
                              </w:rPr>
                              <w:t>i</w:t>
                            </w:r>
                            <w:r>
                              <w:rPr>
                                <w:color w:val="231F20"/>
                                <w:spacing w:val="-3"/>
                                <w:w w:val="92"/>
                              </w:rPr>
                              <w:t>c</w:t>
                            </w:r>
                            <w:r>
                              <w:rPr>
                                <w:color w:val="231F20"/>
                                <w:spacing w:val="-5"/>
                                <w:w w:val="96"/>
                              </w:rPr>
                              <w:t>o</w:t>
                            </w:r>
                            <w:r>
                              <w:rPr>
                                <w:color w:val="231F20"/>
                                <w:spacing w:val="6"/>
                                <w:w w:val="92"/>
                              </w:rPr>
                              <w:t>h</w:t>
                            </w:r>
                            <w:r>
                              <w:rPr>
                                <w:color w:val="231F20"/>
                                <w:spacing w:val="9"/>
                                <w:w w:val="130"/>
                              </w:rPr>
                              <w:t>_</w:t>
                            </w:r>
                            <w:r>
                              <w:rPr>
                                <w:color w:val="231F20"/>
                                <w:spacing w:val="2"/>
                                <w:w w:val="108"/>
                              </w:rPr>
                              <w:t>A</w:t>
                            </w:r>
                            <w:r>
                              <w:rPr>
                                <w:color w:val="231F20"/>
                                <w:spacing w:val="-4"/>
                                <w:w w:val="86"/>
                              </w:rPr>
                              <w:t>r</w:t>
                            </w:r>
                            <w:r>
                              <w:rPr>
                                <w:color w:val="231F20"/>
                                <w:spacing w:val="-2"/>
                                <w:w w:val="83"/>
                              </w:rPr>
                              <w:t>e</w:t>
                            </w:r>
                            <w:r>
                              <w:rPr>
                                <w:color w:val="231F20"/>
                                <w:spacing w:val="-2"/>
                                <w:w w:val="91"/>
                              </w:rPr>
                              <w:t>n</w:t>
                            </w:r>
                            <w:r>
                              <w:rPr>
                                <w:color w:val="231F20"/>
                                <w:spacing w:val="-5"/>
                                <w:w w:val="94"/>
                              </w:rPr>
                              <w:t>a</w:t>
                            </w:r>
                            <w:r>
                              <w:rPr>
                                <w:color w:val="231F20"/>
                                <w:w w:val="103"/>
                              </w:rPr>
                              <w:t>#</w:t>
                            </w:r>
                            <w:r>
                              <w:rPr>
                                <w:color w:val="231F20"/>
                                <w:spacing w:val="3"/>
                                <w:w w:val="91"/>
                              </w:rPr>
                              <w:t>B</w:t>
                            </w:r>
                            <w:r>
                              <w:rPr>
                                <w:color w:val="231F20"/>
                                <w:spacing w:val="-2"/>
                                <w:w w:val="83"/>
                              </w:rPr>
                              <w:t>e</w:t>
                            </w:r>
                            <w:r>
                              <w:rPr>
                                <w:color w:val="231F20"/>
                                <w:spacing w:val="-5"/>
                                <w:w w:val="102"/>
                              </w:rPr>
                              <w:t>f</w:t>
                            </w:r>
                            <w:r>
                              <w:rPr>
                                <w:color w:val="231F20"/>
                                <w:spacing w:val="-5"/>
                                <w:w w:val="96"/>
                              </w:rPr>
                              <w:t>o</w:t>
                            </w:r>
                            <w:r>
                              <w:rPr>
                                <w:color w:val="231F20"/>
                                <w:spacing w:val="-4"/>
                                <w:w w:val="86"/>
                              </w:rPr>
                              <w:t>r</w:t>
                            </w:r>
                            <w:r>
                              <w:rPr>
                                <w:color w:val="231F20"/>
                                <w:spacing w:val="6"/>
                                <w:w w:val="83"/>
                              </w:rPr>
                              <w:t>e</w:t>
                            </w:r>
                            <w:r>
                              <w:rPr>
                                <w:color w:val="231F20"/>
                                <w:spacing w:val="-15"/>
                                <w:w w:val="130"/>
                              </w:rPr>
                              <w:t>_</w:t>
                            </w:r>
                            <w:r>
                              <w:rPr>
                                <w:color w:val="231F20"/>
                                <w:spacing w:val="-14"/>
                                <w:w w:val="99"/>
                              </w:rPr>
                              <w:t>W</w:t>
                            </w:r>
                            <w:r>
                              <w:rPr>
                                <w:color w:val="231F20"/>
                                <w:spacing w:val="-2"/>
                                <w:w w:val="94"/>
                              </w:rPr>
                              <w:t>a</w:t>
                            </w:r>
                            <w:r>
                              <w:rPr>
                                <w:color w:val="231F20"/>
                                <w:spacing w:val="-4"/>
                                <w:w w:val="83"/>
                              </w:rPr>
                              <w:t>s</w:t>
                            </w:r>
                            <w:r>
                              <w:rPr>
                                <w:color w:val="231F20"/>
                                <w:spacing w:val="-3"/>
                                <w:w w:val="91"/>
                              </w:rPr>
                              <w:t>p</w:t>
                            </w:r>
                            <w:r>
                              <w:rPr>
                                <w:color w:val="231F20"/>
                                <w:spacing w:val="-1"/>
                                <w:w w:val="83"/>
                              </w:rPr>
                              <w:t>s</w:t>
                            </w:r>
                            <w:r>
                              <w:rPr>
                                <w:color w:val="231F20"/>
                                <w:spacing w:val="4"/>
                                <w:w w:val="128"/>
                              </w:rPr>
                              <w:t>.</w:t>
                            </w:r>
                            <w:r>
                              <w:rPr>
                                <w:color w:val="231F20"/>
                                <w:spacing w:val="1"/>
                                <w:w w:val="82"/>
                              </w:rPr>
                              <w:t>2</w:t>
                            </w:r>
                            <w:r>
                              <w:rPr>
                                <w:color w:val="231F20"/>
                                <w:spacing w:val="-15"/>
                                <w:w w:val="82"/>
                              </w:rPr>
                              <w:t>7</w:t>
                            </w:r>
                            <w:r>
                              <w:rPr>
                                <w:color w:val="231F20"/>
                                <w:spacing w:val="9"/>
                                <w:w w:val="130"/>
                              </w:rPr>
                              <w:t>_</w:t>
                            </w:r>
                            <w:r>
                              <w:rPr>
                                <w:color w:val="231F20"/>
                                <w:spacing w:val="-3"/>
                                <w:w w:val="108"/>
                              </w:rPr>
                              <w:t>R</w:t>
                            </w:r>
                            <w:r>
                              <w:rPr>
                                <w:color w:val="231F20"/>
                                <w:spacing w:val="-4"/>
                                <w:w w:val="83"/>
                              </w:rPr>
                              <w:t>e</w:t>
                            </w:r>
                            <w:r>
                              <w:rPr>
                                <w:color w:val="231F20"/>
                                <w:spacing w:val="-5"/>
                                <w:w w:val="95"/>
                              </w:rPr>
                              <w:t>l</w:t>
                            </w:r>
                            <w:r>
                              <w:rPr>
                                <w:color w:val="231F20"/>
                                <w:spacing w:val="-1"/>
                                <w:w w:val="96"/>
                              </w:rPr>
                              <w:t>o</w:t>
                            </w:r>
                            <w:r>
                              <w:rPr>
                                <w:color w:val="231F20"/>
                                <w:spacing w:val="-1"/>
                                <w:w w:val="92"/>
                              </w:rPr>
                              <w:t>c</w:t>
                            </w:r>
                            <w:r>
                              <w:rPr>
                                <w:color w:val="231F20"/>
                                <w:spacing w:val="-5"/>
                                <w:w w:val="94"/>
                              </w:rPr>
                              <w:t>a</w:t>
                            </w:r>
                            <w:r>
                              <w:rPr>
                                <w:color w:val="231F20"/>
                                <w:w w:val="92"/>
                              </w:rPr>
                              <w:t>t</w:t>
                            </w:r>
                            <w:r>
                              <w:rPr>
                                <w:color w:val="231F20"/>
                                <w:spacing w:val="-5"/>
                                <w:w w:val="92"/>
                              </w:rPr>
                              <w:t>i</w:t>
                            </w:r>
                            <w:r>
                              <w:rPr>
                                <w:color w:val="231F20"/>
                                <w:spacing w:val="-4"/>
                                <w:w w:val="96"/>
                              </w:rPr>
                              <w:t>o</w:t>
                            </w:r>
                            <w:r>
                              <w:rPr>
                                <w:color w:val="231F20"/>
                                <w:spacing w:val="-9"/>
                                <w:w w:val="91"/>
                              </w:rPr>
                              <w:t>n</w:t>
                            </w:r>
                            <w:r>
                              <w:rPr>
                                <w:color w:val="231F20"/>
                                <w:spacing w:val="-3"/>
                                <w:w w:val="94"/>
                              </w:rPr>
                              <w:t xml:space="preserve"> </w:t>
                            </w:r>
                            <w:r>
                              <w:rPr>
                                <w:color w:val="231F20"/>
                              </w:rPr>
                              <w:t>(accessed</w:t>
                            </w:r>
                            <w:r>
                              <w:rPr>
                                <w:color w:val="231F20"/>
                                <w:spacing w:val="-7"/>
                              </w:rPr>
                              <w:t xml:space="preserve"> </w:t>
                            </w:r>
                            <w:r>
                              <w:rPr>
                                <w:color w:val="231F20"/>
                              </w:rPr>
                              <w:t>8</w:t>
                            </w:r>
                            <w:r>
                              <w:rPr>
                                <w:color w:val="231F20"/>
                                <w:spacing w:val="-7"/>
                              </w:rPr>
                              <w:t xml:space="preserve"> </w:t>
                            </w:r>
                            <w:r>
                              <w:rPr>
                                <w:color w:val="231F20"/>
                              </w:rPr>
                              <w:t>September</w:t>
                            </w:r>
                            <w:r>
                              <w:rPr>
                                <w:color w:val="231F20"/>
                                <w:spacing w:val="-7"/>
                              </w:rPr>
                              <w:t xml:space="preserve"> </w:t>
                            </w:r>
                            <w:r>
                              <w:rPr>
                                <w:color w:val="231F20"/>
                              </w:rPr>
                              <w:t>2017).</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6C8018" id="docshape158" o:spid="_x0000_s1083" type="#_x0000_t202" style="position:absolute;margin-left:59.5pt;margin-top:17.2pt;width:323.15pt;height:229.9pt;z-index:-156764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" fillcolor="#dcddde" stroked="f">
                <v:textbox inset="0,0,0,0">
                  <w:txbxContent>
                    <w:p w14:paraId="6C5AD99A" w14:textId="77777777" w:rsidR="00AE0598" w:rsidRDefault="0069255A">
                      <w:pPr>
                        <w:pStyle w:val="Corpodetexto"/>
                        <w:spacing w:before="73" w:line="232" w:lineRule="auto"/>
                        <w:ind w:left="113" w:right="107"/>
                        <w:jc w:val="both"/>
                        <w:rPr>
                          <w:color w:val="000000"/>
                        </w:rPr>
                      </w:pPr>
                      <w:r>
                        <w:rPr>
                          <w:color w:val="231F20"/>
                        </w:rPr>
                        <w:t>exhibition, music and sports facilities, a casino and shopping centre, Tesco supermarket and hotel accommodation. In terms of market range and accessibility, it is claimed that Ricoh Arena, Coventry, is centrally located within a two-hour drive of 75% of t</w:t>
                      </w:r>
                      <w:r>
                        <w:rPr>
                          <w:color w:val="231F20"/>
                        </w:rPr>
                        <w:t>he population of England. This is, however, for local fans 81.3 miles (130 km) via the M40 from the club’s former venue in High Wycombe (north-west of London) and, as the case of Wimbledon FC amply demonstrates, the loss of heritage associated with the rel</w:t>
                      </w:r>
                      <w:r>
                        <w:rPr>
                          <w:color w:val="231F20"/>
                        </w:rPr>
                        <w:t>ocation of a sports club should not be underestimated.</w:t>
                      </w:r>
                    </w:p>
                    <w:p w14:paraId="745AE5FF" w14:textId="77777777" w:rsidR="00AE0598" w:rsidRDefault="00AE0598">
                      <w:pPr>
                        <w:pStyle w:val="Corpodetexto"/>
                        <w:spacing w:before="5"/>
                        <w:rPr>
                          <w:color w:val="000000"/>
                        </w:rPr>
                      </w:pPr>
                    </w:p>
                    <w:p w14:paraId="5E366DFB" w14:textId="77777777" w:rsidR="00AE0598" w:rsidRDefault="0069255A">
                      <w:pPr>
                        <w:ind w:left="113"/>
                        <w:rPr>
                          <w:rFonts w:ascii="Trebuchet MS"/>
                          <w:i/>
                          <w:color w:val="000000"/>
                          <w:sz w:val="18"/>
                        </w:rPr>
                      </w:pPr>
                      <w:r>
                        <w:rPr>
                          <w:rFonts w:ascii="Trebuchet MS"/>
                          <w:i/>
                          <w:color w:val="231F20"/>
                          <w:spacing w:val="-2"/>
                          <w:sz w:val="18"/>
                        </w:rPr>
                        <w:t>Sources</w:t>
                      </w:r>
                    </w:p>
                    <w:p w14:paraId="69262A3F" w14:textId="77777777" w:rsidR="00AE0598" w:rsidRDefault="0069255A">
                      <w:pPr>
                        <w:pStyle w:val="Corpodetexto"/>
                        <w:spacing w:before="6" w:line="232" w:lineRule="auto"/>
                        <w:ind w:left="113" w:right="110"/>
                        <w:jc w:val="both"/>
                        <w:rPr>
                          <w:color w:val="000000"/>
                        </w:rPr>
                      </w:pPr>
                      <w:r>
                        <w:rPr>
                          <w:color w:val="231F20"/>
                        </w:rPr>
                        <w:t xml:space="preserve">The Guardian (2016) The Resurrection of AFC Wimbledon. The Guardian online (18 May 2016). See </w:t>
                      </w:r>
                      <w:r>
                        <w:rPr>
                          <w:color w:val="231F20"/>
                          <w:spacing w:val="-4"/>
                          <w:w w:val="102"/>
                        </w:rPr>
                        <w:t>h</w:t>
                      </w:r>
                      <w:r>
                        <w:rPr>
                          <w:color w:val="231F20"/>
                          <w:spacing w:val="3"/>
                          <w:w w:val="101"/>
                        </w:rPr>
                        <w:t>t</w:t>
                      </w:r>
                      <w:r>
                        <w:rPr>
                          <w:color w:val="231F20"/>
                          <w:spacing w:val="2"/>
                          <w:w w:val="101"/>
                        </w:rPr>
                        <w:t>t</w:t>
                      </w:r>
                      <w:r>
                        <w:rPr>
                          <w:color w:val="231F20"/>
                          <w:spacing w:val="-1"/>
                          <w:w w:val="101"/>
                        </w:rPr>
                        <w:t>p</w:t>
                      </w:r>
                      <w:r>
                        <w:rPr>
                          <w:color w:val="231F20"/>
                          <w:spacing w:val="-3"/>
                          <w:w w:val="93"/>
                        </w:rPr>
                        <w:t>s</w:t>
                      </w:r>
                      <w:r>
                        <w:rPr>
                          <w:color w:val="231F20"/>
                          <w:spacing w:val="4"/>
                          <w:w w:val="108"/>
                        </w:rPr>
                        <w:t>:</w:t>
                      </w:r>
                      <w:r>
                        <w:rPr>
                          <w:color w:val="231F20"/>
                          <w:spacing w:val="-6"/>
                          <w:w w:val="63"/>
                        </w:rPr>
                        <w:t>/</w:t>
                      </w:r>
                      <w:r>
                        <w:rPr>
                          <w:color w:val="231F20"/>
                          <w:spacing w:val="-3"/>
                          <w:w w:val="63"/>
                        </w:rPr>
                        <w:t>/</w:t>
                      </w:r>
                      <w:hyperlink r:id="rId32">
                        <w:r>
                          <w:rPr>
                            <w:color w:val="231F20"/>
                            <w:spacing w:val="2"/>
                            <w:w w:val="102"/>
                          </w:rPr>
                          <w:t>ww</w:t>
                        </w:r>
                        <w:r>
                          <w:rPr>
                            <w:color w:val="231F20"/>
                            <w:spacing w:val="-13"/>
                            <w:w w:val="102"/>
                          </w:rPr>
                          <w:t>w</w:t>
                        </w:r>
                        <w:r>
                          <w:rPr>
                            <w:color w:val="231F20"/>
                            <w:spacing w:val="-3"/>
                            <w:w w:val="138"/>
                          </w:rPr>
                          <w:t>.</w:t>
                        </w:r>
                        <w:r>
                          <w:rPr>
                            <w:color w:val="231F20"/>
                            <w:spacing w:val="2"/>
                            <w:w w:val="101"/>
                          </w:rPr>
                          <w:t>t</w:t>
                        </w:r>
                        <w:r>
                          <w:rPr>
                            <w:color w:val="231F20"/>
                            <w:spacing w:val="-1"/>
                            <w:w w:val="99"/>
                          </w:rPr>
                          <w:t>he</w:t>
                        </w:r>
                        <w:r>
                          <w:rPr>
                            <w:color w:val="231F20"/>
                            <w:spacing w:val="3"/>
                            <w:w w:val="99"/>
                          </w:rPr>
                          <w:t>g</w:t>
                        </w:r>
                        <w:r>
                          <w:rPr>
                            <w:color w:val="231F20"/>
                            <w:w w:val="102"/>
                          </w:rPr>
                          <w:t>u</w:t>
                        </w:r>
                        <w:r>
                          <w:rPr>
                            <w:color w:val="231F20"/>
                            <w:spacing w:val="1"/>
                            <w:w w:val="104"/>
                          </w:rPr>
                          <w:t>a</w:t>
                        </w:r>
                        <w:r>
                          <w:rPr>
                            <w:color w:val="231F20"/>
                            <w:spacing w:val="-4"/>
                            <w:w w:val="96"/>
                          </w:rPr>
                          <w:t>r</w:t>
                        </w:r>
                        <w:r>
                          <w:rPr>
                            <w:color w:val="231F20"/>
                            <w:spacing w:val="2"/>
                            <w:w w:val="101"/>
                          </w:rPr>
                          <w:t>d</w:t>
                        </w:r>
                        <w:r>
                          <w:rPr>
                            <w:color w:val="231F20"/>
                            <w:spacing w:val="-2"/>
                            <w:w w:val="103"/>
                          </w:rPr>
                          <w:t>i</w:t>
                        </w:r>
                        <w:r>
                          <w:rPr>
                            <w:color w:val="231F20"/>
                            <w:spacing w:val="2"/>
                            <w:w w:val="104"/>
                          </w:rPr>
                          <w:t>a</w:t>
                        </w:r>
                        <w:r>
                          <w:rPr>
                            <w:color w:val="231F20"/>
                            <w:spacing w:val="-1"/>
                            <w:w w:val="101"/>
                          </w:rPr>
                          <w:t>n</w:t>
                        </w:r>
                        <w:r>
                          <w:rPr>
                            <w:color w:val="231F20"/>
                            <w:spacing w:val="-1"/>
                            <w:w w:val="110"/>
                          </w:rPr>
                          <w:t>.c</w:t>
                        </w:r>
                        <w:r>
                          <w:rPr>
                            <w:color w:val="231F20"/>
                            <w:spacing w:val="-4"/>
                            <w:w w:val="110"/>
                          </w:rPr>
                          <w:t>o</w:t>
                        </w:r>
                        <w:r>
                          <w:rPr>
                            <w:color w:val="231F20"/>
                            <w:spacing w:val="7"/>
                            <w:w w:val="102"/>
                          </w:rPr>
                          <w:t>m</w:t>
                        </w:r>
                        <w:r>
                          <w:rPr>
                            <w:color w:val="231F20"/>
                            <w:spacing w:val="-2"/>
                            <w:w w:val="63"/>
                          </w:rPr>
                          <w:t>/</w:t>
                        </w:r>
                      </w:hyperlink>
                      <w:r>
                        <w:rPr>
                          <w:color w:val="231F20"/>
                          <w:spacing w:val="-1"/>
                          <w:w w:val="99"/>
                        </w:rPr>
                        <w:t xml:space="preserve"> </w:t>
                      </w:r>
                      <w:r>
                        <w:rPr>
                          <w:color w:val="231F20"/>
                          <w:spacing w:val="-2"/>
                          <w:w w:val="90"/>
                        </w:rPr>
                        <w:t>football/copa90/2016/may/18/afc-wimbledon-players-fans-manager-</w:t>
                      </w:r>
                      <w:r>
                        <w:rPr>
                          <w:color w:val="231F20"/>
                          <w:w w:val="90"/>
                        </w:rPr>
                        <w:t xml:space="preserve"> </w:t>
                      </w:r>
                      <w:r>
                        <w:rPr>
                          <w:color w:val="231F20"/>
                          <w:w w:val="95"/>
                        </w:rPr>
                        <w:t>league-two-play-off (accessed 8 September 2017).</w:t>
                      </w:r>
                    </w:p>
                    <w:p w14:paraId="782F9A96" w14:textId="77777777" w:rsidR="00AE0598" w:rsidRDefault="0069255A">
                      <w:pPr>
                        <w:pStyle w:val="Corpodetexto"/>
                        <w:spacing w:before="125" w:line="232" w:lineRule="auto"/>
                        <w:ind w:left="113" w:right="111"/>
                        <w:jc w:val="both"/>
                        <w:rPr>
                          <w:color w:val="000000"/>
                        </w:rPr>
                      </w:pPr>
                      <w:r>
                        <w:rPr>
                          <w:color w:val="231F20"/>
                          <w:w w:val="95"/>
                        </w:rPr>
                        <w:t xml:space="preserve">Ricoh Arena. See </w:t>
                      </w:r>
                      <w:hyperlink r:id="rId33">
                        <w:r>
                          <w:rPr>
                            <w:color w:val="231F20"/>
                            <w:w w:val="95"/>
                          </w:rPr>
                          <w:t>http://www.ricoharena.com/about-us/</w:t>
                        </w:r>
                      </w:hyperlink>
                      <w:r>
                        <w:rPr>
                          <w:color w:val="231F20"/>
                          <w:w w:val="95"/>
                        </w:rPr>
                        <w:t xml:space="preserve"> and https:// </w:t>
                      </w:r>
                      <w:r>
                        <w:rPr>
                          <w:color w:val="231F20"/>
                          <w:spacing w:val="-2"/>
                          <w:w w:val="83"/>
                        </w:rPr>
                        <w:t>e</w:t>
                      </w:r>
                      <w:r>
                        <w:rPr>
                          <w:color w:val="231F20"/>
                          <w:spacing w:val="-2"/>
                          <w:w w:val="91"/>
                        </w:rPr>
                        <w:t>n</w:t>
                      </w:r>
                      <w:r>
                        <w:rPr>
                          <w:color w:val="231F20"/>
                          <w:spacing w:val="-15"/>
                          <w:w w:val="128"/>
                        </w:rPr>
                        <w:t>.</w:t>
                      </w:r>
                      <w:r>
                        <w:rPr>
                          <w:color w:val="231F20"/>
                          <w:spacing w:val="-1"/>
                          <w:w w:val="92"/>
                        </w:rPr>
                        <w:t>w</w:t>
                      </w:r>
                      <w:r>
                        <w:rPr>
                          <w:color w:val="231F20"/>
                          <w:w w:val="95"/>
                        </w:rPr>
                        <w:t>ik</w:t>
                      </w:r>
                      <w:r>
                        <w:rPr>
                          <w:color w:val="231F20"/>
                          <w:spacing w:val="-5"/>
                          <w:w w:val="95"/>
                        </w:rPr>
                        <w:t>i</w:t>
                      </w:r>
                      <w:r>
                        <w:rPr>
                          <w:color w:val="231F20"/>
                          <w:spacing w:val="-1"/>
                          <w:w w:val="91"/>
                        </w:rPr>
                        <w:t>p</w:t>
                      </w:r>
                      <w:r>
                        <w:rPr>
                          <w:color w:val="231F20"/>
                          <w:w w:val="89"/>
                        </w:rPr>
                        <w:t>ed</w:t>
                      </w:r>
                      <w:r>
                        <w:rPr>
                          <w:color w:val="231F20"/>
                          <w:spacing w:val="-3"/>
                          <w:w w:val="89"/>
                        </w:rPr>
                        <w:t>i</w:t>
                      </w:r>
                      <w:r>
                        <w:rPr>
                          <w:color w:val="231F20"/>
                          <w:spacing w:val="-2"/>
                          <w:w w:val="94"/>
                        </w:rPr>
                        <w:t>a</w:t>
                      </w:r>
                      <w:r>
                        <w:rPr>
                          <w:color w:val="231F20"/>
                          <w:spacing w:val="-4"/>
                          <w:w w:val="128"/>
                        </w:rPr>
                        <w:t>.</w:t>
                      </w:r>
                      <w:r>
                        <w:rPr>
                          <w:color w:val="231F20"/>
                          <w:spacing w:val="-5"/>
                          <w:w w:val="96"/>
                        </w:rPr>
                        <w:t>o</w:t>
                      </w:r>
                      <w:r>
                        <w:rPr>
                          <w:color w:val="231F20"/>
                          <w:spacing w:val="-3"/>
                          <w:w w:val="86"/>
                        </w:rPr>
                        <w:t>r</w:t>
                      </w:r>
                      <w:r>
                        <w:rPr>
                          <w:color w:val="231F20"/>
                          <w:spacing w:val="8"/>
                          <w:w w:val="92"/>
                        </w:rPr>
                        <w:t>g</w:t>
                      </w:r>
                      <w:r>
                        <w:rPr>
                          <w:color w:val="231F20"/>
                          <w:spacing w:val="-5"/>
                          <w:w w:val="53"/>
                        </w:rPr>
                        <w:t>/</w:t>
                      </w:r>
                      <w:r>
                        <w:rPr>
                          <w:color w:val="231F20"/>
                          <w:spacing w:val="-1"/>
                          <w:w w:val="92"/>
                        </w:rPr>
                        <w:t>w</w:t>
                      </w:r>
                      <w:r>
                        <w:rPr>
                          <w:color w:val="231F20"/>
                          <w:w w:val="95"/>
                        </w:rPr>
                        <w:t>ik</w:t>
                      </w:r>
                      <w:r>
                        <w:rPr>
                          <w:color w:val="231F20"/>
                          <w:spacing w:val="5"/>
                          <w:w w:val="95"/>
                        </w:rPr>
                        <w:t>i</w:t>
                      </w:r>
                      <w:r>
                        <w:rPr>
                          <w:color w:val="231F20"/>
                          <w:spacing w:val="5"/>
                          <w:w w:val="53"/>
                        </w:rPr>
                        <w:t>/</w:t>
                      </w:r>
                      <w:r>
                        <w:rPr>
                          <w:color w:val="231F20"/>
                          <w:spacing w:val="3"/>
                          <w:w w:val="108"/>
                        </w:rPr>
                        <w:t>R</w:t>
                      </w:r>
                      <w:r>
                        <w:rPr>
                          <w:color w:val="231F20"/>
                          <w:spacing w:val="-5"/>
                          <w:w w:val="93"/>
                        </w:rPr>
                        <w:t>i</w:t>
                      </w:r>
                      <w:r>
                        <w:rPr>
                          <w:color w:val="231F20"/>
                          <w:spacing w:val="-3"/>
                          <w:w w:val="92"/>
                        </w:rPr>
                        <w:t>c</w:t>
                      </w:r>
                      <w:r>
                        <w:rPr>
                          <w:color w:val="231F20"/>
                          <w:spacing w:val="-5"/>
                          <w:w w:val="96"/>
                        </w:rPr>
                        <w:t>o</w:t>
                      </w:r>
                      <w:r>
                        <w:rPr>
                          <w:color w:val="231F20"/>
                          <w:spacing w:val="6"/>
                          <w:w w:val="92"/>
                        </w:rPr>
                        <w:t>h</w:t>
                      </w:r>
                      <w:r>
                        <w:rPr>
                          <w:color w:val="231F20"/>
                          <w:spacing w:val="9"/>
                          <w:w w:val="130"/>
                        </w:rPr>
                        <w:t>_</w:t>
                      </w:r>
                      <w:r>
                        <w:rPr>
                          <w:color w:val="231F20"/>
                          <w:spacing w:val="2"/>
                          <w:w w:val="108"/>
                        </w:rPr>
                        <w:t>A</w:t>
                      </w:r>
                      <w:r>
                        <w:rPr>
                          <w:color w:val="231F20"/>
                          <w:spacing w:val="-4"/>
                          <w:w w:val="86"/>
                        </w:rPr>
                        <w:t>r</w:t>
                      </w:r>
                      <w:r>
                        <w:rPr>
                          <w:color w:val="231F20"/>
                          <w:spacing w:val="-2"/>
                          <w:w w:val="83"/>
                        </w:rPr>
                        <w:t>e</w:t>
                      </w:r>
                      <w:r>
                        <w:rPr>
                          <w:color w:val="231F20"/>
                          <w:spacing w:val="-2"/>
                          <w:w w:val="91"/>
                        </w:rPr>
                        <w:t>n</w:t>
                      </w:r>
                      <w:r>
                        <w:rPr>
                          <w:color w:val="231F20"/>
                          <w:spacing w:val="-5"/>
                          <w:w w:val="94"/>
                        </w:rPr>
                        <w:t>a</w:t>
                      </w:r>
                      <w:r>
                        <w:rPr>
                          <w:color w:val="231F20"/>
                          <w:w w:val="103"/>
                        </w:rPr>
                        <w:t>#</w:t>
                      </w:r>
                      <w:r>
                        <w:rPr>
                          <w:color w:val="231F20"/>
                          <w:spacing w:val="3"/>
                          <w:w w:val="91"/>
                        </w:rPr>
                        <w:t>B</w:t>
                      </w:r>
                      <w:r>
                        <w:rPr>
                          <w:color w:val="231F20"/>
                          <w:spacing w:val="-2"/>
                          <w:w w:val="83"/>
                        </w:rPr>
                        <w:t>e</w:t>
                      </w:r>
                      <w:r>
                        <w:rPr>
                          <w:color w:val="231F20"/>
                          <w:spacing w:val="-5"/>
                          <w:w w:val="102"/>
                        </w:rPr>
                        <w:t>f</w:t>
                      </w:r>
                      <w:r>
                        <w:rPr>
                          <w:color w:val="231F20"/>
                          <w:spacing w:val="-5"/>
                          <w:w w:val="96"/>
                        </w:rPr>
                        <w:t>o</w:t>
                      </w:r>
                      <w:r>
                        <w:rPr>
                          <w:color w:val="231F20"/>
                          <w:spacing w:val="-4"/>
                          <w:w w:val="86"/>
                        </w:rPr>
                        <w:t>r</w:t>
                      </w:r>
                      <w:r>
                        <w:rPr>
                          <w:color w:val="231F20"/>
                          <w:spacing w:val="6"/>
                          <w:w w:val="83"/>
                        </w:rPr>
                        <w:t>e</w:t>
                      </w:r>
                      <w:r>
                        <w:rPr>
                          <w:color w:val="231F20"/>
                          <w:spacing w:val="-15"/>
                          <w:w w:val="130"/>
                        </w:rPr>
                        <w:t>_</w:t>
                      </w:r>
                      <w:r>
                        <w:rPr>
                          <w:color w:val="231F20"/>
                          <w:spacing w:val="-14"/>
                          <w:w w:val="99"/>
                        </w:rPr>
                        <w:t>W</w:t>
                      </w:r>
                      <w:r>
                        <w:rPr>
                          <w:color w:val="231F20"/>
                          <w:spacing w:val="-2"/>
                          <w:w w:val="94"/>
                        </w:rPr>
                        <w:t>a</w:t>
                      </w:r>
                      <w:r>
                        <w:rPr>
                          <w:color w:val="231F20"/>
                          <w:spacing w:val="-4"/>
                          <w:w w:val="83"/>
                        </w:rPr>
                        <w:t>s</w:t>
                      </w:r>
                      <w:r>
                        <w:rPr>
                          <w:color w:val="231F20"/>
                          <w:spacing w:val="-3"/>
                          <w:w w:val="91"/>
                        </w:rPr>
                        <w:t>p</w:t>
                      </w:r>
                      <w:r>
                        <w:rPr>
                          <w:color w:val="231F20"/>
                          <w:spacing w:val="-1"/>
                          <w:w w:val="83"/>
                        </w:rPr>
                        <w:t>s</w:t>
                      </w:r>
                      <w:r>
                        <w:rPr>
                          <w:color w:val="231F20"/>
                          <w:spacing w:val="4"/>
                          <w:w w:val="128"/>
                        </w:rPr>
                        <w:t>.</w:t>
                      </w:r>
                      <w:r>
                        <w:rPr>
                          <w:color w:val="231F20"/>
                          <w:spacing w:val="1"/>
                          <w:w w:val="82"/>
                        </w:rPr>
                        <w:t>2</w:t>
                      </w:r>
                      <w:r>
                        <w:rPr>
                          <w:color w:val="231F20"/>
                          <w:spacing w:val="-15"/>
                          <w:w w:val="82"/>
                        </w:rPr>
                        <w:t>7</w:t>
                      </w:r>
                      <w:r>
                        <w:rPr>
                          <w:color w:val="231F20"/>
                          <w:spacing w:val="9"/>
                          <w:w w:val="130"/>
                        </w:rPr>
                        <w:t>_</w:t>
                      </w:r>
                      <w:r>
                        <w:rPr>
                          <w:color w:val="231F20"/>
                          <w:spacing w:val="-3"/>
                          <w:w w:val="108"/>
                        </w:rPr>
                        <w:t>R</w:t>
                      </w:r>
                      <w:r>
                        <w:rPr>
                          <w:color w:val="231F20"/>
                          <w:spacing w:val="-4"/>
                          <w:w w:val="83"/>
                        </w:rPr>
                        <w:t>e</w:t>
                      </w:r>
                      <w:r>
                        <w:rPr>
                          <w:color w:val="231F20"/>
                          <w:spacing w:val="-5"/>
                          <w:w w:val="95"/>
                        </w:rPr>
                        <w:t>l</w:t>
                      </w:r>
                      <w:r>
                        <w:rPr>
                          <w:color w:val="231F20"/>
                          <w:spacing w:val="-1"/>
                          <w:w w:val="96"/>
                        </w:rPr>
                        <w:t>o</w:t>
                      </w:r>
                      <w:r>
                        <w:rPr>
                          <w:color w:val="231F20"/>
                          <w:spacing w:val="-1"/>
                          <w:w w:val="92"/>
                        </w:rPr>
                        <w:t>c</w:t>
                      </w:r>
                      <w:r>
                        <w:rPr>
                          <w:color w:val="231F20"/>
                          <w:spacing w:val="-5"/>
                          <w:w w:val="94"/>
                        </w:rPr>
                        <w:t>a</w:t>
                      </w:r>
                      <w:r>
                        <w:rPr>
                          <w:color w:val="231F20"/>
                          <w:w w:val="92"/>
                        </w:rPr>
                        <w:t>t</w:t>
                      </w:r>
                      <w:r>
                        <w:rPr>
                          <w:color w:val="231F20"/>
                          <w:spacing w:val="-5"/>
                          <w:w w:val="92"/>
                        </w:rPr>
                        <w:t>i</w:t>
                      </w:r>
                      <w:r>
                        <w:rPr>
                          <w:color w:val="231F20"/>
                          <w:spacing w:val="-4"/>
                          <w:w w:val="96"/>
                        </w:rPr>
                        <w:t>o</w:t>
                      </w:r>
                      <w:r>
                        <w:rPr>
                          <w:color w:val="231F20"/>
                          <w:spacing w:val="-9"/>
                          <w:w w:val="91"/>
                        </w:rPr>
                        <w:t>n</w:t>
                      </w:r>
                      <w:r>
                        <w:rPr>
                          <w:color w:val="231F20"/>
                          <w:spacing w:val="-3"/>
                          <w:w w:val="94"/>
                        </w:rPr>
                        <w:t xml:space="preserve"> </w:t>
                      </w:r>
                      <w:r>
                        <w:rPr>
                          <w:color w:val="231F20"/>
                        </w:rPr>
                        <w:t>(accessed</w:t>
                      </w:r>
                      <w:r>
                        <w:rPr>
                          <w:color w:val="231F20"/>
                          <w:spacing w:val="-7"/>
                        </w:rPr>
                        <w:t xml:space="preserve"> </w:t>
                      </w:r>
                      <w:r>
                        <w:rPr>
                          <w:color w:val="231F20"/>
                        </w:rPr>
                        <w:t>8</w:t>
                      </w:r>
                      <w:r>
                        <w:rPr>
                          <w:color w:val="231F20"/>
                          <w:spacing w:val="-7"/>
                        </w:rPr>
                        <w:t xml:space="preserve"> </w:t>
                      </w:r>
                      <w:r>
                        <w:rPr>
                          <w:color w:val="231F20"/>
                        </w:rPr>
                        <w:t>September</w:t>
                      </w:r>
                      <w:r>
                        <w:rPr>
                          <w:color w:val="231F20"/>
                          <w:spacing w:val="-7"/>
                        </w:rPr>
                        <w:t xml:space="preserve"> </w:t>
                      </w:r>
                      <w:r>
                        <w:rPr>
                          <w:color w:val="231F20"/>
                        </w:rPr>
                        <w:t>2017).</w:t>
                      </w:r>
                    </w:p>
                  </w:txbxContent>
                </v:textbox>
                <w10:wrap type="topAndBottom" anchorx="page"/>
              </v:shape>
            </w:pict>
          </mc:Fallback>
        </mc:AlternateContent>
      </w:r>
    </w:p>
    <w:p w14:paraId="0F131878" w14:textId="77777777" w:rsidR="00AE0598" w:rsidRDefault="00AE0598">
      <w:pPr>
        <w:pStyle w:val="Corpodetexto"/>
        <w:spacing w:before="1"/>
        <w:rPr>
          <w:rFonts w:ascii="Trebuchet MS"/>
          <w:sz w:val="16"/>
        </w:rPr>
      </w:pPr>
    </w:p>
    <w:p w14:paraId="6A9E7D19" w14:textId="77777777" w:rsidR="00AE0598" w:rsidRDefault="0069255A">
      <w:pPr>
        <w:pStyle w:val="Corpodetexto"/>
        <w:spacing w:before="103" w:line="232" w:lineRule="auto"/>
        <w:ind w:left="110" w:right="126" w:firstLine="320"/>
        <w:jc w:val="both"/>
      </w:pPr>
      <w:r>
        <w:rPr>
          <w:color w:val="231F20"/>
        </w:rPr>
        <w:t>The heritage values associated with sports teams are invariably compromised</w:t>
      </w:r>
      <w:r>
        <w:rPr>
          <w:color w:val="231F20"/>
          <w:spacing w:val="-9"/>
        </w:rPr>
        <w:t xml:space="preserve"> </w:t>
      </w:r>
      <w:r>
        <w:rPr>
          <w:color w:val="231F20"/>
        </w:rPr>
        <w:t>in</w:t>
      </w:r>
      <w:r>
        <w:rPr>
          <w:color w:val="231F20"/>
          <w:spacing w:val="-9"/>
        </w:rPr>
        <w:t xml:space="preserve"> </w:t>
      </w:r>
      <w:r>
        <w:rPr>
          <w:color w:val="231F20"/>
        </w:rPr>
        <w:t>the</w:t>
      </w:r>
      <w:r>
        <w:rPr>
          <w:color w:val="231F20"/>
          <w:spacing w:val="-9"/>
        </w:rPr>
        <w:t xml:space="preserve"> </w:t>
      </w:r>
      <w:r>
        <w:rPr>
          <w:color w:val="231F20"/>
        </w:rPr>
        <w:t>process</w:t>
      </w:r>
      <w:r>
        <w:rPr>
          <w:color w:val="231F20"/>
          <w:spacing w:val="-9"/>
        </w:rPr>
        <w:t xml:space="preserve"> </w:t>
      </w:r>
      <w:r>
        <w:rPr>
          <w:color w:val="231F20"/>
        </w:rPr>
        <w:t>of</w:t>
      </w:r>
      <w:r>
        <w:rPr>
          <w:color w:val="231F20"/>
          <w:spacing w:val="-9"/>
        </w:rPr>
        <w:t xml:space="preserve"> </w:t>
      </w:r>
      <w:r>
        <w:rPr>
          <w:color w:val="231F20"/>
        </w:rPr>
        <w:t>inter-city</w:t>
      </w:r>
      <w:r>
        <w:rPr>
          <w:color w:val="231F20"/>
          <w:spacing w:val="-9"/>
        </w:rPr>
        <w:t xml:space="preserve"> </w:t>
      </w:r>
      <w:r>
        <w:rPr>
          <w:color w:val="231F20"/>
        </w:rPr>
        <w:t>or</w:t>
      </w:r>
      <w:r>
        <w:rPr>
          <w:color w:val="231F20"/>
          <w:spacing w:val="-9"/>
        </w:rPr>
        <w:t xml:space="preserve"> </w:t>
      </w:r>
      <w:r>
        <w:rPr>
          <w:color w:val="231F20"/>
        </w:rPr>
        <w:t>transnational</w:t>
      </w:r>
      <w:r>
        <w:rPr>
          <w:color w:val="231F20"/>
          <w:spacing w:val="-9"/>
        </w:rPr>
        <w:t xml:space="preserve"> </w:t>
      </w:r>
      <w:r>
        <w:rPr>
          <w:color w:val="231F20"/>
        </w:rPr>
        <w:t>relocation</w:t>
      </w:r>
      <w:r>
        <w:rPr>
          <w:color w:val="231F20"/>
          <w:spacing w:val="-9"/>
        </w:rPr>
        <w:t xml:space="preserve"> </w:t>
      </w:r>
      <w:r>
        <w:rPr>
          <w:color w:val="231F20"/>
        </w:rPr>
        <w:t>(see Chapter 6) and may, in fact, be lost to a region altogether if transferred to</w:t>
      </w:r>
      <w:r>
        <w:rPr>
          <w:color w:val="231F20"/>
          <w:spacing w:val="31"/>
        </w:rPr>
        <w:t xml:space="preserve"> </w:t>
      </w:r>
      <w:r>
        <w:rPr>
          <w:color w:val="231F20"/>
        </w:rPr>
        <w:t>a</w:t>
      </w:r>
      <w:r>
        <w:rPr>
          <w:color w:val="231F20"/>
          <w:spacing w:val="31"/>
        </w:rPr>
        <w:t xml:space="preserve"> </w:t>
      </w:r>
      <w:r>
        <w:rPr>
          <w:color w:val="231F20"/>
        </w:rPr>
        <w:t>new</w:t>
      </w:r>
      <w:r>
        <w:rPr>
          <w:color w:val="231F20"/>
          <w:spacing w:val="31"/>
        </w:rPr>
        <w:t xml:space="preserve"> </w:t>
      </w:r>
      <w:r>
        <w:rPr>
          <w:color w:val="231F20"/>
        </w:rPr>
        <w:t>host</w:t>
      </w:r>
      <w:r>
        <w:rPr>
          <w:color w:val="231F20"/>
          <w:spacing w:val="31"/>
        </w:rPr>
        <w:t xml:space="preserve"> </w:t>
      </w:r>
      <w:r>
        <w:rPr>
          <w:color w:val="231F20"/>
        </w:rPr>
        <w:t>city</w:t>
      </w:r>
      <w:r>
        <w:rPr>
          <w:color w:val="231F20"/>
          <w:spacing w:val="31"/>
        </w:rPr>
        <w:t xml:space="preserve"> </w:t>
      </w:r>
      <w:r>
        <w:rPr>
          <w:color w:val="231F20"/>
        </w:rPr>
        <w:t>(Kulczycki</w:t>
      </w:r>
      <w:r>
        <w:rPr>
          <w:color w:val="231F20"/>
          <w:spacing w:val="31"/>
        </w:rPr>
        <w:t xml:space="preserve"> </w:t>
      </w:r>
      <w:r>
        <w:rPr>
          <w:color w:val="231F20"/>
        </w:rPr>
        <w:t>&amp;</w:t>
      </w:r>
      <w:r>
        <w:rPr>
          <w:color w:val="231F20"/>
          <w:spacing w:val="31"/>
        </w:rPr>
        <w:t xml:space="preserve"> </w:t>
      </w:r>
      <w:r>
        <w:rPr>
          <w:color w:val="231F20"/>
        </w:rPr>
        <w:t>Hyatt,</w:t>
      </w:r>
      <w:r>
        <w:rPr>
          <w:color w:val="231F20"/>
          <w:spacing w:val="31"/>
        </w:rPr>
        <w:t xml:space="preserve"> </w:t>
      </w:r>
      <w:r>
        <w:rPr>
          <w:color w:val="231F20"/>
        </w:rPr>
        <w:t>2005).</w:t>
      </w:r>
      <w:r>
        <w:rPr>
          <w:color w:val="231F20"/>
          <w:spacing w:val="31"/>
        </w:rPr>
        <w:t xml:space="preserve"> </w:t>
      </w:r>
      <w:r>
        <w:rPr>
          <w:color w:val="231F20"/>
        </w:rPr>
        <w:t>Ironically,</w:t>
      </w:r>
      <w:r>
        <w:rPr>
          <w:color w:val="231F20"/>
          <w:spacing w:val="31"/>
        </w:rPr>
        <w:t xml:space="preserve"> </w:t>
      </w:r>
      <w:r>
        <w:rPr>
          <w:color w:val="231F20"/>
        </w:rPr>
        <w:t>the</w:t>
      </w:r>
      <w:r>
        <w:rPr>
          <w:color w:val="231F20"/>
          <w:spacing w:val="31"/>
        </w:rPr>
        <w:t xml:space="preserve"> </w:t>
      </w:r>
      <w:r>
        <w:rPr>
          <w:color w:val="231F20"/>
        </w:rPr>
        <w:t>situation of locational flux has in many cases taken place in association with the development of the tourism prod</w:t>
      </w:r>
      <w:r>
        <w:rPr>
          <w:color w:val="231F20"/>
        </w:rPr>
        <w:t xml:space="preserve">uct, including tourist attractions that target the nostalgia sport tourist (Ramshaw &amp; Hinch, 2006; Stevens, 2001) (see also Chapter 10). Nostalgia sport tourism has been actively developed in North America (Rooney, 1992). Sports halls of fame have </w:t>
      </w:r>
      <w:r>
        <w:rPr>
          <w:color w:val="231F20"/>
          <w:w w:val="95"/>
        </w:rPr>
        <w:t>often be</w:t>
      </w:r>
      <w:r>
        <w:rPr>
          <w:color w:val="231F20"/>
          <w:w w:val="95"/>
        </w:rPr>
        <w:t xml:space="preserve">en positioned as tourist attractions with traditional museum-style presentations being succeeded by new generation sport attractions, which </w:t>
      </w:r>
      <w:r>
        <w:rPr>
          <w:color w:val="231F20"/>
        </w:rPr>
        <w:t xml:space="preserve">feature cutting-edge interpretive techniques, designs and technologies. This has not been possible given the static </w:t>
      </w:r>
      <w:r>
        <w:rPr>
          <w:color w:val="231F20"/>
        </w:rPr>
        <w:t xml:space="preserve">location of facilities in other </w:t>
      </w:r>
      <w:r>
        <w:rPr>
          <w:color w:val="231F20"/>
          <w:w w:val="95"/>
        </w:rPr>
        <w:t xml:space="preserve">parts of the world. Stevens (2001) notes, in reference to sport halls of fame </w:t>
      </w:r>
      <w:r>
        <w:rPr>
          <w:color w:val="231F20"/>
        </w:rPr>
        <w:t>in England, that their</w:t>
      </w:r>
    </w:p>
    <w:p w14:paraId="5D320930" w14:textId="77777777" w:rsidR="00AE0598" w:rsidRDefault="00AE0598">
      <w:pPr>
        <w:pStyle w:val="Corpodetexto"/>
        <w:spacing w:before="3"/>
        <w:rPr>
          <w:sz w:val="22"/>
        </w:rPr>
      </w:pPr>
    </w:p>
    <w:p w14:paraId="63975FDC" w14:textId="77777777" w:rsidR="00AE0598" w:rsidRDefault="0069255A">
      <w:pPr>
        <w:spacing w:line="244" w:lineRule="auto"/>
        <w:ind w:left="430" w:right="127"/>
        <w:jc w:val="both"/>
        <w:rPr>
          <w:sz w:val="20"/>
        </w:rPr>
      </w:pPr>
      <w:r>
        <w:rPr>
          <w:color w:val="231F20"/>
          <w:sz w:val="20"/>
        </w:rPr>
        <w:t xml:space="preserve">locations tend to be governed by non-market related criteria, such as </w:t>
      </w:r>
      <w:r>
        <w:rPr>
          <w:color w:val="231F20"/>
          <w:w w:val="95"/>
          <w:sz w:val="20"/>
        </w:rPr>
        <w:t>location of administrative offices or the owners des</w:t>
      </w:r>
      <w:r>
        <w:rPr>
          <w:color w:val="231F20"/>
          <w:w w:val="95"/>
          <w:sz w:val="20"/>
        </w:rPr>
        <w:t xml:space="preserve">ire to convert a hobby </w:t>
      </w:r>
      <w:r>
        <w:rPr>
          <w:color w:val="231F20"/>
          <w:sz w:val="20"/>
        </w:rPr>
        <w:t xml:space="preserve">into a public display. Most are located outside the major metropolitan areas, and when compared to the geography of major league franchises, </w:t>
      </w:r>
      <w:r>
        <w:rPr>
          <w:color w:val="231F20"/>
          <w:w w:val="95"/>
          <w:sz w:val="20"/>
        </w:rPr>
        <w:t xml:space="preserve">and hence major stadium developments, it is apparent that the opportunity </w:t>
      </w:r>
      <w:r>
        <w:rPr>
          <w:color w:val="231F20"/>
          <w:sz w:val="20"/>
        </w:rPr>
        <w:t>to physically link</w:t>
      </w:r>
      <w:r>
        <w:rPr>
          <w:color w:val="231F20"/>
          <w:sz w:val="20"/>
        </w:rPr>
        <w:t xml:space="preserve"> sports stadia with visitor attractions has largely been missed. (Stevens, 2001: 69)</w:t>
      </w:r>
    </w:p>
    <w:p w14:paraId="41456A91" w14:textId="77777777" w:rsidR="00AE0598" w:rsidRDefault="00AE0598">
      <w:pPr>
        <w:spacing w:line="244" w:lineRule="auto"/>
        <w:jc w:val="both"/>
        <w:rPr>
          <w:sz w:val="20"/>
        </w:rPr>
        <w:sectPr w:rsidR="00AE0598">
          <w:pgSz w:w="8850" w:h="13270"/>
          <w:pgMar w:top="720" w:right="1060" w:bottom="280" w:left="1080" w:header="720" w:footer="720" w:gutter="0"/>
          <w:cols w:space="720"/>
        </w:sectPr>
      </w:pPr>
    </w:p>
    <w:p w14:paraId="1F1608E1" w14:textId="77777777" w:rsidR="00AE0598" w:rsidRDefault="0069255A">
      <w:pPr>
        <w:spacing w:before="87"/>
        <w:ind w:left="108"/>
        <w:rPr>
          <w:rFonts w:ascii="Trebuchet MS"/>
          <w:sz w:val="14"/>
        </w:rPr>
      </w:pPr>
      <w:r>
        <w:rPr>
          <w:rFonts w:ascii="Trebuchet MS"/>
          <w:color w:val="231F20"/>
          <w:w w:val="105"/>
          <w:sz w:val="14"/>
        </w:rPr>
        <w:lastRenderedPageBreak/>
        <w:t>108</w:t>
      </w:r>
      <w:r>
        <w:rPr>
          <w:rFonts w:ascii="Trebuchet MS"/>
          <w:color w:val="231F20"/>
          <w:spacing w:val="66"/>
          <w:w w:val="150"/>
          <w:sz w:val="14"/>
        </w:rPr>
        <w:t xml:space="preserve"> </w:t>
      </w:r>
      <w:r>
        <w:rPr>
          <w:rFonts w:ascii="Trebuchet MS"/>
          <w:color w:val="231F20"/>
          <w:w w:val="105"/>
          <w:sz w:val="14"/>
        </w:rPr>
        <w:t>Part</w:t>
      </w:r>
      <w:r>
        <w:rPr>
          <w:rFonts w:ascii="Trebuchet MS"/>
          <w:color w:val="231F20"/>
          <w:spacing w:val="-9"/>
          <w:w w:val="105"/>
          <w:sz w:val="14"/>
        </w:rPr>
        <w:t xml:space="preserve"> </w:t>
      </w:r>
      <w:r>
        <w:rPr>
          <w:rFonts w:ascii="Trebuchet MS"/>
          <w:color w:val="231F20"/>
          <w:w w:val="105"/>
          <w:sz w:val="14"/>
        </w:rPr>
        <w:t>3:</w:t>
      </w:r>
      <w:r>
        <w:rPr>
          <w:rFonts w:ascii="Trebuchet MS"/>
          <w:color w:val="231F20"/>
          <w:spacing w:val="-8"/>
          <w:w w:val="105"/>
          <w:sz w:val="14"/>
        </w:rPr>
        <w:t xml:space="preserve"> </w:t>
      </w:r>
      <w:r>
        <w:rPr>
          <w:rFonts w:ascii="Trebuchet MS"/>
          <w:color w:val="231F20"/>
          <w:w w:val="105"/>
          <w:sz w:val="14"/>
        </w:rPr>
        <w:t>Sport</w:t>
      </w:r>
      <w:r>
        <w:rPr>
          <w:rFonts w:ascii="Trebuchet MS"/>
          <w:color w:val="231F20"/>
          <w:spacing w:val="-9"/>
          <w:w w:val="105"/>
          <w:sz w:val="14"/>
        </w:rPr>
        <w:t xml:space="preserve"> </w:t>
      </w:r>
      <w:r>
        <w:rPr>
          <w:rFonts w:ascii="Trebuchet MS"/>
          <w:color w:val="231F20"/>
          <w:w w:val="105"/>
          <w:sz w:val="14"/>
        </w:rPr>
        <w:t>Tourism</w:t>
      </w:r>
      <w:r>
        <w:rPr>
          <w:rFonts w:ascii="Trebuchet MS"/>
          <w:color w:val="231F20"/>
          <w:spacing w:val="-9"/>
          <w:w w:val="105"/>
          <w:sz w:val="14"/>
        </w:rPr>
        <w:t xml:space="preserve"> </w:t>
      </w:r>
      <w:r>
        <w:rPr>
          <w:rFonts w:ascii="Trebuchet MS"/>
          <w:color w:val="231F20"/>
          <w:w w:val="105"/>
          <w:sz w:val="14"/>
        </w:rPr>
        <w:t>Development</w:t>
      </w:r>
      <w:r>
        <w:rPr>
          <w:rFonts w:ascii="Trebuchet MS"/>
          <w:color w:val="231F20"/>
          <w:spacing w:val="-9"/>
          <w:w w:val="105"/>
          <w:sz w:val="14"/>
        </w:rPr>
        <w:t xml:space="preserve"> </w:t>
      </w:r>
      <w:r>
        <w:rPr>
          <w:rFonts w:ascii="Trebuchet MS"/>
          <w:color w:val="231F20"/>
          <w:w w:val="105"/>
          <w:sz w:val="14"/>
        </w:rPr>
        <w:t>and</w:t>
      </w:r>
      <w:r>
        <w:rPr>
          <w:rFonts w:ascii="Trebuchet MS"/>
          <w:color w:val="231F20"/>
          <w:spacing w:val="-8"/>
          <w:w w:val="105"/>
          <w:sz w:val="14"/>
        </w:rPr>
        <w:t xml:space="preserve"> </w:t>
      </w:r>
      <w:r>
        <w:rPr>
          <w:rFonts w:ascii="Trebuchet MS"/>
          <w:color w:val="231F20"/>
          <w:spacing w:val="-2"/>
          <w:w w:val="105"/>
          <w:sz w:val="14"/>
        </w:rPr>
        <w:t>Space</w:t>
      </w:r>
    </w:p>
    <w:p w14:paraId="2B5F6F2A" w14:textId="77777777" w:rsidR="00AE0598" w:rsidRDefault="00AE0598">
      <w:pPr>
        <w:pStyle w:val="Corpodetexto"/>
        <w:rPr>
          <w:rFonts w:ascii="Trebuchet MS"/>
          <w:sz w:val="16"/>
        </w:rPr>
      </w:pPr>
    </w:p>
    <w:p w14:paraId="0738666B" w14:textId="77777777" w:rsidR="00AE0598" w:rsidRDefault="0069255A">
      <w:pPr>
        <w:spacing w:before="120"/>
        <w:ind w:left="110"/>
        <w:rPr>
          <w:rFonts w:ascii="Trebuchet MS"/>
          <w:b/>
          <w:sz w:val="20"/>
        </w:rPr>
      </w:pPr>
      <w:r>
        <w:rPr>
          <w:rFonts w:ascii="Trebuchet MS"/>
          <w:b/>
          <w:color w:val="231F20"/>
          <w:sz w:val="20"/>
        </w:rPr>
        <w:t>The</w:t>
      </w:r>
      <w:r>
        <w:rPr>
          <w:rFonts w:ascii="Trebuchet MS"/>
          <w:b/>
          <w:color w:val="231F20"/>
          <w:spacing w:val="-3"/>
          <w:sz w:val="20"/>
        </w:rPr>
        <w:t xml:space="preserve"> </w:t>
      </w:r>
      <w:r>
        <w:rPr>
          <w:rFonts w:ascii="Trebuchet MS"/>
          <w:b/>
          <w:color w:val="231F20"/>
          <w:sz w:val="20"/>
        </w:rPr>
        <w:t>Spatial</w:t>
      </w:r>
      <w:r>
        <w:rPr>
          <w:rFonts w:ascii="Trebuchet MS"/>
          <w:b/>
          <w:color w:val="231F20"/>
          <w:spacing w:val="-2"/>
          <w:sz w:val="20"/>
        </w:rPr>
        <w:t xml:space="preserve"> </w:t>
      </w:r>
      <w:r>
        <w:rPr>
          <w:rFonts w:ascii="Trebuchet MS"/>
          <w:b/>
          <w:color w:val="231F20"/>
          <w:sz w:val="20"/>
        </w:rPr>
        <w:t>Analysis</w:t>
      </w:r>
      <w:r>
        <w:rPr>
          <w:rFonts w:ascii="Trebuchet MS"/>
          <w:b/>
          <w:color w:val="231F20"/>
          <w:spacing w:val="-2"/>
          <w:sz w:val="20"/>
        </w:rPr>
        <w:t xml:space="preserve"> </w:t>
      </w:r>
      <w:r>
        <w:rPr>
          <w:rFonts w:ascii="Trebuchet MS"/>
          <w:b/>
          <w:color w:val="231F20"/>
          <w:sz w:val="20"/>
        </w:rPr>
        <w:t>of</w:t>
      </w:r>
      <w:r>
        <w:rPr>
          <w:rFonts w:ascii="Trebuchet MS"/>
          <w:b/>
          <w:color w:val="231F20"/>
          <w:spacing w:val="-2"/>
          <w:sz w:val="20"/>
        </w:rPr>
        <w:t xml:space="preserve"> </w:t>
      </w:r>
      <w:r>
        <w:rPr>
          <w:rFonts w:ascii="Trebuchet MS"/>
          <w:b/>
          <w:color w:val="231F20"/>
          <w:sz w:val="20"/>
        </w:rPr>
        <w:t>Sport</w:t>
      </w:r>
      <w:r>
        <w:rPr>
          <w:rFonts w:ascii="Trebuchet MS"/>
          <w:b/>
          <w:color w:val="231F20"/>
          <w:spacing w:val="-3"/>
          <w:sz w:val="20"/>
        </w:rPr>
        <w:t xml:space="preserve"> </w:t>
      </w:r>
      <w:r>
        <w:rPr>
          <w:rFonts w:ascii="Trebuchet MS"/>
          <w:b/>
          <w:color w:val="231F20"/>
          <w:sz w:val="20"/>
        </w:rPr>
        <w:t>Tourism</w:t>
      </w:r>
      <w:r>
        <w:rPr>
          <w:rFonts w:ascii="Trebuchet MS"/>
          <w:b/>
          <w:color w:val="231F20"/>
          <w:spacing w:val="-2"/>
          <w:sz w:val="20"/>
        </w:rPr>
        <w:t xml:space="preserve"> </w:t>
      </w:r>
      <w:r>
        <w:rPr>
          <w:rFonts w:ascii="Trebuchet MS"/>
          <w:b/>
          <w:color w:val="231F20"/>
          <w:sz w:val="20"/>
        </w:rPr>
        <w:t>in</w:t>
      </w:r>
      <w:r>
        <w:rPr>
          <w:rFonts w:ascii="Trebuchet MS"/>
          <w:b/>
          <w:color w:val="231F20"/>
          <w:spacing w:val="-2"/>
          <w:sz w:val="20"/>
        </w:rPr>
        <w:t xml:space="preserve"> </w:t>
      </w:r>
      <w:r>
        <w:rPr>
          <w:rFonts w:ascii="Trebuchet MS"/>
          <w:b/>
          <w:color w:val="231F20"/>
          <w:sz w:val="20"/>
        </w:rPr>
        <w:t>Peripheral</w:t>
      </w:r>
      <w:r>
        <w:rPr>
          <w:rFonts w:ascii="Trebuchet MS"/>
          <w:b/>
          <w:color w:val="231F20"/>
          <w:spacing w:val="-2"/>
          <w:sz w:val="20"/>
        </w:rPr>
        <w:t xml:space="preserve"> Locations</w:t>
      </w:r>
    </w:p>
    <w:p w14:paraId="19BDC747" w14:textId="77777777" w:rsidR="00AE0598" w:rsidRDefault="0069255A">
      <w:pPr>
        <w:pStyle w:val="Corpodetexto"/>
        <w:spacing w:before="122" w:line="232" w:lineRule="auto"/>
        <w:ind w:left="110" w:right="122" w:firstLine="320"/>
        <w:jc w:val="both"/>
      </w:pPr>
      <w:r>
        <w:rPr>
          <w:color w:val="231F20"/>
        </w:rPr>
        <w:t>Christaller (1963/64: 95) states that tourism is ‘a branch of the economy that avoids central places and the agglomerations of industry. Tourism</w:t>
      </w:r>
      <w:r>
        <w:rPr>
          <w:color w:val="231F20"/>
          <w:spacing w:val="40"/>
        </w:rPr>
        <w:t xml:space="preserve"> </w:t>
      </w:r>
      <w:r>
        <w:rPr>
          <w:color w:val="231F20"/>
        </w:rPr>
        <w:t>is</w:t>
      </w:r>
      <w:r>
        <w:rPr>
          <w:color w:val="231F20"/>
          <w:spacing w:val="40"/>
        </w:rPr>
        <w:t xml:space="preserve"> </w:t>
      </w:r>
      <w:r>
        <w:rPr>
          <w:color w:val="231F20"/>
        </w:rPr>
        <w:t>drawn</w:t>
      </w:r>
      <w:r>
        <w:rPr>
          <w:color w:val="231F20"/>
          <w:spacing w:val="40"/>
        </w:rPr>
        <w:t xml:space="preserve"> </w:t>
      </w:r>
      <w:r>
        <w:rPr>
          <w:color w:val="231F20"/>
        </w:rPr>
        <w:t>to</w:t>
      </w:r>
      <w:r>
        <w:rPr>
          <w:color w:val="231F20"/>
          <w:spacing w:val="40"/>
        </w:rPr>
        <w:t xml:space="preserve"> </w:t>
      </w:r>
      <w:r>
        <w:rPr>
          <w:color w:val="231F20"/>
        </w:rPr>
        <w:t>the</w:t>
      </w:r>
      <w:r>
        <w:rPr>
          <w:color w:val="231F20"/>
          <w:spacing w:val="40"/>
        </w:rPr>
        <w:t xml:space="preserve"> </w:t>
      </w:r>
      <w:r>
        <w:rPr>
          <w:color w:val="231F20"/>
        </w:rPr>
        <w:t>periphery</w:t>
      </w:r>
      <w:r>
        <w:rPr>
          <w:color w:val="231F20"/>
          <w:spacing w:val="40"/>
          <w:w w:val="105"/>
        </w:rPr>
        <w:t xml:space="preserve"> </w:t>
      </w:r>
      <w:r>
        <w:rPr>
          <w:color w:val="231F20"/>
          <w:w w:val="105"/>
        </w:rPr>
        <w:t>…</w:t>
      </w:r>
      <w:r>
        <w:rPr>
          <w:color w:val="231F20"/>
          <w:spacing w:val="40"/>
          <w:w w:val="105"/>
        </w:rPr>
        <w:t xml:space="preserve"> </w:t>
      </w:r>
      <w:r>
        <w:rPr>
          <w:color w:val="231F20"/>
        </w:rPr>
        <w:t>(where)</w:t>
      </w:r>
      <w:r>
        <w:rPr>
          <w:color w:val="231F20"/>
          <w:spacing w:val="40"/>
        </w:rPr>
        <w:t xml:space="preserve"> </w:t>
      </w:r>
      <w:r>
        <w:rPr>
          <w:color w:val="231F20"/>
        </w:rPr>
        <w:t>one</w:t>
      </w:r>
      <w:r>
        <w:rPr>
          <w:color w:val="231F20"/>
          <w:spacing w:val="40"/>
        </w:rPr>
        <w:t xml:space="preserve"> </w:t>
      </w:r>
      <w:r>
        <w:rPr>
          <w:color w:val="231F20"/>
        </w:rPr>
        <w:t>may</w:t>
      </w:r>
      <w:r>
        <w:rPr>
          <w:color w:val="231F20"/>
          <w:spacing w:val="40"/>
        </w:rPr>
        <w:t xml:space="preserve"> </w:t>
      </w:r>
      <w:r>
        <w:rPr>
          <w:color w:val="231F20"/>
        </w:rPr>
        <w:t>find,</w:t>
      </w:r>
      <w:r>
        <w:rPr>
          <w:color w:val="231F20"/>
          <w:spacing w:val="40"/>
        </w:rPr>
        <w:t xml:space="preserve"> </w:t>
      </w:r>
      <w:r>
        <w:rPr>
          <w:color w:val="231F20"/>
        </w:rPr>
        <w:t>easier than</w:t>
      </w:r>
      <w:r>
        <w:rPr>
          <w:color w:val="231F20"/>
          <w:spacing w:val="40"/>
        </w:rPr>
        <w:t xml:space="preserve"> </w:t>
      </w:r>
      <w:r>
        <w:rPr>
          <w:color w:val="231F20"/>
        </w:rPr>
        <w:t>anywhere,</w:t>
      </w:r>
      <w:r>
        <w:rPr>
          <w:color w:val="231F20"/>
          <w:spacing w:val="40"/>
        </w:rPr>
        <w:t xml:space="preserve"> </w:t>
      </w:r>
      <w:r>
        <w:rPr>
          <w:color w:val="231F20"/>
        </w:rPr>
        <w:t>the</w:t>
      </w:r>
      <w:r>
        <w:rPr>
          <w:color w:val="231F20"/>
          <w:spacing w:val="40"/>
        </w:rPr>
        <w:t xml:space="preserve"> </w:t>
      </w:r>
      <w:r>
        <w:rPr>
          <w:color w:val="231F20"/>
        </w:rPr>
        <w:t>chance</w:t>
      </w:r>
      <w:r>
        <w:rPr>
          <w:color w:val="231F20"/>
          <w:spacing w:val="40"/>
        </w:rPr>
        <w:t xml:space="preserve"> </w:t>
      </w:r>
      <w:r>
        <w:rPr>
          <w:color w:val="231F20"/>
        </w:rPr>
        <w:t>of</w:t>
      </w:r>
      <w:r>
        <w:rPr>
          <w:color w:val="231F20"/>
          <w:spacing w:val="40"/>
        </w:rPr>
        <w:t xml:space="preserve"> </w:t>
      </w:r>
      <w:r>
        <w:rPr>
          <w:color w:val="231F20"/>
        </w:rPr>
        <w:t>recreation</w:t>
      </w:r>
      <w:r>
        <w:rPr>
          <w:color w:val="231F20"/>
          <w:spacing w:val="40"/>
        </w:rPr>
        <w:t xml:space="preserve"> </w:t>
      </w:r>
      <w:r>
        <w:rPr>
          <w:color w:val="231F20"/>
        </w:rPr>
        <w:t>and</w:t>
      </w:r>
      <w:r>
        <w:rPr>
          <w:color w:val="231F20"/>
          <w:spacing w:val="40"/>
        </w:rPr>
        <w:t xml:space="preserve"> </w:t>
      </w:r>
      <w:r>
        <w:rPr>
          <w:color w:val="231F20"/>
        </w:rPr>
        <w:t>sport’.</w:t>
      </w:r>
      <w:r>
        <w:rPr>
          <w:color w:val="231F20"/>
          <w:spacing w:val="40"/>
        </w:rPr>
        <w:t xml:space="preserve"> </w:t>
      </w:r>
      <w:r>
        <w:rPr>
          <w:color w:val="231F20"/>
        </w:rPr>
        <w:t>Sport</w:t>
      </w:r>
      <w:r>
        <w:rPr>
          <w:color w:val="231F20"/>
          <w:spacing w:val="40"/>
        </w:rPr>
        <w:t xml:space="preserve"> </w:t>
      </w:r>
      <w:r>
        <w:rPr>
          <w:color w:val="231F20"/>
        </w:rPr>
        <w:t>tourism</w:t>
      </w:r>
      <w:r>
        <w:rPr>
          <w:color w:val="231F20"/>
          <w:spacing w:val="80"/>
        </w:rPr>
        <w:t xml:space="preserve"> </w:t>
      </w:r>
      <w:r>
        <w:rPr>
          <w:color w:val="231F20"/>
        </w:rPr>
        <w:t xml:space="preserve">in peripheral locations (Chapter 7) is typically focused on natural resources. Examples of these resources include mountains, lakes and </w:t>
      </w:r>
      <w:r>
        <w:rPr>
          <w:color w:val="231F20"/>
          <w:w w:val="95"/>
        </w:rPr>
        <w:t xml:space="preserve">rivers that form the resource base for sports such as mountain climbing, </w:t>
      </w:r>
      <w:r>
        <w:rPr>
          <w:color w:val="231F20"/>
        </w:rPr>
        <w:t>skiing, rafting, kayaking</w:t>
      </w:r>
      <w:r>
        <w:rPr>
          <w:color w:val="231F20"/>
        </w:rPr>
        <w:t xml:space="preserve"> and angling (Gilbert </w:t>
      </w:r>
      <w:r>
        <w:rPr>
          <w:color w:val="231F20"/>
          <w:w w:val="105"/>
        </w:rPr>
        <w:t xml:space="preserve">&amp; </w:t>
      </w:r>
      <w:r>
        <w:rPr>
          <w:color w:val="231F20"/>
        </w:rPr>
        <w:t xml:space="preserve">Hudson, 2000). Sport </w:t>
      </w:r>
      <w:r>
        <w:rPr>
          <w:color w:val="231F20"/>
          <w:w w:val="95"/>
        </w:rPr>
        <w:t>tourism in peripheral locations is typically resource dependent and thus determined by the physical nature of the landscape rather than proximity</w:t>
      </w:r>
      <w:r>
        <w:rPr>
          <w:color w:val="231F20"/>
          <w:spacing w:val="80"/>
        </w:rPr>
        <w:t xml:space="preserve"> </w:t>
      </w:r>
      <w:r>
        <w:rPr>
          <w:color w:val="231F20"/>
          <w:w w:val="95"/>
        </w:rPr>
        <w:t xml:space="preserve">to market areas. Sport tourism market zones, travel patterns and </w:t>
      </w:r>
      <w:r>
        <w:rPr>
          <w:color w:val="231F20"/>
          <w:w w:val="95"/>
        </w:rPr>
        <w:t>tourist experiences in peripheral locations stand in contrast to those associated with sports that take place in central locations. The principles governing</w:t>
      </w:r>
      <w:r>
        <w:rPr>
          <w:color w:val="231F20"/>
          <w:spacing w:val="80"/>
        </w:rPr>
        <w:t xml:space="preserve"> </w:t>
      </w:r>
      <w:r>
        <w:rPr>
          <w:color w:val="231F20"/>
        </w:rPr>
        <w:t>the spatial dynamics of sport tourism in peripheral areas are proposed in Table 5.2.</w:t>
      </w:r>
    </w:p>
    <w:p w14:paraId="2092AF4F" w14:textId="77777777" w:rsidR="00AE0598" w:rsidRDefault="0069255A">
      <w:pPr>
        <w:pStyle w:val="Corpodetexto"/>
        <w:spacing w:before="18" w:line="232" w:lineRule="auto"/>
        <w:ind w:left="110" w:right="127" w:firstLine="320"/>
        <w:jc w:val="both"/>
      </w:pPr>
      <w:r>
        <w:rPr>
          <w:color w:val="231F20"/>
          <w:w w:val="95"/>
        </w:rPr>
        <w:t>Sports</w:t>
      </w:r>
      <w:r>
        <w:rPr>
          <w:color w:val="231F20"/>
          <w:spacing w:val="-6"/>
          <w:w w:val="95"/>
        </w:rPr>
        <w:t xml:space="preserve"> </w:t>
      </w:r>
      <w:r>
        <w:rPr>
          <w:color w:val="231F20"/>
          <w:w w:val="95"/>
        </w:rPr>
        <w:t>space</w:t>
      </w:r>
      <w:r>
        <w:rPr>
          <w:color w:val="231F20"/>
          <w:spacing w:val="-6"/>
          <w:w w:val="95"/>
        </w:rPr>
        <w:t xml:space="preserve"> </w:t>
      </w:r>
      <w:r>
        <w:rPr>
          <w:color w:val="231F20"/>
          <w:w w:val="95"/>
        </w:rPr>
        <w:t>t</w:t>
      </w:r>
      <w:r>
        <w:rPr>
          <w:color w:val="231F20"/>
          <w:w w:val="95"/>
        </w:rPr>
        <w:t>heory</w:t>
      </w:r>
      <w:r>
        <w:rPr>
          <w:color w:val="231F20"/>
          <w:spacing w:val="-6"/>
          <w:w w:val="95"/>
        </w:rPr>
        <w:t xml:space="preserve"> </w:t>
      </w:r>
      <w:r>
        <w:rPr>
          <w:color w:val="231F20"/>
          <w:w w:val="95"/>
        </w:rPr>
        <w:t>applied</w:t>
      </w:r>
      <w:r>
        <w:rPr>
          <w:color w:val="231F20"/>
          <w:spacing w:val="-6"/>
          <w:w w:val="95"/>
        </w:rPr>
        <w:t xml:space="preserve"> </w:t>
      </w:r>
      <w:r>
        <w:rPr>
          <w:color w:val="231F20"/>
          <w:w w:val="95"/>
        </w:rPr>
        <w:t>to</w:t>
      </w:r>
      <w:r>
        <w:rPr>
          <w:color w:val="231F20"/>
          <w:spacing w:val="-6"/>
          <w:w w:val="95"/>
        </w:rPr>
        <w:t xml:space="preserve"> </w:t>
      </w:r>
      <w:r>
        <w:rPr>
          <w:color w:val="231F20"/>
          <w:w w:val="95"/>
        </w:rPr>
        <w:t>peripheral</w:t>
      </w:r>
      <w:r>
        <w:rPr>
          <w:color w:val="231F20"/>
          <w:spacing w:val="-6"/>
          <w:w w:val="95"/>
        </w:rPr>
        <w:t xml:space="preserve"> </w:t>
      </w:r>
      <w:r>
        <w:rPr>
          <w:color w:val="231F20"/>
          <w:w w:val="95"/>
        </w:rPr>
        <w:t>areas</w:t>
      </w:r>
      <w:r>
        <w:rPr>
          <w:color w:val="231F20"/>
          <w:spacing w:val="-6"/>
          <w:w w:val="95"/>
        </w:rPr>
        <w:t xml:space="preserve"> </w:t>
      </w:r>
      <w:r>
        <w:rPr>
          <w:color w:val="231F20"/>
          <w:w w:val="95"/>
        </w:rPr>
        <w:t>suggests</w:t>
      </w:r>
      <w:r>
        <w:rPr>
          <w:color w:val="231F20"/>
          <w:spacing w:val="-6"/>
          <w:w w:val="95"/>
        </w:rPr>
        <w:t xml:space="preserve"> </w:t>
      </w:r>
      <w:r>
        <w:rPr>
          <w:color w:val="231F20"/>
          <w:w w:val="95"/>
        </w:rPr>
        <w:t>that</w:t>
      </w:r>
      <w:r>
        <w:rPr>
          <w:color w:val="231F20"/>
          <w:spacing w:val="-6"/>
          <w:w w:val="95"/>
        </w:rPr>
        <w:t xml:space="preserve"> </w:t>
      </w:r>
      <w:r>
        <w:rPr>
          <w:color w:val="231F20"/>
          <w:w w:val="95"/>
        </w:rPr>
        <w:t>the</w:t>
      </w:r>
      <w:r>
        <w:rPr>
          <w:color w:val="231F20"/>
          <w:spacing w:val="-6"/>
          <w:w w:val="95"/>
        </w:rPr>
        <w:t xml:space="preserve"> </w:t>
      </w:r>
      <w:r>
        <w:rPr>
          <w:color w:val="231F20"/>
          <w:w w:val="95"/>
        </w:rPr>
        <w:t xml:space="preserve">natural </w:t>
      </w:r>
      <w:r>
        <w:rPr>
          <w:color w:val="231F20"/>
        </w:rPr>
        <w:t xml:space="preserve">resource base, rather than market access will determine the locations </w:t>
      </w:r>
      <w:r>
        <w:rPr>
          <w:color w:val="231F20"/>
          <w:w w:val="95"/>
        </w:rPr>
        <w:t xml:space="preserve">where sport tourism takes place. A ski resort, for example, is dependent on </w:t>
      </w:r>
      <w:r>
        <w:rPr>
          <w:color w:val="231F20"/>
        </w:rPr>
        <w:t>the</w:t>
      </w:r>
      <w:r>
        <w:rPr>
          <w:color w:val="231F20"/>
          <w:spacing w:val="-4"/>
        </w:rPr>
        <w:t xml:space="preserve"> </w:t>
      </w:r>
      <w:r>
        <w:rPr>
          <w:color w:val="231F20"/>
        </w:rPr>
        <w:t>requisite</w:t>
      </w:r>
      <w:r>
        <w:rPr>
          <w:color w:val="231F20"/>
          <w:spacing w:val="-4"/>
        </w:rPr>
        <w:t xml:space="preserve"> </w:t>
      </w:r>
      <w:r>
        <w:rPr>
          <w:color w:val="231F20"/>
        </w:rPr>
        <w:t>elevation,</w:t>
      </w:r>
      <w:r>
        <w:rPr>
          <w:color w:val="231F20"/>
          <w:spacing w:val="-4"/>
        </w:rPr>
        <w:t xml:space="preserve"> </w:t>
      </w:r>
      <w:r>
        <w:rPr>
          <w:color w:val="231F20"/>
        </w:rPr>
        <w:t>terrain</w:t>
      </w:r>
      <w:r>
        <w:rPr>
          <w:color w:val="231F20"/>
          <w:spacing w:val="-4"/>
        </w:rPr>
        <w:t xml:space="preserve"> </w:t>
      </w:r>
      <w:r>
        <w:rPr>
          <w:color w:val="231F20"/>
        </w:rPr>
        <w:t>and</w:t>
      </w:r>
      <w:r>
        <w:rPr>
          <w:color w:val="231F20"/>
          <w:spacing w:val="-4"/>
        </w:rPr>
        <w:t xml:space="preserve"> </w:t>
      </w:r>
      <w:r>
        <w:rPr>
          <w:color w:val="231F20"/>
        </w:rPr>
        <w:t>snow</w:t>
      </w:r>
      <w:r>
        <w:rPr>
          <w:color w:val="231F20"/>
          <w:spacing w:val="-4"/>
        </w:rPr>
        <w:t xml:space="preserve"> </w:t>
      </w:r>
      <w:r>
        <w:rPr>
          <w:color w:val="231F20"/>
        </w:rPr>
        <w:t>conditio</w:t>
      </w:r>
      <w:r>
        <w:rPr>
          <w:color w:val="231F20"/>
        </w:rPr>
        <w:t>ns</w:t>
      </w:r>
      <w:r>
        <w:rPr>
          <w:color w:val="231F20"/>
          <w:spacing w:val="-4"/>
        </w:rPr>
        <w:t xml:space="preserve"> </w:t>
      </w:r>
      <w:r>
        <w:rPr>
          <w:color w:val="231F20"/>
        </w:rPr>
        <w:t>among</w:t>
      </w:r>
      <w:r>
        <w:rPr>
          <w:color w:val="231F20"/>
          <w:spacing w:val="-4"/>
        </w:rPr>
        <w:t xml:space="preserve"> </w:t>
      </w:r>
      <w:r>
        <w:rPr>
          <w:color w:val="231F20"/>
        </w:rPr>
        <w:t>other</w:t>
      </w:r>
      <w:r>
        <w:rPr>
          <w:color w:val="231F20"/>
          <w:spacing w:val="-4"/>
        </w:rPr>
        <w:t xml:space="preserve"> </w:t>
      </w:r>
      <w:r>
        <w:rPr>
          <w:color w:val="231F20"/>
        </w:rPr>
        <w:t xml:space="preserve">things, to allow participants to engage in their sport in favourable conditions </w:t>
      </w:r>
      <w:r>
        <w:rPr>
          <w:color w:val="231F20"/>
          <w:w w:val="95"/>
        </w:rPr>
        <w:t>(Hopkins, 2014). This is especially the case for niche sport tourism markets where specific sport motivations requiring unique natural environmental attributes o</w:t>
      </w:r>
      <w:r>
        <w:rPr>
          <w:color w:val="231F20"/>
          <w:w w:val="95"/>
        </w:rPr>
        <w:t xml:space="preserve">ften apply. As Bourdeau </w:t>
      </w:r>
      <w:r>
        <w:rPr>
          <w:i/>
          <w:color w:val="231F20"/>
          <w:w w:val="95"/>
        </w:rPr>
        <w:t>et al</w:t>
      </w:r>
      <w:r>
        <w:rPr>
          <w:color w:val="231F20"/>
          <w:w w:val="95"/>
        </w:rPr>
        <w:t>. (2002: 23) observe, ‘the location</w:t>
      </w:r>
      <w:r>
        <w:rPr>
          <w:color w:val="231F20"/>
          <w:spacing w:val="40"/>
        </w:rPr>
        <w:t xml:space="preserve"> </w:t>
      </w:r>
      <w:r>
        <w:rPr>
          <w:color w:val="231F20"/>
          <w:w w:val="95"/>
        </w:rPr>
        <w:t>of</w:t>
      </w:r>
      <w:r>
        <w:rPr>
          <w:color w:val="231F20"/>
          <w:spacing w:val="1"/>
        </w:rPr>
        <w:t xml:space="preserve"> </w:t>
      </w:r>
      <w:r>
        <w:rPr>
          <w:color w:val="231F20"/>
          <w:w w:val="95"/>
        </w:rPr>
        <w:t>sites</w:t>
      </w:r>
      <w:r>
        <w:rPr>
          <w:color w:val="231F20"/>
          <w:spacing w:val="2"/>
        </w:rPr>
        <w:t xml:space="preserve"> </w:t>
      </w:r>
      <w:r>
        <w:rPr>
          <w:color w:val="231F20"/>
          <w:w w:val="95"/>
        </w:rPr>
        <w:t>and</w:t>
      </w:r>
      <w:r>
        <w:rPr>
          <w:color w:val="231F20"/>
          <w:spacing w:val="1"/>
        </w:rPr>
        <w:t xml:space="preserve"> </w:t>
      </w:r>
      <w:r>
        <w:rPr>
          <w:color w:val="231F20"/>
          <w:w w:val="95"/>
        </w:rPr>
        <w:t>itineraries</w:t>
      </w:r>
      <w:r>
        <w:rPr>
          <w:color w:val="231F20"/>
          <w:spacing w:val="2"/>
        </w:rPr>
        <w:t xml:space="preserve"> </w:t>
      </w:r>
      <w:r>
        <w:rPr>
          <w:color w:val="231F20"/>
          <w:w w:val="95"/>
        </w:rPr>
        <w:t>thus</w:t>
      </w:r>
      <w:r>
        <w:rPr>
          <w:color w:val="231F20"/>
          <w:spacing w:val="1"/>
        </w:rPr>
        <w:t xml:space="preserve"> </w:t>
      </w:r>
      <w:r>
        <w:rPr>
          <w:color w:val="231F20"/>
          <w:w w:val="95"/>
        </w:rPr>
        <w:t>depend</w:t>
      </w:r>
      <w:r>
        <w:rPr>
          <w:color w:val="231F20"/>
          <w:spacing w:val="2"/>
        </w:rPr>
        <w:t xml:space="preserve"> </w:t>
      </w:r>
      <w:r>
        <w:rPr>
          <w:color w:val="231F20"/>
          <w:w w:val="95"/>
        </w:rPr>
        <w:t>on</w:t>
      </w:r>
      <w:r>
        <w:rPr>
          <w:color w:val="231F20"/>
          <w:spacing w:val="1"/>
        </w:rPr>
        <w:t xml:space="preserve"> </w:t>
      </w:r>
      <w:r>
        <w:rPr>
          <w:color w:val="231F20"/>
          <w:w w:val="95"/>
        </w:rPr>
        <w:t>diverse</w:t>
      </w:r>
      <w:r>
        <w:rPr>
          <w:color w:val="231F20"/>
          <w:spacing w:val="2"/>
        </w:rPr>
        <w:t xml:space="preserve"> </w:t>
      </w:r>
      <w:r>
        <w:rPr>
          <w:color w:val="231F20"/>
          <w:w w:val="95"/>
        </w:rPr>
        <w:t>natural</w:t>
      </w:r>
      <w:r>
        <w:rPr>
          <w:color w:val="231F20"/>
          <w:spacing w:val="1"/>
        </w:rPr>
        <w:t xml:space="preserve"> </w:t>
      </w:r>
      <w:r>
        <w:rPr>
          <w:color w:val="231F20"/>
          <w:w w:val="95"/>
        </w:rPr>
        <w:t>conditions</w:t>
      </w:r>
      <w:r>
        <w:rPr>
          <w:color w:val="231F20"/>
          <w:spacing w:val="2"/>
        </w:rPr>
        <w:t xml:space="preserve"> </w:t>
      </w:r>
      <w:r>
        <w:rPr>
          <w:color w:val="231F20"/>
          <w:w w:val="95"/>
        </w:rPr>
        <w:t>which</w:t>
      </w:r>
      <w:r>
        <w:rPr>
          <w:color w:val="231F20"/>
          <w:spacing w:val="1"/>
        </w:rPr>
        <w:t xml:space="preserve"> </w:t>
      </w:r>
      <w:r>
        <w:rPr>
          <w:color w:val="231F20"/>
          <w:spacing w:val="-5"/>
          <w:w w:val="95"/>
        </w:rPr>
        <w:t>do</w:t>
      </w:r>
    </w:p>
    <w:p w14:paraId="365C2C3D" w14:textId="77777777" w:rsidR="00AE0598" w:rsidRDefault="00AE0598">
      <w:pPr>
        <w:pStyle w:val="Corpodetexto"/>
        <w:rPr>
          <w:sz w:val="20"/>
        </w:rPr>
      </w:pPr>
    </w:p>
    <w:p w14:paraId="0919DF07" w14:textId="77777777" w:rsidR="00AE0598" w:rsidRDefault="00AE0598">
      <w:pPr>
        <w:pStyle w:val="Corpodetexto"/>
        <w:spacing w:before="5"/>
        <w:rPr>
          <w:sz w:val="22"/>
        </w:rPr>
      </w:pPr>
    </w:p>
    <w:p w14:paraId="408DD23B" w14:textId="77777777" w:rsidR="00AE0598" w:rsidRDefault="0069255A">
      <w:pPr>
        <w:spacing w:before="1"/>
        <w:ind w:left="110"/>
        <w:rPr>
          <w:rFonts w:ascii="Trebuchet MS"/>
          <w:sz w:val="16"/>
        </w:rPr>
      </w:pPr>
      <w:r>
        <w:rPr>
          <w:rFonts w:ascii="Trebuchet MS"/>
          <w:b/>
          <w:color w:val="231F20"/>
          <w:sz w:val="16"/>
        </w:rPr>
        <w:t>Table</w:t>
      </w:r>
      <w:r>
        <w:rPr>
          <w:rFonts w:ascii="Trebuchet MS"/>
          <w:b/>
          <w:color w:val="231F20"/>
          <w:spacing w:val="10"/>
          <w:sz w:val="16"/>
        </w:rPr>
        <w:t xml:space="preserve"> </w:t>
      </w:r>
      <w:r>
        <w:rPr>
          <w:rFonts w:ascii="Trebuchet MS"/>
          <w:b/>
          <w:color w:val="231F20"/>
          <w:sz w:val="16"/>
        </w:rPr>
        <w:t>5.2</w:t>
      </w:r>
      <w:r>
        <w:rPr>
          <w:rFonts w:ascii="Trebuchet MS"/>
          <w:b/>
          <w:color w:val="231F20"/>
          <w:spacing w:val="58"/>
          <w:sz w:val="16"/>
        </w:rPr>
        <w:t xml:space="preserve"> </w:t>
      </w:r>
      <w:r>
        <w:rPr>
          <w:rFonts w:ascii="Trebuchet MS"/>
          <w:color w:val="231F20"/>
          <w:sz w:val="16"/>
        </w:rPr>
        <w:t>Spatial</w:t>
      </w:r>
      <w:r>
        <w:rPr>
          <w:rFonts w:ascii="Trebuchet MS"/>
          <w:color w:val="231F20"/>
          <w:spacing w:val="11"/>
          <w:sz w:val="16"/>
        </w:rPr>
        <w:t xml:space="preserve"> </w:t>
      </w:r>
      <w:r>
        <w:rPr>
          <w:rFonts w:ascii="Trebuchet MS"/>
          <w:color w:val="231F20"/>
          <w:sz w:val="16"/>
        </w:rPr>
        <w:t>dynamics</w:t>
      </w:r>
      <w:r>
        <w:rPr>
          <w:rFonts w:ascii="Trebuchet MS"/>
          <w:color w:val="231F20"/>
          <w:spacing w:val="11"/>
          <w:sz w:val="16"/>
        </w:rPr>
        <w:t xml:space="preserve"> </w:t>
      </w:r>
      <w:r>
        <w:rPr>
          <w:rFonts w:ascii="Trebuchet MS"/>
          <w:color w:val="231F20"/>
          <w:sz w:val="16"/>
        </w:rPr>
        <w:t>of</w:t>
      </w:r>
      <w:r>
        <w:rPr>
          <w:rFonts w:ascii="Trebuchet MS"/>
          <w:color w:val="231F20"/>
          <w:spacing w:val="11"/>
          <w:sz w:val="16"/>
        </w:rPr>
        <w:t xml:space="preserve"> </w:t>
      </w:r>
      <w:r>
        <w:rPr>
          <w:rFonts w:ascii="Trebuchet MS"/>
          <w:color w:val="231F20"/>
          <w:sz w:val="16"/>
        </w:rPr>
        <w:t>sport</w:t>
      </w:r>
      <w:r>
        <w:rPr>
          <w:rFonts w:ascii="Trebuchet MS"/>
          <w:color w:val="231F20"/>
          <w:spacing w:val="11"/>
          <w:sz w:val="16"/>
        </w:rPr>
        <w:t xml:space="preserve"> </w:t>
      </w:r>
      <w:r>
        <w:rPr>
          <w:rFonts w:ascii="Trebuchet MS"/>
          <w:color w:val="231F20"/>
          <w:sz w:val="16"/>
        </w:rPr>
        <w:t>tourism</w:t>
      </w:r>
      <w:r>
        <w:rPr>
          <w:rFonts w:ascii="Trebuchet MS"/>
          <w:color w:val="231F20"/>
          <w:spacing w:val="10"/>
          <w:sz w:val="16"/>
        </w:rPr>
        <w:t xml:space="preserve"> </w:t>
      </w:r>
      <w:r>
        <w:rPr>
          <w:rFonts w:ascii="Trebuchet MS"/>
          <w:color w:val="231F20"/>
          <w:sz w:val="16"/>
        </w:rPr>
        <w:t>in</w:t>
      </w:r>
      <w:r>
        <w:rPr>
          <w:rFonts w:ascii="Trebuchet MS"/>
          <w:color w:val="231F20"/>
          <w:spacing w:val="11"/>
          <w:sz w:val="16"/>
        </w:rPr>
        <w:t xml:space="preserve"> </w:t>
      </w:r>
      <w:r>
        <w:rPr>
          <w:rFonts w:ascii="Trebuchet MS"/>
          <w:color w:val="231F20"/>
          <w:sz w:val="16"/>
        </w:rPr>
        <w:t>peripheral</w:t>
      </w:r>
      <w:r>
        <w:rPr>
          <w:rFonts w:ascii="Trebuchet MS"/>
          <w:color w:val="231F20"/>
          <w:spacing w:val="11"/>
          <w:sz w:val="16"/>
        </w:rPr>
        <w:t xml:space="preserve"> </w:t>
      </w:r>
      <w:r>
        <w:rPr>
          <w:rFonts w:ascii="Trebuchet MS"/>
          <w:color w:val="231F20"/>
          <w:spacing w:val="-4"/>
          <w:sz w:val="16"/>
        </w:rPr>
        <w:t>areas</w:t>
      </w:r>
    </w:p>
    <w:p w14:paraId="1BC6EE3D" w14:textId="62A25AC5" w:rsidR="00AE0598" w:rsidRDefault="0069255A">
      <w:pPr>
        <w:pStyle w:val="Corpodetexto"/>
        <w:rPr>
          <w:rFonts w:ascii="Trebuchet MS"/>
          <w:sz w:val="12"/>
        </w:rPr>
      </w:pPr>
      <w:r>
        <w:rPr>
          <w:noProof/>
        </w:rPr>
        <mc:AlternateContent>
          <mc:Choice Requires="wps">
            <w:drawing>
              <wp:anchor distT="0" distB="0" distL="0" distR="0" simplePos="0" relativeHeight="487640576" behindDoc="1" locked="0" layoutInCell="1" allowOverlap="1" wp14:anchorId="4B7AFD0C" wp14:editId="142821B8">
                <wp:simplePos x="0" y="0"/>
                <wp:positionH relativeFrom="page">
                  <wp:posOffset>755650</wp:posOffset>
                </wp:positionH>
                <wp:positionV relativeFrom="paragraph">
                  <wp:posOffset>104140</wp:posOffset>
                </wp:positionV>
                <wp:extent cx="4104005" cy="1270"/>
                <wp:effectExtent l="0" t="0" r="0" b="0"/>
                <wp:wrapTopAndBottom/>
                <wp:docPr id="212" name="docshape1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104005" cy="1270"/>
                        </a:xfrm>
                        <a:custGeom>
                          <a:avLst/>
                          <a:gdLst>
                            <a:gd name="T0" fmla="+- 0 1190 1190"/>
                            <a:gd name="T1" fmla="*/ T0 w 6463"/>
                            <a:gd name="T2" fmla="+- 0 7653 1190"/>
                            <a:gd name="T3" fmla="*/ T2 w 6463"/>
                          </a:gdLst>
                          <a:ahLst/>
                          <a:cxnLst>
                            <a:cxn ang="0">
                              <a:pos x="T1" y="0"/>
                            </a:cxn>
                            <a:cxn ang="0">
                              <a:pos x="T3" y="0"/>
                            </a:cxn>
                          </a:cxnLst>
                          <a:rect l="0" t="0" r="r" b="b"/>
                          <a:pathLst>
                            <a:path w="6463">
                              <a:moveTo>
                                <a:pt x="0" y="0"/>
                              </a:moveTo>
                              <a:lnTo>
                                <a:pt x="6463" y="0"/>
                              </a:lnTo>
                            </a:path>
                          </a:pathLst>
                        </a:custGeom>
                        <a:noFill/>
                        <a:ln w="3175">
                          <a:solidFill>
                            <a:srgbClr val="231F2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662FAE" id="docshape159" o:spid="_x0000_s1026" style="position:absolute;margin-left:59.5pt;margin-top:8.2pt;width:323.15pt;height:.1pt;z-index:-156759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46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" path="m,l6463,e" filled="f" strokecolor="#231f20" strokeweight=".25pt">
                <v:path arrowok="t" o:connecttype="custom" o:connectlocs="0,0;4104005,0" o:connectangles="0,0"/>
                <w10:wrap type="topAndBottom" anchorx="page"/>
              </v:shape>
            </w:pict>
          </mc:Fallback>
        </mc:AlternateContent>
      </w:r>
    </w:p>
    <w:p w14:paraId="39AE549B" w14:textId="77777777" w:rsidR="00AE0598" w:rsidRDefault="0069255A">
      <w:pPr>
        <w:pStyle w:val="PargrafodaLista"/>
        <w:numPr>
          <w:ilvl w:val="0"/>
          <w:numId w:val="11"/>
        </w:numPr>
        <w:tabs>
          <w:tab w:val="left" w:pos="343"/>
        </w:tabs>
        <w:spacing w:before="33" w:after="32" w:line="235" w:lineRule="auto"/>
        <w:ind w:right="432"/>
        <w:rPr>
          <w:sz w:val="14"/>
        </w:rPr>
      </w:pPr>
      <w:r>
        <w:rPr>
          <w:color w:val="231F20"/>
          <w:sz w:val="14"/>
        </w:rPr>
        <w:t>The main challenge of the sports areas in the periphery is to facilitate visitor access and</w:t>
      </w:r>
      <w:r>
        <w:rPr>
          <w:color w:val="231F20"/>
          <w:spacing w:val="80"/>
          <w:sz w:val="14"/>
        </w:rPr>
        <w:t xml:space="preserve"> </w:t>
      </w:r>
      <w:r>
        <w:rPr>
          <w:color w:val="231F20"/>
          <w:sz w:val="14"/>
        </w:rPr>
        <w:t>opportunities</w:t>
      </w:r>
      <w:r>
        <w:rPr>
          <w:color w:val="231F20"/>
          <w:spacing w:val="25"/>
          <w:sz w:val="14"/>
        </w:rPr>
        <w:t xml:space="preserve"> </w:t>
      </w:r>
      <w:r>
        <w:rPr>
          <w:color w:val="231F20"/>
          <w:sz w:val="14"/>
        </w:rPr>
        <w:t>to</w:t>
      </w:r>
      <w:r>
        <w:rPr>
          <w:color w:val="231F20"/>
          <w:spacing w:val="25"/>
          <w:sz w:val="14"/>
        </w:rPr>
        <w:t xml:space="preserve"> </w:t>
      </w:r>
      <w:r>
        <w:rPr>
          <w:color w:val="231F20"/>
          <w:sz w:val="14"/>
        </w:rPr>
        <w:t>engage</w:t>
      </w:r>
      <w:r>
        <w:rPr>
          <w:color w:val="231F20"/>
          <w:spacing w:val="25"/>
          <w:sz w:val="14"/>
        </w:rPr>
        <w:t xml:space="preserve"> </w:t>
      </w:r>
      <w:r>
        <w:rPr>
          <w:color w:val="231F20"/>
          <w:sz w:val="14"/>
        </w:rPr>
        <w:t>in</w:t>
      </w:r>
      <w:r>
        <w:rPr>
          <w:color w:val="231F20"/>
          <w:spacing w:val="25"/>
          <w:sz w:val="14"/>
        </w:rPr>
        <w:t xml:space="preserve"> </w:t>
      </w:r>
      <w:r>
        <w:rPr>
          <w:color w:val="231F20"/>
          <w:sz w:val="14"/>
        </w:rPr>
        <w:t>sports</w:t>
      </w:r>
      <w:r>
        <w:rPr>
          <w:color w:val="231F20"/>
          <w:spacing w:val="25"/>
          <w:sz w:val="14"/>
        </w:rPr>
        <w:t xml:space="preserve"> </w:t>
      </w:r>
      <w:r>
        <w:rPr>
          <w:color w:val="231F20"/>
          <w:sz w:val="14"/>
        </w:rPr>
        <w:t>in</w:t>
      </w:r>
      <w:r>
        <w:rPr>
          <w:color w:val="231F20"/>
          <w:spacing w:val="25"/>
          <w:sz w:val="14"/>
        </w:rPr>
        <w:t xml:space="preserve"> </w:t>
      </w:r>
      <w:r>
        <w:rPr>
          <w:color w:val="231F20"/>
          <w:sz w:val="14"/>
        </w:rPr>
        <w:t>natural</w:t>
      </w:r>
      <w:r>
        <w:rPr>
          <w:color w:val="231F20"/>
          <w:spacing w:val="25"/>
          <w:sz w:val="14"/>
        </w:rPr>
        <w:t xml:space="preserve"> </w:t>
      </w:r>
      <w:r>
        <w:rPr>
          <w:color w:val="231F20"/>
          <w:sz w:val="14"/>
        </w:rPr>
        <w:t>areas.</w:t>
      </w:r>
      <w:r>
        <w:rPr>
          <w:color w:val="231F20"/>
          <w:spacing w:val="25"/>
          <w:sz w:val="14"/>
        </w:rPr>
        <w:t xml:space="preserve"> </w:t>
      </w:r>
      <w:r>
        <w:rPr>
          <w:color w:val="231F20"/>
          <w:sz w:val="14"/>
        </w:rPr>
        <w:t>Sports</w:t>
      </w:r>
      <w:r>
        <w:rPr>
          <w:color w:val="231F20"/>
          <w:spacing w:val="25"/>
          <w:sz w:val="14"/>
        </w:rPr>
        <w:t xml:space="preserve"> </w:t>
      </w:r>
      <w:r>
        <w:rPr>
          <w:color w:val="231F20"/>
          <w:sz w:val="14"/>
        </w:rPr>
        <w:t>areas</w:t>
      </w:r>
      <w:r>
        <w:rPr>
          <w:color w:val="231F20"/>
          <w:spacing w:val="25"/>
          <w:sz w:val="14"/>
        </w:rPr>
        <w:t xml:space="preserve"> </w:t>
      </w:r>
      <w:r>
        <w:rPr>
          <w:color w:val="231F20"/>
          <w:sz w:val="14"/>
        </w:rPr>
        <w:t>are</w:t>
      </w:r>
      <w:r>
        <w:rPr>
          <w:color w:val="231F20"/>
          <w:spacing w:val="25"/>
          <w:sz w:val="14"/>
        </w:rPr>
        <w:t xml:space="preserve"> </w:t>
      </w:r>
      <w:r>
        <w:rPr>
          <w:color w:val="231F20"/>
          <w:sz w:val="14"/>
        </w:rPr>
        <w:t>located</w:t>
      </w:r>
      <w:r>
        <w:rPr>
          <w:color w:val="231F20"/>
          <w:spacing w:val="25"/>
          <w:sz w:val="14"/>
        </w:rPr>
        <w:t xml:space="preserve"> </w:t>
      </w:r>
      <w:r>
        <w:rPr>
          <w:color w:val="231F20"/>
          <w:sz w:val="14"/>
        </w:rPr>
        <w:t>in</w:t>
      </w:r>
      <w:r>
        <w:rPr>
          <w:color w:val="231F20"/>
          <w:spacing w:val="25"/>
          <w:sz w:val="14"/>
        </w:rPr>
        <w:t xml:space="preserve"> </w:t>
      </w:r>
      <w:r>
        <w:rPr>
          <w:color w:val="231F20"/>
          <w:sz w:val="14"/>
        </w:rPr>
        <w:t>peripheral areas</w:t>
      </w:r>
      <w:r>
        <w:rPr>
          <w:color w:val="231F20"/>
          <w:spacing w:val="30"/>
          <w:sz w:val="14"/>
        </w:rPr>
        <w:t xml:space="preserve"> </w:t>
      </w:r>
      <w:r>
        <w:rPr>
          <w:color w:val="231F20"/>
          <w:sz w:val="14"/>
        </w:rPr>
        <w:t>where</w:t>
      </w:r>
      <w:r>
        <w:rPr>
          <w:color w:val="231F20"/>
          <w:spacing w:val="30"/>
          <w:sz w:val="14"/>
        </w:rPr>
        <w:t xml:space="preserve"> </w:t>
      </w:r>
      <w:r>
        <w:rPr>
          <w:color w:val="231F20"/>
          <w:sz w:val="14"/>
        </w:rPr>
        <w:t>natural</w:t>
      </w:r>
      <w:r>
        <w:rPr>
          <w:color w:val="231F20"/>
          <w:spacing w:val="30"/>
          <w:sz w:val="14"/>
        </w:rPr>
        <w:t xml:space="preserve"> </w:t>
      </w:r>
      <w:r>
        <w:rPr>
          <w:color w:val="231F20"/>
          <w:sz w:val="14"/>
        </w:rPr>
        <w:t>resources</w:t>
      </w:r>
      <w:r>
        <w:rPr>
          <w:color w:val="231F20"/>
          <w:spacing w:val="30"/>
          <w:sz w:val="14"/>
        </w:rPr>
        <w:t xml:space="preserve"> </w:t>
      </w:r>
      <w:r>
        <w:rPr>
          <w:color w:val="231F20"/>
          <w:sz w:val="14"/>
        </w:rPr>
        <w:t>and</w:t>
      </w:r>
      <w:r>
        <w:rPr>
          <w:color w:val="231F20"/>
          <w:spacing w:val="30"/>
          <w:sz w:val="14"/>
        </w:rPr>
        <w:t xml:space="preserve"> </w:t>
      </w:r>
      <w:r>
        <w:rPr>
          <w:color w:val="231F20"/>
          <w:sz w:val="14"/>
        </w:rPr>
        <w:t>built</w:t>
      </w:r>
      <w:r>
        <w:rPr>
          <w:color w:val="231F20"/>
          <w:spacing w:val="30"/>
          <w:sz w:val="14"/>
        </w:rPr>
        <w:t xml:space="preserve"> </w:t>
      </w:r>
      <w:r>
        <w:rPr>
          <w:color w:val="231F20"/>
          <w:sz w:val="14"/>
        </w:rPr>
        <w:t>infrastructures</w:t>
      </w:r>
      <w:r>
        <w:rPr>
          <w:color w:val="231F20"/>
          <w:spacing w:val="30"/>
          <w:sz w:val="14"/>
        </w:rPr>
        <w:t xml:space="preserve"> </w:t>
      </w:r>
      <w:r>
        <w:rPr>
          <w:color w:val="231F20"/>
          <w:sz w:val="14"/>
        </w:rPr>
        <w:t>rather</w:t>
      </w:r>
      <w:r>
        <w:rPr>
          <w:color w:val="231F20"/>
          <w:spacing w:val="30"/>
          <w:sz w:val="14"/>
        </w:rPr>
        <w:t xml:space="preserve"> </w:t>
      </w:r>
      <w:r>
        <w:rPr>
          <w:color w:val="231F20"/>
          <w:sz w:val="14"/>
        </w:rPr>
        <w:t>than</w:t>
      </w:r>
      <w:r>
        <w:rPr>
          <w:color w:val="231F20"/>
          <w:spacing w:val="30"/>
          <w:sz w:val="14"/>
        </w:rPr>
        <w:t xml:space="preserve"> </w:t>
      </w:r>
      <w:r>
        <w:rPr>
          <w:color w:val="231F20"/>
          <w:sz w:val="14"/>
        </w:rPr>
        <w:t>centr</w:t>
      </w:r>
      <w:r>
        <w:rPr>
          <w:color w:val="231F20"/>
          <w:sz w:val="14"/>
        </w:rPr>
        <w:t>ality</w:t>
      </w:r>
      <w:r>
        <w:rPr>
          <w:color w:val="231F20"/>
          <w:spacing w:val="30"/>
          <w:sz w:val="14"/>
        </w:rPr>
        <w:t xml:space="preserve"> </w:t>
      </w:r>
      <w:r>
        <w:rPr>
          <w:color w:val="231F20"/>
          <w:sz w:val="14"/>
        </w:rPr>
        <w:t>determine site location decisions.</w:t>
      </w:r>
    </w:p>
    <w:p w14:paraId="6FF08BDB" w14:textId="7A03FFDE" w:rsidR="00AE0598" w:rsidRDefault="0069255A">
      <w:pPr>
        <w:pStyle w:val="Corpodetexto"/>
        <w:spacing w:line="20" w:lineRule="exact"/>
        <w:ind w:left="110"/>
        <w:rPr>
          <w:rFonts w:ascii="Trebuchet MS"/>
          <w:sz w:val="2"/>
        </w:rPr>
      </w:pPr>
      <w:r>
        <w:rPr>
          <w:rFonts w:ascii="Trebuchet MS"/>
          <w:noProof/>
          <w:sz w:val="2"/>
        </w:rPr>
        <mc:AlternateContent>
          <mc:Choice Requires="wpg">
            <w:drawing>
              <wp:inline distT="0" distB="0" distL="0" distR="0" wp14:anchorId="484A9784" wp14:editId="627D3FC3">
                <wp:extent cx="4104005" cy="3175"/>
                <wp:effectExtent l="12700" t="10795" r="7620" b="5080"/>
                <wp:docPr id="210" name="docshapegroup1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04005" cy="3175"/>
                          <a:chOff x="0" y="0"/>
                          <a:chExt cx="6463" cy="5"/>
                        </a:xfrm>
                      </wpg:grpSpPr>
                      <wps:wsp>
                        <wps:cNvPr id="211" name="Line 212"/>
                        <wps:cNvCnPr>
                          <a:cxnSpLocks noChangeShapeType="1"/>
                        </wps:cNvCnPr>
                        <wps:spPr bwMode="auto">
                          <a:xfrm>
                            <a:off x="0" y="2"/>
                            <a:ext cx="6463" cy="0"/>
                          </a:xfrm>
                          <a:prstGeom prst="line">
                            <a:avLst/>
                          </a:prstGeom>
                          <a:noFill/>
                          <a:ln w="3175">
                            <a:solidFill>
                              <a:srgbClr val="231F2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1A1275CF" id="docshapegroup160" o:spid="_x0000_s1026" style="width:323.15pt;height:.25pt;mso-position-horizontal-relative:char;mso-position-vertical-relative:line" coordsize="64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">
                <v:line id="Line 212" o:spid="_x0000_s1027" style="position:absolute;visibility:visible;mso-wrap-style:square" from="0,2" to="646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" strokecolor="#231f20" strokeweight=".25pt"/>
                <w10:anchorlock/>
              </v:group>
            </w:pict>
          </mc:Fallback>
        </mc:AlternateContent>
      </w:r>
    </w:p>
    <w:p w14:paraId="7A3250AF" w14:textId="0E6EC878" w:rsidR="00AE0598" w:rsidRDefault="0069255A">
      <w:pPr>
        <w:pStyle w:val="PargrafodaLista"/>
        <w:numPr>
          <w:ilvl w:val="0"/>
          <w:numId w:val="11"/>
        </w:numPr>
        <w:tabs>
          <w:tab w:val="left" w:pos="354"/>
        </w:tabs>
        <w:spacing w:before="16" w:line="235" w:lineRule="auto"/>
        <w:ind w:left="353" w:right="407" w:hanging="244"/>
        <w:rPr>
          <w:sz w:val="14"/>
        </w:rPr>
      </w:pPr>
      <w:r>
        <w:rPr>
          <w:noProof/>
        </w:rPr>
        <mc:AlternateContent>
          <mc:Choice Requires="wps">
            <w:drawing>
              <wp:anchor distT="0" distB="0" distL="0" distR="0" simplePos="0" relativeHeight="487641600" behindDoc="1" locked="0" layoutInCell="1" allowOverlap="1" wp14:anchorId="4AAC8CC8" wp14:editId="17DCD89D">
                <wp:simplePos x="0" y="0"/>
                <wp:positionH relativeFrom="page">
                  <wp:posOffset>755650</wp:posOffset>
                </wp:positionH>
                <wp:positionV relativeFrom="paragraph">
                  <wp:posOffset>231775</wp:posOffset>
                </wp:positionV>
                <wp:extent cx="4104005" cy="1270"/>
                <wp:effectExtent l="0" t="0" r="0" b="0"/>
                <wp:wrapTopAndBottom/>
                <wp:docPr id="209" name="docshape1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104005" cy="1270"/>
                        </a:xfrm>
                        <a:custGeom>
                          <a:avLst/>
                          <a:gdLst>
                            <a:gd name="T0" fmla="+- 0 1190 1190"/>
                            <a:gd name="T1" fmla="*/ T0 w 6463"/>
                            <a:gd name="T2" fmla="+- 0 7653 1190"/>
                            <a:gd name="T3" fmla="*/ T2 w 6463"/>
                          </a:gdLst>
                          <a:ahLst/>
                          <a:cxnLst>
                            <a:cxn ang="0">
                              <a:pos x="T1" y="0"/>
                            </a:cxn>
                            <a:cxn ang="0">
                              <a:pos x="T3" y="0"/>
                            </a:cxn>
                          </a:cxnLst>
                          <a:rect l="0" t="0" r="r" b="b"/>
                          <a:pathLst>
                            <a:path w="6463">
                              <a:moveTo>
                                <a:pt x="0" y="0"/>
                              </a:moveTo>
                              <a:lnTo>
                                <a:pt x="6463" y="0"/>
                              </a:lnTo>
                            </a:path>
                          </a:pathLst>
                        </a:custGeom>
                        <a:noFill/>
                        <a:ln w="3175">
                          <a:solidFill>
                            <a:srgbClr val="231F2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4CC12D" id="docshape161" o:spid="_x0000_s1026" style="position:absolute;margin-left:59.5pt;margin-top:18.25pt;width:323.15pt;height:.1pt;z-index:-156748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46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" path="m,l6463,e" filled="f" strokecolor="#231f20" strokeweight=".25pt">
                <v:path arrowok="t" o:connecttype="custom" o:connectlocs="0,0;4104005,0" o:connectangles="0,0"/>
                <w10:wrap type="topAndBottom" anchorx="page"/>
              </v:shape>
            </w:pict>
          </mc:Fallback>
        </mc:AlternateContent>
      </w:r>
      <w:r>
        <w:rPr>
          <w:color w:val="231F20"/>
          <w:sz w:val="14"/>
        </w:rPr>
        <w:t>Peripheral</w:t>
      </w:r>
      <w:r>
        <w:rPr>
          <w:color w:val="231F20"/>
          <w:spacing w:val="21"/>
          <w:sz w:val="14"/>
        </w:rPr>
        <w:t xml:space="preserve"> </w:t>
      </w:r>
      <w:r>
        <w:rPr>
          <w:color w:val="231F20"/>
          <w:sz w:val="14"/>
        </w:rPr>
        <w:t>sports</w:t>
      </w:r>
      <w:r>
        <w:rPr>
          <w:color w:val="231F20"/>
          <w:spacing w:val="21"/>
          <w:sz w:val="14"/>
        </w:rPr>
        <w:t xml:space="preserve"> </w:t>
      </w:r>
      <w:r>
        <w:rPr>
          <w:color w:val="231F20"/>
          <w:sz w:val="14"/>
        </w:rPr>
        <w:t>areas</w:t>
      </w:r>
      <w:r>
        <w:rPr>
          <w:color w:val="231F20"/>
          <w:spacing w:val="21"/>
          <w:sz w:val="14"/>
        </w:rPr>
        <w:t xml:space="preserve"> </w:t>
      </w:r>
      <w:r>
        <w:rPr>
          <w:color w:val="231F20"/>
          <w:sz w:val="14"/>
        </w:rPr>
        <w:t>are</w:t>
      </w:r>
      <w:r>
        <w:rPr>
          <w:color w:val="231F20"/>
          <w:spacing w:val="21"/>
          <w:sz w:val="14"/>
        </w:rPr>
        <w:t xml:space="preserve"> </w:t>
      </w:r>
      <w:r>
        <w:rPr>
          <w:color w:val="231F20"/>
          <w:sz w:val="14"/>
        </w:rPr>
        <w:t>reliant</w:t>
      </w:r>
      <w:r>
        <w:rPr>
          <w:color w:val="231F20"/>
          <w:spacing w:val="21"/>
          <w:sz w:val="14"/>
        </w:rPr>
        <w:t xml:space="preserve"> </w:t>
      </w:r>
      <w:r>
        <w:rPr>
          <w:color w:val="231F20"/>
          <w:sz w:val="14"/>
        </w:rPr>
        <w:t>primarily</w:t>
      </w:r>
      <w:r>
        <w:rPr>
          <w:color w:val="231F20"/>
          <w:spacing w:val="21"/>
          <w:sz w:val="14"/>
        </w:rPr>
        <w:t xml:space="preserve"> </w:t>
      </w:r>
      <w:r>
        <w:rPr>
          <w:color w:val="231F20"/>
          <w:sz w:val="14"/>
        </w:rPr>
        <w:t>on</w:t>
      </w:r>
      <w:r>
        <w:rPr>
          <w:color w:val="231F20"/>
          <w:spacing w:val="21"/>
          <w:sz w:val="14"/>
        </w:rPr>
        <w:t xml:space="preserve"> </w:t>
      </w:r>
      <w:r>
        <w:rPr>
          <w:color w:val="231F20"/>
          <w:sz w:val="14"/>
        </w:rPr>
        <w:t>active</w:t>
      </w:r>
      <w:r>
        <w:rPr>
          <w:color w:val="231F20"/>
          <w:spacing w:val="21"/>
          <w:sz w:val="14"/>
        </w:rPr>
        <w:t xml:space="preserve"> </w:t>
      </w:r>
      <w:r>
        <w:rPr>
          <w:color w:val="231F20"/>
          <w:sz w:val="14"/>
        </w:rPr>
        <w:t>sport</w:t>
      </w:r>
      <w:r>
        <w:rPr>
          <w:color w:val="231F20"/>
          <w:spacing w:val="21"/>
          <w:sz w:val="14"/>
        </w:rPr>
        <w:t xml:space="preserve"> </w:t>
      </w:r>
      <w:r>
        <w:rPr>
          <w:color w:val="231F20"/>
          <w:sz w:val="14"/>
        </w:rPr>
        <w:t>tourists</w:t>
      </w:r>
      <w:r>
        <w:rPr>
          <w:color w:val="231F20"/>
          <w:spacing w:val="21"/>
          <w:sz w:val="14"/>
        </w:rPr>
        <w:t xml:space="preserve"> </w:t>
      </w:r>
      <w:r>
        <w:rPr>
          <w:color w:val="231F20"/>
          <w:sz w:val="14"/>
        </w:rPr>
        <w:t>as</w:t>
      </w:r>
      <w:r>
        <w:rPr>
          <w:color w:val="231F20"/>
          <w:spacing w:val="21"/>
          <w:sz w:val="14"/>
        </w:rPr>
        <w:t xml:space="preserve"> </w:t>
      </w:r>
      <w:r>
        <w:rPr>
          <w:color w:val="231F20"/>
          <w:sz w:val="14"/>
        </w:rPr>
        <w:t>participants</w:t>
      </w:r>
      <w:r>
        <w:rPr>
          <w:color w:val="231F20"/>
          <w:spacing w:val="21"/>
          <w:sz w:val="14"/>
        </w:rPr>
        <w:t xml:space="preserve"> </w:t>
      </w:r>
      <w:r>
        <w:rPr>
          <w:color w:val="231F20"/>
          <w:sz w:val="14"/>
        </w:rPr>
        <w:t>rather than</w:t>
      </w:r>
      <w:r>
        <w:rPr>
          <w:color w:val="231F20"/>
          <w:spacing w:val="-7"/>
          <w:sz w:val="14"/>
        </w:rPr>
        <w:t xml:space="preserve"> </w:t>
      </w:r>
      <w:r>
        <w:rPr>
          <w:color w:val="231F20"/>
          <w:sz w:val="14"/>
        </w:rPr>
        <w:t>spectators.</w:t>
      </w:r>
    </w:p>
    <w:p w14:paraId="774E3ACA" w14:textId="77777777" w:rsidR="00AE0598" w:rsidRDefault="0069255A">
      <w:pPr>
        <w:pStyle w:val="PargrafodaLista"/>
        <w:numPr>
          <w:ilvl w:val="0"/>
          <w:numId w:val="11"/>
        </w:numPr>
        <w:tabs>
          <w:tab w:val="left" w:pos="354"/>
        </w:tabs>
        <w:spacing w:before="33" w:after="32" w:line="235" w:lineRule="auto"/>
        <w:ind w:left="353" w:right="254" w:hanging="243"/>
        <w:rPr>
          <w:sz w:val="14"/>
        </w:rPr>
      </w:pPr>
      <w:r>
        <w:rPr>
          <w:color w:val="231F20"/>
          <w:sz w:val="14"/>
        </w:rPr>
        <w:t>The</w:t>
      </w:r>
      <w:r>
        <w:rPr>
          <w:color w:val="231F20"/>
          <w:spacing w:val="25"/>
          <w:sz w:val="14"/>
        </w:rPr>
        <w:t xml:space="preserve"> </w:t>
      </w:r>
      <w:r>
        <w:rPr>
          <w:color w:val="231F20"/>
          <w:sz w:val="14"/>
        </w:rPr>
        <w:t>quality</w:t>
      </w:r>
      <w:r>
        <w:rPr>
          <w:color w:val="231F20"/>
          <w:spacing w:val="25"/>
          <w:sz w:val="14"/>
        </w:rPr>
        <w:t xml:space="preserve"> </w:t>
      </w:r>
      <w:r>
        <w:rPr>
          <w:color w:val="231F20"/>
          <w:sz w:val="14"/>
        </w:rPr>
        <w:t>of</w:t>
      </w:r>
      <w:r>
        <w:rPr>
          <w:color w:val="231F20"/>
          <w:spacing w:val="25"/>
          <w:sz w:val="14"/>
        </w:rPr>
        <w:t xml:space="preserve"> </w:t>
      </w:r>
      <w:r>
        <w:rPr>
          <w:color w:val="231F20"/>
          <w:sz w:val="14"/>
        </w:rPr>
        <w:t>the</w:t>
      </w:r>
      <w:r>
        <w:rPr>
          <w:color w:val="231F20"/>
          <w:spacing w:val="25"/>
          <w:sz w:val="14"/>
        </w:rPr>
        <w:t xml:space="preserve"> </w:t>
      </w:r>
      <w:r>
        <w:rPr>
          <w:color w:val="231F20"/>
          <w:sz w:val="14"/>
        </w:rPr>
        <w:t>sport</w:t>
      </w:r>
      <w:r>
        <w:rPr>
          <w:color w:val="231F20"/>
          <w:spacing w:val="25"/>
          <w:sz w:val="14"/>
        </w:rPr>
        <w:t xml:space="preserve"> </w:t>
      </w:r>
      <w:r>
        <w:rPr>
          <w:color w:val="231F20"/>
          <w:w w:val="101"/>
          <w:sz w:val="14"/>
        </w:rPr>
        <w:t>e</w:t>
      </w:r>
      <w:r>
        <w:rPr>
          <w:color w:val="231F20"/>
          <w:spacing w:val="-2"/>
          <w:w w:val="111"/>
          <w:sz w:val="14"/>
        </w:rPr>
        <w:t>n</w:t>
      </w:r>
      <w:r>
        <w:rPr>
          <w:color w:val="231F20"/>
          <w:w w:val="102"/>
          <w:sz w:val="14"/>
        </w:rPr>
        <w:t>v</w:t>
      </w:r>
      <w:r>
        <w:rPr>
          <w:color w:val="231F20"/>
          <w:spacing w:val="-1"/>
          <w:w w:val="97"/>
          <w:sz w:val="14"/>
        </w:rPr>
        <w:t>i</w:t>
      </w:r>
      <w:r>
        <w:rPr>
          <w:color w:val="231F20"/>
          <w:spacing w:val="-1"/>
          <w:sz w:val="14"/>
        </w:rPr>
        <w:t>r</w:t>
      </w:r>
      <w:r>
        <w:rPr>
          <w:color w:val="231F20"/>
          <w:w w:val="113"/>
          <w:sz w:val="14"/>
        </w:rPr>
        <w:t>o</w:t>
      </w:r>
      <w:r>
        <w:rPr>
          <w:color w:val="231F20"/>
          <w:w w:val="111"/>
          <w:sz w:val="14"/>
        </w:rPr>
        <w:t>n</w:t>
      </w:r>
      <w:r>
        <w:rPr>
          <w:color w:val="231F20"/>
          <w:spacing w:val="1"/>
          <w:w w:val="107"/>
          <w:sz w:val="14"/>
        </w:rPr>
        <w:t>m</w:t>
      </w:r>
      <w:r>
        <w:rPr>
          <w:color w:val="231F20"/>
          <w:w w:val="101"/>
          <w:sz w:val="14"/>
        </w:rPr>
        <w:t>e</w:t>
      </w:r>
      <w:r>
        <w:rPr>
          <w:color w:val="231F20"/>
          <w:w w:val="111"/>
          <w:sz w:val="14"/>
        </w:rPr>
        <w:t>n</w:t>
      </w:r>
      <w:r>
        <w:rPr>
          <w:color w:val="231F20"/>
          <w:spacing w:val="7"/>
          <w:w w:val="98"/>
          <w:sz w:val="14"/>
        </w:rPr>
        <w:t>t</w:t>
      </w:r>
      <w:r>
        <w:rPr>
          <w:color w:val="231F20"/>
          <w:spacing w:val="-1"/>
          <w:w w:val="53"/>
          <w:sz w:val="14"/>
        </w:rPr>
        <w:t>/</w:t>
      </w:r>
      <w:r>
        <w:rPr>
          <w:color w:val="231F20"/>
          <w:spacing w:val="-1"/>
          <w:sz w:val="14"/>
        </w:rPr>
        <w:t>r</w:t>
      </w:r>
      <w:r>
        <w:rPr>
          <w:color w:val="231F20"/>
          <w:spacing w:val="1"/>
          <w:w w:val="101"/>
          <w:sz w:val="14"/>
        </w:rPr>
        <w:t>e</w:t>
      </w:r>
      <w:r>
        <w:rPr>
          <w:color w:val="231F20"/>
          <w:spacing w:val="1"/>
          <w:w w:val="96"/>
          <w:sz w:val="14"/>
        </w:rPr>
        <w:t>s</w:t>
      </w:r>
      <w:r>
        <w:rPr>
          <w:color w:val="231F20"/>
          <w:w w:val="113"/>
          <w:sz w:val="14"/>
        </w:rPr>
        <w:t>o</w:t>
      </w:r>
      <w:r>
        <w:rPr>
          <w:color w:val="231F20"/>
          <w:w w:val="111"/>
          <w:sz w:val="14"/>
        </w:rPr>
        <w:t>u</w:t>
      </w:r>
      <w:r>
        <w:rPr>
          <w:color w:val="231F20"/>
          <w:spacing w:val="-1"/>
          <w:sz w:val="14"/>
        </w:rPr>
        <w:t>r</w:t>
      </w:r>
      <w:r>
        <w:rPr>
          <w:color w:val="231F20"/>
          <w:spacing w:val="-1"/>
          <w:w w:val="89"/>
          <w:sz w:val="14"/>
        </w:rPr>
        <w:t>c</w:t>
      </w:r>
      <w:r>
        <w:rPr>
          <w:color w:val="231F20"/>
          <w:w w:val="101"/>
          <w:sz w:val="14"/>
        </w:rPr>
        <w:t>e</w:t>
      </w:r>
      <w:r>
        <w:rPr>
          <w:color w:val="231F20"/>
          <w:spacing w:val="-2"/>
          <w:w w:val="75"/>
          <w:sz w:val="14"/>
        </w:rPr>
        <w:t>,</w:t>
      </w:r>
      <w:r>
        <w:rPr>
          <w:color w:val="231F20"/>
          <w:spacing w:val="25"/>
          <w:sz w:val="14"/>
        </w:rPr>
        <w:t xml:space="preserve"> </w:t>
      </w:r>
      <w:r>
        <w:rPr>
          <w:color w:val="231F20"/>
          <w:sz w:val="14"/>
        </w:rPr>
        <w:t>rather</w:t>
      </w:r>
      <w:r>
        <w:rPr>
          <w:color w:val="231F20"/>
          <w:spacing w:val="25"/>
          <w:sz w:val="14"/>
        </w:rPr>
        <w:t xml:space="preserve"> </w:t>
      </w:r>
      <w:r>
        <w:rPr>
          <w:color w:val="231F20"/>
          <w:sz w:val="14"/>
        </w:rPr>
        <w:t>than</w:t>
      </w:r>
      <w:r>
        <w:rPr>
          <w:color w:val="231F20"/>
          <w:spacing w:val="25"/>
          <w:sz w:val="14"/>
        </w:rPr>
        <w:t xml:space="preserve"> </w:t>
      </w:r>
      <w:r>
        <w:rPr>
          <w:color w:val="231F20"/>
          <w:sz w:val="14"/>
        </w:rPr>
        <w:t>the</w:t>
      </w:r>
      <w:r>
        <w:rPr>
          <w:color w:val="231F20"/>
          <w:spacing w:val="25"/>
          <w:sz w:val="14"/>
        </w:rPr>
        <w:t xml:space="preserve"> </w:t>
      </w:r>
      <w:r>
        <w:rPr>
          <w:color w:val="231F20"/>
          <w:sz w:val="14"/>
        </w:rPr>
        <w:t>number</w:t>
      </w:r>
      <w:r>
        <w:rPr>
          <w:color w:val="231F20"/>
          <w:spacing w:val="25"/>
          <w:sz w:val="14"/>
        </w:rPr>
        <w:t xml:space="preserve"> </w:t>
      </w:r>
      <w:r>
        <w:rPr>
          <w:color w:val="231F20"/>
          <w:sz w:val="14"/>
        </w:rPr>
        <w:t>of</w:t>
      </w:r>
      <w:r>
        <w:rPr>
          <w:color w:val="231F20"/>
          <w:spacing w:val="25"/>
          <w:sz w:val="14"/>
        </w:rPr>
        <w:t xml:space="preserve"> </w:t>
      </w:r>
      <w:r>
        <w:rPr>
          <w:color w:val="231F20"/>
          <w:sz w:val="14"/>
        </w:rPr>
        <w:t>sports</w:t>
      </w:r>
      <w:r>
        <w:rPr>
          <w:color w:val="231F20"/>
          <w:spacing w:val="25"/>
          <w:sz w:val="14"/>
        </w:rPr>
        <w:t xml:space="preserve"> </w:t>
      </w:r>
      <w:r>
        <w:rPr>
          <w:color w:val="231F20"/>
          <w:sz w:val="14"/>
        </w:rPr>
        <w:t>provided, determines</w:t>
      </w:r>
      <w:r>
        <w:rPr>
          <w:color w:val="231F20"/>
          <w:spacing w:val="23"/>
          <w:sz w:val="14"/>
        </w:rPr>
        <w:t xml:space="preserve"> </w:t>
      </w:r>
      <w:r>
        <w:rPr>
          <w:color w:val="231F20"/>
          <w:sz w:val="14"/>
        </w:rPr>
        <w:t>the</w:t>
      </w:r>
      <w:r>
        <w:rPr>
          <w:color w:val="231F20"/>
          <w:spacing w:val="23"/>
          <w:sz w:val="14"/>
        </w:rPr>
        <w:t xml:space="preserve"> </w:t>
      </w:r>
      <w:r>
        <w:rPr>
          <w:color w:val="231F20"/>
          <w:sz w:val="14"/>
        </w:rPr>
        <w:t>order</w:t>
      </w:r>
      <w:r>
        <w:rPr>
          <w:color w:val="231F20"/>
          <w:spacing w:val="23"/>
          <w:sz w:val="14"/>
        </w:rPr>
        <w:t xml:space="preserve"> </w:t>
      </w:r>
      <w:r>
        <w:rPr>
          <w:color w:val="231F20"/>
          <w:sz w:val="14"/>
        </w:rPr>
        <w:t>of</w:t>
      </w:r>
      <w:r>
        <w:rPr>
          <w:color w:val="231F20"/>
          <w:spacing w:val="23"/>
          <w:sz w:val="14"/>
        </w:rPr>
        <w:t xml:space="preserve"> </w:t>
      </w:r>
      <w:r>
        <w:rPr>
          <w:color w:val="231F20"/>
          <w:sz w:val="14"/>
        </w:rPr>
        <w:t>the</w:t>
      </w:r>
      <w:r>
        <w:rPr>
          <w:color w:val="231F20"/>
          <w:spacing w:val="23"/>
          <w:sz w:val="14"/>
        </w:rPr>
        <w:t xml:space="preserve"> </w:t>
      </w:r>
      <w:r>
        <w:rPr>
          <w:color w:val="231F20"/>
          <w:sz w:val="14"/>
        </w:rPr>
        <w:t>peripheral</w:t>
      </w:r>
      <w:r>
        <w:rPr>
          <w:color w:val="231F20"/>
          <w:spacing w:val="23"/>
          <w:sz w:val="14"/>
        </w:rPr>
        <w:t xml:space="preserve"> </w:t>
      </w:r>
      <w:r>
        <w:rPr>
          <w:color w:val="231F20"/>
          <w:sz w:val="14"/>
        </w:rPr>
        <w:t>area</w:t>
      </w:r>
      <w:r>
        <w:rPr>
          <w:color w:val="231F20"/>
          <w:spacing w:val="23"/>
          <w:sz w:val="14"/>
        </w:rPr>
        <w:t xml:space="preserve"> </w:t>
      </w:r>
      <w:r>
        <w:rPr>
          <w:color w:val="231F20"/>
          <w:sz w:val="14"/>
        </w:rPr>
        <w:t>within</w:t>
      </w:r>
      <w:r>
        <w:rPr>
          <w:color w:val="231F20"/>
          <w:spacing w:val="23"/>
          <w:sz w:val="14"/>
        </w:rPr>
        <w:t xml:space="preserve"> </w:t>
      </w:r>
      <w:r>
        <w:rPr>
          <w:color w:val="231F20"/>
          <w:sz w:val="14"/>
        </w:rPr>
        <w:t>a</w:t>
      </w:r>
      <w:r>
        <w:rPr>
          <w:color w:val="231F20"/>
          <w:spacing w:val="23"/>
          <w:sz w:val="14"/>
        </w:rPr>
        <w:t xml:space="preserve"> </w:t>
      </w:r>
      <w:r>
        <w:rPr>
          <w:color w:val="231F20"/>
          <w:sz w:val="14"/>
        </w:rPr>
        <w:t>sports</w:t>
      </w:r>
      <w:r>
        <w:rPr>
          <w:color w:val="231F20"/>
          <w:spacing w:val="23"/>
          <w:sz w:val="14"/>
        </w:rPr>
        <w:t xml:space="preserve"> </w:t>
      </w:r>
      <w:r>
        <w:rPr>
          <w:color w:val="231F20"/>
          <w:sz w:val="14"/>
        </w:rPr>
        <w:t>location</w:t>
      </w:r>
      <w:r>
        <w:rPr>
          <w:color w:val="231F20"/>
          <w:spacing w:val="23"/>
          <w:sz w:val="14"/>
        </w:rPr>
        <w:t xml:space="preserve"> </w:t>
      </w:r>
      <w:r>
        <w:rPr>
          <w:color w:val="231F20"/>
          <w:sz w:val="14"/>
        </w:rPr>
        <w:t>hierarchy.</w:t>
      </w:r>
      <w:r>
        <w:rPr>
          <w:color w:val="231F20"/>
          <w:spacing w:val="23"/>
          <w:sz w:val="14"/>
        </w:rPr>
        <w:t xml:space="preserve"> </w:t>
      </w:r>
      <w:r>
        <w:rPr>
          <w:color w:val="231F20"/>
          <w:sz w:val="14"/>
        </w:rPr>
        <w:t>Quality</w:t>
      </w:r>
      <w:r>
        <w:rPr>
          <w:color w:val="231F20"/>
          <w:spacing w:val="23"/>
          <w:sz w:val="14"/>
        </w:rPr>
        <w:t xml:space="preserve"> </w:t>
      </w:r>
      <w:r>
        <w:rPr>
          <w:color w:val="231F20"/>
          <w:sz w:val="14"/>
        </w:rPr>
        <w:t>may be</w:t>
      </w:r>
      <w:r>
        <w:rPr>
          <w:color w:val="231F20"/>
          <w:spacing w:val="30"/>
          <w:sz w:val="14"/>
        </w:rPr>
        <w:t xml:space="preserve"> </w:t>
      </w:r>
      <w:r>
        <w:rPr>
          <w:color w:val="231F20"/>
          <w:sz w:val="14"/>
        </w:rPr>
        <w:t>determined</w:t>
      </w:r>
      <w:r>
        <w:rPr>
          <w:color w:val="231F20"/>
          <w:spacing w:val="30"/>
          <w:sz w:val="14"/>
        </w:rPr>
        <w:t xml:space="preserve"> </w:t>
      </w:r>
      <w:r>
        <w:rPr>
          <w:color w:val="231F20"/>
          <w:sz w:val="14"/>
        </w:rPr>
        <w:t>by</w:t>
      </w:r>
      <w:r>
        <w:rPr>
          <w:color w:val="231F20"/>
          <w:spacing w:val="30"/>
          <w:sz w:val="14"/>
        </w:rPr>
        <w:t xml:space="preserve"> </w:t>
      </w:r>
      <w:r>
        <w:rPr>
          <w:color w:val="231F20"/>
          <w:sz w:val="14"/>
        </w:rPr>
        <w:t>uniqueness,</w:t>
      </w:r>
      <w:r>
        <w:rPr>
          <w:color w:val="231F20"/>
          <w:spacing w:val="30"/>
          <w:sz w:val="14"/>
        </w:rPr>
        <w:t xml:space="preserve"> </w:t>
      </w:r>
      <w:r>
        <w:rPr>
          <w:color w:val="231F20"/>
          <w:w w:val="111"/>
          <w:sz w:val="14"/>
        </w:rPr>
        <w:t>n</w:t>
      </w:r>
      <w:r>
        <w:rPr>
          <w:color w:val="231F20"/>
          <w:w w:val="105"/>
          <w:sz w:val="14"/>
        </w:rPr>
        <w:t>a</w:t>
      </w:r>
      <w:r>
        <w:rPr>
          <w:color w:val="231F20"/>
          <w:spacing w:val="-1"/>
          <w:w w:val="98"/>
          <w:sz w:val="14"/>
        </w:rPr>
        <w:t>t</w:t>
      </w:r>
      <w:r>
        <w:rPr>
          <w:color w:val="231F20"/>
          <w:w w:val="111"/>
          <w:sz w:val="14"/>
        </w:rPr>
        <w:t>u</w:t>
      </w:r>
      <w:r>
        <w:rPr>
          <w:color w:val="231F20"/>
          <w:spacing w:val="-2"/>
          <w:w w:val="103"/>
          <w:sz w:val="14"/>
        </w:rPr>
        <w:t>r</w:t>
      </w:r>
      <w:r>
        <w:rPr>
          <w:color w:val="231F20"/>
          <w:spacing w:val="-1"/>
          <w:w w:val="103"/>
          <w:sz w:val="14"/>
        </w:rPr>
        <w:t>a</w:t>
      </w:r>
      <w:r>
        <w:rPr>
          <w:color w:val="231F20"/>
          <w:spacing w:val="-1"/>
          <w:w w:val="94"/>
          <w:sz w:val="14"/>
        </w:rPr>
        <w:t>l</w:t>
      </w:r>
      <w:r>
        <w:rPr>
          <w:color w:val="231F20"/>
          <w:w w:val="111"/>
          <w:sz w:val="14"/>
        </w:rPr>
        <w:t>n</w:t>
      </w:r>
      <w:r>
        <w:rPr>
          <w:color w:val="231F20"/>
          <w:spacing w:val="1"/>
          <w:w w:val="101"/>
          <w:sz w:val="14"/>
        </w:rPr>
        <w:t>e</w:t>
      </w:r>
      <w:r>
        <w:rPr>
          <w:color w:val="231F20"/>
          <w:spacing w:val="1"/>
          <w:w w:val="96"/>
          <w:sz w:val="14"/>
        </w:rPr>
        <w:t>s</w:t>
      </w:r>
      <w:r>
        <w:rPr>
          <w:color w:val="231F20"/>
          <w:spacing w:val="4"/>
          <w:w w:val="96"/>
          <w:sz w:val="14"/>
        </w:rPr>
        <w:t>s</w:t>
      </w:r>
      <w:r>
        <w:rPr>
          <w:color w:val="231F20"/>
          <w:spacing w:val="-3"/>
          <w:w w:val="53"/>
          <w:sz w:val="14"/>
        </w:rPr>
        <w:t>/</w:t>
      </w:r>
      <w:r>
        <w:rPr>
          <w:color w:val="231F20"/>
          <w:w w:val="105"/>
          <w:sz w:val="14"/>
        </w:rPr>
        <w:t>a</w:t>
      </w:r>
      <w:r>
        <w:rPr>
          <w:color w:val="231F20"/>
          <w:spacing w:val="1"/>
          <w:w w:val="109"/>
          <w:sz w:val="14"/>
        </w:rPr>
        <w:t>b</w:t>
      </w:r>
      <w:r>
        <w:rPr>
          <w:color w:val="231F20"/>
          <w:spacing w:val="1"/>
          <w:w w:val="96"/>
          <w:sz w:val="14"/>
        </w:rPr>
        <w:t>s</w:t>
      </w:r>
      <w:r>
        <w:rPr>
          <w:color w:val="231F20"/>
          <w:w w:val="101"/>
          <w:sz w:val="14"/>
        </w:rPr>
        <w:t>e</w:t>
      </w:r>
      <w:r>
        <w:rPr>
          <w:color w:val="231F20"/>
          <w:spacing w:val="1"/>
          <w:w w:val="111"/>
          <w:sz w:val="14"/>
        </w:rPr>
        <w:t>n</w:t>
      </w:r>
      <w:r>
        <w:rPr>
          <w:color w:val="231F20"/>
          <w:spacing w:val="-1"/>
          <w:w w:val="89"/>
          <w:sz w:val="14"/>
        </w:rPr>
        <w:t>c</w:t>
      </w:r>
      <w:r>
        <w:rPr>
          <w:color w:val="231F20"/>
          <w:spacing w:val="-2"/>
          <w:w w:val="101"/>
          <w:sz w:val="14"/>
        </w:rPr>
        <w:t>e</w:t>
      </w:r>
      <w:r>
        <w:rPr>
          <w:color w:val="231F20"/>
          <w:spacing w:val="30"/>
          <w:sz w:val="14"/>
        </w:rPr>
        <w:t xml:space="preserve"> </w:t>
      </w:r>
      <w:r>
        <w:rPr>
          <w:color w:val="231F20"/>
          <w:sz w:val="14"/>
        </w:rPr>
        <w:t>of</w:t>
      </w:r>
      <w:r>
        <w:rPr>
          <w:color w:val="231F20"/>
          <w:spacing w:val="30"/>
          <w:sz w:val="14"/>
        </w:rPr>
        <w:t xml:space="preserve"> </w:t>
      </w:r>
      <w:r>
        <w:rPr>
          <w:color w:val="231F20"/>
          <w:sz w:val="14"/>
        </w:rPr>
        <w:t>impact,</w:t>
      </w:r>
      <w:r>
        <w:rPr>
          <w:color w:val="231F20"/>
          <w:spacing w:val="30"/>
          <w:sz w:val="14"/>
        </w:rPr>
        <w:t xml:space="preserve"> </w:t>
      </w:r>
      <w:r>
        <w:rPr>
          <w:color w:val="231F20"/>
          <w:sz w:val="14"/>
        </w:rPr>
        <w:t>remoteness</w:t>
      </w:r>
      <w:r>
        <w:rPr>
          <w:color w:val="231F20"/>
          <w:spacing w:val="30"/>
          <w:sz w:val="14"/>
        </w:rPr>
        <w:t xml:space="preserve"> </w:t>
      </w:r>
      <w:r>
        <w:rPr>
          <w:color w:val="231F20"/>
          <w:sz w:val="14"/>
        </w:rPr>
        <w:t>and</w:t>
      </w:r>
      <w:r>
        <w:rPr>
          <w:color w:val="231F20"/>
          <w:spacing w:val="30"/>
          <w:sz w:val="14"/>
        </w:rPr>
        <w:t xml:space="preserve"> </w:t>
      </w:r>
      <w:r>
        <w:rPr>
          <w:color w:val="231F20"/>
          <w:sz w:val="14"/>
        </w:rPr>
        <w:t>features</w:t>
      </w:r>
      <w:r>
        <w:rPr>
          <w:color w:val="231F20"/>
          <w:spacing w:val="30"/>
          <w:sz w:val="14"/>
        </w:rPr>
        <w:t xml:space="preserve"> </w:t>
      </w:r>
      <w:r>
        <w:rPr>
          <w:color w:val="231F20"/>
          <w:sz w:val="14"/>
        </w:rPr>
        <w:t>of the natural environment.</w:t>
      </w:r>
    </w:p>
    <w:p w14:paraId="0F3242E9" w14:textId="33723766" w:rsidR="00AE0598" w:rsidRDefault="0069255A">
      <w:pPr>
        <w:pStyle w:val="Corpodetexto"/>
        <w:spacing w:line="20" w:lineRule="exact"/>
        <w:ind w:left="110"/>
        <w:rPr>
          <w:rFonts w:ascii="Trebuchet MS"/>
          <w:sz w:val="2"/>
        </w:rPr>
      </w:pPr>
      <w:r>
        <w:rPr>
          <w:rFonts w:ascii="Trebuchet MS"/>
          <w:noProof/>
          <w:sz w:val="2"/>
        </w:rPr>
        <mc:AlternateContent>
          <mc:Choice Requires="wpg">
            <w:drawing>
              <wp:inline distT="0" distB="0" distL="0" distR="0" wp14:anchorId="58A1A61A" wp14:editId="1729A381">
                <wp:extent cx="4104005" cy="3175"/>
                <wp:effectExtent l="12700" t="6985" r="7620" b="8890"/>
                <wp:docPr id="207" name="docshapegroup1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04005" cy="3175"/>
                          <a:chOff x="0" y="0"/>
                          <a:chExt cx="6463" cy="5"/>
                        </a:xfrm>
                      </wpg:grpSpPr>
                      <wps:wsp>
                        <wps:cNvPr id="208" name="Line 209"/>
                        <wps:cNvCnPr>
                          <a:cxnSpLocks noChangeShapeType="1"/>
                        </wps:cNvCnPr>
                        <wps:spPr bwMode="auto">
                          <a:xfrm>
                            <a:off x="0" y="2"/>
                            <a:ext cx="6463" cy="0"/>
                          </a:xfrm>
                          <a:prstGeom prst="line">
                            <a:avLst/>
                          </a:prstGeom>
                          <a:noFill/>
                          <a:ln w="3175">
                            <a:solidFill>
                              <a:srgbClr val="231F2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35CB6150" id="docshapegroup162" o:spid="_x0000_s1026" style="width:323.15pt;height:.25pt;mso-position-horizontal-relative:char;mso-position-vertical-relative:line" coordsize="64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">
                <v:line id="Line 209" o:spid="_x0000_s1027" style="position:absolute;visibility:visible;mso-wrap-style:square" from="0,2" to="646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" strokecolor="#231f20" strokeweight=".25pt"/>
                <w10:anchorlock/>
              </v:group>
            </w:pict>
          </mc:Fallback>
        </mc:AlternateContent>
      </w:r>
    </w:p>
    <w:p w14:paraId="163D8AF0" w14:textId="760EA8AC" w:rsidR="00AE0598" w:rsidRDefault="0069255A">
      <w:pPr>
        <w:pStyle w:val="PargrafodaLista"/>
        <w:numPr>
          <w:ilvl w:val="0"/>
          <w:numId w:val="11"/>
        </w:numPr>
        <w:tabs>
          <w:tab w:val="left" w:pos="352"/>
        </w:tabs>
        <w:spacing w:before="16" w:line="235" w:lineRule="auto"/>
        <w:ind w:left="351" w:right="251" w:hanging="242"/>
        <w:rPr>
          <w:sz w:val="14"/>
        </w:rPr>
      </w:pPr>
      <w:r>
        <w:rPr>
          <w:noProof/>
        </w:rPr>
        <mc:AlternateContent>
          <mc:Choice Requires="wps">
            <w:drawing>
              <wp:anchor distT="0" distB="0" distL="0" distR="0" simplePos="0" relativeHeight="487642624" behindDoc="1" locked="0" layoutInCell="1" allowOverlap="1" wp14:anchorId="378CFDD6" wp14:editId="6DF5496C">
                <wp:simplePos x="0" y="0"/>
                <wp:positionH relativeFrom="page">
                  <wp:posOffset>755650</wp:posOffset>
                </wp:positionH>
                <wp:positionV relativeFrom="paragraph">
                  <wp:posOffset>333375</wp:posOffset>
                </wp:positionV>
                <wp:extent cx="4104005" cy="1270"/>
                <wp:effectExtent l="0" t="0" r="0" b="0"/>
                <wp:wrapTopAndBottom/>
                <wp:docPr id="206" name="docshape1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104005" cy="1270"/>
                        </a:xfrm>
                        <a:custGeom>
                          <a:avLst/>
                          <a:gdLst>
                            <a:gd name="T0" fmla="+- 0 1190 1190"/>
                            <a:gd name="T1" fmla="*/ T0 w 6463"/>
                            <a:gd name="T2" fmla="+- 0 7653 1190"/>
                            <a:gd name="T3" fmla="*/ T2 w 6463"/>
                          </a:gdLst>
                          <a:ahLst/>
                          <a:cxnLst>
                            <a:cxn ang="0">
                              <a:pos x="T1" y="0"/>
                            </a:cxn>
                            <a:cxn ang="0">
                              <a:pos x="T3" y="0"/>
                            </a:cxn>
                          </a:cxnLst>
                          <a:rect l="0" t="0" r="r" b="b"/>
                          <a:pathLst>
                            <a:path w="6463">
                              <a:moveTo>
                                <a:pt x="0" y="0"/>
                              </a:moveTo>
                              <a:lnTo>
                                <a:pt x="6463" y="0"/>
                              </a:lnTo>
                            </a:path>
                          </a:pathLst>
                        </a:custGeom>
                        <a:noFill/>
                        <a:ln w="3175">
                          <a:solidFill>
                            <a:srgbClr val="231F2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BD3BB0" id="docshape163" o:spid="_x0000_s1026" style="position:absolute;margin-left:59.5pt;margin-top:26.25pt;width:323.15pt;height:.1pt;z-index:-156738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46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" path="m,l6463,e" filled="f" strokecolor="#231f20" strokeweight=".25pt">
                <v:path arrowok="t" o:connecttype="custom" o:connectlocs="0,0;4104005,0" o:connectangles="0,0"/>
                <w10:wrap type="topAndBottom" anchorx="page"/>
              </v:shape>
            </w:pict>
          </mc:Fallback>
        </mc:AlternateContent>
      </w:r>
      <w:r>
        <w:rPr>
          <w:color w:val="231F20"/>
          <w:w w:val="105"/>
          <w:sz w:val="14"/>
        </w:rPr>
        <w:t>Peripheral sports locations exist in clusters of critical mass allowing the development of a high standard and range of sports facilities that enhance the standing of the destination in the sports location hierarchy.</w:t>
      </w:r>
    </w:p>
    <w:p w14:paraId="5207C5B2" w14:textId="77777777" w:rsidR="00AE0598" w:rsidRDefault="0069255A">
      <w:pPr>
        <w:pStyle w:val="PargrafodaLista"/>
        <w:numPr>
          <w:ilvl w:val="0"/>
          <w:numId w:val="11"/>
        </w:numPr>
        <w:tabs>
          <w:tab w:val="left" w:pos="355"/>
        </w:tabs>
        <w:spacing w:before="33" w:after="31" w:line="235" w:lineRule="auto"/>
        <w:ind w:left="354" w:right="314" w:hanging="245"/>
        <w:rPr>
          <w:sz w:val="14"/>
        </w:rPr>
      </w:pPr>
      <w:r>
        <w:rPr>
          <w:color w:val="231F20"/>
          <w:sz w:val="14"/>
        </w:rPr>
        <w:t>Higher-order</w:t>
      </w:r>
      <w:r>
        <w:rPr>
          <w:color w:val="231F20"/>
          <w:spacing w:val="27"/>
          <w:sz w:val="14"/>
        </w:rPr>
        <w:t xml:space="preserve"> </w:t>
      </w:r>
      <w:r>
        <w:rPr>
          <w:color w:val="231F20"/>
          <w:sz w:val="14"/>
        </w:rPr>
        <w:t>locations</w:t>
      </w:r>
      <w:r>
        <w:rPr>
          <w:color w:val="231F20"/>
          <w:spacing w:val="27"/>
          <w:sz w:val="14"/>
        </w:rPr>
        <w:t xml:space="preserve"> </w:t>
      </w:r>
      <w:r>
        <w:rPr>
          <w:color w:val="231F20"/>
          <w:sz w:val="14"/>
        </w:rPr>
        <w:t>are</w:t>
      </w:r>
      <w:r>
        <w:rPr>
          <w:color w:val="231F20"/>
          <w:spacing w:val="27"/>
          <w:sz w:val="14"/>
        </w:rPr>
        <w:t xml:space="preserve"> </w:t>
      </w:r>
      <w:r>
        <w:rPr>
          <w:color w:val="231F20"/>
          <w:sz w:val="14"/>
        </w:rPr>
        <w:t>clustered</w:t>
      </w:r>
      <w:r>
        <w:rPr>
          <w:color w:val="231F20"/>
          <w:spacing w:val="27"/>
          <w:sz w:val="14"/>
        </w:rPr>
        <w:t xml:space="preserve"> </w:t>
      </w:r>
      <w:r>
        <w:rPr>
          <w:color w:val="231F20"/>
          <w:sz w:val="14"/>
        </w:rPr>
        <w:t>in</w:t>
      </w:r>
      <w:r>
        <w:rPr>
          <w:color w:val="231F20"/>
          <w:spacing w:val="27"/>
          <w:sz w:val="14"/>
        </w:rPr>
        <w:t xml:space="preserve"> </w:t>
      </w:r>
      <w:r>
        <w:rPr>
          <w:color w:val="231F20"/>
          <w:sz w:val="14"/>
        </w:rPr>
        <w:t>peripheral</w:t>
      </w:r>
      <w:r>
        <w:rPr>
          <w:color w:val="231F20"/>
          <w:spacing w:val="27"/>
          <w:sz w:val="14"/>
        </w:rPr>
        <w:t xml:space="preserve"> </w:t>
      </w:r>
      <w:r>
        <w:rPr>
          <w:color w:val="231F20"/>
          <w:sz w:val="14"/>
        </w:rPr>
        <w:t>areas</w:t>
      </w:r>
      <w:r>
        <w:rPr>
          <w:color w:val="231F20"/>
          <w:spacing w:val="27"/>
          <w:sz w:val="14"/>
        </w:rPr>
        <w:t xml:space="preserve"> </w:t>
      </w:r>
      <w:r>
        <w:rPr>
          <w:color w:val="231F20"/>
          <w:sz w:val="14"/>
        </w:rPr>
        <w:t>where</w:t>
      </w:r>
      <w:r>
        <w:rPr>
          <w:color w:val="231F20"/>
          <w:spacing w:val="27"/>
          <w:sz w:val="14"/>
        </w:rPr>
        <w:t xml:space="preserve"> </w:t>
      </w:r>
      <w:r>
        <w:rPr>
          <w:color w:val="231F20"/>
          <w:sz w:val="14"/>
        </w:rPr>
        <w:t>natural</w:t>
      </w:r>
      <w:r>
        <w:rPr>
          <w:color w:val="231F20"/>
          <w:spacing w:val="27"/>
          <w:sz w:val="14"/>
        </w:rPr>
        <w:t xml:space="preserve"> </w:t>
      </w:r>
      <w:r>
        <w:rPr>
          <w:color w:val="231F20"/>
          <w:sz w:val="14"/>
        </w:rPr>
        <w:t>features</w:t>
      </w:r>
      <w:r>
        <w:rPr>
          <w:color w:val="231F20"/>
          <w:spacing w:val="27"/>
          <w:sz w:val="14"/>
        </w:rPr>
        <w:t xml:space="preserve"> </w:t>
      </w:r>
      <w:r>
        <w:rPr>
          <w:color w:val="231F20"/>
          <w:sz w:val="14"/>
        </w:rPr>
        <w:t>and</w:t>
      </w:r>
      <w:r>
        <w:rPr>
          <w:color w:val="231F20"/>
          <w:spacing w:val="27"/>
          <w:sz w:val="14"/>
        </w:rPr>
        <w:t xml:space="preserve"> </w:t>
      </w:r>
      <w:r>
        <w:rPr>
          <w:color w:val="231F20"/>
          <w:sz w:val="14"/>
        </w:rPr>
        <w:t>devel- oped infrastructure and services facilitate sport tourism.</w:t>
      </w:r>
    </w:p>
    <w:p w14:paraId="0F381376" w14:textId="5361060A" w:rsidR="00AE0598" w:rsidRDefault="0069255A">
      <w:pPr>
        <w:pStyle w:val="Corpodetexto"/>
        <w:spacing w:line="20" w:lineRule="exact"/>
        <w:ind w:left="110"/>
        <w:rPr>
          <w:rFonts w:ascii="Trebuchet MS"/>
          <w:sz w:val="2"/>
        </w:rPr>
      </w:pPr>
      <w:r>
        <w:rPr>
          <w:rFonts w:ascii="Trebuchet MS"/>
          <w:noProof/>
          <w:sz w:val="2"/>
        </w:rPr>
        <mc:AlternateContent>
          <mc:Choice Requires="wpg">
            <w:drawing>
              <wp:inline distT="0" distB="0" distL="0" distR="0" wp14:anchorId="36F2C55F" wp14:editId="418CD8AC">
                <wp:extent cx="4104005" cy="3175"/>
                <wp:effectExtent l="12700" t="6350" r="7620" b="9525"/>
                <wp:docPr id="204" name="docshapegroup1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04005" cy="3175"/>
                          <a:chOff x="0" y="0"/>
                          <a:chExt cx="6463" cy="5"/>
                        </a:xfrm>
                      </wpg:grpSpPr>
                      <wps:wsp>
                        <wps:cNvPr id="205" name="Line 206"/>
                        <wps:cNvCnPr>
                          <a:cxnSpLocks noChangeShapeType="1"/>
                        </wps:cNvCnPr>
                        <wps:spPr bwMode="auto">
                          <a:xfrm>
                            <a:off x="0" y="2"/>
                            <a:ext cx="6463" cy="0"/>
                          </a:xfrm>
                          <a:prstGeom prst="line">
                            <a:avLst/>
                          </a:prstGeom>
                          <a:noFill/>
                          <a:ln w="3175">
                            <a:solidFill>
                              <a:srgbClr val="231F2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20EF302B" id="docshapegroup164" o:spid="_x0000_s1026" style="width:323.15pt;height:.25pt;mso-position-horizontal-relative:char;mso-position-vertical-relative:line" coordsize="64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">
                <v:line id="Line 206" o:spid="_x0000_s1027" style="position:absolute;visibility:visible;mso-wrap-style:square" from="0,2" to="646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" strokecolor="#231f20" strokeweight=".25pt"/>
                <w10:anchorlock/>
              </v:group>
            </w:pict>
          </mc:Fallback>
        </mc:AlternateContent>
      </w:r>
    </w:p>
    <w:p w14:paraId="754F4884" w14:textId="08958913" w:rsidR="00AE0598" w:rsidRDefault="0069255A">
      <w:pPr>
        <w:pStyle w:val="PargrafodaLista"/>
        <w:numPr>
          <w:ilvl w:val="0"/>
          <w:numId w:val="11"/>
        </w:numPr>
        <w:tabs>
          <w:tab w:val="left" w:pos="354"/>
        </w:tabs>
        <w:spacing w:before="16" w:line="235" w:lineRule="auto"/>
        <w:ind w:left="353" w:right="315" w:hanging="244"/>
        <w:rPr>
          <w:sz w:val="14"/>
        </w:rPr>
      </w:pPr>
      <w:r>
        <w:rPr>
          <w:noProof/>
        </w:rPr>
        <mc:AlternateContent>
          <mc:Choice Requires="wps">
            <w:drawing>
              <wp:anchor distT="0" distB="0" distL="0" distR="0" simplePos="0" relativeHeight="487643648" behindDoc="1" locked="0" layoutInCell="1" allowOverlap="1" wp14:anchorId="53C47F0E" wp14:editId="187982A4">
                <wp:simplePos x="0" y="0"/>
                <wp:positionH relativeFrom="page">
                  <wp:posOffset>755650</wp:posOffset>
                </wp:positionH>
                <wp:positionV relativeFrom="paragraph">
                  <wp:posOffset>328930</wp:posOffset>
                </wp:positionV>
                <wp:extent cx="4104005" cy="1270"/>
                <wp:effectExtent l="0" t="0" r="0" b="0"/>
                <wp:wrapTopAndBottom/>
                <wp:docPr id="203" name="docshape1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104005" cy="1270"/>
                        </a:xfrm>
                        <a:custGeom>
                          <a:avLst/>
                          <a:gdLst>
                            <a:gd name="T0" fmla="+- 0 1190 1190"/>
                            <a:gd name="T1" fmla="*/ T0 w 6463"/>
                            <a:gd name="T2" fmla="+- 0 7653 1190"/>
                            <a:gd name="T3" fmla="*/ T2 w 6463"/>
                          </a:gdLst>
                          <a:ahLst/>
                          <a:cxnLst>
                            <a:cxn ang="0">
                              <a:pos x="T1" y="0"/>
                            </a:cxn>
                            <a:cxn ang="0">
                              <a:pos x="T3" y="0"/>
                            </a:cxn>
                          </a:cxnLst>
                          <a:rect l="0" t="0" r="r" b="b"/>
                          <a:pathLst>
                            <a:path w="6463">
                              <a:moveTo>
                                <a:pt x="0" y="0"/>
                              </a:moveTo>
                              <a:lnTo>
                                <a:pt x="6463" y="0"/>
                              </a:lnTo>
                            </a:path>
                          </a:pathLst>
                        </a:custGeom>
                        <a:noFill/>
                        <a:ln w="3175">
                          <a:solidFill>
                            <a:srgbClr val="231F2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2BAF4D" id="docshape165" o:spid="_x0000_s1026" style="position:absolute;margin-left:59.5pt;margin-top:25.9pt;width:323.15pt;height:.1pt;z-index:-156728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46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" path="m,l6463,e" filled="f" strokecolor="#231f20" strokeweight=".25pt">
                <v:path arrowok="t" o:connecttype="custom" o:connectlocs="0,0;4104005,0" o:connectangles="0,0"/>
                <w10:wrap type="topAndBottom" anchorx="page"/>
              </v:shape>
            </w:pict>
          </mc:Fallback>
        </mc:AlternateContent>
      </w:r>
      <w:r>
        <w:rPr>
          <w:color w:val="231F20"/>
          <w:w w:val="105"/>
          <w:sz w:val="14"/>
        </w:rPr>
        <w:t xml:space="preserve">Consumers of sport tourism in peripheral areas may be motivated by the desire to (a) engage intensively in their chosen sport </w:t>
      </w:r>
      <w:r>
        <w:rPr>
          <w:color w:val="231F20"/>
          <w:w w:val="111"/>
          <w:sz w:val="14"/>
        </w:rPr>
        <w:t>a</w:t>
      </w:r>
      <w:r>
        <w:rPr>
          <w:color w:val="231F20"/>
          <w:w w:val="117"/>
          <w:sz w:val="14"/>
        </w:rPr>
        <w:t>n</w:t>
      </w:r>
      <w:r>
        <w:rPr>
          <w:color w:val="231F20"/>
          <w:spacing w:val="3"/>
          <w:w w:val="115"/>
          <w:sz w:val="14"/>
        </w:rPr>
        <w:t>d</w:t>
      </w:r>
      <w:r>
        <w:rPr>
          <w:color w:val="231F20"/>
          <w:spacing w:val="-3"/>
          <w:w w:val="59"/>
          <w:sz w:val="14"/>
        </w:rPr>
        <w:t>/</w:t>
      </w:r>
      <w:r>
        <w:rPr>
          <w:color w:val="231F20"/>
          <w:w w:val="119"/>
          <w:sz w:val="14"/>
        </w:rPr>
        <w:t>o</w:t>
      </w:r>
      <w:r>
        <w:rPr>
          <w:color w:val="231F20"/>
          <w:spacing w:val="-2"/>
          <w:w w:val="106"/>
          <w:sz w:val="14"/>
        </w:rPr>
        <w:t>r</w:t>
      </w:r>
      <w:r>
        <w:rPr>
          <w:color w:val="231F20"/>
          <w:spacing w:val="-1"/>
          <w:w w:val="104"/>
          <w:sz w:val="14"/>
        </w:rPr>
        <w:t xml:space="preserve"> </w:t>
      </w:r>
      <w:r>
        <w:rPr>
          <w:color w:val="231F20"/>
          <w:w w:val="105"/>
          <w:sz w:val="14"/>
        </w:rPr>
        <w:t>(b) maximise the other tourism opportuni- ties associated with the pursuit of their ch</w:t>
      </w:r>
      <w:r>
        <w:rPr>
          <w:color w:val="231F20"/>
          <w:w w:val="105"/>
          <w:sz w:val="14"/>
        </w:rPr>
        <w:t>osen sport.</w:t>
      </w:r>
    </w:p>
    <w:p w14:paraId="7D9DE80F" w14:textId="77777777" w:rsidR="00AE0598" w:rsidRDefault="00AE0598">
      <w:pPr>
        <w:spacing w:line="235" w:lineRule="auto"/>
        <w:rPr>
          <w:sz w:val="14"/>
        </w:rPr>
        <w:sectPr w:rsidR="00AE0598">
          <w:pgSz w:w="8850" w:h="13270"/>
          <w:pgMar w:top="720" w:right="1060" w:bottom="280" w:left="1080" w:header="720" w:footer="720" w:gutter="0"/>
          <w:cols w:space="720"/>
        </w:sectPr>
      </w:pPr>
    </w:p>
    <w:p w14:paraId="2DDC8E3F" w14:textId="77777777" w:rsidR="00AE0598" w:rsidRDefault="0069255A">
      <w:pPr>
        <w:spacing w:before="87"/>
        <w:ind w:left="4070"/>
        <w:rPr>
          <w:rFonts w:ascii="Trebuchet MS"/>
          <w:sz w:val="14"/>
        </w:rPr>
      </w:pPr>
      <w:r>
        <w:rPr>
          <w:rFonts w:ascii="Trebuchet MS"/>
          <w:color w:val="231F20"/>
          <w:w w:val="105"/>
          <w:sz w:val="14"/>
        </w:rPr>
        <w:lastRenderedPageBreak/>
        <w:t>Space:</w:t>
      </w:r>
      <w:r>
        <w:rPr>
          <w:rFonts w:ascii="Trebuchet MS"/>
          <w:color w:val="231F20"/>
          <w:spacing w:val="-12"/>
          <w:w w:val="105"/>
          <w:sz w:val="14"/>
        </w:rPr>
        <w:t xml:space="preserve"> </w:t>
      </w:r>
      <w:r>
        <w:rPr>
          <w:rFonts w:ascii="Trebuchet MS"/>
          <w:color w:val="231F20"/>
          <w:w w:val="105"/>
          <w:sz w:val="14"/>
        </w:rPr>
        <w:t>Location</w:t>
      </w:r>
      <w:r>
        <w:rPr>
          <w:rFonts w:ascii="Trebuchet MS"/>
          <w:color w:val="231F20"/>
          <w:spacing w:val="-11"/>
          <w:w w:val="105"/>
          <w:sz w:val="14"/>
        </w:rPr>
        <w:t xml:space="preserve"> </w:t>
      </w:r>
      <w:r>
        <w:rPr>
          <w:rFonts w:ascii="Trebuchet MS"/>
          <w:color w:val="231F20"/>
          <w:w w:val="105"/>
          <w:sz w:val="14"/>
        </w:rPr>
        <w:t>and</w:t>
      </w:r>
      <w:r>
        <w:rPr>
          <w:rFonts w:ascii="Trebuchet MS"/>
          <w:color w:val="231F20"/>
          <w:spacing w:val="-11"/>
          <w:w w:val="105"/>
          <w:sz w:val="14"/>
        </w:rPr>
        <w:t xml:space="preserve"> </w:t>
      </w:r>
      <w:r>
        <w:rPr>
          <w:rFonts w:ascii="Trebuchet MS"/>
          <w:color w:val="231F20"/>
          <w:w w:val="105"/>
          <w:sz w:val="14"/>
        </w:rPr>
        <w:t>Travel</w:t>
      </w:r>
      <w:r>
        <w:rPr>
          <w:rFonts w:ascii="Trebuchet MS"/>
          <w:color w:val="231F20"/>
          <w:spacing w:val="-11"/>
          <w:w w:val="105"/>
          <w:sz w:val="14"/>
        </w:rPr>
        <w:t xml:space="preserve"> </w:t>
      </w:r>
      <w:r>
        <w:rPr>
          <w:rFonts w:ascii="Trebuchet MS"/>
          <w:color w:val="231F20"/>
          <w:w w:val="105"/>
          <w:sz w:val="14"/>
        </w:rPr>
        <w:t>Flows</w:t>
      </w:r>
      <w:r>
        <w:rPr>
          <w:rFonts w:ascii="Trebuchet MS"/>
          <w:color w:val="231F20"/>
          <w:spacing w:val="59"/>
          <w:w w:val="105"/>
          <w:sz w:val="14"/>
        </w:rPr>
        <w:t xml:space="preserve"> </w:t>
      </w:r>
      <w:r>
        <w:rPr>
          <w:rFonts w:ascii="Trebuchet MS"/>
          <w:color w:val="231F20"/>
          <w:spacing w:val="-5"/>
          <w:w w:val="105"/>
          <w:sz w:val="14"/>
        </w:rPr>
        <w:t>109</w:t>
      </w:r>
    </w:p>
    <w:p w14:paraId="0149D80A" w14:textId="77777777" w:rsidR="00AE0598" w:rsidRDefault="00AE0598">
      <w:pPr>
        <w:pStyle w:val="Corpodetexto"/>
        <w:rPr>
          <w:rFonts w:ascii="Trebuchet MS"/>
          <w:sz w:val="16"/>
        </w:rPr>
      </w:pPr>
    </w:p>
    <w:p w14:paraId="08F1A03F" w14:textId="77777777" w:rsidR="00AE0598" w:rsidRDefault="0069255A">
      <w:pPr>
        <w:pStyle w:val="Corpodetexto"/>
        <w:spacing w:before="118" w:line="232" w:lineRule="auto"/>
        <w:ind w:left="110" w:right="126"/>
        <w:jc w:val="both"/>
      </w:pPr>
      <w:r>
        <w:rPr>
          <w:color w:val="231F20"/>
          <w:w w:val="95"/>
        </w:rPr>
        <w:t xml:space="preserve">not readily lend themselves to the satisfaction of geographic (accessibility), </w:t>
      </w:r>
      <w:r>
        <w:rPr>
          <w:color w:val="231F20"/>
        </w:rPr>
        <w:t>demographic or economic needs’. The resource requirements of sports may</w:t>
      </w:r>
      <w:r>
        <w:rPr>
          <w:color w:val="231F20"/>
          <w:spacing w:val="-8"/>
        </w:rPr>
        <w:t xml:space="preserve"> </w:t>
      </w:r>
      <w:r>
        <w:rPr>
          <w:color w:val="231F20"/>
        </w:rPr>
        <w:t>be</w:t>
      </w:r>
      <w:r>
        <w:rPr>
          <w:color w:val="231F20"/>
          <w:spacing w:val="-8"/>
        </w:rPr>
        <w:t xml:space="preserve"> </w:t>
      </w:r>
      <w:r>
        <w:rPr>
          <w:color w:val="231F20"/>
        </w:rPr>
        <w:t>moderated</w:t>
      </w:r>
      <w:r>
        <w:rPr>
          <w:color w:val="231F20"/>
          <w:spacing w:val="-8"/>
        </w:rPr>
        <w:t xml:space="preserve"> </w:t>
      </w:r>
      <w:r>
        <w:rPr>
          <w:color w:val="231F20"/>
        </w:rPr>
        <w:t>through,</w:t>
      </w:r>
      <w:r>
        <w:rPr>
          <w:color w:val="231F20"/>
          <w:spacing w:val="-8"/>
        </w:rPr>
        <w:t xml:space="preserve"> </w:t>
      </w:r>
      <w:r>
        <w:rPr>
          <w:color w:val="231F20"/>
        </w:rPr>
        <w:t>for</w:t>
      </w:r>
      <w:r>
        <w:rPr>
          <w:color w:val="231F20"/>
          <w:spacing w:val="-8"/>
        </w:rPr>
        <w:t xml:space="preserve"> </w:t>
      </w:r>
      <w:r>
        <w:rPr>
          <w:color w:val="231F20"/>
        </w:rPr>
        <w:t>example,</w:t>
      </w:r>
      <w:r>
        <w:rPr>
          <w:color w:val="231F20"/>
          <w:spacing w:val="-8"/>
        </w:rPr>
        <w:t xml:space="preserve"> </w:t>
      </w:r>
      <w:r>
        <w:rPr>
          <w:color w:val="231F20"/>
        </w:rPr>
        <w:t>snow-making</w:t>
      </w:r>
      <w:r>
        <w:rPr>
          <w:color w:val="231F20"/>
          <w:spacing w:val="-8"/>
        </w:rPr>
        <w:t xml:space="preserve"> </w:t>
      </w:r>
      <w:r>
        <w:rPr>
          <w:color w:val="231F20"/>
        </w:rPr>
        <w:t>technology</w:t>
      </w:r>
      <w:r>
        <w:rPr>
          <w:color w:val="231F20"/>
          <w:spacing w:val="-8"/>
        </w:rPr>
        <w:t xml:space="preserve"> </w:t>
      </w:r>
      <w:r>
        <w:rPr>
          <w:color w:val="231F20"/>
        </w:rPr>
        <w:t>in</w:t>
      </w:r>
      <w:r>
        <w:rPr>
          <w:color w:val="231F20"/>
          <w:spacing w:val="-8"/>
        </w:rPr>
        <w:t xml:space="preserve"> </w:t>
      </w:r>
      <w:r>
        <w:rPr>
          <w:color w:val="231F20"/>
        </w:rPr>
        <w:t>the case</w:t>
      </w:r>
      <w:r>
        <w:rPr>
          <w:color w:val="231F20"/>
          <w:spacing w:val="-7"/>
        </w:rPr>
        <w:t xml:space="preserve"> </w:t>
      </w:r>
      <w:r>
        <w:rPr>
          <w:color w:val="231F20"/>
        </w:rPr>
        <w:t>of</w:t>
      </w:r>
      <w:r>
        <w:rPr>
          <w:color w:val="231F20"/>
          <w:spacing w:val="-7"/>
        </w:rPr>
        <w:t xml:space="preserve"> </w:t>
      </w:r>
      <w:r>
        <w:rPr>
          <w:color w:val="231F20"/>
        </w:rPr>
        <w:t>alpine</w:t>
      </w:r>
      <w:r>
        <w:rPr>
          <w:color w:val="231F20"/>
          <w:spacing w:val="-7"/>
        </w:rPr>
        <w:t xml:space="preserve"> </w:t>
      </w:r>
      <w:r>
        <w:rPr>
          <w:color w:val="231F20"/>
        </w:rPr>
        <w:t>winter</w:t>
      </w:r>
      <w:r>
        <w:rPr>
          <w:color w:val="231F20"/>
          <w:spacing w:val="-7"/>
        </w:rPr>
        <w:t xml:space="preserve"> </w:t>
      </w:r>
      <w:r>
        <w:rPr>
          <w:color w:val="231F20"/>
        </w:rPr>
        <w:t>sports.</w:t>
      </w:r>
      <w:r>
        <w:rPr>
          <w:color w:val="231F20"/>
          <w:spacing w:val="-7"/>
        </w:rPr>
        <w:t xml:space="preserve"> </w:t>
      </w:r>
      <w:r>
        <w:rPr>
          <w:color w:val="231F20"/>
        </w:rPr>
        <w:t>Resources</w:t>
      </w:r>
      <w:r>
        <w:rPr>
          <w:color w:val="231F20"/>
          <w:spacing w:val="-7"/>
        </w:rPr>
        <w:t xml:space="preserve"> </w:t>
      </w:r>
      <w:r>
        <w:rPr>
          <w:color w:val="231F20"/>
        </w:rPr>
        <w:t>such</w:t>
      </w:r>
      <w:r>
        <w:rPr>
          <w:color w:val="231F20"/>
          <w:spacing w:val="-7"/>
        </w:rPr>
        <w:t xml:space="preserve"> </w:t>
      </w:r>
      <w:r>
        <w:rPr>
          <w:color w:val="231F20"/>
        </w:rPr>
        <w:t>as</w:t>
      </w:r>
      <w:r>
        <w:rPr>
          <w:color w:val="231F20"/>
          <w:spacing w:val="-7"/>
        </w:rPr>
        <w:t xml:space="preserve"> </w:t>
      </w:r>
      <w:r>
        <w:rPr>
          <w:color w:val="231F20"/>
        </w:rPr>
        <w:t>artificial</w:t>
      </w:r>
      <w:r>
        <w:rPr>
          <w:color w:val="231F20"/>
          <w:spacing w:val="-8"/>
        </w:rPr>
        <w:t xml:space="preserve"> </w:t>
      </w:r>
      <w:r>
        <w:rPr>
          <w:color w:val="231F20"/>
        </w:rPr>
        <w:t>ski</w:t>
      </w:r>
      <w:r>
        <w:rPr>
          <w:color w:val="231F20"/>
          <w:spacing w:val="-8"/>
        </w:rPr>
        <w:t xml:space="preserve"> </w:t>
      </w:r>
      <w:r>
        <w:rPr>
          <w:color w:val="231F20"/>
        </w:rPr>
        <w:t>slopes</w:t>
      </w:r>
      <w:r>
        <w:rPr>
          <w:color w:val="231F20"/>
          <w:spacing w:val="-8"/>
        </w:rPr>
        <w:t xml:space="preserve"> </w:t>
      </w:r>
      <w:r>
        <w:rPr>
          <w:color w:val="231F20"/>
        </w:rPr>
        <w:t>can</w:t>
      </w:r>
      <w:r>
        <w:rPr>
          <w:color w:val="231F20"/>
          <w:spacing w:val="-8"/>
        </w:rPr>
        <w:t xml:space="preserve"> </w:t>
      </w:r>
      <w:r>
        <w:rPr>
          <w:color w:val="231F20"/>
        </w:rPr>
        <w:t xml:space="preserve">be </w:t>
      </w:r>
      <w:r>
        <w:rPr>
          <w:color w:val="231F20"/>
          <w:w w:val="95"/>
        </w:rPr>
        <w:t>constructed at considerable expense in cen</w:t>
      </w:r>
      <w:r>
        <w:rPr>
          <w:color w:val="231F20"/>
          <w:w w:val="95"/>
        </w:rPr>
        <w:t xml:space="preserve">tral locations, with immediate </w:t>
      </w:r>
      <w:r>
        <w:rPr>
          <w:color w:val="231F20"/>
        </w:rPr>
        <w:t>access</w:t>
      </w:r>
      <w:r>
        <w:rPr>
          <w:color w:val="231F20"/>
          <w:spacing w:val="-10"/>
        </w:rPr>
        <w:t xml:space="preserve"> </w:t>
      </w:r>
      <w:r>
        <w:rPr>
          <w:color w:val="231F20"/>
        </w:rPr>
        <w:t>provided</w:t>
      </w:r>
      <w:r>
        <w:rPr>
          <w:color w:val="231F20"/>
          <w:spacing w:val="-10"/>
        </w:rPr>
        <w:t xml:space="preserve"> </w:t>
      </w:r>
      <w:r>
        <w:rPr>
          <w:color w:val="231F20"/>
        </w:rPr>
        <w:t>for</w:t>
      </w:r>
      <w:r>
        <w:rPr>
          <w:color w:val="231F20"/>
          <w:spacing w:val="-10"/>
        </w:rPr>
        <w:t xml:space="preserve"> </w:t>
      </w:r>
      <w:r>
        <w:rPr>
          <w:color w:val="231F20"/>
        </w:rPr>
        <w:t>concentrations</w:t>
      </w:r>
      <w:r>
        <w:rPr>
          <w:color w:val="231F20"/>
          <w:spacing w:val="-10"/>
        </w:rPr>
        <w:t xml:space="preserve"> </w:t>
      </w:r>
      <w:r>
        <w:rPr>
          <w:color w:val="231F20"/>
        </w:rPr>
        <w:t>of</w:t>
      </w:r>
      <w:r>
        <w:rPr>
          <w:color w:val="231F20"/>
          <w:spacing w:val="-10"/>
        </w:rPr>
        <w:t xml:space="preserve"> </w:t>
      </w:r>
      <w:r>
        <w:rPr>
          <w:color w:val="231F20"/>
        </w:rPr>
        <w:t>population.</w:t>
      </w:r>
      <w:r>
        <w:rPr>
          <w:color w:val="231F20"/>
          <w:spacing w:val="-10"/>
        </w:rPr>
        <w:t xml:space="preserve"> </w:t>
      </w:r>
      <w:r>
        <w:rPr>
          <w:color w:val="231F20"/>
        </w:rPr>
        <w:t>Notwithstanding</w:t>
      </w:r>
      <w:r>
        <w:rPr>
          <w:color w:val="231F20"/>
          <w:spacing w:val="-10"/>
        </w:rPr>
        <w:t xml:space="preserve"> </w:t>
      </w:r>
      <w:r>
        <w:rPr>
          <w:color w:val="231F20"/>
        </w:rPr>
        <w:t xml:space="preserve">these points, the resource requirements of sport tourism in peripheral areas </w:t>
      </w:r>
      <w:r>
        <w:rPr>
          <w:color w:val="231F20"/>
          <w:w w:val="95"/>
        </w:rPr>
        <w:t xml:space="preserve">remain the fundamental characteristic of the locations in which they take </w:t>
      </w:r>
      <w:r>
        <w:rPr>
          <w:color w:val="231F20"/>
        </w:rPr>
        <w:t>place (H</w:t>
      </w:r>
      <w:r>
        <w:rPr>
          <w:color w:val="231F20"/>
        </w:rPr>
        <w:t>igham &amp; Hinch, 2009).</w:t>
      </w:r>
    </w:p>
    <w:p w14:paraId="389D5599" w14:textId="77777777" w:rsidR="00AE0598" w:rsidRDefault="0069255A">
      <w:pPr>
        <w:pStyle w:val="Corpodetexto"/>
        <w:spacing w:before="11" w:line="232" w:lineRule="auto"/>
        <w:ind w:left="110" w:right="126" w:firstLine="320"/>
        <w:jc w:val="both"/>
      </w:pPr>
      <w:r>
        <w:rPr>
          <w:color w:val="231F20"/>
        </w:rPr>
        <w:t xml:space="preserve">The inescapable circumstances of sport tourism in peripheral areas </w:t>
      </w:r>
      <w:r>
        <w:rPr>
          <w:color w:val="231F20"/>
          <w:w w:val="95"/>
        </w:rPr>
        <w:t xml:space="preserve">provide unique challenges in terms of commercial development (Bourdeau </w:t>
      </w:r>
      <w:r>
        <w:rPr>
          <w:i/>
          <w:color w:val="231F20"/>
        </w:rPr>
        <w:t>et al.</w:t>
      </w:r>
      <w:r>
        <w:rPr>
          <w:color w:val="231F20"/>
        </w:rPr>
        <w:t xml:space="preserve">, 2002). Remoteness and terrain may limit access while reliance on </w:t>
      </w:r>
      <w:r>
        <w:rPr>
          <w:color w:val="231F20"/>
          <w:w w:val="95"/>
        </w:rPr>
        <w:t xml:space="preserve">weather conditions and </w:t>
      </w:r>
      <w:r>
        <w:rPr>
          <w:color w:val="231F20"/>
          <w:w w:val="95"/>
        </w:rPr>
        <w:t>climatic uncertainty may compromise the viability of</w:t>
      </w:r>
      <w:r>
        <w:rPr>
          <w:color w:val="231F20"/>
          <w:spacing w:val="-7"/>
          <w:w w:val="95"/>
        </w:rPr>
        <w:t xml:space="preserve"> </w:t>
      </w:r>
      <w:r>
        <w:rPr>
          <w:color w:val="231F20"/>
          <w:w w:val="95"/>
        </w:rPr>
        <w:t>sports</w:t>
      </w:r>
      <w:r>
        <w:rPr>
          <w:color w:val="231F20"/>
          <w:spacing w:val="-7"/>
          <w:w w:val="95"/>
        </w:rPr>
        <w:t xml:space="preserve"> </w:t>
      </w:r>
      <w:r>
        <w:rPr>
          <w:color w:val="231F20"/>
          <w:w w:val="95"/>
        </w:rPr>
        <w:t>or</w:t>
      </w:r>
      <w:r>
        <w:rPr>
          <w:color w:val="231F20"/>
          <w:spacing w:val="-7"/>
          <w:w w:val="95"/>
        </w:rPr>
        <w:t xml:space="preserve"> </w:t>
      </w:r>
      <w:r>
        <w:rPr>
          <w:color w:val="231F20"/>
          <w:w w:val="95"/>
        </w:rPr>
        <w:t>render</w:t>
      </w:r>
      <w:r>
        <w:rPr>
          <w:color w:val="231F20"/>
          <w:spacing w:val="-7"/>
          <w:w w:val="95"/>
        </w:rPr>
        <w:t xml:space="preserve"> </w:t>
      </w:r>
      <w:r>
        <w:rPr>
          <w:color w:val="231F20"/>
          <w:w w:val="95"/>
        </w:rPr>
        <w:t>them</w:t>
      </w:r>
      <w:r>
        <w:rPr>
          <w:color w:val="231F20"/>
          <w:spacing w:val="-7"/>
          <w:w w:val="95"/>
        </w:rPr>
        <w:t xml:space="preserve"> </w:t>
      </w:r>
      <w:r>
        <w:rPr>
          <w:color w:val="231F20"/>
          <w:w w:val="95"/>
        </w:rPr>
        <w:t>impossible</w:t>
      </w:r>
      <w:r>
        <w:rPr>
          <w:color w:val="231F20"/>
          <w:spacing w:val="-7"/>
          <w:w w:val="95"/>
        </w:rPr>
        <w:t xml:space="preserve"> </w:t>
      </w:r>
      <w:r>
        <w:rPr>
          <w:color w:val="231F20"/>
          <w:w w:val="95"/>
        </w:rPr>
        <w:t>in</w:t>
      </w:r>
      <w:r>
        <w:rPr>
          <w:color w:val="231F20"/>
          <w:spacing w:val="-7"/>
          <w:w w:val="95"/>
        </w:rPr>
        <w:t xml:space="preserve"> </w:t>
      </w:r>
      <w:r>
        <w:rPr>
          <w:color w:val="231F20"/>
          <w:w w:val="95"/>
        </w:rPr>
        <w:t>certain</w:t>
      </w:r>
      <w:r>
        <w:rPr>
          <w:color w:val="231F20"/>
          <w:spacing w:val="-7"/>
          <w:w w:val="95"/>
        </w:rPr>
        <w:t xml:space="preserve"> </w:t>
      </w:r>
      <w:r>
        <w:rPr>
          <w:color w:val="231F20"/>
          <w:w w:val="95"/>
        </w:rPr>
        <w:t>conditions.</w:t>
      </w:r>
      <w:r>
        <w:rPr>
          <w:color w:val="231F20"/>
          <w:spacing w:val="-7"/>
          <w:w w:val="95"/>
        </w:rPr>
        <w:t xml:space="preserve"> </w:t>
      </w:r>
      <w:r>
        <w:rPr>
          <w:color w:val="231F20"/>
          <w:w w:val="95"/>
        </w:rPr>
        <w:t>The</w:t>
      </w:r>
      <w:r>
        <w:rPr>
          <w:color w:val="231F20"/>
          <w:spacing w:val="-7"/>
          <w:w w:val="95"/>
        </w:rPr>
        <w:t xml:space="preserve"> </w:t>
      </w:r>
      <w:r>
        <w:rPr>
          <w:color w:val="231F20"/>
          <w:w w:val="95"/>
        </w:rPr>
        <w:t xml:space="preserve">consequences </w:t>
      </w:r>
      <w:r>
        <w:rPr>
          <w:color w:val="231F20"/>
        </w:rPr>
        <w:t>include seasonal use variations, low-intensity use due to institutional factors, high mobility of visitors between sites and self-sufficiency on</w:t>
      </w:r>
      <w:r>
        <w:rPr>
          <w:color w:val="231F20"/>
          <w:spacing w:val="40"/>
        </w:rPr>
        <w:t xml:space="preserve"> </w:t>
      </w:r>
      <w:r>
        <w:rPr>
          <w:color w:val="231F20"/>
        </w:rPr>
        <w:t>the</w:t>
      </w:r>
      <w:r>
        <w:rPr>
          <w:color w:val="231F20"/>
          <w:spacing w:val="-6"/>
        </w:rPr>
        <w:t xml:space="preserve"> </w:t>
      </w:r>
      <w:r>
        <w:rPr>
          <w:color w:val="231F20"/>
        </w:rPr>
        <w:t>part</w:t>
      </w:r>
      <w:r>
        <w:rPr>
          <w:color w:val="231F20"/>
          <w:spacing w:val="-6"/>
        </w:rPr>
        <w:t xml:space="preserve"> </w:t>
      </w:r>
      <w:r>
        <w:rPr>
          <w:color w:val="231F20"/>
        </w:rPr>
        <w:t>of</w:t>
      </w:r>
      <w:r>
        <w:rPr>
          <w:color w:val="231F20"/>
          <w:spacing w:val="-6"/>
        </w:rPr>
        <w:t xml:space="preserve"> </w:t>
      </w:r>
      <w:r>
        <w:rPr>
          <w:color w:val="231F20"/>
        </w:rPr>
        <w:t>many</w:t>
      </w:r>
      <w:r>
        <w:rPr>
          <w:color w:val="231F20"/>
          <w:spacing w:val="-6"/>
        </w:rPr>
        <w:t xml:space="preserve"> </w:t>
      </w:r>
      <w:r>
        <w:rPr>
          <w:color w:val="231F20"/>
        </w:rPr>
        <w:t>users</w:t>
      </w:r>
      <w:r>
        <w:rPr>
          <w:color w:val="231F20"/>
          <w:spacing w:val="-6"/>
        </w:rPr>
        <w:t xml:space="preserve"> </w:t>
      </w:r>
      <w:r>
        <w:rPr>
          <w:color w:val="231F20"/>
        </w:rPr>
        <w:t>in</w:t>
      </w:r>
      <w:r>
        <w:rPr>
          <w:color w:val="231F20"/>
          <w:spacing w:val="-6"/>
        </w:rPr>
        <w:t xml:space="preserve"> </w:t>
      </w:r>
      <w:r>
        <w:rPr>
          <w:color w:val="231F20"/>
        </w:rPr>
        <w:t>terms</w:t>
      </w:r>
      <w:r>
        <w:rPr>
          <w:color w:val="231F20"/>
          <w:spacing w:val="-6"/>
        </w:rPr>
        <w:t xml:space="preserve"> </w:t>
      </w:r>
      <w:r>
        <w:rPr>
          <w:color w:val="231F20"/>
        </w:rPr>
        <w:t>of</w:t>
      </w:r>
      <w:r>
        <w:rPr>
          <w:color w:val="231F20"/>
          <w:spacing w:val="-6"/>
        </w:rPr>
        <w:t xml:space="preserve"> </w:t>
      </w:r>
      <w:r>
        <w:rPr>
          <w:color w:val="231F20"/>
        </w:rPr>
        <w:t>service</w:t>
      </w:r>
      <w:r>
        <w:rPr>
          <w:color w:val="231F20"/>
          <w:spacing w:val="-6"/>
        </w:rPr>
        <w:t xml:space="preserve"> </w:t>
      </w:r>
      <w:r>
        <w:rPr>
          <w:color w:val="231F20"/>
        </w:rPr>
        <w:t>requirements</w:t>
      </w:r>
      <w:r>
        <w:rPr>
          <w:color w:val="231F20"/>
          <w:spacing w:val="-6"/>
        </w:rPr>
        <w:t xml:space="preserve"> </w:t>
      </w:r>
      <w:r>
        <w:rPr>
          <w:color w:val="231F20"/>
        </w:rPr>
        <w:t>(Bourdeau</w:t>
      </w:r>
      <w:r>
        <w:rPr>
          <w:color w:val="231F20"/>
          <w:spacing w:val="-7"/>
        </w:rPr>
        <w:t xml:space="preserve"> </w:t>
      </w:r>
      <w:r>
        <w:rPr>
          <w:i/>
          <w:color w:val="231F20"/>
        </w:rPr>
        <w:t>et</w:t>
      </w:r>
      <w:r>
        <w:rPr>
          <w:i/>
          <w:color w:val="231F20"/>
          <w:spacing w:val="-6"/>
        </w:rPr>
        <w:t xml:space="preserve"> </w:t>
      </w:r>
      <w:r>
        <w:rPr>
          <w:i/>
          <w:color w:val="231F20"/>
        </w:rPr>
        <w:t>al.</w:t>
      </w:r>
      <w:r>
        <w:rPr>
          <w:color w:val="231F20"/>
        </w:rPr>
        <w:t>, 2002). Where favourable natural resou</w:t>
      </w:r>
      <w:r>
        <w:rPr>
          <w:color w:val="231F20"/>
        </w:rPr>
        <w:t xml:space="preserve">rces and market access coexist, a competitive advantage may be achieved. The development of a critical mass of sport tourism activities and facilities in peripheral areas may </w:t>
      </w:r>
      <w:r>
        <w:rPr>
          <w:color w:val="231F20"/>
          <w:w w:val="95"/>
        </w:rPr>
        <w:t xml:space="preserve">stimulate further investment in transportation and infrastructures thereby </w:t>
      </w:r>
      <w:r>
        <w:rPr>
          <w:color w:val="231F20"/>
        </w:rPr>
        <w:t>improv</w:t>
      </w:r>
      <w:r>
        <w:rPr>
          <w:color w:val="231F20"/>
        </w:rPr>
        <w:t>ing access.</w:t>
      </w:r>
    </w:p>
    <w:p w14:paraId="06E9A338" w14:textId="77777777" w:rsidR="00AE0598" w:rsidRDefault="0069255A">
      <w:pPr>
        <w:pStyle w:val="Corpodetexto"/>
        <w:spacing w:before="15" w:line="232" w:lineRule="auto"/>
        <w:ind w:left="110" w:right="124" w:firstLine="320"/>
        <w:jc w:val="both"/>
      </w:pPr>
      <w:r>
        <w:rPr>
          <w:color w:val="231F20"/>
        </w:rPr>
        <w:t>This discussion suggests that, like central locations, a hierarchy of peripheral sport tourism destinations exists (Table 5.2). Higher-order destinations are generally located in peripheral areas where natural features and developed infrastruct</w:t>
      </w:r>
      <w:r>
        <w:rPr>
          <w:color w:val="231F20"/>
        </w:rPr>
        <w:t xml:space="preserve">ure and services are present. Higher- order places may cement this desirable status by fostering and building </w:t>
      </w:r>
      <w:r>
        <w:rPr>
          <w:color w:val="231F20"/>
          <w:w w:val="95"/>
        </w:rPr>
        <w:t xml:space="preserve">unique cultures (and subcultural values) associated with specific sports. </w:t>
      </w:r>
      <w:r>
        <w:rPr>
          <w:color w:val="231F20"/>
        </w:rPr>
        <w:t>‘Depending on the resources that they offer, and their reputation and us</w:t>
      </w:r>
      <w:r>
        <w:rPr>
          <w:color w:val="231F20"/>
        </w:rPr>
        <w:t xml:space="preserve">e characteristics, sites generally become established in a very clear hierarchy, in which they are identified as being of local, regional or national interest’ (Bourdeau </w:t>
      </w:r>
      <w:r>
        <w:rPr>
          <w:i/>
          <w:color w:val="231F20"/>
        </w:rPr>
        <w:t>et al.</w:t>
      </w:r>
      <w:r>
        <w:rPr>
          <w:color w:val="231F20"/>
        </w:rPr>
        <w:t xml:space="preserve">, 2002: 24). In their study of 2000 climbing sites in France, Bourdeau </w:t>
      </w:r>
      <w:r>
        <w:rPr>
          <w:i/>
          <w:color w:val="231F20"/>
        </w:rPr>
        <w:t>et al</w:t>
      </w:r>
      <w:r>
        <w:rPr>
          <w:color w:val="231F20"/>
        </w:rPr>
        <w:t>. (2</w:t>
      </w:r>
      <w:r>
        <w:rPr>
          <w:color w:val="231F20"/>
        </w:rPr>
        <w:t xml:space="preserve">002) identified a hierarchy in which 85% were considered to be of local, 13% of regional and 2% of national significance. However, the existence, and the functioning of a peripheral sport tourism destination, is also determined by the level of </w:t>
      </w:r>
      <w:r>
        <w:rPr>
          <w:color w:val="231F20"/>
          <w:w w:val="95"/>
        </w:rPr>
        <w:t>tourism infr</w:t>
      </w:r>
      <w:r>
        <w:rPr>
          <w:color w:val="231F20"/>
          <w:w w:val="95"/>
        </w:rPr>
        <w:t xml:space="preserve">astructure and services. In reference to the 1994 Lillehammer </w:t>
      </w:r>
      <w:r>
        <w:rPr>
          <w:color w:val="231F20"/>
        </w:rPr>
        <w:t>Winter Olympics, Teigland (1999: 308) states that ‘the influence zone of a particular Olympic Games will vary depending on the distribution of venues in different types of satellite areas… (and)</w:t>
      </w:r>
      <w:r>
        <w:rPr>
          <w:color w:val="231F20"/>
        </w:rPr>
        <w:t xml:space="preserve"> entry and departure points to the host country or region, especially areas close to airports receiving international visitors’. These principles of sport space assist </w:t>
      </w:r>
      <w:r>
        <w:rPr>
          <w:color w:val="231F20"/>
          <w:w w:val="95"/>
        </w:rPr>
        <w:t>sport</w:t>
      </w:r>
      <w:r>
        <w:rPr>
          <w:color w:val="231F20"/>
          <w:spacing w:val="38"/>
        </w:rPr>
        <w:t xml:space="preserve"> </w:t>
      </w:r>
      <w:r>
        <w:rPr>
          <w:color w:val="231F20"/>
          <w:w w:val="95"/>
        </w:rPr>
        <w:t>tourism</w:t>
      </w:r>
      <w:r>
        <w:rPr>
          <w:color w:val="231F20"/>
          <w:spacing w:val="39"/>
        </w:rPr>
        <w:t xml:space="preserve"> </w:t>
      </w:r>
      <w:r>
        <w:rPr>
          <w:color w:val="231F20"/>
          <w:w w:val="95"/>
        </w:rPr>
        <w:t>managers</w:t>
      </w:r>
      <w:r>
        <w:rPr>
          <w:color w:val="231F20"/>
          <w:spacing w:val="39"/>
        </w:rPr>
        <w:t xml:space="preserve"> </w:t>
      </w:r>
      <w:r>
        <w:rPr>
          <w:color w:val="231F20"/>
          <w:w w:val="95"/>
        </w:rPr>
        <w:t>to</w:t>
      </w:r>
      <w:r>
        <w:rPr>
          <w:color w:val="231F20"/>
          <w:spacing w:val="38"/>
        </w:rPr>
        <w:t xml:space="preserve"> </w:t>
      </w:r>
      <w:r>
        <w:rPr>
          <w:color w:val="231F20"/>
          <w:w w:val="95"/>
        </w:rPr>
        <w:t>understand</w:t>
      </w:r>
      <w:r>
        <w:rPr>
          <w:color w:val="231F20"/>
          <w:spacing w:val="39"/>
        </w:rPr>
        <w:t xml:space="preserve"> </w:t>
      </w:r>
      <w:r>
        <w:rPr>
          <w:color w:val="231F20"/>
          <w:w w:val="95"/>
        </w:rPr>
        <w:t>the</w:t>
      </w:r>
      <w:r>
        <w:rPr>
          <w:color w:val="231F20"/>
          <w:spacing w:val="39"/>
        </w:rPr>
        <w:t xml:space="preserve"> </w:t>
      </w:r>
      <w:r>
        <w:rPr>
          <w:color w:val="231F20"/>
          <w:w w:val="95"/>
        </w:rPr>
        <w:t>opportunities</w:t>
      </w:r>
      <w:r>
        <w:rPr>
          <w:color w:val="231F20"/>
          <w:spacing w:val="38"/>
        </w:rPr>
        <w:t xml:space="preserve"> </w:t>
      </w:r>
      <w:r>
        <w:rPr>
          <w:color w:val="231F20"/>
          <w:w w:val="95"/>
        </w:rPr>
        <w:t>and</w:t>
      </w:r>
      <w:r>
        <w:rPr>
          <w:color w:val="231F20"/>
          <w:spacing w:val="39"/>
        </w:rPr>
        <w:t xml:space="preserve"> </w:t>
      </w:r>
      <w:r>
        <w:rPr>
          <w:color w:val="231F20"/>
          <w:spacing w:val="-2"/>
          <w:w w:val="95"/>
        </w:rPr>
        <w:t>potential,</w:t>
      </w:r>
    </w:p>
    <w:p w14:paraId="4C2741DB" w14:textId="77777777" w:rsidR="00AE0598" w:rsidRDefault="00AE0598">
      <w:pPr>
        <w:spacing w:line="232" w:lineRule="auto"/>
        <w:jc w:val="both"/>
        <w:sectPr w:rsidR="00AE0598">
          <w:pgSz w:w="8850" w:h="13270"/>
          <w:pgMar w:top="720" w:right="1060" w:bottom="280" w:left="1080" w:header="720" w:footer="720" w:gutter="0"/>
          <w:cols w:space="720"/>
        </w:sectPr>
      </w:pPr>
    </w:p>
    <w:p w14:paraId="19165656" w14:textId="77777777" w:rsidR="00AE0598" w:rsidRDefault="0069255A">
      <w:pPr>
        <w:spacing w:before="87"/>
        <w:ind w:left="108"/>
        <w:rPr>
          <w:rFonts w:ascii="Trebuchet MS"/>
          <w:sz w:val="14"/>
        </w:rPr>
      </w:pPr>
      <w:r>
        <w:rPr>
          <w:rFonts w:ascii="Trebuchet MS"/>
          <w:color w:val="231F20"/>
          <w:w w:val="105"/>
          <w:sz w:val="14"/>
        </w:rPr>
        <w:lastRenderedPageBreak/>
        <w:t>110</w:t>
      </w:r>
      <w:r>
        <w:rPr>
          <w:rFonts w:ascii="Trebuchet MS"/>
          <w:color w:val="231F20"/>
          <w:spacing w:val="66"/>
          <w:w w:val="150"/>
          <w:sz w:val="14"/>
        </w:rPr>
        <w:t xml:space="preserve"> </w:t>
      </w:r>
      <w:r>
        <w:rPr>
          <w:rFonts w:ascii="Trebuchet MS"/>
          <w:color w:val="231F20"/>
          <w:w w:val="105"/>
          <w:sz w:val="14"/>
        </w:rPr>
        <w:t>Part</w:t>
      </w:r>
      <w:r>
        <w:rPr>
          <w:rFonts w:ascii="Trebuchet MS"/>
          <w:color w:val="231F20"/>
          <w:spacing w:val="-9"/>
          <w:w w:val="105"/>
          <w:sz w:val="14"/>
        </w:rPr>
        <w:t xml:space="preserve"> </w:t>
      </w:r>
      <w:r>
        <w:rPr>
          <w:rFonts w:ascii="Trebuchet MS"/>
          <w:color w:val="231F20"/>
          <w:w w:val="105"/>
          <w:sz w:val="14"/>
        </w:rPr>
        <w:t>3:</w:t>
      </w:r>
      <w:r>
        <w:rPr>
          <w:rFonts w:ascii="Trebuchet MS"/>
          <w:color w:val="231F20"/>
          <w:spacing w:val="-8"/>
          <w:w w:val="105"/>
          <w:sz w:val="14"/>
        </w:rPr>
        <w:t xml:space="preserve"> </w:t>
      </w:r>
      <w:r>
        <w:rPr>
          <w:rFonts w:ascii="Trebuchet MS"/>
          <w:color w:val="231F20"/>
          <w:w w:val="105"/>
          <w:sz w:val="14"/>
        </w:rPr>
        <w:t>Sport</w:t>
      </w:r>
      <w:r>
        <w:rPr>
          <w:rFonts w:ascii="Trebuchet MS"/>
          <w:color w:val="231F20"/>
          <w:spacing w:val="-9"/>
          <w:w w:val="105"/>
          <w:sz w:val="14"/>
        </w:rPr>
        <w:t xml:space="preserve"> </w:t>
      </w:r>
      <w:r>
        <w:rPr>
          <w:rFonts w:ascii="Trebuchet MS"/>
          <w:color w:val="231F20"/>
          <w:w w:val="105"/>
          <w:sz w:val="14"/>
        </w:rPr>
        <w:t>Tourism</w:t>
      </w:r>
      <w:r>
        <w:rPr>
          <w:rFonts w:ascii="Trebuchet MS"/>
          <w:color w:val="231F20"/>
          <w:spacing w:val="-9"/>
          <w:w w:val="105"/>
          <w:sz w:val="14"/>
        </w:rPr>
        <w:t xml:space="preserve"> </w:t>
      </w:r>
      <w:r>
        <w:rPr>
          <w:rFonts w:ascii="Trebuchet MS"/>
          <w:color w:val="231F20"/>
          <w:w w:val="105"/>
          <w:sz w:val="14"/>
        </w:rPr>
        <w:t>Development</w:t>
      </w:r>
      <w:r>
        <w:rPr>
          <w:rFonts w:ascii="Trebuchet MS"/>
          <w:color w:val="231F20"/>
          <w:spacing w:val="-9"/>
          <w:w w:val="105"/>
          <w:sz w:val="14"/>
        </w:rPr>
        <w:t xml:space="preserve"> </w:t>
      </w:r>
      <w:r>
        <w:rPr>
          <w:rFonts w:ascii="Trebuchet MS"/>
          <w:color w:val="231F20"/>
          <w:w w:val="105"/>
          <w:sz w:val="14"/>
        </w:rPr>
        <w:t>and</w:t>
      </w:r>
      <w:r>
        <w:rPr>
          <w:rFonts w:ascii="Trebuchet MS"/>
          <w:color w:val="231F20"/>
          <w:spacing w:val="-8"/>
          <w:w w:val="105"/>
          <w:sz w:val="14"/>
        </w:rPr>
        <w:t xml:space="preserve"> </w:t>
      </w:r>
      <w:r>
        <w:rPr>
          <w:rFonts w:ascii="Trebuchet MS"/>
          <w:color w:val="231F20"/>
          <w:spacing w:val="-2"/>
          <w:w w:val="105"/>
          <w:sz w:val="14"/>
        </w:rPr>
        <w:t>Space</w:t>
      </w:r>
    </w:p>
    <w:p w14:paraId="08FAEAAD" w14:textId="77777777" w:rsidR="00AE0598" w:rsidRDefault="00AE0598">
      <w:pPr>
        <w:pStyle w:val="Corpodetexto"/>
        <w:rPr>
          <w:rFonts w:ascii="Trebuchet MS"/>
          <w:sz w:val="16"/>
        </w:rPr>
      </w:pPr>
    </w:p>
    <w:p w14:paraId="1D09A2A0" w14:textId="77777777" w:rsidR="00AE0598" w:rsidRDefault="0069255A">
      <w:pPr>
        <w:pStyle w:val="Corpodetexto"/>
        <w:spacing w:before="118" w:line="232" w:lineRule="auto"/>
        <w:ind w:left="110" w:right="124"/>
        <w:jc w:val="both"/>
      </w:pPr>
      <w:r>
        <w:rPr>
          <w:color w:val="231F20"/>
        </w:rPr>
        <w:t>as well as the limitations that apply to active and event sport tourism development in peripheral areas.</w:t>
      </w:r>
    </w:p>
    <w:p w14:paraId="15B09B4F" w14:textId="77777777" w:rsidR="00AE0598" w:rsidRDefault="0069255A">
      <w:pPr>
        <w:pStyle w:val="Corpodetexto"/>
        <w:spacing w:before="2" w:line="232" w:lineRule="auto"/>
        <w:ind w:left="110" w:right="126" w:firstLine="320"/>
        <w:jc w:val="both"/>
      </w:pPr>
      <w:r>
        <w:rPr>
          <w:color w:val="231F20"/>
        </w:rPr>
        <w:t>The hierarchy of peripheral sport tourism locations is fascinating to contemplate given the critical i</w:t>
      </w:r>
      <w:r>
        <w:rPr>
          <w:color w:val="231F20"/>
        </w:rPr>
        <w:t xml:space="preserve">mportance of natural resources, and the </w:t>
      </w:r>
      <w:r>
        <w:rPr>
          <w:color w:val="231F20"/>
          <w:w w:val="95"/>
        </w:rPr>
        <w:t xml:space="preserve">changing distribution of natural resources under climate change scenarios </w:t>
      </w:r>
      <w:r>
        <w:rPr>
          <w:color w:val="231F20"/>
        </w:rPr>
        <w:t xml:space="preserve">(Higham &amp; Hinch, 2009). Hopkins </w:t>
      </w:r>
      <w:r>
        <w:rPr>
          <w:i/>
          <w:color w:val="231F20"/>
        </w:rPr>
        <w:t>et al</w:t>
      </w:r>
      <w:r>
        <w:rPr>
          <w:color w:val="231F20"/>
        </w:rPr>
        <w:t>. (2013) adopt the concept of relative</w:t>
      </w:r>
      <w:r>
        <w:rPr>
          <w:color w:val="231F20"/>
          <w:spacing w:val="-6"/>
        </w:rPr>
        <w:t xml:space="preserve"> </w:t>
      </w:r>
      <w:r>
        <w:rPr>
          <w:color w:val="231F20"/>
        </w:rPr>
        <w:t>vulnerability</w:t>
      </w:r>
      <w:r>
        <w:rPr>
          <w:color w:val="231F20"/>
          <w:spacing w:val="-6"/>
        </w:rPr>
        <w:t xml:space="preserve"> </w:t>
      </w:r>
      <w:r>
        <w:rPr>
          <w:color w:val="231F20"/>
        </w:rPr>
        <w:t>to</w:t>
      </w:r>
      <w:r>
        <w:rPr>
          <w:color w:val="231F20"/>
          <w:spacing w:val="-6"/>
        </w:rPr>
        <w:t xml:space="preserve"> </w:t>
      </w:r>
      <w:r>
        <w:rPr>
          <w:color w:val="231F20"/>
        </w:rPr>
        <w:t>frame</w:t>
      </w:r>
      <w:r>
        <w:rPr>
          <w:color w:val="231F20"/>
          <w:spacing w:val="-6"/>
        </w:rPr>
        <w:t xml:space="preserve"> </w:t>
      </w:r>
      <w:r>
        <w:rPr>
          <w:color w:val="231F20"/>
        </w:rPr>
        <w:t>their</w:t>
      </w:r>
      <w:r>
        <w:rPr>
          <w:color w:val="231F20"/>
          <w:spacing w:val="-6"/>
        </w:rPr>
        <w:t xml:space="preserve"> </w:t>
      </w:r>
      <w:r>
        <w:rPr>
          <w:color w:val="231F20"/>
        </w:rPr>
        <w:t>study</w:t>
      </w:r>
      <w:r>
        <w:rPr>
          <w:color w:val="231F20"/>
          <w:spacing w:val="-6"/>
        </w:rPr>
        <w:t xml:space="preserve"> </w:t>
      </w:r>
      <w:r>
        <w:rPr>
          <w:color w:val="231F20"/>
        </w:rPr>
        <w:t>of</w:t>
      </w:r>
      <w:r>
        <w:rPr>
          <w:color w:val="231F20"/>
          <w:spacing w:val="-6"/>
        </w:rPr>
        <w:t xml:space="preserve"> </w:t>
      </w:r>
      <w:r>
        <w:rPr>
          <w:color w:val="231F20"/>
        </w:rPr>
        <w:t>how</w:t>
      </w:r>
      <w:r>
        <w:rPr>
          <w:color w:val="231F20"/>
          <w:spacing w:val="-6"/>
        </w:rPr>
        <w:t xml:space="preserve"> </w:t>
      </w:r>
      <w:r>
        <w:rPr>
          <w:color w:val="231F20"/>
        </w:rPr>
        <w:t>climate</w:t>
      </w:r>
      <w:r>
        <w:rPr>
          <w:color w:val="231F20"/>
          <w:spacing w:val="-6"/>
        </w:rPr>
        <w:t xml:space="preserve"> </w:t>
      </w:r>
      <w:r>
        <w:rPr>
          <w:color w:val="231F20"/>
        </w:rPr>
        <w:t>change</w:t>
      </w:r>
      <w:r>
        <w:rPr>
          <w:color w:val="231F20"/>
          <w:spacing w:val="-6"/>
        </w:rPr>
        <w:t xml:space="preserve"> </w:t>
      </w:r>
      <w:r>
        <w:rPr>
          <w:color w:val="231F20"/>
        </w:rPr>
        <w:t>is</w:t>
      </w:r>
      <w:r>
        <w:rPr>
          <w:color w:val="231F20"/>
          <w:spacing w:val="-6"/>
        </w:rPr>
        <w:t xml:space="preserve"> </w:t>
      </w:r>
      <w:r>
        <w:rPr>
          <w:color w:val="231F20"/>
        </w:rPr>
        <w:t xml:space="preserve">likely to affect the perceived attractiveness of regional ski resorts in southern </w:t>
      </w:r>
      <w:r>
        <w:rPr>
          <w:color w:val="231F20"/>
          <w:w w:val="95"/>
        </w:rPr>
        <w:t>New Zealand, relative to their competitors elsewhere in New Zealand and</w:t>
      </w:r>
      <w:r>
        <w:rPr>
          <w:color w:val="231F20"/>
          <w:spacing w:val="80"/>
        </w:rPr>
        <w:t xml:space="preserve"> </w:t>
      </w:r>
      <w:r>
        <w:rPr>
          <w:color w:val="231F20"/>
        </w:rPr>
        <w:t>in Australia. They find that although southern New Zealand ski resorts face the threat of a warming cl</w:t>
      </w:r>
      <w:r>
        <w:rPr>
          <w:color w:val="231F20"/>
        </w:rPr>
        <w:t>imate, with relatively favourable natural and artificial (snow-making) conditions, they are less vulnerable than North Island (New Zealand) and Australian ski areas. Their research highlights</w:t>
      </w:r>
      <w:r>
        <w:rPr>
          <w:color w:val="231F20"/>
          <w:spacing w:val="-10"/>
        </w:rPr>
        <w:t xml:space="preserve"> </w:t>
      </w:r>
      <w:r>
        <w:rPr>
          <w:color w:val="231F20"/>
        </w:rPr>
        <w:t>the</w:t>
      </w:r>
      <w:r>
        <w:rPr>
          <w:color w:val="231F20"/>
          <w:spacing w:val="-10"/>
        </w:rPr>
        <w:t xml:space="preserve"> </w:t>
      </w:r>
      <w:r>
        <w:rPr>
          <w:color w:val="231F20"/>
        </w:rPr>
        <w:t>‘…</w:t>
      </w:r>
      <w:r>
        <w:rPr>
          <w:color w:val="231F20"/>
          <w:spacing w:val="-10"/>
        </w:rPr>
        <w:t xml:space="preserve"> </w:t>
      </w:r>
      <w:r>
        <w:rPr>
          <w:color w:val="231F20"/>
        </w:rPr>
        <w:t>clear</w:t>
      </w:r>
      <w:r>
        <w:rPr>
          <w:color w:val="231F20"/>
          <w:spacing w:val="-10"/>
        </w:rPr>
        <w:t xml:space="preserve"> </w:t>
      </w:r>
      <w:r>
        <w:rPr>
          <w:color w:val="231F20"/>
        </w:rPr>
        <w:t>need</w:t>
      </w:r>
      <w:r>
        <w:rPr>
          <w:color w:val="231F20"/>
          <w:spacing w:val="-10"/>
        </w:rPr>
        <w:t xml:space="preserve"> </w:t>
      </w:r>
      <w:r>
        <w:rPr>
          <w:color w:val="231F20"/>
        </w:rPr>
        <w:t>to</w:t>
      </w:r>
      <w:r>
        <w:rPr>
          <w:color w:val="231F20"/>
          <w:spacing w:val="-10"/>
        </w:rPr>
        <w:t xml:space="preserve"> </w:t>
      </w:r>
      <w:r>
        <w:rPr>
          <w:color w:val="231F20"/>
        </w:rPr>
        <w:t>move</w:t>
      </w:r>
      <w:r>
        <w:rPr>
          <w:color w:val="231F20"/>
          <w:spacing w:val="-10"/>
        </w:rPr>
        <w:t xml:space="preserve"> </w:t>
      </w:r>
      <w:r>
        <w:rPr>
          <w:color w:val="231F20"/>
        </w:rPr>
        <w:t>beyond</w:t>
      </w:r>
      <w:r>
        <w:rPr>
          <w:color w:val="231F20"/>
          <w:spacing w:val="-10"/>
        </w:rPr>
        <w:t xml:space="preserve"> </w:t>
      </w:r>
      <w:r>
        <w:rPr>
          <w:color w:val="231F20"/>
        </w:rPr>
        <w:t>a</w:t>
      </w:r>
      <w:r>
        <w:rPr>
          <w:color w:val="231F20"/>
          <w:spacing w:val="-10"/>
        </w:rPr>
        <w:t xml:space="preserve"> </w:t>
      </w:r>
      <w:r>
        <w:rPr>
          <w:color w:val="231F20"/>
        </w:rPr>
        <w:t>focus</w:t>
      </w:r>
      <w:r>
        <w:rPr>
          <w:color w:val="231F20"/>
          <w:spacing w:val="-10"/>
        </w:rPr>
        <w:t xml:space="preserve"> </w:t>
      </w:r>
      <w:r>
        <w:rPr>
          <w:color w:val="231F20"/>
        </w:rPr>
        <w:t>on</w:t>
      </w:r>
      <w:r>
        <w:rPr>
          <w:color w:val="231F20"/>
          <w:spacing w:val="-10"/>
        </w:rPr>
        <w:t xml:space="preserve"> </w:t>
      </w:r>
      <w:r>
        <w:rPr>
          <w:color w:val="231F20"/>
        </w:rPr>
        <w:t>snow</w:t>
      </w:r>
      <w:r>
        <w:rPr>
          <w:color w:val="231F20"/>
          <w:spacing w:val="-10"/>
        </w:rPr>
        <w:t xml:space="preserve"> </w:t>
      </w:r>
      <w:r>
        <w:rPr>
          <w:color w:val="231F20"/>
        </w:rPr>
        <w:t>reliability</w:t>
      </w:r>
      <w:r>
        <w:rPr>
          <w:color w:val="231F20"/>
          <w:spacing w:val="-10"/>
        </w:rPr>
        <w:t xml:space="preserve"> </w:t>
      </w:r>
      <w:r>
        <w:rPr>
          <w:color w:val="231F20"/>
        </w:rPr>
        <w:t xml:space="preserve">to </w:t>
      </w:r>
      <w:r>
        <w:rPr>
          <w:color w:val="231F20"/>
          <w:w w:val="95"/>
        </w:rPr>
        <w:t xml:space="preserve">consider the broad range of factors that contribute to regional variations in vulnerability (and) the critical importance of situating relative vulnerability </w:t>
      </w:r>
      <w:r>
        <w:rPr>
          <w:color w:val="231F20"/>
        </w:rPr>
        <w:t xml:space="preserve">within a social context’ (Hopkins </w:t>
      </w:r>
      <w:r>
        <w:rPr>
          <w:i/>
          <w:color w:val="231F20"/>
        </w:rPr>
        <w:t>et al</w:t>
      </w:r>
      <w:r>
        <w:rPr>
          <w:color w:val="231F20"/>
        </w:rPr>
        <w:t xml:space="preserve">., 2013: 449). There is no question that climate will have </w:t>
      </w:r>
      <w:r>
        <w:rPr>
          <w:color w:val="231F20"/>
        </w:rPr>
        <w:t xml:space="preserve">an increasingly heavy influence over not only the </w:t>
      </w:r>
      <w:r>
        <w:rPr>
          <w:color w:val="231F20"/>
          <w:w w:val="95"/>
        </w:rPr>
        <w:t xml:space="preserve">standing of destinations in the sports location hierarchy, but also the very </w:t>
      </w:r>
      <w:r>
        <w:rPr>
          <w:color w:val="231F20"/>
        </w:rPr>
        <w:t>survival of ski resorts (Hopkins, 2014; Scott &amp; McBoyle, 2007; see also Chapters 7 and 9).</w:t>
      </w:r>
    </w:p>
    <w:p w14:paraId="3342EE9B" w14:textId="77777777" w:rsidR="00AE0598" w:rsidRDefault="00AE0598">
      <w:pPr>
        <w:pStyle w:val="Corpodetexto"/>
        <w:spacing w:before="11"/>
        <w:rPr>
          <w:sz w:val="22"/>
        </w:rPr>
      </w:pPr>
    </w:p>
    <w:p w14:paraId="29C88009" w14:textId="77777777" w:rsidR="00AE0598" w:rsidRDefault="0069255A">
      <w:pPr>
        <w:ind w:left="110"/>
        <w:rPr>
          <w:rFonts w:ascii="Trebuchet MS"/>
          <w:b/>
          <w:sz w:val="20"/>
        </w:rPr>
      </w:pPr>
      <w:r>
        <w:rPr>
          <w:rFonts w:ascii="Trebuchet MS"/>
          <w:b/>
          <w:color w:val="231F20"/>
          <w:spacing w:val="-2"/>
          <w:sz w:val="20"/>
        </w:rPr>
        <w:t>Conclusion</w:t>
      </w:r>
    </w:p>
    <w:p w14:paraId="0BE496F0" w14:textId="77777777" w:rsidR="00AE0598" w:rsidRDefault="0069255A">
      <w:pPr>
        <w:pStyle w:val="Corpodetexto"/>
        <w:spacing w:before="122" w:line="232" w:lineRule="auto"/>
        <w:ind w:left="110" w:right="127" w:firstLine="320"/>
        <w:jc w:val="both"/>
      </w:pPr>
      <w:r>
        <w:rPr>
          <w:color w:val="231F20"/>
        </w:rPr>
        <w:t>This chapter highlights th</w:t>
      </w:r>
      <w:r>
        <w:rPr>
          <w:color w:val="231F20"/>
        </w:rPr>
        <w:t>e factors that shape and influence sports locations</w:t>
      </w:r>
      <w:r>
        <w:rPr>
          <w:color w:val="231F20"/>
          <w:spacing w:val="40"/>
        </w:rPr>
        <w:t xml:space="preserve"> </w:t>
      </w:r>
      <w:r>
        <w:rPr>
          <w:color w:val="231F20"/>
        </w:rPr>
        <w:t>and</w:t>
      </w:r>
      <w:r>
        <w:rPr>
          <w:color w:val="231F20"/>
          <w:spacing w:val="40"/>
        </w:rPr>
        <w:t xml:space="preserve"> </w:t>
      </w:r>
      <w:r>
        <w:rPr>
          <w:color w:val="231F20"/>
        </w:rPr>
        <w:t>the</w:t>
      </w:r>
      <w:r>
        <w:rPr>
          <w:color w:val="231F20"/>
          <w:spacing w:val="40"/>
        </w:rPr>
        <w:t xml:space="preserve"> </w:t>
      </w:r>
      <w:r>
        <w:rPr>
          <w:color w:val="231F20"/>
        </w:rPr>
        <w:t>spatial</w:t>
      </w:r>
      <w:r>
        <w:rPr>
          <w:color w:val="231F20"/>
          <w:spacing w:val="40"/>
        </w:rPr>
        <w:t xml:space="preserve"> </w:t>
      </w:r>
      <w:r>
        <w:rPr>
          <w:color w:val="231F20"/>
        </w:rPr>
        <w:t>dimensions</w:t>
      </w:r>
      <w:r>
        <w:rPr>
          <w:color w:val="231F20"/>
          <w:spacing w:val="40"/>
        </w:rPr>
        <w:t xml:space="preserve"> </w:t>
      </w:r>
      <w:r>
        <w:rPr>
          <w:color w:val="231F20"/>
        </w:rPr>
        <w:t>of</w:t>
      </w:r>
      <w:r>
        <w:rPr>
          <w:color w:val="231F20"/>
          <w:spacing w:val="40"/>
        </w:rPr>
        <w:t xml:space="preserve"> </w:t>
      </w:r>
      <w:r>
        <w:rPr>
          <w:color w:val="231F20"/>
        </w:rPr>
        <w:t>sport</w:t>
      </w:r>
      <w:r>
        <w:rPr>
          <w:color w:val="231F20"/>
          <w:spacing w:val="40"/>
        </w:rPr>
        <w:t xml:space="preserve"> </w:t>
      </w:r>
      <w:r>
        <w:rPr>
          <w:color w:val="231F20"/>
        </w:rPr>
        <w:t>tourism</w:t>
      </w:r>
      <w:r>
        <w:rPr>
          <w:color w:val="231F20"/>
          <w:spacing w:val="40"/>
        </w:rPr>
        <w:t xml:space="preserve"> </w:t>
      </w:r>
      <w:r>
        <w:rPr>
          <w:color w:val="231F20"/>
        </w:rPr>
        <w:t>travel</w:t>
      </w:r>
      <w:r>
        <w:rPr>
          <w:color w:val="231F20"/>
          <w:spacing w:val="40"/>
        </w:rPr>
        <w:t xml:space="preserve"> </w:t>
      </w:r>
      <w:r>
        <w:rPr>
          <w:color w:val="231F20"/>
        </w:rPr>
        <w:t>flows.</w:t>
      </w:r>
      <w:r>
        <w:rPr>
          <w:color w:val="231F20"/>
          <w:spacing w:val="80"/>
        </w:rPr>
        <w:t xml:space="preserve"> </w:t>
      </w:r>
      <w:r>
        <w:rPr>
          <w:color w:val="231F20"/>
        </w:rPr>
        <w:t xml:space="preserve">It extends the concepts of the sport centre and the hierarchy of sport locations (Bale, 1993) within the context of sport tourism. The prominence </w:t>
      </w:r>
      <w:r>
        <w:rPr>
          <w:color w:val="231F20"/>
        </w:rPr>
        <w:t>and status of sport tourism centres are determined by the range and quality of available sports experiences, in combination with levels of service development and unique sport facilities and resources. Sports event experiences can be usefully considered at</w:t>
      </w:r>
      <w:r>
        <w:rPr>
          <w:color w:val="231F20"/>
        </w:rPr>
        <w:t xml:space="preserve"> various spatial scales from the global to the local (Pettersson &amp; Getz, 2009).</w:t>
      </w:r>
    </w:p>
    <w:p w14:paraId="5B7F3B78" w14:textId="77777777" w:rsidR="00AE0598" w:rsidRDefault="0069255A">
      <w:pPr>
        <w:pStyle w:val="Corpodetexto"/>
        <w:spacing w:before="11" w:line="232" w:lineRule="auto"/>
        <w:ind w:left="110" w:right="126" w:firstLine="320"/>
        <w:jc w:val="both"/>
      </w:pPr>
      <w:r>
        <w:rPr>
          <w:color w:val="231F20"/>
        </w:rPr>
        <w:t xml:space="preserve">Sports locations may command regional, national or international travel flows that can be actively influenced by sport and tourism organisations. The location of sport tourism </w:t>
      </w:r>
      <w:r>
        <w:rPr>
          <w:color w:val="231F20"/>
        </w:rPr>
        <w:t xml:space="preserve">activities in central or peripheral areas exerts a major influence on the market range, spatial travel flows and visitor patterns. An appreciation of travel flows that exist within the spatial dimension of sport tourism is fundamental to </w:t>
      </w:r>
      <w:r>
        <w:rPr>
          <w:color w:val="231F20"/>
          <w:w w:val="95"/>
        </w:rPr>
        <w:t>sport tourism deve</w:t>
      </w:r>
      <w:r>
        <w:rPr>
          <w:color w:val="231F20"/>
          <w:w w:val="95"/>
        </w:rPr>
        <w:t xml:space="preserve">lopment. The status of sports locations can be actively </w:t>
      </w:r>
      <w:r>
        <w:rPr>
          <w:color w:val="231F20"/>
        </w:rPr>
        <w:t>fostered in an attempt to develop new markets and extend market</w:t>
      </w:r>
      <w:r>
        <w:rPr>
          <w:color w:val="231F20"/>
          <w:spacing w:val="40"/>
        </w:rPr>
        <w:t xml:space="preserve"> </w:t>
      </w:r>
      <w:r>
        <w:rPr>
          <w:color w:val="231F20"/>
        </w:rPr>
        <w:t>range</w:t>
      </w:r>
      <w:r>
        <w:rPr>
          <w:color w:val="231F20"/>
          <w:spacing w:val="40"/>
        </w:rPr>
        <w:t xml:space="preserve"> </w:t>
      </w:r>
      <w:r>
        <w:rPr>
          <w:color w:val="231F20"/>
        </w:rPr>
        <w:t>(Higham</w:t>
      </w:r>
      <w:r>
        <w:rPr>
          <w:color w:val="231F20"/>
          <w:spacing w:val="40"/>
        </w:rPr>
        <w:t xml:space="preserve"> </w:t>
      </w:r>
      <w:r>
        <w:rPr>
          <w:color w:val="231F20"/>
        </w:rPr>
        <w:t>&amp;</w:t>
      </w:r>
      <w:r>
        <w:rPr>
          <w:color w:val="231F20"/>
          <w:spacing w:val="40"/>
        </w:rPr>
        <w:t xml:space="preserve"> </w:t>
      </w:r>
      <w:r>
        <w:rPr>
          <w:color w:val="231F20"/>
        </w:rPr>
        <w:t>Hinch,</w:t>
      </w:r>
      <w:r>
        <w:rPr>
          <w:color w:val="231F20"/>
          <w:spacing w:val="40"/>
        </w:rPr>
        <w:t xml:space="preserve"> </w:t>
      </w:r>
      <w:r>
        <w:rPr>
          <w:color w:val="231F20"/>
        </w:rPr>
        <w:t>2002a,</w:t>
      </w:r>
      <w:r>
        <w:rPr>
          <w:color w:val="231F20"/>
          <w:spacing w:val="40"/>
        </w:rPr>
        <w:t xml:space="preserve"> </w:t>
      </w:r>
      <w:r>
        <w:rPr>
          <w:color w:val="231F20"/>
        </w:rPr>
        <w:t>2002b)</w:t>
      </w:r>
      <w:r>
        <w:rPr>
          <w:color w:val="231F20"/>
          <w:spacing w:val="40"/>
        </w:rPr>
        <w:t xml:space="preserve"> </w:t>
      </w:r>
      <w:r>
        <w:rPr>
          <w:color w:val="231F20"/>
        </w:rPr>
        <w:t>through</w:t>
      </w:r>
      <w:r>
        <w:rPr>
          <w:color w:val="231F20"/>
          <w:spacing w:val="40"/>
        </w:rPr>
        <w:t xml:space="preserve"> </w:t>
      </w:r>
      <w:r>
        <w:rPr>
          <w:color w:val="231F20"/>
        </w:rPr>
        <w:t>the</w:t>
      </w:r>
      <w:r>
        <w:rPr>
          <w:color w:val="231F20"/>
          <w:spacing w:val="40"/>
        </w:rPr>
        <w:t xml:space="preserve"> </w:t>
      </w:r>
      <w:r>
        <w:rPr>
          <w:color w:val="231F20"/>
        </w:rPr>
        <w:t>implementation of</w:t>
      </w:r>
      <w:r>
        <w:rPr>
          <w:color w:val="231F20"/>
          <w:spacing w:val="-1"/>
        </w:rPr>
        <w:t xml:space="preserve"> </w:t>
      </w:r>
      <w:r>
        <w:rPr>
          <w:color w:val="231F20"/>
        </w:rPr>
        <w:t>development</w:t>
      </w:r>
      <w:r>
        <w:rPr>
          <w:color w:val="231F20"/>
          <w:spacing w:val="-1"/>
        </w:rPr>
        <w:t xml:space="preserve"> </w:t>
      </w:r>
      <w:r>
        <w:rPr>
          <w:color w:val="231F20"/>
        </w:rPr>
        <w:t>strategies.</w:t>
      </w:r>
      <w:r>
        <w:rPr>
          <w:color w:val="231F20"/>
          <w:spacing w:val="-1"/>
        </w:rPr>
        <w:t xml:space="preserve"> </w:t>
      </w:r>
      <w:r>
        <w:rPr>
          <w:color w:val="231F20"/>
        </w:rPr>
        <w:t>The</w:t>
      </w:r>
      <w:r>
        <w:rPr>
          <w:color w:val="231F20"/>
          <w:spacing w:val="-1"/>
        </w:rPr>
        <w:t xml:space="preserve"> </w:t>
      </w:r>
      <w:r>
        <w:rPr>
          <w:color w:val="231F20"/>
        </w:rPr>
        <w:t>redevelopment</w:t>
      </w:r>
      <w:r>
        <w:rPr>
          <w:color w:val="231F20"/>
          <w:spacing w:val="-1"/>
        </w:rPr>
        <w:t xml:space="preserve"> </w:t>
      </w:r>
      <w:r>
        <w:rPr>
          <w:color w:val="231F20"/>
        </w:rPr>
        <w:t>of</w:t>
      </w:r>
      <w:r>
        <w:rPr>
          <w:color w:val="231F20"/>
          <w:spacing w:val="-1"/>
        </w:rPr>
        <w:t xml:space="preserve"> </w:t>
      </w:r>
      <w:r>
        <w:rPr>
          <w:color w:val="231F20"/>
        </w:rPr>
        <w:t>Melbourne</w:t>
      </w:r>
      <w:r>
        <w:rPr>
          <w:color w:val="231F20"/>
          <w:spacing w:val="-1"/>
        </w:rPr>
        <w:t xml:space="preserve"> </w:t>
      </w:r>
      <w:r>
        <w:rPr>
          <w:color w:val="231F20"/>
        </w:rPr>
        <w:t>Park</w:t>
      </w:r>
      <w:r>
        <w:rPr>
          <w:color w:val="231F20"/>
          <w:spacing w:val="-1"/>
        </w:rPr>
        <w:t xml:space="preserve"> </w:t>
      </w:r>
      <w:r>
        <w:rPr>
          <w:color w:val="231F20"/>
        </w:rPr>
        <w:t>at</w:t>
      </w:r>
      <w:r>
        <w:rPr>
          <w:color w:val="231F20"/>
          <w:spacing w:val="-1"/>
        </w:rPr>
        <w:t xml:space="preserve"> </w:t>
      </w:r>
      <w:r>
        <w:rPr>
          <w:color w:val="231F20"/>
        </w:rPr>
        <w:t>the cost</w:t>
      </w:r>
      <w:r>
        <w:rPr>
          <w:color w:val="231F20"/>
          <w:spacing w:val="23"/>
        </w:rPr>
        <w:t xml:space="preserve"> </w:t>
      </w:r>
      <w:r>
        <w:rPr>
          <w:color w:val="231F20"/>
        </w:rPr>
        <w:t>of</w:t>
      </w:r>
      <w:r>
        <w:rPr>
          <w:color w:val="231F20"/>
          <w:spacing w:val="23"/>
        </w:rPr>
        <w:t xml:space="preserve"> </w:t>
      </w:r>
      <w:r>
        <w:rPr>
          <w:color w:val="231F20"/>
        </w:rPr>
        <w:t>$A383</w:t>
      </w:r>
      <w:r>
        <w:rPr>
          <w:color w:val="231F20"/>
          <w:spacing w:val="23"/>
        </w:rPr>
        <w:t xml:space="preserve"> </w:t>
      </w:r>
      <w:r>
        <w:rPr>
          <w:color w:val="231F20"/>
        </w:rPr>
        <w:t>million</w:t>
      </w:r>
      <w:r>
        <w:rPr>
          <w:color w:val="231F20"/>
          <w:spacing w:val="23"/>
        </w:rPr>
        <w:t xml:space="preserve"> </w:t>
      </w:r>
      <w:r>
        <w:rPr>
          <w:color w:val="231F20"/>
        </w:rPr>
        <w:t>is</w:t>
      </w:r>
      <w:r>
        <w:rPr>
          <w:color w:val="231F20"/>
          <w:spacing w:val="23"/>
        </w:rPr>
        <w:t xml:space="preserve"> </w:t>
      </w:r>
      <w:r>
        <w:rPr>
          <w:color w:val="231F20"/>
        </w:rPr>
        <w:t>a</w:t>
      </w:r>
      <w:r>
        <w:rPr>
          <w:color w:val="231F20"/>
          <w:spacing w:val="23"/>
        </w:rPr>
        <w:t xml:space="preserve"> </w:t>
      </w:r>
      <w:r>
        <w:rPr>
          <w:color w:val="231F20"/>
        </w:rPr>
        <w:t>clear</w:t>
      </w:r>
      <w:r>
        <w:rPr>
          <w:color w:val="231F20"/>
          <w:spacing w:val="23"/>
        </w:rPr>
        <w:t xml:space="preserve"> </w:t>
      </w:r>
      <w:r>
        <w:rPr>
          <w:color w:val="231F20"/>
        </w:rPr>
        <w:t>strategy</w:t>
      </w:r>
      <w:r>
        <w:rPr>
          <w:color w:val="231F20"/>
          <w:spacing w:val="23"/>
        </w:rPr>
        <w:t xml:space="preserve"> </w:t>
      </w:r>
      <w:r>
        <w:rPr>
          <w:color w:val="231F20"/>
        </w:rPr>
        <w:t>to</w:t>
      </w:r>
      <w:r>
        <w:rPr>
          <w:color w:val="231F20"/>
          <w:spacing w:val="23"/>
        </w:rPr>
        <w:t xml:space="preserve"> </w:t>
      </w:r>
      <w:r>
        <w:rPr>
          <w:color w:val="231F20"/>
        </w:rPr>
        <w:t>further</w:t>
      </w:r>
      <w:r>
        <w:rPr>
          <w:color w:val="231F20"/>
          <w:spacing w:val="23"/>
        </w:rPr>
        <w:t xml:space="preserve"> </w:t>
      </w:r>
      <w:r>
        <w:rPr>
          <w:color w:val="231F20"/>
        </w:rPr>
        <w:t>enhance</w:t>
      </w:r>
      <w:r>
        <w:rPr>
          <w:color w:val="231F20"/>
          <w:spacing w:val="23"/>
        </w:rPr>
        <w:t xml:space="preserve"> </w:t>
      </w:r>
      <w:r>
        <w:rPr>
          <w:color w:val="231F20"/>
        </w:rPr>
        <w:t>the</w:t>
      </w:r>
      <w:r>
        <w:rPr>
          <w:color w:val="231F20"/>
          <w:spacing w:val="23"/>
        </w:rPr>
        <w:t xml:space="preserve"> </w:t>
      </w:r>
      <w:r>
        <w:rPr>
          <w:color w:val="231F20"/>
        </w:rPr>
        <w:t>global</w:t>
      </w:r>
    </w:p>
    <w:p w14:paraId="3B1952F8" w14:textId="77777777" w:rsidR="00AE0598" w:rsidRDefault="00AE0598">
      <w:pPr>
        <w:spacing w:line="232" w:lineRule="auto"/>
        <w:jc w:val="both"/>
        <w:sectPr w:rsidR="00AE0598">
          <w:pgSz w:w="8850" w:h="13270"/>
          <w:pgMar w:top="720" w:right="1060" w:bottom="280" w:left="1080" w:header="720" w:footer="720" w:gutter="0"/>
          <w:cols w:space="720"/>
        </w:sectPr>
      </w:pPr>
    </w:p>
    <w:p w14:paraId="5590CEE8" w14:textId="77777777" w:rsidR="00AE0598" w:rsidRDefault="0069255A">
      <w:pPr>
        <w:spacing w:before="87"/>
        <w:ind w:left="4070"/>
        <w:rPr>
          <w:rFonts w:ascii="Trebuchet MS"/>
          <w:sz w:val="14"/>
        </w:rPr>
      </w:pPr>
      <w:r>
        <w:rPr>
          <w:rFonts w:ascii="Trebuchet MS"/>
          <w:color w:val="231F20"/>
          <w:w w:val="105"/>
          <w:sz w:val="14"/>
        </w:rPr>
        <w:lastRenderedPageBreak/>
        <w:t>Space:</w:t>
      </w:r>
      <w:r>
        <w:rPr>
          <w:rFonts w:ascii="Trebuchet MS"/>
          <w:color w:val="231F20"/>
          <w:spacing w:val="-12"/>
          <w:w w:val="105"/>
          <w:sz w:val="14"/>
        </w:rPr>
        <w:t xml:space="preserve"> </w:t>
      </w:r>
      <w:r>
        <w:rPr>
          <w:rFonts w:ascii="Trebuchet MS"/>
          <w:color w:val="231F20"/>
          <w:w w:val="105"/>
          <w:sz w:val="14"/>
        </w:rPr>
        <w:t>Location</w:t>
      </w:r>
      <w:r>
        <w:rPr>
          <w:rFonts w:ascii="Trebuchet MS"/>
          <w:color w:val="231F20"/>
          <w:spacing w:val="-11"/>
          <w:w w:val="105"/>
          <w:sz w:val="14"/>
        </w:rPr>
        <w:t xml:space="preserve"> </w:t>
      </w:r>
      <w:r>
        <w:rPr>
          <w:rFonts w:ascii="Trebuchet MS"/>
          <w:color w:val="231F20"/>
          <w:w w:val="105"/>
          <w:sz w:val="14"/>
        </w:rPr>
        <w:t>and</w:t>
      </w:r>
      <w:r>
        <w:rPr>
          <w:rFonts w:ascii="Trebuchet MS"/>
          <w:color w:val="231F20"/>
          <w:spacing w:val="-11"/>
          <w:w w:val="105"/>
          <w:sz w:val="14"/>
        </w:rPr>
        <w:t xml:space="preserve"> </w:t>
      </w:r>
      <w:r>
        <w:rPr>
          <w:rFonts w:ascii="Trebuchet MS"/>
          <w:color w:val="231F20"/>
          <w:w w:val="105"/>
          <w:sz w:val="14"/>
        </w:rPr>
        <w:t>Travel</w:t>
      </w:r>
      <w:r>
        <w:rPr>
          <w:rFonts w:ascii="Trebuchet MS"/>
          <w:color w:val="231F20"/>
          <w:spacing w:val="-11"/>
          <w:w w:val="105"/>
          <w:sz w:val="14"/>
        </w:rPr>
        <w:t xml:space="preserve"> </w:t>
      </w:r>
      <w:r>
        <w:rPr>
          <w:rFonts w:ascii="Trebuchet MS"/>
          <w:color w:val="231F20"/>
          <w:w w:val="105"/>
          <w:sz w:val="14"/>
        </w:rPr>
        <w:t>Flows</w:t>
      </w:r>
      <w:r>
        <w:rPr>
          <w:rFonts w:ascii="Trebuchet MS"/>
          <w:color w:val="231F20"/>
          <w:spacing w:val="59"/>
          <w:w w:val="105"/>
          <w:sz w:val="14"/>
        </w:rPr>
        <w:t xml:space="preserve"> </w:t>
      </w:r>
      <w:r>
        <w:rPr>
          <w:rFonts w:ascii="Trebuchet MS"/>
          <w:color w:val="231F20"/>
          <w:spacing w:val="-5"/>
          <w:w w:val="105"/>
          <w:sz w:val="14"/>
        </w:rPr>
        <w:t>111</w:t>
      </w:r>
    </w:p>
    <w:p w14:paraId="2F5E79D1" w14:textId="77777777" w:rsidR="00AE0598" w:rsidRDefault="00AE0598">
      <w:pPr>
        <w:pStyle w:val="Corpodetexto"/>
        <w:rPr>
          <w:rFonts w:ascii="Trebuchet MS"/>
          <w:sz w:val="16"/>
        </w:rPr>
      </w:pPr>
    </w:p>
    <w:p w14:paraId="5674111B" w14:textId="77777777" w:rsidR="00AE0598" w:rsidRDefault="0069255A">
      <w:pPr>
        <w:pStyle w:val="Corpodetexto"/>
        <w:spacing w:before="118" w:line="232" w:lineRule="auto"/>
        <w:ind w:left="110" w:right="127"/>
        <w:jc w:val="both"/>
      </w:pPr>
      <w:r>
        <w:rPr>
          <w:color w:val="231F20"/>
        </w:rPr>
        <w:t>status</w:t>
      </w:r>
      <w:r>
        <w:rPr>
          <w:color w:val="231F20"/>
          <w:spacing w:val="34"/>
        </w:rPr>
        <w:t xml:space="preserve"> </w:t>
      </w:r>
      <w:r>
        <w:rPr>
          <w:color w:val="231F20"/>
        </w:rPr>
        <w:t>of</w:t>
      </w:r>
      <w:r>
        <w:rPr>
          <w:color w:val="231F20"/>
          <w:spacing w:val="34"/>
        </w:rPr>
        <w:t xml:space="preserve"> </w:t>
      </w:r>
      <w:r>
        <w:rPr>
          <w:color w:val="231F20"/>
        </w:rPr>
        <w:t>Melbourne</w:t>
      </w:r>
      <w:r>
        <w:rPr>
          <w:color w:val="231F20"/>
          <w:spacing w:val="34"/>
        </w:rPr>
        <w:t xml:space="preserve"> </w:t>
      </w:r>
      <w:r>
        <w:rPr>
          <w:color w:val="231F20"/>
        </w:rPr>
        <w:t>as</w:t>
      </w:r>
      <w:r>
        <w:rPr>
          <w:color w:val="231F20"/>
          <w:spacing w:val="34"/>
        </w:rPr>
        <w:t xml:space="preserve"> </w:t>
      </w:r>
      <w:r>
        <w:rPr>
          <w:color w:val="231F20"/>
        </w:rPr>
        <w:t>an</w:t>
      </w:r>
      <w:r>
        <w:rPr>
          <w:color w:val="231F20"/>
          <w:spacing w:val="34"/>
        </w:rPr>
        <w:t xml:space="preserve"> </w:t>
      </w:r>
      <w:r>
        <w:rPr>
          <w:color w:val="231F20"/>
        </w:rPr>
        <w:t>urban</w:t>
      </w:r>
      <w:r>
        <w:rPr>
          <w:color w:val="231F20"/>
          <w:spacing w:val="34"/>
        </w:rPr>
        <w:t xml:space="preserve"> </w:t>
      </w:r>
      <w:r>
        <w:rPr>
          <w:color w:val="231F20"/>
        </w:rPr>
        <w:t>sports</w:t>
      </w:r>
      <w:r>
        <w:rPr>
          <w:color w:val="231F20"/>
          <w:spacing w:val="34"/>
        </w:rPr>
        <w:t xml:space="preserve"> </w:t>
      </w:r>
      <w:r>
        <w:rPr>
          <w:color w:val="231F20"/>
        </w:rPr>
        <w:t>location,</w:t>
      </w:r>
      <w:r>
        <w:rPr>
          <w:color w:val="231F20"/>
          <w:spacing w:val="34"/>
        </w:rPr>
        <w:t xml:space="preserve"> </w:t>
      </w:r>
      <w:r>
        <w:rPr>
          <w:color w:val="231F20"/>
        </w:rPr>
        <w:t>as</w:t>
      </w:r>
      <w:r>
        <w:rPr>
          <w:color w:val="231F20"/>
          <w:spacing w:val="34"/>
        </w:rPr>
        <w:t xml:space="preserve"> </w:t>
      </w:r>
      <w:r>
        <w:rPr>
          <w:color w:val="231F20"/>
        </w:rPr>
        <w:t>well</w:t>
      </w:r>
      <w:r>
        <w:rPr>
          <w:color w:val="231F20"/>
          <w:spacing w:val="34"/>
        </w:rPr>
        <w:t xml:space="preserve"> </w:t>
      </w:r>
      <w:r>
        <w:rPr>
          <w:color w:val="231F20"/>
        </w:rPr>
        <w:t>as</w:t>
      </w:r>
      <w:r>
        <w:rPr>
          <w:color w:val="231F20"/>
          <w:spacing w:val="34"/>
        </w:rPr>
        <w:t xml:space="preserve"> </w:t>
      </w:r>
      <w:r>
        <w:rPr>
          <w:color w:val="231F20"/>
        </w:rPr>
        <w:t>to</w:t>
      </w:r>
      <w:r>
        <w:rPr>
          <w:color w:val="231F20"/>
          <w:spacing w:val="34"/>
        </w:rPr>
        <w:t xml:space="preserve"> </w:t>
      </w:r>
      <w:r>
        <w:rPr>
          <w:color w:val="231F20"/>
        </w:rPr>
        <w:t xml:space="preserve">retain the Australian tennis grand slam (the ‘Grand Slam of the Asia-Pacific’), </w:t>
      </w:r>
      <w:r>
        <w:rPr>
          <w:color w:val="231F20"/>
          <w:w w:val="95"/>
        </w:rPr>
        <w:t xml:space="preserve">extend market range and expand visitor markets (Hede &amp; Kellett, 2010). </w:t>
      </w:r>
      <w:r>
        <w:rPr>
          <w:color w:val="231F20"/>
        </w:rPr>
        <w:t>Key geographical theories and concepts invite critical consideration of the spatial dynamics and interrel</w:t>
      </w:r>
      <w:r>
        <w:rPr>
          <w:color w:val="231F20"/>
        </w:rPr>
        <w:t>ationships that define and shape sport tourism phenomena (Higham &amp; Hinch, 2006).</w:t>
      </w:r>
    </w:p>
    <w:p w14:paraId="3DC10BE8" w14:textId="77777777" w:rsidR="00AE0598" w:rsidRDefault="00AE0598">
      <w:pPr>
        <w:spacing w:line="232" w:lineRule="auto"/>
        <w:jc w:val="both"/>
        <w:sectPr w:rsidR="00AE0598">
          <w:pgSz w:w="8850" w:h="13270"/>
          <w:pgMar w:top="720" w:right="1060" w:bottom="280" w:left="1080" w:header="720" w:footer="720" w:gutter="0"/>
          <w:cols w:space="720"/>
        </w:sectPr>
      </w:pPr>
    </w:p>
    <w:p w14:paraId="31F2879E" w14:textId="77777777" w:rsidR="00AE0598" w:rsidRDefault="0069255A">
      <w:pPr>
        <w:pStyle w:val="Ttulo1"/>
      </w:pPr>
      <w:bookmarkStart w:id="13" w:name="_TOC_250007"/>
      <w:r>
        <w:rPr>
          <w:color w:val="231F20"/>
          <w:w w:val="105"/>
        </w:rPr>
        <w:lastRenderedPageBreak/>
        <w:t>6</w:t>
      </w:r>
      <w:r>
        <w:rPr>
          <w:color w:val="231F20"/>
          <w:spacing w:val="7"/>
          <w:w w:val="105"/>
        </w:rPr>
        <w:t xml:space="preserve"> </w:t>
      </w:r>
      <w:r>
        <w:rPr>
          <w:color w:val="231F20"/>
          <w:w w:val="105"/>
        </w:rPr>
        <w:t>Place,</w:t>
      </w:r>
      <w:r>
        <w:rPr>
          <w:color w:val="231F20"/>
          <w:spacing w:val="-36"/>
          <w:w w:val="105"/>
        </w:rPr>
        <w:t xml:space="preserve"> </w:t>
      </w:r>
      <w:r>
        <w:rPr>
          <w:color w:val="231F20"/>
          <w:w w:val="105"/>
        </w:rPr>
        <w:t>Sport</w:t>
      </w:r>
      <w:r>
        <w:rPr>
          <w:color w:val="231F20"/>
          <w:spacing w:val="-36"/>
          <w:w w:val="105"/>
        </w:rPr>
        <w:t xml:space="preserve"> </w:t>
      </w:r>
      <w:r>
        <w:rPr>
          <w:color w:val="231F20"/>
          <w:w w:val="105"/>
        </w:rPr>
        <w:t>and</w:t>
      </w:r>
      <w:r>
        <w:rPr>
          <w:color w:val="231F20"/>
          <w:spacing w:val="-37"/>
          <w:w w:val="105"/>
        </w:rPr>
        <w:t xml:space="preserve"> </w:t>
      </w:r>
      <w:bookmarkEnd w:id="13"/>
      <w:r>
        <w:rPr>
          <w:color w:val="231F20"/>
          <w:spacing w:val="-2"/>
          <w:w w:val="105"/>
        </w:rPr>
        <w:t>Culture</w:t>
      </w:r>
    </w:p>
    <w:p w14:paraId="4049850D" w14:textId="77777777" w:rsidR="00AE0598" w:rsidRDefault="00AE0598">
      <w:pPr>
        <w:pStyle w:val="Corpodetexto"/>
        <w:spacing w:before="6"/>
        <w:rPr>
          <w:rFonts w:ascii="Trebuchet MS"/>
          <w:sz w:val="80"/>
        </w:rPr>
      </w:pPr>
    </w:p>
    <w:p w14:paraId="5F821697" w14:textId="77777777" w:rsidR="00AE0598" w:rsidRDefault="0069255A">
      <w:pPr>
        <w:spacing w:before="1" w:line="228" w:lineRule="auto"/>
        <w:ind w:left="501" w:right="125" w:firstLine="179"/>
        <w:jc w:val="right"/>
        <w:rPr>
          <w:i/>
          <w:sz w:val="18"/>
        </w:rPr>
      </w:pPr>
      <w:r>
        <w:rPr>
          <w:i/>
          <w:color w:val="231F20"/>
          <w:sz w:val="18"/>
        </w:rPr>
        <w:t>We have essentially treated sport and tourism as cultural experiences—sport</w:t>
      </w:r>
      <w:r>
        <w:rPr>
          <w:i/>
          <w:color w:val="231F20"/>
          <w:spacing w:val="40"/>
          <w:sz w:val="18"/>
        </w:rPr>
        <w:t xml:space="preserve"> </w:t>
      </w:r>
      <w:r>
        <w:rPr>
          <w:i/>
          <w:color w:val="231F20"/>
          <w:sz w:val="18"/>
        </w:rPr>
        <w:t>as a cultural experience of physical activity; tourism as a cultural experience of</w:t>
      </w:r>
      <w:r>
        <w:rPr>
          <w:i/>
          <w:color w:val="231F20"/>
          <w:spacing w:val="40"/>
          <w:sz w:val="18"/>
        </w:rPr>
        <w:t xml:space="preserve"> </w:t>
      </w:r>
      <w:r>
        <w:rPr>
          <w:i/>
          <w:color w:val="231F20"/>
          <w:sz w:val="18"/>
        </w:rPr>
        <w:t>place.</w:t>
      </w:r>
      <w:r>
        <w:rPr>
          <w:i/>
          <w:color w:val="231F20"/>
          <w:spacing w:val="18"/>
          <w:sz w:val="18"/>
        </w:rPr>
        <w:t xml:space="preserve"> </w:t>
      </w:r>
      <w:r>
        <w:rPr>
          <w:i/>
          <w:color w:val="231F20"/>
          <w:sz w:val="18"/>
        </w:rPr>
        <w:t>It</w:t>
      </w:r>
      <w:r>
        <w:rPr>
          <w:i/>
          <w:color w:val="231F20"/>
          <w:spacing w:val="18"/>
          <w:sz w:val="18"/>
        </w:rPr>
        <w:t xml:space="preserve"> </w:t>
      </w:r>
      <w:r>
        <w:rPr>
          <w:i/>
          <w:color w:val="231F20"/>
          <w:sz w:val="18"/>
        </w:rPr>
        <w:t>will</w:t>
      </w:r>
      <w:r>
        <w:rPr>
          <w:i/>
          <w:color w:val="231F20"/>
          <w:spacing w:val="18"/>
          <w:sz w:val="18"/>
        </w:rPr>
        <w:t xml:space="preserve"> </w:t>
      </w:r>
      <w:r>
        <w:rPr>
          <w:i/>
          <w:color w:val="231F20"/>
          <w:sz w:val="18"/>
        </w:rPr>
        <w:t>come</w:t>
      </w:r>
      <w:r>
        <w:rPr>
          <w:i/>
          <w:color w:val="231F20"/>
          <w:spacing w:val="18"/>
          <w:sz w:val="18"/>
        </w:rPr>
        <w:t xml:space="preserve"> </w:t>
      </w:r>
      <w:r>
        <w:rPr>
          <w:i/>
          <w:color w:val="231F20"/>
          <w:sz w:val="18"/>
        </w:rPr>
        <w:t>as</w:t>
      </w:r>
      <w:r>
        <w:rPr>
          <w:i/>
          <w:color w:val="231F20"/>
          <w:spacing w:val="18"/>
          <w:sz w:val="18"/>
        </w:rPr>
        <w:t xml:space="preserve"> </w:t>
      </w:r>
      <w:r>
        <w:rPr>
          <w:i/>
          <w:color w:val="231F20"/>
          <w:sz w:val="18"/>
        </w:rPr>
        <w:t>no</w:t>
      </w:r>
      <w:r>
        <w:rPr>
          <w:i/>
          <w:color w:val="231F20"/>
          <w:spacing w:val="18"/>
          <w:sz w:val="18"/>
        </w:rPr>
        <w:t xml:space="preserve"> </w:t>
      </w:r>
      <w:r>
        <w:rPr>
          <w:i/>
          <w:color w:val="231F20"/>
          <w:sz w:val="18"/>
        </w:rPr>
        <w:t>surprise,</w:t>
      </w:r>
      <w:r>
        <w:rPr>
          <w:i/>
          <w:color w:val="231F20"/>
          <w:spacing w:val="18"/>
          <w:sz w:val="18"/>
        </w:rPr>
        <w:t xml:space="preserve"> </w:t>
      </w:r>
      <w:r>
        <w:rPr>
          <w:i/>
          <w:color w:val="231F20"/>
          <w:sz w:val="18"/>
        </w:rPr>
        <w:t>therefore,</w:t>
      </w:r>
      <w:r>
        <w:rPr>
          <w:i/>
          <w:color w:val="231F20"/>
          <w:spacing w:val="18"/>
          <w:sz w:val="18"/>
        </w:rPr>
        <w:t xml:space="preserve"> </w:t>
      </w:r>
      <w:r>
        <w:rPr>
          <w:i/>
          <w:color w:val="231F20"/>
          <w:sz w:val="18"/>
        </w:rPr>
        <w:t>that</w:t>
      </w:r>
      <w:r>
        <w:rPr>
          <w:i/>
          <w:color w:val="231F20"/>
          <w:spacing w:val="18"/>
          <w:sz w:val="18"/>
        </w:rPr>
        <w:t xml:space="preserve"> </w:t>
      </w:r>
      <w:r>
        <w:rPr>
          <w:i/>
          <w:color w:val="231F20"/>
          <w:sz w:val="18"/>
        </w:rPr>
        <w:t>the</w:t>
      </w:r>
      <w:r>
        <w:rPr>
          <w:i/>
          <w:color w:val="231F20"/>
          <w:spacing w:val="18"/>
          <w:sz w:val="18"/>
        </w:rPr>
        <w:t xml:space="preserve"> </w:t>
      </w:r>
      <w:r>
        <w:rPr>
          <w:i/>
          <w:color w:val="231F20"/>
          <w:sz w:val="18"/>
        </w:rPr>
        <w:t>nature</w:t>
      </w:r>
      <w:r>
        <w:rPr>
          <w:i/>
          <w:color w:val="231F20"/>
          <w:spacing w:val="18"/>
          <w:sz w:val="18"/>
        </w:rPr>
        <w:t xml:space="preserve"> </w:t>
      </w:r>
      <w:r>
        <w:rPr>
          <w:i/>
          <w:color w:val="231F20"/>
          <w:sz w:val="18"/>
        </w:rPr>
        <w:t>of</w:t>
      </w:r>
      <w:r>
        <w:rPr>
          <w:i/>
          <w:color w:val="231F20"/>
          <w:spacing w:val="18"/>
          <w:sz w:val="18"/>
        </w:rPr>
        <w:t xml:space="preserve"> </w:t>
      </w:r>
      <w:r>
        <w:rPr>
          <w:i/>
          <w:color w:val="231F20"/>
          <w:sz w:val="18"/>
        </w:rPr>
        <w:t>sport</w:t>
      </w:r>
      <w:r>
        <w:rPr>
          <w:i/>
          <w:color w:val="231F20"/>
          <w:spacing w:val="18"/>
          <w:sz w:val="18"/>
        </w:rPr>
        <w:t xml:space="preserve"> </w:t>
      </w:r>
      <w:r>
        <w:rPr>
          <w:i/>
          <w:color w:val="231F20"/>
          <w:sz w:val="18"/>
        </w:rPr>
        <w:t>tourism,…</w:t>
      </w:r>
      <w:r>
        <w:rPr>
          <w:i/>
          <w:color w:val="231F20"/>
          <w:spacing w:val="40"/>
          <w:sz w:val="18"/>
        </w:rPr>
        <w:t xml:space="preserve"> </w:t>
      </w:r>
      <w:r>
        <w:rPr>
          <w:i/>
          <w:color w:val="231F20"/>
          <w:sz w:val="18"/>
        </w:rPr>
        <w:t>is about an exp</w:t>
      </w:r>
      <w:r>
        <w:rPr>
          <w:i/>
          <w:color w:val="231F20"/>
          <w:sz w:val="18"/>
        </w:rPr>
        <w:t>erience of physical activity tied to an experience of place.</w:t>
      </w:r>
    </w:p>
    <w:p w14:paraId="1CA99B04" w14:textId="77777777" w:rsidR="00AE0598" w:rsidRDefault="0069255A">
      <w:pPr>
        <w:spacing w:before="29"/>
        <w:ind w:left="110" w:right="128"/>
        <w:jc w:val="right"/>
        <w:rPr>
          <w:sz w:val="18"/>
        </w:rPr>
      </w:pPr>
      <w:r>
        <w:rPr>
          <w:color w:val="231F20"/>
          <w:w w:val="95"/>
          <w:sz w:val="18"/>
        </w:rPr>
        <w:t>Standeven</w:t>
      </w:r>
      <w:r>
        <w:rPr>
          <w:color w:val="231F20"/>
          <w:spacing w:val="16"/>
          <w:sz w:val="18"/>
        </w:rPr>
        <w:t xml:space="preserve"> </w:t>
      </w:r>
      <w:r>
        <w:rPr>
          <w:color w:val="231F20"/>
          <w:w w:val="95"/>
          <w:sz w:val="18"/>
        </w:rPr>
        <w:t>and</w:t>
      </w:r>
      <w:r>
        <w:rPr>
          <w:color w:val="231F20"/>
          <w:spacing w:val="17"/>
          <w:sz w:val="18"/>
        </w:rPr>
        <w:t xml:space="preserve"> </w:t>
      </w:r>
      <w:r>
        <w:rPr>
          <w:color w:val="231F20"/>
          <w:w w:val="95"/>
          <w:sz w:val="18"/>
        </w:rPr>
        <w:t>De</w:t>
      </w:r>
      <w:r>
        <w:rPr>
          <w:color w:val="231F20"/>
          <w:spacing w:val="17"/>
          <w:sz w:val="18"/>
        </w:rPr>
        <w:t xml:space="preserve"> </w:t>
      </w:r>
      <w:r>
        <w:rPr>
          <w:color w:val="231F20"/>
          <w:w w:val="95"/>
          <w:sz w:val="18"/>
        </w:rPr>
        <w:t>Knop,</w:t>
      </w:r>
      <w:r>
        <w:rPr>
          <w:color w:val="231F20"/>
          <w:spacing w:val="17"/>
          <w:sz w:val="18"/>
        </w:rPr>
        <w:t xml:space="preserve"> </w:t>
      </w:r>
      <w:r>
        <w:rPr>
          <w:color w:val="231F20"/>
          <w:w w:val="95"/>
          <w:sz w:val="18"/>
        </w:rPr>
        <w:t>1999:</w:t>
      </w:r>
      <w:r>
        <w:rPr>
          <w:color w:val="231F20"/>
          <w:spacing w:val="17"/>
          <w:sz w:val="18"/>
        </w:rPr>
        <w:t xml:space="preserve"> </w:t>
      </w:r>
      <w:r>
        <w:rPr>
          <w:color w:val="231F20"/>
          <w:spacing w:val="-7"/>
          <w:w w:val="95"/>
          <w:sz w:val="18"/>
        </w:rPr>
        <w:t>58</w:t>
      </w:r>
    </w:p>
    <w:p w14:paraId="31AC9B1B" w14:textId="77777777" w:rsidR="00AE0598" w:rsidRDefault="00AE0598">
      <w:pPr>
        <w:pStyle w:val="Corpodetexto"/>
        <w:rPr>
          <w:sz w:val="20"/>
        </w:rPr>
      </w:pPr>
    </w:p>
    <w:p w14:paraId="45C72C8E" w14:textId="77777777" w:rsidR="00AE0598" w:rsidRDefault="00AE0598">
      <w:pPr>
        <w:pStyle w:val="Corpodetexto"/>
        <w:spacing w:before="2"/>
        <w:rPr>
          <w:sz w:val="22"/>
        </w:rPr>
      </w:pPr>
    </w:p>
    <w:p w14:paraId="050523F3" w14:textId="77777777" w:rsidR="00AE0598" w:rsidRDefault="0069255A">
      <w:pPr>
        <w:ind w:left="110"/>
        <w:rPr>
          <w:rFonts w:ascii="Trebuchet MS"/>
          <w:b/>
          <w:sz w:val="20"/>
        </w:rPr>
      </w:pPr>
      <w:r>
        <w:rPr>
          <w:rFonts w:ascii="Trebuchet MS"/>
          <w:b/>
          <w:color w:val="231F20"/>
          <w:spacing w:val="-2"/>
          <w:sz w:val="20"/>
        </w:rPr>
        <w:t>Introduction</w:t>
      </w:r>
    </w:p>
    <w:p w14:paraId="3140C505" w14:textId="77777777" w:rsidR="00AE0598" w:rsidRDefault="0069255A">
      <w:pPr>
        <w:pStyle w:val="Corpodetexto"/>
        <w:spacing w:before="122" w:line="232" w:lineRule="auto"/>
        <w:ind w:left="110" w:right="124" w:firstLine="320"/>
        <w:jc w:val="both"/>
      </w:pPr>
      <w:r>
        <w:rPr>
          <w:color w:val="231F20"/>
          <w:w w:val="95"/>
        </w:rPr>
        <w:t>Sport exerts a significant influence on the meanings that people attach</w:t>
      </w:r>
      <w:r>
        <w:rPr>
          <w:color w:val="231F20"/>
          <w:spacing w:val="40"/>
        </w:rPr>
        <w:t xml:space="preserve"> </w:t>
      </w:r>
      <w:r>
        <w:rPr>
          <w:color w:val="231F20"/>
          <w:w w:val="95"/>
        </w:rPr>
        <w:t>to space. These meanings are central to the experience of sport tourists, to the</w:t>
      </w:r>
      <w:r>
        <w:rPr>
          <w:color w:val="231F20"/>
          <w:spacing w:val="-7"/>
          <w:w w:val="95"/>
        </w:rPr>
        <w:t xml:space="preserve"> </w:t>
      </w:r>
      <w:r>
        <w:rPr>
          <w:color w:val="231F20"/>
          <w:w w:val="95"/>
        </w:rPr>
        <w:t>impacts</w:t>
      </w:r>
      <w:r>
        <w:rPr>
          <w:color w:val="231F20"/>
          <w:spacing w:val="-7"/>
          <w:w w:val="95"/>
        </w:rPr>
        <w:t xml:space="preserve"> </w:t>
      </w:r>
      <w:r>
        <w:rPr>
          <w:color w:val="231F20"/>
          <w:w w:val="95"/>
        </w:rPr>
        <w:t>that</w:t>
      </w:r>
      <w:r>
        <w:rPr>
          <w:color w:val="231F20"/>
          <w:spacing w:val="-7"/>
          <w:w w:val="95"/>
        </w:rPr>
        <w:t xml:space="preserve"> </w:t>
      </w:r>
      <w:r>
        <w:rPr>
          <w:color w:val="231F20"/>
          <w:w w:val="95"/>
        </w:rPr>
        <w:t>they</w:t>
      </w:r>
      <w:r>
        <w:rPr>
          <w:color w:val="231F20"/>
          <w:spacing w:val="-7"/>
          <w:w w:val="95"/>
        </w:rPr>
        <w:t xml:space="preserve"> </w:t>
      </w:r>
      <w:r>
        <w:rPr>
          <w:color w:val="231F20"/>
          <w:w w:val="95"/>
        </w:rPr>
        <w:t>have</w:t>
      </w:r>
      <w:r>
        <w:rPr>
          <w:color w:val="231F20"/>
          <w:spacing w:val="-7"/>
          <w:w w:val="95"/>
        </w:rPr>
        <w:t xml:space="preserve"> </w:t>
      </w:r>
      <w:r>
        <w:rPr>
          <w:color w:val="231F20"/>
          <w:w w:val="95"/>
        </w:rPr>
        <w:t>on</w:t>
      </w:r>
      <w:r>
        <w:rPr>
          <w:color w:val="231F20"/>
          <w:spacing w:val="-7"/>
          <w:w w:val="95"/>
        </w:rPr>
        <w:t xml:space="preserve"> </w:t>
      </w:r>
      <w:r>
        <w:rPr>
          <w:color w:val="231F20"/>
          <w:w w:val="95"/>
        </w:rPr>
        <w:t>the</w:t>
      </w:r>
      <w:r>
        <w:rPr>
          <w:color w:val="231F20"/>
          <w:spacing w:val="-7"/>
          <w:w w:val="95"/>
        </w:rPr>
        <w:t xml:space="preserve"> </w:t>
      </w:r>
      <w:r>
        <w:rPr>
          <w:color w:val="231F20"/>
          <w:w w:val="95"/>
        </w:rPr>
        <w:t>destinations</w:t>
      </w:r>
      <w:r>
        <w:rPr>
          <w:color w:val="231F20"/>
          <w:spacing w:val="-7"/>
          <w:w w:val="95"/>
        </w:rPr>
        <w:t xml:space="preserve"> </w:t>
      </w:r>
      <w:r>
        <w:rPr>
          <w:color w:val="231F20"/>
          <w:w w:val="95"/>
        </w:rPr>
        <w:t>they</w:t>
      </w:r>
      <w:r>
        <w:rPr>
          <w:color w:val="231F20"/>
          <w:spacing w:val="-7"/>
          <w:w w:val="95"/>
        </w:rPr>
        <w:t xml:space="preserve"> </w:t>
      </w:r>
      <w:r>
        <w:rPr>
          <w:color w:val="231F20"/>
          <w:w w:val="95"/>
        </w:rPr>
        <w:t>visit</w:t>
      </w:r>
      <w:r>
        <w:rPr>
          <w:color w:val="231F20"/>
          <w:spacing w:val="-7"/>
          <w:w w:val="95"/>
        </w:rPr>
        <w:t xml:space="preserve"> </w:t>
      </w:r>
      <w:r>
        <w:rPr>
          <w:color w:val="231F20"/>
          <w:w w:val="95"/>
        </w:rPr>
        <w:t>and</w:t>
      </w:r>
      <w:r>
        <w:rPr>
          <w:color w:val="231F20"/>
          <w:spacing w:val="-7"/>
          <w:w w:val="95"/>
        </w:rPr>
        <w:t xml:space="preserve"> </w:t>
      </w:r>
      <w:r>
        <w:rPr>
          <w:color w:val="231F20"/>
          <w:w w:val="95"/>
        </w:rPr>
        <w:t>to</w:t>
      </w:r>
      <w:r>
        <w:rPr>
          <w:color w:val="231F20"/>
          <w:spacing w:val="-7"/>
          <w:w w:val="95"/>
        </w:rPr>
        <w:t xml:space="preserve"> </w:t>
      </w:r>
      <w:r>
        <w:rPr>
          <w:color w:val="231F20"/>
          <w:w w:val="95"/>
        </w:rPr>
        <w:t>the</w:t>
      </w:r>
      <w:r>
        <w:rPr>
          <w:color w:val="231F20"/>
          <w:spacing w:val="-7"/>
          <w:w w:val="95"/>
        </w:rPr>
        <w:t xml:space="preserve"> </w:t>
      </w:r>
      <w:r>
        <w:rPr>
          <w:color w:val="231F20"/>
          <w:w w:val="95"/>
        </w:rPr>
        <w:t xml:space="preserve">strategies </w:t>
      </w:r>
      <w:r>
        <w:rPr>
          <w:color w:val="231F20"/>
        </w:rPr>
        <w:t xml:space="preserve">designed to shape development. This chapter explores these claims by considering the unique nature </w:t>
      </w:r>
      <w:r>
        <w:rPr>
          <w:color w:val="231F20"/>
        </w:rPr>
        <w:t>of sport tourism places, examining sport culture</w:t>
      </w:r>
      <w:r>
        <w:rPr>
          <w:color w:val="231F20"/>
          <w:spacing w:val="-7"/>
        </w:rPr>
        <w:t xml:space="preserve"> </w:t>
      </w:r>
      <w:r>
        <w:rPr>
          <w:color w:val="231F20"/>
        </w:rPr>
        <w:t>in</w:t>
      </w:r>
      <w:r>
        <w:rPr>
          <w:color w:val="231F20"/>
          <w:spacing w:val="-7"/>
        </w:rPr>
        <w:t xml:space="preserve"> </w:t>
      </w:r>
      <w:r>
        <w:rPr>
          <w:color w:val="231F20"/>
        </w:rPr>
        <w:t>relation</w:t>
      </w:r>
      <w:r>
        <w:rPr>
          <w:color w:val="231F20"/>
          <w:spacing w:val="-7"/>
        </w:rPr>
        <w:t xml:space="preserve"> </w:t>
      </w:r>
      <w:r>
        <w:rPr>
          <w:color w:val="231F20"/>
        </w:rPr>
        <w:t>to</w:t>
      </w:r>
      <w:r>
        <w:rPr>
          <w:color w:val="231F20"/>
          <w:spacing w:val="-7"/>
        </w:rPr>
        <w:t xml:space="preserve"> </w:t>
      </w:r>
      <w:r>
        <w:rPr>
          <w:color w:val="231F20"/>
        </w:rPr>
        <w:t>place</w:t>
      </w:r>
      <w:r>
        <w:rPr>
          <w:color w:val="231F20"/>
          <w:spacing w:val="-7"/>
        </w:rPr>
        <w:t xml:space="preserve"> </w:t>
      </w:r>
      <w:r>
        <w:rPr>
          <w:color w:val="231F20"/>
        </w:rPr>
        <w:t>identity,</w:t>
      </w:r>
      <w:r>
        <w:rPr>
          <w:color w:val="231F20"/>
          <w:spacing w:val="-7"/>
        </w:rPr>
        <w:t xml:space="preserve"> </w:t>
      </w:r>
      <w:r>
        <w:rPr>
          <w:color w:val="231F20"/>
        </w:rPr>
        <w:t>and</w:t>
      </w:r>
      <w:r>
        <w:rPr>
          <w:color w:val="231F20"/>
          <w:spacing w:val="-7"/>
        </w:rPr>
        <w:t xml:space="preserve"> </w:t>
      </w:r>
      <w:r>
        <w:rPr>
          <w:color w:val="231F20"/>
        </w:rPr>
        <w:t>by</w:t>
      </w:r>
      <w:r>
        <w:rPr>
          <w:color w:val="231F20"/>
          <w:spacing w:val="-7"/>
        </w:rPr>
        <w:t xml:space="preserve"> </w:t>
      </w:r>
      <w:r>
        <w:rPr>
          <w:color w:val="231F20"/>
        </w:rPr>
        <w:t>addressing</w:t>
      </w:r>
      <w:r>
        <w:rPr>
          <w:color w:val="231F20"/>
          <w:spacing w:val="-7"/>
        </w:rPr>
        <w:t xml:space="preserve"> </w:t>
      </w:r>
      <w:r>
        <w:rPr>
          <w:color w:val="231F20"/>
        </w:rPr>
        <w:t>the</w:t>
      </w:r>
      <w:r>
        <w:rPr>
          <w:color w:val="231F20"/>
          <w:spacing w:val="-7"/>
        </w:rPr>
        <w:t xml:space="preserve"> </w:t>
      </w:r>
      <w:r>
        <w:rPr>
          <w:color w:val="231F20"/>
        </w:rPr>
        <w:t>way</w:t>
      </w:r>
      <w:r>
        <w:rPr>
          <w:color w:val="231F20"/>
          <w:spacing w:val="-7"/>
        </w:rPr>
        <w:t xml:space="preserve"> </w:t>
      </w:r>
      <w:r>
        <w:rPr>
          <w:color w:val="231F20"/>
        </w:rPr>
        <w:t>that</w:t>
      </w:r>
      <w:r>
        <w:rPr>
          <w:color w:val="231F20"/>
          <w:spacing w:val="-7"/>
        </w:rPr>
        <w:t xml:space="preserve"> </w:t>
      </w:r>
      <w:r>
        <w:rPr>
          <w:color w:val="231F20"/>
        </w:rPr>
        <w:t>sport is</w:t>
      </w:r>
      <w:r>
        <w:rPr>
          <w:color w:val="231F20"/>
          <w:spacing w:val="-12"/>
        </w:rPr>
        <w:t xml:space="preserve"> </w:t>
      </w:r>
      <w:r>
        <w:rPr>
          <w:color w:val="231F20"/>
        </w:rPr>
        <w:t>used</w:t>
      </w:r>
      <w:r>
        <w:rPr>
          <w:color w:val="231F20"/>
          <w:spacing w:val="-11"/>
        </w:rPr>
        <w:t xml:space="preserve"> </w:t>
      </w:r>
      <w:r>
        <w:rPr>
          <w:color w:val="231F20"/>
        </w:rPr>
        <w:t>to</w:t>
      </w:r>
      <w:r>
        <w:rPr>
          <w:color w:val="231F20"/>
          <w:spacing w:val="-12"/>
        </w:rPr>
        <w:t xml:space="preserve"> </w:t>
      </w:r>
      <w:r>
        <w:rPr>
          <w:color w:val="231F20"/>
        </w:rPr>
        <w:t>brand</w:t>
      </w:r>
      <w:r>
        <w:rPr>
          <w:color w:val="231F20"/>
          <w:spacing w:val="-11"/>
        </w:rPr>
        <w:t xml:space="preserve"> </w:t>
      </w:r>
      <w:r>
        <w:rPr>
          <w:color w:val="231F20"/>
        </w:rPr>
        <w:t>tourism</w:t>
      </w:r>
      <w:r>
        <w:rPr>
          <w:color w:val="231F20"/>
          <w:spacing w:val="-12"/>
        </w:rPr>
        <w:t xml:space="preserve"> </w:t>
      </w:r>
      <w:r>
        <w:rPr>
          <w:color w:val="231F20"/>
        </w:rPr>
        <w:t>places.</w:t>
      </w:r>
      <w:r>
        <w:rPr>
          <w:color w:val="231F20"/>
          <w:spacing w:val="-11"/>
        </w:rPr>
        <w:t xml:space="preserve"> </w:t>
      </w:r>
      <w:r>
        <w:rPr>
          <w:color w:val="231F20"/>
        </w:rPr>
        <w:t>Daniel</w:t>
      </w:r>
      <w:r>
        <w:rPr>
          <w:color w:val="231F20"/>
          <w:spacing w:val="-12"/>
        </w:rPr>
        <w:t xml:space="preserve"> </w:t>
      </w:r>
      <w:r>
        <w:rPr>
          <w:color w:val="231F20"/>
        </w:rPr>
        <w:t>Evans’</w:t>
      </w:r>
      <w:r>
        <w:rPr>
          <w:color w:val="231F20"/>
          <w:spacing w:val="-11"/>
        </w:rPr>
        <w:t xml:space="preserve"> </w:t>
      </w:r>
      <w:r>
        <w:rPr>
          <w:color w:val="231F20"/>
        </w:rPr>
        <w:t>case</w:t>
      </w:r>
      <w:r>
        <w:rPr>
          <w:color w:val="231F20"/>
          <w:spacing w:val="-12"/>
        </w:rPr>
        <w:t xml:space="preserve"> </w:t>
      </w:r>
      <w:r>
        <w:rPr>
          <w:color w:val="231F20"/>
        </w:rPr>
        <w:t>study</w:t>
      </w:r>
      <w:r>
        <w:rPr>
          <w:color w:val="231F20"/>
          <w:spacing w:val="-11"/>
        </w:rPr>
        <w:t xml:space="preserve"> </w:t>
      </w:r>
      <w:r>
        <w:rPr>
          <w:color w:val="231F20"/>
        </w:rPr>
        <w:t>(Case</w:t>
      </w:r>
      <w:r>
        <w:rPr>
          <w:color w:val="231F20"/>
          <w:spacing w:val="-12"/>
        </w:rPr>
        <w:t xml:space="preserve"> </w:t>
      </w:r>
      <w:r>
        <w:rPr>
          <w:color w:val="231F20"/>
        </w:rPr>
        <w:t>Study</w:t>
      </w:r>
      <w:r>
        <w:rPr>
          <w:color w:val="231F20"/>
          <w:spacing w:val="-11"/>
        </w:rPr>
        <w:t xml:space="preserve"> </w:t>
      </w:r>
      <w:r>
        <w:rPr>
          <w:color w:val="231F20"/>
        </w:rPr>
        <w:t xml:space="preserve">6.1) </w:t>
      </w:r>
      <w:r>
        <w:rPr>
          <w:color w:val="231F20"/>
          <w:w w:val="95"/>
        </w:rPr>
        <w:t>considers the tensions around local football (soccer) identities</w:t>
      </w:r>
      <w:r>
        <w:rPr>
          <w:color w:val="231F20"/>
          <w:w w:val="95"/>
        </w:rPr>
        <w:t xml:space="preserve"> in Liverpool </w:t>
      </w:r>
      <w:r>
        <w:rPr>
          <w:color w:val="231F20"/>
        </w:rPr>
        <w:t>and the global context of the game, illustrating the complex realities of place, culture and marketing in a contemporary sport tourism context.</w:t>
      </w:r>
    </w:p>
    <w:p w14:paraId="1CD31CF2" w14:textId="77777777" w:rsidR="00AE0598" w:rsidRDefault="00AE0598">
      <w:pPr>
        <w:pStyle w:val="Corpodetexto"/>
        <w:spacing w:before="11"/>
      </w:pPr>
    </w:p>
    <w:p w14:paraId="6A0A385E" w14:textId="77777777" w:rsidR="00AE0598" w:rsidRDefault="0069255A">
      <w:pPr>
        <w:ind w:left="110"/>
        <w:rPr>
          <w:rFonts w:ascii="Trebuchet MS"/>
          <w:b/>
          <w:sz w:val="20"/>
        </w:rPr>
      </w:pPr>
      <w:r>
        <w:rPr>
          <w:rFonts w:ascii="Trebuchet MS"/>
          <w:b/>
          <w:color w:val="231F20"/>
          <w:spacing w:val="-2"/>
          <w:sz w:val="20"/>
        </w:rPr>
        <w:t>Place</w:t>
      </w:r>
    </w:p>
    <w:p w14:paraId="252160CA" w14:textId="77777777" w:rsidR="00AE0598" w:rsidRDefault="0069255A">
      <w:pPr>
        <w:pStyle w:val="Corpodetexto"/>
        <w:spacing w:before="122" w:line="232" w:lineRule="auto"/>
        <w:ind w:left="110" w:right="127" w:firstLine="320"/>
        <w:jc w:val="both"/>
      </w:pPr>
      <w:r>
        <w:rPr>
          <w:color w:val="231F20"/>
        </w:rPr>
        <w:t>Place refers to meaningful space (Lewicka, 2011) whereas space is a landscape of geometry as manifest in location, area or distance. Crouch (2000) expands on the difference between space and place in a leisure context with his statement that:</w:t>
      </w:r>
    </w:p>
    <w:p w14:paraId="0C8AFBC7" w14:textId="77777777" w:rsidR="00AE0598" w:rsidRDefault="00AE0598">
      <w:pPr>
        <w:pStyle w:val="Corpodetexto"/>
        <w:spacing w:before="2"/>
      </w:pPr>
    </w:p>
    <w:p w14:paraId="4AE9C554" w14:textId="77777777" w:rsidR="00AE0598" w:rsidRDefault="0069255A">
      <w:pPr>
        <w:spacing w:line="244" w:lineRule="auto"/>
        <w:ind w:left="430" w:right="127"/>
        <w:jc w:val="both"/>
        <w:rPr>
          <w:sz w:val="20"/>
        </w:rPr>
      </w:pPr>
      <w:r>
        <w:rPr>
          <w:color w:val="231F20"/>
          <w:sz w:val="20"/>
        </w:rPr>
        <w:t>Space can be</w:t>
      </w:r>
      <w:r>
        <w:rPr>
          <w:color w:val="231F20"/>
          <w:sz w:val="20"/>
        </w:rPr>
        <w:t xml:space="preserve"> a background, a context, a ‘given’ objective component of leisure and tourism. In that way it is seen as a location, a National Park or a site where particular leisure/tourism happens, a distance between things. Place can be a physical image that can be r</w:t>
      </w:r>
      <w:r>
        <w:rPr>
          <w:color w:val="231F20"/>
          <w:sz w:val="20"/>
        </w:rPr>
        <w:t>endered metaphorical as the content of brochures, ‘landscape’ as a foil for what people might imagine</w:t>
      </w:r>
      <w:r>
        <w:rPr>
          <w:color w:val="231F20"/>
          <w:spacing w:val="17"/>
          <w:sz w:val="20"/>
        </w:rPr>
        <w:t xml:space="preserve"> </w:t>
      </w:r>
      <w:r>
        <w:rPr>
          <w:color w:val="231F20"/>
          <w:sz w:val="20"/>
        </w:rPr>
        <w:t>they</w:t>
      </w:r>
      <w:r>
        <w:rPr>
          <w:color w:val="231F20"/>
          <w:spacing w:val="17"/>
          <w:sz w:val="20"/>
        </w:rPr>
        <w:t xml:space="preserve"> </w:t>
      </w:r>
      <w:r>
        <w:rPr>
          <w:color w:val="231F20"/>
          <w:sz w:val="20"/>
        </w:rPr>
        <w:t>do...</w:t>
      </w:r>
      <w:r>
        <w:rPr>
          <w:color w:val="231F20"/>
          <w:spacing w:val="17"/>
          <w:sz w:val="20"/>
        </w:rPr>
        <w:t xml:space="preserve"> </w:t>
      </w:r>
      <w:r>
        <w:rPr>
          <w:color w:val="231F20"/>
          <w:sz w:val="20"/>
        </w:rPr>
        <w:t>In</w:t>
      </w:r>
      <w:r>
        <w:rPr>
          <w:color w:val="231F20"/>
          <w:spacing w:val="17"/>
          <w:sz w:val="20"/>
        </w:rPr>
        <w:t xml:space="preserve"> </w:t>
      </w:r>
      <w:r>
        <w:rPr>
          <w:color w:val="231F20"/>
          <w:sz w:val="20"/>
        </w:rPr>
        <w:t>this</w:t>
      </w:r>
      <w:r>
        <w:rPr>
          <w:color w:val="231F20"/>
          <w:spacing w:val="17"/>
          <w:sz w:val="20"/>
        </w:rPr>
        <w:t xml:space="preserve"> </w:t>
      </w:r>
      <w:r>
        <w:rPr>
          <w:color w:val="231F20"/>
          <w:sz w:val="20"/>
        </w:rPr>
        <w:t>way</w:t>
      </w:r>
      <w:r>
        <w:rPr>
          <w:color w:val="231F20"/>
          <w:spacing w:val="17"/>
          <w:sz w:val="20"/>
        </w:rPr>
        <w:t xml:space="preserve"> </w:t>
      </w:r>
      <w:r>
        <w:rPr>
          <w:color w:val="231F20"/>
          <w:sz w:val="20"/>
        </w:rPr>
        <w:t>it</w:t>
      </w:r>
      <w:r>
        <w:rPr>
          <w:color w:val="231F20"/>
          <w:spacing w:val="17"/>
          <w:sz w:val="20"/>
        </w:rPr>
        <w:t xml:space="preserve"> </w:t>
      </w:r>
      <w:r>
        <w:rPr>
          <w:color w:val="231F20"/>
          <w:sz w:val="20"/>
        </w:rPr>
        <w:t>may</w:t>
      </w:r>
      <w:r>
        <w:rPr>
          <w:color w:val="231F20"/>
          <w:spacing w:val="17"/>
          <w:sz w:val="20"/>
        </w:rPr>
        <w:t xml:space="preserve"> </w:t>
      </w:r>
      <w:r>
        <w:rPr>
          <w:color w:val="231F20"/>
          <w:sz w:val="20"/>
        </w:rPr>
        <w:t>be</w:t>
      </w:r>
      <w:r>
        <w:rPr>
          <w:color w:val="231F20"/>
          <w:spacing w:val="17"/>
          <w:sz w:val="20"/>
        </w:rPr>
        <w:t xml:space="preserve"> </w:t>
      </w:r>
      <w:r>
        <w:rPr>
          <w:color w:val="231F20"/>
          <w:sz w:val="20"/>
        </w:rPr>
        <w:t>that</w:t>
      </w:r>
      <w:r>
        <w:rPr>
          <w:color w:val="231F20"/>
          <w:spacing w:val="17"/>
          <w:sz w:val="20"/>
        </w:rPr>
        <w:t xml:space="preserve"> </w:t>
      </w:r>
      <w:r>
        <w:rPr>
          <w:color w:val="231F20"/>
          <w:sz w:val="20"/>
        </w:rPr>
        <w:t>place</w:t>
      </w:r>
      <w:r>
        <w:rPr>
          <w:color w:val="231F20"/>
          <w:spacing w:val="17"/>
          <w:sz w:val="20"/>
        </w:rPr>
        <w:t xml:space="preserve"> </w:t>
      </w:r>
      <w:r>
        <w:rPr>
          <w:color w:val="231F20"/>
          <w:sz w:val="20"/>
        </w:rPr>
        <w:t>is</w:t>
      </w:r>
      <w:r>
        <w:rPr>
          <w:color w:val="231F20"/>
          <w:spacing w:val="17"/>
          <w:sz w:val="20"/>
        </w:rPr>
        <w:t xml:space="preserve"> </w:t>
      </w:r>
      <w:r>
        <w:rPr>
          <w:color w:val="231F20"/>
          <w:sz w:val="20"/>
        </w:rPr>
        <w:t>understood</w:t>
      </w:r>
      <w:r>
        <w:rPr>
          <w:color w:val="231F20"/>
          <w:spacing w:val="17"/>
          <w:sz w:val="20"/>
        </w:rPr>
        <w:t xml:space="preserve"> </w:t>
      </w:r>
      <w:r>
        <w:rPr>
          <w:color w:val="231F20"/>
          <w:sz w:val="20"/>
        </w:rPr>
        <w:t>to</w:t>
      </w:r>
      <w:r>
        <w:rPr>
          <w:color w:val="231F20"/>
          <w:spacing w:val="17"/>
          <w:sz w:val="20"/>
        </w:rPr>
        <w:t xml:space="preserve"> </w:t>
      </w:r>
      <w:r>
        <w:rPr>
          <w:color w:val="231F20"/>
          <w:sz w:val="20"/>
        </w:rPr>
        <w:t xml:space="preserve">be a cultural text that people read and recognize directed by the particular intentions of a </w:t>
      </w:r>
      <w:r>
        <w:rPr>
          <w:color w:val="231F20"/>
          <w:sz w:val="20"/>
        </w:rPr>
        <w:t>producer or promoter. (Crouch, 2000: 64)</w:t>
      </w:r>
    </w:p>
    <w:p w14:paraId="0543FEA9" w14:textId="77777777" w:rsidR="00AE0598" w:rsidRDefault="00AE0598">
      <w:pPr>
        <w:pStyle w:val="Corpodetexto"/>
        <w:spacing w:before="9"/>
        <w:rPr>
          <w:sz w:val="20"/>
        </w:rPr>
      </w:pPr>
    </w:p>
    <w:p w14:paraId="1C8D5663" w14:textId="77777777" w:rsidR="00AE0598" w:rsidRDefault="0069255A">
      <w:pPr>
        <w:pStyle w:val="Corpodetexto"/>
        <w:spacing w:line="232" w:lineRule="auto"/>
        <w:ind w:left="110" w:right="126"/>
        <w:jc w:val="both"/>
      </w:pPr>
      <w:r>
        <w:rPr>
          <w:color w:val="231F20"/>
        </w:rPr>
        <w:t>While the geometric characteristics of space can be objectively measured, place is much more subjective. Individuals and groups are constantly</w:t>
      </w:r>
      <w:r>
        <w:rPr>
          <w:color w:val="231F20"/>
          <w:spacing w:val="-4"/>
        </w:rPr>
        <w:t xml:space="preserve"> </w:t>
      </w:r>
      <w:r>
        <w:rPr>
          <w:color w:val="231F20"/>
        </w:rPr>
        <w:t>defining</w:t>
      </w:r>
      <w:r>
        <w:rPr>
          <w:color w:val="231F20"/>
          <w:spacing w:val="-4"/>
        </w:rPr>
        <w:t xml:space="preserve"> </w:t>
      </w:r>
      <w:r>
        <w:rPr>
          <w:color w:val="231F20"/>
        </w:rPr>
        <w:t>and</w:t>
      </w:r>
      <w:r>
        <w:rPr>
          <w:color w:val="231F20"/>
          <w:spacing w:val="-4"/>
        </w:rPr>
        <w:t xml:space="preserve"> </w:t>
      </w:r>
      <w:r>
        <w:rPr>
          <w:color w:val="231F20"/>
        </w:rPr>
        <w:t>refining</w:t>
      </w:r>
      <w:r>
        <w:rPr>
          <w:color w:val="231F20"/>
          <w:spacing w:val="-4"/>
        </w:rPr>
        <w:t xml:space="preserve"> </w:t>
      </w:r>
      <w:r>
        <w:rPr>
          <w:color w:val="231F20"/>
        </w:rPr>
        <w:t>the</w:t>
      </w:r>
      <w:r>
        <w:rPr>
          <w:color w:val="231F20"/>
          <w:spacing w:val="-4"/>
        </w:rPr>
        <w:t xml:space="preserve"> </w:t>
      </w:r>
      <w:r>
        <w:rPr>
          <w:color w:val="231F20"/>
        </w:rPr>
        <w:t>meanings</w:t>
      </w:r>
      <w:r>
        <w:rPr>
          <w:color w:val="231F20"/>
          <w:spacing w:val="-4"/>
        </w:rPr>
        <w:t xml:space="preserve"> </w:t>
      </w:r>
      <w:r>
        <w:rPr>
          <w:color w:val="231F20"/>
        </w:rPr>
        <w:t>that</w:t>
      </w:r>
      <w:r>
        <w:rPr>
          <w:color w:val="231F20"/>
          <w:spacing w:val="-4"/>
        </w:rPr>
        <w:t xml:space="preserve"> </w:t>
      </w:r>
      <w:r>
        <w:rPr>
          <w:color w:val="231F20"/>
        </w:rPr>
        <w:t>they</w:t>
      </w:r>
      <w:r>
        <w:rPr>
          <w:color w:val="231F20"/>
          <w:spacing w:val="-4"/>
        </w:rPr>
        <w:t xml:space="preserve"> </w:t>
      </w:r>
      <w:r>
        <w:rPr>
          <w:color w:val="231F20"/>
        </w:rPr>
        <w:t>attach</w:t>
      </w:r>
      <w:r>
        <w:rPr>
          <w:color w:val="231F20"/>
          <w:spacing w:val="-4"/>
        </w:rPr>
        <w:t xml:space="preserve"> </w:t>
      </w:r>
      <w:r>
        <w:rPr>
          <w:color w:val="231F20"/>
        </w:rPr>
        <w:t>to</w:t>
      </w:r>
      <w:r>
        <w:rPr>
          <w:color w:val="231F20"/>
          <w:spacing w:val="-4"/>
        </w:rPr>
        <w:t xml:space="preserve"> </w:t>
      </w:r>
      <w:r>
        <w:rPr>
          <w:color w:val="231F20"/>
        </w:rPr>
        <w:t xml:space="preserve">spaces. </w:t>
      </w:r>
      <w:r>
        <w:rPr>
          <w:color w:val="231F20"/>
          <w:w w:val="95"/>
        </w:rPr>
        <w:t xml:space="preserve">As other aspects of their lives change, so do the </w:t>
      </w:r>
      <w:r>
        <w:rPr>
          <w:color w:val="231F20"/>
          <w:w w:val="95"/>
        </w:rPr>
        <w:t>meanings that they attach</w:t>
      </w:r>
      <w:r>
        <w:rPr>
          <w:color w:val="231F20"/>
          <w:spacing w:val="80"/>
        </w:rPr>
        <w:t xml:space="preserve"> </w:t>
      </w:r>
      <w:r>
        <w:rPr>
          <w:color w:val="231F20"/>
        </w:rPr>
        <w:t>to spaces.</w:t>
      </w:r>
    </w:p>
    <w:p w14:paraId="7537E842" w14:textId="77777777" w:rsidR="00AE0598" w:rsidRDefault="00AE0598">
      <w:pPr>
        <w:pStyle w:val="Corpodetexto"/>
        <w:spacing w:before="10"/>
        <w:rPr>
          <w:sz w:val="13"/>
        </w:rPr>
      </w:pPr>
    </w:p>
    <w:p w14:paraId="7CD61313" w14:textId="77777777" w:rsidR="00AE0598" w:rsidRDefault="0069255A">
      <w:pPr>
        <w:spacing w:before="99"/>
        <w:ind w:left="384" w:right="409"/>
        <w:jc w:val="center"/>
        <w:rPr>
          <w:rFonts w:ascii="Trebuchet MS"/>
          <w:sz w:val="16"/>
        </w:rPr>
      </w:pPr>
      <w:r>
        <w:rPr>
          <w:rFonts w:ascii="Trebuchet MS"/>
          <w:color w:val="231F20"/>
          <w:spacing w:val="-5"/>
          <w:w w:val="105"/>
          <w:sz w:val="16"/>
        </w:rPr>
        <w:t>112</w:t>
      </w:r>
    </w:p>
    <w:p w14:paraId="3BA6BDB5" w14:textId="77777777" w:rsidR="00AE0598" w:rsidRDefault="00AE0598">
      <w:pPr>
        <w:jc w:val="center"/>
        <w:rPr>
          <w:rFonts w:ascii="Trebuchet MS"/>
          <w:sz w:val="16"/>
        </w:rPr>
        <w:sectPr w:rsidR="00AE0598">
          <w:pgSz w:w="8850" w:h="13270"/>
          <w:pgMar w:top="1020" w:right="1060" w:bottom="280" w:left="1080" w:header="720" w:footer="720" w:gutter="0"/>
          <w:cols w:space="720"/>
        </w:sectPr>
      </w:pPr>
    </w:p>
    <w:p w14:paraId="06C8A1B3" w14:textId="77777777" w:rsidR="00AE0598" w:rsidRDefault="0069255A">
      <w:pPr>
        <w:spacing w:before="87"/>
        <w:ind w:left="110" w:right="128"/>
        <w:jc w:val="right"/>
        <w:rPr>
          <w:rFonts w:ascii="Trebuchet MS"/>
          <w:sz w:val="14"/>
        </w:rPr>
      </w:pPr>
      <w:r>
        <w:rPr>
          <w:rFonts w:ascii="Trebuchet MS"/>
          <w:color w:val="231F20"/>
          <w:w w:val="105"/>
          <w:sz w:val="14"/>
        </w:rPr>
        <w:lastRenderedPageBreak/>
        <w:t>Place,</w:t>
      </w:r>
      <w:r>
        <w:rPr>
          <w:rFonts w:ascii="Trebuchet MS"/>
          <w:color w:val="231F20"/>
          <w:spacing w:val="-12"/>
          <w:w w:val="105"/>
          <w:sz w:val="14"/>
        </w:rPr>
        <w:t xml:space="preserve"> </w:t>
      </w:r>
      <w:r>
        <w:rPr>
          <w:rFonts w:ascii="Trebuchet MS"/>
          <w:color w:val="231F20"/>
          <w:w w:val="105"/>
          <w:sz w:val="14"/>
        </w:rPr>
        <w:t>Sport</w:t>
      </w:r>
      <w:r>
        <w:rPr>
          <w:rFonts w:ascii="Trebuchet MS"/>
          <w:color w:val="231F20"/>
          <w:spacing w:val="-11"/>
          <w:w w:val="105"/>
          <w:sz w:val="14"/>
        </w:rPr>
        <w:t xml:space="preserve"> </w:t>
      </w:r>
      <w:r>
        <w:rPr>
          <w:rFonts w:ascii="Trebuchet MS"/>
          <w:color w:val="231F20"/>
          <w:w w:val="105"/>
          <w:sz w:val="14"/>
        </w:rPr>
        <w:t>and</w:t>
      </w:r>
      <w:r>
        <w:rPr>
          <w:rFonts w:ascii="Trebuchet MS"/>
          <w:color w:val="231F20"/>
          <w:spacing w:val="-11"/>
          <w:w w:val="105"/>
          <w:sz w:val="14"/>
        </w:rPr>
        <w:t xml:space="preserve"> </w:t>
      </w:r>
      <w:r>
        <w:rPr>
          <w:rFonts w:ascii="Trebuchet MS"/>
          <w:color w:val="231F20"/>
          <w:w w:val="105"/>
          <w:sz w:val="14"/>
        </w:rPr>
        <w:t>Culture</w:t>
      </w:r>
      <w:r>
        <w:rPr>
          <w:rFonts w:ascii="Trebuchet MS"/>
          <w:color w:val="231F20"/>
          <w:spacing w:val="71"/>
          <w:w w:val="105"/>
          <w:sz w:val="14"/>
        </w:rPr>
        <w:t xml:space="preserve"> </w:t>
      </w:r>
      <w:r>
        <w:rPr>
          <w:rFonts w:ascii="Trebuchet MS"/>
          <w:color w:val="231F20"/>
          <w:spacing w:val="-5"/>
          <w:w w:val="105"/>
          <w:sz w:val="14"/>
        </w:rPr>
        <w:t>113</w:t>
      </w:r>
    </w:p>
    <w:p w14:paraId="59EFF471" w14:textId="77777777" w:rsidR="00AE0598" w:rsidRDefault="00AE0598">
      <w:pPr>
        <w:pStyle w:val="Corpodetexto"/>
        <w:rPr>
          <w:rFonts w:ascii="Trebuchet MS"/>
          <w:sz w:val="16"/>
        </w:rPr>
      </w:pPr>
    </w:p>
    <w:p w14:paraId="65817787" w14:textId="77777777" w:rsidR="00AE0598" w:rsidRDefault="0069255A">
      <w:pPr>
        <w:pStyle w:val="Corpodetexto"/>
        <w:spacing w:before="118" w:line="232" w:lineRule="auto"/>
        <w:ind w:left="110" w:right="123" w:firstLine="320"/>
        <w:jc w:val="both"/>
      </w:pPr>
      <w:r>
        <w:rPr>
          <w:color w:val="231F20"/>
          <w:w w:val="95"/>
        </w:rPr>
        <w:t xml:space="preserve">Sport (Bale, 2002) and leisure (e.g. Lee </w:t>
      </w:r>
      <w:r>
        <w:rPr>
          <w:i/>
          <w:color w:val="231F20"/>
          <w:w w:val="95"/>
        </w:rPr>
        <w:t>et al.</w:t>
      </w:r>
      <w:r>
        <w:rPr>
          <w:color w:val="231F20"/>
          <w:w w:val="95"/>
        </w:rPr>
        <w:t xml:space="preserve">, 2012) are two phenomena </w:t>
      </w:r>
      <w:r>
        <w:rPr>
          <w:color w:val="231F20"/>
        </w:rPr>
        <w:t>that</w:t>
      </w:r>
      <w:r>
        <w:rPr>
          <w:color w:val="231F20"/>
          <w:spacing w:val="40"/>
        </w:rPr>
        <w:t xml:space="preserve"> </w:t>
      </w:r>
      <w:r>
        <w:rPr>
          <w:color w:val="231F20"/>
        </w:rPr>
        <w:t>infuse</w:t>
      </w:r>
      <w:r>
        <w:rPr>
          <w:color w:val="231F20"/>
          <w:spacing w:val="40"/>
        </w:rPr>
        <w:t xml:space="preserve"> </w:t>
      </w:r>
      <w:r>
        <w:rPr>
          <w:color w:val="231F20"/>
        </w:rPr>
        <w:t>space</w:t>
      </w:r>
      <w:r>
        <w:rPr>
          <w:color w:val="231F20"/>
          <w:spacing w:val="40"/>
        </w:rPr>
        <w:t xml:space="preserve"> </w:t>
      </w:r>
      <w:r>
        <w:rPr>
          <w:color w:val="231F20"/>
        </w:rPr>
        <w:t>with</w:t>
      </w:r>
      <w:r>
        <w:rPr>
          <w:color w:val="231F20"/>
          <w:spacing w:val="40"/>
        </w:rPr>
        <w:t xml:space="preserve"> </w:t>
      </w:r>
      <w:r>
        <w:rPr>
          <w:color w:val="231F20"/>
        </w:rPr>
        <w:t>meaning.</w:t>
      </w:r>
      <w:r>
        <w:rPr>
          <w:color w:val="231F20"/>
          <w:spacing w:val="40"/>
        </w:rPr>
        <w:t xml:space="preserve"> </w:t>
      </w:r>
      <w:r>
        <w:rPr>
          <w:color w:val="231F20"/>
        </w:rPr>
        <w:t>Just</w:t>
      </w:r>
      <w:r>
        <w:rPr>
          <w:color w:val="231F20"/>
          <w:spacing w:val="40"/>
        </w:rPr>
        <w:t xml:space="preserve"> </w:t>
      </w:r>
      <w:r>
        <w:rPr>
          <w:color w:val="231F20"/>
        </w:rPr>
        <w:t>as</w:t>
      </w:r>
      <w:r>
        <w:rPr>
          <w:color w:val="231F20"/>
          <w:spacing w:val="40"/>
        </w:rPr>
        <w:t xml:space="preserve"> </w:t>
      </w:r>
      <w:r>
        <w:rPr>
          <w:color w:val="231F20"/>
        </w:rPr>
        <w:t>Williams</w:t>
      </w:r>
      <w:r>
        <w:rPr>
          <w:color w:val="231F20"/>
          <w:spacing w:val="40"/>
        </w:rPr>
        <w:t xml:space="preserve"> </w:t>
      </w:r>
      <w:r>
        <w:rPr>
          <w:color w:val="231F20"/>
        </w:rPr>
        <w:t>and</w:t>
      </w:r>
      <w:r>
        <w:rPr>
          <w:color w:val="231F20"/>
          <w:spacing w:val="40"/>
        </w:rPr>
        <w:t xml:space="preserve"> </w:t>
      </w:r>
      <w:r>
        <w:rPr>
          <w:color w:val="231F20"/>
        </w:rPr>
        <w:t>Kaltenborn (1999: 215) have argued that outdoor leisure activities are undertaken ‘to establish identity, give meaning to their (the participants) lives, and connect to place’, we argue that sporting engagement functions in the same way. In one of the firs</w:t>
      </w:r>
      <w:r>
        <w:rPr>
          <w:color w:val="231F20"/>
        </w:rPr>
        <w:t xml:space="preserve">t texts in this field, Standeven and De Knop (1999: 58) contended that sport tourism is ‘an experience of physical activity tied to an experience of place’. More recently, Gammon (2015) </w:t>
      </w:r>
      <w:r>
        <w:rPr>
          <w:color w:val="231F20"/>
          <w:w w:val="95"/>
        </w:rPr>
        <w:t xml:space="preserve">renewed this claim and has called for more research into the way that </w:t>
      </w:r>
      <w:r>
        <w:rPr>
          <w:color w:val="231F20"/>
          <w:w w:val="95"/>
        </w:rPr>
        <w:t xml:space="preserve">place </w:t>
      </w:r>
      <w:r>
        <w:rPr>
          <w:color w:val="231F20"/>
        </w:rPr>
        <w:t>is</w:t>
      </w:r>
      <w:r>
        <w:rPr>
          <w:color w:val="231F20"/>
          <w:spacing w:val="-2"/>
        </w:rPr>
        <w:t xml:space="preserve"> </w:t>
      </w:r>
      <w:r>
        <w:rPr>
          <w:color w:val="231F20"/>
        </w:rPr>
        <w:t>experienced</w:t>
      </w:r>
      <w:r>
        <w:rPr>
          <w:color w:val="231F20"/>
          <w:spacing w:val="-2"/>
        </w:rPr>
        <w:t xml:space="preserve"> </w:t>
      </w:r>
      <w:r>
        <w:rPr>
          <w:color w:val="231F20"/>
        </w:rPr>
        <w:t>in</w:t>
      </w:r>
      <w:r>
        <w:rPr>
          <w:color w:val="231F20"/>
          <w:spacing w:val="-2"/>
        </w:rPr>
        <w:t xml:space="preserve"> </w:t>
      </w:r>
      <w:r>
        <w:rPr>
          <w:color w:val="231F20"/>
        </w:rPr>
        <w:t>a</w:t>
      </w:r>
      <w:r>
        <w:rPr>
          <w:color w:val="231F20"/>
          <w:spacing w:val="-2"/>
        </w:rPr>
        <w:t xml:space="preserve"> </w:t>
      </w:r>
      <w:r>
        <w:rPr>
          <w:color w:val="231F20"/>
        </w:rPr>
        <w:t>sport</w:t>
      </w:r>
      <w:r>
        <w:rPr>
          <w:color w:val="231F20"/>
          <w:spacing w:val="-2"/>
        </w:rPr>
        <w:t xml:space="preserve"> </w:t>
      </w:r>
      <w:r>
        <w:rPr>
          <w:color w:val="231F20"/>
        </w:rPr>
        <w:t>tourism</w:t>
      </w:r>
      <w:r>
        <w:rPr>
          <w:color w:val="231F20"/>
          <w:spacing w:val="-2"/>
        </w:rPr>
        <w:t xml:space="preserve"> </w:t>
      </w:r>
      <w:r>
        <w:rPr>
          <w:color w:val="231F20"/>
        </w:rPr>
        <w:t>context.</w:t>
      </w:r>
      <w:r>
        <w:rPr>
          <w:color w:val="231F20"/>
          <w:spacing w:val="-2"/>
        </w:rPr>
        <w:t xml:space="preserve"> </w:t>
      </w:r>
      <w:r>
        <w:rPr>
          <w:color w:val="231F20"/>
        </w:rPr>
        <w:t>Examples</w:t>
      </w:r>
      <w:r>
        <w:rPr>
          <w:color w:val="231F20"/>
          <w:spacing w:val="-2"/>
        </w:rPr>
        <w:t xml:space="preserve"> </w:t>
      </w:r>
      <w:r>
        <w:rPr>
          <w:color w:val="231F20"/>
        </w:rPr>
        <w:t>of</w:t>
      </w:r>
      <w:r>
        <w:rPr>
          <w:color w:val="231F20"/>
          <w:spacing w:val="-2"/>
        </w:rPr>
        <w:t xml:space="preserve"> </w:t>
      </w:r>
      <w:r>
        <w:rPr>
          <w:color w:val="231F20"/>
        </w:rPr>
        <w:t>relevant</w:t>
      </w:r>
      <w:r>
        <w:rPr>
          <w:color w:val="231F20"/>
          <w:spacing w:val="-2"/>
        </w:rPr>
        <w:t xml:space="preserve"> </w:t>
      </w:r>
      <w:r>
        <w:rPr>
          <w:color w:val="231F20"/>
        </w:rPr>
        <w:t xml:space="preserve">research </w:t>
      </w:r>
      <w:r>
        <w:rPr>
          <w:color w:val="231F20"/>
          <w:w w:val="95"/>
        </w:rPr>
        <w:t xml:space="preserve">responses include Brown </w:t>
      </w:r>
      <w:r>
        <w:rPr>
          <w:i/>
          <w:color w:val="231F20"/>
          <w:w w:val="95"/>
        </w:rPr>
        <w:t>et al</w:t>
      </w:r>
      <w:r>
        <w:rPr>
          <w:color w:val="231F20"/>
          <w:w w:val="95"/>
        </w:rPr>
        <w:t xml:space="preserve">.’s (2016) study of sport involvement, place </w:t>
      </w:r>
      <w:r>
        <w:rPr>
          <w:color w:val="231F20"/>
        </w:rPr>
        <w:t xml:space="preserve">attachment, event satisfaction and spectator intentions at the London </w:t>
      </w:r>
      <w:r>
        <w:rPr>
          <w:color w:val="231F20"/>
          <w:w w:val="95"/>
        </w:rPr>
        <w:t>Olympics, in which they concluded that the psychological connection that spectators</w:t>
      </w:r>
      <w:r>
        <w:rPr>
          <w:color w:val="231F20"/>
          <w:spacing w:val="25"/>
        </w:rPr>
        <w:t xml:space="preserve"> </w:t>
      </w:r>
      <w:r>
        <w:rPr>
          <w:color w:val="231F20"/>
          <w:w w:val="95"/>
        </w:rPr>
        <w:t>form</w:t>
      </w:r>
      <w:r>
        <w:rPr>
          <w:color w:val="231F20"/>
          <w:spacing w:val="25"/>
        </w:rPr>
        <w:t xml:space="preserve"> </w:t>
      </w:r>
      <w:r>
        <w:rPr>
          <w:color w:val="231F20"/>
          <w:w w:val="95"/>
        </w:rPr>
        <w:t>in</w:t>
      </w:r>
      <w:r>
        <w:rPr>
          <w:color w:val="231F20"/>
          <w:spacing w:val="25"/>
        </w:rPr>
        <w:t xml:space="preserve"> </w:t>
      </w:r>
      <w:r>
        <w:rPr>
          <w:color w:val="231F20"/>
          <w:w w:val="95"/>
        </w:rPr>
        <w:t>relation</w:t>
      </w:r>
      <w:r>
        <w:rPr>
          <w:color w:val="231F20"/>
          <w:spacing w:val="25"/>
        </w:rPr>
        <w:t xml:space="preserve"> </w:t>
      </w:r>
      <w:r>
        <w:rPr>
          <w:color w:val="231F20"/>
          <w:w w:val="95"/>
        </w:rPr>
        <w:t>to</w:t>
      </w:r>
      <w:r>
        <w:rPr>
          <w:color w:val="231F20"/>
          <w:spacing w:val="25"/>
        </w:rPr>
        <w:t xml:space="preserve"> </w:t>
      </w:r>
      <w:r>
        <w:rPr>
          <w:color w:val="231F20"/>
          <w:w w:val="95"/>
        </w:rPr>
        <w:t>event</w:t>
      </w:r>
      <w:r>
        <w:rPr>
          <w:color w:val="231F20"/>
          <w:spacing w:val="25"/>
        </w:rPr>
        <w:t xml:space="preserve"> </w:t>
      </w:r>
      <w:r>
        <w:rPr>
          <w:color w:val="231F20"/>
          <w:w w:val="95"/>
        </w:rPr>
        <w:t>venues</w:t>
      </w:r>
      <w:r>
        <w:rPr>
          <w:color w:val="231F20"/>
          <w:spacing w:val="25"/>
        </w:rPr>
        <w:t xml:space="preserve"> </w:t>
      </w:r>
      <w:r>
        <w:rPr>
          <w:color w:val="231F20"/>
          <w:w w:val="95"/>
        </w:rPr>
        <w:t>does</w:t>
      </w:r>
      <w:r>
        <w:rPr>
          <w:color w:val="231F20"/>
          <w:spacing w:val="25"/>
        </w:rPr>
        <w:t xml:space="preserve"> </w:t>
      </w:r>
      <w:r>
        <w:rPr>
          <w:color w:val="231F20"/>
          <w:w w:val="95"/>
        </w:rPr>
        <w:t>not</w:t>
      </w:r>
      <w:r>
        <w:rPr>
          <w:color w:val="231F20"/>
          <w:spacing w:val="25"/>
        </w:rPr>
        <w:t xml:space="preserve"> </w:t>
      </w:r>
      <w:r>
        <w:rPr>
          <w:color w:val="231F20"/>
          <w:w w:val="95"/>
        </w:rPr>
        <w:t>necessarily</w:t>
      </w:r>
      <w:r>
        <w:rPr>
          <w:color w:val="231F20"/>
          <w:spacing w:val="25"/>
        </w:rPr>
        <w:t xml:space="preserve"> </w:t>
      </w:r>
      <w:r>
        <w:rPr>
          <w:color w:val="231F20"/>
          <w:w w:val="95"/>
        </w:rPr>
        <w:t>transfer to their attachment to the host city. K</w:t>
      </w:r>
      <w:r>
        <w:rPr>
          <w:color w:val="231F20"/>
          <w:w w:val="95"/>
        </w:rPr>
        <w:t xml:space="preserve">irkup and Sutherland (2017) make a </w:t>
      </w:r>
      <w:r>
        <w:rPr>
          <w:color w:val="231F20"/>
        </w:rPr>
        <w:t xml:space="preserve">similar claim in their research, noting that the host cities of sport events </w:t>
      </w:r>
      <w:r>
        <w:rPr>
          <w:color w:val="231F20"/>
          <w:w w:val="95"/>
        </w:rPr>
        <w:t>are</w:t>
      </w:r>
      <w:r>
        <w:rPr>
          <w:color w:val="231F20"/>
          <w:spacing w:val="23"/>
        </w:rPr>
        <w:t xml:space="preserve"> </w:t>
      </w:r>
      <w:r>
        <w:rPr>
          <w:color w:val="231F20"/>
          <w:w w:val="95"/>
        </w:rPr>
        <w:t>often</w:t>
      </w:r>
      <w:r>
        <w:rPr>
          <w:color w:val="231F20"/>
          <w:spacing w:val="23"/>
        </w:rPr>
        <w:t xml:space="preserve"> </w:t>
      </w:r>
      <w:r>
        <w:rPr>
          <w:color w:val="231F20"/>
          <w:w w:val="95"/>
        </w:rPr>
        <w:t>challenged</w:t>
      </w:r>
      <w:r>
        <w:rPr>
          <w:color w:val="231F20"/>
          <w:spacing w:val="23"/>
        </w:rPr>
        <w:t xml:space="preserve"> </w:t>
      </w:r>
      <w:r>
        <w:rPr>
          <w:color w:val="231F20"/>
          <w:w w:val="95"/>
        </w:rPr>
        <w:t>to</w:t>
      </w:r>
      <w:r>
        <w:rPr>
          <w:color w:val="231F20"/>
          <w:spacing w:val="23"/>
        </w:rPr>
        <w:t xml:space="preserve"> </w:t>
      </w:r>
      <w:r>
        <w:rPr>
          <w:color w:val="231F20"/>
          <w:w w:val="95"/>
        </w:rPr>
        <w:t>attract</w:t>
      </w:r>
      <w:r>
        <w:rPr>
          <w:color w:val="231F20"/>
          <w:spacing w:val="23"/>
        </w:rPr>
        <w:t xml:space="preserve"> </w:t>
      </w:r>
      <w:r>
        <w:rPr>
          <w:color w:val="231F20"/>
          <w:w w:val="95"/>
        </w:rPr>
        <w:t>repeat</w:t>
      </w:r>
      <w:r>
        <w:rPr>
          <w:color w:val="231F20"/>
          <w:spacing w:val="23"/>
        </w:rPr>
        <w:t xml:space="preserve"> </w:t>
      </w:r>
      <w:r>
        <w:rPr>
          <w:color w:val="231F20"/>
          <w:w w:val="95"/>
        </w:rPr>
        <w:t>visitors</w:t>
      </w:r>
      <w:r>
        <w:rPr>
          <w:color w:val="231F20"/>
          <w:spacing w:val="23"/>
        </w:rPr>
        <w:t xml:space="preserve"> </w:t>
      </w:r>
      <w:r>
        <w:rPr>
          <w:color w:val="231F20"/>
          <w:w w:val="95"/>
        </w:rPr>
        <w:t>beyond</w:t>
      </w:r>
      <w:r>
        <w:rPr>
          <w:color w:val="231F20"/>
          <w:spacing w:val="23"/>
        </w:rPr>
        <w:t xml:space="preserve"> </w:t>
      </w:r>
      <w:r>
        <w:rPr>
          <w:color w:val="231F20"/>
          <w:w w:val="95"/>
        </w:rPr>
        <w:t>those</w:t>
      </w:r>
      <w:r>
        <w:rPr>
          <w:color w:val="231F20"/>
          <w:spacing w:val="23"/>
        </w:rPr>
        <w:t xml:space="preserve"> </w:t>
      </w:r>
      <w:r>
        <w:rPr>
          <w:color w:val="231F20"/>
          <w:w w:val="95"/>
        </w:rPr>
        <w:t>returning</w:t>
      </w:r>
      <w:r>
        <w:rPr>
          <w:color w:val="231F20"/>
          <w:spacing w:val="23"/>
        </w:rPr>
        <w:t xml:space="preserve"> </w:t>
      </w:r>
      <w:r>
        <w:rPr>
          <w:color w:val="231F20"/>
          <w:w w:val="95"/>
        </w:rPr>
        <w:t xml:space="preserve">for </w:t>
      </w:r>
      <w:r>
        <w:rPr>
          <w:color w:val="231F20"/>
        </w:rPr>
        <w:t>a similar event.</w:t>
      </w:r>
    </w:p>
    <w:p w14:paraId="32D36623" w14:textId="77777777" w:rsidR="00AE0598" w:rsidRDefault="0069255A">
      <w:pPr>
        <w:pStyle w:val="Corpodetexto"/>
        <w:spacing w:before="22" w:line="232" w:lineRule="auto"/>
        <w:ind w:left="110" w:right="124" w:firstLine="320"/>
        <w:jc w:val="both"/>
      </w:pPr>
      <w:r>
        <w:rPr>
          <w:color w:val="231F20"/>
          <w:w w:val="95"/>
        </w:rPr>
        <w:t xml:space="preserve">Sport tourists become attached to place in a number </w:t>
      </w:r>
      <w:r>
        <w:rPr>
          <w:color w:val="231F20"/>
          <w:w w:val="95"/>
        </w:rPr>
        <w:t xml:space="preserve">of different ways. </w:t>
      </w:r>
      <w:r>
        <w:rPr>
          <w:color w:val="231F20"/>
        </w:rPr>
        <w:t>While</w:t>
      </w:r>
      <w:r>
        <w:rPr>
          <w:color w:val="231F20"/>
          <w:spacing w:val="-11"/>
        </w:rPr>
        <w:t xml:space="preserve"> </w:t>
      </w:r>
      <w:r>
        <w:rPr>
          <w:color w:val="231F20"/>
        </w:rPr>
        <w:t>place</w:t>
      </w:r>
      <w:r>
        <w:rPr>
          <w:color w:val="231F20"/>
          <w:spacing w:val="-11"/>
        </w:rPr>
        <w:t xml:space="preserve"> </w:t>
      </w:r>
      <w:r>
        <w:rPr>
          <w:color w:val="231F20"/>
        </w:rPr>
        <w:t>attachment</w:t>
      </w:r>
      <w:r>
        <w:rPr>
          <w:color w:val="231F20"/>
          <w:spacing w:val="-11"/>
        </w:rPr>
        <w:t xml:space="preserve"> </w:t>
      </w:r>
      <w:r>
        <w:rPr>
          <w:color w:val="231F20"/>
        </w:rPr>
        <w:t>is</w:t>
      </w:r>
      <w:r>
        <w:rPr>
          <w:color w:val="231F20"/>
          <w:spacing w:val="-11"/>
        </w:rPr>
        <w:t xml:space="preserve"> </w:t>
      </w:r>
      <w:r>
        <w:rPr>
          <w:color w:val="231F20"/>
        </w:rPr>
        <w:t>multidimensional</w:t>
      </w:r>
      <w:r>
        <w:rPr>
          <w:color w:val="231F20"/>
          <w:spacing w:val="-11"/>
        </w:rPr>
        <w:t xml:space="preserve"> </w:t>
      </w:r>
      <w:r>
        <w:rPr>
          <w:color w:val="231F20"/>
        </w:rPr>
        <w:t>and</w:t>
      </w:r>
      <w:r>
        <w:rPr>
          <w:color w:val="231F20"/>
          <w:spacing w:val="-11"/>
        </w:rPr>
        <w:t xml:space="preserve"> </w:t>
      </w:r>
      <w:r>
        <w:rPr>
          <w:color w:val="231F20"/>
        </w:rPr>
        <w:t>complex,</w:t>
      </w:r>
      <w:r>
        <w:rPr>
          <w:color w:val="231F20"/>
          <w:spacing w:val="-11"/>
        </w:rPr>
        <w:t xml:space="preserve"> </w:t>
      </w:r>
      <w:r>
        <w:rPr>
          <w:color w:val="231F20"/>
        </w:rPr>
        <w:t>two</w:t>
      </w:r>
      <w:r>
        <w:rPr>
          <w:color w:val="231F20"/>
          <w:spacing w:val="-11"/>
        </w:rPr>
        <w:t xml:space="preserve"> </w:t>
      </w:r>
      <w:r>
        <w:rPr>
          <w:color w:val="231F20"/>
        </w:rPr>
        <w:t>of</w:t>
      </w:r>
      <w:r>
        <w:rPr>
          <w:color w:val="231F20"/>
          <w:spacing w:val="-11"/>
        </w:rPr>
        <w:t xml:space="preserve"> </w:t>
      </w:r>
      <w:r>
        <w:rPr>
          <w:color w:val="231F20"/>
        </w:rPr>
        <w:t>its</w:t>
      </w:r>
      <w:r>
        <w:rPr>
          <w:color w:val="231F20"/>
          <w:spacing w:val="-11"/>
        </w:rPr>
        <w:t xml:space="preserve"> </w:t>
      </w:r>
      <w:r>
        <w:rPr>
          <w:color w:val="231F20"/>
        </w:rPr>
        <w:t>most prominent aspects include place dependence and place identity. Place dependence is the functional tie that individuals and collectives have to a space. Brown and Ray</w:t>
      </w:r>
      <w:r>
        <w:rPr>
          <w:color w:val="231F20"/>
        </w:rPr>
        <w:t xml:space="preserve">mond (2007: 90) state that ‘[p]lace dependence </w:t>
      </w:r>
      <w:r>
        <w:rPr>
          <w:color w:val="231F20"/>
          <w:w w:val="95"/>
        </w:rPr>
        <w:t xml:space="preserve">refers to connections based specifically on activities that take place in the </w:t>
      </w:r>
      <w:r>
        <w:rPr>
          <w:color w:val="231F20"/>
        </w:rPr>
        <w:t xml:space="preserve">setting’. In the context of sport tourism, a particular location may have a </w:t>
      </w:r>
      <w:r>
        <w:rPr>
          <w:color w:val="231F20"/>
          <w:w w:val="95"/>
        </w:rPr>
        <w:t>unique combination of resources that facilitate certain sporting activities.</w:t>
      </w:r>
      <w:r>
        <w:rPr>
          <w:color w:val="231F20"/>
          <w:spacing w:val="40"/>
        </w:rPr>
        <w:t xml:space="preserve"> </w:t>
      </w:r>
      <w:r>
        <w:rPr>
          <w:color w:val="231F20"/>
          <w:w w:val="95"/>
        </w:rPr>
        <w:t>An example would be the dependence of downhill skiers and snowboarders on accessible ski resort areas t</w:t>
      </w:r>
      <w:r>
        <w:rPr>
          <w:color w:val="231F20"/>
          <w:w w:val="95"/>
        </w:rPr>
        <w:t xml:space="preserve">hat receive generous amounts of snow cover. This functional dependence typically contributes to a strong attachment to the area (see discussion on sport tourism in peripheral areas in Chapter 5). </w:t>
      </w:r>
      <w:r>
        <w:rPr>
          <w:color w:val="231F20"/>
        </w:rPr>
        <w:t>The</w:t>
      </w:r>
      <w:r>
        <w:rPr>
          <w:color w:val="231F20"/>
          <w:spacing w:val="-6"/>
        </w:rPr>
        <w:t xml:space="preserve"> </w:t>
      </w:r>
      <w:r>
        <w:rPr>
          <w:color w:val="231F20"/>
        </w:rPr>
        <w:t>second</w:t>
      </w:r>
      <w:r>
        <w:rPr>
          <w:color w:val="231F20"/>
          <w:spacing w:val="-6"/>
        </w:rPr>
        <w:t xml:space="preserve"> </w:t>
      </w:r>
      <w:r>
        <w:rPr>
          <w:color w:val="231F20"/>
        </w:rPr>
        <w:t>major</w:t>
      </w:r>
      <w:r>
        <w:rPr>
          <w:color w:val="231F20"/>
          <w:spacing w:val="-6"/>
        </w:rPr>
        <w:t xml:space="preserve"> </w:t>
      </w:r>
      <w:r>
        <w:rPr>
          <w:color w:val="231F20"/>
        </w:rPr>
        <w:t>dimension</w:t>
      </w:r>
      <w:r>
        <w:rPr>
          <w:color w:val="231F20"/>
          <w:spacing w:val="-6"/>
        </w:rPr>
        <w:t xml:space="preserve"> </w:t>
      </w:r>
      <w:r>
        <w:rPr>
          <w:color w:val="231F20"/>
        </w:rPr>
        <w:t>of</w:t>
      </w:r>
      <w:r>
        <w:rPr>
          <w:color w:val="231F20"/>
          <w:spacing w:val="-6"/>
        </w:rPr>
        <w:t xml:space="preserve"> </w:t>
      </w:r>
      <w:r>
        <w:rPr>
          <w:color w:val="231F20"/>
        </w:rPr>
        <w:t>place</w:t>
      </w:r>
      <w:r>
        <w:rPr>
          <w:color w:val="231F20"/>
          <w:spacing w:val="-6"/>
        </w:rPr>
        <w:t xml:space="preserve"> </w:t>
      </w:r>
      <w:r>
        <w:rPr>
          <w:color w:val="231F20"/>
        </w:rPr>
        <w:t>attachment</w:t>
      </w:r>
      <w:r>
        <w:rPr>
          <w:color w:val="231F20"/>
          <w:spacing w:val="-6"/>
        </w:rPr>
        <w:t xml:space="preserve"> </w:t>
      </w:r>
      <w:r>
        <w:rPr>
          <w:color w:val="231F20"/>
        </w:rPr>
        <w:t>is</w:t>
      </w:r>
      <w:r>
        <w:rPr>
          <w:color w:val="231F20"/>
          <w:spacing w:val="-6"/>
        </w:rPr>
        <w:t xml:space="preserve"> </w:t>
      </w:r>
      <w:r>
        <w:rPr>
          <w:color w:val="231F20"/>
        </w:rPr>
        <w:t>place</w:t>
      </w:r>
      <w:r>
        <w:rPr>
          <w:color w:val="231F20"/>
          <w:spacing w:val="-6"/>
        </w:rPr>
        <w:t xml:space="preserve"> </w:t>
      </w:r>
      <w:r>
        <w:rPr>
          <w:color w:val="231F20"/>
        </w:rPr>
        <w:t>iden</w:t>
      </w:r>
      <w:r>
        <w:rPr>
          <w:color w:val="231F20"/>
        </w:rPr>
        <w:t>tity,</w:t>
      </w:r>
      <w:r>
        <w:rPr>
          <w:color w:val="231F20"/>
          <w:spacing w:val="-6"/>
        </w:rPr>
        <w:t xml:space="preserve"> </w:t>
      </w:r>
      <w:r>
        <w:rPr>
          <w:color w:val="231F20"/>
        </w:rPr>
        <w:t>which plays a role in the self-making of individuals and groups (Kerstetter &amp; Bricker,</w:t>
      </w:r>
      <w:r>
        <w:rPr>
          <w:color w:val="231F20"/>
          <w:spacing w:val="-1"/>
        </w:rPr>
        <w:t xml:space="preserve"> </w:t>
      </w:r>
      <w:r>
        <w:rPr>
          <w:color w:val="231F20"/>
        </w:rPr>
        <w:t>2009;</w:t>
      </w:r>
      <w:r>
        <w:rPr>
          <w:color w:val="231F20"/>
          <w:spacing w:val="-1"/>
        </w:rPr>
        <w:t xml:space="preserve"> </w:t>
      </w:r>
      <w:r>
        <w:rPr>
          <w:color w:val="231F20"/>
        </w:rPr>
        <w:t>Scannell</w:t>
      </w:r>
      <w:r>
        <w:rPr>
          <w:color w:val="231F20"/>
          <w:spacing w:val="-1"/>
        </w:rPr>
        <w:t xml:space="preserve"> </w:t>
      </w:r>
      <w:r>
        <w:rPr>
          <w:color w:val="231F20"/>
        </w:rPr>
        <w:t>&amp;</w:t>
      </w:r>
      <w:r>
        <w:rPr>
          <w:color w:val="231F20"/>
          <w:spacing w:val="-1"/>
        </w:rPr>
        <w:t xml:space="preserve"> </w:t>
      </w:r>
      <w:r>
        <w:rPr>
          <w:color w:val="231F20"/>
        </w:rPr>
        <w:t>Gifford,</w:t>
      </w:r>
      <w:r>
        <w:rPr>
          <w:color w:val="231F20"/>
          <w:spacing w:val="-1"/>
        </w:rPr>
        <w:t xml:space="preserve"> </w:t>
      </w:r>
      <w:r>
        <w:rPr>
          <w:color w:val="231F20"/>
        </w:rPr>
        <w:t>2010).</w:t>
      </w:r>
      <w:r>
        <w:rPr>
          <w:color w:val="231F20"/>
          <w:spacing w:val="-1"/>
        </w:rPr>
        <w:t xml:space="preserve"> </w:t>
      </w:r>
      <w:r>
        <w:rPr>
          <w:color w:val="231F20"/>
        </w:rPr>
        <w:t>In</w:t>
      </w:r>
      <w:r>
        <w:rPr>
          <w:color w:val="231F20"/>
          <w:spacing w:val="-1"/>
        </w:rPr>
        <w:t xml:space="preserve"> </w:t>
      </w:r>
      <w:r>
        <w:rPr>
          <w:color w:val="231F20"/>
        </w:rPr>
        <w:t>articulating</w:t>
      </w:r>
      <w:r>
        <w:rPr>
          <w:color w:val="231F20"/>
          <w:spacing w:val="-1"/>
        </w:rPr>
        <w:t xml:space="preserve"> </w:t>
      </w:r>
      <w:r>
        <w:rPr>
          <w:color w:val="231F20"/>
        </w:rPr>
        <w:t>where</w:t>
      </w:r>
      <w:r>
        <w:rPr>
          <w:color w:val="231F20"/>
          <w:spacing w:val="-1"/>
        </w:rPr>
        <w:t xml:space="preserve"> </w:t>
      </w:r>
      <w:r>
        <w:rPr>
          <w:color w:val="231F20"/>
        </w:rPr>
        <w:t>we</w:t>
      </w:r>
      <w:r>
        <w:rPr>
          <w:color w:val="231F20"/>
          <w:spacing w:val="-1"/>
        </w:rPr>
        <w:t xml:space="preserve"> </w:t>
      </w:r>
      <w:r>
        <w:rPr>
          <w:color w:val="231F20"/>
        </w:rPr>
        <w:t>are</w:t>
      </w:r>
      <w:r>
        <w:rPr>
          <w:color w:val="231F20"/>
          <w:spacing w:val="-1"/>
        </w:rPr>
        <w:t xml:space="preserve"> </w:t>
      </w:r>
      <w:r>
        <w:rPr>
          <w:color w:val="231F20"/>
        </w:rPr>
        <w:t>or where we play, we add to our understanding of who we are. Traveling for</w:t>
      </w:r>
      <w:r>
        <w:rPr>
          <w:color w:val="231F20"/>
          <w:spacing w:val="-4"/>
        </w:rPr>
        <w:t xml:space="preserve"> </w:t>
      </w:r>
      <w:r>
        <w:rPr>
          <w:color w:val="231F20"/>
        </w:rPr>
        <w:t>sport</w:t>
      </w:r>
      <w:r>
        <w:rPr>
          <w:color w:val="231F20"/>
          <w:spacing w:val="-4"/>
        </w:rPr>
        <w:t xml:space="preserve"> </w:t>
      </w:r>
      <w:r>
        <w:rPr>
          <w:color w:val="231F20"/>
        </w:rPr>
        <w:t>is</w:t>
      </w:r>
      <w:r>
        <w:rPr>
          <w:color w:val="231F20"/>
          <w:spacing w:val="-4"/>
        </w:rPr>
        <w:t xml:space="preserve"> </w:t>
      </w:r>
      <w:r>
        <w:rPr>
          <w:color w:val="231F20"/>
        </w:rPr>
        <w:t>therefore</w:t>
      </w:r>
      <w:r>
        <w:rPr>
          <w:color w:val="231F20"/>
          <w:spacing w:val="-4"/>
        </w:rPr>
        <w:t xml:space="preserve"> </w:t>
      </w:r>
      <w:r>
        <w:rPr>
          <w:color w:val="231F20"/>
        </w:rPr>
        <w:t>an</w:t>
      </w:r>
      <w:r>
        <w:rPr>
          <w:color w:val="231F20"/>
          <w:spacing w:val="-5"/>
        </w:rPr>
        <w:t xml:space="preserve"> </w:t>
      </w:r>
      <w:r>
        <w:rPr>
          <w:color w:val="231F20"/>
        </w:rPr>
        <w:t>impo</w:t>
      </w:r>
      <w:r>
        <w:rPr>
          <w:color w:val="231F20"/>
        </w:rPr>
        <w:t>rtant</w:t>
      </w:r>
      <w:r>
        <w:rPr>
          <w:color w:val="231F20"/>
          <w:spacing w:val="-4"/>
        </w:rPr>
        <w:t xml:space="preserve"> </w:t>
      </w:r>
      <w:r>
        <w:rPr>
          <w:color w:val="231F20"/>
        </w:rPr>
        <w:t>part</w:t>
      </w:r>
      <w:r>
        <w:rPr>
          <w:color w:val="231F20"/>
          <w:spacing w:val="-5"/>
        </w:rPr>
        <w:t xml:space="preserve"> </w:t>
      </w:r>
      <w:r>
        <w:rPr>
          <w:color w:val="231F20"/>
        </w:rPr>
        <w:t>of</w:t>
      </w:r>
      <w:r>
        <w:rPr>
          <w:color w:val="231F20"/>
          <w:spacing w:val="-5"/>
        </w:rPr>
        <w:t xml:space="preserve"> </w:t>
      </w:r>
      <w:r>
        <w:rPr>
          <w:color w:val="231F20"/>
        </w:rPr>
        <w:t>the</w:t>
      </w:r>
      <w:r>
        <w:rPr>
          <w:color w:val="231F20"/>
          <w:spacing w:val="-4"/>
        </w:rPr>
        <w:t xml:space="preserve"> </w:t>
      </w:r>
      <w:r>
        <w:rPr>
          <w:color w:val="231F20"/>
        </w:rPr>
        <w:t>way</w:t>
      </w:r>
      <w:r>
        <w:rPr>
          <w:color w:val="231F20"/>
          <w:spacing w:val="-4"/>
        </w:rPr>
        <w:t xml:space="preserve"> </w:t>
      </w:r>
      <w:r>
        <w:rPr>
          <w:color w:val="231F20"/>
        </w:rPr>
        <w:t>we</w:t>
      </w:r>
      <w:r>
        <w:rPr>
          <w:color w:val="231F20"/>
          <w:spacing w:val="-5"/>
        </w:rPr>
        <w:t xml:space="preserve"> </w:t>
      </w:r>
      <w:r>
        <w:rPr>
          <w:color w:val="231F20"/>
        </w:rPr>
        <w:t>construct</w:t>
      </w:r>
      <w:r>
        <w:rPr>
          <w:color w:val="231F20"/>
          <w:spacing w:val="-4"/>
        </w:rPr>
        <w:t xml:space="preserve"> </w:t>
      </w:r>
      <w:r>
        <w:rPr>
          <w:color w:val="231F20"/>
        </w:rPr>
        <w:t>our</w:t>
      </w:r>
      <w:r>
        <w:rPr>
          <w:color w:val="231F20"/>
          <w:spacing w:val="-4"/>
        </w:rPr>
        <w:t xml:space="preserve"> </w:t>
      </w:r>
      <w:r>
        <w:rPr>
          <w:color w:val="231F20"/>
        </w:rPr>
        <w:t>self- identity. For example, ultramarathon runners are attached to the sites where</w:t>
      </w:r>
      <w:r>
        <w:rPr>
          <w:color w:val="231F20"/>
          <w:spacing w:val="-8"/>
        </w:rPr>
        <w:t xml:space="preserve"> </w:t>
      </w:r>
      <w:r>
        <w:rPr>
          <w:color w:val="231F20"/>
        </w:rPr>
        <w:t>they</w:t>
      </w:r>
      <w:r>
        <w:rPr>
          <w:color w:val="231F20"/>
          <w:spacing w:val="-8"/>
        </w:rPr>
        <w:t xml:space="preserve"> </w:t>
      </w:r>
      <w:r>
        <w:rPr>
          <w:color w:val="231F20"/>
        </w:rPr>
        <w:t>compete</w:t>
      </w:r>
      <w:r>
        <w:rPr>
          <w:color w:val="231F20"/>
          <w:spacing w:val="-8"/>
        </w:rPr>
        <w:t xml:space="preserve"> </w:t>
      </w:r>
      <w:r>
        <w:rPr>
          <w:color w:val="231F20"/>
        </w:rPr>
        <w:t>both</w:t>
      </w:r>
      <w:r>
        <w:rPr>
          <w:color w:val="231F20"/>
          <w:spacing w:val="-8"/>
        </w:rPr>
        <w:t xml:space="preserve"> </w:t>
      </w:r>
      <w:r>
        <w:rPr>
          <w:color w:val="231F20"/>
        </w:rPr>
        <w:t>as</w:t>
      </w:r>
      <w:r>
        <w:rPr>
          <w:color w:val="231F20"/>
          <w:spacing w:val="-8"/>
        </w:rPr>
        <w:t xml:space="preserve"> </w:t>
      </w:r>
      <w:r>
        <w:rPr>
          <w:color w:val="231F20"/>
        </w:rPr>
        <w:t>a</w:t>
      </w:r>
      <w:r>
        <w:rPr>
          <w:color w:val="231F20"/>
          <w:spacing w:val="-8"/>
        </w:rPr>
        <w:t xml:space="preserve"> </w:t>
      </w:r>
      <w:r>
        <w:rPr>
          <w:color w:val="231F20"/>
        </w:rPr>
        <w:t>result</w:t>
      </w:r>
      <w:r>
        <w:rPr>
          <w:color w:val="231F20"/>
          <w:spacing w:val="-8"/>
        </w:rPr>
        <w:t xml:space="preserve"> </w:t>
      </w:r>
      <w:r>
        <w:rPr>
          <w:color w:val="231F20"/>
        </w:rPr>
        <w:t>of</w:t>
      </w:r>
      <w:r>
        <w:rPr>
          <w:color w:val="231F20"/>
          <w:spacing w:val="-8"/>
        </w:rPr>
        <w:t xml:space="preserve"> </w:t>
      </w:r>
      <w:r>
        <w:rPr>
          <w:color w:val="231F20"/>
        </w:rPr>
        <w:t>their</w:t>
      </w:r>
      <w:r>
        <w:rPr>
          <w:color w:val="231F20"/>
          <w:spacing w:val="-8"/>
        </w:rPr>
        <w:t xml:space="preserve"> </w:t>
      </w:r>
      <w:r>
        <w:rPr>
          <w:color w:val="231F20"/>
        </w:rPr>
        <w:t>dependence</w:t>
      </w:r>
      <w:r>
        <w:rPr>
          <w:color w:val="231F20"/>
          <w:spacing w:val="-8"/>
        </w:rPr>
        <w:t xml:space="preserve"> </w:t>
      </w:r>
      <w:r>
        <w:rPr>
          <w:color w:val="231F20"/>
        </w:rPr>
        <w:t>on</w:t>
      </w:r>
      <w:r>
        <w:rPr>
          <w:color w:val="231F20"/>
          <w:spacing w:val="-8"/>
        </w:rPr>
        <w:t xml:space="preserve"> </w:t>
      </w:r>
      <w:r>
        <w:rPr>
          <w:color w:val="231F20"/>
        </w:rPr>
        <w:t>them</w:t>
      </w:r>
      <w:r>
        <w:rPr>
          <w:color w:val="231F20"/>
          <w:spacing w:val="-8"/>
        </w:rPr>
        <w:t xml:space="preserve"> </w:t>
      </w:r>
      <w:r>
        <w:rPr>
          <w:color w:val="231F20"/>
        </w:rPr>
        <w:t>to</w:t>
      </w:r>
      <w:r>
        <w:rPr>
          <w:color w:val="231F20"/>
          <w:spacing w:val="-8"/>
        </w:rPr>
        <w:t xml:space="preserve"> </w:t>
      </w:r>
      <w:r>
        <w:rPr>
          <w:color w:val="231F20"/>
        </w:rPr>
        <w:t>host the event (Hinch &amp; Holt, 2017) and in terms of the importance of the destination as part of their place identity (Hinch &amp; Kono, 2017).</w:t>
      </w:r>
    </w:p>
    <w:p w14:paraId="73021C5C" w14:textId="77777777" w:rsidR="00AE0598" w:rsidRDefault="00AE0598">
      <w:pPr>
        <w:pStyle w:val="Corpodetexto"/>
        <w:rPr>
          <w:sz w:val="23"/>
        </w:rPr>
      </w:pPr>
    </w:p>
    <w:p w14:paraId="3306F8D9" w14:textId="77777777" w:rsidR="00AE0598" w:rsidRDefault="0069255A">
      <w:pPr>
        <w:ind w:left="110"/>
        <w:rPr>
          <w:rFonts w:ascii="Trebuchet MS"/>
          <w:sz w:val="20"/>
        </w:rPr>
      </w:pPr>
      <w:r>
        <w:rPr>
          <w:rFonts w:ascii="Trebuchet MS"/>
          <w:color w:val="231F20"/>
          <w:sz w:val="20"/>
        </w:rPr>
        <w:t>Tourism</w:t>
      </w:r>
      <w:r>
        <w:rPr>
          <w:rFonts w:ascii="Trebuchet MS"/>
          <w:color w:val="231F20"/>
          <w:spacing w:val="9"/>
          <w:sz w:val="20"/>
        </w:rPr>
        <w:t xml:space="preserve"> </w:t>
      </w:r>
      <w:r>
        <w:rPr>
          <w:rFonts w:ascii="Trebuchet MS"/>
          <w:color w:val="231F20"/>
          <w:spacing w:val="-2"/>
          <w:sz w:val="20"/>
        </w:rPr>
        <w:t>places</w:t>
      </w:r>
    </w:p>
    <w:p w14:paraId="2D856763" w14:textId="77777777" w:rsidR="00AE0598" w:rsidRDefault="0069255A">
      <w:pPr>
        <w:pStyle w:val="Corpodetexto"/>
        <w:spacing w:before="122" w:line="232" w:lineRule="auto"/>
        <w:ind w:left="110" w:right="127" w:firstLine="320"/>
        <w:jc w:val="both"/>
      </w:pPr>
      <w:r>
        <w:rPr>
          <w:color w:val="231F20"/>
          <w:w w:val="95"/>
        </w:rPr>
        <w:t xml:space="preserve">In his seminal work, </w:t>
      </w:r>
      <w:r>
        <w:rPr>
          <w:i/>
          <w:color w:val="231F20"/>
          <w:w w:val="95"/>
        </w:rPr>
        <w:t>Place and Placelessness</w:t>
      </w:r>
      <w:r>
        <w:rPr>
          <w:color w:val="231F20"/>
          <w:w w:val="95"/>
        </w:rPr>
        <w:t>, Relph (1976) argued that the concept of sense of place</w:t>
      </w:r>
      <w:r>
        <w:rPr>
          <w:color w:val="231F20"/>
          <w:w w:val="95"/>
        </w:rPr>
        <w:t xml:space="preserve"> was most applicable in the local environment</w:t>
      </w:r>
    </w:p>
    <w:p w14:paraId="71DC1089" w14:textId="77777777" w:rsidR="00AE0598" w:rsidRDefault="00AE0598">
      <w:pPr>
        <w:spacing w:line="232" w:lineRule="auto"/>
        <w:jc w:val="both"/>
        <w:sectPr w:rsidR="00AE0598">
          <w:pgSz w:w="8850" w:h="13270"/>
          <w:pgMar w:top="720" w:right="1060" w:bottom="280" w:left="1080" w:header="720" w:footer="720" w:gutter="0"/>
          <w:cols w:space="720"/>
        </w:sectPr>
      </w:pPr>
    </w:p>
    <w:p w14:paraId="2273543A" w14:textId="77777777" w:rsidR="00AE0598" w:rsidRDefault="0069255A">
      <w:pPr>
        <w:spacing w:before="87"/>
        <w:ind w:left="108"/>
        <w:rPr>
          <w:rFonts w:ascii="Trebuchet MS"/>
          <w:sz w:val="14"/>
        </w:rPr>
      </w:pPr>
      <w:r>
        <w:rPr>
          <w:rFonts w:ascii="Trebuchet MS"/>
          <w:color w:val="231F20"/>
          <w:w w:val="105"/>
          <w:sz w:val="14"/>
        </w:rPr>
        <w:lastRenderedPageBreak/>
        <w:t>114</w:t>
      </w:r>
      <w:r>
        <w:rPr>
          <w:rFonts w:ascii="Trebuchet MS"/>
          <w:color w:val="231F20"/>
          <w:spacing w:val="66"/>
          <w:w w:val="150"/>
          <w:sz w:val="14"/>
        </w:rPr>
        <w:t xml:space="preserve"> </w:t>
      </w:r>
      <w:r>
        <w:rPr>
          <w:rFonts w:ascii="Trebuchet MS"/>
          <w:color w:val="231F20"/>
          <w:w w:val="105"/>
          <w:sz w:val="14"/>
        </w:rPr>
        <w:t>Part</w:t>
      </w:r>
      <w:r>
        <w:rPr>
          <w:rFonts w:ascii="Trebuchet MS"/>
          <w:color w:val="231F20"/>
          <w:spacing w:val="-9"/>
          <w:w w:val="105"/>
          <w:sz w:val="14"/>
        </w:rPr>
        <w:t xml:space="preserve"> </w:t>
      </w:r>
      <w:r>
        <w:rPr>
          <w:rFonts w:ascii="Trebuchet MS"/>
          <w:color w:val="231F20"/>
          <w:w w:val="105"/>
          <w:sz w:val="14"/>
        </w:rPr>
        <w:t>3:</w:t>
      </w:r>
      <w:r>
        <w:rPr>
          <w:rFonts w:ascii="Trebuchet MS"/>
          <w:color w:val="231F20"/>
          <w:spacing w:val="-8"/>
          <w:w w:val="105"/>
          <w:sz w:val="14"/>
        </w:rPr>
        <w:t xml:space="preserve"> </w:t>
      </w:r>
      <w:r>
        <w:rPr>
          <w:rFonts w:ascii="Trebuchet MS"/>
          <w:color w:val="231F20"/>
          <w:w w:val="105"/>
          <w:sz w:val="14"/>
        </w:rPr>
        <w:t>Sport</w:t>
      </w:r>
      <w:r>
        <w:rPr>
          <w:rFonts w:ascii="Trebuchet MS"/>
          <w:color w:val="231F20"/>
          <w:spacing w:val="-9"/>
          <w:w w:val="105"/>
          <w:sz w:val="14"/>
        </w:rPr>
        <w:t xml:space="preserve"> </w:t>
      </w:r>
      <w:r>
        <w:rPr>
          <w:rFonts w:ascii="Trebuchet MS"/>
          <w:color w:val="231F20"/>
          <w:w w:val="105"/>
          <w:sz w:val="14"/>
        </w:rPr>
        <w:t>Tourism</w:t>
      </w:r>
      <w:r>
        <w:rPr>
          <w:rFonts w:ascii="Trebuchet MS"/>
          <w:color w:val="231F20"/>
          <w:spacing w:val="-9"/>
          <w:w w:val="105"/>
          <w:sz w:val="14"/>
        </w:rPr>
        <w:t xml:space="preserve"> </w:t>
      </w:r>
      <w:r>
        <w:rPr>
          <w:rFonts w:ascii="Trebuchet MS"/>
          <w:color w:val="231F20"/>
          <w:w w:val="105"/>
          <w:sz w:val="14"/>
        </w:rPr>
        <w:t>Development</w:t>
      </w:r>
      <w:r>
        <w:rPr>
          <w:rFonts w:ascii="Trebuchet MS"/>
          <w:color w:val="231F20"/>
          <w:spacing w:val="-9"/>
          <w:w w:val="105"/>
          <w:sz w:val="14"/>
        </w:rPr>
        <w:t xml:space="preserve"> </w:t>
      </w:r>
      <w:r>
        <w:rPr>
          <w:rFonts w:ascii="Trebuchet MS"/>
          <w:color w:val="231F20"/>
          <w:w w:val="105"/>
          <w:sz w:val="14"/>
        </w:rPr>
        <w:t>and</w:t>
      </w:r>
      <w:r>
        <w:rPr>
          <w:rFonts w:ascii="Trebuchet MS"/>
          <w:color w:val="231F20"/>
          <w:spacing w:val="-8"/>
          <w:w w:val="105"/>
          <w:sz w:val="14"/>
        </w:rPr>
        <w:t xml:space="preserve"> </w:t>
      </w:r>
      <w:r>
        <w:rPr>
          <w:rFonts w:ascii="Trebuchet MS"/>
          <w:color w:val="231F20"/>
          <w:spacing w:val="-2"/>
          <w:w w:val="105"/>
          <w:sz w:val="14"/>
        </w:rPr>
        <w:t>Space</w:t>
      </w:r>
    </w:p>
    <w:p w14:paraId="3D7303AC" w14:textId="77777777" w:rsidR="00AE0598" w:rsidRDefault="00AE0598">
      <w:pPr>
        <w:pStyle w:val="Corpodetexto"/>
        <w:rPr>
          <w:rFonts w:ascii="Trebuchet MS"/>
          <w:sz w:val="16"/>
        </w:rPr>
      </w:pPr>
    </w:p>
    <w:p w14:paraId="0060A5B8" w14:textId="77777777" w:rsidR="00AE0598" w:rsidRDefault="0069255A">
      <w:pPr>
        <w:pStyle w:val="Corpodetexto"/>
        <w:spacing w:before="118" w:line="232" w:lineRule="auto"/>
        <w:ind w:left="110" w:right="126"/>
        <w:jc w:val="both"/>
      </w:pPr>
      <w:r>
        <w:rPr>
          <w:color w:val="231F20"/>
          <w:w w:val="95"/>
        </w:rPr>
        <w:t xml:space="preserve">where individuals are in a position to develop deep attachments associated </w:t>
      </w:r>
      <w:r>
        <w:rPr>
          <w:color w:val="231F20"/>
        </w:rPr>
        <w:t>with</w:t>
      </w:r>
      <w:r>
        <w:rPr>
          <w:color w:val="231F20"/>
          <w:spacing w:val="-5"/>
        </w:rPr>
        <w:t xml:space="preserve"> </w:t>
      </w:r>
      <w:r>
        <w:rPr>
          <w:color w:val="231F20"/>
        </w:rPr>
        <w:t>home.</w:t>
      </w:r>
      <w:r>
        <w:rPr>
          <w:color w:val="231F20"/>
          <w:spacing w:val="-6"/>
        </w:rPr>
        <w:t xml:space="preserve"> </w:t>
      </w:r>
      <w:r>
        <w:rPr>
          <w:color w:val="231F20"/>
        </w:rPr>
        <w:t>He</w:t>
      </w:r>
      <w:r>
        <w:rPr>
          <w:color w:val="231F20"/>
          <w:spacing w:val="-5"/>
        </w:rPr>
        <w:t xml:space="preserve"> </w:t>
      </w:r>
      <w:r>
        <w:rPr>
          <w:color w:val="231F20"/>
        </w:rPr>
        <w:t>suggested</w:t>
      </w:r>
      <w:r>
        <w:rPr>
          <w:color w:val="231F20"/>
          <w:spacing w:val="-6"/>
        </w:rPr>
        <w:t xml:space="preserve"> </w:t>
      </w:r>
      <w:r>
        <w:rPr>
          <w:color w:val="231F20"/>
        </w:rPr>
        <w:t>that</w:t>
      </w:r>
      <w:r>
        <w:rPr>
          <w:color w:val="231F20"/>
          <w:spacing w:val="-5"/>
        </w:rPr>
        <w:t xml:space="preserve"> </w:t>
      </w:r>
      <w:r>
        <w:rPr>
          <w:color w:val="231F20"/>
        </w:rPr>
        <w:t>tourists</w:t>
      </w:r>
      <w:r>
        <w:rPr>
          <w:color w:val="231F20"/>
          <w:spacing w:val="-6"/>
        </w:rPr>
        <w:t xml:space="preserve"> </w:t>
      </w:r>
      <w:r>
        <w:rPr>
          <w:color w:val="231F20"/>
        </w:rPr>
        <w:t>were</w:t>
      </w:r>
      <w:r>
        <w:rPr>
          <w:color w:val="231F20"/>
          <w:spacing w:val="-6"/>
        </w:rPr>
        <w:t xml:space="preserve"> </w:t>
      </w:r>
      <w:r>
        <w:rPr>
          <w:color w:val="231F20"/>
        </w:rPr>
        <w:t>one</w:t>
      </w:r>
      <w:r>
        <w:rPr>
          <w:color w:val="231F20"/>
          <w:spacing w:val="-6"/>
        </w:rPr>
        <w:t xml:space="preserve"> </w:t>
      </w:r>
      <w:r>
        <w:rPr>
          <w:color w:val="231F20"/>
        </w:rPr>
        <w:t>of</w:t>
      </w:r>
      <w:r>
        <w:rPr>
          <w:color w:val="231F20"/>
          <w:spacing w:val="-5"/>
        </w:rPr>
        <w:t xml:space="preserve"> </w:t>
      </w:r>
      <w:r>
        <w:rPr>
          <w:color w:val="231F20"/>
        </w:rPr>
        <w:t>the</w:t>
      </w:r>
      <w:r>
        <w:rPr>
          <w:color w:val="231F20"/>
          <w:spacing w:val="-6"/>
        </w:rPr>
        <w:t xml:space="preserve"> </w:t>
      </w:r>
      <w:r>
        <w:rPr>
          <w:color w:val="231F20"/>
        </w:rPr>
        <w:t>least</w:t>
      </w:r>
      <w:r>
        <w:rPr>
          <w:color w:val="231F20"/>
          <w:spacing w:val="-6"/>
        </w:rPr>
        <w:t xml:space="preserve"> </w:t>
      </w:r>
      <w:r>
        <w:rPr>
          <w:color w:val="231F20"/>
        </w:rPr>
        <w:t>likely</w:t>
      </w:r>
      <w:r>
        <w:rPr>
          <w:color w:val="231F20"/>
          <w:spacing w:val="-5"/>
        </w:rPr>
        <w:t xml:space="preserve"> </w:t>
      </w:r>
      <w:r>
        <w:rPr>
          <w:color w:val="231F20"/>
        </w:rPr>
        <w:t>groups to</w:t>
      </w:r>
      <w:r>
        <w:rPr>
          <w:color w:val="231F20"/>
          <w:spacing w:val="-1"/>
        </w:rPr>
        <w:t xml:space="preserve"> </w:t>
      </w:r>
      <w:r>
        <w:rPr>
          <w:color w:val="231F20"/>
        </w:rPr>
        <w:t>develop</w:t>
      </w:r>
      <w:r>
        <w:rPr>
          <w:color w:val="231F20"/>
          <w:spacing w:val="-1"/>
        </w:rPr>
        <w:t xml:space="preserve"> </w:t>
      </w:r>
      <w:r>
        <w:rPr>
          <w:color w:val="231F20"/>
        </w:rPr>
        <w:t>a</w:t>
      </w:r>
      <w:r>
        <w:rPr>
          <w:color w:val="231F20"/>
          <w:spacing w:val="-1"/>
        </w:rPr>
        <w:t xml:space="preserve"> </w:t>
      </w:r>
      <w:r>
        <w:rPr>
          <w:color w:val="231F20"/>
        </w:rPr>
        <w:t>‘sense</w:t>
      </w:r>
      <w:r>
        <w:rPr>
          <w:color w:val="231F20"/>
          <w:spacing w:val="-1"/>
        </w:rPr>
        <w:t xml:space="preserve"> </w:t>
      </w:r>
      <w:r>
        <w:rPr>
          <w:color w:val="231F20"/>
        </w:rPr>
        <w:t>of</w:t>
      </w:r>
      <w:r>
        <w:rPr>
          <w:color w:val="231F20"/>
          <w:spacing w:val="-1"/>
        </w:rPr>
        <w:t xml:space="preserve"> </w:t>
      </w:r>
      <w:r>
        <w:rPr>
          <w:color w:val="231F20"/>
        </w:rPr>
        <w:t>place’</w:t>
      </w:r>
      <w:r>
        <w:rPr>
          <w:color w:val="231F20"/>
          <w:spacing w:val="-1"/>
        </w:rPr>
        <w:t xml:space="preserve"> </w:t>
      </w:r>
      <w:r>
        <w:rPr>
          <w:color w:val="231F20"/>
        </w:rPr>
        <w:t>in</w:t>
      </w:r>
      <w:r>
        <w:rPr>
          <w:color w:val="231F20"/>
          <w:spacing w:val="-1"/>
        </w:rPr>
        <w:t xml:space="preserve"> </w:t>
      </w:r>
      <w:r>
        <w:rPr>
          <w:color w:val="231F20"/>
        </w:rPr>
        <w:t>relation</w:t>
      </w:r>
      <w:r>
        <w:rPr>
          <w:color w:val="231F20"/>
          <w:spacing w:val="-1"/>
        </w:rPr>
        <w:t xml:space="preserve"> </w:t>
      </w:r>
      <w:r>
        <w:rPr>
          <w:color w:val="231F20"/>
        </w:rPr>
        <w:t>to</w:t>
      </w:r>
      <w:r>
        <w:rPr>
          <w:color w:val="231F20"/>
          <w:spacing w:val="-1"/>
        </w:rPr>
        <w:t xml:space="preserve"> </w:t>
      </w:r>
      <w:r>
        <w:rPr>
          <w:color w:val="231F20"/>
        </w:rPr>
        <w:t>the</w:t>
      </w:r>
      <w:r>
        <w:rPr>
          <w:color w:val="231F20"/>
          <w:spacing w:val="-1"/>
        </w:rPr>
        <w:t xml:space="preserve"> </w:t>
      </w:r>
      <w:r>
        <w:rPr>
          <w:color w:val="231F20"/>
        </w:rPr>
        <w:t>destinations</w:t>
      </w:r>
      <w:r>
        <w:rPr>
          <w:color w:val="231F20"/>
          <w:spacing w:val="-1"/>
        </w:rPr>
        <w:t xml:space="preserve"> </w:t>
      </w:r>
      <w:r>
        <w:rPr>
          <w:color w:val="231F20"/>
        </w:rPr>
        <w:t>that</w:t>
      </w:r>
      <w:r>
        <w:rPr>
          <w:color w:val="231F20"/>
          <w:spacing w:val="-1"/>
        </w:rPr>
        <w:t xml:space="preserve"> </w:t>
      </w:r>
      <w:r>
        <w:rPr>
          <w:color w:val="231F20"/>
        </w:rPr>
        <w:t>they</w:t>
      </w:r>
      <w:r>
        <w:rPr>
          <w:color w:val="231F20"/>
          <w:spacing w:val="-1"/>
        </w:rPr>
        <w:t xml:space="preserve"> </w:t>
      </w:r>
      <w:r>
        <w:rPr>
          <w:color w:val="231F20"/>
        </w:rPr>
        <w:t>visit because</w:t>
      </w:r>
      <w:r>
        <w:rPr>
          <w:color w:val="231F20"/>
          <w:spacing w:val="-2"/>
        </w:rPr>
        <w:t xml:space="preserve"> </w:t>
      </w:r>
      <w:r>
        <w:rPr>
          <w:color w:val="231F20"/>
        </w:rPr>
        <w:t>of</w:t>
      </w:r>
      <w:r>
        <w:rPr>
          <w:color w:val="231F20"/>
          <w:spacing w:val="-2"/>
        </w:rPr>
        <w:t xml:space="preserve"> </w:t>
      </w:r>
      <w:r>
        <w:rPr>
          <w:color w:val="231F20"/>
        </w:rPr>
        <w:t>the</w:t>
      </w:r>
      <w:r>
        <w:rPr>
          <w:color w:val="231F20"/>
          <w:spacing w:val="-2"/>
        </w:rPr>
        <w:t xml:space="preserve"> </w:t>
      </w:r>
      <w:r>
        <w:rPr>
          <w:color w:val="231F20"/>
        </w:rPr>
        <w:t>superficial</w:t>
      </w:r>
      <w:r>
        <w:rPr>
          <w:color w:val="231F20"/>
          <w:spacing w:val="-2"/>
        </w:rPr>
        <w:t xml:space="preserve"> </w:t>
      </w:r>
      <w:r>
        <w:rPr>
          <w:color w:val="231F20"/>
        </w:rPr>
        <w:t>na</w:t>
      </w:r>
      <w:r>
        <w:rPr>
          <w:color w:val="231F20"/>
        </w:rPr>
        <w:t>ture</w:t>
      </w:r>
      <w:r>
        <w:rPr>
          <w:color w:val="231F20"/>
          <w:spacing w:val="-2"/>
        </w:rPr>
        <w:t xml:space="preserve"> </w:t>
      </w:r>
      <w:r>
        <w:rPr>
          <w:color w:val="231F20"/>
        </w:rPr>
        <w:t>of</w:t>
      </w:r>
      <w:r>
        <w:rPr>
          <w:color w:val="231F20"/>
          <w:spacing w:val="-2"/>
        </w:rPr>
        <w:t xml:space="preserve"> </w:t>
      </w:r>
      <w:r>
        <w:rPr>
          <w:color w:val="231F20"/>
        </w:rPr>
        <w:t>their</w:t>
      </w:r>
      <w:r>
        <w:rPr>
          <w:color w:val="231F20"/>
          <w:spacing w:val="-2"/>
        </w:rPr>
        <w:t xml:space="preserve"> </w:t>
      </w:r>
      <w:r>
        <w:rPr>
          <w:color w:val="231F20"/>
        </w:rPr>
        <w:t>experience</w:t>
      </w:r>
      <w:r>
        <w:rPr>
          <w:color w:val="231F20"/>
          <w:spacing w:val="-2"/>
        </w:rPr>
        <w:t xml:space="preserve"> </w:t>
      </w:r>
      <w:r>
        <w:rPr>
          <w:color w:val="231F20"/>
        </w:rPr>
        <w:t>and</w:t>
      </w:r>
      <w:r>
        <w:rPr>
          <w:color w:val="231F20"/>
          <w:spacing w:val="-2"/>
        </w:rPr>
        <w:t xml:space="preserve"> </w:t>
      </w:r>
      <w:r>
        <w:rPr>
          <w:color w:val="231F20"/>
        </w:rPr>
        <w:t>the</w:t>
      </w:r>
      <w:r>
        <w:rPr>
          <w:color w:val="231F20"/>
          <w:spacing w:val="-2"/>
        </w:rPr>
        <w:t xml:space="preserve"> </w:t>
      </w:r>
      <w:r>
        <w:rPr>
          <w:color w:val="231F20"/>
        </w:rPr>
        <w:t>tendency</w:t>
      </w:r>
      <w:r>
        <w:rPr>
          <w:color w:val="231F20"/>
          <w:spacing w:val="-2"/>
        </w:rPr>
        <w:t xml:space="preserve"> </w:t>
      </w:r>
      <w:r>
        <w:rPr>
          <w:color w:val="231F20"/>
        </w:rPr>
        <w:t>of the</w:t>
      </w:r>
      <w:r>
        <w:rPr>
          <w:color w:val="231F20"/>
          <w:spacing w:val="-5"/>
        </w:rPr>
        <w:t xml:space="preserve"> </w:t>
      </w:r>
      <w:r>
        <w:rPr>
          <w:color w:val="231F20"/>
        </w:rPr>
        <w:t>tourism</w:t>
      </w:r>
      <w:r>
        <w:rPr>
          <w:color w:val="231F20"/>
          <w:spacing w:val="-5"/>
        </w:rPr>
        <w:t xml:space="preserve"> </w:t>
      </w:r>
      <w:r>
        <w:rPr>
          <w:color w:val="231F20"/>
        </w:rPr>
        <w:t>industry</w:t>
      </w:r>
      <w:r>
        <w:rPr>
          <w:color w:val="231F20"/>
          <w:spacing w:val="-5"/>
        </w:rPr>
        <w:t xml:space="preserve"> </w:t>
      </w:r>
      <w:r>
        <w:rPr>
          <w:color w:val="231F20"/>
        </w:rPr>
        <w:t>to</w:t>
      </w:r>
      <w:r>
        <w:rPr>
          <w:color w:val="231F20"/>
          <w:spacing w:val="-5"/>
        </w:rPr>
        <w:t xml:space="preserve"> </w:t>
      </w:r>
      <w:r>
        <w:rPr>
          <w:color w:val="231F20"/>
        </w:rPr>
        <w:t>present</w:t>
      </w:r>
      <w:r>
        <w:rPr>
          <w:color w:val="231F20"/>
          <w:spacing w:val="-5"/>
        </w:rPr>
        <w:t xml:space="preserve"> </w:t>
      </w:r>
      <w:r>
        <w:rPr>
          <w:color w:val="231F20"/>
        </w:rPr>
        <w:t>‘disneyfied’</w:t>
      </w:r>
      <w:r>
        <w:rPr>
          <w:color w:val="231F20"/>
          <w:spacing w:val="-5"/>
        </w:rPr>
        <w:t xml:space="preserve"> </w:t>
      </w:r>
      <w:r>
        <w:rPr>
          <w:color w:val="231F20"/>
        </w:rPr>
        <w:t>landscapes</w:t>
      </w:r>
      <w:r>
        <w:rPr>
          <w:color w:val="231F20"/>
          <w:spacing w:val="-5"/>
        </w:rPr>
        <w:t xml:space="preserve"> </w:t>
      </w:r>
      <w:r>
        <w:rPr>
          <w:color w:val="231F20"/>
        </w:rPr>
        <w:t>devoid</w:t>
      </w:r>
      <w:r>
        <w:rPr>
          <w:color w:val="231F20"/>
          <w:spacing w:val="-5"/>
        </w:rPr>
        <w:t xml:space="preserve"> </w:t>
      </w:r>
      <w:r>
        <w:rPr>
          <w:color w:val="231F20"/>
        </w:rPr>
        <w:t>of</w:t>
      </w:r>
      <w:r>
        <w:rPr>
          <w:color w:val="231F20"/>
          <w:spacing w:val="-5"/>
        </w:rPr>
        <w:t xml:space="preserve"> </w:t>
      </w:r>
      <w:r>
        <w:rPr>
          <w:color w:val="231F20"/>
        </w:rPr>
        <w:t>deeper meaning. In the 40 years since Relph’s claim, the very concept of home has</w:t>
      </w:r>
      <w:r>
        <w:rPr>
          <w:color w:val="231F20"/>
          <w:spacing w:val="-11"/>
        </w:rPr>
        <w:t xml:space="preserve"> </w:t>
      </w:r>
      <w:r>
        <w:rPr>
          <w:color w:val="231F20"/>
        </w:rPr>
        <w:t>been</w:t>
      </w:r>
      <w:r>
        <w:rPr>
          <w:color w:val="231F20"/>
          <w:spacing w:val="-11"/>
        </w:rPr>
        <w:t xml:space="preserve"> </w:t>
      </w:r>
      <w:r>
        <w:rPr>
          <w:color w:val="231F20"/>
        </w:rPr>
        <w:t>challenged</w:t>
      </w:r>
      <w:r>
        <w:rPr>
          <w:color w:val="231F20"/>
          <w:spacing w:val="-11"/>
        </w:rPr>
        <w:t xml:space="preserve"> </w:t>
      </w:r>
      <w:r>
        <w:rPr>
          <w:color w:val="231F20"/>
        </w:rPr>
        <w:t>by</w:t>
      </w:r>
      <w:r>
        <w:rPr>
          <w:color w:val="231F20"/>
          <w:spacing w:val="-11"/>
        </w:rPr>
        <w:t xml:space="preserve"> </w:t>
      </w:r>
      <w:r>
        <w:rPr>
          <w:color w:val="231F20"/>
        </w:rPr>
        <w:t>increased</w:t>
      </w:r>
      <w:r>
        <w:rPr>
          <w:color w:val="231F20"/>
          <w:spacing w:val="-11"/>
        </w:rPr>
        <w:t xml:space="preserve"> </w:t>
      </w:r>
      <w:r>
        <w:rPr>
          <w:color w:val="231F20"/>
        </w:rPr>
        <w:t>mobility,</w:t>
      </w:r>
      <w:r>
        <w:rPr>
          <w:color w:val="231F20"/>
          <w:spacing w:val="-11"/>
        </w:rPr>
        <w:t xml:space="preserve"> </w:t>
      </w:r>
      <w:r>
        <w:rPr>
          <w:color w:val="231F20"/>
        </w:rPr>
        <w:t>which</w:t>
      </w:r>
      <w:r>
        <w:rPr>
          <w:color w:val="231F20"/>
          <w:spacing w:val="-11"/>
        </w:rPr>
        <w:t xml:space="preserve"> </w:t>
      </w:r>
      <w:r>
        <w:rPr>
          <w:color w:val="231F20"/>
        </w:rPr>
        <w:t>has</w:t>
      </w:r>
      <w:r>
        <w:rPr>
          <w:color w:val="231F20"/>
          <w:spacing w:val="-11"/>
        </w:rPr>
        <w:t xml:space="preserve"> </w:t>
      </w:r>
      <w:r>
        <w:rPr>
          <w:color w:val="231F20"/>
        </w:rPr>
        <w:t>contributed</w:t>
      </w:r>
      <w:r>
        <w:rPr>
          <w:color w:val="231F20"/>
          <w:spacing w:val="-11"/>
        </w:rPr>
        <w:t xml:space="preserve"> </w:t>
      </w:r>
      <w:r>
        <w:rPr>
          <w:color w:val="231F20"/>
        </w:rPr>
        <w:t>to</w:t>
      </w:r>
      <w:r>
        <w:rPr>
          <w:color w:val="231F20"/>
          <w:spacing w:val="-11"/>
        </w:rPr>
        <w:t xml:space="preserve"> </w:t>
      </w:r>
      <w:r>
        <w:rPr>
          <w:color w:val="231F20"/>
        </w:rPr>
        <w:t xml:space="preserve">new understandings of what ‘home’ is, including the possibility of having </w:t>
      </w:r>
      <w:r>
        <w:rPr>
          <w:color w:val="231F20"/>
          <w:w w:val="95"/>
        </w:rPr>
        <w:t>multiple homes. However, even in the</w:t>
      </w:r>
      <w:r>
        <w:rPr>
          <w:color w:val="231F20"/>
          <w:w w:val="95"/>
        </w:rPr>
        <w:t xml:space="preserve"> traditional sense of home as implied </w:t>
      </w:r>
      <w:r>
        <w:rPr>
          <w:color w:val="231F20"/>
        </w:rPr>
        <w:t>by</w:t>
      </w:r>
      <w:r>
        <w:rPr>
          <w:color w:val="231F20"/>
          <w:spacing w:val="-5"/>
        </w:rPr>
        <w:t xml:space="preserve"> </w:t>
      </w:r>
      <w:r>
        <w:rPr>
          <w:color w:val="231F20"/>
        </w:rPr>
        <w:t>Relph,</w:t>
      </w:r>
      <w:r>
        <w:rPr>
          <w:color w:val="231F20"/>
          <w:spacing w:val="-5"/>
        </w:rPr>
        <w:t xml:space="preserve"> </w:t>
      </w:r>
      <w:r>
        <w:rPr>
          <w:color w:val="231F20"/>
        </w:rPr>
        <w:t>it</w:t>
      </w:r>
      <w:r>
        <w:rPr>
          <w:color w:val="231F20"/>
          <w:spacing w:val="-5"/>
        </w:rPr>
        <w:t xml:space="preserve"> </w:t>
      </w:r>
      <w:r>
        <w:rPr>
          <w:color w:val="231F20"/>
        </w:rPr>
        <w:t>has</w:t>
      </w:r>
      <w:r>
        <w:rPr>
          <w:color w:val="231F20"/>
          <w:spacing w:val="-5"/>
        </w:rPr>
        <w:t xml:space="preserve"> </w:t>
      </w:r>
      <w:r>
        <w:rPr>
          <w:color w:val="231F20"/>
        </w:rPr>
        <w:t>become</w:t>
      </w:r>
      <w:r>
        <w:rPr>
          <w:color w:val="231F20"/>
          <w:spacing w:val="-5"/>
        </w:rPr>
        <w:t xml:space="preserve"> </w:t>
      </w:r>
      <w:r>
        <w:rPr>
          <w:color w:val="231F20"/>
        </w:rPr>
        <w:t>a</w:t>
      </w:r>
      <w:r>
        <w:rPr>
          <w:color w:val="231F20"/>
          <w:spacing w:val="-5"/>
        </w:rPr>
        <w:t xml:space="preserve"> </w:t>
      </w:r>
      <w:r>
        <w:rPr>
          <w:color w:val="231F20"/>
        </w:rPr>
        <w:t>well-established</w:t>
      </w:r>
      <w:r>
        <w:rPr>
          <w:color w:val="231F20"/>
          <w:spacing w:val="-5"/>
        </w:rPr>
        <w:t xml:space="preserve"> </w:t>
      </w:r>
      <w:r>
        <w:rPr>
          <w:color w:val="231F20"/>
        </w:rPr>
        <w:t>fact</w:t>
      </w:r>
      <w:r>
        <w:rPr>
          <w:color w:val="231F20"/>
          <w:spacing w:val="-5"/>
        </w:rPr>
        <w:t xml:space="preserve"> </w:t>
      </w:r>
      <w:r>
        <w:rPr>
          <w:color w:val="231F20"/>
        </w:rPr>
        <w:t>that</w:t>
      </w:r>
      <w:r>
        <w:rPr>
          <w:color w:val="231F20"/>
          <w:spacing w:val="-5"/>
        </w:rPr>
        <w:t xml:space="preserve"> </w:t>
      </w:r>
      <w:r>
        <w:rPr>
          <w:color w:val="231F20"/>
        </w:rPr>
        <w:t>visitors</w:t>
      </w:r>
      <w:r>
        <w:rPr>
          <w:color w:val="231F20"/>
          <w:spacing w:val="-5"/>
        </w:rPr>
        <w:t xml:space="preserve"> </w:t>
      </w:r>
      <w:r>
        <w:rPr>
          <w:color w:val="231F20"/>
        </w:rPr>
        <w:t>to</w:t>
      </w:r>
      <w:r>
        <w:rPr>
          <w:color w:val="231F20"/>
          <w:spacing w:val="-5"/>
        </w:rPr>
        <w:t xml:space="preserve"> </w:t>
      </w:r>
      <w:r>
        <w:rPr>
          <w:color w:val="231F20"/>
        </w:rPr>
        <w:t>recreation and sporting locations not only ‘can’ develop strong connections to the places</w:t>
      </w:r>
      <w:r>
        <w:rPr>
          <w:color w:val="231F20"/>
          <w:spacing w:val="-4"/>
        </w:rPr>
        <w:t xml:space="preserve"> </w:t>
      </w:r>
      <w:r>
        <w:rPr>
          <w:color w:val="231F20"/>
        </w:rPr>
        <w:t>where</w:t>
      </w:r>
      <w:r>
        <w:rPr>
          <w:color w:val="231F20"/>
          <w:spacing w:val="-4"/>
        </w:rPr>
        <w:t xml:space="preserve"> </w:t>
      </w:r>
      <w:r>
        <w:rPr>
          <w:color w:val="231F20"/>
        </w:rPr>
        <w:t>they</w:t>
      </w:r>
      <w:r>
        <w:rPr>
          <w:color w:val="231F20"/>
          <w:spacing w:val="-4"/>
        </w:rPr>
        <w:t xml:space="preserve"> </w:t>
      </w:r>
      <w:r>
        <w:rPr>
          <w:color w:val="231F20"/>
        </w:rPr>
        <w:t>play,</w:t>
      </w:r>
      <w:r>
        <w:rPr>
          <w:color w:val="231F20"/>
          <w:spacing w:val="-4"/>
        </w:rPr>
        <w:t xml:space="preserve"> </w:t>
      </w:r>
      <w:r>
        <w:rPr>
          <w:color w:val="231F20"/>
        </w:rPr>
        <w:t>but</w:t>
      </w:r>
      <w:r>
        <w:rPr>
          <w:color w:val="231F20"/>
          <w:spacing w:val="-4"/>
        </w:rPr>
        <w:t xml:space="preserve"> </w:t>
      </w:r>
      <w:r>
        <w:rPr>
          <w:color w:val="231F20"/>
        </w:rPr>
        <w:t>often</w:t>
      </w:r>
      <w:r>
        <w:rPr>
          <w:color w:val="231F20"/>
          <w:spacing w:val="-4"/>
        </w:rPr>
        <w:t xml:space="preserve"> </w:t>
      </w:r>
      <w:r>
        <w:rPr>
          <w:color w:val="231F20"/>
        </w:rPr>
        <w:t>‘do’</w:t>
      </w:r>
      <w:r>
        <w:rPr>
          <w:color w:val="231F20"/>
          <w:spacing w:val="-4"/>
        </w:rPr>
        <w:t xml:space="preserve"> </w:t>
      </w:r>
      <w:r>
        <w:rPr>
          <w:color w:val="231F20"/>
        </w:rPr>
        <w:t>(e.g.</w:t>
      </w:r>
      <w:r>
        <w:rPr>
          <w:color w:val="231F20"/>
          <w:spacing w:val="-4"/>
        </w:rPr>
        <w:t xml:space="preserve"> </w:t>
      </w:r>
      <w:r>
        <w:rPr>
          <w:color w:val="231F20"/>
        </w:rPr>
        <w:t>Wynveen</w:t>
      </w:r>
      <w:r>
        <w:rPr>
          <w:color w:val="231F20"/>
          <w:spacing w:val="-4"/>
        </w:rPr>
        <w:t xml:space="preserve"> </w:t>
      </w:r>
      <w:r>
        <w:rPr>
          <w:i/>
          <w:color w:val="231F20"/>
        </w:rPr>
        <w:t>et</w:t>
      </w:r>
      <w:r>
        <w:rPr>
          <w:i/>
          <w:color w:val="231F20"/>
          <w:spacing w:val="-4"/>
        </w:rPr>
        <w:t xml:space="preserve"> </w:t>
      </w:r>
      <w:r>
        <w:rPr>
          <w:i/>
          <w:color w:val="231F20"/>
        </w:rPr>
        <w:t>al</w:t>
      </w:r>
      <w:r>
        <w:rPr>
          <w:color w:val="231F20"/>
        </w:rPr>
        <w:t>.,</w:t>
      </w:r>
      <w:r>
        <w:rPr>
          <w:color w:val="231F20"/>
          <w:spacing w:val="-4"/>
        </w:rPr>
        <w:t xml:space="preserve"> </w:t>
      </w:r>
      <w:r>
        <w:rPr>
          <w:color w:val="231F20"/>
        </w:rPr>
        <w:t>2012).</w:t>
      </w:r>
      <w:r>
        <w:rPr>
          <w:color w:val="231F20"/>
          <w:spacing w:val="-4"/>
        </w:rPr>
        <w:t xml:space="preserve"> </w:t>
      </w:r>
      <w:r>
        <w:rPr>
          <w:color w:val="231F20"/>
        </w:rPr>
        <w:t>A</w:t>
      </w:r>
      <w:r>
        <w:rPr>
          <w:color w:val="231F20"/>
          <w:spacing w:val="-4"/>
        </w:rPr>
        <w:t xml:space="preserve"> </w:t>
      </w:r>
      <w:r>
        <w:rPr>
          <w:color w:val="231F20"/>
        </w:rPr>
        <w:t>focus on home-based connections to place also ignores the importance of the ‘social</w:t>
      </w:r>
      <w:r>
        <w:rPr>
          <w:color w:val="231F20"/>
          <w:spacing w:val="-3"/>
        </w:rPr>
        <w:t xml:space="preserve"> </w:t>
      </w:r>
      <w:r>
        <w:rPr>
          <w:color w:val="231F20"/>
        </w:rPr>
        <w:t>worlds’</w:t>
      </w:r>
      <w:r>
        <w:rPr>
          <w:color w:val="231F20"/>
          <w:spacing w:val="-3"/>
        </w:rPr>
        <w:t xml:space="preserve"> </w:t>
      </w:r>
      <w:r>
        <w:rPr>
          <w:color w:val="231F20"/>
        </w:rPr>
        <w:t>that</w:t>
      </w:r>
      <w:r>
        <w:rPr>
          <w:color w:val="231F20"/>
          <w:spacing w:val="-3"/>
        </w:rPr>
        <w:t xml:space="preserve"> </w:t>
      </w:r>
      <w:r>
        <w:rPr>
          <w:color w:val="231F20"/>
        </w:rPr>
        <w:t>help</w:t>
      </w:r>
      <w:r>
        <w:rPr>
          <w:color w:val="231F20"/>
          <w:spacing w:val="-3"/>
        </w:rPr>
        <w:t xml:space="preserve"> </w:t>
      </w:r>
      <w:r>
        <w:rPr>
          <w:color w:val="231F20"/>
        </w:rPr>
        <w:t>to</w:t>
      </w:r>
      <w:r>
        <w:rPr>
          <w:color w:val="231F20"/>
          <w:spacing w:val="-3"/>
        </w:rPr>
        <w:t xml:space="preserve"> </w:t>
      </w:r>
      <w:r>
        <w:rPr>
          <w:color w:val="231F20"/>
        </w:rPr>
        <w:t>bond</w:t>
      </w:r>
      <w:r>
        <w:rPr>
          <w:color w:val="231F20"/>
          <w:spacing w:val="-3"/>
        </w:rPr>
        <w:t xml:space="preserve"> </w:t>
      </w:r>
      <w:r>
        <w:rPr>
          <w:color w:val="231F20"/>
        </w:rPr>
        <w:t>visitors</w:t>
      </w:r>
      <w:r>
        <w:rPr>
          <w:color w:val="231F20"/>
          <w:spacing w:val="-3"/>
        </w:rPr>
        <w:t xml:space="preserve"> </w:t>
      </w:r>
      <w:r>
        <w:rPr>
          <w:color w:val="231F20"/>
        </w:rPr>
        <w:t>to</w:t>
      </w:r>
      <w:r>
        <w:rPr>
          <w:color w:val="231F20"/>
          <w:spacing w:val="-3"/>
        </w:rPr>
        <w:t xml:space="preserve"> </w:t>
      </w:r>
      <w:r>
        <w:rPr>
          <w:color w:val="231F20"/>
        </w:rPr>
        <w:t>leisure-oriented</w:t>
      </w:r>
      <w:r>
        <w:rPr>
          <w:color w:val="231F20"/>
          <w:spacing w:val="-3"/>
        </w:rPr>
        <w:t xml:space="preserve"> </w:t>
      </w:r>
      <w:r>
        <w:rPr>
          <w:color w:val="231F20"/>
        </w:rPr>
        <w:t xml:space="preserve">destinations </w:t>
      </w:r>
      <w:r>
        <w:rPr>
          <w:color w:val="231F20"/>
          <w:w w:val="95"/>
        </w:rPr>
        <w:t>(Kyle &amp; Chick, 2007). Similarly, Stebbins’s (2007) theory of serious leisure suggests that such</w:t>
      </w:r>
      <w:r>
        <w:rPr>
          <w:color w:val="231F20"/>
          <w:w w:val="95"/>
        </w:rPr>
        <w:t xml:space="preserve"> commitment is often characterised by travel careers that </w:t>
      </w:r>
      <w:r>
        <w:rPr>
          <w:color w:val="231F20"/>
        </w:rPr>
        <w:t>connect</w:t>
      </w:r>
      <w:r>
        <w:rPr>
          <w:color w:val="231F20"/>
          <w:spacing w:val="-5"/>
        </w:rPr>
        <w:t xml:space="preserve"> </w:t>
      </w:r>
      <w:r>
        <w:rPr>
          <w:color w:val="231F20"/>
        </w:rPr>
        <w:t>individuals</w:t>
      </w:r>
      <w:r>
        <w:rPr>
          <w:color w:val="231F20"/>
          <w:spacing w:val="-5"/>
        </w:rPr>
        <w:t xml:space="preserve"> </w:t>
      </w:r>
      <w:r>
        <w:rPr>
          <w:color w:val="231F20"/>
        </w:rPr>
        <w:t>to</w:t>
      </w:r>
      <w:r>
        <w:rPr>
          <w:color w:val="231F20"/>
          <w:spacing w:val="-5"/>
        </w:rPr>
        <w:t xml:space="preserve"> </w:t>
      </w:r>
      <w:r>
        <w:rPr>
          <w:color w:val="231F20"/>
        </w:rPr>
        <w:t>sport</w:t>
      </w:r>
      <w:r>
        <w:rPr>
          <w:color w:val="231F20"/>
          <w:spacing w:val="-5"/>
        </w:rPr>
        <w:t xml:space="preserve"> </w:t>
      </w:r>
      <w:r>
        <w:rPr>
          <w:color w:val="231F20"/>
        </w:rPr>
        <w:t>tourism</w:t>
      </w:r>
      <w:r>
        <w:rPr>
          <w:color w:val="231F20"/>
          <w:spacing w:val="-5"/>
        </w:rPr>
        <w:t xml:space="preserve"> </w:t>
      </w:r>
      <w:r>
        <w:rPr>
          <w:color w:val="231F20"/>
        </w:rPr>
        <w:t>destinations</w:t>
      </w:r>
      <w:r>
        <w:rPr>
          <w:color w:val="231F20"/>
          <w:spacing w:val="-5"/>
        </w:rPr>
        <w:t xml:space="preserve"> </w:t>
      </w:r>
      <w:r>
        <w:rPr>
          <w:color w:val="231F20"/>
        </w:rPr>
        <w:t>(Jones</w:t>
      </w:r>
      <w:r>
        <w:rPr>
          <w:color w:val="231F20"/>
          <w:spacing w:val="-5"/>
        </w:rPr>
        <w:t xml:space="preserve"> </w:t>
      </w:r>
      <w:r>
        <w:rPr>
          <w:color w:val="231F20"/>
        </w:rPr>
        <w:t>&amp;</w:t>
      </w:r>
      <w:r>
        <w:rPr>
          <w:color w:val="231F20"/>
          <w:spacing w:val="-5"/>
        </w:rPr>
        <w:t xml:space="preserve"> </w:t>
      </w:r>
      <w:r>
        <w:rPr>
          <w:color w:val="231F20"/>
        </w:rPr>
        <w:t>Green,</w:t>
      </w:r>
      <w:r>
        <w:rPr>
          <w:color w:val="231F20"/>
          <w:spacing w:val="-5"/>
        </w:rPr>
        <w:t xml:space="preserve"> </w:t>
      </w:r>
      <w:r>
        <w:rPr>
          <w:color w:val="231F20"/>
        </w:rPr>
        <w:t xml:space="preserve">2005). </w:t>
      </w:r>
      <w:r>
        <w:rPr>
          <w:color w:val="231F20"/>
          <w:w w:val="95"/>
        </w:rPr>
        <w:t xml:space="preserve">Finally, Tuan (1975: 165), another pioneer in place attachment, argued that </w:t>
      </w:r>
      <w:r>
        <w:rPr>
          <w:color w:val="231F20"/>
        </w:rPr>
        <w:t>to develop attachment you must live in a space as</w:t>
      </w:r>
      <w:r>
        <w:rPr>
          <w:color w:val="231F20"/>
        </w:rPr>
        <w:t xml:space="preserve"> ‘[t]o live in a place is to experience it, to be aware of it in the bones as well as with the head’. Given the embodied nature of sport-based travel (e.g. Lamont, 2014), it can be argued that by engaging in sport during one’s travels, one can, in </w:t>
      </w:r>
      <w:r>
        <w:rPr>
          <w:color w:val="231F20"/>
          <w:w w:val="95"/>
        </w:rPr>
        <w:t>fact, li</w:t>
      </w:r>
      <w:r>
        <w:rPr>
          <w:color w:val="231F20"/>
          <w:w w:val="95"/>
        </w:rPr>
        <w:t xml:space="preserve">terally feel these places in one’s bones thereby connecting travellers </w:t>
      </w:r>
      <w:r>
        <w:rPr>
          <w:color w:val="231F20"/>
        </w:rPr>
        <w:t>to place.</w:t>
      </w:r>
    </w:p>
    <w:p w14:paraId="16C23B38" w14:textId="77777777" w:rsidR="00AE0598" w:rsidRDefault="0069255A">
      <w:pPr>
        <w:pStyle w:val="Corpodetexto"/>
        <w:spacing w:before="29" w:line="232" w:lineRule="auto"/>
        <w:ind w:left="110" w:right="127" w:firstLine="320"/>
        <w:jc w:val="both"/>
      </w:pPr>
      <w:r>
        <w:rPr>
          <w:color w:val="231F20"/>
        </w:rPr>
        <w:t>Travelling for pleasure beyond the boundaries of one’s routine life- space implies that there is some experience available at the destination that</w:t>
      </w:r>
      <w:r>
        <w:rPr>
          <w:color w:val="231F20"/>
          <w:spacing w:val="-10"/>
        </w:rPr>
        <w:t xml:space="preserve"> </w:t>
      </w:r>
      <w:r>
        <w:rPr>
          <w:color w:val="231F20"/>
        </w:rPr>
        <w:t>cannot</w:t>
      </w:r>
      <w:r>
        <w:rPr>
          <w:color w:val="231F20"/>
          <w:spacing w:val="-10"/>
        </w:rPr>
        <w:t xml:space="preserve"> </w:t>
      </w:r>
      <w:r>
        <w:rPr>
          <w:color w:val="231F20"/>
        </w:rPr>
        <w:t>be</w:t>
      </w:r>
      <w:r>
        <w:rPr>
          <w:color w:val="231F20"/>
          <w:spacing w:val="-10"/>
        </w:rPr>
        <w:t xml:space="preserve"> </w:t>
      </w:r>
      <w:r>
        <w:rPr>
          <w:color w:val="231F20"/>
        </w:rPr>
        <w:t>found</w:t>
      </w:r>
      <w:r>
        <w:rPr>
          <w:color w:val="231F20"/>
          <w:spacing w:val="-10"/>
        </w:rPr>
        <w:t xml:space="preserve"> </w:t>
      </w:r>
      <w:r>
        <w:rPr>
          <w:color w:val="231F20"/>
        </w:rPr>
        <w:t>at</w:t>
      </w:r>
      <w:r>
        <w:rPr>
          <w:color w:val="231F20"/>
          <w:spacing w:val="-10"/>
        </w:rPr>
        <w:t xml:space="preserve"> </w:t>
      </w:r>
      <w:r>
        <w:rPr>
          <w:color w:val="231F20"/>
        </w:rPr>
        <w:t>home,</w:t>
      </w:r>
      <w:r>
        <w:rPr>
          <w:color w:val="231F20"/>
          <w:spacing w:val="-11"/>
        </w:rPr>
        <w:t xml:space="preserve"> </w:t>
      </w:r>
      <w:r>
        <w:rPr>
          <w:color w:val="231F20"/>
        </w:rPr>
        <w:t>and</w:t>
      </w:r>
      <w:r>
        <w:rPr>
          <w:color w:val="231F20"/>
          <w:spacing w:val="-10"/>
        </w:rPr>
        <w:t xml:space="preserve"> </w:t>
      </w:r>
      <w:r>
        <w:rPr>
          <w:color w:val="231F20"/>
        </w:rPr>
        <w:t>which</w:t>
      </w:r>
      <w:r>
        <w:rPr>
          <w:color w:val="231F20"/>
          <w:spacing w:val="-10"/>
        </w:rPr>
        <w:t xml:space="preserve"> </w:t>
      </w:r>
      <w:r>
        <w:rPr>
          <w:color w:val="231F20"/>
        </w:rPr>
        <w:t>compensates</w:t>
      </w:r>
      <w:r>
        <w:rPr>
          <w:color w:val="231F20"/>
          <w:spacing w:val="-10"/>
        </w:rPr>
        <w:t xml:space="preserve"> </w:t>
      </w:r>
      <w:r>
        <w:rPr>
          <w:color w:val="231F20"/>
        </w:rPr>
        <w:t>for</w:t>
      </w:r>
      <w:r>
        <w:rPr>
          <w:color w:val="231F20"/>
          <w:spacing w:val="-10"/>
        </w:rPr>
        <w:t xml:space="preserve"> </w:t>
      </w:r>
      <w:r>
        <w:rPr>
          <w:color w:val="231F20"/>
        </w:rPr>
        <w:t>the</w:t>
      </w:r>
      <w:r>
        <w:rPr>
          <w:color w:val="231F20"/>
          <w:spacing w:val="-10"/>
        </w:rPr>
        <w:t xml:space="preserve"> </w:t>
      </w:r>
      <w:r>
        <w:rPr>
          <w:color w:val="231F20"/>
        </w:rPr>
        <w:t>costs</w:t>
      </w:r>
      <w:r>
        <w:rPr>
          <w:color w:val="231F20"/>
          <w:spacing w:val="-10"/>
        </w:rPr>
        <w:t xml:space="preserve"> </w:t>
      </w:r>
      <w:r>
        <w:rPr>
          <w:color w:val="231F20"/>
        </w:rPr>
        <w:t>of</w:t>
      </w:r>
      <w:r>
        <w:rPr>
          <w:color w:val="231F20"/>
          <w:spacing w:val="-10"/>
        </w:rPr>
        <w:t xml:space="preserve"> </w:t>
      </w:r>
      <w:r>
        <w:rPr>
          <w:color w:val="231F20"/>
        </w:rPr>
        <w:t>the trip. Standeven and De Knop (1999) presented this line of argument by suggesting that the:</w:t>
      </w:r>
    </w:p>
    <w:p w14:paraId="34668FBD" w14:textId="77777777" w:rsidR="00AE0598" w:rsidRDefault="00AE0598">
      <w:pPr>
        <w:pStyle w:val="Corpodetexto"/>
        <w:spacing w:before="3"/>
      </w:pPr>
    </w:p>
    <w:p w14:paraId="5DA516F0" w14:textId="77777777" w:rsidR="00AE0598" w:rsidRDefault="0069255A">
      <w:pPr>
        <w:spacing w:line="244" w:lineRule="auto"/>
        <w:ind w:left="430" w:right="127"/>
        <w:jc w:val="both"/>
        <w:rPr>
          <w:sz w:val="20"/>
        </w:rPr>
      </w:pPr>
      <w:r>
        <w:rPr>
          <w:color w:val="231F20"/>
          <w:sz w:val="20"/>
        </w:rPr>
        <w:t xml:space="preserve">nature of tourism is rooted in authentic cultural experience of places </w:t>
      </w:r>
      <w:r>
        <w:rPr>
          <w:color w:val="231F20"/>
          <w:w w:val="95"/>
          <w:sz w:val="20"/>
        </w:rPr>
        <w:t xml:space="preserve">away from home that have different characteristics. Those characteristics </w:t>
      </w:r>
      <w:r>
        <w:rPr>
          <w:color w:val="231F20"/>
          <w:sz w:val="20"/>
        </w:rPr>
        <w:t>are unique to each place, and the tourist views, feels, hears, smells, and touches</w:t>
      </w:r>
      <w:r>
        <w:rPr>
          <w:color w:val="231F20"/>
          <w:spacing w:val="-3"/>
          <w:sz w:val="20"/>
        </w:rPr>
        <w:t xml:space="preserve"> </w:t>
      </w:r>
      <w:r>
        <w:rPr>
          <w:color w:val="231F20"/>
          <w:sz w:val="20"/>
        </w:rPr>
        <w:t>them.</w:t>
      </w:r>
      <w:r>
        <w:rPr>
          <w:color w:val="231F20"/>
          <w:spacing w:val="-3"/>
          <w:sz w:val="20"/>
        </w:rPr>
        <w:t xml:space="preserve"> </w:t>
      </w:r>
      <w:r>
        <w:rPr>
          <w:color w:val="231F20"/>
          <w:sz w:val="20"/>
        </w:rPr>
        <w:t>Their</w:t>
      </w:r>
      <w:r>
        <w:rPr>
          <w:color w:val="231F20"/>
          <w:spacing w:val="-3"/>
          <w:sz w:val="20"/>
        </w:rPr>
        <w:t xml:space="preserve"> </w:t>
      </w:r>
      <w:r>
        <w:rPr>
          <w:color w:val="231F20"/>
          <w:sz w:val="20"/>
        </w:rPr>
        <w:t>differences</w:t>
      </w:r>
      <w:r>
        <w:rPr>
          <w:color w:val="231F20"/>
          <w:spacing w:val="-3"/>
          <w:sz w:val="20"/>
        </w:rPr>
        <w:t xml:space="preserve"> </w:t>
      </w:r>
      <w:r>
        <w:rPr>
          <w:color w:val="231F20"/>
          <w:sz w:val="20"/>
        </w:rPr>
        <w:t>(and</w:t>
      </w:r>
      <w:r>
        <w:rPr>
          <w:color w:val="231F20"/>
          <w:spacing w:val="-3"/>
          <w:sz w:val="20"/>
        </w:rPr>
        <w:t xml:space="preserve"> </w:t>
      </w:r>
      <w:r>
        <w:rPr>
          <w:color w:val="231F20"/>
          <w:sz w:val="20"/>
        </w:rPr>
        <w:t>their</w:t>
      </w:r>
      <w:r>
        <w:rPr>
          <w:color w:val="231F20"/>
          <w:spacing w:val="-3"/>
          <w:sz w:val="20"/>
        </w:rPr>
        <w:t xml:space="preserve"> </w:t>
      </w:r>
      <w:r>
        <w:rPr>
          <w:color w:val="231F20"/>
          <w:sz w:val="20"/>
        </w:rPr>
        <w:t>similarities)</w:t>
      </w:r>
      <w:r>
        <w:rPr>
          <w:color w:val="231F20"/>
          <w:spacing w:val="-3"/>
          <w:sz w:val="20"/>
        </w:rPr>
        <w:t xml:space="preserve"> </w:t>
      </w:r>
      <w:r>
        <w:rPr>
          <w:color w:val="231F20"/>
          <w:sz w:val="20"/>
        </w:rPr>
        <w:t>become</w:t>
      </w:r>
      <w:r>
        <w:rPr>
          <w:color w:val="231F20"/>
          <w:spacing w:val="-3"/>
          <w:sz w:val="20"/>
        </w:rPr>
        <w:t xml:space="preserve"> </w:t>
      </w:r>
      <w:r>
        <w:rPr>
          <w:color w:val="231F20"/>
          <w:sz w:val="20"/>
        </w:rPr>
        <w:t>a</w:t>
      </w:r>
      <w:r>
        <w:rPr>
          <w:color w:val="231F20"/>
          <w:spacing w:val="-3"/>
          <w:sz w:val="20"/>
        </w:rPr>
        <w:t xml:space="preserve"> </w:t>
      </w:r>
      <w:r>
        <w:rPr>
          <w:color w:val="231F20"/>
          <w:sz w:val="20"/>
        </w:rPr>
        <w:t>part</w:t>
      </w:r>
      <w:r>
        <w:rPr>
          <w:color w:val="231F20"/>
          <w:spacing w:val="-3"/>
          <w:sz w:val="20"/>
        </w:rPr>
        <w:t xml:space="preserve"> </w:t>
      </w:r>
      <w:r>
        <w:rPr>
          <w:color w:val="231F20"/>
          <w:sz w:val="20"/>
        </w:rPr>
        <w:t>of his or her conscious experience. (Standeven &amp; De Knop, 1999: 57)</w:t>
      </w:r>
    </w:p>
    <w:p w14:paraId="216DD9F8" w14:textId="77777777" w:rsidR="00AE0598" w:rsidRDefault="00AE0598">
      <w:pPr>
        <w:pStyle w:val="Corpodetexto"/>
        <w:spacing w:before="6"/>
        <w:rPr>
          <w:sz w:val="20"/>
        </w:rPr>
      </w:pPr>
    </w:p>
    <w:p w14:paraId="0E4FBE56" w14:textId="77777777" w:rsidR="00AE0598" w:rsidRDefault="0069255A">
      <w:pPr>
        <w:pStyle w:val="Corpodetexto"/>
        <w:spacing w:line="232" w:lineRule="auto"/>
        <w:ind w:left="110" w:right="127"/>
        <w:jc w:val="both"/>
      </w:pPr>
      <w:r>
        <w:rPr>
          <w:color w:val="231F20"/>
          <w:w w:val="95"/>
        </w:rPr>
        <w:t xml:space="preserve">The destinations where authentic experience occurs become infused with </w:t>
      </w:r>
      <w:r>
        <w:rPr>
          <w:color w:val="231F20"/>
        </w:rPr>
        <w:t xml:space="preserve">meaning for those who visit them. Gu and Ryan (2008) likewise argue that tourism </w:t>
      </w:r>
      <w:r>
        <w:rPr>
          <w:color w:val="231F20"/>
        </w:rPr>
        <w:t xml:space="preserve">development can impact the locals’ place identity based on </w:t>
      </w:r>
      <w:r>
        <w:rPr>
          <w:color w:val="231F20"/>
          <w:w w:val="95"/>
        </w:rPr>
        <w:t xml:space="preserve">their perception of distinctiveness, self-efficacy, continuity and self-esteem </w:t>
      </w:r>
      <w:r>
        <w:rPr>
          <w:color w:val="231F20"/>
        </w:rPr>
        <w:t>associated</w:t>
      </w:r>
      <w:r>
        <w:rPr>
          <w:color w:val="231F20"/>
          <w:spacing w:val="-8"/>
        </w:rPr>
        <w:t xml:space="preserve"> </w:t>
      </w:r>
      <w:r>
        <w:rPr>
          <w:color w:val="231F20"/>
        </w:rPr>
        <w:t>with</w:t>
      </w:r>
      <w:r>
        <w:rPr>
          <w:color w:val="231F20"/>
          <w:spacing w:val="-8"/>
        </w:rPr>
        <w:t xml:space="preserve"> </w:t>
      </w:r>
      <w:r>
        <w:rPr>
          <w:color w:val="231F20"/>
        </w:rPr>
        <w:t>the</w:t>
      </w:r>
      <w:r>
        <w:rPr>
          <w:color w:val="231F20"/>
          <w:spacing w:val="-8"/>
        </w:rPr>
        <w:t xml:space="preserve"> </w:t>
      </w:r>
      <w:r>
        <w:rPr>
          <w:color w:val="231F20"/>
        </w:rPr>
        <w:t>place.</w:t>
      </w:r>
      <w:r>
        <w:rPr>
          <w:color w:val="231F20"/>
          <w:spacing w:val="-8"/>
        </w:rPr>
        <w:t xml:space="preserve"> </w:t>
      </w:r>
      <w:r>
        <w:rPr>
          <w:color w:val="231F20"/>
        </w:rPr>
        <w:t>All</w:t>
      </w:r>
      <w:r>
        <w:rPr>
          <w:color w:val="231F20"/>
          <w:spacing w:val="-8"/>
        </w:rPr>
        <w:t xml:space="preserve"> </w:t>
      </w:r>
      <w:r>
        <w:rPr>
          <w:color w:val="231F20"/>
        </w:rPr>
        <w:t>of</w:t>
      </w:r>
      <w:r>
        <w:rPr>
          <w:color w:val="231F20"/>
          <w:spacing w:val="-8"/>
        </w:rPr>
        <w:t xml:space="preserve"> </w:t>
      </w:r>
      <w:r>
        <w:rPr>
          <w:color w:val="231F20"/>
        </w:rPr>
        <w:t>these</w:t>
      </w:r>
      <w:r>
        <w:rPr>
          <w:color w:val="231F20"/>
          <w:spacing w:val="-8"/>
        </w:rPr>
        <w:t xml:space="preserve"> </w:t>
      </w:r>
      <w:r>
        <w:rPr>
          <w:color w:val="231F20"/>
        </w:rPr>
        <w:t>dimensions</w:t>
      </w:r>
      <w:r>
        <w:rPr>
          <w:color w:val="231F20"/>
          <w:spacing w:val="-8"/>
        </w:rPr>
        <w:t xml:space="preserve"> </w:t>
      </w:r>
      <w:r>
        <w:rPr>
          <w:color w:val="231F20"/>
        </w:rPr>
        <w:t>can</w:t>
      </w:r>
      <w:r>
        <w:rPr>
          <w:color w:val="231F20"/>
          <w:spacing w:val="-8"/>
        </w:rPr>
        <w:t xml:space="preserve"> </w:t>
      </w:r>
      <w:r>
        <w:rPr>
          <w:color w:val="231F20"/>
        </w:rPr>
        <w:t>be</w:t>
      </w:r>
      <w:r>
        <w:rPr>
          <w:color w:val="231F20"/>
          <w:spacing w:val="-8"/>
        </w:rPr>
        <w:t xml:space="preserve"> </w:t>
      </w:r>
      <w:r>
        <w:rPr>
          <w:color w:val="231F20"/>
        </w:rPr>
        <w:t>impacted</w:t>
      </w:r>
      <w:r>
        <w:rPr>
          <w:color w:val="231F20"/>
          <w:spacing w:val="-8"/>
        </w:rPr>
        <w:t xml:space="preserve"> </w:t>
      </w:r>
      <w:r>
        <w:rPr>
          <w:color w:val="231F20"/>
        </w:rPr>
        <w:t>by</w:t>
      </w:r>
      <w:r>
        <w:rPr>
          <w:color w:val="231F20"/>
          <w:spacing w:val="-8"/>
        </w:rPr>
        <w:t xml:space="preserve"> </w:t>
      </w:r>
      <w:r>
        <w:rPr>
          <w:color w:val="231F20"/>
        </w:rPr>
        <w:t>the type of tourist activity occurring at that p</w:t>
      </w:r>
      <w:r>
        <w:rPr>
          <w:color w:val="231F20"/>
        </w:rPr>
        <w:t xml:space="preserve">lace. Such logic suggests that place is integral to sport tourism. From the perspective of the tourism </w:t>
      </w:r>
      <w:r>
        <w:rPr>
          <w:color w:val="231F20"/>
          <w:w w:val="95"/>
        </w:rPr>
        <w:t>industry, the more meaningful that a destination is for visitors in a positive</w:t>
      </w:r>
    </w:p>
    <w:p w14:paraId="2445A869" w14:textId="77777777" w:rsidR="00AE0598" w:rsidRDefault="00AE0598">
      <w:pPr>
        <w:spacing w:line="232" w:lineRule="auto"/>
        <w:jc w:val="both"/>
        <w:sectPr w:rsidR="00AE0598">
          <w:pgSz w:w="8850" w:h="13270"/>
          <w:pgMar w:top="720" w:right="1060" w:bottom="280" w:left="1080" w:header="720" w:footer="720" w:gutter="0"/>
          <w:cols w:space="720"/>
        </w:sectPr>
      </w:pPr>
    </w:p>
    <w:p w14:paraId="1F5A7C58" w14:textId="77777777" w:rsidR="00AE0598" w:rsidRDefault="0069255A">
      <w:pPr>
        <w:spacing w:before="87"/>
        <w:ind w:left="110" w:right="128"/>
        <w:jc w:val="right"/>
        <w:rPr>
          <w:rFonts w:ascii="Trebuchet MS"/>
          <w:sz w:val="14"/>
        </w:rPr>
      </w:pPr>
      <w:r>
        <w:rPr>
          <w:rFonts w:ascii="Trebuchet MS"/>
          <w:color w:val="231F20"/>
          <w:w w:val="105"/>
          <w:sz w:val="14"/>
        </w:rPr>
        <w:lastRenderedPageBreak/>
        <w:t>Place,</w:t>
      </w:r>
      <w:r>
        <w:rPr>
          <w:rFonts w:ascii="Trebuchet MS"/>
          <w:color w:val="231F20"/>
          <w:spacing w:val="-12"/>
          <w:w w:val="105"/>
          <w:sz w:val="14"/>
        </w:rPr>
        <w:t xml:space="preserve"> </w:t>
      </w:r>
      <w:r>
        <w:rPr>
          <w:rFonts w:ascii="Trebuchet MS"/>
          <w:color w:val="231F20"/>
          <w:w w:val="105"/>
          <w:sz w:val="14"/>
        </w:rPr>
        <w:t>Sport</w:t>
      </w:r>
      <w:r>
        <w:rPr>
          <w:rFonts w:ascii="Trebuchet MS"/>
          <w:color w:val="231F20"/>
          <w:spacing w:val="-11"/>
          <w:w w:val="105"/>
          <w:sz w:val="14"/>
        </w:rPr>
        <w:t xml:space="preserve"> </w:t>
      </w:r>
      <w:r>
        <w:rPr>
          <w:rFonts w:ascii="Trebuchet MS"/>
          <w:color w:val="231F20"/>
          <w:w w:val="105"/>
          <w:sz w:val="14"/>
        </w:rPr>
        <w:t>and</w:t>
      </w:r>
      <w:r>
        <w:rPr>
          <w:rFonts w:ascii="Trebuchet MS"/>
          <w:color w:val="231F20"/>
          <w:spacing w:val="-11"/>
          <w:w w:val="105"/>
          <w:sz w:val="14"/>
        </w:rPr>
        <w:t xml:space="preserve"> </w:t>
      </w:r>
      <w:r>
        <w:rPr>
          <w:rFonts w:ascii="Trebuchet MS"/>
          <w:color w:val="231F20"/>
          <w:w w:val="105"/>
          <w:sz w:val="14"/>
        </w:rPr>
        <w:t>Culture</w:t>
      </w:r>
      <w:r>
        <w:rPr>
          <w:rFonts w:ascii="Trebuchet MS"/>
          <w:color w:val="231F20"/>
          <w:spacing w:val="71"/>
          <w:w w:val="105"/>
          <w:sz w:val="14"/>
        </w:rPr>
        <w:t xml:space="preserve"> </w:t>
      </w:r>
      <w:r>
        <w:rPr>
          <w:rFonts w:ascii="Trebuchet MS"/>
          <w:color w:val="231F20"/>
          <w:spacing w:val="-5"/>
          <w:w w:val="105"/>
          <w:sz w:val="14"/>
        </w:rPr>
        <w:t>115</w:t>
      </w:r>
    </w:p>
    <w:p w14:paraId="6D60F849" w14:textId="77777777" w:rsidR="00AE0598" w:rsidRDefault="00AE0598">
      <w:pPr>
        <w:pStyle w:val="Corpodetexto"/>
        <w:rPr>
          <w:rFonts w:ascii="Trebuchet MS"/>
          <w:sz w:val="16"/>
        </w:rPr>
      </w:pPr>
    </w:p>
    <w:p w14:paraId="3C21EAD3" w14:textId="77777777" w:rsidR="00AE0598" w:rsidRDefault="0069255A">
      <w:pPr>
        <w:pStyle w:val="Corpodetexto"/>
        <w:spacing w:before="118" w:line="232" w:lineRule="auto"/>
        <w:ind w:left="110" w:right="127"/>
        <w:jc w:val="both"/>
      </w:pPr>
      <w:r>
        <w:rPr>
          <w:color w:val="231F20"/>
          <w:w w:val="95"/>
        </w:rPr>
        <w:t xml:space="preserve">sense, the greater that destination’s competitive advantage in the tourism </w:t>
      </w:r>
      <w:r>
        <w:rPr>
          <w:color w:val="231F20"/>
        </w:rPr>
        <w:t>market</w:t>
      </w:r>
      <w:r>
        <w:rPr>
          <w:color w:val="231F20"/>
          <w:spacing w:val="-5"/>
        </w:rPr>
        <w:t xml:space="preserve"> </w:t>
      </w:r>
      <w:r>
        <w:rPr>
          <w:color w:val="231F20"/>
        </w:rPr>
        <w:t>place.</w:t>
      </w:r>
      <w:r>
        <w:rPr>
          <w:color w:val="231F20"/>
          <w:spacing w:val="-5"/>
        </w:rPr>
        <w:t xml:space="preserve"> </w:t>
      </w:r>
      <w:r>
        <w:rPr>
          <w:color w:val="231F20"/>
        </w:rPr>
        <w:t>Sport</w:t>
      </w:r>
      <w:r>
        <w:rPr>
          <w:color w:val="231F20"/>
          <w:spacing w:val="-5"/>
        </w:rPr>
        <w:t xml:space="preserve"> </w:t>
      </w:r>
      <w:r>
        <w:rPr>
          <w:color w:val="231F20"/>
        </w:rPr>
        <w:t>tourism</w:t>
      </w:r>
      <w:r>
        <w:rPr>
          <w:color w:val="231F20"/>
          <w:spacing w:val="-5"/>
        </w:rPr>
        <w:t xml:space="preserve"> </w:t>
      </w:r>
      <w:r>
        <w:rPr>
          <w:color w:val="231F20"/>
        </w:rPr>
        <w:t>destinations</w:t>
      </w:r>
      <w:r>
        <w:rPr>
          <w:color w:val="231F20"/>
          <w:spacing w:val="-5"/>
        </w:rPr>
        <w:t xml:space="preserve"> </w:t>
      </w:r>
      <w:r>
        <w:rPr>
          <w:color w:val="231F20"/>
        </w:rPr>
        <w:t>that</w:t>
      </w:r>
      <w:r>
        <w:rPr>
          <w:color w:val="231F20"/>
          <w:spacing w:val="-5"/>
        </w:rPr>
        <w:t xml:space="preserve"> </w:t>
      </w:r>
      <w:r>
        <w:rPr>
          <w:color w:val="231F20"/>
        </w:rPr>
        <w:t>foster</w:t>
      </w:r>
      <w:r>
        <w:rPr>
          <w:color w:val="231F20"/>
          <w:spacing w:val="-5"/>
        </w:rPr>
        <w:t xml:space="preserve"> </w:t>
      </w:r>
      <w:r>
        <w:rPr>
          <w:color w:val="231F20"/>
        </w:rPr>
        <w:t>attachment</w:t>
      </w:r>
      <w:r>
        <w:rPr>
          <w:color w:val="231F20"/>
          <w:spacing w:val="-5"/>
        </w:rPr>
        <w:t xml:space="preserve"> </w:t>
      </w:r>
      <w:r>
        <w:rPr>
          <w:color w:val="231F20"/>
        </w:rPr>
        <w:t xml:space="preserve">through </w:t>
      </w:r>
      <w:r>
        <w:rPr>
          <w:color w:val="231F20"/>
          <w:w w:val="95"/>
        </w:rPr>
        <w:t xml:space="preserve">place identity as well as place dependence are less likely to be substituted </w:t>
      </w:r>
      <w:r>
        <w:rPr>
          <w:color w:val="231F20"/>
        </w:rPr>
        <w:t>for competing destinations in th</w:t>
      </w:r>
      <w:r>
        <w:rPr>
          <w:color w:val="231F20"/>
        </w:rPr>
        <w:t>e future (Hinch &amp; Holt, 2017).</w:t>
      </w:r>
    </w:p>
    <w:p w14:paraId="7C3A867A" w14:textId="77777777" w:rsidR="00AE0598" w:rsidRDefault="00AE0598">
      <w:pPr>
        <w:pStyle w:val="Corpodetexto"/>
        <w:spacing w:before="4"/>
      </w:pPr>
    </w:p>
    <w:p w14:paraId="6C45F0C0" w14:textId="77777777" w:rsidR="00AE0598" w:rsidRDefault="0069255A">
      <w:pPr>
        <w:ind w:left="110"/>
        <w:jc w:val="both"/>
        <w:rPr>
          <w:rFonts w:ascii="Trebuchet MS"/>
          <w:sz w:val="20"/>
        </w:rPr>
      </w:pPr>
      <w:r>
        <w:rPr>
          <w:rFonts w:ascii="Trebuchet MS"/>
          <w:color w:val="231F20"/>
          <w:w w:val="105"/>
          <w:sz w:val="20"/>
        </w:rPr>
        <w:t>Sport</w:t>
      </w:r>
      <w:r>
        <w:rPr>
          <w:rFonts w:ascii="Trebuchet MS"/>
          <w:color w:val="231F20"/>
          <w:spacing w:val="-4"/>
          <w:w w:val="105"/>
          <w:sz w:val="20"/>
        </w:rPr>
        <w:t xml:space="preserve"> </w:t>
      </w:r>
      <w:r>
        <w:rPr>
          <w:rFonts w:ascii="Trebuchet MS"/>
          <w:color w:val="231F20"/>
          <w:w w:val="105"/>
          <w:sz w:val="20"/>
        </w:rPr>
        <w:t>tourism</w:t>
      </w:r>
      <w:r>
        <w:rPr>
          <w:rFonts w:ascii="Trebuchet MS"/>
          <w:color w:val="231F20"/>
          <w:spacing w:val="-3"/>
          <w:w w:val="105"/>
          <w:sz w:val="20"/>
        </w:rPr>
        <w:t xml:space="preserve"> </w:t>
      </w:r>
      <w:r>
        <w:rPr>
          <w:rFonts w:ascii="Trebuchet MS"/>
          <w:color w:val="231F20"/>
          <w:spacing w:val="-2"/>
          <w:w w:val="105"/>
          <w:sz w:val="20"/>
        </w:rPr>
        <w:t>places</w:t>
      </w:r>
    </w:p>
    <w:p w14:paraId="5231EE75" w14:textId="77777777" w:rsidR="00AE0598" w:rsidRDefault="0069255A">
      <w:pPr>
        <w:pStyle w:val="Corpodetexto"/>
        <w:spacing w:before="122" w:line="232" w:lineRule="auto"/>
        <w:ind w:left="110" w:right="127" w:firstLine="320"/>
        <w:jc w:val="both"/>
      </w:pPr>
      <w:r>
        <w:rPr>
          <w:color w:val="231F20"/>
        </w:rPr>
        <w:t>The experiences of sport tourists ‘– staged or real – result from tourists’ interactions with place’ (Standeven &amp; De Knop, 1999: 58). Bale (1993) described</w:t>
      </w:r>
      <w:r>
        <w:rPr>
          <w:color w:val="231F20"/>
          <w:spacing w:val="-1"/>
        </w:rPr>
        <w:t xml:space="preserve"> </w:t>
      </w:r>
      <w:r>
        <w:rPr>
          <w:color w:val="231F20"/>
        </w:rPr>
        <w:t>four ways that these</w:t>
      </w:r>
      <w:r>
        <w:rPr>
          <w:color w:val="231F20"/>
          <w:spacing w:val="-1"/>
        </w:rPr>
        <w:t xml:space="preserve"> </w:t>
      </w:r>
      <w:r>
        <w:rPr>
          <w:color w:val="231F20"/>
        </w:rPr>
        <w:t>interactions</w:t>
      </w:r>
      <w:r>
        <w:rPr>
          <w:color w:val="231F20"/>
          <w:spacing w:val="-1"/>
        </w:rPr>
        <w:t xml:space="preserve"> </w:t>
      </w:r>
      <w:r>
        <w:rPr>
          <w:color w:val="231F20"/>
        </w:rPr>
        <w:t>with place</w:t>
      </w:r>
      <w:r>
        <w:rPr>
          <w:color w:val="231F20"/>
          <w:spacing w:val="-1"/>
        </w:rPr>
        <w:t xml:space="preserve"> </w:t>
      </w:r>
      <w:r>
        <w:rPr>
          <w:color w:val="231F20"/>
        </w:rPr>
        <w:t>occur</w:t>
      </w:r>
      <w:r>
        <w:rPr>
          <w:color w:val="231F20"/>
          <w:spacing w:val="-1"/>
        </w:rPr>
        <w:t xml:space="preserve"> </w:t>
      </w:r>
      <w:r>
        <w:rPr>
          <w:color w:val="231F20"/>
        </w:rPr>
        <w:t>in a sport context: (1) a search for the sacred, (2) the development of home- like</w:t>
      </w:r>
      <w:r>
        <w:rPr>
          <w:color w:val="231F20"/>
          <w:spacing w:val="-5"/>
        </w:rPr>
        <w:t xml:space="preserve"> </w:t>
      </w:r>
      <w:r>
        <w:rPr>
          <w:color w:val="231F20"/>
        </w:rPr>
        <w:t>ties</w:t>
      </w:r>
      <w:r>
        <w:rPr>
          <w:color w:val="231F20"/>
          <w:spacing w:val="-5"/>
        </w:rPr>
        <w:t xml:space="preserve"> </w:t>
      </w:r>
      <w:r>
        <w:rPr>
          <w:color w:val="231F20"/>
        </w:rPr>
        <w:t>to</w:t>
      </w:r>
      <w:r>
        <w:rPr>
          <w:color w:val="231F20"/>
          <w:spacing w:val="-5"/>
        </w:rPr>
        <w:t xml:space="preserve"> </w:t>
      </w:r>
      <w:r>
        <w:rPr>
          <w:color w:val="231F20"/>
        </w:rPr>
        <w:t>a</w:t>
      </w:r>
      <w:r>
        <w:rPr>
          <w:color w:val="231F20"/>
          <w:spacing w:val="-5"/>
        </w:rPr>
        <w:t xml:space="preserve"> </w:t>
      </w:r>
      <w:r>
        <w:rPr>
          <w:color w:val="231F20"/>
        </w:rPr>
        <w:t>destination,</w:t>
      </w:r>
      <w:r>
        <w:rPr>
          <w:color w:val="231F20"/>
          <w:spacing w:val="-5"/>
        </w:rPr>
        <w:t xml:space="preserve"> </w:t>
      </w:r>
      <w:r>
        <w:rPr>
          <w:color w:val="231F20"/>
        </w:rPr>
        <w:t>(3)</w:t>
      </w:r>
      <w:r>
        <w:rPr>
          <w:color w:val="231F20"/>
          <w:spacing w:val="-5"/>
        </w:rPr>
        <w:t xml:space="preserve"> </w:t>
      </w:r>
      <w:r>
        <w:rPr>
          <w:color w:val="231F20"/>
        </w:rPr>
        <w:t>aesthetics</w:t>
      </w:r>
      <w:r>
        <w:rPr>
          <w:color w:val="231F20"/>
          <w:spacing w:val="-5"/>
        </w:rPr>
        <w:t xml:space="preserve"> </w:t>
      </w:r>
      <w:r>
        <w:rPr>
          <w:color w:val="231F20"/>
        </w:rPr>
        <w:t>and</w:t>
      </w:r>
      <w:r>
        <w:rPr>
          <w:color w:val="231F20"/>
          <w:spacing w:val="-5"/>
        </w:rPr>
        <w:t xml:space="preserve"> </w:t>
      </w:r>
      <w:r>
        <w:rPr>
          <w:color w:val="231F20"/>
        </w:rPr>
        <w:t>(4)</w:t>
      </w:r>
      <w:r>
        <w:rPr>
          <w:color w:val="231F20"/>
          <w:spacing w:val="-5"/>
        </w:rPr>
        <w:t xml:space="preserve"> </w:t>
      </w:r>
      <w:r>
        <w:rPr>
          <w:color w:val="231F20"/>
        </w:rPr>
        <w:t>sport</w:t>
      </w:r>
      <w:r>
        <w:rPr>
          <w:color w:val="231F20"/>
          <w:spacing w:val="-5"/>
        </w:rPr>
        <w:t xml:space="preserve"> </w:t>
      </w:r>
      <w:r>
        <w:rPr>
          <w:color w:val="231F20"/>
        </w:rPr>
        <w:t>heritage.</w:t>
      </w:r>
      <w:r>
        <w:rPr>
          <w:color w:val="231F20"/>
          <w:spacing w:val="-5"/>
        </w:rPr>
        <w:t xml:space="preserve"> </w:t>
      </w:r>
      <w:r>
        <w:rPr>
          <w:color w:val="231F20"/>
        </w:rPr>
        <w:t>In</w:t>
      </w:r>
      <w:r>
        <w:rPr>
          <w:color w:val="231F20"/>
          <w:spacing w:val="-5"/>
        </w:rPr>
        <w:t xml:space="preserve"> </w:t>
      </w:r>
      <w:r>
        <w:rPr>
          <w:color w:val="231F20"/>
        </w:rPr>
        <w:t>the</w:t>
      </w:r>
      <w:r>
        <w:rPr>
          <w:color w:val="231F20"/>
          <w:spacing w:val="-5"/>
        </w:rPr>
        <w:t xml:space="preserve"> </w:t>
      </w:r>
      <w:r>
        <w:rPr>
          <w:color w:val="231F20"/>
        </w:rPr>
        <w:t xml:space="preserve">first instance, Bale (1993) argues that there has been a changing ‘religious’ </w:t>
      </w:r>
      <w:r>
        <w:rPr>
          <w:color w:val="231F20"/>
          <w:w w:val="95"/>
        </w:rPr>
        <w:t>allegiance for a substanti</w:t>
      </w:r>
      <w:r>
        <w:rPr>
          <w:color w:val="231F20"/>
          <w:w w:val="95"/>
        </w:rPr>
        <w:t>al portion of the public. Rather than worshipping</w:t>
      </w:r>
      <w:r>
        <w:rPr>
          <w:color w:val="231F20"/>
          <w:spacing w:val="40"/>
        </w:rPr>
        <w:t xml:space="preserve"> </w:t>
      </w:r>
      <w:r>
        <w:rPr>
          <w:color w:val="231F20"/>
          <w:w w:val="95"/>
        </w:rPr>
        <w:t xml:space="preserve">at a religion’s alter, many people have substituted sport as their alter. Like </w:t>
      </w:r>
      <w:r>
        <w:rPr>
          <w:color w:val="231F20"/>
        </w:rPr>
        <w:t xml:space="preserve">religious pilgrims, sport tourists travel from the profane (origin) to the </w:t>
      </w:r>
      <w:r>
        <w:rPr>
          <w:color w:val="231F20"/>
          <w:w w:val="95"/>
        </w:rPr>
        <w:t>sacred</w:t>
      </w:r>
      <w:r>
        <w:rPr>
          <w:color w:val="231F20"/>
          <w:spacing w:val="-3"/>
          <w:w w:val="95"/>
        </w:rPr>
        <w:t xml:space="preserve"> </w:t>
      </w:r>
      <w:r>
        <w:rPr>
          <w:color w:val="231F20"/>
          <w:w w:val="95"/>
        </w:rPr>
        <w:t>(sport</w:t>
      </w:r>
      <w:r>
        <w:rPr>
          <w:color w:val="231F20"/>
          <w:spacing w:val="-3"/>
          <w:w w:val="95"/>
        </w:rPr>
        <w:t xml:space="preserve"> </w:t>
      </w:r>
      <w:r>
        <w:rPr>
          <w:color w:val="231F20"/>
          <w:w w:val="95"/>
        </w:rPr>
        <w:t>destination)</w:t>
      </w:r>
      <w:r>
        <w:rPr>
          <w:color w:val="231F20"/>
          <w:spacing w:val="-3"/>
          <w:w w:val="95"/>
        </w:rPr>
        <w:t xml:space="preserve"> </w:t>
      </w:r>
      <w:r>
        <w:rPr>
          <w:color w:val="231F20"/>
          <w:w w:val="95"/>
        </w:rPr>
        <w:t>and</w:t>
      </w:r>
      <w:r>
        <w:rPr>
          <w:color w:val="231F20"/>
          <w:spacing w:val="-3"/>
          <w:w w:val="95"/>
        </w:rPr>
        <w:t xml:space="preserve"> </w:t>
      </w:r>
      <w:r>
        <w:rPr>
          <w:color w:val="231F20"/>
          <w:w w:val="95"/>
        </w:rPr>
        <w:t>back</w:t>
      </w:r>
      <w:r>
        <w:rPr>
          <w:color w:val="231F20"/>
          <w:spacing w:val="-3"/>
          <w:w w:val="95"/>
        </w:rPr>
        <w:t xml:space="preserve"> </w:t>
      </w:r>
      <w:r>
        <w:rPr>
          <w:color w:val="231F20"/>
          <w:w w:val="95"/>
        </w:rPr>
        <w:t>to</w:t>
      </w:r>
      <w:r>
        <w:rPr>
          <w:color w:val="231F20"/>
          <w:spacing w:val="-3"/>
          <w:w w:val="95"/>
        </w:rPr>
        <w:t xml:space="preserve"> </w:t>
      </w:r>
      <w:r>
        <w:rPr>
          <w:color w:val="231F20"/>
          <w:w w:val="95"/>
        </w:rPr>
        <w:t>the</w:t>
      </w:r>
      <w:r>
        <w:rPr>
          <w:color w:val="231F20"/>
          <w:spacing w:val="-3"/>
          <w:w w:val="95"/>
        </w:rPr>
        <w:t xml:space="preserve"> </w:t>
      </w:r>
      <w:r>
        <w:rPr>
          <w:color w:val="231F20"/>
          <w:w w:val="95"/>
        </w:rPr>
        <w:t>profane</w:t>
      </w:r>
      <w:r>
        <w:rPr>
          <w:color w:val="231F20"/>
          <w:spacing w:val="-3"/>
          <w:w w:val="95"/>
        </w:rPr>
        <w:t xml:space="preserve"> </w:t>
      </w:r>
      <w:r>
        <w:rPr>
          <w:color w:val="231F20"/>
          <w:w w:val="95"/>
        </w:rPr>
        <w:t>(</w:t>
      </w:r>
      <w:r>
        <w:rPr>
          <w:color w:val="231F20"/>
          <w:w w:val="95"/>
        </w:rPr>
        <w:t>origin)</w:t>
      </w:r>
      <w:r>
        <w:rPr>
          <w:color w:val="231F20"/>
          <w:spacing w:val="-3"/>
          <w:w w:val="95"/>
        </w:rPr>
        <w:t xml:space="preserve"> </w:t>
      </w:r>
      <w:r>
        <w:rPr>
          <w:color w:val="231F20"/>
          <w:w w:val="95"/>
        </w:rPr>
        <w:t>(Graburn,</w:t>
      </w:r>
      <w:r>
        <w:rPr>
          <w:color w:val="231F20"/>
          <w:spacing w:val="-3"/>
          <w:w w:val="95"/>
        </w:rPr>
        <w:t xml:space="preserve"> </w:t>
      </w:r>
      <w:r>
        <w:rPr>
          <w:color w:val="231F20"/>
          <w:w w:val="95"/>
        </w:rPr>
        <w:t xml:space="preserve">1989). </w:t>
      </w:r>
      <w:r>
        <w:rPr>
          <w:color w:val="231F20"/>
        </w:rPr>
        <w:t>Sport</w:t>
      </w:r>
      <w:r>
        <w:rPr>
          <w:color w:val="231F20"/>
          <w:spacing w:val="-12"/>
        </w:rPr>
        <w:t xml:space="preserve"> </w:t>
      </w:r>
      <w:r>
        <w:rPr>
          <w:color w:val="231F20"/>
        </w:rPr>
        <w:t>tourism</w:t>
      </w:r>
      <w:r>
        <w:rPr>
          <w:color w:val="231F20"/>
          <w:spacing w:val="-11"/>
        </w:rPr>
        <w:t xml:space="preserve"> </w:t>
      </w:r>
      <w:r>
        <w:rPr>
          <w:color w:val="231F20"/>
        </w:rPr>
        <w:t>sites</w:t>
      </w:r>
      <w:r>
        <w:rPr>
          <w:color w:val="231F20"/>
          <w:spacing w:val="-12"/>
        </w:rPr>
        <w:t xml:space="preserve"> </w:t>
      </w:r>
      <w:r>
        <w:rPr>
          <w:color w:val="231F20"/>
        </w:rPr>
        <w:t>act</w:t>
      </w:r>
      <w:r>
        <w:rPr>
          <w:color w:val="231F20"/>
          <w:spacing w:val="-11"/>
        </w:rPr>
        <w:t xml:space="preserve"> </w:t>
      </w:r>
      <w:r>
        <w:rPr>
          <w:color w:val="231F20"/>
        </w:rPr>
        <w:t>as</w:t>
      </w:r>
      <w:r>
        <w:rPr>
          <w:color w:val="231F20"/>
          <w:spacing w:val="-12"/>
        </w:rPr>
        <w:t xml:space="preserve"> </w:t>
      </w:r>
      <w:r>
        <w:rPr>
          <w:color w:val="231F20"/>
        </w:rPr>
        <w:t>a</w:t>
      </w:r>
      <w:r>
        <w:rPr>
          <w:color w:val="231F20"/>
          <w:spacing w:val="-11"/>
        </w:rPr>
        <w:t xml:space="preserve"> </w:t>
      </w:r>
      <w:r>
        <w:rPr>
          <w:color w:val="231F20"/>
        </w:rPr>
        <w:t>refuge</w:t>
      </w:r>
      <w:r>
        <w:rPr>
          <w:color w:val="231F20"/>
          <w:spacing w:val="-12"/>
        </w:rPr>
        <w:t xml:space="preserve"> </w:t>
      </w:r>
      <w:r>
        <w:rPr>
          <w:color w:val="231F20"/>
        </w:rPr>
        <w:t>from</w:t>
      </w:r>
      <w:r>
        <w:rPr>
          <w:color w:val="231F20"/>
          <w:spacing w:val="-11"/>
        </w:rPr>
        <w:t xml:space="preserve"> </w:t>
      </w:r>
      <w:r>
        <w:rPr>
          <w:color w:val="231F20"/>
        </w:rPr>
        <w:t>modernity</w:t>
      </w:r>
      <w:r>
        <w:rPr>
          <w:color w:val="231F20"/>
          <w:spacing w:val="-11"/>
        </w:rPr>
        <w:t xml:space="preserve"> </w:t>
      </w:r>
      <w:r>
        <w:rPr>
          <w:color w:val="231F20"/>
        </w:rPr>
        <w:t>and</w:t>
      </w:r>
      <w:r>
        <w:rPr>
          <w:color w:val="231F20"/>
          <w:spacing w:val="-12"/>
        </w:rPr>
        <w:t xml:space="preserve"> </w:t>
      </w:r>
      <w:r>
        <w:rPr>
          <w:color w:val="231F20"/>
        </w:rPr>
        <w:t>the</w:t>
      </w:r>
      <w:r>
        <w:rPr>
          <w:color w:val="231F20"/>
          <w:spacing w:val="-11"/>
        </w:rPr>
        <w:t xml:space="preserve"> </w:t>
      </w:r>
      <w:r>
        <w:rPr>
          <w:color w:val="231F20"/>
        </w:rPr>
        <w:t>sacred</w:t>
      </w:r>
      <w:r>
        <w:rPr>
          <w:color w:val="231F20"/>
          <w:spacing w:val="-11"/>
        </w:rPr>
        <w:t xml:space="preserve"> </w:t>
      </w:r>
      <w:r>
        <w:rPr>
          <w:color w:val="231F20"/>
        </w:rPr>
        <w:t>forms</w:t>
      </w:r>
      <w:r>
        <w:rPr>
          <w:color w:val="231F20"/>
          <w:spacing w:val="-12"/>
        </w:rPr>
        <w:t xml:space="preserve"> </w:t>
      </w:r>
      <w:r>
        <w:rPr>
          <w:color w:val="231F20"/>
        </w:rPr>
        <w:t>a reality</w:t>
      </w:r>
      <w:r>
        <w:rPr>
          <w:color w:val="231F20"/>
          <w:spacing w:val="-9"/>
        </w:rPr>
        <w:t xml:space="preserve"> </w:t>
      </w:r>
      <w:r>
        <w:rPr>
          <w:color w:val="231F20"/>
        </w:rPr>
        <w:t>separate</w:t>
      </w:r>
      <w:r>
        <w:rPr>
          <w:color w:val="231F20"/>
          <w:spacing w:val="-9"/>
        </w:rPr>
        <w:t xml:space="preserve"> </w:t>
      </w:r>
      <w:r>
        <w:rPr>
          <w:color w:val="231F20"/>
        </w:rPr>
        <w:t>from</w:t>
      </w:r>
      <w:r>
        <w:rPr>
          <w:color w:val="231F20"/>
          <w:spacing w:val="-9"/>
        </w:rPr>
        <w:t xml:space="preserve"> </w:t>
      </w:r>
      <w:r>
        <w:rPr>
          <w:color w:val="231F20"/>
        </w:rPr>
        <w:t>the</w:t>
      </w:r>
      <w:r>
        <w:rPr>
          <w:color w:val="231F20"/>
          <w:spacing w:val="-9"/>
        </w:rPr>
        <w:t xml:space="preserve"> </w:t>
      </w:r>
      <w:r>
        <w:rPr>
          <w:color w:val="231F20"/>
        </w:rPr>
        <w:t>ordinary</w:t>
      </w:r>
      <w:r>
        <w:rPr>
          <w:color w:val="231F20"/>
          <w:spacing w:val="-9"/>
        </w:rPr>
        <w:t xml:space="preserve"> </w:t>
      </w:r>
      <w:r>
        <w:rPr>
          <w:color w:val="231F20"/>
        </w:rPr>
        <w:t>lives</w:t>
      </w:r>
      <w:r>
        <w:rPr>
          <w:color w:val="231F20"/>
          <w:spacing w:val="-9"/>
        </w:rPr>
        <w:t xml:space="preserve"> </w:t>
      </w:r>
      <w:r>
        <w:rPr>
          <w:color w:val="231F20"/>
        </w:rPr>
        <w:t>of</w:t>
      </w:r>
      <w:r>
        <w:rPr>
          <w:color w:val="231F20"/>
          <w:spacing w:val="-9"/>
        </w:rPr>
        <w:t xml:space="preserve"> </w:t>
      </w:r>
      <w:r>
        <w:rPr>
          <w:color w:val="231F20"/>
        </w:rPr>
        <w:t>travellers,</w:t>
      </w:r>
      <w:r>
        <w:rPr>
          <w:color w:val="231F20"/>
          <w:spacing w:val="-9"/>
        </w:rPr>
        <w:t xml:space="preserve"> </w:t>
      </w:r>
      <w:r>
        <w:rPr>
          <w:color w:val="231F20"/>
        </w:rPr>
        <w:t>perhaps</w:t>
      </w:r>
      <w:r>
        <w:rPr>
          <w:color w:val="231F20"/>
          <w:spacing w:val="-9"/>
        </w:rPr>
        <w:t xml:space="preserve"> </w:t>
      </w:r>
      <w:r>
        <w:rPr>
          <w:color w:val="231F20"/>
        </w:rPr>
        <w:t>reflecting</w:t>
      </w:r>
      <w:r>
        <w:rPr>
          <w:color w:val="231F20"/>
          <w:spacing w:val="-9"/>
        </w:rPr>
        <w:t xml:space="preserve"> </w:t>
      </w:r>
      <w:r>
        <w:rPr>
          <w:color w:val="231F20"/>
        </w:rPr>
        <w:t>a response</w:t>
      </w:r>
      <w:r>
        <w:rPr>
          <w:color w:val="231F20"/>
          <w:spacing w:val="-5"/>
        </w:rPr>
        <w:t xml:space="preserve"> </w:t>
      </w:r>
      <w:r>
        <w:rPr>
          <w:color w:val="231F20"/>
        </w:rPr>
        <w:t>to</w:t>
      </w:r>
      <w:r>
        <w:rPr>
          <w:color w:val="231F20"/>
          <w:spacing w:val="-5"/>
        </w:rPr>
        <w:t xml:space="preserve"> </w:t>
      </w:r>
      <w:r>
        <w:rPr>
          <w:color w:val="231F20"/>
        </w:rPr>
        <w:t>conditions</w:t>
      </w:r>
      <w:r>
        <w:rPr>
          <w:color w:val="231F20"/>
          <w:spacing w:val="-5"/>
        </w:rPr>
        <w:t xml:space="preserve"> </w:t>
      </w:r>
      <w:r>
        <w:rPr>
          <w:color w:val="231F20"/>
        </w:rPr>
        <w:t>of</w:t>
      </w:r>
      <w:r>
        <w:rPr>
          <w:color w:val="231F20"/>
          <w:spacing w:val="-5"/>
        </w:rPr>
        <w:t xml:space="preserve"> </w:t>
      </w:r>
      <w:r>
        <w:rPr>
          <w:color w:val="231F20"/>
        </w:rPr>
        <w:t>rootlessness</w:t>
      </w:r>
      <w:r>
        <w:rPr>
          <w:color w:val="231F20"/>
          <w:spacing w:val="-5"/>
        </w:rPr>
        <w:t xml:space="preserve"> </w:t>
      </w:r>
      <w:r>
        <w:rPr>
          <w:color w:val="231F20"/>
        </w:rPr>
        <w:t>in</w:t>
      </w:r>
      <w:r>
        <w:rPr>
          <w:color w:val="231F20"/>
          <w:spacing w:val="-5"/>
        </w:rPr>
        <w:t xml:space="preserve"> </w:t>
      </w:r>
      <w:r>
        <w:rPr>
          <w:color w:val="231F20"/>
        </w:rPr>
        <w:t>a</w:t>
      </w:r>
      <w:r>
        <w:rPr>
          <w:color w:val="231F20"/>
          <w:spacing w:val="-5"/>
        </w:rPr>
        <w:t xml:space="preserve"> </w:t>
      </w:r>
      <w:r>
        <w:rPr>
          <w:color w:val="231F20"/>
        </w:rPr>
        <w:t>post-modern</w:t>
      </w:r>
      <w:r>
        <w:rPr>
          <w:color w:val="231F20"/>
          <w:spacing w:val="-5"/>
        </w:rPr>
        <w:t xml:space="preserve"> </w:t>
      </w:r>
      <w:r>
        <w:rPr>
          <w:color w:val="231F20"/>
        </w:rPr>
        <w:t>world.</w:t>
      </w:r>
    </w:p>
    <w:p w14:paraId="6095F051" w14:textId="77777777" w:rsidR="00AE0598" w:rsidRDefault="0069255A">
      <w:pPr>
        <w:pStyle w:val="Corpodetexto"/>
        <w:spacing w:before="16" w:line="232" w:lineRule="auto"/>
        <w:ind w:left="110" w:right="127" w:firstLine="320"/>
        <w:jc w:val="both"/>
      </w:pPr>
      <w:r>
        <w:rPr>
          <w:color w:val="231F20"/>
        </w:rPr>
        <w:t>A</w:t>
      </w:r>
      <w:r>
        <w:rPr>
          <w:color w:val="231F20"/>
          <w:spacing w:val="40"/>
        </w:rPr>
        <w:t xml:space="preserve"> </w:t>
      </w:r>
      <w:r>
        <w:rPr>
          <w:color w:val="231F20"/>
        </w:rPr>
        <w:t>second</w:t>
      </w:r>
      <w:r>
        <w:rPr>
          <w:color w:val="231F20"/>
          <w:spacing w:val="40"/>
        </w:rPr>
        <w:t xml:space="preserve"> </w:t>
      </w:r>
      <w:r>
        <w:rPr>
          <w:color w:val="231F20"/>
        </w:rPr>
        <w:t>way</w:t>
      </w:r>
      <w:r>
        <w:rPr>
          <w:color w:val="231F20"/>
          <w:spacing w:val="40"/>
        </w:rPr>
        <w:t xml:space="preserve"> </w:t>
      </w:r>
      <w:r>
        <w:rPr>
          <w:color w:val="231F20"/>
        </w:rPr>
        <w:t>that</w:t>
      </w:r>
      <w:r>
        <w:rPr>
          <w:color w:val="231F20"/>
          <w:spacing w:val="40"/>
        </w:rPr>
        <w:t xml:space="preserve"> </w:t>
      </w:r>
      <w:r>
        <w:rPr>
          <w:color w:val="231F20"/>
        </w:rPr>
        <w:t>sport</w:t>
      </w:r>
      <w:r>
        <w:rPr>
          <w:color w:val="231F20"/>
          <w:spacing w:val="40"/>
        </w:rPr>
        <w:t xml:space="preserve"> </w:t>
      </w:r>
      <w:r>
        <w:rPr>
          <w:color w:val="231F20"/>
        </w:rPr>
        <w:t>spaces</w:t>
      </w:r>
      <w:r>
        <w:rPr>
          <w:color w:val="231F20"/>
          <w:spacing w:val="40"/>
        </w:rPr>
        <w:t xml:space="preserve"> </w:t>
      </w:r>
      <w:r>
        <w:rPr>
          <w:color w:val="231F20"/>
        </w:rPr>
        <w:t>become</w:t>
      </w:r>
      <w:r>
        <w:rPr>
          <w:color w:val="231F20"/>
          <w:spacing w:val="40"/>
        </w:rPr>
        <w:t xml:space="preserve"> </w:t>
      </w:r>
      <w:r>
        <w:rPr>
          <w:color w:val="231F20"/>
        </w:rPr>
        <w:t>endowed</w:t>
      </w:r>
      <w:r>
        <w:rPr>
          <w:color w:val="231F20"/>
          <w:spacing w:val="40"/>
        </w:rPr>
        <w:t xml:space="preserve"> </w:t>
      </w:r>
      <w:r>
        <w:rPr>
          <w:color w:val="231F20"/>
        </w:rPr>
        <w:t>with</w:t>
      </w:r>
      <w:r>
        <w:rPr>
          <w:color w:val="231F20"/>
          <w:spacing w:val="40"/>
        </w:rPr>
        <w:t xml:space="preserve"> </w:t>
      </w:r>
      <w:r>
        <w:rPr>
          <w:color w:val="231F20"/>
        </w:rPr>
        <w:t>meaning is through the development of home-like ties to a site even though that site may be far removed from one’s residence. A particular sporting venue</w:t>
      </w:r>
      <w:r>
        <w:rPr>
          <w:color w:val="231F20"/>
          <w:spacing w:val="-1"/>
        </w:rPr>
        <w:t xml:space="preserve"> </w:t>
      </w:r>
      <w:r>
        <w:rPr>
          <w:color w:val="231F20"/>
        </w:rPr>
        <w:t>may</w:t>
      </w:r>
      <w:r>
        <w:rPr>
          <w:color w:val="231F20"/>
          <w:spacing w:val="-1"/>
        </w:rPr>
        <w:t xml:space="preserve"> </w:t>
      </w:r>
      <w:r>
        <w:rPr>
          <w:color w:val="231F20"/>
        </w:rPr>
        <w:t>become</w:t>
      </w:r>
      <w:r>
        <w:rPr>
          <w:color w:val="231F20"/>
          <w:spacing w:val="-1"/>
        </w:rPr>
        <w:t xml:space="preserve"> </w:t>
      </w:r>
      <w:r>
        <w:rPr>
          <w:color w:val="231F20"/>
        </w:rPr>
        <w:t>home</w:t>
      </w:r>
      <w:r>
        <w:rPr>
          <w:color w:val="231F20"/>
          <w:spacing w:val="-1"/>
        </w:rPr>
        <w:t xml:space="preserve"> </w:t>
      </w:r>
      <w:r>
        <w:rPr>
          <w:color w:val="231F20"/>
        </w:rPr>
        <w:t>as</w:t>
      </w:r>
      <w:r>
        <w:rPr>
          <w:color w:val="231F20"/>
          <w:spacing w:val="-1"/>
        </w:rPr>
        <w:t xml:space="preserve"> </w:t>
      </w:r>
      <w:r>
        <w:rPr>
          <w:color w:val="231F20"/>
        </w:rPr>
        <w:t>fans</w:t>
      </w:r>
      <w:r>
        <w:rPr>
          <w:color w:val="231F20"/>
          <w:spacing w:val="-1"/>
        </w:rPr>
        <w:t xml:space="preserve"> </w:t>
      </w:r>
      <w:r>
        <w:rPr>
          <w:color w:val="231F20"/>
        </w:rPr>
        <w:t>or</w:t>
      </w:r>
      <w:r>
        <w:rPr>
          <w:color w:val="231F20"/>
          <w:spacing w:val="-1"/>
        </w:rPr>
        <w:t xml:space="preserve"> </w:t>
      </w:r>
      <w:r>
        <w:rPr>
          <w:color w:val="231F20"/>
        </w:rPr>
        <w:t>active</w:t>
      </w:r>
      <w:r>
        <w:rPr>
          <w:color w:val="231F20"/>
          <w:spacing w:val="-1"/>
        </w:rPr>
        <w:t xml:space="preserve"> </w:t>
      </w:r>
      <w:r>
        <w:rPr>
          <w:color w:val="231F20"/>
        </w:rPr>
        <w:t>participants</w:t>
      </w:r>
      <w:r>
        <w:rPr>
          <w:color w:val="231F20"/>
          <w:spacing w:val="-1"/>
        </w:rPr>
        <w:t xml:space="preserve"> </w:t>
      </w:r>
      <w:r>
        <w:rPr>
          <w:color w:val="231F20"/>
        </w:rPr>
        <w:t>develop</w:t>
      </w:r>
      <w:r>
        <w:rPr>
          <w:color w:val="231F20"/>
          <w:spacing w:val="-1"/>
        </w:rPr>
        <w:t xml:space="preserve"> </w:t>
      </w:r>
      <w:r>
        <w:rPr>
          <w:color w:val="231F20"/>
        </w:rPr>
        <w:t xml:space="preserve">sporting allegiances to the site. This idea of ‘home’ contrasts with most technical definitions of the tourist, which provide an arbitrary distance threshold </w:t>
      </w:r>
      <w:r>
        <w:rPr>
          <w:color w:val="231F20"/>
          <w:w w:val="95"/>
        </w:rPr>
        <w:t xml:space="preserve">that once surpassed, define a traveller as a tourist or excursionist. In doing </w:t>
      </w:r>
      <w:r>
        <w:rPr>
          <w:color w:val="231F20"/>
        </w:rPr>
        <w:t>so, interesting que</w:t>
      </w:r>
      <w:r>
        <w:rPr>
          <w:color w:val="231F20"/>
        </w:rPr>
        <w:t>stions are raised about the meaning that these ‘home’ fans attach to the destination (Case Study 6.1).</w:t>
      </w:r>
    </w:p>
    <w:p w14:paraId="73315041" w14:textId="12F1C53F" w:rsidR="00AE0598" w:rsidRDefault="0069255A">
      <w:pPr>
        <w:pStyle w:val="Corpodetexto"/>
        <w:spacing w:before="11"/>
      </w:pPr>
      <w:r>
        <w:rPr>
          <w:noProof/>
        </w:rPr>
        <mc:AlternateContent>
          <mc:Choice Requires="wps">
            <w:drawing>
              <wp:anchor distT="0" distB="0" distL="0" distR="0" simplePos="0" relativeHeight="487644160" behindDoc="1" locked="0" layoutInCell="1" allowOverlap="1" wp14:anchorId="344B315A" wp14:editId="4F3DDA6F">
                <wp:simplePos x="0" y="0"/>
                <wp:positionH relativeFrom="page">
                  <wp:posOffset>759460</wp:posOffset>
                </wp:positionH>
                <wp:positionV relativeFrom="paragraph">
                  <wp:posOffset>178435</wp:posOffset>
                </wp:positionV>
                <wp:extent cx="4104005" cy="2156460"/>
                <wp:effectExtent l="0" t="0" r="0" b="0"/>
                <wp:wrapTopAndBottom/>
                <wp:docPr id="202" name="docshape1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04005" cy="2156460"/>
                        </a:xfrm>
                        <a:prstGeom prst="rect">
                          <a:avLst/>
                        </a:prstGeom>
                        <a:solidFill>
                          <a:srgbClr val="DCDDD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FB7E2C3" w14:textId="77777777" w:rsidR="00AE0598" w:rsidRDefault="0069255A">
                            <w:pPr>
                              <w:spacing w:before="75" w:line="247" w:lineRule="auto"/>
                              <w:ind w:left="113" w:right="618"/>
                              <w:jc w:val="both"/>
                              <w:rPr>
                                <w:rFonts w:ascii="Trebuchet MS" w:hAnsi="Trebuchet MS"/>
                                <w:color w:val="000000"/>
                                <w:sz w:val="20"/>
                              </w:rPr>
                            </w:pPr>
                            <w:r>
                              <w:rPr>
                                <w:rFonts w:ascii="Trebuchet MS" w:hAnsi="Trebuchet MS"/>
                                <w:color w:val="231F20"/>
                                <w:spacing w:val="-2"/>
                                <w:w w:val="105"/>
                                <w:sz w:val="20"/>
                              </w:rPr>
                              <w:t>Case</w:t>
                            </w:r>
                            <w:r>
                              <w:rPr>
                                <w:rFonts w:ascii="Trebuchet MS" w:hAnsi="Trebuchet MS"/>
                                <w:color w:val="231F20"/>
                                <w:spacing w:val="-10"/>
                                <w:w w:val="105"/>
                                <w:sz w:val="20"/>
                              </w:rPr>
                              <w:t xml:space="preserve"> </w:t>
                            </w:r>
                            <w:r>
                              <w:rPr>
                                <w:rFonts w:ascii="Trebuchet MS" w:hAnsi="Trebuchet MS"/>
                                <w:color w:val="231F20"/>
                                <w:spacing w:val="-2"/>
                                <w:w w:val="105"/>
                                <w:sz w:val="20"/>
                              </w:rPr>
                              <w:t>Study</w:t>
                            </w:r>
                            <w:r>
                              <w:rPr>
                                <w:rFonts w:ascii="Trebuchet MS" w:hAnsi="Trebuchet MS"/>
                                <w:color w:val="231F20"/>
                                <w:spacing w:val="-10"/>
                                <w:w w:val="105"/>
                                <w:sz w:val="20"/>
                              </w:rPr>
                              <w:t xml:space="preserve"> </w:t>
                            </w:r>
                            <w:r>
                              <w:rPr>
                                <w:rFonts w:ascii="Trebuchet MS" w:hAnsi="Trebuchet MS"/>
                                <w:color w:val="231F20"/>
                                <w:spacing w:val="-2"/>
                                <w:w w:val="105"/>
                                <w:sz w:val="20"/>
                              </w:rPr>
                              <w:t>6.1:</w:t>
                            </w:r>
                            <w:r>
                              <w:rPr>
                                <w:rFonts w:ascii="Trebuchet MS" w:hAnsi="Trebuchet MS"/>
                                <w:color w:val="231F20"/>
                                <w:spacing w:val="-10"/>
                                <w:w w:val="105"/>
                                <w:sz w:val="20"/>
                              </w:rPr>
                              <w:t xml:space="preserve"> </w:t>
                            </w:r>
                            <w:r>
                              <w:rPr>
                                <w:rFonts w:ascii="Trebuchet MS" w:hAnsi="Trebuchet MS"/>
                                <w:color w:val="231F20"/>
                                <w:spacing w:val="-2"/>
                                <w:w w:val="105"/>
                                <w:sz w:val="20"/>
                              </w:rPr>
                              <w:t>Local</w:t>
                            </w:r>
                            <w:r>
                              <w:rPr>
                                <w:rFonts w:ascii="Trebuchet MS" w:hAnsi="Trebuchet MS"/>
                                <w:color w:val="231F20"/>
                                <w:spacing w:val="-10"/>
                                <w:w w:val="105"/>
                                <w:sz w:val="20"/>
                              </w:rPr>
                              <w:t xml:space="preserve"> </w:t>
                            </w:r>
                            <w:r>
                              <w:rPr>
                                <w:rFonts w:ascii="Trebuchet MS" w:hAnsi="Trebuchet MS"/>
                                <w:color w:val="231F20"/>
                                <w:spacing w:val="-2"/>
                                <w:w w:val="105"/>
                                <w:sz w:val="20"/>
                              </w:rPr>
                              <w:t>Identities</w:t>
                            </w:r>
                            <w:r>
                              <w:rPr>
                                <w:rFonts w:ascii="Trebuchet MS" w:hAnsi="Trebuchet MS"/>
                                <w:color w:val="231F20"/>
                                <w:spacing w:val="-10"/>
                                <w:w w:val="105"/>
                                <w:sz w:val="20"/>
                              </w:rPr>
                              <w:t xml:space="preserve"> </w:t>
                            </w:r>
                            <w:r>
                              <w:rPr>
                                <w:rFonts w:ascii="Trebuchet MS" w:hAnsi="Trebuchet MS"/>
                                <w:color w:val="231F20"/>
                                <w:spacing w:val="-2"/>
                                <w:w w:val="105"/>
                                <w:sz w:val="20"/>
                              </w:rPr>
                              <w:t>in</w:t>
                            </w:r>
                            <w:r>
                              <w:rPr>
                                <w:rFonts w:ascii="Trebuchet MS" w:hAnsi="Trebuchet MS"/>
                                <w:color w:val="231F20"/>
                                <w:spacing w:val="-10"/>
                                <w:w w:val="105"/>
                                <w:sz w:val="20"/>
                              </w:rPr>
                              <w:t xml:space="preserve"> </w:t>
                            </w:r>
                            <w:r>
                              <w:rPr>
                                <w:rFonts w:ascii="Trebuchet MS" w:hAnsi="Trebuchet MS"/>
                                <w:color w:val="231F20"/>
                                <w:spacing w:val="-2"/>
                                <w:w w:val="105"/>
                                <w:sz w:val="20"/>
                              </w:rPr>
                              <w:t>a</w:t>
                            </w:r>
                            <w:r>
                              <w:rPr>
                                <w:rFonts w:ascii="Trebuchet MS" w:hAnsi="Trebuchet MS"/>
                                <w:color w:val="231F20"/>
                                <w:spacing w:val="-10"/>
                                <w:w w:val="105"/>
                                <w:sz w:val="20"/>
                              </w:rPr>
                              <w:t xml:space="preserve"> </w:t>
                            </w:r>
                            <w:r>
                              <w:rPr>
                                <w:rFonts w:ascii="Trebuchet MS" w:hAnsi="Trebuchet MS"/>
                                <w:color w:val="231F20"/>
                                <w:spacing w:val="-2"/>
                                <w:w w:val="105"/>
                                <w:sz w:val="20"/>
                              </w:rPr>
                              <w:t>Global</w:t>
                            </w:r>
                            <w:r>
                              <w:rPr>
                                <w:rFonts w:ascii="Trebuchet MS" w:hAnsi="Trebuchet MS"/>
                                <w:color w:val="231F20"/>
                                <w:spacing w:val="-10"/>
                                <w:w w:val="105"/>
                                <w:sz w:val="20"/>
                              </w:rPr>
                              <w:t xml:space="preserve"> </w:t>
                            </w:r>
                            <w:r>
                              <w:rPr>
                                <w:rFonts w:ascii="Trebuchet MS" w:hAnsi="Trebuchet MS"/>
                                <w:color w:val="231F20"/>
                                <w:spacing w:val="-2"/>
                                <w:w w:val="105"/>
                                <w:sz w:val="20"/>
                              </w:rPr>
                              <w:t>Game</w:t>
                            </w:r>
                            <w:r>
                              <w:rPr>
                                <w:rFonts w:ascii="Trebuchet MS" w:hAnsi="Trebuchet MS"/>
                                <w:color w:val="231F20"/>
                                <w:spacing w:val="-10"/>
                                <w:w w:val="105"/>
                                <w:sz w:val="20"/>
                              </w:rPr>
                              <w:t xml:space="preserve"> </w:t>
                            </w:r>
                            <w:r>
                              <w:rPr>
                                <w:rFonts w:ascii="Trebuchet MS" w:hAnsi="Trebuchet MS"/>
                                <w:color w:val="231F20"/>
                                <w:spacing w:val="-2"/>
                                <w:w w:val="105"/>
                                <w:sz w:val="20"/>
                              </w:rPr>
                              <w:t>–</w:t>
                            </w:r>
                            <w:r>
                              <w:rPr>
                                <w:rFonts w:ascii="Trebuchet MS" w:hAnsi="Trebuchet MS"/>
                                <w:color w:val="231F20"/>
                                <w:spacing w:val="-10"/>
                                <w:w w:val="105"/>
                                <w:sz w:val="20"/>
                              </w:rPr>
                              <w:t xml:space="preserve"> </w:t>
                            </w:r>
                            <w:r>
                              <w:rPr>
                                <w:rFonts w:ascii="Trebuchet MS" w:hAnsi="Trebuchet MS"/>
                                <w:color w:val="231F20"/>
                                <w:spacing w:val="-2"/>
                                <w:w w:val="105"/>
                                <w:sz w:val="20"/>
                              </w:rPr>
                              <w:t xml:space="preserve">Liverpool’s </w:t>
                            </w:r>
                            <w:r>
                              <w:rPr>
                                <w:rFonts w:ascii="Trebuchet MS" w:hAnsi="Trebuchet MS"/>
                                <w:color w:val="231F20"/>
                                <w:w w:val="105"/>
                                <w:sz w:val="20"/>
                              </w:rPr>
                              <w:t>Football Space</w:t>
                            </w:r>
                          </w:p>
                          <w:p w14:paraId="6C83209D" w14:textId="77777777" w:rsidR="00AE0598" w:rsidRDefault="0069255A">
                            <w:pPr>
                              <w:pStyle w:val="Corpodetexto"/>
                              <w:spacing w:before="110"/>
                              <w:ind w:left="113"/>
                              <w:jc w:val="both"/>
                              <w:rPr>
                                <w:color w:val="000000"/>
                              </w:rPr>
                            </w:pPr>
                            <w:r>
                              <w:rPr>
                                <w:color w:val="231F20"/>
                              </w:rPr>
                              <w:t>Daniel</w:t>
                            </w:r>
                            <w:r>
                              <w:rPr>
                                <w:color w:val="231F20"/>
                                <w:spacing w:val="1"/>
                              </w:rPr>
                              <w:t xml:space="preserve"> </w:t>
                            </w:r>
                            <w:r>
                              <w:rPr>
                                <w:color w:val="231F20"/>
                              </w:rPr>
                              <w:t>Evans,</w:t>
                            </w:r>
                            <w:r>
                              <w:rPr>
                                <w:color w:val="231F20"/>
                                <w:spacing w:val="1"/>
                              </w:rPr>
                              <w:t xml:space="preserve"> </w:t>
                            </w:r>
                            <w:r>
                              <w:rPr>
                                <w:color w:val="231F20"/>
                              </w:rPr>
                              <w:t>York</w:t>
                            </w:r>
                            <w:r>
                              <w:rPr>
                                <w:color w:val="231F20"/>
                                <w:spacing w:val="2"/>
                              </w:rPr>
                              <w:t xml:space="preserve"> </w:t>
                            </w:r>
                            <w:r>
                              <w:rPr>
                                <w:color w:val="231F20"/>
                                <w:spacing w:val="-2"/>
                              </w:rPr>
                              <w:t>University</w:t>
                            </w:r>
                          </w:p>
                          <w:p w14:paraId="7D8715B3" w14:textId="77777777" w:rsidR="00AE0598" w:rsidRDefault="0069255A">
                            <w:pPr>
                              <w:pStyle w:val="Corpodetexto"/>
                              <w:spacing w:before="120" w:line="232" w:lineRule="auto"/>
                              <w:ind w:left="113" w:right="111" w:firstLine="320"/>
                              <w:jc w:val="both"/>
                              <w:rPr>
                                <w:color w:val="000000"/>
                              </w:rPr>
                            </w:pPr>
                            <w:r>
                              <w:rPr>
                                <w:color w:val="231F20"/>
                              </w:rPr>
                              <w:t>The restructuring of</w:t>
                            </w:r>
                            <w:r>
                              <w:rPr>
                                <w:color w:val="231F20"/>
                                <w:spacing w:val="40"/>
                              </w:rPr>
                              <w:t xml:space="preserve"> </w:t>
                            </w:r>
                            <w:r>
                              <w:rPr>
                                <w:color w:val="231F20"/>
                              </w:rPr>
                              <w:t>English football and</w:t>
                            </w:r>
                            <w:r>
                              <w:rPr>
                                <w:color w:val="231F20"/>
                              </w:rPr>
                              <w:t xml:space="preserve"> its commercialisation</w:t>
                            </w:r>
                            <w:r>
                              <w:rPr>
                                <w:color w:val="231F20"/>
                                <w:spacing w:val="40"/>
                              </w:rPr>
                              <w:t xml:space="preserve"> </w:t>
                            </w:r>
                            <w:r>
                              <w:rPr>
                                <w:color w:val="231F20"/>
                              </w:rPr>
                              <w:t>on</w:t>
                            </w:r>
                            <w:r>
                              <w:rPr>
                                <w:color w:val="231F20"/>
                                <w:spacing w:val="27"/>
                              </w:rPr>
                              <w:t xml:space="preserve"> </w:t>
                            </w:r>
                            <w:r>
                              <w:rPr>
                                <w:color w:val="231F20"/>
                              </w:rPr>
                              <w:t>an</w:t>
                            </w:r>
                            <w:r>
                              <w:rPr>
                                <w:color w:val="231F20"/>
                                <w:spacing w:val="28"/>
                              </w:rPr>
                              <w:t xml:space="preserve"> </w:t>
                            </w:r>
                            <w:r>
                              <w:rPr>
                                <w:color w:val="231F20"/>
                              </w:rPr>
                              <w:t>unprecedented</w:t>
                            </w:r>
                            <w:r>
                              <w:rPr>
                                <w:color w:val="231F20"/>
                                <w:spacing w:val="27"/>
                              </w:rPr>
                              <w:t xml:space="preserve"> </w:t>
                            </w:r>
                            <w:r>
                              <w:rPr>
                                <w:color w:val="231F20"/>
                              </w:rPr>
                              <w:t>global</w:t>
                            </w:r>
                            <w:r>
                              <w:rPr>
                                <w:color w:val="231F20"/>
                                <w:spacing w:val="28"/>
                              </w:rPr>
                              <w:t xml:space="preserve"> </w:t>
                            </w:r>
                            <w:r>
                              <w:rPr>
                                <w:color w:val="231F20"/>
                              </w:rPr>
                              <w:t>scale</w:t>
                            </w:r>
                            <w:r>
                              <w:rPr>
                                <w:color w:val="231F20"/>
                                <w:spacing w:val="27"/>
                              </w:rPr>
                              <w:t xml:space="preserve"> </w:t>
                            </w:r>
                            <w:r>
                              <w:rPr>
                                <w:color w:val="231F20"/>
                              </w:rPr>
                              <w:t>have</w:t>
                            </w:r>
                            <w:r>
                              <w:rPr>
                                <w:color w:val="231F20"/>
                                <w:spacing w:val="28"/>
                              </w:rPr>
                              <w:t xml:space="preserve"> </w:t>
                            </w:r>
                            <w:r>
                              <w:rPr>
                                <w:color w:val="231F20"/>
                              </w:rPr>
                              <w:t>encouraged</w:t>
                            </w:r>
                            <w:r>
                              <w:rPr>
                                <w:color w:val="231F20"/>
                                <w:spacing w:val="28"/>
                              </w:rPr>
                              <w:t xml:space="preserve"> </w:t>
                            </w:r>
                            <w:r>
                              <w:rPr>
                                <w:color w:val="231F20"/>
                              </w:rPr>
                              <w:t>particular</w:t>
                            </w:r>
                            <w:r>
                              <w:rPr>
                                <w:color w:val="231F20"/>
                                <w:spacing w:val="27"/>
                              </w:rPr>
                              <w:t xml:space="preserve"> </w:t>
                            </w:r>
                            <w:r>
                              <w:rPr>
                                <w:color w:val="231F20"/>
                                <w:spacing w:val="-2"/>
                              </w:rPr>
                              <w:t>cities</w:t>
                            </w:r>
                          </w:p>
                          <w:p w14:paraId="42587F2B" w14:textId="77777777" w:rsidR="00AE0598" w:rsidRDefault="0069255A">
                            <w:pPr>
                              <w:pStyle w:val="Corpodetexto"/>
                              <w:spacing w:before="2" w:line="232" w:lineRule="auto"/>
                              <w:ind w:left="113" w:right="111"/>
                              <w:jc w:val="both"/>
                              <w:rPr>
                                <w:color w:val="000000"/>
                              </w:rPr>
                            </w:pPr>
                            <w:r>
                              <w:rPr>
                                <w:color w:val="231F20"/>
                              </w:rPr>
                              <w:t xml:space="preserve">– especially Liverpool, UK – to increasingly orient local economic </w:t>
                            </w:r>
                            <w:r>
                              <w:rPr>
                                <w:color w:val="231F20"/>
                                <w:spacing w:val="-2"/>
                              </w:rPr>
                              <w:t>development</w:t>
                            </w:r>
                            <w:r>
                              <w:rPr>
                                <w:color w:val="231F20"/>
                                <w:spacing w:val="-5"/>
                              </w:rPr>
                              <w:t xml:space="preserve"> </w:t>
                            </w:r>
                            <w:r>
                              <w:rPr>
                                <w:color w:val="231F20"/>
                                <w:spacing w:val="-2"/>
                              </w:rPr>
                              <w:t>around</w:t>
                            </w:r>
                            <w:r>
                              <w:rPr>
                                <w:color w:val="231F20"/>
                                <w:spacing w:val="-5"/>
                              </w:rPr>
                              <w:t xml:space="preserve"> </w:t>
                            </w:r>
                            <w:r>
                              <w:rPr>
                                <w:color w:val="231F20"/>
                                <w:spacing w:val="-2"/>
                              </w:rPr>
                              <w:t>football.</w:t>
                            </w:r>
                            <w:r>
                              <w:rPr>
                                <w:color w:val="231F20"/>
                                <w:spacing w:val="-5"/>
                              </w:rPr>
                              <w:t xml:space="preserve"> </w:t>
                            </w:r>
                            <w:r>
                              <w:rPr>
                                <w:color w:val="231F20"/>
                                <w:spacing w:val="-2"/>
                              </w:rPr>
                              <w:t>The</w:t>
                            </w:r>
                            <w:r>
                              <w:rPr>
                                <w:color w:val="231F20"/>
                                <w:spacing w:val="-5"/>
                              </w:rPr>
                              <w:t xml:space="preserve"> </w:t>
                            </w:r>
                            <w:r>
                              <w:rPr>
                                <w:color w:val="231F20"/>
                                <w:spacing w:val="-2"/>
                              </w:rPr>
                              <w:t>changing</w:t>
                            </w:r>
                            <w:r>
                              <w:rPr>
                                <w:color w:val="231F20"/>
                                <w:spacing w:val="-5"/>
                              </w:rPr>
                              <w:t xml:space="preserve"> </w:t>
                            </w:r>
                            <w:r>
                              <w:rPr>
                                <w:color w:val="231F20"/>
                                <w:spacing w:val="-2"/>
                              </w:rPr>
                              <w:t>nature</w:t>
                            </w:r>
                            <w:r>
                              <w:rPr>
                                <w:color w:val="231F20"/>
                                <w:spacing w:val="-5"/>
                              </w:rPr>
                              <w:t xml:space="preserve"> </w:t>
                            </w:r>
                            <w:r>
                              <w:rPr>
                                <w:color w:val="231F20"/>
                                <w:spacing w:val="-2"/>
                              </w:rPr>
                              <w:t>of</w:t>
                            </w:r>
                            <w:r>
                              <w:rPr>
                                <w:color w:val="231F20"/>
                              </w:rPr>
                              <w:t xml:space="preserve"> </w:t>
                            </w:r>
                            <w:r>
                              <w:rPr>
                                <w:color w:val="231F20"/>
                                <w:spacing w:val="-2"/>
                              </w:rPr>
                              <w:t>consumption</w:t>
                            </w:r>
                            <w:r>
                              <w:rPr>
                                <w:color w:val="231F20"/>
                                <w:spacing w:val="-5"/>
                              </w:rPr>
                              <w:t xml:space="preserve"> </w:t>
                            </w:r>
                            <w:r>
                              <w:rPr>
                                <w:color w:val="231F20"/>
                                <w:spacing w:val="-2"/>
                              </w:rPr>
                              <w:t>has made television</w:t>
                            </w:r>
                            <w:r>
                              <w:rPr>
                                <w:color w:val="231F20"/>
                                <w:spacing w:val="-2"/>
                              </w:rPr>
                              <w:t xml:space="preserve"> revenues a key priority (Deloitte, 2014; Gibson, 2012). </w:t>
                            </w:r>
                            <w:r>
                              <w:rPr>
                                <w:color w:val="231F20"/>
                              </w:rPr>
                              <w:t xml:space="preserve">But live consumption remains an essential component in the cultural </w:t>
                            </w:r>
                            <w:r>
                              <w:rPr>
                                <w:color w:val="231F20"/>
                                <w:w w:val="95"/>
                              </w:rPr>
                              <w:t>production of the English Premier League (EPL) experience by engaging audiences</w:t>
                            </w:r>
                            <w:r>
                              <w:rPr>
                                <w:color w:val="231F20"/>
                                <w:spacing w:val="15"/>
                              </w:rPr>
                              <w:t xml:space="preserve"> </w:t>
                            </w:r>
                            <w:r>
                              <w:rPr>
                                <w:color w:val="231F20"/>
                                <w:w w:val="95"/>
                              </w:rPr>
                              <w:t>in</w:t>
                            </w:r>
                            <w:r>
                              <w:rPr>
                                <w:color w:val="231F20"/>
                                <w:spacing w:val="16"/>
                              </w:rPr>
                              <w:t xml:space="preserve"> </w:t>
                            </w:r>
                            <w:r>
                              <w:rPr>
                                <w:color w:val="231F20"/>
                                <w:w w:val="95"/>
                              </w:rPr>
                              <w:t>the</w:t>
                            </w:r>
                            <w:r>
                              <w:rPr>
                                <w:color w:val="231F20"/>
                                <w:spacing w:val="16"/>
                              </w:rPr>
                              <w:t xml:space="preserve"> </w:t>
                            </w:r>
                            <w:r>
                              <w:rPr>
                                <w:color w:val="231F20"/>
                                <w:w w:val="95"/>
                              </w:rPr>
                              <w:t>practices</w:t>
                            </w:r>
                            <w:r>
                              <w:rPr>
                                <w:color w:val="231F20"/>
                                <w:spacing w:val="16"/>
                              </w:rPr>
                              <w:t xml:space="preserve"> </w:t>
                            </w:r>
                            <w:r>
                              <w:rPr>
                                <w:color w:val="231F20"/>
                                <w:w w:val="95"/>
                              </w:rPr>
                              <w:t>that</w:t>
                            </w:r>
                            <w:r>
                              <w:rPr>
                                <w:color w:val="231F20"/>
                                <w:spacing w:val="15"/>
                              </w:rPr>
                              <w:t xml:space="preserve"> </w:t>
                            </w:r>
                            <w:r>
                              <w:rPr>
                                <w:color w:val="231F20"/>
                                <w:w w:val="95"/>
                              </w:rPr>
                              <w:t>produce</w:t>
                            </w:r>
                            <w:r>
                              <w:rPr>
                                <w:color w:val="231F20"/>
                                <w:spacing w:val="16"/>
                              </w:rPr>
                              <w:t xml:space="preserve"> </w:t>
                            </w:r>
                            <w:r>
                              <w:rPr>
                                <w:color w:val="231F20"/>
                                <w:w w:val="95"/>
                              </w:rPr>
                              <w:t>these</w:t>
                            </w:r>
                            <w:r>
                              <w:rPr>
                                <w:color w:val="231F20"/>
                                <w:spacing w:val="16"/>
                              </w:rPr>
                              <w:t xml:space="preserve"> </w:t>
                            </w:r>
                            <w:r>
                              <w:rPr>
                                <w:color w:val="231F20"/>
                                <w:w w:val="95"/>
                              </w:rPr>
                              <w:t>fabled</w:t>
                            </w:r>
                            <w:r>
                              <w:rPr>
                                <w:color w:val="231F20"/>
                                <w:spacing w:val="16"/>
                              </w:rPr>
                              <w:t xml:space="preserve"> </w:t>
                            </w:r>
                            <w:r>
                              <w:rPr>
                                <w:color w:val="231F20"/>
                                <w:w w:val="95"/>
                              </w:rPr>
                              <w:t>spaces</w:t>
                            </w:r>
                            <w:r>
                              <w:rPr>
                                <w:color w:val="231F20"/>
                                <w:spacing w:val="15"/>
                              </w:rPr>
                              <w:t xml:space="preserve"> </w:t>
                            </w:r>
                            <w:r>
                              <w:rPr>
                                <w:color w:val="231F20"/>
                                <w:w w:val="95"/>
                              </w:rPr>
                              <w:t>o</w:t>
                            </w:r>
                            <w:r>
                              <w:rPr>
                                <w:color w:val="231F20"/>
                                <w:w w:val="95"/>
                              </w:rPr>
                              <w:t>f</w:t>
                            </w:r>
                            <w:r>
                              <w:rPr>
                                <w:color w:val="231F20"/>
                                <w:spacing w:val="32"/>
                                <w:w w:val="95"/>
                              </w:rPr>
                              <w:t xml:space="preserve"> </w:t>
                            </w:r>
                            <w:r>
                              <w:rPr>
                                <w:color w:val="231F20"/>
                                <w:spacing w:val="-2"/>
                                <w:w w:val="95"/>
                              </w:rPr>
                              <w:t>football.</w:t>
                            </w:r>
                          </w:p>
                          <w:p w14:paraId="58137A4C" w14:textId="77777777" w:rsidR="00AE0598" w:rsidRDefault="0069255A">
                            <w:pPr>
                              <w:spacing w:before="160"/>
                              <w:ind w:right="117"/>
                              <w:jc w:val="right"/>
                              <w:rPr>
                                <w:rFonts w:ascii="Trebuchet MS"/>
                                <w:i/>
                                <w:color w:val="000000"/>
                                <w:sz w:val="18"/>
                              </w:rPr>
                            </w:pPr>
                            <w:r>
                              <w:rPr>
                                <w:rFonts w:ascii="Trebuchet MS"/>
                                <w:i/>
                                <w:color w:val="231F20"/>
                                <w:spacing w:val="-2"/>
                                <w:sz w:val="18"/>
                              </w:rPr>
                              <w:t>(Continued)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4B315A" id="docshape166" o:spid="_x0000_s1084" type="#_x0000_t202" style="position:absolute;margin-left:59.8pt;margin-top:14.05pt;width:323.15pt;height:169.8pt;z-index:-156723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" fillcolor="#dcddde" stroked="f">
                <v:textbox inset="0,0,0,0">
                  <w:txbxContent>
                    <w:p w14:paraId="1FB7E2C3" w14:textId="77777777" w:rsidR="00AE0598" w:rsidRDefault="0069255A">
                      <w:pPr>
                        <w:spacing w:before="75" w:line="247" w:lineRule="auto"/>
                        <w:ind w:left="113" w:right="618"/>
                        <w:jc w:val="both"/>
                        <w:rPr>
                          <w:rFonts w:ascii="Trebuchet MS" w:hAnsi="Trebuchet MS"/>
                          <w:color w:val="000000"/>
                          <w:sz w:val="20"/>
                        </w:rPr>
                      </w:pPr>
                      <w:r>
                        <w:rPr>
                          <w:rFonts w:ascii="Trebuchet MS" w:hAnsi="Trebuchet MS"/>
                          <w:color w:val="231F20"/>
                          <w:spacing w:val="-2"/>
                          <w:w w:val="105"/>
                          <w:sz w:val="20"/>
                        </w:rPr>
                        <w:t>Case</w:t>
                      </w:r>
                      <w:r>
                        <w:rPr>
                          <w:rFonts w:ascii="Trebuchet MS" w:hAnsi="Trebuchet MS"/>
                          <w:color w:val="231F20"/>
                          <w:spacing w:val="-10"/>
                          <w:w w:val="105"/>
                          <w:sz w:val="20"/>
                        </w:rPr>
                        <w:t xml:space="preserve"> </w:t>
                      </w:r>
                      <w:r>
                        <w:rPr>
                          <w:rFonts w:ascii="Trebuchet MS" w:hAnsi="Trebuchet MS"/>
                          <w:color w:val="231F20"/>
                          <w:spacing w:val="-2"/>
                          <w:w w:val="105"/>
                          <w:sz w:val="20"/>
                        </w:rPr>
                        <w:t>Study</w:t>
                      </w:r>
                      <w:r>
                        <w:rPr>
                          <w:rFonts w:ascii="Trebuchet MS" w:hAnsi="Trebuchet MS"/>
                          <w:color w:val="231F20"/>
                          <w:spacing w:val="-10"/>
                          <w:w w:val="105"/>
                          <w:sz w:val="20"/>
                        </w:rPr>
                        <w:t xml:space="preserve"> </w:t>
                      </w:r>
                      <w:r>
                        <w:rPr>
                          <w:rFonts w:ascii="Trebuchet MS" w:hAnsi="Trebuchet MS"/>
                          <w:color w:val="231F20"/>
                          <w:spacing w:val="-2"/>
                          <w:w w:val="105"/>
                          <w:sz w:val="20"/>
                        </w:rPr>
                        <w:t>6.1:</w:t>
                      </w:r>
                      <w:r>
                        <w:rPr>
                          <w:rFonts w:ascii="Trebuchet MS" w:hAnsi="Trebuchet MS"/>
                          <w:color w:val="231F20"/>
                          <w:spacing w:val="-10"/>
                          <w:w w:val="105"/>
                          <w:sz w:val="20"/>
                        </w:rPr>
                        <w:t xml:space="preserve"> </w:t>
                      </w:r>
                      <w:r>
                        <w:rPr>
                          <w:rFonts w:ascii="Trebuchet MS" w:hAnsi="Trebuchet MS"/>
                          <w:color w:val="231F20"/>
                          <w:spacing w:val="-2"/>
                          <w:w w:val="105"/>
                          <w:sz w:val="20"/>
                        </w:rPr>
                        <w:t>Local</w:t>
                      </w:r>
                      <w:r>
                        <w:rPr>
                          <w:rFonts w:ascii="Trebuchet MS" w:hAnsi="Trebuchet MS"/>
                          <w:color w:val="231F20"/>
                          <w:spacing w:val="-10"/>
                          <w:w w:val="105"/>
                          <w:sz w:val="20"/>
                        </w:rPr>
                        <w:t xml:space="preserve"> </w:t>
                      </w:r>
                      <w:r>
                        <w:rPr>
                          <w:rFonts w:ascii="Trebuchet MS" w:hAnsi="Trebuchet MS"/>
                          <w:color w:val="231F20"/>
                          <w:spacing w:val="-2"/>
                          <w:w w:val="105"/>
                          <w:sz w:val="20"/>
                        </w:rPr>
                        <w:t>Identities</w:t>
                      </w:r>
                      <w:r>
                        <w:rPr>
                          <w:rFonts w:ascii="Trebuchet MS" w:hAnsi="Trebuchet MS"/>
                          <w:color w:val="231F20"/>
                          <w:spacing w:val="-10"/>
                          <w:w w:val="105"/>
                          <w:sz w:val="20"/>
                        </w:rPr>
                        <w:t xml:space="preserve"> </w:t>
                      </w:r>
                      <w:r>
                        <w:rPr>
                          <w:rFonts w:ascii="Trebuchet MS" w:hAnsi="Trebuchet MS"/>
                          <w:color w:val="231F20"/>
                          <w:spacing w:val="-2"/>
                          <w:w w:val="105"/>
                          <w:sz w:val="20"/>
                        </w:rPr>
                        <w:t>in</w:t>
                      </w:r>
                      <w:r>
                        <w:rPr>
                          <w:rFonts w:ascii="Trebuchet MS" w:hAnsi="Trebuchet MS"/>
                          <w:color w:val="231F20"/>
                          <w:spacing w:val="-10"/>
                          <w:w w:val="105"/>
                          <w:sz w:val="20"/>
                        </w:rPr>
                        <w:t xml:space="preserve"> </w:t>
                      </w:r>
                      <w:r>
                        <w:rPr>
                          <w:rFonts w:ascii="Trebuchet MS" w:hAnsi="Trebuchet MS"/>
                          <w:color w:val="231F20"/>
                          <w:spacing w:val="-2"/>
                          <w:w w:val="105"/>
                          <w:sz w:val="20"/>
                        </w:rPr>
                        <w:t>a</w:t>
                      </w:r>
                      <w:r>
                        <w:rPr>
                          <w:rFonts w:ascii="Trebuchet MS" w:hAnsi="Trebuchet MS"/>
                          <w:color w:val="231F20"/>
                          <w:spacing w:val="-10"/>
                          <w:w w:val="105"/>
                          <w:sz w:val="20"/>
                        </w:rPr>
                        <w:t xml:space="preserve"> </w:t>
                      </w:r>
                      <w:r>
                        <w:rPr>
                          <w:rFonts w:ascii="Trebuchet MS" w:hAnsi="Trebuchet MS"/>
                          <w:color w:val="231F20"/>
                          <w:spacing w:val="-2"/>
                          <w:w w:val="105"/>
                          <w:sz w:val="20"/>
                        </w:rPr>
                        <w:t>Global</w:t>
                      </w:r>
                      <w:r>
                        <w:rPr>
                          <w:rFonts w:ascii="Trebuchet MS" w:hAnsi="Trebuchet MS"/>
                          <w:color w:val="231F20"/>
                          <w:spacing w:val="-10"/>
                          <w:w w:val="105"/>
                          <w:sz w:val="20"/>
                        </w:rPr>
                        <w:t xml:space="preserve"> </w:t>
                      </w:r>
                      <w:r>
                        <w:rPr>
                          <w:rFonts w:ascii="Trebuchet MS" w:hAnsi="Trebuchet MS"/>
                          <w:color w:val="231F20"/>
                          <w:spacing w:val="-2"/>
                          <w:w w:val="105"/>
                          <w:sz w:val="20"/>
                        </w:rPr>
                        <w:t>Game</w:t>
                      </w:r>
                      <w:r>
                        <w:rPr>
                          <w:rFonts w:ascii="Trebuchet MS" w:hAnsi="Trebuchet MS"/>
                          <w:color w:val="231F20"/>
                          <w:spacing w:val="-10"/>
                          <w:w w:val="105"/>
                          <w:sz w:val="20"/>
                        </w:rPr>
                        <w:t xml:space="preserve"> </w:t>
                      </w:r>
                      <w:r>
                        <w:rPr>
                          <w:rFonts w:ascii="Trebuchet MS" w:hAnsi="Trebuchet MS"/>
                          <w:color w:val="231F20"/>
                          <w:spacing w:val="-2"/>
                          <w:w w:val="105"/>
                          <w:sz w:val="20"/>
                        </w:rPr>
                        <w:t>–</w:t>
                      </w:r>
                      <w:r>
                        <w:rPr>
                          <w:rFonts w:ascii="Trebuchet MS" w:hAnsi="Trebuchet MS"/>
                          <w:color w:val="231F20"/>
                          <w:spacing w:val="-10"/>
                          <w:w w:val="105"/>
                          <w:sz w:val="20"/>
                        </w:rPr>
                        <w:t xml:space="preserve"> </w:t>
                      </w:r>
                      <w:r>
                        <w:rPr>
                          <w:rFonts w:ascii="Trebuchet MS" w:hAnsi="Trebuchet MS"/>
                          <w:color w:val="231F20"/>
                          <w:spacing w:val="-2"/>
                          <w:w w:val="105"/>
                          <w:sz w:val="20"/>
                        </w:rPr>
                        <w:t xml:space="preserve">Liverpool’s </w:t>
                      </w:r>
                      <w:r>
                        <w:rPr>
                          <w:rFonts w:ascii="Trebuchet MS" w:hAnsi="Trebuchet MS"/>
                          <w:color w:val="231F20"/>
                          <w:w w:val="105"/>
                          <w:sz w:val="20"/>
                        </w:rPr>
                        <w:t>Football Space</w:t>
                      </w:r>
                    </w:p>
                    <w:p w14:paraId="6C83209D" w14:textId="77777777" w:rsidR="00AE0598" w:rsidRDefault="0069255A">
                      <w:pPr>
                        <w:pStyle w:val="Corpodetexto"/>
                        <w:spacing w:before="110"/>
                        <w:ind w:left="113"/>
                        <w:jc w:val="both"/>
                        <w:rPr>
                          <w:color w:val="000000"/>
                        </w:rPr>
                      </w:pPr>
                      <w:r>
                        <w:rPr>
                          <w:color w:val="231F20"/>
                        </w:rPr>
                        <w:t>Daniel</w:t>
                      </w:r>
                      <w:r>
                        <w:rPr>
                          <w:color w:val="231F20"/>
                          <w:spacing w:val="1"/>
                        </w:rPr>
                        <w:t xml:space="preserve"> </w:t>
                      </w:r>
                      <w:r>
                        <w:rPr>
                          <w:color w:val="231F20"/>
                        </w:rPr>
                        <w:t>Evans,</w:t>
                      </w:r>
                      <w:r>
                        <w:rPr>
                          <w:color w:val="231F20"/>
                          <w:spacing w:val="1"/>
                        </w:rPr>
                        <w:t xml:space="preserve"> </w:t>
                      </w:r>
                      <w:r>
                        <w:rPr>
                          <w:color w:val="231F20"/>
                        </w:rPr>
                        <w:t>York</w:t>
                      </w:r>
                      <w:r>
                        <w:rPr>
                          <w:color w:val="231F20"/>
                          <w:spacing w:val="2"/>
                        </w:rPr>
                        <w:t xml:space="preserve"> </w:t>
                      </w:r>
                      <w:r>
                        <w:rPr>
                          <w:color w:val="231F20"/>
                          <w:spacing w:val="-2"/>
                        </w:rPr>
                        <w:t>University</w:t>
                      </w:r>
                    </w:p>
                    <w:p w14:paraId="7D8715B3" w14:textId="77777777" w:rsidR="00AE0598" w:rsidRDefault="0069255A">
                      <w:pPr>
                        <w:pStyle w:val="Corpodetexto"/>
                        <w:spacing w:before="120" w:line="232" w:lineRule="auto"/>
                        <w:ind w:left="113" w:right="111" w:firstLine="320"/>
                        <w:jc w:val="both"/>
                        <w:rPr>
                          <w:color w:val="000000"/>
                        </w:rPr>
                      </w:pPr>
                      <w:r>
                        <w:rPr>
                          <w:color w:val="231F20"/>
                        </w:rPr>
                        <w:t>The restructuring of</w:t>
                      </w:r>
                      <w:r>
                        <w:rPr>
                          <w:color w:val="231F20"/>
                          <w:spacing w:val="40"/>
                        </w:rPr>
                        <w:t xml:space="preserve"> </w:t>
                      </w:r>
                      <w:r>
                        <w:rPr>
                          <w:color w:val="231F20"/>
                        </w:rPr>
                        <w:t>English football and</w:t>
                      </w:r>
                      <w:r>
                        <w:rPr>
                          <w:color w:val="231F20"/>
                        </w:rPr>
                        <w:t xml:space="preserve"> its commercialisation</w:t>
                      </w:r>
                      <w:r>
                        <w:rPr>
                          <w:color w:val="231F20"/>
                          <w:spacing w:val="40"/>
                        </w:rPr>
                        <w:t xml:space="preserve"> </w:t>
                      </w:r>
                      <w:r>
                        <w:rPr>
                          <w:color w:val="231F20"/>
                        </w:rPr>
                        <w:t>on</w:t>
                      </w:r>
                      <w:r>
                        <w:rPr>
                          <w:color w:val="231F20"/>
                          <w:spacing w:val="27"/>
                        </w:rPr>
                        <w:t xml:space="preserve"> </w:t>
                      </w:r>
                      <w:r>
                        <w:rPr>
                          <w:color w:val="231F20"/>
                        </w:rPr>
                        <w:t>an</w:t>
                      </w:r>
                      <w:r>
                        <w:rPr>
                          <w:color w:val="231F20"/>
                          <w:spacing w:val="28"/>
                        </w:rPr>
                        <w:t xml:space="preserve"> </w:t>
                      </w:r>
                      <w:r>
                        <w:rPr>
                          <w:color w:val="231F20"/>
                        </w:rPr>
                        <w:t>unprecedented</w:t>
                      </w:r>
                      <w:r>
                        <w:rPr>
                          <w:color w:val="231F20"/>
                          <w:spacing w:val="27"/>
                        </w:rPr>
                        <w:t xml:space="preserve"> </w:t>
                      </w:r>
                      <w:r>
                        <w:rPr>
                          <w:color w:val="231F20"/>
                        </w:rPr>
                        <w:t>global</w:t>
                      </w:r>
                      <w:r>
                        <w:rPr>
                          <w:color w:val="231F20"/>
                          <w:spacing w:val="28"/>
                        </w:rPr>
                        <w:t xml:space="preserve"> </w:t>
                      </w:r>
                      <w:r>
                        <w:rPr>
                          <w:color w:val="231F20"/>
                        </w:rPr>
                        <w:t>scale</w:t>
                      </w:r>
                      <w:r>
                        <w:rPr>
                          <w:color w:val="231F20"/>
                          <w:spacing w:val="27"/>
                        </w:rPr>
                        <w:t xml:space="preserve"> </w:t>
                      </w:r>
                      <w:r>
                        <w:rPr>
                          <w:color w:val="231F20"/>
                        </w:rPr>
                        <w:t>have</w:t>
                      </w:r>
                      <w:r>
                        <w:rPr>
                          <w:color w:val="231F20"/>
                          <w:spacing w:val="28"/>
                        </w:rPr>
                        <w:t xml:space="preserve"> </w:t>
                      </w:r>
                      <w:r>
                        <w:rPr>
                          <w:color w:val="231F20"/>
                        </w:rPr>
                        <w:t>encouraged</w:t>
                      </w:r>
                      <w:r>
                        <w:rPr>
                          <w:color w:val="231F20"/>
                          <w:spacing w:val="28"/>
                        </w:rPr>
                        <w:t xml:space="preserve"> </w:t>
                      </w:r>
                      <w:r>
                        <w:rPr>
                          <w:color w:val="231F20"/>
                        </w:rPr>
                        <w:t>particular</w:t>
                      </w:r>
                      <w:r>
                        <w:rPr>
                          <w:color w:val="231F20"/>
                          <w:spacing w:val="27"/>
                        </w:rPr>
                        <w:t xml:space="preserve"> </w:t>
                      </w:r>
                      <w:r>
                        <w:rPr>
                          <w:color w:val="231F20"/>
                          <w:spacing w:val="-2"/>
                        </w:rPr>
                        <w:t>cities</w:t>
                      </w:r>
                    </w:p>
                    <w:p w14:paraId="42587F2B" w14:textId="77777777" w:rsidR="00AE0598" w:rsidRDefault="0069255A">
                      <w:pPr>
                        <w:pStyle w:val="Corpodetexto"/>
                        <w:spacing w:before="2" w:line="232" w:lineRule="auto"/>
                        <w:ind w:left="113" w:right="111"/>
                        <w:jc w:val="both"/>
                        <w:rPr>
                          <w:color w:val="000000"/>
                        </w:rPr>
                      </w:pPr>
                      <w:r>
                        <w:rPr>
                          <w:color w:val="231F20"/>
                        </w:rPr>
                        <w:t xml:space="preserve">– especially Liverpool, UK – to increasingly orient local economic </w:t>
                      </w:r>
                      <w:r>
                        <w:rPr>
                          <w:color w:val="231F20"/>
                          <w:spacing w:val="-2"/>
                        </w:rPr>
                        <w:t>development</w:t>
                      </w:r>
                      <w:r>
                        <w:rPr>
                          <w:color w:val="231F20"/>
                          <w:spacing w:val="-5"/>
                        </w:rPr>
                        <w:t xml:space="preserve"> </w:t>
                      </w:r>
                      <w:r>
                        <w:rPr>
                          <w:color w:val="231F20"/>
                          <w:spacing w:val="-2"/>
                        </w:rPr>
                        <w:t>around</w:t>
                      </w:r>
                      <w:r>
                        <w:rPr>
                          <w:color w:val="231F20"/>
                          <w:spacing w:val="-5"/>
                        </w:rPr>
                        <w:t xml:space="preserve"> </w:t>
                      </w:r>
                      <w:r>
                        <w:rPr>
                          <w:color w:val="231F20"/>
                          <w:spacing w:val="-2"/>
                        </w:rPr>
                        <w:t>football.</w:t>
                      </w:r>
                      <w:r>
                        <w:rPr>
                          <w:color w:val="231F20"/>
                          <w:spacing w:val="-5"/>
                        </w:rPr>
                        <w:t xml:space="preserve"> </w:t>
                      </w:r>
                      <w:r>
                        <w:rPr>
                          <w:color w:val="231F20"/>
                          <w:spacing w:val="-2"/>
                        </w:rPr>
                        <w:t>The</w:t>
                      </w:r>
                      <w:r>
                        <w:rPr>
                          <w:color w:val="231F20"/>
                          <w:spacing w:val="-5"/>
                        </w:rPr>
                        <w:t xml:space="preserve"> </w:t>
                      </w:r>
                      <w:r>
                        <w:rPr>
                          <w:color w:val="231F20"/>
                          <w:spacing w:val="-2"/>
                        </w:rPr>
                        <w:t>changing</w:t>
                      </w:r>
                      <w:r>
                        <w:rPr>
                          <w:color w:val="231F20"/>
                          <w:spacing w:val="-5"/>
                        </w:rPr>
                        <w:t xml:space="preserve"> </w:t>
                      </w:r>
                      <w:r>
                        <w:rPr>
                          <w:color w:val="231F20"/>
                          <w:spacing w:val="-2"/>
                        </w:rPr>
                        <w:t>nature</w:t>
                      </w:r>
                      <w:r>
                        <w:rPr>
                          <w:color w:val="231F20"/>
                          <w:spacing w:val="-5"/>
                        </w:rPr>
                        <w:t xml:space="preserve"> </w:t>
                      </w:r>
                      <w:r>
                        <w:rPr>
                          <w:color w:val="231F20"/>
                          <w:spacing w:val="-2"/>
                        </w:rPr>
                        <w:t>of</w:t>
                      </w:r>
                      <w:r>
                        <w:rPr>
                          <w:color w:val="231F20"/>
                        </w:rPr>
                        <w:t xml:space="preserve"> </w:t>
                      </w:r>
                      <w:r>
                        <w:rPr>
                          <w:color w:val="231F20"/>
                          <w:spacing w:val="-2"/>
                        </w:rPr>
                        <w:t>consumption</w:t>
                      </w:r>
                      <w:r>
                        <w:rPr>
                          <w:color w:val="231F20"/>
                          <w:spacing w:val="-5"/>
                        </w:rPr>
                        <w:t xml:space="preserve"> </w:t>
                      </w:r>
                      <w:r>
                        <w:rPr>
                          <w:color w:val="231F20"/>
                          <w:spacing w:val="-2"/>
                        </w:rPr>
                        <w:t>has made television</w:t>
                      </w:r>
                      <w:r>
                        <w:rPr>
                          <w:color w:val="231F20"/>
                          <w:spacing w:val="-2"/>
                        </w:rPr>
                        <w:t xml:space="preserve"> revenues a key priority (Deloitte, 2014; Gibson, 2012). </w:t>
                      </w:r>
                      <w:r>
                        <w:rPr>
                          <w:color w:val="231F20"/>
                        </w:rPr>
                        <w:t xml:space="preserve">But live consumption remains an essential component in the cultural </w:t>
                      </w:r>
                      <w:r>
                        <w:rPr>
                          <w:color w:val="231F20"/>
                          <w:w w:val="95"/>
                        </w:rPr>
                        <w:t>production of the English Premier League (EPL) experience by engaging audiences</w:t>
                      </w:r>
                      <w:r>
                        <w:rPr>
                          <w:color w:val="231F20"/>
                          <w:spacing w:val="15"/>
                        </w:rPr>
                        <w:t xml:space="preserve"> </w:t>
                      </w:r>
                      <w:r>
                        <w:rPr>
                          <w:color w:val="231F20"/>
                          <w:w w:val="95"/>
                        </w:rPr>
                        <w:t>in</w:t>
                      </w:r>
                      <w:r>
                        <w:rPr>
                          <w:color w:val="231F20"/>
                          <w:spacing w:val="16"/>
                        </w:rPr>
                        <w:t xml:space="preserve"> </w:t>
                      </w:r>
                      <w:r>
                        <w:rPr>
                          <w:color w:val="231F20"/>
                          <w:w w:val="95"/>
                        </w:rPr>
                        <w:t>the</w:t>
                      </w:r>
                      <w:r>
                        <w:rPr>
                          <w:color w:val="231F20"/>
                          <w:spacing w:val="16"/>
                        </w:rPr>
                        <w:t xml:space="preserve"> </w:t>
                      </w:r>
                      <w:r>
                        <w:rPr>
                          <w:color w:val="231F20"/>
                          <w:w w:val="95"/>
                        </w:rPr>
                        <w:t>practices</w:t>
                      </w:r>
                      <w:r>
                        <w:rPr>
                          <w:color w:val="231F20"/>
                          <w:spacing w:val="16"/>
                        </w:rPr>
                        <w:t xml:space="preserve"> </w:t>
                      </w:r>
                      <w:r>
                        <w:rPr>
                          <w:color w:val="231F20"/>
                          <w:w w:val="95"/>
                        </w:rPr>
                        <w:t>that</w:t>
                      </w:r>
                      <w:r>
                        <w:rPr>
                          <w:color w:val="231F20"/>
                          <w:spacing w:val="15"/>
                        </w:rPr>
                        <w:t xml:space="preserve"> </w:t>
                      </w:r>
                      <w:r>
                        <w:rPr>
                          <w:color w:val="231F20"/>
                          <w:w w:val="95"/>
                        </w:rPr>
                        <w:t>produce</w:t>
                      </w:r>
                      <w:r>
                        <w:rPr>
                          <w:color w:val="231F20"/>
                          <w:spacing w:val="16"/>
                        </w:rPr>
                        <w:t xml:space="preserve"> </w:t>
                      </w:r>
                      <w:r>
                        <w:rPr>
                          <w:color w:val="231F20"/>
                          <w:w w:val="95"/>
                        </w:rPr>
                        <w:t>these</w:t>
                      </w:r>
                      <w:r>
                        <w:rPr>
                          <w:color w:val="231F20"/>
                          <w:spacing w:val="16"/>
                        </w:rPr>
                        <w:t xml:space="preserve"> </w:t>
                      </w:r>
                      <w:r>
                        <w:rPr>
                          <w:color w:val="231F20"/>
                          <w:w w:val="95"/>
                        </w:rPr>
                        <w:t>fabled</w:t>
                      </w:r>
                      <w:r>
                        <w:rPr>
                          <w:color w:val="231F20"/>
                          <w:spacing w:val="16"/>
                        </w:rPr>
                        <w:t xml:space="preserve"> </w:t>
                      </w:r>
                      <w:r>
                        <w:rPr>
                          <w:color w:val="231F20"/>
                          <w:w w:val="95"/>
                        </w:rPr>
                        <w:t>spaces</w:t>
                      </w:r>
                      <w:r>
                        <w:rPr>
                          <w:color w:val="231F20"/>
                          <w:spacing w:val="15"/>
                        </w:rPr>
                        <w:t xml:space="preserve"> </w:t>
                      </w:r>
                      <w:r>
                        <w:rPr>
                          <w:color w:val="231F20"/>
                          <w:w w:val="95"/>
                        </w:rPr>
                        <w:t>o</w:t>
                      </w:r>
                      <w:r>
                        <w:rPr>
                          <w:color w:val="231F20"/>
                          <w:w w:val="95"/>
                        </w:rPr>
                        <w:t>f</w:t>
                      </w:r>
                      <w:r>
                        <w:rPr>
                          <w:color w:val="231F20"/>
                          <w:spacing w:val="32"/>
                          <w:w w:val="95"/>
                        </w:rPr>
                        <w:t xml:space="preserve"> </w:t>
                      </w:r>
                      <w:r>
                        <w:rPr>
                          <w:color w:val="231F20"/>
                          <w:spacing w:val="-2"/>
                          <w:w w:val="95"/>
                        </w:rPr>
                        <w:t>football.</w:t>
                      </w:r>
                    </w:p>
                    <w:p w14:paraId="58137A4C" w14:textId="77777777" w:rsidR="00AE0598" w:rsidRDefault="0069255A">
                      <w:pPr>
                        <w:spacing w:before="160"/>
                        <w:ind w:right="117"/>
                        <w:jc w:val="right"/>
                        <w:rPr>
                          <w:rFonts w:ascii="Trebuchet MS"/>
                          <w:i/>
                          <w:color w:val="000000"/>
                          <w:sz w:val="18"/>
                        </w:rPr>
                      </w:pPr>
                      <w:r>
                        <w:rPr>
                          <w:rFonts w:ascii="Trebuchet MS"/>
                          <w:i/>
                          <w:color w:val="231F20"/>
                          <w:spacing w:val="-2"/>
                          <w:sz w:val="18"/>
                        </w:rPr>
                        <w:t>(Continued)</w:t>
                      </w:r>
                    </w:p>
                  </w:txbxContent>
                </v:textbox>
                <w10:wrap type="topAndBottom" anchorx="page"/>
              </v:shape>
            </w:pict>
          </mc:Fallback>
        </mc:AlternateContent>
      </w:r>
    </w:p>
    <w:p w14:paraId="45E0BEFB" w14:textId="77777777" w:rsidR="00AE0598" w:rsidRDefault="00AE0598">
      <w:pPr>
        <w:sectPr w:rsidR="00AE0598">
          <w:pgSz w:w="8850" w:h="13270"/>
          <w:pgMar w:top="720" w:right="1060" w:bottom="280" w:left="1080" w:header="720" w:footer="720" w:gutter="0"/>
          <w:cols w:space="720"/>
        </w:sectPr>
      </w:pPr>
    </w:p>
    <w:p w14:paraId="5A0B7647" w14:textId="3297ECAA" w:rsidR="00AE0598" w:rsidRDefault="0069255A">
      <w:pPr>
        <w:spacing w:before="87"/>
        <w:ind w:left="108"/>
        <w:rPr>
          <w:rFonts w:ascii="Trebuchet MS"/>
          <w:sz w:val="14"/>
        </w:rPr>
      </w:pPr>
      <w:r>
        <w:rPr>
          <w:noProof/>
        </w:rPr>
        <w:lastRenderedPageBreak/>
        <mc:AlternateContent>
          <mc:Choice Requires="wps">
            <w:drawing>
              <wp:anchor distT="0" distB="0" distL="114300" distR="114300" simplePos="0" relativeHeight="483709440" behindDoc="1" locked="0" layoutInCell="1" allowOverlap="1" wp14:anchorId="43B10770" wp14:editId="2817C2C6">
                <wp:simplePos x="0" y="0"/>
                <wp:positionH relativeFrom="page">
                  <wp:posOffset>755650</wp:posOffset>
                </wp:positionH>
                <wp:positionV relativeFrom="page">
                  <wp:posOffset>838200</wp:posOffset>
                </wp:positionV>
                <wp:extent cx="4104005" cy="6645910"/>
                <wp:effectExtent l="0" t="0" r="0" b="0"/>
                <wp:wrapNone/>
                <wp:docPr id="201" name="docshape1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04005" cy="6645910"/>
                        </a:xfrm>
                        <a:prstGeom prst="rect">
                          <a:avLst/>
                        </a:prstGeom>
                        <a:solidFill>
                          <a:srgbClr val="DCDDD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387E74" id="docshape167" o:spid="_x0000_s1026" style="position:absolute;margin-left:59.5pt;margin-top:66pt;width:323.15pt;height:523.3pt;z-index:-196070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" fillcolor="#dcddde" stroked="f">
                <w10:wrap anchorx="page" anchory="page"/>
              </v:rect>
            </w:pict>
          </mc:Fallback>
        </mc:AlternateContent>
      </w:r>
      <w:r>
        <w:rPr>
          <w:rFonts w:ascii="Trebuchet MS"/>
          <w:color w:val="231F20"/>
          <w:w w:val="105"/>
          <w:sz w:val="14"/>
        </w:rPr>
        <w:t>116</w:t>
      </w:r>
      <w:r>
        <w:rPr>
          <w:rFonts w:ascii="Trebuchet MS"/>
          <w:color w:val="231F20"/>
          <w:spacing w:val="66"/>
          <w:w w:val="150"/>
          <w:sz w:val="14"/>
        </w:rPr>
        <w:t xml:space="preserve"> </w:t>
      </w:r>
      <w:r>
        <w:rPr>
          <w:rFonts w:ascii="Trebuchet MS"/>
          <w:color w:val="231F20"/>
          <w:w w:val="105"/>
          <w:sz w:val="14"/>
        </w:rPr>
        <w:t>Part</w:t>
      </w:r>
      <w:r>
        <w:rPr>
          <w:rFonts w:ascii="Trebuchet MS"/>
          <w:color w:val="231F20"/>
          <w:spacing w:val="-9"/>
          <w:w w:val="105"/>
          <w:sz w:val="14"/>
        </w:rPr>
        <w:t xml:space="preserve"> </w:t>
      </w:r>
      <w:r>
        <w:rPr>
          <w:rFonts w:ascii="Trebuchet MS"/>
          <w:color w:val="231F20"/>
          <w:w w:val="105"/>
          <w:sz w:val="14"/>
        </w:rPr>
        <w:t>3:</w:t>
      </w:r>
      <w:r>
        <w:rPr>
          <w:rFonts w:ascii="Trebuchet MS"/>
          <w:color w:val="231F20"/>
          <w:spacing w:val="-8"/>
          <w:w w:val="105"/>
          <w:sz w:val="14"/>
        </w:rPr>
        <w:t xml:space="preserve"> </w:t>
      </w:r>
      <w:r>
        <w:rPr>
          <w:rFonts w:ascii="Trebuchet MS"/>
          <w:color w:val="231F20"/>
          <w:w w:val="105"/>
          <w:sz w:val="14"/>
        </w:rPr>
        <w:t>Sport</w:t>
      </w:r>
      <w:r>
        <w:rPr>
          <w:rFonts w:ascii="Trebuchet MS"/>
          <w:color w:val="231F20"/>
          <w:spacing w:val="-9"/>
          <w:w w:val="105"/>
          <w:sz w:val="14"/>
        </w:rPr>
        <w:t xml:space="preserve"> </w:t>
      </w:r>
      <w:r>
        <w:rPr>
          <w:rFonts w:ascii="Trebuchet MS"/>
          <w:color w:val="231F20"/>
          <w:w w:val="105"/>
          <w:sz w:val="14"/>
        </w:rPr>
        <w:t>Tourism</w:t>
      </w:r>
      <w:r>
        <w:rPr>
          <w:rFonts w:ascii="Trebuchet MS"/>
          <w:color w:val="231F20"/>
          <w:spacing w:val="-9"/>
          <w:w w:val="105"/>
          <w:sz w:val="14"/>
        </w:rPr>
        <w:t xml:space="preserve"> </w:t>
      </w:r>
      <w:r>
        <w:rPr>
          <w:rFonts w:ascii="Trebuchet MS"/>
          <w:color w:val="231F20"/>
          <w:w w:val="105"/>
          <w:sz w:val="14"/>
        </w:rPr>
        <w:t>Development</w:t>
      </w:r>
      <w:r>
        <w:rPr>
          <w:rFonts w:ascii="Trebuchet MS"/>
          <w:color w:val="231F20"/>
          <w:spacing w:val="-9"/>
          <w:w w:val="105"/>
          <w:sz w:val="14"/>
        </w:rPr>
        <w:t xml:space="preserve"> </w:t>
      </w:r>
      <w:r>
        <w:rPr>
          <w:rFonts w:ascii="Trebuchet MS"/>
          <w:color w:val="231F20"/>
          <w:w w:val="105"/>
          <w:sz w:val="14"/>
        </w:rPr>
        <w:t>and</w:t>
      </w:r>
      <w:r>
        <w:rPr>
          <w:rFonts w:ascii="Trebuchet MS"/>
          <w:color w:val="231F20"/>
          <w:spacing w:val="-8"/>
          <w:w w:val="105"/>
          <w:sz w:val="14"/>
        </w:rPr>
        <w:t xml:space="preserve"> </w:t>
      </w:r>
      <w:r>
        <w:rPr>
          <w:rFonts w:ascii="Trebuchet MS"/>
          <w:color w:val="231F20"/>
          <w:spacing w:val="-2"/>
          <w:w w:val="105"/>
          <w:sz w:val="14"/>
        </w:rPr>
        <w:t>Space</w:t>
      </w:r>
    </w:p>
    <w:p w14:paraId="04C56C7F" w14:textId="77777777" w:rsidR="00AE0598" w:rsidRDefault="00AE0598">
      <w:pPr>
        <w:pStyle w:val="Corpodetexto"/>
        <w:spacing w:before="10"/>
        <w:rPr>
          <w:rFonts w:ascii="Trebuchet MS"/>
          <w:sz w:val="27"/>
        </w:rPr>
      </w:pPr>
    </w:p>
    <w:p w14:paraId="24DFEA6D" w14:textId="77777777" w:rsidR="00AE0598" w:rsidRDefault="0069255A">
      <w:pPr>
        <w:spacing w:before="100"/>
        <w:ind w:left="217"/>
        <w:jc w:val="both"/>
        <w:rPr>
          <w:rFonts w:ascii="Trebuchet MS"/>
          <w:sz w:val="18"/>
        </w:rPr>
      </w:pPr>
      <w:r>
        <w:rPr>
          <w:rFonts w:ascii="Trebuchet MS"/>
          <w:color w:val="231F20"/>
          <w:sz w:val="18"/>
        </w:rPr>
        <w:t>Case</w:t>
      </w:r>
      <w:r>
        <w:rPr>
          <w:rFonts w:ascii="Trebuchet MS"/>
          <w:color w:val="231F20"/>
          <w:spacing w:val="-7"/>
          <w:sz w:val="18"/>
        </w:rPr>
        <w:t xml:space="preserve"> </w:t>
      </w:r>
      <w:r>
        <w:rPr>
          <w:rFonts w:ascii="Trebuchet MS"/>
          <w:color w:val="231F20"/>
          <w:sz w:val="18"/>
        </w:rPr>
        <w:t>Study</w:t>
      </w:r>
      <w:r>
        <w:rPr>
          <w:rFonts w:ascii="Trebuchet MS"/>
          <w:color w:val="231F20"/>
          <w:spacing w:val="-6"/>
          <w:sz w:val="18"/>
        </w:rPr>
        <w:t xml:space="preserve"> </w:t>
      </w:r>
      <w:r>
        <w:rPr>
          <w:rFonts w:ascii="Trebuchet MS"/>
          <w:color w:val="231F20"/>
          <w:sz w:val="18"/>
        </w:rPr>
        <w:t>6.1:</w:t>
      </w:r>
      <w:r>
        <w:rPr>
          <w:rFonts w:ascii="Trebuchet MS"/>
          <w:color w:val="231F20"/>
          <w:spacing w:val="-6"/>
          <w:sz w:val="18"/>
        </w:rPr>
        <w:t xml:space="preserve"> </w:t>
      </w:r>
      <w:r>
        <w:rPr>
          <w:rFonts w:ascii="Trebuchet MS"/>
          <w:color w:val="231F20"/>
          <w:spacing w:val="-2"/>
          <w:sz w:val="18"/>
        </w:rPr>
        <w:t>(Continued)</w:t>
      </w:r>
    </w:p>
    <w:p w14:paraId="3D312A78" w14:textId="77777777" w:rsidR="00AE0598" w:rsidRDefault="00AE0598">
      <w:pPr>
        <w:pStyle w:val="Corpodetexto"/>
        <w:spacing w:before="9"/>
        <w:rPr>
          <w:rFonts w:ascii="Trebuchet MS"/>
          <w:sz w:val="16"/>
        </w:rPr>
      </w:pPr>
    </w:p>
    <w:p w14:paraId="22371364" w14:textId="77777777" w:rsidR="00AE0598" w:rsidRDefault="0069255A">
      <w:pPr>
        <w:pStyle w:val="Corpodetexto"/>
        <w:spacing w:before="1" w:line="232" w:lineRule="auto"/>
        <w:ind w:left="223" w:right="241"/>
        <w:jc w:val="right"/>
      </w:pPr>
      <w:r>
        <w:rPr>
          <w:color w:val="231F20"/>
        </w:rPr>
        <w:t>Overseas</w:t>
      </w:r>
      <w:r>
        <w:rPr>
          <w:color w:val="231F20"/>
          <w:spacing w:val="47"/>
        </w:rPr>
        <w:t xml:space="preserve"> </w:t>
      </w:r>
      <w:r>
        <w:rPr>
          <w:color w:val="231F20"/>
        </w:rPr>
        <w:t>supporters</w:t>
      </w:r>
      <w:r>
        <w:rPr>
          <w:color w:val="231F20"/>
          <w:spacing w:val="48"/>
        </w:rPr>
        <w:t xml:space="preserve"> </w:t>
      </w:r>
      <w:r>
        <w:rPr>
          <w:color w:val="231F20"/>
        </w:rPr>
        <w:t>benefit</w:t>
      </w:r>
      <w:r>
        <w:rPr>
          <w:color w:val="231F20"/>
          <w:spacing w:val="47"/>
        </w:rPr>
        <w:t xml:space="preserve"> </w:t>
      </w:r>
      <w:r>
        <w:rPr>
          <w:color w:val="231F20"/>
        </w:rPr>
        <w:t>teams</w:t>
      </w:r>
      <w:r>
        <w:rPr>
          <w:color w:val="231F20"/>
          <w:spacing w:val="48"/>
        </w:rPr>
        <w:t xml:space="preserve"> </w:t>
      </w:r>
      <w:r>
        <w:rPr>
          <w:color w:val="231F20"/>
        </w:rPr>
        <w:t>through</w:t>
      </w:r>
      <w:r>
        <w:rPr>
          <w:color w:val="231F20"/>
          <w:spacing w:val="47"/>
        </w:rPr>
        <w:t xml:space="preserve"> </w:t>
      </w:r>
      <w:r>
        <w:rPr>
          <w:color w:val="231F20"/>
        </w:rPr>
        <w:t>merchandise</w:t>
      </w:r>
      <w:r>
        <w:rPr>
          <w:color w:val="231F20"/>
          <w:spacing w:val="48"/>
        </w:rPr>
        <w:t xml:space="preserve"> </w:t>
      </w:r>
      <w:r>
        <w:rPr>
          <w:color w:val="231F20"/>
        </w:rPr>
        <w:t>sales,</w:t>
      </w:r>
      <w:r>
        <w:rPr>
          <w:color w:val="231F20"/>
          <w:spacing w:val="47"/>
        </w:rPr>
        <w:t xml:space="preserve"> </w:t>
      </w:r>
      <w:r>
        <w:rPr>
          <w:color w:val="231F20"/>
        </w:rPr>
        <w:t xml:space="preserve">by </w:t>
      </w:r>
      <w:r>
        <w:rPr>
          <w:color w:val="231F20"/>
          <w:w w:val="95"/>
        </w:rPr>
        <w:t xml:space="preserve">increasing television ratings and sometimes by making the pilgrimage as football-tourists to watch the team in person and take part in the rituals </w:t>
      </w:r>
      <w:r>
        <w:rPr>
          <w:color w:val="231F20"/>
        </w:rPr>
        <w:t>they</w:t>
      </w:r>
      <w:r>
        <w:rPr>
          <w:color w:val="231F20"/>
          <w:spacing w:val="5"/>
        </w:rPr>
        <w:t xml:space="preserve"> </w:t>
      </w:r>
      <w:r>
        <w:rPr>
          <w:color w:val="231F20"/>
        </w:rPr>
        <w:t>have</w:t>
      </w:r>
      <w:r>
        <w:rPr>
          <w:color w:val="231F20"/>
          <w:spacing w:val="5"/>
        </w:rPr>
        <w:t xml:space="preserve"> </w:t>
      </w:r>
      <w:r>
        <w:rPr>
          <w:color w:val="231F20"/>
        </w:rPr>
        <w:t>witnessed</w:t>
      </w:r>
      <w:r>
        <w:rPr>
          <w:color w:val="231F20"/>
          <w:spacing w:val="5"/>
        </w:rPr>
        <w:t xml:space="preserve"> </w:t>
      </w:r>
      <w:r>
        <w:rPr>
          <w:color w:val="231F20"/>
        </w:rPr>
        <w:t>from</w:t>
      </w:r>
      <w:r>
        <w:rPr>
          <w:color w:val="231F20"/>
          <w:spacing w:val="5"/>
        </w:rPr>
        <w:t xml:space="preserve"> </w:t>
      </w:r>
      <w:r>
        <w:rPr>
          <w:color w:val="231F20"/>
        </w:rPr>
        <w:t>afar</w:t>
      </w:r>
      <w:r>
        <w:rPr>
          <w:color w:val="231F20"/>
          <w:spacing w:val="5"/>
        </w:rPr>
        <w:t xml:space="preserve"> </w:t>
      </w:r>
      <w:r>
        <w:rPr>
          <w:color w:val="231F20"/>
        </w:rPr>
        <w:t>(Edensor</w:t>
      </w:r>
      <w:r>
        <w:rPr>
          <w:color w:val="231F20"/>
          <w:spacing w:val="5"/>
        </w:rPr>
        <w:t xml:space="preserve"> </w:t>
      </w:r>
      <w:r>
        <w:rPr>
          <w:color w:val="231F20"/>
        </w:rPr>
        <w:t>&amp;</w:t>
      </w:r>
      <w:r>
        <w:rPr>
          <w:color w:val="231F20"/>
          <w:spacing w:val="5"/>
        </w:rPr>
        <w:t xml:space="preserve"> </w:t>
      </w:r>
      <w:r>
        <w:rPr>
          <w:color w:val="231F20"/>
        </w:rPr>
        <w:t>Millington,</w:t>
      </w:r>
      <w:r>
        <w:rPr>
          <w:color w:val="231F20"/>
          <w:spacing w:val="5"/>
        </w:rPr>
        <w:t xml:space="preserve"> </w:t>
      </w:r>
      <w:r>
        <w:rPr>
          <w:color w:val="231F20"/>
        </w:rPr>
        <w:t>2008).</w:t>
      </w:r>
      <w:r>
        <w:rPr>
          <w:color w:val="231F20"/>
          <w:spacing w:val="5"/>
        </w:rPr>
        <w:t xml:space="preserve"> </w:t>
      </w:r>
      <w:r>
        <w:rPr>
          <w:color w:val="231F20"/>
        </w:rPr>
        <w:t xml:space="preserve">Though </w:t>
      </w:r>
      <w:r>
        <w:rPr>
          <w:color w:val="231F20"/>
          <w:w w:val="95"/>
        </w:rPr>
        <w:t>their</w:t>
      </w:r>
      <w:r>
        <w:rPr>
          <w:color w:val="231F20"/>
          <w:spacing w:val="19"/>
        </w:rPr>
        <w:t xml:space="preserve"> </w:t>
      </w:r>
      <w:r>
        <w:rPr>
          <w:color w:val="231F20"/>
          <w:w w:val="95"/>
        </w:rPr>
        <w:t>visits</w:t>
      </w:r>
      <w:r>
        <w:rPr>
          <w:color w:val="231F20"/>
          <w:spacing w:val="19"/>
        </w:rPr>
        <w:t xml:space="preserve"> </w:t>
      </w:r>
      <w:r>
        <w:rPr>
          <w:color w:val="231F20"/>
          <w:w w:val="95"/>
        </w:rPr>
        <w:t>are</w:t>
      </w:r>
      <w:r>
        <w:rPr>
          <w:color w:val="231F20"/>
          <w:spacing w:val="19"/>
        </w:rPr>
        <w:t xml:space="preserve"> </w:t>
      </w:r>
      <w:r>
        <w:rPr>
          <w:color w:val="231F20"/>
          <w:w w:val="95"/>
        </w:rPr>
        <w:t>of</w:t>
      </w:r>
      <w:r>
        <w:rPr>
          <w:color w:val="231F20"/>
          <w:spacing w:val="33"/>
        </w:rPr>
        <w:t xml:space="preserve"> </w:t>
      </w:r>
      <w:r>
        <w:rPr>
          <w:color w:val="231F20"/>
          <w:w w:val="95"/>
        </w:rPr>
        <w:t>short-term</w:t>
      </w:r>
      <w:r>
        <w:rPr>
          <w:color w:val="231F20"/>
          <w:spacing w:val="19"/>
        </w:rPr>
        <w:t xml:space="preserve"> </w:t>
      </w:r>
      <w:r>
        <w:rPr>
          <w:color w:val="231F20"/>
          <w:w w:val="95"/>
        </w:rPr>
        <w:t>duration,</w:t>
      </w:r>
      <w:r>
        <w:rPr>
          <w:color w:val="231F20"/>
          <w:spacing w:val="19"/>
        </w:rPr>
        <w:t xml:space="preserve"> </w:t>
      </w:r>
      <w:r>
        <w:rPr>
          <w:color w:val="231F20"/>
          <w:w w:val="95"/>
        </w:rPr>
        <w:t>e</w:t>
      </w:r>
      <w:r>
        <w:rPr>
          <w:color w:val="231F20"/>
          <w:w w:val="95"/>
        </w:rPr>
        <w:t>xpenditures</w:t>
      </w:r>
      <w:r>
        <w:rPr>
          <w:color w:val="231F20"/>
          <w:spacing w:val="19"/>
        </w:rPr>
        <w:t xml:space="preserve"> </w:t>
      </w:r>
      <w:r>
        <w:rPr>
          <w:color w:val="231F20"/>
          <w:w w:val="95"/>
        </w:rPr>
        <w:t>are</w:t>
      </w:r>
      <w:r>
        <w:rPr>
          <w:color w:val="231F20"/>
          <w:spacing w:val="19"/>
        </w:rPr>
        <w:t xml:space="preserve"> </w:t>
      </w:r>
      <w:r>
        <w:rPr>
          <w:color w:val="231F20"/>
          <w:w w:val="95"/>
        </w:rPr>
        <w:t>relatively</w:t>
      </w:r>
      <w:r>
        <w:rPr>
          <w:color w:val="231F20"/>
          <w:spacing w:val="19"/>
        </w:rPr>
        <w:t xml:space="preserve"> </w:t>
      </w:r>
      <w:r>
        <w:rPr>
          <w:color w:val="231F20"/>
          <w:w w:val="95"/>
        </w:rPr>
        <w:t xml:space="preserve">high </w:t>
      </w:r>
      <w:r>
        <w:rPr>
          <w:color w:val="231F20"/>
          <w:spacing w:val="-2"/>
        </w:rPr>
        <w:t>and,</w:t>
      </w:r>
      <w:r>
        <w:rPr>
          <w:color w:val="231F20"/>
          <w:spacing w:val="-3"/>
        </w:rPr>
        <w:t xml:space="preserve"> </w:t>
      </w:r>
      <w:r>
        <w:rPr>
          <w:color w:val="231F20"/>
          <w:spacing w:val="-2"/>
        </w:rPr>
        <w:t>therefore,</w:t>
      </w:r>
      <w:r>
        <w:rPr>
          <w:color w:val="231F20"/>
          <w:spacing w:val="-3"/>
        </w:rPr>
        <w:t xml:space="preserve"> </w:t>
      </w:r>
      <w:r>
        <w:rPr>
          <w:color w:val="231F20"/>
          <w:spacing w:val="-2"/>
        </w:rPr>
        <w:t>valuable</w:t>
      </w:r>
      <w:r>
        <w:rPr>
          <w:color w:val="231F20"/>
          <w:spacing w:val="-3"/>
        </w:rPr>
        <w:t xml:space="preserve"> </w:t>
      </w:r>
      <w:r>
        <w:rPr>
          <w:color w:val="231F20"/>
          <w:spacing w:val="-2"/>
        </w:rPr>
        <w:t>to</w:t>
      </w:r>
      <w:r>
        <w:rPr>
          <w:color w:val="231F20"/>
          <w:spacing w:val="-3"/>
        </w:rPr>
        <w:t xml:space="preserve"> </w:t>
      </w:r>
      <w:r>
        <w:rPr>
          <w:color w:val="231F20"/>
          <w:spacing w:val="-2"/>
        </w:rPr>
        <w:t>the</w:t>
      </w:r>
      <w:r>
        <w:rPr>
          <w:color w:val="231F20"/>
          <w:spacing w:val="-3"/>
        </w:rPr>
        <w:t xml:space="preserve"> </w:t>
      </w:r>
      <w:r>
        <w:rPr>
          <w:color w:val="231F20"/>
          <w:spacing w:val="-2"/>
        </w:rPr>
        <w:t>local</w:t>
      </w:r>
      <w:r>
        <w:rPr>
          <w:color w:val="231F20"/>
          <w:spacing w:val="-3"/>
        </w:rPr>
        <w:t xml:space="preserve"> </w:t>
      </w:r>
      <w:r>
        <w:rPr>
          <w:color w:val="231F20"/>
          <w:spacing w:val="-2"/>
        </w:rPr>
        <w:t>club</w:t>
      </w:r>
      <w:r>
        <w:rPr>
          <w:color w:val="231F20"/>
          <w:spacing w:val="-3"/>
        </w:rPr>
        <w:t xml:space="preserve"> </w:t>
      </w:r>
      <w:r>
        <w:rPr>
          <w:color w:val="231F20"/>
          <w:spacing w:val="-2"/>
        </w:rPr>
        <w:t>and</w:t>
      </w:r>
      <w:r>
        <w:rPr>
          <w:color w:val="231F20"/>
          <w:spacing w:val="-3"/>
        </w:rPr>
        <w:t xml:space="preserve"> </w:t>
      </w:r>
      <w:r>
        <w:rPr>
          <w:color w:val="231F20"/>
          <w:spacing w:val="-2"/>
        </w:rPr>
        <w:t>host</w:t>
      </w:r>
      <w:r>
        <w:rPr>
          <w:color w:val="231F20"/>
          <w:spacing w:val="-3"/>
        </w:rPr>
        <w:t xml:space="preserve"> </w:t>
      </w:r>
      <w:r>
        <w:rPr>
          <w:color w:val="231F20"/>
          <w:spacing w:val="-2"/>
        </w:rPr>
        <w:t>city.</w:t>
      </w:r>
      <w:r>
        <w:rPr>
          <w:color w:val="231F20"/>
          <w:spacing w:val="-3"/>
        </w:rPr>
        <w:t xml:space="preserve"> </w:t>
      </w:r>
      <w:r>
        <w:rPr>
          <w:color w:val="231F20"/>
          <w:spacing w:val="-2"/>
        </w:rPr>
        <w:t>Meanwhile,</w:t>
      </w:r>
      <w:r>
        <w:rPr>
          <w:color w:val="231F20"/>
          <w:spacing w:val="-3"/>
        </w:rPr>
        <w:t xml:space="preserve"> </w:t>
      </w:r>
      <w:r>
        <w:rPr>
          <w:color w:val="231F20"/>
          <w:spacing w:val="-2"/>
        </w:rPr>
        <w:t xml:space="preserve">local </w:t>
      </w:r>
      <w:r>
        <w:rPr>
          <w:color w:val="231F20"/>
          <w:w w:val="90"/>
        </w:rPr>
        <w:t>fans remain enthusiastic supporters because they are emotionally invested</w:t>
      </w:r>
      <w:r>
        <w:rPr>
          <w:color w:val="231F20"/>
          <w:spacing w:val="40"/>
        </w:rPr>
        <w:t xml:space="preserve"> </w:t>
      </w:r>
      <w:r>
        <w:rPr>
          <w:color w:val="231F20"/>
        </w:rPr>
        <w:t>in</w:t>
      </w:r>
      <w:r>
        <w:rPr>
          <w:color w:val="231F20"/>
          <w:spacing w:val="-1"/>
        </w:rPr>
        <w:t xml:space="preserve"> </w:t>
      </w:r>
      <w:r>
        <w:rPr>
          <w:color w:val="231F20"/>
        </w:rPr>
        <w:t>a</w:t>
      </w:r>
      <w:r>
        <w:rPr>
          <w:color w:val="231F20"/>
          <w:spacing w:val="-1"/>
        </w:rPr>
        <w:t xml:space="preserve"> </w:t>
      </w:r>
      <w:r>
        <w:rPr>
          <w:color w:val="231F20"/>
        </w:rPr>
        <w:t>club</w:t>
      </w:r>
      <w:r>
        <w:rPr>
          <w:color w:val="231F20"/>
          <w:spacing w:val="-1"/>
        </w:rPr>
        <w:t xml:space="preserve"> </w:t>
      </w:r>
      <w:r>
        <w:rPr>
          <w:color w:val="231F20"/>
        </w:rPr>
        <w:t>that</w:t>
      </w:r>
      <w:r>
        <w:rPr>
          <w:color w:val="231F20"/>
          <w:spacing w:val="-1"/>
        </w:rPr>
        <w:t xml:space="preserve"> </w:t>
      </w:r>
      <w:r>
        <w:rPr>
          <w:color w:val="231F20"/>
        </w:rPr>
        <w:t>has</w:t>
      </w:r>
      <w:r>
        <w:rPr>
          <w:color w:val="231F20"/>
          <w:spacing w:val="-1"/>
        </w:rPr>
        <w:t xml:space="preserve"> </w:t>
      </w:r>
      <w:r>
        <w:rPr>
          <w:color w:val="231F20"/>
        </w:rPr>
        <w:t>come</w:t>
      </w:r>
      <w:r>
        <w:rPr>
          <w:color w:val="231F20"/>
          <w:spacing w:val="-1"/>
        </w:rPr>
        <w:t xml:space="preserve"> </w:t>
      </w:r>
      <w:r>
        <w:rPr>
          <w:color w:val="231F20"/>
        </w:rPr>
        <w:t>to</w:t>
      </w:r>
      <w:r>
        <w:rPr>
          <w:color w:val="231F20"/>
          <w:spacing w:val="-1"/>
        </w:rPr>
        <w:t xml:space="preserve"> </w:t>
      </w:r>
      <w:r>
        <w:rPr>
          <w:color w:val="231F20"/>
        </w:rPr>
        <w:t>be</w:t>
      </w:r>
      <w:r>
        <w:rPr>
          <w:color w:val="231F20"/>
          <w:spacing w:val="-1"/>
        </w:rPr>
        <w:t xml:space="preserve"> </w:t>
      </w:r>
      <w:r>
        <w:rPr>
          <w:color w:val="231F20"/>
        </w:rPr>
        <w:t>part</w:t>
      </w:r>
      <w:r>
        <w:rPr>
          <w:color w:val="231F20"/>
          <w:spacing w:val="-1"/>
        </w:rPr>
        <w:t xml:space="preserve"> </w:t>
      </w:r>
      <w:r>
        <w:rPr>
          <w:color w:val="231F20"/>
        </w:rPr>
        <w:t>of</w:t>
      </w:r>
      <w:r>
        <w:rPr>
          <w:color w:val="231F20"/>
          <w:spacing w:val="10"/>
        </w:rPr>
        <w:t xml:space="preserve"> </w:t>
      </w:r>
      <w:r>
        <w:rPr>
          <w:color w:val="231F20"/>
        </w:rPr>
        <w:t>their</w:t>
      </w:r>
      <w:r>
        <w:rPr>
          <w:color w:val="231F20"/>
          <w:spacing w:val="-1"/>
        </w:rPr>
        <w:t xml:space="preserve"> </w:t>
      </w:r>
      <w:r>
        <w:rPr>
          <w:color w:val="231F20"/>
        </w:rPr>
        <w:t>own</w:t>
      </w:r>
      <w:r>
        <w:rPr>
          <w:color w:val="231F20"/>
          <w:spacing w:val="-1"/>
        </w:rPr>
        <w:t xml:space="preserve"> </w:t>
      </w:r>
      <w:r>
        <w:rPr>
          <w:color w:val="231F20"/>
        </w:rPr>
        <w:t>identity.</w:t>
      </w:r>
      <w:r>
        <w:rPr>
          <w:color w:val="231F20"/>
          <w:spacing w:val="-1"/>
        </w:rPr>
        <w:t xml:space="preserve"> </w:t>
      </w:r>
      <w:r>
        <w:rPr>
          <w:color w:val="231F20"/>
        </w:rPr>
        <w:t>Both</w:t>
      </w:r>
      <w:r>
        <w:rPr>
          <w:color w:val="231F20"/>
          <w:spacing w:val="-1"/>
        </w:rPr>
        <w:t xml:space="preserve"> </w:t>
      </w:r>
      <w:r>
        <w:rPr>
          <w:color w:val="231F20"/>
        </w:rPr>
        <w:t>local</w:t>
      </w:r>
      <w:r>
        <w:rPr>
          <w:color w:val="231F20"/>
          <w:spacing w:val="-1"/>
        </w:rPr>
        <w:t xml:space="preserve"> </w:t>
      </w:r>
      <w:r>
        <w:rPr>
          <w:color w:val="231F20"/>
        </w:rPr>
        <w:t xml:space="preserve">and </w:t>
      </w:r>
      <w:r>
        <w:rPr>
          <w:color w:val="231F20"/>
          <w:w w:val="95"/>
        </w:rPr>
        <w:t>overseas</w:t>
      </w:r>
      <w:r>
        <w:rPr>
          <w:color w:val="231F20"/>
          <w:spacing w:val="-10"/>
          <w:w w:val="95"/>
        </w:rPr>
        <w:t xml:space="preserve"> </w:t>
      </w:r>
      <w:r>
        <w:rPr>
          <w:color w:val="231F20"/>
          <w:w w:val="95"/>
        </w:rPr>
        <w:t>fans</w:t>
      </w:r>
      <w:r>
        <w:rPr>
          <w:color w:val="231F20"/>
          <w:spacing w:val="-9"/>
          <w:w w:val="95"/>
        </w:rPr>
        <w:t xml:space="preserve"> </w:t>
      </w:r>
      <w:r>
        <w:rPr>
          <w:color w:val="231F20"/>
          <w:w w:val="95"/>
        </w:rPr>
        <w:t>demonstrate</w:t>
      </w:r>
      <w:r>
        <w:rPr>
          <w:color w:val="231F20"/>
          <w:spacing w:val="-9"/>
          <w:w w:val="95"/>
        </w:rPr>
        <w:t xml:space="preserve"> </w:t>
      </w:r>
      <w:r>
        <w:rPr>
          <w:color w:val="231F20"/>
          <w:w w:val="95"/>
        </w:rPr>
        <w:t>strong</w:t>
      </w:r>
      <w:r>
        <w:rPr>
          <w:color w:val="231F20"/>
          <w:spacing w:val="-9"/>
          <w:w w:val="95"/>
        </w:rPr>
        <w:t xml:space="preserve"> </w:t>
      </w:r>
      <w:r>
        <w:rPr>
          <w:color w:val="231F20"/>
          <w:w w:val="95"/>
        </w:rPr>
        <w:t>place</w:t>
      </w:r>
      <w:r>
        <w:rPr>
          <w:color w:val="231F20"/>
          <w:spacing w:val="-10"/>
          <w:w w:val="95"/>
        </w:rPr>
        <w:t xml:space="preserve"> </w:t>
      </w:r>
      <w:r>
        <w:rPr>
          <w:color w:val="231F20"/>
          <w:w w:val="95"/>
        </w:rPr>
        <w:t>attachment</w:t>
      </w:r>
      <w:r>
        <w:rPr>
          <w:color w:val="231F20"/>
          <w:spacing w:val="-9"/>
          <w:w w:val="95"/>
        </w:rPr>
        <w:t xml:space="preserve"> </w:t>
      </w:r>
      <w:r>
        <w:rPr>
          <w:color w:val="231F20"/>
          <w:w w:val="95"/>
        </w:rPr>
        <w:t>through</w:t>
      </w:r>
      <w:r>
        <w:rPr>
          <w:color w:val="231F20"/>
          <w:spacing w:val="-9"/>
          <w:w w:val="95"/>
        </w:rPr>
        <w:t xml:space="preserve"> </w:t>
      </w:r>
      <w:r>
        <w:rPr>
          <w:color w:val="231F20"/>
          <w:w w:val="95"/>
        </w:rPr>
        <w:t>their</w:t>
      </w:r>
      <w:r>
        <w:rPr>
          <w:color w:val="231F20"/>
          <w:spacing w:val="-9"/>
          <w:w w:val="95"/>
        </w:rPr>
        <w:t xml:space="preserve"> </w:t>
      </w:r>
      <w:r>
        <w:rPr>
          <w:color w:val="231F20"/>
          <w:w w:val="95"/>
        </w:rPr>
        <w:t xml:space="preserve">fandom. </w:t>
      </w:r>
      <w:r>
        <w:rPr>
          <w:color w:val="231F20"/>
        </w:rPr>
        <w:t>Local</w:t>
      </w:r>
      <w:r>
        <w:rPr>
          <w:color w:val="231F20"/>
          <w:spacing w:val="-12"/>
        </w:rPr>
        <w:t xml:space="preserve"> </w:t>
      </w:r>
      <w:r>
        <w:rPr>
          <w:color w:val="231F20"/>
        </w:rPr>
        <w:t>supporters</w:t>
      </w:r>
      <w:r>
        <w:rPr>
          <w:color w:val="231F20"/>
          <w:spacing w:val="-12"/>
        </w:rPr>
        <w:t xml:space="preserve"> </w:t>
      </w:r>
      <w:r>
        <w:rPr>
          <w:color w:val="231F20"/>
        </w:rPr>
        <w:t>both</w:t>
      </w:r>
      <w:r>
        <w:rPr>
          <w:color w:val="231F20"/>
          <w:spacing w:val="-11"/>
        </w:rPr>
        <w:t xml:space="preserve"> </w:t>
      </w:r>
      <w:r>
        <w:rPr>
          <w:color w:val="231F20"/>
        </w:rPr>
        <w:t>love</w:t>
      </w:r>
      <w:r>
        <w:rPr>
          <w:color w:val="231F20"/>
          <w:spacing w:val="-12"/>
        </w:rPr>
        <w:t xml:space="preserve"> </w:t>
      </w:r>
      <w:r>
        <w:rPr>
          <w:color w:val="231F20"/>
        </w:rPr>
        <w:t>and</w:t>
      </w:r>
      <w:r>
        <w:rPr>
          <w:color w:val="231F20"/>
          <w:spacing w:val="-11"/>
        </w:rPr>
        <w:t xml:space="preserve"> </w:t>
      </w:r>
      <w:r>
        <w:rPr>
          <w:color w:val="231F20"/>
        </w:rPr>
        <w:t>loathe</w:t>
      </w:r>
      <w:r>
        <w:rPr>
          <w:color w:val="231F20"/>
          <w:spacing w:val="-12"/>
        </w:rPr>
        <w:t xml:space="preserve"> </w:t>
      </w:r>
      <w:r>
        <w:rPr>
          <w:color w:val="231F20"/>
        </w:rPr>
        <w:t>other</w:t>
      </w:r>
      <w:r>
        <w:rPr>
          <w:color w:val="231F20"/>
          <w:spacing w:val="-11"/>
        </w:rPr>
        <w:t xml:space="preserve"> </w:t>
      </w:r>
      <w:r>
        <w:rPr>
          <w:color w:val="231F20"/>
        </w:rPr>
        <w:t>fans</w:t>
      </w:r>
      <w:r>
        <w:rPr>
          <w:color w:val="231F20"/>
          <w:spacing w:val="-12"/>
        </w:rPr>
        <w:t xml:space="preserve"> </w:t>
      </w:r>
      <w:r>
        <w:rPr>
          <w:color w:val="231F20"/>
        </w:rPr>
        <w:t>of</w:t>
      </w:r>
      <w:r>
        <w:rPr>
          <w:color w:val="231F20"/>
          <w:spacing w:val="-11"/>
        </w:rPr>
        <w:t xml:space="preserve"> </w:t>
      </w:r>
      <w:r>
        <w:rPr>
          <w:color w:val="231F20"/>
        </w:rPr>
        <w:t>their</w:t>
      </w:r>
      <w:r>
        <w:rPr>
          <w:color w:val="231F20"/>
          <w:spacing w:val="-12"/>
        </w:rPr>
        <w:t xml:space="preserve"> </w:t>
      </w:r>
      <w:r>
        <w:rPr>
          <w:color w:val="231F20"/>
        </w:rPr>
        <w:t>team.</w:t>
      </w:r>
      <w:r>
        <w:rPr>
          <w:color w:val="231F20"/>
          <w:spacing w:val="-11"/>
        </w:rPr>
        <w:t xml:space="preserve"> </w:t>
      </w:r>
      <w:r>
        <w:rPr>
          <w:color w:val="231F20"/>
        </w:rPr>
        <w:t>On</w:t>
      </w:r>
      <w:r>
        <w:rPr>
          <w:color w:val="231F20"/>
          <w:spacing w:val="-12"/>
        </w:rPr>
        <w:t xml:space="preserve"> </w:t>
      </w:r>
      <w:r>
        <w:rPr>
          <w:color w:val="231F20"/>
        </w:rPr>
        <w:t xml:space="preserve">the </w:t>
      </w:r>
      <w:r>
        <w:rPr>
          <w:color w:val="231F20"/>
          <w:w w:val="95"/>
        </w:rPr>
        <w:t>one</w:t>
      </w:r>
      <w:r>
        <w:rPr>
          <w:color w:val="231F20"/>
          <w:spacing w:val="-10"/>
          <w:w w:val="95"/>
        </w:rPr>
        <w:t xml:space="preserve"> </w:t>
      </w:r>
      <w:r>
        <w:rPr>
          <w:color w:val="231F20"/>
          <w:w w:val="95"/>
        </w:rPr>
        <w:t>hand,</w:t>
      </w:r>
      <w:r>
        <w:rPr>
          <w:color w:val="231F20"/>
          <w:spacing w:val="-10"/>
          <w:w w:val="95"/>
        </w:rPr>
        <w:t xml:space="preserve"> </w:t>
      </w:r>
      <w:r>
        <w:rPr>
          <w:color w:val="231F20"/>
          <w:w w:val="95"/>
        </w:rPr>
        <w:t>a</w:t>
      </w:r>
      <w:r>
        <w:rPr>
          <w:color w:val="231F20"/>
          <w:spacing w:val="-10"/>
          <w:w w:val="95"/>
        </w:rPr>
        <w:t xml:space="preserve"> </w:t>
      </w:r>
      <w:r>
        <w:rPr>
          <w:color w:val="231F20"/>
          <w:w w:val="95"/>
        </w:rPr>
        <w:t>large</w:t>
      </w:r>
      <w:r>
        <w:rPr>
          <w:color w:val="231F20"/>
          <w:spacing w:val="-9"/>
          <w:w w:val="95"/>
        </w:rPr>
        <w:t xml:space="preserve"> </w:t>
      </w:r>
      <w:r>
        <w:rPr>
          <w:color w:val="231F20"/>
          <w:w w:val="95"/>
        </w:rPr>
        <w:t>and</w:t>
      </w:r>
      <w:r>
        <w:rPr>
          <w:color w:val="231F20"/>
          <w:spacing w:val="-10"/>
          <w:w w:val="95"/>
        </w:rPr>
        <w:t xml:space="preserve"> </w:t>
      </w:r>
      <w:r>
        <w:rPr>
          <w:color w:val="231F20"/>
          <w:w w:val="95"/>
        </w:rPr>
        <w:t>passionate</w:t>
      </w:r>
      <w:r>
        <w:rPr>
          <w:color w:val="231F20"/>
          <w:spacing w:val="-10"/>
          <w:w w:val="95"/>
        </w:rPr>
        <w:t xml:space="preserve"> </w:t>
      </w:r>
      <w:r>
        <w:rPr>
          <w:color w:val="231F20"/>
          <w:w w:val="95"/>
        </w:rPr>
        <w:t>fan</w:t>
      </w:r>
      <w:r>
        <w:rPr>
          <w:color w:val="231F20"/>
          <w:spacing w:val="-9"/>
          <w:w w:val="95"/>
        </w:rPr>
        <w:t xml:space="preserve"> </w:t>
      </w:r>
      <w:r>
        <w:rPr>
          <w:color w:val="231F20"/>
          <w:w w:val="95"/>
        </w:rPr>
        <w:t>base</w:t>
      </w:r>
      <w:r>
        <w:rPr>
          <w:color w:val="231F20"/>
          <w:spacing w:val="-10"/>
          <w:w w:val="95"/>
        </w:rPr>
        <w:t xml:space="preserve"> </w:t>
      </w:r>
      <w:r>
        <w:rPr>
          <w:color w:val="231F20"/>
          <w:w w:val="95"/>
        </w:rPr>
        <w:t>can</w:t>
      </w:r>
      <w:r>
        <w:rPr>
          <w:color w:val="231F20"/>
          <w:spacing w:val="-10"/>
          <w:w w:val="95"/>
        </w:rPr>
        <w:t xml:space="preserve"> </w:t>
      </w:r>
      <w:r>
        <w:rPr>
          <w:color w:val="231F20"/>
          <w:w w:val="95"/>
        </w:rPr>
        <w:t>affect</w:t>
      </w:r>
      <w:r>
        <w:rPr>
          <w:color w:val="231F20"/>
          <w:spacing w:val="-9"/>
          <w:w w:val="95"/>
        </w:rPr>
        <w:t xml:space="preserve"> </w:t>
      </w:r>
      <w:r>
        <w:rPr>
          <w:color w:val="231F20"/>
          <w:w w:val="95"/>
        </w:rPr>
        <w:t>results</w:t>
      </w:r>
      <w:r>
        <w:rPr>
          <w:color w:val="231F20"/>
          <w:spacing w:val="-10"/>
          <w:w w:val="95"/>
        </w:rPr>
        <w:t xml:space="preserve"> </w:t>
      </w:r>
      <w:r>
        <w:rPr>
          <w:color w:val="231F20"/>
          <w:w w:val="95"/>
        </w:rPr>
        <w:t>on</w:t>
      </w:r>
      <w:r>
        <w:rPr>
          <w:color w:val="231F20"/>
          <w:spacing w:val="-10"/>
          <w:w w:val="95"/>
        </w:rPr>
        <w:t xml:space="preserve"> </w:t>
      </w:r>
      <w:r>
        <w:rPr>
          <w:color w:val="231F20"/>
          <w:w w:val="95"/>
        </w:rPr>
        <w:t>the</w:t>
      </w:r>
      <w:r>
        <w:rPr>
          <w:color w:val="231F20"/>
          <w:spacing w:val="-9"/>
          <w:w w:val="95"/>
        </w:rPr>
        <w:t xml:space="preserve"> </w:t>
      </w:r>
      <w:r>
        <w:rPr>
          <w:color w:val="231F20"/>
          <w:w w:val="95"/>
        </w:rPr>
        <w:t>field</w:t>
      </w:r>
      <w:r>
        <w:rPr>
          <w:color w:val="231F20"/>
          <w:spacing w:val="-10"/>
          <w:w w:val="95"/>
        </w:rPr>
        <w:t xml:space="preserve"> </w:t>
      </w:r>
      <w:r>
        <w:rPr>
          <w:color w:val="231F20"/>
          <w:w w:val="95"/>
        </w:rPr>
        <w:t>and provide</w:t>
      </w:r>
      <w:r>
        <w:rPr>
          <w:color w:val="231F20"/>
          <w:spacing w:val="-5"/>
          <w:w w:val="95"/>
        </w:rPr>
        <w:t xml:space="preserve"> </w:t>
      </w:r>
      <w:r>
        <w:rPr>
          <w:color w:val="231F20"/>
          <w:w w:val="95"/>
        </w:rPr>
        <w:t>a</w:t>
      </w:r>
      <w:r>
        <w:rPr>
          <w:color w:val="231F20"/>
          <w:spacing w:val="-5"/>
          <w:w w:val="95"/>
        </w:rPr>
        <w:t xml:space="preserve"> </w:t>
      </w:r>
      <w:r>
        <w:rPr>
          <w:color w:val="231F20"/>
          <w:w w:val="95"/>
        </w:rPr>
        <w:t>team</w:t>
      </w:r>
      <w:r>
        <w:rPr>
          <w:color w:val="231F20"/>
          <w:spacing w:val="-5"/>
          <w:w w:val="95"/>
        </w:rPr>
        <w:t xml:space="preserve"> </w:t>
      </w:r>
      <w:r>
        <w:rPr>
          <w:color w:val="231F20"/>
          <w:w w:val="95"/>
        </w:rPr>
        <w:t>with</w:t>
      </w:r>
      <w:r>
        <w:rPr>
          <w:color w:val="231F20"/>
          <w:spacing w:val="-5"/>
          <w:w w:val="95"/>
        </w:rPr>
        <w:t xml:space="preserve"> </w:t>
      </w:r>
      <w:r>
        <w:rPr>
          <w:color w:val="231F20"/>
          <w:w w:val="95"/>
        </w:rPr>
        <w:t>the</w:t>
      </w:r>
      <w:r>
        <w:rPr>
          <w:color w:val="231F20"/>
          <w:spacing w:val="-5"/>
          <w:w w:val="95"/>
        </w:rPr>
        <w:t xml:space="preserve"> </w:t>
      </w:r>
      <w:r>
        <w:rPr>
          <w:color w:val="231F20"/>
          <w:w w:val="95"/>
        </w:rPr>
        <w:t>financial</w:t>
      </w:r>
      <w:r>
        <w:rPr>
          <w:color w:val="231F20"/>
          <w:spacing w:val="-5"/>
          <w:w w:val="95"/>
        </w:rPr>
        <w:t xml:space="preserve"> </w:t>
      </w:r>
      <w:r>
        <w:rPr>
          <w:color w:val="231F20"/>
          <w:w w:val="95"/>
        </w:rPr>
        <w:t>resources</w:t>
      </w:r>
      <w:r>
        <w:rPr>
          <w:color w:val="231F20"/>
          <w:spacing w:val="-5"/>
          <w:w w:val="95"/>
        </w:rPr>
        <w:t xml:space="preserve"> </w:t>
      </w:r>
      <w:r>
        <w:rPr>
          <w:color w:val="231F20"/>
          <w:w w:val="95"/>
        </w:rPr>
        <w:t>to</w:t>
      </w:r>
      <w:r>
        <w:rPr>
          <w:color w:val="231F20"/>
          <w:spacing w:val="-5"/>
          <w:w w:val="95"/>
        </w:rPr>
        <w:t xml:space="preserve"> </w:t>
      </w:r>
      <w:r>
        <w:rPr>
          <w:color w:val="231F20"/>
          <w:w w:val="95"/>
        </w:rPr>
        <w:t>secure</w:t>
      </w:r>
      <w:r>
        <w:rPr>
          <w:color w:val="231F20"/>
          <w:spacing w:val="-5"/>
          <w:w w:val="95"/>
        </w:rPr>
        <w:t xml:space="preserve"> </w:t>
      </w:r>
      <w:r>
        <w:rPr>
          <w:color w:val="231F20"/>
          <w:w w:val="95"/>
        </w:rPr>
        <w:t>the</w:t>
      </w:r>
      <w:r>
        <w:rPr>
          <w:color w:val="231F20"/>
          <w:spacing w:val="-5"/>
          <w:w w:val="95"/>
        </w:rPr>
        <w:t xml:space="preserve"> </w:t>
      </w:r>
      <w:r>
        <w:rPr>
          <w:color w:val="231F20"/>
          <w:w w:val="95"/>
        </w:rPr>
        <w:t>talent</w:t>
      </w:r>
      <w:r>
        <w:rPr>
          <w:color w:val="231F20"/>
          <w:spacing w:val="-5"/>
          <w:w w:val="95"/>
        </w:rPr>
        <w:t xml:space="preserve"> </w:t>
      </w:r>
      <w:r>
        <w:rPr>
          <w:color w:val="231F20"/>
          <w:w w:val="95"/>
        </w:rPr>
        <w:t xml:space="preserve">necessary </w:t>
      </w:r>
      <w:r>
        <w:rPr>
          <w:color w:val="231F20"/>
        </w:rPr>
        <w:t>to</w:t>
      </w:r>
      <w:r>
        <w:rPr>
          <w:color w:val="231F20"/>
          <w:spacing w:val="-10"/>
        </w:rPr>
        <w:t xml:space="preserve"> </w:t>
      </w:r>
      <w:r>
        <w:rPr>
          <w:color w:val="231F20"/>
        </w:rPr>
        <w:t>compete</w:t>
      </w:r>
      <w:r>
        <w:rPr>
          <w:color w:val="231F20"/>
          <w:spacing w:val="-9"/>
        </w:rPr>
        <w:t xml:space="preserve"> </w:t>
      </w:r>
      <w:r>
        <w:rPr>
          <w:color w:val="231F20"/>
        </w:rPr>
        <w:t>at</w:t>
      </w:r>
      <w:r>
        <w:rPr>
          <w:color w:val="231F20"/>
          <w:spacing w:val="-9"/>
        </w:rPr>
        <w:t xml:space="preserve"> </w:t>
      </w:r>
      <w:r>
        <w:rPr>
          <w:color w:val="231F20"/>
        </w:rPr>
        <w:t>the</w:t>
      </w:r>
      <w:r>
        <w:rPr>
          <w:color w:val="231F20"/>
          <w:spacing w:val="-9"/>
        </w:rPr>
        <w:t xml:space="preserve"> </w:t>
      </w:r>
      <w:r>
        <w:rPr>
          <w:color w:val="231F20"/>
        </w:rPr>
        <w:t>highest</w:t>
      </w:r>
      <w:r>
        <w:rPr>
          <w:color w:val="231F20"/>
          <w:spacing w:val="-9"/>
        </w:rPr>
        <w:t xml:space="preserve"> </w:t>
      </w:r>
      <w:r>
        <w:rPr>
          <w:color w:val="231F20"/>
        </w:rPr>
        <w:t>level</w:t>
      </w:r>
      <w:r>
        <w:rPr>
          <w:color w:val="231F20"/>
          <w:spacing w:val="-9"/>
        </w:rPr>
        <w:t xml:space="preserve"> </w:t>
      </w:r>
      <w:r>
        <w:rPr>
          <w:color w:val="231F20"/>
        </w:rPr>
        <w:t>of</w:t>
      </w:r>
      <w:r>
        <w:rPr>
          <w:color w:val="231F20"/>
          <w:spacing w:val="2"/>
        </w:rPr>
        <w:t xml:space="preserve"> </w:t>
      </w:r>
      <w:r>
        <w:rPr>
          <w:color w:val="231F20"/>
        </w:rPr>
        <w:t>the</w:t>
      </w:r>
      <w:r>
        <w:rPr>
          <w:color w:val="231F20"/>
          <w:spacing w:val="-9"/>
        </w:rPr>
        <w:t xml:space="preserve"> </w:t>
      </w:r>
      <w:r>
        <w:rPr>
          <w:color w:val="231F20"/>
        </w:rPr>
        <w:t>game.</w:t>
      </w:r>
      <w:r>
        <w:rPr>
          <w:color w:val="231F20"/>
          <w:spacing w:val="-9"/>
        </w:rPr>
        <w:t xml:space="preserve"> </w:t>
      </w:r>
      <w:r>
        <w:rPr>
          <w:color w:val="231F20"/>
        </w:rPr>
        <w:t>On</w:t>
      </w:r>
      <w:r>
        <w:rPr>
          <w:color w:val="231F20"/>
          <w:spacing w:val="-9"/>
        </w:rPr>
        <w:t xml:space="preserve"> </w:t>
      </w:r>
      <w:r>
        <w:rPr>
          <w:color w:val="231F20"/>
        </w:rPr>
        <w:t>the</w:t>
      </w:r>
      <w:r>
        <w:rPr>
          <w:color w:val="231F20"/>
          <w:spacing w:val="-9"/>
        </w:rPr>
        <w:t xml:space="preserve"> </w:t>
      </w:r>
      <w:r>
        <w:rPr>
          <w:color w:val="231F20"/>
        </w:rPr>
        <w:t>other</w:t>
      </w:r>
      <w:r>
        <w:rPr>
          <w:color w:val="231F20"/>
          <w:spacing w:val="-10"/>
        </w:rPr>
        <w:t xml:space="preserve"> </w:t>
      </w:r>
      <w:r>
        <w:rPr>
          <w:color w:val="231F20"/>
        </w:rPr>
        <w:t>hand,</w:t>
      </w:r>
      <w:r>
        <w:rPr>
          <w:color w:val="231F20"/>
          <w:spacing w:val="-9"/>
        </w:rPr>
        <w:t xml:space="preserve"> </w:t>
      </w:r>
      <w:r>
        <w:rPr>
          <w:color w:val="231F20"/>
        </w:rPr>
        <w:t xml:space="preserve">tourists </w:t>
      </w:r>
      <w:r>
        <w:rPr>
          <w:color w:val="231F20"/>
          <w:w w:val="95"/>
        </w:rPr>
        <w:t>are</w:t>
      </w:r>
      <w:r>
        <w:rPr>
          <w:color w:val="231F20"/>
          <w:spacing w:val="-10"/>
          <w:w w:val="95"/>
        </w:rPr>
        <w:t xml:space="preserve"> </w:t>
      </w:r>
      <w:r>
        <w:rPr>
          <w:color w:val="231F20"/>
          <w:w w:val="95"/>
        </w:rPr>
        <w:t>not</w:t>
      </w:r>
      <w:r>
        <w:rPr>
          <w:color w:val="231F20"/>
          <w:spacing w:val="-9"/>
          <w:w w:val="95"/>
        </w:rPr>
        <w:t xml:space="preserve"> </w:t>
      </w:r>
      <w:r>
        <w:rPr>
          <w:color w:val="231F20"/>
          <w:w w:val="95"/>
        </w:rPr>
        <w:t>very</w:t>
      </w:r>
      <w:r>
        <w:rPr>
          <w:color w:val="231F20"/>
          <w:spacing w:val="-9"/>
          <w:w w:val="95"/>
        </w:rPr>
        <w:t xml:space="preserve"> </w:t>
      </w:r>
      <w:r>
        <w:rPr>
          <w:color w:val="231F20"/>
          <w:w w:val="95"/>
        </w:rPr>
        <w:t>active</w:t>
      </w:r>
      <w:r>
        <w:rPr>
          <w:color w:val="231F20"/>
          <w:spacing w:val="-9"/>
          <w:w w:val="95"/>
        </w:rPr>
        <w:t xml:space="preserve"> </w:t>
      </w:r>
      <w:r>
        <w:rPr>
          <w:color w:val="231F20"/>
          <w:w w:val="95"/>
        </w:rPr>
        <w:t>in</w:t>
      </w:r>
      <w:r>
        <w:rPr>
          <w:color w:val="231F20"/>
          <w:spacing w:val="-10"/>
          <w:w w:val="95"/>
        </w:rPr>
        <w:t xml:space="preserve"> </w:t>
      </w:r>
      <w:r>
        <w:rPr>
          <w:color w:val="231F20"/>
          <w:w w:val="95"/>
        </w:rPr>
        <w:t>representing</w:t>
      </w:r>
      <w:r>
        <w:rPr>
          <w:color w:val="231F20"/>
          <w:spacing w:val="-9"/>
          <w:w w:val="95"/>
        </w:rPr>
        <w:t xml:space="preserve"> </w:t>
      </w:r>
      <w:r>
        <w:rPr>
          <w:color w:val="231F20"/>
          <w:w w:val="95"/>
        </w:rPr>
        <w:t>the</w:t>
      </w:r>
      <w:r>
        <w:rPr>
          <w:color w:val="231F20"/>
          <w:spacing w:val="-9"/>
          <w:w w:val="95"/>
        </w:rPr>
        <w:t xml:space="preserve"> </w:t>
      </w:r>
      <w:r>
        <w:rPr>
          <w:color w:val="231F20"/>
          <w:w w:val="95"/>
        </w:rPr>
        <w:t>club</w:t>
      </w:r>
      <w:r>
        <w:rPr>
          <w:color w:val="231F20"/>
          <w:spacing w:val="-9"/>
          <w:w w:val="95"/>
        </w:rPr>
        <w:t xml:space="preserve"> </w:t>
      </w:r>
      <w:r>
        <w:rPr>
          <w:color w:val="231F20"/>
          <w:w w:val="95"/>
        </w:rPr>
        <w:t>spaces</w:t>
      </w:r>
      <w:r>
        <w:rPr>
          <w:color w:val="231F20"/>
          <w:spacing w:val="-10"/>
          <w:w w:val="95"/>
        </w:rPr>
        <w:t xml:space="preserve"> </w:t>
      </w:r>
      <w:r>
        <w:rPr>
          <w:color w:val="231F20"/>
          <w:w w:val="95"/>
        </w:rPr>
        <w:t>and</w:t>
      </w:r>
      <w:r>
        <w:rPr>
          <w:color w:val="231F20"/>
          <w:spacing w:val="-9"/>
          <w:w w:val="95"/>
        </w:rPr>
        <w:t xml:space="preserve"> </w:t>
      </w:r>
      <w:r>
        <w:rPr>
          <w:color w:val="231F20"/>
          <w:w w:val="95"/>
        </w:rPr>
        <w:t>are</w:t>
      </w:r>
      <w:r>
        <w:rPr>
          <w:color w:val="231F20"/>
          <w:spacing w:val="-9"/>
          <w:w w:val="95"/>
        </w:rPr>
        <w:t xml:space="preserve"> </w:t>
      </w:r>
      <w:r>
        <w:rPr>
          <w:color w:val="231F20"/>
          <w:w w:val="95"/>
        </w:rPr>
        <w:t>unfamiliar</w:t>
      </w:r>
      <w:r>
        <w:rPr>
          <w:color w:val="231F20"/>
          <w:spacing w:val="-9"/>
          <w:w w:val="95"/>
        </w:rPr>
        <w:t xml:space="preserve"> </w:t>
      </w:r>
      <w:r>
        <w:rPr>
          <w:color w:val="231F20"/>
          <w:w w:val="95"/>
        </w:rPr>
        <w:t xml:space="preserve">with </w:t>
      </w:r>
      <w:r>
        <w:rPr>
          <w:color w:val="231F20"/>
        </w:rPr>
        <w:t>many</w:t>
      </w:r>
      <w:r>
        <w:rPr>
          <w:color w:val="231F20"/>
          <w:spacing w:val="-6"/>
        </w:rPr>
        <w:t xml:space="preserve"> </w:t>
      </w:r>
      <w:r>
        <w:rPr>
          <w:color w:val="231F20"/>
        </w:rPr>
        <w:t>of</w:t>
      </w:r>
      <w:r>
        <w:rPr>
          <w:color w:val="231F20"/>
          <w:spacing w:val="5"/>
        </w:rPr>
        <w:t xml:space="preserve"> </w:t>
      </w:r>
      <w:r>
        <w:rPr>
          <w:color w:val="231F20"/>
        </w:rPr>
        <w:t>the</w:t>
      </w:r>
      <w:r>
        <w:rPr>
          <w:color w:val="231F20"/>
          <w:spacing w:val="-6"/>
        </w:rPr>
        <w:t xml:space="preserve"> </w:t>
      </w:r>
      <w:r>
        <w:rPr>
          <w:color w:val="231F20"/>
        </w:rPr>
        <w:t>symbols</w:t>
      </w:r>
      <w:r>
        <w:rPr>
          <w:color w:val="231F20"/>
          <w:spacing w:val="-6"/>
        </w:rPr>
        <w:t xml:space="preserve"> </w:t>
      </w:r>
      <w:r>
        <w:rPr>
          <w:color w:val="231F20"/>
        </w:rPr>
        <w:t>and</w:t>
      </w:r>
      <w:r>
        <w:rPr>
          <w:color w:val="231F20"/>
          <w:spacing w:val="-6"/>
        </w:rPr>
        <w:t xml:space="preserve"> </w:t>
      </w:r>
      <w:r>
        <w:rPr>
          <w:color w:val="231F20"/>
        </w:rPr>
        <w:t>songs.</w:t>
      </w:r>
      <w:r>
        <w:rPr>
          <w:color w:val="231F20"/>
          <w:spacing w:val="-5"/>
        </w:rPr>
        <w:t xml:space="preserve"> </w:t>
      </w:r>
      <w:r>
        <w:rPr>
          <w:color w:val="231F20"/>
        </w:rPr>
        <w:t>Everton</w:t>
      </w:r>
      <w:r>
        <w:rPr>
          <w:color w:val="231F20"/>
          <w:spacing w:val="-6"/>
        </w:rPr>
        <w:t xml:space="preserve"> </w:t>
      </w:r>
      <w:r>
        <w:rPr>
          <w:color w:val="231F20"/>
        </w:rPr>
        <w:t>FC’s</w:t>
      </w:r>
      <w:r>
        <w:rPr>
          <w:color w:val="231F20"/>
          <w:spacing w:val="-6"/>
        </w:rPr>
        <w:t xml:space="preserve"> </w:t>
      </w:r>
      <w:r>
        <w:rPr>
          <w:color w:val="231F20"/>
        </w:rPr>
        <w:t>fans,</w:t>
      </w:r>
      <w:r>
        <w:rPr>
          <w:color w:val="231F20"/>
          <w:spacing w:val="-6"/>
        </w:rPr>
        <w:t xml:space="preserve"> </w:t>
      </w:r>
      <w:r>
        <w:rPr>
          <w:color w:val="231F20"/>
        </w:rPr>
        <w:t>the</w:t>
      </w:r>
      <w:r>
        <w:rPr>
          <w:color w:val="231F20"/>
          <w:spacing w:val="-5"/>
        </w:rPr>
        <w:t xml:space="preserve"> </w:t>
      </w:r>
      <w:r>
        <w:rPr>
          <w:color w:val="231F20"/>
        </w:rPr>
        <w:t>cross-town</w:t>
      </w:r>
      <w:r>
        <w:rPr>
          <w:color w:val="231F20"/>
          <w:spacing w:val="-6"/>
        </w:rPr>
        <w:t xml:space="preserve"> </w:t>
      </w:r>
      <w:r>
        <w:rPr>
          <w:color w:val="231F20"/>
        </w:rPr>
        <w:t>EPL rivals</w:t>
      </w:r>
      <w:r>
        <w:rPr>
          <w:color w:val="231F20"/>
          <w:spacing w:val="3"/>
        </w:rPr>
        <w:t xml:space="preserve"> </w:t>
      </w:r>
      <w:r>
        <w:rPr>
          <w:color w:val="231F20"/>
        </w:rPr>
        <w:t>to</w:t>
      </w:r>
      <w:r>
        <w:rPr>
          <w:color w:val="231F20"/>
          <w:spacing w:val="3"/>
        </w:rPr>
        <w:t xml:space="preserve"> </w:t>
      </w:r>
      <w:r>
        <w:rPr>
          <w:color w:val="231F20"/>
        </w:rPr>
        <w:t>Liverpool</w:t>
      </w:r>
      <w:r>
        <w:rPr>
          <w:color w:val="231F20"/>
          <w:spacing w:val="3"/>
        </w:rPr>
        <w:t xml:space="preserve"> </w:t>
      </w:r>
      <w:r>
        <w:rPr>
          <w:color w:val="231F20"/>
        </w:rPr>
        <w:t>FC,</w:t>
      </w:r>
      <w:r>
        <w:rPr>
          <w:color w:val="231F20"/>
          <w:spacing w:val="4"/>
        </w:rPr>
        <w:t xml:space="preserve"> </w:t>
      </w:r>
      <w:r>
        <w:rPr>
          <w:color w:val="231F20"/>
        </w:rPr>
        <w:t>pride</w:t>
      </w:r>
      <w:r>
        <w:rPr>
          <w:color w:val="231F20"/>
          <w:spacing w:val="3"/>
        </w:rPr>
        <w:t xml:space="preserve"> </w:t>
      </w:r>
      <w:r>
        <w:rPr>
          <w:color w:val="231F20"/>
        </w:rPr>
        <w:t>themselves</w:t>
      </w:r>
      <w:r>
        <w:rPr>
          <w:color w:val="231F20"/>
          <w:spacing w:val="3"/>
        </w:rPr>
        <w:t xml:space="preserve"> </w:t>
      </w:r>
      <w:r>
        <w:rPr>
          <w:color w:val="231F20"/>
        </w:rPr>
        <w:t>on</w:t>
      </w:r>
      <w:r>
        <w:rPr>
          <w:color w:val="231F20"/>
          <w:spacing w:val="4"/>
        </w:rPr>
        <w:t xml:space="preserve"> </w:t>
      </w:r>
      <w:r>
        <w:rPr>
          <w:color w:val="231F20"/>
        </w:rPr>
        <w:t>their</w:t>
      </w:r>
      <w:r>
        <w:rPr>
          <w:color w:val="231F20"/>
          <w:spacing w:val="3"/>
        </w:rPr>
        <w:t xml:space="preserve"> </w:t>
      </w:r>
      <w:r>
        <w:rPr>
          <w:color w:val="231F20"/>
        </w:rPr>
        <w:t>‘localness’</w:t>
      </w:r>
      <w:r>
        <w:rPr>
          <w:color w:val="231F20"/>
          <w:spacing w:val="3"/>
        </w:rPr>
        <w:t xml:space="preserve"> </w:t>
      </w:r>
      <w:r>
        <w:rPr>
          <w:color w:val="231F20"/>
        </w:rPr>
        <w:t>and</w:t>
      </w:r>
      <w:r>
        <w:rPr>
          <w:color w:val="231F20"/>
          <w:spacing w:val="4"/>
        </w:rPr>
        <w:t xml:space="preserve"> </w:t>
      </w:r>
      <w:r>
        <w:rPr>
          <w:color w:val="231F20"/>
        </w:rPr>
        <w:t xml:space="preserve">mock </w:t>
      </w:r>
      <w:r>
        <w:rPr>
          <w:color w:val="231F20"/>
          <w:spacing w:val="-2"/>
        </w:rPr>
        <w:t>Liverpool FC’s larger contingent of</w:t>
      </w:r>
      <w:r>
        <w:rPr>
          <w:color w:val="231F20"/>
          <w:spacing w:val="10"/>
        </w:rPr>
        <w:t xml:space="preserve"> </w:t>
      </w:r>
      <w:r>
        <w:rPr>
          <w:color w:val="231F20"/>
          <w:spacing w:val="-2"/>
        </w:rPr>
        <w:t xml:space="preserve">tourist fans, although they are quite </w:t>
      </w:r>
      <w:r>
        <w:rPr>
          <w:color w:val="231F20"/>
        </w:rPr>
        <w:t>willing</w:t>
      </w:r>
      <w:r>
        <w:rPr>
          <w:color w:val="231F20"/>
          <w:spacing w:val="-10"/>
        </w:rPr>
        <w:t xml:space="preserve"> </w:t>
      </w:r>
      <w:r>
        <w:rPr>
          <w:color w:val="231F20"/>
        </w:rPr>
        <w:t>to</w:t>
      </w:r>
      <w:r>
        <w:rPr>
          <w:color w:val="231F20"/>
          <w:spacing w:val="-10"/>
        </w:rPr>
        <w:t xml:space="preserve"> </w:t>
      </w:r>
      <w:r>
        <w:rPr>
          <w:color w:val="231F20"/>
        </w:rPr>
        <w:t>accept</w:t>
      </w:r>
      <w:r>
        <w:rPr>
          <w:color w:val="231F20"/>
          <w:spacing w:val="-10"/>
        </w:rPr>
        <w:t xml:space="preserve"> </w:t>
      </w:r>
      <w:r>
        <w:rPr>
          <w:color w:val="231F20"/>
        </w:rPr>
        <w:t>non-locals</w:t>
      </w:r>
      <w:r>
        <w:rPr>
          <w:color w:val="231F20"/>
          <w:spacing w:val="-10"/>
        </w:rPr>
        <w:t xml:space="preserve"> </w:t>
      </w:r>
      <w:r>
        <w:rPr>
          <w:color w:val="231F20"/>
        </w:rPr>
        <w:t>into</w:t>
      </w:r>
      <w:r>
        <w:rPr>
          <w:color w:val="231F20"/>
          <w:spacing w:val="-10"/>
        </w:rPr>
        <w:t xml:space="preserve"> </w:t>
      </w:r>
      <w:r>
        <w:rPr>
          <w:color w:val="231F20"/>
        </w:rPr>
        <w:t>their</w:t>
      </w:r>
      <w:r>
        <w:rPr>
          <w:color w:val="231F20"/>
          <w:spacing w:val="-10"/>
        </w:rPr>
        <w:t xml:space="preserve"> </w:t>
      </w:r>
      <w:r>
        <w:rPr>
          <w:color w:val="231F20"/>
        </w:rPr>
        <w:t>own</w:t>
      </w:r>
      <w:r>
        <w:rPr>
          <w:color w:val="231F20"/>
          <w:spacing w:val="-10"/>
        </w:rPr>
        <w:t xml:space="preserve"> </w:t>
      </w:r>
      <w:r>
        <w:rPr>
          <w:color w:val="231F20"/>
        </w:rPr>
        <w:t>fold.</w:t>
      </w:r>
      <w:r>
        <w:rPr>
          <w:color w:val="231F20"/>
          <w:spacing w:val="-10"/>
        </w:rPr>
        <w:t xml:space="preserve"> </w:t>
      </w:r>
      <w:r>
        <w:rPr>
          <w:color w:val="231F20"/>
        </w:rPr>
        <w:t>But</w:t>
      </w:r>
      <w:r>
        <w:rPr>
          <w:color w:val="231F20"/>
          <w:spacing w:val="-10"/>
        </w:rPr>
        <w:t xml:space="preserve"> </w:t>
      </w:r>
      <w:r>
        <w:rPr>
          <w:color w:val="231F20"/>
        </w:rPr>
        <w:t>growing</w:t>
      </w:r>
      <w:r>
        <w:rPr>
          <w:color w:val="231F20"/>
          <w:spacing w:val="-10"/>
        </w:rPr>
        <w:t xml:space="preserve"> </w:t>
      </w:r>
      <w:r>
        <w:rPr>
          <w:color w:val="231F20"/>
        </w:rPr>
        <w:t>a</w:t>
      </w:r>
      <w:r>
        <w:rPr>
          <w:color w:val="231F20"/>
          <w:spacing w:val="-10"/>
        </w:rPr>
        <w:t xml:space="preserve"> </w:t>
      </w:r>
      <w:r>
        <w:rPr>
          <w:color w:val="231F20"/>
        </w:rPr>
        <w:t>legion</w:t>
      </w:r>
      <w:r>
        <w:rPr>
          <w:color w:val="231F20"/>
          <w:spacing w:val="-10"/>
        </w:rPr>
        <w:t xml:space="preserve"> </w:t>
      </w:r>
      <w:r>
        <w:rPr>
          <w:color w:val="231F20"/>
        </w:rPr>
        <w:t xml:space="preserve">of </w:t>
      </w:r>
      <w:r>
        <w:rPr>
          <w:color w:val="231F20"/>
          <w:spacing w:val="-2"/>
          <w:w w:val="95"/>
        </w:rPr>
        <w:t xml:space="preserve">foreign fans directly threatens regular supporters’ access to matches (Kerr </w:t>
      </w:r>
      <w:r>
        <w:rPr>
          <w:color w:val="231F20"/>
        </w:rPr>
        <w:t>&amp;</w:t>
      </w:r>
      <w:r>
        <w:rPr>
          <w:color w:val="231F20"/>
          <w:spacing w:val="-8"/>
        </w:rPr>
        <w:t xml:space="preserve"> </w:t>
      </w:r>
      <w:r>
        <w:rPr>
          <w:color w:val="231F20"/>
        </w:rPr>
        <w:t>Emery,</w:t>
      </w:r>
      <w:r>
        <w:rPr>
          <w:color w:val="231F20"/>
          <w:spacing w:val="-8"/>
        </w:rPr>
        <w:t xml:space="preserve"> </w:t>
      </w:r>
      <w:r>
        <w:rPr>
          <w:color w:val="231F20"/>
        </w:rPr>
        <w:t>2011).</w:t>
      </w:r>
      <w:r>
        <w:rPr>
          <w:color w:val="231F20"/>
          <w:spacing w:val="-8"/>
        </w:rPr>
        <w:t xml:space="preserve"> </w:t>
      </w:r>
      <w:r>
        <w:rPr>
          <w:color w:val="231F20"/>
        </w:rPr>
        <w:t>Access</w:t>
      </w:r>
      <w:r>
        <w:rPr>
          <w:color w:val="231F20"/>
          <w:spacing w:val="-7"/>
        </w:rPr>
        <w:t xml:space="preserve"> </w:t>
      </w:r>
      <w:r>
        <w:rPr>
          <w:color w:val="231F20"/>
        </w:rPr>
        <w:t>for</w:t>
      </w:r>
      <w:r>
        <w:rPr>
          <w:color w:val="231F20"/>
          <w:spacing w:val="-8"/>
        </w:rPr>
        <w:t xml:space="preserve"> </w:t>
      </w:r>
      <w:r>
        <w:rPr>
          <w:color w:val="231F20"/>
        </w:rPr>
        <w:t>local</w:t>
      </w:r>
      <w:r>
        <w:rPr>
          <w:color w:val="231F20"/>
          <w:spacing w:val="-8"/>
        </w:rPr>
        <w:t xml:space="preserve"> </w:t>
      </w:r>
      <w:r>
        <w:rPr>
          <w:color w:val="231F20"/>
        </w:rPr>
        <w:t>fans</w:t>
      </w:r>
      <w:r>
        <w:rPr>
          <w:color w:val="231F20"/>
          <w:spacing w:val="-8"/>
        </w:rPr>
        <w:t xml:space="preserve"> </w:t>
      </w:r>
      <w:r>
        <w:rPr>
          <w:color w:val="231F20"/>
        </w:rPr>
        <w:t>is</w:t>
      </w:r>
      <w:r>
        <w:rPr>
          <w:color w:val="231F20"/>
          <w:spacing w:val="-7"/>
        </w:rPr>
        <w:t xml:space="preserve"> </w:t>
      </w:r>
      <w:r>
        <w:rPr>
          <w:color w:val="231F20"/>
        </w:rPr>
        <w:t>important</w:t>
      </w:r>
      <w:r>
        <w:rPr>
          <w:color w:val="231F20"/>
          <w:spacing w:val="-8"/>
        </w:rPr>
        <w:t xml:space="preserve"> </w:t>
      </w:r>
      <w:r>
        <w:rPr>
          <w:color w:val="231F20"/>
        </w:rPr>
        <w:t>for</w:t>
      </w:r>
      <w:r>
        <w:rPr>
          <w:color w:val="231F20"/>
          <w:spacing w:val="-8"/>
        </w:rPr>
        <w:t xml:space="preserve"> </w:t>
      </w:r>
      <w:r>
        <w:rPr>
          <w:color w:val="231F20"/>
        </w:rPr>
        <w:t>the</w:t>
      </w:r>
      <w:r>
        <w:rPr>
          <w:color w:val="231F20"/>
          <w:spacing w:val="-8"/>
        </w:rPr>
        <w:t xml:space="preserve"> </w:t>
      </w:r>
      <w:r>
        <w:rPr>
          <w:color w:val="231F20"/>
        </w:rPr>
        <w:t xml:space="preserve">participatory </w:t>
      </w:r>
      <w:r>
        <w:rPr>
          <w:color w:val="231F20"/>
          <w:spacing w:val="-2"/>
        </w:rPr>
        <w:t>aspects of</w:t>
      </w:r>
      <w:r>
        <w:rPr>
          <w:color w:val="231F20"/>
          <w:spacing w:val="14"/>
        </w:rPr>
        <w:t xml:space="preserve"> </w:t>
      </w:r>
      <w:r>
        <w:rPr>
          <w:color w:val="231F20"/>
          <w:spacing w:val="-2"/>
        </w:rPr>
        <w:t xml:space="preserve">fandom; through noise and visual display, local fans have an </w:t>
      </w:r>
      <w:r>
        <w:rPr>
          <w:color w:val="231F20"/>
        </w:rPr>
        <w:t>affective influence</w:t>
      </w:r>
      <w:r>
        <w:rPr>
          <w:color w:val="231F20"/>
          <w:spacing w:val="1"/>
        </w:rPr>
        <w:t xml:space="preserve"> </w:t>
      </w:r>
      <w:r>
        <w:rPr>
          <w:color w:val="231F20"/>
        </w:rPr>
        <w:t>on</w:t>
      </w:r>
      <w:r>
        <w:rPr>
          <w:color w:val="231F20"/>
          <w:spacing w:val="1"/>
        </w:rPr>
        <w:t xml:space="preserve"> </w:t>
      </w:r>
      <w:r>
        <w:rPr>
          <w:color w:val="231F20"/>
        </w:rPr>
        <w:t>other fans</w:t>
      </w:r>
      <w:r>
        <w:rPr>
          <w:color w:val="231F20"/>
          <w:spacing w:val="1"/>
        </w:rPr>
        <w:t xml:space="preserve"> </w:t>
      </w:r>
      <w:r>
        <w:rPr>
          <w:color w:val="231F20"/>
        </w:rPr>
        <w:t>a</w:t>
      </w:r>
      <w:r>
        <w:rPr>
          <w:color w:val="231F20"/>
        </w:rPr>
        <w:t>nd</w:t>
      </w:r>
      <w:r>
        <w:rPr>
          <w:color w:val="231F20"/>
          <w:spacing w:val="1"/>
        </w:rPr>
        <w:t xml:space="preserve"> </w:t>
      </w:r>
      <w:r>
        <w:rPr>
          <w:color w:val="231F20"/>
        </w:rPr>
        <w:t>the</w:t>
      </w:r>
      <w:r>
        <w:rPr>
          <w:color w:val="231F20"/>
          <w:spacing w:val="1"/>
        </w:rPr>
        <w:t xml:space="preserve"> </w:t>
      </w:r>
      <w:r>
        <w:rPr>
          <w:color w:val="231F20"/>
        </w:rPr>
        <w:t>club. Therefore,</w:t>
      </w:r>
      <w:r>
        <w:rPr>
          <w:color w:val="231F20"/>
          <w:spacing w:val="1"/>
        </w:rPr>
        <w:t xml:space="preserve"> </w:t>
      </w:r>
      <w:r>
        <w:rPr>
          <w:color w:val="231F20"/>
        </w:rPr>
        <w:t>a</w:t>
      </w:r>
      <w:r>
        <w:rPr>
          <w:color w:val="231F20"/>
          <w:spacing w:val="1"/>
        </w:rPr>
        <w:t xml:space="preserve"> </w:t>
      </w:r>
      <w:r>
        <w:rPr>
          <w:color w:val="231F20"/>
        </w:rPr>
        <w:t xml:space="preserve">member of </w:t>
      </w:r>
      <w:r>
        <w:rPr>
          <w:color w:val="231F20"/>
          <w:w w:val="95"/>
        </w:rPr>
        <w:t>‘LFC Supporters in Toronto’ has different expectations and expressions</w:t>
      </w:r>
      <w:r>
        <w:rPr>
          <w:color w:val="231F20"/>
          <w:spacing w:val="80"/>
        </w:rPr>
        <w:t xml:space="preserve"> </w:t>
      </w:r>
      <w:r>
        <w:rPr>
          <w:color w:val="231F20"/>
          <w:w w:val="95"/>
        </w:rPr>
        <w:t>of</w:t>
      </w:r>
      <w:r>
        <w:rPr>
          <w:color w:val="231F20"/>
        </w:rPr>
        <w:t xml:space="preserve"> </w:t>
      </w:r>
      <w:r>
        <w:rPr>
          <w:color w:val="231F20"/>
          <w:w w:val="95"/>
        </w:rPr>
        <w:t>support</w:t>
      </w:r>
      <w:r>
        <w:rPr>
          <w:color w:val="231F20"/>
          <w:spacing w:val="-3"/>
          <w:w w:val="95"/>
        </w:rPr>
        <w:t xml:space="preserve"> </w:t>
      </w:r>
      <w:r>
        <w:rPr>
          <w:color w:val="231F20"/>
          <w:w w:val="95"/>
        </w:rPr>
        <w:t>for</w:t>
      </w:r>
      <w:r>
        <w:rPr>
          <w:color w:val="231F20"/>
          <w:spacing w:val="-3"/>
          <w:w w:val="95"/>
        </w:rPr>
        <w:t xml:space="preserve"> </w:t>
      </w:r>
      <w:r>
        <w:rPr>
          <w:color w:val="231F20"/>
          <w:w w:val="95"/>
        </w:rPr>
        <w:t>the</w:t>
      </w:r>
      <w:r>
        <w:rPr>
          <w:color w:val="231F20"/>
          <w:spacing w:val="-3"/>
          <w:w w:val="95"/>
        </w:rPr>
        <w:t xml:space="preserve"> </w:t>
      </w:r>
      <w:r>
        <w:rPr>
          <w:color w:val="231F20"/>
          <w:w w:val="95"/>
        </w:rPr>
        <w:t>club</w:t>
      </w:r>
      <w:r>
        <w:rPr>
          <w:color w:val="231F20"/>
          <w:spacing w:val="-3"/>
          <w:w w:val="95"/>
        </w:rPr>
        <w:t xml:space="preserve"> </w:t>
      </w:r>
      <w:r>
        <w:rPr>
          <w:color w:val="231F20"/>
          <w:w w:val="95"/>
        </w:rPr>
        <w:t>than</w:t>
      </w:r>
      <w:r>
        <w:rPr>
          <w:color w:val="231F20"/>
          <w:spacing w:val="-3"/>
          <w:w w:val="95"/>
        </w:rPr>
        <w:t xml:space="preserve"> </w:t>
      </w:r>
      <w:r>
        <w:rPr>
          <w:color w:val="231F20"/>
          <w:w w:val="95"/>
        </w:rPr>
        <w:t>a</w:t>
      </w:r>
      <w:r>
        <w:rPr>
          <w:color w:val="231F20"/>
          <w:spacing w:val="-3"/>
          <w:w w:val="95"/>
        </w:rPr>
        <w:t xml:space="preserve"> </w:t>
      </w:r>
      <w:r>
        <w:rPr>
          <w:color w:val="231F20"/>
          <w:w w:val="95"/>
        </w:rPr>
        <w:t>member</w:t>
      </w:r>
      <w:r>
        <w:rPr>
          <w:color w:val="231F20"/>
          <w:spacing w:val="-3"/>
          <w:w w:val="95"/>
        </w:rPr>
        <w:t xml:space="preserve"> </w:t>
      </w:r>
      <w:r>
        <w:rPr>
          <w:color w:val="231F20"/>
          <w:w w:val="95"/>
        </w:rPr>
        <w:t>of</w:t>
      </w:r>
      <w:r>
        <w:rPr>
          <w:color w:val="231F20"/>
        </w:rPr>
        <w:t xml:space="preserve"> </w:t>
      </w:r>
      <w:r>
        <w:rPr>
          <w:color w:val="231F20"/>
          <w:w w:val="95"/>
        </w:rPr>
        <w:t>‘Keep</w:t>
      </w:r>
      <w:r>
        <w:rPr>
          <w:color w:val="231F20"/>
          <w:spacing w:val="-3"/>
          <w:w w:val="95"/>
        </w:rPr>
        <w:t xml:space="preserve"> </w:t>
      </w:r>
      <w:r>
        <w:rPr>
          <w:color w:val="231F20"/>
          <w:w w:val="95"/>
        </w:rPr>
        <w:t>Flags</w:t>
      </w:r>
      <w:r>
        <w:rPr>
          <w:color w:val="231F20"/>
          <w:spacing w:val="-3"/>
          <w:w w:val="95"/>
        </w:rPr>
        <w:t xml:space="preserve"> </w:t>
      </w:r>
      <w:r>
        <w:rPr>
          <w:color w:val="231F20"/>
          <w:w w:val="95"/>
        </w:rPr>
        <w:t>Scouse’,</w:t>
      </w:r>
      <w:r>
        <w:rPr>
          <w:color w:val="231F20"/>
          <w:spacing w:val="-3"/>
          <w:w w:val="95"/>
        </w:rPr>
        <w:t xml:space="preserve"> </w:t>
      </w:r>
      <w:r>
        <w:rPr>
          <w:color w:val="231F20"/>
          <w:w w:val="95"/>
        </w:rPr>
        <w:t>even</w:t>
      </w:r>
      <w:r>
        <w:rPr>
          <w:color w:val="231F20"/>
          <w:spacing w:val="-3"/>
          <w:w w:val="95"/>
        </w:rPr>
        <w:t xml:space="preserve"> </w:t>
      </w:r>
      <w:r>
        <w:rPr>
          <w:color w:val="231F20"/>
          <w:w w:val="95"/>
        </w:rPr>
        <w:t>if</w:t>
      </w:r>
      <w:r>
        <w:rPr>
          <w:color w:val="231F20"/>
        </w:rPr>
        <w:t xml:space="preserve"> </w:t>
      </w:r>
      <w:r>
        <w:rPr>
          <w:color w:val="231F20"/>
          <w:w w:val="95"/>
        </w:rPr>
        <w:t xml:space="preserve">they share a common interest in supporting Liverpool FC. Self-awareness of their own agency is encouraging some supporter groups to increasingly organise and regulate their own actions. Informal surveillance and self- </w:t>
      </w:r>
      <w:r>
        <w:rPr>
          <w:color w:val="231F20"/>
        </w:rPr>
        <w:t>policing</w:t>
      </w:r>
      <w:r>
        <w:rPr>
          <w:color w:val="231F20"/>
          <w:spacing w:val="31"/>
        </w:rPr>
        <w:t xml:space="preserve"> </w:t>
      </w:r>
      <w:r>
        <w:rPr>
          <w:color w:val="231F20"/>
        </w:rPr>
        <w:t>in</w:t>
      </w:r>
      <w:r>
        <w:rPr>
          <w:color w:val="231F20"/>
          <w:spacing w:val="32"/>
        </w:rPr>
        <w:t xml:space="preserve"> </w:t>
      </w:r>
      <w:r>
        <w:rPr>
          <w:color w:val="231F20"/>
        </w:rPr>
        <w:t>the</w:t>
      </w:r>
      <w:r>
        <w:rPr>
          <w:color w:val="231F20"/>
          <w:spacing w:val="31"/>
        </w:rPr>
        <w:t xml:space="preserve"> </w:t>
      </w:r>
      <w:r>
        <w:rPr>
          <w:color w:val="231F20"/>
        </w:rPr>
        <w:t>stands</w:t>
      </w:r>
      <w:r>
        <w:rPr>
          <w:color w:val="231F20"/>
          <w:spacing w:val="32"/>
        </w:rPr>
        <w:t xml:space="preserve"> </w:t>
      </w:r>
      <w:r>
        <w:rPr>
          <w:color w:val="231F20"/>
        </w:rPr>
        <w:t>encourage</w:t>
      </w:r>
      <w:r>
        <w:rPr>
          <w:color w:val="231F20"/>
          <w:spacing w:val="31"/>
        </w:rPr>
        <w:t xml:space="preserve"> </w:t>
      </w:r>
      <w:r>
        <w:rPr>
          <w:color w:val="231F20"/>
        </w:rPr>
        <w:t>parti</w:t>
      </w:r>
      <w:r>
        <w:rPr>
          <w:color w:val="231F20"/>
        </w:rPr>
        <w:t>cular</w:t>
      </w:r>
      <w:r>
        <w:rPr>
          <w:color w:val="231F20"/>
          <w:spacing w:val="32"/>
        </w:rPr>
        <w:t xml:space="preserve"> </w:t>
      </w:r>
      <w:r>
        <w:rPr>
          <w:color w:val="231F20"/>
        </w:rPr>
        <w:t>modes</w:t>
      </w:r>
      <w:r>
        <w:rPr>
          <w:color w:val="231F20"/>
          <w:spacing w:val="31"/>
        </w:rPr>
        <w:t xml:space="preserve"> </w:t>
      </w:r>
      <w:r>
        <w:rPr>
          <w:color w:val="231F20"/>
        </w:rPr>
        <w:t>of</w:t>
      </w:r>
      <w:r>
        <w:rPr>
          <w:color w:val="231F20"/>
          <w:spacing w:val="43"/>
        </w:rPr>
        <w:t xml:space="preserve"> </w:t>
      </w:r>
      <w:r>
        <w:rPr>
          <w:color w:val="231F20"/>
        </w:rPr>
        <w:t>behaviour</w:t>
      </w:r>
      <w:r>
        <w:rPr>
          <w:color w:val="231F20"/>
          <w:spacing w:val="32"/>
        </w:rPr>
        <w:t xml:space="preserve"> </w:t>
      </w:r>
      <w:r>
        <w:rPr>
          <w:color w:val="231F20"/>
          <w:spacing w:val="-5"/>
        </w:rPr>
        <w:t>by</w:t>
      </w:r>
    </w:p>
    <w:p w14:paraId="35EF95FB" w14:textId="77777777" w:rsidR="00AE0598" w:rsidRDefault="0069255A">
      <w:pPr>
        <w:pStyle w:val="Corpodetexto"/>
        <w:spacing w:before="27" w:line="243" w:lineRule="exact"/>
        <w:ind w:left="223"/>
        <w:jc w:val="both"/>
      </w:pPr>
      <w:r>
        <w:rPr>
          <w:color w:val="231F20"/>
          <w:w w:val="95"/>
        </w:rPr>
        <w:t>supporters</w:t>
      </w:r>
      <w:r>
        <w:rPr>
          <w:color w:val="231F20"/>
          <w:spacing w:val="2"/>
        </w:rPr>
        <w:t xml:space="preserve"> </w:t>
      </w:r>
      <w:r>
        <w:rPr>
          <w:color w:val="231F20"/>
          <w:w w:val="95"/>
        </w:rPr>
        <w:t>in</w:t>
      </w:r>
      <w:r>
        <w:rPr>
          <w:color w:val="231F20"/>
          <w:spacing w:val="2"/>
        </w:rPr>
        <w:t xml:space="preserve"> </w:t>
      </w:r>
      <w:r>
        <w:rPr>
          <w:color w:val="231F20"/>
          <w:w w:val="95"/>
        </w:rPr>
        <w:t>different</w:t>
      </w:r>
      <w:r>
        <w:rPr>
          <w:color w:val="231F20"/>
          <w:spacing w:val="2"/>
        </w:rPr>
        <w:t xml:space="preserve"> </w:t>
      </w:r>
      <w:r>
        <w:rPr>
          <w:color w:val="231F20"/>
          <w:w w:val="95"/>
        </w:rPr>
        <w:t>sections</w:t>
      </w:r>
      <w:r>
        <w:rPr>
          <w:color w:val="231F20"/>
          <w:spacing w:val="2"/>
        </w:rPr>
        <w:t xml:space="preserve"> </w:t>
      </w:r>
      <w:r>
        <w:rPr>
          <w:color w:val="231F20"/>
          <w:w w:val="95"/>
        </w:rPr>
        <w:t>of</w:t>
      </w:r>
      <w:r>
        <w:rPr>
          <w:color w:val="231F20"/>
          <w:spacing w:val="18"/>
        </w:rPr>
        <w:t xml:space="preserve"> </w:t>
      </w:r>
      <w:r>
        <w:rPr>
          <w:color w:val="231F20"/>
          <w:w w:val="95"/>
        </w:rPr>
        <w:t>the</w:t>
      </w:r>
      <w:r>
        <w:rPr>
          <w:color w:val="231F20"/>
          <w:spacing w:val="2"/>
        </w:rPr>
        <w:t xml:space="preserve"> </w:t>
      </w:r>
      <w:r>
        <w:rPr>
          <w:color w:val="231F20"/>
          <w:w w:val="95"/>
        </w:rPr>
        <w:t>stands</w:t>
      </w:r>
      <w:r>
        <w:rPr>
          <w:color w:val="231F20"/>
          <w:spacing w:val="2"/>
        </w:rPr>
        <w:t xml:space="preserve"> </w:t>
      </w:r>
      <w:r>
        <w:rPr>
          <w:color w:val="231F20"/>
          <w:w w:val="95"/>
        </w:rPr>
        <w:t>(Dixon,</w:t>
      </w:r>
      <w:r>
        <w:rPr>
          <w:color w:val="231F20"/>
          <w:spacing w:val="3"/>
        </w:rPr>
        <w:t xml:space="preserve"> </w:t>
      </w:r>
      <w:r>
        <w:rPr>
          <w:color w:val="231F20"/>
          <w:spacing w:val="-2"/>
          <w:w w:val="95"/>
        </w:rPr>
        <w:t>2014).</w:t>
      </w:r>
    </w:p>
    <w:p w14:paraId="43598FEE" w14:textId="77777777" w:rsidR="00AE0598" w:rsidRDefault="0069255A">
      <w:pPr>
        <w:pStyle w:val="Corpodetexto"/>
        <w:spacing w:before="3" w:line="232" w:lineRule="auto"/>
        <w:ind w:left="223" w:right="239" w:firstLine="320"/>
        <w:jc w:val="both"/>
      </w:pPr>
      <w:r>
        <w:rPr>
          <w:color w:val="231F20"/>
        </w:rPr>
        <w:t>The practices of fans take on a particular spatial structure. How fans</w:t>
      </w:r>
      <w:r>
        <w:rPr>
          <w:color w:val="231F20"/>
          <w:spacing w:val="-5"/>
        </w:rPr>
        <w:t xml:space="preserve"> </w:t>
      </w:r>
      <w:r>
        <w:rPr>
          <w:color w:val="231F20"/>
        </w:rPr>
        <w:t>shape</w:t>
      </w:r>
      <w:r>
        <w:rPr>
          <w:color w:val="231F20"/>
          <w:spacing w:val="-5"/>
        </w:rPr>
        <w:t xml:space="preserve"> </w:t>
      </w:r>
      <w:r>
        <w:rPr>
          <w:color w:val="231F20"/>
        </w:rPr>
        <w:t>and</w:t>
      </w:r>
      <w:r>
        <w:rPr>
          <w:color w:val="231F20"/>
          <w:spacing w:val="-5"/>
        </w:rPr>
        <w:t xml:space="preserve"> </w:t>
      </w:r>
      <w:r>
        <w:rPr>
          <w:color w:val="231F20"/>
        </w:rPr>
        <w:t>occupy</w:t>
      </w:r>
      <w:r>
        <w:rPr>
          <w:color w:val="231F20"/>
          <w:spacing w:val="-5"/>
        </w:rPr>
        <w:t xml:space="preserve"> </w:t>
      </w:r>
      <w:r>
        <w:rPr>
          <w:color w:val="231F20"/>
        </w:rPr>
        <w:t>football</w:t>
      </w:r>
      <w:r>
        <w:rPr>
          <w:color w:val="231F20"/>
          <w:spacing w:val="-5"/>
        </w:rPr>
        <w:t xml:space="preserve"> </w:t>
      </w:r>
      <w:r>
        <w:rPr>
          <w:color w:val="231F20"/>
        </w:rPr>
        <w:t>space</w:t>
      </w:r>
      <w:r>
        <w:rPr>
          <w:color w:val="231F20"/>
          <w:spacing w:val="-5"/>
        </w:rPr>
        <w:t xml:space="preserve"> </w:t>
      </w:r>
      <w:r>
        <w:rPr>
          <w:color w:val="231F20"/>
        </w:rPr>
        <w:t>is</w:t>
      </w:r>
      <w:r>
        <w:rPr>
          <w:color w:val="231F20"/>
          <w:spacing w:val="-5"/>
        </w:rPr>
        <w:t xml:space="preserve"> </w:t>
      </w:r>
      <w:r>
        <w:rPr>
          <w:color w:val="231F20"/>
        </w:rPr>
        <w:t>not</w:t>
      </w:r>
      <w:r>
        <w:rPr>
          <w:color w:val="231F20"/>
          <w:spacing w:val="-5"/>
        </w:rPr>
        <w:t xml:space="preserve"> </w:t>
      </w:r>
      <w:r>
        <w:rPr>
          <w:color w:val="231F20"/>
        </w:rPr>
        <w:t>the</w:t>
      </w:r>
      <w:r>
        <w:rPr>
          <w:color w:val="231F20"/>
          <w:spacing w:val="-5"/>
        </w:rPr>
        <w:t xml:space="preserve"> </w:t>
      </w:r>
      <w:r>
        <w:rPr>
          <w:color w:val="231F20"/>
        </w:rPr>
        <w:t>only</w:t>
      </w:r>
      <w:r>
        <w:rPr>
          <w:color w:val="231F20"/>
          <w:spacing w:val="-5"/>
        </w:rPr>
        <w:t xml:space="preserve"> </w:t>
      </w:r>
      <w:r>
        <w:rPr>
          <w:color w:val="231F20"/>
        </w:rPr>
        <w:t>dimension</w:t>
      </w:r>
      <w:r>
        <w:rPr>
          <w:color w:val="231F20"/>
          <w:spacing w:val="-5"/>
        </w:rPr>
        <w:t xml:space="preserve"> </w:t>
      </w:r>
      <w:r>
        <w:rPr>
          <w:color w:val="231F20"/>
        </w:rPr>
        <w:t>of</w:t>
      </w:r>
      <w:r>
        <w:rPr>
          <w:color w:val="231F20"/>
          <w:spacing w:val="-5"/>
        </w:rPr>
        <w:t xml:space="preserve"> </w:t>
      </w:r>
      <w:r>
        <w:rPr>
          <w:color w:val="231F20"/>
        </w:rPr>
        <w:t>how that</w:t>
      </w:r>
      <w:r>
        <w:rPr>
          <w:color w:val="231F20"/>
          <w:spacing w:val="-9"/>
        </w:rPr>
        <w:t xml:space="preserve"> </w:t>
      </w:r>
      <w:r>
        <w:rPr>
          <w:color w:val="231F20"/>
        </w:rPr>
        <w:t>space</w:t>
      </w:r>
      <w:r>
        <w:rPr>
          <w:color w:val="231F20"/>
          <w:spacing w:val="-9"/>
        </w:rPr>
        <w:t xml:space="preserve"> </w:t>
      </w:r>
      <w:r>
        <w:rPr>
          <w:color w:val="231F20"/>
        </w:rPr>
        <w:t>is</w:t>
      </w:r>
      <w:r>
        <w:rPr>
          <w:color w:val="231F20"/>
          <w:spacing w:val="-9"/>
        </w:rPr>
        <w:t xml:space="preserve"> </w:t>
      </w:r>
      <w:r>
        <w:rPr>
          <w:color w:val="231F20"/>
        </w:rPr>
        <w:t>socially</w:t>
      </w:r>
      <w:r>
        <w:rPr>
          <w:color w:val="231F20"/>
          <w:spacing w:val="-9"/>
        </w:rPr>
        <w:t xml:space="preserve"> </w:t>
      </w:r>
      <w:r>
        <w:rPr>
          <w:color w:val="231F20"/>
        </w:rPr>
        <w:t>produced.</w:t>
      </w:r>
      <w:r>
        <w:rPr>
          <w:color w:val="231F20"/>
          <w:spacing w:val="-9"/>
        </w:rPr>
        <w:t xml:space="preserve"> </w:t>
      </w:r>
      <w:r>
        <w:rPr>
          <w:color w:val="231F20"/>
        </w:rPr>
        <w:t>In</w:t>
      </w:r>
      <w:r>
        <w:rPr>
          <w:color w:val="231F20"/>
          <w:spacing w:val="-9"/>
        </w:rPr>
        <w:t xml:space="preserve"> </w:t>
      </w:r>
      <w:r>
        <w:rPr>
          <w:color w:val="231F20"/>
        </w:rPr>
        <w:t>Liverpool,</w:t>
      </w:r>
      <w:r>
        <w:rPr>
          <w:color w:val="231F20"/>
          <w:spacing w:val="-9"/>
        </w:rPr>
        <w:t xml:space="preserve"> </w:t>
      </w:r>
      <w:r>
        <w:rPr>
          <w:color w:val="231F20"/>
        </w:rPr>
        <w:t>this</w:t>
      </w:r>
      <w:r>
        <w:rPr>
          <w:color w:val="231F20"/>
          <w:spacing w:val="-9"/>
        </w:rPr>
        <w:t xml:space="preserve"> </w:t>
      </w:r>
      <w:r>
        <w:rPr>
          <w:color w:val="231F20"/>
        </w:rPr>
        <w:t>organising</w:t>
      </w:r>
      <w:r>
        <w:rPr>
          <w:color w:val="231F20"/>
          <w:spacing w:val="-9"/>
        </w:rPr>
        <w:t xml:space="preserve"> </w:t>
      </w:r>
      <w:r>
        <w:rPr>
          <w:color w:val="231F20"/>
        </w:rPr>
        <w:t>of</w:t>
      </w:r>
      <w:r>
        <w:rPr>
          <w:color w:val="231F20"/>
          <w:spacing w:val="-9"/>
        </w:rPr>
        <w:t xml:space="preserve"> </w:t>
      </w:r>
      <w:r>
        <w:rPr>
          <w:color w:val="231F20"/>
        </w:rPr>
        <w:t>football space is becoming critical because the sport is no longer seen as just an</w:t>
      </w:r>
      <w:r>
        <w:rPr>
          <w:color w:val="231F20"/>
          <w:spacing w:val="25"/>
        </w:rPr>
        <w:t xml:space="preserve"> </w:t>
      </w:r>
      <w:r>
        <w:rPr>
          <w:color w:val="231F20"/>
        </w:rPr>
        <w:t>amusing</w:t>
      </w:r>
      <w:r>
        <w:rPr>
          <w:color w:val="231F20"/>
          <w:spacing w:val="24"/>
        </w:rPr>
        <w:t xml:space="preserve"> </w:t>
      </w:r>
      <w:r>
        <w:rPr>
          <w:color w:val="231F20"/>
        </w:rPr>
        <w:t>pastime,</w:t>
      </w:r>
      <w:r>
        <w:rPr>
          <w:color w:val="231F20"/>
          <w:spacing w:val="25"/>
        </w:rPr>
        <w:t xml:space="preserve"> </w:t>
      </w:r>
      <w:r>
        <w:rPr>
          <w:color w:val="231F20"/>
        </w:rPr>
        <w:t>but</w:t>
      </w:r>
      <w:r>
        <w:rPr>
          <w:color w:val="231F20"/>
          <w:spacing w:val="24"/>
        </w:rPr>
        <w:t xml:space="preserve"> </w:t>
      </w:r>
      <w:r>
        <w:rPr>
          <w:color w:val="231F20"/>
        </w:rPr>
        <w:t>a</w:t>
      </w:r>
      <w:r>
        <w:rPr>
          <w:color w:val="231F20"/>
          <w:spacing w:val="25"/>
        </w:rPr>
        <w:t xml:space="preserve"> </w:t>
      </w:r>
      <w:r>
        <w:rPr>
          <w:color w:val="231F20"/>
        </w:rPr>
        <w:t>key</w:t>
      </w:r>
      <w:r>
        <w:rPr>
          <w:color w:val="231F20"/>
          <w:spacing w:val="24"/>
        </w:rPr>
        <w:t xml:space="preserve"> </w:t>
      </w:r>
      <w:r>
        <w:rPr>
          <w:color w:val="231F20"/>
        </w:rPr>
        <w:t>plank</w:t>
      </w:r>
      <w:r>
        <w:rPr>
          <w:color w:val="231F20"/>
          <w:spacing w:val="25"/>
        </w:rPr>
        <w:t xml:space="preserve"> </w:t>
      </w:r>
      <w:r>
        <w:rPr>
          <w:color w:val="231F20"/>
        </w:rPr>
        <w:t>of</w:t>
      </w:r>
      <w:r>
        <w:rPr>
          <w:color w:val="231F20"/>
          <w:spacing w:val="24"/>
        </w:rPr>
        <w:t xml:space="preserve"> </w:t>
      </w:r>
      <w:r>
        <w:rPr>
          <w:color w:val="231F20"/>
        </w:rPr>
        <w:t>the</w:t>
      </w:r>
      <w:r>
        <w:rPr>
          <w:color w:val="231F20"/>
          <w:spacing w:val="25"/>
        </w:rPr>
        <w:t xml:space="preserve"> </w:t>
      </w:r>
      <w:r>
        <w:rPr>
          <w:color w:val="231F20"/>
        </w:rPr>
        <w:t>city’s</w:t>
      </w:r>
      <w:r>
        <w:rPr>
          <w:color w:val="231F20"/>
          <w:spacing w:val="24"/>
        </w:rPr>
        <w:t xml:space="preserve"> </w:t>
      </w:r>
      <w:r>
        <w:rPr>
          <w:color w:val="231F20"/>
        </w:rPr>
        <w:t>economic</w:t>
      </w:r>
      <w:r>
        <w:rPr>
          <w:color w:val="231F20"/>
          <w:spacing w:val="25"/>
        </w:rPr>
        <w:t xml:space="preserve"> </w:t>
      </w:r>
      <w:r>
        <w:rPr>
          <w:color w:val="231F20"/>
        </w:rPr>
        <w:t>base;</w:t>
      </w:r>
      <w:r>
        <w:rPr>
          <w:color w:val="231F20"/>
          <w:spacing w:val="24"/>
        </w:rPr>
        <w:t xml:space="preserve"> </w:t>
      </w:r>
      <w:r>
        <w:rPr>
          <w:color w:val="231F20"/>
        </w:rPr>
        <w:t xml:space="preserve">it is a city building itself for football. The importance of football then </w:t>
      </w:r>
      <w:r>
        <w:rPr>
          <w:color w:val="231F20"/>
          <w:w w:val="95"/>
        </w:rPr>
        <w:t xml:space="preserve">creates its own space where, in Lefebvre’s (1991) framework, football is </w:t>
      </w:r>
      <w:r>
        <w:rPr>
          <w:color w:val="231F20"/>
        </w:rPr>
        <w:t>perceived,</w:t>
      </w:r>
      <w:r>
        <w:rPr>
          <w:color w:val="231F20"/>
          <w:spacing w:val="-5"/>
        </w:rPr>
        <w:t xml:space="preserve"> </w:t>
      </w:r>
      <w:r>
        <w:rPr>
          <w:color w:val="231F20"/>
        </w:rPr>
        <w:t>conceived</w:t>
      </w:r>
      <w:r>
        <w:rPr>
          <w:color w:val="231F20"/>
          <w:spacing w:val="-5"/>
        </w:rPr>
        <w:t xml:space="preserve"> </w:t>
      </w:r>
      <w:r>
        <w:rPr>
          <w:color w:val="231F20"/>
        </w:rPr>
        <w:t>and</w:t>
      </w:r>
      <w:r>
        <w:rPr>
          <w:color w:val="231F20"/>
          <w:spacing w:val="-5"/>
        </w:rPr>
        <w:t xml:space="preserve"> </w:t>
      </w:r>
      <w:r>
        <w:rPr>
          <w:color w:val="231F20"/>
        </w:rPr>
        <w:t>represented</w:t>
      </w:r>
      <w:r>
        <w:rPr>
          <w:color w:val="231F20"/>
          <w:spacing w:val="-5"/>
        </w:rPr>
        <w:t xml:space="preserve"> </w:t>
      </w:r>
      <w:r>
        <w:rPr>
          <w:color w:val="231F20"/>
        </w:rPr>
        <w:t>as</w:t>
      </w:r>
      <w:r>
        <w:rPr>
          <w:color w:val="231F20"/>
          <w:spacing w:val="-5"/>
        </w:rPr>
        <w:t xml:space="preserve"> </w:t>
      </w:r>
      <w:r>
        <w:rPr>
          <w:color w:val="231F20"/>
        </w:rPr>
        <w:t>vital</w:t>
      </w:r>
      <w:r>
        <w:rPr>
          <w:color w:val="231F20"/>
          <w:spacing w:val="-5"/>
        </w:rPr>
        <w:t xml:space="preserve"> </w:t>
      </w:r>
      <w:r>
        <w:rPr>
          <w:color w:val="231F20"/>
        </w:rPr>
        <w:t>to</w:t>
      </w:r>
      <w:r>
        <w:rPr>
          <w:color w:val="231F20"/>
          <w:spacing w:val="-5"/>
        </w:rPr>
        <w:t xml:space="preserve"> </w:t>
      </w:r>
      <w:r>
        <w:rPr>
          <w:color w:val="231F20"/>
        </w:rPr>
        <w:t>the</w:t>
      </w:r>
      <w:r>
        <w:rPr>
          <w:color w:val="231F20"/>
          <w:spacing w:val="-5"/>
        </w:rPr>
        <w:t xml:space="preserve"> </w:t>
      </w:r>
      <w:r>
        <w:rPr>
          <w:color w:val="231F20"/>
        </w:rPr>
        <w:t>city.</w:t>
      </w:r>
    </w:p>
    <w:p w14:paraId="5DF37DD1" w14:textId="77777777" w:rsidR="00AE0598" w:rsidRDefault="0069255A">
      <w:pPr>
        <w:pStyle w:val="Corpodetexto"/>
        <w:spacing w:before="10" w:line="232" w:lineRule="auto"/>
        <w:ind w:left="223" w:right="241" w:firstLine="320"/>
        <w:jc w:val="both"/>
      </w:pPr>
      <w:r>
        <w:rPr>
          <w:color w:val="231F20"/>
          <w:w w:val="95"/>
        </w:rPr>
        <w:t>Liverpool is building a football space created an</w:t>
      </w:r>
      <w:r>
        <w:rPr>
          <w:color w:val="231F20"/>
          <w:w w:val="95"/>
        </w:rPr>
        <w:t xml:space="preserve">d shaped by the clubs </w:t>
      </w:r>
      <w:r>
        <w:rPr>
          <w:color w:val="231F20"/>
        </w:rPr>
        <w:t>and</w:t>
      </w:r>
      <w:r>
        <w:rPr>
          <w:color w:val="231F20"/>
          <w:spacing w:val="-3"/>
        </w:rPr>
        <w:t xml:space="preserve"> </w:t>
      </w:r>
      <w:r>
        <w:rPr>
          <w:color w:val="231F20"/>
        </w:rPr>
        <w:t>their</w:t>
      </w:r>
      <w:r>
        <w:rPr>
          <w:color w:val="231F20"/>
          <w:spacing w:val="-3"/>
        </w:rPr>
        <w:t xml:space="preserve"> </w:t>
      </w:r>
      <w:r>
        <w:rPr>
          <w:color w:val="231F20"/>
        </w:rPr>
        <w:t>many</w:t>
      </w:r>
      <w:r>
        <w:rPr>
          <w:color w:val="231F20"/>
          <w:spacing w:val="-3"/>
        </w:rPr>
        <w:t xml:space="preserve"> </w:t>
      </w:r>
      <w:r>
        <w:rPr>
          <w:color w:val="231F20"/>
        </w:rPr>
        <w:t>supporters.</w:t>
      </w:r>
      <w:r>
        <w:rPr>
          <w:color w:val="231F20"/>
          <w:spacing w:val="-3"/>
        </w:rPr>
        <w:t xml:space="preserve"> </w:t>
      </w:r>
      <w:r>
        <w:rPr>
          <w:color w:val="231F20"/>
        </w:rPr>
        <w:t>Fans</w:t>
      </w:r>
      <w:r>
        <w:rPr>
          <w:color w:val="231F20"/>
          <w:spacing w:val="-3"/>
        </w:rPr>
        <w:t xml:space="preserve"> </w:t>
      </w:r>
      <w:r>
        <w:rPr>
          <w:color w:val="231F20"/>
        </w:rPr>
        <w:t>are</w:t>
      </w:r>
      <w:r>
        <w:rPr>
          <w:color w:val="231F20"/>
          <w:spacing w:val="-3"/>
        </w:rPr>
        <w:t xml:space="preserve"> </w:t>
      </w:r>
      <w:r>
        <w:rPr>
          <w:color w:val="231F20"/>
        </w:rPr>
        <w:t>able</w:t>
      </w:r>
      <w:r>
        <w:rPr>
          <w:color w:val="231F20"/>
          <w:spacing w:val="-3"/>
        </w:rPr>
        <w:t xml:space="preserve"> </w:t>
      </w:r>
      <w:r>
        <w:rPr>
          <w:color w:val="231F20"/>
        </w:rPr>
        <w:t>to</w:t>
      </w:r>
      <w:r>
        <w:rPr>
          <w:color w:val="231F20"/>
          <w:spacing w:val="-3"/>
        </w:rPr>
        <w:t xml:space="preserve"> </w:t>
      </w:r>
      <w:r>
        <w:rPr>
          <w:color w:val="231F20"/>
        </w:rPr>
        <w:t>participate</w:t>
      </w:r>
      <w:r>
        <w:rPr>
          <w:color w:val="231F20"/>
          <w:spacing w:val="-3"/>
        </w:rPr>
        <w:t xml:space="preserve"> </w:t>
      </w:r>
      <w:r>
        <w:rPr>
          <w:color w:val="231F20"/>
        </w:rPr>
        <w:t>in</w:t>
      </w:r>
      <w:r>
        <w:rPr>
          <w:color w:val="231F20"/>
          <w:spacing w:val="-3"/>
        </w:rPr>
        <w:t xml:space="preserve"> </w:t>
      </w:r>
      <w:r>
        <w:rPr>
          <w:color w:val="231F20"/>
        </w:rPr>
        <w:t>the</w:t>
      </w:r>
      <w:r>
        <w:rPr>
          <w:color w:val="231F20"/>
          <w:spacing w:val="-3"/>
        </w:rPr>
        <w:t xml:space="preserve"> </w:t>
      </w:r>
      <w:r>
        <w:rPr>
          <w:color w:val="231F20"/>
        </w:rPr>
        <w:t>cultural event</w:t>
      </w:r>
      <w:r>
        <w:rPr>
          <w:color w:val="231F20"/>
          <w:spacing w:val="-8"/>
        </w:rPr>
        <w:t xml:space="preserve"> </w:t>
      </w:r>
      <w:r>
        <w:rPr>
          <w:color w:val="231F20"/>
        </w:rPr>
        <w:t>by</w:t>
      </w:r>
      <w:r>
        <w:rPr>
          <w:color w:val="231F20"/>
          <w:spacing w:val="-8"/>
        </w:rPr>
        <w:t xml:space="preserve"> </w:t>
      </w:r>
      <w:r>
        <w:rPr>
          <w:color w:val="231F20"/>
        </w:rPr>
        <w:t>attending</w:t>
      </w:r>
      <w:r>
        <w:rPr>
          <w:color w:val="231F20"/>
          <w:spacing w:val="-8"/>
        </w:rPr>
        <w:t xml:space="preserve"> </w:t>
      </w:r>
      <w:r>
        <w:rPr>
          <w:color w:val="231F20"/>
        </w:rPr>
        <w:t>a</w:t>
      </w:r>
      <w:r>
        <w:rPr>
          <w:color w:val="231F20"/>
          <w:spacing w:val="-8"/>
        </w:rPr>
        <w:t xml:space="preserve"> </w:t>
      </w:r>
      <w:r>
        <w:rPr>
          <w:color w:val="231F20"/>
        </w:rPr>
        <w:t>match</w:t>
      </w:r>
      <w:r>
        <w:rPr>
          <w:color w:val="231F20"/>
          <w:spacing w:val="-8"/>
        </w:rPr>
        <w:t xml:space="preserve"> </w:t>
      </w:r>
      <w:r>
        <w:rPr>
          <w:color w:val="231F20"/>
        </w:rPr>
        <w:t>or</w:t>
      </w:r>
      <w:r>
        <w:rPr>
          <w:color w:val="231F20"/>
          <w:spacing w:val="-8"/>
        </w:rPr>
        <w:t xml:space="preserve"> </w:t>
      </w:r>
      <w:r>
        <w:rPr>
          <w:color w:val="231F20"/>
        </w:rPr>
        <w:t>forming</w:t>
      </w:r>
      <w:r>
        <w:rPr>
          <w:color w:val="231F20"/>
          <w:spacing w:val="-8"/>
        </w:rPr>
        <w:t xml:space="preserve"> </w:t>
      </w:r>
      <w:r>
        <w:rPr>
          <w:color w:val="231F20"/>
        </w:rPr>
        <w:t>part</w:t>
      </w:r>
      <w:r>
        <w:rPr>
          <w:color w:val="231F20"/>
          <w:spacing w:val="-8"/>
        </w:rPr>
        <w:t xml:space="preserve"> </w:t>
      </w:r>
      <w:r>
        <w:rPr>
          <w:color w:val="231F20"/>
        </w:rPr>
        <w:t>of the</w:t>
      </w:r>
      <w:r>
        <w:rPr>
          <w:color w:val="231F20"/>
          <w:spacing w:val="-8"/>
        </w:rPr>
        <w:t xml:space="preserve"> </w:t>
      </w:r>
      <w:r>
        <w:rPr>
          <w:color w:val="231F20"/>
        </w:rPr>
        <w:t>audience</w:t>
      </w:r>
      <w:r>
        <w:rPr>
          <w:color w:val="231F20"/>
          <w:spacing w:val="-8"/>
        </w:rPr>
        <w:t xml:space="preserve"> </w:t>
      </w:r>
      <w:r>
        <w:rPr>
          <w:color w:val="231F20"/>
        </w:rPr>
        <w:t>who</w:t>
      </w:r>
      <w:r>
        <w:rPr>
          <w:color w:val="231F20"/>
          <w:spacing w:val="-8"/>
        </w:rPr>
        <w:t xml:space="preserve"> </w:t>
      </w:r>
      <w:r>
        <w:rPr>
          <w:color w:val="231F20"/>
        </w:rPr>
        <w:t xml:space="preserve">watch </w:t>
      </w:r>
      <w:r>
        <w:rPr>
          <w:color w:val="231F20"/>
          <w:spacing w:val="-2"/>
          <w:w w:val="95"/>
        </w:rPr>
        <w:t>the</w:t>
      </w:r>
      <w:r>
        <w:rPr>
          <w:color w:val="231F20"/>
          <w:spacing w:val="-3"/>
          <w:w w:val="95"/>
        </w:rPr>
        <w:t xml:space="preserve"> </w:t>
      </w:r>
      <w:r>
        <w:rPr>
          <w:color w:val="231F20"/>
          <w:spacing w:val="-2"/>
          <w:w w:val="95"/>
        </w:rPr>
        <w:t>televised</w:t>
      </w:r>
      <w:r>
        <w:rPr>
          <w:color w:val="231F20"/>
          <w:spacing w:val="-3"/>
          <w:w w:val="95"/>
        </w:rPr>
        <w:t xml:space="preserve"> </w:t>
      </w:r>
      <w:r>
        <w:rPr>
          <w:color w:val="231F20"/>
          <w:spacing w:val="-2"/>
          <w:w w:val="95"/>
        </w:rPr>
        <w:t>event.</w:t>
      </w:r>
      <w:r>
        <w:rPr>
          <w:color w:val="231F20"/>
          <w:spacing w:val="-3"/>
          <w:w w:val="95"/>
        </w:rPr>
        <w:t xml:space="preserve"> </w:t>
      </w:r>
      <w:r>
        <w:rPr>
          <w:color w:val="231F20"/>
          <w:spacing w:val="-2"/>
          <w:w w:val="95"/>
        </w:rPr>
        <w:t>Clubs</w:t>
      </w:r>
      <w:r>
        <w:rPr>
          <w:color w:val="231F20"/>
          <w:spacing w:val="-3"/>
          <w:w w:val="95"/>
        </w:rPr>
        <w:t xml:space="preserve"> </w:t>
      </w:r>
      <w:r>
        <w:rPr>
          <w:color w:val="231F20"/>
          <w:spacing w:val="-2"/>
          <w:w w:val="95"/>
        </w:rPr>
        <w:t>reinforce</w:t>
      </w:r>
      <w:r>
        <w:rPr>
          <w:color w:val="231F20"/>
          <w:spacing w:val="-3"/>
          <w:w w:val="95"/>
        </w:rPr>
        <w:t xml:space="preserve"> </w:t>
      </w:r>
      <w:r>
        <w:rPr>
          <w:color w:val="231F20"/>
          <w:spacing w:val="-2"/>
          <w:w w:val="95"/>
        </w:rPr>
        <w:t>their</w:t>
      </w:r>
      <w:r>
        <w:rPr>
          <w:color w:val="231F20"/>
          <w:spacing w:val="-3"/>
          <w:w w:val="95"/>
        </w:rPr>
        <w:t xml:space="preserve"> </w:t>
      </w:r>
      <w:r>
        <w:rPr>
          <w:color w:val="231F20"/>
          <w:spacing w:val="-2"/>
          <w:w w:val="95"/>
        </w:rPr>
        <w:t>brand</w:t>
      </w:r>
      <w:r>
        <w:rPr>
          <w:color w:val="231F20"/>
          <w:spacing w:val="-3"/>
          <w:w w:val="95"/>
        </w:rPr>
        <w:t xml:space="preserve"> </w:t>
      </w:r>
      <w:r>
        <w:rPr>
          <w:color w:val="231F20"/>
          <w:spacing w:val="-2"/>
          <w:w w:val="95"/>
        </w:rPr>
        <w:t>both</w:t>
      </w:r>
      <w:r>
        <w:rPr>
          <w:color w:val="231F20"/>
          <w:spacing w:val="-3"/>
          <w:w w:val="95"/>
        </w:rPr>
        <w:t xml:space="preserve"> </w:t>
      </w:r>
      <w:r>
        <w:rPr>
          <w:color w:val="231F20"/>
          <w:spacing w:val="-2"/>
          <w:w w:val="95"/>
        </w:rPr>
        <w:t>through</w:t>
      </w:r>
      <w:r>
        <w:rPr>
          <w:color w:val="231F20"/>
          <w:spacing w:val="-3"/>
          <w:w w:val="95"/>
        </w:rPr>
        <w:t xml:space="preserve"> </w:t>
      </w:r>
      <w:r>
        <w:rPr>
          <w:color w:val="231F20"/>
          <w:spacing w:val="-2"/>
          <w:w w:val="95"/>
        </w:rPr>
        <w:t>the</w:t>
      </w:r>
      <w:r>
        <w:rPr>
          <w:color w:val="231F20"/>
          <w:spacing w:val="-3"/>
          <w:w w:val="95"/>
        </w:rPr>
        <w:t xml:space="preserve"> </w:t>
      </w:r>
      <w:r>
        <w:rPr>
          <w:color w:val="231F20"/>
          <w:spacing w:val="-2"/>
          <w:w w:val="95"/>
        </w:rPr>
        <w:t>active</w:t>
      </w:r>
      <w:r>
        <w:rPr>
          <w:color w:val="231F20"/>
          <w:spacing w:val="-3"/>
          <w:w w:val="95"/>
        </w:rPr>
        <w:t xml:space="preserve"> </w:t>
      </w:r>
      <w:r>
        <w:rPr>
          <w:color w:val="231F20"/>
          <w:spacing w:val="-2"/>
          <w:w w:val="95"/>
        </w:rPr>
        <w:t>use</w:t>
      </w:r>
    </w:p>
    <w:p w14:paraId="612EAB64" w14:textId="77777777" w:rsidR="00AE0598" w:rsidRDefault="00AE0598">
      <w:pPr>
        <w:spacing w:line="232" w:lineRule="auto"/>
        <w:jc w:val="both"/>
        <w:sectPr w:rsidR="00AE0598">
          <w:pgSz w:w="8850" w:h="13270"/>
          <w:pgMar w:top="720" w:right="1060" w:bottom="280" w:left="1080" w:header="720" w:footer="720" w:gutter="0"/>
          <w:cols w:space="720"/>
        </w:sectPr>
      </w:pPr>
    </w:p>
    <w:p w14:paraId="56720DD1" w14:textId="77777777" w:rsidR="00AE0598" w:rsidRDefault="0069255A">
      <w:pPr>
        <w:spacing w:before="87"/>
        <w:ind w:left="110" w:right="128"/>
        <w:jc w:val="right"/>
        <w:rPr>
          <w:rFonts w:ascii="Trebuchet MS"/>
          <w:sz w:val="14"/>
        </w:rPr>
      </w:pPr>
      <w:r>
        <w:rPr>
          <w:rFonts w:ascii="Trebuchet MS"/>
          <w:color w:val="231F20"/>
          <w:w w:val="105"/>
          <w:sz w:val="14"/>
        </w:rPr>
        <w:lastRenderedPageBreak/>
        <w:t>Place,</w:t>
      </w:r>
      <w:r>
        <w:rPr>
          <w:rFonts w:ascii="Trebuchet MS"/>
          <w:color w:val="231F20"/>
          <w:spacing w:val="-12"/>
          <w:w w:val="105"/>
          <w:sz w:val="14"/>
        </w:rPr>
        <w:t xml:space="preserve"> </w:t>
      </w:r>
      <w:r>
        <w:rPr>
          <w:rFonts w:ascii="Trebuchet MS"/>
          <w:color w:val="231F20"/>
          <w:w w:val="105"/>
          <w:sz w:val="14"/>
        </w:rPr>
        <w:t>Sport</w:t>
      </w:r>
      <w:r>
        <w:rPr>
          <w:rFonts w:ascii="Trebuchet MS"/>
          <w:color w:val="231F20"/>
          <w:spacing w:val="-11"/>
          <w:w w:val="105"/>
          <w:sz w:val="14"/>
        </w:rPr>
        <w:t xml:space="preserve"> </w:t>
      </w:r>
      <w:r>
        <w:rPr>
          <w:rFonts w:ascii="Trebuchet MS"/>
          <w:color w:val="231F20"/>
          <w:w w:val="105"/>
          <w:sz w:val="14"/>
        </w:rPr>
        <w:t>and</w:t>
      </w:r>
      <w:r>
        <w:rPr>
          <w:rFonts w:ascii="Trebuchet MS"/>
          <w:color w:val="231F20"/>
          <w:spacing w:val="-11"/>
          <w:w w:val="105"/>
          <w:sz w:val="14"/>
        </w:rPr>
        <w:t xml:space="preserve"> </w:t>
      </w:r>
      <w:r>
        <w:rPr>
          <w:rFonts w:ascii="Trebuchet MS"/>
          <w:color w:val="231F20"/>
          <w:w w:val="105"/>
          <w:sz w:val="14"/>
        </w:rPr>
        <w:t>Culture</w:t>
      </w:r>
      <w:r>
        <w:rPr>
          <w:rFonts w:ascii="Trebuchet MS"/>
          <w:color w:val="231F20"/>
          <w:spacing w:val="71"/>
          <w:w w:val="105"/>
          <w:sz w:val="14"/>
        </w:rPr>
        <w:t xml:space="preserve"> </w:t>
      </w:r>
      <w:r>
        <w:rPr>
          <w:rFonts w:ascii="Trebuchet MS"/>
          <w:color w:val="231F20"/>
          <w:spacing w:val="-5"/>
          <w:w w:val="105"/>
          <w:sz w:val="14"/>
        </w:rPr>
        <w:t>117</w:t>
      </w:r>
    </w:p>
    <w:p w14:paraId="7088F9BE" w14:textId="77777777" w:rsidR="00AE0598" w:rsidRDefault="00AE0598">
      <w:pPr>
        <w:pStyle w:val="Corpodetexto"/>
        <w:spacing w:before="1"/>
        <w:rPr>
          <w:rFonts w:ascii="Trebuchet MS"/>
          <w:sz w:val="27"/>
        </w:rPr>
      </w:pPr>
    </w:p>
    <w:p w14:paraId="51E1E0AA" w14:textId="750ED599" w:rsidR="00AE0598" w:rsidRDefault="0069255A">
      <w:pPr>
        <w:pStyle w:val="Corpodetexto"/>
        <w:spacing w:before="103" w:line="232" w:lineRule="auto"/>
        <w:ind w:left="223" w:right="238"/>
        <w:jc w:val="both"/>
      </w:pPr>
      <w:r>
        <w:rPr>
          <w:noProof/>
        </w:rPr>
        <mc:AlternateContent>
          <mc:Choice Requires="wps">
            <w:drawing>
              <wp:anchor distT="0" distB="0" distL="114300" distR="114300" simplePos="0" relativeHeight="483709952" behindDoc="1" locked="0" layoutInCell="1" allowOverlap="1" wp14:anchorId="797720EF" wp14:editId="03A892A7">
                <wp:simplePos x="0" y="0"/>
                <wp:positionH relativeFrom="page">
                  <wp:posOffset>755650</wp:posOffset>
                </wp:positionH>
                <wp:positionV relativeFrom="paragraph">
                  <wp:posOffset>19050</wp:posOffset>
                </wp:positionV>
                <wp:extent cx="4104005" cy="5677535"/>
                <wp:effectExtent l="0" t="0" r="0" b="0"/>
                <wp:wrapNone/>
                <wp:docPr id="200" name="docshape1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04005" cy="5677535"/>
                        </a:xfrm>
                        <a:prstGeom prst="rect">
                          <a:avLst/>
                        </a:prstGeom>
                        <a:solidFill>
                          <a:srgbClr val="DCDDD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0AB656" id="docshape168" o:spid="_x0000_s1026" style="position:absolute;margin-left:59.5pt;margin-top:1.5pt;width:323.15pt;height:447.05pt;z-index:-196065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" fillcolor="#dcddde" stroked="f">
                <w10:wrap anchorx="page"/>
              </v:rect>
            </w:pict>
          </mc:Fallback>
        </mc:AlternateContent>
      </w:r>
      <w:r>
        <w:rPr>
          <w:color w:val="231F20"/>
          <w:spacing w:val="-2"/>
        </w:rPr>
        <w:t>of</w:t>
      </w:r>
      <w:r>
        <w:rPr>
          <w:color w:val="231F20"/>
        </w:rPr>
        <w:t xml:space="preserve"> </w:t>
      </w:r>
      <w:r>
        <w:rPr>
          <w:color w:val="231F20"/>
          <w:spacing w:val="-2"/>
        </w:rPr>
        <w:t>their</w:t>
      </w:r>
      <w:r>
        <w:rPr>
          <w:color w:val="231F20"/>
          <w:spacing w:val="-8"/>
        </w:rPr>
        <w:t xml:space="preserve"> </w:t>
      </w:r>
      <w:r>
        <w:rPr>
          <w:color w:val="231F20"/>
          <w:spacing w:val="-2"/>
        </w:rPr>
        <w:t>marketing</w:t>
      </w:r>
      <w:r>
        <w:rPr>
          <w:color w:val="231F20"/>
          <w:spacing w:val="-8"/>
        </w:rPr>
        <w:t xml:space="preserve"> </w:t>
      </w:r>
      <w:r>
        <w:rPr>
          <w:color w:val="231F20"/>
          <w:spacing w:val="-2"/>
        </w:rPr>
        <w:t>as</w:t>
      </w:r>
      <w:r>
        <w:rPr>
          <w:color w:val="231F20"/>
          <w:spacing w:val="-8"/>
        </w:rPr>
        <w:t xml:space="preserve"> </w:t>
      </w:r>
      <w:r>
        <w:rPr>
          <w:color w:val="231F20"/>
          <w:spacing w:val="-2"/>
        </w:rPr>
        <w:t>part</w:t>
      </w:r>
      <w:r>
        <w:rPr>
          <w:color w:val="231F20"/>
          <w:spacing w:val="-8"/>
        </w:rPr>
        <w:t xml:space="preserve"> </w:t>
      </w:r>
      <w:r>
        <w:rPr>
          <w:color w:val="231F20"/>
          <w:spacing w:val="-2"/>
        </w:rPr>
        <w:t>of</w:t>
      </w:r>
      <w:r>
        <w:rPr>
          <w:color w:val="231F20"/>
        </w:rPr>
        <w:t xml:space="preserve"> </w:t>
      </w:r>
      <w:r>
        <w:rPr>
          <w:color w:val="231F20"/>
          <w:spacing w:val="-2"/>
        </w:rPr>
        <w:t>the</w:t>
      </w:r>
      <w:r>
        <w:rPr>
          <w:color w:val="231F20"/>
          <w:spacing w:val="-8"/>
        </w:rPr>
        <w:t xml:space="preserve"> </w:t>
      </w:r>
      <w:r>
        <w:rPr>
          <w:color w:val="231F20"/>
          <w:spacing w:val="-2"/>
        </w:rPr>
        <w:t>event</w:t>
      </w:r>
      <w:r>
        <w:rPr>
          <w:color w:val="231F20"/>
          <w:spacing w:val="-8"/>
        </w:rPr>
        <w:t xml:space="preserve"> </w:t>
      </w:r>
      <w:r>
        <w:rPr>
          <w:color w:val="231F20"/>
          <w:spacing w:val="-2"/>
        </w:rPr>
        <w:t>and</w:t>
      </w:r>
      <w:r>
        <w:rPr>
          <w:color w:val="231F20"/>
          <w:spacing w:val="-8"/>
        </w:rPr>
        <w:t xml:space="preserve"> </w:t>
      </w:r>
      <w:r>
        <w:rPr>
          <w:color w:val="231F20"/>
          <w:spacing w:val="-2"/>
        </w:rPr>
        <w:t>through</w:t>
      </w:r>
      <w:r>
        <w:rPr>
          <w:color w:val="231F20"/>
          <w:spacing w:val="-8"/>
        </w:rPr>
        <w:t xml:space="preserve"> </w:t>
      </w:r>
      <w:r>
        <w:rPr>
          <w:color w:val="231F20"/>
          <w:spacing w:val="-2"/>
        </w:rPr>
        <w:t>the</w:t>
      </w:r>
      <w:r>
        <w:rPr>
          <w:color w:val="231F20"/>
          <w:spacing w:val="-8"/>
        </w:rPr>
        <w:t xml:space="preserve"> </w:t>
      </w:r>
      <w:r>
        <w:rPr>
          <w:color w:val="231F20"/>
          <w:spacing w:val="-2"/>
        </w:rPr>
        <w:t>less</w:t>
      </w:r>
      <w:r>
        <w:rPr>
          <w:color w:val="231F20"/>
          <w:spacing w:val="-8"/>
        </w:rPr>
        <w:t xml:space="preserve"> </w:t>
      </w:r>
      <w:r>
        <w:rPr>
          <w:color w:val="231F20"/>
          <w:spacing w:val="-2"/>
        </w:rPr>
        <w:t>direct</w:t>
      </w:r>
      <w:r>
        <w:rPr>
          <w:color w:val="231F20"/>
          <w:spacing w:val="-8"/>
        </w:rPr>
        <w:t xml:space="preserve"> </w:t>
      </w:r>
      <w:r>
        <w:rPr>
          <w:color w:val="231F20"/>
          <w:spacing w:val="-2"/>
        </w:rPr>
        <w:t>use</w:t>
      </w:r>
      <w:r>
        <w:rPr>
          <w:color w:val="231F20"/>
          <w:spacing w:val="-8"/>
        </w:rPr>
        <w:t xml:space="preserve"> </w:t>
      </w:r>
      <w:r>
        <w:rPr>
          <w:color w:val="231F20"/>
          <w:spacing w:val="-2"/>
        </w:rPr>
        <w:t>of branded</w:t>
      </w:r>
      <w:r>
        <w:rPr>
          <w:color w:val="231F20"/>
          <w:spacing w:val="-10"/>
        </w:rPr>
        <w:t xml:space="preserve"> </w:t>
      </w:r>
      <w:r>
        <w:rPr>
          <w:color w:val="231F20"/>
          <w:spacing w:val="-2"/>
        </w:rPr>
        <w:t>fans</w:t>
      </w:r>
      <w:r>
        <w:rPr>
          <w:color w:val="231F20"/>
          <w:spacing w:val="-10"/>
        </w:rPr>
        <w:t xml:space="preserve"> </w:t>
      </w:r>
      <w:r>
        <w:rPr>
          <w:color w:val="231F20"/>
          <w:spacing w:val="-2"/>
        </w:rPr>
        <w:t>and</w:t>
      </w:r>
      <w:r>
        <w:rPr>
          <w:color w:val="231F20"/>
          <w:spacing w:val="-9"/>
        </w:rPr>
        <w:t xml:space="preserve"> </w:t>
      </w:r>
      <w:r>
        <w:rPr>
          <w:color w:val="231F20"/>
          <w:spacing w:val="-2"/>
        </w:rPr>
        <w:t>supporters,</w:t>
      </w:r>
      <w:r>
        <w:rPr>
          <w:color w:val="231F20"/>
          <w:spacing w:val="-10"/>
        </w:rPr>
        <w:t xml:space="preserve"> </w:t>
      </w:r>
      <w:r>
        <w:rPr>
          <w:color w:val="231F20"/>
          <w:spacing w:val="-2"/>
        </w:rPr>
        <w:t>who</w:t>
      </w:r>
      <w:r>
        <w:rPr>
          <w:color w:val="231F20"/>
          <w:spacing w:val="-9"/>
        </w:rPr>
        <w:t xml:space="preserve"> </w:t>
      </w:r>
      <w:r>
        <w:rPr>
          <w:color w:val="231F20"/>
          <w:spacing w:val="-2"/>
        </w:rPr>
        <w:t>also</w:t>
      </w:r>
      <w:r>
        <w:rPr>
          <w:color w:val="231F20"/>
          <w:spacing w:val="-10"/>
        </w:rPr>
        <w:t xml:space="preserve"> </w:t>
      </w:r>
      <w:r>
        <w:rPr>
          <w:color w:val="231F20"/>
          <w:spacing w:val="-2"/>
        </w:rPr>
        <w:t>form</w:t>
      </w:r>
      <w:r>
        <w:rPr>
          <w:color w:val="231F20"/>
          <w:spacing w:val="-9"/>
        </w:rPr>
        <w:t xml:space="preserve"> </w:t>
      </w:r>
      <w:r>
        <w:rPr>
          <w:color w:val="231F20"/>
          <w:spacing w:val="-2"/>
        </w:rPr>
        <w:t>a</w:t>
      </w:r>
      <w:r>
        <w:rPr>
          <w:color w:val="231F20"/>
          <w:spacing w:val="-10"/>
        </w:rPr>
        <w:t xml:space="preserve"> </w:t>
      </w:r>
      <w:r>
        <w:rPr>
          <w:color w:val="231F20"/>
          <w:spacing w:val="-2"/>
        </w:rPr>
        <w:t>part</w:t>
      </w:r>
      <w:r>
        <w:rPr>
          <w:color w:val="231F20"/>
          <w:spacing w:val="-10"/>
        </w:rPr>
        <w:t xml:space="preserve"> </w:t>
      </w:r>
      <w:r>
        <w:rPr>
          <w:color w:val="231F20"/>
          <w:spacing w:val="-2"/>
        </w:rPr>
        <w:t>of</w:t>
      </w:r>
      <w:r>
        <w:rPr>
          <w:color w:val="231F20"/>
          <w:spacing w:val="-3"/>
        </w:rPr>
        <w:t xml:space="preserve"> </w:t>
      </w:r>
      <w:r>
        <w:rPr>
          <w:color w:val="231F20"/>
          <w:spacing w:val="-2"/>
        </w:rPr>
        <w:t>the</w:t>
      </w:r>
      <w:r>
        <w:rPr>
          <w:color w:val="231F20"/>
          <w:spacing w:val="-10"/>
        </w:rPr>
        <w:t xml:space="preserve"> </w:t>
      </w:r>
      <w:r>
        <w:rPr>
          <w:color w:val="231F20"/>
          <w:spacing w:val="-2"/>
        </w:rPr>
        <w:t>clubs’</w:t>
      </w:r>
      <w:r>
        <w:rPr>
          <w:color w:val="231F20"/>
          <w:spacing w:val="-9"/>
        </w:rPr>
        <w:t xml:space="preserve"> </w:t>
      </w:r>
      <w:r>
        <w:rPr>
          <w:color w:val="231F20"/>
          <w:spacing w:val="-2"/>
        </w:rPr>
        <w:t xml:space="preserve">revenue </w:t>
      </w:r>
      <w:r>
        <w:rPr>
          <w:color w:val="231F20"/>
        </w:rPr>
        <w:t xml:space="preserve">streams through the merchandising of various paraphernalia (Kerr &amp; </w:t>
      </w:r>
      <w:r>
        <w:rPr>
          <w:color w:val="231F20"/>
          <w:spacing w:val="-2"/>
        </w:rPr>
        <w:t>Emery,</w:t>
      </w:r>
      <w:r>
        <w:rPr>
          <w:color w:val="231F20"/>
          <w:spacing w:val="-9"/>
        </w:rPr>
        <w:t xml:space="preserve"> </w:t>
      </w:r>
      <w:r>
        <w:rPr>
          <w:color w:val="231F20"/>
          <w:spacing w:val="-2"/>
        </w:rPr>
        <w:t>2011).</w:t>
      </w:r>
      <w:r>
        <w:rPr>
          <w:color w:val="231F20"/>
          <w:spacing w:val="-9"/>
        </w:rPr>
        <w:t xml:space="preserve"> </w:t>
      </w:r>
      <w:r>
        <w:rPr>
          <w:color w:val="231F20"/>
          <w:spacing w:val="-2"/>
        </w:rPr>
        <w:t>In</w:t>
      </w:r>
      <w:r>
        <w:rPr>
          <w:color w:val="231F20"/>
          <w:spacing w:val="-9"/>
        </w:rPr>
        <w:t xml:space="preserve"> </w:t>
      </w:r>
      <w:r>
        <w:rPr>
          <w:color w:val="231F20"/>
          <w:spacing w:val="-2"/>
        </w:rPr>
        <w:t>Liverpool,</w:t>
      </w:r>
      <w:r>
        <w:rPr>
          <w:color w:val="231F20"/>
          <w:spacing w:val="-9"/>
        </w:rPr>
        <w:t xml:space="preserve"> </w:t>
      </w:r>
      <w:r>
        <w:rPr>
          <w:color w:val="231F20"/>
          <w:spacing w:val="-2"/>
        </w:rPr>
        <w:t>it</w:t>
      </w:r>
      <w:r>
        <w:rPr>
          <w:color w:val="231F20"/>
          <w:spacing w:val="-9"/>
        </w:rPr>
        <w:t xml:space="preserve"> </w:t>
      </w:r>
      <w:r>
        <w:rPr>
          <w:color w:val="231F20"/>
          <w:spacing w:val="-2"/>
        </w:rPr>
        <w:t>is</w:t>
      </w:r>
      <w:r>
        <w:rPr>
          <w:color w:val="231F20"/>
          <w:spacing w:val="-9"/>
        </w:rPr>
        <w:t xml:space="preserve"> </w:t>
      </w:r>
      <w:r>
        <w:rPr>
          <w:color w:val="231F20"/>
          <w:spacing w:val="-2"/>
        </w:rPr>
        <w:t>clear</w:t>
      </w:r>
      <w:r>
        <w:rPr>
          <w:color w:val="231F20"/>
          <w:spacing w:val="-9"/>
        </w:rPr>
        <w:t xml:space="preserve"> </w:t>
      </w:r>
      <w:r>
        <w:rPr>
          <w:color w:val="231F20"/>
          <w:spacing w:val="-2"/>
        </w:rPr>
        <w:t>that</w:t>
      </w:r>
      <w:r>
        <w:rPr>
          <w:color w:val="231F20"/>
          <w:spacing w:val="-9"/>
        </w:rPr>
        <w:t xml:space="preserve"> </w:t>
      </w:r>
      <w:r>
        <w:rPr>
          <w:color w:val="231F20"/>
          <w:spacing w:val="-2"/>
        </w:rPr>
        <w:t>this</w:t>
      </w:r>
      <w:r>
        <w:rPr>
          <w:color w:val="231F20"/>
          <w:spacing w:val="-9"/>
        </w:rPr>
        <w:t xml:space="preserve"> </w:t>
      </w:r>
      <w:r>
        <w:rPr>
          <w:color w:val="231F20"/>
          <w:spacing w:val="-2"/>
        </w:rPr>
        <w:t>is</w:t>
      </w:r>
      <w:r>
        <w:rPr>
          <w:color w:val="231F20"/>
          <w:spacing w:val="-9"/>
        </w:rPr>
        <w:t xml:space="preserve"> </w:t>
      </w:r>
      <w:r>
        <w:rPr>
          <w:color w:val="231F20"/>
          <w:spacing w:val="-2"/>
        </w:rPr>
        <w:t>a</w:t>
      </w:r>
      <w:r>
        <w:rPr>
          <w:color w:val="231F20"/>
          <w:spacing w:val="-9"/>
        </w:rPr>
        <w:t xml:space="preserve"> </w:t>
      </w:r>
      <w:r>
        <w:rPr>
          <w:color w:val="231F20"/>
          <w:spacing w:val="-2"/>
        </w:rPr>
        <w:t>dynamic</w:t>
      </w:r>
      <w:r>
        <w:rPr>
          <w:color w:val="231F20"/>
          <w:spacing w:val="-9"/>
        </w:rPr>
        <w:t xml:space="preserve"> </w:t>
      </w:r>
      <w:r>
        <w:rPr>
          <w:color w:val="231F20"/>
          <w:spacing w:val="-2"/>
        </w:rPr>
        <w:t>process</w:t>
      </w:r>
      <w:r>
        <w:rPr>
          <w:color w:val="231F20"/>
          <w:spacing w:val="-9"/>
        </w:rPr>
        <w:t xml:space="preserve"> </w:t>
      </w:r>
      <w:r>
        <w:rPr>
          <w:color w:val="231F20"/>
          <w:spacing w:val="-2"/>
        </w:rPr>
        <w:t xml:space="preserve">with </w:t>
      </w:r>
      <w:r>
        <w:rPr>
          <w:color w:val="231F20"/>
          <w:spacing w:val="-2"/>
          <w:w w:val="95"/>
        </w:rPr>
        <w:t>constant</w:t>
      </w:r>
      <w:r>
        <w:rPr>
          <w:color w:val="231F20"/>
          <w:spacing w:val="-5"/>
          <w:w w:val="95"/>
        </w:rPr>
        <w:t xml:space="preserve"> </w:t>
      </w:r>
      <w:r>
        <w:rPr>
          <w:color w:val="231F20"/>
          <w:spacing w:val="-2"/>
          <w:w w:val="95"/>
        </w:rPr>
        <w:t>mediation</w:t>
      </w:r>
      <w:r>
        <w:rPr>
          <w:color w:val="231F20"/>
          <w:spacing w:val="-5"/>
          <w:w w:val="95"/>
        </w:rPr>
        <w:t xml:space="preserve"> </w:t>
      </w:r>
      <w:r>
        <w:rPr>
          <w:color w:val="231F20"/>
          <w:spacing w:val="-2"/>
          <w:w w:val="95"/>
        </w:rPr>
        <w:t>between</w:t>
      </w:r>
      <w:r>
        <w:rPr>
          <w:color w:val="231F20"/>
          <w:spacing w:val="-5"/>
          <w:w w:val="95"/>
        </w:rPr>
        <w:t xml:space="preserve"> </w:t>
      </w:r>
      <w:r>
        <w:rPr>
          <w:color w:val="231F20"/>
          <w:spacing w:val="-2"/>
          <w:w w:val="95"/>
        </w:rPr>
        <w:t>the</w:t>
      </w:r>
      <w:r>
        <w:rPr>
          <w:color w:val="231F20"/>
          <w:spacing w:val="-5"/>
          <w:w w:val="95"/>
        </w:rPr>
        <w:t xml:space="preserve"> </w:t>
      </w:r>
      <w:r>
        <w:rPr>
          <w:color w:val="231F20"/>
          <w:spacing w:val="-2"/>
          <w:w w:val="95"/>
        </w:rPr>
        <w:t>groups</w:t>
      </w:r>
      <w:r>
        <w:rPr>
          <w:color w:val="231F20"/>
          <w:spacing w:val="-5"/>
          <w:w w:val="95"/>
        </w:rPr>
        <w:t xml:space="preserve"> </w:t>
      </w:r>
      <w:r>
        <w:rPr>
          <w:color w:val="231F20"/>
          <w:spacing w:val="-2"/>
          <w:w w:val="95"/>
        </w:rPr>
        <w:t>of</w:t>
      </w:r>
      <w:r>
        <w:rPr>
          <w:color w:val="231F20"/>
          <w:spacing w:val="10"/>
        </w:rPr>
        <w:t xml:space="preserve"> </w:t>
      </w:r>
      <w:r>
        <w:rPr>
          <w:color w:val="231F20"/>
          <w:spacing w:val="-2"/>
          <w:w w:val="95"/>
        </w:rPr>
        <w:t>fans</w:t>
      </w:r>
      <w:r>
        <w:rPr>
          <w:color w:val="231F20"/>
          <w:spacing w:val="-5"/>
          <w:w w:val="95"/>
        </w:rPr>
        <w:t xml:space="preserve"> </w:t>
      </w:r>
      <w:r>
        <w:rPr>
          <w:color w:val="231F20"/>
          <w:spacing w:val="-2"/>
          <w:w w:val="95"/>
        </w:rPr>
        <w:t>and</w:t>
      </w:r>
      <w:r>
        <w:rPr>
          <w:color w:val="231F20"/>
          <w:spacing w:val="-5"/>
          <w:w w:val="95"/>
        </w:rPr>
        <w:t xml:space="preserve"> </w:t>
      </w:r>
      <w:r>
        <w:rPr>
          <w:color w:val="231F20"/>
          <w:spacing w:val="-2"/>
          <w:w w:val="95"/>
        </w:rPr>
        <w:t>the</w:t>
      </w:r>
      <w:r>
        <w:rPr>
          <w:color w:val="231F20"/>
          <w:spacing w:val="-5"/>
          <w:w w:val="95"/>
        </w:rPr>
        <w:t xml:space="preserve"> </w:t>
      </w:r>
      <w:r>
        <w:rPr>
          <w:color w:val="231F20"/>
          <w:spacing w:val="-2"/>
          <w:w w:val="95"/>
        </w:rPr>
        <w:t>clubs.</w:t>
      </w:r>
      <w:r>
        <w:rPr>
          <w:color w:val="231F20"/>
          <w:spacing w:val="-5"/>
          <w:w w:val="95"/>
        </w:rPr>
        <w:t xml:space="preserve"> </w:t>
      </w:r>
      <w:r>
        <w:rPr>
          <w:color w:val="231F20"/>
          <w:spacing w:val="-2"/>
          <w:w w:val="95"/>
        </w:rPr>
        <w:t>But</w:t>
      </w:r>
      <w:r>
        <w:rPr>
          <w:color w:val="231F20"/>
          <w:spacing w:val="-5"/>
          <w:w w:val="95"/>
        </w:rPr>
        <w:t xml:space="preserve"> </w:t>
      </w:r>
      <w:r>
        <w:rPr>
          <w:color w:val="231F20"/>
          <w:spacing w:val="-2"/>
          <w:w w:val="95"/>
        </w:rPr>
        <w:t>there</w:t>
      </w:r>
      <w:r>
        <w:rPr>
          <w:color w:val="231F20"/>
          <w:spacing w:val="-5"/>
          <w:w w:val="95"/>
        </w:rPr>
        <w:t xml:space="preserve"> </w:t>
      </w:r>
      <w:r>
        <w:rPr>
          <w:color w:val="231F20"/>
          <w:spacing w:val="-2"/>
          <w:w w:val="95"/>
        </w:rPr>
        <w:t>is</w:t>
      </w:r>
      <w:r>
        <w:rPr>
          <w:color w:val="231F20"/>
          <w:spacing w:val="-5"/>
          <w:w w:val="95"/>
        </w:rPr>
        <w:t xml:space="preserve"> </w:t>
      </w:r>
      <w:r>
        <w:rPr>
          <w:color w:val="231F20"/>
          <w:spacing w:val="-2"/>
          <w:w w:val="95"/>
        </w:rPr>
        <w:t xml:space="preserve">a </w:t>
      </w:r>
      <w:r>
        <w:rPr>
          <w:color w:val="231F20"/>
          <w:spacing w:val="-4"/>
          <w:w w:val="95"/>
        </w:rPr>
        <w:t>distinct spatial element to this negotiation of</w:t>
      </w:r>
      <w:r>
        <w:rPr>
          <w:color w:val="231F20"/>
          <w:spacing w:val="18"/>
        </w:rPr>
        <w:t xml:space="preserve"> </w:t>
      </w:r>
      <w:r>
        <w:rPr>
          <w:color w:val="231F20"/>
          <w:spacing w:val="-4"/>
          <w:w w:val="95"/>
        </w:rPr>
        <w:t>club identity. It embraces what</w:t>
      </w:r>
      <w:r>
        <w:rPr>
          <w:color w:val="231F20"/>
          <w:w w:val="95"/>
        </w:rPr>
        <w:t xml:space="preserve"> is considered home, what territory belongs to the club and its adherents </w:t>
      </w:r>
      <w:r>
        <w:rPr>
          <w:color w:val="231F20"/>
          <w:spacing w:val="-2"/>
        </w:rPr>
        <w:t>and</w:t>
      </w:r>
      <w:r>
        <w:rPr>
          <w:color w:val="231F20"/>
          <w:spacing w:val="-10"/>
        </w:rPr>
        <w:t xml:space="preserve"> </w:t>
      </w:r>
      <w:r>
        <w:rPr>
          <w:color w:val="231F20"/>
          <w:spacing w:val="-2"/>
        </w:rPr>
        <w:t>how</w:t>
      </w:r>
      <w:r>
        <w:rPr>
          <w:color w:val="231F20"/>
          <w:spacing w:val="-10"/>
        </w:rPr>
        <w:t xml:space="preserve"> </w:t>
      </w:r>
      <w:r>
        <w:rPr>
          <w:color w:val="231F20"/>
          <w:spacing w:val="-2"/>
        </w:rPr>
        <w:t>a</w:t>
      </w:r>
      <w:r>
        <w:rPr>
          <w:color w:val="231F20"/>
          <w:spacing w:val="-9"/>
        </w:rPr>
        <w:t xml:space="preserve"> </w:t>
      </w:r>
      <w:r>
        <w:rPr>
          <w:color w:val="231F20"/>
          <w:spacing w:val="-2"/>
        </w:rPr>
        <w:t>network</w:t>
      </w:r>
      <w:r>
        <w:rPr>
          <w:color w:val="231F20"/>
          <w:spacing w:val="-10"/>
        </w:rPr>
        <w:t xml:space="preserve"> </w:t>
      </w:r>
      <w:r>
        <w:rPr>
          <w:color w:val="231F20"/>
          <w:spacing w:val="-2"/>
        </w:rPr>
        <w:t>of</w:t>
      </w:r>
      <w:r>
        <w:rPr>
          <w:color w:val="231F20"/>
          <w:spacing w:val="-9"/>
        </w:rPr>
        <w:t xml:space="preserve"> </w:t>
      </w:r>
      <w:r>
        <w:rPr>
          <w:color w:val="231F20"/>
          <w:spacing w:val="-2"/>
        </w:rPr>
        <w:t>fans</w:t>
      </w:r>
      <w:r>
        <w:rPr>
          <w:color w:val="231F20"/>
          <w:spacing w:val="-10"/>
        </w:rPr>
        <w:t xml:space="preserve"> </w:t>
      </w:r>
      <w:r>
        <w:rPr>
          <w:color w:val="231F20"/>
          <w:spacing w:val="-2"/>
        </w:rPr>
        <w:t>and</w:t>
      </w:r>
      <w:r>
        <w:rPr>
          <w:color w:val="231F20"/>
          <w:spacing w:val="-9"/>
        </w:rPr>
        <w:t xml:space="preserve"> </w:t>
      </w:r>
      <w:r>
        <w:rPr>
          <w:color w:val="231F20"/>
          <w:spacing w:val="-2"/>
        </w:rPr>
        <w:t>supporters</w:t>
      </w:r>
      <w:r>
        <w:rPr>
          <w:color w:val="231F20"/>
          <w:spacing w:val="-10"/>
        </w:rPr>
        <w:t xml:space="preserve"> </w:t>
      </w:r>
      <w:r>
        <w:rPr>
          <w:color w:val="231F20"/>
          <w:spacing w:val="-2"/>
        </w:rPr>
        <w:t>is</w:t>
      </w:r>
      <w:r>
        <w:rPr>
          <w:color w:val="231F20"/>
          <w:spacing w:val="-10"/>
        </w:rPr>
        <w:t xml:space="preserve"> </w:t>
      </w:r>
      <w:r>
        <w:rPr>
          <w:color w:val="231F20"/>
          <w:spacing w:val="-2"/>
        </w:rPr>
        <w:t>diffused</w:t>
      </w:r>
      <w:r>
        <w:rPr>
          <w:color w:val="231F20"/>
          <w:spacing w:val="-9"/>
        </w:rPr>
        <w:t xml:space="preserve"> </w:t>
      </w:r>
      <w:r>
        <w:rPr>
          <w:color w:val="231F20"/>
          <w:spacing w:val="-2"/>
        </w:rPr>
        <w:t>through</w:t>
      </w:r>
      <w:r>
        <w:rPr>
          <w:color w:val="231F20"/>
          <w:spacing w:val="-10"/>
        </w:rPr>
        <w:t xml:space="preserve"> </w:t>
      </w:r>
      <w:r>
        <w:rPr>
          <w:color w:val="231F20"/>
          <w:spacing w:val="-2"/>
        </w:rPr>
        <w:t>the</w:t>
      </w:r>
      <w:r>
        <w:rPr>
          <w:color w:val="231F20"/>
          <w:spacing w:val="-9"/>
        </w:rPr>
        <w:t xml:space="preserve"> </w:t>
      </w:r>
      <w:r>
        <w:rPr>
          <w:color w:val="231F20"/>
          <w:spacing w:val="-2"/>
        </w:rPr>
        <w:t>rest</w:t>
      </w:r>
      <w:r>
        <w:rPr>
          <w:color w:val="231F20"/>
          <w:spacing w:val="-10"/>
        </w:rPr>
        <w:t xml:space="preserve"> </w:t>
      </w:r>
      <w:r>
        <w:rPr>
          <w:color w:val="231F20"/>
          <w:spacing w:val="-2"/>
        </w:rPr>
        <w:t xml:space="preserve">of </w:t>
      </w:r>
      <w:r>
        <w:rPr>
          <w:color w:val="231F20"/>
          <w:spacing w:val="-4"/>
        </w:rPr>
        <w:t xml:space="preserve">the football world. Groups in </w:t>
      </w:r>
      <w:r>
        <w:rPr>
          <w:color w:val="231F20"/>
          <w:spacing w:val="-4"/>
        </w:rPr>
        <w:t xml:space="preserve">Liverpool – and elsewhere – have sought to </w:t>
      </w:r>
      <w:r>
        <w:rPr>
          <w:color w:val="231F20"/>
          <w:w w:val="95"/>
        </w:rPr>
        <w:t>intervene</w:t>
      </w:r>
      <w:r>
        <w:rPr>
          <w:color w:val="231F20"/>
          <w:spacing w:val="-6"/>
          <w:w w:val="95"/>
        </w:rPr>
        <w:t xml:space="preserve"> </w:t>
      </w:r>
      <w:r>
        <w:rPr>
          <w:color w:val="231F20"/>
          <w:w w:val="95"/>
        </w:rPr>
        <w:t>in</w:t>
      </w:r>
      <w:r>
        <w:rPr>
          <w:color w:val="231F20"/>
          <w:spacing w:val="-6"/>
          <w:w w:val="95"/>
        </w:rPr>
        <w:t xml:space="preserve"> </w:t>
      </w:r>
      <w:r>
        <w:rPr>
          <w:color w:val="231F20"/>
          <w:w w:val="95"/>
        </w:rPr>
        <w:t>the</w:t>
      </w:r>
      <w:r>
        <w:rPr>
          <w:color w:val="231F20"/>
          <w:spacing w:val="-6"/>
          <w:w w:val="95"/>
        </w:rPr>
        <w:t xml:space="preserve"> </w:t>
      </w:r>
      <w:r>
        <w:rPr>
          <w:color w:val="231F20"/>
          <w:w w:val="95"/>
        </w:rPr>
        <w:t>cultural</w:t>
      </w:r>
      <w:r>
        <w:rPr>
          <w:color w:val="231F20"/>
          <w:spacing w:val="-6"/>
          <w:w w:val="95"/>
        </w:rPr>
        <w:t xml:space="preserve"> </w:t>
      </w:r>
      <w:r>
        <w:rPr>
          <w:color w:val="231F20"/>
          <w:w w:val="95"/>
        </w:rPr>
        <w:t>production</w:t>
      </w:r>
      <w:r>
        <w:rPr>
          <w:color w:val="231F20"/>
          <w:spacing w:val="-6"/>
          <w:w w:val="95"/>
        </w:rPr>
        <w:t xml:space="preserve"> </w:t>
      </w:r>
      <w:r>
        <w:rPr>
          <w:color w:val="231F20"/>
          <w:w w:val="95"/>
        </w:rPr>
        <w:t>of</w:t>
      </w:r>
      <w:r>
        <w:rPr>
          <w:color w:val="231F20"/>
        </w:rPr>
        <w:t xml:space="preserve"> </w:t>
      </w:r>
      <w:r>
        <w:rPr>
          <w:color w:val="231F20"/>
          <w:w w:val="95"/>
        </w:rPr>
        <w:t>football</w:t>
      </w:r>
      <w:r>
        <w:rPr>
          <w:color w:val="231F20"/>
          <w:spacing w:val="-6"/>
          <w:w w:val="95"/>
        </w:rPr>
        <w:t xml:space="preserve"> </w:t>
      </w:r>
      <w:r>
        <w:rPr>
          <w:color w:val="231F20"/>
          <w:w w:val="95"/>
        </w:rPr>
        <w:t>in</w:t>
      </w:r>
      <w:r>
        <w:rPr>
          <w:color w:val="231F20"/>
          <w:spacing w:val="-6"/>
          <w:w w:val="95"/>
        </w:rPr>
        <w:t xml:space="preserve"> </w:t>
      </w:r>
      <w:r>
        <w:rPr>
          <w:color w:val="231F20"/>
          <w:w w:val="95"/>
        </w:rPr>
        <w:t>their</w:t>
      </w:r>
      <w:r>
        <w:rPr>
          <w:color w:val="231F20"/>
          <w:spacing w:val="-6"/>
          <w:w w:val="95"/>
        </w:rPr>
        <w:t xml:space="preserve"> </w:t>
      </w:r>
      <w:r>
        <w:rPr>
          <w:color w:val="231F20"/>
          <w:w w:val="95"/>
        </w:rPr>
        <w:t>city</w:t>
      </w:r>
      <w:r>
        <w:rPr>
          <w:color w:val="231F20"/>
          <w:spacing w:val="-6"/>
          <w:w w:val="95"/>
        </w:rPr>
        <w:t xml:space="preserve"> </w:t>
      </w:r>
      <w:r>
        <w:rPr>
          <w:color w:val="231F20"/>
          <w:w w:val="95"/>
        </w:rPr>
        <w:t>by</w:t>
      </w:r>
      <w:r>
        <w:rPr>
          <w:color w:val="231F20"/>
          <w:spacing w:val="-6"/>
          <w:w w:val="95"/>
        </w:rPr>
        <w:t xml:space="preserve"> </w:t>
      </w:r>
      <w:r>
        <w:rPr>
          <w:color w:val="231F20"/>
          <w:w w:val="95"/>
        </w:rPr>
        <w:t>giving</w:t>
      </w:r>
      <w:r>
        <w:rPr>
          <w:color w:val="231F20"/>
          <w:spacing w:val="-6"/>
          <w:w w:val="95"/>
        </w:rPr>
        <w:t xml:space="preserve"> </w:t>
      </w:r>
      <w:r>
        <w:rPr>
          <w:color w:val="231F20"/>
          <w:w w:val="95"/>
        </w:rPr>
        <w:t>their sport</w:t>
      </w:r>
      <w:r>
        <w:rPr>
          <w:color w:val="231F20"/>
          <w:spacing w:val="-10"/>
          <w:w w:val="95"/>
        </w:rPr>
        <w:t xml:space="preserve"> </w:t>
      </w:r>
      <w:r>
        <w:rPr>
          <w:color w:val="231F20"/>
          <w:w w:val="95"/>
        </w:rPr>
        <w:t>a</w:t>
      </w:r>
      <w:r>
        <w:rPr>
          <w:color w:val="231F20"/>
          <w:spacing w:val="-9"/>
          <w:w w:val="95"/>
        </w:rPr>
        <w:t xml:space="preserve"> </w:t>
      </w:r>
      <w:r>
        <w:rPr>
          <w:color w:val="231F20"/>
          <w:w w:val="95"/>
        </w:rPr>
        <w:t>glocalised</w:t>
      </w:r>
      <w:r>
        <w:rPr>
          <w:color w:val="231F20"/>
          <w:spacing w:val="-9"/>
          <w:w w:val="95"/>
        </w:rPr>
        <w:t xml:space="preserve"> </w:t>
      </w:r>
      <w:r>
        <w:rPr>
          <w:color w:val="231F20"/>
          <w:w w:val="95"/>
        </w:rPr>
        <w:t>version</w:t>
      </w:r>
      <w:r>
        <w:rPr>
          <w:color w:val="231F20"/>
          <w:spacing w:val="-9"/>
          <w:w w:val="95"/>
        </w:rPr>
        <w:t xml:space="preserve"> </w:t>
      </w:r>
      <w:r>
        <w:rPr>
          <w:color w:val="231F20"/>
          <w:w w:val="95"/>
        </w:rPr>
        <w:t>of</w:t>
      </w:r>
      <w:r>
        <w:rPr>
          <w:color w:val="231F20"/>
          <w:spacing w:val="-10"/>
          <w:w w:val="95"/>
        </w:rPr>
        <w:t xml:space="preserve"> </w:t>
      </w:r>
      <w:r>
        <w:rPr>
          <w:color w:val="231F20"/>
          <w:w w:val="95"/>
        </w:rPr>
        <w:t>the</w:t>
      </w:r>
      <w:r>
        <w:rPr>
          <w:color w:val="231F20"/>
          <w:spacing w:val="-9"/>
          <w:w w:val="95"/>
        </w:rPr>
        <w:t xml:space="preserve"> </w:t>
      </w:r>
      <w:r>
        <w:rPr>
          <w:color w:val="231F20"/>
          <w:w w:val="95"/>
        </w:rPr>
        <w:t>product,</w:t>
      </w:r>
      <w:r>
        <w:rPr>
          <w:color w:val="231F20"/>
          <w:spacing w:val="-9"/>
          <w:w w:val="95"/>
        </w:rPr>
        <w:t xml:space="preserve"> </w:t>
      </w:r>
      <w:r>
        <w:rPr>
          <w:color w:val="231F20"/>
          <w:w w:val="95"/>
        </w:rPr>
        <w:t>one</w:t>
      </w:r>
      <w:r>
        <w:rPr>
          <w:color w:val="231F20"/>
          <w:spacing w:val="-9"/>
          <w:w w:val="95"/>
        </w:rPr>
        <w:t xml:space="preserve"> </w:t>
      </w:r>
      <w:r>
        <w:rPr>
          <w:color w:val="231F20"/>
          <w:w w:val="95"/>
        </w:rPr>
        <w:t>that</w:t>
      </w:r>
      <w:r>
        <w:rPr>
          <w:color w:val="231F20"/>
          <w:spacing w:val="-10"/>
          <w:w w:val="95"/>
        </w:rPr>
        <w:t xml:space="preserve"> </w:t>
      </w:r>
      <w:r>
        <w:rPr>
          <w:color w:val="231F20"/>
          <w:w w:val="95"/>
        </w:rPr>
        <w:t>is</w:t>
      </w:r>
      <w:r>
        <w:rPr>
          <w:color w:val="231F20"/>
          <w:spacing w:val="-9"/>
          <w:w w:val="95"/>
        </w:rPr>
        <w:t xml:space="preserve"> </w:t>
      </w:r>
      <w:r>
        <w:rPr>
          <w:color w:val="231F20"/>
          <w:w w:val="95"/>
        </w:rPr>
        <w:t>recognised</w:t>
      </w:r>
      <w:r>
        <w:rPr>
          <w:color w:val="231F20"/>
          <w:spacing w:val="-9"/>
          <w:w w:val="95"/>
        </w:rPr>
        <w:t xml:space="preserve"> </w:t>
      </w:r>
      <w:r>
        <w:rPr>
          <w:color w:val="231F20"/>
          <w:w w:val="95"/>
        </w:rPr>
        <w:t xml:space="preserve">worldwide </w:t>
      </w:r>
      <w:r>
        <w:rPr>
          <w:color w:val="231F20"/>
        </w:rPr>
        <w:t>for its particular performance of fandom. The local fans of both clubs have to negotiate how it is they deal with an influx of global fans. The local</w:t>
      </w:r>
      <w:r>
        <w:rPr>
          <w:color w:val="231F20"/>
          <w:spacing w:val="-5"/>
        </w:rPr>
        <w:t xml:space="preserve"> </w:t>
      </w:r>
      <w:r>
        <w:rPr>
          <w:color w:val="231F20"/>
        </w:rPr>
        <w:t>cannot</w:t>
      </w:r>
      <w:r>
        <w:rPr>
          <w:color w:val="231F20"/>
          <w:spacing w:val="-5"/>
        </w:rPr>
        <w:t xml:space="preserve"> </w:t>
      </w:r>
      <w:r>
        <w:rPr>
          <w:color w:val="231F20"/>
        </w:rPr>
        <w:t>be</w:t>
      </w:r>
      <w:r>
        <w:rPr>
          <w:color w:val="231F20"/>
          <w:spacing w:val="-5"/>
        </w:rPr>
        <w:t xml:space="preserve"> </w:t>
      </w:r>
      <w:r>
        <w:rPr>
          <w:color w:val="231F20"/>
        </w:rPr>
        <w:t>separate</w:t>
      </w:r>
      <w:r>
        <w:rPr>
          <w:color w:val="231F20"/>
          <w:spacing w:val="-5"/>
        </w:rPr>
        <w:t xml:space="preserve"> </w:t>
      </w:r>
      <w:r>
        <w:rPr>
          <w:color w:val="231F20"/>
        </w:rPr>
        <w:t>from</w:t>
      </w:r>
      <w:r>
        <w:rPr>
          <w:color w:val="231F20"/>
          <w:spacing w:val="-5"/>
        </w:rPr>
        <w:t xml:space="preserve"> </w:t>
      </w:r>
      <w:r>
        <w:rPr>
          <w:color w:val="231F20"/>
        </w:rPr>
        <w:t>the</w:t>
      </w:r>
      <w:r>
        <w:rPr>
          <w:color w:val="231F20"/>
          <w:spacing w:val="-5"/>
        </w:rPr>
        <w:t xml:space="preserve"> </w:t>
      </w:r>
      <w:r>
        <w:rPr>
          <w:color w:val="231F20"/>
        </w:rPr>
        <w:t>global,</w:t>
      </w:r>
      <w:r>
        <w:rPr>
          <w:color w:val="231F20"/>
          <w:spacing w:val="-5"/>
        </w:rPr>
        <w:t xml:space="preserve"> </w:t>
      </w:r>
      <w:r>
        <w:rPr>
          <w:color w:val="231F20"/>
        </w:rPr>
        <w:t>since</w:t>
      </w:r>
      <w:r>
        <w:rPr>
          <w:color w:val="231F20"/>
          <w:spacing w:val="-5"/>
        </w:rPr>
        <w:t xml:space="preserve"> </w:t>
      </w:r>
      <w:r>
        <w:rPr>
          <w:color w:val="231F20"/>
        </w:rPr>
        <w:t>it</w:t>
      </w:r>
      <w:r>
        <w:rPr>
          <w:color w:val="231F20"/>
          <w:spacing w:val="-5"/>
        </w:rPr>
        <w:t xml:space="preserve"> </w:t>
      </w:r>
      <w:r>
        <w:rPr>
          <w:color w:val="231F20"/>
        </w:rPr>
        <w:t>is</w:t>
      </w:r>
      <w:r>
        <w:rPr>
          <w:color w:val="231F20"/>
          <w:spacing w:val="-5"/>
        </w:rPr>
        <w:t xml:space="preserve"> </w:t>
      </w:r>
      <w:r>
        <w:rPr>
          <w:color w:val="231F20"/>
        </w:rPr>
        <w:t>the</w:t>
      </w:r>
      <w:r>
        <w:rPr>
          <w:color w:val="231F20"/>
          <w:spacing w:val="-5"/>
        </w:rPr>
        <w:t xml:space="preserve"> </w:t>
      </w:r>
      <w:r>
        <w:rPr>
          <w:color w:val="231F20"/>
        </w:rPr>
        <w:t>local</w:t>
      </w:r>
      <w:r>
        <w:rPr>
          <w:color w:val="231F20"/>
          <w:spacing w:val="-5"/>
        </w:rPr>
        <w:t xml:space="preserve"> </w:t>
      </w:r>
      <w:r>
        <w:rPr>
          <w:color w:val="231F20"/>
        </w:rPr>
        <w:t>identity</w:t>
      </w:r>
      <w:r>
        <w:rPr>
          <w:color w:val="231F20"/>
          <w:spacing w:val="-5"/>
        </w:rPr>
        <w:t xml:space="preserve"> </w:t>
      </w:r>
      <w:r>
        <w:rPr>
          <w:color w:val="231F20"/>
        </w:rPr>
        <w:t xml:space="preserve">of </w:t>
      </w:r>
      <w:r>
        <w:rPr>
          <w:color w:val="231F20"/>
          <w:spacing w:val="-4"/>
        </w:rPr>
        <w:t>clubs that fascinates foreign audien</w:t>
      </w:r>
      <w:r>
        <w:rPr>
          <w:color w:val="231F20"/>
          <w:spacing w:val="-4"/>
        </w:rPr>
        <w:t xml:space="preserve">ces (Salazar, 2005). Would Liverpool </w:t>
      </w:r>
      <w:r>
        <w:rPr>
          <w:color w:val="231F20"/>
        </w:rPr>
        <w:t>FC</w:t>
      </w:r>
      <w:r>
        <w:rPr>
          <w:color w:val="231F20"/>
          <w:spacing w:val="-4"/>
        </w:rPr>
        <w:t xml:space="preserve"> </w:t>
      </w:r>
      <w:r>
        <w:rPr>
          <w:color w:val="231F20"/>
        </w:rPr>
        <w:t>or</w:t>
      </w:r>
      <w:r>
        <w:rPr>
          <w:color w:val="231F20"/>
          <w:spacing w:val="-4"/>
        </w:rPr>
        <w:t xml:space="preserve"> </w:t>
      </w:r>
      <w:r>
        <w:rPr>
          <w:color w:val="231F20"/>
        </w:rPr>
        <w:t>Everton</w:t>
      </w:r>
      <w:r>
        <w:rPr>
          <w:color w:val="231F20"/>
          <w:spacing w:val="-4"/>
        </w:rPr>
        <w:t xml:space="preserve"> </w:t>
      </w:r>
      <w:r>
        <w:rPr>
          <w:color w:val="231F20"/>
        </w:rPr>
        <w:t>FC</w:t>
      </w:r>
      <w:r>
        <w:rPr>
          <w:color w:val="231F20"/>
          <w:spacing w:val="-4"/>
        </w:rPr>
        <w:t xml:space="preserve"> </w:t>
      </w:r>
      <w:r>
        <w:rPr>
          <w:color w:val="231F20"/>
        </w:rPr>
        <w:t>be</w:t>
      </w:r>
      <w:r>
        <w:rPr>
          <w:color w:val="231F20"/>
          <w:spacing w:val="-4"/>
        </w:rPr>
        <w:t xml:space="preserve"> </w:t>
      </w:r>
      <w:r>
        <w:rPr>
          <w:color w:val="231F20"/>
        </w:rPr>
        <w:t>as</w:t>
      </w:r>
      <w:r>
        <w:rPr>
          <w:color w:val="231F20"/>
          <w:spacing w:val="-4"/>
        </w:rPr>
        <w:t xml:space="preserve"> </w:t>
      </w:r>
      <w:r>
        <w:rPr>
          <w:color w:val="231F20"/>
        </w:rPr>
        <w:t>popular</w:t>
      </w:r>
      <w:r>
        <w:rPr>
          <w:color w:val="231F20"/>
          <w:spacing w:val="-4"/>
        </w:rPr>
        <w:t xml:space="preserve"> </w:t>
      </w:r>
      <w:r>
        <w:rPr>
          <w:color w:val="231F20"/>
        </w:rPr>
        <w:t>if they</w:t>
      </w:r>
      <w:r>
        <w:rPr>
          <w:color w:val="231F20"/>
          <w:spacing w:val="-4"/>
        </w:rPr>
        <w:t xml:space="preserve"> </w:t>
      </w:r>
      <w:r>
        <w:rPr>
          <w:color w:val="231F20"/>
        </w:rPr>
        <w:t>were</w:t>
      </w:r>
      <w:r>
        <w:rPr>
          <w:color w:val="231F20"/>
          <w:spacing w:val="-4"/>
        </w:rPr>
        <w:t xml:space="preserve"> </w:t>
      </w:r>
      <w:r>
        <w:rPr>
          <w:color w:val="231F20"/>
        </w:rPr>
        <w:t>exactly</w:t>
      </w:r>
      <w:r>
        <w:rPr>
          <w:color w:val="231F20"/>
          <w:spacing w:val="-4"/>
        </w:rPr>
        <w:t xml:space="preserve"> </w:t>
      </w:r>
      <w:r>
        <w:rPr>
          <w:color w:val="231F20"/>
        </w:rPr>
        <w:t>the</w:t>
      </w:r>
      <w:r>
        <w:rPr>
          <w:color w:val="231F20"/>
          <w:spacing w:val="-4"/>
        </w:rPr>
        <w:t xml:space="preserve"> </w:t>
      </w:r>
      <w:r>
        <w:rPr>
          <w:color w:val="231F20"/>
        </w:rPr>
        <w:t>same</w:t>
      </w:r>
      <w:r>
        <w:rPr>
          <w:color w:val="231F20"/>
          <w:spacing w:val="-4"/>
        </w:rPr>
        <w:t xml:space="preserve"> </w:t>
      </w:r>
      <w:r>
        <w:rPr>
          <w:color w:val="231F20"/>
        </w:rPr>
        <w:t>as</w:t>
      </w:r>
      <w:r>
        <w:rPr>
          <w:color w:val="231F20"/>
          <w:spacing w:val="-4"/>
        </w:rPr>
        <w:t xml:space="preserve"> </w:t>
      </w:r>
      <w:r>
        <w:rPr>
          <w:color w:val="231F20"/>
        </w:rPr>
        <w:t>all</w:t>
      </w:r>
      <w:r>
        <w:rPr>
          <w:color w:val="231F20"/>
          <w:spacing w:val="-4"/>
        </w:rPr>
        <w:t xml:space="preserve"> </w:t>
      </w:r>
      <w:r>
        <w:rPr>
          <w:color w:val="231F20"/>
        </w:rPr>
        <w:t>the other</w:t>
      </w:r>
      <w:r>
        <w:rPr>
          <w:color w:val="231F20"/>
          <w:spacing w:val="-4"/>
        </w:rPr>
        <w:t xml:space="preserve"> </w:t>
      </w:r>
      <w:r>
        <w:rPr>
          <w:color w:val="231F20"/>
        </w:rPr>
        <w:t>teams?</w:t>
      </w:r>
      <w:r>
        <w:rPr>
          <w:color w:val="231F20"/>
          <w:spacing w:val="-4"/>
        </w:rPr>
        <w:t xml:space="preserve"> </w:t>
      </w:r>
      <w:r>
        <w:rPr>
          <w:color w:val="231F20"/>
        </w:rPr>
        <w:t>No.</w:t>
      </w:r>
      <w:r>
        <w:rPr>
          <w:color w:val="231F20"/>
          <w:spacing w:val="-4"/>
        </w:rPr>
        <w:t xml:space="preserve"> </w:t>
      </w:r>
      <w:r>
        <w:rPr>
          <w:color w:val="231F20"/>
        </w:rPr>
        <w:t>It</w:t>
      </w:r>
      <w:r>
        <w:rPr>
          <w:color w:val="231F20"/>
          <w:spacing w:val="-4"/>
        </w:rPr>
        <w:t xml:space="preserve"> </w:t>
      </w:r>
      <w:r>
        <w:rPr>
          <w:color w:val="231F20"/>
        </w:rPr>
        <w:t>is</w:t>
      </w:r>
      <w:r>
        <w:rPr>
          <w:color w:val="231F20"/>
          <w:spacing w:val="-4"/>
        </w:rPr>
        <w:t xml:space="preserve"> </w:t>
      </w:r>
      <w:r>
        <w:rPr>
          <w:color w:val="231F20"/>
        </w:rPr>
        <w:t>the</w:t>
      </w:r>
      <w:r>
        <w:rPr>
          <w:color w:val="231F20"/>
          <w:spacing w:val="-4"/>
        </w:rPr>
        <w:t xml:space="preserve"> </w:t>
      </w:r>
      <w:r>
        <w:rPr>
          <w:color w:val="231F20"/>
        </w:rPr>
        <w:t>specific</w:t>
      </w:r>
      <w:r>
        <w:rPr>
          <w:color w:val="231F20"/>
          <w:spacing w:val="-4"/>
        </w:rPr>
        <w:t xml:space="preserve"> </w:t>
      </w:r>
      <w:r>
        <w:rPr>
          <w:color w:val="231F20"/>
        </w:rPr>
        <w:t>football</w:t>
      </w:r>
      <w:r>
        <w:rPr>
          <w:color w:val="231F20"/>
          <w:spacing w:val="-4"/>
        </w:rPr>
        <w:t xml:space="preserve"> </w:t>
      </w:r>
      <w:r>
        <w:rPr>
          <w:color w:val="231F20"/>
        </w:rPr>
        <w:t>space</w:t>
      </w:r>
      <w:r>
        <w:rPr>
          <w:color w:val="231F20"/>
          <w:spacing w:val="-4"/>
        </w:rPr>
        <w:t xml:space="preserve"> </w:t>
      </w:r>
      <w:r>
        <w:rPr>
          <w:color w:val="231F20"/>
        </w:rPr>
        <w:t>created</w:t>
      </w:r>
      <w:r>
        <w:rPr>
          <w:color w:val="231F20"/>
          <w:spacing w:val="-4"/>
        </w:rPr>
        <w:t xml:space="preserve"> </w:t>
      </w:r>
      <w:r>
        <w:rPr>
          <w:color w:val="231F20"/>
        </w:rPr>
        <w:t>in</w:t>
      </w:r>
      <w:r>
        <w:rPr>
          <w:color w:val="231F20"/>
          <w:spacing w:val="-4"/>
        </w:rPr>
        <w:t xml:space="preserve"> </w:t>
      </w:r>
      <w:r>
        <w:rPr>
          <w:color w:val="231F20"/>
        </w:rPr>
        <w:t xml:space="preserve">Merseyside </w:t>
      </w:r>
      <w:r>
        <w:rPr>
          <w:color w:val="231F20"/>
          <w:spacing w:val="-2"/>
        </w:rPr>
        <w:t>that</w:t>
      </w:r>
      <w:r>
        <w:rPr>
          <w:color w:val="231F20"/>
          <w:spacing w:val="-6"/>
        </w:rPr>
        <w:t xml:space="preserve"> </w:t>
      </w:r>
      <w:r>
        <w:rPr>
          <w:color w:val="231F20"/>
          <w:spacing w:val="-2"/>
        </w:rPr>
        <w:t>has</w:t>
      </w:r>
      <w:r>
        <w:rPr>
          <w:color w:val="231F20"/>
          <w:spacing w:val="-6"/>
        </w:rPr>
        <w:t xml:space="preserve"> </w:t>
      </w:r>
      <w:r>
        <w:rPr>
          <w:color w:val="231F20"/>
          <w:spacing w:val="-2"/>
        </w:rPr>
        <w:t>contributed</w:t>
      </w:r>
      <w:r>
        <w:rPr>
          <w:color w:val="231F20"/>
          <w:spacing w:val="-6"/>
        </w:rPr>
        <w:t xml:space="preserve"> </w:t>
      </w:r>
      <w:r>
        <w:rPr>
          <w:color w:val="231F20"/>
          <w:spacing w:val="-2"/>
        </w:rPr>
        <w:t>to</w:t>
      </w:r>
      <w:r>
        <w:rPr>
          <w:color w:val="231F20"/>
          <w:spacing w:val="-6"/>
        </w:rPr>
        <w:t xml:space="preserve"> </w:t>
      </w:r>
      <w:r>
        <w:rPr>
          <w:color w:val="231F20"/>
          <w:spacing w:val="-2"/>
        </w:rPr>
        <w:t>the</w:t>
      </w:r>
      <w:r>
        <w:rPr>
          <w:color w:val="231F20"/>
          <w:spacing w:val="-6"/>
        </w:rPr>
        <w:t xml:space="preserve"> </w:t>
      </w:r>
      <w:r>
        <w:rPr>
          <w:color w:val="231F20"/>
          <w:spacing w:val="-2"/>
        </w:rPr>
        <w:t>global</w:t>
      </w:r>
      <w:r>
        <w:rPr>
          <w:color w:val="231F20"/>
          <w:spacing w:val="-6"/>
        </w:rPr>
        <w:t xml:space="preserve"> </w:t>
      </w:r>
      <w:r>
        <w:rPr>
          <w:color w:val="231F20"/>
          <w:spacing w:val="-2"/>
        </w:rPr>
        <w:t>following</w:t>
      </w:r>
      <w:r>
        <w:rPr>
          <w:color w:val="231F20"/>
          <w:spacing w:val="-6"/>
        </w:rPr>
        <w:t xml:space="preserve"> </w:t>
      </w:r>
      <w:r>
        <w:rPr>
          <w:color w:val="231F20"/>
          <w:spacing w:val="-2"/>
        </w:rPr>
        <w:t>of</w:t>
      </w:r>
      <w:r>
        <w:rPr>
          <w:color w:val="231F20"/>
        </w:rPr>
        <w:t xml:space="preserve"> </w:t>
      </w:r>
      <w:r>
        <w:rPr>
          <w:color w:val="231F20"/>
          <w:spacing w:val="-2"/>
        </w:rPr>
        <w:t>those</w:t>
      </w:r>
      <w:r>
        <w:rPr>
          <w:color w:val="231F20"/>
          <w:spacing w:val="-6"/>
        </w:rPr>
        <w:t xml:space="preserve"> </w:t>
      </w:r>
      <w:r>
        <w:rPr>
          <w:color w:val="231F20"/>
          <w:spacing w:val="-2"/>
        </w:rPr>
        <w:t>teams.</w:t>
      </w:r>
      <w:r>
        <w:rPr>
          <w:color w:val="231F20"/>
          <w:spacing w:val="-6"/>
        </w:rPr>
        <w:t xml:space="preserve"> </w:t>
      </w:r>
      <w:r>
        <w:rPr>
          <w:color w:val="231F20"/>
          <w:spacing w:val="-2"/>
        </w:rPr>
        <w:t>The</w:t>
      </w:r>
      <w:r>
        <w:rPr>
          <w:color w:val="231F20"/>
          <w:spacing w:val="-6"/>
        </w:rPr>
        <w:t xml:space="preserve"> </w:t>
      </w:r>
      <w:r>
        <w:rPr>
          <w:color w:val="231F20"/>
          <w:spacing w:val="-2"/>
        </w:rPr>
        <w:t xml:space="preserve">football </w:t>
      </w:r>
      <w:r>
        <w:rPr>
          <w:color w:val="231F20"/>
        </w:rPr>
        <w:t>space</w:t>
      </w:r>
      <w:r>
        <w:rPr>
          <w:color w:val="231F20"/>
          <w:spacing w:val="-12"/>
        </w:rPr>
        <w:t xml:space="preserve"> </w:t>
      </w:r>
      <w:r>
        <w:rPr>
          <w:color w:val="231F20"/>
        </w:rPr>
        <w:t>of</w:t>
      </w:r>
      <w:r>
        <w:rPr>
          <w:color w:val="231F20"/>
          <w:spacing w:val="-12"/>
        </w:rPr>
        <w:t xml:space="preserve"> </w:t>
      </w:r>
      <w:r>
        <w:rPr>
          <w:color w:val="231F20"/>
        </w:rPr>
        <w:t>Liverpool</w:t>
      </w:r>
      <w:r>
        <w:rPr>
          <w:color w:val="231F20"/>
          <w:spacing w:val="-11"/>
        </w:rPr>
        <w:t xml:space="preserve"> </w:t>
      </w:r>
      <w:r>
        <w:rPr>
          <w:color w:val="231F20"/>
        </w:rPr>
        <w:t>is</w:t>
      </w:r>
      <w:r>
        <w:rPr>
          <w:color w:val="231F20"/>
          <w:spacing w:val="-12"/>
        </w:rPr>
        <w:t xml:space="preserve"> </w:t>
      </w:r>
      <w:r>
        <w:rPr>
          <w:color w:val="231F20"/>
        </w:rPr>
        <w:t>a</w:t>
      </w:r>
      <w:r>
        <w:rPr>
          <w:color w:val="231F20"/>
          <w:spacing w:val="-11"/>
        </w:rPr>
        <w:t xml:space="preserve"> </w:t>
      </w:r>
      <w:r>
        <w:rPr>
          <w:color w:val="231F20"/>
        </w:rPr>
        <w:t>social</w:t>
      </w:r>
      <w:r>
        <w:rPr>
          <w:color w:val="231F20"/>
          <w:spacing w:val="-12"/>
        </w:rPr>
        <w:t xml:space="preserve"> </w:t>
      </w:r>
      <w:r>
        <w:rPr>
          <w:color w:val="231F20"/>
        </w:rPr>
        <w:t>and</w:t>
      </w:r>
      <w:r>
        <w:rPr>
          <w:color w:val="231F20"/>
          <w:spacing w:val="-11"/>
        </w:rPr>
        <w:t xml:space="preserve"> </w:t>
      </w:r>
      <w:r>
        <w:rPr>
          <w:color w:val="231F20"/>
        </w:rPr>
        <w:t>cultural</w:t>
      </w:r>
      <w:r>
        <w:rPr>
          <w:color w:val="231F20"/>
          <w:spacing w:val="-12"/>
        </w:rPr>
        <w:t xml:space="preserve"> </w:t>
      </w:r>
      <w:r>
        <w:rPr>
          <w:color w:val="231F20"/>
        </w:rPr>
        <w:t>space</w:t>
      </w:r>
      <w:r>
        <w:rPr>
          <w:color w:val="231F20"/>
          <w:spacing w:val="-12"/>
        </w:rPr>
        <w:t xml:space="preserve"> </w:t>
      </w:r>
      <w:r>
        <w:rPr>
          <w:color w:val="231F20"/>
        </w:rPr>
        <w:t>that</w:t>
      </w:r>
      <w:r>
        <w:rPr>
          <w:color w:val="231F20"/>
          <w:spacing w:val="-11"/>
        </w:rPr>
        <w:t xml:space="preserve"> </w:t>
      </w:r>
      <w:r>
        <w:rPr>
          <w:color w:val="231F20"/>
        </w:rPr>
        <w:t>extends</w:t>
      </w:r>
      <w:r>
        <w:rPr>
          <w:color w:val="231F20"/>
          <w:spacing w:val="-12"/>
        </w:rPr>
        <w:t xml:space="preserve"> </w:t>
      </w:r>
      <w:r>
        <w:rPr>
          <w:color w:val="231F20"/>
        </w:rPr>
        <w:t>beyond</w:t>
      </w:r>
      <w:r>
        <w:rPr>
          <w:color w:val="231F20"/>
          <w:spacing w:val="-11"/>
        </w:rPr>
        <w:t xml:space="preserve"> </w:t>
      </w:r>
      <w:r>
        <w:rPr>
          <w:color w:val="231F20"/>
        </w:rPr>
        <w:t xml:space="preserve">its </w:t>
      </w:r>
      <w:r>
        <w:rPr>
          <w:color w:val="231F20"/>
          <w:spacing w:val="-2"/>
        </w:rPr>
        <w:t>economic</w:t>
      </w:r>
      <w:r>
        <w:rPr>
          <w:color w:val="231F20"/>
          <w:spacing w:val="-8"/>
        </w:rPr>
        <w:t xml:space="preserve"> </w:t>
      </w:r>
      <w:r>
        <w:rPr>
          <w:color w:val="231F20"/>
          <w:spacing w:val="-2"/>
        </w:rPr>
        <w:t>value.</w:t>
      </w:r>
      <w:r>
        <w:rPr>
          <w:color w:val="231F20"/>
          <w:spacing w:val="-8"/>
        </w:rPr>
        <w:t xml:space="preserve"> </w:t>
      </w:r>
      <w:r>
        <w:rPr>
          <w:color w:val="231F20"/>
          <w:spacing w:val="-2"/>
        </w:rPr>
        <w:t>The</w:t>
      </w:r>
      <w:r>
        <w:rPr>
          <w:color w:val="231F20"/>
          <w:spacing w:val="-8"/>
        </w:rPr>
        <w:t xml:space="preserve"> </w:t>
      </w:r>
      <w:r>
        <w:rPr>
          <w:color w:val="231F20"/>
          <w:spacing w:val="-2"/>
        </w:rPr>
        <w:t>contestation</w:t>
      </w:r>
      <w:r>
        <w:rPr>
          <w:color w:val="231F20"/>
          <w:spacing w:val="-8"/>
        </w:rPr>
        <w:t xml:space="preserve"> </w:t>
      </w:r>
      <w:r>
        <w:rPr>
          <w:color w:val="231F20"/>
          <w:spacing w:val="-2"/>
        </w:rPr>
        <w:t>of</w:t>
      </w:r>
      <w:r>
        <w:rPr>
          <w:color w:val="231F20"/>
          <w:spacing w:val="3"/>
        </w:rPr>
        <w:t xml:space="preserve"> </w:t>
      </w:r>
      <w:r>
        <w:rPr>
          <w:color w:val="231F20"/>
          <w:spacing w:val="-2"/>
        </w:rPr>
        <w:t>this</w:t>
      </w:r>
      <w:r>
        <w:rPr>
          <w:color w:val="231F20"/>
          <w:spacing w:val="-8"/>
        </w:rPr>
        <w:t xml:space="preserve"> </w:t>
      </w:r>
      <w:r>
        <w:rPr>
          <w:color w:val="231F20"/>
          <w:spacing w:val="-2"/>
        </w:rPr>
        <w:t>space</w:t>
      </w:r>
      <w:r>
        <w:rPr>
          <w:color w:val="231F20"/>
          <w:spacing w:val="-8"/>
        </w:rPr>
        <w:t xml:space="preserve"> </w:t>
      </w:r>
      <w:r>
        <w:rPr>
          <w:color w:val="231F20"/>
          <w:spacing w:val="-2"/>
        </w:rPr>
        <w:t>by</w:t>
      </w:r>
      <w:r>
        <w:rPr>
          <w:color w:val="231F20"/>
          <w:spacing w:val="-8"/>
        </w:rPr>
        <w:t xml:space="preserve"> </w:t>
      </w:r>
      <w:r>
        <w:rPr>
          <w:color w:val="231F20"/>
          <w:spacing w:val="-2"/>
        </w:rPr>
        <w:t>locals</w:t>
      </w:r>
      <w:r>
        <w:rPr>
          <w:color w:val="231F20"/>
          <w:spacing w:val="-8"/>
        </w:rPr>
        <w:t xml:space="preserve"> </w:t>
      </w:r>
      <w:r>
        <w:rPr>
          <w:color w:val="231F20"/>
          <w:spacing w:val="-2"/>
        </w:rPr>
        <w:t>is</w:t>
      </w:r>
      <w:r>
        <w:rPr>
          <w:color w:val="231F20"/>
          <w:spacing w:val="-8"/>
        </w:rPr>
        <w:t xml:space="preserve"> </w:t>
      </w:r>
      <w:r>
        <w:rPr>
          <w:color w:val="231F20"/>
          <w:spacing w:val="-2"/>
        </w:rPr>
        <w:t>an</w:t>
      </w:r>
      <w:r>
        <w:rPr>
          <w:color w:val="231F20"/>
          <w:spacing w:val="-8"/>
        </w:rPr>
        <w:t xml:space="preserve"> </w:t>
      </w:r>
      <w:r>
        <w:rPr>
          <w:color w:val="231F20"/>
          <w:spacing w:val="-2"/>
        </w:rPr>
        <w:t>attempt</w:t>
      </w:r>
      <w:r>
        <w:rPr>
          <w:color w:val="231F20"/>
          <w:spacing w:val="-8"/>
        </w:rPr>
        <w:t xml:space="preserve"> </w:t>
      </w:r>
      <w:r>
        <w:rPr>
          <w:color w:val="231F20"/>
          <w:spacing w:val="-2"/>
        </w:rPr>
        <w:t>to control</w:t>
      </w:r>
      <w:r>
        <w:rPr>
          <w:color w:val="231F20"/>
          <w:spacing w:val="-5"/>
        </w:rPr>
        <w:t xml:space="preserve"> </w:t>
      </w:r>
      <w:r>
        <w:rPr>
          <w:color w:val="231F20"/>
          <w:spacing w:val="-2"/>
        </w:rPr>
        <w:t>the</w:t>
      </w:r>
      <w:r>
        <w:rPr>
          <w:color w:val="231F20"/>
          <w:spacing w:val="-5"/>
        </w:rPr>
        <w:t xml:space="preserve"> </w:t>
      </w:r>
      <w:r>
        <w:rPr>
          <w:color w:val="231F20"/>
          <w:spacing w:val="-2"/>
        </w:rPr>
        <w:t>production</w:t>
      </w:r>
      <w:r>
        <w:rPr>
          <w:color w:val="231F20"/>
          <w:spacing w:val="-5"/>
        </w:rPr>
        <w:t xml:space="preserve"> </w:t>
      </w:r>
      <w:r>
        <w:rPr>
          <w:color w:val="231F20"/>
          <w:spacing w:val="-2"/>
        </w:rPr>
        <w:t>of</w:t>
      </w:r>
      <w:r>
        <w:rPr>
          <w:color w:val="231F20"/>
        </w:rPr>
        <w:t xml:space="preserve"> </w:t>
      </w:r>
      <w:r>
        <w:rPr>
          <w:color w:val="231F20"/>
          <w:spacing w:val="-2"/>
        </w:rPr>
        <w:t>football</w:t>
      </w:r>
      <w:r>
        <w:rPr>
          <w:color w:val="231F20"/>
          <w:spacing w:val="-5"/>
        </w:rPr>
        <w:t xml:space="preserve"> </w:t>
      </w:r>
      <w:r>
        <w:rPr>
          <w:color w:val="231F20"/>
          <w:spacing w:val="-2"/>
        </w:rPr>
        <w:t>space</w:t>
      </w:r>
      <w:r>
        <w:rPr>
          <w:color w:val="231F20"/>
          <w:spacing w:val="-5"/>
        </w:rPr>
        <w:t xml:space="preserve"> </w:t>
      </w:r>
      <w:r>
        <w:rPr>
          <w:color w:val="231F20"/>
          <w:spacing w:val="-2"/>
        </w:rPr>
        <w:t>and</w:t>
      </w:r>
      <w:r>
        <w:rPr>
          <w:color w:val="231F20"/>
          <w:spacing w:val="-5"/>
        </w:rPr>
        <w:t xml:space="preserve"> </w:t>
      </w:r>
      <w:r>
        <w:rPr>
          <w:color w:val="231F20"/>
          <w:spacing w:val="-2"/>
        </w:rPr>
        <w:t>assert</w:t>
      </w:r>
      <w:r>
        <w:rPr>
          <w:color w:val="231F20"/>
          <w:spacing w:val="-5"/>
        </w:rPr>
        <w:t xml:space="preserve"> </w:t>
      </w:r>
      <w:r>
        <w:rPr>
          <w:color w:val="231F20"/>
          <w:spacing w:val="-2"/>
        </w:rPr>
        <w:t>that</w:t>
      </w:r>
      <w:r>
        <w:rPr>
          <w:color w:val="231F20"/>
          <w:spacing w:val="-5"/>
        </w:rPr>
        <w:t xml:space="preserve"> </w:t>
      </w:r>
      <w:r>
        <w:rPr>
          <w:color w:val="231F20"/>
          <w:spacing w:val="-2"/>
        </w:rPr>
        <w:t>the</w:t>
      </w:r>
      <w:r>
        <w:rPr>
          <w:color w:val="231F20"/>
          <w:spacing w:val="-5"/>
        </w:rPr>
        <w:t xml:space="preserve"> </w:t>
      </w:r>
      <w:r>
        <w:rPr>
          <w:color w:val="231F20"/>
          <w:spacing w:val="-2"/>
        </w:rPr>
        <w:t>global</w:t>
      </w:r>
      <w:r>
        <w:rPr>
          <w:color w:val="231F20"/>
          <w:spacing w:val="-5"/>
        </w:rPr>
        <w:t xml:space="preserve"> </w:t>
      </w:r>
      <w:r>
        <w:rPr>
          <w:color w:val="231F20"/>
          <w:spacing w:val="-2"/>
        </w:rPr>
        <w:t xml:space="preserve">game </w:t>
      </w:r>
      <w:r>
        <w:rPr>
          <w:color w:val="231F20"/>
          <w:w w:val="95"/>
        </w:rPr>
        <w:t xml:space="preserve">can have a Liverpool-specific and even a club-specific inflection that is, in </w:t>
      </w:r>
      <w:r>
        <w:rPr>
          <w:color w:val="231F20"/>
          <w:spacing w:val="-2"/>
        </w:rPr>
        <w:t>their</w:t>
      </w:r>
      <w:r>
        <w:rPr>
          <w:color w:val="231F20"/>
          <w:spacing w:val="-7"/>
        </w:rPr>
        <w:t xml:space="preserve"> </w:t>
      </w:r>
      <w:r>
        <w:rPr>
          <w:color w:val="231F20"/>
          <w:spacing w:val="-2"/>
        </w:rPr>
        <w:t>view,</w:t>
      </w:r>
      <w:r>
        <w:rPr>
          <w:color w:val="231F20"/>
          <w:spacing w:val="-7"/>
        </w:rPr>
        <w:t xml:space="preserve"> </w:t>
      </w:r>
      <w:r>
        <w:rPr>
          <w:color w:val="231F20"/>
          <w:spacing w:val="-2"/>
        </w:rPr>
        <w:t>best</w:t>
      </w:r>
      <w:r>
        <w:rPr>
          <w:color w:val="231F20"/>
          <w:spacing w:val="-7"/>
        </w:rPr>
        <w:t xml:space="preserve"> </w:t>
      </w:r>
      <w:r>
        <w:rPr>
          <w:color w:val="231F20"/>
          <w:spacing w:val="-2"/>
        </w:rPr>
        <w:t>managed</w:t>
      </w:r>
      <w:r>
        <w:rPr>
          <w:color w:val="231F20"/>
          <w:spacing w:val="-7"/>
        </w:rPr>
        <w:t xml:space="preserve"> </w:t>
      </w:r>
      <w:r>
        <w:rPr>
          <w:color w:val="231F20"/>
          <w:spacing w:val="-2"/>
        </w:rPr>
        <w:t>by</w:t>
      </w:r>
      <w:r>
        <w:rPr>
          <w:color w:val="231F20"/>
          <w:spacing w:val="-7"/>
        </w:rPr>
        <w:t xml:space="preserve"> </w:t>
      </w:r>
      <w:r>
        <w:rPr>
          <w:color w:val="231F20"/>
          <w:spacing w:val="-2"/>
        </w:rPr>
        <w:t>the</w:t>
      </w:r>
      <w:r>
        <w:rPr>
          <w:color w:val="231F20"/>
          <w:spacing w:val="-7"/>
        </w:rPr>
        <w:t xml:space="preserve"> </w:t>
      </w:r>
      <w:r>
        <w:rPr>
          <w:color w:val="231F20"/>
          <w:spacing w:val="-2"/>
        </w:rPr>
        <w:t>hands</w:t>
      </w:r>
      <w:r>
        <w:rPr>
          <w:color w:val="231F20"/>
          <w:spacing w:val="-7"/>
        </w:rPr>
        <w:t xml:space="preserve"> </w:t>
      </w:r>
      <w:r>
        <w:rPr>
          <w:color w:val="231F20"/>
          <w:spacing w:val="-2"/>
        </w:rPr>
        <w:t>of</w:t>
      </w:r>
      <w:r>
        <w:rPr>
          <w:color w:val="231F20"/>
          <w:spacing w:val="6"/>
        </w:rPr>
        <w:t xml:space="preserve"> </w:t>
      </w:r>
      <w:r>
        <w:rPr>
          <w:color w:val="231F20"/>
          <w:spacing w:val="-2"/>
        </w:rPr>
        <w:t>the</w:t>
      </w:r>
      <w:r>
        <w:rPr>
          <w:color w:val="231F20"/>
          <w:spacing w:val="-7"/>
        </w:rPr>
        <w:t xml:space="preserve"> </w:t>
      </w:r>
      <w:r>
        <w:rPr>
          <w:color w:val="231F20"/>
          <w:spacing w:val="-2"/>
        </w:rPr>
        <w:t>locals</w:t>
      </w:r>
      <w:r>
        <w:rPr>
          <w:color w:val="231F20"/>
          <w:spacing w:val="-7"/>
        </w:rPr>
        <w:t xml:space="preserve"> </w:t>
      </w:r>
      <w:r>
        <w:rPr>
          <w:color w:val="231F20"/>
          <w:spacing w:val="-2"/>
        </w:rPr>
        <w:t>that</w:t>
      </w:r>
      <w:r>
        <w:rPr>
          <w:color w:val="231F20"/>
          <w:spacing w:val="-7"/>
        </w:rPr>
        <w:t xml:space="preserve"> </w:t>
      </w:r>
      <w:r>
        <w:rPr>
          <w:color w:val="231F20"/>
          <w:spacing w:val="-2"/>
        </w:rPr>
        <w:t>created</w:t>
      </w:r>
      <w:r>
        <w:rPr>
          <w:color w:val="231F20"/>
          <w:spacing w:val="-7"/>
        </w:rPr>
        <w:t xml:space="preserve"> </w:t>
      </w:r>
      <w:r>
        <w:rPr>
          <w:color w:val="231F20"/>
          <w:spacing w:val="-2"/>
        </w:rPr>
        <w:t>it.</w:t>
      </w:r>
    </w:p>
    <w:p w14:paraId="6174B04C" w14:textId="77777777" w:rsidR="00AE0598" w:rsidRDefault="00AE0598">
      <w:pPr>
        <w:pStyle w:val="Corpodetexto"/>
        <w:spacing w:before="3"/>
        <w:rPr>
          <w:sz w:val="23"/>
        </w:rPr>
      </w:pPr>
    </w:p>
    <w:p w14:paraId="549C4BF1" w14:textId="77777777" w:rsidR="00AE0598" w:rsidRDefault="0069255A">
      <w:pPr>
        <w:ind w:left="223"/>
        <w:jc w:val="both"/>
        <w:rPr>
          <w:rFonts w:ascii="Trebuchet MS"/>
          <w:sz w:val="20"/>
        </w:rPr>
      </w:pPr>
      <w:r>
        <w:rPr>
          <w:rFonts w:ascii="Trebuchet MS"/>
          <w:color w:val="231F20"/>
          <w:w w:val="105"/>
          <w:sz w:val="20"/>
        </w:rPr>
        <w:t>Key</w:t>
      </w:r>
      <w:r>
        <w:rPr>
          <w:rFonts w:ascii="Trebuchet MS"/>
          <w:color w:val="231F20"/>
          <w:spacing w:val="-11"/>
          <w:w w:val="105"/>
          <w:sz w:val="20"/>
        </w:rPr>
        <w:t xml:space="preserve"> </w:t>
      </w:r>
      <w:r>
        <w:rPr>
          <w:rFonts w:ascii="Trebuchet MS"/>
          <w:color w:val="231F20"/>
          <w:spacing w:val="-2"/>
          <w:w w:val="105"/>
          <w:sz w:val="20"/>
        </w:rPr>
        <w:t>Reading</w:t>
      </w:r>
    </w:p>
    <w:p w14:paraId="0B1A51D1" w14:textId="77777777" w:rsidR="00AE0598" w:rsidRDefault="0069255A">
      <w:pPr>
        <w:spacing w:before="122" w:line="232" w:lineRule="auto"/>
        <w:ind w:left="223" w:right="241"/>
        <w:jc w:val="both"/>
        <w:rPr>
          <w:sz w:val="21"/>
        </w:rPr>
      </w:pPr>
      <w:r>
        <w:rPr>
          <w:color w:val="231F20"/>
          <w:spacing w:val="-2"/>
          <w:sz w:val="21"/>
        </w:rPr>
        <w:t>Edensor,</w:t>
      </w:r>
      <w:r>
        <w:rPr>
          <w:color w:val="231F20"/>
          <w:spacing w:val="-5"/>
          <w:sz w:val="21"/>
        </w:rPr>
        <w:t xml:space="preserve"> </w:t>
      </w:r>
      <w:r>
        <w:rPr>
          <w:color w:val="231F20"/>
          <w:spacing w:val="-2"/>
          <w:sz w:val="21"/>
        </w:rPr>
        <w:t>T.</w:t>
      </w:r>
      <w:r>
        <w:rPr>
          <w:color w:val="231F20"/>
          <w:spacing w:val="-5"/>
          <w:sz w:val="21"/>
        </w:rPr>
        <w:t xml:space="preserve"> </w:t>
      </w:r>
      <w:r>
        <w:rPr>
          <w:color w:val="231F20"/>
          <w:spacing w:val="-2"/>
          <w:sz w:val="21"/>
        </w:rPr>
        <w:t>and</w:t>
      </w:r>
      <w:r>
        <w:rPr>
          <w:color w:val="231F20"/>
          <w:spacing w:val="-5"/>
          <w:sz w:val="21"/>
        </w:rPr>
        <w:t xml:space="preserve"> </w:t>
      </w:r>
      <w:r>
        <w:rPr>
          <w:color w:val="231F20"/>
          <w:spacing w:val="-2"/>
          <w:sz w:val="21"/>
        </w:rPr>
        <w:t>Millington,</w:t>
      </w:r>
      <w:r>
        <w:rPr>
          <w:color w:val="231F20"/>
          <w:spacing w:val="-5"/>
          <w:sz w:val="21"/>
        </w:rPr>
        <w:t xml:space="preserve"> </w:t>
      </w:r>
      <w:r>
        <w:rPr>
          <w:color w:val="231F20"/>
          <w:spacing w:val="-2"/>
          <w:sz w:val="21"/>
        </w:rPr>
        <w:t>S.</w:t>
      </w:r>
      <w:r>
        <w:rPr>
          <w:color w:val="231F20"/>
          <w:spacing w:val="-5"/>
          <w:sz w:val="21"/>
        </w:rPr>
        <w:t xml:space="preserve"> </w:t>
      </w:r>
      <w:r>
        <w:rPr>
          <w:color w:val="231F20"/>
          <w:spacing w:val="-2"/>
          <w:sz w:val="21"/>
        </w:rPr>
        <w:t>(2008)</w:t>
      </w:r>
      <w:r>
        <w:rPr>
          <w:color w:val="231F20"/>
          <w:spacing w:val="-5"/>
          <w:sz w:val="21"/>
        </w:rPr>
        <w:t xml:space="preserve"> </w:t>
      </w:r>
      <w:r>
        <w:rPr>
          <w:color w:val="231F20"/>
          <w:spacing w:val="-2"/>
          <w:sz w:val="21"/>
        </w:rPr>
        <w:t>‘This</w:t>
      </w:r>
      <w:r>
        <w:rPr>
          <w:color w:val="231F20"/>
          <w:spacing w:val="-5"/>
          <w:sz w:val="21"/>
        </w:rPr>
        <w:t xml:space="preserve"> </w:t>
      </w:r>
      <w:r>
        <w:rPr>
          <w:color w:val="231F20"/>
          <w:spacing w:val="-2"/>
          <w:sz w:val="21"/>
        </w:rPr>
        <w:t>is</w:t>
      </w:r>
      <w:r>
        <w:rPr>
          <w:color w:val="231F20"/>
          <w:spacing w:val="-5"/>
          <w:sz w:val="21"/>
        </w:rPr>
        <w:t xml:space="preserve"> </w:t>
      </w:r>
      <w:r>
        <w:rPr>
          <w:color w:val="231F20"/>
          <w:spacing w:val="-2"/>
          <w:sz w:val="21"/>
        </w:rPr>
        <w:t>our</w:t>
      </w:r>
      <w:r>
        <w:rPr>
          <w:color w:val="231F20"/>
          <w:spacing w:val="-5"/>
          <w:sz w:val="21"/>
        </w:rPr>
        <w:t xml:space="preserve"> </w:t>
      </w:r>
      <w:r>
        <w:rPr>
          <w:color w:val="231F20"/>
          <w:spacing w:val="-2"/>
          <w:sz w:val="21"/>
        </w:rPr>
        <w:t>city’:</w:t>
      </w:r>
      <w:r>
        <w:rPr>
          <w:color w:val="231F20"/>
          <w:spacing w:val="-5"/>
          <w:sz w:val="21"/>
        </w:rPr>
        <w:t xml:space="preserve"> </w:t>
      </w:r>
      <w:r>
        <w:rPr>
          <w:color w:val="231F20"/>
          <w:spacing w:val="-2"/>
          <w:sz w:val="21"/>
        </w:rPr>
        <w:t>Branding</w:t>
      </w:r>
      <w:r>
        <w:rPr>
          <w:color w:val="231F20"/>
          <w:spacing w:val="-5"/>
          <w:sz w:val="21"/>
        </w:rPr>
        <w:t xml:space="preserve"> </w:t>
      </w:r>
      <w:r>
        <w:rPr>
          <w:color w:val="231F20"/>
          <w:spacing w:val="-2"/>
          <w:sz w:val="21"/>
        </w:rPr>
        <w:t xml:space="preserve">football </w:t>
      </w:r>
      <w:r>
        <w:rPr>
          <w:color w:val="231F20"/>
          <w:sz w:val="21"/>
        </w:rPr>
        <w:t xml:space="preserve">and local embeddedness. </w:t>
      </w:r>
      <w:r>
        <w:rPr>
          <w:i/>
          <w:color w:val="231F20"/>
          <w:sz w:val="21"/>
        </w:rPr>
        <w:t>Global Networks: A Journal of</w:t>
      </w:r>
      <w:r>
        <w:rPr>
          <w:i/>
          <w:color w:val="231F20"/>
          <w:spacing w:val="26"/>
          <w:sz w:val="21"/>
        </w:rPr>
        <w:t xml:space="preserve"> </w:t>
      </w:r>
      <w:r>
        <w:rPr>
          <w:i/>
          <w:color w:val="231F20"/>
          <w:sz w:val="21"/>
        </w:rPr>
        <w:t xml:space="preserve">Transnational Affairs </w:t>
      </w:r>
      <w:r>
        <w:rPr>
          <w:color w:val="231F20"/>
          <w:sz w:val="21"/>
        </w:rPr>
        <w:t>8 (2), 172–193.</w:t>
      </w:r>
    </w:p>
    <w:p w14:paraId="0BC17CAC" w14:textId="77777777" w:rsidR="00AE0598" w:rsidRDefault="0069255A">
      <w:pPr>
        <w:pStyle w:val="Corpodetexto"/>
        <w:spacing w:before="124" w:line="232" w:lineRule="auto"/>
        <w:ind w:left="223" w:right="241"/>
        <w:jc w:val="both"/>
      </w:pPr>
      <w:r>
        <w:rPr>
          <w:color w:val="231F20"/>
        </w:rPr>
        <w:t xml:space="preserve">Gibson, O. (2012) Premier League Lands £3bn TV Rights Bonanza from Sky and BT. </w:t>
      </w:r>
      <w:r>
        <w:rPr>
          <w:i/>
          <w:color w:val="231F20"/>
        </w:rPr>
        <w:t>The Guardian</w:t>
      </w:r>
      <w:r>
        <w:rPr>
          <w:color w:val="231F20"/>
        </w:rPr>
        <w:t xml:space="preserve">. See </w:t>
      </w:r>
      <w:hyperlink r:id="rId34">
        <w:r>
          <w:rPr>
            <w:color w:val="231F20"/>
            <w:spacing w:val="-4"/>
            <w:w w:val="102"/>
          </w:rPr>
          <w:t>h</w:t>
        </w:r>
        <w:r>
          <w:rPr>
            <w:color w:val="231F20"/>
            <w:spacing w:val="3"/>
            <w:w w:val="101"/>
          </w:rPr>
          <w:t>t</w:t>
        </w:r>
        <w:r>
          <w:rPr>
            <w:color w:val="231F20"/>
            <w:spacing w:val="2"/>
            <w:w w:val="101"/>
          </w:rPr>
          <w:t>t</w:t>
        </w:r>
        <w:r>
          <w:rPr>
            <w:color w:val="231F20"/>
            <w:spacing w:val="-4"/>
            <w:w w:val="101"/>
          </w:rPr>
          <w:t>p</w:t>
        </w:r>
        <w:r>
          <w:rPr>
            <w:color w:val="231F20"/>
            <w:spacing w:val="4"/>
            <w:w w:val="108"/>
          </w:rPr>
          <w:t>:</w:t>
        </w:r>
        <w:r>
          <w:rPr>
            <w:color w:val="231F20"/>
            <w:spacing w:val="-6"/>
            <w:w w:val="63"/>
          </w:rPr>
          <w:t>/</w:t>
        </w:r>
        <w:r>
          <w:rPr>
            <w:color w:val="231F20"/>
            <w:spacing w:val="-3"/>
            <w:w w:val="63"/>
          </w:rPr>
          <w:t>/</w:t>
        </w:r>
        <w:r>
          <w:rPr>
            <w:color w:val="231F20"/>
            <w:spacing w:val="2"/>
            <w:w w:val="102"/>
          </w:rPr>
          <w:t>ww</w:t>
        </w:r>
        <w:r>
          <w:rPr>
            <w:color w:val="231F20"/>
            <w:spacing w:val="-13"/>
            <w:w w:val="102"/>
          </w:rPr>
          <w:t>w</w:t>
        </w:r>
        <w:r>
          <w:rPr>
            <w:color w:val="231F20"/>
            <w:spacing w:val="-3"/>
            <w:w w:val="138"/>
          </w:rPr>
          <w:t>.</w:t>
        </w:r>
        <w:r>
          <w:rPr>
            <w:color w:val="231F20"/>
            <w:spacing w:val="2"/>
            <w:w w:val="101"/>
          </w:rPr>
          <w:t>t</w:t>
        </w:r>
        <w:r>
          <w:rPr>
            <w:color w:val="231F20"/>
            <w:spacing w:val="-1"/>
            <w:w w:val="99"/>
          </w:rPr>
          <w:t>he</w:t>
        </w:r>
        <w:r>
          <w:rPr>
            <w:color w:val="231F20"/>
            <w:spacing w:val="3"/>
            <w:w w:val="99"/>
          </w:rPr>
          <w:t>g</w:t>
        </w:r>
        <w:r>
          <w:rPr>
            <w:color w:val="231F20"/>
            <w:w w:val="102"/>
          </w:rPr>
          <w:t>u</w:t>
        </w:r>
        <w:r>
          <w:rPr>
            <w:color w:val="231F20"/>
            <w:spacing w:val="1"/>
            <w:w w:val="104"/>
          </w:rPr>
          <w:t>a</w:t>
        </w:r>
        <w:r>
          <w:rPr>
            <w:color w:val="231F20"/>
            <w:spacing w:val="-4"/>
            <w:w w:val="96"/>
          </w:rPr>
          <w:t>r</w:t>
        </w:r>
        <w:r>
          <w:rPr>
            <w:color w:val="231F20"/>
            <w:spacing w:val="2"/>
            <w:w w:val="101"/>
          </w:rPr>
          <w:t>d</w:t>
        </w:r>
        <w:r>
          <w:rPr>
            <w:color w:val="231F20"/>
            <w:spacing w:val="-2"/>
            <w:w w:val="103"/>
          </w:rPr>
          <w:t>i</w:t>
        </w:r>
        <w:r>
          <w:rPr>
            <w:color w:val="231F20"/>
            <w:spacing w:val="2"/>
            <w:w w:val="104"/>
          </w:rPr>
          <w:t>a</w:t>
        </w:r>
        <w:r>
          <w:rPr>
            <w:color w:val="231F20"/>
            <w:spacing w:val="-1"/>
            <w:w w:val="101"/>
          </w:rPr>
          <w:t>n</w:t>
        </w:r>
        <w:r>
          <w:rPr>
            <w:color w:val="231F20"/>
            <w:spacing w:val="-1"/>
            <w:w w:val="110"/>
          </w:rPr>
          <w:t>.c</w:t>
        </w:r>
        <w:r>
          <w:rPr>
            <w:color w:val="231F20"/>
            <w:spacing w:val="-4"/>
            <w:w w:val="110"/>
          </w:rPr>
          <w:t>o</w:t>
        </w:r>
        <w:r>
          <w:rPr>
            <w:color w:val="231F20"/>
            <w:spacing w:val="7"/>
            <w:w w:val="102"/>
          </w:rPr>
          <w:t>m</w:t>
        </w:r>
        <w:r>
          <w:rPr>
            <w:color w:val="231F20"/>
            <w:spacing w:val="-2"/>
            <w:w w:val="63"/>
          </w:rPr>
          <w:t>/</w:t>
        </w:r>
      </w:hyperlink>
      <w:r>
        <w:rPr>
          <w:color w:val="231F20"/>
          <w:spacing w:val="-1"/>
          <w:w w:val="99"/>
        </w:rPr>
        <w:t xml:space="preserve"> </w:t>
      </w:r>
      <w:r>
        <w:rPr>
          <w:color w:val="231F20"/>
          <w:spacing w:val="-2"/>
          <w:w w:val="90"/>
        </w:rPr>
        <w:t>media/2012/jun/13/premier-league-tv-rights-3-billion-sky-bt.</w:t>
      </w:r>
    </w:p>
    <w:p w14:paraId="18D87960" w14:textId="77777777" w:rsidR="00AE0598" w:rsidRDefault="0069255A">
      <w:pPr>
        <w:pStyle w:val="Corpodetexto"/>
        <w:spacing w:before="123" w:line="232" w:lineRule="auto"/>
        <w:ind w:left="223" w:right="241"/>
        <w:jc w:val="both"/>
      </w:pPr>
      <w:r>
        <w:rPr>
          <w:color w:val="231F20"/>
        </w:rPr>
        <w:t xml:space="preserve">Kerr, A.K. and Emery, P.R. (2011) Foreign fandom and the Liverpool FC: A cyber-mediated romance. </w:t>
      </w:r>
      <w:r>
        <w:rPr>
          <w:i/>
          <w:color w:val="231F20"/>
        </w:rPr>
        <w:t xml:space="preserve">Soccer and Society </w:t>
      </w:r>
      <w:r>
        <w:rPr>
          <w:color w:val="231F20"/>
        </w:rPr>
        <w:t>12 (6), 880–896.</w:t>
      </w:r>
    </w:p>
    <w:p w14:paraId="43B515C4" w14:textId="77777777" w:rsidR="00AE0598" w:rsidRDefault="0069255A">
      <w:pPr>
        <w:spacing w:before="3" w:line="232" w:lineRule="auto"/>
        <w:ind w:left="223" w:right="241" w:firstLine="320"/>
        <w:jc w:val="both"/>
        <w:rPr>
          <w:i/>
          <w:sz w:val="21"/>
        </w:rPr>
      </w:pPr>
      <w:r>
        <w:rPr>
          <w:i/>
          <w:color w:val="231F20"/>
          <w:sz w:val="21"/>
        </w:rPr>
        <w:t>Additional references cited in this case study are included in the reference list.</w:t>
      </w:r>
    </w:p>
    <w:p w14:paraId="1510DB65" w14:textId="77777777" w:rsidR="00AE0598" w:rsidRDefault="0069255A">
      <w:pPr>
        <w:pStyle w:val="Corpodetexto"/>
        <w:spacing w:before="209" w:line="232" w:lineRule="auto"/>
        <w:ind w:left="110" w:right="127" w:firstLine="320"/>
        <w:jc w:val="both"/>
      </w:pPr>
      <w:r>
        <w:rPr>
          <w:color w:val="231F20"/>
        </w:rPr>
        <w:t>A third way that sport spaces may become endowed with meaning</w:t>
      </w:r>
      <w:r>
        <w:rPr>
          <w:color w:val="231F20"/>
          <w:spacing w:val="80"/>
        </w:rPr>
        <w:t xml:space="preserve"> </w:t>
      </w:r>
      <w:r>
        <w:rPr>
          <w:color w:val="231F20"/>
        </w:rPr>
        <w:t>is through aesthetics. In this case, place meaning is derived from a variety of sporting landscape elements tha</w:t>
      </w:r>
      <w:r>
        <w:rPr>
          <w:color w:val="231F20"/>
        </w:rPr>
        <w:t xml:space="preserve">t contribute to the aesthetics of a sport place. For example, football stadiums in the UK have been described as ‘secular cathedrals’ that are intimately tied to perceptions </w:t>
      </w:r>
      <w:r>
        <w:rPr>
          <w:color w:val="231F20"/>
          <w:w w:val="95"/>
        </w:rPr>
        <w:t>of</w:t>
      </w:r>
      <w:r>
        <w:rPr>
          <w:color w:val="231F20"/>
          <w:spacing w:val="21"/>
        </w:rPr>
        <w:t xml:space="preserve"> </w:t>
      </w:r>
      <w:r>
        <w:rPr>
          <w:color w:val="231F20"/>
          <w:w w:val="95"/>
        </w:rPr>
        <w:t>place,</w:t>
      </w:r>
      <w:r>
        <w:rPr>
          <w:color w:val="231F20"/>
          <w:spacing w:val="22"/>
        </w:rPr>
        <w:t xml:space="preserve"> </w:t>
      </w:r>
      <w:r>
        <w:rPr>
          <w:color w:val="231F20"/>
          <w:w w:val="95"/>
        </w:rPr>
        <w:t>both</w:t>
      </w:r>
      <w:r>
        <w:rPr>
          <w:color w:val="231F20"/>
          <w:spacing w:val="22"/>
        </w:rPr>
        <w:t xml:space="preserve"> </w:t>
      </w:r>
      <w:r>
        <w:rPr>
          <w:color w:val="231F20"/>
          <w:w w:val="95"/>
        </w:rPr>
        <w:t>from</w:t>
      </w:r>
      <w:r>
        <w:rPr>
          <w:color w:val="231F20"/>
          <w:spacing w:val="22"/>
        </w:rPr>
        <w:t xml:space="preserve"> </w:t>
      </w:r>
      <w:r>
        <w:rPr>
          <w:color w:val="231F20"/>
          <w:w w:val="95"/>
        </w:rPr>
        <w:t>the</w:t>
      </w:r>
      <w:r>
        <w:rPr>
          <w:color w:val="231F20"/>
          <w:spacing w:val="22"/>
        </w:rPr>
        <w:t xml:space="preserve"> </w:t>
      </w:r>
      <w:r>
        <w:rPr>
          <w:color w:val="231F20"/>
          <w:w w:val="95"/>
        </w:rPr>
        <w:t>perspective</w:t>
      </w:r>
      <w:r>
        <w:rPr>
          <w:color w:val="231F20"/>
          <w:spacing w:val="22"/>
        </w:rPr>
        <w:t xml:space="preserve"> </w:t>
      </w:r>
      <w:r>
        <w:rPr>
          <w:color w:val="231F20"/>
          <w:w w:val="95"/>
        </w:rPr>
        <w:t>of</w:t>
      </w:r>
      <w:r>
        <w:rPr>
          <w:color w:val="231F20"/>
          <w:spacing w:val="22"/>
        </w:rPr>
        <w:t xml:space="preserve"> </w:t>
      </w:r>
      <w:r>
        <w:rPr>
          <w:color w:val="231F20"/>
          <w:w w:val="95"/>
        </w:rPr>
        <w:t>the</w:t>
      </w:r>
      <w:r>
        <w:rPr>
          <w:color w:val="231F20"/>
          <w:spacing w:val="22"/>
        </w:rPr>
        <w:t xml:space="preserve"> </w:t>
      </w:r>
      <w:r>
        <w:rPr>
          <w:color w:val="231F20"/>
          <w:w w:val="95"/>
        </w:rPr>
        <w:t>followers</w:t>
      </w:r>
      <w:r>
        <w:rPr>
          <w:color w:val="231F20"/>
          <w:spacing w:val="22"/>
        </w:rPr>
        <w:t xml:space="preserve"> </w:t>
      </w:r>
      <w:r>
        <w:rPr>
          <w:color w:val="231F20"/>
          <w:w w:val="95"/>
        </w:rPr>
        <w:t>and</w:t>
      </w:r>
      <w:r>
        <w:rPr>
          <w:color w:val="231F20"/>
          <w:spacing w:val="22"/>
        </w:rPr>
        <w:t xml:space="preserve"> </w:t>
      </w:r>
      <w:r>
        <w:rPr>
          <w:color w:val="231F20"/>
          <w:w w:val="95"/>
        </w:rPr>
        <w:t>non-followers</w:t>
      </w:r>
      <w:r>
        <w:rPr>
          <w:color w:val="231F20"/>
          <w:spacing w:val="22"/>
        </w:rPr>
        <w:t xml:space="preserve"> </w:t>
      </w:r>
      <w:r>
        <w:rPr>
          <w:color w:val="231F20"/>
          <w:spacing w:val="-5"/>
          <w:w w:val="95"/>
        </w:rPr>
        <w:t>of</w:t>
      </w:r>
    </w:p>
    <w:p w14:paraId="42BD6757" w14:textId="77777777" w:rsidR="00AE0598" w:rsidRDefault="00AE0598">
      <w:pPr>
        <w:spacing w:line="232" w:lineRule="auto"/>
        <w:jc w:val="both"/>
        <w:sectPr w:rsidR="00AE0598">
          <w:pgSz w:w="8850" w:h="13270"/>
          <w:pgMar w:top="720" w:right="1060" w:bottom="280" w:left="1080" w:header="720" w:footer="720" w:gutter="0"/>
          <w:cols w:space="720"/>
        </w:sectPr>
      </w:pPr>
    </w:p>
    <w:p w14:paraId="7732508A" w14:textId="77777777" w:rsidR="00AE0598" w:rsidRDefault="0069255A">
      <w:pPr>
        <w:spacing w:before="87"/>
        <w:ind w:left="108"/>
        <w:rPr>
          <w:rFonts w:ascii="Trebuchet MS"/>
          <w:sz w:val="14"/>
        </w:rPr>
      </w:pPr>
      <w:r>
        <w:rPr>
          <w:rFonts w:ascii="Trebuchet MS"/>
          <w:color w:val="231F20"/>
          <w:w w:val="105"/>
          <w:sz w:val="14"/>
        </w:rPr>
        <w:lastRenderedPageBreak/>
        <w:t>118</w:t>
      </w:r>
      <w:r>
        <w:rPr>
          <w:rFonts w:ascii="Trebuchet MS"/>
          <w:color w:val="231F20"/>
          <w:spacing w:val="66"/>
          <w:w w:val="150"/>
          <w:sz w:val="14"/>
        </w:rPr>
        <w:t xml:space="preserve"> </w:t>
      </w:r>
      <w:r>
        <w:rPr>
          <w:rFonts w:ascii="Trebuchet MS"/>
          <w:color w:val="231F20"/>
          <w:w w:val="105"/>
          <w:sz w:val="14"/>
        </w:rPr>
        <w:t>Part</w:t>
      </w:r>
      <w:r>
        <w:rPr>
          <w:rFonts w:ascii="Trebuchet MS"/>
          <w:color w:val="231F20"/>
          <w:spacing w:val="-9"/>
          <w:w w:val="105"/>
          <w:sz w:val="14"/>
        </w:rPr>
        <w:t xml:space="preserve"> </w:t>
      </w:r>
      <w:r>
        <w:rPr>
          <w:rFonts w:ascii="Trebuchet MS"/>
          <w:color w:val="231F20"/>
          <w:w w:val="105"/>
          <w:sz w:val="14"/>
        </w:rPr>
        <w:t>3:</w:t>
      </w:r>
      <w:r>
        <w:rPr>
          <w:rFonts w:ascii="Trebuchet MS"/>
          <w:color w:val="231F20"/>
          <w:spacing w:val="-8"/>
          <w:w w:val="105"/>
          <w:sz w:val="14"/>
        </w:rPr>
        <w:t xml:space="preserve"> </w:t>
      </w:r>
      <w:r>
        <w:rPr>
          <w:rFonts w:ascii="Trebuchet MS"/>
          <w:color w:val="231F20"/>
          <w:w w:val="105"/>
          <w:sz w:val="14"/>
        </w:rPr>
        <w:t>Sport</w:t>
      </w:r>
      <w:r>
        <w:rPr>
          <w:rFonts w:ascii="Trebuchet MS"/>
          <w:color w:val="231F20"/>
          <w:spacing w:val="-9"/>
          <w:w w:val="105"/>
          <w:sz w:val="14"/>
        </w:rPr>
        <w:t xml:space="preserve"> </w:t>
      </w:r>
      <w:r>
        <w:rPr>
          <w:rFonts w:ascii="Trebuchet MS"/>
          <w:color w:val="231F20"/>
          <w:w w:val="105"/>
          <w:sz w:val="14"/>
        </w:rPr>
        <w:t>Tourism</w:t>
      </w:r>
      <w:r>
        <w:rPr>
          <w:rFonts w:ascii="Trebuchet MS"/>
          <w:color w:val="231F20"/>
          <w:spacing w:val="-9"/>
          <w:w w:val="105"/>
          <w:sz w:val="14"/>
        </w:rPr>
        <w:t xml:space="preserve"> </w:t>
      </w:r>
      <w:r>
        <w:rPr>
          <w:rFonts w:ascii="Trebuchet MS"/>
          <w:color w:val="231F20"/>
          <w:w w:val="105"/>
          <w:sz w:val="14"/>
        </w:rPr>
        <w:t>Development</w:t>
      </w:r>
      <w:r>
        <w:rPr>
          <w:rFonts w:ascii="Trebuchet MS"/>
          <w:color w:val="231F20"/>
          <w:spacing w:val="-9"/>
          <w:w w:val="105"/>
          <w:sz w:val="14"/>
        </w:rPr>
        <w:t xml:space="preserve"> </w:t>
      </w:r>
      <w:r>
        <w:rPr>
          <w:rFonts w:ascii="Trebuchet MS"/>
          <w:color w:val="231F20"/>
          <w:w w:val="105"/>
          <w:sz w:val="14"/>
        </w:rPr>
        <w:t>and</w:t>
      </w:r>
      <w:r>
        <w:rPr>
          <w:rFonts w:ascii="Trebuchet MS"/>
          <w:color w:val="231F20"/>
          <w:spacing w:val="-8"/>
          <w:w w:val="105"/>
          <w:sz w:val="14"/>
        </w:rPr>
        <w:t xml:space="preserve"> </w:t>
      </w:r>
      <w:r>
        <w:rPr>
          <w:rFonts w:ascii="Trebuchet MS"/>
          <w:color w:val="231F20"/>
          <w:spacing w:val="-2"/>
          <w:w w:val="105"/>
          <w:sz w:val="14"/>
        </w:rPr>
        <w:t>Space</w:t>
      </w:r>
    </w:p>
    <w:p w14:paraId="6048B977" w14:textId="77777777" w:rsidR="00AE0598" w:rsidRDefault="00AE0598">
      <w:pPr>
        <w:pStyle w:val="Corpodetexto"/>
        <w:rPr>
          <w:rFonts w:ascii="Trebuchet MS"/>
          <w:sz w:val="16"/>
        </w:rPr>
      </w:pPr>
    </w:p>
    <w:p w14:paraId="60FFE378" w14:textId="77777777" w:rsidR="00AE0598" w:rsidRDefault="0069255A">
      <w:pPr>
        <w:pStyle w:val="Corpodetexto"/>
        <w:spacing w:before="118" w:line="232" w:lineRule="auto"/>
        <w:ind w:left="110" w:right="127"/>
        <w:jc w:val="both"/>
      </w:pPr>
      <w:r>
        <w:rPr>
          <w:color w:val="231F20"/>
        </w:rPr>
        <w:t>the</w:t>
      </w:r>
      <w:r>
        <w:rPr>
          <w:color w:val="231F20"/>
          <w:spacing w:val="-6"/>
        </w:rPr>
        <w:t xml:space="preserve"> </w:t>
      </w:r>
      <w:r>
        <w:rPr>
          <w:color w:val="231F20"/>
        </w:rPr>
        <w:t>sport</w:t>
      </w:r>
      <w:r>
        <w:rPr>
          <w:color w:val="231F20"/>
          <w:spacing w:val="-6"/>
        </w:rPr>
        <w:t xml:space="preserve"> </w:t>
      </w:r>
      <w:r>
        <w:rPr>
          <w:color w:val="231F20"/>
        </w:rPr>
        <w:t>(Robinson,</w:t>
      </w:r>
      <w:r>
        <w:rPr>
          <w:color w:val="231F20"/>
          <w:spacing w:val="-6"/>
        </w:rPr>
        <w:t xml:space="preserve"> </w:t>
      </w:r>
      <w:r>
        <w:rPr>
          <w:color w:val="231F20"/>
        </w:rPr>
        <w:t>2010).</w:t>
      </w:r>
      <w:r>
        <w:rPr>
          <w:color w:val="231F20"/>
          <w:spacing w:val="-6"/>
        </w:rPr>
        <w:t xml:space="preserve"> </w:t>
      </w:r>
      <w:r>
        <w:rPr>
          <w:color w:val="231F20"/>
        </w:rPr>
        <w:t>More</w:t>
      </w:r>
      <w:r>
        <w:rPr>
          <w:color w:val="231F20"/>
          <w:spacing w:val="-6"/>
        </w:rPr>
        <w:t xml:space="preserve"> </w:t>
      </w:r>
      <w:r>
        <w:rPr>
          <w:color w:val="231F20"/>
        </w:rPr>
        <w:t>tangibly,</w:t>
      </w:r>
      <w:r>
        <w:rPr>
          <w:color w:val="231F20"/>
          <w:spacing w:val="-6"/>
        </w:rPr>
        <w:t xml:space="preserve"> </w:t>
      </w:r>
      <w:r>
        <w:rPr>
          <w:color w:val="231F20"/>
        </w:rPr>
        <w:t>temporary</w:t>
      </w:r>
      <w:r>
        <w:rPr>
          <w:color w:val="231F20"/>
          <w:spacing w:val="-6"/>
        </w:rPr>
        <w:t xml:space="preserve"> </w:t>
      </w:r>
      <w:r>
        <w:rPr>
          <w:color w:val="231F20"/>
        </w:rPr>
        <w:t>‘live</w:t>
      </w:r>
      <w:r>
        <w:rPr>
          <w:color w:val="231F20"/>
          <w:spacing w:val="-6"/>
        </w:rPr>
        <w:t xml:space="preserve"> </w:t>
      </w:r>
      <w:r>
        <w:rPr>
          <w:color w:val="231F20"/>
        </w:rPr>
        <w:t>sites’</w:t>
      </w:r>
      <w:r>
        <w:rPr>
          <w:color w:val="231F20"/>
          <w:spacing w:val="-6"/>
        </w:rPr>
        <w:t xml:space="preserve"> </w:t>
      </w:r>
      <w:r>
        <w:rPr>
          <w:color w:val="231F20"/>
        </w:rPr>
        <w:t>and</w:t>
      </w:r>
      <w:r>
        <w:rPr>
          <w:color w:val="231F20"/>
          <w:spacing w:val="-6"/>
        </w:rPr>
        <w:t xml:space="preserve"> </w:t>
      </w:r>
      <w:r>
        <w:rPr>
          <w:color w:val="231F20"/>
        </w:rPr>
        <w:t>‘fan parks’ in association with major events (McGillivray &amp; Frew, 2015) or the</w:t>
      </w:r>
      <w:r>
        <w:rPr>
          <w:color w:val="231F20"/>
          <w:spacing w:val="-3"/>
        </w:rPr>
        <w:t xml:space="preserve"> </w:t>
      </w:r>
      <w:r>
        <w:rPr>
          <w:color w:val="231F20"/>
        </w:rPr>
        <w:t>development</w:t>
      </w:r>
      <w:r>
        <w:rPr>
          <w:color w:val="231F20"/>
          <w:spacing w:val="-3"/>
        </w:rPr>
        <w:t xml:space="preserve"> </w:t>
      </w:r>
      <w:r>
        <w:rPr>
          <w:color w:val="231F20"/>
        </w:rPr>
        <w:t>of</w:t>
      </w:r>
      <w:r>
        <w:rPr>
          <w:color w:val="231F20"/>
          <w:spacing w:val="-3"/>
        </w:rPr>
        <w:t xml:space="preserve"> </w:t>
      </w:r>
      <w:r>
        <w:rPr>
          <w:color w:val="231F20"/>
        </w:rPr>
        <w:t>permanent</w:t>
      </w:r>
      <w:r>
        <w:rPr>
          <w:color w:val="231F20"/>
          <w:spacing w:val="-3"/>
        </w:rPr>
        <w:t xml:space="preserve"> </w:t>
      </w:r>
      <w:r>
        <w:rPr>
          <w:color w:val="231F20"/>
        </w:rPr>
        <w:t>sports</w:t>
      </w:r>
      <w:r>
        <w:rPr>
          <w:color w:val="231F20"/>
          <w:spacing w:val="-3"/>
        </w:rPr>
        <w:t xml:space="preserve"> </w:t>
      </w:r>
      <w:r>
        <w:rPr>
          <w:color w:val="231F20"/>
        </w:rPr>
        <w:t>city</w:t>
      </w:r>
      <w:r>
        <w:rPr>
          <w:color w:val="231F20"/>
          <w:spacing w:val="-3"/>
        </w:rPr>
        <w:t xml:space="preserve"> </w:t>
      </w:r>
      <w:r>
        <w:rPr>
          <w:color w:val="231F20"/>
        </w:rPr>
        <w:t>zones</w:t>
      </w:r>
      <w:r>
        <w:rPr>
          <w:color w:val="231F20"/>
          <w:spacing w:val="-3"/>
        </w:rPr>
        <w:t xml:space="preserve"> </w:t>
      </w:r>
      <w:r>
        <w:rPr>
          <w:color w:val="231F20"/>
        </w:rPr>
        <w:t>or</w:t>
      </w:r>
      <w:r>
        <w:rPr>
          <w:color w:val="231F20"/>
          <w:spacing w:val="-3"/>
        </w:rPr>
        <w:t xml:space="preserve"> </w:t>
      </w:r>
      <w:r>
        <w:rPr>
          <w:color w:val="231F20"/>
        </w:rPr>
        <w:t>quarters</w:t>
      </w:r>
      <w:r>
        <w:rPr>
          <w:color w:val="231F20"/>
          <w:spacing w:val="-3"/>
        </w:rPr>
        <w:t xml:space="preserve"> </w:t>
      </w:r>
      <w:r>
        <w:rPr>
          <w:color w:val="231F20"/>
        </w:rPr>
        <w:t>represent</w:t>
      </w:r>
      <w:r>
        <w:rPr>
          <w:color w:val="231F20"/>
          <w:spacing w:val="-3"/>
        </w:rPr>
        <w:t xml:space="preserve"> </w:t>
      </w:r>
      <w:r>
        <w:rPr>
          <w:color w:val="231F20"/>
        </w:rPr>
        <w:t xml:space="preserve">a manifestation of the aesthetics of sport on the tourism landscape. Smith (2010) suggests that permanent urban </w:t>
      </w:r>
      <w:r>
        <w:rPr>
          <w:color w:val="231F20"/>
        </w:rPr>
        <w:t>sport zones need to go beyond a focus</w:t>
      </w:r>
      <w:r>
        <w:rPr>
          <w:color w:val="231F20"/>
          <w:spacing w:val="-8"/>
        </w:rPr>
        <w:t xml:space="preserve"> </w:t>
      </w:r>
      <w:r>
        <w:rPr>
          <w:color w:val="231F20"/>
        </w:rPr>
        <w:t>on</w:t>
      </w:r>
      <w:r>
        <w:rPr>
          <w:color w:val="231F20"/>
          <w:spacing w:val="-8"/>
        </w:rPr>
        <w:t xml:space="preserve"> </w:t>
      </w:r>
      <w:r>
        <w:rPr>
          <w:color w:val="231F20"/>
        </w:rPr>
        <w:t>major</w:t>
      </w:r>
      <w:r>
        <w:rPr>
          <w:color w:val="231F20"/>
          <w:spacing w:val="-8"/>
        </w:rPr>
        <w:t xml:space="preserve"> </w:t>
      </w:r>
      <w:r>
        <w:rPr>
          <w:color w:val="231F20"/>
        </w:rPr>
        <w:t>event</w:t>
      </w:r>
      <w:r>
        <w:rPr>
          <w:color w:val="231F20"/>
          <w:spacing w:val="-8"/>
        </w:rPr>
        <w:t xml:space="preserve"> </w:t>
      </w:r>
      <w:r>
        <w:rPr>
          <w:color w:val="231F20"/>
        </w:rPr>
        <w:t>facilities</w:t>
      </w:r>
      <w:r>
        <w:rPr>
          <w:color w:val="231F20"/>
          <w:spacing w:val="-8"/>
        </w:rPr>
        <w:t xml:space="preserve"> </w:t>
      </w:r>
      <w:r>
        <w:rPr>
          <w:color w:val="231F20"/>
        </w:rPr>
        <w:t>to</w:t>
      </w:r>
      <w:r>
        <w:rPr>
          <w:color w:val="231F20"/>
          <w:spacing w:val="-8"/>
        </w:rPr>
        <w:t xml:space="preserve"> </w:t>
      </w:r>
      <w:r>
        <w:rPr>
          <w:color w:val="231F20"/>
        </w:rPr>
        <w:t>include</w:t>
      </w:r>
      <w:r>
        <w:rPr>
          <w:color w:val="231F20"/>
          <w:spacing w:val="-8"/>
        </w:rPr>
        <w:t xml:space="preserve"> </w:t>
      </w:r>
      <w:r>
        <w:rPr>
          <w:color w:val="231F20"/>
        </w:rPr>
        <w:t>other</w:t>
      </w:r>
      <w:r>
        <w:rPr>
          <w:color w:val="231F20"/>
          <w:spacing w:val="-8"/>
        </w:rPr>
        <w:t xml:space="preserve"> </w:t>
      </w:r>
      <w:r>
        <w:rPr>
          <w:color w:val="231F20"/>
        </w:rPr>
        <w:t>more</w:t>
      </w:r>
      <w:r>
        <w:rPr>
          <w:color w:val="231F20"/>
          <w:spacing w:val="-8"/>
        </w:rPr>
        <w:t xml:space="preserve"> </w:t>
      </w:r>
      <w:r>
        <w:rPr>
          <w:color w:val="231F20"/>
        </w:rPr>
        <w:t>participatory</w:t>
      </w:r>
      <w:r>
        <w:rPr>
          <w:color w:val="231F20"/>
          <w:spacing w:val="-8"/>
        </w:rPr>
        <w:t xml:space="preserve"> </w:t>
      </w:r>
      <w:r>
        <w:rPr>
          <w:color w:val="231F20"/>
        </w:rPr>
        <w:t>sports facilities</w:t>
      </w:r>
      <w:r>
        <w:rPr>
          <w:color w:val="231F20"/>
          <w:spacing w:val="-7"/>
        </w:rPr>
        <w:t xml:space="preserve"> </w:t>
      </w:r>
      <w:r>
        <w:rPr>
          <w:color w:val="231F20"/>
        </w:rPr>
        <w:t>such</w:t>
      </w:r>
      <w:r>
        <w:rPr>
          <w:color w:val="231F20"/>
          <w:spacing w:val="-7"/>
        </w:rPr>
        <w:t xml:space="preserve"> </w:t>
      </w:r>
      <w:r>
        <w:rPr>
          <w:color w:val="231F20"/>
        </w:rPr>
        <w:t>as</w:t>
      </w:r>
      <w:r>
        <w:rPr>
          <w:color w:val="231F20"/>
          <w:spacing w:val="-7"/>
        </w:rPr>
        <w:t xml:space="preserve"> </w:t>
      </w:r>
      <w:r>
        <w:rPr>
          <w:color w:val="231F20"/>
        </w:rPr>
        <w:t>halls</w:t>
      </w:r>
      <w:r>
        <w:rPr>
          <w:color w:val="231F20"/>
          <w:spacing w:val="-7"/>
        </w:rPr>
        <w:t xml:space="preserve"> </w:t>
      </w:r>
      <w:r>
        <w:rPr>
          <w:color w:val="231F20"/>
        </w:rPr>
        <w:t>of</w:t>
      </w:r>
      <w:r>
        <w:rPr>
          <w:color w:val="231F20"/>
          <w:spacing w:val="-7"/>
        </w:rPr>
        <w:t xml:space="preserve"> </w:t>
      </w:r>
      <w:r>
        <w:rPr>
          <w:color w:val="231F20"/>
        </w:rPr>
        <w:t>fame,</w:t>
      </w:r>
      <w:r>
        <w:rPr>
          <w:color w:val="231F20"/>
          <w:spacing w:val="-7"/>
        </w:rPr>
        <w:t xml:space="preserve"> </w:t>
      </w:r>
      <w:r>
        <w:rPr>
          <w:color w:val="231F20"/>
        </w:rPr>
        <w:t>exhibitions</w:t>
      </w:r>
      <w:r>
        <w:rPr>
          <w:color w:val="231F20"/>
          <w:spacing w:val="-7"/>
        </w:rPr>
        <w:t xml:space="preserve"> </w:t>
      </w:r>
      <w:r>
        <w:rPr>
          <w:color w:val="231F20"/>
        </w:rPr>
        <w:t>of</w:t>
      </w:r>
      <w:r>
        <w:rPr>
          <w:color w:val="231F20"/>
          <w:spacing w:val="-7"/>
        </w:rPr>
        <w:t xml:space="preserve"> </w:t>
      </w:r>
      <w:r>
        <w:rPr>
          <w:color w:val="231F20"/>
        </w:rPr>
        <w:t>sport</w:t>
      </w:r>
      <w:r>
        <w:rPr>
          <w:color w:val="231F20"/>
          <w:spacing w:val="-7"/>
        </w:rPr>
        <w:t xml:space="preserve"> </w:t>
      </w:r>
      <w:r>
        <w:rPr>
          <w:color w:val="231F20"/>
        </w:rPr>
        <w:t>activities</w:t>
      </w:r>
      <w:r>
        <w:rPr>
          <w:color w:val="231F20"/>
          <w:spacing w:val="-7"/>
        </w:rPr>
        <w:t xml:space="preserve"> </w:t>
      </w:r>
      <w:r>
        <w:rPr>
          <w:color w:val="231F20"/>
        </w:rPr>
        <w:t>and</w:t>
      </w:r>
      <w:r>
        <w:rPr>
          <w:color w:val="231F20"/>
          <w:spacing w:val="-7"/>
        </w:rPr>
        <w:t xml:space="preserve"> </w:t>
      </w:r>
      <w:r>
        <w:rPr>
          <w:color w:val="231F20"/>
        </w:rPr>
        <w:t>facilities of active engagement.</w:t>
      </w:r>
    </w:p>
    <w:p w14:paraId="53C6593F" w14:textId="77777777" w:rsidR="00AE0598" w:rsidRDefault="0069255A">
      <w:pPr>
        <w:pStyle w:val="Corpodetexto"/>
        <w:spacing w:before="10" w:line="232" w:lineRule="auto"/>
        <w:ind w:left="110" w:right="126" w:firstLine="320"/>
        <w:jc w:val="both"/>
      </w:pPr>
      <w:r>
        <w:rPr>
          <w:color w:val="231F20"/>
        </w:rPr>
        <w:t>The</w:t>
      </w:r>
      <w:r>
        <w:rPr>
          <w:color w:val="231F20"/>
          <w:spacing w:val="40"/>
        </w:rPr>
        <w:t xml:space="preserve"> </w:t>
      </w:r>
      <w:r>
        <w:rPr>
          <w:color w:val="231F20"/>
        </w:rPr>
        <w:t>last</w:t>
      </w:r>
      <w:r>
        <w:rPr>
          <w:color w:val="231F20"/>
          <w:spacing w:val="40"/>
        </w:rPr>
        <w:t xml:space="preserve"> </w:t>
      </w:r>
      <w:r>
        <w:rPr>
          <w:color w:val="231F20"/>
        </w:rPr>
        <w:t>element</w:t>
      </w:r>
      <w:r>
        <w:rPr>
          <w:color w:val="231F20"/>
          <w:spacing w:val="40"/>
        </w:rPr>
        <w:t xml:space="preserve"> </w:t>
      </w:r>
      <w:r>
        <w:rPr>
          <w:color w:val="231F20"/>
        </w:rPr>
        <w:t>in</w:t>
      </w:r>
      <w:r>
        <w:rPr>
          <w:color w:val="231F20"/>
          <w:spacing w:val="40"/>
        </w:rPr>
        <w:t xml:space="preserve"> </w:t>
      </w:r>
      <w:r>
        <w:rPr>
          <w:color w:val="231F20"/>
        </w:rPr>
        <w:t>this</w:t>
      </w:r>
      <w:r>
        <w:rPr>
          <w:color w:val="231F20"/>
          <w:spacing w:val="40"/>
        </w:rPr>
        <w:t xml:space="preserve"> </w:t>
      </w:r>
      <w:r>
        <w:rPr>
          <w:color w:val="231F20"/>
        </w:rPr>
        <w:t>typology</w:t>
      </w:r>
      <w:r>
        <w:rPr>
          <w:color w:val="231F20"/>
          <w:spacing w:val="40"/>
        </w:rPr>
        <w:t xml:space="preserve"> </w:t>
      </w:r>
      <w:r>
        <w:rPr>
          <w:color w:val="231F20"/>
        </w:rPr>
        <w:t>is</w:t>
      </w:r>
      <w:r>
        <w:rPr>
          <w:color w:val="231F20"/>
          <w:spacing w:val="40"/>
        </w:rPr>
        <w:t xml:space="preserve"> </w:t>
      </w:r>
      <w:r>
        <w:rPr>
          <w:color w:val="231F20"/>
        </w:rPr>
        <w:t>sport</w:t>
      </w:r>
      <w:r>
        <w:rPr>
          <w:color w:val="231F20"/>
          <w:spacing w:val="40"/>
        </w:rPr>
        <w:t xml:space="preserve"> </w:t>
      </w:r>
      <w:r>
        <w:rPr>
          <w:color w:val="231F20"/>
        </w:rPr>
        <w:t>heritage</w:t>
      </w:r>
      <w:r>
        <w:rPr>
          <w:color w:val="231F20"/>
          <w:spacing w:val="40"/>
        </w:rPr>
        <w:t xml:space="preserve"> </w:t>
      </w:r>
      <w:r>
        <w:rPr>
          <w:color w:val="231F20"/>
        </w:rPr>
        <w:t>(Chapter</w:t>
      </w:r>
      <w:r>
        <w:rPr>
          <w:color w:val="231F20"/>
          <w:spacing w:val="40"/>
        </w:rPr>
        <w:t xml:space="preserve"> </w:t>
      </w:r>
      <w:r>
        <w:rPr>
          <w:color w:val="231F20"/>
        </w:rPr>
        <w:t xml:space="preserve">10). The concepts of sport heritage places and tourists fit well with the idea of nostalgia sport tourism (Fairley &amp; Gammon, 2005; Gammon &amp; Ramshaw, 2007). Support for this view is found in the prevalence of sport museums, tours of </w:t>
      </w:r>
      <w:r>
        <w:rPr>
          <w:color w:val="231F20"/>
        </w:rPr>
        <w:t>former Olympic sites and visits to the origins</w:t>
      </w:r>
      <w:r>
        <w:rPr>
          <w:color w:val="231F20"/>
          <w:spacing w:val="80"/>
        </w:rPr>
        <w:t xml:space="preserve"> </w:t>
      </w:r>
      <w:r>
        <w:rPr>
          <w:color w:val="231F20"/>
        </w:rPr>
        <w:t>of various sports such as golf at St Andrews, Scotland. Often, the emphasis on this element is the built environment, especially the bricks and mortar of historic sports facilities that serve as tangible icons</w:t>
      </w:r>
      <w:r>
        <w:rPr>
          <w:color w:val="231F20"/>
        </w:rPr>
        <w:t xml:space="preserve"> of sporting pasts. More subtly, however, the cultural impacts of sport on </w:t>
      </w:r>
      <w:r>
        <w:rPr>
          <w:color w:val="231F20"/>
          <w:w w:val="95"/>
        </w:rPr>
        <w:t xml:space="preserve">the natural landscape can be a powerful dimension of place whether they </w:t>
      </w:r>
      <w:r>
        <w:rPr>
          <w:color w:val="231F20"/>
        </w:rPr>
        <w:t xml:space="preserve">are expressed in spaces of traditional sport practices such as purpose- </w:t>
      </w:r>
      <w:r>
        <w:rPr>
          <w:color w:val="231F20"/>
          <w:w w:val="95"/>
        </w:rPr>
        <w:t>built arenas or in areas designed for</w:t>
      </w:r>
      <w:r>
        <w:rPr>
          <w:color w:val="231F20"/>
          <w:w w:val="95"/>
        </w:rPr>
        <w:t xml:space="preserve"> other uses but which are co-opted for sport such as residential streets used for informal sporting practices and </w:t>
      </w:r>
      <w:r>
        <w:rPr>
          <w:color w:val="231F20"/>
          <w:spacing w:val="-2"/>
        </w:rPr>
        <w:t>pastimes.</w:t>
      </w:r>
    </w:p>
    <w:p w14:paraId="7B5A99E1" w14:textId="77777777" w:rsidR="00AE0598" w:rsidRDefault="0069255A">
      <w:pPr>
        <w:pStyle w:val="Corpodetexto"/>
        <w:spacing w:before="16" w:line="232" w:lineRule="auto"/>
        <w:ind w:left="110" w:right="128" w:firstLine="320"/>
        <w:jc w:val="both"/>
      </w:pPr>
      <w:r>
        <w:rPr>
          <w:color w:val="231F20"/>
        </w:rPr>
        <w:t xml:space="preserve">While all of these factors infuse sport spaces with meaning, thereby creating sport tourism places, Bale (1989) notes the emergence </w:t>
      </w:r>
      <w:r>
        <w:rPr>
          <w:color w:val="231F20"/>
        </w:rPr>
        <w:t>of sportscapes (landscapes characterised by standardised sport facilities and infrastructures) as a counter trend. In fact, these sportscapes are an embodiment</w:t>
      </w:r>
      <w:r>
        <w:rPr>
          <w:color w:val="231F20"/>
          <w:spacing w:val="-11"/>
        </w:rPr>
        <w:t xml:space="preserve"> </w:t>
      </w:r>
      <w:r>
        <w:rPr>
          <w:color w:val="231F20"/>
        </w:rPr>
        <w:t>of</w:t>
      </w:r>
      <w:r>
        <w:rPr>
          <w:color w:val="231F20"/>
          <w:spacing w:val="-11"/>
        </w:rPr>
        <w:t xml:space="preserve"> </w:t>
      </w:r>
      <w:r>
        <w:rPr>
          <w:color w:val="231F20"/>
        </w:rPr>
        <w:t>‘placelessness’</w:t>
      </w:r>
      <w:r>
        <w:rPr>
          <w:color w:val="231F20"/>
          <w:spacing w:val="-11"/>
        </w:rPr>
        <w:t xml:space="preserve"> </w:t>
      </w:r>
      <w:r>
        <w:rPr>
          <w:color w:val="231F20"/>
        </w:rPr>
        <w:t>as</w:t>
      </w:r>
      <w:r>
        <w:rPr>
          <w:color w:val="231F20"/>
          <w:spacing w:val="-11"/>
        </w:rPr>
        <w:t xml:space="preserve"> </w:t>
      </w:r>
      <w:r>
        <w:rPr>
          <w:color w:val="231F20"/>
        </w:rPr>
        <w:t>described</w:t>
      </w:r>
      <w:r>
        <w:rPr>
          <w:color w:val="231F20"/>
          <w:spacing w:val="-11"/>
        </w:rPr>
        <w:t xml:space="preserve"> </w:t>
      </w:r>
      <w:r>
        <w:rPr>
          <w:color w:val="231F20"/>
        </w:rPr>
        <w:t>by</w:t>
      </w:r>
      <w:r>
        <w:rPr>
          <w:color w:val="231F20"/>
          <w:spacing w:val="-11"/>
        </w:rPr>
        <w:t xml:space="preserve"> </w:t>
      </w:r>
      <w:r>
        <w:rPr>
          <w:color w:val="231F20"/>
        </w:rPr>
        <w:t>Relph</w:t>
      </w:r>
      <w:r>
        <w:rPr>
          <w:color w:val="231F20"/>
          <w:spacing w:val="-11"/>
        </w:rPr>
        <w:t xml:space="preserve"> </w:t>
      </w:r>
      <w:r>
        <w:rPr>
          <w:color w:val="231F20"/>
        </w:rPr>
        <w:t>(1976).</w:t>
      </w:r>
    </w:p>
    <w:p w14:paraId="5DCE3E54" w14:textId="77777777" w:rsidR="00AE0598" w:rsidRDefault="00AE0598">
      <w:pPr>
        <w:pStyle w:val="Corpodetexto"/>
        <w:spacing w:before="3"/>
      </w:pPr>
    </w:p>
    <w:p w14:paraId="4C3A0471" w14:textId="77777777" w:rsidR="00AE0598" w:rsidRDefault="0069255A">
      <w:pPr>
        <w:spacing w:line="244" w:lineRule="auto"/>
        <w:ind w:left="430" w:right="127"/>
        <w:jc w:val="both"/>
        <w:rPr>
          <w:sz w:val="20"/>
        </w:rPr>
      </w:pPr>
      <w:r>
        <w:rPr>
          <w:color w:val="231F20"/>
          <w:w w:val="95"/>
          <w:sz w:val="20"/>
        </w:rPr>
        <w:t>In the twentieth century sportscapes rather th</w:t>
      </w:r>
      <w:r>
        <w:rPr>
          <w:color w:val="231F20"/>
          <w:w w:val="95"/>
          <w:sz w:val="20"/>
        </w:rPr>
        <w:t>an landscapes have tended</w:t>
      </w:r>
      <w:r>
        <w:rPr>
          <w:color w:val="231F20"/>
          <w:spacing w:val="80"/>
          <w:sz w:val="20"/>
        </w:rPr>
        <w:t xml:space="preserve"> </w:t>
      </w:r>
      <w:r>
        <w:rPr>
          <w:color w:val="231F20"/>
          <w:sz w:val="20"/>
        </w:rPr>
        <w:t>to characterize the sports environment… New materials had changed the shape of the stadium and the texture of the surfaces; fields became carpets and parks became concrete bowls. Most sports require artificial settings,</w:t>
      </w:r>
      <w:r>
        <w:rPr>
          <w:color w:val="231F20"/>
          <w:spacing w:val="-4"/>
          <w:sz w:val="20"/>
        </w:rPr>
        <w:t xml:space="preserve"> </w:t>
      </w:r>
      <w:r>
        <w:rPr>
          <w:color w:val="231F20"/>
          <w:sz w:val="20"/>
        </w:rPr>
        <w:t>although</w:t>
      </w:r>
      <w:r>
        <w:rPr>
          <w:color w:val="231F20"/>
          <w:spacing w:val="-4"/>
          <w:sz w:val="20"/>
        </w:rPr>
        <w:t xml:space="preserve"> </w:t>
      </w:r>
      <w:r>
        <w:rPr>
          <w:color w:val="231F20"/>
          <w:sz w:val="20"/>
        </w:rPr>
        <w:t>t</w:t>
      </w:r>
      <w:r>
        <w:rPr>
          <w:color w:val="231F20"/>
          <w:sz w:val="20"/>
        </w:rPr>
        <w:t>he</w:t>
      </w:r>
      <w:r>
        <w:rPr>
          <w:color w:val="231F20"/>
          <w:spacing w:val="-4"/>
          <w:sz w:val="20"/>
        </w:rPr>
        <w:t xml:space="preserve"> </w:t>
      </w:r>
      <w:r>
        <w:rPr>
          <w:color w:val="231F20"/>
          <w:sz w:val="20"/>
        </w:rPr>
        <w:t>degree</w:t>
      </w:r>
      <w:r>
        <w:rPr>
          <w:color w:val="231F20"/>
          <w:spacing w:val="-4"/>
          <w:sz w:val="20"/>
        </w:rPr>
        <w:t xml:space="preserve"> </w:t>
      </w:r>
      <w:r>
        <w:rPr>
          <w:color w:val="231F20"/>
          <w:sz w:val="20"/>
        </w:rPr>
        <w:t>to</w:t>
      </w:r>
      <w:r>
        <w:rPr>
          <w:color w:val="231F20"/>
          <w:spacing w:val="-4"/>
          <w:sz w:val="20"/>
        </w:rPr>
        <w:t xml:space="preserve"> </w:t>
      </w:r>
      <w:r>
        <w:rPr>
          <w:color w:val="231F20"/>
          <w:sz w:val="20"/>
        </w:rPr>
        <w:t>which</w:t>
      </w:r>
      <w:r>
        <w:rPr>
          <w:color w:val="231F20"/>
          <w:spacing w:val="-4"/>
          <w:sz w:val="20"/>
        </w:rPr>
        <w:t xml:space="preserve"> </w:t>
      </w:r>
      <w:r>
        <w:rPr>
          <w:color w:val="231F20"/>
          <w:sz w:val="20"/>
        </w:rPr>
        <w:t>the</w:t>
      </w:r>
      <w:r>
        <w:rPr>
          <w:color w:val="231F20"/>
          <w:spacing w:val="-4"/>
          <w:sz w:val="20"/>
        </w:rPr>
        <w:t xml:space="preserve"> </w:t>
      </w:r>
      <w:r>
        <w:rPr>
          <w:color w:val="231F20"/>
          <w:sz w:val="20"/>
        </w:rPr>
        <w:t>natural</w:t>
      </w:r>
      <w:r>
        <w:rPr>
          <w:color w:val="231F20"/>
          <w:spacing w:val="-4"/>
          <w:sz w:val="20"/>
        </w:rPr>
        <w:t xml:space="preserve"> </w:t>
      </w:r>
      <w:r>
        <w:rPr>
          <w:color w:val="231F20"/>
          <w:sz w:val="20"/>
        </w:rPr>
        <w:t>environment</w:t>
      </w:r>
      <w:r>
        <w:rPr>
          <w:color w:val="231F20"/>
          <w:spacing w:val="-4"/>
          <w:sz w:val="20"/>
        </w:rPr>
        <w:t xml:space="preserve"> </w:t>
      </w:r>
      <w:r>
        <w:rPr>
          <w:color w:val="231F20"/>
          <w:sz w:val="20"/>
        </w:rPr>
        <w:t>needs</w:t>
      </w:r>
      <w:r>
        <w:rPr>
          <w:color w:val="231F20"/>
          <w:spacing w:val="-4"/>
          <w:sz w:val="20"/>
        </w:rPr>
        <w:t xml:space="preserve"> </w:t>
      </w:r>
      <w:r>
        <w:rPr>
          <w:color w:val="231F20"/>
          <w:sz w:val="20"/>
        </w:rPr>
        <w:t>to change</w:t>
      </w:r>
      <w:r>
        <w:rPr>
          <w:color w:val="231F20"/>
          <w:spacing w:val="-3"/>
          <w:sz w:val="20"/>
        </w:rPr>
        <w:t xml:space="preserve"> </w:t>
      </w:r>
      <w:r>
        <w:rPr>
          <w:color w:val="231F20"/>
          <w:sz w:val="20"/>
        </w:rPr>
        <w:t>varies</w:t>
      </w:r>
      <w:r>
        <w:rPr>
          <w:color w:val="231F20"/>
          <w:spacing w:val="-3"/>
          <w:sz w:val="20"/>
        </w:rPr>
        <w:t xml:space="preserve"> </w:t>
      </w:r>
      <w:r>
        <w:rPr>
          <w:color w:val="231F20"/>
          <w:sz w:val="20"/>
        </w:rPr>
        <w:t>between</w:t>
      </w:r>
      <w:r>
        <w:rPr>
          <w:color w:val="231F20"/>
          <w:spacing w:val="-3"/>
          <w:sz w:val="20"/>
        </w:rPr>
        <w:t xml:space="preserve"> </w:t>
      </w:r>
      <w:r>
        <w:rPr>
          <w:color w:val="231F20"/>
          <w:sz w:val="20"/>
        </w:rPr>
        <w:t>sports.</w:t>
      </w:r>
      <w:r>
        <w:rPr>
          <w:color w:val="231F20"/>
          <w:spacing w:val="-2"/>
          <w:sz w:val="20"/>
        </w:rPr>
        <w:t xml:space="preserve"> </w:t>
      </w:r>
      <w:r>
        <w:rPr>
          <w:color w:val="231F20"/>
          <w:sz w:val="20"/>
        </w:rPr>
        <w:t>(Bale,</w:t>
      </w:r>
      <w:r>
        <w:rPr>
          <w:color w:val="231F20"/>
          <w:spacing w:val="-2"/>
          <w:sz w:val="20"/>
        </w:rPr>
        <w:t xml:space="preserve"> </w:t>
      </w:r>
      <w:r>
        <w:rPr>
          <w:color w:val="231F20"/>
          <w:sz w:val="20"/>
        </w:rPr>
        <w:t>1989:</w:t>
      </w:r>
      <w:r>
        <w:rPr>
          <w:color w:val="231F20"/>
          <w:spacing w:val="-3"/>
          <w:sz w:val="20"/>
        </w:rPr>
        <w:t xml:space="preserve"> </w:t>
      </w:r>
      <w:r>
        <w:rPr>
          <w:color w:val="231F20"/>
          <w:sz w:val="20"/>
        </w:rPr>
        <w:t>145)</w:t>
      </w:r>
    </w:p>
    <w:p w14:paraId="68C93A6A" w14:textId="77777777" w:rsidR="00AE0598" w:rsidRDefault="00AE0598">
      <w:pPr>
        <w:pStyle w:val="Corpodetexto"/>
        <w:spacing w:before="7"/>
        <w:rPr>
          <w:sz w:val="20"/>
        </w:rPr>
      </w:pPr>
    </w:p>
    <w:p w14:paraId="0AD2ECC5" w14:textId="77777777" w:rsidR="00AE0598" w:rsidRDefault="0069255A">
      <w:pPr>
        <w:pStyle w:val="Corpodetexto"/>
        <w:spacing w:line="232" w:lineRule="auto"/>
        <w:ind w:left="110" w:right="127"/>
        <w:jc w:val="both"/>
      </w:pPr>
      <w:r>
        <w:rPr>
          <w:color w:val="231F20"/>
        </w:rPr>
        <w:t>The</w:t>
      </w:r>
      <w:r>
        <w:rPr>
          <w:color w:val="231F20"/>
          <w:spacing w:val="-1"/>
        </w:rPr>
        <w:t xml:space="preserve"> </w:t>
      </w:r>
      <w:r>
        <w:rPr>
          <w:color w:val="231F20"/>
        </w:rPr>
        <w:t>rationale</w:t>
      </w:r>
      <w:r>
        <w:rPr>
          <w:color w:val="231F20"/>
          <w:spacing w:val="-1"/>
        </w:rPr>
        <w:t xml:space="preserve"> </w:t>
      </w:r>
      <w:r>
        <w:rPr>
          <w:color w:val="231F20"/>
        </w:rPr>
        <w:t>for</w:t>
      </w:r>
      <w:r>
        <w:rPr>
          <w:color w:val="231F20"/>
          <w:spacing w:val="-1"/>
        </w:rPr>
        <w:t xml:space="preserve"> </w:t>
      </w:r>
      <w:r>
        <w:rPr>
          <w:color w:val="231F20"/>
        </w:rPr>
        <w:t>this</w:t>
      </w:r>
      <w:r>
        <w:rPr>
          <w:color w:val="231F20"/>
          <w:spacing w:val="-1"/>
        </w:rPr>
        <w:t xml:space="preserve"> </w:t>
      </w:r>
      <w:r>
        <w:rPr>
          <w:color w:val="231F20"/>
        </w:rPr>
        <w:t>trend</w:t>
      </w:r>
      <w:r>
        <w:rPr>
          <w:color w:val="231F20"/>
          <w:spacing w:val="-1"/>
        </w:rPr>
        <w:t xml:space="preserve"> </w:t>
      </w:r>
      <w:r>
        <w:rPr>
          <w:color w:val="231F20"/>
        </w:rPr>
        <w:t>towards</w:t>
      </w:r>
      <w:r>
        <w:rPr>
          <w:color w:val="231F20"/>
          <w:spacing w:val="-1"/>
        </w:rPr>
        <w:t xml:space="preserve"> </w:t>
      </w:r>
      <w:r>
        <w:rPr>
          <w:color w:val="231F20"/>
        </w:rPr>
        <w:t>standardised</w:t>
      </w:r>
      <w:r>
        <w:rPr>
          <w:color w:val="231F20"/>
          <w:spacing w:val="-1"/>
        </w:rPr>
        <w:t xml:space="preserve"> </w:t>
      </w:r>
      <w:r>
        <w:rPr>
          <w:color w:val="231F20"/>
        </w:rPr>
        <w:t>sportscapes</w:t>
      </w:r>
      <w:r>
        <w:rPr>
          <w:color w:val="231F20"/>
          <w:spacing w:val="-1"/>
        </w:rPr>
        <w:t xml:space="preserve"> </w:t>
      </w:r>
      <w:r>
        <w:rPr>
          <w:color w:val="231F20"/>
        </w:rPr>
        <w:t>is</w:t>
      </w:r>
      <w:r>
        <w:rPr>
          <w:color w:val="231F20"/>
          <w:spacing w:val="-1"/>
        </w:rPr>
        <w:t xml:space="preserve"> </w:t>
      </w:r>
      <w:r>
        <w:rPr>
          <w:color w:val="231F20"/>
        </w:rPr>
        <w:t>at</w:t>
      </w:r>
      <w:r>
        <w:rPr>
          <w:color w:val="231F20"/>
          <w:spacing w:val="-1"/>
        </w:rPr>
        <w:t xml:space="preserve"> </w:t>
      </w:r>
      <w:r>
        <w:rPr>
          <w:color w:val="231F20"/>
        </w:rPr>
        <w:t xml:space="preserve">least </w:t>
      </w:r>
      <w:r>
        <w:rPr>
          <w:color w:val="231F20"/>
          <w:w w:val="95"/>
        </w:rPr>
        <w:t xml:space="preserve">fourfold. First, it represents an attempt to ensure spectator and participant comfort and safety; a powerful motivation in communities that increasingly </w:t>
      </w:r>
      <w:r>
        <w:rPr>
          <w:color w:val="231F20"/>
        </w:rPr>
        <w:t>turn</w:t>
      </w:r>
      <w:r>
        <w:rPr>
          <w:color w:val="231F20"/>
          <w:spacing w:val="-1"/>
        </w:rPr>
        <w:t xml:space="preserve"> </w:t>
      </w:r>
      <w:r>
        <w:rPr>
          <w:color w:val="231F20"/>
        </w:rPr>
        <w:t>to</w:t>
      </w:r>
      <w:r>
        <w:rPr>
          <w:color w:val="231F20"/>
          <w:spacing w:val="-1"/>
        </w:rPr>
        <w:t xml:space="preserve"> </w:t>
      </w:r>
      <w:r>
        <w:rPr>
          <w:color w:val="231F20"/>
        </w:rPr>
        <w:t>the</w:t>
      </w:r>
      <w:r>
        <w:rPr>
          <w:color w:val="231F20"/>
          <w:spacing w:val="-1"/>
        </w:rPr>
        <w:t xml:space="preserve"> </w:t>
      </w:r>
      <w:r>
        <w:rPr>
          <w:color w:val="231F20"/>
        </w:rPr>
        <w:t>courts</w:t>
      </w:r>
      <w:r>
        <w:rPr>
          <w:color w:val="231F20"/>
          <w:spacing w:val="-1"/>
        </w:rPr>
        <w:t xml:space="preserve"> </w:t>
      </w:r>
      <w:r>
        <w:rPr>
          <w:color w:val="231F20"/>
        </w:rPr>
        <w:t>to</w:t>
      </w:r>
      <w:r>
        <w:rPr>
          <w:color w:val="231F20"/>
          <w:spacing w:val="-1"/>
        </w:rPr>
        <w:t xml:space="preserve"> </w:t>
      </w:r>
      <w:r>
        <w:rPr>
          <w:color w:val="231F20"/>
        </w:rPr>
        <w:t>establish</w:t>
      </w:r>
      <w:r>
        <w:rPr>
          <w:color w:val="231F20"/>
          <w:spacing w:val="-1"/>
        </w:rPr>
        <w:t xml:space="preserve"> </w:t>
      </w:r>
      <w:r>
        <w:rPr>
          <w:color w:val="231F20"/>
        </w:rPr>
        <w:t>liability</w:t>
      </w:r>
      <w:r>
        <w:rPr>
          <w:color w:val="231F20"/>
          <w:spacing w:val="-1"/>
        </w:rPr>
        <w:t xml:space="preserve"> </w:t>
      </w:r>
      <w:r>
        <w:rPr>
          <w:color w:val="231F20"/>
        </w:rPr>
        <w:t>and</w:t>
      </w:r>
      <w:r>
        <w:rPr>
          <w:color w:val="231F20"/>
          <w:spacing w:val="-1"/>
        </w:rPr>
        <w:t xml:space="preserve"> </w:t>
      </w:r>
      <w:r>
        <w:rPr>
          <w:color w:val="231F20"/>
        </w:rPr>
        <w:t>financial</w:t>
      </w:r>
      <w:r>
        <w:rPr>
          <w:color w:val="231F20"/>
          <w:spacing w:val="-1"/>
        </w:rPr>
        <w:t xml:space="preserve"> </w:t>
      </w:r>
      <w:r>
        <w:rPr>
          <w:color w:val="231F20"/>
        </w:rPr>
        <w:t>penalty</w:t>
      </w:r>
      <w:r>
        <w:rPr>
          <w:color w:val="231F20"/>
          <w:spacing w:val="-1"/>
        </w:rPr>
        <w:t xml:space="preserve"> </w:t>
      </w:r>
      <w:r>
        <w:rPr>
          <w:color w:val="231F20"/>
        </w:rPr>
        <w:t>for</w:t>
      </w:r>
      <w:r>
        <w:rPr>
          <w:color w:val="231F20"/>
          <w:spacing w:val="-1"/>
        </w:rPr>
        <w:t xml:space="preserve"> </w:t>
      </w:r>
      <w:r>
        <w:rPr>
          <w:color w:val="231F20"/>
        </w:rPr>
        <w:t xml:space="preserve">personal </w:t>
      </w:r>
      <w:r>
        <w:rPr>
          <w:color w:val="231F20"/>
          <w:w w:val="95"/>
        </w:rPr>
        <w:t xml:space="preserve">injury at sporting sites. </w:t>
      </w:r>
      <w:r>
        <w:rPr>
          <w:color w:val="231F20"/>
          <w:w w:val="95"/>
        </w:rPr>
        <w:t xml:space="preserve">Secondly, the standardisation of sport facilities and </w:t>
      </w:r>
      <w:r>
        <w:rPr>
          <w:color w:val="231F20"/>
        </w:rPr>
        <w:t>sites is seen to provide an ‘even playing field’ and in so doing, to foster fairer competition. Thirdly, the evolution of sportscapes is a reflection</w:t>
      </w:r>
      <w:r>
        <w:rPr>
          <w:color w:val="231F20"/>
          <w:spacing w:val="40"/>
        </w:rPr>
        <w:t xml:space="preserve"> </w:t>
      </w:r>
      <w:r>
        <w:rPr>
          <w:color w:val="231F20"/>
        </w:rPr>
        <w:t>of</w:t>
      </w:r>
      <w:r>
        <w:rPr>
          <w:color w:val="231F20"/>
          <w:spacing w:val="-3"/>
        </w:rPr>
        <w:t xml:space="preserve"> </w:t>
      </w:r>
      <w:r>
        <w:rPr>
          <w:color w:val="231F20"/>
        </w:rPr>
        <w:t>technological</w:t>
      </w:r>
      <w:r>
        <w:rPr>
          <w:color w:val="231F20"/>
          <w:spacing w:val="-3"/>
        </w:rPr>
        <w:t xml:space="preserve"> </w:t>
      </w:r>
      <w:r>
        <w:rPr>
          <w:color w:val="231F20"/>
        </w:rPr>
        <w:t>advances</w:t>
      </w:r>
      <w:r>
        <w:rPr>
          <w:color w:val="231F20"/>
          <w:spacing w:val="-3"/>
        </w:rPr>
        <w:t xml:space="preserve"> </w:t>
      </w:r>
      <w:r>
        <w:rPr>
          <w:color w:val="231F20"/>
        </w:rPr>
        <w:t>that</w:t>
      </w:r>
      <w:r>
        <w:rPr>
          <w:color w:val="231F20"/>
          <w:spacing w:val="-3"/>
        </w:rPr>
        <w:t xml:space="preserve"> </w:t>
      </w:r>
      <w:r>
        <w:rPr>
          <w:color w:val="231F20"/>
        </w:rPr>
        <w:t>have</w:t>
      </w:r>
      <w:r>
        <w:rPr>
          <w:color w:val="231F20"/>
          <w:spacing w:val="-3"/>
        </w:rPr>
        <w:t xml:space="preserve"> </w:t>
      </w:r>
      <w:r>
        <w:rPr>
          <w:color w:val="231F20"/>
        </w:rPr>
        <w:t>allowed</w:t>
      </w:r>
      <w:r>
        <w:rPr>
          <w:color w:val="231F20"/>
          <w:spacing w:val="-3"/>
        </w:rPr>
        <w:t xml:space="preserve"> </w:t>
      </w:r>
      <w:r>
        <w:rPr>
          <w:color w:val="231F20"/>
        </w:rPr>
        <w:t>for</w:t>
      </w:r>
      <w:r>
        <w:rPr>
          <w:color w:val="231F20"/>
          <w:spacing w:val="-3"/>
        </w:rPr>
        <w:t xml:space="preserve"> </w:t>
      </w:r>
      <w:r>
        <w:rPr>
          <w:color w:val="231F20"/>
        </w:rPr>
        <w:t>‘improved’</w:t>
      </w:r>
      <w:r>
        <w:rPr>
          <w:color w:val="231F20"/>
          <w:spacing w:val="-3"/>
        </w:rPr>
        <w:t xml:space="preserve"> </w:t>
      </w:r>
      <w:r>
        <w:rPr>
          <w:color w:val="231F20"/>
        </w:rPr>
        <w:t>performance and</w:t>
      </w:r>
      <w:r>
        <w:rPr>
          <w:color w:val="231F20"/>
          <w:spacing w:val="31"/>
        </w:rPr>
        <w:t xml:space="preserve"> </w:t>
      </w:r>
      <w:r>
        <w:rPr>
          <w:color w:val="231F20"/>
        </w:rPr>
        <w:t>therefore</w:t>
      </w:r>
      <w:r>
        <w:rPr>
          <w:color w:val="231F20"/>
          <w:spacing w:val="31"/>
        </w:rPr>
        <w:t xml:space="preserve"> </w:t>
      </w:r>
      <w:r>
        <w:rPr>
          <w:color w:val="231F20"/>
        </w:rPr>
        <w:t>tend</w:t>
      </w:r>
      <w:r>
        <w:rPr>
          <w:color w:val="231F20"/>
          <w:spacing w:val="31"/>
        </w:rPr>
        <w:t xml:space="preserve"> </w:t>
      </w:r>
      <w:r>
        <w:rPr>
          <w:color w:val="231F20"/>
        </w:rPr>
        <w:t>to</w:t>
      </w:r>
      <w:r>
        <w:rPr>
          <w:color w:val="231F20"/>
          <w:spacing w:val="31"/>
        </w:rPr>
        <w:t xml:space="preserve"> </w:t>
      </w:r>
      <w:r>
        <w:rPr>
          <w:color w:val="231F20"/>
        </w:rPr>
        <w:t>be</w:t>
      </w:r>
      <w:r>
        <w:rPr>
          <w:color w:val="231F20"/>
          <w:spacing w:val="31"/>
        </w:rPr>
        <w:t xml:space="preserve"> </w:t>
      </w:r>
      <w:r>
        <w:rPr>
          <w:color w:val="231F20"/>
        </w:rPr>
        <w:t>mimicked</w:t>
      </w:r>
      <w:r>
        <w:rPr>
          <w:color w:val="231F20"/>
          <w:spacing w:val="31"/>
        </w:rPr>
        <w:t xml:space="preserve"> </w:t>
      </w:r>
      <w:r>
        <w:rPr>
          <w:color w:val="231F20"/>
        </w:rPr>
        <w:t>in</w:t>
      </w:r>
      <w:r>
        <w:rPr>
          <w:color w:val="231F20"/>
          <w:spacing w:val="31"/>
        </w:rPr>
        <w:t xml:space="preserve"> </w:t>
      </w:r>
      <w:r>
        <w:rPr>
          <w:color w:val="231F20"/>
        </w:rPr>
        <w:t>competing</w:t>
      </w:r>
      <w:r>
        <w:rPr>
          <w:color w:val="231F20"/>
          <w:spacing w:val="31"/>
        </w:rPr>
        <w:t xml:space="preserve"> </w:t>
      </w:r>
      <w:r>
        <w:rPr>
          <w:color w:val="231F20"/>
        </w:rPr>
        <w:t>regions.</w:t>
      </w:r>
      <w:r>
        <w:rPr>
          <w:color w:val="231F20"/>
          <w:spacing w:val="31"/>
        </w:rPr>
        <w:t xml:space="preserve"> </w:t>
      </w:r>
      <w:r>
        <w:rPr>
          <w:color w:val="231F20"/>
        </w:rPr>
        <w:t>Finally,</w:t>
      </w:r>
      <w:r>
        <w:rPr>
          <w:color w:val="231F20"/>
          <w:spacing w:val="31"/>
        </w:rPr>
        <w:t xml:space="preserve"> </w:t>
      </w:r>
      <w:r>
        <w:rPr>
          <w:color w:val="231F20"/>
        </w:rPr>
        <w:t>the</w:t>
      </w:r>
    </w:p>
    <w:p w14:paraId="58D2097F" w14:textId="77777777" w:rsidR="00AE0598" w:rsidRDefault="00AE0598">
      <w:pPr>
        <w:spacing w:line="232" w:lineRule="auto"/>
        <w:jc w:val="both"/>
        <w:sectPr w:rsidR="00AE0598">
          <w:pgSz w:w="8850" w:h="13270"/>
          <w:pgMar w:top="720" w:right="1060" w:bottom="280" w:left="1080" w:header="720" w:footer="720" w:gutter="0"/>
          <w:cols w:space="720"/>
        </w:sectPr>
      </w:pPr>
    </w:p>
    <w:p w14:paraId="0CC3355E" w14:textId="77777777" w:rsidR="00AE0598" w:rsidRDefault="0069255A">
      <w:pPr>
        <w:spacing w:before="87"/>
        <w:ind w:left="110" w:right="128"/>
        <w:jc w:val="right"/>
        <w:rPr>
          <w:rFonts w:ascii="Trebuchet MS"/>
          <w:sz w:val="14"/>
        </w:rPr>
      </w:pPr>
      <w:r>
        <w:rPr>
          <w:rFonts w:ascii="Trebuchet MS"/>
          <w:color w:val="231F20"/>
          <w:w w:val="105"/>
          <w:sz w:val="14"/>
        </w:rPr>
        <w:lastRenderedPageBreak/>
        <w:t>Place,</w:t>
      </w:r>
      <w:r>
        <w:rPr>
          <w:rFonts w:ascii="Trebuchet MS"/>
          <w:color w:val="231F20"/>
          <w:spacing w:val="-12"/>
          <w:w w:val="105"/>
          <w:sz w:val="14"/>
        </w:rPr>
        <w:t xml:space="preserve"> </w:t>
      </w:r>
      <w:r>
        <w:rPr>
          <w:rFonts w:ascii="Trebuchet MS"/>
          <w:color w:val="231F20"/>
          <w:w w:val="105"/>
          <w:sz w:val="14"/>
        </w:rPr>
        <w:t>Sport</w:t>
      </w:r>
      <w:r>
        <w:rPr>
          <w:rFonts w:ascii="Trebuchet MS"/>
          <w:color w:val="231F20"/>
          <w:spacing w:val="-11"/>
          <w:w w:val="105"/>
          <w:sz w:val="14"/>
        </w:rPr>
        <w:t xml:space="preserve"> </w:t>
      </w:r>
      <w:r>
        <w:rPr>
          <w:rFonts w:ascii="Trebuchet MS"/>
          <w:color w:val="231F20"/>
          <w:w w:val="105"/>
          <w:sz w:val="14"/>
        </w:rPr>
        <w:t>and</w:t>
      </w:r>
      <w:r>
        <w:rPr>
          <w:rFonts w:ascii="Trebuchet MS"/>
          <w:color w:val="231F20"/>
          <w:spacing w:val="-11"/>
          <w:w w:val="105"/>
          <w:sz w:val="14"/>
        </w:rPr>
        <w:t xml:space="preserve"> </w:t>
      </w:r>
      <w:r>
        <w:rPr>
          <w:rFonts w:ascii="Trebuchet MS"/>
          <w:color w:val="231F20"/>
          <w:w w:val="105"/>
          <w:sz w:val="14"/>
        </w:rPr>
        <w:t>Culture</w:t>
      </w:r>
      <w:r>
        <w:rPr>
          <w:rFonts w:ascii="Trebuchet MS"/>
          <w:color w:val="231F20"/>
          <w:spacing w:val="71"/>
          <w:w w:val="105"/>
          <w:sz w:val="14"/>
        </w:rPr>
        <w:t xml:space="preserve"> </w:t>
      </w:r>
      <w:r>
        <w:rPr>
          <w:rFonts w:ascii="Trebuchet MS"/>
          <w:color w:val="231F20"/>
          <w:spacing w:val="-5"/>
          <w:w w:val="105"/>
          <w:sz w:val="14"/>
        </w:rPr>
        <w:t>119</w:t>
      </w:r>
    </w:p>
    <w:p w14:paraId="37E2FDAA" w14:textId="77777777" w:rsidR="00AE0598" w:rsidRDefault="00AE0598">
      <w:pPr>
        <w:pStyle w:val="Corpodetexto"/>
        <w:rPr>
          <w:rFonts w:ascii="Trebuchet MS"/>
          <w:sz w:val="16"/>
        </w:rPr>
      </w:pPr>
    </w:p>
    <w:p w14:paraId="1A2A242C" w14:textId="77777777" w:rsidR="00AE0598" w:rsidRDefault="0069255A">
      <w:pPr>
        <w:pStyle w:val="Corpodetexto"/>
        <w:spacing w:before="118" w:line="232" w:lineRule="auto"/>
        <w:ind w:left="110" w:right="127"/>
        <w:jc w:val="both"/>
      </w:pPr>
      <w:r>
        <w:rPr>
          <w:color w:val="231F20"/>
        </w:rPr>
        <w:t>trend</w:t>
      </w:r>
      <w:r>
        <w:rPr>
          <w:color w:val="231F20"/>
          <w:spacing w:val="-3"/>
        </w:rPr>
        <w:t xml:space="preserve"> </w:t>
      </w:r>
      <w:r>
        <w:rPr>
          <w:color w:val="231F20"/>
        </w:rPr>
        <w:t>towards</w:t>
      </w:r>
      <w:r>
        <w:rPr>
          <w:color w:val="231F20"/>
          <w:spacing w:val="-3"/>
        </w:rPr>
        <w:t xml:space="preserve"> </w:t>
      </w:r>
      <w:r>
        <w:rPr>
          <w:color w:val="231F20"/>
        </w:rPr>
        <w:t>sportscapes</w:t>
      </w:r>
      <w:r>
        <w:rPr>
          <w:color w:val="231F20"/>
          <w:spacing w:val="-3"/>
        </w:rPr>
        <w:t xml:space="preserve"> </w:t>
      </w:r>
      <w:r>
        <w:rPr>
          <w:color w:val="231F20"/>
        </w:rPr>
        <w:t>is</w:t>
      </w:r>
      <w:r>
        <w:rPr>
          <w:color w:val="231F20"/>
          <w:spacing w:val="-3"/>
        </w:rPr>
        <w:t xml:space="preserve"> </w:t>
      </w:r>
      <w:r>
        <w:rPr>
          <w:color w:val="231F20"/>
        </w:rPr>
        <w:t>often</w:t>
      </w:r>
      <w:r>
        <w:rPr>
          <w:color w:val="231F20"/>
          <w:spacing w:val="-3"/>
        </w:rPr>
        <w:t xml:space="preserve"> </w:t>
      </w:r>
      <w:r>
        <w:rPr>
          <w:color w:val="231F20"/>
        </w:rPr>
        <w:t>an</w:t>
      </w:r>
      <w:r>
        <w:rPr>
          <w:color w:val="231F20"/>
          <w:spacing w:val="-3"/>
        </w:rPr>
        <w:t xml:space="preserve"> </w:t>
      </w:r>
      <w:r>
        <w:rPr>
          <w:color w:val="231F20"/>
        </w:rPr>
        <w:t>outcome</w:t>
      </w:r>
      <w:r>
        <w:rPr>
          <w:color w:val="231F20"/>
          <w:spacing w:val="-3"/>
        </w:rPr>
        <w:t xml:space="preserve"> </w:t>
      </w:r>
      <w:r>
        <w:rPr>
          <w:color w:val="231F20"/>
        </w:rPr>
        <w:t>of</w:t>
      </w:r>
      <w:r>
        <w:rPr>
          <w:color w:val="231F20"/>
          <w:spacing w:val="-3"/>
        </w:rPr>
        <w:t xml:space="preserve"> </w:t>
      </w:r>
      <w:r>
        <w:rPr>
          <w:color w:val="231F20"/>
        </w:rPr>
        <w:t>mass</w:t>
      </w:r>
      <w:r>
        <w:rPr>
          <w:color w:val="231F20"/>
          <w:spacing w:val="-3"/>
        </w:rPr>
        <w:t xml:space="preserve"> </w:t>
      </w:r>
      <w:r>
        <w:rPr>
          <w:color w:val="231F20"/>
        </w:rPr>
        <w:t>media</w:t>
      </w:r>
      <w:r>
        <w:rPr>
          <w:color w:val="231F20"/>
          <w:spacing w:val="-3"/>
        </w:rPr>
        <w:t xml:space="preserve"> </w:t>
      </w:r>
      <w:r>
        <w:rPr>
          <w:color w:val="231F20"/>
        </w:rPr>
        <w:t xml:space="preserve">broadcast </w:t>
      </w:r>
      <w:r>
        <w:rPr>
          <w:color w:val="231F20"/>
          <w:w w:val="95"/>
        </w:rPr>
        <w:t xml:space="preserve">requirements both in terms of technological needs and in terms of market </w:t>
      </w:r>
      <w:r>
        <w:rPr>
          <w:color w:val="231F20"/>
        </w:rPr>
        <w:t>appeal. Notwithstanding this trend towards conformity, there has been</w:t>
      </w:r>
      <w:r>
        <w:rPr>
          <w:color w:val="231F20"/>
          <w:spacing w:val="40"/>
        </w:rPr>
        <w:t xml:space="preserve"> </w:t>
      </w:r>
      <w:r>
        <w:rPr>
          <w:color w:val="231F20"/>
        </w:rPr>
        <w:t xml:space="preserve">a conscious effort over the past decade to design major sport stadiums in ways that tie them meaningfully to the </w:t>
      </w:r>
      <w:r>
        <w:rPr>
          <w:color w:val="231F20"/>
        </w:rPr>
        <w:t>locations in which they exist (Sheard, 2014; also Case Study 4.1).</w:t>
      </w:r>
    </w:p>
    <w:p w14:paraId="5DBA756A" w14:textId="77777777" w:rsidR="00AE0598" w:rsidRDefault="00AE0598">
      <w:pPr>
        <w:pStyle w:val="Corpodetexto"/>
        <w:spacing w:before="6"/>
      </w:pPr>
    </w:p>
    <w:p w14:paraId="55373DA5" w14:textId="77777777" w:rsidR="00AE0598" w:rsidRDefault="0069255A">
      <w:pPr>
        <w:spacing w:before="1"/>
        <w:ind w:left="110"/>
        <w:rPr>
          <w:rFonts w:ascii="Trebuchet MS"/>
          <w:sz w:val="20"/>
        </w:rPr>
      </w:pPr>
      <w:r>
        <w:rPr>
          <w:rFonts w:ascii="Trebuchet MS"/>
          <w:color w:val="231F20"/>
          <w:spacing w:val="-2"/>
          <w:sz w:val="20"/>
        </w:rPr>
        <w:t>Territoriality</w:t>
      </w:r>
    </w:p>
    <w:p w14:paraId="4344D07D" w14:textId="77777777" w:rsidR="00AE0598" w:rsidRDefault="0069255A">
      <w:pPr>
        <w:pStyle w:val="Corpodetexto"/>
        <w:spacing w:before="122" w:line="232" w:lineRule="auto"/>
        <w:ind w:left="110" w:right="122" w:firstLine="320"/>
        <w:jc w:val="both"/>
      </w:pPr>
      <w:r>
        <w:rPr>
          <w:color w:val="231F20"/>
        </w:rPr>
        <w:t>The issue of territoriality arises when two or more groups who feel that they ‘own’ or have some sort of moral claim over a site, come into conflict.</w:t>
      </w:r>
      <w:r>
        <w:rPr>
          <w:color w:val="231F20"/>
          <w:spacing w:val="36"/>
        </w:rPr>
        <w:t xml:space="preserve"> </w:t>
      </w:r>
      <w:r>
        <w:rPr>
          <w:color w:val="231F20"/>
        </w:rPr>
        <w:t>Significant</w:t>
      </w:r>
      <w:r>
        <w:rPr>
          <w:color w:val="231F20"/>
          <w:spacing w:val="36"/>
        </w:rPr>
        <w:t xml:space="preserve"> </w:t>
      </w:r>
      <w:r>
        <w:rPr>
          <w:color w:val="231F20"/>
        </w:rPr>
        <w:t>differences</w:t>
      </w:r>
      <w:r>
        <w:rPr>
          <w:color w:val="231F20"/>
          <w:spacing w:val="36"/>
        </w:rPr>
        <w:t xml:space="preserve"> </w:t>
      </w:r>
      <w:r>
        <w:rPr>
          <w:color w:val="231F20"/>
        </w:rPr>
        <w:t>in</w:t>
      </w:r>
      <w:r>
        <w:rPr>
          <w:color w:val="231F20"/>
          <w:spacing w:val="36"/>
        </w:rPr>
        <w:t xml:space="preserve"> </w:t>
      </w:r>
      <w:r>
        <w:rPr>
          <w:color w:val="231F20"/>
        </w:rPr>
        <w:t>the</w:t>
      </w:r>
      <w:r>
        <w:rPr>
          <w:color w:val="231F20"/>
          <w:spacing w:val="36"/>
        </w:rPr>
        <w:t xml:space="preserve"> </w:t>
      </w:r>
      <w:r>
        <w:rPr>
          <w:color w:val="231F20"/>
        </w:rPr>
        <w:t>way</w:t>
      </w:r>
      <w:r>
        <w:rPr>
          <w:color w:val="231F20"/>
          <w:spacing w:val="36"/>
        </w:rPr>
        <w:t xml:space="preserve"> </w:t>
      </w:r>
      <w:r>
        <w:rPr>
          <w:color w:val="231F20"/>
        </w:rPr>
        <w:t>these</w:t>
      </w:r>
      <w:r>
        <w:rPr>
          <w:color w:val="231F20"/>
          <w:spacing w:val="36"/>
        </w:rPr>
        <w:t xml:space="preserve"> </w:t>
      </w:r>
      <w:r>
        <w:rPr>
          <w:color w:val="231F20"/>
        </w:rPr>
        <w:t>groups</w:t>
      </w:r>
      <w:r>
        <w:rPr>
          <w:color w:val="231F20"/>
          <w:spacing w:val="36"/>
        </w:rPr>
        <w:t xml:space="preserve"> </w:t>
      </w:r>
      <w:r>
        <w:rPr>
          <w:color w:val="231F20"/>
        </w:rPr>
        <w:t>identify</w:t>
      </w:r>
      <w:r>
        <w:rPr>
          <w:color w:val="231F20"/>
          <w:spacing w:val="36"/>
        </w:rPr>
        <w:t xml:space="preserve"> </w:t>
      </w:r>
      <w:r>
        <w:rPr>
          <w:color w:val="231F20"/>
        </w:rPr>
        <w:t>with a place, the pressures of crowding and feeli</w:t>
      </w:r>
      <w:r>
        <w:rPr>
          <w:color w:val="231F20"/>
        </w:rPr>
        <w:t>ngs of loss or invasion have contributed</w:t>
      </w:r>
      <w:r>
        <w:rPr>
          <w:color w:val="231F20"/>
          <w:spacing w:val="39"/>
        </w:rPr>
        <w:t xml:space="preserve"> </w:t>
      </w:r>
      <w:r>
        <w:rPr>
          <w:color w:val="231F20"/>
        </w:rPr>
        <w:t>to</w:t>
      </w:r>
      <w:r>
        <w:rPr>
          <w:color w:val="231F20"/>
          <w:spacing w:val="39"/>
        </w:rPr>
        <w:t xml:space="preserve"> </w:t>
      </w:r>
      <w:r>
        <w:rPr>
          <w:color w:val="231F20"/>
        </w:rPr>
        <w:t>the</w:t>
      </w:r>
      <w:r>
        <w:rPr>
          <w:color w:val="231F20"/>
          <w:spacing w:val="39"/>
        </w:rPr>
        <w:t xml:space="preserve"> </w:t>
      </w:r>
      <w:r>
        <w:rPr>
          <w:color w:val="231F20"/>
        </w:rPr>
        <w:t>growing</w:t>
      </w:r>
      <w:r>
        <w:rPr>
          <w:color w:val="231F20"/>
          <w:spacing w:val="39"/>
        </w:rPr>
        <w:t xml:space="preserve"> </w:t>
      </w:r>
      <w:r>
        <w:rPr>
          <w:color w:val="231F20"/>
        </w:rPr>
        <w:t>challenge</w:t>
      </w:r>
      <w:r>
        <w:rPr>
          <w:color w:val="231F20"/>
          <w:spacing w:val="39"/>
        </w:rPr>
        <w:t xml:space="preserve"> </w:t>
      </w:r>
      <w:r>
        <w:rPr>
          <w:color w:val="231F20"/>
        </w:rPr>
        <w:t>of</w:t>
      </w:r>
      <w:r>
        <w:rPr>
          <w:color w:val="231F20"/>
          <w:spacing w:val="39"/>
        </w:rPr>
        <w:t xml:space="preserve"> </w:t>
      </w:r>
      <w:r>
        <w:rPr>
          <w:color w:val="231F20"/>
        </w:rPr>
        <w:t>territoriality</w:t>
      </w:r>
      <w:r>
        <w:rPr>
          <w:color w:val="231F20"/>
          <w:spacing w:val="39"/>
        </w:rPr>
        <w:t xml:space="preserve"> </w:t>
      </w:r>
      <w:r>
        <w:rPr>
          <w:color w:val="231F20"/>
        </w:rPr>
        <w:t>as</w:t>
      </w:r>
      <w:r>
        <w:rPr>
          <w:color w:val="231F20"/>
          <w:spacing w:val="39"/>
        </w:rPr>
        <w:t xml:space="preserve"> </w:t>
      </w:r>
      <w:r>
        <w:rPr>
          <w:color w:val="231F20"/>
        </w:rPr>
        <w:t>a</w:t>
      </w:r>
      <w:r>
        <w:rPr>
          <w:color w:val="231F20"/>
          <w:spacing w:val="39"/>
        </w:rPr>
        <w:t xml:space="preserve"> </w:t>
      </w:r>
      <w:r>
        <w:rPr>
          <w:color w:val="231F20"/>
        </w:rPr>
        <w:t>dimension of</w:t>
      </w:r>
      <w:r>
        <w:rPr>
          <w:color w:val="231F20"/>
          <w:spacing w:val="40"/>
        </w:rPr>
        <w:t xml:space="preserve"> </w:t>
      </w:r>
      <w:r>
        <w:rPr>
          <w:color w:val="231F20"/>
        </w:rPr>
        <w:t>place</w:t>
      </w:r>
      <w:r>
        <w:rPr>
          <w:color w:val="231F20"/>
          <w:spacing w:val="40"/>
        </w:rPr>
        <w:t xml:space="preserve"> </w:t>
      </w:r>
      <w:r>
        <w:rPr>
          <w:color w:val="231F20"/>
        </w:rPr>
        <w:t>that</w:t>
      </w:r>
      <w:r>
        <w:rPr>
          <w:color w:val="231F20"/>
          <w:spacing w:val="40"/>
        </w:rPr>
        <w:t xml:space="preserve"> </w:t>
      </w:r>
      <w:r>
        <w:rPr>
          <w:color w:val="231F20"/>
        </w:rPr>
        <w:t>functions</w:t>
      </w:r>
      <w:r>
        <w:rPr>
          <w:color w:val="231F20"/>
          <w:spacing w:val="40"/>
        </w:rPr>
        <w:t xml:space="preserve"> </w:t>
      </w:r>
      <w:r>
        <w:rPr>
          <w:color w:val="231F20"/>
        </w:rPr>
        <w:t>in</w:t>
      </w:r>
      <w:r>
        <w:rPr>
          <w:color w:val="231F20"/>
          <w:spacing w:val="40"/>
        </w:rPr>
        <w:t xml:space="preserve"> </w:t>
      </w:r>
      <w:r>
        <w:rPr>
          <w:color w:val="231F20"/>
        </w:rPr>
        <w:t>opposition</w:t>
      </w:r>
      <w:r>
        <w:rPr>
          <w:color w:val="231F20"/>
          <w:spacing w:val="40"/>
        </w:rPr>
        <w:t xml:space="preserve"> </w:t>
      </w:r>
      <w:r>
        <w:rPr>
          <w:color w:val="231F20"/>
        </w:rPr>
        <w:t>to</w:t>
      </w:r>
      <w:r>
        <w:rPr>
          <w:color w:val="231F20"/>
          <w:spacing w:val="40"/>
        </w:rPr>
        <w:t xml:space="preserve"> </w:t>
      </w:r>
      <w:r>
        <w:rPr>
          <w:color w:val="231F20"/>
        </w:rPr>
        <w:t>sport</w:t>
      </w:r>
      <w:r>
        <w:rPr>
          <w:color w:val="231F20"/>
          <w:spacing w:val="40"/>
        </w:rPr>
        <w:t xml:space="preserve"> </w:t>
      </w:r>
      <w:r>
        <w:rPr>
          <w:color w:val="231F20"/>
        </w:rPr>
        <w:t>tourism.</w:t>
      </w:r>
      <w:r>
        <w:rPr>
          <w:color w:val="231F20"/>
          <w:spacing w:val="40"/>
        </w:rPr>
        <w:t xml:space="preserve"> </w:t>
      </w:r>
      <w:r>
        <w:rPr>
          <w:color w:val="231F20"/>
        </w:rPr>
        <w:t>This</w:t>
      </w:r>
      <w:r>
        <w:rPr>
          <w:color w:val="231F20"/>
          <w:spacing w:val="40"/>
        </w:rPr>
        <w:t xml:space="preserve"> </w:t>
      </w:r>
      <w:r>
        <w:rPr>
          <w:color w:val="231F20"/>
        </w:rPr>
        <w:t>issue</w:t>
      </w:r>
      <w:r>
        <w:rPr>
          <w:color w:val="231F20"/>
          <w:spacing w:val="80"/>
        </w:rPr>
        <w:t xml:space="preserve"> </w:t>
      </w:r>
      <w:r>
        <w:rPr>
          <w:color w:val="231F20"/>
        </w:rPr>
        <w:t>has</w:t>
      </w:r>
      <w:r>
        <w:rPr>
          <w:color w:val="231F20"/>
          <w:spacing w:val="37"/>
        </w:rPr>
        <w:t xml:space="preserve"> </w:t>
      </w:r>
      <w:r>
        <w:rPr>
          <w:color w:val="231F20"/>
        </w:rPr>
        <w:t>been</w:t>
      </w:r>
      <w:r>
        <w:rPr>
          <w:color w:val="231F20"/>
          <w:spacing w:val="37"/>
        </w:rPr>
        <w:t xml:space="preserve"> </w:t>
      </w:r>
      <w:r>
        <w:rPr>
          <w:color w:val="231F20"/>
        </w:rPr>
        <w:t>studied</w:t>
      </w:r>
      <w:r>
        <w:rPr>
          <w:color w:val="231F20"/>
          <w:spacing w:val="37"/>
        </w:rPr>
        <w:t xml:space="preserve"> </w:t>
      </w:r>
      <w:r>
        <w:rPr>
          <w:color w:val="231F20"/>
        </w:rPr>
        <w:t>in</w:t>
      </w:r>
      <w:r>
        <w:rPr>
          <w:color w:val="231F20"/>
          <w:spacing w:val="37"/>
        </w:rPr>
        <w:t xml:space="preserve"> </w:t>
      </w:r>
      <w:r>
        <w:rPr>
          <w:color w:val="231F20"/>
        </w:rPr>
        <w:t>the</w:t>
      </w:r>
      <w:r>
        <w:rPr>
          <w:color w:val="231F20"/>
          <w:spacing w:val="37"/>
        </w:rPr>
        <w:t xml:space="preserve"> </w:t>
      </w:r>
      <w:r>
        <w:rPr>
          <w:color w:val="231F20"/>
        </w:rPr>
        <w:t>context</w:t>
      </w:r>
      <w:r>
        <w:rPr>
          <w:color w:val="231F20"/>
          <w:spacing w:val="37"/>
        </w:rPr>
        <w:t xml:space="preserve"> </w:t>
      </w:r>
      <w:r>
        <w:rPr>
          <w:color w:val="231F20"/>
        </w:rPr>
        <w:t>of</w:t>
      </w:r>
      <w:r>
        <w:rPr>
          <w:color w:val="231F20"/>
          <w:spacing w:val="37"/>
        </w:rPr>
        <w:t xml:space="preserve"> </w:t>
      </w:r>
      <w:r>
        <w:rPr>
          <w:color w:val="231F20"/>
        </w:rPr>
        <w:t>spectators</w:t>
      </w:r>
      <w:r>
        <w:rPr>
          <w:color w:val="231F20"/>
          <w:spacing w:val="37"/>
        </w:rPr>
        <w:t xml:space="preserve"> </w:t>
      </w:r>
      <w:r>
        <w:rPr>
          <w:color w:val="231F20"/>
        </w:rPr>
        <w:t>at</w:t>
      </w:r>
      <w:r>
        <w:rPr>
          <w:color w:val="231F20"/>
          <w:spacing w:val="37"/>
        </w:rPr>
        <w:t xml:space="preserve"> </w:t>
      </w:r>
      <w:r>
        <w:rPr>
          <w:color w:val="231F20"/>
        </w:rPr>
        <w:t>sport</w:t>
      </w:r>
      <w:r>
        <w:rPr>
          <w:color w:val="231F20"/>
          <w:spacing w:val="37"/>
        </w:rPr>
        <w:t xml:space="preserve"> </w:t>
      </w:r>
      <w:r>
        <w:rPr>
          <w:color w:val="231F20"/>
        </w:rPr>
        <w:t>events</w:t>
      </w:r>
      <w:r>
        <w:rPr>
          <w:color w:val="231F20"/>
          <w:spacing w:val="37"/>
        </w:rPr>
        <w:t xml:space="preserve"> </w:t>
      </w:r>
      <w:r>
        <w:rPr>
          <w:color w:val="231F20"/>
        </w:rPr>
        <w:t>(Evans &amp; Norcliffe, 2016; Case Study 6); residents and visiting athletes at participation-based events (Hinch &amp; Holt, 2017); and in terms of different types of subculture members in sports such as surfing (Usher</w:t>
      </w:r>
      <w:r>
        <w:rPr>
          <w:color w:val="231F20"/>
          <w:spacing w:val="40"/>
        </w:rPr>
        <w:t xml:space="preserve"> </w:t>
      </w:r>
      <w:r>
        <w:rPr>
          <w:color w:val="231F20"/>
          <w:w w:val="95"/>
        </w:rPr>
        <w:t>&amp; Gomez, 2016). While not referring to terri</w:t>
      </w:r>
      <w:r>
        <w:rPr>
          <w:color w:val="231F20"/>
          <w:w w:val="95"/>
        </w:rPr>
        <w:t xml:space="preserve">toriality directly, Evans and </w:t>
      </w:r>
      <w:r>
        <w:rPr>
          <w:color w:val="231F20"/>
        </w:rPr>
        <w:t>Norcliffe (2016) highlighted the tensions between the local identities and globalisation in soccer with their study of the strains between visiting</w:t>
      </w:r>
      <w:r>
        <w:rPr>
          <w:color w:val="231F20"/>
          <w:spacing w:val="40"/>
        </w:rPr>
        <w:t xml:space="preserve"> </w:t>
      </w:r>
      <w:r>
        <w:rPr>
          <w:color w:val="231F20"/>
        </w:rPr>
        <w:t>and</w:t>
      </w:r>
      <w:r>
        <w:rPr>
          <w:color w:val="231F20"/>
          <w:spacing w:val="40"/>
        </w:rPr>
        <w:t xml:space="preserve"> </w:t>
      </w:r>
      <w:r>
        <w:rPr>
          <w:color w:val="231F20"/>
        </w:rPr>
        <w:t>local</w:t>
      </w:r>
      <w:r>
        <w:rPr>
          <w:color w:val="231F20"/>
          <w:spacing w:val="40"/>
        </w:rPr>
        <w:t xml:space="preserve"> </w:t>
      </w:r>
      <w:r>
        <w:rPr>
          <w:color w:val="231F20"/>
        </w:rPr>
        <w:t>supporters</w:t>
      </w:r>
      <w:r>
        <w:rPr>
          <w:color w:val="231F20"/>
          <w:spacing w:val="40"/>
        </w:rPr>
        <w:t xml:space="preserve"> </w:t>
      </w:r>
      <w:r>
        <w:rPr>
          <w:color w:val="231F20"/>
        </w:rPr>
        <w:t>of</w:t>
      </w:r>
      <w:r>
        <w:rPr>
          <w:color w:val="231F20"/>
          <w:spacing w:val="40"/>
        </w:rPr>
        <w:t xml:space="preserve"> </w:t>
      </w:r>
      <w:r>
        <w:rPr>
          <w:color w:val="231F20"/>
        </w:rPr>
        <w:t>Liverpool</w:t>
      </w:r>
      <w:r>
        <w:rPr>
          <w:color w:val="231F20"/>
          <w:spacing w:val="40"/>
        </w:rPr>
        <w:t xml:space="preserve"> </w:t>
      </w:r>
      <w:r>
        <w:rPr>
          <w:color w:val="231F20"/>
        </w:rPr>
        <w:t>Football</w:t>
      </w:r>
      <w:r>
        <w:rPr>
          <w:color w:val="231F20"/>
          <w:spacing w:val="40"/>
        </w:rPr>
        <w:t xml:space="preserve"> </w:t>
      </w:r>
      <w:r>
        <w:rPr>
          <w:color w:val="231F20"/>
        </w:rPr>
        <w:t>Club</w:t>
      </w:r>
      <w:r>
        <w:rPr>
          <w:color w:val="231F20"/>
          <w:spacing w:val="40"/>
        </w:rPr>
        <w:t xml:space="preserve"> </w:t>
      </w:r>
      <w:r>
        <w:rPr>
          <w:color w:val="231F20"/>
        </w:rPr>
        <w:t>(also</w:t>
      </w:r>
      <w:r>
        <w:rPr>
          <w:color w:val="231F20"/>
          <w:spacing w:val="40"/>
        </w:rPr>
        <w:t xml:space="preserve"> </w:t>
      </w:r>
      <w:r>
        <w:rPr>
          <w:color w:val="231F20"/>
        </w:rPr>
        <w:t xml:space="preserve">Case </w:t>
      </w:r>
      <w:r>
        <w:rPr>
          <w:color w:val="231F20"/>
          <w:w w:val="95"/>
        </w:rPr>
        <w:t>Study 6.1). Despite</w:t>
      </w:r>
      <w:r>
        <w:rPr>
          <w:color w:val="231F20"/>
          <w:w w:val="95"/>
        </w:rPr>
        <w:t xml:space="preserve"> the fact that these groups were cheering for the same </w:t>
      </w:r>
      <w:r>
        <w:rPr>
          <w:color w:val="231F20"/>
        </w:rPr>
        <w:t xml:space="preserve">team, local supporters were conflicted in terms of their identities and </w:t>
      </w:r>
      <w:r>
        <w:rPr>
          <w:color w:val="231F20"/>
          <w:w w:val="95"/>
        </w:rPr>
        <w:t>relationships</w:t>
      </w:r>
      <w:r>
        <w:rPr>
          <w:color w:val="231F20"/>
        </w:rPr>
        <w:t xml:space="preserve"> </w:t>
      </w:r>
      <w:r>
        <w:rPr>
          <w:color w:val="231F20"/>
          <w:w w:val="95"/>
        </w:rPr>
        <w:t>with</w:t>
      </w:r>
      <w:r>
        <w:rPr>
          <w:color w:val="231F20"/>
        </w:rPr>
        <w:t xml:space="preserve"> </w:t>
      </w:r>
      <w:r>
        <w:rPr>
          <w:color w:val="231F20"/>
          <w:w w:val="95"/>
        </w:rPr>
        <w:t>visiting</w:t>
      </w:r>
      <w:r>
        <w:rPr>
          <w:color w:val="231F20"/>
        </w:rPr>
        <w:t xml:space="preserve"> </w:t>
      </w:r>
      <w:r>
        <w:rPr>
          <w:color w:val="231F20"/>
          <w:w w:val="95"/>
        </w:rPr>
        <w:t>supporters.</w:t>
      </w:r>
      <w:r>
        <w:rPr>
          <w:color w:val="231F20"/>
        </w:rPr>
        <w:t xml:space="preserve"> </w:t>
      </w:r>
      <w:r>
        <w:rPr>
          <w:color w:val="231F20"/>
          <w:w w:val="95"/>
        </w:rPr>
        <w:t>Hinch</w:t>
      </w:r>
      <w:r>
        <w:rPr>
          <w:color w:val="231F20"/>
        </w:rPr>
        <w:t xml:space="preserve"> </w:t>
      </w:r>
      <w:r>
        <w:rPr>
          <w:color w:val="231F20"/>
          <w:w w:val="95"/>
        </w:rPr>
        <w:t>and</w:t>
      </w:r>
      <w:r>
        <w:rPr>
          <w:color w:val="231F20"/>
        </w:rPr>
        <w:t xml:space="preserve"> </w:t>
      </w:r>
      <w:r>
        <w:rPr>
          <w:color w:val="231F20"/>
          <w:w w:val="95"/>
        </w:rPr>
        <w:t>Holt’s</w:t>
      </w:r>
      <w:r>
        <w:rPr>
          <w:color w:val="231F20"/>
        </w:rPr>
        <w:t xml:space="preserve"> </w:t>
      </w:r>
      <w:r>
        <w:rPr>
          <w:color w:val="231F20"/>
          <w:w w:val="95"/>
        </w:rPr>
        <w:t>(2017)</w:t>
      </w:r>
      <w:r>
        <w:rPr>
          <w:color w:val="231F20"/>
        </w:rPr>
        <w:t xml:space="preserve"> </w:t>
      </w:r>
      <w:r>
        <w:rPr>
          <w:color w:val="231F20"/>
          <w:w w:val="95"/>
        </w:rPr>
        <w:t>study</w:t>
      </w:r>
      <w:r>
        <w:rPr>
          <w:color w:val="231F20"/>
        </w:rPr>
        <w:t xml:space="preserve"> </w:t>
      </w:r>
      <w:r>
        <w:rPr>
          <w:color w:val="231F20"/>
          <w:w w:val="95"/>
        </w:rPr>
        <w:t>of</w:t>
      </w:r>
      <w:r>
        <w:rPr>
          <w:color w:val="231F20"/>
          <w:spacing w:val="80"/>
          <w:w w:val="150"/>
        </w:rPr>
        <w:t xml:space="preserve"> </w:t>
      </w:r>
      <w:r>
        <w:rPr>
          <w:color w:val="231F20"/>
        </w:rPr>
        <w:t xml:space="preserve">the place attachment of residents and visiting athletes </w:t>
      </w:r>
      <w:r>
        <w:rPr>
          <w:color w:val="231F20"/>
        </w:rPr>
        <w:t>at a participant- based ultramarathon event found that both groups felt that the event had a positive impact on their attachment to the host community. However, the athletes were more likely to be attached through place dependence while the locals were mor</w:t>
      </w:r>
      <w:r>
        <w:rPr>
          <w:color w:val="231F20"/>
        </w:rPr>
        <w:t xml:space="preserve">e likely to be attached through place identity. In a quite different sporting context, Usher and Gomez’s (2016) study of surf localism in Costa Rica identified three types of </w:t>
      </w:r>
      <w:r>
        <w:rPr>
          <w:color w:val="231F20"/>
          <w:w w:val="95"/>
        </w:rPr>
        <w:t xml:space="preserve">surfers including locals, foreign resident surfers and short-term visiting </w:t>
      </w:r>
      <w:r>
        <w:rPr>
          <w:color w:val="231F20"/>
        </w:rPr>
        <w:t>surfer</w:t>
      </w:r>
      <w:r>
        <w:rPr>
          <w:color w:val="231F20"/>
        </w:rPr>
        <w:t>s.</w:t>
      </w:r>
      <w:r>
        <w:rPr>
          <w:color w:val="231F20"/>
          <w:spacing w:val="39"/>
        </w:rPr>
        <w:t xml:space="preserve"> </w:t>
      </w:r>
      <w:r>
        <w:rPr>
          <w:color w:val="231F20"/>
        </w:rPr>
        <w:t>Native</w:t>
      </w:r>
      <w:r>
        <w:rPr>
          <w:color w:val="231F20"/>
          <w:spacing w:val="39"/>
        </w:rPr>
        <w:t xml:space="preserve"> </w:t>
      </w:r>
      <w:r>
        <w:rPr>
          <w:color w:val="231F20"/>
        </w:rPr>
        <w:t>Costa</w:t>
      </w:r>
      <w:r>
        <w:rPr>
          <w:color w:val="231F20"/>
          <w:spacing w:val="39"/>
        </w:rPr>
        <w:t xml:space="preserve"> </w:t>
      </w:r>
      <w:r>
        <w:rPr>
          <w:color w:val="231F20"/>
        </w:rPr>
        <w:t>Rican</w:t>
      </w:r>
      <w:r>
        <w:rPr>
          <w:color w:val="231F20"/>
          <w:spacing w:val="39"/>
        </w:rPr>
        <w:t xml:space="preserve"> </w:t>
      </w:r>
      <w:r>
        <w:rPr>
          <w:color w:val="231F20"/>
        </w:rPr>
        <w:t>surfers</w:t>
      </w:r>
      <w:r>
        <w:rPr>
          <w:color w:val="231F20"/>
          <w:spacing w:val="39"/>
        </w:rPr>
        <w:t xml:space="preserve"> </w:t>
      </w:r>
      <w:r>
        <w:rPr>
          <w:color w:val="231F20"/>
        </w:rPr>
        <w:t>felt</w:t>
      </w:r>
      <w:r>
        <w:rPr>
          <w:color w:val="231F20"/>
          <w:spacing w:val="39"/>
        </w:rPr>
        <w:t xml:space="preserve"> </w:t>
      </w:r>
      <w:r>
        <w:rPr>
          <w:color w:val="231F20"/>
        </w:rPr>
        <w:t>a</w:t>
      </w:r>
      <w:r>
        <w:rPr>
          <w:color w:val="231F20"/>
          <w:spacing w:val="39"/>
        </w:rPr>
        <w:t xml:space="preserve"> </w:t>
      </w:r>
      <w:r>
        <w:rPr>
          <w:color w:val="231F20"/>
        </w:rPr>
        <w:t>greater</w:t>
      </w:r>
      <w:r>
        <w:rPr>
          <w:color w:val="231F20"/>
          <w:spacing w:val="39"/>
        </w:rPr>
        <w:t xml:space="preserve"> </w:t>
      </w:r>
      <w:r>
        <w:rPr>
          <w:color w:val="231F20"/>
        </w:rPr>
        <w:t>sense</w:t>
      </w:r>
      <w:r>
        <w:rPr>
          <w:color w:val="231F20"/>
          <w:spacing w:val="39"/>
        </w:rPr>
        <w:t xml:space="preserve"> </w:t>
      </w:r>
      <w:r>
        <w:rPr>
          <w:color w:val="231F20"/>
        </w:rPr>
        <w:t>of</w:t>
      </w:r>
      <w:r>
        <w:rPr>
          <w:color w:val="231F20"/>
          <w:spacing w:val="39"/>
        </w:rPr>
        <w:t xml:space="preserve"> </w:t>
      </w:r>
      <w:r>
        <w:rPr>
          <w:color w:val="231F20"/>
        </w:rPr>
        <w:t>ownership of the surf but were less likely to openly challenge short-term visiting surfers who violated surfing etiquette than were resident foreigners. These conflicts highlight the need to manage the interactions between various surfing groups so that co</w:t>
      </w:r>
      <w:r>
        <w:rPr>
          <w:color w:val="231F20"/>
        </w:rPr>
        <w:t>nflict is minimised.</w:t>
      </w:r>
    </w:p>
    <w:p w14:paraId="41FF1451" w14:textId="77777777" w:rsidR="00AE0598" w:rsidRDefault="00AE0598">
      <w:pPr>
        <w:pStyle w:val="Corpodetexto"/>
        <w:rPr>
          <w:sz w:val="24"/>
        </w:rPr>
      </w:pPr>
    </w:p>
    <w:p w14:paraId="71BB3726" w14:textId="77777777" w:rsidR="00AE0598" w:rsidRDefault="0069255A">
      <w:pPr>
        <w:ind w:left="110"/>
        <w:rPr>
          <w:rFonts w:ascii="Trebuchet MS"/>
          <w:b/>
          <w:sz w:val="20"/>
        </w:rPr>
      </w:pPr>
      <w:r>
        <w:rPr>
          <w:rFonts w:ascii="Trebuchet MS"/>
          <w:b/>
          <w:color w:val="231F20"/>
          <w:w w:val="95"/>
          <w:sz w:val="20"/>
        </w:rPr>
        <w:t>Culture,</w:t>
      </w:r>
      <w:r>
        <w:rPr>
          <w:rFonts w:ascii="Trebuchet MS"/>
          <w:b/>
          <w:color w:val="231F20"/>
          <w:spacing w:val="10"/>
          <w:sz w:val="20"/>
        </w:rPr>
        <w:t xml:space="preserve"> </w:t>
      </w:r>
      <w:r>
        <w:rPr>
          <w:rFonts w:ascii="Trebuchet MS"/>
          <w:b/>
          <w:color w:val="231F20"/>
          <w:w w:val="95"/>
          <w:sz w:val="20"/>
        </w:rPr>
        <w:t>Place</w:t>
      </w:r>
      <w:r>
        <w:rPr>
          <w:rFonts w:ascii="Trebuchet MS"/>
          <w:b/>
          <w:color w:val="231F20"/>
          <w:spacing w:val="11"/>
          <w:sz w:val="20"/>
        </w:rPr>
        <w:t xml:space="preserve"> </w:t>
      </w:r>
      <w:r>
        <w:rPr>
          <w:rFonts w:ascii="Trebuchet MS"/>
          <w:b/>
          <w:color w:val="231F20"/>
          <w:w w:val="95"/>
          <w:sz w:val="20"/>
        </w:rPr>
        <w:t>and</w:t>
      </w:r>
      <w:r>
        <w:rPr>
          <w:rFonts w:ascii="Trebuchet MS"/>
          <w:b/>
          <w:color w:val="231F20"/>
          <w:spacing w:val="11"/>
          <w:sz w:val="20"/>
        </w:rPr>
        <w:t xml:space="preserve"> </w:t>
      </w:r>
      <w:r>
        <w:rPr>
          <w:rFonts w:ascii="Trebuchet MS"/>
          <w:b/>
          <w:color w:val="231F20"/>
          <w:spacing w:val="-2"/>
          <w:w w:val="95"/>
          <w:sz w:val="20"/>
        </w:rPr>
        <w:t>Identity</w:t>
      </w:r>
    </w:p>
    <w:p w14:paraId="363F90D6" w14:textId="77777777" w:rsidR="00AE0598" w:rsidRDefault="0069255A">
      <w:pPr>
        <w:pStyle w:val="Corpodetexto"/>
        <w:spacing w:before="122" w:line="232" w:lineRule="auto"/>
        <w:ind w:left="110" w:right="127" w:firstLine="320"/>
        <w:jc w:val="both"/>
      </w:pPr>
      <w:r>
        <w:rPr>
          <w:color w:val="231F20"/>
          <w:w w:val="95"/>
        </w:rPr>
        <w:t xml:space="preserve">Place is closely tied to culture. The meanings that are attached to sport </w:t>
      </w:r>
      <w:r>
        <w:rPr>
          <w:color w:val="231F20"/>
        </w:rPr>
        <w:t>spaces</w:t>
      </w:r>
      <w:r>
        <w:rPr>
          <w:color w:val="231F20"/>
          <w:spacing w:val="-6"/>
        </w:rPr>
        <w:t xml:space="preserve"> </w:t>
      </w:r>
      <w:r>
        <w:rPr>
          <w:color w:val="231F20"/>
        </w:rPr>
        <w:t>are</w:t>
      </w:r>
      <w:r>
        <w:rPr>
          <w:color w:val="231F20"/>
          <w:spacing w:val="-6"/>
        </w:rPr>
        <w:t xml:space="preserve"> </w:t>
      </w:r>
      <w:r>
        <w:rPr>
          <w:color w:val="231F20"/>
        </w:rPr>
        <w:t>strongly</w:t>
      </w:r>
      <w:r>
        <w:rPr>
          <w:color w:val="231F20"/>
          <w:spacing w:val="-6"/>
        </w:rPr>
        <w:t xml:space="preserve"> </w:t>
      </w:r>
      <w:r>
        <w:rPr>
          <w:color w:val="231F20"/>
        </w:rPr>
        <w:t>influenced</w:t>
      </w:r>
      <w:r>
        <w:rPr>
          <w:color w:val="231F20"/>
          <w:spacing w:val="-6"/>
        </w:rPr>
        <w:t xml:space="preserve"> </w:t>
      </w:r>
      <w:r>
        <w:rPr>
          <w:color w:val="231F20"/>
        </w:rPr>
        <w:t>by</w:t>
      </w:r>
      <w:r>
        <w:rPr>
          <w:color w:val="231F20"/>
          <w:spacing w:val="-6"/>
        </w:rPr>
        <w:t xml:space="preserve"> </w:t>
      </w:r>
      <w:r>
        <w:rPr>
          <w:color w:val="231F20"/>
        </w:rPr>
        <w:t>the</w:t>
      </w:r>
      <w:r>
        <w:rPr>
          <w:color w:val="231F20"/>
          <w:spacing w:val="-6"/>
        </w:rPr>
        <w:t xml:space="preserve"> </w:t>
      </w:r>
      <w:r>
        <w:rPr>
          <w:color w:val="231F20"/>
        </w:rPr>
        <w:t>cultural</w:t>
      </w:r>
      <w:r>
        <w:rPr>
          <w:color w:val="231F20"/>
          <w:spacing w:val="-6"/>
        </w:rPr>
        <w:t xml:space="preserve"> </w:t>
      </w:r>
      <w:r>
        <w:rPr>
          <w:color w:val="231F20"/>
        </w:rPr>
        <w:t>context</w:t>
      </w:r>
      <w:r>
        <w:rPr>
          <w:color w:val="231F20"/>
          <w:spacing w:val="-6"/>
        </w:rPr>
        <w:t xml:space="preserve"> </w:t>
      </w:r>
      <w:r>
        <w:rPr>
          <w:color w:val="231F20"/>
        </w:rPr>
        <w:t>in</w:t>
      </w:r>
      <w:r>
        <w:rPr>
          <w:color w:val="231F20"/>
          <w:spacing w:val="-6"/>
        </w:rPr>
        <w:t xml:space="preserve"> </w:t>
      </w:r>
      <w:r>
        <w:rPr>
          <w:color w:val="231F20"/>
        </w:rPr>
        <w:t>which</w:t>
      </w:r>
      <w:r>
        <w:rPr>
          <w:color w:val="231F20"/>
          <w:spacing w:val="-6"/>
        </w:rPr>
        <w:t xml:space="preserve"> </w:t>
      </w:r>
      <w:r>
        <w:rPr>
          <w:color w:val="231F20"/>
        </w:rPr>
        <w:t>sport</w:t>
      </w:r>
      <w:r>
        <w:rPr>
          <w:color w:val="231F20"/>
          <w:spacing w:val="-6"/>
        </w:rPr>
        <w:t xml:space="preserve"> </w:t>
      </w:r>
      <w:r>
        <w:rPr>
          <w:color w:val="231F20"/>
        </w:rPr>
        <w:t>and tourism</w:t>
      </w:r>
      <w:r>
        <w:rPr>
          <w:color w:val="231F20"/>
          <w:spacing w:val="-2"/>
        </w:rPr>
        <w:t xml:space="preserve"> </w:t>
      </w:r>
      <w:r>
        <w:rPr>
          <w:color w:val="231F20"/>
        </w:rPr>
        <w:t>exist</w:t>
      </w:r>
      <w:r>
        <w:rPr>
          <w:color w:val="231F20"/>
          <w:spacing w:val="-2"/>
        </w:rPr>
        <w:t xml:space="preserve"> </w:t>
      </w:r>
      <w:r>
        <w:rPr>
          <w:color w:val="231F20"/>
        </w:rPr>
        <w:t>(Funk</w:t>
      </w:r>
      <w:r>
        <w:rPr>
          <w:color w:val="231F20"/>
          <w:spacing w:val="-1"/>
        </w:rPr>
        <w:t xml:space="preserve"> </w:t>
      </w:r>
      <w:r>
        <w:rPr>
          <w:color w:val="231F20"/>
        </w:rPr>
        <w:t>&amp;</w:t>
      </w:r>
      <w:r>
        <w:rPr>
          <w:color w:val="231F20"/>
          <w:spacing w:val="-2"/>
        </w:rPr>
        <w:t xml:space="preserve"> </w:t>
      </w:r>
      <w:r>
        <w:rPr>
          <w:color w:val="231F20"/>
        </w:rPr>
        <w:t>Braun,</w:t>
      </w:r>
      <w:r>
        <w:rPr>
          <w:color w:val="231F20"/>
          <w:spacing w:val="-2"/>
        </w:rPr>
        <w:t xml:space="preserve"> </w:t>
      </w:r>
      <w:r>
        <w:rPr>
          <w:color w:val="231F20"/>
        </w:rPr>
        <w:t>2006).</w:t>
      </w:r>
      <w:r>
        <w:rPr>
          <w:color w:val="231F20"/>
          <w:spacing w:val="-1"/>
        </w:rPr>
        <w:t xml:space="preserve"> </w:t>
      </w:r>
      <w:r>
        <w:rPr>
          <w:color w:val="231F20"/>
        </w:rPr>
        <w:t>Culture</w:t>
      </w:r>
      <w:r>
        <w:rPr>
          <w:color w:val="231F20"/>
          <w:spacing w:val="-2"/>
        </w:rPr>
        <w:t xml:space="preserve"> </w:t>
      </w:r>
      <w:r>
        <w:rPr>
          <w:color w:val="231F20"/>
        </w:rPr>
        <w:t>relates</w:t>
      </w:r>
      <w:r>
        <w:rPr>
          <w:color w:val="231F20"/>
          <w:spacing w:val="-2"/>
        </w:rPr>
        <w:t xml:space="preserve"> </w:t>
      </w:r>
      <w:r>
        <w:rPr>
          <w:color w:val="231F20"/>
        </w:rPr>
        <w:t>to</w:t>
      </w:r>
      <w:r>
        <w:rPr>
          <w:color w:val="231F20"/>
          <w:spacing w:val="-1"/>
        </w:rPr>
        <w:t xml:space="preserve"> </w:t>
      </w:r>
      <w:r>
        <w:rPr>
          <w:color w:val="231F20"/>
        </w:rPr>
        <w:t>sport</w:t>
      </w:r>
      <w:r>
        <w:rPr>
          <w:color w:val="231F20"/>
          <w:spacing w:val="-2"/>
        </w:rPr>
        <w:t xml:space="preserve"> </w:t>
      </w:r>
      <w:r>
        <w:rPr>
          <w:color w:val="231F20"/>
        </w:rPr>
        <w:t>in</w:t>
      </w:r>
      <w:r>
        <w:rPr>
          <w:color w:val="231F20"/>
          <w:spacing w:val="-2"/>
        </w:rPr>
        <w:t xml:space="preserve"> </w:t>
      </w:r>
      <w:r>
        <w:rPr>
          <w:color w:val="231F20"/>
        </w:rPr>
        <w:t>a</w:t>
      </w:r>
      <w:r>
        <w:rPr>
          <w:color w:val="231F20"/>
          <w:spacing w:val="-1"/>
        </w:rPr>
        <w:t xml:space="preserve"> </w:t>
      </w:r>
      <w:r>
        <w:rPr>
          <w:color w:val="231F20"/>
          <w:spacing w:val="-2"/>
        </w:rPr>
        <w:t>number</w:t>
      </w:r>
    </w:p>
    <w:p w14:paraId="3FA4281A" w14:textId="77777777" w:rsidR="00AE0598" w:rsidRDefault="00AE0598">
      <w:pPr>
        <w:spacing w:line="232" w:lineRule="auto"/>
        <w:jc w:val="both"/>
        <w:sectPr w:rsidR="00AE0598">
          <w:pgSz w:w="8850" w:h="13270"/>
          <w:pgMar w:top="720" w:right="1060" w:bottom="280" w:left="1080" w:header="720" w:footer="720" w:gutter="0"/>
          <w:cols w:space="720"/>
        </w:sectPr>
      </w:pPr>
    </w:p>
    <w:p w14:paraId="17A3366E" w14:textId="77777777" w:rsidR="00AE0598" w:rsidRDefault="0069255A">
      <w:pPr>
        <w:spacing w:before="87"/>
        <w:ind w:left="108"/>
        <w:rPr>
          <w:rFonts w:ascii="Trebuchet MS"/>
          <w:sz w:val="14"/>
        </w:rPr>
      </w:pPr>
      <w:r>
        <w:rPr>
          <w:rFonts w:ascii="Trebuchet MS"/>
          <w:color w:val="231F20"/>
          <w:w w:val="105"/>
          <w:sz w:val="14"/>
        </w:rPr>
        <w:lastRenderedPageBreak/>
        <w:t>120</w:t>
      </w:r>
      <w:r>
        <w:rPr>
          <w:rFonts w:ascii="Trebuchet MS"/>
          <w:color w:val="231F20"/>
          <w:spacing w:val="66"/>
          <w:w w:val="150"/>
          <w:sz w:val="14"/>
        </w:rPr>
        <w:t xml:space="preserve"> </w:t>
      </w:r>
      <w:r>
        <w:rPr>
          <w:rFonts w:ascii="Trebuchet MS"/>
          <w:color w:val="231F20"/>
          <w:w w:val="105"/>
          <w:sz w:val="14"/>
        </w:rPr>
        <w:t>Part</w:t>
      </w:r>
      <w:r>
        <w:rPr>
          <w:rFonts w:ascii="Trebuchet MS"/>
          <w:color w:val="231F20"/>
          <w:spacing w:val="-9"/>
          <w:w w:val="105"/>
          <w:sz w:val="14"/>
        </w:rPr>
        <w:t xml:space="preserve"> </w:t>
      </w:r>
      <w:r>
        <w:rPr>
          <w:rFonts w:ascii="Trebuchet MS"/>
          <w:color w:val="231F20"/>
          <w:w w:val="105"/>
          <w:sz w:val="14"/>
        </w:rPr>
        <w:t>3:</w:t>
      </w:r>
      <w:r>
        <w:rPr>
          <w:rFonts w:ascii="Trebuchet MS"/>
          <w:color w:val="231F20"/>
          <w:spacing w:val="-8"/>
          <w:w w:val="105"/>
          <w:sz w:val="14"/>
        </w:rPr>
        <w:t xml:space="preserve"> </w:t>
      </w:r>
      <w:r>
        <w:rPr>
          <w:rFonts w:ascii="Trebuchet MS"/>
          <w:color w:val="231F20"/>
          <w:w w:val="105"/>
          <w:sz w:val="14"/>
        </w:rPr>
        <w:t>Sport</w:t>
      </w:r>
      <w:r>
        <w:rPr>
          <w:rFonts w:ascii="Trebuchet MS"/>
          <w:color w:val="231F20"/>
          <w:spacing w:val="-9"/>
          <w:w w:val="105"/>
          <w:sz w:val="14"/>
        </w:rPr>
        <w:t xml:space="preserve"> </w:t>
      </w:r>
      <w:r>
        <w:rPr>
          <w:rFonts w:ascii="Trebuchet MS"/>
          <w:color w:val="231F20"/>
          <w:w w:val="105"/>
          <w:sz w:val="14"/>
        </w:rPr>
        <w:t>Tourism</w:t>
      </w:r>
      <w:r>
        <w:rPr>
          <w:rFonts w:ascii="Trebuchet MS"/>
          <w:color w:val="231F20"/>
          <w:spacing w:val="-9"/>
          <w:w w:val="105"/>
          <w:sz w:val="14"/>
        </w:rPr>
        <w:t xml:space="preserve"> </w:t>
      </w:r>
      <w:r>
        <w:rPr>
          <w:rFonts w:ascii="Trebuchet MS"/>
          <w:color w:val="231F20"/>
          <w:w w:val="105"/>
          <w:sz w:val="14"/>
        </w:rPr>
        <w:t>Development</w:t>
      </w:r>
      <w:r>
        <w:rPr>
          <w:rFonts w:ascii="Trebuchet MS"/>
          <w:color w:val="231F20"/>
          <w:spacing w:val="-9"/>
          <w:w w:val="105"/>
          <w:sz w:val="14"/>
        </w:rPr>
        <w:t xml:space="preserve"> </w:t>
      </w:r>
      <w:r>
        <w:rPr>
          <w:rFonts w:ascii="Trebuchet MS"/>
          <w:color w:val="231F20"/>
          <w:w w:val="105"/>
          <w:sz w:val="14"/>
        </w:rPr>
        <w:t>and</w:t>
      </w:r>
      <w:r>
        <w:rPr>
          <w:rFonts w:ascii="Trebuchet MS"/>
          <w:color w:val="231F20"/>
          <w:spacing w:val="-8"/>
          <w:w w:val="105"/>
          <w:sz w:val="14"/>
        </w:rPr>
        <w:t xml:space="preserve"> </w:t>
      </w:r>
      <w:r>
        <w:rPr>
          <w:rFonts w:ascii="Trebuchet MS"/>
          <w:color w:val="231F20"/>
          <w:spacing w:val="-2"/>
          <w:w w:val="105"/>
          <w:sz w:val="14"/>
        </w:rPr>
        <w:t>Space</w:t>
      </w:r>
    </w:p>
    <w:p w14:paraId="6B6BCA4A" w14:textId="77777777" w:rsidR="00AE0598" w:rsidRDefault="00AE0598">
      <w:pPr>
        <w:pStyle w:val="Corpodetexto"/>
        <w:rPr>
          <w:rFonts w:ascii="Trebuchet MS"/>
          <w:sz w:val="16"/>
        </w:rPr>
      </w:pPr>
    </w:p>
    <w:p w14:paraId="213C58CB" w14:textId="77777777" w:rsidR="00AE0598" w:rsidRDefault="0069255A">
      <w:pPr>
        <w:pStyle w:val="Corpodetexto"/>
        <w:spacing w:before="118" w:line="232" w:lineRule="auto"/>
        <w:ind w:left="110" w:right="127"/>
        <w:jc w:val="both"/>
      </w:pPr>
      <w:r>
        <w:rPr>
          <w:color w:val="231F20"/>
        </w:rPr>
        <w:t>of ways, but three of the most tangible associations include: (1) cultural programmes</w:t>
      </w:r>
      <w:r>
        <w:rPr>
          <w:color w:val="231F20"/>
          <w:spacing w:val="24"/>
        </w:rPr>
        <w:t xml:space="preserve"> </w:t>
      </w:r>
      <w:r>
        <w:rPr>
          <w:color w:val="231F20"/>
        </w:rPr>
        <w:t>run</w:t>
      </w:r>
      <w:r>
        <w:rPr>
          <w:color w:val="231F20"/>
          <w:spacing w:val="24"/>
        </w:rPr>
        <w:t xml:space="preserve"> </w:t>
      </w:r>
      <w:r>
        <w:rPr>
          <w:color w:val="231F20"/>
        </w:rPr>
        <w:t>in</w:t>
      </w:r>
      <w:r>
        <w:rPr>
          <w:color w:val="231F20"/>
          <w:spacing w:val="24"/>
        </w:rPr>
        <w:t xml:space="preserve"> </w:t>
      </w:r>
      <w:r>
        <w:rPr>
          <w:color w:val="231F20"/>
        </w:rPr>
        <w:t>association</w:t>
      </w:r>
      <w:r>
        <w:rPr>
          <w:color w:val="231F20"/>
          <w:spacing w:val="24"/>
        </w:rPr>
        <w:t xml:space="preserve"> </w:t>
      </w:r>
      <w:r>
        <w:rPr>
          <w:color w:val="231F20"/>
        </w:rPr>
        <w:t>with</w:t>
      </w:r>
      <w:r>
        <w:rPr>
          <w:color w:val="231F20"/>
          <w:spacing w:val="24"/>
        </w:rPr>
        <w:t xml:space="preserve"> </w:t>
      </w:r>
      <w:r>
        <w:rPr>
          <w:color w:val="231F20"/>
        </w:rPr>
        <w:t>sport</w:t>
      </w:r>
      <w:r>
        <w:rPr>
          <w:color w:val="231F20"/>
          <w:spacing w:val="24"/>
        </w:rPr>
        <w:t xml:space="preserve"> </w:t>
      </w:r>
      <w:r>
        <w:rPr>
          <w:color w:val="231F20"/>
        </w:rPr>
        <w:t>events,</w:t>
      </w:r>
      <w:r>
        <w:rPr>
          <w:color w:val="231F20"/>
          <w:spacing w:val="24"/>
        </w:rPr>
        <w:t xml:space="preserve"> </w:t>
      </w:r>
      <w:r>
        <w:rPr>
          <w:color w:val="231F20"/>
        </w:rPr>
        <w:t>(2)</w:t>
      </w:r>
      <w:r>
        <w:rPr>
          <w:color w:val="231F20"/>
          <w:spacing w:val="24"/>
        </w:rPr>
        <w:t xml:space="preserve"> </w:t>
      </w:r>
      <w:r>
        <w:rPr>
          <w:color w:val="231F20"/>
        </w:rPr>
        <w:t>sport</w:t>
      </w:r>
      <w:r>
        <w:rPr>
          <w:color w:val="231F20"/>
          <w:spacing w:val="24"/>
        </w:rPr>
        <w:t xml:space="preserve"> </w:t>
      </w:r>
      <w:r>
        <w:rPr>
          <w:color w:val="231F20"/>
        </w:rPr>
        <w:t>as</w:t>
      </w:r>
      <w:r>
        <w:rPr>
          <w:color w:val="231F20"/>
          <w:spacing w:val="24"/>
        </w:rPr>
        <w:t xml:space="preserve"> </w:t>
      </w:r>
      <w:r>
        <w:rPr>
          <w:color w:val="231F20"/>
        </w:rPr>
        <w:t>a</w:t>
      </w:r>
      <w:r>
        <w:rPr>
          <w:color w:val="231F20"/>
          <w:spacing w:val="24"/>
        </w:rPr>
        <w:t xml:space="preserve"> </w:t>
      </w:r>
      <w:r>
        <w:rPr>
          <w:color w:val="231F20"/>
        </w:rPr>
        <w:t>form of popular culture and (3) subc</w:t>
      </w:r>
      <w:r>
        <w:rPr>
          <w:color w:val="231F20"/>
        </w:rPr>
        <w:t xml:space="preserve">ultures in sport. Each of these cultural dimensions influences the meaning that is attached to sport spaces and in so doing, they affect place identity and potentially, place making for </w:t>
      </w:r>
      <w:r>
        <w:rPr>
          <w:color w:val="231F20"/>
          <w:spacing w:val="-2"/>
        </w:rPr>
        <w:t>tourism.</w:t>
      </w:r>
    </w:p>
    <w:p w14:paraId="23272A68" w14:textId="77777777" w:rsidR="00AE0598" w:rsidRDefault="00AE0598">
      <w:pPr>
        <w:pStyle w:val="Corpodetexto"/>
        <w:spacing w:before="6"/>
      </w:pPr>
    </w:p>
    <w:p w14:paraId="30929646" w14:textId="77777777" w:rsidR="00AE0598" w:rsidRDefault="0069255A">
      <w:pPr>
        <w:spacing w:before="1"/>
        <w:ind w:left="110"/>
        <w:jc w:val="both"/>
        <w:rPr>
          <w:rFonts w:ascii="Trebuchet MS"/>
          <w:sz w:val="20"/>
        </w:rPr>
      </w:pPr>
      <w:r>
        <w:rPr>
          <w:rFonts w:ascii="Trebuchet MS"/>
          <w:color w:val="231F20"/>
          <w:w w:val="105"/>
          <w:sz w:val="20"/>
        </w:rPr>
        <w:t>Sport</w:t>
      </w:r>
      <w:r>
        <w:rPr>
          <w:rFonts w:ascii="Trebuchet MS"/>
          <w:color w:val="231F20"/>
          <w:spacing w:val="3"/>
          <w:w w:val="105"/>
          <w:sz w:val="20"/>
        </w:rPr>
        <w:t xml:space="preserve"> </w:t>
      </w:r>
      <w:r>
        <w:rPr>
          <w:rFonts w:ascii="Trebuchet MS"/>
          <w:color w:val="231F20"/>
          <w:w w:val="105"/>
          <w:sz w:val="20"/>
        </w:rPr>
        <w:t>and</w:t>
      </w:r>
      <w:r>
        <w:rPr>
          <w:rFonts w:ascii="Trebuchet MS"/>
          <w:color w:val="231F20"/>
          <w:spacing w:val="4"/>
          <w:w w:val="105"/>
          <w:sz w:val="20"/>
        </w:rPr>
        <w:t xml:space="preserve"> </w:t>
      </w:r>
      <w:r>
        <w:rPr>
          <w:rFonts w:ascii="Trebuchet MS"/>
          <w:color w:val="231F20"/>
          <w:spacing w:val="-2"/>
          <w:w w:val="105"/>
          <w:sz w:val="20"/>
        </w:rPr>
        <w:t>culture</w:t>
      </w:r>
    </w:p>
    <w:p w14:paraId="029BC1A4" w14:textId="77777777" w:rsidR="00AE0598" w:rsidRDefault="0069255A">
      <w:pPr>
        <w:pStyle w:val="Corpodetexto"/>
        <w:spacing w:before="122" w:line="232" w:lineRule="auto"/>
        <w:ind w:left="110" w:right="127" w:firstLine="320"/>
        <w:jc w:val="both"/>
      </w:pPr>
      <w:r>
        <w:rPr>
          <w:color w:val="231F20"/>
        </w:rPr>
        <w:t xml:space="preserve">From 1912 to 1948, the Summer Olympic Games featured a ‘pentathlon of muses’ in which artists competed in contests related to architecture, musical composition, sculpture, painting and literature </w:t>
      </w:r>
      <w:r>
        <w:rPr>
          <w:color w:val="231F20"/>
          <w:w w:val="95"/>
        </w:rPr>
        <w:t xml:space="preserve">(Ingraham, 2016). Despite the demise of these competitions, </w:t>
      </w:r>
      <w:r>
        <w:rPr>
          <w:color w:val="231F20"/>
          <w:w w:val="95"/>
        </w:rPr>
        <w:t xml:space="preserve">the ‘cultural </w:t>
      </w:r>
      <w:r>
        <w:rPr>
          <w:color w:val="231F20"/>
        </w:rPr>
        <w:t>arts’ remain a fixture at the Olympics particularly as manifest in the Opening and Closing Ceremonies and the associated arts programmes. This</w:t>
      </w:r>
      <w:r>
        <w:rPr>
          <w:color w:val="231F20"/>
          <w:spacing w:val="-5"/>
        </w:rPr>
        <w:t xml:space="preserve"> </w:t>
      </w:r>
      <w:r>
        <w:rPr>
          <w:color w:val="231F20"/>
        </w:rPr>
        <w:t>practice</w:t>
      </w:r>
      <w:r>
        <w:rPr>
          <w:color w:val="231F20"/>
          <w:spacing w:val="-5"/>
        </w:rPr>
        <w:t xml:space="preserve"> </w:t>
      </w:r>
      <w:r>
        <w:rPr>
          <w:color w:val="231F20"/>
        </w:rPr>
        <w:t>reflects</w:t>
      </w:r>
      <w:r>
        <w:rPr>
          <w:color w:val="231F20"/>
          <w:spacing w:val="-5"/>
        </w:rPr>
        <w:t xml:space="preserve"> </w:t>
      </w:r>
      <w:r>
        <w:rPr>
          <w:color w:val="231F20"/>
        </w:rPr>
        <w:t>a</w:t>
      </w:r>
      <w:r>
        <w:rPr>
          <w:color w:val="231F20"/>
          <w:spacing w:val="-5"/>
        </w:rPr>
        <w:t xml:space="preserve"> </w:t>
      </w:r>
      <w:r>
        <w:rPr>
          <w:color w:val="231F20"/>
        </w:rPr>
        <w:t>popular</w:t>
      </w:r>
      <w:r>
        <w:rPr>
          <w:color w:val="231F20"/>
          <w:spacing w:val="-5"/>
        </w:rPr>
        <w:t xml:space="preserve"> </w:t>
      </w:r>
      <w:r>
        <w:rPr>
          <w:color w:val="231F20"/>
        </w:rPr>
        <w:t>approach</w:t>
      </w:r>
      <w:r>
        <w:rPr>
          <w:color w:val="231F20"/>
          <w:spacing w:val="-5"/>
        </w:rPr>
        <w:t xml:space="preserve"> </w:t>
      </w:r>
      <w:r>
        <w:rPr>
          <w:color w:val="231F20"/>
        </w:rPr>
        <w:t>of</w:t>
      </w:r>
      <w:r>
        <w:rPr>
          <w:color w:val="231F20"/>
          <w:spacing w:val="-5"/>
        </w:rPr>
        <w:t xml:space="preserve"> </w:t>
      </w:r>
      <w:r>
        <w:rPr>
          <w:color w:val="231F20"/>
        </w:rPr>
        <w:t>treating</w:t>
      </w:r>
      <w:r>
        <w:rPr>
          <w:color w:val="231F20"/>
          <w:spacing w:val="-5"/>
        </w:rPr>
        <w:t xml:space="preserve"> </w:t>
      </w:r>
      <w:r>
        <w:rPr>
          <w:color w:val="231F20"/>
        </w:rPr>
        <w:t>sport</w:t>
      </w:r>
      <w:r>
        <w:rPr>
          <w:color w:val="231F20"/>
          <w:spacing w:val="-5"/>
        </w:rPr>
        <w:t xml:space="preserve"> </w:t>
      </w:r>
      <w:r>
        <w:rPr>
          <w:color w:val="231F20"/>
        </w:rPr>
        <w:t>and</w:t>
      </w:r>
      <w:r>
        <w:rPr>
          <w:color w:val="231F20"/>
          <w:spacing w:val="-5"/>
        </w:rPr>
        <w:t xml:space="preserve"> </w:t>
      </w:r>
      <w:r>
        <w:rPr>
          <w:color w:val="231F20"/>
        </w:rPr>
        <w:t>culture</w:t>
      </w:r>
      <w:r>
        <w:rPr>
          <w:color w:val="231F20"/>
          <w:spacing w:val="-5"/>
        </w:rPr>
        <w:t xml:space="preserve"> </w:t>
      </w:r>
      <w:r>
        <w:rPr>
          <w:color w:val="231F20"/>
        </w:rPr>
        <w:t>as separate</w:t>
      </w:r>
      <w:r>
        <w:rPr>
          <w:color w:val="231F20"/>
          <w:spacing w:val="-9"/>
        </w:rPr>
        <w:t xml:space="preserve"> </w:t>
      </w:r>
      <w:r>
        <w:rPr>
          <w:color w:val="231F20"/>
        </w:rPr>
        <w:t>but</w:t>
      </w:r>
      <w:r>
        <w:rPr>
          <w:color w:val="231F20"/>
          <w:spacing w:val="-9"/>
        </w:rPr>
        <w:t xml:space="preserve"> </w:t>
      </w:r>
      <w:r>
        <w:rPr>
          <w:color w:val="231F20"/>
        </w:rPr>
        <w:t>complementary</w:t>
      </w:r>
      <w:r>
        <w:rPr>
          <w:color w:val="231F20"/>
          <w:spacing w:val="-9"/>
        </w:rPr>
        <w:t xml:space="preserve"> </w:t>
      </w:r>
      <w:r>
        <w:rPr>
          <w:color w:val="231F20"/>
        </w:rPr>
        <w:t>ac</w:t>
      </w:r>
      <w:r>
        <w:rPr>
          <w:color w:val="231F20"/>
        </w:rPr>
        <w:t>tivities</w:t>
      </w:r>
      <w:r>
        <w:rPr>
          <w:color w:val="231F20"/>
          <w:spacing w:val="-9"/>
        </w:rPr>
        <w:t xml:space="preserve"> </w:t>
      </w:r>
      <w:r>
        <w:rPr>
          <w:color w:val="231F20"/>
        </w:rPr>
        <w:t>particularly</w:t>
      </w:r>
      <w:r>
        <w:rPr>
          <w:color w:val="231F20"/>
          <w:spacing w:val="-9"/>
        </w:rPr>
        <w:t xml:space="preserve"> </w:t>
      </w:r>
      <w:r>
        <w:rPr>
          <w:color w:val="231F20"/>
        </w:rPr>
        <w:t>at</w:t>
      </w:r>
      <w:r>
        <w:rPr>
          <w:color w:val="231F20"/>
          <w:spacing w:val="-9"/>
        </w:rPr>
        <w:t xml:space="preserve"> </w:t>
      </w:r>
      <w:r>
        <w:rPr>
          <w:color w:val="231F20"/>
        </w:rPr>
        <w:t>mega</w:t>
      </w:r>
      <w:r>
        <w:rPr>
          <w:color w:val="231F20"/>
          <w:spacing w:val="-9"/>
        </w:rPr>
        <w:t xml:space="preserve"> </w:t>
      </w:r>
      <w:r>
        <w:rPr>
          <w:color w:val="231F20"/>
        </w:rPr>
        <w:t>sport</w:t>
      </w:r>
      <w:r>
        <w:rPr>
          <w:color w:val="231F20"/>
          <w:spacing w:val="-9"/>
        </w:rPr>
        <w:t xml:space="preserve"> </w:t>
      </w:r>
      <w:r>
        <w:rPr>
          <w:color w:val="231F20"/>
        </w:rPr>
        <w:t>events.</w:t>
      </w:r>
    </w:p>
    <w:p w14:paraId="2C606BA0" w14:textId="77777777" w:rsidR="00AE0598" w:rsidRDefault="0069255A">
      <w:pPr>
        <w:pStyle w:val="Corpodetexto"/>
        <w:spacing w:before="9" w:line="232" w:lineRule="auto"/>
        <w:ind w:left="110" w:right="127" w:firstLine="320"/>
        <w:jc w:val="both"/>
      </w:pPr>
      <w:r>
        <w:rPr>
          <w:color w:val="231F20"/>
        </w:rPr>
        <w:t>The</w:t>
      </w:r>
      <w:r>
        <w:rPr>
          <w:color w:val="231F20"/>
          <w:spacing w:val="-3"/>
        </w:rPr>
        <w:t xml:space="preserve"> </w:t>
      </w:r>
      <w:r>
        <w:rPr>
          <w:color w:val="231F20"/>
        </w:rPr>
        <w:t>three</w:t>
      </w:r>
      <w:r>
        <w:rPr>
          <w:color w:val="231F20"/>
          <w:spacing w:val="-3"/>
        </w:rPr>
        <w:t xml:space="preserve"> </w:t>
      </w:r>
      <w:r>
        <w:rPr>
          <w:color w:val="231F20"/>
        </w:rPr>
        <w:t>types</w:t>
      </w:r>
      <w:r>
        <w:rPr>
          <w:color w:val="231F20"/>
          <w:spacing w:val="-3"/>
        </w:rPr>
        <w:t xml:space="preserve"> </w:t>
      </w:r>
      <w:r>
        <w:rPr>
          <w:color w:val="231F20"/>
        </w:rPr>
        <w:t>of</w:t>
      </w:r>
      <w:r>
        <w:rPr>
          <w:color w:val="231F20"/>
          <w:spacing w:val="-3"/>
        </w:rPr>
        <w:t xml:space="preserve"> </w:t>
      </w:r>
      <w:r>
        <w:rPr>
          <w:color w:val="231F20"/>
        </w:rPr>
        <w:t>narrative</w:t>
      </w:r>
      <w:r>
        <w:rPr>
          <w:color w:val="231F20"/>
          <w:spacing w:val="-3"/>
        </w:rPr>
        <w:t xml:space="preserve"> </w:t>
      </w:r>
      <w:r>
        <w:rPr>
          <w:color w:val="231F20"/>
        </w:rPr>
        <w:t>approaches</w:t>
      </w:r>
      <w:r>
        <w:rPr>
          <w:color w:val="231F20"/>
          <w:spacing w:val="-3"/>
        </w:rPr>
        <w:t xml:space="preserve"> </w:t>
      </w:r>
      <w:r>
        <w:rPr>
          <w:color w:val="231F20"/>
        </w:rPr>
        <w:t>associated</w:t>
      </w:r>
      <w:r>
        <w:rPr>
          <w:color w:val="231F20"/>
          <w:spacing w:val="-3"/>
        </w:rPr>
        <w:t xml:space="preserve"> </w:t>
      </w:r>
      <w:r>
        <w:rPr>
          <w:color w:val="231F20"/>
        </w:rPr>
        <w:t>with</w:t>
      </w:r>
      <w:r>
        <w:rPr>
          <w:color w:val="231F20"/>
          <w:spacing w:val="-3"/>
        </w:rPr>
        <w:t xml:space="preserve"> </w:t>
      </w:r>
      <w:r>
        <w:rPr>
          <w:color w:val="231F20"/>
        </w:rPr>
        <w:t>the</w:t>
      </w:r>
      <w:r>
        <w:rPr>
          <w:color w:val="231F20"/>
          <w:spacing w:val="-3"/>
        </w:rPr>
        <w:t xml:space="preserve"> </w:t>
      </w:r>
      <w:r>
        <w:rPr>
          <w:color w:val="231F20"/>
        </w:rPr>
        <w:t>opening ceremonies of major sporting events include: history, party and show (Moragas</w:t>
      </w:r>
      <w:r>
        <w:rPr>
          <w:color w:val="231F20"/>
          <w:spacing w:val="15"/>
        </w:rPr>
        <w:t xml:space="preserve"> </w:t>
      </w:r>
      <w:r>
        <w:rPr>
          <w:color w:val="231F20"/>
        </w:rPr>
        <w:t>Spa</w:t>
      </w:r>
      <w:r>
        <w:rPr>
          <w:color w:val="231F20"/>
          <w:spacing w:val="15"/>
        </w:rPr>
        <w:t xml:space="preserve"> </w:t>
      </w:r>
      <w:r>
        <w:rPr>
          <w:i/>
          <w:color w:val="231F20"/>
        </w:rPr>
        <w:t>et</w:t>
      </w:r>
      <w:r>
        <w:rPr>
          <w:i/>
          <w:color w:val="231F20"/>
          <w:spacing w:val="15"/>
        </w:rPr>
        <w:t xml:space="preserve"> </w:t>
      </w:r>
      <w:r>
        <w:rPr>
          <w:i/>
          <w:color w:val="231F20"/>
        </w:rPr>
        <w:t>al</w:t>
      </w:r>
      <w:r>
        <w:rPr>
          <w:color w:val="231F20"/>
        </w:rPr>
        <w:t>.,</w:t>
      </w:r>
      <w:r>
        <w:rPr>
          <w:color w:val="231F20"/>
          <w:spacing w:val="15"/>
        </w:rPr>
        <w:t xml:space="preserve"> </w:t>
      </w:r>
      <w:r>
        <w:rPr>
          <w:color w:val="231F20"/>
        </w:rPr>
        <w:t>1995).</w:t>
      </w:r>
      <w:r>
        <w:rPr>
          <w:color w:val="231F20"/>
          <w:spacing w:val="15"/>
        </w:rPr>
        <w:t xml:space="preserve"> </w:t>
      </w:r>
      <w:r>
        <w:rPr>
          <w:color w:val="231F20"/>
        </w:rPr>
        <w:t>In</w:t>
      </w:r>
      <w:r>
        <w:rPr>
          <w:color w:val="231F20"/>
          <w:spacing w:val="15"/>
        </w:rPr>
        <w:t xml:space="preserve"> </w:t>
      </w:r>
      <w:r>
        <w:rPr>
          <w:color w:val="231F20"/>
        </w:rPr>
        <w:t>the</w:t>
      </w:r>
      <w:r>
        <w:rPr>
          <w:color w:val="231F20"/>
          <w:spacing w:val="15"/>
        </w:rPr>
        <w:t xml:space="preserve"> </w:t>
      </w:r>
      <w:r>
        <w:rPr>
          <w:color w:val="231F20"/>
        </w:rPr>
        <w:t>first</w:t>
      </w:r>
      <w:r>
        <w:rPr>
          <w:color w:val="231F20"/>
          <w:spacing w:val="15"/>
        </w:rPr>
        <w:t xml:space="preserve"> </w:t>
      </w:r>
      <w:r>
        <w:rPr>
          <w:color w:val="231F20"/>
        </w:rPr>
        <w:t>case,</w:t>
      </w:r>
      <w:r>
        <w:rPr>
          <w:color w:val="231F20"/>
          <w:spacing w:val="15"/>
        </w:rPr>
        <w:t xml:space="preserve"> </w:t>
      </w:r>
      <w:r>
        <w:rPr>
          <w:color w:val="231F20"/>
        </w:rPr>
        <w:t>the</w:t>
      </w:r>
      <w:r>
        <w:rPr>
          <w:color w:val="231F20"/>
          <w:spacing w:val="15"/>
        </w:rPr>
        <w:t xml:space="preserve"> </w:t>
      </w:r>
      <w:r>
        <w:rPr>
          <w:color w:val="231F20"/>
        </w:rPr>
        <w:t>ceremony</w:t>
      </w:r>
      <w:r>
        <w:rPr>
          <w:color w:val="231F20"/>
          <w:spacing w:val="15"/>
        </w:rPr>
        <w:t xml:space="preserve"> </w:t>
      </w:r>
      <w:r>
        <w:rPr>
          <w:color w:val="231F20"/>
        </w:rPr>
        <w:t>is</w:t>
      </w:r>
      <w:r>
        <w:rPr>
          <w:color w:val="231F20"/>
          <w:spacing w:val="15"/>
        </w:rPr>
        <w:t xml:space="preserve"> </w:t>
      </w:r>
      <w:r>
        <w:rPr>
          <w:color w:val="231F20"/>
        </w:rPr>
        <w:t>treated</w:t>
      </w:r>
      <w:r>
        <w:rPr>
          <w:color w:val="231F20"/>
          <w:spacing w:val="15"/>
        </w:rPr>
        <w:t xml:space="preserve"> </w:t>
      </w:r>
      <w:r>
        <w:rPr>
          <w:color w:val="231F20"/>
        </w:rPr>
        <w:t>as a ‘unique historic event taking place in that moment, although forming part of a historic chain’ (Moragas</w:t>
      </w:r>
      <w:r>
        <w:rPr>
          <w:color w:val="231F20"/>
        </w:rPr>
        <w:t xml:space="preserve"> Spa </w:t>
      </w:r>
      <w:r>
        <w:rPr>
          <w:i/>
          <w:color w:val="231F20"/>
        </w:rPr>
        <w:t>et al</w:t>
      </w:r>
      <w:r>
        <w:rPr>
          <w:color w:val="231F20"/>
        </w:rPr>
        <w:t xml:space="preserve">., 1995: 105). The opening ceremony of the 2012 London Summer Olympics was a good example </w:t>
      </w:r>
      <w:r>
        <w:rPr>
          <w:color w:val="231F20"/>
          <w:w w:val="95"/>
        </w:rPr>
        <w:t xml:space="preserve">featuring a mosaic of historic elements that created a narrative of national </w:t>
      </w:r>
      <w:r>
        <w:rPr>
          <w:color w:val="231F20"/>
        </w:rPr>
        <w:t>identity (Baker, 2015). In the second instance, the ceremony is treated as a ce</w:t>
      </w:r>
      <w:r>
        <w:rPr>
          <w:color w:val="231F20"/>
        </w:rPr>
        <w:t>lebration of the performing arts that highlight the local, regional and national performing arts scene. It is a joyous explosion of the local arts</w:t>
      </w:r>
      <w:r>
        <w:rPr>
          <w:color w:val="231F20"/>
          <w:spacing w:val="-5"/>
        </w:rPr>
        <w:t xml:space="preserve"> </w:t>
      </w:r>
      <w:r>
        <w:rPr>
          <w:color w:val="231F20"/>
        </w:rPr>
        <w:t>in</w:t>
      </w:r>
      <w:r>
        <w:rPr>
          <w:color w:val="231F20"/>
          <w:spacing w:val="-5"/>
        </w:rPr>
        <w:t xml:space="preserve"> </w:t>
      </w:r>
      <w:r>
        <w:rPr>
          <w:color w:val="231F20"/>
        </w:rPr>
        <w:t>celebration</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event.</w:t>
      </w:r>
      <w:r>
        <w:rPr>
          <w:color w:val="231F20"/>
          <w:spacing w:val="-5"/>
        </w:rPr>
        <w:t xml:space="preserve"> </w:t>
      </w:r>
      <w:r>
        <w:rPr>
          <w:color w:val="231F20"/>
        </w:rPr>
        <w:t>Finally,</w:t>
      </w:r>
      <w:r>
        <w:rPr>
          <w:color w:val="231F20"/>
          <w:spacing w:val="-5"/>
        </w:rPr>
        <w:t xml:space="preserve"> </w:t>
      </w:r>
      <w:r>
        <w:rPr>
          <w:color w:val="231F20"/>
        </w:rPr>
        <w:t>the</w:t>
      </w:r>
      <w:r>
        <w:rPr>
          <w:color w:val="231F20"/>
          <w:spacing w:val="-5"/>
        </w:rPr>
        <w:t xml:space="preserve"> </w:t>
      </w:r>
      <w:r>
        <w:rPr>
          <w:color w:val="231F20"/>
        </w:rPr>
        <w:t>third</w:t>
      </w:r>
      <w:r>
        <w:rPr>
          <w:color w:val="231F20"/>
          <w:spacing w:val="-5"/>
        </w:rPr>
        <w:t xml:space="preserve"> </w:t>
      </w:r>
      <w:r>
        <w:rPr>
          <w:color w:val="231F20"/>
        </w:rPr>
        <w:t>type</w:t>
      </w:r>
      <w:r>
        <w:rPr>
          <w:color w:val="231F20"/>
          <w:spacing w:val="-5"/>
        </w:rPr>
        <w:t xml:space="preserve"> </w:t>
      </w:r>
      <w:r>
        <w:rPr>
          <w:color w:val="231F20"/>
        </w:rPr>
        <w:t>of</w:t>
      </w:r>
      <w:r>
        <w:rPr>
          <w:color w:val="231F20"/>
          <w:spacing w:val="-5"/>
        </w:rPr>
        <w:t xml:space="preserve"> </w:t>
      </w:r>
      <w:r>
        <w:rPr>
          <w:color w:val="231F20"/>
        </w:rPr>
        <w:t>ceremony</w:t>
      </w:r>
      <w:r>
        <w:rPr>
          <w:color w:val="231F20"/>
          <w:spacing w:val="-5"/>
        </w:rPr>
        <w:t xml:space="preserve"> </w:t>
      </w:r>
      <w:r>
        <w:rPr>
          <w:color w:val="231F20"/>
        </w:rPr>
        <w:t>is</w:t>
      </w:r>
      <w:r>
        <w:rPr>
          <w:color w:val="231F20"/>
          <w:spacing w:val="-5"/>
        </w:rPr>
        <w:t xml:space="preserve"> </w:t>
      </w:r>
      <w:r>
        <w:rPr>
          <w:color w:val="231F20"/>
        </w:rPr>
        <w:t>one of entertainment. This type of ceremo</w:t>
      </w:r>
      <w:r>
        <w:rPr>
          <w:color w:val="231F20"/>
        </w:rPr>
        <w:t xml:space="preserve">ny downplays the ‘distraction’ of the cultural and ritual structures of the event and tries to provide ‘an </w:t>
      </w:r>
      <w:r>
        <w:rPr>
          <w:color w:val="231F20"/>
          <w:w w:val="95"/>
        </w:rPr>
        <w:t xml:space="preserve">entertaining introduction to the “real” excitement: the sports competition’ </w:t>
      </w:r>
      <w:r>
        <w:rPr>
          <w:color w:val="231F20"/>
        </w:rPr>
        <w:t>(Moragas</w:t>
      </w:r>
      <w:r>
        <w:rPr>
          <w:color w:val="231F20"/>
          <w:spacing w:val="-3"/>
        </w:rPr>
        <w:t xml:space="preserve"> </w:t>
      </w:r>
      <w:r>
        <w:rPr>
          <w:color w:val="231F20"/>
        </w:rPr>
        <w:t>Spa</w:t>
      </w:r>
      <w:r>
        <w:rPr>
          <w:color w:val="231F20"/>
          <w:spacing w:val="-3"/>
        </w:rPr>
        <w:t xml:space="preserve"> </w:t>
      </w:r>
      <w:r>
        <w:rPr>
          <w:i/>
          <w:color w:val="231F20"/>
        </w:rPr>
        <w:t>et</w:t>
      </w:r>
      <w:r>
        <w:rPr>
          <w:i/>
          <w:color w:val="231F20"/>
          <w:spacing w:val="-3"/>
        </w:rPr>
        <w:t xml:space="preserve"> </w:t>
      </w:r>
      <w:r>
        <w:rPr>
          <w:i/>
          <w:color w:val="231F20"/>
        </w:rPr>
        <w:t>al.</w:t>
      </w:r>
      <w:r>
        <w:rPr>
          <w:color w:val="231F20"/>
        </w:rPr>
        <w:t>,</w:t>
      </w:r>
      <w:r>
        <w:rPr>
          <w:color w:val="231F20"/>
          <w:spacing w:val="-3"/>
        </w:rPr>
        <w:t xml:space="preserve"> </w:t>
      </w:r>
      <w:r>
        <w:rPr>
          <w:color w:val="231F20"/>
        </w:rPr>
        <w:t>1995:</w:t>
      </w:r>
      <w:r>
        <w:rPr>
          <w:color w:val="231F20"/>
          <w:spacing w:val="-3"/>
        </w:rPr>
        <w:t xml:space="preserve"> </w:t>
      </w:r>
      <w:r>
        <w:rPr>
          <w:color w:val="231F20"/>
        </w:rPr>
        <w:t>108).</w:t>
      </w:r>
      <w:r>
        <w:rPr>
          <w:color w:val="231F20"/>
          <w:spacing w:val="-3"/>
        </w:rPr>
        <w:t xml:space="preserve"> </w:t>
      </w:r>
      <w:r>
        <w:rPr>
          <w:color w:val="231F20"/>
        </w:rPr>
        <w:t>All</w:t>
      </w:r>
      <w:r>
        <w:rPr>
          <w:color w:val="231F20"/>
          <w:spacing w:val="-3"/>
        </w:rPr>
        <w:t xml:space="preserve"> </w:t>
      </w:r>
      <w:r>
        <w:rPr>
          <w:color w:val="231F20"/>
        </w:rPr>
        <w:t>three</w:t>
      </w:r>
      <w:r>
        <w:rPr>
          <w:color w:val="231F20"/>
          <w:spacing w:val="-3"/>
        </w:rPr>
        <w:t xml:space="preserve"> </w:t>
      </w:r>
      <w:r>
        <w:rPr>
          <w:color w:val="231F20"/>
        </w:rPr>
        <w:t>of</w:t>
      </w:r>
      <w:r>
        <w:rPr>
          <w:color w:val="231F20"/>
          <w:spacing w:val="-3"/>
        </w:rPr>
        <w:t xml:space="preserve"> </w:t>
      </w:r>
      <w:r>
        <w:rPr>
          <w:color w:val="231F20"/>
        </w:rPr>
        <w:t>these</w:t>
      </w:r>
      <w:r>
        <w:rPr>
          <w:color w:val="231F20"/>
          <w:spacing w:val="-3"/>
        </w:rPr>
        <w:t xml:space="preserve"> </w:t>
      </w:r>
      <w:r>
        <w:rPr>
          <w:color w:val="231F20"/>
        </w:rPr>
        <w:t>approaches</w:t>
      </w:r>
      <w:r>
        <w:rPr>
          <w:color w:val="231F20"/>
          <w:spacing w:val="-3"/>
        </w:rPr>
        <w:t xml:space="preserve"> </w:t>
      </w:r>
      <w:r>
        <w:rPr>
          <w:color w:val="231F20"/>
        </w:rPr>
        <w:t>treat</w:t>
      </w:r>
      <w:r>
        <w:rPr>
          <w:color w:val="231F20"/>
          <w:spacing w:val="-3"/>
        </w:rPr>
        <w:t xml:space="preserve"> </w:t>
      </w:r>
      <w:r>
        <w:rPr>
          <w:color w:val="231F20"/>
        </w:rPr>
        <w:t>sport as separate from culture.</w:t>
      </w:r>
    </w:p>
    <w:p w14:paraId="0A0D91B4" w14:textId="77777777" w:rsidR="00AE0598" w:rsidRDefault="0069255A">
      <w:pPr>
        <w:pStyle w:val="Corpodetexto"/>
        <w:spacing w:before="19" w:line="232" w:lineRule="auto"/>
        <w:ind w:left="110" w:right="125" w:firstLine="720"/>
        <w:jc w:val="both"/>
      </w:pPr>
      <w:r>
        <w:rPr>
          <w:color w:val="231F20"/>
        </w:rPr>
        <w:t>The ‘fine arts’ programme held in conjunction with the sporting competitions</w:t>
      </w:r>
      <w:r>
        <w:rPr>
          <w:color w:val="231F20"/>
          <w:spacing w:val="-10"/>
        </w:rPr>
        <w:t xml:space="preserve"> </w:t>
      </w:r>
      <w:r>
        <w:rPr>
          <w:color w:val="231F20"/>
        </w:rPr>
        <w:t>of</w:t>
      </w:r>
      <w:r>
        <w:rPr>
          <w:color w:val="231F20"/>
          <w:spacing w:val="-10"/>
        </w:rPr>
        <w:t xml:space="preserve"> </w:t>
      </w:r>
      <w:r>
        <w:rPr>
          <w:color w:val="231F20"/>
        </w:rPr>
        <w:t>the</w:t>
      </w:r>
      <w:r>
        <w:rPr>
          <w:color w:val="231F20"/>
          <w:spacing w:val="-10"/>
        </w:rPr>
        <w:t xml:space="preserve"> </w:t>
      </w:r>
      <w:r>
        <w:rPr>
          <w:color w:val="231F20"/>
        </w:rPr>
        <w:t>Olympic</w:t>
      </w:r>
      <w:r>
        <w:rPr>
          <w:color w:val="231F20"/>
          <w:spacing w:val="-10"/>
        </w:rPr>
        <w:t xml:space="preserve"> </w:t>
      </w:r>
      <w:r>
        <w:rPr>
          <w:color w:val="231F20"/>
        </w:rPr>
        <w:t>Games</w:t>
      </w:r>
      <w:r>
        <w:rPr>
          <w:color w:val="231F20"/>
          <w:spacing w:val="-10"/>
        </w:rPr>
        <w:t xml:space="preserve"> </w:t>
      </w:r>
      <w:r>
        <w:rPr>
          <w:color w:val="231F20"/>
        </w:rPr>
        <w:t>is</w:t>
      </w:r>
      <w:r>
        <w:rPr>
          <w:color w:val="231F20"/>
          <w:spacing w:val="-10"/>
        </w:rPr>
        <w:t xml:space="preserve"> </w:t>
      </w:r>
      <w:r>
        <w:rPr>
          <w:color w:val="231F20"/>
        </w:rPr>
        <w:t>another</w:t>
      </w:r>
      <w:r>
        <w:rPr>
          <w:color w:val="231F20"/>
          <w:spacing w:val="-10"/>
        </w:rPr>
        <w:t xml:space="preserve"> </w:t>
      </w:r>
      <w:r>
        <w:rPr>
          <w:color w:val="231F20"/>
        </w:rPr>
        <w:t>example</w:t>
      </w:r>
      <w:r>
        <w:rPr>
          <w:color w:val="231F20"/>
          <w:spacing w:val="-10"/>
        </w:rPr>
        <w:t xml:space="preserve"> </w:t>
      </w:r>
      <w:r>
        <w:rPr>
          <w:color w:val="231F20"/>
        </w:rPr>
        <w:t>of</w:t>
      </w:r>
      <w:r>
        <w:rPr>
          <w:color w:val="231F20"/>
          <w:spacing w:val="-10"/>
        </w:rPr>
        <w:t xml:space="preserve"> </w:t>
      </w:r>
      <w:r>
        <w:rPr>
          <w:color w:val="231F20"/>
        </w:rPr>
        <w:t>the</w:t>
      </w:r>
      <w:r>
        <w:rPr>
          <w:color w:val="231F20"/>
          <w:spacing w:val="-10"/>
        </w:rPr>
        <w:t xml:space="preserve"> </w:t>
      </w:r>
      <w:r>
        <w:rPr>
          <w:color w:val="231F20"/>
        </w:rPr>
        <w:t>distinct</w:t>
      </w:r>
      <w:r>
        <w:rPr>
          <w:color w:val="231F20"/>
          <w:spacing w:val="-10"/>
        </w:rPr>
        <w:t xml:space="preserve"> </w:t>
      </w:r>
      <w:r>
        <w:rPr>
          <w:color w:val="231F20"/>
        </w:rPr>
        <w:t>but complementary association of sport and culture (García, 2010). Article 39 of the current Olympic Charter (IOC, 2015) requires that a cultural programme be held under the auspices of the local host committee although its application has varied considera</w:t>
      </w:r>
      <w:r>
        <w:rPr>
          <w:color w:val="231F20"/>
        </w:rPr>
        <w:t xml:space="preserve">bly from games to games. </w:t>
      </w:r>
      <w:r>
        <w:rPr>
          <w:color w:val="231F20"/>
          <w:w w:val="95"/>
        </w:rPr>
        <w:t>Despite the ambitious cultural programmes that have been proposed at the bid stage, the delivery of these programmes has been much more modest.</w:t>
      </w:r>
      <w:r>
        <w:rPr>
          <w:color w:val="231F20"/>
          <w:spacing w:val="40"/>
        </w:rPr>
        <w:t xml:space="preserve"> </w:t>
      </w:r>
      <w:r>
        <w:rPr>
          <w:color w:val="231F20"/>
        </w:rPr>
        <w:t>As</w:t>
      </w:r>
      <w:r>
        <w:rPr>
          <w:color w:val="231F20"/>
          <w:spacing w:val="-5"/>
        </w:rPr>
        <w:t xml:space="preserve"> </w:t>
      </w:r>
      <w:r>
        <w:rPr>
          <w:color w:val="231F20"/>
        </w:rPr>
        <w:t>such,</w:t>
      </w:r>
      <w:r>
        <w:rPr>
          <w:color w:val="231F20"/>
          <w:spacing w:val="-5"/>
        </w:rPr>
        <w:t xml:space="preserve"> </w:t>
      </w:r>
      <w:r>
        <w:rPr>
          <w:color w:val="231F20"/>
        </w:rPr>
        <w:t>the</w:t>
      </w:r>
      <w:r>
        <w:rPr>
          <w:color w:val="231F20"/>
          <w:spacing w:val="-5"/>
        </w:rPr>
        <w:t xml:space="preserve"> </w:t>
      </w:r>
      <w:r>
        <w:rPr>
          <w:color w:val="231F20"/>
        </w:rPr>
        <w:t>cultural</w:t>
      </w:r>
      <w:r>
        <w:rPr>
          <w:color w:val="231F20"/>
          <w:spacing w:val="-5"/>
        </w:rPr>
        <w:t xml:space="preserve"> </w:t>
      </w:r>
      <w:r>
        <w:rPr>
          <w:color w:val="231F20"/>
        </w:rPr>
        <w:t>component</w:t>
      </w:r>
      <w:r>
        <w:rPr>
          <w:color w:val="231F20"/>
          <w:spacing w:val="-5"/>
        </w:rPr>
        <w:t xml:space="preserve"> </w:t>
      </w:r>
      <w:r>
        <w:rPr>
          <w:color w:val="231F20"/>
        </w:rPr>
        <w:t>appears</w:t>
      </w:r>
      <w:r>
        <w:rPr>
          <w:color w:val="231F20"/>
          <w:spacing w:val="-5"/>
        </w:rPr>
        <w:t xml:space="preserve"> </w:t>
      </w:r>
      <w:r>
        <w:rPr>
          <w:color w:val="231F20"/>
        </w:rPr>
        <w:t>to</w:t>
      </w:r>
      <w:r>
        <w:rPr>
          <w:color w:val="231F20"/>
          <w:spacing w:val="-5"/>
        </w:rPr>
        <w:t xml:space="preserve"> </w:t>
      </w:r>
      <w:r>
        <w:rPr>
          <w:color w:val="231F20"/>
        </w:rPr>
        <w:t>be</w:t>
      </w:r>
      <w:r>
        <w:rPr>
          <w:color w:val="231F20"/>
          <w:spacing w:val="-5"/>
        </w:rPr>
        <w:t xml:space="preserve"> </w:t>
      </w:r>
      <w:r>
        <w:rPr>
          <w:color w:val="231F20"/>
        </w:rPr>
        <w:t>more</w:t>
      </w:r>
      <w:r>
        <w:rPr>
          <w:color w:val="231F20"/>
          <w:spacing w:val="-5"/>
        </w:rPr>
        <w:t xml:space="preserve"> </w:t>
      </w:r>
      <w:r>
        <w:rPr>
          <w:color w:val="231F20"/>
        </w:rPr>
        <w:t>important</w:t>
      </w:r>
      <w:r>
        <w:rPr>
          <w:color w:val="231F20"/>
          <w:spacing w:val="-5"/>
        </w:rPr>
        <w:t xml:space="preserve"> </w:t>
      </w:r>
      <w:r>
        <w:rPr>
          <w:color w:val="231F20"/>
        </w:rPr>
        <w:t>as</w:t>
      </w:r>
      <w:r>
        <w:rPr>
          <w:color w:val="231F20"/>
          <w:spacing w:val="-5"/>
        </w:rPr>
        <w:t xml:space="preserve"> </w:t>
      </w:r>
      <w:r>
        <w:rPr>
          <w:color w:val="231F20"/>
        </w:rPr>
        <w:t>part</w:t>
      </w:r>
      <w:r>
        <w:rPr>
          <w:color w:val="231F20"/>
          <w:spacing w:val="-5"/>
        </w:rPr>
        <w:t xml:space="preserve"> </w:t>
      </w:r>
      <w:r>
        <w:rPr>
          <w:color w:val="231F20"/>
        </w:rPr>
        <w:t>of the</w:t>
      </w:r>
      <w:r>
        <w:rPr>
          <w:color w:val="231F20"/>
          <w:spacing w:val="-2"/>
        </w:rPr>
        <w:t xml:space="preserve"> </w:t>
      </w:r>
      <w:r>
        <w:rPr>
          <w:color w:val="231F20"/>
        </w:rPr>
        <w:t>sales</w:t>
      </w:r>
      <w:r>
        <w:rPr>
          <w:color w:val="231F20"/>
          <w:spacing w:val="-2"/>
        </w:rPr>
        <w:t xml:space="preserve"> </w:t>
      </w:r>
      <w:r>
        <w:rPr>
          <w:color w:val="231F20"/>
        </w:rPr>
        <w:t>pitch</w:t>
      </w:r>
      <w:r>
        <w:rPr>
          <w:color w:val="231F20"/>
          <w:spacing w:val="-2"/>
        </w:rPr>
        <w:t xml:space="preserve"> </w:t>
      </w:r>
      <w:r>
        <w:rPr>
          <w:color w:val="231F20"/>
        </w:rPr>
        <w:t>to</w:t>
      </w:r>
      <w:r>
        <w:rPr>
          <w:color w:val="231F20"/>
          <w:spacing w:val="-2"/>
        </w:rPr>
        <w:t xml:space="preserve"> </w:t>
      </w:r>
      <w:r>
        <w:rPr>
          <w:color w:val="231F20"/>
        </w:rPr>
        <w:t>win</w:t>
      </w:r>
      <w:r>
        <w:rPr>
          <w:color w:val="231F20"/>
          <w:spacing w:val="-2"/>
        </w:rPr>
        <w:t xml:space="preserve"> </w:t>
      </w:r>
      <w:r>
        <w:rPr>
          <w:color w:val="231F20"/>
        </w:rPr>
        <w:t>the</w:t>
      </w:r>
      <w:r>
        <w:rPr>
          <w:color w:val="231F20"/>
          <w:spacing w:val="-2"/>
        </w:rPr>
        <w:t xml:space="preserve"> </w:t>
      </w:r>
      <w:r>
        <w:rPr>
          <w:color w:val="231F20"/>
        </w:rPr>
        <w:t>bid</w:t>
      </w:r>
      <w:r>
        <w:rPr>
          <w:color w:val="231F20"/>
          <w:spacing w:val="-2"/>
        </w:rPr>
        <w:t xml:space="preserve"> </w:t>
      </w:r>
      <w:r>
        <w:rPr>
          <w:color w:val="231F20"/>
        </w:rPr>
        <w:t>than</w:t>
      </w:r>
      <w:r>
        <w:rPr>
          <w:color w:val="231F20"/>
          <w:spacing w:val="-2"/>
        </w:rPr>
        <w:t xml:space="preserve"> </w:t>
      </w:r>
      <w:r>
        <w:rPr>
          <w:color w:val="231F20"/>
        </w:rPr>
        <w:t>it</w:t>
      </w:r>
      <w:r>
        <w:rPr>
          <w:color w:val="231F20"/>
          <w:spacing w:val="-2"/>
        </w:rPr>
        <w:t xml:space="preserve"> </w:t>
      </w:r>
      <w:r>
        <w:rPr>
          <w:color w:val="231F20"/>
        </w:rPr>
        <w:t>is</w:t>
      </w:r>
      <w:r>
        <w:rPr>
          <w:color w:val="231F20"/>
          <w:spacing w:val="-2"/>
        </w:rPr>
        <w:t xml:space="preserve"> </w:t>
      </w:r>
      <w:r>
        <w:rPr>
          <w:color w:val="231F20"/>
        </w:rPr>
        <w:t>in</w:t>
      </w:r>
      <w:r>
        <w:rPr>
          <w:color w:val="231F20"/>
          <w:spacing w:val="-2"/>
        </w:rPr>
        <w:t xml:space="preserve"> </w:t>
      </w:r>
      <w:r>
        <w:rPr>
          <w:color w:val="231F20"/>
        </w:rPr>
        <w:t>the</w:t>
      </w:r>
      <w:r>
        <w:rPr>
          <w:color w:val="231F20"/>
          <w:spacing w:val="-2"/>
        </w:rPr>
        <w:t xml:space="preserve"> </w:t>
      </w:r>
      <w:r>
        <w:rPr>
          <w:color w:val="231F20"/>
        </w:rPr>
        <w:t>actual</w:t>
      </w:r>
      <w:r>
        <w:rPr>
          <w:color w:val="231F20"/>
          <w:spacing w:val="-2"/>
        </w:rPr>
        <w:t xml:space="preserve"> </w:t>
      </w:r>
      <w:r>
        <w:rPr>
          <w:color w:val="231F20"/>
        </w:rPr>
        <w:t>delivery</w:t>
      </w:r>
      <w:r>
        <w:rPr>
          <w:color w:val="231F20"/>
          <w:spacing w:val="-2"/>
        </w:rPr>
        <w:t xml:space="preserve"> </w:t>
      </w:r>
      <w:r>
        <w:rPr>
          <w:color w:val="231F20"/>
        </w:rPr>
        <w:t>of</w:t>
      </w:r>
      <w:r>
        <w:rPr>
          <w:color w:val="231F20"/>
          <w:spacing w:val="-2"/>
        </w:rPr>
        <w:t xml:space="preserve"> </w:t>
      </w:r>
      <w:r>
        <w:rPr>
          <w:color w:val="231F20"/>
        </w:rPr>
        <w:t>the</w:t>
      </w:r>
      <w:r>
        <w:rPr>
          <w:color w:val="231F20"/>
          <w:spacing w:val="-2"/>
        </w:rPr>
        <w:t xml:space="preserve"> </w:t>
      </w:r>
      <w:r>
        <w:rPr>
          <w:color w:val="231F20"/>
        </w:rPr>
        <w:t xml:space="preserve">event. </w:t>
      </w:r>
      <w:r>
        <w:rPr>
          <w:color w:val="231F20"/>
          <w:w w:val="95"/>
        </w:rPr>
        <w:t>If</w:t>
      </w:r>
      <w:r>
        <w:rPr>
          <w:color w:val="231F20"/>
        </w:rPr>
        <w:t xml:space="preserve"> </w:t>
      </w:r>
      <w:r>
        <w:rPr>
          <w:color w:val="231F20"/>
          <w:w w:val="95"/>
        </w:rPr>
        <w:t>these</w:t>
      </w:r>
      <w:r>
        <w:rPr>
          <w:color w:val="231F20"/>
        </w:rPr>
        <w:t xml:space="preserve"> </w:t>
      </w:r>
      <w:r>
        <w:rPr>
          <w:color w:val="231F20"/>
          <w:w w:val="95"/>
        </w:rPr>
        <w:t>cultural</w:t>
      </w:r>
      <w:r>
        <w:rPr>
          <w:color w:val="231F20"/>
        </w:rPr>
        <w:t xml:space="preserve"> </w:t>
      </w:r>
      <w:r>
        <w:rPr>
          <w:color w:val="231F20"/>
          <w:w w:val="95"/>
        </w:rPr>
        <w:t>components</w:t>
      </w:r>
      <w:r>
        <w:rPr>
          <w:color w:val="231F20"/>
        </w:rPr>
        <w:t xml:space="preserve"> </w:t>
      </w:r>
      <w:r>
        <w:rPr>
          <w:color w:val="231F20"/>
          <w:w w:val="95"/>
        </w:rPr>
        <w:t>are</w:t>
      </w:r>
      <w:r>
        <w:rPr>
          <w:color w:val="231F20"/>
        </w:rPr>
        <w:t xml:space="preserve"> </w:t>
      </w:r>
      <w:r>
        <w:rPr>
          <w:color w:val="231F20"/>
          <w:w w:val="95"/>
        </w:rPr>
        <w:t>truly</w:t>
      </w:r>
      <w:r>
        <w:rPr>
          <w:color w:val="231F20"/>
        </w:rPr>
        <w:t xml:space="preserve"> </w:t>
      </w:r>
      <w:r>
        <w:rPr>
          <w:color w:val="231F20"/>
          <w:w w:val="95"/>
        </w:rPr>
        <w:t>valued,</w:t>
      </w:r>
      <w:r>
        <w:rPr>
          <w:color w:val="231F20"/>
        </w:rPr>
        <w:t xml:space="preserve"> </w:t>
      </w:r>
      <w:r>
        <w:rPr>
          <w:color w:val="231F20"/>
          <w:w w:val="95"/>
        </w:rPr>
        <w:t>this</w:t>
      </w:r>
      <w:r>
        <w:rPr>
          <w:color w:val="231F20"/>
        </w:rPr>
        <w:t xml:space="preserve"> </w:t>
      </w:r>
      <w:r>
        <w:rPr>
          <w:color w:val="231F20"/>
          <w:w w:val="95"/>
        </w:rPr>
        <w:t>needs</w:t>
      </w:r>
      <w:r>
        <w:rPr>
          <w:color w:val="231F20"/>
        </w:rPr>
        <w:t xml:space="preserve"> </w:t>
      </w:r>
      <w:r>
        <w:rPr>
          <w:color w:val="231F20"/>
          <w:w w:val="95"/>
        </w:rPr>
        <w:t>to</w:t>
      </w:r>
      <w:r>
        <w:rPr>
          <w:color w:val="231F20"/>
        </w:rPr>
        <w:t xml:space="preserve"> </w:t>
      </w:r>
      <w:r>
        <w:rPr>
          <w:color w:val="231F20"/>
          <w:w w:val="95"/>
        </w:rPr>
        <w:t>be</w:t>
      </w:r>
      <w:r>
        <w:rPr>
          <w:color w:val="231F20"/>
        </w:rPr>
        <w:t xml:space="preserve"> </w:t>
      </w:r>
      <w:r>
        <w:rPr>
          <w:color w:val="231F20"/>
          <w:w w:val="95"/>
        </w:rPr>
        <w:t>articulated</w:t>
      </w:r>
    </w:p>
    <w:p w14:paraId="459B4FD3" w14:textId="77777777" w:rsidR="00AE0598" w:rsidRDefault="00AE0598">
      <w:pPr>
        <w:spacing w:line="232" w:lineRule="auto"/>
        <w:jc w:val="both"/>
        <w:sectPr w:rsidR="00AE0598">
          <w:pgSz w:w="8850" w:h="13270"/>
          <w:pgMar w:top="720" w:right="1060" w:bottom="280" w:left="1080" w:header="720" w:footer="720" w:gutter="0"/>
          <w:cols w:space="720"/>
        </w:sectPr>
      </w:pPr>
    </w:p>
    <w:p w14:paraId="72523CA6" w14:textId="77777777" w:rsidR="00AE0598" w:rsidRDefault="0069255A">
      <w:pPr>
        <w:spacing w:before="87"/>
        <w:ind w:left="110" w:right="128"/>
        <w:jc w:val="right"/>
        <w:rPr>
          <w:rFonts w:ascii="Trebuchet MS"/>
          <w:sz w:val="14"/>
        </w:rPr>
      </w:pPr>
      <w:r>
        <w:rPr>
          <w:rFonts w:ascii="Trebuchet MS"/>
          <w:color w:val="231F20"/>
          <w:w w:val="105"/>
          <w:sz w:val="14"/>
        </w:rPr>
        <w:lastRenderedPageBreak/>
        <w:t>Place,</w:t>
      </w:r>
      <w:r>
        <w:rPr>
          <w:rFonts w:ascii="Trebuchet MS"/>
          <w:color w:val="231F20"/>
          <w:spacing w:val="-12"/>
          <w:w w:val="105"/>
          <w:sz w:val="14"/>
        </w:rPr>
        <w:t xml:space="preserve"> </w:t>
      </w:r>
      <w:r>
        <w:rPr>
          <w:rFonts w:ascii="Trebuchet MS"/>
          <w:color w:val="231F20"/>
          <w:w w:val="105"/>
          <w:sz w:val="14"/>
        </w:rPr>
        <w:t>Sport</w:t>
      </w:r>
      <w:r>
        <w:rPr>
          <w:rFonts w:ascii="Trebuchet MS"/>
          <w:color w:val="231F20"/>
          <w:spacing w:val="-11"/>
          <w:w w:val="105"/>
          <w:sz w:val="14"/>
        </w:rPr>
        <w:t xml:space="preserve"> </w:t>
      </w:r>
      <w:r>
        <w:rPr>
          <w:rFonts w:ascii="Trebuchet MS"/>
          <w:color w:val="231F20"/>
          <w:w w:val="105"/>
          <w:sz w:val="14"/>
        </w:rPr>
        <w:t>and</w:t>
      </w:r>
      <w:r>
        <w:rPr>
          <w:rFonts w:ascii="Trebuchet MS"/>
          <w:color w:val="231F20"/>
          <w:spacing w:val="-11"/>
          <w:w w:val="105"/>
          <w:sz w:val="14"/>
        </w:rPr>
        <w:t xml:space="preserve"> </w:t>
      </w:r>
      <w:r>
        <w:rPr>
          <w:rFonts w:ascii="Trebuchet MS"/>
          <w:color w:val="231F20"/>
          <w:w w:val="105"/>
          <w:sz w:val="14"/>
        </w:rPr>
        <w:t>Culture</w:t>
      </w:r>
      <w:r>
        <w:rPr>
          <w:rFonts w:ascii="Trebuchet MS"/>
          <w:color w:val="231F20"/>
          <w:spacing w:val="71"/>
          <w:w w:val="105"/>
          <w:sz w:val="14"/>
        </w:rPr>
        <w:t xml:space="preserve"> </w:t>
      </w:r>
      <w:r>
        <w:rPr>
          <w:rFonts w:ascii="Trebuchet MS"/>
          <w:color w:val="231F20"/>
          <w:spacing w:val="-5"/>
          <w:w w:val="105"/>
          <w:sz w:val="14"/>
        </w:rPr>
        <w:t>121</w:t>
      </w:r>
    </w:p>
    <w:p w14:paraId="57ED94D4" w14:textId="77777777" w:rsidR="00AE0598" w:rsidRDefault="00AE0598">
      <w:pPr>
        <w:pStyle w:val="Corpodetexto"/>
        <w:rPr>
          <w:rFonts w:ascii="Trebuchet MS"/>
          <w:sz w:val="16"/>
        </w:rPr>
      </w:pPr>
    </w:p>
    <w:p w14:paraId="507371D7" w14:textId="77777777" w:rsidR="00AE0598" w:rsidRDefault="0069255A">
      <w:pPr>
        <w:pStyle w:val="Corpodetexto"/>
        <w:spacing w:before="118" w:line="232" w:lineRule="auto"/>
        <w:ind w:left="110" w:right="127"/>
        <w:jc w:val="both"/>
      </w:pPr>
      <w:r>
        <w:rPr>
          <w:color w:val="231F20"/>
        </w:rPr>
        <w:t>more clearly by the IOC and similar bodies. More financial support should</w:t>
      </w:r>
      <w:r>
        <w:rPr>
          <w:color w:val="231F20"/>
          <w:spacing w:val="-9"/>
        </w:rPr>
        <w:t xml:space="preserve"> </w:t>
      </w:r>
      <w:r>
        <w:rPr>
          <w:color w:val="231F20"/>
        </w:rPr>
        <w:t>be</w:t>
      </w:r>
      <w:r>
        <w:rPr>
          <w:color w:val="231F20"/>
          <w:spacing w:val="-9"/>
        </w:rPr>
        <w:t xml:space="preserve"> </w:t>
      </w:r>
      <w:r>
        <w:rPr>
          <w:color w:val="231F20"/>
        </w:rPr>
        <w:t>provided</w:t>
      </w:r>
      <w:r>
        <w:rPr>
          <w:color w:val="231F20"/>
          <w:spacing w:val="-9"/>
        </w:rPr>
        <w:t xml:space="preserve"> </w:t>
      </w:r>
      <w:r>
        <w:rPr>
          <w:color w:val="231F20"/>
        </w:rPr>
        <w:t>and</w:t>
      </w:r>
      <w:r>
        <w:rPr>
          <w:color w:val="231F20"/>
          <w:spacing w:val="-9"/>
        </w:rPr>
        <w:t xml:space="preserve"> </w:t>
      </w:r>
      <w:r>
        <w:rPr>
          <w:color w:val="231F20"/>
        </w:rPr>
        <w:t>the</w:t>
      </w:r>
      <w:r>
        <w:rPr>
          <w:color w:val="231F20"/>
          <w:spacing w:val="-9"/>
        </w:rPr>
        <w:t xml:space="preserve"> </w:t>
      </w:r>
      <w:r>
        <w:rPr>
          <w:color w:val="231F20"/>
        </w:rPr>
        <w:t>host</w:t>
      </w:r>
      <w:r>
        <w:rPr>
          <w:color w:val="231F20"/>
          <w:spacing w:val="-9"/>
        </w:rPr>
        <w:t xml:space="preserve"> </w:t>
      </w:r>
      <w:r>
        <w:rPr>
          <w:color w:val="231F20"/>
        </w:rPr>
        <w:t>city</w:t>
      </w:r>
      <w:r>
        <w:rPr>
          <w:color w:val="231F20"/>
          <w:spacing w:val="-9"/>
        </w:rPr>
        <w:t xml:space="preserve"> </w:t>
      </w:r>
      <w:r>
        <w:rPr>
          <w:color w:val="231F20"/>
        </w:rPr>
        <w:t>should</w:t>
      </w:r>
      <w:r>
        <w:rPr>
          <w:color w:val="231F20"/>
          <w:spacing w:val="-9"/>
        </w:rPr>
        <w:t xml:space="preserve"> </w:t>
      </w:r>
      <w:r>
        <w:rPr>
          <w:color w:val="231F20"/>
        </w:rPr>
        <w:t>be</w:t>
      </w:r>
      <w:r>
        <w:rPr>
          <w:color w:val="231F20"/>
          <w:spacing w:val="-9"/>
        </w:rPr>
        <w:t xml:space="preserve"> </w:t>
      </w:r>
      <w:r>
        <w:rPr>
          <w:color w:val="231F20"/>
        </w:rPr>
        <w:t>held</w:t>
      </w:r>
      <w:r>
        <w:rPr>
          <w:color w:val="231F20"/>
          <w:spacing w:val="-9"/>
        </w:rPr>
        <w:t xml:space="preserve"> </w:t>
      </w:r>
      <w:r>
        <w:rPr>
          <w:color w:val="231F20"/>
        </w:rPr>
        <w:t>accountable</w:t>
      </w:r>
      <w:r>
        <w:rPr>
          <w:color w:val="231F20"/>
          <w:spacing w:val="-9"/>
        </w:rPr>
        <w:t xml:space="preserve"> </w:t>
      </w:r>
      <w:r>
        <w:rPr>
          <w:color w:val="231F20"/>
        </w:rPr>
        <w:t>for</w:t>
      </w:r>
      <w:r>
        <w:rPr>
          <w:color w:val="231F20"/>
          <w:spacing w:val="-9"/>
        </w:rPr>
        <w:t xml:space="preserve"> </w:t>
      </w:r>
      <w:r>
        <w:rPr>
          <w:color w:val="231F20"/>
        </w:rPr>
        <w:t>their commitment to this programme (García, 2010).</w:t>
      </w:r>
    </w:p>
    <w:p w14:paraId="77E3235D" w14:textId="77777777" w:rsidR="00AE0598" w:rsidRDefault="00AE0598">
      <w:pPr>
        <w:pStyle w:val="Corpodetexto"/>
        <w:spacing w:before="3"/>
      </w:pPr>
    </w:p>
    <w:p w14:paraId="5FD093F4" w14:textId="77777777" w:rsidR="00AE0598" w:rsidRDefault="0069255A">
      <w:pPr>
        <w:ind w:left="110"/>
        <w:jc w:val="both"/>
        <w:rPr>
          <w:rFonts w:ascii="Trebuchet MS"/>
          <w:sz w:val="20"/>
        </w:rPr>
      </w:pPr>
      <w:r>
        <w:rPr>
          <w:rFonts w:ascii="Trebuchet MS"/>
          <w:color w:val="231F20"/>
          <w:sz w:val="20"/>
        </w:rPr>
        <w:t>Sport</w:t>
      </w:r>
      <w:r>
        <w:rPr>
          <w:rFonts w:ascii="Trebuchet MS"/>
          <w:color w:val="231F20"/>
          <w:spacing w:val="15"/>
          <w:sz w:val="20"/>
        </w:rPr>
        <w:t xml:space="preserve"> </w:t>
      </w:r>
      <w:r>
        <w:rPr>
          <w:rFonts w:ascii="Trebuchet MS"/>
          <w:color w:val="231F20"/>
          <w:sz w:val="20"/>
        </w:rPr>
        <w:t>as</w:t>
      </w:r>
      <w:r>
        <w:rPr>
          <w:rFonts w:ascii="Trebuchet MS"/>
          <w:color w:val="231F20"/>
          <w:spacing w:val="15"/>
          <w:sz w:val="20"/>
        </w:rPr>
        <w:t xml:space="preserve"> </w:t>
      </w:r>
      <w:r>
        <w:rPr>
          <w:rFonts w:ascii="Trebuchet MS"/>
          <w:color w:val="231F20"/>
          <w:spacing w:val="-2"/>
          <w:sz w:val="20"/>
        </w:rPr>
        <w:t>culture</w:t>
      </w:r>
    </w:p>
    <w:p w14:paraId="5FC8EA81" w14:textId="77777777" w:rsidR="00AE0598" w:rsidRDefault="0069255A">
      <w:pPr>
        <w:pStyle w:val="Corpodetexto"/>
        <w:spacing w:before="122" w:line="232" w:lineRule="auto"/>
        <w:ind w:left="110" w:right="126" w:firstLine="320"/>
        <w:jc w:val="both"/>
      </w:pPr>
      <w:r>
        <w:rPr>
          <w:color w:val="231F20"/>
          <w:w w:val="95"/>
        </w:rPr>
        <w:t>Popular</w:t>
      </w:r>
      <w:r>
        <w:rPr>
          <w:color w:val="231F20"/>
          <w:spacing w:val="-6"/>
          <w:w w:val="95"/>
        </w:rPr>
        <w:t xml:space="preserve"> </w:t>
      </w:r>
      <w:r>
        <w:rPr>
          <w:color w:val="231F20"/>
          <w:w w:val="95"/>
        </w:rPr>
        <w:t>culture</w:t>
      </w:r>
      <w:r>
        <w:rPr>
          <w:color w:val="231F20"/>
          <w:spacing w:val="-6"/>
          <w:w w:val="95"/>
        </w:rPr>
        <w:t xml:space="preserve"> </w:t>
      </w:r>
      <w:r>
        <w:rPr>
          <w:color w:val="231F20"/>
          <w:w w:val="95"/>
        </w:rPr>
        <w:t>as</w:t>
      </w:r>
      <w:r>
        <w:rPr>
          <w:color w:val="231F20"/>
          <w:spacing w:val="-6"/>
          <w:w w:val="95"/>
        </w:rPr>
        <w:t xml:space="preserve"> </w:t>
      </w:r>
      <w:r>
        <w:rPr>
          <w:color w:val="231F20"/>
          <w:w w:val="95"/>
        </w:rPr>
        <w:t>manifest</w:t>
      </w:r>
      <w:r>
        <w:rPr>
          <w:color w:val="231F20"/>
          <w:spacing w:val="-6"/>
          <w:w w:val="95"/>
        </w:rPr>
        <w:t xml:space="preserve"> </w:t>
      </w:r>
      <w:r>
        <w:rPr>
          <w:color w:val="231F20"/>
          <w:w w:val="95"/>
        </w:rPr>
        <w:t>in</w:t>
      </w:r>
      <w:r>
        <w:rPr>
          <w:color w:val="231F20"/>
          <w:spacing w:val="-7"/>
          <w:w w:val="95"/>
        </w:rPr>
        <w:t xml:space="preserve"> </w:t>
      </w:r>
      <w:r>
        <w:rPr>
          <w:color w:val="231F20"/>
          <w:w w:val="95"/>
        </w:rPr>
        <w:t>sport</w:t>
      </w:r>
      <w:r>
        <w:rPr>
          <w:color w:val="231F20"/>
          <w:spacing w:val="-6"/>
          <w:w w:val="95"/>
        </w:rPr>
        <w:t xml:space="preserve"> </w:t>
      </w:r>
      <w:r>
        <w:rPr>
          <w:color w:val="231F20"/>
          <w:w w:val="95"/>
        </w:rPr>
        <w:t>is</w:t>
      </w:r>
      <w:r>
        <w:rPr>
          <w:color w:val="231F20"/>
          <w:spacing w:val="-6"/>
          <w:w w:val="95"/>
        </w:rPr>
        <w:t xml:space="preserve"> </w:t>
      </w:r>
      <w:r>
        <w:rPr>
          <w:color w:val="231F20"/>
          <w:w w:val="95"/>
        </w:rPr>
        <w:t>one</w:t>
      </w:r>
      <w:r>
        <w:rPr>
          <w:color w:val="231F20"/>
          <w:spacing w:val="-6"/>
          <w:w w:val="95"/>
        </w:rPr>
        <w:t xml:space="preserve"> </w:t>
      </w:r>
      <w:r>
        <w:rPr>
          <w:color w:val="231F20"/>
          <w:w w:val="95"/>
        </w:rPr>
        <w:t>of</w:t>
      </w:r>
      <w:r>
        <w:rPr>
          <w:color w:val="231F20"/>
          <w:spacing w:val="-7"/>
          <w:w w:val="95"/>
        </w:rPr>
        <w:t xml:space="preserve"> </w:t>
      </w:r>
      <w:r>
        <w:rPr>
          <w:color w:val="231F20"/>
          <w:w w:val="95"/>
        </w:rPr>
        <w:t>the</w:t>
      </w:r>
      <w:r>
        <w:rPr>
          <w:color w:val="231F20"/>
          <w:spacing w:val="-6"/>
          <w:w w:val="95"/>
        </w:rPr>
        <w:t xml:space="preserve"> </w:t>
      </w:r>
      <w:r>
        <w:rPr>
          <w:color w:val="231F20"/>
          <w:w w:val="95"/>
        </w:rPr>
        <w:t>main</w:t>
      </w:r>
      <w:r>
        <w:rPr>
          <w:color w:val="231F20"/>
          <w:spacing w:val="-7"/>
          <w:w w:val="95"/>
        </w:rPr>
        <w:t xml:space="preserve"> </w:t>
      </w:r>
      <w:r>
        <w:rPr>
          <w:color w:val="231F20"/>
          <w:w w:val="95"/>
        </w:rPr>
        <w:t>ways</w:t>
      </w:r>
      <w:r>
        <w:rPr>
          <w:color w:val="231F20"/>
          <w:spacing w:val="-7"/>
          <w:w w:val="95"/>
        </w:rPr>
        <w:t xml:space="preserve"> </w:t>
      </w:r>
      <w:r>
        <w:rPr>
          <w:color w:val="231F20"/>
          <w:w w:val="95"/>
        </w:rPr>
        <w:t>that</w:t>
      </w:r>
      <w:r>
        <w:rPr>
          <w:color w:val="231F20"/>
          <w:spacing w:val="-7"/>
          <w:w w:val="95"/>
        </w:rPr>
        <w:t xml:space="preserve"> </w:t>
      </w:r>
      <w:r>
        <w:rPr>
          <w:color w:val="231F20"/>
          <w:w w:val="95"/>
        </w:rPr>
        <w:t xml:space="preserve">humans </w:t>
      </w:r>
      <w:r>
        <w:rPr>
          <w:color w:val="231F20"/>
        </w:rPr>
        <w:t xml:space="preserve">develop personal and collective identities (L’Etang, 2006). It is through </w:t>
      </w:r>
      <w:r>
        <w:rPr>
          <w:color w:val="231F20"/>
          <w:w w:val="95"/>
        </w:rPr>
        <w:t>these personal and collective identities that place identity is developed. At its most basic, identity is the way that we perceive ourselves, as individuals</w:t>
      </w:r>
      <w:r>
        <w:rPr>
          <w:color w:val="231F20"/>
          <w:w w:val="95"/>
        </w:rPr>
        <w:t xml:space="preserve"> </w:t>
      </w:r>
      <w:r>
        <w:rPr>
          <w:color w:val="231F20"/>
        </w:rPr>
        <w:t>and collectives, based on prevailing social and ideological values and practices (McConnell &amp; Edwards, 2000). It is a social phenomenon developed through social and cultural processes as found in traditional media, social media and other dominant cultural</w:t>
      </w:r>
      <w:r>
        <w:rPr>
          <w:color w:val="231F20"/>
        </w:rPr>
        <w:t xml:space="preserve"> institutions. Identity is the way in which people make sense of the self through affiliation and bonds with other people and the cultures that define these affiliations (Dauncey &amp; Hare, 2000).</w:t>
      </w:r>
    </w:p>
    <w:p w14:paraId="39D94229" w14:textId="77777777" w:rsidR="00AE0598" w:rsidRDefault="0069255A">
      <w:pPr>
        <w:pStyle w:val="Corpodetexto"/>
        <w:spacing w:before="13" w:line="232" w:lineRule="auto"/>
        <w:ind w:left="110" w:right="127" w:firstLine="320"/>
        <w:jc w:val="both"/>
      </w:pPr>
      <w:r>
        <w:rPr>
          <w:color w:val="231F20"/>
        </w:rPr>
        <w:t>National</w:t>
      </w:r>
      <w:r>
        <w:rPr>
          <w:color w:val="231F20"/>
          <w:spacing w:val="-2"/>
        </w:rPr>
        <w:t xml:space="preserve"> </w:t>
      </w:r>
      <w:r>
        <w:rPr>
          <w:color w:val="231F20"/>
        </w:rPr>
        <w:t>identity</w:t>
      </w:r>
      <w:r>
        <w:rPr>
          <w:color w:val="231F20"/>
          <w:spacing w:val="-2"/>
        </w:rPr>
        <w:t xml:space="preserve"> </w:t>
      </w:r>
      <w:r>
        <w:rPr>
          <w:color w:val="231F20"/>
        </w:rPr>
        <w:t>is</w:t>
      </w:r>
      <w:r>
        <w:rPr>
          <w:color w:val="231F20"/>
          <w:spacing w:val="-2"/>
        </w:rPr>
        <w:t xml:space="preserve"> </w:t>
      </w:r>
      <w:r>
        <w:rPr>
          <w:color w:val="231F20"/>
        </w:rPr>
        <w:t>typically</w:t>
      </w:r>
      <w:r>
        <w:rPr>
          <w:color w:val="231F20"/>
          <w:spacing w:val="-2"/>
        </w:rPr>
        <w:t xml:space="preserve"> </w:t>
      </w:r>
      <w:r>
        <w:rPr>
          <w:color w:val="231F20"/>
        </w:rPr>
        <w:t>thought</w:t>
      </w:r>
      <w:r>
        <w:rPr>
          <w:color w:val="231F20"/>
          <w:spacing w:val="-2"/>
        </w:rPr>
        <w:t xml:space="preserve"> </w:t>
      </w:r>
      <w:r>
        <w:rPr>
          <w:color w:val="231F20"/>
        </w:rPr>
        <w:t>of</w:t>
      </w:r>
      <w:r>
        <w:rPr>
          <w:color w:val="231F20"/>
          <w:spacing w:val="-2"/>
        </w:rPr>
        <w:t xml:space="preserve"> </w:t>
      </w:r>
      <w:r>
        <w:rPr>
          <w:color w:val="231F20"/>
        </w:rPr>
        <w:t>in</w:t>
      </w:r>
      <w:r>
        <w:rPr>
          <w:color w:val="231F20"/>
          <w:spacing w:val="-2"/>
        </w:rPr>
        <w:t xml:space="preserve"> </w:t>
      </w:r>
      <w:r>
        <w:rPr>
          <w:color w:val="231F20"/>
        </w:rPr>
        <w:t>the</w:t>
      </w:r>
      <w:r>
        <w:rPr>
          <w:color w:val="231F20"/>
          <w:spacing w:val="-2"/>
        </w:rPr>
        <w:t xml:space="preserve"> </w:t>
      </w:r>
      <w:r>
        <w:rPr>
          <w:color w:val="231F20"/>
        </w:rPr>
        <w:t>way</w:t>
      </w:r>
      <w:r>
        <w:rPr>
          <w:color w:val="231F20"/>
          <w:spacing w:val="-2"/>
        </w:rPr>
        <w:t xml:space="preserve"> </w:t>
      </w:r>
      <w:r>
        <w:rPr>
          <w:color w:val="231F20"/>
        </w:rPr>
        <w:t>that</w:t>
      </w:r>
      <w:r>
        <w:rPr>
          <w:color w:val="231F20"/>
          <w:spacing w:val="-2"/>
        </w:rPr>
        <w:t xml:space="preserve"> </w:t>
      </w:r>
      <w:r>
        <w:rPr>
          <w:color w:val="231F20"/>
        </w:rPr>
        <w:t>nations</w:t>
      </w:r>
      <w:r>
        <w:rPr>
          <w:color w:val="231F20"/>
          <w:spacing w:val="-2"/>
        </w:rPr>
        <w:t xml:space="preserve"> </w:t>
      </w:r>
      <w:r>
        <w:rPr>
          <w:color w:val="231F20"/>
        </w:rPr>
        <w:t>differ from</w:t>
      </w:r>
      <w:r>
        <w:rPr>
          <w:color w:val="231F20"/>
          <w:spacing w:val="-7"/>
        </w:rPr>
        <w:t xml:space="preserve"> </w:t>
      </w:r>
      <w:r>
        <w:rPr>
          <w:color w:val="231F20"/>
        </w:rPr>
        <w:t>each</w:t>
      </w:r>
      <w:r>
        <w:rPr>
          <w:color w:val="231F20"/>
          <w:spacing w:val="-7"/>
        </w:rPr>
        <w:t xml:space="preserve"> </w:t>
      </w:r>
      <w:r>
        <w:rPr>
          <w:color w:val="231F20"/>
        </w:rPr>
        <w:t>other</w:t>
      </w:r>
      <w:r>
        <w:rPr>
          <w:color w:val="231F20"/>
          <w:spacing w:val="-7"/>
        </w:rPr>
        <w:t xml:space="preserve"> </w:t>
      </w:r>
      <w:r>
        <w:rPr>
          <w:color w:val="231F20"/>
        </w:rPr>
        <w:t>in</w:t>
      </w:r>
      <w:r>
        <w:rPr>
          <w:color w:val="231F20"/>
          <w:spacing w:val="-7"/>
        </w:rPr>
        <w:t xml:space="preserve"> </w:t>
      </w:r>
      <w:r>
        <w:rPr>
          <w:color w:val="231F20"/>
        </w:rPr>
        <w:t>terms</w:t>
      </w:r>
      <w:r>
        <w:rPr>
          <w:color w:val="231F20"/>
          <w:spacing w:val="-7"/>
        </w:rPr>
        <w:t xml:space="preserve"> </w:t>
      </w:r>
      <w:r>
        <w:rPr>
          <w:color w:val="231F20"/>
        </w:rPr>
        <w:t>of</w:t>
      </w:r>
      <w:r>
        <w:rPr>
          <w:color w:val="231F20"/>
          <w:spacing w:val="-7"/>
        </w:rPr>
        <w:t xml:space="preserve"> </w:t>
      </w:r>
      <w:r>
        <w:rPr>
          <w:color w:val="231F20"/>
        </w:rPr>
        <w:t>stereotypes,</w:t>
      </w:r>
      <w:r>
        <w:rPr>
          <w:color w:val="231F20"/>
          <w:spacing w:val="-7"/>
        </w:rPr>
        <w:t xml:space="preserve"> </w:t>
      </w:r>
      <w:r>
        <w:rPr>
          <w:color w:val="231F20"/>
        </w:rPr>
        <w:t>symbols</w:t>
      </w:r>
      <w:r>
        <w:rPr>
          <w:color w:val="231F20"/>
          <w:spacing w:val="-7"/>
        </w:rPr>
        <w:t xml:space="preserve"> </w:t>
      </w:r>
      <w:r>
        <w:rPr>
          <w:color w:val="231F20"/>
        </w:rPr>
        <w:t>and</w:t>
      </w:r>
      <w:r>
        <w:rPr>
          <w:color w:val="231F20"/>
          <w:spacing w:val="-7"/>
        </w:rPr>
        <w:t xml:space="preserve"> </w:t>
      </w:r>
      <w:r>
        <w:rPr>
          <w:color w:val="231F20"/>
        </w:rPr>
        <w:t>practices</w:t>
      </w:r>
      <w:r>
        <w:rPr>
          <w:color w:val="231F20"/>
          <w:spacing w:val="-7"/>
        </w:rPr>
        <w:t xml:space="preserve"> </w:t>
      </w:r>
      <w:r>
        <w:rPr>
          <w:color w:val="231F20"/>
        </w:rPr>
        <w:t>including those associated with sport (Devine &amp; Devine, 2004; McConnell &amp; Edwards, 2000; Tuck, 2003). McGuirk and Rowe (2001) articulated the way that place becomes part of our n</w:t>
      </w:r>
      <w:r>
        <w:rPr>
          <w:color w:val="231F20"/>
        </w:rPr>
        <w:t>ational identities:</w:t>
      </w:r>
    </w:p>
    <w:p w14:paraId="5ECBFCEE" w14:textId="77777777" w:rsidR="00AE0598" w:rsidRDefault="00AE0598">
      <w:pPr>
        <w:pStyle w:val="Corpodetexto"/>
        <w:spacing w:before="3"/>
      </w:pPr>
    </w:p>
    <w:p w14:paraId="52B30EBA" w14:textId="77777777" w:rsidR="00AE0598" w:rsidRDefault="0069255A">
      <w:pPr>
        <w:spacing w:line="244" w:lineRule="auto"/>
        <w:ind w:left="430" w:right="126"/>
        <w:jc w:val="both"/>
        <w:rPr>
          <w:sz w:val="20"/>
        </w:rPr>
      </w:pPr>
      <w:r>
        <w:rPr>
          <w:color w:val="231F20"/>
          <w:w w:val="95"/>
          <w:sz w:val="20"/>
        </w:rPr>
        <w:t>Places have come to be conceptualized as constructed through a dynamic articulation of their material and representational dimensions, and place identity is understood to be mutable, contingent and fluid. Cultural stocks</w:t>
      </w:r>
      <w:r>
        <w:rPr>
          <w:color w:val="231F20"/>
          <w:spacing w:val="40"/>
          <w:sz w:val="20"/>
        </w:rPr>
        <w:t xml:space="preserve"> </w:t>
      </w:r>
      <w:r>
        <w:rPr>
          <w:color w:val="231F20"/>
          <w:sz w:val="20"/>
        </w:rPr>
        <w:t>of knowledge a</w:t>
      </w:r>
      <w:r>
        <w:rPr>
          <w:color w:val="231F20"/>
          <w:sz w:val="20"/>
        </w:rPr>
        <w:t>bout places can, however, constitute a prevailing, often stubbornly persistent balance of forces that name, interpret and project place</w:t>
      </w:r>
      <w:r>
        <w:rPr>
          <w:color w:val="231F20"/>
          <w:spacing w:val="22"/>
          <w:sz w:val="20"/>
        </w:rPr>
        <w:t xml:space="preserve"> </w:t>
      </w:r>
      <w:r>
        <w:rPr>
          <w:color w:val="231F20"/>
          <w:sz w:val="20"/>
        </w:rPr>
        <w:t>meanings.</w:t>
      </w:r>
      <w:r>
        <w:rPr>
          <w:color w:val="231F20"/>
          <w:spacing w:val="22"/>
          <w:sz w:val="20"/>
        </w:rPr>
        <w:t xml:space="preserve"> </w:t>
      </w:r>
      <w:r>
        <w:rPr>
          <w:color w:val="231F20"/>
          <w:sz w:val="20"/>
        </w:rPr>
        <w:t>A</w:t>
      </w:r>
      <w:r>
        <w:rPr>
          <w:color w:val="231F20"/>
          <w:spacing w:val="22"/>
          <w:sz w:val="20"/>
        </w:rPr>
        <w:t xml:space="preserve"> </w:t>
      </w:r>
      <w:r>
        <w:rPr>
          <w:color w:val="231F20"/>
          <w:sz w:val="20"/>
        </w:rPr>
        <w:t>place</w:t>
      </w:r>
      <w:r>
        <w:rPr>
          <w:color w:val="231F20"/>
          <w:spacing w:val="22"/>
          <w:sz w:val="20"/>
        </w:rPr>
        <w:t xml:space="preserve"> </w:t>
      </w:r>
      <w:r>
        <w:rPr>
          <w:color w:val="231F20"/>
          <w:sz w:val="20"/>
        </w:rPr>
        <w:t>in</w:t>
      </w:r>
      <w:r>
        <w:rPr>
          <w:color w:val="231F20"/>
          <w:spacing w:val="22"/>
          <w:sz w:val="20"/>
        </w:rPr>
        <w:t xml:space="preserve"> </w:t>
      </w:r>
      <w:r>
        <w:rPr>
          <w:color w:val="231F20"/>
          <w:sz w:val="20"/>
        </w:rPr>
        <w:t>this</w:t>
      </w:r>
      <w:r>
        <w:rPr>
          <w:color w:val="231F20"/>
          <w:spacing w:val="22"/>
          <w:sz w:val="20"/>
        </w:rPr>
        <w:t xml:space="preserve"> </w:t>
      </w:r>
      <w:r>
        <w:rPr>
          <w:color w:val="231F20"/>
          <w:sz w:val="20"/>
        </w:rPr>
        <w:t>sense</w:t>
      </w:r>
      <w:r>
        <w:rPr>
          <w:color w:val="231F20"/>
          <w:spacing w:val="22"/>
          <w:sz w:val="20"/>
        </w:rPr>
        <w:t xml:space="preserve"> </w:t>
      </w:r>
      <w:r>
        <w:rPr>
          <w:color w:val="231F20"/>
          <w:sz w:val="20"/>
        </w:rPr>
        <w:t>is</w:t>
      </w:r>
      <w:r>
        <w:rPr>
          <w:color w:val="231F20"/>
          <w:spacing w:val="22"/>
          <w:sz w:val="20"/>
        </w:rPr>
        <w:t xml:space="preserve"> </w:t>
      </w:r>
      <w:r>
        <w:rPr>
          <w:color w:val="231F20"/>
          <w:sz w:val="20"/>
        </w:rPr>
        <w:t>a</w:t>
      </w:r>
      <w:r>
        <w:rPr>
          <w:color w:val="231F20"/>
          <w:spacing w:val="22"/>
          <w:sz w:val="20"/>
        </w:rPr>
        <w:t xml:space="preserve"> </w:t>
      </w:r>
      <w:r>
        <w:rPr>
          <w:color w:val="231F20"/>
          <w:sz w:val="20"/>
        </w:rPr>
        <w:t>‘text’,</w:t>
      </w:r>
      <w:r>
        <w:rPr>
          <w:color w:val="231F20"/>
          <w:spacing w:val="22"/>
          <w:sz w:val="20"/>
        </w:rPr>
        <w:t xml:space="preserve"> </w:t>
      </w:r>
      <w:r>
        <w:rPr>
          <w:color w:val="231F20"/>
          <w:sz w:val="20"/>
        </w:rPr>
        <w:t>the</w:t>
      </w:r>
      <w:r>
        <w:rPr>
          <w:color w:val="231F20"/>
          <w:spacing w:val="22"/>
          <w:sz w:val="20"/>
        </w:rPr>
        <w:t xml:space="preserve"> </w:t>
      </w:r>
      <w:r>
        <w:rPr>
          <w:color w:val="231F20"/>
          <w:sz w:val="20"/>
        </w:rPr>
        <w:t>meaning</w:t>
      </w:r>
      <w:r>
        <w:rPr>
          <w:color w:val="231F20"/>
          <w:spacing w:val="22"/>
          <w:sz w:val="20"/>
        </w:rPr>
        <w:t xml:space="preserve"> </w:t>
      </w:r>
      <w:r>
        <w:rPr>
          <w:color w:val="231F20"/>
          <w:sz w:val="20"/>
        </w:rPr>
        <w:t>of</w:t>
      </w:r>
      <w:r>
        <w:rPr>
          <w:color w:val="231F20"/>
          <w:spacing w:val="22"/>
          <w:sz w:val="20"/>
        </w:rPr>
        <w:t xml:space="preserve"> </w:t>
      </w:r>
      <w:r>
        <w:rPr>
          <w:color w:val="231F20"/>
          <w:sz w:val="20"/>
        </w:rPr>
        <w:t>which is</w:t>
      </w:r>
      <w:r>
        <w:rPr>
          <w:color w:val="231F20"/>
          <w:spacing w:val="40"/>
          <w:sz w:val="20"/>
        </w:rPr>
        <w:t xml:space="preserve"> </w:t>
      </w:r>
      <w:r>
        <w:rPr>
          <w:color w:val="231F20"/>
          <w:sz w:val="20"/>
        </w:rPr>
        <w:t>continually</w:t>
      </w:r>
      <w:r>
        <w:rPr>
          <w:color w:val="231F20"/>
          <w:spacing w:val="40"/>
          <w:sz w:val="20"/>
        </w:rPr>
        <w:t xml:space="preserve"> </w:t>
      </w:r>
      <w:r>
        <w:rPr>
          <w:color w:val="231F20"/>
          <w:sz w:val="20"/>
        </w:rPr>
        <w:t>being</w:t>
      </w:r>
      <w:r>
        <w:rPr>
          <w:color w:val="231F20"/>
          <w:spacing w:val="40"/>
          <w:sz w:val="20"/>
        </w:rPr>
        <w:t xml:space="preserve"> </w:t>
      </w:r>
      <w:r>
        <w:rPr>
          <w:color w:val="231F20"/>
          <w:sz w:val="20"/>
        </w:rPr>
        <w:t>made,</w:t>
      </w:r>
      <w:r>
        <w:rPr>
          <w:color w:val="231F20"/>
          <w:spacing w:val="40"/>
          <w:sz w:val="20"/>
        </w:rPr>
        <w:t xml:space="preserve"> </w:t>
      </w:r>
      <w:r>
        <w:rPr>
          <w:color w:val="231F20"/>
          <w:sz w:val="20"/>
        </w:rPr>
        <w:t>reproduced</w:t>
      </w:r>
      <w:r>
        <w:rPr>
          <w:color w:val="231F20"/>
          <w:spacing w:val="40"/>
          <w:sz w:val="20"/>
        </w:rPr>
        <w:t xml:space="preserve"> </w:t>
      </w:r>
      <w:r>
        <w:rPr>
          <w:color w:val="231F20"/>
          <w:sz w:val="20"/>
        </w:rPr>
        <w:t>and</w:t>
      </w:r>
      <w:r>
        <w:rPr>
          <w:color w:val="231F20"/>
          <w:spacing w:val="40"/>
          <w:sz w:val="20"/>
        </w:rPr>
        <w:t xml:space="preserve"> </w:t>
      </w:r>
      <w:r>
        <w:rPr>
          <w:color w:val="231F20"/>
          <w:sz w:val="20"/>
        </w:rPr>
        <w:t>re-made.</w:t>
      </w:r>
      <w:r>
        <w:rPr>
          <w:color w:val="231F20"/>
          <w:spacing w:val="40"/>
          <w:sz w:val="20"/>
        </w:rPr>
        <w:t xml:space="preserve"> </w:t>
      </w:r>
      <w:r>
        <w:rPr>
          <w:color w:val="231F20"/>
          <w:sz w:val="20"/>
        </w:rPr>
        <w:t>(McGuirk</w:t>
      </w:r>
      <w:r>
        <w:rPr>
          <w:color w:val="231F20"/>
          <w:spacing w:val="40"/>
          <w:sz w:val="20"/>
        </w:rPr>
        <w:t xml:space="preserve"> </w:t>
      </w:r>
      <w:r>
        <w:rPr>
          <w:color w:val="231F20"/>
          <w:sz w:val="20"/>
        </w:rPr>
        <w:t>&amp; Rowe, 2001: 52, 53)</w:t>
      </w:r>
    </w:p>
    <w:p w14:paraId="3A48CE5C" w14:textId="77777777" w:rsidR="00AE0598" w:rsidRDefault="00AE0598">
      <w:pPr>
        <w:pStyle w:val="Corpodetexto"/>
        <w:spacing w:before="9"/>
        <w:rPr>
          <w:sz w:val="20"/>
        </w:rPr>
      </w:pPr>
    </w:p>
    <w:p w14:paraId="162182A1" w14:textId="77777777" w:rsidR="00AE0598" w:rsidRDefault="0069255A">
      <w:pPr>
        <w:pStyle w:val="Corpodetexto"/>
        <w:spacing w:line="232" w:lineRule="auto"/>
        <w:ind w:left="110" w:right="128" w:firstLine="320"/>
        <w:jc w:val="both"/>
      </w:pPr>
      <w:r>
        <w:rPr>
          <w:color w:val="231F20"/>
        </w:rPr>
        <w:t>Place identity is influenced by many cultural attributes but sport certainly</w:t>
      </w:r>
      <w:r>
        <w:rPr>
          <w:color w:val="231F20"/>
          <w:spacing w:val="-9"/>
        </w:rPr>
        <w:t xml:space="preserve"> </w:t>
      </w:r>
      <w:r>
        <w:rPr>
          <w:color w:val="231F20"/>
        </w:rPr>
        <w:t>appears</w:t>
      </w:r>
      <w:r>
        <w:rPr>
          <w:color w:val="231F20"/>
          <w:spacing w:val="-9"/>
        </w:rPr>
        <w:t xml:space="preserve"> </w:t>
      </w:r>
      <w:r>
        <w:rPr>
          <w:color w:val="231F20"/>
        </w:rPr>
        <w:t>to</w:t>
      </w:r>
      <w:r>
        <w:rPr>
          <w:color w:val="231F20"/>
          <w:spacing w:val="-9"/>
        </w:rPr>
        <w:t xml:space="preserve"> </w:t>
      </w:r>
      <w:r>
        <w:rPr>
          <w:color w:val="231F20"/>
        </w:rPr>
        <w:t>be</w:t>
      </w:r>
      <w:r>
        <w:rPr>
          <w:color w:val="231F20"/>
          <w:spacing w:val="-9"/>
        </w:rPr>
        <w:t xml:space="preserve"> </w:t>
      </w:r>
      <w:r>
        <w:rPr>
          <w:color w:val="231F20"/>
        </w:rPr>
        <w:t>one</w:t>
      </w:r>
      <w:r>
        <w:rPr>
          <w:color w:val="231F20"/>
          <w:spacing w:val="-9"/>
        </w:rPr>
        <w:t xml:space="preserve"> </w:t>
      </w:r>
      <w:r>
        <w:rPr>
          <w:color w:val="231F20"/>
        </w:rPr>
        <w:t>of</w:t>
      </w:r>
      <w:r>
        <w:rPr>
          <w:color w:val="231F20"/>
          <w:spacing w:val="-9"/>
        </w:rPr>
        <w:t xml:space="preserve"> </w:t>
      </w:r>
      <w:r>
        <w:rPr>
          <w:color w:val="231F20"/>
        </w:rPr>
        <w:t>the</w:t>
      </w:r>
      <w:r>
        <w:rPr>
          <w:color w:val="231F20"/>
          <w:spacing w:val="-9"/>
        </w:rPr>
        <w:t xml:space="preserve"> </w:t>
      </w:r>
      <w:r>
        <w:rPr>
          <w:color w:val="231F20"/>
        </w:rPr>
        <w:t>most</w:t>
      </w:r>
      <w:r>
        <w:rPr>
          <w:color w:val="231F20"/>
          <w:spacing w:val="-9"/>
        </w:rPr>
        <w:t xml:space="preserve"> </w:t>
      </w:r>
      <w:r>
        <w:rPr>
          <w:color w:val="231F20"/>
        </w:rPr>
        <w:t>dominant</w:t>
      </w:r>
      <w:r>
        <w:rPr>
          <w:color w:val="231F20"/>
          <w:spacing w:val="-9"/>
        </w:rPr>
        <w:t xml:space="preserve"> </w:t>
      </w:r>
      <w:r>
        <w:rPr>
          <w:color w:val="231F20"/>
        </w:rPr>
        <w:t>(Porter</w:t>
      </w:r>
      <w:r>
        <w:rPr>
          <w:color w:val="231F20"/>
          <w:spacing w:val="-9"/>
        </w:rPr>
        <w:t xml:space="preserve"> </w:t>
      </w:r>
      <w:r>
        <w:rPr>
          <w:color w:val="231F20"/>
        </w:rPr>
        <w:t>&amp;</w:t>
      </w:r>
      <w:r>
        <w:rPr>
          <w:color w:val="231F20"/>
          <w:spacing w:val="-9"/>
        </w:rPr>
        <w:t xml:space="preserve"> </w:t>
      </w:r>
      <w:r>
        <w:rPr>
          <w:color w:val="231F20"/>
        </w:rPr>
        <w:t>Smith,</w:t>
      </w:r>
      <w:r>
        <w:rPr>
          <w:color w:val="231F20"/>
          <w:spacing w:val="-9"/>
        </w:rPr>
        <w:t xml:space="preserve"> </w:t>
      </w:r>
      <w:r>
        <w:rPr>
          <w:color w:val="231F20"/>
        </w:rPr>
        <w:t>2013). Nauright (1996) suggests that not only is sport a factor in the process of constructing place identity, but that it</w:t>
      </w:r>
    </w:p>
    <w:p w14:paraId="1E9D20D9" w14:textId="77777777" w:rsidR="00AE0598" w:rsidRDefault="00AE0598">
      <w:pPr>
        <w:pStyle w:val="Corpodetexto"/>
        <w:spacing w:before="2"/>
      </w:pPr>
    </w:p>
    <w:p w14:paraId="0D01EDD1" w14:textId="77777777" w:rsidR="00AE0598" w:rsidRDefault="0069255A">
      <w:pPr>
        <w:spacing w:line="244" w:lineRule="auto"/>
        <w:ind w:left="430" w:right="127"/>
        <w:jc w:val="both"/>
        <w:rPr>
          <w:sz w:val="20"/>
        </w:rPr>
      </w:pPr>
      <w:r>
        <w:rPr>
          <w:color w:val="231F20"/>
          <w:w w:val="95"/>
          <w:sz w:val="20"/>
        </w:rPr>
        <w:t>is one of the most significant shapers of collective or group identity in the contemporary world. In many cases, sporting events and</w:t>
      </w:r>
      <w:r>
        <w:rPr>
          <w:color w:val="231F20"/>
          <w:w w:val="95"/>
          <w:sz w:val="20"/>
        </w:rPr>
        <w:t xml:space="preserve"> people’s reaction </w:t>
      </w:r>
      <w:r>
        <w:rPr>
          <w:color w:val="231F20"/>
          <w:sz w:val="20"/>
        </w:rPr>
        <w:t>to them are the clearest public manifestations of culture and collective identities in a given society. (Nauright, 1996: 69)</w:t>
      </w:r>
    </w:p>
    <w:p w14:paraId="1E0D1B42" w14:textId="77777777" w:rsidR="00AE0598" w:rsidRDefault="00AE0598">
      <w:pPr>
        <w:pStyle w:val="Corpodetexto"/>
        <w:spacing w:before="5"/>
        <w:rPr>
          <w:sz w:val="20"/>
        </w:rPr>
      </w:pPr>
    </w:p>
    <w:p w14:paraId="77DB6C85" w14:textId="77777777" w:rsidR="00AE0598" w:rsidRDefault="0069255A">
      <w:pPr>
        <w:pStyle w:val="Corpodetexto"/>
        <w:spacing w:before="1" w:line="232" w:lineRule="auto"/>
        <w:ind w:left="110" w:right="127"/>
        <w:jc w:val="both"/>
      </w:pPr>
      <w:r>
        <w:rPr>
          <w:color w:val="231F20"/>
        </w:rPr>
        <w:t>It</w:t>
      </w:r>
      <w:r>
        <w:rPr>
          <w:color w:val="231F20"/>
          <w:spacing w:val="-2"/>
        </w:rPr>
        <w:t xml:space="preserve"> </w:t>
      </w:r>
      <w:r>
        <w:rPr>
          <w:color w:val="231F20"/>
        </w:rPr>
        <w:t>is</w:t>
      </w:r>
      <w:r>
        <w:rPr>
          <w:color w:val="231F20"/>
          <w:spacing w:val="-2"/>
        </w:rPr>
        <w:t xml:space="preserve"> </w:t>
      </w:r>
      <w:r>
        <w:rPr>
          <w:color w:val="231F20"/>
        </w:rPr>
        <w:t>not</w:t>
      </w:r>
      <w:r>
        <w:rPr>
          <w:color w:val="231F20"/>
          <w:spacing w:val="-2"/>
        </w:rPr>
        <w:t xml:space="preserve"> </w:t>
      </w:r>
      <w:r>
        <w:rPr>
          <w:color w:val="231F20"/>
        </w:rPr>
        <w:t>just</w:t>
      </w:r>
      <w:r>
        <w:rPr>
          <w:color w:val="231F20"/>
          <w:spacing w:val="-2"/>
        </w:rPr>
        <w:t xml:space="preserve"> </w:t>
      </w:r>
      <w:r>
        <w:rPr>
          <w:color w:val="231F20"/>
        </w:rPr>
        <w:t>high</w:t>
      </w:r>
      <w:r>
        <w:rPr>
          <w:color w:val="231F20"/>
          <w:spacing w:val="-2"/>
        </w:rPr>
        <w:t xml:space="preserve"> </w:t>
      </w:r>
      <w:r>
        <w:rPr>
          <w:color w:val="231F20"/>
        </w:rPr>
        <w:t>profile</w:t>
      </w:r>
      <w:r>
        <w:rPr>
          <w:color w:val="231F20"/>
          <w:spacing w:val="-2"/>
        </w:rPr>
        <w:t xml:space="preserve"> </w:t>
      </w:r>
      <w:r>
        <w:rPr>
          <w:color w:val="231F20"/>
        </w:rPr>
        <w:t>sporting</w:t>
      </w:r>
      <w:r>
        <w:rPr>
          <w:color w:val="231F20"/>
          <w:spacing w:val="-2"/>
        </w:rPr>
        <w:t xml:space="preserve"> </w:t>
      </w:r>
      <w:r>
        <w:rPr>
          <w:color w:val="231F20"/>
        </w:rPr>
        <w:t>competitions</w:t>
      </w:r>
      <w:r>
        <w:rPr>
          <w:color w:val="231F20"/>
          <w:spacing w:val="-2"/>
        </w:rPr>
        <w:t xml:space="preserve"> </w:t>
      </w:r>
      <w:r>
        <w:rPr>
          <w:color w:val="231F20"/>
        </w:rPr>
        <w:t>that</w:t>
      </w:r>
      <w:r>
        <w:rPr>
          <w:color w:val="231F20"/>
          <w:spacing w:val="-2"/>
        </w:rPr>
        <w:t xml:space="preserve"> </w:t>
      </w:r>
      <w:r>
        <w:rPr>
          <w:color w:val="231F20"/>
        </w:rPr>
        <w:t>influence</w:t>
      </w:r>
      <w:r>
        <w:rPr>
          <w:color w:val="231F20"/>
          <w:spacing w:val="-2"/>
        </w:rPr>
        <w:t xml:space="preserve"> </w:t>
      </w:r>
      <w:r>
        <w:rPr>
          <w:color w:val="231F20"/>
        </w:rPr>
        <w:t>and</w:t>
      </w:r>
      <w:r>
        <w:rPr>
          <w:color w:val="231F20"/>
          <w:spacing w:val="-2"/>
        </w:rPr>
        <w:t xml:space="preserve"> </w:t>
      </w:r>
      <w:r>
        <w:rPr>
          <w:color w:val="231F20"/>
        </w:rPr>
        <w:t>reflect place</w:t>
      </w:r>
      <w:r>
        <w:rPr>
          <w:color w:val="231F20"/>
          <w:spacing w:val="32"/>
        </w:rPr>
        <w:t xml:space="preserve"> </w:t>
      </w:r>
      <w:r>
        <w:rPr>
          <w:color w:val="231F20"/>
        </w:rPr>
        <w:t>identity.</w:t>
      </w:r>
      <w:r>
        <w:rPr>
          <w:color w:val="231F20"/>
          <w:spacing w:val="32"/>
        </w:rPr>
        <w:t xml:space="preserve"> </w:t>
      </w:r>
      <w:r>
        <w:rPr>
          <w:color w:val="231F20"/>
        </w:rPr>
        <w:t>Sports</w:t>
      </w:r>
      <w:r>
        <w:rPr>
          <w:color w:val="231F20"/>
          <w:spacing w:val="32"/>
        </w:rPr>
        <w:t xml:space="preserve"> </w:t>
      </w:r>
      <w:r>
        <w:rPr>
          <w:color w:val="231F20"/>
        </w:rPr>
        <w:t>and</w:t>
      </w:r>
      <w:r>
        <w:rPr>
          <w:color w:val="231F20"/>
          <w:spacing w:val="33"/>
        </w:rPr>
        <w:t xml:space="preserve"> </w:t>
      </w:r>
      <w:r>
        <w:rPr>
          <w:color w:val="231F20"/>
        </w:rPr>
        <w:t>leisure</w:t>
      </w:r>
      <w:r>
        <w:rPr>
          <w:color w:val="231F20"/>
          <w:spacing w:val="32"/>
        </w:rPr>
        <w:t xml:space="preserve"> </w:t>
      </w:r>
      <w:r>
        <w:rPr>
          <w:color w:val="231F20"/>
        </w:rPr>
        <w:t>pursuits</w:t>
      </w:r>
      <w:r>
        <w:rPr>
          <w:color w:val="231F20"/>
          <w:spacing w:val="32"/>
        </w:rPr>
        <w:t xml:space="preserve"> </w:t>
      </w:r>
      <w:r>
        <w:rPr>
          <w:color w:val="231F20"/>
        </w:rPr>
        <w:t>that</w:t>
      </w:r>
      <w:r>
        <w:rPr>
          <w:color w:val="231F20"/>
          <w:spacing w:val="33"/>
        </w:rPr>
        <w:t xml:space="preserve"> </w:t>
      </w:r>
      <w:r>
        <w:rPr>
          <w:color w:val="231F20"/>
        </w:rPr>
        <w:t>occur</w:t>
      </w:r>
      <w:r>
        <w:rPr>
          <w:color w:val="231F20"/>
          <w:spacing w:val="32"/>
        </w:rPr>
        <w:t xml:space="preserve"> </w:t>
      </w:r>
      <w:r>
        <w:rPr>
          <w:color w:val="231F20"/>
        </w:rPr>
        <w:t>on</w:t>
      </w:r>
      <w:r>
        <w:rPr>
          <w:color w:val="231F20"/>
          <w:spacing w:val="32"/>
        </w:rPr>
        <w:t xml:space="preserve"> </w:t>
      </w:r>
      <w:r>
        <w:rPr>
          <w:color w:val="231F20"/>
        </w:rPr>
        <w:t>a</w:t>
      </w:r>
      <w:r>
        <w:rPr>
          <w:color w:val="231F20"/>
          <w:spacing w:val="33"/>
        </w:rPr>
        <w:t xml:space="preserve"> </w:t>
      </w:r>
      <w:r>
        <w:rPr>
          <w:color w:val="231F20"/>
        </w:rPr>
        <w:t>daily</w:t>
      </w:r>
      <w:r>
        <w:rPr>
          <w:color w:val="231F20"/>
          <w:spacing w:val="32"/>
        </w:rPr>
        <w:t xml:space="preserve"> </w:t>
      </w:r>
      <w:r>
        <w:rPr>
          <w:color w:val="231F20"/>
          <w:spacing w:val="-2"/>
        </w:rPr>
        <w:t>basis</w:t>
      </w:r>
    </w:p>
    <w:p w14:paraId="37DF1757" w14:textId="77777777" w:rsidR="00AE0598" w:rsidRDefault="00AE0598">
      <w:pPr>
        <w:spacing w:line="232" w:lineRule="auto"/>
        <w:jc w:val="both"/>
        <w:sectPr w:rsidR="00AE0598">
          <w:pgSz w:w="8850" w:h="13270"/>
          <w:pgMar w:top="720" w:right="1060" w:bottom="280" w:left="1080" w:header="720" w:footer="720" w:gutter="0"/>
          <w:cols w:space="720"/>
        </w:sectPr>
      </w:pPr>
    </w:p>
    <w:p w14:paraId="048F232D" w14:textId="77777777" w:rsidR="00AE0598" w:rsidRDefault="0069255A">
      <w:pPr>
        <w:spacing w:before="87"/>
        <w:ind w:left="108"/>
        <w:rPr>
          <w:rFonts w:ascii="Trebuchet MS"/>
          <w:sz w:val="14"/>
        </w:rPr>
      </w:pPr>
      <w:r>
        <w:rPr>
          <w:rFonts w:ascii="Trebuchet MS"/>
          <w:color w:val="231F20"/>
          <w:w w:val="105"/>
          <w:sz w:val="14"/>
        </w:rPr>
        <w:lastRenderedPageBreak/>
        <w:t>122</w:t>
      </w:r>
      <w:r>
        <w:rPr>
          <w:rFonts w:ascii="Trebuchet MS"/>
          <w:color w:val="231F20"/>
          <w:spacing w:val="66"/>
          <w:w w:val="150"/>
          <w:sz w:val="14"/>
        </w:rPr>
        <w:t xml:space="preserve"> </w:t>
      </w:r>
      <w:r>
        <w:rPr>
          <w:rFonts w:ascii="Trebuchet MS"/>
          <w:color w:val="231F20"/>
          <w:w w:val="105"/>
          <w:sz w:val="14"/>
        </w:rPr>
        <w:t>Part</w:t>
      </w:r>
      <w:r>
        <w:rPr>
          <w:rFonts w:ascii="Trebuchet MS"/>
          <w:color w:val="231F20"/>
          <w:spacing w:val="-9"/>
          <w:w w:val="105"/>
          <w:sz w:val="14"/>
        </w:rPr>
        <w:t xml:space="preserve"> </w:t>
      </w:r>
      <w:r>
        <w:rPr>
          <w:rFonts w:ascii="Trebuchet MS"/>
          <w:color w:val="231F20"/>
          <w:w w:val="105"/>
          <w:sz w:val="14"/>
        </w:rPr>
        <w:t>3:</w:t>
      </w:r>
      <w:r>
        <w:rPr>
          <w:rFonts w:ascii="Trebuchet MS"/>
          <w:color w:val="231F20"/>
          <w:spacing w:val="-8"/>
          <w:w w:val="105"/>
          <w:sz w:val="14"/>
        </w:rPr>
        <w:t xml:space="preserve"> </w:t>
      </w:r>
      <w:r>
        <w:rPr>
          <w:rFonts w:ascii="Trebuchet MS"/>
          <w:color w:val="231F20"/>
          <w:w w:val="105"/>
          <w:sz w:val="14"/>
        </w:rPr>
        <w:t>Sport</w:t>
      </w:r>
      <w:r>
        <w:rPr>
          <w:rFonts w:ascii="Trebuchet MS"/>
          <w:color w:val="231F20"/>
          <w:spacing w:val="-9"/>
          <w:w w:val="105"/>
          <w:sz w:val="14"/>
        </w:rPr>
        <w:t xml:space="preserve"> </w:t>
      </w:r>
      <w:r>
        <w:rPr>
          <w:rFonts w:ascii="Trebuchet MS"/>
          <w:color w:val="231F20"/>
          <w:w w:val="105"/>
          <w:sz w:val="14"/>
        </w:rPr>
        <w:t>Tourism</w:t>
      </w:r>
      <w:r>
        <w:rPr>
          <w:rFonts w:ascii="Trebuchet MS"/>
          <w:color w:val="231F20"/>
          <w:spacing w:val="-9"/>
          <w:w w:val="105"/>
          <w:sz w:val="14"/>
        </w:rPr>
        <w:t xml:space="preserve"> </w:t>
      </w:r>
      <w:r>
        <w:rPr>
          <w:rFonts w:ascii="Trebuchet MS"/>
          <w:color w:val="231F20"/>
          <w:w w:val="105"/>
          <w:sz w:val="14"/>
        </w:rPr>
        <w:t>Development</w:t>
      </w:r>
      <w:r>
        <w:rPr>
          <w:rFonts w:ascii="Trebuchet MS"/>
          <w:color w:val="231F20"/>
          <w:spacing w:val="-9"/>
          <w:w w:val="105"/>
          <w:sz w:val="14"/>
        </w:rPr>
        <w:t xml:space="preserve"> </w:t>
      </w:r>
      <w:r>
        <w:rPr>
          <w:rFonts w:ascii="Trebuchet MS"/>
          <w:color w:val="231F20"/>
          <w:w w:val="105"/>
          <w:sz w:val="14"/>
        </w:rPr>
        <w:t>and</w:t>
      </w:r>
      <w:r>
        <w:rPr>
          <w:rFonts w:ascii="Trebuchet MS"/>
          <w:color w:val="231F20"/>
          <w:spacing w:val="-8"/>
          <w:w w:val="105"/>
          <w:sz w:val="14"/>
        </w:rPr>
        <w:t xml:space="preserve"> </w:t>
      </w:r>
      <w:r>
        <w:rPr>
          <w:rFonts w:ascii="Trebuchet MS"/>
          <w:color w:val="231F20"/>
          <w:spacing w:val="-2"/>
          <w:w w:val="105"/>
          <w:sz w:val="14"/>
        </w:rPr>
        <w:t>Space</w:t>
      </w:r>
    </w:p>
    <w:p w14:paraId="02451C2A" w14:textId="77777777" w:rsidR="00AE0598" w:rsidRDefault="00AE0598">
      <w:pPr>
        <w:pStyle w:val="Corpodetexto"/>
        <w:rPr>
          <w:rFonts w:ascii="Trebuchet MS"/>
          <w:sz w:val="16"/>
        </w:rPr>
      </w:pPr>
    </w:p>
    <w:p w14:paraId="30562E2E" w14:textId="77777777" w:rsidR="00AE0598" w:rsidRDefault="0069255A">
      <w:pPr>
        <w:pStyle w:val="Corpodetexto"/>
        <w:spacing w:before="118" w:line="232" w:lineRule="auto"/>
        <w:ind w:left="110" w:right="127"/>
        <w:jc w:val="both"/>
      </w:pPr>
      <w:r>
        <w:rPr>
          <w:color w:val="231F20"/>
        </w:rPr>
        <w:t xml:space="preserve">in local communities are also important (Williams &amp; Champ, 2015). Typically, insights into cross-cultural differences related to sport are gained incidentally as a by-product of travelling to another culture as a </w:t>
      </w:r>
      <w:r>
        <w:rPr>
          <w:color w:val="231F20"/>
          <w:w w:val="95"/>
        </w:rPr>
        <w:t>sport participant or spectator, or by being</w:t>
      </w:r>
      <w:r>
        <w:rPr>
          <w:color w:val="231F20"/>
          <w:w w:val="95"/>
        </w:rPr>
        <w:t xml:space="preserve"> exposed to cultural differences through the media. Increasingly, however, sport is consciously being used</w:t>
      </w:r>
      <w:r>
        <w:rPr>
          <w:color w:val="231F20"/>
          <w:spacing w:val="40"/>
        </w:rPr>
        <w:t xml:space="preserve"> </w:t>
      </w:r>
      <w:r>
        <w:rPr>
          <w:color w:val="231F20"/>
        </w:rPr>
        <w:t xml:space="preserve">as a lens to develop an understanding of cultural differences. This is </w:t>
      </w:r>
      <w:r>
        <w:rPr>
          <w:color w:val="231F20"/>
          <w:w w:val="95"/>
        </w:rPr>
        <w:t>exemplified by sport-based study-abroad trips by US universities (Fairley</w:t>
      </w:r>
      <w:r>
        <w:rPr>
          <w:color w:val="231F20"/>
          <w:spacing w:val="80"/>
          <w:w w:val="150"/>
        </w:rPr>
        <w:t xml:space="preserve"> </w:t>
      </w:r>
      <w:r>
        <w:rPr>
          <w:color w:val="231F20"/>
        </w:rPr>
        <w:t>&amp; Ty</w:t>
      </w:r>
      <w:r>
        <w:rPr>
          <w:color w:val="231F20"/>
        </w:rPr>
        <w:t>ler, 2009).</w:t>
      </w:r>
    </w:p>
    <w:p w14:paraId="75367A05" w14:textId="77777777" w:rsidR="00AE0598" w:rsidRDefault="0069255A">
      <w:pPr>
        <w:pStyle w:val="Corpodetexto"/>
        <w:spacing w:before="10" w:line="232" w:lineRule="auto"/>
        <w:ind w:left="110" w:right="122" w:firstLine="320"/>
        <w:jc w:val="both"/>
      </w:pPr>
      <w:r>
        <w:rPr>
          <w:color w:val="231F20"/>
        </w:rPr>
        <w:t>Place identity through sport is constructed in at least four ways that have particular relevance to tourism. These include: (1) the association of particular sports to specific regions, (2) the unifying forces of competitive hierarchies found w</w:t>
      </w:r>
      <w:r>
        <w:rPr>
          <w:color w:val="231F20"/>
        </w:rPr>
        <w:t>ithin sport, (3) the identification with sporting success and (4) the personification of place through sporting heroes and heroines.</w:t>
      </w:r>
    </w:p>
    <w:p w14:paraId="45F40475" w14:textId="77777777" w:rsidR="00AE0598" w:rsidRDefault="0069255A">
      <w:pPr>
        <w:pStyle w:val="Corpodetexto"/>
        <w:spacing w:before="7" w:line="232" w:lineRule="auto"/>
        <w:ind w:left="110" w:right="127" w:firstLine="320"/>
        <w:jc w:val="both"/>
      </w:pPr>
      <w:r>
        <w:rPr>
          <w:color w:val="231F20"/>
          <w:w w:val="95"/>
        </w:rPr>
        <w:t xml:space="preserve">Specific sports are commonly associated with particular nations. This </w:t>
      </w:r>
      <w:r>
        <w:rPr>
          <w:color w:val="231F20"/>
        </w:rPr>
        <w:t xml:space="preserve">connection may be based on a variety of factors, but </w:t>
      </w:r>
      <w:r>
        <w:rPr>
          <w:color w:val="231F20"/>
        </w:rPr>
        <w:t xml:space="preserve">one of the most </w:t>
      </w:r>
      <w:r>
        <w:rPr>
          <w:color w:val="231F20"/>
          <w:w w:val="95"/>
        </w:rPr>
        <w:t xml:space="preserve">powerful is the role that a given sport has played in a nation’s heritage. An </w:t>
      </w:r>
      <w:r>
        <w:rPr>
          <w:color w:val="231F20"/>
        </w:rPr>
        <w:t>example</w:t>
      </w:r>
      <w:r>
        <w:rPr>
          <w:color w:val="231F20"/>
          <w:spacing w:val="-7"/>
        </w:rPr>
        <w:t xml:space="preserve"> </w:t>
      </w:r>
      <w:r>
        <w:rPr>
          <w:color w:val="231F20"/>
        </w:rPr>
        <w:t>of</w:t>
      </w:r>
      <w:r>
        <w:rPr>
          <w:color w:val="231F20"/>
          <w:spacing w:val="-7"/>
        </w:rPr>
        <w:t xml:space="preserve"> </w:t>
      </w:r>
      <w:r>
        <w:rPr>
          <w:color w:val="231F20"/>
        </w:rPr>
        <w:t>this</w:t>
      </w:r>
      <w:r>
        <w:rPr>
          <w:color w:val="231F20"/>
          <w:spacing w:val="-7"/>
        </w:rPr>
        <w:t xml:space="preserve"> </w:t>
      </w:r>
      <w:r>
        <w:rPr>
          <w:color w:val="231F20"/>
        </w:rPr>
        <w:t>type</w:t>
      </w:r>
      <w:r>
        <w:rPr>
          <w:color w:val="231F20"/>
          <w:spacing w:val="-7"/>
        </w:rPr>
        <w:t xml:space="preserve"> </w:t>
      </w:r>
      <w:r>
        <w:rPr>
          <w:color w:val="231F20"/>
        </w:rPr>
        <w:t>of</w:t>
      </w:r>
      <w:r>
        <w:rPr>
          <w:color w:val="231F20"/>
          <w:spacing w:val="-7"/>
        </w:rPr>
        <w:t xml:space="preserve"> </w:t>
      </w:r>
      <w:r>
        <w:rPr>
          <w:color w:val="231F20"/>
        </w:rPr>
        <w:t>association</w:t>
      </w:r>
      <w:r>
        <w:rPr>
          <w:color w:val="231F20"/>
          <w:spacing w:val="-7"/>
        </w:rPr>
        <w:t xml:space="preserve"> </w:t>
      </w:r>
      <w:r>
        <w:rPr>
          <w:color w:val="231F20"/>
        </w:rPr>
        <w:t>is</w:t>
      </w:r>
      <w:r>
        <w:rPr>
          <w:color w:val="231F20"/>
          <w:spacing w:val="-7"/>
        </w:rPr>
        <w:t xml:space="preserve"> </w:t>
      </w:r>
      <w:r>
        <w:rPr>
          <w:color w:val="231F20"/>
        </w:rPr>
        <w:t>that</w:t>
      </w:r>
      <w:r>
        <w:rPr>
          <w:color w:val="231F20"/>
          <w:spacing w:val="-7"/>
        </w:rPr>
        <w:t xml:space="preserve"> </w:t>
      </w:r>
      <w:r>
        <w:rPr>
          <w:color w:val="231F20"/>
        </w:rPr>
        <w:t>of</w:t>
      </w:r>
      <w:r>
        <w:rPr>
          <w:color w:val="231F20"/>
          <w:spacing w:val="-7"/>
        </w:rPr>
        <w:t xml:space="preserve"> </w:t>
      </w:r>
      <w:r>
        <w:rPr>
          <w:color w:val="231F20"/>
        </w:rPr>
        <w:t>rugby</w:t>
      </w:r>
      <w:r>
        <w:rPr>
          <w:color w:val="231F20"/>
          <w:spacing w:val="-7"/>
        </w:rPr>
        <w:t xml:space="preserve"> </w:t>
      </w:r>
      <w:r>
        <w:rPr>
          <w:color w:val="231F20"/>
        </w:rPr>
        <w:t>union</w:t>
      </w:r>
      <w:r>
        <w:rPr>
          <w:color w:val="231F20"/>
          <w:spacing w:val="-7"/>
        </w:rPr>
        <w:t xml:space="preserve"> </w:t>
      </w:r>
      <w:r>
        <w:rPr>
          <w:color w:val="231F20"/>
        </w:rPr>
        <w:t>in</w:t>
      </w:r>
      <w:r>
        <w:rPr>
          <w:color w:val="231F20"/>
          <w:spacing w:val="-7"/>
        </w:rPr>
        <w:t xml:space="preserve"> </w:t>
      </w:r>
      <w:r>
        <w:rPr>
          <w:color w:val="231F20"/>
        </w:rPr>
        <w:t>New</w:t>
      </w:r>
      <w:r>
        <w:rPr>
          <w:color w:val="231F20"/>
          <w:spacing w:val="-7"/>
        </w:rPr>
        <w:t xml:space="preserve"> </w:t>
      </w:r>
      <w:r>
        <w:rPr>
          <w:color w:val="231F20"/>
        </w:rPr>
        <w:t xml:space="preserve">Zealand. </w:t>
      </w:r>
      <w:r>
        <w:rPr>
          <w:color w:val="231F20"/>
          <w:w w:val="95"/>
        </w:rPr>
        <w:t xml:space="preserve">Falcous and Newman (2016) point out that such sporting identities can be </w:t>
      </w:r>
      <w:r>
        <w:rPr>
          <w:color w:val="231F20"/>
        </w:rPr>
        <w:t>based as much on myth as on reality.</w:t>
      </w:r>
    </w:p>
    <w:p w14:paraId="3D5BD30C" w14:textId="77777777" w:rsidR="00AE0598" w:rsidRDefault="0069255A">
      <w:pPr>
        <w:pStyle w:val="Corpodetexto"/>
        <w:spacing w:before="7" w:line="232" w:lineRule="auto"/>
        <w:ind w:left="110" w:right="127" w:firstLine="720"/>
        <w:jc w:val="both"/>
      </w:pPr>
      <w:r>
        <w:rPr>
          <w:color w:val="231F20"/>
        </w:rPr>
        <w:t>The</w:t>
      </w:r>
      <w:r>
        <w:rPr>
          <w:color w:val="231F20"/>
          <w:spacing w:val="40"/>
        </w:rPr>
        <w:t xml:space="preserve"> </w:t>
      </w:r>
      <w:r>
        <w:rPr>
          <w:color w:val="231F20"/>
        </w:rPr>
        <w:t>competitive</w:t>
      </w:r>
      <w:r>
        <w:rPr>
          <w:color w:val="231F20"/>
          <w:spacing w:val="40"/>
        </w:rPr>
        <w:t xml:space="preserve"> </w:t>
      </w:r>
      <w:r>
        <w:rPr>
          <w:color w:val="231F20"/>
        </w:rPr>
        <w:t>hierarchy</w:t>
      </w:r>
      <w:r>
        <w:rPr>
          <w:color w:val="231F20"/>
          <w:spacing w:val="40"/>
        </w:rPr>
        <w:t xml:space="preserve"> </w:t>
      </w:r>
      <w:r>
        <w:rPr>
          <w:color w:val="231F20"/>
        </w:rPr>
        <w:t>that</w:t>
      </w:r>
      <w:r>
        <w:rPr>
          <w:color w:val="231F20"/>
          <w:spacing w:val="40"/>
        </w:rPr>
        <w:t xml:space="preserve"> </w:t>
      </w:r>
      <w:r>
        <w:rPr>
          <w:color w:val="231F20"/>
        </w:rPr>
        <w:t>exists</w:t>
      </w:r>
      <w:r>
        <w:rPr>
          <w:color w:val="231F20"/>
          <w:spacing w:val="40"/>
        </w:rPr>
        <w:t xml:space="preserve"> </w:t>
      </w:r>
      <w:r>
        <w:rPr>
          <w:color w:val="231F20"/>
        </w:rPr>
        <w:t>in</w:t>
      </w:r>
      <w:r>
        <w:rPr>
          <w:color w:val="231F20"/>
          <w:spacing w:val="40"/>
        </w:rPr>
        <w:t xml:space="preserve"> </w:t>
      </w:r>
      <w:r>
        <w:rPr>
          <w:color w:val="231F20"/>
        </w:rPr>
        <w:t>many</w:t>
      </w:r>
      <w:r>
        <w:rPr>
          <w:color w:val="231F20"/>
          <w:spacing w:val="40"/>
        </w:rPr>
        <w:t xml:space="preserve"> </w:t>
      </w:r>
      <w:r>
        <w:rPr>
          <w:color w:val="231F20"/>
        </w:rPr>
        <w:t>sports</w:t>
      </w:r>
      <w:r>
        <w:rPr>
          <w:color w:val="231F20"/>
          <w:spacing w:val="40"/>
        </w:rPr>
        <w:t xml:space="preserve"> </w:t>
      </w:r>
      <w:r>
        <w:rPr>
          <w:color w:val="231F20"/>
        </w:rPr>
        <w:t>is</w:t>
      </w:r>
      <w:r>
        <w:rPr>
          <w:color w:val="231F20"/>
          <w:spacing w:val="40"/>
        </w:rPr>
        <w:t xml:space="preserve"> </w:t>
      </w:r>
      <w:r>
        <w:rPr>
          <w:color w:val="231F20"/>
        </w:rPr>
        <w:t>also an important factor in the promotion of place identity (McGuirk &amp;</w:t>
      </w:r>
      <w:r>
        <w:rPr>
          <w:color w:val="231F20"/>
          <w:spacing w:val="40"/>
        </w:rPr>
        <w:t xml:space="preserve"> </w:t>
      </w:r>
      <w:r>
        <w:rPr>
          <w:color w:val="231F20"/>
        </w:rPr>
        <w:t xml:space="preserve">Rowe, 2001). The principle reflected in the Bedouin saying ‘I against my brother, I and my brother against my cousin, I and my brother and my </w:t>
      </w:r>
      <w:r>
        <w:rPr>
          <w:color w:val="231F20"/>
          <w:w w:val="95"/>
        </w:rPr>
        <w:t>cousin against the world’, reflects the agg</w:t>
      </w:r>
      <w:r>
        <w:rPr>
          <w:color w:val="231F20"/>
          <w:w w:val="95"/>
        </w:rPr>
        <w:t>regation of territorial interest that occurs within a competitive hierarchy (Fougere, 1989: 116). Place identity</w:t>
      </w:r>
      <w:r>
        <w:rPr>
          <w:color w:val="231F20"/>
          <w:spacing w:val="40"/>
        </w:rPr>
        <w:t xml:space="preserve"> </w:t>
      </w:r>
      <w:r>
        <w:rPr>
          <w:color w:val="231F20"/>
        </w:rPr>
        <w:t>is fostered through a growing territorial scale as successively higher levels of the competitive hierarchy are reached. In this process, many o</w:t>
      </w:r>
      <w:r>
        <w:rPr>
          <w:color w:val="231F20"/>
        </w:rPr>
        <w:t xml:space="preserve">f </w:t>
      </w:r>
      <w:r>
        <w:rPr>
          <w:color w:val="231F20"/>
          <w:w w:val="95"/>
        </w:rPr>
        <w:t xml:space="preserve">the real differences and disparities that are found within these places are </w:t>
      </w:r>
      <w:r>
        <w:rPr>
          <w:color w:val="231F20"/>
        </w:rPr>
        <w:t>overshadowed or subsumed.</w:t>
      </w:r>
    </w:p>
    <w:p w14:paraId="06BC4556" w14:textId="77777777" w:rsidR="00AE0598" w:rsidRDefault="0069255A">
      <w:pPr>
        <w:pStyle w:val="Corpodetexto"/>
        <w:spacing w:before="12" w:line="232" w:lineRule="auto"/>
        <w:ind w:left="110" w:right="127" w:firstLine="320"/>
        <w:jc w:val="both"/>
      </w:pPr>
      <w:r>
        <w:rPr>
          <w:color w:val="231F20"/>
        </w:rPr>
        <w:t>The</w:t>
      </w:r>
      <w:r>
        <w:rPr>
          <w:color w:val="231F20"/>
          <w:spacing w:val="-8"/>
        </w:rPr>
        <w:t xml:space="preserve"> </w:t>
      </w:r>
      <w:r>
        <w:rPr>
          <w:color w:val="231F20"/>
        </w:rPr>
        <w:t>relative</w:t>
      </w:r>
      <w:r>
        <w:rPr>
          <w:color w:val="231F20"/>
          <w:spacing w:val="-8"/>
        </w:rPr>
        <w:t xml:space="preserve"> </w:t>
      </w:r>
      <w:r>
        <w:rPr>
          <w:color w:val="231F20"/>
        </w:rPr>
        <w:t>success</w:t>
      </w:r>
      <w:r>
        <w:rPr>
          <w:color w:val="231F20"/>
          <w:spacing w:val="-8"/>
        </w:rPr>
        <w:t xml:space="preserve"> </w:t>
      </w:r>
      <w:r>
        <w:rPr>
          <w:color w:val="231F20"/>
        </w:rPr>
        <w:t>of</w:t>
      </w:r>
      <w:r>
        <w:rPr>
          <w:color w:val="231F20"/>
          <w:spacing w:val="-8"/>
        </w:rPr>
        <w:t xml:space="preserve"> </w:t>
      </w:r>
      <w:r>
        <w:rPr>
          <w:color w:val="231F20"/>
        </w:rPr>
        <w:t>a</w:t>
      </w:r>
      <w:r>
        <w:rPr>
          <w:color w:val="231F20"/>
          <w:spacing w:val="-8"/>
        </w:rPr>
        <w:t xml:space="preserve"> </w:t>
      </w:r>
      <w:r>
        <w:rPr>
          <w:color w:val="231F20"/>
        </w:rPr>
        <w:t>region</w:t>
      </w:r>
      <w:r>
        <w:rPr>
          <w:color w:val="231F20"/>
          <w:spacing w:val="-8"/>
        </w:rPr>
        <w:t xml:space="preserve"> </w:t>
      </w:r>
      <w:r>
        <w:rPr>
          <w:color w:val="231F20"/>
        </w:rPr>
        <w:t>in</w:t>
      </w:r>
      <w:r>
        <w:rPr>
          <w:color w:val="231F20"/>
          <w:spacing w:val="-8"/>
        </w:rPr>
        <w:t xml:space="preserve"> </w:t>
      </w:r>
      <w:r>
        <w:rPr>
          <w:color w:val="231F20"/>
        </w:rPr>
        <w:t>terms</w:t>
      </w:r>
      <w:r>
        <w:rPr>
          <w:color w:val="231F20"/>
          <w:spacing w:val="-8"/>
        </w:rPr>
        <w:t xml:space="preserve"> </w:t>
      </w:r>
      <w:r>
        <w:rPr>
          <w:color w:val="231F20"/>
        </w:rPr>
        <w:t>of</w:t>
      </w:r>
      <w:r>
        <w:rPr>
          <w:color w:val="231F20"/>
          <w:spacing w:val="-8"/>
        </w:rPr>
        <w:t xml:space="preserve"> </w:t>
      </w:r>
      <w:r>
        <w:rPr>
          <w:color w:val="231F20"/>
        </w:rPr>
        <w:t>its</w:t>
      </w:r>
      <w:r>
        <w:rPr>
          <w:color w:val="231F20"/>
          <w:spacing w:val="-8"/>
        </w:rPr>
        <w:t xml:space="preserve"> </w:t>
      </w:r>
      <w:r>
        <w:rPr>
          <w:color w:val="231F20"/>
        </w:rPr>
        <w:t>sport</w:t>
      </w:r>
      <w:r>
        <w:rPr>
          <w:color w:val="231F20"/>
          <w:spacing w:val="-8"/>
        </w:rPr>
        <w:t xml:space="preserve"> </w:t>
      </w:r>
      <w:r>
        <w:rPr>
          <w:color w:val="231F20"/>
        </w:rPr>
        <w:t>performance</w:t>
      </w:r>
      <w:r>
        <w:rPr>
          <w:color w:val="231F20"/>
          <w:spacing w:val="-8"/>
        </w:rPr>
        <w:t xml:space="preserve"> </w:t>
      </w:r>
      <w:r>
        <w:rPr>
          <w:color w:val="231F20"/>
        </w:rPr>
        <w:t>also influences the connection between sport and place identity. In addition to</w:t>
      </w:r>
      <w:r>
        <w:rPr>
          <w:color w:val="231F20"/>
          <w:spacing w:val="-6"/>
        </w:rPr>
        <w:t xml:space="preserve"> </w:t>
      </w:r>
      <w:r>
        <w:rPr>
          <w:color w:val="231F20"/>
        </w:rPr>
        <w:t>being</w:t>
      </w:r>
      <w:r>
        <w:rPr>
          <w:color w:val="231F20"/>
          <w:spacing w:val="-6"/>
        </w:rPr>
        <w:t xml:space="preserve"> </w:t>
      </w:r>
      <w:r>
        <w:rPr>
          <w:color w:val="231F20"/>
        </w:rPr>
        <w:t>in</w:t>
      </w:r>
      <w:r>
        <w:rPr>
          <w:color w:val="231F20"/>
          <w:spacing w:val="-6"/>
        </w:rPr>
        <w:t xml:space="preserve"> </w:t>
      </w:r>
      <w:r>
        <w:rPr>
          <w:color w:val="231F20"/>
        </w:rPr>
        <w:t>the</w:t>
      </w:r>
      <w:r>
        <w:rPr>
          <w:color w:val="231F20"/>
          <w:spacing w:val="-6"/>
        </w:rPr>
        <w:t xml:space="preserve"> </w:t>
      </w:r>
      <w:r>
        <w:rPr>
          <w:color w:val="231F20"/>
        </w:rPr>
        <w:t>‘news’</w:t>
      </w:r>
      <w:r>
        <w:rPr>
          <w:color w:val="231F20"/>
          <w:spacing w:val="-6"/>
        </w:rPr>
        <w:t xml:space="preserve"> </w:t>
      </w:r>
      <w:r>
        <w:rPr>
          <w:color w:val="231F20"/>
        </w:rPr>
        <w:t>more</w:t>
      </w:r>
      <w:r>
        <w:rPr>
          <w:color w:val="231F20"/>
          <w:spacing w:val="-6"/>
        </w:rPr>
        <w:t xml:space="preserve"> </w:t>
      </w:r>
      <w:r>
        <w:rPr>
          <w:color w:val="231F20"/>
        </w:rPr>
        <w:t>frequently,</w:t>
      </w:r>
      <w:r>
        <w:rPr>
          <w:color w:val="231F20"/>
          <w:spacing w:val="-6"/>
        </w:rPr>
        <w:t xml:space="preserve"> </w:t>
      </w:r>
      <w:r>
        <w:rPr>
          <w:color w:val="231F20"/>
        </w:rPr>
        <w:t>places</w:t>
      </w:r>
      <w:r>
        <w:rPr>
          <w:color w:val="231F20"/>
          <w:spacing w:val="-6"/>
        </w:rPr>
        <w:t xml:space="preserve"> </w:t>
      </w:r>
      <w:r>
        <w:rPr>
          <w:color w:val="231F20"/>
        </w:rPr>
        <w:t>with</w:t>
      </w:r>
      <w:r>
        <w:rPr>
          <w:color w:val="231F20"/>
          <w:spacing w:val="-6"/>
        </w:rPr>
        <w:t xml:space="preserve"> </w:t>
      </w:r>
      <w:r>
        <w:rPr>
          <w:color w:val="231F20"/>
        </w:rPr>
        <w:t>teams</w:t>
      </w:r>
      <w:r>
        <w:rPr>
          <w:color w:val="231F20"/>
          <w:spacing w:val="-6"/>
        </w:rPr>
        <w:t xml:space="preserve"> </w:t>
      </w:r>
      <w:r>
        <w:rPr>
          <w:color w:val="231F20"/>
        </w:rPr>
        <w:t>or</w:t>
      </w:r>
      <w:r>
        <w:rPr>
          <w:color w:val="231F20"/>
          <w:spacing w:val="-6"/>
        </w:rPr>
        <w:t xml:space="preserve"> </w:t>
      </w:r>
      <w:r>
        <w:rPr>
          <w:color w:val="231F20"/>
        </w:rPr>
        <w:t>athletes</w:t>
      </w:r>
      <w:r>
        <w:rPr>
          <w:color w:val="231F20"/>
          <w:spacing w:val="-6"/>
        </w:rPr>
        <w:t xml:space="preserve"> </w:t>
      </w:r>
      <w:r>
        <w:rPr>
          <w:color w:val="231F20"/>
        </w:rPr>
        <w:t xml:space="preserve">that </w:t>
      </w:r>
      <w:r>
        <w:rPr>
          <w:color w:val="231F20"/>
          <w:w w:val="95"/>
        </w:rPr>
        <w:t xml:space="preserve">consistently win major championships tend to be characterised as winners </w:t>
      </w:r>
      <w:r>
        <w:rPr>
          <w:color w:val="231F20"/>
        </w:rPr>
        <w:t xml:space="preserve">in their own right. Such success can provide a sense of common identity </w:t>
      </w:r>
      <w:r>
        <w:rPr>
          <w:color w:val="231F20"/>
          <w:w w:val="95"/>
        </w:rPr>
        <w:t xml:space="preserve">even when numerous other social and economic divisions may exist within </w:t>
      </w:r>
      <w:r>
        <w:rPr>
          <w:color w:val="231F20"/>
        </w:rPr>
        <w:t xml:space="preserve">the region (Delia, 2015; McGuirk &amp; Rowe, 2001). One has only to look at </w:t>
      </w:r>
      <w:r>
        <w:rPr>
          <w:color w:val="231F20"/>
          <w:w w:val="95"/>
        </w:rPr>
        <w:t>the national celebrations associated wit</w:t>
      </w:r>
      <w:r>
        <w:rPr>
          <w:color w:val="231F20"/>
          <w:w w:val="95"/>
        </w:rPr>
        <w:t xml:space="preserve">h World Cup Football success to see evidence of this dynamic (Dauncey &amp; Hare, 2000). Increased mobility and </w:t>
      </w:r>
      <w:r>
        <w:rPr>
          <w:color w:val="231F20"/>
        </w:rPr>
        <w:t xml:space="preserve">immigration has complicated the traditionally narrow focus of national </w:t>
      </w:r>
      <w:r>
        <w:rPr>
          <w:color w:val="231F20"/>
          <w:w w:val="95"/>
        </w:rPr>
        <w:t xml:space="preserve">identity in sport. Hinch </w:t>
      </w:r>
      <w:r>
        <w:rPr>
          <w:i/>
          <w:color w:val="231F20"/>
          <w:w w:val="95"/>
        </w:rPr>
        <w:t>et al</w:t>
      </w:r>
      <w:r>
        <w:rPr>
          <w:color w:val="231F20"/>
          <w:w w:val="95"/>
        </w:rPr>
        <w:t>.’s (2018) study of the national reaction to th</w:t>
      </w:r>
      <w:r>
        <w:rPr>
          <w:color w:val="231F20"/>
          <w:w w:val="95"/>
        </w:rPr>
        <w:t xml:space="preserve">e success of Japan’s ethnically diverse national rugby team highlights these </w:t>
      </w:r>
      <w:r>
        <w:rPr>
          <w:color w:val="231F20"/>
        </w:rPr>
        <w:t>issues (Focus Point 6.1).</w:t>
      </w:r>
    </w:p>
    <w:p w14:paraId="7FBC9CC6" w14:textId="77777777" w:rsidR="00AE0598" w:rsidRDefault="00AE0598">
      <w:pPr>
        <w:spacing w:line="232" w:lineRule="auto"/>
        <w:jc w:val="both"/>
        <w:sectPr w:rsidR="00AE0598">
          <w:pgSz w:w="8850" w:h="13270"/>
          <w:pgMar w:top="720" w:right="1060" w:bottom="280" w:left="1080" w:header="720" w:footer="720" w:gutter="0"/>
          <w:cols w:space="720"/>
        </w:sectPr>
      </w:pPr>
    </w:p>
    <w:p w14:paraId="01D76267" w14:textId="77777777" w:rsidR="00AE0598" w:rsidRDefault="0069255A">
      <w:pPr>
        <w:spacing w:before="87"/>
        <w:ind w:left="110" w:right="128"/>
        <w:jc w:val="right"/>
        <w:rPr>
          <w:rFonts w:ascii="Trebuchet MS"/>
          <w:sz w:val="14"/>
        </w:rPr>
      </w:pPr>
      <w:r>
        <w:rPr>
          <w:rFonts w:ascii="Trebuchet MS"/>
          <w:color w:val="231F20"/>
          <w:w w:val="105"/>
          <w:sz w:val="14"/>
        </w:rPr>
        <w:lastRenderedPageBreak/>
        <w:t>Place,</w:t>
      </w:r>
      <w:r>
        <w:rPr>
          <w:rFonts w:ascii="Trebuchet MS"/>
          <w:color w:val="231F20"/>
          <w:spacing w:val="-12"/>
          <w:w w:val="105"/>
          <w:sz w:val="14"/>
        </w:rPr>
        <w:t xml:space="preserve"> </w:t>
      </w:r>
      <w:r>
        <w:rPr>
          <w:rFonts w:ascii="Trebuchet MS"/>
          <w:color w:val="231F20"/>
          <w:w w:val="105"/>
          <w:sz w:val="14"/>
        </w:rPr>
        <w:t>Sport</w:t>
      </w:r>
      <w:r>
        <w:rPr>
          <w:rFonts w:ascii="Trebuchet MS"/>
          <w:color w:val="231F20"/>
          <w:spacing w:val="-11"/>
          <w:w w:val="105"/>
          <w:sz w:val="14"/>
        </w:rPr>
        <w:t xml:space="preserve"> </w:t>
      </w:r>
      <w:r>
        <w:rPr>
          <w:rFonts w:ascii="Trebuchet MS"/>
          <w:color w:val="231F20"/>
          <w:w w:val="105"/>
          <w:sz w:val="14"/>
        </w:rPr>
        <w:t>and</w:t>
      </w:r>
      <w:r>
        <w:rPr>
          <w:rFonts w:ascii="Trebuchet MS"/>
          <w:color w:val="231F20"/>
          <w:spacing w:val="-11"/>
          <w:w w:val="105"/>
          <w:sz w:val="14"/>
        </w:rPr>
        <w:t xml:space="preserve"> </w:t>
      </w:r>
      <w:r>
        <w:rPr>
          <w:rFonts w:ascii="Trebuchet MS"/>
          <w:color w:val="231F20"/>
          <w:w w:val="105"/>
          <w:sz w:val="14"/>
        </w:rPr>
        <w:t>Culture</w:t>
      </w:r>
      <w:r>
        <w:rPr>
          <w:rFonts w:ascii="Trebuchet MS"/>
          <w:color w:val="231F20"/>
          <w:spacing w:val="71"/>
          <w:w w:val="105"/>
          <w:sz w:val="14"/>
        </w:rPr>
        <w:t xml:space="preserve"> </w:t>
      </w:r>
      <w:r>
        <w:rPr>
          <w:rFonts w:ascii="Trebuchet MS"/>
          <w:color w:val="231F20"/>
          <w:spacing w:val="-5"/>
          <w:w w:val="105"/>
          <w:sz w:val="14"/>
        </w:rPr>
        <w:t>123</w:t>
      </w:r>
    </w:p>
    <w:p w14:paraId="3EE6B04E" w14:textId="77777777" w:rsidR="00AE0598" w:rsidRDefault="00AE0598">
      <w:pPr>
        <w:pStyle w:val="Corpodetexto"/>
        <w:spacing w:before="7"/>
        <w:rPr>
          <w:rFonts w:ascii="Trebuchet MS"/>
          <w:sz w:val="27"/>
        </w:rPr>
      </w:pPr>
    </w:p>
    <w:p w14:paraId="33068498" w14:textId="7223A8DC" w:rsidR="00AE0598" w:rsidRDefault="0069255A">
      <w:pPr>
        <w:spacing w:before="99"/>
        <w:ind w:left="223"/>
        <w:jc w:val="both"/>
        <w:rPr>
          <w:rFonts w:ascii="Trebuchet MS"/>
          <w:sz w:val="20"/>
        </w:rPr>
      </w:pPr>
      <w:r>
        <w:rPr>
          <w:noProof/>
        </w:rPr>
        <mc:AlternateContent>
          <mc:Choice Requires="wps">
            <w:drawing>
              <wp:anchor distT="0" distB="0" distL="114300" distR="114300" simplePos="0" relativeHeight="483710464" behindDoc="1" locked="0" layoutInCell="1" allowOverlap="1" wp14:anchorId="6A377B70" wp14:editId="729FA902">
                <wp:simplePos x="0" y="0"/>
                <wp:positionH relativeFrom="page">
                  <wp:posOffset>755650</wp:posOffset>
                </wp:positionH>
                <wp:positionV relativeFrom="paragraph">
                  <wp:posOffset>14605</wp:posOffset>
                </wp:positionV>
                <wp:extent cx="4104005" cy="6499860"/>
                <wp:effectExtent l="0" t="0" r="0" b="0"/>
                <wp:wrapNone/>
                <wp:docPr id="199" name="docshape1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04005" cy="6499860"/>
                        </a:xfrm>
                        <a:prstGeom prst="rect">
                          <a:avLst/>
                        </a:prstGeom>
                        <a:solidFill>
                          <a:srgbClr val="DCDDD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A0A0B1" id="docshape169" o:spid="_x0000_s1026" style="position:absolute;margin-left:59.5pt;margin-top:1.15pt;width:323.15pt;height:511.8pt;z-index:-1960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" fillcolor="#dcddde" stroked="f">
                <w10:wrap anchorx="page"/>
              </v:rect>
            </w:pict>
          </mc:Fallback>
        </mc:AlternateContent>
      </w:r>
      <w:r>
        <w:rPr>
          <w:rFonts w:ascii="Trebuchet MS"/>
          <w:color w:val="231F20"/>
          <w:sz w:val="20"/>
        </w:rPr>
        <w:t>Focus</w:t>
      </w:r>
      <w:r>
        <w:rPr>
          <w:rFonts w:ascii="Trebuchet MS"/>
          <w:color w:val="231F20"/>
          <w:spacing w:val="13"/>
          <w:sz w:val="20"/>
        </w:rPr>
        <w:t xml:space="preserve"> </w:t>
      </w:r>
      <w:r>
        <w:rPr>
          <w:rFonts w:ascii="Trebuchet MS"/>
          <w:color w:val="231F20"/>
          <w:sz w:val="20"/>
        </w:rPr>
        <w:t>Point</w:t>
      </w:r>
      <w:r>
        <w:rPr>
          <w:rFonts w:ascii="Trebuchet MS"/>
          <w:color w:val="231F20"/>
          <w:spacing w:val="13"/>
          <w:sz w:val="20"/>
        </w:rPr>
        <w:t xml:space="preserve"> </w:t>
      </w:r>
      <w:r>
        <w:rPr>
          <w:rFonts w:ascii="Trebuchet MS"/>
          <w:color w:val="231F20"/>
          <w:sz w:val="20"/>
        </w:rPr>
        <w:t>6.1:</w:t>
      </w:r>
      <w:r>
        <w:rPr>
          <w:rFonts w:ascii="Trebuchet MS"/>
          <w:color w:val="231F20"/>
          <w:spacing w:val="13"/>
          <w:sz w:val="20"/>
        </w:rPr>
        <w:t xml:space="preserve"> </w:t>
      </w:r>
      <w:r>
        <w:rPr>
          <w:rFonts w:ascii="Trebuchet MS"/>
          <w:color w:val="231F20"/>
          <w:sz w:val="20"/>
        </w:rPr>
        <w:t>Japanese</w:t>
      </w:r>
      <w:r>
        <w:rPr>
          <w:rFonts w:ascii="Trebuchet MS"/>
          <w:color w:val="231F20"/>
          <w:spacing w:val="13"/>
          <w:sz w:val="20"/>
        </w:rPr>
        <w:t xml:space="preserve"> </w:t>
      </w:r>
      <w:r>
        <w:rPr>
          <w:rFonts w:ascii="Trebuchet MS"/>
          <w:color w:val="231F20"/>
          <w:sz w:val="20"/>
        </w:rPr>
        <w:t>Rugby</w:t>
      </w:r>
      <w:r>
        <w:rPr>
          <w:rFonts w:ascii="Trebuchet MS"/>
          <w:color w:val="231F20"/>
          <w:spacing w:val="13"/>
          <w:sz w:val="20"/>
        </w:rPr>
        <w:t xml:space="preserve"> </w:t>
      </w:r>
      <w:r>
        <w:rPr>
          <w:rFonts w:ascii="Trebuchet MS"/>
          <w:color w:val="231F20"/>
          <w:sz w:val="20"/>
        </w:rPr>
        <w:t>and</w:t>
      </w:r>
      <w:r>
        <w:rPr>
          <w:rFonts w:ascii="Trebuchet MS"/>
          <w:color w:val="231F20"/>
          <w:spacing w:val="13"/>
          <w:sz w:val="20"/>
        </w:rPr>
        <w:t xml:space="preserve"> </w:t>
      </w:r>
      <w:r>
        <w:rPr>
          <w:rFonts w:ascii="Trebuchet MS"/>
          <w:color w:val="231F20"/>
          <w:sz w:val="20"/>
        </w:rPr>
        <w:t>National</w:t>
      </w:r>
      <w:r>
        <w:rPr>
          <w:rFonts w:ascii="Trebuchet MS"/>
          <w:color w:val="231F20"/>
          <w:spacing w:val="13"/>
          <w:sz w:val="20"/>
        </w:rPr>
        <w:t xml:space="preserve"> </w:t>
      </w:r>
      <w:r>
        <w:rPr>
          <w:rFonts w:ascii="Trebuchet MS"/>
          <w:color w:val="231F20"/>
          <w:spacing w:val="-2"/>
          <w:sz w:val="20"/>
        </w:rPr>
        <w:t>Identity</w:t>
      </w:r>
    </w:p>
    <w:p w14:paraId="1C19870C" w14:textId="77777777" w:rsidR="00AE0598" w:rsidRDefault="0069255A">
      <w:pPr>
        <w:pStyle w:val="Corpodetexto"/>
        <w:spacing w:before="122" w:line="232" w:lineRule="auto"/>
        <w:ind w:left="223" w:right="240"/>
        <w:jc w:val="both"/>
      </w:pPr>
      <w:r>
        <w:rPr>
          <w:color w:val="231F20"/>
        </w:rPr>
        <w:t xml:space="preserve">Despite the processes of globalisation, sport remains one of the most prominent manifestations of national identity. The Olympics and the </w:t>
      </w:r>
      <w:r>
        <w:rPr>
          <w:color w:val="231F20"/>
          <w:w w:val="95"/>
        </w:rPr>
        <w:t xml:space="preserve">FIFA World Cup are prime examples of this as nations rally around their </w:t>
      </w:r>
      <w:r>
        <w:rPr>
          <w:color w:val="231F20"/>
        </w:rPr>
        <w:t xml:space="preserve">respective teams and athletes, sharing in the </w:t>
      </w:r>
      <w:r>
        <w:rPr>
          <w:color w:val="231F20"/>
        </w:rPr>
        <w:t xml:space="preserve">glory of their successes and the pain of their defeats. Rightly or wrongly, these athletes are often seen as embodying their home country’s national character especially when they are enjoying success on the international stage. </w:t>
      </w:r>
      <w:r>
        <w:rPr>
          <w:color w:val="231F20"/>
          <w:w w:val="95"/>
        </w:rPr>
        <w:t>The Japanese national men’s</w:t>
      </w:r>
      <w:r>
        <w:rPr>
          <w:color w:val="231F20"/>
          <w:w w:val="95"/>
        </w:rPr>
        <w:t xml:space="preserve"> rugby team represents a dramatic example </w:t>
      </w:r>
      <w:r>
        <w:rPr>
          <w:color w:val="231F20"/>
        </w:rPr>
        <w:t>of the dynamic interplay of globalisation and patriot sport. With the 19 September 2015 surprise victory of Japan’s rugby team over the favoured South Africans, the team surged in popularity on the home front.</w:t>
      </w:r>
      <w:r>
        <w:rPr>
          <w:color w:val="231F20"/>
          <w:spacing w:val="-11"/>
        </w:rPr>
        <w:t xml:space="preserve"> </w:t>
      </w:r>
      <w:r>
        <w:rPr>
          <w:color w:val="231F20"/>
        </w:rPr>
        <w:t>The</w:t>
      </w:r>
      <w:r>
        <w:rPr>
          <w:color w:val="231F20"/>
          <w:spacing w:val="-11"/>
        </w:rPr>
        <w:t xml:space="preserve"> </w:t>
      </w:r>
      <w:r>
        <w:rPr>
          <w:color w:val="231F20"/>
        </w:rPr>
        <w:t>continued</w:t>
      </w:r>
      <w:r>
        <w:rPr>
          <w:color w:val="231F20"/>
          <w:spacing w:val="-11"/>
        </w:rPr>
        <w:t xml:space="preserve"> </w:t>
      </w:r>
      <w:r>
        <w:rPr>
          <w:color w:val="231F20"/>
        </w:rPr>
        <w:t>strong</w:t>
      </w:r>
      <w:r>
        <w:rPr>
          <w:color w:val="231F20"/>
          <w:spacing w:val="-11"/>
        </w:rPr>
        <w:t xml:space="preserve"> </w:t>
      </w:r>
      <w:r>
        <w:rPr>
          <w:color w:val="231F20"/>
        </w:rPr>
        <w:t>play</w:t>
      </w:r>
      <w:r>
        <w:rPr>
          <w:color w:val="231F20"/>
          <w:spacing w:val="-11"/>
        </w:rPr>
        <w:t xml:space="preserve"> </w:t>
      </w:r>
      <w:r>
        <w:rPr>
          <w:color w:val="231F20"/>
        </w:rPr>
        <w:t>of</w:t>
      </w:r>
      <w:r>
        <w:rPr>
          <w:color w:val="231F20"/>
          <w:spacing w:val="-11"/>
        </w:rPr>
        <w:t xml:space="preserve"> </w:t>
      </w:r>
      <w:r>
        <w:rPr>
          <w:color w:val="231F20"/>
        </w:rPr>
        <w:t>the</w:t>
      </w:r>
      <w:r>
        <w:rPr>
          <w:color w:val="231F20"/>
          <w:spacing w:val="-11"/>
        </w:rPr>
        <w:t xml:space="preserve"> </w:t>
      </w:r>
      <w:r>
        <w:rPr>
          <w:color w:val="231F20"/>
        </w:rPr>
        <w:t>team</w:t>
      </w:r>
      <w:r>
        <w:rPr>
          <w:color w:val="231F20"/>
          <w:spacing w:val="-11"/>
        </w:rPr>
        <w:t xml:space="preserve"> </w:t>
      </w:r>
      <w:r>
        <w:rPr>
          <w:color w:val="231F20"/>
        </w:rPr>
        <w:t>and</w:t>
      </w:r>
      <w:r>
        <w:rPr>
          <w:color w:val="231F20"/>
          <w:spacing w:val="-11"/>
        </w:rPr>
        <w:t xml:space="preserve"> </w:t>
      </w:r>
      <w:r>
        <w:rPr>
          <w:color w:val="231F20"/>
        </w:rPr>
        <w:t>the</w:t>
      </w:r>
      <w:r>
        <w:rPr>
          <w:color w:val="231F20"/>
          <w:spacing w:val="-11"/>
        </w:rPr>
        <w:t xml:space="preserve"> </w:t>
      </w:r>
      <w:r>
        <w:rPr>
          <w:color w:val="231F20"/>
        </w:rPr>
        <w:t>forthcoming</w:t>
      </w:r>
      <w:r>
        <w:rPr>
          <w:color w:val="231F20"/>
          <w:spacing w:val="-11"/>
        </w:rPr>
        <w:t xml:space="preserve"> </w:t>
      </w:r>
      <w:r>
        <w:rPr>
          <w:color w:val="231F20"/>
        </w:rPr>
        <w:t>2019 Rugby</w:t>
      </w:r>
      <w:r>
        <w:rPr>
          <w:color w:val="231F20"/>
          <w:spacing w:val="-3"/>
        </w:rPr>
        <w:t xml:space="preserve"> </w:t>
      </w:r>
      <w:r>
        <w:rPr>
          <w:color w:val="231F20"/>
        </w:rPr>
        <w:t>World</w:t>
      </w:r>
      <w:r>
        <w:rPr>
          <w:color w:val="231F20"/>
          <w:spacing w:val="-3"/>
        </w:rPr>
        <w:t xml:space="preserve"> </w:t>
      </w:r>
      <w:r>
        <w:rPr>
          <w:color w:val="231F20"/>
        </w:rPr>
        <w:t>Cup</w:t>
      </w:r>
      <w:r>
        <w:rPr>
          <w:color w:val="231F20"/>
          <w:spacing w:val="-3"/>
        </w:rPr>
        <w:t xml:space="preserve"> </w:t>
      </w:r>
      <w:r>
        <w:rPr>
          <w:color w:val="231F20"/>
        </w:rPr>
        <w:t>scheduled</w:t>
      </w:r>
      <w:r>
        <w:rPr>
          <w:color w:val="231F20"/>
          <w:spacing w:val="-3"/>
        </w:rPr>
        <w:t xml:space="preserve"> </w:t>
      </w:r>
      <w:r>
        <w:rPr>
          <w:color w:val="231F20"/>
        </w:rPr>
        <w:t>for</w:t>
      </w:r>
      <w:r>
        <w:rPr>
          <w:color w:val="231F20"/>
          <w:spacing w:val="-3"/>
        </w:rPr>
        <w:t xml:space="preserve"> </w:t>
      </w:r>
      <w:r>
        <w:rPr>
          <w:color w:val="231F20"/>
        </w:rPr>
        <w:t>Japan</w:t>
      </w:r>
      <w:r>
        <w:rPr>
          <w:color w:val="231F20"/>
          <w:spacing w:val="-3"/>
        </w:rPr>
        <w:t xml:space="preserve"> </w:t>
      </w:r>
      <w:r>
        <w:rPr>
          <w:color w:val="231F20"/>
        </w:rPr>
        <w:t>have</w:t>
      </w:r>
      <w:r>
        <w:rPr>
          <w:color w:val="231F20"/>
          <w:spacing w:val="-3"/>
        </w:rPr>
        <w:t xml:space="preserve"> </w:t>
      </w:r>
      <w:r>
        <w:rPr>
          <w:color w:val="231F20"/>
        </w:rPr>
        <w:t>ensured</w:t>
      </w:r>
      <w:r>
        <w:rPr>
          <w:color w:val="231F20"/>
          <w:spacing w:val="-3"/>
        </w:rPr>
        <w:t xml:space="preserve"> </w:t>
      </w:r>
      <w:r>
        <w:rPr>
          <w:color w:val="231F20"/>
        </w:rPr>
        <w:t>that</w:t>
      </w:r>
      <w:r>
        <w:rPr>
          <w:color w:val="231F20"/>
          <w:spacing w:val="-3"/>
        </w:rPr>
        <w:t xml:space="preserve"> </w:t>
      </w:r>
      <w:r>
        <w:rPr>
          <w:color w:val="231F20"/>
        </w:rPr>
        <w:t>the</w:t>
      </w:r>
      <w:r>
        <w:rPr>
          <w:color w:val="231F20"/>
          <w:spacing w:val="-3"/>
        </w:rPr>
        <w:t xml:space="preserve"> </w:t>
      </w:r>
      <w:r>
        <w:rPr>
          <w:color w:val="231F20"/>
        </w:rPr>
        <w:t>team</w:t>
      </w:r>
      <w:r>
        <w:rPr>
          <w:color w:val="231F20"/>
          <w:spacing w:val="-3"/>
        </w:rPr>
        <w:t xml:space="preserve"> </w:t>
      </w:r>
      <w:r>
        <w:rPr>
          <w:color w:val="231F20"/>
        </w:rPr>
        <w:t>has remained popular in Japan. Yet, even a casual observer can see that many</w:t>
      </w:r>
      <w:r>
        <w:rPr>
          <w:color w:val="231F20"/>
          <w:spacing w:val="-9"/>
        </w:rPr>
        <w:t xml:space="preserve"> </w:t>
      </w:r>
      <w:r>
        <w:rPr>
          <w:color w:val="231F20"/>
        </w:rPr>
        <w:t>of</w:t>
      </w:r>
      <w:r>
        <w:rPr>
          <w:color w:val="231F20"/>
          <w:spacing w:val="-9"/>
        </w:rPr>
        <w:t xml:space="preserve"> </w:t>
      </w:r>
      <w:r>
        <w:rPr>
          <w:color w:val="231F20"/>
        </w:rPr>
        <w:t>the</w:t>
      </w:r>
      <w:r>
        <w:rPr>
          <w:color w:val="231F20"/>
          <w:spacing w:val="-9"/>
        </w:rPr>
        <w:t xml:space="preserve"> </w:t>
      </w:r>
      <w:r>
        <w:rPr>
          <w:color w:val="231F20"/>
        </w:rPr>
        <w:t>names</w:t>
      </w:r>
      <w:r>
        <w:rPr>
          <w:color w:val="231F20"/>
          <w:spacing w:val="-9"/>
        </w:rPr>
        <w:t xml:space="preserve"> </w:t>
      </w:r>
      <w:r>
        <w:rPr>
          <w:color w:val="231F20"/>
        </w:rPr>
        <w:t>and</w:t>
      </w:r>
      <w:r>
        <w:rPr>
          <w:color w:val="231F20"/>
          <w:spacing w:val="-9"/>
        </w:rPr>
        <w:t xml:space="preserve"> </w:t>
      </w:r>
      <w:r>
        <w:rPr>
          <w:color w:val="231F20"/>
        </w:rPr>
        <w:t>faces</w:t>
      </w:r>
      <w:r>
        <w:rPr>
          <w:color w:val="231F20"/>
          <w:spacing w:val="-9"/>
        </w:rPr>
        <w:t xml:space="preserve"> </w:t>
      </w:r>
      <w:r>
        <w:rPr>
          <w:color w:val="231F20"/>
        </w:rPr>
        <w:t>on</w:t>
      </w:r>
      <w:r>
        <w:rPr>
          <w:color w:val="231F20"/>
          <w:spacing w:val="-9"/>
        </w:rPr>
        <w:t xml:space="preserve"> </w:t>
      </w:r>
      <w:r>
        <w:rPr>
          <w:color w:val="231F20"/>
        </w:rPr>
        <w:t>the</w:t>
      </w:r>
      <w:r>
        <w:rPr>
          <w:color w:val="231F20"/>
          <w:spacing w:val="-9"/>
        </w:rPr>
        <w:t xml:space="preserve"> </w:t>
      </w:r>
      <w:r>
        <w:rPr>
          <w:color w:val="231F20"/>
        </w:rPr>
        <w:t>team</w:t>
      </w:r>
      <w:r>
        <w:rPr>
          <w:color w:val="231F20"/>
          <w:spacing w:val="-9"/>
        </w:rPr>
        <w:t xml:space="preserve"> </w:t>
      </w:r>
      <w:r>
        <w:rPr>
          <w:color w:val="231F20"/>
        </w:rPr>
        <w:t>do</w:t>
      </w:r>
      <w:r>
        <w:rPr>
          <w:color w:val="231F20"/>
          <w:spacing w:val="-9"/>
        </w:rPr>
        <w:t xml:space="preserve"> </w:t>
      </w:r>
      <w:r>
        <w:rPr>
          <w:color w:val="231F20"/>
        </w:rPr>
        <w:t>not</w:t>
      </w:r>
      <w:r>
        <w:rPr>
          <w:color w:val="231F20"/>
          <w:spacing w:val="-9"/>
        </w:rPr>
        <w:t xml:space="preserve"> </w:t>
      </w:r>
      <w:r>
        <w:rPr>
          <w:color w:val="231F20"/>
        </w:rPr>
        <w:t>fit</w:t>
      </w:r>
      <w:r>
        <w:rPr>
          <w:color w:val="231F20"/>
          <w:spacing w:val="-8"/>
        </w:rPr>
        <w:t xml:space="preserve"> </w:t>
      </w:r>
      <w:r>
        <w:rPr>
          <w:color w:val="231F20"/>
        </w:rPr>
        <w:t>the</w:t>
      </w:r>
      <w:r>
        <w:rPr>
          <w:color w:val="231F20"/>
          <w:spacing w:val="-8"/>
        </w:rPr>
        <w:t xml:space="preserve"> </w:t>
      </w:r>
      <w:r>
        <w:rPr>
          <w:color w:val="231F20"/>
        </w:rPr>
        <w:t>typical</w:t>
      </w:r>
      <w:r>
        <w:rPr>
          <w:color w:val="231F20"/>
          <w:spacing w:val="-8"/>
        </w:rPr>
        <w:t xml:space="preserve"> </w:t>
      </w:r>
      <w:r>
        <w:rPr>
          <w:color w:val="231F20"/>
        </w:rPr>
        <w:t>image</w:t>
      </w:r>
      <w:r>
        <w:rPr>
          <w:color w:val="231F20"/>
          <w:spacing w:val="-8"/>
        </w:rPr>
        <w:t xml:space="preserve"> </w:t>
      </w:r>
      <w:r>
        <w:rPr>
          <w:color w:val="231F20"/>
        </w:rPr>
        <w:t>of Japanese</w:t>
      </w:r>
      <w:r>
        <w:rPr>
          <w:color w:val="231F20"/>
          <w:spacing w:val="-8"/>
        </w:rPr>
        <w:t xml:space="preserve"> </w:t>
      </w:r>
      <w:r>
        <w:rPr>
          <w:color w:val="231F20"/>
        </w:rPr>
        <w:t>players.</w:t>
      </w:r>
      <w:r>
        <w:rPr>
          <w:color w:val="231F20"/>
          <w:spacing w:val="-8"/>
        </w:rPr>
        <w:t xml:space="preserve"> </w:t>
      </w:r>
      <w:r>
        <w:rPr>
          <w:color w:val="231F20"/>
        </w:rPr>
        <w:t>The</w:t>
      </w:r>
      <w:r>
        <w:rPr>
          <w:color w:val="231F20"/>
          <w:spacing w:val="-8"/>
        </w:rPr>
        <w:t xml:space="preserve"> </w:t>
      </w:r>
      <w:r>
        <w:rPr>
          <w:color w:val="231F20"/>
        </w:rPr>
        <w:t>fact</w:t>
      </w:r>
      <w:r>
        <w:rPr>
          <w:color w:val="231F20"/>
          <w:spacing w:val="-8"/>
        </w:rPr>
        <w:t xml:space="preserve"> </w:t>
      </w:r>
      <w:r>
        <w:rPr>
          <w:color w:val="231F20"/>
        </w:rPr>
        <w:t>is</w:t>
      </w:r>
      <w:r>
        <w:rPr>
          <w:color w:val="231F20"/>
          <w:spacing w:val="-8"/>
        </w:rPr>
        <w:t xml:space="preserve"> </w:t>
      </w:r>
      <w:r>
        <w:rPr>
          <w:color w:val="231F20"/>
        </w:rPr>
        <w:t>that</w:t>
      </w:r>
      <w:r>
        <w:rPr>
          <w:color w:val="231F20"/>
          <w:spacing w:val="-8"/>
        </w:rPr>
        <w:t xml:space="preserve"> </w:t>
      </w:r>
      <w:r>
        <w:rPr>
          <w:color w:val="231F20"/>
        </w:rPr>
        <w:t>over</w:t>
      </w:r>
      <w:r>
        <w:rPr>
          <w:color w:val="231F20"/>
          <w:spacing w:val="-8"/>
        </w:rPr>
        <w:t xml:space="preserve"> </w:t>
      </w:r>
      <w:r>
        <w:rPr>
          <w:color w:val="231F20"/>
        </w:rPr>
        <w:t>one-third</w:t>
      </w:r>
      <w:r>
        <w:rPr>
          <w:color w:val="231F20"/>
          <w:spacing w:val="-8"/>
        </w:rPr>
        <w:t xml:space="preserve"> </w:t>
      </w:r>
      <w:r>
        <w:rPr>
          <w:color w:val="231F20"/>
        </w:rPr>
        <w:t>of</w:t>
      </w:r>
      <w:r>
        <w:rPr>
          <w:color w:val="231F20"/>
          <w:spacing w:val="-8"/>
        </w:rPr>
        <w:t xml:space="preserve"> </w:t>
      </w:r>
      <w:r>
        <w:rPr>
          <w:color w:val="231F20"/>
        </w:rPr>
        <w:t>the</w:t>
      </w:r>
      <w:r>
        <w:rPr>
          <w:color w:val="231F20"/>
          <w:spacing w:val="-8"/>
        </w:rPr>
        <w:t xml:space="preserve"> </w:t>
      </w:r>
      <w:r>
        <w:rPr>
          <w:color w:val="231F20"/>
        </w:rPr>
        <w:t>team</w:t>
      </w:r>
      <w:r>
        <w:rPr>
          <w:color w:val="231F20"/>
          <w:spacing w:val="-8"/>
        </w:rPr>
        <w:t xml:space="preserve"> </w:t>
      </w:r>
      <w:r>
        <w:rPr>
          <w:color w:val="231F20"/>
        </w:rPr>
        <w:t>were</w:t>
      </w:r>
      <w:r>
        <w:rPr>
          <w:color w:val="231F20"/>
          <w:spacing w:val="-8"/>
        </w:rPr>
        <w:t xml:space="preserve"> </w:t>
      </w:r>
      <w:r>
        <w:rPr>
          <w:color w:val="231F20"/>
        </w:rPr>
        <w:t>born outside</w:t>
      </w:r>
      <w:r>
        <w:rPr>
          <w:color w:val="231F20"/>
          <w:spacing w:val="-8"/>
        </w:rPr>
        <w:t xml:space="preserve"> </w:t>
      </w:r>
      <w:r>
        <w:rPr>
          <w:color w:val="231F20"/>
        </w:rPr>
        <w:t>of</w:t>
      </w:r>
      <w:r>
        <w:rPr>
          <w:color w:val="231F20"/>
          <w:spacing w:val="-8"/>
        </w:rPr>
        <w:t xml:space="preserve"> </w:t>
      </w:r>
      <w:r>
        <w:rPr>
          <w:color w:val="231F20"/>
        </w:rPr>
        <w:t>Japan</w:t>
      </w:r>
      <w:r>
        <w:rPr>
          <w:color w:val="231F20"/>
          <w:spacing w:val="-8"/>
        </w:rPr>
        <w:t xml:space="preserve"> </w:t>
      </w:r>
      <w:r>
        <w:rPr>
          <w:color w:val="231F20"/>
        </w:rPr>
        <w:t>although</w:t>
      </w:r>
      <w:r>
        <w:rPr>
          <w:color w:val="231F20"/>
          <w:spacing w:val="-8"/>
        </w:rPr>
        <w:t xml:space="preserve"> </w:t>
      </w:r>
      <w:r>
        <w:rPr>
          <w:color w:val="231F20"/>
        </w:rPr>
        <w:t>they</w:t>
      </w:r>
      <w:r>
        <w:rPr>
          <w:color w:val="231F20"/>
          <w:spacing w:val="-8"/>
        </w:rPr>
        <w:t xml:space="preserve"> </w:t>
      </w:r>
      <w:r>
        <w:rPr>
          <w:color w:val="231F20"/>
        </w:rPr>
        <w:t>all</w:t>
      </w:r>
      <w:r>
        <w:rPr>
          <w:color w:val="231F20"/>
          <w:spacing w:val="-8"/>
        </w:rPr>
        <w:t xml:space="preserve"> </w:t>
      </w:r>
      <w:r>
        <w:rPr>
          <w:color w:val="231F20"/>
        </w:rPr>
        <w:t>meet</w:t>
      </w:r>
      <w:r>
        <w:rPr>
          <w:color w:val="231F20"/>
          <w:spacing w:val="-8"/>
        </w:rPr>
        <w:t xml:space="preserve"> </w:t>
      </w:r>
      <w:r>
        <w:rPr>
          <w:color w:val="231F20"/>
        </w:rPr>
        <w:t>the</w:t>
      </w:r>
      <w:r>
        <w:rPr>
          <w:color w:val="231F20"/>
          <w:spacing w:val="-8"/>
        </w:rPr>
        <w:t xml:space="preserve"> </w:t>
      </w:r>
      <w:r>
        <w:rPr>
          <w:color w:val="231F20"/>
        </w:rPr>
        <w:t>criteria</w:t>
      </w:r>
      <w:r>
        <w:rPr>
          <w:color w:val="231F20"/>
          <w:spacing w:val="-8"/>
        </w:rPr>
        <w:t xml:space="preserve"> </w:t>
      </w:r>
      <w:r>
        <w:rPr>
          <w:color w:val="231F20"/>
        </w:rPr>
        <w:t>for</w:t>
      </w:r>
      <w:r>
        <w:rPr>
          <w:color w:val="231F20"/>
          <w:spacing w:val="-8"/>
        </w:rPr>
        <w:t xml:space="preserve"> </w:t>
      </w:r>
      <w:r>
        <w:rPr>
          <w:color w:val="231F20"/>
        </w:rPr>
        <w:t>inclusion</w:t>
      </w:r>
      <w:r>
        <w:rPr>
          <w:color w:val="231F20"/>
          <w:spacing w:val="-8"/>
        </w:rPr>
        <w:t xml:space="preserve"> </w:t>
      </w:r>
      <w:r>
        <w:rPr>
          <w:color w:val="231F20"/>
        </w:rPr>
        <w:t>on</w:t>
      </w:r>
      <w:r>
        <w:rPr>
          <w:color w:val="231F20"/>
          <w:spacing w:val="-8"/>
        </w:rPr>
        <w:t xml:space="preserve"> </w:t>
      </w:r>
      <w:r>
        <w:rPr>
          <w:color w:val="231F20"/>
        </w:rPr>
        <w:t xml:space="preserve">the national team (Hinch </w:t>
      </w:r>
      <w:r>
        <w:rPr>
          <w:i/>
          <w:color w:val="231F20"/>
        </w:rPr>
        <w:t>et al</w:t>
      </w:r>
      <w:r>
        <w:rPr>
          <w:color w:val="231F20"/>
        </w:rPr>
        <w:t>., 2018). Like many other sports, rugby in Japan is a cultural reso</w:t>
      </w:r>
      <w:r>
        <w:rPr>
          <w:color w:val="231F20"/>
        </w:rPr>
        <w:t>urce that is used in the discourse of Japanese national</w:t>
      </w:r>
      <w:r>
        <w:rPr>
          <w:color w:val="231F20"/>
          <w:spacing w:val="-2"/>
        </w:rPr>
        <w:t xml:space="preserve"> </w:t>
      </w:r>
      <w:r>
        <w:rPr>
          <w:color w:val="231F20"/>
        </w:rPr>
        <w:t>identity.</w:t>
      </w:r>
      <w:r>
        <w:rPr>
          <w:color w:val="231F20"/>
          <w:spacing w:val="-2"/>
        </w:rPr>
        <w:t xml:space="preserve"> </w:t>
      </w:r>
      <w:r>
        <w:rPr>
          <w:color w:val="231F20"/>
        </w:rPr>
        <w:t>Sociological</w:t>
      </w:r>
      <w:r>
        <w:rPr>
          <w:color w:val="231F20"/>
          <w:spacing w:val="-2"/>
        </w:rPr>
        <w:t xml:space="preserve"> </w:t>
      </w:r>
      <w:r>
        <w:rPr>
          <w:color w:val="231F20"/>
        </w:rPr>
        <w:t>literature</w:t>
      </w:r>
      <w:r>
        <w:rPr>
          <w:color w:val="231F20"/>
          <w:spacing w:val="-2"/>
        </w:rPr>
        <w:t xml:space="preserve"> </w:t>
      </w:r>
      <w:r>
        <w:rPr>
          <w:color w:val="231F20"/>
        </w:rPr>
        <w:t>on</w:t>
      </w:r>
      <w:r>
        <w:rPr>
          <w:color w:val="231F20"/>
          <w:spacing w:val="-2"/>
        </w:rPr>
        <w:t xml:space="preserve"> </w:t>
      </w:r>
      <w:r>
        <w:rPr>
          <w:color w:val="231F20"/>
        </w:rPr>
        <w:t>Japanese</w:t>
      </w:r>
      <w:r>
        <w:rPr>
          <w:color w:val="231F20"/>
          <w:spacing w:val="-2"/>
        </w:rPr>
        <w:t xml:space="preserve"> </w:t>
      </w:r>
      <w:r>
        <w:rPr>
          <w:color w:val="231F20"/>
        </w:rPr>
        <w:t>identity</w:t>
      </w:r>
      <w:r>
        <w:rPr>
          <w:color w:val="231F20"/>
          <w:spacing w:val="-2"/>
        </w:rPr>
        <w:t xml:space="preserve"> </w:t>
      </w:r>
      <w:r>
        <w:rPr>
          <w:color w:val="231F20"/>
        </w:rPr>
        <w:t>suggests that the most predominant normalising discourse is the taken-for- granted</w:t>
      </w:r>
      <w:r>
        <w:rPr>
          <w:color w:val="231F20"/>
          <w:spacing w:val="-3"/>
        </w:rPr>
        <w:t xml:space="preserve"> </w:t>
      </w:r>
      <w:r>
        <w:rPr>
          <w:color w:val="231F20"/>
        </w:rPr>
        <w:t>assumption</w:t>
      </w:r>
      <w:r>
        <w:rPr>
          <w:color w:val="231F20"/>
          <w:spacing w:val="-3"/>
        </w:rPr>
        <w:t xml:space="preserve"> </w:t>
      </w:r>
      <w:r>
        <w:rPr>
          <w:color w:val="231F20"/>
        </w:rPr>
        <w:t>of</w:t>
      </w:r>
      <w:r>
        <w:rPr>
          <w:color w:val="231F20"/>
          <w:spacing w:val="-3"/>
        </w:rPr>
        <w:t xml:space="preserve"> </w:t>
      </w:r>
      <w:r>
        <w:rPr>
          <w:color w:val="231F20"/>
        </w:rPr>
        <w:t>an</w:t>
      </w:r>
      <w:r>
        <w:rPr>
          <w:color w:val="231F20"/>
          <w:spacing w:val="-3"/>
        </w:rPr>
        <w:t xml:space="preserve"> </w:t>
      </w:r>
      <w:r>
        <w:rPr>
          <w:color w:val="231F20"/>
        </w:rPr>
        <w:t>ethnically</w:t>
      </w:r>
      <w:r>
        <w:rPr>
          <w:color w:val="231F20"/>
          <w:spacing w:val="-3"/>
        </w:rPr>
        <w:t xml:space="preserve"> </w:t>
      </w:r>
      <w:r>
        <w:rPr>
          <w:color w:val="231F20"/>
        </w:rPr>
        <w:t>homogeneous</w:t>
      </w:r>
      <w:r>
        <w:rPr>
          <w:color w:val="231F20"/>
          <w:spacing w:val="-3"/>
        </w:rPr>
        <w:t xml:space="preserve"> </w:t>
      </w:r>
      <w:r>
        <w:rPr>
          <w:color w:val="231F20"/>
        </w:rPr>
        <w:t>and</w:t>
      </w:r>
      <w:r>
        <w:rPr>
          <w:color w:val="231F20"/>
          <w:spacing w:val="-3"/>
        </w:rPr>
        <w:t xml:space="preserve"> </w:t>
      </w:r>
      <w:r>
        <w:rPr>
          <w:color w:val="231F20"/>
        </w:rPr>
        <w:t xml:space="preserve">mono-cultural Japanese society (Befu, 2001; Burgess, 2010). It therefore seems </w:t>
      </w:r>
      <w:r>
        <w:rPr>
          <w:color w:val="231F20"/>
          <w:w w:val="95"/>
        </w:rPr>
        <w:t xml:space="preserve">paradoxical to see a heterogeneous mix of ethnic traits on the team while the team is promoted as a mechanism for Japanese national identity. The </w:t>
      </w:r>
      <w:r>
        <w:rPr>
          <w:color w:val="231F20"/>
        </w:rPr>
        <w:t>‘Brave Blossoms’, as the team h</w:t>
      </w:r>
      <w:r>
        <w:rPr>
          <w:color w:val="231F20"/>
        </w:rPr>
        <w:t xml:space="preserve">as been affectionately nicknamed, are </w:t>
      </w:r>
      <w:r>
        <w:rPr>
          <w:color w:val="231F20"/>
          <w:w w:val="95"/>
        </w:rPr>
        <w:t xml:space="preserve">challenging the traditional view of national identity and have become a </w:t>
      </w:r>
      <w:r>
        <w:rPr>
          <w:color w:val="231F20"/>
        </w:rPr>
        <w:t>focal point of identity politics in Japan. The way that this debate plays out will be one of the more fascinating backstories of the 2019 Rugby Wo</w:t>
      </w:r>
      <w:r>
        <w:rPr>
          <w:color w:val="231F20"/>
        </w:rPr>
        <w:t>rld</w:t>
      </w:r>
      <w:r>
        <w:rPr>
          <w:color w:val="231F20"/>
          <w:spacing w:val="-1"/>
        </w:rPr>
        <w:t xml:space="preserve"> </w:t>
      </w:r>
      <w:r>
        <w:rPr>
          <w:color w:val="231F20"/>
        </w:rPr>
        <w:t>Cup.</w:t>
      </w:r>
      <w:r>
        <w:rPr>
          <w:color w:val="231F20"/>
          <w:spacing w:val="-2"/>
        </w:rPr>
        <w:t xml:space="preserve"> </w:t>
      </w:r>
      <w:r>
        <w:rPr>
          <w:color w:val="231F20"/>
        </w:rPr>
        <w:t>The</w:t>
      </w:r>
      <w:r>
        <w:rPr>
          <w:color w:val="231F20"/>
          <w:spacing w:val="-1"/>
        </w:rPr>
        <w:t xml:space="preserve"> </w:t>
      </w:r>
      <w:r>
        <w:rPr>
          <w:color w:val="231F20"/>
        </w:rPr>
        <w:t>world’s</w:t>
      </w:r>
      <w:r>
        <w:rPr>
          <w:color w:val="231F20"/>
          <w:spacing w:val="-1"/>
        </w:rPr>
        <w:t xml:space="preserve"> </w:t>
      </w:r>
      <w:r>
        <w:rPr>
          <w:color w:val="231F20"/>
        </w:rPr>
        <w:t>sporting</w:t>
      </w:r>
      <w:r>
        <w:rPr>
          <w:color w:val="231F20"/>
          <w:spacing w:val="-2"/>
        </w:rPr>
        <w:t xml:space="preserve"> </w:t>
      </w:r>
      <w:r>
        <w:rPr>
          <w:color w:val="231F20"/>
        </w:rPr>
        <w:t>eyes</w:t>
      </w:r>
      <w:r>
        <w:rPr>
          <w:color w:val="231F20"/>
          <w:spacing w:val="-2"/>
        </w:rPr>
        <w:t xml:space="preserve"> </w:t>
      </w:r>
      <w:r>
        <w:rPr>
          <w:color w:val="231F20"/>
        </w:rPr>
        <w:t>will</w:t>
      </w:r>
      <w:r>
        <w:rPr>
          <w:color w:val="231F20"/>
          <w:spacing w:val="-2"/>
        </w:rPr>
        <w:t xml:space="preserve"> </w:t>
      </w:r>
      <w:r>
        <w:rPr>
          <w:color w:val="231F20"/>
        </w:rPr>
        <w:t>be</w:t>
      </w:r>
      <w:r>
        <w:rPr>
          <w:color w:val="231F20"/>
          <w:spacing w:val="-2"/>
        </w:rPr>
        <w:t xml:space="preserve"> </w:t>
      </w:r>
      <w:r>
        <w:rPr>
          <w:color w:val="231F20"/>
        </w:rPr>
        <w:t>focused</w:t>
      </w:r>
      <w:r>
        <w:rPr>
          <w:color w:val="231F20"/>
          <w:spacing w:val="-1"/>
        </w:rPr>
        <w:t xml:space="preserve"> </w:t>
      </w:r>
      <w:r>
        <w:rPr>
          <w:color w:val="231F20"/>
        </w:rPr>
        <w:t>on</w:t>
      </w:r>
      <w:r>
        <w:rPr>
          <w:color w:val="231F20"/>
          <w:spacing w:val="-2"/>
        </w:rPr>
        <w:t xml:space="preserve"> </w:t>
      </w:r>
      <w:r>
        <w:rPr>
          <w:color w:val="231F20"/>
        </w:rPr>
        <w:t>Japan</w:t>
      </w:r>
      <w:r>
        <w:rPr>
          <w:color w:val="231F20"/>
          <w:spacing w:val="-1"/>
        </w:rPr>
        <w:t xml:space="preserve"> </w:t>
      </w:r>
      <w:r>
        <w:rPr>
          <w:color w:val="231F20"/>
        </w:rPr>
        <w:t>during the</w:t>
      </w:r>
      <w:r>
        <w:rPr>
          <w:color w:val="231F20"/>
          <w:spacing w:val="-3"/>
        </w:rPr>
        <w:t xml:space="preserve"> </w:t>
      </w:r>
      <w:r>
        <w:rPr>
          <w:color w:val="231F20"/>
        </w:rPr>
        <w:t>event</w:t>
      </w:r>
      <w:r>
        <w:rPr>
          <w:color w:val="231F20"/>
          <w:spacing w:val="-3"/>
        </w:rPr>
        <w:t xml:space="preserve"> </w:t>
      </w:r>
      <w:r>
        <w:rPr>
          <w:color w:val="231F20"/>
        </w:rPr>
        <w:t>as</w:t>
      </w:r>
      <w:r>
        <w:rPr>
          <w:color w:val="231F20"/>
          <w:spacing w:val="-3"/>
        </w:rPr>
        <w:t xml:space="preserve"> </w:t>
      </w:r>
      <w:r>
        <w:rPr>
          <w:color w:val="231F20"/>
        </w:rPr>
        <w:t>the</w:t>
      </w:r>
      <w:r>
        <w:rPr>
          <w:color w:val="231F20"/>
          <w:spacing w:val="-3"/>
        </w:rPr>
        <w:t xml:space="preserve"> </w:t>
      </w:r>
      <w:r>
        <w:rPr>
          <w:color w:val="231F20"/>
        </w:rPr>
        <w:t>complex</w:t>
      </w:r>
      <w:r>
        <w:rPr>
          <w:color w:val="231F20"/>
          <w:spacing w:val="-3"/>
        </w:rPr>
        <w:t xml:space="preserve"> </w:t>
      </w:r>
      <w:r>
        <w:rPr>
          <w:color w:val="231F20"/>
        </w:rPr>
        <w:t>issues</w:t>
      </w:r>
      <w:r>
        <w:rPr>
          <w:color w:val="231F20"/>
          <w:spacing w:val="-3"/>
        </w:rPr>
        <w:t xml:space="preserve"> </w:t>
      </w:r>
      <w:r>
        <w:rPr>
          <w:color w:val="231F20"/>
        </w:rPr>
        <w:t>of</w:t>
      </w:r>
      <w:r>
        <w:rPr>
          <w:color w:val="231F20"/>
          <w:spacing w:val="-3"/>
        </w:rPr>
        <w:t xml:space="preserve"> </w:t>
      </w:r>
      <w:r>
        <w:rPr>
          <w:color w:val="231F20"/>
        </w:rPr>
        <w:t>Japanese</w:t>
      </w:r>
      <w:r>
        <w:rPr>
          <w:color w:val="231F20"/>
          <w:spacing w:val="-3"/>
        </w:rPr>
        <w:t xml:space="preserve"> </w:t>
      </w:r>
      <w:r>
        <w:rPr>
          <w:color w:val="231F20"/>
        </w:rPr>
        <w:t>identity</w:t>
      </w:r>
      <w:r>
        <w:rPr>
          <w:color w:val="231F20"/>
          <w:spacing w:val="-3"/>
        </w:rPr>
        <w:t xml:space="preserve"> </w:t>
      </w:r>
      <w:r>
        <w:rPr>
          <w:color w:val="231F20"/>
        </w:rPr>
        <w:t>are</w:t>
      </w:r>
      <w:r>
        <w:rPr>
          <w:color w:val="231F20"/>
          <w:spacing w:val="-3"/>
        </w:rPr>
        <w:t xml:space="preserve"> </w:t>
      </w:r>
      <w:r>
        <w:rPr>
          <w:color w:val="231F20"/>
        </w:rPr>
        <w:t>negotiated</w:t>
      </w:r>
      <w:r>
        <w:rPr>
          <w:color w:val="231F20"/>
          <w:spacing w:val="-3"/>
        </w:rPr>
        <w:t xml:space="preserve"> </w:t>
      </w:r>
      <w:r>
        <w:rPr>
          <w:color w:val="231F20"/>
        </w:rPr>
        <w:t>on the international stage.</w:t>
      </w:r>
    </w:p>
    <w:p w14:paraId="1A5EAA4F" w14:textId="77777777" w:rsidR="00AE0598" w:rsidRDefault="00AE0598">
      <w:pPr>
        <w:pStyle w:val="Corpodetexto"/>
        <w:spacing w:before="2"/>
        <w:rPr>
          <w:sz w:val="24"/>
        </w:rPr>
      </w:pPr>
    </w:p>
    <w:p w14:paraId="3CB84F19" w14:textId="77777777" w:rsidR="00AE0598" w:rsidRDefault="0069255A">
      <w:pPr>
        <w:spacing w:before="1"/>
        <w:ind w:left="223"/>
        <w:jc w:val="both"/>
        <w:rPr>
          <w:rFonts w:ascii="Trebuchet MS"/>
          <w:sz w:val="20"/>
        </w:rPr>
      </w:pPr>
      <w:r>
        <w:rPr>
          <w:rFonts w:ascii="Trebuchet MS"/>
          <w:color w:val="231F20"/>
          <w:w w:val="105"/>
          <w:sz w:val="20"/>
        </w:rPr>
        <w:t>Key</w:t>
      </w:r>
      <w:r>
        <w:rPr>
          <w:rFonts w:ascii="Trebuchet MS"/>
          <w:color w:val="231F20"/>
          <w:spacing w:val="-11"/>
          <w:w w:val="105"/>
          <w:sz w:val="20"/>
        </w:rPr>
        <w:t xml:space="preserve"> </w:t>
      </w:r>
      <w:r>
        <w:rPr>
          <w:rFonts w:ascii="Trebuchet MS"/>
          <w:color w:val="231F20"/>
          <w:spacing w:val="-2"/>
          <w:w w:val="105"/>
          <w:sz w:val="20"/>
        </w:rPr>
        <w:t>Reading</w:t>
      </w:r>
    </w:p>
    <w:p w14:paraId="05BF46FB" w14:textId="77777777" w:rsidR="00AE0598" w:rsidRDefault="0069255A">
      <w:pPr>
        <w:spacing w:before="122" w:line="232" w:lineRule="auto"/>
        <w:ind w:left="223" w:right="241"/>
        <w:jc w:val="both"/>
        <w:rPr>
          <w:sz w:val="21"/>
        </w:rPr>
      </w:pPr>
      <w:r>
        <w:rPr>
          <w:color w:val="231F20"/>
          <w:sz w:val="21"/>
        </w:rPr>
        <w:t xml:space="preserve">Hinch, T.D., Higham, J.E.S. and Doering, A. (2018) Sport, tourism and </w:t>
      </w:r>
      <w:r>
        <w:rPr>
          <w:color w:val="231F20"/>
          <w:w w:val="105"/>
          <w:sz w:val="21"/>
        </w:rPr>
        <w:t>identity:</w:t>
      </w:r>
      <w:r>
        <w:rPr>
          <w:color w:val="231F20"/>
          <w:spacing w:val="-7"/>
          <w:w w:val="105"/>
          <w:sz w:val="21"/>
        </w:rPr>
        <w:t xml:space="preserve"> </w:t>
      </w:r>
      <w:r>
        <w:rPr>
          <w:color w:val="231F20"/>
          <w:w w:val="105"/>
          <w:sz w:val="21"/>
        </w:rPr>
        <w:t>Japan,</w:t>
      </w:r>
      <w:r>
        <w:rPr>
          <w:color w:val="231F20"/>
          <w:spacing w:val="-7"/>
          <w:w w:val="105"/>
          <w:sz w:val="21"/>
        </w:rPr>
        <w:t xml:space="preserve"> </w:t>
      </w:r>
      <w:r>
        <w:rPr>
          <w:color w:val="231F20"/>
          <w:w w:val="105"/>
          <w:sz w:val="21"/>
        </w:rPr>
        <w:t>rugby</w:t>
      </w:r>
      <w:r>
        <w:rPr>
          <w:color w:val="231F20"/>
          <w:spacing w:val="-7"/>
          <w:w w:val="105"/>
          <w:sz w:val="21"/>
        </w:rPr>
        <w:t xml:space="preserve"> </w:t>
      </w:r>
      <w:r>
        <w:rPr>
          <w:color w:val="231F20"/>
          <w:w w:val="105"/>
          <w:sz w:val="21"/>
        </w:rPr>
        <w:t>union</w:t>
      </w:r>
      <w:r>
        <w:rPr>
          <w:color w:val="231F20"/>
          <w:spacing w:val="-7"/>
          <w:w w:val="105"/>
          <w:sz w:val="21"/>
        </w:rPr>
        <w:t xml:space="preserve"> </w:t>
      </w:r>
      <w:r>
        <w:rPr>
          <w:color w:val="231F20"/>
          <w:w w:val="105"/>
          <w:sz w:val="21"/>
        </w:rPr>
        <w:t>and</w:t>
      </w:r>
      <w:r>
        <w:rPr>
          <w:color w:val="231F20"/>
          <w:spacing w:val="-7"/>
          <w:w w:val="105"/>
          <w:sz w:val="21"/>
        </w:rPr>
        <w:t xml:space="preserve"> </w:t>
      </w:r>
      <w:r>
        <w:rPr>
          <w:color w:val="231F20"/>
          <w:w w:val="105"/>
          <w:sz w:val="21"/>
        </w:rPr>
        <w:t>the</w:t>
      </w:r>
      <w:r>
        <w:rPr>
          <w:color w:val="231F20"/>
          <w:spacing w:val="-7"/>
          <w:w w:val="105"/>
          <w:sz w:val="21"/>
        </w:rPr>
        <w:t xml:space="preserve"> </w:t>
      </w:r>
      <w:r>
        <w:rPr>
          <w:color w:val="231F20"/>
          <w:w w:val="105"/>
          <w:sz w:val="21"/>
        </w:rPr>
        <w:t>transcultural</w:t>
      </w:r>
      <w:r>
        <w:rPr>
          <w:color w:val="231F20"/>
          <w:spacing w:val="-7"/>
          <w:w w:val="105"/>
          <w:sz w:val="21"/>
        </w:rPr>
        <w:t xml:space="preserve"> </w:t>
      </w:r>
      <w:r>
        <w:rPr>
          <w:color w:val="231F20"/>
          <w:w w:val="105"/>
          <w:sz w:val="21"/>
        </w:rPr>
        <w:t>maul.</w:t>
      </w:r>
      <w:r>
        <w:rPr>
          <w:color w:val="231F20"/>
          <w:spacing w:val="-7"/>
          <w:w w:val="105"/>
          <w:sz w:val="21"/>
        </w:rPr>
        <w:t xml:space="preserve"> </w:t>
      </w:r>
      <w:r>
        <w:rPr>
          <w:color w:val="231F20"/>
          <w:w w:val="105"/>
          <w:sz w:val="21"/>
        </w:rPr>
        <w:t>In</w:t>
      </w:r>
      <w:r>
        <w:rPr>
          <w:color w:val="231F20"/>
          <w:spacing w:val="-7"/>
          <w:w w:val="105"/>
          <w:sz w:val="21"/>
        </w:rPr>
        <w:t xml:space="preserve"> </w:t>
      </w:r>
      <w:r>
        <w:rPr>
          <w:color w:val="231F20"/>
          <w:w w:val="105"/>
          <w:sz w:val="21"/>
        </w:rPr>
        <w:t>C.</w:t>
      </w:r>
      <w:r>
        <w:rPr>
          <w:color w:val="231F20"/>
          <w:spacing w:val="-7"/>
          <w:w w:val="105"/>
          <w:sz w:val="21"/>
        </w:rPr>
        <w:t xml:space="preserve"> </w:t>
      </w:r>
      <w:r>
        <w:rPr>
          <w:color w:val="231F20"/>
          <w:w w:val="105"/>
          <w:sz w:val="21"/>
        </w:rPr>
        <w:t xml:space="preserve">Acton and D. Hassan (eds) </w:t>
      </w:r>
      <w:r>
        <w:rPr>
          <w:i/>
          <w:color w:val="231F20"/>
          <w:w w:val="105"/>
          <w:sz w:val="21"/>
        </w:rPr>
        <w:t xml:space="preserve">Sport and Contested Identities: Contemporary </w:t>
      </w:r>
      <w:r>
        <w:rPr>
          <w:i/>
          <w:color w:val="231F20"/>
          <w:sz w:val="21"/>
        </w:rPr>
        <w:t xml:space="preserve">Issues and Debates </w:t>
      </w:r>
      <w:r>
        <w:rPr>
          <w:color w:val="231F20"/>
          <w:sz w:val="21"/>
        </w:rPr>
        <w:t>(pp. 191–206)</w:t>
      </w:r>
      <w:r>
        <w:rPr>
          <w:i/>
          <w:color w:val="231F20"/>
          <w:sz w:val="21"/>
        </w:rPr>
        <w:t xml:space="preserve">. </w:t>
      </w:r>
      <w:r>
        <w:rPr>
          <w:color w:val="231F20"/>
          <w:sz w:val="21"/>
        </w:rPr>
        <w:t>London and New York: Routledge.</w:t>
      </w:r>
    </w:p>
    <w:p w14:paraId="1612B6F2" w14:textId="77777777" w:rsidR="00AE0598" w:rsidRDefault="0069255A">
      <w:pPr>
        <w:spacing w:before="4" w:line="232" w:lineRule="auto"/>
        <w:ind w:left="223" w:right="241" w:firstLine="320"/>
        <w:jc w:val="both"/>
        <w:rPr>
          <w:i/>
          <w:sz w:val="21"/>
        </w:rPr>
      </w:pPr>
      <w:r>
        <w:rPr>
          <w:i/>
          <w:color w:val="231F20"/>
          <w:sz w:val="21"/>
        </w:rPr>
        <w:t>Additional references cited in this case study are inclu</w:t>
      </w:r>
      <w:r>
        <w:rPr>
          <w:i/>
          <w:color w:val="231F20"/>
          <w:sz w:val="21"/>
        </w:rPr>
        <w:t>ded in the reference list.</w:t>
      </w:r>
    </w:p>
    <w:p w14:paraId="67011863" w14:textId="77777777" w:rsidR="00AE0598" w:rsidRDefault="00AE0598">
      <w:pPr>
        <w:spacing w:line="232" w:lineRule="auto"/>
        <w:jc w:val="both"/>
        <w:rPr>
          <w:sz w:val="21"/>
        </w:rPr>
        <w:sectPr w:rsidR="00AE0598">
          <w:pgSz w:w="8850" w:h="13270"/>
          <w:pgMar w:top="720" w:right="1060" w:bottom="280" w:left="1080" w:header="720" w:footer="720" w:gutter="0"/>
          <w:cols w:space="720"/>
        </w:sectPr>
      </w:pPr>
    </w:p>
    <w:p w14:paraId="301169D4" w14:textId="77777777" w:rsidR="00AE0598" w:rsidRDefault="0069255A">
      <w:pPr>
        <w:spacing w:before="87"/>
        <w:ind w:left="108"/>
        <w:rPr>
          <w:rFonts w:ascii="Trebuchet MS"/>
          <w:sz w:val="14"/>
        </w:rPr>
      </w:pPr>
      <w:r>
        <w:rPr>
          <w:rFonts w:ascii="Trebuchet MS"/>
          <w:color w:val="231F20"/>
          <w:w w:val="105"/>
          <w:sz w:val="14"/>
        </w:rPr>
        <w:lastRenderedPageBreak/>
        <w:t>124</w:t>
      </w:r>
      <w:r>
        <w:rPr>
          <w:rFonts w:ascii="Trebuchet MS"/>
          <w:color w:val="231F20"/>
          <w:spacing w:val="66"/>
          <w:w w:val="150"/>
          <w:sz w:val="14"/>
        </w:rPr>
        <w:t xml:space="preserve"> </w:t>
      </w:r>
      <w:r>
        <w:rPr>
          <w:rFonts w:ascii="Trebuchet MS"/>
          <w:color w:val="231F20"/>
          <w:w w:val="105"/>
          <w:sz w:val="14"/>
        </w:rPr>
        <w:t>Part</w:t>
      </w:r>
      <w:r>
        <w:rPr>
          <w:rFonts w:ascii="Trebuchet MS"/>
          <w:color w:val="231F20"/>
          <w:spacing w:val="-9"/>
          <w:w w:val="105"/>
          <w:sz w:val="14"/>
        </w:rPr>
        <w:t xml:space="preserve"> </w:t>
      </w:r>
      <w:r>
        <w:rPr>
          <w:rFonts w:ascii="Trebuchet MS"/>
          <w:color w:val="231F20"/>
          <w:w w:val="105"/>
          <w:sz w:val="14"/>
        </w:rPr>
        <w:t>3:</w:t>
      </w:r>
      <w:r>
        <w:rPr>
          <w:rFonts w:ascii="Trebuchet MS"/>
          <w:color w:val="231F20"/>
          <w:spacing w:val="-8"/>
          <w:w w:val="105"/>
          <w:sz w:val="14"/>
        </w:rPr>
        <w:t xml:space="preserve"> </w:t>
      </w:r>
      <w:r>
        <w:rPr>
          <w:rFonts w:ascii="Trebuchet MS"/>
          <w:color w:val="231F20"/>
          <w:w w:val="105"/>
          <w:sz w:val="14"/>
        </w:rPr>
        <w:t>Sport</w:t>
      </w:r>
      <w:r>
        <w:rPr>
          <w:rFonts w:ascii="Trebuchet MS"/>
          <w:color w:val="231F20"/>
          <w:spacing w:val="-9"/>
          <w:w w:val="105"/>
          <w:sz w:val="14"/>
        </w:rPr>
        <w:t xml:space="preserve"> </w:t>
      </w:r>
      <w:r>
        <w:rPr>
          <w:rFonts w:ascii="Trebuchet MS"/>
          <w:color w:val="231F20"/>
          <w:w w:val="105"/>
          <w:sz w:val="14"/>
        </w:rPr>
        <w:t>Tourism</w:t>
      </w:r>
      <w:r>
        <w:rPr>
          <w:rFonts w:ascii="Trebuchet MS"/>
          <w:color w:val="231F20"/>
          <w:spacing w:val="-9"/>
          <w:w w:val="105"/>
          <w:sz w:val="14"/>
        </w:rPr>
        <w:t xml:space="preserve"> </w:t>
      </w:r>
      <w:r>
        <w:rPr>
          <w:rFonts w:ascii="Trebuchet MS"/>
          <w:color w:val="231F20"/>
          <w:w w:val="105"/>
          <w:sz w:val="14"/>
        </w:rPr>
        <w:t>Development</w:t>
      </w:r>
      <w:r>
        <w:rPr>
          <w:rFonts w:ascii="Trebuchet MS"/>
          <w:color w:val="231F20"/>
          <w:spacing w:val="-9"/>
          <w:w w:val="105"/>
          <w:sz w:val="14"/>
        </w:rPr>
        <w:t xml:space="preserve"> </w:t>
      </w:r>
      <w:r>
        <w:rPr>
          <w:rFonts w:ascii="Trebuchet MS"/>
          <w:color w:val="231F20"/>
          <w:w w:val="105"/>
          <w:sz w:val="14"/>
        </w:rPr>
        <w:t>and</w:t>
      </w:r>
      <w:r>
        <w:rPr>
          <w:rFonts w:ascii="Trebuchet MS"/>
          <w:color w:val="231F20"/>
          <w:spacing w:val="-8"/>
          <w:w w:val="105"/>
          <w:sz w:val="14"/>
        </w:rPr>
        <w:t xml:space="preserve"> </w:t>
      </w:r>
      <w:r>
        <w:rPr>
          <w:rFonts w:ascii="Trebuchet MS"/>
          <w:color w:val="231F20"/>
          <w:spacing w:val="-2"/>
          <w:w w:val="105"/>
          <w:sz w:val="14"/>
        </w:rPr>
        <w:t>Space</w:t>
      </w:r>
    </w:p>
    <w:p w14:paraId="2715B805" w14:textId="77777777" w:rsidR="00AE0598" w:rsidRDefault="00AE0598">
      <w:pPr>
        <w:pStyle w:val="Corpodetexto"/>
        <w:rPr>
          <w:rFonts w:ascii="Trebuchet MS"/>
          <w:sz w:val="16"/>
        </w:rPr>
      </w:pPr>
    </w:p>
    <w:p w14:paraId="07414EAB" w14:textId="77777777" w:rsidR="00AE0598" w:rsidRDefault="0069255A">
      <w:pPr>
        <w:pStyle w:val="Corpodetexto"/>
        <w:spacing w:before="118" w:line="232" w:lineRule="auto"/>
        <w:ind w:left="110" w:right="127" w:firstLine="320"/>
        <w:jc w:val="both"/>
      </w:pPr>
      <w:r>
        <w:rPr>
          <w:color w:val="231F20"/>
          <w:w w:val="95"/>
        </w:rPr>
        <w:t xml:space="preserve">Finally, sport heroes and heroines can have a strong impact on the way </w:t>
      </w:r>
      <w:r>
        <w:rPr>
          <w:color w:val="231F20"/>
        </w:rPr>
        <w:t>that</w:t>
      </w:r>
      <w:r>
        <w:rPr>
          <w:color w:val="231F20"/>
          <w:spacing w:val="34"/>
        </w:rPr>
        <w:t xml:space="preserve"> </w:t>
      </w:r>
      <w:r>
        <w:rPr>
          <w:color w:val="231F20"/>
        </w:rPr>
        <w:t>we</w:t>
      </w:r>
      <w:r>
        <w:rPr>
          <w:color w:val="231F20"/>
          <w:spacing w:val="34"/>
        </w:rPr>
        <w:t xml:space="preserve"> </w:t>
      </w:r>
      <w:r>
        <w:rPr>
          <w:color w:val="231F20"/>
        </w:rPr>
        <w:t>identify</w:t>
      </w:r>
      <w:r>
        <w:rPr>
          <w:color w:val="231F20"/>
          <w:spacing w:val="34"/>
        </w:rPr>
        <w:t xml:space="preserve"> </w:t>
      </w:r>
      <w:r>
        <w:rPr>
          <w:color w:val="231F20"/>
        </w:rPr>
        <w:t>with</w:t>
      </w:r>
      <w:r>
        <w:rPr>
          <w:color w:val="231F20"/>
          <w:spacing w:val="34"/>
        </w:rPr>
        <w:t xml:space="preserve"> </w:t>
      </w:r>
      <w:r>
        <w:rPr>
          <w:color w:val="231F20"/>
        </w:rPr>
        <w:t>place</w:t>
      </w:r>
      <w:r>
        <w:rPr>
          <w:color w:val="231F20"/>
          <w:spacing w:val="34"/>
        </w:rPr>
        <w:t xml:space="preserve"> </w:t>
      </w:r>
      <w:r>
        <w:rPr>
          <w:color w:val="231F20"/>
        </w:rPr>
        <w:t>(Dauncey</w:t>
      </w:r>
      <w:r>
        <w:rPr>
          <w:color w:val="231F20"/>
          <w:spacing w:val="34"/>
        </w:rPr>
        <w:t xml:space="preserve"> </w:t>
      </w:r>
      <w:r>
        <w:rPr>
          <w:color w:val="231F20"/>
        </w:rPr>
        <w:t>&amp;</w:t>
      </w:r>
      <w:r>
        <w:rPr>
          <w:color w:val="231F20"/>
          <w:spacing w:val="34"/>
        </w:rPr>
        <w:t xml:space="preserve"> </w:t>
      </w:r>
      <w:r>
        <w:rPr>
          <w:color w:val="231F20"/>
        </w:rPr>
        <w:t>Hare,</w:t>
      </w:r>
      <w:r>
        <w:rPr>
          <w:color w:val="231F20"/>
          <w:spacing w:val="34"/>
        </w:rPr>
        <w:t xml:space="preserve"> </w:t>
      </w:r>
      <w:r>
        <w:rPr>
          <w:color w:val="231F20"/>
        </w:rPr>
        <w:t>2000;</w:t>
      </w:r>
      <w:r>
        <w:rPr>
          <w:color w:val="231F20"/>
          <w:spacing w:val="34"/>
        </w:rPr>
        <w:t xml:space="preserve"> </w:t>
      </w:r>
      <w:r>
        <w:rPr>
          <w:color w:val="231F20"/>
        </w:rPr>
        <w:t>Nauright,</w:t>
      </w:r>
      <w:r>
        <w:rPr>
          <w:color w:val="231F20"/>
          <w:spacing w:val="34"/>
        </w:rPr>
        <w:t xml:space="preserve"> </w:t>
      </w:r>
      <w:r>
        <w:rPr>
          <w:color w:val="231F20"/>
        </w:rPr>
        <w:t>1996). A good illustration of this was the 2012 media frenzy coined ‘Linsanity’ that erupted when Jeremy Lin, the first Taiwanese-American to play in the National Basketball League, emerged from ‘nowhere’ to spark the struggling New York Knicks (Su, 2014).</w:t>
      </w:r>
      <w:r>
        <w:rPr>
          <w:color w:val="231F20"/>
        </w:rPr>
        <w:t xml:space="preserve"> While the US media portrayed Lin paradoxically as an American underdog yet perpetual foreigner, the Taiwanese media portrayed him as a national hero who illustrated the global relevance of Taiwan. In both cases, Lin’s star status served as a rallying poin</w:t>
      </w:r>
      <w:r>
        <w:rPr>
          <w:color w:val="231F20"/>
        </w:rPr>
        <w:t>t in the collective identities of basketball fans in the United States and Taiwan.</w:t>
      </w:r>
    </w:p>
    <w:p w14:paraId="6F73A818" w14:textId="77777777" w:rsidR="00AE0598" w:rsidRDefault="00AE0598">
      <w:pPr>
        <w:pStyle w:val="Corpodetexto"/>
        <w:spacing w:before="1"/>
        <w:rPr>
          <w:sz w:val="22"/>
        </w:rPr>
      </w:pPr>
    </w:p>
    <w:p w14:paraId="4304A6D7" w14:textId="77777777" w:rsidR="00AE0598" w:rsidRDefault="0069255A">
      <w:pPr>
        <w:ind w:left="110"/>
        <w:rPr>
          <w:rFonts w:ascii="Trebuchet MS"/>
          <w:sz w:val="20"/>
        </w:rPr>
      </w:pPr>
      <w:r>
        <w:rPr>
          <w:rFonts w:ascii="Trebuchet MS"/>
          <w:color w:val="231F20"/>
          <w:sz w:val="20"/>
        </w:rPr>
        <w:t>Sport</w:t>
      </w:r>
      <w:r>
        <w:rPr>
          <w:rFonts w:ascii="Trebuchet MS"/>
          <w:color w:val="231F20"/>
          <w:spacing w:val="15"/>
          <w:sz w:val="20"/>
        </w:rPr>
        <w:t xml:space="preserve"> </w:t>
      </w:r>
      <w:r>
        <w:rPr>
          <w:rFonts w:ascii="Trebuchet MS"/>
          <w:color w:val="231F20"/>
          <w:sz w:val="20"/>
        </w:rPr>
        <w:t>subcultures</w:t>
      </w:r>
      <w:r>
        <w:rPr>
          <w:rFonts w:ascii="Trebuchet MS"/>
          <w:color w:val="231F20"/>
          <w:spacing w:val="16"/>
          <w:sz w:val="20"/>
        </w:rPr>
        <w:t xml:space="preserve"> </w:t>
      </w:r>
      <w:r>
        <w:rPr>
          <w:rFonts w:ascii="Trebuchet MS"/>
          <w:color w:val="231F20"/>
          <w:sz w:val="20"/>
        </w:rPr>
        <w:t>and</w:t>
      </w:r>
      <w:r>
        <w:rPr>
          <w:rFonts w:ascii="Trebuchet MS"/>
          <w:color w:val="231F20"/>
          <w:spacing w:val="16"/>
          <w:sz w:val="20"/>
        </w:rPr>
        <w:t xml:space="preserve"> </w:t>
      </w:r>
      <w:r>
        <w:rPr>
          <w:rFonts w:ascii="Trebuchet MS"/>
          <w:color w:val="231F20"/>
          <w:sz w:val="20"/>
        </w:rPr>
        <w:t>social</w:t>
      </w:r>
      <w:r>
        <w:rPr>
          <w:rFonts w:ascii="Trebuchet MS"/>
          <w:color w:val="231F20"/>
          <w:spacing w:val="15"/>
          <w:sz w:val="20"/>
        </w:rPr>
        <w:t xml:space="preserve"> </w:t>
      </w:r>
      <w:r>
        <w:rPr>
          <w:rFonts w:ascii="Trebuchet MS"/>
          <w:color w:val="231F20"/>
          <w:spacing w:val="-2"/>
          <w:sz w:val="20"/>
        </w:rPr>
        <w:t>worlds</w:t>
      </w:r>
    </w:p>
    <w:p w14:paraId="24816557" w14:textId="77777777" w:rsidR="00AE0598" w:rsidRDefault="0069255A">
      <w:pPr>
        <w:pStyle w:val="Corpodetexto"/>
        <w:spacing w:before="122" w:line="232" w:lineRule="auto"/>
        <w:ind w:left="110" w:right="127" w:firstLine="320"/>
        <w:jc w:val="both"/>
      </w:pPr>
      <w:r>
        <w:rPr>
          <w:color w:val="231F20"/>
        </w:rPr>
        <w:t xml:space="preserve">Sport subcultures represent a third cultural dimension of sport that </w:t>
      </w:r>
      <w:r>
        <w:rPr>
          <w:color w:val="231F20"/>
          <w:w w:val="95"/>
        </w:rPr>
        <w:t>contributes to place identity in a tourism context (Focus Point 6.2</w:t>
      </w:r>
      <w:r>
        <w:rPr>
          <w:color w:val="231F20"/>
          <w:w w:val="95"/>
        </w:rPr>
        <w:t xml:space="preserve">). These </w:t>
      </w:r>
      <w:r>
        <w:rPr>
          <w:color w:val="231F20"/>
        </w:rPr>
        <w:t>subcultures</w:t>
      </w:r>
      <w:r>
        <w:rPr>
          <w:color w:val="231F20"/>
          <w:spacing w:val="-4"/>
        </w:rPr>
        <w:t xml:space="preserve"> </w:t>
      </w:r>
      <w:r>
        <w:rPr>
          <w:color w:val="231F20"/>
        </w:rPr>
        <w:t>are</w:t>
      </w:r>
      <w:r>
        <w:rPr>
          <w:color w:val="231F20"/>
          <w:spacing w:val="-4"/>
        </w:rPr>
        <w:t xml:space="preserve"> </w:t>
      </w:r>
      <w:r>
        <w:rPr>
          <w:color w:val="231F20"/>
        </w:rPr>
        <w:t>generally</w:t>
      </w:r>
      <w:r>
        <w:rPr>
          <w:color w:val="231F20"/>
          <w:spacing w:val="-4"/>
        </w:rPr>
        <w:t xml:space="preserve"> </w:t>
      </w:r>
      <w:r>
        <w:rPr>
          <w:color w:val="231F20"/>
        </w:rPr>
        <w:t>characterised</w:t>
      </w:r>
      <w:r>
        <w:rPr>
          <w:color w:val="231F20"/>
          <w:spacing w:val="-4"/>
        </w:rPr>
        <w:t xml:space="preserve"> </w:t>
      </w:r>
      <w:r>
        <w:rPr>
          <w:color w:val="231F20"/>
        </w:rPr>
        <w:t>by</w:t>
      </w:r>
      <w:r>
        <w:rPr>
          <w:color w:val="231F20"/>
          <w:spacing w:val="-4"/>
        </w:rPr>
        <w:t xml:space="preserve"> </w:t>
      </w:r>
      <w:r>
        <w:rPr>
          <w:color w:val="231F20"/>
        </w:rPr>
        <w:t>a</w:t>
      </w:r>
      <w:r>
        <w:rPr>
          <w:color w:val="231F20"/>
          <w:spacing w:val="-4"/>
        </w:rPr>
        <w:t xml:space="preserve"> </w:t>
      </w:r>
      <w:r>
        <w:rPr>
          <w:color w:val="231F20"/>
        </w:rPr>
        <w:t>commitment</w:t>
      </w:r>
      <w:r>
        <w:rPr>
          <w:color w:val="231F20"/>
          <w:spacing w:val="-4"/>
        </w:rPr>
        <w:t xml:space="preserve"> </w:t>
      </w:r>
      <w:r>
        <w:rPr>
          <w:color w:val="231F20"/>
        </w:rPr>
        <w:t>to</w:t>
      </w:r>
      <w:r>
        <w:rPr>
          <w:color w:val="231F20"/>
          <w:spacing w:val="-4"/>
        </w:rPr>
        <w:t xml:space="preserve"> </w:t>
      </w:r>
      <w:r>
        <w:rPr>
          <w:color w:val="231F20"/>
        </w:rPr>
        <w:t>a</w:t>
      </w:r>
      <w:r>
        <w:rPr>
          <w:color w:val="231F20"/>
          <w:spacing w:val="-4"/>
        </w:rPr>
        <w:t xml:space="preserve"> </w:t>
      </w:r>
      <w:r>
        <w:rPr>
          <w:color w:val="231F20"/>
        </w:rPr>
        <w:t xml:space="preserve">particular </w:t>
      </w:r>
      <w:r>
        <w:rPr>
          <w:color w:val="231F20"/>
          <w:w w:val="95"/>
        </w:rPr>
        <w:t>sport, distinguishing symbols or cultural capital and various career stages</w:t>
      </w:r>
      <w:r>
        <w:rPr>
          <w:color w:val="231F20"/>
          <w:spacing w:val="40"/>
        </w:rPr>
        <w:t xml:space="preserve"> </w:t>
      </w:r>
      <w:r>
        <w:rPr>
          <w:color w:val="231F20"/>
        </w:rPr>
        <w:t>in terms of subculture membership. The use of the term ‘subculture’ in this instance is meant to be</w:t>
      </w:r>
      <w:r>
        <w:rPr>
          <w:color w:val="231F20"/>
        </w:rPr>
        <w:t xml:space="preserve"> inclusive of lifestyle and neo-tribal concepts of sporting cultures that are distinguishable from dominant cultures (Wheaton, 2007). It is also closely related to the concept of social</w:t>
      </w:r>
      <w:r>
        <w:rPr>
          <w:color w:val="231F20"/>
          <w:spacing w:val="80"/>
        </w:rPr>
        <w:t xml:space="preserve"> </w:t>
      </w:r>
      <w:r>
        <w:rPr>
          <w:color w:val="231F20"/>
        </w:rPr>
        <w:t>worlds</w:t>
      </w:r>
      <w:r>
        <w:rPr>
          <w:color w:val="231F20"/>
          <w:spacing w:val="-6"/>
        </w:rPr>
        <w:t xml:space="preserve"> </w:t>
      </w:r>
      <w:r>
        <w:rPr>
          <w:color w:val="231F20"/>
        </w:rPr>
        <w:t>(Unruh,</w:t>
      </w:r>
      <w:r>
        <w:rPr>
          <w:color w:val="231F20"/>
          <w:spacing w:val="-6"/>
        </w:rPr>
        <w:t xml:space="preserve"> </w:t>
      </w:r>
      <w:r>
        <w:rPr>
          <w:color w:val="231F20"/>
        </w:rPr>
        <w:t>1980).</w:t>
      </w:r>
      <w:r>
        <w:rPr>
          <w:color w:val="231F20"/>
          <w:spacing w:val="-6"/>
        </w:rPr>
        <w:t xml:space="preserve"> </w:t>
      </w:r>
      <w:r>
        <w:rPr>
          <w:color w:val="231F20"/>
        </w:rPr>
        <w:t>Sport</w:t>
      </w:r>
      <w:r>
        <w:rPr>
          <w:color w:val="231F20"/>
          <w:spacing w:val="-6"/>
        </w:rPr>
        <w:t xml:space="preserve"> </w:t>
      </w:r>
      <w:r>
        <w:rPr>
          <w:color w:val="231F20"/>
        </w:rPr>
        <w:t>subcultures</w:t>
      </w:r>
      <w:r>
        <w:rPr>
          <w:color w:val="231F20"/>
          <w:spacing w:val="-6"/>
        </w:rPr>
        <w:t xml:space="preserve"> </w:t>
      </w:r>
      <w:r>
        <w:rPr>
          <w:color w:val="231F20"/>
        </w:rPr>
        <w:t>are</w:t>
      </w:r>
      <w:r>
        <w:rPr>
          <w:color w:val="231F20"/>
          <w:spacing w:val="-6"/>
        </w:rPr>
        <w:t xml:space="preserve"> </w:t>
      </w:r>
      <w:r>
        <w:rPr>
          <w:color w:val="231F20"/>
        </w:rPr>
        <w:t>of</w:t>
      </w:r>
      <w:r>
        <w:rPr>
          <w:color w:val="231F20"/>
          <w:spacing w:val="-6"/>
        </w:rPr>
        <w:t xml:space="preserve"> </w:t>
      </w:r>
      <w:r>
        <w:rPr>
          <w:color w:val="231F20"/>
        </w:rPr>
        <w:t>interest</w:t>
      </w:r>
      <w:r>
        <w:rPr>
          <w:color w:val="231F20"/>
          <w:spacing w:val="-6"/>
        </w:rPr>
        <w:t xml:space="preserve"> </w:t>
      </w:r>
      <w:r>
        <w:rPr>
          <w:color w:val="231F20"/>
        </w:rPr>
        <w:t>because</w:t>
      </w:r>
      <w:r>
        <w:rPr>
          <w:color w:val="231F20"/>
          <w:spacing w:val="-6"/>
        </w:rPr>
        <w:t xml:space="preserve"> </w:t>
      </w:r>
      <w:r>
        <w:rPr>
          <w:color w:val="231F20"/>
        </w:rPr>
        <w:t>they</w:t>
      </w:r>
      <w:r>
        <w:rPr>
          <w:color w:val="231F20"/>
          <w:spacing w:val="-6"/>
        </w:rPr>
        <w:t xml:space="preserve"> </w:t>
      </w:r>
      <w:r>
        <w:rPr>
          <w:color w:val="231F20"/>
        </w:rPr>
        <w:t>are characterised</w:t>
      </w:r>
      <w:r>
        <w:rPr>
          <w:color w:val="231F20"/>
          <w:spacing w:val="-9"/>
        </w:rPr>
        <w:t xml:space="preserve"> </w:t>
      </w:r>
      <w:r>
        <w:rPr>
          <w:color w:val="231F20"/>
        </w:rPr>
        <w:t>by</w:t>
      </w:r>
      <w:r>
        <w:rPr>
          <w:color w:val="231F20"/>
          <w:spacing w:val="-9"/>
        </w:rPr>
        <w:t xml:space="preserve"> </w:t>
      </w:r>
      <w:r>
        <w:rPr>
          <w:color w:val="231F20"/>
        </w:rPr>
        <w:t>unique</w:t>
      </w:r>
      <w:r>
        <w:rPr>
          <w:color w:val="231F20"/>
          <w:spacing w:val="-9"/>
        </w:rPr>
        <w:t xml:space="preserve"> </w:t>
      </w:r>
      <w:r>
        <w:rPr>
          <w:color w:val="231F20"/>
        </w:rPr>
        <w:t>relationships</w:t>
      </w:r>
      <w:r>
        <w:rPr>
          <w:color w:val="231F20"/>
          <w:spacing w:val="-9"/>
        </w:rPr>
        <w:t xml:space="preserve"> </w:t>
      </w:r>
      <w:r>
        <w:rPr>
          <w:color w:val="231F20"/>
        </w:rPr>
        <w:t>to</w:t>
      </w:r>
      <w:r>
        <w:rPr>
          <w:color w:val="231F20"/>
          <w:spacing w:val="-9"/>
        </w:rPr>
        <w:t xml:space="preserve"> </w:t>
      </w:r>
      <w:r>
        <w:rPr>
          <w:color w:val="231F20"/>
        </w:rPr>
        <w:t>place</w:t>
      </w:r>
      <w:r>
        <w:rPr>
          <w:color w:val="231F20"/>
          <w:spacing w:val="-9"/>
        </w:rPr>
        <w:t xml:space="preserve"> </w:t>
      </w:r>
      <w:r>
        <w:rPr>
          <w:color w:val="231F20"/>
        </w:rPr>
        <w:t>including</w:t>
      </w:r>
      <w:r>
        <w:rPr>
          <w:color w:val="231F20"/>
          <w:spacing w:val="-9"/>
        </w:rPr>
        <w:t xml:space="preserve"> </w:t>
      </w:r>
      <w:r>
        <w:rPr>
          <w:color w:val="231F20"/>
        </w:rPr>
        <w:t>place</w:t>
      </w:r>
      <w:r>
        <w:rPr>
          <w:color w:val="231F20"/>
          <w:spacing w:val="-9"/>
        </w:rPr>
        <w:t xml:space="preserve"> </w:t>
      </w:r>
      <w:r>
        <w:rPr>
          <w:color w:val="231F20"/>
        </w:rPr>
        <w:t>identity.</w:t>
      </w:r>
    </w:p>
    <w:p w14:paraId="13198F47" w14:textId="73E61286" w:rsidR="00AE0598" w:rsidRDefault="0069255A">
      <w:pPr>
        <w:pStyle w:val="Corpodetexto"/>
        <w:spacing w:before="8"/>
        <w:rPr>
          <w:sz w:val="27"/>
        </w:rPr>
      </w:pPr>
      <w:r>
        <w:rPr>
          <w:noProof/>
        </w:rPr>
        <mc:AlternateContent>
          <mc:Choice Requires="wps">
            <w:drawing>
              <wp:anchor distT="0" distB="0" distL="0" distR="0" simplePos="0" relativeHeight="487646208" behindDoc="1" locked="0" layoutInCell="1" allowOverlap="1" wp14:anchorId="6D877963" wp14:editId="3DCCC674">
                <wp:simplePos x="0" y="0"/>
                <wp:positionH relativeFrom="page">
                  <wp:posOffset>755650</wp:posOffset>
                </wp:positionH>
                <wp:positionV relativeFrom="paragraph">
                  <wp:posOffset>221615</wp:posOffset>
                </wp:positionV>
                <wp:extent cx="4104005" cy="2876550"/>
                <wp:effectExtent l="0" t="0" r="0" b="0"/>
                <wp:wrapTopAndBottom/>
                <wp:docPr id="198" name="docshape1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04005" cy="2876550"/>
                        </a:xfrm>
                        <a:prstGeom prst="rect">
                          <a:avLst/>
                        </a:prstGeom>
                        <a:solidFill>
                          <a:srgbClr val="DCDDD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D22C040" w14:textId="77777777" w:rsidR="00AE0598" w:rsidRDefault="0069255A">
                            <w:pPr>
                              <w:spacing w:before="75" w:line="247" w:lineRule="auto"/>
                              <w:ind w:left="113" w:right="1520"/>
                              <w:jc w:val="both"/>
                              <w:rPr>
                                <w:rFonts w:ascii="Trebuchet MS"/>
                                <w:color w:val="000000"/>
                                <w:sz w:val="20"/>
                              </w:rPr>
                            </w:pPr>
                            <w:r>
                              <w:rPr>
                                <w:rFonts w:ascii="Trebuchet MS"/>
                                <w:color w:val="231F20"/>
                                <w:sz w:val="20"/>
                              </w:rPr>
                              <w:t>Focus Point 6.2: The Kosti Cycling Rally at Denpasar, Bali, March 2017</w:t>
                            </w:r>
                          </w:p>
                          <w:p w14:paraId="59361404" w14:textId="77777777" w:rsidR="00AE0598" w:rsidRDefault="0069255A">
                            <w:pPr>
                              <w:pStyle w:val="Corpodetexto"/>
                              <w:spacing w:before="110"/>
                              <w:ind w:left="113"/>
                              <w:jc w:val="both"/>
                              <w:rPr>
                                <w:color w:val="000000"/>
                              </w:rPr>
                            </w:pPr>
                            <w:r>
                              <w:rPr>
                                <w:color w:val="231F20"/>
                              </w:rPr>
                              <w:t>Glen</w:t>
                            </w:r>
                            <w:r>
                              <w:rPr>
                                <w:color w:val="231F20"/>
                                <w:spacing w:val="17"/>
                              </w:rPr>
                              <w:t xml:space="preserve"> </w:t>
                            </w:r>
                            <w:r>
                              <w:rPr>
                                <w:color w:val="231F20"/>
                              </w:rPr>
                              <w:t>Norcliffe,</w:t>
                            </w:r>
                            <w:r>
                              <w:rPr>
                                <w:color w:val="231F20"/>
                                <w:spacing w:val="17"/>
                              </w:rPr>
                              <w:t xml:space="preserve"> </w:t>
                            </w:r>
                            <w:r>
                              <w:rPr>
                                <w:color w:val="231F20"/>
                              </w:rPr>
                              <w:t>York</w:t>
                            </w:r>
                            <w:r>
                              <w:rPr>
                                <w:color w:val="231F20"/>
                                <w:spacing w:val="17"/>
                              </w:rPr>
                              <w:t xml:space="preserve"> </w:t>
                            </w:r>
                            <w:r>
                              <w:rPr>
                                <w:color w:val="231F20"/>
                                <w:spacing w:val="-2"/>
                              </w:rPr>
                              <w:t>University</w:t>
                            </w:r>
                          </w:p>
                          <w:p w14:paraId="0AAAC336" w14:textId="77777777" w:rsidR="00AE0598" w:rsidRDefault="0069255A">
                            <w:pPr>
                              <w:pStyle w:val="Corpodetexto"/>
                              <w:spacing w:before="120" w:line="232" w:lineRule="auto"/>
                              <w:ind w:left="113" w:right="111" w:firstLine="320"/>
                              <w:jc w:val="both"/>
                              <w:rPr>
                                <w:color w:val="000000"/>
                              </w:rPr>
                            </w:pPr>
                            <w:r>
                              <w:rPr>
                                <w:color w:val="231F20"/>
                              </w:rPr>
                              <w:t>The Komunitas Sepeda Tua Indonesia (KOSTI – Indonesia’s veteran</w:t>
                            </w:r>
                            <w:r>
                              <w:rPr>
                                <w:color w:val="231F20"/>
                                <w:spacing w:val="-12"/>
                              </w:rPr>
                              <w:t xml:space="preserve"> </w:t>
                            </w:r>
                            <w:r>
                              <w:rPr>
                                <w:color w:val="231F20"/>
                              </w:rPr>
                              <w:t>cycl</w:t>
                            </w:r>
                            <w:r>
                              <w:rPr>
                                <w:color w:val="231F20"/>
                              </w:rPr>
                              <w:t>e</w:t>
                            </w:r>
                            <w:r>
                              <w:rPr>
                                <w:color w:val="231F20"/>
                                <w:spacing w:val="-12"/>
                              </w:rPr>
                              <w:t xml:space="preserve"> </w:t>
                            </w:r>
                            <w:r>
                              <w:rPr>
                                <w:color w:val="231F20"/>
                              </w:rPr>
                              <w:t>club)</w:t>
                            </w:r>
                            <w:r>
                              <w:rPr>
                                <w:color w:val="231F20"/>
                                <w:spacing w:val="-11"/>
                              </w:rPr>
                              <w:t xml:space="preserve"> </w:t>
                            </w:r>
                            <w:r>
                              <w:rPr>
                                <w:color w:val="231F20"/>
                              </w:rPr>
                              <w:t>invited</w:t>
                            </w:r>
                            <w:r>
                              <w:rPr>
                                <w:color w:val="231F20"/>
                                <w:spacing w:val="-12"/>
                              </w:rPr>
                              <w:t xml:space="preserve"> </w:t>
                            </w:r>
                            <w:r>
                              <w:rPr>
                                <w:color w:val="231F20"/>
                              </w:rPr>
                              <w:t>members</w:t>
                            </w:r>
                            <w:r>
                              <w:rPr>
                                <w:color w:val="231F20"/>
                                <w:spacing w:val="-11"/>
                              </w:rPr>
                              <w:t xml:space="preserve"> </w:t>
                            </w:r>
                            <w:r>
                              <w:rPr>
                                <w:color w:val="231F20"/>
                              </w:rPr>
                              <w:t>of</w:t>
                            </w:r>
                            <w:r>
                              <w:rPr>
                                <w:color w:val="231F20"/>
                                <w:spacing w:val="-12"/>
                              </w:rPr>
                              <w:t xml:space="preserve"> </w:t>
                            </w:r>
                            <w:r>
                              <w:rPr>
                                <w:color w:val="231F20"/>
                              </w:rPr>
                              <w:t>the</w:t>
                            </w:r>
                            <w:r>
                              <w:rPr>
                                <w:color w:val="231F20"/>
                                <w:spacing w:val="-11"/>
                              </w:rPr>
                              <w:t xml:space="preserve"> </w:t>
                            </w:r>
                            <w:r>
                              <w:rPr>
                                <w:color w:val="231F20"/>
                              </w:rPr>
                              <w:t>International</w:t>
                            </w:r>
                            <w:r>
                              <w:rPr>
                                <w:color w:val="231F20"/>
                                <w:spacing w:val="-12"/>
                              </w:rPr>
                              <w:t xml:space="preserve"> </w:t>
                            </w:r>
                            <w:r>
                              <w:rPr>
                                <w:color w:val="231F20"/>
                              </w:rPr>
                              <w:t>Veteran</w:t>
                            </w:r>
                            <w:r>
                              <w:rPr>
                                <w:color w:val="231F20"/>
                                <w:spacing w:val="-12"/>
                              </w:rPr>
                              <w:t xml:space="preserve"> </w:t>
                            </w:r>
                            <w:r>
                              <w:rPr>
                                <w:color w:val="231F20"/>
                              </w:rPr>
                              <w:t xml:space="preserve">Cycle Association (IVCA) – who are mostly based in Europe and North America – to attend their annual rally held in March 2017 at Kediri in </w:t>
                            </w:r>
                            <w:r>
                              <w:rPr>
                                <w:color w:val="231F20"/>
                                <w:w w:val="95"/>
                              </w:rPr>
                              <w:t>East</w:t>
                            </w:r>
                            <w:r>
                              <w:rPr>
                                <w:color w:val="231F20"/>
                                <w:spacing w:val="-2"/>
                                <w:w w:val="95"/>
                              </w:rPr>
                              <w:t xml:space="preserve"> </w:t>
                            </w:r>
                            <w:r>
                              <w:rPr>
                                <w:color w:val="231F20"/>
                                <w:w w:val="95"/>
                              </w:rPr>
                              <w:t>Java.</w:t>
                            </w:r>
                            <w:r>
                              <w:rPr>
                                <w:color w:val="231F20"/>
                                <w:spacing w:val="-2"/>
                                <w:w w:val="95"/>
                              </w:rPr>
                              <w:t xml:space="preserve"> </w:t>
                            </w:r>
                            <w:r>
                              <w:rPr>
                                <w:color w:val="231F20"/>
                                <w:w w:val="95"/>
                              </w:rPr>
                              <w:t>Approximately</w:t>
                            </w:r>
                            <w:r>
                              <w:rPr>
                                <w:color w:val="231F20"/>
                                <w:spacing w:val="-2"/>
                                <w:w w:val="95"/>
                              </w:rPr>
                              <w:t xml:space="preserve"> </w:t>
                            </w:r>
                            <w:r>
                              <w:rPr>
                                <w:color w:val="231F20"/>
                                <w:w w:val="95"/>
                              </w:rPr>
                              <w:t>7000</w:t>
                            </w:r>
                            <w:r>
                              <w:rPr>
                                <w:color w:val="231F20"/>
                                <w:spacing w:val="-2"/>
                                <w:w w:val="95"/>
                              </w:rPr>
                              <w:t xml:space="preserve"> </w:t>
                            </w:r>
                            <w:r>
                              <w:rPr>
                                <w:color w:val="231F20"/>
                                <w:w w:val="95"/>
                              </w:rPr>
                              <w:t>cyclists</w:t>
                            </w:r>
                            <w:r>
                              <w:rPr>
                                <w:color w:val="231F20"/>
                                <w:spacing w:val="-2"/>
                                <w:w w:val="95"/>
                              </w:rPr>
                              <w:t xml:space="preserve"> </w:t>
                            </w:r>
                            <w:r>
                              <w:rPr>
                                <w:color w:val="231F20"/>
                                <w:w w:val="95"/>
                              </w:rPr>
                              <w:t>attended,</w:t>
                            </w:r>
                            <w:r>
                              <w:rPr>
                                <w:color w:val="231F20"/>
                                <w:spacing w:val="-2"/>
                                <w:w w:val="95"/>
                              </w:rPr>
                              <w:t xml:space="preserve"> </w:t>
                            </w:r>
                            <w:r>
                              <w:rPr>
                                <w:color w:val="231F20"/>
                                <w:w w:val="95"/>
                              </w:rPr>
                              <w:t>the</w:t>
                            </w:r>
                            <w:r>
                              <w:rPr>
                                <w:color w:val="231F20"/>
                                <w:spacing w:val="-2"/>
                                <w:w w:val="95"/>
                              </w:rPr>
                              <w:t xml:space="preserve"> </w:t>
                            </w:r>
                            <w:r>
                              <w:rPr>
                                <w:color w:val="231F20"/>
                                <w:w w:val="95"/>
                              </w:rPr>
                              <w:t>great</w:t>
                            </w:r>
                            <w:r>
                              <w:rPr>
                                <w:color w:val="231F20"/>
                                <w:spacing w:val="-2"/>
                                <w:w w:val="95"/>
                              </w:rPr>
                              <w:t xml:space="preserve"> </w:t>
                            </w:r>
                            <w:r>
                              <w:rPr>
                                <w:color w:val="231F20"/>
                                <w:w w:val="95"/>
                              </w:rPr>
                              <w:t>majority</w:t>
                            </w:r>
                            <w:r>
                              <w:rPr>
                                <w:color w:val="231F20"/>
                                <w:spacing w:val="-2"/>
                                <w:w w:val="95"/>
                              </w:rPr>
                              <w:t xml:space="preserve"> </w:t>
                            </w:r>
                            <w:r>
                              <w:rPr>
                                <w:color w:val="231F20"/>
                                <w:w w:val="95"/>
                              </w:rPr>
                              <w:t>being Indonesians drawn from 700 KOSTI clubs repr</w:t>
                            </w:r>
                            <w:r>
                              <w:rPr>
                                <w:color w:val="231F20"/>
                                <w:w w:val="95"/>
                              </w:rPr>
                              <w:t>esenting 17 of</w:t>
                            </w:r>
                            <w:r>
                              <w:rPr>
                                <w:color w:val="231F20"/>
                              </w:rPr>
                              <w:t xml:space="preserve"> </w:t>
                            </w:r>
                            <w:r>
                              <w:rPr>
                                <w:color w:val="231F20"/>
                                <w:w w:val="95"/>
                              </w:rPr>
                              <w:t xml:space="preserve">Indonesia’s </w:t>
                            </w:r>
                            <w:r>
                              <w:rPr>
                                <w:color w:val="231F20"/>
                                <w:spacing w:val="-2"/>
                              </w:rPr>
                              <w:t>32</w:t>
                            </w:r>
                            <w:r>
                              <w:rPr>
                                <w:color w:val="231F20"/>
                                <w:spacing w:val="-5"/>
                              </w:rPr>
                              <w:t xml:space="preserve"> </w:t>
                            </w:r>
                            <w:r>
                              <w:rPr>
                                <w:color w:val="231F20"/>
                                <w:spacing w:val="-2"/>
                              </w:rPr>
                              <w:t>culturally</w:t>
                            </w:r>
                            <w:r>
                              <w:rPr>
                                <w:color w:val="231F20"/>
                                <w:spacing w:val="-5"/>
                              </w:rPr>
                              <w:t xml:space="preserve"> </w:t>
                            </w:r>
                            <w:r>
                              <w:rPr>
                                <w:color w:val="231F20"/>
                                <w:spacing w:val="-2"/>
                              </w:rPr>
                              <w:t>diverse</w:t>
                            </w:r>
                            <w:r>
                              <w:rPr>
                                <w:color w:val="231F20"/>
                                <w:spacing w:val="-5"/>
                              </w:rPr>
                              <w:t xml:space="preserve"> </w:t>
                            </w:r>
                            <w:r>
                              <w:rPr>
                                <w:color w:val="231F20"/>
                                <w:spacing w:val="-2"/>
                              </w:rPr>
                              <w:t>provinces,</w:t>
                            </w:r>
                            <w:r>
                              <w:rPr>
                                <w:color w:val="231F20"/>
                                <w:spacing w:val="-5"/>
                              </w:rPr>
                              <w:t xml:space="preserve"> </w:t>
                            </w:r>
                            <w:r>
                              <w:rPr>
                                <w:color w:val="231F20"/>
                                <w:spacing w:val="-2"/>
                              </w:rPr>
                              <w:t>plus</w:t>
                            </w:r>
                            <w:r>
                              <w:rPr>
                                <w:color w:val="231F20"/>
                                <w:spacing w:val="-5"/>
                              </w:rPr>
                              <w:t xml:space="preserve"> </w:t>
                            </w:r>
                            <w:r>
                              <w:rPr>
                                <w:color w:val="231F20"/>
                                <w:spacing w:val="-2"/>
                              </w:rPr>
                              <w:t>a</w:t>
                            </w:r>
                            <w:r>
                              <w:rPr>
                                <w:color w:val="231F20"/>
                                <w:spacing w:val="-5"/>
                              </w:rPr>
                              <w:t xml:space="preserve"> </w:t>
                            </w:r>
                            <w:r>
                              <w:rPr>
                                <w:color w:val="231F20"/>
                                <w:spacing w:val="-2"/>
                              </w:rPr>
                              <w:t>few</w:t>
                            </w:r>
                            <w:r>
                              <w:rPr>
                                <w:color w:val="231F20"/>
                                <w:spacing w:val="-5"/>
                              </w:rPr>
                              <w:t xml:space="preserve"> </w:t>
                            </w:r>
                            <w:r>
                              <w:rPr>
                                <w:color w:val="231F20"/>
                                <w:spacing w:val="-2"/>
                              </w:rPr>
                              <w:t>invited</w:t>
                            </w:r>
                            <w:r>
                              <w:rPr>
                                <w:color w:val="231F20"/>
                                <w:spacing w:val="-5"/>
                              </w:rPr>
                              <w:t xml:space="preserve"> </w:t>
                            </w:r>
                            <w:r>
                              <w:rPr>
                                <w:color w:val="231F20"/>
                                <w:spacing w:val="-2"/>
                              </w:rPr>
                              <w:t>IVCA</w:t>
                            </w:r>
                            <w:r>
                              <w:rPr>
                                <w:color w:val="231F20"/>
                                <w:spacing w:val="-5"/>
                              </w:rPr>
                              <w:t xml:space="preserve"> </w:t>
                            </w:r>
                            <w:r>
                              <w:rPr>
                                <w:color w:val="231F20"/>
                                <w:spacing w:val="-2"/>
                              </w:rPr>
                              <w:t>members.</w:t>
                            </w:r>
                            <w:r>
                              <w:rPr>
                                <w:color w:val="231F20"/>
                                <w:spacing w:val="-5"/>
                              </w:rPr>
                              <w:t xml:space="preserve"> </w:t>
                            </w:r>
                            <w:r>
                              <w:rPr>
                                <w:color w:val="231F20"/>
                                <w:spacing w:val="-2"/>
                              </w:rPr>
                              <w:t xml:space="preserve">Most </w:t>
                            </w:r>
                            <w:r>
                              <w:rPr>
                                <w:color w:val="231F20"/>
                              </w:rPr>
                              <w:t>bicycles were Dutch machines imported during the colonial period or since</w:t>
                            </w:r>
                            <w:r>
                              <w:rPr>
                                <w:color w:val="231F20"/>
                                <w:spacing w:val="-3"/>
                              </w:rPr>
                              <w:t xml:space="preserve"> </w:t>
                            </w:r>
                            <w:r>
                              <w:rPr>
                                <w:color w:val="231F20"/>
                              </w:rPr>
                              <w:t>then</w:t>
                            </w:r>
                            <w:r>
                              <w:rPr>
                                <w:color w:val="231F20"/>
                                <w:spacing w:val="-3"/>
                              </w:rPr>
                              <w:t xml:space="preserve"> </w:t>
                            </w:r>
                            <w:r>
                              <w:rPr>
                                <w:color w:val="231F20"/>
                              </w:rPr>
                              <w:t>made</w:t>
                            </w:r>
                            <w:r>
                              <w:rPr>
                                <w:color w:val="231F20"/>
                                <w:spacing w:val="-3"/>
                              </w:rPr>
                              <w:t xml:space="preserve"> </w:t>
                            </w:r>
                            <w:r>
                              <w:rPr>
                                <w:color w:val="231F20"/>
                              </w:rPr>
                              <w:t>in</w:t>
                            </w:r>
                            <w:r>
                              <w:rPr>
                                <w:color w:val="231F20"/>
                                <w:spacing w:val="-3"/>
                              </w:rPr>
                              <w:t xml:space="preserve"> </w:t>
                            </w:r>
                            <w:r>
                              <w:rPr>
                                <w:color w:val="231F20"/>
                              </w:rPr>
                              <w:t>Indonesia.</w:t>
                            </w:r>
                            <w:r>
                              <w:rPr>
                                <w:color w:val="231F20"/>
                                <w:spacing w:val="-3"/>
                              </w:rPr>
                              <w:t xml:space="preserve"> </w:t>
                            </w:r>
                            <w:r>
                              <w:rPr>
                                <w:color w:val="231F20"/>
                              </w:rPr>
                              <w:t>Attendees</w:t>
                            </w:r>
                            <w:r>
                              <w:rPr>
                                <w:color w:val="231F20"/>
                                <w:spacing w:val="-3"/>
                              </w:rPr>
                              <w:t xml:space="preserve"> </w:t>
                            </w:r>
                            <w:r>
                              <w:rPr>
                                <w:color w:val="231F20"/>
                              </w:rPr>
                              <w:t>paraded</w:t>
                            </w:r>
                            <w:r>
                              <w:rPr>
                                <w:color w:val="231F20"/>
                                <w:spacing w:val="-3"/>
                              </w:rPr>
                              <w:t xml:space="preserve"> </w:t>
                            </w:r>
                            <w:r>
                              <w:rPr>
                                <w:color w:val="231F20"/>
                              </w:rPr>
                              <w:t>along</w:t>
                            </w:r>
                            <w:r>
                              <w:rPr>
                                <w:color w:val="231F20"/>
                                <w:spacing w:val="-3"/>
                              </w:rPr>
                              <w:t xml:space="preserve"> </w:t>
                            </w:r>
                            <w:r>
                              <w:rPr>
                                <w:color w:val="231F20"/>
                              </w:rPr>
                              <w:t>a</w:t>
                            </w:r>
                            <w:r>
                              <w:rPr>
                                <w:color w:val="231F20"/>
                                <w:spacing w:val="-3"/>
                              </w:rPr>
                              <w:t xml:space="preserve"> </w:t>
                            </w:r>
                            <w:r>
                              <w:rPr>
                                <w:color w:val="231F20"/>
                              </w:rPr>
                              <w:t>20</w:t>
                            </w:r>
                            <w:r>
                              <w:rPr>
                                <w:color w:val="231F20"/>
                                <w:spacing w:val="-3"/>
                              </w:rPr>
                              <w:t xml:space="preserve"> </w:t>
                            </w:r>
                            <w:r>
                              <w:rPr>
                                <w:color w:val="231F20"/>
                              </w:rPr>
                              <w:t>km</w:t>
                            </w:r>
                            <w:r>
                              <w:rPr>
                                <w:color w:val="231F20"/>
                                <w:spacing w:val="-3"/>
                              </w:rPr>
                              <w:t xml:space="preserve"> </w:t>
                            </w:r>
                            <w:r>
                              <w:rPr>
                                <w:color w:val="231F20"/>
                              </w:rPr>
                              <w:t xml:space="preserve">route </w:t>
                            </w:r>
                            <w:r>
                              <w:rPr>
                                <w:color w:val="231F20"/>
                                <w:w w:val="95"/>
                              </w:rPr>
                              <w:t>through the town, most</w:t>
                            </w:r>
                            <w:r>
                              <w:rPr>
                                <w:color w:val="231F20"/>
                                <w:w w:val="95"/>
                              </w:rPr>
                              <w:t xml:space="preserve"> in costume, many playing local and international </w:t>
                            </w:r>
                            <w:r>
                              <w:rPr>
                                <w:color w:val="231F20"/>
                              </w:rPr>
                              <w:t xml:space="preserve">music as they cycled along in club groups. This rally illustrates the </w:t>
                            </w:r>
                            <w:r>
                              <w:rPr>
                                <w:color w:val="231F20"/>
                                <w:spacing w:val="-2"/>
                                <w:w w:val="95"/>
                              </w:rPr>
                              <w:t>meeting</w:t>
                            </w:r>
                            <w:r>
                              <w:rPr>
                                <w:color w:val="231F20"/>
                                <w:spacing w:val="-3"/>
                                <w:w w:val="95"/>
                              </w:rPr>
                              <w:t xml:space="preserve"> </w:t>
                            </w:r>
                            <w:r>
                              <w:rPr>
                                <w:color w:val="231F20"/>
                                <w:spacing w:val="-2"/>
                                <w:w w:val="95"/>
                              </w:rPr>
                              <w:t>of</w:t>
                            </w:r>
                            <w:r>
                              <w:rPr>
                                <w:color w:val="231F20"/>
                                <w:spacing w:val="13"/>
                              </w:rPr>
                              <w:t xml:space="preserve"> </w:t>
                            </w:r>
                            <w:r>
                              <w:rPr>
                                <w:color w:val="231F20"/>
                                <w:spacing w:val="-2"/>
                                <w:w w:val="95"/>
                              </w:rPr>
                              <w:t>numerous</w:t>
                            </w:r>
                            <w:r>
                              <w:rPr>
                                <w:color w:val="231F20"/>
                                <w:spacing w:val="-3"/>
                                <w:w w:val="95"/>
                              </w:rPr>
                              <w:t xml:space="preserve"> </w:t>
                            </w:r>
                            <w:r>
                              <w:rPr>
                                <w:color w:val="231F20"/>
                                <w:spacing w:val="-2"/>
                                <w:w w:val="95"/>
                              </w:rPr>
                              <w:t>subcultures</w:t>
                            </w:r>
                            <w:r>
                              <w:rPr>
                                <w:color w:val="231F20"/>
                                <w:spacing w:val="-3"/>
                                <w:w w:val="95"/>
                              </w:rPr>
                              <w:t xml:space="preserve"> </w:t>
                            </w:r>
                            <w:r>
                              <w:rPr>
                                <w:color w:val="231F20"/>
                                <w:spacing w:val="-2"/>
                                <w:w w:val="95"/>
                              </w:rPr>
                              <w:t>at</w:t>
                            </w:r>
                            <w:r>
                              <w:rPr>
                                <w:color w:val="231F20"/>
                                <w:spacing w:val="-3"/>
                                <w:w w:val="95"/>
                              </w:rPr>
                              <w:t xml:space="preserve"> </w:t>
                            </w:r>
                            <w:r>
                              <w:rPr>
                                <w:color w:val="231F20"/>
                                <w:spacing w:val="-2"/>
                                <w:w w:val="95"/>
                              </w:rPr>
                              <w:t>a</w:t>
                            </w:r>
                            <w:r>
                              <w:rPr>
                                <w:color w:val="231F20"/>
                                <w:spacing w:val="-3"/>
                                <w:w w:val="95"/>
                              </w:rPr>
                              <w:t xml:space="preserve"> </w:t>
                            </w:r>
                            <w:r>
                              <w:rPr>
                                <w:color w:val="231F20"/>
                                <w:spacing w:val="-2"/>
                                <w:w w:val="95"/>
                              </w:rPr>
                              <w:t>contemporary</w:t>
                            </w:r>
                            <w:r>
                              <w:rPr>
                                <w:color w:val="231F20"/>
                                <w:spacing w:val="-3"/>
                                <w:w w:val="95"/>
                              </w:rPr>
                              <w:t xml:space="preserve"> </w:t>
                            </w:r>
                            <w:r>
                              <w:rPr>
                                <w:color w:val="231F20"/>
                                <w:spacing w:val="-2"/>
                                <w:w w:val="95"/>
                              </w:rPr>
                              <w:t>sports</w:t>
                            </w:r>
                            <w:r>
                              <w:rPr>
                                <w:color w:val="231F20"/>
                                <w:spacing w:val="-3"/>
                                <w:w w:val="95"/>
                              </w:rPr>
                              <w:t xml:space="preserve"> </w:t>
                            </w:r>
                            <w:r>
                              <w:rPr>
                                <w:color w:val="231F20"/>
                                <w:spacing w:val="-2"/>
                                <w:w w:val="95"/>
                              </w:rPr>
                              <w:t>tourism</w:t>
                            </w:r>
                            <w:r>
                              <w:rPr>
                                <w:color w:val="231F20"/>
                                <w:spacing w:val="-3"/>
                                <w:w w:val="95"/>
                              </w:rPr>
                              <w:t xml:space="preserve"> </w:t>
                            </w:r>
                            <w:r>
                              <w:rPr>
                                <w:color w:val="231F20"/>
                                <w:spacing w:val="-2"/>
                                <w:w w:val="95"/>
                              </w:rPr>
                              <w:t xml:space="preserve">event. </w:t>
                            </w:r>
                            <w:r>
                              <w:rPr>
                                <w:color w:val="231F20"/>
                              </w:rPr>
                              <w:t xml:space="preserve">Accommodation ranged from low-cost to expensive. Many attendees </w:t>
                            </w:r>
                            <w:r>
                              <w:rPr>
                                <w:color w:val="231F20"/>
                                <w:w w:val="95"/>
                              </w:rPr>
                              <w:t>slept</w:t>
                            </w:r>
                            <w:r>
                              <w:rPr>
                                <w:color w:val="231F20"/>
                                <w:spacing w:val="19"/>
                              </w:rPr>
                              <w:t xml:space="preserve"> </w:t>
                            </w:r>
                            <w:r>
                              <w:rPr>
                                <w:color w:val="231F20"/>
                                <w:w w:val="95"/>
                              </w:rPr>
                              <w:t>under</w:t>
                            </w:r>
                            <w:r>
                              <w:rPr>
                                <w:color w:val="231F20"/>
                                <w:spacing w:val="19"/>
                              </w:rPr>
                              <w:t xml:space="preserve"> </w:t>
                            </w:r>
                            <w:r>
                              <w:rPr>
                                <w:color w:val="231F20"/>
                                <w:w w:val="95"/>
                              </w:rPr>
                              <w:t>trucks</w:t>
                            </w:r>
                            <w:r>
                              <w:rPr>
                                <w:color w:val="231F20"/>
                                <w:spacing w:val="19"/>
                              </w:rPr>
                              <w:t xml:space="preserve"> </w:t>
                            </w:r>
                            <w:r>
                              <w:rPr>
                                <w:color w:val="231F20"/>
                                <w:w w:val="95"/>
                              </w:rPr>
                              <w:t>driven</w:t>
                            </w:r>
                            <w:r>
                              <w:rPr>
                                <w:color w:val="231F20"/>
                                <w:spacing w:val="20"/>
                              </w:rPr>
                              <w:t xml:space="preserve"> </w:t>
                            </w:r>
                            <w:r>
                              <w:rPr>
                                <w:color w:val="231F20"/>
                                <w:w w:val="95"/>
                              </w:rPr>
                              <w:t>by</w:t>
                            </w:r>
                            <w:r>
                              <w:rPr>
                                <w:color w:val="231F20"/>
                                <w:spacing w:val="19"/>
                              </w:rPr>
                              <w:t xml:space="preserve"> </w:t>
                            </w:r>
                            <w:r>
                              <w:rPr>
                                <w:color w:val="231F20"/>
                                <w:w w:val="95"/>
                              </w:rPr>
                              <w:t>local</w:t>
                            </w:r>
                            <w:r>
                              <w:rPr>
                                <w:color w:val="231F20"/>
                                <w:spacing w:val="19"/>
                              </w:rPr>
                              <w:t xml:space="preserve"> </w:t>
                            </w:r>
                            <w:r>
                              <w:rPr>
                                <w:color w:val="231F20"/>
                                <w:w w:val="95"/>
                              </w:rPr>
                              <w:t>club</w:t>
                            </w:r>
                            <w:r>
                              <w:rPr>
                                <w:color w:val="231F20"/>
                                <w:spacing w:val="20"/>
                              </w:rPr>
                              <w:t xml:space="preserve"> </w:t>
                            </w:r>
                            <w:r>
                              <w:rPr>
                                <w:color w:val="231F20"/>
                                <w:w w:val="95"/>
                              </w:rPr>
                              <w:t>members</w:t>
                            </w:r>
                            <w:r>
                              <w:rPr>
                                <w:color w:val="231F20"/>
                                <w:spacing w:val="19"/>
                              </w:rPr>
                              <w:t xml:space="preserve"> </w:t>
                            </w:r>
                            <w:r>
                              <w:rPr>
                                <w:color w:val="231F20"/>
                                <w:w w:val="95"/>
                              </w:rPr>
                              <w:t>to</w:t>
                            </w:r>
                            <w:r>
                              <w:rPr>
                                <w:color w:val="231F20"/>
                                <w:spacing w:val="19"/>
                              </w:rPr>
                              <w:t xml:space="preserve"> </w:t>
                            </w:r>
                            <w:r>
                              <w:rPr>
                                <w:color w:val="231F20"/>
                                <w:w w:val="95"/>
                              </w:rPr>
                              <w:t>Kediri,</w:t>
                            </w:r>
                            <w:r>
                              <w:rPr>
                                <w:color w:val="231F20"/>
                                <w:spacing w:val="20"/>
                              </w:rPr>
                              <w:t xml:space="preserve"> </w:t>
                            </w:r>
                            <w:r>
                              <w:rPr>
                                <w:color w:val="231F20"/>
                                <w:w w:val="95"/>
                              </w:rPr>
                              <w:t>some</w:t>
                            </w:r>
                            <w:r>
                              <w:rPr>
                                <w:color w:val="231F20"/>
                                <w:spacing w:val="19"/>
                              </w:rPr>
                              <w:t xml:space="preserve"> </w:t>
                            </w:r>
                            <w:r>
                              <w:rPr>
                                <w:color w:val="231F20"/>
                                <w:spacing w:val="-2"/>
                                <w:w w:val="95"/>
                              </w:rPr>
                              <w:t>chose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877963" id="docshape170" o:spid="_x0000_s1085" type="#_x0000_t202" style="position:absolute;margin-left:59.5pt;margin-top:17.45pt;width:323.15pt;height:226.5pt;z-index:-156702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" fillcolor="#dcddde" stroked="f">
                <v:textbox inset="0,0,0,0">
                  <w:txbxContent>
                    <w:p w14:paraId="1D22C040" w14:textId="77777777" w:rsidR="00AE0598" w:rsidRDefault="0069255A">
                      <w:pPr>
                        <w:spacing w:before="75" w:line="247" w:lineRule="auto"/>
                        <w:ind w:left="113" w:right="1520"/>
                        <w:jc w:val="both"/>
                        <w:rPr>
                          <w:rFonts w:ascii="Trebuchet MS"/>
                          <w:color w:val="000000"/>
                          <w:sz w:val="20"/>
                        </w:rPr>
                      </w:pPr>
                      <w:r>
                        <w:rPr>
                          <w:rFonts w:ascii="Trebuchet MS"/>
                          <w:color w:val="231F20"/>
                          <w:sz w:val="20"/>
                        </w:rPr>
                        <w:t>Focus Point 6.2: The Kosti Cycling Rally at Denpasar, Bali, March 2017</w:t>
                      </w:r>
                    </w:p>
                    <w:p w14:paraId="59361404" w14:textId="77777777" w:rsidR="00AE0598" w:rsidRDefault="0069255A">
                      <w:pPr>
                        <w:pStyle w:val="Corpodetexto"/>
                        <w:spacing w:before="110"/>
                        <w:ind w:left="113"/>
                        <w:jc w:val="both"/>
                        <w:rPr>
                          <w:color w:val="000000"/>
                        </w:rPr>
                      </w:pPr>
                      <w:r>
                        <w:rPr>
                          <w:color w:val="231F20"/>
                        </w:rPr>
                        <w:t>Glen</w:t>
                      </w:r>
                      <w:r>
                        <w:rPr>
                          <w:color w:val="231F20"/>
                          <w:spacing w:val="17"/>
                        </w:rPr>
                        <w:t xml:space="preserve"> </w:t>
                      </w:r>
                      <w:r>
                        <w:rPr>
                          <w:color w:val="231F20"/>
                        </w:rPr>
                        <w:t>Norcliffe,</w:t>
                      </w:r>
                      <w:r>
                        <w:rPr>
                          <w:color w:val="231F20"/>
                          <w:spacing w:val="17"/>
                        </w:rPr>
                        <w:t xml:space="preserve"> </w:t>
                      </w:r>
                      <w:r>
                        <w:rPr>
                          <w:color w:val="231F20"/>
                        </w:rPr>
                        <w:t>York</w:t>
                      </w:r>
                      <w:r>
                        <w:rPr>
                          <w:color w:val="231F20"/>
                          <w:spacing w:val="17"/>
                        </w:rPr>
                        <w:t xml:space="preserve"> </w:t>
                      </w:r>
                      <w:r>
                        <w:rPr>
                          <w:color w:val="231F20"/>
                          <w:spacing w:val="-2"/>
                        </w:rPr>
                        <w:t>University</w:t>
                      </w:r>
                    </w:p>
                    <w:p w14:paraId="0AAAC336" w14:textId="77777777" w:rsidR="00AE0598" w:rsidRDefault="0069255A">
                      <w:pPr>
                        <w:pStyle w:val="Corpodetexto"/>
                        <w:spacing w:before="120" w:line="232" w:lineRule="auto"/>
                        <w:ind w:left="113" w:right="111" w:firstLine="320"/>
                        <w:jc w:val="both"/>
                        <w:rPr>
                          <w:color w:val="000000"/>
                        </w:rPr>
                      </w:pPr>
                      <w:r>
                        <w:rPr>
                          <w:color w:val="231F20"/>
                        </w:rPr>
                        <w:t>The Komunitas Sepeda Tua Indonesia (KOSTI – Indonesia’s veteran</w:t>
                      </w:r>
                      <w:r>
                        <w:rPr>
                          <w:color w:val="231F20"/>
                          <w:spacing w:val="-12"/>
                        </w:rPr>
                        <w:t xml:space="preserve"> </w:t>
                      </w:r>
                      <w:r>
                        <w:rPr>
                          <w:color w:val="231F20"/>
                        </w:rPr>
                        <w:t>cycl</w:t>
                      </w:r>
                      <w:r>
                        <w:rPr>
                          <w:color w:val="231F20"/>
                        </w:rPr>
                        <w:t>e</w:t>
                      </w:r>
                      <w:r>
                        <w:rPr>
                          <w:color w:val="231F20"/>
                          <w:spacing w:val="-12"/>
                        </w:rPr>
                        <w:t xml:space="preserve"> </w:t>
                      </w:r>
                      <w:r>
                        <w:rPr>
                          <w:color w:val="231F20"/>
                        </w:rPr>
                        <w:t>club)</w:t>
                      </w:r>
                      <w:r>
                        <w:rPr>
                          <w:color w:val="231F20"/>
                          <w:spacing w:val="-11"/>
                        </w:rPr>
                        <w:t xml:space="preserve"> </w:t>
                      </w:r>
                      <w:r>
                        <w:rPr>
                          <w:color w:val="231F20"/>
                        </w:rPr>
                        <w:t>invited</w:t>
                      </w:r>
                      <w:r>
                        <w:rPr>
                          <w:color w:val="231F20"/>
                          <w:spacing w:val="-12"/>
                        </w:rPr>
                        <w:t xml:space="preserve"> </w:t>
                      </w:r>
                      <w:r>
                        <w:rPr>
                          <w:color w:val="231F20"/>
                        </w:rPr>
                        <w:t>members</w:t>
                      </w:r>
                      <w:r>
                        <w:rPr>
                          <w:color w:val="231F20"/>
                          <w:spacing w:val="-11"/>
                        </w:rPr>
                        <w:t xml:space="preserve"> </w:t>
                      </w:r>
                      <w:r>
                        <w:rPr>
                          <w:color w:val="231F20"/>
                        </w:rPr>
                        <w:t>of</w:t>
                      </w:r>
                      <w:r>
                        <w:rPr>
                          <w:color w:val="231F20"/>
                          <w:spacing w:val="-12"/>
                        </w:rPr>
                        <w:t xml:space="preserve"> </w:t>
                      </w:r>
                      <w:r>
                        <w:rPr>
                          <w:color w:val="231F20"/>
                        </w:rPr>
                        <w:t>the</w:t>
                      </w:r>
                      <w:r>
                        <w:rPr>
                          <w:color w:val="231F20"/>
                          <w:spacing w:val="-11"/>
                        </w:rPr>
                        <w:t xml:space="preserve"> </w:t>
                      </w:r>
                      <w:r>
                        <w:rPr>
                          <w:color w:val="231F20"/>
                        </w:rPr>
                        <w:t>International</w:t>
                      </w:r>
                      <w:r>
                        <w:rPr>
                          <w:color w:val="231F20"/>
                          <w:spacing w:val="-12"/>
                        </w:rPr>
                        <w:t xml:space="preserve"> </w:t>
                      </w:r>
                      <w:r>
                        <w:rPr>
                          <w:color w:val="231F20"/>
                        </w:rPr>
                        <w:t>Veteran</w:t>
                      </w:r>
                      <w:r>
                        <w:rPr>
                          <w:color w:val="231F20"/>
                          <w:spacing w:val="-12"/>
                        </w:rPr>
                        <w:t xml:space="preserve"> </w:t>
                      </w:r>
                      <w:r>
                        <w:rPr>
                          <w:color w:val="231F20"/>
                        </w:rPr>
                        <w:t xml:space="preserve">Cycle Association (IVCA) – who are mostly based in Europe and North America – to attend their annual rally held in March 2017 at Kediri in </w:t>
                      </w:r>
                      <w:r>
                        <w:rPr>
                          <w:color w:val="231F20"/>
                          <w:w w:val="95"/>
                        </w:rPr>
                        <w:t>East</w:t>
                      </w:r>
                      <w:r>
                        <w:rPr>
                          <w:color w:val="231F20"/>
                          <w:spacing w:val="-2"/>
                          <w:w w:val="95"/>
                        </w:rPr>
                        <w:t xml:space="preserve"> </w:t>
                      </w:r>
                      <w:r>
                        <w:rPr>
                          <w:color w:val="231F20"/>
                          <w:w w:val="95"/>
                        </w:rPr>
                        <w:t>Java.</w:t>
                      </w:r>
                      <w:r>
                        <w:rPr>
                          <w:color w:val="231F20"/>
                          <w:spacing w:val="-2"/>
                          <w:w w:val="95"/>
                        </w:rPr>
                        <w:t xml:space="preserve"> </w:t>
                      </w:r>
                      <w:r>
                        <w:rPr>
                          <w:color w:val="231F20"/>
                          <w:w w:val="95"/>
                        </w:rPr>
                        <w:t>Approximately</w:t>
                      </w:r>
                      <w:r>
                        <w:rPr>
                          <w:color w:val="231F20"/>
                          <w:spacing w:val="-2"/>
                          <w:w w:val="95"/>
                        </w:rPr>
                        <w:t xml:space="preserve"> </w:t>
                      </w:r>
                      <w:r>
                        <w:rPr>
                          <w:color w:val="231F20"/>
                          <w:w w:val="95"/>
                        </w:rPr>
                        <w:t>7000</w:t>
                      </w:r>
                      <w:r>
                        <w:rPr>
                          <w:color w:val="231F20"/>
                          <w:spacing w:val="-2"/>
                          <w:w w:val="95"/>
                        </w:rPr>
                        <w:t xml:space="preserve"> </w:t>
                      </w:r>
                      <w:r>
                        <w:rPr>
                          <w:color w:val="231F20"/>
                          <w:w w:val="95"/>
                        </w:rPr>
                        <w:t>cyclists</w:t>
                      </w:r>
                      <w:r>
                        <w:rPr>
                          <w:color w:val="231F20"/>
                          <w:spacing w:val="-2"/>
                          <w:w w:val="95"/>
                        </w:rPr>
                        <w:t xml:space="preserve"> </w:t>
                      </w:r>
                      <w:r>
                        <w:rPr>
                          <w:color w:val="231F20"/>
                          <w:w w:val="95"/>
                        </w:rPr>
                        <w:t>attended,</w:t>
                      </w:r>
                      <w:r>
                        <w:rPr>
                          <w:color w:val="231F20"/>
                          <w:spacing w:val="-2"/>
                          <w:w w:val="95"/>
                        </w:rPr>
                        <w:t xml:space="preserve"> </w:t>
                      </w:r>
                      <w:r>
                        <w:rPr>
                          <w:color w:val="231F20"/>
                          <w:w w:val="95"/>
                        </w:rPr>
                        <w:t>the</w:t>
                      </w:r>
                      <w:r>
                        <w:rPr>
                          <w:color w:val="231F20"/>
                          <w:spacing w:val="-2"/>
                          <w:w w:val="95"/>
                        </w:rPr>
                        <w:t xml:space="preserve"> </w:t>
                      </w:r>
                      <w:r>
                        <w:rPr>
                          <w:color w:val="231F20"/>
                          <w:w w:val="95"/>
                        </w:rPr>
                        <w:t>great</w:t>
                      </w:r>
                      <w:r>
                        <w:rPr>
                          <w:color w:val="231F20"/>
                          <w:spacing w:val="-2"/>
                          <w:w w:val="95"/>
                        </w:rPr>
                        <w:t xml:space="preserve"> </w:t>
                      </w:r>
                      <w:r>
                        <w:rPr>
                          <w:color w:val="231F20"/>
                          <w:w w:val="95"/>
                        </w:rPr>
                        <w:t>majority</w:t>
                      </w:r>
                      <w:r>
                        <w:rPr>
                          <w:color w:val="231F20"/>
                          <w:spacing w:val="-2"/>
                          <w:w w:val="95"/>
                        </w:rPr>
                        <w:t xml:space="preserve"> </w:t>
                      </w:r>
                      <w:r>
                        <w:rPr>
                          <w:color w:val="231F20"/>
                          <w:w w:val="95"/>
                        </w:rPr>
                        <w:t>being Indonesians drawn from 700 KOSTI clubs repr</w:t>
                      </w:r>
                      <w:r>
                        <w:rPr>
                          <w:color w:val="231F20"/>
                          <w:w w:val="95"/>
                        </w:rPr>
                        <w:t>esenting 17 of</w:t>
                      </w:r>
                      <w:r>
                        <w:rPr>
                          <w:color w:val="231F20"/>
                        </w:rPr>
                        <w:t xml:space="preserve"> </w:t>
                      </w:r>
                      <w:r>
                        <w:rPr>
                          <w:color w:val="231F20"/>
                          <w:w w:val="95"/>
                        </w:rPr>
                        <w:t xml:space="preserve">Indonesia’s </w:t>
                      </w:r>
                      <w:r>
                        <w:rPr>
                          <w:color w:val="231F20"/>
                          <w:spacing w:val="-2"/>
                        </w:rPr>
                        <w:t>32</w:t>
                      </w:r>
                      <w:r>
                        <w:rPr>
                          <w:color w:val="231F20"/>
                          <w:spacing w:val="-5"/>
                        </w:rPr>
                        <w:t xml:space="preserve"> </w:t>
                      </w:r>
                      <w:r>
                        <w:rPr>
                          <w:color w:val="231F20"/>
                          <w:spacing w:val="-2"/>
                        </w:rPr>
                        <w:t>culturally</w:t>
                      </w:r>
                      <w:r>
                        <w:rPr>
                          <w:color w:val="231F20"/>
                          <w:spacing w:val="-5"/>
                        </w:rPr>
                        <w:t xml:space="preserve"> </w:t>
                      </w:r>
                      <w:r>
                        <w:rPr>
                          <w:color w:val="231F20"/>
                          <w:spacing w:val="-2"/>
                        </w:rPr>
                        <w:t>diverse</w:t>
                      </w:r>
                      <w:r>
                        <w:rPr>
                          <w:color w:val="231F20"/>
                          <w:spacing w:val="-5"/>
                        </w:rPr>
                        <w:t xml:space="preserve"> </w:t>
                      </w:r>
                      <w:r>
                        <w:rPr>
                          <w:color w:val="231F20"/>
                          <w:spacing w:val="-2"/>
                        </w:rPr>
                        <w:t>provinces,</w:t>
                      </w:r>
                      <w:r>
                        <w:rPr>
                          <w:color w:val="231F20"/>
                          <w:spacing w:val="-5"/>
                        </w:rPr>
                        <w:t xml:space="preserve"> </w:t>
                      </w:r>
                      <w:r>
                        <w:rPr>
                          <w:color w:val="231F20"/>
                          <w:spacing w:val="-2"/>
                        </w:rPr>
                        <w:t>plus</w:t>
                      </w:r>
                      <w:r>
                        <w:rPr>
                          <w:color w:val="231F20"/>
                          <w:spacing w:val="-5"/>
                        </w:rPr>
                        <w:t xml:space="preserve"> </w:t>
                      </w:r>
                      <w:r>
                        <w:rPr>
                          <w:color w:val="231F20"/>
                          <w:spacing w:val="-2"/>
                        </w:rPr>
                        <w:t>a</w:t>
                      </w:r>
                      <w:r>
                        <w:rPr>
                          <w:color w:val="231F20"/>
                          <w:spacing w:val="-5"/>
                        </w:rPr>
                        <w:t xml:space="preserve"> </w:t>
                      </w:r>
                      <w:r>
                        <w:rPr>
                          <w:color w:val="231F20"/>
                          <w:spacing w:val="-2"/>
                        </w:rPr>
                        <w:t>few</w:t>
                      </w:r>
                      <w:r>
                        <w:rPr>
                          <w:color w:val="231F20"/>
                          <w:spacing w:val="-5"/>
                        </w:rPr>
                        <w:t xml:space="preserve"> </w:t>
                      </w:r>
                      <w:r>
                        <w:rPr>
                          <w:color w:val="231F20"/>
                          <w:spacing w:val="-2"/>
                        </w:rPr>
                        <w:t>invited</w:t>
                      </w:r>
                      <w:r>
                        <w:rPr>
                          <w:color w:val="231F20"/>
                          <w:spacing w:val="-5"/>
                        </w:rPr>
                        <w:t xml:space="preserve"> </w:t>
                      </w:r>
                      <w:r>
                        <w:rPr>
                          <w:color w:val="231F20"/>
                          <w:spacing w:val="-2"/>
                        </w:rPr>
                        <w:t>IVCA</w:t>
                      </w:r>
                      <w:r>
                        <w:rPr>
                          <w:color w:val="231F20"/>
                          <w:spacing w:val="-5"/>
                        </w:rPr>
                        <w:t xml:space="preserve"> </w:t>
                      </w:r>
                      <w:r>
                        <w:rPr>
                          <w:color w:val="231F20"/>
                          <w:spacing w:val="-2"/>
                        </w:rPr>
                        <w:t>members.</w:t>
                      </w:r>
                      <w:r>
                        <w:rPr>
                          <w:color w:val="231F20"/>
                          <w:spacing w:val="-5"/>
                        </w:rPr>
                        <w:t xml:space="preserve"> </w:t>
                      </w:r>
                      <w:r>
                        <w:rPr>
                          <w:color w:val="231F20"/>
                          <w:spacing w:val="-2"/>
                        </w:rPr>
                        <w:t xml:space="preserve">Most </w:t>
                      </w:r>
                      <w:r>
                        <w:rPr>
                          <w:color w:val="231F20"/>
                        </w:rPr>
                        <w:t>bicycles were Dutch machines imported during the colonial period or since</w:t>
                      </w:r>
                      <w:r>
                        <w:rPr>
                          <w:color w:val="231F20"/>
                          <w:spacing w:val="-3"/>
                        </w:rPr>
                        <w:t xml:space="preserve"> </w:t>
                      </w:r>
                      <w:r>
                        <w:rPr>
                          <w:color w:val="231F20"/>
                        </w:rPr>
                        <w:t>then</w:t>
                      </w:r>
                      <w:r>
                        <w:rPr>
                          <w:color w:val="231F20"/>
                          <w:spacing w:val="-3"/>
                        </w:rPr>
                        <w:t xml:space="preserve"> </w:t>
                      </w:r>
                      <w:r>
                        <w:rPr>
                          <w:color w:val="231F20"/>
                        </w:rPr>
                        <w:t>made</w:t>
                      </w:r>
                      <w:r>
                        <w:rPr>
                          <w:color w:val="231F20"/>
                          <w:spacing w:val="-3"/>
                        </w:rPr>
                        <w:t xml:space="preserve"> </w:t>
                      </w:r>
                      <w:r>
                        <w:rPr>
                          <w:color w:val="231F20"/>
                        </w:rPr>
                        <w:t>in</w:t>
                      </w:r>
                      <w:r>
                        <w:rPr>
                          <w:color w:val="231F20"/>
                          <w:spacing w:val="-3"/>
                        </w:rPr>
                        <w:t xml:space="preserve"> </w:t>
                      </w:r>
                      <w:r>
                        <w:rPr>
                          <w:color w:val="231F20"/>
                        </w:rPr>
                        <w:t>Indonesia.</w:t>
                      </w:r>
                      <w:r>
                        <w:rPr>
                          <w:color w:val="231F20"/>
                          <w:spacing w:val="-3"/>
                        </w:rPr>
                        <w:t xml:space="preserve"> </w:t>
                      </w:r>
                      <w:r>
                        <w:rPr>
                          <w:color w:val="231F20"/>
                        </w:rPr>
                        <w:t>Attendees</w:t>
                      </w:r>
                      <w:r>
                        <w:rPr>
                          <w:color w:val="231F20"/>
                          <w:spacing w:val="-3"/>
                        </w:rPr>
                        <w:t xml:space="preserve"> </w:t>
                      </w:r>
                      <w:r>
                        <w:rPr>
                          <w:color w:val="231F20"/>
                        </w:rPr>
                        <w:t>paraded</w:t>
                      </w:r>
                      <w:r>
                        <w:rPr>
                          <w:color w:val="231F20"/>
                          <w:spacing w:val="-3"/>
                        </w:rPr>
                        <w:t xml:space="preserve"> </w:t>
                      </w:r>
                      <w:r>
                        <w:rPr>
                          <w:color w:val="231F20"/>
                        </w:rPr>
                        <w:t>along</w:t>
                      </w:r>
                      <w:r>
                        <w:rPr>
                          <w:color w:val="231F20"/>
                          <w:spacing w:val="-3"/>
                        </w:rPr>
                        <w:t xml:space="preserve"> </w:t>
                      </w:r>
                      <w:r>
                        <w:rPr>
                          <w:color w:val="231F20"/>
                        </w:rPr>
                        <w:t>a</w:t>
                      </w:r>
                      <w:r>
                        <w:rPr>
                          <w:color w:val="231F20"/>
                          <w:spacing w:val="-3"/>
                        </w:rPr>
                        <w:t xml:space="preserve"> </w:t>
                      </w:r>
                      <w:r>
                        <w:rPr>
                          <w:color w:val="231F20"/>
                        </w:rPr>
                        <w:t>20</w:t>
                      </w:r>
                      <w:r>
                        <w:rPr>
                          <w:color w:val="231F20"/>
                          <w:spacing w:val="-3"/>
                        </w:rPr>
                        <w:t xml:space="preserve"> </w:t>
                      </w:r>
                      <w:r>
                        <w:rPr>
                          <w:color w:val="231F20"/>
                        </w:rPr>
                        <w:t>km</w:t>
                      </w:r>
                      <w:r>
                        <w:rPr>
                          <w:color w:val="231F20"/>
                          <w:spacing w:val="-3"/>
                        </w:rPr>
                        <w:t xml:space="preserve"> </w:t>
                      </w:r>
                      <w:r>
                        <w:rPr>
                          <w:color w:val="231F20"/>
                        </w:rPr>
                        <w:t xml:space="preserve">route </w:t>
                      </w:r>
                      <w:r>
                        <w:rPr>
                          <w:color w:val="231F20"/>
                          <w:w w:val="95"/>
                        </w:rPr>
                        <w:t>through the town, most</w:t>
                      </w:r>
                      <w:r>
                        <w:rPr>
                          <w:color w:val="231F20"/>
                          <w:w w:val="95"/>
                        </w:rPr>
                        <w:t xml:space="preserve"> in costume, many playing local and international </w:t>
                      </w:r>
                      <w:r>
                        <w:rPr>
                          <w:color w:val="231F20"/>
                        </w:rPr>
                        <w:t xml:space="preserve">music as they cycled along in club groups. This rally illustrates the </w:t>
                      </w:r>
                      <w:r>
                        <w:rPr>
                          <w:color w:val="231F20"/>
                          <w:spacing w:val="-2"/>
                          <w:w w:val="95"/>
                        </w:rPr>
                        <w:t>meeting</w:t>
                      </w:r>
                      <w:r>
                        <w:rPr>
                          <w:color w:val="231F20"/>
                          <w:spacing w:val="-3"/>
                          <w:w w:val="95"/>
                        </w:rPr>
                        <w:t xml:space="preserve"> </w:t>
                      </w:r>
                      <w:r>
                        <w:rPr>
                          <w:color w:val="231F20"/>
                          <w:spacing w:val="-2"/>
                          <w:w w:val="95"/>
                        </w:rPr>
                        <w:t>of</w:t>
                      </w:r>
                      <w:r>
                        <w:rPr>
                          <w:color w:val="231F20"/>
                          <w:spacing w:val="13"/>
                        </w:rPr>
                        <w:t xml:space="preserve"> </w:t>
                      </w:r>
                      <w:r>
                        <w:rPr>
                          <w:color w:val="231F20"/>
                          <w:spacing w:val="-2"/>
                          <w:w w:val="95"/>
                        </w:rPr>
                        <w:t>numerous</w:t>
                      </w:r>
                      <w:r>
                        <w:rPr>
                          <w:color w:val="231F20"/>
                          <w:spacing w:val="-3"/>
                          <w:w w:val="95"/>
                        </w:rPr>
                        <w:t xml:space="preserve"> </w:t>
                      </w:r>
                      <w:r>
                        <w:rPr>
                          <w:color w:val="231F20"/>
                          <w:spacing w:val="-2"/>
                          <w:w w:val="95"/>
                        </w:rPr>
                        <w:t>subcultures</w:t>
                      </w:r>
                      <w:r>
                        <w:rPr>
                          <w:color w:val="231F20"/>
                          <w:spacing w:val="-3"/>
                          <w:w w:val="95"/>
                        </w:rPr>
                        <w:t xml:space="preserve"> </w:t>
                      </w:r>
                      <w:r>
                        <w:rPr>
                          <w:color w:val="231F20"/>
                          <w:spacing w:val="-2"/>
                          <w:w w:val="95"/>
                        </w:rPr>
                        <w:t>at</w:t>
                      </w:r>
                      <w:r>
                        <w:rPr>
                          <w:color w:val="231F20"/>
                          <w:spacing w:val="-3"/>
                          <w:w w:val="95"/>
                        </w:rPr>
                        <w:t xml:space="preserve"> </w:t>
                      </w:r>
                      <w:r>
                        <w:rPr>
                          <w:color w:val="231F20"/>
                          <w:spacing w:val="-2"/>
                          <w:w w:val="95"/>
                        </w:rPr>
                        <w:t>a</w:t>
                      </w:r>
                      <w:r>
                        <w:rPr>
                          <w:color w:val="231F20"/>
                          <w:spacing w:val="-3"/>
                          <w:w w:val="95"/>
                        </w:rPr>
                        <w:t xml:space="preserve"> </w:t>
                      </w:r>
                      <w:r>
                        <w:rPr>
                          <w:color w:val="231F20"/>
                          <w:spacing w:val="-2"/>
                          <w:w w:val="95"/>
                        </w:rPr>
                        <w:t>contemporary</w:t>
                      </w:r>
                      <w:r>
                        <w:rPr>
                          <w:color w:val="231F20"/>
                          <w:spacing w:val="-3"/>
                          <w:w w:val="95"/>
                        </w:rPr>
                        <w:t xml:space="preserve"> </w:t>
                      </w:r>
                      <w:r>
                        <w:rPr>
                          <w:color w:val="231F20"/>
                          <w:spacing w:val="-2"/>
                          <w:w w:val="95"/>
                        </w:rPr>
                        <w:t>sports</w:t>
                      </w:r>
                      <w:r>
                        <w:rPr>
                          <w:color w:val="231F20"/>
                          <w:spacing w:val="-3"/>
                          <w:w w:val="95"/>
                        </w:rPr>
                        <w:t xml:space="preserve"> </w:t>
                      </w:r>
                      <w:r>
                        <w:rPr>
                          <w:color w:val="231F20"/>
                          <w:spacing w:val="-2"/>
                          <w:w w:val="95"/>
                        </w:rPr>
                        <w:t>tourism</w:t>
                      </w:r>
                      <w:r>
                        <w:rPr>
                          <w:color w:val="231F20"/>
                          <w:spacing w:val="-3"/>
                          <w:w w:val="95"/>
                        </w:rPr>
                        <w:t xml:space="preserve"> </w:t>
                      </w:r>
                      <w:r>
                        <w:rPr>
                          <w:color w:val="231F20"/>
                          <w:spacing w:val="-2"/>
                          <w:w w:val="95"/>
                        </w:rPr>
                        <w:t xml:space="preserve">event. </w:t>
                      </w:r>
                      <w:r>
                        <w:rPr>
                          <w:color w:val="231F20"/>
                        </w:rPr>
                        <w:t xml:space="preserve">Accommodation ranged from low-cost to expensive. Many attendees </w:t>
                      </w:r>
                      <w:r>
                        <w:rPr>
                          <w:color w:val="231F20"/>
                          <w:w w:val="95"/>
                        </w:rPr>
                        <w:t>slept</w:t>
                      </w:r>
                      <w:r>
                        <w:rPr>
                          <w:color w:val="231F20"/>
                          <w:spacing w:val="19"/>
                        </w:rPr>
                        <w:t xml:space="preserve"> </w:t>
                      </w:r>
                      <w:r>
                        <w:rPr>
                          <w:color w:val="231F20"/>
                          <w:w w:val="95"/>
                        </w:rPr>
                        <w:t>under</w:t>
                      </w:r>
                      <w:r>
                        <w:rPr>
                          <w:color w:val="231F20"/>
                          <w:spacing w:val="19"/>
                        </w:rPr>
                        <w:t xml:space="preserve"> </w:t>
                      </w:r>
                      <w:r>
                        <w:rPr>
                          <w:color w:val="231F20"/>
                          <w:w w:val="95"/>
                        </w:rPr>
                        <w:t>trucks</w:t>
                      </w:r>
                      <w:r>
                        <w:rPr>
                          <w:color w:val="231F20"/>
                          <w:spacing w:val="19"/>
                        </w:rPr>
                        <w:t xml:space="preserve"> </w:t>
                      </w:r>
                      <w:r>
                        <w:rPr>
                          <w:color w:val="231F20"/>
                          <w:w w:val="95"/>
                        </w:rPr>
                        <w:t>driven</w:t>
                      </w:r>
                      <w:r>
                        <w:rPr>
                          <w:color w:val="231F20"/>
                          <w:spacing w:val="20"/>
                        </w:rPr>
                        <w:t xml:space="preserve"> </w:t>
                      </w:r>
                      <w:r>
                        <w:rPr>
                          <w:color w:val="231F20"/>
                          <w:w w:val="95"/>
                        </w:rPr>
                        <w:t>by</w:t>
                      </w:r>
                      <w:r>
                        <w:rPr>
                          <w:color w:val="231F20"/>
                          <w:spacing w:val="19"/>
                        </w:rPr>
                        <w:t xml:space="preserve"> </w:t>
                      </w:r>
                      <w:r>
                        <w:rPr>
                          <w:color w:val="231F20"/>
                          <w:w w:val="95"/>
                        </w:rPr>
                        <w:t>local</w:t>
                      </w:r>
                      <w:r>
                        <w:rPr>
                          <w:color w:val="231F20"/>
                          <w:spacing w:val="19"/>
                        </w:rPr>
                        <w:t xml:space="preserve"> </w:t>
                      </w:r>
                      <w:r>
                        <w:rPr>
                          <w:color w:val="231F20"/>
                          <w:w w:val="95"/>
                        </w:rPr>
                        <w:t>club</w:t>
                      </w:r>
                      <w:r>
                        <w:rPr>
                          <w:color w:val="231F20"/>
                          <w:spacing w:val="20"/>
                        </w:rPr>
                        <w:t xml:space="preserve"> </w:t>
                      </w:r>
                      <w:r>
                        <w:rPr>
                          <w:color w:val="231F20"/>
                          <w:w w:val="95"/>
                        </w:rPr>
                        <w:t>members</w:t>
                      </w:r>
                      <w:r>
                        <w:rPr>
                          <w:color w:val="231F20"/>
                          <w:spacing w:val="19"/>
                        </w:rPr>
                        <w:t xml:space="preserve"> </w:t>
                      </w:r>
                      <w:r>
                        <w:rPr>
                          <w:color w:val="231F20"/>
                          <w:w w:val="95"/>
                        </w:rPr>
                        <w:t>to</w:t>
                      </w:r>
                      <w:r>
                        <w:rPr>
                          <w:color w:val="231F20"/>
                          <w:spacing w:val="19"/>
                        </w:rPr>
                        <w:t xml:space="preserve"> </w:t>
                      </w:r>
                      <w:r>
                        <w:rPr>
                          <w:color w:val="231F20"/>
                          <w:w w:val="95"/>
                        </w:rPr>
                        <w:t>Kediri,</w:t>
                      </w:r>
                      <w:r>
                        <w:rPr>
                          <w:color w:val="231F20"/>
                          <w:spacing w:val="20"/>
                        </w:rPr>
                        <w:t xml:space="preserve"> </w:t>
                      </w:r>
                      <w:r>
                        <w:rPr>
                          <w:color w:val="231F20"/>
                          <w:w w:val="95"/>
                        </w:rPr>
                        <w:t>some</w:t>
                      </w:r>
                      <w:r>
                        <w:rPr>
                          <w:color w:val="231F20"/>
                          <w:spacing w:val="19"/>
                        </w:rPr>
                        <w:t xml:space="preserve"> </w:t>
                      </w:r>
                      <w:r>
                        <w:rPr>
                          <w:color w:val="231F20"/>
                          <w:spacing w:val="-2"/>
                          <w:w w:val="95"/>
                        </w:rPr>
                        <w:t>chose</w:t>
                      </w:r>
                    </w:p>
                  </w:txbxContent>
                </v:textbox>
                <w10:wrap type="topAndBottom" anchorx="page"/>
              </v:shape>
            </w:pict>
          </mc:Fallback>
        </mc:AlternateContent>
      </w:r>
    </w:p>
    <w:p w14:paraId="569A5402" w14:textId="77777777" w:rsidR="00AE0598" w:rsidRDefault="00AE0598">
      <w:pPr>
        <w:rPr>
          <w:sz w:val="27"/>
        </w:rPr>
        <w:sectPr w:rsidR="00AE0598">
          <w:pgSz w:w="8850" w:h="13270"/>
          <w:pgMar w:top="720" w:right="1060" w:bottom="280" w:left="1080" w:header="720" w:footer="720" w:gutter="0"/>
          <w:cols w:space="720"/>
        </w:sectPr>
      </w:pPr>
    </w:p>
    <w:p w14:paraId="7995B9EC" w14:textId="77777777" w:rsidR="00AE0598" w:rsidRDefault="0069255A">
      <w:pPr>
        <w:spacing w:before="87"/>
        <w:ind w:left="110" w:right="128"/>
        <w:jc w:val="right"/>
        <w:rPr>
          <w:rFonts w:ascii="Trebuchet MS"/>
          <w:sz w:val="14"/>
        </w:rPr>
      </w:pPr>
      <w:r>
        <w:rPr>
          <w:rFonts w:ascii="Trebuchet MS"/>
          <w:color w:val="231F20"/>
          <w:w w:val="105"/>
          <w:sz w:val="14"/>
        </w:rPr>
        <w:lastRenderedPageBreak/>
        <w:t>Place,</w:t>
      </w:r>
      <w:r>
        <w:rPr>
          <w:rFonts w:ascii="Trebuchet MS"/>
          <w:color w:val="231F20"/>
          <w:spacing w:val="-12"/>
          <w:w w:val="105"/>
          <w:sz w:val="14"/>
        </w:rPr>
        <w:t xml:space="preserve"> </w:t>
      </w:r>
      <w:r>
        <w:rPr>
          <w:rFonts w:ascii="Trebuchet MS"/>
          <w:color w:val="231F20"/>
          <w:w w:val="105"/>
          <w:sz w:val="14"/>
        </w:rPr>
        <w:t>Sport</w:t>
      </w:r>
      <w:r>
        <w:rPr>
          <w:rFonts w:ascii="Trebuchet MS"/>
          <w:color w:val="231F20"/>
          <w:spacing w:val="-11"/>
          <w:w w:val="105"/>
          <w:sz w:val="14"/>
        </w:rPr>
        <w:t xml:space="preserve"> </w:t>
      </w:r>
      <w:r>
        <w:rPr>
          <w:rFonts w:ascii="Trebuchet MS"/>
          <w:color w:val="231F20"/>
          <w:w w:val="105"/>
          <w:sz w:val="14"/>
        </w:rPr>
        <w:t>and</w:t>
      </w:r>
      <w:r>
        <w:rPr>
          <w:rFonts w:ascii="Trebuchet MS"/>
          <w:color w:val="231F20"/>
          <w:spacing w:val="-11"/>
          <w:w w:val="105"/>
          <w:sz w:val="14"/>
        </w:rPr>
        <w:t xml:space="preserve"> </w:t>
      </w:r>
      <w:r>
        <w:rPr>
          <w:rFonts w:ascii="Trebuchet MS"/>
          <w:color w:val="231F20"/>
          <w:w w:val="105"/>
          <w:sz w:val="14"/>
        </w:rPr>
        <w:t>Culture</w:t>
      </w:r>
      <w:r>
        <w:rPr>
          <w:rFonts w:ascii="Trebuchet MS"/>
          <w:color w:val="231F20"/>
          <w:spacing w:val="71"/>
          <w:w w:val="105"/>
          <w:sz w:val="14"/>
        </w:rPr>
        <w:t xml:space="preserve"> </w:t>
      </w:r>
      <w:r>
        <w:rPr>
          <w:rFonts w:ascii="Trebuchet MS"/>
          <w:color w:val="231F20"/>
          <w:spacing w:val="-5"/>
          <w:w w:val="105"/>
          <w:sz w:val="14"/>
        </w:rPr>
        <w:t>125</w:t>
      </w:r>
    </w:p>
    <w:p w14:paraId="000A93D7" w14:textId="77777777" w:rsidR="00AE0598" w:rsidRDefault="00AE0598">
      <w:pPr>
        <w:pStyle w:val="Corpodetexto"/>
        <w:spacing w:before="1"/>
        <w:rPr>
          <w:rFonts w:ascii="Trebuchet MS"/>
          <w:sz w:val="27"/>
        </w:rPr>
      </w:pPr>
    </w:p>
    <w:p w14:paraId="30D65162" w14:textId="29F528A5" w:rsidR="00AE0598" w:rsidRDefault="0069255A">
      <w:pPr>
        <w:pStyle w:val="Corpodetexto"/>
        <w:spacing w:before="103" w:line="232" w:lineRule="auto"/>
        <w:ind w:left="223" w:right="241"/>
        <w:jc w:val="both"/>
      </w:pPr>
      <w:r>
        <w:rPr>
          <w:noProof/>
        </w:rPr>
        <mc:AlternateContent>
          <mc:Choice Requires="wps">
            <w:drawing>
              <wp:anchor distT="0" distB="0" distL="114300" distR="114300" simplePos="0" relativeHeight="483711488" behindDoc="1" locked="0" layoutInCell="1" allowOverlap="1" wp14:anchorId="0148B4EB" wp14:editId="4870C9A9">
                <wp:simplePos x="0" y="0"/>
                <wp:positionH relativeFrom="page">
                  <wp:posOffset>755650</wp:posOffset>
                </wp:positionH>
                <wp:positionV relativeFrom="paragraph">
                  <wp:posOffset>19050</wp:posOffset>
                </wp:positionV>
                <wp:extent cx="4104005" cy="5687060"/>
                <wp:effectExtent l="0" t="0" r="0" b="0"/>
                <wp:wrapNone/>
                <wp:docPr id="197" name="docshape1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04005" cy="5687060"/>
                        </a:xfrm>
                        <a:prstGeom prst="rect">
                          <a:avLst/>
                        </a:prstGeom>
                        <a:solidFill>
                          <a:srgbClr val="DCDDD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2E3817" id="docshape171" o:spid="_x0000_s1026" style="position:absolute;margin-left:59.5pt;margin-top:1.5pt;width:323.15pt;height:447.8pt;z-index:-196049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" fillcolor="#dcddde" stroked="f">
                <w10:wrap anchorx="page"/>
              </v:rect>
            </w:pict>
          </mc:Fallback>
        </mc:AlternateContent>
      </w:r>
      <w:r>
        <w:rPr>
          <w:color w:val="231F20"/>
        </w:rPr>
        <w:t xml:space="preserve">multiple-occupancy rooms at a friend’s house or a budget B&amp;B using </w:t>
      </w:r>
      <w:r>
        <w:rPr>
          <w:color w:val="231F20"/>
          <w:w w:val="95"/>
        </w:rPr>
        <w:t xml:space="preserve">roll-out mattresses on the floor, and fewer lodged in hotels ranging from </w:t>
      </w:r>
      <w:r>
        <w:rPr>
          <w:color w:val="231F20"/>
        </w:rPr>
        <w:t>the</w:t>
      </w:r>
      <w:r>
        <w:rPr>
          <w:color w:val="231F20"/>
          <w:spacing w:val="-3"/>
        </w:rPr>
        <w:t xml:space="preserve"> </w:t>
      </w:r>
      <w:r>
        <w:rPr>
          <w:color w:val="231F20"/>
        </w:rPr>
        <w:t>budget</w:t>
      </w:r>
      <w:r>
        <w:rPr>
          <w:color w:val="231F20"/>
          <w:spacing w:val="-3"/>
        </w:rPr>
        <w:t xml:space="preserve"> </w:t>
      </w:r>
      <w:r>
        <w:rPr>
          <w:color w:val="231F20"/>
        </w:rPr>
        <w:t>to</w:t>
      </w:r>
      <w:r>
        <w:rPr>
          <w:color w:val="231F20"/>
          <w:spacing w:val="-3"/>
        </w:rPr>
        <w:t xml:space="preserve"> </w:t>
      </w:r>
      <w:r>
        <w:rPr>
          <w:color w:val="231F20"/>
        </w:rPr>
        <w:t>premium</w:t>
      </w:r>
      <w:r>
        <w:rPr>
          <w:color w:val="231F20"/>
          <w:spacing w:val="-3"/>
        </w:rPr>
        <w:t xml:space="preserve"> </w:t>
      </w:r>
      <w:r>
        <w:rPr>
          <w:color w:val="231F20"/>
        </w:rPr>
        <w:t>class.</w:t>
      </w:r>
      <w:r>
        <w:rPr>
          <w:color w:val="231F20"/>
          <w:spacing w:val="-3"/>
        </w:rPr>
        <w:t xml:space="preserve"> </w:t>
      </w:r>
      <w:r>
        <w:rPr>
          <w:color w:val="231F20"/>
        </w:rPr>
        <w:t>Food,</w:t>
      </w:r>
      <w:r>
        <w:rPr>
          <w:color w:val="231F20"/>
          <w:spacing w:val="-3"/>
        </w:rPr>
        <w:t xml:space="preserve"> </w:t>
      </w:r>
      <w:r>
        <w:rPr>
          <w:color w:val="231F20"/>
        </w:rPr>
        <w:t>likewise,</w:t>
      </w:r>
      <w:r>
        <w:rPr>
          <w:color w:val="231F20"/>
          <w:spacing w:val="-3"/>
        </w:rPr>
        <w:t xml:space="preserve"> </w:t>
      </w:r>
      <w:r>
        <w:rPr>
          <w:color w:val="231F20"/>
        </w:rPr>
        <w:t>varied</w:t>
      </w:r>
      <w:r>
        <w:rPr>
          <w:color w:val="231F20"/>
          <w:spacing w:val="-3"/>
        </w:rPr>
        <w:t xml:space="preserve"> </w:t>
      </w:r>
      <w:r>
        <w:rPr>
          <w:color w:val="231F20"/>
        </w:rPr>
        <w:t>from</w:t>
      </w:r>
      <w:r>
        <w:rPr>
          <w:color w:val="231F20"/>
          <w:spacing w:val="-3"/>
        </w:rPr>
        <w:t xml:space="preserve"> </w:t>
      </w:r>
      <w:r>
        <w:rPr>
          <w:color w:val="231F20"/>
        </w:rPr>
        <w:t xml:space="preserve">self-catering </w:t>
      </w:r>
      <w:r>
        <w:rPr>
          <w:color w:val="231F20"/>
          <w:spacing w:val="-2"/>
        </w:rPr>
        <w:t>at</w:t>
      </w:r>
      <w:r>
        <w:rPr>
          <w:color w:val="231F20"/>
          <w:spacing w:val="-4"/>
        </w:rPr>
        <w:t xml:space="preserve"> </w:t>
      </w:r>
      <w:r>
        <w:rPr>
          <w:color w:val="231F20"/>
          <w:spacing w:val="-2"/>
        </w:rPr>
        <w:t>low-cost</w:t>
      </w:r>
      <w:r>
        <w:rPr>
          <w:color w:val="231F20"/>
          <w:spacing w:val="-4"/>
        </w:rPr>
        <w:t xml:space="preserve"> </w:t>
      </w:r>
      <w:r>
        <w:rPr>
          <w:color w:val="231F20"/>
          <w:spacing w:val="-2"/>
        </w:rPr>
        <w:t>to</w:t>
      </w:r>
      <w:r>
        <w:rPr>
          <w:color w:val="231F20"/>
          <w:spacing w:val="-4"/>
        </w:rPr>
        <w:t xml:space="preserve"> </w:t>
      </w:r>
      <w:r>
        <w:rPr>
          <w:color w:val="231F20"/>
          <w:spacing w:val="-2"/>
        </w:rPr>
        <w:t>superior</w:t>
      </w:r>
      <w:r>
        <w:rPr>
          <w:color w:val="231F20"/>
          <w:spacing w:val="-4"/>
        </w:rPr>
        <w:t xml:space="preserve"> </w:t>
      </w:r>
      <w:r>
        <w:rPr>
          <w:color w:val="231F20"/>
          <w:spacing w:val="-2"/>
        </w:rPr>
        <w:t>Indonesian</w:t>
      </w:r>
      <w:r>
        <w:rPr>
          <w:color w:val="231F20"/>
          <w:spacing w:val="-4"/>
        </w:rPr>
        <w:t xml:space="preserve"> </w:t>
      </w:r>
      <w:r>
        <w:rPr>
          <w:color w:val="231F20"/>
          <w:spacing w:val="-2"/>
        </w:rPr>
        <w:t>restauran</w:t>
      </w:r>
      <w:r>
        <w:rPr>
          <w:color w:val="231F20"/>
          <w:spacing w:val="-2"/>
        </w:rPr>
        <w:t>ts.</w:t>
      </w:r>
      <w:r>
        <w:rPr>
          <w:color w:val="231F20"/>
          <w:spacing w:val="-4"/>
        </w:rPr>
        <w:t xml:space="preserve"> </w:t>
      </w:r>
      <w:r>
        <w:rPr>
          <w:color w:val="231F20"/>
          <w:spacing w:val="-2"/>
        </w:rPr>
        <w:t>Subtle</w:t>
      </w:r>
      <w:r>
        <w:rPr>
          <w:color w:val="231F20"/>
          <w:spacing w:val="-4"/>
        </w:rPr>
        <w:t xml:space="preserve"> </w:t>
      </w:r>
      <w:r>
        <w:rPr>
          <w:color w:val="231F20"/>
          <w:spacing w:val="-2"/>
        </w:rPr>
        <w:t>currents</w:t>
      </w:r>
      <w:r>
        <w:rPr>
          <w:color w:val="231F20"/>
          <w:spacing w:val="-4"/>
        </w:rPr>
        <w:t xml:space="preserve"> </w:t>
      </w:r>
      <w:r>
        <w:rPr>
          <w:color w:val="231F20"/>
          <w:spacing w:val="-2"/>
        </w:rPr>
        <w:t xml:space="preserve">of post- </w:t>
      </w:r>
      <w:r>
        <w:rPr>
          <w:color w:val="231F20"/>
        </w:rPr>
        <w:t>colonialism</w:t>
      </w:r>
      <w:r>
        <w:rPr>
          <w:color w:val="231F20"/>
          <w:spacing w:val="-12"/>
        </w:rPr>
        <w:t xml:space="preserve"> </w:t>
      </w:r>
      <w:r>
        <w:rPr>
          <w:color w:val="231F20"/>
        </w:rPr>
        <w:t>and</w:t>
      </w:r>
      <w:r>
        <w:rPr>
          <w:color w:val="231F20"/>
          <w:spacing w:val="-12"/>
        </w:rPr>
        <w:t xml:space="preserve"> </w:t>
      </w:r>
      <w:r>
        <w:rPr>
          <w:color w:val="231F20"/>
        </w:rPr>
        <w:t>neocolonialism</w:t>
      </w:r>
      <w:r>
        <w:rPr>
          <w:color w:val="231F20"/>
          <w:spacing w:val="-11"/>
        </w:rPr>
        <w:t xml:space="preserve"> </w:t>
      </w:r>
      <w:r>
        <w:rPr>
          <w:color w:val="231F20"/>
        </w:rPr>
        <w:t>were</w:t>
      </w:r>
      <w:r>
        <w:rPr>
          <w:color w:val="231F20"/>
          <w:spacing w:val="-12"/>
        </w:rPr>
        <w:t xml:space="preserve"> </w:t>
      </w:r>
      <w:r>
        <w:rPr>
          <w:color w:val="231F20"/>
        </w:rPr>
        <w:t>in</w:t>
      </w:r>
      <w:r>
        <w:rPr>
          <w:color w:val="231F20"/>
          <w:spacing w:val="-11"/>
        </w:rPr>
        <w:t xml:space="preserve"> </w:t>
      </w:r>
      <w:r>
        <w:rPr>
          <w:color w:val="231F20"/>
        </w:rPr>
        <w:t>evidence.</w:t>
      </w:r>
      <w:r>
        <w:rPr>
          <w:color w:val="231F20"/>
          <w:spacing w:val="-12"/>
        </w:rPr>
        <w:t xml:space="preserve"> </w:t>
      </w:r>
      <w:r>
        <w:rPr>
          <w:color w:val="231F20"/>
        </w:rPr>
        <w:t>Currently,</w:t>
      </w:r>
      <w:r>
        <w:rPr>
          <w:color w:val="231F20"/>
          <w:spacing w:val="-11"/>
        </w:rPr>
        <w:t xml:space="preserve"> </w:t>
      </w:r>
      <w:r>
        <w:rPr>
          <w:color w:val="231F20"/>
        </w:rPr>
        <w:t xml:space="preserve">Indonesia </w:t>
      </w:r>
      <w:r>
        <w:rPr>
          <w:color w:val="231F20"/>
          <w:w w:val="95"/>
        </w:rPr>
        <w:t>has</w:t>
      </w:r>
      <w:r>
        <w:rPr>
          <w:color w:val="231F20"/>
          <w:spacing w:val="-7"/>
          <w:w w:val="95"/>
        </w:rPr>
        <w:t xml:space="preserve"> </w:t>
      </w:r>
      <w:r>
        <w:rPr>
          <w:color w:val="231F20"/>
          <w:w w:val="95"/>
        </w:rPr>
        <w:t>more</w:t>
      </w:r>
      <w:r>
        <w:rPr>
          <w:color w:val="231F20"/>
          <w:spacing w:val="-7"/>
          <w:w w:val="95"/>
        </w:rPr>
        <w:t xml:space="preserve"> </w:t>
      </w:r>
      <w:r>
        <w:rPr>
          <w:color w:val="231F20"/>
          <w:w w:val="95"/>
        </w:rPr>
        <w:t>veteran</w:t>
      </w:r>
      <w:r>
        <w:rPr>
          <w:color w:val="231F20"/>
          <w:spacing w:val="-7"/>
          <w:w w:val="95"/>
        </w:rPr>
        <w:t xml:space="preserve"> </w:t>
      </w:r>
      <w:r>
        <w:rPr>
          <w:color w:val="231F20"/>
          <w:w w:val="95"/>
        </w:rPr>
        <w:t>cycle</w:t>
      </w:r>
      <w:r>
        <w:rPr>
          <w:color w:val="231F20"/>
          <w:spacing w:val="-7"/>
          <w:w w:val="95"/>
        </w:rPr>
        <w:t xml:space="preserve"> </w:t>
      </w:r>
      <w:r>
        <w:rPr>
          <w:color w:val="231F20"/>
          <w:w w:val="95"/>
        </w:rPr>
        <w:t>enthusiasts</w:t>
      </w:r>
      <w:r>
        <w:rPr>
          <w:color w:val="231F20"/>
          <w:spacing w:val="-7"/>
          <w:w w:val="95"/>
        </w:rPr>
        <w:t xml:space="preserve"> </w:t>
      </w:r>
      <w:r>
        <w:rPr>
          <w:color w:val="231F20"/>
          <w:w w:val="95"/>
        </w:rPr>
        <w:t>than</w:t>
      </w:r>
      <w:r>
        <w:rPr>
          <w:color w:val="231F20"/>
          <w:spacing w:val="-7"/>
          <w:w w:val="95"/>
        </w:rPr>
        <w:t xml:space="preserve"> </w:t>
      </w:r>
      <w:r>
        <w:rPr>
          <w:color w:val="231F20"/>
          <w:w w:val="95"/>
        </w:rPr>
        <w:t>any</w:t>
      </w:r>
      <w:r>
        <w:rPr>
          <w:color w:val="231F20"/>
          <w:spacing w:val="-7"/>
          <w:w w:val="95"/>
        </w:rPr>
        <w:t xml:space="preserve"> </w:t>
      </w:r>
      <w:r>
        <w:rPr>
          <w:color w:val="231F20"/>
          <w:w w:val="95"/>
        </w:rPr>
        <w:t>other</w:t>
      </w:r>
      <w:r>
        <w:rPr>
          <w:color w:val="231F20"/>
          <w:spacing w:val="-7"/>
          <w:w w:val="95"/>
        </w:rPr>
        <w:t xml:space="preserve"> </w:t>
      </w:r>
      <w:r>
        <w:rPr>
          <w:color w:val="231F20"/>
          <w:w w:val="95"/>
        </w:rPr>
        <w:t>country</w:t>
      </w:r>
      <w:r>
        <w:rPr>
          <w:color w:val="231F20"/>
          <w:spacing w:val="-7"/>
          <w:w w:val="95"/>
        </w:rPr>
        <w:t xml:space="preserve"> </w:t>
      </w:r>
      <w:r>
        <w:rPr>
          <w:color w:val="231F20"/>
          <w:w w:val="95"/>
        </w:rPr>
        <w:t>which</w:t>
      </w:r>
      <w:r>
        <w:rPr>
          <w:color w:val="231F20"/>
          <w:spacing w:val="-7"/>
          <w:w w:val="95"/>
        </w:rPr>
        <w:t xml:space="preserve"> </w:t>
      </w:r>
      <w:r>
        <w:rPr>
          <w:color w:val="231F20"/>
          <w:w w:val="95"/>
        </w:rPr>
        <w:t>is</w:t>
      </w:r>
      <w:r>
        <w:rPr>
          <w:color w:val="231F20"/>
          <w:spacing w:val="-7"/>
          <w:w w:val="95"/>
        </w:rPr>
        <w:t xml:space="preserve"> </w:t>
      </w:r>
      <w:r>
        <w:rPr>
          <w:color w:val="231F20"/>
          <w:w w:val="95"/>
        </w:rPr>
        <w:t>partly a legacy of</w:t>
      </w:r>
      <w:r>
        <w:rPr>
          <w:color w:val="231F20"/>
        </w:rPr>
        <w:t xml:space="preserve"> </w:t>
      </w:r>
      <w:r>
        <w:rPr>
          <w:color w:val="231F20"/>
          <w:w w:val="95"/>
        </w:rPr>
        <w:t xml:space="preserve">its status as a former Dutch colony. But economic colonialism </w:t>
      </w:r>
      <w:r>
        <w:rPr>
          <w:color w:val="231F20"/>
          <w:w w:val="90"/>
        </w:rPr>
        <w:t xml:space="preserve">was in evidence with some rally attendees from abroad staying in Western- </w:t>
      </w:r>
      <w:r>
        <w:rPr>
          <w:color w:val="231F20"/>
          <w:w w:val="95"/>
        </w:rPr>
        <w:t xml:space="preserve">owned hotels and consuming Western products at Western franchises. A </w:t>
      </w:r>
      <w:r>
        <w:rPr>
          <w:color w:val="231F20"/>
          <w:spacing w:val="-2"/>
        </w:rPr>
        <w:t>collective</w:t>
      </w:r>
      <w:r>
        <w:rPr>
          <w:color w:val="231F20"/>
          <w:spacing w:val="-10"/>
        </w:rPr>
        <w:t xml:space="preserve"> </w:t>
      </w:r>
      <w:r>
        <w:rPr>
          <w:color w:val="231F20"/>
          <w:spacing w:val="-2"/>
        </w:rPr>
        <w:t>enthusiasm</w:t>
      </w:r>
      <w:r>
        <w:rPr>
          <w:color w:val="231F20"/>
          <w:spacing w:val="-10"/>
        </w:rPr>
        <w:t xml:space="preserve"> </w:t>
      </w:r>
      <w:r>
        <w:rPr>
          <w:color w:val="231F20"/>
          <w:spacing w:val="-2"/>
        </w:rPr>
        <w:t>for</w:t>
      </w:r>
      <w:r>
        <w:rPr>
          <w:color w:val="231F20"/>
          <w:spacing w:val="-9"/>
        </w:rPr>
        <w:t xml:space="preserve"> </w:t>
      </w:r>
      <w:r>
        <w:rPr>
          <w:color w:val="231F20"/>
          <w:spacing w:val="-2"/>
        </w:rPr>
        <w:t>bicycles</w:t>
      </w:r>
      <w:r>
        <w:rPr>
          <w:color w:val="231F20"/>
          <w:spacing w:val="-10"/>
        </w:rPr>
        <w:t xml:space="preserve"> </w:t>
      </w:r>
      <w:r>
        <w:rPr>
          <w:color w:val="231F20"/>
          <w:spacing w:val="-2"/>
        </w:rPr>
        <w:t>and</w:t>
      </w:r>
      <w:r>
        <w:rPr>
          <w:color w:val="231F20"/>
          <w:spacing w:val="-9"/>
        </w:rPr>
        <w:t xml:space="preserve"> </w:t>
      </w:r>
      <w:r>
        <w:rPr>
          <w:color w:val="231F20"/>
          <w:spacing w:val="-2"/>
        </w:rPr>
        <w:t>cycling</w:t>
      </w:r>
      <w:r>
        <w:rPr>
          <w:color w:val="231F20"/>
          <w:spacing w:val="-10"/>
        </w:rPr>
        <w:t xml:space="preserve"> </w:t>
      </w:r>
      <w:r>
        <w:rPr>
          <w:color w:val="231F20"/>
          <w:spacing w:val="-2"/>
        </w:rPr>
        <w:t>allo</w:t>
      </w:r>
      <w:r>
        <w:rPr>
          <w:color w:val="231F20"/>
          <w:spacing w:val="-2"/>
        </w:rPr>
        <w:t>wed</w:t>
      </w:r>
      <w:r>
        <w:rPr>
          <w:color w:val="231F20"/>
          <w:spacing w:val="-9"/>
        </w:rPr>
        <w:t xml:space="preserve"> </w:t>
      </w:r>
      <w:r>
        <w:rPr>
          <w:color w:val="231F20"/>
          <w:spacing w:val="-2"/>
        </w:rPr>
        <w:t>the</w:t>
      </w:r>
      <w:r>
        <w:rPr>
          <w:color w:val="231F20"/>
          <w:spacing w:val="-10"/>
        </w:rPr>
        <w:t xml:space="preserve"> </w:t>
      </w:r>
      <w:r>
        <w:rPr>
          <w:color w:val="231F20"/>
          <w:spacing w:val="-2"/>
        </w:rPr>
        <w:t>KOSTI</w:t>
      </w:r>
      <w:r>
        <w:rPr>
          <w:color w:val="231F20"/>
          <w:spacing w:val="-10"/>
        </w:rPr>
        <w:t xml:space="preserve"> </w:t>
      </w:r>
      <w:r>
        <w:rPr>
          <w:color w:val="231F20"/>
          <w:spacing w:val="-2"/>
        </w:rPr>
        <w:t>rally</w:t>
      </w:r>
      <w:r>
        <w:rPr>
          <w:color w:val="231F20"/>
          <w:spacing w:val="-9"/>
        </w:rPr>
        <w:t xml:space="preserve"> </w:t>
      </w:r>
      <w:r>
        <w:rPr>
          <w:color w:val="231F20"/>
          <w:spacing w:val="-2"/>
        </w:rPr>
        <w:t xml:space="preserve">to </w:t>
      </w:r>
      <w:r>
        <w:rPr>
          <w:color w:val="231F20"/>
        </w:rPr>
        <w:t xml:space="preserve">unite different classes in a common space. IVCA visitors were warmly welcomed and photographed with KOSTI groups numerous times. </w:t>
      </w:r>
      <w:r>
        <w:rPr>
          <w:color w:val="231F20"/>
          <w:w w:val="95"/>
        </w:rPr>
        <w:t xml:space="preserve">Indonesians attending represented a wide age range, but almost all grew </w:t>
      </w:r>
      <w:r>
        <w:rPr>
          <w:color w:val="231F20"/>
        </w:rPr>
        <w:t xml:space="preserve">up in the post-colonial era and </w:t>
      </w:r>
      <w:r>
        <w:rPr>
          <w:color w:val="231F20"/>
        </w:rPr>
        <w:t>enthusiastically welcomed the foreign visitors to their ‘fellowship of the wheel’. However, the rally played a paradoxical</w:t>
      </w:r>
      <w:r>
        <w:rPr>
          <w:color w:val="231F20"/>
          <w:spacing w:val="-7"/>
        </w:rPr>
        <w:t xml:space="preserve"> </w:t>
      </w:r>
      <w:r>
        <w:rPr>
          <w:color w:val="231F20"/>
        </w:rPr>
        <w:t>role</w:t>
      </w:r>
      <w:r>
        <w:rPr>
          <w:color w:val="231F20"/>
          <w:spacing w:val="-7"/>
        </w:rPr>
        <w:t xml:space="preserve"> </w:t>
      </w:r>
      <w:r>
        <w:rPr>
          <w:color w:val="231F20"/>
        </w:rPr>
        <w:t>with</w:t>
      </w:r>
      <w:r>
        <w:rPr>
          <w:color w:val="231F20"/>
          <w:spacing w:val="-7"/>
        </w:rPr>
        <w:t xml:space="preserve"> </w:t>
      </w:r>
      <w:r>
        <w:rPr>
          <w:color w:val="231F20"/>
        </w:rPr>
        <w:t>respect</w:t>
      </w:r>
      <w:r>
        <w:rPr>
          <w:color w:val="231F20"/>
          <w:spacing w:val="-7"/>
        </w:rPr>
        <w:t xml:space="preserve"> </w:t>
      </w:r>
      <w:r>
        <w:rPr>
          <w:color w:val="231F20"/>
        </w:rPr>
        <w:t>to</w:t>
      </w:r>
      <w:r>
        <w:rPr>
          <w:color w:val="231F20"/>
          <w:spacing w:val="-7"/>
        </w:rPr>
        <w:t xml:space="preserve"> </w:t>
      </w:r>
      <w:r>
        <w:rPr>
          <w:color w:val="231F20"/>
        </w:rPr>
        <w:t>the</w:t>
      </w:r>
      <w:r>
        <w:rPr>
          <w:color w:val="231F20"/>
          <w:spacing w:val="-7"/>
        </w:rPr>
        <w:t xml:space="preserve"> </w:t>
      </w:r>
      <w:r>
        <w:rPr>
          <w:color w:val="231F20"/>
        </w:rPr>
        <w:t>cultural</w:t>
      </w:r>
      <w:r>
        <w:rPr>
          <w:color w:val="231F20"/>
          <w:spacing w:val="-7"/>
        </w:rPr>
        <w:t xml:space="preserve"> </w:t>
      </w:r>
      <w:r>
        <w:rPr>
          <w:color w:val="231F20"/>
        </w:rPr>
        <w:t>diversity</w:t>
      </w:r>
      <w:r>
        <w:rPr>
          <w:color w:val="231F20"/>
          <w:spacing w:val="-7"/>
        </w:rPr>
        <w:t xml:space="preserve"> </w:t>
      </w:r>
      <w:r>
        <w:rPr>
          <w:color w:val="231F20"/>
        </w:rPr>
        <w:t>of Indonesia.</w:t>
      </w:r>
      <w:r>
        <w:rPr>
          <w:color w:val="231F20"/>
          <w:spacing w:val="-7"/>
        </w:rPr>
        <w:t xml:space="preserve"> </w:t>
      </w:r>
      <w:r>
        <w:rPr>
          <w:color w:val="231F20"/>
        </w:rPr>
        <w:t xml:space="preserve">On </w:t>
      </w:r>
      <w:r>
        <w:rPr>
          <w:color w:val="231F20"/>
          <w:w w:val="95"/>
        </w:rPr>
        <w:t xml:space="preserve">the one hand, many KOSTI club members dressed in ways that presented </w:t>
      </w:r>
      <w:r>
        <w:rPr>
          <w:color w:val="231F20"/>
        </w:rPr>
        <w:t>the</w:t>
      </w:r>
      <w:r>
        <w:rPr>
          <w:color w:val="231F20"/>
        </w:rPr>
        <w:t>ir local culture, ranging from tribesmen in Papua to Sulawesi’s traditional dancers. On the other hand, global influences present at the</w:t>
      </w:r>
      <w:r>
        <w:rPr>
          <w:color w:val="231F20"/>
          <w:spacing w:val="-9"/>
        </w:rPr>
        <w:t xml:space="preserve"> </w:t>
      </w:r>
      <w:r>
        <w:rPr>
          <w:color w:val="231F20"/>
        </w:rPr>
        <w:t>rally</w:t>
      </w:r>
      <w:r>
        <w:rPr>
          <w:color w:val="231F20"/>
          <w:spacing w:val="-9"/>
        </w:rPr>
        <w:t xml:space="preserve"> </w:t>
      </w:r>
      <w:r>
        <w:rPr>
          <w:color w:val="231F20"/>
        </w:rPr>
        <w:t>tended</w:t>
      </w:r>
      <w:r>
        <w:rPr>
          <w:color w:val="231F20"/>
          <w:spacing w:val="-9"/>
        </w:rPr>
        <w:t xml:space="preserve"> </w:t>
      </w:r>
      <w:r>
        <w:rPr>
          <w:color w:val="231F20"/>
        </w:rPr>
        <w:t>to</w:t>
      </w:r>
      <w:r>
        <w:rPr>
          <w:color w:val="231F20"/>
          <w:spacing w:val="-9"/>
        </w:rPr>
        <w:t xml:space="preserve"> </w:t>
      </w:r>
      <w:r>
        <w:rPr>
          <w:color w:val="231F20"/>
        </w:rPr>
        <w:t>undermine</w:t>
      </w:r>
      <w:r>
        <w:rPr>
          <w:color w:val="231F20"/>
          <w:spacing w:val="-9"/>
        </w:rPr>
        <w:t xml:space="preserve"> </w:t>
      </w:r>
      <w:r>
        <w:rPr>
          <w:color w:val="231F20"/>
        </w:rPr>
        <w:t>local</w:t>
      </w:r>
      <w:r>
        <w:rPr>
          <w:color w:val="231F20"/>
          <w:spacing w:val="-9"/>
        </w:rPr>
        <w:t xml:space="preserve"> </w:t>
      </w:r>
      <w:r>
        <w:rPr>
          <w:color w:val="231F20"/>
        </w:rPr>
        <w:t>cultures</w:t>
      </w:r>
      <w:r>
        <w:rPr>
          <w:color w:val="231F20"/>
          <w:spacing w:val="-9"/>
        </w:rPr>
        <w:t xml:space="preserve"> </w:t>
      </w:r>
      <w:r>
        <w:rPr>
          <w:color w:val="231F20"/>
        </w:rPr>
        <w:t>and</w:t>
      </w:r>
      <w:r>
        <w:rPr>
          <w:color w:val="231F20"/>
          <w:spacing w:val="-9"/>
        </w:rPr>
        <w:t xml:space="preserve"> </w:t>
      </w:r>
      <w:r>
        <w:rPr>
          <w:color w:val="231F20"/>
        </w:rPr>
        <w:t>diffuse</w:t>
      </w:r>
      <w:r>
        <w:rPr>
          <w:color w:val="231F20"/>
          <w:spacing w:val="-9"/>
        </w:rPr>
        <w:t xml:space="preserve"> </w:t>
      </w:r>
      <w:r>
        <w:rPr>
          <w:color w:val="231F20"/>
        </w:rPr>
        <w:t xml:space="preserve">homogenising </w:t>
      </w:r>
      <w:r>
        <w:rPr>
          <w:color w:val="231F20"/>
          <w:w w:val="95"/>
        </w:rPr>
        <w:t>cultural</w:t>
      </w:r>
      <w:r>
        <w:rPr>
          <w:color w:val="231F20"/>
          <w:spacing w:val="-3"/>
          <w:w w:val="95"/>
        </w:rPr>
        <w:t xml:space="preserve"> </w:t>
      </w:r>
      <w:r>
        <w:rPr>
          <w:color w:val="231F20"/>
          <w:w w:val="95"/>
        </w:rPr>
        <w:t>trends</w:t>
      </w:r>
      <w:r>
        <w:rPr>
          <w:color w:val="231F20"/>
          <w:spacing w:val="-3"/>
          <w:w w:val="95"/>
        </w:rPr>
        <w:t xml:space="preserve"> </w:t>
      </w:r>
      <w:r>
        <w:rPr>
          <w:color w:val="231F20"/>
          <w:w w:val="95"/>
        </w:rPr>
        <w:t>in</w:t>
      </w:r>
      <w:r>
        <w:rPr>
          <w:color w:val="231F20"/>
          <w:spacing w:val="-3"/>
          <w:w w:val="95"/>
        </w:rPr>
        <w:t xml:space="preserve"> </w:t>
      </w:r>
      <w:r>
        <w:rPr>
          <w:color w:val="231F20"/>
          <w:w w:val="95"/>
        </w:rPr>
        <w:t>ways</w:t>
      </w:r>
      <w:r>
        <w:rPr>
          <w:color w:val="231F20"/>
          <w:spacing w:val="-3"/>
          <w:w w:val="95"/>
        </w:rPr>
        <w:t xml:space="preserve"> </w:t>
      </w:r>
      <w:r>
        <w:rPr>
          <w:color w:val="231F20"/>
          <w:w w:val="95"/>
        </w:rPr>
        <w:t>anticipated</w:t>
      </w:r>
      <w:r>
        <w:rPr>
          <w:color w:val="231F20"/>
          <w:spacing w:val="-3"/>
          <w:w w:val="95"/>
        </w:rPr>
        <w:t xml:space="preserve"> </w:t>
      </w:r>
      <w:r>
        <w:rPr>
          <w:color w:val="231F20"/>
          <w:w w:val="95"/>
        </w:rPr>
        <w:t>by</w:t>
      </w:r>
      <w:r>
        <w:rPr>
          <w:color w:val="231F20"/>
          <w:spacing w:val="-3"/>
          <w:w w:val="95"/>
        </w:rPr>
        <w:t xml:space="preserve"> </w:t>
      </w:r>
      <w:r>
        <w:rPr>
          <w:color w:val="231F20"/>
          <w:w w:val="95"/>
        </w:rPr>
        <w:t>Pickel-Chevalier</w:t>
      </w:r>
      <w:r>
        <w:rPr>
          <w:color w:val="231F20"/>
          <w:spacing w:val="-3"/>
          <w:w w:val="95"/>
        </w:rPr>
        <w:t xml:space="preserve"> </w:t>
      </w:r>
      <w:r>
        <w:rPr>
          <w:i/>
          <w:color w:val="231F20"/>
          <w:w w:val="95"/>
        </w:rPr>
        <w:t>et</w:t>
      </w:r>
      <w:r>
        <w:rPr>
          <w:i/>
          <w:color w:val="231F20"/>
          <w:spacing w:val="-3"/>
          <w:w w:val="95"/>
        </w:rPr>
        <w:t xml:space="preserve"> </w:t>
      </w:r>
      <w:r>
        <w:rPr>
          <w:i/>
          <w:color w:val="231F20"/>
          <w:w w:val="95"/>
        </w:rPr>
        <w:t>al</w:t>
      </w:r>
      <w:r>
        <w:rPr>
          <w:color w:val="231F20"/>
          <w:w w:val="95"/>
        </w:rPr>
        <w:t>.</w:t>
      </w:r>
      <w:r>
        <w:rPr>
          <w:color w:val="231F20"/>
          <w:spacing w:val="-3"/>
          <w:w w:val="95"/>
        </w:rPr>
        <w:t xml:space="preserve"> </w:t>
      </w:r>
      <w:r>
        <w:rPr>
          <w:color w:val="231F20"/>
          <w:w w:val="95"/>
        </w:rPr>
        <w:t>(2016).</w:t>
      </w:r>
      <w:r>
        <w:rPr>
          <w:color w:val="231F20"/>
          <w:spacing w:val="-3"/>
          <w:w w:val="95"/>
        </w:rPr>
        <w:t xml:space="preserve"> </w:t>
      </w:r>
      <w:r>
        <w:rPr>
          <w:color w:val="231F20"/>
          <w:w w:val="95"/>
        </w:rPr>
        <w:t xml:space="preserve">Most foreign participants were retirees participating in a subculture, enjoying </w:t>
      </w:r>
      <w:r>
        <w:rPr>
          <w:color w:val="231F20"/>
        </w:rPr>
        <w:t>an</w:t>
      </w:r>
      <w:r>
        <w:rPr>
          <w:color w:val="231F20"/>
          <w:spacing w:val="-7"/>
        </w:rPr>
        <w:t xml:space="preserve"> </w:t>
      </w:r>
      <w:r>
        <w:rPr>
          <w:color w:val="231F20"/>
        </w:rPr>
        <w:t>active</w:t>
      </w:r>
      <w:r>
        <w:rPr>
          <w:color w:val="231F20"/>
          <w:spacing w:val="-7"/>
        </w:rPr>
        <w:t xml:space="preserve"> </w:t>
      </w:r>
      <w:r>
        <w:rPr>
          <w:color w:val="231F20"/>
        </w:rPr>
        <w:t>lifestyle</w:t>
      </w:r>
      <w:r>
        <w:rPr>
          <w:color w:val="231F20"/>
          <w:spacing w:val="-7"/>
        </w:rPr>
        <w:t xml:space="preserve"> </w:t>
      </w:r>
      <w:r>
        <w:rPr>
          <w:color w:val="231F20"/>
        </w:rPr>
        <w:t>by</w:t>
      </w:r>
      <w:r>
        <w:rPr>
          <w:color w:val="231F20"/>
          <w:spacing w:val="-7"/>
        </w:rPr>
        <w:t xml:space="preserve"> </w:t>
      </w:r>
      <w:r>
        <w:rPr>
          <w:color w:val="231F20"/>
        </w:rPr>
        <w:t>engaging</w:t>
      </w:r>
      <w:r>
        <w:rPr>
          <w:color w:val="231F20"/>
          <w:spacing w:val="-7"/>
        </w:rPr>
        <w:t xml:space="preserve"> </w:t>
      </w:r>
      <w:r>
        <w:rPr>
          <w:color w:val="231F20"/>
        </w:rPr>
        <w:t>in</w:t>
      </w:r>
      <w:r>
        <w:rPr>
          <w:color w:val="231F20"/>
          <w:spacing w:val="-7"/>
        </w:rPr>
        <w:t xml:space="preserve"> </w:t>
      </w:r>
      <w:r>
        <w:rPr>
          <w:color w:val="231F20"/>
        </w:rPr>
        <w:t>a</w:t>
      </w:r>
      <w:r>
        <w:rPr>
          <w:color w:val="231F20"/>
          <w:spacing w:val="-7"/>
        </w:rPr>
        <w:t xml:space="preserve"> </w:t>
      </w:r>
      <w:r>
        <w:rPr>
          <w:color w:val="231F20"/>
        </w:rPr>
        <w:t>sport</w:t>
      </w:r>
      <w:r>
        <w:rPr>
          <w:color w:val="231F20"/>
          <w:spacing w:val="-7"/>
        </w:rPr>
        <w:t xml:space="preserve"> </w:t>
      </w:r>
      <w:r>
        <w:rPr>
          <w:color w:val="231F20"/>
        </w:rPr>
        <w:t>that,</w:t>
      </w:r>
      <w:r>
        <w:rPr>
          <w:color w:val="231F20"/>
          <w:spacing w:val="-7"/>
        </w:rPr>
        <w:t xml:space="preserve"> </w:t>
      </w:r>
      <w:r>
        <w:rPr>
          <w:color w:val="231F20"/>
        </w:rPr>
        <w:t>like</w:t>
      </w:r>
      <w:r>
        <w:rPr>
          <w:color w:val="231F20"/>
          <w:spacing w:val="-7"/>
        </w:rPr>
        <w:t xml:space="preserve"> </w:t>
      </w:r>
      <w:r>
        <w:rPr>
          <w:color w:val="231F20"/>
        </w:rPr>
        <w:t>lawn</w:t>
      </w:r>
      <w:r>
        <w:rPr>
          <w:color w:val="231F20"/>
          <w:spacing w:val="-7"/>
        </w:rPr>
        <w:t xml:space="preserve"> </w:t>
      </w:r>
      <w:r>
        <w:rPr>
          <w:color w:val="231F20"/>
        </w:rPr>
        <w:t>bowling,</w:t>
      </w:r>
      <w:r>
        <w:rPr>
          <w:color w:val="231F20"/>
          <w:spacing w:val="-7"/>
        </w:rPr>
        <w:t xml:space="preserve"> </w:t>
      </w:r>
      <w:r>
        <w:rPr>
          <w:color w:val="231F20"/>
        </w:rPr>
        <w:t>cross- country skiing and pickleball, can be continued to an advanced age. F</w:t>
      </w:r>
      <w:r>
        <w:rPr>
          <w:color w:val="231F20"/>
        </w:rPr>
        <w:t>inally,</w:t>
      </w:r>
      <w:r>
        <w:rPr>
          <w:color w:val="231F20"/>
          <w:spacing w:val="-5"/>
        </w:rPr>
        <w:t xml:space="preserve"> </w:t>
      </w:r>
      <w:r>
        <w:rPr>
          <w:color w:val="231F20"/>
        </w:rPr>
        <w:t>the</w:t>
      </w:r>
      <w:r>
        <w:rPr>
          <w:color w:val="231F20"/>
          <w:spacing w:val="-5"/>
        </w:rPr>
        <w:t xml:space="preserve"> </w:t>
      </w:r>
      <w:r>
        <w:rPr>
          <w:color w:val="231F20"/>
        </w:rPr>
        <w:t>rally</w:t>
      </w:r>
      <w:r>
        <w:rPr>
          <w:color w:val="231F20"/>
          <w:spacing w:val="-5"/>
        </w:rPr>
        <w:t xml:space="preserve"> </w:t>
      </w:r>
      <w:r>
        <w:rPr>
          <w:color w:val="231F20"/>
        </w:rPr>
        <w:t>presented</w:t>
      </w:r>
      <w:r>
        <w:rPr>
          <w:color w:val="231F20"/>
          <w:spacing w:val="-5"/>
        </w:rPr>
        <w:t xml:space="preserve"> </w:t>
      </w:r>
      <w:r>
        <w:rPr>
          <w:color w:val="231F20"/>
        </w:rPr>
        <w:t>several</w:t>
      </w:r>
      <w:r>
        <w:rPr>
          <w:color w:val="231F20"/>
          <w:spacing w:val="-5"/>
        </w:rPr>
        <w:t xml:space="preserve"> </w:t>
      </w:r>
      <w:r>
        <w:rPr>
          <w:color w:val="231F20"/>
        </w:rPr>
        <w:t>environmental</w:t>
      </w:r>
      <w:r>
        <w:rPr>
          <w:color w:val="231F20"/>
          <w:spacing w:val="-5"/>
        </w:rPr>
        <w:t xml:space="preserve"> </w:t>
      </w:r>
      <w:r>
        <w:rPr>
          <w:color w:val="231F20"/>
        </w:rPr>
        <w:t>contradictions.</w:t>
      </w:r>
      <w:r>
        <w:rPr>
          <w:color w:val="231F20"/>
          <w:spacing w:val="-5"/>
        </w:rPr>
        <w:t xml:space="preserve"> </w:t>
      </w:r>
      <w:r>
        <w:rPr>
          <w:color w:val="231F20"/>
        </w:rPr>
        <w:t xml:space="preserve">The </w:t>
      </w:r>
      <w:r>
        <w:rPr>
          <w:color w:val="231F20"/>
          <w:w w:val="95"/>
        </w:rPr>
        <w:t>carbon imprint of</w:t>
      </w:r>
      <w:r>
        <w:rPr>
          <w:color w:val="231F20"/>
        </w:rPr>
        <w:t xml:space="preserve"> </w:t>
      </w:r>
      <w:r>
        <w:rPr>
          <w:color w:val="231F20"/>
          <w:w w:val="95"/>
        </w:rPr>
        <w:t xml:space="preserve">7000 people travelling from across Indonesia to Kediri </w:t>
      </w:r>
      <w:r>
        <w:rPr>
          <w:color w:val="231F20"/>
        </w:rPr>
        <w:t>was</w:t>
      </w:r>
      <w:r>
        <w:rPr>
          <w:color w:val="231F20"/>
          <w:spacing w:val="-9"/>
        </w:rPr>
        <w:t xml:space="preserve"> </w:t>
      </w:r>
      <w:r>
        <w:rPr>
          <w:color w:val="231F20"/>
        </w:rPr>
        <w:t>substantial,</w:t>
      </w:r>
      <w:r>
        <w:rPr>
          <w:color w:val="231F20"/>
          <w:spacing w:val="-9"/>
        </w:rPr>
        <w:t xml:space="preserve"> </w:t>
      </w:r>
      <w:r>
        <w:rPr>
          <w:color w:val="231F20"/>
        </w:rPr>
        <w:t>even</w:t>
      </w:r>
      <w:r>
        <w:rPr>
          <w:color w:val="231F20"/>
          <w:spacing w:val="-9"/>
        </w:rPr>
        <w:t xml:space="preserve"> </w:t>
      </w:r>
      <w:r>
        <w:rPr>
          <w:color w:val="231F20"/>
        </w:rPr>
        <w:t>though</w:t>
      </w:r>
      <w:r>
        <w:rPr>
          <w:color w:val="231F20"/>
          <w:spacing w:val="-9"/>
        </w:rPr>
        <w:t xml:space="preserve"> </w:t>
      </w:r>
      <w:r>
        <w:rPr>
          <w:color w:val="231F20"/>
        </w:rPr>
        <w:t>the</w:t>
      </w:r>
      <w:r>
        <w:rPr>
          <w:color w:val="231F20"/>
          <w:spacing w:val="-9"/>
        </w:rPr>
        <w:t xml:space="preserve"> </w:t>
      </w:r>
      <w:r>
        <w:rPr>
          <w:color w:val="231F20"/>
        </w:rPr>
        <w:t>bicycle</w:t>
      </w:r>
      <w:r>
        <w:rPr>
          <w:color w:val="231F20"/>
          <w:spacing w:val="-9"/>
        </w:rPr>
        <w:t xml:space="preserve"> </w:t>
      </w:r>
      <w:r>
        <w:rPr>
          <w:color w:val="231F20"/>
        </w:rPr>
        <w:t>is</w:t>
      </w:r>
      <w:r>
        <w:rPr>
          <w:color w:val="231F20"/>
          <w:spacing w:val="-9"/>
        </w:rPr>
        <w:t xml:space="preserve"> </w:t>
      </w:r>
      <w:r>
        <w:rPr>
          <w:color w:val="231F20"/>
        </w:rPr>
        <w:t>seen</w:t>
      </w:r>
      <w:r>
        <w:rPr>
          <w:color w:val="231F20"/>
          <w:spacing w:val="-9"/>
        </w:rPr>
        <w:t xml:space="preserve"> </w:t>
      </w:r>
      <w:r>
        <w:rPr>
          <w:color w:val="231F20"/>
        </w:rPr>
        <w:t>as</w:t>
      </w:r>
      <w:r>
        <w:rPr>
          <w:color w:val="231F20"/>
          <w:spacing w:val="-9"/>
        </w:rPr>
        <w:t xml:space="preserve"> </w:t>
      </w:r>
      <w:r>
        <w:rPr>
          <w:color w:val="231F20"/>
        </w:rPr>
        <w:t>an</w:t>
      </w:r>
      <w:r>
        <w:rPr>
          <w:color w:val="231F20"/>
          <w:spacing w:val="-9"/>
        </w:rPr>
        <w:t xml:space="preserve"> </w:t>
      </w:r>
      <w:r>
        <w:rPr>
          <w:color w:val="231F20"/>
        </w:rPr>
        <w:t xml:space="preserve">environmentally </w:t>
      </w:r>
      <w:r>
        <w:rPr>
          <w:color w:val="231F20"/>
          <w:w w:val="95"/>
        </w:rPr>
        <w:t xml:space="preserve">friendly machine. But cycling has played a significant role in establishing </w:t>
      </w:r>
      <w:r>
        <w:rPr>
          <w:color w:val="231F20"/>
        </w:rPr>
        <w:t>vehicle-free</w:t>
      </w:r>
      <w:r>
        <w:rPr>
          <w:color w:val="231F20"/>
          <w:spacing w:val="-4"/>
        </w:rPr>
        <w:t xml:space="preserve"> </w:t>
      </w:r>
      <w:r>
        <w:rPr>
          <w:color w:val="231F20"/>
        </w:rPr>
        <w:t>Sunday</w:t>
      </w:r>
      <w:r>
        <w:rPr>
          <w:color w:val="231F20"/>
          <w:spacing w:val="-4"/>
        </w:rPr>
        <w:t xml:space="preserve"> </w:t>
      </w:r>
      <w:r>
        <w:rPr>
          <w:color w:val="231F20"/>
        </w:rPr>
        <w:t>mornings</w:t>
      </w:r>
      <w:r>
        <w:rPr>
          <w:color w:val="231F20"/>
          <w:spacing w:val="-4"/>
        </w:rPr>
        <w:t xml:space="preserve"> </w:t>
      </w:r>
      <w:r>
        <w:rPr>
          <w:color w:val="231F20"/>
        </w:rPr>
        <w:t>on</w:t>
      </w:r>
      <w:r>
        <w:rPr>
          <w:color w:val="231F20"/>
          <w:spacing w:val="-4"/>
        </w:rPr>
        <w:t xml:space="preserve"> </w:t>
      </w:r>
      <w:r>
        <w:rPr>
          <w:color w:val="231F20"/>
        </w:rPr>
        <w:t>streets</w:t>
      </w:r>
      <w:r>
        <w:rPr>
          <w:color w:val="231F20"/>
          <w:spacing w:val="-4"/>
        </w:rPr>
        <w:t xml:space="preserve"> </w:t>
      </w:r>
      <w:r>
        <w:rPr>
          <w:color w:val="231F20"/>
        </w:rPr>
        <w:t>in</w:t>
      </w:r>
      <w:r>
        <w:rPr>
          <w:color w:val="231F20"/>
          <w:spacing w:val="-4"/>
        </w:rPr>
        <w:t xml:space="preserve"> </w:t>
      </w:r>
      <w:r>
        <w:rPr>
          <w:color w:val="231F20"/>
        </w:rPr>
        <w:t>Indonesia’s</w:t>
      </w:r>
      <w:r>
        <w:rPr>
          <w:color w:val="231F20"/>
          <w:spacing w:val="-4"/>
        </w:rPr>
        <w:t xml:space="preserve"> </w:t>
      </w:r>
      <w:r>
        <w:rPr>
          <w:color w:val="231F20"/>
        </w:rPr>
        <w:t>major</w:t>
      </w:r>
      <w:r>
        <w:rPr>
          <w:color w:val="231F20"/>
          <w:spacing w:val="-4"/>
        </w:rPr>
        <w:t xml:space="preserve"> </w:t>
      </w:r>
      <w:r>
        <w:rPr>
          <w:color w:val="231F20"/>
        </w:rPr>
        <w:t>cities</w:t>
      </w:r>
      <w:r>
        <w:rPr>
          <w:color w:val="231F20"/>
          <w:spacing w:val="-4"/>
        </w:rPr>
        <w:t xml:space="preserve"> </w:t>
      </w:r>
      <w:r>
        <w:rPr>
          <w:color w:val="231F20"/>
        </w:rPr>
        <w:t>as environmentally</w:t>
      </w:r>
      <w:r>
        <w:rPr>
          <w:color w:val="231F20"/>
          <w:spacing w:val="-12"/>
        </w:rPr>
        <w:t xml:space="preserve"> </w:t>
      </w:r>
      <w:r>
        <w:rPr>
          <w:color w:val="231F20"/>
        </w:rPr>
        <w:t>friendly</w:t>
      </w:r>
      <w:r>
        <w:rPr>
          <w:color w:val="231F20"/>
          <w:spacing w:val="-12"/>
        </w:rPr>
        <w:t xml:space="preserve"> </w:t>
      </w:r>
      <w:r>
        <w:rPr>
          <w:color w:val="231F20"/>
        </w:rPr>
        <w:t>cultures</w:t>
      </w:r>
      <w:r>
        <w:rPr>
          <w:color w:val="231F20"/>
          <w:spacing w:val="-11"/>
        </w:rPr>
        <w:t xml:space="preserve"> </w:t>
      </w:r>
      <w:r>
        <w:rPr>
          <w:color w:val="231F20"/>
        </w:rPr>
        <w:t>have</w:t>
      </w:r>
      <w:r>
        <w:rPr>
          <w:color w:val="231F20"/>
          <w:spacing w:val="-12"/>
        </w:rPr>
        <w:t xml:space="preserve"> </w:t>
      </w:r>
      <w:r>
        <w:rPr>
          <w:color w:val="231F20"/>
        </w:rPr>
        <w:t>gained</w:t>
      </w:r>
      <w:r>
        <w:rPr>
          <w:color w:val="231F20"/>
          <w:spacing w:val="-11"/>
        </w:rPr>
        <w:t xml:space="preserve"> </w:t>
      </w:r>
      <w:r>
        <w:rPr>
          <w:color w:val="231F20"/>
        </w:rPr>
        <w:t>support.</w:t>
      </w:r>
    </w:p>
    <w:p w14:paraId="28FCF1E0" w14:textId="77777777" w:rsidR="00AE0598" w:rsidRDefault="00AE0598">
      <w:pPr>
        <w:pStyle w:val="Corpodetexto"/>
        <w:rPr>
          <w:sz w:val="24"/>
        </w:rPr>
      </w:pPr>
    </w:p>
    <w:p w14:paraId="0AD7D441" w14:textId="77777777" w:rsidR="00AE0598" w:rsidRDefault="0069255A">
      <w:pPr>
        <w:ind w:left="223"/>
        <w:jc w:val="both"/>
        <w:rPr>
          <w:rFonts w:ascii="Trebuchet MS"/>
          <w:sz w:val="20"/>
        </w:rPr>
      </w:pPr>
      <w:r>
        <w:rPr>
          <w:rFonts w:ascii="Trebuchet MS"/>
          <w:color w:val="231F20"/>
          <w:w w:val="105"/>
          <w:sz w:val="20"/>
        </w:rPr>
        <w:t>Key</w:t>
      </w:r>
      <w:r>
        <w:rPr>
          <w:rFonts w:ascii="Trebuchet MS"/>
          <w:color w:val="231F20"/>
          <w:spacing w:val="-11"/>
          <w:w w:val="105"/>
          <w:sz w:val="20"/>
        </w:rPr>
        <w:t xml:space="preserve"> </w:t>
      </w:r>
      <w:r>
        <w:rPr>
          <w:rFonts w:ascii="Trebuchet MS"/>
          <w:color w:val="231F20"/>
          <w:spacing w:val="-2"/>
          <w:w w:val="105"/>
          <w:sz w:val="20"/>
        </w:rPr>
        <w:t>Reading</w:t>
      </w:r>
    </w:p>
    <w:p w14:paraId="14F665BB" w14:textId="77777777" w:rsidR="00AE0598" w:rsidRDefault="0069255A">
      <w:pPr>
        <w:pStyle w:val="Corpodetexto"/>
        <w:spacing w:before="122" w:line="232" w:lineRule="auto"/>
        <w:ind w:left="223" w:right="241"/>
        <w:jc w:val="both"/>
      </w:pPr>
      <w:r>
        <w:rPr>
          <w:color w:val="231F20"/>
        </w:rPr>
        <w:t>Pickel-Chevalier, S., Violier, P. and Sar</w:t>
      </w:r>
      <w:r>
        <w:rPr>
          <w:color w:val="231F20"/>
        </w:rPr>
        <w:t xml:space="preserve">i, N.P.S. (2016) Tourism and </w:t>
      </w:r>
      <w:r>
        <w:rPr>
          <w:color w:val="231F20"/>
          <w:w w:val="95"/>
        </w:rPr>
        <w:t>globalisation:</w:t>
      </w:r>
      <w:r>
        <w:rPr>
          <w:color w:val="231F20"/>
          <w:spacing w:val="-10"/>
          <w:w w:val="95"/>
        </w:rPr>
        <w:t xml:space="preserve"> </w:t>
      </w:r>
      <w:r>
        <w:rPr>
          <w:color w:val="231F20"/>
          <w:w w:val="95"/>
        </w:rPr>
        <w:t>Vectors</w:t>
      </w:r>
      <w:r>
        <w:rPr>
          <w:color w:val="231F20"/>
          <w:spacing w:val="-9"/>
          <w:w w:val="95"/>
        </w:rPr>
        <w:t xml:space="preserve"> </w:t>
      </w:r>
      <w:r>
        <w:rPr>
          <w:color w:val="231F20"/>
          <w:w w:val="95"/>
        </w:rPr>
        <w:t>of</w:t>
      </w:r>
      <w:r>
        <w:rPr>
          <w:color w:val="231F20"/>
          <w:spacing w:val="-9"/>
          <w:w w:val="95"/>
        </w:rPr>
        <w:t xml:space="preserve"> </w:t>
      </w:r>
      <w:r>
        <w:rPr>
          <w:color w:val="231F20"/>
          <w:w w:val="95"/>
        </w:rPr>
        <w:t>cultural</w:t>
      </w:r>
      <w:r>
        <w:rPr>
          <w:color w:val="231F20"/>
          <w:spacing w:val="-9"/>
          <w:w w:val="95"/>
        </w:rPr>
        <w:t xml:space="preserve"> </w:t>
      </w:r>
      <w:r>
        <w:rPr>
          <w:color w:val="231F20"/>
          <w:w w:val="95"/>
        </w:rPr>
        <w:t>homogenisation?</w:t>
      </w:r>
      <w:r>
        <w:rPr>
          <w:color w:val="231F20"/>
          <w:spacing w:val="-10"/>
          <w:w w:val="95"/>
        </w:rPr>
        <w:t xml:space="preserve"> </w:t>
      </w:r>
      <w:r>
        <w:rPr>
          <w:color w:val="231F20"/>
          <w:w w:val="95"/>
        </w:rPr>
        <w:t>(the</w:t>
      </w:r>
      <w:r>
        <w:rPr>
          <w:color w:val="231F20"/>
          <w:spacing w:val="-9"/>
          <w:w w:val="95"/>
        </w:rPr>
        <w:t xml:space="preserve"> </w:t>
      </w:r>
      <w:r>
        <w:rPr>
          <w:color w:val="231F20"/>
          <w:w w:val="95"/>
        </w:rPr>
        <w:t>case</w:t>
      </w:r>
      <w:r>
        <w:rPr>
          <w:color w:val="231F20"/>
          <w:spacing w:val="-9"/>
          <w:w w:val="95"/>
        </w:rPr>
        <w:t xml:space="preserve"> </w:t>
      </w:r>
      <w:r>
        <w:rPr>
          <w:color w:val="231F20"/>
          <w:w w:val="95"/>
        </w:rPr>
        <w:t>study</w:t>
      </w:r>
      <w:r>
        <w:rPr>
          <w:color w:val="231F20"/>
          <w:spacing w:val="-9"/>
          <w:w w:val="95"/>
        </w:rPr>
        <w:t xml:space="preserve"> </w:t>
      </w:r>
      <w:r>
        <w:rPr>
          <w:color w:val="231F20"/>
          <w:w w:val="95"/>
        </w:rPr>
        <w:t>of</w:t>
      </w:r>
      <w:r>
        <w:rPr>
          <w:color w:val="231F20"/>
          <w:spacing w:val="-9"/>
          <w:w w:val="95"/>
        </w:rPr>
        <w:t xml:space="preserve"> </w:t>
      </w:r>
      <w:r>
        <w:rPr>
          <w:color w:val="231F20"/>
          <w:w w:val="95"/>
        </w:rPr>
        <w:t xml:space="preserve">Bali). </w:t>
      </w:r>
      <w:r>
        <w:rPr>
          <w:i/>
          <w:color w:val="231F20"/>
          <w:w w:val="95"/>
        </w:rPr>
        <w:t xml:space="preserve">Advances in Economics Business and Management Research </w:t>
      </w:r>
      <w:r>
        <w:rPr>
          <w:color w:val="231F20"/>
          <w:w w:val="95"/>
        </w:rPr>
        <w:t xml:space="preserve">19, 452–457. See </w:t>
      </w:r>
      <w:hyperlink r:id="rId35">
        <w:r>
          <w:rPr>
            <w:color w:val="231F20"/>
            <w:w w:val="95"/>
          </w:rPr>
          <w:t>http://www.atlantis-press.com/php/pub.php?publication=atf-16.</w:t>
        </w:r>
      </w:hyperlink>
    </w:p>
    <w:p w14:paraId="4BA97F8A" w14:textId="77777777" w:rsidR="00AE0598" w:rsidRDefault="00AE0598">
      <w:pPr>
        <w:pStyle w:val="Corpodetexto"/>
        <w:rPr>
          <w:sz w:val="24"/>
        </w:rPr>
      </w:pPr>
    </w:p>
    <w:p w14:paraId="408EAB59" w14:textId="77777777" w:rsidR="00AE0598" w:rsidRDefault="0069255A">
      <w:pPr>
        <w:pStyle w:val="Corpodetexto"/>
        <w:spacing w:before="210" w:line="232" w:lineRule="auto"/>
        <w:ind w:left="110" w:right="127" w:firstLine="320"/>
        <w:jc w:val="both"/>
      </w:pPr>
      <w:r>
        <w:rPr>
          <w:color w:val="231F20"/>
        </w:rPr>
        <w:t xml:space="preserve">For example, the subculture of windsurfing has been described as a </w:t>
      </w:r>
      <w:r>
        <w:rPr>
          <w:color w:val="231F20"/>
          <w:w w:val="95"/>
        </w:rPr>
        <w:t>culture of ‘conspicuous commitment’ (Wheaton, 20</w:t>
      </w:r>
      <w:r>
        <w:rPr>
          <w:color w:val="231F20"/>
          <w:w w:val="95"/>
        </w:rPr>
        <w:t>00). This commitment</w:t>
      </w:r>
      <w:r>
        <w:rPr>
          <w:color w:val="231F20"/>
          <w:spacing w:val="80"/>
          <w:w w:val="150"/>
        </w:rPr>
        <w:t xml:space="preserve"> </w:t>
      </w:r>
      <w:r>
        <w:rPr>
          <w:color w:val="231F20"/>
        </w:rPr>
        <w:t xml:space="preserve">is expressed in a number of ways but it is essentially reflected in the </w:t>
      </w:r>
      <w:r>
        <w:rPr>
          <w:color w:val="231F20"/>
          <w:w w:val="95"/>
        </w:rPr>
        <w:t>prowess,</w:t>
      </w:r>
      <w:r>
        <w:rPr>
          <w:color w:val="231F20"/>
          <w:spacing w:val="45"/>
        </w:rPr>
        <w:t xml:space="preserve"> </w:t>
      </w:r>
      <w:r>
        <w:rPr>
          <w:color w:val="231F20"/>
          <w:w w:val="95"/>
        </w:rPr>
        <w:t>dedication</w:t>
      </w:r>
      <w:r>
        <w:rPr>
          <w:color w:val="231F20"/>
          <w:spacing w:val="45"/>
        </w:rPr>
        <w:t xml:space="preserve"> </w:t>
      </w:r>
      <w:r>
        <w:rPr>
          <w:color w:val="231F20"/>
          <w:w w:val="95"/>
        </w:rPr>
        <w:t>and</w:t>
      </w:r>
      <w:r>
        <w:rPr>
          <w:color w:val="231F20"/>
          <w:spacing w:val="46"/>
        </w:rPr>
        <w:t xml:space="preserve"> </w:t>
      </w:r>
      <w:r>
        <w:rPr>
          <w:color w:val="231F20"/>
          <w:w w:val="95"/>
        </w:rPr>
        <w:t>skill</w:t>
      </w:r>
      <w:r>
        <w:rPr>
          <w:color w:val="231F20"/>
          <w:spacing w:val="45"/>
        </w:rPr>
        <w:t xml:space="preserve"> </w:t>
      </w:r>
      <w:r>
        <w:rPr>
          <w:color w:val="231F20"/>
          <w:w w:val="95"/>
        </w:rPr>
        <w:t>that</w:t>
      </w:r>
      <w:r>
        <w:rPr>
          <w:color w:val="231F20"/>
          <w:spacing w:val="46"/>
        </w:rPr>
        <w:t xml:space="preserve"> </w:t>
      </w:r>
      <w:r>
        <w:rPr>
          <w:color w:val="231F20"/>
          <w:w w:val="95"/>
        </w:rPr>
        <w:t>members</w:t>
      </w:r>
      <w:r>
        <w:rPr>
          <w:color w:val="231F20"/>
          <w:spacing w:val="45"/>
        </w:rPr>
        <w:t xml:space="preserve"> </w:t>
      </w:r>
      <w:r>
        <w:rPr>
          <w:color w:val="231F20"/>
          <w:w w:val="95"/>
        </w:rPr>
        <w:t>demonstrate</w:t>
      </w:r>
      <w:r>
        <w:rPr>
          <w:color w:val="231F20"/>
          <w:spacing w:val="46"/>
        </w:rPr>
        <w:t xml:space="preserve"> </w:t>
      </w:r>
      <w:r>
        <w:rPr>
          <w:color w:val="231F20"/>
          <w:w w:val="95"/>
        </w:rPr>
        <w:t>in</w:t>
      </w:r>
      <w:r>
        <w:rPr>
          <w:color w:val="231F20"/>
          <w:spacing w:val="45"/>
        </w:rPr>
        <w:t xml:space="preserve"> </w:t>
      </w:r>
      <w:r>
        <w:rPr>
          <w:color w:val="231F20"/>
          <w:w w:val="95"/>
        </w:rPr>
        <w:t>relation</w:t>
      </w:r>
      <w:r>
        <w:rPr>
          <w:color w:val="231F20"/>
          <w:spacing w:val="45"/>
        </w:rPr>
        <w:t xml:space="preserve"> </w:t>
      </w:r>
      <w:r>
        <w:rPr>
          <w:color w:val="231F20"/>
          <w:spacing w:val="-5"/>
          <w:w w:val="95"/>
        </w:rPr>
        <w:t>to</w:t>
      </w:r>
    </w:p>
    <w:p w14:paraId="3C50437C" w14:textId="77777777" w:rsidR="00AE0598" w:rsidRDefault="00AE0598">
      <w:pPr>
        <w:spacing w:line="232" w:lineRule="auto"/>
        <w:jc w:val="both"/>
        <w:sectPr w:rsidR="00AE0598">
          <w:pgSz w:w="8850" w:h="13270"/>
          <w:pgMar w:top="720" w:right="1060" w:bottom="280" w:left="1080" w:header="720" w:footer="720" w:gutter="0"/>
          <w:cols w:space="720"/>
        </w:sectPr>
      </w:pPr>
    </w:p>
    <w:p w14:paraId="6E39B0D4" w14:textId="77777777" w:rsidR="00AE0598" w:rsidRDefault="0069255A">
      <w:pPr>
        <w:spacing w:before="87"/>
        <w:ind w:left="108"/>
        <w:rPr>
          <w:rFonts w:ascii="Trebuchet MS"/>
          <w:sz w:val="14"/>
        </w:rPr>
      </w:pPr>
      <w:r>
        <w:rPr>
          <w:rFonts w:ascii="Trebuchet MS"/>
          <w:color w:val="231F20"/>
          <w:w w:val="105"/>
          <w:sz w:val="14"/>
        </w:rPr>
        <w:lastRenderedPageBreak/>
        <w:t>126</w:t>
      </w:r>
      <w:r>
        <w:rPr>
          <w:rFonts w:ascii="Trebuchet MS"/>
          <w:color w:val="231F20"/>
          <w:spacing w:val="66"/>
          <w:w w:val="150"/>
          <w:sz w:val="14"/>
        </w:rPr>
        <w:t xml:space="preserve"> </w:t>
      </w:r>
      <w:r>
        <w:rPr>
          <w:rFonts w:ascii="Trebuchet MS"/>
          <w:color w:val="231F20"/>
          <w:w w:val="105"/>
          <w:sz w:val="14"/>
        </w:rPr>
        <w:t>Part</w:t>
      </w:r>
      <w:r>
        <w:rPr>
          <w:rFonts w:ascii="Trebuchet MS"/>
          <w:color w:val="231F20"/>
          <w:spacing w:val="-9"/>
          <w:w w:val="105"/>
          <w:sz w:val="14"/>
        </w:rPr>
        <w:t xml:space="preserve"> </w:t>
      </w:r>
      <w:r>
        <w:rPr>
          <w:rFonts w:ascii="Trebuchet MS"/>
          <w:color w:val="231F20"/>
          <w:w w:val="105"/>
          <w:sz w:val="14"/>
        </w:rPr>
        <w:t>3:</w:t>
      </w:r>
      <w:r>
        <w:rPr>
          <w:rFonts w:ascii="Trebuchet MS"/>
          <w:color w:val="231F20"/>
          <w:spacing w:val="-8"/>
          <w:w w:val="105"/>
          <w:sz w:val="14"/>
        </w:rPr>
        <w:t xml:space="preserve"> </w:t>
      </w:r>
      <w:r>
        <w:rPr>
          <w:rFonts w:ascii="Trebuchet MS"/>
          <w:color w:val="231F20"/>
          <w:w w:val="105"/>
          <w:sz w:val="14"/>
        </w:rPr>
        <w:t>Sport</w:t>
      </w:r>
      <w:r>
        <w:rPr>
          <w:rFonts w:ascii="Trebuchet MS"/>
          <w:color w:val="231F20"/>
          <w:spacing w:val="-9"/>
          <w:w w:val="105"/>
          <w:sz w:val="14"/>
        </w:rPr>
        <w:t xml:space="preserve"> </w:t>
      </w:r>
      <w:r>
        <w:rPr>
          <w:rFonts w:ascii="Trebuchet MS"/>
          <w:color w:val="231F20"/>
          <w:w w:val="105"/>
          <w:sz w:val="14"/>
        </w:rPr>
        <w:t>Tourism</w:t>
      </w:r>
      <w:r>
        <w:rPr>
          <w:rFonts w:ascii="Trebuchet MS"/>
          <w:color w:val="231F20"/>
          <w:spacing w:val="-9"/>
          <w:w w:val="105"/>
          <w:sz w:val="14"/>
        </w:rPr>
        <w:t xml:space="preserve"> </w:t>
      </w:r>
      <w:r>
        <w:rPr>
          <w:rFonts w:ascii="Trebuchet MS"/>
          <w:color w:val="231F20"/>
          <w:w w:val="105"/>
          <w:sz w:val="14"/>
        </w:rPr>
        <w:t>Development</w:t>
      </w:r>
      <w:r>
        <w:rPr>
          <w:rFonts w:ascii="Trebuchet MS"/>
          <w:color w:val="231F20"/>
          <w:spacing w:val="-9"/>
          <w:w w:val="105"/>
          <w:sz w:val="14"/>
        </w:rPr>
        <w:t xml:space="preserve"> </w:t>
      </w:r>
      <w:r>
        <w:rPr>
          <w:rFonts w:ascii="Trebuchet MS"/>
          <w:color w:val="231F20"/>
          <w:w w:val="105"/>
          <w:sz w:val="14"/>
        </w:rPr>
        <w:t>and</w:t>
      </w:r>
      <w:r>
        <w:rPr>
          <w:rFonts w:ascii="Trebuchet MS"/>
          <w:color w:val="231F20"/>
          <w:spacing w:val="-8"/>
          <w:w w:val="105"/>
          <w:sz w:val="14"/>
        </w:rPr>
        <w:t xml:space="preserve"> </w:t>
      </w:r>
      <w:r>
        <w:rPr>
          <w:rFonts w:ascii="Trebuchet MS"/>
          <w:color w:val="231F20"/>
          <w:spacing w:val="-2"/>
          <w:w w:val="105"/>
          <w:sz w:val="14"/>
        </w:rPr>
        <w:t>Space</w:t>
      </w:r>
    </w:p>
    <w:p w14:paraId="3641AB7A" w14:textId="77777777" w:rsidR="00AE0598" w:rsidRDefault="00AE0598">
      <w:pPr>
        <w:pStyle w:val="Corpodetexto"/>
        <w:rPr>
          <w:rFonts w:ascii="Trebuchet MS"/>
          <w:sz w:val="16"/>
        </w:rPr>
      </w:pPr>
    </w:p>
    <w:p w14:paraId="105C47E8" w14:textId="77777777" w:rsidR="00AE0598" w:rsidRDefault="0069255A">
      <w:pPr>
        <w:pStyle w:val="Corpodetexto"/>
        <w:spacing w:before="118" w:line="232" w:lineRule="auto"/>
        <w:ind w:left="110" w:right="126"/>
        <w:jc w:val="both"/>
      </w:pPr>
      <w:r>
        <w:rPr>
          <w:color w:val="231F20"/>
        </w:rPr>
        <w:t xml:space="preserve">their sport. Identifiable communities form around sports like mountain </w:t>
      </w:r>
      <w:r>
        <w:rPr>
          <w:color w:val="231F20"/>
          <w:w w:val="95"/>
        </w:rPr>
        <w:t>biking</w:t>
      </w:r>
      <w:r>
        <w:rPr>
          <w:color w:val="231F20"/>
        </w:rPr>
        <w:t xml:space="preserve"> </w:t>
      </w:r>
      <w:r>
        <w:rPr>
          <w:color w:val="231F20"/>
          <w:w w:val="95"/>
        </w:rPr>
        <w:t>(Moularde</w:t>
      </w:r>
      <w:r>
        <w:rPr>
          <w:color w:val="231F20"/>
        </w:rPr>
        <w:t xml:space="preserve"> </w:t>
      </w:r>
      <w:r>
        <w:rPr>
          <w:color w:val="231F20"/>
          <w:w w:val="95"/>
        </w:rPr>
        <w:t>&amp;</w:t>
      </w:r>
      <w:r>
        <w:rPr>
          <w:color w:val="231F20"/>
        </w:rPr>
        <w:t xml:space="preserve"> </w:t>
      </w:r>
      <w:r>
        <w:rPr>
          <w:color w:val="231F20"/>
          <w:w w:val="95"/>
        </w:rPr>
        <w:t>Weaver,</w:t>
      </w:r>
      <w:r>
        <w:rPr>
          <w:color w:val="231F20"/>
        </w:rPr>
        <w:t xml:space="preserve"> </w:t>
      </w:r>
      <w:r>
        <w:rPr>
          <w:color w:val="231F20"/>
          <w:w w:val="95"/>
        </w:rPr>
        <w:t>2016)</w:t>
      </w:r>
      <w:r>
        <w:rPr>
          <w:color w:val="231F20"/>
        </w:rPr>
        <w:t xml:space="preserve"> </w:t>
      </w:r>
      <w:r>
        <w:rPr>
          <w:color w:val="231F20"/>
          <w:w w:val="95"/>
        </w:rPr>
        <w:t>and</w:t>
      </w:r>
      <w:r>
        <w:rPr>
          <w:color w:val="231F20"/>
        </w:rPr>
        <w:t xml:space="preserve"> </w:t>
      </w:r>
      <w:r>
        <w:rPr>
          <w:color w:val="231F20"/>
          <w:w w:val="95"/>
        </w:rPr>
        <w:t>distance</w:t>
      </w:r>
      <w:r>
        <w:rPr>
          <w:color w:val="231F20"/>
        </w:rPr>
        <w:t xml:space="preserve"> </w:t>
      </w:r>
      <w:r>
        <w:rPr>
          <w:color w:val="231F20"/>
          <w:w w:val="95"/>
        </w:rPr>
        <w:t>running</w:t>
      </w:r>
      <w:r>
        <w:rPr>
          <w:color w:val="231F20"/>
        </w:rPr>
        <w:t xml:space="preserve"> </w:t>
      </w:r>
      <w:r>
        <w:rPr>
          <w:color w:val="231F20"/>
          <w:w w:val="95"/>
        </w:rPr>
        <w:t>(Allen</w:t>
      </w:r>
      <w:r>
        <w:rPr>
          <w:color w:val="231F20"/>
        </w:rPr>
        <w:t xml:space="preserve"> </w:t>
      </w:r>
      <w:r>
        <w:rPr>
          <w:color w:val="231F20"/>
          <w:w w:val="95"/>
        </w:rPr>
        <w:t>Collinson</w:t>
      </w:r>
      <w:r>
        <w:rPr>
          <w:color w:val="231F20"/>
          <w:spacing w:val="80"/>
          <w:w w:val="150"/>
        </w:rPr>
        <w:t xml:space="preserve"> </w:t>
      </w:r>
      <w:r>
        <w:rPr>
          <w:color w:val="231F20"/>
        </w:rPr>
        <w:t xml:space="preserve">&amp; Hockey, 2007; Shipway </w:t>
      </w:r>
      <w:r>
        <w:rPr>
          <w:i/>
          <w:color w:val="231F20"/>
        </w:rPr>
        <w:t>et al</w:t>
      </w:r>
      <w:r>
        <w:rPr>
          <w:color w:val="231F20"/>
        </w:rPr>
        <w:t xml:space="preserve">., 2012) with each community sharing </w:t>
      </w:r>
      <w:r>
        <w:rPr>
          <w:color w:val="231F20"/>
          <w:w w:val="95"/>
        </w:rPr>
        <w:t>basic characteristics that go beyond the sportin</w:t>
      </w:r>
      <w:r>
        <w:rPr>
          <w:color w:val="231F20"/>
          <w:w w:val="95"/>
        </w:rPr>
        <w:t xml:space="preserve">g activity itself. Green and </w:t>
      </w:r>
      <w:r>
        <w:rPr>
          <w:color w:val="231F20"/>
        </w:rPr>
        <w:t>Chalip (1998: 280) highlight the relevance of these sport subcultures in their description of women’s flag football as a sport subculture that ‘… gives</w:t>
      </w:r>
      <w:r>
        <w:rPr>
          <w:color w:val="231F20"/>
          <w:spacing w:val="-4"/>
        </w:rPr>
        <w:t xml:space="preserve"> </w:t>
      </w:r>
      <w:r>
        <w:rPr>
          <w:color w:val="231F20"/>
        </w:rPr>
        <w:t>participants</w:t>
      </w:r>
      <w:r>
        <w:rPr>
          <w:color w:val="231F20"/>
          <w:spacing w:val="-4"/>
        </w:rPr>
        <w:t xml:space="preserve"> </w:t>
      </w:r>
      <w:r>
        <w:rPr>
          <w:color w:val="231F20"/>
        </w:rPr>
        <w:t>much</w:t>
      </w:r>
      <w:r>
        <w:rPr>
          <w:color w:val="231F20"/>
          <w:spacing w:val="-4"/>
        </w:rPr>
        <w:t xml:space="preserve"> </w:t>
      </w:r>
      <w:r>
        <w:rPr>
          <w:color w:val="231F20"/>
        </w:rPr>
        <w:t>more</w:t>
      </w:r>
      <w:r>
        <w:rPr>
          <w:color w:val="231F20"/>
          <w:spacing w:val="-4"/>
        </w:rPr>
        <w:t xml:space="preserve"> </w:t>
      </w:r>
      <w:r>
        <w:rPr>
          <w:color w:val="231F20"/>
        </w:rPr>
        <w:t>than</w:t>
      </w:r>
      <w:r>
        <w:rPr>
          <w:color w:val="231F20"/>
          <w:spacing w:val="-4"/>
        </w:rPr>
        <w:t xml:space="preserve"> </w:t>
      </w:r>
      <w:r>
        <w:rPr>
          <w:color w:val="231F20"/>
        </w:rPr>
        <w:t>the</w:t>
      </w:r>
      <w:r>
        <w:rPr>
          <w:color w:val="231F20"/>
          <w:spacing w:val="-4"/>
        </w:rPr>
        <w:t xml:space="preserve"> </w:t>
      </w:r>
      <w:r>
        <w:rPr>
          <w:color w:val="231F20"/>
        </w:rPr>
        <w:t>opportunity</w:t>
      </w:r>
      <w:r>
        <w:rPr>
          <w:color w:val="231F20"/>
          <w:spacing w:val="-4"/>
        </w:rPr>
        <w:t xml:space="preserve"> </w:t>
      </w:r>
      <w:r>
        <w:rPr>
          <w:color w:val="231F20"/>
        </w:rPr>
        <w:t>to</w:t>
      </w:r>
      <w:r>
        <w:rPr>
          <w:color w:val="231F20"/>
          <w:spacing w:val="-4"/>
        </w:rPr>
        <w:t xml:space="preserve"> </w:t>
      </w:r>
      <w:r>
        <w:rPr>
          <w:color w:val="231F20"/>
        </w:rPr>
        <w:t>play</w:t>
      </w:r>
      <w:r>
        <w:rPr>
          <w:color w:val="231F20"/>
          <w:spacing w:val="-4"/>
        </w:rPr>
        <w:t xml:space="preserve"> </w:t>
      </w:r>
      <w:r>
        <w:rPr>
          <w:color w:val="231F20"/>
        </w:rPr>
        <w:t>together.</w:t>
      </w:r>
      <w:r>
        <w:rPr>
          <w:color w:val="231F20"/>
          <w:spacing w:val="-4"/>
        </w:rPr>
        <w:t xml:space="preserve"> </w:t>
      </w:r>
      <w:r>
        <w:rPr>
          <w:color w:val="231F20"/>
        </w:rPr>
        <w:t>It</w:t>
      </w:r>
      <w:r>
        <w:rPr>
          <w:color w:val="231F20"/>
          <w:spacing w:val="-4"/>
        </w:rPr>
        <w:t xml:space="preserve"> </w:t>
      </w:r>
      <w:r>
        <w:rPr>
          <w:color w:val="231F20"/>
        </w:rPr>
        <w:t xml:space="preserve">is </w:t>
      </w:r>
      <w:r>
        <w:rPr>
          <w:color w:val="231F20"/>
          <w:w w:val="95"/>
        </w:rPr>
        <w:t>a state</w:t>
      </w:r>
      <w:r>
        <w:rPr>
          <w:color w:val="231F20"/>
          <w:w w:val="95"/>
        </w:rPr>
        <w:t>ment about who they are and the conventions by which they refuse</w:t>
      </w:r>
      <w:r>
        <w:rPr>
          <w:color w:val="231F20"/>
          <w:spacing w:val="40"/>
        </w:rPr>
        <w:t xml:space="preserve"> </w:t>
      </w:r>
      <w:r>
        <w:rPr>
          <w:color w:val="231F20"/>
          <w:w w:val="95"/>
        </w:rPr>
        <w:t xml:space="preserve">to be constrained’. In cases such as surfing (Doering, 2018), snowboarding </w:t>
      </w:r>
      <w:r>
        <w:rPr>
          <w:color w:val="231F20"/>
        </w:rPr>
        <w:t xml:space="preserve">(Thorpe, 2011) and adventure sports in general (Breivik, 2010), sport subcultures represent a form of ‘counter-culture’ in that members </w:t>
      </w:r>
      <w:r>
        <w:rPr>
          <w:color w:val="231F20"/>
          <w:w w:val="95"/>
        </w:rPr>
        <w:t xml:space="preserve">deliberately distance themselves from the mainstream norms and practices </w:t>
      </w:r>
      <w:r>
        <w:rPr>
          <w:color w:val="231F20"/>
        </w:rPr>
        <w:t>of</w:t>
      </w:r>
      <w:r>
        <w:rPr>
          <w:color w:val="231F20"/>
          <w:spacing w:val="37"/>
        </w:rPr>
        <w:t xml:space="preserve"> </w:t>
      </w:r>
      <w:r>
        <w:rPr>
          <w:color w:val="231F20"/>
        </w:rPr>
        <w:t>society.</w:t>
      </w:r>
      <w:r>
        <w:rPr>
          <w:color w:val="231F20"/>
          <w:spacing w:val="37"/>
        </w:rPr>
        <w:t xml:space="preserve"> </w:t>
      </w:r>
      <w:r>
        <w:rPr>
          <w:color w:val="231F20"/>
        </w:rPr>
        <w:t>Subcultural</w:t>
      </w:r>
      <w:r>
        <w:rPr>
          <w:color w:val="231F20"/>
          <w:spacing w:val="37"/>
        </w:rPr>
        <w:t xml:space="preserve"> </w:t>
      </w:r>
      <w:r>
        <w:rPr>
          <w:color w:val="231F20"/>
        </w:rPr>
        <w:t>sport</w:t>
      </w:r>
      <w:r>
        <w:rPr>
          <w:color w:val="231F20"/>
          <w:spacing w:val="37"/>
        </w:rPr>
        <w:t xml:space="preserve"> </w:t>
      </w:r>
      <w:r>
        <w:rPr>
          <w:color w:val="231F20"/>
        </w:rPr>
        <w:t>activities</w:t>
      </w:r>
      <w:r>
        <w:rPr>
          <w:color w:val="231F20"/>
          <w:spacing w:val="37"/>
        </w:rPr>
        <w:t xml:space="preserve"> </w:t>
      </w:r>
      <w:r>
        <w:rPr>
          <w:color w:val="231F20"/>
        </w:rPr>
        <w:t>give</w:t>
      </w:r>
      <w:r>
        <w:rPr>
          <w:color w:val="231F20"/>
          <w:spacing w:val="37"/>
        </w:rPr>
        <w:t xml:space="preserve"> </w:t>
      </w:r>
      <w:r>
        <w:rPr>
          <w:color w:val="231F20"/>
        </w:rPr>
        <w:t>m</w:t>
      </w:r>
      <w:r>
        <w:rPr>
          <w:color w:val="231F20"/>
        </w:rPr>
        <w:t>embers</w:t>
      </w:r>
      <w:r>
        <w:rPr>
          <w:color w:val="231F20"/>
          <w:spacing w:val="37"/>
        </w:rPr>
        <w:t xml:space="preserve"> </w:t>
      </w:r>
      <w:r>
        <w:rPr>
          <w:color w:val="231F20"/>
        </w:rPr>
        <w:t>the</w:t>
      </w:r>
      <w:r>
        <w:rPr>
          <w:color w:val="231F20"/>
          <w:spacing w:val="37"/>
        </w:rPr>
        <w:t xml:space="preserve"> </w:t>
      </w:r>
      <w:r>
        <w:rPr>
          <w:color w:val="231F20"/>
        </w:rPr>
        <w:t>opportunity to develop their identities and to celebrate their sporting community (Chalip, 2006).</w:t>
      </w:r>
    </w:p>
    <w:p w14:paraId="3F3F47ED" w14:textId="77777777" w:rsidR="00AE0598" w:rsidRDefault="0069255A">
      <w:pPr>
        <w:pStyle w:val="Corpodetexto"/>
        <w:spacing w:before="18" w:line="232" w:lineRule="auto"/>
        <w:ind w:left="110" w:right="128" w:firstLine="320"/>
        <w:jc w:val="both"/>
      </w:pPr>
      <w:r>
        <w:rPr>
          <w:color w:val="231F20"/>
          <w:w w:val="95"/>
        </w:rPr>
        <w:t xml:space="preserve">Beyond sporting engagement, membership in a subculture is normally </w:t>
      </w:r>
      <w:r>
        <w:rPr>
          <w:color w:val="231F20"/>
        </w:rPr>
        <w:t xml:space="preserve">reflected in a broad range of behaviours and practices. Wheaton (2000) </w:t>
      </w:r>
      <w:r>
        <w:rPr>
          <w:color w:val="231F20"/>
          <w:w w:val="95"/>
        </w:rPr>
        <w:t>articulates</w:t>
      </w:r>
      <w:r>
        <w:rPr>
          <w:color w:val="231F20"/>
          <w:spacing w:val="-2"/>
          <w:w w:val="95"/>
        </w:rPr>
        <w:t xml:space="preserve"> </w:t>
      </w:r>
      <w:r>
        <w:rPr>
          <w:color w:val="231F20"/>
          <w:w w:val="95"/>
        </w:rPr>
        <w:t>many</w:t>
      </w:r>
      <w:r>
        <w:rPr>
          <w:color w:val="231F20"/>
          <w:spacing w:val="-2"/>
          <w:w w:val="95"/>
        </w:rPr>
        <w:t xml:space="preserve"> </w:t>
      </w:r>
      <w:r>
        <w:rPr>
          <w:color w:val="231F20"/>
          <w:w w:val="95"/>
        </w:rPr>
        <w:t>of</w:t>
      </w:r>
      <w:r>
        <w:rPr>
          <w:color w:val="231F20"/>
          <w:spacing w:val="-2"/>
          <w:w w:val="95"/>
        </w:rPr>
        <w:t xml:space="preserve"> </w:t>
      </w:r>
      <w:r>
        <w:rPr>
          <w:color w:val="231F20"/>
          <w:w w:val="95"/>
        </w:rPr>
        <w:t>these</w:t>
      </w:r>
      <w:r>
        <w:rPr>
          <w:color w:val="231F20"/>
          <w:spacing w:val="-2"/>
          <w:w w:val="95"/>
        </w:rPr>
        <w:t xml:space="preserve"> </w:t>
      </w:r>
      <w:r>
        <w:rPr>
          <w:color w:val="231F20"/>
          <w:w w:val="95"/>
        </w:rPr>
        <w:t>with</w:t>
      </w:r>
      <w:r>
        <w:rPr>
          <w:color w:val="231F20"/>
          <w:spacing w:val="-2"/>
          <w:w w:val="95"/>
        </w:rPr>
        <w:t xml:space="preserve"> </w:t>
      </w:r>
      <w:r>
        <w:rPr>
          <w:color w:val="231F20"/>
          <w:w w:val="95"/>
        </w:rPr>
        <w:t>her</w:t>
      </w:r>
      <w:r>
        <w:rPr>
          <w:color w:val="231F20"/>
          <w:spacing w:val="-2"/>
          <w:w w:val="95"/>
        </w:rPr>
        <w:t xml:space="preserve"> </w:t>
      </w:r>
      <w:r>
        <w:rPr>
          <w:color w:val="231F20"/>
          <w:w w:val="95"/>
        </w:rPr>
        <w:t>statement</w:t>
      </w:r>
      <w:r>
        <w:rPr>
          <w:color w:val="231F20"/>
          <w:spacing w:val="-2"/>
          <w:w w:val="95"/>
        </w:rPr>
        <w:t xml:space="preserve"> </w:t>
      </w:r>
      <w:r>
        <w:rPr>
          <w:color w:val="231F20"/>
          <w:w w:val="95"/>
        </w:rPr>
        <w:t>about</w:t>
      </w:r>
      <w:r>
        <w:rPr>
          <w:color w:val="231F20"/>
          <w:spacing w:val="-2"/>
          <w:w w:val="95"/>
        </w:rPr>
        <w:t xml:space="preserve"> </w:t>
      </w:r>
      <w:r>
        <w:rPr>
          <w:color w:val="231F20"/>
          <w:w w:val="95"/>
        </w:rPr>
        <w:t>the</w:t>
      </w:r>
      <w:r>
        <w:rPr>
          <w:color w:val="231F20"/>
          <w:spacing w:val="-2"/>
          <w:w w:val="95"/>
        </w:rPr>
        <w:t xml:space="preserve"> </w:t>
      </w:r>
      <w:r>
        <w:rPr>
          <w:color w:val="231F20"/>
          <w:w w:val="95"/>
        </w:rPr>
        <w:t>windsurfing</w:t>
      </w:r>
      <w:r>
        <w:rPr>
          <w:color w:val="231F20"/>
          <w:spacing w:val="-2"/>
          <w:w w:val="95"/>
        </w:rPr>
        <w:t xml:space="preserve"> </w:t>
      </w:r>
      <w:r>
        <w:rPr>
          <w:color w:val="231F20"/>
          <w:w w:val="95"/>
        </w:rPr>
        <w:t xml:space="preserve">lifestyle </w:t>
      </w:r>
      <w:r>
        <w:rPr>
          <w:color w:val="231F20"/>
          <w:spacing w:val="-2"/>
        </w:rPr>
        <w:t>group:</w:t>
      </w:r>
    </w:p>
    <w:p w14:paraId="79B73539" w14:textId="77777777" w:rsidR="00AE0598" w:rsidRDefault="00AE0598">
      <w:pPr>
        <w:pStyle w:val="Corpodetexto"/>
        <w:spacing w:before="2"/>
      </w:pPr>
    </w:p>
    <w:p w14:paraId="0481BBA7" w14:textId="77777777" w:rsidR="00AE0598" w:rsidRDefault="0069255A">
      <w:pPr>
        <w:spacing w:line="244" w:lineRule="auto"/>
        <w:ind w:left="430" w:right="128"/>
        <w:jc w:val="both"/>
        <w:rPr>
          <w:sz w:val="20"/>
        </w:rPr>
      </w:pPr>
      <w:r>
        <w:rPr>
          <w:color w:val="231F20"/>
          <w:w w:val="95"/>
          <w:sz w:val="20"/>
        </w:rPr>
        <w:t>Participation in this (subculture) lifestyle is displayed in a range of symbols such as clothes, spe</w:t>
      </w:r>
      <w:r>
        <w:rPr>
          <w:color w:val="231F20"/>
          <w:w w:val="95"/>
          <w:sz w:val="20"/>
        </w:rPr>
        <w:t xml:space="preserve">ech, car, and associated leisure activities; however, for </w:t>
      </w:r>
      <w:r>
        <w:rPr>
          <w:color w:val="231F20"/>
          <w:sz w:val="20"/>
        </w:rPr>
        <w:t>the</w:t>
      </w:r>
      <w:r>
        <w:rPr>
          <w:color w:val="231F20"/>
          <w:spacing w:val="40"/>
          <w:sz w:val="20"/>
        </w:rPr>
        <w:t xml:space="preserve"> </w:t>
      </w:r>
      <w:r>
        <w:rPr>
          <w:color w:val="231F20"/>
          <w:sz w:val="20"/>
        </w:rPr>
        <w:t>dedicated,</w:t>
      </w:r>
      <w:r>
        <w:rPr>
          <w:color w:val="231F20"/>
          <w:spacing w:val="40"/>
          <w:sz w:val="20"/>
        </w:rPr>
        <w:t xml:space="preserve"> </w:t>
      </w:r>
      <w:r>
        <w:rPr>
          <w:color w:val="231F20"/>
          <w:sz w:val="20"/>
        </w:rPr>
        <w:t>often-obsessive</w:t>
      </w:r>
      <w:r>
        <w:rPr>
          <w:color w:val="231F20"/>
          <w:spacing w:val="40"/>
          <w:sz w:val="20"/>
        </w:rPr>
        <w:t xml:space="preserve"> </w:t>
      </w:r>
      <w:r>
        <w:rPr>
          <w:color w:val="231F20"/>
          <w:sz w:val="20"/>
        </w:rPr>
        <w:t>participant,</w:t>
      </w:r>
      <w:r>
        <w:rPr>
          <w:color w:val="231F20"/>
          <w:spacing w:val="40"/>
          <w:sz w:val="20"/>
        </w:rPr>
        <w:t xml:space="preserve"> </w:t>
      </w:r>
      <w:r>
        <w:rPr>
          <w:color w:val="231F20"/>
          <w:sz w:val="20"/>
        </w:rPr>
        <w:t>windsurfing</w:t>
      </w:r>
      <w:r>
        <w:rPr>
          <w:color w:val="231F20"/>
          <w:spacing w:val="40"/>
          <w:sz w:val="20"/>
        </w:rPr>
        <w:t xml:space="preserve"> </w:t>
      </w:r>
      <w:r>
        <w:rPr>
          <w:color w:val="231F20"/>
          <w:sz w:val="20"/>
        </w:rPr>
        <w:t>participation is a whole way of life in which windsurfers seek hedonism, freedom</w:t>
      </w:r>
      <w:r>
        <w:rPr>
          <w:color w:val="231F20"/>
          <w:spacing w:val="80"/>
          <w:sz w:val="20"/>
        </w:rPr>
        <w:t xml:space="preserve"> </w:t>
      </w:r>
      <w:r>
        <w:rPr>
          <w:color w:val="231F20"/>
          <w:sz w:val="20"/>
        </w:rPr>
        <w:t>and self-expression. For ‘core’ members…, windsurfing dictate</w:t>
      </w:r>
      <w:r>
        <w:rPr>
          <w:color w:val="231F20"/>
          <w:sz w:val="20"/>
        </w:rPr>
        <w:t>s their leisure</w:t>
      </w:r>
      <w:r>
        <w:rPr>
          <w:color w:val="231F20"/>
          <w:spacing w:val="-2"/>
          <w:sz w:val="20"/>
        </w:rPr>
        <w:t xml:space="preserve"> </w:t>
      </w:r>
      <w:r>
        <w:rPr>
          <w:color w:val="231F20"/>
          <w:sz w:val="20"/>
        </w:rPr>
        <w:t>time,</w:t>
      </w:r>
      <w:r>
        <w:rPr>
          <w:color w:val="231F20"/>
          <w:spacing w:val="-2"/>
          <w:sz w:val="20"/>
        </w:rPr>
        <w:t xml:space="preserve"> </w:t>
      </w:r>
      <w:r>
        <w:rPr>
          <w:color w:val="231F20"/>
          <w:sz w:val="20"/>
        </w:rPr>
        <w:t>their</w:t>
      </w:r>
      <w:r>
        <w:rPr>
          <w:color w:val="231F20"/>
          <w:spacing w:val="-2"/>
          <w:sz w:val="20"/>
        </w:rPr>
        <w:t xml:space="preserve"> </w:t>
      </w:r>
      <w:r>
        <w:rPr>
          <w:color w:val="231F20"/>
          <w:sz w:val="20"/>
        </w:rPr>
        <w:t>work</w:t>
      </w:r>
      <w:r>
        <w:rPr>
          <w:color w:val="231F20"/>
          <w:spacing w:val="-2"/>
          <w:sz w:val="20"/>
        </w:rPr>
        <w:t xml:space="preserve"> </w:t>
      </w:r>
      <w:r>
        <w:rPr>
          <w:color w:val="231F20"/>
          <w:sz w:val="20"/>
        </w:rPr>
        <w:t>time,</w:t>
      </w:r>
      <w:r>
        <w:rPr>
          <w:color w:val="231F20"/>
          <w:spacing w:val="-2"/>
          <w:sz w:val="20"/>
        </w:rPr>
        <w:t xml:space="preserve"> </w:t>
      </w:r>
      <w:r>
        <w:rPr>
          <w:color w:val="231F20"/>
          <w:sz w:val="20"/>
        </w:rPr>
        <w:t>their</w:t>
      </w:r>
      <w:r>
        <w:rPr>
          <w:color w:val="231F20"/>
          <w:spacing w:val="-2"/>
          <w:sz w:val="20"/>
        </w:rPr>
        <w:t xml:space="preserve"> </w:t>
      </w:r>
      <w:r>
        <w:rPr>
          <w:color w:val="231F20"/>
          <w:sz w:val="20"/>
        </w:rPr>
        <w:t>choice</w:t>
      </w:r>
      <w:r>
        <w:rPr>
          <w:color w:val="231F20"/>
          <w:spacing w:val="-2"/>
          <w:sz w:val="20"/>
        </w:rPr>
        <w:t xml:space="preserve"> </w:t>
      </w:r>
      <w:r>
        <w:rPr>
          <w:color w:val="231F20"/>
          <w:sz w:val="20"/>
        </w:rPr>
        <w:t>of</w:t>
      </w:r>
      <w:r>
        <w:rPr>
          <w:color w:val="231F20"/>
          <w:spacing w:val="-2"/>
          <w:sz w:val="20"/>
        </w:rPr>
        <w:t xml:space="preserve"> </w:t>
      </w:r>
      <w:r>
        <w:rPr>
          <w:color w:val="231F20"/>
          <w:sz w:val="20"/>
        </w:rPr>
        <w:t>career,</w:t>
      </w:r>
      <w:r>
        <w:rPr>
          <w:color w:val="231F20"/>
          <w:spacing w:val="-2"/>
          <w:sz w:val="20"/>
        </w:rPr>
        <w:t xml:space="preserve"> </w:t>
      </w:r>
      <w:r>
        <w:rPr>
          <w:color w:val="231F20"/>
          <w:sz w:val="20"/>
        </w:rPr>
        <w:t>and</w:t>
      </w:r>
      <w:r>
        <w:rPr>
          <w:color w:val="231F20"/>
          <w:spacing w:val="-2"/>
          <w:sz w:val="20"/>
        </w:rPr>
        <w:t xml:space="preserve"> </w:t>
      </w:r>
      <w:r>
        <w:rPr>
          <w:color w:val="231F20"/>
          <w:sz w:val="20"/>
        </w:rPr>
        <w:t>where</w:t>
      </w:r>
      <w:r>
        <w:rPr>
          <w:color w:val="231F20"/>
          <w:spacing w:val="-2"/>
          <w:sz w:val="20"/>
        </w:rPr>
        <w:t xml:space="preserve"> </w:t>
      </w:r>
      <w:r>
        <w:rPr>
          <w:color w:val="231F20"/>
          <w:sz w:val="20"/>
        </w:rPr>
        <w:t>they</w:t>
      </w:r>
      <w:r>
        <w:rPr>
          <w:color w:val="231F20"/>
          <w:spacing w:val="-2"/>
          <w:sz w:val="20"/>
        </w:rPr>
        <w:t xml:space="preserve"> </w:t>
      </w:r>
      <w:r>
        <w:rPr>
          <w:color w:val="231F20"/>
          <w:sz w:val="20"/>
        </w:rPr>
        <w:t>live. (Wheaton, 2000: 256)</w:t>
      </w:r>
    </w:p>
    <w:p w14:paraId="0008B789" w14:textId="77777777" w:rsidR="00AE0598" w:rsidRDefault="00AE0598">
      <w:pPr>
        <w:pStyle w:val="Corpodetexto"/>
        <w:spacing w:before="8"/>
        <w:rPr>
          <w:sz w:val="20"/>
        </w:rPr>
      </w:pPr>
    </w:p>
    <w:p w14:paraId="6975A948" w14:textId="77777777" w:rsidR="00AE0598" w:rsidRDefault="0069255A">
      <w:pPr>
        <w:pStyle w:val="Corpodetexto"/>
        <w:spacing w:line="232" w:lineRule="auto"/>
        <w:ind w:left="110" w:right="125"/>
        <w:jc w:val="both"/>
      </w:pPr>
      <w:r>
        <w:rPr>
          <w:color w:val="231F20"/>
          <w:w w:val="95"/>
        </w:rPr>
        <w:t>Shipway (2008) takes a trans-situational perspective in his typology of the distance running social world (Table 6.1). He describes sporting outsiders</w:t>
      </w:r>
      <w:r>
        <w:rPr>
          <w:color w:val="231F20"/>
          <w:spacing w:val="40"/>
        </w:rPr>
        <w:t xml:space="preserve"> </w:t>
      </w:r>
      <w:r>
        <w:rPr>
          <w:color w:val="231F20"/>
          <w:w w:val="95"/>
        </w:rPr>
        <w:t>as not being directly involved in the subculture. As a result, they had little</w:t>
      </w:r>
      <w:r>
        <w:rPr>
          <w:color w:val="231F20"/>
          <w:spacing w:val="40"/>
        </w:rPr>
        <w:t xml:space="preserve"> </w:t>
      </w:r>
      <w:r>
        <w:rPr>
          <w:color w:val="231F20"/>
        </w:rPr>
        <w:t xml:space="preserve">or no appreciation of the </w:t>
      </w:r>
      <w:r>
        <w:rPr>
          <w:color w:val="231F20"/>
        </w:rPr>
        <w:t>cultural meanings found within this group. Occasional</w:t>
      </w:r>
      <w:r>
        <w:rPr>
          <w:color w:val="231F20"/>
          <w:spacing w:val="-8"/>
        </w:rPr>
        <w:t xml:space="preserve"> </w:t>
      </w:r>
      <w:r>
        <w:rPr>
          <w:color w:val="231F20"/>
        </w:rPr>
        <w:t>or</w:t>
      </w:r>
      <w:r>
        <w:rPr>
          <w:color w:val="231F20"/>
          <w:spacing w:val="-8"/>
        </w:rPr>
        <w:t xml:space="preserve"> </w:t>
      </w:r>
      <w:r>
        <w:rPr>
          <w:color w:val="231F20"/>
        </w:rPr>
        <w:t>casual</w:t>
      </w:r>
      <w:r>
        <w:rPr>
          <w:color w:val="231F20"/>
          <w:spacing w:val="-8"/>
        </w:rPr>
        <w:t xml:space="preserve"> </w:t>
      </w:r>
      <w:r>
        <w:rPr>
          <w:color w:val="231F20"/>
        </w:rPr>
        <w:t>participants</w:t>
      </w:r>
      <w:r>
        <w:rPr>
          <w:color w:val="231F20"/>
          <w:spacing w:val="-8"/>
        </w:rPr>
        <w:t xml:space="preserve"> </w:t>
      </w:r>
      <w:r>
        <w:rPr>
          <w:color w:val="231F20"/>
        </w:rPr>
        <w:t>have</w:t>
      </w:r>
      <w:r>
        <w:rPr>
          <w:color w:val="231F20"/>
          <w:spacing w:val="-8"/>
        </w:rPr>
        <w:t xml:space="preserve"> </w:t>
      </w:r>
      <w:r>
        <w:rPr>
          <w:color w:val="231F20"/>
        </w:rPr>
        <w:t>a</w:t>
      </w:r>
      <w:r>
        <w:rPr>
          <w:color w:val="231F20"/>
          <w:spacing w:val="-9"/>
        </w:rPr>
        <w:t xml:space="preserve"> </w:t>
      </w:r>
      <w:r>
        <w:rPr>
          <w:color w:val="231F20"/>
        </w:rPr>
        <w:t>basic</w:t>
      </w:r>
      <w:r>
        <w:rPr>
          <w:color w:val="231F20"/>
          <w:spacing w:val="-9"/>
        </w:rPr>
        <w:t xml:space="preserve"> </w:t>
      </w:r>
      <w:r>
        <w:rPr>
          <w:color w:val="231F20"/>
        </w:rPr>
        <w:t>understanding</w:t>
      </w:r>
      <w:r>
        <w:rPr>
          <w:color w:val="231F20"/>
          <w:spacing w:val="-9"/>
        </w:rPr>
        <w:t xml:space="preserve"> </w:t>
      </w:r>
      <w:r>
        <w:rPr>
          <w:color w:val="231F20"/>
        </w:rPr>
        <w:t>of</w:t>
      </w:r>
      <w:r>
        <w:rPr>
          <w:color w:val="231F20"/>
          <w:spacing w:val="-8"/>
        </w:rPr>
        <w:t xml:space="preserve"> </w:t>
      </w:r>
      <w:r>
        <w:rPr>
          <w:color w:val="231F20"/>
        </w:rPr>
        <w:t>the</w:t>
      </w:r>
      <w:r>
        <w:rPr>
          <w:color w:val="231F20"/>
          <w:spacing w:val="-9"/>
        </w:rPr>
        <w:t xml:space="preserve"> </w:t>
      </w:r>
      <w:r>
        <w:rPr>
          <w:color w:val="231F20"/>
        </w:rPr>
        <w:t xml:space="preserve">sport </w:t>
      </w:r>
      <w:r>
        <w:rPr>
          <w:color w:val="231F20"/>
          <w:w w:val="95"/>
        </w:rPr>
        <w:t xml:space="preserve">but only engage in it infrequently. As such, they have a limited appreciation </w:t>
      </w:r>
      <w:r>
        <w:rPr>
          <w:color w:val="231F20"/>
        </w:rPr>
        <w:t>of the cultural meanings of the group. Regular participants v</w:t>
      </w:r>
      <w:r>
        <w:rPr>
          <w:color w:val="231F20"/>
        </w:rPr>
        <w:t xml:space="preserve">alue the </w:t>
      </w:r>
      <w:r>
        <w:rPr>
          <w:color w:val="231F20"/>
          <w:w w:val="95"/>
        </w:rPr>
        <w:t xml:space="preserve">sport but the sport does not dominate their identity. However, given their </w:t>
      </w:r>
      <w:r>
        <w:rPr>
          <w:color w:val="231F20"/>
        </w:rPr>
        <w:t>regular</w:t>
      </w:r>
      <w:r>
        <w:rPr>
          <w:color w:val="231F20"/>
          <w:spacing w:val="-11"/>
        </w:rPr>
        <w:t xml:space="preserve"> </w:t>
      </w:r>
      <w:r>
        <w:rPr>
          <w:color w:val="231F20"/>
        </w:rPr>
        <w:t>involvement,</w:t>
      </w:r>
      <w:r>
        <w:rPr>
          <w:color w:val="231F20"/>
          <w:spacing w:val="-11"/>
        </w:rPr>
        <w:t xml:space="preserve"> </w:t>
      </w:r>
      <w:r>
        <w:rPr>
          <w:color w:val="231F20"/>
        </w:rPr>
        <w:t>they</w:t>
      </w:r>
      <w:r>
        <w:rPr>
          <w:color w:val="231F20"/>
          <w:spacing w:val="-11"/>
        </w:rPr>
        <w:t xml:space="preserve"> </w:t>
      </w:r>
      <w:r>
        <w:rPr>
          <w:color w:val="231F20"/>
        </w:rPr>
        <w:t>have</w:t>
      </w:r>
      <w:r>
        <w:rPr>
          <w:color w:val="231F20"/>
          <w:spacing w:val="-11"/>
        </w:rPr>
        <w:t xml:space="preserve"> </w:t>
      </w:r>
      <w:r>
        <w:rPr>
          <w:color w:val="231F20"/>
        </w:rPr>
        <w:t>an</w:t>
      </w:r>
      <w:r>
        <w:rPr>
          <w:color w:val="231F20"/>
          <w:spacing w:val="-11"/>
        </w:rPr>
        <w:t xml:space="preserve"> </w:t>
      </w:r>
      <w:r>
        <w:rPr>
          <w:color w:val="231F20"/>
        </w:rPr>
        <w:t>appreciation</w:t>
      </w:r>
      <w:r>
        <w:rPr>
          <w:color w:val="231F20"/>
          <w:spacing w:val="-11"/>
        </w:rPr>
        <w:t xml:space="preserve"> </w:t>
      </w:r>
      <w:r>
        <w:rPr>
          <w:color w:val="231F20"/>
        </w:rPr>
        <w:t>of</w:t>
      </w:r>
      <w:r>
        <w:rPr>
          <w:color w:val="231F20"/>
          <w:spacing w:val="-11"/>
        </w:rPr>
        <w:t xml:space="preserve"> </w:t>
      </w:r>
      <w:r>
        <w:rPr>
          <w:color w:val="231F20"/>
        </w:rPr>
        <w:t>the</w:t>
      </w:r>
      <w:r>
        <w:rPr>
          <w:color w:val="231F20"/>
          <w:spacing w:val="-11"/>
        </w:rPr>
        <w:t xml:space="preserve"> </w:t>
      </w:r>
      <w:r>
        <w:rPr>
          <w:color w:val="231F20"/>
        </w:rPr>
        <w:t>cultural</w:t>
      </w:r>
      <w:r>
        <w:rPr>
          <w:color w:val="231F20"/>
          <w:spacing w:val="-11"/>
        </w:rPr>
        <w:t xml:space="preserve"> </w:t>
      </w:r>
      <w:r>
        <w:rPr>
          <w:color w:val="231F20"/>
        </w:rPr>
        <w:t xml:space="preserve">dimension </w:t>
      </w:r>
      <w:r>
        <w:rPr>
          <w:color w:val="231F20"/>
          <w:w w:val="95"/>
        </w:rPr>
        <w:t xml:space="preserve">of this group. Finally, insiders are experienced and committed members of </w:t>
      </w:r>
      <w:r>
        <w:rPr>
          <w:color w:val="231F20"/>
        </w:rPr>
        <w:t xml:space="preserve">the sporting subculture. </w:t>
      </w:r>
      <w:r>
        <w:rPr>
          <w:color w:val="231F20"/>
        </w:rPr>
        <w:t xml:space="preserve">They are therefore intimately familiar with the </w:t>
      </w:r>
      <w:r>
        <w:rPr>
          <w:color w:val="231F20"/>
          <w:w w:val="95"/>
        </w:rPr>
        <w:t>rules and rituals of their sporting community and derive a significant part</w:t>
      </w:r>
      <w:r>
        <w:rPr>
          <w:color w:val="231F20"/>
          <w:spacing w:val="40"/>
        </w:rPr>
        <w:t xml:space="preserve"> </w:t>
      </w:r>
      <w:r>
        <w:rPr>
          <w:color w:val="231F20"/>
        </w:rPr>
        <w:t>of their identity from their engagement.</w:t>
      </w:r>
    </w:p>
    <w:p w14:paraId="61EC16EE" w14:textId="77777777" w:rsidR="00AE0598" w:rsidRDefault="0069255A">
      <w:pPr>
        <w:pStyle w:val="Corpodetexto"/>
        <w:spacing w:before="15" w:line="232" w:lineRule="auto"/>
        <w:ind w:left="110" w:right="128" w:firstLine="320"/>
        <w:jc w:val="both"/>
      </w:pPr>
      <w:r>
        <w:rPr>
          <w:color w:val="231F20"/>
        </w:rPr>
        <w:t xml:space="preserve">As a rule, members of sport subcultures tend to be more focused on activity and their sport community than on place (Hinch &amp; Kono, 2017). </w:t>
      </w:r>
      <w:r>
        <w:rPr>
          <w:color w:val="231F20"/>
          <w:w w:val="95"/>
        </w:rPr>
        <w:t>Green</w:t>
      </w:r>
      <w:r>
        <w:rPr>
          <w:color w:val="231F20"/>
          <w:spacing w:val="-8"/>
          <w:w w:val="95"/>
        </w:rPr>
        <w:t xml:space="preserve"> </w:t>
      </w:r>
      <w:r>
        <w:rPr>
          <w:color w:val="231F20"/>
          <w:w w:val="95"/>
        </w:rPr>
        <w:t>and</w:t>
      </w:r>
      <w:r>
        <w:rPr>
          <w:color w:val="231F20"/>
          <w:spacing w:val="-8"/>
          <w:w w:val="95"/>
        </w:rPr>
        <w:t xml:space="preserve"> </w:t>
      </w:r>
      <w:r>
        <w:rPr>
          <w:color w:val="231F20"/>
          <w:w w:val="95"/>
        </w:rPr>
        <w:t>Chalip</w:t>
      </w:r>
      <w:r>
        <w:rPr>
          <w:color w:val="231F20"/>
          <w:spacing w:val="-7"/>
          <w:w w:val="95"/>
        </w:rPr>
        <w:t xml:space="preserve"> </w:t>
      </w:r>
      <w:r>
        <w:rPr>
          <w:color w:val="231F20"/>
          <w:w w:val="95"/>
        </w:rPr>
        <w:t>(1998:</w:t>
      </w:r>
      <w:r>
        <w:rPr>
          <w:color w:val="231F20"/>
          <w:spacing w:val="-8"/>
          <w:w w:val="95"/>
        </w:rPr>
        <w:t xml:space="preserve"> </w:t>
      </w:r>
      <w:r>
        <w:rPr>
          <w:color w:val="231F20"/>
          <w:w w:val="95"/>
        </w:rPr>
        <w:t>275)</w:t>
      </w:r>
      <w:r>
        <w:rPr>
          <w:color w:val="231F20"/>
          <w:spacing w:val="-7"/>
          <w:w w:val="95"/>
        </w:rPr>
        <w:t xml:space="preserve"> </w:t>
      </w:r>
      <w:r>
        <w:rPr>
          <w:color w:val="231F20"/>
          <w:w w:val="95"/>
        </w:rPr>
        <w:t>captured</w:t>
      </w:r>
      <w:r>
        <w:rPr>
          <w:color w:val="231F20"/>
          <w:spacing w:val="-8"/>
          <w:w w:val="95"/>
        </w:rPr>
        <w:t xml:space="preserve"> </w:t>
      </w:r>
      <w:r>
        <w:rPr>
          <w:color w:val="231F20"/>
          <w:w w:val="95"/>
        </w:rPr>
        <w:t>this</w:t>
      </w:r>
      <w:r>
        <w:rPr>
          <w:color w:val="231F20"/>
          <w:spacing w:val="-7"/>
          <w:w w:val="95"/>
        </w:rPr>
        <w:t xml:space="preserve"> </w:t>
      </w:r>
      <w:r>
        <w:rPr>
          <w:color w:val="231F20"/>
          <w:w w:val="95"/>
        </w:rPr>
        <w:t>in</w:t>
      </w:r>
      <w:r>
        <w:rPr>
          <w:color w:val="231F20"/>
          <w:spacing w:val="-8"/>
          <w:w w:val="95"/>
        </w:rPr>
        <w:t xml:space="preserve"> </w:t>
      </w:r>
      <w:r>
        <w:rPr>
          <w:color w:val="231F20"/>
          <w:w w:val="95"/>
        </w:rPr>
        <w:t>their</w:t>
      </w:r>
      <w:r>
        <w:rPr>
          <w:color w:val="231F20"/>
          <w:spacing w:val="-7"/>
          <w:w w:val="95"/>
        </w:rPr>
        <w:t xml:space="preserve"> </w:t>
      </w:r>
      <w:r>
        <w:rPr>
          <w:color w:val="231F20"/>
          <w:w w:val="95"/>
        </w:rPr>
        <w:t>conclusion</w:t>
      </w:r>
      <w:r>
        <w:rPr>
          <w:color w:val="231F20"/>
          <w:spacing w:val="-8"/>
          <w:w w:val="95"/>
        </w:rPr>
        <w:t xml:space="preserve"> </w:t>
      </w:r>
      <w:r>
        <w:rPr>
          <w:color w:val="231F20"/>
          <w:w w:val="95"/>
        </w:rPr>
        <w:t>of</w:t>
      </w:r>
      <w:r>
        <w:rPr>
          <w:color w:val="231F20"/>
          <w:spacing w:val="5"/>
        </w:rPr>
        <w:t xml:space="preserve"> </w:t>
      </w:r>
      <w:r>
        <w:rPr>
          <w:color w:val="231F20"/>
          <w:w w:val="95"/>
        </w:rPr>
        <w:t>their</w:t>
      </w:r>
      <w:r>
        <w:rPr>
          <w:color w:val="231F20"/>
          <w:spacing w:val="-8"/>
          <w:w w:val="95"/>
        </w:rPr>
        <w:t xml:space="preserve"> </w:t>
      </w:r>
      <w:r>
        <w:rPr>
          <w:color w:val="231F20"/>
          <w:spacing w:val="-4"/>
          <w:w w:val="95"/>
        </w:rPr>
        <w:t>study</w:t>
      </w:r>
    </w:p>
    <w:p w14:paraId="3938A5E4" w14:textId="77777777" w:rsidR="00AE0598" w:rsidRDefault="00AE0598">
      <w:pPr>
        <w:spacing w:line="232" w:lineRule="auto"/>
        <w:jc w:val="both"/>
        <w:sectPr w:rsidR="00AE0598">
          <w:pgSz w:w="8850" w:h="13270"/>
          <w:pgMar w:top="720" w:right="1060" w:bottom="280" w:left="1080" w:header="720" w:footer="720" w:gutter="0"/>
          <w:cols w:space="720"/>
        </w:sectPr>
      </w:pPr>
    </w:p>
    <w:p w14:paraId="4D40F837" w14:textId="77777777" w:rsidR="00AE0598" w:rsidRDefault="0069255A">
      <w:pPr>
        <w:spacing w:before="87"/>
        <w:ind w:left="110" w:right="128"/>
        <w:jc w:val="right"/>
        <w:rPr>
          <w:rFonts w:ascii="Trebuchet MS"/>
          <w:sz w:val="14"/>
        </w:rPr>
      </w:pPr>
      <w:r>
        <w:rPr>
          <w:rFonts w:ascii="Trebuchet MS"/>
          <w:color w:val="231F20"/>
          <w:w w:val="105"/>
          <w:sz w:val="14"/>
        </w:rPr>
        <w:lastRenderedPageBreak/>
        <w:t>Place,</w:t>
      </w:r>
      <w:r>
        <w:rPr>
          <w:rFonts w:ascii="Trebuchet MS"/>
          <w:color w:val="231F20"/>
          <w:spacing w:val="-12"/>
          <w:w w:val="105"/>
          <w:sz w:val="14"/>
        </w:rPr>
        <w:t xml:space="preserve"> </w:t>
      </w:r>
      <w:r>
        <w:rPr>
          <w:rFonts w:ascii="Trebuchet MS"/>
          <w:color w:val="231F20"/>
          <w:w w:val="105"/>
          <w:sz w:val="14"/>
        </w:rPr>
        <w:t>Sport</w:t>
      </w:r>
      <w:r>
        <w:rPr>
          <w:rFonts w:ascii="Trebuchet MS"/>
          <w:color w:val="231F20"/>
          <w:spacing w:val="-11"/>
          <w:w w:val="105"/>
          <w:sz w:val="14"/>
        </w:rPr>
        <w:t xml:space="preserve"> </w:t>
      </w:r>
      <w:r>
        <w:rPr>
          <w:rFonts w:ascii="Trebuchet MS"/>
          <w:color w:val="231F20"/>
          <w:w w:val="105"/>
          <w:sz w:val="14"/>
        </w:rPr>
        <w:t>and</w:t>
      </w:r>
      <w:r>
        <w:rPr>
          <w:rFonts w:ascii="Trebuchet MS"/>
          <w:color w:val="231F20"/>
          <w:spacing w:val="-11"/>
          <w:w w:val="105"/>
          <w:sz w:val="14"/>
        </w:rPr>
        <w:t xml:space="preserve"> </w:t>
      </w:r>
      <w:r>
        <w:rPr>
          <w:rFonts w:ascii="Trebuchet MS"/>
          <w:color w:val="231F20"/>
          <w:w w:val="105"/>
          <w:sz w:val="14"/>
        </w:rPr>
        <w:t>Culture</w:t>
      </w:r>
      <w:r>
        <w:rPr>
          <w:rFonts w:ascii="Trebuchet MS"/>
          <w:color w:val="231F20"/>
          <w:spacing w:val="71"/>
          <w:w w:val="105"/>
          <w:sz w:val="14"/>
        </w:rPr>
        <w:t xml:space="preserve"> </w:t>
      </w:r>
      <w:r>
        <w:rPr>
          <w:rFonts w:ascii="Trebuchet MS"/>
          <w:color w:val="231F20"/>
          <w:spacing w:val="-5"/>
          <w:w w:val="105"/>
          <w:sz w:val="14"/>
        </w:rPr>
        <w:t>1</w:t>
      </w:r>
      <w:r>
        <w:rPr>
          <w:rFonts w:ascii="Trebuchet MS"/>
          <w:color w:val="231F20"/>
          <w:spacing w:val="-5"/>
          <w:w w:val="105"/>
          <w:sz w:val="14"/>
        </w:rPr>
        <w:t>27</w:t>
      </w:r>
    </w:p>
    <w:p w14:paraId="507F2E65" w14:textId="77777777" w:rsidR="00AE0598" w:rsidRDefault="00AE0598">
      <w:pPr>
        <w:pStyle w:val="Corpodetexto"/>
        <w:spacing w:before="5"/>
        <w:rPr>
          <w:rFonts w:ascii="Trebuchet MS"/>
          <w:sz w:val="18"/>
        </w:rPr>
      </w:pPr>
    </w:p>
    <w:p w14:paraId="3A23BF6B" w14:textId="77777777" w:rsidR="00AE0598" w:rsidRDefault="0069255A">
      <w:pPr>
        <w:spacing w:before="100"/>
        <w:ind w:left="108"/>
        <w:rPr>
          <w:rFonts w:ascii="Trebuchet MS"/>
          <w:sz w:val="16"/>
        </w:rPr>
      </w:pPr>
      <w:r>
        <w:rPr>
          <w:rFonts w:ascii="Trebuchet MS"/>
          <w:b/>
          <w:color w:val="231F20"/>
          <w:sz w:val="16"/>
        </w:rPr>
        <w:t>Table</w:t>
      </w:r>
      <w:r>
        <w:rPr>
          <w:rFonts w:ascii="Trebuchet MS"/>
          <w:b/>
          <w:color w:val="231F20"/>
          <w:spacing w:val="10"/>
          <w:sz w:val="16"/>
        </w:rPr>
        <w:t xml:space="preserve"> </w:t>
      </w:r>
      <w:r>
        <w:rPr>
          <w:rFonts w:ascii="Trebuchet MS"/>
          <w:b/>
          <w:color w:val="231F20"/>
          <w:sz w:val="16"/>
        </w:rPr>
        <w:t>6.1</w:t>
      </w:r>
      <w:r>
        <w:rPr>
          <w:rFonts w:ascii="Trebuchet MS"/>
          <w:b/>
          <w:color w:val="231F20"/>
          <w:spacing w:val="56"/>
          <w:sz w:val="16"/>
        </w:rPr>
        <w:t xml:space="preserve"> </w:t>
      </w:r>
      <w:r>
        <w:rPr>
          <w:rFonts w:ascii="Trebuchet MS"/>
          <w:color w:val="231F20"/>
          <w:sz w:val="16"/>
        </w:rPr>
        <w:t>Characteristics</w:t>
      </w:r>
      <w:r>
        <w:rPr>
          <w:rFonts w:ascii="Trebuchet MS"/>
          <w:color w:val="231F20"/>
          <w:spacing w:val="10"/>
          <w:sz w:val="16"/>
        </w:rPr>
        <w:t xml:space="preserve"> </w:t>
      </w:r>
      <w:r>
        <w:rPr>
          <w:rFonts w:ascii="Trebuchet MS"/>
          <w:color w:val="231F20"/>
          <w:sz w:val="16"/>
        </w:rPr>
        <w:t>and</w:t>
      </w:r>
      <w:r>
        <w:rPr>
          <w:rFonts w:ascii="Trebuchet MS"/>
          <w:color w:val="231F20"/>
          <w:spacing w:val="10"/>
          <w:sz w:val="16"/>
        </w:rPr>
        <w:t xml:space="preserve"> </w:t>
      </w:r>
      <w:r>
        <w:rPr>
          <w:rFonts w:ascii="Trebuchet MS"/>
          <w:color w:val="231F20"/>
          <w:sz w:val="16"/>
        </w:rPr>
        <w:t>types</w:t>
      </w:r>
      <w:r>
        <w:rPr>
          <w:rFonts w:ascii="Trebuchet MS"/>
          <w:color w:val="231F20"/>
          <w:spacing w:val="10"/>
          <w:sz w:val="16"/>
        </w:rPr>
        <w:t xml:space="preserve"> </w:t>
      </w:r>
      <w:r>
        <w:rPr>
          <w:rFonts w:ascii="Trebuchet MS"/>
          <w:color w:val="231F20"/>
          <w:sz w:val="16"/>
        </w:rPr>
        <w:t>of</w:t>
      </w:r>
      <w:r>
        <w:rPr>
          <w:rFonts w:ascii="Trebuchet MS"/>
          <w:color w:val="231F20"/>
          <w:spacing w:val="11"/>
          <w:sz w:val="16"/>
        </w:rPr>
        <w:t xml:space="preserve"> </w:t>
      </w:r>
      <w:r>
        <w:rPr>
          <w:rFonts w:ascii="Trebuchet MS"/>
          <w:color w:val="231F20"/>
          <w:sz w:val="16"/>
        </w:rPr>
        <w:t>participation</w:t>
      </w:r>
      <w:r>
        <w:rPr>
          <w:rFonts w:ascii="Trebuchet MS"/>
          <w:color w:val="231F20"/>
          <w:spacing w:val="10"/>
          <w:sz w:val="16"/>
        </w:rPr>
        <w:t xml:space="preserve"> </w:t>
      </w:r>
      <w:r>
        <w:rPr>
          <w:rFonts w:ascii="Trebuchet MS"/>
          <w:color w:val="231F20"/>
          <w:sz w:val="16"/>
        </w:rPr>
        <w:t>in</w:t>
      </w:r>
      <w:r>
        <w:rPr>
          <w:rFonts w:ascii="Trebuchet MS"/>
          <w:color w:val="231F20"/>
          <w:spacing w:val="10"/>
          <w:sz w:val="16"/>
        </w:rPr>
        <w:t xml:space="preserve"> </w:t>
      </w:r>
      <w:r>
        <w:rPr>
          <w:rFonts w:ascii="Trebuchet MS"/>
          <w:color w:val="231F20"/>
          <w:sz w:val="16"/>
        </w:rPr>
        <w:t>a</w:t>
      </w:r>
      <w:r>
        <w:rPr>
          <w:rFonts w:ascii="Trebuchet MS"/>
          <w:color w:val="231F20"/>
          <w:spacing w:val="10"/>
          <w:sz w:val="16"/>
        </w:rPr>
        <w:t xml:space="preserve"> </w:t>
      </w:r>
      <w:r>
        <w:rPr>
          <w:rFonts w:ascii="Trebuchet MS"/>
          <w:color w:val="231F20"/>
          <w:sz w:val="16"/>
        </w:rPr>
        <w:t>distance</w:t>
      </w:r>
      <w:r>
        <w:rPr>
          <w:rFonts w:ascii="Trebuchet MS"/>
          <w:color w:val="231F20"/>
          <w:spacing w:val="10"/>
          <w:sz w:val="16"/>
        </w:rPr>
        <w:t xml:space="preserve"> </w:t>
      </w:r>
      <w:r>
        <w:rPr>
          <w:rFonts w:ascii="Trebuchet MS"/>
          <w:color w:val="231F20"/>
          <w:sz w:val="16"/>
        </w:rPr>
        <w:t>running</w:t>
      </w:r>
      <w:r>
        <w:rPr>
          <w:rFonts w:ascii="Trebuchet MS"/>
          <w:color w:val="231F20"/>
          <w:spacing w:val="10"/>
          <w:sz w:val="16"/>
        </w:rPr>
        <w:t xml:space="preserve"> </w:t>
      </w:r>
      <w:r>
        <w:rPr>
          <w:rFonts w:ascii="Trebuchet MS"/>
          <w:color w:val="231F20"/>
          <w:sz w:val="16"/>
        </w:rPr>
        <w:t>social</w:t>
      </w:r>
      <w:r>
        <w:rPr>
          <w:rFonts w:ascii="Trebuchet MS"/>
          <w:color w:val="231F20"/>
          <w:spacing w:val="11"/>
          <w:sz w:val="16"/>
        </w:rPr>
        <w:t xml:space="preserve"> </w:t>
      </w:r>
      <w:r>
        <w:rPr>
          <w:rFonts w:ascii="Trebuchet MS"/>
          <w:color w:val="231F20"/>
          <w:spacing w:val="-2"/>
          <w:sz w:val="16"/>
        </w:rPr>
        <w:t>world</w:t>
      </w:r>
    </w:p>
    <w:p w14:paraId="087346D6" w14:textId="77777777" w:rsidR="00AE0598" w:rsidRDefault="00AE0598">
      <w:pPr>
        <w:pStyle w:val="Corpodetexto"/>
        <w:spacing w:before="9"/>
        <w:rPr>
          <w:rFonts w:ascii="Trebuchet MS"/>
          <w:sz w:val="18"/>
        </w:rPr>
      </w:pPr>
    </w:p>
    <w:tbl>
      <w:tblPr>
        <w:tblStyle w:val="TableNormal"/>
        <w:tblW w:w="0" w:type="auto"/>
        <w:tblInd w:w="115" w:type="dxa"/>
        <w:tblLayout w:type="fixed"/>
        <w:tblLook w:val="01E0" w:firstRow="1" w:lastRow="1" w:firstColumn="1" w:lastColumn="1" w:noHBand="0" w:noVBand="0"/>
      </w:tblPr>
      <w:tblGrid>
        <w:gridCol w:w="1095"/>
        <w:gridCol w:w="1349"/>
        <w:gridCol w:w="1373"/>
        <w:gridCol w:w="1274"/>
        <w:gridCol w:w="1329"/>
      </w:tblGrid>
      <w:tr w:rsidR="00AE0598" w14:paraId="1D7DF96A" w14:textId="77777777">
        <w:trPr>
          <w:trHeight w:val="208"/>
        </w:trPr>
        <w:tc>
          <w:tcPr>
            <w:tcW w:w="1095" w:type="dxa"/>
            <w:tcBorders>
              <w:bottom w:val="single" w:sz="2" w:space="0" w:color="231F20"/>
            </w:tcBorders>
          </w:tcPr>
          <w:p w14:paraId="497146D9" w14:textId="77777777" w:rsidR="00AE0598" w:rsidRDefault="00AE0598">
            <w:pPr>
              <w:pStyle w:val="TableParagraph"/>
              <w:rPr>
                <w:rFonts w:ascii="Times New Roman"/>
                <w:sz w:val="14"/>
              </w:rPr>
            </w:pPr>
          </w:p>
        </w:tc>
        <w:tc>
          <w:tcPr>
            <w:tcW w:w="1349" w:type="dxa"/>
            <w:tcBorders>
              <w:bottom w:val="single" w:sz="2" w:space="0" w:color="231F20"/>
            </w:tcBorders>
          </w:tcPr>
          <w:p w14:paraId="19B7DB23" w14:textId="77777777" w:rsidR="00AE0598" w:rsidRDefault="0069255A">
            <w:pPr>
              <w:pStyle w:val="TableParagraph"/>
              <w:spacing w:line="162" w:lineRule="exact"/>
              <w:ind w:left="500"/>
              <w:rPr>
                <w:b/>
                <w:sz w:val="14"/>
              </w:rPr>
            </w:pPr>
            <w:r>
              <w:rPr>
                <w:b/>
                <w:color w:val="231F20"/>
                <w:spacing w:val="-2"/>
                <w:sz w:val="14"/>
              </w:rPr>
              <w:t>Outsiders</w:t>
            </w:r>
          </w:p>
        </w:tc>
        <w:tc>
          <w:tcPr>
            <w:tcW w:w="1373" w:type="dxa"/>
            <w:tcBorders>
              <w:bottom w:val="single" w:sz="2" w:space="0" w:color="231F20"/>
            </w:tcBorders>
          </w:tcPr>
          <w:p w14:paraId="3D5E7B32" w14:textId="77777777" w:rsidR="00AE0598" w:rsidRDefault="0069255A">
            <w:pPr>
              <w:pStyle w:val="TableParagraph"/>
              <w:spacing w:line="162" w:lineRule="exact"/>
              <w:ind w:left="467"/>
              <w:rPr>
                <w:b/>
                <w:sz w:val="14"/>
              </w:rPr>
            </w:pPr>
            <w:r>
              <w:rPr>
                <w:b/>
                <w:color w:val="231F20"/>
                <w:spacing w:val="-2"/>
                <w:sz w:val="14"/>
              </w:rPr>
              <w:t>Occasional</w:t>
            </w:r>
          </w:p>
        </w:tc>
        <w:tc>
          <w:tcPr>
            <w:tcW w:w="1274" w:type="dxa"/>
            <w:tcBorders>
              <w:bottom w:val="single" w:sz="2" w:space="0" w:color="231F20"/>
            </w:tcBorders>
          </w:tcPr>
          <w:p w14:paraId="6CA910D1" w14:textId="77777777" w:rsidR="00AE0598" w:rsidRDefault="0069255A">
            <w:pPr>
              <w:pStyle w:val="TableParagraph"/>
              <w:spacing w:line="162" w:lineRule="exact"/>
              <w:ind w:left="495"/>
              <w:rPr>
                <w:b/>
                <w:sz w:val="14"/>
              </w:rPr>
            </w:pPr>
            <w:r>
              <w:rPr>
                <w:b/>
                <w:color w:val="231F20"/>
                <w:spacing w:val="-2"/>
                <w:sz w:val="14"/>
              </w:rPr>
              <w:t>Regulars</w:t>
            </w:r>
          </w:p>
        </w:tc>
        <w:tc>
          <w:tcPr>
            <w:tcW w:w="1329" w:type="dxa"/>
            <w:tcBorders>
              <w:bottom w:val="single" w:sz="2" w:space="0" w:color="231F20"/>
            </w:tcBorders>
          </w:tcPr>
          <w:p w14:paraId="2CF71218" w14:textId="77777777" w:rsidR="00AE0598" w:rsidRDefault="0069255A">
            <w:pPr>
              <w:pStyle w:val="TableParagraph"/>
              <w:spacing w:line="162" w:lineRule="exact"/>
              <w:ind w:left="460"/>
              <w:rPr>
                <w:b/>
                <w:sz w:val="14"/>
              </w:rPr>
            </w:pPr>
            <w:r>
              <w:rPr>
                <w:b/>
                <w:color w:val="231F20"/>
                <w:spacing w:val="-2"/>
                <w:sz w:val="14"/>
              </w:rPr>
              <w:t>Insiders</w:t>
            </w:r>
          </w:p>
        </w:tc>
      </w:tr>
      <w:tr w:rsidR="00AE0598" w14:paraId="63385BB9" w14:textId="77777777">
        <w:trPr>
          <w:trHeight w:val="356"/>
        </w:trPr>
        <w:tc>
          <w:tcPr>
            <w:tcW w:w="1095" w:type="dxa"/>
            <w:tcBorders>
              <w:top w:val="single" w:sz="2" w:space="0" w:color="231F20"/>
              <w:bottom w:val="single" w:sz="2" w:space="0" w:color="231F20"/>
            </w:tcBorders>
          </w:tcPr>
          <w:p w14:paraId="04D6110F" w14:textId="77777777" w:rsidR="00AE0598" w:rsidRDefault="0069255A">
            <w:pPr>
              <w:pStyle w:val="TableParagraph"/>
              <w:spacing w:before="51"/>
              <w:ind w:left="-1"/>
              <w:rPr>
                <w:sz w:val="14"/>
              </w:rPr>
            </w:pPr>
            <w:r>
              <w:rPr>
                <w:color w:val="231F20"/>
                <w:spacing w:val="-2"/>
                <w:w w:val="105"/>
                <w:sz w:val="14"/>
              </w:rPr>
              <w:t>Orientation</w:t>
            </w:r>
          </w:p>
        </w:tc>
        <w:tc>
          <w:tcPr>
            <w:tcW w:w="1349" w:type="dxa"/>
            <w:tcBorders>
              <w:top w:val="single" w:sz="2" w:space="0" w:color="231F20"/>
              <w:bottom w:val="single" w:sz="2" w:space="0" w:color="231F20"/>
            </w:tcBorders>
          </w:tcPr>
          <w:p w14:paraId="23590CBF" w14:textId="77777777" w:rsidR="00AE0598" w:rsidRDefault="0069255A">
            <w:pPr>
              <w:pStyle w:val="TableParagraph"/>
              <w:spacing w:before="51"/>
              <w:ind w:left="205"/>
              <w:rPr>
                <w:sz w:val="14"/>
              </w:rPr>
            </w:pPr>
            <w:r>
              <w:rPr>
                <w:color w:val="231F20"/>
                <w:spacing w:val="-2"/>
                <w:w w:val="105"/>
                <w:sz w:val="14"/>
              </w:rPr>
              <w:t>Naiveté</w:t>
            </w:r>
          </w:p>
        </w:tc>
        <w:tc>
          <w:tcPr>
            <w:tcW w:w="1373" w:type="dxa"/>
            <w:tcBorders>
              <w:top w:val="single" w:sz="2" w:space="0" w:color="231F20"/>
              <w:bottom w:val="single" w:sz="2" w:space="0" w:color="231F20"/>
            </w:tcBorders>
          </w:tcPr>
          <w:p w14:paraId="2A4AB9E1" w14:textId="77777777" w:rsidR="00AE0598" w:rsidRDefault="0069255A">
            <w:pPr>
              <w:pStyle w:val="TableParagraph"/>
              <w:spacing w:before="51"/>
              <w:ind w:left="179"/>
              <w:rPr>
                <w:sz w:val="14"/>
              </w:rPr>
            </w:pPr>
            <w:r>
              <w:rPr>
                <w:color w:val="231F20"/>
                <w:spacing w:val="-2"/>
                <w:sz w:val="14"/>
              </w:rPr>
              <w:t>Curiosity</w:t>
            </w:r>
          </w:p>
        </w:tc>
        <w:tc>
          <w:tcPr>
            <w:tcW w:w="1274" w:type="dxa"/>
            <w:tcBorders>
              <w:top w:val="single" w:sz="2" w:space="0" w:color="231F20"/>
              <w:bottom w:val="single" w:sz="2" w:space="0" w:color="231F20"/>
            </w:tcBorders>
          </w:tcPr>
          <w:p w14:paraId="0FC9B2F3" w14:textId="77777777" w:rsidR="00AE0598" w:rsidRDefault="0069255A">
            <w:pPr>
              <w:pStyle w:val="TableParagraph"/>
              <w:spacing w:before="51"/>
              <w:ind w:left="186"/>
              <w:rPr>
                <w:sz w:val="14"/>
              </w:rPr>
            </w:pPr>
            <w:r>
              <w:rPr>
                <w:color w:val="231F20"/>
                <w:spacing w:val="-2"/>
                <w:w w:val="105"/>
                <w:sz w:val="14"/>
              </w:rPr>
              <w:t>Habituation</w:t>
            </w:r>
          </w:p>
        </w:tc>
        <w:tc>
          <w:tcPr>
            <w:tcW w:w="1329" w:type="dxa"/>
            <w:tcBorders>
              <w:top w:val="single" w:sz="2" w:space="0" w:color="231F20"/>
              <w:bottom w:val="single" w:sz="2" w:space="0" w:color="231F20"/>
            </w:tcBorders>
          </w:tcPr>
          <w:p w14:paraId="47E2CF52" w14:textId="77777777" w:rsidR="00AE0598" w:rsidRDefault="0069255A">
            <w:pPr>
              <w:pStyle w:val="TableParagraph"/>
              <w:spacing w:before="51"/>
              <w:ind w:left="196"/>
              <w:rPr>
                <w:sz w:val="14"/>
              </w:rPr>
            </w:pPr>
            <w:r>
              <w:rPr>
                <w:color w:val="231F20"/>
                <w:spacing w:val="-2"/>
                <w:sz w:val="14"/>
              </w:rPr>
              <w:t>Identity</w:t>
            </w:r>
          </w:p>
        </w:tc>
      </w:tr>
      <w:tr w:rsidR="00AE0598" w14:paraId="21DE5879" w14:textId="77777777">
        <w:trPr>
          <w:trHeight w:val="260"/>
        </w:trPr>
        <w:tc>
          <w:tcPr>
            <w:tcW w:w="1095" w:type="dxa"/>
            <w:tcBorders>
              <w:top w:val="single" w:sz="2" w:space="0" w:color="231F20"/>
              <w:bottom w:val="single" w:sz="2" w:space="0" w:color="231F20"/>
            </w:tcBorders>
          </w:tcPr>
          <w:p w14:paraId="0423A75F" w14:textId="77777777" w:rsidR="00AE0598" w:rsidRDefault="0069255A">
            <w:pPr>
              <w:pStyle w:val="TableParagraph"/>
              <w:spacing w:before="51"/>
              <w:ind w:left="-1"/>
              <w:rPr>
                <w:sz w:val="14"/>
              </w:rPr>
            </w:pPr>
            <w:r>
              <w:rPr>
                <w:color w:val="231F20"/>
                <w:spacing w:val="-2"/>
                <w:sz w:val="14"/>
              </w:rPr>
              <w:t>Experiences</w:t>
            </w:r>
          </w:p>
        </w:tc>
        <w:tc>
          <w:tcPr>
            <w:tcW w:w="1349" w:type="dxa"/>
            <w:tcBorders>
              <w:top w:val="single" w:sz="2" w:space="0" w:color="231F20"/>
              <w:bottom w:val="single" w:sz="2" w:space="0" w:color="231F20"/>
            </w:tcBorders>
          </w:tcPr>
          <w:p w14:paraId="66D88ED9" w14:textId="77777777" w:rsidR="00AE0598" w:rsidRDefault="0069255A">
            <w:pPr>
              <w:pStyle w:val="TableParagraph"/>
              <w:spacing w:before="51"/>
              <w:ind w:left="204"/>
              <w:rPr>
                <w:sz w:val="14"/>
              </w:rPr>
            </w:pPr>
            <w:r>
              <w:rPr>
                <w:color w:val="231F20"/>
                <w:spacing w:val="-2"/>
                <w:w w:val="105"/>
                <w:sz w:val="14"/>
              </w:rPr>
              <w:t>Disorientation</w:t>
            </w:r>
          </w:p>
        </w:tc>
        <w:tc>
          <w:tcPr>
            <w:tcW w:w="1373" w:type="dxa"/>
            <w:tcBorders>
              <w:top w:val="single" w:sz="2" w:space="0" w:color="231F20"/>
              <w:bottom w:val="single" w:sz="2" w:space="0" w:color="231F20"/>
            </w:tcBorders>
          </w:tcPr>
          <w:p w14:paraId="1CED0289" w14:textId="77777777" w:rsidR="00AE0598" w:rsidRDefault="0069255A">
            <w:pPr>
              <w:pStyle w:val="TableParagraph"/>
              <w:spacing w:before="51"/>
              <w:ind w:left="178"/>
              <w:rPr>
                <w:sz w:val="14"/>
              </w:rPr>
            </w:pPr>
            <w:r>
              <w:rPr>
                <w:color w:val="231F20"/>
                <w:spacing w:val="-2"/>
                <w:w w:val="105"/>
                <w:sz w:val="14"/>
              </w:rPr>
              <w:t>Orientation</w:t>
            </w:r>
          </w:p>
        </w:tc>
        <w:tc>
          <w:tcPr>
            <w:tcW w:w="1274" w:type="dxa"/>
            <w:tcBorders>
              <w:top w:val="single" w:sz="2" w:space="0" w:color="231F20"/>
              <w:bottom w:val="single" w:sz="2" w:space="0" w:color="231F20"/>
            </w:tcBorders>
          </w:tcPr>
          <w:p w14:paraId="4B87043B" w14:textId="77777777" w:rsidR="00AE0598" w:rsidRDefault="0069255A">
            <w:pPr>
              <w:pStyle w:val="TableParagraph"/>
              <w:spacing w:before="51"/>
              <w:ind w:left="184"/>
              <w:rPr>
                <w:sz w:val="14"/>
              </w:rPr>
            </w:pPr>
            <w:r>
              <w:rPr>
                <w:color w:val="231F20"/>
                <w:spacing w:val="-2"/>
                <w:w w:val="105"/>
                <w:sz w:val="14"/>
              </w:rPr>
              <w:t>Integration</w:t>
            </w:r>
          </w:p>
        </w:tc>
        <w:tc>
          <w:tcPr>
            <w:tcW w:w="1329" w:type="dxa"/>
            <w:tcBorders>
              <w:top w:val="single" w:sz="2" w:space="0" w:color="231F20"/>
              <w:bottom w:val="single" w:sz="2" w:space="0" w:color="231F20"/>
            </w:tcBorders>
          </w:tcPr>
          <w:p w14:paraId="15BA29B2" w14:textId="77777777" w:rsidR="00AE0598" w:rsidRDefault="0069255A">
            <w:pPr>
              <w:pStyle w:val="TableParagraph"/>
              <w:spacing w:before="51"/>
              <w:ind w:left="196"/>
              <w:rPr>
                <w:sz w:val="14"/>
              </w:rPr>
            </w:pPr>
            <w:r>
              <w:rPr>
                <w:color w:val="231F20"/>
                <w:spacing w:val="-2"/>
                <w:w w:val="105"/>
                <w:sz w:val="14"/>
              </w:rPr>
              <w:t>Creation</w:t>
            </w:r>
          </w:p>
        </w:tc>
      </w:tr>
      <w:tr w:rsidR="00AE0598" w14:paraId="15DF848C" w14:textId="77777777">
        <w:trPr>
          <w:trHeight w:val="260"/>
        </w:trPr>
        <w:tc>
          <w:tcPr>
            <w:tcW w:w="1095" w:type="dxa"/>
            <w:tcBorders>
              <w:top w:val="single" w:sz="2" w:space="0" w:color="231F20"/>
              <w:bottom w:val="single" w:sz="2" w:space="0" w:color="231F20"/>
            </w:tcBorders>
          </w:tcPr>
          <w:p w14:paraId="69F4E662" w14:textId="77777777" w:rsidR="00AE0598" w:rsidRDefault="0069255A">
            <w:pPr>
              <w:pStyle w:val="TableParagraph"/>
              <w:spacing w:before="51"/>
              <w:ind w:left="-1"/>
              <w:rPr>
                <w:sz w:val="14"/>
              </w:rPr>
            </w:pPr>
            <w:r>
              <w:rPr>
                <w:color w:val="231F20"/>
                <w:spacing w:val="-2"/>
                <w:w w:val="105"/>
                <w:sz w:val="14"/>
              </w:rPr>
              <w:t>Relationships</w:t>
            </w:r>
          </w:p>
        </w:tc>
        <w:tc>
          <w:tcPr>
            <w:tcW w:w="1349" w:type="dxa"/>
            <w:tcBorders>
              <w:top w:val="single" w:sz="2" w:space="0" w:color="231F20"/>
              <w:bottom w:val="single" w:sz="2" w:space="0" w:color="231F20"/>
            </w:tcBorders>
          </w:tcPr>
          <w:p w14:paraId="733721EE" w14:textId="77777777" w:rsidR="00AE0598" w:rsidRDefault="0069255A">
            <w:pPr>
              <w:pStyle w:val="TableParagraph"/>
              <w:spacing w:before="51"/>
              <w:ind w:left="206"/>
              <w:rPr>
                <w:sz w:val="14"/>
              </w:rPr>
            </w:pPr>
            <w:r>
              <w:rPr>
                <w:color w:val="231F20"/>
                <w:spacing w:val="-2"/>
                <w:sz w:val="14"/>
              </w:rPr>
              <w:t>Superficiality</w:t>
            </w:r>
          </w:p>
        </w:tc>
        <w:tc>
          <w:tcPr>
            <w:tcW w:w="1373" w:type="dxa"/>
            <w:tcBorders>
              <w:top w:val="single" w:sz="2" w:space="0" w:color="231F20"/>
              <w:bottom w:val="single" w:sz="2" w:space="0" w:color="231F20"/>
            </w:tcBorders>
          </w:tcPr>
          <w:p w14:paraId="251D899E" w14:textId="77777777" w:rsidR="00AE0598" w:rsidRDefault="0069255A">
            <w:pPr>
              <w:pStyle w:val="TableParagraph"/>
              <w:spacing w:before="51"/>
              <w:ind w:left="179"/>
              <w:rPr>
                <w:sz w:val="14"/>
              </w:rPr>
            </w:pPr>
            <w:r>
              <w:rPr>
                <w:color w:val="231F20"/>
                <w:spacing w:val="-2"/>
                <w:sz w:val="14"/>
              </w:rPr>
              <w:t>Transiency</w:t>
            </w:r>
          </w:p>
        </w:tc>
        <w:tc>
          <w:tcPr>
            <w:tcW w:w="1274" w:type="dxa"/>
            <w:tcBorders>
              <w:top w:val="single" w:sz="2" w:space="0" w:color="231F20"/>
              <w:bottom w:val="single" w:sz="2" w:space="0" w:color="231F20"/>
            </w:tcBorders>
          </w:tcPr>
          <w:p w14:paraId="79354A70" w14:textId="77777777" w:rsidR="00AE0598" w:rsidRDefault="0069255A">
            <w:pPr>
              <w:pStyle w:val="TableParagraph"/>
              <w:spacing w:before="51"/>
              <w:ind w:left="185"/>
              <w:rPr>
                <w:sz w:val="14"/>
              </w:rPr>
            </w:pPr>
            <w:r>
              <w:rPr>
                <w:color w:val="231F20"/>
                <w:spacing w:val="-2"/>
                <w:sz w:val="14"/>
              </w:rPr>
              <w:t>Familiarity</w:t>
            </w:r>
          </w:p>
        </w:tc>
        <w:tc>
          <w:tcPr>
            <w:tcW w:w="1329" w:type="dxa"/>
            <w:tcBorders>
              <w:top w:val="single" w:sz="2" w:space="0" w:color="231F20"/>
              <w:bottom w:val="single" w:sz="2" w:space="0" w:color="231F20"/>
            </w:tcBorders>
          </w:tcPr>
          <w:p w14:paraId="0C7594F0" w14:textId="77777777" w:rsidR="00AE0598" w:rsidRDefault="0069255A">
            <w:pPr>
              <w:pStyle w:val="TableParagraph"/>
              <w:spacing w:before="51"/>
              <w:ind w:left="197"/>
              <w:rPr>
                <w:sz w:val="14"/>
              </w:rPr>
            </w:pPr>
            <w:r>
              <w:rPr>
                <w:color w:val="231F20"/>
                <w:spacing w:val="-2"/>
                <w:sz w:val="14"/>
              </w:rPr>
              <w:t>Intimacy</w:t>
            </w:r>
          </w:p>
        </w:tc>
      </w:tr>
      <w:tr w:rsidR="00AE0598" w14:paraId="328C23F3" w14:textId="77777777">
        <w:trPr>
          <w:trHeight w:val="260"/>
        </w:trPr>
        <w:tc>
          <w:tcPr>
            <w:tcW w:w="1095" w:type="dxa"/>
            <w:tcBorders>
              <w:top w:val="single" w:sz="2" w:space="0" w:color="231F20"/>
              <w:bottom w:val="single" w:sz="2" w:space="0" w:color="231F20"/>
            </w:tcBorders>
          </w:tcPr>
          <w:p w14:paraId="3AEC9BAB" w14:textId="77777777" w:rsidR="00AE0598" w:rsidRDefault="0069255A">
            <w:pPr>
              <w:pStyle w:val="TableParagraph"/>
              <w:spacing w:before="51"/>
              <w:ind w:left="-1"/>
              <w:rPr>
                <w:sz w:val="14"/>
              </w:rPr>
            </w:pPr>
            <w:r>
              <w:rPr>
                <w:color w:val="231F20"/>
                <w:spacing w:val="-2"/>
                <w:w w:val="105"/>
                <w:sz w:val="14"/>
              </w:rPr>
              <w:t>Commitment</w:t>
            </w:r>
          </w:p>
        </w:tc>
        <w:tc>
          <w:tcPr>
            <w:tcW w:w="1349" w:type="dxa"/>
            <w:tcBorders>
              <w:top w:val="single" w:sz="2" w:space="0" w:color="231F20"/>
              <w:bottom w:val="single" w:sz="2" w:space="0" w:color="231F20"/>
            </w:tcBorders>
          </w:tcPr>
          <w:p w14:paraId="221CBA6D" w14:textId="77777777" w:rsidR="00AE0598" w:rsidRDefault="0069255A">
            <w:pPr>
              <w:pStyle w:val="TableParagraph"/>
              <w:spacing w:before="51"/>
              <w:ind w:left="206"/>
              <w:rPr>
                <w:sz w:val="14"/>
              </w:rPr>
            </w:pPr>
            <w:r>
              <w:rPr>
                <w:color w:val="231F20"/>
                <w:spacing w:val="-2"/>
                <w:w w:val="105"/>
                <w:sz w:val="14"/>
              </w:rPr>
              <w:t>Detachment</w:t>
            </w:r>
          </w:p>
        </w:tc>
        <w:tc>
          <w:tcPr>
            <w:tcW w:w="1373" w:type="dxa"/>
            <w:tcBorders>
              <w:top w:val="single" w:sz="2" w:space="0" w:color="231F20"/>
              <w:bottom w:val="single" w:sz="2" w:space="0" w:color="231F20"/>
            </w:tcBorders>
          </w:tcPr>
          <w:p w14:paraId="4328B021" w14:textId="77777777" w:rsidR="00AE0598" w:rsidRDefault="0069255A">
            <w:pPr>
              <w:pStyle w:val="TableParagraph"/>
              <w:spacing w:before="51"/>
              <w:ind w:left="178"/>
              <w:rPr>
                <w:sz w:val="14"/>
              </w:rPr>
            </w:pPr>
            <w:r>
              <w:rPr>
                <w:color w:val="231F20"/>
                <w:spacing w:val="-2"/>
                <w:w w:val="105"/>
                <w:sz w:val="14"/>
              </w:rPr>
              <w:t>Entertainment</w:t>
            </w:r>
          </w:p>
        </w:tc>
        <w:tc>
          <w:tcPr>
            <w:tcW w:w="1274" w:type="dxa"/>
            <w:tcBorders>
              <w:top w:val="single" w:sz="2" w:space="0" w:color="231F20"/>
              <w:bottom w:val="single" w:sz="2" w:space="0" w:color="231F20"/>
            </w:tcBorders>
          </w:tcPr>
          <w:p w14:paraId="0AF9B53D" w14:textId="77777777" w:rsidR="00AE0598" w:rsidRDefault="0069255A">
            <w:pPr>
              <w:pStyle w:val="TableParagraph"/>
              <w:spacing w:before="51"/>
              <w:ind w:left="185"/>
              <w:rPr>
                <w:sz w:val="14"/>
              </w:rPr>
            </w:pPr>
            <w:r>
              <w:rPr>
                <w:color w:val="231F20"/>
                <w:spacing w:val="-2"/>
                <w:w w:val="105"/>
                <w:sz w:val="14"/>
              </w:rPr>
              <w:t>Attachment</w:t>
            </w:r>
          </w:p>
        </w:tc>
        <w:tc>
          <w:tcPr>
            <w:tcW w:w="1329" w:type="dxa"/>
            <w:tcBorders>
              <w:top w:val="single" w:sz="2" w:space="0" w:color="231F20"/>
              <w:bottom w:val="single" w:sz="2" w:space="0" w:color="231F20"/>
            </w:tcBorders>
          </w:tcPr>
          <w:p w14:paraId="28AA9112" w14:textId="77777777" w:rsidR="00AE0598" w:rsidRDefault="0069255A">
            <w:pPr>
              <w:pStyle w:val="TableParagraph"/>
              <w:spacing w:before="51"/>
              <w:ind w:left="196"/>
              <w:rPr>
                <w:sz w:val="14"/>
              </w:rPr>
            </w:pPr>
            <w:r>
              <w:rPr>
                <w:color w:val="231F20"/>
                <w:spacing w:val="-2"/>
                <w:sz w:val="14"/>
              </w:rPr>
              <w:t>Recruitment</w:t>
            </w:r>
          </w:p>
        </w:tc>
      </w:tr>
    </w:tbl>
    <w:p w14:paraId="454BF4E6" w14:textId="77777777" w:rsidR="00AE0598" w:rsidRDefault="0069255A">
      <w:pPr>
        <w:spacing w:before="69"/>
        <w:ind w:left="108"/>
        <w:rPr>
          <w:rFonts w:ascii="Trebuchet MS"/>
          <w:sz w:val="14"/>
        </w:rPr>
      </w:pPr>
      <w:r>
        <w:rPr>
          <w:rFonts w:ascii="Trebuchet MS"/>
          <w:color w:val="231F20"/>
          <w:sz w:val="14"/>
        </w:rPr>
        <w:t>Source:</w:t>
      </w:r>
      <w:r>
        <w:rPr>
          <w:rFonts w:ascii="Trebuchet MS"/>
          <w:color w:val="231F20"/>
          <w:spacing w:val="20"/>
          <w:sz w:val="14"/>
        </w:rPr>
        <w:t xml:space="preserve"> </w:t>
      </w:r>
      <w:r>
        <w:rPr>
          <w:rFonts w:ascii="Trebuchet MS"/>
          <w:color w:val="231F20"/>
          <w:sz w:val="14"/>
        </w:rPr>
        <w:t>Shipway</w:t>
      </w:r>
      <w:r>
        <w:rPr>
          <w:rFonts w:ascii="Trebuchet MS"/>
          <w:color w:val="231F20"/>
          <w:spacing w:val="21"/>
          <w:sz w:val="14"/>
        </w:rPr>
        <w:t xml:space="preserve"> </w:t>
      </w:r>
      <w:r>
        <w:rPr>
          <w:rFonts w:ascii="Trebuchet MS"/>
          <w:color w:val="231F20"/>
          <w:spacing w:val="-2"/>
          <w:sz w:val="14"/>
        </w:rPr>
        <w:t>(2008).</w:t>
      </w:r>
    </w:p>
    <w:p w14:paraId="0DFEEA4F" w14:textId="77777777" w:rsidR="00AE0598" w:rsidRDefault="00AE0598">
      <w:pPr>
        <w:pStyle w:val="Corpodetexto"/>
        <w:spacing w:before="10"/>
        <w:rPr>
          <w:rFonts w:ascii="Trebuchet MS"/>
        </w:rPr>
      </w:pPr>
    </w:p>
    <w:p w14:paraId="076F8882" w14:textId="77777777" w:rsidR="00AE0598" w:rsidRDefault="0069255A">
      <w:pPr>
        <w:pStyle w:val="Corpodetexto"/>
        <w:spacing w:before="103" w:line="232" w:lineRule="auto"/>
        <w:ind w:left="110" w:right="127"/>
        <w:jc w:val="both"/>
      </w:pPr>
      <w:r>
        <w:rPr>
          <w:color w:val="231F20"/>
          <w:w w:val="95"/>
        </w:rPr>
        <w:t>on</w:t>
      </w:r>
      <w:r>
        <w:rPr>
          <w:color w:val="231F20"/>
          <w:spacing w:val="-10"/>
          <w:w w:val="95"/>
        </w:rPr>
        <w:t xml:space="preserve"> </w:t>
      </w:r>
      <w:r>
        <w:rPr>
          <w:color w:val="231F20"/>
          <w:w w:val="95"/>
        </w:rPr>
        <w:t>women</w:t>
      </w:r>
      <w:r>
        <w:rPr>
          <w:color w:val="231F20"/>
          <w:spacing w:val="-9"/>
          <w:w w:val="95"/>
        </w:rPr>
        <w:t xml:space="preserve"> </w:t>
      </w:r>
      <w:r>
        <w:rPr>
          <w:color w:val="231F20"/>
          <w:w w:val="95"/>
        </w:rPr>
        <w:t>football</w:t>
      </w:r>
      <w:r>
        <w:rPr>
          <w:color w:val="231F20"/>
          <w:spacing w:val="-9"/>
          <w:w w:val="95"/>
        </w:rPr>
        <w:t xml:space="preserve"> </w:t>
      </w:r>
      <w:r>
        <w:rPr>
          <w:color w:val="231F20"/>
          <w:w w:val="95"/>
        </w:rPr>
        <w:t>players</w:t>
      </w:r>
      <w:r>
        <w:rPr>
          <w:color w:val="231F20"/>
          <w:spacing w:val="-9"/>
          <w:w w:val="95"/>
        </w:rPr>
        <w:t xml:space="preserve"> </w:t>
      </w:r>
      <w:r>
        <w:rPr>
          <w:color w:val="231F20"/>
          <w:w w:val="95"/>
        </w:rPr>
        <w:t>by</w:t>
      </w:r>
      <w:r>
        <w:rPr>
          <w:color w:val="231F20"/>
          <w:spacing w:val="-10"/>
          <w:w w:val="95"/>
        </w:rPr>
        <w:t xml:space="preserve"> </w:t>
      </w:r>
      <w:r>
        <w:rPr>
          <w:color w:val="231F20"/>
          <w:w w:val="95"/>
        </w:rPr>
        <w:t>stating</w:t>
      </w:r>
      <w:r>
        <w:rPr>
          <w:color w:val="231F20"/>
          <w:spacing w:val="-9"/>
          <w:w w:val="95"/>
        </w:rPr>
        <w:t xml:space="preserve"> </w:t>
      </w:r>
      <w:r>
        <w:rPr>
          <w:color w:val="231F20"/>
          <w:w w:val="95"/>
        </w:rPr>
        <w:t>that</w:t>
      </w:r>
      <w:r>
        <w:rPr>
          <w:color w:val="231F20"/>
          <w:spacing w:val="-9"/>
          <w:w w:val="95"/>
        </w:rPr>
        <w:t xml:space="preserve"> </w:t>
      </w:r>
      <w:r>
        <w:rPr>
          <w:color w:val="231F20"/>
          <w:w w:val="95"/>
        </w:rPr>
        <w:t>these</w:t>
      </w:r>
      <w:r>
        <w:rPr>
          <w:color w:val="231F20"/>
          <w:spacing w:val="-9"/>
          <w:w w:val="95"/>
        </w:rPr>
        <w:t xml:space="preserve"> </w:t>
      </w:r>
      <w:r>
        <w:rPr>
          <w:color w:val="231F20"/>
          <w:w w:val="95"/>
        </w:rPr>
        <w:t>women</w:t>
      </w:r>
      <w:r>
        <w:rPr>
          <w:color w:val="231F20"/>
          <w:spacing w:val="-10"/>
          <w:w w:val="95"/>
        </w:rPr>
        <w:t xml:space="preserve"> </w:t>
      </w:r>
      <w:r>
        <w:rPr>
          <w:color w:val="231F20"/>
          <w:w w:val="95"/>
        </w:rPr>
        <w:t>‘…seek</w:t>
      </w:r>
      <w:r>
        <w:rPr>
          <w:color w:val="231F20"/>
          <w:spacing w:val="-9"/>
          <w:w w:val="95"/>
        </w:rPr>
        <w:t xml:space="preserve"> </w:t>
      </w:r>
      <w:r>
        <w:rPr>
          <w:color w:val="231F20"/>
          <w:w w:val="95"/>
        </w:rPr>
        <w:t xml:space="preserve">opportunities </w:t>
      </w:r>
      <w:r>
        <w:rPr>
          <w:color w:val="231F20"/>
        </w:rPr>
        <w:t xml:space="preserve">to share and affirm their identities as football players. It is the occasion to celebrate a subculture shared with others from distant places, </w:t>
      </w:r>
      <w:r>
        <w:rPr>
          <w:i/>
          <w:color w:val="231F20"/>
        </w:rPr>
        <w:t>rather than the site itself</w:t>
      </w:r>
      <w:r>
        <w:rPr>
          <w:color w:val="231F20"/>
        </w:rPr>
        <w:t xml:space="preserve">, that attracts them’. Participants were able to distance </w:t>
      </w:r>
      <w:r>
        <w:rPr>
          <w:color w:val="231F20"/>
          <w:spacing w:val="-2"/>
          <w:w w:val="95"/>
        </w:rPr>
        <w:t>themselves</w:t>
      </w:r>
      <w:r>
        <w:rPr>
          <w:color w:val="231F20"/>
          <w:spacing w:val="-3"/>
          <w:w w:val="95"/>
        </w:rPr>
        <w:t xml:space="preserve"> </w:t>
      </w:r>
      <w:r>
        <w:rPr>
          <w:color w:val="231F20"/>
          <w:spacing w:val="-2"/>
          <w:w w:val="95"/>
        </w:rPr>
        <w:t>from</w:t>
      </w:r>
      <w:r>
        <w:rPr>
          <w:color w:val="231F20"/>
          <w:spacing w:val="-3"/>
          <w:w w:val="95"/>
        </w:rPr>
        <w:t xml:space="preserve"> </w:t>
      </w:r>
      <w:r>
        <w:rPr>
          <w:color w:val="231F20"/>
          <w:spacing w:val="-2"/>
          <w:w w:val="95"/>
        </w:rPr>
        <w:t>their</w:t>
      </w:r>
      <w:r>
        <w:rPr>
          <w:color w:val="231F20"/>
          <w:spacing w:val="-3"/>
          <w:w w:val="95"/>
        </w:rPr>
        <w:t xml:space="preserve"> </w:t>
      </w:r>
      <w:r>
        <w:rPr>
          <w:color w:val="231F20"/>
          <w:spacing w:val="-2"/>
          <w:w w:val="95"/>
        </w:rPr>
        <w:t>regula</w:t>
      </w:r>
      <w:r>
        <w:rPr>
          <w:color w:val="231F20"/>
          <w:spacing w:val="-2"/>
          <w:w w:val="95"/>
        </w:rPr>
        <w:t>r</w:t>
      </w:r>
      <w:r>
        <w:rPr>
          <w:color w:val="231F20"/>
          <w:spacing w:val="-3"/>
          <w:w w:val="95"/>
        </w:rPr>
        <w:t xml:space="preserve"> </w:t>
      </w:r>
      <w:r>
        <w:rPr>
          <w:color w:val="231F20"/>
          <w:spacing w:val="-2"/>
          <w:w w:val="95"/>
        </w:rPr>
        <w:t>lives,</w:t>
      </w:r>
      <w:r>
        <w:rPr>
          <w:color w:val="231F20"/>
          <w:spacing w:val="-3"/>
          <w:w w:val="95"/>
        </w:rPr>
        <w:t xml:space="preserve"> </w:t>
      </w:r>
      <w:r>
        <w:rPr>
          <w:color w:val="231F20"/>
          <w:spacing w:val="-2"/>
          <w:w w:val="95"/>
        </w:rPr>
        <w:t>they</w:t>
      </w:r>
      <w:r>
        <w:rPr>
          <w:color w:val="231F20"/>
          <w:spacing w:val="-3"/>
          <w:w w:val="95"/>
        </w:rPr>
        <w:t xml:space="preserve"> </w:t>
      </w:r>
      <w:r>
        <w:rPr>
          <w:color w:val="231F20"/>
          <w:spacing w:val="-2"/>
          <w:w w:val="95"/>
        </w:rPr>
        <w:t>enjoyed</w:t>
      </w:r>
      <w:r>
        <w:rPr>
          <w:color w:val="231F20"/>
          <w:spacing w:val="-3"/>
          <w:w w:val="95"/>
        </w:rPr>
        <w:t xml:space="preserve"> </w:t>
      </w:r>
      <w:r>
        <w:rPr>
          <w:color w:val="231F20"/>
          <w:spacing w:val="-2"/>
          <w:w w:val="95"/>
        </w:rPr>
        <w:t>a</w:t>
      </w:r>
      <w:r>
        <w:rPr>
          <w:color w:val="231F20"/>
          <w:spacing w:val="-3"/>
          <w:w w:val="95"/>
        </w:rPr>
        <w:t xml:space="preserve"> </w:t>
      </w:r>
      <w:r>
        <w:rPr>
          <w:color w:val="231F20"/>
          <w:spacing w:val="-2"/>
          <w:w w:val="95"/>
        </w:rPr>
        <w:t>sense</w:t>
      </w:r>
      <w:r>
        <w:rPr>
          <w:color w:val="231F20"/>
          <w:spacing w:val="-3"/>
          <w:w w:val="95"/>
        </w:rPr>
        <w:t xml:space="preserve"> </w:t>
      </w:r>
      <w:r>
        <w:rPr>
          <w:color w:val="231F20"/>
          <w:spacing w:val="-2"/>
          <w:w w:val="95"/>
        </w:rPr>
        <w:t>of</w:t>
      </w:r>
      <w:r>
        <w:rPr>
          <w:color w:val="231F20"/>
          <w:spacing w:val="10"/>
        </w:rPr>
        <w:t xml:space="preserve"> </w:t>
      </w:r>
      <w:r>
        <w:rPr>
          <w:color w:val="231F20"/>
          <w:spacing w:val="-2"/>
          <w:w w:val="95"/>
        </w:rPr>
        <w:t>camaraderie</w:t>
      </w:r>
      <w:r>
        <w:rPr>
          <w:color w:val="231F20"/>
          <w:spacing w:val="-3"/>
          <w:w w:val="95"/>
        </w:rPr>
        <w:t xml:space="preserve"> </w:t>
      </w:r>
      <w:r>
        <w:rPr>
          <w:color w:val="231F20"/>
          <w:spacing w:val="-2"/>
          <w:w w:val="95"/>
        </w:rPr>
        <w:t xml:space="preserve">with </w:t>
      </w:r>
      <w:r>
        <w:rPr>
          <w:color w:val="231F20"/>
          <w:w w:val="95"/>
        </w:rPr>
        <w:t xml:space="preserve">their teammates and other members of the subculture and they were given </w:t>
      </w:r>
      <w:r>
        <w:rPr>
          <w:color w:val="231F20"/>
          <w:spacing w:val="-2"/>
        </w:rPr>
        <w:t>the</w:t>
      </w:r>
      <w:r>
        <w:rPr>
          <w:color w:val="231F20"/>
          <w:spacing w:val="-5"/>
        </w:rPr>
        <w:t xml:space="preserve"> </w:t>
      </w:r>
      <w:r>
        <w:rPr>
          <w:color w:val="231F20"/>
          <w:spacing w:val="-2"/>
        </w:rPr>
        <w:t>opportunity</w:t>
      </w:r>
      <w:r>
        <w:rPr>
          <w:color w:val="231F20"/>
          <w:spacing w:val="-5"/>
        </w:rPr>
        <w:t xml:space="preserve"> </w:t>
      </w:r>
      <w:r>
        <w:rPr>
          <w:color w:val="231F20"/>
          <w:spacing w:val="-2"/>
        </w:rPr>
        <w:t>to</w:t>
      </w:r>
      <w:r>
        <w:rPr>
          <w:color w:val="231F20"/>
          <w:spacing w:val="-5"/>
        </w:rPr>
        <w:t xml:space="preserve"> </w:t>
      </w:r>
      <w:r>
        <w:rPr>
          <w:color w:val="231F20"/>
          <w:spacing w:val="-2"/>
        </w:rPr>
        <w:t>parade</w:t>
      </w:r>
      <w:r>
        <w:rPr>
          <w:color w:val="231F20"/>
          <w:spacing w:val="-5"/>
        </w:rPr>
        <w:t xml:space="preserve"> </w:t>
      </w:r>
      <w:r>
        <w:rPr>
          <w:color w:val="231F20"/>
          <w:spacing w:val="-2"/>
        </w:rPr>
        <w:t>their</w:t>
      </w:r>
      <w:r>
        <w:rPr>
          <w:color w:val="231F20"/>
          <w:spacing w:val="-5"/>
        </w:rPr>
        <w:t xml:space="preserve"> </w:t>
      </w:r>
      <w:r>
        <w:rPr>
          <w:color w:val="231F20"/>
          <w:spacing w:val="-2"/>
        </w:rPr>
        <w:t>subculture</w:t>
      </w:r>
      <w:r>
        <w:rPr>
          <w:color w:val="231F20"/>
          <w:spacing w:val="-5"/>
        </w:rPr>
        <w:t xml:space="preserve"> </w:t>
      </w:r>
      <w:r>
        <w:rPr>
          <w:color w:val="231F20"/>
          <w:spacing w:val="-2"/>
        </w:rPr>
        <w:t>identities.</w:t>
      </w:r>
      <w:r>
        <w:rPr>
          <w:color w:val="231F20"/>
          <w:spacing w:val="-5"/>
        </w:rPr>
        <w:t xml:space="preserve"> </w:t>
      </w:r>
      <w:r>
        <w:rPr>
          <w:color w:val="231F20"/>
          <w:spacing w:val="-2"/>
        </w:rPr>
        <w:t>The</w:t>
      </w:r>
      <w:r>
        <w:rPr>
          <w:color w:val="231F20"/>
          <w:spacing w:val="-5"/>
        </w:rPr>
        <w:t xml:space="preserve"> </w:t>
      </w:r>
      <w:r>
        <w:rPr>
          <w:color w:val="231F20"/>
          <w:spacing w:val="-2"/>
        </w:rPr>
        <w:t>destination</w:t>
      </w:r>
      <w:r>
        <w:rPr>
          <w:color w:val="231F20"/>
          <w:spacing w:val="-5"/>
        </w:rPr>
        <w:t xml:space="preserve"> </w:t>
      </w:r>
      <w:r>
        <w:rPr>
          <w:color w:val="231F20"/>
          <w:spacing w:val="-2"/>
        </w:rPr>
        <w:t xml:space="preserve">was </w:t>
      </w:r>
      <w:r>
        <w:rPr>
          <w:color w:val="231F20"/>
        </w:rPr>
        <w:t>described</w:t>
      </w:r>
      <w:r>
        <w:rPr>
          <w:color w:val="231F20"/>
          <w:spacing w:val="-8"/>
        </w:rPr>
        <w:t xml:space="preserve"> </w:t>
      </w:r>
      <w:r>
        <w:rPr>
          <w:color w:val="231F20"/>
        </w:rPr>
        <w:t>as</w:t>
      </w:r>
      <w:r>
        <w:rPr>
          <w:color w:val="231F20"/>
          <w:spacing w:val="-8"/>
        </w:rPr>
        <w:t xml:space="preserve"> </w:t>
      </w:r>
      <w:r>
        <w:rPr>
          <w:color w:val="231F20"/>
        </w:rPr>
        <w:t>facilitating</w:t>
      </w:r>
      <w:r>
        <w:rPr>
          <w:color w:val="231F20"/>
          <w:spacing w:val="-8"/>
        </w:rPr>
        <w:t xml:space="preserve"> </w:t>
      </w:r>
      <w:r>
        <w:rPr>
          <w:color w:val="231F20"/>
        </w:rPr>
        <w:t>the</w:t>
      </w:r>
      <w:r>
        <w:rPr>
          <w:color w:val="231F20"/>
          <w:spacing w:val="-8"/>
        </w:rPr>
        <w:t xml:space="preserve"> </w:t>
      </w:r>
      <w:r>
        <w:rPr>
          <w:color w:val="231F20"/>
        </w:rPr>
        <w:t>primary</w:t>
      </w:r>
      <w:r>
        <w:rPr>
          <w:color w:val="231F20"/>
          <w:spacing w:val="-8"/>
        </w:rPr>
        <w:t xml:space="preserve"> </w:t>
      </w:r>
      <w:r>
        <w:rPr>
          <w:color w:val="231F20"/>
        </w:rPr>
        <w:t>purpose</w:t>
      </w:r>
      <w:r>
        <w:rPr>
          <w:color w:val="231F20"/>
          <w:spacing w:val="-8"/>
        </w:rPr>
        <w:t xml:space="preserve"> </w:t>
      </w:r>
      <w:r>
        <w:rPr>
          <w:color w:val="231F20"/>
        </w:rPr>
        <w:t>of their</w:t>
      </w:r>
      <w:r>
        <w:rPr>
          <w:color w:val="231F20"/>
          <w:spacing w:val="-8"/>
        </w:rPr>
        <w:t xml:space="preserve"> </w:t>
      </w:r>
      <w:r>
        <w:rPr>
          <w:color w:val="231F20"/>
        </w:rPr>
        <w:t>sporting</w:t>
      </w:r>
      <w:r>
        <w:rPr>
          <w:color w:val="231F20"/>
          <w:spacing w:val="-8"/>
        </w:rPr>
        <w:t xml:space="preserve"> </w:t>
      </w:r>
      <w:r>
        <w:rPr>
          <w:color w:val="231F20"/>
        </w:rPr>
        <w:t>visit.</w:t>
      </w:r>
    </w:p>
    <w:p w14:paraId="5CD4925B" w14:textId="77777777" w:rsidR="00AE0598" w:rsidRDefault="0069255A">
      <w:pPr>
        <w:pStyle w:val="Corpodetexto"/>
        <w:spacing w:before="9" w:line="232" w:lineRule="auto"/>
        <w:ind w:left="110" w:right="127" w:firstLine="320"/>
        <w:jc w:val="both"/>
      </w:pPr>
      <w:r>
        <w:rPr>
          <w:color w:val="231F20"/>
        </w:rPr>
        <w:t>At another level, sport subcultures such as ultramarathoners are intimately connected and dependent on specific places for their sport (Hinch</w:t>
      </w:r>
      <w:r>
        <w:rPr>
          <w:color w:val="231F20"/>
          <w:spacing w:val="40"/>
        </w:rPr>
        <w:t xml:space="preserve"> </w:t>
      </w:r>
      <w:r>
        <w:rPr>
          <w:color w:val="231F20"/>
        </w:rPr>
        <w:t>&amp;</w:t>
      </w:r>
      <w:r>
        <w:rPr>
          <w:color w:val="231F20"/>
          <w:spacing w:val="40"/>
        </w:rPr>
        <w:t xml:space="preserve"> </w:t>
      </w:r>
      <w:r>
        <w:rPr>
          <w:color w:val="231F20"/>
        </w:rPr>
        <w:t>Kono,</w:t>
      </w:r>
      <w:r>
        <w:rPr>
          <w:color w:val="231F20"/>
          <w:spacing w:val="40"/>
        </w:rPr>
        <w:t xml:space="preserve"> </w:t>
      </w:r>
      <w:r>
        <w:rPr>
          <w:color w:val="231F20"/>
        </w:rPr>
        <w:t>2017).</w:t>
      </w:r>
      <w:r>
        <w:rPr>
          <w:color w:val="231F20"/>
          <w:spacing w:val="40"/>
        </w:rPr>
        <w:t xml:space="preserve"> </w:t>
      </w:r>
      <w:r>
        <w:rPr>
          <w:color w:val="231F20"/>
        </w:rPr>
        <w:t>Sites</w:t>
      </w:r>
      <w:r>
        <w:rPr>
          <w:color w:val="231F20"/>
          <w:spacing w:val="40"/>
        </w:rPr>
        <w:t xml:space="preserve"> </w:t>
      </w:r>
      <w:r>
        <w:rPr>
          <w:color w:val="231F20"/>
        </w:rPr>
        <w:t>that</w:t>
      </w:r>
      <w:r>
        <w:rPr>
          <w:color w:val="231F20"/>
          <w:spacing w:val="40"/>
        </w:rPr>
        <w:t xml:space="preserve"> </w:t>
      </w:r>
      <w:r>
        <w:rPr>
          <w:color w:val="231F20"/>
        </w:rPr>
        <w:t>facilitate</w:t>
      </w:r>
      <w:r>
        <w:rPr>
          <w:color w:val="231F20"/>
          <w:spacing w:val="40"/>
        </w:rPr>
        <w:t xml:space="preserve"> </w:t>
      </w:r>
      <w:r>
        <w:rPr>
          <w:color w:val="231F20"/>
        </w:rPr>
        <w:t>the</w:t>
      </w:r>
      <w:r>
        <w:rPr>
          <w:color w:val="231F20"/>
          <w:spacing w:val="40"/>
        </w:rPr>
        <w:t xml:space="preserve"> </w:t>
      </w:r>
      <w:r>
        <w:rPr>
          <w:color w:val="231F20"/>
        </w:rPr>
        <w:t>celebration</w:t>
      </w:r>
      <w:r>
        <w:rPr>
          <w:color w:val="231F20"/>
          <w:spacing w:val="40"/>
        </w:rPr>
        <w:t xml:space="preserve"> </w:t>
      </w:r>
      <w:r>
        <w:rPr>
          <w:color w:val="231F20"/>
        </w:rPr>
        <w:t>of</w:t>
      </w:r>
      <w:r>
        <w:rPr>
          <w:color w:val="231F20"/>
          <w:spacing w:val="40"/>
        </w:rPr>
        <w:t xml:space="preserve"> </w:t>
      </w:r>
      <w:r>
        <w:rPr>
          <w:color w:val="231F20"/>
        </w:rPr>
        <w:t>their sport identities and social</w:t>
      </w:r>
      <w:r>
        <w:rPr>
          <w:color w:val="231F20"/>
        </w:rPr>
        <w:t xml:space="preserve"> worlds are highly valued. This is true of climbers, surfers, windsurfers, snowboarders and many other ‘extreme’ </w:t>
      </w:r>
      <w:r>
        <w:rPr>
          <w:color w:val="231F20"/>
          <w:w w:val="95"/>
        </w:rPr>
        <w:t>sport</w:t>
      </w:r>
      <w:r>
        <w:rPr>
          <w:color w:val="231F20"/>
          <w:spacing w:val="-9"/>
          <w:w w:val="95"/>
        </w:rPr>
        <w:t xml:space="preserve"> </w:t>
      </w:r>
      <w:r>
        <w:rPr>
          <w:color w:val="231F20"/>
          <w:w w:val="95"/>
        </w:rPr>
        <w:t>subcultures</w:t>
      </w:r>
      <w:r>
        <w:rPr>
          <w:color w:val="231F20"/>
          <w:spacing w:val="-9"/>
          <w:w w:val="95"/>
        </w:rPr>
        <w:t xml:space="preserve"> </w:t>
      </w:r>
      <w:r>
        <w:rPr>
          <w:color w:val="231F20"/>
          <w:w w:val="95"/>
        </w:rPr>
        <w:t>that</w:t>
      </w:r>
      <w:r>
        <w:rPr>
          <w:color w:val="231F20"/>
          <w:spacing w:val="-9"/>
          <w:w w:val="95"/>
        </w:rPr>
        <w:t xml:space="preserve"> </w:t>
      </w:r>
      <w:r>
        <w:rPr>
          <w:color w:val="231F20"/>
          <w:w w:val="95"/>
        </w:rPr>
        <w:t>are</w:t>
      </w:r>
      <w:r>
        <w:rPr>
          <w:color w:val="231F20"/>
          <w:spacing w:val="-9"/>
          <w:w w:val="95"/>
        </w:rPr>
        <w:t xml:space="preserve"> </w:t>
      </w:r>
      <w:r>
        <w:rPr>
          <w:color w:val="231F20"/>
          <w:w w:val="95"/>
        </w:rPr>
        <w:t>currently</w:t>
      </w:r>
      <w:r>
        <w:rPr>
          <w:color w:val="231F20"/>
          <w:spacing w:val="-9"/>
          <w:w w:val="95"/>
        </w:rPr>
        <w:t xml:space="preserve"> </w:t>
      </w:r>
      <w:r>
        <w:rPr>
          <w:color w:val="231F20"/>
          <w:w w:val="95"/>
        </w:rPr>
        <w:t>enjoying</w:t>
      </w:r>
      <w:r>
        <w:rPr>
          <w:color w:val="231F20"/>
          <w:spacing w:val="-9"/>
          <w:w w:val="95"/>
        </w:rPr>
        <w:t xml:space="preserve"> </w:t>
      </w:r>
      <w:r>
        <w:rPr>
          <w:color w:val="231F20"/>
          <w:w w:val="95"/>
        </w:rPr>
        <w:t>popularity.</w:t>
      </w:r>
      <w:r>
        <w:rPr>
          <w:color w:val="231F20"/>
          <w:spacing w:val="-9"/>
          <w:w w:val="95"/>
        </w:rPr>
        <w:t xml:space="preserve"> </w:t>
      </w:r>
      <w:r>
        <w:rPr>
          <w:color w:val="231F20"/>
          <w:w w:val="95"/>
        </w:rPr>
        <w:t>Traditionally,</w:t>
      </w:r>
      <w:r>
        <w:rPr>
          <w:color w:val="231F20"/>
          <w:spacing w:val="-9"/>
          <w:w w:val="95"/>
        </w:rPr>
        <w:t xml:space="preserve"> </w:t>
      </w:r>
      <w:r>
        <w:rPr>
          <w:color w:val="231F20"/>
          <w:w w:val="95"/>
        </w:rPr>
        <w:t xml:space="preserve">these </w:t>
      </w:r>
      <w:r>
        <w:rPr>
          <w:color w:val="231F20"/>
        </w:rPr>
        <w:t>groups tend to be very dependent on natural resources found in t</w:t>
      </w:r>
      <w:r>
        <w:rPr>
          <w:color w:val="231F20"/>
        </w:rPr>
        <w:t xml:space="preserve">he periphery (see also Chapter 5). Their strong subculture commitment </w:t>
      </w:r>
      <w:r>
        <w:rPr>
          <w:color w:val="231F20"/>
          <w:spacing w:val="-2"/>
        </w:rPr>
        <w:t>provides</w:t>
      </w:r>
      <w:r>
        <w:rPr>
          <w:color w:val="231F20"/>
          <w:spacing w:val="-10"/>
        </w:rPr>
        <w:t xml:space="preserve"> </w:t>
      </w:r>
      <w:r>
        <w:rPr>
          <w:color w:val="231F20"/>
          <w:spacing w:val="-2"/>
        </w:rPr>
        <w:t>them</w:t>
      </w:r>
      <w:r>
        <w:rPr>
          <w:color w:val="231F20"/>
          <w:spacing w:val="-9"/>
        </w:rPr>
        <w:t xml:space="preserve"> </w:t>
      </w:r>
      <w:r>
        <w:rPr>
          <w:color w:val="231F20"/>
          <w:spacing w:val="-2"/>
        </w:rPr>
        <w:t>with</w:t>
      </w:r>
      <w:r>
        <w:rPr>
          <w:color w:val="231F20"/>
          <w:spacing w:val="-10"/>
        </w:rPr>
        <w:t xml:space="preserve"> </w:t>
      </w:r>
      <w:r>
        <w:rPr>
          <w:color w:val="231F20"/>
          <w:spacing w:val="-2"/>
        </w:rPr>
        <w:t>the</w:t>
      </w:r>
      <w:r>
        <w:rPr>
          <w:color w:val="231F20"/>
          <w:spacing w:val="-9"/>
        </w:rPr>
        <w:t xml:space="preserve"> </w:t>
      </w:r>
      <w:r>
        <w:rPr>
          <w:color w:val="231F20"/>
          <w:spacing w:val="-2"/>
        </w:rPr>
        <w:t>motivation</w:t>
      </w:r>
      <w:r>
        <w:rPr>
          <w:color w:val="231F20"/>
          <w:spacing w:val="-10"/>
        </w:rPr>
        <w:t xml:space="preserve"> </w:t>
      </w:r>
      <w:r>
        <w:rPr>
          <w:color w:val="231F20"/>
          <w:spacing w:val="-2"/>
        </w:rPr>
        <w:t>to</w:t>
      </w:r>
      <w:r>
        <w:rPr>
          <w:color w:val="231F20"/>
          <w:spacing w:val="-9"/>
        </w:rPr>
        <w:t xml:space="preserve"> </w:t>
      </w:r>
      <w:r>
        <w:rPr>
          <w:color w:val="231F20"/>
          <w:spacing w:val="-2"/>
        </w:rPr>
        <w:t>overcome</w:t>
      </w:r>
      <w:r>
        <w:rPr>
          <w:color w:val="231F20"/>
          <w:spacing w:val="-10"/>
        </w:rPr>
        <w:t xml:space="preserve"> </w:t>
      </w:r>
      <w:r>
        <w:rPr>
          <w:color w:val="231F20"/>
          <w:spacing w:val="-2"/>
        </w:rPr>
        <w:t>the</w:t>
      </w:r>
      <w:r>
        <w:rPr>
          <w:color w:val="231F20"/>
          <w:spacing w:val="-9"/>
        </w:rPr>
        <w:t xml:space="preserve"> </w:t>
      </w:r>
      <w:r>
        <w:rPr>
          <w:color w:val="231F20"/>
          <w:spacing w:val="-2"/>
        </w:rPr>
        <w:t>constraint</w:t>
      </w:r>
      <w:r>
        <w:rPr>
          <w:color w:val="231F20"/>
          <w:spacing w:val="-10"/>
        </w:rPr>
        <w:t xml:space="preserve"> </w:t>
      </w:r>
      <w:r>
        <w:rPr>
          <w:color w:val="231F20"/>
          <w:spacing w:val="-2"/>
        </w:rPr>
        <w:t>of</w:t>
      </w:r>
      <w:r>
        <w:rPr>
          <w:color w:val="231F20"/>
        </w:rPr>
        <w:t xml:space="preserve"> </w:t>
      </w:r>
      <w:r>
        <w:rPr>
          <w:color w:val="231F20"/>
          <w:spacing w:val="-2"/>
        </w:rPr>
        <w:t xml:space="preserve">distance. </w:t>
      </w:r>
      <w:r>
        <w:rPr>
          <w:color w:val="231F20"/>
          <w:w w:val="95"/>
        </w:rPr>
        <w:t>More recently, however, urban landscapes have become popular with these groups</w:t>
      </w:r>
      <w:r>
        <w:rPr>
          <w:color w:val="231F20"/>
          <w:spacing w:val="-7"/>
          <w:w w:val="95"/>
        </w:rPr>
        <w:t xml:space="preserve"> </w:t>
      </w:r>
      <w:r>
        <w:rPr>
          <w:color w:val="231F20"/>
          <w:w w:val="95"/>
        </w:rPr>
        <w:t>(Breivik,</w:t>
      </w:r>
      <w:r>
        <w:rPr>
          <w:color w:val="231F20"/>
          <w:spacing w:val="-6"/>
          <w:w w:val="95"/>
        </w:rPr>
        <w:t xml:space="preserve"> </w:t>
      </w:r>
      <w:r>
        <w:rPr>
          <w:color w:val="231F20"/>
          <w:w w:val="95"/>
        </w:rPr>
        <w:t>2010;</w:t>
      </w:r>
      <w:r>
        <w:rPr>
          <w:color w:val="231F20"/>
          <w:spacing w:val="-7"/>
          <w:w w:val="95"/>
        </w:rPr>
        <w:t xml:space="preserve"> </w:t>
      </w:r>
      <w:r>
        <w:rPr>
          <w:color w:val="231F20"/>
          <w:w w:val="95"/>
        </w:rPr>
        <w:t>Wheaton,</w:t>
      </w:r>
      <w:r>
        <w:rPr>
          <w:color w:val="231F20"/>
          <w:spacing w:val="-6"/>
          <w:w w:val="95"/>
        </w:rPr>
        <w:t xml:space="preserve"> </w:t>
      </w:r>
      <w:r>
        <w:rPr>
          <w:color w:val="231F20"/>
          <w:w w:val="95"/>
        </w:rPr>
        <w:t>2007,</w:t>
      </w:r>
      <w:r>
        <w:rPr>
          <w:color w:val="231F20"/>
          <w:spacing w:val="-6"/>
          <w:w w:val="95"/>
        </w:rPr>
        <w:t xml:space="preserve"> </w:t>
      </w:r>
      <w:r>
        <w:rPr>
          <w:color w:val="231F20"/>
          <w:w w:val="95"/>
        </w:rPr>
        <w:t>2013).</w:t>
      </w:r>
      <w:r>
        <w:rPr>
          <w:color w:val="231F20"/>
          <w:spacing w:val="-7"/>
          <w:w w:val="95"/>
        </w:rPr>
        <w:t xml:space="preserve"> </w:t>
      </w:r>
      <w:r>
        <w:rPr>
          <w:color w:val="231F20"/>
          <w:w w:val="95"/>
        </w:rPr>
        <w:t>Subcultures</w:t>
      </w:r>
      <w:r>
        <w:rPr>
          <w:color w:val="231F20"/>
          <w:spacing w:val="-7"/>
          <w:w w:val="95"/>
        </w:rPr>
        <w:t xml:space="preserve"> </w:t>
      </w:r>
      <w:r>
        <w:rPr>
          <w:color w:val="231F20"/>
          <w:w w:val="95"/>
        </w:rPr>
        <w:t>and</w:t>
      </w:r>
      <w:r>
        <w:rPr>
          <w:color w:val="231F20"/>
          <w:spacing w:val="-7"/>
          <w:w w:val="95"/>
        </w:rPr>
        <w:t xml:space="preserve"> </w:t>
      </w:r>
      <w:r>
        <w:rPr>
          <w:color w:val="231F20"/>
          <w:w w:val="95"/>
        </w:rPr>
        <w:t>social</w:t>
      </w:r>
      <w:r>
        <w:rPr>
          <w:color w:val="231F20"/>
          <w:spacing w:val="-7"/>
          <w:w w:val="95"/>
        </w:rPr>
        <w:t xml:space="preserve"> </w:t>
      </w:r>
      <w:r>
        <w:rPr>
          <w:color w:val="231F20"/>
          <w:w w:val="95"/>
        </w:rPr>
        <w:t xml:space="preserve">worlds </w:t>
      </w:r>
      <w:r>
        <w:rPr>
          <w:color w:val="231F20"/>
        </w:rPr>
        <w:t xml:space="preserve">also exist within the fandoms of many urban-based professional sports. These groups also form strong attachments to place as evidenced by the </w:t>
      </w:r>
      <w:r>
        <w:rPr>
          <w:color w:val="231F20"/>
          <w:spacing w:val="-2"/>
        </w:rPr>
        <w:t>emotional</w:t>
      </w:r>
      <w:r>
        <w:rPr>
          <w:color w:val="231F20"/>
          <w:spacing w:val="-4"/>
        </w:rPr>
        <w:t xml:space="preserve"> </w:t>
      </w:r>
      <w:r>
        <w:rPr>
          <w:color w:val="231F20"/>
          <w:spacing w:val="-2"/>
        </w:rPr>
        <w:t>upheaval</w:t>
      </w:r>
      <w:r>
        <w:rPr>
          <w:color w:val="231F20"/>
          <w:spacing w:val="-4"/>
        </w:rPr>
        <w:t xml:space="preserve"> </w:t>
      </w:r>
      <w:r>
        <w:rPr>
          <w:color w:val="231F20"/>
          <w:spacing w:val="-2"/>
        </w:rPr>
        <w:t>that</w:t>
      </w:r>
      <w:r>
        <w:rPr>
          <w:color w:val="231F20"/>
          <w:spacing w:val="-4"/>
        </w:rPr>
        <w:t xml:space="preserve"> </w:t>
      </w:r>
      <w:r>
        <w:rPr>
          <w:color w:val="231F20"/>
          <w:spacing w:val="-2"/>
        </w:rPr>
        <w:t>they</w:t>
      </w:r>
      <w:r>
        <w:rPr>
          <w:color w:val="231F20"/>
          <w:spacing w:val="-4"/>
        </w:rPr>
        <w:t xml:space="preserve"> </w:t>
      </w:r>
      <w:r>
        <w:rPr>
          <w:color w:val="231F20"/>
          <w:spacing w:val="-2"/>
        </w:rPr>
        <w:t>often</w:t>
      </w:r>
      <w:r>
        <w:rPr>
          <w:color w:val="231F20"/>
          <w:spacing w:val="-4"/>
        </w:rPr>
        <w:t xml:space="preserve"> </w:t>
      </w:r>
      <w:r>
        <w:rPr>
          <w:color w:val="231F20"/>
          <w:spacing w:val="-2"/>
        </w:rPr>
        <w:t>experience</w:t>
      </w:r>
      <w:r>
        <w:rPr>
          <w:color w:val="231F20"/>
          <w:spacing w:val="-4"/>
        </w:rPr>
        <w:t xml:space="preserve"> </w:t>
      </w:r>
      <w:r>
        <w:rPr>
          <w:color w:val="231F20"/>
          <w:spacing w:val="-2"/>
        </w:rPr>
        <w:t>when</w:t>
      </w:r>
      <w:r>
        <w:rPr>
          <w:color w:val="231F20"/>
          <w:spacing w:val="-4"/>
        </w:rPr>
        <w:t xml:space="preserve"> </w:t>
      </w:r>
      <w:r>
        <w:rPr>
          <w:color w:val="231F20"/>
          <w:spacing w:val="-2"/>
        </w:rPr>
        <w:t>the</w:t>
      </w:r>
      <w:r>
        <w:rPr>
          <w:color w:val="231F20"/>
          <w:spacing w:val="-4"/>
        </w:rPr>
        <w:t xml:space="preserve"> </w:t>
      </w:r>
      <w:r>
        <w:rPr>
          <w:color w:val="231F20"/>
          <w:spacing w:val="-2"/>
        </w:rPr>
        <w:t>traditional</w:t>
      </w:r>
      <w:r>
        <w:rPr>
          <w:color w:val="231F20"/>
          <w:spacing w:val="-4"/>
        </w:rPr>
        <w:t xml:space="preserve"> </w:t>
      </w:r>
      <w:r>
        <w:rPr>
          <w:color w:val="231F20"/>
          <w:spacing w:val="-2"/>
        </w:rPr>
        <w:t>home</w:t>
      </w:r>
      <w:r>
        <w:rPr>
          <w:color w:val="231F20"/>
          <w:spacing w:val="-2"/>
        </w:rPr>
        <w:t xml:space="preserve"> </w:t>
      </w:r>
      <w:r>
        <w:rPr>
          <w:color w:val="231F20"/>
        </w:rPr>
        <w:t>ground is altered or abandoned.</w:t>
      </w:r>
    </w:p>
    <w:p w14:paraId="61FF9090" w14:textId="77777777" w:rsidR="00AE0598" w:rsidRDefault="0069255A">
      <w:pPr>
        <w:pStyle w:val="Corpodetexto"/>
        <w:spacing w:before="18" w:line="232" w:lineRule="auto"/>
        <w:ind w:left="110" w:right="128" w:firstLine="720"/>
        <w:jc w:val="both"/>
      </w:pPr>
      <w:r>
        <w:rPr>
          <w:color w:val="231F20"/>
        </w:rPr>
        <w:t>It is common for the spaces used by sport subcultures to be contested. For instance, skiers did not welcome snowboarders when snowboarding was initiated on the slopes of the major European ski resorts (Heino, 2000). There m</w:t>
      </w:r>
      <w:r>
        <w:rPr>
          <w:color w:val="231F20"/>
        </w:rPr>
        <w:t>ay even be tension between the various types of members within a subculture as in the case of lifelong resident surfers, foreign resident surfers and tourist surfers in Costa Rica (Usher &amp; Gomez, 2016). While the space associated with these sports may be s</w:t>
      </w:r>
      <w:r>
        <w:rPr>
          <w:color w:val="231F20"/>
        </w:rPr>
        <w:t>hared, subculture place identity is often quite distinct.</w:t>
      </w:r>
    </w:p>
    <w:p w14:paraId="2459C68C" w14:textId="77777777" w:rsidR="00AE0598" w:rsidRDefault="0069255A">
      <w:pPr>
        <w:pStyle w:val="Corpodetexto"/>
        <w:spacing w:before="10" w:line="232" w:lineRule="auto"/>
        <w:ind w:left="110" w:right="127" w:firstLine="320"/>
        <w:jc w:val="both"/>
      </w:pPr>
      <w:r>
        <w:rPr>
          <w:color w:val="231F20"/>
        </w:rPr>
        <w:t>Subcultural</w:t>
      </w:r>
      <w:r>
        <w:rPr>
          <w:color w:val="231F20"/>
          <w:spacing w:val="40"/>
        </w:rPr>
        <w:t xml:space="preserve"> </w:t>
      </w:r>
      <w:r>
        <w:rPr>
          <w:color w:val="231F20"/>
        </w:rPr>
        <w:t>groups</w:t>
      </w:r>
      <w:r>
        <w:rPr>
          <w:color w:val="231F20"/>
          <w:spacing w:val="40"/>
        </w:rPr>
        <w:t xml:space="preserve"> </w:t>
      </w:r>
      <w:r>
        <w:rPr>
          <w:color w:val="231F20"/>
        </w:rPr>
        <w:t>also</w:t>
      </w:r>
      <w:r>
        <w:rPr>
          <w:color w:val="231F20"/>
          <w:spacing w:val="40"/>
        </w:rPr>
        <w:t xml:space="preserve"> </w:t>
      </w:r>
      <w:r>
        <w:rPr>
          <w:color w:val="231F20"/>
        </w:rPr>
        <w:t>recognise</w:t>
      </w:r>
      <w:r>
        <w:rPr>
          <w:color w:val="231F20"/>
          <w:spacing w:val="40"/>
        </w:rPr>
        <w:t xml:space="preserve"> </w:t>
      </w:r>
      <w:r>
        <w:rPr>
          <w:color w:val="231F20"/>
        </w:rPr>
        <w:t>special</w:t>
      </w:r>
      <w:r>
        <w:rPr>
          <w:color w:val="231F20"/>
          <w:spacing w:val="40"/>
        </w:rPr>
        <w:t xml:space="preserve"> </w:t>
      </w:r>
      <w:r>
        <w:rPr>
          <w:color w:val="231F20"/>
        </w:rPr>
        <w:t>places</w:t>
      </w:r>
      <w:r>
        <w:rPr>
          <w:color w:val="231F20"/>
          <w:spacing w:val="40"/>
        </w:rPr>
        <w:t xml:space="preserve"> </w:t>
      </w:r>
      <w:r>
        <w:rPr>
          <w:color w:val="231F20"/>
        </w:rPr>
        <w:t>through</w:t>
      </w:r>
      <w:r>
        <w:rPr>
          <w:color w:val="231F20"/>
          <w:spacing w:val="40"/>
        </w:rPr>
        <w:t xml:space="preserve"> </w:t>
      </w:r>
      <w:r>
        <w:rPr>
          <w:color w:val="231F20"/>
        </w:rPr>
        <w:t>access</w:t>
      </w:r>
      <w:r>
        <w:rPr>
          <w:color w:val="231F20"/>
          <w:spacing w:val="40"/>
        </w:rPr>
        <w:t xml:space="preserve"> </w:t>
      </w:r>
      <w:r>
        <w:rPr>
          <w:color w:val="231F20"/>
        </w:rPr>
        <w:t xml:space="preserve">to ‘insider information’ (Donnelly &amp; Young, 1988). As members of </w:t>
      </w:r>
      <w:r>
        <w:rPr>
          <w:color w:val="231F20"/>
          <w:w w:val="95"/>
        </w:rPr>
        <w:t>subcultural</w:t>
      </w:r>
      <w:r>
        <w:rPr>
          <w:color w:val="231F20"/>
          <w:spacing w:val="5"/>
        </w:rPr>
        <w:t xml:space="preserve"> </w:t>
      </w:r>
      <w:r>
        <w:rPr>
          <w:color w:val="231F20"/>
          <w:w w:val="95"/>
        </w:rPr>
        <w:t>groups</w:t>
      </w:r>
      <w:r>
        <w:rPr>
          <w:color w:val="231F20"/>
          <w:spacing w:val="6"/>
        </w:rPr>
        <w:t xml:space="preserve"> </w:t>
      </w:r>
      <w:r>
        <w:rPr>
          <w:color w:val="231F20"/>
          <w:w w:val="95"/>
        </w:rPr>
        <w:t>progress</w:t>
      </w:r>
      <w:r>
        <w:rPr>
          <w:color w:val="231F20"/>
          <w:spacing w:val="6"/>
        </w:rPr>
        <w:t xml:space="preserve"> </w:t>
      </w:r>
      <w:r>
        <w:rPr>
          <w:color w:val="231F20"/>
          <w:w w:val="95"/>
        </w:rPr>
        <w:t>through</w:t>
      </w:r>
      <w:r>
        <w:rPr>
          <w:color w:val="231F20"/>
          <w:spacing w:val="6"/>
        </w:rPr>
        <w:t xml:space="preserve"> </w:t>
      </w:r>
      <w:r>
        <w:rPr>
          <w:color w:val="231F20"/>
          <w:w w:val="95"/>
        </w:rPr>
        <w:t>their</w:t>
      </w:r>
      <w:r>
        <w:rPr>
          <w:color w:val="231F20"/>
          <w:spacing w:val="6"/>
        </w:rPr>
        <w:t xml:space="preserve"> </w:t>
      </w:r>
      <w:r>
        <w:rPr>
          <w:color w:val="231F20"/>
          <w:w w:val="95"/>
        </w:rPr>
        <w:t>subculture</w:t>
      </w:r>
      <w:r>
        <w:rPr>
          <w:color w:val="231F20"/>
          <w:spacing w:val="6"/>
        </w:rPr>
        <w:t xml:space="preserve"> </w:t>
      </w:r>
      <w:r>
        <w:rPr>
          <w:color w:val="231F20"/>
          <w:w w:val="95"/>
        </w:rPr>
        <w:t>careers</w:t>
      </w:r>
      <w:r>
        <w:rPr>
          <w:color w:val="231F20"/>
          <w:spacing w:val="5"/>
        </w:rPr>
        <w:t xml:space="preserve"> </w:t>
      </w:r>
      <w:r>
        <w:rPr>
          <w:color w:val="231F20"/>
          <w:w w:val="95"/>
        </w:rPr>
        <w:t>they</w:t>
      </w:r>
      <w:r>
        <w:rPr>
          <w:color w:val="231F20"/>
          <w:spacing w:val="6"/>
        </w:rPr>
        <w:t xml:space="preserve"> </w:t>
      </w:r>
      <w:r>
        <w:rPr>
          <w:color w:val="231F20"/>
          <w:spacing w:val="-2"/>
          <w:w w:val="95"/>
        </w:rPr>
        <w:t>bec</w:t>
      </w:r>
      <w:r>
        <w:rPr>
          <w:color w:val="231F20"/>
          <w:spacing w:val="-2"/>
          <w:w w:val="95"/>
        </w:rPr>
        <w:t>ome</w:t>
      </w:r>
    </w:p>
    <w:p w14:paraId="2322A15B" w14:textId="77777777" w:rsidR="00AE0598" w:rsidRDefault="00AE0598">
      <w:pPr>
        <w:spacing w:line="232" w:lineRule="auto"/>
        <w:jc w:val="both"/>
        <w:sectPr w:rsidR="00AE0598">
          <w:pgSz w:w="8850" w:h="13270"/>
          <w:pgMar w:top="720" w:right="1060" w:bottom="280" w:left="1080" w:header="720" w:footer="720" w:gutter="0"/>
          <w:cols w:space="720"/>
        </w:sectPr>
      </w:pPr>
    </w:p>
    <w:p w14:paraId="0294F841" w14:textId="77777777" w:rsidR="00AE0598" w:rsidRDefault="0069255A">
      <w:pPr>
        <w:spacing w:before="87"/>
        <w:ind w:left="108"/>
        <w:rPr>
          <w:rFonts w:ascii="Trebuchet MS"/>
          <w:sz w:val="14"/>
        </w:rPr>
      </w:pPr>
      <w:r>
        <w:rPr>
          <w:rFonts w:ascii="Trebuchet MS"/>
          <w:color w:val="231F20"/>
          <w:w w:val="105"/>
          <w:sz w:val="14"/>
        </w:rPr>
        <w:lastRenderedPageBreak/>
        <w:t>128</w:t>
      </w:r>
      <w:r>
        <w:rPr>
          <w:rFonts w:ascii="Trebuchet MS"/>
          <w:color w:val="231F20"/>
          <w:spacing w:val="66"/>
          <w:w w:val="150"/>
          <w:sz w:val="14"/>
        </w:rPr>
        <w:t xml:space="preserve"> </w:t>
      </w:r>
      <w:r>
        <w:rPr>
          <w:rFonts w:ascii="Trebuchet MS"/>
          <w:color w:val="231F20"/>
          <w:w w:val="105"/>
          <w:sz w:val="14"/>
        </w:rPr>
        <w:t>Part</w:t>
      </w:r>
      <w:r>
        <w:rPr>
          <w:rFonts w:ascii="Trebuchet MS"/>
          <w:color w:val="231F20"/>
          <w:spacing w:val="-9"/>
          <w:w w:val="105"/>
          <w:sz w:val="14"/>
        </w:rPr>
        <w:t xml:space="preserve"> </w:t>
      </w:r>
      <w:r>
        <w:rPr>
          <w:rFonts w:ascii="Trebuchet MS"/>
          <w:color w:val="231F20"/>
          <w:w w:val="105"/>
          <w:sz w:val="14"/>
        </w:rPr>
        <w:t>3:</w:t>
      </w:r>
      <w:r>
        <w:rPr>
          <w:rFonts w:ascii="Trebuchet MS"/>
          <w:color w:val="231F20"/>
          <w:spacing w:val="-8"/>
          <w:w w:val="105"/>
          <w:sz w:val="14"/>
        </w:rPr>
        <w:t xml:space="preserve"> </w:t>
      </w:r>
      <w:r>
        <w:rPr>
          <w:rFonts w:ascii="Trebuchet MS"/>
          <w:color w:val="231F20"/>
          <w:w w:val="105"/>
          <w:sz w:val="14"/>
        </w:rPr>
        <w:t>Sport</w:t>
      </w:r>
      <w:r>
        <w:rPr>
          <w:rFonts w:ascii="Trebuchet MS"/>
          <w:color w:val="231F20"/>
          <w:spacing w:val="-9"/>
          <w:w w:val="105"/>
          <w:sz w:val="14"/>
        </w:rPr>
        <w:t xml:space="preserve"> </w:t>
      </w:r>
      <w:r>
        <w:rPr>
          <w:rFonts w:ascii="Trebuchet MS"/>
          <w:color w:val="231F20"/>
          <w:w w:val="105"/>
          <w:sz w:val="14"/>
        </w:rPr>
        <w:t>Tourism</w:t>
      </w:r>
      <w:r>
        <w:rPr>
          <w:rFonts w:ascii="Trebuchet MS"/>
          <w:color w:val="231F20"/>
          <w:spacing w:val="-9"/>
          <w:w w:val="105"/>
          <w:sz w:val="14"/>
        </w:rPr>
        <w:t xml:space="preserve"> </w:t>
      </w:r>
      <w:r>
        <w:rPr>
          <w:rFonts w:ascii="Trebuchet MS"/>
          <w:color w:val="231F20"/>
          <w:w w:val="105"/>
          <w:sz w:val="14"/>
        </w:rPr>
        <w:t>Development</w:t>
      </w:r>
      <w:r>
        <w:rPr>
          <w:rFonts w:ascii="Trebuchet MS"/>
          <w:color w:val="231F20"/>
          <w:spacing w:val="-9"/>
          <w:w w:val="105"/>
          <w:sz w:val="14"/>
        </w:rPr>
        <w:t xml:space="preserve"> </w:t>
      </w:r>
      <w:r>
        <w:rPr>
          <w:rFonts w:ascii="Trebuchet MS"/>
          <w:color w:val="231F20"/>
          <w:w w:val="105"/>
          <w:sz w:val="14"/>
        </w:rPr>
        <w:t>and</w:t>
      </w:r>
      <w:r>
        <w:rPr>
          <w:rFonts w:ascii="Trebuchet MS"/>
          <w:color w:val="231F20"/>
          <w:spacing w:val="-8"/>
          <w:w w:val="105"/>
          <w:sz w:val="14"/>
        </w:rPr>
        <w:t xml:space="preserve"> </w:t>
      </w:r>
      <w:r>
        <w:rPr>
          <w:rFonts w:ascii="Trebuchet MS"/>
          <w:color w:val="231F20"/>
          <w:spacing w:val="-2"/>
          <w:w w:val="105"/>
          <w:sz w:val="14"/>
        </w:rPr>
        <w:t>Space</w:t>
      </w:r>
    </w:p>
    <w:p w14:paraId="28048113" w14:textId="77777777" w:rsidR="00AE0598" w:rsidRDefault="00AE0598">
      <w:pPr>
        <w:pStyle w:val="Corpodetexto"/>
        <w:rPr>
          <w:rFonts w:ascii="Trebuchet MS"/>
          <w:sz w:val="16"/>
        </w:rPr>
      </w:pPr>
    </w:p>
    <w:p w14:paraId="4FD876DE" w14:textId="77777777" w:rsidR="00AE0598" w:rsidRDefault="0069255A">
      <w:pPr>
        <w:pStyle w:val="Corpodetexto"/>
        <w:spacing w:before="118" w:line="232" w:lineRule="auto"/>
        <w:ind w:left="110" w:right="125"/>
        <w:jc w:val="both"/>
      </w:pPr>
      <w:r>
        <w:rPr>
          <w:color w:val="231F20"/>
          <w:w w:val="95"/>
        </w:rPr>
        <w:t xml:space="preserve">privy to information about ‘special’ sites in the context of their group. The very act of travelling to selected destinations may garner social capital for an individual within his or her subcultural group (Shipway &amp; Jones, 2007). </w:t>
      </w:r>
      <w:r>
        <w:rPr>
          <w:color w:val="231F20"/>
        </w:rPr>
        <w:t>Experience</w:t>
      </w:r>
      <w:r>
        <w:rPr>
          <w:color w:val="231F20"/>
          <w:spacing w:val="-5"/>
        </w:rPr>
        <w:t xml:space="preserve"> </w:t>
      </w:r>
      <w:r>
        <w:rPr>
          <w:color w:val="231F20"/>
        </w:rPr>
        <w:t>at</w:t>
      </w:r>
      <w:r>
        <w:rPr>
          <w:color w:val="231F20"/>
          <w:spacing w:val="-5"/>
        </w:rPr>
        <w:t xml:space="preserve"> </w:t>
      </w:r>
      <w:r>
        <w:rPr>
          <w:color w:val="231F20"/>
        </w:rPr>
        <w:t>these</w:t>
      </w:r>
      <w:r>
        <w:rPr>
          <w:color w:val="231F20"/>
          <w:spacing w:val="-5"/>
        </w:rPr>
        <w:t xml:space="preserve"> </w:t>
      </w:r>
      <w:r>
        <w:rPr>
          <w:color w:val="231F20"/>
        </w:rPr>
        <w:t>sites</w:t>
      </w:r>
      <w:r>
        <w:rPr>
          <w:color w:val="231F20"/>
          <w:spacing w:val="-5"/>
        </w:rPr>
        <w:t xml:space="preserve"> </w:t>
      </w:r>
      <w:r>
        <w:rPr>
          <w:color w:val="231F20"/>
        </w:rPr>
        <w:t>may</w:t>
      </w:r>
      <w:r>
        <w:rPr>
          <w:color w:val="231F20"/>
          <w:spacing w:val="-5"/>
        </w:rPr>
        <w:t xml:space="preserve"> </w:t>
      </w:r>
      <w:r>
        <w:rPr>
          <w:color w:val="231F20"/>
        </w:rPr>
        <w:t>be</w:t>
      </w:r>
      <w:r>
        <w:rPr>
          <w:color w:val="231F20"/>
          <w:spacing w:val="-5"/>
        </w:rPr>
        <w:t xml:space="preserve"> </w:t>
      </w:r>
      <w:r>
        <w:rPr>
          <w:color w:val="231F20"/>
        </w:rPr>
        <w:t>closely</w:t>
      </w:r>
      <w:r>
        <w:rPr>
          <w:color w:val="231F20"/>
          <w:spacing w:val="-5"/>
        </w:rPr>
        <w:t xml:space="preserve"> </w:t>
      </w:r>
      <w:r>
        <w:rPr>
          <w:color w:val="231F20"/>
        </w:rPr>
        <w:t>tied</w:t>
      </w:r>
      <w:r>
        <w:rPr>
          <w:color w:val="231F20"/>
          <w:spacing w:val="-5"/>
        </w:rPr>
        <w:t xml:space="preserve"> </w:t>
      </w:r>
      <w:r>
        <w:rPr>
          <w:color w:val="231F20"/>
        </w:rPr>
        <w:t>to</w:t>
      </w:r>
      <w:r>
        <w:rPr>
          <w:color w:val="231F20"/>
          <w:spacing w:val="-5"/>
        </w:rPr>
        <w:t xml:space="preserve"> </w:t>
      </w:r>
      <w:r>
        <w:rPr>
          <w:color w:val="231F20"/>
        </w:rPr>
        <w:t>a</w:t>
      </w:r>
      <w:r>
        <w:rPr>
          <w:color w:val="231F20"/>
          <w:spacing w:val="-5"/>
        </w:rPr>
        <w:t xml:space="preserve"> </w:t>
      </w:r>
      <w:r>
        <w:rPr>
          <w:color w:val="231F20"/>
        </w:rPr>
        <w:t>member’s</w:t>
      </w:r>
      <w:r>
        <w:rPr>
          <w:color w:val="231F20"/>
          <w:spacing w:val="-5"/>
        </w:rPr>
        <w:t xml:space="preserve"> </w:t>
      </w:r>
      <w:r>
        <w:rPr>
          <w:color w:val="231F20"/>
        </w:rPr>
        <w:t>status</w:t>
      </w:r>
      <w:r>
        <w:rPr>
          <w:color w:val="231F20"/>
          <w:spacing w:val="-5"/>
        </w:rPr>
        <w:t xml:space="preserve"> </w:t>
      </w:r>
      <w:r>
        <w:rPr>
          <w:color w:val="231F20"/>
        </w:rPr>
        <w:t>within his or her subculture. Place can become one with the activity. Hardcore subculture</w:t>
      </w:r>
      <w:r>
        <w:rPr>
          <w:color w:val="231F20"/>
          <w:spacing w:val="-2"/>
        </w:rPr>
        <w:t xml:space="preserve"> </w:t>
      </w:r>
      <w:r>
        <w:rPr>
          <w:color w:val="231F20"/>
        </w:rPr>
        <w:t>members</w:t>
      </w:r>
      <w:r>
        <w:rPr>
          <w:color w:val="231F20"/>
          <w:spacing w:val="-2"/>
        </w:rPr>
        <w:t xml:space="preserve"> </w:t>
      </w:r>
      <w:r>
        <w:rPr>
          <w:color w:val="231F20"/>
        </w:rPr>
        <w:t>will</w:t>
      </w:r>
      <w:r>
        <w:rPr>
          <w:color w:val="231F20"/>
          <w:spacing w:val="-2"/>
        </w:rPr>
        <w:t xml:space="preserve"> </w:t>
      </w:r>
      <w:r>
        <w:rPr>
          <w:color w:val="231F20"/>
        </w:rPr>
        <w:t>tend</w:t>
      </w:r>
      <w:r>
        <w:rPr>
          <w:color w:val="231F20"/>
          <w:spacing w:val="-2"/>
        </w:rPr>
        <w:t xml:space="preserve"> </w:t>
      </w:r>
      <w:r>
        <w:rPr>
          <w:color w:val="231F20"/>
        </w:rPr>
        <w:t>to</w:t>
      </w:r>
      <w:r>
        <w:rPr>
          <w:color w:val="231F20"/>
          <w:spacing w:val="-2"/>
        </w:rPr>
        <w:t xml:space="preserve"> </w:t>
      </w:r>
      <w:r>
        <w:rPr>
          <w:color w:val="231F20"/>
        </w:rPr>
        <w:t>live</w:t>
      </w:r>
      <w:r>
        <w:rPr>
          <w:color w:val="231F20"/>
          <w:spacing w:val="-2"/>
        </w:rPr>
        <w:t xml:space="preserve"> </w:t>
      </w:r>
      <w:r>
        <w:rPr>
          <w:color w:val="231F20"/>
        </w:rPr>
        <w:t>near</w:t>
      </w:r>
      <w:r>
        <w:rPr>
          <w:color w:val="231F20"/>
          <w:spacing w:val="-2"/>
        </w:rPr>
        <w:t xml:space="preserve"> </w:t>
      </w:r>
      <w:r>
        <w:rPr>
          <w:color w:val="231F20"/>
        </w:rPr>
        <w:t>to</w:t>
      </w:r>
      <w:r>
        <w:rPr>
          <w:color w:val="231F20"/>
          <w:spacing w:val="-2"/>
        </w:rPr>
        <w:t xml:space="preserve"> </w:t>
      </w:r>
      <w:r>
        <w:rPr>
          <w:color w:val="231F20"/>
        </w:rPr>
        <w:t>where</w:t>
      </w:r>
      <w:r>
        <w:rPr>
          <w:color w:val="231F20"/>
          <w:spacing w:val="-2"/>
        </w:rPr>
        <w:t xml:space="preserve"> </w:t>
      </w:r>
      <w:r>
        <w:rPr>
          <w:color w:val="231F20"/>
        </w:rPr>
        <w:t>they</w:t>
      </w:r>
      <w:r>
        <w:rPr>
          <w:color w:val="231F20"/>
          <w:spacing w:val="-2"/>
        </w:rPr>
        <w:t xml:space="preserve"> </w:t>
      </w:r>
      <w:r>
        <w:rPr>
          <w:color w:val="231F20"/>
        </w:rPr>
        <w:t>can</w:t>
      </w:r>
      <w:r>
        <w:rPr>
          <w:color w:val="231F20"/>
          <w:spacing w:val="-2"/>
        </w:rPr>
        <w:t xml:space="preserve"> </w:t>
      </w:r>
      <w:r>
        <w:rPr>
          <w:color w:val="231F20"/>
        </w:rPr>
        <w:t>be</w:t>
      </w:r>
      <w:r>
        <w:rPr>
          <w:color w:val="231F20"/>
          <w:spacing w:val="-2"/>
        </w:rPr>
        <w:t xml:space="preserve"> </w:t>
      </w:r>
      <w:r>
        <w:rPr>
          <w:color w:val="231F20"/>
        </w:rPr>
        <w:t>active</w:t>
      </w:r>
      <w:r>
        <w:rPr>
          <w:color w:val="231F20"/>
          <w:spacing w:val="-2"/>
        </w:rPr>
        <w:t xml:space="preserve"> </w:t>
      </w:r>
      <w:r>
        <w:rPr>
          <w:color w:val="231F20"/>
        </w:rPr>
        <w:t xml:space="preserve">in </w:t>
      </w:r>
      <w:r>
        <w:rPr>
          <w:color w:val="231F20"/>
          <w:w w:val="95"/>
        </w:rPr>
        <w:t xml:space="preserve">their sport and will use their vacation time to travel to destinations that are </w:t>
      </w:r>
      <w:r>
        <w:rPr>
          <w:color w:val="231F20"/>
        </w:rPr>
        <w:t>‘sacred’</w:t>
      </w:r>
      <w:r>
        <w:rPr>
          <w:color w:val="231F20"/>
          <w:spacing w:val="-7"/>
        </w:rPr>
        <w:t xml:space="preserve"> </w:t>
      </w:r>
      <w:r>
        <w:rPr>
          <w:color w:val="231F20"/>
        </w:rPr>
        <w:t>to</w:t>
      </w:r>
      <w:r>
        <w:rPr>
          <w:color w:val="231F20"/>
          <w:spacing w:val="-7"/>
        </w:rPr>
        <w:t xml:space="preserve"> </w:t>
      </w:r>
      <w:r>
        <w:rPr>
          <w:color w:val="231F20"/>
        </w:rPr>
        <w:t>their</w:t>
      </w:r>
      <w:r>
        <w:rPr>
          <w:color w:val="231F20"/>
          <w:spacing w:val="-7"/>
        </w:rPr>
        <w:t xml:space="preserve"> </w:t>
      </w:r>
      <w:r>
        <w:rPr>
          <w:color w:val="231F20"/>
        </w:rPr>
        <w:t>sport.</w:t>
      </w:r>
      <w:r>
        <w:rPr>
          <w:color w:val="231F20"/>
          <w:spacing w:val="-7"/>
        </w:rPr>
        <w:t xml:space="preserve"> </w:t>
      </w:r>
      <w:r>
        <w:rPr>
          <w:color w:val="231F20"/>
        </w:rPr>
        <w:t>They</w:t>
      </w:r>
      <w:r>
        <w:rPr>
          <w:color w:val="231F20"/>
          <w:spacing w:val="-7"/>
        </w:rPr>
        <w:t xml:space="preserve"> </w:t>
      </w:r>
      <w:r>
        <w:rPr>
          <w:color w:val="231F20"/>
        </w:rPr>
        <w:t>are</w:t>
      </w:r>
      <w:r>
        <w:rPr>
          <w:color w:val="231F20"/>
          <w:spacing w:val="-7"/>
        </w:rPr>
        <w:t xml:space="preserve"> </w:t>
      </w:r>
      <w:r>
        <w:rPr>
          <w:color w:val="231F20"/>
        </w:rPr>
        <w:t>quite</w:t>
      </w:r>
      <w:r>
        <w:rPr>
          <w:color w:val="231F20"/>
          <w:spacing w:val="-7"/>
        </w:rPr>
        <w:t xml:space="preserve"> </w:t>
      </w:r>
      <w:r>
        <w:rPr>
          <w:color w:val="231F20"/>
        </w:rPr>
        <w:t>likely</w:t>
      </w:r>
      <w:r>
        <w:rPr>
          <w:color w:val="231F20"/>
          <w:spacing w:val="-7"/>
        </w:rPr>
        <w:t xml:space="preserve"> </w:t>
      </w:r>
      <w:r>
        <w:rPr>
          <w:color w:val="231F20"/>
        </w:rPr>
        <w:t>to</w:t>
      </w:r>
      <w:r>
        <w:rPr>
          <w:color w:val="231F20"/>
          <w:spacing w:val="-7"/>
        </w:rPr>
        <w:t xml:space="preserve"> </w:t>
      </w:r>
      <w:r>
        <w:rPr>
          <w:color w:val="231F20"/>
        </w:rPr>
        <w:t>develop</w:t>
      </w:r>
      <w:r>
        <w:rPr>
          <w:color w:val="231F20"/>
          <w:spacing w:val="-7"/>
        </w:rPr>
        <w:t xml:space="preserve"> </w:t>
      </w:r>
      <w:r>
        <w:rPr>
          <w:color w:val="231F20"/>
        </w:rPr>
        <w:t>travel</w:t>
      </w:r>
      <w:r>
        <w:rPr>
          <w:color w:val="231F20"/>
          <w:spacing w:val="-7"/>
        </w:rPr>
        <w:t xml:space="preserve"> </w:t>
      </w:r>
      <w:r>
        <w:rPr>
          <w:color w:val="231F20"/>
        </w:rPr>
        <w:t>careers</w:t>
      </w:r>
      <w:r>
        <w:rPr>
          <w:color w:val="231F20"/>
          <w:spacing w:val="-7"/>
        </w:rPr>
        <w:t xml:space="preserve"> </w:t>
      </w:r>
      <w:r>
        <w:rPr>
          <w:color w:val="231F20"/>
        </w:rPr>
        <w:t>that parallel their sport subculture career (Getz &amp; McConnell, 2014).</w:t>
      </w:r>
    </w:p>
    <w:p w14:paraId="3E54FFA3" w14:textId="77777777" w:rsidR="00AE0598" w:rsidRDefault="00AE0598">
      <w:pPr>
        <w:pStyle w:val="Corpodetexto"/>
        <w:spacing w:before="10"/>
      </w:pPr>
    </w:p>
    <w:p w14:paraId="5DDFD3A6" w14:textId="77777777" w:rsidR="00AE0598" w:rsidRDefault="0069255A">
      <w:pPr>
        <w:ind w:left="110"/>
        <w:jc w:val="both"/>
        <w:rPr>
          <w:rFonts w:ascii="Trebuchet MS"/>
          <w:b/>
          <w:sz w:val="20"/>
        </w:rPr>
      </w:pPr>
      <w:r>
        <w:rPr>
          <w:rFonts w:ascii="Trebuchet MS"/>
          <w:b/>
          <w:color w:val="231F20"/>
          <w:sz w:val="20"/>
        </w:rPr>
        <w:t>Branding</w:t>
      </w:r>
      <w:r>
        <w:rPr>
          <w:rFonts w:ascii="Trebuchet MS"/>
          <w:b/>
          <w:color w:val="231F20"/>
          <w:spacing w:val="5"/>
          <w:sz w:val="20"/>
        </w:rPr>
        <w:t xml:space="preserve"> </w:t>
      </w:r>
      <w:r>
        <w:rPr>
          <w:rFonts w:ascii="Trebuchet MS"/>
          <w:b/>
          <w:color w:val="231F20"/>
          <w:sz w:val="20"/>
        </w:rPr>
        <w:t>Place</w:t>
      </w:r>
      <w:r>
        <w:rPr>
          <w:rFonts w:ascii="Trebuchet MS"/>
          <w:b/>
          <w:color w:val="231F20"/>
          <w:spacing w:val="6"/>
          <w:sz w:val="20"/>
        </w:rPr>
        <w:t xml:space="preserve"> </w:t>
      </w:r>
      <w:r>
        <w:rPr>
          <w:rFonts w:ascii="Trebuchet MS"/>
          <w:b/>
          <w:color w:val="231F20"/>
          <w:sz w:val="20"/>
        </w:rPr>
        <w:t>Through</w:t>
      </w:r>
      <w:r>
        <w:rPr>
          <w:rFonts w:ascii="Trebuchet MS"/>
          <w:b/>
          <w:color w:val="231F20"/>
          <w:spacing w:val="6"/>
          <w:sz w:val="20"/>
        </w:rPr>
        <w:t xml:space="preserve"> </w:t>
      </w:r>
      <w:r>
        <w:rPr>
          <w:rFonts w:ascii="Trebuchet MS"/>
          <w:b/>
          <w:color w:val="231F20"/>
          <w:spacing w:val="-4"/>
          <w:sz w:val="20"/>
        </w:rPr>
        <w:t>Sport</w:t>
      </w:r>
    </w:p>
    <w:p w14:paraId="6EC7736C" w14:textId="77777777" w:rsidR="00AE0598" w:rsidRDefault="0069255A">
      <w:pPr>
        <w:pStyle w:val="Corpodetexto"/>
        <w:spacing w:before="122" w:line="232" w:lineRule="auto"/>
        <w:ind w:left="110" w:right="127" w:firstLine="320"/>
        <w:jc w:val="both"/>
      </w:pPr>
      <w:r>
        <w:rPr>
          <w:color w:val="231F20"/>
          <w:w w:val="95"/>
        </w:rPr>
        <w:t xml:space="preserve">The tourism industry is in the business of selling places and this is done through the processes of marketing and place branding. While marketing </w:t>
      </w:r>
      <w:r>
        <w:rPr>
          <w:color w:val="231F20"/>
        </w:rPr>
        <w:t>has</w:t>
      </w:r>
      <w:r>
        <w:rPr>
          <w:color w:val="231F20"/>
          <w:spacing w:val="-3"/>
        </w:rPr>
        <w:t xml:space="preserve"> </w:t>
      </w:r>
      <w:r>
        <w:rPr>
          <w:color w:val="231F20"/>
        </w:rPr>
        <w:t>long</w:t>
      </w:r>
      <w:r>
        <w:rPr>
          <w:color w:val="231F20"/>
          <w:spacing w:val="-3"/>
        </w:rPr>
        <w:t xml:space="preserve"> </w:t>
      </w:r>
      <w:r>
        <w:rPr>
          <w:color w:val="231F20"/>
        </w:rPr>
        <w:t>been</w:t>
      </w:r>
      <w:r>
        <w:rPr>
          <w:color w:val="231F20"/>
          <w:spacing w:val="-3"/>
        </w:rPr>
        <w:t xml:space="preserve"> </w:t>
      </w:r>
      <w:r>
        <w:rPr>
          <w:color w:val="231F20"/>
        </w:rPr>
        <w:t>a</w:t>
      </w:r>
      <w:r>
        <w:rPr>
          <w:color w:val="231F20"/>
          <w:spacing w:val="-3"/>
        </w:rPr>
        <w:t xml:space="preserve"> </w:t>
      </w:r>
      <w:r>
        <w:rPr>
          <w:color w:val="231F20"/>
        </w:rPr>
        <w:t>focus</w:t>
      </w:r>
      <w:r>
        <w:rPr>
          <w:color w:val="231F20"/>
          <w:spacing w:val="-3"/>
        </w:rPr>
        <w:t xml:space="preserve"> </w:t>
      </w:r>
      <w:r>
        <w:rPr>
          <w:color w:val="231F20"/>
        </w:rPr>
        <w:t>of</w:t>
      </w:r>
      <w:r>
        <w:rPr>
          <w:color w:val="231F20"/>
          <w:spacing w:val="-3"/>
        </w:rPr>
        <w:t xml:space="preserve"> </w:t>
      </w:r>
      <w:r>
        <w:rPr>
          <w:color w:val="231F20"/>
        </w:rPr>
        <w:t>tourism</w:t>
      </w:r>
      <w:r>
        <w:rPr>
          <w:color w:val="231F20"/>
          <w:spacing w:val="-3"/>
        </w:rPr>
        <w:t xml:space="preserve"> </w:t>
      </w:r>
      <w:r>
        <w:rPr>
          <w:color w:val="231F20"/>
        </w:rPr>
        <w:t>practice</w:t>
      </w:r>
      <w:r>
        <w:rPr>
          <w:color w:val="231F20"/>
          <w:spacing w:val="-3"/>
        </w:rPr>
        <w:t xml:space="preserve"> </w:t>
      </w:r>
      <w:r>
        <w:rPr>
          <w:color w:val="231F20"/>
        </w:rPr>
        <w:t>and</w:t>
      </w:r>
      <w:r>
        <w:rPr>
          <w:color w:val="231F20"/>
          <w:spacing w:val="-3"/>
        </w:rPr>
        <w:t xml:space="preserve"> </w:t>
      </w:r>
      <w:r>
        <w:rPr>
          <w:color w:val="231F20"/>
        </w:rPr>
        <w:t>scholarship,</w:t>
      </w:r>
      <w:r>
        <w:rPr>
          <w:color w:val="231F20"/>
          <w:spacing w:val="-3"/>
        </w:rPr>
        <w:t xml:space="preserve"> </w:t>
      </w:r>
      <w:r>
        <w:rPr>
          <w:color w:val="231F20"/>
        </w:rPr>
        <w:t>the</w:t>
      </w:r>
      <w:r>
        <w:rPr>
          <w:color w:val="231F20"/>
          <w:spacing w:val="-3"/>
        </w:rPr>
        <w:t xml:space="preserve"> </w:t>
      </w:r>
      <w:r>
        <w:rPr>
          <w:color w:val="231F20"/>
        </w:rPr>
        <w:t>concept</w:t>
      </w:r>
      <w:r>
        <w:rPr>
          <w:color w:val="231F20"/>
          <w:spacing w:val="-3"/>
        </w:rPr>
        <w:t xml:space="preserve"> </w:t>
      </w:r>
      <w:r>
        <w:rPr>
          <w:color w:val="231F20"/>
        </w:rPr>
        <w:t>of ‘place</w:t>
      </w:r>
      <w:r>
        <w:rPr>
          <w:color w:val="231F20"/>
          <w:spacing w:val="-6"/>
        </w:rPr>
        <w:t xml:space="preserve"> </w:t>
      </w:r>
      <w:r>
        <w:rPr>
          <w:color w:val="231F20"/>
        </w:rPr>
        <w:t>branding’</w:t>
      </w:r>
      <w:r>
        <w:rPr>
          <w:color w:val="231F20"/>
          <w:spacing w:val="-6"/>
        </w:rPr>
        <w:t xml:space="preserve"> </w:t>
      </w:r>
      <w:r>
        <w:rPr>
          <w:color w:val="231F20"/>
        </w:rPr>
        <w:t>has</w:t>
      </w:r>
      <w:r>
        <w:rPr>
          <w:color w:val="231F20"/>
          <w:spacing w:val="-6"/>
        </w:rPr>
        <w:t xml:space="preserve"> </w:t>
      </w:r>
      <w:r>
        <w:rPr>
          <w:color w:val="231F20"/>
        </w:rPr>
        <w:t>emerged</w:t>
      </w:r>
      <w:r>
        <w:rPr>
          <w:color w:val="231F20"/>
          <w:spacing w:val="-6"/>
        </w:rPr>
        <w:t xml:space="preserve"> </w:t>
      </w:r>
      <w:r>
        <w:rPr>
          <w:color w:val="231F20"/>
        </w:rPr>
        <w:t>as</w:t>
      </w:r>
      <w:r>
        <w:rPr>
          <w:color w:val="231F20"/>
          <w:spacing w:val="-6"/>
        </w:rPr>
        <w:t xml:space="preserve"> </w:t>
      </w:r>
      <w:r>
        <w:rPr>
          <w:color w:val="231F20"/>
        </w:rPr>
        <w:t>a</w:t>
      </w:r>
      <w:r>
        <w:rPr>
          <w:color w:val="231F20"/>
          <w:spacing w:val="-6"/>
        </w:rPr>
        <w:t xml:space="preserve"> </w:t>
      </w:r>
      <w:r>
        <w:rPr>
          <w:color w:val="231F20"/>
        </w:rPr>
        <w:t>popular</w:t>
      </w:r>
      <w:r>
        <w:rPr>
          <w:color w:val="231F20"/>
          <w:spacing w:val="-6"/>
        </w:rPr>
        <w:t xml:space="preserve"> </w:t>
      </w:r>
      <w:r>
        <w:rPr>
          <w:color w:val="231F20"/>
        </w:rPr>
        <w:t>term</w:t>
      </w:r>
      <w:r>
        <w:rPr>
          <w:color w:val="231F20"/>
          <w:spacing w:val="-6"/>
        </w:rPr>
        <w:t xml:space="preserve"> </w:t>
      </w:r>
      <w:r>
        <w:rPr>
          <w:color w:val="231F20"/>
        </w:rPr>
        <w:t>(Hanna</w:t>
      </w:r>
      <w:r>
        <w:rPr>
          <w:color w:val="231F20"/>
          <w:spacing w:val="-6"/>
        </w:rPr>
        <w:t xml:space="preserve"> </w:t>
      </w:r>
      <w:r>
        <w:rPr>
          <w:color w:val="231F20"/>
        </w:rPr>
        <w:t>&amp;</w:t>
      </w:r>
      <w:r>
        <w:rPr>
          <w:color w:val="231F20"/>
          <w:spacing w:val="-6"/>
        </w:rPr>
        <w:t xml:space="preserve"> </w:t>
      </w:r>
      <w:r>
        <w:rPr>
          <w:color w:val="231F20"/>
        </w:rPr>
        <w:t>Rowley,</w:t>
      </w:r>
      <w:r>
        <w:rPr>
          <w:color w:val="231F20"/>
          <w:spacing w:val="-6"/>
        </w:rPr>
        <w:t xml:space="preserve"> </w:t>
      </w:r>
      <w:r>
        <w:rPr>
          <w:color w:val="231F20"/>
        </w:rPr>
        <w:t xml:space="preserve">2008) that is closely associated with place marketing and place imaging. Marketers who try to shape the destination brand are usually trying to </w:t>
      </w:r>
      <w:r>
        <w:rPr>
          <w:color w:val="231F20"/>
          <w:w w:val="95"/>
        </w:rPr>
        <w:t>replace</w:t>
      </w:r>
      <w:r>
        <w:rPr>
          <w:color w:val="231F20"/>
          <w:spacing w:val="-9"/>
          <w:w w:val="95"/>
        </w:rPr>
        <w:t xml:space="preserve"> </w:t>
      </w:r>
      <w:r>
        <w:rPr>
          <w:color w:val="231F20"/>
          <w:w w:val="95"/>
        </w:rPr>
        <w:t>vague</w:t>
      </w:r>
      <w:r>
        <w:rPr>
          <w:color w:val="231F20"/>
          <w:spacing w:val="-9"/>
          <w:w w:val="95"/>
        </w:rPr>
        <w:t xml:space="preserve"> </w:t>
      </w:r>
      <w:r>
        <w:rPr>
          <w:color w:val="231F20"/>
          <w:w w:val="95"/>
        </w:rPr>
        <w:t>or</w:t>
      </w:r>
      <w:r>
        <w:rPr>
          <w:color w:val="231F20"/>
          <w:spacing w:val="-9"/>
          <w:w w:val="95"/>
        </w:rPr>
        <w:t xml:space="preserve"> </w:t>
      </w:r>
      <w:r>
        <w:rPr>
          <w:color w:val="231F20"/>
          <w:w w:val="95"/>
        </w:rPr>
        <w:t>negative</w:t>
      </w:r>
      <w:r>
        <w:rPr>
          <w:color w:val="231F20"/>
          <w:spacing w:val="-9"/>
          <w:w w:val="95"/>
        </w:rPr>
        <w:t xml:space="preserve"> </w:t>
      </w:r>
      <w:r>
        <w:rPr>
          <w:color w:val="231F20"/>
          <w:w w:val="95"/>
        </w:rPr>
        <w:t>images</w:t>
      </w:r>
      <w:r>
        <w:rPr>
          <w:color w:val="231F20"/>
          <w:spacing w:val="-9"/>
          <w:w w:val="95"/>
        </w:rPr>
        <w:t xml:space="preserve"> </w:t>
      </w:r>
      <w:r>
        <w:rPr>
          <w:color w:val="231F20"/>
          <w:w w:val="95"/>
        </w:rPr>
        <w:t>previously</w:t>
      </w:r>
      <w:r>
        <w:rPr>
          <w:color w:val="231F20"/>
          <w:spacing w:val="-9"/>
          <w:w w:val="95"/>
        </w:rPr>
        <w:t xml:space="preserve"> </w:t>
      </w:r>
      <w:r>
        <w:rPr>
          <w:color w:val="231F20"/>
          <w:w w:val="95"/>
        </w:rPr>
        <w:t>held</w:t>
      </w:r>
      <w:r>
        <w:rPr>
          <w:color w:val="231F20"/>
          <w:spacing w:val="-9"/>
          <w:w w:val="95"/>
        </w:rPr>
        <w:t xml:space="preserve"> </w:t>
      </w:r>
      <w:r>
        <w:rPr>
          <w:color w:val="231F20"/>
          <w:w w:val="95"/>
        </w:rPr>
        <w:t>by</w:t>
      </w:r>
      <w:r>
        <w:rPr>
          <w:color w:val="231F20"/>
          <w:spacing w:val="-9"/>
          <w:w w:val="95"/>
        </w:rPr>
        <w:t xml:space="preserve"> </w:t>
      </w:r>
      <w:r>
        <w:rPr>
          <w:color w:val="231F20"/>
          <w:w w:val="95"/>
        </w:rPr>
        <w:t>residents,</w:t>
      </w:r>
      <w:r>
        <w:rPr>
          <w:color w:val="231F20"/>
          <w:spacing w:val="-9"/>
          <w:w w:val="95"/>
        </w:rPr>
        <w:t xml:space="preserve"> </w:t>
      </w:r>
      <w:r>
        <w:rPr>
          <w:color w:val="231F20"/>
          <w:w w:val="95"/>
        </w:rPr>
        <w:t>investors</w:t>
      </w:r>
      <w:r>
        <w:rPr>
          <w:color w:val="231F20"/>
          <w:spacing w:val="-9"/>
          <w:w w:val="95"/>
        </w:rPr>
        <w:t xml:space="preserve"> </w:t>
      </w:r>
      <w:r>
        <w:rPr>
          <w:color w:val="231F20"/>
          <w:w w:val="95"/>
        </w:rPr>
        <w:t xml:space="preserve">and </w:t>
      </w:r>
      <w:r>
        <w:rPr>
          <w:color w:val="231F20"/>
        </w:rPr>
        <w:t>poten</w:t>
      </w:r>
      <w:r>
        <w:rPr>
          <w:color w:val="231F20"/>
        </w:rPr>
        <w:t>tial</w:t>
      </w:r>
      <w:r>
        <w:rPr>
          <w:color w:val="231F20"/>
          <w:spacing w:val="-10"/>
        </w:rPr>
        <w:t xml:space="preserve"> </w:t>
      </w:r>
      <w:r>
        <w:rPr>
          <w:color w:val="231F20"/>
        </w:rPr>
        <w:t>visitors</w:t>
      </w:r>
      <w:r>
        <w:rPr>
          <w:color w:val="231F20"/>
          <w:spacing w:val="-10"/>
        </w:rPr>
        <w:t xml:space="preserve"> </w:t>
      </w:r>
      <w:r>
        <w:rPr>
          <w:color w:val="231F20"/>
        </w:rPr>
        <w:t>(Page</w:t>
      </w:r>
      <w:r>
        <w:rPr>
          <w:color w:val="231F20"/>
          <w:spacing w:val="-10"/>
        </w:rPr>
        <w:t xml:space="preserve"> </w:t>
      </w:r>
      <w:r>
        <w:rPr>
          <w:color w:val="231F20"/>
        </w:rPr>
        <w:t>&amp;</w:t>
      </w:r>
      <w:r>
        <w:rPr>
          <w:color w:val="231F20"/>
          <w:spacing w:val="-10"/>
        </w:rPr>
        <w:t xml:space="preserve"> </w:t>
      </w:r>
      <w:r>
        <w:rPr>
          <w:color w:val="231F20"/>
        </w:rPr>
        <w:t>Hall,</w:t>
      </w:r>
      <w:r>
        <w:rPr>
          <w:color w:val="231F20"/>
          <w:spacing w:val="-10"/>
        </w:rPr>
        <w:t xml:space="preserve"> </w:t>
      </w:r>
      <w:r>
        <w:rPr>
          <w:color w:val="231F20"/>
        </w:rPr>
        <w:t>2003).</w:t>
      </w:r>
      <w:r>
        <w:rPr>
          <w:color w:val="231F20"/>
          <w:spacing w:val="-10"/>
        </w:rPr>
        <w:t xml:space="preserve"> </w:t>
      </w:r>
      <w:r>
        <w:rPr>
          <w:color w:val="231F20"/>
        </w:rPr>
        <w:t>In</w:t>
      </w:r>
      <w:r>
        <w:rPr>
          <w:color w:val="231F20"/>
          <w:spacing w:val="-10"/>
        </w:rPr>
        <w:t xml:space="preserve"> </w:t>
      </w:r>
      <w:r>
        <w:rPr>
          <w:color w:val="231F20"/>
        </w:rPr>
        <w:t>doing</w:t>
      </w:r>
      <w:r>
        <w:rPr>
          <w:color w:val="231F20"/>
          <w:spacing w:val="-10"/>
        </w:rPr>
        <w:t xml:space="preserve"> </w:t>
      </w:r>
      <w:r>
        <w:rPr>
          <w:color w:val="231F20"/>
        </w:rPr>
        <w:t>so,</w:t>
      </w:r>
      <w:r>
        <w:rPr>
          <w:color w:val="231F20"/>
          <w:spacing w:val="-10"/>
        </w:rPr>
        <w:t xml:space="preserve"> </w:t>
      </w:r>
      <w:r>
        <w:rPr>
          <w:color w:val="231F20"/>
        </w:rPr>
        <w:t>they</w:t>
      </w:r>
      <w:r>
        <w:rPr>
          <w:color w:val="231F20"/>
          <w:spacing w:val="-10"/>
        </w:rPr>
        <w:t xml:space="preserve"> </w:t>
      </w:r>
      <w:r>
        <w:rPr>
          <w:color w:val="231F20"/>
        </w:rPr>
        <w:t>are</w:t>
      </w:r>
      <w:r>
        <w:rPr>
          <w:color w:val="231F20"/>
          <w:spacing w:val="-10"/>
        </w:rPr>
        <w:t xml:space="preserve"> </w:t>
      </w:r>
      <w:r>
        <w:rPr>
          <w:color w:val="231F20"/>
        </w:rPr>
        <w:t>actively</w:t>
      </w:r>
      <w:r>
        <w:rPr>
          <w:color w:val="231F20"/>
          <w:spacing w:val="-10"/>
        </w:rPr>
        <w:t xml:space="preserve"> </w:t>
      </w:r>
      <w:r>
        <w:rPr>
          <w:color w:val="231F20"/>
        </w:rPr>
        <w:t>trying to</w:t>
      </w:r>
      <w:r>
        <w:rPr>
          <w:color w:val="231F20"/>
          <w:spacing w:val="-8"/>
        </w:rPr>
        <w:t xml:space="preserve"> </w:t>
      </w:r>
      <w:r>
        <w:rPr>
          <w:color w:val="231F20"/>
        </w:rPr>
        <w:t>influence</w:t>
      </w:r>
      <w:r>
        <w:rPr>
          <w:color w:val="231F20"/>
          <w:spacing w:val="-8"/>
        </w:rPr>
        <w:t xml:space="preserve"> </w:t>
      </w:r>
      <w:r>
        <w:rPr>
          <w:color w:val="231F20"/>
        </w:rPr>
        <w:t>place</w:t>
      </w:r>
      <w:r>
        <w:rPr>
          <w:color w:val="231F20"/>
          <w:spacing w:val="-8"/>
        </w:rPr>
        <w:t xml:space="preserve"> </w:t>
      </w:r>
      <w:r>
        <w:rPr>
          <w:color w:val="231F20"/>
        </w:rPr>
        <w:t>identity.</w:t>
      </w:r>
      <w:r>
        <w:rPr>
          <w:color w:val="231F20"/>
          <w:spacing w:val="-8"/>
        </w:rPr>
        <w:t xml:space="preserve"> </w:t>
      </w:r>
      <w:r>
        <w:rPr>
          <w:color w:val="231F20"/>
        </w:rPr>
        <w:t>Carter</w:t>
      </w:r>
      <w:r>
        <w:rPr>
          <w:color w:val="231F20"/>
          <w:spacing w:val="-8"/>
        </w:rPr>
        <w:t xml:space="preserve"> </w:t>
      </w:r>
      <w:r>
        <w:rPr>
          <w:i/>
          <w:color w:val="231F20"/>
        </w:rPr>
        <w:t>et</w:t>
      </w:r>
      <w:r>
        <w:rPr>
          <w:i/>
          <w:color w:val="231F20"/>
          <w:spacing w:val="-8"/>
        </w:rPr>
        <w:t xml:space="preserve"> </w:t>
      </w:r>
      <w:r>
        <w:rPr>
          <w:i/>
          <w:color w:val="231F20"/>
        </w:rPr>
        <w:t>al</w:t>
      </w:r>
      <w:r>
        <w:rPr>
          <w:color w:val="231F20"/>
        </w:rPr>
        <w:t>.</w:t>
      </w:r>
      <w:r>
        <w:rPr>
          <w:color w:val="231F20"/>
          <w:spacing w:val="-8"/>
        </w:rPr>
        <w:t xml:space="preserve"> </w:t>
      </w:r>
      <w:r>
        <w:rPr>
          <w:color w:val="231F20"/>
        </w:rPr>
        <w:t>(2007)</w:t>
      </w:r>
      <w:r>
        <w:rPr>
          <w:color w:val="231F20"/>
          <w:spacing w:val="-8"/>
        </w:rPr>
        <w:t xml:space="preserve"> </w:t>
      </w:r>
      <w:r>
        <w:rPr>
          <w:color w:val="231F20"/>
        </w:rPr>
        <w:t>suggest</w:t>
      </w:r>
      <w:r>
        <w:rPr>
          <w:color w:val="231F20"/>
          <w:spacing w:val="-8"/>
        </w:rPr>
        <w:t xml:space="preserve"> </w:t>
      </w:r>
      <w:r>
        <w:rPr>
          <w:color w:val="231F20"/>
        </w:rPr>
        <w:t>that</w:t>
      </w:r>
      <w:r>
        <w:rPr>
          <w:color w:val="231F20"/>
          <w:spacing w:val="-8"/>
        </w:rPr>
        <w:t xml:space="preserve"> </w:t>
      </w:r>
      <w:r>
        <w:rPr>
          <w:color w:val="231F20"/>
        </w:rPr>
        <w:t>place</w:t>
      </w:r>
      <w:r>
        <w:rPr>
          <w:color w:val="231F20"/>
          <w:spacing w:val="-8"/>
        </w:rPr>
        <w:t xml:space="preserve"> </w:t>
      </w:r>
      <w:r>
        <w:rPr>
          <w:color w:val="231F20"/>
        </w:rPr>
        <w:t xml:space="preserve">identity </w:t>
      </w:r>
      <w:r>
        <w:rPr>
          <w:color w:val="231F20"/>
          <w:w w:val="95"/>
        </w:rPr>
        <w:t>is often imposed by the globalising forces of development such as tourism.</w:t>
      </w:r>
      <w:r>
        <w:rPr>
          <w:color w:val="231F20"/>
          <w:spacing w:val="40"/>
        </w:rPr>
        <w:t xml:space="preserve"> </w:t>
      </w:r>
      <w:r>
        <w:rPr>
          <w:color w:val="231F20"/>
        </w:rPr>
        <w:t xml:space="preserve">A good example of this is Urry’s (1990) description of the ‘tourist gaze’ </w:t>
      </w:r>
      <w:r>
        <w:rPr>
          <w:color w:val="231F20"/>
          <w:w w:val="95"/>
        </w:rPr>
        <w:t>in which tourists judge their destination experience based on their image</w:t>
      </w:r>
      <w:r>
        <w:rPr>
          <w:color w:val="231F20"/>
          <w:spacing w:val="80"/>
          <w:w w:val="150"/>
        </w:rPr>
        <w:t xml:space="preserve"> </w:t>
      </w:r>
      <w:r>
        <w:rPr>
          <w:color w:val="231F20"/>
        </w:rPr>
        <w:t xml:space="preserve">of the destination as drawn from </w:t>
      </w:r>
      <w:r>
        <w:rPr>
          <w:color w:val="231F20"/>
        </w:rPr>
        <w:t xml:space="preserve">marketing messages and more organic </w:t>
      </w:r>
      <w:r>
        <w:rPr>
          <w:color w:val="231F20"/>
          <w:w w:val="95"/>
        </w:rPr>
        <w:t xml:space="preserve">sources such as the popular media. There has been much debate about the tourism industry’s ability to influence the tourist gaze (e.g. Garrod, 2009; </w:t>
      </w:r>
      <w:r>
        <w:rPr>
          <w:color w:val="231F20"/>
        </w:rPr>
        <w:t>Stepchenkova &amp; Zhan, 2013), but sport’s widespread popularity, the spor</w:t>
      </w:r>
      <w:r>
        <w:rPr>
          <w:color w:val="231F20"/>
        </w:rPr>
        <w:t xml:space="preserve">ting activities found in a destination and a destination’s reputation </w:t>
      </w:r>
      <w:r>
        <w:rPr>
          <w:color w:val="231F20"/>
          <w:w w:val="95"/>
        </w:rPr>
        <w:t>as a sporting site all represent promising resources for marketers trying to shape destination brands. The ability of marketers to influence destination images raises questions about the</w:t>
      </w:r>
      <w:r>
        <w:rPr>
          <w:color w:val="231F20"/>
          <w:w w:val="95"/>
        </w:rPr>
        <w:t xml:space="preserve"> ethics of such manipulation and suggests </w:t>
      </w:r>
      <w:r>
        <w:rPr>
          <w:color w:val="231F20"/>
        </w:rPr>
        <w:t xml:space="preserve">that the promotion of place identity should be consistent with the sense of place prevalent in the community (Campelo </w:t>
      </w:r>
      <w:r>
        <w:rPr>
          <w:i/>
          <w:color w:val="231F20"/>
        </w:rPr>
        <w:t>et al</w:t>
      </w:r>
      <w:r>
        <w:rPr>
          <w:color w:val="231F20"/>
        </w:rPr>
        <w:t>., 2013; Hinch &amp;</w:t>
      </w:r>
      <w:r>
        <w:rPr>
          <w:color w:val="231F20"/>
          <w:spacing w:val="80"/>
        </w:rPr>
        <w:t xml:space="preserve"> </w:t>
      </w:r>
      <w:r>
        <w:rPr>
          <w:color w:val="231F20"/>
        </w:rPr>
        <w:t>Holt, 2017).</w:t>
      </w:r>
    </w:p>
    <w:p w14:paraId="74A3FA8E" w14:textId="77777777" w:rsidR="00AE0598" w:rsidRDefault="0069255A">
      <w:pPr>
        <w:pStyle w:val="Corpodetexto"/>
        <w:spacing w:before="28" w:line="232" w:lineRule="auto"/>
        <w:ind w:left="110" w:right="127" w:firstLine="320"/>
        <w:jc w:val="both"/>
      </w:pPr>
      <w:r>
        <w:rPr>
          <w:color w:val="231F20"/>
        </w:rPr>
        <w:t>Page</w:t>
      </w:r>
      <w:r>
        <w:rPr>
          <w:color w:val="231F20"/>
          <w:spacing w:val="-12"/>
        </w:rPr>
        <w:t xml:space="preserve"> </w:t>
      </w:r>
      <w:r>
        <w:rPr>
          <w:color w:val="231F20"/>
        </w:rPr>
        <w:t>and</w:t>
      </w:r>
      <w:r>
        <w:rPr>
          <w:color w:val="231F20"/>
          <w:spacing w:val="-11"/>
        </w:rPr>
        <w:t xml:space="preserve"> </w:t>
      </w:r>
      <w:r>
        <w:rPr>
          <w:color w:val="231F20"/>
        </w:rPr>
        <w:t>Hall</w:t>
      </w:r>
      <w:r>
        <w:rPr>
          <w:color w:val="231F20"/>
          <w:spacing w:val="-12"/>
        </w:rPr>
        <w:t xml:space="preserve"> </w:t>
      </w:r>
      <w:r>
        <w:rPr>
          <w:color w:val="231F20"/>
        </w:rPr>
        <w:t>(2003:</w:t>
      </w:r>
      <w:r>
        <w:rPr>
          <w:color w:val="231F20"/>
          <w:spacing w:val="-11"/>
        </w:rPr>
        <w:t xml:space="preserve"> </w:t>
      </w:r>
      <w:r>
        <w:rPr>
          <w:color w:val="231F20"/>
        </w:rPr>
        <w:t>309)</w:t>
      </w:r>
      <w:r>
        <w:rPr>
          <w:color w:val="231F20"/>
          <w:spacing w:val="-12"/>
        </w:rPr>
        <w:t xml:space="preserve"> </w:t>
      </w:r>
      <w:r>
        <w:rPr>
          <w:color w:val="231F20"/>
        </w:rPr>
        <w:t>highlight</w:t>
      </w:r>
      <w:r>
        <w:rPr>
          <w:color w:val="231F20"/>
          <w:spacing w:val="-11"/>
        </w:rPr>
        <w:t xml:space="preserve"> </w:t>
      </w:r>
      <w:r>
        <w:rPr>
          <w:color w:val="231F20"/>
        </w:rPr>
        <w:t>the</w:t>
      </w:r>
      <w:r>
        <w:rPr>
          <w:color w:val="231F20"/>
          <w:spacing w:val="-12"/>
        </w:rPr>
        <w:t xml:space="preserve"> </w:t>
      </w:r>
      <w:r>
        <w:rPr>
          <w:color w:val="231F20"/>
        </w:rPr>
        <w:t>need</w:t>
      </w:r>
      <w:r>
        <w:rPr>
          <w:color w:val="231F20"/>
          <w:spacing w:val="-11"/>
        </w:rPr>
        <w:t xml:space="preserve"> </w:t>
      </w:r>
      <w:r>
        <w:rPr>
          <w:color w:val="231F20"/>
        </w:rPr>
        <w:t>to</w:t>
      </w:r>
      <w:r>
        <w:rPr>
          <w:color w:val="231F20"/>
          <w:spacing w:val="-12"/>
        </w:rPr>
        <w:t xml:space="preserve"> </w:t>
      </w:r>
      <w:r>
        <w:rPr>
          <w:color w:val="231F20"/>
        </w:rPr>
        <w:t>commodify</w:t>
      </w:r>
      <w:r>
        <w:rPr>
          <w:color w:val="231F20"/>
          <w:spacing w:val="-11"/>
        </w:rPr>
        <w:t xml:space="preserve"> </w:t>
      </w:r>
      <w:r>
        <w:rPr>
          <w:color w:val="231F20"/>
        </w:rPr>
        <w:t>par</w:t>
      </w:r>
      <w:r>
        <w:rPr>
          <w:color w:val="231F20"/>
        </w:rPr>
        <w:t>ticular aspects</w:t>
      </w:r>
      <w:r>
        <w:rPr>
          <w:color w:val="231F20"/>
          <w:spacing w:val="-9"/>
        </w:rPr>
        <w:t xml:space="preserve"> </w:t>
      </w:r>
      <w:r>
        <w:rPr>
          <w:color w:val="231F20"/>
        </w:rPr>
        <w:t>of place</w:t>
      </w:r>
      <w:r>
        <w:rPr>
          <w:color w:val="231F20"/>
          <w:spacing w:val="-9"/>
        </w:rPr>
        <w:t xml:space="preserve"> </w:t>
      </w:r>
      <w:r>
        <w:rPr>
          <w:color w:val="231F20"/>
        </w:rPr>
        <w:t>in</w:t>
      </w:r>
      <w:r>
        <w:rPr>
          <w:color w:val="231F20"/>
          <w:spacing w:val="-9"/>
        </w:rPr>
        <w:t xml:space="preserve"> </w:t>
      </w:r>
      <w:r>
        <w:rPr>
          <w:color w:val="231F20"/>
        </w:rPr>
        <w:t>the</w:t>
      </w:r>
      <w:r>
        <w:rPr>
          <w:color w:val="231F20"/>
          <w:spacing w:val="-9"/>
        </w:rPr>
        <w:t xml:space="preserve"> </w:t>
      </w:r>
      <w:r>
        <w:rPr>
          <w:color w:val="231F20"/>
        </w:rPr>
        <w:t>process</w:t>
      </w:r>
      <w:r>
        <w:rPr>
          <w:color w:val="231F20"/>
          <w:spacing w:val="-9"/>
        </w:rPr>
        <w:t xml:space="preserve"> </w:t>
      </w:r>
      <w:r>
        <w:rPr>
          <w:color w:val="231F20"/>
        </w:rPr>
        <w:t>of place</w:t>
      </w:r>
      <w:r>
        <w:rPr>
          <w:color w:val="231F20"/>
          <w:spacing w:val="-9"/>
        </w:rPr>
        <w:t xml:space="preserve"> </w:t>
      </w:r>
      <w:r>
        <w:rPr>
          <w:color w:val="231F20"/>
        </w:rPr>
        <w:t>branding.</w:t>
      </w:r>
      <w:r>
        <w:rPr>
          <w:color w:val="231F20"/>
          <w:spacing w:val="-9"/>
        </w:rPr>
        <w:t xml:space="preserve"> </w:t>
      </w:r>
      <w:r>
        <w:rPr>
          <w:color w:val="231F20"/>
        </w:rPr>
        <w:t>‘In</w:t>
      </w:r>
      <w:r>
        <w:rPr>
          <w:color w:val="231F20"/>
          <w:spacing w:val="-9"/>
        </w:rPr>
        <w:t xml:space="preserve"> </w:t>
      </w:r>
      <w:r>
        <w:rPr>
          <w:color w:val="231F20"/>
        </w:rPr>
        <w:t>the</w:t>
      </w:r>
      <w:r>
        <w:rPr>
          <w:color w:val="231F20"/>
          <w:spacing w:val="-9"/>
        </w:rPr>
        <w:t xml:space="preserve"> </w:t>
      </w:r>
      <w:r>
        <w:rPr>
          <w:color w:val="231F20"/>
        </w:rPr>
        <w:t>case</w:t>
      </w:r>
      <w:r>
        <w:rPr>
          <w:color w:val="231F20"/>
          <w:spacing w:val="-9"/>
        </w:rPr>
        <w:t xml:space="preserve"> </w:t>
      </w:r>
      <w:r>
        <w:rPr>
          <w:color w:val="231F20"/>
        </w:rPr>
        <w:t>of urban</w:t>
      </w:r>
      <w:r>
        <w:rPr>
          <w:color w:val="231F20"/>
          <w:spacing w:val="-9"/>
        </w:rPr>
        <w:t xml:space="preserve"> </w:t>
      </w:r>
      <w:r>
        <w:rPr>
          <w:color w:val="231F20"/>
        </w:rPr>
        <w:t xml:space="preserve">[or </w:t>
      </w:r>
      <w:r>
        <w:rPr>
          <w:color w:val="231F20"/>
          <w:spacing w:val="-2"/>
        </w:rPr>
        <w:t>regional]</w:t>
      </w:r>
      <w:r>
        <w:rPr>
          <w:color w:val="231F20"/>
          <w:spacing w:val="-5"/>
        </w:rPr>
        <w:t xml:space="preserve"> </w:t>
      </w:r>
      <w:r>
        <w:rPr>
          <w:color w:val="231F20"/>
          <w:spacing w:val="-2"/>
        </w:rPr>
        <w:t>re-imaging,</w:t>
      </w:r>
      <w:r>
        <w:rPr>
          <w:color w:val="231F20"/>
          <w:spacing w:val="-5"/>
        </w:rPr>
        <w:t xml:space="preserve"> </w:t>
      </w:r>
      <w:r>
        <w:rPr>
          <w:color w:val="231F20"/>
          <w:spacing w:val="-2"/>
        </w:rPr>
        <w:t>marketing</w:t>
      </w:r>
      <w:r>
        <w:rPr>
          <w:color w:val="231F20"/>
          <w:spacing w:val="-5"/>
        </w:rPr>
        <w:t xml:space="preserve"> </w:t>
      </w:r>
      <w:r>
        <w:rPr>
          <w:color w:val="231F20"/>
          <w:spacing w:val="-2"/>
        </w:rPr>
        <w:t>practices,</w:t>
      </w:r>
      <w:r>
        <w:rPr>
          <w:color w:val="231F20"/>
          <w:spacing w:val="-5"/>
        </w:rPr>
        <w:t xml:space="preserve"> </w:t>
      </w:r>
      <w:r>
        <w:rPr>
          <w:color w:val="231F20"/>
          <w:spacing w:val="-2"/>
        </w:rPr>
        <w:t>such</w:t>
      </w:r>
      <w:r>
        <w:rPr>
          <w:color w:val="231F20"/>
          <w:spacing w:val="-5"/>
        </w:rPr>
        <w:t xml:space="preserve"> </w:t>
      </w:r>
      <w:r>
        <w:rPr>
          <w:color w:val="231F20"/>
          <w:spacing w:val="-2"/>
        </w:rPr>
        <w:t>as</w:t>
      </w:r>
      <w:r>
        <w:rPr>
          <w:color w:val="231F20"/>
          <w:spacing w:val="-5"/>
        </w:rPr>
        <w:t xml:space="preserve"> </w:t>
      </w:r>
      <w:r>
        <w:rPr>
          <w:color w:val="231F20"/>
          <w:spacing w:val="-2"/>
        </w:rPr>
        <w:t>branding,</w:t>
      </w:r>
      <w:r>
        <w:rPr>
          <w:color w:val="231F20"/>
          <w:spacing w:val="-5"/>
        </w:rPr>
        <w:t xml:space="preserve"> </w:t>
      </w:r>
      <w:r>
        <w:rPr>
          <w:color w:val="231F20"/>
          <w:spacing w:val="-2"/>
        </w:rPr>
        <w:t>rely</w:t>
      </w:r>
      <w:r>
        <w:rPr>
          <w:color w:val="231F20"/>
          <w:spacing w:val="-5"/>
        </w:rPr>
        <w:t xml:space="preserve"> </w:t>
      </w:r>
      <w:r>
        <w:rPr>
          <w:color w:val="231F20"/>
          <w:spacing w:val="-2"/>
        </w:rPr>
        <w:t>upon</w:t>
      </w:r>
      <w:r>
        <w:rPr>
          <w:color w:val="231F20"/>
          <w:spacing w:val="-5"/>
        </w:rPr>
        <w:t xml:space="preserve"> </w:t>
      </w:r>
      <w:r>
        <w:rPr>
          <w:color w:val="231F20"/>
          <w:spacing w:val="-2"/>
        </w:rPr>
        <w:t xml:space="preserve">the </w:t>
      </w:r>
      <w:r>
        <w:rPr>
          <w:color w:val="231F20"/>
        </w:rPr>
        <w:t>commodification</w:t>
      </w:r>
      <w:r>
        <w:rPr>
          <w:color w:val="231F20"/>
          <w:spacing w:val="-9"/>
        </w:rPr>
        <w:t xml:space="preserve"> </w:t>
      </w:r>
      <w:r>
        <w:rPr>
          <w:color w:val="231F20"/>
        </w:rPr>
        <w:t>of</w:t>
      </w:r>
      <w:r>
        <w:rPr>
          <w:color w:val="231F20"/>
          <w:spacing w:val="-1"/>
        </w:rPr>
        <w:t xml:space="preserve"> </w:t>
      </w:r>
      <w:r>
        <w:rPr>
          <w:color w:val="231F20"/>
        </w:rPr>
        <w:t>particular</w:t>
      </w:r>
      <w:r>
        <w:rPr>
          <w:color w:val="231F20"/>
          <w:spacing w:val="-9"/>
        </w:rPr>
        <w:t xml:space="preserve"> </w:t>
      </w:r>
      <w:r>
        <w:rPr>
          <w:color w:val="231F20"/>
        </w:rPr>
        <w:t>aspects</w:t>
      </w:r>
      <w:r>
        <w:rPr>
          <w:color w:val="231F20"/>
          <w:spacing w:val="-9"/>
        </w:rPr>
        <w:t xml:space="preserve"> </w:t>
      </w:r>
      <w:r>
        <w:rPr>
          <w:color w:val="231F20"/>
        </w:rPr>
        <w:t>of</w:t>
      </w:r>
      <w:r>
        <w:rPr>
          <w:color w:val="231F20"/>
          <w:spacing w:val="-1"/>
        </w:rPr>
        <w:t xml:space="preserve"> </w:t>
      </w:r>
      <w:r>
        <w:rPr>
          <w:color w:val="231F20"/>
        </w:rPr>
        <w:t>place,</w:t>
      </w:r>
      <w:r>
        <w:rPr>
          <w:color w:val="231F20"/>
          <w:spacing w:val="-9"/>
        </w:rPr>
        <w:t xml:space="preserve"> </w:t>
      </w:r>
      <w:r>
        <w:rPr>
          <w:color w:val="231F20"/>
        </w:rPr>
        <w:t>exploiting,</w:t>
      </w:r>
      <w:r>
        <w:rPr>
          <w:color w:val="231F20"/>
          <w:spacing w:val="-9"/>
        </w:rPr>
        <w:t xml:space="preserve"> </w:t>
      </w:r>
      <w:r>
        <w:rPr>
          <w:color w:val="231F20"/>
        </w:rPr>
        <w:t>reinventing</w:t>
      </w:r>
      <w:r>
        <w:rPr>
          <w:color w:val="231F20"/>
          <w:spacing w:val="-9"/>
        </w:rPr>
        <w:t xml:space="preserve"> </w:t>
      </w:r>
      <w:r>
        <w:rPr>
          <w:color w:val="231F20"/>
        </w:rPr>
        <w:t xml:space="preserve">or </w:t>
      </w:r>
      <w:r>
        <w:rPr>
          <w:color w:val="231F20"/>
          <w:w w:val="95"/>
        </w:rPr>
        <w:t xml:space="preserve">creating place images in order to sell the place as a destination product for </w:t>
      </w:r>
      <w:r>
        <w:rPr>
          <w:color w:val="231F20"/>
          <w:spacing w:val="-2"/>
          <w:w w:val="95"/>
        </w:rPr>
        <w:t>tourists</w:t>
      </w:r>
      <w:r>
        <w:rPr>
          <w:color w:val="231F20"/>
          <w:spacing w:val="-8"/>
          <w:w w:val="95"/>
        </w:rPr>
        <w:t xml:space="preserve"> </w:t>
      </w:r>
      <w:r>
        <w:rPr>
          <w:color w:val="231F20"/>
          <w:spacing w:val="-2"/>
          <w:w w:val="95"/>
        </w:rPr>
        <w:t>or</w:t>
      </w:r>
      <w:r>
        <w:rPr>
          <w:color w:val="231F20"/>
          <w:spacing w:val="-7"/>
          <w:w w:val="95"/>
        </w:rPr>
        <w:t xml:space="preserve"> </w:t>
      </w:r>
      <w:r>
        <w:rPr>
          <w:color w:val="231F20"/>
          <w:spacing w:val="-2"/>
          <w:w w:val="95"/>
        </w:rPr>
        <w:t>investment’.</w:t>
      </w:r>
      <w:r>
        <w:rPr>
          <w:color w:val="231F20"/>
          <w:spacing w:val="-7"/>
          <w:w w:val="95"/>
        </w:rPr>
        <w:t xml:space="preserve"> </w:t>
      </w:r>
      <w:r>
        <w:rPr>
          <w:color w:val="231F20"/>
          <w:spacing w:val="-2"/>
          <w:w w:val="95"/>
        </w:rPr>
        <w:t>Sport</w:t>
      </w:r>
      <w:r>
        <w:rPr>
          <w:color w:val="231F20"/>
          <w:spacing w:val="-7"/>
          <w:w w:val="95"/>
        </w:rPr>
        <w:t xml:space="preserve"> </w:t>
      </w:r>
      <w:r>
        <w:rPr>
          <w:color w:val="231F20"/>
          <w:spacing w:val="-2"/>
          <w:w w:val="95"/>
        </w:rPr>
        <w:t>is</w:t>
      </w:r>
      <w:r>
        <w:rPr>
          <w:color w:val="231F20"/>
          <w:spacing w:val="-8"/>
          <w:w w:val="95"/>
        </w:rPr>
        <w:t xml:space="preserve"> </w:t>
      </w:r>
      <w:r>
        <w:rPr>
          <w:color w:val="231F20"/>
          <w:spacing w:val="-2"/>
          <w:w w:val="95"/>
        </w:rPr>
        <w:t>one</w:t>
      </w:r>
      <w:r>
        <w:rPr>
          <w:color w:val="231F20"/>
          <w:spacing w:val="-7"/>
          <w:w w:val="95"/>
        </w:rPr>
        <w:t xml:space="preserve"> </w:t>
      </w:r>
      <w:r>
        <w:rPr>
          <w:color w:val="231F20"/>
          <w:spacing w:val="-2"/>
          <w:w w:val="95"/>
        </w:rPr>
        <w:t>of</w:t>
      </w:r>
      <w:r>
        <w:rPr>
          <w:color w:val="231F20"/>
          <w:spacing w:val="8"/>
        </w:rPr>
        <w:t xml:space="preserve"> </w:t>
      </w:r>
      <w:r>
        <w:rPr>
          <w:color w:val="231F20"/>
          <w:spacing w:val="-2"/>
          <w:w w:val="95"/>
        </w:rPr>
        <w:t>the</w:t>
      </w:r>
      <w:r>
        <w:rPr>
          <w:color w:val="231F20"/>
          <w:spacing w:val="-8"/>
          <w:w w:val="95"/>
        </w:rPr>
        <w:t xml:space="preserve"> </w:t>
      </w:r>
      <w:r>
        <w:rPr>
          <w:color w:val="231F20"/>
          <w:spacing w:val="-2"/>
          <w:w w:val="95"/>
        </w:rPr>
        <w:t>most</w:t>
      </w:r>
      <w:r>
        <w:rPr>
          <w:color w:val="231F20"/>
          <w:spacing w:val="-7"/>
          <w:w w:val="95"/>
        </w:rPr>
        <w:t xml:space="preserve"> </w:t>
      </w:r>
      <w:r>
        <w:rPr>
          <w:color w:val="231F20"/>
          <w:spacing w:val="-2"/>
          <w:w w:val="95"/>
        </w:rPr>
        <w:t>powerful</w:t>
      </w:r>
      <w:r>
        <w:rPr>
          <w:color w:val="231F20"/>
          <w:spacing w:val="-7"/>
          <w:w w:val="95"/>
        </w:rPr>
        <w:t xml:space="preserve"> </w:t>
      </w:r>
      <w:r>
        <w:rPr>
          <w:color w:val="231F20"/>
          <w:spacing w:val="-2"/>
          <w:w w:val="95"/>
        </w:rPr>
        <w:t>ways</w:t>
      </w:r>
      <w:r>
        <w:rPr>
          <w:color w:val="231F20"/>
          <w:spacing w:val="-7"/>
          <w:w w:val="95"/>
        </w:rPr>
        <w:t xml:space="preserve"> </w:t>
      </w:r>
      <w:r>
        <w:rPr>
          <w:color w:val="231F20"/>
          <w:spacing w:val="-2"/>
          <w:w w:val="95"/>
        </w:rPr>
        <w:t>of</w:t>
      </w:r>
      <w:r>
        <w:rPr>
          <w:color w:val="231F20"/>
          <w:spacing w:val="9"/>
        </w:rPr>
        <w:t xml:space="preserve"> </w:t>
      </w:r>
      <w:r>
        <w:rPr>
          <w:color w:val="231F20"/>
          <w:spacing w:val="-2"/>
          <w:w w:val="95"/>
        </w:rPr>
        <w:t xml:space="preserve">establishing </w:t>
      </w:r>
      <w:r>
        <w:rPr>
          <w:color w:val="231F20"/>
        </w:rPr>
        <w:t>a</w:t>
      </w:r>
      <w:r>
        <w:rPr>
          <w:color w:val="231F20"/>
          <w:spacing w:val="-12"/>
        </w:rPr>
        <w:t xml:space="preserve"> </w:t>
      </w:r>
      <w:r>
        <w:rPr>
          <w:color w:val="231F20"/>
        </w:rPr>
        <w:t>place</w:t>
      </w:r>
      <w:r>
        <w:rPr>
          <w:color w:val="231F20"/>
          <w:spacing w:val="-12"/>
        </w:rPr>
        <w:t xml:space="preserve"> </w:t>
      </w:r>
      <w:r>
        <w:rPr>
          <w:color w:val="231F20"/>
        </w:rPr>
        <w:t>brand</w:t>
      </w:r>
      <w:r>
        <w:rPr>
          <w:color w:val="231F20"/>
          <w:spacing w:val="-11"/>
        </w:rPr>
        <w:t xml:space="preserve"> </w:t>
      </w:r>
      <w:r>
        <w:rPr>
          <w:color w:val="231F20"/>
        </w:rPr>
        <w:t>given</w:t>
      </w:r>
      <w:r>
        <w:rPr>
          <w:color w:val="231F20"/>
          <w:spacing w:val="-12"/>
        </w:rPr>
        <w:t xml:space="preserve"> </w:t>
      </w:r>
      <w:r>
        <w:rPr>
          <w:color w:val="231F20"/>
        </w:rPr>
        <w:t>its</w:t>
      </w:r>
      <w:r>
        <w:rPr>
          <w:color w:val="231F20"/>
          <w:spacing w:val="-11"/>
        </w:rPr>
        <w:t xml:space="preserve"> </w:t>
      </w:r>
      <w:r>
        <w:rPr>
          <w:color w:val="231F20"/>
        </w:rPr>
        <w:t>cultural</w:t>
      </w:r>
      <w:r>
        <w:rPr>
          <w:color w:val="231F20"/>
          <w:spacing w:val="-12"/>
        </w:rPr>
        <w:t xml:space="preserve"> </w:t>
      </w:r>
      <w:r>
        <w:rPr>
          <w:color w:val="231F20"/>
        </w:rPr>
        <w:t>power.</w:t>
      </w:r>
      <w:r>
        <w:rPr>
          <w:color w:val="231F20"/>
          <w:spacing w:val="-11"/>
        </w:rPr>
        <w:t xml:space="preserve"> </w:t>
      </w:r>
      <w:r>
        <w:rPr>
          <w:color w:val="231F20"/>
        </w:rPr>
        <w:t>By</w:t>
      </w:r>
      <w:r>
        <w:rPr>
          <w:color w:val="231F20"/>
          <w:spacing w:val="-12"/>
        </w:rPr>
        <w:t xml:space="preserve"> </w:t>
      </w:r>
      <w:r>
        <w:rPr>
          <w:color w:val="231F20"/>
        </w:rPr>
        <w:t>harnessing</w:t>
      </w:r>
      <w:r>
        <w:rPr>
          <w:color w:val="231F20"/>
          <w:spacing w:val="-12"/>
        </w:rPr>
        <w:t xml:space="preserve"> </w:t>
      </w:r>
      <w:r>
        <w:rPr>
          <w:color w:val="231F20"/>
        </w:rPr>
        <w:t>these</w:t>
      </w:r>
      <w:r>
        <w:rPr>
          <w:color w:val="231F20"/>
          <w:spacing w:val="-11"/>
        </w:rPr>
        <w:t xml:space="preserve"> </w:t>
      </w:r>
      <w:r>
        <w:rPr>
          <w:color w:val="231F20"/>
        </w:rPr>
        <w:t>dimensions</w:t>
      </w:r>
      <w:r>
        <w:rPr>
          <w:color w:val="231F20"/>
          <w:spacing w:val="-12"/>
        </w:rPr>
        <w:t xml:space="preserve"> </w:t>
      </w:r>
      <w:r>
        <w:rPr>
          <w:color w:val="231F20"/>
        </w:rPr>
        <w:t xml:space="preserve">of </w:t>
      </w:r>
      <w:r>
        <w:rPr>
          <w:color w:val="231F20"/>
          <w:w w:val="95"/>
        </w:rPr>
        <w:t>sport, place marketers are able to commodify ‘the ways of</w:t>
      </w:r>
      <w:r>
        <w:rPr>
          <w:color w:val="231F20"/>
        </w:rPr>
        <w:t xml:space="preserve"> </w:t>
      </w:r>
      <w:r>
        <w:rPr>
          <w:color w:val="231F20"/>
          <w:w w:val="95"/>
        </w:rPr>
        <w:t>living’ in a place. In</w:t>
      </w:r>
      <w:r>
        <w:rPr>
          <w:color w:val="231F20"/>
          <w:spacing w:val="14"/>
        </w:rPr>
        <w:t xml:space="preserve"> </w:t>
      </w:r>
      <w:r>
        <w:rPr>
          <w:color w:val="231F20"/>
          <w:w w:val="95"/>
        </w:rPr>
        <w:t>a</w:t>
      </w:r>
      <w:r>
        <w:rPr>
          <w:color w:val="231F20"/>
          <w:spacing w:val="15"/>
        </w:rPr>
        <w:t xml:space="preserve"> </w:t>
      </w:r>
      <w:r>
        <w:rPr>
          <w:color w:val="231F20"/>
          <w:w w:val="95"/>
        </w:rPr>
        <w:t>sport</w:t>
      </w:r>
      <w:r>
        <w:rPr>
          <w:color w:val="231F20"/>
          <w:spacing w:val="15"/>
        </w:rPr>
        <w:t xml:space="preserve"> </w:t>
      </w:r>
      <w:r>
        <w:rPr>
          <w:color w:val="231F20"/>
          <w:w w:val="95"/>
        </w:rPr>
        <w:t>context,</w:t>
      </w:r>
      <w:r>
        <w:rPr>
          <w:color w:val="231F20"/>
          <w:spacing w:val="15"/>
        </w:rPr>
        <w:t xml:space="preserve"> </w:t>
      </w:r>
      <w:r>
        <w:rPr>
          <w:color w:val="231F20"/>
          <w:w w:val="95"/>
        </w:rPr>
        <w:t>this</w:t>
      </w:r>
      <w:r>
        <w:rPr>
          <w:color w:val="231F20"/>
          <w:spacing w:val="15"/>
        </w:rPr>
        <w:t xml:space="preserve"> </w:t>
      </w:r>
      <w:r>
        <w:rPr>
          <w:color w:val="231F20"/>
          <w:w w:val="95"/>
        </w:rPr>
        <w:t>can</w:t>
      </w:r>
      <w:r>
        <w:rPr>
          <w:color w:val="231F20"/>
          <w:spacing w:val="15"/>
        </w:rPr>
        <w:t xml:space="preserve"> </w:t>
      </w:r>
      <w:r>
        <w:rPr>
          <w:color w:val="231F20"/>
          <w:w w:val="95"/>
        </w:rPr>
        <w:t>be</w:t>
      </w:r>
      <w:r>
        <w:rPr>
          <w:color w:val="231F20"/>
          <w:spacing w:val="15"/>
        </w:rPr>
        <w:t xml:space="preserve"> </w:t>
      </w:r>
      <w:r>
        <w:rPr>
          <w:color w:val="231F20"/>
          <w:w w:val="95"/>
        </w:rPr>
        <w:t>accomplished</w:t>
      </w:r>
      <w:r>
        <w:rPr>
          <w:color w:val="231F20"/>
          <w:spacing w:val="15"/>
        </w:rPr>
        <w:t xml:space="preserve"> </w:t>
      </w:r>
      <w:r>
        <w:rPr>
          <w:color w:val="231F20"/>
          <w:w w:val="95"/>
        </w:rPr>
        <w:t>with</w:t>
      </w:r>
      <w:r>
        <w:rPr>
          <w:color w:val="231F20"/>
          <w:spacing w:val="15"/>
        </w:rPr>
        <w:t xml:space="preserve"> </w:t>
      </w:r>
      <w:r>
        <w:rPr>
          <w:color w:val="231F20"/>
          <w:w w:val="95"/>
        </w:rPr>
        <w:t>strategies</w:t>
      </w:r>
      <w:r>
        <w:rPr>
          <w:color w:val="231F20"/>
          <w:spacing w:val="14"/>
        </w:rPr>
        <w:t xml:space="preserve"> </w:t>
      </w:r>
      <w:r>
        <w:rPr>
          <w:color w:val="231F20"/>
          <w:w w:val="95"/>
        </w:rPr>
        <w:t>related</w:t>
      </w:r>
      <w:r>
        <w:rPr>
          <w:color w:val="231F20"/>
          <w:spacing w:val="15"/>
        </w:rPr>
        <w:t xml:space="preserve"> </w:t>
      </w:r>
      <w:r>
        <w:rPr>
          <w:color w:val="231F20"/>
          <w:w w:val="95"/>
        </w:rPr>
        <w:t>to:</w:t>
      </w:r>
      <w:r>
        <w:rPr>
          <w:color w:val="231F20"/>
          <w:spacing w:val="15"/>
        </w:rPr>
        <w:t xml:space="preserve"> </w:t>
      </w:r>
      <w:r>
        <w:rPr>
          <w:color w:val="231F20"/>
          <w:spacing w:val="-5"/>
          <w:w w:val="95"/>
        </w:rPr>
        <w:t>(1)</w:t>
      </w:r>
    </w:p>
    <w:p w14:paraId="51D01165" w14:textId="77777777" w:rsidR="00AE0598" w:rsidRDefault="00AE0598">
      <w:pPr>
        <w:spacing w:line="232" w:lineRule="auto"/>
        <w:jc w:val="both"/>
        <w:sectPr w:rsidR="00AE0598">
          <w:pgSz w:w="8850" w:h="13270"/>
          <w:pgMar w:top="720" w:right="1060" w:bottom="280" w:left="1080" w:header="720" w:footer="720" w:gutter="0"/>
          <w:cols w:space="720"/>
        </w:sectPr>
      </w:pPr>
    </w:p>
    <w:p w14:paraId="36383A9D" w14:textId="77777777" w:rsidR="00AE0598" w:rsidRDefault="0069255A">
      <w:pPr>
        <w:spacing w:before="87"/>
        <w:ind w:left="110" w:right="128"/>
        <w:jc w:val="right"/>
        <w:rPr>
          <w:rFonts w:ascii="Trebuchet MS"/>
          <w:sz w:val="14"/>
        </w:rPr>
      </w:pPr>
      <w:r>
        <w:rPr>
          <w:rFonts w:ascii="Trebuchet MS"/>
          <w:color w:val="231F20"/>
          <w:w w:val="105"/>
          <w:sz w:val="14"/>
        </w:rPr>
        <w:lastRenderedPageBreak/>
        <w:t>Place,</w:t>
      </w:r>
      <w:r>
        <w:rPr>
          <w:rFonts w:ascii="Trebuchet MS"/>
          <w:color w:val="231F20"/>
          <w:spacing w:val="-12"/>
          <w:w w:val="105"/>
          <w:sz w:val="14"/>
        </w:rPr>
        <w:t xml:space="preserve"> </w:t>
      </w:r>
      <w:r>
        <w:rPr>
          <w:rFonts w:ascii="Trebuchet MS"/>
          <w:color w:val="231F20"/>
          <w:w w:val="105"/>
          <w:sz w:val="14"/>
        </w:rPr>
        <w:t>Sport</w:t>
      </w:r>
      <w:r>
        <w:rPr>
          <w:rFonts w:ascii="Trebuchet MS"/>
          <w:color w:val="231F20"/>
          <w:spacing w:val="-11"/>
          <w:w w:val="105"/>
          <w:sz w:val="14"/>
        </w:rPr>
        <w:t xml:space="preserve"> </w:t>
      </w:r>
      <w:r>
        <w:rPr>
          <w:rFonts w:ascii="Trebuchet MS"/>
          <w:color w:val="231F20"/>
          <w:w w:val="105"/>
          <w:sz w:val="14"/>
        </w:rPr>
        <w:t>and</w:t>
      </w:r>
      <w:r>
        <w:rPr>
          <w:rFonts w:ascii="Trebuchet MS"/>
          <w:color w:val="231F20"/>
          <w:spacing w:val="-11"/>
          <w:w w:val="105"/>
          <w:sz w:val="14"/>
        </w:rPr>
        <w:t xml:space="preserve"> </w:t>
      </w:r>
      <w:r>
        <w:rPr>
          <w:rFonts w:ascii="Trebuchet MS"/>
          <w:color w:val="231F20"/>
          <w:w w:val="105"/>
          <w:sz w:val="14"/>
        </w:rPr>
        <w:t>Culture</w:t>
      </w:r>
      <w:r>
        <w:rPr>
          <w:rFonts w:ascii="Trebuchet MS"/>
          <w:color w:val="231F20"/>
          <w:spacing w:val="71"/>
          <w:w w:val="105"/>
          <w:sz w:val="14"/>
        </w:rPr>
        <w:t xml:space="preserve"> </w:t>
      </w:r>
      <w:r>
        <w:rPr>
          <w:rFonts w:ascii="Trebuchet MS"/>
          <w:color w:val="231F20"/>
          <w:spacing w:val="-5"/>
          <w:w w:val="105"/>
          <w:sz w:val="14"/>
        </w:rPr>
        <w:t>129</w:t>
      </w:r>
    </w:p>
    <w:p w14:paraId="262D7A98" w14:textId="77777777" w:rsidR="00AE0598" w:rsidRDefault="00AE0598">
      <w:pPr>
        <w:pStyle w:val="Corpodetexto"/>
        <w:rPr>
          <w:rFonts w:ascii="Trebuchet MS"/>
          <w:sz w:val="16"/>
        </w:rPr>
      </w:pPr>
    </w:p>
    <w:p w14:paraId="39C4DFBA" w14:textId="77777777" w:rsidR="00AE0598" w:rsidRDefault="0069255A">
      <w:pPr>
        <w:pStyle w:val="Corpodetexto"/>
        <w:spacing w:before="118" w:line="232" w:lineRule="auto"/>
        <w:ind w:left="110" w:right="127"/>
        <w:jc w:val="both"/>
      </w:pPr>
      <w:r>
        <w:rPr>
          <w:color w:val="231F20"/>
        </w:rPr>
        <w:t>sport</w:t>
      </w:r>
      <w:r>
        <w:rPr>
          <w:color w:val="231F20"/>
          <w:spacing w:val="-4"/>
        </w:rPr>
        <w:t xml:space="preserve"> </w:t>
      </w:r>
      <w:r>
        <w:rPr>
          <w:color w:val="231F20"/>
        </w:rPr>
        <w:t>facilities,</w:t>
      </w:r>
      <w:r>
        <w:rPr>
          <w:color w:val="231F20"/>
          <w:spacing w:val="-4"/>
        </w:rPr>
        <w:t xml:space="preserve"> </w:t>
      </w:r>
      <w:r>
        <w:rPr>
          <w:color w:val="231F20"/>
        </w:rPr>
        <w:t>(2)</w:t>
      </w:r>
      <w:r>
        <w:rPr>
          <w:color w:val="231F20"/>
          <w:spacing w:val="-4"/>
        </w:rPr>
        <w:t xml:space="preserve"> </w:t>
      </w:r>
      <w:r>
        <w:rPr>
          <w:color w:val="231F20"/>
        </w:rPr>
        <w:t>sport</w:t>
      </w:r>
      <w:r>
        <w:rPr>
          <w:color w:val="231F20"/>
          <w:spacing w:val="-4"/>
        </w:rPr>
        <w:t xml:space="preserve"> </w:t>
      </w:r>
      <w:r>
        <w:rPr>
          <w:color w:val="231F20"/>
        </w:rPr>
        <w:t>events</w:t>
      </w:r>
      <w:r>
        <w:rPr>
          <w:color w:val="231F20"/>
          <w:spacing w:val="-4"/>
        </w:rPr>
        <w:t xml:space="preserve"> </w:t>
      </w:r>
      <w:r>
        <w:rPr>
          <w:color w:val="231F20"/>
        </w:rPr>
        <w:t>and</w:t>
      </w:r>
      <w:r>
        <w:rPr>
          <w:color w:val="231F20"/>
          <w:spacing w:val="-4"/>
        </w:rPr>
        <w:t xml:space="preserve"> </w:t>
      </w:r>
      <w:r>
        <w:rPr>
          <w:color w:val="231F20"/>
        </w:rPr>
        <w:t>(3)</w:t>
      </w:r>
      <w:r>
        <w:rPr>
          <w:color w:val="231F20"/>
          <w:spacing w:val="-4"/>
        </w:rPr>
        <w:t xml:space="preserve"> </w:t>
      </w:r>
      <w:r>
        <w:rPr>
          <w:color w:val="231F20"/>
        </w:rPr>
        <w:t>broad-based</w:t>
      </w:r>
      <w:r>
        <w:rPr>
          <w:color w:val="231F20"/>
          <w:spacing w:val="-4"/>
        </w:rPr>
        <w:t xml:space="preserve"> </w:t>
      </w:r>
      <w:r>
        <w:rPr>
          <w:color w:val="231F20"/>
        </w:rPr>
        <w:t>leisure</w:t>
      </w:r>
      <w:r>
        <w:rPr>
          <w:color w:val="231F20"/>
          <w:spacing w:val="-4"/>
        </w:rPr>
        <w:t xml:space="preserve"> </w:t>
      </w:r>
      <w:r>
        <w:rPr>
          <w:color w:val="231F20"/>
        </w:rPr>
        <w:t>and</w:t>
      </w:r>
      <w:r>
        <w:rPr>
          <w:color w:val="231F20"/>
          <w:spacing w:val="-4"/>
        </w:rPr>
        <w:t xml:space="preserve"> </w:t>
      </w:r>
      <w:r>
        <w:rPr>
          <w:color w:val="231F20"/>
        </w:rPr>
        <w:t>cultural opportunities within a destination (Hall, 1998).</w:t>
      </w:r>
    </w:p>
    <w:p w14:paraId="50C7B97D" w14:textId="77777777" w:rsidR="00AE0598" w:rsidRDefault="0069255A">
      <w:pPr>
        <w:pStyle w:val="Corpodetexto"/>
        <w:spacing w:before="2" w:line="232" w:lineRule="auto"/>
        <w:ind w:left="110" w:right="126" w:firstLine="320"/>
        <w:jc w:val="both"/>
      </w:pPr>
      <w:r>
        <w:rPr>
          <w:color w:val="231F20"/>
          <w:w w:val="95"/>
        </w:rPr>
        <w:t>Establishing</w:t>
      </w:r>
      <w:r>
        <w:rPr>
          <w:color w:val="231F20"/>
          <w:spacing w:val="-8"/>
          <w:w w:val="95"/>
        </w:rPr>
        <w:t xml:space="preserve"> </w:t>
      </w:r>
      <w:r>
        <w:rPr>
          <w:color w:val="231F20"/>
          <w:w w:val="95"/>
        </w:rPr>
        <w:t>a</w:t>
      </w:r>
      <w:r>
        <w:rPr>
          <w:color w:val="231F20"/>
          <w:spacing w:val="-8"/>
          <w:w w:val="95"/>
        </w:rPr>
        <w:t xml:space="preserve"> </w:t>
      </w:r>
      <w:r>
        <w:rPr>
          <w:color w:val="231F20"/>
          <w:w w:val="95"/>
        </w:rPr>
        <w:t>critical</w:t>
      </w:r>
      <w:r>
        <w:rPr>
          <w:color w:val="231F20"/>
          <w:spacing w:val="-8"/>
          <w:w w:val="95"/>
        </w:rPr>
        <w:t xml:space="preserve"> </w:t>
      </w:r>
      <w:r>
        <w:rPr>
          <w:color w:val="231F20"/>
          <w:w w:val="95"/>
        </w:rPr>
        <w:t>mass</w:t>
      </w:r>
      <w:r>
        <w:rPr>
          <w:color w:val="231F20"/>
          <w:spacing w:val="-8"/>
          <w:w w:val="95"/>
        </w:rPr>
        <w:t xml:space="preserve"> </w:t>
      </w:r>
      <w:r>
        <w:rPr>
          <w:color w:val="231F20"/>
          <w:w w:val="95"/>
        </w:rPr>
        <w:t>of</w:t>
      </w:r>
      <w:r>
        <w:rPr>
          <w:color w:val="231F20"/>
          <w:spacing w:val="-8"/>
          <w:w w:val="95"/>
        </w:rPr>
        <w:t xml:space="preserve"> </w:t>
      </w:r>
      <w:r>
        <w:rPr>
          <w:color w:val="231F20"/>
          <w:w w:val="95"/>
        </w:rPr>
        <w:t>visitor</w:t>
      </w:r>
      <w:r>
        <w:rPr>
          <w:color w:val="231F20"/>
          <w:spacing w:val="-8"/>
          <w:w w:val="95"/>
        </w:rPr>
        <w:t xml:space="preserve"> </w:t>
      </w:r>
      <w:r>
        <w:rPr>
          <w:color w:val="231F20"/>
          <w:w w:val="95"/>
        </w:rPr>
        <w:t>attractions</w:t>
      </w:r>
      <w:r>
        <w:rPr>
          <w:color w:val="231F20"/>
          <w:spacing w:val="-8"/>
          <w:w w:val="95"/>
        </w:rPr>
        <w:t xml:space="preserve"> </w:t>
      </w:r>
      <w:r>
        <w:rPr>
          <w:color w:val="231F20"/>
          <w:w w:val="95"/>
        </w:rPr>
        <w:t>and</w:t>
      </w:r>
      <w:r>
        <w:rPr>
          <w:color w:val="231F20"/>
          <w:spacing w:val="-8"/>
          <w:w w:val="95"/>
        </w:rPr>
        <w:t xml:space="preserve"> </w:t>
      </w:r>
      <w:r>
        <w:rPr>
          <w:color w:val="231F20"/>
          <w:w w:val="95"/>
        </w:rPr>
        <w:t>facilities</w:t>
      </w:r>
      <w:r>
        <w:rPr>
          <w:color w:val="231F20"/>
          <w:spacing w:val="-8"/>
          <w:w w:val="95"/>
        </w:rPr>
        <w:t xml:space="preserve"> </w:t>
      </w:r>
      <w:r>
        <w:rPr>
          <w:color w:val="231F20"/>
          <w:w w:val="95"/>
        </w:rPr>
        <w:t>has</w:t>
      </w:r>
      <w:r>
        <w:rPr>
          <w:color w:val="231F20"/>
          <w:spacing w:val="-8"/>
          <w:w w:val="95"/>
        </w:rPr>
        <w:t xml:space="preserve"> </w:t>
      </w:r>
      <w:r>
        <w:rPr>
          <w:color w:val="231F20"/>
          <w:w w:val="95"/>
        </w:rPr>
        <w:t xml:space="preserve">proven to be one of the most popular strategies for rebranding a city. Another high </w:t>
      </w:r>
      <w:r>
        <w:rPr>
          <w:color w:val="231F20"/>
        </w:rPr>
        <w:t>profile</w:t>
      </w:r>
      <w:r>
        <w:rPr>
          <w:color w:val="231F20"/>
          <w:spacing w:val="-6"/>
        </w:rPr>
        <w:t xml:space="preserve"> </w:t>
      </w:r>
      <w:r>
        <w:rPr>
          <w:color w:val="231F20"/>
        </w:rPr>
        <w:t>strategy</w:t>
      </w:r>
      <w:r>
        <w:rPr>
          <w:color w:val="231F20"/>
          <w:spacing w:val="-6"/>
        </w:rPr>
        <w:t xml:space="preserve"> </w:t>
      </w:r>
      <w:r>
        <w:rPr>
          <w:color w:val="231F20"/>
        </w:rPr>
        <w:t>fo</w:t>
      </w:r>
      <w:r>
        <w:rPr>
          <w:color w:val="231F20"/>
        </w:rPr>
        <w:t>r</w:t>
      </w:r>
      <w:r>
        <w:rPr>
          <w:color w:val="231F20"/>
          <w:spacing w:val="-6"/>
        </w:rPr>
        <w:t xml:space="preserve"> </w:t>
      </w:r>
      <w:r>
        <w:rPr>
          <w:color w:val="231F20"/>
        </w:rPr>
        <w:t>reimaging</w:t>
      </w:r>
      <w:r>
        <w:rPr>
          <w:color w:val="231F20"/>
          <w:spacing w:val="-6"/>
        </w:rPr>
        <w:t xml:space="preserve"> </w:t>
      </w:r>
      <w:r>
        <w:rPr>
          <w:color w:val="231F20"/>
        </w:rPr>
        <w:t>places</w:t>
      </w:r>
      <w:r>
        <w:rPr>
          <w:color w:val="231F20"/>
          <w:spacing w:val="-6"/>
        </w:rPr>
        <w:t xml:space="preserve"> </w:t>
      </w:r>
      <w:r>
        <w:rPr>
          <w:color w:val="231F20"/>
        </w:rPr>
        <w:t>is</w:t>
      </w:r>
      <w:r>
        <w:rPr>
          <w:color w:val="231F20"/>
          <w:spacing w:val="-6"/>
        </w:rPr>
        <w:t xml:space="preserve"> </w:t>
      </w:r>
      <w:r>
        <w:rPr>
          <w:color w:val="231F20"/>
        </w:rPr>
        <w:t>the</w:t>
      </w:r>
      <w:r>
        <w:rPr>
          <w:color w:val="231F20"/>
          <w:spacing w:val="-6"/>
        </w:rPr>
        <w:t xml:space="preserve"> </w:t>
      </w:r>
      <w:r>
        <w:rPr>
          <w:color w:val="231F20"/>
        </w:rPr>
        <w:t>hosting</w:t>
      </w:r>
      <w:r>
        <w:rPr>
          <w:color w:val="231F20"/>
          <w:spacing w:val="-6"/>
        </w:rPr>
        <w:t xml:space="preserve"> </w:t>
      </w:r>
      <w:r>
        <w:rPr>
          <w:color w:val="231F20"/>
        </w:rPr>
        <w:t>of</w:t>
      </w:r>
      <w:r>
        <w:rPr>
          <w:color w:val="231F20"/>
          <w:spacing w:val="-6"/>
        </w:rPr>
        <w:t xml:space="preserve"> </w:t>
      </w:r>
      <w:r>
        <w:rPr>
          <w:color w:val="231F20"/>
        </w:rPr>
        <w:t>events,</w:t>
      </w:r>
      <w:r>
        <w:rPr>
          <w:color w:val="231F20"/>
          <w:spacing w:val="-6"/>
        </w:rPr>
        <w:t xml:space="preserve"> </w:t>
      </w:r>
      <w:r>
        <w:rPr>
          <w:color w:val="231F20"/>
        </w:rPr>
        <w:t xml:space="preserve">particularly hallmark events (Getz &amp; Page, 2016). Mega-events such as the Summer and Winter Olympics and the FIFA World Cup require huge investments </w:t>
      </w:r>
      <w:r>
        <w:rPr>
          <w:color w:val="231F20"/>
          <w:w w:val="95"/>
        </w:rPr>
        <w:t xml:space="preserve">which are often rationalised by their potential to position or brand the host </w:t>
      </w:r>
      <w:r>
        <w:rPr>
          <w:color w:val="231F20"/>
        </w:rPr>
        <w:t>city</w:t>
      </w:r>
      <w:r>
        <w:rPr>
          <w:color w:val="231F20"/>
          <w:spacing w:val="-3"/>
        </w:rPr>
        <w:t xml:space="preserve"> </w:t>
      </w:r>
      <w:r>
        <w:rPr>
          <w:color w:val="231F20"/>
        </w:rPr>
        <w:t>as</w:t>
      </w:r>
      <w:r>
        <w:rPr>
          <w:color w:val="231F20"/>
          <w:spacing w:val="-3"/>
        </w:rPr>
        <w:t xml:space="preserve"> </w:t>
      </w:r>
      <w:r>
        <w:rPr>
          <w:color w:val="231F20"/>
        </w:rPr>
        <w:t>a</w:t>
      </w:r>
      <w:r>
        <w:rPr>
          <w:color w:val="231F20"/>
          <w:spacing w:val="-3"/>
        </w:rPr>
        <w:t xml:space="preserve"> </w:t>
      </w:r>
      <w:r>
        <w:rPr>
          <w:color w:val="231F20"/>
        </w:rPr>
        <w:t>desirable</w:t>
      </w:r>
      <w:r>
        <w:rPr>
          <w:color w:val="231F20"/>
          <w:spacing w:val="-3"/>
        </w:rPr>
        <w:t xml:space="preserve"> </w:t>
      </w:r>
      <w:r>
        <w:rPr>
          <w:color w:val="231F20"/>
        </w:rPr>
        <w:t>destinati</w:t>
      </w:r>
      <w:r>
        <w:rPr>
          <w:color w:val="231F20"/>
        </w:rPr>
        <w:t>on</w:t>
      </w:r>
      <w:r>
        <w:rPr>
          <w:color w:val="231F20"/>
          <w:spacing w:val="-3"/>
        </w:rPr>
        <w:t xml:space="preserve"> </w:t>
      </w:r>
      <w:r>
        <w:rPr>
          <w:color w:val="231F20"/>
        </w:rPr>
        <w:t>and</w:t>
      </w:r>
      <w:r>
        <w:rPr>
          <w:color w:val="231F20"/>
          <w:spacing w:val="-3"/>
        </w:rPr>
        <w:t xml:space="preserve"> </w:t>
      </w:r>
      <w:r>
        <w:rPr>
          <w:color w:val="231F20"/>
        </w:rPr>
        <w:t>place</w:t>
      </w:r>
      <w:r>
        <w:rPr>
          <w:color w:val="231F20"/>
          <w:spacing w:val="-3"/>
        </w:rPr>
        <w:t xml:space="preserve"> </w:t>
      </w:r>
      <w:r>
        <w:rPr>
          <w:color w:val="231F20"/>
        </w:rPr>
        <w:t>to</w:t>
      </w:r>
      <w:r>
        <w:rPr>
          <w:color w:val="231F20"/>
          <w:spacing w:val="-3"/>
        </w:rPr>
        <w:t xml:space="preserve"> </w:t>
      </w:r>
      <w:r>
        <w:rPr>
          <w:color w:val="231F20"/>
        </w:rPr>
        <w:t>do</w:t>
      </w:r>
      <w:r>
        <w:rPr>
          <w:color w:val="231F20"/>
          <w:spacing w:val="-3"/>
        </w:rPr>
        <w:t xml:space="preserve"> </w:t>
      </w:r>
      <w:r>
        <w:rPr>
          <w:color w:val="231F20"/>
        </w:rPr>
        <w:t>business</w:t>
      </w:r>
      <w:r>
        <w:rPr>
          <w:color w:val="231F20"/>
          <w:spacing w:val="-3"/>
        </w:rPr>
        <w:t xml:space="preserve"> </w:t>
      </w:r>
      <w:r>
        <w:rPr>
          <w:color w:val="231F20"/>
        </w:rPr>
        <w:t>in</w:t>
      </w:r>
      <w:r>
        <w:rPr>
          <w:color w:val="231F20"/>
          <w:spacing w:val="-3"/>
        </w:rPr>
        <w:t xml:space="preserve"> </w:t>
      </w:r>
      <w:r>
        <w:rPr>
          <w:color w:val="231F20"/>
        </w:rPr>
        <w:t>a</w:t>
      </w:r>
      <w:r>
        <w:rPr>
          <w:color w:val="231F20"/>
          <w:spacing w:val="-3"/>
        </w:rPr>
        <w:t xml:space="preserve"> </w:t>
      </w:r>
      <w:r>
        <w:rPr>
          <w:color w:val="231F20"/>
        </w:rPr>
        <w:t>global</w:t>
      </w:r>
      <w:r>
        <w:rPr>
          <w:color w:val="231F20"/>
          <w:spacing w:val="-3"/>
        </w:rPr>
        <w:t xml:space="preserve"> </w:t>
      </w:r>
      <w:r>
        <w:rPr>
          <w:color w:val="231F20"/>
        </w:rPr>
        <w:t>world. This</w:t>
      </w:r>
      <w:r>
        <w:rPr>
          <w:color w:val="231F20"/>
          <w:spacing w:val="-12"/>
        </w:rPr>
        <w:t xml:space="preserve"> </w:t>
      </w:r>
      <w:r>
        <w:rPr>
          <w:color w:val="231F20"/>
        </w:rPr>
        <w:t>was</w:t>
      </w:r>
      <w:r>
        <w:rPr>
          <w:color w:val="231F20"/>
          <w:spacing w:val="-11"/>
        </w:rPr>
        <w:t xml:space="preserve"> </w:t>
      </w:r>
      <w:r>
        <w:rPr>
          <w:color w:val="231F20"/>
        </w:rPr>
        <w:t>the</w:t>
      </w:r>
      <w:r>
        <w:rPr>
          <w:color w:val="231F20"/>
          <w:spacing w:val="-12"/>
        </w:rPr>
        <w:t xml:space="preserve"> </w:t>
      </w:r>
      <w:r>
        <w:rPr>
          <w:color w:val="231F20"/>
        </w:rPr>
        <w:t>apparent</w:t>
      </w:r>
      <w:r>
        <w:rPr>
          <w:color w:val="231F20"/>
          <w:spacing w:val="-11"/>
        </w:rPr>
        <w:t xml:space="preserve"> </w:t>
      </w:r>
      <w:r>
        <w:rPr>
          <w:color w:val="231F20"/>
        </w:rPr>
        <w:t>goal</w:t>
      </w:r>
      <w:r>
        <w:rPr>
          <w:color w:val="231F20"/>
          <w:spacing w:val="-12"/>
        </w:rPr>
        <w:t xml:space="preserve"> </w:t>
      </w:r>
      <w:r>
        <w:rPr>
          <w:color w:val="231F20"/>
        </w:rPr>
        <w:t>behind</w:t>
      </w:r>
      <w:r>
        <w:rPr>
          <w:color w:val="231F20"/>
          <w:spacing w:val="-11"/>
        </w:rPr>
        <w:t xml:space="preserve"> </w:t>
      </w:r>
      <w:r>
        <w:rPr>
          <w:color w:val="231F20"/>
        </w:rPr>
        <w:t>Brazil’s</w:t>
      </w:r>
      <w:r>
        <w:rPr>
          <w:color w:val="231F20"/>
          <w:spacing w:val="-12"/>
        </w:rPr>
        <w:t xml:space="preserve"> </w:t>
      </w:r>
      <w:r>
        <w:rPr>
          <w:color w:val="231F20"/>
        </w:rPr>
        <w:t>decision</w:t>
      </w:r>
      <w:r>
        <w:rPr>
          <w:color w:val="231F20"/>
          <w:spacing w:val="-11"/>
        </w:rPr>
        <w:t xml:space="preserve"> </w:t>
      </w:r>
      <w:r>
        <w:rPr>
          <w:color w:val="231F20"/>
        </w:rPr>
        <w:t>to</w:t>
      </w:r>
      <w:r>
        <w:rPr>
          <w:color w:val="231F20"/>
          <w:spacing w:val="-12"/>
        </w:rPr>
        <w:t xml:space="preserve"> </w:t>
      </w:r>
      <w:r>
        <w:rPr>
          <w:color w:val="231F20"/>
        </w:rPr>
        <w:t>host</w:t>
      </w:r>
      <w:r>
        <w:rPr>
          <w:color w:val="231F20"/>
          <w:spacing w:val="-11"/>
        </w:rPr>
        <w:t xml:space="preserve"> </w:t>
      </w:r>
      <w:r>
        <w:rPr>
          <w:color w:val="231F20"/>
        </w:rPr>
        <w:t>the</w:t>
      </w:r>
      <w:r>
        <w:rPr>
          <w:color w:val="231F20"/>
          <w:spacing w:val="-12"/>
        </w:rPr>
        <w:t xml:space="preserve"> </w:t>
      </w:r>
      <w:r>
        <w:rPr>
          <w:color w:val="231F20"/>
        </w:rPr>
        <w:t>2014</w:t>
      </w:r>
      <w:r>
        <w:rPr>
          <w:color w:val="231F20"/>
          <w:spacing w:val="-11"/>
        </w:rPr>
        <w:t xml:space="preserve"> </w:t>
      </w:r>
      <w:r>
        <w:rPr>
          <w:color w:val="231F20"/>
        </w:rPr>
        <w:t>FIFA World Cup and the 2016 Rio Olympics. In reality, there are significant risks associated with hosting these events. While such events ma</w:t>
      </w:r>
      <w:r>
        <w:rPr>
          <w:color w:val="231F20"/>
        </w:rPr>
        <w:t>y have positive impacts on the host city brand, they are likely to have negative impacts</w:t>
      </w:r>
      <w:r>
        <w:rPr>
          <w:color w:val="231F20"/>
          <w:spacing w:val="-3"/>
        </w:rPr>
        <w:t xml:space="preserve"> </w:t>
      </w:r>
      <w:r>
        <w:rPr>
          <w:color w:val="231F20"/>
        </w:rPr>
        <w:t>as</w:t>
      </w:r>
      <w:r>
        <w:rPr>
          <w:color w:val="231F20"/>
          <w:spacing w:val="-3"/>
        </w:rPr>
        <w:t xml:space="preserve"> </w:t>
      </w:r>
      <w:r>
        <w:rPr>
          <w:color w:val="231F20"/>
        </w:rPr>
        <w:t>well</w:t>
      </w:r>
      <w:r>
        <w:rPr>
          <w:color w:val="231F20"/>
          <w:spacing w:val="-3"/>
        </w:rPr>
        <w:t xml:space="preserve"> </w:t>
      </w:r>
      <w:r>
        <w:rPr>
          <w:color w:val="231F20"/>
        </w:rPr>
        <w:t>(Bodet</w:t>
      </w:r>
      <w:r>
        <w:rPr>
          <w:color w:val="231F20"/>
          <w:spacing w:val="-3"/>
        </w:rPr>
        <w:t xml:space="preserve"> </w:t>
      </w:r>
      <w:r>
        <w:rPr>
          <w:color w:val="231F20"/>
        </w:rPr>
        <w:t>&amp;</w:t>
      </w:r>
      <w:r>
        <w:rPr>
          <w:color w:val="231F20"/>
          <w:spacing w:val="-3"/>
        </w:rPr>
        <w:t xml:space="preserve"> </w:t>
      </w:r>
      <w:r>
        <w:rPr>
          <w:color w:val="231F20"/>
        </w:rPr>
        <w:t>Lacassagne,</w:t>
      </w:r>
      <w:r>
        <w:rPr>
          <w:color w:val="231F20"/>
          <w:spacing w:val="-3"/>
        </w:rPr>
        <w:t xml:space="preserve"> </w:t>
      </w:r>
      <w:r>
        <w:rPr>
          <w:color w:val="231F20"/>
        </w:rPr>
        <w:t>2012).</w:t>
      </w:r>
      <w:r>
        <w:rPr>
          <w:color w:val="231F20"/>
          <w:spacing w:val="-3"/>
        </w:rPr>
        <w:t xml:space="preserve"> </w:t>
      </w:r>
      <w:r>
        <w:rPr>
          <w:color w:val="231F20"/>
        </w:rPr>
        <w:t>Factors</w:t>
      </w:r>
      <w:r>
        <w:rPr>
          <w:color w:val="231F20"/>
          <w:spacing w:val="-3"/>
        </w:rPr>
        <w:t xml:space="preserve"> </w:t>
      </w:r>
      <w:r>
        <w:rPr>
          <w:color w:val="231F20"/>
        </w:rPr>
        <w:t>such</w:t>
      </w:r>
      <w:r>
        <w:rPr>
          <w:color w:val="231F20"/>
          <w:spacing w:val="-3"/>
        </w:rPr>
        <w:t xml:space="preserve"> </w:t>
      </w:r>
      <w:r>
        <w:rPr>
          <w:color w:val="231F20"/>
        </w:rPr>
        <w:t>as</w:t>
      </w:r>
      <w:r>
        <w:rPr>
          <w:color w:val="231F20"/>
          <w:spacing w:val="-3"/>
        </w:rPr>
        <w:t xml:space="preserve"> </w:t>
      </w:r>
      <w:r>
        <w:rPr>
          <w:color w:val="231F20"/>
        </w:rPr>
        <w:t>geopolitical events</w:t>
      </w:r>
      <w:r>
        <w:rPr>
          <w:color w:val="231F20"/>
          <w:spacing w:val="-4"/>
        </w:rPr>
        <w:t xml:space="preserve"> </w:t>
      </w:r>
      <w:r>
        <w:rPr>
          <w:color w:val="231F20"/>
        </w:rPr>
        <w:t>beyond</w:t>
      </w:r>
      <w:r>
        <w:rPr>
          <w:color w:val="231F20"/>
          <w:spacing w:val="-3"/>
        </w:rPr>
        <w:t xml:space="preserve"> </w:t>
      </w:r>
      <w:r>
        <w:rPr>
          <w:color w:val="231F20"/>
        </w:rPr>
        <w:t>the</w:t>
      </w:r>
      <w:r>
        <w:rPr>
          <w:color w:val="231F20"/>
          <w:spacing w:val="-3"/>
        </w:rPr>
        <w:t xml:space="preserve"> </w:t>
      </w:r>
      <w:r>
        <w:rPr>
          <w:color w:val="231F20"/>
        </w:rPr>
        <w:t>control</w:t>
      </w:r>
      <w:r>
        <w:rPr>
          <w:color w:val="231F20"/>
          <w:spacing w:val="-3"/>
        </w:rPr>
        <w:t xml:space="preserve"> </w:t>
      </w:r>
      <w:r>
        <w:rPr>
          <w:color w:val="231F20"/>
        </w:rPr>
        <w:t>of</w:t>
      </w:r>
      <w:r>
        <w:rPr>
          <w:color w:val="231F20"/>
          <w:spacing w:val="-4"/>
        </w:rPr>
        <w:t xml:space="preserve"> </w:t>
      </w:r>
      <w:r>
        <w:rPr>
          <w:color w:val="231F20"/>
        </w:rPr>
        <w:t>the</w:t>
      </w:r>
      <w:r>
        <w:rPr>
          <w:color w:val="231F20"/>
          <w:spacing w:val="-3"/>
        </w:rPr>
        <w:t xml:space="preserve"> </w:t>
      </w:r>
      <w:r>
        <w:rPr>
          <w:color w:val="231F20"/>
        </w:rPr>
        <w:t>local</w:t>
      </w:r>
      <w:r>
        <w:rPr>
          <w:color w:val="231F20"/>
          <w:spacing w:val="-3"/>
        </w:rPr>
        <w:t xml:space="preserve"> </w:t>
      </w:r>
      <w:r>
        <w:rPr>
          <w:color w:val="231F20"/>
        </w:rPr>
        <w:t>hosts</w:t>
      </w:r>
      <w:r>
        <w:rPr>
          <w:color w:val="231F20"/>
          <w:spacing w:val="-3"/>
        </w:rPr>
        <w:t xml:space="preserve"> </w:t>
      </w:r>
      <w:r>
        <w:rPr>
          <w:color w:val="231F20"/>
        </w:rPr>
        <w:t>may</w:t>
      </w:r>
      <w:r>
        <w:rPr>
          <w:color w:val="231F20"/>
          <w:spacing w:val="-3"/>
        </w:rPr>
        <w:t xml:space="preserve"> </w:t>
      </w:r>
      <w:r>
        <w:rPr>
          <w:color w:val="231F20"/>
        </w:rPr>
        <w:t>cause</w:t>
      </w:r>
      <w:r>
        <w:rPr>
          <w:color w:val="231F20"/>
          <w:spacing w:val="-3"/>
        </w:rPr>
        <w:t xml:space="preserve"> </w:t>
      </w:r>
      <w:r>
        <w:rPr>
          <w:color w:val="231F20"/>
        </w:rPr>
        <w:t>problems.</w:t>
      </w:r>
      <w:r>
        <w:rPr>
          <w:color w:val="231F20"/>
          <w:spacing w:val="-3"/>
        </w:rPr>
        <w:t xml:space="preserve"> </w:t>
      </w:r>
      <w:r>
        <w:rPr>
          <w:color w:val="231F20"/>
        </w:rPr>
        <w:t xml:space="preserve">Recent examples include the 2014 Sochi Olympics during which Russia had to </w:t>
      </w:r>
      <w:r>
        <w:rPr>
          <w:color w:val="231F20"/>
          <w:w w:val="95"/>
        </w:rPr>
        <w:t xml:space="preserve">deal with unrest in Chechnya (Reynolds, 2014). At the time of writing this edition, the 2018 Pyeongchang Olympics in South Korea were scheduled to </w:t>
      </w:r>
      <w:r>
        <w:rPr>
          <w:color w:val="231F20"/>
        </w:rPr>
        <w:t>open</w:t>
      </w:r>
      <w:r>
        <w:rPr>
          <w:color w:val="231F20"/>
          <w:spacing w:val="-8"/>
        </w:rPr>
        <w:t xml:space="preserve"> </w:t>
      </w:r>
      <w:r>
        <w:rPr>
          <w:color w:val="231F20"/>
        </w:rPr>
        <w:t>under</w:t>
      </w:r>
      <w:r>
        <w:rPr>
          <w:color w:val="231F20"/>
          <w:spacing w:val="-8"/>
        </w:rPr>
        <w:t xml:space="preserve"> </w:t>
      </w:r>
      <w:r>
        <w:rPr>
          <w:color w:val="231F20"/>
        </w:rPr>
        <w:t>the</w:t>
      </w:r>
      <w:r>
        <w:rPr>
          <w:color w:val="231F20"/>
          <w:spacing w:val="-8"/>
        </w:rPr>
        <w:t xml:space="preserve"> </w:t>
      </w:r>
      <w:r>
        <w:rPr>
          <w:color w:val="231F20"/>
        </w:rPr>
        <w:t>shadow</w:t>
      </w:r>
      <w:r>
        <w:rPr>
          <w:color w:val="231F20"/>
          <w:spacing w:val="-8"/>
        </w:rPr>
        <w:t xml:space="preserve"> </w:t>
      </w:r>
      <w:r>
        <w:rPr>
          <w:color w:val="231F20"/>
        </w:rPr>
        <w:t>of</w:t>
      </w:r>
      <w:r>
        <w:rPr>
          <w:color w:val="231F20"/>
          <w:spacing w:val="-8"/>
        </w:rPr>
        <w:t xml:space="preserve"> </w:t>
      </w:r>
      <w:r>
        <w:rPr>
          <w:color w:val="231F20"/>
        </w:rPr>
        <w:t>nuclear</w:t>
      </w:r>
      <w:r>
        <w:rPr>
          <w:color w:val="231F20"/>
          <w:spacing w:val="-8"/>
        </w:rPr>
        <w:t xml:space="preserve"> </w:t>
      </w:r>
      <w:r>
        <w:rPr>
          <w:color w:val="231F20"/>
        </w:rPr>
        <w:t>t</w:t>
      </w:r>
      <w:r>
        <w:rPr>
          <w:color w:val="231F20"/>
        </w:rPr>
        <w:t>hreats</w:t>
      </w:r>
      <w:r>
        <w:rPr>
          <w:color w:val="231F20"/>
          <w:spacing w:val="-8"/>
        </w:rPr>
        <w:t xml:space="preserve"> </w:t>
      </w:r>
      <w:r>
        <w:rPr>
          <w:color w:val="231F20"/>
        </w:rPr>
        <w:t>and</w:t>
      </w:r>
      <w:r>
        <w:rPr>
          <w:color w:val="231F20"/>
          <w:spacing w:val="-8"/>
        </w:rPr>
        <w:t xml:space="preserve"> </w:t>
      </w:r>
      <w:r>
        <w:rPr>
          <w:color w:val="231F20"/>
        </w:rPr>
        <w:t>military</w:t>
      </w:r>
      <w:r>
        <w:rPr>
          <w:color w:val="231F20"/>
          <w:spacing w:val="-8"/>
        </w:rPr>
        <w:t xml:space="preserve"> </w:t>
      </w:r>
      <w:r>
        <w:rPr>
          <w:color w:val="231F20"/>
        </w:rPr>
        <w:t>tensions</w:t>
      </w:r>
      <w:r>
        <w:rPr>
          <w:color w:val="231F20"/>
          <w:spacing w:val="-8"/>
        </w:rPr>
        <w:t xml:space="preserve"> </w:t>
      </w:r>
      <w:r>
        <w:rPr>
          <w:color w:val="231F20"/>
        </w:rPr>
        <w:t xml:space="preserve">between </w:t>
      </w:r>
      <w:r>
        <w:rPr>
          <w:color w:val="231F20"/>
          <w:w w:val="95"/>
        </w:rPr>
        <w:t>North Korea and the United States (Strashin, 2017). Given the high profile</w:t>
      </w:r>
      <w:r>
        <w:rPr>
          <w:color w:val="231F20"/>
          <w:spacing w:val="40"/>
        </w:rPr>
        <w:t xml:space="preserve"> </w:t>
      </w:r>
      <w:r>
        <w:rPr>
          <w:color w:val="231F20"/>
        </w:rPr>
        <w:t>of</w:t>
      </w:r>
      <w:r>
        <w:rPr>
          <w:color w:val="231F20"/>
          <w:spacing w:val="-4"/>
        </w:rPr>
        <w:t xml:space="preserve"> </w:t>
      </w:r>
      <w:r>
        <w:rPr>
          <w:color w:val="231F20"/>
        </w:rPr>
        <w:t>such</w:t>
      </w:r>
      <w:r>
        <w:rPr>
          <w:color w:val="231F20"/>
          <w:spacing w:val="-4"/>
        </w:rPr>
        <w:t xml:space="preserve"> </w:t>
      </w:r>
      <w:r>
        <w:rPr>
          <w:color w:val="231F20"/>
        </w:rPr>
        <w:t>events</w:t>
      </w:r>
      <w:r>
        <w:rPr>
          <w:color w:val="231F20"/>
          <w:spacing w:val="-4"/>
        </w:rPr>
        <w:t xml:space="preserve"> </w:t>
      </w:r>
      <w:r>
        <w:rPr>
          <w:color w:val="231F20"/>
        </w:rPr>
        <w:t>and</w:t>
      </w:r>
      <w:r>
        <w:rPr>
          <w:color w:val="231F20"/>
          <w:spacing w:val="-4"/>
        </w:rPr>
        <w:t xml:space="preserve"> </w:t>
      </w:r>
      <w:r>
        <w:rPr>
          <w:color w:val="231F20"/>
        </w:rPr>
        <w:t>the</w:t>
      </w:r>
      <w:r>
        <w:rPr>
          <w:color w:val="231F20"/>
          <w:spacing w:val="-4"/>
        </w:rPr>
        <w:t xml:space="preserve"> </w:t>
      </w:r>
      <w:r>
        <w:rPr>
          <w:color w:val="231F20"/>
        </w:rPr>
        <w:t>critical</w:t>
      </w:r>
      <w:r>
        <w:rPr>
          <w:color w:val="231F20"/>
          <w:spacing w:val="-4"/>
        </w:rPr>
        <w:t xml:space="preserve"> </w:t>
      </w:r>
      <w:r>
        <w:rPr>
          <w:color w:val="231F20"/>
        </w:rPr>
        <w:t>nature</w:t>
      </w:r>
      <w:r>
        <w:rPr>
          <w:color w:val="231F20"/>
          <w:spacing w:val="-4"/>
        </w:rPr>
        <w:t xml:space="preserve"> </w:t>
      </w:r>
      <w:r>
        <w:rPr>
          <w:color w:val="231F20"/>
        </w:rPr>
        <w:t>of</w:t>
      </w:r>
      <w:r>
        <w:rPr>
          <w:color w:val="231F20"/>
          <w:spacing w:val="-4"/>
        </w:rPr>
        <w:t xml:space="preserve"> </w:t>
      </w:r>
      <w:r>
        <w:rPr>
          <w:color w:val="231F20"/>
        </w:rPr>
        <w:t>traditional</w:t>
      </w:r>
      <w:r>
        <w:rPr>
          <w:color w:val="231F20"/>
          <w:spacing w:val="-4"/>
        </w:rPr>
        <w:t xml:space="preserve"> </w:t>
      </w:r>
      <w:r>
        <w:rPr>
          <w:color w:val="231F20"/>
        </w:rPr>
        <w:t>and</w:t>
      </w:r>
      <w:r>
        <w:rPr>
          <w:color w:val="231F20"/>
          <w:spacing w:val="-4"/>
        </w:rPr>
        <w:t xml:space="preserve"> </w:t>
      </w:r>
      <w:r>
        <w:rPr>
          <w:color w:val="231F20"/>
        </w:rPr>
        <w:t>social</w:t>
      </w:r>
      <w:r>
        <w:rPr>
          <w:color w:val="231F20"/>
          <w:spacing w:val="-4"/>
        </w:rPr>
        <w:t xml:space="preserve"> </w:t>
      </w:r>
      <w:r>
        <w:rPr>
          <w:color w:val="231F20"/>
        </w:rPr>
        <w:t>media,</w:t>
      </w:r>
      <w:r>
        <w:rPr>
          <w:color w:val="231F20"/>
          <w:spacing w:val="-4"/>
        </w:rPr>
        <w:t xml:space="preserve"> </w:t>
      </w:r>
      <w:r>
        <w:rPr>
          <w:color w:val="231F20"/>
        </w:rPr>
        <w:t xml:space="preserve">any </w:t>
      </w:r>
      <w:r>
        <w:rPr>
          <w:color w:val="231F20"/>
          <w:w w:val="95"/>
        </w:rPr>
        <w:t>such</w:t>
      </w:r>
      <w:r>
        <w:rPr>
          <w:color w:val="231F20"/>
          <w:spacing w:val="-3"/>
          <w:w w:val="95"/>
        </w:rPr>
        <w:t xml:space="preserve"> </w:t>
      </w:r>
      <w:r>
        <w:rPr>
          <w:color w:val="231F20"/>
          <w:w w:val="95"/>
        </w:rPr>
        <w:t>issues</w:t>
      </w:r>
      <w:r>
        <w:rPr>
          <w:color w:val="231F20"/>
          <w:spacing w:val="-3"/>
          <w:w w:val="95"/>
        </w:rPr>
        <w:t xml:space="preserve"> </w:t>
      </w:r>
      <w:r>
        <w:rPr>
          <w:color w:val="231F20"/>
          <w:w w:val="95"/>
        </w:rPr>
        <w:t>are</w:t>
      </w:r>
      <w:r>
        <w:rPr>
          <w:color w:val="231F20"/>
          <w:spacing w:val="-3"/>
          <w:w w:val="95"/>
        </w:rPr>
        <w:t xml:space="preserve"> </w:t>
      </w:r>
      <w:r>
        <w:rPr>
          <w:color w:val="231F20"/>
          <w:w w:val="95"/>
        </w:rPr>
        <w:t>likely</w:t>
      </w:r>
      <w:r>
        <w:rPr>
          <w:color w:val="231F20"/>
          <w:spacing w:val="-3"/>
          <w:w w:val="95"/>
        </w:rPr>
        <w:t xml:space="preserve"> </w:t>
      </w:r>
      <w:r>
        <w:rPr>
          <w:color w:val="231F20"/>
          <w:w w:val="95"/>
        </w:rPr>
        <w:t>to</w:t>
      </w:r>
      <w:r>
        <w:rPr>
          <w:color w:val="231F20"/>
          <w:spacing w:val="-3"/>
          <w:w w:val="95"/>
        </w:rPr>
        <w:t xml:space="preserve"> </w:t>
      </w:r>
      <w:r>
        <w:rPr>
          <w:color w:val="231F20"/>
          <w:w w:val="95"/>
        </w:rPr>
        <w:t>receive</w:t>
      </w:r>
      <w:r>
        <w:rPr>
          <w:color w:val="231F20"/>
          <w:spacing w:val="-3"/>
          <w:w w:val="95"/>
        </w:rPr>
        <w:t xml:space="preserve"> </w:t>
      </w:r>
      <w:r>
        <w:rPr>
          <w:color w:val="231F20"/>
          <w:w w:val="95"/>
        </w:rPr>
        <w:t>considerable</w:t>
      </w:r>
      <w:r>
        <w:rPr>
          <w:color w:val="231F20"/>
          <w:spacing w:val="-3"/>
          <w:w w:val="95"/>
        </w:rPr>
        <w:t xml:space="preserve"> </w:t>
      </w:r>
      <w:r>
        <w:rPr>
          <w:color w:val="231F20"/>
          <w:w w:val="95"/>
        </w:rPr>
        <w:t>attention</w:t>
      </w:r>
      <w:r>
        <w:rPr>
          <w:color w:val="231F20"/>
          <w:spacing w:val="-3"/>
          <w:w w:val="95"/>
        </w:rPr>
        <w:t xml:space="preserve"> </w:t>
      </w:r>
      <w:r>
        <w:rPr>
          <w:color w:val="231F20"/>
          <w:w w:val="95"/>
        </w:rPr>
        <w:t>and</w:t>
      </w:r>
      <w:r>
        <w:rPr>
          <w:color w:val="231F20"/>
          <w:spacing w:val="-3"/>
          <w:w w:val="95"/>
        </w:rPr>
        <w:t xml:space="preserve"> </w:t>
      </w:r>
      <w:r>
        <w:rPr>
          <w:color w:val="231F20"/>
          <w:w w:val="95"/>
        </w:rPr>
        <w:t>may</w:t>
      </w:r>
      <w:r>
        <w:rPr>
          <w:color w:val="231F20"/>
          <w:spacing w:val="-3"/>
          <w:w w:val="95"/>
        </w:rPr>
        <w:t xml:space="preserve"> </w:t>
      </w:r>
      <w:r>
        <w:rPr>
          <w:color w:val="231F20"/>
          <w:w w:val="95"/>
        </w:rPr>
        <w:t>in</w:t>
      </w:r>
      <w:r>
        <w:rPr>
          <w:color w:val="231F20"/>
          <w:spacing w:val="-3"/>
          <w:w w:val="95"/>
        </w:rPr>
        <w:t xml:space="preserve"> </w:t>
      </w:r>
      <w:r>
        <w:rPr>
          <w:color w:val="231F20"/>
          <w:w w:val="95"/>
        </w:rPr>
        <w:t>fact</w:t>
      </w:r>
      <w:r>
        <w:rPr>
          <w:color w:val="231F20"/>
          <w:spacing w:val="-3"/>
          <w:w w:val="95"/>
        </w:rPr>
        <w:t xml:space="preserve"> </w:t>
      </w:r>
      <w:r>
        <w:rPr>
          <w:color w:val="231F20"/>
          <w:w w:val="95"/>
        </w:rPr>
        <w:t xml:space="preserve">leave </w:t>
      </w:r>
      <w:r>
        <w:rPr>
          <w:color w:val="231F20"/>
        </w:rPr>
        <w:t>lasting negative impressions on a global audience.</w:t>
      </w:r>
    </w:p>
    <w:p w14:paraId="1923BEDD" w14:textId="77777777" w:rsidR="00AE0598" w:rsidRDefault="0069255A">
      <w:pPr>
        <w:pStyle w:val="Corpodetexto"/>
        <w:spacing w:before="26" w:line="232" w:lineRule="auto"/>
        <w:ind w:left="110" w:right="127" w:firstLine="320"/>
        <w:jc w:val="both"/>
      </w:pPr>
      <w:r>
        <w:rPr>
          <w:color w:val="231F20"/>
        </w:rPr>
        <w:t>While</w:t>
      </w:r>
      <w:r>
        <w:rPr>
          <w:color w:val="231F20"/>
          <w:spacing w:val="35"/>
        </w:rPr>
        <w:t xml:space="preserve"> </w:t>
      </w:r>
      <w:r>
        <w:rPr>
          <w:color w:val="231F20"/>
        </w:rPr>
        <w:t>there</w:t>
      </w:r>
      <w:r>
        <w:rPr>
          <w:color w:val="231F20"/>
          <w:spacing w:val="35"/>
        </w:rPr>
        <w:t xml:space="preserve"> </w:t>
      </w:r>
      <w:r>
        <w:rPr>
          <w:color w:val="231F20"/>
        </w:rPr>
        <w:t>is</w:t>
      </w:r>
      <w:r>
        <w:rPr>
          <w:color w:val="231F20"/>
          <w:spacing w:val="35"/>
        </w:rPr>
        <w:t xml:space="preserve"> </w:t>
      </w:r>
      <w:r>
        <w:rPr>
          <w:color w:val="231F20"/>
        </w:rPr>
        <w:t>a</w:t>
      </w:r>
      <w:r>
        <w:rPr>
          <w:color w:val="231F20"/>
          <w:spacing w:val="35"/>
        </w:rPr>
        <w:t xml:space="preserve"> </w:t>
      </w:r>
      <w:r>
        <w:rPr>
          <w:color w:val="231F20"/>
        </w:rPr>
        <w:t>strong</w:t>
      </w:r>
      <w:r>
        <w:rPr>
          <w:color w:val="231F20"/>
          <w:spacing w:val="35"/>
        </w:rPr>
        <w:t xml:space="preserve"> </w:t>
      </w:r>
      <w:r>
        <w:rPr>
          <w:color w:val="231F20"/>
        </w:rPr>
        <w:t>relationship</w:t>
      </w:r>
      <w:r>
        <w:rPr>
          <w:color w:val="231F20"/>
          <w:spacing w:val="35"/>
        </w:rPr>
        <w:t xml:space="preserve"> </w:t>
      </w:r>
      <w:r>
        <w:rPr>
          <w:color w:val="231F20"/>
        </w:rPr>
        <w:t>between</w:t>
      </w:r>
      <w:r>
        <w:rPr>
          <w:color w:val="231F20"/>
          <w:spacing w:val="35"/>
        </w:rPr>
        <w:t xml:space="preserve"> </w:t>
      </w:r>
      <w:r>
        <w:rPr>
          <w:color w:val="231F20"/>
        </w:rPr>
        <w:t>an</w:t>
      </w:r>
      <w:r>
        <w:rPr>
          <w:color w:val="231F20"/>
          <w:spacing w:val="35"/>
        </w:rPr>
        <w:t xml:space="preserve"> </w:t>
      </w:r>
      <w:r>
        <w:rPr>
          <w:color w:val="231F20"/>
        </w:rPr>
        <w:t>event</w:t>
      </w:r>
      <w:r>
        <w:rPr>
          <w:color w:val="231F20"/>
          <w:spacing w:val="35"/>
        </w:rPr>
        <w:t xml:space="preserve"> </w:t>
      </w:r>
      <w:r>
        <w:rPr>
          <w:color w:val="231F20"/>
        </w:rPr>
        <w:t>brand</w:t>
      </w:r>
      <w:r>
        <w:rPr>
          <w:color w:val="231F20"/>
          <w:spacing w:val="35"/>
        </w:rPr>
        <w:t xml:space="preserve"> </w:t>
      </w:r>
      <w:r>
        <w:rPr>
          <w:color w:val="231F20"/>
        </w:rPr>
        <w:t>and a destination brand, they are not the same thing. Chalip and Costa (2005)</w:t>
      </w:r>
      <w:r>
        <w:rPr>
          <w:color w:val="231F20"/>
          <w:spacing w:val="-2"/>
        </w:rPr>
        <w:t xml:space="preserve"> </w:t>
      </w:r>
      <w:r>
        <w:rPr>
          <w:color w:val="231F20"/>
        </w:rPr>
        <w:t>identified</w:t>
      </w:r>
      <w:r>
        <w:rPr>
          <w:color w:val="231F20"/>
          <w:spacing w:val="-2"/>
        </w:rPr>
        <w:t xml:space="preserve"> </w:t>
      </w:r>
      <w:r>
        <w:rPr>
          <w:color w:val="231F20"/>
        </w:rPr>
        <w:t>three</w:t>
      </w:r>
      <w:r>
        <w:rPr>
          <w:color w:val="231F20"/>
          <w:spacing w:val="-2"/>
        </w:rPr>
        <w:t xml:space="preserve"> </w:t>
      </w:r>
      <w:r>
        <w:rPr>
          <w:color w:val="231F20"/>
        </w:rPr>
        <w:t>distinct</w:t>
      </w:r>
      <w:r>
        <w:rPr>
          <w:color w:val="231F20"/>
          <w:spacing w:val="-2"/>
        </w:rPr>
        <w:t xml:space="preserve"> </w:t>
      </w:r>
      <w:r>
        <w:rPr>
          <w:color w:val="231F20"/>
        </w:rPr>
        <w:t>roles</w:t>
      </w:r>
      <w:r>
        <w:rPr>
          <w:color w:val="231F20"/>
          <w:spacing w:val="-2"/>
        </w:rPr>
        <w:t xml:space="preserve"> </w:t>
      </w:r>
      <w:r>
        <w:rPr>
          <w:color w:val="231F20"/>
        </w:rPr>
        <w:t>that</w:t>
      </w:r>
      <w:r>
        <w:rPr>
          <w:color w:val="231F20"/>
          <w:spacing w:val="-2"/>
        </w:rPr>
        <w:t xml:space="preserve"> </w:t>
      </w:r>
      <w:r>
        <w:rPr>
          <w:color w:val="231F20"/>
        </w:rPr>
        <w:t>events</w:t>
      </w:r>
      <w:r>
        <w:rPr>
          <w:color w:val="231F20"/>
          <w:spacing w:val="-2"/>
        </w:rPr>
        <w:t xml:space="preserve"> </w:t>
      </w:r>
      <w:r>
        <w:rPr>
          <w:color w:val="231F20"/>
        </w:rPr>
        <w:t>can</w:t>
      </w:r>
      <w:r>
        <w:rPr>
          <w:color w:val="231F20"/>
          <w:spacing w:val="-2"/>
        </w:rPr>
        <w:t xml:space="preserve"> </w:t>
      </w:r>
      <w:r>
        <w:rPr>
          <w:color w:val="231F20"/>
        </w:rPr>
        <w:t>play</w:t>
      </w:r>
      <w:r>
        <w:rPr>
          <w:color w:val="231F20"/>
          <w:spacing w:val="-2"/>
        </w:rPr>
        <w:t xml:space="preserve"> </w:t>
      </w:r>
      <w:r>
        <w:rPr>
          <w:color w:val="231F20"/>
        </w:rPr>
        <w:t>in</w:t>
      </w:r>
      <w:r>
        <w:rPr>
          <w:color w:val="231F20"/>
          <w:spacing w:val="-2"/>
        </w:rPr>
        <w:t xml:space="preserve"> </w:t>
      </w:r>
      <w:r>
        <w:rPr>
          <w:color w:val="231F20"/>
        </w:rPr>
        <w:t>terms</w:t>
      </w:r>
      <w:r>
        <w:rPr>
          <w:color w:val="231F20"/>
          <w:spacing w:val="-2"/>
        </w:rPr>
        <w:t xml:space="preserve"> </w:t>
      </w:r>
      <w:r>
        <w:rPr>
          <w:color w:val="231F20"/>
        </w:rPr>
        <w:t>of</w:t>
      </w:r>
      <w:r>
        <w:rPr>
          <w:color w:val="231F20"/>
          <w:spacing w:val="-2"/>
        </w:rPr>
        <w:t xml:space="preserve"> </w:t>
      </w:r>
      <w:r>
        <w:rPr>
          <w:color w:val="231F20"/>
        </w:rPr>
        <w:t xml:space="preserve">the destination brand. Events can be: (1) co-branded with the destination </w:t>
      </w:r>
      <w:r>
        <w:rPr>
          <w:color w:val="231F20"/>
          <w:w w:val="95"/>
        </w:rPr>
        <w:t>brand;</w:t>
      </w:r>
      <w:r>
        <w:rPr>
          <w:color w:val="231F20"/>
          <w:spacing w:val="-1"/>
          <w:w w:val="95"/>
        </w:rPr>
        <w:t xml:space="preserve"> </w:t>
      </w:r>
      <w:r>
        <w:rPr>
          <w:color w:val="231F20"/>
          <w:w w:val="95"/>
        </w:rPr>
        <w:t>(2)</w:t>
      </w:r>
      <w:r>
        <w:rPr>
          <w:color w:val="231F20"/>
          <w:spacing w:val="-1"/>
          <w:w w:val="95"/>
        </w:rPr>
        <w:t xml:space="preserve"> </w:t>
      </w:r>
      <w:r>
        <w:rPr>
          <w:color w:val="231F20"/>
          <w:w w:val="95"/>
        </w:rPr>
        <w:t>positioned</w:t>
      </w:r>
      <w:r>
        <w:rPr>
          <w:color w:val="231F20"/>
          <w:spacing w:val="-1"/>
          <w:w w:val="95"/>
        </w:rPr>
        <w:t xml:space="preserve"> </w:t>
      </w:r>
      <w:r>
        <w:rPr>
          <w:color w:val="231F20"/>
          <w:w w:val="95"/>
        </w:rPr>
        <w:t>as</w:t>
      </w:r>
      <w:r>
        <w:rPr>
          <w:color w:val="231F20"/>
          <w:spacing w:val="-1"/>
          <w:w w:val="95"/>
        </w:rPr>
        <w:t xml:space="preserve"> </w:t>
      </w:r>
      <w:r>
        <w:rPr>
          <w:color w:val="231F20"/>
          <w:w w:val="95"/>
        </w:rPr>
        <w:t>extensions</w:t>
      </w:r>
      <w:r>
        <w:rPr>
          <w:color w:val="231F20"/>
          <w:spacing w:val="-1"/>
          <w:w w:val="95"/>
        </w:rPr>
        <w:t xml:space="preserve"> </w:t>
      </w:r>
      <w:r>
        <w:rPr>
          <w:color w:val="231F20"/>
          <w:w w:val="95"/>
        </w:rPr>
        <w:t>to</w:t>
      </w:r>
      <w:r>
        <w:rPr>
          <w:color w:val="231F20"/>
          <w:spacing w:val="-1"/>
          <w:w w:val="95"/>
        </w:rPr>
        <w:t xml:space="preserve"> </w:t>
      </w:r>
      <w:r>
        <w:rPr>
          <w:color w:val="231F20"/>
          <w:w w:val="95"/>
        </w:rPr>
        <w:t>the</w:t>
      </w:r>
      <w:r>
        <w:rPr>
          <w:color w:val="231F20"/>
          <w:spacing w:val="-1"/>
          <w:w w:val="95"/>
        </w:rPr>
        <w:t xml:space="preserve"> </w:t>
      </w:r>
      <w:r>
        <w:rPr>
          <w:color w:val="231F20"/>
          <w:w w:val="95"/>
        </w:rPr>
        <w:t>destination</w:t>
      </w:r>
      <w:r>
        <w:rPr>
          <w:color w:val="231F20"/>
          <w:spacing w:val="-1"/>
          <w:w w:val="95"/>
        </w:rPr>
        <w:t xml:space="preserve"> </w:t>
      </w:r>
      <w:r>
        <w:rPr>
          <w:color w:val="231F20"/>
          <w:w w:val="95"/>
        </w:rPr>
        <w:t>brand;</w:t>
      </w:r>
      <w:r>
        <w:rPr>
          <w:color w:val="231F20"/>
          <w:spacing w:val="-1"/>
          <w:w w:val="95"/>
        </w:rPr>
        <w:t xml:space="preserve"> </w:t>
      </w:r>
      <w:r>
        <w:rPr>
          <w:color w:val="231F20"/>
          <w:w w:val="95"/>
        </w:rPr>
        <w:t>or</w:t>
      </w:r>
      <w:r>
        <w:rPr>
          <w:color w:val="231F20"/>
          <w:spacing w:val="-1"/>
          <w:w w:val="95"/>
        </w:rPr>
        <w:t xml:space="preserve"> </w:t>
      </w:r>
      <w:r>
        <w:rPr>
          <w:color w:val="231F20"/>
          <w:w w:val="95"/>
        </w:rPr>
        <w:t>(3)</w:t>
      </w:r>
      <w:r>
        <w:rPr>
          <w:color w:val="231F20"/>
          <w:spacing w:val="-1"/>
          <w:w w:val="95"/>
        </w:rPr>
        <w:t xml:space="preserve"> </w:t>
      </w:r>
      <w:r>
        <w:rPr>
          <w:color w:val="231F20"/>
          <w:w w:val="95"/>
        </w:rPr>
        <w:t xml:space="preserve">situated </w:t>
      </w:r>
      <w:r>
        <w:rPr>
          <w:color w:val="231F20"/>
        </w:rPr>
        <w:t>as one of several features within the destination brand. Each option has its own advantages and disadvantages, but they need to be recognised and pursued based on a strategic assessment of the probable outcomes. Notwithstanding the challenges of using spor</w:t>
      </w:r>
      <w:r>
        <w:rPr>
          <w:color w:val="231F20"/>
        </w:rPr>
        <w:t xml:space="preserve">ting events as part of the </w:t>
      </w:r>
      <w:r>
        <w:rPr>
          <w:color w:val="231F20"/>
          <w:w w:val="95"/>
        </w:rPr>
        <w:t xml:space="preserve">strategy for destination branding, the social dimension of these events and </w:t>
      </w:r>
      <w:r>
        <w:rPr>
          <w:color w:val="231F20"/>
        </w:rPr>
        <w:t xml:space="preserve">their potential to build social capital in the host community represent a </w:t>
      </w:r>
      <w:r>
        <w:rPr>
          <w:color w:val="231F20"/>
          <w:w w:val="95"/>
        </w:rPr>
        <w:t xml:space="preserve">major asset in building a positive destination brand. The destination brand </w:t>
      </w:r>
      <w:r>
        <w:rPr>
          <w:color w:val="231F20"/>
        </w:rPr>
        <w:t>wil</w:t>
      </w:r>
      <w:r>
        <w:rPr>
          <w:color w:val="231F20"/>
        </w:rPr>
        <w:t>l benefit if the host community is able to foster a genuine celebration in</w:t>
      </w:r>
      <w:r>
        <w:rPr>
          <w:color w:val="231F20"/>
          <w:spacing w:val="-11"/>
        </w:rPr>
        <w:t xml:space="preserve"> </w:t>
      </w:r>
      <w:r>
        <w:rPr>
          <w:color w:val="231F20"/>
        </w:rPr>
        <w:t>association</w:t>
      </w:r>
      <w:r>
        <w:rPr>
          <w:color w:val="231F20"/>
          <w:spacing w:val="-11"/>
        </w:rPr>
        <w:t xml:space="preserve"> </w:t>
      </w:r>
      <w:r>
        <w:rPr>
          <w:color w:val="231F20"/>
        </w:rPr>
        <w:t>with</w:t>
      </w:r>
      <w:r>
        <w:rPr>
          <w:color w:val="231F20"/>
          <w:spacing w:val="-11"/>
        </w:rPr>
        <w:t xml:space="preserve"> </w:t>
      </w:r>
      <w:r>
        <w:rPr>
          <w:color w:val="231F20"/>
        </w:rPr>
        <w:t>the</w:t>
      </w:r>
      <w:r>
        <w:rPr>
          <w:color w:val="231F20"/>
          <w:spacing w:val="-11"/>
        </w:rPr>
        <w:t xml:space="preserve"> </w:t>
      </w:r>
      <w:r>
        <w:rPr>
          <w:color w:val="231F20"/>
        </w:rPr>
        <w:t>event</w:t>
      </w:r>
      <w:r>
        <w:rPr>
          <w:color w:val="231F20"/>
          <w:spacing w:val="-11"/>
        </w:rPr>
        <w:t xml:space="preserve"> </w:t>
      </w:r>
      <w:r>
        <w:rPr>
          <w:color w:val="231F20"/>
        </w:rPr>
        <w:t>that</w:t>
      </w:r>
      <w:r>
        <w:rPr>
          <w:color w:val="231F20"/>
          <w:spacing w:val="-11"/>
        </w:rPr>
        <w:t xml:space="preserve"> </w:t>
      </w:r>
      <w:r>
        <w:rPr>
          <w:color w:val="231F20"/>
        </w:rPr>
        <w:t>leads</w:t>
      </w:r>
      <w:r>
        <w:rPr>
          <w:color w:val="231F20"/>
          <w:spacing w:val="-11"/>
        </w:rPr>
        <w:t xml:space="preserve"> </w:t>
      </w:r>
      <w:r>
        <w:rPr>
          <w:color w:val="231F20"/>
        </w:rPr>
        <w:t>to</w:t>
      </w:r>
      <w:r>
        <w:rPr>
          <w:color w:val="231F20"/>
          <w:spacing w:val="-11"/>
        </w:rPr>
        <w:t xml:space="preserve"> </w:t>
      </w:r>
      <w:r>
        <w:rPr>
          <w:color w:val="231F20"/>
        </w:rPr>
        <w:t>a</w:t>
      </w:r>
      <w:r>
        <w:rPr>
          <w:color w:val="231F20"/>
          <w:spacing w:val="-11"/>
        </w:rPr>
        <w:t xml:space="preserve"> </w:t>
      </w:r>
      <w:r>
        <w:rPr>
          <w:color w:val="231F20"/>
        </w:rPr>
        <w:t>state</w:t>
      </w:r>
      <w:r>
        <w:rPr>
          <w:color w:val="231F20"/>
          <w:spacing w:val="-11"/>
        </w:rPr>
        <w:t xml:space="preserve"> </w:t>
      </w:r>
      <w:r>
        <w:rPr>
          <w:color w:val="231F20"/>
        </w:rPr>
        <w:t>of</w:t>
      </w:r>
      <w:r>
        <w:rPr>
          <w:color w:val="231F20"/>
          <w:spacing w:val="-11"/>
        </w:rPr>
        <w:t xml:space="preserve"> </w:t>
      </w:r>
      <w:r>
        <w:rPr>
          <w:color w:val="231F20"/>
        </w:rPr>
        <w:t>communitas</w:t>
      </w:r>
      <w:r>
        <w:rPr>
          <w:color w:val="231F20"/>
          <w:spacing w:val="-11"/>
        </w:rPr>
        <w:t xml:space="preserve"> </w:t>
      </w:r>
      <w:r>
        <w:rPr>
          <w:color w:val="231F20"/>
        </w:rPr>
        <w:t>for</w:t>
      </w:r>
      <w:r>
        <w:rPr>
          <w:color w:val="231F20"/>
          <w:spacing w:val="-11"/>
        </w:rPr>
        <w:t xml:space="preserve"> </w:t>
      </w:r>
      <w:r>
        <w:rPr>
          <w:color w:val="231F20"/>
        </w:rPr>
        <w:t>event participants and the host community (Chalip, 2006).</w:t>
      </w:r>
    </w:p>
    <w:p w14:paraId="0B5DDE95" w14:textId="77777777" w:rsidR="00AE0598" w:rsidRDefault="0069255A">
      <w:pPr>
        <w:pStyle w:val="Corpodetexto"/>
        <w:spacing w:before="18" w:line="232" w:lineRule="auto"/>
        <w:ind w:left="110" w:right="122" w:firstLine="320"/>
        <w:jc w:val="both"/>
      </w:pPr>
      <w:r>
        <w:rPr>
          <w:color w:val="231F20"/>
        </w:rPr>
        <w:t>Finally, the widespread development of sport-related lei</w:t>
      </w:r>
      <w:r>
        <w:rPr>
          <w:color w:val="231F20"/>
        </w:rPr>
        <w:t xml:space="preserve">sure and cultural services is a third type of approach used to sell places based on </w:t>
      </w:r>
      <w:r>
        <w:rPr>
          <w:color w:val="231F20"/>
          <w:w w:val="95"/>
        </w:rPr>
        <w:t>sport. This approach goes beyond the support of high profile professional sports to the development of a sporting ethic within a destination through such initiatives as par</w:t>
      </w:r>
      <w:r>
        <w:rPr>
          <w:color w:val="231F20"/>
          <w:w w:val="95"/>
        </w:rPr>
        <w:t>k and shorefront development that encourages active sporting pursuits. Lubowiecki-Vikuk and Basi</w:t>
      </w:r>
      <w:r>
        <w:rPr>
          <w:rFonts w:ascii="Times New Roman" w:hAnsi="Times New Roman"/>
          <w:color w:val="231F20"/>
          <w:w w:val="95"/>
        </w:rPr>
        <w:t>ń</w:t>
      </w:r>
      <w:r>
        <w:rPr>
          <w:color w:val="231F20"/>
          <w:w w:val="95"/>
        </w:rPr>
        <w:t>ska-Zych (2011) argue that</w:t>
      </w:r>
    </w:p>
    <w:p w14:paraId="2B30B9BF" w14:textId="77777777" w:rsidR="00AE0598" w:rsidRDefault="00AE0598">
      <w:pPr>
        <w:spacing w:line="232" w:lineRule="auto"/>
        <w:jc w:val="both"/>
        <w:sectPr w:rsidR="00AE0598">
          <w:pgSz w:w="8850" w:h="13270"/>
          <w:pgMar w:top="720" w:right="1060" w:bottom="280" w:left="1080" w:header="720" w:footer="720" w:gutter="0"/>
          <w:cols w:space="720"/>
        </w:sectPr>
      </w:pPr>
    </w:p>
    <w:p w14:paraId="07529009" w14:textId="77777777" w:rsidR="00AE0598" w:rsidRDefault="0069255A">
      <w:pPr>
        <w:spacing w:before="87"/>
        <w:ind w:left="108"/>
        <w:rPr>
          <w:rFonts w:ascii="Trebuchet MS"/>
          <w:sz w:val="14"/>
        </w:rPr>
      </w:pPr>
      <w:r>
        <w:rPr>
          <w:rFonts w:ascii="Trebuchet MS"/>
          <w:color w:val="231F20"/>
          <w:w w:val="105"/>
          <w:sz w:val="14"/>
        </w:rPr>
        <w:lastRenderedPageBreak/>
        <w:t>130</w:t>
      </w:r>
      <w:r>
        <w:rPr>
          <w:rFonts w:ascii="Trebuchet MS"/>
          <w:color w:val="231F20"/>
          <w:spacing w:val="66"/>
          <w:w w:val="150"/>
          <w:sz w:val="14"/>
        </w:rPr>
        <w:t xml:space="preserve"> </w:t>
      </w:r>
      <w:r>
        <w:rPr>
          <w:rFonts w:ascii="Trebuchet MS"/>
          <w:color w:val="231F20"/>
          <w:w w:val="105"/>
          <w:sz w:val="14"/>
        </w:rPr>
        <w:t>Part</w:t>
      </w:r>
      <w:r>
        <w:rPr>
          <w:rFonts w:ascii="Trebuchet MS"/>
          <w:color w:val="231F20"/>
          <w:spacing w:val="-9"/>
          <w:w w:val="105"/>
          <w:sz w:val="14"/>
        </w:rPr>
        <w:t xml:space="preserve"> </w:t>
      </w:r>
      <w:r>
        <w:rPr>
          <w:rFonts w:ascii="Trebuchet MS"/>
          <w:color w:val="231F20"/>
          <w:w w:val="105"/>
          <w:sz w:val="14"/>
        </w:rPr>
        <w:t>3:</w:t>
      </w:r>
      <w:r>
        <w:rPr>
          <w:rFonts w:ascii="Trebuchet MS"/>
          <w:color w:val="231F20"/>
          <w:spacing w:val="-8"/>
          <w:w w:val="105"/>
          <w:sz w:val="14"/>
        </w:rPr>
        <w:t xml:space="preserve"> </w:t>
      </w:r>
      <w:r>
        <w:rPr>
          <w:rFonts w:ascii="Trebuchet MS"/>
          <w:color w:val="231F20"/>
          <w:w w:val="105"/>
          <w:sz w:val="14"/>
        </w:rPr>
        <w:t>Sport</w:t>
      </w:r>
      <w:r>
        <w:rPr>
          <w:rFonts w:ascii="Trebuchet MS"/>
          <w:color w:val="231F20"/>
          <w:spacing w:val="-9"/>
          <w:w w:val="105"/>
          <w:sz w:val="14"/>
        </w:rPr>
        <w:t xml:space="preserve"> </w:t>
      </w:r>
      <w:r>
        <w:rPr>
          <w:rFonts w:ascii="Trebuchet MS"/>
          <w:color w:val="231F20"/>
          <w:w w:val="105"/>
          <w:sz w:val="14"/>
        </w:rPr>
        <w:t>Tourism</w:t>
      </w:r>
      <w:r>
        <w:rPr>
          <w:rFonts w:ascii="Trebuchet MS"/>
          <w:color w:val="231F20"/>
          <w:spacing w:val="-9"/>
          <w:w w:val="105"/>
          <w:sz w:val="14"/>
        </w:rPr>
        <w:t xml:space="preserve"> </w:t>
      </w:r>
      <w:r>
        <w:rPr>
          <w:rFonts w:ascii="Trebuchet MS"/>
          <w:color w:val="231F20"/>
          <w:w w:val="105"/>
          <w:sz w:val="14"/>
        </w:rPr>
        <w:t>Development</w:t>
      </w:r>
      <w:r>
        <w:rPr>
          <w:rFonts w:ascii="Trebuchet MS"/>
          <w:color w:val="231F20"/>
          <w:spacing w:val="-9"/>
          <w:w w:val="105"/>
          <w:sz w:val="14"/>
        </w:rPr>
        <w:t xml:space="preserve"> </w:t>
      </w:r>
      <w:r>
        <w:rPr>
          <w:rFonts w:ascii="Trebuchet MS"/>
          <w:color w:val="231F20"/>
          <w:w w:val="105"/>
          <w:sz w:val="14"/>
        </w:rPr>
        <w:t>and</w:t>
      </w:r>
      <w:r>
        <w:rPr>
          <w:rFonts w:ascii="Trebuchet MS"/>
          <w:color w:val="231F20"/>
          <w:spacing w:val="-8"/>
          <w:w w:val="105"/>
          <w:sz w:val="14"/>
        </w:rPr>
        <w:t xml:space="preserve"> </w:t>
      </w:r>
      <w:r>
        <w:rPr>
          <w:rFonts w:ascii="Trebuchet MS"/>
          <w:color w:val="231F20"/>
          <w:spacing w:val="-2"/>
          <w:w w:val="105"/>
          <w:sz w:val="14"/>
        </w:rPr>
        <w:t>Space</w:t>
      </w:r>
    </w:p>
    <w:p w14:paraId="056C4CDD" w14:textId="77777777" w:rsidR="00AE0598" w:rsidRDefault="00AE0598">
      <w:pPr>
        <w:pStyle w:val="Corpodetexto"/>
        <w:rPr>
          <w:rFonts w:ascii="Trebuchet MS"/>
          <w:sz w:val="16"/>
        </w:rPr>
      </w:pPr>
    </w:p>
    <w:p w14:paraId="26CD787A" w14:textId="77777777" w:rsidR="00AE0598" w:rsidRDefault="0069255A">
      <w:pPr>
        <w:pStyle w:val="Corpodetexto"/>
        <w:spacing w:before="118" w:line="232" w:lineRule="auto"/>
        <w:ind w:left="110" w:right="127"/>
        <w:jc w:val="both"/>
      </w:pPr>
      <w:r>
        <w:rPr>
          <w:color w:val="231F20"/>
        </w:rPr>
        <w:t>all forms of physical activity including independent or casual activities have</w:t>
      </w:r>
      <w:r>
        <w:rPr>
          <w:color w:val="231F20"/>
          <w:spacing w:val="-11"/>
        </w:rPr>
        <w:t xml:space="preserve"> </w:t>
      </w:r>
      <w:r>
        <w:rPr>
          <w:color w:val="231F20"/>
        </w:rPr>
        <w:t>a</w:t>
      </w:r>
      <w:r>
        <w:rPr>
          <w:color w:val="231F20"/>
          <w:spacing w:val="-11"/>
        </w:rPr>
        <w:t xml:space="preserve"> </w:t>
      </w:r>
      <w:r>
        <w:rPr>
          <w:color w:val="231F20"/>
        </w:rPr>
        <w:t>bearing</w:t>
      </w:r>
      <w:r>
        <w:rPr>
          <w:color w:val="231F20"/>
          <w:spacing w:val="-11"/>
        </w:rPr>
        <w:t xml:space="preserve"> </w:t>
      </w:r>
      <w:r>
        <w:rPr>
          <w:color w:val="231F20"/>
        </w:rPr>
        <w:t>on</w:t>
      </w:r>
      <w:r>
        <w:rPr>
          <w:color w:val="231F20"/>
          <w:spacing w:val="-11"/>
        </w:rPr>
        <w:t xml:space="preserve"> </w:t>
      </w:r>
      <w:r>
        <w:rPr>
          <w:color w:val="231F20"/>
        </w:rPr>
        <w:t>the</w:t>
      </w:r>
      <w:r>
        <w:rPr>
          <w:color w:val="231F20"/>
          <w:spacing w:val="-11"/>
        </w:rPr>
        <w:t xml:space="preserve"> </w:t>
      </w:r>
      <w:r>
        <w:rPr>
          <w:color w:val="231F20"/>
        </w:rPr>
        <w:t>destination</w:t>
      </w:r>
      <w:r>
        <w:rPr>
          <w:color w:val="231F20"/>
          <w:spacing w:val="-11"/>
        </w:rPr>
        <w:t xml:space="preserve"> </w:t>
      </w:r>
      <w:r>
        <w:rPr>
          <w:color w:val="231F20"/>
        </w:rPr>
        <w:t>brand.</w:t>
      </w:r>
      <w:r>
        <w:rPr>
          <w:color w:val="231F20"/>
          <w:spacing w:val="-11"/>
        </w:rPr>
        <w:t xml:space="preserve"> </w:t>
      </w:r>
      <w:r>
        <w:rPr>
          <w:color w:val="231F20"/>
        </w:rPr>
        <w:t>These</w:t>
      </w:r>
      <w:r>
        <w:rPr>
          <w:color w:val="231F20"/>
          <w:spacing w:val="-11"/>
        </w:rPr>
        <w:t xml:space="preserve"> </w:t>
      </w:r>
      <w:r>
        <w:rPr>
          <w:color w:val="231F20"/>
        </w:rPr>
        <w:t>activities</w:t>
      </w:r>
      <w:r>
        <w:rPr>
          <w:color w:val="231F20"/>
          <w:spacing w:val="-11"/>
        </w:rPr>
        <w:t xml:space="preserve"> </w:t>
      </w:r>
      <w:r>
        <w:rPr>
          <w:color w:val="231F20"/>
        </w:rPr>
        <w:t>have</w:t>
      </w:r>
      <w:r>
        <w:rPr>
          <w:color w:val="231F20"/>
          <w:spacing w:val="-11"/>
        </w:rPr>
        <w:t xml:space="preserve"> </w:t>
      </w:r>
      <w:r>
        <w:rPr>
          <w:color w:val="231F20"/>
        </w:rPr>
        <w:t>impacts</w:t>
      </w:r>
      <w:r>
        <w:rPr>
          <w:color w:val="231F20"/>
          <w:spacing w:val="-11"/>
        </w:rPr>
        <w:t xml:space="preserve"> </w:t>
      </w:r>
      <w:r>
        <w:rPr>
          <w:color w:val="231F20"/>
        </w:rPr>
        <w:t>on a community’s physical and mental health as well as social relations, all of which contribute to the ways th</w:t>
      </w:r>
      <w:r>
        <w:rPr>
          <w:color w:val="231F20"/>
        </w:rPr>
        <w:t>at a destination is understood. Poznan, Poland, is an example of a city that has incorporated a sporting lifestyle into its destination brand in a number of ways including the reflection of its leisure-based character in its logo (Lubowiecki-Vikuk &amp; Basi</w:t>
      </w:r>
      <w:r>
        <w:rPr>
          <w:rFonts w:ascii="Times New Roman" w:hAnsi="Times New Roman"/>
          <w:color w:val="231F20"/>
        </w:rPr>
        <w:t>ń</w:t>
      </w:r>
      <w:r>
        <w:rPr>
          <w:color w:val="231F20"/>
        </w:rPr>
        <w:t>s</w:t>
      </w:r>
      <w:r>
        <w:rPr>
          <w:color w:val="231F20"/>
        </w:rPr>
        <w:t>ka-Zych, 2011).</w:t>
      </w:r>
    </w:p>
    <w:p w14:paraId="3393B105" w14:textId="77777777" w:rsidR="00AE0598" w:rsidRDefault="0069255A">
      <w:pPr>
        <w:spacing w:before="255"/>
        <w:ind w:left="110"/>
        <w:rPr>
          <w:rFonts w:ascii="Trebuchet MS"/>
          <w:b/>
          <w:sz w:val="20"/>
        </w:rPr>
      </w:pPr>
      <w:r>
        <w:rPr>
          <w:rFonts w:ascii="Trebuchet MS"/>
          <w:b/>
          <w:color w:val="231F20"/>
          <w:spacing w:val="-2"/>
          <w:sz w:val="20"/>
        </w:rPr>
        <w:t>Conclusion</w:t>
      </w:r>
    </w:p>
    <w:p w14:paraId="43FAD858" w14:textId="77777777" w:rsidR="00AE0598" w:rsidRDefault="0069255A">
      <w:pPr>
        <w:pStyle w:val="Corpodetexto"/>
        <w:spacing w:before="122" w:line="232" w:lineRule="auto"/>
        <w:ind w:left="110" w:right="127" w:firstLine="320"/>
        <w:jc w:val="both"/>
      </w:pPr>
      <w:r>
        <w:rPr>
          <w:color w:val="231F20"/>
          <w:w w:val="95"/>
        </w:rPr>
        <w:t xml:space="preserve">This chapter highlights the importance of place in the context of sport </w:t>
      </w:r>
      <w:r>
        <w:rPr>
          <w:color w:val="231F20"/>
        </w:rPr>
        <w:t>tourism.</w:t>
      </w:r>
      <w:r>
        <w:rPr>
          <w:color w:val="231F20"/>
          <w:spacing w:val="-5"/>
        </w:rPr>
        <w:t xml:space="preserve"> </w:t>
      </w:r>
      <w:r>
        <w:rPr>
          <w:color w:val="231F20"/>
        </w:rPr>
        <w:t>Clearly,</w:t>
      </w:r>
      <w:r>
        <w:rPr>
          <w:color w:val="231F20"/>
          <w:spacing w:val="-5"/>
        </w:rPr>
        <w:t xml:space="preserve"> </w:t>
      </w:r>
      <w:r>
        <w:rPr>
          <w:color w:val="231F20"/>
        </w:rPr>
        <w:t>sport</w:t>
      </w:r>
      <w:r>
        <w:rPr>
          <w:color w:val="231F20"/>
          <w:spacing w:val="-5"/>
        </w:rPr>
        <w:t xml:space="preserve"> </w:t>
      </w:r>
      <w:r>
        <w:rPr>
          <w:color w:val="231F20"/>
        </w:rPr>
        <w:t>can</w:t>
      </w:r>
      <w:r>
        <w:rPr>
          <w:color w:val="231F20"/>
          <w:spacing w:val="-5"/>
        </w:rPr>
        <w:t xml:space="preserve"> </w:t>
      </w:r>
      <w:r>
        <w:rPr>
          <w:color w:val="231F20"/>
        </w:rPr>
        <w:t>have</w:t>
      </w:r>
      <w:r>
        <w:rPr>
          <w:color w:val="231F20"/>
          <w:spacing w:val="-5"/>
        </w:rPr>
        <w:t xml:space="preserve"> </w:t>
      </w:r>
      <w:r>
        <w:rPr>
          <w:color w:val="231F20"/>
        </w:rPr>
        <w:t>a</w:t>
      </w:r>
      <w:r>
        <w:rPr>
          <w:color w:val="231F20"/>
          <w:spacing w:val="-5"/>
        </w:rPr>
        <w:t xml:space="preserve"> </w:t>
      </w:r>
      <w:r>
        <w:rPr>
          <w:color w:val="231F20"/>
        </w:rPr>
        <w:t>powerful</w:t>
      </w:r>
      <w:r>
        <w:rPr>
          <w:color w:val="231F20"/>
          <w:spacing w:val="-5"/>
        </w:rPr>
        <w:t xml:space="preserve"> </w:t>
      </w:r>
      <w:r>
        <w:rPr>
          <w:color w:val="231F20"/>
        </w:rPr>
        <w:t>impact</w:t>
      </w:r>
      <w:r>
        <w:rPr>
          <w:color w:val="231F20"/>
          <w:spacing w:val="-5"/>
        </w:rPr>
        <w:t xml:space="preserve"> </w:t>
      </w:r>
      <w:r>
        <w:rPr>
          <w:color w:val="231F20"/>
        </w:rPr>
        <w:t>on</w:t>
      </w:r>
      <w:r>
        <w:rPr>
          <w:color w:val="231F20"/>
          <w:spacing w:val="-5"/>
        </w:rPr>
        <w:t xml:space="preserve"> </w:t>
      </w:r>
      <w:r>
        <w:rPr>
          <w:color w:val="231F20"/>
        </w:rPr>
        <w:t>the</w:t>
      </w:r>
      <w:r>
        <w:rPr>
          <w:color w:val="231F20"/>
          <w:spacing w:val="-5"/>
        </w:rPr>
        <w:t xml:space="preserve"> </w:t>
      </w:r>
      <w:r>
        <w:rPr>
          <w:color w:val="231F20"/>
        </w:rPr>
        <w:t>way</w:t>
      </w:r>
      <w:r>
        <w:rPr>
          <w:color w:val="231F20"/>
          <w:spacing w:val="-5"/>
        </w:rPr>
        <w:t xml:space="preserve"> </w:t>
      </w:r>
      <w:r>
        <w:rPr>
          <w:color w:val="231F20"/>
        </w:rPr>
        <w:t>that</w:t>
      </w:r>
      <w:r>
        <w:rPr>
          <w:color w:val="231F20"/>
          <w:spacing w:val="-5"/>
        </w:rPr>
        <w:t xml:space="preserve"> </w:t>
      </w:r>
      <w:r>
        <w:rPr>
          <w:color w:val="231F20"/>
        </w:rPr>
        <w:t xml:space="preserve">space is infused with meanings. Culture plays an important role in shaping these meanings </w:t>
      </w:r>
      <w:r>
        <w:rPr>
          <w:color w:val="231F20"/>
        </w:rPr>
        <w:t>whether it takes the form of sport and culture, sport as culture or sporting subcultures. Each variation impacts on the way that sport tourists see and experience a destination. Given sport’s powerful influence</w:t>
      </w:r>
      <w:r>
        <w:rPr>
          <w:color w:val="231F20"/>
          <w:spacing w:val="-4"/>
        </w:rPr>
        <w:t xml:space="preserve"> </w:t>
      </w:r>
      <w:r>
        <w:rPr>
          <w:color w:val="231F20"/>
        </w:rPr>
        <w:t>on</w:t>
      </w:r>
      <w:r>
        <w:rPr>
          <w:color w:val="231F20"/>
          <w:spacing w:val="-4"/>
        </w:rPr>
        <w:t xml:space="preserve"> </w:t>
      </w:r>
      <w:r>
        <w:rPr>
          <w:color w:val="231F20"/>
        </w:rPr>
        <w:t>place</w:t>
      </w:r>
      <w:r>
        <w:rPr>
          <w:color w:val="231F20"/>
          <w:spacing w:val="-4"/>
        </w:rPr>
        <w:t xml:space="preserve"> </w:t>
      </w:r>
      <w:r>
        <w:rPr>
          <w:color w:val="231F20"/>
        </w:rPr>
        <w:t>identity,</w:t>
      </w:r>
      <w:r>
        <w:rPr>
          <w:color w:val="231F20"/>
          <w:spacing w:val="-4"/>
        </w:rPr>
        <w:t xml:space="preserve"> </w:t>
      </w:r>
      <w:r>
        <w:rPr>
          <w:color w:val="231F20"/>
        </w:rPr>
        <w:t>it</w:t>
      </w:r>
      <w:r>
        <w:rPr>
          <w:color w:val="231F20"/>
          <w:spacing w:val="-4"/>
        </w:rPr>
        <w:t xml:space="preserve"> </w:t>
      </w:r>
      <w:r>
        <w:rPr>
          <w:color w:val="231F20"/>
        </w:rPr>
        <w:t>is</w:t>
      </w:r>
      <w:r>
        <w:rPr>
          <w:color w:val="231F20"/>
          <w:spacing w:val="-4"/>
        </w:rPr>
        <w:t xml:space="preserve"> </w:t>
      </w:r>
      <w:r>
        <w:rPr>
          <w:color w:val="231F20"/>
        </w:rPr>
        <w:t>not</w:t>
      </w:r>
      <w:r>
        <w:rPr>
          <w:color w:val="231F20"/>
          <w:spacing w:val="-4"/>
        </w:rPr>
        <w:t xml:space="preserve"> </w:t>
      </w:r>
      <w:r>
        <w:rPr>
          <w:color w:val="231F20"/>
        </w:rPr>
        <w:t>surprising</w:t>
      </w:r>
      <w:r>
        <w:rPr>
          <w:color w:val="231F20"/>
          <w:spacing w:val="-4"/>
        </w:rPr>
        <w:t xml:space="preserve"> </w:t>
      </w:r>
      <w:r>
        <w:rPr>
          <w:color w:val="231F20"/>
        </w:rPr>
        <w:t>that</w:t>
      </w:r>
      <w:r>
        <w:rPr>
          <w:color w:val="231F20"/>
          <w:spacing w:val="-4"/>
        </w:rPr>
        <w:t xml:space="preserve"> </w:t>
      </w:r>
      <w:r>
        <w:rPr>
          <w:color w:val="231F20"/>
        </w:rPr>
        <w:t>it</w:t>
      </w:r>
      <w:r>
        <w:rPr>
          <w:color w:val="231F20"/>
          <w:spacing w:val="-4"/>
        </w:rPr>
        <w:t xml:space="preserve"> </w:t>
      </w:r>
      <w:r>
        <w:rPr>
          <w:color w:val="231F20"/>
        </w:rPr>
        <w:t>is</w:t>
      </w:r>
      <w:r>
        <w:rPr>
          <w:color w:val="231F20"/>
          <w:spacing w:val="-4"/>
        </w:rPr>
        <w:t xml:space="preserve"> </w:t>
      </w:r>
      <w:r>
        <w:rPr>
          <w:color w:val="231F20"/>
        </w:rPr>
        <w:t>often</w:t>
      </w:r>
      <w:r>
        <w:rPr>
          <w:color w:val="231F20"/>
          <w:spacing w:val="-4"/>
        </w:rPr>
        <w:t xml:space="preserve"> </w:t>
      </w:r>
      <w:r>
        <w:rPr>
          <w:color w:val="231F20"/>
        </w:rPr>
        <w:t xml:space="preserve">consciously manipulated to brand tourism places. Place marketers attempt to use </w:t>
      </w:r>
      <w:r>
        <w:rPr>
          <w:color w:val="231F20"/>
          <w:w w:val="95"/>
        </w:rPr>
        <w:t xml:space="preserve">spectator events, participation events, active sport, and heritage attractions </w:t>
      </w:r>
      <w:r>
        <w:rPr>
          <w:color w:val="231F20"/>
        </w:rPr>
        <w:t>to create a desirable place brand. One of the long-term challenges is</w:t>
      </w:r>
      <w:r>
        <w:rPr>
          <w:color w:val="231F20"/>
        </w:rPr>
        <w:t xml:space="preserve"> for sport tourism destination managers to develop a sport brand that is </w:t>
      </w:r>
      <w:r>
        <w:rPr>
          <w:color w:val="231F20"/>
          <w:w w:val="95"/>
        </w:rPr>
        <w:t xml:space="preserve">consistent with the place identity of the locals. Failure to do so will test the </w:t>
      </w:r>
      <w:r>
        <w:rPr>
          <w:color w:val="231F20"/>
        </w:rPr>
        <w:t>sustainability of sport tourism in the destination.</w:t>
      </w:r>
    </w:p>
    <w:p w14:paraId="094A8568" w14:textId="77777777" w:rsidR="00AE0598" w:rsidRDefault="0069255A">
      <w:pPr>
        <w:pStyle w:val="Corpodetexto"/>
        <w:spacing w:before="16" w:line="232" w:lineRule="auto"/>
        <w:ind w:left="110" w:right="127" w:firstLine="320"/>
        <w:jc w:val="both"/>
      </w:pPr>
      <w:r>
        <w:rPr>
          <w:color w:val="231F20"/>
          <w:w w:val="95"/>
        </w:rPr>
        <w:t>A number of issues need to be considered in associ</w:t>
      </w:r>
      <w:r>
        <w:rPr>
          <w:color w:val="231F20"/>
          <w:w w:val="95"/>
        </w:rPr>
        <w:t xml:space="preserve">ation with the many </w:t>
      </w:r>
      <w:r>
        <w:rPr>
          <w:color w:val="231F20"/>
          <w:w w:val="90"/>
        </w:rPr>
        <w:t>opportunities to brand ‘place’ through sport. Bale’s (1989) spectre of</w:t>
      </w:r>
      <w:r>
        <w:rPr>
          <w:color w:val="231F20"/>
          <w:spacing w:val="31"/>
        </w:rPr>
        <w:t xml:space="preserve"> </w:t>
      </w:r>
      <w:r>
        <w:rPr>
          <w:color w:val="231F20"/>
          <w:w w:val="90"/>
        </w:rPr>
        <w:t xml:space="preserve">the trend </w:t>
      </w:r>
      <w:r>
        <w:rPr>
          <w:color w:val="231F20"/>
          <w:w w:val="95"/>
        </w:rPr>
        <w:t>towards</w:t>
      </w:r>
      <w:r>
        <w:rPr>
          <w:color w:val="231F20"/>
          <w:spacing w:val="-1"/>
          <w:w w:val="95"/>
        </w:rPr>
        <w:t xml:space="preserve"> </w:t>
      </w:r>
      <w:r>
        <w:rPr>
          <w:color w:val="231F20"/>
          <w:w w:val="95"/>
        </w:rPr>
        <w:t>homogeneous</w:t>
      </w:r>
      <w:r>
        <w:rPr>
          <w:color w:val="231F20"/>
          <w:spacing w:val="-1"/>
          <w:w w:val="95"/>
        </w:rPr>
        <w:t xml:space="preserve"> </w:t>
      </w:r>
      <w:r>
        <w:rPr>
          <w:color w:val="231F20"/>
          <w:w w:val="95"/>
        </w:rPr>
        <w:t>sportscapes</w:t>
      </w:r>
      <w:r>
        <w:rPr>
          <w:color w:val="231F20"/>
          <w:spacing w:val="-1"/>
          <w:w w:val="95"/>
        </w:rPr>
        <w:t xml:space="preserve"> </w:t>
      </w:r>
      <w:r>
        <w:rPr>
          <w:color w:val="231F20"/>
          <w:w w:val="95"/>
        </w:rPr>
        <w:t>poses</w:t>
      </w:r>
      <w:r>
        <w:rPr>
          <w:color w:val="231F20"/>
          <w:spacing w:val="-1"/>
          <w:w w:val="95"/>
        </w:rPr>
        <w:t xml:space="preserve"> </w:t>
      </w:r>
      <w:r>
        <w:rPr>
          <w:color w:val="231F20"/>
          <w:w w:val="95"/>
        </w:rPr>
        <w:t>a</w:t>
      </w:r>
      <w:r>
        <w:rPr>
          <w:color w:val="231F20"/>
          <w:spacing w:val="-1"/>
          <w:w w:val="95"/>
        </w:rPr>
        <w:t xml:space="preserve"> </w:t>
      </w:r>
      <w:r>
        <w:rPr>
          <w:color w:val="231F20"/>
          <w:w w:val="95"/>
        </w:rPr>
        <w:t>threat</w:t>
      </w:r>
      <w:r>
        <w:rPr>
          <w:color w:val="231F20"/>
          <w:spacing w:val="-1"/>
          <w:w w:val="95"/>
        </w:rPr>
        <w:t xml:space="preserve"> </w:t>
      </w:r>
      <w:r>
        <w:rPr>
          <w:color w:val="231F20"/>
          <w:w w:val="95"/>
        </w:rPr>
        <w:t>to</w:t>
      </w:r>
      <w:r>
        <w:rPr>
          <w:color w:val="231F20"/>
          <w:spacing w:val="-1"/>
          <w:w w:val="95"/>
        </w:rPr>
        <w:t xml:space="preserve"> </w:t>
      </w:r>
      <w:r>
        <w:rPr>
          <w:color w:val="231F20"/>
          <w:w w:val="95"/>
        </w:rPr>
        <w:t>the</w:t>
      </w:r>
      <w:r>
        <w:rPr>
          <w:color w:val="231F20"/>
          <w:spacing w:val="-1"/>
          <w:w w:val="95"/>
        </w:rPr>
        <w:t xml:space="preserve"> </w:t>
      </w:r>
      <w:r>
        <w:rPr>
          <w:color w:val="231F20"/>
          <w:w w:val="95"/>
        </w:rPr>
        <w:t>critical</w:t>
      </w:r>
      <w:r>
        <w:rPr>
          <w:color w:val="231F20"/>
          <w:spacing w:val="-1"/>
          <w:w w:val="95"/>
        </w:rPr>
        <w:t xml:space="preserve"> </w:t>
      </w:r>
      <w:r>
        <w:rPr>
          <w:color w:val="231F20"/>
          <w:w w:val="95"/>
        </w:rPr>
        <w:t>elements</w:t>
      </w:r>
      <w:r>
        <w:rPr>
          <w:color w:val="231F20"/>
          <w:spacing w:val="-1"/>
          <w:w w:val="95"/>
        </w:rPr>
        <w:t xml:space="preserve"> </w:t>
      </w:r>
      <w:r>
        <w:rPr>
          <w:color w:val="231F20"/>
          <w:w w:val="95"/>
        </w:rPr>
        <w:t xml:space="preserve">of </w:t>
      </w:r>
      <w:r>
        <w:rPr>
          <w:color w:val="231F20"/>
        </w:rPr>
        <w:t>uniqueness,</w:t>
      </w:r>
      <w:r>
        <w:rPr>
          <w:color w:val="231F20"/>
          <w:spacing w:val="-12"/>
        </w:rPr>
        <w:t xml:space="preserve"> </w:t>
      </w:r>
      <w:r>
        <w:rPr>
          <w:color w:val="231F20"/>
        </w:rPr>
        <w:t>which</w:t>
      </w:r>
      <w:r>
        <w:rPr>
          <w:color w:val="231F20"/>
          <w:spacing w:val="-12"/>
        </w:rPr>
        <w:t xml:space="preserve"> </w:t>
      </w:r>
      <w:r>
        <w:rPr>
          <w:color w:val="231F20"/>
        </w:rPr>
        <w:t>in</w:t>
      </w:r>
      <w:r>
        <w:rPr>
          <w:color w:val="231F20"/>
          <w:spacing w:val="-11"/>
        </w:rPr>
        <w:t xml:space="preserve"> </w:t>
      </w:r>
      <w:r>
        <w:rPr>
          <w:color w:val="231F20"/>
        </w:rPr>
        <w:t>turn</w:t>
      </w:r>
      <w:r>
        <w:rPr>
          <w:color w:val="231F20"/>
          <w:spacing w:val="-12"/>
        </w:rPr>
        <w:t xml:space="preserve"> </w:t>
      </w:r>
      <w:r>
        <w:rPr>
          <w:color w:val="231F20"/>
        </w:rPr>
        <w:t>is</w:t>
      </w:r>
      <w:r>
        <w:rPr>
          <w:color w:val="231F20"/>
          <w:spacing w:val="-11"/>
        </w:rPr>
        <w:t xml:space="preserve"> </w:t>
      </w:r>
      <w:r>
        <w:rPr>
          <w:color w:val="231F20"/>
        </w:rPr>
        <w:t>a</w:t>
      </w:r>
      <w:r>
        <w:rPr>
          <w:color w:val="231F20"/>
          <w:spacing w:val="-12"/>
        </w:rPr>
        <w:t xml:space="preserve"> </w:t>
      </w:r>
      <w:r>
        <w:rPr>
          <w:color w:val="231F20"/>
        </w:rPr>
        <w:t>threat</w:t>
      </w:r>
      <w:r>
        <w:rPr>
          <w:color w:val="231F20"/>
          <w:spacing w:val="-11"/>
        </w:rPr>
        <w:t xml:space="preserve"> </w:t>
      </w:r>
      <w:r>
        <w:rPr>
          <w:color w:val="231F20"/>
        </w:rPr>
        <w:t>to</w:t>
      </w:r>
      <w:r>
        <w:rPr>
          <w:color w:val="231F20"/>
          <w:spacing w:val="-12"/>
        </w:rPr>
        <w:t xml:space="preserve"> </w:t>
      </w:r>
      <w:r>
        <w:rPr>
          <w:color w:val="231F20"/>
        </w:rPr>
        <w:t>the</w:t>
      </w:r>
      <w:r>
        <w:rPr>
          <w:color w:val="231F20"/>
          <w:spacing w:val="-12"/>
        </w:rPr>
        <w:t xml:space="preserve"> </w:t>
      </w:r>
      <w:r>
        <w:rPr>
          <w:color w:val="231F20"/>
        </w:rPr>
        <w:t>sustainability</w:t>
      </w:r>
      <w:r>
        <w:rPr>
          <w:color w:val="231F20"/>
          <w:spacing w:val="-11"/>
        </w:rPr>
        <w:t xml:space="preserve"> </w:t>
      </w:r>
      <w:r>
        <w:rPr>
          <w:color w:val="231F20"/>
        </w:rPr>
        <w:t>of</w:t>
      </w:r>
      <w:r>
        <w:rPr>
          <w:color w:val="231F20"/>
          <w:spacing w:val="-12"/>
        </w:rPr>
        <w:t xml:space="preserve"> </w:t>
      </w:r>
      <w:r>
        <w:rPr>
          <w:color w:val="231F20"/>
        </w:rPr>
        <w:t>sport</w:t>
      </w:r>
      <w:r>
        <w:rPr>
          <w:color w:val="231F20"/>
          <w:spacing w:val="-11"/>
        </w:rPr>
        <w:t xml:space="preserve"> </w:t>
      </w:r>
      <w:r>
        <w:rPr>
          <w:color w:val="231F20"/>
        </w:rPr>
        <w:t xml:space="preserve">tourism </w:t>
      </w:r>
      <w:r>
        <w:rPr>
          <w:color w:val="231F20"/>
          <w:w w:val="95"/>
        </w:rPr>
        <w:t>dev</w:t>
      </w:r>
      <w:r>
        <w:rPr>
          <w:color w:val="231F20"/>
          <w:w w:val="95"/>
        </w:rPr>
        <w:t>elopment. Taken to its extreme, in a homogeneous sportscape, the need or desire to travel to different areas for sport is greatly reduced. This is one of</w:t>
      </w:r>
      <w:r>
        <w:rPr>
          <w:color w:val="231F20"/>
        </w:rPr>
        <w:t xml:space="preserve"> </w:t>
      </w:r>
      <w:r>
        <w:rPr>
          <w:color w:val="231F20"/>
          <w:w w:val="95"/>
        </w:rPr>
        <w:t>the</w:t>
      </w:r>
      <w:r>
        <w:rPr>
          <w:color w:val="231F20"/>
          <w:spacing w:val="-3"/>
          <w:w w:val="95"/>
        </w:rPr>
        <w:t xml:space="preserve"> </w:t>
      </w:r>
      <w:r>
        <w:rPr>
          <w:color w:val="231F20"/>
          <w:w w:val="95"/>
        </w:rPr>
        <w:t>challenges</w:t>
      </w:r>
      <w:r>
        <w:rPr>
          <w:color w:val="231F20"/>
          <w:spacing w:val="-3"/>
          <w:w w:val="95"/>
        </w:rPr>
        <w:t xml:space="preserve"> </w:t>
      </w:r>
      <w:r>
        <w:rPr>
          <w:color w:val="231F20"/>
          <w:w w:val="95"/>
        </w:rPr>
        <w:t>that</w:t>
      </w:r>
      <w:r>
        <w:rPr>
          <w:color w:val="231F20"/>
          <w:spacing w:val="-3"/>
          <w:w w:val="95"/>
        </w:rPr>
        <w:t xml:space="preserve"> </w:t>
      </w:r>
      <w:r>
        <w:rPr>
          <w:color w:val="231F20"/>
          <w:w w:val="95"/>
        </w:rPr>
        <w:t>is</w:t>
      </w:r>
      <w:r>
        <w:rPr>
          <w:color w:val="231F20"/>
          <w:spacing w:val="-3"/>
          <w:w w:val="95"/>
        </w:rPr>
        <w:t xml:space="preserve"> </w:t>
      </w:r>
      <w:r>
        <w:rPr>
          <w:color w:val="231F20"/>
          <w:w w:val="95"/>
        </w:rPr>
        <w:t>reflected</w:t>
      </w:r>
      <w:r>
        <w:rPr>
          <w:color w:val="231F20"/>
          <w:spacing w:val="-3"/>
          <w:w w:val="95"/>
        </w:rPr>
        <w:t xml:space="preserve"> </w:t>
      </w:r>
      <w:r>
        <w:rPr>
          <w:color w:val="231F20"/>
          <w:w w:val="95"/>
        </w:rPr>
        <w:t>in</w:t>
      </w:r>
      <w:r>
        <w:rPr>
          <w:color w:val="231F20"/>
          <w:spacing w:val="-3"/>
          <w:w w:val="95"/>
        </w:rPr>
        <w:t xml:space="preserve"> </w:t>
      </w:r>
      <w:r>
        <w:rPr>
          <w:color w:val="231F20"/>
          <w:w w:val="95"/>
        </w:rPr>
        <w:t>the</w:t>
      </w:r>
      <w:r>
        <w:rPr>
          <w:color w:val="231F20"/>
          <w:spacing w:val="-3"/>
          <w:w w:val="95"/>
        </w:rPr>
        <w:t xml:space="preserve"> </w:t>
      </w:r>
      <w:r>
        <w:rPr>
          <w:color w:val="231F20"/>
          <w:w w:val="95"/>
        </w:rPr>
        <w:t>process</w:t>
      </w:r>
      <w:r>
        <w:rPr>
          <w:color w:val="231F20"/>
          <w:spacing w:val="-3"/>
          <w:w w:val="95"/>
        </w:rPr>
        <w:t xml:space="preserve"> </w:t>
      </w:r>
      <w:r>
        <w:rPr>
          <w:color w:val="231F20"/>
          <w:w w:val="95"/>
        </w:rPr>
        <w:t>of</w:t>
      </w:r>
      <w:r>
        <w:rPr>
          <w:color w:val="231F20"/>
        </w:rPr>
        <w:t xml:space="preserve"> </w:t>
      </w:r>
      <w:r>
        <w:rPr>
          <w:color w:val="231F20"/>
          <w:w w:val="95"/>
        </w:rPr>
        <w:t>glocalisation.</w:t>
      </w:r>
      <w:r>
        <w:rPr>
          <w:color w:val="231F20"/>
          <w:spacing w:val="-3"/>
          <w:w w:val="95"/>
        </w:rPr>
        <w:t xml:space="preserve"> </w:t>
      </w:r>
      <w:r>
        <w:rPr>
          <w:color w:val="231F20"/>
          <w:w w:val="95"/>
        </w:rPr>
        <w:t>While</w:t>
      </w:r>
      <w:r>
        <w:rPr>
          <w:color w:val="231F20"/>
          <w:spacing w:val="-3"/>
          <w:w w:val="95"/>
        </w:rPr>
        <w:t xml:space="preserve"> </w:t>
      </w:r>
      <w:r>
        <w:rPr>
          <w:color w:val="231F20"/>
          <w:w w:val="95"/>
        </w:rPr>
        <w:t xml:space="preserve">sport </w:t>
      </w:r>
      <w:r>
        <w:rPr>
          <w:color w:val="231F20"/>
          <w:w w:val="90"/>
        </w:rPr>
        <w:t>destinations strive to be part of</w:t>
      </w:r>
      <w:r>
        <w:rPr>
          <w:color w:val="231F20"/>
          <w:spacing w:val="29"/>
        </w:rPr>
        <w:t xml:space="preserve"> </w:t>
      </w:r>
      <w:r>
        <w:rPr>
          <w:color w:val="231F20"/>
          <w:w w:val="90"/>
        </w:rPr>
        <w:t xml:space="preserve">a global sportscape, they need to preserve and </w:t>
      </w:r>
      <w:r>
        <w:rPr>
          <w:color w:val="231F20"/>
          <w:spacing w:val="-2"/>
          <w:w w:val="95"/>
        </w:rPr>
        <w:t>even</w:t>
      </w:r>
      <w:r>
        <w:rPr>
          <w:color w:val="231F20"/>
          <w:spacing w:val="-4"/>
          <w:w w:val="95"/>
        </w:rPr>
        <w:t xml:space="preserve"> </w:t>
      </w:r>
      <w:r>
        <w:rPr>
          <w:color w:val="231F20"/>
          <w:spacing w:val="-2"/>
          <w:w w:val="95"/>
        </w:rPr>
        <w:t>strengthen</w:t>
      </w:r>
      <w:r>
        <w:rPr>
          <w:color w:val="231F20"/>
          <w:spacing w:val="-4"/>
          <w:w w:val="95"/>
        </w:rPr>
        <w:t xml:space="preserve"> </w:t>
      </w:r>
      <w:r>
        <w:rPr>
          <w:color w:val="231F20"/>
          <w:spacing w:val="-2"/>
          <w:w w:val="95"/>
        </w:rPr>
        <w:t>their</w:t>
      </w:r>
      <w:r>
        <w:rPr>
          <w:color w:val="231F20"/>
          <w:spacing w:val="-4"/>
          <w:w w:val="95"/>
        </w:rPr>
        <w:t xml:space="preserve"> </w:t>
      </w:r>
      <w:r>
        <w:rPr>
          <w:color w:val="231F20"/>
          <w:spacing w:val="-2"/>
          <w:w w:val="95"/>
        </w:rPr>
        <w:t>local</w:t>
      </w:r>
      <w:r>
        <w:rPr>
          <w:color w:val="231F20"/>
          <w:spacing w:val="-4"/>
          <w:w w:val="95"/>
        </w:rPr>
        <w:t xml:space="preserve"> </w:t>
      </w:r>
      <w:r>
        <w:rPr>
          <w:color w:val="231F20"/>
          <w:spacing w:val="-2"/>
          <w:w w:val="95"/>
        </w:rPr>
        <w:t>sport</w:t>
      </w:r>
      <w:r>
        <w:rPr>
          <w:color w:val="231F20"/>
          <w:spacing w:val="-4"/>
          <w:w w:val="95"/>
        </w:rPr>
        <w:t xml:space="preserve"> </w:t>
      </w:r>
      <w:r>
        <w:rPr>
          <w:color w:val="231F20"/>
          <w:spacing w:val="-2"/>
          <w:w w:val="95"/>
        </w:rPr>
        <w:t>culture</w:t>
      </w:r>
      <w:r>
        <w:rPr>
          <w:color w:val="231F20"/>
          <w:spacing w:val="-4"/>
          <w:w w:val="95"/>
        </w:rPr>
        <w:t xml:space="preserve"> </w:t>
      </w:r>
      <w:r>
        <w:rPr>
          <w:color w:val="231F20"/>
          <w:spacing w:val="-2"/>
          <w:w w:val="95"/>
        </w:rPr>
        <w:t>to</w:t>
      </w:r>
      <w:r>
        <w:rPr>
          <w:color w:val="231F20"/>
          <w:spacing w:val="-4"/>
          <w:w w:val="95"/>
        </w:rPr>
        <w:t xml:space="preserve"> </w:t>
      </w:r>
      <w:r>
        <w:rPr>
          <w:color w:val="231F20"/>
          <w:spacing w:val="-2"/>
          <w:w w:val="95"/>
        </w:rPr>
        <w:t>achieve</w:t>
      </w:r>
      <w:r>
        <w:rPr>
          <w:color w:val="231F20"/>
          <w:spacing w:val="-4"/>
          <w:w w:val="95"/>
        </w:rPr>
        <w:t xml:space="preserve"> </w:t>
      </w:r>
      <w:r>
        <w:rPr>
          <w:color w:val="231F20"/>
          <w:spacing w:val="-2"/>
          <w:w w:val="95"/>
        </w:rPr>
        <w:t>success</w:t>
      </w:r>
      <w:r>
        <w:rPr>
          <w:color w:val="231F20"/>
          <w:spacing w:val="-4"/>
          <w:w w:val="95"/>
        </w:rPr>
        <w:t xml:space="preserve"> </w:t>
      </w:r>
      <w:r>
        <w:rPr>
          <w:color w:val="231F20"/>
          <w:spacing w:val="-2"/>
          <w:w w:val="95"/>
        </w:rPr>
        <w:t>in</w:t>
      </w:r>
      <w:r>
        <w:rPr>
          <w:color w:val="231F20"/>
          <w:spacing w:val="-4"/>
          <w:w w:val="95"/>
        </w:rPr>
        <w:t xml:space="preserve"> </w:t>
      </w:r>
      <w:r>
        <w:rPr>
          <w:color w:val="231F20"/>
          <w:spacing w:val="-2"/>
          <w:w w:val="95"/>
        </w:rPr>
        <w:t>this</w:t>
      </w:r>
      <w:r>
        <w:rPr>
          <w:color w:val="231F20"/>
          <w:spacing w:val="-4"/>
          <w:w w:val="95"/>
        </w:rPr>
        <w:t xml:space="preserve"> </w:t>
      </w:r>
      <w:r>
        <w:rPr>
          <w:color w:val="231F20"/>
          <w:spacing w:val="-2"/>
          <w:w w:val="95"/>
        </w:rPr>
        <w:t>area.</w:t>
      </w:r>
      <w:r>
        <w:rPr>
          <w:color w:val="231F20"/>
          <w:spacing w:val="-4"/>
          <w:w w:val="95"/>
        </w:rPr>
        <w:t xml:space="preserve"> </w:t>
      </w:r>
      <w:r>
        <w:rPr>
          <w:color w:val="231F20"/>
          <w:spacing w:val="-2"/>
          <w:w w:val="95"/>
        </w:rPr>
        <w:t xml:space="preserve">These </w:t>
      </w:r>
      <w:r>
        <w:rPr>
          <w:color w:val="231F20"/>
          <w:w w:val="95"/>
        </w:rPr>
        <w:t xml:space="preserve">tensions between the local and the global are particularly well illustrated in </w:t>
      </w:r>
      <w:r>
        <w:rPr>
          <w:color w:val="231F20"/>
        </w:rPr>
        <w:t>the</w:t>
      </w:r>
      <w:r>
        <w:rPr>
          <w:color w:val="231F20"/>
          <w:spacing w:val="-7"/>
        </w:rPr>
        <w:t xml:space="preserve"> </w:t>
      </w:r>
      <w:r>
        <w:rPr>
          <w:color w:val="231F20"/>
        </w:rPr>
        <w:t>case</w:t>
      </w:r>
      <w:r>
        <w:rPr>
          <w:color w:val="231F20"/>
          <w:spacing w:val="-7"/>
        </w:rPr>
        <w:t xml:space="preserve"> </w:t>
      </w:r>
      <w:r>
        <w:rPr>
          <w:color w:val="231F20"/>
        </w:rPr>
        <w:t>of Liv</w:t>
      </w:r>
      <w:r>
        <w:rPr>
          <w:color w:val="231F20"/>
        </w:rPr>
        <w:t>erpool</w:t>
      </w:r>
      <w:r>
        <w:rPr>
          <w:color w:val="231F20"/>
          <w:spacing w:val="-7"/>
        </w:rPr>
        <w:t xml:space="preserve"> </w:t>
      </w:r>
      <w:r>
        <w:rPr>
          <w:color w:val="231F20"/>
        </w:rPr>
        <w:t>FC</w:t>
      </w:r>
      <w:r>
        <w:rPr>
          <w:color w:val="231F20"/>
          <w:spacing w:val="-7"/>
        </w:rPr>
        <w:t xml:space="preserve"> </w:t>
      </w:r>
      <w:r>
        <w:rPr>
          <w:color w:val="231F20"/>
        </w:rPr>
        <w:t>(Case</w:t>
      </w:r>
      <w:r>
        <w:rPr>
          <w:color w:val="231F20"/>
          <w:spacing w:val="-7"/>
        </w:rPr>
        <w:t xml:space="preserve"> </w:t>
      </w:r>
      <w:r>
        <w:rPr>
          <w:color w:val="231F20"/>
        </w:rPr>
        <w:t>Study</w:t>
      </w:r>
      <w:r>
        <w:rPr>
          <w:color w:val="231F20"/>
          <w:spacing w:val="-7"/>
        </w:rPr>
        <w:t xml:space="preserve"> </w:t>
      </w:r>
      <w:r>
        <w:rPr>
          <w:color w:val="231F20"/>
        </w:rPr>
        <w:t>6.1).</w:t>
      </w:r>
      <w:r>
        <w:rPr>
          <w:color w:val="231F20"/>
          <w:spacing w:val="-7"/>
        </w:rPr>
        <w:t xml:space="preserve"> </w:t>
      </w:r>
      <w:r>
        <w:rPr>
          <w:color w:val="231F20"/>
        </w:rPr>
        <w:t>Fundamentally,</w:t>
      </w:r>
      <w:r>
        <w:rPr>
          <w:color w:val="231F20"/>
          <w:spacing w:val="-7"/>
        </w:rPr>
        <w:t xml:space="preserve"> </w:t>
      </w:r>
      <w:r>
        <w:rPr>
          <w:color w:val="231F20"/>
        </w:rPr>
        <w:t>the</w:t>
      </w:r>
      <w:r>
        <w:rPr>
          <w:color w:val="231F20"/>
          <w:spacing w:val="-7"/>
        </w:rPr>
        <w:t xml:space="preserve"> </w:t>
      </w:r>
      <w:r>
        <w:rPr>
          <w:color w:val="231F20"/>
        </w:rPr>
        <w:t>integrity</w:t>
      </w:r>
      <w:r>
        <w:rPr>
          <w:color w:val="231F20"/>
          <w:spacing w:val="-7"/>
        </w:rPr>
        <w:t xml:space="preserve"> </w:t>
      </w:r>
      <w:r>
        <w:rPr>
          <w:color w:val="231F20"/>
        </w:rPr>
        <w:t>of the</w:t>
      </w:r>
      <w:r>
        <w:rPr>
          <w:color w:val="231F20"/>
          <w:spacing w:val="-7"/>
        </w:rPr>
        <w:t xml:space="preserve"> </w:t>
      </w:r>
      <w:r>
        <w:rPr>
          <w:color w:val="231F20"/>
        </w:rPr>
        <w:t>sports</w:t>
      </w:r>
      <w:r>
        <w:rPr>
          <w:color w:val="231F20"/>
          <w:spacing w:val="-7"/>
        </w:rPr>
        <w:t xml:space="preserve"> </w:t>
      </w:r>
      <w:r>
        <w:rPr>
          <w:color w:val="231F20"/>
        </w:rPr>
        <w:t>being</w:t>
      </w:r>
      <w:r>
        <w:rPr>
          <w:color w:val="231F20"/>
          <w:spacing w:val="-7"/>
        </w:rPr>
        <w:t xml:space="preserve"> </w:t>
      </w:r>
      <w:r>
        <w:rPr>
          <w:color w:val="231F20"/>
        </w:rPr>
        <w:t>commodified</w:t>
      </w:r>
      <w:r>
        <w:rPr>
          <w:color w:val="231F20"/>
          <w:spacing w:val="-7"/>
        </w:rPr>
        <w:t xml:space="preserve"> </w:t>
      </w:r>
      <w:r>
        <w:rPr>
          <w:color w:val="231F20"/>
        </w:rPr>
        <w:t>for</w:t>
      </w:r>
      <w:r>
        <w:rPr>
          <w:color w:val="231F20"/>
          <w:spacing w:val="-7"/>
        </w:rPr>
        <w:t xml:space="preserve"> </w:t>
      </w:r>
      <w:r>
        <w:rPr>
          <w:color w:val="231F20"/>
        </w:rPr>
        <w:t>sport</w:t>
      </w:r>
      <w:r>
        <w:rPr>
          <w:color w:val="231F20"/>
          <w:spacing w:val="-7"/>
        </w:rPr>
        <w:t xml:space="preserve"> </w:t>
      </w:r>
      <w:r>
        <w:rPr>
          <w:color w:val="231F20"/>
        </w:rPr>
        <w:t>tourism</w:t>
      </w:r>
      <w:r>
        <w:rPr>
          <w:color w:val="231F20"/>
          <w:spacing w:val="-7"/>
        </w:rPr>
        <w:t xml:space="preserve"> </w:t>
      </w:r>
      <w:r>
        <w:rPr>
          <w:color w:val="231F20"/>
        </w:rPr>
        <w:t>must</w:t>
      </w:r>
      <w:r>
        <w:rPr>
          <w:color w:val="231F20"/>
          <w:spacing w:val="-7"/>
        </w:rPr>
        <w:t xml:space="preserve"> </w:t>
      </w:r>
      <w:r>
        <w:rPr>
          <w:color w:val="231F20"/>
        </w:rPr>
        <w:t>be</w:t>
      </w:r>
      <w:r>
        <w:rPr>
          <w:color w:val="231F20"/>
          <w:spacing w:val="-7"/>
        </w:rPr>
        <w:t xml:space="preserve"> </w:t>
      </w:r>
      <w:r>
        <w:rPr>
          <w:color w:val="231F20"/>
        </w:rPr>
        <w:t>protected.</w:t>
      </w:r>
      <w:r>
        <w:rPr>
          <w:color w:val="231F20"/>
          <w:spacing w:val="-7"/>
        </w:rPr>
        <w:t xml:space="preserve"> </w:t>
      </w:r>
      <w:r>
        <w:rPr>
          <w:color w:val="231F20"/>
        </w:rPr>
        <w:t>Place marketers</w:t>
      </w:r>
      <w:r>
        <w:rPr>
          <w:color w:val="231F20"/>
          <w:spacing w:val="-4"/>
        </w:rPr>
        <w:t xml:space="preserve"> </w:t>
      </w:r>
      <w:r>
        <w:rPr>
          <w:color w:val="231F20"/>
        </w:rPr>
        <w:t>must</w:t>
      </w:r>
      <w:r>
        <w:rPr>
          <w:color w:val="231F20"/>
          <w:spacing w:val="-4"/>
        </w:rPr>
        <w:t xml:space="preserve"> </w:t>
      </w:r>
      <w:r>
        <w:rPr>
          <w:color w:val="231F20"/>
        </w:rPr>
        <w:t>avoid</w:t>
      </w:r>
      <w:r>
        <w:rPr>
          <w:color w:val="231F20"/>
          <w:spacing w:val="-4"/>
        </w:rPr>
        <w:t xml:space="preserve"> </w:t>
      </w:r>
      <w:r>
        <w:rPr>
          <w:color w:val="231F20"/>
        </w:rPr>
        <w:t>the</w:t>
      </w:r>
      <w:r>
        <w:rPr>
          <w:color w:val="231F20"/>
          <w:spacing w:val="-4"/>
        </w:rPr>
        <w:t xml:space="preserve"> </w:t>
      </w:r>
      <w:r>
        <w:rPr>
          <w:color w:val="231F20"/>
        </w:rPr>
        <w:t>temptation</w:t>
      </w:r>
      <w:r>
        <w:rPr>
          <w:color w:val="231F20"/>
          <w:spacing w:val="-4"/>
        </w:rPr>
        <w:t xml:space="preserve"> </w:t>
      </w:r>
      <w:r>
        <w:rPr>
          <w:color w:val="231F20"/>
        </w:rPr>
        <w:t>to</w:t>
      </w:r>
      <w:r>
        <w:rPr>
          <w:color w:val="231F20"/>
          <w:spacing w:val="-4"/>
        </w:rPr>
        <w:t xml:space="preserve"> </w:t>
      </w:r>
      <w:r>
        <w:rPr>
          <w:color w:val="231F20"/>
        </w:rPr>
        <w:t>sensationalise</w:t>
      </w:r>
      <w:r>
        <w:rPr>
          <w:color w:val="231F20"/>
          <w:spacing w:val="-4"/>
        </w:rPr>
        <w:t xml:space="preserve"> </w:t>
      </w:r>
      <w:r>
        <w:rPr>
          <w:color w:val="231F20"/>
        </w:rPr>
        <w:t>or</w:t>
      </w:r>
      <w:r>
        <w:rPr>
          <w:color w:val="231F20"/>
          <w:spacing w:val="-4"/>
        </w:rPr>
        <w:t xml:space="preserve"> </w:t>
      </w:r>
      <w:r>
        <w:rPr>
          <w:color w:val="231F20"/>
        </w:rPr>
        <w:t>spectacularise featured</w:t>
      </w:r>
      <w:r>
        <w:rPr>
          <w:color w:val="231F20"/>
          <w:spacing w:val="-8"/>
        </w:rPr>
        <w:t xml:space="preserve"> </w:t>
      </w:r>
      <w:r>
        <w:rPr>
          <w:color w:val="231F20"/>
        </w:rPr>
        <w:t>sports</w:t>
      </w:r>
      <w:r>
        <w:rPr>
          <w:color w:val="231F20"/>
          <w:spacing w:val="-8"/>
        </w:rPr>
        <w:t xml:space="preserve"> </w:t>
      </w:r>
      <w:r>
        <w:rPr>
          <w:color w:val="231F20"/>
        </w:rPr>
        <w:t>in</w:t>
      </w:r>
      <w:r>
        <w:rPr>
          <w:color w:val="231F20"/>
          <w:spacing w:val="-8"/>
        </w:rPr>
        <w:t xml:space="preserve"> </w:t>
      </w:r>
      <w:r>
        <w:rPr>
          <w:color w:val="231F20"/>
        </w:rPr>
        <w:t>a</w:t>
      </w:r>
      <w:r>
        <w:rPr>
          <w:color w:val="231F20"/>
          <w:spacing w:val="-8"/>
        </w:rPr>
        <w:t xml:space="preserve"> </w:t>
      </w:r>
      <w:r>
        <w:rPr>
          <w:color w:val="231F20"/>
        </w:rPr>
        <w:t>way</w:t>
      </w:r>
      <w:r>
        <w:rPr>
          <w:color w:val="231F20"/>
          <w:spacing w:val="-8"/>
        </w:rPr>
        <w:t xml:space="preserve"> </w:t>
      </w:r>
      <w:r>
        <w:rPr>
          <w:color w:val="231F20"/>
        </w:rPr>
        <w:t>that</w:t>
      </w:r>
      <w:r>
        <w:rPr>
          <w:color w:val="231F20"/>
          <w:spacing w:val="-8"/>
        </w:rPr>
        <w:t xml:space="preserve"> </w:t>
      </w:r>
      <w:r>
        <w:rPr>
          <w:color w:val="231F20"/>
        </w:rPr>
        <w:t>erodes</w:t>
      </w:r>
      <w:r>
        <w:rPr>
          <w:color w:val="231F20"/>
          <w:spacing w:val="-8"/>
        </w:rPr>
        <w:t xml:space="preserve"> </w:t>
      </w:r>
      <w:r>
        <w:rPr>
          <w:color w:val="231F20"/>
        </w:rPr>
        <w:t>the</w:t>
      </w:r>
      <w:r>
        <w:rPr>
          <w:color w:val="231F20"/>
          <w:spacing w:val="-8"/>
        </w:rPr>
        <w:t xml:space="preserve"> </w:t>
      </w:r>
      <w:r>
        <w:rPr>
          <w:color w:val="231F20"/>
        </w:rPr>
        <w:t>essence</w:t>
      </w:r>
      <w:r>
        <w:rPr>
          <w:color w:val="231F20"/>
          <w:spacing w:val="-8"/>
        </w:rPr>
        <w:t xml:space="preserve"> </w:t>
      </w:r>
      <w:r>
        <w:rPr>
          <w:color w:val="231F20"/>
        </w:rPr>
        <w:t>of the</w:t>
      </w:r>
      <w:r>
        <w:rPr>
          <w:color w:val="231F20"/>
          <w:spacing w:val="-8"/>
        </w:rPr>
        <w:t xml:space="preserve"> </w:t>
      </w:r>
      <w:r>
        <w:rPr>
          <w:color w:val="231F20"/>
        </w:rPr>
        <w:t>sport</w:t>
      </w:r>
      <w:r>
        <w:rPr>
          <w:color w:val="231F20"/>
          <w:spacing w:val="-8"/>
        </w:rPr>
        <w:t xml:space="preserve"> </w:t>
      </w:r>
      <w:r>
        <w:rPr>
          <w:color w:val="231F20"/>
        </w:rPr>
        <w:t xml:space="preserve">competition and the local destination. While place marketers who seek to develop </w:t>
      </w:r>
      <w:r>
        <w:rPr>
          <w:color w:val="231F20"/>
          <w:w w:val="95"/>
        </w:rPr>
        <w:t>powerful</w:t>
      </w:r>
      <w:r>
        <w:rPr>
          <w:color w:val="231F20"/>
          <w:spacing w:val="-5"/>
          <w:w w:val="95"/>
        </w:rPr>
        <w:t xml:space="preserve"> </w:t>
      </w:r>
      <w:r>
        <w:rPr>
          <w:color w:val="231F20"/>
          <w:w w:val="95"/>
        </w:rPr>
        <w:t>destination</w:t>
      </w:r>
      <w:r>
        <w:rPr>
          <w:color w:val="231F20"/>
          <w:spacing w:val="-5"/>
          <w:w w:val="95"/>
        </w:rPr>
        <w:t xml:space="preserve"> </w:t>
      </w:r>
      <w:r>
        <w:rPr>
          <w:color w:val="231F20"/>
          <w:w w:val="95"/>
        </w:rPr>
        <w:t>brands</w:t>
      </w:r>
      <w:r>
        <w:rPr>
          <w:color w:val="231F20"/>
          <w:spacing w:val="-5"/>
          <w:w w:val="95"/>
        </w:rPr>
        <w:t xml:space="preserve"> </w:t>
      </w:r>
      <w:r>
        <w:rPr>
          <w:color w:val="231F20"/>
          <w:w w:val="95"/>
        </w:rPr>
        <w:t>are</w:t>
      </w:r>
      <w:r>
        <w:rPr>
          <w:color w:val="231F20"/>
          <w:spacing w:val="-5"/>
          <w:w w:val="95"/>
        </w:rPr>
        <w:t xml:space="preserve"> </w:t>
      </w:r>
      <w:r>
        <w:rPr>
          <w:color w:val="231F20"/>
          <w:w w:val="95"/>
        </w:rPr>
        <w:t>in</w:t>
      </w:r>
      <w:r>
        <w:rPr>
          <w:color w:val="231F20"/>
          <w:spacing w:val="-5"/>
          <w:w w:val="95"/>
        </w:rPr>
        <w:t xml:space="preserve"> </w:t>
      </w:r>
      <w:r>
        <w:rPr>
          <w:color w:val="231F20"/>
          <w:w w:val="95"/>
        </w:rPr>
        <w:t>the</w:t>
      </w:r>
      <w:r>
        <w:rPr>
          <w:color w:val="231F20"/>
          <w:spacing w:val="-5"/>
          <w:w w:val="95"/>
        </w:rPr>
        <w:t xml:space="preserve"> </w:t>
      </w:r>
      <w:r>
        <w:rPr>
          <w:color w:val="231F20"/>
          <w:w w:val="95"/>
        </w:rPr>
        <w:t>business</w:t>
      </w:r>
      <w:r>
        <w:rPr>
          <w:color w:val="231F20"/>
          <w:spacing w:val="-5"/>
          <w:w w:val="95"/>
        </w:rPr>
        <w:t xml:space="preserve"> </w:t>
      </w:r>
      <w:r>
        <w:rPr>
          <w:color w:val="231F20"/>
          <w:w w:val="95"/>
        </w:rPr>
        <w:t>of</w:t>
      </w:r>
      <w:r>
        <w:rPr>
          <w:color w:val="231F20"/>
        </w:rPr>
        <w:t xml:space="preserve"> </w:t>
      </w:r>
      <w:r>
        <w:rPr>
          <w:color w:val="231F20"/>
          <w:w w:val="95"/>
        </w:rPr>
        <w:t>commodifying</w:t>
      </w:r>
      <w:r>
        <w:rPr>
          <w:color w:val="231F20"/>
          <w:spacing w:val="-5"/>
          <w:w w:val="95"/>
        </w:rPr>
        <w:t xml:space="preserve"> </w:t>
      </w:r>
      <w:r>
        <w:rPr>
          <w:color w:val="231F20"/>
          <w:w w:val="95"/>
        </w:rPr>
        <w:t>both</w:t>
      </w:r>
      <w:r>
        <w:rPr>
          <w:color w:val="231F20"/>
          <w:spacing w:val="-5"/>
          <w:w w:val="95"/>
        </w:rPr>
        <w:t xml:space="preserve"> </w:t>
      </w:r>
      <w:r>
        <w:rPr>
          <w:color w:val="231F20"/>
          <w:w w:val="95"/>
        </w:rPr>
        <w:t>place and sport, if the local meanings associated with sport are compromised or destr</w:t>
      </w:r>
      <w:r>
        <w:rPr>
          <w:color w:val="231F20"/>
          <w:w w:val="95"/>
        </w:rPr>
        <w:t>oyed,</w:t>
      </w:r>
      <w:r>
        <w:rPr>
          <w:color w:val="231F20"/>
          <w:spacing w:val="-10"/>
          <w:w w:val="95"/>
        </w:rPr>
        <w:t xml:space="preserve"> </w:t>
      </w:r>
      <w:r>
        <w:rPr>
          <w:color w:val="231F20"/>
          <w:w w:val="95"/>
        </w:rPr>
        <w:t>then</w:t>
      </w:r>
      <w:r>
        <w:rPr>
          <w:color w:val="231F20"/>
          <w:spacing w:val="-9"/>
          <w:w w:val="95"/>
        </w:rPr>
        <w:t xml:space="preserve"> </w:t>
      </w:r>
      <w:r>
        <w:rPr>
          <w:color w:val="231F20"/>
          <w:w w:val="95"/>
        </w:rPr>
        <w:t>the</w:t>
      </w:r>
      <w:r>
        <w:rPr>
          <w:color w:val="231F20"/>
          <w:spacing w:val="-9"/>
          <w:w w:val="95"/>
        </w:rPr>
        <w:t xml:space="preserve"> </w:t>
      </w:r>
      <w:r>
        <w:rPr>
          <w:color w:val="231F20"/>
          <w:w w:val="95"/>
        </w:rPr>
        <w:t>sport</w:t>
      </w:r>
      <w:r>
        <w:rPr>
          <w:color w:val="231F20"/>
          <w:spacing w:val="-9"/>
          <w:w w:val="95"/>
        </w:rPr>
        <w:t xml:space="preserve"> </w:t>
      </w:r>
      <w:r>
        <w:rPr>
          <w:color w:val="231F20"/>
          <w:w w:val="95"/>
        </w:rPr>
        <w:t>resource</w:t>
      </w:r>
      <w:r>
        <w:rPr>
          <w:color w:val="231F20"/>
          <w:spacing w:val="-10"/>
          <w:w w:val="95"/>
        </w:rPr>
        <w:t xml:space="preserve"> </w:t>
      </w:r>
      <w:r>
        <w:rPr>
          <w:color w:val="231F20"/>
          <w:w w:val="95"/>
        </w:rPr>
        <w:t>and</w:t>
      </w:r>
      <w:r>
        <w:rPr>
          <w:color w:val="231F20"/>
          <w:spacing w:val="-9"/>
          <w:w w:val="95"/>
        </w:rPr>
        <w:t xml:space="preserve"> </w:t>
      </w:r>
      <w:r>
        <w:rPr>
          <w:color w:val="231F20"/>
          <w:w w:val="95"/>
        </w:rPr>
        <w:t>the</w:t>
      </w:r>
      <w:r>
        <w:rPr>
          <w:color w:val="231F20"/>
          <w:spacing w:val="-9"/>
          <w:w w:val="95"/>
        </w:rPr>
        <w:t xml:space="preserve"> </w:t>
      </w:r>
      <w:r>
        <w:rPr>
          <w:color w:val="231F20"/>
          <w:w w:val="95"/>
        </w:rPr>
        <w:t>attractiveness</w:t>
      </w:r>
      <w:r>
        <w:rPr>
          <w:color w:val="231F20"/>
          <w:spacing w:val="-9"/>
          <w:w w:val="95"/>
        </w:rPr>
        <w:t xml:space="preserve"> </w:t>
      </w:r>
      <w:r>
        <w:rPr>
          <w:color w:val="231F20"/>
          <w:w w:val="95"/>
        </w:rPr>
        <w:t>of</w:t>
      </w:r>
      <w:r>
        <w:rPr>
          <w:color w:val="231F20"/>
          <w:spacing w:val="-10"/>
          <w:w w:val="95"/>
        </w:rPr>
        <w:t xml:space="preserve"> </w:t>
      </w:r>
      <w:r>
        <w:rPr>
          <w:color w:val="231F20"/>
          <w:w w:val="95"/>
        </w:rPr>
        <w:t>sport</w:t>
      </w:r>
      <w:r>
        <w:rPr>
          <w:color w:val="231F20"/>
          <w:spacing w:val="-9"/>
          <w:w w:val="95"/>
        </w:rPr>
        <w:t xml:space="preserve"> </w:t>
      </w:r>
      <w:r>
        <w:rPr>
          <w:color w:val="231F20"/>
          <w:w w:val="95"/>
        </w:rPr>
        <w:t>as</w:t>
      </w:r>
      <w:r>
        <w:rPr>
          <w:color w:val="231F20"/>
          <w:spacing w:val="-9"/>
          <w:w w:val="95"/>
        </w:rPr>
        <w:t xml:space="preserve"> </w:t>
      </w:r>
      <w:r>
        <w:rPr>
          <w:color w:val="231F20"/>
          <w:w w:val="95"/>
        </w:rPr>
        <w:t>a</w:t>
      </w:r>
      <w:r>
        <w:rPr>
          <w:color w:val="231F20"/>
          <w:spacing w:val="-9"/>
          <w:w w:val="95"/>
        </w:rPr>
        <w:t xml:space="preserve"> </w:t>
      </w:r>
      <w:r>
        <w:rPr>
          <w:color w:val="231F20"/>
          <w:w w:val="95"/>
        </w:rPr>
        <w:t xml:space="preserve">tourist </w:t>
      </w:r>
      <w:r>
        <w:rPr>
          <w:color w:val="231F20"/>
        </w:rPr>
        <w:t>attraction will also be compromised.</w:t>
      </w:r>
    </w:p>
    <w:p w14:paraId="0AECADAB" w14:textId="77777777" w:rsidR="00AE0598" w:rsidRDefault="00AE0598">
      <w:pPr>
        <w:spacing w:line="232" w:lineRule="auto"/>
        <w:jc w:val="both"/>
        <w:sectPr w:rsidR="00AE0598">
          <w:pgSz w:w="8850" w:h="13270"/>
          <w:pgMar w:top="720" w:right="1060" w:bottom="280" w:left="1080" w:header="720" w:footer="720" w:gutter="0"/>
          <w:cols w:space="720"/>
        </w:sectPr>
      </w:pPr>
    </w:p>
    <w:p w14:paraId="34CF2627" w14:textId="77777777" w:rsidR="00AE0598" w:rsidRDefault="0069255A">
      <w:pPr>
        <w:spacing w:before="87"/>
        <w:ind w:left="110" w:right="128"/>
        <w:jc w:val="right"/>
        <w:rPr>
          <w:rFonts w:ascii="Trebuchet MS"/>
          <w:sz w:val="14"/>
        </w:rPr>
      </w:pPr>
      <w:r>
        <w:rPr>
          <w:rFonts w:ascii="Trebuchet MS"/>
          <w:color w:val="231F20"/>
          <w:w w:val="105"/>
          <w:sz w:val="14"/>
        </w:rPr>
        <w:lastRenderedPageBreak/>
        <w:t>Place,</w:t>
      </w:r>
      <w:r>
        <w:rPr>
          <w:rFonts w:ascii="Trebuchet MS"/>
          <w:color w:val="231F20"/>
          <w:spacing w:val="-12"/>
          <w:w w:val="105"/>
          <w:sz w:val="14"/>
        </w:rPr>
        <w:t xml:space="preserve"> </w:t>
      </w:r>
      <w:r>
        <w:rPr>
          <w:rFonts w:ascii="Trebuchet MS"/>
          <w:color w:val="231F20"/>
          <w:w w:val="105"/>
          <w:sz w:val="14"/>
        </w:rPr>
        <w:t>Sport</w:t>
      </w:r>
      <w:r>
        <w:rPr>
          <w:rFonts w:ascii="Trebuchet MS"/>
          <w:color w:val="231F20"/>
          <w:spacing w:val="-11"/>
          <w:w w:val="105"/>
          <w:sz w:val="14"/>
        </w:rPr>
        <w:t xml:space="preserve"> </w:t>
      </w:r>
      <w:r>
        <w:rPr>
          <w:rFonts w:ascii="Trebuchet MS"/>
          <w:color w:val="231F20"/>
          <w:w w:val="105"/>
          <w:sz w:val="14"/>
        </w:rPr>
        <w:t>and</w:t>
      </w:r>
      <w:r>
        <w:rPr>
          <w:rFonts w:ascii="Trebuchet MS"/>
          <w:color w:val="231F20"/>
          <w:spacing w:val="-11"/>
          <w:w w:val="105"/>
          <w:sz w:val="14"/>
        </w:rPr>
        <w:t xml:space="preserve"> </w:t>
      </w:r>
      <w:r>
        <w:rPr>
          <w:rFonts w:ascii="Trebuchet MS"/>
          <w:color w:val="231F20"/>
          <w:w w:val="105"/>
          <w:sz w:val="14"/>
        </w:rPr>
        <w:t>Culture</w:t>
      </w:r>
      <w:r>
        <w:rPr>
          <w:rFonts w:ascii="Trebuchet MS"/>
          <w:color w:val="231F20"/>
          <w:spacing w:val="71"/>
          <w:w w:val="105"/>
          <w:sz w:val="14"/>
        </w:rPr>
        <w:t xml:space="preserve"> </w:t>
      </w:r>
      <w:r>
        <w:rPr>
          <w:rFonts w:ascii="Trebuchet MS"/>
          <w:color w:val="231F20"/>
          <w:spacing w:val="-5"/>
          <w:w w:val="105"/>
          <w:sz w:val="14"/>
        </w:rPr>
        <w:t>131</w:t>
      </w:r>
    </w:p>
    <w:p w14:paraId="09F78661" w14:textId="77777777" w:rsidR="00AE0598" w:rsidRDefault="00AE0598">
      <w:pPr>
        <w:pStyle w:val="Corpodetexto"/>
        <w:rPr>
          <w:rFonts w:ascii="Trebuchet MS"/>
          <w:sz w:val="16"/>
        </w:rPr>
      </w:pPr>
    </w:p>
    <w:p w14:paraId="77EAF367" w14:textId="77777777" w:rsidR="00AE0598" w:rsidRDefault="0069255A">
      <w:pPr>
        <w:pStyle w:val="Corpodetexto"/>
        <w:spacing w:before="118" w:line="232" w:lineRule="auto"/>
        <w:ind w:left="110" w:right="126" w:firstLine="320"/>
        <w:jc w:val="both"/>
      </w:pPr>
      <w:r>
        <w:rPr>
          <w:color w:val="231F20"/>
          <w:w w:val="95"/>
        </w:rPr>
        <w:t xml:space="preserve">Finally, it must be recognised that there are multiple meanings of place </w:t>
      </w:r>
      <w:r>
        <w:rPr>
          <w:color w:val="231F20"/>
          <w:w w:val="90"/>
        </w:rPr>
        <w:t xml:space="preserve">in tourism spaces (Schollmann </w:t>
      </w:r>
      <w:r>
        <w:rPr>
          <w:i/>
          <w:color w:val="231F20"/>
          <w:w w:val="90"/>
        </w:rPr>
        <w:t>et al.</w:t>
      </w:r>
      <w:r>
        <w:rPr>
          <w:color w:val="231F20"/>
          <w:w w:val="90"/>
        </w:rPr>
        <w:t xml:space="preserve">, 2001; Sherlock, 2001). Place marketers </w:t>
      </w:r>
      <w:r>
        <w:rPr>
          <w:color w:val="231F20"/>
        </w:rPr>
        <w:t>who use sport as a marketing tool need to appreciate the contrasting perspectives of place held by differe</w:t>
      </w:r>
      <w:r>
        <w:rPr>
          <w:color w:val="231F20"/>
        </w:rPr>
        <w:t>nt groups within the community. Distinct place meanings are not just associated with hosts and guests</w:t>
      </w:r>
      <w:r>
        <w:rPr>
          <w:color w:val="231F20"/>
          <w:spacing w:val="40"/>
        </w:rPr>
        <w:t xml:space="preserve"> </w:t>
      </w:r>
      <w:r>
        <w:rPr>
          <w:color w:val="231F20"/>
        </w:rPr>
        <w:t>but also with the complex array of subgroups that exist therein (e.g. in the case of alpine resorts: long-term and short-term residents, second home owner</w:t>
      </w:r>
      <w:r>
        <w:rPr>
          <w:color w:val="231F20"/>
        </w:rPr>
        <w:t xml:space="preserve">s, skiers, snowboarders, climbers and numerous others). </w:t>
      </w:r>
      <w:r>
        <w:rPr>
          <w:color w:val="231F20"/>
          <w:w w:val="95"/>
        </w:rPr>
        <w:t xml:space="preserve">Failure to account for these differences may result in conflicting views on </w:t>
      </w:r>
      <w:r>
        <w:rPr>
          <w:color w:val="231F20"/>
        </w:rPr>
        <w:t>place, which are sub-optimal at the very least, and may in fact be non- sustainable in the long run.</w:t>
      </w:r>
    </w:p>
    <w:p w14:paraId="0B88B127" w14:textId="77777777" w:rsidR="00AE0598" w:rsidRDefault="00AE0598">
      <w:pPr>
        <w:spacing w:line="232" w:lineRule="auto"/>
        <w:jc w:val="both"/>
        <w:sectPr w:rsidR="00AE0598">
          <w:pgSz w:w="8850" w:h="13270"/>
          <w:pgMar w:top="720" w:right="1060" w:bottom="280" w:left="1080" w:header="720" w:footer="720" w:gutter="0"/>
          <w:cols w:space="720"/>
        </w:sectPr>
      </w:pPr>
    </w:p>
    <w:p w14:paraId="1600ED07" w14:textId="77777777" w:rsidR="00AE0598" w:rsidRDefault="0069255A">
      <w:pPr>
        <w:pStyle w:val="Ttulo1"/>
        <w:spacing w:line="252" w:lineRule="auto"/>
        <w:ind w:left="595" w:hanging="486"/>
      </w:pPr>
      <w:bookmarkStart w:id="14" w:name="_TOC_250006"/>
      <w:r>
        <w:rPr>
          <w:color w:val="231F20"/>
          <w:spacing w:val="-4"/>
          <w:w w:val="105"/>
        </w:rPr>
        <w:lastRenderedPageBreak/>
        <w:t>7</w:t>
      </w:r>
      <w:r>
        <w:rPr>
          <w:color w:val="231F20"/>
          <w:spacing w:val="3"/>
          <w:w w:val="105"/>
        </w:rPr>
        <w:t xml:space="preserve"> </w:t>
      </w:r>
      <w:r>
        <w:rPr>
          <w:color w:val="231F20"/>
          <w:spacing w:val="-4"/>
          <w:w w:val="105"/>
        </w:rPr>
        <w:t>Environment:</w:t>
      </w:r>
      <w:r>
        <w:rPr>
          <w:color w:val="231F20"/>
          <w:spacing w:val="-33"/>
          <w:w w:val="105"/>
        </w:rPr>
        <w:t xml:space="preserve"> </w:t>
      </w:r>
      <w:r>
        <w:rPr>
          <w:color w:val="231F20"/>
          <w:spacing w:val="-4"/>
          <w:w w:val="105"/>
        </w:rPr>
        <w:t xml:space="preserve">Landscape, </w:t>
      </w:r>
      <w:bookmarkEnd w:id="14"/>
      <w:r>
        <w:rPr>
          <w:color w:val="231F20"/>
          <w:w w:val="105"/>
        </w:rPr>
        <w:t>Resources and Impacts</w:t>
      </w:r>
    </w:p>
    <w:p w14:paraId="3C91E070" w14:textId="77777777" w:rsidR="00AE0598" w:rsidRDefault="00AE0598">
      <w:pPr>
        <w:pStyle w:val="Corpodetexto"/>
        <w:spacing w:before="5"/>
        <w:rPr>
          <w:rFonts w:ascii="Trebuchet MS"/>
          <w:sz w:val="77"/>
        </w:rPr>
      </w:pPr>
    </w:p>
    <w:p w14:paraId="435BF9AF" w14:textId="77777777" w:rsidR="00AE0598" w:rsidRDefault="0069255A">
      <w:pPr>
        <w:spacing w:line="206" w:lineRule="exact"/>
        <w:ind w:left="110" w:right="128"/>
        <w:jc w:val="right"/>
        <w:rPr>
          <w:i/>
          <w:sz w:val="18"/>
        </w:rPr>
      </w:pPr>
      <w:r>
        <w:rPr>
          <w:i/>
          <w:color w:val="231F20"/>
          <w:sz w:val="18"/>
        </w:rPr>
        <w:t>Sport</w:t>
      </w:r>
      <w:r>
        <w:rPr>
          <w:i/>
          <w:color w:val="231F20"/>
          <w:spacing w:val="11"/>
          <w:sz w:val="18"/>
        </w:rPr>
        <w:t xml:space="preserve"> </w:t>
      </w:r>
      <w:r>
        <w:rPr>
          <w:i/>
          <w:color w:val="231F20"/>
          <w:sz w:val="18"/>
        </w:rPr>
        <w:t>tourism’s</w:t>
      </w:r>
      <w:r>
        <w:rPr>
          <w:i/>
          <w:color w:val="231F20"/>
          <w:spacing w:val="11"/>
          <w:sz w:val="18"/>
        </w:rPr>
        <w:t xml:space="preserve"> </w:t>
      </w:r>
      <w:r>
        <w:rPr>
          <w:i/>
          <w:color w:val="231F20"/>
          <w:sz w:val="18"/>
        </w:rPr>
        <w:t>link</w:t>
      </w:r>
      <w:r>
        <w:rPr>
          <w:i/>
          <w:color w:val="231F20"/>
          <w:spacing w:val="11"/>
          <w:sz w:val="18"/>
        </w:rPr>
        <w:t xml:space="preserve"> </w:t>
      </w:r>
      <w:r>
        <w:rPr>
          <w:i/>
          <w:color w:val="231F20"/>
          <w:sz w:val="18"/>
        </w:rPr>
        <w:t>to</w:t>
      </w:r>
      <w:r>
        <w:rPr>
          <w:i/>
          <w:color w:val="231F20"/>
          <w:spacing w:val="11"/>
          <w:sz w:val="18"/>
        </w:rPr>
        <w:t xml:space="preserve"> </w:t>
      </w:r>
      <w:r>
        <w:rPr>
          <w:i/>
          <w:color w:val="231F20"/>
          <w:sz w:val="18"/>
        </w:rPr>
        <w:t>the</w:t>
      </w:r>
      <w:r>
        <w:rPr>
          <w:i/>
          <w:color w:val="231F20"/>
          <w:spacing w:val="11"/>
          <w:sz w:val="18"/>
        </w:rPr>
        <w:t xml:space="preserve"> </w:t>
      </w:r>
      <w:r>
        <w:rPr>
          <w:i/>
          <w:color w:val="231F20"/>
          <w:sz w:val="18"/>
        </w:rPr>
        <w:t>environment</w:t>
      </w:r>
      <w:r>
        <w:rPr>
          <w:i/>
          <w:color w:val="231F20"/>
          <w:spacing w:val="11"/>
          <w:sz w:val="18"/>
        </w:rPr>
        <w:t xml:space="preserve"> </w:t>
      </w:r>
      <w:r>
        <w:rPr>
          <w:i/>
          <w:color w:val="231F20"/>
          <w:sz w:val="18"/>
        </w:rPr>
        <w:t>is</w:t>
      </w:r>
      <w:r>
        <w:rPr>
          <w:i/>
          <w:color w:val="231F20"/>
          <w:spacing w:val="11"/>
          <w:sz w:val="18"/>
        </w:rPr>
        <w:t xml:space="preserve"> </w:t>
      </w:r>
      <w:r>
        <w:rPr>
          <w:i/>
          <w:color w:val="231F20"/>
          <w:sz w:val="18"/>
        </w:rPr>
        <w:t>both</w:t>
      </w:r>
      <w:r>
        <w:rPr>
          <w:i/>
          <w:color w:val="231F20"/>
          <w:spacing w:val="11"/>
          <w:sz w:val="18"/>
        </w:rPr>
        <w:t xml:space="preserve"> </w:t>
      </w:r>
      <w:r>
        <w:rPr>
          <w:i/>
          <w:color w:val="231F20"/>
          <w:sz w:val="18"/>
        </w:rPr>
        <w:t>as</w:t>
      </w:r>
      <w:r>
        <w:rPr>
          <w:i/>
          <w:color w:val="231F20"/>
          <w:spacing w:val="11"/>
          <w:sz w:val="18"/>
        </w:rPr>
        <w:t xml:space="preserve"> </w:t>
      </w:r>
      <w:r>
        <w:rPr>
          <w:i/>
          <w:color w:val="231F20"/>
          <w:sz w:val="18"/>
        </w:rPr>
        <w:t>victim</w:t>
      </w:r>
      <w:r>
        <w:rPr>
          <w:i/>
          <w:color w:val="231F20"/>
          <w:spacing w:val="11"/>
          <w:sz w:val="18"/>
        </w:rPr>
        <w:t xml:space="preserve"> </w:t>
      </w:r>
      <w:r>
        <w:rPr>
          <w:i/>
          <w:color w:val="231F20"/>
          <w:sz w:val="18"/>
        </w:rPr>
        <w:t>and</w:t>
      </w:r>
      <w:r>
        <w:rPr>
          <w:i/>
          <w:color w:val="231F20"/>
          <w:spacing w:val="11"/>
          <w:sz w:val="18"/>
        </w:rPr>
        <w:t xml:space="preserve"> </w:t>
      </w:r>
      <w:r>
        <w:rPr>
          <w:i/>
          <w:color w:val="231F20"/>
          <w:sz w:val="18"/>
        </w:rPr>
        <w:t>as</w:t>
      </w:r>
      <w:r>
        <w:rPr>
          <w:i/>
          <w:color w:val="231F20"/>
          <w:spacing w:val="12"/>
          <w:sz w:val="18"/>
        </w:rPr>
        <w:t xml:space="preserve"> </w:t>
      </w:r>
      <w:r>
        <w:rPr>
          <w:i/>
          <w:color w:val="231F20"/>
          <w:spacing w:val="-2"/>
          <w:sz w:val="18"/>
        </w:rPr>
        <w:t>aggressor.</w:t>
      </w:r>
    </w:p>
    <w:p w14:paraId="3A8695FA" w14:textId="77777777" w:rsidR="00AE0598" w:rsidRDefault="0069255A">
      <w:pPr>
        <w:spacing w:line="206" w:lineRule="exact"/>
        <w:ind w:left="110" w:right="128"/>
        <w:jc w:val="right"/>
        <w:rPr>
          <w:sz w:val="18"/>
        </w:rPr>
      </w:pPr>
      <w:r>
        <w:rPr>
          <w:color w:val="231F20"/>
          <w:w w:val="95"/>
          <w:sz w:val="18"/>
        </w:rPr>
        <w:t>Standeven</w:t>
      </w:r>
      <w:r>
        <w:rPr>
          <w:color w:val="231F20"/>
          <w:spacing w:val="16"/>
          <w:sz w:val="18"/>
        </w:rPr>
        <w:t xml:space="preserve"> </w:t>
      </w:r>
      <w:r>
        <w:rPr>
          <w:color w:val="231F20"/>
          <w:w w:val="95"/>
          <w:sz w:val="18"/>
        </w:rPr>
        <w:t>and</w:t>
      </w:r>
      <w:r>
        <w:rPr>
          <w:color w:val="231F20"/>
          <w:spacing w:val="17"/>
          <w:sz w:val="18"/>
        </w:rPr>
        <w:t xml:space="preserve"> </w:t>
      </w:r>
      <w:r>
        <w:rPr>
          <w:color w:val="231F20"/>
          <w:w w:val="95"/>
          <w:sz w:val="18"/>
        </w:rPr>
        <w:t>De</w:t>
      </w:r>
      <w:r>
        <w:rPr>
          <w:color w:val="231F20"/>
          <w:spacing w:val="17"/>
          <w:sz w:val="18"/>
        </w:rPr>
        <w:t xml:space="preserve"> </w:t>
      </w:r>
      <w:r>
        <w:rPr>
          <w:color w:val="231F20"/>
          <w:w w:val="95"/>
          <w:sz w:val="18"/>
        </w:rPr>
        <w:t>Knop,</w:t>
      </w:r>
      <w:r>
        <w:rPr>
          <w:color w:val="231F20"/>
          <w:spacing w:val="17"/>
          <w:sz w:val="18"/>
        </w:rPr>
        <w:t xml:space="preserve"> </w:t>
      </w:r>
      <w:r>
        <w:rPr>
          <w:color w:val="231F20"/>
          <w:w w:val="95"/>
          <w:sz w:val="18"/>
        </w:rPr>
        <w:t>1999:</w:t>
      </w:r>
      <w:r>
        <w:rPr>
          <w:color w:val="231F20"/>
          <w:spacing w:val="17"/>
          <w:sz w:val="18"/>
        </w:rPr>
        <w:t xml:space="preserve"> </w:t>
      </w:r>
      <w:r>
        <w:rPr>
          <w:color w:val="231F20"/>
          <w:spacing w:val="-5"/>
          <w:w w:val="95"/>
          <w:sz w:val="18"/>
        </w:rPr>
        <w:t>236</w:t>
      </w:r>
    </w:p>
    <w:p w14:paraId="583464C5" w14:textId="77777777" w:rsidR="00AE0598" w:rsidRDefault="00AE0598">
      <w:pPr>
        <w:pStyle w:val="Corpodetexto"/>
        <w:rPr>
          <w:sz w:val="20"/>
        </w:rPr>
      </w:pPr>
    </w:p>
    <w:p w14:paraId="6D0AC84F" w14:textId="77777777" w:rsidR="00AE0598" w:rsidRDefault="00AE0598">
      <w:pPr>
        <w:pStyle w:val="Corpodetexto"/>
        <w:rPr>
          <w:sz w:val="20"/>
        </w:rPr>
      </w:pPr>
    </w:p>
    <w:p w14:paraId="51B36A5F" w14:textId="77777777" w:rsidR="00AE0598" w:rsidRDefault="00AE0598">
      <w:pPr>
        <w:pStyle w:val="Corpodetexto"/>
        <w:spacing w:before="1"/>
        <w:rPr>
          <w:sz w:val="19"/>
        </w:rPr>
      </w:pPr>
    </w:p>
    <w:p w14:paraId="6B049919" w14:textId="77777777" w:rsidR="00AE0598" w:rsidRDefault="0069255A">
      <w:pPr>
        <w:ind w:left="110"/>
        <w:rPr>
          <w:rFonts w:ascii="Trebuchet MS"/>
          <w:b/>
          <w:sz w:val="20"/>
        </w:rPr>
      </w:pPr>
      <w:r>
        <w:rPr>
          <w:rFonts w:ascii="Trebuchet MS"/>
          <w:b/>
          <w:color w:val="231F20"/>
          <w:spacing w:val="-2"/>
          <w:sz w:val="20"/>
        </w:rPr>
        <w:t>Introduction</w:t>
      </w:r>
    </w:p>
    <w:p w14:paraId="2A724513" w14:textId="77777777" w:rsidR="00AE0598" w:rsidRDefault="0069255A">
      <w:pPr>
        <w:pStyle w:val="Corpodetexto"/>
        <w:spacing w:before="122" w:line="232" w:lineRule="auto"/>
        <w:ind w:left="110" w:right="126" w:firstLine="320"/>
        <w:jc w:val="both"/>
      </w:pPr>
      <w:r>
        <w:rPr>
          <w:color w:val="231F20"/>
        </w:rPr>
        <w:t>Sport-related tourism development is tied more closely to the geographical</w:t>
      </w:r>
      <w:r>
        <w:rPr>
          <w:color w:val="231F20"/>
          <w:spacing w:val="-4"/>
        </w:rPr>
        <w:t xml:space="preserve"> </w:t>
      </w:r>
      <w:r>
        <w:rPr>
          <w:color w:val="231F20"/>
        </w:rPr>
        <w:t>resource</w:t>
      </w:r>
      <w:r>
        <w:rPr>
          <w:color w:val="231F20"/>
          <w:spacing w:val="-4"/>
        </w:rPr>
        <w:t xml:space="preserve"> </w:t>
      </w:r>
      <w:r>
        <w:rPr>
          <w:color w:val="231F20"/>
        </w:rPr>
        <w:t>base</w:t>
      </w:r>
      <w:r>
        <w:rPr>
          <w:color w:val="231F20"/>
          <w:spacing w:val="-4"/>
        </w:rPr>
        <w:t xml:space="preserve"> </w:t>
      </w:r>
      <w:r>
        <w:rPr>
          <w:color w:val="231F20"/>
        </w:rPr>
        <w:t>of</w:t>
      </w:r>
      <w:r>
        <w:rPr>
          <w:color w:val="231F20"/>
          <w:spacing w:val="-4"/>
        </w:rPr>
        <w:t xml:space="preserve"> </w:t>
      </w:r>
      <w:r>
        <w:rPr>
          <w:color w:val="231F20"/>
        </w:rPr>
        <w:t>a</w:t>
      </w:r>
      <w:r>
        <w:rPr>
          <w:color w:val="231F20"/>
          <w:spacing w:val="-4"/>
        </w:rPr>
        <w:t xml:space="preserve"> </w:t>
      </w:r>
      <w:r>
        <w:rPr>
          <w:color w:val="231F20"/>
        </w:rPr>
        <w:t>destination</w:t>
      </w:r>
      <w:r>
        <w:rPr>
          <w:color w:val="231F20"/>
          <w:spacing w:val="-4"/>
        </w:rPr>
        <w:t xml:space="preserve"> </w:t>
      </w:r>
      <w:r>
        <w:rPr>
          <w:color w:val="231F20"/>
        </w:rPr>
        <w:t>than</w:t>
      </w:r>
      <w:r>
        <w:rPr>
          <w:color w:val="231F20"/>
          <w:spacing w:val="-4"/>
        </w:rPr>
        <w:t xml:space="preserve"> </w:t>
      </w:r>
      <w:r>
        <w:rPr>
          <w:color w:val="231F20"/>
        </w:rPr>
        <w:t>many</w:t>
      </w:r>
      <w:r>
        <w:rPr>
          <w:color w:val="231F20"/>
          <w:spacing w:val="-4"/>
        </w:rPr>
        <w:t xml:space="preserve"> </w:t>
      </w:r>
      <w:r>
        <w:rPr>
          <w:color w:val="231F20"/>
        </w:rPr>
        <w:t>forms</w:t>
      </w:r>
      <w:r>
        <w:rPr>
          <w:color w:val="231F20"/>
          <w:spacing w:val="-4"/>
        </w:rPr>
        <w:t xml:space="preserve"> </w:t>
      </w:r>
      <w:r>
        <w:rPr>
          <w:color w:val="231F20"/>
        </w:rPr>
        <w:t>of</w:t>
      </w:r>
      <w:r>
        <w:rPr>
          <w:color w:val="231F20"/>
          <w:spacing w:val="-4"/>
        </w:rPr>
        <w:t xml:space="preserve"> </w:t>
      </w:r>
      <w:r>
        <w:rPr>
          <w:color w:val="231F20"/>
        </w:rPr>
        <w:t xml:space="preserve">tourism. The extent to which tourists find a destination attractive is strongly </w:t>
      </w:r>
      <w:r>
        <w:rPr>
          <w:color w:val="231F20"/>
          <w:w w:val="95"/>
        </w:rPr>
        <w:t>influenced by the physical environment including la</w:t>
      </w:r>
      <w:r>
        <w:rPr>
          <w:color w:val="231F20"/>
          <w:w w:val="95"/>
        </w:rPr>
        <w:t xml:space="preserve">ndscapes and climate </w:t>
      </w:r>
      <w:r>
        <w:rPr>
          <w:color w:val="231F20"/>
        </w:rPr>
        <w:t xml:space="preserve">(Boniface &amp; Cooper, 1994; Hall &amp; Page, 2014; Krippendorf, 1986). Many sports are closely tied to the physical geography of a destination. For </w:t>
      </w:r>
      <w:r>
        <w:rPr>
          <w:color w:val="231F20"/>
          <w:w w:val="95"/>
        </w:rPr>
        <w:t>instance, Priestley (1995: 210) observes that single integrated golf resorts ‘</w:t>
      </w:r>
      <w:r>
        <w:rPr>
          <w:rFonts w:ascii="Times New Roman" w:hAnsi="Times New Roman"/>
          <w:color w:val="231F20"/>
          <w:w w:val="95"/>
        </w:rPr>
        <w:t>…</w:t>
      </w:r>
      <w:r>
        <w:rPr>
          <w:color w:val="231F20"/>
          <w:w w:val="95"/>
        </w:rPr>
        <w:t>have mushroome</w:t>
      </w:r>
      <w:r>
        <w:rPr>
          <w:color w:val="231F20"/>
          <w:w w:val="95"/>
        </w:rPr>
        <w:t xml:space="preserve">d in the hotter climates where traditional sun, sand and </w:t>
      </w:r>
      <w:r>
        <w:rPr>
          <w:color w:val="231F20"/>
        </w:rPr>
        <w:t xml:space="preserve">sea tourism could or does exist’. In sports such as surfing, hang-gliding and scuba diving, there tends to be a hierarchy of destinations based on the experiential value of the physical environment. </w:t>
      </w:r>
      <w:r>
        <w:rPr>
          <w:color w:val="231F20"/>
        </w:rPr>
        <w:t xml:space="preserve">Destinations may be </w:t>
      </w:r>
      <w:r>
        <w:rPr>
          <w:color w:val="231F20"/>
          <w:w w:val="95"/>
        </w:rPr>
        <w:t xml:space="preserve">managed and promoted to develop new or exploit existing links to specific </w:t>
      </w:r>
      <w:r>
        <w:rPr>
          <w:color w:val="231F20"/>
        </w:rPr>
        <w:t xml:space="preserve">sports. The development of integrated golf resorts in Spain capitalises on increasing levels of visitor demand for this sport (Priestley, 1995), in </w:t>
      </w:r>
      <w:r>
        <w:rPr>
          <w:color w:val="231F20"/>
          <w:w w:val="95"/>
        </w:rPr>
        <w:t>conjunction</w:t>
      </w:r>
      <w:r>
        <w:rPr>
          <w:color w:val="231F20"/>
          <w:spacing w:val="-2"/>
          <w:w w:val="95"/>
        </w:rPr>
        <w:t xml:space="preserve"> </w:t>
      </w:r>
      <w:r>
        <w:rPr>
          <w:color w:val="231F20"/>
          <w:w w:val="95"/>
        </w:rPr>
        <w:t>wi</w:t>
      </w:r>
      <w:r>
        <w:rPr>
          <w:color w:val="231F20"/>
          <w:w w:val="95"/>
        </w:rPr>
        <w:t>th</w:t>
      </w:r>
      <w:r>
        <w:rPr>
          <w:color w:val="231F20"/>
          <w:spacing w:val="-2"/>
          <w:w w:val="95"/>
        </w:rPr>
        <w:t xml:space="preserve"> </w:t>
      </w:r>
      <w:r>
        <w:rPr>
          <w:color w:val="231F20"/>
          <w:w w:val="95"/>
        </w:rPr>
        <w:t>the</w:t>
      </w:r>
      <w:r>
        <w:rPr>
          <w:color w:val="231F20"/>
          <w:spacing w:val="-2"/>
          <w:w w:val="95"/>
        </w:rPr>
        <w:t xml:space="preserve"> </w:t>
      </w:r>
      <w:r>
        <w:rPr>
          <w:color w:val="231F20"/>
          <w:w w:val="95"/>
        </w:rPr>
        <w:t>hypermobility</w:t>
      </w:r>
      <w:r>
        <w:rPr>
          <w:color w:val="231F20"/>
          <w:spacing w:val="-2"/>
          <w:w w:val="95"/>
        </w:rPr>
        <w:t xml:space="preserve"> </w:t>
      </w:r>
      <w:r>
        <w:rPr>
          <w:color w:val="231F20"/>
          <w:w w:val="95"/>
        </w:rPr>
        <w:t>of</w:t>
      </w:r>
      <w:r>
        <w:rPr>
          <w:color w:val="231F20"/>
          <w:spacing w:val="-2"/>
          <w:w w:val="95"/>
        </w:rPr>
        <w:t xml:space="preserve"> </w:t>
      </w:r>
      <w:r>
        <w:rPr>
          <w:color w:val="231F20"/>
          <w:w w:val="95"/>
        </w:rPr>
        <w:t>European</w:t>
      </w:r>
      <w:r>
        <w:rPr>
          <w:color w:val="231F20"/>
          <w:spacing w:val="-2"/>
          <w:w w:val="95"/>
        </w:rPr>
        <w:t xml:space="preserve"> </w:t>
      </w:r>
      <w:r>
        <w:rPr>
          <w:color w:val="231F20"/>
          <w:w w:val="95"/>
        </w:rPr>
        <w:t>nationals,</w:t>
      </w:r>
      <w:r>
        <w:rPr>
          <w:color w:val="231F20"/>
          <w:spacing w:val="-2"/>
          <w:w w:val="95"/>
        </w:rPr>
        <w:t xml:space="preserve"> </w:t>
      </w:r>
      <w:r>
        <w:rPr>
          <w:color w:val="231F20"/>
          <w:w w:val="95"/>
        </w:rPr>
        <w:t>particularly</w:t>
      </w:r>
      <w:r>
        <w:rPr>
          <w:color w:val="231F20"/>
          <w:spacing w:val="-2"/>
          <w:w w:val="95"/>
        </w:rPr>
        <w:t xml:space="preserve"> </w:t>
      </w:r>
      <w:r>
        <w:rPr>
          <w:color w:val="231F20"/>
          <w:w w:val="95"/>
        </w:rPr>
        <w:t xml:space="preserve">with </w:t>
      </w:r>
      <w:r>
        <w:rPr>
          <w:color w:val="231F20"/>
        </w:rPr>
        <w:t>the</w:t>
      </w:r>
      <w:r>
        <w:rPr>
          <w:color w:val="231F20"/>
          <w:spacing w:val="-10"/>
        </w:rPr>
        <w:t xml:space="preserve"> </w:t>
      </w:r>
      <w:r>
        <w:rPr>
          <w:color w:val="231F20"/>
        </w:rPr>
        <w:t>growth</w:t>
      </w:r>
      <w:r>
        <w:rPr>
          <w:color w:val="231F20"/>
          <w:spacing w:val="-10"/>
        </w:rPr>
        <w:t xml:space="preserve"> </w:t>
      </w:r>
      <w:r>
        <w:rPr>
          <w:color w:val="231F20"/>
        </w:rPr>
        <w:t>in</w:t>
      </w:r>
      <w:r>
        <w:rPr>
          <w:color w:val="231F20"/>
          <w:spacing w:val="-10"/>
        </w:rPr>
        <w:t xml:space="preserve"> </w:t>
      </w:r>
      <w:r>
        <w:rPr>
          <w:color w:val="231F20"/>
        </w:rPr>
        <w:t>demand</w:t>
      </w:r>
      <w:r>
        <w:rPr>
          <w:color w:val="231F20"/>
          <w:spacing w:val="-10"/>
        </w:rPr>
        <w:t xml:space="preserve"> </w:t>
      </w:r>
      <w:r>
        <w:rPr>
          <w:color w:val="231F20"/>
        </w:rPr>
        <w:t>for</w:t>
      </w:r>
      <w:r>
        <w:rPr>
          <w:color w:val="231F20"/>
          <w:spacing w:val="-10"/>
        </w:rPr>
        <w:t xml:space="preserve"> </w:t>
      </w:r>
      <w:r>
        <w:rPr>
          <w:color w:val="231F20"/>
        </w:rPr>
        <w:t>low-cost</w:t>
      </w:r>
      <w:r>
        <w:rPr>
          <w:color w:val="231F20"/>
          <w:spacing w:val="-10"/>
        </w:rPr>
        <w:t xml:space="preserve"> </w:t>
      </w:r>
      <w:r>
        <w:rPr>
          <w:color w:val="231F20"/>
        </w:rPr>
        <w:t>air</w:t>
      </w:r>
      <w:r>
        <w:rPr>
          <w:color w:val="231F20"/>
          <w:spacing w:val="-10"/>
        </w:rPr>
        <w:t xml:space="preserve"> </w:t>
      </w:r>
      <w:r>
        <w:rPr>
          <w:color w:val="231F20"/>
        </w:rPr>
        <w:t>travel</w:t>
      </w:r>
      <w:r>
        <w:rPr>
          <w:color w:val="231F20"/>
          <w:spacing w:val="-10"/>
        </w:rPr>
        <w:t xml:space="preserve"> </w:t>
      </w:r>
      <w:r>
        <w:rPr>
          <w:color w:val="231F20"/>
        </w:rPr>
        <w:t>as</w:t>
      </w:r>
      <w:r>
        <w:rPr>
          <w:color w:val="231F20"/>
          <w:spacing w:val="-10"/>
        </w:rPr>
        <w:t xml:space="preserve"> </w:t>
      </w:r>
      <w:r>
        <w:rPr>
          <w:color w:val="231F20"/>
        </w:rPr>
        <w:t>an</w:t>
      </w:r>
      <w:r>
        <w:rPr>
          <w:color w:val="231F20"/>
          <w:spacing w:val="-10"/>
        </w:rPr>
        <w:t xml:space="preserve"> </w:t>
      </w:r>
      <w:r>
        <w:rPr>
          <w:color w:val="231F20"/>
        </w:rPr>
        <w:t>increasingly</w:t>
      </w:r>
      <w:r>
        <w:rPr>
          <w:color w:val="231F20"/>
          <w:spacing w:val="-10"/>
        </w:rPr>
        <w:t xml:space="preserve"> </w:t>
      </w:r>
      <w:r>
        <w:rPr>
          <w:color w:val="231F20"/>
        </w:rPr>
        <w:t xml:space="preserve">instituted social practice (Randles &amp; Mander, 2009). Similarly, the confluence of </w:t>
      </w:r>
      <w:r>
        <w:rPr>
          <w:color w:val="231F20"/>
          <w:w w:val="95"/>
        </w:rPr>
        <w:t xml:space="preserve">serious leisure and competitive mountain biking has been recognised and </w:t>
      </w:r>
      <w:r>
        <w:rPr>
          <w:color w:val="231F20"/>
        </w:rPr>
        <w:t>harnessed</w:t>
      </w:r>
      <w:r>
        <w:rPr>
          <w:color w:val="231F20"/>
          <w:spacing w:val="-10"/>
        </w:rPr>
        <w:t xml:space="preserve"> </w:t>
      </w:r>
      <w:r>
        <w:rPr>
          <w:color w:val="231F20"/>
        </w:rPr>
        <w:t>in</w:t>
      </w:r>
      <w:r>
        <w:rPr>
          <w:color w:val="231F20"/>
          <w:spacing w:val="-10"/>
        </w:rPr>
        <w:t xml:space="preserve"> </w:t>
      </w:r>
      <w:r>
        <w:rPr>
          <w:color w:val="231F20"/>
        </w:rPr>
        <w:t>different</w:t>
      </w:r>
      <w:r>
        <w:rPr>
          <w:color w:val="231F20"/>
          <w:spacing w:val="-10"/>
        </w:rPr>
        <w:t xml:space="preserve"> </w:t>
      </w:r>
      <w:r>
        <w:rPr>
          <w:color w:val="231F20"/>
        </w:rPr>
        <w:t>ways</w:t>
      </w:r>
      <w:r>
        <w:rPr>
          <w:color w:val="231F20"/>
          <w:spacing w:val="-10"/>
        </w:rPr>
        <w:t xml:space="preserve"> </w:t>
      </w:r>
      <w:r>
        <w:rPr>
          <w:color w:val="231F20"/>
        </w:rPr>
        <w:t>in</w:t>
      </w:r>
      <w:r>
        <w:rPr>
          <w:color w:val="231F20"/>
          <w:spacing w:val="-10"/>
        </w:rPr>
        <w:t xml:space="preserve"> </w:t>
      </w:r>
      <w:r>
        <w:rPr>
          <w:color w:val="231F20"/>
        </w:rPr>
        <w:t>the</w:t>
      </w:r>
      <w:r>
        <w:rPr>
          <w:color w:val="231F20"/>
          <w:spacing w:val="-10"/>
        </w:rPr>
        <w:t xml:space="preserve"> </w:t>
      </w:r>
      <w:r>
        <w:rPr>
          <w:color w:val="231F20"/>
        </w:rPr>
        <w:t>development</w:t>
      </w:r>
      <w:r>
        <w:rPr>
          <w:color w:val="231F20"/>
          <w:spacing w:val="-10"/>
        </w:rPr>
        <w:t xml:space="preserve"> </w:t>
      </w:r>
      <w:r>
        <w:rPr>
          <w:color w:val="231F20"/>
        </w:rPr>
        <w:t>strategies</w:t>
      </w:r>
      <w:r>
        <w:rPr>
          <w:color w:val="231F20"/>
          <w:spacing w:val="-10"/>
        </w:rPr>
        <w:t xml:space="preserve"> </w:t>
      </w:r>
      <w:r>
        <w:rPr>
          <w:color w:val="231F20"/>
        </w:rPr>
        <w:t>of</w:t>
      </w:r>
      <w:r>
        <w:rPr>
          <w:color w:val="231F20"/>
          <w:spacing w:val="-10"/>
        </w:rPr>
        <w:t xml:space="preserve"> </w:t>
      </w:r>
      <w:r>
        <w:rPr>
          <w:color w:val="231F20"/>
        </w:rPr>
        <w:t>a</w:t>
      </w:r>
      <w:r>
        <w:rPr>
          <w:color w:val="231F20"/>
          <w:spacing w:val="-10"/>
        </w:rPr>
        <w:t xml:space="preserve"> </w:t>
      </w:r>
      <w:r>
        <w:rPr>
          <w:color w:val="231F20"/>
        </w:rPr>
        <w:t>number</w:t>
      </w:r>
      <w:r>
        <w:rPr>
          <w:color w:val="231F20"/>
          <w:spacing w:val="-10"/>
        </w:rPr>
        <w:t xml:space="preserve"> </w:t>
      </w:r>
      <w:r>
        <w:rPr>
          <w:color w:val="231F20"/>
        </w:rPr>
        <w:t>of tourism destinations in New Z</w:t>
      </w:r>
      <w:r>
        <w:rPr>
          <w:color w:val="231F20"/>
        </w:rPr>
        <w:t>ealand (Moularde &amp; Weaver, 2016).</w:t>
      </w:r>
    </w:p>
    <w:p w14:paraId="7CD0C071" w14:textId="77777777" w:rsidR="00AE0598" w:rsidRDefault="0069255A">
      <w:pPr>
        <w:pStyle w:val="Corpodetexto"/>
        <w:spacing w:before="24" w:line="232" w:lineRule="auto"/>
        <w:ind w:left="110" w:right="127" w:firstLine="320"/>
        <w:jc w:val="both"/>
      </w:pPr>
      <w:r>
        <w:rPr>
          <w:color w:val="231F20"/>
        </w:rPr>
        <w:t>The sport tourism development potential of a destination is also determined</w:t>
      </w:r>
      <w:r>
        <w:rPr>
          <w:color w:val="231F20"/>
          <w:spacing w:val="-4"/>
        </w:rPr>
        <w:t xml:space="preserve"> </w:t>
      </w:r>
      <w:r>
        <w:rPr>
          <w:color w:val="231F20"/>
        </w:rPr>
        <w:t>by</w:t>
      </w:r>
      <w:r>
        <w:rPr>
          <w:color w:val="231F20"/>
          <w:spacing w:val="-4"/>
        </w:rPr>
        <w:t xml:space="preserve"> </w:t>
      </w:r>
      <w:r>
        <w:rPr>
          <w:color w:val="231F20"/>
        </w:rPr>
        <w:t>cultural</w:t>
      </w:r>
      <w:r>
        <w:rPr>
          <w:color w:val="231F20"/>
          <w:spacing w:val="-4"/>
        </w:rPr>
        <w:t xml:space="preserve"> </w:t>
      </w:r>
      <w:r>
        <w:rPr>
          <w:color w:val="231F20"/>
        </w:rPr>
        <w:t>influences</w:t>
      </w:r>
      <w:r>
        <w:rPr>
          <w:color w:val="231F20"/>
          <w:spacing w:val="-4"/>
        </w:rPr>
        <w:t xml:space="preserve"> </w:t>
      </w:r>
      <w:r>
        <w:rPr>
          <w:color w:val="231F20"/>
        </w:rPr>
        <w:t>on</w:t>
      </w:r>
      <w:r>
        <w:rPr>
          <w:color w:val="231F20"/>
          <w:spacing w:val="-4"/>
        </w:rPr>
        <w:t xml:space="preserve"> </w:t>
      </w:r>
      <w:r>
        <w:rPr>
          <w:color w:val="231F20"/>
        </w:rPr>
        <w:t>the</w:t>
      </w:r>
      <w:r>
        <w:rPr>
          <w:color w:val="231F20"/>
          <w:spacing w:val="-4"/>
        </w:rPr>
        <w:t xml:space="preserve"> </w:t>
      </w:r>
      <w:r>
        <w:rPr>
          <w:color w:val="231F20"/>
        </w:rPr>
        <w:t>landscape.</w:t>
      </w:r>
      <w:r>
        <w:rPr>
          <w:color w:val="231F20"/>
          <w:spacing w:val="-4"/>
        </w:rPr>
        <w:t xml:space="preserve"> </w:t>
      </w:r>
      <w:r>
        <w:rPr>
          <w:color w:val="231F20"/>
        </w:rPr>
        <w:t>Event</w:t>
      </w:r>
      <w:r>
        <w:rPr>
          <w:color w:val="231F20"/>
          <w:spacing w:val="-4"/>
        </w:rPr>
        <w:t xml:space="preserve"> </w:t>
      </w:r>
      <w:r>
        <w:rPr>
          <w:color w:val="231F20"/>
        </w:rPr>
        <w:t>sport</w:t>
      </w:r>
      <w:r>
        <w:rPr>
          <w:color w:val="231F20"/>
          <w:spacing w:val="-4"/>
        </w:rPr>
        <w:t xml:space="preserve"> </w:t>
      </w:r>
      <w:r>
        <w:rPr>
          <w:color w:val="231F20"/>
        </w:rPr>
        <w:t xml:space="preserve">tourism </w:t>
      </w:r>
      <w:r>
        <w:rPr>
          <w:color w:val="231F20"/>
          <w:w w:val="95"/>
        </w:rPr>
        <w:t>development</w:t>
      </w:r>
      <w:r>
        <w:rPr>
          <w:color w:val="231F20"/>
          <w:spacing w:val="-2"/>
          <w:w w:val="95"/>
        </w:rPr>
        <w:t xml:space="preserve"> </w:t>
      </w:r>
      <w:r>
        <w:rPr>
          <w:color w:val="231F20"/>
          <w:w w:val="95"/>
        </w:rPr>
        <w:t>at</w:t>
      </w:r>
      <w:r>
        <w:rPr>
          <w:color w:val="231F20"/>
          <w:spacing w:val="-1"/>
          <w:w w:val="95"/>
        </w:rPr>
        <w:t xml:space="preserve"> </w:t>
      </w:r>
      <w:r>
        <w:rPr>
          <w:color w:val="231F20"/>
          <w:w w:val="95"/>
        </w:rPr>
        <w:t>a</w:t>
      </w:r>
      <w:r>
        <w:rPr>
          <w:color w:val="231F20"/>
          <w:spacing w:val="-2"/>
          <w:w w:val="95"/>
        </w:rPr>
        <w:t xml:space="preserve"> </w:t>
      </w:r>
      <w:r>
        <w:rPr>
          <w:color w:val="231F20"/>
          <w:w w:val="95"/>
        </w:rPr>
        <w:t>destination</w:t>
      </w:r>
      <w:r>
        <w:rPr>
          <w:color w:val="231F20"/>
          <w:spacing w:val="-2"/>
          <w:w w:val="95"/>
        </w:rPr>
        <w:t xml:space="preserve"> </w:t>
      </w:r>
      <w:r>
        <w:rPr>
          <w:color w:val="231F20"/>
          <w:w w:val="95"/>
        </w:rPr>
        <w:t>requires,</w:t>
      </w:r>
      <w:r>
        <w:rPr>
          <w:color w:val="231F20"/>
          <w:spacing w:val="-2"/>
          <w:w w:val="95"/>
        </w:rPr>
        <w:t xml:space="preserve"> </w:t>
      </w:r>
      <w:r>
        <w:rPr>
          <w:color w:val="231F20"/>
          <w:w w:val="95"/>
        </w:rPr>
        <w:t>in</w:t>
      </w:r>
      <w:r>
        <w:rPr>
          <w:color w:val="231F20"/>
          <w:spacing w:val="-1"/>
          <w:w w:val="95"/>
        </w:rPr>
        <w:t xml:space="preserve"> </w:t>
      </w:r>
      <w:r>
        <w:rPr>
          <w:color w:val="231F20"/>
          <w:w w:val="95"/>
        </w:rPr>
        <w:t>most</w:t>
      </w:r>
      <w:r>
        <w:rPr>
          <w:color w:val="231F20"/>
          <w:spacing w:val="-2"/>
          <w:w w:val="95"/>
        </w:rPr>
        <w:t xml:space="preserve"> </w:t>
      </w:r>
      <w:r>
        <w:rPr>
          <w:color w:val="231F20"/>
          <w:w w:val="95"/>
        </w:rPr>
        <w:t>cases,</w:t>
      </w:r>
      <w:r>
        <w:rPr>
          <w:color w:val="231F20"/>
          <w:spacing w:val="-1"/>
          <w:w w:val="95"/>
        </w:rPr>
        <w:t xml:space="preserve"> </w:t>
      </w:r>
      <w:r>
        <w:rPr>
          <w:color w:val="231F20"/>
          <w:w w:val="95"/>
        </w:rPr>
        <w:t>constructed</w:t>
      </w:r>
      <w:r>
        <w:rPr>
          <w:color w:val="231F20"/>
          <w:spacing w:val="-2"/>
          <w:w w:val="95"/>
        </w:rPr>
        <w:t xml:space="preserve"> </w:t>
      </w:r>
      <w:r>
        <w:rPr>
          <w:color w:val="231F20"/>
          <w:w w:val="95"/>
        </w:rPr>
        <w:t xml:space="preserve">resources </w:t>
      </w:r>
      <w:r>
        <w:rPr>
          <w:color w:val="231F20"/>
        </w:rPr>
        <w:t>including</w:t>
      </w:r>
      <w:r>
        <w:rPr>
          <w:color w:val="231F20"/>
        </w:rPr>
        <w:t xml:space="preserve"> sport facilities and tourism infrastructure. Sports in central locations often use facilities that are purpose built, such as stadiums, marinas, sports arenas and gymnasiums. Alternatively, sports may temporarily make use of buildings or infrastructures t</w:t>
      </w:r>
      <w:r>
        <w:rPr>
          <w:color w:val="231F20"/>
        </w:rPr>
        <w:t>hat are developed primarily</w:t>
      </w:r>
      <w:r>
        <w:rPr>
          <w:color w:val="231F20"/>
          <w:spacing w:val="-5"/>
        </w:rPr>
        <w:t xml:space="preserve"> </w:t>
      </w:r>
      <w:r>
        <w:rPr>
          <w:color w:val="231F20"/>
        </w:rPr>
        <w:t>for</w:t>
      </w:r>
      <w:r>
        <w:rPr>
          <w:color w:val="231F20"/>
          <w:spacing w:val="-5"/>
        </w:rPr>
        <w:t xml:space="preserve"> </w:t>
      </w:r>
      <w:r>
        <w:rPr>
          <w:color w:val="231F20"/>
        </w:rPr>
        <w:t>purposes</w:t>
      </w:r>
      <w:r>
        <w:rPr>
          <w:color w:val="231F20"/>
          <w:spacing w:val="-5"/>
        </w:rPr>
        <w:t xml:space="preserve"> </w:t>
      </w:r>
      <w:r>
        <w:rPr>
          <w:color w:val="231F20"/>
        </w:rPr>
        <w:t>other</w:t>
      </w:r>
      <w:r>
        <w:rPr>
          <w:color w:val="231F20"/>
          <w:spacing w:val="-5"/>
        </w:rPr>
        <w:t xml:space="preserve"> </w:t>
      </w:r>
      <w:r>
        <w:rPr>
          <w:color w:val="231F20"/>
        </w:rPr>
        <w:t>than</w:t>
      </w:r>
      <w:r>
        <w:rPr>
          <w:color w:val="231F20"/>
          <w:spacing w:val="-5"/>
        </w:rPr>
        <w:t xml:space="preserve"> </w:t>
      </w:r>
      <w:r>
        <w:rPr>
          <w:color w:val="231F20"/>
        </w:rPr>
        <w:t>sport.</w:t>
      </w:r>
      <w:r>
        <w:rPr>
          <w:color w:val="231F20"/>
          <w:spacing w:val="-5"/>
        </w:rPr>
        <w:t xml:space="preserve"> </w:t>
      </w:r>
      <w:r>
        <w:rPr>
          <w:color w:val="231F20"/>
        </w:rPr>
        <w:t>Examples</w:t>
      </w:r>
      <w:r>
        <w:rPr>
          <w:color w:val="231F20"/>
          <w:spacing w:val="-5"/>
        </w:rPr>
        <w:t xml:space="preserve"> </w:t>
      </w:r>
      <w:r>
        <w:rPr>
          <w:color w:val="231F20"/>
        </w:rPr>
        <w:t>include</w:t>
      </w:r>
      <w:r>
        <w:rPr>
          <w:color w:val="231F20"/>
          <w:spacing w:val="-5"/>
        </w:rPr>
        <w:t xml:space="preserve"> </w:t>
      </w:r>
      <w:r>
        <w:rPr>
          <w:color w:val="231F20"/>
        </w:rPr>
        <w:t>roads,</w:t>
      </w:r>
      <w:r>
        <w:rPr>
          <w:color w:val="231F20"/>
          <w:spacing w:val="-5"/>
        </w:rPr>
        <w:t xml:space="preserve"> </w:t>
      </w:r>
      <w:r>
        <w:rPr>
          <w:color w:val="231F20"/>
        </w:rPr>
        <w:t xml:space="preserve">central </w:t>
      </w:r>
      <w:r>
        <w:rPr>
          <w:color w:val="231F20"/>
          <w:w w:val="95"/>
        </w:rPr>
        <w:t xml:space="preserve">parks and urban tourism icons, which may figure prominently as locations </w:t>
      </w:r>
      <w:r>
        <w:rPr>
          <w:color w:val="231F20"/>
        </w:rPr>
        <w:t>or</w:t>
      </w:r>
      <w:r>
        <w:rPr>
          <w:color w:val="231F20"/>
          <w:spacing w:val="-5"/>
        </w:rPr>
        <w:t xml:space="preserve"> </w:t>
      </w:r>
      <w:r>
        <w:rPr>
          <w:color w:val="231F20"/>
        </w:rPr>
        <w:t>backdrops</w:t>
      </w:r>
      <w:r>
        <w:rPr>
          <w:color w:val="231F20"/>
          <w:spacing w:val="-5"/>
        </w:rPr>
        <w:t xml:space="preserve"> </w:t>
      </w:r>
      <w:r>
        <w:rPr>
          <w:color w:val="231F20"/>
        </w:rPr>
        <w:t>(e.g.</w:t>
      </w:r>
      <w:r>
        <w:rPr>
          <w:color w:val="231F20"/>
          <w:spacing w:val="-5"/>
        </w:rPr>
        <w:t xml:space="preserve"> </w:t>
      </w:r>
      <w:r>
        <w:rPr>
          <w:color w:val="231F20"/>
        </w:rPr>
        <w:t>the</w:t>
      </w:r>
      <w:r>
        <w:rPr>
          <w:color w:val="231F20"/>
          <w:spacing w:val="-5"/>
        </w:rPr>
        <w:t xml:space="preserve"> </w:t>
      </w:r>
      <w:r>
        <w:rPr>
          <w:color w:val="231F20"/>
        </w:rPr>
        <w:t>statue</w:t>
      </w:r>
      <w:r>
        <w:rPr>
          <w:color w:val="231F20"/>
          <w:spacing w:val="-5"/>
        </w:rPr>
        <w:t xml:space="preserve"> </w:t>
      </w:r>
      <w:r>
        <w:rPr>
          <w:color w:val="231F20"/>
        </w:rPr>
        <w:t>of</w:t>
      </w:r>
      <w:r>
        <w:rPr>
          <w:color w:val="231F20"/>
          <w:spacing w:val="-5"/>
        </w:rPr>
        <w:t xml:space="preserve"> </w:t>
      </w:r>
      <w:r>
        <w:rPr>
          <w:color w:val="231F20"/>
        </w:rPr>
        <w:t>Christ</w:t>
      </w:r>
      <w:r>
        <w:rPr>
          <w:color w:val="231F20"/>
          <w:spacing w:val="-5"/>
        </w:rPr>
        <w:t xml:space="preserve"> </w:t>
      </w:r>
      <w:r>
        <w:rPr>
          <w:color w:val="231F20"/>
        </w:rPr>
        <w:t>the</w:t>
      </w:r>
      <w:r>
        <w:rPr>
          <w:color w:val="231F20"/>
          <w:spacing w:val="-5"/>
        </w:rPr>
        <w:t xml:space="preserve"> </w:t>
      </w:r>
      <w:r>
        <w:rPr>
          <w:color w:val="231F20"/>
        </w:rPr>
        <w:t>Redeemer</w:t>
      </w:r>
      <w:r>
        <w:rPr>
          <w:color w:val="231F20"/>
          <w:spacing w:val="-5"/>
        </w:rPr>
        <w:t xml:space="preserve"> </w:t>
      </w:r>
      <w:r>
        <w:rPr>
          <w:color w:val="231F20"/>
        </w:rPr>
        <w:t>during</w:t>
      </w:r>
      <w:r>
        <w:rPr>
          <w:color w:val="231F20"/>
          <w:spacing w:val="-5"/>
        </w:rPr>
        <w:t xml:space="preserve"> </w:t>
      </w:r>
      <w:r>
        <w:rPr>
          <w:color w:val="231F20"/>
        </w:rPr>
        <w:t>the</w:t>
      </w:r>
      <w:r>
        <w:rPr>
          <w:color w:val="231F20"/>
          <w:spacing w:val="-5"/>
        </w:rPr>
        <w:t xml:space="preserve"> </w:t>
      </w:r>
      <w:r>
        <w:rPr>
          <w:color w:val="231F20"/>
        </w:rPr>
        <w:t>Rio</w:t>
      </w:r>
      <w:r>
        <w:rPr>
          <w:color w:val="231F20"/>
          <w:spacing w:val="-5"/>
        </w:rPr>
        <w:t xml:space="preserve"> </w:t>
      </w:r>
      <w:r>
        <w:rPr>
          <w:color w:val="231F20"/>
        </w:rPr>
        <w:t>2016 Olympic</w:t>
      </w:r>
      <w:r>
        <w:rPr>
          <w:color w:val="231F20"/>
          <w:spacing w:val="29"/>
        </w:rPr>
        <w:t xml:space="preserve"> </w:t>
      </w:r>
      <w:r>
        <w:rPr>
          <w:color w:val="231F20"/>
        </w:rPr>
        <w:t>Games)</w:t>
      </w:r>
      <w:r>
        <w:rPr>
          <w:color w:val="231F20"/>
          <w:spacing w:val="30"/>
        </w:rPr>
        <w:t xml:space="preserve"> </w:t>
      </w:r>
      <w:r>
        <w:rPr>
          <w:color w:val="231F20"/>
        </w:rPr>
        <w:t>to</w:t>
      </w:r>
      <w:r>
        <w:rPr>
          <w:color w:val="231F20"/>
          <w:spacing w:val="30"/>
        </w:rPr>
        <w:t xml:space="preserve"> </w:t>
      </w:r>
      <w:r>
        <w:rPr>
          <w:color w:val="231F20"/>
        </w:rPr>
        <w:t>sporting</w:t>
      </w:r>
      <w:r>
        <w:rPr>
          <w:color w:val="231F20"/>
          <w:spacing w:val="30"/>
        </w:rPr>
        <w:t xml:space="preserve"> </w:t>
      </w:r>
      <w:r>
        <w:rPr>
          <w:color w:val="231F20"/>
        </w:rPr>
        <w:t>scenes</w:t>
      </w:r>
      <w:r>
        <w:rPr>
          <w:color w:val="231F20"/>
          <w:spacing w:val="30"/>
        </w:rPr>
        <w:t xml:space="preserve"> </w:t>
      </w:r>
      <w:r>
        <w:rPr>
          <w:color w:val="231F20"/>
        </w:rPr>
        <w:t>(e.g.</w:t>
      </w:r>
      <w:r>
        <w:rPr>
          <w:color w:val="231F20"/>
          <w:spacing w:val="30"/>
        </w:rPr>
        <w:t xml:space="preserve"> </w:t>
      </w:r>
      <w:r>
        <w:rPr>
          <w:color w:val="231F20"/>
        </w:rPr>
        <w:t>Copacabana</w:t>
      </w:r>
      <w:r>
        <w:rPr>
          <w:color w:val="231F20"/>
          <w:spacing w:val="29"/>
        </w:rPr>
        <w:t xml:space="preserve"> </w:t>
      </w:r>
      <w:r>
        <w:rPr>
          <w:color w:val="231F20"/>
        </w:rPr>
        <w:t>Beach;</w:t>
      </w:r>
      <w:r>
        <w:rPr>
          <w:color w:val="231F20"/>
          <w:spacing w:val="30"/>
        </w:rPr>
        <w:t xml:space="preserve"> </w:t>
      </w:r>
      <w:r>
        <w:rPr>
          <w:color w:val="231F20"/>
        </w:rPr>
        <w:t>venue</w:t>
      </w:r>
      <w:r>
        <w:rPr>
          <w:color w:val="231F20"/>
          <w:spacing w:val="30"/>
        </w:rPr>
        <w:t xml:space="preserve"> </w:t>
      </w:r>
      <w:r>
        <w:rPr>
          <w:color w:val="231F20"/>
          <w:spacing w:val="-5"/>
        </w:rPr>
        <w:t>of</w:t>
      </w:r>
    </w:p>
    <w:p w14:paraId="6F73A762" w14:textId="77777777" w:rsidR="00AE0598" w:rsidRDefault="00AE0598">
      <w:pPr>
        <w:pStyle w:val="Corpodetexto"/>
        <w:spacing w:before="7"/>
        <w:rPr>
          <w:sz w:val="14"/>
        </w:rPr>
      </w:pPr>
    </w:p>
    <w:p w14:paraId="42E95004" w14:textId="77777777" w:rsidR="00AE0598" w:rsidRDefault="0069255A">
      <w:pPr>
        <w:spacing w:before="99"/>
        <w:ind w:left="384" w:right="409"/>
        <w:jc w:val="center"/>
        <w:rPr>
          <w:rFonts w:ascii="Trebuchet MS"/>
          <w:sz w:val="16"/>
        </w:rPr>
      </w:pPr>
      <w:r>
        <w:rPr>
          <w:rFonts w:ascii="Trebuchet MS"/>
          <w:color w:val="231F20"/>
          <w:spacing w:val="-5"/>
          <w:w w:val="105"/>
          <w:sz w:val="16"/>
        </w:rPr>
        <w:t>132</w:t>
      </w:r>
    </w:p>
    <w:p w14:paraId="0BAF7536" w14:textId="77777777" w:rsidR="00AE0598" w:rsidRDefault="00AE0598">
      <w:pPr>
        <w:jc w:val="center"/>
        <w:rPr>
          <w:rFonts w:ascii="Trebuchet MS"/>
          <w:sz w:val="16"/>
        </w:rPr>
        <w:sectPr w:rsidR="00AE0598">
          <w:pgSz w:w="8850" w:h="13270"/>
          <w:pgMar w:top="1020" w:right="1060" w:bottom="280" w:left="1080" w:header="720" w:footer="720" w:gutter="0"/>
          <w:cols w:space="720"/>
        </w:sectPr>
      </w:pPr>
    </w:p>
    <w:p w14:paraId="65303E3B" w14:textId="77777777" w:rsidR="00AE0598" w:rsidRDefault="0069255A">
      <w:pPr>
        <w:spacing w:before="87"/>
        <w:ind w:left="3064"/>
        <w:rPr>
          <w:rFonts w:ascii="Trebuchet MS"/>
          <w:sz w:val="14"/>
        </w:rPr>
      </w:pPr>
      <w:r>
        <w:rPr>
          <w:rFonts w:ascii="Trebuchet MS"/>
          <w:color w:val="231F20"/>
          <w:w w:val="105"/>
          <w:sz w:val="14"/>
        </w:rPr>
        <w:lastRenderedPageBreak/>
        <w:t>Environment:</w:t>
      </w:r>
      <w:r>
        <w:rPr>
          <w:rFonts w:ascii="Trebuchet MS"/>
          <w:color w:val="231F20"/>
          <w:spacing w:val="-12"/>
          <w:w w:val="105"/>
          <w:sz w:val="14"/>
        </w:rPr>
        <w:t xml:space="preserve"> </w:t>
      </w:r>
      <w:r>
        <w:rPr>
          <w:rFonts w:ascii="Trebuchet MS"/>
          <w:color w:val="231F20"/>
          <w:w w:val="105"/>
          <w:sz w:val="14"/>
        </w:rPr>
        <w:t>Landscape,</w:t>
      </w:r>
      <w:r>
        <w:rPr>
          <w:rFonts w:ascii="Trebuchet MS"/>
          <w:color w:val="231F20"/>
          <w:spacing w:val="-11"/>
          <w:w w:val="105"/>
          <w:sz w:val="14"/>
        </w:rPr>
        <w:t xml:space="preserve"> </w:t>
      </w:r>
      <w:r>
        <w:rPr>
          <w:rFonts w:ascii="Trebuchet MS"/>
          <w:color w:val="231F20"/>
          <w:w w:val="105"/>
          <w:sz w:val="14"/>
        </w:rPr>
        <w:t>Resources</w:t>
      </w:r>
      <w:r>
        <w:rPr>
          <w:rFonts w:ascii="Trebuchet MS"/>
          <w:color w:val="231F20"/>
          <w:spacing w:val="-11"/>
          <w:w w:val="105"/>
          <w:sz w:val="14"/>
        </w:rPr>
        <w:t xml:space="preserve"> </w:t>
      </w:r>
      <w:r>
        <w:rPr>
          <w:rFonts w:ascii="Trebuchet MS"/>
          <w:color w:val="231F20"/>
          <w:w w:val="105"/>
          <w:sz w:val="14"/>
        </w:rPr>
        <w:t>and</w:t>
      </w:r>
      <w:r>
        <w:rPr>
          <w:rFonts w:ascii="Trebuchet MS"/>
          <w:color w:val="231F20"/>
          <w:spacing w:val="-11"/>
          <w:w w:val="105"/>
          <w:sz w:val="14"/>
        </w:rPr>
        <w:t xml:space="preserve"> </w:t>
      </w:r>
      <w:r>
        <w:rPr>
          <w:rFonts w:ascii="Trebuchet MS"/>
          <w:color w:val="231F20"/>
          <w:w w:val="105"/>
          <w:sz w:val="14"/>
        </w:rPr>
        <w:t>Impacts</w:t>
      </w:r>
      <w:r>
        <w:rPr>
          <w:rFonts w:ascii="Trebuchet MS"/>
          <w:color w:val="231F20"/>
          <w:spacing w:val="49"/>
          <w:w w:val="105"/>
          <w:sz w:val="14"/>
        </w:rPr>
        <w:t xml:space="preserve"> </w:t>
      </w:r>
      <w:r>
        <w:rPr>
          <w:rFonts w:ascii="Trebuchet MS"/>
          <w:color w:val="231F20"/>
          <w:spacing w:val="-5"/>
          <w:w w:val="105"/>
          <w:sz w:val="14"/>
        </w:rPr>
        <w:t>133</w:t>
      </w:r>
    </w:p>
    <w:p w14:paraId="06D03E52" w14:textId="77777777" w:rsidR="00AE0598" w:rsidRDefault="00AE0598">
      <w:pPr>
        <w:pStyle w:val="Corpodetexto"/>
        <w:rPr>
          <w:rFonts w:ascii="Trebuchet MS"/>
          <w:sz w:val="16"/>
        </w:rPr>
      </w:pPr>
    </w:p>
    <w:p w14:paraId="7DF37DF1" w14:textId="77777777" w:rsidR="00AE0598" w:rsidRDefault="0069255A">
      <w:pPr>
        <w:pStyle w:val="Corpodetexto"/>
        <w:spacing w:before="118" w:line="232" w:lineRule="auto"/>
        <w:ind w:left="110" w:right="124"/>
        <w:jc w:val="both"/>
      </w:pPr>
      <w:r>
        <w:rPr>
          <w:color w:val="231F20"/>
        </w:rPr>
        <w:t>the</w:t>
      </w:r>
      <w:r>
        <w:rPr>
          <w:color w:val="231F20"/>
          <w:spacing w:val="-5"/>
        </w:rPr>
        <w:t xml:space="preserve"> </w:t>
      </w:r>
      <w:r>
        <w:rPr>
          <w:color w:val="231F20"/>
        </w:rPr>
        <w:t>2016</w:t>
      </w:r>
      <w:r>
        <w:rPr>
          <w:color w:val="231F20"/>
          <w:spacing w:val="-5"/>
        </w:rPr>
        <w:t xml:space="preserve"> </w:t>
      </w:r>
      <w:r>
        <w:rPr>
          <w:color w:val="231F20"/>
        </w:rPr>
        <w:t>Olympic</w:t>
      </w:r>
      <w:r>
        <w:rPr>
          <w:color w:val="231F20"/>
          <w:spacing w:val="-5"/>
        </w:rPr>
        <w:t xml:space="preserve"> </w:t>
      </w:r>
      <w:r>
        <w:rPr>
          <w:color w:val="231F20"/>
        </w:rPr>
        <w:t>beach</w:t>
      </w:r>
      <w:r>
        <w:rPr>
          <w:color w:val="231F20"/>
          <w:spacing w:val="-5"/>
        </w:rPr>
        <w:t xml:space="preserve"> </w:t>
      </w:r>
      <w:r>
        <w:rPr>
          <w:color w:val="231F20"/>
        </w:rPr>
        <w:t>volleyball</w:t>
      </w:r>
      <w:r>
        <w:rPr>
          <w:color w:val="231F20"/>
          <w:spacing w:val="-5"/>
        </w:rPr>
        <w:t xml:space="preserve"> </w:t>
      </w:r>
      <w:r>
        <w:rPr>
          <w:color w:val="231F20"/>
        </w:rPr>
        <w:t>competitions).</w:t>
      </w:r>
      <w:r>
        <w:rPr>
          <w:color w:val="231F20"/>
          <w:spacing w:val="-5"/>
        </w:rPr>
        <w:t xml:space="preserve"> </w:t>
      </w:r>
      <w:r>
        <w:rPr>
          <w:color w:val="231F20"/>
        </w:rPr>
        <w:t>Gilchrist</w:t>
      </w:r>
      <w:r>
        <w:rPr>
          <w:color w:val="231F20"/>
          <w:spacing w:val="-5"/>
        </w:rPr>
        <w:t xml:space="preserve"> </w:t>
      </w:r>
      <w:r>
        <w:rPr>
          <w:color w:val="231F20"/>
        </w:rPr>
        <w:t>and</w:t>
      </w:r>
      <w:r>
        <w:rPr>
          <w:color w:val="231F20"/>
          <w:spacing w:val="-5"/>
        </w:rPr>
        <w:t xml:space="preserve"> </w:t>
      </w:r>
      <w:r>
        <w:rPr>
          <w:color w:val="231F20"/>
        </w:rPr>
        <w:t>Wheaton (2011) provide intriguing insights into how the non-traditional, non- institutionalised lifestyle sport of parkour has, without any dedicated facility development whatsoever, engaged communities of participants, many</w:t>
      </w:r>
      <w:r>
        <w:rPr>
          <w:color w:val="231F20"/>
          <w:spacing w:val="-4"/>
        </w:rPr>
        <w:t xml:space="preserve"> </w:t>
      </w:r>
      <w:r>
        <w:rPr>
          <w:color w:val="231F20"/>
        </w:rPr>
        <w:t>of</w:t>
      </w:r>
      <w:r>
        <w:rPr>
          <w:color w:val="231F20"/>
          <w:spacing w:val="-4"/>
        </w:rPr>
        <w:t xml:space="preserve"> </w:t>
      </w:r>
      <w:r>
        <w:rPr>
          <w:color w:val="231F20"/>
        </w:rPr>
        <w:t>whom</w:t>
      </w:r>
      <w:r>
        <w:rPr>
          <w:color w:val="231F20"/>
          <w:spacing w:val="-4"/>
        </w:rPr>
        <w:t xml:space="preserve"> </w:t>
      </w:r>
      <w:r>
        <w:rPr>
          <w:color w:val="231F20"/>
        </w:rPr>
        <w:t>are</w:t>
      </w:r>
      <w:r>
        <w:rPr>
          <w:color w:val="231F20"/>
          <w:spacing w:val="-4"/>
        </w:rPr>
        <w:t xml:space="preserve"> </w:t>
      </w:r>
      <w:r>
        <w:rPr>
          <w:color w:val="231F20"/>
        </w:rPr>
        <w:t>otherwise</w:t>
      </w:r>
      <w:r>
        <w:rPr>
          <w:color w:val="231F20"/>
          <w:spacing w:val="-4"/>
        </w:rPr>
        <w:t xml:space="preserve"> </w:t>
      </w:r>
      <w:r>
        <w:rPr>
          <w:color w:val="231F20"/>
        </w:rPr>
        <w:t>excluded</w:t>
      </w:r>
      <w:r>
        <w:rPr>
          <w:color w:val="231F20"/>
          <w:spacing w:val="-4"/>
        </w:rPr>
        <w:t xml:space="preserve"> </w:t>
      </w:r>
      <w:r>
        <w:rPr>
          <w:color w:val="231F20"/>
        </w:rPr>
        <w:t>from</w:t>
      </w:r>
      <w:r>
        <w:rPr>
          <w:color w:val="231F20"/>
          <w:spacing w:val="-4"/>
        </w:rPr>
        <w:t xml:space="preserve"> </w:t>
      </w:r>
      <w:r>
        <w:rPr>
          <w:color w:val="231F20"/>
        </w:rPr>
        <w:t>involvement</w:t>
      </w:r>
      <w:r>
        <w:rPr>
          <w:color w:val="231F20"/>
          <w:spacing w:val="-4"/>
        </w:rPr>
        <w:t xml:space="preserve"> </w:t>
      </w:r>
      <w:r>
        <w:rPr>
          <w:color w:val="231F20"/>
        </w:rPr>
        <w:t>in</w:t>
      </w:r>
      <w:r>
        <w:rPr>
          <w:color w:val="231F20"/>
          <w:spacing w:val="-4"/>
        </w:rPr>
        <w:t xml:space="preserve"> </w:t>
      </w:r>
      <w:r>
        <w:rPr>
          <w:color w:val="231F20"/>
        </w:rPr>
        <w:t xml:space="preserve">mainstream sports. An understanding of the spatial elements of sport tourism development is therefore incomplete without some consideration of the </w:t>
      </w:r>
      <w:r>
        <w:rPr>
          <w:color w:val="231F20"/>
          <w:w w:val="95"/>
        </w:rPr>
        <w:t xml:space="preserve">physical environment. This is an important starting point to understanding </w:t>
      </w:r>
      <w:r>
        <w:rPr>
          <w:color w:val="231F20"/>
        </w:rPr>
        <w:t>the resource r</w:t>
      </w:r>
      <w:r>
        <w:rPr>
          <w:color w:val="231F20"/>
        </w:rPr>
        <w:t xml:space="preserve">equirements and impacts of sport tourism development. </w:t>
      </w:r>
      <w:r>
        <w:rPr>
          <w:color w:val="231F20"/>
          <w:w w:val="95"/>
        </w:rPr>
        <w:t xml:space="preserve">Natural and built resources for sport tourism, and impacts associated with </w:t>
      </w:r>
      <w:r>
        <w:rPr>
          <w:color w:val="231F20"/>
        </w:rPr>
        <w:t>each,</w:t>
      </w:r>
      <w:r>
        <w:rPr>
          <w:color w:val="231F20"/>
          <w:spacing w:val="-1"/>
        </w:rPr>
        <w:t xml:space="preserve"> </w:t>
      </w:r>
      <w:r>
        <w:rPr>
          <w:color w:val="231F20"/>
        </w:rPr>
        <w:t>are</w:t>
      </w:r>
      <w:r>
        <w:rPr>
          <w:color w:val="231F20"/>
          <w:spacing w:val="-1"/>
        </w:rPr>
        <w:t xml:space="preserve"> </w:t>
      </w:r>
      <w:r>
        <w:rPr>
          <w:color w:val="231F20"/>
        </w:rPr>
        <w:t>considered</w:t>
      </w:r>
      <w:r>
        <w:rPr>
          <w:color w:val="231F20"/>
          <w:spacing w:val="-1"/>
        </w:rPr>
        <w:t xml:space="preserve"> </w:t>
      </w:r>
      <w:r>
        <w:rPr>
          <w:color w:val="231F20"/>
        </w:rPr>
        <w:t>separately</w:t>
      </w:r>
      <w:r>
        <w:rPr>
          <w:color w:val="231F20"/>
          <w:spacing w:val="-1"/>
        </w:rPr>
        <w:t xml:space="preserve"> </w:t>
      </w:r>
      <w:r>
        <w:rPr>
          <w:color w:val="231F20"/>
        </w:rPr>
        <w:t>in</w:t>
      </w:r>
      <w:r>
        <w:rPr>
          <w:color w:val="231F20"/>
          <w:spacing w:val="-1"/>
        </w:rPr>
        <w:t xml:space="preserve"> </w:t>
      </w:r>
      <w:r>
        <w:rPr>
          <w:color w:val="231F20"/>
        </w:rPr>
        <w:t>this</w:t>
      </w:r>
      <w:r>
        <w:rPr>
          <w:color w:val="231F20"/>
          <w:spacing w:val="-1"/>
        </w:rPr>
        <w:t xml:space="preserve"> </w:t>
      </w:r>
      <w:r>
        <w:rPr>
          <w:color w:val="231F20"/>
        </w:rPr>
        <w:t>chapter.</w:t>
      </w:r>
    </w:p>
    <w:p w14:paraId="01338290" w14:textId="77777777" w:rsidR="00AE0598" w:rsidRDefault="00AE0598">
      <w:pPr>
        <w:pStyle w:val="Corpodetexto"/>
        <w:spacing w:before="1"/>
        <w:rPr>
          <w:sz w:val="22"/>
        </w:rPr>
      </w:pPr>
    </w:p>
    <w:p w14:paraId="3024731B" w14:textId="77777777" w:rsidR="00AE0598" w:rsidRDefault="0069255A">
      <w:pPr>
        <w:ind w:left="110"/>
        <w:jc w:val="both"/>
        <w:rPr>
          <w:rFonts w:ascii="Trebuchet MS"/>
          <w:b/>
          <w:sz w:val="20"/>
        </w:rPr>
      </w:pPr>
      <w:r>
        <w:rPr>
          <w:rFonts w:ascii="Trebuchet MS"/>
          <w:b/>
          <w:color w:val="231F20"/>
          <w:sz w:val="20"/>
        </w:rPr>
        <w:t>Sport Tourism</w:t>
      </w:r>
      <w:r>
        <w:rPr>
          <w:rFonts w:ascii="Trebuchet MS"/>
          <w:b/>
          <w:color w:val="231F20"/>
          <w:spacing w:val="1"/>
          <w:sz w:val="20"/>
        </w:rPr>
        <w:t xml:space="preserve"> </w:t>
      </w:r>
      <w:r>
        <w:rPr>
          <w:rFonts w:ascii="Trebuchet MS"/>
          <w:b/>
          <w:color w:val="231F20"/>
          <w:sz w:val="20"/>
        </w:rPr>
        <w:t>Landscapes, Environments</w:t>
      </w:r>
      <w:r>
        <w:rPr>
          <w:rFonts w:ascii="Trebuchet MS"/>
          <w:b/>
          <w:color w:val="231F20"/>
          <w:spacing w:val="1"/>
          <w:sz w:val="20"/>
        </w:rPr>
        <w:t xml:space="preserve"> </w:t>
      </w:r>
      <w:r>
        <w:rPr>
          <w:rFonts w:ascii="Trebuchet MS"/>
          <w:b/>
          <w:color w:val="231F20"/>
          <w:sz w:val="20"/>
        </w:rPr>
        <w:t xml:space="preserve">and </w:t>
      </w:r>
      <w:r>
        <w:rPr>
          <w:rFonts w:ascii="Trebuchet MS"/>
          <w:b/>
          <w:color w:val="231F20"/>
          <w:spacing w:val="-2"/>
          <w:sz w:val="20"/>
        </w:rPr>
        <w:t>Resources</w:t>
      </w:r>
    </w:p>
    <w:p w14:paraId="01608D68" w14:textId="77777777" w:rsidR="00AE0598" w:rsidRDefault="0069255A">
      <w:pPr>
        <w:pStyle w:val="Corpodetexto"/>
        <w:spacing w:before="122" w:line="232" w:lineRule="auto"/>
        <w:ind w:left="110" w:right="127" w:firstLine="320"/>
        <w:jc w:val="both"/>
      </w:pPr>
      <w:r>
        <w:rPr>
          <w:color w:val="231F20"/>
        </w:rPr>
        <w:t>‘Landscape’ is a term that is commonly associated with attractive scenery.</w:t>
      </w:r>
      <w:r>
        <w:rPr>
          <w:color w:val="231F20"/>
          <w:spacing w:val="-5"/>
        </w:rPr>
        <w:t xml:space="preserve"> </w:t>
      </w:r>
      <w:r>
        <w:rPr>
          <w:color w:val="231F20"/>
        </w:rPr>
        <w:t>Natural</w:t>
      </w:r>
      <w:r>
        <w:rPr>
          <w:color w:val="231F20"/>
          <w:spacing w:val="-5"/>
        </w:rPr>
        <w:t xml:space="preserve"> </w:t>
      </w:r>
      <w:r>
        <w:rPr>
          <w:color w:val="231F20"/>
        </w:rPr>
        <w:t>landscapes</w:t>
      </w:r>
      <w:r>
        <w:rPr>
          <w:color w:val="231F20"/>
          <w:spacing w:val="-5"/>
        </w:rPr>
        <w:t xml:space="preserve"> </w:t>
      </w:r>
      <w:r>
        <w:rPr>
          <w:color w:val="231F20"/>
        </w:rPr>
        <w:t>(and</w:t>
      </w:r>
      <w:r>
        <w:rPr>
          <w:color w:val="231F20"/>
          <w:spacing w:val="-5"/>
        </w:rPr>
        <w:t xml:space="preserve"> </w:t>
      </w:r>
      <w:r>
        <w:rPr>
          <w:color w:val="231F20"/>
        </w:rPr>
        <w:t>seascapes)</w:t>
      </w:r>
      <w:r>
        <w:rPr>
          <w:color w:val="231F20"/>
          <w:spacing w:val="-5"/>
        </w:rPr>
        <w:t xml:space="preserve"> </w:t>
      </w:r>
      <w:r>
        <w:rPr>
          <w:color w:val="231F20"/>
        </w:rPr>
        <w:t>are</w:t>
      </w:r>
      <w:r>
        <w:rPr>
          <w:color w:val="231F20"/>
          <w:spacing w:val="-5"/>
        </w:rPr>
        <w:t xml:space="preserve"> </w:t>
      </w:r>
      <w:r>
        <w:rPr>
          <w:color w:val="231F20"/>
        </w:rPr>
        <w:t>central</w:t>
      </w:r>
      <w:r>
        <w:rPr>
          <w:color w:val="231F20"/>
          <w:spacing w:val="-5"/>
        </w:rPr>
        <w:t xml:space="preserve"> </w:t>
      </w:r>
      <w:r>
        <w:rPr>
          <w:color w:val="231F20"/>
        </w:rPr>
        <w:t>to</w:t>
      </w:r>
      <w:r>
        <w:rPr>
          <w:color w:val="231F20"/>
          <w:spacing w:val="-5"/>
        </w:rPr>
        <w:t xml:space="preserve"> </w:t>
      </w:r>
      <w:r>
        <w:rPr>
          <w:color w:val="231F20"/>
        </w:rPr>
        <w:t>the</w:t>
      </w:r>
      <w:r>
        <w:rPr>
          <w:color w:val="231F20"/>
          <w:spacing w:val="-5"/>
        </w:rPr>
        <w:t xml:space="preserve"> </w:t>
      </w:r>
      <w:r>
        <w:rPr>
          <w:color w:val="231F20"/>
        </w:rPr>
        <w:t>pursuit</w:t>
      </w:r>
      <w:r>
        <w:rPr>
          <w:color w:val="231F20"/>
          <w:spacing w:val="-5"/>
        </w:rPr>
        <w:t xml:space="preserve"> </w:t>
      </w:r>
      <w:r>
        <w:rPr>
          <w:color w:val="231F20"/>
        </w:rPr>
        <w:t xml:space="preserve">of many sports. However, sports are not natural forms of movement and, </w:t>
      </w:r>
      <w:r>
        <w:rPr>
          <w:color w:val="231F20"/>
          <w:spacing w:val="-2"/>
        </w:rPr>
        <w:t>therefore,</w:t>
      </w:r>
      <w:r>
        <w:rPr>
          <w:color w:val="231F20"/>
          <w:spacing w:val="-6"/>
        </w:rPr>
        <w:t xml:space="preserve"> </w:t>
      </w:r>
      <w:r>
        <w:rPr>
          <w:color w:val="231F20"/>
          <w:spacing w:val="-2"/>
        </w:rPr>
        <w:t>‘the</w:t>
      </w:r>
      <w:r>
        <w:rPr>
          <w:color w:val="231F20"/>
          <w:spacing w:val="-6"/>
        </w:rPr>
        <w:t xml:space="preserve"> </w:t>
      </w:r>
      <w:r>
        <w:rPr>
          <w:color w:val="231F20"/>
          <w:spacing w:val="-2"/>
        </w:rPr>
        <w:t>landscape</w:t>
      </w:r>
      <w:r>
        <w:rPr>
          <w:color w:val="231F20"/>
          <w:spacing w:val="-6"/>
        </w:rPr>
        <w:t xml:space="preserve"> </w:t>
      </w:r>
      <w:r>
        <w:rPr>
          <w:color w:val="231F20"/>
          <w:spacing w:val="-2"/>
        </w:rPr>
        <w:t>upon</w:t>
      </w:r>
      <w:r>
        <w:rPr>
          <w:color w:val="231F20"/>
          <w:spacing w:val="-6"/>
        </w:rPr>
        <w:t xml:space="preserve"> </w:t>
      </w:r>
      <w:r>
        <w:rPr>
          <w:color w:val="231F20"/>
          <w:spacing w:val="-2"/>
        </w:rPr>
        <w:t>which</w:t>
      </w:r>
      <w:r>
        <w:rPr>
          <w:color w:val="231F20"/>
          <w:spacing w:val="-6"/>
        </w:rPr>
        <w:t xml:space="preserve"> </w:t>
      </w:r>
      <w:r>
        <w:rPr>
          <w:color w:val="231F20"/>
          <w:spacing w:val="-2"/>
        </w:rPr>
        <w:t>such</w:t>
      </w:r>
      <w:r>
        <w:rPr>
          <w:color w:val="231F20"/>
          <w:spacing w:val="-6"/>
        </w:rPr>
        <w:t xml:space="preserve"> </w:t>
      </w:r>
      <w:r>
        <w:rPr>
          <w:color w:val="231F20"/>
          <w:spacing w:val="-2"/>
        </w:rPr>
        <w:t>body</w:t>
      </w:r>
      <w:r>
        <w:rPr>
          <w:color w:val="231F20"/>
          <w:spacing w:val="-6"/>
        </w:rPr>
        <w:t xml:space="preserve"> </w:t>
      </w:r>
      <w:r>
        <w:rPr>
          <w:color w:val="231F20"/>
          <w:spacing w:val="-2"/>
        </w:rPr>
        <w:t>c</w:t>
      </w:r>
      <w:r>
        <w:rPr>
          <w:color w:val="231F20"/>
          <w:spacing w:val="-2"/>
        </w:rPr>
        <w:t>ulture</w:t>
      </w:r>
      <w:r>
        <w:rPr>
          <w:color w:val="231F20"/>
          <w:spacing w:val="-6"/>
        </w:rPr>
        <w:t xml:space="preserve"> </w:t>
      </w:r>
      <w:r>
        <w:rPr>
          <w:color w:val="231F20"/>
          <w:spacing w:val="-2"/>
        </w:rPr>
        <w:t>takes</w:t>
      </w:r>
      <w:r>
        <w:rPr>
          <w:color w:val="231F20"/>
          <w:spacing w:val="-6"/>
        </w:rPr>
        <w:t xml:space="preserve"> </w:t>
      </w:r>
      <w:r>
        <w:rPr>
          <w:color w:val="231F20"/>
          <w:spacing w:val="-2"/>
        </w:rPr>
        <w:t>place</w:t>
      </w:r>
      <w:r>
        <w:rPr>
          <w:color w:val="231F20"/>
          <w:spacing w:val="-6"/>
        </w:rPr>
        <w:t xml:space="preserve"> </w:t>
      </w:r>
      <w:r>
        <w:rPr>
          <w:color w:val="231F20"/>
          <w:spacing w:val="-2"/>
        </w:rPr>
        <w:t>is</w:t>
      </w:r>
      <w:r>
        <w:rPr>
          <w:color w:val="231F20"/>
          <w:spacing w:val="-6"/>
        </w:rPr>
        <w:t xml:space="preserve"> </w:t>
      </w:r>
      <w:r>
        <w:rPr>
          <w:color w:val="231F20"/>
          <w:spacing w:val="-2"/>
        </w:rPr>
        <w:t xml:space="preserve">part </w:t>
      </w:r>
      <w:r>
        <w:rPr>
          <w:color w:val="231F20"/>
        </w:rPr>
        <w:t>of</w:t>
      </w:r>
      <w:r>
        <w:rPr>
          <w:color w:val="231F20"/>
          <w:spacing w:val="-1"/>
        </w:rPr>
        <w:t xml:space="preserve"> </w:t>
      </w:r>
      <w:r>
        <w:rPr>
          <w:color w:val="231F20"/>
        </w:rPr>
        <w:t>the</w:t>
      </w:r>
      <w:r>
        <w:rPr>
          <w:color w:val="231F20"/>
          <w:spacing w:val="-10"/>
        </w:rPr>
        <w:t xml:space="preserve"> </w:t>
      </w:r>
      <w:r>
        <w:rPr>
          <w:color w:val="231F20"/>
        </w:rPr>
        <w:t>cultural</w:t>
      </w:r>
      <w:r>
        <w:rPr>
          <w:color w:val="231F20"/>
          <w:spacing w:val="-10"/>
        </w:rPr>
        <w:t xml:space="preserve"> </w:t>
      </w:r>
      <w:r>
        <w:rPr>
          <w:color w:val="231F20"/>
        </w:rPr>
        <w:t>landscape’</w:t>
      </w:r>
      <w:r>
        <w:rPr>
          <w:color w:val="231F20"/>
          <w:spacing w:val="-10"/>
        </w:rPr>
        <w:t xml:space="preserve"> </w:t>
      </w:r>
      <w:r>
        <w:rPr>
          <w:color w:val="231F20"/>
        </w:rPr>
        <w:t>(Bale,</w:t>
      </w:r>
      <w:r>
        <w:rPr>
          <w:color w:val="231F20"/>
          <w:spacing w:val="-10"/>
        </w:rPr>
        <w:t xml:space="preserve"> </w:t>
      </w:r>
      <w:r>
        <w:rPr>
          <w:color w:val="231F20"/>
        </w:rPr>
        <w:t>1994:</w:t>
      </w:r>
      <w:r>
        <w:rPr>
          <w:color w:val="231F20"/>
          <w:spacing w:val="-10"/>
        </w:rPr>
        <w:t xml:space="preserve"> </w:t>
      </w:r>
      <w:r>
        <w:rPr>
          <w:color w:val="231F20"/>
        </w:rPr>
        <w:t>9).</w:t>
      </w:r>
      <w:r>
        <w:rPr>
          <w:color w:val="231F20"/>
          <w:spacing w:val="-10"/>
        </w:rPr>
        <w:t xml:space="preserve"> </w:t>
      </w:r>
      <w:r>
        <w:rPr>
          <w:color w:val="231F20"/>
        </w:rPr>
        <w:t>Even</w:t>
      </w:r>
      <w:r>
        <w:rPr>
          <w:color w:val="231F20"/>
          <w:spacing w:val="-10"/>
        </w:rPr>
        <w:t xml:space="preserve"> </w:t>
      </w:r>
      <w:r>
        <w:rPr>
          <w:color w:val="231F20"/>
        </w:rPr>
        <w:t>sports</w:t>
      </w:r>
      <w:r>
        <w:rPr>
          <w:color w:val="231F20"/>
          <w:spacing w:val="-10"/>
        </w:rPr>
        <w:t xml:space="preserve"> </w:t>
      </w:r>
      <w:r>
        <w:rPr>
          <w:color w:val="231F20"/>
        </w:rPr>
        <w:t>that</w:t>
      </w:r>
      <w:r>
        <w:rPr>
          <w:color w:val="231F20"/>
          <w:spacing w:val="-10"/>
        </w:rPr>
        <w:t xml:space="preserve"> </w:t>
      </w:r>
      <w:r>
        <w:rPr>
          <w:color w:val="231F20"/>
        </w:rPr>
        <w:t>rely</w:t>
      </w:r>
      <w:r>
        <w:rPr>
          <w:color w:val="231F20"/>
          <w:spacing w:val="-10"/>
        </w:rPr>
        <w:t xml:space="preserve"> </w:t>
      </w:r>
      <w:r>
        <w:rPr>
          <w:color w:val="231F20"/>
        </w:rPr>
        <w:t>on</w:t>
      </w:r>
      <w:r>
        <w:rPr>
          <w:color w:val="231F20"/>
          <w:spacing w:val="-10"/>
        </w:rPr>
        <w:t xml:space="preserve"> </w:t>
      </w:r>
      <w:r>
        <w:rPr>
          <w:color w:val="231F20"/>
        </w:rPr>
        <w:t xml:space="preserve">natural </w:t>
      </w:r>
      <w:r>
        <w:rPr>
          <w:color w:val="231F20"/>
          <w:w w:val="95"/>
        </w:rPr>
        <w:t>elements take place in environments that are subject to varying degrees of anthropogenic</w:t>
      </w:r>
      <w:r>
        <w:rPr>
          <w:color w:val="231F20"/>
          <w:spacing w:val="-8"/>
          <w:w w:val="95"/>
        </w:rPr>
        <w:t xml:space="preserve"> </w:t>
      </w:r>
      <w:r>
        <w:rPr>
          <w:color w:val="231F20"/>
          <w:w w:val="95"/>
        </w:rPr>
        <w:t>change.</w:t>
      </w:r>
      <w:r>
        <w:rPr>
          <w:color w:val="231F20"/>
          <w:spacing w:val="-8"/>
          <w:w w:val="95"/>
        </w:rPr>
        <w:t xml:space="preserve"> </w:t>
      </w:r>
      <w:r>
        <w:rPr>
          <w:color w:val="231F20"/>
          <w:w w:val="95"/>
        </w:rPr>
        <w:t>For</w:t>
      </w:r>
      <w:r>
        <w:rPr>
          <w:color w:val="231F20"/>
          <w:spacing w:val="-8"/>
          <w:w w:val="95"/>
        </w:rPr>
        <w:t xml:space="preserve"> </w:t>
      </w:r>
      <w:r>
        <w:rPr>
          <w:color w:val="231F20"/>
          <w:w w:val="95"/>
        </w:rPr>
        <w:t>instance,</w:t>
      </w:r>
      <w:r>
        <w:rPr>
          <w:color w:val="231F20"/>
          <w:spacing w:val="-8"/>
          <w:w w:val="95"/>
        </w:rPr>
        <w:t xml:space="preserve"> </w:t>
      </w:r>
      <w:r>
        <w:rPr>
          <w:color w:val="231F20"/>
          <w:w w:val="95"/>
        </w:rPr>
        <w:t>ski</w:t>
      </w:r>
      <w:r>
        <w:rPr>
          <w:color w:val="231F20"/>
          <w:spacing w:val="-8"/>
          <w:w w:val="95"/>
        </w:rPr>
        <w:t xml:space="preserve"> </w:t>
      </w:r>
      <w:r>
        <w:rPr>
          <w:color w:val="231F20"/>
          <w:w w:val="95"/>
        </w:rPr>
        <w:t>slopes</w:t>
      </w:r>
      <w:r>
        <w:rPr>
          <w:color w:val="231F20"/>
          <w:spacing w:val="-8"/>
          <w:w w:val="95"/>
        </w:rPr>
        <w:t xml:space="preserve"> </w:t>
      </w:r>
      <w:r>
        <w:rPr>
          <w:color w:val="231F20"/>
          <w:w w:val="95"/>
        </w:rPr>
        <w:t>are</w:t>
      </w:r>
      <w:r>
        <w:rPr>
          <w:color w:val="231F20"/>
          <w:spacing w:val="-8"/>
          <w:w w:val="95"/>
        </w:rPr>
        <w:t xml:space="preserve"> </w:t>
      </w:r>
      <w:r>
        <w:rPr>
          <w:color w:val="231F20"/>
          <w:w w:val="95"/>
        </w:rPr>
        <w:t>subject</w:t>
      </w:r>
      <w:r>
        <w:rPr>
          <w:color w:val="231F20"/>
          <w:spacing w:val="-8"/>
          <w:w w:val="95"/>
        </w:rPr>
        <w:t xml:space="preserve"> </w:t>
      </w:r>
      <w:r>
        <w:rPr>
          <w:color w:val="231F20"/>
          <w:w w:val="95"/>
        </w:rPr>
        <w:t>to</w:t>
      </w:r>
      <w:r>
        <w:rPr>
          <w:color w:val="231F20"/>
          <w:spacing w:val="-8"/>
          <w:w w:val="95"/>
        </w:rPr>
        <w:t xml:space="preserve"> </w:t>
      </w:r>
      <w:r>
        <w:rPr>
          <w:color w:val="231F20"/>
          <w:w w:val="95"/>
        </w:rPr>
        <w:t>change</w:t>
      </w:r>
      <w:r>
        <w:rPr>
          <w:color w:val="231F20"/>
          <w:spacing w:val="-8"/>
          <w:w w:val="95"/>
        </w:rPr>
        <w:t xml:space="preserve"> </w:t>
      </w:r>
      <w:r>
        <w:rPr>
          <w:color w:val="231F20"/>
          <w:w w:val="95"/>
        </w:rPr>
        <w:t xml:space="preserve">through </w:t>
      </w:r>
      <w:r>
        <w:rPr>
          <w:color w:val="231F20"/>
        </w:rPr>
        <w:t>the</w:t>
      </w:r>
      <w:r>
        <w:rPr>
          <w:color w:val="231F20"/>
          <w:spacing w:val="-2"/>
        </w:rPr>
        <w:t xml:space="preserve"> </w:t>
      </w:r>
      <w:r>
        <w:rPr>
          <w:color w:val="231F20"/>
        </w:rPr>
        <w:t>grooming</w:t>
      </w:r>
      <w:r>
        <w:rPr>
          <w:color w:val="231F20"/>
          <w:spacing w:val="-2"/>
        </w:rPr>
        <w:t xml:space="preserve"> </w:t>
      </w:r>
      <w:r>
        <w:rPr>
          <w:color w:val="231F20"/>
        </w:rPr>
        <w:t>of ski</w:t>
      </w:r>
      <w:r>
        <w:rPr>
          <w:color w:val="231F20"/>
          <w:spacing w:val="-2"/>
        </w:rPr>
        <w:t xml:space="preserve"> </w:t>
      </w:r>
      <w:r>
        <w:rPr>
          <w:color w:val="231F20"/>
        </w:rPr>
        <w:t>trails,</w:t>
      </w:r>
      <w:r>
        <w:rPr>
          <w:color w:val="231F20"/>
          <w:spacing w:val="-2"/>
        </w:rPr>
        <w:t xml:space="preserve"> </w:t>
      </w:r>
      <w:r>
        <w:rPr>
          <w:color w:val="231F20"/>
        </w:rPr>
        <w:t>the</w:t>
      </w:r>
      <w:r>
        <w:rPr>
          <w:color w:val="231F20"/>
          <w:spacing w:val="-2"/>
        </w:rPr>
        <w:t xml:space="preserve"> </w:t>
      </w:r>
      <w:r>
        <w:rPr>
          <w:color w:val="231F20"/>
        </w:rPr>
        <w:t>construction</w:t>
      </w:r>
      <w:r>
        <w:rPr>
          <w:color w:val="231F20"/>
          <w:spacing w:val="-2"/>
        </w:rPr>
        <w:t xml:space="preserve"> </w:t>
      </w:r>
      <w:r>
        <w:rPr>
          <w:color w:val="231F20"/>
        </w:rPr>
        <w:t>of facilities</w:t>
      </w:r>
      <w:r>
        <w:rPr>
          <w:color w:val="231F20"/>
          <w:spacing w:val="-2"/>
        </w:rPr>
        <w:t xml:space="preserve"> </w:t>
      </w:r>
      <w:r>
        <w:rPr>
          <w:color w:val="231F20"/>
        </w:rPr>
        <w:t>such</w:t>
      </w:r>
      <w:r>
        <w:rPr>
          <w:color w:val="231F20"/>
          <w:spacing w:val="-2"/>
        </w:rPr>
        <w:t xml:space="preserve"> </w:t>
      </w:r>
      <w:r>
        <w:rPr>
          <w:color w:val="231F20"/>
        </w:rPr>
        <w:t>as</w:t>
      </w:r>
      <w:r>
        <w:rPr>
          <w:color w:val="231F20"/>
          <w:spacing w:val="-2"/>
        </w:rPr>
        <w:t xml:space="preserve"> </w:t>
      </w:r>
      <w:r>
        <w:rPr>
          <w:color w:val="231F20"/>
        </w:rPr>
        <w:t>ski</w:t>
      </w:r>
      <w:r>
        <w:rPr>
          <w:color w:val="231F20"/>
          <w:spacing w:val="-2"/>
        </w:rPr>
        <w:t xml:space="preserve"> </w:t>
      </w:r>
      <w:r>
        <w:rPr>
          <w:color w:val="231F20"/>
        </w:rPr>
        <w:t xml:space="preserve">jumps </w:t>
      </w:r>
      <w:r>
        <w:rPr>
          <w:color w:val="231F20"/>
          <w:w w:val="95"/>
        </w:rPr>
        <w:t>and</w:t>
      </w:r>
      <w:r>
        <w:rPr>
          <w:color w:val="231F20"/>
          <w:spacing w:val="-1"/>
          <w:w w:val="95"/>
        </w:rPr>
        <w:t xml:space="preserve"> </w:t>
      </w:r>
      <w:r>
        <w:rPr>
          <w:color w:val="231F20"/>
          <w:w w:val="95"/>
        </w:rPr>
        <w:t>slalom</w:t>
      </w:r>
      <w:r>
        <w:rPr>
          <w:color w:val="231F20"/>
          <w:spacing w:val="-1"/>
          <w:w w:val="95"/>
        </w:rPr>
        <w:t xml:space="preserve"> </w:t>
      </w:r>
      <w:r>
        <w:rPr>
          <w:color w:val="231F20"/>
          <w:w w:val="95"/>
        </w:rPr>
        <w:t>courses,</w:t>
      </w:r>
      <w:r>
        <w:rPr>
          <w:color w:val="231F20"/>
          <w:spacing w:val="-1"/>
          <w:w w:val="95"/>
        </w:rPr>
        <w:t xml:space="preserve"> </w:t>
      </w:r>
      <w:r>
        <w:rPr>
          <w:color w:val="231F20"/>
          <w:w w:val="95"/>
        </w:rPr>
        <w:t>snowboa</w:t>
      </w:r>
      <w:r>
        <w:rPr>
          <w:color w:val="231F20"/>
          <w:w w:val="95"/>
        </w:rPr>
        <w:t>rd</w:t>
      </w:r>
      <w:r>
        <w:rPr>
          <w:color w:val="231F20"/>
          <w:spacing w:val="-1"/>
          <w:w w:val="95"/>
        </w:rPr>
        <w:t xml:space="preserve"> </w:t>
      </w:r>
      <w:r>
        <w:rPr>
          <w:color w:val="231F20"/>
          <w:w w:val="95"/>
        </w:rPr>
        <w:t>half</w:t>
      </w:r>
      <w:r>
        <w:rPr>
          <w:color w:val="231F20"/>
        </w:rPr>
        <w:t xml:space="preserve"> </w:t>
      </w:r>
      <w:r>
        <w:rPr>
          <w:color w:val="231F20"/>
          <w:w w:val="95"/>
        </w:rPr>
        <w:t>pipes</w:t>
      </w:r>
      <w:r>
        <w:rPr>
          <w:color w:val="231F20"/>
          <w:spacing w:val="-1"/>
          <w:w w:val="95"/>
        </w:rPr>
        <w:t xml:space="preserve"> </w:t>
      </w:r>
      <w:r>
        <w:rPr>
          <w:color w:val="231F20"/>
          <w:w w:val="95"/>
        </w:rPr>
        <w:t>and</w:t>
      </w:r>
      <w:r>
        <w:rPr>
          <w:color w:val="231F20"/>
          <w:spacing w:val="-1"/>
          <w:w w:val="95"/>
        </w:rPr>
        <w:t xml:space="preserve"> </w:t>
      </w:r>
      <w:r>
        <w:rPr>
          <w:color w:val="231F20"/>
          <w:w w:val="95"/>
        </w:rPr>
        <w:t>ramps,</w:t>
      </w:r>
      <w:r>
        <w:rPr>
          <w:color w:val="231F20"/>
          <w:spacing w:val="-1"/>
          <w:w w:val="95"/>
        </w:rPr>
        <w:t xml:space="preserve"> </w:t>
      </w:r>
      <w:r>
        <w:rPr>
          <w:color w:val="231F20"/>
          <w:w w:val="95"/>
        </w:rPr>
        <w:t>snow-making</w:t>
      </w:r>
      <w:r>
        <w:rPr>
          <w:color w:val="231F20"/>
          <w:spacing w:val="-1"/>
          <w:w w:val="95"/>
        </w:rPr>
        <w:t xml:space="preserve"> </w:t>
      </w:r>
      <w:r>
        <w:rPr>
          <w:color w:val="231F20"/>
          <w:w w:val="95"/>
        </w:rPr>
        <w:t>and</w:t>
      </w:r>
      <w:r>
        <w:rPr>
          <w:color w:val="231F20"/>
          <w:spacing w:val="-1"/>
          <w:w w:val="95"/>
        </w:rPr>
        <w:t xml:space="preserve"> </w:t>
      </w:r>
      <w:r>
        <w:rPr>
          <w:color w:val="231F20"/>
          <w:w w:val="95"/>
        </w:rPr>
        <w:t xml:space="preserve">the </w:t>
      </w:r>
      <w:r>
        <w:rPr>
          <w:color w:val="231F20"/>
        </w:rPr>
        <w:t>development</w:t>
      </w:r>
      <w:r>
        <w:rPr>
          <w:color w:val="231F20"/>
          <w:spacing w:val="-1"/>
        </w:rPr>
        <w:t xml:space="preserve"> </w:t>
      </w:r>
      <w:r>
        <w:rPr>
          <w:color w:val="231F20"/>
        </w:rPr>
        <w:t>of visitor</w:t>
      </w:r>
      <w:r>
        <w:rPr>
          <w:color w:val="231F20"/>
          <w:spacing w:val="-1"/>
        </w:rPr>
        <w:t xml:space="preserve"> </w:t>
      </w:r>
      <w:r>
        <w:rPr>
          <w:color w:val="231F20"/>
        </w:rPr>
        <w:t>services</w:t>
      </w:r>
      <w:r>
        <w:rPr>
          <w:color w:val="231F20"/>
          <w:spacing w:val="-1"/>
        </w:rPr>
        <w:t xml:space="preserve"> </w:t>
      </w:r>
      <w:r>
        <w:rPr>
          <w:color w:val="231F20"/>
        </w:rPr>
        <w:t>(Hudson</w:t>
      </w:r>
      <w:r>
        <w:rPr>
          <w:color w:val="231F20"/>
          <w:spacing w:val="-1"/>
        </w:rPr>
        <w:t xml:space="preserve"> </w:t>
      </w:r>
      <w:r>
        <w:rPr>
          <w:color w:val="231F20"/>
        </w:rPr>
        <w:t>&amp;</w:t>
      </w:r>
      <w:r>
        <w:rPr>
          <w:color w:val="231F20"/>
          <w:spacing w:val="-1"/>
        </w:rPr>
        <w:t xml:space="preserve"> </w:t>
      </w:r>
      <w:r>
        <w:rPr>
          <w:color w:val="231F20"/>
        </w:rPr>
        <w:t>Hudson,</w:t>
      </w:r>
      <w:r>
        <w:rPr>
          <w:color w:val="231F20"/>
          <w:spacing w:val="-1"/>
        </w:rPr>
        <w:t xml:space="preserve"> </w:t>
      </w:r>
      <w:r>
        <w:rPr>
          <w:color w:val="231F20"/>
        </w:rPr>
        <w:t>2010).</w:t>
      </w:r>
      <w:r>
        <w:rPr>
          <w:color w:val="231F20"/>
          <w:spacing w:val="-1"/>
        </w:rPr>
        <w:t xml:space="preserve"> </w:t>
      </w:r>
      <w:r>
        <w:rPr>
          <w:color w:val="231F20"/>
        </w:rPr>
        <w:t xml:space="preserve">Golf courses, </w:t>
      </w:r>
      <w:r>
        <w:rPr>
          <w:color w:val="231F20"/>
          <w:spacing w:val="-2"/>
          <w:w w:val="95"/>
        </w:rPr>
        <w:t>which</w:t>
      </w:r>
      <w:r>
        <w:rPr>
          <w:color w:val="231F20"/>
          <w:spacing w:val="-3"/>
          <w:w w:val="95"/>
        </w:rPr>
        <w:t xml:space="preserve"> </w:t>
      </w:r>
      <w:r>
        <w:rPr>
          <w:color w:val="231F20"/>
          <w:spacing w:val="-2"/>
          <w:w w:val="95"/>
        </w:rPr>
        <w:t>are</w:t>
      </w:r>
      <w:r>
        <w:rPr>
          <w:color w:val="231F20"/>
          <w:spacing w:val="-3"/>
          <w:w w:val="95"/>
        </w:rPr>
        <w:t xml:space="preserve"> </w:t>
      </w:r>
      <w:r>
        <w:rPr>
          <w:color w:val="231F20"/>
          <w:spacing w:val="-2"/>
          <w:w w:val="95"/>
        </w:rPr>
        <w:t>very</w:t>
      </w:r>
      <w:r>
        <w:rPr>
          <w:color w:val="231F20"/>
          <w:spacing w:val="-3"/>
          <w:w w:val="95"/>
        </w:rPr>
        <w:t xml:space="preserve"> </w:t>
      </w:r>
      <w:r>
        <w:rPr>
          <w:color w:val="231F20"/>
          <w:spacing w:val="-2"/>
          <w:w w:val="95"/>
        </w:rPr>
        <w:t>‘green’</w:t>
      </w:r>
      <w:r>
        <w:rPr>
          <w:color w:val="231F20"/>
          <w:spacing w:val="-3"/>
          <w:w w:val="95"/>
        </w:rPr>
        <w:t xml:space="preserve"> </w:t>
      </w:r>
      <w:r>
        <w:rPr>
          <w:color w:val="231F20"/>
          <w:spacing w:val="-2"/>
          <w:w w:val="95"/>
        </w:rPr>
        <w:t>in</w:t>
      </w:r>
      <w:r>
        <w:rPr>
          <w:color w:val="231F20"/>
          <w:spacing w:val="-3"/>
          <w:w w:val="95"/>
        </w:rPr>
        <w:t xml:space="preserve"> </w:t>
      </w:r>
      <w:r>
        <w:rPr>
          <w:color w:val="231F20"/>
          <w:spacing w:val="-2"/>
          <w:w w:val="95"/>
        </w:rPr>
        <w:t>appearance,</w:t>
      </w:r>
      <w:r>
        <w:rPr>
          <w:color w:val="231F20"/>
          <w:spacing w:val="-3"/>
          <w:w w:val="95"/>
        </w:rPr>
        <w:t xml:space="preserve"> </w:t>
      </w:r>
      <w:r>
        <w:rPr>
          <w:color w:val="231F20"/>
          <w:spacing w:val="-2"/>
          <w:w w:val="95"/>
        </w:rPr>
        <w:t>represent</w:t>
      </w:r>
      <w:r>
        <w:rPr>
          <w:color w:val="231F20"/>
          <w:spacing w:val="-3"/>
          <w:w w:val="95"/>
        </w:rPr>
        <w:t xml:space="preserve"> </w:t>
      </w:r>
      <w:r>
        <w:rPr>
          <w:color w:val="231F20"/>
          <w:spacing w:val="-2"/>
          <w:w w:val="95"/>
        </w:rPr>
        <w:t>highly</w:t>
      </w:r>
      <w:r>
        <w:rPr>
          <w:color w:val="231F20"/>
          <w:spacing w:val="-3"/>
          <w:w w:val="95"/>
        </w:rPr>
        <w:t xml:space="preserve"> </w:t>
      </w:r>
      <w:r>
        <w:rPr>
          <w:color w:val="231F20"/>
          <w:spacing w:val="-2"/>
          <w:w w:val="95"/>
        </w:rPr>
        <w:t>modified</w:t>
      </w:r>
      <w:r>
        <w:rPr>
          <w:color w:val="231F20"/>
          <w:spacing w:val="-3"/>
          <w:w w:val="95"/>
        </w:rPr>
        <w:t xml:space="preserve"> </w:t>
      </w:r>
      <w:r>
        <w:rPr>
          <w:color w:val="231F20"/>
          <w:spacing w:val="-2"/>
          <w:w w:val="95"/>
        </w:rPr>
        <w:t>natural</w:t>
      </w:r>
      <w:r>
        <w:rPr>
          <w:color w:val="231F20"/>
          <w:spacing w:val="-3"/>
          <w:w w:val="95"/>
        </w:rPr>
        <w:t xml:space="preserve"> </w:t>
      </w:r>
      <w:r>
        <w:rPr>
          <w:color w:val="231F20"/>
          <w:spacing w:val="-2"/>
          <w:w w:val="95"/>
        </w:rPr>
        <w:t xml:space="preserve">areas </w:t>
      </w:r>
      <w:r>
        <w:rPr>
          <w:color w:val="231F20"/>
          <w:w w:val="95"/>
        </w:rPr>
        <w:t>and are characterised by significant ecological</w:t>
      </w:r>
      <w:r>
        <w:rPr>
          <w:color w:val="231F20"/>
          <w:w w:val="95"/>
        </w:rPr>
        <w:t xml:space="preserve"> impacts (Briassoulis, 2007; </w:t>
      </w:r>
      <w:r>
        <w:rPr>
          <w:color w:val="231F20"/>
        </w:rPr>
        <w:t>Rodriguez-Diaz</w:t>
      </w:r>
      <w:r>
        <w:rPr>
          <w:color w:val="231F20"/>
          <w:spacing w:val="-12"/>
        </w:rPr>
        <w:t xml:space="preserve"> </w:t>
      </w:r>
      <w:r>
        <w:rPr>
          <w:i/>
          <w:color w:val="231F20"/>
        </w:rPr>
        <w:t>et</w:t>
      </w:r>
      <w:r>
        <w:rPr>
          <w:i/>
          <w:color w:val="231F20"/>
          <w:spacing w:val="-12"/>
        </w:rPr>
        <w:t xml:space="preserve"> </w:t>
      </w:r>
      <w:r>
        <w:rPr>
          <w:i/>
          <w:color w:val="231F20"/>
        </w:rPr>
        <w:t>al</w:t>
      </w:r>
      <w:r>
        <w:rPr>
          <w:color w:val="231F20"/>
        </w:rPr>
        <w:t>.,</w:t>
      </w:r>
      <w:r>
        <w:rPr>
          <w:color w:val="231F20"/>
          <w:spacing w:val="-11"/>
        </w:rPr>
        <w:t xml:space="preserve"> </w:t>
      </w:r>
      <w:r>
        <w:rPr>
          <w:color w:val="231F20"/>
        </w:rPr>
        <w:t>2007;</w:t>
      </w:r>
      <w:r>
        <w:rPr>
          <w:color w:val="231F20"/>
          <w:spacing w:val="-12"/>
        </w:rPr>
        <w:t xml:space="preserve"> </w:t>
      </w:r>
      <w:r>
        <w:rPr>
          <w:color w:val="231F20"/>
        </w:rPr>
        <w:t>Wheeler</w:t>
      </w:r>
      <w:r>
        <w:rPr>
          <w:color w:val="231F20"/>
          <w:spacing w:val="-11"/>
        </w:rPr>
        <w:t xml:space="preserve"> </w:t>
      </w:r>
      <w:r>
        <w:rPr>
          <w:color w:val="231F20"/>
        </w:rPr>
        <w:t>&amp;</w:t>
      </w:r>
      <w:r>
        <w:rPr>
          <w:color w:val="231F20"/>
          <w:spacing w:val="-12"/>
        </w:rPr>
        <w:t xml:space="preserve"> </w:t>
      </w:r>
      <w:r>
        <w:rPr>
          <w:color w:val="231F20"/>
        </w:rPr>
        <w:t>Nauright,</w:t>
      </w:r>
      <w:r>
        <w:rPr>
          <w:color w:val="231F20"/>
          <w:spacing w:val="-11"/>
        </w:rPr>
        <w:t xml:space="preserve"> </w:t>
      </w:r>
      <w:r>
        <w:rPr>
          <w:color w:val="231F20"/>
        </w:rPr>
        <w:t>2006)</w:t>
      </w:r>
      <w:r>
        <w:rPr>
          <w:color w:val="231F20"/>
          <w:spacing w:val="-12"/>
        </w:rPr>
        <w:t xml:space="preserve"> </w:t>
      </w:r>
      <w:r>
        <w:rPr>
          <w:color w:val="231F20"/>
        </w:rPr>
        <w:t>(Focus</w:t>
      </w:r>
      <w:r>
        <w:rPr>
          <w:color w:val="231F20"/>
          <w:spacing w:val="-12"/>
        </w:rPr>
        <w:t xml:space="preserve"> </w:t>
      </w:r>
      <w:r>
        <w:rPr>
          <w:color w:val="231F20"/>
        </w:rPr>
        <w:t>Point</w:t>
      </w:r>
      <w:r>
        <w:rPr>
          <w:color w:val="231F20"/>
          <w:spacing w:val="-11"/>
        </w:rPr>
        <w:t xml:space="preserve"> </w:t>
      </w:r>
      <w:r>
        <w:rPr>
          <w:color w:val="231F20"/>
        </w:rPr>
        <w:t>7.1).</w:t>
      </w:r>
    </w:p>
    <w:p w14:paraId="701D8F67" w14:textId="77777777" w:rsidR="00AE0598" w:rsidRDefault="00AE0598">
      <w:pPr>
        <w:pStyle w:val="Corpodetexto"/>
        <w:rPr>
          <w:sz w:val="20"/>
        </w:rPr>
      </w:pPr>
    </w:p>
    <w:p w14:paraId="391368F4" w14:textId="3FDA3DA0" w:rsidR="00AE0598" w:rsidRDefault="0069255A">
      <w:pPr>
        <w:pStyle w:val="Corpodetexto"/>
        <w:spacing w:before="9"/>
        <w:rPr>
          <w:sz w:val="12"/>
        </w:rPr>
      </w:pPr>
      <w:r>
        <w:rPr>
          <w:noProof/>
        </w:rPr>
        <mc:AlternateContent>
          <mc:Choice Requires="wps">
            <w:drawing>
              <wp:anchor distT="0" distB="0" distL="0" distR="0" simplePos="0" relativeHeight="487647232" behindDoc="1" locked="0" layoutInCell="1" allowOverlap="1" wp14:anchorId="5D5148DA" wp14:editId="77457D06">
                <wp:simplePos x="0" y="0"/>
                <wp:positionH relativeFrom="page">
                  <wp:posOffset>755650</wp:posOffset>
                </wp:positionH>
                <wp:positionV relativeFrom="paragraph">
                  <wp:posOffset>110490</wp:posOffset>
                </wp:positionV>
                <wp:extent cx="4104005" cy="2425700"/>
                <wp:effectExtent l="0" t="0" r="0" b="0"/>
                <wp:wrapTopAndBottom/>
                <wp:docPr id="196" name="docshape1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04005" cy="2425700"/>
                        </a:xfrm>
                        <a:prstGeom prst="rect">
                          <a:avLst/>
                        </a:prstGeom>
                        <a:solidFill>
                          <a:srgbClr val="DCDDD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4E19A60" w14:textId="77777777" w:rsidR="00AE0598" w:rsidRDefault="0069255A">
                            <w:pPr>
                              <w:spacing w:before="75"/>
                              <w:ind w:left="113"/>
                              <w:jc w:val="both"/>
                              <w:rPr>
                                <w:rFonts w:ascii="Trebuchet MS"/>
                                <w:color w:val="000000"/>
                                <w:sz w:val="20"/>
                              </w:rPr>
                            </w:pPr>
                            <w:r>
                              <w:rPr>
                                <w:rFonts w:ascii="Trebuchet MS"/>
                                <w:color w:val="231F20"/>
                                <w:sz w:val="20"/>
                              </w:rPr>
                              <w:t>Focus</w:t>
                            </w:r>
                            <w:r>
                              <w:rPr>
                                <w:rFonts w:ascii="Trebuchet MS"/>
                                <w:color w:val="231F20"/>
                                <w:spacing w:val="1"/>
                                <w:sz w:val="20"/>
                              </w:rPr>
                              <w:t xml:space="preserve"> </w:t>
                            </w:r>
                            <w:r>
                              <w:rPr>
                                <w:rFonts w:ascii="Trebuchet MS"/>
                                <w:color w:val="231F20"/>
                                <w:sz w:val="20"/>
                              </w:rPr>
                              <w:t>Point</w:t>
                            </w:r>
                            <w:r>
                              <w:rPr>
                                <w:rFonts w:ascii="Trebuchet MS"/>
                                <w:color w:val="231F20"/>
                                <w:spacing w:val="1"/>
                                <w:sz w:val="20"/>
                              </w:rPr>
                              <w:t xml:space="preserve"> </w:t>
                            </w:r>
                            <w:r>
                              <w:rPr>
                                <w:rFonts w:ascii="Trebuchet MS"/>
                                <w:color w:val="231F20"/>
                                <w:sz w:val="20"/>
                              </w:rPr>
                              <w:t>7.1:</w:t>
                            </w:r>
                            <w:r>
                              <w:rPr>
                                <w:rFonts w:ascii="Trebuchet MS"/>
                                <w:color w:val="231F20"/>
                                <w:spacing w:val="1"/>
                                <w:sz w:val="20"/>
                              </w:rPr>
                              <w:t xml:space="preserve"> </w:t>
                            </w:r>
                            <w:r>
                              <w:rPr>
                                <w:rFonts w:ascii="Trebuchet MS"/>
                                <w:color w:val="231F20"/>
                                <w:sz w:val="20"/>
                              </w:rPr>
                              <w:t>Water</w:t>
                            </w:r>
                            <w:r>
                              <w:rPr>
                                <w:rFonts w:ascii="Trebuchet MS"/>
                                <w:color w:val="231F20"/>
                                <w:spacing w:val="1"/>
                                <w:sz w:val="20"/>
                              </w:rPr>
                              <w:t xml:space="preserve"> </w:t>
                            </w:r>
                            <w:r>
                              <w:rPr>
                                <w:rFonts w:ascii="Trebuchet MS"/>
                                <w:color w:val="231F20"/>
                                <w:sz w:val="20"/>
                              </w:rPr>
                              <w:t>Resources</w:t>
                            </w:r>
                            <w:r>
                              <w:rPr>
                                <w:rFonts w:ascii="Trebuchet MS"/>
                                <w:color w:val="231F20"/>
                                <w:spacing w:val="1"/>
                                <w:sz w:val="20"/>
                              </w:rPr>
                              <w:t xml:space="preserve"> </w:t>
                            </w:r>
                            <w:r>
                              <w:rPr>
                                <w:rFonts w:ascii="Trebuchet MS"/>
                                <w:color w:val="231F20"/>
                                <w:sz w:val="20"/>
                              </w:rPr>
                              <w:t>and</w:t>
                            </w:r>
                            <w:r>
                              <w:rPr>
                                <w:rFonts w:ascii="Trebuchet MS"/>
                                <w:color w:val="231F20"/>
                                <w:spacing w:val="2"/>
                                <w:sz w:val="20"/>
                              </w:rPr>
                              <w:t xml:space="preserve"> </w:t>
                            </w:r>
                            <w:r>
                              <w:rPr>
                                <w:rFonts w:ascii="Trebuchet MS"/>
                                <w:color w:val="231F20"/>
                                <w:spacing w:val="-4"/>
                                <w:sz w:val="20"/>
                              </w:rPr>
                              <w:t>Golf</w:t>
                            </w:r>
                          </w:p>
                          <w:p w14:paraId="0DEC384F" w14:textId="77777777" w:rsidR="00AE0598" w:rsidRDefault="0069255A">
                            <w:pPr>
                              <w:pStyle w:val="Corpodetexto"/>
                              <w:spacing w:before="116"/>
                              <w:ind w:left="113"/>
                              <w:jc w:val="both"/>
                              <w:rPr>
                                <w:color w:val="000000"/>
                              </w:rPr>
                            </w:pPr>
                            <w:r>
                              <w:rPr>
                                <w:color w:val="231F20"/>
                              </w:rPr>
                              <w:t>Michelle</w:t>
                            </w:r>
                            <w:r>
                              <w:rPr>
                                <w:color w:val="231F20"/>
                                <w:spacing w:val="6"/>
                              </w:rPr>
                              <w:t xml:space="preserve"> </w:t>
                            </w:r>
                            <w:r>
                              <w:rPr>
                                <w:color w:val="231F20"/>
                                <w:spacing w:val="-2"/>
                              </w:rPr>
                              <w:t>Rutty</w:t>
                            </w:r>
                          </w:p>
                          <w:p w14:paraId="3A38E3AD" w14:textId="77777777" w:rsidR="00AE0598" w:rsidRDefault="0069255A">
                            <w:pPr>
                              <w:pStyle w:val="Corpodetexto"/>
                              <w:spacing w:before="120" w:line="232" w:lineRule="auto"/>
                              <w:ind w:left="113" w:right="111" w:firstLine="320"/>
                              <w:jc w:val="both"/>
                              <w:rPr>
                                <w:color w:val="000000"/>
                              </w:rPr>
                            </w:pPr>
                            <w:r>
                              <w:rPr>
                                <w:color w:val="231F20"/>
                              </w:rPr>
                              <w:t xml:space="preserve">Golf tourism has grown rapidly in the last two decades, drawing </w:t>
                            </w:r>
                            <w:r>
                              <w:rPr>
                                <w:color w:val="231F20"/>
                                <w:w w:val="95"/>
                              </w:rPr>
                              <w:t>considerable</w:t>
                            </w:r>
                            <w:r>
                              <w:rPr>
                                <w:color w:val="231F20"/>
                                <w:spacing w:val="-6"/>
                                <w:w w:val="95"/>
                              </w:rPr>
                              <w:t xml:space="preserve"> </w:t>
                            </w:r>
                            <w:r>
                              <w:rPr>
                                <w:color w:val="231F20"/>
                                <w:w w:val="95"/>
                              </w:rPr>
                              <w:t>negative</w:t>
                            </w:r>
                            <w:r>
                              <w:rPr>
                                <w:color w:val="231F20"/>
                                <w:spacing w:val="-6"/>
                                <w:w w:val="95"/>
                              </w:rPr>
                              <w:t xml:space="preserve"> </w:t>
                            </w:r>
                            <w:r>
                              <w:rPr>
                                <w:color w:val="231F20"/>
                                <w:w w:val="95"/>
                              </w:rPr>
                              <w:t>attention</w:t>
                            </w:r>
                            <w:r>
                              <w:rPr>
                                <w:color w:val="231F20"/>
                                <w:spacing w:val="-6"/>
                                <w:w w:val="95"/>
                              </w:rPr>
                              <w:t xml:space="preserve"> </w:t>
                            </w:r>
                            <w:r>
                              <w:rPr>
                                <w:color w:val="231F20"/>
                                <w:w w:val="95"/>
                              </w:rPr>
                              <w:t>to</w:t>
                            </w:r>
                            <w:r>
                              <w:rPr>
                                <w:color w:val="231F20"/>
                                <w:spacing w:val="-6"/>
                                <w:w w:val="95"/>
                              </w:rPr>
                              <w:t xml:space="preserve"> </w:t>
                            </w:r>
                            <w:r>
                              <w:rPr>
                                <w:color w:val="231F20"/>
                                <w:w w:val="95"/>
                              </w:rPr>
                              <w:t>the</w:t>
                            </w:r>
                            <w:r>
                              <w:rPr>
                                <w:color w:val="231F20"/>
                                <w:spacing w:val="-6"/>
                                <w:w w:val="95"/>
                              </w:rPr>
                              <w:t xml:space="preserve"> </w:t>
                            </w:r>
                            <w:r>
                              <w:rPr>
                                <w:color w:val="231F20"/>
                                <w:w w:val="95"/>
                              </w:rPr>
                              <w:t>sport.</w:t>
                            </w:r>
                            <w:r>
                              <w:rPr>
                                <w:color w:val="231F20"/>
                                <w:spacing w:val="-6"/>
                                <w:w w:val="95"/>
                              </w:rPr>
                              <w:t xml:space="preserve"> </w:t>
                            </w:r>
                            <w:r>
                              <w:rPr>
                                <w:color w:val="231F20"/>
                                <w:w w:val="95"/>
                              </w:rPr>
                              <w:t>Key</w:t>
                            </w:r>
                            <w:r>
                              <w:rPr>
                                <w:color w:val="231F20"/>
                                <w:spacing w:val="-6"/>
                                <w:w w:val="95"/>
                              </w:rPr>
                              <w:t xml:space="preserve"> </w:t>
                            </w:r>
                            <w:r>
                              <w:rPr>
                                <w:color w:val="231F20"/>
                                <w:w w:val="95"/>
                              </w:rPr>
                              <w:t>environmental</w:t>
                            </w:r>
                            <w:r>
                              <w:rPr>
                                <w:color w:val="231F20"/>
                                <w:spacing w:val="-6"/>
                                <w:w w:val="95"/>
                              </w:rPr>
                              <w:t xml:space="preserve"> </w:t>
                            </w:r>
                            <w:r>
                              <w:rPr>
                                <w:color w:val="231F20"/>
                                <w:w w:val="95"/>
                              </w:rPr>
                              <w:t xml:space="preserve">concerns </w:t>
                            </w:r>
                            <w:r>
                              <w:rPr>
                                <w:color w:val="231F20"/>
                              </w:rPr>
                              <w:t>include long-term impacts associated with the use of pesticides and chemicals on human and wildlife health, large-scale</w:t>
                            </w:r>
                            <w:r>
                              <w:rPr>
                                <w:color w:val="231F20"/>
                              </w:rPr>
                              <w:t xml:space="preserve"> modification of the natural environment and associated ecosystem impacts and the high consumption of freshwater resources for course irrigation (e.g. </w:t>
                            </w:r>
                            <w:r>
                              <w:rPr>
                                <w:color w:val="231F20"/>
                                <w:w w:val="95"/>
                              </w:rPr>
                              <w:t xml:space="preserve">Briassoulis, 2010, Wheeler &amp; Nauright, 2006). The latter is arguably the </w:t>
                            </w:r>
                            <w:r>
                              <w:rPr>
                                <w:color w:val="231F20"/>
                              </w:rPr>
                              <w:t>most</w:t>
                            </w:r>
                            <w:r>
                              <w:rPr>
                                <w:color w:val="231F20"/>
                                <w:spacing w:val="-12"/>
                              </w:rPr>
                              <w:t xml:space="preserve"> </w:t>
                            </w:r>
                            <w:r>
                              <w:rPr>
                                <w:color w:val="231F20"/>
                              </w:rPr>
                              <w:t>contentious,</w:t>
                            </w:r>
                            <w:r>
                              <w:rPr>
                                <w:color w:val="231F20"/>
                                <w:spacing w:val="-12"/>
                              </w:rPr>
                              <w:t xml:space="preserve"> </w:t>
                            </w:r>
                            <w:r>
                              <w:rPr>
                                <w:color w:val="231F20"/>
                              </w:rPr>
                              <w:t>with</w:t>
                            </w:r>
                            <w:r>
                              <w:rPr>
                                <w:color w:val="231F20"/>
                                <w:spacing w:val="-11"/>
                              </w:rPr>
                              <w:t xml:space="preserve"> </w:t>
                            </w:r>
                            <w:r>
                              <w:rPr>
                                <w:color w:val="231F20"/>
                              </w:rPr>
                              <w:t>several</w:t>
                            </w:r>
                            <w:r>
                              <w:rPr>
                                <w:color w:val="231F20"/>
                                <w:spacing w:val="-12"/>
                              </w:rPr>
                              <w:t xml:space="preserve"> </w:t>
                            </w:r>
                            <w:r>
                              <w:rPr>
                                <w:color w:val="231F20"/>
                              </w:rPr>
                              <w:t>m</w:t>
                            </w:r>
                            <w:r>
                              <w:rPr>
                                <w:color w:val="231F20"/>
                              </w:rPr>
                              <w:t>edia</w:t>
                            </w:r>
                            <w:r>
                              <w:rPr>
                                <w:color w:val="231F20"/>
                                <w:spacing w:val="-11"/>
                              </w:rPr>
                              <w:t xml:space="preserve"> </w:t>
                            </w:r>
                            <w:r>
                              <w:rPr>
                                <w:color w:val="231F20"/>
                              </w:rPr>
                              <w:t>campaigns</w:t>
                            </w:r>
                            <w:r>
                              <w:rPr>
                                <w:color w:val="231F20"/>
                                <w:spacing w:val="-12"/>
                              </w:rPr>
                              <w:t xml:space="preserve"> </w:t>
                            </w:r>
                            <w:r>
                              <w:rPr>
                                <w:color w:val="231F20"/>
                              </w:rPr>
                              <w:t>contesting</w:t>
                            </w:r>
                            <w:r>
                              <w:rPr>
                                <w:color w:val="231F20"/>
                                <w:spacing w:val="-11"/>
                              </w:rPr>
                              <w:t xml:space="preserve"> </w:t>
                            </w:r>
                            <w:r>
                              <w:rPr>
                                <w:color w:val="231F20"/>
                              </w:rPr>
                              <w:t>the</w:t>
                            </w:r>
                            <w:r>
                              <w:rPr>
                                <w:color w:val="231F20"/>
                                <w:spacing w:val="-12"/>
                              </w:rPr>
                              <w:t xml:space="preserve"> </w:t>
                            </w:r>
                            <w:r>
                              <w:rPr>
                                <w:color w:val="231F20"/>
                              </w:rPr>
                              <w:t xml:space="preserve">water- </w:t>
                            </w:r>
                            <w:r>
                              <w:rPr>
                                <w:color w:val="231F20"/>
                                <w:w w:val="90"/>
                              </w:rPr>
                              <w:t>intensive nature of</w:t>
                            </w:r>
                            <w:r>
                              <w:rPr>
                                <w:color w:val="231F20"/>
                                <w:spacing w:val="25"/>
                              </w:rPr>
                              <w:t xml:space="preserve"> </w:t>
                            </w:r>
                            <w:r>
                              <w:rPr>
                                <w:color w:val="231F20"/>
                                <w:w w:val="90"/>
                              </w:rPr>
                              <w:t xml:space="preserve">the sport, resulting in water resource conflicts in several </w:t>
                            </w:r>
                            <w:r>
                              <w:rPr>
                                <w:color w:val="231F20"/>
                              </w:rPr>
                              <w:t>regions</w:t>
                            </w:r>
                            <w:r>
                              <w:rPr>
                                <w:color w:val="231F20"/>
                                <w:spacing w:val="-5"/>
                              </w:rPr>
                              <w:t xml:space="preserve"> </w:t>
                            </w:r>
                            <w:r>
                              <w:rPr>
                                <w:color w:val="231F20"/>
                              </w:rPr>
                              <w:t>(e.g.</w:t>
                            </w:r>
                            <w:r>
                              <w:rPr>
                                <w:color w:val="231F20"/>
                                <w:spacing w:val="-5"/>
                              </w:rPr>
                              <w:t xml:space="preserve"> </w:t>
                            </w:r>
                            <w:r>
                              <w:rPr>
                                <w:color w:val="231F20"/>
                              </w:rPr>
                              <w:t>Harvey</w:t>
                            </w:r>
                            <w:r>
                              <w:rPr>
                                <w:color w:val="231F20"/>
                                <w:spacing w:val="-5"/>
                              </w:rPr>
                              <w:t xml:space="preserve"> </w:t>
                            </w:r>
                            <w:r>
                              <w:rPr>
                                <w:i/>
                                <w:color w:val="231F20"/>
                              </w:rPr>
                              <w:t>et</w:t>
                            </w:r>
                            <w:r>
                              <w:rPr>
                                <w:i/>
                                <w:color w:val="231F20"/>
                                <w:spacing w:val="-5"/>
                              </w:rPr>
                              <w:t xml:space="preserve"> </w:t>
                            </w:r>
                            <w:r>
                              <w:rPr>
                                <w:i/>
                                <w:color w:val="231F20"/>
                              </w:rPr>
                              <w:t>al</w:t>
                            </w:r>
                            <w:r>
                              <w:rPr>
                                <w:color w:val="231F20"/>
                              </w:rPr>
                              <w:t>.,</w:t>
                            </w:r>
                            <w:r>
                              <w:rPr>
                                <w:color w:val="231F20"/>
                                <w:spacing w:val="-5"/>
                              </w:rPr>
                              <w:t xml:space="preserve"> </w:t>
                            </w:r>
                            <w:r>
                              <w:rPr>
                                <w:color w:val="231F20"/>
                              </w:rPr>
                              <w:t>2013,</w:t>
                            </w:r>
                            <w:r>
                              <w:rPr>
                                <w:color w:val="231F20"/>
                                <w:spacing w:val="-5"/>
                              </w:rPr>
                              <w:t xml:space="preserve"> </w:t>
                            </w:r>
                            <w:r>
                              <w:rPr>
                                <w:color w:val="231F20"/>
                              </w:rPr>
                              <w:t>Priestley,</w:t>
                            </w:r>
                            <w:r>
                              <w:rPr>
                                <w:color w:val="231F20"/>
                                <w:spacing w:val="-5"/>
                              </w:rPr>
                              <w:t xml:space="preserve"> </w:t>
                            </w:r>
                            <w:r>
                              <w:rPr>
                                <w:color w:val="231F20"/>
                              </w:rPr>
                              <w:t>2006).</w:t>
                            </w:r>
                            <w:r>
                              <w:rPr>
                                <w:color w:val="231F20"/>
                                <w:spacing w:val="-5"/>
                              </w:rPr>
                              <w:t xml:space="preserve"> </w:t>
                            </w:r>
                            <w:r>
                              <w:rPr>
                                <w:color w:val="231F20"/>
                              </w:rPr>
                              <w:t>Despite</w:t>
                            </w:r>
                            <w:r>
                              <w:rPr>
                                <w:color w:val="231F20"/>
                                <w:spacing w:val="-5"/>
                              </w:rPr>
                              <w:t xml:space="preserve"> </w:t>
                            </w:r>
                            <w:r>
                              <w:rPr>
                                <w:color w:val="231F20"/>
                              </w:rPr>
                              <w:t>the</w:t>
                            </w:r>
                            <w:r>
                              <w:rPr>
                                <w:color w:val="231F20"/>
                                <w:spacing w:val="-5"/>
                              </w:rPr>
                              <w:t xml:space="preserve"> </w:t>
                            </w:r>
                            <w:r>
                              <w:rPr>
                                <w:color w:val="231F20"/>
                              </w:rPr>
                              <w:t>negative attention,</w:t>
                            </w:r>
                            <w:r>
                              <w:rPr>
                                <w:color w:val="231F20"/>
                                <w:spacing w:val="-7"/>
                              </w:rPr>
                              <w:t xml:space="preserve"> </w:t>
                            </w:r>
                            <w:r>
                              <w:rPr>
                                <w:color w:val="231F20"/>
                              </w:rPr>
                              <w:t>water</w:t>
                            </w:r>
                            <w:r>
                              <w:rPr>
                                <w:color w:val="231F20"/>
                                <w:spacing w:val="-7"/>
                              </w:rPr>
                              <w:t xml:space="preserve"> </w:t>
                            </w:r>
                            <w:r>
                              <w:rPr>
                                <w:color w:val="231F20"/>
                              </w:rPr>
                              <w:t>footprint</w:t>
                            </w:r>
                            <w:r>
                              <w:rPr>
                                <w:color w:val="231F20"/>
                                <w:spacing w:val="-7"/>
                              </w:rPr>
                              <w:t xml:space="preserve"> </w:t>
                            </w:r>
                            <w:r>
                              <w:rPr>
                                <w:color w:val="231F20"/>
                              </w:rPr>
                              <w:t>analyses</w:t>
                            </w:r>
                            <w:r>
                              <w:rPr>
                                <w:color w:val="231F20"/>
                                <w:spacing w:val="-7"/>
                              </w:rPr>
                              <w:t xml:space="preserve"> </w:t>
                            </w:r>
                            <w:r>
                              <w:rPr>
                                <w:color w:val="231F20"/>
                              </w:rPr>
                              <w:t>for</w:t>
                            </w:r>
                            <w:r>
                              <w:rPr>
                                <w:color w:val="231F20"/>
                                <w:spacing w:val="-7"/>
                              </w:rPr>
                              <w:t xml:space="preserve"> </w:t>
                            </w:r>
                            <w:r>
                              <w:rPr>
                                <w:color w:val="231F20"/>
                              </w:rPr>
                              <w:t>golf tourism</w:t>
                            </w:r>
                            <w:r>
                              <w:rPr>
                                <w:color w:val="231F20"/>
                                <w:spacing w:val="-7"/>
                              </w:rPr>
                              <w:t xml:space="preserve"> </w:t>
                            </w:r>
                            <w:r>
                              <w:rPr>
                                <w:color w:val="231F20"/>
                              </w:rPr>
                              <w:t>remain</w:t>
                            </w:r>
                            <w:r>
                              <w:rPr>
                                <w:color w:val="231F20"/>
                                <w:spacing w:val="-7"/>
                              </w:rPr>
                              <w:t xml:space="preserve"> </w:t>
                            </w:r>
                            <w:r>
                              <w:rPr>
                                <w:color w:val="231F20"/>
                              </w:rPr>
                              <w:t>limited.</w:t>
                            </w:r>
                          </w:p>
                          <w:p w14:paraId="3383276F" w14:textId="77777777" w:rsidR="00AE0598" w:rsidRDefault="0069255A">
                            <w:pPr>
                              <w:spacing w:before="89"/>
                              <w:ind w:right="111"/>
                              <w:jc w:val="right"/>
                              <w:rPr>
                                <w:rFonts w:ascii="Trebuchet MS"/>
                                <w:i/>
                                <w:color w:val="000000"/>
                                <w:sz w:val="18"/>
                              </w:rPr>
                            </w:pPr>
                            <w:r>
                              <w:rPr>
                                <w:rFonts w:ascii="Trebuchet MS"/>
                                <w:i/>
                                <w:color w:val="231F20"/>
                                <w:spacing w:val="-2"/>
                                <w:sz w:val="18"/>
                              </w:rPr>
                              <w:t>(Continued)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5148DA" id="docshape172" o:spid="_x0000_s1086" type="#_x0000_t202" style="position:absolute;margin-left:59.5pt;margin-top:8.7pt;width:323.15pt;height:191pt;z-index:-156692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" fillcolor="#dcddde" stroked="f">
                <v:textbox inset="0,0,0,0">
                  <w:txbxContent>
                    <w:p w14:paraId="74E19A60" w14:textId="77777777" w:rsidR="00AE0598" w:rsidRDefault="0069255A">
                      <w:pPr>
                        <w:spacing w:before="75"/>
                        <w:ind w:left="113"/>
                        <w:jc w:val="both"/>
                        <w:rPr>
                          <w:rFonts w:ascii="Trebuchet MS"/>
                          <w:color w:val="000000"/>
                          <w:sz w:val="20"/>
                        </w:rPr>
                      </w:pPr>
                      <w:r>
                        <w:rPr>
                          <w:rFonts w:ascii="Trebuchet MS"/>
                          <w:color w:val="231F20"/>
                          <w:sz w:val="20"/>
                        </w:rPr>
                        <w:t>Focus</w:t>
                      </w:r>
                      <w:r>
                        <w:rPr>
                          <w:rFonts w:ascii="Trebuchet MS"/>
                          <w:color w:val="231F20"/>
                          <w:spacing w:val="1"/>
                          <w:sz w:val="20"/>
                        </w:rPr>
                        <w:t xml:space="preserve"> </w:t>
                      </w:r>
                      <w:r>
                        <w:rPr>
                          <w:rFonts w:ascii="Trebuchet MS"/>
                          <w:color w:val="231F20"/>
                          <w:sz w:val="20"/>
                        </w:rPr>
                        <w:t>Point</w:t>
                      </w:r>
                      <w:r>
                        <w:rPr>
                          <w:rFonts w:ascii="Trebuchet MS"/>
                          <w:color w:val="231F20"/>
                          <w:spacing w:val="1"/>
                          <w:sz w:val="20"/>
                        </w:rPr>
                        <w:t xml:space="preserve"> </w:t>
                      </w:r>
                      <w:r>
                        <w:rPr>
                          <w:rFonts w:ascii="Trebuchet MS"/>
                          <w:color w:val="231F20"/>
                          <w:sz w:val="20"/>
                        </w:rPr>
                        <w:t>7.1:</w:t>
                      </w:r>
                      <w:r>
                        <w:rPr>
                          <w:rFonts w:ascii="Trebuchet MS"/>
                          <w:color w:val="231F20"/>
                          <w:spacing w:val="1"/>
                          <w:sz w:val="20"/>
                        </w:rPr>
                        <w:t xml:space="preserve"> </w:t>
                      </w:r>
                      <w:r>
                        <w:rPr>
                          <w:rFonts w:ascii="Trebuchet MS"/>
                          <w:color w:val="231F20"/>
                          <w:sz w:val="20"/>
                        </w:rPr>
                        <w:t>Water</w:t>
                      </w:r>
                      <w:r>
                        <w:rPr>
                          <w:rFonts w:ascii="Trebuchet MS"/>
                          <w:color w:val="231F20"/>
                          <w:spacing w:val="1"/>
                          <w:sz w:val="20"/>
                        </w:rPr>
                        <w:t xml:space="preserve"> </w:t>
                      </w:r>
                      <w:r>
                        <w:rPr>
                          <w:rFonts w:ascii="Trebuchet MS"/>
                          <w:color w:val="231F20"/>
                          <w:sz w:val="20"/>
                        </w:rPr>
                        <w:t>Resources</w:t>
                      </w:r>
                      <w:r>
                        <w:rPr>
                          <w:rFonts w:ascii="Trebuchet MS"/>
                          <w:color w:val="231F20"/>
                          <w:spacing w:val="1"/>
                          <w:sz w:val="20"/>
                        </w:rPr>
                        <w:t xml:space="preserve"> </w:t>
                      </w:r>
                      <w:r>
                        <w:rPr>
                          <w:rFonts w:ascii="Trebuchet MS"/>
                          <w:color w:val="231F20"/>
                          <w:sz w:val="20"/>
                        </w:rPr>
                        <w:t>and</w:t>
                      </w:r>
                      <w:r>
                        <w:rPr>
                          <w:rFonts w:ascii="Trebuchet MS"/>
                          <w:color w:val="231F20"/>
                          <w:spacing w:val="2"/>
                          <w:sz w:val="20"/>
                        </w:rPr>
                        <w:t xml:space="preserve"> </w:t>
                      </w:r>
                      <w:r>
                        <w:rPr>
                          <w:rFonts w:ascii="Trebuchet MS"/>
                          <w:color w:val="231F20"/>
                          <w:spacing w:val="-4"/>
                          <w:sz w:val="20"/>
                        </w:rPr>
                        <w:t>Golf</w:t>
                      </w:r>
                    </w:p>
                    <w:p w14:paraId="0DEC384F" w14:textId="77777777" w:rsidR="00AE0598" w:rsidRDefault="0069255A">
                      <w:pPr>
                        <w:pStyle w:val="Corpodetexto"/>
                        <w:spacing w:before="116"/>
                        <w:ind w:left="113"/>
                        <w:jc w:val="both"/>
                        <w:rPr>
                          <w:color w:val="000000"/>
                        </w:rPr>
                      </w:pPr>
                      <w:r>
                        <w:rPr>
                          <w:color w:val="231F20"/>
                        </w:rPr>
                        <w:t>Michelle</w:t>
                      </w:r>
                      <w:r>
                        <w:rPr>
                          <w:color w:val="231F20"/>
                          <w:spacing w:val="6"/>
                        </w:rPr>
                        <w:t xml:space="preserve"> </w:t>
                      </w:r>
                      <w:r>
                        <w:rPr>
                          <w:color w:val="231F20"/>
                          <w:spacing w:val="-2"/>
                        </w:rPr>
                        <w:t>Rutty</w:t>
                      </w:r>
                    </w:p>
                    <w:p w14:paraId="3A38E3AD" w14:textId="77777777" w:rsidR="00AE0598" w:rsidRDefault="0069255A">
                      <w:pPr>
                        <w:pStyle w:val="Corpodetexto"/>
                        <w:spacing w:before="120" w:line="232" w:lineRule="auto"/>
                        <w:ind w:left="113" w:right="111" w:firstLine="320"/>
                        <w:jc w:val="both"/>
                        <w:rPr>
                          <w:color w:val="000000"/>
                        </w:rPr>
                      </w:pPr>
                      <w:r>
                        <w:rPr>
                          <w:color w:val="231F20"/>
                        </w:rPr>
                        <w:t xml:space="preserve">Golf tourism has grown rapidly in the last two decades, drawing </w:t>
                      </w:r>
                      <w:r>
                        <w:rPr>
                          <w:color w:val="231F20"/>
                          <w:w w:val="95"/>
                        </w:rPr>
                        <w:t>considerable</w:t>
                      </w:r>
                      <w:r>
                        <w:rPr>
                          <w:color w:val="231F20"/>
                          <w:spacing w:val="-6"/>
                          <w:w w:val="95"/>
                        </w:rPr>
                        <w:t xml:space="preserve"> </w:t>
                      </w:r>
                      <w:r>
                        <w:rPr>
                          <w:color w:val="231F20"/>
                          <w:w w:val="95"/>
                        </w:rPr>
                        <w:t>negative</w:t>
                      </w:r>
                      <w:r>
                        <w:rPr>
                          <w:color w:val="231F20"/>
                          <w:spacing w:val="-6"/>
                          <w:w w:val="95"/>
                        </w:rPr>
                        <w:t xml:space="preserve"> </w:t>
                      </w:r>
                      <w:r>
                        <w:rPr>
                          <w:color w:val="231F20"/>
                          <w:w w:val="95"/>
                        </w:rPr>
                        <w:t>attention</w:t>
                      </w:r>
                      <w:r>
                        <w:rPr>
                          <w:color w:val="231F20"/>
                          <w:spacing w:val="-6"/>
                          <w:w w:val="95"/>
                        </w:rPr>
                        <w:t xml:space="preserve"> </w:t>
                      </w:r>
                      <w:r>
                        <w:rPr>
                          <w:color w:val="231F20"/>
                          <w:w w:val="95"/>
                        </w:rPr>
                        <w:t>to</w:t>
                      </w:r>
                      <w:r>
                        <w:rPr>
                          <w:color w:val="231F20"/>
                          <w:spacing w:val="-6"/>
                          <w:w w:val="95"/>
                        </w:rPr>
                        <w:t xml:space="preserve"> </w:t>
                      </w:r>
                      <w:r>
                        <w:rPr>
                          <w:color w:val="231F20"/>
                          <w:w w:val="95"/>
                        </w:rPr>
                        <w:t>the</w:t>
                      </w:r>
                      <w:r>
                        <w:rPr>
                          <w:color w:val="231F20"/>
                          <w:spacing w:val="-6"/>
                          <w:w w:val="95"/>
                        </w:rPr>
                        <w:t xml:space="preserve"> </w:t>
                      </w:r>
                      <w:r>
                        <w:rPr>
                          <w:color w:val="231F20"/>
                          <w:w w:val="95"/>
                        </w:rPr>
                        <w:t>sport.</w:t>
                      </w:r>
                      <w:r>
                        <w:rPr>
                          <w:color w:val="231F20"/>
                          <w:spacing w:val="-6"/>
                          <w:w w:val="95"/>
                        </w:rPr>
                        <w:t xml:space="preserve"> </w:t>
                      </w:r>
                      <w:r>
                        <w:rPr>
                          <w:color w:val="231F20"/>
                          <w:w w:val="95"/>
                        </w:rPr>
                        <w:t>Key</w:t>
                      </w:r>
                      <w:r>
                        <w:rPr>
                          <w:color w:val="231F20"/>
                          <w:spacing w:val="-6"/>
                          <w:w w:val="95"/>
                        </w:rPr>
                        <w:t xml:space="preserve"> </w:t>
                      </w:r>
                      <w:r>
                        <w:rPr>
                          <w:color w:val="231F20"/>
                          <w:w w:val="95"/>
                        </w:rPr>
                        <w:t>environmental</w:t>
                      </w:r>
                      <w:r>
                        <w:rPr>
                          <w:color w:val="231F20"/>
                          <w:spacing w:val="-6"/>
                          <w:w w:val="95"/>
                        </w:rPr>
                        <w:t xml:space="preserve"> </w:t>
                      </w:r>
                      <w:r>
                        <w:rPr>
                          <w:color w:val="231F20"/>
                          <w:w w:val="95"/>
                        </w:rPr>
                        <w:t xml:space="preserve">concerns </w:t>
                      </w:r>
                      <w:r>
                        <w:rPr>
                          <w:color w:val="231F20"/>
                        </w:rPr>
                        <w:t>include long-term impacts associated with the use of pesticides and chemicals on human and wildlife health, large-scale</w:t>
                      </w:r>
                      <w:r>
                        <w:rPr>
                          <w:color w:val="231F20"/>
                        </w:rPr>
                        <w:t xml:space="preserve"> modification of the natural environment and associated ecosystem impacts and the high consumption of freshwater resources for course irrigation (e.g. </w:t>
                      </w:r>
                      <w:r>
                        <w:rPr>
                          <w:color w:val="231F20"/>
                          <w:w w:val="95"/>
                        </w:rPr>
                        <w:t xml:space="preserve">Briassoulis, 2010, Wheeler &amp; Nauright, 2006). The latter is arguably the </w:t>
                      </w:r>
                      <w:r>
                        <w:rPr>
                          <w:color w:val="231F20"/>
                        </w:rPr>
                        <w:t>most</w:t>
                      </w:r>
                      <w:r>
                        <w:rPr>
                          <w:color w:val="231F20"/>
                          <w:spacing w:val="-12"/>
                        </w:rPr>
                        <w:t xml:space="preserve"> </w:t>
                      </w:r>
                      <w:r>
                        <w:rPr>
                          <w:color w:val="231F20"/>
                        </w:rPr>
                        <w:t>contentious,</w:t>
                      </w:r>
                      <w:r>
                        <w:rPr>
                          <w:color w:val="231F20"/>
                          <w:spacing w:val="-12"/>
                        </w:rPr>
                        <w:t xml:space="preserve"> </w:t>
                      </w:r>
                      <w:r>
                        <w:rPr>
                          <w:color w:val="231F20"/>
                        </w:rPr>
                        <w:t>with</w:t>
                      </w:r>
                      <w:r>
                        <w:rPr>
                          <w:color w:val="231F20"/>
                          <w:spacing w:val="-11"/>
                        </w:rPr>
                        <w:t xml:space="preserve"> </w:t>
                      </w:r>
                      <w:r>
                        <w:rPr>
                          <w:color w:val="231F20"/>
                        </w:rPr>
                        <w:t>several</w:t>
                      </w:r>
                      <w:r>
                        <w:rPr>
                          <w:color w:val="231F20"/>
                          <w:spacing w:val="-12"/>
                        </w:rPr>
                        <w:t xml:space="preserve"> </w:t>
                      </w:r>
                      <w:r>
                        <w:rPr>
                          <w:color w:val="231F20"/>
                        </w:rPr>
                        <w:t>m</w:t>
                      </w:r>
                      <w:r>
                        <w:rPr>
                          <w:color w:val="231F20"/>
                        </w:rPr>
                        <w:t>edia</w:t>
                      </w:r>
                      <w:r>
                        <w:rPr>
                          <w:color w:val="231F20"/>
                          <w:spacing w:val="-11"/>
                        </w:rPr>
                        <w:t xml:space="preserve"> </w:t>
                      </w:r>
                      <w:r>
                        <w:rPr>
                          <w:color w:val="231F20"/>
                        </w:rPr>
                        <w:t>campaigns</w:t>
                      </w:r>
                      <w:r>
                        <w:rPr>
                          <w:color w:val="231F20"/>
                          <w:spacing w:val="-12"/>
                        </w:rPr>
                        <w:t xml:space="preserve"> </w:t>
                      </w:r>
                      <w:r>
                        <w:rPr>
                          <w:color w:val="231F20"/>
                        </w:rPr>
                        <w:t>contesting</w:t>
                      </w:r>
                      <w:r>
                        <w:rPr>
                          <w:color w:val="231F20"/>
                          <w:spacing w:val="-11"/>
                        </w:rPr>
                        <w:t xml:space="preserve"> </w:t>
                      </w:r>
                      <w:r>
                        <w:rPr>
                          <w:color w:val="231F20"/>
                        </w:rPr>
                        <w:t>the</w:t>
                      </w:r>
                      <w:r>
                        <w:rPr>
                          <w:color w:val="231F20"/>
                          <w:spacing w:val="-12"/>
                        </w:rPr>
                        <w:t xml:space="preserve"> </w:t>
                      </w:r>
                      <w:r>
                        <w:rPr>
                          <w:color w:val="231F20"/>
                        </w:rPr>
                        <w:t xml:space="preserve">water- </w:t>
                      </w:r>
                      <w:r>
                        <w:rPr>
                          <w:color w:val="231F20"/>
                          <w:w w:val="90"/>
                        </w:rPr>
                        <w:t>intensive nature of</w:t>
                      </w:r>
                      <w:r>
                        <w:rPr>
                          <w:color w:val="231F20"/>
                          <w:spacing w:val="25"/>
                        </w:rPr>
                        <w:t xml:space="preserve"> </w:t>
                      </w:r>
                      <w:r>
                        <w:rPr>
                          <w:color w:val="231F20"/>
                          <w:w w:val="90"/>
                        </w:rPr>
                        <w:t xml:space="preserve">the sport, resulting in water resource conflicts in several </w:t>
                      </w:r>
                      <w:r>
                        <w:rPr>
                          <w:color w:val="231F20"/>
                        </w:rPr>
                        <w:t>regions</w:t>
                      </w:r>
                      <w:r>
                        <w:rPr>
                          <w:color w:val="231F20"/>
                          <w:spacing w:val="-5"/>
                        </w:rPr>
                        <w:t xml:space="preserve"> </w:t>
                      </w:r>
                      <w:r>
                        <w:rPr>
                          <w:color w:val="231F20"/>
                        </w:rPr>
                        <w:t>(e.g.</w:t>
                      </w:r>
                      <w:r>
                        <w:rPr>
                          <w:color w:val="231F20"/>
                          <w:spacing w:val="-5"/>
                        </w:rPr>
                        <w:t xml:space="preserve"> </w:t>
                      </w:r>
                      <w:r>
                        <w:rPr>
                          <w:color w:val="231F20"/>
                        </w:rPr>
                        <w:t>Harvey</w:t>
                      </w:r>
                      <w:r>
                        <w:rPr>
                          <w:color w:val="231F20"/>
                          <w:spacing w:val="-5"/>
                        </w:rPr>
                        <w:t xml:space="preserve"> </w:t>
                      </w:r>
                      <w:r>
                        <w:rPr>
                          <w:i/>
                          <w:color w:val="231F20"/>
                        </w:rPr>
                        <w:t>et</w:t>
                      </w:r>
                      <w:r>
                        <w:rPr>
                          <w:i/>
                          <w:color w:val="231F20"/>
                          <w:spacing w:val="-5"/>
                        </w:rPr>
                        <w:t xml:space="preserve"> </w:t>
                      </w:r>
                      <w:r>
                        <w:rPr>
                          <w:i/>
                          <w:color w:val="231F20"/>
                        </w:rPr>
                        <w:t>al</w:t>
                      </w:r>
                      <w:r>
                        <w:rPr>
                          <w:color w:val="231F20"/>
                        </w:rPr>
                        <w:t>.,</w:t>
                      </w:r>
                      <w:r>
                        <w:rPr>
                          <w:color w:val="231F20"/>
                          <w:spacing w:val="-5"/>
                        </w:rPr>
                        <w:t xml:space="preserve"> </w:t>
                      </w:r>
                      <w:r>
                        <w:rPr>
                          <w:color w:val="231F20"/>
                        </w:rPr>
                        <w:t>2013,</w:t>
                      </w:r>
                      <w:r>
                        <w:rPr>
                          <w:color w:val="231F20"/>
                          <w:spacing w:val="-5"/>
                        </w:rPr>
                        <w:t xml:space="preserve"> </w:t>
                      </w:r>
                      <w:r>
                        <w:rPr>
                          <w:color w:val="231F20"/>
                        </w:rPr>
                        <w:t>Priestley,</w:t>
                      </w:r>
                      <w:r>
                        <w:rPr>
                          <w:color w:val="231F20"/>
                          <w:spacing w:val="-5"/>
                        </w:rPr>
                        <w:t xml:space="preserve"> </w:t>
                      </w:r>
                      <w:r>
                        <w:rPr>
                          <w:color w:val="231F20"/>
                        </w:rPr>
                        <w:t>2006).</w:t>
                      </w:r>
                      <w:r>
                        <w:rPr>
                          <w:color w:val="231F20"/>
                          <w:spacing w:val="-5"/>
                        </w:rPr>
                        <w:t xml:space="preserve"> </w:t>
                      </w:r>
                      <w:r>
                        <w:rPr>
                          <w:color w:val="231F20"/>
                        </w:rPr>
                        <w:t>Despite</w:t>
                      </w:r>
                      <w:r>
                        <w:rPr>
                          <w:color w:val="231F20"/>
                          <w:spacing w:val="-5"/>
                        </w:rPr>
                        <w:t xml:space="preserve"> </w:t>
                      </w:r>
                      <w:r>
                        <w:rPr>
                          <w:color w:val="231F20"/>
                        </w:rPr>
                        <w:t>the</w:t>
                      </w:r>
                      <w:r>
                        <w:rPr>
                          <w:color w:val="231F20"/>
                          <w:spacing w:val="-5"/>
                        </w:rPr>
                        <w:t xml:space="preserve"> </w:t>
                      </w:r>
                      <w:r>
                        <w:rPr>
                          <w:color w:val="231F20"/>
                        </w:rPr>
                        <w:t>negative attention,</w:t>
                      </w:r>
                      <w:r>
                        <w:rPr>
                          <w:color w:val="231F20"/>
                          <w:spacing w:val="-7"/>
                        </w:rPr>
                        <w:t xml:space="preserve"> </w:t>
                      </w:r>
                      <w:r>
                        <w:rPr>
                          <w:color w:val="231F20"/>
                        </w:rPr>
                        <w:t>water</w:t>
                      </w:r>
                      <w:r>
                        <w:rPr>
                          <w:color w:val="231F20"/>
                          <w:spacing w:val="-7"/>
                        </w:rPr>
                        <w:t xml:space="preserve"> </w:t>
                      </w:r>
                      <w:r>
                        <w:rPr>
                          <w:color w:val="231F20"/>
                        </w:rPr>
                        <w:t>footprint</w:t>
                      </w:r>
                      <w:r>
                        <w:rPr>
                          <w:color w:val="231F20"/>
                          <w:spacing w:val="-7"/>
                        </w:rPr>
                        <w:t xml:space="preserve"> </w:t>
                      </w:r>
                      <w:r>
                        <w:rPr>
                          <w:color w:val="231F20"/>
                        </w:rPr>
                        <w:t>analyses</w:t>
                      </w:r>
                      <w:r>
                        <w:rPr>
                          <w:color w:val="231F20"/>
                          <w:spacing w:val="-7"/>
                        </w:rPr>
                        <w:t xml:space="preserve"> </w:t>
                      </w:r>
                      <w:r>
                        <w:rPr>
                          <w:color w:val="231F20"/>
                        </w:rPr>
                        <w:t>for</w:t>
                      </w:r>
                      <w:r>
                        <w:rPr>
                          <w:color w:val="231F20"/>
                          <w:spacing w:val="-7"/>
                        </w:rPr>
                        <w:t xml:space="preserve"> </w:t>
                      </w:r>
                      <w:r>
                        <w:rPr>
                          <w:color w:val="231F20"/>
                        </w:rPr>
                        <w:t>golf tourism</w:t>
                      </w:r>
                      <w:r>
                        <w:rPr>
                          <w:color w:val="231F20"/>
                          <w:spacing w:val="-7"/>
                        </w:rPr>
                        <w:t xml:space="preserve"> </w:t>
                      </w:r>
                      <w:r>
                        <w:rPr>
                          <w:color w:val="231F20"/>
                        </w:rPr>
                        <w:t>remain</w:t>
                      </w:r>
                      <w:r>
                        <w:rPr>
                          <w:color w:val="231F20"/>
                          <w:spacing w:val="-7"/>
                        </w:rPr>
                        <w:t xml:space="preserve"> </w:t>
                      </w:r>
                      <w:r>
                        <w:rPr>
                          <w:color w:val="231F20"/>
                        </w:rPr>
                        <w:t>limited.</w:t>
                      </w:r>
                    </w:p>
                    <w:p w14:paraId="3383276F" w14:textId="77777777" w:rsidR="00AE0598" w:rsidRDefault="0069255A">
                      <w:pPr>
                        <w:spacing w:before="89"/>
                        <w:ind w:right="111"/>
                        <w:jc w:val="right"/>
                        <w:rPr>
                          <w:rFonts w:ascii="Trebuchet MS"/>
                          <w:i/>
                          <w:color w:val="000000"/>
                          <w:sz w:val="18"/>
                        </w:rPr>
                      </w:pPr>
                      <w:r>
                        <w:rPr>
                          <w:rFonts w:ascii="Trebuchet MS"/>
                          <w:i/>
                          <w:color w:val="231F20"/>
                          <w:spacing w:val="-2"/>
                          <w:sz w:val="18"/>
                        </w:rPr>
                        <w:t>(Continued)</w:t>
                      </w:r>
                    </w:p>
                  </w:txbxContent>
                </v:textbox>
                <w10:wrap type="topAndBottom" anchorx="page"/>
              </v:shape>
            </w:pict>
          </mc:Fallback>
        </mc:AlternateContent>
      </w:r>
    </w:p>
    <w:p w14:paraId="38AE3015" w14:textId="77777777" w:rsidR="00AE0598" w:rsidRDefault="00AE0598">
      <w:pPr>
        <w:rPr>
          <w:sz w:val="12"/>
        </w:rPr>
        <w:sectPr w:rsidR="00AE0598">
          <w:pgSz w:w="8850" w:h="13270"/>
          <w:pgMar w:top="720" w:right="1060" w:bottom="280" w:left="1080" w:header="720" w:footer="720" w:gutter="0"/>
          <w:cols w:space="720"/>
        </w:sectPr>
      </w:pPr>
    </w:p>
    <w:p w14:paraId="0D776E7F" w14:textId="48B41BD5" w:rsidR="00AE0598" w:rsidRDefault="0069255A">
      <w:pPr>
        <w:spacing w:before="87"/>
        <w:ind w:left="108"/>
        <w:rPr>
          <w:rFonts w:ascii="Trebuchet MS"/>
          <w:sz w:val="14"/>
        </w:rPr>
      </w:pPr>
      <w:r>
        <w:rPr>
          <w:noProof/>
        </w:rPr>
        <w:lastRenderedPageBreak/>
        <mc:AlternateContent>
          <mc:Choice Requires="wps">
            <w:drawing>
              <wp:anchor distT="0" distB="0" distL="114300" distR="114300" simplePos="0" relativeHeight="483712512" behindDoc="1" locked="0" layoutInCell="1" allowOverlap="1" wp14:anchorId="1264B6DB" wp14:editId="153FB94A">
                <wp:simplePos x="0" y="0"/>
                <wp:positionH relativeFrom="page">
                  <wp:posOffset>755650</wp:posOffset>
                </wp:positionH>
                <wp:positionV relativeFrom="page">
                  <wp:posOffset>838200</wp:posOffset>
                </wp:positionV>
                <wp:extent cx="4104005" cy="6862445"/>
                <wp:effectExtent l="0" t="0" r="0" b="0"/>
                <wp:wrapNone/>
                <wp:docPr id="195" name="docshape1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04005" cy="6862445"/>
                        </a:xfrm>
                        <a:prstGeom prst="rect">
                          <a:avLst/>
                        </a:prstGeom>
                        <a:solidFill>
                          <a:srgbClr val="DCDDD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B20628" id="docshape173" o:spid="_x0000_s1026" style="position:absolute;margin-left:59.5pt;margin-top:66pt;width:323.15pt;height:540.35pt;z-index:-196039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" fillcolor="#dcddde" stroked="f">
                <w10:wrap anchorx="page" anchory="page"/>
              </v:rect>
            </w:pict>
          </mc:Fallback>
        </mc:AlternateContent>
      </w:r>
      <w:r>
        <w:rPr>
          <w:rFonts w:ascii="Trebuchet MS"/>
          <w:color w:val="231F20"/>
          <w:w w:val="105"/>
          <w:sz w:val="14"/>
        </w:rPr>
        <w:t>134</w:t>
      </w:r>
      <w:r>
        <w:rPr>
          <w:rFonts w:ascii="Trebuchet MS"/>
          <w:color w:val="231F20"/>
          <w:spacing w:val="66"/>
          <w:w w:val="150"/>
          <w:sz w:val="14"/>
        </w:rPr>
        <w:t xml:space="preserve"> </w:t>
      </w:r>
      <w:r>
        <w:rPr>
          <w:rFonts w:ascii="Trebuchet MS"/>
          <w:color w:val="231F20"/>
          <w:w w:val="105"/>
          <w:sz w:val="14"/>
        </w:rPr>
        <w:t>Part</w:t>
      </w:r>
      <w:r>
        <w:rPr>
          <w:rFonts w:ascii="Trebuchet MS"/>
          <w:color w:val="231F20"/>
          <w:spacing w:val="-9"/>
          <w:w w:val="105"/>
          <w:sz w:val="14"/>
        </w:rPr>
        <w:t xml:space="preserve"> </w:t>
      </w:r>
      <w:r>
        <w:rPr>
          <w:rFonts w:ascii="Trebuchet MS"/>
          <w:color w:val="231F20"/>
          <w:w w:val="105"/>
          <w:sz w:val="14"/>
        </w:rPr>
        <w:t>3:</w:t>
      </w:r>
      <w:r>
        <w:rPr>
          <w:rFonts w:ascii="Trebuchet MS"/>
          <w:color w:val="231F20"/>
          <w:spacing w:val="-8"/>
          <w:w w:val="105"/>
          <w:sz w:val="14"/>
        </w:rPr>
        <w:t xml:space="preserve"> </w:t>
      </w:r>
      <w:r>
        <w:rPr>
          <w:rFonts w:ascii="Trebuchet MS"/>
          <w:color w:val="231F20"/>
          <w:w w:val="105"/>
          <w:sz w:val="14"/>
        </w:rPr>
        <w:t>Sport</w:t>
      </w:r>
      <w:r>
        <w:rPr>
          <w:rFonts w:ascii="Trebuchet MS"/>
          <w:color w:val="231F20"/>
          <w:spacing w:val="-9"/>
          <w:w w:val="105"/>
          <w:sz w:val="14"/>
        </w:rPr>
        <w:t xml:space="preserve"> </w:t>
      </w:r>
      <w:r>
        <w:rPr>
          <w:rFonts w:ascii="Trebuchet MS"/>
          <w:color w:val="231F20"/>
          <w:w w:val="105"/>
          <w:sz w:val="14"/>
        </w:rPr>
        <w:t>Tourism</w:t>
      </w:r>
      <w:r>
        <w:rPr>
          <w:rFonts w:ascii="Trebuchet MS"/>
          <w:color w:val="231F20"/>
          <w:spacing w:val="-9"/>
          <w:w w:val="105"/>
          <w:sz w:val="14"/>
        </w:rPr>
        <w:t xml:space="preserve"> </w:t>
      </w:r>
      <w:r>
        <w:rPr>
          <w:rFonts w:ascii="Trebuchet MS"/>
          <w:color w:val="231F20"/>
          <w:w w:val="105"/>
          <w:sz w:val="14"/>
        </w:rPr>
        <w:t>Development</w:t>
      </w:r>
      <w:r>
        <w:rPr>
          <w:rFonts w:ascii="Trebuchet MS"/>
          <w:color w:val="231F20"/>
          <w:spacing w:val="-9"/>
          <w:w w:val="105"/>
          <w:sz w:val="14"/>
        </w:rPr>
        <w:t xml:space="preserve"> </w:t>
      </w:r>
      <w:r>
        <w:rPr>
          <w:rFonts w:ascii="Trebuchet MS"/>
          <w:color w:val="231F20"/>
          <w:w w:val="105"/>
          <w:sz w:val="14"/>
        </w:rPr>
        <w:t>and</w:t>
      </w:r>
      <w:r>
        <w:rPr>
          <w:rFonts w:ascii="Trebuchet MS"/>
          <w:color w:val="231F20"/>
          <w:spacing w:val="-8"/>
          <w:w w:val="105"/>
          <w:sz w:val="14"/>
        </w:rPr>
        <w:t xml:space="preserve"> </w:t>
      </w:r>
      <w:r>
        <w:rPr>
          <w:rFonts w:ascii="Trebuchet MS"/>
          <w:color w:val="231F20"/>
          <w:spacing w:val="-2"/>
          <w:w w:val="105"/>
          <w:sz w:val="14"/>
        </w:rPr>
        <w:t>Space</w:t>
      </w:r>
    </w:p>
    <w:p w14:paraId="39D6C1F3" w14:textId="77777777" w:rsidR="00AE0598" w:rsidRDefault="00AE0598">
      <w:pPr>
        <w:pStyle w:val="Corpodetexto"/>
        <w:spacing w:before="10"/>
        <w:rPr>
          <w:rFonts w:ascii="Trebuchet MS"/>
          <w:sz w:val="27"/>
        </w:rPr>
      </w:pPr>
    </w:p>
    <w:p w14:paraId="7EDB4983" w14:textId="77777777" w:rsidR="00AE0598" w:rsidRDefault="0069255A">
      <w:pPr>
        <w:spacing w:before="100"/>
        <w:ind w:left="217"/>
        <w:rPr>
          <w:rFonts w:ascii="Trebuchet MS"/>
          <w:sz w:val="18"/>
        </w:rPr>
      </w:pPr>
      <w:r>
        <w:rPr>
          <w:rFonts w:ascii="Trebuchet MS"/>
          <w:color w:val="231F20"/>
          <w:sz w:val="18"/>
        </w:rPr>
        <w:t>Focus</w:t>
      </w:r>
      <w:r>
        <w:rPr>
          <w:rFonts w:ascii="Trebuchet MS"/>
          <w:color w:val="231F20"/>
          <w:spacing w:val="-12"/>
          <w:sz w:val="18"/>
        </w:rPr>
        <w:t xml:space="preserve"> </w:t>
      </w:r>
      <w:r>
        <w:rPr>
          <w:rFonts w:ascii="Trebuchet MS"/>
          <w:color w:val="231F20"/>
          <w:sz w:val="18"/>
        </w:rPr>
        <w:t>Point</w:t>
      </w:r>
      <w:r>
        <w:rPr>
          <w:rFonts w:ascii="Trebuchet MS"/>
          <w:color w:val="231F20"/>
          <w:spacing w:val="-12"/>
          <w:sz w:val="18"/>
        </w:rPr>
        <w:t xml:space="preserve"> </w:t>
      </w:r>
      <w:r>
        <w:rPr>
          <w:rFonts w:ascii="Trebuchet MS"/>
          <w:color w:val="231F20"/>
          <w:sz w:val="18"/>
        </w:rPr>
        <w:t>7.1:</w:t>
      </w:r>
      <w:r>
        <w:rPr>
          <w:rFonts w:ascii="Trebuchet MS"/>
          <w:color w:val="231F20"/>
          <w:spacing w:val="-13"/>
          <w:sz w:val="18"/>
        </w:rPr>
        <w:t xml:space="preserve"> </w:t>
      </w:r>
      <w:r>
        <w:rPr>
          <w:rFonts w:ascii="Trebuchet MS"/>
          <w:color w:val="231F20"/>
          <w:spacing w:val="-2"/>
          <w:sz w:val="18"/>
        </w:rPr>
        <w:t>(Continued)</w:t>
      </w:r>
    </w:p>
    <w:p w14:paraId="3DA0164F" w14:textId="77777777" w:rsidR="00AE0598" w:rsidRDefault="00AE0598">
      <w:pPr>
        <w:pStyle w:val="Corpodetexto"/>
        <w:spacing w:before="9"/>
        <w:rPr>
          <w:rFonts w:ascii="Trebuchet MS"/>
          <w:sz w:val="16"/>
        </w:rPr>
      </w:pPr>
    </w:p>
    <w:p w14:paraId="4184A7F2" w14:textId="77777777" w:rsidR="00AE0598" w:rsidRDefault="0069255A">
      <w:pPr>
        <w:pStyle w:val="Corpodetexto"/>
        <w:spacing w:before="1" w:line="232" w:lineRule="auto"/>
        <w:ind w:left="223" w:right="240" w:firstLine="320"/>
        <w:jc w:val="both"/>
      </w:pPr>
      <w:r>
        <w:rPr>
          <w:color w:val="231F20"/>
          <w:spacing w:val="-2"/>
          <w:w w:val="95"/>
        </w:rPr>
        <w:t>In</w:t>
      </w:r>
      <w:r>
        <w:rPr>
          <w:color w:val="231F20"/>
          <w:spacing w:val="-5"/>
          <w:w w:val="95"/>
        </w:rPr>
        <w:t xml:space="preserve"> </w:t>
      </w:r>
      <w:r>
        <w:rPr>
          <w:color w:val="231F20"/>
          <w:spacing w:val="-2"/>
          <w:w w:val="95"/>
        </w:rPr>
        <w:t>2004,</w:t>
      </w:r>
      <w:r>
        <w:rPr>
          <w:color w:val="231F20"/>
          <w:spacing w:val="-5"/>
          <w:w w:val="95"/>
        </w:rPr>
        <w:t xml:space="preserve"> </w:t>
      </w:r>
      <w:r>
        <w:rPr>
          <w:color w:val="231F20"/>
          <w:spacing w:val="-2"/>
          <w:w w:val="95"/>
        </w:rPr>
        <w:t>it</w:t>
      </w:r>
      <w:r>
        <w:rPr>
          <w:color w:val="231F20"/>
          <w:spacing w:val="-5"/>
          <w:w w:val="95"/>
        </w:rPr>
        <w:t xml:space="preserve"> </w:t>
      </w:r>
      <w:r>
        <w:rPr>
          <w:color w:val="231F20"/>
          <w:spacing w:val="-2"/>
          <w:w w:val="95"/>
        </w:rPr>
        <w:t>was</w:t>
      </w:r>
      <w:r>
        <w:rPr>
          <w:color w:val="231F20"/>
          <w:spacing w:val="-5"/>
          <w:w w:val="95"/>
        </w:rPr>
        <w:t xml:space="preserve"> </w:t>
      </w:r>
      <w:r>
        <w:rPr>
          <w:color w:val="231F20"/>
          <w:spacing w:val="-2"/>
          <w:w w:val="95"/>
        </w:rPr>
        <w:t>estimated</w:t>
      </w:r>
      <w:r>
        <w:rPr>
          <w:color w:val="231F20"/>
          <w:spacing w:val="-5"/>
          <w:w w:val="95"/>
        </w:rPr>
        <w:t xml:space="preserve"> </w:t>
      </w:r>
      <w:r>
        <w:rPr>
          <w:color w:val="231F20"/>
          <w:spacing w:val="-2"/>
          <w:w w:val="95"/>
        </w:rPr>
        <w:t>that</w:t>
      </w:r>
      <w:r>
        <w:rPr>
          <w:color w:val="231F20"/>
          <w:spacing w:val="-5"/>
          <w:w w:val="95"/>
        </w:rPr>
        <w:t xml:space="preserve"> </w:t>
      </w:r>
      <w:r>
        <w:rPr>
          <w:color w:val="231F20"/>
          <w:spacing w:val="-2"/>
          <w:w w:val="95"/>
        </w:rPr>
        <w:t>9.5</w:t>
      </w:r>
      <w:r>
        <w:rPr>
          <w:color w:val="231F20"/>
          <w:spacing w:val="-5"/>
          <w:w w:val="95"/>
        </w:rPr>
        <w:t xml:space="preserve"> </w:t>
      </w:r>
      <w:r>
        <w:rPr>
          <w:color w:val="231F20"/>
          <w:spacing w:val="-2"/>
          <w:w w:val="95"/>
        </w:rPr>
        <w:t>billion</w:t>
      </w:r>
      <w:r>
        <w:rPr>
          <w:color w:val="231F20"/>
          <w:spacing w:val="-5"/>
          <w:w w:val="95"/>
        </w:rPr>
        <w:t xml:space="preserve"> </w:t>
      </w:r>
      <w:r>
        <w:rPr>
          <w:color w:val="231F20"/>
          <w:spacing w:val="-2"/>
          <w:w w:val="95"/>
        </w:rPr>
        <w:t>litres</w:t>
      </w:r>
      <w:r>
        <w:rPr>
          <w:color w:val="231F20"/>
          <w:spacing w:val="-5"/>
          <w:w w:val="95"/>
        </w:rPr>
        <w:t xml:space="preserve"> </w:t>
      </w:r>
      <w:r>
        <w:rPr>
          <w:color w:val="231F20"/>
          <w:spacing w:val="-2"/>
          <w:w w:val="95"/>
        </w:rPr>
        <w:t>of</w:t>
      </w:r>
      <w:r>
        <w:rPr>
          <w:color w:val="231F20"/>
          <w:spacing w:val="8"/>
        </w:rPr>
        <w:t xml:space="preserve"> </w:t>
      </w:r>
      <w:r>
        <w:rPr>
          <w:color w:val="231F20"/>
          <w:spacing w:val="-2"/>
          <w:w w:val="95"/>
        </w:rPr>
        <w:t>water</w:t>
      </w:r>
      <w:r>
        <w:rPr>
          <w:color w:val="231F20"/>
          <w:spacing w:val="-5"/>
          <w:w w:val="95"/>
        </w:rPr>
        <w:t xml:space="preserve"> </w:t>
      </w:r>
      <w:r>
        <w:rPr>
          <w:color w:val="231F20"/>
          <w:spacing w:val="-2"/>
          <w:w w:val="95"/>
        </w:rPr>
        <w:t>were</w:t>
      </w:r>
      <w:r>
        <w:rPr>
          <w:color w:val="231F20"/>
          <w:spacing w:val="-5"/>
          <w:w w:val="95"/>
        </w:rPr>
        <w:t xml:space="preserve"> </w:t>
      </w:r>
      <w:r>
        <w:rPr>
          <w:color w:val="231F20"/>
          <w:spacing w:val="-2"/>
          <w:w w:val="95"/>
        </w:rPr>
        <w:t>used</w:t>
      </w:r>
      <w:r>
        <w:rPr>
          <w:color w:val="231F20"/>
          <w:spacing w:val="-5"/>
          <w:w w:val="95"/>
        </w:rPr>
        <w:t xml:space="preserve"> </w:t>
      </w:r>
      <w:r>
        <w:rPr>
          <w:color w:val="231F20"/>
          <w:spacing w:val="-2"/>
          <w:w w:val="95"/>
        </w:rPr>
        <w:t xml:space="preserve">daily </w:t>
      </w:r>
      <w:r>
        <w:rPr>
          <w:color w:val="231F20"/>
          <w:spacing w:val="-4"/>
        </w:rPr>
        <w:t xml:space="preserve">to irrigate the world’s courses (Wolbier, 2004). Although the robustness </w:t>
      </w:r>
      <w:r>
        <w:rPr>
          <w:color w:val="231F20"/>
        </w:rPr>
        <w:t xml:space="preserve">of this estimation has been questioned, the magnitude of the issue is </w:t>
      </w:r>
      <w:r>
        <w:rPr>
          <w:color w:val="231F20"/>
          <w:spacing w:val="-2"/>
        </w:rPr>
        <w:t>apparent.</w:t>
      </w:r>
      <w:r>
        <w:rPr>
          <w:color w:val="231F20"/>
          <w:spacing w:val="-10"/>
        </w:rPr>
        <w:t xml:space="preserve"> </w:t>
      </w:r>
      <w:r>
        <w:rPr>
          <w:color w:val="231F20"/>
          <w:spacing w:val="-2"/>
        </w:rPr>
        <w:t>Both</w:t>
      </w:r>
      <w:r>
        <w:rPr>
          <w:color w:val="231F20"/>
          <w:spacing w:val="-10"/>
        </w:rPr>
        <w:t xml:space="preserve"> </w:t>
      </w:r>
      <w:r>
        <w:rPr>
          <w:color w:val="231F20"/>
          <w:spacing w:val="-2"/>
        </w:rPr>
        <w:t>regionally</w:t>
      </w:r>
      <w:r>
        <w:rPr>
          <w:color w:val="231F20"/>
          <w:spacing w:val="-9"/>
        </w:rPr>
        <w:t xml:space="preserve"> </w:t>
      </w:r>
      <w:r>
        <w:rPr>
          <w:color w:val="231F20"/>
          <w:spacing w:val="-2"/>
        </w:rPr>
        <w:t>and</w:t>
      </w:r>
      <w:r>
        <w:rPr>
          <w:color w:val="231F20"/>
          <w:spacing w:val="-10"/>
        </w:rPr>
        <w:t xml:space="preserve"> </w:t>
      </w:r>
      <w:r>
        <w:rPr>
          <w:color w:val="231F20"/>
          <w:spacing w:val="-2"/>
        </w:rPr>
        <w:t>intra-regionally,</w:t>
      </w:r>
      <w:r>
        <w:rPr>
          <w:color w:val="231F20"/>
          <w:spacing w:val="-9"/>
        </w:rPr>
        <w:t xml:space="preserve"> </w:t>
      </w:r>
      <w:r>
        <w:rPr>
          <w:color w:val="231F20"/>
          <w:spacing w:val="-2"/>
        </w:rPr>
        <w:t>water</w:t>
      </w:r>
      <w:r>
        <w:rPr>
          <w:color w:val="231F20"/>
          <w:spacing w:val="-10"/>
        </w:rPr>
        <w:t xml:space="preserve"> </w:t>
      </w:r>
      <w:r>
        <w:rPr>
          <w:color w:val="231F20"/>
          <w:spacing w:val="-2"/>
        </w:rPr>
        <w:t>use</w:t>
      </w:r>
      <w:r>
        <w:rPr>
          <w:color w:val="231F20"/>
          <w:spacing w:val="-9"/>
        </w:rPr>
        <w:t xml:space="preserve"> </w:t>
      </w:r>
      <w:r>
        <w:rPr>
          <w:color w:val="231F20"/>
          <w:spacing w:val="-2"/>
        </w:rPr>
        <w:t>for</w:t>
      </w:r>
      <w:r>
        <w:rPr>
          <w:color w:val="231F20"/>
          <w:spacing w:val="-10"/>
        </w:rPr>
        <w:t xml:space="preserve"> </w:t>
      </w:r>
      <w:r>
        <w:rPr>
          <w:color w:val="231F20"/>
          <w:spacing w:val="-2"/>
        </w:rPr>
        <w:t>golf</w:t>
      </w:r>
      <w:r>
        <w:rPr>
          <w:color w:val="231F20"/>
          <w:spacing w:val="-10"/>
        </w:rPr>
        <w:t xml:space="preserve"> </w:t>
      </w:r>
      <w:r>
        <w:rPr>
          <w:color w:val="231F20"/>
          <w:spacing w:val="-2"/>
        </w:rPr>
        <w:t xml:space="preserve">course </w:t>
      </w:r>
      <w:r>
        <w:rPr>
          <w:color w:val="231F20"/>
          <w:w w:val="95"/>
        </w:rPr>
        <w:t>irrigation</w:t>
      </w:r>
      <w:r>
        <w:rPr>
          <w:color w:val="231F20"/>
          <w:spacing w:val="-2"/>
          <w:w w:val="95"/>
        </w:rPr>
        <w:t xml:space="preserve"> </w:t>
      </w:r>
      <w:r>
        <w:rPr>
          <w:color w:val="231F20"/>
          <w:w w:val="95"/>
        </w:rPr>
        <w:t>has</w:t>
      </w:r>
      <w:r>
        <w:rPr>
          <w:color w:val="231F20"/>
          <w:spacing w:val="-2"/>
          <w:w w:val="95"/>
        </w:rPr>
        <w:t xml:space="preserve"> </w:t>
      </w:r>
      <w:r>
        <w:rPr>
          <w:color w:val="231F20"/>
          <w:w w:val="95"/>
        </w:rPr>
        <w:t>been</w:t>
      </w:r>
      <w:r>
        <w:rPr>
          <w:color w:val="231F20"/>
          <w:spacing w:val="-2"/>
          <w:w w:val="95"/>
        </w:rPr>
        <w:t xml:space="preserve"> </w:t>
      </w:r>
      <w:r>
        <w:rPr>
          <w:color w:val="231F20"/>
          <w:w w:val="95"/>
        </w:rPr>
        <w:t>found</w:t>
      </w:r>
      <w:r>
        <w:rPr>
          <w:color w:val="231F20"/>
          <w:spacing w:val="-2"/>
          <w:w w:val="95"/>
        </w:rPr>
        <w:t xml:space="preserve"> </w:t>
      </w:r>
      <w:r>
        <w:rPr>
          <w:color w:val="231F20"/>
          <w:w w:val="95"/>
        </w:rPr>
        <w:t>to</w:t>
      </w:r>
      <w:r>
        <w:rPr>
          <w:color w:val="231F20"/>
          <w:spacing w:val="-2"/>
          <w:w w:val="95"/>
        </w:rPr>
        <w:t xml:space="preserve"> </w:t>
      </w:r>
      <w:r>
        <w:rPr>
          <w:color w:val="231F20"/>
          <w:w w:val="95"/>
        </w:rPr>
        <w:t>vary</w:t>
      </w:r>
      <w:r>
        <w:rPr>
          <w:color w:val="231F20"/>
          <w:spacing w:val="-3"/>
          <w:w w:val="95"/>
        </w:rPr>
        <w:t xml:space="preserve"> </w:t>
      </w:r>
      <w:r>
        <w:rPr>
          <w:color w:val="231F20"/>
          <w:w w:val="95"/>
        </w:rPr>
        <w:t>subst</w:t>
      </w:r>
      <w:r>
        <w:rPr>
          <w:color w:val="231F20"/>
          <w:w w:val="95"/>
        </w:rPr>
        <w:t>antially</w:t>
      </w:r>
      <w:r>
        <w:rPr>
          <w:color w:val="231F20"/>
          <w:spacing w:val="-2"/>
          <w:w w:val="95"/>
        </w:rPr>
        <w:t xml:space="preserve"> </w:t>
      </w:r>
      <w:r>
        <w:rPr>
          <w:color w:val="231F20"/>
          <w:w w:val="95"/>
        </w:rPr>
        <w:t>(for</w:t>
      </w:r>
      <w:r>
        <w:rPr>
          <w:color w:val="231F20"/>
          <w:spacing w:val="-2"/>
          <w:w w:val="95"/>
        </w:rPr>
        <w:t xml:space="preserve"> </w:t>
      </w:r>
      <w:r>
        <w:rPr>
          <w:color w:val="231F20"/>
          <w:w w:val="95"/>
        </w:rPr>
        <w:t>an</w:t>
      </w:r>
      <w:r>
        <w:rPr>
          <w:color w:val="231F20"/>
          <w:spacing w:val="-2"/>
          <w:w w:val="95"/>
        </w:rPr>
        <w:t xml:space="preserve"> </w:t>
      </w:r>
      <w:r>
        <w:rPr>
          <w:color w:val="231F20"/>
          <w:w w:val="95"/>
        </w:rPr>
        <w:t>overview,</w:t>
      </w:r>
      <w:r>
        <w:rPr>
          <w:color w:val="231F20"/>
          <w:spacing w:val="-3"/>
          <w:w w:val="95"/>
        </w:rPr>
        <w:t xml:space="preserve"> </w:t>
      </w:r>
      <w:r>
        <w:rPr>
          <w:color w:val="231F20"/>
          <w:w w:val="95"/>
        </w:rPr>
        <w:t>see</w:t>
      </w:r>
      <w:r>
        <w:rPr>
          <w:color w:val="231F20"/>
          <w:spacing w:val="-2"/>
          <w:w w:val="95"/>
        </w:rPr>
        <w:t xml:space="preserve"> </w:t>
      </w:r>
      <w:r>
        <w:rPr>
          <w:color w:val="231F20"/>
          <w:w w:val="95"/>
        </w:rPr>
        <w:t xml:space="preserve">Scott </w:t>
      </w:r>
      <w:r>
        <w:rPr>
          <w:i/>
          <w:color w:val="231F20"/>
          <w:w w:val="95"/>
        </w:rPr>
        <w:t>et</w:t>
      </w:r>
      <w:r>
        <w:rPr>
          <w:i/>
          <w:color w:val="231F20"/>
          <w:spacing w:val="-10"/>
          <w:w w:val="95"/>
        </w:rPr>
        <w:t xml:space="preserve"> </w:t>
      </w:r>
      <w:r>
        <w:rPr>
          <w:i/>
          <w:color w:val="231F20"/>
          <w:w w:val="95"/>
        </w:rPr>
        <w:t>al</w:t>
      </w:r>
      <w:r>
        <w:rPr>
          <w:color w:val="231F20"/>
          <w:w w:val="95"/>
        </w:rPr>
        <w:t>.,</w:t>
      </w:r>
      <w:r>
        <w:rPr>
          <w:color w:val="231F20"/>
          <w:spacing w:val="-9"/>
          <w:w w:val="95"/>
        </w:rPr>
        <w:t xml:space="preserve"> </w:t>
      </w:r>
      <w:r>
        <w:rPr>
          <w:color w:val="231F20"/>
          <w:w w:val="95"/>
        </w:rPr>
        <w:t>2018).</w:t>
      </w:r>
      <w:r>
        <w:rPr>
          <w:color w:val="231F20"/>
          <w:spacing w:val="-9"/>
          <w:w w:val="95"/>
        </w:rPr>
        <w:t xml:space="preserve"> </w:t>
      </w:r>
      <w:r>
        <w:rPr>
          <w:color w:val="231F20"/>
          <w:w w:val="95"/>
        </w:rPr>
        <w:t>For</w:t>
      </w:r>
      <w:r>
        <w:rPr>
          <w:color w:val="231F20"/>
          <w:spacing w:val="-9"/>
          <w:w w:val="95"/>
        </w:rPr>
        <w:t xml:space="preserve"> </w:t>
      </w:r>
      <w:r>
        <w:rPr>
          <w:color w:val="231F20"/>
          <w:w w:val="95"/>
        </w:rPr>
        <w:t>example,</w:t>
      </w:r>
      <w:r>
        <w:rPr>
          <w:color w:val="231F20"/>
          <w:spacing w:val="-10"/>
          <w:w w:val="95"/>
        </w:rPr>
        <w:t xml:space="preserve"> </w:t>
      </w:r>
      <w:r>
        <w:rPr>
          <w:color w:val="231F20"/>
          <w:w w:val="95"/>
        </w:rPr>
        <w:t>a</w:t>
      </w:r>
      <w:r>
        <w:rPr>
          <w:color w:val="231F20"/>
          <w:spacing w:val="-9"/>
          <w:w w:val="95"/>
        </w:rPr>
        <w:t xml:space="preserve"> </w:t>
      </w:r>
      <w:r>
        <w:rPr>
          <w:color w:val="231F20"/>
          <w:w w:val="95"/>
        </w:rPr>
        <w:t>typical</w:t>
      </w:r>
      <w:r>
        <w:rPr>
          <w:color w:val="231F20"/>
          <w:spacing w:val="-9"/>
          <w:w w:val="95"/>
        </w:rPr>
        <w:t xml:space="preserve"> </w:t>
      </w:r>
      <w:r>
        <w:rPr>
          <w:color w:val="231F20"/>
          <w:w w:val="95"/>
        </w:rPr>
        <w:t>18-hole</w:t>
      </w:r>
      <w:r>
        <w:rPr>
          <w:color w:val="231F20"/>
          <w:spacing w:val="-9"/>
          <w:w w:val="95"/>
        </w:rPr>
        <w:t xml:space="preserve"> </w:t>
      </w:r>
      <w:r>
        <w:rPr>
          <w:color w:val="231F20"/>
          <w:w w:val="95"/>
        </w:rPr>
        <w:t>golf</w:t>
      </w:r>
      <w:r>
        <w:rPr>
          <w:color w:val="231F20"/>
          <w:spacing w:val="-3"/>
          <w:w w:val="95"/>
        </w:rPr>
        <w:t xml:space="preserve"> </w:t>
      </w:r>
      <w:r>
        <w:rPr>
          <w:color w:val="231F20"/>
          <w:w w:val="95"/>
        </w:rPr>
        <w:t>course</w:t>
      </w:r>
      <w:r>
        <w:rPr>
          <w:color w:val="231F20"/>
          <w:spacing w:val="-9"/>
          <w:w w:val="95"/>
        </w:rPr>
        <w:t xml:space="preserve"> </w:t>
      </w:r>
      <w:r>
        <w:rPr>
          <w:color w:val="231F20"/>
          <w:w w:val="95"/>
        </w:rPr>
        <w:t>in</w:t>
      </w:r>
      <w:r>
        <w:rPr>
          <w:color w:val="231F20"/>
          <w:spacing w:val="-9"/>
          <w:w w:val="95"/>
        </w:rPr>
        <w:t xml:space="preserve"> </w:t>
      </w:r>
      <w:r>
        <w:rPr>
          <w:color w:val="231F20"/>
          <w:w w:val="95"/>
        </w:rPr>
        <w:t>the</w:t>
      </w:r>
      <w:r>
        <w:rPr>
          <w:color w:val="231F20"/>
          <w:spacing w:val="-10"/>
          <w:w w:val="95"/>
        </w:rPr>
        <w:t xml:space="preserve"> </w:t>
      </w:r>
      <w:r>
        <w:rPr>
          <w:color w:val="231F20"/>
          <w:w w:val="95"/>
        </w:rPr>
        <w:t>US</w:t>
      </w:r>
      <w:r>
        <w:rPr>
          <w:color w:val="231F20"/>
          <w:spacing w:val="-9"/>
          <w:w w:val="95"/>
        </w:rPr>
        <w:t xml:space="preserve"> </w:t>
      </w:r>
      <w:r>
        <w:rPr>
          <w:color w:val="231F20"/>
          <w:w w:val="95"/>
        </w:rPr>
        <w:t xml:space="preserve">Northeast </w:t>
      </w:r>
      <w:r>
        <w:rPr>
          <w:color w:val="231F20"/>
          <w:spacing w:val="-2"/>
        </w:rPr>
        <w:t>uses</w:t>
      </w:r>
      <w:r>
        <w:rPr>
          <w:color w:val="231F20"/>
          <w:spacing w:val="-5"/>
        </w:rPr>
        <w:t xml:space="preserve"> </w:t>
      </w:r>
      <w:r>
        <w:rPr>
          <w:color w:val="231F20"/>
          <w:spacing w:val="-2"/>
        </w:rPr>
        <w:t>an</w:t>
      </w:r>
      <w:r>
        <w:rPr>
          <w:color w:val="231F20"/>
          <w:spacing w:val="-5"/>
        </w:rPr>
        <w:t xml:space="preserve"> </w:t>
      </w:r>
      <w:r>
        <w:rPr>
          <w:color w:val="231F20"/>
          <w:spacing w:val="-2"/>
        </w:rPr>
        <w:t>average</w:t>
      </w:r>
      <w:r>
        <w:rPr>
          <w:color w:val="231F20"/>
          <w:spacing w:val="-5"/>
        </w:rPr>
        <w:t xml:space="preserve"> </w:t>
      </w:r>
      <w:r>
        <w:rPr>
          <w:color w:val="231F20"/>
          <w:spacing w:val="-2"/>
        </w:rPr>
        <w:t>of</w:t>
      </w:r>
      <w:r>
        <w:rPr>
          <w:color w:val="231F20"/>
        </w:rPr>
        <w:t xml:space="preserve"> </w:t>
      </w:r>
      <w:r>
        <w:rPr>
          <w:color w:val="231F20"/>
          <w:spacing w:val="-2"/>
        </w:rPr>
        <w:t>52</w:t>
      </w:r>
      <w:r>
        <w:rPr>
          <w:color w:val="231F20"/>
          <w:spacing w:val="-5"/>
        </w:rPr>
        <w:t xml:space="preserve"> </w:t>
      </w:r>
      <w:r>
        <w:rPr>
          <w:color w:val="231F20"/>
          <w:spacing w:val="-2"/>
        </w:rPr>
        <w:t>million</w:t>
      </w:r>
      <w:r>
        <w:rPr>
          <w:color w:val="231F20"/>
          <w:spacing w:val="-5"/>
        </w:rPr>
        <w:t xml:space="preserve"> </w:t>
      </w:r>
      <w:r>
        <w:rPr>
          <w:color w:val="231F20"/>
          <w:spacing w:val="-2"/>
        </w:rPr>
        <w:t>litres</w:t>
      </w:r>
      <w:r>
        <w:rPr>
          <w:color w:val="231F20"/>
          <w:spacing w:val="-5"/>
        </w:rPr>
        <w:t xml:space="preserve"> </w:t>
      </w:r>
      <w:r>
        <w:rPr>
          <w:color w:val="231F20"/>
          <w:spacing w:val="-2"/>
        </w:rPr>
        <w:t>annually</w:t>
      </w:r>
      <w:r>
        <w:rPr>
          <w:color w:val="231F20"/>
          <w:spacing w:val="-5"/>
        </w:rPr>
        <w:t xml:space="preserve"> </w:t>
      </w:r>
      <w:r>
        <w:rPr>
          <w:color w:val="231F20"/>
          <w:spacing w:val="-2"/>
        </w:rPr>
        <w:t>versus</w:t>
      </w:r>
      <w:r>
        <w:rPr>
          <w:color w:val="231F20"/>
          <w:spacing w:val="-5"/>
        </w:rPr>
        <w:t xml:space="preserve"> </w:t>
      </w:r>
      <w:r>
        <w:rPr>
          <w:color w:val="231F20"/>
          <w:spacing w:val="-2"/>
        </w:rPr>
        <w:t>566</w:t>
      </w:r>
      <w:r>
        <w:rPr>
          <w:color w:val="231F20"/>
          <w:spacing w:val="-5"/>
        </w:rPr>
        <w:t xml:space="preserve"> </w:t>
      </w:r>
      <w:r>
        <w:rPr>
          <w:color w:val="231F20"/>
          <w:spacing w:val="-2"/>
        </w:rPr>
        <w:t>million</w:t>
      </w:r>
      <w:r>
        <w:rPr>
          <w:color w:val="231F20"/>
          <w:spacing w:val="-5"/>
        </w:rPr>
        <w:t xml:space="preserve"> </w:t>
      </w:r>
      <w:r>
        <w:rPr>
          <w:color w:val="231F20"/>
          <w:spacing w:val="-2"/>
        </w:rPr>
        <w:t>litres</w:t>
      </w:r>
      <w:r>
        <w:rPr>
          <w:color w:val="231F20"/>
          <w:spacing w:val="-5"/>
        </w:rPr>
        <w:t xml:space="preserve"> </w:t>
      </w:r>
      <w:r>
        <w:rPr>
          <w:color w:val="231F20"/>
          <w:spacing w:val="-2"/>
        </w:rPr>
        <w:t xml:space="preserve">in </w:t>
      </w:r>
      <w:r>
        <w:rPr>
          <w:color w:val="231F20"/>
        </w:rPr>
        <w:t>the</w:t>
      </w:r>
      <w:r>
        <w:rPr>
          <w:color w:val="231F20"/>
          <w:spacing w:val="-12"/>
        </w:rPr>
        <w:t xml:space="preserve"> </w:t>
      </w:r>
      <w:r>
        <w:rPr>
          <w:color w:val="231F20"/>
        </w:rPr>
        <w:t>Southwest</w:t>
      </w:r>
      <w:r>
        <w:rPr>
          <w:color w:val="231F20"/>
          <w:spacing w:val="-12"/>
        </w:rPr>
        <w:t xml:space="preserve"> </w:t>
      </w:r>
      <w:r>
        <w:rPr>
          <w:color w:val="231F20"/>
        </w:rPr>
        <w:t>(Throssell</w:t>
      </w:r>
      <w:r>
        <w:rPr>
          <w:color w:val="231F20"/>
          <w:spacing w:val="-11"/>
        </w:rPr>
        <w:t xml:space="preserve"> </w:t>
      </w:r>
      <w:r>
        <w:rPr>
          <w:i/>
          <w:color w:val="231F20"/>
        </w:rPr>
        <w:t>et</w:t>
      </w:r>
      <w:r>
        <w:rPr>
          <w:i/>
          <w:color w:val="231F20"/>
          <w:spacing w:val="-12"/>
        </w:rPr>
        <w:t xml:space="preserve"> </w:t>
      </w:r>
      <w:r>
        <w:rPr>
          <w:i/>
          <w:color w:val="231F20"/>
        </w:rPr>
        <w:t>al</w:t>
      </w:r>
      <w:r>
        <w:rPr>
          <w:color w:val="231F20"/>
        </w:rPr>
        <w:t>.,</w:t>
      </w:r>
      <w:r>
        <w:rPr>
          <w:color w:val="231F20"/>
          <w:spacing w:val="-11"/>
        </w:rPr>
        <w:t xml:space="preserve"> </w:t>
      </w:r>
      <w:r>
        <w:rPr>
          <w:color w:val="231F20"/>
        </w:rPr>
        <w:t>2009).</w:t>
      </w:r>
      <w:r>
        <w:rPr>
          <w:color w:val="231F20"/>
          <w:spacing w:val="-12"/>
        </w:rPr>
        <w:t xml:space="preserve"> </w:t>
      </w:r>
      <w:r>
        <w:rPr>
          <w:color w:val="231F20"/>
        </w:rPr>
        <w:t>In</w:t>
      </w:r>
      <w:r>
        <w:rPr>
          <w:color w:val="231F20"/>
          <w:spacing w:val="-11"/>
        </w:rPr>
        <w:t xml:space="preserve"> </w:t>
      </w:r>
      <w:r>
        <w:rPr>
          <w:color w:val="231F20"/>
        </w:rPr>
        <w:t>the</w:t>
      </w:r>
      <w:r>
        <w:rPr>
          <w:color w:val="231F20"/>
          <w:spacing w:val="-12"/>
        </w:rPr>
        <w:t xml:space="preserve"> </w:t>
      </w:r>
      <w:r>
        <w:rPr>
          <w:color w:val="231F20"/>
        </w:rPr>
        <w:t>Mediterranean,</w:t>
      </w:r>
      <w:r>
        <w:rPr>
          <w:color w:val="231F20"/>
          <w:spacing w:val="-12"/>
        </w:rPr>
        <w:t xml:space="preserve"> </w:t>
      </w:r>
      <w:r>
        <w:rPr>
          <w:color w:val="231F20"/>
        </w:rPr>
        <w:t xml:space="preserve">Portugal’s </w:t>
      </w:r>
      <w:r>
        <w:rPr>
          <w:color w:val="231F20"/>
          <w:spacing w:val="-2"/>
        </w:rPr>
        <w:t>courses</w:t>
      </w:r>
      <w:r>
        <w:rPr>
          <w:color w:val="231F20"/>
          <w:spacing w:val="-9"/>
        </w:rPr>
        <w:t xml:space="preserve"> </w:t>
      </w:r>
      <w:r>
        <w:rPr>
          <w:color w:val="231F20"/>
          <w:spacing w:val="-2"/>
        </w:rPr>
        <w:t>use</w:t>
      </w:r>
      <w:r>
        <w:rPr>
          <w:color w:val="231F20"/>
          <w:spacing w:val="-9"/>
        </w:rPr>
        <w:t xml:space="preserve"> </w:t>
      </w:r>
      <w:r>
        <w:rPr>
          <w:color w:val="231F20"/>
          <w:spacing w:val="-2"/>
        </w:rPr>
        <w:t>438</w:t>
      </w:r>
      <w:r>
        <w:rPr>
          <w:color w:val="231F20"/>
          <w:spacing w:val="-9"/>
        </w:rPr>
        <w:t xml:space="preserve"> </w:t>
      </w:r>
      <w:r>
        <w:rPr>
          <w:color w:val="231F20"/>
          <w:spacing w:val="-2"/>
        </w:rPr>
        <w:t>million</w:t>
      </w:r>
      <w:r>
        <w:rPr>
          <w:color w:val="231F20"/>
          <w:spacing w:val="-9"/>
        </w:rPr>
        <w:t xml:space="preserve"> </w:t>
      </w:r>
      <w:r>
        <w:rPr>
          <w:color w:val="231F20"/>
          <w:spacing w:val="-2"/>
        </w:rPr>
        <w:t>litres</w:t>
      </w:r>
      <w:r>
        <w:rPr>
          <w:color w:val="231F20"/>
          <w:spacing w:val="-9"/>
        </w:rPr>
        <w:t xml:space="preserve"> </w:t>
      </w:r>
      <w:r>
        <w:rPr>
          <w:color w:val="231F20"/>
          <w:spacing w:val="-2"/>
        </w:rPr>
        <w:t>(Videira</w:t>
      </w:r>
      <w:r>
        <w:rPr>
          <w:color w:val="231F20"/>
          <w:spacing w:val="-9"/>
        </w:rPr>
        <w:t xml:space="preserve"> </w:t>
      </w:r>
      <w:r>
        <w:rPr>
          <w:i/>
          <w:color w:val="231F20"/>
          <w:spacing w:val="-2"/>
        </w:rPr>
        <w:t>et</w:t>
      </w:r>
      <w:r>
        <w:rPr>
          <w:i/>
          <w:color w:val="231F20"/>
          <w:spacing w:val="-9"/>
        </w:rPr>
        <w:t xml:space="preserve"> </w:t>
      </w:r>
      <w:r>
        <w:rPr>
          <w:i/>
          <w:color w:val="231F20"/>
          <w:spacing w:val="-2"/>
        </w:rPr>
        <w:t>al</w:t>
      </w:r>
      <w:r>
        <w:rPr>
          <w:color w:val="231F20"/>
          <w:spacing w:val="-2"/>
        </w:rPr>
        <w:t>.,</w:t>
      </w:r>
      <w:r>
        <w:rPr>
          <w:color w:val="231F20"/>
          <w:spacing w:val="-9"/>
        </w:rPr>
        <w:t xml:space="preserve"> </w:t>
      </w:r>
      <w:r>
        <w:rPr>
          <w:color w:val="231F20"/>
          <w:spacing w:val="-2"/>
        </w:rPr>
        <w:t>2006)</w:t>
      </w:r>
      <w:r>
        <w:rPr>
          <w:color w:val="231F20"/>
          <w:spacing w:val="-9"/>
        </w:rPr>
        <w:t xml:space="preserve"> </w:t>
      </w:r>
      <w:r>
        <w:rPr>
          <w:color w:val="231F20"/>
          <w:spacing w:val="-2"/>
        </w:rPr>
        <w:t>versus</w:t>
      </w:r>
      <w:r>
        <w:rPr>
          <w:color w:val="231F20"/>
          <w:spacing w:val="-9"/>
        </w:rPr>
        <w:t xml:space="preserve"> </w:t>
      </w:r>
      <w:r>
        <w:rPr>
          <w:color w:val="231F20"/>
          <w:spacing w:val="-2"/>
        </w:rPr>
        <w:t>up</w:t>
      </w:r>
      <w:r>
        <w:rPr>
          <w:color w:val="231F20"/>
          <w:spacing w:val="-9"/>
        </w:rPr>
        <w:t xml:space="preserve"> </w:t>
      </w:r>
      <w:r>
        <w:rPr>
          <w:color w:val="231F20"/>
          <w:spacing w:val="-2"/>
        </w:rPr>
        <w:t>to</w:t>
      </w:r>
      <w:r>
        <w:rPr>
          <w:color w:val="231F20"/>
          <w:spacing w:val="-9"/>
        </w:rPr>
        <w:t xml:space="preserve"> </w:t>
      </w:r>
      <w:r>
        <w:rPr>
          <w:color w:val="231F20"/>
          <w:spacing w:val="-2"/>
        </w:rPr>
        <w:t>1</w:t>
      </w:r>
      <w:r>
        <w:rPr>
          <w:color w:val="231F20"/>
          <w:spacing w:val="-9"/>
        </w:rPr>
        <w:t xml:space="preserve"> </w:t>
      </w:r>
      <w:r>
        <w:rPr>
          <w:color w:val="231F20"/>
          <w:spacing w:val="-2"/>
        </w:rPr>
        <w:t xml:space="preserve">billion </w:t>
      </w:r>
      <w:r>
        <w:rPr>
          <w:color w:val="231F20"/>
          <w:w w:val="95"/>
        </w:rPr>
        <w:t>litres</w:t>
      </w:r>
      <w:r>
        <w:rPr>
          <w:color w:val="231F20"/>
          <w:spacing w:val="-10"/>
          <w:w w:val="95"/>
        </w:rPr>
        <w:t xml:space="preserve"> </w:t>
      </w:r>
      <w:r>
        <w:rPr>
          <w:color w:val="231F20"/>
          <w:w w:val="95"/>
        </w:rPr>
        <w:t>in</w:t>
      </w:r>
      <w:r>
        <w:rPr>
          <w:color w:val="231F20"/>
          <w:spacing w:val="-9"/>
          <w:w w:val="95"/>
        </w:rPr>
        <w:t xml:space="preserve"> </w:t>
      </w:r>
      <w:r>
        <w:rPr>
          <w:color w:val="231F20"/>
          <w:w w:val="95"/>
        </w:rPr>
        <w:t>Cyprus</w:t>
      </w:r>
      <w:r>
        <w:rPr>
          <w:color w:val="231F20"/>
          <w:spacing w:val="-9"/>
          <w:w w:val="95"/>
        </w:rPr>
        <w:t xml:space="preserve"> </w:t>
      </w:r>
      <w:r>
        <w:rPr>
          <w:color w:val="231F20"/>
          <w:w w:val="95"/>
        </w:rPr>
        <w:t>(Meulen</w:t>
      </w:r>
      <w:r>
        <w:rPr>
          <w:color w:val="231F20"/>
          <w:spacing w:val="-9"/>
          <w:w w:val="95"/>
        </w:rPr>
        <w:t xml:space="preserve"> </w:t>
      </w:r>
      <w:r>
        <w:rPr>
          <w:color w:val="231F20"/>
          <w:w w:val="95"/>
        </w:rPr>
        <w:t>&amp;</w:t>
      </w:r>
      <w:r>
        <w:rPr>
          <w:color w:val="231F20"/>
          <w:spacing w:val="-10"/>
          <w:w w:val="95"/>
        </w:rPr>
        <w:t xml:space="preserve"> </w:t>
      </w:r>
      <w:r>
        <w:rPr>
          <w:color w:val="231F20"/>
          <w:w w:val="95"/>
        </w:rPr>
        <w:t>Salman,</w:t>
      </w:r>
      <w:r>
        <w:rPr>
          <w:color w:val="231F20"/>
          <w:spacing w:val="-9"/>
          <w:w w:val="95"/>
        </w:rPr>
        <w:t xml:space="preserve"> </w:t>
      </w:r>
      <w:r>
        <w:rPr>
          <w:color w:val="231F20"/>
          <w:w w:val="95"/>
        </w:rPr>
        <w:t>1996).</w:t>
      </w:r>
      <w:r>
        <w:rPr>
          <w:color w:val="231F20"/>
          <w:spacing w:val="-9"/>
          <w:w w:val="95"/>
        </w:rPr>
        <w:t xml:space="preserve"> </w:t>
      </w:r>
      <w:r>
        <w:rPr>
          <w:color w:val="231F20"/>
          <w:w w:val="95"/>
        </w:rPr>
        <w:t>In</w:t>
      </w:r>
      <w:r>
        <w:rPr>
          <w:color w:val="231F20"/>
          <w:spacing w:val="-9"/>
          <w:w w:val="95"/>
        </w:rPr>
        <w:t xml:space="preserve"> </w:t>
      </w:r>
      <w:r>
        <w:rPr>
          <w:color w:val="231F20"/>
          <w:w w:val="95"/>
        </w:rPr>
        <w:t>the</w:t>
      </w:r>
      <w:r>
        <w:rPr>
          <w:color w:val="231F20"/>
          <w:spacing w:val="-10"/>
          <w:w w:val="95"/>
        </w:rPr>
        <w:t xml:space="preserve"> </w:t>
      </w:r>
      <w:r>
        <w:rPr>
          <w:color w:val="231F20"/>
          <w:w w:val="95"/>
        </w:rPr>
        <w:t>UK,</w:t>
      </w:r>
      <w:r>
        <w:rPr>
          <w:color w:val="231F20"/>
          <w:spacing w:val="-9"/>
          <w:w w:val="95"/>
        </w:rPr>
        <w:t xml:space="preserve"> </w:t>
      </w:r>
      <w:r>
        <w:rPr>
          <w:color w:val="231F20"/>
          <w:w w:val="95"/>
        </w:rPr>
        <w:t>water</w:t>
      </w:r>
      <w:r>
        <w:rPr>
          <w:color w:val="231F20"/>
          <w:spacing w:val="-9"/>
          <w:w w:val="95"/>
        </w:rPr>
        <w:t xml:space="preserve"> </w:t>
      </w:r>
      <w:r>
        <w:rPr>
          <w:color w:val="231F20"/>
          <w:w w:val="95"/>
        </w:rPr>
        <w:t>use</w:t>
      </w:r>
      <w:r>
        <w:rPr>
          <w:color w:val="231F20"/>
          <w:spacing w:val="-9"/>
          <w:w w:val="95"/>
        </w:rPr>
        <w:t xml:space="preserve"> </w:t>
      </w:r>
      <w:r>
        <w:rPr>
          <w:color w:val="231F20"/>
          <w:w w:val="95"/>
        </w:rPr>
        <w:t>varies</w:t>
      </w:r>
      <w:r>
        <w:rPr>
          <w:color w:val="231F20"/>
          <w:spacing w:val="-10"/>
          <w:w w:val="95"/>
        </w:rPr>
        <w:t xml:space="preserve"> </w:t>
      </w:r>
      <w:r>
        <w:rPr>
          <w:color w:val="231F20"/>
          <w:w w:val="95"/>
        </w:rPr>
        <w:t>from 15</w:t>
      </w:r>
      <w:r>
        <w:rPr>
          <w:color w:val="231F20"/>
          <w:spacing w:val="-6"/>
          <w:w w:val="95"/>
        </w:rPr>
        <w:t xml:space="preserve"> </w:t>
      </w:r>
      <w:r>
        <w:rPr>
          <w:color w:val="231F20"/>
          <w:w w:val="95"/>
        </w:rPr>
        <w:t>to</w:t>
      </w:r>
      <w:r>
        <w:rPr>
          <w:color w:val="231F20"/>
          <w:spacing w:val="-5"/>
          <w:w w:val="95"/>
        </w:rPr>
        <w:t xml:space="preserve"> </w:t>
      </w:r>
      <w:r>
        <w:rPr>
          <w:color w:val="231F20"/>
          <w:w w:val="95"/>
        </w:rPr>
        <w:t>97</w:t>
      </w:r>
      <w:r>
        <w:rPr>
          <w:color w:val="231F20"/>
          <w:spacing w:val="-5"/>
          <w:w w:val="95"/>
        </w:rPr>
        <w:t xml:space="preserve"> </w:t>
      </w:r>
      <w:r>
        <w:rPr>
          <w:color w:val="231F20"/>
          <w:w w:val="95"/>
        </w:rPr>
        <w:t>million</w:t>
      </w:r>
      <w:r>
        <w:rPr>
          <w:color w:val="231F20"/>
          <w:spacing w:val="-5"/>
          <w:w w:val="95"/>
        </w:rPr>
        <w:t xml:space="preserve"> </w:t>
      </w:r>
      <w:r>
        <w:rPr>
          <w:color w:val="231F20"/>
          <w:w w:val="95"/>
        </w:rPr>
        <w:t>litres</w:t>
      </w:r>
      <w:r>
        <w:rPr>
          <w:color w:val="231F20"/>
          <w:spacing w:val="-5"/>
          <w:w w:val="95"/>
        </w:rPr>
        <w:t xml:space="preserve"> </w:t>
      </w:r>
      <w:r>
        <w:rPr>
          <w:color w:val="231F20"/>
          <w:w w:val="95"/>
        </w:rPr>
        <w:t>(Environment</w:t>
      </w:r>
      <w:r>
        <w:rPr>
          <w:color w:val="231F20"/>
          <w:spacing w:val="-5"/>
          <w:w w:val="95"/>
        </w:rPr>
        <w:t xml:space="preserve"> </w:t>
      </w:r>
      <w:r>
        <w:rPr>
          <w:color w:val="231F20"/>
          <w:w w:val="95"/>
        </w:rPr>
        <w:t>Agency,</w:t>
      </w:r>
      <w:r>
        <w:rPr>
          <w:color w:val="231F20"/>
          <w:spacing w:val="-5"/>
          <w:w w:val="95"/>
        </w:rPr>
        <w:t xml:space="preserve"> </w:t>
      </w:r>
      <w:r>
        <w:rPr>
          <w:color w:val="231F20"/>
          <w:w w:val="95"/>
        </w:rPr>
        <w:t>2008)</w:t>
      </w:r>
      <w:r>
        <w:rPr>
          <w:color w:val="231F20"/>
          <w:spacing w:val="-5"/>
          <w:w w:val="95"/>
        </w:rPr>
        <w:t xml:space="preserve"> </w:t>
      </w:r>
      <w:r>
        <w:rPr>
          <w:color w:val="231F20"/>
          <w:w w:val="95"/>
        </w:rPr>
        <w:t>and</w:t>
      </w:r>
      <w:r>
        <w:rPr>
          <w:color w:val="231F20"/>
          <w:spacing w:val="-5"/>
          <w:w w:val="95"/>
        </w:rPr>
        <w:t xml:space="preserve"> </w:t>
      </w:r>
      <w:r>
        <w:rPr>
          <w:color w:val="231F20"/>
          <w:w w:val="95"/>
        </w:rPr>
        <w:t>in</w:t>
      </w:r>
      <w:r>
        <w:rPr>
          <w:color w:val="231F20"/>
          <w:spacing w:val="-5"/>
          <w:w w:val="95"/>
        </w:rPr>
        <w:t xml:space="preserve"> </w:t>
      </w:r>
      <w:r>
        <w:rPr>
          <w:color w:val="231F20"/>
          <w:w w:val="95"/>
        </w:rPr>
        <w:t>Dubai,</w:t>
      </w:r>
      <w:r>
        <w:rPr>
          <w:color w:val="231F20"/>
          <w:spacing w:val="-6"/>
          <w:w w:val="95"/>
        </w:rPr>
        <w:t xml:space="preserve"> </w:t>
      </w:r>
      <w:r>
        <w:rPr>
          <w:color w:val="231F20"/>
          <w:spacing w:val="-2"/>
          <w:w w:val="95"/>
        </w:rPr>
        <w:t>between</w:t>
      </w:r>
    </w:p>
    <w:p w14:paraId="192BC130" w14:textId="77777777" w:rsidR="00AE0598" w:rsidRDefault="0069255A">
      <w:pPr>
        <w:pStyle w:val="Corpodetexto"/>
        <w:spacing w:before="13" w:line="232" w:lineRule="auto"/>
        <w:ind w:left="223" w:right="240"/>
        <w:jc w:val="both"/>
      </w:pPr>
      <w:r>
        <w:rPr>
          <w:color w:val="231F20"/>
          <w:spacing w:val="-2"/>
          <w:w w:val="95"/>
        </w:rPr>
        <w:t>1.36</w:t>
      </w:r>
      <w:r>
        <w:rPr>
          <w:color w:val="231F20"/>
          <w:spacing w:val="-7"/>
          <w:w w:val="95"/>
        </w:rPr>
        <w:t xml:space="preserve"> </w:t>
      </w:r>
      <w:r>
        <w:rPr>
          <w:color w:val="231F20"/>
          <w:spacing w:val="-2"/>
          <w:w w:val="95"/>
        </w:rPr>
        <w:t>and</w:t>
      </w:r>
      <w:r>
        <w:rPr>
          <w:color w:val="231F20"/>
          <w:spacing w:val="-7"/>
          <w:w w:val="95"/>
        </w:rPr>
        <w:t xml:space="preserve"> </w:t>
      </w:r>
      <w:r>
        <w:rPr>
          <w:color w:val="231F20"/>
          <w:spacing w:val="-2"/>
          <w:w w:val="95"/>
        </w:rPr>
        <w:t>2.68</w:t>
      </w:r>
      <w:r>
        <w:rPr>
          <w:color w:val="231F20"/>
          <w:spacing w:val="-7"/>
          <w:w w:val="95"/>
        </w:rPr>
        <w:t xml:space="preserve"> </w:t>
      </w:r>
      <w:r>
        <w:rPr>
          <w:color w:val="231F20"/>
          <w:spacing w:val="-2"/>
          <w:w w:val="95"/>
        </w:rPr>
        <w:t>billion</w:t>
      </w:r>
      <w:r>
        <w:rPr>
          <w:color w:val="231F20"/>
          <w:spacing w:val="-7"/>
          <w:w w:val="95"/>
        </w:rPr>
        <w:t xml:space="preserve"> </w:t>
      </w:r>
      <w:r>
        <w:rPr>
          <w:color w:val="231F20"/>
          <w:spacing w:val="-2"/>
          <w:w w:val="95"/>
        </w:rPr>
        <w:t>litres</w:t>
      </w:r>
      <w:r>
        <w:rPr>
          <w:color w:val="231F20"/>
          <w:spacing w:val="-7"/>
          <w:w w:val="95"/>
        </w:rPr>
        <w:t xml:space="preserve"> </w:t>
      </w:r>
      <w:r>
        <w:rPr>
          <w:color w:val="231F20"/>
          <w:spacing w:val="-2"/>
          <w:w w:val="95"/>
        </w:rPr>
        <w:t>(Todorova,</w:t>
      </w:r>
      <w:r>
        <w:rPr>
          <w:color w:val="231F20"/>
          <w:spacing w:val="-7"/>
          <w:w w:val="95"/>
        </w:rPr>
        <w:t xml:space="preserve"> </w:t>
      </w:r>
      <w:r>
        <w:rPr>
          <w:color w:val="231F20"/>
          <w:spacing w:val="-2"/>
          <w:w w:val="95"/>
        </w:rPr>
        <w:t>2015).</w:t>
      </w:r>
      <w:r>
        <w:rPr>
          <w:color w:val="231F20"/>
          <w:spacing w:val="-7"/>
          <w:w w:val="95"/>
        </w:rPr>
        <w:t xml:space="preserve"> </w:t>
      </w:r>
      <w:r>
        <w:rPr>
          <w:color w:val="231F20"/>
          <w:spacing w:val="-2"/>
          <w:w w:val="95"/>
        </w:rPr>
        <w:t>Water</w:t>
      </w:r>
      <w:r>
        <w:rPr>
          <w:color w:val="231F20"/>
          <w:spacing w:val="-7"/>
          <w:w w:val="95"/>
        </w:rPr>
        <w:t xml:space="preserve"> </w:t>
      </w:r>
      <w:r>
        <w:rPr>
          <w:color w:val="231F20"/>
          <w:spacing w:val="-2"/>
          <w:w w:val="95"/>
        </w:rPr>
        <w:t>consumption</w:t>
      </w:r>
      <w:r>
        <w:rPr>
          <w:color w:val="231F20"/>
          <w:spacing w:val="-7"/>
          <w:w w:val="95"/>
        </w:rPr>
        <w:t xml:space="preserve"> </w:t>
      </w:r>
      <w:r>
        <w:rPr>
          <w:color w:val="231F20"/>
          <w:spacing w:val="-2"/>
          <w:w w:val="95"/>
        </w:rPr>
        <w:t>is</w:t>
      </w:r>
      <w:r>
        <w:rPr>
          <w:color w:val="231F20"/>
          <w:spacing w:val="-7"/>
          <w:w w:val="95"/>
        </w:rPr>
        <w:t xml:space="preserve"> </w:t>
      </w:r>
      <w:r>
        <w:rPr>
          <w:color w:val="231F20"/>
          <w:spacing w:val="-2"/>
          <w:w w:val="95"/>
        </w:rPr>
        <w:t xml:space="preserve">heavily </w:t>
      </w:r>
      <w:r>
        <w:rPr>
          <w:color w:val="231F20"/>
          <w:w w:val="95"/>
        </w:rPr>
        <w:t>dependent</w:t>
      </w:r>
      <w:r>
        <w:rPr>
          <w:color w:val="231F20"/>
          <w:spacing w:val="-1"/>
          <w:w w:val="95"/>
        </w:rPr>
        <w:t xml:space="preserve"> </w:t>
      </w:r>
      <w:r>
        <w:rPr>
          <w:color w:val="231F20"/>
          <w:w w:val="95"/>
        </w:rPr>
        <w:t>on</w:t>
      </w:r>
      <w:r>
        <w:rPr>
          <w:color w:val="231F20"/>
          <w:spacing w:val="-1"/>
          <w:w w:val="95"/>
        </w:rPr>
        <w:t xml:space="preserve"> </w:t>
      </w:r>
      <w:r>
        <w:rPr>
          <w:color w:val="231F20"/>
          <w:w w:val="95"/>
        </w:rPr>
        <w:t>several</w:t>
      </w:r>
      <w:r>
        <w:rPr>
          <w:color w:val="231F20"/>
          <w:spacing w:val="-1"/>
          <w:w w:val="95"/>
        </w:rPr>
        <w:t xml:space="preserve"> </w:t>
      </w:r>
      <w:r>
        <w:rPr>
          <w:color w:val="231F20"/>
          <w:w w:val="95"/>
        </w:rPr>
        <w:t>factors,</w:t>
      </w:r>
      <w:r>
        <w:rPr>
          <w:color w:val="231F20"/>
          <w:spacing w:val="-1"/>
          <w:w w:val="95"/>
        </w:rPr>
        <w:t xml:space="preserve"> </w:t>
      </w:r>
      <w:r>
        <w:rPr>
          <w:color w:val="231F20"/>
          <w:w w:val="95"/>
        </w:rPr>
        <w:t>including</w:t>
      </w:r>
      <w:r>
        <w:rPr>
          <w:color w:val="231F20"/>
          <w:spacing w:val="-1"/>
          <w:w w:val="95"/>
        </w:rPr>
        <w:t xml:space="preserve"> </w:t>
      </w:r>
      <w:r>
        <w:rPr>
          <w:color w:val="231F20"/>
          <w:w w:val="95"/>
        </w:rPr>
        <w:t>course</w:t>
      </w:r>
      <w:r>
        <w:rPr>
          <w:color w:val="231F20"/>
          <w:spacing w:val="-1"/>
          <w:w w:val="95"/>
        </w:rPr>
        <w:t xml:space="preserve"> </w:t>
      </w:r>
      <w:r>
        <w:rPr>
          <w:color w:val="231F20"/>
          <w:w w:val="95"/>
        </w:rPr>
        <w:t>size,</w:t>
      </w:r>
      <w:r>
        <w:rPr>
          <w:color w:val="231F20"/>
          <w:spacing w:val="-1"/>
          <w:w w:val="95"/>
        </w:rPr>
        <w:t xml:space="preserve"> </w:t>
      </w:r>
      <w:r>
        <w:rPr>
          <w:color w:val="231F20"/>
          <w:w w:val="95"/>
        </w:rPr>
        <w:t>design,</w:t>
      </w:r>
      <w:r>
        <w:rPr>
          <w:color w:val="231F20"/>
          <w:spacing w:val="-1"/>
          <w:w w:val="95"/>
        </w:rPr>
        <w:t xml:space="preserve"> </w:t>
      </w:r>
      <w:r>
        <w:rPr>
          <w:color w:val="231F20"/>
          <w:w w:val="95"/>
        </w:rPr>
        <w:t>management, soil characteristics and climate. The lack of</w:t>
      </w:r>
      <w:r>
        <w:rPr>
          <w:color w:val="231F20"/>
        </w:rPr>
        <w:t xml:space="preserve"> </w:t>
      </w:r>
      <w:r>
        <w:rPr>
          <w:color w:val="231F20"/>
          <w:w w:val="95"/>
        </w:rPr>
        <w:t xml:space="preserve">current water use profiles for </w:t>
      </w:r>
      <w:r>
        <w:rPr>
          <w:color w:val="231F20"/>
          <w:spacing w:val="-2"/>
        </w:rPr>
        <w:t>courses</w:t>
      </w:r>
      <w:r>
        <w:rPr>
          <w:color w:val="231F20"/>
          <w:spacing w:val="-10"/>
        </w:rPr>
        <w:t xml:space="preserve"> </w:t>
      </w:r>
      <w:r>
        <w:rPr>
          <w:color w:val="231F20"/>
          <w:spacing w:val="-2"/>
        </w:rPr>
        <w:t>precludes</w:t>
      </w:r>
      <w:r>
        <w:rPr>
          <w:color w:val="231F20"/>
          <w:spacing w:val="-10"/>
        </w:rPr>
        <w:t xml:space="preserve"> </w:t>
      </w:r>
      <w:r>
        <w:rPr>
          <w:color w:val="231F20"/>
          <w:spacing w:val="-2"/>
        </w:rPr>
        <w:t>an</w:t>
      </w:r>
      <w:r>
        <w:rPr>
          <w:color w:val="231F20"/>
          <w:spacing w:val="-9"/>
        </w:rPr>
        <w:t xml:space="preserve"> </w:t>
      </w:r>
      <w:r>
        <w:rPr>
          <w:color w:val="231F20"/>
          <w:spacing w:val="-2"/>
        </w:rPr>
        <w:t>a</w:t>
      </w:r>
      <w:r>
        <w:rPr>
          <w:color w:val="231F20"/>
          <w:spacing w:val="-2"/>
        </w:rPr>
        <w:t>bility</w:t>
      </w:r>
      <w:r>
        <w:rPr>
          <w:color w:val="231F20"/>
          <w:spacing w:val="-10"/>
        </w:rPr>
        <w:t xml:space="preserve"> </w:t>
      </w:r>
      <w:r>
        <w:rPr>
          <w:color w:val="231F20"/>
          <w:spacing w:val="-2"/>
        </w:rPr>
        <w:t>to</w:t>
      </w:r>
      <w:r>
        <w:rPr>
          <w:color w:val="231F20"/>
          <w:spacing w:val="-9"/>
        </w:rPr>
        <w:t xml:space="preserve"> </w:t>
      </w:r>
      <w:r>
        <w:rPr>
          <w:color w:val="231F20"/>
          <w:spacing w:val="-2"/>
        </w:rPr>
        <w:t>compare</w:t>
      </w:r>
      <w:r>
        <w:rPr>
          <w:color w:val="231F20"/>
          <w:spacing w:val="-10"/>
        </w:rPr>
        <w:t xml:space="preserve"> </w:t>
      </w:r>
      <w:r>
        <w:rPr>
          <w:color w:val="231F20"/>
          <w:spacing w:val="-2"/>
        </w:rPr>
        <w:t>golf</w:t>
      </w:r>
      <w:r>
        <w:rPr>
          <w:color w:val="231F20"/>
          <w:spacing w:val="-4"/>
        </w:rPr>
        <w:t xml:space="preserve"> </w:t>
      </w:r>
      <w:r>
        <w:rPr>
          <w:color w:val="231F20"/>
          <w:spacing w:val="-2"/>
        </w:rPr>
        <w:t>tourism’s</w:t>
      </w:r>
      <w:r>
        <w:rPr>
          <w:color w:val="231F20"/>
          <w:spacing w:val="-9"/>
        </w:rPr>
        <w:t xml:space="preserve"> </w:t>
      </w:r>
      <w:r>
        <w:rPr>
          <w:color w:val="231F20"/>
          <w:spacing w:val="-2"/>
        </w:rPr>
        <w:t>annual</w:t>
      </w:r>
      <w:r>
        <w:rPr>
          <w:color w:val="231F20"/>
          <w:spacing w:val="-10"/>
        </w:rPr>
        <w:t xml:space="preserve"> </w:t>
      </w:r>
      <w:r>
        <w:rPr>
          <w:color w:val="231F20"/>
          <w:spacing w:val="-2"/>
        </w:rPr>
        <w:t>water</w:t>
      </w:r>
      <w:r>
        <w:rPr>
          <w:color w:val="231F20"/>
          <w:spacing w:val="-9"/>
        </w:rPr>
        <w:t xml:space="preserve"> </w:t>
      </w:r>
      <w:r>
        <w:rPr>
          <w:color w:val="231F20"/>
          <w:spacing w:val="-2"/>
        </w:rPr>
        <w:t xml:space="preserve">use </w:t>
      </w:r>
      <w:r>
        <w:rPr>
          <w:color w:val="231F20"/>
          <w:spacing w:val="-2"/>
          <w:w w:val="95"/>
        </w:rPr>
        <w:t>(and economic value generated per unit of</w:t>
      </w:r>
      <w:r>
        <w:rPr>
          <w:color w:val="231F20"/>
          <w:spacing w:val="11"/>
        </w:rPr>
        <w:t xml:space="preserve"> </w:t>
      </w:r>
      <w:r>
        <w:rPr>
          <w:color w:val="231F20"/>
          <w:spacing w:val="-2"/>
          <w:w w:val="95"/>
        </w:rPr>
        <w:t xml:space="preserve">water) to other water-intensive </w:t>
      </w:r>
      <w:r>
        <w:rPr>
          <w:color w:val="231F20"/>
        </w:rPr>
        <w:t>industries,</w:t>
      </w:r>
      <w:r>
        <w:rPr>
          <w:color w:val="231F20"/>
          <w:spacing w:val="-3"/>
        </w:rPr>
        <w:t xml:space="preserve"> </w:t>
      </w:r>
      <w:r>
        <w:rPr>
          <w:color w:val="231F20"/>
        </w:rPr>
        <w:t>both</w:t>
      </w:r>
      <w:r>
        <w:rPr>
          <w:color w:val="231F20"/>
          <w:spacing w:val="-3"/>
        </w:rPr>
        <w:t xml:space="preserve"> </w:t>
      </w:r>
      <w:r>
        <w:rPr>
          <w:color w:val="231F20"/>
        </w:rPr>
        <w:t>within</w:t>
      </w:r>
      <w:r>
        <w:rPr>
          <w:color w:val="231F20"/>
          <w:spacing w:val="-3"/>
        </w:rPr>
        <w:t xml:space="preserve"> </w:t>
      </w:r>
      <w:r>
        <w:rPr>
          <w:color w:val="231F20"/>
        </w:rPr>
        <w:t>and</w:t>
      </w:r>
      <w:r>
        <w:rPr>
          <w:color w:val="231F20"/>
          <w:spacing w:val="-3"/>
        </w:rPr>
        <w:t xml:space="preserve"> </w:t>
      </w:r>
      <w:r>
        <w:rPr>
          <w:color w:val="231F20"/>
        </w:rPr>
        <w:t>outside</w:t>
      </w:r>
      <w:r>
        <w:rPr>
          <w:color w:val="231F20"/>
          <w:spacing w:val="-3"/>
        </w:rPr>
        <w:t xml:space="preserve"> </w:t>
      </w:r>
      <w:r>
        <w:rPr>
          <w:color w:val="231F20"/>
        </w:rPr>
        <w:t>of tourism.</w:t>
      </w:r>
    </w:p>
    <w:p w14:paraId="3E9F12D9" w14:textId="77777777" w:rsidR="00AE0598" w:rsidRDefault="0069255A">
      <w:pPr>
        <w:pStyle w:val="Corpodetexto"/>
        <w:spacing w:before="7" w:line="232" w:lineRule="auto"/>
        <w:ind w:left="223" w:right="241" w:firstLine="320"/>
        <w:jc w:val="both"/>
      </w:pPr>
      <w:r>
        <w:rPr>
          <w:color w:val="231F20"/>
        </w:rPr>
        <w:t xml:space="preserve">Although a complete account of golf’s water footprint still must emerge, measures that reduce water extraction rates are necessary next steps to secure golf’s future in water-constrained regions, and in </w:t>
      </w:r>
      <w:r>
        <w:rPr>
          <w:color w:val="231F20"/>
          <w:spacing w:val="-2"/>
        </w:rPr>
        <w:t>a</w:t>
      </w:r>
      <w:r>
        <w:rPr>
          <w:color w:val="231F20"/>
          <w:spacing w:val="-5"/>
        </w:rPr>
        <w:t xml:space="preserve"> </w:t>
      </w:r>
      <w:r>
        <w:rPr>
          <w:color w:val="231F20"/>
          <w:spacing w:val="-2"/>
        </w:rPr>
        <w:t>world</w:t>
      </w:r>
      <w:r>
        <w:rPr>
          <w:color w:val="231F20"/>
          <w:spacing w:val="-5"/>
        </w:rPr>
        <w:t xml:space="preserve"> </w:t>
      </w:r>
      <w:r>
        <w:rPr>
          <w:color w:val="231F20"/>
          <w:spacing w:val="-2"/>
        </w:rPr>
        <w:t>of increasing</w:t>
      </w:r>
      <w:r>
        <w:rPr>
          <w:color w:val="231F20"/>
          <w:spacing w:val="-5"/>
        </w:rPr>
        <w:t xml:space="preserve"> </w:t>
      </w:r>
      <w:r>
        <w:rPr>
          <w:color w:val="231F20"/>
          <w:spacing w:val="-2"/>
        </w:rPr>
        <w:t>freshwater</w:t>
      </w:r>
      <w:r>
        <w:rPr>
          <w:color w:val="231F20"/>
          <w:spacing w:val="-5"/>
        </w:rPr>
        <w:t xml:space="preserve"> </w:t>
      </w:r>
      <w:r>
        <w:rPr>
          <w:color w:val="231F20"/>
          <w:spacing w:val="-2"/>
        </w:rPr>
        <w:t>scarcity.</w:t>
      </w:r>
      <w:r>
        <w:rPr>
          <w:color w:val="231F20"/>
          <w:spacing w:val="-5"/>
        </w:rPr>
        <w:t xml:space="preserve"> </w:t>
      </w:r>
      <w:r>
        <w:rPr>
          <w:color w:val="231F20"/>
          <w:spacing w:val="-2"/>
        </w:rPr>
        <w:t>The</w:t>
      </w:r>
      <w:r>
        <w:rPr>
          <w:color w:val="231F20"/>
          <w:spacing w:val="-5"/>
        </w:rPr>
        <w:t xml:space="preserve"> </w:t>
      </w:r>
      <w:r>
        <w:rPr>
          <w:color w:val="231F20"/>
          <w:spacing w:val="-2"/>
        </w:rPr>
        <w:t>sport’</w:t>
      </w:r>
      <w:r>
        <w:rPr>
          <w:color w:val="231F20"/>
          <w:spacing w:val="-2"/>
        </w:rPr>
        <w:t>s</w:t>
      </w:r>
      <w:r>
        <w:rPr>
          <w:color w:val="231F20"/>
          <w:spacing w:val="-5"/>
        </w:rPr>
        <w:t xml:space="preserve"> </w:t>
      </w:r>
      <w:r>
        <w:rPr>
          <w:color w:val="231F20"/>
          <w:spacing w:val="-2"/>
        </w:rPr>
        <w:t>largest</w:t>
      </w:r>
      <w:r>
        <w:rPr>
          <w:color w:val="231F20"/>
          <w:spacing w:val="-5"/>
        </w:rPr>
        <w:t xml:space="preserve"> </w:t>
      </w:r>
      <w:r>
        <w:rPr>
          <w:color w:val="231F20"/>
          <w:spacing w:val="-2"/>
        </w:rPr>
        <w:t xml:space="preserve">governing </w:t>
      </w:r>
      <w:r>
        <w:rPr>
          <w:color w:val="231F20"/>
        </w:rPr>
        <w:t>bodies</w:t>
      </w:r>
      <w:r>
        <w:rPr>
          <w:color w:val="231F20"/>
          <w:spacing w:val="-8"/>
        </w:rPr>
        <w:t xml:space="preserve"> </w:t>
      </w:r>
      <w:r>
        <w:rPr>
          <w:color w:val="231F20"/>
        </w:rPr>
        <w:t>are</w:t>
      </w:r>
      <w:r>
        <w:rPr>
          <w:color w:val="231F20"/>
          <w:spacing w:val="-8"/>
        </w:rPr>
        <w:t xml:space="preserve"> </w:t>
      </w:r>
      <w:r>
        <w:rPr>
          <w:color w:val="231F20"/>
        </w:rPr>
        <w:t>responding,</w:t>
      </w:r>
      <w:r>
        <w:rPr>
          <w:color w:val="231F20"/>
          <w:spacing w:val="-8"/>
        </w:rPr>
        <w:t xml:space="preserve"> </w:t>
      </w:r>
      <w:r>
        <w:rPr>
          <w:color w:val="231F20"/>
        </w:rPr>
        <w:t>developing</w:t>
      </w:r>
      <w:r>
        <w:rPr>
          <w:color w:val="231F20"/>
          <w:spacing w:val="-8"/>
        </w:rPr>
        <w:t xml:space="preserve"> </w:t>
      </w:r>
      <w:r>
        <w:rPr>
          <w:color w:val="231F20"/>
        </w:rPr>
        <w:t>innovative</w:t>
      </w:r>
      <w:r>
        <w:rPr>
          <w:color w:val="231F20"/>
          <w:spacing w:val="-8"/>
        </w:rPr>
        <w:t xml:space="preserve"> </w:t>
      </w:r>
      <w:r>
        <w:rPr>
          <w:color w:val="231F20"/>
        </w:rPr>
        <w:t>water</w:t>
      </w:r>
      <w:r>
        <w:rPr>
          <w:color w:val="231F20"/>
          <w:spacing w:val="-8"/>
        </w:rPr>
        <w:t xml:space="preserve"> </w:t>
      </w:r>
      <w:r>
        <w:rPr>
          <w:color w:val="231F20"/>
        </w:rPr>
        <w:t>use</w:t>
      </w:r>
      <w:r>
        <w:rPr>
          <w:color w:val="231F20"/>
          <w:spacing w:val="-8"/>
        </w:rPr>
        <w:t xml:space="preserve"> </w:t>
      </w:r>
      <w:r>
        <w:rPr>
          <w:color w:val="231F20"/>
        </w:rPr>
        <w:t>practices</w:t>
      </w:r>
      <w:r>
        <w:rPr>
          <w:color w:val="231F20"/>
          <w:spacing w:val="-8"/>
        </w:rPr>
        <w:t xml:space="preserve"> </w:t>
      </w:r>
      <w:r>
        <w:rPr>
          <w:color w:val="231F20"/>
        </w:rPr>
        <w:t xml:space="preserve">that reduce the need to draw so heavily on freshwater resources (e.g. Golf </w:t>
      </w:r>
      <w:r>
        <w:rPr>
          <w:color w:val="231F20"/>
          <w:spacing w:val="-2"/>
        </w:rPr>
        <w:t>Canada,</w:t>
      </w:r>
      <w:r>
        <w:rPr>
          <w:color w:val="231F20"/>
          <w:spacing w:val="-10"/>
        </w:rPr>
        <w:t xml:space="preserve"> </w:t>
      </w:r>
      <w:r>
        <w:rPr>
          <w:color w:val="231F20"/>
          <w:spacing w:val="-2"/>
        </w:rPr>
        <w:t>2014;</w:t>
      </w:r>
      <w:r>
        <w:rPr>
          <w:color w:val="231F20"/>
          <w:spacing w:val="-9"/>
        </w:rPr>
        <w:t xml:space="preserve"> </w:t>
      </w:r>
      <w:r>
        <w:rPr>
          <w:color w:val="231F20"/>
          <w:spacing w:val="-2"/>
        </w:rPr>
        <w:t>Royal</w:t>
      </w:r>
      <w:r>
        <w:rPr>
          <w:color w:val="231F20"/>
          <w:spacing w:val="-10"/>
        </w:rPr>
        <w:t xml:space="preserve"> </w:t>
      </w:r>
      <w:r>
        <w:rPr>
          <w:color w:val="231F20"/>
          <w:spacing w:val="-2"/>
        </w:rPr>
        <w:t>and</w:t>
      </w:r>
      <w:r>
        <w:rPr>
          <w:color w:val="231F20"/>
          <w:spacing w:val="-9"/>
        </w:rPr>
        <w:t xml:space="preserve"> </w:t>
      </w:r>
      <w:r>
        <w:rPr>
          <w:color w:val="231F20"/>
          <w:spacing w:val="-2"/>
        </w:rPr>
        <w:t>Ancient</w:t>
      </w:r>
      <w:r>
        <w:rPr>
          <w:color w:val="231F20"/>
          <w:spacing w:val="-10"/>
        </w:rPr>
        <w:t xml:space="preserve"> </w:t>
      </w:r>
      <w:r>
        <w:rPr>
          <w:color w:val="231F20"/>
          <w:spacing w:val="-2"/>
        </w:rPr>
        <w:t>Golf</w:t>
      </w:r>
      <w:r>
        <w:rPr>
          <w:color w:val="231F20"/>
          <w:spacing w:val="5"/>
        </w:rPr>
        <w:t xml:space="preserve"> </w:t>
      </w:r>
      <w:r>
        <w:rPr>
          <w:color w:val="231F20"/>
          <w:spacing w:val="-2"/>
        </w:rPr>
        <w:t>Club</w:t>
      </w:r>
      <w:r>
        <w:rPr>
          <w:color w:val="231F20"/>
          <w:spacing w:val="-10"/>
        </w:rPr>
        <w:t xml:space="preserve"> </w:t>
      </w:r>
      <w:r>
        <w:rPr>
          <w:color w:val="231F20"/>
          <w:spacing w:val="-2"/>
        </w:rPr>
        <w:t>of</w:t>
      </w:r>
      <w:r>
        <w:rPr>
          <w:color w:val="231F20"/>
          <w:spacing w:val="5"/>
        </w:rPr>
        <w:t xml:space="preserve"> </w:t>
      </w:r>
      <w:r>
        <w:rPr>
          <w:color w:val="231F20"/>
          <w:spacing w:val="-2"/>
        </w:rPr>
        <w:t>St.</w:t>
      </w:r>
      <w:r>
        <w:rPr>
          <w:color w:val="231F20"/>
          <w:spacing w:val="-10"/>
        </w:rPr>
        <w:t xml:space="preserve"> </w:t>
      </w:r>
      <w:r>
        <w:rPr>
          <w:color w:val="231F20"/>
          <w:spacing w:val="-2"/>
        </w:rPr>
        <w:t>Andrews,</w:t>
      </w:r>
      <w:r>
        <w:rPr>
          <w:color w:val="231F20"/>
          <w:spacing w:val="-9"/>
        </w:rPr>
        <w:t xml:space="preserve"> </w:t>
      </w:r>
      <w:r>
        <w:rPr>
          <w:color w:val="231F20"/>
          <w:spacing w:val="-2"/>
        </w:rPr>
        <w:t>2010;</w:t>
      </w:r>
      <w:r>
        <w:rPr>
          <w:color w:val="231F20"/>
          <w:spacing w:val="-10"/>
        </w:rPr>
        <w:t xml:space="preserve"> </w:t>
      </w:r>
      <w:r>
        <w:rPr>
          <w:color w:val="231F20"/>
          <w:spacing w:val="-2"/>
        </w:rPr>
        <w:t xml:space="preserve">United </w:t>
      </w:r>
      <w:r>
        <w:rPr>
          <w:color w:val="231F20"/>
        </w:rPr>
        <w:t>States</w:t>
      </w:r>
      <w:r>
        <w:rPr>
          <w:color w:val="231F20"/>
          <w:spacing w:val="-8"/>
        </w:rPr>
        <w:t xml:space="preserve"> </w:t>
      </w:r>
      <w:r>
        <w:rPr>
          <w:color w:val="231F20"/>
        </w:rPr>
        <w:t>Golf Association,</w:t>
      </w:r>
      <w:r>
        <w:rPr>
          <w:color w:val="231F20"/>
          <w:spacing w:val="-8"/>
        </w:rPr>
        <w:t xml:space="preserve"> </w:t>
      </w:r>
      <w:r>
        <w:rPr>
          <w:color w:val="231F20"/>
        </w:rPr>
        <w:t>2014).</w:t>
      </w:r>
      <w:r>
        <w:rPr>
          <w:color w:val="231F20"/>
          <w:spacing w:val="-8"/>
        </w:rPr>
        <w:t xml:space="preserve"> </w:t>
      </w:r>
      <w:r>
        <w:rPr>
          <w:color w:val="231F20"/>
        </w:rPr>
        <w:t>Best</w:t>
      </w:r>
      <w:r>
        <w:rPr>
          <w:color w:val="231F20"/>
          <w:spacing w:val="-8"/>
        </w:rPr>
        <w:t xml:space="preserve"> </w:t>
      </w:r>
      <w:r>
        <w:rPr>
          <w:color w:val="231F20"/>
        </w:rPr>
        <w:t>management</w:t>
      </w:r>
      <w:r>
        <w:rPr>
          <w:color w:val="231F20"/>
          <w:spacing w:val="-8"/>
        </w:rPr>
        <w:t xml:space="preserve"> </w:t>
      </w:r>
      <w:r>
        <w:rPr>
          <w:color w:val="231F20"/>
        </w:rPr>
        <w:t>practices</w:t>
      </w:r>
      <w:r>
        <w:rPr>
          <w:color w:val="231F20"/>
          <w:spacing w:val="-8"/>
        </w:rPr>
        <w:t xml:space="preserve"> </w:t>
      </w:r>
      <w:r>
        <w:rPr>
          <w:color w:val="231F20"/>
        </w:rPr>
        <w:t>include</w:t>
      </w:r>
      <w:r>
        <w:rPr>
          <w:color w:val="231F20"/>
          <w:spacing w:val="-8"/>
        </w:rPr>
        <w:t xml:space="preserve"> </w:t>
      </w:r>
      <w:r>
        <w:rPr>
          <w:color w:val="231F20"/>
        </w:rPr>
        <w:t xml:space="preserve">the </w:t>
      </w:r>
      <w:r>
        <w:rPr>
          <w:color w:val="231F20"/>
          <w:w w:val="95"/>
        </w:rPr>
        <w:t>incorporation of drought-tolerant turf grasses and/or native vegetation that</w:t>
      </w:r>
      <w:r>
        <w:rPr>
          <w:color w:val="231F20"/>
          <w:spacing w:val="-1"/>
          <w:w w:val="95"/>
        </w:rPr>
        <w:t xml:space="preserve"> </w:t>
      </w:r>
      <w:r>
        <w:rPr>
          <w:color w:val="231F20"/>
          <w:w w:val="95"/>
        </w:rPr>
        <w:t>are</w:t>
      </w:r>
      <w:r>
        <w:rPr>
          <w:color w:val="231F20"/>
          <w:spacing w:val="-1"/>
          <w:w w:val="95"/>
        </w:rPr>
        <w:t xml:space="preserve"> </w:t>
      </w:r>
      <w:r>
        <w:rPr>
          <w:color w:val="231F20"/>
          <w:w w:val="95"/>
        </w:rPr>
        <w:t>acclimatised</w:t>
      </w:r>
      <w:r>
        <w:rPr>
          <w:color w:val="231F20"/>
          <w:spacing w:val="-1"/>
          <w:w w:val="95"/>
        </w:rPr>
        <w:t xml:space="preserve"> </w:t>
      </w:r>
      <w:r>
        <w:rPr>
          <w:color w:val="231F20"/>
          <w:w w:val="95"/>
        </w:rPr>
        <w:t>to</w:t>
      </w:r>
      <w:r>
        <w:rPr>
          <w:color w:val="231F20"/>
          <w:spacing w:val="-1"/>
          <w:w w:val="95"/>
        </w:rPr>
        <w:t xml:space="preserve"> </w:t>
      </w:r>
      <w:r>
        <w:rPr>
          <w:color w:val="231F20"/>
          <w:w w:val="95"/>
        </w:rPr>
        <w:t>local</w:t>
      </w:r>
      <w:r>
        <w:rPr>
          <w:color w:val="231F20"/>
          <w:spacing w:val="-1"/>
          <w:w w:val="95"/>
        </w:rPr>
        <w:t xml:space="preserve"> </w:t>
      </w:r>
      <w:r>
        <w:rPr>
          <w:color w:val="231F20"/>
          <w:w w:val="95"/>
        </w:rPr>
        <w:t>climatic</w:t>
      </w:r>
      <w:r>
        <w:rPr>
          <w:color w:val="231F20"/>
          <w:spacing w:val="-1"/>
          <w:w w:val="95"/>
        </w:rPr>
        <w:t xml:space="preserve"> </w:t>
      </w:r>
      <w:r>
        <w:rPr>
          <w:color w:val="231F20"/>
          <w:w w:val="95"/>
        </w:rPr>
        <w:t>conditions,</w:t>
      </w:r>
      <w:r>
        <w:rPr>
          <w:color w:val="231F20"/>
          <w:spacing w:val="-1"/>
          <w:w w:val="95"/>
        </w:rPr>
        <w:t xml:space="preserve"> </w:t>
      </w:r>
      <w:r>
        <w:rPr>
          <w:color w:val="231F20"/>
          <w:w w:val="95"/>
        </w:rPr>
        <w:t>applying</w:t>
      </w:r>
      <w:r>
        <w:rPr>
          <w:color w:val="231F20"/>
          <w:spacing w:val="-1"/>
          <w:w w:val="95"/>
        </w:rPr>
        <w:t xml:space="preserve"> </w:t>
      </w:r>
      <w:r>
        <w:rPr>
          <w:color w:val="231F20"/>
          <w:w w:val="95"/>
        </w:rPr>
        <w:t>wetting</w:t>
      </w:r>
      <w:r>
        <w:rPr>
          <w:color w:val="231F20"/>
          <w:spacing w:val="-1"/>
          <w:w w:val="95"/>
        </w:rPr>
        <w:t xml:space="preserve"> </w:t>
      </w:r>
      <w:r>
        <w:rPr>
          <w:color w:val="231F20"/>
          <w:w w:val="95"/>
        </w:rPr>
        <w:t>agents to</w:t>
      </w:r>
      <w:r>
        <w:rPr>
          <w:color w:val="231F20"/>
          <w:spacing w:val="-10"/>
          <w:w w:val="95"/>
        </w:rPr>
        <w:t xml:space="preserve"> </w:t>
      </w:r>
      <w:r>
        <w:rPr>
          <w:color w:val="231F20"/>
          <w:w w:val="95"/>
        </w:rPr>
        <w:t>increase</w:t>
      </w:r>
      <w:r>
        <w:rPr>
          <w:color w:val="231F20"/>
          <w:spacing w:val="-9"/>
          <w:w w:val="95"/>
        </w:rPr>
        <w:t xml:space="preserve"> </w:t>
      </w:r>
      <w:r>
        <w:rPr>
          <w:color w:val="231F20"/>
          <w:w w:val="95"/>
        </w:rPr>
        <w:t>soil</w:t>
      </w:r>
      <w:r>
        <w:rPr>
          <w:color w:val="231F20"/>
          <w:spacing w:val="-9"/>
          <w:w w:val="95"/>
        </w:rPr>
        <w:t xml:space="preserve"> </w:t>
      </w:r>
      <w:r>
        <w:rPr>
          <w:color w:val="231F20"/>
          <w:w w:val="95"/>
        </w:rPr>
        <w:t>moisture</w:t>
      </w:r>
      <w:r>
        <w:rPr>
          <w:color w:val="231F20"/>
          <w:spacing w:val="-9"/>
          <w:w w:val="95"/>
        </w:rPr>
        <w:t xml:space="preserve"> </w:t>
      </w:r>
      <w:r>
        <w:rPr>
          <w:color w:val="231F20"/>
          <w:w w:val="95"/>
        </w:rPr>
        <w:t>for</w:t>
      </w:r>
      <w:r>
        <w:rPr>
          <w:color w:val="231F20"/>
          <w:spacing w:val="-10"/>
          <w:w w:val="95"/>
        </w:rPr>
        <w:t xml:space="preserve"> </w:t>
      </w:r>
      <w:r>
        <w:rPr>
          <w:color w:val="231F20"/>
          <w:w w:val="95"/>
        </w:rPr>
        <w:t>extended</w:t>
      </w:r>
      <w:r>
        <w:rPr>
          <w:color w:val="231F20"/>
          <w:spacing w:val="-9"/>
          <w:w w:val="95"/>
        </w:rPr>
        <w:t xml:space="preserve"> </w:t>
      </w:r>
      <w:r>
        <w:rPr>
          <w:color w:val="231F20"/>
          <w:w w:val="95"/>
        </w:rPr>
        <w:t>period</w:t>
      </w:r>
      <w:r>
        <w:rPr>
          <w:color w:val="231F20"/>
          <w:w w:val="95"/>
        </w:rPr>
        <w:t>s</w:t>
      </w:r>
      <w:r>
        <w:rPr>
          <w:color w:val="231F20"/>
          <w:spacing w:val="-9"/>
          <w:w w:val="95"/>
        </w:rPr>
        <w:t xml:space="preserve"> </w:t>
      </w:r>
      <w:r>
        <w:rPr>
          <w:color w:val="231F20"/>
          <w:w w:val="95"/>
        </w:rPr>
        <w:t>of</w:t>
      </w:r>
      <w:r>
        <w:rPr>
          <w:color w:val="231F20"/>
          <w:spacing w:val="1"/>
        </w:rPr>
        <w:t xml:space="preserve"> </w:t>
      </w:r>
      <w:r>
        <w:rPr>
          <w:color w:val="231F20"/>
          <w:w w:val="95"/>
        </w:rPr>
        <w:t>time,</w:t>
      </w:r>
      <w:r>
        <w:rPr>
          <w:color w:val="231F20"/>
          <w:spacing w:val="-10"/>
          <w:w w:val="95"/>
        </w:rPr>
        <w:t xml:space="preserve"> </w:t>
      </w:r>
      <w:r>
        <w:rPr>
          <w:color w:val="231F20"/>
          <w:w w:val="95"/>
        </w:rPr>
        <w:t>harvesting</w:t>
      </w:r>
      <w:r>
        <w:rPr>
          <w:color w:val="231F20"/>
          <w:spacing w:val="-9"/>
          <w:w w:val="95"/>
        </w:rPr>
        <w:t xml:space="preserve"> </w:t>
      </w:r>
      <w:r>
        <w:rPr>
          <w:color w:val="231F20"/>
          <w:w w:val="95"/>
        </w:rPr>
        <w:t>rain</w:t>
      </w:r>
      <w:r>
        <w:rPr>
          <w:color w:val="231F20"/>
          <w:spacing w:val="-9"/>
          <w:w w:val="95"/>
        </w:rPr>
        <w:t xml:space="preserve"> </w:t>
      </w:r>
      <w:r>
        <w:rPr>
          <w:color w:val="231F20"/>
          <w:w w:val="95"/>
        </w:rPr>
        <w:t>and storm water to reduce extraction rates from freshwater resources, using soil</w:t>
      </w:r>
      <w:r>
        <w:rPr>
          <w:color w:val="231F20"/>
          <w:spacing w:val="-7"/>
          <w:w w:val="95"/>
        </w:rPr>
        <w:t xml:space="preserve"> </w:t>
      </w:r>
      <w:r>
        <w:rPr>
          <w:color w:val="231F20"/>
          <w:w w:val="95"/>
        </w:rPr>
        <w:t>moisture</w:t>
      </w:r>
      <w:r>
        <w:rPr>
          <w:color w:val="231F20"/>
          <w:spacing w:val="-7"/>
          <w:w w:val="95"/>
        </w:rPr>
        <w:t xml:space="preserve"> </w:t>
      </w:r>
      <w:r>
        <w:rPr>
          <w:color w:val="231F20"/>
          <w:w w:val="95"/>
        </w:rPr>
        <w:t>sensors</w:t>
      </w:r>
      <w:r>
        <w:rPr>
          <w:color w:val="231F20"/>
          <w:spacing w:val="-7"/>
          <w:w w:val="95"/>
        </w:rPr>
        <w:t xml:space="preserve"> </w:t>
      </w:r>
      <w:r>
        <w:rPr>
          <w:color w:val="231F20"/>
          <w:w w:val="95"/>
        </w:rPr>
        <w:t>to</w:t>
      </w:r>
      <w:r>
        <w:rPr>
          <w:color w:val="231F20"/>
          <w:spacing w:val="-7"/>
          <w:w w:val="95"/>
        </w:rPr>
        <w:t xml:space="preserve"> </w:t>
      </w:r>
      <w:r>
        <w:rPr>
          <w:color w:val="231F20"/>
          <w:w w:val="95"/>
        </w:rPr>
        <w:t>reduce</w:t>
      </w:r>
      <w:r>
        <w:rPr>
          <w:color w:val="231F20"/>
          <w:spacing w:val="-7"/>
          <w:w w:val="95"/>
        </w:rPr>
        <w:t xml:space="preserve"> </w:t>
      </w:r>
      <w:r>
        <w:rPr>
          <w:color w:val="231F20"/>
          <w:w w:val="95"/>
        </w:rPr>
        <w:t>overwatering,</w:t>
      </w:r>
      <w:r>
        <w:rPr>
          <w:color w:val="231F20"/>
          <w:spacing w:val="-7"/>
          <w:w w:val="95"/>
        </w:rPr>
        <w:t xml:space="preserve"> </w:t>
      </w:r>
      <w:r>
        <w:rPr>
          <w:color w:val="231F20"/>
          <w:w w:val="95"/>
        </w:rPr>
        <w:t>hand-watering</w:t>
      </w:r>
      <w:r>
        <w:rPr>
          <w:color w:val="231F20"/>
          <w:spacing w:val="-7"/>
          <w:w w:val="95"/>
        </w:rPr>
        <w:t xml:space="preserve"> </w:t>
      </w:r>
      <w:r>
        <w:rPr>
          <w:color w:val="231F20"/>
          <w:w w:val="95"/>
        </w:rPr>
        <w:t>target</w:t>
      </w:r>
      <w:r>
        <w:rPr>
          <w:color w:val="231F20"/>
          <w:spacing w:val="-7"/>
          <w:w w:val="95"/>
        </w:rPr>
        <w:t xml:space="preserve"> </w:t>
      </w:r>
      <w:r>
        <w:rPr>
          <w:color w:val="231F20"/>
          <w:w w:val="95"/>
        </w:rPr>
        <w:t>areas most</w:t>
      </w:r>
      <w:r>
        <w:rPr>
          <w:color w:val="231F20"/>
          <w:spacing w:val="-8"/>
          <w:w w:val="95"/>
        </w:rPr>
        <w:t xml:space="preserve"> </w:t>
      </w:r>
      <w:r>
        <w:rPr>
          <w:color w:val="231F20"/>
          <w:w w:val="95"/>
        </w:rPr>
        <w:t>in</w:t>
      </w:r>
      <w:r>
        <w:rPr>
          <w:color w:val="231F20"/>
          <w:spacing w:val="-8"/>
          <w:w w:val="95"/>
        </w:rPr>
        <w:t xml:space="preserve"> </w:t>
      </w:r>
      <w:r>
        <w:rPr>
          <w:color w:val="231F20"/>
          <w:w w:val="95"/>
        </w:rPr>
        <w:t>need</w:t>
      </w:r>
      <w:r>
        <w:rPr>
          <w:color w:val="231F20"/>
          <w:spacing w:val="-8"/>
          <w:w w:val="95"/>
        </w:rPr>
        <w:t xml:space="preserve"> </w:t>
      </w:r>
      <w:r>
        <w:rPr>
          <w:color w:val="231F20"/>
          <w:w w:val="95"/>
        </w:rPr>
        <w:t>and</w:t>
      </w:r>
      <w:r>
        <w:rPr>
          <w:color w:val="231F20"/>
          <w:spacing w:val="-8"/>
          <w:w w:val="95"/>
        </w:rPr>
        <w:t xml:space="preserve"> </w:t>
      </w:r>
      <w:r>
        <w:rPr>
          <w:color w:val="231F20"/>
          <w:w w:val="95"/>
        </w:rPr>
        <w:t>restricting</w:t>
      </w:r>
      <w:r>
        <w:rPr>
          <w:color w:val="231F20"/>
          <w:spacing w:val="-8"/>
          <w:w w:val="95"/>
        </w:rPr>
        <w:t xml:space="preserve"> </w:t>
      </w:r>
      <w:r>
        <w:rPr>
          <w:color w:val="231F20"/>
          <w:w w:val="95"/>
        </w:rPr>
        <w:t>irrigation</w:t>
      </w:r>
      <w:r>
        <w:rPr>
          <w:color w:val="231F20"/>
          <w:spacing w:val="-8"/>
          <w:w w:val="95"/>
        </w:rPr>
        <w:t xml:space="preserve"> </w:t>
      </w:r>
      <w:r>
        <w:rPr>
          <w:color w:val="231F20"/>
          <w:w w:val="95"/>
        </w:rPr>
        <w:t>to</w:t>
      </w:r>
      <w:r>
        <w:rPr>
          <w:color w:val="231F20"/>
          <w:spacing w:val="-8"/>
          <w:w w:val="95"/>
        </w:rPr>
        <w:t xml:space="preserve"> </w:t>
      </w:r>
      <w:r>
        <w:rPr>
          <w:color w:val="231F20"/>
          <w:w w:val="95"/>
        </w:rPr>
        <w:t>the</w:t>
      </w:r>
      <w:r>
        <w:rPr>
          <w:color w:val="231F20"/>
          <w:spacing w:val="-8"/>
          <w:w w:val="95"/>
        </w:rPr>
        <w:t xml:space="preserve"> </w:t>
      </w:r>
      <w:r>
        <w:rPr>
          <w:color w:val="231F20"/>
          <w:w w:val="95"/>
        </w:rPr>
        <w:t>fairway</w:t>
      </w:r>
      <w:r>
        <w:rPr>
          <w:color w:val="231F20"/>
          <w:spacing w:val="-8"/>
          <w:w w:val="95"/>
        </w:rPr>
        <w:t xml:space="preserve"> </w:t>
      </w:r>
      <w:r>
        <w:rPr>
          <w:color w:val="231F20"/>
          <w:w w:val="95"/>
        </w:rPr>
        <w:t>(i.e.</w:t>
      </w:r>
      <w:r>
        <w:rPr>
          <w:color w:val="231F20"/>
          <w:spacing w:val="-8"/>
          <w:w w:val="95"/>
        </w:rPr>
        <w:t xml:space="preserve"> </w:t>
      </w:r>
      <w:r>
        <w:rPr>
          <w:color w:val="231F20"/>
          <w:w w:val="95"/>
        </w:rPr>
        <w:t>not</w:t>
      </w:r>
      <w:r>
        <w:rPr>
          <w:color w:val="231F20"/>
          <w:spacing w:val="-8"/>
          <w:w w:val="95"/>
        </w:rPr>
        <w:t xml:space="preserve"> </w:t>
      </w:r>
      <w:r>
        <w:rPr>
          <w:color w:val="231F20"/>
          <w:w w:val="95"/>
        </w:rPr>
        <w:t>watering</w:t>
      </w:r>
      <w:r>
        <w:rPr>
          <w:color w:val="231F20"/>
          <w:spacing w:val="-8"/>
          <w:w w:val="95"/>
        </w:rPr>
        <w:t xml:space="preserve"> </w:t>
      </w:r>
      <w:r>
        <w:rPr>
          <w:color w:val="231F20"/>
          <w:w w:val="95"/>
        </w:rPr>
        <w:t xml:space="preserve">the </w:t>
      </w:r>
      <w:r>
        <w:rPr>
          <w:color w:val="231F20"/>
          <w:spacing w:val="-2"/>
        </w:rPr>
        <w:t>rough</w:t>
      </w:r>
      <w:r>
        <w:rPr>
          <w:color w:val="231F20"/>
          <w:spacing w:val="-5"/>
        </w:rPr>
        <w:t xml:space="preserve"> </w:t>
      </w:r>
      <w:r>
        <w:rPr>
          <w:color w:val="231F20"/>
          <w:spacing w:val="-2"/>
        </w:rPr>
        <w:t>and</w:t>
      </w:r>
      <w:r>
        <w:rPr>
          <w:color w:val="231F20"/>
          <w:spacing w:val="-5"/>
        </w:rPr>
        <w:t xml:space="preserve"> </w:t>
      </w:r>
      <w:r>
        <w:rPr>
          <w:color w:val="231F20"/>
          <w:spacing w:val="-2"/>
        </w:rPr>
        <w:t>out-of-play</w:t>
      </w:r>
      <w:r>
        <w:rPr>
          <w:color w:val="231F20"/>
          <w:spacing w:val="-5"/>
        </w:rPr>
        <w:t xml:space="preserve"> </w:t>
      </w:r>
      <w:r>
        <w:rPr>
          <w:color w:val="231F20"/>
          <w:spacing w:val="-2"/>
        </w:rPr>
        <w:t>areas).</w:t>
      </w:r>
      <w:r>
        <w:rPr>
          <w:color w:val="231F20"/>
          <w:spacing w:val="-5"/>
        </w:rPr>
        <w:t xml:space="preserve"> </w:t>
      </w:r>
      <w:r>
        <w:rPr>
          <w:color w:val="231F20"/>
          <w:spacing w:val="-2"/>
        </w:rPr>
        <w:t>The</w:t>
      </w:r>
      <w:r>
        <w:rPr>
          <w:color w:val="231F20"/>
          <w:spacing w:val="-5"/>
        </w:rPr>
        <w:t xml:space="preserve"> </w:t>
      </w:r>
      <w:r>
        <w:rPr>
          <w:color w:val="231F20"/>
          <w:spacing w:val="-2"/>
        </w:rPr>
        <w:t>golf</w:t>
      </w:r>
      <w:r>
        <w:rPr>
          <w:color w:val="231F20"/>
          <w:spacing w:val="7"/>
        </w:rPr>
        <w:t xml:space="preserve"> </w:t>
      </w:r>
      <w:r>
        <w:rPr>
          <w:color w:val="231F20"/>
          <w:spacing w:val="-2"/>
        </w:rPr>
        <w:t>industry</w:t>
      </w:r>
      <w:r>
        <w:rPr>
          <w:color w:val="231F20"/>
          <w:spacing w:val="-5"/>
        </w:rPr>
        <w:t xml:space="preserve"> </w:t>
      </w:r>
      <w:r>
        <w:rPr>
          <w:color w:val="231F20"/>
          <w:spacing w:val="-2"/>
        </w:rPr>
        <w:t>also</w:t>
      </w:r>
      <w:r>
        <w:rPr>
          <w:color w:val="231F20"/>
          <w:spacing w:val="-5"/>
        </w:rPr>
        <w:t xml:space="preserve"> </w:t>
      </w:r>
      <w:r>
        <w:rPr>
          <w:color w:val="231F20"/>
          <w:spacing w:val="-2"/>
        </w:rPr>
        <w:t>has</w:t>
      </w:r>
      <w:r>
        <w:rPr>
          <w:color w:val="231F20"/>
          <w:spacing w:val="-5"/>
        </w:rPr>
        <w:t xml:space="preserve"> </w:t>
      </w:r>
      <w:r>
        <w:rPr>
          <w:color w:val="231F20"/>
          <w:spacing w:val="-2"/>
        </w:rPr>
        <w:t>the</w:t>
      </w:r>
      <w:r>
        <w:rPr>
          <w:color w:val="231F20"/>
          <w:spacing w:val="-5"/>
        </w:rPr>
        <w:t xml:space="preserve"> </w:t>
      </w:r>
      <w:r>
        <w:rPr>
          <w:color w:val="231F20"/>
          <w:spacing w:val="-2"/>
        </w:rPr>
        <w:t>potential</w:t>
      </w:r>
      <w:r>
        <w:rPr>
          <w:color w:val="231F20"/>
          <w:spacing w:val="-5"/>
        </w:rPr>
        <w:t xml:space="preserve"> </w:t>
      </w:r>
      <w:r>
        <w:rPr>
          <w:color w:val="231F20"/>
          <w:spacing w:val="-2"/>
        </w:rPr>
        <w:t xml:space="preserve">to </w:t>
      </w:r>
      <w:r>
        <w:rPr>
          <w:color w:val="231F20"/>
        </w:rPr>
        <w:t>influence</w:t>
      </w:r>
      <w:r>
        <w:rPr>
          <w:color w:val="231F20"/>
          <w:spacing w:val="-12"/>
        </w:rPr>
        <w:t xml:space="preserve"> </w:t>
      </w:r>
      <w:r>
        <w:rPr>
          <w:color w:val="231F20"/>
        </w:rPr>
        <w:t>perceptions</w:t>
      </w:r>
      <w:r>
        <w:rPr>
          <w:color w:val="231F20"/>
          <w:spacing w:val="-12"/>
        </w:rPr>
        <w:t xml:space="preserve"> </w:t>
      </w:r>
      <w:r>
        <w:rPr>
          <w:color w:val="231F20"/>
        </w:rPr>
        <w:t>of</w:t>
      </w:r>
      <w:r>
        <w:rPr>
          <w:color w:val="231F20"/>
          <w:spacing w:val="-11"/>
        </w:rPr>
        <w:t xml:space="preserve"> </w:t>
      </w:r>
      <w:r>
        <w:rPr>
          <w:color w:val="231F20"/>
        </w:rPr>
        <w:t>golf</w:t>
      </w:r>
      <w:r>
        <w:rPr>
          <w:color w:val="231F20"/>
          <w:spacing w:val="-12"/>
        </w:rPr>
        <w:t xml:space="preserve"> </w:t>
      </w:r>
      <w:r>
        <w:rPr>
          <w:color w:val="231F20"/>
        </w:rPr>
        <w:t>course</w:t>
      </w:r>
      <w:r>
        <w:rPr>
          <w:color w:val="231F20"/>
          <w:spacing w:val="-11"/>
        </w:rPr>
        <w:t xml:space="preserve"> </w:t>
      </w:r>
      <w:r>
        <w:rPr>
          <w:color w:val="231F20"/>
        </w:rPr>
        <w:t>ideals</w:t>
      </w:r>
      <w:r>
        <w:rPr>
          <w:color w:val="231F20"/>
          <w:spacing w:val="-12"/>
        </w:rPr>
        <w:t xml:space="preserve"> </w:t>
      </w:r>
      <w:r>
        <w:rPr>
          <w:color w:val="231F20"/>
        </w:rPr>
        <w:t>and</w:t>
      </w:r>
      <w:r>
        <w:rPr>
          <w:color w:val="231F20"/>
          <w:spacing w:val="-11"/>
        </w:rPr>
        <w:t xml:space="preserve"> </w:t>
      </w:r>
      <w:r>
        <w:rPr>
          <w:color w:val="231F20"/>
        </w:rPr>
        <w:t>engage</w:t>
      </w:r>
      <w:r>
        <w:rPr>
          <w:color w:val="231F20"/>
          <w:spacing w:val="-12"/>
        </w:rPr>
        <w:t xml:space="preserve"> </w:t>
      </w:r>
      <w:r>
        <w:rPr>
          <w:color w:val="231F20"/>
        </w:rPr>
        <w:t>golfers</w:t>
      </w:r>
      <w:r>
        <w:rPr>
          <w:color w:val="231F20"/>
          <w:spacing w:val="-12"/>
        </w:rPr>
        <w:t xml:space="preserve"> </w:t>
      </w:r>
      <w:r>
        <w:rPr>
          <w:color w:val="231F20"/>
        </w:rPr>
        <w:t>in</w:t>
      </w:r>
      <w:r>
        <w:rPr>
          <w:color w:val="231F20"/>
          <w:spacing w:val="-11"/>
        </w:rPr>
        <w:t xml:space="preserve"> </w:t>
      </w:r>
      <w:r>
        <w:rPr>
          <w:color w:val="231F20"/>
        </w:rPr>
        <w:t>water- savings</w:t>
      </w:r>
      <w:r>
        <w:rPr>
          <w:color w:val="231F20"/>
          <w:spacing w:val="-3"/>
        </w:rPr>
        <w:t xml:space="preserve"> </w:t>
      </w:r>
      <w:r>
        <w:rPr>
          <w:color w:val="231F20"/>
        </w:rPr>
        <w:t>opportunities,</w:t>
      </w:r>
      <w:r>
        <w:rPr>
          <w:color w:val="231F20"/>
          <w:spacing w:val="-3"/>
        </w:rPr>
        <w:t xml:space="preserve"> </w:t>
      </w:r>
      <w:r>
        <w:rPr>
          <w:color w:val="231F20"/>
        </w:rPr>
        <w:t>such</w:t>
      </w:r>
      <w:r>
        <w:rPr>
          <w:color w:val="231F20"/>
          <w:spacing w:val="-3"/>
        </w:rPr>
        <w:t xml:space="preserve"> </w:t>
      </w:r>
      <w:r>
        <w:rPr>
          <w:color w:val="231F20"/>
        </w:rPr>
        <w:t>as</w:t>
      </w:r>
      <w:r>
        <w:rPr>
          <w:color w:val="231F20"/>
          <w:spacing w:val="-3"/>
        </w:rPr>
        <w:t xml:space="preserve"> </w:t>
      </w:r>
      <w:r>
        <w:rPr>
          <w:color w:val="231F20"/>
        </w:rPr>
        <w:t>shaping</w:t>
      </w:r>
      <w:r>
        <w:rPr>
          <w:color w:val="231F20"/>
          <w:spacing w:val="-3"/>
        </w:rPr>
        <w:t xml:space="preserve"> </w:t>
      </w:r>
      <w:r>
        <w:rPr>
          <w:color w:val="231F20"/>
        </w:rPr>
        <w:t>expectations</w:t>
      </w:r>
      <w:r>
        <w:rPr>
          <w:color w:val="231F20"/>
          <w:spacing w:val="-3"/>
        </w:rPr>
        <w:t xml:space="preserve"> </w:t>
      </w:r>
      <w:r>
        <w:rPr>
          <w:color w:val="231F20"/>
        </w:rPr>
        <w:t xml:space="preserve">of turf aesthetics, </w:t>
      </w:r>
      <w:r>
        <w:rPr>
          <w:color w:val="231F20"/>
          <w:spacing w:val="-2"/>
        </w:rPr>
        <w:t>which</w:t>
      </w:r>
      <w:r>
        <w:rPr>
          <w:color w:val="231F20"/>
          <w:spacing w:val="-6"/>
        </w:rPr>
        <w:t xml:space="preserve"> </w:t>
      </w:r>
      <w:r>
        <w:rPr>
          <w:color w:val="231F20"/>
          <w:spacing w:val="-2"/>
        </w:rPr>
        <w:t>is</w:t>
      </w:r>
      <w:r>
        <w:rPr>
          <w:color w:val="231F20"/>
          <w:spacing w:val="-6"/>
        </w:rPr>
        <w:t xml:space="preserve"> </w:t>
      </w:r>
      <w:r>
        <w:rPr>
          <w:color w:val="231F20"/>
          <w:spacing w:val="-2"/>
        </w:rPr>
        <w:t>an</w:t>
      </w:r>
      <w:r>
        <w:rPr>
          <w:color w:val="231F20"/>
          <w:spacing w:val="-6"/>
        </w:rPr>
        <w:t xml:space="preserve"> </w:t>
      </w:r>
      <w:r>
        <w:rPr>
          <w:color w:val="231F20"/>
          <w:spacing w:val="-2"/>
        </w:rPr>
        <w:t>often-overlooked</w:t>
      </w:r>
      <w:r>
        <w:rPr>
          <w:color w:val="231F20"/>
          <w:spacing w:val="-6"/>
        </w:rPr>
        <w:t xml:space="preserve"> </w:t>
      </w:r>
      <w:r>
        <w:rPr>
          <w:color w:val="231F20"/>
          <w:spacing w:val="-2"/>
        </w:rPr>
        <w:t>water</w:t>
      </w:r>
      <w:r>
        <w:rPr>
          <w:color w:val="231F20"/>
          <w:spacing w:val="-6"/>
        </w:rPr>
        <w:t xml:space="preserve"> </w:t>
      </w:r>
      <w:r>
        <w:rPr>
          <w:color w:val="231F20"/>
          <w:spacing w:val="-2"/>
        </w:rPr>
        <w:t>savings</w:t>
      </w:r>
      <w:r>
        <w:rPr>
          <w:color w:val="231F20"/>
          <w:spacing w:val="-6"/>
        </w:rPr>
        <w:t xml:space="preserve"> </w:t>
      </w:r>
      <w:r>
        <w:rPr>
          <w:color w:val="231F20"/>
          <w:spacing w:val="-2"/>
        </w:rPr>
        <w:t>opportunity.</w:t>
      </w:r>
    </w:p>
    <w:p w14:paraId="77A2E273" w14:textId="77777777" w:rsidR="00AE0598" w:rsidRDefault="00AE0598">
      <w:pPr>
        <w:pStyle w:val="Corpodetexto"/>
        <w:spacing w:before="9"/>
        <w:rPr>
          <w:sz w:val="22"/>
        </w:rPr>
      </w:pPr>
    </w:p>
    <w:p w14:paraId="3ED64AE4" w14:textId="77777777" w:rsidR="00AE0598" w:rsidRDefault="0069255A">
      <w:pPr>
        <w:ind w:left="223"/>
        <w:rPr>
          <w:rFonts w:ascii="Trebuchet MS"/>
          <w:sz w:val="20"/>
        </w:rPr>
      </w:pPr>
      <w:r>
        <w:rPr>
          <w:rFonts w:ascii="Trebuchet MS"/>
          <w:color w:val="231F20"/>
          <w:w w:val="105"/>
          <w:sz w:val="20"/>
        </w:rPr>
        <w:t>Key</w:t>
      </w:r>
      <w:r>
        <w:rPr>
          <w:rFonts w:ascii="Trebuchet MS"/>
          <w:color w:val="231F20"/>
          <w:spacing w:val="-11"/>
          <w:w w:val="105"/>
          <w:sz w:val="20"/>
        </w:rPr>
        <w:t xml:space="preserve"> </w:t>
      </w:r>
      <w:r>
        <w:rPr>
          <w:rFonts w:ascii="Trebuchet MS"/>
          <w:color w:val="231F20"/>
          <w:spacing w:val="-2"/>
          <w:w w:val="105"/>
          <w:sz w:val="20"/>
        </w:rPr>
        <w:t>Reading</w:t>
      </w:r>
    </w:p>
    <w:p w14:paraId="3E03E312" w14:textId="77777777" w:rsidR="00AE0598" w:rsidRDefault="0069255A">
      <w:pPr>
        <w:spacing w:before="122" w:line="232" w:lineRule="auto"/>
        <w:ind w:left="223" w:right="240"/>
        <w:jc w:val="both"/>
        <w:rPr>
          <w:sz w:val="21"/>
        </w:rPr>
      </w:pPr>
      <w:r>
        <w:rPr>
          <w:color w:val="231F20"/>
          <w:sz w:val="21"/>
        </w:rPr>
        <w:t>Scott,</w:t>
      </w:r>
      <w:r>
        <w:rPr>
          <w:color w:val="231F20"/>
          <w:spacing w:val="-4"/>
          <w:sz w:val="21"/>
        </w:rPr>
        <w:t xml:space="preserve"> </w:t>
      </w:r>
      <w:r>
        <w:rPr>
          <w:color w:val="231F20"/>
          <w:sz w:val="21"/>
        </w:rPr>
        <w:t>D.,</w:t>
      </w:r>
      <w:r>
        <w:rPr>
          <w:color w:val="231F20"/>
          <w:spacing w:val="-4"/>
          <w:sz w:val="21"/>
        </w:rPr>
        <w:t xml:space="preserve"> </w:t>
      </w:r>
      <w:r>
        <w:rPr>
          <w:color w:val="231F20"/>
          <w:sz w:val="21"/>
        </w:rPr>
        <w:t>Rutty,</w:t>
      </w:r>
      <w:r>
        <w:rPr>
          <w:color w:val="231F20"/>
          <w:spacing w:val="-4"/>
          <w:sz w:val="21"/>
        </w:rPr>
        <w:t xml:space="preserve"> </w:t>
      </w:r>
      <w:r>
        <w:rPr>
          <w:color w:val="231F20"/>
          <w:sz w:val="21"/>
        </w:rPr>
        <w:t>M.</w:t>
      </w:r>
      <w:r>
        <w:rPr>
          <w:color w:val="231F20"/>
          <w:spacing w:val="-4"/>
          <w:sz w:val="21"/>
        </w:rPr>
        <w:t xml:space="preserve"> </w:t>
      </w:r>
      <w:r>
        <w:rPr>
          <w:color w:val="231F20"/>
          <w:sz w:val="21"/>
        </w:rPr>
        <w:t>and</w:t>
      </w:r>
      <w:r>
        <w:rPr>
          <w:color w:val="231F20"/>
          <w:spacing w:val="-4"/>
          <w:sz w:val="21"/>
        </w:rPr>
        <w:t xml:space="preserve"> </w:t>
      </w:r>
      <w:r>
        <w:rPr>
          <w:color w:val="231F20"/>
          <w:sz w:val="21"/>
        </w:rPr>
        <w:t>Piester,</w:t>
      </w:r>
      <w:r>
        <w:rPr>
          <w:color w:val="231F20"/>
          <w:spacing w:val="-4"/>
          <w:sz w:val="21"/>
        </w:rPr>
        <w:t xml:space="preserve"> </w:t>
      </w:r>
      <w:r>
        <w:rPr>
          <w:color w:val="231F20"/>
          <w:sz w:val="21"/>
        </w:rPr>
        <w:t>C.</w:t>
      </w:r>
      <w:r>
        <w:rPr>
          <w:color w:val="231F20"/>
          <w:spacing w:val="-4"/>
          <w:sz w:val="21"/>
        </w:rPr>
        <w:t xml:space="preserve"> </w:t>
      </w:r>
      <w:r>
        <w:rPr>
          <w:color w:val="231F20"/>
          <w:sz w:val="21"/>
        </w:rPr>
        <w:t>(2018)</w:t>
      </w:r>
      <w:r>
        <w:rPr>
          <w:color w:val="231F20"/>
          <w:spacing w:val="-4"/>
          <w:sz w:val="21"/>
        </w:rPr>
        <w:t xml:space="preserve"> </w:t>
      </w:r>
      <w:r>
        <w:rPr>
          <w:color w:val="231F20"/>
          <w:sz w:val="21"/>
        </w:rPr>
        <w:t>Climate</w:t>
      </w:r>
      <w:r>
        <w:rPr>
          <w:color w:val="231F20"/>
          <w:spacing w:val="-4"/>
          <w:sz w:val="21"/>
        </w:rPr>
        <w:t xml:space="preserve"> </w:t>
      </w:r>
      <w:r>
        <w:rPr>
          <w:color w:val="231F20"/>
          <w:sz w:val="21"/>
        </w:rPr>
        <w:t>variability</w:t>
      </w:r>
      <w:r>
        <w:rPr>
          <w:color w:val="231F20"/>
          <w:spacing w:val="-4"/>
          <w:sz w:val="21"/>
        </w:rPr>
        <w:t xml:space="preserve"> </w:t>
      </w:r>
      <w:r>
        <w:rPr>
          <w:color w:val="231F20"/>
          <w:sz w:val="21"/>
        </w:rPr>
        <w:t>and</w:t>
      </w:r>
      <w:r>
        <w:rPr>
          <w:color w:val="231F20"/>
          <w:spacing w:val="-4"/>
          <w:sz w:val="21"/>
        </w:rPr>
        <w:t xml:space="preserve"> </w:t>
      </w:r>
      <w:r>
        <w:rPr>
          <w:color w:val="231F20"/>
          <w:sz w:val="21"/>
        </w:rPr>
        <w:t xml:space="preserve">water use in golf tourism: Optimization opportunities for a warmer future. </w:t>
      </w:r>
      <w:r>
        <w:rPr>
          <w:i/>
          <w:color w:val="231F20"/>
          <w:sz w:val="21"/>
        </w:rPr>
        <w:t>Journal of Sustainable Tourism (in press)</w:t>
      </w:r>
      <w:r>
        <w:rPr>
          <w:color w:val="231F20"/>
          <w:sz w:val="21"/>
        </w:rPr>
        <w:t>.</w:t>
      </w:r>
    </w:p>
    <w:p w14:paraId="362B0600" w14:textId="77777777" w:rsidR="00AE0598" w:rsidRDefault="0069255A">
      <w:pPr>
        <w:spacing w:before="4" w:line="232" w:lineRule="auto"/>
        <w:ind w:left="223" w:right="242" w:firstLine="320"/>
        <w:jc w:val="both"/>
        <w:rPr>
          <w:i/>
          <w:sz w:val="21"/>
        </w:rPr>
      </w:pPr>
      <w:r>
        <w:rPr>
          <w:i/>
          <w:color w:val="231F20"/>
          <w:sz w:val="21"/>
        </w:rPr>
        <w:t>Additional references cited in this focus point are included in the reference list.</w:t>
      </w:r>
    </w:p>
    <w:p w14:paraId="2B920D63" w14:textId="77777777" w:rsidR="00AE0598" w:rsidRDefault="00AE0598">
      <w:pPr>
        <w:spacing w:line="232" w:lineRule="auto"/>
        <w:jc w:val="both"/>
        <w:rPr>
          <w:sz w:val="21"/>
        </w:rPr>
        <w:sectPr w:rsidR="00AE0598">
          <w:pgSz w:w="8850" w:h="13270"/>
          <w:pgMar w:top="720" w:right="1060" w:bottom="280" w:left="1080" w:header="720" w:footer="720" w:gutter="0"/>
          <w:cols w:space="720"/>
        </w:sectPr>
      </w:pPr>
    </w:p>
    <w:p w14:paraId="1D184B36" w14:textId="77777777" w:rsidR="00AE0598" w:rsidRDefault="0069255A">
      <w:pPr>
        <w:spacing w:before="87"/>
        <w:ind w:left="3064"/>
        <w:rPr>
          <w:rFonts w:ascii="Trebuchet MS"/>
          <w:sz w:val="14"/>
        </w:rPr>
      </w:pPr>
      <w:r>
        <w:rPr>
          <w:rFonts w:ascii="Trebuchet MS"/>
          <w:color w:val="231F20"/>
          <w:w w:val="105"/>
          <w:sz w:val="14"/>
        </w:rPr>
        <w:lastRenderedPageBreak/>
        <w:t>Environment:</w:t>
      </w:r>
      <w:r>
        <w:rPr>
          <w:rFonts w:ascii="Trebuchet MS"/>
          <w:color w:val="231F20"/>
          <w:spacing w:val="-12"/>
          <w:w w:val="105"/>
          <w:sz w:val="14"/>
        </w:rPr>
        <w:t xml:space="preserve"> </w:t>
      </w:r>
      <w:r>
        <w:rPr>
          <w:rFonts w:ascii="Trebuchet MS"/>
          <w:color w:val="231F20"/>
          <w:w w:val="105"/>
          <w:sz w:val="14"/>
        </w:rPr>
        <w:t>Landscape,</w:t>
      </w:r>
      <w:r>
        <w:rPr>
          <w:rFonts w:ascii="Trebuchet MS"/>
          <w:color w:val="231F20"/>
          <w:spacing w:val="-11"/>
          <w:w w:val="105"/>
          <w:sz w:val="14"/>
        </w:rPr>
        <w:t xml:space="preserve"> </w:t>
      </w:r>
      <w:r>
        <w:rPr>
          <w:rFonts w:ascii="Trebuchet MS"/>
          <w:color w:val="231F20"/>
          <w:w w:val="105"/>
          <w:sz w:val="14"/>
        </w:rPr>
        <w:t>Resources</w:t>
      </w:r>
      <w:r>
        <w:rPr>
          <w:rFonts w:ascii="Trebuchet MS"/>
          <w:color w:val="231F20"/>
          <w:spacing w:val="-11"/>
          <w:w w:val="105"/>
          <w:sz w:val="14"/>
        </w:rPr>
        <w:t xml:space="preserve"> </w:t>
      </w:r>
      <w:r>
        <w:rPr>
          <w:rFonts w:ascii="Trebuchet MS"/>
          <w:color w:val="231F20"/>
          <w:w w:val="105"/>
          <w:sz w:val="14"/>
        </w:rPr>
        <w:t>and</w:t>
      </w:r>
      <w:r>
        <w:rPr>
          <w:rFonts w:ascii="Trebuchet MS"/>
          <w:color w:val="231F20"/>
          <w:spacing w:val="-11"/>
          <w:w w:val="105"/>
          <w:sz w:val="14"/>
        </w:rPr>
        <w:t xml:space="preserve"> </w:t>
      </w:r>
      <w:r>
        <w:rPr>
          <w:rFonts w:ascii="Trebuchet MS"/>
          <w:color w:val="231F20"/>
          <w:w w:val="105"/>
          <w:sz w:val="14"/>
        </w:rPr>
        <w:t>Im</w:t>
      </w:r>
      <w:r>
        <w:rPr>
          <w:rFonts w:ascii="Trebuchet MS"/>
          <w:color w:val="231F20"/>
          <w:w w:val="105"/>
          <w:sz w:val="14"/>
        </w:rPr>
        <w:t>pacts</w:t>
      </w:r>
      <w:r>
        <w:rPr>
          <w:rFonts w:ascii="Trebuchet MS"/>
          <w:color w:val="231F20"/>
          <w:spacing w:val="49"/>
          <w:w w:val="105"/>
          <w:sz w:val="14"/>
        </w:rPr>
        <w:t xml:space="preserve"> </w:t>
      </w:r>
      <w:r>
        <w:rPr>
          <w:rFonts w:ascii="Trebuchet MS"/>
          <w:color w:val="231F20"/>
          <w:spacing w:val="-5"/>
          <w:w w:val="105"/>
          <w:sz w:val="14"/>
        </w:rPr>
        <w:t>135</w:t>
      </w:r>
    </w:p>
    <w:p w14:paraId="480A0B97" w14:textId="77777777" w:rsidR="00AE0598" w:rsidRDefault="00AE0598">
      <w:pPr>
        <w:pStyle w:val="Corpodetexto"/>
        <w:rPr>
          <w:rFonts w:ascii="Trebuchet MS"/>
          <w:sz w:val="16"/>
        </w:rPr>
      </w:pPr>
    </w:p>
    <w:p w14:paraId="446B89CE" w14:textId="77777777" w:rsidR="00AE0598" w:rsidRDefault="0069255A">
      <w:pPr>
        <w:pStyle w:val="Corpodetexto"/>
        <w:spacing w:before="118" w:line="232" w:lineRule="auto"/>
        <w:ind w:left="110" w:right="126" w:firstLine="320"/>
        <w:jc w:val="both"/>
      </w:pPr>
      <w:r>
        <w:rPr>
          <w:color w:val="231F20"/>
          <w:w w:val="95"/>
        </w:rPr>
        <w:t xml:space="preserve">While the popular use of the term ‘landscape’ often implies naturalness, </w:t>
      </w:r>
      <w:r>
        <w:rPr>
          <w:color w:val="231F20"/>
        </w:rPr>
        <w:t>the landscapes of sport are, to varying degrees, cultural landscapes. The term</w:t>
      </w:r>
      <w:r>
        <w:rPr>
          <w:color w:val="231F20"/>
          <w:spacing w:val="-6"/>
        </w:rPr>
        <w:t xml:space="preserve"> </w:t>
      </w:r>
      <w:r>
        <w:rPr>
          <w:color w:val="231F20"/>
        </w:rPr>
        <w:t>‘sportscape’</w:t>
      </w:r>
      <w:r>
        <w:rPr>
          <w:color w:val="231F20"/>
          <w:spacing w:val="-6"/>
        </w:rPr>
        <w:t xml:space="preserve"> </w:t>
      </w:r>
      <w:r>
        <w:rPr>
          <w:color w:val="231F20"/>
        </w:rPr>
        <w:t>is</w:t>
      </w:r>
      <w:r>
        <w:rPr>
          <w:color w:val="231F20"/>
          <w:spacing w:val="-6"/>
        </w:rPr>
        <w:t xml:space="preserve"> </w:t>
      </w:r>
      <w:r>
        <w:rPr>
          <w:color w:val="231F20"/>
        </w:rPr>
        <w:t>used</w:t>
      </w:r>
      <w:r>
        <w:rPr>
          <w:color w:val="231F20"/>
          <w:spacing w:val="-6"/>
        </w:rPr>
        <w:t xml:space="preserve"> </w:t>
      </w:r>
      <w:r>
        <w:rPr>
          <w:color w:val="231F20"/>
        </w:rPr>
        <w:t>in</w:t>
      </w:r>
      <w:r>
        <w:rPr>
          <w:color w:val="231F20"/>
          <w:spacing w:val="-6"/>
        </w:rPr>
        <w:t xml:space="preserve"> </w:t>
      </w:r>
      <w:r>
        <w:rPr>
          <w:color w:val="231F20"/>
        </w:rPr>
        <w:t>the</w:t>
      </w:r>
      <w:r>
        <w:rPr>
          <w:color w:val="231F20"/>
          <w:spacing w:val="-6"/>
        </w:rPr>
        <w:t xml:space="preserve"> </w:t>
      </w:r>
      <w:r>
        <w:rPr>
          <w:color w:val="231F20"/>
        </w:rPr>
        <w:t>geography</w:t>
      </w:r>
      <w:r>
        <w:rPr>
          <w:color w:val="231F20"/>
          <w:spacing w:val="-6"/>
        </w:rPr>
        <w:t xml:space="preserve"> </w:t>
      </w:r>
      <w:r>
        <w:rPr>
          <w:color w:val="231F20"/>
        </w:rPr>
        <w:t>of</w:t>
      </w:r>
      <w:r>
        <w:rPr>
          <w:color w:val="231F20"/>
          <w:spacing w:val="-6"/>
        </w:rPr>
        <w:t xml:space="preserve"> </w:t>
      </w:r>
      <w:r>
        <w:rPr>
          <w:color w:val="231F20"/>
        </w:rPr>
        <w:t>sport</w:t>
      </w:r>
      <w:r>
        <w:rPr>
          <w:color w:val="231F20"/>
          <w:spacing w:val="-6"/>
        </w:rPr>
        <w:t xml:space="preserve"> </w:t>
      </w:r>
      <w:r>
        <w:rPr>
          <w:color w:val="231F20"/>
        </w:rPr>
        <w:t>to</w:t>
      </w:r>
      <w:r>
        <w:rPr>
          <w:color w:val="231F20"/>
          <w:spacing w:val="-6"/>
        </w:rPr>
        <w:t xml:space="preserve"> </w:t>
      </w:r>
      <w:r>
        <w:rPr>
          <w:color w:val="231F20"/>
        </w:rPr>
        <w:t>describe</w:t>
      </w:r>
      <w:r>
        <w:rPr>
          <w:color w:val="231F20"/>
          <w:spacing w:val="-6"/>
        </w:rPr>
        <w:t xml:space="preserve"> </w:t>
      </w:r>
      <w:r>
        <w:rPr>
          <w:color w:val="231F20"/>
        </w:rPr>
        <w:t>the</w:t>
      </w:r>
      <w:r>
        <w:rPr>
          <w:color w:val="231F20"/>
          <w:spacing w:val="-6"/>
        </w:rPr>
        <w:t xml:space="preserve"> </w:t>
      </w:r>
      <w:r>
        <w:rPr>
          <w:color w:val="231F20"/>
        </w:rPr>
        <w:t>highly modified (e.g. modern stadium or arena) and technologised (e.g. video replay</w:t>
      </w:r>
      <w:r>
        <w:rPr>
          <w:color w:val="231F20"/>
          <w:spacing w:val="-2"/>
        </w:rPr>
        <w:t xml:space="preserve"> </w:t>
      </w:r>
      <w:r>
        <w:rPr>
          <w:color w:val="231F20"/>
        </w:rPr>
        <w:t>screens,</w:t>
      </w:r>
      <w:r>
        <w:rPr>
          <w:color w:val="231F20"/>
          <w:spacing w:val="-2"/>
        </w:rPr>
        <w:t xml:space="preserve"> </w:t>
      </w:r>
      <w:r>
        <w:rPr>
          <w:color w:val="231F20"/>
        </w:rPr>
        <w:t>video</w:t>
      </w:r>
      <w:r>
        <w:rPr>
          <w:color w:val="231F20"/>
          <w:spacing w:val="-2"/>
        </w:rPr>
        <w:t xml:space="preserve"> </w:t>
      </w:r>
      <w:r>
        <w:rPr>
          <w:color w:val="231F20"/>
        </w:rPr>
        <w:t>referee</w:t>
      </w:r>
      <w:r>
        <w:rPr>
          <w:color w:val="231F20"/>
          <w:spacing w:val="-2"/>
        </w:rPr>
        <w:t xml:space="preserve"> </w:t>
      </w:r>
      <w:r>
        <w:rPr>
          <w:color w:val="231F20"/>
        </w:rPr>
        <w:t>systems)</w:t>
      </w:r>
      <w:r>
        <w:rPr>
          <w:color w:val="231F20"/>
          <w:spacing w:val="-2"/>
        </w:rPr>
        <w:t xml:space="preserve"> </w:t>
      </w:r>
      <w:r>
        <w:rPr>
          <w:color w:val="231F20"/>
        </w:rPr>
        <w:t>sports</w:t>
      </w:r>
      <w:r>
        <w:rPr>
          <w:color w:val="231F20"/>
          <w:spacing w:val="-2"/>
        </w:rPr>
        <w:t xml:space="preserve"> </w:t>
      </w:r>
      <w:r>
        <w:rPr>
          <w:color w:val="231F20"/>
        </w:rPr>
        <w:t>environment</w:t>
      </w:r>
      <w:r>
        <w:rPr>
          <w:color w:val="231F20"/>
          <w:spacing w:val="-2"/>
        </w:rPr>
        <w:t xml:space="preserve"> </w:t>
      </w:r>
      <w:r>
        <w:rPr>
          <w:color w:val="231F20"/>
        </w:rPr>
        <w:t>(Bale,</w:t>
      </w:r>
      <w:r>
        <w:rPr>
          <w:color w:val="231F20"/>
          <w:spacing w:val="-2"/>
        </w:rPr>
        <w:t xml:space="preserve"> </w:t>
      </w:r>
      <w:r>
        <w:rPr>
          <w:color w:val="231F20"/>
        </w:rPr>
        <w:t>1994). Relph</w:t>
      </w:r>
      <w:r>
        <w:rPr>
          <w:color w:val="231F20"/>
          <w:spacing w:val="-8"/>
        </w:rPr>
        <w:t xml:space="preserve"> </w:t>
      </w:r>
      <w:r>
        <w:rPr>
          <w:color w:val="231F20"/>
        </w:rPr>
        <w:t>(1985:</w:t>
      </w:r>
      <w:r>
        <w:rPr>
          <w:color w:val="231F20"/>
          <w:spacing w:val="-8"/>
        </w:rPr>
        <w:t xml:space="preserve"> </w:t>
      </w:r>
      <w:r>
        <w:rPr>
          <w:color w:val="231F20"/>
        </w:rPr>
        <w:t>23)</w:t>
      </w:r>
      <w:r>
        <w:rPr>
          <w:color w:val="231F20"/>
          <w:spacing w:val="-8"/>
        </w:rPr>
        <w:t xml:space="preserve"> </w:t>
      </w:r>
      <w:r>
        <w:rPr>
          <w:color w:val="231F20"/>
        </w:rPr>
        <w:t>notes</w:t>
      </w:r>
      <w:r>
        <w:rPr>
          <w:color w:val="231F20"/>
          <w:spacing w:val="-8"/>
        </w:rPr>
        <w:t xml:space="preserve"> </w:t>
      </w:r>
      <w:r>
        <w:rPr>
          <w:color w:val="231F20"/>
        </w:rPr>
        <w:t>that</w:t>
      </w:r>
      <w:r>
        <w:rPr>
          <w:color w:val="231F20"/>
          <w:spacing w:val="-8"/>
        </w:rPr>
        <w:t xml:space="preserve"> </w:t>
      </w:r>
      <w:r>
        <w:rPr>
          <w:color w:val="231F20"/>
        </w:rPr>
        <w:t>landscapes</w:t>
      </w:r>
      <w:r>
        <w:rPr>
          <w:color w:val="231F20"/>
          <w:spacing w:val="-8"/>
        </w:rPr>
        <w:t xml:space="preserve"> </w:t>
      </w:r>
      <w:r>
        <w:rPr>
          <w:color w:val="231F20"/>
        </w:rPr>
        <w:t>can</w:t>
      </w:r>
      <w:r>
        <w:rPr>
          <w:color w:val="231F20"/>
          <w:spacing w:val="-8"/>
        </w:rPr>
        <w:t xml:space="preserve"> </w:t>
      </w:r>
      <w:r>
        <w:rPr>
          <w:color w:val="231F20"/>
        </w:rPr>
        <w:t>‘take</w:t>
      </w:r>
      <w:r>
        <w:rPr>
          <w:color w:val="231F20"/>
          <w:spacing w:val="-8"/>
        </w:rPr>
        <w:t xml:space="preserve"> </w:t>
      </w:r>
      <w:r>
        <w:rPr>
          <w:color w:val="231F20"/>
        </w:rPr>
        <w:t>on</w:t>
      </w:r>
      <w:r>
        <w:rPr>
          <w:color w:val="231F20"/>
          <w:spacing w:val="-8"/>
        </w:rPr>
        <w:t xml:space="preserve"> </w:t>
      </w:r>
      <w:r>
        <w:rPr>
          <w:color w:val="231F20"/>
        </w:rPr>
        <w:t>the</w:t>
      </w:r>
      <w:r>
        <w:rPr>
          <w:color w:val="231F20"/>
          <w:spacing w:val="-8"/>
        </w:rPr>
        <w:t xml:space="preserve"> </w:t>
      </w:r>
      <w:r>
        <w:rPr>
          <w:color w:val="231F20"/>
        </w:rPr>
        <w:t>very</w:t>
      </w:r>
      <w:r>
        <w:rPr>
          <w:color w:val="231F20"/>
          <w:spacing w:val="-8"/>
        </w:rPr>
        <w:t xml:space="preserve"> </w:t>
      </w:r>
      <w:r>
        <w:rPr>
          <w:color w:val="231F20"/>
        </w:rPr>
        <w:t>character</w:t>
      </w:r>
      <w:r>
        <w:rPr>
          <w:color w:val="231F20"/>
          <w:spacing w:val="-8"/>
        </w:rPr>
        <w:t xml:space="preserve"> </w:t>
      </w:r>
      <w:r>
        <w:rPr>
          <w:color w:val="231F20"/>
        </w:rPr>
        <w:t>of human existence. They can be full</w:t>
      </w:r>
      <w:r>
        <w:rPr>
          <w:color w:val="231F20"/>
        </w:rPr>
        <w:t xml:space="preserve"> of life, deathly dull, exhilarating, sad, joyful or pleasant’. This observation certainly applies to the landscapes of sport. The manner in which the landscapes of sport are developed,</w:t>
      </w:r>
      <w:r>
        <w:rPr>
          <w:color w:val="231F20"/>
          <w:spacing w:val="40"/>
        </w:rPr>
        <w:t xml:space="preserve"> </w:t>
      </w:r>
      <w:r>
        <w:rPr>
          <w:color w:val="231F20"/>
        </w:rPr>
        <w:t>the</w:t>
      </w:r>
      <w:r>
        <w:rPr>
          <w:color w:val="231F20"/>
          <w:spacing w:val="-10"/>
        </w:rPr>
        <w:t xml:space="preserve"> </w:t>
      </w:r>
      <w:r>
        <w:rPr>
          <w:color w:val="231F20"/>
        </w:rPr>
        <w:t>levels</w:t>
      </w:r>
      <w:r>
        <w:rPr>
          <w:color w:val="231F20"/>
          <w:spacing w:val="-10"/>
        </w:rPr>
        <w:t xml:space="preserve"> </w:t>
      </w:r>
      <w:r>
        <w:rPr>
          <w:color w:val="231F20"/>
        </w:rPr>
        <w:t>or</w:t>
      </w:r>
      <w:r>
        <w:rPr>
          <w:color w:val="231F20"/>
          <w:spacing w:val="-11"/>
        </w:rPr>
        <w:t xml:space="preserve"> </w:t>
      </w:r>
      <w:r>
        <w:rPr>
          <w:color w:val="231F20"/>
        </w:rPr>
        <w:t>forms</w:t>
      </w:r>
      <w:r>
        <w:rPr>
          <w:color w:val="231F20"/>
          <w:spacing w:val="-10"/>
        </w:rPr>
        <w:t xml:space="preserve"> </w:t>
      </w:r>
      <w:r>
        <w:rPr>
          <w:color w:val="231F20"/>
        </w:rPr>
        <w:t>of</w:t>
      </w:r>
      <w:r>
        <w:rPr>
          <w:color w:val="231F20"/>
          <w:spacing w:val="-11"/>
        </w:rPr>
        <w:t xml:space="preserve"> </w:t>
      </w:r>
      <w:r>
        <w:rPr>
          <w:color w:val="231F20"/>
        </w:rPr>
        <w:t>engagement</w:t>
      </w:r>
      <w:r>
        <w:rPr>
          <w:color w:val="231F20"/>
          <w:spacing w:val="-11"/>
        </w:rPr>
        <w:t xml:space="preserve"> </w:t>
      </w:r>
      <w:r>
        <w:rPr>
          <w:color w:val="231F20"/>
        </w:rPr>
        <w:t>and</w:t>
      </w:r>
      <w:r>
        <w:rPr>
          <w:color w:val="231F20"/>
          <w:spacing w:val="-10"/>
        </w:rPr>
        <w:t xml:space="preserve"> </w:t>
      </w:r>
      <w:r>
        <w:rPr>
          <w:color w:val="231F20"/>
        </w:rPr>
        <w:t>the</w:t>
      </w:r>
      <w:r>
        <w:rPr>
          <w:color w:val="231F20"/>
          <w:spacing w:val="-10"/>
        </w:rPr>
        <w:t xml:space="preserve"> </w:t>
      </w:r>
      <w:r>
        <w:rPr>
          <w:color w:val="231F20"/>
        </w:rPr>
        <w:t>impacts</w:t>
      </w:r>
      <w:r>
        <w:rPr>
          <w:color w:val="231F20"/>
          <w:spacing w:val="-10"/>
        </w:rPr>
        <w:t xml:space="preserve"> </w:t>
      </w:r>
      <w:r>
        <w:rPr>
          <w:color w:val="231F20"/>
        </w:rPr>
        <w:t>arising</w:t>
      </w:r>
      <w:r>
        <w:rPr>
          <w:color w:val="231F20"/>
          <w:spacing w:val="-10"/>
        </w:rPr>
        <w:t xml:space="preserve"> </w:t>
      </w:r>
      <w:r>
        <w:rPr>
          <w:color w:val="231F20"/>
        </w:rPr>
        <w:t>from</w:t>
      </w:r>
      <w:r>
        <w:rPr>
          <w:color w:val="231F20"/>
          <w:spacing w:val="-11"/>
        </w:rPr>
        <w:t xml:space="preserve"> </w:t>
      </w:r>
      <w:r>
        <w:rPr>
          <w:color w:val="231F20"/>
        </w:rPr>
        <w:t>the</w:t>
      </w:r>
      <w:r>
        <w:rPr>
          <w:color w:val="231F20"/>
          <w:spacing w:val="-10"/>
        </w:rPr>
        <w:t xml:space="preserve"> </w:t>
      </w:r>
      <w:r>
        <w:rPr>
          <w:color w:val="231F20"/>
        </w:rPr>
        <w:t>use</w:t>
      </w:r>
      <w:r>
        <w:rPr>
          <w:color w:val="231F20"/>
          <w:spacing w:val="-10"/>
        </w:rPr>
        <w:t xml:space="preserve"> </w:t>
      </w:r>
      <w:r>
        <w:rPr>
          <w:color w:val="231F20"/>
        </w:rPr>
        <w:t>of those landscapes are important to the sustainable development of sport and tourism.</w:t>
      </w:r>
    </w:p>
    <w:p w14:paraId="6C927787" w14:textId="77777777" w:rsidR="00AE0598" w:rsidRDefault="00AE0598">
      <w:pPr>
        <w:pStyle w:val="Corpodetexto"/>
        <w:spacing w:before="2"/>
        <w:rPr>
          <w:sz w:val="22"/>
        </w:rPr>
      </w:pPr>
    </w:p>
    <w:p w14:paraId="4A007220" w14:textId="77777777" w:rsidR="00AE0598" w:rsidRDefault="0069255A">
      <w:pPr>
        <w:ind w:left="110"/>
        <w:rPr>
          <w:rFonts w:ascii="Trebuchet MS"/>
          <w:b/>
          <w:sz w:val="20"/>
        </w:rPr>
      </w:pPr>
      <w:r>
        <w:rPr>
          <w:rFonts w:ascii="Trebuchet MS"/>
          <w:b/>
          <w:color w:val="231F20"/>
          <w:sz w:val="20"/>
        </w:rPr>
        <w:t>The</w:t>
      </w:r>
      <w:r>
        <w:rPr>
          <w:rFonts w:ascii="Trebuchet MS"/>
          <w:b/>
          <w:color w:val="231F20"/>
          <w:spacing w:val="-1"/>
          <w:sz w:val="20"/>
        </w:rPr>
        <w:t xml:space="preserve"> </w:t>
      </w:r>
      <w:r>
        <w:rPr>
          <w:rFonts w:ascii="Trebuchet MS"/>
          <w:b/>
          <w:color w:val="231F20"/>
          <w:sz w:val="20"/>
        </w:rPr>
        <w:t xml:space="preserve">Landscapes of </w:t>
      </w:r>
      <w:r>
        <w:rPr>
          <w:rFonts w:ascii="Trebuchet MS"/>
          <w:b/>
          <w:color w:val="231F20"/>
          <w:spacing w:val="-4"/>
          <w:sz w:val="20"/>
        </w:rPr>
        <w:t>Sport</w:t>
      </w:r>
    </w:p>
    <w:p w14:paraId="0E2707AD" w14:textId="77777777" w:rsidR="00AE0598" w:rsidRDefault="0069255A">
      <w:pPr>
        <w:pStyle w:val="Corpodetexto"/>
        <w:spacing w:before="122" w:line="232" w:lineRule="auto"/>
        <w:ind w:left="110" w:right="127" w:firstLine="320"/>
        <w:jc w:val="both"/>
      </w:pPr>
      <w:r>
        <w:rPr>
          <w:color w:val="231F20"/>
          <w:w w:val="95"/>
        </w:rPr>
        <w:t xml:space="preserve">The values and interpretations associated with the landscape are highly subjective (Tuan, 1977). Sportscapes are no exception. Bale (1994) applies </w:t>
      </w:r>
      <w:r>
        <w:rPr>
          <w:color w:val="231F20"/>
        </w:rPr>
        <w:t>Meinig’s</w:t>
      </w:r>
      <w:r>
        <w:rPr>
          <w:color w:val="231F20"/>
          <w:spacing w:val="-9"/>
        </w:rPr>
        <w:t xml:space="preserve"> </w:t>
      </w:r>
      <w:r>
        <w:rPr>
          <w:color w:val="231F20"/>
        </w:rPr>
        <w:t>(1979)</w:t>
      </w:r>
      <w:r>
        <w:rPr>
          <w:color w:val="231F20"/>
          <w:spacing w:val="-9"/>
        </w:rPr>
        <w:t xml:space="preserve"> </w:t>
      </w:r>
      <w:r>
        <w:rPr>
          <w:color w:val="231F20"/>
        </w:rPr>
        <w:t>‘ten</w:t>
      </w:r>
      <w:r>
        <w:rPr>
          <w:color w:val="231F20"/>
          <w:spacing w:val="-9"/>
        </w:rPr>
        <w:t xml:space="preserve"> </w:t>
      </w:r>
      <w:r>
        <w:rPr>
          <w:color w:val="231F20"/>
        </w:rPr>
        <w:t>versions</w:t>
      </w:r>
      <w:r>
        <w:rPr>
          <w:color w:val="231F20"/>
          <w:spacing w:val="-9"/>
        </w:rPr>
        <w:t xml:space="preserve"> </w:t>
      </w:r>
      <w:r>
        <w:rPr>
          <w:color w:val="231F20"/>
        </w:rPr>
        <w:t>of</w:t>
      </w:r>
      <w:r>
        <w:rPr>
          <w:color w:val="231F20"/>
          <w:spacing w:val="-9"/>
        </w:rPr>
        <w:t xml:space="preserve"> </w:t>
      </w:r>
      <w:r>
        <w:rPr>
          <w:color w:val="231F20"/>
        </w:rPr>
        <w:t>the</w:t>
      </w:r>
      <w:r>
        <w:rPr>
          <w:color w:val="231F20"/>
          <w:spacing w:val="-9"/>
        </w:rPr>
        <w:t xml:space="preserve"> </w:t>
      </w:r>
      <w:r>
        <w:rPr>
          <w:color w:val="231F20"/>
        </w:rPr>
        <w:t>same</w:t>
      </w:r>
      <w:r>
        <w:rPr>
          <w:color w:val="231F20"/>
          <w:spacing w:val="-9"/>
        </w:rPr>
        <w:t xml:space="preserve"> </w:t>
      </w:r>
      <w:r>
        <w:rPr>
          <w:color w:val="231F20"/>
        </w:rPr>
        <w:t>scene’</w:t>
      </w:r>
      <w:r>
        <w:rPr>
          <w:color w:val="231F20"/>
          <w:spacing w:val="-9"/>
        </w:rPr>
        <w:t xml:space="preserve"> </w:t>
      </w:r>
      <w:r>
        <w:rPr>
          <w:color w:val="231F20"/>
        </w:rPr>
        <w:t>to</w:t>
      </w:r>
      <w:r>
        <w:rPr>
          <w:color w:val="231F20"/>
          <w:spacing w:val="-9"/>
        </w:rPr>
        <w:t xml:space="preserve"> </w:t>
      </w:r>
      <w:r>
        <w:rPr>
          <w:color w:val="231F20"/>
        </w:rPr>
        <w:t>the</w:t>
      </w:r>
      <w:r>
        <w:rPr>
          <w:color w:val="231F20"/>
          <w:spacing w:val="-9"/>
        </w:rPr>
        <w:t xml:space="preserve"> </w:t>
      </w:r>
      <w:r>
        <w:rPr>
          <w:color w:val="231F20"/>
        </w:rPr>
        <w:t>landscape</w:t>
      </w:r>
      <w:r>
        <w:rPr>
          <w:color w:val="231F20"/>
          <w:spacing w:val="-9"/>
        </w:rPr>
        <w:t xml:space="preserve"> </w:t>
      </w:r>
      <w:r>
        <w:rPr>
          <w:color w:val="231F20"/>
        </w:rPr>
        <w:t>of</w:t>
      </w:r>
      <w:r>
        <w:rPr>
          <w:color w:val="231F20"/>
          <w:spacing w:val="-9"/>
        </w:rPr>
        <w:t xml:space="preserve"> </w:t>
      </w:r>
      <w:r>
        <w:rPr>
          <w:color w:val="231F20"/>
        </w:rPr>
        <w:t>sport in an exercise that is relevant to</w:t>
      </w:r>
      <w:r>
        <w:rPr>
          <w:color w:val="231F20"/>
        </w:rPr>
        <w:t xml:space="preserve"> the study of sport tourism (Table 7.1). </w:t>
      </w:r>
      <w:r>
        <w:rPr>
          <w:color w:val="231F20"/>
          <w:w w:val="95"/>
        </w:rPr>
        <w:t xml:space="preserve">These ‘versions’ are important in understanding the resources and impacts </w:t>
      </w:r>
      <w:r>
        <w:rPr>
          <w:color w:val="231F20"/>
        </w:rPr>
        <w:t xml:space="preserve">of sport tourism. The development of resources and infrastructures for </w:t>
      </w:r>
      <w:r>
        <w:rPr>
          <w:color w:val="231F20"/>
          <w:w w:val="95"/>
        </w:rPr>
        <w:t>sport tourism should take place with consideration given to the values</w:t>
      </w:r>
      <w:r>
        <w:rPr>
          <w:color w:val="231F20"/>
          <w:w w:val="95"/>
        </w:rPr>
        <w:t xml:space="preserve"> and interpretations of landscapes that are outlined and explained in Table 7.1.</w:t>
      </w:r>
    </w:p>
    <w:p w14:paraId="0A5E275B" w14:textId="77777777" w:rsidR="00AE0598" w:rsidRDefault="00AE0598">
      <w:pPr>
        <w:pStyle w:val="Corpodetexto"/>
        <w:spacing w:before="9"/>
      </w:pPr>
    </w:p>
    <w:p w14:paraId="591887AD" w14:textId="77777777" w:rsidR="00AE0598" w:rsidRDefault="0069255A">
      <w:pPr>
        <w:ind w:left="110"/>
        <w:rPr>
          <w:rFonts w:ascii="Trebuchet MS"/>
          <w:sz w:val="20"/>
        </w:rPr>
      </w:pPr>
      <w:r>
        <w:rPr>
          <w:rFonts w:ascii="Trebuchet MS"/>
          <w:color w:val="231F20"/>
          <w:w w:val="105"/>
          <w:sz w:val="20"/>
        </w:rPr>
        <w:t>The</w:t>
      </w:r>
      <w:r>
        <w:rPr>
          <w:rFonts w:ascii="Trebuchet MS"/>
          <w:color w:val="231F20"/>
          <w:spacing w:val="-12"/>
          <w:w w:val="105"/>
          <w:sz w:val="20"/>
        </w:rPr>
        <w:t xml:space="preserve"> </w:t>
      </w:r>
      <w:r>
        <w:rPr>
          <w:rFonts w:ascii="Trebuchet MS"/>
          <w:color w:val="231F20"/>
          <w:w w:val="105"/>
          <w:sz w:val="20"/>
        </w:rPr>
        <w:t>resource</w:t>
      </w:r>
      <w:r>
        <w:rPr>
          <w:rFonts w:ascii="Trebuchet MS"/>
          <w:color w:val="231F20"/>
          <w:spacing w:val="-11"/>
          <w:w w:val="105"/>
          <w:sz w:val="20"/>
        </w:rPr>
        <w:t xml:space="preserve"> </w:t>
      </w:r>
      <w:r>
        <w:rPr>
          <w:rFonts w:ascii="Trebuchet MS"/>
          <w:color w:val="231F20"/>
          <w:w w:val="105"/>
          <w:sz w:val="20"/>
        </w:rPr>
        <w:t>base</w:t>
      </w:r>
      <w:r>
        <w:rPr>
          <w:rFonts w:ascii="Trebuchet MS"/>
          <w:color w:val="231F20"/>
          <w:spacing w:val="-11"/>
          <w:w w:val="105"/>
          <w:sz w:val="20"/>
        </w:rPr>
        <w:t xml:space="preserve"> </w:t>
      </w:r>
      <w:r>
        <w:rPr>
          <w:rFonts w:ascii="Trebuchet MS"/>
          <w:color w:val="231F20"/>
          <w:w w:val="105"/>
          <w:sz w:val="20"/>
        </w:rPr>
        <w:t>for</w:t>
      </w:r>
      <w:r>
        <w:rPr>
          <w:rFonts w:ascii="Trebuchet MS"/>
          <w:color w:val="231F20"/>
          <w:spacing w:val="-11"/>
          <w:w w:val="105"/>
          <w:sz w:val="20"/>
        </w:rPr>
        <w:t xml:space="preserve"> </w:t>
      </w:r>
      <w:r>
        <w:rPr>
          <w:rFonts w:ascii="Trebuchet MS"/>
          <w:color w:val="231F20"/>
          <w:w w:val="105"/>
          <w:sz w:val="20"/>
        </w:rPr>
        <w:t>sport</w:t>
      </w:r>
      <w:r>
        <w:rPr>
          <w:rFonts w:ascii="Trebuchet MS"/>
          <w:color w:val="231F20"/>
          <w:spacing w:val="-11"/>
          <w:w w:val="105"/>
          <w:sz w:val="20"/>
        </w:rPr>
        <w:t xml:space="preserve"> </w:t>
      </w:r>
      <w:r>
        <w:rPr>
          <w:rFonts w:ascii="Trebuchet MS"/>
          <w:color w:val="231F20"/>
          <w:spacing w:val="-2"/>
          <w:w w:val="105"/>
          <w:sz w:val="20"/>
        </w:rPr>
        <w:t>tourism</w:t>
      </w:r>
    </w:p>
    <w:p w14:paraId="1D19EBD7" w14:textId="77777777" w:rsidR="00AE0598" w:rsidRDefault="0069255A">
      <w:pPr>
        <w:pStyle w:val="Corpodetexto"/>
        <w:spacing w:before="122" w:line="232" w:lineRule="auto"/>
        <w:ind w:left="110" w:right="127" w:firstLine="320"/>
        <w:jc w:val="both"/>
      </w:pPr>
      <w:r>
        <w:rPr>
          <w:color w:val="231F20"/>
        </w:rPr>
        <w:t>The potential for sport tourism development at a destination is determined by the existence of requisite sport and tourism resources and i</w:t>
      </w:r>
      <w:r>
        <w:rPr>
          <w:color w:val="231F20"/>
        </w:rPr>
        <w:t>nfrastructures. A sport tourism resource analysis may include natural environments, constructed sports facilities, tourism transport and infrastructure and information services. These need to be provided in the required balance and combination, or develope</w:t>
      </w:r>
      <w:r>
        <w:rPr>
          <w:color w:val="231F20"/>
        </w:rPr>
        <w:t xml:space="preserve">d in a planned and </w:t>
      </w:r>
      <w:r>
        <w:rPr>
          <w:color w:val="231F20"/>
          <w:w w:val="95"/>
        </w:rPr>
        <w:t>coordinated</w:t>
      </w:r>
      <w:r>
        <w:rPr>
          <w:color w:val="231F20"/>
          <w:spacing w:val="-3"/>
          <w:w w:val="95"/>
        </w:rPr>
        <w:t xml:space="preserve"> </w:t>
      </w:r>
      <w:r>
        <w:rPr>
          <w:color w:val="231F20"/>
          <w:w w:val="95"/>
        </w:rPr>
        <w:t>way</w:t>
      </w:r>
      <w:r>
        <w:rPr>
          <w:color w:val="231F20"/>
          <w:spacing w:val="-3"/>
          <w:w w:val="95"/>
        </w:rPr>
        <w:t xml:space="preserve"> </w:t>
      </w:r>
      <w:r>
        <w:rPr>
          <w:color w:val="231F20"/>
          <w:w w:val="95"/>
        </w:rPr>
        <w:t>as</w:t>
      </w:r>
      <w:r>
        <w:rPr>
          <w:color w:val="231F20"/>
          <w:spacing w:val="-3"/>
          <w:w w:val="95"/>
        </w:rPr>
        <w:t xml:space="preserve"> </w:t>
      </w:r>
      <w:r>
        <w:rPr>
          <w:color w:val="231F20"/>
          <w:w w:val="95"/>
        </w:rPr>
        <w:t>determined</w:t>
      </w:r>
      <w:r>
        <w:rPr>
          <w:color w:val="231F20"/>
          <w:spacing w:val="-3"/>
          <w:w w:val="95"/>
        </w:rPr>
        <w:t xml:space="preserve"> </w:t>
      </w:r>
      <w:r>
        <w:rPr>
          <w:color w:val="231F20"/>
          <w:w w:val="95"/>
        </w:rPr>
        <w:t>by</w:t>
      </w:r>
      <w:r>
        <w:rPr>
          <w:color w:val="231F20"/>
          <w:spacing w:val="-3"/>
          <w:w w:val="95"/>
        </w:rPr>
        <w:t xml:space="preserve"> </w:t>
      </w:r>
      <w:r>
        <w:rPr>
          <w:color w:val="231F20"/>
          <w:w w:val="95"/>
        </w:rPr>
        <w:t>the</w:t>
      </w:r>
      <w:r>
        <w:rPr>
          <w:color w:val="231F20"/>
          <w:spacing w:val="-3"/>
          <w:w w:val="95"/>
        </w:rPr>
        <w:t xml:space="preserve"> </w:t>
      </w:r>
      <w:r>
        <w:rPr>
          <w:color w:val="231F20"/>
          <w:w w:val="95"/>
        </w:rPr>
        <w:t>development</w:t>
      </w:r>
      <w:r>
        <w:rPr>
          <w:color w:val="231F20"/>
          <w:spacing w:val="-3"/>
          <w:w w:val="95"/>
        </w:rPr>
        <w:t xml:space="preserve"> </w:t>
      </w:r>
      <w:r>
        <w:rPr>
          <w:color w:val="231F20"/>
          <w:w w:val="95"/>
        </w:rPr>
        <w:t>goals</w:t>
      </w:r>
      <w:r>
        <w:rPr>
          <w:color w:val="231F20"/>
          <w:spacing w:val="-3"/>
          <w:w w:val="95"/>
        </w:rPr>
        <w:t xml:space="preserve"> </w:t>
      </w:r>
      <w:r>
        <w:rPr>
          <w:color w:val="231F20"/>
          <w:w w:val="95"/>
        </w:rPr>
        <w:t>of</w:t>
      </w:r>
      <w:r>
        <w:rPr>
          <w:color w:val="231F20"/>
          <w:spacing w:val="-3"/>
          <w:w w:val="95"/>
        </w:rPr>
        <w:t xml:space="preserve"> </w:t>
      </w:r>
      <w:r>
        <w:rPr>
          <w:color w:val="231F20"/>
          <w:w w:val="95"/>
        </w:rPr>
        <w:t>the</w:t>
      </w:r>
      <w:r>
        <w:rPr>
          <w:color w:val="231F20"/>
          <w:spacing w:val="-3"/>
          <w:w w:val="95"/>
        </w:rPr>
        <w:t xml:space="preserve"> </w:t>
      </w:r>
      <w:r>
        <w:rPr>
          <w:color w:val="231F20"/>
          <w:w w:val="95"/>
        </w:rPr>
        <w:t xml:space="preserve">destination </w:t>
      </w:r>
      <w:r>
        <w:rPr>
          <w:color w:val="231F20"/>
        </w:rPr>
        <w:t>(Maier &amp; Weber, 1993). The importance of coordinated planning and development arises from the considerable overlap that exists between the resource requirements for sport and those for tourism (Standeven</w:t>
      </w:r>
      <w:r>
        <w:rPr>
          <w:color w:val="231F20"/>
          <w:spacing w:val="80"/>
        </w:rPr>
        <w:t xml:space="preserve"> </w:t>
      </w:r>
      <w:r>
        <w:rPr>
          <w:color w:val="231F20"/>
        </w:rPr>
        <w:t>&amp; De Knop, 1999). Domestic and international airline</w:t>
      </w:r>
      <w:r>
        <w:rPr>
          <w:color w:val="231F20"/>
        </w:rPr>
        <w:t xml:space="preserve"> services are used by travelling sports teams and leisure travellers for the same purpose, whereas</w:t>
      </w:r>
      <w:r>
        <w:rPr>
          <w:color w:val="231F20"/>
          <w:spacing w:val="-10"/>
        </w:rPr>
        <w:t xml:space="preserve"> </w:t>
      </w:r>
      <w:r>
        <w:rPr>
          <w:color w:val="231F20"/>
        </w:rPr>
        <w:t>both</w:t>
      </w:r>
      <w:r>
        <w:rPr>
          <w:color w:val="231F20"/>
          <w:spacing w:val="-10"/>
        </w:rPr>
        <w:t xml:space="preserve"> </w:t>
      </w:r>
      <w:r>
        <w:rPr>
          <w:color w:val="231F20"/>
        </w:rPr>
        <w:t>use</w:t>
      </w:r>
      <w:r>
        <w:rPr>
          <w:color w:val="231F20"/>
          <w:spacing w:val="-10"/>
        </w:rPr>
        <w:t xml:space="preserve"> </w:t>
      </w:r>
      <w:r>
        <w:rPr>
          <w:color w:val="231F20"/>
        </w:rPr>
        <w:t>stadiums,</w:t>
      </w:r>
      <w:r>
        <w:rPr>
          <w:color w:val="231F20"/>
          <w:spacing w:val="-10"/>
        </w:rPr>
        <w:t xml:space="preserve"> </w:t>
      </w:r>
      <w:r>
        <w:rPr>
          <w:color w:val="231F20"/>
        </w:rPr>
        <w:t>albeit</w:t>
      </w:r>
      <w:r>
        <w:rPr>
          <w:color w:val="231F20"/>
          <w:spacing w:val="-10"/>
        </w:rPr>
        <w:t xml:space="preserve"> </w:t>
      </w:r>
      <w:r>
        <w:rPr>
          <w:color w:val="231F20"/>
        </w:rPr>
        <w:t>for</w:t>
      </w:r>
      <w:r>
        <w:rPr>
          <w:color w:val="231F20"/>
          <w:spacing w:val="-10"/>
        </w:rPr>
        <w:t xml:space="preserve"> </w:t>
      </w:r>
      <w:r>
        <w:rPr>
          <w:color w:val="231F20"/>
        </w:rPr>
        <w:t>different</w:t>
      </w:r>
      <w:r>
        <w:rPr>
          <w:color w:val="231F20"/>
          <w:spacing w:val="-10"/>
        </w:rPr>
        <w:t xml:space="preserve"> </w:t>
      </w:r>
      <w:r>
        <w:rPr>
          <w:color w:val="231F20"/>
        </w:rPr>
        <w:t>reasons</w:t>
      </w:r>
      <w:r>
        <w:rPr>
          <w:color w:val="231F20"/>
          <w:spacing w:val="-10"/>
        </w:rPr>
        <w:t xml:space="preserve"> </w:t>
      </w:r>
      <w:r>
        <w:rPr>
          <w:color w:val="231F20"/>
        </w:rPr>
        <w:t>(competition</w:t>
      </w:r>
      <w:r>
        <w:rPr>
          <w:color w:val="231F20"/>
          <w:spacing w:val="-10"/>
        </w:rPr>
        <w:t xml:space="preserve"> </w:t>
      </w:r>
      <w:r>
        <w:rPr>
          <w:color w:val="231F20"/>
        </w:rPr>
        <w:t>and spectatorship,</w:t>
      </w:r>
      <w:r>
        <w:rPr>
          <w:color w:val="231F20"/>
          <w:spacing w:val="-10"/>
        </w:rPr>
        <w:t xml:space="preserve"> </w:t>
      </w:r>
      <w:r>
        <w:rPr>
          <w:color w:val="231F20"/>
        </w:rPr>
        <w:t>respectively).</w:t>
      </w:r>
      <w:r>
        <w:rPr>
          <w:color w:val="231F20"/>
          <w:spacing w:val="-10"/>
        </w:rPr>
        <w:t xml:space="preserve"> </w:t>
      </w:r>
      <w:r>
        <w:rPr>
          <w:color w:val="231F20"/>
        </w:rPr>
        <w:t>The</w:t>
      </w:r>
      <w:r>
        <w:rPr>
          <w:color w:val="231F20"/>
          <w:spacing w:val="-10"/>
        </w:rPr>
        <w:t xml:space="preserve"> </w:t>
      </w:r>
      <w:r>
        <w:rPr>
          <w:color w:val="231F20"/>
        </w:rPr>
        <w:t>existence</w:t>
      </w:r>
      <w:r>
        <w:rPr>
          <w:color w:val="231F20"/>
          <w:spacing w:val="-10"/>
        </w:rPr>
        <w:t xml:space="preserve"> </w:t>
      </w:r>
      <w:r>
        <w:rPr>
          <w:color w:val="231F20"/>
        </w:rPr>
        <w:t>or</w:t>
      </w:r>
      <w:r>
        <w:rPr>
          <w:color w:val="231F20"/>
          <w:spacing w:val="-10"/>
        </w:rPr>
        <w:t xml:space="preserve"> </w:t>
      </w:r>
      <w:r>
        <w:rPr>
          <w:color w:val="231F20"/>
        </w:rPr>
        <w:t>systematic</w:t>
      </w:r>
      <w:r>
        <w:rPr>
          <w:color w:val="231F20"/>
          <w:spacing w:val="-10"/>
        </w:rPr>
        <w:t xml:space="preserve"> </w:t>
      </w:r>
      <w:r>
        <w:rPr>
          <w:color w:val="231F20"/>
        </w:rPr>
        <w:t>development</w:t>
      </w:r>
      <w:r>
        <w:rPr>
          <w:color w:val="231F20"/>
          <w:spacing w:val="-10"/>
        </w:rPr>
        <w:t xml:space="preserve"> </w:t>
      </w:r>
      <w:r>
        <w:rPr>
          <w:color w:val="231F20"/>
        </w:rPr>
        <w:t>of sport</w:t>
      </w:r>
      <w:r>
        <w:rPr>
          <w:color w:val="231F20"/>
          <w:spacing w:val="-8"/>
        </w:rPr>
        <w:t xml:space="preserve"> </w:t>
      </w:r>
      <w:r>
        <w:rPr>
          <w:color w:val="231F20"/>
        </w:rPr>
        <w:t>and</w:t>
      </w:r>
      <w:r>
        <w:rPr>
          <w:color w:val="231F20"/>
          <w:spacing w:val="-8"/>
        </w:rPr>
        <w:t xml:space="preserve"> </w:t>
      </w:r>
      <w:r>
        <w:rPr>
          <w:color w:val="231F20"/>
        </w:rPr>
        <w:t>tourism</w:t>
      </w:r>
      <w:r>
        <w:rPr>
          <w:color w:val="231F20"/>
          <w:spacing w:val="-8"/>
        </w:rPr>
        <w:t xml:space="preserve"> </w:t>
      </w:r>
      <w:r>
        <w:rPr>
          <w:color w:val="231F20"/>
        </w:rPr>
        <w:t>i</w:t>
      </w:r>
      <w:r>
        <w:rPr>
          <w:color w:val="231F20"/>
        </w:rPr>
        <w:t>nfrastructures</w:t>
      </w:r>
      <w:r>
        <w:rPr>
          <w:color w:val="231F20"/>
          <w:spacing w:val="-8"/>
        </w:rPr>
        <w:t xml:space="preserve"> </w:t>
      </w:r>
      <w:r>
        <w:rPr>
          <w:color w:val="231F20"/>
        </w:rPr>
        <w:t>is</w:t>
      </w:r>
      <w:r>
        <w:rPr>
          <w:color w:val="231F20"/>
          <w:spacing w:val="-8"/>
        </w:rPr>
        <w:t xml:space="preserve"> </w:t>
      </w:r>
      <w:r>
        <w:rPr>
          <w:color w:val="231F20"/>
        </w:rPr>
        <w:t>required</w:t>
      </w:r>
      <w:r>
        <w:rPr>
          <w:color w:val="231F20"/>
          <w:spacing w:val="-8"/>
        </w:rPr>
        <w:t xml:space="preserve"> </w:t>
      </w:r>
      <w:r>
        <w:rPr>
          <w:color w:val="231F20"/>
        </w:rPr>
        <w:t>for</w:t>
      </w:r>
      <w:r>
        <w:rPr>
          <w:color w:val="231F20"/>
          <w:spacing w:val="-8"/>
        </w:rPr>
        <w:t xml:space="preserve"> </w:t>
      </w:r>
      <w:r>
        <w:rPr>
          <w:color w:val="231F20"/>
        </w:rPr>
        <w:t>any</w:t>
      </w:r>
      <w:r>
        <w:rPr>
          <w:color w:val="231F20"/>
          <w:spacing w:val="-8"/>
        </w:rPr>
        <w:t xml:space="preserve"> </w:t>
      </w:r>
      <w:r>
        <w:rPr>
          <w:color w:val="231F20"/>
        </w:rPr>
        <w:t>location</w:t>
      </w:r>
      <w:r>
        <w:rPr>
          <w:color w:val="231F20"/>
          <w:spacing w:val="-8"/>
        </w:rPr>
        <w:t xml:space="preserve"> </w:t>
      </w:r>
      <w:r>
        <w:rPr>
          <w:color w:val="231F20"/>
        </w:rPr>
        <w:t>to</w:t>
      </w:r>
      <w:r>
        <w:rPr>
          <w:color w:val="231F20"/>
          <w:spacing w:val="-8"/>
        </w:rPr>
        <w:t xml:space="preserve"> </w:t>
      </w:r>
      <w:r>
        <w:rPr>
          <w:color w:val="231F20"/>
        </w:rPr>
        <w:t>function as a sport tourism destination (Table 7.2).</w:t>
      </w:r>
    </w:p>
    <w:p w14:paraId="0679517A" w14:textId="77777777" w:rsidR="00AE0598" w:rsidRDefault="0069255A">
      <w:pPr>
        <w:pStyle w:val="Corpodetexto"/>
        <w:spacing w:before="19" w:line="232" w:lineRule="auto"/>
        <w:ind w:left="110" w:right="126" w:firstLine="320"/>
        <w:jc w:val="both"/>
      </w:pPr>
      <w:r>
        <w:rPr>
          <w:color w:val="231F20"/>
        </w:rPr>
        <w:t xml:space="preserve">Considerable opportunity exists, therefore, for sport and tourism </w:t>
      </w:r>
      <w:r>
        <w:rPr>
          <w:color w:val="231F20"/>
          <w:w w:val="95"/>
        </w:rPr>
        <w:t>resources to be developed in a synergistic fashion that maximises mutual sport and tourism</w:t>
      </w:r>
      <w:r>
        <w:rPr>
          <w:color w:val="231F20"/>
          <w:w w:val="95"/>
        </w:rPr>
        <w:t xml:space="preserve"> and wider social and sustainable development interests.</w:t>
      </w:r>
    </w:p>
    <w:p w14:paraId="77377BE6" w14:textId="77777777" w:rsidR="00AE0598" w:rsidRDefault="00AE0598">
      <w:pPr>
        <w:spacing w:line="232" w:lineRule="auto"/>
        <w:jc w:val="both"/>
        <w:sectPr w:rsidR="00AE0598">
          <w:pgSz w:w="8850" w:h="13270"/>
          <w:pgMar w:top="720" w:right="1060" w:bottom="280" w:left="1080" w:header="720" w:footer="720" w:gutter="0"/>
          <w:cols w:space="720"/>
        </w:sectPr>
      </w:pPr>
    </w:p>
    <w:p w14:paraId="26992ACE" w14:textId="77777777" w:rsidR="00AE0598" w:rsidRDefault="0069255A">
      <w:pPr>
        <w:spacing w:before="87"/>
        <w:ind w:left="108"/>
        <w:rPr>
          <w:rFonts w:ascii="Trebuchet MS"/>
          <w:sz w:val="14"/>
        </w:rPr>
      </w:pPr>
      <w:r>
        <w:rPr>
          <w:rFonts w:ascii="Trebuchet MS"/>
          <w:color w:val="231F20"/>
          <w:w w:val="105"/>
          <w:sz w:val="14"/>
        </w:rPr>
        <w:lastRenderedPageBreak/>
        <w:t>136</w:t>
      </w:r>
      <w:r>
        <w:rPr>
          <w:rFonts w:ascii="Trebuchet MS"/>
          <w:color w:val="231F20"/>
          <w:spacing w:val="66"/>
          <w:w w:val="150"/>
          <w:sz w:val="14"/>
        </w:rPr>
        <w:t xml:space="preserve"> </w:t>
      </w:r>
      <w:r>
        <w:rPr>
          <w:rFonts w:ascii="Trebuchet MS"/>
          <w:color w:val="231F20"/>
          <w:w w:val="105"/>
          <w:sz w:val="14"/>
        </w:rPr>
        <w:t>Part</w:t>
      </w:r>
      <w:r>
        <w:rPr>
          <w:rFonts w:ascii="Trebuchet MS"/>
          <w:color w:val="231F20"/>
          <w:spacing w:val="-9"/>
          <w:w w:val="105"/>
          <w:sz w:val="14"/>
        </w:rPr>
        <w:t xml:space="preserve"> </w:t>
      </w:r>
      <w:r>
        <w:rPr>
          <w:rFonts w:ascii="Trebuchet MS"/>
          <w:color w:val="231F20"/>
          <w:w w:val="105"/>
          <w:sz w:val="14"/>
        </w:rPr>
        <w:t>3:</w:t>
      </w:r>
      <w:r>
        <w:rPr>
          <w:rFonts w:ascii="Trebuchet MS"/>
          <w:color w:val="231F20"/>
          <w:spacing w:val="-8"/>
          <w:w w:val="105"/>
          <w:sz w:val="14"/>
        </w:rPr>
        <w:t xml:space="preserve"> </w:t>
      </w:r>
      <w:r>
        <w:rPr>
          <w:rFonts w:ascii="Trebuchet MS"/>
          <w:color w:val="231F20"/>
          <w:w w:val="105"/>
          <w:sz w:val="14"/>
        </w:rPr>
        <w:t>Sport</w:t>
      </w:r>
      <w:r>
        <w:rPr>
          <w:rFonts w:ascii="Trebuchet MS"/>
          <w:color w:val="231F20"/>
          <w:spacing w:val="-9"/>
          <w:w w:val="105"/>
          <w:sz w:val="14"/>
        </w:rPr>
        <w:t xml:space="preserve"> </w:t>
      </w:r>
      <w:r>
        <w:rPr>
          <w:rFonts w:ascii="Trebuchet MS"/>
          <w:color w:val="231F20"/>
          <w:w w:val="105"/>
          <w:sz w:val="14"/>
        </w:rPr>
        <w:t>Tourism</w:t>
      </w:r>
      <w:r>
        <w:rPr>
          <w:rFonts w:ascii="Trebuchet MS"/>
          <w:color w:val="231F20"/>
          <w:spacing w:val="-9"/>
          <w:w w:val="105"/>
          <w:sz w:val="14"/>
        </w:rPr>
        <w:t xml:space="preserve"> </w:t>
      </w:r>
      <w:r>
        <w:rPr>
          <w:rFonts w:ascii="Trebuchet MS"/>
          <w:color w:val="231F20"/>
          <w:w w:val="105"/>
          <w:sz w:val="14"/>
        </w:rPr>
        <w:t>Development</w:t>
      </w:r>
      <w:r>
        <w:rPr>
          <w:rFonts w:ascii="Trebuchet MS"/>
          <w:color w:val="231F20"/>
          <w:spacing w:val="-9"/>
          <w:w w:val="105"/>
          <w:sz w:val="14"/>
        </w:rPr>
        <w:t xml:space="preserve"> </w:t>
      </w:r>
      <w:r>
        <w:rPr>
          <w:rFonts w:ascii="Trebuchet MS"/>
          <w:color w:val="231F20"/>
          <w:w w:val="105"/>
          <w:sz w:val="14"/>
        </w:rPr>
        <w:t>and</w:t>
      </w:r>
      <w:r>
        <w:rPr>
          <w:rFonts w:ascii="Trebuchet MS"/>
          <w:color w:val="231F20"/>
          <w:spacing w:val="-8"/>
          <w:w w:val="105"/>
          <w:sz w:val="14"/>
        </w:rPr>
        <w:t xml:space="preserve"> </w:t>
      </w:r>
      <w:r>
        <w:rPr>
          <w:rFonts w:ascii="Trebuchet MS"/>
          <w:color w:val="231F20"/>
          <w:spacing w:val="-2"/>
          <w:w w:val="105"/>
          <w:sz w:val="14"/>
        </w:rPr>
        <w:t>Space</w:t>
      </w:r>
    </w:p>
    <w:p w14:paraId="5D0BEB3D" w14:textId="77777777" w:rsidR="00AE0598" w:rsidRDefault="00AE0598">
      <w:pPr>
        <w:pStyle w:val="Corpodetexto"/>
        <w:spacing w:before="5"/>
        <w:rPr>
          <w:rFonts w:ascii="Trebuchet MS"/>
          <w:sz w:val="18"/>
        </w:rPr>
      </w:pPr>
    </w:p>
    <w:p w14:paraId="2D4C6B29" w14:textId="2B2905CF" w:rsidR="00AE0598" w:rsidRDefault="0069255A">
      <w:pPr>
        <w:spacing w:before="100"/>
        <w:ind w:left="110"/>
        <w:rPr>
          <w:rFonts w:ascii="Trebuchet MS"/>
          <w:sz w:val="16"/>
        </w:rPr>
      </w:pPr>
      <w:r>
        <w:rPr>
          <w:noProof/>
        </w:rPr>
        <mc:AlternateContent>
          <mc:Choice Requires="wps">
            <w:drawing>
              <wp:anchor distT="0" distB="0" distL="114300" distR="114300" simplePos="0" relativeHeight="15793664" behindDoc="0" locked="0" layoutInCell="1" allowOverlap="1" wp14:anchorId="3CC79E77" wp14:editId="6EAE2E09">
                <wp:simplePos x="0" y="0"/>
                <wp:positionH relativeFrom="page">
                  <wp:posOffset>755650</wp:posOffset>
                </wp:positionH>
                <wp:positionV relativeFrom="paragraph">
                  <wp:posOffset>285750</wp:posOffset>
                </wp:positionV>
                <wp:extent cx="4106545" cy="1270"/>
                <wp:effectExtent l="0" t="0" r="0" b="0"/>
                <wp:wrapNone/>
                <wp:docPr id="194" name="docshape1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106545" cy="1270"/>
                        </a:xfrm>
                        <a:custGeom>
                          <a:avLst/>
                          <a:gdLst>
                            <a:gd name="T0" fmla="+- 0 1190 1190"/>
                            <a:gd name="T1" fmla="*/ T0 w 6467"/>
                            <a:gd name="T2" fmla="+- 0 2403 1190"/>
                            <a:gd name="T3" fmla="*/ T2 w 6467"/>
                            <a:gd name="T4" fmla="+- 0 2403 1190"/>
                            <a:gd name="T5" fmla="*/ T4 w 6467"/>
                            <a:gd name="T6" fmla="+- 0 7657 1190"/>
                            <a:gd name="T7" fmla="*/ T6 w 6467"/>
                          </a:gdLst>
                          <a:ahLst/>
                          <a:cxnLst>
                            <a:cxn ang="0">
                              <a:pos x="T1" y="0"/>
                            </a:cxn>
                            <a:cxn ang="0">
                              <a:pos x="T3" y="0"/>
                            </a:cxn>
                            <a:cxn ang="0">
                              <a:pos x="T5" y="0"/>
                            </a:cxn>
                            <a:cxn ang="0">
                              <a:pos x="T7" y="0"/>
                            </a:cxn>
                          </a:cxnLst>
                          <a:rect l="0" t="0" r="r" b="b"/>
                          <a:pathLst>
                            <a:path w="6467">
                              <a:moveTo>
                                <a:pt x="0" y="0"/>
                              </a:moveTo>
                              <a:lnTo>
                                <a:pt x="1213" y="0"/>
                              </a:lnTo>
                              <a:moveTo>
                                <a:pt x="1213" y="0"/>
                              </a:moveTo>
                              <a:lnTo>
                                <a:pt x="6467" y="0"/>
                              </a:lnTo>
                            </a:path>
                          </a:pathLst>
                        </a:custGeom>
                        <a:noFill/>
                        <a:ln w="3175">
                          <a:solidFill>
                            <a:srgbClr val="231F2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79A280" id="docshape174" o:spid="_x0000_s1026" style="position:absolute;margin-left:59.5pt;margin-top:22.5pt;width:323.35pt;height:.1pt;z-index:157936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646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" path="m,l1213,t,l6467,e" filled="f" strokecolor="#231f20" strokeweight=".25pt">
                <v:path arrowok="t" o:connecttype="custom" o:connectlocs="0,0;770255,0;770255,0;4106545,0" o:connectangles="0,0,0,0"/>
                <w10:wrap anchorx="page"/>
              </v:shape>
            </w:pict>
          </mc:Fallback>
        </mc:AlternateContent>
      </w:r>
      <w:r>
        <w:rPr>
          <w:rFonts w:ascii="Trebuchet MS"/>
          <w:b/>
          <w:color w:val="231F20"/>
          <w:sz w:val="16"/>
        </w:rPr>
        <w:t>Table</w:t>
      </w:r>
      <w:r>
        <w:rPr>
          <w:rFonts w:ascii="Trebuchet MS"/>
          <w:b/>
          <w:color w:val="231F20"/>
          <w:spacing w:val="3"/>
          <w:sz w:val="16"/>
        </w:rPr>
        <w:t xml:space="preserve"> </w:t>
      </w:r>
      <w:r>
        <w:rPr>
          <w:rFonts w:ascii="Trebuchet MS"/>
          <w:b/>
          <w:color w:val="231F20"/>
          <w:sz w:val="16"/>
        </w:rPr>
        <w:t>7.1</w:t>
      </w:r>
      <w:r>
        <w:rPr>
          <w:rFonts w:ascii="Trebuchet MS"/>
          <w:b/>
          <w:color w:val="231F20"/>
          <w:spacing w:val="45"/>
          <w:sz w:val="16"/>
        </w:rPr>
        <w:t xml:space="preserve"> </w:t>
      </w:r>
      <w:r>
        <w:rPr>
          <w:rFonts w:ascii="Trebuchet MS"/>
          <w:color w:val="231F20"/>
          <w:sz w:val="16"/>
        </w:rPr>
        <w:t>Interpretations</w:t>
      </w:r>
      <w:r>
        <w:rPr>
          <w:rFonts w:ascii="Trebuchet MS"/>
          <w:color w:val="231F20"/>
          <w:spacing w:val="3"/>
          <w:sz w:val="16"/>
        </w:rPr>
        <w:t xml:space="preserve"> </w:t>
      </w:r>
      <w:r>
        <w:rPr>
          <w:rFonts w:ascii="Trebuchet MS"/>
          <w:color w:val="231F20"/>
          <w:sz w:val="16"/>
        </w:rPr>
        <w:t>of</w:t>
      </w:r>
      <w:r>
        <w:rPr>
          <w:rFonts w:ascii="Trebuchet MS"/>
          <w:color w:val="231F20"/>
          <w:spacing w:val="4"/>
          <w:sz w:val="16"/>
        </w:rPr>
        <w:t xml:space="preserve"> </w:t>
      </w:r>
      <w:r>
        <w:rPr>
          <w:rFonts w:ascii="Trebuchet MS"/>
          <w:color w:val="231F20"/>
          <w:sz w:val="16"/>
        </w:rPr>
        <w:t>sport</w:t>
      </w:r>
      <w:r>
        <w:rPr>
          <w:rFonts w:ascii="Trebuchet MS"/>
          <w:color w:val="231F20"/>
          <w:spacing w:val="3"/>
          <w:sz w:val="16"/>
        </w:rPr>
        <w:t xml:space="preserve"> </w:t>
      </w:r>
      <w:r>
        <w:rPr>
          <w:rFonts w:ascii="Trebuchet MS"/>
          <w:color w:val="231F20"/>
          <w:spacing w:val="-2"/>
          <w:sz w:val="16"/>
        </w:rPr>
        <w:t>landscapes</w:t>
      </w:r>
    </w:p>
    <w:p w14:paraId="67B7E23A" w14:textId="77777777" w:rsidR="00AE0598" w:rsidRDefault="00AE0598">
      <w:pPr>
        <w:rPr>
          <w:rFonts w:ascii="Trebuchet MS"/>
          <w:sz w:val="16"/>
        </w:rPr>
        <w:sectPr w:rsidR="00AE0598">
          <w:pgSz w:w="8850" w:h="13270"/>
          <w:pgMar w:top="720" w:right="1060" w:bottom="280" w:left="1080" w:header="720" w:footer="720" w:gutter="0"/>
          <w:cols w:space="720"/>
        </w:sectPr>
      </w:pPr>
    </w:p>
    <w:p w14:paraId="146EBF36" w14:textId="77777777" w:rsidR="00AE0598" w:rsidRDefault="00AE0598">
      <w:pPr>
        <w:pStyle w:val="Corpodetexto"/>
        <w:rPr>
          <w:rFonts w:ascii="Trebuchet MS"/>
          <w:sz w:val="17"/>
        </w:rPr>
      </w:pPr>
    </w:p>
    <w:p w14:paraId="77AA42EB" w14:textId="77777777" w:rsidR="00AE0598" w:rsidRDefault="0069255A">
      <w:pPr>
        <w:pStyle w:val="PargrafodaLista"/>
        <w:numPr>
          <w:ilvl w:val="0"/>
          <w:numId w:val="10"/>
        </w:numPr>
        <w:tabs>
          <w:tab w:val="left" w:pos="312"/>
        </w:tabs>
        <w:spacing w:line="161" w:lineRule="exact"/>
        <w:rPr>
          <w:sz w:val="14"/>
        </w:rPr>
      </w:pPr>
      <w:r>
        <w:rPr>
          <w:color w:val="231F20"/>
          <w:spacing w:val="-2"/>
          <w:sz w:val="14"/>
        </w:rPr>
        <w:t>Sport,</w:t>
      </w:r>
    </w:p>
    <w:p w14:paraId="59D63C70" w14:textId="77777777" w:rsidR="00AE0598" w:rsidRDefault="0069255A">
      <w:pPr>
        <w:spacing w:before="2" w:line="235" w:lineRule="auto"/>
        <w:ind w:left="311" w:right="5"/>
        <w:rPr>
          <w:rFonts w:ascii="Trebuchet MS"/>
          <w:sz w:val="14"/>
        </w:rPr>
      </w:pPr>
      <w:r>
        <w:rPr>
          <w:rFonts w:ascii="Trebuchet MS"/>
          <w:color w:val="231F20"/>
          <w:spacing w:val="-2"/>
          <w:w w:val="105"/>
          <w:sz w:val="14"/>
        </w:rPr>
        <w:t xml:space="preserve">landscape </w:t>
      </w:r>
      <w:r>
        <w:rPr>
          <w:rFonts w:ascii="Trebuchet MS"/>
          <w:color w:val="231F20"/>
          <w:w w:val="105"/>
          <w:sz w:val="14"/>
        </w:rPr>
        <w:t>and</w:t>
      </w:r>
      <w:r>
        <w:rPr>
          <w:rFonts w:ascii="Trebuchet MS"/>
          <w:color w:val="231F20"/>
          <w:spacing w:val="-12"/>
          <w:w w:val="105"/>
          <w:sz w:val="14"/>
        </w:rPr>
        <w:t xml:space="preserve"> </w:t>
      </w:r>
      <w:r>
        <w:rPr>
          <w:rFonts w:ascii="Trebuchet MS"/>
          <w:color w:val="231F20"/>
          <w:w w:val="105"/>
          <w:sz w:val="14"/>
        </w:rPr>
        <w:t xml:space="preserve">natural </w:t>
      </w:r>
      <w:r>
        <w:rPr>
          <w:rFonts w:ascii="Trebuchet MS"/>
          <w:color w:val="231F20"/>
          <w:spacing w:val="-2"/>
          <w:w w:val="105"/>
          <w:sz w:val="14"/>
        </w:rPr>
        <w:t>habitat</w:t>
      </w:r>
    </w:p>
    <w:p w14:paraId="0AD97353" w14:textId="77777777" w:rsidR="00AE0598" w:rsidRDefault="00AE0598">
      <w:pPr>
        <w:pStyle w:val="Corpodetexto"/>
        <w:rPr>
          <w:rFonts w:ascii="Trebuchet MS"/>
          <w:sz w:val="16"/>
        </w:rPr>
      </w:pPr>
    </w:p>
    <w:p w14:paraId="5329FA70" w14:textId="77777777" w:rsidR="00AE0598" w:rsidRDefault="00AE0598">
      <w:pPr>
        <w:pStyle w:val="Corpodetexto"/>
        <w:spacing w:before="9"/>
        <w:rPr>
          <w:rFonts w:ascii="Trebuchet MS"/>
          <w:sz w:val="18"/>
        </w:rPr>
      </w:pPr>
    </w:p>
    <w:p w14:paraId="0C7978E0" w14:textId="1FFFA389" w:rsidR="00AE0598" w:rsidRDefault="0069255A">
      <w:pPr>
        <w:pStyle w:val="PargrafodaLista"/>
        <w:numPr>
          <w:ilvl w:val="0"/>
          <w:numId w:val="10"/>
        </w:numPr>
        <w:tabs>
          <w:tab w:val="left" w:pos="323"/>
        </w:tabs>
        <w:spacing w:line="161" w:lineRule="exact"/>
        <w:ind w:left="322" w:hanging="213"/>
        <w:rPr>
          <w:sz w:val="14"/>
        </w:rPr>
      </w:pPr>
      <w:r>
        <w:rPr>
          <w:noProof/>
        </w:rPr>
        <mc:AlternateContent>
          <mc:Choice Requires="wps">
            <w:drawing>
              <wp:anchor distT="0" distB="0" distL="114300" distR="114300" simplePos="0" relativeHeight="15794176" behindDoc="0" locked="0" layoutInCell="1" allowOverlap="1" wp14:anchorId="511709D4" wp14:editId="422EFF29">
                <wp:simplePos x="0" y="0"/>
                <wp:positionH relativeFrom="page">
                  <wp:posOffset>755650</wp:posOffset>
                </wp:positionH>
                <wp:positionV relativeFrom="paragraph">
                  <wp:posOffset>-34290</wp:posOffset>
                </wp:positionV>
                <wp:extent cx="4106545" cy="1270"/>
                <wp:effectExtent l="0" t="0" r="0" b="0"/>
                <wp:wrapNone/>
                <wp:docPr id="193" name="docshape1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106545" cy="1270"/>
                        </a:xfrm>
                        <a:custGeom>
                          <a:avLst/>
                          <a:gdLst>
                            <a:gd name="T0" fmla="+- 0 1190 1190"/>
                            <a:gd name="T1" fmla="*/ T0 w 6467"/>
                            <a:gd name="T2" fmla="+- 0 2403 1190"/>
                            <a:gd name="T3" fmla="*/ T2 w 6467"/>
                            <a:gd name="T4" fmla="+- 0 2403 1190"/>
                            <a:gd name="T5" fmla="*/ T4 w 6467"/>
                            <a:gd name="T6" fmla="+- 0 7657 1190"/>
                            <a:gd name="T7" fmla="*/ T6 w 6467"/>
                          </a:gdLst>
                          <a:ahLst/>
                          <a:cxnLst>
                            <a:cxn ang="0">
                              <a:pos x="T1" y="0"/>
                            </a:cxn>
                            <a:cxn ang="0">
                              <a:pos x="T3" y="0"/>
                            </a:cxn>
                            <a:cxn ang="0">
                              <a:pos x="T5" y="0"/>
                            </a:cxn>
                            <a:cxn ang="0">
                              <a:pos x="T7" y="0"/>
                            </a:cxn>
                          </a:cxnLst>
                          <a:rect l="0" t="0" r="r" b="b"/>
                          <a:pathLst>
                            <a:path w="6467">
                              <a:moveTo>
                                <a:pt x="0" y="0"/>
                              </a:moveTo>
                              <a:lnTo>
                                <a:pt x="1213" y="0"/>
                              </a:lnTo>
                              <a:moveTo>
                                <a:pt x="1213" y="0"/>
                              </a:moveTo>
                              <a:lnTo>
                                <a:pt x="6467" y="0"/>
                              </a:lnTo>
                            </a:path>
                          </a:pathLst>
                        </a:custGeom>
                        <a:noFill/>
                        <a:ln w="3175">
                          <a:solidFill>
                            <a:srgbClr val="231F2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F1A1A8" id="docshape175" o:spid="_x0000_s1026" style="position:absolute;margin-left:59.5pt;margin-top:-2.7pt;width:323.35pt;height:.1pt;z-index:157941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646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" path="m,l1213,t,l6467,e" filled="f" strokecolor="#231f20" strokeweight=".25pt">
                <v:path arrowok="t" o:connecttype="custom" o:connectlocs="0,0;770255,0;770255,0;4106545,0" o:connectangles="0,0,0,0"/>
                <w10:wrap anchorx="page"/>
              </v:shape>
            </w:pict>
          </mc:Fallback>
        </mc:AlternateContent>
      </w:r>
      <w:r>
        <w:rPr>
          <w:color w:val="231F20"/>
          <w:spacing w:val="-2"/>
          <w:sz w:val="14"/>
        </w:rPr>
        <w:t>Sport,</w:t>
      </w:r>
    </w:p>
    <w:p w14:paraId="2B1EE937" w14:textId="77777777" w:rsidR="00AE0598" w:rsidRDefault="0069255A">
      <w:pPr>
        <w:spacing w:before="2" w:line="235" w:lineRule="auto"/>
        <w:ind w:left="322"/>
        <w:rPr>
          <w:rFonts w:ascii="Trebuchet MS"/>
          <w:sz w:val="14"/>
        </w:rPr>
      </w:pPr>
      <w:r>
        <w:rPr>
          <w:rFonts w:ascii="Trebuchet MS"/>
          <w:color w:val="231F20"/>
          <w:spacing w:val="-2"/>
          <w:w w:val="105"/>
          <w:sz w:val="14"/>
        </w:rPr>
        <w:t xml:space="preserve">landscape </w:t>
      </w:r>
      <w:r>
        <w:rPr>
          <w:rFonts w:ascii="Trebuchet MS"/>
          <w:color w:val="231F20"/>
          <w:w w:val="105"/>
          <w:sz w:val="14"/>
        </w:rPr>
        <w:t>and</w:t>
      </w:r>
      <w:r>
        <w:rPr>
          <w:rFonts w:ascii="Trebuchet MS"/>
          <w:color w:val="231F20"/>
          <w:spacing w:val="-9"/>
          <w:w w:val="105"/>
          <w:sz w:val="14"/>
        </w:rPr>
        <w:t xml:space="preserve"> </w:t>
      </w:r>
      <w:r>
        <w:rPr>
          <w:rFonts w:ascii="Trebuchet MS"/>
          <w:color w:val="231F20"/>
          <w:w w:val="105"/>
          <w:sz w:val="14"/>
        </w:rPr>
        <w:t xml:space="preserve">human </w:t>
      </w:r>
      <w:r>
        <w:rPr>
          <w:rFonts w:ascii="Trebuchet MS"/>
          <w:color w:val="231F20"/>
          <w:spacing w:val="-2"/>
          <w:w w:val="105"/>
          <w:sz w:val="14"/>
        </w:rPr>
        <w:t>habitat</w:t>
      </w:r>
    </w:p>
    <w:p w14:paraId="5BE5B387" w14:textId="77777777" w:rsidR="00AE0598" w:rsidRDefault="00AE0598">
      <w:pPr>
        <w:pStyle w:val="Corpodetexto"/>
        <w:rPr>
          <w:rFonts w:ascii="Trebuchet MS"/>
          <w:sz w:val="23"/>
        </w:rPr>
      </w:pPr>
    </w:p>
    <w:p w14:paraId="16252600" w14:textId="5C7C7591" w:rsidR="00AE0598" w:rsidRDefault="0069255A">
      <w:pPr>
        <w:pStyle w:val="PargrafodaLista"/>
        <w:numPr>
          <w:ilvl w:val="0"/>
          <w:numId w:val="10"/>
        </w:numPr>
        <w:tabs>
          <w:tab w:val="left" w:pos="322"/>
        </w:tabs>
        <w:spacing w:line="235" w:lineRule="auto"/>
        <w:ind w:left="322" w:right="96" w:hanging="212"/>
        <w:rPr>
          <w:sz w:val="14"/>
        </w:rPr>
      </w:pPr>
      <w:r>
        <w:rPr>
          <w:noProof/>
        </w:rPr>
        <mc:AlternateContent>
          <mc:Choice Requires="wps">
            <w:drawing>
              <wp:anchor distT="0" distB="0" distL="114300" distR="114300" simplePos="0" relativeHeight="15789568" behindDoc="0" locked="0" layoutInCell="1" allowOverlap="1" wp14:anchorId="7BE0F89B" wp14:editId="61BE4C28">
                <wp:simplePos x="0" y="0"/>
                <wp:positionH relativeFrom="page">
                  <wp:posOffset>755650</wp:posOffset>
                </wp:positionH>
                <wp:positionV relativeFrom="paragraph">
                  <wp:posOffset>-35560</wp:posOffset>
                </wp:positionV>
                <wp:extent cx="4106545" cy="1270"/>
                <wp:effectExtent l="0" t="0" r="0" b="0"/>
                <wp:wrapNone/>
                <wp:docPr id="192" name="docshape1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106545" cy="1270"/>
                        </a:xfrm>
                        <a:custGeom>
                          <a:avLst/>
                          <a:gdLst>
                            <a:gd name="T0" fmla="+- 0 1190 1190"/>
                            <a:gd name="T1" fmla="*/ T0 w 6467"/>
                            <a:gd name="T2" fmla="+- 0 2403 1190"/>
                            <a:gd name="T3" fmla="*/ T2 w 6467"/>
                            <a:gd name="T4" fmla="+- 0 7657 1190"/>
                            <a:gd name="T5" fmla="*/ T4 w 6467"/>
                          </a:gdLst>
                          <a:ahLst/>
                          <a:cxnLst>
                            <a:cxn ang="0">
                              <a:pos x="T1" y="0"/>
                            </a:cxn>
                            <a:cxn ang="0">
                              <a:pos x="T3" y="0"/>
                            </a:cxn>
                            <a:cxn ang="0">
                              <a:pos x="T5" y="0"/>
                            </a:cxn>
                          </a:cxnLst>
                          <a:rect l="0" t="0" r="r" b="b"/>
                          <a:pathLst>
                            <a:path w="6467">
                              <a:moveTo>
                                <a:pt x="0" y="0"/>
                              </a:moveTo>
                              <a:lnTo>
                                <a:pt x="1213" y="0"/>
                              </a:lnTo>
                              <a:lnTo>
                                <a:pt x="6467" y="0"/>
                              </a:lnTo>
                            </a:path>
                          </a:pathLst>
                        </a:custGeom>
                        <a:noFill/>
                        <a:ln w="3175">
                          <a:solidFill>
                            <a:srgbClr val="231F2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AC7D18" id="docshape176" o:spid="_x0000_s1026" style="position:absolute;margin-left:59.5pt;margin-top:-2.8pt;width:323.35pt;height:.1pt;z-index:157895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646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" path="m,l1213,,6467,e" filled="f" strokecolor="#231f20" strokeweight=".25pt">
                <v:path arrowok="t" o:connecttype="custom" o:connectlocs="0,0;770255,0;4106545,0" o:connectangles="0,0,0"/>
                <w10:wrap anchorx="page"/>
              </v:shape>
            </w:pict>
          </mc:Fallback>
        </mc:AlternateContent>
      </w:r>
      <w:r>
        <w:rPr>
          <w:color w:val="231F20"/>
          <w:sz w:val="14"/>
        </w:rPr>
        <w:t>Sport</w:t>
      </w:r>
      <w:r>
        <w:rPr>
          <w:color w:val="231F20"/>
          <w:spacing w:val="-7"/>
          <w:sz w:val="14"/>
        </w:rPr>
        <w:t xml:space="preserve"> </w:t>
      </w:r>
      <w:r>
        <w:rPr>
          <w:color w:val="231F20"/>
          <w:sz w:val="14"/>
        </w:rPr>
        <w:t>land- scapes</w:t>
      </w:r>
      <w:r>
        <w:rPr>
          <w:color w:val="231F20"/>
          <w:spacing w:val="-7"/>
          <w:sz w:val="14"/>
        </w:rPr>
        <w:t xml:space="preserve"> </w:t>
      </w:r>
      <w:r>
        <w:rPr>
          <w:color w:val="231F20"/>
          <w:sz w:val="14"/>
        </w:rPr>
        <w:t xml:space="preserve">as </w:t>
      </w:r>
      <w:r>
        <w:rPr>
          <w:color w:val="231F20"/>
          <w:spacing w:val="-2"/>
          <w:sz w:val="14"/>
        </w:rPr>
        <w:t>artefacts</w:t>
      </w:r>
    </w:p>
    <w:p w14:paraId="2A2F8D51" w14:textId="77777777" w:rsidR="00AE0598" w:rsidRDefault="00AE0598">
      <w:pPr>
        <w:pStyle w:val="Corpodetexto"/>
        <w:rPr>
          <w:rFonts w:ascii="Trebuchet MS"/>
          <w:sz w:val="23"/>
        </w:rPr>
      </w:pPr>
    </w:p>
    <w:p w14:paraId="7D4D228E" w14:textId="3E554E3C" w:rsidR="00AE0598" w:rsidRDefault="0069255A">
      <w:pPr>
        <w:pStyle w:val="PargrafodaLista"/>
        <w:numPr>
          <w:ilvl w:val="0"/>
          <w:numId w:val="10"/>
        </w:numPr>
        <w:tabs>
          <w:tab w:val="left" w:pos="321"/>
        </w:tabs>
        <w:spacing w:line="235" w:lineRule="auto"/>
        <w:ind w:left="320" w:right="97" w:hanging="211"/>
        <w:rPr>
          <w:sz w:val="14"/>
        </w:rPr>
      </w:pPr>
      <w:r>
        <w:rPr>
          <w:noProof/>
        </w:rPr>
        <mc:AlternateContent>
          <mc:Choice Requires="wps">
            <w:drawing>
              <wp:anchor distT="0" distB="0" distL="114300" distR="114300" simplePos="0" relativeHeight="15790080" behindDoc="0" locked="0" layoutInCell="1" allowOverlap="1" wp14:anchorId="00AE5669" wp14:editId="245DD230">
                <wp:simplePos x="0" y="0"/>
                <wp:positionH relativeFrom="page">
                  <wp:posOffset>755650</wp:posOffset>
                </wp:positionH>
                <wp:positionV relativeFrom="paragraph">
                  <wp:posOffset>-35560</wp:posOffset>
                </wp:positionV>
                <wp:extent cx="4106545" cy="1270"/>
                <wp:effectExtent l="0" t="0" r="0" b="0"/>
                <wp:wrapNone/>
                <wp:docPr id="191" name="docshape1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106545" cy="1270"/>
                        </a:xfrm>
                        <a:custGeom>
                          <a:avLst/>
                          <a:gdLst>
                            <a:gd name="T0" fmla="+- 0 1190 1190"/>
                            <a:gd name="T1" fmla="*/ T0 w 6467"/>
                            <a:gd name="T2" fmla="+- 0 2403 1190"/>
                            <a:gd name="T3" fmla="*/ T2 w 6467"/>
                            <a:gd name="T4" fmla="+- 0 7657 1190"/>
                            <a:gd name="T5" fmla="*/ T4 w 6467"/>
                          </a:gdLst>
                          <a:ahLst/>
                          <a:cxnLst>
                            <a:cxn ang="0">
                              <a:pos x="T1" y="0"/>
                            </a:cxn>
                            <a:cxn ang="0">
                              <a:pos x="T3" y="0"/>
                            </a:cxn>
                            <a:cxn ang="0">
                              <a:pos x="T5" y="0"/>
                            </a:cxn>
                          </a:cxnLst>
                          <a:rect l="0" t="0" r="r" b="b"/>
                          <a:pathLst>
                            <a:path w="6467">
                              <a:moveTo>
                                <a:pt x="0" y="0"/>
                              </a:moveTo>
                              <a:lnTo>
                                <a:pt x="1213" y="0"/>
                              </a:lnTo>
                              <a:lnTo>
                                <a:pt x="6467" y="0"/>
                              </a:lnTo>
                            </a:path>
                          </a:pathLst>
                        </a:custGeom>
                        <a:noFill/>
                        <a:ln w="3175">
                          <a:solidFill>
                            <a:srgbClr val="231F2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B207FD7" id="docshape177" o:spid="_x0000_s1026" style="position:absolute;margin-left:59.5pt;margin-top:-2.8pt;width:323.35pt;height:.1pt;z-index:157900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646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" path="m,l1213,,6467,e" filled="f" strokecolor="#231f20" strokeweight=".25pt">
                <v:path arrowok="t" o:connecttype="custom" o:connectlocs="0,0;770255,0;4106545,0" o:connectangles="0,0,0"/>
                <w10:wrap anchorx="page"/>
              </v:shape>
            </w:pict>
          </mc:Fallback>
        </mc:AlternateContent>
      </w:r>
      <w:r>
        <w:rPr>
          <w:color w:val="231F20"/>
          <w:sz w:val="14"/>
        </w:rPr>
        <w:t>Sport</w:t>
      </w:r>
      <w:r>
        <w:rPr>
          <w:color w:val="231F20"/>
          <w:spacing w:val="-7"/>
          <w:sz w:val="14"/>
        </w:rPr>
        <w:t xml:space="preserve"> </w:t>
      </w:r>
      <w:r>
        <w:rPr>
          <w:color w:val="231F20"/>
          <w:sz w:val="14"/>
        </w:rPr>
        <w:t>land- scapes</w:t>
      </w:r>
      <w:r>
        <w:rPr>
          <w:color w:val="231F20"/>
          <w:spacing w:val="-7"/>
          <w:sz w:val="14"/>
        </w:rPr>
        <w:t xml:space="preserve"> </w:t>
      </w:r>
      <w:r>
        <w:rPr>
          <w:color w:val="231F20"/>
          <w:sz w:val="14"/>
        </w:rPr>
        <w:t xml:space="preserve">as </w:t>
      </w:r>
      <w:r>
        <w:rPr>
          <w:color w:val="231F20"/>
          <w:spacing w:val="-2"/>
          <w:sz w:val="14"/>
        </w:rPr>
        <w:t>systems</w:t>
      </w:r>
    </w:p>
    <w:p w14:paraId="1333A264" w14:textId="77777777" w:rsidR="00AE0598" w:rsidRDefault="00AE0598">
      <w:pPr>
        <w:pStyle w:val="Corpodetexto"/>
        <w:rPr>
          <w:rFonts w:ascii="Trebuchet MS"/>
          <w:sz w:val="16"/>
        </w:rPr>
      </w:pPr>
    </w:p>
    <w:p w14:paraId="3EE99318" w14:textId="77777777" w:rsidR="00AE0598" w:rsidRDefault="00AE0598">
      <w:pPr>
        <w:pStyle w:val="Corpodetexto"/>
        <w:rPr>
          <w:rFonts w:ascii="Trebuchet MS"/>
          <w:sz w:val="16"/>
        </w:rPr>
      </w:pPr>
    </w:p>
    <w:p w14:paraId="21BCE579" w14:textId="77777777" w:rsidR="00AE0598" w:rsidRDefault="00AE0598">
      <w:pPr>
        <w:pStyle w:val="Corpodetexto"/>
        <w:rPr>
          <w:rFonts w:ascii="Trebuchet MS"/>
          <w:sz w:val="16"/>
        </w:rPr>
      </w:pPr>
    </w:p>
    <w:p w14:paraId="66BC200E" w14:textId="77777777" w:rsidR="00AE0598" w:rsidRDefault="00AE0598">
      <w:pPr>
        <w:pStyle w:val="Corpodetexto"/>
        <w:spacing w:before="4"/>
        <w:rPr>
          <w:rFonts w:ascii="Trebuchet MS"/>
          <w:sz w:val="16"/>
        </w:rPr>
      </w:pPr>
    </w:p>
    <w:p w14:paraId="5A26B5C4" w14:textId="477B973B" w:rsidR="00AE0598" w:rsidRDefault="0069255A">
      <w:pPr>
        <w:pStyle w:val="PargrafodaLista"/>
        <w:numPr>
          <w:ilvl w:val="0"/>
          <w:numId w:val="10"/>
        </w:numPr>
        <w:tabs>
          <w:tab w:val="left" w:pos="324"/>
        </w:tabs>
        <w:spacing w:line="235" w:lineRule="auto"/>
        <w:ind w:left="323" w:right="1" w:hanging="214"/>
        <w:rPr>
          <w:sz w:val="14"/>
        </w:rPr>
      </w:pPr>
      <w:r>
        <w:rPr>
          <w:noProof/>
        </w:rPr>
        <mc:AlternateContent>
          <mc:Choice Requires="wps">
            <w:drawing>
              <wp:anchor distT="0" distB="0" distL="114300" distR="114300" simplePos="0" relativeHeight="15790592" behindDoc="0" locked="0" layoutInCell="1" allowOverlap="1" wp14:anchorId="3B35B69D" wp14:editId="00012881">
                <wp:simplePos x="0" y="0"/>
                <wp:positionH relativeFrom="page">
                  <wp:posOffset>755650</wp:posOffset>
                </wp:positionH>
                <wp:positionV relativeFrom="paragraph">
                  <wp:posOffset>-35560</wp:posOffset>
                </wp:positionV>
                <wp:extent cx="4106545" cy="1270"/>
                <wp:effectExtent l="0" t="0" r="0" b="0"/>
                <wp:wrapNone/>
                <wp:docPr id="190" name="docshape1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106545" cy="1270"/>
                        </a:xfrm>
                        <a:custGeom>
                          <a:avLst/>
                          <a:gdLst>
                            <a:gd name="T0" fmla="+- 0 1190 1190"/>
                            <a:gd name="T1" fmla="*/ T0 w 6467"/>
                            <a:gd name="T2" fmla="+- 0 2403 1190"/>
                            <a:gd name="T3" fmla="*/ T2 w 6467"/>
                            <a:gd name="T4" fmla="+- 0 7657 1190"/>
                            <a:gd name="T5" fmla="*/ T4 w 6467"/>
                          </a:gdLst>
                          <a:ahLst/>
                          <a:cxnLst>
                            <a:cxn ang="0">
                              <a:pos x="T1" y="0"/>
                            </a:cxn>
                            <a:cxn ang="0">
                              <a:pos x="T3" y="0"/>
                            </a:cxn>
                            <a:cxn ang="0">
                              <a:pos x="T5" y="0"/>
                            </a:cxn>
                          </a:cxnLst>
                          <a:rect l="0" t="0" r="r" b="b"/>
                          <a:pathLst>
                            <a:path w="6467">
                              <a:moveTo>
                                <a:pt x="0" y="0"/>
                              </a:moveTo>
                              <a:lnTo>
                                <a:pt x="1213" y="0"/>
                              </a:lnTo>
                              <a:lnTo>
                                <a:pt x="6467" y="0"/>
                              </a:lnTo>
                            </a:path>
                          </a:pathLst>
                        </a:custGeom>
                        <a:noFill/>
                        <a:ln w="3175">
                          <a:solidFill>
                            <a:srgbClr val="231F2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5562DF" id="docshape178" o:spid="_x0000_s1026" style="position:absolute;margin-left:59.5pt;margin-top:-2.8pt;width:323.35pt;height:.1pt;z-index:157905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646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" path="m,l1213,,6467,e" filled="f" strokecolor="#231f20" strokeweight=".25pt">
                <v:path arrowok="t" o:connecttype="custom" o:connectlocs="0,0;770255,0;4106545,0" o:connectangles="0,0,0"/>
                <w10:wrap anchorx="page"/>
              </v:shape>
            </w:pict>
          </mc:Fallback>
        </mc:AlternateContent>
      </w:r>
      <w:r>
        <w:rPr>
          <w:color w:val="231F20"/>
          <w:w w:val="105"/>
          <w:sz w:val="14"/>
        </w:rPr>
        <w:t>The</w:t>
      </w:r>
      <w:r>
        <w:rPr>
          <w:color w:val="231F20"/>
          <w:spacing w:val="-9"/>
          <w:w w:val="105"/>
          <w:sz w:val="14"/>
        </w:rPr>
        <w:t xml:space="preserve"> </w:t>
      </w:r>
      <w:r>
        <w:rPr>
          <w:color w:val="231F20"/>
          <w:w w:val="105"/>
          <w:sz w:val="14"/>
        </w:rPr>
        <w:t>sport landscape</w:t>
      </w:r>
      <w:r>
        <w:rPr>
          <w:color w:val="231F20"/>
          <w:spacing w:val="-12"/>
          <w:w w:val="105"/>
          <w:sz w:val="14"/>
        </w:rPr>
        <w:t xml:space="preserve"> </w:t>
      </w:r>
      <w:r>
        <w:rPr>
          <w:color w:val="231F20"/>
          <w:w w:val="105"/>
          <w:sz w:val="14"/>
        </w:rPr>
        <w:t xml:space="preserve">as </w:t>
      </w:r>
      <w:r>
        <w:rPr>
          <w:color w:val="231F20"/>
          <w:spacing w:val="-2"/>
          <w:w w:val="105"/>
          <w:sz w:val="14"/>
        </w:rPr>
        <w:t>problem</w:t>
      </w:r>
    </w:p>
    <w:p w14:paraId="1A1803A3" w14:textId="77777777" w:rsidR="00AE0598" w:rsidRDefault="00AE0598">
      <w:pPr>
        <w:pStyle w:val="Corpodetexto"/>
        <w:rPr>
          <w:rFonts w:ascii="Trebuchet MS"/>
          <w:sz w:val="16"/>
        </w:rPr>
      </w:pPr>
    </w:p>
    <w:p w14:paraId="2650391E" w14:textId="77777777" w:rsidR="00AE0598" w:rsidRDefault="00AE0598">
      <w:pPr>
        <w:pStyle w:val="Corpodetexto"/>
        <w:rPr>
          <w:rFonts w:ascii="Trebuchet MS"/>
          <w:sz w:val="16"/>
        </w:rPr>
      </w:pPr>
    </w:p>
    <w:p w14:paraId="6EABF083" w14:textId="77777777" w:rsidR="00AE0598" w:rsidRDefault="00AE0598">
      <w:pPr>
        <w:pStyle w:val="Corpodetexto"/>
        <w:rPr>
          <w:rFonts w:ascii="Trebuchet MS"/>
          <w:sz w:val="16"/>
        </w:rPr>
      </w:pPr>
    </w:p>
    <w:p w14:paraId="5536CFC5" w14:textId="77777777" w:rsidR="00AE0598" w:rsidRDefault="00AE0598">
      <w:pPr>
        <w:pStyle w:val="Corpodetexto"/>
        <w:rPr>
          <w:rFonts w:ascii="Trebuchet MS"/>
          <w:sz w:val="16"/>
        </w:rPr>
      </w:pPr>
    </w:p>
    <w:p w14:paraId="32CD8DE9" w14:textId="77777777" w:rsidR="00AE0598" w:rsidRDefault="00AE0598">
      <w:pPr>
        <w:pStyle w:val="Corpodetexto"/>
        <w:rPr>
          <w:rFonts w:ascii="Trebuchet MS"/>
          <w:sz w:val="16"/>
        </w:rPr>
      </w:pPr>
    </w:p>
    <w:p w14:paraId="12C9F937" w14:textId="031033E0" w:rsidR="00AE0598" w:rsidRDefault="0069255A">
      <w:pPr>
        <w:pStyle w:val="PargrafodaLista"/>
        <w:numPr>
          <w:ilvl w:val="0"/>
          <w:numId w:val="10"/>
        </w:numPr>
        <w:tabs>
          <w:tab w:val="left" w:pos="323"/>
        </w:tabs>
        <w:spacing w:before="136" w:line="161" w:lineRule="exact"/>
        <w:ind w:left="322" w:hanging="213"/>
        <w:rPr>
          <w:sz w:val="14"/>
        </w:rPr>
      </w:pPr>
      <w:r>
        <w:rPr>
          <w:noProof/>
        </w:rPr>
        <mc:AlternateContent>
          <mc:Choice Requires="wps">
            <w:drawing>
              <wp:anchor distT="0" distB="0" distL="114300" distR="114300" simplePos="0" relativeHeight="15791104" behindDoc="0" locked="0" layoutInCell="1" allowOverlap="1" wp14:anchorId="16AB6EEB" wp14:editId="4D4C4C19">
                <wp:simplePos x="0" y="0"/>
                <wp:positionH relativeFrom="page">
                  <wp:posOffset>755650</wp:posOffset>
                </wp:positionH>
                <wp:positionV relativeFrom="paragraph">
                  <wp:posOffset>52070</wp:posOffset>
                </wp:positionV>
                <wp:extent cx="4106545" cy="1270"/>
                <wp:effectExtent l="0" t="0" r="0" b="0"/>
                <wp:wrapNone/>
                <wp:docPr id="189" name="docshape1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106545" cy="1270"/>
                        </a:xfrm>
                        <a:custGeom>
                          <a:avLst/>
                          <a:gdLst>
                            <a:gd name="T0" fmla="+- 0 1190 1190"/>
                            <a:gd name="T1" fmla="*/ T0 w 6467"/>
                            <a:gd name="T2" fmla="+- 0 2403 1190"/>
                            <a:gd name="T3" fmla="*/ T2 w 6467"/>
                            <a:gd name="T4" fmla="+- 0 7657 1190"/>
                            <a:gd name="T5" fmla="*/ T4 w 6467"/>
                          </a:gdLst>
                          <a:ahLst/>
                          <a:cxnLst>
                            <a:cxn ang="0">
                              <a:pos x="T1" y="0"/>
                            </a:cxn>
                            <a:cxn ang="0">
                              <a:pos x="T3" y="0"/>
                            </a:cxn>
                            <a:cxn ang="0">
                              <a:pos x="T5" y="0"/>
                            </a:cxn>
                          </a:cxnLst>
                          <a:rect l="0" t="0" r="r" b="b"/>
                          <a:pathLst>
                            <a:path w="6467">
                              <a:moveTo>
                                <a:pt x="0" y="0"/>
                              </a:moveTo>
                              <a:lnTo>
                                <a:pt x="1213" y="0"/>
                              </a:lnTo>
                              <a:lnTo>
                                <a:pt x="6467" y="0"/>
                              </a:lnTo>
                            </a:path>
                          </a:pathLst>
                        </a:custGeom>
                        <a:noFill/>
                        <a:ln w="3175">
                          <a:solidFill>
                            <a:srgbClr val="231F2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ADCBA70" id="docshape179" o:spid="_x0000_s1026" style="position:absolute;margin-left:59.5pt;margin-top:4.1pt;width:323.35pt;height:.1pt;z-index:157911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646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" path="m,l1213,,6467,e" filled="f" strokecolor="#231f20" strokeweight=".25pt">
                <v:path arrowok="t" o:connecttype="custom" o:connectlocs="0,0;770255,0;4106545,0" o:connectangles="0,0,0"/>
                <w10:wrap anchorx="page"/>
              </v:shape>
            </w:pict>
          </mc:Fallback>
        </mc:AlternateContent>
      </w:r>
      <w:r>
        <w:rPr>
          <w:color w:val="231F20"/>
          <w:spacing w:val="-2"/>
          <w:w w:val="105"/>
          <w:sz w:val="14"/>
        </w:rPr>
        <w:t>Sport</w:t>
      </w:r>
    </w:p>
    <w:p w14:paraId="696A7717" w14:textId="77777777" w:rsidR="00AE0598" w:rsidRDefault="0069255A">
      <w:pPr>
        <w:spacing w:before="1" w:line="235" w:lineRule="auto"/>
        <w:ind w:left="322"/>
        <w:rPr>
          <w:rFonts w:ascii="Trebuchet MS"/>
          <w:sz w:val="14"/>
        </w:rPr>
      </w:pPr>
      <w:r>
        <w:rPr>
          <w:rFonts w:ascii="Trebuchet MS"/>
          <w:color w:val="231F20"/>
          <w:w w:val="105"/>
          <w:sz w:val="14"/>
        </w:rPr>
        <w:t>landscape</w:t>
      </w:r>
      <w:r>
        <w:rPr>
          <w:rFonts w:ascii="Trebuchet MS"/>
          <w:color w:val="231F20"/>
          <w:spacing w:val="-12"/>
          <w:w w:val="105"/>
          <w:sz w:val="14"/>
        </w:rPr>
        <w:t xml:space="preserve"> </w:t>
      </w:r>
      <w:r>
        <w:rPr>
          <w:rFonts w:ascii="Trebuchet MS"/>
          <w:color w:val="231F20"/>
          <w:w w:val="105"/>
          <w:sz w:val="14"/>
        </w:rPr>
        <w:t xml:space="preserve">as </w:t>
      </w:r>
      <w:r>
        <w:rPr>
          <w:rFonts w:ascii="Trebuchet MS"/>
          <w:color w:val="231F20"/>
          <w:spacing w:val="-2"/>
          <w:w w:val="105"/>
          <w:sz w:val="14"/>
        </w:rPr>
        <w:t>wealth</w:t>
      </w:r>
    </w:p>
    <w:p w14:paraId="34678B77" w14:textId="77777777" w:rsidR="00AE0598" w:rsidRDefault="00AE0598">
      <w:pPr>
        <w:pStyle w:val="Corpodetexto"/>
        <w:rPr>
          <w:rFonts w:ascii="Trebuchet MS"/>
          <w:sz w:val="16"/>
        </w:rPr>
      </w:pPr>
    </w:p>
    <w:p w14:paraId="035E3378" w14:textId="77777777" w:rsidR="00AE0598" w:rsidRDefault="00AE0598">
      <w:pPr>
        <w:pStyle w:val="Corpodetexto"/>
        <w:rPr>
          <w:rFonts w:ascii="Trebuchet MS"/>
          <w:sz w:val="16"/>
        </w:rPr>
      </w:pPr>
    </w:p>
    <w:p w14:paraId="4FE930E6" w14:textId="77777777" w:rsidR="00AE0598" w:rsidRDefault="00AE0598">
      <w:pPr>
        <w:pStyle w:val="Corpodetexto"/>
        <w:spacing w:before="3"/>
        <w:rPr>
          <w:rFonts w:ascii="Trebuchet MS"/>
          <w:sz w:val="18"/>
        </w:rPr>
      </w:pPr>
    </w:p>
    <w:p w14:paraId="4005CB22" w14:textId="6AAD6223" w:rsidR="00AE0598" w:rsidRDefault="0069255A">
      <w:pPr>
        <w:pStyle w:val="PargrafodaLista"/>
        <w:numPr>
          <w:ilvl w:val="0"/>
          <w:numId w:val="10"/>
        </w:numPr>
        <w:tabs>
          <w:tab w:val="left" w:pos="328"/>
        </w:tabs>
        <w:spacing w:line="161" w:lineRule="exact"/>
        <w:ind w:left="327" w:hanging="218"/>
        <w:rPr>
          <w:sz w:val="14"/>
        </w:rPr>
      </w:pPr>
      <w:r>
        <w:rPr>
          <w:noProof/>
        </w:rPr>
        <mc:AlternateContent>
          <mc:Choice Requires="wps">
            <w:drawing>
              <wp:anchor distT="0" distB="0" distL="114300" distR="114300" simplePos="0" relativeHeight="15791616" behindDoc="0" locked="0" layoutInCell="1" allowOverlap="1" wp14:anchorId="49CAF00F" wp14:editId="12ABFA48">
                <wp:simplePos x="0" y="0"/>
                <wp:positionH relativeFrom="page">
                  <wp:posOffset>755650</wp:posOffset>
                </wp:positionH>
                <wp:positionV relativeFrom="paragraph">
                  <wp:posOffset>-34290</wp:posOffset>
                </wp:positionV>
                <wp:extent cx="4106545" cy="1270"/>
                <wp:effectExtent l="0" t="0" r="0" b="0"/>
                <wp:wrapNone/>
                <wp:docPr id="188" name="docshape1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106545" cy="1270"/>
                        </a:xfrm>
                        <a:custGeom>
                          <a:avLst/>
                          <a:gdLst>
                            <a:gd name="T0" fmla="+- 0 1190 1190"/>
                            <a:gd name="T1" fmla="*/ T0 w 6467"/>
                            <a:gd name="T2" fmla="+- 0 2403 1190"/>
                            <a:gd name="T3" fmla="*/ T2 w 6467"/>
                            <a:gd name="T4" fmla="+- 0 7657 1190"/>
                            <a:gd name="T5" fmla="*/ T4 w 6467"/>
                          </a:gdLst>
                          <a:ahLst/>
                          <a:cxnLst>
                            <a:cxn ang="0">
                              <a:pos x="T1" y="0"/>
                            </a:cxn>
                            <a:cxn ang="0">
                              <a:pos x="T3" y="0"/>
                            </a:cxn>
                            <a:cxn ang="0">
                              <a:pos x="T5" y="0"/>
                            </a:cxn>
                          </a:cxnLst>
                          <a:rect l="0" t="0" r="r" b="b"/>
                          <a:pathLst>
                            <a:path w="6467">
                              <a:moveTo>
                                <a:pt x="0" y="0"/>
                              </a:moveTo>
                              <a:lnTo>
                                <a:pt x="1213" y="0"/>
                              </a:lnTo>
                              <a:lnTo>
                                <a:pt x="6467" y="0"/>
                              </a:lnTo>
                            </a:path>
                          </a:pathLst>
                        </a:custGeom>
                        <a:noFill/>
                        <a:ln w="3175">
                          <a:solidFill>
                            <a:srgbClr val="231F2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860260" id="docshape180" o:spid="_x0000_s1026" style="position:absolute;margin-left:59.5pt;margin-top:-2.7pt;width:323.35pt;height:.1pt;z-index:157916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646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" path="m,l1213,,6467,e" filled="f" strokecolor="#231f20" strokeweight=".25pt">
                <v:path arrowok="t" o:connecttype="custom" o:connectlocs="0,0;770255,0;4106545,0" o:connectangles="0,0,0"/>
                <w10:wrap anchorx="page"/>
              </v:shape>
            </w:pict>
          </mc:Fallback>
        </mc:AlternateContent>
      </w:r>
      <w:r>
        <w:rPr>
          <w:color w:val="231F20"/>
          <w:spacing w:val="-2"/>
          <w:w w:val="105"/>
          <w:sz w:val="14"/>
        </w:rPr>
        <w:t>Sport</w:t>
      </w:r>
    </w:p>
    <w:p w14:paraId="394EC08D" w14:textId="77777777" w:rsidR="00AE0598" w:rsidRDefault="0069255A">
      <w:pPr>
        <w:spacing w:before="1" w:line="235" w:lineRule="auto"/>
        <w:ind w:left="327"/>
        <w:rPr>
          <w:rFonts w:ascii="Trebuchet MS"/>
          <w:sz w:val="14"/>
        </w:rPr>
      </w:pPr>
      <w:r>
        <w:rPr>
          <w:rFonts w:ascii="Trebuchet MS"/>
          <w:color w:val="231F20"/>
          <w:w w:val="105"/>
          <w:sz w:val="14"/>
        </w:rPr>
        <w:t>landscape</w:t>
      </w:r>
      <w:r>
        <w:rPr>
          <w:rFonts w:ascii="Trebuchet MS"/>
          <w:color w:val="231F20"/>
          <w:spacing w:val="-12"/>
          <w:w w:val="105"/>
          <w:sz w:val="14"/>
        </w:rPr>
        <w:t xml:space="preserve"> </w:t>
      </w:r>
      <w:r>
        <w:rPr>
          <w:rFonts w:ascii="Trebuchet MS"/>
          <w:color w:val="231F20"/>
          <w:w w:val="105"/>
          <w:sz w:val="14"/>
        </w:rPr>
        <w:t xml:space="preserve">as </w:t>
      </w:r>
      <w:r>
        <w:rPr>
          <w:rFonts w:ascii="Trebuchet MS"/>
          <w:color w:val="231F20"/>
          <w:spacing w:val="-2"/>
          <w:w w:val="105"/>
          <w:sz w:val="14"/>
        </w:rPr>
        <w:t>ideology</w:t>
      </w:r>
    </w:p>
    <w:p w14:paraId="1D3DBBF7" w14:textId="77777777" w:rsidR="00AE0598" w:rsidRDefault="00AE0598">
      <w:pPr>
        <w:pStyle w:val="Corpodetexto"/>
        <w:rPr>
          <w:rFonts w:ascii="Trebuchet MS"/>
          <w:sz w:val="23"/>
        </w:rPr>
      </w:pPr>
    </w:p>
    <w:p w14:paraId="6460A4EE" w14:textId="4FA877D5" w:rsidR="00AE0598" w:rsidRDefault="0069255A">
      <w:pPr>
        <w:pStyle w:val="PargrafodaLista"/>
        <w:numPr>
          <w:ilvl w:val="0"/>
          <w:numId w:val="10"/>
        </w:numPr>
        <w:tabs>
          <w:tab w:val="left" w:pos="324"/>
        </w:tabs>
        <w:spacing w:line="235" w:lineRule="auto"/>
        <w:ind w:left="323" w:right="94" w:hanging="213"/>
        <w:rPr>
          <w:sz w:val="14"/>
        </w:rPr>
      </w:pPr>
      <w:r>
        <w:rPr>
          <w:noProof/>
        </w:rPr>
        <mc:AlternateContent>
          <mc:Choice Requires="wps">
            <w:drawing>
              <wp:anchor distT="0" distB="0" distL="114300" distR="114300" simplePos="0" relativeHeight="15792128" behindDoc="0" locked="0" layoutInCell="1" allowOverlap="1" wp14:anchorId="09683C41" wp14:editId="13661E63">
                <wp:simplePos x="0" y="0"/>
                <wp:positionH relativeFrom="page">
                  <wp:posOffset>755650</wp:posOffset>
                </wp:positionH>
                <wp:positionV relativeFrom="paragraph">
                  <wp:posOffset>-36195</wp:posOffset>
                </wp:positionV>
                <wp:extent cx="4106545" cy="1270"/>
                <wp:effectExtent l="0" t="0" r="0" b="0"/>
                <wp:wrapNone/>
                <wp:docPr id="187" name="docshape1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106545" cy="1270"/>
                        </a:xfrm>
                        <a:custGeom>
                          <a:avLst/>
                          <a:gdLst>
                            <a:gd name="T0" fmla="+- 0 1190 1190"/>
                            <a:gd name="T1" fmla="*/ T0 w 6467"/>
                            <a:gd name="T2" fmla="+- 0 2403 1190"/>
                            <a:gd name="T3" fmla="*/ T2 w 6467"/>
                            <a:gd name="T4" fmla="+- 0 7657 1190"/>
                            <a:gd name="T5" fmla="*/ T4 w 6467"/>
                          </a:gdLst>
                          <a:ahLst/>
                          <a:cxnLst>
                            <a:cxn ang="0">
                              <a:pos x="T1" y="0"/>
                            </a:cxn>
                            <a:cxn ang="0">
                              <a:pos x="T3" y="0"/>
                            </a:cxn>
                            <a:cxn ang="0">
                              <a:pos x="T5" y="0"/>
                            </a:cxn>
                          </a:cxnLst>
                          <a:rect l="0" t="0" r="r" b="b"/>
                          <a:pathLst>
                            <a:path w="6467">
                              <a:moveTo>
                                <a:pt x="0" y="0"/>
                              </a:moveTo>
                              <a:lnTo>
                                <a:pt x="1213" y="0"/>
                              </a:lnTo>
                              <a:lnTo>
                                <a:pt x="6467" y="0"/>
                              </a:lnTo>
                            </a:path>
                          </a:pathLst>
                        </a:custGeom>
                        <a:noFill/>
                        <a:ln w="3175">
                          <a:solidFill>
                            <a:srgbClr val="231F2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83EB93" id="docshape181" o:spid="_x0000_s1026" style="position:absolute;margin-left:59.5pt;margin-top:-2.85pt;width:323.35pt;height:.1pt;z-index:157921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646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" path="m,l1213,,6467,e" filled="f" strokecolor="#231f20" strokeweight=".25pt">
                <v:path arrowok="t" o:connecttype="custom" o:connectlocs="0,0;770255,0;4106545,0" o:connectangles="0,0,0"/>
                <w10:wrap anchorx="page"/>
              </v:shape>
            </w:pict>
          </mc:Fallback>
        </mc:AlternateContent>
      </w:r>
      <w:r>
        <w:rPr>
          <w:color w:val="231F20"/>
          <w:sz w:val="14"/>
        </w:rPr>
        <w:t>Sport</w:t>
      </w:r>
      <w:r>
        <w:rPr>
          <w:color w:val="231F20"/>
          <w:spacing w:val="-7"/>
          <w:sz w:val="14"/>
        </w:rPr>
        <w:t xml:space="preserve"> </w:t>
      </w:r>
      <w:r>
        <w:rPr>
          <w:color w:val="231F20"/>
          <w:sz w:val="14"/>
        </w:rPr>
        <w:t>land- scapes</w:t>
      </w:r>
      <w:r>
        <w:rPr>
          <w:color w:val="231F20"/>
          <w:spacing w:val="-7"/>
          <w:sz w:val="14"/>
        </w:rPr>
        <w:t xml:space="preserve"> </w:t>
      </w:r>
      <w:r>
        <w:rPr>
          <w:color w:val="231F20"/>
          <w:sz w:val="14"/>
        </w:rPr>
        <w:t xml:space="preserve">as </w:t>
      </w:r>
      <w:r>
        <w:rPr>
          <w:color w:val="231F20"/>
          <w:spacing w:val="-2"/>
          <w:sz w:val="14"/>
        </w:rPr>
        <w:t>history</w:t>
      </w:r>
    </w:p>
    <w:p w14:paraId="6AA4331F" w14:textId="77777777" w:rsidR="00AE0598" w:rsidRDefault="00AE0598">
      <w:pPr>
        <w:pStyle w:val="Corpodetexto"/>
        <w:spacing w:before="9"/>
        <w:rPr>
          <w:rFonts w:ascii="Trebuchet MS"/>
          <w:sz w:val="22"/>
        </w:rPr>
      </w:pPr>
    </w:p>
    <w:p w14:paraId="384A2559" w14:textId="6CB50DB2" w:rsidR="00AE0598" w:rsidRDefault="0069255A">
      <w:pPr>
        <w:pStyle w:val="PargrafodaLista"/>
        <w:numPr>
          <w:ilvl w:val="0"/>
          <w:numId w:val="10"/>
        </w:numPr>
        <w:tabs>
          <w:tab w:val="left" w:pos="321"/>
        </w:tabs>
        <w:spacing w:line="161" w:lineRule="exact"/>
        <w:ind w:left="320" w:hanging="211"/>
        <w:rPr>
          <w:sz w:val="14"/>
        </w:rPr>
      </w:pPr>
      <w:r>
        <w:rPr>
          <w:noProof/>
        </w:rPr>
        <mc:AlternateContent>
          <mc:Choice Requires="wps">
            <w:drawing>
              <wp:anchor distT="0" distB="0" distL="114300" distR="114300" simplePos="0" relativeHeight="15792640" behindDoc="0" locked="0" layoutInCell="1" allowOverlap="1" wp14:anchorId="7EDC440E" wp14:editId="4BB15274">
                <wp:simplePos x="0" y="0"/>
                <wp:positionH relativeFrom="page">
                  <wp:posOffset>755650</wp:posOffset>
                </wp:positionH>
                <wp:positionV relativeFrom="paragraph">
                  <wp:posOffset>-34290</wp:posOffset>
                </wp:positionV>
                <wp:extent cx="4106545" cy="1270"/>
                <wp:effectExtent l="0" t="0" r="0" b="0"/>
                <wp:wrapNone/>
                <wp:docPr id="186" name="docshape1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106545" cy="1270"/>
                        </a:xfrm>
                        <a:custGeom>
                          <a:avLst/>
                          <a:gdLst>
                            <a:gd name="T0" fmla="+- 0 1190 1190"/>
                            <a:gd name="T1" fmla="*/ T0 w 6467"/>
                            <a:gd name="T2" fmla="+- 0 2403 1190"/>
                            <a:gd name="T3" fmla="*/ T2 w 6467"/>
                            <a:gd name="T4" fmla="+- 0 7657 1190"/>
                            <a:gd name="T5" fmla="*/ T4 w 6467"/>
                          </a:gdLst>
                          <a:ahLst/>
                          <a:cxnLst>
                            <a:cxn ang="0">
                              <a:pos x="T1" y="0"/>
                            </a:cxn>
                            <a:cxn ang="0">
                              <a:pos x="T3" y="0"/>
                            </a:cxn>
                            <a:cxn ang="0">
                              <a:pos x="T5" y="0"/>
                            </a:cxn>
                          </a:cxnLst>
                          <a:rect l="0" t="0" r="r" b="b"/>
                          <a:pathLst>
                            <a:path w="6467">
                              <a:moveTo>
                                <a:pt x="0" y="0"/>
                              </a:moveTo>
                              <a:lnTo>
                                <a:pt x="1213" y="0"/>
                              </a:lnTo>
                              <a:lnTo>
                                <a:pt x="6467" y="0"/>
                              </a:lnTo>
                            </a:path>
                          </a:pathLst>
                        </a:custGeom>
                        <a:noFill/>
                        <a:ln w="3175">
                          <a:solidFill>
                            <a:srgbClr val="231F2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30469C" id="docshape182" o:spid="_x0000_s1026" style="position:absolute;margin-left:59.5pt;margin-top:-2.7pt;width:323.35pt;height:.1pt;z-index:157926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646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" path="m,l1213,,6467,e" filled="f" strokecolor="#231f20" strokeweight=".25pt">
                <v:path arrowok="t" o:connecttype="custom" o:connectlocs="0,0;770255,0;4106545,0" o:connectangles="0,0,0"/>
                <w10:wrap anchorx="page"/>
              </v:shape>
            </w:pict>
          </mc:Fallback>
        </mc:AlternateContent>
      </w:r>
      <w:r>
        <w:rPr>
          <w:color w:val="231F20"/>
          <w:spacing w:val="-2"/>
          <w:w w:val="105"/>
          <w:sz w:val="14"/>
        </w:rPr>
        <w:t>Sport</w:t>
      </w:r>
    </w:p>
    <w:p w14:paraId="0F878F31" w14:textId="77777777" w:rsidR="00AE0598" w:rsidRDefault="0069255A">
      <w:pPr>
        <w:spacing w:before="1" w:line="235" w:lineRule="auto"/>
        <w:ind w:left="320" w:right="5"/>
        <w:rPr>
          <w:rFonts w:ascii="Trebuchet MS"/>
          <w:sz w:val="14"/>
        </w:rPr>
      </w:pPr>
      <w:r>
        <w:rPr>
          <w:rFonts w:ascii="Trebuchet MS"/>
          <w:color w:val="231F20"/>
          <w:sz w:val="14"/>
        </w:rPr>
        <w:t>landscape</w:t>
      </w:r>
      <w:r>
        <w:rPr>
          <w:rFonts w:ascii="Trebuchet MS"/>
          <w:color w:val="231F20"/>
          <w:spacing w:val="-7"/>
          <w:sz w:val="14"/>
        </w:rPr>
        <w:t xml:space="preserve"> </w:t>
      </w:r>
      <w:r>
        <w:rPr>
          <w:rFonts w:ascii="Trebuchet MS"/>
          <w:color w:val="231F20"/>
          <w:sz w:val="14"/>
        </w:rPr>
        <w:t xml:space="preserve">as </w:t>
      </w:r>
      <w:r>
        <w:rPr>
          <w:rFonts w:ascii="Trebuchet MS"/>
          <w:color w:val="231F20"/>
          <w:spacing w:val="-2"/>
          <w:sz w:val="14"/>
        </w:rPr>
        <w:t>place</w:t>
      </w:r>
    </w:p>
    <w:p w14:paraId="5E8D05B1" w14:textId="77777777" w:rsidR="00AE0598" w:rsidRDefault="00AE0598">
      <w:pPr>
        <w:pStyle w:val="Corpodetexto"/>
        <w:spacing w:before="8"/>
        <w:rPr>
          <w:rFonts w:ascii="Trebuchet MS"/>
          <w:sz w:val="22"/>
        </w:rPr>
      </w:pPr>
    </w:p>
    <w:p w14:paraId="63204EA9" w14:textId="17D2A69D" w:rsidR="00AE0598" w:rsidRDefault="0069255A">
      <w:pPr>
        <w:pStyle w:val="PargrafodaLista"/>
        <w:numPr>
          <w:ilvl w:val="0"/>
          <w:numId w:val="10"/>
        </w:numPr>
        <w:tabs>
          <w:tab w:val="left" w:pos="395"/>
        </w:tabs>
        <w:spacing w:before="1" w:line="161" w:lineRule="exact"/>
        <w:ind w:left="394" w:hanging="285"/>
        <w:rPr>
          <w:sz w:val="14"/>
        </w:rPr>
      </w:pPr>
      <w:r>
        <w:rPr>
          <w:noProof/>
        </w:rPr>
        <mc:AlternateContent>
          <mc:Choice Requires="wps">
            <w:drawing>
              <wp:anchor distT="0" distB="0" distL="114300" distR="114300" simplePos="0" relativeHeight="15793152" behindDoc="0" locked="0" layoutInCell="1" allowOverlap="1" wp14:anchorId="632BC100" wp14:editId="12671664">
                <wp:simplePos x="0" y="0"/>
                <wp:positionH relativeFrom="page">
                  <wp:posOffset>755650</wp:posOffset>
                </wp:positionH>
                <wp:positionV relativeFrom="paragraph">
                  <wp:posOffset>-33655</wp:posOffset>
                </wp:positionV>
                <wp:extent cx="4106545" cy="1270"/>
                <wp:effectExtent l="0" t="0" r="0" b="0"/>
                <wp:wrapNone/>
                <wp:docPr id="185" name="docshape1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106545" cy="1270"/>
                        </a:xfrm>
                        <a:custGeom>
                          <a:avLst/>
                          <a:gdLst>
                            <a:gd name="T0" fmla="+- 0 1190 1190"/>
                            <a:gd name="T1" fmla="*/ T0 w 6467"/>
                            <a:gd name="T2" fmla="+- 0 2403 1190"/>
                            <a:gd name="T3" fmla="*/ T2 w 6467"/>
                            <a:gd name="T4" fmla="+- 0 7657 1190"/>
                            <a:gd name="T5" fmla="*/ T4 w 6467"/>
                          </a:gdLst>
                          <a:ahLst/>
                          <a:cxnLst>
                            <a:cxn ang="0">
                              <a:pos x="T1" y="0"/>
                            </a:cxn>
                            <a:cxn ang="0">
                              <a:pos x="T3" y="0"/>
                            </a:cxn>
                            <a:cxn ang="0">
                              <a:pos x="T5" y="0"/>
                            </a:cxn>
                          </a:cxnLst>
                          <a:rect l="0" t="0" r="r" b="b"/>
                          <a:pathLst>
                            <a:path w="6467">
                              <a:moveTo>
                                <a:pt x="0" y="0"/>
                              </a:moveTo>
                              <a:lnTo>
                                <a:pt x="1213" y="0"/>
                              </a:lnTo>
                              <a:lnTo>
                                <a:pt x="6467" y="0"/>
                              </a:lnTo>
                            </a:path>
                          </a:pathLst>
                        </a:custGeom>
                        <a:noFill/>
                        <a:ln w="3175">
                          <a:solidFill>
                            <a:srgbClr val="231F2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BE1275" id="docshape183" o:spid="_x0000_s1026" style="position:absolute;margin-left:59.5pt;margin-top:-2.65pt;width:323.35pt;height:.1pt;z-index:157931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646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" path="m,l1213,,6467,e" filled="f" strokecolor="#231f20" strokeweight=".25pt">
                <v:path arrowok="t" o:connecttype="custom" o:connectlocs="0,0;770255,0;4106545,0" o:connectangles="0,0,0"/>
                <w10:wrap anchorx="page"/>
              </v:shape>
            </w:pict>
          </mc:Fallback>
        </mc:AlternateContent>
      </w:r>
      <w:r>
        <w:rPr>
          <w:color w:val="231F20"/>
          <w:spacing w:val="-2"/>
          <w:w w:val="105"/>
          <w:sz w:val="14"/>
        </w:rPr>
        <w:t>Sport</w:t>
      </w:r>
    </w:p>
    <w:p w14:paraId="697690CB" w14:textId="77777777" w:rsidR="00AE0598" w:rsidRDefault="0069255A">
      <w:pPr>
        <w:spacing w:before="3"/>
        <w:rPr>
          <w:rFonts w:ascii="Trebuchet MS"/>
          <w:sz w:val="17"/>
        </w:rPr>
      </w:pPr>
      <w:r>
        <w:br w:type="column"/>
      </w:r>
    </w:p>
    <w:p w14:paraId="049DAF11" w14:textId="77777777" w:rsidR="00AE0598" w:rsidRDefault="0069255A">
      <w:pPr>
        <w:spacing w:line="235" w:lineRule="auto"/>
        <w:ind w:left="110" w:right="204"/>
        <w:rPr>
          <w:rFonts w:ascii="Trebuchet MS"/>
          <w:sz w:val="14"/>
        </w:rPr>
      </w:pPr>
      <w:r>
        <w:rPr>
          <w:rFonts w:ascii="Trebuchet MS"/>
          <w:color w:val="231F20"/>
          <w:sz w:val="14"/>
        </w:rPr>
        <w:t>It</w:t>
      </w:r>
      <w:r>
        <w:rPr>
          <w:rFonts w:ascii="Trebuchet MS"/>
          <w:color w:val="231F20"/>
          <w:spacing w:val="20"/>
          <w:sz w:val="14"/>
        </w:rPr>
        <w:t xml:space="preserve"> </w:t>
      </w:r>
      <w:r>
        <w:rPr>
          <w:rFonts w:ascii="Trebuchet MS"/>
          <w:color w:val="231F20"/>
          <w:sz w:val="14"/>
        </w:rPr>
        <w:t>is</w:t>
      </w:r>
      <w:r>
        <w:rPr>
          <w:rFonts w:ascii="Trebuchet MS"/>
          <w:color w:val="231F20"/>
          <w:spacing w:val="20"/>
          <w:sz w:val="14"/>
        </w:rPr>
        <w:t xml:space="preserve"> </w:t>
      </w:r>
      <w:r>
        <w:rPr>
          <w:rFonts w:ascii="Trebuchet MS"/>
          <w:color w:val="231F20"/>
          <w:sz w:val="14"/>
        </w:rPr>
        <w:t>possible</w:t>
      </w:r>
      <w:r>
        <w:rPr>
          <w:rFonts w:ascii="Trebuchet MS"/>
          <w:color w:val="231F20"/>
          <w:spacing w:val="20"/>
          <w:sz w:val="14"/>
        </w:rPr>
        <w:t xml:space="preserve"> </w:t>
      </w:r>
      <w:r>
        <w:rPr>
          <w:rFonts w:ascii="Trebuchet MS"/>
          <w:color w:val="231F20"/>
          <w:sz w:val="14"/>
        </w:rPr>
        <w:t>for</w:t>
      </w:r>
      <w:r>
        <w:rPr>
          <w:rFonts w:ascii="Trebuchet MS"/>
          <w:color w:val="231F20"/>
          <w:spacing w:val="20"/>
          <w:sz w:val="14"/>
        </w:rPr>
        <w:t xml:space="preserve"> </w:t>
      </w:r>
      <w:r>
        <w:rPr>
          <w:rFonts w:ascii="Trebuchet MS"/>
          <w:color w:val="231F20"/>
          <w:sz w:val="14"/>
        </w:rPr>
        <w:t>sport</w:t>
      </w:r>
      <w:r>
        <w:rPr>
          <w:rFonts w:ascii="Trebuchet MS"/>
          <w:color w:val="231F20"/>
          <w:spacing w:val="20"/>
          <w:sz w:val="14"/>
        </w:rPr>
        <w:t xml:space="preserve"> </w:t>
      </w:r>
      <w:r>
        <w:rPr>
          <w:rFonts w:ascii="Trebuchet MS"/>
          <w:color w:val="231F20"/>
          <w:sz w:val="14"/>
        </w:rPr>
        <w:t>participants</w:t>
      </w:r>
      <w:r>
        <w:rPr>
          <w:rFonts w:ascii="Trebuchet MS"/>
          <w:color w:val="231F20"/>
          <w:spacing w:val="20"/>
          <w:sz w:val="14"/>
        </w:rPr>
        <w:t xml:space="preserve"> </w:t>
      </w:r>
      <w:r>
        <w:rPr>
          <w:rFonts w:ascii="Trebuchet MS"/>
          <w:color w:val="231F20"/>
          <w:sz w:val="14"/>
        </w:rPr>
        <w:t>to</w:t>
      </w:r>
      <w:r>
        <w:rPr>
          <w:rFonts w:ascii="Trebuchet MS"/>
          <w:color w:val="231F20"/>
          <w:spacing w:val="20"/>
          <w:sz w:val="14"/>
        </w:rPr>
        <w:t xml:space="preserve"> </w:t>
      </w:r>
      <w:r>
        <w:rPr>
          <w:rFonts w:ascii="Trebuchet MS"/>
          <w:color w:val="231F20"/>
          <w:sz w:val="14"/>
        </w:rPr>
        <w:t>encounter</w:t>
      </w:r>
      <w:r>
        <w:rPr>
          <w:rFonts w:ascii="Trebuchet MS"/>
          <w:color w:val="231F20"/>
          <w:spacing w:val="20"/>
          <w:sz w:val="14"/>
        </w:rPr>
        <w:t xml:space="preserve"> </w:t>
      </w:r>
      <w:r>
        <w:rPr>
          <w:rFonts w:ascii="Trebuchet MS"/>
          <w:color w:val="231F20"/>
          <w:sz w:val="14"/>
        </w:rPr>
        <w:t>and</w:t>
      </w:r>
      <w:r>
        <w:rPr>
          <w:rFonts w:ascii="Trebuchet MS"/>
          <w:color w:val="231F20"/>
          <w:spacing w:val="20"/>
          <w:sz w:val="14"/>
        </w:rPr>
        <w:t xml:space="preserve"> </w:t>
      </w:r>
      <w:r>
        <w:rPr>
          <w:rFonts w:ascii="Trebuchet MS"/>
          <w:color w:val="231F20"/>
          <w:sz w:val="14"/>
        </w:rPr>
        <w:t>utilise</w:t>
      </w:r>
      <w:r>
        <w:rPr>
          <w:rFonts w:ascii="Trebuchet MS"/>
          <w:color w:val="231F20"/>
          <w:spacing w:val="20"/>
          <w:sz w:val="14"/>
        </w:rPr>
        <w:t xml:space="preserve"> </w:t>
      </w:r>
      <w:r>
        <w:rPr>
          <w:rFonts w:ascii="Trebuchet MS"/>
          <w:color w:val="231F20"/>
          <w:sz w:val="14"/>
        </w:rPr>
        <w:t>the</w:t>
      </w:r>
      <w:r>
        <w:rPr>
          <w:rFonts w:ascii="Trebuchet MS"/>
          <w:color w:val="231F20"/>
          <w:spacing w:val="20"/>
          <w:sz w:val="14"/>
        </w:rPr>
        <w:t xml:space="preserve"> </w:t>
      </w:r>
      <w:r>
        <w:rPr>
          <w:rFonts w:ascii="Trebuchet MS"/>
          <w:color w:val="231F20"/>
          <w:sz w:val="14"/>
        </w:rPr>
        <w:t>natural</w:t>
      </w:r>
      <w:r>
        <w:rPr>
          <w:rFonts w:ascii="Trebuchet MS"/>
          <w:color w:val="231F20"/>
          <w:spacing w:val="20"/>
          <w:sz w:val="14"/>
        </w:rPr>
        <w:t xml:space="preserve"> </w:t>
      </w:r>
      <w:r>
        <w:rPr>
          <w:rFonts w:ascii="Trebuchet MS"/>
          <w:color w:val="231F20"/>
          <w:sz w:val="14"/>
        </w:rPr>
        <w:t>land- scape</w:t>
      </w:r>
      <w:r>
        <w:rPr>
          <w:rFonts w:ascii="Trebuchet MS"/>
          <w:color w:val="231F20"/>
          <w:spacing w:val="25"/>
          <w:sz w:val="14"/>
        </w:rPr>
        <w:t xml:space="preserve"> </w:t>
      </w:r>
      <w:r>
        <w:rPr>
          <w:rFonts w:ascii="Trebuchet MS"/>
          <w:color w:val="231F20"/>
          <w:sz w:val="14"/>
        </w:rPr>
        <w:t>for</w:t>
      </w:r>
      <w:r>
        <w:rPr>
          <w:rFonts w:ascii="Trebuchet MS"/>
          <w:color w:val="231F20"/>
          <w:spacing w:val="25"/>
          <w:sz w:val="14"/>
        </w:rPr>
        <w:t xml:space="preserve"> </w:t>
      </w:r>
      <w:r>
        <w:rPr>
          <w:rFonts w:ascii="Trebuchet MS"/>
          <w:color w:val="231F20"/>
          <w:sz w:val="14"/>
        </w:rPr>
        <w:t>certain</w:t>
      </w:r>
      <w:r>
        <w:rPr>
          <w:rFonts w:ascii="Trebuchet MS"/>
          <w:color w:val="231F20"/>
          <w:spacing w:val="25"/>
          <w:sz w:val="14"/>
        </w:rPr>
        <w:t xml:space="preserve"> </w:t>
      </w:r>
      <w:r>
        <w:rPr>
          <w:rFonts w:ascii="Trebuchet MS"/>
          <w:color w:val="231F20"/>
          <w:sz w:val="14"/>
        </w:rPr>
        <w:t>sports</w:t>
      </w:r>
      <w:r>
        <w:rPr>
          <w:rFonts w:ascii="Trebuchet MS"/>
          <w:color w:val="231F20"/>
          <w:spacing w:val="25"/>
          <w:sz w:val="14"/>
        </w:rPr>
        <w:t xml:space="preserve"> </w:t>
      </w:r>
      <w:r>
        <w:rPr>
          <w:rFonts w:ascii="Trebuchet MS"/>
          <w:color w:val="231F20"/>
          <w:sz w:val="14"/>
        </w:rPr>
        <w:t>events</w:t>
      </w:r>
      <w:r>
        <w:rPr>
          <w:rFonts w:ascii="Trebuchet MS"/>
          <w:color w:val="231F20"/>
          <w:spacing w:val="25"/>
          <w:sz w:val="14"/>
        </w:rPr>
        <w:t xml:space="preserve"> </w:t>
      </w:r>
      <w:r>
        <w:rPr>
          <w:rFonts w:ascii="Trebuchet MS"/>
          <w:color w:val="231F20"/>
          <w:sz w:val="14"/>
        </w:rPr>
        <w:t>and,</w:t>
      </w:r>
      <w:r>
        <w:rPr>
          <w:rFonts w:ascii="Trebuchet MS"/>
          <w:color w:val="231F20"/>
          <w:spacing w:val="25"/>
          <w:sz w:val="14"/>
        </w:rPr>
        <w:t xml:space="preserve"> </w:t>
      </w:r>
      <w:r>
        <w:rPr>
          <w:rFonts w:ascii="Trebuchet MS"/>
          <w:color w:val="231F20"/>
          <w:sz w:val="14"/>
        </w:rPr>
        <w:t>when</w:t>
      </w:r>
      <w:r>
        <w:rPr>
          <w:rFonts w:ascii="Trebuchet MS"/>
          <w:color w:val="231F20"/>
          <w:spacing w:val="25"/>
          <w:sz w:val="14"/>
        </w:rPr>
        <w:t xml:space="preserve"> </w:t>
      </w:r>
      <w:r>
        <w:rPr>
          <w:rFonts w:ascii="Trebuchet MS"/>
          <w:color w:val="231F20"/>
          <w:sz w:val="14"/>
        </w:rPr>
        <w:t>the</w:t>
      </w:r>
      <w:r>
        <w:rPr>
          <w:rFonts w:ascii="Trebuchet MS"/>
          <w:color w:val="231F20"/>
          <w:spacing w:val="25"/>
          <w:sz w:val="14"/>
        </w:rPr>
        <w:t xml:space="preserve"> </w:t>
      </w:r>
      <w:r>
        <w:rPr>
          <w:rFonts w:ascii="Trebuchet MS"/>
          <w:color w:val="231F20"/>
          <w:sz w:val="14"/>
        </w:rPr>
        <w:t>event</w:t>
      </w:r>
      <w:r>
        <w:rPr>
          <w:rFonts w:ascii="Trebuchet MS"/>
          <w:color w:val="231F20"/>
          <w:spacing w:val="25"/>
          <w:sz w:val="14"/>
        </w:rPr>
        <w:t xml:space="preserve"> </w:t>
      </w:r>
      <w:r>
        <w:rPr>
          <w:rFonts w:ascii="Trebuchet MS"/>
          <w:color w:val="231F20"/>
          <w:sz w:val="14"/>
        </w:rPr>
        <w:t>is</w:t>
      </w:r>
      <w:r>
        <w:rPr>
          <w:rFonts w:ascii="Trebuchet MS"/>
          <w:color w:val="231F20"/>
          <w:spacing w:val="25"/>
          <w:sz w:val="14"/>
        </w:rPr>
        <w:t xml:space="preserve"> </w:t>
      </w:r>
      <w:r>
        <w:rPr>
          <w:rFonts w:ascii="Trebuchet MS"/>
          <w:color w:val="231F20"/>
          <w:sz w:val="14"/>
        </w:rPr>
        <w:t>over,</w:t>
      </w:r>
      <w:r>
        <w:rPr>
          <w:rFonts w:ascii="Trebuchet MS"/>
          <w:color w:val="231F20"/>
          <w:spacing w:val="25"/>
          <w:sz w:val="14"/>
        </w:rPr>
        <w:t xml:space="preserve"> </w:t>
      </w:r>
      <w:r>
        <w:rPr>
          <w:rFonts w:ascii="Trebuchet MS"/>
          <w:color w:val="231F20"/>
          <w:sz w:val="14"/>
        </w:rPr>
        <w:t>never</w:t>
      </w:r>
      <w:r>
        <w:rPr>
          <w:rFonts w:ascii="Trebuchet MS"/>
          <w:color w:val="231F20"/>
          <w:spacing w:val="25"/>
          <w:sz w:val="14"/>
        </w:rPr>
        <w:t xml:space="preserve"> </w:t>
      </w:r>
      <w:r>
        <w:rPr>
          <w:rFonts w:ascii="Trebuchet MS"/>
          <w:color w:val="231F20"/>
          <w:sz w:val="14"/>
        </w:rPr>
        <w:t>return</w:t>
      </w:r>
    </w:p>
    <w:p w14:paraId="3051C132" w14:textId="77777777" w:rsidR="00AE0598" w:rsidRDefault="0069255A">
      <w:pPr>
        <w:spacing w:before="1" w:line="235" w:lineRule="auto"/>
        <w:ind w:left="110" w:right="368"/>
        <w:rPr>
          <w:rFonts w:ascii="Trebuchet MS" w:hAnsi="Trebuchet MS"/>
          <w:sz w:val="14"/>
        </w:rPr>
      </w:pPr>
      <w:r>
        <w:rPr>
          <w:rFonts w:ascii="Trebuchet MS" w:hAnsi="Trebuchet MS"/>
          <w:color w:val="231F20"/>
          <w:w w:val="105"/>
          <w:sz w:val="14"/>
        </w:rPr>
        <w:t>to</w:t>
      </w:r>
      <w:r>
        <w:rPr>
          <w:rFonts w:ascii="Trebuchet MS" w:hAnsi="Trebuchet MS"/>
          <w:color w:val="231F20"/>
          <w:spacing w:val="-1"/>
          <w:w w:val="105"/>
          <w:sz w:val="14"/>
        </w:rPr>
        <w:t xml:space="preserve"> </w:t>
      </w:r>
      <w:r>
        <w:rPr>
          <w:rFonts w:ascii="Trebuchet MS" w:hAnsi="Trebuchet MS"/>
          <w:color w:val="231F20"/>
          <w:w w:val="105"/>
          <w:sz w:val="14"/>
        </w:rPr>
        <w:t>it.</w:t>
      </w:r>
      <w:r>
        <w:rPr>
          <w:rFonts w:ascii="Trebuchet MS" w:hAnsi="Trebuchet MS"/>
          <w:color w:val="231F20"/>
          <w:spacing w:val="-1"/>
          <w:w w:val="105"/>
          <w:sz w:val="14"/>
        </w:rPr>
        <w:t xml:space="preserve"> </w:t>
      </w:r>
      <w:r>
        <w:rPr>
          <w:rFonts w:ascii="Trebuchet MS" w:hAnsi="Trebuchet MS"/>
          <w:color w:val="231F20"/>
          <w:w w:val="105"/>
          <w:sz w:val="14"/>
        </w:rPr>
        <w:t>They</w:t>
      </w:r>
      <w:r>
        <w:rPr>
          <w:rFonts w:ascii="Trebuchet MS" w:hAnsi="Trebuchet MS"/>
          <w:color w:val="231F20"/>
          <w:spacing w:val="-1"/>
          <w:w w:val="105"/>
          <w:sz w:val="14"/>
        </w:rPr>
        <w:t xml:space="preserve"> </w:t>
      </w:r>
      <w:r>
        <w:rPr>
          <w:rFonts w:ascii="Trebuchet MS" w:hAnsi="Trebuchet MS"/>
          <w:color w:val="231F20"/>
          <w:w w:val="105"/>
          <w:sz w:val="14"/>
        </w:rPr>
        <w:t>remain</w:t>
      </w:r>
      <w:r>
        <w:rPr>
          <w:rFonts w:ascii="Trebuchet MS" w:hAnsi="Trebuchet MS"/>
          <w:color w:val="231F20"/>
          <w:spacing w:val="-1"/>
          <w:w w:val="105"/>
          <w:sz w:val="14"/>
        </w:rPr>
        <w:t xml:space="preserve"> </w:t>
      </w:r>
      <w:r>
        <w:rPr>
          <w:rFonts w:ascii="Trebuchet MS" w:hAnsi="Trebuchet MS"/>
          <w:color w:val="231F20"/>
          <w:w w:val="105"/>
          <w:sz w:val="14"/>
        </w:rPr>
        <w:t>landscapes</w:t>
      </w:r>
      <w:r>
        <w:rPr>
          <w:rFonts w:ascii="Trebuchet MS" w:hAnsi="Trebuchet MS"/>
          <w:color w:val="231F20"/>
          <w:spacing w:val="-1"/>
          <w:w w:val="105"/>
          <w:sz w:val="14"/>
        </w:rPr>
        <w:t xml:space="preserve"> </w:t>
      </w:r>
      <w:r>
        <w:rPr>
          <w:rFonts w:ascii="Trebuchet MS" w:hAnsi="Trebuchet MS"/>
          <w:color w:val="231F20"/>
          <w:w w:val="105"/>
          <w:sz w:val="14"/>
        </w:rPr>
        <w:t>and</w:t>
      </w:r>
      <w:r>
        <w:rPr>
          <w:rFonts w:ascii="Trebuchet MS" w:hAnsi="Trebuchet MS"/>
          <w:color w:val="231F20"/>
          <w:spacing w:val="-1"/>
          <w:w w:val="105"/>
          <w:sz w:val="14"/>
        </w:rPr>
        <w:t xml:space="preserve"> </w:t>
      </w:r>
      <w:r>
        <w:rPr>
          <w:rFonts w:ascii="Trebuchet MS" w:hAnsi="Trebuchet MS"/>
          <w:color w:val="231F20"/>
          <w:w w:val="105"/>
          <w:sz w:val="14"/>
        </w:rPr>
        <w:t>never</w:t>
      </w:r>
      <w:r>
        <w:rPr>
          <w:rFonts w:ascii="Trebuchet MS" w:hAnsi="Trebuchet MS"/>
          <w:color w:val="231F20"/>
          <w:spacing w:val="-1"/>
          <w:w w:val="105"/>
          <w:sz w:val="14"/>
        </w:rPr>
        <w:t xml:space="preserve"> </w:t>
      </w:r>
      <w:r>
        <w:rPr>
          <w:rFonts w:ascii="Trebuchet MS" w:hAnsi="Trebuchet MS"/>
          <w:color w:val="231F20"/>
          <w:w w:val="105"/>
          <w:sz w:val="14"/>
        </w:rPr>
        <w:t>become</w:t>
      </w:r>
      <w:r>
        <w:rPr>
          <w:rFonts w:ascii="Trebuchet MS" w:hAnsi="Trebuchet MS"/>
          <w:color w:val="231F20"/>
          <w:spacing w:val="-1"/>
          <w:w w:val="105"/>
          <w:sz w:val="14"/>
        </w:rPr>
        <w:t xml:space="preserve"> </w:t>
      </w:r>
      <w:r>
        <w:rPr>
          <w:rFonts w:ascii="Trebuchet MS" w:hAnsi="Trebuchet MS"/>
          <w:color w:val="231F20"/>
          <w:w w:val="105"/>
          <w:sz w:val="14"/>
        </w:rPr>
        <w:t>sportscapes.</w:t>
      </w:r>
      <w:r>
        <w:rPr>
          <w:rFonts w:ascii="Trebuchet MS" w:hAnsi="Trebuchet MS"/>
          <w:color w:val="231F20"/>
          <w:spacing w:val="-1"/>
          <w:w w:val="105"/>
          <w:sz w:val="14"/>
        </w:rPr>
        <w:t xml:space="preserve"> </w:t>
      </w:r>
      <w:r>
        <w:rPr>
          <w:rFonts w:ascii="Trebuchet MS" w:hAnsi="Trebuchet MS"/>
          <w:color w:val="231F20"/>
          <w:w w:val="105"/>
          <w:sz w:val="14"/>
        </w:rPr>
        <w:t>Landscapes therefore may be used for sports but never ‘sportised’ in any permanent sense. Impressions of nature and environment are important elements of the athlete’s experience.</w:t>
      </w:r>
    </w:p>
    <w:p w14:paraId="4B6D6079" w14:textId="77777777" w:rsidR="00AE0598" w:rsidRDefault="0069255A">
      <w:pPr>
        <w:spacing w:before="88" w:line="235" w:lineRule="auto"/>
        <w:ind w:left="110" w:right="480"/>
        <w:rPr>
          <w:rFonts w:ascii="Trebuchet MS"/>
          <w:sz w:val="14"/>
        </w:rPr>
      </w:pPr>
      <w:r>
        <w:rPr>
          <w:rFonts w:ascii="Trebuchet MS"/>
          <w:color w:val="231F20"/>
          <w:sz w:val="14"/>
        </w:rPr>
        <w:t>The</w:t>
      </w:r>
      <w:r>
        <w:rPr>
          <w:rFonts w:ascii="Trebuchet MS"/>
          <w:color w:val="231F20"/>
          <w:spacing w:val="26"/>
          <w:sz w:val="14"/>
        </w:rPr>
        <w:t xml:space="preserve"> </w:t>
      </w:r>
      <w:r>
        <w:rPr>
          <w:rFonts w:ascii="Trebuchet MS"/>
          <w:color w:val="231F20"/>
          <w:sz w:val="14"/>
        </w:rPr>
        <w:t>sport</w:t>
      </w:r>
      <w:r>
        <w:rPr>
          <w:rFonts w:ascii="Trebuchet MS"/>
          <w:color w:val="231F20"/>
          <w:spacing w:val="26"/>
          <w:sz w:val="14"/>
        </w:rPr>
        <w:t xml:space="preserve"> </w:t>
      </w:r>
      <w:r>
        <w:rPr>
          <w:rFonts w:ascii="Trebuchet MS"/>
          <w:color w:val="231F20"/>
          <w:sz w:val="14"/>
        </w:rPr>
        <w:t>landscape</w:t>
      </w:r>
      <w:r>
        <w:rPr>
          <w:rFonts w:ascii="Trebuchet MS"/>
          <w:color w:val="231F20"/>
          <w:spacing w:val="26"/>
          <w:sz w:val="14"/>
        </w:rPr>
        <w:t xml:space="preserve"> </w:t>
      </w:r>
      <w:r>
        <w:rPr>
          <w:rFonts w:ascii="Trebuchet MS"/>
          <w:color w:val="231F20"/>
          <w:sz w:val="14"/>
        </w:rPr>
        <w:t>may</w:t>
      </w:r>
      <w:r>
        <w:rPr>
          <w:rFonts w:ascii="Trebuchet MS"/>
          <w:color w:val="231F20"/>
          <w:spacing w:val="26"/>
          <w:sz w:val="14"/>
        </w:rPr>
        <w:t xml:space="preserve"> </w:t>
      </w:r>
      <w:r>
        <w:rPr>
          <w:rFonts w:ascii="Trebuchet MS"/>
          <w:color w:val="231F20"/>
          <w:sz w:val="14"/>
        </w:rPr>
        <w:t>also</w:t>
      </w:r>
      <w:r>
        <w:rPr>
          <w:rFonts w:ascii="Trebuchet MS"/>
          <w:color w:val="231F20"/>
          <w:spacing w:val="26"/>
          <w:sz w:val="14"/>
        </w:rPr>
        <w:t xml:space="preserve"> </w:t>
      </w:r>
      <w:r>
        <w:rPr>
          <w:rFonts w:ascii="Trebuchet MS"/>
          <w:color w:val="231F20"/>
          <w:sz w:val="14"/>
        </w:rPr>
        <w:t>be</w:t>
      </w:r>
      <w:r>
        <w:rPr>
          <w:rFonts w:ascii="Trebuchet MS"/>
          <w:color w:val="231F20"/>
          <w:spacing w:val="26"/>
          <w:sz w:val="14"/>
        </w:rPr>
        <w:t xml:space="preserve"> </w:t>
      </w:r>
      <w:r>
        <w:rPr>
          <w:rFonts w:ascii="Trebuchet MS"/>
          <w:color w:val="231F20"/>
          <w:sz w:val="14"/>
        </w:rPr>
        <w:t>regarded</w:t>
      </w:r>
      <w:r>
        <w:rPr>
          <w:rFonts w:ascii="Trebuchet MS"/>
          <w:color w:val="231F20"/>
          <w:spacing w:val="26"/>
          <w:sz w:val="14"/>
        </w:rPr>
        <w:t xml:space="preserve"> </w:t>
      </w:r>
      <w:r>
        <w:rPr>
          <w:rFonts w:ascii="Trebuchet MS"/>
          <w:color w:val="231F20"/>
          <w:sz w:val="14"/>
        </w:rPr>
        <w:t>as</w:t>
      </w:r>
      <w:r>
        <w:rPr>
          <w:rFonts w:ascii="Trebuchet MS"/>
          <w:color w:val="231F20"/>
          <w:spacing w:val="26"/>
          <w:sz w:val="14"/>
        </w:rPr>
        <w:t xml:space="preserve"> </w:t>
      </w:r>
      <w:r>
        <w:rPr>
          <w:rFonts w:ascii="Trebuchet MS"/>
          <w:color w:val="231F20"/>
          <w:sz w:val="14"/>
        </w:rPr>
        <w:t>part</w:t>
      </w:r>
      <w:r>
        <w:rPr>
          <w:rFonts w:ascii="Trebuchet MS"/>
          <w:color w:val="231F20"/>
          <w:spacing w:val="26"/>
          <w:sz w:val="14"/>
        </w:rPr>
        <w:t xml:space="preserve"> </w:t>
      </w:r>
      <w:r>
        <w:rPr>
          <w:rFonts w:ascii="Trebuchet MS"/>
          <w:color w:val="231F20"/>
          <w:sz w:val="14"/>
        </w:rPr>
        <w:t>of</w:t>
      </w:r>
      <w:r>
        <w:rPr>
          <w:rFonts w:ascii="Trebuchet MS"/>
          <w:color w:val="231F20"/>
          <w:spacing w:val="26"/>
          <w:sz w:val="14"/>
        </w:rPr>
        <w:t xml:space="preserve"> </w:t>
      </w:r>
      <w:r>
        <w:rPr>
          <w:rFonts w:ascii="Trebuchet MS"/>
          <w:color w:val="231F20"/>
          <w:sz w:val="14"/>
        </w:rPr>
        <w:t>the</w:t>
      </w:r>
      <w:r>
        <w:rPr>
          <w:rFonts w:ascii="Trebuchet MS"/>
          <w:color w:val="231F20"/>
          <w:spacing w:val="26"/>
          <w:sz w:val="14"/>
        </w:rPr>
        <w:t xml:space="preserve"> </w:t>
      </w:r>
      <w:r>
        <w:rPr>
          <w:rFonts w:ascii="Trebuchet MS"/>
          <w:color w:val="231F20"/>
          <w:sz w:val="14"/>
        </w:rPr>
        <w:t>human</w:t>
      </w:r>
      <w:r>
        <w:rPr>
          <w:rFonts w:ascii="Trebuchet MS"/>
          <w:color w:val="231F20"/>
          <w:spacing w:val="26"/>
          <w:sz w:val="14"/>
        </w:rPr>
        <w:t xml:space="preserve"> </w:t>
      </w:r>
      <w:r>
        <w:rPr>
          <w:rFonts w:ascii="Trebuchet MS"/>
          <w:color w:val="231F20"/>
          <w:sz w:val="14"/>
        </w:rPr>
        <w:t>habitat. Consc</w:t>
      </w:r>
      <w:r>
        <w:rPr>
          <w:rFonts w:ascii="Trebuchet MS"/>
          <w:color w:val="231F20"/>
          <w:sz w:val="14"/>
        </w:rPr>
        <w:t>ious decisions can be made for slopes, soils, elevations, sites and</w:t>
      </w:r>
      <w:r>
        <w:rPr>
          <w:rFonts w:ascii="Trebuchet MS"/>
          <w:color w:val="231F20"/>
          <w:spacing w:val="40"/>
          <w:sz w:val="14"/>
        </w:rPr>
        <w:t xml:space="preserve"> </w:t>
      </w:r>
      <w:r>
        <w:rPr>
          <w:rFonts w:ascii="Trebuchet MS"/>
          <w:color w:val="231F20"/>
          <w:sz w:val="14"/>
        </w:rPr>
        <w:t>routes, channels or relief features to be used as homes for sport. Humans</w:t>
      </w:r>
      <w:r>
        <w:rPr>
          <w:rFonts w:ascii="Trebuchet MS"/>
          <w:color w:val="231F20"/>
          <w:spacing w:val="80"/>
          <w:sz w:val="14"/>
        </w:rPr>
        <w:t xml:space="preserve"> </w:t>
      </w:r>
      <w:r>
        <w:rPr>
          <w:rFonts w:ascii="Trebuchet MS"/>
          <w:color w:val="231F20"/>
          <w:sz w:val="14"/>
        </w:rPr>
        <w:t>rearrange</w:t>
      </w:r>
      <w:r>
        <w:rPr>
          <w:rFonts w:ascii="Trebuchet MS"/>
          <w:color w:val="231F20"/>
          <w:spacing w:val="29"/>
          <w:sz w:val="14"/>
        </w:rPr>
        <w:t xml:space="preserve"> </w:t>
      </w:r>
      <w:r>
        <w:rPr>
          <w:rFonts w:ascii="Trebuchet MS"/>
          <w:color w:val="231F20"/>
          <w:sz w:val="14"/>
        </w:rPr>
        <w:t>nature</w:t>
      </w:r>
      <w:r>
        <w:rPr>
          <w:rFonts w:ascii="Trebuchet MS"/>
          <w:color w:val="231F20"/>
          <w:spacing w:val="29"/>
          <w:sz w:val="14"/>
        </w:rPr>
        <w:t xml:space="preserve"> </w:t>
      </w:r>
      <w:r>
        <w:rPr>
          <w:rFonts w:ascii="Trebuchet MS"/>
          <w:color w:val="231F20"/>
          <w:sz w:val="14"/>
        </w:rPr>
        <w:t>into</w:t>
      </w:r>
      <w:r>
        <w:rPr>
          <w:rFonts w:ascii="Trebuchet MS"/>
          <w:color w:val="231F20"/>
          <w:spacing w:val="29"/>
          <w:sz w:val="14"/>
        </w:rPr>
        <w:t xml:space="preserve"> </w:t>
      </w:r>
      <w:r>
        <w:rPr>
          <w:rFonts w:ascii="Trebuchet MS"/>
          <w:color w:val="231F20"/>
          <w:sz w:val="14"/>
        </w:rPr>
        <w:t>sport-related</w:t>
      </w:r>
      <w:r>
        <w:rPr>
          <w:rFonts w:ascii="Trebuchet MS"/>
          <w:color w:val="231F20"/>
          <w:spacing w:val="29"/>
          <w:sz w:val="14"/>
        </w:rPr>
        <w:t xml:space="preserve"> </w:t>
      </w:r>
      <w:r>
        <w:rPr>
          <w:rFonts w:ascii="Trebuchet MS"/>
          <w:color w:val="231F20"/>
          <w:sz w:val="14"/>
        </w:rPr>
        <w:t>forms;</w:t>
      </w:r>
      <w:r>
        <w:rPr>
          <w:rFonts w:ascii="Trebuchet MS"/>
          <w:color w:val="231F20"/>
          <w:spacing w:val="29"/>
          <w:sz w:val="14"/>
        </w:rPr>
        <w:t xml:space="preserve"> </w:t>
      </w:r>
      <w:r>
        <w:rPr>
          <w:rFonts w:ascii="Trebuchet MS"/>
          <w:color w:val="231F20"/>
          <w:sz w:val="14"/>
        </w:rPr>
        <w:t>an</w:t>
      </w:r>
      <w:r>
        <w:rPr>
          <w:rFonts w:ascii="Trebuchet MS"/>
          <w:color w:val="231F20"/>
          <w:spacing w:val="29"/>
          <w:sz w:val="14"/>
        </w:rPr>
        <w:t xml:space="preserve"> </w:t>
      </w:r>
      <w:r>
        <w:rPr>
          <w:rFonts w:ascii="Trebuchet MS"/>
          <w:color w:val="231F20"/>
          <w:sz w:val="14"/>
        </w:rPr>
        <w:t>adjustment</w:t>
      </w:r>
      <w:r>
        <w:rPr>
          <w:rFonts w:ascii="Trebuchet MS"/>
          <w:color w:val="231F20"/>
          <w:spacing w:val="29"/>
          <w:sz w:val="14"/>
        </w:rPr>
        <w:t xml:space="preserve"> </w:t>
      </w:r>
      <w:r>
        <w:rPr>
          <w:rFonts w:ascii="Trebuchet MS"/>
          <w:color w:val="231F20"/>
          <w:sz w:val="14"/>
        </w:rPr>
        <w:t>rather</w:t>
      </w:r>
      <w:r>
        <w:rPr>
          <w:rFonts w:ascii="Trebuchet MS"/>
          <w:color w:val="231F20"/>
          <w:spacing w:val="29"/>
          <w:sz w:val="14"/>
        </w:rPr>
        <w:t xml:space="preserve"> </w:t>
      </w:r>
      <w:r>
        <w:rPr>
          <w:rFonts w:ascii="Trebuchet MS"/>
          <w:color w:val="231F20"/>
          <w:sz w:val="14"/>
        </w:rPr>
        <w:t>than</w:t>
      </w:r>
      <w:r>
        <w:rPr>
          <w:rFonts w:ascii="Trebuchet MS"/>
          <w:color w:val="231F20"/>
          <w:spacing w:val="29"/>
          <w:sz w:val="14"/>
        </w:rPr>
        <w:t xml:space="preserve"> </w:t>
      </w:r>
      <w:r>
        <w:rPr>
          <w:rFonts w:ascii="Trebuchet MS"/>
          <w:color w:val="231F20"/>
          <w:sz w:val="14"/>
        </w:rPr>
        <w:t>a conquest of nature.</w:t>
      </w:r>
    </w:p>
    <w:p w14:paraId="3E1ADC79" w14:textId="77777777" w:rsidR="00AE0598" w:rsidRDefault="0069255A">
      <w:pPr>
        <w:spacing w:before="109" w:line="235" w:lineRule="auto"/>
        <w:ind w:left="110" w:right="204"/>
        <w:rPr>
          <w:rFonts w:ascii="Trebuchet MS"/>
          <w:sz w:val="14"/>
        </w:rPr>
      </w:pPr>
      <w:r>
        <w:rPr>
          <w:rFonts w:ascii="Trebuchet MS"/>
          <w:color w:val="231F20"/>
          <w:sz w:val="14"/>
        </w:rPr>
        <w:t>Many</w:t>
      </w:r>
      <w:r>
        <w:rPr>
          <w:rFonts w:ascii="Trebuchet MS"/>
          <w:color w:val="231F20"/>
          <w:spacing w:val="29"/>
          <w:sz w:val="14"/>
        </w:rPr>
        <w:t xml:space="preserve"> </w:t>
      </w:r>
      <w:r>
        <w:rPr>
          <w:rFonts w:ascii="Trebuchet MS"/>
          <w:color w:val="231F20"/>
          <w:sz w:val="14"/>
        </w:rPr>
        <w:t>sport</w:t>
      </w:r>
      <w:r>
        <w:rPr>
          <w:rFonts w:ascii="Trebuchet MS"/>
          <w:color w:val="231F20"/>
          <w:spacing w:val="29"/>
          <w:sz w:val="14"/>
        </w:rPr>
        <w:t xml:space="preserve"> </w:t>
      </w:r>
      <w:r>
        <w:rPr>
          <w:rFonts w:ascii="Trebuchet MS"/>
          <w:color w:val="231F20"/>
          <w:sz w:val="14"/>
        </w:rPr>
        <w:t>landscapes</w:t>
      </w:r>
      <w:r>
        <w:rPr>
          <w:rFonts w:ascii="Trebuchet MS"/>
          <w:color w:val="231F20"/>
          <w:spacing w:val="29"/>
          <w:sz w:val="14"/>
        </w:rPr>
        <w:t xml:space="preserve"> </w:t>
      </w:r>
      <w:r>
        <w:rPr>
          <w:rFonts w:ascii="Trebuchet MS"/>
          <w:color w:val="231F20"/>
          <w:sz w:val="14"/>
        </w:rPr>
        <w:t>disregard</w:t>
      </w:r>
      <w:r>
        <w:rPr>
          <w:rFonts w:ascii="Trebuchet MS"/>
          <w:color w:val="231F20"/>
          <w:spacing w:val="29"/>
          <w:sz w:val="14"/>
        </w:rPr>
        <w:t xml:space="preserve"> </w:t>
      </w:r>
      <w:r>
        <w:rPr>
          <w:rFonts w:ascii="Trebuchet MS"/>
          <w:color w:val="231F20"/>
          <w:sz w:val="14"/>
        </w:rPr>
        <w:t>the</w:t>
      </w:r>
      <w:r>
        <w:rPr>
          <w:rFonts w:ascii="Trebuchet MS"/>
          <w:color w:val="231F20"/>
          <w:spacing w:val="29"/>
          <w:sz w:val="14"/>
        </w:rPr>
        <w:t xml:space="preserve"> </w:t>
      </w:r>
      <w:r>
        <w:rPr>
          <w:rFonts w:ascii="Trebuchet MS"/>
          <w:color w:val="231F20"/>
          <w:sz w:val="14"/>
        </w:rPr>
        <w:t>natural</w:t>
      </w:r>
      <w:r>
        <w:rPr>
          <w:rFonts w:ascii="Trebuchet MS"/>
          <w:color w:val="231F20"/>
          <w:spacing w:val="29"/>
          <w:sz w:val="14"/>
        </w:rPr>
        <w:t xml:space="preserve"> </w:t>
      </w:r>
      <w:r>
        <w:rPr>
          <w:rFonts w:ascii="Trebuchet MS"/>
          <w:color w:val="231F20"/>
          <w:sz w:val="14"/>
        </w:rPr>
        <w:t>or</w:t>
      </w:r>
      <w:r>
        <w:rPr>
          <w:rFonts w:ascii="Trebuchet MS"/>
          <w:color w:val="231F20"/>
          <w:spacing w:val="29"/>
          <w:sz w:val="14"/>
        </w:rPr>
        <w:t xml:space="preserve"> </w:t>
      </w:r>
      <w:r>
        <w:rPr>
          <w:rFonts w:ascii="Trebuchet MS"/>
          <w:color w:val="231F20"/>
          <w:sz w:val="14"/>
        </w:rPr>
        <w:t>semi-natural</w:t>
      </w:r>
      <w:r>
        <w:rPr>
          <w:rFonts w:ascii="Trebuchet MS"/>
          <w:color w:val="231F20"/>
          <w:spacing w:val="29"/>
          <w:sz w:val="14"/>
        </w:rPr>
        <w:t xml:space="preserve"> </w:t>
      </w:r>
      <w:r>
        <w:rPr>
          <w:rFonts w:ascii="Trebuchet MS"/>
          <w:color w:val="231F20"/>
          <w:sz w:val="14"/>
        </w:rPr>
        <w:t>landscape</w:t>
      </w:r>
      <w:r>
        <w:rPr>
          <w:rFonts w:ascii="Trebuchet MS"/>
          <w:color w:val="231F20"/>
          <w:spacing w:val="29"/>
          <w:sz w:val="14"/>
        </w:rPr>
        <w:t xml:space="preserve"> </w:t>
      </w:r>
      <w:r>
        <w:rPr>
          <w:rFonts w:ascii="Trebuchet MS"/>
          <w:color w:val="231F20"/>
          <w:sz w:val="14"/>
        </w:rPr>
        <w:t>upon which</w:t>
      </w:r>
      <w:r>
        <w:rPr>
          <w:rFonts w:ascii="Trebuchet MS"/>
          <w:color w:val="231F20"/>
          <w:spacing w:val="24"/>
          <w:sz w:val="14"/>
        </w:rPr>
        <w:t xml:space="preserve"> </w:t>
      </w:r>
      <w:r>
        <w:rPr>
          <w:rFonts w:ascii="Trebuchet MS"/>
          <w:color w:val="231F20"/>
          <w:sz w:val="14"/>
        </w:rPr>
        <w:t>they</w:t>
      </w:r>
      <w:r>
        <w:rPr>
          <w:rFonts w:ascii="Trebuchet MS"/>
          <w:color w:val="231F20"/>
          <w:spacing w:val="24"/>
          <w:sz w:val="14"/>
        </w:rPr>
        <w:t xml:space="preserve"> </w:t>
      </w:r>
      <w:r>
        <w:rPr>
          <w:rFonts w:ascii="Trebuchet MS"/>
          <w:color w:val="231F20"/>
          <w:sz w:val="14"/>
        </w:rPr>
        <w:t>are</w:t>
      </w:r>
      <w:r>
        <w:rPr>
          <w:rFonts w:ascii="Trebuchet MS"/>
          <w:color w:val="231F20"/>
          <w:spacing w:val="24"/>
          <w:sz w:val="14"/>
        </w:rPr>
        <w:t xml:space="preserve"> </w:t>
      </w:r>
      <w:r>
        <w:rPr>
          <w:rFonts w:ascii="Trebuchet MS"/>
          <w:color w:val="231F20"/>
          <w:sz w:val="14"/>
        </w:rPr>
        <w:t>found.</w:t>
      </w:r>
      <w:r>
        <w:rPr>
          <w:rFonts w:ascii="Trebuchet MS"/>
          <w:color w:val="231F20"/>
          <w:spacing w:val="24"/>
          <w:sz w:val="14"/>
        </w:rPr>
        <w:t xml:space="preserve"> </w:t>
      </w:r>
      <w:r>
        <w:rPr>
          <w:rFonts w:ascii="Trebuchet MS"/>
          <w:color w:val="231F20"/>
          <w:sz w:val="14"/>
        </w:rPr>
        <w:t>This</w:t>
      </w:r>
      <w:r>
        <w:rPr>
          <w:rFonts w:ascii="Trebuchet MS"/>
          <w:color w:val="231F20"/>
          <w:spacing w:val="24"/>
          <w:sz w:val="14"/>
        </w:rPr>
        <w:t xml:space="preserve"> </w:t>
      </w:r>
      <w:r>
        <w:rPr>
          <w:rFonts w:ascii="Trebuchet MS"/>
          <w:color w:val="231F20"/>
          <w:sz w:val="14"/>
        </w:rPr>
        <w:t>view</w:t>
      </w:r>
      <w:r>
        <w:rPr>
          <w:rFonts w:ascii="Trebuchet MS"/>
          <w:color w:val="231F20"/>
          <w:spacing w:val="24"/>
          <w:sz w:val="14"/>
        </w:rPr>
        <w:t xml:space="preserve"> </w:t>
      </w:r>
      <w:r>
        <w:rPr>
          <w:rFonts w:ascii="Trebuchet MS"/>
          <w:color w:val="231F20"/>
          <w:sz w:val="14"/>
        </w:rPr>
        <w:t>sees</w:t>
      </w:r>
      <w:r>
        <w:rPr>
          <w:rFonts w:ascii="Trebuchet MS"/>
          <w:color w:val="231F20"/>
          <w:spacing w:val="24"/>
          <w:sz w:val="14"/>
        </w:rPr>
        <w:t xml:space="preserve"> </w:t>
      </w:r>
      <w:r>
        <w:rPr>
          <w:rFonts w:ascii="Trebuchet MS"/>
          <w:color w:val="231F20"/>
          <w:sz w:val="14"/>
        </w:rPr>
        <w:t>humankind</w:t>
      </w:r>
      <w:r>
        <w:rPr>
          <w:rFonts w:ascii="Trebuchet MS"/>
          <w:color w:val="231F20"/>
          <w:spacing w:val="24"/>
          <w:sz w:val="14"/>
        </w:rPr>
        <w:t xml:space="preserve"> </w:t>
      </w:r>
      <w:r>
        <w:rPr>
          <w:rFonts w:ascii="Trebuchet MS"/>
          <w:color w:val="231F20"/>
          <w:sz w:val="14"/>
        </w:rPr>
        <w:t>as</w:t>
      </w:r>
      <w:r>
        <w:rPr>
          <w:rFonts w:ascii="Trebuchet MS"/>
          <w:color w:val="231F20"/>
          <w:spacing w:val="24"/>
          <w:sz w:val="14"/>
        </w:rPr>
        <w:t xml:space="preserve"> </w:t>
      </w:r>
      <w:r>
        <w:rPr>
          <w:rFonts w:ascii="Trebuchet MS"/>
          <w:color w:val="231F20"/>
          <w:sz w:val="14"/>
        </w:rPr>
        <w:t>the</w:t>
      </w:r>
      <w:r>
        <w:rPr>
          <w:rFonts w:ascii="Trebuchet MS"/>
          <w:color w:val="231F20"/>
          <w:spacing w:val="24"/>
          <w:sz w:val="14"/>
        </w:rPr>
        <w:t xml:space="preserve"> </w:t>
      </w:r>
      <w:r>
        <w:rPr>
          <w:rFonts w:ascii="Trebuchet MS"/>
          <w:color w:val="231F20"/>
          <w:sz w:val="14"/>
        </w:rPr>
        <w:t>conqueror</w:t>
      </w:r>
      <w:r>
        <w:rPr>
          <w:rFonts w:ascii="Trebuchet MS"/>
          <w:color w:val="231F20"/>
          <w:spacing w:val="24"/>
          <w:sz w:val="14"/>
        </w:rPr>
        <w:t xml:space="preserve"> </w:t>
      </w:r>
      <w:r>
        <w:rPr>
          <w:rFonts w:ascii="Trebuchet MS"/>
          <w:color w:val="231F20"/>
          <w:sz w:val="14"/>
        </w:rPr>
        <w:t>of</w:t>
      </w:r>
      <w:r>
        <w:rPr>
          <w:rFonts w:ascii="Trebuchet MS"/>
          <w:color w:val="231F20"/>
          <w:spacing w:val="24"/>
          <w:sz w:val="14"/>
        </w:rPr>
        <w:t xml:space="preserve"> </w:t>
      </w:r>
      <w:r>
        <w:rPr>
          <w:rFonts w:ascii="Trebuchet MS"/>
          <w:color w:val="231F20"/>
          <w:sz w:val="14"/>
        </w:rPr>
        <w:t>nature, with</w:t>
      </w:r>
      <w:r>
        <w:rPr>
          <w:rFonts w:ascii="Trebuchet MS"/>
          <w:color w:val="231F20"/>
          <w:spacing w:val="30"/>
          <w:sz w:val="14"/>
        </w:rPr>
        <w:t xml:space="preserve"> </w:t>
      </w:r>
      <w:r>
        <w:rPr>
          <w:rFonts w:ascii="Trebuchet MS"/>
          <w:color w:val="231F20"/>
          <w:sz w:val="14"/>
        </w:rPr>
        <w:t>concrete,</w:t>
      </w:r>
      <w:r>
        <w:rPr>
          <w:rFonts w:ascii="Trebuchet MS"/>
          <w:color w:val="231F20"/>
          <w:spacing w:val="30"/>
          <w:sz w:val="14"/>
        </w:rPr>
        <w:t xml:space="preserve"> </w:t>
      </w:r>
      <w:r>
        <w:rPr>
          <w:rFonts w:ascii="Trebuchet MS"/>
          <w:color w:val="231F20"/>
          <w:sz w:val="14"/>
        </w:rPr>
        <w:t>plastic</w:t>
      </w:r>
      <w:r>
        <w:rPr>
          <w:rFonts w:ascii="Trebuchet MS"/>
          <w:color w:val="231F20"/>
          <w:spacing w:val="30"/>
          <w:sz w:val="14"/>
        </w:rPr>
        <w:t xml:space="preserve"> </w:t>
      </w:r>
      <w:r>
        <w:rPr>
          <w:rFonts w:ascii="Trebuchet MS"/>
          <w:color w:val="231F20"/>
          <w:sz w:val="14"/>
        </w:rPr>
        <w:t>and</w:t>
      </w:r>
      <w:r>
        <w:rPr>
          <w:rFonts w:ascii="Trebuchet MS"/>
          <w:color w:val="231F20"/>
          <w:spacing w:val="30"/>
          <w:sz w:val="14"/>
        </w:rPr>
        <w:t xml:space="preserve"> </w:t>
      </w:r>
      <w:r>
        <w:rPr>
          <w:rFonts w:ascii="Trebuchet MS"/>
          <w:color w:val="231F20"/>
          <w:sz w:val="14"/>
        </w:rPr>
        <w:t>glass,</w:t>
      </w:r>
      <w:r>
        <w:rPr>
          <w:rFonts w:ascii="Trebuchet MS"/>
          <w:color w:val="231F20"/>
          <w:spacing w:val="30"/>
          <w:sz w:val="14"/>
        </w:rPr>
        <w:t xml:space="preserve"> </w:t>
      </w:r>
      <w:r>
        <w:rPr>
          <w:rFonts w:ascii="Trebuchet MS"/>
          <w:color w:val="231F20"/>
          <w:sz w:val="14"/>
        </w:rPr>
        <w:t>totally</w:t>
      </w:r>
      <w:r>
        <w:rPr>
          <w:rFonts w:ascii="Trebuchet MS"/>
          <w:color w:val="231F20"/>
          <w:spacing w:val="30"/>
          <w:sz w:val="14"/>
        </w:rPr>
        <w:t xml:space="preserve"> </w:t>
      </w:r>
      <w:r>
        <w:rPr>
          <w:rFonts w:ascii="Trebuchet MS"/>
          <w:color w:val="231F20"/>
          <w:sz w:val="14"/>
        </w:rPr>
        <w:t>flat</w:t>
      </w:r>
      <w:r>
        <w:rPr>
          <w:rFonts w:ascii="Trebuchet MS"/>
          <w:color w:val="231F20"/>
          <w:spacing w:val="30"/>
          <w:sz w:val="14"/>
        </w:rPr>
        <w:t xml:space="preserve"> </w:t>
      </w:r>
      <w:r>
        <w:rPr>
          <w:rFonts w:ascii="Trebuchet MS"/>
          <w:color w:val="231F20"/>
          <w:sz w:val="14"/>
        </w:rPr>
        <w:t>synthetic</w:t>
      </w:r>
      <w:r>
        <w:rPr>
          <w:rFonts w:ascii="Trebuchet MS"/>
          <w:color w:val="231F20"/>
          <w:spacing w:val="30"/>
          <w:sz w:val="14"/>
        </w:rPr>
        <w:t xml:space="preserve"> </w:t>
      </w:r>
      <w:r>
        <w:rPr>
          <w:rFonts w:ascii="Trebuchet MS"/>
          <w:color w:val="231F20"/>
          <w:sz w:val="14"/>
        </w:rPr>
        <w:t>surfaces</w:t>
      </w:r>
      <w:r>
        <w:rPr>
          <w:rFonts w:ascii="Trebuchet MS"/>
          <w:color w:val="231F20"/>
          <w:spacing w:val="30"/>
          <w:sz w:val="14"/>
        </w:rPr>
        <w:t xml:space="preserve"> </w:t>
      </w:r>
      <w:r>
        <w:rPr>
          <w:rFonts w:ascii="Trebuchet MS"/>
          <w:color w:val="231F20"/>
          <w:sz w:val="14"/>
        </w:rPr>
        <w:t>and</w:t>
      </w:r>
      <w:r>
        <w:rPr>
          <w:rFonts w:ascii="Trebuchet MS"/>
          <w:color w:val="231F20"/>
          <w:spacing w:val="30"/>
          <w:sz w:val="14"/>
        </w:rPr>
        <w:t xml:space="preserve"> </w:t>
      </w:r>
      <w:r>
        <w:rPr>
          <w:rFonts w:ascii="Trebuchet MS"/>
          <w:color w:val="231F20"/>
          <w:sz w:val="14"/>
        </w:rPr>
        <w:t>indoor arenas in which nature has been neutrali</w:t>
      </w:r>
      <w:r>
        <w:rPr>
          <w:rFonts w:ascii="Trebuchet MS"/>
          <w:color w:val="231F20"/>
          <w:sz w:val="14"/>
        </w:rPr>
        <w:t>sed.</w:t>
      </w:r>
    </w:p>
    <w:p w14:paraId="2788D19E" w14:textId="77777777" w:rsidR="00AE0598" w:rsidRDefault="0069255A">
      <w:pPr>
        <w:spacing w:before="108" w:line="235" w:lineRule="auto"/>
        <w:ind w:left="110" w:right="204"/>
        <w:rPr>
          <w:rFonts w:ascii="Trebuchet MS"/>
          <w:sz w:val="14"/>
        </w:rPr>
      </w:pPr>
      <w:r>
        <w:rPr>
          <w:rFonts w:ascii="Trebuchet MS"/>
          <w:color w:val="231F20"/>
          <w:w w:val="105"/>
          <w:sz w:val="14"/>
        </w:rPr>
        <w:t>Sports</w:t>
      </w:r>
      <w:r>
        <w:rPr>
          <w:rFonts w:ascii="Trebuchet MS"/>
          <w:color w:val="231F20"/>
          <w:spacing w:val="-4"/>
          <w:w w:val="105"/>
          <w:sz w:val="14"/>
        </w:rPr>
        <w:t xml:space="preserve"> </w:t>
      </w:r>
      <w:r>
        <w:rPr>
          <w:rFonts w:ascii="Trebuchet MS"/>
          <w:color w:val="231F20"/>
          <w:w w:val="105"/>
          <w:sz w:val="14"/>
        </w:rPr>
        <w:t>landscapes</w:t>
      </w:r>
      <w:r>
        <w:rPr>
          <w:rFonts w:ascii="Trebuchet MS"/>
          <w:color w:val="231F20"/>
          <w:spacing w:val="-4"/>
          <w:w w:val="105"/>
          <w:sz w:val="14"/>
        </w:rPr>
        <w:t xml:space="preserve"> </w:t>
      </w:r>
      <w:r>
        <w:rPr>
          <w:rFonts w:ascii="Trebuchet MS"/>
          <w:color w:val="231F20"/>
          <w:w w:val="105"/>
          <w:sz w:val="14"/>
        </w:rPr>
        <w:t>can</w:t>
      </w:r>
      <w:r>
        <w:rPr>
          <w:rFonts w:ascii="Trebuchet MS"/>
          <w:color w:val="231F20"/>
          <w:spacing w:val="-4"/>
          <w:w w:val="105"/>
          <w:sz w:val="14"/>
        </w:rPr>
        <w:t xml:space="preserve"> </w:t>
      </w:r>
      <w:r>
        <w:rPr>
          <w:rFonts w:ascii="Trebuchet MS"/>
          <w:color w:val="231F20"/>
          <w:w w:val="105"/>
          <w:sz w:val="14"/>
        </w:rPr>
        <w:t>also</w:t>
      </w:r>
      <w:r>
        <w:rPr>
          <w:rFonts w:ascii="Trebuchet MS"/>
          <w:color w:val="231F20"/>
          <w:spacing w:val="-4"/>
          <w:w w:val="105"/>
          <w:sz w:val="14"/>
        </w:rPr>
        <w:t xml:space="preserve"> </w:t>
      </w:r>
      <w:r>
        <w:rPr>
          <w:rFonts w:ascii="Trebuchet MS"/>
          <w:color w:val="231F20"/>
          <w:w w:val="105"/>
          <w:sz w:val="14"/>
        </w:rPr>
        <w:t>be</w:t>
      </w:r>
      <w:r>
        <w:rPr>
          <w:rFonts w:ascii="Trebuchet MS"/>
          <w:color w:val="231F20"/>
          <w:spacing w:val="-4"/>
          <w:w w:val="105"/>
          <w:sz w:val="14"/>
        </w:rPr>
        <w:t xml:space="preserve"> </w:t>
      </w:r>
      <w:r>
        <w:rPr>
          <w:rFonts w:ascii="Trebuchet MS"/>
          <w:color w:val="231F20"/>
          <w:w w:val="105"/>
          <w:sz w:val="14"/>
        </w:rPr>
        <w:t>viewed</w:t>
      </w:r>
      <w:r>
        <w:rPr>
          <w:rFonts w:ascii="Trebuchet MS"/>
          <w:color w:val="231F20"/>
          <w:spacing w:val="-4"/>
          <w:w w:val="105"/>
          <w:sz w:val="14"/>
        </w:rPr>
        <w:t xml:space="preserve"> </w:t>
      </w:r>
      <w:r>
        <w:rPr>
          <w:rFonts w:ascii="Trebuchet MS"/>
          <w:color w:val="231F20"/>
          <w:w w:val="105"/>
          <w:sz w:val="14"/>
        </w:rPr>
        <w:t>as</w:t>
      </w:r>
      <w:r>
        <w:rPr>
          <w:rFonts w:ascii="Trebuchet MS"/>
          <w:color w:val="231F20"/>
          <w:spacing w:val="-4"/>
          <w:w w:val="105"/>
          <w:sz w:val="14"/>
        </w:rPr>
        <w:t xml:space="preserve"> </w:t>
      </w:r>
      <w:r>
        <w:rPr>
          <w:rFonts w:ascii="Trebuchet MS"/>
          <w:color w:val="231F20"/>
          <w:w w:val="105"/>
          <w:sz w:val="14"/>
        </w:rPr>
        <w:t>part</w:t>
      </w:r>
      <w:r>
        <w:rPr>
          <w:rFonts w:ascii="Trebuchet MS"/>
          <w:color w:val="231F20"/>
          <w:spacing w:val="-4"/>
          <w:w w:val="105"/>
          <w:sz w:val="14"/>
        </w:rPr>
        <w:t xml:space="preserve"> </w:t>
      </w:r>
      <w:r>
        <w:rPr>
          <w:rFonts w:ascii="Trebuchet MS"/>
          <w:color w:val="231F20"/>
          <w:w w:val="105"/>
          <w:sz w:val="14"/>
        </w:rPr>
        <w:t>of</w:t>
      </w:r>
      <w:r>
        <w:rPr>
          <w:rFonts w:ascii="Trebuchet MS"/>
          <w:color w:val="231F20"/>
          <w:spacing w:val="-4"/>
          <w:w w:val="105"/>
          <w:sz w:val="14"/>
        </w:rPr>
        <w:t xml:space="preserve"> </w:t>
      </w:r>
      <w:r>
        <w:rPr>
          <w:rFonts w:ascii="Trebuchet MS"/>
          <w:color w:val="231F20"/>
          <w:w w:val="105"/>
          <w:sz w:val="14"/>
        </w:rPr>
        <w:t>intricate</w:t>
      </w:r>
      <w:r>
        <w:rPr>
          <w:rFonts w:ascii="Trebuchet MS"/>
          <w:color w:val="231F20"/>
          <w:spacing w:val="-4"/>
          <w:w w:val="105"/>
          <w:sz w:val="14"/>
        </w:rPr>
        <w:t xml:space="preserve"> </w:t>
      </w:r>
      <w:r>
        <w:rPr>
          <w:rFonts w:ascii="Trebuchet MS"/>
          <w:color w:val="231F20"/>
          <w:w w:val="105"/>
          <w:sz w:val="14"/>
        </w:rPr>
        <w:t>economic</w:t>
      </w:r>
      <w:r>
        <w:rPr>
          <w:rFonts w:ascii="Trebuchet MS"/>
          <w:color w:val="231F20"/>
          <w:spacing w:val="-4"/>
          <w:w w:val="105"/>
          <w:sz w:val="14"/>
        </w:rPr>
        <w:t xml:space="preserve"> </w:t>
      </w:r>
      <w:r>
        <w:rPr>
          <w:rFonts w:ascii="Trebuchet MS"/>
          <w:color w:val="231F20"/>
          <w:w w:val="105"/>
          <w:sz w:val="14"/>
        </w:rPr>
        <w:t>or</w:t>
      </w:r>
      <w:r>
        <w:rPr>
          <w:rFonts w:ascii="Trebuchet MS"/>
          <w:color w:val="231F20"/>
          <w:spacing w:val="-4"/>
          <w:w w:val="105"/>
          <w:sz w:val="14"/>
        </w:rPr>
        <w:t xml:space="preserve"> </w:t>
      </w:r>
      <w:r>
        <w:rPr>
          <w:rFonts w:ascii="Trebuchet MS"/>
          <w:color w:val="231F20"/>
          <w:w w:val="105"/>
          <w:sz w:val="14"/>
        </w:rPr>
        <w:t xml:space="preserve">physical </w:t>
      </w:r>
      <w:r>
        <w:rPr>
          <w:rFonts w:ascii="Trebuchet MS"/>
          <w:color w:val="231F20"/>
          <w:sz w:val="14"/>
        </w:rPr>
        <w:t xml:space="preserve">systems. A sports stadium, for example, does not exist in isolation; it generates </w:t>
      </w:r>
      <w:r>
        <w:rPr>
          <w:rFonts w:ascii="Trebuchet MS"/>
          <w:color w:val="231F20"/>
          <w:w w:val="105"/>
          <w:sz w:val="14"/>
        </w:rPr>
        <w:t>flows of people and spatial interactions over an area much greater than that of</w:t>
      </w:r>
      <w:r>
        <w:rPr>
          <w:rFonts w:ascii="Trebuchet MS"/>
          <w:color w:val="231F20"/>
          <w:spacing w:val="-5"/>
          <w:w w:val="105"/>
          <w:sz w:val="14"/>
        </w:rPr>
        <w:t xml:space="preserve"> </w:t>
      </w:r>
      <w:r>
        <w:rPr>
          <w:rFonts w:ascii="Trebuchet MS"/>
          <w:color w:val="231F20"/>
          <w:w w:val="105"/>
          <w:sz w:val="14"/>
        </w:rPr>
        <w:t>the</w:t>
      </w:r>
      <w:r>
        <w:rPr>
          <w:rFonts w:ascii="Trebuchet MS"/>
          <w:color w:val="231F20"/>
          <w:spacing w:val="-4"/>
          <w:w w:val="105"/>
          <w:sz w:val="14"/>
        </w:rPr>
        <w:t xml:space="preserve"> </w:t>
      </w:r>
      <w:r>
        <w:rPr>
          <w:rFonts w:ascii="Trebuchet MS"/>
          <w:color w:val="231F20"/>
          <w:w w:val="105"/>
          <w:sz w:val="14"/>
        </w:rPr>
        <w:t>stadium</w:t>
      </w:r>
      <w:r>
        <w:rPr>
          <w:rFonts w:ascii="Trebuchet MS"/>
          <w:color w:val="231F20"/>
          <w:spacing w:val="-4"/>
          <w:w w:val="105"/>
          <w:sz w:val="14"/>
        </w:rPr>
        <w:t xml:space="preserve"> </w:t>
      </w:r>
      <w:r>
        <w:rPr>
          <w:rFonts w:ascii="Trebuchet MS"/>
          <w:color w:val="231F20"/>
          <w:w w:val="105"/>
          <w:sz w:val="14"/>
        </w:rPr>
        <w:t>itself.</w:t>
      </w:r>
      <w:r>
        <w:rPr>
          <w:rFonts w:ascii="Trebuchet MS"/>
          <w:color w:val="231F20"/>
          <w:spacing w:val="-4"/>
          <w:w w:val="105"/>
          <w:sz w:val="14"/>
        </w:rPr>
        <w:t xml:space="preserve"> </w:t>
      </w:r>
      <w:r>
        <w:rPr>
          <w:rFonts w:ascii="Trebuchet MS"/>
          <w:color w:val="231F20"/>
          <w:w w:val="105"/>
          <w:sz w:val="14"/>
        </w:rPr>
        <w:t>For</w:t>
      </w:r>
      <w:r>
        <w:rPr>
          <w:rFonts w:ascii="Trebuchet MS"/>
          <w:color w:val="231F20"/>
          <w:spacing w:val="-4"/>
          <w:w w:val="105"/>
          <w:sz w:val="14"/>
        </w:rPr>
        <w:t xml:space="preserve"> </w:t>
      </w:r>
      <w:r>
        <w:rPr>
          <w:rFonts w:ascii="Trebuchet MS"/>
          <w:color w:val="231F20"/>
          <w:w w:val="105"/>
          <w:sz w:val="14"/>
        </w:rPr>
        <w:t>example,</w:t>
      </w:r>
      <w:r>
        <w:rPr>
          <w:rFonts w:ascii="Trebuchet MS"/>
          <w:color w:val="231F20"/>
          <w:spacing w:val="-5"/>
          <w:w w:val="105"/>
          <w:sz w:val="14"/>
        </w:rPr>
        <w:t xml:space="preserve"> </w:t>
      </w:r>
      <w:r>
        <w:rPr>
          <w:rFonts w:ascii="Trebuchet MS"/>
          <w:color w:val="231F20"/>
          <w:w w:val="105"/>
          <w:sz w:val="14"/>
        </w:rPr>
        <w:t>the</w:t>
      </w:r>
      <w:r>
        <w:rPr>
          <w:rFonts w:ascii="Trebuchet MS"/>
          <w:color w:val="231F20"/>
          <w:spacing w:val="-4"/>
          <w:w w:val="105"/>
          <w:sz w:val="14"/>
        </w:rPr>
        <w:t xml:space="preserve"> </w:t>
      </w:r>
      <w:r>
        <w:rPr>
          <w:rFonts w:ascii="Trebuchet MS"/>
          <w:color w:val="231F20"/>
          <w:w w:val="105"/>
          <w:sz w:val="14"/>
        </w:rPr>
        <w:t>Tour</w:t>
      </w:r>
      <w:r>
        <w:rPr>
          <w:rFonts w:ascii="Trebuchet MS"/>
          <w:color w:val="231F20"/>
          <w:spacing w:val="-5"/>
          <w:w w:val="105"/>
          <w:sz w:val="14"/>
        </w:rPr>
        <w:t xml:space="preserve"> </w:t>
      </w:r>
      <w:r>
        <w:rPr>
          <w:rFonts w:ascii="Trebuchet MS"/>
          <w:color w:val="231F20"/>
          <w:w w:val="105"/>
          <w:sz w:val="14"/>
        </w:rPr>
        <w:t>de</w:t>
      </w:r>
      <w:r>
        <w:rPr>
          <w:rFonts w:ascii="Trebuchet MS"/>
          <w:color w:val="231F20"/>
          <w:spacing w:val="-5"/>
          <w:w w:val="105"/>
          <w:sz w:val="14"/>
        </w:rPr>
        <w:t xml:space="preserve"> </w:t>
      </w:r>
      <w:r>
        <w:rPr>
          <w:rFonts w:ascii="Trebuchet MS"/>
          <w:color w:val="231F20"/>
          <w:w w:val="105"/>
          <w:sz w:val="14"/>
        </w:rPr>
        <w:t>France</w:t>
      </w:r>
      <w:r>
        <w:rPr>
          <w:rFonts w:ascii="Trebuchet MS"/>
          <w:color w:val="231F20"/>
          <w:spacing w:val="-5"/>
          <w:w w:val="105"/>
          <w:sz w:val="14"/>
        </w:rPr>
        <w:t xml:space="preserve"> </w:t>
      </w:r>
      <w:r>
        <w:rPr>
          <w:rFonts w:ascii="Trebuchet MS"/>
          <w:color w:val="231F20"/>
          <w:w w:val="105"/>
          <w:sz w:val="14"/>
        </w:rPr>
        <w:t>is</w:t>
      </w:r>
      <w:r>
        <w:rPr>
          <w:rFonts w:ascii="Trebuchet MS"/>
          <w:color w:val="231F20"/>
          <w:spacing w:val="-5"/>
          <w:w w:val="105"/>
          <w:sz w:val="14"/>
        </w:rPr>
        <w:t xml:space="preserve"> </w:t>
      </w:r>
      <w:r>
        <w:rPr>
          <w:rFonts w:ascii="Trebuchet MS"/>
          <w:color w:val="231F20"/>
          <w:w w:val="105"/>
          <w:sz w:val="14"/>
        </w:rPr>
        <w:t>part</w:t>
      </w:r>
      <w:r>
        <w:rPr>
          <w:rFonts w:ascii="Trebuchet MS"/>
          <w:color w:val="231F20"/>
          <w:spacing w:val="-5"/>
          <w:w w:val="105"/>
          <w:sz w:val="14"/>
        </w:rPr>
        <w:t xml:space="preserve"> </w:t>
      </w:r>
      <w:r>
        <w:rPr>
          <w:rFonts w:ascii="Trebuchet MS"/>
          <w:color w:val="231F20"/>
          <w:w w:val="105"/>
          <w:sz w:val="14"/>
        </w:rPr>
        <w:t>of</w:t>
      </w:r>
      <w:r>
        <w:rPr>
          <w:rFonts w:ascii="Trebuchet MS"/>
          <w:color w:val="231F20"/>
          <w:spacing w:val="-5"/>
          <w:w w:val="105"/>
          <w:sz w:val="14"/>
        </w:rPr>
        <w:t xml:space="preserve"> </w:t>
      </w:r>
      <w:r>
        <w:rPr>
          <w:rFonts w:ascii="Trebuchet MS"/>
          <w:color w:val="231F20"/>
          <w:w w:val="105"/>
          <w:sz w:val="14"/>
        </w:rPr>
        <w:t>an</w:t>
      </w:r>
      <w:r>
        <w:rPr>
          <w:rFonts w:ascii="Trebuchet MS"/>
          <w:color w:val="231F20"/>
          <w:spacing w:val="-5"/>
          <w:w w:val="105"/>
          <w:sz w:val="14"/>
        </w:rPr>
        <w:t xml:space="preserve"> </w:t>
      </w:r>
      <w:r>
        <w:rPr>
          <w:rFonts w:ascii="Trebuchet MS"/>
          <w:color w:val="231F20"/>
          <w:w w:val="105"/>
          <w:sz w:val="14"/>
        </w:rPr>
        <w:t>extensive economic</w:t>
      </w:r>
      <w:r>
        <w:rPr>
          <w:rFonts w:ascii="Trebuchet MS"/>
          <w:color w:val="231F20"/>
          <w:spacing w:val="-9"/>
          <w:w w:val="105"/>
          <w:sz w:val="14"/>
        </w:rPr>
        <w:t xml:space="preserve"> </w:t>
      </w:r>
      <w:r>
        <w:rPr>
          <w:rFonts w:ascii="Trebuchet MS"/>
          <w:color w:val="231F20"/>
          <w:w w:val="105"/>
          <w:sz w:val="14"/>
        </w:rPr>
        <w:t>system</w:t>
      </w:r>
      <w:r>
        <w:rPr>
          <w:rFonts w:ascii="Trebuchet MS"/>
          <w:color w:val="231F20"/>
          <w:spacing w:val="-9"/>
          <w:w w:val="105"/>
          <w:sz w:val="14"/>
        </w:rPr>
        <w:t xml:space="preserve"> </w:t>
      </w:r>
      <w:r>
        <w:rPr>
          <w:rFonts w:ascii="Trebuchet MS"/>
          <w:color w:val="231F20"/>
          <w:w w:val="105"/>
          <w:sz w:val="14"/>
        </w:rPr>
        <w:t>that</w:t>
      </w:r>
      <w:r>
        <w:rPr>
          <w:rFonts w:ascii="Trebuchet MS"/>
          <w:color w:val="231F20"/>
          <w:spacing w:val="-9"/>
          <w:w w:val="105"/>
          <w:sz w:val="14"/>
        </w:rPr>
        <w:t xml:space="preserve"> </w:t>
      </w:r>
      <w:r>
        <w:rPr>
          <w:rFonts w:ascii="Trebuchet MS"/>
          <w:color w:val="231F20"/>
          <w:w w:val="105"/>
          <w:sz w:val="14"/>
        </w:rPr>
        <w:t>affects</w:t>
      </w:r>
      <w:r>
        <w:rPr>
          <w:rFonts w:ascii="Trebuchet MS"/>
          <w:color w:val="231F20"/>
          <w:spacing w:val="-9"/>
          <w:w w:val="105"/>
          <w:sz w:val="14"/>
        </w:rPr>
        <w:t xml:space="preserve"> </w:t>
      </w:r>
      <w:r>
        <w:rPr>
          <w:rFonts w:ascii="Trebuchet MS"/>
          <w:color w:val="231F20"/>
          <w:w w:val="105"/>
          <w:sz w:val="14"/>
        </w:rPr>
        <w:t>the</w:t>
      </w:r>
      <w:r>
        <w:rPr>
          <w:rFonts w:ascii="Trebuchet MS"/>
          <w:color w:val="231F20"/>
          <w:spacing w:val="-9"/>
          <w:w w:val="105"/>
          <w:sz w:val="14"/>
        </w:rPr>
        <w:t xml:space="preserve"> </w:t>
      </w:r>
      <w:r>
        <w:rPr>
          <w:rFonts w:ascii="Trebuchet MS"/>
          <w:color w:val="231F20"/>
          <w:w w:val="105"/>
          <w:sz w:val="14"/>
        </w:rPr>
        <w:t>places</w:t>
      </w:r>
      <w:r>
        <w:rPr>
          <w:rFonts w:ascii="Trebuchet MS"/>
          <w:color w:val="231F20"/>
          <w:spacing w:val="-9"/>
          <w:w w:val="105"/>
          <w:sz w:val="14"/>
        </w:rPr>
        <w:t xml:space="preserve"> </w:t>
      </w:r>
      <w:r>
        <w:rPr>
          <w:rFonts w:ascii="Trebuchet MS"/>
          <w:color w:val="231F20"/>
          <w:w w:val="105"/>
          <w:sz w:val="14"/>
        </w:rPr>
        <w:t>through</w:t>
      </w:r>
      <w:r>
        <w:rPr>
          <w:rFonts w:ascii="Trebuchet MS"/>
          <w:color w:val="231F20"/>
          <w:spacing w:val="-9"/>
          <w:w w:val="105"/>
          <w:sz w:val="14"/>
        </w:rPr>
        <w:t xml:space="preserve"> </w:t>
      </w:r>
      <w:r>
        <w:rPr>
          <w:rFonts w:ascii="Trebuchet MS"/>
          <w:color w:val="231F20"/>
          <w:w w:val="105"/>
          <w:sz w:val="14"/>
        </w:rPr>
        <w:t>which</w:t>
      </w:r>
      <w:r>
        <w:rPr>
          <w:rFonts w:ascii="Trebuchet MS"/>
          <w:color w:val="231F20"/>
          <w:spacing w:val="-9"/>
          <w:w w:val="105"/>
          <w:sz w:val="14"/>
        </w:rPr>
        <w:t xml:space="preserve"> </w:t>
      </w:r>
      <w:r>
        <w:rPr>
          <w:rFonts w:ascii="Trebuchet MS"/>
          <w:color w:val="231F20"/>
          <w:w w:val="105"/>
          <w:sz w:val="14"/>
        </w:rPr>
        <w:t>it</w:t>
      </w:r>
      <w:r>
        <w:rPr>
          <w:rFonts w:ascii="Trebuchet MS"/>
          <w:color w:val="231F20"/>
          <w:spacing w:val="-9"/>
          <w:w w:val="105"/>
          <w:sz w:val="14"/>
        </w:rPr>
        <w:t xml:space="preserve"> </w:t>
      </w:r>
      <w:r>
        <w:rPr>
          <w:rFonts w:ascii="Trebuchet MS"/>
          <w:color w:val="231F20"/>
          <w:w w:val="105"/>
          <w:sz w:val="14"/>
        </w:rPr>
        <w:t>passes.</w:t>
      </w:r>
      <w:r>
        <w:rPr>
          <w:rFonts w:ascii="Trebuchet MS"/>
          <w:color w:val="231F20"/>
          <w:spacing w:val="-9"/>
          <w:w w:val="105"/>
          <w:sz w:val="14"/>
        </w:rPr>
        <w:t xml:space="preserve"> </w:t>
      </w:r>
      <w:r>
        <w:rPr>
          <w:rFonts w:ascii="Trebuchet MS"/>
          <w:color w:val="231F20"/>
          <w:w w:val="105"/>
          <w:sz w:val="14"/>
        </w:rPr>
        <w:t>Sports</w:t>
      </w:r>
      <w:r>
        <w:rPr>
          <w:rFonts w:ascii="Trebuchet MS"/>
          <w:color w:val="231F20"/>
          <w:spacing w:val="-9"/>
          <w:w w:val="105"/>
          <w:sz w:val="14"/>
        </w:rPr>
        <w:t xml:space="preserve"> </w:t>
      </w:r>
      <w:r>
        <w:rPr>
          <w:rFonts w:ascii="Trebuchet MS"/>
          <w:color w:val="231F20"/>
          <w:w w:val="105"/>
          <w:sz w:val="14"/>
        </w:rPr>
        <w:t>events are</w:t>
      </w:r>
      <w:r>
        <w:rPr>
          <w:rFonts w:ascii="Trebuchet MS"/>
          <w:color w:val="231F20"/>
          <w:spacing w:val="-9"/>
          <w:w w:val="105"/>
          <w:sz w:val="14"/>
        </w:rPr>
        <w:t xml:space="preserve"> </w:t>
      </w:r>
      <w:r>
        <w:rPr>
          <w:rFonts w:ascii="Trebuchet MS"/>
          <w:color w:val="231F20"/>
          <w:w w:val="105"/>
          <w:sz w:val="14"/>
        </w:rPr>
        <w:t>also</w:t>
      </w:r>
      <w:r>
        <w:rPr>
          <w:rFonts w:ascii="Trebuchet MS"/>
          <w:color w:val="231F20"/>
          <w:spacing w:val="-9"/>
          <w:w w:val="105"/>
          <w:sz w:val="14"/>
        </w:rPr>
        <w:t xml:space="preserve"> </w:t>
      </w:r>
      <w:r>
        <w:rPr>
          <w:rFonts w:ascii="Trebuchet MS"/>
          <w:color w:val="231F20"/>
          <w:w w:val="105"/>
          <w:sz w:val="14"/>
        </w:rPr>
        <w:t>part</w:t>
      </w:r>
      <w:r>
        <w:rPr>
          <w:rFonts w:ascii="Trebuchet MS"/>
          <w:color w:val="231F20"/>
          <w:spacing w:val="-9"/>
          <w:w w:val="105"/>
          <w:sz w:val="14"/>
        </w:rPr>
        <w:t xml:space="preserve"> </w:t>
      </w:r>
      <w:r>
        <w:rPr>
          <w:rFonts w:ascii="Trebuchet MS"/>
          <w:color w:val="231F20"/>
          <w:w w:val="105"/>
          <w:sz w:val="14"/>
        </w:rPr>
        <w:t>of</w:t>
      </w:r>
      <w:r>
        <w:rPr>
          <w:rFonts w:ascii="Trebuchet MS"/>
          <w:color w:val="231F20"/>
          <w:spacing w:val="-9"/>
          <w:w w:val="105"/>
          <w:sz w:val="14"/>
        </w:rPr>
        <w:t xml:space="preserve"> </w:t>
      </w:r>
      <w:r>
        <w:rPr>
          <w:rFonts w:ascii="Trebuchet MS"/>
          <w:color w:val="231F20"/>
          <w:w w:val="105"/>
          <w:sz w:val="14"/>
        </w:rPr>
        <w:t>physical</w:t>
      </w:r>
      <w:r>
        <w:rPr>
          <w:rFonts w:ascii="Trebuchet MS"/>
          <w:color w:val="231F20"/>
          <w:spacing w:val="-9"/>
          <w:w w:val="105"/>
          <w:sz w:val="14"/>
        </w:rPr>
        <w:t xml:space="preserve"> </w:t>
      </w:r>
      <w:r>
        <w:rPr>
          <w:rFonts w:ascii="Trebuchet MS"/>
          <w:color w:val="231F20"/>
          <w:w w:val="105"/>
          <w:sz w:val="14"/>
        </w:rPr>
        <w:t>systems.</w:t>
      </w:r>
      <w:r>
        <w:rPr>
          <w:rFonts w:ascii="Trebuchet MS"/>
          <w:color w:val="231F20"/>
          <w:spacing w:val="-9"/>
          <w:w w:val="105"/>
          <w:sz w:val="14"/>
        </w:rPr>
        <w:t xml:space="preserve"> </w:t>
      </w:r>
      <w:r>
        <w:rPr>
          <w:rFonts w:ascii="Trebuchet MS"/>
          <w:color w:val="231F20"/>
          <w:w w:val="105"/>
          <w:sz w:val="14"/>
        </w:rPr>
        <w:t>Snow</w:t>
      </w:r>
      <w:r>
        <w:rPr>
          <w:rFonts w:ascii="Trebuchet MS"/>
          <w:color w:val="231F20"/>
          <w:spacing w:val="-9"/>
          <w:w w:val="105"/>
          <w:sz w:val="14"/>
        </w:rPr>
        <w:t xml:space="preserve"> </w:t>
      </w:r>
      <w:r>
        <w:rPr>
          <w:rFonts w:ascii="Trebuchet MS"/>
          <w:color w:val="231F20"/>
          <w:w w:val="105"/>
          <w:sz w:val="14"/>
        </w:rPr>
        <w:t>conditions</w:t>
      </w:r>
      <w:r>
        <w:rPr>
          <w:rFonts w:ascii="Trebuchet MS"/>
          <w:color w:val="231F20"/>
          <w:spacing w:val="-9"/>
          <w:w w:val="105"/>
          <w:sz w:val="14"/>
        </w:rPr>
        <w:t xml:space="preserve"> </w:t>
      </w:r>
      <w:r>
        <w:rPr>
          <w:rFonts w:ascii="Trebuchet MS"/>
          <w:color w:val="231F20"/>
          <w:w w:val="105"/>
          <w:sz w:val="14"/>
        </w:rPr>
        <w:t>influence</w:t>
      </w:r>
      <w:r>
        <w:rPr>
          <w:rFonts w:ascii="Trebuchet MS"/>
          <w:color w:val="231F20"/>
          <w:spacing w:val="-9"/>
          <w:w w:val="105"/>
          <w:sz w:val="14"/>
        </w:rPr>
        <w:t xml:space="preserve"> </w:t>
      </w:r>
      <w:r>
        <w:rPr>
          <w:rFonts w:ascii="Trebuchet MS"/>
          <w:color w:val="231F20"/>
          <w:w w:val="105"/>
          <w:sz w:val="14"/>
        </w:rPr>
        <w:t>performance</w:t>
      </w:r>
      <w:r>
        <w:rPr>
          <w:rFonts w:ascii="Trebuchet MS"/>
          <w:color w:val="231F20"/>
          <w:spacing w:val="-9"/>
          <w:w w:val="105"/>
          <w:sz w:val="14"/>
        </w:rPr>
        <w:t xml:space="preserve"> </w:t>
      </w:r>
      <w:r>
        <w:rPr>
          <w:rFonts w:ascii="Trebuchet MS"/>
          <w:color w:val="231F20"/>
          <w:w w:val="105"/>
          <w:sz w:val="14"/>
        </w:rPr>
        <w:t>in</w:t>
      </w:r>
      <w:r>
        <w:rPr>
          <w:rFonts w:ascii="Trebuchet MS"/>
          <w:color w:val="231F20"/>
          <w:spacing w:val="-9"/>
          <w:w w:val="105"/>
          <w:sz w:val="14"/>
        </w:rPr>
        <w:t xml:space="preserve"> </w:t>
      </w:r>
      <w:r>
        <w:rPr>
          <w:rFonts w:ascii="Trebuchet MS"/>
          <w:color w:val="231F20"/>
          <w:w w:val="105"/>
          <w:sz w:val="14"/>
        </w:rPr>
        <w:t>ski races and rain may deter attendance at sports events.</w:t>
      </w:r>
    </w:p>
    <w:p w14:paraId="46DE7510" w14:textId="77777777" w:rsidR="00AE0598" w:rsidRDefault="0069255A">
      <w:pPr>
        <w:spacing w:before="109" w:line="235" w:lineRule="auto"/>
        <w:ind w:left="110" w:right="258"/>
        <w:rPr>
          <w:rFonts w:ascii="Trebuchet MS"/>
          <w:sz w:val="14"/>
        </w:rPr>
      </w:pPr>
      <w:r>
        <w:rPr>
          <w:rFonts w:ascii="Trebuchet MS"/>
          <w:color w:val="231F20"/>
          <w:w w:val="105"/>
          <w:sz w:val="14"/>
        </w:rPr>
        <w:t>The excessive dominance of sport over nature may be seen to lead to social or environmental pollution, erosion and visual blight. Problem l</w:t>
      </w:r>
      <w:r>
        <w:rPr>
          <w:rFonts w:ascii="Trebuchet MS"/>
          <w:color w:val="231F20"/>
          <w:w w:val="105"/>
          <w:sz w:val="14"/>
        </w:rPr>
        <w:t>andscapes occur in a variety of sports in quite different ways. Traffic congestion and crowding can result from hosting a sports event in an inner-city stadium. Erosion of soil and damage to plant cover on ski pistes in alpine regions are also examples. Im</w:t>
      </w:r>
      <w:r>
        <w:rPr>
          <w:rFonts w:ascii="Trebuchet MS"/>
          <w:color w:val="231F20"/>
          <w:w w:val="105"/>
          <w:sz w:val="14"/>
        </w:rPr>
        <w:t>pacts also differ in terms of their permanence. When the sports landscape becomes perceived as a problem, it can lead to political activism and the rejection of sporting events that might have induced land- scape</w:t>
      </w:r>
      <w:r>
        <w:rPr>
          <w:rFonts w:ascii="Trebuchet MS"/>
          <w:color w:val="231F20"/>
          <w:spacing w:val="-9"/>
          <w:w w:val="105"/>
          <w:sz w:val="14"/>
        </w:rPr>
        <w:t xml:space="preserve"> </w:t>
      </w:r>
      <w:r>
        <w:rPr>
          <w:rFonts w:ascii="Trebuchet MS"/>
          <w:color w:val="231F20"/>
          <w:w w:val="105"/>
          <w:sz w:val="14"/>
        </w:rPr>
        <w:t>change.</w:t>
      </w:r>
    </w:p>
    <w:p w14:paraId="5F3DB868" w14:textId="77777777" w:rsidR="00AE0598" w:rsidRDefault="0069255A">
      <w:pPr>
        <w:spacing w:before="112" w:line="235" w:lineRule="auto"/>
        <w:ind w:left="110" w:right="236"/>
        <w:rPr>
          <w:rFonts w:ascii="Trebuchet MS"/>
          <w:sz w:val="14"/>
        </w:rPr>
      </w:pPr>
      <w:r>
        <w:rPr>
          <w:rFonts w:ascii="Trebuchet MS"/>
          <w:color w:val="231F20"/>
          <w:w w:val="105"/>
          <w:sz w:val="14"/>
        </w:rPr>
        <w:t>The sports landscape may also refle</w:t>
      </w:r>
      <w:r>
        <w:rPr>
          <w:rFonts w:ascii="Trebuchet MS"/>
          <w:color w:val="231F20"/>
          <w:w w:val="105"/>
          <w:sz w:val="14"/>
        </w:rPr>
        <w:t>ct the view that land is a raw material. The long-term returns of lands given over to sport are important. So, too,</w:t>
      </w:r>
      <w:r>
        <w:rPr>
          <w:rFonts w:ascii="Trebuchet MS"/>
          <w:color w:val="231F20"/>
          <w:spacing w:val="80"/>
          <w:w w:val="105"/>
          <w:sz w:val="14"/>
        </w:rPr>
        <w:t xml:space="preserve"> </w:t>
      </w:r>
      <w:r>
        <w:rPr>
          <w:rFonts w:ascii="Trebuchet MS"/>
          <w:color w:val="231F20"/>
          <w:w w:val="105"/>
          <w:sz w:val="14"/>
        </w:rPr>
        <w:t>are the significant economic benefits that one-off events generate in local areas. Sport may be a form of place-boosting for purposes of att</w:t>
      </w:r>
      <w:r>
        <w:rPr>
          <w:rFonts w:ascii="Trebuchet MS"/>
          <w:color w:val="231F20"/>
          <w:w w:val="105"/>
          <w:sz w:val="14"/>
        </w:rPr>
        <w:t>racting investment,</w:t>
      </w:r>
      <w:r>
        <w:rPr>
          <w:rFonts w:ascii="Trebuchet MS"/>
          <w:color w:val="231F20"/>
          <w:spacing w:val="-3"/>
          <w:w w:val="105"/>
          <w:sz w:val="14"/>
        </w:rPr>
        <w:t xml:space="preserve"> </w:t>
      </w:r>
      <w:r>
        <w:rPr>
          <w:rFonts w:ascii="Trebuchet MS"/>
          <w:color w:val="231F20"/>
          <w:w w:val="105"/>
          <w:sz w:val="14"/>
        </w:rPr>
        <w:t>and</w:t>
      </w:r>
      <w:r>
        <w:rPr>
          <w:rFonts w:ascii="Trebuchet MS"/>
          <w:color w:val="231F20"/>
          <w:spacing w:val="-3"/>
          <w:w w:val="105"/>
          <w:sz w:val="14"/>
        </w:rPr>
        <w:t xml:space="preserve"> </w:t>
      </w:r>
      <w:r>
        <w:rPr>
          <w:rFonts w:ascii="Trebuchet MS"/>
          <w:color w:val="231F20"/>
          <w:w w:val="105"/>
          <w:sz w:val="14"/>
        </w:rPr>
        <w:t>may</w:t>
      </w:r>
      <w:r>
        <w:rPr>
          <w:rFonts w:ascii="Trebuchet MS"/>
          <w:color w:val="231F20"/>
          <w:spacing w:val="-3"/>
          <w:w w:val="105"/>
          <w:sz w:val="14"/>
        </w:rPr>
        <w:t xml:space="preserve"> </w:t>
      </w:r>
      <w:r>
        <w:rPr>
          <w:rFonts w:ascii="Trebuchet MS"/>
          <w:color w:val="231F20"/>
          <w:w w:val="105"/>
          <w:sz w:val="14"/>
        </w:rPr>
        <w:t>influence</w:t>
      </w:r>
      <w:r>
        <w:rPr>
          <w:rFonts w:ascii="Trebuchet MS"/>
          <w:color w:val="231F20"/>
          <w:spacing w:val="-3"/>
          <w:w w:val="105"/>
          <w:sz w:val="14"/>
        </w:rPr>
        <w:t xml:space="preserve"> </w:t>
      </w:r>
      <w:r>
        <w:rPr>
          <w:rFonts w:ascii="Trebuchet MS"/>
          <w:color w:val="231F20"/>
          <w:w w:val="105"/>
          <w:sz w:val="14"/>
        </w:rPr>
        <w:t>rental</w:t>
      </w:r>
      <w:r>
        <w:rPr>
          <w:rFonts w:ascii="Trebuchet MS"/>
          <w:color w:val="231F20"/>
          <w:spacing w:val="-3"/>
          <w:w w:val="105"/>
          <w:sz w:val="14"/>
        </w:rPr>
        <w:t xml:space="preserve"> </w:t>
      </w:r>
      <w:r>
        <w:rPr>
          <w:rFonts w:ascii="Trebuchet MS"/>
          <w:color w:val="231F20"/>
          <w:w w:val="105"/>
          <w:sz w:val="14"/>
        </w:rPr>
        <w:t>profits.</w:t>
      </w:r>
      <w:r>
        <w:rPr>
          <w:rFonts w:ascii="Trebuchet MS"/>
          <w:color w:val="231F20"/>
          <w:spacing w:val="-3"/>
          <w:w w:val="105"/>
          <w:sz w:val="14"/>
        </w:rPr>
        <w:t xml:space="preserve"> </w:t>
      </w:r>
      <w:r>
        <w:rPr>
          <w:rFonts w:ascii="Trebuchet MS"/>
          <w:color w:val="231F20"/>
          <w:w w:val="105"/>
          <w:sz w:val="14"/>
        </w:rPr>
        <w:t>The</w:t>
      </w:r>
      <w:r>
        <w:rPr>
          <w:rFonts w:ascii="Trebuchet MS"/>
          <w:color w:val="231F20"/>
          <w:spacing w:val="-3"/>
          <w:w w:val="105"/>
          <w:sz w:val="14"/>
        </w:rPr>
        <w:t xml:space="preserve"> </w:t>
      </w:r>
      <w:r>
        <w:rPr>
          <w:rFonts w:ascii="Trebuchet MS"/>
          <w:color w:val="231F20"/>
          <w:w w:val="105"/>
          <w:sz w:val="14"/>
        </w:rPr>
        <w:t>sports</w:t>
      </w:r>
      <w:r>
        <w:rPr>
          <w:rFonts w:ascii="Trebuchet MS"/>
          <w:color w:val="231F20"/>
          <w:spacing w:val="-3"/>
          <w:w w:val="105"/>
          <w:sz w:val="14"/>
        </w:rPr>
        <w:t xml:space="preserve"> </w:t>
      </w:r>
      <w:r>
        <w:rPr>
          <w:rFonts w:ascii="Trebuchet MS"/>
          <w:color w:val="231F20"/>
          <w:w w:val="105"/>
          <w:sz w:val="14"/>
        </w:rPr>
        <w:t>landscape</w:t>
      </w:r>
      <w:r>
        <w:rPr>
          <w:rFonts w:ascii="Trebuchet MS"/>
          <w:color w:val="231F20"/>
          <w:spacing w:val="-3"/>
          <w:w w:val="105"/>
          <w:sz w:val="14"/>
        </w:rPr>
        <w:t xml:space="preserve"> </w:t>
      </w:r>
      <w:r>
        <w:rPr>
          <w:rFonts w:ascii="Trebuchet MS"/>
          <w:color w:val="231F20"/>
          <w:w w:val="105"/>
          <w:sz w:val="14"/>
        </w:rPr>
        <w:t>is</w:t>
      </w:r>
      <w:r>
        <w:rPr>
          <w:rFonts w:ascii="Trebuchet MS"/>
          <w:color w:val="231F20"/>
          <w:spacing w:val="-3"/>
          <w:w w:val="105"/>
          <w:sz w:val="14"/>
        </w:rPr>
        <w:t xml:space="preserve"> </w:t>
      </w:r>
      <w:r>
        <w:rPr>
          <w:rFonts w:ascii="Trebuchet MS"/>
          <w:color w:val="231F20"/>
          <w:w w:val="105"/>
          <w:sz w:val="14"/>
        </w:rPr>
        <w:t>littered with advertising hoardings and other evidence of sponsorship.</w:t>
      </w:r>
    </w:p>
    <w:p w14:paraId="5DD86690" w14:textId="77777777" w:rsidR="00AE0598" w:rsidRDefault="0069255A">
      <w:pPr>
        <w:spacing w:before="109" w:line="235" w:lineRule="auto"/>
        <w:ind w:left="110" w:right="258"/>
        <w:rPr>
          <w:rFonts w:ascii="Trebuchet MS"/>
          <w:sz w:val="14"/>
        </w:rPr>
      </w:pPr>
      <w:r>
        <w:rPr>
          <w:rFonts w:ascii="Trebuchet MS"/>
          <w:color w:val="231F20"/>
          <w:sz w:val="14"/>
        </w:rPr>
        <w:t>The</w:t>
      </w:r>
      <w:r>
        <w:rPr>
          <w:rFonts w:ascii="Trebuchet MS"/>
          <w:color w:val="231F20"/>
          <w:spacing w:val="18"/>
          <w:sz w:val="14"/>
        </w:rPr>
        <w:t xml:space="preserve"> </w:t>
      </w:r>
      <w:r>
        <w:rPr>
          <w:rFonts w:ascii="Trebuchet MS"/>
          <w:color w:val="231F20"/>
          <w:sz w:val="14"/>
        </w:rPr>
        <w:t>sports</w:t>
      </w:r>
      <w:r>
        <w:rPr>
          <w:rFonts w:ascii="Trebuchet MS"/>
          <w:color w:val="231F20"/>
          <w:spacing w:val="18"/>
          <w:sz w:val="14"/>
        </w:rPr>
        <w:t xml:space="preserve"> </w:t>
      </w:r>
      <w:r>
        <w:rPr>
          <w:rFonts w:ascii="Trebuchet MS"/>
          <w:color w:val="231F20"/>
          <w:sz w:val="14"/>
        </w:rPr>
        <w:t>landscape</w:t>
      </w:r>
      <w:r>
        <w:rPr>
          <w:rFonts w:ascii="Trebuchet MS"/>
          <w:color w:val="231F20"/>
          <w:spacing w:val="18"/>
          <w:sz w:val="14"/>
        </w:rPr>
        <w:t xml:space="preserve"> </w:t>
      </w:r>
      <w:r>
        <w:rPr>
          <w:rFonts w:ascii="Trebuchet MS"/>
          <w:color w:val="231F20"/>
          <w:sz w:val="14"/>
        </w:rPr>
        <w:t>may</w:t>
      </w:r>
      <w:r>
        <w:rPr>
          <w:rFonts w:ascii="Trebuchet MS"/>
          <w:color w:val="231F20"/>
          <w:spacing w:val="18"/>
          <w:sz w:val="14"/>
        </w:rPr>
        <w:t xml:space="preserve"> </w:t>
      </w:r>
      <w:r>
        <w:rPr>
          <w:rFonts w:ascii="Trebuchet MS"/>
          <w:color w:val="231F20"/>
          <w:sz w:val="14"/>
        </w:rPr>
        <w:t>be</w:t>
      </w:r>
      <w:r>
        <w:rPr>
          <w:rFonts w:ascii="Trebuchet MS"/>
          <w:color w:val="231F20"/>
          <w:spacing w:val="18"/>
          <w:sz w:val="14"/>
        </w:rPr>
        <w:t xml:space="preserve"> </w:t>
      </w:r>
      <w:r>
        <w:rPr>
          <w:rFonts w:ascii="Trebuchet MS"/>
          <w:color w:val="231F20"/>
          <w:sz w:val="14"/>
        </w:rPr>
        <w:t>viewed</w:t>
      </w:r>
      <w:r>
        <w:rPr>
          <w:rFonts w:ascii="Trebuchet MS"/>
          <w:color w:val="231F20"/>
          <w:spacing w:val="18"/>
          <w:sz w:val="14"/>
        </w:rPr>
        <w:t xml:space="preserve"> </w:t>
      </w:r>
      <w:r>
        <w:rPr>
          <w:rFonts w:ascii="Trebuchet MS"/>
          <w:color w:val="231F20"/>
          <w:sz w:val="14"/>
        </w:rPr>
        <w:t>as</w:t>
      </w:r>
      <w:r>
        <w:rPr>
          <w:rFonts w:ascii="Trebuchet MS"/>
          <w:color w:val="231F20"/>
          <w:spacing w:val="18"/>
          <w:sz w:val="14"/>
        </w:rPr>
        <w:t xml:space="preserve"> </w:t>
      </w:r>
      <w:r>
        <w:rPr>
          <w:rFonts w:ascii="Trebuchet MS"/>
          <w:color w:val="231F20"/>
          <w:sz w:val="14"/>
        </w:rPr>
        <w:t>a</w:t>
      </w:r>
      <w:r>
        <w:rPr>
          <w:rFonts w:ascii="Trebuchet MS"/>
          <w:color w:val="231F20"/>
          <w:spacing w:val="18"/>
          <w:sz w:val="14"/>
        </w:rPr>
        <w:t xml:space="preserve"> </w:t>
      </w:r>
      <w:r>
        <w:rPr>
          <w:rFonts w:ascii="Trebuchet MS"/>
          <w:color w:val="231F20"/>
          <w:sz w:val="14"/>
        </w:rPr>
        <w:t>reflection</w:t>
      </w:r>
      <w:r>
        <w:rPr>
          <w:rFonts w:ascii="Trebuchet MS"/>
          <w:color w:val="231F20"/>
          <w:spacing w:val="18"/>
          <w:sz w:val="14"/>
        </w:rPr>
        <w:t xml:space="preserve"> </w:t>
      </w:r>
      <w:r>
        <w:rPr>
          <w:rFonts w:ascii="Trebuchet MS"/>
          <w:color w:val="231F20"/>
          <w:sz w:val="14"/>
        </w:rPr>
        <w:t>of</w:t>
      </w:r>
      <w:r>
        <w:rPr>
          <w:rFonts w:ascii="Trebuchet MS"/>
          <w:color w:val="231F20"/>
          <w:spacing w:val="18"/>
          <w:sz w:val="14"/>
        </w:rPr>
        <w:t xml:space="preserve"> </w:t>
      </w:r>
      <w:r>
        <w:rPr>
          <w:rFonts w:ascii="Trebuchet MS"/>
          <w:color w:val="231F20"/>
          <w:sz w:val="14"/>
        </w:rPr>
        <w:t>various</w:t>
      </w:r>
      <w:r>
        <w:rPr>
          <w:rFonts w:ascii="Trebuchet MS"/>
          <w:color w:val="231F20"/>
          <w:spacing w:val="18"/>
          <w:sz w:val="14"/>
        </w:rPr>
        <w:t xml:space="preserve"> </w:t>
      </w:r>
      <w:r>
        <w:rPr>
          <w:rFonts w:ascii="Trebuchet MS"/>
          <w:color w:val="231F20"/>
          <w:sz w:val="14"/>
        </w:rPr>
        <w:t>ideologies. Sports</w:t>
      </w:r>
      <w:r>
        <w:rPr>
          <w:rFonts w:ascii="Trebuchet MS"/>
          <w:color w:val="231F20"/>
          <w:spacing w:val="21"/>
          <w:sz w:val="14"/>
        </w:rPr>
        <w:t xml:space="preserve"> </w:t>
      </w:r>
      <w:r>
        <w:rPr>
          <w:rFonts w:ascii="Trebuchet MS"/>
          <w:color w:val="231F20"/>
          <w:sz w:val="14"/>
        </w:rPr>
        <w:t>landscapes</w:t>
      </w:r>
      <w:r>
        <w:rPr>
          <w:rFonts w:ascii="Trebuchet MS"/>
          <w:color w:val="231F20"/>
          <w:spacing w:val="21"/>
          <w:sz w:val="14"/>
        </w:rPr>
        <w:t xml:space="preserve"> </w:t>
      </w:r>
      <w:r>
        <w:rPr>
          <w:rFonts w:ascii="Trebuchet MS"/>
          <w:color w:val="231F20"/>
          <w:sz w:val="14"/>
        </w:rPr>
        <w:t>may</w:t>
      </w:r>
      <w:r>
        <w:rPr>
          <w:rFonts w:ascii="Trebuchet MS"/>
          <w:color w:val="231F20"/>
          <w:spacing w:val="21"/>
          <w:sz w:val="14"/>
        </w:rPr>
        <w:t xml:space="preserve"> </w:t>
      </w:r>
      <w:r>
        <w:rPr>
          <w:rFonts w:ascii="Trebuchet MS"/>
          <w:color w:val="231F20"/>
          <w:sz w:val="14"/>
        </w:rPr>
        <w:t>be</w:t>
      </w:r>
      <w:r>
        <w:rPr>
          <w:rFonts w:ascii="Trebuchet MS"/>
          <w:color w:val="231F20"/>
          <w:spacing w:val="21"/>
          <w:sz w:val="14"/>
        </w:rPr>
        <w:t xml:space="preserve"> </w:t>
      </w:r>
      <w:r>
        <w:rPr>
          <w:rFonts w:ascii="Trebuchet MS"/>
          <w:color w:val="231F20"/>
          <w:sz w:val="14"/>
        </w:rPr>
        <w:t>explicit</w:t>
      </w:r>
      <w:r>
        <w:rPr>
          <w:rFonts w:ascii="Trebuchet MS"/>
          <w:color w:val="231F20"/>
          <w:spacing w:val="21"/>
          <w:sz w:val="14"/>
        </w:rPr>
        <w:t xml:space="preserve"> </w:t>
      </w:r>
      <w:r>
        <w:rPr>
          <w:rFonts w:ascii="Trebuchet MS"/>
          <w:color w:val="231F20"/>
          <w:sz w:val="14"/>
        </w:rPr>
        <w:t>responses</w:t>
      </w:r>
      <w:r>
        <w:rPr>
          <w:rFonts w:ascii="Trebuchet MS"/>
          <w:color w:val="231F20"/>
          <w:spacing w:val="21"/>
          <w:sz w:val="14"/>
        </w:rPr>
        <w:t xml:space="preserve"> </w:t>
      </w:r>
      <w:r>
        <w:rPr>
          <w:rFonts w:ascii="Trebuchet MS"/>
          <w:color w:val="231F20"/>
          <w:sz w:val="14"/>
        </w:rPr>
        <w:t>to</w:t>
      </w:r>
      <w:r>
        <w:rPr>
          <w:rFonts w:ascii="Trebuchet MS"/>
          <w:color w:val="231F20"/>
          <w:spacing w:val="21"/>
          <w:sz w:val="14"/>
        </w:rPr>
        <w:t xml:space="preserve"> </w:t>
      </w:r>
      <w:r>
        <w:rPr>
          <w:rFonts w:ascii="Trebuchet MS"/>
          <w:color w:val="231F20"/>
          <w:sz w:val="14"/>
        </w:rPr>
        <w:t>nationalism.</w:t>
      </w:r>
      <w:r>
        <w:rPr>
          <w:rFonts w:ascii="Trebuchet MS"/>
          <w:color w:val="231F20"/>
          <w:spacing w:val="21"/>
          <w:sz w:val="14"/>
        </w:rPr>
        <w:t xml:space="preserve"> </w:t>
      </w:r>
      <w:r>
        <w:rPr>
          <w:rFonts w:ascii="Trebuchet MS"/>
          <w:color w:val="231F20"/>
          <w:sz w:val="14"/>
        </w:rPr>
        <w:t>New</w:t>
      </w:r>
      <w:r>
        <w:rPr>
          <w:rFonts w:ascii="Trebuchet MS"/>
          <w:color w:val="231F20"/>
          <w:spacing w:val="21"/>
          <w:sz w:val="14"/>
        </w:rPr>
        <w:t xml:space="preserve"> </w:t>
      </w:r>
      <w:r>
        <w:rPr>
          <w:rFonts w:ascii="Trebuchet MS"/>
          <w:color w:val="231F20"/>
          <w:sz w:val="14"/>
        </w:rPr>
        <w:t>national sports may be invented to distance countries from their more dominant neigh- bours. The stadium may be an expression of modern technocentric ideology.</w:t>
      </w:r>
    </w:p>
    <w:p w14:paraId="51E39B05" w14:textId="77777777" w:rsidR="00AE0598" w:rsidRDefault="0069255A">
      <w:pPr>
        <w:spacing w:before="108" w:line="235" w:lineRule="auto"/>
        <w:ind w:left="110" w:right="269"/>
        <w:jc w:val="both"/>
        <w:rPr>
          <w:rFonts w:ascii="Trebuchet MS"/>
          <w:sz w:val="14"/>
        </w:rPr>
      </w:pPr>
      <w:r>
        <w:rPr>
          <w:rFonts w:ascii="Trebuchet MS"/>
          <w:color w:val="231F20"/>
          <w:w w:val="105"/>
          <w:sz w:val="14"/>
        </w:rPr>
        <w:t>The</w:t>
      </w:r>
      <w:r>
        <w:rPr>
          <w:rFonts w:ascii="Trebuchet MS"/>
          <w:color w:val="231F20"/>
          <w:spacing w:val="-1"/>
          <w:w w:val="105"/>
          <w:sz w:val="14"/>
        </w:rPr>
        <w:t xml:space="preserve"> </w:t>
      </w:r>
      <w:r>
        <w:rPr>
          <w:rFonts w:ascii="Trebuchet MS"/>
          <w:color w:val="231F20"/>
          <w:w w:val="105"/>
          <w:sz w:val="14"/>
        </w:rPr>
        <w:t>present-day</w:t>
      </w:r>
      <w:r>
        <w:rPr>
          <w:rFonts w:ascii="Trebuchet MS"/>
          <w:color w:val="231F20"/>
          <w:spacing w:val="-1"/>
          <w:w w:val="105"/>
          <w:sz w:val="14"/>
        </w:rPr>
        <w:t xml:space="preserve"> </w:t>
      </w:r>
      <w:r>
        <w:rPr>
          <w:rFonts w:ascii="Trebuchet MS"/>
          <w:color w:val="231F20"/>
          <w:w w:val="105"/>
          <w:sz w:val="14"/>
        </w:rPr>
        <w:t>landscape</w:t>
      </w:r>
      <w:r>
        <w:rPr>
          <w:rFonts w:ascii="Trebuchet MS"/>
          <w:color w:val="231F20"/>
          <w:spacing w:val="-1"/>
          <w:w w:val="105"/>
          <w:sz w:val="14"/>
        </w:rPr>
        <w:t xml:space="preserve"> </w:t>
      </w:r>
      <w:r>
        <w:rPr>
          <w:rFonts w:ascii="Trebuchet MS"/>
          <w:color w:val="231F20"/>
          <w:w w:val="105"/>
          <w:sz w:val="14"/>
        </w:rPr>
        <w:t>of</w:t>
      </w:r>
      <w:r>
        <w:rPr>
          <w:rFonts w:ascii="Trebuchet MS"/>
          <w:color w:val="231F20"/>
          <w:spacing w:val="-1"/>
          <w:w w:val="105"/>
          <w:sz w:val="14"/>
        </w:rPr>
        <w:t xml:space="preserve"> </w:t>
      </w:r>
      <w:r>
        <w:rPr>
          <w:rFonts w:ascii="Trebuchet MS"/>
          <w:color w:val="231F20"/>
          <w:w w:val="105"/>
          <w:sz w:val="14"/>
        </w:rPr>
        <w:t>sport</w:t>
      </w:r>
      <w:r>
        <w:rPr>
          <w:rFonts w:ascii="Trebuchet MS"/>
          <w:color w:val="231F20"/>
          <w:spacing w:val="-1"/>
          <w:w w:val="105"/>
          <w:sz w:val="14"/>
        </w:rPr>
        <w:t xml:space="preserve"> </w:t>
      </w:r>
      <w:r>
        <w:rPr>
          <w:rFonts w:ascii="Trebuchet MS"/>
          <w:color w:val="231F20"/>
          <w:w w:val="105"/>
          <w:sz w:val="14"/>
        </w:rPr>
        <w:t>is</w:t>
      </w:r>
      <w:r>
        <w:rPr>
          <w:rFonts w:ascii="Trebuchet MS"/>
          <w:color w:val="231F20"/>
          <w:spacing w:val="-1"/>
          <w:w w:val="105"/>
          <w:sz w:val="14"/>
        </w:rPr>
        <w:t xml:space="preserve"> </w:t>
      </w:r>
      <w:r>
        <w:rPr>
          <w:rFonts w:ascii="Trebuchet MS"/>
          <w:color w:val="231F20"/>
          <w:w w:val="105"/>
          <w:sz w:val="14"/>
        </w:rPr>
        <w:t>a</w:t>
      </w:r>
      <w:r>
        <w:rPr>
          <w:rFonts w:ascii="Trebuchet MS"/>
          <w:color w:val="231F20"/>
          <w:spacing w:val="-1"/>
          <w:w w:val="105"/>
          <w:sz w:val="14"/>
        </w:rPr>
        <w:t xml:space="preserve"> </w:t>
      </w:r>
      <w:r>
        <w:rPr>
          <w:rFonts w:ascii="Trebuchet MS"/>
          <w:color w:val="231F20"/>
          <w:w w:val="105"/>
          <w:sz w:val="14"/>
        </w:rPr>
        <w:t>result</w:t>
      </w:r>
      <w:r>
        <w:rPr>
          <w:rFonts w:ascii="Trebuchet MS"/>
          <w:color w:val="231F20"/>
          <w:spacing w:val="-1"/>
          <w:w w:val="105"/>
          <w:sz w:val="14"/>
        </w:rPr>
        <w:t xml:space="preserve"> </w:t>
      </w:r>
      <w:r>
        <w:rPr>
          <w:rFonts w:ascii="Trebuchet MS"/>
          <w:color w:val="231F20"/>
          <w:w w:val="105"/>
          <w:sz w:val="14"/>
        </w:rPr>
        <w:t>of</w:t>
      </w:r>
      <w:r>
        <w:rPr>
          <w:rFonts w:ascii="Trebuchet MS"/>
          <w:color w:val="231F20"/>
          <w:spacing w:val="-1"/>
          <w:w w:val="105"/>
          <w:sz w:val="14"/>
        </w:rPr>
        <w:t xml:space="preserve"> </w:t>
      </w:r>
      <w:r>
        <w:rPr>
          <w:rFonts w:ascii="Trebuchet MS"/>
          <w:color w:val="231F20"/>
          <w:w w:val="105"/>
          <w:sz w:val="14"/>
        </w:rPr>
        <w:t>the</w:t>
      </w:r>
      <w:r>
        <w:rPr>
          <w:rFonts w:ascii="Trebuchet MS"/>
          <w:color w:val="231F20"/>
          <w:spacing w:val="-1"/>
          <w:w w:val="105"/>
          <w:sz w:val="14"/>
        </w:rPr>
        <w:t xml:space="preserve"> </w:t>
      </w:r>
      <w:r>
        <w:rPr>
          <w:rFonts w:ascii="Trebuchet MS"/>
          <w:color w:val="231F20"/>
          <w:w w:val="105"/>
          <w:sz w:val="14"/>
        </w:rPr>
        <w:t>cum</w:t>
      </w:r>
      <w:r>
        <w:rPr>
          <w:rFonts w:ascii="Trebuchet MS"/>
          <w:color w:val="231F20"/>
          <w:w w:val="105"/>
          <w:sz w:val="14"/>
        </w:rPr>
        <w:t>ulative</w:t>
      </w:r>
      <w:r>
        <w:rPr>
          <w:rFonts w:ascii="Trebuchet MS"/>
          <w:color w:val="231F20"/>
          <w:spacing w:val="-1"/>
          <w:w w:val="105"/>
          <w:sz w:val="14"/>
        </w:rPr>
        <w:t xml:space="preserve"> </w:t>
      </w:r>
      <w:r>
        <w:rPr>
          <w:rFonts w:ascii="Trebuchet MS"/>
          <w:color w:val="231F20"/>
          <w:w w:val="105"/>
          <w:sz w:val="14"/>
        </w:rPr>
        <w:t>processes</w:t>
      </w:r>
      <w:r>
        <w:rPr>
          <w:rFonts w:ascii="Trebuchet MS"/>
          <w:color w:val="231F20"/>
          <w:spacing w:val="-1"/>
          <w:w w:val="105"/>
          <w:sz w:val="14"/>
        </w:rPr>
        <w:t xml:space="preserve"> </w:t>
      </w:r>
      <w:r>
        <w:rPr>
          <w:rFonts w:ascii="Trebuchet MS"/>
          <w:color w:val="231F20"/>
          <w:w w:val="105"/>
          <w:sz w:val="14"/>
        </w:rPr>
        <w:t>of historical evolution. Sports landscapes are often accumulations. Size, shape, materials, decorations and other manifestations tell us something about the way people have experienced sport over time.</w:t>
      </w:r>
    </w:p>
    <w:p w14:paraId="23BF008F" w14:textId="77777777" w:rsidR="00AE0598" w:rsidRDefault="0069255A">
      <w:pPr>
        <w:spacing w:before="108" w:line="235" w:lineRule="auto"/>
        <w:ind w:left="110" w:right="368"/>
        <w:rPr>
          <w:rFonts w:ascii="Trebuchet MS" w:hAnsi="Trebuchet MS"/>
          <w:sz w:val="14"/>
        </w:rPr>
      </w:pPr>
      <w:r>
        <w:rPr>
          <w:rFonts w:ascii="Trebuchet MS" w:hAnsi="Trebuchet MS"/>
          <w:color w:val="231F20"/>
          <w:w w:val="105"/>
          <w:sz w:val="14"/>
        </w:rPr>
        <w:t>This view sees landscape as a locality possessing particular nuances and unique</w:t>
      </w:r>
      <w:r>
        <w:rPr>
          <w:rFonts w:ascii="Trebuchet MS" w:hAnsi="Trebuchet MS"/>
          <w:color w:val="231F20"/>
          <w:spacing w:val="-2"/>
          <w:w w:val="105"/>
          <w:sz w:val="14"/>
        </w:rPr>
        <w:t xml:space="preserve"> </w:t>
      </w:r>
      <w:r>
        <w:rPr>
          <w:rFonts w:ascii="Trebuchet MS" w:hAnsi="Trebuchet MS"/>
          <w:color w:val="231F20"/>
          <w:w w:val="105"/>
          <w:sz w:val="14"/>
        </w:rPr>
        <w:t>flavours</w:t>
      </w:r>
      <w:r>
        <w:rPr>
          <w:rFonts w:ascii="Trebuchet MS" w:hAnsi="Trebuchet MS"/>
          <w:color w:val="231F20"/>
          <w:spacing w:val="-2"/>
          <w:w w:val="105"/>
          <w:sz w:val="14"/>
        </w:rPr>
        <w:t xml:space="preserve"> </w:t>
      </w:r>
      <w:r>
        <w:rPr>
          <w:rFonts w:ascii="Trebuchet MS" w:hAnsi="Trebuchet MS"/>
          <w:color w:val="231F20"/>
          <w:w w:val="105"/>
          <w:sz w:val="14"/>
        </w:rPr>
        <w:t>that</w:t>
      </w:r>
      <w:r>
        <w:rPr>
          <w:rFonts w:ascii="Trebuchet MS" w:hAnsi="Trebuchet MS"/>
          <w:color w:val="231F20"/>
          <w:spacing w:val="-2"/>
          <w:w w:val="105"/>
          <w:sz w:val="14"/>
        </w:rPr>
        <w:t xml:space="preserve"> </w:t>
      </w:r>
      <w:r>
        <w:rPr>
          <w:rFonts w:ascii="Trebuchet MS" w:hAnsi="Trebuchet MS"/>
          <w:color w:val="231F20"/>
          <w:w w:val="105"/>
          <w:sz w:val="14"/>
        </w:rPr>
        <w:t>express</w:t>
      </w:r>
      <w:r>
        <w:rPr>
          <w:rFonts w:ascii="Trebuchet MS" w:hAnsi="Trebuchet MS"/>
          <w:color w:val="231F20"/>
          <w:spacing w:val="-2"/>
          <w:w w:val="105"/>
          <w:sz w:val="14"/>
        </w:rPr>
        <w:t xml:space="preserve"> </w:t>
      </w:r>
      <w:r>
        <w:rPr>
          <w:rFonts w:ascii="Trebuchet MS" w:hAnsi="Trebuchet MS"/>
          <w:color w:val="231F20"/>
          <w:w w:val="105"/>
          <w:sz w:val="14"/>
        </w:rPr>
        <w:t>a</w:t>
      </w:r>
      <w:r>
        <w:rPr>
          <w:rFonts w:ascii="Trebuchet MS" w:hAnsi="Trebuchet MS"/>
          <w:color w:val="231F20"/>
          <w:spacing w:val="-2"/>
          <w:w w:val="105"/>
          <w:sz w:val="14"/>
        </w:rPr>
        <w:t xml:space="preserve"> </w:t>
      </w:r>
      <w:r>
        <w:rPr>
          <w:rFonts w:ascii="Trebuchet MS" w:hAnsi="Trebuchet MS"/>
          <w:color w:val="231F20"/>
          <w:w w:val="105"/>
          <w:sz w:val="14"/>
        </w:rPr>
        <w:t>unique</w:t>
      </w:r>
      <w:r>
        <w:rPr>
          <w:rFonts w:ascii="Trebuchet MS" w:hAnsi="Trebuchet MS"/>
          <w:color w:val="231F20"/>
          <w:spacing w:val="-2"/>
          <w:w w:val="105"/>
          <w:sz w:val="14"/>
        </w:rPr>
        <w:t xml:space="preserve"> </w:t>
      </w:r>
      <w:r>
        <w:rPr>
          <w:rFonts w:ascii="Trebuchet MS" w:hAnsi="Trebuchet MS"/>
          <w:color w:val="231F20"/>
          <w:w w:val="105"/>
          <w:sz w:val="14"/>
        </w:rPr>
        <w:t>sense</w:t>
      </w:r>
      <w:r>
        <w:rPr>
          <w:rFonts w:ascii="Trebuchet MS" w:hAnsi="Trebuchet MS"/>
          <w:color w:val="231F20"/>
          <w:spacing w:val="-2"/>
          <w:w w:val="105"/>
          <w:sz w:val="14"/>
        </w:rPr>
        <w:t xml:space="preserve"> </w:t>
      </w:r>
      <w:r>
        <w:rPr>
          <w:rFonts w:ascii="Trebuchet MS" w:hAnsi="Trebuchet MS"/>
          <w:color w:val="231F20"/>
          <w:w w:val="105"/>
          <w:sz w:val="14"/>
        </w:rPr>
        <w:t>of</w:t>
      </w:r>
      <w:r>
        <w:rPr>
          <w:rFonts w:ascii="Trebuchet MS" w:hAnsi="Trebuchet MS"/>
          <w:color w:val="231F20"/>
          <w:spacing w:val="-2"/>
          <w:w w:val="105"/>
          <w:sz w:val="14"/>
        </w:rPr>
        <w:t xml:space="preserve"> </w:t>
      </w:r>
      <w:r>
        <w:rPr>
          <w:rFonts w:ascii="Trebuchet MS" w:hAnsi="Trebuchet MS"/>
          <w:color w:val="231F20"/>
          <w:w w:val="105"/>
          <w:sz w:val="14"/>
        </w:rPr>
        <w:t>place.</w:t>
      </w:r>
      <w:r>
        <w:rPr>
          <w:rFonts w:ascii="Trebuchet MS" w:hAnsi="Trebuchet MS"/>
          <w:color w:val="231F20"/>
          <w:spacing w:val="-2"/>
          <w:w w:val="105"/>
          <w:sz w:val="14"/>
        </w:rPr>
        <w:t xml:space="preserve"> </w:t>
      </w:r>
      <w:r>
        <w:rPr>
          <w:rFonts w:ascii="Trebuchet MS" w:hAnsi="Trebuchet MS"/>
          <w:color w:val="231F20"/>
          <w:w w:val="105"/>
          <w:sz w:val="14"/>
        </w:rPr>
        <w:t>For</w:t>
      </w:r>
      <w:r>
        <w:rPr>
          <w:rFonts w:ascii="Trebuchet MS" w:hAnsi="Trebuchet MS"/>
          <w:color w:val="231F20"/>
          <w:spacing w:val="-2"/>
          <w:w w:val="105"/>
          <w:sz w:val="14"/>
        </w:rPr>
        <w:t xml:space="preserve"> </w:t>
      </w:r>
      <w:r>
        <w:rPr>
          <w:rFonts w:ascii="Trebuchet MS" w:hAnsi="Trebuchet MS"/>
          <w:color w:val="231F20"/>
          <w:w w:val="105"/>
          <w:sz w:val="14"/>
        </w:rPr>
        <w:t>the</w:t>
      </w:r>
      <w:r>
        <w:rPr>
          <w:rFonts w:ascii="Trebuchet MS" w:hAnsi="Trebuchet MS"/>
          <w:color w:val="231F20"/>
          <w:spacing w:val="-2"/>
          <w:w w:val="105"/>
          <w:sz w:val="14"/>
        </w:rPr>
        <w:t xml:space="preserve"> </w:t>
      </w:r>
      <w:r>
        <w:rPr>
          <w:rFonts w:ascii="Trebuchet MS" w:hAnsi="Trebuchet MS"/>
          <w:color w:val="231F20"/>
          <w:w w:val="105"/>
          <w:sz w:val="14"/>
        </w:rPr>
        <w:t>sports</w:t>
      </w:r>
      <w:r>
        <w:rPr>
          <w:rFonts w:ascii="Trebuchet MS" w:hAnsi="Trebuchet MS"/>
          <w:color w:val="231F20"/>
          <w:spacing w:val="-2"/>
          <w:w w:val="105"/>
          <w:sz w:val="14"/>
        </w:rPr>
        <w:t xml:space="preserve"> </w:t>
      </w:r>
      <w:r>
        <w:rPr>
          <w:rFonts w:ascii="Trebuchet MS" w:hAnsi="Trebuchet MS"/>
          <w:color w:val="231F20"/>
          <w:w w:val="105"/>
          <w:sz w:val="14"/>
        </w:rPr>
        <w:t>partici- pant – athlete or spectator – the experience of place, therefore, could be argued to contribute to the overall sporting experience.</w:t>
      </w:r>
    </w:p>
    <w:p w14:paraId="71853D72" w14:textId="77777777" w:rsidR="00AE0598" w:rsidRDefault="0069255A">
      <w:pPr>
        <w:spacing w:before="105" w:line="161" w:lineRule="exact"/>
        <w:ind w:left="110"/>
        <w:jc w:val="both"/>
        <w:rPr>
          <w:rFonts w:ascii="Trebuchet MS"/>
          <w:sz w:val="14"/>
        </w:rPr>
      </w:pPr>
      <w:r>
        <w:rPr>
          <w:rFonts w:ascii="Trebuchet MS"/>
          <w:color w:val="231F20"/>
          <w:sz w:val="14"/>
        </w:rPr>
        <w:t>Landscapes</w:t>
      </w:r>
      <w:r>
        <w:rPr>
          <w:rFonts w:ascii="Trebuchet MS"/>
          <w:color w:val="231F20"/>
          <w:spacing w:val="25"/>
          <w:sz w:val="14"/>
        </w:rPr>
        <w:t xml:space="preserve"> </w:t>
      </w:r>
      <w:r>
        <w:rPr>
          <w:rFonts w:ascii="Trebuchet MS"/>
          <w:color w:val="231F20"/>
          <w:sz w:val="14"/>
        </w:rPr>
        <w:t>can</w:t>
      </w:r>
      <w:r>
        <w:rPr>
          <w:rFonts w:ascii="Trebuchet MS"/>
          <w:color w:val="231F20"/>
          <w:spacing w:val="26"/>
          <w:sz w:val="14"/>
        </w:rPr>
        <w:t xml:space="preserve"> </w:t>
      </w:r>
      <w:r>
        <w:rPr>
          <w:rFonts w:ascii="Trebuchet MS"/>
          <w:color w:val="231F20"/>
          <w:sz w:val="14"/>
        </w:rPr>
        <w:t>possess</w:t>
      </w:r>
      <w:r>
        <w:rPr>
          <w:rFonts w:ascii="Trebuchet MS"/>
          <w:color w:val="231F20"/>
          <w:spacing w:val="26"/>
          <w:sz w:val="14"/>
        </w:rPr>
        <w:t xml:space="preserve"> </w:t>
      </w:r>
      <w:r>
        <w:rPr>
          <w:rFonts w:ascii="Trebuchet MS"/>
          <w:color w:val="231F20"/>
          <w:sz w:val="14"/>
        </w:rPr>
        <w:t>aesthetic</w:t>
      </w:r>
      <w:r>
        <w:rPr>
          <w:rFonts w:ascii="Trebuchet MS"/>
          <w:color w:val="231F20"/>
          <w:spacing w:val="26"/>
          <w:sz w:val="14"/>
        </w:rPr>
        <w:t xml:space="preserve"> </w:t>
      </w:r>
      <w:r>
        <w:rPr>
          <w:rFonts w:ascii="Trebuchet MS"/>
          <w:color w:val="231F20"/>
          <w:sz w:val="14"/>
        </w:rPr>
        <w:t>qualities</w:t>
      </w:r>
      <w:r>
        <w:rPr>
          <w:rFonts w:ascii="Trebuchet MS"/>
          <w:color w:val="231F20"/>
          <w:spacing w:val="25"/>
          <w:sz w:val="14"/>
        </w:rPr>
        <w:t xml:space="preserve"> </w:t>
      </w:r>
      <w:r>
        <w:rPr>
          <w:rFonts w:ascii="Trebuchet MS"/>
          <w:color w:val="231F20"/>
          <w:sz w:val="14"/>
        </w:rPr>
        <w:t>predisposing</w:t>
      </w:r>
      <w:r>
        <w:rPr>
          <w:rFonts w:ascii="Trebuchet MS"/>
          <w:color w:val="231F20"/>
          <w:spacing w:val="26"/>
          <w:sz w:val="14"/>
        </w:rPr>
        <w:t xml:space="preserve"> </w:t>
      </w:r>
      <w:r>
        <w:rPr>
          <w:rFonts w:ascii="Trebuchet MS"/>
          <w:color w:val="231F20"/>
          <w:sz w:val="14"/>
        </w:rPr>
        <w:t>the</w:t>
      </w:r>
      <w:r>
        <w:rPr>
          <w:rFonts w:ascii="Trebuchet MS"/>
          <w:color w:val="231F20"/>
          <w:spacing w:val="26"/>
          <w:sz w:val="14"/>
        </w:rPr>
        <w:t xml:space="preserve"> </w:t>
      </w:r>
      <w:r>
        <w:rPr>
          <w:rFonts w:ascii="Trebuchet MS"/>
          <w:color w:val="231F20"/>
          <w:sz w:val="14"/>
        </w:rPr>
        <w:t>observer</w:t>
      </w:r>
      <w:r>
        <w:rPr>
          <w:rFonts w:ascii="Trebuchet MS"/>
          <w:color w:val="231F20"/>
          <w:spacing w:val="26"/>
          <w:sz w:val="14"/>
        </w:rPr>
        <w:t xml:space="preserve"> </w:t>
      </w:r>
      <w:r>
        <w:rPr>
          <w:rFonts w:ascii="Trebuchet MS"/>
          <w:color w:val="231F20"/>
          <w:spacing w:val="-2"/>
          <w:sz w:val="14"/>
        </w:rPr>
        <w:t>towards</w:t>
      </w:r>
    </w:p>
    <w:p w14:paraId="1F9333E7" w14:textId="77777777" w:rsidR="00AE0598" w:rsidRDefault="00AE0598">
      <w:pPr>
        <w:spacing w:line="161" w:lineRule="exact"/>
        <w:jc w:val="both"/>
        <w:rPr>
          <w:rFonts w:ascii="Trebuchet MS"/>
          <w:sz w:val="14"/>
        </w:rPr>
        <w:sectPr w:rsidR="00AE0598">
          <w:type w:val="continuous"/>
          <w:pgSz w:w="8850" w:h="13270"/>
          <w:pgMar w:top="1080" w:right="1060" w:bottom="280" w:left="1080" w:header="720" w:footer="720" w:gutter="0"/>
          <w:cols w:num="2" w:space="720" w:equalWidth="0">
            <w:col w:w="1172" w:space="41"/>
            <w:col w:w="5497"/>
          </w:cols>
        </w:sectPr>
      </w:pPr>
    </w:p>
    <w:p w14:paraId="6D3AF790" w14:textId="77777777" w:rsidR="00AE0598" w:rsidRDefault="0069255A">
      <w:pPr>
        <w:spacing w:line="160" w:lineRule="exact"/>
        <w:ind w:left="394"/>
        <w:rPr>
          <w:rFonts w:ascii="Trebuchet MS"/>
          <w:sz w:val="14"/>
        </w:rPr>
      </w:pPr>
      <w:r>
        <w:rPr>
          <w:rFonts w:ascii="Trebuchet MS"/>
          <w:color w:val="231F20"/>
          <w:sz w:val="14"/>
        </w:rPr>
        <w:t>landscape</w:t>
      </w:r>
      <w:r>
        <w:rPr>
          <w:rFonts w:ascii="Trebuchet MS"/>
          <w:color w:val="231F20"/>
          <w:spacing w:val="14"/>
          <w:sz w:val="14"/>
        </w:rPr>
        <w:t xml:space="preserve"> </w:t>
      </w:r>
      <w:r>
        <w:rPr>
          <w:rFonts w:ascii="Trebuchet MS"/>
          <w:color w:val="231F20"/>
          <w:sz w:val="14"/>
        </w:rPr>
        <w:t>a</w:t>
      </w:r>
      <w:r>
        <w:rPr>
          <w:rFonts w:ascii="Trebuchet MS"/>
          <w:color w:val="231F20"/>
          <w:sz w:val="14"/>
        </w:rPr>
        <w:t>s</w:t>
      </w:r>
      <w:r>
        <w:rPr>
          <w:rFonts w:ascii="Trebuchet MS"/>
          <w:color w:val="231F20"/>
          <w:spacing w:val="61"/>
          <w:w w:val="150"/>
          <w:sz w:val="14"/>
        </w:rPr>
        <w:t xml:space="preserve"> </w:t>
      </w:r>
      <w:r>
        <w:rPr>
          <w:rFonts w:ascii="Trebuchet MS"/>
          <w:color w:val="231F20"/>
          <w:sz w:val="14"/>
        </w:rPr>
        <w:t>one</w:t>
      </w:r>
      <w:r>
        <w:rPr>
          <w:rFonts w:ascii="Trebuchet MS"/>
          <w:color w:val="231F20"/>
          <w:spacing w:val="14"/>
          <w:sz w:val="14"/>
        </w:rPr>
        <w:t xml:space="preserve"> </w:t>
      </w:r>
      <w:r>
        <w:rPr>
          <w:rFonts w:ascii="Trebuchet MS"/>
          <w:color w:val="231F20"/>
          <w:sz w:val="14"/>
        </w:rPr>
        <w:t>and</w:t>
      </w:r>
      <w:r>
        <w:rPr>
          <w:rFonts w:ascii="Trebuchet MS"/>
          <w:color w:val="231F20"/>
          <w:spacing w:val="14"/>
          <w:sz w:val="14"/>
        </w:rPr>
        <w:t xml:space="preserve"> </w:t>
      </w:r>
      <w:r>
        <w:rPr>
          <w:rFonts w:ascii="Trebuchet MS"/>
          <w:color w:val="231F20"/>
          <w:sz w:val="14"/>
        </w:rPr>
        <w:t>against</w:t>
      </w:r>
      <w:r>
        <w:rPr>
          <w:rFonts w:ascii="Trebuchet MS"/>
          <w:color w:val="231F20"/>
          <w:spacing w:val="15"/>
          <w:sz w:val="14"/>
        </w:rPr>
        <w:t xml:space="preserve"> </w:t>
      </w:r>
      <w:r>
        <w:rPr>
          <w:rFonts w:ascii="Trebuchet MS"/>
          <w:color w:val="231F20"/>
          <w:sz w:val="14"/>
        </w:rPr>
        <w:t>another.</w:t>
      </w:r>
      <w:r>
        <w:rPr>
          <w:rFonts w:ascii="Trebuchet MS"/>
          <w:color w:val="231F20"/>
          <w:spacing w:val="14"/>
          <w:sz w:val="14"/>
        </w:rPr>
        <w:t xml:space="preserve"> </w:t>
      </w:r>
      <w:r>
        <w:rPr>
          <w:rFonts w:ascii="Trebuchet MS"/>
          <w:color w:val="231F20"/>
          <w:sz w:val="14"/>
        </w:rPr>
        <w:t>Aesthetics</w:t>
      </w:r>
      <w:r>
        <w:rPr>
          <w:rFonts w:ascii="Trebuchet MS"/>
          <w:color w:val="231F20"/>
          <w:spacing w:val="14"/>
          <w:sz w:val="14"/>
        </w:rPr>
        <w:t xml:space="preserve"> </w:t>
      </w:r>
      <w:r>
        <w:rPr>
          <w:rFonts w:ascii="Trebuchet MS"/>
          <w:color w:val="231F20"/>
          <w:sz w:val="14"/>
        </w:rPr>
        <w:t>are</w:t>
      </w:r>
      <w:r>
        <w:rPr>
          <w:rFonts w:ascii="Trebuchet MS"/>
          <w:color w:val="231F20"/>
          <w:spacing w:val="14"/>
          <w:sz w:val="14"/>
        </w:rPr>
        <w:t xml:space="preserve"> </w:t>
      </w:r>
      <w:r>
        <w:rPr>
          <w:rFonts w:ascii="Trebuchet MS"/>
          <w:color w:val="231F20"/>
          <w:sz w:val="14"/>
        </w:rPr>
        <w:t>related</w:t>
      </w:r>
      <w:r>
        <w:rPr>
          <w:rFonts w:ascii="Trebuchet MS"/>
          <w:color w:val="231F20"/>
          <w:spacing w:val="14"/>
          <w:sz w:val="14"/>
        </w:rPr>
        <w:t xml:space="preserve"> </w:t>
      </w:r>
      <w:r>
        <w:rPr>
          <w:rFonts w:ascii="Trebuchet MS"/>
          <w:color w:val="231F20"/>
          <w:sz w:val="14"/>
        </w:rPr>
        <w:t>to</w:t>
      </w:r>
      <w:r>
        <w:rPr>
          <w:rFonts w:ascii="Trebuchet MS"/>
          <w:color w:val="231F20"/>
          <w:spacing w:val="14"/>
          <w:sz w:val="14"/>
        </w:rPr>
        <w:t xml:space="preserve"> </w:t>
      </w:r>
      <w:r>
        <w:rPr>
          <w:rFonts w:ascii="Trebuchet MS"/>
          <w:color w:val="231F20"/>
          <w:sz w:val="14"/>
        </w:rPr>
        <w:t>the</w:t>
      </w:r>
      <w:r>
        <w:rPr>
          <w:rFonts w:ascii="Trebuchet MS"/>
          <w:color w:val="231F20"/>
          <w:spacing w:val="15"/>
          <w:sz w:val="14"/>
        </w:rPr>
        <w:t xml:space="preserve"> </w:t>
      </w:r>
      <w:r>
        <w:rPr>
          <w:rFonts w:ascii="Trebuchet MS"/>
          <w:color w:val="231F20"/>
          <w:sz w:val="14"/>
        </w:rPr>
        <w:t>artistic</w:t>
      </w:r>
      <w:r>
        <w:rPr>
          <w:rFonts w:ascii="Trebuchet MS"/>
          <w:color w:val="231F20"/>
          <w:spacing w:val="14"/>
          <w:sz w:val="14"/>
        </w:rPr>
        <w:t xml:space="preserve"> </w:t>
      </w:r>
      <w:r>
        <w:rPr>
          <w:rFonts w:ascii="Trebuchet MS"/>
          <w:color w:val="231F20"/>
          <w:sz w:val="14"/>
        </w:rPr>
        <w:t>quality</w:t>
      </w:r>
      <w:r>
        <w:rPr>
          <w:rFonts w:ascii="Trebuchet MS"/>
          <w:color w:val="231F20"/>
          <w:spacing w:val="14"/>
          <w:sz w:val="14"/>
        </w:rPr>
        <w:t xml:space="preserve"> </w:t>
      </w:r>
      <w:r>
        <w:rPr>
          <w:rFonts w:ascii="Trebuchet MS"/>
          <w:color w:val="231F20"/>
          <w:sz w:val="14"/>
        </w:rPr>
        <w:t>of</w:t>
      </w:r>
      <w:r>
        <w:rPr>
          <w:rFonts w:ascii="Trebuchet MS"/>
          <w:color w:val="231F20"/>
          <w:spacing w:val="14"/>
          <w:sz w:val="14"/>
        </w:rPr>
        <w:t xml:space="preserve"> </w:t>
      </w:r>
      <w:r>
        <w:rPr>
          <w:rFonts w:ascii="Trebuchet MS"/>
          <w:color w:val="231F20"/>
          <w:spacing w:val="-5"/>
          <w:sz w:val="14"/>
        </w:rPr>
        <w:t>the</w:t>
      </w:r>
    </w:p>
    <w:p w14:paraId="0A383691" w14:textId="77777777" w:rsidR="00AE0598" w:rsidRDefault="00AE0598">
      <w:pPr>
        <w:spacing w:line="160" w:lineRule="exact"/>
        <w:rPr>
          <w:rFonts w:ascii="Trebuchet MS"/>
          <w:sz w:val="14"/>
        </w:rPr>
        <w:sectPr w:rsidR="00AE0598">
          <w:type w:val="continuous"/>
          <w:pgSz w:w="8850" w:h="13270"/>
          <w:pgMar w:top="1080" w:right="1060" w:bottom="280" w:left="1080" w:header="720" w:footer="720" w:gutter="0"/>
          <w:cols w:space="720"/>
        </w:sectPr>
      </w:pPr>
    </w:p>
    <w:p w14:paraId="299217D8" w14:textId="77777777" w:rsidR="00AE0598" w:rsidRDefault="0069255A">
      <w:pPr>
        <w:spacing w:line="162" w:lineRule="exact"/>
        <w:ind w:left="394"/>
        <w:rPr>
          <w:rFonts w:ascii="Trebuchet MS"/>
          <w:sz w:val="14"/>
        </w:rPr>
      </w:pPr>
      <w:r>
        <w:rPr>
          <w:rFonts w:ascii="Trebuchet MS"/>
          <w:color w:val="231F20"/>
          <w:spacing w:val="-2"/>
          <w:sz w:val="14"/>
        </w:rPr>
        <w:t>aesthetic</w:t>
      </w:r>
    </w:p>
    <w:p w14:paraId="64A971AA" w14:textId="77777777" w:rsidR="00AE0598" w:rsidRDefault="0069255A">
      <w:pPr>
        <w:spacing w:before="2" w:line="235" w:lineRule="auto"/>
        <w:ind w:left="283" w:right="362"/>
        <w:rPr>
          <w:rFonts w:ascii="Trebuchet MS"/>
          <w:sz w:val="14"/>
        </w:rPr>
      </w:pPr>
      <w:r>
        <w:br w:type="column"/>
      </w:r>
      <w:r>
        <w:rPr>
          <w:rFonts w:ascii="Trebuchet MS"/>
          <w:color w:val="231F20"/>
          <w:sz w:val="14"/>
        </w:rPr>
        <w:t>sports</w:t>
      </w:r>
      <w:r>
        <w:rPr>
          <w:rFonts w:ascii="Trebuchet MS"/>
          <w:color w:val="231F20"/>
          <w:spacing w:val="29"/>
          <w:sz w:val="14"/>
        </w:rPr>
        <w:t xml:space="preserve"> </w:t>
      </w:r>
      <w:r>
        <w:rPr>
          <w:rFonts w:ascii="Trebuchet MS"/>
          <w:color w:val="231F20"/>
          <w:sz w:val="14"/>
        </w:rPr>
        <w:t>landscape.</w:t>
      </w:r>
      <w:r>
        <w:rPr>
          <w:rFonts w:ascii="Trebuchet MS"/>
          <w:color w:val="231F20"/>
          <w:spacing w:val="29"/>
          <w:sz w:val="14"/>
        </w:rPr>
        <w:t xml:space="preserve"> </w:t>
      </w:r>
      <w:r>
        <w:rPr>
          <w:rFonts w:ascii="Trebuchet MS"/>
          <w:color w:val="231F20"/>
          <w:sz w:val="14"/>
        </w:rPr>
        <w:t>The</w:t>
      </w:r>
      <w:r>
        <w:rPr>
          <w:rFonts w:ascii="Trebuchet MS"/>
          <w:color w:val="231F20"/>
          <w:spacing w:val="29"/>
          <w:sz w:val="14"/>
        </w:rPr>
        <w:t xml:space="preserve"> </w:t>
      </w:r>
      <w:r>
        <w:rPr>
          <w:rFonts w:ascii="Trebuchet MS"/>
          <w:color w:val="231F20"/>
          <w:sz w:val="14"/>
        </w:rPr>
        <w:t>aesthetics</w:t>
      </w:r>
      <w:r>
        <w:rPr>
          <w:rFonts w:ascii="Trebuchet MS"/>
          <w:color w:val="231F20"/>
          <w:spacing w:val="29"/>
          <w:sz w:val="14"/>
        </w:rPr>
        <w:t xml:space="preserve"> </w:t>
      </w:r>
      <w:r>
        <w:rPr>
          <w:rFonts w:ascii="Trebuchet MS"/>
          <w:color w:val="231F20"/>
          <w:sz w:val="14"/>
        </w:rPr>
        <w:t>of</w:t>
      </w:r>
      <w:r>
        <w:rPr>
          <w:rFonts w:ascii="Trebuchet MS"/>
          <w:color w:val="231F20"/>
          <w:spacing w:val="29"/>
          <w:sz w:val="14"/>
        </w:rPr>
        <w:t xml:space="preserve"> </w:t>
      </w:r>
      <w:r>
        <w:rPr>
          <w:rFonts w:ascii="Trebuchet MS"/>
          <w:color w:val="231F20"/>
          <w:sz w:val="14"/>
        </w:rPr>
        <w:t>the</w:t>
      </w:r>
      <w:r>
        <w:rPr>
          <w:rFonts w:ascii="Trebuchet MS"/>
          <w:color w:val="231F20"/>
          <w:spacing w:val="29"/>
          <w:sz w:val="14"/>
        </w:rPr>
        <w:t xml:space="preserve"> </w:t>
      </w:r>
      <w:r>
        <w:rPr>
          <w:rFonts w:ascii="Trebuchet MS"/>
          <w:color w:val="231F20"/>
          <w:sz w:val="14"/>
        </w:rPr>
        <w:t>sport</w:t>
      </w:r>
      <w:r>
        <w:rPr>
          <w:rFonts w:ascii="Trebuchet MS"/>
          <w:color w:val="231F20"/>
          <w:spacing w:val="29"/>
          <w:sz w:val="14"/>
        </w:rPr>
        <w:t xml:space="preserve"> </w:t>
      </w:r>
      <w:r>
        <w:rPr>
          <w:rFonts w:ascii="Trebuchet MS"/>
          <w:color w:val="231F20"/>
          <w:sz w:val="14"/>
        </w:rPr>
        <w:t>landscape</w:t>
      </w:r>
      <w:r>
        <w:rPr>
          <w:rFonts w:ascii="Trebuchet MS"/>
          <w:color w:val="231F20"/>
          <w:spacing w:val="29"/>
          <w:sz w:val="14"/>
        </w:rPr>
        <w:t xml:space="preserve"> </w:t>
      </w:r>
      <w:r>
        <w:rPr>
          <w:rFonts w:ascii="Trebuchet MS"/>
          <w:color w:val="231F20"/>
          <w:sz w:val="14"/>
        </w:rPr>
        <w:t>are</w:t>
      </w:r>
      <w:r>
        <w:rPr>
          <w:rFonts w:ascii="Trebuchet MS"/>
          <w:color w:val="231F20"/>
          <w:spacing w:val="29"/>
          <w:sz w:val="14"/>
        </w:rPr>
        <w:t xml:space="preserve"> </w:t>
      </w:r>
      <w:r>
        <w:rPr>
          <w:rFonts w:ascii="Trebuchet MS"/>
          <w:color w:val="231F20"/>
          <w:sz w:val="14"/>
        </w:rPr>
        <w:t>also</w:t>
      </w:r>
      <w:r>
        <w:rPr>
          <w:rFonts w:ascii="Trebuchet MS"/>
          <w:color w:val="231F20"/>
          <w:spacing w:val="29"/>
          <w:sz w:val="14"/>
        </w:rPr>
        <w:t xml:space="preserve"> </w:t>
      </w:r>
      <w:r>
        <w:rPr>
          <w:rFonts w:ascii="Trebuchet MS"/>
          <w:color w:val="231F20"/>
          <w:sz w:val="14"/>
        </w:rPr>
        <w:t>portrayed in paint, film,</w:t>
      </w:r>
      <w:r>
        <w:rPr>
          <w:rFonts w:ascii="Trebuchet MS"/>
          <w:color w:val="231F20"/>
          <w:spacing w:val="27"/>
          <w:sz w:val="14"/>
        </w:rPr>
        <w:t xml:space="preserve"> </w:t>
      </w:r>
      <w:r>
        <w:rPr>
          <w:rFonts w:ascii="Trebuchet MS"/>
          <w:color w:val="231F20"/>
          <w:sz w:val="14"/>
        </w:rPr>
        <w:t>photograph and</w:t>
      </w:r>
      <w:r>
        <w:rPr>
          <w:rFonts w:ascii="Trebuchet MS"/>
          <w:color w:val="231F20"/>
          <w:spacing w:val="27"/>
          <w:sz w:val="14"/>
        </w:rPr>
        <w:t xml:space="preserve"> </w:t>
      </w:r>
      <w:r>
        <w:rPr>
          <w:rFonts w:ascii="Trebuchet MS"/>
          <w:color w:val="231F20"/>
          <w:sz w:val="14"/>
        </w:rPr>
        <w:t>print. Such portrayals may</w:t>
      </w:r>
      <w:r>
        <w:rPr>
          <w:rFonts w:ascii="Trebuchet MS"/>
          <w:color w:val="231F20"/>
          <w:spacing w:val="27"/>
          <w:sz w:val="14"/>
        </w:rPr>
        <w:t xml:space="preserve"> </w:t>
      </w:r>
      <w:r>
        <w:rPr>
          <w:rFonts w:ascii="Trebuchet MS"/>
          <w:color w:val="231F20"/>
          <w:sz w:val="14"/>
        </w:rPr>
        <w:t>be accurate rep- resentations of what exists in the physical landscape. It is also possible that</w:t>
      </w:r>
      <w:r>
        <w:rPr>
          <w:rFonts w:ascii="Trebuchet MS"/>
          <w:color w:val="231F20"/>
          <w:spacing w:val="40"/>
          <w:sz w:val="14"/>
        </w:rPr>
        <w:t xml:space="preserve"> </w:t>
      </w:r>
      <w:r>
        <w:rPr>
          <w:rFonts w:ascii="Trebuchet MS"/>
          <w:color w:val="231F20"/>
          <w:sz w:val="14"/>
        </w:rPr>
        <w:t>landscape icons may become mythical landscapes (e.g. the landscapes of</w:t>
      </w:r>
      <w:r>
        <w:rPr>
          <w:rFonts w:ascii="Trebuchet MS"/>
          <w:color w:val="231F20"/>
          <w:spacing w:val="40"/>
          <w:sz w:val="14"/>
        </w:rPr>
        <w:t xml:space="preserve"> </w:t>
      </w:r>
      <w:r>
        <w:rPr>
          <w:rFonts w:ascii="Trebuchet MS"/>
          <w:color w:val="231F20"/>
          <w:sz w:val="14"/>
        </w:rPr>
        <w:t>English cricket and American baseball).</w:t>
      </w:r>
    </w:p>
    <w:p w14:paraId="537A6970" w14:textId="77777777" w:rsidR="00AE0598" w:rsidRDefault="00AE0598">
      <w:pPr>
        <w:spacing w:line="235" w:lineRule="auto"/>
        <w:rPr>
          <w:rFonts w:ascii="Trebuchet MS"/>
          <w:sz w:val="14"/>
        </w:rPr>
        <w:sectPr w:rsidR="00AE0598">
          <w:type w:val="continuous"/>
          <w:pgSz w:w="8850" w:h="13270"/>
          <w:pgMar w:top="1080" w:right="1060" w:bottom="280" w:left="1080" w:header="720" w:footer="720" w:gutter="0"/>
          <w:cols w:num="2" w:space="720" w:equalWidth="0">
            <w:col w:w="1001" w:space="40"/>
            <w:col w:w="5669"/>
          </w:cols>
        </w:sectPr>
      </w:pPr>
    </w:p>
    <w:p w14:paraId="1A2BCFFF" w14:textId="77777777" w:rsidR="00AE0598" w:rsidRDefault="00AE0598">
      <w:pPr>
        <w:pStyle w:val="Corpodetexto"/>
        <w:spacing w:before="5"/>
        <w:rPr>
          <w:rFonts w:ascii="Trebuchet MS"/>
          <w:sz w:val="4"/>
        </w:rPr>
      </w:pPr>
    </w:p>
    <w:p w14:paraId="1DD7291A" w14:textId="0683FC4E" w:rsidR="00AE0598" w:rsidRDefault="0069255A">
      <w:pPr>
        <w:pStyle w:val="Corpodetexto"/>
        <w:spacing w:line="20" w:lineRule="exact"/>
        <w:ind w:left="110"/>
        <w:rPr>
          <w:rFonts w:ascii="Trebuchet MS"/>
          <w:sz w:val="2"/>
        </w:rPr>
      </w:pPr>
      <w:r>
        <w:rPr>
          <w:rFonts w:ascii="Trebuchet MS"/>
          <w:noProof/>
          <w:sz w:val="2"/>
        </w:rPr>
        <mc:AlternateContent>
          <mc:Choice Requires="wpg">
            <w:drawing>
              <wp:inline distT="0" distB="0" distL="0" distR="0" wp14:anchorId="2097F6D7" wp14:editId="79F35154">
                <wp:extent cx="4106545" cy="3175"/>
                <wp:effectExtent l="12700" t="12700" r="5080" b="3175"/>
                <wp:docPr id="183" name="docshapegroup1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06545" cy="3175"/>
                          <a:chOff x="0" y="0"/>
                          <a:chExt cx="6467" cy="5"/>
                        </a:xfrm>
                      </wpg:grpSpPr>
                      <wps:wsp>
                        <wps:cNvPr id="184" name="docshape185"/>
                        <wps:cNvSpPr>
                          <a:spLocks/>
                        </wps:cNvSpPr>
                        <wps:spPr bwMode="auto">
                          <a:xfrm>
                            <a:off x="0" y="2"/>
                            <a:ext cx="6467" cy="2"/>
                          </a:xfrm>
                          <a:custGeom>
                            <a:avLst/>
                            <a:gdLst>
                              <a:gd name="T0" fmla="*/ 0 w 6467"/>
                              <a:gd name="T1" fmla="*/ 1213 w 6467"/>
                              <a:gd name="T2" fmla="*/ 6466 w 6467"/>
                            </a:gdLst>
                            <a:ahLst/>
                            <a:cxnLst>
                              <a:cxn ang="0">
                                <a:pos x="T0" y="0"/>
                              </a:cxn>
                              <a:cxn ang="0">
                                <a:pos x="T1" y="0"/>
                              </a:cxn>
                              <a:cxn ang="0">
                                <a:pos x="T2" y="0"/>
                              </a:cxn>
                            </a:cxnLst>
                            <a:rect l="0" t="0" r="r" b="b"/>
                            <a:pathLst>
                              <a:path w="6467">
                                <a:moveTo>
                                  <a:pt x="0" y="0"/>
                                </a:moveTo>
                                <a:lnTo>
                                  <a:pt x="1213" y="0"/>
                                </a:lnTo>
                                <a:lnTo>
                                  <a:pt x="6466" y="0"/>
                                </a:lnTo>
                              </a:path>
                            </a:pathLst>
                          </a:custGeom>
                          <a:noFill/>
                          <a:ln w="3175">
                            <a:solidFill>
                              <a:srgbClr val="231F2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5D3691C8" id="docshapegroup184" o:spid="_x0000_s1026" style="width:323.35pt;height:.25pt;mso-position-horizontal-relative:char;mso-position-vertical-relative:line" coordsize="64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">
                <v:shape id="docshape185" o:spid="_x0000_s1027" style="position:absolute;top:2;width:6467;height:2;visibility:visible;mso-wrap-style:square;v-text-anchor:top" coordsize="646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" path="m,l1213,,6466,e" filled="f" strokecolor="#231f20" strokeweight=".25pt">
                  <v:path arrowok="t" o:connecttype="custom" o:connectlocs="0,0;1213,0;6466,0" o:connectangles="0,0,0"/>
                </v:shape>
                <w10:anchorlock/>
              </v:group>
            </w:pict>
          </mc:Fallback>
        </mc:AlternateContent>
      </w:r>
    </w:p>
    <w:p w14:paraId="62509E83" w14:textId="77777777" w:rsidR="00AE0598" w:rsidRDefault="0069255A">
      <w:pPr>
        <w:spacing w:before="132"/>
        <w:ind w:left="110"/>
        <w:rPr>
          <w:rFonts w:ascii="Trebuchet MS"/>
          <w:sz w:val="14"/>
        </w:rPr>
      </w:pPr>
      <w:r>
        <w:rPr>
          <w:rFonts w:ascii="Trebuchet MS"/>
          <w:color w:val="231F20"/>
          <w:sz w:val="14"/>
        </w:rPr>
        <w:t>Source:</w:t>
      </w:r>
      <w:r>
        <w:rPr>
          <w:rFonts w:ascii="Trebuchet MS"/>
          <w:color w:val="231F20"/>
          <w:spacing w:val="21"/>
          <w:sz w:val="14"/>
        </w:rPr>
        <w:t xml:space="preserve"> </w:t>
      </w:r>
      <w:r>
        <w:rPr>
          <w:rFonts w:ascii="Trebuchet MS"/>
          <w:color w:val="231F20"/>
          <w:sz w:val="14"/>
        </w:rPr>
        <w:t>Adapted</w:t>
      </w:r>
      <w:r>
        <w:rPr>
          <w:rFonts w:ascii="Trebuchet MS"/>
          <w:color w:val="231F20"/>
          <w:spacing w:val="21"/>
          <w:sz w:val="14"/>
        </w:rPr>
        <w:t xml:space="preserve"> </w:t>
      </w:r>
      <w:r>
        <w:rPr>
          <w:rFonts w:ascii="Trebuchet MS"/>
          <w:color w:val="231F20"/>
          <w:sz w:val="14"/>
        </w:rPr>
        <w:t>from</w:t>
      </w:r>
      <w:r>
        <w:rPr>
          <w:rFonts w:ascii="Trebuchet MS"/>
          <w:color w:val="231F20"/>
          <w:spacing w:val="21"/>
          <w:sz w:val="14"/>
        </w:rPr>
        <w:t xml:space="preserve"> </w:t>
      </w:r>
      <w:r>
        <w:rPr>
          <w:rFonts w:ascii="Trebuchet MS"/>
          <w:color w:val="231F20"/>
          <w:sz w:val="14"/>
        </w:rPr>
        <w:t>Bale</w:t>
      </w:r>
      <w:r>
        <w:rPr>
          <w:rFonts w:ascii="Trebuchet MS"/>
          <w:color w:val="231F20"/>
          <w:spacing w:val="22"/>
          <w:sz w:val="14"/>
        </w:rPr>
        <w:t xml:space="preserve"> </w:t>
      </w:r>
      <w:r>
        <w:rPr>
          <w:rFonts w:ascii="Trebuchet MS"/>
          <w:color w:val="231F20"/>
          <w:spacing w:val="-2"/>
          <w:sz w:val="14"/>
        </w:rPr>
        <w:t>(1994).</w:t>
      </w:r>
    </w:p>
    <w:p w14:paraId="49DE0026" w14:textId="77777777" w:rsidR="00AE0598" w:rsidRDefault="00AE0598">
      <w:pPr>
        <w:rPr>
          <w:rFonts w:ascii="Trebuchet MS"/>
          <w:sz w:val="14"/>
        </w:rPr>
        <w:sectPr w:rsidR="00AE0598">
          <w:type w:val="continuous"/>
          <w:pgSz w:w="8850" w:h="13270"/>
          <w:pgMar w:top="1080" w:right="1060" w:bottom="280" w:left="1080" w:header="720" w:footer="720" w:gutter="0"/>
          <w:cols w:space="720"/>
        </w:sectPr>
      </w:pPr>
    </w:p>
    <w:p w14:paraId="64B8959B" w14:textId="77777777" w:rsidR="00AE0598" w:rsidRDefault="0069255A">
      <w:pPr>
        <w:spacing w:before="87"/>
        <w:ind w:left="3064"/>
        <w:rPr>
          <w:rFonts w:ascii="Trebuchet MS"/>
          <w:sz w:val="14"/>
        </w:rPr>
      </w:pPr>
      <w:r>
        <w:rPr>
          <w:rFonts w:ascii="Trebuchet MS"/>
          <w:color w:val="231F20"/>
          <w:w w:val="105"/>
          <w:sz w:val="14"/>
        </w:rPr>
        <w:lastRenderedPageBreak/>
        <w:t>Environment:</w:t>
      </w:r>
      <w:r>
        <w:rPr>
          <w:rFonts w:ascii="Trebuchet MS"/>
          <w:color w:val="231F20"/>
          <w:spacing w:val="-12"/>
          <w:w w:val="105"/>
          <w:sz w:val="14"/>
        </w:rPr>
        <w:t xml:space="preserve"> </w:t>
      </w:r>
      <w:r>
        <w:rPr>
          <w:rFonts w:ascii="Trebuchet MS"/>
          <w:color w:val="231F20"/>
          <w:w w:val="105"/>
          <w:sz w:val="14"/>
        </w:rPr>
        <w:t>Landscape,</w:t>
      </w:r>
      <w:r>
        <w:rPr>
          <w:rFonts w:ascii="Trebuchet MS"/>
          <w:color w:val="231F20"/>
          <w:spacing w:val="-11"/>
          <w:w w:val="105"/>
          <w:sz w:val="14"/>
        </w:rPr>
        <w:t xml:space="preserve"> </w:t>
      </w:r>
      <w:r>
        <w:rPr>
          <w:rFonts w:ascii="Trebuchet MS"/>
          <w:color w:val="231F20"/>
          <w:w w:val="105"/>
          <w:sz w:val="14"/>
        </w:rPr>
        <w:t>Resources</w:t>
      </w:r>
      <w:r>
        <w:rPr>
          <w:rFonts w:ascii="Trebuchet MS"/>
          <w:color w:val="231F20"/>
          <w:spacing w:val="-11"/>
          <w:w w:val="105"/>
          <w:sz w:val="14"/>
        </w:rPr>
        <w:t xml:space="preserve"> </w:t>
      </w:r>
      <w:r>
        <w:rPr>
          <w:rFonts w:ascii="Trebuchet MS"/>
          <w:color w:val="231F20"/>
          <w:w w:val="105"/>
          <w:sz w:val="14"/>
        </w:rPr>
        <w:t>and</w:t>
      </w:r>
      <w:r>
        <w:rPr>
          <w:rFonts w:ascii="Trebuchet MS"/>
          <w:color w:val="231F20"/>
          <w:spacing w:val="-11"/>
          <w:w w:val="105"/>
          <w:sz w:val="14"/>
        </w:rPr>
        <w:t xml:space="preserve"> </w:t>
      </w:r>
      <w:r>
        <w:rPr>
          <w:rFonts w:ascii="Trebuchet MS"/>
          <w:color w:val="231F20"/>
          <w:w w:val="105"/>
          <w:sz w:val="14"/>
        </w:rPr>
        <w:t>Impacts</w:t>
      </w:r>
      <w:r>
        <w:rPr>
          <w:rFonts w:ascii="Trebuchet MS"/>
          <w:color w:val="231F20"/>
          <w:spacing w:val="49"/>
          <w:w w:val="105"/>
          <w:sz w:val="14"/>
        </w:rPr>
        <w:t xml:space="preserve"> </w:t>
      </w:r>
      <w:r>
        <w:rPr>
          <w:rFonts w:ascii="Trebuchet MS"/>
          <w:color w:val="231F20"/>
          <w:spacing w:val="-5"/>
          <w:w w:val="105"/>
          <w:sz w:val="14"/>
        </w:rPr>
        <w:t>137</w:t>
      </w:r>
    </w:p>
    <w:p w14:paraId="1850596A" w14:textId="77777777" w:rsidR="00AE0598" w:rsidRDefault="00AE0598">
      <w:pPr>
        <w:pStyle w:val="Corpodetexto"/>
        <w:spacing w:before="5"/>
        <w:rPr>
          <w:rFonts w:ascii="Trebuchet MS"/>
          <w:sz w:val="18"/>
        </w:rPr>
      </w:pPr>
    </w:p>
    <w:p w14:paraId="5D8305E2" w14:textId="77777777" w:rsidR="00AE0598" w:rsidRDefault="0069255A">
      <w:pPr>
        <w:spacing w:before="100"/>
        <w:ind w:left="110"/>
        <w:rPr>
          <w:rFonts w:ascii="Trebuchet MS"/>
          <w:sz w:val="16"/>
        </w:rPr>
      </w:pPr>
      <w:r>
        <w:rPr>
          <w:rFonts w:ascii="Trebuchet MS"/>
          <w:b/>
          <w:color w:val="231F20"/>
          <w:sz w:val="16"/>
        </w:rPr>
        <w:t>Table</w:t>
      </w:r>
      <w:r>
        <w:rPr>
          <w:rFonts w:ascii="Trebuchet MS"/>
          <w:b/>
          <w:color w:val="231F20"/>
          <w:spacing w:val="8"/>
          <w:sz w:val="16"/>
        </w:rPr>
        <w:t xml:space="preserve"> </w:t>
      </w:r>
      <w:r>
        <w:rPr>
          <w:rFonts w:ascii="Trebuchet MS"/>
          <w:b/>
          <w:color w:val="231F20"/>
          <w:sz w:val="16"/>
        </w:rPr>
        <w:t>7.2</w:t>
      </w:r>
      <w:r>
        <w:rPr>
          <w:rFonts w:ascii="Trebuchet MS"/>
          <w:b/>
          <w:color w:val="231F20"/>
          <w:spacing w:val="53"/>
          <w:sz w:val="16"/>
        </w:rPr>
        <w:t xml:space="preserve"> </w:t>
      </w:r>
      <w:r>
        <w:rPr>
          <w:rFonts w:ascii="Trebuchet MS"/>
          <w:color w:val="231F20"/>
          <w:sz w:val="16"/>
        </w:rPr>
        <w:t>Resource-base</w:t>
      </w:r>
      <w:r>
        <w:rPr>
          <w:rFonts w:ascii="Trebuchet MS"/>
          <w:color w:val="231F20"/>
          <w:spacing w:val="9"/>
          <w:sz w:val="16"/>
        </w:rPr>
        <w:t xml:space="preserve"> </w:t>
      </w:r>
      <w:r>
        <w:rPr>
          <w:rFonts w:ascii="Trebuchet MS"/>
          <w:color w:val="231F20"/>
          <w:sz w:val="16"/>
        </w:rPr>
        <w:t>for</w:t>
      </w:r>
      <w:r>
        <w:rPr>
          <w:rFonts w:ascii="Trebuchet MS"/>
          <w:color w:val="231F20"/>
          <w:spacing w:val="8"/>
          <w:sz w:val="16"/>
        </w:rPr>
        <w:t xml:space="preserve"> </w:t>
      </w:r>
      <w:r>
        <w:rPr>
          <w:rFonts w:ascii="Trebuchet MS"/>
          <w:color w:val="231F20"/>
          <w:sz w:val="16"/>
        </w:rPr>
        <w:t>sport</w:t>
      </w:r>
      <w:r>
        <w:rPr>
          <w:rFonts w:ascii="Trebuchet MS"/>
          <w:color w:val="231F20"/>
          <w:spacing w:val="8"/>
          <w:sz w:val="16"/>
        </w:rPr>
        <w:t xml:space="preserve"> </w:t>
      </w:r>
      <w:r>
        <w:rPr>
          <w:rFonts w:ascii="Trebuchet MS"/>
          <w:color w:val="231F20"/>
          <w:sz w:val="16"/>
        </w:rPr>
        <w:t>tourism</w:t>
      </w:r>
      <w:r>
        <w:rPr>
          <w:rFonts w:ascii="Trebuchet MS"/>
          <w:color w:val="231F20"/>
          <w:spacing w:val="9"/>
          <w:sz w:val="16"/>
        </w:rPr>
        <w:t xml:space="preserve"> </w:t>
      </w:r>
      <w:r>
        <w:rPr>
          <w:rFonts w:ascii="Trebuchet MS"/>
          <w:color w:val="231F20"/>
          <w:spacing w:val="-2"/>
          <w:sz w:val="16"/>
        </w:rPr>
        <w:t>development</w:t>
      </w:r>
    </w:p>
    <w:p w14:paraId="068588CB" w14:textId="77777777" w:rsidR="00AE0598" w:rsidRDefault="00AE0598">
      <w:pPr>
        <w:pStyle w:val="Corpodetexto"/>
        <w:spacing w:before="9"/>
        <w:rPr>
          <w:rFonts w:ascii="Trebuchet MS"/>
          <w:sz w:val="18"/>
        </w:rPr>
      </w:pPr>
    </w:p>
    <w:p w14:paraId="4BDD977B" w14:textId="00D6C5FC" w:rsidR="00AE0598" w:rsidRDefault="0069255A">
      <w:pPr>
        <w:tabs>
          <w:tab w:val="left" w:pos="3553"/>
        </w:tabs>
        <w:ind w:left="110"/>
        <w:rPr>
          <w:rFonts w:ascii="Trebuchet MS"/>
          <w:b/>
          <w:sz w:val="14"/>
        </w:rPr>
      </w:pPr>
      <w:r>
        <w:rPr>
          <w:noProof/>
        </w:rPr>
        <mc:AlternateContent>
          <mc:Choice Requires="wps">
            <w:drawing>
              <wp:anchor distT="0" distB="0" distL="0" distR="0" simplePos="0" relativeHeight="487653888" behindDoc="1" locked="0" layoutInCell="1" allowOverlap="1" wp14:anchorId="7BCB16AE" wp14:editId="07CDE4FF">
                <wp:simplePos x="0" y="0"/>
                <wp:positionH relativeFrom="page">
                  <wp:posOffset>755650</wp:posOffset>
                </wp:positionH>
                <wp:positionV relativeFrom="paragraph">
                  <wp:posOffset>133985</wp:posOffset>
                </wp:positionV>
                <wp:extent cx="4097655" cy="1270"/>
                <wp:effectExtent l="0" t="0" r="0" b="0"/>
                <wp:wrapTopAndBottom/>
                <wp:docPr id="182" name="docshape1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097655" cy="1270"/>
                        </a:xfrm>
                        <a:custGeom>
                          <a:avLst/>
                          <a:gdLst>
                            <a:gd name="T0" fmla="+- 0 1190 1190"/>
                            <a:gd name="T1" fmla="*/ T0 w 6453"/>
                            <a:gd name="T2" fmla="+- 0 4010 1190"/>
                            <a:gd name="T3" fmla="*/ T2 w 6453"/>
                            <a:gd name="T4" fmla="+- 0 7643 1190"/>
                            <a:gd name="T5" fmla="*/ T4 w 6453"/>
                          </a:gdLst>
                          <a:ahLst/>
                          <a:cxnLst>
                            <a:cxn ang="0">
                              <a:pos x="T1" y="0"/>
                            </a:cxn>
                            <a:cxn ang="0">
                              <a:pos x="T3" y="0"/>
                            </a:cxn>
                            <a:cxn ang="0">
                              <a:pos x="T5" y="0"/>
                            </a:cxn>
                          </a:cxnLst>
                          <a:rect l="0" t="0" r="r" b="b"/>
                          <a:pathLst>
                            <a:path w="6453">
                              <a:moveTo>
                                <a:pt x="0" y="0"/>
                              </a:moveTo>
                              <a:lnTo>
                                <a:pt x="2820" y="0"/>
                              </a:lnTo>
                              <a:lnTo>
                                <a:pt x="6453" y="0"/>
                              </a:lnTo>
                            </a:path>
                          </a:pathLst>
                        </a:custGeom>
                        <a:noFill/>
                        <a:ln w="3175">
                          <a:solidFill>
                            <a:srgbClr val="231F2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BA7D06" id="docshape186" o:spid="_x0000_s1026" style="position:absolute;margin-left:59.5pt;margin-top:10.55pt;width:322.65pt;height:.1pt;z-index:-156625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45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" path="m,l2820,,6453,e" filled="f" strokecolor="#231f20" strokeweight=".25pt">
                <v:path arrowok="t" o:connecttype="custom" o:connectlocs="0,0;1790700,0;4097655,0" o:connectangles="0,0,0"/>
                <w10:wrap type="topAndBottom" anchorx="page"/>
              </v:shape>
            </w:pict>
          </mc:Fallback>
        </mc:AlternateContent>
      </w:r>
      <w:r>
        <w:rPr>
          <w:rFonts w:ascii="Trebuchet MS"/>
          <w:b/>
          <w:color w:val="231F20"/>
          <w:sz w:val="14"/>
        </w:rPr>
        <w:t>Tourism</w:t>
      </w:r>
      <w:r>
        <w:rPr>
          <w:rFonts w:ascii="Trebuchet MS"/>
          <w:b/>
          <w:color w:val="231F20"/>
          <w:spacing w:val="2"/>
          <w:sz w:val="14"/>
        </w:rPr>
        <w:t xml:space="preserve"> </w:t>
      </w:r>
      <w:r>
        <w:rPr>
          <w:rFonts w:ascii="Trebuchet MS"/>
          <w:b/>
          <w:color w:val="231F20"/>
          <w:sz w:val="14"/>
        </w:rPr>
        <w:t>industry</w:t>
      </w:r>
      <w:r>
        <w:rPr>
          <w:rFonts w:ascii="Trebuchet MS"/>
          <w:b/>
          <w:color w:val="231F20"/>
          <w:spacing w:val="3"/>
          <w:sz w:val="14"/>
        </w:rPr>
        <w:t xml:space="preserve"> </w:t>
      </w:r>
      <w:r>
        <w:rPr>
          <w:rFonts w:ascii="Trebuchet MS"/>
          <w:b/>
          <w:color w:val="231F20"/>
          <w:sz w:val="14"/>
        </w:rPr>
        <w:t>resource</w:t>
      </w:r>
      <w:r>
        <w:rPr>
          <w:rFonts w:ascii="Trebuchet MS"/>
          <w:b/>
          <w:color w:val="231F20"/>
          <w:spacing w:val="2"/>
          <w:sz w:val="14"/>
        </w:rPr>
        <w:t xml:space="preserve"> </w:t>
      </w:r>
      <w:r>
        <w:rPr>
          <w:rFonts w:ascii="Trebuchet MS"/>
          <w:b/>
          <w:color w:val="231F20"/>
          <w:spacing w:val="-2"/>
          <w:sz w:val="14"/>
        </w:rPr>
        <w:t>requirements</w:t>
      </w:r>
      <w:r>
        <w:rPr>
          <w:rFonts w:ascii="Trebuchet MS"/>
          <w:b/>
          <w:color w:val="231F20"/>
          <w:sz w:val="14"/>
        </w:rPr>
        <w:tab/>
      </w:r>
      <w:r>
        <w:rPr>
          <w:rFonts w:ascii="Trebuchet MS"/>
          <w:b/>
          <w:color w:val="231F20"/>
          <w:w w:val="95"/>
          <w:sz w:val="14"/>
        </w:rPr>
        <w:t>Sport</w:t>
      </w:r>
      <w:r>
        <w:rPr>
          <w:rFonts w:ascii="Trebuchet MS"/>
          <w:b/>
          <w:color w:val="231F20"/>
          <w:spacing w:val="23"/>
          <w:sz w:val="14"/>
        </w:rPr>
        <w:t xml:space="preserve"> </w:t>
      </w:r>
      <w:r>
        <w:rPr>
          <w:rFonts w:ascii="Trebuchet MS"/>
          <w:b/>
          <w:color w:val="231F20"/>
          <w:w w:val="95"/>
          <w:sz w:val="14"/>
        </w:rPr>
        <w:t>sector</w:t>
      </w:r>
      <w:r>
        <w:rPr>
          <w:rFonts w:ascii="Trebuchet MS"/>
          <w:b/>
          <w:color w:val="231F20"/>
          <w:spacing w:val="24"/>
          <w:sz w:val="14"/>
        </w:rPr>
        <w:t xml:space="preserve"> </w:t>
      </w:r>
      <w:r>
        <w:rPr>
          <w:rFonts w:ascii="Trebuchet MS"/>
          <w:b/>
          <w:color w:val="231F20"/>
          <w:w w:val="95"/>
          <w:sz w:val="14"/>
        </w:rPr>
        <w:t>resource</w:t>
      </w:r>
      <w:r>
        <w:rPr>
          <w:rFonts w:ascii="Trebuchet MS"/>
          <w:b/>
          <w:color w:val="231F20"/>
          <w:spacing w:val="24"/>
          <w:sz w:val="14"/>
        </w:rPr>
        <w:t xml:space="preserve"> </w:t>
      </w:r>
      <w:r>
        <w:rPr>
          <w:rFonts w:ascii="Trebuchet MS"/>
          <w:b/>
          <w:color w:val="231F20"/>
          <w:spacing w:val="-2"/>
          <w:w w:val="95"/>
          <w:sz w:val="14"/>
        </w:rPr>
        <w:t>requirements</w:t>
      </w:r>
    </w:p>
    <w:p w14:paraId="0F092B52" w14:textId="77777777" w:rsidR="00AE0598" w:rsidRDefault="0069255A">
      <w:pPr>
        <w:tabs>
          <w:tab w:val="left" w:pos="2929"/>
        </w:tabs>
        <w:spacing w:before="51"/>
        <w:ind w:left="110"/>
        <w:rPr>
          <w:rFonts w:ascii="Trebuchet MS"/>
          <w:sz w:val="14"/>
        </w:rPr>
      </w:pPr>
      <w:r>
        <w:rPr>
          <w:rFonts w:ascii="Trebuchet MS"/>
          <w:color w:val="231F20"/>
          <w:w w:val="105"/>
          <w:sz w:val="14"/>
        </w:rPr>
        <w:t>Natural</w:t>
      </w:r>
      <w:r>
        <w:rPr>
          <w:rFonts w:ascii="Trebuchet MS"/>
          <w:color w:val="231F20"/>
          <w:spacing w:val="1"/>
          <w:w w:val="105"/>
          <w:sz w:val="14"/>
        </w:rPr>
        <w:t xml:space="preserve"> </w:t>
      </w:r>
      <w:r>
        <w:rPr>
          <w:rFonts w:ascii="Trebuchet MS"/>
          <w:color w:val="231F20"/>
          <w:spacing w:val="-2"/>
          <w:w w:val="105"/>
          <w:sz w:val="14"/>
        </w:rPr>
        <w:t>features</w:t>
      </w:r>
      <w:r>
        <w:rPr>
          <w:rFonts w:ascii="Trebuchet MS"/>
          <w:color w:val="231F20"/>
          <w:sz w:val="14"/>
        </w:rPr>
        <w:tab/>
      </w:r>
      <w:r>
        <w:rPr>
          <w:rFonts w:ascii="Trebuchet MS"/>
          <w:color w:val="231F20"/>
          <w:w w:val="105"/>
          <w:sz w:val="14"/>
        </w:rPr>
        <w:t>Natural</w:t>
      </w:r>
      <w:r>
        <w:rPr>
          <w:rFonts w:ascii="Trebuchet MS"/>
          <w:color w:val="231F20"/>
          <w:spacing w:val="1"/>
          <w:w w:val="105"/>
          <w:sz w:val="14"/>
        </w:rPr>
        <w:t xml:space="preserve"> </w:t>
      </w:r>
      <w:r>
        <w:rPr>
          <w:rFonts w:ascii="Trebuchet MS"/>
          <w:color w:val="231F20"/>
          <w:spacing w:val="-2"/>
          <w:w w:val="105"/>
          <w:sz w:val="14"/>
        </w:rPr>
        <w:t>features</w:t>
      </w:r>
    </w:p>
    <w:p w14:paraId="6DCF8FE6" w14:textId="77777777" w:rsidR="00AE0598" w:rsidRDefault="00AE0598">
      <w:pPr>
        <w:rPr>
          <w:rFonts w:ascii="Trebuchet MS"/>
          <w:sz w:val="14"/>
        </w:rPr>
        <w:sectPr w:rsidR="00AE0598">
          <w:pgSz w:w="8850" w:h="13270"/>
          <w:pgMar w:top="720" w:right="1060" w:bottom="280" w:left="1080" w:header="720" w:footer="720" w:gutter="0"/>
          <w:cols w:space="720"/>
        </w:sectPr>
      </w:pPr>
    </w:p>
    <w:p w14:paraId="4ED063B7" w14:textId="77F37E79" w:rsidR="00AE0598" w:rsidRDefault="0069255A">
      <w:pPr>
        <w:spacing w:before="105" w:line="235" w:lineRule="auto"/>
        <w:ind w:left="110"/>
        <w:rPr>
          <w:rFonts w:ascii="Trebuchet MS"/>
          <w:sz w:val="14"/>
        </w:rPr>
      </w:pPr>
      <w:r>
        <w:rPr>
          <w:noProof/>
        </w:rPr>
        <mc:AlternateContent>
          <mc:Choice Requires="wps">
            <w:drawing>
              <wp:anchor distT="0" distB="0" distL="114300" distR="114300" simplePos="0" relativeHeight="15799296" behindDoc="0" locked="0" layoutInCell="1" allowOverlap="1" wp14:anchorId="393205CD" wp14:editId="481565E9">
                <wp:simplePos x="0" y="0"/>
                <wp:positionH relativeFrom="page">
                  <wp:posOffset>755650</wp:posOffset>
                </wp:positionH>
                <wp:positionV relativeFrom="paragraph">
                  <wp:posOffset>31115</wp:posOffset>
                </wp:positionV>
                <wp:extent cx="4097655" cy="1270"/>
                <wp:effectExtent l="0" t="0" r="0" b="0"/>
                <wp:wrapNone/>
                <wp:docPr id="181" name="docshape1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097655" cy="1270"/>
                        </a:xfrm>
                        <a:custGeom>
                          <a:avLst/>
                          <a:gdLst>
                            <a:gd name="T0" fmla="+- 0 1190 1190"/>
                            <a:gd name="T1" fmla="*/ T0 w 6453"/>
                            <a:gd name="T2" fmla="+- 0 4010 1190"/>
                            <a:gd name="T3" fmla="*/ T2 w 6453"/>
                            <a:gd name="T4" fmla="+- 0 7643 1190"/>
                            <a:gd name="T5" fmla="*/ T4 w 6453"/>
                          </a:gdLst>
                          <a:ahLst/>
                          <a:cxnLst>
                            <a:cxn ang="0">
                              <a:pos x="T1" y="0"/>
                            </a:cxn>
                            <a:cxn ang="0">
                              <a:pos x="T3" y="0"/>
                            </a:cxn>
                            <a:cxn ang="0">
                              <a:pos x="T5" y="0"/>
                            </a:cxn>
                          </a:cxnLst>
                          <a:rect l="0" t="0" r="r" b="b"/>
                          <a:pathLst>
                            <a:path w="6453">
                              <a:moveTo>
                                <a:pt x="0" y="0"/>
                              </a:moveTo>
                              <a:lnTo>
                                <a:pt x="2820" y="0"/>
                              </a:lnTo>
                              <a:lnTo>
                                <a:pt x="6453" y="0"/>
                              </a:lnTo>
                            </a:path>
                          </a:pathLst>
                        </a:custGeom>
                        <a:noFill/>
                        <a:ln w="3175">
                          <a:solidFill>
                            <a:srgbClr val="231F2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4DBE6D" id="docshape187" o:spid="_x0000_s1026" style="position:absolute;margin-left:59.5pt;margin-top:2.45pt;width:322.65pt;height:.1pt;z-index:157992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645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" path="m,l2820,,6453,e" filled="f" strokecolor="#231f20" strokeweight=".25pt">
                <v:path arrowok="t" o:connecttype="custom" o:connectlocs="0,0;1790700,0;4097655,0" o:connectangles="0,0,0"/>
                <w10:wrap anchorx="page"/>
              </v:shape>
            </w:pict>
          </mc:Fallback>
        </mc:AlternateContent>
      </w:r>
      <w:r>
        <w:rPr>
          <w:rFonts w:ascii="Trebuchet MS"/>
          <w:color w:val="231F20"/>
          <w:sz w:val="14"/>
        </w:rPr>
        <w:t>National parks, scenery, lakes, moun- tains, rivers, coastlines</w:t>
      </w:r>
    </w:p>
    <w:p w14:paraId="2B8E3262" w14:textId="77777777" w:rsidR="00AE0598" w:rsidRDefault="0069255A">
      <w:pPr>
        <w:spacing w:before="105" w:line="235" w:lineRule="auto"/>
        <w:ind w:left="110" w:right="324"/>
        <w:rPr>
          <w:rFonts w:ascii="Trebuchet MS"/>
          <w:sz w:val="14"/>
        </w:rPr>
      </w:pPr>
      <w:r>
        <w:br w:type="column"/>
      </w:r>
      <w:r>
        <w:rPr>
          <w:rFonts w:ascii="Trebuchet MS"/>
          <w:color w:val="231F20"/>
          <w:sz w:val="14"/>
        </w:rPr>
        <w:t>National</w:t>
      </w:r>
      <w:r>
        <w:rPr>
          <w:rFonts w:ascii="Trebuchet MS"/>
          <w:color w:val="231F20"/>
          <w:spacing w:val="26"/>
          <w:sz w:val="14"/>
        </w:rPr>
        <w:t xml:space="preserve"> </w:t>
      </w:r>
      <w:r>
        <w:rPr>
          <w:rFonts w:ascii="Trebuchet MS"/>
          <w:color w:val="231F20"/>
          <w:sz w:val="14"/>
        </w:rPr>
        <w:t>parks,</w:t>
      </w:r>
      <w:r>
        <w:rPr>
          <w:rFonts w:ascii="Trebuchet MS"/>
          <w:color w:val="231F20"/>
          <w:spacing w:val="26"/>
          <w:sz w:val="14"/>
        </w:rPr>
        <w:t xml:space="preserve"> </w:t>
      </w:r>
      <w:r>
        <w:rPr>
          <w:rFonts w:ascii="Trebuchet MS"/>
          <w:color w:val="231F20"/>
          <w:sz w:val="14"/>
        </w:rPr>
        <w:t>open</w:t>
      </w:r>
      <w:r>
        <w:rPr>
          <w:rFonts w:ascii="Trebuchet MS"/>
          <w:color w:val="231F20"/>
          <w:spacing w:val="26"/>
          <w:sz w:val="14"/>
        </w:rPr>
        <w:t xml:space="preserve"> </w:t>
      </w:r>
      <w:r>
        <w:rPr>
          <w:rFonts w:ascii="Trebuchet MS"/>
          <w:color w:val="231F20"/>
          <w:sz w:val="14"/>
        </w:rPr>
        <w:t>amenity</w:t>
      </w:r>
      <w:r>
        <w:rPr>
          <w:rFonts w:ascii="Trebuchet MS"/>
          <w:color w:val="231F20"/>
          <w:spacing w:val="26"/>
          <w:sz w:val="14"/>
        </w:rPr>
        <w:t xml:space="preserve"> </w:t>
      </w:r>
      <w:r>
        <w:rPr>
          <w:rFonts w:ascii="Trebuchet MS"/>
          <w:color w:val="231F20"/>
          <w:sz w:val="14"/>
        </w:rPr>
        <w:t>spaces,</w:t>
      </w:r>
      <w:r>
        <w:rPr>
          <w:rFonts w:ascii="Trebuchet MS"/>
          <w:color w:val="231F20"/>
          <w:spacing w:val="26"/>
          <w:sz w:val="14"/>
        </w:rPr>
        <w:t xml:space="preserve"> </w:t>
      </w:r>
      <w:r>
        <w:rPr>
          <w:rFonts w:ascii="Trebuchet MS"/>
          <w:color w:val="231F20"/>
          <w:sz w:val="14"/>
        </w:rPr>
        <w:t>wilderness areas, geographical features (mountains, rocks, spas, coastlines, marine environments)</w:t>
      </w:r>
    </w:p>
    <w:p w14:paraId="092F9759" w14:textId="77777777" w:rsidR="00AE0598" w:rsidRDefault="00AE0598">
      <w:pPr>
        <w:spacing w:line="235" w:lineRule="auto"/>
        <w:rPr>
          <w:rFonts w:ascii="Trebuchet MS"/>
          <w:sz w:val="14"/>
        </w:rPr>
        <w:sectPr w:rsidR="00AE0598">
          <w:type w:val="continuous"/>
          <w:pgSz w:w="8850" w:h="13270"/>
          <w:pgMar w:top="1080" w:right="1060" w:bottom="280" w:left="1080" w:header="720" w:footer="720" w:gutter="0"/>
          <w:cols w:num="2" w:space="720" w:equalWidth="0">
            <w:col w:w="2644" w:space="176"/>
            <w:col w:w="3890"/>
          </w:cols>
        </w:sectPr>
      </w:pPr>
    </w:p>
    <w:p w14:paraId="01CDD839" w14:textId="77777777" w:rsidR="00AE0598" w:rsidRDefault="00AE0598">
      <w:pPr>
        <w:pStyle w:val="Corpodetexto"/>
        <w:spacing w:before="4"/>
        <w:rPr>
          <w:rFonts w:ascii="Trebuchet MS"/>
          <w:sz w:val="4"/>
        </w:rPr>
      </w:pPr>
    </w:p>
    <w:p w14:paraId="50ECC099" w14:textId="637508BC" w:rsidR="00AE0598" w:rsidRDefault="0069255A">
      <w:pPr>
        <w:pStyle w:val="Corpodetexto"/>
        <w:spacing w:line="20" w:lineRule="exact"/>
        <w:ind w:left="110"/>
        <w:rPr>
          <w:rFonts w:ascii="Trebuchet MS"/>
          <w:sz w:val="2"/>
        </w:rPr>
      </w:pPr>
      <w:r>
        <w:rPr>
          <w:rFonts w:ascii="Trebuchet MS"/>
          <w:noProof/>
          <w:sz w:val="2"/>
        </w:rPr>
        <mc:AlternateContent>
          <mc:Choice Requires="wpg">
            <w:drawing>
              <wp:inline distT="0" distB="0" distL="0" distR="0" wp14:anchorId="4F1560C3" wp14:editId="311A928D">
                <wp:extent cx="4097655" cy="3175"/>
                <wp:effectExtent l="12700" t="11430" r="13970" b="4445"/>
                <wp:docPr id="179" name="docshapegroup1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097655" cy="3175"/>
                          <a:chOff x="0" y="0"/>
                          <a:chExt cx="6453" cy="5"/>
                        </a:xfrm>
                      </wpg:grpSpPr>
                      <wps:wsp>
                        <wps:cNvPr id="180" name="docshape189"/>
                        <wps:cNvSpPr>
                          <a:spLocks/>
                        </wps:cNvSpPr>
                        <wps:spPr bwMode="auto">
                          <a:xfrm>
                            <a:off x="0" y="2"/>
                            <a:ext cx="6453" cy="2"/>
                          </a:xfrm>
                          <a:custGeom>
                            <a:avLst/>
                            <a:gdLst>
                              <a:gd name="T0" fmla="*/ 0 w 6453"/>
                              <a:gd name="T1" fmla="*/ 2820 w 6453"/>
                              <a:gd name="T2" fmla="*/ 6453 w 6453"/>
                            </a:gdLst>
                            <a:ahLst/>
                            <a:cxnLst>
                              <a:cxn ang="0">
                                <a:pos x="T0" y="0"/>
                              </a:cxn>
                              <a:cxn ang="0">
                                <a:pos x="T1" y="0"/>
                              </a:cxn>
                              <a:cxn ang="0">
                                <a:pos x="T2" y="0"/>
                              </a:cxn>
                            </a:cxnLst>
                            <a:rect l="0" t="0" r="r" b="b"/>
                            <a:pathLst>
                              <a:path w="6453">
                                <a:moveTo>
                                  <a:pt x="0" y="0"/>
                                </a:moveTo>
                                <a:lnTo>
                                  <a:pt x="2820" y="0"/>
                                </a:lnTo>
                                <a:lnTo>
                                  <a:pt x="6453" y="0"/>
                                </a:lnTo>
                              </a:path>
                            </a:pathLst>
                          </a:custGeom>
                          <a:noFill/>
                          <a:ln w="3175">
                            <a:solidFill>
                              <a:srgbClr val="231F2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67C87672" id="docshapegroup188" o:spid="_x0000_s1026" style="width:322.65pt;height:.25pt;mso-position-horizontal-relative:char;mso-position-vertical-relative:line" coordsize="64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">
                <v:shape id="docshape189" o:spid="_x0000_s1027" style="position:absolute;top:2;width:6453;height:2;visibility:visible;mso-wrap-style:square;v-text-anchor:top" coordsize="64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" path="m,l2820,,6453,e" filled="f" strokecolor="#231f20" strokeweight=".25pt">
                  <v:path arrowok="t" o:connecttype="custom" o:connectlocs="0,0;2820,0;6453,0" o:connectangles="0,0,0"/>
                </v:shape>
                <w10:anchorlock/>
              </v:group>
            </w:pict>
          </mc:Fallback>
        </mc:AlternateContent>
      </w:r>
    </w:p>
    <w:p w14:paraId="25A588C6" w14:textId="7E1B98F6" w:rsidR="00AE0598" w:rsidRDefault="0069255A">
      <w:pPr>
        <w:tabs>
          <w:tab w:val="left" w:pos="2930"/>
        </w:tabs>
        <w:spacing w:before="34"/>
        <w:ind w:left="110"/>
        <w:rPr>
          <w:rFonts w:ascii="Trebuchet MS"/>
          <w:sz w:val="14"/>
        </w:rPr>
      </w:pPr>
      <w:r>
        <w:rPr>
          <w:noProof/>
        </w:rPr>
        <mc:AlternateContent>
          <mc:Choice Requires="wps">
            <w:drawing>
              <wp:anchor distT="0" distB="0" distL="114300" distR="114300" simplePos="0" relativeHeight="15799808" behindDoc="0" locked="0" layoutInCell="1" allowOverlap="1" wp14:anchorId="3B478668" wp14:editId="27EE5ABC">
                <wp:simplePos x="0" y="0"/>
                <wp:positionH relativeFrom="page">
                  <wp:posOffset>755650</wp:posOffset>
                </wp:positionH>
                <wp:positionV relativeFrom="paragraph">
                  <wp:posOffset>155575</wp:posOffset>
                </wp:positionV>
                <wp:extent cx="4097655" cy="1270"/>
                <wp:effectExtent l="0" t="0" r="0" b="0"/>
                <wp:wrapNone/>
                <wp:docPr id="178" name="docshape1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097655" cy="1270"/>
                        </a:xfrm>
                        <a:custGeom>
                          <a:avLst/>
                          <a:gdLst>
                            <a:gd name="T0" fmla="+- 0 1190 1190"/>
                            <a:gd name="T1" fmla="*/ T0 w 6453"/>
                            <a:gd name="T2" fmla="+- 0 4010 1190"/>
                            <a:gd name="T3" fmla="*/ T2 w 6453"/>
                            <a:gd name="T4" fmla="+- 0 7643 1190"/>
                            <a:gd name="T5" fmla="*/ T4 w 6453"/>
                          </a:gdLst>
                          <a:ahLst/>
                          <a:cxnLst>
                            <a:cxn ang="0">
                              <a:pos x="T1" y="0"/>
                            </a:cxn>
                            <a:cxn ang="0">
                              <a:pos x="T3" y="0"/>
                            </a:cxn>
                            <a:cxn ang="0">
                              <a:pos x="T5" y="0"/>
                            </a:cxn>
                          </a:cxnLst>
                          <a:rect l="0" t="0" r="r" b="b"/>
                          <a:pathLst>
                            <a:path w="6453">
                              <a:moveTo>
                                <a:pt x="0" y="0"/>
                              </a:moveTo>
                              <a:lnTo>
                                <a:pt x="2820" y="0"/>
                              </a:lnTo>
                              <a:lnTo>
                                <a:pt x="6453" y="0"/>
                              </a:lnTo>
                            </a:path>
                          </a:pathLst>
                        </a:custGeom>
                        <a:noFill/>
                        <a:ln w="3175">
                          <a:solidFill>
                            <a:srgbClr val="231F2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9EBE23" id="docshape190" o:spid="_x0000_s1026" style="position:absolute;margin-left:59.5pt;margin-top:12.25pt;width:322.65pt;height:.1pt;z-index:157998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645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" path="m,l2820,,6453,e" filled="f" strokecolor="#231f20" strokeweight=".25pt">
                <v:path arrowok="t" o:connecttype="custom" o:connectlocs="0,0;1790700,0;4097655,0" o:connectangles="0,0,0"/>
                <w10:wrap anchorx="page"/>
              </v:shape>
            </w:pict>
          </mc:Fallback>
        </mc:AlternateContent>
      </w:r>
      <w:r>
        <w:rPr>
          <w:rFonts w:ascii="Trebuchet MS"/>
          <w:color w:val="231F20"/>
          <w:sz w:val="14"/>
        </w:rPr>
        <w:t>Facilities</w:t>
      </w:r>
      <w:r>
        <w:rPr>
          <w:rFonts w:ascii="Trebuchet MS"/>
          <w:color w:val="231F20"/>
          <w:spacing w:val="3"/>
          <w:sz w:val="14"/>
        </w:rPr>
        <w:t xml:space="preserve"> </w:t>
      </w:r>
      <w:r>
        <w:rPr>
          <w:rFonts w:ascii="Trebuchet MS"/>
          <w:color w:val="231F20"/>
          <w:sz w:val="14"/>
        </w:rPr>
        <w:t>and</w:t>
      </w:r>
      <w:r>
        <w:rPr>
          <w:rFonts w:ascii="Trebuchet MS"/>
          <w:color w:val="231F20"/>
          <w:spacing w:val="4"/>
          <w:sz w:val="14"/>
        </w:rPr>
        <w:t xml:space="preserve"> </w:t>
      </w:r>
      <w:r>
        <w:rPr>
          <w:rFonts w:ascii="Trebuchet MS"/>
          <w:color w:val="231F20"/>
          <w:spacing w:val="-2"/>
          <w:sz w:val="14"/>
        </w:rPr>
        <w:t>infrastructure</w:t>
      </w:r>
      <w:r>
        <w:rPr>
          <w:rFonts w:ascii="Trebuchet MS"/>
          <w:color w:val="231F20"/>
          <w:sz w:val="14"/>
        </w:rPr>
        <w:tab/>
        <w:t>Facilities</w:t>
      </w:r>
      <w:r>
        <w:rPr>
          <w:rFonts w:ascii="Trebuchet MS"/>
          <w:color w:val="231F20"/>
          <w:spacing w:val="3"/>
          <w:sz w:val="14"/>
        </w:rPr>
        <w:t xml:space="preserve"> </w:t>
      </w:r>
      <w:r>
        <w:rPr>
          <w:rFonts w:ascii="Trebuchet MS"/>
          <w:color w:val="231F20"/>
          <w:sz w:val="14"/>
        </w:rPr>
        <w:t>and</w:t>
      </w:r>
      <w:r>
        <w:rPr>
          <w:rFonts w:ascii="Trebuchet MS"/>
          <w:color w:val="231F20"/>
          <w:spacing w:val="4"/>
          <w:sz w:val="14"/>
        </w:rPr>
        <w:t xml:space="preserve"> </w:t>
      </w:r>
      <w:r>
        <w:rPr>
          <w:rFonts w:ascii="Trebuchet MS"/>
          <w:color w:val="231F20"/>
          <w:spacing w:val="-2"/>
          <w:sz w:val="14"/>
        </w:rPr>
        <w:t>infrastructure</w:t>
      </w:r>
    </w:p>
    <w:p w14:paraId="5A7CE094" w14:textId="77777777" w:rsidR="00AE0598" w:rsidRDefault="00AE0598">
      <w:pPr>
        <w:rPr>
          <w:rFonts w:ascii="Trebuchet MS"/>
          <w:sz w:val="14"/>
        </w:rPr>
        <w:sectPr w:rsidR="00AE0598">
          <w:type w:val="continuous"/>
          <w:pgSz w:w="8850" w:h="13270"/>
          <w:pgMar w:top="1080" w:right="1060" w:bottom="280" w:left="1080" w:header="720" w:footer="720" w:gutter="0"/>
          <w:cols w:space="720"/>
        </w:sectPr>
      </w:pPr>
    </w:p>
    <w:p w14:paraId="03C08701" w14:textId="77777777" w:rsidR="00AE0598" w:rsidRDefault="0069255A">
      <w:pPr>
        <w:spacing w:before="105" w:line="235" w:lineRule="auto"/>
        <w:ind w:left="110"/>
        <w:rPr>
          <w:rFonts w:ascii="Trebuchet MS"/>
          <w:sz w:val="14"/>
        </w:rPr>
      </w:pPr>
      <w:r>
        <w:rPr>
          <w:rFonts w:ascii="Trebuchet MS"/>
          <w:color w:val="231F20"/>
          <w:sz w:val="14"/>
        </w:rPr>
        <w:t xml:space="preserve">Transport services, places of accommo- </w:t>
      </w:r>
      <w:r>
        <w:rPr>
          <w:rFonts w:ascii="Trebuchet MS"/>
          <w:color w:val="231F20"/>
          <w:w w:val="105"/>
          <w:sz w:val="14"/>
        </w:rPr>
        <w:t>dation, dining and entertainment</w:t>
      </w:r>
    </w:p>
    <w:p w14:paraId="0C07E0CC" w14:textId="77777777" w:rsidR="00AE0598" w:rsidRDefault="0069255A">
      <w:pPr>
        <w:spacing w:before="105" w:line="235" w:lineRule="auto"/>
        <w:ind w:left="110" w:right="324"/>
        <w:rPr>
          <w:rFonts w:ascii="Trebuchet MS"/>
          <w:sz w:val="14"/>
        </w:rPr>
      </w:pPr>
      <w:r>
        <w:br w:type="column"/>
      </w:r>
      <w:r>
        <w:rPr>
          <w:rFonts w:ascii="Trebuchet MS"/>
          <w:color w:val="231F20"/>
          <w:sz w:val="14"/>
        </w:rPr>
        <w:t>Stadiums, arenas, sports halls, transport infrastruc- ture, dining and entertainment</w:t>
      </w:r>
    </w:p>
    <w:p w14:paraId="2547A4C3" w14:textId="77777777" w:rsidR="00AE0598" w:rsidRDefault="00AE0598">
      <w:pPr>
        <w:spacing w:line="235" w:lineRule="auto"/>
        <w:rPr>
          <w:rFonts w:ascii="Trebuchet MS"/>
          <w:sz w:val="14"/>
        </w:rPr>
        <w:sectPr w:rsidR="00AE0598">
          <w:type w:val="continuous"/>
          <w:pgSz w:w="8850" w:h="13270"/>
          <w:pgMar w:top="1080" w:right="1060" w:bottom="280" w:left="1080" w:header="720" w:footer="720" w:gutter="0"/>
          <w:cols w:num="2" w:space="720" w:equalWidth="0">
            <w:col w:w="2750" w:space="70"/>
            <w:col w:w="3890"/>
          </w:cols>
        </w:sectPr>
      </w:pPr>
    </w:p>
    <w:p w14:paraId="48889E96" w14:textId="77777777" w:rsidR="00AE0598" w:rsidRDefault="00AE0598">
      <w:pPr>
        <w:pStyle w:val="Corpodetexto"/>
        <w:spacing w:before="3"/>
        <w:rPr>
          <w:rFonts w:ascii="Trebuchet MS"/>
          <w:sz w:val="4"/>
        </w:rPr>
      </w:pPr>
    </w:p>
    <w:p w14:paraId="3C38C0DA" w14:textId="04D87DCB" w:rsidR="00AE0598" w:rsidRDefault="0069255A">
      <w:pPr>
        <w:pStyle w:val="Corpodetexto"/>
        <w:spacing w:line="20" w:lineRule="exact"/>
        <w:ind w:left="110"/>
        <w:rPr>
          <w:rFonts w:ascii="Trebuchet MS"/>
          <w:sz w:val="2"/>
        </w:rPr>
      </w:pPr>
      <w:r>
        <w:rPr>
          <w:rFonts w:ascii="Trebuchet MS"/>
          <w:noProof/>
          <w:sz w:val="2"/>
        </w:rPr>
        <mc:AlternateContent>
          <mc:Choice Requires="wpg">
            <w:drawing>
              <wp:inline distT="0" distB="0" distL="0" distR="0" wp14:anchorId="41FC0545" wp14:editId="546A15F0">
                <wp:extent cx="4097655" cy="3175"/>
                <wp:effectExtent l="12700" t="10795" r="13970" b="5080"/>
                <wp:docPr id="176" name="docshapegroup1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097655" cy="3175"/>
                          <a:chOff x="0" y="0"/>
                          <a:chExt cx="6453" cy="5"/>
                        </a:xfrm>
                      </wpg:grpSpPr>
                      <wps:wsp>
                        <wps:cNvPr id="177" name="docshape192"/>
                        <wps:cNvSpPr>
                          <a:spLocks/>
                        </wps:cNvSpPr>
                        <wps:spPr bwMode="auto">
                          <a:xfrm>
                            <a:off x="0" y="2"/>
                            <a:ext cx="6453" cy="2"/>
                          </a:xfrm>
                          <a:custGeom>
                            <a:avLst/>
                            <a:gdLst>
                              <a:gd name="T0" fmla="*/ 0 w 6453"/>
                              <a:gd name="T1" fmla="*/ 2820 w 6453"/>
                              <a:gd name="T2" fmla="*/ 6453 w 6453"/>
                            </a:gdLst>
                            <a:ahLst/>
                            <a:cxnLst>
                              <a:cxn ang="0">
                                <a:pos x="T0" y="0"/>
                              </a:cxn>
                              <a:cxn ang="0">
                                <a:pos x="T1" y="0"/>
                              </a:cxn>
                              <a:cxn ang="0">
                                <a:pos x="T2" y="0"/>
                              </a:cxn>
                            </a:cxnLst>
                            <a:rect l="0" t="0" r="r" b="b"/>
                            <a:pathLst>
                              <a:path w="6453">
                                <a:moveTo>
                                  <a:pt x="0" y="0"/>
                                </a:moveTo>
                                <a:lnTo>
                                  <a:pt x="2820" y="0"/>
                                </a:lnTo>
                                <a:lnTo>
                                  <a:pt x="6453" y="0"/>
                                </a:lnTo>
                              </a:path>
                            </a:pathLst>
                          </a:custGeom>
                          <a:noFill/>
                          <a:ln w="3175">
                            <a:solidFill>
                              <a:srgbClr val="231F2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722D5C79" id="docshapegroup191" o:spid="_x0000_s1026" style="width:322.65pt;height:.25pt;mso-position-horizontal-relative:char;mso-position-vertical-relative:line" coordsize="64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">
                <v:shape id="docshape192" o:spid="_x0000_s1027" style="position:absolute;top:2;width:6453;height:2;visibility:visible;mso-wrap-style:square;v-text-anchor:top" coordsize="64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" path="m,l2820,,6453,e" filled="f" strokecolor="#231f20" strokeweight=".25pt">
                  <v:path arrowok="t" o:connecttype="custom" o:connectlocs="0,0;2820,0;6453,0" o:connectangles="0,0,0"/>
                </v:shape>
                <w10:anchorlock/>
              </v:group>
            </w:pict>
          </mc:Fallback>
        </mc:AlternateContent>
      </w:r>
    </w:p>
    <w:p w14:paraId="684B354C" w14:textId="6299A6E8" w:rsidR="00AE0598" w:rsidRDefault="0069255A">
      <w:pPr>
        <w:tabs>
          <w:tab w:val="left" w:pos="2929"/>
        </w:tabs>
        <w:spacing w:before="34"/>
        <w:ind w:left="110"/>
        <w:rPr>
          <w:rFonts w:ascii="Trebuchet MS"/>
          <w:sz w:val="14"/>
        </w:rPr>
      </w:pPr>
      <w:r>
        <w:rPr>
          <w:noProof/>
        </w:rPr>
        <mc:AlternateContent>
          <mc:Choice Requires="wps">
            <w:drawing>
              <wp:anchor distT="0" distB="0" distL="114300" distR="114300" simplePos="0" relativeHeight="15800320" behindDoc="0" locked="0" layoutInCell="1" allowOverlap="1" wp14:anchorId="7F553B8B" wp14:editId="24FEEB67">
                <wp:simplePos x="0" y="0"/>
                <wp:positionH relativeFrom="page">
                  <wp:posOffset>755650</wp:posOffset>
                </wp:positionH>
                <wp:positionV relativeFrom="paragraph">
                  <wp:posOffset>155575</wp:posOffset>
                </wp:positionV>
                <wp:extent cx="4097655" cy="1270"/>
                <wp:effectExtent l="0" t="0" r="0" b="0"/>
                <wp:wrapNone/>
                <wp:docPr id="175" name="docshape1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097655" cy="1270"/>
                        </a:xfrm>
                        <a:custGeom>
                          <a:avLst/>
                          <a:gdLst>
                            <a:gd name="T0" fmla="+- 0 1190 1190"/>
                            <a:gd name="T1" fmla="*/ T0 w 6453"/>
                            <a:gd name="T2" fmla="+- 0 4010 1190"/>
                            <a:gd name="T3" fmla="*/ T2 w 6453"/>
                            <a:gd name="T4" fmla="+- 0 7643 1190"/>
                            <a:gd name="T5" fmla="*/ T4 w 6453"/>
                          </a:gdLst>
                          <a:ahLst/>
                          <a:cxnLst>
                            <a:cxn ang="0">
                              <a:pos x="T1" y="0"/>
                            </a:cxn>
                            <a:cxn ang="0">
                              <a:pos x="T3" y="0"/>
                            </a:cxn>
                            <a:cxn ang="0">
                              <a:pos x="T5" y="0"/>
                            </a:cxn>
                          </a:cxnLst>
                          <a:rect l="0" t="0" r="r" b="b"/>
                          <a:pathLst>
                            <a:path w="6453">
                              <a:moveTo>
                                <a:pt x="0" y="0"/>
                              </a:moveTo>
                              <a:lnTo>
                                <a:pt x="2820" y="0"/>
                              </a:lnTo>
                              <a:lnTo>
                                <a:pt x="6453" y="0"/>
                              </a:lnTo>
                            </a:path>
                          </a:pathLst>
                        </a:custGeom>
                        <a:noFill/>
                        <a:ln w="3175">
                          <a:solidFill>
                            <a:srgbClr val="231F2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3DC41B" id="docshape193" o:spid="_x0000_s1026" style="position:absolute;margin-left:59.5pt;margin-top:12.25pt;width:322.65pt;height:.1pt;z-index:158003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645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" path="m,l2820,,6453,e" filled="f" strokecolor="#231f20" strokeweight=".25pt">
                <v:path arrowok="t" o:connecttype="custom" o:connectlocs="0,0;1790700,0;4097655,0" o:connectangles="0,0,0"/>
                <w10:wrap anchorx="page"/>
              </v:shape>
            </w:pict>
          </mc:Fallback>
        </mc:AlternateContent>
      </w:r>
      <w:r>
        <w:rPr>
          <w:rFonts w:ascii="Trebuchet MS"/>
          <w:color w:val="231F20"/>
          <w:sz w:val="14"/>
        </w:rPr>
        <w:t>Built</w:t>
      </w:r>
      <w:r>
        <w:rPr>
          <w:rFonts w:ascii="Trebuchet MS"/>
          <w:color w:val="231F20"/>
          <w:spacing w:val="9"/>
          <w:sz w:val="14"/>
        </w:rPr>
        <w:t xml:space="preserve"> </w:t>
      </w:r>
      <w:r>
        <w:rPr>
          <w:rFonts w:ascii="Trebuchet MS"/>
          <w:color w:val="231F20"/>
          <w:spacing w:val="-2"/>
          <w:sz w:val="14"/>
        </w:rPr>
        <w:t>amenities</w:t>
      </w:r>
      <w:r>
        <w:rPr>
          <w:rFonts w:ascii="Trebuchet MS"/>
          <w:color w:val="231F20"/>
          <w:sz w:val="14"/>
        </w:rPr>
        <w:tab/>
        <w:t>Built</w:t>
      </w:r>
      <w:r>
        <w:rPr>
          <w:rFonts w:ascii="Trebuchet MS"/>
          <w:color w:val="231F20"/>
          <w:spacing w:val="9"/>
          <w:sz w:val="14"/>
        </w:rPr>
        <w:t xml:space="preserve"> </w:t>
      </w:r>
      <w:r>
        <w:rPr>
          <w:rFonts w:ascii="Trebuchet MS"/>
          <w:color w:val="231F20"/>
          <w:spacing w:val="-2"/>
          <w:sz w:val="14"/>
        </w:rPr>
        <w:t>amenities</w:t>
      </w:r>
    </w:p>
    <w:p w14:paraId="2848971A" w14:textId="77777777" w:rsidR="00AE0598" w:rsidRDefault="00AE0598">
      <w:pPr>
        <w:rPr>
          <w:rFonts w:ascii="Trebuchet MS"/>
          <w:sz w:val="14"/>
        </w:rPr>
        <w:sectPr w:rsidR="00AE0598">
          <w:type w:val="continuous"/>
          <w:pgSz w:w="8850" w:h="13270"/>
          <w:pgMar w:top="1080" w:right="1060" w:bottom="280" w:left="1080" w:header="720" w:footer="720" w:gutter="0"/>
          <w:cols w:space="720"/>
        </w:sectPr>
      </w:pPr>
    </w:p>
    <w:p w14:paraId="03D988E8" w14:textId="77777777" w:rsidR="00AE0598" w:rsidRDefault="0069255A">
      <w:pPr>
        <w:spacing w:before="105" w:line="235" w:lineRule="auto"/>
        <w:ind w:left="110"/>
        <w:rPr>
          <w:rFonts w:ascii="Trebuchet MS"/>
          <w:sz w:val="14"/>
        </w:rPr>
      </w:pPr>
      <w:r>
        <w:rPr>
          <w:rFonts w:ascii="Trebuchet MS"/>
          <w:color w:val="231F20"/>
          <w:sz w:val="14"/>
        </w:rPr>
        <w:t>Public toilets, parking facilities, sign- posts,</w:t>
      </w:r>
      <w:r>
        <w:rPr>
          <w:rFonts w:ascii="Trebuchet MS"/>
          <w:color w:val="231F20"/>
          <w:spacing w:val="-7"/>
          <w:sz w:val="14"/>
        </w:rPr>
        <w:t xml:space="preserve"> </w:t>
      </w:r>
      <w:r>
        <w:rPr>
          <w:rFonts w:ascii="Trebuchet MS"/>
          <w:color w:val="231F20"/>
          <w:sz w:val="14"/>
        </w:rPr>
        <w:t>shelters</w:t>
      </w:r>
    </w:p>
    <w:p w14:paraId="4B65D232" w14:textId="77777777" w:rsidR="00AE0598" w:rsidRDefault="0069255A">
      <w:pPr>
        <w:spacing w:before="103"/>
        <w:ind w:left="110"/>
        <w:rPr>
          <w:rFonts w:ascii="Trebuchet MS"/>
          <w:sz w:val="14"/>
        </w:rPr>
      </w:pPr>
      <w:r>
        <w:br w:type="column"/>
      </w:r>
      <w:r>
        <w:rPr>
          <w:rFonts w:ascii="Trebuchet MS"/>
          <w:color w:val="231F20"/>
          <w:sz w:val="14"/>
        </w:rPr>
        <w:t>Public</w:t>
      </w:r>
      <w:r>
        <w:rPr>
          <w:rFonts w:ascii="Trebuchet MS"/>
          <w:color w:val="231F20"/>
          <w:spacing w:val="16"/>
          <w:sz w:val="14"/>
        </w:rPr>
        <w:t xml:space="preserve"> </w:t>
      </w:r>
      <w:r>
        <w:rPr>
          <w:rFonts w:ascii="Trebuchet MS"/>
          <w:color w:val="231F20"/>
          <w:sz w:val="14"/>
        </w:rPr>
        <w:t>toilets,</w:t>
      </w:r>
      <w:r>
        <w:rPr>
          <w:rFonts w:ascii="Trebuchet MS"/>
          <w:color w:val="231F20"/>
          <w:spacing w:val="16"/>
          <w:sz w:val="14"/>
        </w:rPr>
        <w:t xml:space="preserve"> </w:t>
      </w:r>
      <w:r>
        <w:rPr>
          <w:rFonts w:ascii="Trebuchet MS"/>
          <w:color w:val="231F20"/>
          <w:sz w:val="14"/>
        </w:rPr>
        <w:t>parking</w:t>
      </w:r>
      <w:r>
        <w:rPr>
          <w:rFonts w:ascii="Trebuchet MS"/>
          <w:color w:val="231F20"/>
          <w:spacing w:val="16"/>
          <w:sz w:val="14"/>
        </w:rPr>
        <w:t xml:space="preserve"> </w:t>
      </w:r>
      <w:r>
        <w:rPr>
          <w:rFonts w:ascii="Trebuchet MS"/>
          <w:color w:val="231F20"/>
          <w:sz w:val="14"/>
        </w:rPr>
        <w:t>facilities,</w:t>
      </w:r>
      <w:r>
        <w:rPr>
          <w:rFonts w:ascii="Trebuchet MS"/>
          <w:color w:val="231F20"/>
          <w:spacing w:val="16"/>
          <w:sz w:val="14"/>
        </w:rPr>
        <w:t xml:space="preserve"> </w:t>
      </w:r>
      <w:r>
        <w:rPr>
          <w:rFonts w:ascii="Trebuchet MS"/>
          <w:color w:val="231F20"/>
          <w:sz w:val="14"/>
        </w:rPr>
        <w:t>signposts,</w:t>
      </w:r>
      <w:r>
        <w:rPr>
          <w:rFonts w:ascii="Trebuchet MS"/>
          <w:color w:val="231F20"/>
          <w:spacing w:val="16"/>
          <w:sz w:val="14"/>
        </w:rPr>
        <w:t xml:space="preserve"> </w:t>
      </w:r>
      <w:r>
        <w:rPr>
          <w:rFonts w:ascii="Trebuchet MS"/>
          <w:color w:val="231F20"/>
          <w:spacing w:val="-2"/>
          <w:sz w:val="14"/>
        </w:rPr>
        <w:t>shelters</w:t>
      </w:r>
    </w:p>
    <w:p w14:paraId="1C3D9E8F" w14:textId="77777777" w:rsidR="00AE0598" w:rsidRDefault="00AE0598">
      <w:pPr>
        <w:rPr>
          <w:rFonts w:ascii="Trebuchet MS"/>
          <w:sz w:val="14"/>
        </w:rPr>
        <w:sectPr w:rsidR="00AE0598">
          <w:type w:val="continuous"/>
          <w:pgSz w:w="8850" w:h="13270"/>
          <w:pgMar w:top="1080" w:right="1060" w:bottom="280" w:left="1080" w:header="720" w:footer="720" w:gutter="0"/>
          <w:cols w:num="2" w:space="720" w:equalWidth="0">
            <w:col w:w="2606" w:space="214"/>
            <w:col w:w="3890"/>
          </w:cols>
        </w:sectPr>
      </w:pPr>
    </w:p>
    <w:p w14:paraId="02F897FD" w14:textId="77777777" w:rsidR="00AE0598" w:rsidRDefault="00AE0598">
      <w:pPr>
        <w:pStyle w:val="Corpodetexto"/>
        <w:spacing w:before="4"/>
        <w:rPr>
          <w:rFonts w:ascii="Trebuchet MS"/>
          <w:sz w:val="4"/>
        </w:rPr>
      </w:pPr>
    </w:p>
    <w:p w14:paraId="15EB75B1" w14:textId="322D8770" w:rsidR="00AE0598" w:rsidRDefault="0069255A">
      <w:pPr>
        <w:pStyle w:val="Corpodetexto"/>
        <w:spacing w:line="20" w:lineRule="exact"/>
        <w:ind w:left="110"/>
        <w:rPr>
          <w:rFonts w:ascii="Trebuchet MS"/>
          <w:sz w:val="2"/>
        </w:rPr>
      </w:pPr>
      <w:r>
        <w:rPr>
          <w:rFonts w:ascii="Trebuchet MS"/>
          <w:noProof/>
          <w:sz w:val="2"/>
        </w:rPr>
        <mc:AlternateContent>
          <mc:Choice Requires="wpg">
            <w:drawing>
              <wp:inline distT="0" distB="0" distL="0" distR="0" wp14:anchorId="03DA3252" wp14:editId="7D07E01C">
                <wp:extent cx="4097655" cy="3175"/>
                <wp:effectExtent l="12700" t="10795" r="13970" b="5080"/>
                <wp:docPr id="173" name="docshapegroup1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097655" cy="3175"/>
                          <a:chOff x="0" y="0"/>
                          <a:chExt cx="6453" cy="5"/>
                        </a:xfrm>
                      </wpg:grpSpPr>
                      <wps:wsp>
                        <wps:cNvPr id="174" name="docshape195"/>
                        <wps:cNvSpPr>
                          <a:spLocks/>
                        </wps:cNvSpPr>
                        <wps:spPr bwMode="auto">
                          <a:xfrm>
                            <a:off x="0" y="2"/>
                            <a:ext cx="6453" cy="2"/>
                          </a:xfrm>
                          <a:custGeom>
                            <a:avLst/>
                            <a:gdLst>
                              <a:gd name="T0" fmla="*/ 0 w 6453"/>
                              <a:gd name="T1" fmla="*/ 2820 w 6453"/>
                              <a:gd name="T2" fmla="*/ 6453 w 6453"/>
                            </a:gdLst>
                            <a:ahLst/>
                            <a:cxnLst>
                              <a:cxn ang="0">
                                <a:pos x="T0" y="0"/>
                              </a:cxn>
                              <a:cxn ang="0">
                                <a:pos x="T1" y="0"/>
                              </a:cxn>
                              <a:cxn ang="0">
                                <a:pos x="T2" y="0"/>
                              </a:cxn>
                            </a:cxnLst>
                            <a:rect l="0" t="0" r="r" b="b"/>
                            <a:pathLst>
                              <a:path w="6453">
                                <a:moveTo>
                                  <a:pt x="0" y="0"/>
                                </a:moveTo>
                                <a:lnTo>
                                  <a:pt x="2820" y="0"/>
                                </a:lnTo>
                                <a:lnTo>
                                  <a:pt x="6453" y="0"/>
                                </a:lnTo>
                              </a:path>
                            </a:pathLst>
                          </a:custGeom>
                          <a:noFill/>
                          <a:ln w="3175">
                            <a:solidFill>
                              <a:srgbClr val="231F2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16DC6E94" id="docshapegroup194" o:spid="_x0000_s1026" style="width:322.65pt;height:.25pt;mso-position-horizontal-relative:char;mso-position-vertical-relative:line" coordsize="64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">
                <v:shape id="docshape195" o:spid="_x0000_s1027" style="position:absolute;top:2;width:6453;height:2;visibility:visible;mso-wrap-style:square;v-text-anchor:top" coordsize="64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" path="m,l2820,,6453,e" filled="f" strokecolor="#231f20" strokeweight=".25pt">
                  <v:path arrowok="t" o:connecttype="custom" o:connectlocs="0,0;2820,0;6453,0" o:connectangles="0,0,0"/>
                </v:shape>
                <w10:anchorlock/>
              </v:group>
            </w:pict>
          </mc:Fallback>
        </mc:AlternateContent>
      </w:r>
    </w:p>
    <w:p w14:paraId="050EC44C" w14:textId="35331FF9" w:rsidR="00AE0598" w:rsidRDefault="0069255A">
      <w:pPr>
        <w:tabs>
          <w:tab w:val="left" w:pos="2930"/>
        </w:tabs>
        <w:spacing w:before="34"/>
        <w:ind w:left="110"/>
        <w:rPr>
          <w:rFonts w:ascii="Trebuchet MS"/>
          <w:sz w:val="14"/>
        </w:rPr>
      </w:pPr>
      <w:r>
        <w:rPr>
          <w:noProof/>
        </w:rPr>
        <mc:AlternateContent>
          <mc:Choice Requires="wps">
            <w:drawing>
              <wp:anchor distT="0" distB="0" distL="0" distR="0" simplePos="0" relativeHeight="487655936" behindDoc="1" locked="0" layoutInCell="1" allowOverlap="1" wp14:anchorId="11EEC4A8" wp14:editId="138D77A1">
                <wp:simplePos x="0" y="0"/>
                <wp:positionH relativeFrom="page">
                  <wp:posOffset>755650</wp:posOffset>
                </wp:positionH>
                <wp:positionV relativeFrom="paragraph">
                  <wp:posOffset>155575</wp:posOffset>
                </wp:positionV>
                <wp:extent cx="4097655" cy="1270"/>
                <wp:effectExtent l="0" t="0" r="0" b="0"/>
                <wp:wrapTopAndBottom/>
                <wp:docPr id="172" name="docshape1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097655" cy="1270"/>
                        </a:xfrm>
                        <a:custGeom>
                          <a:avLst/>
                          <a:gdLst>
                            <a:gd name="T0" fmla="+- 0 1190 1190"/>
                            <a:gd name="T1" fmla="*/ T0 w 6453"/>
                            <a:gd name="T2" fmla="+- 0 4010 1190"/>
                            <a:gd name="T3" fmla="*/ T2 w 6453"/>
                            <a:gd name="T4" fmla="+- 0 7643 1190"/>
                            <a:gd name="T5" fmla="*/ T4 w 6453"/>
                          </a:gdLst>
                          <a:ahLst/>
                          <a:cxnLst>
                            <a:cxn ang="0">
                              <a:pos x="T1" y="0"/>
                            </a:cxn>
                            <a:cxn ang="0">
                              <a:pos x="T3" y="0"/>
                            </a:cxn>
                            <a:cxn ang="0">
                              <a:pos x="T5" y="0"/>
                            </a:cxn>
                          </a:cxnLst>
                          <a:rect l="0" t="0" r="r" b="b"/>
                          <a:pathLst>
                            <a:path w="6453">
                              <a:moveTo>
                                <a:pt x="0" y="0"/>
                              </a:moveTo>
                              <a:lnTo>
                                <a:pt x="2820" y="0"/>
                              </a:lnTo>
                              <a:lnTo>
                                <a:pt x="6453" y="0"/>
                              </a:lnTo>
                            </a:path>
                          </a:pathLst>
                        </a:custGeom>
                        <a:noFill/>
                        <a:ln w="3175">
                          <a:solidFill>
                            <a:srgbClr val="231F2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F8E848" id="docshape196" o:spid="_x0000_s1026" style="position:absolute;margin-left:59.5pt;margin-top:12.25pt;width:322.65pt;height:.1pt;z-index:-156605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45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" path="m,l2820,,6453,e" filled="f" strokecolor="#231f20" strokeweight=".25pt">
                <v:path arrowok="t" o:connecttype="custom" o:connectlocs="0,0;1790700,0;4097655,0" o:connectangles="0,0,0"/>
                <w10:wrap type="topAndBottom" anchorx="page"/>
              </v:shape>
            </w:pict>
          </mc:Fallback>
        </mc:AlternateContent>
      </w:r>
      <w:r>
        <w:rPr>
          <w:rFonts w:ascii="Trebuchet MS"/>
          <w:color w:val="231F20"/>
          <w:sz w:val="14"/>
        </w:rPr>
        <w:t>Tourist</w:t>
      </w:r>
      <w:r>
        <w:rPr>
          <w:rFonts w:ascii="Trebuchet MS"/>
          <w:color w:val="231F20"/>
          <w:spacing w:val="33"/>
          <w:sz w:val="14"/>
        </w:rPr>
        <w:t xml:space="preserve"> </w:t>
      </w:r>
      <w:r>
        <w:rPr>
          <w:rFonts w:ascii="Trebuchet MS"/>
          <w:color w:val="231F20"/>
          <w:sz w:val="14"/>
        </w:rPr>
        <w:t>information</w:t>
      </w:r>
      <w:r>
        <w:rPr>
          <w:rFonts w:ascii="Trebuchet MS"/>
          <w:color w:val="231F20"/>
          <w:spacing w:val="34"/>
          <w:sz w:val="14"/>
        </w:rPr>
        <w:t xml:space="preserve"> </w:t>
      </w:r>
      <w:r>
        <w:rPr>
          <w:rFonts w:ascii="Trebuchet MS"/>
          <w:color w:val="231F20"/>
          <w:spacing w:val="-2"/>
          <w:sz w:val="14"/>
        </w:rPr>
        <w:t>services</w:t>
      </w:r>
      <w:r>
        <w:rPr>
          <w:rFonts w:ascii="Trebuchet MS"/>
          <w:color w:val="231F20"/>
          <w:sz w:val="14"/>
        </w:rPr>
        <w:tab/>
        <w:t>Sport</w:t>
      </w:r>
      <w:r>
        <w:rPr>
          <w:rFonts w:ascii="Trebuchet MS"/>
          <w:color w:val="231F20"/>
          <w:spacing w:val="26"/>
          <w:sz w:val="14"/>
        </w:rPr>
        <w:t xml:space="preserve"> </w:t>
      </w:r>
      <w:r>
        <w:rPr>
          <w:rFonts w:ascii="Trebuchet MS"/>
          <w:color w:val="231F20"/>
          <w:spacing w:val="-2"/>
          <w:sz w:val="14"/>
        </w:rPr>
        <w:t>services</w:t>
      </w:r>
    </w:p>
    <w:p w14:paraId="228D5C8C" w14:textId="77777777" w:rsidR="00AE0598" w:rsidRDefault="0069255A">
      <w:pPr>
        <w:tabs>
          <w:tab w:val="left" w:pos="2929"/>
        </w:tabs>
        <w:spacing w:before="51" w:line="161" w:lineRule="exact"/>
        <w:ind w:left="110"/>
        <w:rPr>
          <w:rFonts w:ascii="Trebuchet MS"/>
          <w:sz w:val="14"/>
        </w:rPr>
      </w:pPr>
      <w:r>
        <w:rPr>
          <w:rFonts w:ascii="Trebuchet MS"/>
          <w:color w:val="231F20"/>
          <w:sz w:val="14"/>
        </w:rPr>
        <w:t>Visitor</w:t>
      </w:r>
      <w:r>
        <w:rPr>
          <w:rFonts w:ascii="Trebuchet MS"/>
          <w:color w:val="231F20"/>
          <w:spacing w:val="25"/>
          <w:sz w:val="14"/>
        </w:rPr>
        <w:t xml:space="preserve"> </w:t>
      </w:r>
      <w:r>
        <w:rPr>
          <w:rFonts w:ascii="Trebuchet MS"/>
          <w:color w:val="231F20"/>
          <w:sz w:val="14"/>
        </w:rPr>
        <w:t>information</w:t>
      </w:r>
      <w:r>
        <w:rPr>
          <w:rFonts w:ascii="Trebuchet MS"/>
          <w:color w:val="231F20"/>
          <w:spacing w:val="26"/>
          <w:sz w:val="14"/>
        </w:rPr>
        <w:t xml:space="preserve"> </w:t>
      </w:r>
      <w:r>
        <w:rPr>
          <w:rFonts w:ascii="Trebuchet MS"/>
          <w:color w:val="231F20"/>
          <w:sz w:val="14"/>
        </w:rPr>
        <w:t>services,</w:t>
      </w:r>
      <w:r>
        <w:rPr>
          <w:rFonts w:ascii="Trebuchet MS"/>
          <w:color w:val="231F20"/>
          <w:spacing w:val="25"/>
          <w:sz w:val="14"/>
        </w:rPr>
        <w:t xml:space="preserve"> </w:t>
      </w:r>
      <w:r>
        <w:rPr>
          <w:rFonts w:ascii="Trebuchet MS"/>
          <w:color w:val="231F20"/>
          <w:spacing w:val="-2"/>
          <w:sz w:val="14"/>
        </w:rPr>
        <w:t>internet-</w:t>
      </w:r>
      <w:r>
        <w:rPr>
          <w:rFonts w:ascii="Trebuchet MS"/>
          <w:color w:val="231F20"/>
          <w:sz w:val="14"/>
        </w:rPr>
        <w:tab/>
        <w:t>Coaching</w:t>
      </w:r>
      <w:r>
        <w:rPr>
          <w:rFonts w:ascii="Trebuchet MS"/>
          <w:color w:val="231F20"/>
          <w:spacing w:val="36"/>
          <w:sz w:val="14"/>
        </w:rPr>
        <w:t xml:space="preserve"> </w:t>
      </w:r>
      <w:r>
        <w:rPr>
          <w:rFonts w:ascii="Trebuchet MS"/>
          <w:color w:val="231F20"/>
          <w:sz w:val="14"/>
        </w:rPr>
        <w:t>and</w:t>
      </w:r>
      <w:r>
        <w:rPr>
          <w:rFonts w:ascii="Trebuchet MS"/>
          <w:color w:val="231F20"/>
          <w:spacing w:val="36"/>
          <w:sz w:val="14"/>
        </w:rPr>
        <w:t xml:space="preserve"> </w:t>
      </w:r>
      <w:r>
        <w:rPr>
          <w:rFonts w:ascii="Trebuchet MS"/>
          <w:color w:val="231F20"/>
          <w:sz w:val="14"/>
        </w:rPr>
        <w:t>leadership,</w:t>
      </w:r>
      <w:r>
        <w:rPr>
          <w:rFonts w:ascii="Trebuchet MS"/>
          <w:color w:val="231F20"/>
          <w:spacing w:val="36"/>
          <w:sz w:val="14"/>
        </w:rPr>
        <w:t xml:space="preserve"> </w:t>
      </w:r>
      <w:r>
        <w:rPr>
          <w:rFonts w:ascii="Trebuchet MS"/>
          <w:color w:val="231F20"/>
          <w:spacing w:val="1"/>
          <w:w w:val="99"/>
          <w:sz w:val="14"/>
        </w:rPr>
        <w:t>e</w:t>
      </w:r>
      <w:r>
        <w:rPr>
          <w:rFonts w:ascii="Trebuchet MS"/>
          <w:color w:val="231F20"/>
          <w:w w:val="107"/>
          <w:sz w:val="14"/>
        </w:rPr>
        <w:t>q</w:t>
      </w:r>
      <w:r>
        <w:rPr>
          <w:rFonts w:ascii="Trebuchet MS"/>
          <w:color w:val="231F20"/>
          <w:spacing w:val="-1"/>
          <w:w w:val="109"/>
          <w:sz w:val="14"/>
        </w:rPr>
        <w:t>u</w:t>
      </w:r>
      <w:r>
        <w:rPr>
          <w:rFonts w:ascii="Trebuchet MS"/>
          <w:color w:val="231F20"/>
          <w:spacing w:val="-1"/>
          <w:w w:val="95"/>
          <w:sz w:val="14"/>
        </w:rPr>
        <w:t>i</w:t>
      </w:r>
      <w:r>
        <w:rPr>
          <w:rFonts w:ascii="Trebuchet MS"/>
          <w:color w:val="231F20"/>
          <w:spacing w:val="1"/>
          <w:w w:val="107"/>
          <w:sz w:val="14"/>
        </w:rPr>
        <w:t>p</w:t>
      </w:r>
      <w:r>
        <w:rPr>
          <w:rFonts w:ascii="Trebuchet MS"/>
          <w:color w:val="231F20"/>
          <w:spacing w:val="1"/>
          <w:w w:val="105"/>
          <w:sz w:val="14"/>
        </w:rPr>
        <w:t>m</w:t>
      </w:r>
      <w:r>
        <w:rPr>
          <w:rFonts w:ascii="Trebuchet MS"/>
          <w:color w:val="231F20"/>
          <w:w w:val="99"/>
          <w:sz w:val="14"/>
        </w:rPr>
        <w:t>e</w:t>
      </w:r>
      <w:r>
        <w:rPr>
          <w:rFonts w:ascii="Trebuchet MS"/>
          <w:color w:val="231F20"/>
          <w:w w:val="109"/>
          <w:sz w:val="14"/>
        </w:rPr>
        <w:t>n</w:t>
      </w:r>
      <w:r>
        <w:rPr>
          <w:rFonts w:ascii="Trebuchet MS"/>
          <w:color w:val="231F20"/>
          <w:spacing w:val="7"/>
          <w:w w:val="96"/>
          <w:sz w:val="14"/>
        </w:rPr>
        <w:t>t</w:t>
      </w:r>
      <w:r>
        <w:rPr>
          <w:rFonts w:ascii="Trebuchet MS"/>
          <w:color w:val="231F20"/>
          <w:spacing w:val="-2"/>
          <w:w w:val="51"/>
          <w:sz w:val="14"/>
        </w:rPr>
        <w:t>/</w:t>
      </w:r>
      <w:r>
        <w:rPr>
          <w:rFonts w:ascii="Trebuchet MS"/>
          <w:color w:val="231F20"/>
          <w:spacing w:val="-1"/>
          <w:w w:val="87"/>
          <w:sz w:val="14"/>
        </w:rPr>
        <w:t>c</w:t>
      </w:r>
      <w:r>
        <w:rPr>
          <w:rFonts w:ascii="Trebuchet MS"/>
          <w:color w:val="231F20"/>
          <w:spacing w:val="-1"/>
          <w:w w:val="92"/>
          <w:sz w:val="14"/>
        </w:rPr>
        <w:t>l</w:t>
      </w:r>
      <w:r>
        <w:rPr>
          <w:rFonts w:ascii="Trebuchet MS"/>
          <w:color w:val="231F20"/>
          <w:w w:val="111"/>
          <w:sz w:val="14"/>
        </w:rPr>
        <w:t>o</w:t>
      </w:r>
      <w:r>
        <w:rPr>
          <w:rFonts w:ascii="Trebuchet MS"/>
          <w:color w:val="231F20"/>
          <w:spacing w:val="-1"/>
          <w:w w:val="96"/>
          <w:sz w:val="14"/>
        </w:rPr>
        <w:t>t</w:t>
      </w:r>
      <w:r>
        <w:rPr>
          <w:rFonts w:ascii="Trebuchet MS"/>
          <w:color w:val="231F20"/>
          <w:spacing w:val="-1"/>
          <w:w w:val="109"/>
          <w:sz w:val="14"/>
        </w:rPr>
        <w:t>h</w:t>
      </w:r>
      <w:r>
        <w:rPr>
          <w:rFonts w:ascii="Trebuchet MS"/>
          <w:color w:val="231F20"/>
          <w:spacing w:val="-1"/>
          <w:w w:val="95"/>
          <w:sz w:val="14"/>
        </w:rPr>
        <w:t>i</w:t>
      </w:r>
      <w:r>
        <w:rPr>
          <w:rFonts w:ascii="Trebuchet MS"/>
          <w:color w:val="231F20"/>
          <w:w w:val="109"/>
          <w:sz w:val="14"/>
        </w:rPr>
        <w:t>n</w:t>
      </w:r>
      <w:r>
        <w:rPr>
          <w:rFonts w:ascii="Trebuchet MS"/>
          <w:color w:val="231F20"/>
          <w:spacing w:val="-2"/>
          <w:w w:val="119"/>
          <w:sz w:val="14"/>
        </w:rPr>
        <w:t>g</w:t>
      </w:r>
      <w:r>
        <w:rPr>
          <w:rFonts w:ascii="Trebuchet MS"/>
          <w:color w:val="231F20"/>
          <w:spacing w:val="36"/>
          <w:sz w:val="14"/>
        </w:rPr>
        <w:t xml:space="preserve"> </w:t>
      </w:r>
      <w:r>
        <w:rPr>
          <w:rFonts w:ascii="Trebuchet MS"/>
          <w:color w:val="231F20"/>
          <w:spacing w:val="-4"/>
          <w:sz w:val="14"/>
        </w:rPr>
        <w:t>hire</w:t>
      </w:r>
    </w:p>
    <w:p w14:paraId="24241E88" w14:textId="77777777" w:rsidR="00AE0598" w:rsidRDefault="0069255A">
      <w:pPr>
        <w:spacing w:line="160" w:lineRule="exact"/>
        <w:ind w:left="110"/>
        <w:rPr>
          <w:rFonts w:ascii="Trebuchet MS"/>
          <w:sz w:val="14"/>
        </w:rPr>
      </w:pPr>
      <w:r>
        <w:rPr>
          <w:rFonts w:ascii="Trebuchet MS"/>
          <w:color w:val="231F20"/>
          <w:w w:val="105"/>
          <w:sz w:val="14"/>
        </w:rPr>
        <w:t>based</w:t>
      </w:r>
      <w:r>
        <w:rPr>
          <w:rFonts w:ascii="Trebuchet MS"/>
          <w:color w:val="231F20"/>
          <w:spacing w:val="1"/>
          <w:w w:val="105"/>
          <w:sz w:val="14"/>
        </w:rPr>
        <w:t xml:space="preserve"> </w:t>
      </w:r>
      <w:r>
        <w:rPr>
          <w:rFonts w:ascii="Trebuchet MS"/>
          <w:color w:val="231F20"/>
          <w:w w:val="105"/>
          <w:sz w:val="14"/>
        </w:rPr>
        <w:t>information</w:t>
      </w:r>
      <w:r>
        <w:rPr>
          <w:rFonts w:ascii="Trebuchet MS"/>
          <w:color w:val="231F20"/>
          <w:spacing w:val="2"/>
          <w:w w:val="105"/>
          <w:sz w:val="14"/>
        </w:rPr>
        <w:t xml:space="preserve"> </w:t>
      </w:r>
      <w:r>
        <w:rPr>
          <w:rFonts w:ascii="Trebuchet MS"/>
          <w:color w:val="231F20"/>
          <w:w w:val="105"/>
          <w:sz w:val="14"/>
        </w:rPr>
        <w:t>services,</w:t>
      </w:r>
      <w:r>
        <w:rPr>
          <w:rFonts w:ascii="Trebuchet MS"/>
          <w:color w:val="231F20"/>
          <w:spacing w:val="2"/>
          <w:w w:val="105"/>
          <w:sz w:val="14"/>
        </w:rPr>
        <w:t xml:space="preserve"> </w:t>
      </w:r>
      <w:r>
        <w:rPr>
          <w:rFonts w:ascii="Trebuchet MS"/>
          <w:color w:val="231F20"/>
          <w:w w:val="105"/>
          <w:sz w:val="14"/>
        </w:rPr>
        <w:t>booking</w:t>
      </w:r>
      <w:r>
        <w:rPr>
          <w:rFonts w:ascii="Trebuchet MS"/>
          <w:color w:val="231F20"/>
          <w:spacing w:val="2"/>
          <w:w w:val="105"/>
          <w:sz w:val="14"/>
        </w:rPr>
        <w:t xml:space="preserve"> </w:t>
      </w:r>
      <w:r>
        <w:rPr>
          <w:rFonts w:ascii="Trebuchet MS"/>
          <w:color w:val="231F20"/>
          <w:w w:val="105"/>
          <w:sz w:val="14"/>
        </w:rPr>
        <w:t>and</w:t>
      </w:r>
      <w:r>
        <w:rPr>
          <w:rFonts w:ascii="Trebuchet MS"/>
          <w:color w:val="231F20"/>
          <w:spacing w:val="66"/>
          <w:w w:val="105"/>
          <w:sz w:val="14"/>
        </w:rPr>
        <w:t xml:space="preserve"> </w:t>
      </w:r>
      <w:r>
        <w:rPr>
          <w:rFonts w:ascii="Trebuchet MS"/>
          <w:color w:val="231F20"/>
          <w:w w:val="111"/>
          <w:sz w:val="14"/>
        </w:rPr>
        <w:t>a</w:t>
      </w:r>
      <w:r>
        <w:rPr>
          <w:rFonts w:ascii="Trebuchet MS"/>
          <w:color w:val="231F20"/>
          <w:w w:val="117"/>
          <w:sz w:val="14"/>
        </w:rPr>
        <w:t>n</w:t>
      </w:r>
      <w:r>
        <w:rPr>
          <w:rFonts w:ascii="Trebuchet MS"/>
          <w:color w:val="231F20"/>
          <w:spacing w:val="3"/>
          <w:w w:val="115"/>
          <w:sz w:val="14"/>
        </w:rPr>
        <w:t>d</w:t>
      </w:r>
      <w:r>
        <w:rPr>
          <w:rFonts w:ascii="Trebuchet MS"/>
          <w:color w:val="231F20"/>
          <w:spacing w:val="-3"/>
          <w:w w:val="59"/>
          <w:sz w:val="14"/>
        </w:rPr>
        <w:t>/</w:t>
      </w:r>
      <w:r>
        <w:rPr>
          <w:rFonts w:ascii="Trebuchet MS"/>
          <w:color w:val="231F20"/>
          <w:w w:val="119"/>
          <w:sz w:val="14"/>
        </w:rPr>
        <w:t>o</w:t>
      </w:r>
      <w:r>
        <w:rPr>
          <w:rFonts w:ascii="Trebuchet MS"/>
          <w:color w:val="231F20"/>
          <w:spacing w:val="-2"/>
          <w:w w:val="106"/>
          <w:sz w:val="14"/>
        </w:rPr>
        <w:t>r</w:t>
      </w:r>
      <w:r>
        <w:rPr>
          <w:rFonts w:ascii="Trebuchet MS"/>
          <w:color w:val="231F20"/>
          <w:spacing w:val="2"/>
          <w:w w:val="105"/>
          <w:sz w:val="14"/>
        </w:rPr>
        <w:t xml:space="preserve"> </w:t>
      </w:r>
      <w:r>
        <w:rPr>
          <w:rFonts w:ascii="Trebuchet MS"/>
          <w:color w:val="231F20"/>
          <w:w w:val="105"/>
          <w:sz w:val="14"/>
        </w:rPr>
        <w:t>purchase,</w:t>
      </w:r>
      <w:r>
        <w:rPr>
          <w:rFonts w:ascii="Trebuchet MS"/>
          <w:color w:val="231F20"/>
          <w:spacing w:val="2"/>
          <w:w w:val="105"/>
          <w:sz w:val="14"/>
        </w:rPr>
        <w:t xml:space="preserve"> </w:t>
      </w:r>
      <w:r>
        <w:rPr>
          <w:rFonts w:ascii="Trebuchet MS"/>
          <w:color w:val="231F20"/>
          <w:w w:val="105"/>
          <w:sz w:val="14"/>
        </w:rPr>
        <w:t>storage</w:t>
      </w:r>
      <w:r>
        <w:rPr>
          <w:rFonts w:ascii="Trebuchet MS"/>
          <w:color w:val="231F20"/>
          <w:spacing w:val="2"/>
          <w:w w:val="105"/>
          <w:sz w:val="14"/>
        </w:rPr>
        <w:t xml:space="preserve"> </w:t>
      </w:r>
      <w:r>
        <w:rPr>
          <w:rFonts w:ascii="Trebuchet MS"/>
          <w:color w:val="231F20"/>
          <w:w w:val="105"/>
          <w:sz w:val="14"/>
        </w:rPr>
        <w:t>and</w:t>
      </w:r>
      <w:r>
        <w:rPr>
          <w:rFonts w:ascii="Trebuchet MS"/>
          <w:color w:val="231F20"/>
          <w:spacing w:val="1"/>
          <w:w w:val="105"/>
          <w:sz w:val="14"/>
        </w:rPr>
        <w:t xml:space="preserve"> </w:t>
      </w:r>
      <w:r>
        <w:rPr>
          <w:rFonts w:ascii="Trebuchet MS"/>
          <w:color w:val="231F20"/>
          <w:w w:val="105"/>
          <w:sz w:val="14"/>
        </w:rPr>
        <w:t>management,</w:t>
      </w:r>
      <w:r>
        <w:rPr>
          <w:rFonts w:ascii="Trebuchet MS"/>
          <w:color w:val="231F20"/>
          <w:spacing w:val="2"/>
          <w:w w:val="105"/>
          <w:sz w:val="14"/>
        </w:rPr>
        <w:t xml:space="preserve"> </w:t>
      </w:r>
      <w:r>
        <w:rPr>
          <w:rFonts w:ascii="Trebuchet MS"/>
          <w:color w:val="231F20"/>
          <w:spacing w:val="-2"/>
          <w:w w:val="105"/>
          <w:sz w:val="14"/>
        </w:rPr>
        <w:t>supervi-</w:t>
      </w:r>
    </w:p>
    <w:p w14:paraId="18B41FAD" w14:textId="77777777" w:rsidR="00AE0598" w:rsidRDefault="00AE0598">
      <w:pPr>
        <w:spacing w:line="160" w:lineRule="exact"/>
        <w:rPr>
          <w:rFonts w:ascii="Trebuchet MS"/>
          <w:sz w:val="14"/>
        </w:rPr>
        <w:sectPr w:rsidR="00AE0598">
          <w:type w:val="continuous"/>
          <w:pgSz w:w="8850" w:h="13270"/>
          <w:pgMar w:top="1080" w:right="1060" w:bottom="280" w:left="1080" w:header="720" w:footer="720" w:gutter="0"/>
          <w:cols w:space="720"/>
        </w:sectPr>
      </w:pPr>
    </w:p>
    <w:p w14:paraId="512FE246" w14:textId="77777777" w:rsidR="00AE0598" w:rsidRDefault="0069255A">
      <w:pPr>
        <w:spacing w:line="162" w:lineRule="exact"/>
        <w:ind w:left="110"/>
        <w:rPr>
          <w:rFonts w:ascii="Trebuchet MS"/>
          <w:sz w:val="14"/>
        </w:rPr>
      </w:pPr>
      <w:r>
        <w:rPr>
          <w:rFonts w:ascii="Trebuchet MS"/>
          <w:color w:val="231F20"/>
          <w:sz w:val="14"/>
        </w:rPr>
        <w:t>ticketing</w:t>
      </w:r>
      <w:r>
        <w:rPr>
          <w:rFonts w:ascii="Trebuchet MS"/>
          <w:color w:val="231F20"/>
          <w:spacing w:val="7"/>
          <w:sz w:val="14"/>
        </w:rPr>
        <w:t xml:space="preserve"> </w:t>
      </w:r>
      <w:r>
        <w:rPr>
          <w:rFonts w:ascii="Trebuchet MS"/>
          <w:color w:val="231F20"/>
          <w:sz w:val="14"/>
        </w:rPr>
        <w:t>services,</w:t>
      </w:r>
      <w:r>
        <w:rPr>
          <w:rFonts w:ascii="Trebuchet MS"/>
          <w:color w:val="231F20"/>
          <w:spacing w:val="7"/>
          <w:sz w:val="14"/>
        </w:rPr>
        <w:t xml:space="preserve"> </w:t>
      </w:r>
      <w:r>
        <w:rPr>
          <w:rFonts w:ascii="Trebuchet MS"/>
          <w:color w:val="231F20"/>
          <w:sz w:val="14"/>
        </w:rPr>
        <w:t>travel</w:t>
      </w:r>
      <w:r>
        <w:rPr>
          <w:rFonts w:ascii="Trebuchet MS"/>
          <w:color w:val="231F20"/>
          <w:spacing w:val="7"/>
          <w:sz w:val="14"/>
        </w:rPr>
        <w:t xml:space="preserve"> </w:t>
      </w:r>
      <w:r>
        <w:rPr>
          <w:rFonts w:ascii="Trebuchet MS"/>
          <w:color w:val="231F20"/>
          <w:spacing w:val="-2"/>
          <w:sz w:val="14"/>
        </w:rPr>
        <w:t>agents</w:t>
      </w:r>
    </w:p>
    <w:p w14:paraId="35087AA3" w14:textId="77777777" w:rsidR="00AE0598" w:rsidRDefault="0069255A">
      <w:pPr>
        <w:spacing w:before="2" w:line="235" w:lineRule="auto"/>
        <w:ind w:left="110" w:right="324"/>
        <w:rPr>
          <w:rFonts w:ascii="Trebuchet MS"/>
          <w:sz w:val="14"/>
        </w:rPr>
      </w:pPr>
      <w:r>
        <w:br w:type="column"/>
      </w:r>
      <w:r>
        <w:rPr>
          <w:rFonts w:ascii="Trebuchet MS"/>
          <w:color w:val="231F20"/>
          <w:sz w:val="14"/>
        </w:rPr>
        <w:t>sion and safety, hiring, operations, training facilities, injury prevention and medical facilities, science and research</w:t>
      </w:r>
      <w:r>
        <w:rPr>
          <w:rFonts w:ascii="Trebuchet MS"/>
          <w:color w:val="231F20"/>
          <w:spacing w:val="-7"/>
          <w:sz w:val="14"/>
        </w:rPr>
        <w:t xml:space="preserve"> </w:t>
      </w:r>
      <w:r>
        <w:rPr>
          <w:rFonts w:ascii="Trebuchet MS"/>
          <w:color w:val="231F20"/>
          <w:sz w:val="14"/>
        </w:rPr>
        <w:t>facilities</w:t>
      </w:r>
    </w:p>
    <w:p w14:paraId="21558593" w14:textId="77777777" w:rsidR="00AE0598" w:rsidRDefault="00AE0598">
      <w:pPr>
        <w:spacing w:line="235" w:lineRule="auto"/>
        <w:rPr>
          <w:rFonts w:ascii="Trebuchet MS"/>
          <w:sz w:val="14"/>
        </w:rPr>
        <w:sectPr w:rsidR="00AE0598">
          <w:type w:val="continuous"/>
          <w:pgSz w:w="8850" w:h="13270"/>
          <w:pgMar w:top="1080" w:right="1060" w:bottom="280" w:left="1080" w:header="720" w:footer="720" w:gutter="0"/>
          <w:cols w:num="2" w:space="720" w:equalWidth="0">
            <w:col w:w="2244" w:space="576"/>
            <w:col w:w="3890"/>
          </w:cols>
        </w:sectPr>
      </w:pPr>
    </w:p>
    <w:p w14:paraId="68F22161" w14:textId="77777777" w:rsidR="00AE0598" w:rsidRDefault="00AE0598">
      <w:pPr>
        <w:pStyle w:val="Corpodetexto"/>
        <w:spacing w:before="4"/>
        <w:rPr>
          <w:rFonts w:ascii="Trebuchet MS"/>
          <w:sz w:val="4"/>
        </w:rPr>
      </w:pPr>
    </w:p>
    <w:p w14:paraId="2BF7834C" w14:textId="2C8D5CD0" w:rsidR="00AE0598" w:rsidRDefault="0069255A">
      <w:pPr>
        <w:pStyle w:val="Corpodetexto"/>
        <w:spacing w:line="20" w:lineRule="exact"/>
        <w:ind w:left="110"/>
        <w:rPr>
          <w:rFonts w:ascii="Trebuchet MS"/>
          <w:sz w:val="2"/>
        </w:rPr>
      </w:pPr>
      <w:r>
        <w:rPr>
          <w:rFonts w:ascii="Trebuchet MS"/>
          <w:noProof/>
          <w:sz w:val="2"/>
        </w:rPr>
        <mc:AlternateContent>
          <mc:Choice Requires="wpg">
            <w:drawing>
              <wp:inline distT="0" distB="0" distL="0" distR="0" wp14:anchorId="0FFB20F3" wp14:editId="75327A5E">
                <wp:extent cx="4097655" cy="3175"/>
                <wp:effectExtent l="12700" t="10160" r="13970" b="5715"/>
                <wp:docPr id="170" name="docshapegroup1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097655" cy="3175"/>
                          <a:chOff x="0" y="0"/>
                          <a:chExt cx="6453" cy="5"/>
                        </a:xfrm>
                      </wpg:grpSpPr>
                      <wps:wsp>
                        <wps:cNvPr id="171" name="docshape198"/>
                        <wps:cNvSpPr>
                          <a:spLocks/>
                        </wps:cNvSpPr>
                        <wps:spPr bwMode="auto">
                          <a:xfrm>
                            <a:off x="0" y="2"/>
                            <a:ext cx="6453" cy="2"/>
                          </a:xfrm>
                          <a:custGeom>
                            <a:avLst/>
                            <a:gdLst>
                              <a:gd name="T0" fmla="*/ 0 w 6453"/>
                              <a:gd name="T1" fmla="*/ 2820 w 6453"/>
                              <a:gd name="T2" fmla="*/ 6453 w 6453"/>
                            </a:gdLst>
                            <a:ahLst/>
                            <a:cxnLst>
                              <a:cxn ang="0">
                                <a:pos x="T0" y="0"/>
                              </a:cxn>
                              <a:cxn ang="0">
                                <a:pos x="T1" y="0"/>
                              </a:cxn>
                              <a:cxn ang="0">
                                <a:pos x="T2" y="0"/>
                              </a:cxn>
                            </a:cxnLst>
                            <a:rect l="0" t="0" r="r" b="b"/>
                            <a:pathLst>
                              <a:path w="6453">
                                <a:moveTo>
                                  <a:pt x="0" y="0"/>
                                </a:moveTo>
                                <a:lnTo>
                                  <a:pt x="2820" y="0"/>
                                </a:lnTo>
                                <a:lnTo>
                                  <a:pt x="6453" y="0"/>
                                </a:lnTo>
                              </a:path>
                            </a:pathLst>
                          </a:custGeom>
                          <a:noFill/>
                          <a:ln w="3175">
                            <a:solidFill>
                              <a:srgbClr val="231F2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269D6450" id="docshapegroup197" o:spid="_x0000_s1026" style="width:322.65pt;height:.25pt;mso-position-horizontal-relative:char;mso-position-vertical-relative:line" coordsize="64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">
                <v:shape id="docshape198" o:spid="_x0000_s1027" style="position:absolute;top:2;width:6453;height:2;visibility:visible;mso-wrap-style:square;v-text-anchor:top" coordsize="64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" path="m,l2820,,6453,e" filled="f" strokecolor="#231f20" strokeweight=".25pt">
                  <v:path arrowok="t" o:connecttype="custom" o:connectlocs="0,0;2820,0;6453,0" o:connectangles="0,0,0"/>
                </v:shape>
                <w10:anchorlock/>
              </v:group>
            </w:pict>
          </mc:Fallback>
        </mc:AlternateContent>
      </w:r>
    </w:p>
    <w:p w14:paraId="5174B427" w14:textId="5CEB7B56" w:rsidR="00AE0598" w:rsidRDefault="0069255A">
      <w:pPr>
        <w:tabs>
          <w:tab w:val="left" w:pos="2930"/>
        </w:tabs>
        <w:spacing w:before="34"/>
        <w:ind w:left="110"/>
        <w:rPr>
          <w:rFonts w:ascii="Trebuchet MS"/>
          <w:sz w:val="14"/>
        </w:rPr>
      </w:pPr>
      <w:r>
        <w:rPr>
          <w:noProof/>
        </w:rPr>
        <mc:AlternateContent>
          <mc:Choice Requires="wps">
            <w:drawing>
              <wp:anchor distT="0" distB="0" distL="114300" distR="114300" simplePos="0" relativeHeight="15800832" behindDoc="0" locked="0" layoutInCell="1" allowOverlap="1" wp14:anchorId="18C24ACC" wp14:editId="2D4220A7">
                <wp:simplePos x="0" y="0"/>
                <wp:positionH relativeFrom="page">
                  <wp:posOffset>755650</wp:posOffset>
                </wp:positionH>
                <wp:positionV relativeFrom="paragraph">
                  <wp:posOffset>155575</wp:posOffset>
                </wp:positionV>
                <wp:extent cx="4097655" cy="1270"/>
                <wp:effectExtent l="0" t="0" r="0" b="0"/>
                <wp:wrapNone/>
                <wp:docPr id="169" name="docshape1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097655" cy="1270"/>
                        </a:xfrm>
                        <a:custGeom>
                          <a:avLst/>
                          <a:gdLst>
                            <a:gd name="T0" fmla="+- 0 1190 1190"/>
                            <a:gd name="T1" fmla="*/ T0 w 6453"/>
                            <a:gd name="T2" fmla="+- 0 4010 1190"/>
                            <a:gd name="T3" fmla="*/ T2 w 6453"/>
                            <a:gd name="T4" fmla="+- 0 7643 1190"/>
                            <a:gd name="T5" fmla="*/ T4 w 6453"/>
                          </a:gdLst>
                          <a:ahLst/>
                          <a:cxnLst>
                            <a:cxn ang="0">
                              <a:pos x="T1" y="0"/>
                            </a:cxn>
                            <a:cxn ang="0">
                              <a:pos x="T3" y="0"/>
                            </a:cxn>
                            <a:cxn ang="0">
                              <a:pos x="T5" y="0"/>
                            </a:cxn>
                          </a:cxnLst>
                          <a:rect l="0" t="0" r="r" b="b"/>
                          <a:pathLst>
                            <a:path w="6453">
                              <a:moveTo>
                                <a:pt x="0" y="0"/>
                              </a:moveTo>
                              <a:lnTo>
                                <a:pt x="2820" y="0"/>
                              </a:lnTo>
                              <a:lnTo>
                                <a:pt x="6453" y="0"/>
                              </a:lnTo>
                            </a:path>
                          </a:pathLst>
                        </a:custGeom>
                        <a:noFill/>
                        <a:ln w="3175">
                          <a:solidFill>
                            <a:srgbClr val="231F2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33BDB98" id="docshape199" o:spid="_x0000_s1026" style="position:absolute;margin-left:59.5pt;margin-top:12.25pt;width:322.65pt;height:.1pt;z-index:158008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645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" path="m,l2820,,6453,e" filled="f" strokecolor="#231f20" strokeweight=".25pt">
                <v:path arrowok="t" o:connecttype="custom" o:connectlocs="0,0;1790700,0;4097655,0" o:connectangles="0,0,0"/>
                <w10:wrap anchorx="page"/>
              </v:shape>
            </w:pict>
          </mc:Fallback>
        </mc:AlternateContent>
      </w:r>
      <w:r>
        <w:rPr>
          <w:rFonts w:ascii="Trebuchet MS"/>
          <w:color w:val="231F20"/>
          <w:sz w:val="14"/>
        </w:rPr>
        <w:t>Tourism</w:t>
      </w:r>
      <w:r>
        <w:rPr>
          <w:rFonts w:ascii="Trebuchet MS"/>
          <w:color w:val="231F20"/>
          <w:spacing w:val="15"/>
          <w:sz w:val="14"/>
        </w:rPr>
        <w:t xml:space="preserve"> </w:t>
      </w:r>
      <w:r>
        <w:rPr>
          <w:rFonts w:ascii="Trebuchet MS"/>
          <w:color w:val="231F20"/>
          <w:spacing w:val="-2"/>
          <w:sz w:val="14"/>
        </w:rPr>
        <w:t>organisations</w:t>
      </w:r>
      <w:r>
        <w:rPr>
          <w:rFonts w:ascii="Trebuchet MS"/>
          <w:color w:val="231F20"/>
          <w:sz w:val="14"/>
        </w:rPr>
        <w:tab/>
      </w:r>
      <w:r>
        <w:rPr>
          <w:rFonts w:ascii="Trebuchet MS"/>
          <w:color w:val="231F20"/>
          <w:w w:val="105"/>
          <w:sz w:val="14"/>
        </w:rPr>
        <w:t>Sport</w:t>
      </w:r>
      <w:r>
        <w:rPr>
          <w:rFonts w:ascii="Trebuchet MS"/>
          <w:color w:val="231F20"/>
          <w:spacing w:val="6"/>
          <w:w w:val="105"/>
          <w:sz w:val="14"/>
        </w:rPr>
        <w:t xml:space="preserve"> </w:t>
      </w:r>
      <w:r>
        <w:rPr>
          <w:rFonts w:ascii="Trebuchet MS"/>
          <w:color w:val="231F20"/>
          <w:spacing w:val="-2"/>
          <w:w w:val="105"/>
          <w:sz w:val="14"/>
        </w:rPr>
        <w:t>o</w:t>
      </w:r>
      <w:r>
        <w:rPr>
          <w:rFonts w:ascii="Trebuchet MS"/>
          <w:color w:val="231F20"/>
          <w:spacing w:val="-2"/>
          <w:w w:val="105"/>
          <w:sz w:val="14"/>
        </w:rPr>
        <w:t>rganisations</w:t>
      </w:r>
    </w:p>
    <w:p w14:paraId="05302931" w14:textId="77777777" w:rsidR="00AE0598" w:rsidRDefault="00AE0598">
      <w:pPr>
        <w:rPr>
          <w:rFonts w:ascii="Trebuchet MS"/>
          <w:sz w:val="14"/>
        </w:rPr>
        <w:sectPr w:rsidR="00AE0598">
          <w:type w:val="continuous"/>
          <w:pgSz w:w="8850" w:h="13270"/>
          <w:pgMar w:top="1080" w:right="1060" w:bottom="280" w:left="1080" w:header="720" w:footer="720" w:gutter="0"/>
          <w:cols w:space="720"/>
        </w:sectPr>
      </w:pPr>
    </w:p>
    <w:p w14:paraId="23A8FB4B" w14:textId="77777777" w:rsidR="00AE0598" w:rsidRDefault="0069255A">
      <w:pPr>
        <w:spacing w:before="105" w:line="235" w:lineRule="auto"/>
        <w:ind w:left="110"/>
        <w:rPr>
          <w:rFonts w:ascii="Trebuchet MS"/>
          <w:sz w:val="14"/>
        </w:rPr>
      </w:pPr>
      <w:r>
        <w:rPr>
          <w:rFonts w:ascii="Trebuchet MS"/>
          <w:color w:val="231F20"/>
          <w:w w:val="105"/>
          <w:sz w:val="14"/>
        </w:rPr>
        <w:t xml:space="preserve">Planning and development, strategic planning, destination image, tourism marketing, place promotion, visiting </w:t>
      </w:r>
      <w:r>
        <w:rPr>
          <w:rFonts w:ascii="Trebuchet MS"/>
          <w:color w:val="231F20"/>
          <w:sz w:val="14"/>
        </w:rPr>
        <w:t xml:space="preserve">media programmes, tourism research, </w:t>
      </w:r>
      <w:r>
        <w:rPr>
          <w:rFonts w:ascii="Trebuchet MS"/>
          <w:color w:val="231F20"/>
          <w:w w:val="105"/>
          <w:sz w:val="14"/>
        </w:rPr>
        <w:t>industry coordination and liaison</w:t>
      </w:r>
    </w:p>
    <w:p w14:paraId="24BD3275" w14:textId="77777777" w:rsidR="00AE0598" w:rsidRDefault="0069255A">
      <w:pPr>
        <w:spacing w:before="105" w:line="235" w:lineRule="auto"/>
        <w:ind w:left="110" w:right="324"/>
        <w:rPr>
          <w:rFonts w:ascii="Trebuchet MS"/>
          <w:sz w:val="14"/>
        </w:rPr>
      </w:pPr>
      <w:r>
        <w:br w:type="column"/>
      </w:r>
      <w:r>
        <w:rPr>
          <w:rFonts w:ascii="Trebuchet MS"/>
          <w:color w:val="231F20"/>
          <w:sz w:val="14"/>
        </w:rPr>
        <w:t>Sports</w:t>
      </w:r>
      <w:r>
        <w:rPr>
          <w:rFonts w:ascii="Trebuchet MS"/>
          <w:color w:val="231F20"/>
          <w:spacing w:val="26"/>
          <w:sz w:val="14"/>
        </w:rPr>
        <w:t xml:space="preserve"> </w:t>
      </w:r>
      <w:r>
        <w:rPr>
          <w:rFonts w:ascii="Trebuchet MS"/>
          <w:color w:val="231F20"/>
          <w:sz w:val="14"/>
        </w:rPr>
        <w:t>clubs,</w:t>
      </w:r>
      <w:r>
        <w:rPr>
          <w:rFonts w:ascii="Trebuchet MS"/>
          <w:color w:val="231F20"/>
          <w:spacing w:val="26"/>
          <w:sz w:val="14"/>
        </w:rPr>
        <w:t xml:space="preserve"> </w:t>
      </w:r>
      <w:r>
        <w:rPr>
          <w:rFonts w:ascii="Trebuchet MS"/>
          <w:color w:val="231F20"/>
          <w:sz w:val="14"/>
        </w:rPr>
        <w:t>volunteer</w:t>
      </w:r>
      <w:r>
        <w:rPr>
          <w:rFonts w:ascii="Trebuchet MS"/>
          <w:color w:val="231F20"/>
          <w:spacing w:val="26"/>
          <w:sz w:val="14"/>
        </w:rPr>
        <w:t xml:space="preserve"> </w:t>
      </w:r>
      <w:r>
        <w:rPr>
          <w:rFonts w:ascii="Trebuchet MS"/>
          <w:color w:val="231F20"/>
          <w:sz w:val="14"/>
        </w:rPr>
        <w:t>groups</w:t>
      </w:r>
      <w:r>
        <w:rPr>
          <w:rFonts w:ascii="Trebuchet MS"/>
          <w:color w:val="231F20"/>
          <w:spacing w:val="26"/>
          <w:sz w:val="14"/>
        </w:rPr>
        <w:t xml:space="preserve"> </w:t>
      </w:r>
      <w:r>
        <w:rPr>
          <w:rFonts w:ascii="Trebuchet MS"/>
          <w:color w:val="231F20"/>
          <w:sz w:val="14"/>
        </w:rPr>
        <w:t>and</w:t>
      </w:r>
      <w:r>
        <w:rPr>
          <w:rFonts w:ascii="Trebuchet MS"/>
          <w:color w:val="231F20"/>
          <w:spacing w:val="26"/>
          <w:sz w:val="14"/>
        </w:rPr>
        <w:t xml:space="preserve"> </w:t>
      </w:r>
      <w:r>
        <w:rPr>
          <w:rFonts w:ascii="Trebuchet MS"/>
          <w:color w:val="231F20"/>
          <w:sz w:val="14"/>
        </w:rPr>
        <w:t>community groups; administration, facility development, fund-</w:t>
      </w:r>
      <w:r>
        <w:rPr>
          <w:rFonts w:ascii="Trebuchet MS"/>
          <w:color w:val="231F20"/>
          <w:spacing w:val="40"/>
          <w:sz w:val="14"/>
        </w:rPr>
        <w:t xml:space="preserve"> </w:t>
      </w:r>
      <w:r>
        <w:rPr>
          <w:rFonts w:ascii="Trebuchet MS"/>
          <w:color w:val="231F20"/>
          <w:sz w:val="14"/>
        </w:rPr>
        <w:t>ing, sponsorship, information services, marketing,</w:t>
      </w:r>
      <w:r>
        <w:rPr>
          <w:rFonts w:ascii="Trebuchet MS"/>
          <w:color w:val="231F20"/>
          <w:spacing w:val="40"/>
          <w:sz w:val="14"/>
        </w:rPr>
        <w:t xml:space="preserve"> </w:t>
      </w:r>
      <w:r>
        <w:rPr>
          <w:rFonts w:ascii="Trebuchet MS"/>
          <w:color w:val="231F20"/>
          <w:spacing w:val="-2"/>
          <w:sz w:val="14"/>
        </w:rPr>
        <w:t>merchandising</w:t>
      </w:r>
    </w:p>
    <w:p w14:paraId="09456D8D" w14:textId="77777777" w:rsidR="00AE0598" w:rsidRDefault="00AE0598">
      <w:pPr>
        <w:spacing w:line="235" w:lineRule="auto"/>
        <w:rPr>
          <w:rFonts w:ascii="Trebuchet MS"/>
          <w:sz w:val="14"/>
        </w:rPr>
        <w:sectPr w:rsidR="00AE0598">
          <w:type w:val="continuous"/>
          <w:pgSz w:w="8850" w:h="13270"/>
          <w:pgMar w:top="1080" w:right="1060" w:bottom="280" w:left="1080" w:header="720" w:footer="720" w:gutter="0"/>
          <w:cols w:num="2" w:space="720" w:equalWidth="0">
            <w:col w:w="2688" w:space="132"/>
            <w:col w:w="3890"/>
          </w:cols>
        </w:sectPr>
      </w:pPr>
    </w:p>
    <w:p w14:paraId="478872CB" w14:textId="77777777" w:rsidR="00AE0598" w:rsidRDefault="00AE0598">
      <w:pPr>
        <w:pStyle w:val="Corpodetexto"/>
        <w:spacing w:before="5"/>
        <w:rPr>
          <w:rFonts w:ascii="Trebuchet MS"/>
          <w:sz w:val="4"/>
        </w:rPr>
      </w:pPr>
    </w:p>
    <w:p w14:paraId="58A8B4E7" w14:textId="4D0A2419" w:rsidR="00AE0598" w:rsidRDefault="0069255A">
      <w:pPr>
        <w:pStyle w:val="Corpodetexto"/>
        <w:spacing w:line="20" w:lineRule="exact"/>
        <w:ind w:left="110"/>
        <w:rPr>
          <w:rFonts w:ascii="Trebuchet MS"/>
          <w:sz w:val="2"/>
        </w:rPr>
      </w:pPr>
      <w:r>
        <w:rPr>
          <w:rFonts w:ascii="Trebuchet MS"/>
          <w:noProof/>
          <w:sz w:val="2"/>
        </w:rPr>
        <mc:AlternateContent>
          <mc:Choice Requires="wpg">
            <w:drawing>
              <wp:inline distT="0" distB="0" distL="0" distR="0" wp14:anchorId="70BC33CC" wp14:editId="4F09FBB5">
                <wp:extent cx="4097655" cy="3175"/>
                <wp:effectExtent l="12700" t="9525" r="13970" b="6350"/>
                <wp:docPr id="167" name="docshapegroup2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097655" cy="3175"/>
                          <a:chOff x="0" y="0"/>
                          <a:chExt cx="6453" cy="5"/>
                        </a:xfrm>
                      </wpg:grpSpPr>
                      <wps:wsp>
                        <wps:cNvPr id="168" name="docshape201"/>
                        <wps:cNvSpPr>
                          <a:spLocks/>
                        </wps:cNvSpPr>
                        <wps:spPr bwMode="auto">
                          <a:xfrm>
                            <a:off x="0" y="2"/>
                            <a:ext cx="6453" cy="2"/>
                          </a:xfrm>
                          <a:custGeom>
                            <a:avLst/>
                            <a:gdLst>
                              <a:gd name="T0" fmla="*/ 0 w 6453"/>
                              <a:gd name="T1" fmla="*/ 2820 w 6453"/>
                              <a:gd name="T2" fmla="*/ 6453 w 6453"/>
                            </a:gdLst>
                            <a:ahLst/>
                            <a:cxnLst>
                              <a:cxn ang="0">
                                <a:pos x="T0" y="0"/>
                              </a:cxn>
                              <a:cxn ang="0">
                                <a:pos x="T1" y="0"/>
                              </a:cxn>
                              <a:cxn ang="0">
                                <a:pos x="T2" y="0"/>
                              </a:cxn>
                            </a:cxnLst>
                            <a:rect l="0" t="0" r="r" b="b"/>
                            <a:pathLst>
                              <a:path w="6453">
                                <a:moveTo>
                                  <a:pt x="0" y="0"/>
                                </a:moveTo>
                                <a:lnTo>
                                  <a:pt x="2820" y="0"/>
                                </a:lnTo>
                                <a:lnTo>
                                  <a:pt x="6453" y="0"/>
                                </a:lnTo>
                              </a:path>
                            </a:pathLst>
                          </a:custGeom>
                          <a:noFill/>
                          <a:ln w="3175">
                            <a:solidFill>
                              <a:srgbClr val="231F2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41C432DD" id="docshapegroup200" o:spid="_x0000_s1026" style="width:322.65pt;height:.25pt;mso-position-horizontal-relative:char;mso-position-vertical-relative:line" coordsize="64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">
                <v:shape id="docshape201" o:spid="_x0000_s1027" style="position:absolute;top:2;width:6453;height:2;visibility:visible;mso-wrap-style:square;v-text-anchor:top" coordsize="64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" path="m,l2820,,6453,e" filled="f" strokecolor="#231f20" strokeweight=".25pt">
                  <v:path arrowok="t" o:connecttype="custom" o:connectlocs="0,0;2820,0;6453,0" o:connectangles="0,0,0"/>
                </v:shape>
                <w10:anchorlock/>
              </v:group>
            </w:pict>
          </mc:Fallback>
        </mc:AlternateContent>
      </w:r>
    </w:p>
    <w:p w14:paraId="5B30F5FB" w14:textId="12B69BE3" w:rsidR="00AE0598" w:rsidRDefault="0069255A">
      <w:pPr>
        <w:tabs>
          <w:tab w:val="left" w:pos="2929"/>
        </w:tabs>
        <w:spacing w:before="34"/>
        <w:ind w:left="110"/>
        <w:rPr>
          <w:rFonts w:ascii="Trebuchet MS"/>
          <w:sz w:val="14"/>
        </w:rPr>
      </w:pPr>
      <w:r>
        <w:rPr>
          <w:noProof/>
        </w:rPr>
        <mc:AlternateContent>
          <mc:Choice Requires="wps">
            <w:drawing>
              <wp:anchor distT="0" distB="0" distL="114300" distR="114300" simplePos="0" relativeHeight="15801344" behindDoc="0" locked="0" layoutInCell="1" allowOverlap="1" wp14:anchorId="7088CBE6" wp14:editId="68229B8F">
                <wp:simplePos x="0" y="0"/>
                <wp:positionH relativeFrom="page">
                  <wp:posOffset>755650</wp:posOffset>
                </wp:positionH>
                <wp:positionV relativeFrom="paragraph">
                  <wp:posOffset>155575</wp:posOffset>
                </wp:positionV>
                <wp:extent cx="4097655" cy="1270"/>
                <wp:effectExtent l="0" t="0" r="0" b="0"/>
                <wp:wrapNone/>
                <wp:docPr id="166" name="docshape2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097655" cy="1270"/>
                        </a:xfrm>
                        <a:custGeom>
                          <a:avLst/>
                          <a:gdLst>
                            <a:gd name="T0" fmla="+- 0 1190 1190"/>
                            <a:gd name="T1" fmla="*/ T0 w 6453"/>
                            <a:gd name="T2" fmla="+- 0 4010 1190"/>
                            <a:gd name="T3" fmla="*/ T2 w 6453"/>
                            <a:gd name="T4" fmla="+- 0 7643 1190"/>
                            <a:gd name="T5" fmla="*/ T4 w 6453"/>
                          </a:gdLst>
                          <a:ahLst/>
                          <a:cxnLst>
                            <a:cxn ang="0">
                              <a:pos x="T1" y="0"/>
                            </a:cxn>
                            <a:cxn ang="0">
                              <a:pos x="T3" y="0"/>
                            </a:cxn>
                            <a:cxn ang="0">
                              <a:pos x="T5" y="0"/>
                            </a:cxn>
                          </a:cxnLst>
                          <a:rect l="0" t="0" r="r" b="b"/>
                          <a:pathLst>
                            <a:path w="6453">
                              <a:moveTo>
                                <a:pt x="0" y="0"/>
                              </a:moveTo>
                              <a:lnTo>
                                <a:pt x="2820" y="0"/>
                              </a:lnTo>
                              <a:lnTo>
                                <a:pt x="6453" y="0"/>
                              </a:lnTo>
                            </a:path>
                          </a:pathLst>
                        </a:custGeom>
                        <a:noFill/>
                        <a:ln w="3175">
                          <a:solidFill>
                            <a:srgbClr val="231F2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F6E254" id="docshape202" o:spid="_x0000_s1026" style="position:absolute;margin-left:59.5pt;margin-top:12.25pt;width:322.65pt;height:.1pt;z-index:158013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645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" path="m,l2820,,6453,e" filled="f" strokecolor="#231f20" strokeweight=".25pt">
                <v:path arrowok="t" o:connecttype="custom" o:connectlocs="0,0;1790700,0;4097655,0" o:connectangles="0,0,0"/>
                <w10:wrap anchorx="page"/>
              </v:shape>
            </w:pict>
          </mc:Fallback>
        </mc:AlternateContent>
      </w:r>
      <w:r>
        <w:rPr>
          <w:rFonts w:ascii="Trebuchet MS"/>
          <w:color w:val="231F20"/>
          <w:sz w:val="14"/>
        </w:rPr>
        <w:t>Transport</w:t>
      </w:r>
      <w:r>
        <w:rPr>
          <w:rFonts w:ascii="Trebuchet MS"/>
          <w:color w:val="231F20"/>
          <w:spacing w:val="28"/>
          <w:sz w:val="14"/>
        </w:rPr>
        <w:t xml:space="preserve"> </w:t>
      </w:r>
      <w:r>
        <w:rPr>
          <w:rFonts w:ascii="Trebuchet MS"/>
          <w:color w:val="231F20"/>
          <w:spacing w:val="-2"/>
          <w:sz w:val="14"/>
        </w:rPr>
        <w:t>services</w:t>
      </w:r>
      <w:r>
        <w:rPr>
          <w:rFonts w:ascii="Trebuchet MS"/>
          <w:color w:val="231F20"/>
          <w:sz w:val="14"/>
        </w:rPr>
        <w:tab/>
        <w:t>Transport</w:t>
      </w:r>
      <w:r>
        <w:rPr>
          <w:rFonts w:ascii="Trebuchet MS"/>
          <w:color w:val="231F20"/>
          <w:spacing w:val="28"/>
          <w:sz w:val="14"/>
        </w:rPr>
        <w:t xml:space="preserve"> </w:t>
      </w:r>
      <w:r>
        <w:rPr>
          <w:rFonts w:ascii="Trebuchet MS"/>
          <w:color w:val="231F20"/>
          <w:spacing w:val="-2"/>
          <w:sz w:val="14"/>
        </w:rPr>
        <w:t>servic</w:t>
      </w:r>
      <w:r>
        <w:rPr>
          <w:rFonts w:ascii="Trebuchet MS"/>
          <w:color w:val="231F20"/>
          <w:spacing w:val="-2"/>
          <w:sz w:val="14"/>
        </w:rPr>
        <w:t>es</w:t>
      </w:r>
    </w:p>
    <w:p w14:paraId="005985E3" w14:textId="77777777" w:rsidR="00AE0598" w:rsidRDefault="00AE0598">
      <w:pPr>
        <w:rPr>
          <w:rFonts w:ascii="Trebuchet MS"/>
          <w:sz w:val="14"/>
        </w:rPr>
        <w:sectPr w:rsidR="00AE0598">
          <w:type w:val="continuous"/>
          <w:pgSz w:w="8850" w:h="13270"/>
          <w:pgMar w:top="1080" w:right="1060" w:bottom="280" w:left="1080" w:header="720" w:footer="720" w:gutter="0"/>
          <w:cols w:space="720"/>
        </w:sectPr>
      </w:pPr>
    </w:p>
    <w:p w14:paraId="057217EE" w14:textId="77777777" w:rsidR="00AE0598" w:rsidRDefault="0069255A">
      <w:pPr>
        <w:spacing w:before="105" w:line="235" w:lineRule="auto"/>
        <w:ind w:left="110"/>
        <w:rPr>
          <w:rFonts w:ascii="Trebuchet MS"/>
          <w:sz w:val="14"/>
        </w:rPr>
      </w:pPr>
      <w:r>
        <w:rPr>
          <w:rFonts w:ascii="Trebuchet MS"/>
          <w:color w:val="231F20"/>
          <w:sz w:val="14"/>
        </w:rPr>
        <w:t xml:space="preserve">Road, rail, air, sea, domestic and inter- national. Plus scenic journeys, gondolas, tourist routes, rides, heritage rail tour- ism, historic routes, tour coaches, hot air </w:t>
      </w:r>
      <w:r>
        <w:rPr>
          <w:rFonts w:ascii="Trebuchet MS"/>
          <w:color w:val="231F20"/>
          <w:spacing w:val="-2"/>
          <w:sz w:val="14"/>
        </w:rPr>
        <w:t>balloons.</w:t>
      </w:r>
    </w:p>
    <w:p w14:paraId="050CBD5D" w14:textId="77777777" w:rsidR="00AE0598" w:rsidRDefault="0069255A">
      <w:pPr>
        <w:spacing w:before="103"/>
        <w:ind w:left="65"/>
        <w:rPr>
          <w:rFonts w:ascii="Trebuchet MS"/>
          <w:sz w:val="14"/>
        </w:rPr>
      </w:pPr>
      <w:r>
        <w:br w:type="column"/>
      </w:r>
      <w:r>
        <w:rPr>
          <w:rFonts w:ascii="Trebuchet MS"/>
          <w:color w:val="231F20"/>
          <w:sz w:val="14"/>
        </w:rPr>
        <w:t>Road,</w:t>
      </w:r>
      <w:r>
        <w:rPr>
          <w:rFonts w:ascii="Trebuchet MS"/>
          <w:color w:val="231F20"/>
          <w:spacing w:val="3"/>
          <w:sz w:val="14"/>
        </w:rPr>
        <w:t xml:space="preserve"> </w:t>
      </w:r>
      <w:r>
        <w:rPr>
          <w:rFonts w:ascii="Trebuchet MS"/>
          <w:color w:val="231F20"/>
          <w:sz w:val="14"/>
        </w:rPr>
        <w:t>rail,</w:t>
      </w:r>
      <w:r>
        <w:rPr>
          <w:rFonts w:ascii="Trebuchet MS"/>
          <w:color w:val="231F20"/>
          <w:spacing w:val="3"/>
          <w:sz w:val="14"/>
        </w:rPr>
        <w:t xml:space="preserve"> </w:t>
      </w:r>
      <w:r>
        <w:rPr>
          <w:rFonts w:ascii="Trebuchet MS"/>
          <w:color w:val="231F20"/>
          <w:sz w:val="14"/>
        </w:rPr>
        <w:t>air,</w:t>
      </w:r>
      <w:r>
        <w:rPr>
          <w:rFonts w:ascii="Trebuchet MS"/>
          <w:color w:val="231F20"/>
          <w:spacing w:val="4"/>
          <w:sz w:val="14"/>
        </w:rPr>
        <w:t xml:space="preserve"> </w:t>
      </w:r>
      <w:r>
        <w:rPr>
          <w:rFonts w:ascii="Trebuchet MS"/>
          <w:color w:val="231F20"/>
          <w:sz w:val="14"/>
        </w:rPr>
        <w:t>sea,</w:t>
      </w:r>
      <w:r>
        <w:rPr>
          <w:rFonts w:ascii="Trebuchet MS"/>
          <w:color w:val="231F20"/>
          <w:spacing w:val="3"/>
          <w:sz w:val="14"/>
        </w:rPr>
        <w:t xml:space="preserve"> </w:t>
      </w:r>
      <w:r>
        <w:rPr>
          <w:rFonts w:ascii="Trebuchet MS"/>
          <w:color w:val="231F20"/>
          <w:sz w:val="14"/>
        </w:rPr>
        <w:t>domestic</w:t>
      </w:r>
      <w:r>
        <w:rPr>
          <w:rFonts w:ascii="Trebuchet MS"/>
          <w:color w:val="231F20"/>
          <w:spacing w:val="4"/>
          <w:sz w:val="14"/>
        </w:rPr>
        <w:t xml:space="preserve"> </w:t>
      </w:r>
      <w:r>
        <w:rPr>
          <w:rFonts w:ascii="Trebuchet MS"/>
          <w:color w:val="231F20"/>
          <w:sz w:val="14"/>
        </w:rPr>
        <w:t>and</w:t>
      </w:r>
      <w:r>
        <w:rPr>
          <w:rFonts w:ascii="Trebuchet MS"/>
          <w:color w:val="231F20"/>
          <w:spacing w:val="3"/>
          <w:sz w:val="14"/>
        </w:rPr>
        <w:t xml:space="preserve"> </w:t>
      </w:r>
      <w:r>
        <w:rPr>
          <w:rFonts w:ascii="Trebuchet MS"/>
          <w:color w:val="231F20"/>
          <w:spacing w:val="-2"/>
          <w:sz w:val="14"/>
        </w:rPr>
        <w:t>international</w:t>
      </w:r>
    </w:p>
    <w:p w14:paraId="54C9479A" w14:textId="77777777" w:rsidR="00AE0598" w:rsidRDefault="00AE0598">
      <w:pPr>
        <w:rPr>
          <w:rFonts w:ascii="Trebuchet MS"/>
          <w:sz w:val="14"/>
        </w:rPr>
        <w:sectPr w:rsidR="00AE0598">
          <w:type w:val="continuous"/>
          <w:pgSz w:w="8850" w:h="13270"/>
          <w:pgMar w:top="1080" w:right="1060" w:bottom="280" w:left="1080" w:header="720" w:footer="720" w:gutter="0"/>
          <w:cols w:num="2" w:space="720" w:equalWidth="0">
            <w:col w:w="2825" w:space="40"/>
            <w:col w:w="3845"/>
          </w:cols>
        </w:sectPr>
      </w:pPr>
    </w:p>
    <w:p w14:paraId="48CCB60E" w14:textId="77777777" w:rsidR="00AE0598" w:rsidRDefault="00AE0598">
      <w:pPr>
        <w:pStyle w:val="Corpodetexto"/>
        <w:spacing w:before="6"/>
        <w:rPr>
          <w:rFonts w:ascii="Trebuchet MS"/>
          <w:sz w:val="4"/>
        </w:rPr>
      </w:pPr>
    </w:p>
    <w:p w14:paraId="70710B61" w14:textId="69FEE844" w:rsidR="00AE0598" w:rsidRDefault="0069255A">
      <w:pPr>
        <w:pStyle w:val="Corpodetexto"/>
        <w:spacing w:line="20" w:lineRule="exact"/>
        <w:ind w:left="110"/>
        <w:rPr>
          <w:rFonts w:ascii="Trebuchet MS"/>
          <w:sz w:val="2"/>
        </w:rPr>
      </w:pPr>
      <w:r>
        <w:rPr>
          <w:rFonts w:ascii="Trebuchet MS"/>
          <w:noProof/>
          <w:sz w:val="2"/>
        </w:rPr>
        <mc:AlternateContent>
          <mc:Choice Requires="wpg">
            <w:drawing>
              <wp:inline distT="0" distB="0" distL="0" distR="0" wp14:anchorId="4B032287" wp14:editId="0CE28B19">
                <wp:extent cx="4097655" cy="3175"/>
                <wp:effectExtent l="12700" t="9525" r="13970" b="6350"/>
                <wp:docPr id="164" name="docshapegroup2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097655" cy="3175"/>
                          <a:chOff x="0" y="0"/>
                          <a:chExt cx="6453" cy="5"/>
                        </a:xfrm>
                      </wpg:grpSpPr>
                      <wps:wsp>
                        <wps:cNvPr id="165" name="docshape204"/>
                        <wps:cNvSpPr>
                          <a:spLocks/>
                        </wps:cNvSpPr>
                        <wps:spPr bwMode="auto">
                          <a:xfrm>
                            <a:off x="0" y="2"/>
                            <a:ext cx="6453" cy="2"/>
                          </a:xfrm>
                          <a:custGeom>
                            <a:avLst/>
                            <a:gdLst>
                              <a:gd name="T0" fmla="*/ 0 w 6453"/>
                              <a:gd name="T1" fmla="*/ 2820 w 6453"/>
                              <a:gd name="T2" fmla="*/ 6453 w 6453"/>
                            </a:gdLst>
                            <a:ahLst/>
                            <a:cxnLst>
                              <a:cxn ang="0">
                                <a:pos x="T0" y="0"/>
                              </a:cxn>
                              <a:cxn ang="0">
                                <a:pos x="T1" y="0"/>
                              </a:cxn>
                              <a:cxn ang="0">
                                <a:pos x="T2" y="0"/>
                              </a:cxn>
                            </a:cxnLst>
                            <a:rect l="0" t="0" r="r" b="b"/>
                            <a:pathLst>
                              <a:path w="6453">
                                <a:moveTo>
                                  <a:pt x="0" y="0"/>
                                </a:moveTo>
                                <a:lnTo>
                                  <a:pt x="2820" y="0"/>
                                </a:lnTo>
                                <a:lnTo>
                                  <a:pt x="6453" y="0"/>
                                </a:lnTo>
                              </a:path>
                            </a:pathLst>
                          </a:custGeom>
                          <a:noFill/>
                          <a:ln w="3175">
                            <a:solidFill>
                              <a:srgbClr val="231F2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1807387E" id="docshapegroup203" o:spid="_x0000_s1026" style="width:322.65pt;height:.25pt;mso-position-horizontal-relative:char;mso-position-vertical-relative:line" coordsize="64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">
                <v:shape id="docshape204" o:spid="_x0000_s1027" style="position:absolute;top:2;width:6453;height:2;visibility:visible;mso-wrap-style:square;v-text-anchor:top" coordsize="64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" path="m,l2820,,6453,e" filled="f" strokecolor="#231f20" strokeweight=".25pt">
                  <v:path arrowok="t" o:connecttype="custom" o:connectlocs="0,0;2820,0;6453,0" o:connectangles="0,0,0"/>
                </v:shape>
                <w10:anchorlock/>
              </v:group>
            </w:pict>
          </mc:Fallback>
        </mc:AlternateContent>
      </w:r>
    </w:p>
    <w:p w14:paraId="3BCE6F57" w14:textId="3D236981" w:rsidR="00AE0598" w:rsidRDefault="0069255A">
      <w:pPr>
        <w:tabs>
          <w:tab w:val="left" w:pos="2930"/>
        </w:tabs>
        <w:spacing w:before="34"/>
        <w:ind w:left="110"/>
        <w:rPr>
          <w:rFonts w:ascii="Trebuchet MS"/>
          <w:sz w:val="14"/>
        </w:rPr>
      </w:pPr>
      <w:r>
        <w:rPr>
          <w:noProof/>
        </w:rPr>
        <mc:AlternateContent>
          <mc:Choice Requires="wps">
            <w:drawing>
              <wp:anchor distT="0" distB="0" distL="114300" distR="114300" simplePos="0" relativeHeight="15801856" behindDoc="0" locked="0" layoutInCell="1" allowOverlap="1" wp14:anchorId="7144F695" wp14:editId="790B2F53">
                <wp:simplePos x="0" y="0"/>
                <wp:positionH relativeFrom="page">
                  <wp:posOffset>755650</wp:posOffset>
                </wp:positionH>
                <wp:positionV relativeFrom="paragraph">
                  <wp:posOffset>155575</wp:posOffset>
                </wp:positionV>
                <wp:extent cx="4097655" cy="1270"/>
                <wp:effectExtent l="0" t="0" r="0" b="0"/>
                <wp:wrapNone/>
                <wp:docPr id="163" name="docshape2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097655" cy="1270"/>
                        </a:xfrm>
                        <a:custGeom>
                          <a:avLst/>
                          <a:gdLst>
                            <a:gd name="T0" fmla="+- 0 1190 1190"/>
                            <a:gd name="T1" fmla="*/ T0 w 6453"/>
                            <a:gd name="T2" fmla="+- 0 4010 1190"/>
                            <a:gd name="T3" fmla="*/ T2 w 6453"/>
                            <a:gd name="T4" fmla="+- 0 7643 1190"/>
                            <a:gd name="T5" fmla="*/ T4 w 6453"/>
                          </a:gdLst>
                          <a:ahLst/>
                          <a:cxnLst>
                            <a:cxn ang="0">
                              <a:pos x="T1" y="0"/>
                            </a:cxn>
                            <a:cxn ang="0">
                              <a:pos x="T3" y="0"/>
                            </a:cxn>
                            <a:cxn ang="0">
                              <a:pos x="T5" y="0"/>
                            </a:cxn>
                          </a:cxnLst>
                          <a:rect l="0" t="0" r="r" b="b"/>
                          <a:pathLst>
                            <a:path w="6453">
                              <a:moveTo>
                                <a:pt x="0" y="0"/>
                              </a:moveTo>
                              <a:lnTo>
                                <a:pt x="2820" y="0"/>
                              </a:lnTo>
                              <a:lnTo>
                                <a:pt x="6453" y="0"/>
                              </a:lnTo>
                            </a:path>
                          </a:pathLst>
                        </a:custGeom>
                        <a:noFill/>
                        <a:ln w="3175">
                          <a:solidFill>
                            <a:srgbClr val="231F2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107F48" id="docshape205" o:spid="_x0000_s1026" style="position:absolute;margin-left:59.5pt;margin-top:12.25pt;width:322.65pt;height:.1pt;z-index:158018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645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" path="m,l2820,,6453,e" filled="f" strokecolor="#231f20" strokeweight=".25pt">
                <v:path arrowok="t" o:connecttype="custom" o:connectlocs="0,0;1790700,0;4097655,0" o:connectangles="0,0,0"/>
                <w10:wrap anchorx="page"/>
              </v:shape>
            </w:pict>
          </mc:Fallback>
        </mc:AlternateContent>
      </w:r>
      <w:r>
        <w:rPr>
          <w:rFonts w:ascii="Trebuchet MS"/>
          <w:color w:val="231F20"/>
          <w:w w:val="105"/>
          <w:sz w:val="14"/>
        </w:rPr>
        <w:t>Entertainment</w:t>
      </w:r>
      <w:r>
        <w:rPr>
          <w:rFonts w:ascii="Trebuchet MS"/>
          <w:color w:val="231F20"/>
          <w:spacing w:val="7"/>
          <w:w w:val="105"/>
          <w:sz w:val="14"/>
        </w:rPr>
        <w:t xml:space="preserve"> </w:t>
      </w:r>
      <w:r>
        <w:rPr>
          <w:rFonts w:ascii="Trebuchet MS"/>
          <w:color w:val="231F20"/>
          <w:w w:val="105"/>
          <w:sz w:val="14"/>
        </w:rPr>
        <w:t>and</w:t>
      </w:r>
      <w:r>
        <w:rPr>
          <w:rFonts w:ascii="Trebuchet MS"/>
          <w:color w:val="231F20"/>
          <w:spacing w:val="8"/>
          <w:w w:val="105"/>
          <w:sz w:val="14"/>
        </w:rPr>
        <w:t xml:space="preserve"> </w:t>
      </w:r>
      <w:r>
        <w:rPr>
          <w:rFonts w:ascii="Trebuchet MS"/>
          <w:color w:val="231F20"/>
          <w:spacing w:val="-2"/>
          <w:w w:val="105"/>
          <w:sz w:val="14"/>
        </w:rPr>
        <w:t>activities</w:t>
      </w:r>
      <w:r>
        <w:rPr>
          <w:rFonts w:ascii="Trebuchet MS"/>
          <w:color w:val="231F20"/>
          <w:sz w:val="14"/>
        </w:rPr>
        <w:tab/>
      </w:r>
      <w:r>
        <w:rPr>
          <w:rFonts w:ascii="Trebuchet MS"/>
          <w:color w:val="231F20"/>
          <w:w w:val="105"/>
          <w:sz w:val="14"/>
        </w:rPr>
        <w:t>Entertainment</w:t>
      </w:r>
      <w:r>
        <w:rPr>
          <w:rFonts w:ascii="Trebuchet MS"/>
          <w:color w:val="231F20"/>
          <w:spacing w:val="7"/>
          <w:w w:val="105"/>
          <w:sz w:val="14"/>
        </w:rPr>
        <w:t xml:space="preserve"> </w:t>
      </w:r>
      <w:r>
        <w:rPr>
          <w:rFonts w:ascii="Trebuchet MS"/>
          <w:color w:val="231F20"/>
          <w:w w:val="105"/>
          <w:sz w:val="14"/>
        </w:rPr>
        <w:t>and</w:t>
      </w:r>
      <w:r>
        <w:rPr>
          <w:rFonts w:ascii="Trebuchet MS"/>
          <w:color w:val="231F20"/>
          <w:spacing w:val="8"/>
          <w:w w:val="105"/>
          <w:sz w:val="14"/>
        </w:rPr>
        <w:t xml:space="preserve"> </w:t>
      </w:r>
      <w:r>
        <w:rPr>
          <w:rFonts w:ascii="Trebuchet MS"/>
          <w:color w:val="231F20"/>
          <w:spacing w:val="-2"/>
          <w:w w:val="105"/>
          <w:sz w:val="14"/>
        </w:rPr>
        <w:t>activities</w:t>
      </w:r>
    </w:p>
    <w:p w14:paraId="7992340B" w14:textId="77777777" w:rsidR="00AE0598" w:rsidRDefault="00AE0598">
      <w:pPr>
        <w:rPr>
          <w:rFonts w:ascii="Trebuchet MS"/>
          <w:sz w:val="14"/>
        </w:rPr>
        <w:sectPr w:rsidR="00AE0598">
          <w:type w:val="continuous"/>
          <w:pgSz w:w="8850" w:h="13270"/>
          <w:pgMar w:top="1080" w:right="1060" w:bottom="280" w:left="1080" w:header="720" w:footer="720" w:gutter="0"/>
          <w:cols w:space="720"/>
        </w:sectPr>
      </w:pPr>
    </w:p>
    <w:p w14:paraId="78E38939" w14:textId="77777777" w:rsidR="00AE0598" w:rsidRDefault="0069255A">
      <w:pPr>
        <w:spacing w:before="105" w:line="235" w:lineRule="auto"/>
        <w:ind w:left="110"/>
        <w:rPr>
          <w:rFonts w:ascii="Trebuchet MS"/>
          <w:sz w:val="14"/>
        </w:rPr>
      </w:pPr>
      <w:r>
        <w:rPr>
          <w:rFonts w:ascii="Trebuchet MS"/>
          <w:color w:val="231F20"/>
          <w:sz w:val="14"/>
        </w:rPr>
        <w:t>Attractions, casinos, cinemas, zoos, shopping, nightlife, nightclubs</w:t>
      </w:r>
    </w:p>
    <w:p w14:paraId="4C143A08" w14:textId="77777777" w:rsidR="00AE0598" w:rsidRDefault="0069255A">
      <w:pPr>
        <w:spacing w:before="105" w:line="235" w:lineRule="auto"/>
        <w:ind w:left="110" w:right="324"/>
        <w:rPr>
          <w:rFonts w:ascii="Trebuchet MS"/>
          <w:sz w:val="14"/>
        </w:rPr>
      </w:pPr>
      <w:r>
        <w:br w:type="column"/>
      </w:r>
      <w:r>
        <w:rPr>
          <w:rFonts w:ascii="Trebuchet MS"/>
          <w:color w:val="231F20"/>
          <w:sz w:val="14"/>
        </w:rPr>
        <w:t>Sports halls and venues (ice rinks, leisure centres, gymnasiums, swimming pools, climbing walls), golf</w:t>
      </w:r>
      <w:r>
        <w:rPr>
          <w:rFonts w:ascii="Trebuchet MS"/>
          <w:color w:val="231F20"/>
          <w:spacing w:val="40"/>
          <w:sz w:val="14"/>
        </w:rPr>
        <w:t xml:space="preserve"> </w:t>
      </w:r>
      <w:r>
        <w:rPr>
          <w:rFonts w:ascii="Trebuchet MS"/>
          <w:color w:val="231F20"/>
          <w:sz w:val="14"/>
        </w:rPr>
        <w:t>courses, marinas, sports museums, halls of fame, shopping,</w:t>
      </w:r>
      <w:r>
        <w:rPr>
          <w:rFonts w:ascii="Trebuchet MS"/>
          <w:color w:val="231F20"/>
          <w:spacing w:val="-7"/>
          <w:sz w:val="14"/>
        </w:rPr>
        <w:t xml:space="preserve"> </w:t>
      </w:r>
      <w:r>
        <w:rPr>
          <w:rFonts w:ascii="Trebuchet MS"/>
          <w:color w:val="231F20"/>
          <w:sz w:val="14"/>
        </w:rPr>
        <w:t>nightlife</w:t>
      </w:r>
    </w:p>
    <w:p w14:paraId="3F031528" w14:textId="77777777" w:rsidR="00AE0598" w:rsidRDefault="00AE0598">
      <w:pPr>
        <w:spacing w:line="235" w:lineRule="auto"/>
        <w:rPr>
          <w:rFonts w:ascii="Trebuchet MS"/>
          <w:sz w:val="14"/>
        </w:rPr>
        <w:sectPr w:rsidR="00AE0598">
          <w:type w:val="continuous"/>
          <w:pgSz w:w="8850" w:h="13270"/>
          <w:pgMar w:top="1080" w:right="1060" w:bottom="280" w:left="1080" w:header="720" w:footer="720" w:gutter="0"/>
          <w:cols w:num="2" w:space="720" w:equalWidth="0">
            <w:col w:w="2505" w:space="315"/>
            <w:col w:w="3890"/>
          </w:cols>
        </w:sectPr>
      </w:pPr>
    </w:p>
    <w:p w14:paraId="744F679C" w14:textId="77777777" w:rsidR="00AE0598" w:rsidRDefault="00AE0598">
      <w:pPr>
        <w:pStyle w:val="Corpodetexto"/>
        <w:spacing w:before="2"/>
        <w:rPr>
          <w:rFonts w:ascii="Trebuchet MS"/>
          <w:sz w:val="4"/>
        </w:rPr>
      </w:pPr>
    </w:p>
    <w:p w14:paraId="2546C1D6" w14:textId="4CB7C58F" w:rsidR="00AE0598" w:rsidRDefault="0069255A">
      <w:pPr>
        <w:pStyle w:val="Corpodetexto"/>
        <w:spacing w:line="20" w:lineRule="exact"/>
        <w:ind w:left="107"/>
        <w:rPr>
          <w:rFonts w:ascii="Trebuchet MS"/>
          <w:sz w:val="2"/>
        </w:rPr>
      </w:pPr>
      <w:r>
        <w:rPr>
          <w:rFonts w:ascii="Trebuchet MS"/>
          <w:noProof/>
          <w:sz w:val="2"/>
        </w:rPr>
        <mc:AlternateContent>
          <mc:Choice Requires="wpg">
            <w:drawing>
              <wp:inline distT="0" distB="0" distL="0" distR="0" wp14:anchorId="7DB4B088" wp14:editId="1BDEC852">
                <wp:extent cx="4097655" cy="3175"/>
                <wp:effectExtent l="10795" t="10160" r="6350" b="5715"/>
                <wp:docPr id="161" name="docshapegroup2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097655" cy="3175"/>
                          <a:chOff x="0" y="0"/>
                          <a:chExt cx="6453" cy="5"/>
                        </a:xfrm>
                      </wpg:grpSpPr>
                      <wps:wsp>
                        <wps:cNvPr id="162" name="docshape207"/>
                        <wps:cNvSpPr>
                          <a:spLocks/>
                        </wps:cNvSpPr>
                        <wps:spPr bwMode="auto">
                          <a:xfrm>
                            <a:off x="0" y="2"/>
                            <a:ext cx="6453" cy="2"/>
                          </a:xfrm>
                          <a:custGeom>
                            <a:avLst/>
                            <a:gdLst>
                              <a:gd name="T0" fmla="*/ 0 w 6453"/>
                              <a:gd name="T1" fmla="*/ 2820 w 6453"/>
                              <a:gd name="T2" fmla="*/ 2820 w 6453"/>
                              <a:gd name="T3" fmla="*/ 6453 w 6453"/>
                            </a:gdLst>
                            <a:ahLst/>
                            <a:cxnLst>
                              <a:cxn ang="0">
                                <a:pos x="T0" y="0"/>
                              </a:cxn>
                              <a:cxn ang="0">
                                <a:pos x="T1" y="0"/>
                              </a:cxn>
                              <a:cxn ang="0">
                                <a:pos x="T2" y="0"/>
                              </a:cxn>
                              <a:cxn ang="0">
                                <a:pos x="T3" y="0"/>
                              </a:cxn>
                            </a:cxnLst>
                            <a:rect l="0" t="0" r="r" b="b"/>
                            <a:pathLst>
                              <a:path w="6453">
                                <a:moveTo>
                                  <a:pt x="0" y="0"/>
                                </a:moveTo>
                                <a:lnTo>
                                  <a:pt x="2820" y="0"/>
                                </a:lnTo>
                                <a:moveTo>
                                  <a:pt x="2820" y="0"/>
                                </a:moveTo>
                                <a:lnTo>
                                  <a:pt x="6453" y="0"/>
                                </a:lnTo>
                              </a:path>
                            </a:pathLst>
                          </a:custGeom>
                          <a:noFill/>
                          <a:ln w="3175">
                            <a:solidFill>
                              <a:srgbClr val="231F2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079FEBCE" id="docshapegroup206" o:spid="_x0000_s1026" style="width:322.65pt;height:.25pt;mso-position-horizontal-relative:char;mso-position-vertical-relative:line" coordsize="64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">
                <v:shape id="docshape207" o:spid="_x0000_s1027" style="position:absolute;top:2;width:6453;height:2;visibility:visible;mso-wrap-style:square;v-text-anchor:top" coordsize="64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" path="m,l2820,t,l6453,e" filled="f" strokecolor="#231f20" strokeweight=".25pt">
                  <v:path arrowok="t" o:connecttype="custom" o:connectlocs="0,0;2820,0;2820,0;6453,0" o:connectangles="0,0,0,0"/>
                </v:shape>
                <w10:anchorlock/>
              </v:group>
            </w:pict>
          </mc:Fallback>
        </mc:AlternateContent>
      </w:r>
    </w:p>
    <w:p w14:paraId="2686F374" w14:textId="77777777" w:rsidR="00AE0598" w:rsidRDefault="0069255A">
      <w:pPr>
        <w:spacing w:before="134"/>
        <w:ind w:left="110"/>
        <w:jc w:val="both"/>
        <w:rPr>
          <w:rFonts w:ascii="Trebuchet MS"/>
          <w:sz w:val="14"/>
        </w:rPr>
      </w:pPr>
      <w:r>
        <w:rPr>
          <w:rFonts w:ascii="Trebuchet MS"/>
          <w:color w:val="231F20"/>
          <w:w w:val="105"/>
          <w:sz w:val="14"/>
        </w:rPr>
        <w:t>Source:</w:t>
      </w:r>
      <w:r>
        <w:rPr>
          <w:rFonts w:ascii="Trebuchet MS"/>
          <w:color w:val="231F20"/>
          <w:spacing w:val="6"/>
          <w:w w:val="105"/>
          <w:sz w:val="14"/>
        </w:rPr>
        <w:t xml:space="preserve"> </w:t>
      </w:r>
      <w:r>
        <w:rPr>
          <w:rFonts w:ascii="Trebuchet MS"/>
          <w:color w:val="231F20"/>
          <w:w w:val="105"/>
          <w:sz w:val="14"/>
        </w:rPr>
        <w:t>Adapted</w:t>
      </w:r>
      <w:r>
        <w:rPr>
          <w:rFonts w:ascii="Trebuchet MS"/>
          <w:color w:val="231F20"/>
          <w:spacing w:val="7"/>
          <w:w w:val="105"/>
          <w:sz w:val="14"/>
        </w:rPr>
        <w:t xml:space="preserve"> </w:t>
      </w:r>
      <w:r>
        <w:rPr>
          <w:rFonts w:ascii="Trebuchet MS"/>
          <w:color w:val="231F20"/>
          <w:w w:val="105"/>
          <w:sz w:val="14"/>
        </w:rPr>
        <w:t>from</w:t>
      </w:r>
      <w:r>
        <w:rPr>
          <w:rFonts w:ascii="Trebuchet MS"/>
          <w:color w:val="231F20"/>
          <w:spacing w:val="6"/>
          <w:w w:val="105"/>
          <w:sz w:val="14"/>
        </w:rPr>
        <w:t xml:space="preserve"> </w:t>
      </w:r>
      <w:r>
        <w:rPr>
          <w:rFonts w:ascii="Trebuchet MS"/>
          <w:color w:val="231F20"/>
          <w:w w:val="105"/>
          <w:sz w:val="14"/>
        </w:rPr>
        <w:t>Standeven</w:t>
      </w:r>
      <w:r>
        <w:rPr>
          <w:rFonts w:ascii="Trebuchet MS"/>
          <w:color w:val="231F20"/>
          <w:spacing w:val="7"/>
          <w:w w:val="105"/>
          <w:sz w:val="14"/>
        </w:rPr>
        <w:t xml:space="preserve"> </w:t>
      </w:r>
      <w:r>
        <w:rPr>
          <w:rFonts w:ascii="Trebuchet MS"/>
          <w:color w:val="231F20"/>
          <w:w w:val="105"/>
          <w:sz w:val="14"/>
        </w:rPr>
        <w:t>and</w:t>
      </w:r>
      <w:r>
        <w:rPr>
          <w:rFonts w:ascii="Trebuchet MS"/>
          <w:color w:val="231F20"/>
          <w:spacing w:val="7"/>
          <w:w w:val="105"/>
          <w:sz w:val="14"/>
        </w:rPr>
        <w:t xml:space="preserve"> </w:t>
      </w:r>
      <w:r>
        <w:rPr>
          <w:rFonts w:ascii="Trebuchet MS"/>
          <w:color w:val="231F20"/>
          <w:w w:val="105"/>
          <w:sz w:val="14"/>
        </w:rPr>
        <w:t>De</w:t>
      </w:r>
      <w:r>
        <w:rPr>
          <w:rFonts w:ascii="Trebuchet MS"/>
          <w:color w:val="231F20"/>
          <w:spacing w:val="6"/>
          <w:w w:val="105"/>
          <w:sz w:val="14"/>
        </w:rPr>
        <w:t xml:space="preserve"> </w:t>
      </w:r>
      <w:r>
        <w:rPr>
          <w:rFonts w:ascii="Trebuchet MS"/>
          <w:color w:val="231F20"/>
          <w:w w:val="105"/>
          <w:sz w:val="14"/>
        </w:rPr>
        <w:t>Knop</w:t>
      </w:r>
      <w:r>
        <w:rPr>
          <w:rFonts w:ascii="Trebuchet MS"/>
          <w:color w:val="231F20"/>
          <w:spacing w:val="7"/>
          <w:w w:val="105"/>
          <w:sz w:val="14"/>
        </w:rPr>
        <w:t xml:space="preserve"> </w:t>
      </w:r>
      <w:r>
        <w:rPr>
          <w:rFonts w:ascii="Trebuchet MS"/>
          <w:color w:val="231F20"/>
          <w:spacing w:val="-2"/>
          <w:w w:val="105"/>
          <w:sz w:val="14"/>
        </w:rPr>
        <w:t>(1999).</w:t>
      </w:r>
    </w:p>
    <w:p w14:paraId="22367246" w14:textId="77777777" w:rsidR="00AE0598" w:rsidRDefault="00AE0598">
      <w:pPr>
        <w:pStyle w:val="Corpodetexto"/>
        <w:spacing w:before="6"/>
        <w:rPr>
          <w:rFonts w:ascii="Trebuchet MS"/>
          <w:sz w:val="14"/>
        </w:rPr>
      </w:pPr>
    </w:p>
    <w:p w14:paraId="1DCAA5B3" w14:textId="77777777" w:rsidR="00AE0598" w:rsidRDefault="0069255A">
      <w:pPr>
        <w:pStyle w:val="Corpodetexto"/>
        <w:spacing w:line="232" w:lineRule="auto"/>
        <w:ind w:left="110" w:right="125"/>
        <w:jc w:val="both"/>
      </w:pPr>
      <w:r>
        <w:rPr>
          <w:color w:val="231F20"/>
        </w:rPr>
        <w:t>Event sport tourism, for example, offers the potential for the inner-city resource base for sport, recreation, entertainment, retail and service to be transformed in a planned and coordinated manner. This course of strategic</w:t>
      </w:r>
      <w:r>
        <w:rPr>
          <w:color w:val="231F20"/>
          <w:spacing w:val="-1"/>
        </w:rPr>
        <w:t xml:space="preserve"> </w:t>
      </w:r>
      <w:r>
        <w:rPr>
          <w:color w:val="231F20"/>
        </w:rPr>
        <w:t>development</w:t>
      </w:r>
      <w:r>
        <w:rPr>
          <w:color w:val="231F20"/>
          <w:spacing w:val="-1"/>
        </w:rPr>
        <w:t xml:space="preserve"> </w:t>
      </w:r>
      <w:r>
        <w:rPr>
          <w:color w:val="231F20"/>
        </w:rPr>
        <w:t>may</w:t>
      </w:r>
      <w:r>
        <w:rPr>
          <w:color w:val="231F20"/>
          <w:spacing w:val="-1"/>
        </w:rPr>
        <w:t xml:space="preserve"> </w:t>
      </w:r>
      <w:r>
        <w:rPr>
          <w:color w:val="231F20"/>
        </w:rPr>
        <w:t>generate</w:t>
      </w:r>
      <w:r>
        <w:rPr>
          <w:color w:val="231F20"/>
          <w:spacing w:val="-1"/>
        </w:rPr>
        <w:t xml:space="preserve"> </w:t>
      </w:r>
      <w:r>
        <w:rPr>
          <w:color w:val="231F20"/>
        </w:rPr>
        <w:t>the</w:t>
      </w:r>
      <w:r>
        <w:rPr>
          <w:color w:val="231F20"/>
          <w:spacing w:val="-1"/>
        </w:rPr>
        <w:t xml:space="preserve"> </w:t>
      </w:r>
      <w:r>
        <w:rPr>
          <w:color w:val="231F20"/>
        </w:rPr>
        <w:t>ad</w:t>
      </w:r>
      <w:r>
        <w:rPr>
          <w:color w:val="231F20"/>
        </w:rPr>
        <w:t>vantages</w:t>
      </w:r>
      <w:r>
        <w:rPr>
          <w:color w:val="231F20"/>
          <w:spacing w:val="-1"/>
        </w:rPr>
        <w:t xml:space="preserve"> </w:t>
      </w:r>
      <w:r>
        <w:rPr>
          <w:color w:val="231F20"/>
        </w:rPr>
        <w:t>of</w:t>
      </w:r>
      <w:r>
        <w:rPr>
          <w:color w:val="231F20"/>
          <w:spacing w:val="-1"/>
        </w:rPr>
        <w:t xml:space="preserve"> </w:t>
      </w:r>
      <w:r>
        <w:rPr>
          <w:color w:val="231F20"/>
        </w:rPr>
        <w:t>enhanced</w:t>
      </w:r>
      <w:r>
        <w:rPr>
          <w:color w:val="231F20"/>
          <w:spacing w:val="-1"/>
        </w:rPr>
        <w:t xml:space="preserve"> </w:t>
      </w:r>
      <w:r>
        <w:rPr>
          <w:color w:val="231F20"/>
        </w:rPr>
        <w:t>profile and destination image vis-à-vis sport tourism, thereby improving the standing of the destination in the hierarchy of sport tourism locations (see</w:t>
      </w:r>
      <w:r>
        <w:rPr>
          <w:color w:val="231F20"/>
          <w:spacing w:val="-3"/>
        </w:rPr>
        <w:t xml:space="preserve"> </w:t>
      </w:r>
      <w:r>
        <w:rPr>
          <w:color w:val="231F20"/>
        </w:rPr>
        <w:t>Chapter</w:t>
      </w:r>
      <w:r>
        <w:rPr>
          <w:color w:val="231F20"/>
          <w:spacing w:val="-3"/>
        </w:rPr>
        <w:t xml:space="preserve"> </w:t>
      </w:r>
      <w:r>
        <w:rPr>
          <w:color w:val="231F20"/>
        </w:rPr>
        <w:t>5).</w:t>
      </w:r>
      <w:r>
        <w:rPr>
          <w:color w:val="231F20"/>
          <w:spacing w:val="-3"/>
        </w:rPr>
        <w:t xml:space="preserve"> </w:t>
      </w:r>
      <w:r>
        <w:rPr>
          <w:color w:val="231F20"/>
        </w:rPr>
        <w:t>The</w:t>
      </w:r>
      <w:r>
        <w:rPr>
          <w:color w:val="231F20"/>
          <w:spacing w:val="-3"/>
        </w:rPr>
        <w:t xml:space="preserve"> </w:t>
      </w:r>
      <w:r>
        <w:rPr>
          <w:color w:val="231F20"/>
        </w:rPr>
        <w:t>status</w:t>
      </w:r>
      <w:r>
        <w:rPr>
          <w:color w:val="231F20"/>
          <w:spacing w:val="-3"/>
        </w:rPr>
        <w:t xml:space="preserve"> </w:t>
      </w:r>
      <w:r>
        <w:rPr>
          <w:color w:val="231F20"/>
        </w:rPr>
        <w:t>of</w:t>
      </w:r>
      <w:r>
        <w:rPr>
          <w:color w:val="231F20"/>
          <w:spacing w:val="-3"/>
        </w:rPr>
        <w:t xml:space="preserve"> </w:t>
      </w:r>
      <w:r>
        <w:rPr>
          <w:color w:val="231F20"/>
        </w:rPr>
        <w:t>a</w:t>
      </w:r>
      <w:r>
        <w:rPr>
          <w:color w:val="231F20"/>
          <w:spacing w:val="-3"/>
        </w:rPr>
        <w:t xml:space="preserve"> </w:t>
      </w:r>
      <w:r>
        <w:rPr>
          <w:color w:val="231F20"/>
        </w:rPr>
        <w:t>ski</w:t>
      </w:r>
      <w:r>
        <w:rPr>
          <w:color w:val="231F20"/>
          <w:spacing w:val="-3"/>
        </w:rPr>
        <w:t xml:space="preserve"> </w:t>
      </w:r>
      <w:r>
        <w:rPr>
          <w:color w:val="231F20"/>
        </w:rPr>
        <w:t>destination,</w:t>
      </w:r>
      <w:r>
        <w:rPr>
          <w:color w:val="231F20"/>
          <w:spacing w:val="-3"/>
        </w:rPr>
        <w:t xml:space="preserve"> </w:t>
      </w:r>
      <w:r>
        <w:rPr>
          <w:color w:val="231F20"/>
        </w:rPr>
        <w:t>for</w:t>
      </w:r>
      <w:r>
        <w:rPr>
          <w:color w:val="231F20"/>
          <w:spacing w:val="-3"/>
        </w:rPr>
        <w:t xml:space="preserve"> </w:t>
      </w:r>
      <w:r>
        <w:rPr>
          <w:color w:val="231F20"/>
        </w:rPr>
        <w:t>example,</w:t>
      </w:r>
      <w:r>
        <w:rPr>
          <w:color w:val="231F20"/>
          <w:spacing w:val="-3"/>
        </w:rPr>
        <w:t xml:space="preserve"> </w:t>
      </w:r>
      <w:r>
        <w:rPr>
          <w:color w:val="231F20"/>
        </w:rPr>
        <w:t>is</w:t>
      </w:r>
      <w:r>
        <w:rPr>
          <w:color w:val="231F20"/>
          <w:spacing w:val="-3"/>
        </w:rPr>
        <w:t xml:space="preserve"> </w:t>
      </w:r>
      <w:r>
        <w:rPr>
          <w:color w:val="231F20"/>
        </w:rPr>
        <w:t>a</w:t>
      </w:r>
      <w:r>
        <w:rPr>
          <w:color w:val="231F20"/>
          <w:spacing w:val="-3"/>
        </w:rPr>
        <w:t xml:space="preserve"> </w:t>
      </w:r>
      <w:r>
        <w:rPr>
          <w:color w:val="231F20"/>
        </w:rPr>
        <w:t>function of high-q</w:t>
      </w:r>
      <w:r>
        <w:rPr>
          <w:color w:val="231F20"/>
        </w:rPr>
        <w:t xml:space="preserve">uality ski resources (e.g. terrain, elevation, snow conditions, weather), in combination with the required tourism services and </w:t>
      </w:r>
      <w:r>
        <w:rPr>
          <w:color w:val="231F20"/>
          <w:spacing w:val="-2"/>
        </w:rPr>
        <w:t>infrastructure.</w:t>
      </w:r>
    </w:p>
    <w:p w14:paraId="02437556" w14:textId="77777777" w:rsidR="00AE0598" w:rsidRDefault="00AE0598">
      <w:pPr>
        <w:spacing w:line="232" w:lineRule="auto"/>
        <w:jc w:val="both"/>
        <w:sectPr w:rsidR="00AE0598">
          <w:type w:val="continuous"/>
          <w:pgSz w:w="8850" w:h="13270"/>
          <w:pgMar w:top="1080" w:right="1060" w:bottom="280" w:left="1080" w:header="720" w:footer="720" w:gutter="0"/>
          <w:cols w:space="720"/>
        </w:sectPr>
      </w:pPr>
    </w:p>
    <w:p w14:paraId="70F90548" w14:textId="77777777" w:rsidR="00AE0598" w:rsidRDefault="0069255A">
      <w:pPr>
        <w:spacing w:before="87"/>
        <w:ind w:left="108"/>
        <w:rPr>
          <w:rFonts w:ascii="Trebuchet MS"/>
          <w:sz w:val="14"/>
        </w:rPr>
      </w:pPr>
      <w:r>
        <w:rPr>
          <w:rFonts w:ascii="Trebuchet MS"/>
          <w:color w:val="231F20"/>
          <w:w w:val="105"/>
          <w:sz w:val="14"/>
        </w:rPr>
        <w:lastRenderedPageBreak/>
        <w:t>138</w:t>
      </w:r>
      <w:r>
        <w:rPr>
          <w:rFonts w:ascii="Trebuchet MS"/>
          <w:color w:val="231F20"/>
          <w:spacing w:val="66"/>
          <w:w w:val="150"/>
          <w:sz w:val="14"/>
        </w:rPr>
        <w:t xml:space="preserve"> </w:t>
      </w:r>
      <w:r>
        <w:rPr>
          <w:rFonts w:ascii="Trebuchet MS"/>
          <w:color w:val="231F20"/>
          <w:w w:val="105"/>
          <w:sz w:val="14"/>
        </w:rPr>
        <w:t>Part</w:t>
      </w:r>
      <w:r>
        <w:rPr>
          <w:rFonts w:ascii="Trebuchet MS"/>
          <w:color w:val="231F20"/>
          <w:spacing w:val="-9"/>
          <w:w w:val="105"/>
          <w:sz w:val="14"/>
        </w:rPr>
        <w:t xml:space="preserve"> </w:t>
      </w:r>
      <w:r>
        <w:rPr>
          <w:rFonts w:ascii="Trebuchet MS"/>
          <w:color w:val="231F20"/>
          <w:w w:val="105"/>
          <w:sz w:val="14"/>
        </w:rPr>
        <w:t>3:</w:t>
      </w:r>
      <w:r>
        <w:rPr>
          <w:rFonts w:ascii="Trebuchet MS"/>
          <w:color w:val="231F20"/>
          <w:spacing w:val="-8"/>
          <w:w w:val="105"/>
          <w:sz w:val="14"/>
        </w:rPr>
        <w:t xml:space="preserve"> </w:t>
      </w:r>
      <w:r>
        <w:rPr>
          <w:rFonts w:ascii="Trebuchet MS"/>
          <w:color w:val="231F20"/>
          <w:w w:val="105"/>
          <w:sz w:val="14"/>
        </w:rPr>
        <w:t>Sport</w:t>
      </w:r>
      <w:r>
        <w:rPr>
          <w:rFonts w:ascii="Trebuchet MS"/>
          <w:color w:val="231F20"/>
          <w:spacing w:val="-9"/>
          <w:w w:val="105"/>
          <w:sz w:val="14"/>
        </w:rPr>
        <w:t xml:space="preserve"> </w:t>
      </w:r>
      <w:r>
        <w:rPr>
          <w:rFonts w:ascii="Trebuchet MS"/>
          <w:color w:val="231F20"/>
          <w:w w:val="105"/>
          <w:sz w:val="14"/>
        </w:rPr>
        <w:t>Tourism</w:t>
      </w:r>
      <w:r>
        <w:rPr>
          <w:rFonts w:ascii="Trebuchet MS"/>
          <w:color w:val="231F20"/>
          <w:spacing w:val="-9"/>
          <w:w w:val="105"/>
          <w:sz w:val="14"/>
        </w:rPr>
        <w:t xml:space="preserve"> </w:t>
      </w:r>
      <w:r>
        <w:rPr>
          <w:rFonts w:ascii="Trebuchet MS"/>
          <w:color w:val="231F20"/>
          <w:w w:val="105"/>
          <w:sz w:val="14"/>
        </w:rPr>
        <w:t>Development</w:t>
      </w:r>
      <w:r>
        <w:rPr>
          <w:rFonts w:ascii="Trebuchet MS"/>
          <w:color w:val="231F20"/>
          <w:spacing w:val="-9"/>
          <w:w w:val="105"/>
          <w:sz w:val="14"/>
        </w:rPr>
        <w:t xml:space="preserve"> </w:t>
      </w:r>
      <w:r>
        <w:rPr>
          <w:rFonts w:ascii="Trebuchet MS"/>
          <w:color w:val="231F20"/>
          <w:w w:val="105"/>
          <w:sz w:val="14"/>
        </w:rPr>
        <w:t>and</w:t>
      </w:r>
      <w:r>
        <w:rPr>
          <w:rFonts w:ascii="Trebuchet MS"/>
          <w:color w:val="231F20"/>
          <w:spacing w:val="-8"/>
          <w:w w:val="105"/>
          <w:sz w:val="14"/>
        </w:rPr>
        <w:t xml:space="preserve"> </w:t>
      </w:r>
      <w:r>
        <w:rPr>
          <w:rFonts w:ascii="Trebuchet MS"/>
          <w:color w:val="231F20"/>
          <w:spacing w:val="-2"/>
          <w:w w:val="105"/>
          <w:sz w:val="14"/>
        </w:rPr>
        <w:t>Space</w:t>
      </w:r>
    </w:p>
    <w:p w14:paraId="1C4C9F56" w14:textId="77777777" w:rsidR="00AE0598" w:rsidRDefault="00AE0598">
      <w:pPr>
        <w:pStyle w:val="Corpodetexto"/>
        <w:rPr>
          <w:rFonts w:ascii="Trebuchet MS"/>
          <w:sz w:val="16"/>
        </w:rPr>
      </w:pPr>
    </w:p>
    <w:p w14:paraId="42895A51" w14:textId="77777777" w:rsidR="00AE0598" w:rsidRDefault="0069255A">
      <w:pPr>
        <w:spacing w:before="120"/>
        <w:ind w:left="110"/>
        <w:rPr>
          <w:rFonts w:ascii="Trebuchet MS"/>
          <w:sz w:val="20"/>
        </w:rPr>
      </w:pPr>
      <w:r>
        <w:rPr>
          <w:rFonts w:ascii="Trebuchet MS"/>
          <w:color w:val="231F20"/>
          <w:sz w:val="20"/>
        </w:rPr>
        <w:t>The</w:t>
      </w:r>
      <w:r>
        <w:rPr>
          <w:rFonts w:ascii="Trebuchet MS"/>
          <w:color w:val="231F20"/>
          <w:spacing w:val="17"/>
          <w:sz w:val="20"/>
        </w:rPr>
        <w:t xml:space="preserve"> </w:t>
      </w:r>
      <w:r>
        <w:rPr>
          <w:rFonts w:ascii="Trebuchet MS"/>
          <w:color w:val="231F20"/>
          <w:sz w:val="20"/>
        </w:rPr>
        <w:t>reproducibility</w:t>
      </w:r>
      <w:r>
        <w:rPr>
          <w:rFonts w:ascii="Trebuchet MS"/>
          <w:color w:val="231F20"/>
          <w:spacing w:val="17"/>
          <w:sz w:val="20"/>
        </w:rPr>
        <w:t xml:space="preserve"> </w:t>
      </w:r>
      <w:r>
        <w:rPr>
          <w:rFonts w:ascii="Trebuchet MS"/>
          <w:color w:val="231F20"/>
          <w:sz w:val="20"/>
        </w:rPr>
        <w:t>of</w:t>
      </w:r>
      <w:r>
        <w:rPr>
          <w:rFonts w:ascii="Trebuchet MS"/>
          <w:color w:val="231F20"/>
          <w:spacing w:val="18"/>
          <w:sz w:val="20"/>
        </w:rPr>
        <w:t xml:space="preserve"> </w:t>
      </w:r>
      <w:r>
        <w:rPr>
          <w:rFonts w:ascii="Trebuchet MS"/>
          <w:color w:val="231F20"/>
          <w:spacing w:val="-2"/>
          <w:sz w:val="20"/>
        </w:rPr>
        <w:t>sports</w:t>
      </w:r>
    </w:p>
    <w:p w14:paraId="2A5AB87C" w14:textId="77777777" w:rsidR="00AE0598" w:rsidRDefault="0069255A">
      <w:pPr>
        <w:pStyle w:val="Corpodetexto"/>
        <w:spacing w:before="122" w:line="232" w:lineRule="auto"/>
        <w:ind w:left="110" w:right="126" w:firstLine="320"/>
        <w:jc w:val="both"/>
      </w:pPr>
      <w:r>
        <w:rPr>
          <w:color w:val="231F20"/>
        </w:rPr>
        <w:t xml:space="preserve">The tourism resource base may be classified in various ways. One </w:t>
      </w:r>
      <w:r>
        <w:rPr>
          <w:color w:val="231F20"/>
          <w:w w:val="95"/>
        </w:rPr>
        <w:t>approach draws on the distinction between those that can be reproduced,</w:t>
      </w:r>
      <w:r>
        <w:rPr>
          <w:color w:val="231F20"/>
          <w:spacing w:val="40"/>
        </w:rPr>
        <w:t xml:space="preserve"> </w:t>
      </w:r>
      <w:r>
        <w:rPr>
          <w:color w:val="231F20"/>
        </w:rPr>
        <w:t>or</w:t>
      </w:r>
      <w:r>
        <w:rPr>
          <w:color w:val="231F20"/>
          <w:spacing w:val="-6"/>
        </w:rPr>
        <w:t xml:space="preserve"> </w:t>
      </w:r>
      <w:r>
        <w:rPr>
          <w:color w:val="231F20"/>
        </w:rPr>
        <w:t>transported,</w:t>
      </w:r>
      <w:r>
        <w:rPr>
          <w:color w:val="231F20"/>
          <w:spacing w:val="-6"/>
        </w:rPr>
        <w:t xml:space="preserve"> </w:t>
      </w:r>
      <w:r>
        <w:rPr>
          <w:color w:val="231F20"/>
        </w:rPr>
        <w:t>and</w:t>
      </w:r>
      <w:r>
        <w:rPr>
          <w:color w:val="231F20"/>
          <w:spacing w:val="-6"/>
        </w:rPr>
        <w:t xml:space="preserve"> </w:t>
      </w:r>
      <w:r>
        <w:rPr>
          <w:color w:val="231F20"/>
        </w:rPr>
        <w:t>those</w:t>
      </w:r>
      <w:r>
        <w:rPr>
          <w:color w:val="231F20"/>
          <w:spacing w:val="-6"/>
        </w:rPr>
        <w:t xml:space="preserve"> </w:t>
      </w:r>
      <w:r>
        <w:rPr>
          <w:color w:val="231F20"/>
        </w:rPr>
        <w:t>that</w:t>
      </w:r>
      <w:r>
        <w:rPr>
          <w:color w:val="231F20"/>
          <w:spacing w:val="-6"/>
        </w:rPr>
        <w:t xml:space="preserve"> </w:t>
      </w:r>
      <w:r>
        <w:rPr>
          <w:color w:val="231F20"/>
        </w:rPr>
        <w:t>are</w:t>
      </w:r>
      <w:r>
        <w:rPr>
          <w:color w:val="231F20"/>
          <w:spacing w:val="-6"/>
        </w:rPr>
        <w:t xml:space="preserve"> </w:t>
      </w:r>
      <w:r>
        <w:rPr>
          <w:color w:val="231F20"/>
        </w:rPr>
        <w:t>non-reproducible</w:t>
      </w:r>
      <w:r>
        <w:rPr>
          <w:color w:val="231F20"/>
          <w:spacing w:val="-6"/>
        </w:rPr>
        <w:t xml:space="preserve"> </w:t>
      </w:r>
      <w:r>
        <w:rPr>
          <w:color w:val="231F20"/>
        </w:rPr>
        <w:t>(Boniface</w:t>
      </w:r>
      <w:r>
        <w:rPr>
          <w:color w:val="231F20"/>
          <w:spacing w:val="-6"/>
        </w:rPr>
        <w:t xml:space="preserve"> </w:t>
      </w:r>
      <w:r>
        <w:rPr>
          <w:color w:val="231F20"/>
        </w:rPr>
        <w:t>&amp;</w:t>
      </w:r>
      <w:r>
        <w:rPr>
          <w:color w:val="231F20"/>
          <w:spacing w:val="-6"/>
        </w:rPr>
        <w:t xml:space="preserve"> </w:t>
      </w:r>
      <w:r>
        <w:rPr>
          <w:color w:val="231F20"/>
        </w:rPr>
        <w:t xml:space="preserve">Cooper, </w:t>
      </w:r>
      <w:r>
        <w:rPr>
          <w:color w:val="231F20"/>
          <w:w w:val="90"/>
        </w:rPr>
        <w:t>1994). Resorts, theme parks and stadium experie</w:t>
      </w:r>
      <w:r>
        <w:rPr>
          <w:color w:val="231F20"/>
          <w:w w:val="90"/>
        </w:rPr>
        <w:t xml:space="preserve">nces are readily reproduced </w:t>
      </w:r>
      <w:r>
        <w:rPr>
          <w:color w:val="231F20"/>
        </w:rPr>
        <w:t xml:space="preserve">and can be developed in, or transmitted to, a variety of locations (Weed, </w:t>
      </w:r>
      <w:r>
        <w:rPr>
          <w:color w:val="231F20"/>
          <w:w w:val="95"/>
        </w:rPr>
        <w:t xml:space="preserve">2010). In contrast, natural landscapes and cultural heritage are generally </w:t>
      </w:r>
      <w:r>
        <w:rPr>
          <w:color w:val="231F20"/>
        </w:rPr>
        <w:t>non-reproducible, despite efforts to the contrary. Sports resources may also</w:t>
      </w:r>
      <w:r>
        <w:rPr>
          <w:color w:val="231F20"/>
          <w:spacing w:val="-4"/>
        </w:rPr>
        <w:t xml:space="preserve"> </w:t>
      </w:r>
      <w:r>
        <w:rPr>
          <w:color w:val="231F20"/>
        </w:rPr>
        <w:t>va</w:t>
      </w:r>
      <w:r>
        <w:rPr>
          <w:color w:val="231F20"/>
        </w:rPr>
        <w:t>ry</w:t>
      </w:r>
      <w:r>
        <w:rPr>
          <w:color w:val="231F20"/>
          <w:spacing w:val="-4"/>
        </w:rPr>
        <w:t xml:space="preserve"> </w:t>
      </w:r>
      <w:r>
        <w:rPr>
          <w:color w:val="231F20"/>
        </w:rPr>
        <w:t>on</w:t>
      </w:r>
      <w:r>
        <w:rPr>
          <w:color w:val="231F20"/>
          <w:spacing w:val="-4"/>
        </w:rPr>
        <w:t xml:space="preserve"> </w:t>
      </w:r>
      <w:r>
        <w:rPr>
          <w:color w:val="231F20"/>
        </w:rPr>
        <w:t>the</w:t>
      </w:r>
      <w:r>
        <w:rPr>
          <w:color w:val="231F20"/>
          <w:spacing w:val="-4"/>
        </w:rPr>
        <w:t xml:space="preserve"> </w:t>
      </w:r>
      <w:r>
        <w:rPr>
          <w:color w:val="231F20"/>
        </w:rPr>
        <w:t>basis</w:t>
      </w:r>
      <w:r>
        <w:rPr>
          <w:color w:val="231F20"/>
          <w:spacing w:val="-4"/>
        </w:rPr>
        <w:t xml:space="preserve"> </w:t>
      </w:r>
      <w:r>
        <w:rPr>
          <w:color w:val="231F20"/>
        </w:rPr>
        <w:t>of</w:t>
      </w:r>
      <w:r>
        <w:rPr>
          <w:color w:val="231F20"/>
          <w:spacing w:val="-4"/>
        </w:rPr>
        <w:t xml:space="preserve"> </w:t>
      </w:r>
      <w:r>
        <w:rPr>
          <w:color w:val="231F20"/>
        </w:rPr>
        <w:t>their</w:t>
      </w:r>
      <w:r>
        <w:rPr>
          <w:color w:val="231F20"/>
          <w:spacing w:val="-4"/>
        </w:rPr>
        <w:t xml:space="preserve"> </w:t>
      </w:r>
      <w:r>
        <w:rPr>
          <w:color w:val="231F20"/>
        </w:rPr>
        <w:t>transportability.</w:t>
      </w:r>
      <w:r>
        <w:rPr>
          <w:color w:val="231F20"/>
          <w:spacing w:val="-4"/>
        </w:rPr>
        <w:t xml:space="preserve"> </w:t>
      </w:r>
      <w:r>
        <w:rPr>
          <w:color w:val="231F20"/>
        </w:rPr>
        <w:t>Nature-based</w:t>
      </w:r>
      <w:r>
        <w:rPr>
          <w:color w:val="231F20"/>
          <w:spacing w:val="-4"/>
        </w:rPr>
        <w:t xml:space="preserve"> </w:t>
      </w:r>
      <w:r>
        <w:rPr>
          <w:color w:val="231F20"/>
        </w:rPr>
        <w:t>sports</w:t>
      </w:r>
      <w:r>
        <w:rPr>
          <w:color w:val="231F20"/>
          <w:spacing w:val="-4"/>
        </w:rPr>
        <w:t xml:space="preserve"> </w:t>
      </w:r>
      <w:r>
        <w:rPr>
          <w:color w:val="231F20"/>
        </w:rPr>
        <w:t xml:space="preserve">such </w:t>
      </w:r>
      <w:r>
        <w:rPr>
          <w:color w:val="231F20"/>
          <w:w w:val="95"/>
        </w:rPr>
        <w:t xml:space="preserve">as downhill skiing and rock climbing tend to be dependent on certain types </w:t>
      </w:r>
      <w:r>
        <w:rPr>
          <w:color w:val="231F20"/>
        </w:rPr>
        <w:t>of</w:t>
      </w:r>
      <w:r>
        <w:rPr>
          <w:color w:val="231F20"/>
          <w:spacing w:val="-2"/>
        </w:rPr>
        <w:t xml:space="preserve"> </w:t>
      </w:r>
      <w:r>
        <w:rPr>
          <w:color w:val="231F20"/>
        </w:rPr>
        <w:t>landscapes</w:t>
      </w:r>
      <w:r>
        <w:rPr>
          <w:color w:val="231F20"/>
          <w:spacing w:val="-2"/>
        </w:rPr>
        <w:t xml:space="preserve"> </w:t>
      </w:r>
      <w:r>
        <w:rPr>
          <w:color w:val="231F20"/>
        </w:rPr>
        <w:t>or</w:t>
      </w:r>
      <w:r>
        <w:rPr>
          <w:color w:val="231F20"/>
          <w:spacing w:val="-2"/>
        </w:rPr>
        <w:t xml:space="preserve"> </w:t>
      </w:r>
      <w:r>
        <w:rPr>
          <w:color w:val="231F20"/>
        </w:rPr>
        <w:t>specific</w:t>
      </w:r>
      <w:r>
        <w:rPr>
          <w:color w:val="231F20"/>
          <w:spacing w:val="-2"/>
        </w:rPr>
        <w:t xml:space="preserve"> </w:t>
      </w:r>
      <w:r>
        <w:rPr>
          <w:color w:val="231F20"/>
        </w:rPr>
        <w:t>landscape</w:t>
      </w:r>
      <w:r>
        <w:rPr>
          <w:color w:val="231F20"/>
          <w:spacing w:val="-2"/>
        </w:rPr>
        <w:t xml:space="preserve"> </w:t>
      </w:r>
      <w:r>
        <w:rPr>
          <w:color w:val="231F20"/>
        </w:rPr>
        <w:t>features.</w:t>
      </w:r>
      <w:r>
        <w:rPr>
          <w:color w:val="231F20"/>
          <w:spacing w:val="-2"/>
        </w:rPr>
        <w:t xml:space="preserve"> </w:t>
      </w:r>
      <w:r>
        <w:rPr>
          <w:color w:val="231F20"/>
        </w:rPr>
        <w:t>Attempts</w:t>
      </w:r>
      <w:r>
        <w:rPr>
          <w:color w:val="231F20"/>
          <w:spacing w:val="-2"/>
        </w:rPr>
        <w:t xml:space="preserve"> </w:t>
      </w:r>
      <w:r>
        <w:rPr>
          <w:color w:val="231F20"/>
        </w:rPr>
        <w:t>to</w:t>
      </w:r>
      <w:r>
        <w:rPr>
          <w:color w:val="231F20"/>
          <w:spacing w:val="-2"/>
        </w:rPr>
        <w:t xml:space="preserve"> </w:t>
      </w:r>
      <w:r>
        <w:rPr>
          <w:color w:val="231F20"/>
        </w:rPr>
        <w:t>create</w:t>
      </w:r>
      <w:r>
        <w:rPr>
          <w:color w:val="231F20"/>
          <w:spacing w:val="-2"/>
        </w:rPr>
        <w:t xml:space="preserve"> </w:t>
      </w:r>
      <w:r>
        <w:rPr>
          <w:color w:val="231F20"/>
        </w:rPr>
        <w:t xml:space="preserve">artificial </w:t>
      </w:r>
      <w:r>
        <w:rPr>
          <w:color w:val="231F20"/>
          <w:w w:val="95"/>
        </w:rPr>
        <w:t xml:space="preserve">ski slopes in central locations have met with moderate commercial success </w:t>
      </w:r>
      <w:r>
        <w:rPr>
          <w:color w:val="231F20"/>
        </w:rPr>
        <w:t xml:space="preserve">(see Chapter 10). The reason for this is that the experiential value of the </w:t>
      </w:r>
      <w:r>
        <w:rPr>
          <w:color w:val="231F20"/>
          <w:w w:val="95"/>
        </w:rPr>
        <w:t xml:space="preserve">mountain environment, which forms an important part of the participant </w:t>
      </w:r>
      <w:r>
        <w:rPr>
          <w:color w:val="231F20"/>
        </w:rPr>
        <w:t>experience for many sport tourists,</w:t>
      </w:r>
      <w:r>
        <w:rPr>
          <w:color w:val="231F20"/>
        </w:rPr>
        <w:t xml:space="preserve"> is not transportable (although </w:t>
      </w:r>
      <w:r>
        <w:rPr>
          <w:color w:val="231F20"/>
          <w:w w:val="95"/>
        </w:rPr>
        <w:t xml:space="preserve">spectators may dramatically experience alpine skiing through film media, </w:t>
      </w:r>
      <w:r>
        <w:rPr>
          <w:color w:val="231F20"/>
        </w:rPr>
        <w:t>such as the Banff Film Festival).</w:t>
      </w:r>
    </w:p>
    <w:p w14:paraId="75642577" w14:textId="77777777" w:rsidR="00AE0598" w:rsidRDefault="0069255A">
      <w:pPr>
        <w:pStyle w:val="Corpodetexto"/>
        <w:spacing w:before="20" w:line="232" w:lineRule="auto"/>
        <w:ind w:left="110" w:right="127" w:firstLine="320"/>
        <w:jc w:val="both"/>
      </w:pPr>
      <w:r>
        <w:rPr>
          <w:color w:val="231F20"/>
        </w:rPr>
        <w:t>The</w:t>
      </w:r>
      <w:r>
        <w:rPr>
          <w:color w:val="231F20"/>
          <w:spacing w:val="-1"/>
        </w:rPr>
        <w:t xml:space="preserve"> </w:t>
      </w:r>
      <w:r>
        <w:rPr>
          <w:color w:val="231F20"/>
        </w:rPr>
        <w:t>same</w:t>
      </w:r>
      <w:r>
        <w:rPr>
          <w:color w:val="231F20"/>
          <w:spacing w:val="-1"/>
        </w:rPr>
        <w:t xml:space="preserve"> </w:t>
      </w:r>
      <w:r>
        <w:rPr>
          <w:color w:val="231F20"/>
        </w:rPr>
        <w:t>is</w:t>
      </w:r>
      <w:r>
        <w:rPr>
          <w:color w:val="231F20"/>
          <w:spacing w:val="-1"/>
        </w:rPr>
        <w:t xml:space="preserve"> </w:t>
      </w:r>
      <w:r>
        <w:rPr>
          <w:color w:val="231F20"/>
        </w:rPr>
        <w:t>true</w:t>
      </w:r>
      <w:r>
        <w:rPr>
          <w:color w:val="231F20"/>
          <w:spacing w:val="-1"/>
        </w:rPr>
        <w:t xml:space="preserve"> </w:t>
      </w:r>
      <w:r>
        <w:rPr>
          <w:color w:val="231F20"/>
        </w:rPr>
        <w:t>of</w:t>
      </w:r>
      <w:r>
        <w:rPr>
          <w:color w:val="231F20"/>
          <w:spacing w:val="-1"/>
        </w:rPr>
        <w:t xml:space="preserve"> </w:t>
      </w:r>
      <w:r>
        <w:rPr>
          <w:color w:val="231F20"/>
        </w:rPr>
        <w:t>indoor</w:t>
      </w:r>
      <w:r>
        <w:rPr>
          <w:color w:val="231F20"/>
          <w:spacing w:val="-1"/>
        </w:rPr>
        <w:t xml:space="preserve"> </w:t>
      </w:r>
      <w:r>
        <w:rPr>
          <w:color w:val="231F20"/>
        </w:rPr>
        <w:t>climbing</w:t>
      </w:r>
      <w:r>
        <w:rPr>
          <w:color w:val="231F20"/>
          <w:spacing w:val="-1"/>
        </w:rPr>
        <w:t xml:space="preserve"> </w:t>
      </w:r>
      <w:r>
        <w:rPr>
          <w:color w:val="231F20"/>
        </w:rPr>
        <w:t>walls</w:t>
      </w:r>
      <w:r>
        <w:rPr>
          <w:color w:val="231F20"/>
          <w:spacing w:val="-1"/>
        </w:rPr>
        <w:t xml:space="preserve"> </w:t>
      </w:r>
      <w:r>
        <w:rPr>
          <w:color w:val="231F20"/>
        </w:rPr>
        <w:t>(Kulczycki</w:t>
      </w:r>
      <w:r>
        <w:rPr>
          <w:color w:val="231F20"/>
          <w:spacing w:val="-1"/>
        </w:rPr>
        <w:t xml:space="preserve"> </w:t>
      </w:r>
      <w:r>
        <w:rPr>
          <w:color w:val="231F20"/>
        </w:rPr>
        <w:t>&amp;</w:t>
      </w:r>
      <w:r>
        <w:rPr>
          <w:color w:val="231F20"/>
          <w:spacing w:val="-1"/>
        </w:rPr>
        <w:t xml:space="preserve"> </w:t>
      </w:r>
      <w:r>
        <w:rPr>
          <w:color w:val="231F20"/>
        </w:rPr>
        <w:t>Hinch,</w:t>
      </w:r>
      <w:r>
        <w:rPr>
          <w:color w:val="231F20"/>
          <w:spacing w:val="-1"/>
        </w:rPr>
        <w:t xml:space="preserve"> </w:t>
      </w:r>
      <w:r>
        <w:rPr>
          <w:color w:val="231F20"/>
        </w:rPr>
        <w:t>2014). While they present an exciting variation of rock</w:t>
      </w:r>
      <w:r>
        <w:rPr>
          <w:color w:val="231F20"/>
        </w:rPr>
        <w:t xml:space="preserve"> climbing, they cannot duplicate the unique challenge of outdoor climbing sites. Nature sports are</w:t>
      </w:r>
      <w:r>
        <w:rPr>
          <w:color w:val="231F20"/>
          <w:spacing w:val="-11"/>
        </w:rPr>
        <w:t xml:space="preserve"> </w:t>
      </w:r>
      <w:r>
        <w:rPr>
          <w:color w:val="231F20"/>
        </w:rPr>
        <w:t>those</w:t>
      </w:r>
      <w:r>
        <w:rPr>
          <w:color w:val="231F20"/>
          <w:spacing w:val="-11"/>
        </w:rPr>
        <w:t xml:space="preserve"> </w:t>
      </w:r>
      <w:r>
        <w:rPr>
          <w:color w:val="231F20"/>
        </w:rPr>
        <w:t>that</w:t>
      </w:r>
      <w:r>
        <w:rPr>
          <w:color w:val="231F20"/>
          <w:spacing w:val="-11"/>
        </w:rPr>
        <w:t xml:space="preserve"> </w:t>
      </w:r>
      <w:r>
        <w:rPr>
          <w:color w:val="231F20"/>
        </w:rPr>
        <w:t>are</w:t>
      </w:r>
      <w:r>
        <w:rPr>
          <w:color w:val="231F20"/>
          <w:spacing w:val="-11"/>
        </w:rPr>
        <w:t xml:space="preserve"> </w:t>
      </w:r>
      <w:r>
        <w:rPr>
          <w:color w:val="231F20"/>
        </w:rPr>
        <w:t>dependent</w:t>
      </w:r>
      <w:r>
        <w:rPr>
          <w:color w:val="231F20"/>
          <w:spacing w:val="-11"/>
        </w:rPr>
        <w:t xml:space="preserve"> </w:t>
      </w:r>
      <w:r>
        <w:rPr>
          <w:color w:val="231F20"/>
        </w:rPr>
        <w:t>on</w:t>
      </w:r>
      <w:r>
        <w:rPr>
          <w:color w:val="231F20"/>
          <w:spacing w:val="-11"/>
        </w:rPr>
        <w:t xml:space="preserve"> </w:t>
      </w:r>
      <w:r>
        <w:rPr>
          <w:color w:val="231F20"/>
        </w:rPr>
        <w:t>the</w:t>
      </w:r>
      <w:r>
        <w:rPr>
          <w:color w:val="231F20"/>
          <w:spacing w:val="-11"/>
        </w:rPr>
        <w:t xml:space="preserve"> </w:t>
      </w:r>
      <w:r>
        <w:rPr>
          <w:color w:val="231F20"/>
        </w:rPr>
        <w:t>integration</w:t>
      </w:r>
      <w:r>
        <w:rPr>
          <w:color w:val="231F20"/>
          <w:spacing w:val="-11"/>
        </w:rPr>
        <w:t xml:space="preserve"> </w:t>
      </w:r>
      <w:r>
        <w:rPr>
          <w:color w:val="231F20"/>
        </w:rPr>
        <w:t>of</w:t>
      </w:r>
      <w:r>
        <w:rPr>
          <w:color w:val="231F20"/>
          <w:spacing w:val="-11"/>
        </w:rPr>
        <w:t xml:space="preserve"> </w:t>
      </w:r>
      <w:r>
        <w:rPr>
          <w:color w:val="231F20"/>
        </w:rPr>
        <w:t>a</w:t>
      </w:r>
      <w:r>
        <w:rPr>
          <w:color w:val="231F20"/>
          <w:spacing w:val="-11"/>
        </w:rPr>
        <w:t xml:space="preserve"> </w:t>
      </w:r>
      <w:r>
        <w:rPr>
          <w:color w:val="231F20"/>
        </w:rPr>
        <w:t>physical</w:t>
      </w:r>
      <w:r>
        <w:rPr>
          <w:color w:val="231F20"/>
          <w:spacing w:val="-11"/>
        </w:rPr>
        <w:t xml:space="preserve"> </w:t>
      </w:r>
      <w:r>
        <w:rPr>
          <w:color w:val="231F20"/>
        </w:rPr>
        <w:t>activity</w:t>
      </w:r>
      <w:r>
        <w:rPr>
          <w:color w:val="231F20"/>
          <w:spacing w:val="-11"/>
        </w:rPr>
        <w:t xml:space="preserve"> </w:t>
      </w:r>
      <w:r>
        <w:rPr>
          <w:color w:val="231F20"/>
        </w:rPr>
        <w:t>with specific environmental attributes (Bale, 1989). Sports such as surfing, cross-country</w:t>
      </w:r>
      <w:r>
        <w:rPr>
          <w:color w:val="231F20"/>
        </w:rPr>
        <w:t xml:space="preserve"> skiing, windsurfing, sailing, mountain climbing and </w:t>
      </w:r>
      <w:r>
        <w:rPr>
          <w:color w:val="231F20"/>
          <w:w w:val="95"/>
        </w:rPr>
        <w:t xml:space="preserve">orienteering are examples of green sports, as they are built around specific </w:t>
      </w:r>
      <w:r>
        <w:rPr>
          <w:color w:val="231F20"/>
        </w:rPr>
        <w:t>features of the natural environment as sources of pleasure, challenge, competition or mastery. A case in point is the way that</w:t>
      </w:r>
      <w:r>
        <w:rPr>
          <w:color w:val="231F20"/>
        </w:rPr>
        <w:t xml:space="preserve"> hang gliding, </w:t>
      </w:r>
      <w:r>
        <w:rPr>
          <w:color w:val="231F20"/>
          <w:w w:val="95"/>
        </w:rPr>
        <w:t>parapenting</w:t>
      </w:r>
      <w:r>
        <w:rPr>
          <w:color w:val="231F20"/>
          <w:spacing w:val="17"/>
        </w:rPr>
        <w:t xml:space="preserve"> </w:t>
      </w:r>
      <w:r>
        <w:rPr>
          <w:color w:val="231F20"/>
          <w:w w:val="95"/>
        </w:rPr>
        <w:t>and</w:t>
      </w:r>
      <w:r>
        <w:rPr>
          <w:color w:val="231F20"/>
          <w:spacing w:val="17"/>
        </w:rPr>
        <w:t xml:space="preserve"> </w:t>
      </w:r>
      <w:r>
        <w:rPr>
          <w:color w:val="231F20"/>
          <w:w w:val="95"/>
        </w:rPr>
        <w:t>windsurfing</w:t>
      </w:r>
      <w:r>
        <w:rPr>
          <w:color w:val="231F20"/>
          <w:spacing w:val="17"/>
        </w:rPr>
        <w:t xml:space="preserve"> </w:t>
      </w:r>
      <w:r>
        <w:rPr>
          <w:color w:val="231F20"/>
          <w:w w:val="95"/>
        </w:rPr>
        <w:t>harness</w:t>
      </w:r>
      <w:r>
        <w:rPr>
          <w:color w:val="231F20"/>
          <w:spacing w:val="17"/>
        </w:rPr>
        <w:t xml:space="preserve"> </w:t>
      </w:r>
      <w:r>
        <w:rPr>
          <w:color w:val="231F20"/>
          <w:w w:val="95"/>
        </w:rPr>
        <w:t>the</w:t>
      </w:r>
      <w:r>
        <w:rPr>
          <w:color w:val="231F20"/>
          <w:spacing w:val="17"/>
        </w:rPr>
        <w:t xml:space="preserve"> </w:t>
      </w:r>
      <w:r>
        <w:rPr>
          <w:color w:val="231F20"/>
          <w:w w:val="95"/>
        </w:rPr>
        <w:t>natural</w:t>
      </w:r>
      <w:r>
        <w:rPr>
          <w:color w:val="231F20"/>
          <w:spacing w:val="17"/>
        </w:rPr>
        <w:t xml:space="preserve"> </w:t>
      </w:r>
      <w:r>
        <w:rPr>
          <w:color w:val="231F20"/>
          <w:w w:val="95"/>
        </w:rPr>
        <w:t>forces</w:t>
      </w:r>
      <w:r>
        <w:rPr>
          <w:color w:val="231F20"/>
          <w:spacing w:val="17"/>
        </w:rPr>
        <w:t xml:space="preserve"> </w:t>
      </w:r>
      <w:r>
        <w:rPr>
          <w:color w:val="231F20"/>
          <w:w w:val="95"/>
        </w:rPr>
        <w:t>of</w:t>
      </w:r>
      <w:r>
        <w:rPr>
          <w:color w:val="231F20"/>
          <w:spacing w:val="17"/>
        </w:rPr>
        <w:t xml:space="preserve"> </w:t>
      </w:r>
      <w:r>
        <w:rPr>
          <w:color w:val="231F20"/>
          <w:w w:val="95"/>
        </w:rPr>
        <w:t>air</w:t>
      </w:r>
      <w:r>
        <w:rPr>
          <w:color w:val="231F20"/>
          <w:spacing w:val="17"/>
        </w:rPr>
        <w:t xml:space="preserve"> </w:t>
      </w:r>
      <w:r>
        <w:rPr>
          <w:color w:val="231F20"/>
          <w:w w:val="95"/>
        </w:rPr>
        <w:t>and</w:t>
      </w:r>
      <w:r>
        <w:rPr>
          <w:color w:val="231F20"/>
          <w:spacing w:val="17"/>
        </w:rPr>
        <w:t xml:space="preserve"> </w:t>
      </w:r>
      <w:r>
        <w:rPr>
          <w:color w:val="231F20"/>
          <w:w w:val="95"/>
        </w:rPr>
        <w:t>sea.</w:t>
      </w:r>
      <w:r>
        <w:rPr>
          <w:color w:val="231F20"/>
          <w:spacing w:val="17"/>
        </w:rPr>
        <w:t xml:space="preserve"> </w:t>
      </w:r>
      <w:r>
        <w:rPr>
          <w:color w:val="231F20"/>
          <w:w w:val="95"/>
        </w:rPr>
        <w:t xml:space="preserve">As a result, participants enjoy a heightened sense of environmental awareness </w:t>
      </w:r>
      <w:r>
        <w:rPr>
          <w:color w:val="231F20"/>
        </w:rPr>
        <w:t xml:space="preserve">due to the role it plays in their performance. Embodiment is a critical </w:t>
      </w:r>
      <w:r>
        <w:rPr>
          <w:color w:val="231F20"/>
          <w:w w:val="95"/>
        </w:rPr>
        <w:t xml:space="preserve">element of nature-based sports (Humberstone, 2011; Lamont, 2014). The </w:t>
      </w:r>
      <w:r>
        <w:rPr>
          <w:color w:val="231F20"/>
        </w:rPr>
        <w:t>experiential</w:t>
      </w:r>
      <w:r>
        <w:rPr>
          <w:color w:val="231F20"/>
          <w:spacing w:val="-3"/>
        </w:rPr>
        <w:t xml:space="preserve"> </w:t>
      </w:r>
      <w:r>
        <w:rPr>
          <w:color w:val="231F20"/>
        </w:rPr>
        <w:t>value</w:t>
      </w:r>
      <w:r>
        <w:rPr>
          <w:color w:val="231F20"/>
          <w:spacing w:val="-3"/>
        </w:rPr>
        <w:t xml:space="preserve"> </w:t>
      </w:r>
      <w:r>
        <w:rPr>
          <w:color w:val="231F20"/>
        </w:rPr>
        <w:t>of</w:t>
      </w:r>
      <w:r>
        <w:rPr>
          <w:color w:val="231F20"/>
          <w:spacing w:val="-3"/>
        </w:rPr>
        <w:t xml:space="preserve"> </w:t>
      </w:r>
      <w:r>
        <w:rPr>
          <w:color w:val="231F20"/>
        </w:rPr>
        <w:t>these</w:t>
      </w:r>
      <w:r>
        <w:rPr>
          <w:color w:val="231F20"/>
          <w:spacing w:val="-3"/>
        </w:rPr>
        <w:t xml:space="preserve"> </w:t>
      </w:r>
      <w:r>
        <w:rPr>
          <w:color w:val="231F20"/>
        </w:rPr>
        <w:t>sports</w:t>
      </w:r>
      <w:r>
        <w:rPr>
          <w:color w:val="231F20"/>
          <w:spacing w:val="-3"/>
        </w:rPr>
        <w:t xml:space="preserve"> </w:t>
      </w:r>
      <w:r>
        <w:rPr>
          <w:color w:val="231F20"/>
        </w:rPr>
        <w:t>is</w:t>
      </w:r>
      <w:r>
        <w:rPr>
          <w:color w:val="231F20"/>
          <w:spacing w:val="-3"/>
        </w:rPr>
        <w:t xml:space="preserve"> </w:t>
      </w:r>
      <w:r>
        <w:rPr>
          <w:color w:val="231F20"/>
        </w:rPr>
        <w:t>largely</w:t>
      </w:r>
      <w:r>
        <w:rPr>
          <w:color w:val="231F20"/>
          <w:spacing w:val="-3"/>
        </w:rPr>
        <w:t xml:space="preserve"> </w:t>
      </w:r>
      <w:r>
        <w:rPr>
          <w:color w:val="231F20"/>
        </w:rPr>
        <w:t>dependent</w:t>
      </w:r>
      <w:r>
        <w:rPr>
          <w:color w:val="231F20"/>
          <w:spacing w:val="-3"/>
        </w:rPr>
        <w:t xml:space="preserve"> </w:t>
      </w:r>
      <w:r>
        <w:rPr>
          <w:color w:val="231F20"/>
        </w:rPr>
        <w:t>upon</w:t>
      </w:r>
      <w:r>
        <w:rPr>
          <w:color w:val="231F20"/>
          <w:spacing w:val="-3"/>
        </w:rPr>
        <w:t xml:space="preserve"> </w:t>
      </w:r>
      <w:r>
        <w:rPr>
          <w:color w:val="231F20"/>
        </w:rPr>
        <w:t>the</w:t>
      </w:r>
      <w:r>
        <w:rPr>
          <w:color w:val="231F20"/>
          <w:spacing w:val="-3"/>
        </w:rPr>
        <w:t xml:space="preserve"> </w:t>
      </w:r>
      <w:r>
        <w:rPr>
          <w:color w:val="231F20"/>
        </w:rPr>
        <w:t>mood</w:t>
      </w:r>
      <w:r>
        <w:rPr>
          <w:color w:val="231F20"/>
          <w:spacing w:val="-3"/>
        </w:rPr>
        <w:t xml:space="preserve"> </w:t>
      </w:r>
      <w:r>
        <w:rPr>
          <w:color w:val="231F20"/>
        </w:rPr>
        <w:t xml:space="preserve">of the landscapes where they are performed; </w:t>
      </w:r>
      <w:r>
        <w:rPr>
          <w:color w:val="231F20"/>
        </w:rPr>
        <w:t xml:space="preserve">a combination of landscapes </w:t>
      </w:r>
      <w:r>
        <w:rPr>
          <w:color w:val="231F20"/>
          <w:w w:val="95"/>
        </w:rPr>
        <w:t xml:space="preserve">and terrain (including scenery), climate and weather. These landscapes are </w:t>
      </w:r>
      <w:r>
        <w:rPr>
          <w:color w:val="231F20"/>
        </w:rPr>
        <w:t xml:space="preserve">inherently non-transportable. In contrast, other sports are more readily transported. Indoor sports such as ice-skating have been successfully </w:t>
      </w:r>
      <w:r>
        <w:rPr>
          <w:color w:val="231F20"/>
          <w:w w:val="95"/>
        </w:rPr>
        <w:t>transporte</w:t>
      </w:r>
      <w:r>
        <w:rPr>
          <w:color w:val="231F20"/>
          <w:w w:val="95"/>
        </w:rPr>
        <w:t xml:space="preserve">d from high to low latitudes with the development of improved </w:t>
      </w:r>
      <w:r>
        <w:rPr>
          <w:color w:val="231F20"/>
        </w:rPr>
        <w:t xml:space="preserve">ice-making technology and expanding markets. Indeed, indoor arenas have transformed sports such as ice hockey from outdoor to indoor activities impacting their spatial and temporal distribution </w:t>
      </w:r>
      <w:r>
        <w:rPr>
          <w:color w:val="231F20"/>
        </w:rPr>
        <w:t xml:space="preserve">(Higham &amp; </w:t>
      </w:r>
      <w:r>
        <w:rPr>
          <w:color w:val="231F20"/>
          <w:w w:val="95"/>
        </w:rPr>
        <w:t xml:space="preserve">Hinch, 2002a), allowing sport to survive in a changing climate, and giving some certainty to the viability of major sports events (see Steiger &amp; Abegg, </w:t>
      </w:r>
      <w:r>
        <w:rPr>
          <w:color w:val="231F20"/>
        </w:rPr>
        <w:t xml:space="preserve">2018; Case Study 9.1). Spatially, these sports have dispersed from their </w:t>
      </w:r>
      <w:r>
        <w:rPr>
          <w:color w:val="231F20"/>
          <w:w w:val="95"/>
        </w:rPr>
        <w:t>places</w:t>
      </w:r>
      <w:r>
        <w:rPr>
          <w:color w:val="231F20"/>
          <w:spacing w:val="17"/>
        </w:rPr>
        <w:t xml:space="preserve"> </w:t>
      </w:r>
      <w:r>
        <w:rPr>
          <w:color w:val="231F20"/>
          <w:w w:val="95"/>
        </w:rPr>
        <w:t>of</w:t>
      </w:r>
      <w:r>
        <w:rPr>
          <w:color w:val="231F20"/>
          <w:spacing w:val="18"/>
        </w:rPr>
        <w:t xml:space="preserve"> </w:t>
      </w:r>
      <w:r>
        <w:rPr>
          <w:color w:val="231F20"/>
          <w:w w:val="95"/>
        </w:rPr>
        <w:t>origin</w:t>
      </w:r>
      <w:r>
        <w:rPr>
          <w:color w:val="231F20"/>
          <w:spacing w:val="18"/>
        </w:rPr>
        <w:t xml:space="preserve"> </w:t>
      </w:r>
      <w:r>
        <w:rPr>
          <w:color w:val="231F20"/>
          <w:w w:val="95"/>
        </w:rPr>
        <w:t>in</w:t>
      </w:r>
      <w:r>
        <w:rPr>
          <w:color w:val="231F20"/>
          <w:spacing w:val="18"/>
        </w:rPr>
        <w:t xml:space="preserve"> </w:t>
      </w:r>
      <w:r>
        <w:rPr>
          <w:color w:val="231F20"/>
          <w:w w:val="95"/>
        </w:rPr>
        <w:t>t</w:t>
      </w:r>
      <w:r>
        <w:rPr>
          <w:color w:val="231F20"/>
          <w:w w:val="95"/>
        </w:rPr>
        <w:t>he</w:t>
      </w:r>
      <w:r>
        <w:rPr>
          <w:color w:val="231F20"/>
          <w:spacing w:val="17"/>
        </w:rPr>
        <w:t xml:space="preserve"> </w:t>
      </w:r>
      <w:r>
        <w:rPr>
          <w:color w:val="231F20"/>
          <w:w w:val="95"/>
        </w:rPr>
        <w:t>high</w:t>
      </w:r>
      <w:r>
        <w:rPr>
          <w:color w:val="231F20"/>
          <w:spacing w:val="18"/>
        </w:rPr>
        <w:t xml:space="preserve"> </w:t>
      </w:r>
      <w:r>
        <w:rPr>
          <w:color w:val="231F20"/>
          <w:w w:val="95"/>
        </w:rPr>
        <w:t>latitudes</w:t>
      </w:r>
      <w:r>
        <w:rPr>
          <w:color w:val="231F20"/>
          <w:spacing w:val="18"/>
        </w:rPr>
        <w:t xml:space="preserve"> </w:t>
      </w:r>
      <w:r>
        <w:rPr>
          <w:color w:val="231F20"/>
          <w:w w:val="95"/>
        </w:rPr>
        <w:t>and</w:t>
      </w:r>
      <w:r>
        <w:rPr>
          <w:color w:val="231F20"/>
          <w:spacing w:val="17"/>
        </w:rPr>
        <w:t xml:space="preserve"> </w:t>
      </w:r>
      <w:r>
        <w:rPr>
          <w:color w:val="231F20"/>
          <w:w w:val="95"/>
        </w:rPr>
        <w:t>temporally</w:t>
      </w:r>
      <w:r>
        <w:rPr>
          <w:color w:val="231F20"/>
          <w:spacing w:val="18"/>
        </w:rPr>
        <w:t xml:space="preserve"> </w:t>
      </w:r>
      <w:r>
        <w:rPr>
          <w:color w:val="231F20"/>
          <w:w w:val="95"/>
        </w:rPr>
        <w:t>from</w:t>
      </w:r>
      <w:r>
        <w:rPr>
          <w:color w:val="231F20"/>
          <w:spacing w:val="18"/>
        </w:rPr>
        <w:t xml:space="preserve"> </w:t>
      </w:r>
      <w:r>
        <w:rPr>
          <w:color w:val="231F20"/>
          <w:w w:val="95"/>
        </w:rPr>
        <w:t>highly</w:t>
      </w:r>
      <w:r>
        <w:rPr>
          <w:color w:val="231F20"/>
          <w:spacing w:val="18"/>
        </w:rPr>
        <w:t xml:space="preserve"> </w:t>
      </w:r>
      <w:r>
        <w:rPr>
          <w:color w:val="231F20"/>
          <w:spacing w:val="-2"/>
          <w:w w:val="95"/>
        </w:rPr>
        <w:t>seasonal</w:t>
      </w:r>
    </w:p>
    <w:p w14:paraId="1DFE3DD2" w14:textId="77777777" w:rsidR="00AE0598" w:rsidRDefault="00AE0598">
      <w:pPr>
        <w:spacing w:line="232" w:lineRule="auto"/>
        <w:jc w:val="both"/>
        <w:sectPr w:rsidR="00AE0598">
          <w:pgSz w:w="8850" w:h="13270"/>
          <w:pgMar w:top="720" w:right="1060" w:bottom="280" w:left="1080" w:header="720" w:footer="720" w:gutter="0"/>
          <w:cols w:space="720"/>
        </w:sectPr>
      </w:pPr>
    </w:p>
    <w:p w14:paraId="3D9650DE" w14:textId="77777777" w:rsidR="00AE0598" w:rsidRDefault="0069255A">
      <w:pPr>
        <w:spacing w:before="87"/>
        <w:ind w:left="3064"/>
        <w:rPr>
          <w:rFonts w:ascii="Trebuchet MS"/>
          <w:sz w:val="14"/>
        </w:rPr>
      </w:pPr>
      <w:r>
        <w:rPr>
          <w:rFonts w:ascii="Trebuchet MS"/>
          <w:color w:val="231F20"/>
          <w:w w:val="105"/>
          <w:sz w:val="14"/>
        </w:rPr>
        <w:lastRenderedPageBreak/>
        <w:t>Environment:</w:t>
      </w:r>
      <w:r>
        <w:rPr>
          <w:rFonts w:ascii="Trebuchet MS"/>
          <w:color w:val="231F20"/>
          <w:spacing w:val="-12"/>
          <w:w w:val="105"/>
          <w:sz w:val="14"/>
        </w:rPr>
        <w:t xml:space="preserve"> </w:t>
      </w:r>
      <w:r>
        <w:rPr>
          <w:rFonts w:ascii="Trebuchet MS"/>
          <w:color w:val="231F20"/>
          <w:w w:val="105"/>
          <w:sz w:val="14"/>
        </w:rPr>
        <w:t>Landscape,</w:t>
      </w:r>
      <w:r>
        <w:rPr>
          <w:rFonts w:ascii="Trebuchet MS"/>
          <w:color w:val="231F20"/>
          <w:spacing w:val="-11"/>
          <w:w w:val="105"/>
          <w:sz w:val="14"/>
        </w:rPr>
        <w:t xml:space="preserve"> </w:t>
      </w:r>
      <w:r>
        <w:rPr>
          <w:rFonts w:ascii="Trebuchet MS"/>
          <w:color w:val="231F20"/>
          <w:w w:val="105"/>
          <w:sz w:val="14"/>
        </w:rPr>
        <w:t>Resources</w:t>
      </w:r>
      <w:r>
        <w:rPr>
          <w:rFonts w:ascii="Trebuchet MS"/>
          <w:color w:val="231F20"/>
          <w:spacing w:val="-11"/>
          <w:w w:val="105"/>
          <w:sz w:val="14"/>
        </w:rPr>
        <w:t xml:space="preserve"> </w:t>
      </w:r>
      <w:r>
        <w:rPr>
          <w:rFonts w:ascii="Trebuchet MS"/>
          <w:color w:val="231F20"/>
          <w:w w:val="105"/>
          <w:sz w:val="14"/>
        </w:rPr>
        <w:t>and</w:t>
      </w:r>
      <w:r>
        <w:rPr>
          <w:rFonts w:ascii="Trebuchet MS"/>
          <w:color w:val="231F20"/>
          <w:spacing w:val="-11"/>
          <w:w w:val="105"/>
          <w:sz w:val="14"/>
        </w:rPr>
        <w:t xml:space="preserve"> </w:t>
      </w:r>
      <w:r>
        <w:rPr>
          <w:rFonts w:ascii="Trebuchet MS"/>
          <w:color w:val="231F20"/>
          <w:w w:val="105"/>
          <w:sz w:val="14"/>
        </w:rPr>
        <w:t>Impacts</w:t>
      </w:r>
      <w:r>
        <w:rPr>
          <w:rFonts w:ascii="Trebuchet MS"/>
          <w:color w:val="231F20"/>
          <w:spacing w:val="49"/>
          <w:w w:val="105"/>
          <w:sz w:val="14"/>
        </w:rPr>
        <w:t xml:space="preserve"> </w:t>
      </w:r>
      <w:r>
        <w:rPr>
          <w:rFonts w:ascii="Trebuchet MS"/>
          <w:color w:val="231F20"/>
          <w:spacing w:val="-5"/>
          <w:w w:val="105"/>
          <w:sz w:val="14"/>
        </w:rPr>
        <w:t>139</w:t>
      </w:r>
    </w:p>
    <w:p w14:paraId="4AA93B99" w14:textId="77777777" w:rsidR="00AE0598" w:rsidRDefault="00AE0598">
      <w:pPr>
        <w:pStyle w:val="Corpodetexto"/>
        <w:rPr>
          <w:rFonts w:ascii="Trebuchet MS"/>
          <w:sz w:val="16"/>
        </w:rPr>
      </w:pPr>
    </w:p>
    <w:p w14:paraId="59604C73" w14:textId="77777777" w:rsidR="00AE0598" w:rsidRDefault="0069255A">
      <w:pPr>
        <w:pStyle w:val="Corpodetexto"/>
        <w:spacing w:before="118" w:line="232" w:lineRule="auto"/>
        <w:ind w:left="110" w:right="127"/>
        <w:jc w:val="both"/>
      </w:pPr>
      <w:r>
        <w:rPr>
          <w:color w:val="231F20"/>
        </w:rPr>
        <w:t>winter</w:t>
      </w:r>
      <w:r>
        <w:rPr>
          <w:color w:val="231F20"/>
          <w:spacing w:val="-3"/>
        </w:rPr>
        <w:t xml:space="preserve"> </w:t>
      </w:r>
      <w:r>
        <w:rPr>
          <w:color w:val="231F20"/>
        </w:rPr>
        <w:t>sports</w:t>
      </w:r>
      <w:r>
        <w:rPr>
          <w:color w:val="231F20"/>
          <w:spacing w:val="-3"/>
        </w:rPr>
        <w:t xml:space="preserve"> </w:t>
      </w:r>
      <w:r>
        <w:rPr>
          <w:color w:val="231F20"/>
        </w:rPr>
        <w:t>to</w:t>
      </w:r>
      <w:r>
        <w:rPr>
          <w:color w:val="231F20"/>
          <w:spacing w:val="-3"/>
        </w:rPr>
        <w:t xml:space="preserve"> </w:t>
      </w:r>
      <w:r>
        <w:rPr>
          <w:color w:val="231F20"/>
        </w:rPr>
        <w:t>year-round</w:t>
      </w:r>
      <w:r>
        <w:rPr>
          <w:color w:val="231F20"/>
          <w:spacing w:val="-3"/>
        </w:rPr>
        <w:t xml:space="preserve"> </w:t>
      </w:r>
      <w:r>
        <w:rPr>
          <w:color w:val="231F20"/>
        </w:rPr>
        <w:t>activities.</w:t>
      </w:r>
      <w:r>
        <w:rPr>
          <w:color w:val="231F20"/>
          <w:spacing w:val="-3"/>
        </w:rPr>
        <w:t xml:space="preserve"> </w:t>
      </w:r>
      <w:r>
        <w:rPr>
          <w:color w:val="231F20"/>
        </w:rPr>
        <w:t>Outdoor</w:t>
      </w:r>
      <w:r>
        <w:rPr>
          <w:color w:val="231F20"/>
          <w:spacing w:val="-3"/>
        </w:rPr>
        <w:t xml:space="preserve"> </w:t>
      </w:r>
      <w:r>
        <w:rPr>
          <w:color w:val="231F20"/>
        </w:rPr>
        <w:t>winter</w:t>
      </w:r>
      <w:r>
        <w:rPr>
          <w:color w:val="231F20"/>
          <w:spacing w:val="-3"/>
        </w:rPr>
        <w:t xml:space="preserve"> </w:t>
      </w:r>
      <w:r>
        <w:rPr>
          <w:color w:val="231F20"/>
        </w:rPr>
        <w:t>sports</w:t>
      </w:r>
      <w:r>
        <w:rPr>
          <w:color w:val="231F20"/>
          <w:spacing w:val="-3"/>
        </w:rPr>
        <w:t xml:space="preserve"> </w:t>
      </w:r>
      <w:r>
        <w:rPr>
          <w:color w:val="231F20"/>
        </w:rPr>
        <w:t>such</w:t>
      </w:r>
      <w:r>
        <w:rPr>
          <w:color w:val="231F20"/>
          <w:spacing w:val="-3"/>
        </w:rPr>
        <w:t xml:space="preserve"> </w:t>
      </w:r>
      <w:r>
        <w:rPr>
          <w:color w:val="231F20"/>
        </w:rPr>
        <w:t>as</w:t>
      </w:r>
      <w:r>
        <w:rPr>
          <w:color w:val="231F20"/>
          <w:spacing w:val="-3"/>
        </w:rPr>
        <w:t xml:space="preserve"> </w:t>
      </w:r>
      <w:r>
        <w:rPr>
          <w:color w:val="231F20"/>
        </w:rPr>
        <w:t>ski jumping may also be transported from peripheral to central locations in the high latitudes to capture the advantage of proximity to markets. The Holmenkollen (Oslo, Norway) and Vancouver 2010 Olympic (Canada) ski jumps are examples of constructed ski j</w:t>
      </w:r>
      <w:r>
        <w:rPr>
          <w:color w:val="231F20"/>
        </w:rPr>
        <w:t>ump facilities that have been developed in or close to central locations.</w:t>
      </w:r>
    </w:p>
    <w:p w14:paraId="5E61B8E2" w14:textId="77777777" w:rsidR="00AE0598" w:rsidRDefault="0069255A">
      <w:pPr>
        <w:pStyle w:val="Corpodetexto"/>
        <w:spacing w:before="7" w:line="232" w:lineRule="auto"/>
        <w:ind w:left="110" w:right="126" w:firstLine="320"/>
        <w:jc w:val="both"/>
      </w:pPr>
      <w:r>
        <w:rPr>
          <w:color w:val="231F20"/>
        </w:rPr>
        <w:t>Many sports, such as competitive swimming, diving, squash and racket</w:t>
      </w:r>
      <w:r>
        <w:rPr>
          <w:color w:val="231F20"/>
          <w:spacing w:val="-12"/>
        </w:rPr>
        <w:t xml:space="preserve"> </w:t>
      </w:r>
      <w:r>
        <w:rPr>
          <w:color w:val="231F20"/>
        </w:rPr>
        <w:t>ball,</w:t>
      </w:r>
      <w:r>
        <w:rPr>
          <w:color w:val="231F20"/>
          <w:spacing w:val="-12"/>
        </w:rPr>
        <w:t xml:space="preserve"> </w:t>
      </w:r>
      <w:r>
        <w:rPr>
          <w:color w:val="231F20"/>
        </w:rPr>
        <w:t>are</w:t>
      </w:r>
      <w:r>
        <w:rPr>
          <w:color w:val="231F20"/>
          <w:spacing w:val="-11"/>
        </w:rPr>
        <w:t xml:space="preserve"> </w:t>
      </w:r>
      <w:r>
        <w:rPr>
          <w:color w:val="231F20"/>
        </w:rPr>
        <w:t>performed</w:t>
      </w:r>
      <w:r>
        <w:rPr>
          <w:color w:val="231F20"/>
          <w:spacing w:val="-12"/>
        </w:rPr>
        <w:t xml:space="preserve"> </w:t>
      </w:r>
      <w:r>
        <w:rPr>
          <w:color w:val="231F20"/>
        </w:rPr>
        <w:t>in</w:t>
      </w:r>
      <w:r>
        <w:rPr>
          <w:color w:val="231F20"/>
          <w:spacing w:val="-11"/>
        </w:rPr>
        <w:t xml:space="preserve"> </w:t>
      </w:r>
      <w:r>
        <w:rPr>
          <w:color w:val="231F20"/>
        </w:rPr>
        <w:t>indoor</w:t>
      </w:r>
      <w:r>
        <w:rPr>
          <w:color w:val="231F20"/>
          <w:spacing w:val="-12"/>
        </w:rPr>
        <w:t xml:space="preserve"> </w:t>
      </w:r>
      <w:r>
        <w:rPr>
          <w:color w:val="231F20"/>
        </w:rPr>
        <w:t>sports</w:t>
      </w:r>
      <w:r>
        <w:rPr>
          <w:color w:val="231F20"/>
          <w:spacing w:val="-11"/>
        </w:rPr>
        <w:t xml:space="preserve"> </w:t>
      </w:r>
      <w:r>
        <w:rPr>
          <w:color w:val="231F20"/>
        </w:rPr>
        <w:t>centres</w:t>
      </w:r>
      <w:r>
        <w:rPr>
          <w:color w:val="231F20"/>
          <w:spacing w:val="-12"/>
        </w:rPr>
        <w:t xml:space="preserve"> </w:t>
      </w:r>
      <w:r>
        <w:rPr>
          <w:color w:val="231F20"/>
        </w:rPr>
        <w:t>and</w:t>
      </w:r>
      <w:r>
        <w:rPr>
          <w:color w:val="231F20"/>
          <w:spacing w:val="-12"/>
        </w:rPr>
        <w:t xml:space="preserve"> </w:t>
      </w:r>
      <w:r>
        <w:rPr>
          <w:color w:val="231F20"/>
        </w:rPr>
        <w:t>have</w:t>
      </w:r>
      <w:r>
        <w:rPr>
          <w:color w:val="231F20"/>
          <w:spacing w:val="-11"/>
        </w:rPr>
        <w:t xml:space="preserve"> </w:t>
      </w:r>
      <w:r>
        <w:rPr>
          <w:color w:val="231F20"/>
        </w:rPr>
        <w:t>become</w:t>
      </w:r>
      <w:r>
        <w:rPr>
          <w:color w:val="231F20"/>
          <w:spacing w:val="-12"/>
        </w:rPr>
        <w:t xml:space="preserve"> </w:t>
      </w:r>
      <w:r>
        <w:rPr>
          <w:color w:val="231F20"/>
        </w:rPr>
        <w:t xml:space="preserve">very </w:t>
      </w:r>
      <w:r>
        <w:rPr>
          <w:color w:val="231F20"/>
          <w:spacing w:val="-2"/>
          <w:w w:val="95"/>
        </w:rPr>
        <w:t>transportable.</w:t>
      </w:r>
      <w:r>
        <w:rPr>
          <w:color w:val="231F20"/>
          <w:spacing w:val="-8"/>
          <w:w w:val="95"/>
        </w:rPr>
        <w:t xml:space="preserve"> </w:t>
      </w:r>
      <w:r>
        <w:rPr>
          <w:color w:val="231F20"/>
          <w:spacing w:val="-2"/>
          <w:w w:val="95"/>
        </w:rPr>
        <w:t>These</w:t>
      </w:r>
      <w:r>
        <w:rPr>
          <w:color w:val="231F20"/>
          <w:spacing w:val="-7"/>
          <w:w w:val="95"/>
        </w:rPr>
        <w:t xml:space="preserve"> </w:t>
      </w:r>
      <w:r>
        <w:rPr>
          <w:color w:val="231F20"/>
          <w:spacing w:val="-2"/>
          <w:w w:val="95"/>
        </w:rPr>
        <w:t>sports</w:t>
      </w:r>
      <w:r>
        <w:rPr>
          <w:color w:val="231F20"/>
          <w:spacing w:val="-7"/>
          <w:w w:val="95"/>
        </w:rPr>
        <w:t xml:space="preserve"> </w:t>
      </w:r>
      <w:r>
        <w:rPr>
          <w:color w:val="231F20"/>
          <w:spacing w:val="-2"/>
          <w:w w:val="95"/>
        </w:rPr>
        <w:t>are</w:t>
      </w:r>
      <w:r>
        <w:rPr>
          <w:color w:val="231F20"/>
          <w:spacing w:val="-7"/>
          <w:w w:val="95"/>
        </w:rPr>
        <w:t xml:space="preserve"> </w:t>
      </w:r>
      <w:r>
        <w:rPr>
          <w:color w:val="231F20"/>
          <w:spacing w:val="-2"/>
          <w:w w:val="95"/>
        </w:rPr>
        <w:t>also</w:t>
      </w:r>
      <w:r>
        <w:rPr>
          <w:color w:val="231F20"/>
          <w:spacing w:val="-8"/>
          <w:w w:val="95"/>
        </w:rPr>
        <w:t xml:space="preserve"> </w:t>
      </w:r>
      <w:r>
        <w:rPr>
          <w:color w:val="231F20"/>
          <w:spacing w:val="-2"/>
          <w:w w:val="95"/>
        </w:rPr>
        <w:t>characterised</w:t>
      </w:r>
      <w:r>
        <w:rPr>
          <w:color w:val="231F20"/>
          <w:spacing w:val="-7"/>
          <w:w w:val="95"/>
        </w:rPr>
        <w:t xml:space="preserve"> </w:t>
      </w:r>
      <w:r>
        <w:rPr>
          <w:color w:val="231F20"/>
          <w:spacing w:val="-2"/>
          <w:w w:val="95"/>
        </w:rPr>
        <w:t>by</w:t>
      </w:r>
      <w:r>
        <w:rPr>
          <w:color w:val="231F20"/>
          <w:spacing w:val="-7"/>
          <w:w w:val="95"/>
        </w:rPr>
        <w:t xml:space="preserve"> </w:t>
      </w:r>
      <w:r>
        <w:rPr>
          <w:color w:val="231F20"/>
          <w:spacing w:val="-2"/>
          <w:w w:val="95"/>
        </w:rPr>
        <w:t>highly</w:t>
      </w:r>
      <w:r>
        <w:rPr>
          <w:color w:val="231F20"/>
          <w:spacing w:val="-7"/>
          <w:w w:val="95"/>
        </w:rPr>
        <w:t xml:space="preserve"> </w:t>
      </w:r>
      <w:r>
        <w:rPr>
          <w:color w:val="231F20"/>
          <w:spacing w:val="-2"/>
          <w:w w:val="95"/>
        </w:rPr>
        <w:t>prescribed</w:t>
      </w:r>
      <w:r>
        <w:rPr>
          <w:color w:val="231F20"/>
          <w:spacing w:val="-8"/>
          <w:w w:val="95"/>
        </w:rPr>
        <w:t xml:space="preserve"> </w:t>
      </w:r>
      <w:r>
        <w:rPr>
          <w:color w:val="231F20"/>
          <w:spacing w:val="-2"/>
          <w:w w:val="95"/>
        </w:rPr>
        <w:t xml:space="preserve">spatial </w:t>
      </w:r>
      <w:r>
        <w:rPr>
          <w:color w:val="231F20"/>
        </w:rPr>
        <w:t>rules</w:t>
      </w:r>
      <w:r>
        <w:rPr>
          <w:color w:val="231F20"/>
          <w:spacing w:val="-11"/>
        </w:rPr>
        <w:t xml:space="preserve"> </w:t>
      </w:r>
      <w:r>
        <w:rPr>
          <w:color w:val="231F20"/>
        </w:rPr>
        <w:t>and</w:t>
      </w:r>
      <w:r>
        <w:rPr>
          <w:color w:val="231F20"/>
          <w:spacing w:val="-11"/>
        </w:rPr>
        <w:t xml:space="preserve"> </w:t>
      </w:r>
      <w:r>
        <w:rPr>
          <w:color w:val="231F20"/>
        </w:rPr>
        <w:t>standards.</w:t>
      </w:r>
      <w:r>
        <w:rPr>
          <w:color w:val="231F20"/>
          <w:spacing w:val="-11"/>
        </w:rPr>
        <w:t xml:space="preserve"> </w:t>
      </w:r>
      <w:r>
        <w:rPr>
          <w:color w:val="231F20"/>
        </w:rPr>
        <w:t>Other</w:t>
      </w:r>
      <w:r>
        <w:rPr>
          <w:color w:val="231F20"/>
          <w:spacing w:val="-11"/>
        </w:rPr>
        <w:t xml:space="preserve"> </w:t>
      </w:r>
      <w:r>
        <w:rPr>
          <w:color w:val="231F20"/>
        </w:rPr>
        <w:t>sports</w:t>
      </w:r>
      <w:r>
        <w:rPr>
          <w:color w:val="231F20"/>
          <w:spacing w:val="-11"/>
        </w:rPr>
        <w:t xml:space="preserve"> </w:t>
      </w:r>
      <w:r>
        <w:rPr>
          <w:color w:val="231F20"/>
        </w:rPr>
        <w:t>that</w:t>
      </w:r>
      <w:r>
        <w:rPr>
          <w:color w:val="231F20"/>
          <w:spacing w:val="-11"/>
        </w:rPr>
        <w:t xml:space="preserve"> </w:t>
      </w:r>
      <w:r>
        <w:rPr>
          <w:color w:val="231F20"/>
        </w:rPr>
        <w:t>are</w:t>
      </w:r>
      <w:r>
        <w:rPr>
          <w:color w:val="231F20"/>
          <w:spacing w:val="-11"/>
        </w:rPr>
        <w:t xml:space="preserve"> </w:t>
      </w:r>
      <w:r>
        <w:rPr>
          <w:color w:val="231F20"/>
        </w:rPr>
        <w:t>traditionally</w:t>
      </w:r>
      <w:r>
        <w:rPr>
          <w:color w:val="231F20"/>
          <w:spacing w:val="-11"/>
        </w:rPr>
        <w:t xml:space="preserve"> </w:t>
      </w:r>
      <w:r>
        <w:rPr>
          <w:color w:val="231F20"/>
        </w:rPr>
        <w:t>played</w:t>
      </w:r>
      <w:r>
        <w:rPr>
          <w:color w:val="231F20"/>
          <w:spacing w:val="-11"/>
        </w:rPr>
        <w:t xml:space="preserve"> </w:t>
      </w:r>
      <w:r>
        <w:rPr>
          <w:color w:val="231F20"/>
        </w:rPr>
        <w:t>in</w:t>
      </w:r>
      <w:r>
        <w:rPr>
          <w:color w:val="231F20"/>
          <w:spacing w:val="-11"/>
        </w:rPr>
        <w:t xml:space="preserve"> </w:t>
      </w:r>
      <w:r>
        <w:rPr>
          <w:color w:val="231F20"/>
        </w:rPr>
        <w:t xml:space="preserve">outdoor </w:t>
      </w:r>
      <w:r>
        <w:rPr>
          <w:color w:val="231F20"/>
          <w:w w:val="95"/>
        </w:rPr>
        <w:t>settings</w:t>
      </w:r>
      <w:r>
        <w:rPr>
          <w:color w:val="231F20"/>
          <w:spacing w:val="-4"/>
          <w:w w:val="95"/>
        </w:rPr>
        <w:t xml:space="preserve"> </w:t>
      </w:r>
      <w:r>
        <w:rPr>
          <w:color w:val="231F20"/>
          <w:w w:val="95"/>
        </w:rPr>
        <w:t>can</w:t>
      </w:r>
      <w:r>
        <w:rPr>
          <w:color w:val="231F20"/>
          <w:spacing w:val="-4"/>
          <w:w w:val="95"/>
        </w:rPr>
        <w:t xml:space="preserve"> </w:t>
      </w:r>
      <w:r>
        <w:rPr>
          <w:color w:val="231F20"/>
          <w:w w:val="95"/>
        </w:rPr>
        <w:t>also</w:t>
      </w:r>
      <w:r>
        <w:rPr>
          <w:color w:val="231F20"/>
          <w:spacing w:val="-4"/>
          <w:w w:val="95"/>
        </w:rPr>
        <w:t xml:space="preserve"> </w:t>
      </w:r>
      <w:r>
        <w:rPr>
          <w:color w:val="231F20"/>
          <w:w w:val="95"/>
        </w:rPr>
        <w:t>be</w:t>
      </w:r>
      <w:r>
        <w:rPr>
          <w:color w:val="231F20"/>
          <w:spacing w:val="-4"/>
          <w:w w:val="95"/>
        </w:rPr>
        <w:t xml:space="preserve"> </w:t>
      </w:r>
      <w:r>
        <w:rPr>
          <w:color w:val="231F20"/>
          <w:w w:val="95"/>
        </w:rPr>
        <w:t>transported</w:t>
      </w:r>
      <w:r>
        <w:rPr>
          <w:color w:val="231F20"/>
          <w:spacing w:val="-4"/>
          <w:w w:val="95"/>
        </w:rPr>
        <w:t xml:space="preserve"> </w:t>
      </w:r>
      <w:r>
        <w:rPr>
          <w:color w:val="231F20"/>
          <w:w w:val="95"/>
        </w:rPr>
        <w:t>and</w:t>
      </w:r>
      <w:r>
        <w:rPr>
          <w:color w:val="231F20"/>
          <w:spacing w:val="-4"/>
          <w:w w:val="95"/>
        </w:rPr>
        <w:t xml:space="preserve"> </w:t>
      </w:r>
      <w:r>
        <w:rPr>
          <w:color w:val="231F20"/>
          <w:w w:val="95"/>
        </w:rPr>
        <w:t>performed</w:t>
      </w:r>
      <w:r>
        <w:rPr>
          <w:color w:val="231F20"/>
          <w:spacing w:val="-4"/>
          <w:w w:val="95"/>
        </w:rPr>
        <w:t xml:space="preserve"> </w:t>
      </w:r>
      <w:r>
        <w:rPr>
          <w:color w:val="231F20"/>
          <w:w w:val="95"/>
        </w:rPr>
        <w:t>in</w:t>
      </w:r>
      <w:r>
        <w:rPr>
          <w:color w:val="231F20"/>
          <w:spacing w:val="-4"/>
          <w:w w:val="95"/>
        </w:rPr>
        <w:t xml:space="preserve"> </w:t>
      </w:r>
      <w:r>
        <w:rPr>
          <w:color w:val="231F20"/>
          <w:w w:val="95"/>
        </w:rPr>
        <w:t>indoor</w:t>
      </w:r>
      <w:r>
        <w:rPr>
          <w:color w:val="231F20"/>
          <w:spacing w:val="-4"/>
          <w:w w:val="95"/>
        </w:rPr>
        <w:t xml:space="preserve"> </w:t>
      </w:r>
      <w:r>
        <w:rPr>
          <w:color w:val="231F20"/>
          <w:w w:val="95"/>
        </w:rPr>
        <w:t>sports</w:t>
      </w:r>
      <w:r>
        <w:rPr>
          <w:color w:val="231F20"/>
          <w:spacing w:val="-4"/>
          <w:w w:val="95"/>
        </w:rPr>
        <w:t xml:space="preserve"> </w:t>
      </w:r>
      <w:r>
        <w:rPr>
          <w:color w:val="231F20"/>
          <w:w w:val="95"/>
        </w:rPr>
        <w:t>centres</w:t>
      </w:r>
      <w:r>
        <w:rPr>
          <w:color w:val="231F20"/>
          <w:spacing w:val="-4"/>
          <w:w w:val="95"/>
        </w:rPr>
        <w:t xml:space="preserve"> </w:t>
      </w:r>
      <w:r>
        <w:rPr>
          <w:color w:val="231F20"/>
          <w:w w:val="95"/>
        </w:rPr>
        <w:t xml:space="preserve">and </w:t>
      </w:r>
      <w:r>
        <w:rPr>
          <w:color w:val="231F20"/>
          <w:spacing w:val="-2"/>
          <w:w w:val="95"/>
        </w:rPr>
        <w:t>arenas.</w:t>
      </w:r>
      <w:r>
        <w:rPr>
          <w:color w:val="231F20"/>
          <w:spacing w:val="-3"/>
          <w:w w:val="95"/>
        </w:rPr>
        <w:t xml:space="preserve"> </w:t>
      </w:r>
      <w:r>
        <w:rPr>
          <w:color w:val="231F20"/>
          <w:spacing w:val="-2"/>
          <w:w w:val="95"/>
        </w:rPr>
        <w:t>Examples</w:t>
      </w:r>
      <w:r>
        <w:rPr>
          <w:color w:val="231F20"/>
          <w:spacing w:val="-3"/>
          <w:w w:val="95"/>
        </w:rPr>
        <w:t xml:space="preserve"> </w:t>
      </w:r>
      <w:r>
        <w:rPr>
          <w:color w:val="231F20"/>
          <w:spacing w:val="-2"/>
          <w:w w:val="95"/>
        </w:rPr>
        <w:t>now</w:t>
      </w:r>
      <w:r>
        <w:rPr>
          <w:color w:val="231F20"/>
          <w:spacing w:val="-3"/>
          <w:w w:val="95"/>
        </w:rPr>
        <w:t xml:space="preserve"> </w:t>
      </w:r>
      <w:r>
        <w:rPr>
          <w:color w:val="231F20"/>
          <w:spacing w:val="-2"/>
          <w:w w:val="95"/>
        </w:rPr>
        <w:t>include</w:t>
      </w:r>
      <w:r>
        <w:rPr>
          <w:color w:val="231F20"/>
          <w:spacing w:val="-3"/>
          <w:w w:val="95"/>
        </w:rPr>
        <w:t xml:space="preserve"> </w:t>
      </w:r>
      <w:r>
        <w:rPr>
          <w:color w:val="231F20"/>
          <w:spacing w:val="-2"/>
          <w:w w:val="95"/>
        </w:rPr>
        <w:t>tennis,</w:t>
      </w:r>
      <w:r>
        <w:rPr>
          <w:color w:val="231F20"/>
          <w:spacing w:val="-3"/>
          <w:w w:val="95"/>
        </w:rPr>
        <w:t xml:space="preserve"> </w:t>
      </w:r>
      <w:r>
        <w:rPr>
          <w:color w:val="231F20"/>
          <w:spacing w:val="-2"/>
          <w:w w:val="95"/>
        </w:rPr>
        <w:t>athletics,</w:t>
      </w:r>
      <w:r>
        <w:rPr>
          <w:color w:val="231F20"/>
          <w:spacing w:val="-3"/>
          <w:w w:val="95"/>
        </w:rPr>
        <w:t xml:space="preserve"> </w:t>
      </w:r>
      <w:r>
        <w:rPr>
          <w:color w:val="231F20"/>
          <w:spacing w:val="-2"/>
          <w:w w:val="95"/>
        </w:rPr>
        <w:t>football,</w:t>
      </w:r>
      <w:r>
        <w:rPr>
          <w:color w:val="231F20"/>
          <w:spacing w:val="-3"/>
          <w:w w:val="95"/>
        </w:rPr>
        <w:t xml:space="preserve"> </w:t>
      </w:r>
      <w:r>
        <w:rPr>
          <w:color w:val="231F20"/>
          <w:spacing w:val="-2"/>
          <w:w w:val="95"/>
        </w:rPr>
        <w:t>rugby</w:t>
      </w:r>
      <w:r>
        <w:rPr>
          <w:color w:val="231F20"/>
          <w:spacing w:val="-3"/>
          <w:w w:val="95"/>
        </w:rPr>
        <w:t xml:space="preserve"> </w:t>
      </w:r>
      <w:r>
        <w:rPr>
          <w:color w:val="231F20"/>
          <w:spacing w:val="-2"/>
          <w:w w:val="95"/>
        </w:rPr>
        <w:t>and</w:t>
      </w:r>
      <w:r>
        <w:rPr>
          <w:color w:val="231F20"/>
          <w:spacing w:val="-3"/>
          <w:w w:val="95"/>
        </w:rPr>
        <w:t xml:space="preserve"> </w:t>
      </w:r>
      <w:r>
        <w:rPr>
          <w:color w:val="231F20"/>
          <w:spacing w:val="-2"/>
          <w:w w:val="95"/>
        </w:rPr>
        <w:t xml:space="preserve">equestrian </w:t>
      </w:r>
      <w:r>
        <w:rPr>
          <w:color w:val="231F20"/>
          <w:spacing w:val="-2"/>
        </w:rPr>
        <w:t>activities.</w:t>
      </w:r>
      <w:r>
        <w:rPr>
          <w:color w:val="231F20"/>
          <w:spacing w:val="-10"/>
        </w:rPr>
        <w:t xml:space="preserve"> </w:t>
      </w:r>
      <w:r>
        <w:rPr>
          <w:color w:val="231F20"/>
          <w:spacing w:val="-2"/>
        </w:rPr>
        <w:t>These</w:t>
      </w:r>
      <w:r>
        <w:rPr>
          <w:color w:val="231F20"/>
          <w:spacing w:val="-10"/>
        </w:rPr>
        <w:t xml:space="preserve"> </w:t>
      </w:r>
      <w:r>
        <w:rPr>
          <w:color w:val="231F20"/>
          <w:spacing w:val="-2"/>
        </w:rPr>
        <w:t>sports</w:t>
      </w:r>
      <w:r>
        <w:rPr>
          <w:color w:val="231F20"/>
          <w:spacing w:val="-9"/>
        </w:rPr>
        <w:t xml:space="preserve"> </w:t>
      </w:r>
      <w:r>
        <w:rPr>
          <w:color w:val="231F20"/>
          <w:spacing w:val="-2"/>
        </w:rPr>
        <w:t>demonstrate</w:t>
      </w:r>
      <w:r>
        <w:rPr>
          <w:color w:val="231F20"/>
          <w:spacing w:val="-10"/>
        </w:rPr>
        <w:t xml:space="preserve"> </w:t>
      </w:r>
      <w:r>
        <w:rPr>
          <w:color w:val="231F20"/>
          <w:spacing w:val="-2"/>
        </w:rPr>
        <w:t>what</w:t>
      </w:r>
      <w:r>
        <w:rPr>
          <w:color w:val="231F20"/>
          <w:spacing w:val="-9"/>
        </w:rPr>
        <w:t xml:space="preserve"> </w:t>
      </w:r>
      <w:r>
        <w:rPr>
          <w:color w:val="231F20"/>
          <w:spacing w:val="-2"/>
        </w:rPr>
        <w:t>Bale</w:t>
      </w:r>
      <w:r>
        <w:rPr>
          <w:color w:val="231F20"/>
          <w:spacing w:val="-10"/>
        </w:rPr>
        <w:t xml:space="preserve"> </w:t>
      </w:r>
      <w:r>
        <w:rPr>
          <w:color w:val="231F20"/>
          <w:spacing w:val="-2"/>
        </w:rPr>
        <w:t>(1989:</w:t>
      </w:r>
      <w:r>
        <w:rPr>
          <w:color w:val="231F20"/>
          <w:spacing w:val="-9"/>
        </w:rPr>
        <w:t xml:space="preserve"> </w:t>
      </w:r>
      <w:r>
        <w:rPr>
          <w:color w:val="231F20"/>
          <w:spacing w:val="-2"/>
        </w:rPr>
        <w:t>171)</w:t>
      </w:r>
      <w:r>
        <w:rPr>
          <w:color w:val="231F20"/>
          <w:spacing w:val="-10"/>
        </w:rPr>
        <w:t xml:space="preserve"> </w:t>
      </w:r>
      <w:r>
        <w:rPr>
          <w:color w:val="231F20"/>
          <w:spacing w:val="-2"/>
        </w:rPr>
        <w:t>refers</w:t>
      </w:r>
      <w:r>
        <w:rPr>
          <w:color w:val="231F20"/>
          <w:spacing w:val="-10"/>
        </w:rPr>
        <w:t xml:space="preserve"> </w:t>
      </w:r>
      <w:r>
        <w:rPr>
          <w:color w:val="231F20"/>
          <w:spacing w:val="-2"/>
        </w:rPr>
        <w:t>to</w:t>
      </w:r>
      <w:r>
        <w:rPr>
          <w:color w:val="231F20"/>
          <w:spacing w:val="-9"/>
        </w:rPr>
        <w:t xml:space="preserve"> </w:t>
      </w:r>
      <w:r>
        <w:rPr>
          <w:color w:val="231F20"/>
          <w:spacing w:val="-2"/>
        </w:rPr>
        <w:t>as</w:t>
      </w:r>
      <w:r>
        <w:rPr>
          <w:color w:val="231F20"/>
          <w:spacing w:val="-10"/>
        </w:rPr>
        <w:t xml:space="preserve"> </w:t>
      </w:r>
      <w:r>
        <w:rPr>
          <w:color w:val="231F20"/>
          <w:spacing w:val="-2"/>
        </w:rPr>
        <w:t xml:space="preserve">the </w:t>
      </w:r>
      <w:r>
        <w:rPr>
          <w:color w:val="231F20"/>
        </w:rPr>
        <w:t xml:space="preserve">‘industrialisation of the sport environment’, which relates closely to the </w:t>
      </w:r>
      <w:r>
        <w:rPr>
          <w:color w:val="231F20"/>
          <w:w w:val="95"/>
        </w:rPr>
        <w:t xml:space="preserve">concept of transportability. Indoor cricket, for example, is a sport that takes </w:t>
      </w:r>
      <w:r>
        <w:rPr>
          <w:color w:val="231F20"/>
          <w:spacing w:val="-2"/>
          <w:w w:val="95"/>
        </w:rPr>
        <w:t>plac</w:t>
      </w:r>
      <w:r>
        <w:rPr>
          <w:color w:val="231F20"/>
          <w:spacing w:val="-2"/>
          <w:w w:val="95"/>
        </w:rPr>
        <w:t>e</w:t>
      </w:r>
      <w:r>
        <w:rPr>
          <w:color w:val="231F20"/>
          <w:spacing w:val="-3"/>
          <w:w w:val="95"/>
        </w:rPr>
        <w:t xml:space="preserve"> </w:t>
      </w:r>
      <w:r>
        <w:rPr>
          <w:color w:val="231F20"/>
          <w:spacing w:val="-2"/>
          <w:w w:val="95"/>
        </w:rPr>
        <w:t>in</w:t>
      </w:r>
      <w:r>
        <w:rPr>
          <w:color w:val="231F20"/>
          <w:spacing w:val="-3"/>
          <w:w w:val="95"/>
        </w:rPr>
        <w:t xml:space="preserve"> </w:t>
      </w:r>
      <w:r>
        <w:rPr>
          <w:color w:val="231F20"/>
          <w:spacing w:val="-2"/>
          <w:w w:val="95"/>
        </w:rPr>
        <w:t>air-conditioned</w:t>
      </w:r>
      <w:r>
        <w:rPr>
          <w:color w:val="231F20"/>
          <w:spacing w:val="-3"/>
          <w:w w:val="95"/>
        </w:rPr>
        <w:t xml:space="preserve"> </w:t>
      </w:r>
      <w:r>
        <w:rPr>
          <w:color w:val="231F20"/>
          <w:spacing w:val="-2"/>
          <w:w w:val="95"/>
        </w:rPr>
        <w:t>centres</w:t>
      </w:r>
      <w:r>
        <w:rPr>
          <w:color w:val="231F20"/>
          <w:spacing w:val="-3"/>
          <w:w w:val="95"/>
        </w:rPr>
        <w:t xml:space="preserve"> </w:t>
      </w:r>
      <w:r>
        <w:rPr>
          <w:color w:val="231F20"/>
          <w:spacing w:val="-2"/>
          <w:w w:val="95"/>
        </w:rPr>
        <w:t>that</w:t>
      </w:r>
      <w:r>
        <w:rPr>
          <w:color w:val="231F20"/>
          <w:spacing w:val="-3"/>
          <w:w w:val="95"/>
        </w:rPr>
        <w:t xml:space="preserve"> </w:t>
      </w:r>
      <w:r>
        <w:rPr>
          <w:color w:val="231F20"/>
          <w:spacing w:val="-2"/>
          <w:w w:val="95"/>
        </w:rPr>
        <w:t>are</w:t>
      </w:r>
      <w:r>
        <w:rPr>
          <w:color w:val="231F20"/>
          <w:spacing w:val="-3"/>
          <w:w w:val="95"/>
        </w:rPr>
        <w:t xml:space="preserve"> </w:t>
      </w:r>
      <w:r>
        <w:rPr>
          <w:color w:val="231F20"/>
          <w:spacing w:val="-2"/>
          <w:w w:val="95"/>
        </w:rPr>
        <w:t>typically</w:t>
      </w:r>
      <w:r>
        <w:rPr>
          <w:color w:val="231F20"/>
          <w:spacing w:val="-3"/>
          <w:w w:val="95"/>
        </w:rPr>
        <w:t xml:space="preserve"> </w:t>
      </w:r>
      <w:r>
        <w:rPr>
          <w:color w:val="231F20"/>
          <w:spacing w:val="-2"/>
          <w:w w:val="95"/>
        </w:rPr>
        <w:t>housed</w:t>
      </w:r>
      <w:r>
        <w:rPr>
          <w:color w:val="231F20"/>
          <w:spacing w:val="-3"/>
          <w:w w:val="95"/>
        </w:rPr>
        <w:t xml:space="preserve"> </w:t>
      </w:r>
      <w:r>
        <w:rPr>
          <w:color w:val="231F20"/>
          <w:spacing w:val="-2"/>
          <w:w w:val="95"/>
        </w:rPr>
        <w:t>in</w:t>
      </w:r>
      <w:r>
        <w:rPr>
          <w:color w:val="231F20"/>
          <w:spacing w:val="-3"/>
          <w:w w:val="95"/>
        </w:rPr>
        <w:t xml:space="preserve"> </w:t>
      </w:r>
      <w:r>
        <w:rPr>
          <w:color w:val="231F20"/>
          <w:spacing w:val="-2"/>
          <w:w w:val="95"/>
        </w:rPr>
        <w:t>unused</w:t>
      </w:r>
      <w:r>
        <w:rPr>
          <w:color w:val="231F20"/>
          <w:spacing w:val="-3"/>
          <w:w w:val="95"/>
        </w:rPr>
        <w:t xml:space="preserve"> </w:t>
      </w:r>
      <w:r>
        <w:rPr>
          <w:color w:val="231F20"/>
          <w:spacing w:val="-2"/>
          <w:w w:val="95"/>
        </w:rPr>
        <w:t xml:space="preserve">industrial </w:t>
      </w:r>
      <w:r>
        <w:rPr>
          <w:color w:val="231F20"/>
          <w:w w:val="95"/>
        </w:rPr>
        <w:t>buildings and warehouses located in industrial landscapes (Bale, 1989).</w:t>
      </w:r>
    </w:p>
    <w:p w14:paraId="65FE9F86" w14:textId="77777777" w:rsidR="00AE0598" w:rsidRDefault="0069255A">
      <w:pPr>
        <w:pStyle w:val="Corpodetexto"/>
        <w:spacing w:before="13" w:line="232" w:lineRule="auto"/>
        <w:ind w:left="110" w:right="128" w:firstLine="320"/>
        <w:jc w:val="both"/>
      </w:pPr>
      <w:r>
        <w:rPr>
          <w:color w:val="231F20"/>
        </w:rPr>
        <w:t xml:space="preserve">The application of technology to the modern stadium demonstrates </w:t>
      </w:r>
      <w:r>
        <w:rPr>
          <w:color w:val="231F20"/>
          <w:w w:val="95"/>
        </w:rPr>
        <w:t>the height of sport transportability. The r</w:t>
      </w:r>
      <w:r>
        <w:rPr>
          <w:color w:val="231F20"/>
          <w:w w:val="95"/>
        </w:rPr>
        <w:t xml:space="preserve">eproducibility of the sportscape </w:t>
      </w:r>
      <w:r>
        <w:rPr>
          <w:color w:val="231F20"/>
        </w:rPr>
        <w:t xml:space="preserve">facilitates the transportation of sports and the sport experience. Rugby is an example of a transportable sport, which offers opportunities for </w:t>
      </w:r>
      <w:r>
        <w:rPr>
          <w:color w:val="231F20"/>
          <w:w w:val="95"/>
        </w:rPr>
        <w:t>generating new markets and revenue by hosting international test matches in neu</w:t>
      </w:r>
      <w:r>
        <w:rPr>
          <w:color w:val="231F20"/>
          <w:w w:val="95"/>
        </w:rPr>
        <w:t xml:space="preserve">tral </w:t>
      </w:r>
      <w:r>
        <w:rPr>
          <w:color w:val="231F20"/>
          <w:w w:val="99"/>
        </w:rPr>
        <w:t>c</w:t>
      </w:r>
      <w:r>
        <w:rPr>
          <w:color w:val="231F20"/>
          <w:spacing w:val="-2"/>
          <w:w w:val="99"/>
        </w:rPr>
        <w:t>o</w:t>
      </w:r>
      <w:r>
        <w:rPr>
          <w:color w:val="231F20"/>
          <w:spacing w:val="3"/>
          <w:w w:val="97"/>
        </w:rPr>
        <w:t>u</w:t>
      </w:r>
      <w:r>
        <w:rPr>
          <w:color w:val="231F20"/>
          <w:spacing w:val="-2"/>
          <w:w w:val="96"/>
        </w:rPr>
        <w:t>n</w:t>
      </w:r>
      <w:r>
        <w:rPr>
          <w:color w:val="231F20"/>
          <w:spacing w:val="2"/>
          <w:w w:val="96"/>
        </w:rPr>
        <w:t>t</w:t>
      </w:r>
      <w:r>
        <w:rPr>
          <w:color w:val="231F20"/>
          <w:spacing w:val="2"/>
          <w:w w:val="91"/>
        </w:rPr>
        <w:t>r</w:t>
      </w:r>
      <w:r>
        <w:rPr>
          <w:color w:val="231F20"/>
          <w:spacing w:val="-2"/>
          <w:w w:val="98"/>
        </w:rPr>
        <w:t>i</w:t>
      </w:r>
      <w:r>
        <w:rPr>
          <w:color w:val="231F20"/>
          <w:spacing w:val="2"/>
          <w:w w:val="88"/>
        </w:rPr>
        <w:t>e</w:t>
      </w:r>
      <w:r>
        <w:rPr>
          <w:color w:val="231F20"/>
          <w:spacing w:val="5"/>
          <w:w w:val="88"/>
        </w:rPr>
        <w:t>s</w:t>
      </w:r>
      <w:r>
        <w:rPr>
          <w:color w:val="231F20"/>
          <w:spacing w:val="-9"/>
          <w:w w:val="58"/>
        </w:rPr>
        <w:t>/</w:t>
      </w:r>
      <w:r>
        <w:rPr>
          <w:color w:val="231F20"/>
          <w:spacing w:val="1"/>
          <w:w w:val="97"/>
        </w:rPr>
        <w:t>c</w:t>
      </w:r>
      <w:r>
        <w:rPr>
          <w:color w:val="231F20"/>
          <w:spacing w:val="-3"/>
          <w:w w:val="98"/>
        </w:rPr>
        <w:t>i</w:t>
      </w:r>
      <w:r>
        <w:rPr>
          <w:color w:val="231F20"/>
          <w:spacing w:val="2"/>
          <w:w w:val="96"/>
        </w:rPr>
        <w:t>t</w:t>
      </w:r>
      <w:r>
        <w:rPr>
          <w:color w:val="231F20"/>
          <w:spacing w:val="-2"/>
          <w:w w:val="98"/>
        </w:rPr>
        <w:t>i</w:t>
      </w:r>
      <w:r>
        <w:rPr>
          <w:color w:val="231F20"/>
          <w:spacing w:val="2"/>
          <w:w w:val="88"/>
        </w:rPr>
        <w:t>e</w:t>
      </w:r>
      <w:r>
        <w:rPr>
          <w:color w:val="231F20"/>
          <w:spacing w:val="1"/>
          <w:w w:val="88"/>
        </w:rPr>
        <w:t>s</w:t>
      </w:r>
      <w:r>
        <w:rPr>
          <w:color w:val="231F20"/>
          <w:spacing w:val="-1"/>
          <w:w w:val="133"/>
        </w:rPr>
        <w:t>.</w:t>
      </w:r>
      <w:r>
        <w:rPr>
          <w:color w:val="231F20"/>
          <w:spacing w:val="-1"/>
          <w:w w:val="94"/>
        </w:rPr>
        <w:t xml:space="preserve"> </w:t>
      </w:r>
      <w:r>
        <w:rPr>
          <w:color w:val="231F20"/>
          <w:w w:val="95"/>
        </w:rPr>
        <w:t xml:space="preserve">In recent years, the New Zealand All Blacks have </w:t>
      </w:r>
      <w:r>
        <w:rPr>
          <w:color w:val="231F20"/>
        </w:rPr>
        <w:t>played</w:t>
      </w:r>
      <w:r>
        <w:rPr>
          <w:color w:val="231F20"/>
          <w:spacing w:val="-5"/>
        </w:rPr>
        <w:t xml:space="preserve"> </w:t>
      </w:r>
      <w:r>
        <w:rPr>
          <w:color w:val="231F20"/>
        </w:rPr>
        <w:t>test</w:t>
      </w:r>
      <w:r>
        <w:rPr>
          <w:color w:val="231F20"/>
          <w:spacing w:val="-5"/>
        </w:rPr>
        <w:t xml:space="preserve"> </w:t>
      </w:r>
      <w:r>
        <w:rPr>
          <w:color w:val="231F20"/>
        </w:rPr>
        <w:t>matches</w:t>
      </w:r>
      <w:r>
        <w:rPr>
          <w:color w:val="231F20"/>
          <w:spacing w:val="-5"/>
        </w:rPr>
        <w:t xml:space="preserve"> </w:t>
      </w:r>
      <w:r>
        <w:rPr>
          <w:color w:val="231F20"/>
        </w:rPr>
        <w:t>in</w:t>
      </w:r>
      <w:r>
        <w:rPr>
          <w:color w:val="231F20"/>
          <w:spacing w:val="-5"/>
        </w:rPr>
        <w:t xml:space="preserve"> </w:t>
      </w:r>
      <w:r>
        <w:rPr>
          <w:color w:val="231F20"/>
        </w:rPr>
        <w:t>Tokyo,</w:t>
      </w:r>
      <w:r>
        <w:rPr>
          <w:color w:val="231F20"/>
          <w:spacing w:val="-5"/>
        </w:rPr>
        <w:t xml:space="preserve"> </w:t>
      </w:r>
      <w:r>
        <w:rPr>
          <w:color w:val="231F20"/>
        </w:rPr>
        <w:t>Hong</w:t>
      </w:r>
      <w:r>
        <w:rPr>
          <w:color w:val="231F20"/>
          <w:spacing w:val="-5"/>
        </w:rPr>
        <w:t xml:space="preserve"> </w:t>
      </w:r>
      <w:r>
        <w:rPr>
          <w:color w:val="231F20"/>
        </w:rPr>
        <w:t>Kong</w:t>
      </w:r>
      <w:r>
        <w:rPr>
          <w:color w:val="231F20"/>
          <w:spacing w:val="-5"/>
        </w:rPr>
        <w:t xml:space="preserve"> </w:t>
      </w:r>
      <w:r>
        <w:rPr>
          <w:color w:val="231F20"/>
        </w:rPr>
        <w:t>(versus</w:t>
      </w:r>
      <w:r>
        <w:rPr>
          <w:color w:val="231F20"/>
          <w:spacing w:val="-5"/>
        </w:rPr>
        <w:t xml:space="preserve"> </w:t>
      </w:r>
      <w:r>
        <w:rPr>
          <w:color w:val="231F20"/>
        </w:rPr>
        <w:t>Australia)</w:t>
      </w:r>
      <w:r>
        <w:rPr>
          <w:color w:val="231F20"/>
          <w:spacing w:val="-5"/>
        </w:rPr>
        <w:t xml:space="preserve"> </w:t>
      </w:r>
      <w:r>
        <w:rPr>
          <w:color w:val="231F20"/>
        </w:rPr>
        <w:t>and</w:t>
      </w:r>
      <w:r>
        <w:rPr>
          <w:color w:val="231F20"/>
          <w:spacing w:val="-5"/>
        </w:rPr>
        <w:t xml:space="preserve"> </w:t>
      </w:r>
      <w:r>
        <w:rPr>
          <w:color w:val="231F20"/>
        </w:rPr>
        <w:t>Chicago (versus Ireland) to break into new and emerging spectator and media markets.</w:t>
      </w:r>
      <w:r>
        <w:rPr>
          <w:color w:val="231F20"/>
          <w:spacing w:val="-11"/>
        </w:rPr>
        <w:t xml:space="preserve"> </w:t>
      </w:r>
      <w:r>
        <w:rPr>
          <w:color w:val="231F20"/>
        </w:rPr>
        <w:t>Viewed</w:t>
      </w:r>
      <w:r>
        <w:rPr>
          <w:color w:val="231F20"/>
          <w:spacing w:val="-11"/>
        </w:rPr>
        <w:t xml:space="preserve"> </w:t>
      </w:r>
      <w:r>
        <w:rPr>
          <w:color w:val="231F20"/>
        </w:rPr>
        <w:t>another</w:t>
      </w:r>
      <w:r>
        <w:rPr>
          <w:color w:val="231F20"/>
          <w:spacing w:val="-11"/>
        </w:rPr>
        <w:t xml:space="preserve"> </w:t>
      </w:r>
      <w:r>
        <w:rPr>
          <w:color w:val="231F20"/>
        </w:rPr>
        <w:t>way,</w:t>
      </w:r>
      <w:r>
        <w:rPr>
          <w:color w:val="231F20"/>
          <w:spacing w:val="-11"/>
        </w:rPr>
        <w:t xml:space="preserve"> </w:t>
      </w:r>
      <w:r>
        <w:rPr>
          <w:color w:val="231F20"/>
        </w:rPr>
        <w:t>sports</w:t>
      </w:r>
      <w:r>
        <w:rPr>
          <w:color w:val="231F20"/>
          <w:spacing w:val="-11"/>
        </w:rPr>
        <w:t xml:space="preserve"> </w:t>
      </w:r>
      <w:r>
        <w:rPr>
          <w:color w:val="231F20"/>
        </w:rPr>
        <w:t>facilities</w:t>
      </w:r>
      <w:r>
        <w:rPr>
          <w:color w:val="231F20"/>
          <w:spacing w:val="-11"/>
        </w:rPr>
        <w:t xml:space="preserve"> </w:t>
      </w:r>
      <w:r>
        <w:rPr>
          <w:color w:val="231F20"/>
        </w:rPr>
        <w:t>may</w:t>
      </w:r>
      <w:r>
        <w:rPr>
          <w:color w:val="231F20"/>
          <w:spacing w:val="-11"/>
        </w:rPr>
        <w:t xml:space="preserve"> </w:t>
      </w:r>
      <w:r>
        <w:rPr>
          <w:color w:val="231F20"/>
        </w:rPr>
        <w:t>be</w:t>
      </w:r>
      <w:r>
        <w:rPr>
          <w:color w:val="231F20"/>
          <w:spacing w:val="-11"/>
        </w:rPr>
        <w:t xml:space="preserve"> </w:t>
      </w:r>
      <w:r>
        <w:rPr>
          <w:color w:val="231F20"/>
        </w:rPr>
        <w:t>built,</w:t>
      </w:r>
      <w:r>
        <w:rPr>
          <w:color w:val="231F20"/>
          <w:spacing w:val="-11"/>
        </w:rPr>
        <w:t xml:space="preserve"> </w:t>
      </w:r>
      <w:r>
        <w:rPr>
          <w:color w:val="231F20"/>
        </w:rPr>
        <w:t>permanently or temporarily, at locations designed to maximise market access. Such developments</w:t>
      </w:r>
      <w:r>
        <w:rPr>
          <w:color w:val="231F20"/>
          <w:spacing w:val="-3"/>
        </w:rPr>
        <w:t xml:space="preserve"> </w:t>
      </w:r>
      <w:r>
        <w:rPr>
          <w:color w:val="231F20"/>
        </w:rPr>
        <w:t>offer</w:t>
      </w:r>
      <w:r>
        <w:rPr>
          <w:color w:val="231F20"/>
          <w:spacing w:val="-3"/>
        </w:rPr>
        <w:t xml:space="preserve"> </w:t>
      </w:r>
      <w:r>
        <w:rPr>
          <w:color w:val="231F20"/>
        </w:rPr>
        <w:t>the</w:t>
      </w:r>
      <w:r>
        <w:rPr>
          <w:color w:val="231F20"/>
          <w:spacing w:val="-3"/>
        </w:rPr>
        <w:t xml:space="preserve"> </w:t>
      </w:r>
      <w:r>
        <w:rPr>
          <w:color w:val="231F20"/>
        </w:rPr>
        <w:t>potential</w:t>
      </w:r>
      <w:r>
        <w:rPr>
          <w:color w:val="231F20"/>
          <w:spacing w:val="-3"/>
        </w:rPr>
        <w:t xml:space="preserve"> </w:t>
      </w:r>
      <w:r>
        <w:rPr>
          <w:color w:val="231F20"/>
        </w:rPr>
        <w:t>to</w:t>
      </w:r>
      <w:r>
        <w:rPr>
          <w:color w:val="231F20"/>
          <w:spacing w:val="-3"/>
        </w:rPr>
        <w:t xml:space="preserve"> </w:t>
      </w:r>
      <w:r>
        <w:rPr>
          <w:color w:val="231F20"/>
        </w:rPr>
        <w:t>enhance</w:t>
      </w:r>
      <w:r>
        <w:rPr>
          <w:color w:val="231F20"/>
          <w:spacing w:val="-3"/>
        </w:rPr>
        <w:t xml:space="preserve"> </w:t>
      </w:r>
      <w:r>
        <w:rPr>
          <w:color w:val="231F20"/>
        </w:rPr>
        <w:t>the</w:t>
      </w:r>
      <w:r>
        <w:rPr>
          <w:color w:val="231F20"/>
          <w:spacing w:val="-3"/>
        </w:rPr>
        <w:t xml:space="preserve"> </w:t>
      </w:r>
      <w:r>
        <w:rPr>
          <w:color w:val="231F20"/>
        </w:rPr>
        <w:t>status</w:t>
      </w:r>
      <w:r>
        <w:rPr>
          <w:color w:val="231F20"/>
          <w:spacing w:val="-3"/>
        </w:rPr>
        <w:t xml:space="preserve"> </w:t>
      </w:r>
      <w:r>
        <w:rPr>
          <w:color w:val="231F20"/>
        </w:rPr>
        <w:t>of</w:t>
      </w:r>
      <w:r>
        <w:rPr>
          <w:color w:val="231F20"/>
          <w:spacing w:val="-3"/>
        </w:rPr>
        <w:t xml:space="preserve"> </w:t>
      </w:r>
      <w:r>
        <w:rPr>
          <w:color w:val="231F20"/>
        </w:rPr>
        <w:t>sports,</w:t>
      </w:r>
      <w:r>
        <w:rPr>
          <w:color w:val="231F20"/>
          <w:spacing w:val="-3"/>
        </w:rPr>
        <w:t xml:space="preserve"> </w:t>
      </w:r>
      <w:r>
        <w:rPr>
          <w:color w:val="231F20"/>
        </w:rPr>
        <w:t>such</w:t>
      </w:r>
      <w:r>
        <w:rPr>
          <w:color w:val="231F20"/>
          <w:spacing w:val="-3"/>
        </w:rPr>
        <w:t xml:space="preserve"> </w:t>
      </w:r>
      <w:r>
        <w:rPr>
          <w:color w:val="231F20"/>
        </w:rPr>
        <w:t>as snowboarding</w:t>
      </w:r>
      <w:r>
        <w:rPr>
          <w:color w:val="231F20"/>
          <w:spacing w:val="-10"/>
        </w:rPr>
        <w:t xml:space="preserve"> </w:t>
      </w:r>
      <w:r>
        <w:rPr>
          <w:color w:val="231F20"/>
        </w:rPr>
        <w:t>and</w:t>
      </w:r>
      <w:r>
        <w:rPr>
          <w:color w:val="231F20"/>
          <w:spacing w:val="-10"/>
        </w:rPr>
        <w:t xml:space="preserve"> </w:t>
      </w:r>
      <w:r>
        <w:rPr>
          <w:color w:val="231F20"/>
        </w:rPr>
        <w:t>beach</w:t>
      </w:r>
      <w:r>
        <w:rPr>
          <w:color w:val="231F20"/>
          <w:spacing w:val="-10"/>
        </w:rPr>
        <w:t xml:space="preserve"> </w:t>
      </w:r>
      <w:r>
        <w:rPr>
          <w:color w:val="231F20"/>
        </w:rPr>
        <w:t>volleyball,</w:t>
      </w:r>
      <w:r>
        <w:rPr>
          <w:color w:val="231F20"/>
          <w:spacing w:val="-10"/>
        </w:rPr>
        <w:t xml:space="preserve"> </w:t>
      </w:r>
      <w:r>
        <w:rPr>
          <w:color w:val="231F20"/>
        </w:rPr>
        <w:t>through</w:t>
      </w:r>
      <w:r>
        <w:rPr>
          <w:color w:val="231F20"/>
          <w:spacing w:val="-10"/>
        </w:rPr>
        <w:t xml:space="preserve"> </w:t>
      </w:r>
      <w:r>
        <w:rPr>
          <w:color w:val="231F20"/>
        </w:rPr>
        <w:t>increased</w:t>
      </w:r>
      <w:r>
        <w:rPr>
          <w:color w:val="231F20"/>
          <w:spacing w:val="-10"/>
        </w:rPr>
        <w:t xml:space="preserve"> </w:t>
      </w:r>
      <w:r>
        <w:rPr>
          <w:color w:val="231F20"/>
        </w:rPr>
        <w:t>public</w:t>
      </w:r>
      <w:r>
        <w:rPr>
          <w:color w:val="231F20"/>
          <w:spacing w:val="-10"/>
        </w:rPr>
        <w:t xml:space="preserve"> </w:t>
      </w:r>
      <w:r>
        <w:rPr>
          <w:color w:val="231F20"/>
        </w:rPr>
        <w:t>awareness and spectatorship. However, th</w:t>
      </w:r>
      <w:r>
        <w:rPr>
          <w:color w:val="231F20"/>
        </w:rPr>
        <w:t xml:space="preserve">e transportability of sports also presents the threat of the displacement of a sporting activity from its original location. The importance of retaining and enhancing the idiosyncrasies </w:t>
      </w:r>
      <w:r>
        <w:rPr>
          <w:color w:val="231F20"/>
          <w:w w:val="95"/>
        </w:rPr>
        <w:t>and elements of uniqueness associated with a tourism site is an import</w:t>
      </w:r>
      <w:r>
        <w:rPr>
          <w:color w:val="231F20"/>
          <w:w w:val="95"/>
        </w:rPr>
        <w:t xml:space="preserve">ant </w:t>
      </w:r>
      <w:r>
        <w:rPr>
          <w:color w:val="231F20"/>
        </w:rPr>
        <w:t>strategy to mitigate this threat (Bale, 1989).</w:t>
      </w:r>
    </w:p>
    <w:p w14:paraId="743AC752" w14:textId="77777777" w:rsidR="00AE0598" w:rsidRDefault="00AE0598">
      <w:pPr>
        <w:pStyle w:val="Corpodetexto"/>
        <w:spacing w:before="8"/>
        <w:rPr>
          <w:sz w:val="22"/>
        </w:rPr>
      </w:pPr>
    </w:p>
    <w:p w14:paraId="0DFD875C" w14:textId="77777777" w:rsidR="00AE0598" w:rsidRDefault="0069255A">
      <w:pPr>
        <w:ind w:left="110"/>
        <w:jc w:val="both"/>
        <w:rPr>
          <w:rFonts w:ascii="Trebuchet MS"/>
          <w:b/>
          <w:sz w:val="20"/>
        </w:rPr>
      </w:pPr>
      <w:r>
        <w:rPr>
          <w:rFonts w:ascii="Trebuchet MS"/>
          <w:b/>
          <w:color w:val="231F20"/>
          <w:sz w:val="20"/>
        </w:rPr>
        <w:t>Environmental</w:t>
      </w:r>
      <w:r>
        <w:rPr>
          <w:rFonts w:ascii="Trebuchet MS"/>
          <w:b/>
          <w:color w:val="231F20"/>
          <w:spacing w:val="7"/>
          <w:sz w:val="20"/>
        </w:rPr>
        <w:t xml:space="preserve"> </w:t>
      </w:r>
      <w:r>
        <w:rPr>
          <w:rFonts w:ascii="Trebuchet MS"/>
          <w:b/>
          <w:color w:val="231F20"/>
          <w:sz w:val="20"/>
        </w:rPr>
        <w:t>Impacts</w:t>
      </w:r>
      <w:r>
        <w:rPr>
          <w:rFonts w:ascii="Trebuchet MS"/>
          <w:b/>
          <w:color w:val="231F20"/>
          <w:spacing w:val="8"/>
          <w:sz w:val="20"/>
        </w:rPr>
        <w:t xml:space="preserve"> </w:t>
      </w:r>
      <w:r>
        <w:rPr>
          <w:rFonts w:ascii="Trebuchet MS"/>
          <w:b/>
          <w:color w:val="231F20"/>
          <w:sz w:val="20"/>
        </w:rPr>
        <w:t>of</w:t>
      </w:r>
      <w:r>
        <w:rPr>
          <w:rFonts w:ascii="Trebuchet MS"/>
          <w:b/>
          <w:color w:val="231F20"/>
          <w:spacing w:val="8"/>
          <w:sz w:val="20"/>
        </w:rPr>
        <w:t xml:space="preserve"> </w:t>
      </w:r>
      <w:r>
        <w:rPr>
          <w:rFonts w:ascii="Trebuchet MS"/>
          <w:b/>
          <w:color w:val="231F20"/>
          <w:sz w:val="20"/>
        </w:rPr>
        <w:t>Sport</w:t>
      </w:r>
      <w:r>
        <w:rPr>
          <w:rFonts w:ascii="Trebuchet MS"/>
          <w:b/>
          <w:color w:val="231F20"/>
          <w:spacing w:val="8"/>
          <w:sz w:val="20"/>
        </w:rPr>
        <w:t xml:space="preserve"> </w:t>
      </w:r>
      <w:r>
        <w:rPr>
          <w:rFonts w:ascii="Trebuchet MS"/>
          <w:b/>
          <w:color w:val="231F20"/>
          <w:spacing w:val="-2"/>
          <w:sz w:val="20"/>
        </w:rPr>
        <w:t>Tourism</w:t>
      </w:r>
    </w:p>
    <w:p w14:paraId="523E7D8F" w14:textId="77777777" w:rsidR="00AE0598" w:rsidRDefault="0069255A">
      <w:pPr>
        <w:pStyle w:val="Corpodetexto"/>
        <w:spacing w:before="122" w:line="232" w:lineRule="auto"/>
        <w:ind w:left="110" w:right="127" w:firstLine="320"/>
        <w:jc w:val="both"/>
      </w:pPr>
      <w:r>
        <w:rPr>
          <w:color w:val="231F20"/>
        </w:rPr>
        <w:t xml:space="preserve">From a geographical perspective, ‘the environment is the totality of </w:t>
      </w:r>
      <w:r>
        <w:rPr>
          <w:color w:val="231F20"/>
          <w:w w:val="95"/>
        </w:rPr>
        <w:t xml:space="preserve">tourism activity, incorporating natural elements and society’s modification </w:t>
      </w:r>
      <w:r>
        <w:rPr>
          <w:color w:val="231F20"/>
        </w:rPr>
        <w:t>of the landscape and</w:t>
      </w:r>
      <w:r>
        <w:rPr>
          <w:color w:val="231F20"/>
        </w:rPr>
        <w:t xml:space="preserve"> resources’ (Mitchell &amp; Murphy, 1991: 59). An </w:t>
      </w:r>
      <w:r>
        <w:rPr>
          <w:color w:val="231F20"/>
          <w:w w:val="95"/>
        </w:rPr>
        <w:t>understanding</w:t>
      </w:r>
      <w:r>
        <w:rPr>
          <w:color w:val="231F20"/>
          <w:spacing w:val="-3"/>
          <w:w w:val="95"/>
        </w:rPr>
        <w:t xml:space="preserve"> </w:t>
      </w:r>
      <w:r>
        <w:rPr>
          <w:color w:val="231F20"/>
          <w:w w:val="95"/>
        </w:rPr>
        <w:t>of</w:t>
      </w:r>
      <w:r>
        <w:rPr>
          <w:color w:val="231F20"/>
          <w:spacing w:val="-3"/>
          <w:w w:val="95"/>
        </w:rPr>
        <w:t xml:space="preserve"> </w:t>
      </w:r>
      <w:r>
        <w:rPr>
          <w:color w:val="231F20"/>
          <w:w w:val="95"/>
        </w:rPr>
        <w:t>the</w:t>
      </w:r>
      <w:r>
        <w:rPr>
          <w:color w:val="231F20"/>
          <w:spacing w:val="-3"/>
          <w:w w:val="95"/>
        </w:rPr>
        <w:t xml:space="preserve"> </w:t>
      </w:r>
      <w:r>
        <w:rPr>
          <w:color w:val="231F20"/>
          <w:w w:val="95"/>
        </w:rPr>
        <w:t>impacts</w:t>
      </w:r>
      <w:r>
        <w:rPr>
          <w:color w:val="231F20"/>
          <w:spacing w:val="-3"/>
          <w:w w:val="95"/>
        </w:rPr>
        <w:t xml:space="preserve"> </w:t>
      </w:r>
      <w:r>
        <w:rPr>
          <w:color w:val="231F20"/>
          <w:w w:val="95"/>
        </w:rPr>
        <w:t>of</w:t>
      </w:r>
      <w:r>
        <w:rPr>
          <w:color w:val="231F20"/>
          <w:spacing w:val="-3"/>
          <w:w w:val="95"/>
        </w:rPr>
        <w:t xml:space="preserve"> </w:t>
      </w:r>
      <w:r>
        <w:rPr>
          <w:color w:val="231F20"/>
          <w:w w:val="95"/>
        </w:rPr>
        <w:t>sport</w:t>
      </w:r>
      <w:r>
        <w:rPr>
          <w:color w:val="231F20"/>
          <w:spacing w:val="-3"/>
          <w:w w:val="95"/>
        </w:rPr>
        <w:t xml:space="preserve"> </w:t>
      </w:r>
      <w:r>
        <w:rPr>
          <w:color w:val="231F20"/>
          <w:w w:val="95"/>
        </w:rPr>
        <w:t>tourism,</w:t>
      </w:r>
      <w:r>
        <w:rPr>
          <w:color w:val="231F20"/>
          <w:spacing w:val="-3"/>
          <w:w w:val="95"/>
        </w:rPr>
        <w:t xml:space="preserve"> </w:t>
      </w:r>
      <w:r>
        <w:rPr>
          <w:color w:val="231F20"/>
          <w:w w:val="95"/>
        </w:rPr>
        <w:t>and</w:t>
      </w:r>
      <w:r>
        <w:rPr>
          <w:color w:val="231F20"/>
          <w:spacing w:val="-3"/>
          <w:w w:val="95"/>
        </w:rPr>
        <w:t xml:space="preserve"> </w:t>
      </w:r>
      <w:r>
        <w:rPr>
          <w:color w:val="231F20"/>
          <w:w w:val="95"/>
        </w:rPr>
        <w:t>management</w:t>
      </w:r>
      <w:r>
        <w:rPr>
          <w:color w:val="231F20"/>
          <w:spacing w:val="-3"/>
          <w:w w:val="95"/>
        </w:rPr>
        <w:t xml:space="preserve"> </w:t>
      </w:r>
      <w:r>
        <w:rPr>
          <w:color w:val="231F20"/>
          <w:w w:val="95"/>
        </w:rPr>
        <w:t xml:space="preserve">techniques </w:t>
      </w:r>
      <w:r>
        <w:rPr>
          <w:color w:val="231F20"/>
        </w:rPr>
        <w:t xml:space="preserve">appropriate to those impacts, is central to the sustainable development of sport and tourism. ‘Inevitably, the growth and continuing locational </w:t>
      </w:r>
      <w:r>
        <w:rPr>
          <w:color w:val="231F20"/>
          <w:w w:val="95"/>
        </w:rPr>
        <w:t>adjustments</w:t>
      </w:r>
      <w:r>
        <w:rPr>
          <w:color w:val="231F20"/>
          <w:spacing w:val="-2"/>
          <w:w w:val="95"/>
        </w:rPr>
        <w:t xml:space="preserve"> </w:t>
      </w:r>
      <w:r>
        <w:rPr>
          <w:color w:val="231F20"/>
          <w:w w:val="95"/>
        </w:rPr>
        <w:t>made</w:t>
      </w:r>
      <w:r>
        <w:rPr>
          <w:color w:val="231F20"/>
          <w:spacing w:val="-2"/>
          <w:w w:val="95"/>
        </w:rPr>
        <w:t xml:space="preserve"> </w:t>
      </w:r>
      <w:r>
        <w:rPr>
          <w:color w:val="231F20"/>
          <w:w w:val="95"/>
        </w:rPr>
        <w:t>by</w:t>
      </w:r>
      <w:r>
        <w:rPr>
          <w:color w:val="231F20"/>
          <w:spacing w:val="-2"/>
          <w:w w:val="95"/>
        </w:rPr>
        <w:t xml:space="preserve"> </w:t>
      </w:r>
      <w:r>
        <w:rPr>
          <w:color w:val="231F20"/>
          <w:w w:val="95"/>
        </w:rPr>
        <w:t>modern</w:t>
      </w:r>
      <w:r>
        <w:rPr>
          <w:color w:val="231F20"/>
          <w:spacing w:val="-2"/>
          <w:w w:val="95"/>
        </w:rPr>
        <w:t xml:space="preserve"> </w:t>
      </w:r>
      <w:r>
        <w:rPr>
          <w:color w:val="231F20"/>
          <w:w w:val="95"/>
        </w:rPr>
        <w:t>sports</w:t>
      </w:r>
      <w:r>
        <w:rPr>
          <w:color w:val="231F20"/>
          <w:spacing w:val="-2"/>
          <w:w w:val="95"/>
        </w:rPr>
        <w:t xml:space="preserve"> </w:t>
      </w:r>
      <w:r>
        <w:rPr>
          <w:color w:val="231F20"/>
          <w:w w:val="95"/>
        </w:rPr>
        <w:t>have</w:t>
      </w:r>
      <w:r>
        <w:rPr>
          <w:color w:val="231F20"/>
          <w:spacing w:val="-2"/>
          <w:w w:val="95"/>
        </w:rPr>
        <w:t xml:space="preserve"> </w:t>
      </w:r>
      <w:r>
        <w:rPr>
          <w:color w:val="231F20"/>
          <w:w w:val="95"/>
        </w:rPr>
        <w:t>created</w:t>
      </w:r>
      <w:r>
        <w:rPr>
          <w:color w:val="231F20"/>
          <w:spacing w:val="-2"/>
          <w:w w:val="95"/>
        </w:rPr>
        <w:t xml:space="preserve"> </w:t>
      </w:r>
      <w:r>
        <w:rPr>
          <w:color w:val="231F20"/>
          <w:w w:val="95"/>
        </w:rPr>
        <w:t>significant</w:t>
      </w:r>
      <w:r>
        <w:rPr>
          <w:color w:val="231F20"/>
          <w:spacing w:val="-2"/>
          <w:w w:val="95"/>
        </w:rPr>
        <w:t xml:space="preserve"> </w:t>
      </w:r>
      <w:r>
        <w:rPr>
          <w:color w:val="231F20"/>
          <w:w w:val="95"/>
        </w:rPr>
        <w:t>changes</w:t>
      </w:r>
      <w:r>
        <w:rPr>
          <w:color w:val="231F20"/>
          <w:spacing w:val="-2"/>
          <w:w w:val="95"/>
        </w:rPr>
        <w:t xml:space="preserve"> </w:t>
      </w:r>
      <w:r>
        <w:rPr>
          <w:color w:val="231F20"/>
          <w:w w:val="95"/>
        </w:rPr>
        <w:t>in</w:t>
      </w:r>
      <w:r>
        <w:rPr>
          <w:color w:val="231F20"/>
          <w:spacing w:val="-2"/>
          <w:w w:val="95"/>
        </w:rPr>
        <w:t xml:space="preserve"> </w:t>
      </w:r>
      <w:r>
        <w:rPr>
          <w:color w:val="231F20"/>
          <w:w w:val="95"/>
        </w:rPr>
        <w:t>the</w:t>
      </w:r>
    </w:p>
    <w:p w14:paraId="4263A613" w14:textId="77777777" w:rsidR="00AE0598" w:rsidRDefault="00AE0598">
      <w:pPr>
        <w:spacing w:line="232" w:lineRule="auto"/>
        <w:jc w:val="both"/>
        <w:sectPr w:rsidR="00AE0598">
          <w:pgSz w:w="8850" w:h="13270"/>
          <w:pgMar w:top="720" w:right="1060" w:bottom="280" w:left="1080" w:header="720" w:footer="720" w:gutter="0"/>
          <w:cols w:space="720"/>
        </w:sectPr>
      </w:pPr>
    </w:p>
    <w:p w14:paraId="03E6F98D" w14:textId="77777777" w:rsidR="00AE0598" w:rsidRDefault="0069255A">
      <w:pPr>
        <w:spacing w:before="87"/>
        <w:ind w:left="108"/>
        <w:rPr>
          <w:rFonts w:ascii="Trebuchet MS"/>
          <w:sz w:val="14"/>
        </w:rPr>
      </w:pPr>
      <w:r>
        <w:rPr>
          <w:rFonts w:ascii="Trebuchet MS"/>
          <w:color w:val="231F20"/>
          <w:w w:val="105"/>
          <w:sz w:val="14"/>
        </w:rPr>
        <w:lastRenderedPageBreak/>
        <w:t>140</w:t>
      </w:r>
      <w:r>
        <w:rPr>
          <w:rFonts w:ascii="Trebuchet MS"/>
          <w:color w:val="231F20"/>
          <w:spacing w:val="66"/>
          <w:w w:val="150"/>
          <w:sz w:val="14"/>
        </w:rPr>
        <w:t xml:space="preserve"> </w:t>
      </w:r>
      <w:r>
        <w:rPr>
          <w:rFonts w:ascii="Trebuchet MS"/>
          <w:color w:val="231F20"/>
          <w:w w:val="105"/>
          <w:sz w:val="14"/>
        </w:rPr>
        <w:t>Part</w:t>
      </w:r>
      <w:r>
        <w:rPr>
          <w:rFonts w:ascii="Trebuchet MS"/>
          <w:color w:val="231F20"/>
          <w:spacing w:val="-9"/>
          <w:w w:val="105"/>
          <w:sz w:val="14"/>
        </w:rPr>
        <w:t xml:space="preserve"> </w:t>
      </w:r>
      <w:r>
        <w:rPr>
          <w:rFonts w:ascii="Trebuchet MS"/>
          <w:color w:val="231F20"/>
          <w:w w:val="105"/>
          <w:sz w:val="14"/>
        </w:rPr>
        <w:t>3:</w:t>
      </w:r>
      <w:r>
        <w:rPr>
          <w:rFonts w:ascii="Trebuchet MS"/>
          <w:color w:val="231F20"/>
          <w:spacing w:val="-8"/>
          <w:w w:val="105"/>
          <w:sz w:val="14"/>
        </w:rPr>
        <w:t xml:space="preserve"> </w:t>
      </w:r>
      <w:r>
        <w:rPr>
          <w:rFonts w:ascii="Trebuchet MS"/>
          <w:color w:val="231F20"/>
          <w:w w:val="105"/>
          <w:sz w:val="14"/>
        </w:rPr>
        <w:t>Sport</w:t>
      </w:r>
      <w:r>
        <w:rPr>
          <w:rFonts w:ascii="Trebuchet MS"/>
          <w:color w:val="231F20"/>
          <w:spacing w:val="-9"/>
          <w:w w:val="105"/>
          <w:sz w:val="14"/>
        </w:rPr>
        <w:t xml:space="preserve"> </w:t>
      </w:r>
      <w:r>
        <w:rPr>
          <w:rFonts w:ascii="Trebuchet MS"/>
          <w:color w:val="231F20"/>
          <w:w w:val="105"/>
          <w:sz w:val="14"/>
        </w:rPr>
        <w:t>Touris</w:t>
      </w:r>
      <w:r>
        <w:rPr>
          <w:rFonts w:ascii="Trebuchet MS"/>
          <w:color w:val="231F20"/>
          <w:w w:val="105"/>
          <w:sz w:val="14"/>
        </w:rPr>
        <w:t>m</w:t>
      </w:r>
      <w:r>
        <w:rPr>
          <w:rFonts w:ascii="Trebuchet MS"/>
          <w:color w:val="231F20"/>
          <w:spacing w:val="-9"/>
          <w:w w:val="105"/>
          <w:sz w:val="14"/>
        </w:rPr>
        <w:t xml:space="preserve"> </w:t>
      </w:r>
      <w:r>
        <w:rPr>
          <w:rFonts w:ascii="Trebuchet MS"/>
          <w:color w:val="231F20"/>
          <w:w w:val="105"/>
          <w:sz w:val="14"/>
        </w:rPr>
        <w:t>Development</w:t>
      </w:r>
      <w:r>
        <w:rPr>
          <w:rFonts w:ascii="Trebuchet MS"/>
          <w:color w:val="231F20"/>
          <w:spacing w:val="-9"/>
          <w:w w:val="105"/>
          <w:sz w:val="14"/>
        </w:rPr>
        <w:t xml:space="preserve"> </w:t>
      </w:r>
      <w:r>
        <w:rPr>
          <w:rFonts w:ascii="Trebuchet MS"/>
          <w:color w:val="231F20"/>
          <w:w w:val="105"/>
          <w:sz w:val="14"/>
        </w:rPr>
        <w:t>and</w:t>
      </w:r>
      <w:r>
        <w:rPr>
          <w:rFonts w:ascii="Trebuchet MS"/>
          <w:color w:val="231F20"/>
          <w:spacing w:val="-8"/>
          <w:w w:val="105"/>
          <w:sz w:val="14"/>
        </w:rPr>
        <w:t xml:space="preserve"> </w:t>
      </w:r>
      <w:r>
        <w:rPr>
          <w:rFonts w:ascii="Trebuchet MS"/>
          <w:color w:val="231F20"/>
          <w:spacing w:val="-2"/>
          <w:w w:val="105"/>
          <w:sz w:val="14"/>
        </w:rPr>
        <w:t>Space</w:t>
      </w:r>
    </w:p>
    <w:p w14:paraId="4F00571C" w14:textId="77777777" w:rsidR="00AE0598" w:rsidRDefault="00AE0598">
      <w:pPr>
        <w:pStyle w:val="Corpodetexto"/>
        <w:rPr>
          <w:rFonts w:ascii="Trebuchet MS"/>
          <w:sz w:val="16"/>
        </w:rPr>
      </w:pPr>
    </w:p>
    <w:p w14:paraId="5B1AB28C" w14:textId="77777777" w:rsidR="00AE0598" w:rsidRDefault="0069255A">
      <w:pPr>
        <w:pStyle w:val="Corpodetexto"/>
        <w:spacing w:before="118" w:line="232" w:lineRule="auto"/>
        <w:ind w:left="110" w:right="126"/>
        <w:jc w:val="both"/>
      </w:pPr>
      <w:r>
        <w:rPr>
          <w:color w:val="231F20"/>
          <w:w w:val="95"/>
        </w:rPr>
        <w:t xml:space="preserve">landscape’ (Bale, 1989: 142). Many such impacts are fleeting, or temporary. </w:t>
      </w:r>
      <w:r>
        <w:rPr>
          <w:color w:val="231F20"/>
        </w:rPr>
        <w:t xml:space="preserve">Triathlons, marathons, cycle races, car rallies and festival or exhibition sports are often conducted on circuits, courses or courts that may be </w:t>
      </w:r>
      <w:r>
        <w:rPr>
          <w:color w:val="231F20"/>
          <w:w w:val="95"/>
        </w:rPr>
        <w:t xml:space="preserve">constructed temporarily in urban areas. The impacts of these sports, which </w:t>
      </w:r>
      <w:r>
        <w:rPr>
          <w:color w:val="231F20"/>
        </w:rPr>
        <w:t>may include a sizeable body of spect</w:t>
      </w:r>
      <w:r>
        <w:rPr>
          <w:color w:val="231F20"/>
        </w:rPr>
        <w:t xml:space="preserve">ators, are rapidly dispersed at the </w:t>
      </w:r>
      <w:r>
        <w:rPr>
          <w:color w:val="231F20"/>
          <w:w w:val="95"/>
        </w:rPr>
        <w:t xml:space="preserve">conclusion of the event. The immediate negative consequences of stadium- based sports may include traffic congestion and crowding, and undesirable </w:t>
      </w:r>
      <w:r>
        <w:rPr>
          <w:color w:val="231F20"/>
        </w:rPr>
        <w:t>impacts such as vandalism, antisocial behaviour, littering and noise. The</w:t>
      </w:r>
      <w:r>
        <w:rPr>
          <w:color w:val="231F20"/>
        </w:rPr>
        <w:t xml:space="preserve">se impacts are generally short term but they can cause disruption to </w:t>
      </w:r>
      <w:r>
        <w:rPr>
          <w:color w:val="231F20"/>
          <w:w w:val="95"/>
        </w:rPr>
        <w:t>community residents (Bale, 1994). They may also result in aversion effects upon visitor flows into or within a destination as non-sport tourists choose to visit other destinations or canc</w:t>
      </w:r>
      <w:r>
        <w:rPr>
          <w:color w:val="231F20"/>
          <w:w w:val="95"/>
        </w:rPr>
        <w:t xml:space="preserve">el intended visits during scheduled sport </w:t>
      </w:r>
      <w:r>
        <w:rPr>
          <w:color w:val="231F20"/>
        </w:rPr>
        <w:t>events (Weed, 2007).</w:t>
      </w:r>
    </w:p>
    <w:p w14:paraId="2A409BD9" w14:textId="77777777" w:rsidR="00AE0598" w:rsidRDefault="0069255A">
      <w:pPr>
        <w:pStyle w:val="Corpodetexto"/>
        <w:spacing w:before="16" w:line="232" w:lineRule="auto"/>
        <w:ind w:left="110" w:right="126" w:firstLine="320"/>
        <w:jc w:val="both"/>
      </w:pPr>
      <w:r>
        <w:rPr>
          <w:color w:val="231F20"/>
          <w:w w:val="95"/>
        </w:rPr>
        <w:t xml:space="preserve">Other sports may have a longer-term or indelible impact in cases where </w:t>
      </w:r>
      <w:r>
        <w:rPr>
          <w:color w:val="231F20"/>
        </w:rPr>
        <w:t>naturalness forms an important, perhaps central element of the sport tourist experience. While environmental impacts in na</w:t>
      </w:r>
      <w:r>
        <w:rPr>
          <w:color w:val="231F20"/>
        </w:rPr>
        <w:t>tural areas may be ‘permanent but, paradoxically annoying to few’ (Bale, 1994: 11), one significant</w:t>
      </w:r>
      <w:r>
        <w:rPr>
          <w:color w:val="231F20"/>
          <w:spacing w:val="-2"/>
        </w:rPr>
        <w:t xml:space="preserve"> </w:t>
      </w:r>
      <w:r>
        <w:rPr>
          <w:color w:val="231F20"/>
        </w:rPr>
        <w:t>consequence</w:t>
      </w:r>
      <w:r>
        <w:rPr>
          <w:color w:val="231F20"/>
          <w:spacing w:val="-2"/>
        </w:rPr>
        <w:t xml:space="preserve"> </w:t>
      </w:r>
      <w:r>
        <w:rPr>
          <w:color w:val="231F20"/>
        </w:rPr>
        <w:t>may</w:t>
      </w:r>
      <w:r>
        <w:rPr>
          <w:color w:val="231F20"/>
          <w:spacing w:val="-2"/>
        </w:rPr>
        <w:t xml:space="preserve"> </w:t>
      </w:r>
      <w:r>
        <w:rPr>
          <w:color w:val="231F20"/>
        </w:rPr>
        <w:t>be</w:t>
      </w:r>
      <w:r>
        <w:rPr>
          <w:color w:val="231F20"/>
          <w:spacing w:val="-2"/>
        </w:rPr>
        <w:t xml:space="preserve"> </w:t>
      </w:r>
      <w:r>
        <w:rPr>
          <w:color w:val="231F20"/>
        </w:rPr>
        <w:t>a</w:t>
      </w:r>
      <w:r>
        <w:rPr>
          <w:color w:val="231F20"/>
          <w:spacing w:val="-2"/>
        </w:rPr>
        <w:t xml:space="preserve"> </w:t>
      </w:r>
      <w:r>
        <w:rPr>
          <w:color w:val="231F20"/>
        </w:rPr>
        <w:t>compromise</w:t>
      </w:r>
      <w:r>
        <w:rPr>
          <w:color w:val="231F20"/>
          <w:spacing w:val="-2"/>
        </w:rPr>
        <w:t xml:space="preserve"> </w:t>
      </w:r>
      <w:r>
        <w:rPr>
          <w:color w:val="231F20"/>
        </w:rPr>
        <w:t>of</w:t>
      </w:r>
      <w:r>
        <w:rPr>
          <w:color w:val="231F20"/>
          <w:spacing w:val="-2"/>
        </w:rPr>
        <w:t xml:space="preserve"> </w:t>
      </w:r>
      <w:r>
        <w:rPr>
          <w:color w:val="231F20"/>
        </w:rPr>
        <w:t>the</w:t>
      </w:r>
      <w:r>
        <w:rPr>
          <w:color w:val="231F20"/>
          <w:spacing w:val="-2"/>
        </w:rPr>
        <w:t xml:space="preserve"> </w:t>
      </w:r>
      <w:r>
        <w:rPr>
          <w:color w:val="231F20"/>
        </w:rPr>
        <w:t>quality</w:t>
      </w:r>
      <w:r>
        <w:rPr>
          <w:color w:val="231F20"/>
          <w:spacing w:val="-2"/>
        </w:rPr>
        <w:t xml:space="preserve"> </w:t>
      </w:r>
      <w:r>
        <w:rPr>
          <w:color w:val="231F20"/>
        </w:rPr>
        <w:t>of</w:t>
      </w:r>
      <w:r>
        <w:rPr>
          <w:color w:val="231F20"/>
          <w:spacing w:val="-2"/>
        </w:rPr>
        <w:t xml:space="preserve"> </w:t>
      </w:r>
      <w:r>
        <w:rPr>
          <w:color w:val="231F20"/>
        </w:rPr>
        <w:t>the</w:t>
      </w:r>
      <w:r>
        <w:rPr>
          <w:color w:val="231F20"/>
          <w:spacing w:val="-2"/>
        </w:rPr>
        <w:t xml:space="preserve"> </w:t>
      </w:r>
      <w:r>
        <w:rPr>
          <w:color w:val="231F20"/>
        </w:rPr>
        <w:t xml:space="preserve">sport tourist experience. This is illustrated by the stagnation of ski markets in </w:t>
      </w:r>
      <w:r>
        <w:rPr>
          <w:color w:val="231F20"/>
          <w:w w:val="95"/>
        </w:rPr>
        <w:t>Europe and North Ame</w:t>
      </w:r>
      <w:r>
        <w:rPr>
          <w:color w:val="231F20"/>
          <w:w w:val="95"/>
        </w:rPr>
        <w:t>rica as a demand-led response to the unsustainable management of environmentally sensitive alpine environments (Flagestad</w:t>
      </w:r>
      <w:r>
        <w:rPr>
          <w:color w:val="231F20"/>
          <w:spacing w:val="40"/>
        </w:rPr>
        <w:t xml:space="preserve"> </w:t>
      </w:r>
      <w:r>
        <w:rPr>
          <w:color w:val="231F20"/>
          <w:w w:val="95"/>
        </w:rPr>
        <w:t xml:space="preserve">&amp; Hope, 2001). Indeed, the complex interrelationships that exist between </w:t>
      </w:r>
      <w:r>
        <w:rPr>
          <w:color w:val="231F20"/>
        </w:rPr>
        <w:t>sport</w:t>
      </w:r>
      <w:r>
        <w:rPr>
          <w:color w:val="231F20"/>
          <w:spacing w:val="-5"/>
        </w:rPr>
        <w:t xml:space="preserve"> </w:t>
      </w:r>
      <w:r>
        <w:rPr>
          <w:color w:val="231F20"/>
        </w:rPr>
        <w:t>and</w:t>
      </w:r>
      <w:r>
        <w:rPr>
          <w:color w:val="231F20"/>
          <w:spacing w:val="-5"/>
        </w:rPr>
        <w:t xml:space="preserve"> </w:t>
      </w:r>
      <w:r>
        <w:rPr>
          <w:color w:val="231F20"/>
        </w:rPr>
        <w:t>tourism</w:t>
      </w:r>
      <w:r>
        <w:rPr>
          <w:color w:val="231F20"/>
          <w:spacing w:val="-5"/>
        </w:rPr>
        <w:t xml:space="preserve"> </w:t>
      </w:r>
      <w:r>
        <w:rPr>
          <w:color w:val="231F20"/>
        </w:rPr>
        <w:t>are</w:t>
      </w:r>
      <w:r>
        <w:rPr>
          <w:color w:val="231F20"/>
          <w:spacing w:val="-5"/>
        </w:rPr>
        <w:t xml:space="preserve"> </w:t>
      </w:r>
      <w:r>
        <w:rPr>
          <w:color w:val="231F20"/>
        </w:rPr>
        <w:t>particularly</w:t>
      </w:r>
      <w:r>
        <w:rPr>
          <w:color w:val="231F20"/>
          <w:spacing w:val="-5"/>
        </w:rPr>
        <w:t xml:space="preserve"> </w:t>
      </w:r>
      <w:r>
        <w:rPr>
          <w:color w:val="231F20"/>
        </w:rPr>
        <w:t>evident</w:t>
      </w:r>
      <w:r>
        <w:rPr>
          <w:color w:val="231F20"/>
          <w:spacing w:val="-5"/>
        </w:rPr>
        <w:t xml:space="preserve"> </w:t>
      </w:r>
      <w:r>
        <w:rPr>
          <w:color w:val="231F20"/>
        </w:rPr>
        <w:t>in</w:t>
      </w:r>
      <w:r>
        <w:rPr>
          <w:color w:val="231F20"/>
          <w:spacing w:val="-5"/>
        </w:rPr>
        <w:t xml:space="preserve"> </w:t>
      </w:r>
      <w:r>
        <w:rPr>
          <w:color w:val="231F20"/>
        </w:rPr>
        <w:t>some</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glo</w:t>
      </w:r>
      <w:r>
        <w:rPr>
          <w:color w:val="231F20"/>
        </w:rPr>
        <w:t>bal</w:t>
      </w:r>
      <w:r>
        <w:rPr>
          <w:color w:val="231F20"/>
          <w:spacing w:val="-5"/>
        </w:rPr>
        <w:t xml:space="preserve"> </w:t>
      </w:r>
      <w:r>
        <w:rPr>
          <w:color w:val="231F20"/>
        </w:rPr>
        <w:t>forces</w:t>
      </w:r>
      <w:r>
        <w:rPr>
          <w:color w:val="231F20"/>
          <w:spacing w:val="-5"/>
        </w:rPr>
        <w:t xml:space="preserve"> </w:t>
      </w:r>
      <w:r>
        <w:rPr>
          <w:color w:val="231F20"/>
        </w:rPr>
        <w:t xml:space="preserve">of environmental change that are now influencing the quality and indeed viability of the sport and tourism natural resource base (Marshall </w:t>
      </w:r>
      <w:r>
        <w:rPr>
          <w:i/>
          <w:color w:val="231F20"/>
        </w:rPr>
        <w:t>et al</w:t>
      </w:r>
      <w:r>
        <w:rPr>
          <w:color w:val="231F20"/>
        </w:rPr>
        <w:t xml:space="preserve">., 2011; Pickering </w:t>
      </w:r>
      <w:r>
        <w:rPr>
          <w:i/>
          <w:color w:val="231F20"/>
        </w:rPr>
        <w:t>et al</w:t>
      </w:r>
      <w:r>
        <w:rPr>
          <w:color w:val="231F20"/>
        </w:rPr>
        <w:t>., 2010; Scott &amp; McBoyle, 2007).</w:t>
      </w:r>
    </w:p>
    <w:p w14:paraId="0BA79865" w14:textId="77777777" w:rsidR="00AE0598" w:rsidRDefault="00AE0598">
      <w:pPr>
        <w:pStyle w:val="Corpodetexto"/>
        <w:spacing w:before="3"/>
        <w:rPr>
          <w:sz w:val="22"/>
        </w:rPr>
      </w:pPr>
    </w:p>
    <w:p w14:paraId="378E15E3" w14:textId="77777777" w:rsidR="00AE0598" w:rsidRDefault="0069255A">
      <w:pPr>
        <w:ind w:left="110"/>
        <w:jc w:val="both"/>
        <w:rPr>
          <w:rFonts w:ascii="Trebuchet MS"/>
          <w:sz w:val="20"/>
        </w:rPr>
      </w:pPr>
      <w:r>
        <w:rPr>
          <w:rFonts w:ascii="Trebuchet MS"/>
          <w:color w:val="231F20"/>
          <w:w w:val="105"/>
          <w:sz w:val="20"/>
        </w:rPr>
        <w:t>Sport</w:t>
      </w:r>
      <w:r>
        <w:rPr>
          <w:rFonts w:ascii="Trebuchet MS"/>
          <w:color w:val="231F20"/>
          <w:spacing w:val="-5"/>
          <w:w w:val="105"/>
          <w:sz w:val="20"/>
        </w:rPr>
        <w:t xml:space="preserve"> </w:t>
      </w:r>
      <w:r>
        <w:rPr>
          <w:rFonts w:ascii="Trebuchet MS"/>
          <w:color w:val="231F20"/>
          <w:w w:val="105"/>
          <w:sz w:val="20"/>
        </w:rPr>
        <w:t>tourism</w:t>
      </w:r>
      <w:r>
        <w:rPr>
          <w:rFonts w:ascii="Trebuchet MS"/>
          <w:color w:val="231F20"/>
          <w:spacing w:val="-5"/>
          <w:w w:val="105"/>
          <w:sz w:val="20"/>
        </w:rPr>
        <w:t xml:space="preserve"> </w:t>
      </w:r>
      <w:r>
        <w:rPr>
          <w:rFonts w:ascii="Trebuchet MS"/>
          <w:color w:val="231F20"/>
          <w:w w:val="105"/>
          <w:sz w:val="20"/>
        </w:rPr>
        <w:t>and</w:t>
      </w:r>
      <w:r>
        <w:rPr>
          <w:rFonts w:ascii="Trebuchet MS"/>
          <w:color w:val="231F20"/>
          <w:spacing w:val="-5"/>
          <w:w w:val="105"/>
          <w:sz w:val="20"/>
        </w:rPr>
        <w:t xml:space="preserve"> </w:t>
      </w:r>
      <w:r>
        <w:rPr>
          <w:rFonts w:ascii="Trebuchet MS"/>
          <w:color w:val="231F20"/>
          <w:w w:val="105"/>
          <w:sz w:val="20"/>
        </w:rPr>
        <w:t>globally</w:t>
      </w:r>
      <w:r>
        <w:rPr>
          <w:rFonts w:ascii="Trebuchet MS"/>
          <w:color w:val="231F20"/>
          <w:spacing w:val="-4"/>
          <w:w w:val="105"/>
          <w:sz w:val="20"/>
        </w:rPr>
        <w:t xml:space="preserve"> </w:t>
      </w:r>
      <w:r>
        <w:rPr>
          <w:rFonts w:ascii="Trebuchet MS"/>
          <w:color w:val="231F20"/>
          <w:w w:val="105"/>
          <w:sz w:val="20"/>
        </w:rPr>
        <w:t>dispersed</w:t>
      </w:r>
      <w:r>
        <w:rPr>
          <w:rFonts w:ascii="Trebuchet MS"/>
          <w:color w:val="231F20"/>
          <w:spacing w:val="-5"/>
          <w:w w:val="105"/>
          <w:sz w:val="20"/>
        </w:rPr>
        <w:t xml:space="preserve"> </w:t>
      </w:r>
      <w:r>
        <w:rPr>
          <w:rFonts w:ascii="Trebuchet MS"/>
          <w:color w:val="231F20"/>
          <w:w w:val="105"/>
          <w:sz w:val="20"/>
        </w:rPr>
        <w:t>environmental</w:t>
      </w:r>
      <w:r>
        <w:rPr>
          <w:rFonts w:ascii="Trebuchet MS"/>
          <w:color w:val="231F20"/>
          <w:spacing w:val="-5"/>
          <w:w w:val="105"/>
          <w:sz w:val="20"/>
        </w:rPr>
        <w:t xml:space="preserve"> </w:t>
      </w:r>
      <w:r>
        <w:rPr>
          <w:rFonts w:ascii="Trebuchet MS"/>
          <w:color w:val="231F20"/>
          <w:spacing w:val="-2"/>
          <w:w w:val="105"/>
          <w:sz w:val="20"/>
        </w:rPr>
        <w:t>impacts</w:t>
      </w:r>
    </w:p>
    <w:p w14:paraId="60EA6BF8" w14:textId="77777777" w:rsidR="00AE0598" w:rsidRDefault="0069255A">
      <w:pPr>
        <w:pStyle w:val="Corpodetexto"/>
        <w:spacing w:before="122" w:line="232" w:lineRule="auto"/>
        <w:ind w:left="110" w:right="127" w:firstLine="320"/>
        <w:jc w:val="both"/>
      </w:pPr>
      <w:r>
        <w:rPr>
          <w:color w:val="231F20"/>
        </w:rPr>
        <w:t xml:space="preserve">The environmental impacts of sport tourism now require that </w:t>
      </w:r>
      <w:r>
        <w:rPr>
          <w:color w:val="231F20"/>
          <w:w w:val="95"/>
        </w:rPr>
        <w:t xml:space="preserve">consideration extends beyond impacts that are local/regional in scale and </w:t>
      </w:r>
      <w:r>
        <w:rPr>
          <w:color w:val="231F20"/>
        </w:rPr>
        <w:t>concentrated in nature, to the forces of anthropogenic environmental change that are globa</w:t>
      </w:r>
      <w:r>
        <w:rPr>
          <w:color w:val="231F20"/>
        </w:rPr>
        <w:t xml:space="preserve">l and dispersed. Sport tourism, by its very nature, involves the generation of significant one-off and recurring flows of tourists (Weed &amp; Bull, 2012). These flows include elite athletes, who </w:t>
      </w:r>
      <w:r>
        <w:rPr>
          <w:color w:val="231F20"/>
          <w:w w:val="95"/>
        </w:rPr>
        <w:t>engage in constant travel in search of competition, as competiti</w:t>
      </w:r>
      <w:r>
        <w:rPr>
          <w:color w:val="231F20"/>
          <w:w w:val="95"/>
        </w:rPr>
        <w:t xml:space="preserve">ve leagues </w:t>
      </w:r>
      <w:r>
        <w:rPr>
          <w:color w:val="231F20"/>
        </w:rPr>
        <w:t>have become increasingly globalised (Higham &amp; Hinch, 2009). They</w:t>
      </w:r>
      <w:r>
        <w:rPr>
          <w:color w:val="231F20"/>
          <w:spacing w:val="80"/>
        </w:rPr>
        <w:t xml:space="preserve"> </w:t>
      </w:r>
      <w:r>
        <w:rPr>
          <w:color w:val="231F20"/>
        </w:rPr>
        <w:t>also</w:t>
      </w:r>
      <w:r>
        <w:rPr>
          <w:color w:val="231F20"/>
          <w:spacing w:val="-12"/>
        </w:rPr>
        <w:t xml:space="preserve"> </w:t>
      </w:r>
      <w:r>
        <w:rPr>
          <w:color w:val="231F20"/>
        </w:rPr>
        <w:t>extend</w:t>
      </w:r>
      <w:r>
        <w:rPr>
          <w:color w:val="231F20"/>
          <w:spacing w:val="-11"/>
        </w:rPr>
        <w:t xml:space="preserve"> </w:t>
      </w:r>
      <w:r>
        <w:rPr>
          <w:color w:val="231F20"/>
        </w:rPr>
        <w:t>to</w:t>
      </w:r>
      <w:r>
        <w:rPr>
          <w:color w:val="231F20"/>
          <w:spacing w:val="-12"/>
        </w:rPr>
        <w:t xml:space="preserve"> </w:t>
      </w:r>
      <w:r>
        <w:rPr>
          <w:color w:val="231F20"/>
        </w:rPr>
        <w:t>new</w:t>
      </w:r>
      <w:r>
        <w:rPr>
          <w:color w:val="231F20"/>
          <w:spacing w:val="-11"/>
        </w:rPr>
        <w:t xml:space="preserve"> </w:t>
      </w:r>
      <w:r>
        <w:rPr>
          <w:color w:val="231F20"/>
        </w:rPr>
        <w:t>and</w:t>
      </w:r>
      <w:r>
        <w:rPr>
          <w:color w:val="231F20"/>
          <w:spacing w:val="-12"/>
        </w:rPr>
        <w:t xml:space="preserve"> </w:t>
      </w:r>
      <w:r>
        <w:rPr>
          <w:color w:val="231F20"/>
        </w:rPr>
        <w:t>intense</w:t>
      </w:r>
      <w:r>
        <w:rPr>
          <w:color w:val="231F20"/>
          <w:spacing w:val="-11"/>
        </w:rPr>
        <w:t xml:space="preserve"> </w:t>
      </w:r>
      <w:r>
        <w:rPr>
          <w:color w:val="231F20"/>
        </w:rPr>
        <w:t>mobilities</w:t>
      </w:r>
      <w:r>
        <w:rPr>
          <w:color w:val="231F20"/>
          <w:spacing w:val="-12"/>
        </w:rPr>
        <w:t xml:space="preserve"> </w:t>
      </w:r>
      <w:r>
        <w:rPr>
          <w:color w:val="231F20"/>
        </w:rPr>
        <w:t>of</w:t>
      </w:r>
      <w:r>
        <w:rPr>
          <w:color w:val="231F20"/>
          <w:spacing w:val="-11"/>
        </w:rPr>
        <w:t xml:space="preserve"> </w:t>
      </w:r>
      <w:r>
        <w:rPr>
          <w:color w:val="231F20"/>
        </w:rPr>
        <w:t>leisure,</w:t>
      </w:r>
      <w:r>
        <w:rPr>
          <w:color w:val="231F20"/>
          <w:spacing w:val="-12"/>
        </w:rPr>
        <w:t xml:space="preserve"> </w:t>
      </w:r>
      <w:r>
        <w:rPr>
          <w:color w:val="231F20"/>
        </w:rPr>
        <w:t>recreation,</w:t>
      </w:r>
      <w:r>
        <w:rPr>
          <w:color w:val="231F20"/>
          <w:spacing w:val="-11"/>
        </w:rPr>
        <w:t xml:space="preserve"> </w:t>
      </w:r>
      <w:r>
        <w:rPr>
          <w:color w:val="231F20"/>
        </w:rPr>
        <w:t>sport</w:t>
      </w:r>
      <w:r>
        <w:rPr>
          <w:color w:val="231F20"/>
          <w:spacing w:val="-12"/>
        </w:rPr>
        <w:t xml:space="preserve"> </w:t>
      </w:r>
      <w:r>
        <w:rPr>
          <w:color w:val="231F20"/>
        </w:rPr>
        <w:t xml:space="preserve">and </w:t>
      </w:r>
      <w:r>
        <w:rPr>
          <w:color w:val="231F20"/>
          <w:w w:val="95"/>
        </w:rPr>
        <w:t>tourism.</w:t>
      </w:r>
      <w:r>
        <w:rPr>
          <w:color w:val="231F20"/>
          <w:spacing w:val="-1"/>
          <w:w w:val="95"/>
        </w:rPr>
        <w:t xml:space="preserve"> </w:t>
      </w:r>
      <w:r>
        <w:rPr>
          <w:color w:val="231F20"/>
          <w:w w:val="95"/>
        </w:rPr>
        <w:t>Recognising</w:t>
      </w:r>
      <w:r>
        <w:rPr>
          <w:color w:val="231F20"/>
          <w:spacing w:val="-1"/>
          <w:w w:val="95"/>
        </w:rPr>
        <w:t xml:space="preserve"> </w:t>
      </w:r>
      <w:r>
        <w:rPr>
          <w:color w:val="231F20"/>
          <w:w w:val="95"/>
        </w:rPr>
        <w:t>and</w:t>
      </w:r>
      <w:r>
        <w:rPr>
          <w:color w:val="231F20"/>
          <w:spacing w:val="-1"/>
          <w:w w:val="95"/>
        </w:rPr>
        <w:t xml:space="preserve"> </w:t>
      </w:r>
      <w:r>
        <w:rPr>
          <w:color w:val="231F20"/>
          <w:w w:val="95"/>
        </w:rPr>
        <w:t>responding</w:t>
      </w:r>
      <w:r>
        <w:rPr>
          <w:color w:val="231F20"/>
          <w:spacing w:val="-1"/>
          <w:w w:val="95"/>
        </w:rPr>
        <w:t xml:space="preserve"> </w:t>
      </w:r>
      <w:r>
        <w:rPr>
          <w:color w:val="231F20"/>
          <w:w w:val="95"/>
        </w:rPr>
        <w:t>to</w:t>
      </w:r>
      <w:r>
        <w:rPr>
          <w:color w:val="231F20"/>
          <w:spacing w:val="-1"/>
          <w:w w:val="95"/>
        </w:rPr>
        <w:t xml:space="preserve"> </w:t>
      </w:r>
      <w:r>
        <w:rPr>
          <w:color w:val="231F20"/>
          <w:w w:val="95"/>
        </w:rPr>
        <w:t>the</w:t>
      </w:r>
      <w:r>
        <w:rPr>
          <w:color w:val="231F20"/>
          <w:spacing w:val="-1"/>
          <w:w w:val="95"/>
        </w:rPr>
        <w:t xml:space="preserve"> </w:t>
      </w:r>
      <w:r>
        <w:rPr>
          <w:color w:val="231F20"/>
          <w:w w:val="95"/>
        </w:rPr>
        <w:t>drivers</w:t>
      </w:r>
      <w:r>
        <w:rPr>
          <w:color w:val="231F20"/>
          <w:spacing w:val="-1"/>
          <w:w w:val="95"/>
        </w:rPr>
        <w:t xml:space="preserve"> </w:t>
      </w:r>
      <w:r>
        <w:rPr>
          <w:color w:val="231F20"/>
          <w:w w:val="95"/>
        </w:rPr>
        <w:t>of</w:t>
      </w:r>
      <w:r>
        <w:rPr>
          <w:color w:val="231F20"/>
          <w:spacing w:val="-1"/>
          <w:w w:val="95"/>
        </w:rPr>
        <w:t xml:space="preserve"> </w:t>
      </w:r>
      <w:r>
        <w:rPr>
          <w:color w:val="231F20"/>
          <w:w w:val="95"/>
        </w:rPr>
        <w:t>global</w:t>
      </w:r>
      <w:r>
        <w:rPr>
          <w:color w:val="231F20"/>
          <w:spacing w:val="-1"/>
          <w:w w:val="95"/>
        </w:rPr>
        <w:t xml:space="preserve"> </w:t>
      </w:r>
      <w:r>
        <w:rPr>
          <w:color w:val="231F20"/>
          <w:w w:val="95"/>
        </w:rPr>
        <w:t>environmental change is a critical challeng</w:t>
      </w:r>
      <w:r>
        <w:rPr>
          <w:color w:val="231F20"/>
          <w:w w:val="95"/>
        </w:rPr>
        <w:t xml:space="preserve">e (Hinch </w:t>
      </w:r>
      <w:r>
        <w:rPr>
          <w:i/>
          <w:color w:val="231F20"/>
          <w:w w:val="95"/>
        </w:rPr>
        <w:t>et al</w:t>
      </w:r>
      <w:r>
        <w:rPr>
          <w:color w:val="231F20"/>
          <w:w w:val="95"/>
        </w:rPr>
        <w:t xml:space="preserve">., 2016). One of the most pressing </w:t>
      </w:r>
      <w:r>
        <w:rPr>
          <w:color w:val="231F20"/>
        </w:rPr>
        <w:t>challenges</w:t>
      </w:r>
      <w:r>
        <w:rPr>
          <w:color w:val="231F20"/>
          <w:spacing w:val="-11"/>
        </w:rPr>
        <w:t xml:space="preserve"> </w:t>
      </w:r>
      <w:r>
        <w:rPr>
          <w:color w:val="231F20"/>
        </w:rPr>
        <w:t>relates</w:t>
      </w:r>
      <w:r>
        <w:rPr>
          <w:color w:val="231F20"/>
          <w:spacing w:val="-11"/>
        </w:rPr>
        <w:t xml:space="preserve"> </w:t>
      </w:r>
      <w:r>
        <w:rPr>
          <w:color w:val="231F20"/>
        </w:rPr>
        <w:t>to</w:t>
      </w:r>
      <w:r>
        <w:rPr>
          <w:color w:val="231F20"/>
          <w:spacing w:val="-11"/>
        </w:rPr>
        <w:t xml:space="preserve"> </w:t>
      </w:r>
      <w:r>
        <w:rPr>
          <w:color w:val="231F20"/>
        </w:rPr>
        <w:t>sustainable</w:t>
      </w:r>
      <w:r>
        <w:rPr>
          <w:color w:val="231F20"/>
          <w:spacing w:val="-11"/>
        </w:rPr>
        <w:t xml:space="preserve"> </w:t>
      </w:r>
      <w:r>
        <w:rPr>
          <w:color w:val="231F20"/>
        </w:rPr>
        <w:t>tourism</w:t>
      </w:r>
      <w:r>
        <w:rPr>
          <w:color w:val="231F20"/>
          <w:spacing w:val="-11"/>
        </w:rPr>
        <w:t xml:space="preserve"> </w:t>
      </w:r>
      <w:r>
        <w:rPr>
          <w:color w:val="231F20"/>
        </w:rPr>
        <w:t>transportation</w:t>
      </w:r>
      <w:r>
        <w:rPr>
          <w:color w:val="231F20"/>
          <w:spacing w:val="-11"/>
        </w:rPr>
        <w:t xml:space="preserve"> </w:t>
      </w:r>
      <w:r>
        <w:rPr>
          <w:color w:val="231F20"/>
        </w:rPr>
        <w:t>and</w:t>
      </w:r>
      <w:r>
        <w:rPr>
          <w:color w:val="231F20"/>
          <w:spacing w:val="-11"/>
        </w:rPr>
        <w:t xml:space="preserve"> </w:t>
      </w:r>
      <w:r>
        <w:rPr>
          <w:color w:val="231F20"/>
        </w:rPr>
        <w:t>the</w:t>
      </w:r>
      <w:r>
        <w:rPr>
          <w:color w:val="231F20"/>
          <w:spacing w:val="-11"/>
        </w:rPr>
        <w:t xml:space="preserve"> </w:t>
      </w:r>
      <w:r>
        <w:rPr>
          <w:color w:val="231F20"/>
        </w:rPr>
        <w:t>need</w:t>
      </w:r>
      <w:r>
        <w:rPr>
          <w:color w:val="231F20"/>
          <w:spacing w:val="-11"/>
        </w:rPr>
        <w:t xml:space="preserve"> </w:t>
      </w:r>
      <w:r>
        <w:rPr>
          <w:color w:val="231F20"/>
        </w:rPr>
        <w:t>for urgent low carbon mobility transitions (Hopkins &amp; Higham, 2016).</w:t>
      </w:r>
    </w:p>
    <w:p w14:paraId="1C3D0660" w14:textId="77777777" w:rsidR="00AE0598" w:rsidRDefault="0069255A">
      <w:pPr>
        <w:pStyle w:val="Corpodetexto"/>
        <w:spacing w:before="15" w:line="232" w:lineRule="auto"/>
        <w:ind w:left="110" w:right="127" w:firstLine="320"/>
        <w:jc w:val="both"/>
      </w:pPr>
      <w:r>
        <w:rPr>
          <w:color w:val="231F20"/>
        </w:rPr>
        <w:t>While</w:t>
      </w:r>
      <w:r>
        <w:rPr>
          <w:color w:val="231F20"/>
          <w:spacing w:val="-5"/>
        </w:rPr>
        <w:t xml:space="preserve"> </w:t>
      </w:r>
      <w:r>
        <w:rPr>
          <w:color w:val="231F20"/>
        </w:rPr>
        <w:t>transportation</w:t>
      </w:r>
      <w:r>
        <w:rPr>
          <w:color w:val="231F20"/>
          <w:spacing w:val="-5"/>
        </w:rPr>
        <w:t xml:space="preserve"> </w:t>
      </w:r>
      <w:r>
        <w:rPr>
          <w:color w:val="231F20"/>
        </w:rPr>
        <w:t>accounts</w:t>
      </w:r>
      <w:r>
        <w:rPr>
          <w:color w:val="231F20"/>
          <w:spacing w:val="-5"/>
        </w:rPr>
        <w:t xml:space="preserve"> </w:t>
      </w:r>
      <w:r>
        <w:rPr>
          <w:color w:val="231F20"/>
        </w:rPr>
        <w:t>for</w:t>
      </w:r>
      <w:r>
        <w:rPr>
          <w:color w:val="231F20"/>
          <w:spacing w:val="-5"/>
        </w:rPr>
        <w:t xml:space="preserve"> </w:t>
      </w:r>
      <w:r>
        <w:rPr>
          <w:color w:val="231F20"/>
        </w:rPr>
        <w:t>23%</w:t>
      </w:r>
      <w:r>
        <w:rPr>
          <w:color w:val="231F20"/>
          <w:spacing w:val="-5"/>
        </w:rPr>
        <w:t xml:space="preserve"> </w:t>
      </w:r>
      <w:r>
        <w:rPr>
          <w:color w:val="231F20"/>
        </w:rPr>
        <w:t>of</w:t>
      </w:r>
      <w:r>
        <w:rPr>
          <w:color w:val="231F20"/>
          <w:spacing w:val="-5"/>
        </w:rPr>
        <w:t xml:space="preserve"> </w:t>
      </w:r>
      <w:r>
        <w:rPr>
          <w:color w:val="231F20"/>
        </w:rPr>
        <w:t>total</w:t>
      </w:r>
      <w:r>
        <w:rPr>
          <w:color w:val="231F20"/>
          <w:spacing w:val="-5"/>
        </w:rPr>
        <w:t xml:space="preserve"> </w:t>
      </w:r>
      <w:r>
        <w:rPr>
          <w:color w:val="231F20"/>
        </w:rPr>
        <w:t>global</w:t>
      </w:r>
      <w:r>
        <w:rPr>
          <w:color w:val="231F20"/>
          <w:spacing w:val="-5"/>
        </w:rPr>
        <w:t xml:space="preserve"> </w:t>
      </w:r>
      <w:r>
        <w:rPr>
          <w:color w:val="231F20"/>
        </w:rPr>
        <w:t>energy-related CO</w:t>
      </w:r>
      <w:r>
        <w:rPr>
          <w:color w:val="231F20"/>
          <w:vertAlign w:val="subscript"/>
        </w:rPr>
        <w:t>2</w:t>
      </w:r>
      <w:r>
        <w:rPr>
          <w:color w:val="231F20"/>
          <w:spacing w:val="30"/>
        </w:rPr>
        <w:t xml:space="preserve"> </w:t>
      </w:r>
      <w:r>
        <w:rPr>
          <w:color w:val="231F20"/>
        </w:rPr>
        <w:t>emissions,</w:t>
      </w:r>
      <w:r>
        <w:rPr>
          <w:color w:val="231F20"/>
          <w:spacing w:val="31"/>
        </w:rPr>
        <w:t xml:space="preserve"> </w:t>
      </w:r>
      <w:r>
        <w:rPr>
          <w:color w:val="231F20"/>
        </w:rPr>
        <w:t>transport</w:t>
      </w:r>
      <w:r>
        <w:rPr>
          <w:color w:val="231F20"/>
          <w:spacing w:val="30"/>
        </w:rPr>
        <w:t xml:space="preserve"> </w:t>
      </w:r>
      <w:r>
        <w:rPr>
          <w:color w:val="231F20"/>
        </w:rPr>
        <w:t>sector</w:t>
      </w:r>
      <w:r>
        <w:rPr>
          <w:color w:val="231F20"/>
          <w:spacing w:val="31"/>
        </w:rPr>
        <w:t xml:space="preserve"> </w:t>
      </w:r>
      <w:r>
        <w:rPr>
          <w:color w:val="231F20"/>
        </w:rPr>
        <w:t>emissions</w:t>
      </w:r>
      <w:r>
        <w:rPr>
          <w:color w:val="231F20"/>
          <w:spacing w:val="30"/>
        </w:rPr>
        <w:t xml:space="preserve"> </w:t>
      </w:r>
      <w:r>
        <w:rPr>
          <w:color w:val="231F20"/>
        </w:rPr>
        <w:t>are</w:t>
      </w:r>
      <w:r>
        <w:rPr>
          <w:color w:val="231F20"/>
          <w:spacing w:val="30"/>
        </w:rPr>
        <w:t xml:space="preserve"> </w:t>
      </w:r>
      <w:r>
        <w:rPr>
          <w:color w:val="231F20"/>
        </w:rPr>
        <w:t>projected</w:t>
      </w:r>
      <w:r>
        <w:rPr>
          <w:color w:val="231F20"/>
          <w:spacing w:val="30"/>
        </w:rPr>
        <w:t xml:space="preserve"> </w:t>
      </w:r>
      <w:r>
        <w:rPr>
          <w:color w:val="231F20"/>
        </w:rPr>
        <w:t>to</w:t>
      </w:r>
      <w:r>
        <w:rPr>
          <w:color w:val="231F20"/>
          <w:spacing w:val="31"/>
        </w:rPr>
        <w:t xml:space="preserve"> </w:t>
      </w:r>
      <w:r>
        <w:rPr>
          <w:color w:val="231F20"/>
        </w:rPr>
        <w:t>double</w:t>
      </w:r>
      <w:r>
        <w:rPr>
          <w:color w:val="231F20"/>
          <w:spacing w:val="30"/>
        </w:rPr>
        <w:t xml:space="preserve"> </w:t>
      </w:r>
      <w:r>
        <w:rPr>
          <w:color w:val="231F20"/>
        </w:rPr>
        <w:t>by</w:t>
      </w:r>
    </w:p>
    <w:p w14:paraId="6C2A5F53" w14:textId="77777777" w:rsidR="00AE0598" w:rsidRDefault="00AE0598">
      <w:pPr>
        <w:spacing w:line="232" w:lineRule="auto"/>
        <w:jc w:val="both"/>
        <w:sectPr w:rsidR="00AE0598">
          <w:pgSz w:w="8850" w:h="13270"/>
          <w:pgMar w:top="720" w:right="1060" w:bottom="280" w:left="1080" w:header="720" w:footer="720" w:gutter="0"/>
          <w:cols w:space="720"/>
        </w:sectPr>
      </w:pPr>
    </w:p>
    <w:p w14:paraId="3097D3D0" w14:textId="77777777" w:rsidR="00AE0598" w:rsidRDefault="0069255A">
      <w:pPr>
        <w:spacing w:before="87"/>
        <w:ind w:left="3064"/>
        <w:rPr>
          <w:rFonts w:ascii="Trebuchet MS"/>
          <w:sz w:val="14"/>
        </w:rPr>
      </w:pPr>
      <w:r>
        <w:rPr>
          <w:rFonts w:ascii="Trebuchet MS"/>
          <w:color w:val="231F20"/>
          <w:w w:val="105"/>
          <w:sz w:val="14"/>
        </w:rPr>
        <w:lastRenderedPageBreak/>
        <w:t>Environment:</w:t>
      </w:r>
      <w:r>
        <w:rPr>
          <w:rFonts w:ascii="Trebuchet MS"/>
          <w:color w:val="231F20"/>
          <w:spacing w:val="-12"/>
          <w:w w:val="105"/>
          <w:sz w:val="14"/>
        </w:rPr>
        <w:t xml:space="preserve"> </w:t>
      </w:r>
      <w:r>
        <w:rPr>
          <w:rFonts w:ascii="Trebuchet MS"/>
          <w:color w:val="231F20"/>
          <w:w w:val="105"/>
          <w:sz w:val="14"/>
        </w:rPr>
        <w:t>Landscape,</w:t>
      </w:r>
      <w:r>
        <w:rPr>
          <w:rFonts w:ascii="Trebuchet MS"/>
          <w:color w:val="231F20"/>
          <w:spacing w:val="-11"/>
          <w:w w:val="105"/>
          <w:sz w:val="14"/>
        </w:rPr>
        <w:t xml:space="preserve"> </w:t>
      </w:r>
      <w:r>
        <w:rPr>
          <w:rFonts w:ascii="Trebuchet MS"/>
          <w:color w:val="231F20"/>
          <w:w w:val="105"/>
          <w:sz w:val="14"/>
        </w:rPr>
        <w:t>Resources</w:t>
      </w:r>
      <w:r>
        <w:rPr>
          <w:rFonts w:ascii="Trebuchet MS"/>
          <w:color w:val="231F20"/>
          <w:spacing w:val="-11"/>
          <w:w w:val="105"/>
          <w:sz w:val="14"/>
        </w:rPr>
        <w:t xml:space="preserve"> </w:t>
      </w:r>
      <w:r>
        <w:rPr>
          <w:rFonts w:ascii="Trebuchet MS"/>
          <w:color w:val="231F20"/>
          <w:w w:val="105"/>
          <w:sz w:val="14"/>
        </w:rPr>
        <w:t>and</w:t>
      </w:r>
      <w:r>
        <w:rPr>
          <w:rFonts w:ascii="Trebuchet MS"/>
          <w:color w:val="231F20"/>
          <w:spacing w:val="-11"/>
          <w:w w:val="105"/>
          <w:sz w:val="14"/>
        </w:rPr>
        <w:t xml:space="preserve"> </w:t>
      </w:r>
      <w:r>
        <w:rPr>
          <w:rFonts w:ascii="Trebuchet MS"/>
          <w:color w:val="231F20"/>
          <w:w w:val="105"/>
          <w:sz w:val="14"/>
        </w:rPr>
        <w:t>Impacts</w:t>
      </w:r>
      <w:r>
        <w:rPr>
          <w:rFonts w:ascii="Trebuchet MS"/>
          <w:color w:val="231F20"/>
          <w:spacing w:val="49"/>
          <w:w w:val="105"/>
          <w:sz w:val="14"/>
        </w:rPr>
        <w:t xml:space="preserve"> </w:t>
      </w:r>
      <w:r>
        <w:rPr>
          <w:rFonts w:ascii="Trebuchet MS"/>
          <w:color w:val="231F20"/>
          <w:spacing w:val="-5"/>
          <w:w w:val="105"/>
          <w:sz w:val="14"/>
        </w:rPr>
        <w:t>141</w:t>
      </w:r>
    </w:p>
    <w:p w14:paraId="4BA59253" w14:textId="77777777" w:rsidR="00AE0598" w:rsidRDefault="00AE0598">
      <w:pPr>
        <w:pStyle w:val="Corpodetexto"/>
        <w:rPr>
          <w:rFonts w:ascii="Trebuchet MS"/>
          <w:sz w:val="16"/>
        </w:rPr>
      </w:pPr>
    </w:p>
    <w:p w14:paraId="29EB6A19" w14:textId="77777777" w:rsidR="00AE0598" w:rsidRDefault="0069255A">
      <w:pPr>
        <w:pStyle w:val="Corpodetexto"/>
        <w:spacing w:before="118" w:line="232" w:lineRule="auto"/>
        <w:ind w:left="110" w:right="127"/>
        <w:jc w:val="both"/>
      </w:pPr>
      <w:r>
        <w:rPr>
          <w:color w:val="231F20"/>
        </w:rPr>
        <w:t>2050</w:t>
      </w:r>
      <w:r>
        <w:rPr>
          <w:color w:val="231F20"/>
          <w:spacing w:val="-9"/>
        </w:rPr>
        <w:t xml:space="preserve"> </w:t>
      </w:r>
      <w:r>
        <w:rPr>
          <w:color w:val="231F20"/>
        </w:rPr>
        <w:t>(Creutzig</w:t>
      </w:r>
      <w:r>
        <w:rPr>
          <w:color w:val="231F20"/>
          <w:spacing w:val="-9"/>
        </w:rPr>
        <w:t xml:space="preserve"> </w:t>
      </w:r>
      <w:r>
        <w:rPr>
          <w:i/>
          <w:color w:val="231F20"/>
        </w:rPr>
        <w:t>et</w:t>
      </w:r>
      <w:r>
        <w:rPr>
          <w:i/>
          <w:color w:val="231F20"/>
          <w:spacing w:val="-9"/>
        </w:rPr>
        <w:t xml:space="preserve"> </w:t>
      </w:r>
      <w:r>
        <w:rPr>
          <w:i/>
          <w:color w:val="231F20"/>
        </w:rPr>
        <w:t>al</w:t>
      </w:r>
      <w:r>
        <w:rPr>
          <w:color w:val="231F20"/>
        </w:rPr>
        <w:t>.,</w:t>
      </w:r>
      <w:r>
        <w:rPr>
          <w:color w:val="231F20"/>
          <w:spacing w:val="-9"/>
        </w:rPr>
        <w:t xml:space="preserve"> </w:t>
      </w:r>
      <w:r>
        <w:rPr>
          <w:color w:val="231F20"/>
        </w:rPr>
        <w:t>2015).</w:t>
      </w:r>
      <w:r>
        <w:rPr>
          <w:color w:val="231F20"/>
          <w:spacing w:val="-9"/>
        </w:rPr>
        <w:t xml:space="preserve"> </w:t>
      </w:r>
      <w:r>
        <w:rPr>
          <w:color w:val="231F20"/>
        </w:rPr>
        <w:t>Aviation</w:t>
      </w:r>
      <w:r>
        <w:rPr>
          <w:color w:val="231F20"/>
          <w:spacing w:val="-9"/>
        </w:rPr>
        <w:t xml:space="preserve"> </w:t>
      </w:r>
      <w:r>
        <w:rPr>
          <w:color w:val="231F20"/>
        </w:rPr>
        <w:t>and</w:t>
      </w:r>
      <w:r>
        <w:rPr>
          <w:color w:val="231F20"/>
          <w:spacing w:val="-9"/>
        </w:rPr>
        <w:t xml:space="preserve"> </w:t>
      </w:r>
      <w:r>
        <w:rPr>
          <w:color w:val="231F20"/>
        </w:rPr>
        <w:t>vehicle</w:t>
      </w:r>
      <w:r>
        <w:rPr>
          <w:color w:val="231F20"/>
          <w:spacing w:val="-9"/>
        </w:rPr>
        <w:t xml:space="preserve"> </w:t>
      </w:r>
      <w:r>
        <w:rPr>
          <w:color w:val="231F20"/>
        </w:rPr>
        <w:t>use</w:t>
      </w:r>
      <w:r>
        <w:rPr>
          <w:color w:val="231F20"/>
          <w:spacing w:val="-9"/>
        </w:rPr>
        <w:t xml:space="preserve"> </w:t>
      </w:r>
      <w:r>
        <w:rPr>
          <w:color w:val="231F20"/>
        </w:rPr>
        <w:t>produce</w:t>
      </w:r>
      <w:r>
        <w:rPr>
          <w:color w:val="231F20"/>
          <w:spacing w:val="-9"/>
        </w:rPr>
        <w:t xml:space="preserve"> </w:t>
      </w:r>
      <w:r>
        <w:rPr>
          <w:color w:val="231F20"/>
        </w:rPr>
        <w:t>a</w:t>
      </w:r>
      <w:r>
        <w:rPr>
          <w:color w:val="231F20"/>
          <w:spacing w:val="-9"/>
        </w:rPr>
        <w:t xml:space="preserve"> </w:t>
      </w:r>
      <w:r>
        <w:rPr>
          <w:color w:val="231F20"/>
        </w:rPr>
        <w:t>large</w:t>
      </w:r>
      <w:r>
        <w:rPr>
          <w:color w:val="231F20"/>
          <w:spacing w:val="-9"/>
        </w:rPr>
        <w:t xml:space="preserve"> </w:t>
      </w:r>
      <w:r>
        <w:rPr>
          <w:color w:val="231F20"/>
        </w:rPr>
        <w:t xml:space="preserve">and growing portion of the world’s greenhouse gas emissions (Bows-Larkin </w:t>
      </w:r>
      <w:r>
        <w:rPr>
          <w:i/>
          <w:color w:val="231F20"/>
          <w:w w:val="95"/>
        </w:rPr>
        <w:t>et</w:t>
      </w:r>
      <w:r>
        <w:rPr>
          <w:i/>
          <w:color w:val="231F20"/>
          <w:spacing w:val="-6"/>
          <w:w w:val="95"/>
        </w:rPr>
        <w:t xml:space="preserve"> </w:t>
      </w:r>
      <w:r>
        <w:rPr>
          <w:i/>
          <w:color w:val="231F20"/>
          <w:w w:val="95"/>
        </w:rPr>
        <w:t>al.</w:t>
      </w:r>
      <w:r>
        <w:rPr>
          <w:color w:val="231F20"/>
          <w:w w:val="95"/>
        </w:rPr>
        <w:t>,</w:t>
      </w:r>
      <w:r>
        <w:rPr>
          <w:color w:val="231F20"/>
          <w:spacing w:val="-6"/>
          <w:w w:val="95"/>
        </w:rPr>
        <w:t xml:space="preserve"> </w:t>
      </w:r>
      <w:r>
        <w:rPr>
          <w:color w:val="231F20"/>
          <w:w w:val="95"/>
        </w:rPr>
        <w:t>2016;</w:t>
      </w:r>
      <w:r>
        <w:rPr>
          <w:color w:val="231F20"/>
          <w:spacing w:val="-6"/>
          <w:w w:val="95"/>
        </w:rPr>
        <w:t xml:space="preserve"> </w:t>
      </w:r>
      <w:r>
        <w:rPr>
          <w:color w:val="231F20"/>
          <w:w w:val="95"/>
        </w:rPr>
        <w:t>Creutzig</w:t>
      </w:r>
      <w:r>
        <w:rPr>
          <w:color w:val="231F20"/>
          <w:spacing w:val="-6"/>
          <w:w w:val="95"/>
        </w:rPr>
        <w:t xml:space="preserve"> </w:t>
      </w:r>
      <w:r>
        <w:rPr>
          <w:i/>
          <w:color w:val="231F20"/>
          <w:w w:val="95"/>
        </w:rPr>
        <w:t>et</w:t>
      </w:r>
      <w:r>
        <w:rPr>
          <w:i/>
          <w:color w:val="231F20"/>
          <w:spacing w:val="-6"/>
          <w:w w:val="95"/>
        </w:rPr>
        <w:t xml:space="preserve"> </w:t>
      </w:r>
      <w:r>
        <w:rPr>
          <w:i/>
          <w:color w:val="231F20"/>
          <w:w w:val="95"/>
        </w:rPr>
        <w:t>al</w:t>
      </w:r>
      <w:r>
        <w:rPr>
          <w:color w:val="231F20"/>
          <w:w w:val="95"/>
        </w:rPr>
        <w:t>.,</w:t>
      </w:r>
      <w:r>
        <w:rPr>
          <w:color w:val="231F20"/>
          <w:spacing w:val="-6"/>
          <w:w w:val="95"/>
        </w:rPr>
        <w:t xml:space="preserve"> </w:t>
      </w:r>
      <w:r>
        <w:rPr>
          <w:color w:val="231F20"/>
          <w:w w:val="95"/>
        </w:rPr>
        <w:t>2015).</w:t>
      </w:r>
      <w:r>
        <w:rPr>
          <w:color w:val="231F20"/>
          <w:spacing w:val="-6"/>
          <w:w w:val="95"/>
        </w:rPr>
        <w:t xml:space="preserve"> </w:t>
      </w:r>
      <w:r>
        <w:rPr>
          <w:color w:val="231F20"/>
          <w:w w:val="95"/>
        </w:rPr>
        <w:t>The</w:t>
      </w:r>
      <w:r>
        <w:rPr>
          <w:color w:val="231F20"/>
          <w:spacing w:val="-6"/>
          <w:w w:val="95"/>
        </w:rPr>
        <w:t xml:space="preserve"> </w:t>
      </w:r>
      <w:r>
        <w:rPr>
          <w:color w:val="231F20"/>
          <w:w w:val="95"/>
        </w:rPr>
        <w:t>urgent</w:t>
      </w:r>
      <w:r>
        <w:rPr>
          <w:color w:val="231F20"/>
          <w:spacing w:val="-6"/>
          <w:w w:val="95"/>
        </w:rPr>
        <w:t xml:space="preserve"> </w:t>
      </w:r>
      <w:r>
        <w:rPr>
          <w:color w:val="231F20"/>
          <w:w w:val="95"/>
        </w:rPr>
        <w:t>need</w:t>
      </w:r>
      <w:r>
        <w:rPr>
          <w:color w:val="231F20"/>
          <w:spacing w:val="-6"/>
          <w:w w:val="95"/>
        </w:rPr>
        <w:t xml:space="preserve"> </w:t>
      </w:r>
      <w:r>
        <w:rPr>
          <w:color w:val="231F20"/>
          <w:w w:val="95"/>
        </w:rPr>
        <w:t>to</w:t>
      </w:r>
      <w:r>
        <w:rPr>
          <w:color w:val="231F20"/>
          <w:spacing w:val="-6"/>
          <w:w w:val="95"/>
        </w:rPr>
        <w:t xml:space="preserve"> </w:t>
      </w:r>
      <w:r>
        <w:rPr>
          <w:color w:val="231F20"/>
          <w:w w:val="95"/>
        </w:rPr>
        <w:t>address</w:t>
      </w:r>
      <w:r>
        <w:rPr>
          <w:color w:val="231F20"/>
          <w:spacing w:val="-6"/>
          <w:w w:val="95"/>
        </w:rPr>
        <w:t xml:space="preserve"> </w:t>
      </w:r>
      <w:r>
        <w:rPr>
          <w:color w:val="231F20"/>
          <w:w w:val="95"/>
        </w:rPr>
        <w:t xml:space="preserve">transportation </w:t>
      </w:r>
      <w:r>
        <w:rPr>
          <w:color w:val="231F20"/>
        </w:rPr>
        <w:t>emissions</w:t>
      </w:r>
      <w:r>
        <w:rPr>
          <w:color w:val="231F20"/>
          <w:spacing w:val="-12"/>
        </w:rPr>
        <w:t xml:space="preserve"> </w:t>
      </w:r>
      <w:r>
        <w:rPr>
          <w:color w:val="231F20"/>
        </w:rPr>
        <w:t>was</w:t>
      </w:r>
      <w:r>
        <w:rPr>
          <w:color w:val="231F20"/>
          <w:spacing w:val="-12"/>
        </w:rPr>
        <w:t xml:space="preserve"> </w:t>
      </w:r>
      <w:r>
        <w:rPr>
          <w:color w:val="231F20"/>
        </w:rPr>
        <w:t>recognised</w:t>
      </w:r>
      <w:r>
        <w:rPr>
          <w:color w:val="231F20"/>
          <w:spacing w:val="-11"/>
        </w:rPr>
        <w:t xml:space="preserve"> </w:t>
      </w:r>
      <w:r>
        <w:rPr>
          <w:color w:val="231F20"/>
        </w:rPr>
        <w:t>in</w:t>
      </w:r>
      <w:r>
        <w:rPr>
          <w:color w:val="231F20"/>
          <w:spacing w:val="-12"/>
        </w:rPr>
        <w:t xml:space="preserve"> </w:t>
      </w:r>
      <w:r>
        <w:rPr>
          <w:color w:val="231F20"/>
        </w:rPr>
        <w:t>the</w:t>
      </w:r>
      <w:r>
        <w:rPr>
          <w:color w:val="231F20"/>
          <w:spacing w:val="-11"/>
        </w:rPr>
        <w:t xml:space="preserve"> </w:t>
      </w:r>
      <w:r>
        <w:rPr>
          <w:color w:val="231F20"/>
        </w:rPr>
        <w:t>Paris</w:t>
      </w:r>
      <w:r>
        <w:rPr>
          <w:color w:val="231F20"/>
          <w:spacing w:val="-12"/>
        </w:rPr>
        <w:t xml:space="preserve"> </w:t>
      </w:r>
      <w:r>
        <w:rPr>
          <w:color w:val="231F20"/>
        </w:rPr>
        <w:t>Climate</w:t>
      </w:r>
      <w:r>
        <w:rPr>
          <w:color w:val="231F20"/>
          <w:spacing w:val="-11"/>
        </w:rPr>
        <w:t xml:space="preserve"> </w:t>
      </w:r>
      <w:r>
        <w:rPr>
          <w:color w:val="231F20"/>
        </w:rPr>
        <w:t>Accord</w:t>
      </w:r>
      <w:r>
        <w:rPr>
          <w:color w:val="231F20"/>
          <w:spacing w:val="-12"/>
        </w:rPr>
        <w:t xml:space="preserve"> </w:t>
      </w:r>
      <w:r>
        <w:rPr>
          <w:color w:val="231F20"/>
        </w:rPr>
        <w:t>(</w:t>
      </w:r>
      <w:r>
        <w:rPr>
          <w:i/>
          <w:color w:val="231F20"/>
        </w:rPr>
        <w:t>L’Accord</w:t>
      </w:r>
      <w:r>
        <w:rPr>
          <w:i/>
          <w:color w:val="231F20"/>
          <w:spacing w:val="-12"/>
        </w:rPr>
        <w:t xml:space="preserve"> </w:t>
      </w:r>
      <w:r>
        <w:rPr>
          <w:i/>
          <w:color w:val="231F20"/>
        </w:rPr>
        <w:t>de</w:t>
      </w:r>
      <w:r>
        <w:rPr>
          <w:i/>
          <w:color w:val="231F20"/>
          <w:spacing w:val="-11"/>
        </w:rPr>
        <w:t xml:space="preserve"> </w:t>
      </w:r>
      <w:r>
        <w:rPr>
          <w:i/>
          <w:color w:val="231F20"/>
        </w:rPr>
        <w:t>Paris</w:t>
      </w:r>
      <w:r>
        <w:rPr>
          <w:color w:val="231F20"/>
        </w:rPr>
        <w:t xml:space="preserve">), </w:t>
      </w:r>
      <w:r>
        <w:rPr>
          <w:color w:val="231F20"/>
          <w:w w:val="95"/>
        </w:rPr>
        <w:t>which carries the commitment of 196 countries (Parties to the Agreement) to</w:t>
      </w:r>
      <w:r>
        <w:rPr>
          <w:color w:val="231F20"/>
          <w:spacing w:val="29"/>
        </w:rPr>
        <w:t xml:space="preserve"> </w:t>
      </w:r>
      <w:r>
        <w:rPr>
          <w:color w:val="231F20"/>
          <w:w w:val="95"/>
        </w:rPr>
        <w:t>the</w:t>
      </w:r>
      <w:r>
        <w:rPr>
          <w:color w:val="231F20"/>
          <w:spacing w:val="29"/>
        </w:rPr>
        <w:t xml:space="preserve"> </w:t>
      </w:r>
      <w:r>
        <w:rPr>
          <w:color w:val="231F20"/>
          <w:w w:val="95"/>
        </w:rPr>
        <w:t>overarching</w:t>
      </w:r>
      <w:r>
        <w:rPr>
          <w:color w:val="231F20"/>
          <w:spacing w:val="29"/>
        </w:rPr>
        <w:t xml:space="preserve"> </w:t>
      </w:r>
      <w:r>
        <w:rPr>
          <w:color w:val="231F20"/>
          <w:w w:val="95"/>
        </w:rPr>
        <w:t>goal</w:t>
      </w:r>
      <w:r>
        <w:rPr>
          <w:color w:val="231F20"/>
          <w:spacing w:val="29"/>
        </w:rPr>
        <w:t xml:space="preserve"> </w:t>
      </w:r>
      <w:r>
        <w:rPr>
          <w:color w:val="231F20"/>
          <w:w w:val="95"/>
        </w:rPr>
        <w:t>of</w:t>
      </w:r>
      <w:r>
        <w:rPr>
          <w:color w:val="231F20"/>
          <w:spacing w:val="29"/>
        </w:rPr>
        <w:t xml:space="preserve"> </w:t>
      </w:r>
      <w:r>
        <w:rPr>
          <w:color w:val="231F20"/>
          <w:w w:val="95"/>
        </w:rPr>
        <w:t>stabilising</w:t>
      </w:r>
      <w:r>
        <w:rPr>
          <w:color w:val="231F20"/>
          <w:spacing w:val="29"/>
        </w:rPr>
        <w:t xml:space="preserve"> </w:t>
      </w:r>
      <w:r>
        <w:rPr>
          <w:color w:val="231F20"/>
          <w:w w:val="95"/>
        </w:rPr>
        <w:t>global</w:t>
      </w:r>
      <w:r>
        <w:rPr>
          <w:color w:val="231F20"/>
          <w:spacing w:val="29"/>
        </w:rPr>
        <w:t xml:space="preserve"> </w:t>
      </w:r>
      <w:r>
        <w:rPr>
          <w:color w:val="231F20"/>
          <w:w w:val="95"/>
        </w:rPr>
        <w:t>average</w:t>
      </w:r>
      <w:r>
        <w:rPr>
          <w:color w:val="231F20"/>
          <w:spacing w:val="29"/>
        </w:rPr>
        <w:t xml:space="preserve"> </w:t>
      </w:r>
      <w:r>
        <w:rPr>
          <w:color w:val="231F20"/>
          <w:w w:val="95"/>
        </w:rPr>
        <w:t>temperatures</w:t>
      </w:r>
      <w:r>
        <w:rPr>
          <w:color w:val="231F20"/>
          <w:spacing w:val="29"/>
        </w:rPr>
        <w:t xml:space="preserve"> </w:t>
      </w:r>
      <w:r>
        <w:rPr>
          <w:color w:val="231F20"/>
          <w:w w:val="95"/>
        </w:rPr>
        <w:t>below</w:t>
      </w:r>
    </w:p>
    <w:p w14:paraId="475202CB" w14:textId="77777777" w:rsidR="00AE0598" w:rsidRDefault="0069255A">
      <w:pPr>
        <w:pStyle w:val="Corpodetexto"/>
        <w:spacing w:before="7" w:line="232" w:lineRule="auto"/>
        <w:ind w:left="110" w:right="127"/>
        <w:jc w:val="both"/>
      </w:pPr>
      <w:r>
        <w:rPr>
          <w:color w:val="231F20"/>
        </w:rPr>
        <w:t>+2</w:t>
      </w:r>
      <w:r>
        <w:rPr>
          <w:rFonts w:ascii="Times New Roman" w:hAnsi="Times New Roman"/>
          <w:color w:val="231F20"/>
        </w:rPr>
        <w:t>°</w:t>
      </w:r>
      <w:r>
        <w:rPr>
          <w:color w:val="231F20"/>
        </w:rPr>
        <w:t xml:space="preserve">C relative to pre-industrial levels (UNFCCC, 2015), with many </w:t>
      </w:r>
      <w:r>
        <w:rPr>
          <w:color w:val="231F20"/>
          <w:w w:val="95"/>
        </w:rPr>
        <w:t>signatories committing to pursue a 1.5</w:t>
      </w:r>
      <w:r>
        <w:rPr>
          <w:rFonts w:ascii="Times New Roman" w:hAnsi="Times New Roman"/>
          <w:color w:val="231F20"/>
          <w:w w:val="95"/>
        </w:rPr>
        <w:t>°</w:t>
      </w:r>
      <w:r>
        <w:rPr>
          <w:color w:val="231F20"/>
          <w:w w:val="95"/>
        </w:rPr>
        <w:t xml:space="preserve">C target (Scott </w:t>
      </w:r>
      <w:r>
        <w:rPr>
          <w:i/>
          <w:color w:val="231F20"/>
          <w:w w:val="95"/>
        </w:rPr>
        <w:t>et al</w:t>
      </w:r>
      <w:r>
        <w:rPr>
          <w:color w:val="231F20"/>
          <w:w w:val="95"/>
        </w:rPr>
        <w:t>., 2016a, 2016b). It is now incumbent upon signatory nations to develop policies to meet the national determined contributions (NDCs) that they committed to in Paris</w:t>
      </w:r>
      <w:r>
        <w:rPr>
          <w:color w:val="231F20"/>
          <w:spacing w:val="40"/>
        </w:rPr>
        <w:t xml:space="preserve"> </w:t>
      </w:r>
      <w:r>
        <w:rPr>
          <w:color w:val="231F20"/>
          <w:w w:val="95"/>
        </w:rPr>
        <w:t>in December 2015. The implicat</w:t>
      </w:r>
      <w:r>
        <w:rPr>
          <w:color w:val="231F20"/>
          <w:w w:val="95"/>
        </w:rPr>
        <w:t xml:space="preserve">ions for the sport and tourism sectors will </w:t>
      </w:r>
      <w:r>
        <w:rPr>
          <w:color w:val="231F20"/>
        </w:rPr>
        <w:t>be inescapable.</w:t>
      </w:r>
    </w:p>
    <w:p w14:paraId="30420B0D" w14:textId="77777777" w:rsidR="00AE0598" w:rsidRDefault="0069255A">
      <w:pPr>
        <w:pStyle w:val="Corpodetexto"/>
        <w:spacing w:before="7" w:line="232" w:lineRule="auto"/>
        <w:ind w:left="110" w:right="126" w:firstLine="320"/>
        <w:jc w:val="both"/>
      </w:pPr>
      <w:r>
        <w:rPr>
          <w:color w:val="231F20"/>
          <w:w w:val="95"/>
        </w:rPr>
        <w:t xml:space="preserve">The sport and tourism sectors must pursue emissions mitigation, given the critical and complex interrelations and interdependencies that tie sport </w:t>
      </w:r>
      <w:r>
        <w:rPr>
          <w:color w:val="231F20"/>
        </w:rPr>
        <w:t>and</w:t>
      </w:r>
      <w:r>
        <w:rPr>
          <w:color w:val="231F20"/>
          <w:spacing w:val="-11"/>
        </w:rPr>
        <w:t xml:space="preserve"> </w:t>
      </w:r>
      <w:r>
        <w:rPr>
          <w:color w:val="231F20"/>
        </w:rPr>
        <w:t>tourism</w:t>
      </w:r>
      <w:r>
        <w:rPr>
          <w:color w:val="231F20"/>
          <w:spacing w:val="-11"/>
        </w:rPr>
        <w:t xml:space="preserve"> </w:t>
      </w:r>
      <w:r>
        <w:rPr>
          <w:color w:val="231F20"/>
        </w:rPr>
        <w:t>to</w:t>
      </w:r>
      <w:r>
        <w:rPr>
          <w:color w:val="231F20"/>
          <w:spacing w:val="-11"/>
        </w:rPr>
        <w:t xml:space="preserve"> </w:t>
      </w:r>
      <w:r>
        <w:rPr>
          <w:color w:val="231F20"/>
        </w:rPr>
        <w:t>the</w:t>
      </w:r>
      <w:r>
        <w:rPr>
          <w:color w:val="231F20"/>
          <w:spacing w:val="-11"/>
        </w:rPr>
        <w:t xml:space="preserve"> </w:t>
      </w:r>
      <w:r>
        <w:rPr>
          <w:color w:val="231F20"/>
        </w:rPr>
        <w:t>environment.</w:t>
      </w:r>
      <w:r>
        <w:rPr>
          <w:color w:val="231F20"/>
          <w:spacing w:val="-11"/>
        </w:rPr>
        <w:t xml:space="preserve"> </w:t>
      </w:r>
      <w:r>
        <w:rPr>
          <w:color w:val="231F20"/>
        </w:rPr>
        <w:t>A</w:t>
      </w:r>
      <w:r>
        <w:rPr>
          <w:color w:val="231F20"/>
          <w:spacing w:val="-11"/>
        </w:rPr>
        <w:t xml:space="preserve"> </w:t>
      </w:r>
      <w:r>
        <w:rPr>
          <w:color w:val="231F20"/>
        </w:rPr>
        <w:t>key</w:t>
      </w:r>
      <w:r>
        <w:rPr>
          <w:color w:val="231F20"/>
          <w:spacing w:val="-11"/>
        </w:rPr>
        <w:t xml:space="preserve"> </w:t>
      </w:r>
      <w:r>
        <w:rPr>
          <w:color w:val="231F20"/>
        </w:rPr>
        <w:t>challenge</w:t>
      </w:r>
      <w:r>
        <w:rPr>
          <w:color w:val="231F20"/>
          <w:spacing w:val="-11"/>
        </w:rPr>
        <w:t xml:space="preserve"> </w:t>
      </w:r>
      <w:r>
        <w:rPr>
          <w:color w:val="231F20"/>
        </w:rPr>
        <w:t>i</w:t>
      </w:r>
      <w:r>
        <w:rPr>
          <w:color w:val="231F20"/>
        </w:rPr>
        <w:t>n</w:t>
      </w:r>
      <w:r>
        <w:rPr>
          <w:color w:val="231F20"/>
          <w:spacing w:val="-11"/>
        </w:rPr>
        <w:t xml:space="preserve"> </w:t>
      </w:r>
      <w:r>
        <w:rPr>
          <w:color w:val="231F20"/>
        </w:rPr>
        <w:t>sustainable</w:t>
      </w:r>
      <w:r>
        <w:rPr>
          <w:color w:val="231F20"/>
          <w:spacing w:val="-11"/>
        </w:rPr>
        <w:t xml:space="preserve"> </w:t>
      </w:r>
      <w:r>
        <w:rPr>
          <w:color w:val="231F20"/>
        </w:rPr>
        <w:t>sport</w:t>
      </w:r>
      <w:r>
        <w:rPr>
          <w:color w:val="231F20"/>
          <w:spacing w:val="-11"/>
        </w:rPr>
        <w:t xml:space="preserve"> </w:t>
      </w:r>
      <w:r>
        <w:rPr>
          <w:color w:val="231F20"/>
        </w:rPr>
        <w:t>and tourism</w:t>
      </w:r>
      <w:r>
        <w:rPr>
          <w:color w:val="231F20"/>
          <w:spacing w:val="-2"/>
        </w:rPr>
        <w:t xml:space="preserve"> </w:t>
      </w:r>
      <w:r>
        <w:rPr>
          <w:color w:val="231F20"/>
        </w:rPr>
        <w:t>development</w:t>
      </w:r>
      <w:r>
        <w:rPr>
          <w:color w:val="231F20"/>
          <w:spacing w:val="-2"/>
        </w:rPr>
        <w:t xml:space="preserve"> </w:t>
      </w:r>
      <w:r>
        <w:rPr>
          <w:color w:val="231F20"/>
        </w:rPr>
        <w:t>has</w:t>
      </w:r>
      <w:r>
        <w:rPr>
          <w:color w:val="231F20"/>
          <w:spacing w:val="-2"/>
        </w:rPr>
        <w:t xml:space="preserve"> </w:t>
      </w:r>
      <w:r>
        <w:rPr>
          <w:color w:val="231F20"/>
        </w:rPr>
        <w:t>emerged</w:t>
      </w:r>
      <w:r>
        <w:rPr>
          <w:color w:val="231F20"/>
          <w:spacing w:val="-2"/>
        </w:rPr>
        <w:t xml:space="preserve"> </w:t>
      </w:r>
      <w:r>
        <w:rPr>
          <w:color w:val="231F20"/>
        </w:rPr>
        <w:t>not</w:t>
      </w:r>
      <w:r>
        <w:rPr>
          <w:color w:val="231F20"/>
          <w:spacing w:val="-2"/>
        </w:rPr>
        <w:t xml:space="preserve"> </w:t>
      </w:r>
      <w:r>
        <w:rPr>
          <w:color w:val="231F20"/>
        </w:rPr>
        <w:t>only</w:t>
      </w:r>
      <w:r>
        <w:rPr>
          <w:color w:val="231F20"/>
          <w:spacing w:val="-2"/>
        </w:rPr>
        <w:t xml:space="preserve"> </w:t>
      </w:r>
      <w:r>
        <w:rPr>
          <w:color w:val="231F20"/>
        </w:rPr>
        <w:t>in</w:t>
      </w:r>
      <w:r>
        <w:rPr>
          <w:color w:val="231F20"/>
          <w:spacing w:val="-2"/>
        </w:rPr>
        <w:t xml:space="preserve"> </w:t>
      </w:r>
      <w:r>
        <w:rPr>
          <w:color w:val="231F20"/>
        </w:rPr>
        <w:t>relation</w:t>
      </w:r>
      <w:r>
        <w:rPr>
          <w:color w:val="231F20"/>
          <w:spacing w:val="-2"/>
        </w:rPr>
        <w:t xml:space="preserve"> </w:t>
      </w:r>
      <w:r>
        <w:rPr>
          <w:color w:val="231F20"/>
        </w:rPr>
        <w:t>to</w:t>
      </w:r>
      <w:r>
        <w:rPr>
          <w:color w:val="231F20"/>
          <w:spacing w:val="-2"/>
        </w:rPr>
        <w:t xml:space="preserve"> </w:t>
      </w:r>
      <w:r>
        <w:rPr>
          <w:color w:val="231F20"/>
        </w:rPr>
        <w:t>the</w:t>
      </w:r>
      <w:r>
        <w:rPr>
          <w:color w:val="231F20"/>
          <w:spacing w:val="-2"/>
        </w:rPr>
        <w:t xml:space="preserve"> </w:t>
      </w:r>
      <w:r>
        <w:rPr>
          <w:color w:val="231F20"/>
        </w:rPr>
        <w:t>movement of</w:t>
      </w:r>
      <w:r>
        <w:rPr>
          <w:color w:val="231F20"/>
          <w:spacing w:val="-3"/>
        </w:rPr>
        <w:t xml:space="preserve"> </w:t>
      </w:r>
      <w:r>
        <w:rPr>
          <w:color w:val="231F20"/>
        </w:rPr>
        <w:t>tourists</w:t>
      </w:r>
      <w:r>
        <w:rPr>
          <w:color w:val="231F20"/>
          <w:spacing w:val="-12"/>
        </w:rPr>
        <w:t xml:space="preserve"> </w:t>
      </w:r>
      <w:r>
        <w:rPr>
          <w:color w:val="231F20"/>
        </w:rPr>
        <w:t>from</w:t>
      </w:r>
      <w:r>
        <w:rPr>
          <w:color w:val="231F20"/>
          <w:spacing w:val="-12"/>
        </w:rPr>
        <w:t xml:space="preserve"> </w:t>
      </w:r>
      <w:r>
        <w:rPr>
          <w:color w:val="231F20"/>
        </w:rPr>
        <w:t>generating</w:t>
      </w:r>
      <w:r>
        <w:rPr>
          <w:color w:val="231F20"/>
          <w:spacing w:val="-11"/>
        </w:rPr>
        <w:t xml:space="preserve"> </w:t>
      </w:r>
      <w:r>
        <w:rPr>
          <w:color w:val="231F20"/>
        </w:rPr>
        <w:t>to</w:t>
      </w:r>
      <w:r>
        <w:rPr>
          <w:color w:val="231F20"/>
          <w:spacing w:val="-12"/>
        </w:rPr>
        <w:t xml:space="preserve"> </w:t>
      </w:r>
      <w:r>
        <w:rPr>
          <w:color w:val="231F20"/>
        </w:rPr>
        <w:t>destination</w:t>
      </w:r>
      <w:r>
        <w:rPr>
          <w:color w:val="231F20"/>
          <w:spacing w:val="-11"/>
        </w:rPr>
        <w:t xml:space="preserve"> </w:t>
      </w:r>
      <w:r>
        <w:rPr>
          <w:color w:val="231F20"/>
        </w:rPr>
        <w:t>regions</w:t>
      </w:r>
      <w:r>
        <w:rPr>
          <w:color w:val="231F20"/>
          <w:spacing w:val="-12"/>
        </w:rPr>
        <w:t xml:space="preserve"> </w:t>
      </w:r>
      <w:r>
        <w:rPr>
          <w:color w:val="231F20"/>
        </w:rPr>
        <w:t>to</w:t>
      </w:r>
      <w:r>
        <w:rPr>
          <w:color w:val="231F20"/>
          <w:spacing w:val="-11"/>
        </w:rPr>
        <w:t xml:space="preserve"> </w:t>
      </w:r>
      <w:r>
        <w:rPr>
          <w:color w:val="231F20"/>
        </w:rPr>
        <w:t>engage</w:t>
      </w:r>
      <w:r>
        <w:rPr>
          <w:color w:val="231F20"/>
          <w:spacing w:val="-12"/>
        </w:rPr>
        <w:t xml:space="preserve"> </w:t>
      </w:r>
      <w:r>
        <w:rPr>
          <w:color w:val="231F20"/>
        </w:rPr>
        <w:t>in</w:t>
      </w:r>
      <w:r>
        <w:rPr>
          <w:color w:val="231F20"/>
          <w:spacing w:val="-12"/>
        </w:rPr>
        <w:t xml:space="preserve"> </w:t>
      </w:r>
      <w:r>
        <w:rPr>
          <w:color w:val="231F20"/>
        </w:rPr>
        <w:t>sports,</w:t>
      </w:r>
      <w:r>
        <w:rPr>
          <w:color w:val="231F20"/>
          <w:spacing w:val="-11"/>
        </w:rPr>
        <w:t xml:space="preserve"> </w:t>
      </w:r>
      <w:r>
        <w:rPr>
          <w:color w:val="231F20"/>
        </w:rPr>
        <w:t>but also</w:t>
      </w:r>
      <w:r>
        <w:rPr>
          <w:color w:val="231F20"/>
          <w:spacing w:val="-11"/>
        </w:rPr>
        <w:t xml:space="preserve"> </w:t>
      </w:r>
      <w:r>
        <w:rPr>
          <w:color w:val="231F20"/>
        </w:rPr>
        <w:t>in</w:t>
      </w:r>
      <w:r>
        <w:rPr>
          <w:color w:val="231F20"/>
          <w:spacing w:val="-11"/>
        </w:rPr>
        <w:t xml:space="preserve"> </w:t>
      </w:r>
      <w:r>
        <w:rPr>
          <w:color w:val="231F20"/>
        </w:rPr>
        <w:t>terms</w:t>
      </w:r>
      <w:r>
        <w:rPr>
          <w:color w:val="231F20"/>
          <w:spacing w:val="-11"/>
        </w:rPr>
        <w:t xml:space="preserve"> </w:t>
      </w:r>
      <w:r>
        <w:rPr>
          <w:color w:val="231F20"/>
        </w:rPr>
        <w:t>of</w:t>
      </w:r>
      <w:r>
        <w:rPr>
          <w:color w:val="231F20"/>
          <w:spacing w:val="-3"/>
        </w:rPr>
        <w:t xml:space="preserve"> </w:t>
      </w:r>
      <w:r>
        <w:rPr>
          <w:color w:val="231F20"/>
        </w:rPr>
        <w:t>the</w:t>
      </w:r>
      <w:r>
        <w:rPr>
          <w:color w:val="231F20"/>
          <w:spacing w:val="-11"/>
        </w:rPr>
        <w:t xml:space="preserve"> </w:t>
      </w:r>
      <w:r>
        <w:rPr>
          <w:color w:val="231F20"/>
        </w:rPr>
        <w:t>greenhouse</w:t>
      </w:r>
      <w:r>
        <w:rPr>
          <w:color w:val="231F20"/>
          <w:spacing w:val="-11"/>
        </w:rPr>
        <w:t xml:space="preserve"> </w:t>
      </w:r>
      <w:r>
        <w:rPr>
          <w:color w:val="231F20"/>
        </w:rPr>
        <w:t>gas</w:t>
      </w:r>
      <w:r>
        <w:rPr>
          <w:color w:val="231F20"/>
          <w:spacing w:val="-11"/>
        </w:rPr>
        <w:t xml:space="preserve"> </w:t>
      </w:r>
      <w:r>
        <w:rPr>
          <w:color w:val="231F20"/>
        </w:rPr>
        <w:t>emissions</w:t>
      </w:r>
      <w:r>
        <w:rPr>
          <w:color w:val="231F20"/>
          <w:spacing w:val="-11"/>
        </w:rPr>
        <w:t xml:space="preserve"> </w:t>
      </w:r>
      <w:r>
        <w:rPr>
          <w:color w:val="231F20"/>
        </w:rPr>
        <w:t>associated</w:t>
      </w:r>
      <w:r>
        <w:rPr>
          <w:color w:val="231F20"/>
          <w:spacing w:val="-11"/>
        </w:rPr>
        <w:t xml:space="preserve"> </w:t>
      </w:r>
      <w:r>
        <w:rPr>
          <w:color w:val="231F20"/>
        </w:rPr>
        <w:t>with</w:t>
      </w:r>
      <w:r>
        <w:rPr>
          <w:color w:val="231F20"/>
          <w:spacing w:val="-11"/>
        </w:rPr>
        <w:t xml:space="preserve"> </w:t>
      </w:r>
      <w:r>
        <w:rPr>
          <w:color w:val="231F20"/>
        </w:rPr>
        <w:t xml:space="preserve">movement of sport participants and spectators (Heath &amp; Kruger, 2015). Scholars have recognised the ironies that exist in relation to nature-based sports </w:t>
      </w:r>
      <w:r>
        <w:rPr>
          <w:color w:val="231F20"/>
          <w:w w:val="95"/>
        </w:rPr>
        <w:t xml:space="preserve">and high participant mobilities. Hopkins (2014), for example, observes the </w:t>
      </w:r>
      <w:r>
        <w:rPr>
          <w:color w:val="231F20"/>
        </w:rPr>
        <w:t>irony</w:t>
      </w:r>
      <w:r>
        <w:rPr>
          <w:color w:val="231F20"/>
          <w:spacing w:val="-7"/>
        </w:rPr>
        <w:t xml:space="preserve"> </w:t>
      </w:r>
      <w:r>
        <w:rPr>
          <w:color w:val="231F20"/>
        </w:rPr>
        <w:t>that</w:t>
      </w:r>
      <w:r>
        <w:rPr>
          <w:color w:val="231F20"/>
          <w:spacing w:val="-7"/>
        </w:rPr>
        <w:t xml:space="preserve"> </w:t>
      </w:r>
      <w:r>
        <w:rPr>
          <w:color w:val="231F20"/>
        </w:rPr>
        <w:t>tourists</w:t>
      </w:r>
      <w:r>
        <w:rPr>
          <w:color w:val="231F20"/>
          <w:spacing w:val="-7"/>
        </w:rPr>
        <w:t xml:space="preserve"> </w:t>
      </w:r>
      <w:r>
        <w:rPr>
          <w:color w:val="231F20"/>
        </w:rPr>
        <w:t>who</w:t>
      </w:r>
      <w:r>
        <w:rPr>
          <w:color w:val="231F20"/>
          <w:spacing w:val="-7"/>
        </w:rPr>
        <w:t xml:space="preserve"> </w:t>
      </w:r>
      <w:r>
        <w:rPr>
          <w:color w:val="231F20"/>
        </w:rPr>
        <w:t>trav</w:t>
      </w:r>
      <w:r>
        <w:rPr>
          <w:color w:val="231F20"/>
        </w:rPr>
        <w:t>el</w:t>
      </w:r>
      <w:r>
        <w:rPr>
          <w:color w:val="231F20"/>
          <w:spacing w:val="-7"/>
        </w:rPr>
        <w:t xml:space="preserve"> </w:t>
      </w:r>
      <w:r>
        <w:rPr>
          <w:color w:val="231F20"/>
        </w:rPr>
        <w:t>internationally</w:t>
      </w:r>
      <w:r>
        <w:rPr>
          <w:color w:val="231F20"/>
          <w:spacing w:val="-7"/>
        </w:rPr>
        <w:t xml:space="preserve"> </w:t>
      </w:r>
      <w:r>
        <w:rPr>
          <w:color w:val="231F20"/>
        </w:rPr>
        <w:t>and</w:t>
      </w:r>
      <w:r>
        <w:rPr>
          <w:color w:val="231F20"/>
          <w:spacing w:val="-7"/>
        </w:rPr>
        <w:t xml:space="preserve"> </w:t>
      </w:r>
      <w:r>
        <w:rPr>
          <w:color w:val="231F20"/>
        </w:rPr>
        <w:t>domestically</w:t>
      </w:r>
      <w:r>
        <w:rPr>
          <w:color w:val="231F20"/>
          <w:spacing w:val="-7"/>
        </w:rPr>
        <w:t xml:space="preserve"> </w:t>
      </w:r>
      <w:r>
        <w:rPr>
          <w:color w:val="231F20"/>
        </w:rPr>
        <w:t>to</w:t>
      </w:r>
      <w:r>
        <w:rPr>
          <w:color w:val="231F20"/>
          <w:spacing w:val="-7"/>
        </w:rPr>
        <w:t xml:space="preserve"> </w:t>
      </w:r>
      <w:r>
        <w:rPr>
          <w:color w:val="231F20"/>
        </w:rPr>
        <w:t xml:space="preserve">engage in alpine skiing in New Zealand contribute significantly to the transport </w:t>
      </w:r>
      <w:r>
        <w:rPr>
          <w:color w:val="231F20"/>
          <w:w w:val="95"/>
        </w:rPr>
        <w:t xml:space="preserve">emissions that are driving climate change which will ultimately destroy the winter ski resource (Case Study 7.1). Hinch </w:t>
      </w:r>
      <w:r>
        <w:rPr>
          <w:i/>
          <w:color w:val="231F20"/>
          <w:w w:val="95"/>
        </w:rPr>
        <w:t>et al</w:t>
      </w:r>
      <w:r>
        <w:rPr>
          <w:color w:val="231F20"/>
          <w:w w:val="95"/>
        </w:rPr>
        <w:t>. (2016: 16</w:t>
      </w:r>
      <w:r>
        <w:rPr>
          <w:color w:val="231F20"/>
          <w:w w:val="95"/>
        </w:rPr>
        <w:t>5) consider that ‘(transport) emissions may ultimately become part of</w:t>
      </w:r>
      <w:r>
        <w:rPr>
          <w:color w:val="231F20"/>
        </w:rPr>
        <w:t xml:space="preserve"> </w:t>
      </w:r>
      <w:r>
        <w:rPr>
          <w:color w:val="231F20"/>
          <w:w w:val="95"/>
        </w:rPr>
        <w:t>the energy inventory and</w:t>
      </w:r>
      <w:r>
        <w:rPr>
          <w:color w:val="231F20"/>
          <w:spacing w:val="-2"/>
          <w:w w:val="95"/>
        </w:rPr>
        <w:t xml:space="preserve"> </w:t>
      </w:r>
      <w:r>
        <w:rPr>
          <w:color w:val="231F20"/>
          <w:w w:val="95"/>
        </w:rPr>
        <w:t>emissions</w:t>
      </w:r>
      <w:r>
        <w:rPr>
          <w:color w:val="231F20"/>
          <w:spacing w:val="-2"/>
          <w:w w:val="95"/>
        </w:rPr>
        <w:t xml:space="preserve"> </w:t>
      </w:r>
      <w:r>
        <w:rPr>
          <w:color w:val="231F20"/>
          <w:w w:val="95"/>
        </w:rPr>
        <w:t>profile</w:t>
      </w:r>
      <w:r>
        <w:rPr>
          <w:color w:val="231F20"/>
          <w:spacing w:val="-2"/>
          <w:w w:val="95"/>
        </w:rPr>
        <w:t xml:space="preserve"> </w:t>
      </w:r>
      <w:r>
        <w:rPr>
          <w:color w:val="231F20"/>
          <w:w w:val="95"/>
        </w:rPr>
        <w:t>of</w:t>
      </w:r>
      <w:r>
        <w:rPr>
          <w:color w:val="231F20"/>
        </w:rPr>
        <w:t xml:space="preserve"> </w:t>
      </w:r>
      <w:r>
        <w:rPr>
          <w:color w:val="231F20"/>
          <w:w w:val="95"/>
        </w:rPr>
        <w:t>the</w:t>
      </w:r>
      <w:r>
        <w:rPr>
          <w:color w:val="231F20"/>
          <w:spacing w:val="-2"/>
          <w:w w:val="95"/>
        </w:rPr>
        <w:t xml:space="preserve"> </w:t>
      </w:r>
      <w:r>
        <w:rPr>
          <w:color w:val="231F20"/>
          <w:w w:val="95"/>
        </w:rPr>
        <w:t>destinations</w:t>
      </w:r>
      <w:r>
        <w:rPr>
          <w:color w:val="231F20"/>
          <w:spacing w:val="-2"/>
          <w:w w:val="95"/>
        </w:rPr>
        <w:t xml:space="preserve"> </w:t>
      </w:r>
      <w:r>
        <w:rPr>
          <w:color w:val="231F20"/>
          <w:w w:val="95"/>
        </w:rPr>
        <w:t>that</w:t>
      </w:r>
      <w:r>
        <w:rPr>
          <w:color w:val="231F20"/>
          <w:spacing w:val="-2"/>
          <w:w w:val="95"/>
        </w:rPr>
        <w:t xml:space="preserve"> </w:t>
      </w:r>
      <w:r>
        <w:rPr>
          <w:color w:val="231F20"/>
          <w:w w:val="95"/>
        </w:rPr>
        <w:t>host</w:t>
      </w:r>
      <w:r>
        <w:rPr>
          <w:color w:val="231F20"/>
          <w:spacing w:val="-2"/>
          <w:w w:val="95"/>
        </w:rPr>
        <w:t xml:space="preserve"> </w:t>
      </w:r>
      <w:r>
        <w:rPr>
          <w:color w:val="231F20"/>
          <w:w w:val="95"/>
        </w:rPr>
        <w:t>sports</w:t>
      </w:r>
      <w:r>
        <w:rPr>
          <w:color w:val="231F20"/>
          <w:spacing w:val="-2"/>
          <w:w w:val="95"/>
        </w:rPr>
        <w:t xml:space="preserve"> </w:t>
      </w:r>
      <w:r>
        <w:rPr>
          <w:color w:val="231F20"/>
          <w:w w:val="95"/>
        </w:rPr>
        <w:t>events</w:t>
      </w:r>
      <w:r>
        <w:rPr>
          <w:color w:val="231F20"/>
          <w:spacing w:val="-2"/>
          <w:w w:val="95"/>
        </w:rPr>
        <w:t xml:space="preserve"> </w:t>
      </w:r>
      <w:r>
        <w:rPr>
          <w:color w:val="231F20"/>
          <w:w w:val="95"/>
        </w:rPr>
        <w:t>and</w:t>
      </w:r>
      <w:r>
        <w:rPr>
          <w:color w:val="231F20"/>
          <w:spacing w:val="-2"/>
          <w:w w:val="95"/>
        </w:rPr>
        <w:t xml:space="preserve"> </w:t>
      </w:r>
      <w:r>
        <w:rPr>
          <w:color w:val="231F20"/>
          <w:w w:val="95"/>
        </w:rPr>
        <w:t xml:space="preserve">benefit </w:t>
      </w:r>
      <w:r>
        <w:rPr>
          <w:color w:val="231F20"/>
        </w:rPr>
        <w:t>from the flows of tourists’. There is no doubt that questions relating to the sustainab</w:t>
      </w:r>
      <w:r>
        <w:rPr>
          <w:color w:val="231F20"/>
        </w:rPr>
        <w:t xml:space="preserve">ility of sport tourism must be reframed to account for the drivers of global environmental change, in which sport and tourism are </w:t>
      </w:r>
      <w:r>
        <w:rPr>
          <w:color w:val="231F20"/>
          <w:spacing w:val="-2"/>
        </w:rPr>
        <w:t>implicated.</w:t>
      </w:r>
    </w:p>
    <w:p w14:paraId="70AEBB60" w14:textId="72E451FD" w:rsidR="00AE0598" w:rsidRDefault="0069255A">
      <w:pPr>
        <w:pStyle w:val="Corpodetexto"/>
        <w:spacing w:before="11"/>
        <w:rPr>
          <w:sz w:val="28"/>
        </w:rPr>
      </w:pPr>
      <w:r>
        <w:rPr>
          <w:noProof/>
        </w:rPr>
        <mc:AlternateContent>
          <mc:Choice Requires="wps">
            <w:drawing>
              <wp:anchor distT="0" distB="0" distL="0" distR="0" simplePos="0" relativeHeight="487661568" behindDoc="1" locked="0" layoutInCell="1" allowOverlap="1" wp14:anchorId="5031452E" wp14:editId="5EC97D99">
                <wp:simplePos x="0" y="0"/>
                <wp:positionH relativeFrom="page">
                  <wp:posOffset>755650</wp:posOffset>
                </wp:positionH>
                <wp:positionV relativeFrom="paragraph">
                  <wp:posOffset>230505</wp:posOffset>
                </wp:positionV>
                <wp:extent cx="4104005" cy="1910715"/>
                <wp:effectExtent l="0" t="0" r="0" b="0"/>
                <wp:wrapTopAndBottom/>
                <wp:docPr id="160" name="docshape2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04005" cy="1910715"/>
                        </a:xfrm>
                        <a:prstGeom prst="rect">
                          <a:avLst/>
                        </a:prstGeom>
                        <a:solidFill>
                          <a:srgbClr val="DCDDD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30A1289" w14:textId="77777777" w:rsidR="00AE0598" w:rsidRDefault="0069255A">
                            <w:pPr>
                              <w:spacing w:before="75" w:line="247" w:lineRule="auto"/>
                              <w:ind w:left="113" w:right="289"/>
                              <w:jc w:val="both"/>
                              <w:rPr>
                                <w:rFonts w:ascii="Trebuchet MS"/>
                                <w:color w:val="000000"/>
                                <w:sz w:val="20"/>
                              </w:rPr>
                            </w:pPr>
                            <w:r>
                              <w:rPr>
                                <w:rFonts w:ascii="Trebuchet MS"/>
                                <w:color w:val="231F20"/>
                                <w:spacing w:val="-2"/>
                                <w:w w:val="105"/>
                                <w:sz w:val="20"/>
                              </w:rPr>
                              <w:t>Case</w:t>
                            </w:r>
                            <w:r>
                              <w:rPr>
                                <w:rFonts w:ascii="Trebuchet MS"/>
                                <w:color w:val="231F20"/>
                                <w:spacing w:val="-8"/>
                                <w:w w:val="105"/>
                                <w:sz w:val="20"/>
                              </w:rPr>
                              <w:t xml:space="preserve"> </w:t>
                            </w:r>
                            <w:r>
                              <w:rPr>
                                <w:rFonts w:ascii="Trebuchet MS"/>
                                <w:color w:val="231F20"/>
                                <w:spacing w:val="-2"/>
                                <w:w w:val="105"/>
                                <w:sz w:val="20"/>
                              </w:rPr>
                              <w:t>Study</w:t>
                            </w:r>
                            <w:r>
                              <w:rPr>
                                <w:rFonts w:ascii="Trebuchet MS"/>
                                <w:color w:val="231F20"/>
                                <w:spacing w:val="-8"/>
                                <w:w w:val="105"/>
                                <w:sz w:val="20"/>
                              </w:rPr>
                              <w:t xml:space="preserve"> </w:t>
                            </w:r>
                            <w:r>
                              <w:rPr>
                                <w:rFonts w:ascii="Trebuchet MS"/>
                                <w:color w:val="231F20"/>
                                <w:spacing w:val="-2"/>
                                <w:w w:val="105"/>
                                <w:sz w:val="20"/>
                              </w:rPr>
                              <w:t>7.1:</w:t>
                            </w:r>
                            <w:r>
                              <w:rPr>
                                <w:rFonts w:ascii="Trebuchet MS"/>
                                <w:color w:val="231F20"/>
                                <w:spacing w:val="-8"/>
                                <w:w w:val="105"/>
                                <w:sz w:val="20"/>
                              </w:rPr>
                              <w:t xml:space="preserve"> </w:t>
                            </w:r>
                            <w:r>
                              <w:rPr>
                                <w:rFonts w:ascii="Trebuchet MS"/>
                                <w:color w:val="231F20"/>
                                <w:spacing w:val="-2"/>
                                <w:w w:val="105"/>
                                <w:sz w:val="20"/>
                              </w:rPr>
                              <w:t>Winter</w:t>
                            </w:r>
                            <w:r>
                              <w:rPr>
                                <w:rFonts w:ascii="Trebuchet MS"/>
                                <w:color w:val="231F20"/>
                                <w:spacing w:val="-8"/>
                                <w:w w:val="105"/>
                                <w:sz w:val="20"/>
                              </w:rPr>
                              <w:t xml:space="preserve"> </w:t>
                            </w:r>
                            <w:r>
                              <w:rPr>
                                <w:rFonts w:ascii="Trebuchet MS"/>
                                <w:color w:val="231F20"/>
                                <w:spacing w:val="-2"/>
                                <w:w w:val="105"/>
                                <w:sz w:val="20"/>
                              </w:rPr>
                              <w:t>Sports</w:t>
                            </w:r>
                            <w:r>
                              <w:rPr>
                                <w:rFonts w:ascii="Trebuchet MS"/>
                                <w:color w:val="231F20"/>
                                <w:spacing w:val="-8"/>
                                <w:w w:val="105"/>
                                <w:sz w:val="20"/>
                              </w:rPr>
                              <w:t xml:space="preserve"> </w:t>
                            </w:r>
                            <w:r>
                              <w:rPr>
                                <w:rFonts w:ascii="Trebuchet MS"/>
                                <w:color w:val="231F20"/>
                                <w:spacing w:val="-2"/>
                                <w:w w:val="105"/>
                                <w:sz w:val="20"/>
                              </w:rPr>
                              <w:t>Resources,</w:t>
                            </w:r>
                            <w:r>
                              <w:rPr>
                                <w:rFonts w:ascii="Trebuchet MS"/>
                                <w:color w:val="231F20"/>
                                <w:spacing w:val="-8"/>
                                <w:w w:val="105"/>
                                <w:sz w:val="20"/>
                              </w:rPr>
                              <w:t xml:space="preserve"> </w:t>
                            </w:r>
                            <w:r>
                              <w:rPr>
                                <w:rFonts w:ascii="Trebuchet MS"/>
                                <w:color w:val="231F20"/>
                                <w:spacing w:val="-2"/>
                                <w:w w:val="105"/>
                                <w:sz w:val="20"/>
                              </w:rPr>
                              <w:t>Climate</w:t>
                            </w:r>
                            <w:r>
                              <w:rPr>
                                <w:rFonts w:ascii="Trebuchet MS"/>
                                <w:color w:val="231F20"/>
                                <w:spacing w:val="-8"/>
                                <w:w w:val="105"/>
                                <w:sz w:val="20"/>
                              </w:rPr>
                              <w:t xml:space="preserve"> </w:t>
                            </w:r>
                            <w:r>
                              <w:rPr>
                                <w:rFonts w:ascii="Trebuchet MS"/>
                                <w:color w:val="231F20"/>
                                <w:spacing w:val="-2"/>
                                <w:w w:val="105"/>
                                <w:sz w:val="20"/>
                              </w:rPr>
                              <w:t>Change</w:t>
                            </w:r>
                            <w:r>
                              <w:rPr>
                                <w:rFonts w:ascii="Trebuchet MS"/>
                                <w:color w:val="231F20"/>
                                <w:spacing w:val="-8"/>
                                <w:w w:val="105"/>
                                <w:sz w:val="20"/>
                              </w:rPr>
                              <w:t xml:space="preserve"> </w:t>
                            </w:r>
                            <w:r>
                              <w:rPr>
                                <w:rFonts w:ascii="Trebuchet MS"/>
                                <w:color w:val="231F20"/>
                                <w:spacing w:val="-2"/>
                                <w:w w:val="105"/>
                                <w:sz w:val="20"/>
                              </w:rPr>
                              <w:t>and</w:t>
                            </w:r>
                            <w:r>
                              <w:rPr>
                                <w:rFonts w:ascii="Trebuchet MS"/>
                                <w:color w:val="231F20"/>
                                <w:spacing w:val="-8"/>
                                <w:w w:val="105"/>
                                <w:sz w:val="20"/>
                              </w:rPr>
                              <w:t xml:space="preserve"> </w:t>
                            </w:r>
                            <w:r>
                              <w:rPr>
                                <w:rFonts w:ascii="Trebuchet MS"/>
                                <w:color w:val="231F20"/>
                                <w:spacing w:val="-2"/>
                                <w:w w:val="105"/>
                                <w:sz w:val="20"/>
                              </w:rPr>
                              <w:t xml:space="preserve">the </w:t>
                            </w:r>
                            <w:r>
                              <w:rPr>
                                <w:rFonts w:ascii="Trebuchet MS"/>
                                <w:color w:val="231F20"/>
                                <w:w w:val="105"/>
                                <w:sz w:val="20"/>
                              </w:rPr>
                              <w:t>Ironies of Sports-Related Mobilities</w:t>
                            </w:r>
                          </w:p>
                          <w:p w14:paraId="2475E3D1" w14:textId="77777777" w:rsidR="00AE0598" w:rsidRDefault="0069255A">
                            <w:pPr>
                              <w:pStyle w:val="Corpodetexto"/>
                              <w:spacing w:before="110"/>
                              <w:ind w:left="113"/>
                              <w:jc w:val="both"/>
                              <w:rPr>
                                <w:color w:val="000000"/>
                              </w:rPr>
                            </w:pPr>
                            <w:r>
                              <w:rPr>
                                <w:color w:val="231F20"/>
                              </w:rPr>
                              <w:t>Debbie</w:t>
                            </w:r>
                            <w:r>
                              <w:rPr>
                                <w:color w:val="231F20"/>
                                <w:spacing w:val="8"/>
                              </w:rPr>
                              <w:t xml:space="preserve"> </w:t>
                            </w:r>
                            <w:r>
                              <w:rPr>
                                <w:color w:val="231F20"/>
                              </w:rPr>
                              <w:t>Hopkins,</w:t>
                            </w:r>
                            <w:r>
                              <w:rPr>
                                <w:color w:val="231F20"/>
                                <w:spacing w:val="9"/>
                              </w:rPr>
                              <w:t xml:space="preserve"> </w:t>
                            </w:r>
                            <w:r>
                              <w:rPr>
                                <w:color w:val="231F20"/>
                              </w:rPr>
                              <w:t>University</w:t>
                            </w:r>
                            <w:r>
                              <w:rPr>
                                <w:color w:val="231F20"/>
                                <w:spacing w:val="9"/>
                              </w:rPr>
                              <w:t xml:space="preserve"> </w:t>
                            </w:r>
                            <w:r>
                              <w:rPr>
                                <w:color w:val="231F20"/>
                              </w:rPr>
                              <w:t>of</w:t>
                            </w:r>
                            <w:r>
                              <w:rPr>
                                <w:color w:val="231F20"/>
                                <w:spacing w:val="9"/>
                              </w:rPr>
                              <w:t xml:space="preserve"> </w:t>
                            </w:r>
                            <w:r>
                              <w:rPr>
                                <w:color w:val="231F20"/>
                              </w:rPr>
                              <w:t>Oxford,</w:t>
                            </w:r>
                            <w:r>
                              <w:rPr>
                                <w:color w:val="231F20"/>
                                <w:spacing w:val="9"/>
                              </w:rPr>
                              <w:t xml:space="preserve"> </w:t>
                            </w:r>
                            <w:r>
                              <w:rPr>
                                <w:color w:val="231F20"/>
                                <w:spacing w:val="-5"/>
                              </w:rPr>
                              <w:t>UK</w:t>
                            </w:r>
                          </w:p>
                          <w:p w14:paraId="59B19ECB" w14:textId="77777777" w:rsidR="00AE0598" w:rsidRDefault="0069255A">
                            <w:pPr>
                              <w:pStyle w:val="Corpodetexto"/>
                              <w:spacing w:before="120" w:line="232" w:lineRule="auto"/>
                              <w:ind w:left="113" w:right="110" w:firstLine="320"/>
                              <w:jc w:val="both"/>
                              <w:rPr>
                                <w:color w:val="000000"/>
                              </w:rPr>
                            </w:pPr>
                            <w:r>
                              <w:rPr>
                                <w:color w:val="231F20"/>
                                <w:w w:val="95"/>
                              </w:rPr>
                              <w:t xml:space="preserve">The popularity of winter sports tourism has ebbed and flowed over </w:t>
                            </w:r>
                            <w:r>
                              <w:rPr>
                                <w:color w:val="231F20"/>
                              </w:rPr>
                              <w:t>the past century, through periods of mass growth in popularity and investment in infrastructures, to periods of consolidation (Hudson, 2003). Events such as the Winter Olympics and the X Games, and the emergence and growth of new winter sports, have helped</w:t>
                            </w:r>
                            <w:r>
                              <w:rPr>
                                <w:color w:val="231F20"/>
                              </w:rPr>
                              <w:t xml:space="preserve"> to increase </w:t>
                            </w:r>
                            <w:r>
                              <w:rPr>
                                <w:color w:val="231F20"/>
                                <w:w w:val="95"/>
                              </w:rPr>
                              <w:t>demand</w:t>
                            </w:r>
                            <w:r>
                              <w:rPr>
                                <w:color w:val="231F20"/>
                                <w:spacing w:val="5"/>
                              </w:rPr>
                              <w:t xml:space="preserve"> </w:t>
                            </w:r>
                            <w:r>
                              <w:rPr>
                                <w:color w:val="231F20"/>
                                <w:w w:val="95"/>
                              </w:rPr>
                              <w:t>among</w:t>
                            </w:r>
                            <w:r>
                              <w:rPr>
                                <w:color w:val="231F20"/>
                                <w:spacing w:val="6"/>
                              </w:rPr>
                              <w:t xml:space="preserve"> </w:t>
                            </w:r>
                            <w:r>
                              <w:rPr>
                                <w:color w:val="231F20"/>
                                <w:w w:val="95"/>
                              </w:rPr>
                              <w:t>adolescents</w:t>
                            </w:r>
                            <w:r>
                              <w:rPr>
                                <w:color w:val="231F20"/>
                                <w:spacing w:val="6"/>
                              </w:rPr>
                              <w:t xml:space="preserve"> </w:t>
                            </w:r>
                            <w:r>
                              <w:rPr>
                                <w:color w:val="231F20"/>
                                <w:w w:val="95"/>
                              </w:rPr>
                              <w:t>and</w:t>
                            </w:r>
                            <w:r>
                              <w:rPr>
                                <w:color w:val="231F20"/>
                                <w:spacing w:val="6"/>
                              </w:rPr>
                              <w:t xml:space="preserve"> </w:t>
                            </w:r>
                            <w:r>
                              <w:rPr>
                                <w:color w:val="231F20"/>
                                <w:w w:val="95"/>
                              </w:rPr>
                              <w:t>young</w:t>
                            </w:r>
                            <w:r>
                              <w:rPr>
                                <w:color w:val="231F20"/>
                                <w:spacing w:val="6"/>
                              </w:rPr>
                              <w:t xml:space="preserve"> </w:t>
                            </w:r>
                            <w:r>
                              <w:rPr>
                                <w:color w:val="231F20"/>
                                <w:w w:val="95"/>
                              </w:rPr>
                              <w:t>adults,</w:t>
                            </w:r>
                            <w:r>
                              <w:rPr>
                                <w:color w:val="231F20"/>
                                <w:spacing w:val="6"/>
                              </w:rPr>
                              <w:t xml:space="preserve"> </w:t>
                            </w:r>
                            <w:r>
                              <w:rPr>
                                <w:color w:val="231F20"/>
                                <w:w w:val="95"/>
                              </w:rPr>
                              <w:t>and</w:t>
                            </w:r>
                            <w:r>
                              <w:rPr>
                                <w:color w:val="231F20"/>
                                <w:spacing w:val="6"/>
                              </w:rPr>
                              <w:t xml:space="preserve"> </w:t>
                            </w:r>
                            <w:r>
                              <w:rPr>
                                <w:color w:val="231F20"/>
                                <w:w w:val="95"/>
                              </w:rPr>
                              <w:t>broadened</w:t>
                            </w:r>
                            <w:r>
                              <w:rPr>
                                <w:color w:val="231F20"/>
                                <w:spacing w:val="6"/>
                              </w:rPr>
                              <w:t xml:space="preserve"> </w:t>
                            </w:r>
                            <w:r>
                              <w:rPr>
                                <w:color w:val="231F20"/>
                                <w:w w:val="95"/>
                              </w:rPr>
                              <w:t>the</w:t>
                            </w:r>
                            <w:r>
                              <w:rPr>
                                <w:color w:val="231F20"/>
                                <w:spacing w:val="6"/>
                              </w:rPr>
                              <w:t xml:space="preserve"> </w:t>
                            </w:r>
                            <w:r>
                              <w:rPr>
                                <w:color w:val="231F20"/>
                                <w:spacing w:val="-2"/>
                                <w:w w:val="95"/>
                              </w:rPr>
                              <w:t>image</w:t>
                            </w:r>
                          </w:p>
                          <w:p w14:paraId="0E25B1BC" w14:textId="77777777" w:rsidR="00AE0598" w:rsidRDefault="00AE0598">
                            <w:pPr>
                              <w:pStyle w:val="Corpodetexto"/>
                              <w:spacing w:before="1"/>
                              <w:rPr>
                                <w:color w:val="000000"/>
                                <w:sz w:val="20"/>
                              </w:rPr>
                            </w:pPr>
                          </w:p>
                          <w:p w14:paraId="5720208F" w14:textId="77777777" w:rsidR="00AE0598" w:rsidRDefault="0069255A">
                            <w:pPr>
                              <w:ind w:right="111"/>
                              <w:jc w:val="right"/>
                              <w:rPr>
                                <w:rFonts w:ascii="Trebuchet MS"/>
                                <w:i/>
                                <w:color w:val="000000"/>
                                <w:sz w:val="18"/>
                              </w:rPr>
                            </w:pPr>
                            <w:r>
                              <w:rPr>
                                <w:rFonts w:ascii="Trebuchet MS"/>
                                <w:i/>
                                <w:color w:val="231F20"/>
                                <w:spacing w:val="-2"/>
                                <w:sz w:val="18"/>
                              </w:rPr>
                              <w:t>(Continued)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031452E" id="docshape208" o:spid="_x0000_s1087" type="#_x0000_t202" style="position:absolute;margin-left:59.5pt;margin-top:18.15pt;width:323.15pt;height:150.45pt;z-index:-156549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" fillcolor="#dcddde" stroked="f">
                <v:textbox inset="0,0,0,0">
                  <w:txbxContent>
                    <w:p w14:paraId="330A1289" w14:textId="77777777" w:rsidR="00AE0598" w:rsidRDefault="0069255A">
                      <w:pPr>
                        <w:spacing w:before="75" w:line="247" w:lineRule="auto"/>
                        <w:ind w:left="113" w:right="289"/>
                        <w:jc w:val="both"/>
                        <w:rPr>
                          <w:rFonts w:ascii="Trebuchet MS"/>
                          <w:color w:val="000000"/>
                          <w:sz w:val="20"/>
                        </w:rPr>
                      </w:pPr>
                      <w:r>
                        <w:rPr>
                          <w:rFonts w:ascii="Trebuchet MS"/>
                          <w:color w:val="231F20"/>
                          <w:spacing w:val="-2"/>
                          <w:w w:val="105"/>
                          <w:sz w:val="20"/>
                        </w:rPr>
                        <w:t>Case</w:t>
                      </w:r>
                      <w:r>
                        <w:rPr>
                          <w:rFonts w:ascii="Trebuchet MS"/>
                          <w:color w:val="231F20"/>
                          <w:spacing w:val="-8"/>
                          <w:w w:val="105"/>
                          <w:sz w:val="20"/>
                        </w:rPr>
                        <w:t xml:space="preserve"> </w:t>
                      </w:r>
                      <w:r>
                        <w:rPr>
                          <w:rFonts w:ascii="Trebuchet MS"/>
                          <w:color w:val="231F20"/>
                          <w:spacing w:val="-2"/>
                          <w:w w:val="105"/>
                          <w:sz w:val="20"/>
                        </w:rPr>
                        <w:t>Study</w:t>
                      </w:r>
                      <w:r>
                        <w:rPr>
                          <w:rFonts w:ascii="Trebuchet MS"/>
                          <w:color w:val="231F20"/>
                          <w:spacing w:val="-8"/>
                          <w:w w:val="105"/>
                          <w:sz w:val="20"/>
                        </w:rPr>
                        <w:t xml:space="preserve"> </w:t>
                      </w:r>
                      <w:r>
                        <w:rPr>
                          <w:rFonts w:ascii="Trebuchet MS"/>
                          <w:color w:val="231F20"/>
                          <w:spacing w:val="-2"/>
                          <w:w w:val="105"/>
                          <w:sz w:val="20"/>
                        </w:rPr>
                        <w:t>7.1:</w:t>
                      </w:r>
                      <w:r>
                        <w:rPr>
                          <w:rFonts w:ascii="Trebuchet MS"/>
                          <w:color w:val="231F20"/>
                          <w:spacing w:val="-8"/>
                          <w:w w:val="105"/>
                          <w:sz w:val="20"/>
                        </w:rPr>
                        <w:t xml:space="preserve"> </w:t>
                      </w:r>
                      <w:r>
                        <w:rPr>
                          <w:rFonts w:ascii="Trebuchet MS"/>
                          <w:color w:val="231F20"/>
                          <w:spacing w:val="-2"/>
                          <w:w w:val="105"/>
                          <w:sz w:val="20"/>
                        </w:rPr>
                        <w:t>Winter</w:t>
                      </w:r>
                      <w:r>
                        <w:rPr>
                          <w:rFonts w:ascii="Trebuchet MS"/>
                          <w:color w:val="231F20"/>
                          <w:spacing w:val="-8"/>
                          <w:w w:val="105"/>
                          <w:sz w:val="20"/>
                        </w:rPr>
                        <w:t xml:space="preserve"> </w:t>
                      </w:r>
                      <w:r>
                        <w:rPr>
                          <w:rFonts w:ascii="Trebuchet MS"/>
                          <w:color w:val="231F20"/>
                          <w:spacing w:val="-2"/>
                          <w:w w:val="105"/>
                          <w:sz w:val="20"/>
                        </w:rPr>
                        <w:t>Sports</w:t>
                      </w:r>
                      <w:r>
                        <w:rPr>
                          <w:rFonts w:ascii="Trebuchet MS"/>
                          <w:color w:val="231F20"/>
                          <w:spacing w:val="-8"/>
                          <w:w w:val="105"/>
                          <w:sz w:val="20"/>
                        </w:rPr>
                        <w:t xml:space="preserve"> </w:t>
                      </w:r>
                      <w:r>
                        <w:rPr>
                          <w:rFonts w:ascii="Trebuchet MS"/>
                          <w:color w:val="231F20"/>
                          <w:spacing w:val="-2"/>
                          <w:w w:val="105"/>
                          <w:sz w:val="20"/>
                        </w:rPr>
                        <w:t>Resources,</w:t>
                      </w:r>
                      <w:r>
                        <w:rPr>
                          <w:rFonts w:ascii="Trebuchet MS"/>
                          <w:color w:val="231F20"/>
                          <w:spacing w:val="-8"/>
                          <w:w w:val="105"/>
                          <w:sz w:val="20"/>
                        </w:rPr>
                        <w:t xml:space="preserve"> </w:t>
                      </w:r>
                      <w:r>
                        <w:rPr>
                          <w:rFonts w:ascii="Trebuchet MS"/>
                          <w:color w:val="231F20"/>
                          <w:spacing w:val="-2"/>
                          <w:w w:val="105"/>
                          <w:sz w:val="20"/>
                        </w:rPr>
                        <w:t>Climate</w:t>
                      </w:r>
                      <w:r>
                        <w:rPr>
                          <w:rFonts w:ascii="Trebuchet MS"/>
                          <w:color w:val="231F20"/>
                          <w:spacing w:val="-8"/>
                          <w:w w:val="105"/>
                          <w:sz w:val="20"/>
                        </w:rPr>
                        <w:t xml:space="preserve"> </w:t>
                      </w:r>
                      <w:r>
                        <w:rPr>
                          <w:rFonts w:ascii="Trebuchet MS"/>
                          <w:color w:val="231F20"/>
                          <w:spacing w:val="-2"/>
                          <w:w w:val="105"/>
                          <w:sz w:val="20"/>
                        </w:rPr>
                        <w:t>Change</w:t>
                      </w:r>
                      <w:r>
                        <w:rPr>
                          <w:rFonts w:ascii="Trebuchet MS"/>
                          <w:color w:val="231F20"/>
                          <w:spacing w:val="-8"/>
                          <w:w w:val="105"/>
                          <w:sz w:val="20"/>
                        </w:rPr>
                        <w:t xml:space="preserve"> </w:t>
                      </w:r>
                      <w:r>
                        <w:rPr>
                          <w:rFonts w:ascii="Trebuchet MS"/>
                          <w:color w:val="231F20"/>
                          <w:spacing w:val="-2"/>
                          <w:w w:val="105"/>
                          <w:sz w:val="20"/>
                        </w:rPr>
                        <w:t>and</w:t>
                      </w:r>
                      <w:r>
                        <w:rPr>
                          <w:rFonts w:ascii="Trebuchet MS"/>
                          <w:color w:val="231F20"/>
                          <w:spacing w:val="-8"/>
                          <w:w w:val="105"/>
                          <w:sz w:val="20"/>
                        </w:rPr>
                        <w:t xml:space="preserve"> </w:t>
                      </w:r>
                      <w:r>
                        <w:rPr>
                          <w:rFonts w:ascii="Trebuchet MS"/>
                          <w:color w:val="231F20"/>
                          <w:spacing w:val="-2"/>
                          <w:w w:val="105"/>
                          <w:sz w:val="20"/>
                        </w:rPr>
                        <w:t xml:space="preserve">the </w:t>
                      </w:r>
                      <w:r>
                        <w:rPr>
                          <w:rFonts w:ascii="Trebuchet MS"/>
                          <w:color w:val="231F20"/>
                          <w:w w:val="105"/>
                          <w:sz w:val="20"/>
                        </w:rPr>
                        <w:t>Ironies of Sports-Related Mobilities</w:t>
                      </w:r>
                    </w:p>
                    <w:p w14:paraId="2475E3D1" w14:textId="77777777" w:rsidR="00AE0598" w:rsidRDefault="0069255A">
                      <w:pPr>
                        <w:pStyle w:val="Corpodetexto"/>
                        <w:spacing w:before="110"/>
                        <w:ind w:left="113"/>
                        <w:jc w:val="both"/>
                        <w:rPr>
                          <w:color w:val="000000"/>
                        </w:rPr>
                      </w:pPr>
                      <w:r>
                        <w:rPr>
                          <w:color w:val="231F20"/>
                        </w:rPr>
                        <w:t>Debbie</w:t>
                      </w:r>
                      <w:r>
                        <w:rPr>
                          <w:color w:val="231F20"/>
                          <w:spacing w:val="8"/>
                        </w:rPr>
                        <w:t xml:space="preserve"> </w:t>
                      </w:r>
                      <w:r>
                        <w:rPr>
                          <w:color w:val="231F20"/>
                        </w:rPr>
                        <w:t>Hopkins,</w:t>
                      </w:r>
                      <w:r>
                        <w:rPr>
                          <w:color w:val="231F20"/>
                          <w:spacing w:val="9"/>
                        </w:rPr>
                        <w:t xml:space="preserve"> </w:t>
                      </w:r>
                      <w:r>
                        <w:rPr>
                          <w:color w:val="231F20"/>
                        </w:rPr>
                        <w:t>University</w:t>
                      </w:r>
                      <w:r>
                        <w:rPr>
                          <w:color w:val="231F20"/>
                          <w:spacing w:val="9"/>
                        </w:rPr>
                        <w:t xml:space="preserve"> </w:t>
                      </w:r>
                      <w:r>
                        <w:rPr>
                          <w:color w:val="231F20"/>
                        </w:rPr>
                        <w:t>of</w:t>
                      </w:r>
                      <w:r>
                        <w:rPr>
                          <w:color w:val="231F20"/>
                          <w:spacing w:val="9"/>
                        </w:rPr>
                        <w:t xml:space="preserve"> </w:t>
                      </w:r>
                      <w:r>
                        <w:rPr>
                          <w:color w:val="231F20"/>
                        </w:rPr>
                        <w:t>Oxford,</w:t>
                      </w:r>
                      <w:r>
                        <w:rPr>
                          <w:color w:val="231F20"/>
                          <w:spacing w:val="9"/>
                        </w:rPr>
                        <w:t xml:space="preserve"> </w:t>
                      </w:r>
                      <w:r>
                        <w:rPr>
                          <w:color w:val="231F20"/>
                          <w:spacing w:val="-5"/>
                        </w:rPr>
                        <w:t>UK</w:t>
                      </w:r>
                    </w:p>
                    <w:p w14:paraId="59B19ECB" w14:textId="77777777" w:rsidR="00AE0598" w:rsidRDefault="0069255A">
                      <w:pPr>
                        <w:pStyle w:val="Corpodetexto"/>
                        <w:spacing w:before="120" w:line="232" w:lineRule="auto"/>
                        <w:ind w:left="113" w:right="110" w:firstLine="320"/>
                        <w:jc w:val="both"/>
                        <w:rPr>
                          <w:color w:val="000000"/>
                        </w:rPr>
                      </w:pPr>
                      <w:r>
                        <w:rPr>
                          <w:color w:val="231F20"/>
                          <w:w w:val="95"/>
                        </w:rPr>
                        <w:t xml:space="preserve">The popularity of winter sports tourism has ebbed and flowed over </w:t>
                      </w:r>
                      <w:r>
                        <w:rPr>
                          <w:color w:val="231F20"/>
                        </w:rPr>
                        <w:t>the past century, through periods of mass growth in popularity and investment in infrastructures, to periods of consolidation (Hudson, 2003). Events such as the Winter Olympics and the X Games, and the emergence and growth of new winter sports, have helped</w:t>
                      </w:r>
                      <w:r>
                        <w:rPr>
                          <w:color w:val="231F20"/>
                        </w:rPr>
                        <w:t xml:space="preserve"> to increase </w:t>
                      </w:r>
                      <w:r>
                        <w:rPr>
                          <w:color w:val="231F20"/>
                          <w:w w:val="95"/>
                        </w:rPr>
                        <w:t>demand</w:t>
                      </w:r>
                      <w:r>
                        <w:rPr>
                          <w:color w:val="231F20"/>
                          <w:spacing w:val="5"/>
                        </w:rPr>
                        <w:t xml:space="preserve"> </w:t>
                      </w:r>
                      <w:r>
                        <w:rPr>
                          <w:color w:val="231F20"/>
                          <w:w w:val="95"/>
                        </w:rPr>
                        <w:t>among</w:t>
                      </w:r>
                      <w:r>
                        <w:rPr>
                          <w:color w:val="231F20"/>
                          <w:spacing w:val="6"/>
                        </w:rPr>
                        <w:t xml:space="preserve"> </w:t>
                      </w:r>
                      <w:r>
                        <w:rPr>
                          <w:color w:val="231F20"/>
                          <w:w w:val="95"/>
                        </w:rPr>
                        <w:t>adolescents</w:t>
                      </w:r>
                      <w:r>
                        <w:rPr>
                          <w:color w:val="231F20"/>
                          <w:spacing w:val="6"/>
                        </w:rPr>
                        <w:t xml:space="preserve"> </w:t>
                      </w:r>
                      <w:r>
                        <w:rPr>
                          <w:color w:val="231F20"/>
                          <w:w w:val="95"/>
                        </w:rPr>
                        <w:t>and</w:t>
                      </w:r>
                      <w:r>
                        <w:rPr>
                          <w:color w:val="231F20"/>
                          <w:spacing w:val="6"/>
                        </w:rPr>
                        <w:t xml:space="preserve"> </w:t>
                      </w:r>
                      <w:r>
                        <w:rPr>
                          <w:color w:val="231F20"/>
                          <w:w w:val="95"/>
                        </w:rPr>
                        <w:t>young</w:t>
                      </w:r>
                      <w:r>
                        <w:rPr>
                          <w:color w:val="231F20"/>
                          <w:spacing w:val="6"/>
                        </w:rPr>
                        <w:t xml:space="preserve"> </w:t>
                      </w:r>
                      <w:r>
                        <w:rPr>
                          <w:color w:val="231F20"/>
                          <w:w w:val="95"/>
                        </w:rPr>
                        <w:t>adults,</w:t>
                      </w:r>
                      <w:r>
                        <w:rPr>
                          <w:color w:val="231F20"/>
                          <w:spacing w:val="6"/>
                        </w:rPr>
                        <w:t xml:space="preserve"> </w:t>
                      </w:r>
                      <w:r>
                        <w:rPr>
                          <w:color w:val="231F20"/>
                          <w:w w:val="95"/>
                        </w:rPr>
                        <w:t>and</w:t>
                      </w:r>
                      <w:r>
                        <w:rPr>
                          <w:color w:val="231F20"/>
                          <w:spacing w:val="6"/>
                        </w:rPr>
                        <w:t xml:space="preserve"> </w:t>
                      </w:r>
                      <w:r>
                        <w:rPr>
                          <w:color w:val="231F20"/>
                          <w:w w:val="95"/>
                        </w:rPr>
                        <w:t>broadened</w:t>
                      </w:r>
                      <w:r>
                        <w:rPr>
                          <w:color w:val="231F20"/>
                          <w:spacing w:val="6"/>
                        </w:rPr>
                        <w:t xml:space="preserve"> </w:t>
                      </w:r>
                      <w:r>
                        <w:rPr>
                          <w:color w:val="231F20"/>
                          <w:w w:val="95"/>
                        </w:rPr>
                        <w:t>the</w:t>
                      </w:r>
                      <w:r>
                        <w:rPr>
                          <w:color w:val="231F20"/>
                          <w:spacing w:val="6"/>
                        </w:rPr>
                        <w:t xml:space="preserve"> </w:t>
                      </w:r>
                      <w:r>
                        <w:rPr>
                          <w:color w:val="231F20"/>
                          <w:spacing w:val="-2"/>
                          <w:w w:val="95"/>
                        </w:rPr>
                        <w:t>image</w:t>
                      </w:r>
                    </w:p>
                    <w:p w14:paraId="0E25B1BC" w14:textId="77777777" w:rsidR="00AE0598" w:rsidRDefault="00AE0598">
                      <w:pPr>
                        <w:pStyle w:val="Corpodetexto"/>
                        <w:spacing w:before="1"/>
                        <w:rPr>
                          <w:color w:val="000000"/>
                          <w:sz w:val="20"/>
                        </w:rPr>
                      </w:pPr>
                    </w:p>
                    <w:p w14:paraId="5720208F" w14:textId="77777777" w:rsidR="00AE0598" w:rsidRDefault="0069255A">
                      <w:pPr>
                        <w:ind w:right="111"/>
                        <w:jc w:val="right"/>
                        <w:rPr>
                          <w:rFonts w:ascii="Trebuchet MS"/>
                          <w:i/>
                          <w:color w:val="000000"/>
                          <w:sz w:val="18"/>
                        </w:rPr>
                      </w:pPr>
                      <w:r>
                        <w:rPr>
                          <w:rFonts w:ascii="Trebuchet MS"/>
                          <w:i/>
                          <w:color w:val="231F20"/>
                          <w:spacing w:val="-2"/>
                          <w:sz w:val="18"/>
                        </w:rPr>
                        <w:t>(Continued)</w:t>
                      </w:r>
                    </w:p>
                  </w:txbxContent>
                </v:textbox>
                <w10:wrap type="topAndBottom" anchorx="page"/>
              </v:shape>
            </w:pict>
          </mc:Fallback>
        </mc:AlternateContent>
      </w:r>
    </w:p>
    <w:p w14:paraId="7A5740EA" w14:textId="77777777" w:rsidR="00AE0598" w:rsidRDefault="00AE0598">
      <w:pPr>
        <w:rPr>
          <w:sz w:val="28"/>
        </w:rPr>
        <w:sectPr w:rsidR="00AE0598">
          <w:pgSz w:w="8850" w:h="13270"/>
          <w:pgMar w:top="720" w:right="1060" w:bottom="280" w:left="1080" w:header="720" w:footer="720" w:gutter="0"/>
          <w:cols w:space="720"/>
        </w:sectPr>
      </w:pPr>
    </w:p>
    <w:p w14:paraId="006258B5" w14:textId="0070B351" w:rsidR="00AE0598" w:rsidRDefault="0069255A">
      <w:pPr>
        <w:spacing w:before="87"/>
        <w:ind w:left="108"/>
        <w:rPr>
          <w:rFonts w:ascii="Trebuchet MS"/>
          <w:sz w:val="14"/>
        </w:rPr>
      </w:pPr>
      <w:r>
        <w:rPr>
          <w:noProof/>
        </w:rPr>
        <w:lastRenderedPageBreak/>
        <mc:AlternateContent>
          <mc:Choice Requires="wps">
            <w:drawing>
              <wp:anchor distT="0" distB="0" distL="114300" distR="114300" simplePos="0" relativeHeight="483726848" behindDoc="1" locked="0" layoutInCell="1" allowOverlap="1" wp14:anchorId="0D37E429" wp14:editId="31540C82">
                <wp:simplePos x="0" y="0"/>
                <wp:positionH relativeFrom="page">
                  <wp:posOffset>755650</wp:posOffset>
                </wp:positionH>
                <wp:positionV relativeFrom="page">
                  <wp:posOffset>838200</wp:posOffset>
                </wp:positionV>
                <wp:extent cx="4104005" cy="6645910"/>
                <wp:effectExtent l="0" t="0" r="0" b="0"/>
                <wp:wrapNone/>
                <wp:docPr id="159" name="docshape2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04005" cy="6645910"/>
                        </a:xfrm>
                        <a:prstGeom prst="rect">
                          <a:avLst/>
                        </a:prstGeom>
                        <a:solidFill>
                          <a:srgbClr val="DCDDD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08AB7A" id="docshape209" o:spid="_x0000_s1026" style="position:absolute;margin-left:59.5pt;margin-top:66pt;width:323.15pt;height:523.3pt;z-index:-195896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" fillcolor="#dcddde" stroked="f">
                <w10:wrap anchorx="page" anchory="page"/>
              </v:rect>
            </w:pict>
          </mc:Fallback>
        </mc:AlternateContent>
      </w:r>
      <w:r>
        <w:rPr>
          <w:rFonts w:ascii="Trebuchet MS"/>
          <w:color w:val="231F20"/>
          <w:w w:val="105"/>
          <w:sz w:val="14"/>
        </w:rPr>
        <w:t>142</w:t>
      </w:r>
      <w:r>
        <w:rPr>
          <w:rFonts w:ascii="Trebuchet MS"/>
          <w:color w:val="231F20"/>
          <w:spacing w:val="66"/>
          <w:w w:val="150"/>
          <w:sz w:val="14"/>
        </w:rPr>
        <w:t xml:space="preserve"> </w:t>
      </w:r>
      <w:r>
        <w:rPr>
          <w:rFonts w:ascii="Trebuchet MS"/>
          <w:color w:val="231F20"/>
          <w:w w:val="105"/>
          <w:sz w:val="14"/>
        </w:rPr>
        <w:t>Part</w:t>
      </w:r>
      <w:r>
        <w:rPr>
          <w:rFonts w:ascii="Trebuchet MS"/>
          <w:color w:val="231F20"/>
          <w:spacing w:val="-9"/>
          <w:w w:val="105"/>
          <w:sz w:val="14"/>
        </w:rPr>
        <w:t xml:space="preserve"> </w:t>
      </w:r>
      <w:r>
        <w:rPr>
          <w:rFonts w:ascii="Trebuchet MS"/>
          <w:color w:val="231F20"/>
          <w:w w:val="105"/>
          <w:sz w:val="14"/>
        </w:rPr>
        <w:t>3:</w:t>
      </w:r>
      <w:r>
        <w:rPr>
          <w:rFonts w:ascii="Trebuchet MS"/>
          <w:color w:val="231F20"/>
          <w:spacing w:val="-8"/>
          <w:w w:val="105"/>
          <w:sz w:val="14"/>
        </w:rPr>
        <w:t xml:space="preserve"> </w:t>
      </w:r>
      <w:r>
        <w:rPr>
          <w:rFonts w:ascii="Trebuchet MS"/>
          <w:color w:val="231F20"/>
          <w:w w:val="105"/>
          <w:sz w:val="14"/>
        </w:rPr>
        <w:t>Sport</w:t>
      </w:r>
      <w:r>
        <w:rPr>
          <w:rFonts w:ascii="Trebuchet MS"/>
          <w:color w:val="231F20"/>
          <w:spacing w:val="-9"/>
          <w:w w:val="105"/>
          <w:sz w:val="14"/>
        </w:rPr>
        <w:t xml:space="preserve"> </w:t>
      </w:r>
      <w:r>
        <w:rPr>
          <w:rFonts w:ascii="Trebuchet MS"/>
          <w:color w:val="231F20"/>
          <w:w w:val="105"/>
          <w:sz w:val="14"/>
        </w:rPr>
        <w:t>Tourism</w:t>
      </w:r>
      <w:r>
        <w:rPr>
          <w:rFonts w:ascii="Trebuchet MS"/>
          <w:color w:val="231F20"/>
          <w:spacing w:val="-9"/>
          <w:w w:val="105"/>
          <w:sz w:val="14"/>
        </w:rPr>
        <w:t xml:space="preserve"> </w:t>
      </w:r>
      <w:r>
        <w:rPr>
          <w:rFonts w:ascii="Trebuchet MS"/>
          <w:color w:val="231F20"/>
          <w:w w:val="105"/>
          <w:sz w:val="14"/>
        </w:rPr>
        <w:t>Development</w:t>
      </w:r>
      <w:r>
        <w:rPr>
          <w:rFonts w:ascii="Trebuchet MS"/>
          <w:color w:val="231F20"/>
          <w:spacing w:val="-9"/>
          <w:w w:val="105"/>
          <w:sz w:val="14"/>
        </w:rPr>
        <w:t xml:space="preserve"> </w:t>
      </w:r>
      <w:r>
        <w:rPr>
          <w:rFonts w:ascii="Trebuchet MS"/>
          <w:color w:val="231F20"/>
          <w:w w:val="105"/>
          <w:sz w:val="14"/>
        </w:rPr>
        <w:t>and</w:t>
      </w:r>
      <w:r>
        <w:rPr>
          <w:rFonts w:ascii="Trebuchet MS"/>
          <w:color w:val="231F20"/>
          <w:spacing w:val="-8"/>
          <w:w w:val="105"/>
          <w:sz w:val="14"/>
        </w:rPr>
        <w:t xml:space="preserve"> </w:t>
      </w:r>
      <w:r>
        <w:rPr>
          <w:rFonts w:ascii="Trebuchet MS"/>
          <w:color w:val="231F20"/>
          <w:spacing w:val="-2"/>
          <w:w w:val="105"/>
          <w:sz w:val="14"/>
        </w:rPr>
        <w:t>Space</w:t>
      </w:r>
    </w:p>
    <w:p w14:paraId="57F1C96E" w14:textId="77777777" w:rsidR="00AE0598" w:rsidRDefault="00AE0598">
      <w:pPr>
        <w:pStyle w:val="Corpodetexto"/>
        <w:spacing w:before="10"/>
        <w:rPr>
          <w:rFonts w:ascii="Trebuchet MS"/>
          <w:sz w:val="27"/>
        </w:rPr>
      </w:pPr>
    </w:p>
    <w:p w14:paraId="71C96B35" w14:textId="77777777" w:rsidR="00AE0598" w:rsidRDefault="0069255A">
      <w:pPr>
        <w:spacing w:before="100"/>
        <w:ind w:left="217"/>
        <w:jc w:val="both"/>
        <w:rPr>
          <w:rFonts w:ascii="Trebuchet MS"/>
          <w:sz w:val="18"/>
        </w:rPr>
      </w:pPr>
      <w:r>
        <w:rPr>
          <w:rFonts w:ascii="Trebuchet MS"/>
          <w:color w:val="231F20"/>
          <w:sz w:val="18"/>
        </w:rPr>
        <w:t>Case</w:t>
      </w:r>
      <w:r>
        <w:rPr>
          <w:rFonts w:ascii="Trebuchet MS"/>
          <w:color w:val="231F20"/>
          <w:spacing w:val="-13"/>
          <w:sz w:val="18"/>
        </w:rPr>
        <w:t xml:space="preserve"> </w:t>
      </w:r>
      <w:r>
        <w:rPr>
          <w:rFonts w:ascii="Trebuchet MS"/>
          <w:color w:val="231F20"/>
          <w:sz w:val="18"/>
        </w:rPr>
        <w:t>Study</w:t>
      </w:r>
      <w:r>
        <w:rPr>
          <w:rFonts w:ascii="Trebuchet MS"/>
          <w:color w:val="231F20"/>
          <w:spacing w:val="-12"/>
          <w:sz w:val="18"/>
        </w:rPr>
        <w:t xml:space="preserve"> </w:t>
      </w:r>
      <w:r>
        <w:rPr>
          <w:rFonts w:ascii="Trebuchet MS"/>
          <w:color w:val="231F20"/>
          <w:sz w:val="18"/>
        </w:rPr>
        <w:t>7.1:</w:t>
      </w:r>
      <w:r>
        <w:rPr>
          <w:rFonts w:ascii="Trebuchet MS"/>
          <w:color w:val="231F20"/>
          <w:spacing w:val="-12"/>
          <w:sz w:val="18"/>
        </w:rPr>
        <w:t xml:space="preserve"> </w:t>
      </w:r>
      <w:r>
        <w:rPr>
          <w:rFonts w:ascii="Trebuchet MS"/>
          <w:color w:val="231F20"/>
          <w:spacing w:val="-2"/>
          <w:sz w:val="18"/>
        </w:rPr>
        <w:t>(Continued)</w:t>
      </w:r>
    </w:p>
    <w:p w14:paraId="5722CE35" w14:textId="77777777" w:rsidR="00AE0598" w:rsidRDefault="00AE0598">
      <w:pPr>
        <w:pStyle w:val="Corpodetexto"/>
        <w:spacing w:before="9"/>
        <w:rPr>
          <w:rFonts w:ascii="Trebuchet MS"/>
          <w:sz w:val="16"/>
        </w:rPr>
      </w:pPr>
    </w:p>
    <w:p w14:paraId="6D4DAE21" w14:textId="77777777" w:rsidR="00AE0598" w:rsidRDefault="0069255A">
      <w:pPr>
        <w:pStyle w:val="Corpodetexto"/>
        <w:spacing w:before="1" w:line="232" w:lineRule="auto"/>
        <w:ind w:left="223" w:right="237"/>
        <w:jc w:val="both"/>
      </w:pPr>
      <w:r>
        <w:rPr>
          <w:color w:val="231F20"/>
          <w:w w:val="95"/>
        </w:rPr>
        <w:t xml:space="preserve">of winter sports from functional and traditional activities such as snow shoeing, cross-country skiing and ice skating, to board-cross, half pipes </w:t>
      </w:r>
      <w:r>
        <w:rPr>
          <w:color w:val="231F20"/>
        </w:rPr>
        <w:t>and</w:t>
      </w:r>
      <w:r>
        <w:rPr>
          <w:color w:val="231F20"/>
          <w:spacing w:val="-2"/>
        </w:rPr>
        <w:t xml:space="preserve"> </w:t>
      </w:r>
      <w:r>
        <w:rPr>
          <w:color w:val="231F20"/>
        </w:rPr>
        <w:t>backcountry</w:t>
      </w:r>
      <w:r>
        <w:rPr>
          <w:color w:val="231F20"/>
          <w:spacing w:val="-2"/>
        </w:rPr>
        <w:t xml:space="preserve"> </w:t>
      </w:r>
      <w:r>
        <w:rPr>
          <w:color w:val="231F20"/>
        </w:rPr>
        <w:t>activities.</w:t>
      </w:r>
      <w:r>
        <w:rPr>
          <w:color w:val="231F20"/>
          <w:spacing w:val="-2"/>
        </w:rPr>
        <w:t xml:space="preserve"> </w:t>
      </w:r>
      <w:r>
        <w:rPr>
          <w:color w:val="231F20"/>
        </w:rPr>
        <w:t>Yet,</w:t>
      </w:r>
      <w:r>
        <w:rPr>
          <w:color w:val="231F20"/>
          <w:spacing w:val="-2"/>
        </w:rPr>
        <w:t xml:space="preserve"> </w:t>
      </w:r>
      <w:r>
        <w:rPr>
          <w:color w:val="231F20"/>
        </w:rPr>
        <w:t>globally,</w:t>
      </w:r>
      <w:r>
        <w:rPr>
          <w:color w:val="231F20"/>
          <w:spacing w:val="-2"/>
        </w:rPr>
        <w:t xml:space="preserve"> </w:t>
      </w:r>
      <w:r>
        <w:rPr>
          <w:color w:val="231F20"/>
        </w:rPr>
        <w:t>the</w:t>
      </w:r>
      <w:r>
        <w:rPr>
          <w:color w:val="231F20"/>
          <w:spacing w:val="-2"/>
        </w:rPr>
        <w:t xml:space="preserve"> </w:t>
      </w:r>
      <w:r>
        <w:rPr>
          <w:color w:val="231F20"/>
        </w:rPr>
        <w:t>snow</w:t>
      </w:r>
      <w:r>
        <w:rPr>
          <w:color w:val="231F20"/>
          <w:spacing w:val="-2"/>
        </w:rPr>
        <w:t xml:space="preserve"> </w:t>
      </w:r>
      <w:r>
        <w:rPr>
          <w:color w:val="231F20"/>
        </w:rPr>
        <w:t>sports</w:t>
      </w:r>
      <w:r>
        <w:rPr>
          <w:color w:val="231F20"/>
          <w:spacing w:val="-2"/>
        </w:rPr>
        <w:t xml:space="preserve"> </w:t>
      </w:r>
      <w:r>
        <w:rPr>
          <w:color w:val="231F20"/>
        </w:rPr>
        <w:t>industry</w:t>
      </w:r>
      <w:r>
        <w:rPr>
          <w:color w:val="231F20"/>
          <w:spacing w:val="-2"/>
        </w:rPr>
        <w:t xml:space="preserve"> </w:t>
      </w:r>
      <w:r>
        <w:rPr>
          <w:color w:val="231F20"/>
        </w:rPr>
        <w:t xml:space="preserve">has entered another challenging period – </w:t>
      </w:r>
      <w:r>
        <w:rPr>
          <w:color w:val="231F20"/>
        </w:rPr>
        <w:t>and changing weather patterns associated with climate change are at its heart.</w:t>
      </w:r>
    </w:p>
    <w:p w14:paraId="581E10E3" w14:textId="77777777" w:rsidR="00AE0598" w:rsidRDefault="0069255A">
      <w:pPr>
        <w:pStyle w:val="Corpodetexto"/>
        <w:spacing w:before="6" w:line="232" w:lineRule="auto"/>
        <w:ind w:left="223" w:right="239" w:firstLine="320"/>
        <w:jc w:val="both"/>
      </w:pPr>
      <w:r>
        <w:rPr>
          <w:color w:val="231F20"/>
        </w:rPr>
        <w:t xml:space="preserve">Snow sports require specific and stable weather and climate conditions (Hamilton </w:t>
      </w:r>
      <w:r>
        <w:rPr>
          <w:i/>
          <w:color w:val="231F20"/>
        </w:rPr>
        <w:t>et al</w:t>
      </w:r>
      <w:r>
        <w:rPr>
          <w:color w:val="231F20"/>
        </w:rPr>
        <w:t xml:space="preserve">., 2007). Small changes in humidity, </w:t>
      </w:r>
      <w:r>
        <w:rPr>
          <w:color w:val="231F20"/>
          <w:w w:val="90"/>
        </w:rPr>
        <w:t>temperature and wind patterns can have lasting effects</w:t>
      </w:r>
      <w:r>
        <w:rPr>
          <w:color w:val="231F20"/>
          <w:w w:val="90"/>
        </w:rPr>
        <w:t xml:space="preserve"> on the profitability</w:t>
      </w:r>
      <w:r>
        <w:rPr>
          <w:color w:val="231F20"/>
          <w:spacing w:val="80"/>
        </w:rPr>
        <w:t xml:space="preserve"> </w:t>
      </w:r>
      <w:r>
        <w:rPr>
          <w:color w:val="231F20"/>
        </w:rPr>
        <w:t>of winter sport tourism destinations – particularly ski fields and</w:t>
      </w:r>
      <w:r>
        <w:rPr>
          <w:color w:val="231F20"/>
          <w:spacing w:val="-1"/>
        </w:rPr>
        <w:t xml:space="preserve"> </w:t>
      </w:r>
      <w:r>
        <w:rPr>
          <w:color w:val="231F20"/>
        </w:rPr>
        <w:t>their infrastructure (Hendrikx &amp; Hreinsson, 2012). The vulnerability of</w:t>
      </w:r>
      <w:r>
        <w:rPr>
          <w:color w:val="231F20"/>
          <w:spacing w:val="80"/>
          <w:w w:val="150"/>
        </w:rPr>
        <w:t xml:space="preserve"> </w:t>
      </w:r>
      <w:r>
        <w:rPr>
          <w:color w:val="231F20"/>
        </w:rPr>
        <w:t>the ski industry as a subsection of the snow sports industry relates to its place dependence, h</w:t>
      </w:r>
      <w:r>
        <w:rPr>
          <w:color w:val="231F20"/>
        </w:rPr>
        <w:t>igh infrastructure requirements and limited organisational</w:t>
      </w:r>
      <w:r>
        <w:rPr>
          <w:color w:val="231F20"/>
          <w:spacing w:val="-5"/>
        </w:rPr>
        <w:t xml:space="preserve"> </w:t>
      </w:r>
      <w:r>
        <w:rPr>
          <w:color w:val="231F20"/>
        </w:rPr>
        <w:t>adaptability.</w:t>
      </w:r>
      <w:r>
        <w:rPr>
          <w:color w:val="231F20"/>
          <w:spacing w:val="-5"/>
        </w:rPr>
        <w:t xml:space="preserve"> </w:t>
      </w:r>
      <w:r>
        <w:rPr>
          <w:color w:val="231F20"/>
        </w:rPr>
        <w:t>Adaptation</w:t>
      </w:r>
      <w:r>
        <w:rPr>
          <w:color w:val="231F20"/>
          <w:spacing w:val="-5"/>
        </w:rPr>
        <w:t xml:space="preserve"> </w:t>
      </w:r>
      <w:r>
        <w:rPr>
          <w:color w:val="231F20"/>
        </w:rPr>
        <w:t>to</w:t>
      </w:r>
      <w:r>
        <w:rPr>
          <w:color w:val="231F20"/>
          <w:spacing w:val="-5"/>
        </w:rPr>
        <w:t xml:space="preserve"> </w:t>
      </w:r>
      <w:r>
        <w:rPr>
          <w:color w:val="231F20"/>
        </w:rPr>
        <w:t>climate</w:t>
      </w:r>
      <w:r>
        <w:rPr>
          <w:color w:val="231F20"/>
          <w:spacing w:val="-5"/>
        </w:rPr>
        <w:t xml:space="preserve"> </w:t>
      </w:r>
      <w:r>
        <w:rPr>
          <w:color w:val="231F20"/>
        </w:rPr>
        <w:t>variability</w:t>
      </w:r>
      <w:r>
        <w:rPr>
          <w:color w:val="231F20"/>
          <w:spacing w:val="-5"/>
        </w:rPr>
        <w:t xml:space="preserve"> </w:t>
      </w:r>
      <w:r>
        <w:rPr>
          <w:color w:val="231F20"/>
        </w:rPr>
        <w:t>has</w:t>
      </w:r>
      <w:r>
        <w:rPr>
          <w:color w:val="231F20"/>
          <w:spacing w:val="-5"/>
        </w:rPr>
        <w:t xml:space="preserve"> </w:t>
      </w:r>
      <w:r>
        <w:rPr>
          <w:color w:val="231F20"/>
        </w:rPr>
        <w:t>been largely</w:t>
      </w:r>
      <w:r>
        <w:rPr>
          <w:color w:val="231F20"/>
          <w:spacing w:val="-1"/>
        </w:rPr>
        <w:t xml:space="preserve"> </w:t>
      </w:r>
      <w:r>
        <w:rPr>
          <w:color w:val="231F20"/>
        </w:rPr>
        <w:t>centred</w:t>
      </w:r>
      <w:r>
        <w:rPr>
          <w:color w:val="231F20"/>
          <w:spacing w:val="-1"/>
        </w:rPr>
        <w:t xml:space="preserve"> </w:t>
      </w:r>
      <w:r>
        <w:rPr>
          <w:color w:val="231F20"/>
        </w:rPr>
        <w:t>on</w:t>
      </w:r>
      <w:r>
        <w:rPr>
          <w:color w:val="231F20"/>
          <w:spacing w:val="-1"/>
        </w:rPr>
        <w:t xml:space="preserve"> </w:t>
      </w:r>
      <w:r>
        <w:rPr>
          <w:color w:val="231F20"/>
        </w:rPr>
        <w:t>snow-making</w:t>
      </w:r>
      <w:r>
        <w:rPr>
          <w:color w:val="231F20"/>
          <w:spacing w:val="-1"/>
        </w:rPr>
        <w:t xml:space="preserve"> </w:t>
      </w:r>
      <w:r>
        <w:rPr>
          <w:color w:val="231F20"/>
        </w:rPr>
        <w:t>technologies</w:t>
      </w:r>
      <w:r>
        <w:rPr>
          <w:color w:val="231F20"/>
          <w:spacing w:val="-1"/>
        </w:rPr>
        <w:t xml:space="preserve"> </w:t>
      </w:r>
      <w:r>
        <w:rPr>
          <w:color w:val="231F20"/>
        </w:rPr>
        <w:t>(Hopkins,</w:t>
      </w:r>
      <w:r>
        <w:rPr>
          <w:color w:val="231F20"/>
          <w:spacing w:val="-1"/>
        </w:rPr>
        <w:t xml:space="preserve"> </w:t>
      </w:r>
      <w:r>
        <w:rPr>
          <w:color w:val="231F20"/>
        </w:rPr>
        <w:t>2014),</w:t>
      </w:r>
      <w:r>
        <w:rPr>
          <w:color w:val="231F20"/>
          <w:spacing w:val="-1"/>
        </w:rPr>
        <w:t xml:space="preserve"> </w:t>
      </w:r>
      <w:r>
        <w:rPr>
          <w:color w:val="231F20"/>
        </w:rPr>
        <w:t>which have</w:t>
      </w:r>
      <w:r>
        <w:rPr>
          <w:color w:val="231F20"/>
          <w:spacing w:val="-1"/>
        </w:rPr>
        <w:t xml:space="preserve"> </w:t>
      </w:r>
      <w:r>
        <w:rPr>
          <w:color w:val="231F20"/>
        </w:rPr>
        <w:t>been</w:t>
      </w:r>
      <w:r>
        <w:rPr>
          <w:color w:val="231F20"/>
          <w:spacing w:val="-1"/>
        </w:rPr>
        <w:t xml:space="preserve"> </w:t>
      </w:r>
      <w:r>
        <w:rPr>
          <w:color w:val="231F20"/>
        </w:rPr>
        <w:t>used</w:t>
      </w:r>
      <w:r>
        <w:rPr>
          <w:color w:val="231F20"/>
          <w:spacing w:val="-1"/>
        </w:rPr>
        <w:t xml:space="preserve"> </w:t>
      </w:r>
      <w:r>
        <w:rPr>
          <w:color w:val="231F20"/>
        </w:rPr>
        <w:t>to</w:t>
      </w:r>
      <w:r>
        <w:rPr>
          <w:color w:val="231F20"/>
          <w:spacing w:val="-1"/>
        </w:rPr>
        <w:t xml:space="preserve"> </w:t>
      </w:r>
      <w:r>
        <w:rPr>
          <w:color w:val="231F20"/>
        </w:rPr>
        <w:t>replace</w:t>
      </w:r>
      <w:r>
        <w:rPr>
          <w:color w:val="231F20"/>
          <w:spacing w:val="-1"/>
        </w:rPr>
        <w:t xml:space="preserve"> </w:t>
      </w:r>
      <w:r>
        <w:rPr>
          <w:color w:val="231F20"/>
        </w:rPr>
        <w:t>natural</w:t>
      </w:r>
      <w:r>
        <w:rPr>
          <w:color w:val="231F20"/>
          <w:spacing w:val="-1"/>
        </w:rPr>
        <w:t xml:space="preserve"> </w:t>
      </w:r>
      <w:r>
        <w:rPr>
          <w:color w:val="231F20"/>
        </w:rPr>
        <w:t>snow,</w:t>
      </w:r>
      <w:r>
        <w:rPr>
          <w:color w:val="231F20"/>
          <w:spacing w:val="-1"/>
        </w:rPr>
        <w:t xml:space="preserve"> </w:t>
      </w:r>
      <w:r>
        <w:rPr>
          <w:color w:val="231F20"/>
        </w:rPr>
        <w:t>‘top</w:t>
      </w:r>
      <w:r>
        <w:rPr>
          <w:color w:val="231F20"/>
          <w:spacing w:val="-1"/>
        </w:rPr>
        <w:t xml:space="preserve"> </w:t>
      </w:r>
      <w:r>
        <w:rPr>
          <w:color w:val="231F20"/>
        </w:rPr>
        <w:t>up’</w:t>
      </w:r>
      <w:r>
        <w:rPr>
          <w:color w:val="231F20"/>
          <w:spacing w:val="-1"/>
        </w:rPr>
        <w:t xml:space="preserve"> </w:t>
      </w:r>
      <w:r>
        <w:rPr>
          <w:color w:val="231F20"/>
        </w:rPr>
        <w:t>natural</w:t>
      </w:r>
      <w:r>
        <w:rPr>
          <w:color w:val="231F20"/>
          <w:spacing w:val="-1"/>
        </w:rPr>
        <w:t xml:space="preserve"> </w:t>
      </w:r>
      <w:r>
        <w:rPr>
          <w:color w:val="231F20"/>
        </w:rPr>
        <w:t>snow</w:t>
      </w:r>
      <w:r>
        <w:rPr>
          <w:color w:val="231F20"/>
          <w:spacing w:val="-1"/>
        </w:rPr>
        <w:t xml:space="preserve"> </w:t>
      </w:r>
      <w:r>
        <w:rPr>
          <w:color w:val="231F20"/>
        </w:rPr>
        <w:t xml:space="preserve">and/or </w:t>
      </w:r>
      <w:r>
        <w:rPr>
          <w:color w:val="231F20"/>
          <w:w w:val="95"/>
        </w:rPr>
        <w:t>extend the winter season. However, in some regions, diversification into non-snow-reliant activities such as downhill mountain biking has been</w:t>
      </w:r>
      <w:r>
        <w:rPr>
          <w:color w:val="231F20"/>
          <w:spacing w:val="40"/>
        </w:rPr>
        <w:t xml:space="preserve"> </w:t>
      </w:r>
      <w:r>
        <w:rPr>
          <w:color w:val="231F20"/>
          <w:w w:val="95"/>
        </w:rPr>
        <w:t xml:space="preserve">an important adaptation strategy, particularly where the local climate is </w:t>
      </w:r>
      <w:r>
        <w:rPr>
          <w:color w:val="231F20"/>
        </w:rPr>
        <w:t>not conducive to snow-making (Ho</w:t>
      </w:r>
      <w:r>
        <w:rPr>
          <w:color w:val="231F20"/>
        </w:rPr>
        <w:t>pkins &amp; Maclean, 2014).</w:t>
      </w:r>
    </w:p>
    <w:p w14:paraId="147AB9B2" w14:textId="77777777" w:rsidR="00AE0598" w:rsidRDefault="0069255A">
      <w:pPr>
        <w:pStyle w:val="Corpodetexto"/>
        <w:spacing w:before="16" w:line="232" w:lineRule="auto"/>
        <w:ind w:left="223" w:right="241" w:firstLine="320"/>
        <w:jc w:val="both"/>
      </w:pPr>
      <w:r>
        <w:rPr>
          <w:color w:val="231F20"/>
        </w:rPr>
        <w:t>The impacts of climate change are threatening the sustainability</w:t>
      </w:r>
      <w:r>
        <w:rPr>
          <w:color w:val="231F20"/>
          <w:spacing w:val="40"/>
        </w:rPr>
        <w:t xml:space="preserve"> </w:t>
      </w:r>
      <w:r>
        <w:rPr>
          <w:color w:val="231F20"/>
        </w:rPr>
        <w:t>of winter</w:t>
      </w:r>
      <w:r>
        <w:rPr>
          <w:color w:val="231F20"/>
          <w:spacing w:val="-3"/>
        </w:rPr>
        <w:t xml:space="preserve"> </w:t>
      </w:r>
      <w:r>
        <w:rPr>
          <w:color w:val="231F20"/>
        </w:rPr>
        <w:t>sports</w:t>
      </w:r>
      <w:r>
        <w:rPr>
          <w:color w:val="231F20"/>
          <w:spacing w:val="-3"/>
        </w:rPr>
        <w:t xml:space="preserve"> </w:t>
      </w:r>
      <w:r>
        <w:rPr>
          <w:color w:val="231F20"/>
        </w:rPr>
        <w:t>tourism</w:t>
      </w:r>
      <w:r>
        <w:rPr>
          <w:color w:val="231F20"/>
          <w:spacing w:val="-3"/>
        </w:rPr>
        <w:t xml:space="preserve"> </w:t>
      </w:r>
      <w:r>
        <w:rPr>
          <w:color w:val="231F20"/>
        </w:rPr>
        <w:t>across</w:t>
      </w:r>
      <w:r>
        <w:rPr>
          <w:color w:val="231F20"/>
          <w:spacing w:val="-3"/>
        </w:rPr>
        <w:t xml:space="preserve"> </w:t>
      </w:r>
      <w:r>
        <w:rPr>
          <w:color w:val="231F20"/>
        </w:rPr>
        <w:t>the</w:t>
      </w:r>
      <w:r>
        <w:rPr>
          <w:color w:val="231F20"/>
          <w:spacing w:val="-3"/>
        </w:rPr>
        <w:t xml:space="preserve"> </w:t>
      </w:r>
      <w:r>
        <w:rPr>
          <w:color w:val="231F20"/>
        </w:rPr>
        <w:t>globe,</w:t>
      </w:r>
      <w:r>
        <w:rPr>
          <w:color w:val="231F20"/>
          <w:spacing w:val="-3"/>
        </w:rPr>
        <w:t xml:space="preserve"> </w:t>
      </w:r>
      <w:r>
        <w:rPr>
          <w:color w:val="231F20"/>
        </w:rPr>
        <w:t>from</w:t>
      </w:r>
      <w:r>
        <w:rPr>
          <w:color w:val="231F20"/>
          <w:spacing w:val="-3"/>
        </w:rPr>
        <w:t xml:space="preserve"> </w:t>
      </w:r>
      <w:r>
        <w:rPr>
          <w:color w:val="231F20"/>
        </w:rPr>
        <w:t>traditional</w:t>
      </w:r>
      <w:r>
        <w:rPr>
          <w:color w:val="231F20"/>
          <w:spacing w:val="-3"/>
        </w:rPr>
        <w:t xml:space="preserve"> </w:t>
      </w:r>
      <w:r>
        <w:rPr>
          <w:color w:val="231F20"/>
        </w:rPr>
        <w:t>ski</w:t>
      </w:r>
      <w:r>
        <w:rPr>
          <w:color w:val="231F20"/>
          <w:spacing w:val="-3"/>
        </w:rPr>
        <w:t xml:space="preserve"> </w:t>
      </w:r>
      <w:r>
        <w:rPr>
          <w:color w:val="231F20"/>
        </w:rPr>
        <w:t xml:space="preserve">regions including Canada (e.g. Rutty </w:t>
      </w:r>
      <w:r>
        <w:rPr>
          <w:i/>
          <w:color w:val="231F20"/>
        </w:rPr>
        <w:t>et al</w:t>
      </w:r>
      <w:r>
        <w:rPr>
          <w:color w:val="231F20"/>
        </w:rPr>
        <w:t>., 2017) and Europe (e.g. Steiger &amp; St</w:t>
      </w:r>
      <w:r>
        <w:rPr>
          <w:rFonts w:ascii="Times New Roman" w:hAnsi="Times New Roman"/>
          <w:color w:val="231F20"/>
        </w:rPr>
        <w:t>ö</w:t>
      </w:r>
      <w:r>
        <w:rPr>
          <w:color w:val="231F20"/>
        </w:rPr>
        <w:t>tter, 2013), to non-tr</w:t>
      </w:r>
      <w:r>
        <w:rPr>
          <w:color w:val="231F20"/>
        </w:rPr>
        <w:t>aditional destinations such as Iran (Ghaderi</w:t>
      </w:r>
      <w:r>
        <w:rPr>
          <w:color w:val="231F20"/>
          <w:spacing w:val="40"/>
        </w:rPr>
        <w:t xml:space="preserve"> </w:t>
      </w:r>
      <w:r>
        <w:rPr>
          <w:i/>
          <w:color w:val="231F20"/>
        </w:rPr>
        <w:t>et al</w:t>
      </w:r>
      <w:r>
        <w:rPr>
          <w:color w:val="231F20"/>
        </w:rPr>
        <w:t>., 2014). While the impacts are not uniformly experienced, few destinations</w:t>
      </w:r>
      <w:r>
        <w:rPr>
          <w:color w:val="231F20"/>
          <w:spacing w:val="-5"/>
        </w:rPr>
        <w:t xml:space="preserve"> </w:t>
      </w:r>
      <w:r>
        <w:rPr>
          <w:color w:val="231F20"/>
        </w:rPr>
        <w:t>are</w:t>
      </w:r>
      <w:r>
        <w:rPr>
          <w:color w:val="231F20"/>
          <w:spacing w:val="-5"/>
        </w:rPr>
        <w:t xml:space="preserve"> </w:t>
      </w:r>
      <w:r>
        <w:rPr>
          <w:color w:val="231F20"/>
        </w:rPr>
        <w:t>not</w:t>
      </w:r>
      <w:r>
        <w:rPr>
          <w:color w:val="231F20"/>
          <w:spacing w:val="-5"/>
        </w:rPr>
        <w:t xml:space="preserve"> </w:t>
      </w:r>
      <w:r>
        <w:rPr>
          <w:color w:val="231F20"/>
        </w:rPr>
        <w:t>being</w:t>
      </w:r>
      <w:r>
        <w:rPr>
          <w:color w:val="231F20"/>
          <w:spacing w:val="-5"/>
        </w:rPr>
        <w:t xml:space="preserve"> </w:t>
      </w:r>
      <w:r>
        <w:rPr>
          <w:color w:val="231F20"/>
        </w:rPr>
        <w:t>affected</w:t>
      </w:r>
      <w:r>
        <w:rPr>
          <w:color w:val="231F20"/>
          <w:spacing w:val="-5"/>
        </w:rPr>
        <w:t xml:space="preserve"> </w:t>
      </w:r>
      <w:r>
        <w:rPr>
          <w:color w:val="231F20"/>
        </w:rPr>
        <w:t>to</w:t>
      </w:r>
      <w:r>
        <w:rPr>
          <w:color w:val="231F20"/>
          <w:spacing w:val="-5"/>
        </w:rPr>
        <w:t xml:space="preserve"> </w:t>
      </w:r>
      <w:r>
        <w:rPr>
          <w:color w:val="231F20"/>
        </w:rPr>
        <w:t>some</w:t>
      </w:r>
      <w:r>
        <w:rPr>
          <w:color w:val="231F20"/>
          <w:spacing w:val="-5"/>
        </w:rPr>
        <w:t xml:space="preserve"> </w:t>
      </w:r>
      <w:r>
        <w:rPr>
          <w:color w:val="231F20"/>
        </w:rPr>
        <w:t>degree,</w:t>
      </w:r>
      <w:r>
        <w:rPr>
          <w:color w:val="231F20"/>
          <w:spacing w:val="-5"/>
        </w:rPr>
        <w:t xml:space="preserve"> </w:t>
      </w:r>
      <w:r>
        <w:rPr>
          <w:color w:val="231F20"/>
        </w:rPr>
        <w:t>either</w:t>
      </w:r>
      <w:r>
        <w:rPr>
          <w:color w:val="231F20"/>
          <w:spacing w:val="-5"/>
        </w:rPr>
        <w:t xml:space="preserve"> </w:t>
      </w:r>
      <w:r>
        <w:rPr>
          <w:color w:val="231F20"/>
        </w:rPr>
        <w:t>as</w:t>
      </w:r>
      <w:r>
        <w:rPr>
          <w:color w:val="231F20"/>
          <w:spacing w:val="-5"/>
        </w:rPr>
        <w:t xml:space="preserve"> </w:t>
      </w:r>
      <w:r>
        <w:rPr>
          <w:color w:val="231F20"/>
        </w:rPr>
        <w:t>‘winners’ or ‘losers’. Research has shown that the relative vulnerability of ski fields,</w:t>
      </w:r>
      <w:r>
        <w:rPr>
          <w:color w:val="231F20"/>
          <w:spacing w:val="-1"/>
        </w:rPr>
        <w:t xml:space="preserve"> </w:t>
      </w:r>
      <w:r>
        <w:rPr>
          <w:color w:val="231F20"/>
        </w:rPr>
        <w:t>regions</w:t>
      </w:r>
      <w:r>
        <w:rPr>
          <w:color w:val="231F20"/>
          <w:spacing w:val="-1"/>
        </w:rPr>
        <w:t xml:space="preserve"> </w:t>
      </w:r>
      <w:r>
        <w:rPr>
          <w:color w:val="231F20"/>
        </w:rPr>
        <w:t>and</w:t>
      </w:r>
      <w:r>
        <w:rPr>
          <w:color w:val="231F20"/>
          <w:spacing w:val="-1"/>
        </w:rPr>
        <w:t xml:space="preserve"> </w:t>
      </w:r>
      <w:r>
        <w:rPr>
          <w:color w:val="231F20"/>
        </w:rPr>
        <w:t>countries</w:t>
      </w:r>
      <w:r>
        <w:rPr>
          <w:color w:val="231F20"/>
          <w:spacing w:val="-1"/>
        </w:rPr>
        <w:t xml:space="preserve"> </w:t>
      </w:r>
      <w:r>
        <w:rPr>
          <w:color w:val="231F20"/>
        </w:rPr>
        <w:t>could</w:t>
      </w:r>
      <w:r>
        <w:rPr>
          <w:color w:val="231F20"/>
          <w:spacing w:val="-1"/>
        </w:rPr>
        <w:t xml:space="preserve"> </w:t>
      </w:r>
      <w:r>
        <w:rPr>
          <w:color w:val="231F20"/>
        </w:rPr>
        <w:t>be</w:t>
      </w:r>
      <w:r>
        <w:rPr>
          <w:color w:val="231F20"/>
          <w:spacing w:val="-1"/>
        </w:rPr>
        <w:t xml:space="preserve"> </w:t>
      </w:r>
      <w:r>
        <w:rPr>
          <w:color w:val="231F20"/>
        </w:rPr>
        <w:t>more</w:t>
      </w:r>
      <w:r>
        <w:rPr>
          <w:color w:val="231F20"/>
          <w:spacing w:val="-1"/>
        </w:rPr>
        <w:t xml:space="preserve"> </w:t>
      </w:r>
      <w:r>
        <w:rPr>
          <w:color w:val="231F20"/>
        </w:rPr>
        <w:t>important</w:t>
      </w:r>
      <w:r>
        <w:rPr>
          <w:color w:val="231F20"/>
          <w:spacing w:val="-1"/>
        </w:rPr>
        <w:t xml:space="preserve"> </w:t>
      </w:r>
      <w:r>
        <w:rPr>
          <w:color w:val="231F20"/>
        </w:rPr>
        <w:t>than</w:t>
      </w:r>
      <w:r>
        <w:rPr>
          <w:color w:val="231F20"/>
          <w:spacing w:val="-1"/>
        </w:rPr>
        <w:t xml:space="preserve"> </w:t>
      </w:r>
      <w:r>
        <w:rPr>
          <w:color w:val="231F20"/>
        </w:rPr>
        <w:t xml:space="preserve">individual vulnerability assessments. In other words, vulnerability needs to be </w:t>
      </w:r>
      <w:r>
        <w:rPr>
          <w:color w:val="231F20"/>
          <w:w w:val="95"/>
        </w:rPr>
        <w:t xml:space="preserve">understood relationally (Hopkins </w:t>
      </w:r>
      <w:r>
        <w:rPr>
          <w:i/>
          <w:color w:val="231F20"/>
          <w:w w:val="95"/>
        </w:rPr>
        <w:t xml:space="preserve">et </w:t>
      </w:r>
      <w:r>
        <w:rPr>
          <w:i/>
          <w:color w:val="231F20"/>
          <w:w w:val="95"/>
        </w:rPr>
        <w:t>al</w:t>
      </w:r>
      <w:r>
        <w:rPr>
          <w:color w:val="231F20"/>
          <w:w w:val="95"/>
        </w:rPr>
        <w:t xml:space="preserve">., 2013). Snow sports </w:t>
      </w:r>
      <w:r>
        <w:rPr>
          <w:i/>
          <w:color w:val="231F20"/>
          <w:w w:val="95"/>
        </w:rPr>
        <w:t xml:space="preserve">tourists </w:t>
      </w:r>
      <w:r>
        <w:rPr>
          <w:color w:val="231F20"/>
          <w:w w:val="95"/>
        </w:rPr>
        <w:t>have greater</w:t>
      </w:r>
      <w:r>
        <w:rPr>
          <w:color w:val="231F20"/>
          <w:spacing w:val="-1"/>
          <w:w w:val="95"/>
        </w:rPr>
        <w:t xml:space="preserve"> </w:t>
      </w:r>
      <w:r>
        <w:rPr>
          <w:color w:val="231F20"/>
          <w:w w:val="95"/>
        </w:rPr>
        <w:t>adaptability</w:t>
      </w:r>
      <w:r>
        <w:rPr>
          <w:color w:val="231F20"/>
          <w:spacing w:val="-1"/>
          <w:w w:val="95"/>
        </w:rPr>
        <w:t xml:space="preserve"> </w:t>
      </w:r>
      <w:r>
        <w:rPr>
          <w:color w:val="231F20"/>
          <w:w w:val="95"/>
        </w:rPr>
        <w:t>than</w:t>
      </w:r>
      <w:r>
        <w:rPr>
          <w:color w:val="231F20"/>
          <w:spacing w:val="-1"/>
          <w:w w:val="95"/>
        </w:rPr>
        <w:t xml:space="preserve"> </w:t>
      </w:r>
      <w:r>
        <w:rPr>
          <w:color w:val="231F20"/>
          <w:w w:val="95"/>
        </w:rPr>
        <w:t>the</w:t>
      </w:r>
      <w:r>
        <w:rPr>
          <w:color w:val="231F20"/>
          <w:spacing w:val="-1"/>
          <w:w w:val="95"/>
        </w:rPr>
        <w:t xml:space="preserve"> </w:t>
      </w:r>
      <w:r>
        <w:rPr>
          <w:color w:val="231F20"/>
          <w:w w:val="95"/>
        </w:rPr>
        <w:t>tourism</w:t>
      </w:r>
      <w:r>
        <w:rPr>
          <w:color w:val="231F20"/>
          <w:spacing w:val="-1"/>
          <w:w w:val="95"/>
        </w:rPr>
        <w:t xml:space="preserve"> </w:t>
      </w:r>
      <w:r>
        <w:rPr>
          <w:color w:val="231F20"/>
          <w:w w:val="95"/>
        </w:rPr>
        <w:t>operators,</w:t>
      </w:r>
      <w:r>
        <w:rPr>
          <w:color w:val="231F20"/>
          <w:spacing w:val="-1"/>
          <w:w w:val="95"/>
        </w:rPr>
        <w:t xml:space="preserve"> </w:t>
      </w:r>
      <w:r>
        <w:rPr>
          <w:color w:val="231F20"/>
          <w:w w:val="95"/>
        </w:rPr>
        <w:t>and</w:t>
      </w:r>
      <w:r>
        <w:rPr>
          <w:color w:val="231F20"/>
          <w:spacing w:val="-1"/>
          <w:w w:val="95"/>
        </w:rPr>
        <w:t xml:space="preserve"> </w:t>
      </w:r>
      <w:r>
        <w:rPr>
          <w:color w:val="231F20"/>
          <w:w w:val="95"/>
        </w:rPr>
        <w:t>thus</w:t>
      </w:r>
      <w:r>
        <w:rPr>
          <w:color w:val="231F20"/>
          <w:spacing w:val="-1"/>
          <w:w w:val="95"/>
        </w:rPr>
        <w:t xml:space="preserve"> </w:t>
      </w:r>
      <w:r>
        <w:rPr>
          <w:color w:val="231F20"/>
          <w:w w:val="95"/>
        </w:rPr>
        <w:t>have</w:t>
      </w:r>
      <w:r>
        <w:rPr>
          <w:color w:val="231F20"/>
          <w:spacing w:val="-1"/>
          <w:w w:val="95"/>
        </w:rPr>
        <w:t xml:space="preserve"> </w:t>
      </w:r>
      <w:r>
        <w:rPr>
          <w:color w:val="231F20"/>
          <w:w w:val="95"/>
        </w:rPr>
        <w:t>the</w:t>
      </w:r>
      <w:r>
        <w:rPr>
          <w:color w:val="231F20"/>
          <w:spacing w:val="-1"/>
          <w:w w:val="95"/>
        </w:rPr>
        <w:t xml:space="preserve"> </w:t>
      </w:r>
      <w:r>
        <w:rPr>
          <w:color w:val="231F20"/>
          <w:w w:val="95"/>
        </w:rPr>
        <w:t xml:space="preserve">ability </w:t>
      </w:r>
      <w:r>
        <w:rPr>
          <w:color w:val="231F20"/>
          <w:spacing w:val="-2"/>
        </w:rPr>
        <w:t>to</w:t>
      </w:r>
      <w:r>
        <w:rPr>
          <w:color w:val="231F20"/>
          <w:spacing w:val="-3"/>
        </w:rPr>
        <w:t xml:space="preserve"> </w:t>
      </w:r>
      <w:r>
        <w:rPr>
          <w:color w:val="231F20"/>
          <w:spacing w:val="-2"/>
        </w:rPr>
        <w:t>change</w:t>
      </w:r>
      <w:r>
        <w:rPr>
          <w:color w:val="231F20"/>
          <w:spacing w:val="-3"/>
        </w:rPr>
        <w:t xml:space="preserve"> </w:t>
      </w:r>
      <w:r>
        <w:rPr>
          <w:color w:val="231F20"/>
          <w:spacing w:val="-2"/>
        </w:rPr>
        <w:t>geographical</w:t>
      </w:r>
      <w:r>
        <w:rPr>
          <w:color w:val="231F20"/>
          <w:spacing w:val="-3"/>
        </w:rPr>
        <w:t xml:space="preserve"> </w:t>
      </w:r>
      <w:r>
        <w:rPr>
          <w:color w:val="231F20"/>
          <w:spacing w:val="-2"/>
        </w:rPr>
        <w:t>location locally</w:t>
      </w:r>
      <w:r>
        <w:rPr>
          <w:color w:val="231F20"/>
          <w:spacing w:val="-3"/>
        </w:rPr>
        <w:t xml:space="preserve"> </w:t>
      </w:r>
      <w:r>
        <w:rPr>
          <w:color w:val="231F20"/>
          <w:spacing w:val="-2"/>
        </w:rPr>
        <w:t>or</w:t>
      </w:r>
      <w:r>
        <w:rPr>
          <w:color w:val="231F20"/>
          <w:spacing w:val="-3"/>
        </w:rPr>
        <w:t xml:space="preserve"> </w:t>
      </w:r>
      <w:r>
        <w:rPr>
          <w:color w:val="231F20"/>
          <w:spacing w:val="-2"/>
        </w:rPr>
        <w:t>globally, or</w:t>
      </w:r>
      <w:r>
        <w:rPr>
          <w:color w:val="231F20"/>
          <w:spacing w:val="-3"/>
        </w:rPr>
        <w:t xml:space="preserve"> </w:t>
      </w:r>
      <w:r>
        <w:rPr>
          <w:color w:val="231F20"/>
          <w:spacing w:val="-2"/>
        </w:rPr>
        <w:t>to</w:t>
      </w:r>
      <w:r>
        <w:rPr>
          <w:color w:val="231F20"/>
          <w:spacing w:val="-3"/>
        </w:rPr>
        <w:t xml:space="preserve"> </w:t>
      </w:r>
      <w:r>
        <w:rPr>
          <w:color w:val="231F20"/>
          <w:spacing w:val="-2"/>
        </w:rPr>
        <w:t>change activity</w:t>
      </w:r>
    </w:p>
    <w:p w14:paraId="4332A45A" w14:textId="77777777" w:rsidR="00AE0598" w:rsidRDefault="0069255A">
      <w:pPr>
        <w:pStyle w:val="Corpodetexto"/>
        <w:spacing w:before="15" w:line="232" w:lineRule="auto"/>
        <w:ind w:left="223" w:right="241"/>
        <w:jc w:val="both"/>
      </w:pPr>
      <w:r>
        <w:rPr>
          <w:color w:val="231F20"/>
        </w:rPr>
        <w:t>– for instance by opting for a ‘winter sun’ holiday. The behavioural</w:t>
      </w:r>
      <w:r>
        <w:rPr>
          <w:color w:val="231F20"/>
        </w:rPr>
        <w:t xml:space="preserve"> adaptation of snow sports tourists (e.g. Cocolas </w:t>
      </w:r>
      <w:r>
        <w:rPr>
          <w:i/>
          <w:color w:val="231F20"/>
        </w:rPr>
        <w:t>et al</w:t>
      </w:r>
      <w:r>
        <w:rPr>
          <w:color w:val="231F20"/>
        </w:rPr>
        <w:t>., 2016; Dawson</w:t>
      </w:r>
      <w:r>
        <w:rPr>
          <w:color w:val="231F20"/>
          <w:spacing w:val="40"/>
        </w:rPr>
        <w:t xml:space="preserve"> </w:t>
      </w:r>
      <w:r>
        <w:rPr>
          <w:i/>
          <w:color w:val="231F20"/>
        </w:rPr>
        <w:t>et</w:t>
      </w:r>
      <w:r>
        <w:rPr>
          <w:i/>
          <w:color w:val="231F20"/>
          <w:spacing w:val="-5"/>
        </w:rPr>
        <w:t xml:space="preserve"> </w:t>
      </w:r>
      <w:r>
        <w:rPr>
          <w:i/>
          <w:color w:val="231F20"/>
        </w:rPr>
        <w:t>al</w:t>
      </w:r>
      <w:r>
        <w:rPr>
          <w:color w:val="231F20"/>
        </w:rPr>
        <w:t>.,</w:t>
      </w:r>
      <w:r>
        <w:rPr>
          <w:color w:val="231F20"/>
          <w:spacing w:val="-6"/>
        </w:rPr>
        <w:t xml:space="preserve"> </w:t>
      </w:r>
      <w:r>
        <w:rPr>
          <w:color w:val="231F20"/>
        </w:rPr>
        <w:t>2011)</w:t>
      </w:r>
      <w:r>
        <w:rPr>
          <w:color w:val="231F20"/>
          <w:spacing w:val="-6"/>
        </w:rPr>
        <w:t xml:space="preserve"> </w:t>
      </w:r>
      <w:r>
        <w:rPr>
          <w:color w:val="231F20"/>
        </w:rPr>
        <w:t>contributes</w:t>
      </w:r>
      <w:r>
        <w:rPr>
          <w:color w:val="231F20"/>
          <w:spacing w:val="-6"/>
        </w:rPr>
        <w:t xml:space="preserve"> </w:t>
      </w:r>
      <w:r>
        <w:rPr>
          <w:color w:val="231F20"/>
        </w:rPr>
        <w:t>to</w:t>
      </w:r>
      <w:r>
        <w:rPr>
          <w:color w:val="231F20"/>
          <w:spacing w:val="-6"/>
        </w:rPr>
        <w:t xml:space="preserve"> </w:t>
      </w:r>
      <w:r>
        <w:rPr>
          <w:color w:val="231F20"/>
        </w:rPr>
        <w:t>the</w:t>
      </w:r>
      <w:r>
        <w:rPr>
          <w:color w:val="231F20"/>
          <w:spacing w:val="-6"/>
        </w:rPr>
        <w:t xml:space="preserve"> </w:t>
      </w:r>
      <w:r>
        <w:rPr>
          <w:color w:val="231F20"/>
        </w:rPr>
        <w:t>declining</w:t>
      </w:r>
      <w:r>
        <w:rPr>
          <w:color w:val="231F20"/>
          <w:spacing w:val="-6"/>
        </w:rPr>
        <w:t xml:space="preserve"> </w:t>
      </w:r>
      <w:r>
        <w:rPr>
          <w:color w:val="231F20"/>
        </w:rPr>
        <w:t>profitability</w:t>
      </w:r>
      <w:r>
        <w:rPr>
          <w:color w:val="231F20"/>
          <w:spacing w:val="-5"/>
        </w:rPr>
        <w:t xml:space="preserve"> </w:t>
      </w:r>
      <w:r>
        <w:rPr>
          <w:color w:val="231F20"/>
        </w:rPr>
        <w:t>of ski</w:t>
      </w:r>
      <w:r>
        <w:rPr>
          <w:color w:val="231F20"/>
          <w:spacing w:val="-5"/>
        </w:rPr>
        <w:t xml:space="preserve"> </w:t>
      </w:r>
      <w:r>
        <w:rPr>
          <w:color w:val="231F20"/>
        </w:rPr>
        <w:t>fields,</w:t>
      </w:r>
      <w:r>
        <w:rPr>
          <w:color w:val="231F20"/>
          <w:spacing w:val="-5"/>
        </w:rPr>
        <w:t xml:space="preserve"> </w:t>
      </w:r>
      <w:r>
        <w:rPr>
          <w:color w:val="231F20"/>
        </w:rPr>
        <w:t xml:space="preserve">with implications for the wider, often rural, communities. And while snow </w:t>
      </w:r>
      <w:r>
        <w:rPr>
          <w:color w:val="231F20"/>
          <w:w w:val="95"/>
        </w:rPr>
        <w:t>sports</w:t>
      </w:r>
      <w:r>
        <w:rPr>
          <w:color w:val="231F20"/>
          <w:spacing w:val="-4"/>
          <w:w w:val="95"/>
        </w:rPr>
        <w:t xml:space="preserve"> </w:t>
      </w:r>
      <w:r>
        <w:rPr>
          <w:color w:val="231F20"/>
          <w:w w:val="95"/>
        </w:rPr>
        <w:t>were</w:t>
      </w:r>
      <w:r>
        <w:rPr>
          <w:color w:val="231F20"/>
          <w:spacing w:val="-4"/>
          <w:w w:val="95"/>
        </w:rPr>
        <w:t xml:space="preserve"> </w:t>
      </w:r>
      <w:r>
        <w:rPr>
          <w:color w:val="231F20"/>
          <w:w w:val="95"/>
        </w:rPr>
        <w:t>once</w:t>
      </w:r>
      <w:r>
        <w:rPr>
          <w:color w:val="231F20"/>
          <w:spacing w:val="-4"/>
          <w:w w:val="95"/>
        </w:rPr>
        <w:t xml:space="preserve"> </w:t>
      </w:r>
      <w:r>
        <w:rPr>
          <w:color w:val="231F20"/>
          <w:w w:val="95"/>
        </w:rPr>
        <w:t>a</w:t>
      </w:r>
      <w:r>
        <w:rPr>
          <w:color w:val="231F20"/>
          <w:spacing w:val="-4"/>
          <w:w w:val="95"/>
        </w:rPr>
        <w:t xml:space="preserve"> </w:t>
      </w:r>
      <w:r>
        <w:rPr>
          <w:color w:val="231F20"/>
          <w:w w:val="95"/>
        </w:rPr>
        <w:t>domestic</w:t>
      </w:r>
      <w:r>
        <w:rPr>
          <w:color w:val="231F20"/>
          <w:spacing w:val="-4"/>
          <w:w w:val="95"/>
        </w:rPr>
        <w:t xml:space="preserve"> </w:t>
      </w:r>
      <w:r>
        <w:rPr>
          <w:color w:val="231F20"/>
          <w:w w:val="95"/>
        </w:rPr>
        <w:t>leisure</w:t>
      </w:r>
      <w:r>
        <w:rPr>
          <w:color w:val="231F20"/>
          <w:spacing w:val="-4"/>
          <w:w w:val="95"/>
        </w:rPr>
        <w:t xml:space="preserve"> </w:t>
      </w:r>
      <w:r>
        <w:rPr>
          <w:color w:val="231F20"/>
          <w:w w:val="95"/>
        </w:rPr>
        <w:t>activity,</w:t>
      </w:r>
      <w:r>
        <w:rPr>
          <w:color w:val="231F20"/>
          <w:spacing w:val="-4"/>
          <w:w w:val="95"/>
        </w:rPr>
        <w:t xml:space="preserve"> </w:t>
      </w:r>
      <w:r>
        <w:rPr>
          <w:color w:val="231F20"/>
          <w:w w:val="95"/>
        </w:rPr>
        <w:t>the</w:t>
      </w:r>
      <w:r>
        <w:rPr>
          <w:color w:val="231F20"/>
          <w:spacing w:val="-4"/>
          <w:w w:val="95"/>
        </w:rPr>
        <w:t xml:space="preserve"> </w:t>
      </w:r>
      <w:r>
        <w:rPr>
          <w:color w:val="231F20"/>
          <w:w w:val="95"/>
        </w:rPr>
        <w:t>global</w:t>
      </w:r>
      <w:r>
        <w:rPr>
          <w:color w:val="231F20"/>
          <w:spacing w:val="-4"/>
          <w:w w:val="95"/>
        </w:rPr>
        <w:t xml:space="preserve"> </w:t>
      </w:r>
      <w:r>
        <w:rPr>
          <w:color w:val="231F20"/>
          <w:w w:val="95"/>
        </w:rPr>
        <w:t>extension</w:t>
      </w:r>
      <w:r>
        <w:rPr>
          <w:color w:val="231F20"/>
          <w:spacing w:val="-4"/>
          <w:w w:val="95"/>
        </w:rPr>
        <w:t xml:space="preserve"> </w:t>
      </w:r>
      <w:r>
        <w:rPr>
          <w:color w:val="231F20"/>
          <w:w w:val="95"/>
        </w:rPr>
        <w:t>of</w:t>
      </w:r>
      <w:r>
        <w:rPr>
          <w:color w:val="231F20"/>
        </w:rPr>
        <w:t xml:space="preserve"> </w:t>
      </w:r>
      <w:r>
        <w:rPr>
          <w:color w:val="231F20"/>
          <w:w w:val="95"/>
        </w:rPr>
        <w:t>snow sports</w:t>
      </w:r>
      <w:r>
        <w:rPr>
          <w:color w:val="231F20"/>
          <w:spacing w:val="-10"/>
          <w:w w:val="95"/>
        </w:rPr>
        <w:t xml:space="preserve"> </w:t>
      </w:r>
      <w:r>
        <w:rPr>
          <w:color w:val="231F20"/>
          <w:w w:val="95"/>
        </w:rPr>
        <w:t>tourism</w:t>
      </w:r>
      <w:r>
        <w:rPr>
          <w:color w:val="231F20"/>
          <w:spacing w:val="-9"/>
          <w:w w:val="95"/>
        </w:rPr>
        <w:t xml:space="preserve"> </w:t>
      </w:r>
      <w:r>
        <w:rPr>
          <w:color w:val="231F20"/>
          <w:w w:val="95"/>
        </w:rPr>
        <w:t>flows,</w:t>
      </w:r>
      <w:r>
        <w:rPr>
          <w:color w:val="231F20"/>
          <w:spacing w:val="-9"/>
          <w:w w:val="95"/>
        </w:rPr>
        <w:t xml:space="preserve"> </w:t>
      </w:r>
      <w:r>
        <w:rPr>
          <w:color w:val="231F20"/>
          <w:w w:val="95"/>
        </w:rPr>
        <w:t>and</w:t>
      </w:r>
      <w:r>
        <w:rPr>
          <w:color w:val="231F20"/>
          <w:spacing w:val="-9"/>
          <w:w w:val="95"/>
        </w:rPr>
        <w:t xml:space="preserve"> </w:t>
      </w:r>
      <w:r>
        <w:rPr>
          <w:color w:val="231F20"/>
          <w:w w:val="95"/>
        </w:rPr>
        <w:t>related</w:t>
      </w:r>
      <w:r>
        <w:rPr>
          <w:color w:val="231F20"/>
          <w:spacing w:val="-10"/>
          <w:w w:val="95"/>
        </w:rPr>
        <w:t xml:space="preserve"> </w:t>
      </w:r>
      <w:r>
        <w:rPr>
          <w:color w:val="231F20"/>
          <w:w w:val="95"/>
        </w:rPr>
        <w:t>dependence</w:t>
      </w:r>
      <w:r>
        <w:rPr>
          <w:color w:val="231F20"/>
          <w:spacing w:val="-9"/>
          <w:w w:val="95"/>
        </w:rPr>
        <w:t xml:space="preserve"> </w:t>
      </w:r>
      <w:r>
        <w:rPr>
          <w:color w:val="231F20"/>
          <w:w w:val="95"/>
        </w:rPr>
        <w:t>on</w:t>
      </w:r>
      <w:r>
        <w:rPr>
          <w:color w:val="231F20"/>
          <w:spacing w:val="-9"/>
          <w:w w:val="95"/>
        </w:rPr>
        <w:t xml:space="preserve"> </w:t>
      </w:r>
      <w:r>
        <w:rPr>
          <w:color w:val="231F20"/>
          <w:w w:val="95"/>
        </w:rPr>
        <w:t>air</w:t>
      </w:r>
      <w:r>
        <w:rPr>
          <w:color w:val="231F20"/>
          <w:spacing w:val="-9"/>
          <w:w w:val="95"/>
        </w:rPr>
        <w:t xml:space="preserve"> </w:t>
      </w:r>
      <w:r>
        <w:rPr>
          <w:color w:val="231F20"/>
          <w:w w:val="95"/>
        </w:rPr>
        <w:t>travel,</w:t>
      </w:r>
      <w:r>
        <w:rPr>
          <w:color w:val="231F20"/>
          <w:spacing w:val="-10"/>
          <w:w w:val="95"/>
        </w:rPr>
        <w:t xml:space="preserve"> </w:t>
      </w:r>
      <w:r>
        <w:rPr>
          <w:color w:val="231F20"/>
          <w:w w:val="95"/>
        </w:rPr>
        <w:t>means</w:t>
      </w:r>
      <w:r>
        <w:rPr>
          <w:color w:val="231F20"/>
          <w:spacing w:val="-9"/>
          <w:w w:val="95"/>
        </w:rPr>
        <w:t xml:space="preserve"> </w:t>
      </w:r>
      <w:r>
        <w:rPr>
          <w:color w:val="231F20"/>
          <w:w w:val="95"/>
        </w:rPr>
        <w:t>that</w:t>
      </w:r>
      <w:r>
        <w:rPr>
          <w:color w:val="231F20"/>
          <w:spacing w:val="-9"/>
          <w:w w:val="95"/>
        </w:rPr>
        <w:t xml:space="preserve"> </w:t>
      </w:r>
      <w:r>
        <w:rPr>
          <w:color w:val="231F20"/>
          <w:w w:val="95"/>
        </w:rPr>
        <w:t>the mobilities</w:t>
      </w:r>
      <w:r>
        <w:rPr>
          <w:color w:val="231F20"/>
          <w:spacing w:val="-2"/>
          <w:w w:val="95"/>
        </w:rPr>
        <w:t xml:space="preserve"> </w:t>
      </w:r>
      <w:r>
        <w:rPr>
          <w:color w:val="231F20"/>
          <w:w w:val="95"/>
        </w:rPr>
        <w:t>of</w:t>
      </w:r>
      <w:r>
        <w:rPr>
          <w:color w:val="231F20"/>
        </w:rPr>
        <w:t xml:space="preserve"> </w:t>
      </w:r>
      <w:r>
        <w:rPr>
          <w:color w:val="231F20"/>
          <w:w w:val="95"/>
        </w:rPr>
        <w:t>winter</w:t>
      </w:r>
      <w:r>
        <w:rPr>
          <w:color w:val="231F20"/>
          <w:spacing w:val="-2"/>
          <w:w w:val="95"/>
        </w:rPr>
        <w:t xml:space="preserve"> </w:t>
      </w:r>
      <w:r>
        <w:rPr>
          <w:color w:val="231F20"/>
          <w:w w:val="95"/>
        </w:rPr>
        <w:t>sport</w:t>
      </w:r>
      <w:r>
        <w:rPr>
          <w:color w:val="231F20"/>
          <w:spacing w:val="-2"/>
          <w:w w:val="95"/>
        </w:rPr>
        <w:t xml:space="preserve"> </w:t>
      </w:r>
      <w:r>
        <w:rPr>
          <w:color w:val="231F20"/>
          <w:w w:val="95"/>
        </w:rPr>
        <w:t>tourists</w:t>
      </w:r>
      <w:r>
        <w:rPr>
          <w:color w:val="231F20"/>
          <w:spacing w:val="-2"/>
          <w:w w:val="95"/>
        </w:rPr>
        <w:t xml:space="preserve"> </w:t>
      </w:r>
      <w:r>
        <w:rPr>
          <w:color w:val="231F20"/>
          <w:w w:val="95"/>
        </w:rPr>
        <w:t>will</w:t>
      </w:r>
      <w:r>
        <w:rPr>
          <w:color w:val="231F20"/>
          <w:spacing w:val="-2"/>
          <w:w w:val="95"/>
        </w:rPr>
        <w:t xml:space="preserve"> </w:t>
      </w:r>
      <w:r>
        <w:rPr>
          <w:color w:val="231F20"/>
          <w:w w:val="95"/>
        </w:rPr>
        <w:t>contribute</w:t>
      </w:r>
      <w:r>
        <w:rPr>
          <w:color w:val="231F20"/>
          <w:spacing w:val="-2"/>
          <w:w w:val="95"/>
        </w:rPr>
        <w:t xml:space="preserve"> </w:t>
      </w:r>
      <w:r>
        <w:rPr>
          <w:color w:val="231F20"/>
          <w:w w:val="95"/>
        </w:rPr>
        <w:t>substantially</w:t>
      </w:r>
      <w:r>
        <w:rPr>
          <w:color w:val="231F20"/>
          <w:spacing w:val="-2"/>
          <w:w w:val="95"/>
        </w:rPr>
        <w:t xml:space="preserve"> </w:t>
      </w:r>
      <w:r>
        <w:rPr>
          <w:color w:val="231F20"/>
          <w:w w:val="95"/>
        </w:rPr>
        <w:t>to</w:t>
      </w:r>
      <w:r>
        <w:rPr>
          <w:color w:val="231F20"/>
          <w:spacing w:val="-2"/>
          <w:w w:val="95"/>
        </w:rPr>
        <w:t xml:space="preserve"> </w:t>
      </w:r>
      <w:r>
        <w:rPr>
          <w:color w:val="231F20"/>
          <w:w w:val="95"/>
        </w:rPr>
        <w:t xml:space="preserve">climate </w:t>
      </w:r>
      <w:r>
        <w:rPr>
          <w:color w:val="231F20"/>
        </w:rPr>
        <w:t>change. Thus, the (mal)adaptability of snow tourists is likely to result in</w:t>
      </w:r>
      <w:r>
        <w:rPr>
          <w:color w:val="231F20"/>
          <w:spacing w:val="-7"/>
        </w:rPr>
        <w:t xml:space="preserve"> </w:t>
      </w:r>
      <w:r>
        <w:rPr>
          <w:color w:val="231F20"/>
        </w:rPr>
        <w:t>greater</w:t>
      </w:r>
      <w:r>
        <w:rPr>
          <w:color w:val="231F20"/>
          <w:spacing w:val="-7"/>
        </w:rPr>
        <w:t xml:space="preserve"> </w:t>
      </w:r>
      <w:r>
        <w:rPr>
          <w:color w:val="231F20"/>
        </w:rPr>
        <w:t>mobility</w:t>
      </w:r>
      <w:r>
        <w:rPr>
          <w:color w:val="231F20"/>
          <w:spacing w:val="-7"/>
        </w:rPr>
        <w:t xml:space="preserve"> </w:t>
      </w:r>
      <w:r>
        <w:rPr>
          <w:color w:val="231F20"/>
        </w:rPr>
        <w:t>to</w:t>
      </w:r>
      <w:r>
        <w:rPr>
          <w:color w:val="231F20"/>
          <w:spacing w:val="-7"/>
        </w:rPr>
        <w:t xml:space="preserve"> </w:t>
      </w:r>
      <w:r>
        <w:rPr>
          <w:color w:val="231F20"/>
        </w:rPr>
        <w:t>access</w:t>
      </w:r>
      <w:r>
        <w:rPr>
          <w:color w:val="231F20"/>
          <w:spacing w:val="-7"/>
        </w:rPr>
        <w:t xml:space="preserve"> </w:t>
      </w:r>
      <w:r>
        <w:rPr>
          <w:color w:val="231F20"/>
        </w:rPr>
        <w:t>snow,</w:t>
      </w:r>
      <w:r>
        <w:rPr>
          <w:color w:val="231F20"/>
          <w:spacing w:val="-7"/>
        </w:rPr>
        <w:t xml:space="preserve"> </w:t>
      </w:r>
      <w:r>
        <w:rPr>
          <w:color w:val="231F20"/>
        </w:rPr>
        <w:t>more</w:t>
      </w:r>
      <w:r>
        <w:rPr>
          <w:color w:val="231F20"/>
          <w:spacing w:val="-7"/>
        </w:rPr>
        <w:t xml:space="preserve"> </w:t>
      </w:r>
      <w:r>
        <w:rPr>
          <w:color w:val="231F20"/>
        </w:rPr>
        <w:t>long-haul</w:t>
      </w:r>
      <w:r>
        <w:rPr>
          <w:color w:val="231F20"/>
          <w:spacing w:val="-7"/>
        </w:rPr>
        <w:t xml:space="preserve"> </w:t>
      </w:r>
      <w:r>
        <w:rPr>
          <w:color w:val="231F20"/>
        </w:rPr>
        <w:t>air</w:t>
      </w:r>
      <w:r>
        <w:rPr>
          <w:color w:val="231F20"/>
          <w:spacing w:val="-7"/>
        </w:rPr>
        <w:t xml:space="preserve"> </w:t>
      </w:r>
      <w:r>
        <w:rPr>
          <w:color w:val="231F20"/>
        </w:rPr>
        <w:t>travel</w:t>
      </w:r>
      <w:r>
        <w:rPr>
          <w:color w:val="231F20"/>
          <w:spacing w:val="-7"/>
        </w:rPr>
        <w:t xml:space="preserve"> </w:t>
      </w:r>
      <w:r>
        <w:rPr>
          <w:color w:val="231F20"/>
        </w:rPr>
        <w:t>and</w:t>
      </w:r>
      <w:r>
        <w:rPr>
          <w:color w:val="231F20"/>
          <w:spacing w:val="-7"/>
        </w:rPr>
        <w:t xml:space="preserve"> </w:t>
      </w:r>
      <w:r>
        <w:rPr>
          <w:color w:val="231F20"/>
        </w:rPr>
        <w:t>more emissions,</w:t>
      </w:r>
      <w:r>
        <w:rPr>
          <w:color w:val="231F20"/>
          <w:spacing w:val="-12"/>
        </w:rPr>
        <w:t xml:space="preserve"> </w:t>
      </w:r>
      <w:r>
        <w:rPr>
          <w:color w:val="231F20"/>
        </w:rPr>
        <w:t>thereby</w:t>
      </w:r>
      <w:r>
        <w:rPr>
          <w:color w:val="231F20"/>
          <w:spacing w:val="-12"/>
        </w:rPr>
        <w:t xml:space="preserve"> </w:t>
      </w:r>
      <w:r>
        <w:rPr>
          <w:color w:val="231F20"/>
        </w:rPr>
        <w:t>increasing</w:t>
      </w:r>
      <w:r>
        <w:rPr>
          <w:color w:val="231F20"/>
          <w:spacing w:val="-11"/>
        </w:rPr>
        <w:t xml:space="preserve"> </w:t>
      </w:r>
      <w:r>
        <w:rPr>
          <w:color w:val="231F20"/>
        </w:rPr>
        <w:t>the</w:t>
      </w:r>
      <w:r>
        <w:rPr>
          <w:color w:val="231F20"/>
          <w:spacing w:val="-12"/>
        </w:rPr>
        <w:t xml:space="preserve"> </w:t>
      </w:r>
      <w:r>
        <w:rPr>
          <w:color w:val="231F20"/>
        </w:rPr>
        <w:t>impacts</w:t>
      </w:r>
      <w:r>
        <w:rPr>
          <w:color w:val="231F20"/>
          <w:spacing w:val="-11"/>
        </w:rPr>
        <w:t xml:space="preserve"> </w:t>
      </w:r>
      <w:r>
        <w:rPr>
          <w:color w:val="231F20"/>
        </w:rPr>
        <w:t>of</w:t>
      </w:r>
      <w:r>
        <w:rPr>
          <w:color w:val="231F20"/>
          <w:spacing w:val="-3"/>
        </w:rPr>
        <w:t xml:space="preserve"> </w:t>
      </w:r>
      <w:r>
        <w:rPr>
          <w:color w:val="231F20"/>
        </w:rPr>
        <w:t>climate</w:t>
      </w:r>
      <w:r>
        <w:rPr>
          <w:color w:val="231F20"/>
          <w:spacing w:val="-12"/>
        </w:rPr>
        <w:t xml:space="preserve"> </w:t>
      </w:r>
      <w:r>
        <w:rPr>
          <w:color w:val="231F20"/>
        </w:rPr>
        <w:t>change.</w:t>
      </w:r>
    </w:p>
    <w:p w14:paraId="08D7DD80" w14:textId="77777777" w:rsidR="00AE0598" w:rsidRDefault="00AE0598">
      <w:pPr>
        <w:spacing w:line="232" w:lineRule="auto"/>
        <w:jc w:val="both"/>
        <w:sectPr w:rsidR="00AE0598">
          <w:pgSz w:w="8850" w:h="13270"/>
          <w:pgMar w:top="720" w:right="1060" w:bottom="280" w:left="1080" w:header="720" w:footer="720" w:gutter="0"/>
          <w:cols w:space="720"/>
        </w:sectPr>
      </w:pPr>
    </w:p>
    <w:p w14:paraId="5C5931F1" w14:textId="77777777" w:rsidR="00AE0598" w:rsidRDefault="0069255A">
      <w:pPr>
        <w:spacing w:before="87"/>
        <w:ind w:left="3064"/>
        <w:rPr>
          <w:rFonts w:ascii="Trebuchet MS"/>
          <w:sz w:val="14"/>
        </w:rPr>
      </w:pPr>
      <w:r>
        <w:rPr>
          <w:rFonts w:ascii="Trebuchet MS"/>
          <w:color w:val="231F20"/>
          <w:w w:val="105"/>
          <w:sz w:val="14"/>
        </w:rPr>
        <w:lastRenderedPageBreak/>
        <w:t>Environment:</w:t>
      </w:r>
      <w:r>
        <w:rPr>
          <w:rFonts w:ascii="Trebuchet MS"/>
          <w:color w:val="231F20"/>
          <w:spacing w:val="-12"/>
          <w:w w:val="105"/>
          <w:sz w:val="14"/>
        </w:rPr>
        <w:t xml:space="preserve"> </w:t>
      </w:r>
      <w:r>
        <w:rPr>
          <w:rFonts w:ascii="Trebuchet MS"/>
          <w:color w:val="231F20"/>
          <w:w w:val="105"/>
          <w:sz w:val="14"/>
        </w:rPr>
        <w:t>Landscape,</w:t>
      </w:r>
      <w:r>
        <w:rPr>
          <w:rFonts w:ascii="Trebuchet MS"/>
          <w:color w:val="231F20"/>
          <w:spacing w:val="-11"/>
          <w:w w:val="105"/>
          <w:sz w:val="14"/>
        </w:rPr>
        <w:t xml:space="preserve"> </w:t>
      </w:r>
      <w:r>
        <w:rPr>
          <w:rFonts w:ascii="Trebuchet MS"/>
          <w:color w:val="231F20"/>
          <w:w w:val="105"/>
          <w:sz w:val="14"/>
        </w:rPr>
        <w:t>Resources</w:t>
      </w:r>
      <w:r>
        <w:rPr>
          <w:rFonts w:ascii="Trebuchet MS"/>
          <w:color w:val="231F20"/>
          <w:spacing w:val="-11"/>
          <w:w w:val="105"/>
          <w:sz w:val="14"/>
        </w:rPr>
        <w:t xml:space="preserve"> </w:t>
      </w:r>
      <w:r>
        <w:rPr>
          <w:rFonts w:ascii="Trebuchet MS"/>
          <w:color w:val="231F20"/>
          <w:w w:val="105"/>
          <w:sz w:val="14"/>
        </w:rPr>
        <w:t>and</w:t>
      </w:r>
      <w:r>
        <w:rPr>
          <w:rFonts w:ascii="Trebuchet MS"/>
          <w:color w:val="231F20"/>
          <w:spacing w:val="-11"/>
          <w:w w:val="105"/>
          <w:sz w:val="14"/>
        </w:rPr>
        <w:t xml:space="preserve"> </w:t>
      </w:r>
      <w:r>
        <w:rPr>
          <w:rFonts w:ascii="Trebuchet MS"/>
          <w:color w:val="231F20"/>
          <w:w w:val="105"/>
          <w:sz w:val="14"/>
        </w:rPr>
        <w:t>Impacts</w:t>
      </w:r>
      <w:r>
        <w:rPr>
          <w:rFonts w:ascii="Trebuchet MS"/>
          <w:color w:val="231F20"/>
          <w:spacing w:val="49"/>
          <w:w w:val="105"/>
          <w:sz w:val="14"/>
        </w:rPr>
        <w:t xml:space="preserve"> </w:t>
      </w:r>
      <w:r>
        <w:rPr>
          <w:rFonts w:ascii="Trebuchet MS"/>
          <w:color w:val="231F20"/>
          <w:spacing w:val="-5"/>
          <w:w w:val="105"/>
          <w:sz w:val="14"/>
        </w:rPr>
        <w:t>143</w:t>
      </w:r>
    </w:p>
    <w:p w14:paraId="64DDDE77" w14:textId="77777777" w:rsidR="00AE0598" w:rsidRDefault="00AE0598">
      <w:pPr>
        <w:pStyle w:val="Corpodetexto"/>
        <w:spacing w:before="1"/>
        <w:rPr>
          <w:rFonts w:ascii="Trebuchet MS"/>
          <w:sz w:val="27"/>
        </w:rPr>
      </w:pPr>
    </w:p>
    <w:p w14:paraId="2EAC54FF" w14:textId="545BB837" w:rsidR="00AE0598" w:rsidRDefault="0069255A">
      <w:pPr>
        <w:pStyle w:val="Corpodetexto"/>
        <w:spacing w:before="103" w:line="232" w:lineRule="auto"/>
        <w:ind w:left="223" w:right="236" w:firstLine="320"/>
        <w:jc w:val="both"/>
      </w:pPr>
      <w:r>
        <w:rPr>
          <w:noProof/>
        </w:rPr>
        <mc:AlternateContent>
          <mc:Choice Requires="wps">
            <w:drawing>
              <wp:anchor distT="0" distB="0" distL="114300" distR="114300" simplePos="0" relativeHeight="483727360" behindDoc="1" locked="0" layoutInCell="1" allowOverlap="1" wp14:anchorId="3438A255" wp14:editId="5C376648">
                <wp:simplePos x="0" y="0"/>
                <wp:positionH relativeFrom="page">
                  <wp:posOffset>755650</wp:posOffset>
                </wp:positionH>
                <wp:positionV relativeFrom="paragraph">
                  <wp:posOffset>19050</wp:posOffset>
                </wp:positionV>
                <wp:extent cx="4104005" cy="6574155"/>
                <wp:effectExtent l="0" t="0" r="0" b="0"/>
                <wp:wrapNone/>
                <wp:docPr id="158" name="docshape2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04005" cy="6574155"/>
                        </a:xfrm>
                        <a:prstGeom prst="rect">
                          <a:avLst/>
                        </a:prstGeom>
                        <a:solidFill>
                          <a:srgbClr val="DCDDD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DFB43D" id="docshape210" o:spid="_x0000_s1026" style="position:absolute;margin-left:59.5pt;margin-top:1.5pt;width:323.15pt;height:517.65pt;z-index:-195891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" fillcolor="#dcddde" stroked="f">
                <w10:wrap anchorx="page"/>
              </v:rect>
            </w:pict>
          </mc:Fallback>
        </mc:AlternateContent>
      </w:r>
      <w:r>
        <w:rPr>
          <w:color w:val="231F20"/>
          <w:w w:val="95"/>
        </w:rPr>
        <w:t xml:space="preserve">There are significant and problematic ironies of snow sport-related </w:t>
      </w:r>
      <w:r>
        <w:rPr>
          <w:color w:val="231F20"/>
        </w:rPr>
        <w:t>mobility. Both tourism in general, and transport as a particularly</w:t>
      </w:r>
      <w:r>
        <w:rPr>
          <w:color w:val="231F20"/>
          <w:spacing w:val="40"/>
        </w:rPr>
        <w:t xml:space="preserve"> </w:t>
      </w:r>
      <w:r>
        <w:rPr>
          <w:color w:val="231F20"/>
        </w:rPr>
        <w:t xml:space="preserve">high-emitting activity, contribute to global greenhouse gas emissions, the main cause of anthropogenic climate change (Scott </w:t>
      </w:r>
      <w:r>
        <w:rPr>
          <w:i/>
          <w:color w:val="231F20"/>
        </w:rPr>
        <w:t>et al</w:t>
      </w:r>
      <w:r>
        <w:rPr>
          <w:color w:val="231F20"/>
        </w:rPr>
        <w:t>., 2016a). Ski</w:t>
      </w:r>
      <w:r>
        <w:rPr>
          <w:color w:val="231F20"/>
          <w:spacing w:val="-3"/>
        </w:rPr>
        <w:t xml:space="preserve"> </w:t>
      </w:r>
      <w:r>
        <w:rPr>
          <w:color w:val="231F20"/>
        </w:rPr>
        <w:t>fields</w:t>
      </w:r>
      <w:r>
        <w:rPr>
          <w:color w:val="231F20"/>
          <w:spacing w:val="-3"/>
        </w:rPr>
        <w:t xml:space="preserve"> </w:t>
      </w:r>
      <w:r>
        <w:rPr>
          <w:color w:val="231F20"/>
        </w:rPr>
        <w:t>are</w:t>
      </w:r>
      <w:r>
        <w:rPr>
          <w:color w:val="231F20"/>
          <w:spacing w:val="-3"/>
        </w:rPr>
        <w:t xml:space="preserve"> </w:t>
      </w:r>
      <w:r>
        <w:rPr>
          <w:color w:val="231F20"/>
        </w:rPr>
        <w:t>resource</w:t>
      </w:r>
      <w:r>
        <w:rPr>
          <w:color w:val="231F20"/>
          <w:spacing w:val="-3"/>
        </w:rPr>
        <w:t xml:space="preserve"> </w:t>
      </w:r>
      <w:r>
        <w:rPr>
          <w:color w:val="231F20"/>
        </w:rPr>
        <w:t>intensive</w:t>
      </w:r>
      <w:r>
        <w:rPr>
          <w:color w:val="231F20"/>
          <w:spacing w:val="-3"/>
        </w:rPr>
        <w:t xml:space="preserve"> </w:t>
      </w:r>
      <w:r>
        <w:rPr>
          <w:color w:val="231F20"/>
        </w:rPr>
        <w:t>–</w:t>
      </w:r>
      <w:r>
        <w:rPr>
          <w:color w:val="231F20"/>
          <w:spacing w:val="-3"/>
        </w:rPr>
        <w:t xml:space="preserve"> </w:t>
      </w:r>
      <w:r>
        <w:rPr>
          <w:color w:val="231F20"/>
        </w:rPr>
        <w:t>they</w:t>
      </w:r>
      <w:r>
        <w:rPr>
          <w:color w:val="231F20"/>
          <w:spacing w:val="-3"/>
        </w:rPr>
        <w:t xml:space="preserve"> </w:t>
      </w:r>
      <w:r>
        <w:rPr>
          <w:color w:val="231F20"/>
        </w:rPr>
        <w:t>require</w:t>
      </w:r>
      <w:r>
        <w:rPr>
          <w:color w:val="231F20"/>
          <w:spacing w:val="-3"/>
        </w:rPr>
        <w:t xml:space="preserve"> </w:t>
      </w:r>
      <w:r>
        <w:rPr>
          <w:color w:val="231F20"/>
        </w:rPr>
        <w:t>both</w:t>
      </w:r>
      <w:r>
        <w:rPr>
          <w:color w:val="231F20"/>
          <w:spacing w:val="-3"/>
        </w:rPr>
        <w:t xml:space="preserve"> </w:t>
      </w:r>
      <w:r>
        <w:rPr>
          <w:color w:val="231F20"/>
        </w:rPr>
        <w:t>energy</w:t>
      </w:r>
      <w:r>
        <w:rPr>
          <w:color w:val="231F20"/>
          <w:spacing w:val="-3"/>
        </w:rPr>
        <w:t xml:space="preserve"> </w:t>
      </w:r>
      <w:r>
        <w:rPr>
          <w:color w:val="231F20"/>
        </w:rPr>
        <w:t>and</w:t>
      </w:r>
      <w:r>
        <w:rPr>
          <w:color w:val="231F20"/>
          <w:spacing w:val="-3"/>
        </w:rPr>
        <w:t xml:space="preserve"> </w:t>
      </w:r>
      <w:r>
        <w:rPr>
          <w:color w:val="231F20"/>
        </w:rPr>
        <w:t xml:space="preserve">water resources to maintain operationality. Some ski fields have developed </w:t>
      </w:r>
      <w:r>
        <w:rPr>
          <w:color w:val="231F20"/>
          <w:w w:val="95"/>
        </w:rPr>
        <w:t xml:space="preserve">renewable electricity resources, harnessing wind- or hydroelectricity to </w:t>
      </w:r>
      <w:r>
        <w:rPr>
          <w:color w:val="231F20"/>
        </w:rPr>
        <w:t>power lifts, buildings and other facilities. Yet, contestations between renewable electrici</w:t>
      </w:r>
      <w:r>
        <w:rPr>
          <w:color w:val="231F20"/>
        </w:rPr>
        <w:t>ty infrastructure and ski lifts and cable cars have been</w:t>
      </w:r>
      <w:r>
        <w:rPr>
          <w:color w:val="231F20"/>
          <w:spacing w:val="38"/>
        </w:rPr>
        <w:t xml:space="preserve"> </w:t>
      </w:r>
      <w:r>
        <w:rPr>
          <w:color w:val="231F20"/>
        </w:rPr>
        <w:t>reported</w:t>
      </w:r>
      <w:r>
        <w:rPr>
          <w:color w:val="231F20"/>
          <w:spacing w:val="38"/>
        </w:rPr>
        <w:t xml:space="preserve"> </w:t>
      </w:r>
      <w:r>
        <w:rPr>
          <w:color w:val="231F20"/>
        </w:rPr>
        <w:t>(Huber</w:t>
      </w:r>
      <w:r>
        <w:rPr>
          <w:color w:val="231F20"/>
          <w:spacing w:val="39"/>
        </w:rPr>
        <w:t xml:space="preserve"> </w:t>
      </w:r>
      <w:r>
        <w:rPr>
          <w:i/>
          <w:color w:val="231F20"/>
        </w:rPr>
        <w:t>et</w:t>
      </w:r>
      <w:r>
        <w:rPr>
          <w:i/>
          <w:color w:val="231F20"/>
          <w:spacing w:val="38"/>
        </w:rPr>
        <w:t xml:space="preserve"> </w:t>
      </w:r>
      <w:r>
        <w:rPr>
          <w:i/>
          <w:color w:val="231F20"/>
        </w:rPr>
        <w:t>al</w:t>
      </w:r>
      <w:r>
        <w:rPr>
          <w:color w:val="231F20"/>
        </w:rPr>
        <w:t>.,</w:t>
      </w:r>
      <w:r>
        <w:rPr>
          <w:color w:val="231F20"/>
          <w:spacing w:val="38"/>
        </w:rPr>
        <w:t xml:space="preserve"> </w:t>
      </w:r>
      <w:r>
        <w:rPr>
          <w:color w:val="231F20"/>
        </w:rPr>
        <w:t>2017).</w:t>
      </w:r>
      <w:r>
        <w:rPr>
          <w:color w:val="231F20"/>
          <w:spacing w:val="38"/>
        </w:rPr>
        <w:t xml:space="preserve"> </w:t>
      </w:r>
      <w:r>
        <w:rPr>
          <w:color w:val="231F20"/>
        </w:rPr>
        <w:t>Furthermore,</w:t>
      </w:r>
      <w:r>
        <w:rPr>
          <w:color w:val="231F20"/>
          <w:spacing w:val="38"/>
        </w:rPr>
        <w:t xml:space="preserve"> </w:t>
      </w:r>
      <w:r>
        <w:rPr>
          <w:color w:val="231F20"/>
        </w:rPr>
        <w:t>with</w:t>
      </w:r>
      <w:r>
        <w:rPr>
          <w:color w:val="231F20"/>
          <w:spacing w:val="38"/>
        </w:rPr>
        <w:t xml:space="preserve"> </w:t>
      </w:r>
      <w:r>
        <w:rPr>
          <w:color w:val="231F20"/>
        </w:rPr>
        <w:t>the</w:t>
      </w:r>
      <w:r>
        <w:rPr>
          <w:color w:val="231F20"/>
          <w:spacing w:val="38"/>
        </w:rPr>
        <w:t xml:space="preserve"> </w:t>
      </w:r>
      <w:r>
        <w:rPr>
          <w:color w:val="231F20"/>
        </w:rPr>
        <w:t>growth of snow-making technologies, access to water resources has become of increasing importance. This has led to demand for high-elevation reservoirs and rights to access water resources. Transport-related emissions, both internationally and domestically</w:t>
      </w:r>
      <w:r>
        <w:rPr>
          <w:color w:val="231F20"/>
        </w:rPr>
        <w:t xml:space="preserve">, are also highly </w:t>
      </w:r>
      <w:r>
        <w:rPr>
          <w:color w:val="231F20"/>
          <w:w w:val="95"/>
        </w:rPr>
        <w:t xml:space="preserve">problematic in light of climate change and its impact on the ski industry. </w:t>
      </w:r>
      <w:r>
        <w:rPr>
          <w:color w:val="231F20"/>
        </w:rPr>
        <w:t>With often rural, alpine locations, ski fields are frequently accessed</w:t>
      </w:r>
      <w:r>
        <w:rPr>
          <w:color w:val="231F20"/>
          <w:spacing w:val="40"/>
        </w:rPr>
        <w:t xml:space="preserve"> </w:t>
      </w:r>
      <w:r>
        <w:rPr>
          <w:color w:val="231F20"/>
        </w:rPr>
        <w:t>by private vehicle, and although some ski fields have been successful in implementing public</w:t>
      </w:r>
      <w:r>
        <w:rPr>
          <w:color w:val="231F20"/>
        </w:rPr>
        <w:t xml:space="preserve"> transport systems and ride-sharing schemes, </w:t>
      </w:r>
      <w:r>
        <w:rPr>
          <w:color w:val="231F20"/>
          <w:w w:val="95"/>
        </w:rPr>
        <w:t xml:space="preserve">ground transport remains a neglected area of ski tourism sustainability </w:t>
      </w:r>
      <w:r>
        <w:rPr>
          <w:color w:val="231F20"/>
        </w:rPr>
        <w:t xml:space="preserve">management (Rutty </w:t>
      </w:r>
      <w:r>
        <w:rPr>
          <w:i/>
          <w:color w:val="231F20"/>
        </w:rPr>
        <w:t>et al</w:t>
      </w:r>
      <w:r>
        <w:rPr>
          <w:color w:val="231F20"/>
        </w:rPr>
        <w:t>., 2014).</w:t>
      </w:r>
    </w:p>
    <w:p w14:paraId="24458558" w14:textId="77777777" w:rsidR="00AE0598" w:rsidRDefault="0069255A">
      <w:pPr>
        <w:pStyle w:val="Corpodetexto"/>
        <w:spacing w:before="24" w:line="232" w:lineRule="auto"/>
        <w:ind w:left="223" w:right="239" w:firstLine="320"/>
        <w:jc w:val="both"/>
      </w:pPr>
      <w:r>
        <w:rPr>
          <w:color w:val="231F20"/>
          <w:w w:val="95"/>
        </w:rPr>
        <w:t>Transport-related</w:t>
      </w:r>
      <w:r>
        <w:rPr>
          <w:color w:val="231F20"/>
          <w:spacing w:val="-4"/>
          <w:w w:val="95"/>
        </w:rPr>
        <w:t xml:space="preserve"> </w:t>
      </w:r>
      <w:r>
        <w:rPr>
          <w:color w:val="231F20"/>
          <w:w w:val="95"/>
        </w:rPr>
        <w:t>greenhouse</w:t>
      </w:r>
      <w:r>
        <w:rPr>
          <w:color w:val="231F20"/>
          <w:spacing w:val="-4"/>
          <w:w w:val="95"/>
        </w:rPr>
        <w:t xml:space="preserve"> </w:t>
      </w:r>
      <w:r>
        <w:rPr>
          <w:color w:val="231F20"/>
          <w:w w:val="95"/>
        </w:rPr>
        <w:t>gas</w:t>
      </w:r>
      <w:r>
        <w:rPr>
          <w:color w:val="231F20"/>
          <w:spacing w:val="-4"/>
          <w:w w:val="95"/>
        </w:rPr>
        <w:t xml:space="preserve"> </w:t>
      </w:r>
      <w:r>
        <w:rPr>
          <w:color w:val="231F20"/>
          <w:w w:val="95"/>
        </w:rPr>
        <w:t>emissions</w:t>
      </w:r>
      <w:r>
        <w:rPr>
          <w:color w:val="231F20"/>
          <w:spacing w:val="-4"/>
          <w:w w:val="95"/>
        </w:rPr>
        <w:t xml:space="preserve"> </w:t>
      </w:r>
      <w:r>
        <w:rPr>
          <w:color w:val="231F20"/>
          <w:w w:val="95"/>
        </w:rPr>
        <w:t>have</w:t>
      </w:r>
      <w:r>
        <w:rPr>
          <w:color w:val="231F20"/>
          <w:spacing w:val="-4"/>
          <w:w w:val="95"/>
        </w:rPr>
        <w:t xml:space="preserve"> </w:t>
      </w:r>
      <w:r>
        <w:rPr>
          <w:color w:val="231F20"/>
          <w:w w:val="95"/>
        </w:rPr>
        <w:t>more</w:t>
      </w:r>
      <w:r>
        <w:rPr>
          <w:color w:val="231F20"/>
          <w:spacing w:val="-4"/>
          <w:w w:val="95"/>
        </w:rPr>
        <w:t xml:space="preserve"> </w:t>
      </w:r>
      <w:r>
        <w:rPr>
          <w:color w:val="231F20"/>
          <w:w w:val="95"/>
        </w:rPr>
        <w:t>than</w:t>
      </w:r>
      <w:r>
        <w:rPr>
          <w:color w:val="231F20"/>
          <w:spacing w:val="-4"/>
          <w:w w:val="95"/>
        </w:rPr>
        <w:t xml:space="preserve"> </w:t>
      </w:r>
      <w:r>
        <w:rPr>
          <w:color w:val="231F20"/>
          <w:w w:val="95"/>
        </w:rPr>
        <w:t xml:space="preserve">doubled </w:t>
      </w:r>
      <w:r>
        <w:rPr>
          <w:color w:val="231F20"/>
        </w:rPr>
        <w:t>since</w:t>
      </w:r>
      <w:r>
        <w:rPr>
          <w:color w:val="231F20"/>
          <w:spacing w:val="-1"/>
        </w:rPr>
        <w:t xml:space="preserve"> </w:t>
      </w:r>
      <w:r>
        <w:rPr>
          <w:color w:val="231F20"/>
        </w:rPr>
        <w:t>1970,</w:t>
      </w:r>
      <w:r>
        <w:rPr>
          <w:color w:val="231F20"/>
          <w:spacing w:val="-1"/>
        </w:rPr>
        <w:t xml:space="preserve"> </w:t>
      </w:r>
      <w:r>
        <w:rPr>
          <w:color w:val="231F20"/>
        </w:rPr>
        <w:t>and</w:t>
      </w:r>
      <w:r>
        <w:rPr>
          <w:color w:val="231F20"/>
          <w:spacing w:val="-1"/>
        </w:rPr>
        <w:t xml:space="preserve"> </w:t>
      </w:r>
      <w:r>
        <w:rPr>
          <w:color w:val="231F20"/>
        </w:rPr>
        <w:t>the</w:t>
      </w:r>
      <w:r>
        <w:rPr>
          <w:color w:val="231F20"/>
          <w:spacing w:val="-1"/>
        </w:rPr>
        <w:t xml:space="preserve"> </w:t>
      </w:r>
      <w:r>
        <w:rPr>
          <w:color w:val="231F20"/>
        </w:rPr>
        <w:t>growth in</w:t>
      </w:r>
      <w:r>
        <w:rPr>
          <w:color w:val="231F20"/>
          <w:spacing w:val="-1"/>
        </w:rPr>
        <w:t xml:space="preserve"> </w:t>
      </w:r>
      <w:r>
        <w:rPr>
          <w:color w:val="231F20"/>
        </w:rPr>
        <w:t>demand</w:t>
      </w:r>
      <w:r>
        <w:rPr>
          <w:color w:val="231F20"/>
          <w:spacing w:val="-1"/>
        </w:rPr>
        <w:t xml:space="preserve"> </w:t>
      </w:r>
      <w:r>
        <w:rPr>
          <w:color w:val="231F20"/>
        </w:rPr>
        <w:t>is</w:t>
      </w:r>
      <w:r>
        <w:rPr>
          <w:color w:val="231F20"/>
          <w:spacing w:val="-1"/>
        </w:rPr>
        <w:t xml:space="preserve"> </w:t>
      </w:r>
      <w:r>
        <w:rPr>
          <w:color w:val="231F20"/>
        </w:rPr>
        <w:t>outweighing</w:t>
      </w:r>
      <w:r>
        <w:rPr>
          <w:color w:val="231F20"/>
          <w:spacing w:val="-1"/>
        </w:rPr>
        <w:t xml:space="preserve"> </w:t>
      </w:r>
      <w:r>
        <w:rPr>
          <w:color w:val="231F20"/>
        </w:rPr>
        <w:t>efficiency gains (Sims</w:t>
      </w:r>
      <w:r>
        <w:rPr>
          <w:color w:val="231F20"/>
          <w:spacing w:val="-4"/>
        </w:rPr>
        <w:t xml:space="preserve"> </w:t>
      </w:r>
      <w:r>
        <w:rPr>
          <w:i/>
          <w:color w:val="231F20"/>
        </w:rPr>
        <w:t>et</w:t>
      </w:r>
      <w:r>
        <w:rPr>
          <w:i/>
          <w:color w:val="231F20"/>
          <w:spacing w:val="-4"/>
        </w:rPr>
        <w:t xml:space="preserve"> </w:t>
      </w:r>
      <w:r>
        <w:rPr>
          <w:i/>
          <w:color w:val="231F20"/>
        </w:rPr>
        <w:t>al</w:t>
      </w:r>
      <w:r>
        <w:rPr>
          <w:color w:val="231F20"/>
        </w:rPr>
        <w:t>.,</w:t>
      </w:r>
      <w:r>
        <w:rPr>
          <w:color w:val="231F20"/>
          <w:spacing w:val="-4"/>
        </w:rPr>
        <w:t xml:space="preserve"> </w:t>
      </w:r>
      <w:r>
        <w:rPr>
          <w:color w:val="231F20"/>
        </w:rPr>
        <w:t>2014).</w:t>
      </w:r>
      <w:r>
        <w:rPr>
          <w:color w:val="231F20"/>
          <w:spacing w:val="-4"/>
        </w:rPr>
        <w:t xml:space="preserve"> </w:t>
      </w:r>
      <w:r>
        <w:rPr>
          <w:color w:val="231F20"/>
        </w:rPr>
        <w:t>The</w:t>
      </w:r>
      <w:r>
        <w:rPr>
          <w:color w:val="231F20"/>
          <w:spacing w:val="-4"/>
        </w:rPr>
        <w:t xml:space="preserve"> </w:t>
      </w:r>
      <w:r>
        <w:rPr>
          <w:color w:val="231F20"/>
        </w:rPr>
        <w:t>Paris</w:t>
      </w:r>
      <w:r>
        <w:rPr>
          <w:color w:val="231F20"/>
          <w:spacing w:val="-4"/>
        </w:rPr>
        <w:t xml:space="preserve"> </w:t>
      </w:r>
      <w:r>
        <w:rPr>
          <w:color w:val="231F20"/>
        </w:rPr>
        <w:t>Climate</w:t>
      </w:r>
      <w:r>
        <w:rPr>
          <w:color w:val="231F20"/>
          <w:spacing w:val="-4"/>
        </w:rPr>
        <w:t xml:space="preserve"> </w:t>
      </w:r>
      <w:r>
        <w:rPr>
          <w:color w:val="231F20"/>
        </w:rPr>
        <w:t>Agreement</w:t>
      </w:r>
      <w:r>
        <w:rPr>
          <w:color w:val="231F20"/>
          <w:spacing w:val="-4"/>
        </w:rPr>
        <w:t xml:space="preserve"> </w:t>
      </w:r>
      <w:r>
        <w:rPr>
          <w:color w:val="231F20"/>
        </w:rPr>
        <w:t>set</w:t>
      </w:r>
      <w:r>
        <w:rPr>
          <w:color w:val="231F20"/>
          <w:spacing w:val="-4"/>
        </w:rPr>
        <w:t xml:space="preserve"> </w:t>
      </w:r>
      <w:r>
        <w:rPr>
          <w:color w:val="231F20"/>
        </w:rPr>
        <w:t>forth</w:t>
      </w:r>
      <w:r>
        <w:rPr>
          <w:color w:val="231F20"/>
          <w:spacing w:val="-4"/>
        </w:rPr>
        <w:t xml:space="preserve"> </w:t>
      </w:r>
      <w:r>
        <w:rPr>
          <w:color w:val="231F20"/>
        </w:rPr>
        <w:t>an</w:t>
      </w:r>
      <w:r>
        <w:rPr>
          <w:color w:val="231F20"/>
          <w:spacing w:val="-4"/>
        </w:rPr>
        <w:t xml:space="preserve"> </w:t>
      </w:r>
      <w:r>
        <w:rPr>
          <w:color w:val="231F20"/>
        </w:rPr>
        <w:t>ambition to stabilise the global climate at 1.5</w:t>
      </w:r>
      <w:r>
        <w:rPr>
          <w:rFonts w:ascii="Times New Roman" w:hAnsi="Times New Roman"/>
          <w:color w:val="231F20"/>
        </w:rPr>
        <w:t>°</w:t>
      </w:r>
      <w:r>
        <w:rPr>
          <w:color w:val="231F20"/>
        </w:rPr>
        <w:t xml:space="preserve">C above pre-industrial times, yet once again, global aviation was omitted from inclusion (Scott </w:t>
      </w:r>
      <w:r>
        <w:rPr>
          <w:i/>
          <w:color w:val="231F20"/>
        </w:rPr>
        <w:t>et al</w:t>
      </w:r>
      <w:r>
        <w:rPr>
          <w:color w:val="231F20"/>
        </w:rPr>
        <w:t>., 2016b). The aviation industry has failed to take meaningful action on its</w:t>
      </w:r>
      <w:r>
        <w:rPr>
          <w:color w:val="231F20"/>
          <w:spacing w:val="-7"/>
        </w:rPr>
        <w:t xml:space="preserve"> </w:t>
      </w:r>
      <w:r>
        <w:rPr>
          <w:color w:val="231F20"/>
        </w:rPr>
        <w:t>greenhouse</w:t>
      </w:r>
      <w:r>
        <w:rPr>
          <w:color w:val="231F20"/>
          <w:spacing w:val="-8"/>
        </w:rPr>
        <w:t xml:space="preserve"> </w:t>
      </w:r>
      <w:r>
        <w:rPr>
          <w:color w:val="231F20"/>
        </w:rPr>
        <w:t>gas</w:t>
      </w:r>
      <w:r>
        <w:rPr>
          <w:color w:val="231F20"/>
          <w:spacing w:val="-7"/>
        </w:rPr>
        <w:t xml:space="preserve"> </w:t>
      </w:r>
      <w:r>
        <w:rPr>
          <w:color w:val="231F20"/>
        </w:rPr>
        <w:t>emissions.</w:t>
      </w:r>
      <w:r>
        <w:rPr>
          <w:color w:val="231F20"/>
          <w:spacing w:val="-8"/>
        </w:rPr>
        <w:t xml:space="preserve"> </w:t>
      </w:r>
      <w:r>
        <w:rPr>
          <w:color w:val="231F20"/>
        </w:rPr>
        <w:t>Similarly,</w:t>
      </w:r>
      <w:r>
        <w:rPr>
          <w:color w:val="231F20"/>
          <w:spacing w:val="-7"/>
        </w:rPr>
        <w:t xml:space="preserve"> </w:t>
      </w:r>
      <w:r>
        <w:rPr>
          <w:color w:val="231F20"/>
        </w:rPr>
        <w:t>the</w:t>
      </w:r>
      <w:r>
        <w:rPr>
          <w:color w:val="231F20"/>
          <w:spacing w:val="-8"/>
        </w:rPr>
        <w:t xml:space="preserve"> </w:t>
      </w:r>
      <w:r>
        <w:rPr>
          <w:color w:val="231F20"/>
        </w:rPr>
        <w:t>tourism</w:t>
      </w:r>
      <w:r>
        <w:rPr>
          <w:color w:val="231F20"/>
          <w:spacing w:val="-7"/>
        </w:rPr>
        <w:t xml:space="preserve"> </w:t>
      </w:r>
      <w:r>
        <w:rPr>
          <w:color w:val="231F20"/>
        </w:rPr>
        <w:t>industry</w:t>
      </w:r>
      <w:r>
        <w:rPr>
          <w:color w:val="231F20"/>
          <w:spacing w:val="-8"/>
        </w:rPr>
        <w:t xml:space="preserve"> </w:t>
      </w:r>
      <w:r>
        <w:rPr>
          <w:color w:val="231F20"/>
        </w:rPr>
        <w:t>has</w:t>
      </w:r>
      <w:r>
        <w:rPr>
          <w:color w:val="231F20"/>
          <w:spacing w:val="-7"/>
        </w:rPr>
        <w:t xml:space="preserve"> </w:t>
      </w:r>
      <w:r>
        <w:rPr>
          <w:color w:val="231F20"/>
        </w:rPr>
        <w:t>been relatively weak in its response to climate change (Hopkins &amp; Higham, 2018). Nevertheless, there have been some e</w:t>
      </w:r>
      <w:r>
        <w:rPr>
          <w:color w:val="231F20"/>
        </w:rPr>
        <w:t>fforts to raise the profile of climate change. For instance, the ‘Keep Winters Cool’ campaign, a joint</w:t>
      </w:r>
      <w:r>
        <w:rPr>
          <w:color w:val="231F20"/>
          <w:spacing w:val="-6"/>
        </w:rPr>
        <w:t xml:space="preserve"> </w:t>
      </w:r>
      <w:r>
        <w:rPr>
          <w:color w:val="231F20"/>
        </w:rPr>
        <w:t>effort</w:t>
      </w:r>
      <w:r>
        <w:rPr>
          <w:color w:val="231F20"/>
          <w:spacing w:val="-6"/>
        </w:rPr>
        <w:t xml:space="preserve"> </w:t>
      </w:r>
      <w:r>
        <w:rPr>
          <w:color w:val="231F20"/>
        </w:rPr>
        <w:t>by</w:t>
      </w:r>
      <w:r>
        <w:rPr>
          <w:color w:val="231F20"/>
          <w:spacing w:val="-6"/>
        </w:rPr>
        <w:t xml:space="preserve"> </w:t>
      </w:r>
      <w:r>
        <w:rPr>
          <w:color w:val="231F20"/>
        </w:rPr>
        <w:t>the</w:t>
      </w:r>
      <w:r>
        <w:rPr>
          <w:color w:val="231F20"/>
          <w:spacing w:val="-6"/>
        </w:rPr>
        <w:t xml:space="preserve"> </w:t>
      </w:r>
      <w:r>
        <w:rPr>
          <w:color w:val="231F20"/>
        </w:rPr>
        <w:t>Natural</w:t>
      </w:r>
      <w:r>
        <w:rPr>
          <w:color w:val="231F20"/>
          <w:spacing w:val="-6"/>
        </w:rPr>
        <w:t xml:space="preserve"> </w:t>
      </w:r>
      <w:r>
        <w:rPr>
          <w:color w:val="231F20"/>
        </w:rPr>
        <w:t>Resources</w:t>
      </w:r>
      <w:r>
        <w:rPr>
          <w:color w:val="231F20"/>
          <w:spacing w:val="-6"/>
        </w:rPr>
        <w:t xml:space="preserve"> </w:t>
      </w:r>
      <w:r>
        <w:rPr>
          <w:color w:val="231F20"/>
        </w:rPr>
        <w:t>Defense</w:t>
      </w:r>
      <w:r>
        <w:rPr>
          <w:color w:val="231F20"/>
          <w:spacing w:val="-6"/>
        </w:rPr>
        <w:t xml:space="preserve"> </w:t>
      </w:r>
      <w:r>
        <w:rPr>
          <w:color w:val="231F20"/>
        </w:rPr>
        <w:t>Council</w:t>
      </w:r>
      <w:r>
        <w:rPr>
          <w:color w:val="231F20"/>
          <w:spacing w:val="-6"/>
        </w:rPr>
        <w:t xml:space="preserve"> </w:t>
      </w:r>
      <w:r>
        <w:rPr>
          <w:color w:val="231F20"/>
        </w:rPr>
        <w:t>and</w:t>
      </w:r>
      <w:r>
        <w:rPr>
          <w:color w:val="231F20"/>
          <w:spacing w:val="-6"/>
        </w:rPr>
        <w:t xml:space="preserve"> </w:t>
      </w:r>
      <w:r>
        <w:rPr>
          <w:color w:val="231F20"/>
        </w:rPr>
        <w:t>the</w:t>
      </w:r>
      <w:r>
        <w:rPr>
          <w:color w:val="231F20"/>
          <w:spacing w:val="-6"/>
        </w:rPr>
        <w:t xml:space="preserve"> </w:t>
      </w:r>
      <w:r>
        <w:rPr>
          <w:color w:val="231F20"/>
        </w:rPr>
        <w:t xml:space="preserve">National Ski Areas Association (Scott, 2006a, 2006b), emerged in the United States but has since </w:t>
      </w:r>
      <w:r>
        <w:rPr>
          <w:color w:val="231F20"/>
        </w:rPr>
        <w:t xml:space="preserve">gained traction globally, thanks, in part, to the involvement of high-profile snow sports athletes and a strong social </w:t>
      </w:r>
      <w:r>
        <w:rPr>
          <w:color w:val="231F20"/>
          <w:w w:val="95"/>
        </w:rPr>
        <w:t>media platform. The engagement of professional athletes with the issue</w:t>
      </w:r>
      <w:r>
        <w:rPr>
          <w:color w:val="231F20"/>
        </w:rPr>
        <w:t xml:space="preserve"> of climate change relates not only to their experiences of a chang</w:t>
      </w:r>
      <w:r>
        <w:rPr>
          <w:color w:val="231F20"/>
        </w:rPr>
        <w:t>ing climate, but also to financial constraints. For example, ‘a few bad winters’</w:t>
      </w:r>
      <w:r>
        <w:rPr>
          <w:color w:val="231F20"/>
          <w:spacing w:val="-4"/>
        </w:rPr>
        <w:t xml:space="preserve"> </w:t>
      </w:r>
      <w:r>
        <w:rPr>
          <w:color w:val="231F20"/>
        </w:rPr>
        <w:t>and</w:t>
      </w:r>
      <w:r>
        <w:rPr>
          <w:color w:val="231F20"/>
          <w:spacing w:val="-4"/>
        </w:rPr>
        <w:t xml:space="preserve"> </w:t>
      </w:r>
      <w:r>
        <w:rPr>
          <w:color w:val="231F20"/>
        </w:rPr>
        <w:t>‘shifting</w:t>
      </w:r>
      <w:r>
        <w:rPr>
          <w:color w:val="231F20"/>
          <w:spacing w:val="-4"/>
        </w:rPr>
        <w:t xml:space="preserve"> </w:t>
      </w:r>
      <w:r>
        <w:rPr>
          <w:color w:val="231F20"/>
        </w:rPr>
        <w:t>weather</w:t>
      </w:r>
      <w:r>
        <w:rPr>
          <w:color w:val="231F20"/>
          <w:spacing w:val="-4"/>
        </w:rPr>
        <w:t xml:space="preserve"> </w:t>
      </w:r>
      <w:r>
        <w:rPr>
          <w:color w:val="231F20"/>
        </w:rPr>
        <w:t>patterns’</w:t>
      </w:r>
      <w:r>
        <w:rPr>
          <w:color w:val="231F20"/>
          <w:spacing w:val="-4"/>
        </w:rPr>
        <w:t xml:space="preserve"> </w:t>
      </w:r>
      <w:r>
        <w:rPr>
          <w:color w:val="231F20"/>
        </w:rPr>
        <w:t>have</w:t>
      </w:r>
      <w:r>
        <w:rPr>
          <w:color w:val="231F20"/>
          <w:spacing w:val="-4"/>
        </w:rPr>
        <w:t xml:space="preserve"> </w:t>
      </w:r>
      <w:r>
        <w:rPr>
          <w:color w:val="231F20"/>
        </w:rPr>
        <w:t>been</w:t>
      </w:r>
      <w:r>
        <w:rPr>
          <w:color w:val="231F20"/>
          <w:spacing w:val="-4"/>
        </w:rPr>
        <w:t xml:space="preserve"> </w:t>
      </w:r>
      <w:r>
        <w:rPr>
          <w:color w:val="231F20"/>
        </w:rPr>
        <w:t>blamed,</w:t>
      </w:r>
      <w:r>
        <w:rPr>
          <w:color w:val="231F20"/>
          <w:spacing w:val="-4"/>
        </w:rPr>
        <w:t xml:space="preserve"> </w:t>
      </w:r>
      <w:r>
        <w:rPr>
          <w:color w:val="231F20"/>
        </w:rPr>
        <w:t>along</w:t>
      </w:r>
      <w:r>
        <w:rPr>
          <w:color w:val="231F20"/>
          <w:spacing w:val="-4"/>
        </w:rPr>
        <w:t xml:space="preserve"> </w:t>
      </w:r>
      <w:r>
        <w:rPr>
          <w:color w:val="231F20"/>
        </w:rPr>
        <w:t>with the</w:t>
      </w:r>
      <w:r>
        <w:rPr>
          <w:color w:val="231F20"/>
          <w:spacing w:val="-10"/>
        </w:rPr>
        <w:t xml:space="preserve"> </w:t>
      </w:r>
      <w:r>
        <w:rPr>
          <w:color w:val="231F20"/>
        </w:rPr>
        <w:t>weakened</w:t>
      </w:r>
      <w:r>
        <w:rPr>
          <w:color w:val="231F20"/>
          <w:spacing w:val="-10"/>
        </w:rPr>
        <w:t xml:space="preserve"> </w:t>
      </w:r>
      <w:r>
        <w:rPr>
          <w:color w:val="231F20"/>
        </w:rPr>
        <w:t>global</w:t>
      </w:r>
      <w:r>
        <w:rPr>
          <w:color w:val="231F20"/>
          <w:spacing w:val="-10"/>
        </w:rPr>
        <w:t xml:space="preserve"> </w:t>
      </w:r>
      <w:r>
        <w:rPr>
          <w:color w:val="231F20"/>
        </w:rPr>
        <w:t>economy,</w:t>
      </w:r>
      <w:r>
        <w:rPr>
          <w:color w:val="231F20"/>
          <w:spacing w:val="-10"/>
        </w:rPr>
        <w:t xml:space="preserve"> </w:t>
      </w:r>
      <w:r>
        <w:rPr>
          <w:color w:val="231F20"/>
        </w:rPr>
        <w:t>on</w:t>
      </w:r>
      <w:r>
        <w:rPr>
          <w:color w:val="231F20"/>
          <w:spacing w:val="-10"/>
        </w:rPr>
        <w:t xml:space="preserve"> </w:t>
      </w:r>
      <w:r>
        <w:rPr>
          <w:color w:val="231F20"/>
        </w:rPr>
        <w:t>the</w:t>
      </w:r>
      <w:r>
        <w:rPr>
          <w:color w:val="231F20"/>
          <w:spacing w:val="-10"/>
        </w:rPr>
        <w:t xml:space="preserve"> </w:t>
      </w:r>
      <w:r>
        <w:rPr>
          <w:color w:val="231F20"/>
        </w:rPr>
        <w:t>scarcity</w:t>
      </w:r>
      <w:r>
        <w:rPr>
          <w:color w:val="231F20"/>
          <w:spacing w:val="-10"/>
        </w:rPr>
        <w:t xml:space="preserve"> </w:t>
      </w:r>
      <w:r>
        <w:rPr>
          <w:color w:val="231F20"/>
        </w:rPr>
        <w:t>of</w:t>
      </w:r>
      <w:r>
        <w:rPr>
          <w:color w:val="231F20"/>
          <w:spacing w:val="-10"/>
        </w:rPr>
        <w:t xml:space="preserve"> </w:t>
      </w:r>
      <w:r>
        <w:rPr>
          <w:color w:val="231F20"/>
        </w:rPr>
        <w:t>sponsorship</w:t>
      </w:r>
      <w:r>
        <w:rPr>
          <w:color w:val="231F20"/>
          <w:spacing w:val="-10"/>
        </w:rPr>
        <w:t xml:space="preserve"> </w:t>
      </w:r>
      <w:r>
        <w:rPr>
          <w:color w:val="231F20"/>
        </w:rPr>
        <w:t>deals</w:t>
      </w:r>
      <w:r>
        <w:rPr>
          <w:color w:val="231F20"/>
          <w:spacing w:val="-10"/>
        </w:rPr>
        <w:t xml:space="preserve"> </w:t>
      </w:r>
      <w:r>
        <w:rPr>
          <w:color w:val="231F20"/>
        </w:rPr>
        <w:t>for professional snow sports athletes, and a ‘challenging atmosphere’ for snowboarding in particular (Higgins, 2016).</w:t>
      </w:r>
    </w:p>
    <w:p w14:paraId="1A19381E" w14:textId="77777777" w:rsidR="00AE0598" w:rsidRDefault="0069255A">
      <w:pPr>
        <w:spacing w:before="160"/>
        <w:ind w:left="110" w:right="241"/>
        <w:jc w:val="right"/>
        <w:rPr>
          <w:rFonts w:ascii="Trebuchet MS"/>
          <w:i/>
          <w:sz w:val="18"/>
        </w:rPr>
      </w:pPr>
      <w:r>
        <w:rPr>
          <w:rFonts w:ascii="Trebuchet MS"/>
          <w:i/>
          <w:color w:val="231F20"/>
          <w:spacing w:val="-2"/>
          <w:sz w:val="18"/>
        </w:rPr>
        <w:t>(Continued)</w:t>
      </w:r>
    </w:p>
    <w:p w14:paraId="548AA4BF" w14:textId="77777777" w:rsidR="00AE0598" w:rsidRDefault="00AE0598">
      <w:pPr>
        <w:jc w:val="right"/>
        <w:rPr>
          <w:rFonts w:ascii="Trebuchet MS"/>
          <w:sz w:val="18"/>
        </w:rPr>
        <w:sectPr w:rsidR="00AE0598">
          <w:pgSz w:w="8850" w:h="13270"/>
          <w:pgMar w:top="720" w:right="1060" w:bottom="280" w:left="1080" w:header="720" w:footer="720" w:gutter="0"/>
          <w:cols w:space="720"/>
        </w:sectPr>
      </w:pPr>
    </w:p>
    <w:p w14:paraId="65DF2906" w14:textId="77777777" w:rsidR="00AE0598" w:rsidRDefault="0069255A">
      <w:pPr>
        <w:spacing w:before="87"/>
        <w:ind w:left="108"/>
        <w:rPr>
          <w:rFonts w:ascii="Trebuchet MS"/>
          <w:sz w:val="14"/>
        </w:rPr>
      </w:pPr>
      <w:r>
        <w:rPr>
          <w:rFonts w:ascii="Trebuchet MS"/>
          <w:color w:val="231F20"/>
          <w:w w:val="105"/>
          <w:sz w:val="14"/>
        </w:rPr>
        <w:lastRenderedPageBreak/>
        <w:t>144</w:t>
      </w:r>
      <w:r>
        <w:rPr>
          <w:rFonts w:ascii="Trebuchet MS"/>
          <w:color w:val="231F20"/>
          <w:spacing w:val="66"/>
          <w:w w:val="150"/>
          <w:sz w:val="14"/>
        </w:rPr>
        <w:t xml:space="preserve"> </w:t>
      </w:r>
      <w:r>
        <w:rPr>
          <w:rFonts w:ascii="Trebuchet MS"/>
          <w:color w:val="231F20"/>
          <w:w w:val="105"/>
          <w:sz w:val="14"/>
        </w:rPr>
        <w:t>Part</w:t>
      </w:r>
      <w:r>
        <w:rPr>
          <w:rFonts w:ascii="Trebuchet MS"/>
          <w:color w:val="231F20"/>
          <w:spacing w:val="-9"/>
          <w:w w:val="105"/>
          <w:sz w:val="14"/>
        </w:rPr>
        <w:t xml:space="preserve"> </w:t>
      </w:r>
      <w:r>
        <w:rPr>
          <w:rFonts w:ascii="Trebuchet MS"/>
          <w:color w:val="231F20"/>
          <w:w w:val="105"/>
          <w:sz w:val="14"/>
        </w:rPr>
        <w:t>3:</w:t>
      </w:r>
      <w:r>
        <w:rPr>
          <w:rFonts w:ascii="Trebuchet MS"/>
          <w:color w:val="231F20"/>
          <w:spacing w:val="-8"/>
          <w:w w:val="105"/>
          <w:sz w:val="14"/>
        </w:rPr>
        <w:t xml:space="preserve"> </w:t>
      </w:r>
      <w:r>
        <w:rPr>
          <w:rFonts w:ascii="Trebuchet MS"/>
          <w:color w:val="231F20"/>
          <w:w w:val="105"/>
          <w:sz w:val="14"/>
        </w:rPr>
        <w:t>Sport</w:t>
      </w:r>
      <w:r>
        <w:rPr>
          <w:rFonts w:ascii="Trebuchet MS"/>
          <w:color w:val="231F20"/>
          <w:spacing w:val="-9"/>
          <w:w w:val="105"/>
          <w:sz w:val="14"/>
        </w:rPr>
        <w:t xml:space="preserve"> </w:t>
      </w:r>
      <w:r>
        <w:rPr>
          <w:rFonts w:ascii="Trebuchet MS"/>
          <w:color w:val="231F20"/>
          <w:w w:val="105"/>
          <w:sz w:val="14"/>
        </w:rPr>
        <w:t>Tourism</w:t>
      </w:r>
      <w:r>
        <w:rPr>
          <w:rFonts w:ascii="Trebuchet MS"/>
          <w:color w:val="231F20"/>
          <w:spacing w:val="-9"/>
          <w:w w:val="105"/>
          <w:sz w:val="14"/>
        </w:rPr>
        <w:t xml:space="preserve"> </w:t>
      </w:r>
      <w:r>
        <w:rPr>
          <w:rFonts w:ascii="Trebuchet MS"/>
          <w:color w:val="231F20"/>
          <w:w w:val="105"/>
          <w:sz w:val="14"/>
        </w:rPr>
        <w:t>Development</w:t>
      </w:r>
      <w:r>
        <w:rPr>
          <w:rFonts w:ascii="Trebuchet MS"/>
          <w:color w:val="231F20"/>
          <w:spacing w:val="-9"/>
          <w:w w:val="105"/>
          <w:sz w:val="14"/>
        </w:rPr>
        <w:t xml:space="preserve"> </w:t>
      </w:r>
      <w:r>
        <w:rPr>
          <w:rFonts w:ascii="Trebuchet MS"/>
          <w:color w:val="231F20"/>
          <w:w w:val="105"/>
          <w:sz w:val="14"/>
        </w:rPr>
        <w:t>and</w:t>
      </w:r>
      <w:r>
        <w:rPr>
          <w:rFonts w:ascii="Trebuchet MS"/>
          <w:color w:val="231F20"/>
          <w:spacing w:val="-8"/>
          <w:w w:val="105"/>
          <w:sz w:val="14"/>
        </w:rPr>
        <w:t xml:space="preserve"> </w:t>
      </w:r>
      <w:r>
        <w:rPr>
          <w:rFonts w:ascii="Trebuchet MS"/>
          <w:color w:val="231F20"/>
          <w:spacing w:val="-2"/>
          <w:w w:val="105"/>
          <w:sz w:val="14"/>
        </w:rPr>
        <w:t>Space</w:t>
      </w:r>
    </w:p>
    <w:p w14:paraId="3D35ABC3" w14:textId="77777777" w:rsidR="00AE0598" w:rsidRDefault="00AE0598">
      <w:pPr>
        <w:pStyle w:val="Corpodetexto"/>
        <w:spacing w:before="10"/>
        <w:rPr>
          <w:rFonts w:ascii="Trebuchet MS"/>
          <w:sz w:val="27"/>
        </w:rPr>
      </w:pPr>
    </w:p>
    <w:p w14:paraId="4F0B36D9" w14:textId="3F236631" w:rsidR="00AE0598" w:rsidRDefault="0069255A">
      <w:pPr>
        <w:spacing w:before="100"/>
        <w:ind w:left="217"/>
        <w:rPr>
          <w:rFonts w:ascii="Trebuchet MS"/>
          <w:sz w:val="18"/>
        </w:rPr>
      </w:pPr>
      <w:r>
        <w:rPr>
          <w:noProof/>
        </w:rPr>
        <mc:AlternateContent>
          <mc:Choice Requires="wps">
            <w:drawing>
              <wp:anchor distT="0" distB="0" distL="114300" distR="114300" simplePos="0" relativeHeight="483727872" behindDoc="1" locked="0" layoutInCell="1" allowOverlap="1" wp14:anchorId="7BB85B83" wp14:editId="016FF555">
                <wp:simplePos x="0" y="0"/>
                <wp:positionH relativeFrom="page">
                  <wp:posOffset>755650</wp:posOffset>
                </wp:positionH>
                <wp:positionV relativeFrom="paragraph">
                  <wp:posOffset>13335</wp:posOffset>
                </wp:positionV>
                <wp:extent cx="4104005" cy="4328160"/>
                <wp:effectExtent l="0" t="0" r="0" b="0"/>
                <wp:wrapNone/>
                <wp:docPr id="157" name="docshape2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04005" cy="4328160"/>
                        </a:xfrm>
                        <a:prstGeom prst="rect">
                          <a:avLst/>
                        </a:prstGeom>
                        <a:solidFill>
                          <a:srgbClr val="DCDDD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EC08D1" id="docshape211" o:spid="_x0000_s1026" style="position:absolute;margin-left:59.5pt;margin-top:1.05pt;width:323.15pt;height:340.8pt;z-index:-195886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" fillcolor="#dcddde" stroked="f">
                <w10:wrap anchorx="page"/>
              </v:rect>
            </w:pict>
          </mc:Fallback>
        </mc:AlternateContent>
      </w:r>
      <w:r>
        <w:rPr>
          <w:rFonts w:ascii="Trebuchet MS"/>
          <w:color w:val="231F20"/>
          <w:sz w:val="18"/>
        </w:rPr>
        <w:t>Case</w:t>
      </w:r>
      <w:r>
        <w:rPr>
          <w:rFonts w:ascii="Trebuchet MS"/>
          <w:color w:val="231F20"/>
          <w:spacing w:val="-13"/>
          <w:sz w:val="18"/>
        </w:rPr>
        <w:t xml:space="preserve"> </w:t>
      </w:r>
      <w:r>
        <w:rPr>
          <w:rFonts w:ascii="Trebuchet MS"/>
          <w:color w:val="231F20"/>
          <w:sz w:val="18"/>
        </w:rPr>
        <w:t>Study</w:t>
      </w:r>
      <w:r>
        <w:rPr>
          <w:rFonts w:ascii="Trebuchet MS"/>
          <w:color w:val="231F20"/>
          <w:spacing w:val="-12"/>
          <w:sz w:val="18"/>
        </w:rPr>
        <w:t xml:space="preserve"> </w:t>
      </w:r>
      <w:r>
        <w:rPr>
          <w:rFonts w:ascii="Trebuchet MS"/>
          <w:color w:val="231F20"/>
          <w:sz w:val="18"/>
        </w:rPr>
        <w:t>7.1:</w:t>
      </w:r>
      <w:r>
        <w:rPr>
          <w:rFonts w:ascii="Trebuchet MS"/>
          <w:color w:val="231F20"/>
          <w:spacing w:val="-12"/>
          <w:sz w:val="18"/>
        </w:rPr>
        <w:t xml:space="preserve"> </w:t>
      </w:r>
      <w:r>
        <w:rPr>
          <w:rFonts w:ascii="Trebuchet MS"/>
          <w:color w:val="231F20"/>
          <w:spacing w:val="-2"/>
          <w:sz w:val="18"/>
        </w:rPr>
        <w:t>(Continued)</w:t>
      </w:r>
    </w:p>
    <w:p w14:paraId="7C4408F5" w14:textId="77777777" w:rsidR="00AE0598" w:rsidRDefault="00AE0598">
      <w:pPr>
        <w:pStyle w:val="Corpodetexto"/>
        <w:spacing w:before="9"/>
        <w:rPr>
          <w:rFonts w:ascii="Trebuchet MS"/>
          <w:sz w:val="16"/>
        </w:rPr>
      </w:pPr>
    </w:p>
    <w:p w14:paraId="59188EF2" w14:textId="77777777" w:rsidR="00AE0598" w:rsidRDefault="0069255A">
      <w:pPr>
        <w:pStyle w:val="Corpodetexto"/>
        <w:spacing w:before="1" w:line="232" w:lineRule="auto"/>
        <w:ind w:left="223" w:right="240" w:firstLine="320"/>
        <w:jc w:val="both"/>
      </w:pPr>
      <w:r>
        <w:rPr>
          <w:color w:val="231F20"/>
        </w:rPr>
        <w:t xml:space="preserve">The winter sports industry is heavily reliant on stable climatic </w:t>
      </w:r>
      <w:r>
        <w:rPr>
          <w:color w:val="231F20"/>
          <w:w w:val="95"/>
        </w:rPr>
        <w:t>features</w:t>
      </w:r>
      <w:r>
        <w:rPr>
          <w:color w:val="231F20"/>
          <w:spacing w:val="-6"/>
          <w:w w:val="95"/>
        </w:rPr>
        <w:t xml:space="preserve"> </w:t>
      </w:r>
      <w:r>
        <w:rPr>
          <w:color w:val="231F20"/>
          <w:w w:val="95"/>
        </w:rPr>
        <w:t>and</w:t>
      </w:r>
      <w:r>
        <w:rPr>
          <w:color w:val="231F20"/>
          <w:spacing w:val="-6"/>
          <w:w w:val="95"/>
        </w:rPr>
        <w:t xml:space="preserve"> </w:t>
      </w:r>
      <w:r>
        <w:rPr>
          <w:color w:val="231F20"/>
          <w:w w:val="95"/>
        </w:rPr>
        <w:t>natural</w:t>
      </w:r>
      <w:r>
        <w:rPr>
          <w:color w:val="231F20"/>
          <w:spacing w:val="-6"/>
          <w:w w:val="95"/>
        </w:rPr>
        <w:t xml:space="preserve"> </w:t>
      </w:r>
      <w:r>
        <w:rPr>
          <w:color w:val="231F20"/>
          <w:w w:val="95"/>
        </w:rPr>
        <w:t>resources.</w:t>
      </w:r>
      <w:r>
        <w:rPr>
          <w:color w:val="231F20"/>
          <w:spacing w:val="-6"/>
          <w:w w:val="95"/>
        </w:rPr>
        <w:t xml:space="preserve"> </w:t>
      </w:r>
      <w:r>
        <w:rPr>
          <w:color w:val="231F20"/>
          <w:w w:val="95"/>
        </w:rPr>
        <w:t>Winter</w:t>
      </w:r>
      <w:r>
        <w:rPr>
          <w:color w:val="231F20"/>
          <w:spacing w:val="-6"/>
          <w:w w:val="95"/>
        </w:rPr>
        <w:t xml:space="preserve"> </w:t>
      </w:r>
      <w:r>
        <w:rPr>
          <w:color w:val="231F20"/>
          <w:w w:val="95"/>
        </w:rPr>
        <w:t>sports</w:t>
      </w:r>
      <w:r>
        <w:rPr>
          <w:color w:val="231F20"/>
          <w:spacing w:val="-6"/>
          <w:w w:val="95"/>
        </w:rPr>
        <w:t xml:space="preserve"> </w:t>
      </w:r>
      <w:r>
        <w:rPr>
          <w:color w:val="231F20"/>
          <w:w w:val="95"/>
        </w:rPr>
        <w:t>are</w:t>
      </w:r>
      <w:r>
        <w:rPr>
          <w:color w:val="231F20"/>
          <w:spacing w:val="-6"/>
          <w:w w:val="95"/>
        </w:rPr>
        <w:t xml:space="preserve"> </w:t>
      </w:r>
      <w:r>
        <w:rPr>
          <w:color w:val="231F20"/>
          <w:w w:val="95"/>
        </w:rPr>
        <w:t>highly</w:t>
      </w:r>
      <w:r>
        <w:rPr>
          <w:color w:val="231F20"/>
          <w:spacing w:val="-6"/>
          <w:w w:val="95"/>
        </w:rPr>
        <w:t xml:space="preserve"> </w:t>
      </w:r>
      <w:r>
        <w:rPr>
          <w:color w:val="231F20"/>
          <w:w w:val="95"/>
        </w:rPr>
        <w:t>place</w:t>
      </w:r>
      <w:r>
        <w:rPr>
          <w:color w:val="231F20"/>
          <w:spacing w:val="-6"/>
          <w:w w:val="95"/>
        </w:rPr>
        <w:t xml:space="preserve"> </w:t>
      </w:r>
      <w:r>
        <w:rPr>
          <w:color w:val="231F20"/>
          <w:w w:val="95"/>
        </w:rPr>
        <w:t xml:space="preserve">dependent, </w:t>
      </w:r>
      <w:r>
        <w:rPr>
          <w:color w:val="231F20"/>
        </w:rPr>
        <w:t xml:space="preserve">and often have little by way of adaptability. Over the coming decades, </w:t>
      </w:r>
      <w:r>
        <w:rPr>
          <w:color w:val="231F20"/>
          <w:w w:val="95"/>
        </w:rPr>
        <w:t>many popular ski destinations are likely to be</w:t>
      </w:r>
      <w:r>
        <w:rPr>
          <w:color w:val="231F20"/>
          <w:w w:val="95"/>
        </w:rPr>
        <w:t xml:space="preserve">come unprofitable and the </w:t>
      </w:r>
      <w:r>
        <w:rPr>
          <w:color w:val="231F20"/>
        </w:rPr>
        <w:t xml:space="preserve">environmental sustainability of these resorts is declining. Traditional </w:t>
      </w:r>
      <w:r>
        <w:rPr>
          <w:color w:val="231F20"/>
          <w:w w:val="95"/>
        </w:rPr>
        <w:t>centres</w:t>
      </w:r>
      <w:r>
        <w:rPr>
          <w:color w:val="231F20"/>
          <w:spacing w:val="-5"/>
          <w:w w:val="95"/>
        </w:rPr>
        <w:t xml:space="preserve"> </w:t>
      </w:r>
      <w:r>
        <w:rPr>
          <w:color w:val="231F20"/>
          <w:w w:val="95"/>
        </w:rPr>
        <w:t>of</w:t>
      </w:r>
      <w:r>
        <w:rPr>
          <w:color w:val="231F20"/>
          <w:spacing w:val="-5"/>
          <w:w w:val="95"/>
        </w:rPr>
        <w:t xml:space="preserve"> </w:t>
      </w:r>
      <w:r>
        <w:rPr>
          <w:color w:val="231F20"/>
          <w:w w:val="95"/>
        </w:rPr>
        <w:t>snow</w:t>
      </w:r>
      <w:r>
        <w:rPr>
          <w:color w:val="231F20"/>
          <w:spacing w:val="-5"/>
          <w:w w:val="95"/>
        </w:rPr>
        <w:t xml:space="preserve"> </w:t>
      </w:r>
      <w:r>
        <w:rPr>
          <w:color w:val="231F20"/>
          <w:w w:val="95"/>
        </w:rPr>
        <w:t>sports</w:t>
      </w:r>
      <w:r>
        <w:rPr>
          <w:color w:val="231F20"/>
          <w:spacing w:val="-5"/>
          <w:w w:val="95"/>
        </w:rPr>
        <w:t xml:space="preserve"> </w:t>
      </w:r>
      <w:r>
        <w:rPr>
          <w:color w:val="231F20"/>
          <w:w w:val="95"/>
        </w:rPr>
        <w:t>tourism</w:t>
      </w:r>
      <w:r>
        <w:rPr>
          <w:color w:val="231F20"/>
          <w:spacing w:val="-5"/>
          <w:w w:val="95"/>
        </w:rPr>
        <w:t xml:space="preserve"> </w:t>
      </w:r>
      <w:r>
        <w:rPr>
          <w:color w:val="231F20"/>
          <w:w w:val="95"/>
        </w:rPr>
        <w:t>may</w:t>
      </w:r>
      <w:r>
        <w:rPr>
          <w:color w:val="231F20"/>
          <w:spacing w:val="-5"/>
          <w:w w:val="95"/>
        </w:rPr>
        <w:t xml:space="preserve"> </w:t>
      </w:r>
      <w:r>
        <w:rPr>
          <w:color w:val="231F20"/>
          <w:w w:val="95"/>
        </w:rPr>
        <w:t>shift</w:t>
      </w:r>
      <w:r>
        <w:rPr>
          <w:color w:val="231F20"/>
          <w:spacing w:val="-5"/>
          <w:w w:val="95"/>
        </w:rPr>
        <w:t xml:space="preserve"> </w:t>
      </w:r>
      <w:r>
        <w:rPr>
          <w:color w:val="231F20"/>
          <w:w w:val="95"/>
        </w:rPr>
        <w:t>as</w:t>
      </w:r>
      <w:r>
        <w:rPr>
          <w:color w:val="231F20"/>
          <w:spacing w:val="-5"/>
          <w:w w:val="95"/>
        </w:rPr>
        <w:t xml:space="preserve"> </w:t>
      </w:r>
      <w:r>
        <w:rPr>
          <w:color w:val="231F20"/>
          <w:w w:val="95"/>
        </w:rPr>
        <w:t>the</w:t>
      </w:r>
      <w:r>
        <w:rPr>
          <w:color w:val="231F20"/>
          <w:spacing w:val="-5"/>
          <w:w w:val="95"/>
        </w:rPr>
        <w:t xml:space="preserve"> </w:t>
      </w:r>
      <w:r>
        <w:rPr>
          <w:color w:val="231F20"/>
          <w:w w:val="95"/>
        </w:rPr>
        <w:t>impacts</w:t>
      </w:r>
      <w:r>
        <w:rPr>
          <w:color w:val="231F20"/>
          <w:spacing w:val="-5"/>
          <w:w w:val="95"/>
        </w:rPr>
        <w:t xml:space="preserve"> </w:t>
      </w:r>
      <w:r>
        <w:rPr>
          <w:color w:val="231F20"/>
          <w:w w:val="95"/>
        </w:rPr>
        <w:t>of</w:t>
      </w:r>
      <w:r>
        <w:rPr>
          <w:color w:val="231F20"/>
          <w:spacing w:val="-5"/>
          <w:w w:val="95"/>
        </w:rPr>
        <w:t xml:space="preserve"> </w:t>
      </w:r>
      <w:r>
        <w:rPr>
          <w:color w:val="231F20"/>
          <w:w w:val="95"/>
        </w:rPr>
        <w:t>climate</w:t>
      </w:r>
      <w:r>
        <w:rPr>
          <w:color w:val="231F20"/>
          <w:spacing w:val="-5"/>
          <w:w w:val="95"/>
        </w:rPr>
        <w:t xml:space="preserve"> </w:t>
      </w:r>
      <w:r>
        <w:rPr>
          <w:color w:val="231F20"/>
          <w:w w:val="95"/>
        </w:rPr>
        <w:t>change increase. However, these are likely to be even more dependent on long- haul air trav</w:t>
      </w:r>
      <w:r>
        <w:rPr>
          <w:color w:val="231F20"/>
          <w:w w:val="95"/>
        </w:rPr>
        <w:t xml:space="preserve">el – further exacerbating global climate change. In order to address the current complex problems of high mobility, high emissions and accelerating climate change, there is a critical and urgent need for a low carbon mobility transition (Hopkins &amp; Higham, </w:t>
      </w:r>
      <w:r>
        <w:rPr>
          <w:color w:val="231F20"/>
          <w:w w:val="95"/>
        </w:rPr>
        <w:t>2016). The success</w:t>
      </w:r>
      <w:r>
        <w:rPr>
          <w:color w:val="231F20"/>
          <w:spacing w:val="80"/>
        </w:rPr>
        <w:t xml:space="preserve"> </w:t>
      </w:r>
      <w:r>
        <w:rPr>
          <w:color w:val="231F20"/>
        </w:rPr>
        <w:t>of</w:t>
      </w:r>
      <w:r>
        <w:rPr>
          <w:color w:val="231F20"/>
          <w:spacing w:val="-9"/>
        </w:rPr>
        <w:t xml:space="preserve"> </w:t>
      </w:r>
      <w:r>
        <w:rPr>
          <w:color w:val="231F20"/>
        </w:rPr>
        <w:t>the</w:t>
      </w:r>
      <w:r>
        <w:rPr>
          <w:color w:val="231F20"/>
          <w:spacing w:val="-9"/>
        </w:rPr>
        <w:t xml:space="preserve"> </w:t>
      </w:r>
      <w:r>
        <w:rPr>
          <w:color w:val="231F20"/>
        </w:rPr>
        <w:t>Paris</w:t>
      </w:r>
      <w:r>
        <w:rPr>
          <w:color w:val="231F20"/>
          <w:spacing w:val="-9"/>
        </w:rPr>
        <w:t xml:space="preserve"> </w:t>
      </w:r>
      <w:r>
        <w:rPr>
          <w:color w:val="231F20"/>
        </w:rPr>
        <w:t>Climate</w:t>
      </w:r>
      <w:r>
        <w:rPr>
          <w:color w:val="231F20"/>
          <w:spacing w:val="-9"/>
        </w:rPr>
        <w:t xml:space="preserve"> </w:t>
      </w:r>
      <w:r>
        <w:rPr>
          <w:color w:val="231F20"/>
        </w:rPr>
        <w:t>Agreement</w:t>
      </w:r>
      <w:r>
        <w:rPr>
          <w:color w:val="231F20"/>
          <w:spacing w:val="-9"/>
        </w:rPr>
        <w:t xml:space="preserve"> </w:t>
      </w:r>
      <w:r>
        <w:rPr>
          <w:color w:val="231F20"/>
        </w:rPr>
        <w:t>and</w:t>
      </w:r>
      <w:r>
        <w:rPr>
          <w:color w:val="231F20"/>
          <w:spacing w:val="-9"/>
        </w:rPr>
        <w:t xml:space="preserve"> </w:t>
      </w:r>
      <w:r>
        <w:rPr>
          <w:color w:val="231F20"/>
        </w:rPr>
        <w:t>systemic</w:t>
      </w:r>
      <w:r>
        <w:rPr>
          <w:color w:val="231F20"/>
          <w:spacing w:val="-9"/>
        </w:rPr>
        <w:t xml:space="preserve"> </w:t>
      </w:r>
      <w:r>
        <w:rPr>
          <w:color w:val="231F20"/>
        </w:rPr>
        <w:t>changes</w:t>
      </w:r>
      <w:r>
        <w:rPr>
          <w:color w:val="231F20"/>
          <w:spacing w:val="-9"/>
        </w:rPr>
        <w:t xml:space="preserve"> </w:t>
      </w:r>
      <w:r>
        <w:rPr>
          <w:color w:val="231F20"/>
        </w:rPr>
        <w:t>to</w:t>
      </w:r>
      <w:r>
        <w:rPr>
          <w:color w:val="231F20"/>
          <w:spacing w:val="-9"/>
        </w:rPr>
        <w:t xml:space="preserve"> </w:t>
      </w:r>
      <w:r>
        <w:rPr>
          <w:color w:val="231F20"/>
        </w:rPr>
        <w:t>high</w:t>
      </w:r>
      <w:r>
        <w:rPr>
          <w:color w:val="231F20"/>
          <w:spacing w:val="-9"/>
        </w:rPr>
        <w:t xml:space="preserve"> </w:t>
      </w:r>
      <w:r>
        <w:rPr>
          <w:color w:val="231F20"/>
        </w:rPr>
        <w:t>polluting industries, including tourism, will be critical to protecting the climate system</w:t>
      </w:r>
      <w:r>
        <w:rPr>
          <w:color w:val="231F20"/>
          <w:spacing w:val="-8"/>
        </w:rPr>
        <w:t xml:space="preserve"> </w:t>
      </w:r>
      <w:r>
        <w:rPr>
          <w:color w:val="231F20"/>
        </w:rPr>
        <w:t>upon</w:t>
      </w:r>
      <w:r>
        <w:rPr>
          <w:color w:val="231F20"/>
          <w:spacing w:val="-8"/>
        </w:rPr>
        <w:t xml:space="preserve"> </w:t>
      </w:r>
      <w:r>
        <w:rPr>
          <w:color w:val="231F20"/>
        </w:rPr>
        <w:t>which</w:t>
      </w:r>
      <w:r>
        <w:rPr>
          <w:color w:val="231F20"/>
          <w:spacing w:val="-8"/>
        </w:rPr>
        <w:t xml:space="preserve"> </w:t>
      </w:r>
      <w:r>
        <w:rPr>
          <w:color w:val="231F20"/>
        </w:rPr>
        <w:t>winter</w:t>
      </w:r>
      <w:r>
        <w:rPr>
          <w:color w:val="231F20"/>
          <w:spacing w:val="-8"/>
        </w:rPr>
        <w:t xml:space="preserve"> </w:t>
      </w:r>
      <w:r>
        <w:rPr>
          <w:color w:val="231F20"/>
        </w:rPr>
        <w:t>sports</w:t>
      </w:r>
      <w:r>
        <w:rPr>
          <w:color w:val="231F20"/>
          <w:spacing w:val="-8"/>
        </w:rPr>
        <w:t xml:space="preserve"> </w:t>
      </w:r>
      <w:r>
        <w:rPr>
          <w:color w:val="231F20"/>
        </w:rPr>
        <w:t>destinations</w:t>
      </w:r>
      <w:r>
        <w:rPr>
          <w:color w:val="231F20"/>
          <w:spacing w:val="-8"/>
        </w:rPr>
        <w:t xml:space="preserve"> </w:t>
      </w:r>
      <w:r>
        <w:rPr>
          <w:color w:val="231F20"/>
        </w:rPr>
        <w:t>are</w:t>
      </w:r>
      <w:r>
        <w:rPr>
          <w:color w:val="231F20"/>
          <w:spacing w:val="-8"/>
        </w:rPr>
        <w:t xml:space="preserve"> </w:t>
      </w:r>
      <w:r>
        <w:rPr>
          <w:color w:val="231F20"/>
        </w:rPr>
        <w:t>so</w:t>
      </w:r>
      <w:r>
        <w:rPr>
          <w:color w:val="231F20"/>
          <w:spacing w:val="-8"/>
        </w:rPr>
        <w:t xml:space="preserve"> </w:t>
      </w:r>
      <w:r>
        <w:rPr>
          <w:color w:val="231F20"/>
        </w:rPr>
        <w:t>dependent.</w:t>
      </w:r>
    </w:p>
    <w:p w14:paraId="1E30C224" w14:textId="77777777" w:rsidR="00AE0598" w:rsidRDefault="00AE0598">
      <w:pPr>
        <w:pStyle w:val="Corpodetexto"/>
        <w:spacing w:before="4"/>
        <w:rPr>
          <w:sz w:val="22"/>
        </w:rPr>
      </w:pPr>
    </w:p>
    <w:p w14:paraId="4F94ABF4" w14:textId="77777777" w:rsidR="00AE0598" w:rsidRDefault="0069255A">
      <w:pPr>
        <w:ind w:left="223"/>
        <w:rPr>
          <w:rFonts w:ascii="Trebuchet MS"/>
          <w:sz w:val="20"/>
        </w:rPr>
      </w:pPr>
      <w:r>
        <w:rPr>
          <w:rFonts w:ascii="Trebuchet MS"/>
          <w:color w:val="231F20"/>
          <w:w w:val="105"/>
          <w:sz w:val="20"/>
        </w:rPr>
        <w:t>Key</w:t>
      </w:r>
      <w:r>
        <w:rPr>
          <w:rFonts w:ascii="Trebuchet MS"/>
          <w:color w:val="231F20"/>
          <w:spacing w:val="-11"/>
          <w:w w:val="105"/>
          <w:sz w:val="20"/>
        </w:rPr>
        <w:t xml:space="preserve"> </w:t>
      </w:r>
      <w:r>
        <w:rPr>
          <w:rFonts w:ascii="Trebuchet MS"/>
          <w:color w:val="231F20"/>
          <w:spacing w:val="-2"/>
          <w:w w:val="105"/>
          <w:sz w:val="20"/>
        </w:rPr>
        <w:t>Reading</w:t>
      </w:r>
    </w:p>
    <w:p w14:paraId="1595976B" w14:textId="77777777" w:rsidR="00AE0598" w:rsidRDefault="0069255A">
      <w:pPr>
        <w:pStyle w:val="Corpodetexto"/>
        <w:spacing w:before="122" w:line="232" w:lineRule="auto"/>
        <w:ind w:left="223" w:right="241"/>
        <w:jc w:val="both"/>
      </w:pPr>
      <w:r>
        <w:rPr>
          <w:color w:val="231F20"/>
          <w:w w:val="95"/>
        </w:rPr>
        <w:t>Cocolas, N., Walters, G. and Ruhanen, L. (2016) Behavioural adaptation</w:t>
      </w:r>
      <w:r>
        <w:rPr>
          <w:color w:val="231F20"/>
          <w:spacing w:val="80"/>
        </w:rPr>
        <w:t xml:space="preserve"> </w:t>
      </w:r>
      <w:r>
        <w:rPr>
          <w:color w:val="231F20"/>
        </w:rPr>
        <w:t xml:space="preserve">to climate change among winter alpine tourists: An analysis of tourist </w:t>
      </w:r>
      <w:r>
        <w:rPr>
          <w:color w:val="231F20"/>
          <w:w w:val="95"/>
        </w:rPr>
        <w:t>motivations and leisure substitutability</w:t>
      </w:r>
      <w:r>
        <w:rPr>
          <w:i/>
          <w:color w:val="231F20"/>
          <w:w w:val="95"/>
        </w:rPr>
        <w:t>. Journal of Sustainable Tourism</w:t>
      </w:r>
      <w:r>
        <w:rPr>
          <w:i/>
          <w:color w:val="231F20"/>
          <w:spacing w:val="40"/>
        </w:rPr>
        <w:t xml:space="preserve"> </w:t>
      </w:r>
      <w:r>
        <w:rPr>
          <w:color w:val="231F20"/>
        </w:rPr>
        <w:t>24 (6), 846–865.</w:t>
      </w:r>
    </w:p>
    <w:p w14:paraId="26DEAD4D" w14:textId="77777777" w:rsidR="00AE0598" w:rsidRDefault="0069255A">
      <w:pPr>
        <w:pStyle w:val="Corpodetexto"/>
        <w:spacing w:before="125" w:line="232" w:lineRule="auto"/>
        <w:ind w:left="223" w:right="242"/>
        <w:jc w:val="both"/>
      </w:pPr>
      <w:r>
        <w:rPr>
          <w:color w:val="231F20"/>
          <w:w w:val="105"/>
        </w:rPr>
        <w:t xml:space="preserve">Hopkins, D., Higham, J. </w:t>
      </w:r>
      <w:r>
        <w:rPr>
          <w:color w:val="231F20"/>
          <w:w w:val="105"/>
        </w:rPr>
        <w:t xml:space="preserve">and Becken, S. (2013) Climate change in a </w:t>
      </w:r>
      <w:r>
        <w:rPr>
          <w:color w:val="231F20"/>
          <w:w w:val="95"/>
        </w:rPr>
        <w:t xml:space="preserve">regional context: Relative vulnerability in the Australasian skier market. </w:t>
      </w:r>
      <w:r>
        <w:rPr>
          <w:i/>
          <w:color w:val="231F20"/>
        </w:rPr>
        <w:t xml:space="preserve">Regional Environmental Change </w:t>
      </w:r>
      <w:r>
        <w:rPr>
          <w:color w:val="231F20"/>
        </w:rPr>
        <w:t>13 (2), 449–458.</w:t>
      </w:r>
    </w:p>
    <w:p w14:paraId="47AB3D1C" w14:textId="77777777" w:rsidR="00AE0598" w:rsidRDefault="0069255A">
      <w:pPr>
        <w:spacing w:before="4" w:line="232" w:lineRule="auto"/>
        <w:ind w:left="223" w:right="241" w:firstLine="320"/>
        <w:jc w:val="both"/>
        <w:rPr>
          <w:i/>
          <w:sz w:val="21"/>
        </w:rPr>
      </w:pPr>
      <w:r>
        <w:rPr>
          <w:i/>
          <w:color w:val="231F20"/>
          <w:sz w:val="21"/>
        </w:rPr>
        <w:t>Additional references cited in this case study are included in the reference list.</w:t>
      </w:r>
    </w:p>
    <w:p w14:paraId="0F5448B8" w14:textId="77777777" w:rsidR="00AE0598" w:rsidRDefault="00AE0598">
      <w:pPr>
        <w:pStyle w:val="Corpodetexto"/>
        <w:spacing w:before="9"/>
        <w:rPr>
          <w:i/>
          <w:sz w:val="33"/>
        </w:rPr>
      </w:pPr>
    </w:p>
    <w:p w14:paraId="2F7683C0" w14:textId="77777777" w:rsidR="00AE0598" w:rsidRDefault="0069255A">
      <w:pPr>
        <w:ind w:left="110"/>
        <w:rPr>
          <w:rFonts w:ascii="Trebuchet MS"/>
          <w:b/>
          <w:sz w:val="20"/>
        </w:rPr>
      </w:pPr>
      <w:r>
        <w:rPr>
          <w:rFonts w:ascii="Trebuchet MS"/>
          <w:b/>
          <w:color w:val="231F20"/>
          <w:sz w:val="20"/>
        </w:rPr>
        <w:t>Sport</w:t>
      </w:r>
      <w:r>
        <w:rPr>
          <w:rFonts w:ascii="Trebuchet MS"/>
          <w:b/>
          <w:color w:val="231F20"/>
          <w:spacing w:val="-5"/>
          <w:sz w:val="20"/>
        </w:rPr>
        <w:t xml:space="preserve"> </w:t>
      </w:r>
      <w:r>
        <w:rPr>
          <w:rFonts w:ascii="Trebuchet MS"/>
          <w:b/>
          <w:color w:val="231F20"/>
          <w:sz w:val="20"/>
        </w:rPr>
        <w:t>Tourism</w:t>
      </w:r>
      <w:r>
        <w:rPr>
          <w:rFonts w:ascii="Trebuchet MS"/>
          <w:b/>
          <w:color w:val="231F20"/>
          <w:spacing w:val="-5"/>
          <w:sz w:val="20"/>
        </w:rPr>
        <w:t xml:space="preserve"> </w:t>
      </w:r>
      <w:r>
        <w:rPr>
          <w:rFonts w:ascii="Trebuchet MS"/>
          <w:b/>
          <w:color w:val="231F20"/>
          <w:sz w:val="20"/>
        </w:rPr>
        <w:t>in</w:t>
      </w:r>
      <w:r>
        <w:rPr>
          <w:rFonts w:ascii="Trebuchet MS"/>
          <w:b/>
          <w:color w:val="231F20"/>
          <w:spacing w:val="-5"/>
          <w:sz w:val="20"/>
        </w:rPr>
        <w:t xml:space="preserve"> </w:t>
      </w:r>
      <w:r>
        <w:rPr>
          <w:rFonts w:ascii="Trebuchet MS"/>
          <w:b/>
          <w:color w:val="231F20"/>
          <w:sz w:val="20"/>
        </w:rPr>
        <w:t>the</w:t>
      </w:r>
      <w:r>
        <w:rPr>
          <w:rFonts w:ascii="Trebuchet MS"/>
          <w:b/>
          <w:color w:val="231F20"/>
          <w:spacing w:val="-4"/>
          <w:sz w:val="20"/>
        </w:rPr>
        <w:t xml:space="preserve"> </w:t>
      </w:r>
      <w:r>
        <w:rPr>
          <w:rFonts w:ascii="Trebuchet MS"/>
          <w:b/>
          <w:color w:val="231F20"/>
          <w:sz w:val="20"/>
        </w:rPr>
        <w:t>Built</w:t>
      </w:r>
      <w:r>
        <w:rPr>
          <w:rFonts w:ascii="Trebuchet MS"/>
          <w:b/>
          <w:color w:val="231F20"/>
          <w:spacing w:val="-5"/>
          <w:sz w:val="20"/>
        </w:rPr>
        <w:t xml:space="preserve"> </w:t>
      </w:r>
      <w:r>
        <w:rPr>
          <w:rFonts w:ascii="Trebuchet MS"/>
          <w:b/>
          <w:color w:val="231F20"/>
          <w:spacing w:val="-2"/>
          <w:sz w:val="20"/>
        </w:rPr>
        <w:t>Environment</w:t>
      </w:r>
    </w:p>
    <w:p w14:paraId="70A92C79" w14:textId="77777777" w:rsidR="00AE0598" w:rsidRDefault="0069255A">
      <w:pPr>
        <w:pStyle w:val="Corpodetexto"/>
        <w:spacing w:before="122" w:line="232" w:lineRule="auto"/>
        <w:ind w:left="110" w:right="126" w:firstLine="320"/>
        <w:jc w:val="both"/>
      </w:pPr>
      <w:r>
        <w:rPr>
          <w:color w:val="231F20"/>
        </w:rPr>
        <w:t>Much of the existing literature on the environmental impacts of</w:t>
      </w:r>
      <w:r>
        <w:rPr>
          <w:color w:val="231F20"/>
          <w:spacing w:val="40"/>
        </w:rPr>
        <w:t xml:space="preserve"> </w:t>
      </w:r>
      <w:r>
        <w:rPr>
          <w:color w:val="231F20"/>
        </w:rPr>
        <w:t xml:space="preserve">sport tourism has focused on natural areas (Standeven &amp; De Knop, 1999). However, sport tourism development in urban areas presents </w:t>
      </w:r>
      <w:r>
        <w:rPr>
          <w:color w:val="231F20"/>
          <w:w w:val="95"/>
        </w:rPr>
        <w:t>unique environment, resource</w:t>
      </w:r>
      <w:r>
        <w:rPr>
          <w:color w:val="231F20"/>
          <w:w w:val="95"/>
        </w:rPr>
        <w:t xml:space="preserve"> and impact issues, which require informed </w:t>
      </w:r>
      <w:r>
        <w:rPr>
          <w:color w:val="231F20"/>
        </w:rPr>
        <w:t>consideration. Sport tourism in the urban context may include:</w:t>
      </w:r>
    </w:p>
    <w:p w14:paraId="251C01FD" w14:textId="77777777" w:rsidR="00AE0598" w:rsidRDefault="0069255A">
      <w:pPr>
        <w:pStyle w:val="PargrafodaLista"/>
        <w:numPr>
          <w:ilvl w:val="0"/>
          <w:numId w:val="9"/>
        </w:numPr>
        <w:tabs>
          <w:tab w:val="left" w:pos="490"/>
        </w:tabs>
        <w:spacing w:before="206" w:line="232" w:lineRule="auto"/>
        <w:ind w:right="128"/>
        <w:jc w:val="both"/>
        <w:rPr>
          <w:rFonts w:ascii="Cambria"/>
          <w:sz w:val="21"/>
        </w:rPr>
      </w:pPr>
      <w:r>
        <w:rPr>
          <w:rFonts w:ascii="Cambria"/>
          <w:color w:val="231F20"/>
          <w:w w:val="95"/>
          <w:sz w:val="21"/>
        </w:rPr>
        <w:t xml:space="preserve">Active sport and physical exercise in the built sports landscape (leisure </w:t>
      </w:r>
      <w:r>
        <w:rPr>
          <w:rFonts w:ascii="Cambria"/>
          <w:color w:val="231F20"/>
          <w:sz w:val="21"/>
        </w:rPr>
        <w:t xml:space="preserve">centres; hotel gymnasiums; squash, badminton and tennis courts; </w:t>
      </w:r>
      <w:r>
        <w:rPr>
          <w:rFonts w:ascii="Cambria"/>
          <w:color w:val="231F20"/>
          <w:w w:val="95"/>
          <w:sz w:val="21"/>
        </w:rPr>
        <w:t>swimming poo</w:t>
      </w:r>
      <w:r>
        <w:rPr>
          <w:rFonts w:ascii="Cambria"/>
          <w:color w:val="231F20"/>
          <w:w w:val="95"/>
          <w:sz w:val="21"/>
        </w:rPr>
        <w:t xml:space="preserve">ls), recreational running in urban parks and developed </w:t>
      </w:r>
      <w:r>
        <w:rPr>
          <w:rFonts w:ascii="Cambria"/>
          <w:color w:val="231F20"/>
          <w:sz w:val="21"/>
        </w:rPr>
        <w:t>littoral zones.</w:t>
      </w:r>
    </w:p>
    <w:p w14:paraId="3E850D45" w14:textId="77777777" w:rsidR="00AE0598" w:rsidRDefault="0069255A">
      <w:pPr>
        <w:pStyle w:val="PargrafodaLista"/>
        <w:numPr>
          <w:ilvl w:val="0"/>
          <w:numId w:val="9"/>
        </w:numPr>
        <w:tabs>
          <w:tab w:val="left" w:pos="490"/>
        </w:tabs>
        <w:spacing w:before="5" w:line="232" w:lineRule="auto"/>
        <w:ind w:right="127" w:hanging="381"/>
        <w:jc w:val="both"/>
        <w:rPr>
          <w:rFonts w:ascii="Cambria"/>
          <w:sz w:val="21"/>
        </w:rPr>
      </w:pPr>
      <w:r>
        <w:rPr>
          <w:rFonts w:ascii="Cambria"/>
          <w:color w:val="231F20"/>
          <w:sz w:val="21"/>
        </w:rPr>
        <w:t>Recreational or club sport in dedicated sports fields or improvised settings (e.g. skateboarding and street basketball).</w:t>
      </w:r>
    </w:p>
    <w:p w14:paraId="115AD90D" w14:textId="77777777" w:rsidR="00AE0598" w:rsidRDefault="00AE0598">
      <w:pPr>
        <w:spacing w:line="232" w:lineRule="auto"/>
        <w:jc w:val="both"/>
        <w:rPr>
          <w:sz w:val="21"/>
        </w:rPr>
        <w:sectPr w:rsidR="00AE0598">
          <w:pgSz w:w="8850" w:h="13270"/>
          <w:pgMar w:top="720" w:right="1060" w:bottom="280" w:left="1080" w:header="720" w:footer="720" w:gutter="0"/>
          <w:cols w:space="720"/>
        </w:sectPr>
      </w:pPr>
    </w:p>
    <w:p w14:paraId="6545780D" w14:textId="77777777" w:rsidR="00AE0598" w:rsidRDefault="0069255A">
      <w:pPr>
        <w:spacing w:before="87"/>
        <w:ind w:left="3064"/>
        <w:rPr>
          <w:rFonts w:ascii="Trebuchet MS"/>
          <w:sz w:val="14"/>
        </w:rPr>
      </w:pPr>
      <w:r>
        <w:rPr>
          <w:rFonts w:ascii="Trebuchet MS"/>
          <w:color w:val="231F20"/>
          <w:w w:val="105"/>
          <w:sz w:val="14"/>
        </w:rPr>
        <w:lastRenderedPageBreak/>
        <w:t>Environment:</w:t>
      </w:r>
      <w:r>
        <w:rPr>
          <w:rFonts w:ascii="Trebuchet MS"/>
          <w:color w:val="231F20"/>
          <w:spacing w:val="-12"/>
          <w:w w:val="105"/>
          <w:sz w:val="14"/>
        </w:rPr>
        <w:t xml:space="preserve"> </w:t>
      </w:r>
      <w:r>
        <w:rPr>
          <w:rFonts w:ascii="Trebuchet MS"/>
          <w:color w:val="231F20"/>
          <w:w w:val="105"/>
          <w:sz w:val="14"/>
        </w:rPr>
        <w:t>Landscape,</w:t>
      </w:r>
      <w:r>
        <w:rPr>
          <w:rFonts w:ascii="Trebuchet MS"/>
          <w:color w:val="231F20"/>
          <w:spacing w:val="-11"/>
          <w:w w:val="105"/>
          <w:sz w:val="14"/>
        </w:rPr>
        <w:t xml:space="preserve"> </w:t>
      </w:r>
      <w:r>
        <w:rPr>
          <w:rFonts w:ascii="Trebuchet MS"/>
          <w:color w:val="231F20"/>
          <w:w w:val="105"/>
          <w:sz w:val="14"/>
        </w:rPr>
        <w:t>Resources</w:t>
      </w:r>
      <w:r>
        <w:rPr>
          <w:rFonts w:ascii="Trebuchet MS"/>
          <w:color w:val="231F20"/>
          <w:spacing w:val="-11"/>
          <w:w w:val="105"/>
          <w:sz w:val="14"/>
        </w:rPr>
        <w:t xml:space="preserve"> </w:t>
      </w:r>
      <w:r>
        <w:rPr>
          <w:rFonts w:ascii="Trebuchet MS"/>
          <w:color w:val="231F20"/>
          <w:w w:val="105"/>
          <w:sz w:val="14"/>
        </w:rPr>
        <w:t>and</w:t>
      </w:r>
      <w:r>
        <w:rPr>
          <w:rFonts w:ascii="Trebuchet MS"/>
          <w:color w:val="231F20"/>
          <w:spacing w:val="-11"/>
          <w:w w:val="105"/>
          <w:sz w:val="14"/>
        </w:rPr>
        <w:t xml:space="preserve"> </w:t>
      </w:r>
      <w:r>
        <w:rPr>
          <w:rFonts w:ascii="Trebuchet MS"/>
          <w:color w:val="231F20"/>
          <w:w w:val="105"/>
          <w:sz w:val="14"/>
        </w:rPr>
        <w:t>Impacts</w:t>
      </w:r>
      <w:r>
        <w:rPr>
          <w:rFonts w:ascii="Trebuchet MS"/>
          <w:color w:val="231F20"/>
          <w:spacing w:val="49"/>
          <w:w w:val="105"/>
          <w:sz w:val="14"/>
        </w:rPr>
        <w:t xml:space="preserve"> </w:t>
      </w:r>
      <w:r>
        <w:rPr>
          <w:rFonts w:ascii="Trebuchet MS"/>
          <w:color w:val="231F20"/>
          <w:spacing w:val="-5"/>
          <w:w w:val="105"/>
          <w:sz w:val="14"/>
        </w:rPr>
        <w:t>145</w:t>
      </w:r>
    </w:p>
    <w:p w14:paraId="351B6AA2" w14:textId="77777777" w:rsidR="00AE0598" w:rsidRDefault="00AE0598">
      <w:pPr>
        <w:pStyle w:val="Corpodetexto"/>
        <w:rPr>
          <w:rFonts w:ascii="Trebuchet MS"/>
          <w:sz w:val="16"/>
        </w:rPr>
      </w:pPr>
    </w:p>
    <w:p w14:paraId="77D68F82" w14:textId="77777777" w:rsidR="00AE0598" w:rsidRDefault="0069255A">
      <w:pPr>
        <w:pStyle w:val="PargrafodaLista"/>
        <w:numPr>
          <w:ilvl w:val="0"/>
          <w:numId w:val="9"/>
        </w:numPr>
        <w:tabs>
          <w:tab w:val="left" w:pos="491"/>
        </w:tabs>
        <w:spacing w:before="118" w:line="232" w:lineRule="auto"/>
        <w:ind w:right="127"/>
        <w:jc w:val="both"/>
        <w:rPr>
          <w:rFonts w:ascii="Cambria"/>
          <w:sz w:val="21"/>
        </w:rPr>
      </w:pPr>
      <w:r>
        <w:rPr>
          <w:rFonts w:ascii="Cambria"/>
          <w:color w:val="231F20"/>
          <w:w w:val="90"/>
          <w:sz w:val="21"/>
        </w:rPr>
        <w:t xml:space="preserve">Recreational or competitive sports that take place in a largely unmodified </w:t>
      </w:r>
      <w:r>
        <w:rPr>
          <w:rFonts w:ascii="Cambria"/>
          <w:color w:val="231F20"/>
          <w:sz w:val="21"/>
        </w:rPr>
        <w:t>(e.g.</w:t>
      </w:r>
      <w:r>
        <w:rPr>
          <w:rFonts w:ascii="Cambria"/>
          <w:color w:val="231F20"/>
          <w:spacing w:val="-4"/>
          <w:sz w:val="21"/>
        </w:rPr>
        <w:t xml:space="preserve"> </w:t>
      </w:r>
      <w:r>
        <w:rPr>
          <w:rFonts w:ascii="Cambria"/>
          <w:color w:val="231F20"/>
          <w:sz w:val="21"/>
        </w:rPr>
        <w:t>kayaking,</w:t>
      </w:r>
      <w:r>
        <w:rPr>
          <w:rFonts w:ascii="Cambria"/>
          <w:color w:val="231F20"/>
          <w:spacing w:val="-4"/>
          <w:sz w:val="21"/>
        </w:rPr>
        <w:t xml:space="preserve"> </w:t>
      </w:r>
      <w:r>
        <w:rPr>
          <w:rFonts w:ascii="Cambria"/>
          <w:color w:val="231F20"/>
          <w:sz w:val="21"/>
        </w:rPr>
        <w:t>surfing)</w:t>
      </w:r>
      <w:r>
        <w:rPr>
          <w:rFonts w:ascii="Cambria"/>
          <w:color w:val="231F20"/>
          <w:spacing w:val="-4"/>
          <w:sz w:val="21"/>
        </w:rPr>
        <w:t xml:space="preserve"> </w:t>
      </w:r>
      <w:r>
        <w:rPr>
          <w:rFonts w:ascii="Cambria"/>
          <w:color w:val="231F20"/>
          <w:sz w:val="21"/>
        </w:rPr>
        <w:t>or</w:t>
      </w:r>
      <w:r>
        <w:rPr>
          <w:rFonts w:ascii="Cambria"/>
          <w:color w:val="231F20"/>
          <w:spacing w:val="-4"/>
          <w:sz w:val="21"/>
        </w:rPr>
        <w:t xml:space="preserve"> </w:t>
      </w:r>
      <w:r>
        <w:rPr>
          <w:rFonts w:ascii="Cambria"/>
          <w:color w:val="231F20"/>
          <w:sz w:val="21"/>
        </w:rPr>
        <w:t>reproduced</w:t>
      </w:r>
      <w:r>
        <w:rPr>
          <w:rFonts w:ascii="Cambria"/>
          <w:color w:val="231F20"/>
          <w:spacing w:val="-4"/>
          <w:sz w:val="21"/>
        </w:rPr>
        <w:t xml:space="preserve"> </w:t>
      </w:r>
      <w:r>
        <w:rPr>
          <w:rFonts w:ascii="Cambria"/>
          <w:color w:val="231F20"/>
          <w:sz w:val="21"/>
        </w:rPr>
        <w:t>nature</w:t>
      </w:r>
      <w:r>
        <w:rPr>
          <w:rFonts w:ascii="Cambria"/>
          <w:color w:val="231F20"/>
          <w:spacing w:val="-4"/>
          <w:sz w:val="21"/>
        </w:rPr>
        <w:t xml:space="preserve"> </w:t>
      </w:r>
      <w:r>
        <w:rPr>
          <w:rFonts w:ascii="Cambria"/>
          <w:color w:val="231F20"/>
          <w:sz w:val="21"/>
        </w:rPr>
        <w:t>(e.g.</w:t>
      </w:r>
      <w:r>
        <w:rPr>
          <w:rFonts w:ascii="Cambria"/>
          <w:color w:val="231F20"/>
          <w:spacing w:val="-4"/>
          <w:sz w:val="21"/>
        </w:rPr>
        <w:t xml:space="preserve"> </w:t>
      </w:r>
      <w:r>
        <w:rPr>
          <w:rFonts w:ascii="Cambria"/>
          <w:color w:val="231F20"/>
          <w:sz w:val="21"/>
        </w:rPr>
        <w:t>orienteering</w:t>
      </w:r>
      <w:r>
        <w:rPr>
          <w:rFonts w:ascii="Cambria"/>
          <w:color w:val="231F20"/>
          <w:spacing w:val="-4"/>
          <w:sz w:val="21"/>
        </w:rPr>
        <w:t xml:space="preserve"> </w:t>
      </w:r>
      <w:r>
        <w:rPr>
          <w:rFonts w:ascii="Cambria"/>
          <w:color w:val="231F20"/>
          <w:sz w:val="21"/>
        </w:rPr>
        <w:t>in</w:t>
      </w:r>
      <w:r>
        <w:rPr>
          <w:rFonts w:ascii="Cambria"/>
          <w:color w:val="231F20"/>
          <w:spacing w:val="-4"/>
          <w:sz w:val="21"/>
        </w:rPr>
        <w:t xml:space="preserve"> </w:t>
      </w:r>
      <w:r>
        <w:rPr>
          <w:rFonts w:ascii="Cambria"/>
          <w:color w:val="231F20"/>
          <w:sz w:val="21"/>
        </w:rPr>
        <w:t>an urban</w:t>
      </w:r>
      <w:r>
        <w:rPr>
          <w:rFonts w:ascii="Cambria"/>
          <w:color w:val="231F20"/>
          <w:spacing w:val="-5"/>
          <w:sz w:val="21"/>
        </w:rPr>
        <w:t xml:space="preserve"> </w:t>
      </w:r>
      <w:r>
        <w:rPr>
          <w:rFonts w:ascii="Cambria"/>
          <w:color w:val="231F20"/>
          <w:sz w:val="21"/>
        </w:rPr>
        <w:t>conservation</w:t>
      </w:r>
      <w:r>
        <w:rPr>
          <w:rFonts w:ascii="Cambria"/>
          <w:color w:val="231F20"/>
          <w:spacing w:val="-5"/>
          <w:sz w:val="21"/>
        </w:rPr>
        <w:t xml:space="preserve"> </w:t>
      </w:r>
      <w:r>
        <w:rPr>
          <w:rFonts w:ascii="Cambria"/>
          <w:color w:val="231F20"/>
          <w:sz w:val="21"/>
        </w:rPr>
        <w:t>reserve).</w:t>
      </w:r>
    </w:p>
    <w:p w14:paraId="7D4C5314" w14:textId="77777777" w:rsidR="00AE0598" w:rsidRDefault="0069255A">
      <w:pPr>
        <w:pStyle w:val="PargrafodaLista"/>
        <w:numPr>
          <w:ilvl w:val="0"/>
          <w:numId w:val="9"/>
        </w:numPr>
        <w:tabs>
          <w:tab w:val="left" w:pos="491"/>
        </w:tabs>
        <w:spacing w:line="244" w:lineRule="exact"/>
        <w:ind w:hanging="381"/>
        <w:jc w:val="both"/>
        <w:rPr>
          <w:rFonts w:ascii="Cambria"/>
          <w:sz w:val="21"/>
        </w:rPr>
      </w:pPr>
      <w:r>
        <w:rPr>
          <w:rFonts w:ascii="Cambria"/>
          <w:color w:val="231F20"/>
          <w:w w:val="95"/>
          <w:sz w:val="21"/>
        </w:rPr>
        <w:t>Event</w:t>
      </w:r>
      <w:r>
        <w:rPr>
          <w:rFonts w:ascii="Cambria"/>
          <w:color w:val="231F20"/>
          <w:sz w:val="21"/>
        </w:rPr>
        <w:t xml:space="preserve"> </w:t>
      </w:r>
      <w:r>
        <w:rPr>
          <w:rFonts w:ascii="Cambria"/>
          <w:color w:val="231F20"/>
          <w:w w:val="95"/>
          <w:sz w:val="21"/>
        </w:rPr>
        <w:t>sport</w:t>
      </w:r>
      <w:r>
        <w:rPr>
          <w:rFonts w:ascii="Cambria"/>
          <w:color w:val="231F20"/>
          <w:sz w:val="21"/>
        </w:rPr>
        <w:t xml:space="preserve"> </w:t>
      </w:r>
      <w:r>
        <w:rPr>
          <w:rFonts w:ascii="Cambria"/>
          <w:color w:val="231F20"/>
          <w:spacing w:val="-2"/>
          <w:w w:val="95"/>
          <w:sz w:val="21"/>
        </w:rPr>
        <w:t>tourism.</w:t>
      </w:r>
    </w:p>
    <w:p w14:paraId="741C12FC" w14:textId="77777777" w:rsidR="00AE0598" w:rsidRDefault="00AE0598">
      <w:pPr>
        <w:pStyle w:val="Corpodetexto"/>
        <w:spacing w:before="5"/>
        <w:rPr>
          <w:sz w:val="20"/>
        </w:rPr>
      </w:pPr>
    </w:p>
    <w:p w14:paraId="74113CF6" w14:textId="77777777" w:rsidR="00AE0598" w:rsidRDefault="0069255A">
      <w:pPr>
        <w:pStyle w:val="Corpodetexto"/>
        <w:spacing w:line="232" w:lineRule="auto"/>
        <w:ind w:left="110" w:right="126" w:firstLine="320"/>
        <w:jc w:val="both"/>
      </w:pPr>
      <w:r>
        <w:rPr>
          <w:color w:val="231F20"/>
        </w:rPr>
        <w:t xml:space="preserve">Active, recreational and competitive sports in the urban context </w:t>
      </w:r>
      <w:r>
        <w:rPr>
          <w:color w:val="231F20"/>
          <w:w w:val="95"/>
        </w:rPr>
        <w:t xml:space="preserve">generate relatively benign impacts although they may require management </w:t>
      </w:r>
      <w:r>
        <w:rPr>
          <w:color w:val="231F20"/>
        </w:rPr>
        <w:t xml:space="preserve">of social impacts or conflict between participants and non-participants. </w:t>
      </w:r>
      <w:r>
        <w:rPr>
          <w:color w:val="231F20"/>
          <w:w w:val="95"/>
        </w:rPr>
        <w:t>Sport events, in the form of elite or non-elit</w:t>
      </w:r>
      <w:r>
        <w:rPr>
          <w:color w:val="231F20"/>
          <w:w w:val="95"/>
        </w:rPr>
        <w:t xml:space="preserve">e sports that require dedicated </w:t>
      </w:r>
      <w:r>
        <w:rPr>
          <w:color w:val="231F20"/>
        </w:rPr>
        <w:t xml:space="preserve">or temporary facilities, which take place in central locations offer considerable potential for both positive and negative impacts. These impacts are a function of the scale of the event and the infrastructure capacities of </w:t>
      </w:r>
      <w:r>
        <w:rPr>
          <w:color w:val="231F20"/>
        </w:rPr>
        <w:t>the destination.</w:t>
      </w:r>
    </w:p>
    <w:p w14:paraId="545CAD77" w14:textId="77777777" w:rsidR="00AE0598" w:rsidRDefault="00AE0598">
      <w:pPr>
        <w:pStyle w:val="Corpodetexto"/>
        <w:spacing w:before="4"/>
        <w:rPr>
          <w:sz w:val="30"/>
        </w:rPr>
      </w:pPr>
    </w:p>
    <w:p w14:paraId="02779111" w14:textId="77777777" w:rsidR="00AE0598" w:rsidRDefault="0069255A">
      <w:pPr>
        <w:ind w:left="110"/>
        <w:rPr>
          <w:rFonts w:ascii="Trebuchet MS"/>
          <w:sz w:val="20"/>
        </w:rPr>
      </w:pPr>
      <w:r>
        <w:rPr>
          <w:rFonts w:ascii="Trebuchet MS"/>
          <w:color w:val="231F20"/>
          <w:sz w:val="20"/>
        </w:rPr>
        <w:t>Issues</w:t>
      </w:r>
      <w:r>
        <w:rPr>
          <w:rFonts w:ascii="Trebuchet MS"/>
          <w:color w:val="231F20"/>
          <w:spacing w:val="6"/>
          <w:sz w:val="20"/>
        </w:rPr>
        <w:t xml:space="preserve"> </w:t>
      </w:r>
      <w:r>
        <w:rPr>
          <w:rFonts w:ascii="Trebuchet MS"/>
          <w:color w:val="231F20"/>
          <w:sz w:val="20"/>
        </w:rPr>
        <w:t>of</w:t>
      </w:r>
      <w:r>
        <w:rPr>
          <w:rFonts w:ascii="Trebuchet MS"/>
          <w:color w:val="231F20"/>
          <w:spacing w:val="7"/>
          <w:sz w:val="20"/>
        </w:rPr>
        <w:t xml:space="preserve"> </w:t>
      </w:r>
      <w:r>
        <w:rPr>
          <w:rFonts w:ascii="Trebuchet MS"/>
          <w:color w:val="231F20"/>
          <w:sz w:val="20"/>
        </w:rPr>
        <w:t>scale</w:t>
      </w:r>
      <w:r>
        <w:rPr>
          <w:rFonts w:ascii="Trebuchet MS"/>
          <w:color w:val="231F20"/>
          <w:spacing w:val="6"/>
          <w:sz w:val="20"/>
        </w:rPr>
        <w:t xml:space="preserve"> </w:t>
      </w:r>
      <w:r>
        <w:rPr>
          <w:rFonts w:ascii="Trebuchet MS"/>
          <w:color w:val="231F20"/>
          <w:sz w:val="20"/>
        </w:rPr>
        <w:t>in</w:t>
      </w:r>
      <w:r>
        <w:rPr>
          <w:rFonts w:ascii="Trebuchet MS"/>
          <w:color w:val="231F20"/>
          <w:spacing w:val="7"/>
          <w:sz w:val="20"/>
        </w:rPr>
        <w:t xml:space="preserve"> </w:t>
      </w:r>
      <w:r>
        <w:rPr>
          <w:rFonts w:ascii="Trebuchet MS"/>
          <w:color w:val="231F20"/>
          <w:sz w:val="20"/>
        </w:rPr>
        <w:t>event</w:t>
      </w:r>
      <w:r>
        <w:rPr>
          <w:rFonts w:ascii="Trebuchet MS"/>
          <w:color w:val="231F20"/>
          <w:spacing w:val="7"/>
          <w:sz w:val="20"/>
        </w:rPr>
        <w:t xml:space="preserve"> </w:t>
      </w:r>
      <w:r>
        <w:rPr>
          <w:rFonts w:ascii="Trebuchet MS"/>
          <w:color w:val="231F20"/>
          <w:sz w:val="20"/>
        </w:rPr>
        <w:t>sport</w:t>
      </w:r>
      <w:r>
        <w:rPr>
          <w:rFonts w:ascii="Trebuchet MS"/>
          <w:color w:val="231F20"/>
          <w:spacing w:val="6"/>
          <w:sz w:val="20"/>
        </w:rPr>
        <w:t xml:space="preserve"> </w:t>
      </w:r>
      <w:r>
        <w:rPr>
          <w:rFonts w:ascii="Trebuchet MS"/>
          <w:color w:val="231F20"/>
          <w:spacing w:val="-2"/>
          <w:sz w:val="20"/>
        </w:rPr>
        <w:t>tourism</w:t>
      </w:r>
    </w:p>
    <w:p w14:paraId="4004DCB1" w14:textId="77777777" w:rsidR="00AE0598" w:rsidRDefault="0069255A">
      <w:pPr>
        <w:pStyle w:val="Corpodetexto"/>
        <w:spacing w:before="122" w:line="232" w:lineRule="auto"/>
        <w:ind w:left="110" w:right="127" w:firstLine="320"/>
        <w:jc w:val="both"/>
      </w:pPr>
      <w:r>
        <w:rPr>
          <w:color w:val="231F20"/>
        </w:rPr>
        <w:t xml:space="preserve">Scale, be it global, regional or local, is critical to the study of sport </w:t>
      </w:r>
      <w:r>
        <w:rPr>
          <w:color w:val="231F20"/>
          <w:w w:val="95"/>
        </w:rPr>
        <w:t xml:space="preserve">tourism in central locations. ‘The idea of scale, or geographical magnitude, </w:t>
      </w:r>
      <w:r>
        <w:rPr>
          <w:color w:val="231F20"/>
        </w:rPr>
        <w:t>keeps</w:t>
      </w:r>
      <w:r>
        <w:rPr>
          <w:color w:val="231F20"/>
          <w:spacing w:val="-6"/>
        </w:rPr>
        <w:t xml:space="preserve"> </w:t>
      </w:r>
      <w:r>
        <w:rPr>
          <w:color w:val="231F20"/>
        </w:rPr>
        <w:t>in</w:t>
      </w:r>
      <w:r>
        <w:rPr>
          <w:color w:val="231F20"/>
          <w:spacing w:val="-5"/>
        </w:rPr>
        <w:t xml:space="preserve"> </w:t>
      </w:r>
      <w:r>
        <w:rPr>
          <w:color w:val="231F20"/>
        </w:rPr>
        <w:t>focus</w:t>
      </w:r>
      <w:r>
        <w:rPr>
          <w:color w:val="231F20"/>
          <w:spacing w:val="-6"/>
        </w:rPr>
        <w:t xml:space="preserve"> </w:t>
      </w:r>
      <w:r>
        <w:rPr>
          <w:color w:val="231F20"/>
        </w:rPr>
        <w:t>the</w:t>
      </w:r>
      <w:r>
        <w:rPr>
          <w:color w:val="231F20"/>
          <w:spacing w:val="-6"/>
        </w:rPr>
        <w:t xml:space="preserve"> </w:t>
      </w:r>
      <w:r>
        <w:rPr>
          <w:color w:val="231F20"/>
        </w:rPr>
        <w:t>area</w:t>
      </w:r>
      <w:r>
        <w:rPr>
          <w:color w:val="231F20"/>
          <w:spacing w:val="-5"/>
        </w:rPr>
        <w:t xml:space="preserve"> </w:t>
      </w:r>
      <w:r>
        <w:rPr>
          <w:color w:val="231F20"/>
        </w:rPr>
        <w:t>being</w:t>
      </w:r>
      <w:r>
        <w:rPr>
          <w:color w:val="231F20"/>
          <w:spacing w:val="-6"/>
        </w:rPr>
        <w:t xml:space="preserve"> </w:t>
      </w:r>
      <w:r>
        <w:rPr>
          <w:color w:val="231F20"/>
        </w:rPr>
        <w:t>dealt</w:t>
      </w:r>
      <w:r>
        <w:rPr>
          <w:color w:val="231F20"/>
          <w:spacing w:val="-6"/>
        </w:rPr>
        <w:t xml:space="preserve"> </w:t>
      </w:r>
      <w:r>
        <w:rPr>
          <w:color w:val="231F20"/>
        </w:rPr>
        <w:t>with,</w:t>
      </w:r>
      <w:r>
        <w:rPr>
          <w:color w:val="231F20"/>
          <w:spacing w:val="-6"/>
        </w:rPr>
        <w:t xml:space="preserve"> </w:t>
      </w:r>
      <w:r>
        <w:rPr>
          <w:color w:val="231F20"/>
        </w:rPr>
        <w:t>and</w:t>
      </w:r>
      <w:r>
        <w:rPr>
          <w:color w:val="231F20"/>
          <w:spacing w:val="-6"/>
        </w:rPr>
        <w:t xml:space="preserve"> </w:t>
      </w:r>
      <w:r>
        <w:rPr>
          <w:color w:val="231F20"/>
        </w:rPr>
        <w:t>can</w:t>
      </w:r>
      <w:r>
        <w:rPr>
          <w:color w:val="231F20"/>
          <w:spacing w:val="-6"/>
        </w:rPr>
        <w:t xml:space="preserve"> </w:t>
      </w:r>
      <w:r>
        <w:rPr>
          <w:color w:val="231F20"/>
        </w:rPr>
        <w:t>be</w:t>
      </w:r>
      <w:r>
        <w:rPr>
          <w:color w:val="231F20"/>
          <w:spacing w:val="-5"/>
        </w:rPr>
        <w:t xml:space="preserve"> </w:t>
      </w:r>
      <w:r>
        <w:rPr>
          <w:color w:val="231F20"/>
        </w:rPr>
        <w:t>likened</w:t>
      </w:r>
      <w:r>
        <w:rPr>
          <w:color w:val="231F20"/>
          <w:spacing w:val="-6"/>
        </w:rPr>
        <w:t xml:space="preserve"> </w:t>
      </w:r>
      <w:r>
        <w:rPr>
          <w:color w:val="231F20"/>
        </w:rPr>
        <w:t>to</w:t>
      </w:r>
      <w:r>
        <w:rPr>
          <w:color w:val="231F20"/>
          <w:spacing w:val="-5"/>
        </w:rPr>
        <w:t xml:space="preserve"> </w:t>
      </w:r>
      <w:r>
        <w:rPr>
          <w:color w:val="231F20"/>
        </w:rPr>
        <w:t>increasing or decreasing the magnification on a microscope or the scale of a map’ (Boniface</w:t>
      </w:r>
      <w:r>
        <w:rPr>
          <w:color w:val="231F20"/>
          <w:spacing w:val="-8"/>
        </w:rPr>
        <w:t xml:space="preserve"> </w:t>
      </w:r>
      <w:r>
        <w:rPr>
          <w:color w:val="231F20"/>
        </w:rPr>
        <w:t>&amp;</w:t>
      </w:r>
      <w:r>
        <w:rPr>
          <w:color w:val="231F20"/>
          <w:spacing w:val="-8"/>
        </w:rPr>
        <w:t xml:space="preserve"> </w:t>
      </w:r>
      <w:r>
        <w:rPr>
          <w:color w:val="231F20"/>
        </w:rPr>
        <w:t>Cooper,</w:t>
      </w:r>
      <w:r>
        <w:rPr>
          <w:color w:val="231F20"/>
          <w:spacing w:val="-8"/>
        </w:rPr>
        <w:t xml:space="preserve"> </w:t>
      </w:r>
      <w:r>
        <w:rPr>
          <w:color w:val="231F20"/>
        </w:rPr>
        <w:t>1994:</w:t>
      </w:r>
      <w:r>
        <w:rPr>
          <w:color w:val="231F20"/>
          <w:spacing w:val="-8"/>
        </w:rPr>
        <w:t xml:space="preserve"> </w:t>
      </w:r>
      <w:r>
        <w:rPr>
          <w:color w:val="231F20"/>
        </w:rPr>
        <w:t>3).</w:t>
      </w:r>
      <w:r>
        <w:rPr>
          <w:color w:val="231F20"/>
          <w:spacing w:val="-8"/>
        </w:rPr>
        <w:t xml:space="preserve"> </w:t>
      </w:r>
      <w:r>
        <w:rPr>
          <w:color w:val="231F20"/>
        </w:rPr>
        <w:t>The</w:t>
      </w:r>
      <w:r>
        <w:rPr>
          <w:color w:val="231F20"/>
          <w:spacing w:val="-8"/>
        </w:rPr>
        <w:t xml:space="preserve"> </w:t>
      </w:r>
      <w:r>
        <w:rPr>
          <w:color w:val="231F20"/>
        </w:rPr>
        <w:t>capacity</w:t>
      </w:r>
      <w:r>
        <w:rPr>
          <w:color w:val="231F20"/>
          <w:spacing w:val="-8"/>
        </w:rPr>
        <w:t xml:space="preserve"> </w:t>
      </w:r>
      <w:r>
        <w:rPr>
          <w:color w:val="231F20"/>
        </w:rPr>
        <w:t>for</w:t>
      </w:r>
      <w:r>
        <w:rPr>
          <w:color w:val="231F20"/>
          <w:spacing w:val="-8"/>
        </w:rPr>
        <w:t xml:space="preserve"> </w:t>
      </w:r>
      <w:r>
        <w:rPr>
          <w:color w:val="231F20"/>
        </w:rPr>
        <w:t>locations</w:t>
      </w:r>
      <w:r>
        <w:rPr>
          <w:color w:val="231F20"/>
          <w:spacing w:val="-8"/>
        </w:rPr>
        <w:t xml:space="preserve"> </w:t>
      </w:r>
      <w:r>
        <w:rPr>
          <w:color w:val="231F20"/>
        </w:rPr>
        <w:t>to</w:t>
      </w:r>
      <w:r>
        <w:rPr>
          <w:color w:val="231F20"/>
          <w:spacing w:val="-8"/>
        </w:rPr>
        <w:t xml:space="preserve"> </w:t>
      </w:r>
      <w:r>
        <w:rPr>
          <w:color w:val="231F20"/>
        </w:rPr>
        <w:t xml:space="preserve">accommodate </w:t>
      </w:r>
      <w:r>
        <w:rPr>
          <w:color w:val="231F20"/>
          <w:w w:val="95"/>
        </w:rPr>
        <w:t xml:space="preserve">flows of tourists is determined in large part by the scale of the destination, and its capacity to absorb tourists. The Tourist Function Index, for example, </w:t>
      </w:r>
      <w:r>
        <w:rPr>
          <w:color w:val="231F20"/>
        </w:rPr>
        <w:t>employs</w:t>
      </w:r>
      <w:r>
        <w:rPr>
          <w:color w:val="231F20"/>
          <w:spacing w:val="-11"/>
        </w:rPr>
        <w:t xml:space="preserve"> </w:t>
      </w:r>
      <w:r>
        <w:rPr>
          <w:color w:val="231F20"/>
        </w:rPr>
        <w:t>the</w:t>
      </w:r>
      <w:r>
        <w:rPr>
          <w:color w:val="231F20"/>
          <w:spacing w:val="-11"/>
        </w:rPr>
        <w:t xml:space="preserve"> </w:t>
      </w:r>
      <w:r>
        <w:rPr>
          <w:color w:val="231F20"/>
        </w:rPr>
        <w:t>number</w:t>
      </w:r>
      <w:r>
        <w:rPr>
          <w:color w:val="231F20"/>
          <w:spacing w:val="-11"/>
        </w:rPr>
        <w:t xml:space="preserve"> </w:t>
      </w:r>
      <w:r>
        <w:rPr>
          <w:color w:val="231F20"/>
        </w:rPr>
        <w:t>of</w:t>
      </w:r>
      <w:r>
        <w:rPr>
          <w:color w:val="231F20"/>
          <w:spacing w:val="-11"/>
        </w:rPr>
        <w:t xml:space="preserve"> </w:t>
      </w:r>
      <w:r>
        <w:rPr>
          <w:color w:val="231F20"/>
        </w:rPr>
        <w:t>tourist</w:t>
      </w:r>
      <w:r>
        <w:rPr>
          <w:color w:val="231F20"/>
          <w:spacing w:val="-11"/>
        </w:rPr>
        <w:t xml:space="preserve"> </w:t>
      </w:r>
      <w:r>
        <w:rPr>
          <w:color w:val="231F20"/>
        </w:rPr>
        <w:t>beds</w:t>
      </w:r>
      <w:r>
        <w:rPr>
          <w:color w:val="231F20"/>
          <w:spacing w:val="-11"/>
        </w:rPr>
        <w:t xml:space="preserve"> </w:t>
      </w:r>
      <w:r>
        <w:rPr>
          <w:color w:val="231F20"/>
        </w:rPr>
        <w:t>and</w:t>
      </w:r>
      <w:r>
        <w:rPr>
          <w:color w:val="231F20"/>
          <w:spacing w:val="-11"/>
        </w:rPr>
        <w:t xml:space="preserve"> </w:t>
      </w:r>
      <w:r>
        <w:rPr>
          <w:color w:val="231F20"/>
        </w:rPr>
        <w:t>the</w:t>
      </w:r>
      <w:r>
        <w:rPr>
          <w:color w:val="231F20"/>
          <w:spacing w:val="-11"/>
        </w:rPr>
        <w:t xml:space="preserve"> </w:t>
      </w:r>
      <w:r>
        <w:rPr>
          <w:color w:val="231F20"/>
        </w:rPr>
        <w:t>total</w:t>
      </w:r>
      <w:r>
        <w:rPr>
          <w:color w:val="231F20"/>
          <w:spacing w:val="-11"/>
        </w:rPr>
        <w:t xml:space="preserve"> </w:t>
      </w:r>
      <w:r>
        <w:rPr>
          <w:color w:val="231F20"/>
        </w:rPr>
        <w:t>resident</w:t>
      </w:r>
      <w:r>
        <w:rPr>
          <w:color w:val="231F20"/>
          <w:spacing w:val="-11"/>
        </w:rPr>
        <w:t xml:space="preserve"> </w:t>
      </w:r>
      <w:r>
        <w:rPr>
          <w:color w:val="231F20"/>
        </w:rPr>
        <w:t>population</w:t>
      </w:r>
      <w:r>
        <w:rPr>
          <w:color w:val="231F20"/>
          <w:spacing w:val="-11"/>
        </w:rPr>
        <w:t xml:space="preserve"> </w:t>
      </w:r>
      <w:r>
        <w:rPr>
          <w:color w:val="231F20"/>
        </w:rPr>
        <w:t>of</w:t>
      </w:r>
      <w:r>
        <w:rPr>
          <w:color w:val="231F20"/>
          <w:spacing w:val="-11"/>
        </w:rPr>
        <w:t xml:space="preserve"> </w:t>
      </w:r>
      <w:r>
        <w:rPr>
          <w:color w:val="231F20"/>
        </w:rPr>
        <w:t xml:space="preserve">a </w:t>
      </w:r>
      <w:r>
        <w:rPr>
          <w:color w:val="231F20"/>
          <w:w w:val="95"/>
        </w:rPr>
        <w:t>destination</w:t>
      </w:r>
      <w:r>
        <w:rPr>
          <w:color w:val="231F20"/>
        </w:rPr>
        <w:t xml:space="preserve"> </w:t>
      </w:r>
      <w:r>
        <w:rPr>
          <w:color w:val="231F20"/>
          <w:w w:val="95"/>
        </w:rPr>
        <w:t>as</w:t>
      </w:r>
      <w:r>
        <w:rPr>
          <w:color w:val="231F20"/>
        </w:rPr>
        <w:t xml:space="preserve"> </w:t>
      </w:r>
      <w:r>
        <w:rPr>
          <w:color w:val="231F20"/>
          <w:w w:val="95"/>
        </w:rPr>
        <w:t>indices</w:t>
      </w:r>
      <w:r>
        <w:rPr>
          <w:color w:val="231F20"/>
        </w:rPr>
        <w:t xml:space="preserve"> </w:t>
      </w:r>
      <w:r>
        <w:rPr>
          <w:color w:val="231F20"/>
          <w:w w:val="95"/>
        </w:rPr>
        <w:t>of</w:t>
      </w:r>
      <w:r>
        <w:rPr>
          <w:color w:val="231F20"/>
        </w:rPr>
        <w:t xml:space="preserve"> </w:t>
      </w:r>
      <w:r>
        <w:rPr>
          <w:color w:val="231F20"/>
          <w:w w:val="95"/>
        </w:rPr>
        <w:t>tourist</w:t>
      </w:r>
      <w:r>
        <w:rPr>
          <w:color w:val="231F20"/>
        </w:rPr>
        <w:t xml:space="preserve"> </w:t>
      </w:r>
      <w:r>
        <w:rPr>
          <w:color w:val="231F20"/>
          <w:w w:val="95"/>
        </w:rPr>
        <w:t>capacity</w:t>
      </w:r>
      <w:r>
        <w:rPr>
          <w:color w:val="231F20"/>
        </w:rPr>
        <w:t xml:space="preserve"> </w:t>
      </w:r>
      <w:r>
        <w:rPr>
          <w:color w:val="231F20"/>
          <w:w w:val="95"/>
        </w:rPr>
        <w:t>(Saveriades,</w:t>
      </w:r>
      <w:r>
        <w:rPr>
          <w:color w:val="231F20"/>
        </w:rPr>
        <w:t xml:space="preserve"> </w:t>
      </w:r>
      <w:r>
        <w:rPr>
          <w:color w:val="231F20"/>
          <w:w w:val="95"/>
        </w:rPr>
        <w:t>2000).</w:t>
      </w:r>
      <w:r>
        <w:rPr>
          <w:color w:val="231F20"/>
        </w:rPr>
        <w:t xml:space="preserve"> </w:t>
      </w:r>
      <w:r>
        <w:rPr>
          <w:color w:val="231F20"/>
          <w:w w:val="95"/>
        </w:rPr>
        <w:t>The</w:t>
      </w:r>
      <w:r>
        <w:rPr>
          <w:color w:val="231F20"/>
        </w:rPr>
        <w:t xml:space="preserve"> </w:t>
      </w:r>
      <w:r>
        <w:rPr>
          <w:color w:val="231F20"/>
          <w:w w:val="95"/>
        </w:rPr>
        <w:t>concept</w:t>
      </w:r>
      <w:r>
        <w:rPr>
          <w:color w:val="231F20"/>
          <w:spacing w:val="80"/>
          <w:w w:val="150"/>
        </w:rPr>
        <w:t xml:space="preserve"> </w:t>
      </w:r>
      <w:r>
        <w:rPr>
          <w:color w:val="231F20"/>
        </w:rPr>
        <w:t>of tourism carrying capacity considers the maximum level of tourist activity that can be sustained without adversely impacting the physical environment or t</w:t>
      </w:r>
      <w:r>
        <w:rPr>
          <w:color w:val="231F20"/>
        </w:rPr>
        <w:t>he quality of the visitor experience, with consideration given to the views of the host community (Archer &amp; Cooper, 1994; Wall &amp; Mathieson, 2006).</w:t>
      </w:r>
    </w:p>
    <w:p w14:paraId="15934FE4" w14:textId="77777777" w:rsidR="00AE0598" w:rsidRDefault="0069255A">
      <w:pPr>
        <w:pStyle w:val="Corpodetexto"/>
        <w:spacing w:before="17" w:line="232" w:lineRule="auto"/>
        <w:ind w:left="110" w:right="127" w:firstLine="320"/>
        <w:jc w:val="both"/>
      </w:pPr>
      <w:r>
        <w:rPr>
          <w:color w:val="231F20"/>
        </w:rPr>
        <w:t>‘[M]ega-events are short term events with long term consequences for the cities that stage them’ (Roche, 1994</w:t>
      </w:r>
      <w:r>
        <w:rPr>
          <w:color w:val="231F20"/>
        </w:rPr>
        <w:t xml:space="preserve">: 1). Unfortunately, interests in the impacts of event sport tourism are often restricted to economic </w:t>
      </w:r>
      <w:r>
        <w:rPr>
          <w:color w:val="231F20"/>
          <w:w w:val="95"/>
        </w:rPr>
        <w:t>development (Burgan &amp; Mules, 1992), positive image and identity, inward investment and tourism promotion (Getz, 1991; Hall, 1992a, 1992b). This focus igno</w:t>
      </w:r>
      <w:r>
        <w:rPr>
          <w:color w:val="231F20"/>
          <w:w w:val="95"/>
        </w:rPr>
        <w:t xml:space="preserve">res the potential for sporting events to create negative impacts, </w:t>
      </w:r>
      <w:r>
        <w:rPr>
          <w:color w:val="231F20"/>
        </w:rPr>
        <w:t xml:space="preserve">which tend to increase with the scale of the event (Olds, 1998; Shapcott, 1998). Where the scale of a sports event is too great for the social and </w:t>
      </w:r>
      <w:r>
        <w:rPr>
          <w:color w:val="231F20"/>
          <w:w w:val="95"/>
        </w:rPr>
        <w:t>infrastructure capacities of the host city,</w:t>
      </w:r>
      <w:r>
        <w:rPr>
          <w:color w:val="231F20"/>
          <w:w w:val="95"/>
        </w:rPr>
        <w:t xml:space="preserve"> significant potential for negative impacts arise (Hiller, 1998). Host community displacements and evictions </w:t>
      </w:r>
      <w:r>
        <w:rPr>
          <w:color w:val="231F20"/>
        </w:rPr>
        <w:t xml:space="preserve">(Olds, 1998), increases in rates and rents (Hodges &amp; Hall, 1996), the </w:t>
      </w:r>
      <w:r>
        <w:rPr>
          <w:color w:val="231F20"/>
          <w:w w:val="95"/>
        </w:rPr>
        <w:t>disruption of daily routines due to crowding and congestion (Bale, 1994), sec</w:t>
      </w:r>
      <w:r>
        <w:rPr>
          <w:color w:val="231F20"/>
          <w:w w:val="95"/>
        </w:rPr>
        <w:t>urity</w:t>
      </w:r>
      <w:r>
        <w:rPr>
          <w:color w:val="231F20"/>
          <w:spacing w:val="26"/>
        </w:rPr>
        <w:t xml:space="preserve"> </w:t>
      </w:r>
      <w:r>
        <w:rPr>
          <w:color w:val="231F20"/>
          <w:w w:val="95"/>
        </w:rPr>
        <w:t>issues</w:t>
      </w:r>
      <w:r>
        <w:rPr>
          <w:color w:val="231F20"/>
          <w:spacing w:val="26"/>
        </w:rPr>
        <w:t xml:space="preserve"> </w:t>
      </w:r>
      <w:r>
        <w:rPr>
          <w:color w:val="231F20"/>
          <w:w w:val="95"/>
        </w:rPr>
        <w:t>(Higham,</w:t>
      </w:r>
      <w:r>
        <w:rPr>
          <w:color w:val="231F20"/>
          <w:spacing w:val="26"/>
        </w:rPr>
        <w:t xml:space="preserve"> </w:t>
      </w:r>
      <w:r>
        <w:rPr>
          <w:color w:val="231F20"/>
          <w:w w:val="95"/>
        </w:rPr>
        <w:t>1999)</w:t>
      </w:r>
      <w:r>
        <w:rPr>
          <w:color w:val="231F20"/>
          <w:spacing w:val="27"/>
        </w:rPr>
        <w:t xml:space="preserve"> </w:t>
      </w:r>
      <w:r>
        <w:rPr>
          <w:color w:val="231F20"/>
          <w:w w:val="95"/>
        </w:rPr>
        <w:t>and</w:t>
      </w:r>
      <w:r>
        <w:rPr>
          <w:color w:val="231F20"/>
          <w:spacing w:val="26"/>
        </w:rPr>
        <w:t xml:space="preserve"> </w:t>
      </w:r>
      <w:r>
        <w:rPr>
          <w:color w:val="231F20"/>
          <w:w w:val="95"/>
        </w:rPr>
        <w:t>the</w:t>
      </w:r>
      <w:r>
        <w:rPr>
          <w:color w:val="231F20"/>
          <w:spacing w:val="26"/>
        </w:rPr>
        <w:t xml:space="preserve"> </w:t>
      </w:r>
      <w:r>
        <w:rPr>
          <w:color w:val="231F20"/>
          <w:w w:val="95"/>
        </w:rPr>
        <w:t>exaggerated</w:t>
      </w:r>
      <w:r>
        <w:rPr>
          <w:color w:val="231F20"/>
          <w:spacing w:val="27"/>
        </w:rPr>
        <w:t xml:space="preserve"> </w:t>
      </w:r>
      <w:r>
        <w:rPr>
          <w:color w:val="231F20"/>
          <w:w w:val="95"/>
        </w:rPr>
        <w:t>behaviour</w:t>
      </w:r>
      <w:r>
        <w:rPr>
          <w:color w:val="231F20"/>
          <w:spacing w:val="26"/>
        </w:rPr>
        <w:t xml:space="preserve"> </w:t>
      </w:r>
      <w:r>
        <w:rPr>
          <w:color w:val="231F20"/>
          <w:w w:val="95"/>
        </w:rPr>
        <w:t>of</w:t>
      </w:r>
      <w:r>
        <w:rPr>
          <w:color w:val="231F20"/>
          <w:spacing w:val="26"/>
        </w:rPr>
        <w:t xml:space="preserve"> </w:t>
      </w:r>
      <w:r>
        <w:rPr>
          <w:color w:val="231F20"/>
          <w:spacing w:val="-2"/>
          <w:w w:val="95"/>
        </w:rPr>
        <w:t>‘sports</w:t>
      </w:r>
    </w:p>
    <w:p w14:paraId="4F6CA349" w14:textId="77777777" w:rsidR="00AE0598" w:rsidRDefault="00AE0598">
      <w:pPr>
        <w:spacing w:line="232" w:lineRule="auto"/>
        <w:jc w:val="both"/>
        <w:sectPr w:rsidR="00AE0598">
          <w:pgSz w:w="8850" w:h="13270"/>
          <w:pgMar w:top="720" w:right="1060" w:bottom="280" w:left="1080" w:header="720" w:footer="720" w:gutter="0"/>
          <w:cols w:space="720"/>
        </w:sectPr>
      </w:pPr>
    </w:p>
    <w:p w14:paraId="15C10FF9" w14:textId="77777777" w:rsidR="00AE0598" w:rsidRDefault="0069255A">
      <w:pPr>
        <w:spacing w:before="87"/>
        <w:ind w:left="108"/>
        <w:rPr>
          <w:rFonts w:ascii="Trebuchet MS"/>
          <w:sz w:val="14"/>
        </w:rPr>
      </w:pPr>
      <w:r>
        <w:rPr>
          <w:rFonts w:ascii="Trebuchet MS"/>
          <w:color w:val="231F20"/>
          <w:w w:val="105"/>
          <w:sz w:val="14"/>
        </w:rPr>
        <w:lastRenderedPageBreak/>
        <w:t>146</w:t>
      </w:r>
      <w:r>
        <w:rPr>
          <w:rFonts w:ascii="Trebuchet MS"/>
          <w:color w:val="231F20"/>
          <w:spacing w:val="66"/>
          <w:w w:val="150"/>
          <w:sz w:val="14"/>
        </w:rPr>
        <w:t xml:space="preserve"> </w:t>
      </w:r>
      <w:r>
        <w:rPr>
          <w:rFonts w:ascii="Trebuchet MS"/>
          <w:color w:val="231F20"/>
          <w:w w:val="105"/>
          <w:sz w:val="14"/>
        </w:rPr>
        <w:t>Part</w:t>
      </w:r>
      <w:r>
        <w:rPr>
          <w:rFonts w:ascii="Trebuchet MS"/>
          <w:color w:val="231F20"/>
          <w:spacing w:val="-9"/>
          <w:w w:val="105"/>
          <w:sz w:val="14"/>
        </w:rPr>
        <w:t xml:space="preserve"> </w:t>
      </w:r>
      <w:r>
        <w:rPr>
          <w:rFonts w:ascii="Trebuchet MS"/>
          <w:color w:val="231F20"/>
          <w:w w:val="105"/>
          <w:sz w:val="14"/>
        </w:rPr>
        <w:t>3:</w:t>
      </w:r>
      <w:r>
        <w:rPr>
          <w:rFonts w:ascii="Trebuchet MS"/>
          <w:color w:val="231F20"/>
          <w:spacing w:val="-8"/>
          <w:w w:val="105"/>
          <w:sz w:val="14"/>
        </w:rPr>
        <w:t xml:space="preserve"> </w:t>
      </w:r>
      <w:r>
        <w:rPr>
          <w:rFonts w:ascii="Trebuchet MS"/>
          <w:color w:val="231F20"/>
          <w:w w:val="105"/>
          <w:sz w:val="14"/>
        </w:rPr>
        <w:t>Sport</w:t>
      </w:r>
      <w:r>
        <w:rPr>
          <w:rFonts w:ascii="Trebuchet MS"/>
          <w:color w:val="231F20"/>
          <w:spacing w:val="-9"/>
          <w:w w:val="105"/>
          <w:sz w:val="14"/>
        </w:rPr>
        <w:t xml:space="preserve"> </w:t>
      </w:r>
      <w:r>
        <w:rPr>
          <w:rFonts w:ascii="Trebuchet MS"/>
          <w:color w:val="231F20"/>
          <w:w w:val="105"/>
          <w:sz w:val="14"/>
        </w:rPr>
        <w:t>Tourism</w:t>
      </w:r>
      <w:r>
        <w:rPr>
          <w:rFonts w:ascii="Trebuchet MS"/>
          <w:color w:val="231F20"/>
          <w:spacing w:val="-9"/>
          <w:w w:val="105"/>
          <w:sz w:val="14"/>
        </w:rPr>
        <w:t xml:space="preserve"> </w:t>
      </w:r>
      <w:r>
        <w:rPr>
          <w:rFonts w:ascii="Trebuchet MS"/>
          <w:color w:val="231F20"/>
          <w:w w:val="105"/>
          <w:sz w:val="14"/>
        </w:rPr>
        <w:t>Development</w:t>
      </w:r>
      <w:r>
        <w:rPr>
          <w:rFonts w:ascii="Trebuchet MS"/>
          <w:color w:val="231F20"/>
          <w:spacing w:val="-9"/>
          <w:w w:val="105"/>
          <w:sz w:val="14"/>
        </w:rPr>
        <w:t xml:space="preserve"> </w:t>
      </w:r>
      <w:r>
        <w:rPr>
          <w:rFonts w:ascii="Trebuchet MS"/>
          <w:color w:val="231F20"/>
          <w:w w:val="105"/>
          <w:sz w:val="14"/>
        </w:rPr>
        <w:t>and</w:t>
      </w:r>
      <w:r>
        <w:rPr>
          <w:rFonts w:ascii="Trebuchet MS"/>
          <w:color w:val="231F20"/>
          <w:spacing w:val="-8"/>
          <w:w w:val="105"/>
          <w:sz w:val="14"/>
        </w:rPr>
        <w:t xml:space="preserve"> </w:t>
      </w:r>
      <w:r>
        <w:rPr>
          <w:rFonts w:ascii="Trebuchet MS"/>
          <w:color w:val="231F20"/>
          <w:spacing w:val="-2"/>
          <w:w w:val="105"/>
          <w:sz w:val="14"/>
        </w:rPr>
        <w:t>Space</w:t>
      </w:r>
    </w:p>
    <w:p w14:paraId="2A8E7EE0" w14:textId="77777777" w:rsidR="00AE0598" w:rsidRDefault="00AE0598">
      <w:pPr>
        <w:pStyle w:val="Corpodetexto"/>
        <w:rPr>
          <w:rFonts w:ascii="Trebuchet MS"/>
          <w:sz w:val="16"/>
        </w:rPr>
      </w:pPr>
    </w:p>
    <w:p w14:paraId="37A632CA" w14:textId="77777777" w:rsidR="00AE0598" w:rsidRDefault="0069255A">
      <w:pPr>
        <w:pStyle w:val="Corpodetexto"/>
        <w:spacing w:before="118" w:line="232" w:lineRule="auto"/>
        <w:ind w:left="110" w:right="128"/>
        <w:jc w:val="both"/>
      </w:pPr>
      <w:r>
        <w:rPr>
          <w:color w:val="231F20"/>
          <w:w w:val="95"/>
        </w:rPr>
        <w:t xml:space="preserve">junkies’ (Faulkner </w:t>
      </w:r>
      <w:r>
        <w:rPr>
          <w:i/>
          <w:color w:val="231F20"/>
          <w:w w:val="95"/>
        </w:rPr>
        <w:t>et al.</w:t>
      </w:r>
      <w:r>
        <w:rPr>
          <w:color w:val="231F20"/>
          <w:w w:val="95"/>
        </w:rPr>
        <w:t xml:space="preserve">, 1998) may be associated with large-scale sporting </w:t>
      </w:r>
      <w:r>
        <w:rPr>
          <w:color w:val="231F20"/>
        </w:rPr>
        <w:t>events. Shapcott (1998), for example, reports that</w:t>
      </w:r>
    </w:p>
    <w:p w14:paraId="7DF739EF" w14:textId="77777777" w:rsidR="00AE0598" w:rsidRDefault="00AE0598">
      <w:pPr>
        <w:pStyle w:val="Corpodetexto"/>
        <w:spacing w:before="11"/>
        <w:rPr>
          <w:sz w:val="20"/>
        </w:rPr>
      </w:pPr>
    </w:p>
    <w:p w14:paraId="10767BC4" w14:textId="77777777" w:rsidR="00AE0598" w:rsidRDefault="0069255A">
      <w:pPr>
        <w:spacing w:line="244" w:lineRule="auto"/>
        <w:ind w:left="430" w:right="127"/>
        <w:jc w:val="both"/>
        <w:rPr>
          <w:sz w:val="20"/>
        </w:rPr>
      </w:pPr>
      <w:r>
        <w:rPr>
          <w:color w:val="231F20"/>
          <w:sz w:val="20"/>
        </w:rPr>
        <w:t xml:space="preserve">720,000 room-renters (were) forcibly removed in advance of the 1988 </w:t>
      </w:r>
      <w:r>
        <w:rPr>
          <w:color w:val="231F20"/>
          <w:w w:val="95"/>
          <w:sz w:val="20"/>
        </w:rPr>
        <w:t xml:space="preserve">Olympics in Seoul, thousands of low income tenants and small businesses </w:t>
      </w:r>
      <w:r>
        <w:rPr>
          <w:color w:val="231F20"/>
          <w:sz w:val="20"/>
        </w:rPr>
        <w:t>forced out o</w:t>
      </w:r>
      <w:r>
        <w:rPr>
          <w:color w:val="231F20"/>
          <w:sz w:val="20"/>
        </w:rPr>
        <w:t xml:space="preserve">f Barcelona before the 1992 Games (and) more than 9000 </w:t>
      </w:r>
      <w:r>
        <w:rPr>
          <w:color w:val="231F20"/>
          <w:w w:val="95"/>
          <w:sz w:val="20"/>
        </w:rPr>
        <w:t xml:space="preserve">homeless people (many of them African-American) arrested in the lead-up </w:t>
      </w:r>
      <w:r>
        <w:rPr>
          <w:color w:val="231F20"/>
          <w:sz w:val="20"/>
        </w:rPr>
        <w:t>to the 1996 Olympics in Atlanta. (Shapcott, 1998: 196)</w:t>
      </w:r>
    </w:p>
    <w:p w14:paraId="2C76BE15" w14:textId="77777777" w:rsidR="00AE0598" w:rsidRDefault="00AE0598">
      <w:pPr>
        <w:pStyle w:val="Corpodetexto"/>
        <w:spacing w:before="6"/>
        <w:rPr>
          <w:sz w:val="20"/>
        </w:rPr>
      </w:pPr>
    </w:p>
    <w:p w14:paraId="62670817" w14:textId="77777777" w:rsidR="00AE0598" w:rsidRDefault="0069255A">
      <w:pPr>
        <w:pStyle w:val="Corpodetexto"/>
        <w:spacing w:before="1" w:line="232" w:lineRule="auto"/>
        <w:ind w:left="110" w:right="126"/>
        <w:jc w:val="both"/>
      </w:pPr>
      <w:r>
        <w:rPr>
          <w:color w:val="231F20"/>
        </w:rPr>
        <w:t>Sporting events and competitions of more modest scale include regular sea</w:t>
      </w:r>
      <w:r>
        <w:rPr>
          <w:color w:val="231F20"/>
        </w:rPr>
        <w:t xml:space="preserve">son domestic sport competitions, national/regional championships and non-elite sports events. At these more modest scales, the potential for serious negative impact is reduced (Higham, 1999). Crowding and infrastructure congestion are less likely to occur </w:t>
      </w:r>
      <w:r>
        <w:rPr>
          <w:color w:val="231F20"/>
        </w:rPr>
        <w:t>and are more rapidly dispersed. Nonetheless, the positive impacts of sports events of more modest</w:t>
      </w:r>
      <w:r>
        <w:rPr>
          <w:color w:val="231F20"/>
          <w:spacing w:val="-2"/>
        </w:rPr>
        <w:t xml:space="preserve"> </w:t>
      </w:r>
      <w:r>
        <w:rPr>
          <w:color w:val="231F20"/>
        </w:rPr>
        <w:t>scale</w:t>
      </w:r>
      <w:r>
        <w:rPr>
          <w:color w:val="231F20"/>
          <w:spacing w:val="-2"/>
        </w:rPr>
        <w:t xml:space="preserve"> </w:t>
      </w:r>
      <w:r>
        <w:rPr>
          <w:color w:val="231F20"/>
        </w:rPr>
        <w:t>are,</w:t>
      </w:r>
      <w:r>
        <w:rPr>
          <w:color w:val="231F20"/>
          <w:spacing w:val="-2"/>
        </w:rPr>
        <w:t xml:space="preserve"> </w:t>
      </w:r>
      <w:r>
        <w:rPr>
          <w:color w:val="231F20"/>
        </w:rPr>
        <w:t>within</w:t>
      </w:r>
      <w:r>
        <w:rPr>
          <w:color w:val="231F20"/>
          <w:spacing w:val="-2"/>
        </w:rPr>
        <w:t xml:space="preserve"> </w:t>
      </w:r>
      <w:r>
        <w:rPr>
          <w:color w:val="231F20"/>
        </w:rPr>
        <w:t>the</w:t>
      </w:r>
      <w:r>
        <w:rPr>
          <w:color w:val="231F20"/>
          <w:spacing w:val="-2"/>
        </w:rPr>
        <w:t xml:space="preserve"> </w:t>
      </w:r>
      <w:r>
        <w:rPr>
          <w:color w:val="231F20"/>
        </w:rPr>
        <w:t>geographical</w:t>
      </w:r>
      <w:r>
        <w:rPr>
          <w:color w:val="231F20"/>
          <w:spacing w:val="-2"/>
        </w:rPr>
        <w:t xml:space="preserve"> </w:t>
      </w:r>
      <w:r>
        <w:rPr>
          <w:color w:val="231F20"/>
        </w:rPr>
        <w:t>parameters</w:t>
      </w:r>
      <w:r>
        <w:rPr>
          <w:color w:val="231F20"/>
          <w:spacing w:val="-2"/>
        </w:rPr>
        <w:t xml:space="preserve"> </w:t>
      </w:r>
      <w:r>
        <w:rPr>
          <w:color w:val="231F20"/>
        </w:rPr>
        <w:t>of</w:t>
      </w:r>
      <w:r>
        <w:rPr>
          <w:color w:val="231F20"/>
          <w:spacing w:val="-2"/>
        </w:rPr>
        <w:t xml:space="preserve"> </w:t>
      </w:r>
      <w:r>
        <w:rPr>
          <w:color w:val="231F20"/>
        </w:rPr>
        <w:t>the</w:t>
      </w:r>
      <w:r>
        <w:rPr>
          <w:color w:val="231F20"/>
          <w:spacing w:val="-2"/>
        </w:rPr>
        <w:t xml:space="preserve"> </w:t>
      </w:r>
      <w:r>
        <w:rPr>
          <w:color w:val="231F20"/>
        </w:rPr>
        <w:t xml:space="preserve">destination, very similar to mega-events (Gibson </w:t>
      </w:r>
      <w:r>
        <w:rPr>
          <w:i/>
          <w:color w:val="231F20"/>
        </w:rPr>
        <w:t>et al</w:t>
      </w:r>
      <w:r>
        <w:rPr>
          <w:color w:val="231F20"/>
        </w:rPr>
        <w:t>., 2012; Hall, 1993), although easily</w:t>
      </w:r>
      <w:r>
        <w:rPr>
          <w:color w:val="231F20"/>
          <w:spacing w:val="29"/>
        </w:rPr>
        <w:t xml:space="preserve"> </w:t>
      </w:r>
      <w:r>
        <w:rPr>
          <w:color w:val="231F20"/>
        </w:rPr>
        <w:t>oversold</w:t>
      </w:r>
      <w:r>
        <w:rPr>
          <w:color w:val="231F20"/>
          <w:spacing w:val="29"/>
        </w:rPr>
        <w:t xml:space="preserve"> </w:t>
      </w:r>
      <w:r>
        <w:rPr>
          <w:color w:val="231F20"/>
        </w:rPr>
        <w:t>(Gratton</w:t>
      </w:r>
      <w:r>
        <w:rPr>
          <w:color w:val="231F20"/>
          <w:spacing w:val="29"/>
        </w:rPr>
        <w:t xml:space="preserve"> </w:t>
      </w:r>
      <w:r>
        <w:rPr>
          <w:i/>
          <w:color w:val="231F20"/>
        </w:rPr>
        <w:t>et</w:t>
      </w:r>
      <w:r>
        <w:rPr>
          <w:i/>
          <w:color w:val="231F20"/>
          <w:spacing w:val="29"/>
        </w:rPr>
        <w:t xml:space="preserve"> </w:t>
      </w:r>
      <w:r>
        <w:rPr>
          <w:i/>
          <w:color w:val="231F20"/>
        </w:rPr>
        <w:t>al</w:t>
      </w:r>
      <w:r>
        <w:rPr>
          <w:color w:val="231F20"/>
        </w:rPr>
        <w:t>.,</w:t>
      </w:r>
      <w:r>
        <w:rPr>
          <w:color w:val="231F20"/>
          <w:spacing w:val="29"/>
        </w:rPr>
        <w:t xml:space="preserve"> </w:t>
      </w:r>
      <w:r>
        <w:rPr>
          <w:color w:val="231F20"/>
        </w:rPr>
        <w:t>2005a;</w:t>
      </w:r>
      <w:r>
        <w:rPr>
          <w:color w:val="231F20"/>
          <w:spacing w:val="29"/>
        </w:rPr>
        <w:t xml:space="preserve"> </w:t>
      </w:r>
      <w:r>
        <w:rPr>
          <w:color w:val="231F20"/>
        </w:rPr>
        <w:t>Whitson,</w:t>
      </w:r>
      <w:r>
        <w:rPr>
          <w:color w:val="231F20"/>
          <w:spacing w:val="29"/>
        </w:rPr>
        <w:t xml:space="preserve"> </w:t>
      </w:r>
      <w:r>
        <w:rPr>
          <w:color w:val="231F20"/>
        </w:rPr>
        <w:t>2004).</w:t>
      </w:r>
      <w:r>
        <w:rPr>
          <w:color w:val="231F20"/>
          <w:spacing w:val="29"/>
        </w:rPr>
        <w:t xml:space="preserve"> </w:t>
      </w:r>
      <w:r>
        <w:rPr>
          <w:color w:val="231F20"/>
        </w:rPr>
        <w:t>Issues</w:t>
      </w:r>
      <w:r>
        <w:rPr>
          <w:color w:val="231F20"/>
          <w:spacing w:val="29"/>
        </w:rPr>
        <w:t xml:space="preserve"> </w:t>
      </w:r>
      <w:r>
        <w:rPr>
          <w:color w:val="231F20"/>
        </w:rPr>
        <w:t>of</w:t>
      </w:r>
      <w:r>
        <w:rPr>
          <w:color w:val="231F20"/>
          <w:spacing w:val="29"/>
        </w:rPr>
        <w:t xml:space="preserve"> </w:t>
      </w:r>
      <w:r>
        <w:rPr>
          <w:color w:val="231F20"/>
        </w:rPr>
        <w:t>scale in event sport tourism are critically important. Although the economic imperative that ‘bigger is better’ remains prevalent (Weed, 2009), the achievement</w:t>
      </w:r>
      <w:r>
        <w:rPr>
          <w:color w:val="231F20"/>
          <w:spacing w:val="-10"/>
        </w:rPr>
        <w:t xml:space="preserve"> </w:t>
      </w:r>
      <w:r>
        <w:rPr>
          <w:color w:val="231F20"/>
        </w:rPr>
        <w:t>of</w:t>
      </w:r>
      <w:r>
        <w:rPr>
          <w:color w:val="231F20"/>
          <w:spacing w:val="-10"/>
        </w:rPr>
        <w:t xml:space="preserve"> </w:t>
      </w:r>
      <w:r>
        <w:rPr>
          <w:color w:val="231F20"/>
        </w:rPr>
        <w:t>a</w:t>
      </w:r>
      <w:r>
        <w:rPr>
          <w:color w:val="231F20"/>
          <w:spacing w:val="-10"/>
        </w:rPr>
        <w:t xml:space="preserve"> </w:t>
      </w:r>
      <w:r>
        <w:rPr>
          <w:color w:val="231F20"/>
        </w:rPr>
        <w:t>match</w:t>
      </w:r>
      <w:r>
        <w:rPr>
          <w:color w:val="231F20"/>
          <w:spacing w:val="-10"/>
        </w:rPr>
        <w:t xml:space="preserve"> </w:t>
      </w:r>
      <w:r>
        <w:rPr>
          <w:color w:val="231F20"/>
        </w:rPr>
        <w:t>between</w:t>
      </w:r>
      <w:r>
        <w:rPr>
          <w:color w:val="231F20"/>
          <w:spacing w:val="-10"/>
        </w:rPr>
        <w:t xml:space="preserve"> </w:t>
      </w:r>
      <w:r>
        <w:rPr>
          <w:color w:val="231F20"/>
        </w:rPr>
        <w:t>the</w:t>
      </w:r>
      <w:r>
        <w:rPr>
          <w:color w:val="231F20"/>
          <w:spacing w:val="-10"/>
        </w:rPr>
        <w:t xml:space="preserve"> </w:t>
      </w:r>
      <w:r>
        <w:rPr>
          <w:color w:val="231F20"/>
        </w:rPr>
        <w:t>capacity</w:t>
      </w:r>
      <w:r>
        <w:rPr>
          <w:color w:val="231F20"/>
          <w:spacing w:val="-10"/>
        </w:rPr>
        <w:t xml:space="preserve"> </w:t>
      </w:r>
      <w:r>
        <w:rPr>
          <w:color w:val="231F20"/>
        </w:rPr>
        <w:t>const</w:t>
      </w:r>
      <w:r>
        <w:rPr>
          <w:color w:val="231F20"/>
        </w:rPr>
        <w:t>raints</w:t>
      </w:r>
      <w:r>
        <w:rPr>
          <w:color w:val="231F20"/>
          <w:spacing w:val="-10"/>
        </w:rPr>
        <w:t xml:space="preserve"> </w:t>
      </w:r>
      <w:r>
        <w:rPr>
          <w:color w:val="231F20"/>
        </w:rPr>
        <w:t>of</w:t>
      </w:r>
      <w:r>
        <w:rPr>
          <w:color w:val="231F20"/>
          <w:spacing w:val="-10"/>
        </w:rPr>
        <w:t xml:space="preserve"> </w:t>
      </w:r>
      <w:r>
        <w:rPr>
          <w:color w:val="231F20"/>
        </w:rPr>
        <w:t>host</w:t>
      </w:r>
      <w:r>
        <w:rPr>
          <w:color w:val="231F20"/>
          <w:spacing w:val="-10"/>
        </w:rPr>
        <w:t xml:space="preserve"> </w:t>
      </w:r>
      <w:r>
        <w:rPr>
          <w:color w:val="231F20"/>
        </w:rPr>
        <w:t>cities</w:t>
      </w:r>
      <w:r>
        <w:rPr>
          <w:color w:val="231F20"/>
          <w:spacing w:val="-10"/>
        </w:rPr>
        <w:t xml:space="preserve"> </w:t>
      </w:r>
      <w:r>
        <w:rPr>
          <w:color w:val="231F20"/>
        </w:rPr>
        <w:t xml:space="preserve">or </w:t>
      </w:r>
      <w:r>
        <w:rPr>
          <w:color w:val="231F20"/>
          <w:w w:val="95"/>
        </w:rPr>
        <w:t xml:space="preserve">regions and the scale of the sports events that they seek to host, represents </w:t>
      </w:r>
      <w:r>
        <w:rPr>
          <w:color w:val="231F20"/>
        </w:rPr>
        <w:t xml:space="preserve">an important element in achieving sustained and sustainable success in event sport tourism (Gratton </w:t>
      </w:r>
      <w:r>
        <w:rPr>
          <w:i/>
          <w:color w:val="231F20"/>
        </w:rPr>
        <w:t>et al</w:t>
      </w:r>
      <w:r>
        <w:rPr>
          <w:color w:val="231F20"/>
        </w:rPr>
        <w:t>., 2005a; Higham, 1999).</w:t>
      </w:r>
    </w:p>
    <w:p w14:paraId="25AE39BE" w14:textId="77777777" w:rsidR="00AE0598" w:rsidRDefault="00AE0598">
      <w:pPr>
        <w:pStyle w:val="Corpodetexto"/>
        <w:rPr>
          <w:sz w:val="31"/>
        </w:rPr>
      </w:pPr>
    </w:p>
    <w:p w14:paraId="27E9EA45" w14:textId="77777777" w:rsidR="00AE0598" w:rsidRDefault="0069255A">
      <w:pPr>
        <w:ind w:left="110"/>
        <w:jc w:val="both"/>
        <w:rPr>
          <w:rFonts w:ascii="Trebuchet MS"/>
          <w:sz w:val="20"/>
        </w:rPr>
      </w:pPr>
      <w:r>
        <w:rPr>
          <w:rFonts w:ascii="Trebuchet MS"/>
          <w:color w:val="231F20"/>
          <w:w w:val="105"/>
          <w:sz w:val="20"/>
        </w:rPr>
        <w:t>Managing</w:t>
      </w:r>
      <w:r>
        <w:rPr>
          <w:rFonts w:ascii="Trebuchet MS"/>
          <w:color w:val="231F20"/>
          <w:spacing w:val="-2"/>
          <w:w w:val="105"/>
          <w:sz w:val="20"/>
        </w:rPr>
        <w:t xml:space="preserve"> </w:t>
      </w:r>
      <w:r>
        <w:rPr>
          <w:rFonts w:ascii="Trebuchet MS"/>
          <w:color w:val="231F20"/>
          <w:w w:val="105"/>
          <w:sz w:val="20"/>
        </w:rPr>
        <w:t>the</w:t>
      </w:r>
      <w:r>
        <w:rPr>
          <w:rFonts w:ascii="Trebuchet MS"/>
          <w:color w:val="231F20"/>
          <w:spacing w:val="-2"/>
          <w:w w:val="105"/>
          <w:sz w:val="20"/>
        </w:rPr>
        <w:t xml:space="preserve"> </w:t>
      </w:r>
      <w:r>
        <w:rPr>
          <w:rFonts w:ascii="Trebuchet MS"/>
          <w:color w:val="231F20"/>
          <w:w w:val="105"/>
          <w:sz w:val="20"/>
        </w:rPr>
        <w:t>compatibi</w:t>
      </w:r>
      <w:r>
        <w:rPr>
          <w:rFonts w:ascii="Trebuchet MS"/>
          <w:color w:val="231F20"/>
          <w:w w:val="105"/>
          <w:sz w:val="20"/>
        </w:rPr>
        <w:t>lity</w:t>
      </w:r>
      <w:r>
        <w:rPr>
          <w:rFonts w:ascii="Trebuchet MS"/>
          <w:color w:val="231F20"/>
          <w:spacing w:val="-1"/>
          <w:w w:val="105"/>
          <w:sz w:val="20"/>
        </w:rPr>
        <w:t xml:space="preserve"> </w:t>
      </w:r>
      <w:r>
        <w:rPr>
          <w:rFonts w:ascii="Trebuchet MS"/>
          <w:color w:val="231F20"/>
          <w:w w:val="105"/>
          <w:sz w:val="20"/>
        </w:rPr>
        <w:t>of</w:t>
      </w:r>
      <w:r>
        <w:rPr>
          <w:rFonts w:ascii="Trebuchet MS"/>
          <w:color w:val="231F20"/>
          <w:spacing w:val="-2"/>
          <w:w w:val="105"/>
          <w:sz w:val="20"/>
        </w:rPr>
        <w:t xml:space="preserve"> </w:t>
      </w:r>
      <w:r>
        <w:rPr>
          <w:rFonts w:ascii="Trebuchet MS"/>
          <w:color w:val="231F20"/>
          <w:w w:val="105"/>
          <w:sz w:val="20"/>
        </w:rPr>
        <w:t>sports</w:t>
      </w:r>
      <w:r>
        <w:rPr>
          <w:rFonts w:ascii="Trebuchet MS"/>
          <w:color w:val="231F20"/>
          <w:spacing w:val="-1"/>
          <w:w w:val="105"/>
          <w:sz w:val="20"/>
        </w:rPr>
        <w:t xml:space="preserve"> </w:t>
      </w:r>
      <w:r>
        <w:rPr>
          <w:rFonts w:ascii="Trebuchet MS"/>
          <w:color w:val="231F20"/>
          <w:w w:val="105"/>
          <w:sz w:val="20"/>
        </w:rPr>
        <w:t>in</w:t>
      </w:r>
      <w:r>
        <w:rPr>
          <w:rFonts w:ascii="Trebuchet MS"/>
          <w:color w:val="231F20"/>
          <w:spacing w:val="-2"/>
          <w:w w:val="105"/>
          <w:sz w:val="20"/>
        </w:rPr>
        <w:t xml:space="preserve"> </w:t>
      </w:r>
      <w:r>
        <w:rPr>
          <w:rFonts w:ascii="Trebuchet MS"/>
          <w:color w:val="231F20"/>
          <w:w w:val="105"/>
          <w:sz w:val="20"/>
        </w:rPr>
        <w:t>the</w:t>
      </w:r>
      <w:r>
        <w:rPr>
          <w:rFonts w:ascii="Trebuchet MS"/>
          <w:color w:val="231F20"/>
          <w:spacing w:val="-1"/>
          <w:w w:val="105"/>
          <w:sz w:val="20"/>
        </w:rPr>
        <w:t xml:space="preserve"> </w:t>
      </w:r>
      <w:r>
        <w:rPr>
          <w:rFonts w:ascii="Trebuchet MS"/>
          <w:color w:val="231F20"/>
          <w:w w:val="105"/>
          <w:sz w:val="20"/>
        </w:rPr>
        <w:t>built</w:t>
      </w:r>
      <w:r>
        <w:rPr>
          <w:rFonts w:ascii="Trebuchet MS"/>
          <w:color w:val="231F20"/>
          <w:spacing w:val="-2"/>
          <w:w w:val="105"/>
          <w:sz w:val="20"/>
        </w:rPr>
        <w:t xml:space="preserve"> environment</w:t>
      </w:r>
    </w:p>
    <w:p w14:paraId="53CD0E0A" w14:textId="77777777" w:rsidR="00AE0598" w:rsidRDefault="0069255A">
      <w:pPr>
        <w:pStyle w:val="Corpodetexto"/>
        <w:spacing w:before="122" w:line="232" w:lineRule="auto"/>
        <w:ind w:left="110" w:right="127" w:firstLine="320"/>
        <w:jc w:val="both"/>
      </w:pPr>
      <w:r>
        <w:rPr>
          <w:color w:val="231F20"/>
        </w:rPr>
        <w:t>Consideration of the compatibility of multiple sport demands is an important sport tourism management issue in the built environment. Different sports may be viewed as:</w:t>
      </w:r>
    </w:p>
    <w:p w14:paraId="7CA07F94" w14:textId="77777777" w:rsidR="00AE0598" w:rsidRDefault="00AE0598">
      <w:pPr>
        <w:pStyle w:val="Corpodetexto"/>
        <w:spacing w:before="9"/>
        <w:rPr>
          <w:sz w:val="20"/>
        </w:rPr>
      </w:pPr>
    </w:p>
    <w:p w14:paraId="344B4AD3" w14:textId="77777777" w:rsidR="00AE0598" w:rsidRDefault="0069255A">
      <w:pPr>
        <w:pStyle w:val="PargrafodaLista"/>
        <w:numPr>
          <w:ilvl w:val="0"/>
          <w:numId w:val="8"/>
        </w:numPr>
        <w:tabs>
          <w:tab w:val="left" w:pos="490"/>
        </w:tabs>
        <w:spacing w:line="232" w:lineRule="auto"/>
        <w:ind w:right="128"/>
        <w:rPr>
          <w:rFonts w:ascii="Cambria"/>
          <w:sz w:val="21"/>
        </w:rPr>
      </w:pPr>
      <w:r>
        <w:rPr>
          <w:rFonts w:ascii="Cambria"/>
          <w:color w:val="231F20"/>
          <w:sz w:val="21"/>
        </w:rPr>
        <w:t>Compatible:</w:t>
      </w:r>
      <w:r>
        <w:rPr>
          <w:rFonts w:ascii="Cambria"/>
          <w:color w:val="231F20"/>
          <w:spacing w:val="-8"/>
          <w:sz w:val="21"/>
        </w:rPr>
        <w:t xml:space="preserve"> </w:t>
      </w:r>
      <w:r>
        <w:rPr>
          <w:rFonts w:ascii="Cambria"/>
          <w:color w:val="231F20"/>
          <w:sz w:val="21"/>
        </w:rPr>
        <w:t>Sports</w:t>
      </w:r>
      <w:r>
        <w:rPr>
          <w:rFonts w:ascii="Cambria"/>
          <w:color w:val="231F20"/>
          <w:spacing w:val="-8"/>
          <w:sz w:val="21"/>
        </w:rPr>
        <w:t xml:space="preserve"> </w:t>
      </w:r>
      <w:r>
        <w:rPr>
          <w:rFonts w:ascii="Cambria"/>
          <w:color w:val="231F20"/>
          <w:sz w:val="21"/>
        </w:rPr>
        <w:t>that</w:t>
      </w:r>
      <w:r>
        <w:rPr>
          <w:rFonts w:ascii="Cambria"/>
          <w:color w:val="231F20"/>
          <w:spacing w:val="-8"/>
          <w:sz w:val="21"/>
        </w:rPr>
        <w:t xml:space="preserve"> </w:t>
      </w:r>
      <w:r>
        <w:rPr>
          <w:rFonts w:ascii="Cambria"/>
          <w:color w:val="231F20"/>
          <w:sz w:val="21"/>
        </w:rPr>
        <w:t>can</w:t>
      </w:r>
      <w:r>
        <w:rPr>
          <w:rFonts w:ascii="Cambria"/>
          <w:color w:val="231F20"/>
          <w:spacing w:val="-8"/>
          <w:sz w:val="21"/>
        </w:rPr>
        <w:t xml:space="preserve"> </w:t>
      </w:r>
      <w:r>
        <w:rPr>
          <w:rFonts w:ascii="Cambria"/>
          <w:color w:val="231F20"/>
          <w:sz w:val="21"/>
        </w:rPr>
        <w:t>use</w:t>
      </w:r>
      <w:r>
        <w:rPr>
          <w:rFonts w:ascii="Cambria"/>
          <w:color w:val="231F20"/>
          <w:spacing w:val="-8"/>
          <w:sz w:val="21"/>
        </w:rPr>
        <w:t xml:space="preserve"> </w:t>
      </w:r>
      <w:r>
        <w:rPr>
          <w:rFonts w:ascii="Cambria"/>
          <w:color w:val="231F20"/>
          <w:sz w:val="21"/>
        </w:rPr>
        <w:t>the</w:t>
      </w:r>
      <w:r>
        <w:rPr>
          <w:rFonts w:ascii="Cambria"/>
          <w:color w:val="231F20"/>
          <w:spacing w:val="-8"/>
          <w:sz w:val="21"/>
        </w:rPr>
        <w:t xml:space="preserve"> </w:t>
      </w:r>
      <w:r>
        <w:rPr>
          <w:rFonts w:ascii="Cambria"/>
          <w:color w:val="231F20"/>
          <w:sz w:val="21"/>
        </w:rPr>
        <w:t>same</w:t>
      </w:r>
      <w:r>
        <w:rPr>
          <w:rFonts w:ascii="Cambria"/>
          <w:color w:val="231F20"/>
          <w:spacing w:val="-8"/>
          <w:sz w:val="21"/>
        </w:rPr>
        <w:t xml:space="preserve"> </w:t>
      </w:r>
      <w:r>
        <w:rPr>
          <w:rFonts w:ascii="Cambria"/>
          <w:color w:val="231F20"/>
          <w:sz w:val="21"/>
        </w:rPr>
        <w:t>area</w:t>
      </w:r>
      <w:r>
        <w:rPr>
          <w:rFonts w:ascii="Cambria"/>
          <w:color w:val="231F20"/>
          <w:spacing w:val="-8"/>
          <w:sz w:val="21"/>
        </w:rPr>
        <w:t xml:space="preserve"> </w:t>
      </w:r>
      <w:r>
        <w:rPr>
          <w:rFonts w:ascii="Cambria"/>
          <w:color w:val="231F20"/>
          <w:sz w:val="21"/>
        </w:rPr>
        <w:t>of</w:t>
      </w:r>
      <w:r>
        <w:rPr>
          <w:rFonts w:ascii="Cambria"/>
          <w:color w:val="231F20"/>
          <w:spacing w:val="-8"/>
          <w:sz w:val="21"/>
        </w:rPr>
        <w:t xml:space="preserve"> </w:t>
      </w:r>
      <w:r>
        <w:rPr>
          <w:rFonts w:ascii="Cambria"/>
          <w:color w:val="231F20"/>
          <w:sz w:val="21"/>
        </w:rPr>
        <w:t>land</w:t>
      </w:r>
      <w:r>
        <w:rPr>
          <w:rFonts w:ascii="Cambria"/>
          <w:color w:val="231F20"/>
          <w:spacing w:val="-8"/>
          <w:sz w:val="21"/>
        </w:rPr>
        <w:t xml:space="preserve"> </w:t>
      </w:r>
      <w:r>
        <w:rPr>
          <w:rFonts w:ascii="Cambria"/>
          <w:color w:val="231F20"/>
          <w:sz w:val="21"/>
        </w:rPr>
        <w:t>or</w:t>
      </w:r>
      <w:r>
        <w:rPr>
          <w:rFonts w:ascii="Cambria"/>
          <w:color w:val="231F20"/>
          <w:spacing w:val="-8"/>
          <w:sz w:val="21"/>
        </w:rPr>
        <w:t xml:space="preserve"> </w:t>
      </w:r>
      <w:r>
        <w:rPr>
          <w:rFonts w:ascii="Cambria"/>
          <w:color w:val="231F20"/>
          <w:sz w:val="21"/>
        </w:rPr>
        <w:t>water</w:t>
      </w:r>
      <w:r>
        <w:rPr>
          <w:rFonts w:ascii="Cambria"/>
          <w:color w:val="231F20"/>
          <w:spacing w:val="-8"/>
          <w:sz w:val="21"/>
        </w:rPr>
        <w:t xml:space="preserve"> </w:t>
      </w:r>
      <w:r>
        <w:rPr>
          <w:rFonts w:ascii="Cambria"/>
          <w:color w:val="231F20"/>
          <w:sz w:val="21"/>
        </w:rPr>
        <w:t>at</w:t>
      </w:r>
      <w:r>
        <w:rPr>
          <w:rFonts w:ascii="Cambria"/>
          <w:color w:val="231F20"/>
          <w:spacing w:val="-8"/>
          <w:sz w:val="21"/>
        </w:rPr>
        <w:t xml:space="preserve"> </w:t>
      </w:r>
      <w:r>
        <w:rPr>
          <w:rFonts w:ascii="Cambria"/>
          <w:color w:val="231F20"/>
          <w:sz w:val="21"/>
        </w:rPr>
        <w:t>the same time.</w:t>
      </w:r>
    </w:p>
    <w:p w14:paraId="47825672" w14:textId="77777777" w:rsidR="00AE0598" w:rsidRDefault="0069255A">
      <w:pPr>
        <w:pStyle w:val="PargrafodaLista"/>
        <w:numPr>
          <w:ilvl w:val="0"/>
          <w:numId w:val="8"/>
        </w:numPr>
        <w:tabs>
          <w:tab w:val="left" w:pos="490"/>
        </w:tabs>
        <w:spacing w:before="2" w:line="232" w:lineRule="auto"/>
        <w:ind w:right="127"/>
        <w:rPr>
          <w:rFonts w:ascii="Cambria"/>
          <w:sz w:val="21"/>
        </w:rPr>
      </w:pPr>
      <w:r>
        <w:rPr>
          <w:rFonts w:ascii="Cambria"/>
          <w:color w:val="231F20"/>
          <w:sz w:val="21"/>
        </w:rPr>
        <w:t>Parti</w:t>
      </w:r>
      <w:r>
        <w:rPr>
          <w:rFonts w:ascii="Cambria"/>
          <w:color w:val="231F20"/>
          <w:sz w:val="21"/>
        </w:rPr>
        <w:t>ally</w:t>
      </w:r>
      <w:r>
        <w:rPr>
          <w:rFonts w:ascii="Cambria"/>
          <w:color w:val="231F20"/>
          <w:spacing w:val="22"/>
          <w:sz w:val="21"/>
        </w:rPr>
        <w:t xml:space="preserve"> </w:t>
      </w:r>
      <w:r>
        <w:rPr>
          <w:rFonts w:ascii="Cambria"/>
          <w:color w:val="231F20"/>
          <w:sz w:val="21"/>
        </w:rPr>
        <w:t>compatible:</w:t>
      </w:r>
      <w:r>
        <w:rPr>
          <w:rFonts w:ascii="Cambria"/>
          <w:color w:val="231F20"/>
          <w:spacing w:val="22"/>
          <w:sz w:val="21"/>
        </w:rPr>
        <w:t xml:space="preserve"> </w:t>
      </w:r>
      <w:r>
        <w:rPr>
          <w:rFonts w:ascii="Cambria"/>
          <w:color w:val="231F20"/>
          <w:sz w:val="21"/>
        </w:rPr>
        <w:t>Sports</w:t>
      </w:r>
      <w:r>
        <w:rPr>
          <w:rFonts w:ascii="Cambria"/>
          <w:color w:val="231F20"/>
          <w:spacing w:val="22"/>
          <w:sz w:val="21"/>
        </w:rPr>
        <w:t xml:space="preserve"> </w:t>
      </w:r>
      <w:r>
        <w:rPr>
          <w:rFonts w:ascii="Cambria"/>
          <w:color w:val="231F20"/>
          <w:sz w:val="21"/>
        </w:rPr>
        <w:t>that</w:t>
      </w:r>
      <w:r>
        <w:rPr>
          <w:rFonts w:ascii="Cambria"/>
          <w:color w:val="231F20"/>
          <w:spacing w:val="22"/>
          <w:sz w:val="21"/>
        </w:rPr>
        <w:t xml:space="preserve"> </w:t>
      </w:r>
      <w:r>
        <w:rPr>
          <w:rFonts w:ascii="Cambria"/>
          <w:color w:val="231F20"/>
          <w:sz w:val="21"/>
        </w:rPr>
        <w:t>can</w:t>
      </w:r>
      <w:r>
        <w:rPr>
          <w:rFonts w:ascii="Cambria"/>
          <w:color w:val="231F20"/>
          <w:spacing w:val="22"/>
          <w:sz w:val="21"/>
        </w:rPr>
        <w:t xml:space="preserve"> </w:t>
      </w:r>
      <w:r>
        <w:rPr>
          <w:rFonts w:ascii="Cambria"/>
          <w:color w:val="231F20"/>
          <w:sz w:val="21"/>
        </w:rPr>
        <w:t>use</w:t>
      </w:r>
      <w:r>
        <w:rPr>
          <w:rFonts w:ascii="Cambria"/>
          <w:color w:val="231F20"/>
          <w:spacing w:val="22"/>
          <w:sz w:val="21"/>
        </w:rPr>
        <w:t xml:space="preserve"> </w:t>
      </w:r>
      <w:r>
        <w:rPr>
          <w:rFonts w:ascii="Cambria"/>
          <w:color w:val="231F20"/>
          <w:sz w:val="21"/>
        </w:rPr>
        <w:t>the</w:t>
      </w:r>
      <w:r>
        <w:rPr>
          <w:rFonts w:ascii="Cambria"/>
          <w:color w:val="231F20"/>
          <w:spacing w:val="22"/>
          <w:sz w:val="21"/>
        </w:rPr>
        <w:t xml:space="preserve"> </w:t>
      </w:r>
      <w:r>
        <w:rPr>
          <w:rFonts w:ascii="Cambria"/>
          <w:color w:val="231F20"/>
          <w:sz w:val="21"/>
        </w:rPr>
        <w:t>same</w:t>
      </w:r>
      <w:r>
        <w:rPr>
          <w:rFonts w:ascii="Cambria"/>
          <w:color w:val="231F20"/>
          <w:spacing w:val="22"/>
          <w:sz w:val="21"/>
        </w:rPr>
        <w:t xml:space="preserve"> </w:t>
      </w:r>
      <w:r>
        <w:rPr>
          <w:rFonts w:ascii="Cambria"/>
          <w:color w:val="231F20"/>
          <w:sz w:val="21"/>
        </w:rPr>
        <w:t>area</w:t>
      </w:r>
      <w:r>
        <w:rPr>
          <w:rFonts w:ascii="Cambria"/>
          <w:color w:val="231F20"/>
          <w:spacing w:val="22"/>
          <w:sz w:val="21"/>
        </w:rPr>
        <w:t xml:space="preserve"> </w:t>
      </w:r>
      <w:r>
        <w:rPr>
          <w:rFonts w:ascii="Cambria"/>
          <w:color w:val="231F20"/>
          <w:sz w:val="21"/>
        </w:rPr>
        <w:t>of</w:t>
      </w:r>
      <w:r>
        <w:rPr>
          <w:rFonts w:ascii="Cambria"/>
          <w:color w:val="231F20"/>
          <w:spacing w:val="22"/>
          <w:sz w:val="21"/>
        </w:rPr>
        <w:t xml:space="preserve"> </w:t>
      </w:r>
      <w:r>
        <w:rPr>
          <w:rFonts w:ascii="Cambria"/>
          <w:color w:val="231F20"/>
          <w:sz w:val="21"/>
        </w:rPr>
        <w:t>land</w:t>
      </w:r>
      <w:r>
        <w:rPr>
          <w:rFonts w:ascii="Cambria"/>
          <w:color w:val="231F20"/>
          <w:spacing w:val="22"/>
          <w:sz w:val="21"/>
        </w:rPr>
        <w:t xml:space="preserve"> </w:t>
      </w:r>
      <w:r>
        <w:rPr>
          <w:rFonts w:ascii="Cambria"/>
          <w:color w:val="231F20"/>
          <w:sz w:val="21"/>
        </w:rPr>
        <w:t>or water but not at the same time.</w:t>
      </w:r>
    </w:p>
    <w:p w14:paraId="6E3B2C6D" w14:textId="77777777" w:rsidR="00AE0598" w:rsidRDefault="0069255A">
      <w:pPr>
        <w:pStyle w:val="PargrafodaLista"/>
        <w:numPr>
          <w:ilvl w:val="0"/>
          <w:numId w:val="8"/>
        </w:numPr>
        <w:tabs>
          <w:tab w:val="left" w:pos="490"/>
        </w:tabs>
        <w:spacing w:before="3" w:line="232" w:lineRule="auto"/>
        <w:ind w:right="127"/>
        <w:rPr>
          <w:rFonts w:ascii="Cambria"/>
          <w:sz w:val="21"/>
        </w:rPr>
      </w:pPr>
      <w:r>
        <w:rPr>
          <w:rFonts w:ascii="Cambria"/>
          <w:color w:val="231F20"/>
          <w:sz w:val="21"/>
        </w:rPr>
        <w:t>Incompatible:</w:t>
      </w:r>
      <w:r>
        <w:rPr>
          <w:rFonts w:ascii="Cambria"/>
          <w:color w:val="231F20"/>
          <w:spacing w:val="-1"/>
          <w:sz w:val="21"/>
        </w:rPr>
        <w:t xml:space="preserve"> </w:t>
      </w:r>
      <w:r>
        <w:rPr>
          <w:rFonts w:ascii="Cambria"/>
          <w:color w:val="231F20"/>
          <w:sz w:val="21"/>
        </w:rPr>
        <w:t>Sports</w:t>
      </w:r>
      <w:r>
        <w:rPr>
          <w:rFonts w:ascii="Cambria"/>
          <w:color w:val="231F20"/>
          <w:spacing w:val="-1"/>
          <w:sz w:val="21"/>
        </w:rPr>
        <w:t xml:space="preserve"> </w:t>
      </w:r>
      <w:r>
        <w:rPr>
          <w:rFonts w:ascii="Cambria"/>
          <w:color w:val="231F20"/>
          <w:sz w:val="21"/>
        </w:rPr>
        <w:t>that</w:t>
      </w:r>
      <w:r>
        <w:rPr>
          <w:rFonts w:ascii="Cambria"/>
          <w:color w:val="231F20"/>
          <w:spacing w:val="-1"/>
          <w:sz w:val="21"/>
        </w:rPr>
        <w:t xml:space="preserve"> </w:t>
      </w:r>
      <w:r>
        <w:rPr>
          <w:rFonts w:ascii="Cambria"/>
          <w:color w:val="231F20"/>
          <w:sz w:val="21"/>
        </w:rPr>
        <w:t>cannot</w:t>
      </w:r>
      <w:r>
        <w:rPr>
          <w:rFonts w:ascii="Cambria"/>
          <w:color w:val="231F20"/>
          <w:spacing w:val="-1"/>
          <w:sz w:val="21"/>
        </w:rPr>
        <w:t xml:space="preserve"> </w:t>
      </w:r>
      <w:r>
        <w:rPr>
          <w:rFonts w:ascii="Cambria"/>
          <w:color w:val="231F20"/>
          <w:sz w:val="21"/>
        </w:rPr>
        <w:t>use</w:t>
      </w:r>
      <w:r>
        <w:rPr>
          <w:rFonts w:ascii="Cambria"/>
          <w:color w:val="231F20"/>
          <w:spacing w:val="-1"/>
          <w:sz w:val="21"/>
        </w:rPr>
        <w:t xml:space="preserve"> </w:t>
      </w:r>
      <w:r>
        <w:rPr>
          <w:rFonts w:ascii="Cambria"/>
          <w:color w:val="231F20"/>
          <w:sz w:val="21"/>
        </w:rPr>
        <w:t>the</w:t>
      </w:r>
      <w:r>
        <w:rPr>
          <w:rFonts w:ascii="Cambria"/>
          <w:color w:val="231F20"/>
          <w:spacing w:val="-1"/>
          <w:sz w:val="21"/>
        </w:rPr>
        <w:t xml:space="preserve"> </w:t>
      </w:r>
      <w:r>
        <w:rPr>
          <w:rFonts w:ascii="Cambria"/>
          <w:color w:val="231F20"/>
          <w:sz w:val="21"/>
        </w:rPr>
        <w:t>same</w:t>
      </w:r>
      <w:r>
        <w:rPr>
          <w:rFonts w:ascii="Cambria"/>
          <w:color w:val="231F20"/>
          <w:spacing w:val="-1"/>
          <w:sz w:val="21"/>
        </w:rPr>
        <w:t xml:space="preserve"> </w:t>
      </w:r>
      <w:r>
        <w:rPr>
          <w:rFonts w:ascii="Cambria"/>
          <w:color w:val="231F20"/>
          <w:sz w:val="21"/>
        </w:rPr>
        <w:t>area</w:t>
      </w:r>
      <w:r>
        <w:rPr>
          <w:rFonts w:ascii="Cambria"/>
          <w:color w:val="231F20"/>
          <w:spacing w:val="-1"/>
          <w:sz w:val="21"/>
        </w:rPr>
        <w:t xml:space="preserve"> </w:t>
      </w:r>
      <w:r>
        <w:rPr>
          <w:rFonts w:ascii="Cambria"/>
          <w:color w:val="231F20"/>
          <w:sz w:val="21"/>
        </w:rPr>
        <w:t>of</w:t>
      </w:r>
      <w:r>
        <w:rPr>
          <w:rFonts w:ascii="Cambria"/>
          <w:color w:val="231F20"/>
          <w:spacing w:val="-1"/>
          <w:sz w:val="21"/>
        </w:rPr>
        <w:t xml:space="preserve"> </w:t>
      </w:r>
      <w:r>
        <w:rPr>
          <w:rFonts w:ascii="Cambria"/>
          <w:color w:val="231F20"/>
          <w:sz w:val="21"/>
        </w:rPr>
        <w:t>land</w:t>
      </w:r>
      <w:r>
        <w:rPr>
          <w:rFonts w:ascii="Cambria"/>
          <w:color w:val="231F20"/>
          <w:spacing w:val="-1"/>
          <w:sz w:val="21"/>
        </w:rPr>
        <w:t xml:space="preserve"> </w:t>
      </w:r>
      <w:r>
        <w:rPr>
          <w:rFonts w:ascii="Cambria"/>
          <w:color w:val="231F20"/>
          <w:sz w:val="21"/>
        </w:rPr>
        <w:t>or</w:t>
      </w:r>
      <w:r>
        <w:rPr>
          <w:rFonts w:ascii="Cambria"/>
          <w:color w:val="231F20"/>
          <w:spacing w:val="-1"/>
          <w:sz w:val="21"/>
        </w:rPr>
        <w:t xml:space="preserve"> </w:t>
      </w:r>
      <w:r>
        <w:rPr>
          <w:rFonts w:ascii="Cambria"/>
          <w:color w:val="231F20"/>
          <w:sz w:val="21"/>
        </w:rPr>
        <w:t>water and need to be zoned into exclusive spaces.</w:t>
      </w:r>
    </w:p>
    <w:p w14:paraId="6F2449B5" w14:textId="77777777" w:rsidR="00AE0598" w:rsidRDefault="00AE0598">
      <w:pPr>
        <w:pStyle w:val="Corpodetexto"/>
        <w:spacing w:before="7"/>
        <w:rPr>
          <w:sz w:val="20"/>
        </w:rPr>
      </w:pPr>
    </w:p>
    <w:p w14:paraId="5E2C852F" w14:textId="77777777" w:rsidR="00AE0598" w:rsidRDefault="0069255A">
      <w:pPr>
        <w:pStyle w:val="Corpodetexto"/>
        <w:spacing w:before="1" w:line="232" w:lineRule="auto"/>
        <w:ind w:left="110" w:right="126" w:firstLine="320"/>
        <w:jc w:val="both"/>
      </w:pPr>
      <w:r>
        <w:rPr>
          <w:color w:val="231F20"/>
          <w:spacing w:val="-2"/>
          <w:w w:val="95"/>
        </w:rPr>
        <w:t>The</w:t>
      </w:r>
      <w:r>
        <w:rPr>
          <w:color w:val="231F20"/>
          <w:spacing w:val="-7"/>
          <w:w w:val="95"/>
        </w:rPr>
        <w:t xml:space="preserve"> </w:t>
      </w:r>
      <w:r>
        <w:rPr>
          <w:color w:val="231F20"/>
          <w:spacing w:val="-2"/>
          <w:w w:val="95"/>
        </w:rPr>
        <w:t>extent</w:t>
      </w:r>
      <w:r>
        <w:rPr>
          <w:color w:val="231F20"/>
          <w:spacing w:val="-7"/>
          <w:w w:val="95"/>
        </w:rPr>
        <w:t xml:space="preserve"> </w:t>
      </w:r>
      <w:r>
        <w:rPr>
          <w:color w:val="231F20"/>
          <w:spacing w:val="-2"/>
          <w:w w:val="95"/>
        </w:rPr>
        <w:t>to</w:t>
      </w:r>
      <w:r>
        <w:rPr>
          <w:color w:val="231F20"/>
          <w:spacing w:val="-7"/>
          <w:w w:val="95"/>
        </w:rPr>
        <w:t xml:space="preserve"> </w:t>
      </w:r>
      <w:r>
        <w:rPr>
          <w:color w:val="231F20"/>
          <w:spacing w:val="-2"/>
          <w:w w:val="95"/>
        </w:rPr>
        <w:t>which</w:t>
      </w:r>
      <w:r>
        <w:rPr>
          <w:color w:val="231F20"/>
          <w:spacing w:val="-7"/>
          <w:w w:val="95"/>
        </w:rPr>
        <w:t xml:space="preserve"> </w:t>
      </w:r>
      <w:r>
        <w:rPr>
          <w:color w:val="231F20"/>
          <w:spacing w:val="-2"/>
          <w:w w:val="95"/>
        </w:rPr>
        <w:t>different</w:t>
      </w:r>
      <w:r>
        <w:rPr>
          <w:color w:val="231F20"/>
          <w:spacing w:val="-7"/>
          <w:w w:val="95"/>
        </w:rPr>
        <w:t xml:space="preserve"> </w:t>
      </w:r>
      <w:r>
        <w:rPr>
          <w:color w:val="231F20"/>
          <w:spacing w:val="-2"/>
          <w:w w:val="95"/>
        </w:rPr>
        <w:t>sports</w:t>
      </w:r>
      <w:r>
        <w:rPr>
          <w:color w:val="231F20"/>
          <w:spacing w:val="-7"/>
          <w:w w:val="95"/>
        </w:rPr>
        <w:t xml:space="preserve"> </w:t>
      </w:r>
      <w:r>
        <w:rPr>
          <w:color w:val="231F20"/>
          <w:spacing w:val="-2"/>
          <w:w w:val="95"/>
        </w:rPr>
        <w:t>demonstrate</w:t>
      </w:r>
      <w:r>
        <w:rPr>
          <w:color w:val="231F20"/>
          <w:spacing w:val="-7"/>
          <w:w w:val="95"/>
        </w:rPr>
        <w:t xml:space="preserve"> </w:t>
      </w:r>
      <w:r>
        <w:rPr>
          <w:color w:val="231F20"/>
          <w:spacing w:val="-2"/>
          <w:w w:val="95"/>
        </w:rPr>
        <w:t>compatibility</w:t>
      </w:r>
      <w:r>
        <w:rPr>
          <w:color w:val="231F20"/>
          <w:spacing w:val="-7"/>
          <w:w w:val="95"/>
        </w:rPr>
        <w:t xml:space="preserve"> </w:t>
      </w:r>
      <w:r>
        <w:rPr>
          <w:color w:val="231F20"/>
          <w:spacing w:val="-2"/>
          <w:w w:val="95"/>
        </w:rPr>
        <w:t>with</w:t>
      </w:r>
      <w:r>
        <w:rPr>
          <w:color w:val="231F20"/>
          <w:spacing w:val="-7"/>
          <w:w w:val="95"/>
        </w:rPr>
        <w:t xml:space="preserve"> </w:t>
      </w:r>
      <w:r>
        <w:rPr>
          <w:color w:val="231F20"/>
          <w:spacing w:val="-2"/>
          <w:w w:val="95"/>
        </w:rPr>
        <w:t xml:space="preserve">other </w:t>
      </w:r>
      <w:r>
        <w:rPr>
          <w:color w:val="231F20"/>
          <w:spacing w:val="-4"/>
        </w:rPr>
        <w:t xml:space="preserve">landscape users varies considerably. For example, motor sports and sports </w:t>
      </w:r>
      <w:r>
        <w:rPr>
          <w:color w:val="231F20"/>
          <w:w w:val="90"/>
        </w:rPr>
        <w:t xml:space="preserve">involving dangerous equipment (e.g. field archery) are essentially incompatible </w:t>
      </w:r>
      <w:r>
        <w:rPr>
          <w:color w:val="231F20"/>
          <w:w w:val="95"/>
        </w:rPr>
        <w:t>with</w:t>
      </w:r>
      <w:r>
        <w:rPr>
          <w:color w:val="231F20"/>
          <w:spacing w:val="-8"/>
          <w:w w:val="95"/>
        </w:rPr>
        <w:t xml:space="preserve"> </w:t>
      </w:r>
      <w:r>
        <w:rPr>
          <w:color w:val="231F20"/>
          <w:w w:val="95"/>
        </w:rPr>
        <w:t>other</w:t>
      </w:r>
      <w:r>
        <w:rPr>
          <w:color w:val="231F20"/>
          <w:spacing w:val="-8"/>
          <w:w w:val="95"/>
        </w:rPr>
        <w:t xml:space="preserve"> </w:t>
      </w:r>
      <w:r>
        <w:rPr>
          <w:color w:val="231F20"/>
          <w:w w:val="95"/>
        </w:rPr>
        <w:t>sports.</w:t>
      </w:r>
      <w:r>
        <w:rPr>
          <w:color w:val="231F20"/>
          <w:spacing w:val="-8"/>
          <w:w w:val="95"/>
        </w:rPr>
        <w:t xml:space="preserve"> </w:t>
      </w:r>
      <w:r>
        <w:rPr>
          <w:color w:val="231F20"/>
          <w:w w:val="95"/>
        </w:rPr>
        <w:t>The</w:t>
      </w:r>
      <w:r>
        <w:rPr>
          <w:color w:val="231F20"/>
          <w:spacing w:val="-8"/>
          <w:w w:val="95"/>
        </w:rPr>
        <w:t xml:space="preserve"> </w:t>
      </w:r>
      <w:r>
        <w:rPr>
          <w:color w:val="231F20"/>
          <w:w w:val="95"/>
        </w:rPr>
        <w:t>incompatibility</w:t>
      </w:r>
      <w:r>
        <w:rPr>
          <w:color w:val="231F20"/>
          <w:spacing w:val="-8"/>
          <w:w w:val="95"/>
        </w:rPr>
        <w:t xml:space="preserve"> </w:t>
      </w:r>
      <w:r>
        <w:rPr>
          <w:color w:val="231F20"/>
          <w:w w:val="95"/>
        </w:rPr>
        <w:t>of</w:t>
      </w:r>
      <w:r>
        <w:rPr>
          <w:color w:val="231F20"/>
          <w:spacing w:val="-8"/>
          <w:w w:val="95"/>
        </w:rPr>
        <w:t xml:space="preserve"> </w:t>
      </w:r>
      <w:r>
        <w:rPr>
          <w:color w:val="231F20"/>
          <w:w w:val="95"/>
        </w:rPr>
        <w:t>sports</w:t>
      </w:r>
      <w:r>
        <w:rPr>
          <w:color w:val="231F20"/>
          <w:spacing w:val="-8"/>
          <w:w w:val="95"/>
        </w:rPr>
        <w:t xml:space="preserve"> </w:t>
      </w:r>
      <w:r>
        <w:rPr>
          <w:color w:val="231F20"/>
          <w:w w:val="95"/>
        </w:rPr>
        <w:t>generally</w:t>
      </w:r>
      <w:r>
        <w:rPr>
          <w:color w:val="231F20"/>
          <w:spacing w:val="-8"/>
          <w:w w:val="95"/>
        </w:rPr>
        <w:t xml:space="preserve"> </w:t>
      </w:r>
      <w:r>
        <w:rPr>
          <w:color w:val="231F20"/>
          <w:w w:val="95"/>
        </w:rPr>
        <w:t>increa</w:t>
      </w:r>
      <w:r>
        <w:rPr>
          <w:color w:val="231F20"/>
          <w:w w:val="95"/>
        </w:rPr>
        <w:t>ses</w:t>
      </w:r>
      <w:r>
        <w:rPr>
          <w:color w:val="231F20"/>
          <w:spacing w:val="-8"/>
          <w:w w:val="95"/>
        </w:rPr>
        <w:t xml:space="preserve"> </w:t>
      </w:r>
      <w:r>
        <w:rPr>
          <w:color w:val="231F20"/>
          <w:w w:val="95"/>
        </w:rPr>
        <w:t>at</w:t>
      </w:r>
      <w:r>
        <w:rPr>
          <w:color w:val="231F20"/>
          <w:spacing w:val="-8"/>
          <w:w w:val="95"/>
        </w:rPr>
        <w:t xml:space="preserve"> </w:t>
      </w:r>
      <w:r>
        <w:rPr>
          <w:color w:val="231F20"/>
          <w:w w:val="95"/>
        </w:rPr>
        <w:t>higher levels</w:t>
      </w:r>
      <w:r>
        <w:rPr>
          <w:color w:val="231F20"/>
          <w:spacing w:val="-1"/>
          <w:w w:val="95"/>
        </w:rPr>
        <w:t xml:space="preserve"> </w:t>
      </w:r>
      <w:r>
        <w:rPr>
          <w:color w:val="231F20"/>
          <w:w w:val="95"/>
        </w:rPr>
        <w:t>of</w:t>
      </w:r>
      <w:r>
        <w:rPr>
          <w:color w:val="231F20"/>
          <w:spacing w:val="-1"/>
          <w:w w:val="95"/>
        </w:rPr>
        <w:t xml:space="preserve"> </w:t>
      </w:r>
      <w:r>
        <w:rPr>
          <w:color w:val="231F20"/>
          <w:w w:val="95"/>
        </w:rPr>
        <w:t>competition.</w:t>
      </w:r>
      <w:r>
        <w:rPr>
          <w:color w:val="231F20"/>
          <w:spacing w:val="-1"/>
          <w:w w:val="95"/>
        </w:rPr>
        <w:t xml:space="preserve"> </w:t>
      </w:r>
      <w:r>
        <w:rPr>
          <w:color w:val="231F20"/>
          <w:w w:val="95"/>
        </w:rPr>
        <w:t>Competitive</w:t>
      </w:r>
      <w:r>
        <w:rPr>
          <w:color w:val="231F20"/>
          <w:spacing w:val="-1"/>
          <w:w w:val="95"/>
        </w:rPr>
        <w:t xml:space="preserve"> </w:t>
      </w:r>
      <w:r>
        <w:rPr>
          <w:color w:val="231F20"/>
          <w:w w:val="95"/>
        </w:rPr>
        <w:t>or</w:t>
      </w:r>
      <w:r>
        <w:rPr>
          <w:color w:val="231F20"/>
          <w:spacing w:val="-1"/>
          <w:w w:val="95"/>
        </w:rPr>
        <w:t xml:space="preserve"> </w:t>
      </w:r>
      <w:r>
        <w:rPr>
          <w:color w:val="231F20"/>
          <w:w w:val="95"/>
        </w:rPr>
        <w:t>elite</w:t>
      </w:r>
      <w:r>
        <w:rPr>
          <w:color w:val="231F20"/>
          <w:spacing w:val="-1"/>
          <w:w w:val="95"/>
        </w:rPr>
        <w:t xml:space="preserve"> </w:t>
      </w:r>
      <w:r>
        <w:rPr>
          <w:color w:val="231F20"/>
          <w:w w:val="95"/>
        </w:rPr>
        <w:t>levels</w:t>
      </w:r>
      <w:r>
        <w:rPr>
          <w:color w:val="231F20"/>
          <w:spacing w:val="-1"/>
          <w:w w:val="95"/>
        </w:rPr>
        <w:t xml:space="preserve"> </w:t>
      </w:r>
      <w:r>
        <w:rPr>
          <w:color w:val="231F20"/>
          <w:w w:val="95"/>
        </w:rPr>
        <w:t>of</w:t>
      </w:r>
      <w:r>
        <w:rPr>
          <w:color w:val="231F20"/>
          <w:spacing w:val="-1"/>
          <w:w w:val="95"/>
        </w:rPr>
        <w:t xml:space="preserve"> </w:t>
      </w:r>
      <w:r>
        <w:rPr>
          <w:color w:val="231F20"/>
          <w:w w:val="95"/>
        </w:rPr>
        <w:t>sport</w:t>
      </w:r>
      <w:r>
        <w:rPr>
          <w:color w:val="231F20"/>
          <w:spacing w:val="-1"/>
          <w:w w:val="95"/>
        </w:rPr>
        <w:t xml:space="preserve"> </w:t>
      </w:r>
      <w:r>
        <w:rPr>
          <w:color w:val="231F20"/>
          <w:w w:val="95"/>
        </w:rPr>
        <w:t>require</w:t>
      </w:r>
      <w:r>
        <w:rPr>
          <w:color w:val="231F20"/>
          <w:spacing w:val="-1"/>
          <w:w w:val="95"/>
        </w:rPr>
        <w:t xml:space="preserve"> </w:t>
      </w:r>
      <w:r>
        <w:rPr>
          <w:color w:val="231F20"/>
          <w:w w:val="95"/>
        </w:rPr>
        <w:t>specialised and</w:t>
      </w:r>
      <w:r>
        <w:rPr>
          <w:color w:val="231F20"/>
          <w:spacing w:val="-2"/>
          <w:w w:val="95"/>
        </w:rPr>
        <w:t xml:space="preserve"> </w:t>
      </w:r>
      <w:r>
        <w:rPr>
          <w:color w:val="231F20"/>
          <w:w w:val="95"/>
        </w:rPr>
        <w:t>sometimes</w:t>
      </w:r>
      <w:r>
        <w:rPr>
          <w:color w:val="231F20"/>
          <w:spacing w:val="-2"/>
          <w:w w:val="95"/>
        </w:rPr>
        <w:t xml:space="preserve"> </w:t>
      </w:r>
      <w:r>
        <w:rPr>
          <w:color w:val="231F20"/>
          <w:w w:val="95"/>
        </w:rPr>
        <w:t>exclusive</w:t>
      </w:r>
      <w:r>
        <w:rPr>
          <w:color w:val="231F20"/>
          <w:spacing w:val="-2"/>
          <w:w w:val="95"/>
        </w:rPr>
        <w:t xml:space="preserve"> </w:t>
      </w:r>
      <w:r>
        <w:rPr>
          <w:color w:val="231F20"/>
          <w:w w:val="95"/>
        </w:rPr>
        <w:t>use</w:t>
      </w:r>
      <w:r>
        <w:rPr>
          <w:color w:val="231F20"/>
          <w:spacing w:val="-2"/>
          <w:w w:val="95"/>
        </w:rPr>
        <w:t xml:space="preserve"> </w:t>
      </w:r>
      <w:r>
        <w:rPr>
          <w:color w:val="231F20"/>
          <w:w w:val="95"/>
        </w:rPr>
        <w:t>of</w:t>
      </w:r>
      <w:r>
        <w:rPr>
          <w:color w:val="231F20"/>
          <w:spacing w:val="-2"/>
          <w:w w:val="95"/>
        </w:rPr>
        <w:t xml:space="preserve"> </w:t>
      </w:r>
      <w:r>
        <w:rPr>
          <w:color w:val="231F20"/>
          <w:w w:val="95"/>
        </w:rPr>
        <w:t>facilities.</w:t>
      </w:r>
      <w:r>
        <w:rPr>
          <w:color w:val="231F20"/>
          <w:spacing w:val="-2"/>
          <w:w w:val="95"/>
        </w:rPr>
        <w:t xml:space="preserve"> </w:t>
      </w:r>
      <w:r>
        <w:rPr>
          <w:color w:val="231F20"/>
          <w:w w:val="95"/>
        </w:rPr>
        <w:t>The</w:t>
      </w:r>
      <w:r>
        <w:rPr>
          <w:color w:val="231F20"/>
          <w:spacing w:val="-2"/>
          <w:w w:val="95"/>
        </w:rPr>
        <w:t xml:space="preserve"> </w:t>
      </w:r>
      <w:r>
        <w:rPr>
          <w:color w:val="231F20"/>
          <w:w w:val="95"/>
        </w:rPr>
        <w:t>sports</w:t>
      </w:r>
      <w:r>
        <w:rPr>
          <w:color w:val="231F20"/>
          <w:spacing w:val="-2"/>
          <w:w w:val="95"/>
        </w:rPr>
        <w:t xml:space="preserve"> </w:t>
      </w:r>
      <w:r>
        <w:rPr>
          <w:color w:val="231F20"/>
          <w:w w:val="95"/>
        </w:rPr>
        <w:t>manager,</w:t>
      </w:r>
      <w:r>
        <w:rPr>
          <w:color w:val="231F20"/>
          <w:spacing w:val="-2"/>
          <w:w w:val="95"/>
        </w:rPr>
        <w:t xml:space="preserve"> </w:t>
      </w:r>
      <w:r>
        <w:rPr>
          <w:color w:val="231F20"/>
          <w:w w:val="95"/>
        </w:rPr>
        <w:t>then,</w:t>
      </w:r>
      <w:r>
        <w:rPr>
          <w:color w:val="231F20"/>
          <w:spacing w:val="-2"/>
          <w:w w:val="95"/>
        </w:rPr>
        <w:t xml:space="preserve"> </w:t>
      </w:r>
      <w:r>
        <w:rPr>
          <w:color w:val="231F20"/>
          <w:w w:val="95"/>
        </w:rPr>
        <w:t>must</w:t>
      </w:r>
      <w:r>
        <w:rPr>
          <w:color w:val="231F20"/>
          <w:spacing w:val="-2"/>
          <w:w w:val="95"/>
        </w:rPr>
        <w:t xml:space="preserve"> </w:t>
      </w:r>
      <w:r>
        <w:rPr>
          <w:color w:val="231F20"/>
          <w:w w:val="95"/>
        </w:rPr>
        <w:t>be</w:t>
      </w:r>
    </w:p>
    <w:p w14:paraId="6CFE5395" w14:textId="77777777" w:rsidR="00AE0598" w:rsidRDefault="00AE0598">
      <w:pPr>
        <w:spacing w:line="232" w:lineRule="auto"/>
        <w:jc w:val="both"/>
        <w:sectPr w:rsidR="00AE0598">
          <w:pgSz w:w="8850" w:h="13270"/>
          <w:pgMar w:top="720" w:right="1060" w:bottom="280" w:left="1080" w:header="720" w:footer="720" w:gutter="0"/>
          <w:cols w:space="720"/>
        </w:sectPr>
      </w:pPr>
    </w:p>
    <w:p w14:paraId="73D97077" w14:textId="77777777" w:rsidR="00AE0598" w:rsidRDefault="0069255A">
      <w:pPr>
        <w:spacing w:before="87"/>
        <w:ind w:left="3064"/>
        <w:rPr>
          <w:rFonts w:ascii="Trebuchet MS"/>
          <w:sz w:val="14"/>
        </w:rPr>
      </w:pPr>
      <w:r>
        <w:rPr>
          <w:rFonts w:ascii="Trebuchet MS"/>
          <w:color w:val="231F20"/>
          <w:w w:val="105"/>
          <w:sz w:val="14"/>
        </w:rPr>
        <w:lastRenderedPageBreak/>
        <w:t>Environment:</w:t>
      </w:r>
      <w:r>
        <w:rPr>
          <w:rFonts w:ascii="Trebuchet MS"/>
          <w:color w:val="231F20"/>
          <w:spacing w:val="-12"/>
          <w:w w:val="105"/>
          <w:sz w:val="14"/>
        </w:rPr>
        <w:t xml:space="preserve"> </w:t>
      </w:r>
      <w:r>
        <w:rPr>
          <w:rFonts w:ascii="Trebuchet MS"/>
          <w:color w:val="231F20"/>
          <w:w w:val="105"/>
          <w:sz w:val="14"/>
        </w:rPr>
        <w:t>Landscape,</w:t>
      </w:r>
      <w:r>
        <w:rPr>
          <w:rFonts w:ascii="Trebuchet MS"/>
          <w:color w:val="231F20"/>
          <w:spacing w:val="-11"/>
          <w:w w:val="105"/>
          <w:sz w:val="14"/>
        </w:rPr>
        <w:t xml:space="preserve"> </w:t>
      </w:r>
      <w:r>
        <w:rPr>
          <w:rFonts w:ascii="Trebuchet MS"/>
          <w:color w:val="231F20"/>
          <w:w w:val="105"/>
          <w:sz w:val="14"/>
        </w:rPr>
        <w:t>Resources</w:t>
      </w:r>
      <w:r>
        <w:rPr>
          <w:rFonts w:ascii="Trebuchet MS"/>
          <w:color w:val="231F20"/>
          <w:spacing w:val="-11"/>
          <w:w w:val="105"/>
          <w:sz w:val="14"/>
        </w:rPr>
        <w:t xml:space="preserve"> </w:t>
      </w:r>
      <w:r>
        <w:rPr>
          <w:rFonts w:ascii="Trebuchet MS"/>
          <w:color w:val="231F20"/>
          <w:w w:val="105"/>
          <w:sz w:val="14"/>
        </w:rPr>
        <w:t>and</w:t>
      </w:r>
      <w:r>
        <w:rPr>
          <w:rFonts w:ascii="Trebuchet MS"/>
          <w:color w:val="231F20"/>
          <w:spacing w:val="-11"/>
          <w:w w:val="105"/>
          <w:sz w:val="14"/>
        </w:rPr>
        <w:t xml:space="preserve"> </w:t>
      </w:r>
      <w:r>
        <w:rPr>
          <w:rFonts w:ascii="Trebuchet MS"/>
          <w:color w:val="231F20"/>
          <w:w w:val="105"/>
          <w:sz w:val="14"/>
        </w:rPr>
        <w:t>Impacts</w:t>
      </w:r>
      <w:r>
        <w:rPr>
          <w:rFonts w:ascii="Trebuchet MS"/>
          <w:color w:val="231F20"/>
          <w:spacing w:val="49"/>
          <w:w w:val="105"/>
          <w:sz w:val="14"/>
        </w:rPr>
        <w:t xml:space="preserve"> </w:t>
      </w:r>
      <w:r>
        <w:rPr>
          <w:rFonts w:ascii="Trebuchet MS"/>
          <w:color w:val="231F20"/>
          <w:spacing w:val="-5"/>
          <w:w w:val="105"/>
          <w:sz w:val="14"/>
        </w:rPr>
        <w:t>147</w:t>
      </w:r>
    </w:p>
    <w:p w14:paraId="77BC7073" w14:textId="77777777" w:rsidR="00AE0598" w:rsidRDefault="00AE0598">
      <w:pPr>
        <w:pStyle w:val="Corpodetexto"/>
        <w:rPr>
          <w:rFonts w:ascii="Trebuchet MS"/>
          <w:sz w:val="16"/>
        </w:rPr>
      </w:pPr>
    </w:p>
    <w:p w14:paraId="1332E949" w14:textId="77777777" w:rsidR="00AE0598" w:rsidRDefault="0069255A">
      <w:pPr>
        <w:pStyle w:val="Corpodetexto"/>
        <w:spacing w:before="118" w:line="232" w:lineRule="auto"/>
        <w:ind w:left="110" w:right="127"/>
        <w:jc w:val="both"/>
      </w:pPr>
      <w:r>
        <w:rPr>
          <w:color w:val="231F20"/>
          <w:w w:val="90"/>
        </w:rPr>
        <w:t xml:space="preserve">mindful of the required balance between specialisation and multiple use in the </w:t>
      </w:r>
      <w:r>
        <w:rPr>
          <w:color w:val="231F20"/>
          <w:w w:val="95"/>
        </w:rPr>
        <w:t>design</w:t>
      </w:r>
      <w:r>
        <w:rPr>
          <w:color w:val="231F20"/>
          <w:spacing w:val="-1"/>
          <w:w w:val="95"/>
        </w:rPr>
        <w:t xml:space="preserve"> </w:t>
      </w:r>
      <w:r>
        <w:rPr>
          <w:color w:val="231F20"/>
          <w:w w:val="95"/>
        </w:rPr>
        <w:t>of</w:t>
      </w:r>
      <w:r>
        <w:rPr>
          <w:color w:val="231F20"/>
          <w:spacing w:val="-1"/>
          <w:w w:val="95"/>
        </w:rPr>
        <w:t xml:space="preserve"> </w:t>
      </w:r>
      <w:r>
        <w:rPr>
          <w:color w:val="231F20"/>
          <w:w w:val="95"/>
        </w:rPr>
        <w:t>sports</w:t>
      </w:r>
      <w:r>
        <w:rPr>
          <w:color w:val="231F20"/>
          <w:spacing w:val="-1"/>
          <w:w w:val="95"/>
        </w:rPr>
        <w:t xml:space="preserve"> </w:t>
      </w:r>
      <w:r>
        <w:rPr>
          <w:color w:val="231F20"/>
          <w:w w:val="95"/>
        </w:rPr>
        <w:t>facilities.</w:t>
      </w:r>
      <w:r>
        <w:rPr>
          <w:color w:val="231F20"/>
          <w:spacing w:val="-1"/>
          <w:w w:val="95"/>
        </w:rPr>
        <w:t xml:space="preserve"> </w:t>
      </w:r>
      <w:r>
        <w:rPr>
          <w:color w:val="231F20"/>
          <w:w w:val="95"/>
        </w:rPr>
        <w:t>Following</w:t>
      </w:r>
      <w:r>
        <w:rPr>
          <w:color w:val="231F20"/>
          <w:spacing w:val="-1"/>
          <w:w w:val="95"/>
        </w:rPr>
        <w:t xml:space="preserve"> </w:t>
      </w:r>
      <w:r>
        <w:rPr>
          <w:color w:val="231F20"/>
          <w:w w:val="95"/>
        </w:rPr>
        <w:t>the</w:t>
      </w:r>
      <w:r>
        <w:rPr>
          <w:color w:val="231F20"/>
          <w:spacing w:val="-1"/>
          <w:w w:val="95"/>
        </w:rPr>
        <w:t xml:space="preserve"> </w:t>
      </w:r>
      <w:r>
        <w:rPr>
          <w:color w:val="231F20"/>
          <w:w w:val="95"/>
        </w:rPr>
        <w:t>lessons</w:t>
      </w:r>
      <w:r>
        <w:rPr>
          <w:color w:val="231F20"/>
          <w:spacing w:val="-1"/>
          <w:w w:val="95"/>
        </w:rPr>
        <w:t xml:space="preserve"> </w:t>
      </w:r>
      <w:r>
        <w:rPr>
          <w:color w:val="231F20"/>
          <w:w w:val="95"/>
        </w:rPr>
        <w:t>learned</w:t>
      </w:r>
      <w:r>
        <w:rPr>
          <w:color w:val="231F20"/>
          <w:spacing w:val="-1"/>
          <w:w w:val="95"/>
        </w:rPr>
        <w:t xml:space="preserve"> </w:t>
      </w:r>
      <w:r>
        <w:rPr>
          <w:color w:val="231F20"/>
          <w:w w:val="95"/>
        </w:rPr>
        <w:t>in</w:t>
      </w:r>
      <w:r>
        <w:rPr>
          <w:color w:val="231F20"/>
          <w:spacing w:val="-1"/>
          <w:w w:val="95"/>
        </w:rPr>
        <w:t xml:space="preserve"> </w:t>
      </w:r>
      <w:r>
        <w:rPr>
          <w:color w:val="231F20"/>
          <w:w w:val="95"/>
        </w:rPr>
        <w:t>Montreal</w:t>
      </w:r>
      <w:r>
        <w:rPr>
          <w:color w:val="231F20"/>
          <w:spacing w:val="-1"/>
          <w:w w:val="95"/>
        </w:rPr>
        <w:t xml:space="preserve"> </w:t>
      </w:r>
      <w:r>
        <w:rPr>
          <w:color w:val="231F20"/>
          <w:w w:val="95"/>
        </w:rPr>
        <w:t xml:space="preserve">(1976), the Sydney (2000) and London (2012) Olympic stadiums were designed for </w:t>
      </w:r>
      <w:r>
        <w:rPr>
          <w:color w:val="231F20"/>
          <w:spacing w:val="-2"/>
        </w:rPr>
        <w:t>post-event</w:t>
      </w:r>
      <w:r>
        <w:rPr>
          <w:color w:val="231F20"/>
          <w:spacing w:val="-10"/>
        </w:rPr>
        <w:t xml:space="preserve"> </w:t>
      </w:r>
      <w:r>
        <w:rPr>
          <w:color w:val="231F20"/>
          <w:spacing w:val="-2"/>
        </w:rPr>
        <w:t>downsizing</w:t>
      </w:r>
      <w:r>
        <w:rPr>
          <w:color w:val="231F20"/>
          <w:spacing w:val="-10"/>
        </w:rPr>
        <w:t xml:space="preserve"> </w:t>
      </w:r>
      <w:r>
        <w:rPr>
          <w:color w:val="231F20"/>
          <w:spacing w:val="-2"/>
        </w:rPr>
        <w:t>for</w:t>
      </w:r>
      <w:r>
        <w:rPr>
          <w:color w:val="231F20"/>
          <w:spacing w:val="-9"/>
        </w:rPr>
        <w:t xml:space="preserve"> </w:t>
      </w:r>
      <w:r>
        <w:rPr>
          <w:color w:val="231F20"/>
          <w:spacing w:val="-2"/>
        </w:rPr>
        <w:t>subsequent</w:t>
      </w:r>
      <w:r>
        <w:rPr>
          <w:color w:val="231F20"/>
          <w:spacing w:val="-10"/>
        </w:rPr>
        <w:t xml:space="preserve"> </w:t>
      </w:r>
      <w:r>
        <w:rPr>
          <w:color w:val="231F20"/>
          <w:spacing w:val="-2"/>
        </w:rPr>
        <w:t>use.</w:t>
      </w:r>
    </w:p>
    <w:p w14:paraId="232C5297" w14:textId="77777777" w:rsidR="00AE0598" w:rsidRDefault="0069255A">
      <w:pPr>
        <w:pStyle w:val="Corpodetexto"/>
        <w:spacing w:before="5" w:line="232" w:lineRule="auto"/>
        <w:ind w:left="110" w:right="127" w:firstLine="320"/>
        <w:jc w:val="both"/>
      </w:pPr>
      <w:r>
        <w:rPr>
          <w:color w:val="231F20"/>
          <w:w w:val="95"/>
        </w:rPr>
        <w:t>The development of multiple-use facilities, particularly those that cater for sports at various levels of competition (ranging from loc</w:t>
      </w:r>
      <w:r>
        <w:rPr>
          <w:color w:val="231F20"/>
          <w:w w:val="95"/>
        </w:rPr>
        <w:t xml:space="preserve">al/recreational </w:t>
      </w:r>
      <w:r>
        <w:rPr>
          <w:color w:val="231F20"/>
        </w:rPr>
        <w:t xml:space="preserve">to </w:t>
      </w:r>
      <w:r>
        <w:rPr>
          <w:color w:val="231F20"/>
          <w:spacing w:val="3"/>
          <w:w w:val="101"/>
        </w:rPr>
        <w:t>i</w:t>
      </w:r>
      <w:r>
        <w:rPr>
          <w:color w:val="231F20"/>
          <w:spacing w:val="-1"/>
          <w:w w:val="99"/>
        </w:rPr>
        <w:t>n</w:t>
      </w:r>
      <w:r>
        <w:rPr>
          <w:color w:val="231F20"/>
          <w:spacing w:val="1"/>
          <w:w w:val="94"/>
        </w:rPr>
        <w:t>te</w:t>
      </w:r>
      <w:r>
        <w:rPr>
          <w:color w:val="231F20"/>
          <w:spacing w:val="3"/>
          <w:w w:val="94"/>
        </w:rPr>
        <w:t>r</w:t>
      </w:r>
      <w:r>
        <w:rPr>
          <w:color w:val="231F20"/>
          <w:spacing w:val="1"/>
          <w:w w:val="99"/>
        </w:rPr>
        <w:t>n</w:t>
      </w:r>
      <w:r>
        <w:rPr>
          <w:color w:val="231F20"/>
          <w:spacing w:val="-2"/>
          <w:w w:val="102"/>
        </w:rPr>
        <w:t>a</w:t>
      </w:r>
      <w:r>
        <w:rPr>
          <w:color w:val="231F20"/>
          <w:spacing w:val="3"/>
          <w:w w:val="99"/>
        </w:rPr>
        <w:t>t</w:t>
      </w:r>
      <w:r>
        <w:rPr>
          <w:color w:val="231F20"/>
          <w:spacing w:val="-2"/>
          <w:w w:val="101"/>
        </w:rPr>
        <w:t>i</w:t>
      </w:r>
      <w:r>
        <w:rPr>
          <w:color w:val="231F20"/>
          <w:spacing w:val="-1"/>
          <w:w w:val="104"/>
        </w:rPr>
        <w:t>o</w:t>
      </w:r>
      <w:r>
        <w:rPr>
          <w:color w:val="231F20"/>
          <w:spacing w:val="1"/>
        </w:rPr>
        <w:t>n</w:t>
      </w:r>
      <w:r>
        <w:rPr>
          <w:color w:val="231F20"/>
          <w:spacing w:val="3"/>
        </w:rPr>
        <w:t>a</w:t>
      </w:r>
      <w:r>
        <w:rPr>
          <w:color w:val="231F20"/>
          <w:spacing w:val="8"/>
          <w:w w:val="103"/>
        </w:rPr>
        <w:t>l</w:t>
      </w:r>
      <w:r>
        <w:rPr>
          <w:color w:val="231F20"/>
          <w:spacing w:val="-8"/>
          <w:w w:val="61"/>
        </w:rPr>
        <w:t>/</w:t>
      </w:r>
      <w:r>
        <w:rPr>
          <w:color w:val="231F20"/>
          <w:spacing w:val="1"/>
          <w:w w:val="101"/>
        </w:rPr>
        <w:t>ch</w:t>
      </w:r>
      <w:r>
        <w:rPr>
          <w:color w:val="231F20"/>
          <w:spacing w:val="2"/>
          <w:w w:val="101"/>
        </w:rPr>
        <w:t>a</w:t>
      </w:r>
      <w:r>
        <w:rPr>
          <w:color w:val="231F20"/>
          <w:spacing w:val="-1"/>
        </w:rPr>
        <w:t>m</w:t>
      </w:r>
      <w:r>
        <w:rPr>
          <w:color w:val="231F20"/>
          <w:spacing w:val="-1"/>
          <w:w w:val="99"/>
        </w:rPr>
        <w:t>p</w:t>
      </w:r>
      <w:r>
        <w:rPr>
          <w:color w:val="231F20"/>
          <w:spacing w:val="-2"/>
          <w:w w:val="101"/>
        </w:rPr>
        <w:t>i</w:t>
      </w:r>
      <w:r>
        <w:rPr>
          <w:color w:val="231F20"/>
          <w:spacing w:val="-1"/>
          <w:w w:val="104"/>
        </w:rPr>
        <w:t>o</w:t>
      </w:r>
      <w:r>
        <w:rPr>
          <w:color w:val="231F20"/>
          <w:spacing w:val="1"/>
          <w:w w:val="99"/>
        </w:rPr>
        <w:t>n</w:t>
      </w:r>
      <w:r>
        <w:rPr>
          <w:color w:val="231F20"/>
          <w:spacing w:val="1"/>
          <w:w w:val="96"/>
        </w:rPr>
        <w:t>s</w:t>
      </w:r>
      <w:r>
        <w:rPr>
          <w:color w:val="231F20"/>
          <w:spacing w:val="4"/>
          <w:w w:val="96"/>
        </w:rPr>
        <w:t>h</w:t>
      </w:r>
      <w:r>
        <w:rPr>
          <w:color w:val="231F20"/>
          <w:spacing w:val="-2"/>
          <w:w w:val="101"/>
        </w:rPr>
        <w:t>i</w:t>
      </w:r>
      <w:r>
        <w:rPr>
          <w:color w:val="231F20"/>
          <w:spacing w:val="-7"/>
          <w:w w:val="99"/>
        </w:rPr>
        <w:t>p</w:t>
      </w:r>
      <w:r>
        <w:rPr>
          <w:color w:val="231F20"/>
          <w:spacing w:val="-6"/>
          <w:w w:val="88"/>
        </w:rPr>
        <w:t>)</w:t>
      </w:r>
      <w:r>
        <w:rPr>
          <w:color w:val="231F20"/>
          <w:w w:val="136"/>
        </w:rPr>
        <w:t>,</w:t>
      </w:r>
      <w:r>
        <w:rPr>
          <w:color w:val="231F20"/>
          <w:w w:val="99"/>
        </w:rPr>
        <w:t xml:space="preserve"> </w:t>
      </w:r>
      <w:r>
        <w:rPr>
          <w:color w:val="231F20"/>
        </w:rPr>
        <w:t>may diversify and expand the user and spectator</w:t>
      </w:r>
      <w:r>
        <w:rPr>
          <w:color w:val="231F20"/>
          <w:spacing w:val="-11"/>
        </w:rPr>
        <w:t xml:space="preserve"> </w:t>
      </w:r>
      <w:r>
        <w:rPr>
          <w:color w:val="231F20"/>
        </w:rPr>
        <w:t>market</w:t>
      </w:r>
      <w:r>
        <w:rPr>
          <w:color w:val="231F20"/>
          <w:spacing w:val="-11"/>
        </w:rPr>
        <w:t xml:space="preserve"> </w:t>
      </w:r>
      <w:r>
        <w:rPr>
          <w:color w:val="231F20"/>
        </w:rPr>
        <w:t>catchments</w:t>
      </w:r>
      <w:r>
        <w:rPr>
          <w:color w:val="231F20"/>
          <w:spacing w:val="-11"/>
        </w:rPr>
        <w:t xml:space="preserve"> </w:t>
      </w:r>
      <w:r>
        <w:rPr>
          <w:color w:val="231F20"/>
        </w:rPr>
        <w:t>for</w:t>
      </w:r>
      <w:r>
        <w:rPr>
          <w:color w:val="231F20"/>
          <w:spacing w:val="-11"/>
        </w:rPr>
        <w:t xml:space="preserve"> </w:t>
      </w:r>
      <w:r>
        <w:rPr>
          <w:color w:val="231F20"/>
        </w:rPr>
        <w:t>a</w:t>
      </w:r>
      <w:r>
        <w:rPr>
          <w:color w:val="231F20"/>
          <w:spacing w:val="-11"/>
        </w:rPr>
        <w:t xml:space="preserve"> </w:t>
      </w:r>
      <w:r>
        <w:rPr>
          <w:color w:val="231F20"/>
        </w:rPr>
        <w:t>facility.</w:t>
      </w:r>
      <w:r>
        <w:rPr>
          <w:color w:val="231F20"/>
          <w:spacing w:val="-11"/>
        </w:rPr>
        <w:t xml:space="preserve"> </w:t>
      </w:r>
      <w:r>
        <w:rPr>
          <w:color w:val="231F20"/>
        </w:rPr>
        <w:t>Consideration</w:t>
      </w:r>
      <w:r>
        <w:rPr>
          <w:color w:val="231F20"/>
          <w:spacing w:val="-11"/>
        </w:rPr>
        <w:t xml:space="preserve"> </w:t>
      </w:r>
      <w:r>
        <w:rPr>
          <w:color w:val="231F20"/>
        </w:rPr>
        <w:t>should</w:t>
      </w:r>
      <w:r>
        <w:rPr>
          <w:color w:val="231F20"/>
          <w:spacing w:val="-11"/>
        </w:rPr>
        <w:t xml:space="preserve"> </w:t>
      </w:r>
      <w:r>
        <w:rPr>
          <w:color w:val="231F20"/>
        </w:rPr>
        <w:t>be</w:t>
      </w:r>
      <w:r>
        <w:rPr>
          <w:color w:val="231F20"/>
          <w:spacing w:val="-11"/>
        </w:rPr>
        <w:t xml:space="preserve"> </w:t>
      </w:r>
      <w:r>
        <w:rPr>
          <w:color w:val="231F20"/>
        </w:rPr>
        <w:t xml:space="preserve">given to both the spatial (e.g. dimensions of the playing surface, parking and spectator capacities) and temporal (e.g. daily/week use patterns, sport </w:t>
      </w:r>
      <w:r>
        <w:rPr>
          <w:color w:val="231F20"/>
          <w:w w:val="95"/>
        </w:rPr>
        <w:t>seasonality)</w:t>
      </w:r>
      <w:r>
        <w:rPr>
          <w:color w:val="231F20"/>
          <w:spacing w:val="-3"/>
          <w:w w:val="95"/>
        </w:rPr>
        <w:t xml:space="preserve"> </w:t>
      </w:r>
      <w:r>
        <w:rPr>
          <w:color w:val="231F20"/>
          <w:w w:val="95"/>
        </w:rPr>
        <w:t>compatibility</w:t>
      </w:r>
      <w:r>
        <w:rPr>
          <w:color w:val="231F20"/>
          <w:spacing w:val="-3"/>
          <w:w w:val="95"/>
        </w:rPr>
        <w:t xml:space="preserve"> </w:t>
      </w:r>
      <w:r>
        <w:rPr>
          <w:color w:val="231F20"/>
          <w:w w:val="95"/>
        </w:rPr>
        <w:t>of</w:t>
      </w:r>
      <w:r>
        <w:rPr>
          <w:color w:val="231F20"/>
          <w:spacing w:val="-3"/>
          <w:w w:val="95"/>
        </w:rPr>
        <w:t xml:space="preserve"> </w:t>
      </w:r>
      <w:r>
        <w:rPr>
          <w:color w:val="231F20"/>
          <w:w w:val="95"/>
        </w:rPr>
        <w:t>sports</w:t>
      </w:r>
      <w:r>
        <w:rPr>
          <w:color w:val="231F20"/>
          <w:spacing w:val="-3"/>
          <w:w w:val="95"/>
        </w:rPr>
        <w:t xml:space="preserve"> </w:t>
      </w:r>
      <w:r>
        <w:rPr>
          <w:color w:val="231F20"/>
          <w:w w:val="95"/>
        </w:rPr>
        <w:t>that</w:t>
      </w:r>
      <w:r>
        <w:rPr>
          <w:color w:val="231F20"/>
          <w:spacing w:val="-3"/>
          <w:w w:val="95"/>
        </w:rPr>
        <w:t xml:space="preserve"> </w:t>
      </w:r>
      <w:r>
        <w:rPr>
          <w:color w:val="231F20"/>
          <w:w w:val="95"/>
        </w:rPr>
        <w:t>may</w:t>
      </w:r>
      <w:r>
        <w:rPr>
          <w:color w:val="231F20"/>
          <w:spacing w:val="-3"/>
          <w:w w:val="95"/>
        </w:rPr>
        <w:t xml:space="preserve"> </w:t>
      </w:r>
      <w:r>
        <w:rPr>
          <w:color w:val="231F20"/>
          <w:w w:val="95"/>
        </w:rPr>
        <w:t>derive</w:t>
      </w:r>
      <w:r>
        <w:rPr>
          <w:color w:val="231F20"/>
          <w:spacing w:val="-3"/>
          <w:w w:val="95"/>
        </w:rPr>
        <w:t xml:space="preserve"> </w:t>
      </w:r>
      <w:r>
        <w:rPr>
          <w:color w:val="231F20"/>
          <w:w w:val="95"/>
        </w:rPr>
        <w:t>mutual</w:t>
      </w:r>
      <w:r>
        <w:rPr>
          <w:color w:val="231F20"/>
          <w:spacing w:val="-3"/>
          <w:w w:val="95"/>
        </w:rPr>
        <w:t xml:space="preserve"> </w:t>
      </w:r>
      <w:r>
        <w:rPr>
          <w:color w:val="231F20"/>
          <w:w w:val="95"/>
        </w:rPr>
        <w:t>benefit</w:t>
      </w:r>
      <w:r>
        <w:rPr>
          <w:color w:val="231F20"/>
          <w:spacing w:val="-4"/>
          <w:w w:val="95"/>
        </w:rPr>
        <w:t xml:space="preserve"> </w:t>
      </w:r>
      <w:r>
        <w:rPr>
          <w:color w:val="231F20"/>
          <w:w w:val="95"/>
        </w:rPr>
        <w:t>from</w:t>
      </w:r>
      <w:r>
        <w:rPr>
          <w:color w:val="231F20"/>
          <w:spacing w:val="-3"/>
          <w:w w:val="95"/>
        </w:rPr>
        <w:t xml:space="preserve"> </w:t>
      </w:r>
      <w:r>
        <w:rPr>
          <w:color w:val="231F20"/>
          <w:w w:val="95"/>
        </w:rPr>
        <w:t xml:space="preserve">the </w:t>
      </w:r>
      <w:r>
        <w:rPr>
          <w:color w:val="231F20"/>
        </w:rPr>
        <w:t>use</w:t>
      </w:r>
      <w:r>
        <w:rPr>
          <w:color w:val="231F20"/>
          <w:spacing w:val="-10"/>
        </w:rPr>
        <w:t xml:space="preserve"> </w:t>
      </w:r>
      <w:r>
        <w:rPr>
          <w:color w:val="231F20"/>
        </w:rPr>
        <w:t>of</w:t>
      </w:r>
      <w:r>
        <w:rPr>
          <w:color w:val="231F20"/>
          <w:spacing w:val="-10"/>
        </w:rPr>
        <w:t xml:space="preserve"> </w:t>
      </w:r>
      <w:r>
        <w:rPr>
          <w:color w:val="231F20"/>
        </w:rPr>
        <w:t>a</w:t>
      </w:r>
      <w:r>
        <w:rPr>
          <w:color w:val="231F20"/>
          <w:spacing w:val="-10"/>
        </w:rPr>
        <w:t xml:space="preserve"> </w:t>
      </w:r>
      <w:r>
        <w:rPr>
          <w:color w:val="231F20"/>
        </w:rPr>
        <w:t>multiple-use</w:t>
      </w:r>
      <w:r>
        <w:rPr>
          <w:color w:val="231F20"/>
          <w:spacing w:val="-10"/>
        </w:rPr>
        <w:t xml:space="preserve"> </w:t>
      </w:r>
      <w:r>
        <w:rPr>
          <w:color w:val="231F20"/>
        </w:rPr>
        <w:t>facility.</w:t>
      </w:r>
      <w:r>
        <w:rPr>
          <w:color w:val="231F20"/>
          <w:spacing w:val="-10"/>
        </w:rPr>
        <w:t xml:space="preserve"> </w:t>
      </w:r>
      <w:r>
        <w:rPr>
          <w:color w:val="231F20"/>
        </w:rPr>
        <w:t>In</w:t>
      </w:r>
      <w:r>
        <w:rPr>
          <w:color w:val="231F20"/>
          <w:spacing w:val="-10"/>
        </w:rPr>
        <w:t xml:space="preserve"> </w:t>
      </w:r>
      <w:r>
        <w:rPr>
          <w:color w:val="231F20"/>
        </w:rPr>
        <w:t>some</w:t>
      </w:r>
      <w:r>
        <w:rPr>
          <w:color w:val="231F20"/>
          <w:spacing w:val="-10"/>
        </w:rPr>
        <w:t xml:space="preserve"> </w:t>
      </w:r>
      <w:r>
        <w:rPr>
          <w:color w:val="231F20"/>
        </w:rPr>
        <w:t>cases,</w:t>
      </w:r>
      <w:r>
        <w:rPr>
          <w:color w:val="231F20"/>
          <w:spacing w:val="-10"/>
        </w:rPr>
        <w:t xml:space="preserve"> </w:t>
      </w:r>
      <w:r>
        <w:rPr>
          <w:color w:val="231F20"/>
        </w:rPr>
        <w:t>however,</w:t>
      </w:r>
      <w:r>
        <w:rPr>
          <w:color w:val="231F20"/>
          <w:spacing w:val="-10"/>
        </w:rPr>
        <w:t xml:space="preserve"> </w:t>
      </w:r>
      <w:r>
        <w:rPr>
          <w:color w:val="231F20"/>
        </w:rPr>
        <w:t>the</w:t>
      </w:r>
      <w:r>
        <w:rPr>
          <w:color w:val="231F20"/>
          <w:spacing w:val="-10"/>
        </w:rPr>
        <w:t xml:space="preserve"> </w:t>
      </w:r>
      <w:r>
        <w:rPr>
          <w:color w:val="231F20"/>
        </w:rPr>
        <w:t>development</w:t>
      </w:r>
      <w:r>
        <w:rPr>
          <w:color w:val="231F20"/>
          <w:spacing w:val="-10"/>
        </w:rPr>
        <w:t xml:space="preserve"> </w:t>
      </w:r>
      <w:r>
        <w:rPr>
          <w:color w:val="231F20"/>
        </w:rPr>
        <w:t xml:space="preserve">of </w:t>
      </w:r>
      <w:r>
        <w:rPr>
          <w:color w:val="231F20"/>
          <w:w w:val="95"/>
        </w:rPr>
        <w:t xml:space="preserve">generalised or multiple-use facilities can cause unacceptable compromises to the sport experiences of both participants and spectators. Stadiums with </w:t>
      </w:r>
      <w:r>
        <w:rPr>
          <w:color w:val="231F20"/>
        </w:rPr>
        <w:t>running tracks, for example, typically a</w:t>
      </w:r>
      <w:r>
        <w:rPr>
          <w:color w:val="231F20"/>
        </w:rPr>
        <w:t>re characterised by non-optimal viewing for a high proportion of spectators (Bale, 1989).</w:t>
      </w:r>
    </w:p>
    <w:p w14:paraId="76691FC0" w14:textId="77777777" w:rsidR="00AE0598" w:rsidRDefault="0069255A">
      <w:pPr>
        <w:pStyle w:val="Corpodetexto"/>
        <w:spacing w:before="14" w:line="232" w:lineRule="auto"/>
        <w:ind w:left="110" w:right="127" w:firstLine="320"/>
        <w:jc w:val="both"/>
      </w:pPr>
      <w:r>
        <w:rPr>
          <w:color w:val="231F20"/>
          <w:w w:val="90"/>
        </w:rPr>
        <w:t>The</w:t>
      </w:r>
      <w:r>
        <w:rPr>
          <w:color w:val="231F20"/>
        </w:rPr>
        <w:t xml:space="preserve"> </w:t>
      </w:r>
      <w:r>
        <w:rPr>
          <w:color w:val="231F20"/>
          <w:w w:val="90"/>
        </w:rPr>
        <w:t>issue</w:t>
      </w:r>
      <w:r>
        <w:rPr>
          <w:color w:val="231F20"/>
        </w:rPr>
        <w:t xml:space="preserve"> </w:t>
      </w:r>
      <w:r>
        <w:rPr>
          <w:color w:val="231F20"/>
          <w:w w:val="90"/>
        </w:rPr>
        <w:t>of</w:t>
      </w:r>
      <w:r>
        <w:rPr>
          <w:color w:val="231F20"/>
        </w:rPr>
        <w:t xml:space="preserve"> </w:t>
      </w:r>
      <w:r>
        <w:rPr>
          <w:color w:val="231F20"/>
          <w:w w:val="90"/>
        </w:rPr>
        <w:t>compatibility</w:t>
      </w:r>
      <w:r>
        <w:rPr>
          <w:color w:val="231F20"/>
        </w:rPr>
        <w:t xml:space="preserve"> </w:t>
      </w:r>
      <w:r>
        <w:rPr>
          <w:color w:val="231F20"/>
          <w:w w:val="90"/>
        </w:rPr>
        <w:t>in</w:t>
      </w:r>
      <w:r>
        <w:rPr>
          <w:color w:val="231F20"/>
        </w:rPr>
        <w:t xml:space="preserve"> </w:t>
      </w:r>
      <w:r>
        <w:rPr>
          <w:color w:val="231F20"/>
          <w:w w:val="90"/>
        </w:rPr>
        <w:t>the</w:t>
      </w:r>
      <w:r>
        <w:rPr>
          <w:color w:val="231F20"/>
        </w:rPr>
        <w:t xml:space="preserve"> </w:t>
      </w:r>
      <w:r>
        <w:rPr>
          <w:color w:val="231F20"/>
          <w:w w:val="90"/>
        </w:rPr>
        <w:t>built</w:t>
      </w:r>
      <w:r>
        <w:rPr>
          <w:color w:val="231F20"/>
        </w:rPr>
        <w:t xml:space="preserve"> </w:t>
      </w:r>
      <w:r>
        <w:rPr>
          <w:color w:val="231F20"/>
          <w:w w:val="90"/>
        </w:rPr>
        <w:t>landscape</w:t>
      </w:r>
      <w:r>
        <w:rPr>
          <w:color w:val="231F20"/>
        </w:rPr>
        <w:t xml:space="preserve"> </w:t>
      </w:r>
      <w:r>
        <w:rPr>
          <w:color w:val="231F20"/>
          <w:w w:val="90"/>
        </w:rPr>
        <w:t>extends</w:t>
      </w:r>
      <w:r>
        <w:rPr>
          <w:color w:val="231F20"/>
        </w:rPr>
        <w:t xml:space="preserve"> </w:t>
      </w:r>
      <w:r>
        <w:rPr>
          <w:color w:val="231F20"/>
          <w:w w:val="90"/>
        </w:rPr>
        <w:t>to</w:t>
      </w:r>
      <w:r>
        <w:rPr>
          <w:color w:val="231F20"/>
        </w:rPr>
        <w:t xml:space="preserve"> </w:t>
      </w:r>
      <w:r>
        <w:rPr>
          <w:color w:val="231F20"/>
          <w:w w:val="90"/>
        </w:rPr>
        <w:t>reconciliation</w:t>
      </w:r>
      <w:r>
        <w:rPr>
          <w:color w:val="231F20"/>
          <w:spacing w:val="80"/>
        </w:rPr>
        <w:t xml:space="preserve"> </w:t>
      </w:r>
      <w:r>
        <w:rPr>
          <w:color w:val="231F20"/>
          <w:w w:val="95"/>
        </w:rPr>
        <w:t xml:space="preserve">of sport/non-use interests, particularly at sites that are designed primarily </w:t>
      </w:r>
      <w:r>
        <w:rPr>
          <w:color w:val="231F20"/>
        </w:rPr>
        <w:t>for purposes</w:t>
      </w:r>
      <w:r>
        <w:rPr>
          <w:color w:val="231F20"/>
        </w:rPr>
        <w:t xml:space="preserve"> other than sport. For example, the marathon and distance </w:t>
      </w:r>
      <w:r>
        <w:rPr>
          <w:color w:val="231F20"/>
          <w:w w:val="95"/>
        </w:rPr>
        <w:t>running</w:t>
      </w:r>
      <w:r>
        <w:rPr>
          <w:color w:val="231F20"/>
          <w:spacing w:val="-3"/>
          <w:w w:val="95"/>
        </w:rPr>
        <w:t xml:space="preserve"> </w:t>
      </w:r>
      <w:r>
        <w:rPr>
          <w:color w:val="231F20"/>
          <w:w w:val="95"/>
        </w:rPr>
        <w:t>boom,</w:t>
      </w:r>
      <w:r>
        <w:rPr>
          <w:color w:val="231F20"/>
          <w:spacing w:val="-3"/>
          <w:w w:val="95"/>
        </w:rPr>
        <w:t xml:space="preserve"> </w:t>
      </w:r>
      <w:r>
        <w:rPr>
          <w:color w:val="231F20"/>
          <w:w w:val="95"/>
        </w:rPr>
        <w:t>with</w:t>
      </w:r>
      <w:r>
        <w:rPr>
          <w:color w:val="231F20"/>
          <w:spacing w:val="-3"/>
          <w:w w:val="95"/>
        </w:rPr>
        <w:t xml:space="preserve"> </w:t>
      </w:r>
      <w:r>
        <w:rPr>
          <w:color w:val="231F20"/>
          <w:w w:val="95"/>
        </w:rPr>
        <w:t>race</w:t>
      </w:r>
      <w:r>
        <w:rPr>
          <w:color w:val="231F20"/>
          <w:spacing w:val="-3"/>
          <w:w w:val="95"/>
        </w:rPr>
        <w:t xml:space="preserve"> </w:t>
      </w:r>
      <w:r>
        <w:rPr>
          <w:color w:val="231F20"/>
          <w:w w:val="95"/>
        </w:rPr>
        <w:t>fields</w:t>
      </w:r>
      <w:r>
        <w:rPr>
          <w:color w:val="231F20"/>
          <w:spacing w:val="-3"/>
          <w:w w:val="95"/>
        </w:rPr>
        <w:t xml:space="preserve"> </w:t>
      </w:r>
      <w:r>
        <w:rPr>
          <w:color w:val="231F20"/>
          <w:w w:val="95"/>
        </w:rPr>
        <w:t>exceeding</w:t>
      </w:r>
      <w:r>
        <w:rPr>
          <w:color w:val="231F20"/>
          <w:spacing w:val="-3"/>
          <w:w w:val="95"/>
        </w:rPr>
        <w:t xml:space="preserve"> </w:t>
      </w:r>
      <w:r>
        <w:rPr>
          <w:color w:val="231F20"/>
          <w:w w:val="95"/>
        </w:rPr>
        <w:t>20,000</w:t>
      </w:r>
      <w:r>
        <w:rPr>
          <w:color w:val="231F20"/>
          <w:spacing w:val="-3"/>
          <w:w w:val="95"/>
        </w:rPr>
        <w:t xml:space="preserve"> </w:t>
      </w:r>
      <w:r>
        <w:rPr>
          <w:color w:val="231F20"/>
          <w:w w:val="95"/>
        </w:rPr>
        <w:t>participants</w:t>
      </w:r>
      <w:r>
        <w:rPr>
          <w:color w:val="231F20"/>
          <w:spacing w:val="-3"/>
          <w:w w:val="95"/>
        </w:rPr>
        <w:t xml:space="preserve"> </w:t>
      </w:r>
      <w:r>
        <w:rPr>
          <w:color w:val="231F20"/>
          <w:w w:val="95"/>
        </w:rPr>
        <w:t>in</w:t>
      </w:r>
      <w:r>
        <w:rPr>
          <w:color w:val="231F20"/>
          <w:spacing w:val="-3"/>
          <w:w w:val="95"/>
        </w:rPr>
        <w:t xml:space="preserve"> </w:t>
      </w:r>
      <w:r>
        <w:rPr>
          <w:color w:val="231F20"/>
          <w:w w:val="95"/>
        </w:rPr>
        <w:t>some</w:t>
      </w:r>
      <w:r>
        <w:rPr>
          <w:color w:val="231F20"/>
          <w:spacing w:val="-3"/>
          <w:w w:val="95"/>
        </w:rPr>
        <w:t xml:space="preserve"> </w:t>
      </w:r>
      <w:r>
        <w:rPr>
          <w:color w:val="231F20"/>
          <w:w w:val="95"/>
        </w:rPr>
        <w:t>cases, has ‘</w:t>
      </w:r>
      <w:r>
        <w:rPr>
          <w:rFonts w:ascii="Times New Roman" w:hAnsi="Times New Roman"/>
          <w:color w:val="231F20"/>
          <w:w w:val="95"/>
        </w:rPr>
        <w:t>…</w:t>
      </w:r>
      <w:r>
        <w:rPr>
          <w:color w:val="231F20"/>
          <w:w w:val="95"/>
        </w:rPr>
        <w:t xml:space="preserve">put pressure on municipal authorities to control and redirect traffic </w:t>
      </w:r>
      <w:r>
        <w:rPr>
          <w:color w:val="231F20"/>
        </w:rPr>
        <w:t>on</w:t>
      </w:r>
      <w:r>
        <w:rPr>
          <w:color w:val="231F20"/>
          <w:spacing w:val="-8"/>
        </w:rPr>
        <w:t xml:space="preserve"> </w:t>
      </w:r>
      <w:r>
        <w:rPr>
          <w:color w:val="231F20"/>
        </w:rPr>
        <w:t>race</w:t>
      </w:r>
      <w:r>
        <w:rPr>
          <w:color w:val="231F20"/>
          <w:spacing w:val="-8"/>
        </w:rPr>
        <w:t xml:space="preserve"> </w:t>
      </w:r>
      <w:r>
        <w:rPr>
          <w:color w:val="231F20"/>
        </w:rPr>
        <w:t>days’</w:t>
      </w:r>
      <w:r>
        <w:rPr>
          <w:color w:val="231F20"/>
          <w:spacing w:val="-8"/>
        </w:rPr>
        <w:t xml:space="preserve"> </w:t>
      </w:r>
      <w:r>
        <w:rPr>
          <w:color w:val="231F20"/>
        </w:rPr>
        <w:t>(Bale,</w:t>
      </w:r>
      <w:r>
        <w:rPr>
          <w:color w:val="231F20"/>
          <w:spacing w:val="-8"/>
        </w:rPr>
        <w:t xml:space="preserve"> </w:t>
      </w:r>
      <w:r>
        <w:rPr>
          <w:color w:val="231F20"/>
        </w:rPr>
        <w:t>1989:</w:t>
      </w:r>
      <w:r>
        <w:rPr>
          <w:color w:val="231F20"/>
          <w:spacing w:val="-8"/>
        </w:rPr>
        <w:t xml:space="preserve"> </w:t>
      </w:r>
      <w:r>
        <w:rPr>
          <w:color w:val="231F20"/>
        </w:rPr>
        <w:t>163).</w:t>
      </w:r>
      <w:r>
        <w:rPr>
          <w:color w:val="231F20"/>
          <w:spacing w:val="-8"/>
        </w:rPr>
        <w:t xml:space="preserve"> </w:t>
      </w:r>
      <w:r>
        <w:rPr>
          <w:color w:val="231F20"/>
        </w:rPr>
        <w:t>Streetcar</w:t>
      </w:r>
      <w:r>
        <w:rPr>
          <w:color w:val="231F20"/>
          <w:spacing w:val="-8"/>
        </w:rPr>
        <w:t xml:space="preserve"> </w:t>
      </w:r>
      <w:r>
        <w:rPr>
          <w:color w:val="231F20"/>
        </w:rPr>
        <w:t>rallies,</w:t>
      </w:r>
      <w:r>
        <w:rPr>
          <w:color w:val="231F20"/>
          <w:spacing w:val="-8"/>
        </w:rPr>
        <w:t xml:space="preserve"> </w:t>
      </w:r>
      <w:r>
        <w:rPr>
          <w:color w:val="231F20"/>
        </w:rPr>
        <w:t>cycle</w:t>
      </w:r>
      <w:r>
        <w:rPr>
          <w:color w:val="231F20"/>
          <w:spacing w:val="-8"/>
        </w:rPr>
        <w:t xml:space="preserve"> </w:t>
      </w:r>
      <w:r>
        <w:rPr>
          <w:color w:val="231F20"/>
        </w:rPr>
        <w:t>races</w:t>
      </w:r>
      <w:r>
        <w:rPr>
          <w:color w:val="231F20"/>
          <w:spacing w:val="-8"/>
        </w:rPr>
        <w:t xml:space="preserve"> </w:t>
      </w:r>
      <w:r>
        <w:rPr>
          <w:color w:val="231F20"/>
        </w:rPr>
        <w:t>and</w:t>
      </w:r>
      <w:r>
        <w:rPr>
          <w:color w:val="231F20"/>
          <w:spacing w:val="-8"/>
        </w:rPr>
        <w:t xml:space="preserve"> </w:t>
      </w:r>
      <w:r>
        <w:rPr>
          <w:color w:val="231F20"/>
        </w:rPr>
        <w:t>a</w:t>
      </w:r>
      <w:r>
        <w:rPr>
          <w:color w:val="231F20"/>
          <w:spacing w:val="-8"/>
        </w:rPr>
        <w:t xml:space="preserve"> </w:t>
      </w:r>
      <w:r>
        <w:rPr>
          <w:color w:val="231F20"/>
        </w:rPr>
        <w:t>host</w:t>
      </w:r>
      <w:r>
        <w:rPr>
          <w:color w:val="231F20"/>
          <w:spacing w:val="-8"/>
        </w:rPr>
        <w:t xml:space="preserve"> </w:t>
      </w:r>
      <w:r>
        <w:rPr>
          <w:color w:val="231F20"/>
        </w:rPr>
        <w:t xml:space="preserve">of festival sports may also cause disruption to the normal use of the urban </w:t>
      </w:r>
      <w:r>
        <w:rPr>
          <w:color w:val="231F20"/>
          <w:w w:val="95"/>
        </w:rPr>
        <w:t xml:space="preserve">landscape. Such impacts tend to be </w:t>
      </w:r>
      <w:r>
        <w:rPr>
          <w:color w:val="231F20"/>
          <w:w w:val="95"/>
        </w:rPr>
        <w:t xml:space="preserve">short term and rapidly dispersed. They </w:t>
      </w:r>
      <w:r>
        <w:rPr>
          <w:color w:val="231F20"/>
        </w:rPr>
        <w:t>do,</w:t>
      </w:r>
      <w:r>
        <w:rPr>
          <w:color w:val="231F20"/>
          <w:spacing w:val="-4"/>
        </w:rPr>
        <w:t xml:space="preserve"> </w:t>
      </w:r>
      <w:r>
        <w:rPr>
          <w:color w:val="231F20"/>
        </w:rPr>
        <w:t>however,</w:t>
      </w:r>
      <w:r>
        <w:rPr>
          <w:color w:val="231F20"/>
          <w:spacing w:val="-4"/>
        </w:rPr>
        <w:t xml:space="preserve"> </w:t>
      </w:r>
      <w:r>
        <w:rPr>
          <w:color w:val="231F20"/>
        </w:rPr>
        <w:t>require</w:t>
      </w:r>
      <w:r>
        <w:rPr>
          <w:color w:val="231F20"/>
          <w:spacing w:val="-4"/>
        </w:rPr>
        <w:t xml:space="preserve"> </w:t>
      </w:r>
      <w:r>
        <w:rPr>
          <w:color w:val="231F20"/>
        </w:rPr>
        <w:t>that</w:t>
      </w:r>
      <w:r>
        <w:rPr>
          <w:color w:val="231F20"/>
          <w:spacing w:val="-4"/>
        </w:rPr>
        <w:t xml:space="preserve"> </w:t>
      </w:r>
      <w:r>
        <w:rPr>
          <w:color w:val="231F20"/>
        </w:rPr>
        <w:t>sport</w:t>
      </w:r>
      <w:r>
        <w:rPr>
          <w:color w:val="231F20"/>
          <w:spacing w:val="-4"/>
        </w:rPr>
        <w:t xml:space="preserve"> </w:t>
      </w:r>
      <w:r>
        <w:rPr>
          <w:color w:val="231F20"/>
        </w:rPr>
        <w:t>managers</w:t>
      </w:r>
      <w:r>
        <w:rPr>
          <w:color w:val="231F20"/>
          <w:spacing w:val="-4"/>
        </w:rPr>
        <w:t xml:space="preserve"> </w:t>
      </w:r>
      <w:r>
        <w:rPr>
          <w:color w:val="231F20"/>
        </w:rPr>
        <w:t>and</w:t>
      </w:r>
      <w:r>
        <w:rPr>
          <w:color w:val="231F20"/>
          <w:spacing w:val="-4"/>
        </w:rPr>
        <w:t xml:space="preserve"> </w:t>
      </w:r>
      <w:r>
        <w:rPr>
          <w:color w:val="231F20"/>
        </w:rPr>
        <w:t>event</w:t>
      </w:r>
      <w:r>
        <w:rPr>
          <w:color w:val="231F20"/>
          <w:spacing w:val="-4"/>
        </w:rPr>
        <w:t xml:space="preserve"> </w:t>
      </w:r>
      <w:r>
        <w:rPr>
          <w:color w:val="231F20"/>
        </w:rPr>
        <w:t>organisers</w:t>
      </w:r>
      <w:r>
        <w:rPr>
          <w:color w:val="231F20"/>
          <w:spacing w:val="-4"/>
        </w:rPr>
        <w:t xml:space="preserve"> </w:t>
      </w:r>
      <w:r>
        <w:rPr>
          <w:color w:val="231F20"/>
        </w:rPr>
        <w:t>consider security, safety and liability issues relating to their sport.</w:t>
      </w:r>
    </w:p>
    <w:p w14:paraId="39F41218" w14:textId="77777777" w:rsidR="00AE0598" w:rsidRDefault="00AE0598">
      <w:pPr>
        <w:pStyle w:val="Corpodetexto"/>
        <w:rPr>
          <w:sz w:val="22"/>
        </w:rPr>
      </w:pPr>
    </w:p>
    <w:p w14:paraId="6366FA9C" w14:textId="77777777" w:rsidR="00AE0598" w:rsidRDefault="0069255A">
      <w:pPr>
        <w:spacing w:line="247" w:lineRule="auto"/>
        <w:ind w:left="110" w:right="998"/>
        <w:rPr>
          <w:rFonts w:ascii="Trebuchet MS"/>
          <w:sz w:val="20"/>
        </w:rPr>
      </w:pPr>
      <w:r>
        <w:rPr>
          <w:rFonts w:ascii="Trebuchet MS"/>
          <w:color w:val="231F20"/>
          <w:sz w:val="20"/>
        </w:rPr>
        <w:t xml:space="preserve">Landscape to sportscape: The impacts of sport facility </w:t>
      </w:r>
      <w:r>
        <w:rPr>
          <w:rFonts w:ascii="Trebuchet MS"/>
          <w:color w:val="231F20"/>
          <w:w w:val="105"/>
          <w:sz w:val="20"/>
        </w:rPr>
        <w:t>development and design</w:t>
      </w:r>
    </w:p>
    <w:p w14:paraId="00A90EFD" w14:textId="77777777" w:rsidR="00AE0598" w:rsidRDefault="0069255A">
      <w:pPr>
        <w:pStyle w:val="Corpodetexto"/>
        <w:spacing w:before="116" w:line="232" w:lineRule="auto"/>
        <w:ind w:left="110" w:right="128" w:firstLine="320"/>
        <w:jc w:val="both"/>
      </w:pPr>
      <w:r>
        <w:rPr>
          <w:color w:val="231F20"/>
        </w:rPr>
        <w:t>It h</w:t>
      </w:r>
      <w:r>
        <w:rPr>
          <w:color w:val="231F20"/>
        </w:rPr>
        <w:t>as been noted that ‘the search for regional diversity in the landscape has remained an important motive for travellers, despite the standardisation</w:t>
      </w:r>
      <w:r>
        <w:rPr>
          <w:color w:val="231F20"/>
          <w:spacing w:val="-9"/>
        </w:rPr>
        <w:t xml:space="preserve"> </w:t>
      </w:r>
      <w:r>
        <w:rPr>
          <w:color w:val="231F20"/>
        </w:rPr>
        <w:t>and</w:t>
      </w:r>
      <w:r>
        <w:rPr>
          <w:color w:val="231F20"/>
          <w:spacing w:val="-9"/>
        </w:rPr>
        <w:t xml:space="preserve"> </w:t>
      </w:r>
      <w:r>
        <w:rPr>
          <w:color w:val="231F20"/>
        </w:rPr>
        <w:t>homogenisation</w:t>
      </w:r>
      <w:r>
        <w:rPr>
          <w:color w:val="231F20"/>
          <w:spacing w:val="-9"/>
        </w:rPr>
        <w:t xml:space="preserve"> </w:t>
      </w:r>
      <w:r>
        <w:rPr>
          <w:color w:val="231F20"/>
        </w:rPr>
        <w:t>of</w:t>
      </w:r>
      <w:r>
        <w:rPr>
          <w:color w:val="231F20"/>
          <w:spacing w:val="-9"/>
        </w:rPr>
        <w:t xml:space="preserve"> </w:t>
      </w:r>
      <w:r>
        <w:rPr>
          <w:color w:val="231F20"/>
        </w:rPr>
        <w:t>the</w:t>
      </w:r>
      <w:r>
        <w:rPr>
          <w:color w:val="231F20"/>
          <w:spacing w:val="-9"/>
        </w:rPr>
        <w:t xml:space="preserve"> </w:t>
      </w:r>
      <w:r>
        <w:rPr>
          <w:color w:val="231F20"/>
        </w:rPr>
        <w:t>tourism</w:t>
      </w:r>
      <w:r>
        <w:rPr>
          <w:color w:val="231F20"/>
          <w:spacing w:val="-9"/>
        </w:rPr>
        <w:t xml:space="preserve"> </w:t>
      </w:r>
      <w:r>
        <w:rPr>
          <w:color w:val="231F20"/>
        </w:rPr>
        <w:t>industry’</w:t>
      </w:r>
      <w:r>
        <w:rPr>
          <w:color w:val="231F20"/>
          <w:spacing w:val="-9"/>
        </w:rPr>
        <w:t xml:space="preserve"> </w:t>
      </w:r>
      <w:r>
        <w:rPr>
          <w:color w:val="231F20"/>
        </w:rPr>
        <w:t>(Mitchell</w:t>
      </w:r>
      <w:r>
        <w:rPr>
          <w:color w:val="231F20"/>
          <w:spacing w:val="-9"/>
        </w:rPr>
        <w:t xml:space="preserve"> </w:t>
      </w:r>
      <w:r>
        <w:rPr>
          <w:color w:val="231F20"/>
        </w:rPr>
        <w:t>&amp; Murphy,</w:t>
      </w:r>
      <w:r>
        <w:rPr>
          <w:color w:val="231F20"/>
          <w:spacing w:val="-9"/>
        </w:rPr>
        <w:t xml:space="preserve"> </w:t>
      </w:r>
      <w:r>
        <w:rPr>
          <w:color w:val="231F20"/>
        </w:rPr>
        <w:t>1991:</w:t>
      </w:r>
      <w:r>
        <w:rPr>
          <w:color w:val="231F20"/>
          <w:spacing w:val="-9"/>
        </w:rPr>
        <w:t xml:space="preserve"> </w:t>
      </w:r>
      <w:r>
        <w:rPr>
          <w:color w:val="231F20"/>
        </w:rPr>
        <w:t>61).</w:t>
      </w:r>
      <w:r>
        <w:rPr>
          <w:color w:val="231F20"/>
          <w:spacing w:val="-9"/>
        </w:rPr>
        <w:t xml:space="preserve"> </w:t>
      </w:r>
      <w:r>
        <w:rPr>
          <w:color w:val="231F20"/>
        </w:rPr>
        <w:t>There</w:t>
      </w:r>
      <w:r>
        <w:rPr>
          <w:color w:val="231F20"/>
          <w:spacing w:val="-9"/>
        </w:rPr>
        <w:t xml:space="preserve"> </w:t>
      </w:r>
      <w:r>
        <w:rPr>
          <w:color w:val="231F20"/>
        </w:rPr>
        <w:t>exists</w:t>
      </w:r>
      <w:r>
        <w:rPr>
          <w:color w:val="231F20"/>
          <w:spacing w:val="-9"/>
        </w:rPr>
        <w:t xml:space="preserve"> </w:t>
      </w:r>
      <w:r>
        <w:rPr>
          <w:color w:val="231F20"/>
        </w:rPr>
        <w:t>an</w:t>
      </w:r>
      <w:r>
        <w:rPr>
          <w:color w:val="231F20"/>
          <w:spacing w:val="-9"/>
        </w:rPr>
        <w:t xml:space="preserve"> </w:t>
      </w:r>
      <w:r>
        <w:rPr>
          <w:color w:val="231F20"/>
        </w:rPr>
        <w:t>evolutionary</w:t>
      </w:r>
      <w:r>
        <w:rPr>
          <w:color w:val="231F20"/>
          <w:spacing w:val="-9"/>
        </w:rPr>
        <w:t xml:space="preserve"> </w:t>
      </w:r>
      <w:r>
        <w:rPr>
          <w:color w:val="231F20"/>
        </w:rPr>
        <w:t>tendency</w:t>
      </w:r>
      <w:r>
        <w:rPr>
          <w:color w:val="231F20"/>
          <w:spacing w:val="-9"/>
        </w:rPr>
        <w:t xml:space="preserve"> </w:t>
      </w:r>
      <w:r>
        <w:rPr>
          <w:color w:val="231F20"/>
        </w:rPr>
        <w:t>to</w:t>
      </w:r>
      <w:r>
        <w:rPr>
          <w:color w:val="231F20"/>
          <w:spacing w:val="-9"/>
        </w:rPr>
        <w:t xml:space="preserve"> </w:t>
      </w:r>
      <w:r>
        <w:rPr>
          <w:color w:val="231F20"/>
        </w:rPr>
        <w:t>confine</w:t>
      </w:r>
      <w:r>
        <w:rPr>
          <w:color w:val="231F20"/>
          <w:spacing w:val="-9"/>
        </w:rPr>
        <w:t xml:space="preserve"> </w:t>
      </w:r>
      <w:r>
        <w:rPr>
          <w:color w:val="231F20"/>
        </w:rPr>
        <w:t xml:space="preserve">and homogenise the sporting environment. A transition from landscape to </w:t>
      </w:r>
      <w:r>
        <w:rPr>
          <w:color w:val="231F20"/>
          <w:w w:val="95"/>
        </w:rPr>
        <w:t>sportscape represents one aspect of standardisation and homogenisation</w:t>
      </w:r>
      <w:r>
        <w:rPr>
          <w:color w:val="231F20"/>
          <w:spacing w:val="80"/>
        </w:rPr>
        <w:t xml:space="preserve"> </w:t>
      </w:r>
      <w:r>
        <w:rPr>
          <w:color w:val="231F20"/>
          <w:w w:val="95"/>
        </w:rPr>
        <w:t xml:space="preserve">in sport tourism, which may seriously threaten the uniqueness of specific </w:t>
      </w:r>
      <w:r>
        <w:rPr>
          <w:color w:val="231F20"/>
        </w:rPr>
        <w:t>places</w:t>
      </w:r>
      <w:r>
        <w:rPr>
          <w:color w:val="231F20"/>
        </w:rPr>
        <w:t xml:space="preserve">. The modern stadium has an ancient history, and has evolved through phases that have been influenced by the formalisation of sports rules and the imposition of spatial limits in sport, which allowed the </w:t>
      </w:r>
      <w:r>
        <w:rPr>
          <w:color w:val="231F20"/>
          <w:w w:val="95"/>
        </w:rPr>
        <w:t>development</w:t>
      </w:r>
      <w:r>
        <w:rPr>
          <w:color w:val="231F20"/>
          <w:spacing w:val="-2"/>
          <w:w w:val="95"/>
        </w:rPr>
        <w:t xml:space="preserve"> </w:t>
      </w:r>
      <w:r>
        <w:rPr>
          <w:color w:val="231F20"/>
          <w:w w:val="95"/>
        </w:rPr>
        <w:t>of</w:t>
      </w:r>
      <w:r>
        <w:rPr>
          <w:color w:val="231F20"/>
          <w:spacing w:val="-2"/>
          <w:w w:val="95"/>
        </w:rPr>
        <w:t xml:space="preserve"> </w:t>
      </w:r>
      <w:r>
        <w:rPr>
          <w:color w:val="231F20"/>
          <w:w w:val="95"/>
        </w:rPr>
        <w:t>facilities</w:t>
      </w:r>
      <w:r>
        <w:rPr>
          <w:color w:val="231F20"/>
          <w:spacing w:val="-2"/>
          <w:w w:val="95"/>
        </w:rPr>
        <w:t xml:space="preserve"> </w:t>
      </w:r>
      <w:r>
        <w:rPr>
          <w:color w:val="231F20"/>
          <w:w w:val="95"/>
        </w:rPr>
        <w:t>for</w:t>
      </w:r>
      <w:r>
        <w:rPr>
          <w:color w:val="231F20"/>
          <w:spacing w:val="-2"/>
          <w:w w:val="95"/>
        </w:rPr>
        <w:t xml:space="preserve"> </w:t>
      </w:r>
      <w:r>
        <w:rPr>
          <w:color w:val="231F20"/>
          <w:w w:val="95"/>
        </w:rPr>
        <w:t>spectators</w:t>
      </w:r>
      <w:r>
        <w:rPr>
          <w:color w:val="231F20"/>
          <w:spacing w:val="-2"/>
          <w:w w:val="95"/>
        </w:rPr>
        <w:t xml:space="preserve"> </w:t>
      </w:r>
      <w:r>
        <w:rPr>
          <w:color w:val="231F20"/>
          <w:w w:val="95"/>
        </w:rPr>
        <w:t>to</w:t>
      </w:r>
      <w:r>
        <w:rPr>
          <w:color w:val="231F20"/>
          <w:spacing w:val="-2"/>
          <w:w w:val="95"/>
        </w:rPr>
        <w:t xml:space="preserve"> </w:t>
      </w:r>
      <w:r>
        <w:rPr>
          <w:color w:val="231F20"/>
          <w:w w:val="95"/>
        </w:rPr>
        <w:t>experien</w:t>
      </w:r>
      <w:r>
        <w:rPr>
          <w:color w:val="231F20"/>
          <w:w w:val="95"/>
        </w:rPr>
        <w:t>ce</w:t>
      </w:r>
      <w:r>
        <w:rPr>
          <w:color w:val="231F20"/>
          <w:spacing w:val="-2"/>
          <w:w w:val="95"/>
        </w:rPr>
        <w:t xml:space="preserve"> </w:t>
      </w:r>
      <w:r>
        <w:rPr>
          <w:color w:val="231F20"/>
          <w:w w:val="95"/>
        </w:rPr>
        <w:t>sport</w:t>
      </w:r>
      <w:r>
        <w:rPr>
          <w:color w:val="231F20"/>
          <w:spacing w:val="-2"/>
          <w:w w:val="95"/>
        </w:rPr>
        <w:t xml:space="preserve"> </w:t>
      </w:r>
      <w:r>
        <w:rPr>
          <w:color w:val="231F20"/>
          <w:w w:val="95"/>
        </w:rPr>
        <w:t>contests</w:t>
      </w:r>
      <w:r>
        <w:rPr>
          <w:color w:val="231F20"/>
          <w:spacing w:val="-2"/>
          <w:w w:val="95"/>
        </w:rPr>
        <w:t xml:space="preserve"> </w:t>
      </w:r>
      <w:r>
        <w:rPr>
          <w:color w:val="231F20"/>
          <w:w w:val="95"/>
        </w:rPr>
        <w:t>at</w:t>
      </w:r>
      <w:r>
        <w:rPr>
          <w:color w:val="231F20"/>
          <w:spacing w:val="-2"/>
          <w:w w:val="95"/>
        </w:rPr>
        <w:t xml:space="preserve"> </w:t>
      </w:r>
      <w:r>
        <w:rPr>
          <w:color w:val="231F20"/>
          <w:w w:val="95"/>
        </w:rPr>
        <w:t xml:space="preserve">close </w:t>
      </w:r>
      <w:r>
        <w:rPr>
          <w:color w:val="231F20"/>
        </w:rPr>
        <w:t>proximity (Bale, 1989).</w:t>
      </w:r>
    </w:p>
    <w:p w14:paraId="70B0AAFE" w14:textId="77777777" w:rsidR="00AE0598" w:rsidRDefault="0069255A">
      <w:pPr>
        <w:pStyle w:val="Corpodetexto"/>
        <w:spacing w:before="14" w:line="232" w:lineRule="auto"/>
        <w:ind w:left="110" w:right="127" w:firstLine="320"/>
        <w:jc w:val="both"/>
      </w:pPr>
      <w:r>
        <w:rPr>
          <w:color w:val="231F20"/>
        </w:rPr>
        <w:t>More recently, technological developments, such as video screens, virtual advertising, floodlighting and retractable enclosures, have been incorporated</w:t>
      </w:r>
      <w:r>
        <w:rPr>
          <w:color w:val="231F20"/>
          <w:spacing w:val="53"/>
        </w:rPr>
        <w:t xml:space="preserve"> </w:t>
      </w:r>
      <w:r>
        <w:rPr>
          <w:color w:val="231F20"/>
        </w:rPr>
        <w:t>into</w:t>
      </w:r>
      <w:r>
        <w:rPr>
          <w:color w:val="231F20"/>
          <w:spacing w:val="53"/>
        </w:rPr>
        <w:t xml:space="preserve"> </w:t>
      </w:r>
      <w:r>
        <w:rPr>
          <w:color w:val="231F20"/>
        </w:rPr>
        <w:t>modern</w:t>
      </w:r>
      <w:r>
        <w:rPr>
          <w:color w:val="231F20"/>
          <w:spacing w:val="54"/>
        </w:rPr>
        <w:t xml:space="preserve"> </w:t>
      </w:r>
      <w:r>
        <w:rPr>
          <w:color w:val="231F20"/>
        </w:rPr>
        <w:t>stadium</w:t>
      </w:r>
      <w:r>
        <w:rPr>
          <w:color w:val="231F20"/>
          <w:spacing w:val="53"/>
        </w:rPr>
        <w:t xml:space="preserve"> </w:t>
      </w:r>
      <w:r>
        <w:rPr>
          <w:color w:val="231F20"/>
        </w:rPr>
        <w:t>design</w:t>
      </w:r>
      <w:r>
        <w:rPr>
          <w:color w:val="231F20"/>
          <w:spacing w:val="54"/>
        </w:rPr>
        <w:t xml:space="preserve"> </w:t>
      </w:r>
      <w:r>
        <w:rPr>
          <w:color w:val="231F20"/>
        </w:rPr>
        <w:t>(Bale,</w:t>
      </w:r>
      <w:r>
        <w:rPr>
          <w:color w:val="231F20"/>
          <w:spacing w:val="53"/>
        </w:rPr>
        <w:t xml:space="preserve"> </w:t>
      </w:r>
      <w:r>
        <w:rPr>
          <w:color w:val="231F20"/>
        </w:rPr>
        <w:t>1989).</w:t>
      </w:r>
      <w:r>
        <w:rPr>
          <w:color w:val="231F20"/>
          <w:spacing w:val="53"/>
        </w:rPr>
        <w:t xml:space="preserve"> </w:t>
      </w:r>
      <w:r>
        <w:rPr>
          <w:color w:val="231F20"/>
        </w:rPr>
        <w:t>This</w:t>
      </w:r>
      <w:r>
        <w:rPr>
          <w:color w:val="231F20"/>
          <w:spacing w:val="54"/>
        </w:rPr>
        <w:t xml:space="preserve"> </w:t>
      </w:r>
      <w:r>
        <w:rPr>
          <w:color w:val="231F20"/>
          <w:spacing w:val="-2"/>
        </w:rPr>
        <w:t>course</w:t>
      </w:r>
    </w:p>
    <w:p w14:paraId="449CBD1F" w14:textId="77777777" w:rsidR="00AE0598" w:rsidRDefault="00AE0598">
      <w:pPr>
        <w:spacing w:line="232" w:lineRule="auto"/>
        <w:jc w:val="both"/>
        <w:sectPr w:rsidR="00AE0598">
          <w:pgSz w:w="8850" w:h="13270"/>
          <w:pgMar w:top="720" w:right="1060" w:bottom="280" w:left="1080" w:header="720" w:footer="720" w:gutter="0"/>
          <w:cols w:space="720"/>
        </w:sectPr>
      </w:pPr>
    </w:p>
    <w:p w14:paraId="4C103463" w14:textId="77777777" w:rsidR="00AE0598" w:rsidRDefault="0069255A">
      <w:pPr>
        <w:spacing w:before="87"/>
        <w:ind w:left="108"/>
        <w:rPr>
          <w:rFonts w:ascii="Trebuchet MS"/>
          <w:sz w:val="14"/>
        </w:rPr>
      </w:pPr>
      <w:r>
        <w:rPr>
          <w:rFonts w:ascii="Trebuchet MS"/>
          <w:color w:val="231F20"/>
          <w:w w:val="105"/>
          <w:sz w:val="14"/>
        </w:rPr>
        <w:lastRenderedPageBreak/>
        <w:t>148</w:t>
      </w:r>
      <w:r>
        <w:rPr>
          <w:rFonts w:ascii="Trebuchet MS"/>
          <w:color w:val="231F20"/>
          <w:spacing w:val="66"/>
          <w:w w:val="150"/>
          <w:sz w:val="14"/>
        </w:rPr>
        <w:t xml:space="preserve"> </w:t>
      </w:r>
      <w:r>
        <w:rPr>
          <w:rFonts w:ascii="Trebuchet MS"/>
          <w:color w:val="231F20"/>
          <w:w w:val="105"/>
          <w:sz w:val="14"/>
        </w:rPr>
        <w:t>Part</w:t>
      </w:r>
      <w:r>
        <w:rPr>
          <w:rFonts w:ascii="Trebuchet MS"/>
          <w:color w:val="231F20"/>
          <w:spacing w:val="-9"/>
          <w:w w:val="105"/>
          <w:sz w:val="14"/>
        </w:rPr>
        <w:t xml:space="preserve"> </w:t>
      </w:r>
      <w:r>
        <w:rPr>
          <w:rFonts w:ascii="Trebuchet MS"/>
          <w:color w:val="231F20"/>
          <w:w w:val="105"/>
          <w:sz w:val="14"/>
        </w:rPr>
        <w:t>3:</w:t>
      </w:r>
      <w:r>
        <w:rPr>
          <w:rFonts w:ascii="Trebuchet MS"/>
          <w:color w:val="231F20"/>
          <w:spacing w:val="-8"/>
          <w:w w:val="105"/>
          <w:sz w:val="14"/>
        </w:rPr>
        <w:t xml:space="preserve"> </w:t>
      </w:r>
      <w:r>
        <w:rPr>
          <w:rFonts w:ascii="Trebuchet MS"/>
          <w:color w:val="231F20"/>
          <w:w w:val="105"/>
          <w:sz w:val="14"/>
        </w:rPr>
        <w:t>Sport</w:t>
      </w:r>
      <w:r>
        <w:rPr>
          <w:rFonts w:ascii="Trebuchet MS"/>
          <w:color w:val="231F20"/>
          <w:spacing w:val="-9"/>
          <w:w w:val="105"/>
          <w:sz w:val="14"/>
        </w:rPr>
        <w:t xml:space="preserve"> </w:t>
      </w:r>
      <w:r>
        <w:rPr>
          <w:rFonts w:ascii="Trebuchet MS"/>
          <w:color w:val="231F20"/>
          <w:w w:val="105"/>
          <w:sz w:val="14"/>
        </w:rPr>
        <w:t>Tourism</w:t>
      </w:r>
      <w:r>
        <w:rPr>
          <w:rFonts w:ascii="Trebuchet MS"/>
          <w:color w:val="231F20"/>
          <w:spacing w:val="-9"/>
          <w:w w:val="105"/>
          <w:sz w:val="14"/>
        </w:rPr>
        <w:t xml:space="preserve"> </w:t>
      </w:r>
      <w:r>
        <w:rPr>
          <w:rFonts w:ascii="Trebuchet MS"/>
          <w:color w:val="231F20"/>
          <w:w w:val="105"/>
          <w:sz w:val="14"/>
        </w:rPr>
        <w:t>Development</w:t>
      </w:r>
      <w:r>
        <w:rPr>
          <w:rFonts w:ascii="Trebuchet MS"/>
          <w:color w:val="231F20"/>
          <w:spacing w:val="-9"/>
          <w:w w:val="105"/>
          <w:sz w:val="14"/>
        </w:rPr>
        <w:t xml:space="preserve"> </w:t>
      </w:r>
      <w:r>
        <w:rPr>
          <w:rFonts w:ascii="Trebuchet MS"/>
          <w:color w:val="231F20"/>
          <w:w w:val="105"/>
          <w:sz w:val="14"/>
        </w:rPr>
        <w:t>and</w:t>
      </w:r>
      <w:r>
        <w:rPr>
          <w:rFonts w:ascii="Trebuchet MS"/>
          <w:color w:val="231F20"/>
          <w:spacing w:val="-8"/>
          <w:w w:val="105"/>
          <w:sz w:val="14"/>
        </w:rPr>
        <w:t xml:space="preserve"> </w:t>
      </w:r>
      <w:r>
        <w:rPr>
          <w:rFonts w:ascii="Trebuchet MS"/>
          <w:color w:val="231F20"/>
          <w:spacing w:val="-2"/>
          <w:w w:val="105"/>
          <w:sz w:val="14"/>
        </w:rPr>
        <w:t>Space</w:t>
      </w:r>
    </w:p>
    <w:p w14:paraId="24B6A9E9" w14:textId="77777777" w:rsidR="00AE0598" w:rsidRDefault="00AE0598">
      <w:pPr>
        <w:pStyle w:val="Corpodetexto"/>
        <w:rPr>
          <w:rFonts w:ascii="Trebuchet MS"/>
          <w:sz w:val="16"/>
        </w:rPr>
      </w:pPr>
    </w:p>
    <w:p w14:paraId="0EA1115C" w14:textId="77777777" w:rsidR="00AE0598" w:rsidRDefault="0069255A">
      <w:pPr>
        <w:pStyle w:val="Corpodetexto"/>
        <w:spacing w:before="118" w:line="232" w:lineRule="auto"/>
        <w:ind w:left="110" w:right="127"/>
        <w:jc w:val="both"/>
      </w:pPr>
      <w:r>
        <w:rPr>
          <w:color w:val="231F20"/>
        </w:rPr>
        <w:t>of development has given rise to an increasing sameness of stadium design in many parts of the world (Higham &amp; Hinch, 2009), which may significantly alter the overall sporting experience from the viewpoint of both competitors and spectators. One implicatio</w:t>
      </w:r>
      <w:r>
        <w:rPr>
          <w:color w:val="231F20"/>
        </w:rPr>
        <w:t>n may be the erosion of ‘the</w:t>
      </w:r>
      <w:r>
        <w:rPr>
          <w:color w:val="231F20"/>
          <w:spacing w:val="-12"/>
        </w:rPr>
        <w:t xml:space="preserve"> </w:t>
      </w:r>
      <w:r>
        <w:rPr>
          <w:color w:val="231F20"/>
        </w:rPr>
        <w:t>cultural</w:t>
      </w:r>
      <w:r>
        <w:rPr>
          <w:color w:val="231F20"/>
          <w:spacing w:val="-12"/>
        </w:rPr>
        <w:t xml:space="preserve"> </w:t>
      </w:r>
      <w:r>
        <w:rPr>
          <w:color w:val="231F20"/>
        </w:rPr>
        <w:t>mosaic</w:t>
      </w:r>
      <w:r>
        <w:rPr>
          <w:color w:val="231F20"/>
          <w:spacing w:val="-11"/>
        </w:rPr>
        <w:t xml:space="preserve"> </w:t>
      </w:r>
      <w:r>
        <w:rPr>
          <w:color w:val="231F20"/>
        </w:rPr>
        <w:t>that</w:t>
      </w:r>
      <w:r>
        <w:rPr>
          <w:color w:val="231F20"/>
          <w:spacing w:val="-12"/>
        </w:rPr>
        <w:t xml:space="preserve"> </w:t>
      </w:r>
      <w:r>
        <w:rPr>
          <w:color w:val="231F20"/>
        </w:rPr>
        <w:t>encourages</w:t>
      </w:r>
      <w:r>
        <w:rPr>
          <w:color w:val="231F20"/>
          <w:spacing w:val="-11"/>
        </w:rPr>
        <w:t xml:space="preserve"> </w:t>
      </w:r>
      <w:r>
        <w:rPr>
          <w:color w:val="231F20"/>
        </w:rPr>
        <w:t>tourism’</w:t>
      </w:r>
      <w:r>
        <w:rPr>
          <w:color w:val="231F20"/>
          <w:spacing w:val="-12"/>
        </w:rPr>
        <w:t xml:space="preserve"> </w:t>
      </w:r>
      <w:r>
        <w:rPr>
          <w:color w:val="231F20"/>
        </w:rPr>
        <w:t>(Williams</w:t>
      </w:r>
      <w:r>
        <w:rPr>
          <w:color w:val="231F20"/>
          <w:spacing w:val="-11"/>
        </w:rPr>
        <w:t xml:space="preserve"> </w:t>
      </w:r>
      <w:r>
        <w:rPr>
          <w:color w:val="231F20"/>
        </w:rPr>
        <w:t>&amp;</w:t>
      </w:r>
      <w:r>
        <w:rPr>
          <w:color w:val="231F20"/>
          <w:spacing w:val="-12"/>
        </w:rPr>
        <w:t xml:space="preserve"> </w:t>
      </w:r>
      <w:r>
        <w:rPr>
          <w:color w:val="231F20"/>
        </w:rPr>
        <w:t>Shaw,</w:t>
      </w:r>
      <w:r>
        <w:rPr>
          <w:color w:val="231F20"/>
          <w:spacing w:val="-12"/>
        </w:rPr>
        <w:t xml:space="preserve"> </w:t>
      </w:r>
      <w:r>
        <w:rPr>
          <w:color w:val="231F20"/>
        </w:rPr>
        <w:t>1988:</w:t>
      </w:r>
      <w:r>
        <w:rPr>
          <w:color w:val="231F20"/>
          <w:spacing w:val="-11"/>
        </w:rPr>
        <w:t xml:space="preserve"> </w:t>
      </w:r>
      <w:r>
        <w:rPr>
          <w:color w:val="231F20"/>
        </w:rPr>
        <w:t xml:space="preserve">7). The potential contribution to sport tourism development of unique </w:t>
      </w:r>
      <w:r>
        <w:rPr>
          <w:color w:val="231F20"/>
          <w:w w:val="95"/>
        </w:rPr>
        <w:t xml:space="preserve">stadium design, contiguous markers, distinctive elements of the destination and the natural </w:t>
      </w:r>
      <w:r>
        <w:rPr>
          <w:color w:val="231F20"/>
          <w:w w:val="95"/>
        </w:rPr>
        <w:t xml:space="preserve">elements that differentiate destinations must be carefully </w:t>
      </w:r>
      <w:r>
        <w:rPr>
          <w:color w:val="231F20"/>
        </w:rPr>
        <w:t>considered</w:t>
      </w:r>
      <w:r>
        <w:rPr>
          <w:color w:val="231F20"/>
          <w:spacing w:val="-6"/>
        </w:rPr>
        <w:t xml:space="preserve"> </w:t>
      </w:r>
      <w:r>
        <w:rPr>
          <w:color w:val="231F20"/>
        </w:rPr>
        <w:t>in</w:t>
      </w:r>
      <w:r>
        <w:rPr>
          <w:color w:val="231F20"/>
          <w:spacing w:val="-6"/>
        </w:rPr>
        <w:t xml:space="preserve"> </w:t>
      </w:r>
      <w:r>
        <w:rPr>
          <w:color w:val="231F20"/>
        </w:rPr>
        <w:t>relation</w:t>
      </w:r>
      <w:r>
        <w:rPr>
          <w:color w:val="231F20"/>
          <w:spacing w:val="-6"/>
        </w:rPr>
        <w:t xml:space="preserve"> </w:t>
      </w:r>
      <w:r>
        <w:rPr>
          <w:color w:val="231F20"/>
        </w:rPr>
        <w:t>to</w:t>
      </w:r>
      <w:r>
        <w:rPr>
          <w:color w:val="231F20"/>
          <w:spacing w:val="-6"/>
        </w:rPr>
        <w:t xml:space="preserve"> </w:t>
      </w:r>
      <w:r>
        <w:rPr>
          <w:color w:val="231F20"/>
        </w:rPr>
        <w:t>the</w:t>
      </w:r>
      <w:r>
        <w:rPr>
          <w:color w:val="231F20"/>
          <w:spacing w:val="-6"/>
        </w:rPr>
        <w:t xml:space="preserve"> </w:t>
      </w:r>
      <w:r>
        <w:rPr>
          <w:color w:val="231F20"/>
        </w:rPr>
        <w:t>planning,</w:t>
      </w:r>
      <w:r>
        <w:rPr>
          <w:color w:val="231F20"/>
          <w:spacing w:val="-6"/>
        </w:rPr>
        <w:t xml:space="preserve"> </w:t>
      </w:r>
      <w:r>
        <w:rPr>
          <w:color w:val="231F20"/>
        </w:rPr>
        <w:t>design</w:t>
      </w:r>
      <w:r>
        <w:rPr>
          <w:color w:val="231F20"/>
          <w:spacing w:val="-6"/>
        </w:rPr>
        <w:t xml:space="preserve"> </w:t>
      </w:r>
      <w:r>
        <w:rPr>
          <w:color w:val="231F20"/>
        </w:rPr>
        <w:t>and</w:t>
      </w:r>
      <w:r>
        <w:rPr>
          <w:color w:val="231F20"/>
          <w:spacing w:val="-6"/>
        </w:rPr>
        <w:t xml:space="preserve"> </w:t>
      </w:r>
      <w:r>
        <w:rPr>
          <w:color w:val="231F20"/>
        </w:rPr>
        <w:t>development</w:t>
      </w:r>
      <w:r>
        <w:rPr>
          <w:color w:val="231F20"/>
          <w:spacing w:val="-6"/>
        </w:rPr>
        <w:t xml:space="preserve"> </w:t>
      </w:r>
      <w:r>
        <w:rPr>
          <w:color w:val="231F20"/>
        </w:rPr>
        <w:t>of</w:t>
      </w:r>
      <w:r>
        <w:rPr>
          <w:color w:val="231F20"/>
          <w:spacing w:val="-6"/>
        </w:rPr>
        <w:t xml:space="preserve"> </w:t>
      </w:r>
      <w:r>
        <w:rPr>
          <w:color w:val="231F20"/>
        </w:rPr>
        <w:t xml:space="preserve">sports </w:t>
      </w:r>
      <w:r>
        <w:rPr>
          <w:color w:val="231F20"/>
          <w:spacing w:val="-2"/>
        </w:rPr>
        <w:t>resources.</w:t>
      </w:r>
    </w:p>
    <w:p w14:paraId="5423B55C" w14:textId="77777777" w:rsidR="00AE0598" w:rsidRDefault="0069255A">
      <w:pPr>
        <w:pStyle w:val="Corpodetexto"/>
        <w:spacing w:before="12" w:line="232" w:lineRule="auto"/>
        <w:ind w:left="110" w:right="126" w:firstLine="320"/>
        <w:jc w:val="both"/>
      </w:pPr>
      <w:r>
        <w:rPr>
          <w:color w:val="231F20"/>
          <w:w w:val="95"/>
        </w:rPr>
        <w:t xml:space="preserve">The counter trend, which rejects the standardisation of the sportscape, </w:t>
      </w:r>
      <w:r>
        <w:rPr>
          <w:color w:val="231F20"/>
        </w:rPr>
        <w:t xml:space="preserve">is evident in some cases, with important implications in relation to </w:t>
      </w:r>
      <w:r>
        <w:rPr>
          <w:color w:val="231F20"/>
          <w:w w:val="95"/>
        </w:rPr>
        <w:t xml:space="preserve">uniqueness, differentiation, sense of place and tourism. When the famous </w:t>
      </w:r>
      <w:r>
        <w:rPr>
          <w:color w:val="231F20"/>
        </w:rPr>
        <w:t>Wembley Stadium (London), along with its d</w:t>
      </w:r>
      <w:r>
        <w:rPr>
          <w:color w:val="231F20"/>
        </w:rPr>
        <w:t xml:space="preserve">istinctive towers, was </w:t>
      </w:r>
      <w:r>
        <w:rPr>
          <w:color w:val="231F20"/>
          <w:w w:val="95"/>
        </w:rPr>
        <w:t>demolished</w:t>
      </w:r>
      <w:r>
        <w:rPr>
          <w:color w:val="231F20"/>
          <w:spacing w:val="-1"/>
          <w:w w:val="95"/>
        </w:rPr>
        <w:t xml:space="preserve"> </w:t>
      </w:r>
      <w:r>
        <w:rPr>
          <w:color w:val="231F20"/>
          <w:w w:val="95"/>
        </w:rPr>
        <w:t>in</w:t>
      </w:r>
      <w:r>
        <w:rPr>
          <w:color w:val="231F20"/>
          <w:spacing w:val="-1"/>
          <w:w w:val="95"/>
        </w:rPr>
        <w:t xml:space="preserve"> </w:t>
      </w:r>
      <w:r>
        <w:rPr>
          <w:color w:val="231F20"/>
          <w:w w:val="95"/>
        </w:rPr>
        <w:t>2002–2003,</w:t>
      </w:r>
      <w:r>
        <w:rPr>
          <w:color w:val="231F20"/>
          <w:spacing w:val="-1"/>
          <w:w w:val="95"/>
        </w:rPr>
        <w:t xml:space="preserve"> </w:t>
      </w:r>
      <w:r>
        <w:rPr>
          <w:color w:val="231F20"/>
          <w:w w:val="95"/>
        </w:rPr>
        <w:t>a</w:t>
      </w:r>
      <w:r>
        <w:rPr>
          <w:color w:val="231F20"/>
          <w:spacing w:val="-1"/>
          <w:w w:val="95"/>
        </w:rPr>
        <w:t xml:space="preserve"> </w:t>
      </w:r>
      <w:r>
        <w:rPr>
          <w:color w:val="231F20"/>
          <w:w w:val="95"/>
        </w:rPr>
        <w:t>piece</w:t>
      </w:r>
      <w:r>
        <w:rPr>
          <w:color w:val="231F20"/>
          <w:spacing w:val="-1"/>
          <w:w w:val="95"/>
        </w:rPr>
        <w:t xml:space="preserve"> </w:t>
      </w:r>
      <w:r>
        <w:rPr>
          <w:color w:val="231F20"/>
          <w:w w:val="95"/>
        </w:rPr>
        <w:t>of</w:t>
      </w:r>
      <w:r>
        <w:rPr>
          <w:color w:val="231F20"/>
          <w:spacing w:val="-1"/>
          <w:w w:val="95"/>
        </w:rPr>
        <w:t xml:space="preserve"> </w:t>
      </w:r>
      <w:r>
        <w:rPr>
          <w:color w:val="231F20"/>
          <w:w w:val="95"/>
        </w:rPr>
        <w:t>sporting</w:t>
      </w:r>
      <w:r>
        <w:rPr>
          <w:color w:val="231F20"/>
          <w:spacing w:val="-1"/>
          <w:w w:val="95"/>
        </w:rPr>
        <w:t xml:space="preserve"> </w:t>
      </w:r>
      <w:r>
        <w:rPr>
          <w:color w:val="231F20"/>
          <w:w w:val="95"/>
        </w:rPr>
        <w:t>heritage</w:t>
      </w:r>
      <w:r>
        <w:rPr>
          <w:color w:val="231F20"/>
          <w:spacing w:val="-1"/>
          <w:w w:val="95"/>
        </w:rPr>
        <w:t xml:space="preserve"> </w:t>
      </w:r>
      <w:r>
        <w:rPr>
          <w:color w:val="231F20"/>
          <w:w w:val="95"/>
        </w:rPr>
        <w:t>was</w:t>
      </w:r>
      <w:r>
        <w:rPr>
          <w:color w:val="231F20"/>
          <w:spacing w:val="-1"/>
          <w:w w:val="95"/>
        </w:rPr>
        <w:t xml:space="preserve"> </w:t>
      </w:r>
      <w:r>
        <w:rPr>
          <w:color w:val="231F20"/>
          <w:w w:val="95"/>
        </w:rPr>
        <w:t>lost.</w:t>
      </w:r>
      <w:r>
        <w:rPr>
          <w:color w:val="231F20"/>
          <w:spacing w:val="-1"/>
          <w:w w:val="95"/>
        </w:rPr>
        <w:t xml:space="preserve"> </w:t>
      </w:r>
      <w:r>
        <w:rPr>
          <w:color w:val="231F20"/>
          <w:w w:val="95"/>
        </w:rPr>
        <w:t>The</w:t>
      </w:r>
      <w:r>
        <w:rPr>
          <w:color w:val="231F20"/>
          <w:spacing w:val="-1"/>
          <w:w w:val="95"/>
        </w:rPr>
        <w:t xml:space="preserve"> </w:t>
      </w:r>
      <w:r>
        <w:rPr>
          <w:color w:val="231F20"/>
          <w:w w:val="95"/>
        </w:rPr>
        <w:t xml:space="preserve">rebuild of Wembley Stadium included a retractable roof and the distinctive 134 m </w:t>
      </w:r>
      <w:r>
        <w:rPr>
          <w:color w:val="231F20"/>
        </w:rPr>
        <w:t>high Wembley Arch, which is visible across the London cityscape. When South Korea co</w:t>
      </w:r>
      <w:r>
        <w:rPr>
          <w:color w:val="231F20"/>
        </w:rPr>
        <w:t xml:space="preserve">-hosted the </w:t>
      </w:r>
      <w:r>
        <w:rPr>
          <w:i/>
          <w:color w:val="231F20"/>
        </w:rPr>
        <w:t xml:space="preserve">Internationale de Football Association </w:t>
      </w:r>
      <w:r>
        <w:rPr>
          <w:color w:val="231F20"/>
        </w:rPr>
        <w:t xml:space="preserve">(FIFA) World Cup in 2002, the medium of stadium design was used to project Korean culture and way of life. Each of the 10 host cities in Korea (re) </w:t>
      </w:r>
      <w:r>
        <w:rPr>
          <w:color w:val="231F20"/>
          <w:w w:val="95"/>
        </w:rPr>
        <w:t>developed stadiums that were designed to reflect the impo</w:t>
      </w:r>
      <w:r>
        <w:rPr>
          <w:color w:val="231F20"/>
          <w:w w:val="95"/>
        </w:rPr>
        <w:t>rtant elements</w:t>
      </w:r>
      <w:r>
        <w:rPr>
          <w:color w:val="231F20"/>
          <w:spacing w:val="80"/>
        </w:rPr>
        <w:t xml:space="preserve"> </w:t>
      </w:r>
      <w:r>
        <w:rPr>
          <w:color w:val="231F20"/>
        </w:rPr>
        <w:t>of regional culture that are unique to each city (Hinch &amp; Higham, 2004). Munhak</w:t>
      </w:r>
      <w:r>
        <w:rPr>
          <w:color w:val="231F20"/>
          <w:spacing w:val="-1"/>
        </w:rPr>
        <w:t xml:space="preserve"> </w:t>
      </w:r>
      <w:r>
        <w:rPr>
          <w:color w:val="231F20"/>
        </w:rPr>
        <w:t>Stadium</w:t>
      </w:r>
      <w:r>
        <w:rPr>
          <w:color w:val="231F20"/>
          <w:spacing w:val="-1"/>
        </w:rPr>
        <w:t xml:space="preserve"> </w:t>
      </w:r>
      <w:r>
        <w:rPr>
          <w:color w:val="231F20"/>
        </w:rPr>
        <w:t>(Incheon),</w:t>
      </w:r>
      <w:r>
        <w:rPr>
          <w:color w:val="231F20"/>
          <w:spacing w:val="-1"/>
        </w:rPr>
        <w:t xml:space="preserve"> </w:t>
      </w:r>
      <w:r>
        <w:rPr>
          <w:color w:val="231F20"/>
        </w:rPr>
        <w:t>for</w:t>
      </w:r>
      <w:r>
        <w:rPr>
          <w:color w:val="231F20"/>
          <w:spacing w:val="-1"/>
        </w:rPr>
        <w:t xml:space="preserve"> </w:t>
      </w:r>
      <w:r>
        <w:rPr>
          <w:color w:val="231F20"/>
        </w:rPr>
        <w:t>example,</w:t>
      </w:r>
      <w:r>
        <w:rPr>
          <w:color w:val="231F20"/>
          <w:spacing w:val="-1"/>
        </w:rPr>
        <w:t xml:space="preserve"> </w:t>
      </w:r>
      <w:r>
        <w:rPr>
          <w:color w:val="231F20"/>
        </w:rPr>
        <w:t>has</w:t>
      </w:r>
      <w:r>
        <w:rPr>
          <w:color w:val="231F20"/>
          <w:spacing w:val="-1"/>
        </w:rPr>
        <w:t xml:space="preserve"> </w:t>
      </w:r>
      <w:r>
        <w:rPr>
          <w:color w:val="231F20"/>
        </w:rPr>
        <w:t>a</w:t>
      </w:r>
      <w:r>
        <w:rPr>
          <w:color w:val="231F20"/>
          <w:spacing w:val="-1"/>
        </w:rPr>
        <w:t xml:space="preserve"> </w:t>
      </w:r>
      <w:r>
        <w:rPr>
          <w:color w:val="231F20"/>
        </w:rPr>
        <w:t>sailboat-designed</w:t>
      </w:r>
      <w:r>
        <w:rPr>
          <w:color w:val="231F20"/>
          <w:spacing w:val="-1"/>
        </w:rPr>
        <w:t xml:space="preserve"> </w:t>
      </w:r>
      <w:r>
        <w:rPr>
          <w:color w:val="231F20"/>
        </w:rPr>
        <w:t>roof</w:t>
      </w:r>
      <w:r>
        <w:rPr>
          <w:color w:val="231F20"/>
          <w:spacing w:val="-1"/>
        </w:rPr>
        <w:t xml:space="preserve"> </w:t>
      </w:r>
      <w:r>
        <w:rPr>
          <w:color w:val="231F20"/>
        </w:rPr>
        <w:t xml:space="preserve">to </w:t>
      </w:r>
      <w:r>
        <w:rPr>
          <w:color w:val="231F20"/>
          <w:w w:val="95"/>
        </w:rPr>
        <w:t xml:space="preserve">reflect the city’s historical role as Korea’s leading maritime gateway, while </w:t>
      </w:r>
      <w:r>
        <w:rPr>
          <w:color w:val="231F20"/>
        </w:rPr>
        <w:t>the</w:t>
      </w:r>
      <w:r>
        <w:rPr>
          <w:color w:val="231F20"/>
          <w:spacing w:val="-3"/>
        </w:rPr>
        <w:t xml:space="preserve"> </w:t>
      </w:r>
      <w:r>
        <w:rPr>
          <w:color w:val="231F20"/>
        </w:rPr>
        <w:t>traditional</w:t>
      </w:r>
      <w:r>
        <w:rPr>
          <w:color w:val="231F20"/>
          <w:spacing w:val="-3"/>
        </w:rPr>
        <w:t xml:space="preserve"> </w:t>
      </w:r>
      <w:r>
        <w:rPr>
          <w:color w:val="231F20"/>
        </w:rPr>
        <w:t>cur</w:t>
      </w:r>
      <w:r>
        <w:rPr>
          <w:color w:val="231F20"/>
        </w:rPr>
        <w:t>ved</w:t>
      </w:r>
      <w:r>
        <w:rPr>
          <w:color w:val="231F20"/>
          <w:spacing w:val="-3"/>
        </w:rPr>
        <w:t xml:space="preserve"> </w:t>
      </w:r>
      <w:r>
        <w:rPr>
          <w:color w:val="231F20"/>
        </w:rPr>
        <w:t>roofs</w:t>
      </w:r>
      <w:r>
        <w:rPr>
          <w:color w:val="231F20"/>
          <w:spacing w:val="-3"/>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rPr>
        <w:t>Suwon</w:t>
      </w:r>
      <w:r>
        <w:rPr>
          <w:color w:val="231F20"/>
          <w:spacing w:val="-3"/>
        </w:rPr>
        <w:t xml:space="preserve"> </w:t>
      </w:r>
      <w:r>
        <w:rPr>
          <w:color w:val="231F20"/>
        </w:rPr>
        <w:t>Stadium</w:t>
      </w:r>
      <w:r>
        <w:rPr>
          <w:color w:val="231F20"/>
          <w:spacing w:val="-3"/>
        </w:rPr>
        <w:t xml:space="preserve"> </w:t>
      </w:r>
      <w:r>
        <w:rPr>
          <w:color w:val="231F20"/>
        </w:rPr>
        <w:t>symbolise</w:t>
      </w:r>
      <w:r>
        <w:rPr>
          <w:color w:val="231F20"/>
          <w:spacing w:val="-3"/>
        </w:rPr>
        <w:t xml:space="preserve"> </w:t>
      </w:r>
      <w:r>
        <w:rPr>
          <w:color w:val="231F20"/>
        </w:rPr>
        <w:t>the</w:t>
      </w:r>
      <w:r>
        <w:rPr>
          <w:color w:val="231F20"/>
          <w:spacing w:val="-3"/>
        </w:rPr>
        <w:t xml:space="preserve"> </w:t>
      </w:r>
      <w:r>
        <w:rPr>
          <w:color w:val="231F20"/>
        </w:rPr>
        <w:t xml:space="preserve">ancient </w:t>
      </w:r>
      <w:r>
        <w:rPr>
          <w:color w:val="231F20"/>
          <w:w w:val="95"/>
        </w:rPr>
        <w:t xml:space="preserve">Hwaseong stone fortress, which dates back to 1796. These design features </w:t>
      </w:r>
      <w:r>
        <w:rPr>
          <w:color w:val="231F20"/>
        </w:rPr>
        <w:t>represent a rejection of creeping standardisation as described by Bale (1989),</w:t>
      </w:r>
      <w:r>
        <w:rPr>
          <w:color w:val="231F20"/>
          <w:spacing w:val="-2"/>
        </w:rPr>
        <w:t xml:space="preserve"> </w:t>
      </w:r>
      <w:r>
        <w:rPr>
          <w:color w:val="231F20"/>
        </w:rPr>
        <w:t>projecting</w:t>
      </w:r>
      <w:r>
        <w:rPr>
          <w:color w:val="231F20"/>
          <w:spacing w:val="-2"/>
        </w:rPr>
        <w:t xml:space="preserve"> </w:t>
      </w:r>
      <w:r>
        <w:rPr>
          <w:color w:val="231F20"/>
        </w:rPr>
        <w:t>unique</w:t>
      </w:r>
      <w:r>
        <w:rPr>
          <w:color w:val="231F20"/>
          <w:spacing w:val="-2"/>
        </w:rPr>
        <w:t xml:space="preserve"> </w:t>
      </w:r>
      <w:r>
        <w:rPr>
          <w:color w:val="231F20"/>
        </w:rPr>
        <w:t>elements</w:t>
      </w:r>
      <w:r>
        <w:rPr>
          <w:color w:val="231F20"/>
          <w:spacing w:val="-2"/>
        </w:rPr>
        <w:t xml:space="preserve"> </w:t>
      </w:r>
      <w:r>
        <w:rPr>
          <w:color w:val="231F20"/>
        </w:rPr>
        <w:t>of</w:t>
      </w:r>
      <w:r>
        <w:rPr>
          <w:color w:val="231F20"/>
          <w:spacing w:val="-2"/>
        </w:rPr>
        <w:t xml:space="preserve"> </w:t>
      </w:r>
      <w:r>
        <w:rPr>
          <w:color w:val="231F20"/>
        </w:rPr>
        <w:t>Korean</w:t>
      </w:r>
      <w:r>
        <w:rPr>
          <w:color w:val="231F20"/>
          <w:spacing w:val="-2"/>
        </w:rPr>
        <w:t xml:space="preserve"> </w:t>
      </w:r>
      <w:r>
        <w:rPr>
          <w:color w:val="231F20"/>
        </w:rPr>
        <w:t>culture</w:t>
      </w:r>
      <w:r>
        <w:rPr>
          <w:color w:val="231F20"/>
          <w:spacing w:val="-2"/>
        </w:rPr>
        <w:t xml:space="preserve"> </w:t>
      </w:r>
      <w:r>
        <w:rPr>
          <w:color w:val="231F20"/>
        </w:rPr>
        <w:t>to</w:t>
      </w:r>
      <w:r>
        <w:rPr>
          <w:color w:val="231F20"/>
          <w:spacing w:val="-2"/>
        </w:rPr>
        <w:t xml:space="preserve"> </w:t>
      </w:r>
      <w:r>
        <w:rPr>
          <w:color w:val="231F20"/>
        </w:rPr>
        <w:t>local</w:t>
      </w:r>
      <w:r>
        <w:rPr>
          <w:color w:val="231F20"/>
          <w:spacing w:val="-2"/>
        </w:rPr>
        <w:t xml:space="preserve"> </w:t>
      </w:r>
      <w:r>
        <w:rPr>
          <w:color w:val="231F20"/>
        </w:rPr>
        <w:t>and</w:t>
      </w:r>
      <w:r>
        <w:rPr>
          <w:color w:val="231F20"/>
          <w:spacing w:val="-2"/>
        </w:rPr>
        <w:t xml:space="preserve"> </w:t>
      </w:r>
      <w:r>
        <w:rPr>
          <w:color w:val="231F20"/>
        </w:rPr>
        <w:t xml:space="preserve">global </w:t>
      </w:r>
      <w:r>
        <w:rPr>
          <w:color w:val="231F20"/>
          <w:spacing w:val="-2"/>
        </w:rPr>
        <w:t>audiences.</w:t>
      </w:r>
    </w:p>
    <w:p w14:paraId="78F17A70" w14:textId="77777777" w:rsidR="00AE0598" w:rsidRDefault="00AE0598">
      <w:pPr>
        <w:pStyle w:val="Corpodetexto"/>
        <w:spacing w:before="10"/>
        <w:rPr>
          <w:sz w:val="22"/>
        </w:rPr>
      </w:pPr>
    </w:p>
    <w:p w14:paraId="62F309BB" w14:textId="77777777" w:rsidR="00AE0598" w:rsidRDefault="0069255A">
      <w:pPr>
        <w:ind w:left="110"/>
        <w:jc w:val="both"/>
        <w:rPr>
          <w:rFonts w:ascii="Trebuchet MS"/>
          <w:b/>
          <w:sz w:val="20"/>
        </w:rPr>
      </w:pPr>
      <w:r>
        <w:rPr>
          <w:rFonts w:ascii="Trebuchet MS"/>
          <w:b/>
          <w:color w:val="231F20"/>
          <w:sz w:val="20"/>
        </w:rPr>
        <w:t>Sport</w:t>
      </w:r>
      <w:r>
        <w:rPr>
          <w:rFonts w:ascii="Trebuchet MS"/>
          <w:b/>
          <w:color w:val="231F20"/>
          <w:spacing w:val="-3"/>
          <w:sz w:val="20"/>
        </w:rPr>
        <w:t xml:space="preserve"> </w:t>
      </w:r>
      <w:r>
        <w:rPr>
          <w:rFonts w:ascii="Trebuchet MS"/>
          <w:b/>
          <w:color w:val="231F20"/>
          <w:sz w:val="20"/>
        </w:rPr>
        <w:t>Tourism</w:t>
      </w:r>
      <w:r>
        <w:rPr>
          <w:rFonts w:ascii="Trebuchet MS"/>
          <w:b/>
          <w:color w:val="231F20"/>
          <w:spacing w:val="-3"/>
          <w:sz w:val="20"/>
        </w:rPr>
        <w:t xml:space="preserve"> </w:t>
      </w:r>
      <w:r>
        <w:rPr>
          <w:rFonts w:ascii="Trebuchet MS"/>
          <w:b/>
          <w:color w:val="231F20"/>
          <w:sz w:val="20"/>
        </w:rPr>
        <w:t>in</w:t>
      </w:r>
      <w:r>
        <w:rPr>
          <w:rFonts w:ascii="Trebuchet MS"/>
          <w:b/>
          <w:color w:val="231F20"/>
          <w:spacing w:val="-2"/>
          <w:sz w:val="20"/>
        </w:rPr>
        <w:t xml:space="preserve"> </w:t>
      </w:r>
      <w:r>
        <w:rPr>
          <w:rFonts w:ascii="Trebuchet MS"/>
          <w:b/>
          <w:color w:val="231F20"/>
          <w:sz w:val="20"/>
        </w:rPr>
        <w:t>the</w:t>
      </w:r>
      <w:r>
        <w:rPr>
          <w:rFonts w:ascii="Trebuchet MS"/>
          <w:b/>
          <w:color w:val="231F20"/>
          <w:spacing w:val="-3"/>
          <w:sz w:val="20"/>
        </w:rPr>
        <w:t xml:space="preserve"> </w:t>
      </w:r>
      <w:r>
        <w:rPr>
          <w:rFonts w:ascii="Trebuchet MS"/>
          <w:b/>
          <w:color w:val="231F20"/>
          <w:sz w:val="20"/>
        </w:rPr>
        <w:t>Natural</w:t>
      </w:r>
      <w:r>
        <w:rPr>
          <w:rFonts w:ascii="Trebuchet MS"/>
          <w:b/>
          <w:color w:val="231F20"/>
          <w:spacing w:val="-2"/>
          <w:sz w:val="20"/>
        </w:rPr>
        <w:t xml:space="preserve"> Landscape</w:t>
      </w:r>
    </w:p>
    <w:p w14:paraId="20C92C45" w14:textId="77777777" w:rsidR="00AE0598" w:rsidRDefault="0069255A">
      <w:pPr>
        <w:pStyle w:val="Corpodetexto"/>
        <w:spacing w:before="122" w:line="232" w:lineRule="auto"/>
        <w:ind w:left="110" w:right="126" w:firstLine="320"/>
        <w:jc w:val="both"/>
      </w:pPr>
      <w:r>
        <w:rPr>
          <w:color w:val="231F20"/>
          <w:w w:val="95"/>
        </w:rPr>
        <w:t xml:space="preserve">Natural features are central to sport tourism experiences in </w:t>
      </w:r>
      <w:r>
        <w:rPr>
          <w:color w:val="231F20"/>
          <w:w w:val="95"/>
        </w:rPr>
        <w:t xml:space="preserve">peripheral </w:t>
      </w:r>
      <w:r>
        <w:rPr>
          <w:color w:val="231F20"/>
        </w:rPr>
        <w:t xml:space="preserve">areas. They also present a distinct range of management issues. ‘Sports like hang gliding create pressure on rural hill and scarp country, surfing </w:t>
      </w:r>
      <w:r>
        <w:rPr>
          <w:color w:val="231F20"/>
          <w:w w:val="95"/>
        </w:rPr>
        <w:t>on beach areas, skiing has placed pressure on mountain regions and water sports compete with one a</w:t>
      </w:r>
      <w:r>
        <w:rPr>
          <w:color w:val="231F20"/>
          <w:w w:val="95"/>
        </w:rPr>
        <w:t xml:space="preserve">nother for precious room on the limited amount </w:t>
      </w:r>
      <w:r>
        <w:rPr>
          <w:color w:val="231F20"/>
        </w:rPr>
        <w:t>of suitable inland water space’ (Bale, 1989: 163). These landscapes can be quite fragile and sensitive to disturbance (Hall &amp; Page, 2014). Sport activities</w:t>
      </w:r>
      <w:r>
        <w:rPr>
          <w:color w:val="231F20"/>
          <w:spacing w:val="-4"/>
        </w:rPr>
        <w:t xml:space="preserve"> </w:t>
      </w:r>
      <w:r>
        <w:rPr>
          <w:color w:val="231F20"/>
        </w:rPr>
        <w:t>on</w:t>
      </w:r>
      <w:r>
        <w:rPr>
          <w:color w:val="231F20"/>
          <w:spacing w:val="-4"/>
        </w:rPr>
        <w:t xml:space="preserve"> </w:t>
      </w:r>
      <w:r>
        <w:rPr>
          <w:color w:val="231F20"/>
        </w:rPr>
        <w:t>these</w:t>
      </w:r>
      <w:r>
        <w:rPr>
          <w:color w:val="231F20"/>
          <w:spacing w:val="-4"/>
        </w:rPr>
        <w:t xml:space="preserve"> </w:t>
      </w:r>
      <w:r>
        <w:rPr>
          <w:color w:val="231F20"/>
        </w:rPr>
        <w:t>landscapes,</w:t>
      </w:r>
      <w:r>
        <w:rPr>
          <w:color w:val="231F20"/>
          <w:spacing w:val="-4"/>
        </w:rPr>
        <w:t xml:space="preserve"> </w:t>
      </w:r>
      <w:r>
        <w:rPr>
          <w:color w:val="231F20"/>
        </w:rPr>
        <w:t>therefore,</w:t>
      </w:r>
      <w:r>
        <w:rPr>
          <w:color w:val="231F20"/>
          <w:spacing w:val="-4"/>
        </w:rPr>
        <w:t xml:space="preserve"> </w:t>
      </w:r>
      <w:r>
        <w:rPr>
          <w:color w:val="231F20"/>
        </w:rPr>
        <w:t>need</w:t>
      </w:r>
      <w:r>
        <w:rPr>
          <w:color w:val="231F20"/>
          <w:spacing w:val="-4"/>
        </w:rPr>
        <w:t xml:space="preserve"> </w:t>
      </w:r>
      <w:r>
        <w:rPr>
          <w:color w:val="231F20"/>
        </w:rPr>
        <w:t>to</w:t>
      </w:r>
      <w:r>
        <w:rPr>
          <w:color w:val="231F20"/>
          <w:spacing w:val="-4"/>
        </w:rPr>
        <w:t xml:space="preserve"> </w:t>
      </w:r>
      <w:r>
        <w:rPr>
          <w:color w:val="231F20"/>
        </w:rPr>
        <w:t>be</w:t>
      </w:r>
      <w:r>
        <w:rPr>
          <w:color w:val="231F20"/>
          <w:spacing w:val="-4"/>
        </w:rPr>
        <w:t xml:space="preserve"> </w:t>
      </w:r>
      <w:r>
        <w:rPr>
          <w:color w:val="231F20"/>
        </w:rPr>
        <w:t>managed</w:t>
      </w:r>
      <w:r>
        <w:rPr>
          <w:color w:val="231F20"/>
          <w:spacing w:val="-4"/>
        </w:rPr>
        <w:t xml:space="preserve"> </w:t>
      </w:r>
      <w:r>
        <w:rPr>
          <w:color w:val="231F20"/>
        </w:rPr>
        <w:t>in</w:t>
      </w:r>
      <w:r>
        <w:rPr>
          <w:color w:val="231F20"/>
          <w:spacing w:val="-4"/>
        </w:rPr>
        <w:t xml:space="preserve"> </w:t>
      </w:r>
      <w:r>
        <w:rPr>
          <w:color w:val="231F20"/>
        </w:rPr>
        <w:t>order</w:t>
      </w:r>
      <w:r>
        <w:rPr>
          <w:color w:val="231F20"/>
          <w:spacing w:val="-4"/>
        </w:rPr>
        <w:t xml:space="preserve"> </w:t>
      </w:r>
      <w:r>
        <w:rPr>
          <w:color w:val="231F20"/>
        </w:rPr>
        <w:t xml:space="preserve">to mitigate negative impacts (Hinch &amp; Higham, 2004). Equally, it may be that extreme nature-based sports may foster feelings of connectedness with nature that give rise to strong desires to care for nature, and be </w:t>
      </w:r>
      <w:r>
        <w:rPr>
          <w:color w:val="231F20"/>
          <w:w w:val="95"/>
        </w:rPr>
        <w:t>environmentally sustainab</w:t>
      </w:r>
      <w:r>
        <w:rPr>
          <w:color w:val="231F20"/>
          <w:w w:val="95"/>
        </w:rPr>
        <w:t>le in practice Brymer (2009).</w:t>
      </w:r>
    </w:p>
    <w:p w14:paraId="60B404AB" w14:textId="77777777" w:rsidR="00AE0598" w:rsidRDefault="00AE0598">
      <w:pPr>
        <w:spacing w:line="232" w:lineRule="auto"/>
        <w:jc w:val="both"/>
        <w:sectPr w:rsidR="00AE0598">
          <w:pgSz w:w="8850" w:h="13270"/>
          <w:pgMar w:top="720" w:right="1060" w:bottom="280" w:left="1080" w:header="720" w:footer="720" w:gutter="0"/>
          <w:cols w:space="720"/>
        </w:sectPr>
      </w:pPr>
    </w:p>
    <w:p w14:paraId="7523F766" w14:textId="77777777" w:rsidR="00AE0598" w:rsidRDefault="0069255A">
      <w:pPr>
        <w:spacing w:before="87"/>
        <w:ind w:left="3064"/>
        <w:rPr>
          <w:rFonts w:ascii="Trebuchet MS"/>
          <w:sz w:val="14"/>
        </w:rPr>
      </w:pPr>
      <w:r>
        <w:rPr>
          <w:rFonts w:ascii="Trebuchet MS"/>
          <w:color w:val="231F20"/>
          <w:w w:val="105"/>
          <w:sz w:val="14"/>
        </w:rPr>
        <w:lastRenderedPageBreak/>
        <w:t>Environment:</w:t>
      </w:r>
      <w:r>
        <w:rPr>
          <w:rFonts w:ascii="Trebuchet MS"/>
          <w:color w:val="231F20"/>
          <w:spacing w:val="-12"/>
          <w:w w:val="105"/>
          <w:sz w:val="14"/>
        </w:rPr>
        <w:t xml:space="preserve"> </w:t>
      </w:r>
      <w:r>
        <w:rPr>
          <w:rFonts w:ascii="Trebuchet MS"/>
          <w:color w:val="231F20"/>
          <w:w w:val="105"/>
          <w:sz w:val="14"/>
        </w:rPr>
        <w:t>Landscape,</w:t>
      </w:r>
      <w:r>
        <w:rPr>
          <w:rFonts w:ascii="Trebuchet MS"/>
          <w:color w:val="231F20"/>
          <w:spacing w:val="-11"/>
          <w:w w:val="105"/>
          <w:sz w:val="14"/>
        </w:rPr>
        <w:t xml:space="preserve"> </w:t>
      </w:r>
      <w:r>
        <w:rPr>
          <w:rFonts w:ascii="Trebuchet MS"/>
          <w:color w:val="231F20"/>
          <w:w w:val="105"/>
          <w:sz w:val="14"/>
        </w:rPr>
        <w:t>Resources</w:t>
      </w:r>
      <w:r>
        <w:rPr>
          <w:rFonts w:ascii="Trebuchet MS"/>
          <w:color w:val="231F20"/>
          <w:spacing w:val="-11"/>
          <w:w w:val="105"/>
          <w:sz w:val="14"/>
        </w:rPr>
        <w:t xml:space="preserve"> </w:t>
      </w:r>
      <w:r>
        <w:rPr>
          <w:rFonts w:ascii="Trebuchet MS"/>
          <w:color w:val="231F20"/>
          <w:w w:val="105"/>
          <w:sz w:val="14"/>
        </w:rPr>
        <w:t>and</w:t>
      </w:r>
      <w:r>
        <w:rPr>
          <w:rFonts w:ascii="Trebuchet MS"/>
          <w:color w:val="231F20"/>
          <w:spacing w:val="-11"/>
          <w:w w:val="105"/>
          <w:sz w:val="14"/>
        </w:rPr>
        <w:t xml:space="preserve"> </w:t>
      </w:r>
      <w:r>
        <w:rPr>
          <w:rFonts w:ascii="Trebuchet MS"/>
          <w:color w:val="231F20"/>
          <w:w w:val="105"/>
          <w:sz w:val="14"/>
        </w:rPr>
        <w:t>Impacts</w:t>
      </w:r>
      <w:r>
        <w:rPr>
          <w:rFonts w:ascii="Trebuchet MS"/>
          <w:color w:val="231F20"/>
          <w:spacing w:val="49"/>
          <w:w w:val="105"/>
          <w:sz w:val="14"/>
        </w:rPr>
        <w:t xml:space="preserve"> </w:t>
      </w:r>
      <w:r>
        <w:rPr>
          <w:rFonts w:ascii="Trebuchet MS"/>
          <w:color w:val="231F20"/>
          <w:spacing w:val="-5"/>
          <w:w w:val="105"/>
          <w:sz w:val="14"/>
        </w:rPr>
        <w:t>149</w:t>
      </w:r>
    </w:p>
    <w:p w14:paraId="7FD6F7BE" w14:textId="77777777" w:rsidR="00AE0598" w:rsidRDefault="00AE0598">
      <w:pPr>
        <w:pStyle w:val="Corpodetexto"/>
        <w:rPr>
          <w:rFonts w:ascii="Trebuchet MS"/>
          <w:sz w:val="16"/>
        </w:rPr>
      </w:pPr>
    </w:p>
    <w:p w14:paraId="74EB1F3E" w14:textId="77777777" w:rsidR="00AE0598" w:rsidRDefault="0069255A">
      <w:pPr>
        <w:pStyle w:val="Corpodetexto"/>
        <w:spacing w:before="118" w:line="232" w:lineRule="auto"/>
        <w:ind w:left="110" w:right="126" w:firstLine="320"/>
        <w:jc w:val="both"/>
      </w:pPr>
      <w:r>
        <w:rPr>
          <w:color w:val="231F20"/>
        </w:rPr>
        <w:t>The challenge of sustainable sport tourism development in natural areas arises for a variety of reasons. One reason is the dynamic nature</w:t>
      </w:r>
      <w:r>
        <w:rPr>
          <w:color w:val="231F20"/>
          <w:spacing w:val="40"/>
        </w:rPr>
        <w:t xml:space="preserve"> </w:t>
      </w:r>
      <w:r>
        <w:rPr>
          <w:color w:val="231F20"/>
        </w:rPr>
        <w:t>of sport as reflected b</w:t>
      </w:r>
      <w:r>
        <w:rPr>
          <w:color w:val="231F20"/>
        </w:rPr>
        <w:t xml:space="preserve">y the speed with which new sports are developed </w:t>
      </w:r>
      <w:r>
        <w:rPr>
          <w:color w:val="231F20"/>
          <w:w w:val="95"/>
        </w:rPr>
        <w:t xml:space="preserve">and diffused. The transition from an emerging sport pursued by relatively </w:t>
      </w:r>
      <w:r>
        <w:rPr>
          <w:color w:val="231F20"/>
        </w:rPr>
        <w:t>few,</w:t>
      </w:r>
      <w:r>
        <w:rPr>
          <w:color w:val="231F20"/>
          <w:spacing w:val="-8"/>
        </w:rPr>
        <w:t xml:space="preserve"> </w:t>
      </w:r>
      <w:r>
        <w:rPr>
          <w:color w:val="231F20"/>
        </w:rPr>
        <w:t>to</w:t>
      </w:r>
      <w:r>
        <w:rPr>
          <w:color w:val="231F20"/>
          <w:spacing w:val="-8"/>
        </w:rPr>
        <w:t xml:space="preserve"> </w:t>
      </w:r>
      <w:r>
        <w:rPr>
          <w:color w:val="231F20"/>
        </w:rPr>
        <w:t>a</w:t>
      </w:r>
      <w:r>
        <w:rPr>
          <w:color w:val="231F20"/>
          <w:spacing w:val="-8"/>
        </w:rPr>
        <w:t xml:space="preserve"> </w:t>
      </w:r>
      <w:r>
        <w:rPr>
          <w:color w:val="231F20"/>
        </w:rPr>
        <w:t>mass</w:t>
      </w:r>
      <w:r>
        <w:rPr>
          <w:color w:val="231F20"/>
          <w:spacing w:val="-8"/>
        </w:rPr>
        <w:t xml:space="preserve"> </w:t>
      </w:r>
      <w:r>
        <w:rPr>
          <w:color w:val="231F20"/>
        </w:rPr>
        <w:t>participation</w:t>
      </w:r>
      <w:r>
        <w:rPr>
          <w:color w:val="231F20"/>
          <w:spacing w:val="-8"/>
        </w:rPr>
        <w:t xml:space="preserve"> </w:t>
      </w:r>
      <w:r>
        <w:rPr>
          <w:color w:val="231F20"/>
        </w:rPr>
        <w:t>phenomenon</w:t>
      </w:r>
      <w:r>
        <w:rPr>
          <w:color w:val="231F20"/>
          <w:spacing w:val="-8"/>
        </w:rPr>
        <w:t xml:space="preserve"> </w:t>
      </w:r>
      <w:r>
        <w:rPr>
          <w:color w:val="231F20"/>
        </w:rPr>
        <w:t>may</w:t>
      </w:r>
      <w:r>
        <w:rPr>
          <w:color w:val="231F20"/>
          <w:spacing w:val="-8"/>
        </w:rPr>
        <w:t xml:space="preserve"> </w:t>
      </w:r>
      <w:r>
        <w:rPr>
          <w:color w:val="231F20"/>
        </w:rPr>
        <w:t>take</w:t>
      </w:r>
      <w:r>
        <w:rPr>
          <w:color w:val="231F20"/>
          <w:spacing w:val="-8"/>
        </w:rPr>
        <w:t xml:space="preserve"> </w:t>
      </w:r>
      <w:r>
        <w:rPr>
          <w:color w:val="231F20"/>
        </w:rPr>
        <w:t>place</w:t>
      </w:r>
      <w:r>
        <w:rPr>
          <w:color w:val="231F20"/>
          <w:spacing w:val="-8"/>
        </w:rPr>
        <w:t xml:space="preserve"> </w:t>
      </w:r>
      <w:r>
        <w:rPr>
          <w:color w:val="231F20"/>
        </w:rPr>
        <w:t>in</w:t>
      </w:r>
      <w:r>
        <w:rPr>
          <w:color w:val="231F20"/>
          <w:spacing w:val="-8"/>
        </w:rPr>
        <w:t xml:space="preserve"> </w:t>
      </w:r>
      <w:r>
        <w:rPr>
          <w:color w:val="231F20"/>
        </w:rPr>
        <w:t>a</w:t>
      </w:r>
      <w:r>
        <w:rPr>
          <w:color w:val="231F20"/>
          <w:spacing w:val="-8"/>
        </w:rPr>
        <w:t xml:space="preserve"> </w:t>
      </w:r>
      <w:r>
        <w:rPr>
          <w:color w:val="231F20"/>
        </w:rPr>
        <w:t>short</w:t>
      </w:r>
      <w:r>
        <w:rPr>
          <w:color w:val="231F20"/>
          <w:spacing w:val="-8"/>
        </w:rPr>
        <w:t xml:space="preserve"> </w:t>
      </w:r>
      <w:r>
        <w:rPr>
          <w:color w:val="231F20"/>
        </w:rPr>
        <w:t>space of time (Standeven &amp; De Knop, 1999). Mountain biking, which em</w:t>
      </w:r>
      <w:r>
        <w:rPr>
          <w:color w:val="231F20"/>
        </w:rPr>
        <w:t>erged and rapidly evolved into various sub-disciplines (Hagen &amp; Boyes, 2016; Moularde &amp; Weaver, 2016), is a case in point. Other sports that have demonstrated a rapid rise in popularity include snowboarding, scuba diving, windsurfing, triathlon and paragli</w:t>
      </w:r>
      <w:r>
        <w:rPr>
          <w:color w:val="231F20"/>
        </w:rPr>
        <w:t xml:space="preserve">ding. This dynamic presents fascinating development opportunities at tourist destinations but it also </w:t>
      </w:r>
      <w:r>
        <w:rPr>
          <w:color w:val="231F20"/>
          <w:w w:val="95"/>
        </w:rPr>
        <w:t xml:space="preserve">requires proactive action to establish and implement appropriate policies </w:t>
      </w:r>
      <w:r>
        <w:rPr>
          <w:color w:val="231F20"/>
        </w:rPr>
        <w:t xml:space="preserve">and management strategies to protect the natural landscapes. In some cases, the development of participation sports has taken place in the absence of a relevant legislation framework, management structure or </w:t>
      </w:r>
      <w:r>
        <w:rPr>
          <w:color w:val="231F20"/>
          <w:w w:val="95"/>
        </w:rPr>
        <w:t>administrative authority. Sports such as BASE ju</w:t>
      </w:r>
      <w:r>
        <w:rPr>
          <w:color w:val="231F20"/>
          <w:w w:val="95"/>
        </w:rPr>
        <w:t xml:space="preserve">mping and bungy jumping demonstrate the challenge that management agencies may encounter with the development of new sports innovations. Extreme sports such as these </w:t>
      </w:r>
      <w:r>
        <w:rPr>
          <w:color w:val="231F20"/>
        </w:rPr>
        <w:t>often defy a single management authority (Mykletun &amp; Ved</w:t>
      </w:r>
      <w:r>
        <w:rPr>
          <w:rFonts w:ascii="Times New Roman" w:hAnsi="Times New Roman"/>
          <w:color w:val="231F20"/>
        </w:rPr>
        <w:t>ø</w:t>
      </w:r>
      <w:r>
        <w:rPr>
          <w:color w:val="231F20"/>
        </w:rPr>
        <w:t>, 2002).</w:t>
      </w:r>
    </w:p>
    <w:p w14:paraId="7B1A8B06" w14:textId="77777777" w:rsidR="00AE0598" w:rsidRDefault="0069255A">
      <w:pPr>
        <w:pStyle w:val="Corpodetexto"/>
        <w:spacing w:before="23" w:line="232" w:lineRule="auto"/>
        <w:ind w:left="110" w:right="127" w:firstLine="320"/>
        <w:jc w:val="both"/>
      </w:pPr>
      <w:r>
        <w:rPr>
          <w:color w:val="231F20"/>
        </w:rPr>
        <w:t>The</w:t>
      </w:r>
      <w:r>
        <w:rPr>
          <w:color w:val="231F20"/>
          <w:spacing w:val="-9"/>
        </w:rPr>
        <w:t xml:space="preserve"> </w:t>
      </w:r>
      <w:r>
        <w:rPr>
          <w:color w:val="231F20"/>
        </w:rPr>
        <w:t>management</w:t>
      </w:r>
      <w:r>
        <w:rPr>
          <w:color w:val="231F20"/>
          <w:spacing w:val="-9"/>
        </w:rPr>
        <w:t xml:space="preserve"> </w:t>
      </w:r>
      <w:r>
        <w:rPr>
          <w:color w:val="231F20"/>
        </w:rPr>
        <w:t>of</w:t>
      </w:r>
      <w:r>
        <w:rPr>
          <w:color w:val="231F20"/>
          <w:spacing w:val="-9"/>
        </w:rPr>
        <w:t xml:space="preserve"> </w:t>
      </w:r>
      <w:r>
        <w:rPr>
          <w:color w:val="231F20"/>
        </w:rPr>
        <w:t>the</w:t>
      </w:r>
      <w:r>
        <w:rPr>
          <w:color w:val="231F20"/>
          <w:spacing w:val="-9"/>
        </w:rPr>
        <w:t xml:space="preserve"> </w:t>
      </w:r>
      <w:r>
        <w:rPr>
          <w:color w:val="231F20"/>
        </w:rPr>
        <w:t>im</w:t>
      </w:r>
      <w:r>
        <w:rPr>
          <w:color w:val="231F20"/>
        </w:rPr>
        <w:t>pacts</w:t>
      </w:r>
      <w:r>
        <w:rPr>
          <w:color w:val="231F20"/>
          <w:spacing w:val="-9"/>
        </w:rPr>
        <w:t xml:space="preserve"> </w:t>
      </w:r>
      <w:r>
        <w:rPr>
          <w:color w:val="231F20"/>
        </w:rPr>
        <w:t>of</w:t>
      </w:r>
      <w:r>
        <w:rPr>
          <w:color w:val="231F20"/>
          <w:spacing w:val="-9"/>
        </w:rPr>
        <w:t xml:space="preserve"> </w:t>
      </w:r>
      <w:r>
        <w:rPr>
          <w:color w:val="231F20"/>
        </w:rPr>
        <w:t>sport</w:t>
      </w:r>
      <w:r>
        <w:rPr>
          <w:color w:val="231F20"/>
          <w:spacing w:val="-9"/>
        </w:rPr>
        <w:t xml:space="preserve"> </w:t>
      </w:r>
      <w:r>
        <w:rPr>
          <w:color w:val="231F20"/>
        </w:rPr>
        <w:t>tourism</w:t>
      </w:r>
      <w:r>
        <w:rPr>
          <w:color w:val="231F20"/>
          <w:spacing w:val="-9"/>
        </w:rPr>
        <w:t xml:space="preserve"> </w:t>
      </w:r>
      <w:r>
        <w:rPr>
          <w:color w:val="231F20"/>
        </w:rPr>
        <w:t>on</w:t>
      </w:r>
      <w:r>
        <w:rPr>
          <w:color w:val="231F20"/>
          <w:spacing w:val="-9"/>
        </w:rPr>
        <w:t xml:space="preserve"> </w:t>
      </w:r>
      <w:r>
        <w:rPr>
          <w:color w:val="231F20"/>
        </w:rPr>
        <w:t>natural</w:t>
      </w:r>
      <w:r>
        <w:rPr>
          <w:color w:val="231F20"/>
          <w:spacing w:val="-9"/>
        </w:rPr>
        <w:t xml:space="preserve"> </w:t>
      </w:r>
      <w:r>
        <w:rPr>
          <w:color w:val="231F20"/>
        </w:rPr>
        <w:t>areas</w:t>
      </w:r>
      <w:r>
        <w:rPr>
          <w:color w:val="231F20"/>
          <w:spacing w:val="-9"/>
        </w:rPr>
        <w:t xml:space="preserve"> </w:t>
      </w:r>
      <w:r>
        <w:rPr>
          <w:color w:val="231F20"/>
        </w:rPr>
        <w:t>is</w:t>
      </w:r>
      <w:r>
        <w:rPr>
          <w:color w:val="231F20"/>
          <w:spacing w:val="-9"/>
        </w:rPr>
        <w:t xml:space="preserve"> </w:t>
      </w:r>
      <w:r>
        <w:rPr>
          <w:color w:val="231F20"/>
        </w:rPr>
        <w:t xml:space="preserve">a </w:t>
      </w:r>
      <w:r>
        <w:rPr>
          <w:color w:val="231F20"/>
          <w:w w:val="95"/>
        </w:rPr>
        <w:t xml:space="preserve">complex task. Indeed, simply measuring the impacts of tourism is fraught </w:t>
      </w:r>
      <w:r>
        <w:rPr>
          <w:color w:val="231F20"/>
        </w:rPr>
        <w:t>with difficulty. Rarely do baselines exist from which to measure change, and the impacts of tourism are challenging to disaggregate from t</w:t>
      </w:r>
      <w:r>
        <w:rPr>
          <w:color w:val="231F20"/>
        </w:rPr>
        <w:t xml:space="preserve">he direct or indirect impacts of other human activities (Wall &amp; Mathieson, 2006). The impacts of littoral sport tourism on marine flora and fauna, </w:t>
      </w:r>
      <w:r>
        <w:rPr>
          <w:color w:val="231F20"/>
          <w:w w:val="95"/>
        </w:rPr>
        <w:t>for example, are difficult to distinguish from those of fishing, aquaculture</w:t>
      </w:r>
      <w:r>
        <w:rPr>
          <w:color w:val="231F20"/>
          <w:spacing w:val="80"/>
        </w:rPr>
        <w:t xml:space="preserve"> </w:t>
      </w:r>
      <w:r>
        <w:rPr>
          <w:color w:val="231F20"/>
        </w:rPr>
        <w:t>or</w:t>
      </w:r>
      <w:r>
        <w:rPr>
          <w:color w:val="231F20"/>
          <w:spacing w:val="-7"/>
        </w:rPr>
        <w:t xml:space="preserve"> </w:t>
      </w:r>
      <w:r>
        <w:rPr>
          <w:color w:val="231F20"/>
        </w:rPr>
        <w:t>the</w:t>
      </w:r>
      <w:r>
        <w:rPr>
          <w:color w:val="231F20"/>
          <w:spacing w:val="-7"/>
        </w:rPr>
        <w:t xml:space="preserve"> </w:t>
      </w:r>
      <w:r>
        <w:rPr>
          <w:color w:val="231F20"/>
        </w:rPr>
        <w:t>inappropriate</w:t>
      </w:r>
      <w:r>
        <w:rPr>
          <w:color w:val="231F20"/>
          <w:spacing w:val="-7"/>
        </w:rPr>
        <w:t xml:space="preserve"> </w:t>
      </w:r>
      <w:r>
        <w:rPr>
          <w:color w:val="231F20"/>
        </w:rPr>
        <w:t>dumping</w:t>
      </w:r>
      <w:r>
        <w:rPr>
          <w:color w:val="231F20"/>
          <w:spacing w:val="-7"/>
        </w:rPr>
        <w:t xml:space="preserve"> </w:t>
      </w:r>
      <w:r>
        <w:rPr>
          <w:color w:val="231F20"/>
        </w:rPr>
        <w:t>of</w:t>
      </w:r>
      <w:r>
        <w:rPr>
          <w:color w:val="231F20"/>
          <w:spacing w:val="-7"/>
        </w:rPr>
        <w:t xml:space="preserve"> </w:t>
      </w:r>
      <w:r>
        <w:rPr>
          <w:color w:val="231F20"/>
        </w:rPr>
        <w:t>waste</w:t>
      </w:r>
      <w:r>
        <w:rPr>
          <w:color w:val="231F20"/>
          <w:spacing w:val="-7"/>
        </w:rPr>
        <w:t xml:space="preserve"> </w:t>
      </w:r>
      <w:r>
        <w:rPr>
          <w:color w:val="231F20"/>
        </w:rPr>
        <w:t>materials</w:t>
      </w:r>
      <w:r>
        <w:rPr>
          <w:color w:val="231F20"/>
          <w:spacing w:val="-7"/>
        </w:rPr>
        <w:t xml:space="preserve"> </w:t>
      </w:r>
      <w:r>
        <w:rPr>
          <w:color w:val="231F20"/>
        </w:rPr>
        <w:t>from</w:t>
      </w:r>
      <w:r>
        <w:rPr>
          <w:color w:val="231F20"/>
          <w:spacing w:val="-7"/>
        </w:rPr>
        <w:t xml:space="preserve"> </w:t>
      </w:r>
      <w:r>
        <w:rPr>
          <w:color w:val="231F20"/>
        </w:rPr>
        <w:t>towns,</w:t>
      </w:r>
      <w:r>
        <w:rPr>
          <w:color w:val="231F20"/>
          <w:spacing w:val="-7"/>
        </w:rPr>
        <w:t xml:space="preserve"> </w:t>
      </w:r>
      <w:r>
        <w:rPr>
          <w:color w:val="231F20"/>
        </w:rPr>
        <w:t>industries, agriculture and forestry (Bellan &amp; Bellan-Santini, 2001). The impacts of sport</w:t>
      </w:r>
      <w:r>
        <w:rPr>
          <w:color w:val="231F20"/>
          <w:spacing w:val="-9"/>
        </w:rPr>
        <w:t xml:space="preserve"> </w:t>
      </w:r>
      <w:r>
        <w:rPr>
          <w:color w:val="231F20"/>
        </w:rPr>
        <w:t>tourism</w:t>
      </w:r>
      <w:r>
        <w:rPr>
          <w:color w:val="231F20"/>
          <w:spacing w:val="-9"/>
        </w:rPr>
        <w:t xml:space="preserve"> </w:t>
      </w:r>
      <w:r>
        <w:rPr>
          <w:color w:val="231F20"/>
        </w:rPr>
        <w:t>on</w:t>
      </w:r>
      <w:r>
        <w:rPr>
          <w:color w:val="231F20"/>
          <w:spacing w:val="-9"/>
        </w:rPr>
        <w:t xml:space="preserve"> </w:t>
      </w:r>
      <w:r>
        <w:rPr>
          <w:color w:val="231F20"/>
        </w:rPr>
        <w:t>fragile</w:t>
      </w:r>
      <w:r>
        <w:rPr>
          <w:color w:val="231F20"/>
          <w:spacing w:val="-9"/>
        </w:rPr>
        <w:t xml:space="preserve"> </w:t>
      </w:r>
      <w:r>
        <w:rPr>
          <w:color w:val="231F20"/>
        </w:rPr>
        <w:t>alpine</w:t>
      </w:r>
      <w:r>
        <w:rPr>
          <w:color w:val="231F20"/>
          <w:spacing w:val="-9"/>
        </w:rPr>
        <w:t xml:space="preserve"> </w:t>
      </w:r>
      <w:r>
        <w:rPr>
          <w:color w:val="231F20"/>
        </w:rPr>
        <w:t>ecologies</w:t>
      </w:r>
      <w:r>
        <w:rPr>
          <w:color w:val="231F20"/>
          <w:spacing w:val="-9"/>
        </w:rPr>
        <w:t xml:space="preserve"> </w:t>
      </w:r>
      <w:r>
        <w:rPr>
          <w:color w:val="231F20"/>
        </w:rPr>
        <w:t>may,</w:t>
      </w:r>
      <w:r>
        <w:rPr>
          <w:color w:val="231F20"/>
          <w:spacing w:val="-9"/>
        </w:rPr>
        <w:t xml:space="preserve"> </w:t>
      </w:r>
      <w:r>
        <w:rPr>
          <w:color w:val="231F20"/>
        </w:rPr>
        <w:t>due</w:t>
      </w:r>
      <w:r>
        <w:rPr>
          <w:color w:val="231F20"/>
          <w:spacing w:val="-9"/>
        </w:rPr>
        <w:t xml:space="preserve"> </w:t>
      </w:r>
      <w:r>
        <w:rPr>
          <w:color w:val="231F20"/>
        </w:rPr>
        <w:t>to</w:t>
      </w:r>
      <w:r>
        <w:rPr>
          <w:color w:val="231F20"/>
          <w:spacing w:val="-9"/>
        </w:rPr>
        <w:t xml:space="preserve"> </w:t>
      </w:r>
      <w:r>
        <w:rPr>
          <w:color w:val="231F20"/>
        </w:rPr>
        <w:t>extremes</w:t>
      </w:r>
      <w:r>
        <w:rPr>
          <w:color w:val="231F20"/>
          <w:spacing w:val="-9"/>
        </w:rPr>
        <w:t xml:space="preserve"> </w:t>
      </w:r>
      <w:r>
        <w:rPr>
          <w:color w:val="231F20"/>
        </w:rPr>
        <w:t>of</w:t>
      </w:r>
      <w:r>
        <w:rPr>
          <w:color w:val="231F20"/>
          <w:spacing w:val="-9"/>
        </w:rPr>
        <w:t xml:space="preserve"> </w:t>
      </w:r>
      <w:r>
        <w:rPr>
          <w:color w:val="231F20"/>
        </w:rPr>
        <w:t xml:space="preserve">altitude and climate, require extended recovery and regeneration time frames </w:t>
      </w:r>
      <w:r>
        <w:rPr>
          <w:color w:val="231F20"/>
        </w:rPr>
        <w:t xml:space="preserve">(Flagestad &amp; Hope, 2001). Although the visual impacts of development may be immediately apparent, more subtle changes on fragile alpine flora, growth and regeneration rates, water regulation (May, 1995) and the breeding success of rare alpine bird species </w:t>
      </w:r>
      <w:r>
        <w:rPr>
          <w:color w:val="231F20"/>
        </w:rPr>
        <w:t>(Holden, 2000) require intervention programmes and long-term monitoring.</w:t>
      </w:r>
    </w:p>
    <w:p w14:paraId="44546EF9" w14:textId="77777777" w:rsidR="00AE0598" w:rsidRDefault="0069255A">
      <w:pPr>
        <w:pStyle w:val="Corpodetexto"/>
        <w:spacing w:before="19" w:line="232" w:lineRule="auto"/>
        <w:ind w:left="110" w:right="126" w:firstLine="320"/>
        <w:jc w:val="both"/>
      </w:pPr>
      <w:r>
        <w:rPr>
          <w:color w:val="231F20"/>
          <w:w w:val="95"/>
        </w:rPr>
        <w:t xml:space="preserve">While it is sometimes possible to identify positive and negative impacts </w:t>
      </w:r>
      <w:r>
        <w:rPr>
          <w:color w:val="231F20"/>
        </w:rPr>
        <w:t xml:space="preserve">within the social, cultural, economic and environmental contexts of a </w:t>
      </w:r>
      <w:r>
        <w:rPr>
          <w:color w:val="231F20"/>
          <w:w w:val="95"/>
        </w:rPr>
        <w:t xml:space="preserve">destination, these impacts are connected in a complex web of relationships. </w:t>
      </w:r>
      <w:r>
        <w:rPr>
          <w:color w:val="231F20"/>
        </w:rPr>
        <w:t>The acceptability of different impacts in combination is also viewed subjectively by different stakeholder gro</w:t>
      </w:r>
      <w:r>
        <w:rPr>
          <w:color w:val="231F20"/>
        </w:rPr>
        <w:t xml:space="preserve">ups, and different individuals within stakeholder groups (Wall &amp; Mathieson, 2006). The extensive </w:t>
      </w:r>
      <w:r>
        <w:rPr>
          <w:color w:val="231F20"/>
          <w:w w:val="95"/>
        </w:rPr>
        <w:t>literature on sustainable tourism development and impact management is</w:t>
      </w:r>
      <w:r>
        <w:rPr>
          <w:color w:val="231F20"/>
          <w:spacing w:val="40"/>
        </w:rPr>
        <w:t xml:space="preserve"> </w:t>
      </w:r>
      <w:r>
        <w:rPr>
          <w:color w:val="231F20"/>
          <w:w w:val="95"/>
        </w:rPr>
        <w:t>of</w:t>
      </w:r>
      <w:r>
        <w:rPr>
          <w:color w:val="231F20"/>
          <w:spacing w:val="4"/>
        </w:rPr>
        <w:t xml:space="preserve"> </w:t>
      </w:r>
      <w:r>
        <w:rPr>
          <w:color w:val="231F20"/>
          <w:w w:val="95"/>
        </w:rPr>
        <w:t>high</w:t>
      </w:r>
      <w:r>
        <w:rPr>
          <w:color w:val="231F20"/>
          <w:spacing w:val="5"/>
        </w:rPr>
        <w:t xml:space="preserve"> </w:t>
      </w:r>
      <w:r>
        <w:rPr>
          <w:color w:val="231F20"/>
          <w:w w:val="95"/>
        </w:rPr>
        <w:t>relevance</w:t>
      </w:r>
      <w:r>
        <w:rPr>
          <w:color w:val="231F20"/>
          <w:spacing w:val="5"/>
        </w:rPr>
        <w:t xml:space="preserve"> </w:t>
      </w:r>
      <w:r>
        <w:rPr>
          <w:color w:val="231F20"/>
          <w:w w:val="95"/>
        </w:rPr>
        <w:t>to</w:t>
      </w:r>
      <w:r>
        <w:rPr>
          <w:color w:val="231F20"/>
          <w:spacing w:val="5"/>
        </w:rPr>
        <w:t xml:space="preserve"> </w:t>
      </w:r>
      <w:r>
        <w:rPr>
          <w:color w:val="231F20"/>
          <w:w w:val="95"/>
        </w:rPr>
        <w:t>sport</w:t>
      </w:r>
      <w:r>
        <w:rPr>
          <w:color w:val="231F20"/>
          <w:spacing w:val="5"/>
        </w:rPr>
        <w:t xml:space="preserve"> </w:t>
      </w:r>
      <w:r>
        <w:rPr>
          <w:color w:val="231F20"/>
          <w:w w:val="95"/>
        </w:rPr>
        <w:t>and</w:t>
      </w:r>
      <w:r>
        <w:rPr>
          <w:color w:val="231F20"/>
          <w:spacing w:val="5"/>
        </w:rPr>
        <w:t xml:space="preserve"> </w:t>
      </w:r>
      <w:r>
        <w:rPr>
          <w:color w:val="231F20"/>
          <w:w w:val="95"/>
        </w:rPr>
        <w:t>tourism</w:t>
      </w:r>
      <w:r>
        <w:rPr>
          <w:color w:val="231F20"/>
          <w:spacing w:val="5"/>
        </w:rPr>
        <w:t xml:space="preserve"> </w:t>
      </w:r>
      <w:r>
        <w:rPr>
          <w:color w:val="231F20"/>
          <w:w w:val="95"/>
        </w:rPr>
        <w:t>managers,</w:t>
      </w:r>
      <w:r>
        <w:rPr>
          <w:color w:val="231F20"/>
          <w:spacing w:val="5"/>
        </w:rPr>
        <w:t xml:space="preserve"> </w:t>
      </w:r>
      <w:r>
        <w:rPr>
          <w:color w:val="231F20"/>
          <w:w w:val="95"/>
        </w:rPr>
        <w:t>who</w:t>
      </w:r>
      <w:r>
        <w:rPr>
          <w:color w:val="231F20"/>
          <w:spacing w:val="5"/>
        </w:rPr>
        <w:t xml:space="preserve"> </w:t>
      </w:r>
      <w:r>
        <w:rPr>
          <w:color w:val="231F20"/>
          <w:w w:val="95"/>
        </w:rPr>
        <w:t>should</w:t>
      </w:r>
      <w:r>
        <w:rPr>
          <w:color w:val="231F20"/>
          <w:spacing w:val="5"/>
        </w:rPr>
        <w:t xml:space="preserve"> </w:t>
      </w:r>
      <w:r>
        <w:rPr>
          <w:color w:val="231F20"/>
          <w:w w:val="95"/>
        </w:rPr>
        <w:t>be</w:t>
      </w:r>
      <w:r>
        <w:rPr>
          <w:color w:val="231F20"/>
          <w:spacing w:val="5"/>
        </w:rPr>
        <w:t xml:space="preserve"> </w:t>
      </w:r>
      <w:r>
        <w:rPr>
          <w:color w:val="231F20"/>
          <w:spacing w:val="-2"/>
          <w:w w:val="95"/>
        </w:rPr>
        <w:t>cognisant</w:t>
      </w:r>
    </w:p>
    <w:p w14:paraId="763221CB" w14:textId="77777777" w:rsidR="00AE0598" w:rsidRDefault="00AE0598">
      <w:pPr>
        <w:spacing w:line="232" w:lineRule="auto"/>
        <w:jc w:val="both"/>
        <w:sectPr w:rsidR="00AE0598">
          <w:pgSz w:w="8850" w:h="13270"/>
          <w:pgMar w:top="720" w:right="1060" w:bottom="280" w:left="1080" w:header="720" w:footer="720" w:gutter="0"/>
          <w:cols w:space="720"/>
        </w:sectPr>
      </w:pPr>
    </w:p>
    <w:p w14:paraId="7C4752B1" w14:textId="77777777" w:rsidR="00AE0598" w:rsidRDefault="0069255A">
      <w:pPr>
        <w:spacing w:before="87"/>
        <w:ind w:left="108"/>
        <w:rPr>
          <w:rFonts w:ascii="Trebuchet MS"/>
          <w:sz w:val="14"/>
        </w:rPr>
      </w:pPr>
      <w:r>
        <w:rPr>
          <w:rFonts w:ascii="Trebuchet MS"/>
          <w:color w:val="231F20"/>
          <w:w w:val="105"/>
          <w:sz w:val="14"/>
        </w:rPr>
        <w:lastRenderedPageBreak/>
        <w:t>150</w:t>
      </w:r>
      <w:r>
        <w:rPr>
          <w:rFonts w:ascii="Trebuchet MS"/>
          <w:color w:val="231F20"/>
          <w:spacing w:val="66"/>
          <w:w w:val="150"/>
          <w:sz w:val="14"/>
        </w:rPr>
        <w:t xml:space="preserve"> </w:t>
      </w:r>
      <w:r>
        <w:rPr>
          <w:rFonts w:ascii="Trebuchet MS"/>
          <w:color w:val="231F20"/>
          <w:w w:val="105"/>
          <w:sz w:val="14"/>
        </w:rPr>
        <w:t>Part</w:t>
      </w:r>
      <w:r>
        <w:rPr>
          <w:rFonts w:ascii="Trebuchet MS"/>
          <w:color w:val="231F20"/>
          <w:spacing w:val="-9"/>
          <w:w w:val="105"/>
          <w:sz w:val="14"/>
        </w:rPr>
        <w:t xml:space="preserve"> </w:t>
      </w:r>
      <w:r>
        <w:rPr>
          <w:rFonts w:ascii="Trebuchet MS"/>
          <w:color w:val="231F20"/>
          <w:w w:val="105"/>
          <w:sz w:val="14"/>
        </w:rPr>
        <w:t>3:</w:t>
      </w:r>
      <w:r>
        <w:rPr>
          <w:rFonts w:ascii="Trebuchet MS"/>
          <w:color w:val="231F20"/>
          <w:spacing w:val="-8"/>
          <w:w w:val="105"/>
          <w:sz w:val="14"/>
        </w:rPr>
        <w:t xml:space="preserve"> </w:t>
      </w:r>
      <w:r>
        <w:rPr>
          <w:rFonts w:ascii="Trebuchet MS"/>
          <w:color w:val="231F20"/>
          <w:w w:val="105"/>
          <w:sz w:val="14"/>
        </w:rPr>
        <w:t>Sport</w:t>
      </w:r>
      <w:r>
        <w:rPr>
          <w:rFonts w:ascii="Trebuchet MS"/>
          <w:color w:val="231F20"/>
          <w:spacing w:val="-9"/>
          <w:w w:val="105"/>
          <w:sz w:val="14"/>
        </w:rPr>
        <w:t xml:space="preserve"> </w:t>
      </w:r>
      <w:r>
        <w:rPr>
          <w:rFonts w:ascii="Trebuchet MS"/>
          <w:color w:val="231F20"/>
          <w:w w:val="105"/>
          <w:sz w:val="14"/>
        </w:rPr>
        <w:t>Tourism</w:t>
      </w:r>
      <w:r>
        <w:rPr>
          <w:rFonts w:ascii="Trebuchet MS"/>
          <w:color w:val="231F20"/>
          <w:spacing w:val="-9"/>
          <w:w w:val="105"/>
          <w:sz w:val="14"/>
        </w:rPr>
        <w:t xml:space="preserve"> </w:t>
      </w:r>
      <w:r>
        <w:rPr>
          <w:rFonts w:ascii="Trebuchet MS"/>
          <w:color w:val="231F20"/>
          <w:w w:val="105"/>
          <w:sz w:val="14"/>
        </w:rPr>
        <w:t>Development</w:t>
      </w:r>
      <w:r>
        <w:rPr>
          <w:rFonts w:ascii="Trebuchet MS"/>
          <w:color w:val="231F20"/>
          <w:spacing w:val="-9"/>
          <w:w w:val="105"/>
          <w:sz w:val="14"/>
        </w:rPr>
        <w:t xml:space="preserve"> </w:t>
      </w:r>
      <w:r>
        <w:rPr>
          <w:rFonts w:ascii="Trebuchet MS"/>
          <w:color w:val="231F20"/>
          <w:w w:val="105"/>
          <w:sz w:val="14"/>
        </w:rPr>
        <w:t>and</w:t>
      </w:r>
      <w:r>
        <w:rPr>
          <w:rFonts w:ascii="Trebuchet MS"/>
          <w:color w:val="231F20"/>
          <w:spacing w:val="-8"/>
          <w:w w:val="105"/>
          <w:sz w:val="14"/>
        </w:rPr>
        <w:t xml:space="preserve"> </w:t>
      </w:r>
      <w:r>
        <w:rPr>
          <w:rFonts w:ascii="Trebuchet MS"/>
          <w:color w:val="231F20"/>
          <w:spacing w:val="-2"/>
          <w:w w:val="105"/>
          <w:sz w:val="14"/>
        </w:rPr>
        <w:t>Space</w:t>
      </w:r>
    </w:p>
    <w:p w14:paraId="573C4A82" w14:textId="77777777" w:rsidR="00AE0598" w:rsidRDefault="00AE0598">
      <w:pPr>
        <w:pStyle w:val="Corpodetexto"/>
        <w:rPr>
          <w:rFonts w:ascii="Trebuchet MS"/>
          <w:sz w:val="16"/>
        </w:rPr>
      </w:pPr>
    </w:p>
    <w:p w14:paraId="3F0340F5" w14:textId="77777777" w:rsidR="00AE0598" w:rsidRDefault="0069255A">
      <w:pPr>
        <w:pStyle w:val="Corpodetexto"/>
        <w:spacing w:before="118" w:line="232" w:lineRule="auto"/>
        <w:ind w:left="110"/>
      </w:pPr>
      <w:r>
        <w:rPr>
          <w:color w:val="231F20"/>
          <w:w w:val="95"/>
        </w:rPr>
        <w:t>of the environmental impacts of sport tourism (Cantelon &amp; Letters, 2000;</w:t>
      </w:r>
      <w:r>
        <w:rPr>
          <w:color w:val="231F20"/>
          <w:spacing w:val="40"/>
        </w:rPr>
        <w:t xml:space="preserve"> </w:t>
      </w:r>
      <w:r>
        <w:rPr>
          <w:color w:val="231F20"/>
        </w:rPr>
        <w:t xml:space="preserve">Collins </w:t>
      </w:r>
      <w:r>
        <w:rPr>
          <w:i/>
          <w:color w:val="231F20"/>
        </w:rPr>
        <w:t>et al</w:t>
      </w:r>
      <w:r>
        <w:rPr>
          <w:color w:val="231F20"/>
        </w:rPr>
        <w:t>., 2009; Gold &amp; Gold, 2016).</w:t>
      </w:r>
    </w:p>
    <w:p w14:paraId="7ADFC7C6" w14:textId="77777777" w:rsidR="00AE0598" w:rsidRDefault="00AE0598">
      <w:pPr>
        <w:pStyle w:val="Corpodetexto"/>
        <w:spacing w:before="8"/>
        <w:rPr>
          <w:sz w:val="29"/>
        </w:rPr>
      </w:pPr>
    </w:p>
    <w:p w14:paraId="75FFEFC9" w14:textId="77777777" w:rsidR="00AE0598" w:rsidRDefault="0069255A">
      <w:pPr>
        <w:ind w:left="110"/>
        <w:rPr>
          <w:rFonts w:ascii="Trebuchet MS"/>
          <w:sz w:val="20"/>
        </w:rPr>
      </w:pPr>
      <w:r>
        <w:rPr>
          <w:rFonts w:ascii="Trebuchet MS"/>
          <w:color w:val="231F20"/>
          <w:w w:val="105"/>
          <w:sz w:val="20"/>
        </w:rPr>
        <w:t>The</w:t>
      </w:r>
      <w:r>
        <w:rPr>
          <w:rFonts w:ascii="Trebuchet MS"/>
          <w:color w:val="231F20"/>
          <w:spacing w:val="-12"/>
          <w:w w:val="105"/>
          <w:sz w:val="20"/>
        </w:rPr>
        <w:t xml:space="preserve"> </w:t>
      </w:r>
      <w:r>
        <w:rPr>
          <w:rFonts w:ascii="Trebuchet MS"/>
          <w:color w:val="231F20"/>
          <w:w w:val="105"/>
          <w:sz w:val="20"/>
        </w:rPr>
        <w:t>compatibility</w:t>
      </w:r>
      <w:r>
        <w:rPr>
          <w:rFonts w:ascii="Trebuchet MS"/>
          <w:color w:val="231F20"/>
          <w:spacing w:val="-12"/>
          <w:w w:val="105"/>
          <w:sz w:val="20"/>
        </w:rPr>
        <w:t xml:space="preserve"> </w:t>
      </w:r>
      <w:r>
        <w:rPr>
          <w:rFonts w:ascii="Trebuchet MS"/>
          <w:color w:val="231F20"/>
          <w:w w:val="105"/>
          <w:sz w:val="20"/>
        </w:rPr>
        <w:t>of</w:t>
      </w:r>
      <w:r>
        <w:rPr>
          <w:rFonts w:ascii="Trebuchet MS"/>
          <w:color w:val="231F20"/>
          <w:spacing w:val="-12"/>
          <w:w w:val="105"/>
          <w:sz w:val="20"/>
        </w:rPr>
        <w:t xml:space="preserve"> </w:t>
      </w:r>
      <w:r>
        <w:rPr>
          <w:rFonts w:ascii="Trebuchet MS"/>
          <w:color w:val="231F20"/>
          <w:w w:val="105"/>
          <w:sz w:val="20"/>
        </w:rPr>
        <w:t>sport</w:t>
      </w:r>
      <w:r>
        <w:rPr>
          <w:rFonts w:ascii="Trebuchet MS"/>
          <w:color w:val="231F20"/>
          <w:spacing w:val="-12"/>
          <w:w w:val="105"/>
          <w:sz w:val="20"/>
        </w:rPr>
        <w:t xml:space="preserve"> </w:t>
      </w:r>
      <w:r>
        <w:rPr>
          <w:rFonts w:ascii="Trebuchet MS"/>
          <w:color w:val="231F20"/>
          <w:w w:val="105"/>
          <w:sz w:val="20"/>
        </w:rPr>
        <w:t>tourism</w:t>
      </w:r>
      <w:r>
        <w:rPr>
          <w:rFonts w:ascii="Trebuchet MS"/>
          <w:color w:val="231F20"/>
          <w:spacing w:val="-12"/>
          <w:w w:val="105"/>
          <w:sz w:val="20"/>
        </w:rPr>
        <w:t xml:space="preserve"> </w:t>
      </w:r>
      <w:r>
        <w:rPr>
          <w:rFonts w:ascii="Trebuchet MS"/>
          <w:color w:val="231F20"/>
          <w:w w:val="105"/>
          <w:sz w:val="20"/>
        </w:rPr>
        <w:t>in</w:t>
      </w:r>
      <w:r>
        <w:rPr>
          <w:rFonts w:ascii="Trebuchet MS"/>
          <w:color w:val="231F20"/>
          <w:spacing w:val="-12"/>
          <w:w w:val="105"/>
          <w:sz w:val="20"/>
        </w:rPr>
        <w:t xml:space="preserve"> </w:t>
      </w:r>
      <w:r>
        <w:rPr>
          <w:rFonts w:ascii="Trebuchet MS"/>
          <w:color w:val="231F20"/>
          <w:w w:val="105"/>
          <w:sz w:val="20"/>
        </w:rPr>
        <w:t>the</w:t>
      </w:r>
      <w:r>
        <w:rPr>
          <w:rFonts w:ascii="Trebuchet MS"/>
          <w:color w:val="231F20"/>
          <w:spacing w:val="-12"/>
          <w:w w:val="105"/>
          <w:sz w:val="20"/>
        </w:rPr>
        <w:t xml:space="preserve"> </w:t>
      </w:r>
      <w:r>
        <w:rPr>
          <w:rFonts w:ascii="Trebuchet MS"/>
          <w:color w:val="231F20"/>
          <w:w w:val="105"/>
          <w:sz w:val="20"/>
        </w:rPr>
        <w:t>natural</w:t>
      </w:r>
      <w:r>
        <w:rPr>
          <w:rFonts w:ascii="Trebuchet MS"/>
          <w:color w:val="231F20"/>
          <w:spacing w:val="-12"/>
          <w:w w:val="105"/>
          <w:sz w:val="20"/>
        </w:rPr>
        <w:t xml:space="preserve"> </w:t>
      </w:r>
      <w:r>
        <w:rPr>
          <w:rFonts w:ascii="Trebuchet MS"/>
          <w:color w:val="231F20"/>
          <w:spacing w:val="-2"/>
          <w:w w:val="105"/>
          <w:sz w:val="20"/>
        </w:rPr>
        <w:t>landscape</w:t>
      </w:r>
    </w:p>
    <w:p w14:paraId="769EF1C5" w14:textId="77777777" w:rsidR="00AE0598" w:rsidRDefault="0069255A">
      <w:pPr>
        <w:pStyle w:val="Corpodetexto"/>
        <w:spacing w:before="122" w:line="232" w:lineRule="auto"/>
        <w:ind w:left="110" w:right="127" w:firstLine="320"/>
        <w:jc w:val="both"/>
      </w:pPr>
      <w:r>
        <w:rPr>
          <w:color w:val="231F20"/>
          <w:w w:val="95"/>
        </w:rPr>
        <w:t xml:space="preserve">Hunter (1995) observes that sustainable tourism development requires </w:t>
      </w:r>
      <w:r>
        <w:rPr>
          <w:color w:val="231F20"/>
        </w:rPr>
        <w:t>reconciliation of human needs, as well as environmental limitations. Human needs and the benefits and costs of tourism accrue to two main groups:</w:t>
      </w:r>
      <w:r>
        <w:rPr>
          <w:color w:val="231F20"/>
          <w:spacing w:val="-3"/>
        </w:rPr>
        <w:t xml:space="preserve"> </w:t>
      </w:r>
      <w:r>
        <w:rPr>
          <w:color w:val="231F20"/>
        </w:rPr>
        <w:t>the</w:t>
      </w:r>
      <w:r>
        <w:rPr>
          <w:color w:val="231F20"/>
          <w:spacing w:val="-3"/>
        </w:rPr>
        <w:t xml:space="preserve"> </w:t>
      </w:r>
      <w:r>
        <w:rPr>
          <w:color w:val="231F20"/>
        </w:rPr>
        <w:t>hosts</w:t>
      </w:r>
      <w:r>
        <w:rPr>
          <w:color w:val="231F20"/>
          <w:spacing w:val="-3"/>
        </w:rPr>
        <w:t xml:space="preserve"> </w:t>
      </w:r>
      <w:r>
        <w:rPr>
          <w:color w:val="231F20"/>
        </w:rPr>
        <w:t>and</w:t>
      </w:r>
      <w:r>
        <w:rPr>
          <w:color w:val="231F20"/>
          <w:spacing w:val="-3"/>
        </w:rPr>
        <w:t xml:space="preserve"> </w:t>
      </w:r>
      <w:r>
        <w:rPr>
          <w:color w:val="231F20"/>
        </w:rPr>
        <w:t>the</w:t>
      </w:r>
      <w:r>
        <w:rPr>
          <w:color w:val="231F20"/>
          <w:spacing w:val="-3"/>
        </w:rPr>
        <w:t xml:space="preserve"> </w:t>
      </w:r>
      <w:r>
        <w:rPr>
          <w:color w:val="231F20"/>
        </w:rPr>
        <w:t>guests</w:t>
      </w:r>
      <w:r>
        <w:rPr>
          <w:color w:val="231F20"/>
          <w:spacing w:val="-3"/>
        </w:rPr>
        <w:t xml:space="preserve"> </w:t>
      </w:r>
      <w:r>
        <w:rPr>
          <w:color w:val="231F20"/>
        </w:rPr>
        <w:t>(Archer</w:t>
      </w:r>
      <w:r>
        <w:rPr>
          <w:color w:val="231F20"/>
          <w:spacing w:val="-3"/>
        </w:rPr>
        <w:t xml:space="preserve"> </w:t>
      </w:r>
      <w:r>
        <w:rPr>
          <w:color w:val="231F20"/>
        </w:rPr>
        <w:t>&amp;</w:t>
      </w:r>
      <w:r>
        <w:rPr>
          <w:color w:val="231F20"/>
          <w:spacing w:val="-3"/>
        </w:rPr>
        <w:t xml:space="preserve"> </w:t>
      </w:r>
      <w:r>
        <w:rPr>
          <w:color w:val="231F20"/>
        </w:rPr>
        <w:t>Cooper</w:t>
      </w:r>
      <w:r>
        <w:rPr>
          <w:color w:val="231F20"/>
        </w:rPr>
        <w:t>,</w:t>
      </w:r>
      <w:r>
        <w:rPr>
          <w:color w:val="231F20"/>
          <w:spacing w:val="-3"/>
        </w:rPr>
        <w:t xml:space="preserve"> </w:t>
      </w:r>
      <w:r>
        <w:rPr>
          <w:color w:val="231F20"/>
        </w:rPr>
        <w:t>1994).</w:t>
      </w:r>
      <w:r>
        <w:rPr>
          <w:color w:val="231F20"/>
          <w:spacing w:val="-3"/>
        </w:rPr>
        <w:t xml:space="preserve"> </w:t>
      </w:r>
      <w:r>
        <w:rPr>
          <w:color w:val="231F20"/>
        </w:rPr>
        <w:t>The</w:t>
      </w:r>
      <w:r>
        <w:rPr>
          <w:color w:val="231F20"/>
          <w:spacing w:val="-3"/>
        </w:rPr>
        <w:t xml:space="preserve"> </w:t>
      </w:r>
      <w:r>
        <w:rPr>
          <w:color w:val="231F20"/>
        </w:rPr>
        <w:t xml:space="preserve">excessive or inappropriate promotion of sport development interests over the stewardship of natural areas may give rise to congestion and crowding, </w:t>
      </w:r>
      <w:r>
        <w:rPr>
          <w:color w:val="231F20"/>
          <w:w w:val="95"/>
        </w:rPr>
        <w:t xml:space="preserve">social and environmental impacts or modification of the landscape in ways </w:t>
      </w:r>
      <w:r>
        <w:rPr>
          <w:color w:val="231F20"/>
        </w:rPr>
        <w:t>that are unacceptable</w:t>
      </w:r>
      <w:r>
        <w:rPr>
          <w:color w:val="231F20"/>
        </w:rPr>
        <w:t xml:space="preserve"> to host communities. The sustained quality of the visitor</w:t>
      </w:r>
      <w:r>
        <w:rPr>
          <w:color w:val="231F20"/>
          <w:spacing w:val="-8"/>
        </w:rPr>
        <w:t xml:space="preserve"> </w:t>
      </w:r>
      <w:r>
        <w:rPr>
          <w:color w:val="231F20"/>
        </w:rPr>
        <w:t>experience</w:t>
      </w:r>
      <w:r>
        <w:rPr>
          <w:color w:val="231F20"/>
          <w:spacing w:val="-8"/>
        </w:rPr>
        <w:t xml:space="preserve"> </w:t>
      </w:r>
      <w:r>
        <w:rPr>
          <w:color w:val="231F20"/>
        </w:rPr>
        <w:t>must</w:t>
      </w:r>
      <w:r>
        <w:rPr>
          <w:color w:val="231F20"/>
          <w:spacing w:val="-8"/>
        </w:rPr>
        <w:t xml:space="preserve"> </w:t>
      </w:r>
      <w:r>
        <w:rPr>
          <w:color w:val="231F20"/>
        </w:rPr>
        <w:t>also</w:t>
      </w:r>
      <w:r>
        <w:rPr>
          <w:color w:val="231F20"/>
          <w:spacing w:val="-8"/>
        </w:rPr>
        <w:t xml:space="preserve"> </w:t>
      </w:r>
      <w:r>
        <w:rPr>
          <w:color w:val="231F20"/>
        </w:rPr>
        <w:t>enter</w:t>
      </w:r>
      <w:r>
        <w:rPr>
          <w:color w:val="231F20"/>
          <w:spacing w:val="-8"/>
        </w:rPr>
        <w:t xml:space="preserve"> </w:t>
      </w:r>
      <w:r>
        <w:rPr>
          <w:color w:val="231F20"/>
        </w:rPr>
        <w:t>into</w:t>
      </w:r>
      <w:r>
        <w:rPr>
          <w:color w:val="231F20"/>
          <w:spacing w:val="-8"/>
        </w:rPr>
        <w:t xml:space="preserve"> </w:t>
      </w:r>
      <w:r>
        <w:rPr>
          <w:color w:val="231F20"/>
        </w:rPr>
        <w:t>considerations</w:t>
      </w:r>
      <w:r>
        <w:rPr>
          <w:color w:val="231F20"/>
          <w:spacing w:val="-8"/>
        </w:rPr>
        <w:t xml:space="preserve"> </w:t>
      </w:r>
      <w:r>
        <w:rPr>
          <w:color w:val="231F20"/>
        </w:rPr>
        <w:t>of</w:t>
      </w:r>
      <w:r>
        <w:rPr>
          <w:color w:val="231F20"/>
          <w:spacing w:val="-8"/>
        </w:rPr>
        <w:t xml:space="preserve"> </w:t>
      </w:r>
      <w:r>
        <w:rPr>
          <w:color w:val="231F20"/>
        </w:rPr>
        <w:t>the</w:t>
      </w:r>
      <w:r>
        <w:rPr>
          <w:color w:val="231F20"/>
          <w:spacing w:val="-8"/>
        </w:rPr>
        <w:t xml:space="preserve"> </w:t>
      </w:r>
      <w:r>
        <w:rPr>
          <w:color w:val="231F20"/>
        </w:rPr>
        <w:t>appropriate direction and level of sport tourism development.</w:t>
      </w:r>
    </w:p>
    <w:p w14:paraId="4AAE073B" w14:textId="77777777" w:rsidR="00AE0598" w:rsidRDefault="0069255A">
      <w:pPr>
        <w:pStyle w:val="Corpodetexto"/>
        <w:spacing w:before="12" w:line="232" w:lineRule="auto"/>
        <w:ind w:left="110" w:right="126" w:firstLine="320"/>
        <w:jc w:val="both"/>
      </w:pPr>
      <w:r>
        <w:rPr>
          <w:color w:val="231F20"/>
        </w:rPr>
        <w:t xml:space="preserve">Sports that are pursued in the natural landscape may demonstrate varying degrees </w:t>
      </w:r>
      <w:r>
        <w:rPr>
          <w:color w:val="231F20"/>
        </w:rPr>
        <w:t xml:space="preserve">of compatibility with other sports. Incompatible </w:t>
      </w:r>
      <w:r>
        <w:rPr>
          <w:color w:val="231F20"/>
          <w:w w:val="95"/>
        </w:rPr>
        <w:t>motivations</w:t>
      </w:r>
      <w:r>
        <w:rPr>
          <w:color w:val="231F20"/>
          <w:spacing w:val="-6"/>
          <w:w w:val="95"/>
        </w:rPr>
        <w:t xml:space="preserve"> </w:t>
      </w:r>
      <w:r>
        <w:rPr>
          <w:color w:val="231F20"/>
          <w:w w:val="95"/>
        </w:rPr>
        <w:t>and</w:t>
      </w:r>
      <w:r>
        <w:rPr>
          <w:color w:val="231F20"/>
          <w:spacing w:val="-7"/>
          <w:w w:val="95"/>
        </w:rPr>
        <w:t xml:space="preserve"> </w:t>
      </w:r>
      <w:r>
        <w:rPr>
          <w:color w:val="231F20"/>
          <w:w w:val="95"/>
        </w:rPr>
        <w:t>goals</w:t>
      </w:r>
      <w:r>
        <w:rPr>
          <w:color w:val="231F20"/>
          <w:spacing w:val="-6"/>
          <w:w w:val="95"/>
        </w:rPr>
        <w:t xml:space="preserve"> </w:t>
      </w:r>
      <w:r>
        <w:rPr>
          <w:color w:val="231F20"/>
          <w:w w:val="95"/>
        </w:rPr>
        <w:t>of</w:t>
      </w:r>
      <w:r>
        <w:rPr>
          <w:color w:val="231F20"/>
          <w:spacing w:val="-7"/>
          <w:w w:val="95"/>
        </w:rPr>
        <w:t xml:space="preserve"> </w:t>
      </w:r>
      <w:r>
        <w:rPr>
          <w:color w:val="231F20"/>
          <w:w w:val="95"/>
        </w:rPr>
        <w:t>participation</w:t>
      </w:r>
      <w:r>
        <w:rPr>
          <w:color w:val="231F20"/>
          <w:spacing w:val="-6"/>
          <w:w w:val="95"/>
        </w:rPr>
        <w:t xml:space="preserve"> </w:t>
      </w:r>
      <w:r>
        <w:rPr>
          <w:color w:val="231F20"/>
          <w:w w:val="95"/>
        </w:rPr>
        <w:t>in</w:t>
      </w:r>
      <w:r>
        <w:rPr>
          <w:color w:val="231F20"/>
          <w:spacing w:val="-7"/>
          <w:w w:val="95"/>
        </w:rPr>
        <w:t xml:space="preserve"> </w:t>
      </w:r>
      <w:r>
        <w:rPr>
          <w:color w:val="231F20"/>
          <w:w w:val="95"/>
        </w:rPr>
        <w:t>sport</w:t>
      </w:r>
      <w:r>
        <w:rPr>
          <w:color w:val="231F20"/>
          <w:spacing w:val="-6"/>
          <w:w w:val="95"/>
        </w:rPr>
        <w:t xml:space="preserve"> </w:t>
      </w:r>
      <w:r>
        <w:rPr>
          <w:color w:val="231F20"/>
          <w:w w:val="95"/>
        </w:rPr>
        <w:t>may</w:t>
      </w:r>
      <w:r>
        <w:rPr>
          <w:color w:val="231F20"/>
          <w:spacing w:val="-7"/>
          <w:w w:val="95"/>
        </w:rPr>
        <w:t xml:space="preserve"> </w:t>
      </w:r>
      <w:r>
        <w:rPr>
          <w:color w:val="231F20"/>
          <w:w w:val="95"/>
        </w:rPr>
        <w:t>give</w:t>
      </w:r>
      <w:r>
        <w:rPr>
          <w:color w:val="231F20"/>
          <w:spacing w:val="-6"/>
          <w:w w:val="95"/>
        </w:rPr>
        <w:t xml:space="preserve"> </w:t>
      </w:r>
      <w:r>
        <w:rPr>
          <w:color w:val="231F20"/>
          <w:w w:val="95"/>
        </w:rPr>
        <w:t>rise</w:t>
      </w:r>
      <w:r>
        <w:rPr>
          <w:color w:val="231F20"/>
          <w:spacing w:val="-7"/>
          <w:w w:val="95"/>
        </w:rPr>
        <w:t xml:space="preserve"> </w:t>
      </w:r>
      <w:r>
        <w:rPr>
          <w:color w:val="231F20"/>
          <w:w w:val="95"/>
        </w:rPr>
        <w:t>to</w:t>
      </w:r>
      <w:r>
        <w:rPr>
          <w:color w:val="231F20"/>
          <w:spacing w:val="-6"/>
          <w:w w:val="95"/>
        </w:rPr>
        <w:t xml:space="preserve"> </w:t>
      </w:r>
      <w:r>
        <w:rPr>
          <w:color w:val="231F20"/>
          <w:w w:val="95"/>
        </w:rPr>
        <w:t>symmetric</w:t>
      </w:r>
      <w:r>
        <w:rPr>
          <w:color w:val="231F20"/>
          <w:spacing w:val="-7"/>
          <w:w w:val="95"/>
        </w:rPr>
        <w:t xml:space="preserve"> </w:t>
      </w:r>
      <w:r>
        <w:rPr>
          <w:color w:val="231F20"/>
          <w:w w:val="95"/>
        </w:rPr>
        <w:t xml:space="preserve">or asymmetric conflict between participants in </w:t>
      </w:r>
      <w:r>
        <w:rPr>
          <w:i/>
          <w:color w:val="231F20"/>
          <w:w w:val="95"/>
        </w:rPr>
        <w:t xml:space="preserve">different </w:t>
      </w:r>
      <w:r>
        <w:rPr>
          <w:color w:val="231F20"/>
          <w:w w:val="95"/>
        </w:rPr>
        <w:t xml:space="preserve">sports (Graefe </w:t>
      </w:r>
      <w:r>
        <w:rPr>
          <w:i/>
          <w:color w:val="231F20"/>
          <w:w w:val="95"/>
        </w:rPr>
        <w:t>et al</w:t>
      </w:r>
      <w:r>
        <w:rPr>
          <w:color w:val="231F20"/>
          <w:w w:val="95"/>
        </w:rPr>
        <w:t xml:space="preserve">., 1984). Symmetric conflict describes a situation in which participants in two </w:t>
      </w:r>
      <w:r>
        <w:rPr>
          <w:color w:val="231F20"/>
        </w:rPr>
        <w:t>sports</w:t>
      </w:r>
      <w:r>
        <w:rPr>
          <w:color w:val="231F20"/>
          <w:spacing w:val="-10"/>
        </w:rPr>
        <w:t xml:space="preserve"> </w:t>
      </w:r>
      <w:r>
        <w:rPr>
          <w:color w:val="231F20"/>
        </w:rPr>
        <w:t>feel</w:t>
      </w:r>
      <w:r>
        <w:rPr>
          <w:color w:val="231F20"/>
          <w:spacing w:val="-10"/>
        </w:rPr>
        <w:t xml:space="preserve"> </w:t>
      </w:r>
      <w:r>
        <w:rPr>
          <w:color w:val="231F20"/>
        </w:rPr>
        <w:t>the</w:t>
      </w:r>
      <w:r>
        <w:rPr>
          <w:color w:val="231F20"/>
          <w:spacing w:val="-10"/>
        </w:rPr>
        <w:t xml:space="preserve"> </w:t>
      </w:r>
      <w:r>
        <w:rPr>
          <w:color w:val="231F20"/>
        </w:rPr>
        <w:t>existence</w:t>
      </w:r>
      <w:r>
        <w:rPr>
          <w:color w:val="231F20"/>
          <w:spacing w:val="-10"/>
        </w:rPr>
        <w:t xml:space="preserve"> </w:t>
      </w:r>
      <w:r>
        <w:rPr>
          <w:color w:val="231F20"/>
        </w:rPr>
        <w:t>of</w:t>
      </w:r>
      <w:r>
        <w:rPr>
          <w:color w:val="231F20"/>
          <w:spacing w:val="-10"/>
        </w:rPr>
        <w:t xml:space="preserve"> </w:t>
      </w:r>
      <w:r>
        <w:rPr>
          <w:color w:val="231F20"/>
        </w:rPr>
        <w:t>social</w:t>
      </w:r>
      <w:r>
        <w:rPr>
          <w:color w:val="231F20"/>
          <w:spacing w:val="-10"/>
        </w:rPr>
        <w:t xml:space="preserve"> </w:t>
      </w:r>
      <w:r>
        <w:rPr>
          <w:color w:val="231F20"/>
        </w:rPr>
        <w:t>conflict</w:t>
      </w:r>
      <w:r>
        <w:rPr>
          <w:color w:val="231F20"/>
          <w:spacing w:val="-10"/>
        </w:rPr>
        <w:t xml:space="preserve"> </w:t>
      </w:r>
      <w:r>
        <w:rPr>
          <w:color w:val="231F20"/>
        </w:rPr>
        <w:t>arising</w:t>
      </w:r>
      <w:r>
        <w:rPr>
          <w:color w:val="231F20"/>
          <w:spacing w:val="-10"/>
        </w:rPr>
        <w:t xml:space="preserve"> </w:t>
      </w:r>
      <w:r>
        <w:rPr>
          <w:color w:val="231F20"/>
        </w:rPr>
        <w:t>from</w:t>
      </w:r>
      <w:r>
        <w:rPr>
          <w:color w:val="231F20"/>
          <w:spacing w:val="-10"/>
        </w:rPr>
        <w:t xml:space="preserve"> </w:t>
      </w:r>
      <w:r>
        <w:rPr>
          <w:color w:val="231F20"/>
        </w:rPr>
        <w:t>the</w:t>
      </w:r>
      <w:r>
        <w:rPr>
          <w:color w:val="231F20"/>
          <w:spacing w:val="-10"/>
        </w:rPr>
        <w:t xml:space="preserve"> </w:t>
      </w:r>
      <w:r>
        <w:rPr>
          <w:color w:val="231F20"/>
        </w:rPr>
        <w:t>presence</w:t>
      </w:r>
      <w:r>
        <w:rPr>
          <w:color w:val="231F20"/>
          <w:spacing w:val="-10"/>
        </w:rPr>
        <w:t xml:space="preserve"> </w:t>
      </w:r>
      <w:r>
        <w:rPr>
          <w:color w:val="231F20"/>
        </w:rPr>
        <w:t>of</w:t>
      </w:r>
      <w:r>
        <w:rPr>
          <w:color w:val="231F20"/>
          <w:spacing w:val="-10"/>
        </w:rPr>
        <w:t xml:space="preserve"> </w:t>
      </w:r>
      <w:r>
        <w:rPr>
          <w:color w:val="231F20"/>
        </w:rPr>
        <w:t xml:space="preserve">the </w:t>
      </w:r>
      <w:r>
        <w:rPr>
          <w:color w:val="231F20"/>
          <w:w w:val="95"/>
        </w:rPr>
        <w:t xml:space="preserve">other. Jet skiers, surfers and swimmers may experience symmetric conflict </w:t>
      </w:r>
      <w:r>
        <w:rPr>
          <w:color w:val="231F20"/>
        </w:rPr>
        <w:t>giving rise in some case</w:t>
      </w:r>
      <w:r>
        <w:rPr>
          <w:color w:val="231F20"/>
        </w:rPr>
        <w:t xml:space="preserve">s to situations of physical danger. Asymmetric </w:t>
      </w:r>
      <w:r>
        <w:rPr>
          <w:color w:val="231F20"/>
          <w:w w:val="95"/>
        </w:rPr>
        <w:t>conflict</w:t>
      </w:r>
      <w:r>
        <w:rPr>
          <w:color w:val="231F20"/>
          <w:spacing w:val="-1"/>
          <w:w w:val="95"/>
        </w:rPr>
        <w:t xml:space="preserve"> </w:t>
      </w:r>
      <w:r>
        <w:rPr>
          <w:color w:val="231F20"/>
          <w:w w:val="95"/>
        </w:rPr>
        <w:t>arises</w:t>
      </w:r>
      <w:r>
        <w:rPr>
          <w:color w:val="231F20"/>
          <w:spacing w:val="-1"/>
          <w:w w:val="95"/>
        </w:rPr>
        <w:t xml:space="preserve"> </w:t>
      </w:r>
      <w:r>
        <w:rPr>
          <w:color w:val="231F20"/>
          <w:w w:val="95"/>
        </w:rPr>
        <w:t>when</w:t>
      </w:r>
      <w:r>
        <w:rPr>
          <w:color w:val="231F20"/>
          <w:spacing w:val="-1"/>
          <w:w w:val="95"/>
        </w:rPr>
        <w:t xml:space="preserve"> </w:t>
      </w:r>
      <w:r>
        <w:rPr>
          <w:color w:val="231F20"/>
          <w:w w:val="95"/>
        </w:rPr>
        <w:t>participants</w:t>
      </w:r>
      <w:r>
        <w:rPr>
          <w:color w:val="231F20"/>
          <w:spacing w:val="-1"/>
          <w:w w:val="95"/>
        </w:rPr>
        <w:t xml:space="preserve"> </w:t>
      </w:r>
      <w:r>
        <w:rPr>
          <w:color w:val="231F20"/>
          <w:w w:val="95"/>
        </w:rPr>
        <w:t>in</w:t>
      </w:r>
      <w:r>
        <w:rPr>
          <w:color w:val="231F20"/>
          <w:spacing w:val="-1"/>
          <w:w w:val="95"/>
        </w:rPr>
        <w:t xml:space="preserve"> </w:t>
      </w:r>
      <w:r>
        <w:rPr>
          <w:color w:val="231F20"/>
          <w:w w:val="95"/>
        </w:rPr>
        <w:t>one</w:t>
      </w:r>
      <w:r>
        <w:rPr>
          <w:color w:val="231F20"/>
          <w:spacing w:val="-1"/>
          <w:w w:val="95"/>
        </w:rPr>
        <w:t xml:space="preserve"> </w:t>
      </w:r>
      <w:r>
        <w:rPr>
          <w:color w:val="231F20"/>
          <w:w w:val="95"/>
        </w:rPr>
        <w:t>sport</w:t>
      </w:r>
      <w:r>
        <w:rPr>
          <w:color w:val="231F20"/>
          <w:spacing w:val="-1"/>
          <w:w w:val="95"/>
        </w:rPr>
        <w:t xml:space="preserve"> </w:t>
      </w:r>
      <w:r>
        <w:rPr>
          <w:color w:val="231F20"/>
          <w:w w:val="95"/>
        </w:rPr>
        <w:t>are</w:t>
      </w:r>
      <w:r>
        <w:rPr>
          <w:color w:val="231F20"/>
          <w:spacing w:val="-1"/>
          <w:w w:val="95"/>
        </w:rPr>
        <w:t xml:space="preserve"> </w:t>
      </w:r>
      <w:r>
        <w:rPr>
          <w:color w:val="231F20"/>
          <w:w w:val="95"/>
        </w:rPr>
        <w:t>adversely</w:t>
      </w:r>
      <w:r>
        <w:rPr>
          <w:color w:val="231F20"/>
          <w:spacing w:val="-1"/>
          <w:w w:val="95"/>
        </w:rPr>
        <w:t xml:space="preserve"> </w:t>
      </w:r>
      <w:r>
        <w:rPr>
          <w:color w:val="231F20"/>
          <w:w w:val="95"/>
        </w:rPr>
        <w:t>impacted</w:t>
      </w:r>
      <w:r>
        <w:rPr>
          <w:color w:val="231F20"/>
          <w:spacing w:val="-1"/>
          <w:w w:val="95"/>
        </w:rPr>
        <w:t xml:space="preserve"> </w:t>
      </w:r>
      <w:r>
        <w:rPr>
          <w:color w:val="231F20"/>
          <w:w w:val="95"/>
        </w:rPr>
        <w:t>by</w:t>
      </w:r>
      <w:r>
        <w:rPr>
          <w:color w:val="231F20"/>
          <w:spacing w:val="-1"/>
          <w:w w:val="95"/>
        </w:rPr>
        <w:t xml:space="preserve"> </w:t>
      </w:r>
      <w:r>
        <w:rPr>
          <w:color w:val="231F20"/>
          <w:w w:val="95"/>
        </w:rPr>
        <w:t>the presence</w:t>
      </w:r>
      <w:r>
        <w:rPr>
          <w:color w:val="231F20"/>
          <w:spacing w:val="-3"/>
          <w:w w:val="95"/>
        </w:rPr>
        <w:t xml:space="preserve"> </w:t>
      </w:r>
      <w:r>
        <w:rPr>
          <w:color w:val="231F20"/>
          <w:w w:val="95"/>
        </w:rPr>
        <w:t>of</w:t>
      </w:r>
      <w:r>
        <w:rPr>
          <w:color w:val="231F20"/>
          <w:spacing w:val="-3"/>
          <w:w w:val="95"/>
        </w:rPr>
        <w:t xml:space="preserve"> </w:t>
      </w:r>
      <w:r>
        <w:rPr>
          <w:color w:val="231F20"/>
          <w:w w:val="95"/>
        </w:rPr>
        <w:t>those</w:t>
      </w:r>
      <w:r>
        <w:rPr>
          <w:color w:val="231F20"/>
          <w:spacing w:val="-3"/>
          <w:w w:val="95"/>
        </w:rPr>
        <w:t xml:space="preserve"> </w:t>
      </w:r>
      <w:r>
        <w:rPr>
          <w:color w:val="231F20"/>
          <w:w w:val="95"/>
        </w:rPr>
        <w:t>engaging</w:t>
      </w:r>
      <w:r>
        <w:rPr>
          <w:color w:val="231F20"/>
          <w:spacing w:val="-3"/>
          <w:w w:val="95"/>
        </w:rPr>
        <w:t xml:space="preserve"> </w:t>
      </w:r>
      <w:r>
        <w:rPr>
          <w:color w:val="231F20"/>
          <w:w w:val="95"/>
        </w:rPr>
        <w:t>in</w:t>
      </w:r>
      <w:r>
        <w:rPr>
          <w:color w:val="231F20"/>
          <w:spacing w:val="-3"/>
          <w:w w:val="95"/>
        </w:rPr>
        <w:t xml:space="preserve"> </w:t>
      </w:r>
      <w:r>
        <w:rPr>
          <w:color w:val="231F20"/>
          <w:w w:val="95"/>
        </w:rPr>
        <w:t>a</w:t>
      </w:r>
      <w:r>
        <w:rPr>
          <w:color w:val="231F20"/>
          <w:spacing w:val="-3"/>
          <w:w w:val="95"/>
        </w:rPr>
        <w:t xml:space="preserve"> </w:t>
      </w:r>
      <w:r>
        <w:rPr>
          <w:color w:val="231F20"/>
          <w:w w:val="95"/>
        </w:rPr>
        <w:t>second</w:t>
      </w:r>
      <w:r>
        <w:rPr>
          <w:color w:val="231F20"/>
          <w:spacing w:val="-3"/>
          <w:w w:val="95"/>
        </w:rPr>
        <w:t xml:space="preserve"> </w:t>
      </w:r>
      <w:r>
        <w:rPr>
          <w:color w:val="231F20"/>
          <w:w w:val="95"/>
        </w:rPr>
        <w:t>sport,</w:t>
      </w:r>
      <w:r>
        <w:rPr>
          <w:color w:val="231F20"/>
          <w:spacing w:val="-3"/>
          <w:w w:val="95"/>
        </w:rPr>
        <w:t xml:space="preserve"> </w:t>
      </w:r>
      <w:r>
        <w:rPr>
          <w:color w:val="231F20"/>
          <w:w w:val="95"/>
        </w:rPr>
        <w:t>while</w:t>
      </w:r>
      <w:r>
        <w:rPr>
          <w:color w:val="231F20"/>
          <w:spacing w:val="-3"/>
          <w:w w:val="95"/>
        </w:rPr>
        <w:t xml:space="preserve"> </w:t>
      </w:r>
      <w:r>
        <w:rPr>
          <w:color w:val="231F20"/>
          <w:w w:val="95"/>
        </w:rPr>
        <w:t>participants</w:t>
      </w:r>
      <w:r>
        <w:rPr>
          <w:color w:val="231F20"/>
          <w:spacing w:val="-3"/>
          <w:w w:val="95"/>
        </w:rPr>
        <w:t xml:space="preserve"> </w:t>
      </w:r>
      <w:r>
        <w:rPr>
          <w:color w:val="231F20"/>
          <w:w w:val="95"/>
        </w:rPr>
        <w:t>in</w:t>
      </w:r>
      <w:r>
        <w:rPr>
          <w:color w:val="231F20"/>
          <w:spacing w:val="-3"/>
          <w:w w:val="95"/>
        </w:rPr>
        <w:t xml:space="preserve"> </w:t>
      </w:r>
      <w:r>
        <w:rPr>
          <w:color w:val="231F20"/>
          <w:w w:val="95"/>
        </w:rPr>
        <w:t>the</w:t>
      </w:r>
      <w:r>
        <w:rPr>
          <w:color w:val="231F20"/>
          <w:spacing w:val="-3"/>
          <w:w w:val="95"/>
        </w:rPr>
        <w:t xml:space="preserve"> </w:t>
      </w:r>
      <w:r>
        <w:rPr>
          <w:color w:val="231F20"/>
          <w:w w:val="95"/>
        </w:rPr>
        <w:t xml:space="preserve">latter may be oblivious to, or even welcome, the presence of those engaged in the </w:t>
      </w:r>
      <w:r>
        <w:rPr>
          <w:color w:val="231F20"/>
        </w:rPr>
        <w:t>former.</w:t>
      </w:r>
      <w:r>
        <w:rPr>
          <w:color w:val="231F20"/>
          <w:spacing w:val="-3"/>
        </w:rPr>
        <w:t xml:space="preserve"> </w:t>
      </w:r>
      <w:r>
        <w:rPr>
          <w:color w:val="231F20"/>
        </w:rPr>
        <w:t>The</w:t>
      </w:r>
      <w:r>
        <w:rPr>
          <w:color w:val="231F20"/>
          <w:spacing w:val="-3"/>
        </w:rPr>
        <w:t xml:space="preserve"> </w:t>
      </w:r>
      <w:r>
        <w:rPr>
          <w:color w:val="231F20"/>
        </w:rPr>
        <w:t>intrusion</w:t>
      </w:r>
      <w:r>
        <w:rPr>
          <w:color w:val="231F20"/>
          <w:spacing w:val="-3"/>
        </w:rPr>
        <w:t xml:space="preserve"> </w:t>
      </w:r>
      <w:r>
        <w:rPr>
          <w:color w:val="231F20"/>
        </w:rPr>
        <w:t>of</w:t>
      </w:r>
      <w:r>
        <w:rPr>
          <w:color w:val="231F20"/>
          <w:spacing w:val="-3"/>
        </w:rPr>
        <w:t xml:space="preserve"> </w:t>
      </w:r>
      <w:r>
        <w:rPr>
          <w:color w:val="231F20"/>
        </w:rPr>
        <w:t>technologies</w:t>
      </w:r>
      <w:r>
        <w:rPr>
          <w:color w:val="231F20"/>
          <w:spacing w:val="-3"/>
        </w:rPr>
        <w:t xml:space="preserve"> </w:t>
      </w:r>
      <w:r>
        <w:rPr>
          <w:color w:val="231F20"/>
        </w:rPr>
        <w:t>such</w:t>
      </w:r>
      <w:r>
        <w:rPr>
          <w:color w:val="231F20"/>
          <w:spacing w:val="-3"/>
        </w:rPr>
        <w:t xml:space="preserve"> </w:t>
      </w:r>
      <w:r>
        <w:rPr>
          <w:color w:val="231F20"/>
        </w:rPr>
        <w:t>as</w:t>
      </w:r>
      <w:r>
        <w:rPr>
          <w:color w:val="231F20"/>
          <w:spacing w:val="-3"/>
        </w:rPr>
        <w:t xml:space="preserve"> </w:t>
      </w:r>
      <w:r>
        <w:rPr>
          <w:color w:val="231F20"/>
        </w:rPr>
        <w:t>global</w:t>
      </w:r>
      <w:r>
        <w:rPr>
          <w:color w:val="231F20"/>
          <w:spacing w:val="-3"/>
        </w:rPr>
        <w:t xml:space="preserve"> </w:t>
      </w:r>
      <w:r>
        <w:rPr>
          <w:color w:val="231F20"/>
        </w:rPr>
        <w:t>positioning</w:t>
      </w:r>
      <w:r>
        <w:rPr>
          <w:color w:val="231F20"/>
          <w:spacing w:val="-3"/>
        </w:rPr>
        <w:t xml:space="preserve"> </w:t>
      </w:r>
      <w:r>
        <w:rPr>
          <w:color w:val="231F20"/>
        </w:rPr>
        <w:t>systems (GPS) and cellular telephones in nature-based sports is an increasingly common cause of social impact</w:t>
      </w:r>
      <w:r>
        <w:rPr>
          <w:color w:val="231F20"/>
        </w:rPr>
        <w:t xml:space="preserve"> and conflict between sports participants </w:t>
      </w:r>
      <w:r>
        <w:rPr>
          <w:color w:val="231F20"/>
          <w:w w:val="95"/>
        </w:rPr>
        <w:t xml:space="preserve">(Shultis, 2000), although new technologies may become normalised over </w:t>
      </w:r>
      <w:r>
        <w:rPr>
          <w:color w:val="231F20"/>
        </w:rPr>
        <w:t>time.</w:t>
      </w:r>
      <w:r>
        <w:rPr>
          <w:color w:val="231F20"/>
          <w:spacing w:val="-6"/>
        </w:rPr>
        <w:t xml:space="preserve"> </w:t>
      </w:r>
      <w:r>
        <w:rPr>
          <w:color w:val="231F20"/>
        </w:rPr>
        <w:t>Sports</w:t>
      </w:r>
      <w:r>
        <w:rPr>
          <w:color w:val="231F20"/>
          <w:spacing w:val="-6"/>
        </w:rPr>
        <w:t xml:space="preserve"> </w:t>
      </w:r>
      <w:r>
        <w:rPr>
          <w:color w:val="231F20"/>
        </w:rPr>
        <w:t>such</w:t>
      </w:r>
      <w:r>
        <w:rPr>
          <w:color w:val="231F20"/>
          <w:spacing w:val="-6"/>
        </w:rPr>
        <w:t xml:space="preserve"> </w:t>
      </w:r>
      <w:r>
        <w:rPr>
          <w:color w:val="231F20"/>
        </w:rPr>
        <w:t>as</w:t>
      </w:r>
      <w:r>
        <w:rPr>
          <w:color w:val="231F20"/>
          <w:spacing w:val="-6"/>
        </w:rPr>
        <w:t xml:space="preserve"> </w:t>
      </w:r>
      <w:r>
        <w:rPr>
          <w:color w:val="231F20"/>
        </w:rPr>
        <w:t>orienteering</w:t>
      </w:r>
      <w:r>
        <w:rPr>
          <w:color w:val="231F20"/>
          <w:spacing w:val="-6"/>
        </w:rPr>
        <w:t xml:space="preserve"> </w:t>
      </w:r>
      <w:r>
        <w:rPr>
          <w:color w:val="231F20"/>
        </w:rPr>
        <w:t>and</w:t>
      </w:r>
      <w:r>
        <w:rPr>
          <w:color w:val="231F20"/>
          <w:spacing w:val="-6"/>
        </w:rPr>
        <w:t xml:space="preserve"> </w:t>
      </w:r>
      <w:r>
        <w:rPr>
          <w:color w:val="231F20"/>
        </w:rPr>
        <w:t>downhill</w:t>
      </w:r>
      <w:r>
        <w:rPr>
          <w:color w:val="231F20"/>
          <w:spacing w:val="-6"/>
        </w:rPr>
        <w:t xml:space="preserve"> </w:t>
      </w:r>
      <w:r>
        <w:rPr>
          <w:color w:val="231F20"/>
        </w:rPr>
        <w:t>skiing</w:t>
      </w:r>
      <w:r>
        <w:rPr>
          <w:color w:val="231F20"/>
          <w:spacing w:val="-6"/>
        </w:rPr>
        <w:t xml:space="preserve"> </w:t>
      </w:r>
      <w:r>
        <w:rPr>
          <w:color w:val="231F20"/>
        </w:rPr>
        <w:t>may</w:t>
      </w:r>
      <w:r>
        <w:rPr>
          <w:color w:val="231F20"/>
          <w:spacing w:val="-6"/>
        </w:rPr>
        <w:t xml:space="preserve"> </w:t>
      </w:r>
      <w:r>
        <w:rPr>
          <w:color w:val="231F20"/>
        </w:rPr>
        <w:t>be</w:t>
      </w:r>
      <w:r>
        <w:rPr>
          <w:color w:val="231F20"/>
          <w:spacing w:val="-6"/>
        </w:rPr>
        <w:t xml:space="preserve"> </w:t>
      </w:r>
      <w:r>
        <w:rPr>
          <w:color w:val="231F20"/>
        </w:rPr>
        <w:t xml:space="preserve">compatible </w:t>
      </w:r>
      <w:r>
        <w:rPr>
          <w:color w:val="231F20"/>
          <w:w w:val="95"/>
        </w:rPr>
        <w:t>with other sports, if segregated in space and/or time through appropriat</w:t>
      </w:r>
      <w:r>
        <w:rPr>
          <w:color w:val="231F20"/>
          <w:w w:val="95"/>
        </w:rPr>
        <w:t xml:space="preserve">e </w:t>
      </w:r>
      <w:r>
        <w:rPr>
          <w:color w:val="231F20"/>
        </w:rPr>
        <w:t>management techniques. Sports that take place in coastal environments offer varying degrees of compatibility. Examples include diving, surf skiing, swimming, jet skiing, windsurfing and white-water kayaking. Consumptive (e.g. hunting) and mechanised spor</w:t>
      </w:r>
      <w:r>
        <w:rPr>
          <w:color w:val="231F20"/>
        </w:rPr>
        <w:t>ts (e.g. jet boat racing and water skiing) are fundamentally incompatible with other uses, as they</w:t>
      </w:r>
      <w:r>
        <w:rPr>
          <w:color w:val="231F20"/>
          <w:spacing w:val="-10"/>
        </w:rPr>
        <w:t xml:space="preserve"> </w:t>
      </w:r>
      <w:r>
        <w:rPr>
          <w:color w:val="231F20"/>
        </w:rPr>
        <w:t>may</w:t>
      </w:r>
      <w:r>
        <w:rPr>
          <w:color w:val="231F20"/>
          <w:spacing w:val="-10"/>
        </w:rPr>
        <w:t xml:space="preserve"> </w:t>
      </w:r>
      <w:r>
        <w:rPr>
          <w:color w:val="231F20"/>
        </w:rPr>
        <w:t>either</w:t>
      </w:r>
      <w:r>
        <w:rPr>
          <w:color w:val="231F20"/>
          <w:spacing w:val="-10"/>
        </w:rPr>
        <w:t xml:space="preserve"> </w:t>
      </w:r>
      <w:r>
        <w:rPr>
          <w:color w:val="231F20"/>
        </w:rPr>
        <w:t>irrevocably</w:t>
      </w:r>
      <w:r>
        <w:rPr>
          <w:color w:val="231F20"/>
          <w:spacing w:val="-10"/>
        </w:rPr>
        <w:t xml:space="preserve"> </w:t>
      </w:r>
      <w:r>
        <w:rPr>
          <w:color w:val="231F20"/>
        </w:rPr>
        <w:t>compromise</w:t>
      </w:r>
      <w:r>
        <w:rPr>
          <w:color w:val="231F20"/>
          <w:spacing w:val="-10"/>
        </w:rPr>
        <w:t xml:space="preserve"> </w:t>
      </w:r>
      <w:r>
        <w:rPr>
          <w:color w:val="231F20"/>
        </w:rPr>
        <w:t>alternative</w:t>
      </w:r>
      <w:r>
        <w:rPr>
          <w:color w:val="231F20"/>
          <w:spacing w:val="-10"/>
        </w:rPr>
        <w:t xml:space="preserve"> </w:t>
      </w:r>
      <w:r>
        <w:rPr>
          <w:color w:val="231F20"/>
        </w:rPr>
        <w:t>sporting</w:t>
      </w:r>
      <w:r>
        <w:rPr>
          <w:color w:val="231F20"/>
          <w:spacing w:val="-10"/>
        </w:rPr>
        <w:t xml:space="preserve"> </w:t>
      </w:r>
      <w:r>
        <w:rPr>
          <w:color w:val="231F20"/>
        </w:rPr>
        <w:t>pursuits</w:t>
      </w:r>
      <w:r>
        <w:rPr>
          <w:color w:val="231F20"/>
          <w:spacing w:val="-10"/>
        </w:rPr>
        <w:t xml:space="preserve"> </w:t>
      </w:r>
      <w:r>
        <w:rPr>
          <w:color w:val="231F20"/>
        </w:rPr>
        <w:t xml:space="preserve">or </w:t>
      </w:r>
      <w:r>
        <w:rPr>
          <w:color w:val="231F20"/>
          <w:w w:val="95"/>
        </w:rPr>
        <w:t>present physical danger to participants in other sports. This issue dictates that sports t</w:t>
      </w:r>
      <w:r>
        <w:rPr>
          <w:color w:val="231F20"/>
          <w:w w:val="95"/>
        </w:rPr>
        <w:t xml:space="preserve">hat take place in the sport tourism periphery must be carefully </w:t>
      </w:r>
      <w:r>
        <w:rPr>
          <w:color w:val="231F20"/>
        </w:rPr>
        <w:t>managed to reduce conflict.</w:t>
      </w:r>
    </w:p>
    <w:p w14:paraId="1158353C" w14:textId="77777777" w:rsidR="00AE0598" w:rsidRDefault="0069255A">
      <w:pPr>
        <w:pStyle w:val="Corpodetexto"/>
        <w:spacing w:before="31" w:line="232" w:lineRule="auto"/>
        <w:ind w:left="110" w:right="124" w:firstLine="320"/>
        <w:jc w:val="both"/>
      </w:pPr>
      <w:r>
        <w:rPr>
          <w:color w:val="231F20"/>
        </w:rPr>
        <w:t xml:space="preserve">The psychographic profile of the sport participant (Chapter 3) also </w:t>
      </w:r>
      <w:r>
        <w:rPr>
          <w:color w:val="231F20"/>
          <w:w w:val="95"/>
        </w:rPr>
        <w:t>determines the compatibility of different sports, and different participants in</w:t>
      </w:r>
      <w:r>
        <w:rPr>
          <w:color w:val="231F20"/>
          <w:spacing w:val="-2"/>
        </w:rPr>
        <w:t xml:space="preserve"> </w:t>
      </w:r>
      <w:r>
        <w:rPr>
          <w:color w:val="231F20"/>
          <w:w w:val="95"/>
        </w:rPr>
        <w:t>the</w:t>
      </w:r>
      <w:r>
        <w:rPr>
          <w:color w:val="231F20"/>
          <w:spacing w:val="-2"/>
        </w:rPr>
        <w:t xml:space="preserve"> </w:t>
      </w:r>
      <w:r>
        <w:rPr>
          <w:color w:val="231F20"/>
          <w:w w:val="95"/>
        </w:rPr>
        <w:t>same</w:t>
      </w:r>
      <w:r>
        <w:rPr>
          <w:color w:val="231F20"/>
          <w:spacing w:val="-2"/>
        </w:rPr>
        <w:t xml:space="preserve"> </w:t>
      </w:r>
      <w:r>
        <w:rPr>
          <w:color w:val="231F20"/>
          <w:w w:val="95"/>
        </w:rPr>
        <w:t>sport.</w:t>
      </w:r>
      <w:r>
        <w:rPr>
          <w:color w:val="231F20"/>
          <w:spacing w:val="-2"/>
        </w:rPr>
        <w:t xml:space="preserve"> </w:t>
      </w:r>
      <w:r>
        <w:rPr>
          <w:color w:val="231F20"/>
          <w:w w:val="95"/>
        </w:rPr>
        <w:t>Conflicts</w:t>
      </w:r>
      <w:r>
        <w:rPr>
          <w:color w:val="231F20"/>
          <w:spacing w:val="-2"/>
        </w:rPr>
        <w:t xml:space="preserve"> </w:t>
      </w:r>
      <w:r>
        <w:rPr>
          <w:color w:val="231F20"/>
          <w:w w:val="95"/>
        </w:rPr>
        <w:t>may</w:t>
      </w:r>
      <w:r>
        <w:rPr>
          <w:color w:val="231F20"/>
          <w:spacing w:val="-2"/>
        </w:rPr>
        <w:t xml:space="preserve"> </w:t>
      </w:r>
      <w:r>
        <w:rPr>
          <w:color w:val="231F20"/>
          <w:w w:val="95"/>
        </w:rPr>
        <w:t>arise</w:t>
      </w:r>
      <w:r>
        <w:rPr>
          <w:color w:val="231F20"/>
          <w:spacing w:val="-2"/>
        </w:rPr>
        <w:t xml:space="preserve"> </w:t>
      </w:r>
      <w:r>
        <w:rPr>
          <w:color w:val="231F20"/>
          <w:w w:val="95"/>
        </w:rPr>
        <w:t>between</w:t>
      </w:r>
      <w:r>
        <w:rPr>
          <w:color w:val="231F20"/>
          <w:spacing w:val="-2"/>
        </w:rPr>
        <w:t xml:space="preserve"> </w:t>
      </w:r>
      <w:r>
        <w:rPr>
          <w:color w:val="231F20"/>
          <w:w w:val="95"/>
        </w:rPr>
        <w:t>participants</w:t>
      </w:r>
      <w:r>
        <w:rPr>
          <w:color w:val="231F20"/>
          <w:spacing w:val="-3"/>
        </w:rPr>
        <w:t xml:space="preserve"> </w:t>
      </w:r>
      <w:r>
        <w:rPr>
          <w:i/>
          <w:color w:val="231F20"/>
          <w:w w:val="95"/>
        </w:rPr>
        <w:t>within</w:t>
      </w:r>
      <w:r>
        <w:rPr>
          <w:i/>
          <w:color w:val="231F20"/>
          <w:spacing w:val="-2"/>
        </w:rPr>
        <w:t xml:space="preserve"> </w:t>
      </w:r>
      <w:r>
        <w:rPr>
          <w:color w:val="231F20"/>
          <w:w w:val="95"/>
        </w:rPr>
        <w:t>a</w:t>
      </w:r>
      <w:r>
        <w:rPr>
          <w:color w:val="231F20"/>
          <w:spacing w:val="-2"/>
        </w:rPr>
        <w:t xml:space="preserve"> </w:t>
      </w:r>
      <w:r>
        <w:rPr>
          <w:color w:val="231F20"/>
          <w:w w:val="95"/>
        </w:rPr>
        <w:t>sport</w:t>
      </w:r>
      <w:r>
        <w:rPr>
          <w:color w:val="231F20"/>
          <w:spacing w:val="-1"/>
        </w:rPr>
        <w:t xml:space="preserve"> </w:t>
      </w:r>
      <w:r>
        <w:rPr>
          <w:color w:val="231F20"/>
          <w:spacing w:val="-5"/>
          <w:w w:val="95"/>
        </w:rPr>
        <w:t>if</w:t>
      </w:r>
    </w:p>
    <w:p w14:paraId="7FFEE741" w14:textId="77777777" w:rsidR="00AE0598" w:rsidRDefault="00AE0598">
      <w:pPr>
        <w:spacing w:line="232" w:lineRule="auto"/>
        <w:jc w:val="both"/>
        <w:sectPr w:rsidR="00AE0598">
          <w:pgSz w:w="8850" w:h="13270"/>
          <w:pgMar w:top="720" w:right="1060" w:bottom="280" w:left="1080" w:header="720" w:footer="720" w:gutter="0"/>
          <w:cols w:space="720"/>
        </w:sectPr>
      </w:pPr>
    </w:p>
    <w:p w14:paraId="70FAAC1C" w14:textId="77777777" w:rsidR="00AE0598" w:rsidRDefault="0069255A">
      <w:pPr>
        <w:spacing w:before="87"/>
        <w:ind w:left="3064"/>
        <w:rPr>
          <w:rFonts w:ascii="Trebuchet MS"/>
          <w:sz w:val="14"/>
        </w:rPr>
      </w:pPr>
      <w:r>
        <w:rPr>
          <w:rFonts w:ascii="Trebuchet MS"/>
          <w:color w:val="231F20"/>
          <w:w w:val="105"/>
          <w:sz w:val="14"/>
        </w:rPr>
        <w:lastRenderedPageBreak/>
        <w:t>Environment:</w:t>
      </w:r>
      <w:r>
        <w:rPr>
          <w:rFonts w:ascii="Trebuchet MS"/>
          <w:color w:val="231F20"/>
          <w:spacing w:val="-12"/>
          <w:w w:val="105"/>
          <w:sz w:val="14"/>
        </w:rPr>
        <w:t xml:space="preserve"> </w:t>
      </w:r>
      <w:r>
        <w:rPr>
          <w:rFonts w:ascii="Trebuchet MS"/>
          <w:color w:val="231F20"/>
          <w:w w:val="105"/>
          <w:sz w:val="14"/>
        </w:rPr>
        <w:t>Landscape,</w:t>
      </w:r>
      <w:r>
        <w:rPr>
          <w:rFonts w:ascii="Trebuchet MS"/>
          <w:color w:val="231F20"/>
          <w:spacing w:val="-11"/>
          <w:w w:val="105"/>
          <w:sz w:val="14"/>
        </w:rPr>
        <w:t xml:space="preserve"> </w:t>
      </w:r>
      <w:r>
        <w:rPr>
          <w:rFonts w:ascii="Trebuchet MS"/>
          <w:color w:val="231F20"/>
          <w:w w:val="105"/>
          <w:sz w:val="14"/>
        </w:rPr>
        <w:t>Resources</w:t>
      </w:r>
      <w:r>
        <w:rPr>
          <w:rFonts w:ascii="Trebuchet MS"/>
          <w:color w:val="231F20"/>
          <w:spacing w:val="-11"/>
          <w:w w:val="105"/>
          <w:sz w:val="14"/>
        </w:rPr>
        <w:t xml:space="preserve"> </w:t>
      </w:r>
      <w:r>
        <w:rPr>
          <w:rFonts w:ascii="Trebuchet MS"/>
          <w:color w:val="231F20"/>
          <w:w w:val="105"/>
          <w:sz w:val="14"/>
        </w:rPr>
        <w:t>and</w:t>
      </w:r>
      <w:r>
        <w:rPr>
          <w:rFonts w:ascii="Trebuchet MS"/>
          <w:color w:val="231F20"/>
          <w:spacing w:val="-11"/>
          <w:w w:val="105"/>
          <w:sz w:val="14"/>
        </w:rPr>
        <w:t xml:space="preserve"> </w:t>
      </w:r>
      <w:r>
        <w:rPr>
          <w:rFonts w:ascii="Trebuchet MS"/>
          <w:color w:val="231F20"/>
          <w:w w:val="105"/>
          <w:sz w:val="14"/>
        </w:rPr>
        <w:t>Impacts</w:t>
      </w:r>
      <w:r>
        <w:rPr>
          <w:rFonts w:ascii="Trebuchet MS"/>
          <w:color w:val="231F20"/>
          <w:spacing w:val="49"/>
          <w:w w:val="105"/>
          <w:sz w:val="14"/>
        </w:rPr>
        <w:t xml:space="preserve"> </w:t>
      </w:r>
      <w:r>
        <w:rPr>
          <w:rFonts w:ascii="Trebuchet MS"/>
          <w:color w:val="231F20"/>
          <w:spacing w:val="-5"/>
          <w:w w:val="105"/>
          <w:sz w:val="14"/>
        </w:rPr>
        <w:t>151</w:t>
      </w:r>
    </w:p>
    <w:p w14:paraId="5BA9A5FB" w14:textId="77777777" w:rsidR="00AE0598" w:rsidRDefault="00AE0598">
      <w:pPr>
        <w:pStyle w:val="Corpodetexto"/>
        <w:rPr>
          <w:rFonts w:ascii="Trebuchet MS"/>
          <w:sz w:val="16"/>
        </w:rPr>
      </w:pPr>
    </w:p>
    <w:p w14:paraId="1651791C" w14:textId="77777777" w:rsidR="00AE0598" w:rsidRDefault="0069255A">
      <w:pPr>
        <w:pStyle w:val="Corpodetexto"/>
        <w:spacing w:before="118" w:line="232" w:lineRule="auto"/>
        <w:ind w:left="110" w:right="125"/>
        <w:jc w:val="both"/>
      </w:pPr>
      <w:r>
        <w:rPr>
          <w:color w:val="231F20"/>
          <w:w w:val="95"/>
        </w:rPr>
        <w:t xml:space="preserve">the motivations of participants are incompatible. Wilderness cross-country </w:t>
      </w:r>
      <w:r>
        <w:rPr>
          <w:color w:val="231F20"/>
        </w:rPr>
        <w:t>skiing</w:t>
      </w:r>
      <w:r>
        <w:rPr>
          <w:color w:val="231F20"/>
          <w:spacing w:val="-3"/>
        </w:rPr>
        <w:t xml:space="preserve"> </w:t>
      </w:r>
      <w:r>
        <w:rPr>
          <w:color w:val="231F20"/>
        </w:rPr>
        <w:t>and</w:t>
      </w:r>
      <w:r>
        <w:rPr>
          <w:color w:val="231F20"/>
          <w:spacing w:val="-3"/>
        </w:rPr>
        <w:t xml:space="preserve"> </w:t>
      </w:r>
      <w:r>
        <w:rPr>
          <w:color w:val="231F20"/>
        </w:rPr>
        <w:t>surfing</w:t>
      </w:r>
      <w:r>
        <w:rPr>
          <w:color w:val="231F20"/>
          <w:spacing w:val="-3"/>
        </w:rPr>
        <w:t xml:space="preserve"> </w:t>
      </w:r>
      <w:r>
        <w:rPr>
          <w:color w:val="231F20"/>
        </w:rPr>
        <w:t>are</w:t>
      </w:r>
      <w:r>
        <w:rPr>
          <w:color w:val="231F20"/>
          <w:spacing w:val="-3"/>
        </w:rPr>
        <w:t xml:space="preserve"> </w:t>
      </w:r>
      <w:r>
        <w:rPr>
          <w:color w:val="231F20"/>
        </w:rPr>
        <w:t>sports</w:t>
      </w:r>
      <w:r>
        <w:rPr>
          <w:color w:val="231F20"/>
          <w:spacing w:val="-3"/>
        </w:rPr>
        <w:t xml:space="preserve"> </w:t>
      </w:r>
      <w:r>
        <w:rPr>
          <w:color w:val="231F20"/>
        </w:rPr>
        <w:t>that</w:t>
      </w:r>
      <w:r>
        <w:rPr>
          <w:color w:val="231F20"/>
          <w:spacing w:val="-3"/>
        </w:rPr>
        <w:t xml:space="preserve"> </w:t>
      </w:r>
      <w:r>
        <w:rPr>
          <w:color w:val="231F20"/>
        </w:rPr>
        <w:t>take</w:t>
      </w:r>
      <w:r>
        <w:rPr>
          <w:color w:val="231F20"/>
          <w:spacing w:val="-3"/>
        </w:rPr>
        <w:t xml:space="preserve"> </w:t>
      </w:r>
      <w:r>
        <w:rPr>
          <w:color w:val="231F20"/>
        </w:rPr>
        <w:t>place</w:t>
      </w:r>
      <w:r>
        <w:rPr>
          <w:color w:val="231F20"/>
          <w:spacing w:val="-3"/>
        </w:rPr>
        <w:t xml:space="preserve"> </w:t>
      </w:r>
      <w:r>
        <w:rPr>
          <w:color w:val="231F20"/>
        </w:rPr>
        <w:t>in</w:t>
      </w:r>
      <w:r>
        <w:rPr>
          <w:color w:val="231F20"/>
          <w:spacing w:val="-3"/>
        </w:rPr>
        <w:t xml:space="preserve"> </w:t>
      </w:r>
      <w:r>
        <w:rPr>
          <w:color w:val="231F20"/>
        </w:rPr>
        <w:t>environments</w:t>
      </w:r>
      <w:r>
        <w:rPr>
          <w:color w:val="231F20"/>
          <w:spacing w:val="-3"/>
        </w:rPr>
        <w:t xml:space="preserve"> </w:t>
      </w:r>
      <w:r>
        <w:rPr>
          <w:color w:val="231F20"/>
        </w:rPr>
        <w:t>that</w:t>
      </w:r>
      <w:r>
        <w:rPr>
          <w:color w:val="231F20"/>
          <w:spacing w:val="-3"/>
        </w:rPr>
        <w:t xml:space="preserve"> </w:t>
      </w:r>
      <w:r>
        <w:rPr>
          <w:color w:val="231F20"/>
        </w:rPr>
        <w:t>can</w:t>
      </w:r>
      <w:r>
        <w:rPr>
          <w:color w:val="231F20"/>
          <w:spacing w:val="-3"/>
        </w:rPr>
        <w:t xml:space="preserve"> </w:t>
      </w:r>
      <w:r>
        <w:rPr>
          <w:color w:val="231F20"/>
        </w:rPr>
        <w:t>be contested</w:t>
      </w:r>
      <w:r>
        <w:rPr>
          <w:color w:val="231F20"/>
          <w:spacing w:val="-2"/>
        </w:rPr>
        <w:t xml:space="preserve"> </w:t>
      </w:r>
      <w:r>
        <w:rPr>
          <w:color w:val="231F20"/>
        </w:rPr>
        <w:t>by</w:t>
      </w:r>
      <w:r>
        <w:rPr>
          <w:color w:val="231F20"/>
          <w:spacing w:val="-2"/>
        </w:rPr>
        <w:t xml:space="preserve"> </w:t>
      </w:r>
      <w:r>
        <w:rPr>
          <w:color w:val="231F20"/>
        </w:rPr>
        <w:t>numerous</w:t>
      </w:r>
      <w:r>
        <w:rPr>
          <w:color w:val="231F20"/>
          <w:spacing w:val="-2"/>
        </w:rPr>
        <w:t xml:space="preserve"> </w:t>
      </w:r>
      <w:r>
        <w:rPr>
          <w:color w:val="231F20"/>
        </w:rPr>
        <w:t>participants.</w:t>
      </w:r>
      <w:r>
        <w:rPr>
          <w:color w:val="231F20"/>
          <w:spacing w:val="-2"/>
        </w:rPr>
        <w:t xml:space="preserve"> </w:t>
      </w:r>
      <w:r>
        <w:rPr>
          <w:color w:val="231F20"/>
        </w:rPr>
        <w:t>Access</w:t>
      </w:r>
      <w:r>
        <w:rPr>
          <w:color w:val="231F20"/>
          <w:spacing w:val="-2"/>
        </w:rPr>
        <w:t xml:space="preserve"> </w:t>
      </w:r>
      <w:r>
        <w:rPr>
          <w:color w:val="231F20"/>
        </w:rPr>
        <w:t>to</w:t>
      </w:r>
      <w:r>
        <w:rPr>
          <w:color w:val="231F20"/>
          <w:spacing w:val="-2"/>
        </w:rPr>
        <w:t xml:space="preserve"> </w:t>
      </w:r>
      <w:r>
        <w:rPr>
          <w:color w:val="231F20"/>
        </w:rPr>
        <w:t>waves</w:t>
      </w:r>
      <w:r>
        <w:rPr>
          <w:color w:val="231F20"/>
          <w:spacing w:val="-2"/>
        </w:rPr>
        <w:t xml:space="preserve"> </w:t>
      </w:r>
      <w:r>
        <w:rPr>
          <w:color w:val="231F20"/>
        </w:rPr>
        <w:t>is</w:t>
      </w:r>
      <w:r>
        <w:rPr>
          <w:color w:val="231F20"/>
          <w:spacing w:val="-2"/>
        </w:rPr>
        <w:t xml:space="preserve"> </w:t>
      </w:r>
      <w:r>
        <w:rPr>
          <w:color w:val="231F20"/>
        </w:rPr>
        <w:t>managed</w:t>
      </w:r>
      <w:r>
        <w:rPr>
          <w:color w:val="231F20"/>
          <w:spacing w:val="-2"/>
        </w:rPr>
        <w:t xml:space="preserve"> </w:t>
      </w:r>
      <w:r>
        <w:rPr>
          <w:color w:val="231F20"/>
        </w:rPr>
        <w:t xml:space="preserve">within </w:t>
      </w:r>
      <w:r>
        <w:rPr>
          <w:color w:val="231F20"/>
          <w:w w:val="95"/>
        </w:rPr>
        <w:t>the surfing community by an unwritten surfing etiquette (Usher &amp; Gomez, 2016; Wheaton, 2000, 2004). Edensor and Richards (2007) consider the increasing pressure on natural environments as leisure spaces in relation</w:t>
      </w:r>
      <w:r>
        <w:rPr>
          <w:color w:val="231F20"/>
          <w:spacing w:val="80"/>
        </w:rPr>
        <w:t xml:space="preserve"> </w:t>
      </w:r>
      <w:r>
        <w:rPr>
          <w:color w:val="231F20"/>
          <w:w w:val="95"/>
        </w:rPr>
        <w:t>to the tensions that may arise between di</w:t>
      </w:r>
      <w:r>
        <w:rPr>
          <w:color w:val="231F20"/>
          <w:w w:val="95"/>
        </w:rPr>
        <w:t xml:space="preserve">fferent groups of lifestyle sports </w:t>
      </w:r>
      <w:r>
        <w:rPr>
          <w:color w:val="231F20"/>
        </w:rPr>
        <w:t xml:space="preserve">participants, specifically skiers and snowboarders. Using a performance </w:t>
      </w:r>
      <w:r>
        <w:rPr>
          <w:color w:val="231F20"/>
          <w:w w:val="95"/>
        </w:rPr>
        <w:t>lens and drawing upon the embodied nature of leisure, they offer insights into how style and movement are used to create distinction and difference b</w:t>
      </w:r>
      <w:r>
        <w:rPr>
          <w:color w:val="231F20"/>
          <w:w w:val="95"/>
        </w:rPr>
        <w:t xml:space="preserve">etween groups of sport participants, which they refer to as the ‘contested </w:t>
      </w:r>
      <w:r>
        <w:rPr>
          <w:color w:val="231F20"/>
        </w:rPr>
        <w:t>choreographies of the slopes’ (Edensor &amp; Richards, 2007: 97). The compatibility</w:t>
      </w:r>
      <w:r>
        <w:rPr>
          <w:color w:val="231F20"/>
          <w:spacing w:val="-7"/>
        </w:rPr>
        <w:t xml:space="preserve"> </w:t>
      </w:r>
      <w:r>
        <w:rPr>
          <w:color w:val="231F20"/>
        </w:rPr>
        <w:t>of</w:t>
      </w:r>
      <w:r>
        <w:rPr>
          <w:color w:val="231F20"/>
          <w:spacing w:val="-7"/>
        </w:rPr>
        <w:t xml:space="preserve"> </w:t>
      </w:r>
      <w:r>
        <w:rPr>
          <w:color w:val="231F20"/>
        </w:rPr>
        <w:t>sports</w:t>
      </w:r>
      <w:r>
        <w:rPr>
          <w:color w:val="231F20"/>
          <w:spacing w:val="-7"/>
        </w:rPr>
        <w:t xml:space="preserve"> </w:t>
      </w:r>
      <w:r>
        <w:rPr>
          <w:color w:val="231F20"/>
        </w:rPr>
        <w:t>in</w:t>
      </w:r>
      <w:r>
        <w:rPr>
          <w:color w:val="231F20"/>
          <w:spacing w:val="-7"/>
        </w:rPr>
        <w:t xml:space="preserve"> </w:t>
      </w:r>
      <w:r>
        <w:rPr>
          <w:color w:val="231F20"/>
        </w:rPr>
        <w:t>the</w:t>
      </w:r>
      <w:r>
        <w:rPr>
          <w:color w:val="231F20"/>
          <w:spacing w:val="-7"/>
        </w:rPr>
        <w:t xml:space="preserve"> </w:t>
      </w:r>
      <w:r>
        <w:rPr>
          <w:color w:val="231F20"/>
        </w:rPr>
        <w:t>natural</w:t>
      </w:r>
      <w:r>
        <w:rPr>
          <w:color w:val="231F20"/>
          <w:spacing w:val="-7"/>
        </w:rPr>
        <w:t xml:space="preserve"> </w:t>
      </w:r>
      <w:r>
        <w:rPr>
          <w:color w:val="231F20"/>
        </w:rPr>
        <w:t>landscape</w:t>
      </w:r>
      <w:r>
        <w:rPr>
          <w:color w:val="231F20"/>
          <w:spacing w:val="-7"/>
        </w:rPr>
        <w:t xml:space="preserve"> </w:t>
      </w:r>
      <w:r>
        <w:rPr>
          <w:color w:val="231F20"/>
        </w:rPr>
        <w:t>generally</w:t>
      </w:r>
      <w:r>
        <w:rPr>
          <w:color w:val="231F20"/>
          <w:spacing w:val="-7"/>
        </w:rPr>
        <w:t xml:space="preserve"> </w:t>
      </w:r>
      <w:r>
        <w:rPr>
          <w:color w:val="231F20"/>
        </w:rPr>
        <w:t>decreases</w:t>
      </w:r>
      <w:r>
        <w:rPr>
          <w:color w:val="231F20"/>
          <w:spacing w:val="-7"/>
        </w:rPr>
        <w:t xml:space="preserve"> </w:t>
      </w:r>
      <w:r>
        <w:rPr>
          <w:color w:val="231F20"/>
        </w:rPr>
        <w:t>with the</w:t>
      </w:r>
      <w:r>
        <w:rPr>
          <w:color w:val="231F20"/>
          <w:spacing w:val="-6"/>
        </w:rPr>
        <w:t xml:space="preserve"> </w:t>
      </w:r>
      <w:r>
        <w:rPr>
          <w:color w:val="231F20"/>
        </w:rPr>
        <w:t>seriousness</w:t>
      </w:r>
      <w:r>
        <w:rPr>
          <w:color w:val="231F20"/>
          <w:spacing w:val="-6"/>
        </w:rPr>
        <w:t xml:space="preserve"> </w:t>
      </w:r>
      <w:r>
        <w:rPr>
          <w:color w:val="231F20"/>
        </w:rPr>
        <w:t>of</w:t>
      </w:r>
      <w:r>
        <w:rPr>
          <w:color w:val="231F20"/>
          <w:spacing w:val="-6"/>
        </w:rPr>
        <w:t xml:space="preserve"> </w:t>
      </w:r>
      <w:r>
        <w:rPr>
          <w:color w:val="231F20"/>
        </w:rPr>
        <w:t>the</w:t>
      </w:r>
      <w:r>
        <w:rPr>
          <w:color w:val="231F20"/>
          <w:spacing w:val="-6"/>
        </w:rPr>
        <w:t xml:space="preserve"> </w:t>
      </w:r>
      <w:r>
        <w:rPr>
          <w:color w:val="231F20"/>
        </w:rPr>
        <w:t>participant</w:t>
      </w:r>
      <w:r>
        <w:rPr>
          <w:color w:val="231F20"/>
          <w:spacing w:val="-6"/>
        </w:rPr>
        <w:t xml:space="preserve"> </w:t>
      </w:r>
      <w:r>
        <w:rPr>
          <w:color w:val="231F20"/>
        </w:rPr>
        <w:t>or</w:t>
      </w:r>
      <w:r>
        <w:rPr>
          <w:color w:val="231F20"/>
          <w:spacing w:val="-6"/>
        </w:rPr>
        <w:t xml:space="preserve"> </w:t>
      </w:r>
      <w:r>
        <w:rPr>
          <w:color w:val="231F20"/>
        </w:rPr>
        <w:t>com</w:t>
      </w:r>
      <w:r>
        <w:rPr>
          <w:color w:val="231F20"/>
        </w:rPr>
        <w:t>petitor</w:t>
      </w:r>
      <w:r>
        <w:rPr>
          <w:color w:val="231F20"/>
          <w:spacing w:val="-6"/>
        </w:rPr>
        <w:t xml:space="preserve"> </w:t>
      </w:r>
      <w:r>
        <w:rPr>
          <w:color w:val="231F20"/>
        </w:rPr>
        <w:t>(Bale,</w:t>
      </w:r>
      <w:r>
        <w:rPr>
          <w:color w:val="231F20"/>
          <w:spacing w:val="-6"/>
        </w:rPr>
        <w:t xml:space="preserve"> </w:t>
      </w:r>
      <w:r>
        <w:rPr>
          <w:color w:val="231F20"/>
        </w:rPr>
        <w:t>1989).</w:t>
      </w:r>
    </w:p>
    <w:p w14:paraId="4E9FE25D" w14:textId="77777777" w:rsidR="00AE0598" w:rsidRDefault="00AE0598">
      <w:pPr>
        <w:pStyle w:val="Corpodetexto"/>
        <w:spacing w:before="4"/>
        <w:rPr>
          <w:sz w:val="22"/>
        </w:rPr>
      </w:pPr>
    </w:p>
    <w:p w14:paraId="66BBF6A7" w14:textId="77777777" w:rsidR="00AE0598" w:rsidRDefault="0069255A">
      <w:pPr>
        <w:ind w:left="110"/>
        <w:jc w:val="both"/>
        <w:rPr>
          <w:rFonts w:ascii="Trebuchet MS"/>
          <w:b/>
          <w:sz w:val="20"/>
        </w:rPr>
      </w:pPr>
      <w:r>
        <w:rPr>
          <w:rFonts w:ascii="Trebuchet MS"/>
          <w:b/>
          <w:color w:val="231F20"/>
          <w:sz w:val="20"/>
        </w:rPr>
        <w:t>The</w:t>
      </w:r>
      <w:r>
        <w:rPr>
          <w:rFonts w:ascii="Trebuchet MS"/>
          <w:b/>
          <w:color w:val="231F20"/>
          <w:spacing w:val="-4"/>
          <w:sz w:val="20"/>
        </w:rPr>
        <w:t xml:space="preserve"> </w:t>
      </w:r>
      <w:r>
        <w:rPr>
          <w:rFonts w:ascii="Trebuchet MS"/>
          <w:b/>
          <w:color w:val="231F20"/>
          <w:sz w:val="20"/>
        </w:rPr>
        <w:t>Impacts</w:t>
      </w:r>
      <w:r>
        <w:rPr>
          <w:rFonts w:ascii="Trebuchet MS"/>
          <w:b/>
          <w:color w:val="231F20"/>
          <w:spacing w:val="-3"/>
          <w:sz w:val="20"/>
        </w:rPr>
        <w:t xml:space="preserve"> </w:t>
      </w:r>
      <w:r>
        <w:rPr>
          <w:rFonts w:ascii="Trebuchet MS"/>
          <w:b/>
          <w:color w:val="231F20"/>
          <w:sz w:val="20"/>
        </w:rPr>
        <w:t>of</w:t>
      </w:r>
      <w:r>
        <w:rPr>
          <w:rFonts w:ascii="Trebuchet MS"/>
          <w:b/>
          <w:color w:val="231F20"/>
          <w:spacing w:val="-3"/>
          <w:sz w:val="20"/>
        </w:rPr>
        <w:t xml:space="preserve"> </w:t>
      </w:r>
      <w:r>
        <w:rPr>
          <w:rFonts w:ascii="Trebuchet MS"/>
          <w:b/>
          <w:color w:val="231F20"/>
          <w:sz w:val="20"/>
        </w:rPr>
        <w:t>Event</w:t>
      </w:r>
      <w:r>
        <w:rPr>
          <w:rFonts w:ascii="Trebuchet MS"/>
          <w:b/>
          <w:color w:val="231F20"/>
          <w:spacing w:val="-3"/>
          <w:sz w:val="20"/>
        </w:rPr>
        <w:t xml:space="preserve"> </w:t>
      </w:r>
      <w:r>
        <w:rPr>
          <w:rFonts w:ascii="Trebuchet MS"/>
          <w:b/>
          <w:color w:val="231F20"/>
          <w:sz w:val="20"/>
        </w:rPr>
        <w:t>Sport</w:t>
      </w:r>
      <w:r>
        <w:rPr>
          <w:rFonts w:ascii="Trebuchet MS"/>
          <w:b/>
          <w:color w:val="231F20"/>
          <w:spacing w:val="-4"/>
          <w:sz w:val="20"/>
        </w:rPr>
        <w:t xml:space="preserve"> </w:t>
      </w:r>
      <w:r>
        <w:rPr>
          <w:rFonts w:ascii="Trebuchet MS"/>
          <w:b/>
          <w:color w:val="231F20"/>
          <w:sz w:val="20"/>
        </w:rPr>
        <w:t>Tourism:</w:t>
      </w:r>
      <w:r>
        <w:rPr>
          <w:rFonts w:ascii="Trebuchet MS"/>
          <w:b/>
          <w:color w:val="231F20"/>
          <w:spacing w:val="-3"/>
          <w:sz w:val="20"/>
        </w:rPr>
        <w:t xml:space="preserve"> </w:t>
      </w:r>
      <w:r>
        <w:rPr>
          <w:rFonts w:ascii="Trebuchet MS"/>
          <w:b/>
          <w:color w:val="231F20"/>
          <w:sz w:val="20"/>
        </w:rPr>
        <w:t>A</w:t>
      </w:r>
      <w:r>
        <w:rPr>
          <w:rFonts w:ascii="Trebuchet MS"/>
          <w:b/>
          <w:color w:val="231F20"/>
          <w:spacing w:val="-3"/>
          <w:sz w:val="20"/>
        </w:rPr>
        <w:t xml:space="preserve"> </w:t>
      </w:r>
      <w:r>
        <w:rPr>
          <w:rFonts w:ascii="Trebuchet MS"/>
          <w:b/>
          <w:color w:val="231F20"/>
          <w:sz w:val="20"/>
        </w:rPr>
        <w:t>Paradigmatic</w:t>
      </w:r>
      <w:r>
        <w:rPr>
          <w:rFonts w:ascii="Trebuchet MS"/>
          <w:b/>
          <w:color w:val="231F20"/>
          <w:spacing w:val="-3"/>
          <w:sz w:val="20"/>
        </w:rPr>
        <w:t xml:space="preserve"> </w:t>
      </w:r>
      <w:r>
        <w:rPr>
          <w:rFonts w:ascii="Trebuchet MS"/>
          <w:b/>
          <w:color w:val="231F20"/>
          <w:spacing w:val="-2"/>
          <w:sz w:val="20"/>
        </w:rPr>
        <w:t>Shift</w:t>
      </w:r>
    </w:p>
    <w:p w14:paraId="53F261F2" w14:textId="77777777" w:rsidR="00AE0598" w:rsidRDefault="0069255A">
      <w:pPr>
        <w:pStyle w:val="Corpodetexto"/>
        <w:spacing w:before="122" w:line="232" w:lineRule="auto"/>
        <w:ind w:left="110" w:right="125" w:firstLine="320"/>
        <w:jc w:val="both"/>
      </w:pPr>
      <w:r>
        <w:rPr>
          <w:color w:val="231F20"/>
        </w:rPr>
        <w:t>Events hosted in central and peripheral locations offer similar opportunities to foster environmental interests and implement impact mitigation plans. The legacy of the 1992 Albertville (France) Winter Olympic Games is one of irreversible impact on the alp</w:t>
      </w:r>
      <w:r>
        <w:rPr>
          <w:color w:val="231F20"/>
        </w:rPr>
        <w:t>ine environment due to intense development (May, 1995). In response, the planning of the 1994 Lillehammer Winter Olympic Games (Norway) pioneered new approaches to environmental management (Kaspar, 1998; Lesj</w:t>
      </w:r>
      <w:r>
        <w:rPr>
          <w:rFonts w:ascii="Times New Roman" w:hAnsi="Times New Roman"/>
          <w:color w:val="231F20"/>
        </w:rPr>
        <w:t>ø</w:t>
      </w:r>
      <w:r>
        <w:rPr>
          <w:color w:val="231F20"/>
        </w:rPr>
        <w:t>, 2000). The</w:t>
      </w:r>
      <w:r>
        <w:rPr>
          <w:color w:val="231F20"/>
          <w:spacing w:val="-7"/>
        </w:rPr>
        <w:t xml:space="preserve"> </w:t>
      </w:r>
      <w:r>
        <w:rPr>
          <w:color w:val="231F20"/>
        </w:rPr>
        <w:t>Olympic</w:t>
      </w:r>
      <w:r>
        <w:rPr>
          <w:color w:val="231F20"/>
          <w:spacing w:val="-7"/>
        </w:rPr>
        <w:t xml:space="preserve"> </w:t>
      </w:r>
      <w:r>
        <w:rPr>
          <w:color w:val="231F20"/>
        </w:rPr>
        <w:t>Environmental</w:t>
      </w:r>
      <w:r>
        <w:rPr>
          <w:color w:val="231F20"/>
          <w:spacing w:val="-7"/>
        </w:rPr>
        <w:t xml:space="preserve"> </w:t>
      </w:r>
      <w:r>
        <w:rPr>
          <w:color w:val="231F20"/>
        </w:rPr>
        <w:t>Charter</w:t>
      </w:r>
      <w:r>
        <w:rPr>
          <w:color w:val="231F20"/>
          <w:spacing w:val="-7"/>
        </w:rPr>
        <w:t xml:space="preserve"> </w:t>
      </w:r>
      <w:r>
        <w:rPr>
          <w:color w:val="231F20"/>
        </w:rPr>
        <w:t>(rat</w:t>
      </w:r>
      <w:r>
        <w:rPr>
          <w:color w:val="231F20"/>
        </w:rPr>
        <w:t>ified</w:t>
      </w:r>
      <w:r>
        <w:rPr>
          <w:color w:val="231F20"/>
          <w:spacing w:val="-7"/>
        </w:rPr>
        <w:t xml:space="preserve"> </w:t>
      </w:r>
      <w:r>
        <w:rPr>
          <w:color w:val="231F20"/>
        </w:rPr>
        <w:t>in</w:t>
      </w:r>
      <w:r>
        <w:rPr>
          <w:color w:val="231F20"/>
          <w:spacing w:val="-7"/>
        </w:rPr>
        <w:t xml:space="preserve"> </w:t>
      </w:r>
      <w:r>
        <w:rPr>
          <w:color w:val="231F20"/>
        </w:rPr>
        <w:t>1996)</w:t>
      </w:r>
      <w:r>
        <w:rPr>
          <w:color w:val="231F20"/>
          <w:spacing w:val="-8"/>
        </w:rPr>
        <w:t xml:space="preserve"> </w:t>
      </w:r>
      <w:r>
        <w:rPr>
          <w:color w:val="231F20"/>
        </w:rPr>
        <w:t>now</w:t>
      </w:r>
      <w:r>
        <w:rPr>
          <w:color w:val="231F20"/>
          <w:spacing w:val="-8"/>
        </w:rPr>
        <w:t xml:space="preserve"> </w:t>
      </w:r>
      <w:r>
        <w:rPr>
          <w:color w:val="231F20"/>
        </w:rPr>
        <w:t>requires</w:t>
      </w:r>
      <w:r>
        <w:rPr>
          <w:color w:val="231F20"/>
          <w:spacing w:val="-7"/>
        </w:rPr>
        <w:t xml:space="preserve"> </w:t>
      </w:r>
      <w:r>
        <w:rPr>
          <w:color w:val="231F20"/>
        </w:rPr>
        <w:t xml:space="preserve">that </w:t>
      </w:r>
      <w:r>
        <w:rPr>
          <w:color w:val="231F20"/>
          <w:w w:val="95"/>
        </w:rPr>
        <w:t xml:space="preserve">Olympic organising committees articulate and implement environmental protection policies. This charter was used for the first time in the planning </w:t>
      </w:r>
      <w:r>
        <w:rPr>
          <w:color w:val="231F20"/>
        </w:rPr>
        <w:t>of the 1998 Winter Olympics in Nagano (Japan). Cantelon and Letters (2000:</w:t>
      </w:r>
      <w:r>
        <w:rPr>
          <w:color w:val="231F20"/>
          <w:spacing w:val="-1"/>
        </w:rPr>
        <w:t xml:space="preserve"> </w:t>
      </w:r>
      <w:r>
        <w:rPr>
          <w:color w:val="231F20"/>
        </w:rPr>
        <w:t>2</w:t>
      </w:r>
      <w:r>
        <w:rPr>
          <w:color w:val="231F20"/>
        </w:rPr>
        <w:t>94)</w:t>
      </w:r>
      <w:r>
        <w:rPr>
          <w:color w:val="231F20"/>
          <w:spacing w:val="-1"/>
        </w:rPr>
        <w:t xml:space="preserve"> </w:t>
      </w:r>
      <w:r>
        <w:rPr>
          <w:color w:val="231F20"/>
        </w:rPr>
        <w:t>argue</w:t>
      </w:r>
      <w:r>
        <w:rPr>
          <w:color w:val="231F20"/>
          <w:spacing w:val="-1"/>
        </w:rPr>
        <w:t xml:space="preserve"> </w:t>
      </w:r>
      <w:r>
        <w:rPr>
          <w:color w:val="231F20"/>
        </w:rPr>
        <w:t>that</w:t>
      </w:r>
      <w:r>
        <w:rPr>
          <w:color w:val="231F20"/>
          <w:spacing w:val="-1"/>
        </w:rPr>
        <w:t xml:space="preserve"> </w:t>
      </w:r>
      <w:r>
        <w:rPr>
          <w:color w:val="231F20"/>
        </w:rPr>
        <w:t>‘it</w:t>
      </w:r>
      <w:r>
        <w:rPr>
          <w:color w:val="231F20"/>
          <w:spacing w:val="-1"/>
        </w:rPr>
        <w:t xml:space="preserve"> </w:t>
      </w:r>
      <w:r>
        <w:rPr>
          <w:color w:val="231F20"/>
        </w:rPr>
        <w:t>was</w:t>
      </w:r>
      <w:r>
        <w:rPr>
          <w:color w:val="231F20"/>
          <w:spacing w:val="-1"/>
        </w:rPr>
        <w:t xml:space="preserve"> </w:t>
      </w:r>
      <w:r>
        <w:rPr>
          <w:color w:val="231F20"/>
        </w:rPr>
        <w:t>the</w:t>
      </w:r>
      <w:r>
        <w:rPr>
          <w:color w:val="231F20"/>
          <w:spacing w:val="-1"/>
        </w:rPr>
        <w:t xml:space="preserve"> </w:t>
      </w:r>
      <w:r>
        <w:rPr>
          <w:color w:val="231F20"/>
        </w:rPr>
        <w:t>widespread</w:t>
      </w:r>
      <w:r>
        <w:rPr>
          <w:color w:val="231F20"/>
          <w:spacing w:val="-1"/>
        </w:rPr>
        <w:t xml:space="preserve"> </w:t>
      </w:r>
      <w:r>
        <w:rPr>
          <w:color w:val="231F20"/>
        </w:rPr>
        <w:t>environmental</w:t>
      </w:r>
      <w:r>
        <w:rPr>
          <w:color w:val="231F20"/>
          <w:spacing w:val="-1"/>
        </w:rPr>
        <w:t xml:space="preserve"> </w:t>
      </w:r>
      <w:r>
        <w:rPr>
          <w:color w:val="231F20"/>
        </w:rPr>
        <w:t>damage</w:t>
      </w:r>
      <w:r>
        <w:rPr>
          <w:color w:val="231F20"/>
          <w:spacing w:val="-1"/>
        </w:rPr>
        <w:t xml:space="preserve"> </w:t>
      </w:r>
      <w:r>
        <w:rPr>
          <w:color w:val="231F20"/>
        </w:rPr>
        <w:t>at the 1992 Albertville and the Savoie Region Games, and the subsequent “Green-White Games” of Lillehammer (1994), that were the historical benchmarks for the development of this policy’.</w:t>
      </w:r>
    </w:p>
    <w:p w14:paraId="14A475BB" w14:textId="77777777" w:rsidR="00AE0598" w:rsidRDefault="0069255A">
      <w:pPr>
        <w:pStyle w:val="Corpodetexto"/>
        <w:spacing w:before="18" w:line="232" w:lineRule="auto"/>
        <w:ind w:left="110" w:right="126" w:firstLine="320"/>
        <w:jc w:val="both"/>
      </w:pPr>
      <w:r>
        <w:rPr>
          <w:color w:val="231F20"/>
        </w:rPr>
        <w:t>The</w:t>
      </w:r>
      <w:r>
        <w:rPr>
          <w:color w:val="231F20"/>
          <w:spacing w:val="40"/>
        </w:rPr>
        <w:t xml:space="preserve"> </w:t>
      </w:r>
      <w:r>
        <w:rPr>
          <w:color w:val="231F20"/>
        </w:rPr>
        <w:t>Sydney</w:t>
      </w:r>
      <w:r>
        <w:rPr>
          <w:color w:val="231F20"/>
          <w:spacing w:val="40"/>
        </w:rPr>
        <w:t xml:space="preserve"> </w:t>
      </w:r>
      <w:r>
        <w:rPr>
          <w:color w:val="231F20"/>
        </w:rPr>
        <w:t>2000</w:t>
      </w:r>
      <w:r>
        <w:rPr>
          <w:color w:val="231F20"/>
          <w:spacing w:val="40"/>
        </w:rPr>
        <w:t xml:space="preserve"> </w:t>
      </w:r>
      <w:r>
        <w:rPr>
          <w:color w:val="231F20"/>
        </w:rPr>
        <w:t>Olympic</w:t>
      </w:r>
      <w:r>
        <w:rPr>
          <w:color w:val="231F20"/>
          <w:spacing w:val="40"/>
        </w:rPr>
        <w:t xml:space="preserve"> </w:t>
      </w:r>
      <w:r>
        <w:rPr>
          <w:color w:val="231F20"/>
        </w:rPr>
        <w:t>Games</w:t>
      </w:r>
      <w:r>
        <w:rPr>
          <w:color w:val="231F20"/>
          <w:spacing w:val="40"/>
        </w:rPr>
        <w:t xml:space="preserve"> </w:t>
      </w:r>
      <w:r>
        <w:rPr>
          <w:color w:val="231F20"/>
        </w:rPr>
        <w:t>represents</w:t>
      </w:r>
      <w:r>
        <w:rPr>
          <w:color w:val="231F20"/>
          <w:spacing w:val="40"/>
        </w:rPr>
        <w:t xml:space="preserve"> </w:t>
      </w:r>
      <w:r>
        <w:rPr>
          <w:color w:val="231F20"/>
        </w:rPr>
        <w:t>an</w:t>
      </w:r>
      <w:r>
        <w:rPr>
          <w:color w:val="231F20"/>
          <w:spacing w:val="40"/>
        </w:rPr>
        <w:t xml:space="preserve"> </w:t>
      </w:r>
      <w:r>
        <w:rPr>
          <w:color w:val="231F20"/>
        </w:rPr>
        <w:t>entrenchment, but also a</w:t>
      </w:r>
      <w:r>
        <w:rPr>
          <w:color w:val="231F20"/>
        </w:rPr>
        <w:t xml:space="preserve"> significant advancement of the environmental achievements of Lillehammer 1994. Conservation, ecological restoration and the remediation of industrial sites formed an integral part of the Sydney Olympic Games development programme (OCA, 1997a, 1997b). The </w:t>
      </w:r>
      <w:r>
        <w:rPr>
          <w:color w:val="231F20"/>
        </w:rPr>
        <w:t xml:space="preserve">environmental legacies of the 1994 Winter (Lillehammer, Norway) and </w:t>
      </w:r>
      <w:r>
        <w:rPr>
          <w:color w:val="231F20"/>
          <w:w w:val="95"/>
        </w:rPr>
        <w:t xml:space="preserve">2000 Summer (Sydney, Australia) Olympic Games represent a paradigmatic shift from impact mitigation to proactive environmental stewardship and habitat creation associated with event sport </w:t>
      </w:r>
      <w:r>
        <w:rPr>
          <w:color w:val="231F20"/>
          <w:w w:val="95"/>
        </w:rPr>
        <w:t xml:space="preserve">tourism (Chernushenko, 1996; </w:t>
      </w:r>
      <w:r>
        <w:rPr>
          <w:color w:val="231F20"/>
        </w:rPr>
        <w:t>Cowell, 1997). Environmental planning for the London 2012 Olympics included targets such as 90% of materials used in construction to be recycled, 20%</w:t>
      </w:r>
      <w:r>
        <w:rPr>
          <w:color w:val="231F20"/>
          <w:spacing w:val="1"/>
        </w:rPr>
        <w:t xml:space="preserve"> </w:t>
      </w:r>
      <w:r>
        <w:rPr>
          <w:color w:val="231F20"/>
        </w:rPr>
        <w:t>of</w:t>
      </w:r>
      <w:r>
        <w:rPr>
          <w:color w:val="231F20"/>
          <w:spacing w:val="1"/>
        </w:rPr>
        <w:t xml:space="preserve"> </w:t>
      </w:r>
      <w:r>
        <w:rPr>
          <w:color w:val="231F20"/>
        </w:rPr>
        <w:t>Olympic site</w:t>
      </w:r>
      <w:r>
        <w:rPr>
          <w:color w:val="231F20"/>
          <w:spacing w:val="1"/>
        </w:rPr>
        <w:t xml:space="preserve"> </w:t>
      </w:r>
      <w:r>
        <w:rPr>
          <w:color w:val="231F20"/>
        </w:rPr>
        <w:t>energy</w:t>
      </w:r>
      <w:r>
        <w:rPr>
          <w:color w:val="231F20"/>
          <w:spacing w:val="1"/>
        </w:rPr>
        <w:t xml:space="preserve"> </w:t>
      </w:r>
      <w:r>
        <w:rPr>
          <w:color w:val="231F20"/>
        </w:rPr>
        <w:t>requirements</w:t>
      </w:r>
      <w:r>
        <w:rPr>
          <w:color w:val="231F20"/>
          <w:spacing w:val="1"/>
        </w:rPr>
        <w:t xml:space="preserve"> </w:t>
      </w:r>
      <w:r>
        <w:rPr>
          <w:color w:val="231F20"/>
        </w:rPr>
        <w:t>to be</w:t>
      </w:r>
      <w:r>
        <w:rPr>
          <w:color w:val="231F20"/>
          <w:spacing w:val="1"/>
        </w:rPr>
        <w:t xml:space="preserve"> </w:t>
      </w:r>
      <w:r>
        <w:rPr>
          <w:color w:val="231F20"/>
        </w:rPr>
        <w:t>renewable</w:t>
      </w:r>
      <w:r>
        <w:rPr>
          <w:color w:val="231F20"/>
          <w:spacing w:val="1"/>
        </w:rPr>
        <w:t xml:space="preserve"> </w:t>
      </w:r>
      <w:r>
        <w:rPr>
          <w:color w:val="231F20"/>
        </w:rPr>
        <w:t>and</w:t>
      </w:r>
    </w:p>
    <w:p w14:paraId="0445413B" w14:textId="77777777" w:rsidR="00AE0598" w:rsidRDefault="00AE0598">
      <w:pPr>
        <w:spacing w:line="232" w:lineRule="auto"/>
        <w:jc w:val="both"/>
        <w:sectPr w:rsidR="00AE0598">
          <w:pgSz w:w="8850" w:h="13270"/>
          <w:pgMar w:top="720" w:right="1060" w:bottom="280" w:left="1080" w:header="720" w:footer="720" w:gutter="0"/>
          <w:cols w:space="720"/>
        </w:sectPr>
      </w:pPr>
    </w:p>
    <w:p w14:paraId="6FE4340C" w14:textId="77777777" w:rsidR="00AE0598" w:rsidRDefault="0069255A">
      <w:pPr>
        <w:spacing w:before="87"/>
        <w:ind w:left="108"/>
        <w:rPr>
          <w:rFonts w:ascii="Trebuchet MS"/>
          <w:sz w:val="14"/>
        </w:rPr>
      </w:pPr>
      <w:r>
        <w:rPr>
          <w:rFonts w:ascii="Trebuchet MS"/>
          <w:color w:val="231F20"/>
          <w:w w:val="105"/>
          <w:sz w:val="14"/>
        </w:rPr>
        <w:lastRenderedPageBreak/>
        <w:t>152</w:t>
      </w:r>
      <w:r>
        <w:rPr>
          <w:rFonts w:ascii="Trebuchet MS"/>
          <w:color w:val="231F20"/>
          <w:spacing w:val="66"/>
          <w:w w:val="150"/>
          <w:sz w:val="14"/>
        </w:rPr>
        <w:t xml:space="preserve"> </w:t>
      </w:r>
      <w:r>
        <w:rPr>
          <w:rFonts w:ascii="Trebuchet MS"/>
          <w:color w:val="231F20"/>
          <w:w w:val="105"/>
          <w:sz w:val="14"/>
        </w:rPr>
        <w:t>Par</w:t>
      </w:r>
      <w:r>
        <w:rPr>
          <w:rFonts w:ascii="Trebuchet MS"/>
          <w:color w:val="231F20"/>
          <w:w w:val="105"/>
          <w:sz w:val="14"/>
        </w:rPr>
        <w:t>t</w:t>
      </w:r>
      <w:r>
        <w:rPr>
          <w:rFonts w:ascii="Trebuchet MS"/>
          <w:color w:val="231F20"/>
          <w:spacing w:val="-9"/>
          <w:w w:val="105"/>
          <w:sz w:val="14"/>
        </w:rPr>
        <w:t xml:space="preserve"> </w:t>
      </w:r>
      <w:r>
        <w:rPr>
          <w:rFonts w:ascii="Trebuchet MS"/>
          <w:color w:val="231F20"/>
          <w:w w:val="105"/>
          <w:sz w:val="14"/>
        </w:rPr>
        <w:t>3:</w:t>
      </w:r>
      <w:r>
        <w:rPr>
          <w:rFonts w:ascii="Trebuchet MS"/>
          <w:color w:val="231F20"/>
          <w:spacing w:val="-8"/>
          <w:w w:val="105"/>
          <w:sz w:val="14"/>
        </w:rPr>
        <w:t xml:space="preserve"> </w:t>
      </w:r>
      <w:r>
        <w:rPr>
          <w:rFonts w:ascii="Trebuchet MS"/>
          <w:color w:val="231F20"/>
          <w:w w:val="105"/>
          <w:sz w:val="14"/>
        </w:rPr>
        <w:t>Sport</w:t>
      </w:r>
      <w:r>
        <w:rPr>
          <w:rFonts w:ascii="Trebuchet MS"/>
          <w:color w:val="231F20"/>
          <w:spacing w:val="-9"/>
          <w:w w:val="105"/>
          <w:sz w:val="14"/>
        </w:rPr>
        <w:t xml:space="preserve"> </w:t>
      </w:r>
      <w:r>
        <w:rPr>
          <w:rFonts w:ascii="Trebuchet MS"/>
          <w:color w:val="231F20"/>
          <w:w w:val="105"/>
          <w:sz w:val="14"/>
        </w:rPr>
        <w:t>Tourism</w:t>
      </w:r>
      <w:r>
        <w:rPr>
          <w:rFonts w:ascii="Trebuchet MS"/>
          <w:color w:val="231F20"/>
          <w:spacing w:val="-9"/>
          <w:w w:val="105"/>
          <w:sz w:val="14"/>
        </w:rPr>
        <w:t xml:space="preserve"> </w:t>
      </w:r>
      <w:r>
        <w:rPr>
          <w:rFonts w:ascii="Trebuchet MS"/>
          <w:color w:val="231F20"/>
          <w:w w:val="105"/>
          <w:sz w:val="14"/>
        </w:rPr>
        <w:t>Development</w:t>
      </w:r>
      <w:r>
        <w:rPr>
          <w:rFonts w:ascii="Trebuchet MS"/>
          <w:color w:val="231F20"/>
          <w:spacing w:val="-9"/>
          <w:w w:val="105"/>
          <w:sz w:val="14"/>
        </w:rPr>
        <w:t xml:space="preserve"> </w:t>
      </w:r>
      <w:r>
        <w:rPr>
          <w:rFonts w:ascii="Trebuchet MS"/>
          <w:color w:val="231F20"/>
          <w:w w:val="105"/>
          <w:sz w:val="14"/>
        </w:rPr>
        <w:t>and</w:t>
      </w:r>
      <w:r>
        <w:rPr>
          <w:rFonts w:ascii="Trebuchet MS"/>
          <w:color w:val="231F20"/>
          <w:spacing w:val="-8"/>
          <w:w w:val="105"/>
          <w:sz w:val="14"/>
        </w:rPr>
        <w:t xml:space="preserve"> </w:t>
      </w:r>
      <w:r>
        <w:rPr>
          <w:rFonts w:ascii="Trebuchet MS"/>
          <w:color w:val="231F20"/>
          <w:spacing w:val="-2"/>
          <w:w w:val="105"/>
          <w:sz w:val="14"/>
        </w:rPr>
        <w:t>Space</w:t>
      </w:r>
    </w:p>
    <w:p w14:paraId="20AD925E" w14:textId="77777777" w:rsidR="00AE0598" w:rsidRDefault="00AE0598">
      <w:pPr>
        <w:pStyle w:val="Corpodetexto"/>
        <w:rPr>
          <w:rFonts w:ascii="Trebuchet MS"/>
          <w:sz w:val="16"/>
        </w:rPr>
      </w:pPr>
    </w:p>
    <w:p w14:paraId="3DD4EA1A" w14:textId="77777777" w:rsidR="00AE0598" w:rsidRDefault="0069255A">
      <w:pPr>
        <w:pStyle w:val="Corpodetexto"/>
        <w:spacing w:before="118" w:line="232" w:lineRule="auto"/>
        <w:ind w:left="110" w:right="126"/>
        <w:jc w:val="both"/>
      </w:pPr>
      <w:r>
        <w:rPr>
          <w:color w:val="231F20"/>
        </w:rPr>
        <w:t>50 miles of walking and cycle ways around the Olympic park to assist in achieving the goal of a ‘car-free’ event. The London Olympics were also planned in accordance with an ambitious urban regeneration legacy for east</w:t>
      </w:r>
      <w:r>
        <w:rPr>
          <w:color w:val="231F20"/>
          <w:spacing w:val="-12"/>
        </w:rPr>
        <w:t xml:space="preserve"> </w:t>
      </w:r>
      <w:r>
        <w:rPr>
          <w:color w:val="231F20"/>
        </w:rPr>
        <w:t>London’s</w:t>
      </w:r>
      <w:r>
        <w:rPr>
          <w:color w:val="231F20"/>
          <w:spacing w:val="-12"/>
        </w:rPr>
        <w:t xml:space="preserve"> </w:t>
      </w:r>
      <w:r>
        <w:rPr>
          <w:color w:val="231F20"/>
        </w:rPr>
        <w:t>Stratford</w:t>
      </w:r>
      <w:r>
        <w:rPr>
          <w:color w:val="231F20"/>
          <w:spacing w:val="-11"/>
        </w:rPr>
        <w:t xml:space="preserve"> </w:t>
      </w:r>
      <w:r>
        <w:rPr>
          <w:color w:val="231F20"/>
        </w:rPr>
        <w:t>Lea</w:t>
      </w:r>
      <w:r>
        <w:rPr>
          <w:color w:val="231F20"/>
          <w:spacing w:val="-12"/>
        </w:rPr>
        <w:t xml:space="preserve"> </w:t>
      </w:r>
      <w:r>
        <w:rPr>
          <w:color w:val="231F20"/>
        </w:rPr>
        <w:t>Valley</w:t>
      </w:r>
      <w:r>
        <w:rPr>
          <w:color w:val="231F20"/>
          <w:spacing w:val="-11"/>
        </w:rPr>
        <w:t xml:space="preserve"> </w:t>
      </w:r>
      <w:r>
        <w:rPr>
          <w:color w:val="231F20"/>
        </w:rPr>
        <w:t>(noting</w:t>
      </w:r>
      <w:r>
        <w:rPr>
          <w:color w:val="231F20"/>
          <w:spacing w:val="-12"/>
        </w:rPr>
        <w:t xml:space="preserve"> </w:t>
      </w:r>
      <w:r>
        <w:rPr>
          <w:color w:val="231F20"/>
        </w:rPr>
        <w:t>that</w:t>
      </w:r>
      <w:r>
        <w:rPr>
          <w:color w:val="231F20"/>
          <w:spacing w:val="-11"/>
        </w:rPr>
        <w:t xml:space="preserve"> </w:t>
      </w:r>
      <w:r>
        <w:rPr>
          <w:color w:val="231F20"/>
        </w:rPr>
        <w:t>regeneration</w:t>
      </w:r>
      <w:r>
        <w:rPr>
          <w:color w:val="231F20"/>
          <w:spacing w:val="-12"/>
        </w:rPr>
        <w:t xml:space="preserve"> </w:t>
      </w:r>
      <w:r>
        <w:rPr>
          <w:color w:val="231F20"/>
        </w:rPr>
        <w:t>plans</w:t>
      </w:r>
      <w:r>
        <w:rPr>
          <w:color w:val="231F20"/>
          <w:spacing w:val="-12"/>
        </w:rPr>
        <w:t xml:space="preserve"> </w:t>
      </w:r>
      <w:r>
        <w:rPr>
          <w:color w:val="231F20"/>
        </w:rPr>
        <w:t>for</w:t>
      </w:r>
      <w:r>
        <w:rPr>
          <w:color w:val="231F20"/>
          <w:spacing w:val="-11"/>
        </w:rPr>
        <w:t xml:space="preserve"> </w:t>
      </w:r>
      <w:r>
        <w:rPr>
          <w:color w:val="231F20"/>
        </w:rPr>
        <w:t>the Lea</w:t>
      </w:r>
      <w:r>
        <w:rPr>
          <w:color w:val="231F20"/>
          <w:spacing w:val="-3"/>
        </w:rPr>
        <w:t xml:space="preserve"> </w:t>
      </w:r>
      <w:r>
        <w:rPr>
          <w:color w:val="231F20"/>
        </w:rPr>
        <w:t>Valley</w:t>
      </w:r>
      <w:r>
        <w:rPr>
          <w:color w:val="231F20"/>
          <w:spacing w:val="-3"/>
        </w:rPr>
        <w:t xml:space="preserve"> </w:t>
      </w:r>
      <w:r>
        <w:rPr>
          <w:color w:val="231F20"/>
        </w:rPr>
        <w:t>were</w:t>
      </w:r>
      <w:r>
        <w:rPr>
          <w:color w:val="231F20"/>
          <w:spacing w:val="-3"/>
        </w:rPr>
        <w:t xml:space="preserve"> </w:t>
      </w:r>
      <w:r>
        <w:rPr>
          <w:color w:val="231F20"/>
        </w:rPr>
        <w:t>in</w:t>
      </w:r>
      <w:r>
        <w:rPr>
          <w:color w:val="231F20"/>
          <w:spacing w:val="-3"/>
        </w:rPr>
        <w:t xml:space="preserve"> </w:t>
      </w:r>
      <w:r>
        <w:rPr>
          <w:color w:val="231F20"/>
        </w:rPr>
        <w:t>place</w:t>
      </w:r>
      <w:r>
        <w:rPr>
          <w:color w:val="231F20"/>
          <w:spacing w:val="-3"/>
        </w:rPr>
        <w:t xml:space="preserve"> </w:t>
      </w:r>
      <w:r>
        <w:rPr>
          <w:color w:val="231F20"/>
        </w:rPr>
        <w:t>when</w:t>
      </w:r>
      <w:r>
        <w:rPr>
          <w:color w:val="231F20"/>
          <w:spacing w:val="-3"/>
        </w:rPr>
        <w:t xml:space="preserve"> </w:t>
      </w:r>
      <w:r>
        <w:rPr>
          <w:color w:val="231F20"/>
        </w:rPr>
        <w:t>the</w:t>
      </w:r>
      <w:r>
        <w:rPr>
          <w:color w:val="231F20"/>
          <w:spacing w:val="-3"/>
        </w:rPr>
        <w:t xml:space="preserve"> </w:t>
      </w:r>
      <w:r>
        <w:rPr>
          <w:color w:val="231F20"/>
        </w:rPr>
        <w:t>London</w:t>
      </w:r>
      <w:r>
        <w:rPr>
          <w:color w:val="231F20"/>
          <w:spacing w:val="-3"/>
        </w:rPr>
        <w:t xml:space="preserve"> </w:t>
      </w:r>
      <w:r>
        <w:rPr>
          <w:color w:val="231F20"/>
        </w:rPr>
        <w:t>2012</w:t>
      </w:r>
      <w:r>
        <w:rPr>
          <w:color w:val="231F20"/>
          <w:spacing w:val="-3"/>
        </w:rPr>
        <w:t xml:space="preserve"> </w:t>
      </w:r>
      <w:r>
        <w:rPr>
          <w:color w:val="231F20"/>
        </w:rPr>
        <w:t>Olympic</w:t>
      </w:r>
      <w:r>
        <w:rPr>
          <w:color w:val="231F20"/>
          <w:spacing w:val="-3"/>
        </w:rPr>
        <w:t xml:space="preserve"> </w:t>
      </w:r>
      <w:r>
        <w:rPr>
          <w:color w:val="231F20"/>
        </w:rPr>
        <w:t>bid</w:t>
      </w:r>
      <w:r>
        <w:rPr>
          <w:color w:val="231F20"/>
          <w:spacing w:val="-3"/>
        </w:rPr>
        <w:t xml:space="preserve"> </w:t>
      </w:r>
      <w:r>
        <w:rPr>
          <w:color w:val="231F20"/>
        </w:rPr>
        <w:t>was</w:t>
      </w:r>
      <w:r>
        <w:rPr>
          <w:color w:val="231F20"/>
          <w:spacing w:val="-3"/>
        </w:rPr>
        <w:t xml:space="preserve"> </w:t>
      </w:r>
      <w:r>
        <w:rPr>
          <w:color w:val="231F20"/>
        </w:rPr>
        <w:t>won</w:t>
      </w:r>
      <w:r>
        <w:rPr>
          <w:color w:val="231F20"/>
          <w:spacing w:val="-3"/>
        </w:rPr>
        <w:t xml:space="preserve"> </w:t>
      </w:r>
      <w:r>
        <w:rPr>
          <w:color w:val="231F20"/>
        </w:rPr>
        <w:t xml:space="preserve">in </w:t>
      </w:r>
      <w:r>
        <w:rPr>
          <w:color w:val="231F20"/>
          <w:w w:val="95"/>
        </w:rPr>
        <w:t xml:space="preserve">Singapore in 2005) (Davis &amp; Thornley, 2010). These sport events provide </w:t>
      </w:r>
      <w:r>
        <w:rPr>
          <w:color w:val="231F20"/>
        </w:rPr>
        <w:t>evidence of new perspectives on the sport tourism–environment nexus. While quantif</w:t>
      </w:r>
      <w:r>
        <w:rPr>
          <w:color w:val="231F20"/>
        </w:rPr>
        <w:t xml:space="preserve">ying the environmental impacts of events (at all spatial </w:t>
      </w:r>
      <w:r>
        <w:rPr>
          <w:color w:val="231F20"/>
          <w:w w:val="95"/>
        </w:rPr>
        <w:t xml:space="preserve">scales) will inevitably become more important, the complexities of sports </w:t>
      </w:r>
      <w:r>
        <w:rPr>
          <w:color w:val="231F20"/>
        </w:rPr>
        <w:t>event impacts, which vary in terms of spatial scale and time, demand careful consideration of both assessment methods and org</w:t>
      </w:r>
      <w:r>
        <w:rPr>
          <w:color w:val="231F20"/>
        </w:rPr>
        <w:t xml:space="preserve">anisational actions (Collins </w:t>
      </w:r>
      <w:r>
        <w:rPr>
          <w:i/>
          <w:color w:val="231F20"/>
        </w:rPr>
        <w:t>et al</w:t>
      </w:r>
      <w:r>
        <w:rPr>
          <w:color w:val="231F20"/>
        </w:rPr>
        <w:t>., 2009).</w:t>
      </w:r>
    </w:p>
    <w:p w14:paraId="2C25CC00" w14:textId="77777777" w:rsidR="00AE0598" w:rsidRDefault="00AE0598">
      <w:pPr>
        <w:pStyle w:val="Corpodetexto"/>
        <w:spacing w:before="2"/>
        <w:rPr>
          <w:sz w:val="22"/>
        </w:rPr>
      </w:pPr>
    </w:p>
    <w:p w14:paraId="410FECB3" w14:textId="77777777" w:rsidR="00AE0598" w:rsidRDefault="0069255A">
      <w:pPr>
        <w:ind w:left="110"/>
        <w:rPr>
          <w:rFonts w:ascii="Trebuchet MS"/>
          <w:b/>
          <w:sz w:val="20"/>
        </w:rPr>
      </w:pPr>
      <w:r>
        <w:rPr>
          <w:rFonts w:ascii="Trebuchet MS"/>
          <w:b/>
          <w:color w:val="231F20"/>
          <w:spacing w:val="-2"/>
          <w:sz w:val="20"/>
        </w:rPr>
        <w:t>Conclusion</w:t>
      </w:r>
    </w:p>
    <w:p w14:paraId="1AF85A8F" w14:textId="77777777" w:rsidR="00AE0598" w:rsidRDefault="0069255A">
      <w:pPr>
        <w:pStyle w:val="Corpodetexto"/>
        <w:spacing w:before="122" w:line="232" w:lineRule="auto"/>
        <w:ind w:left="110" w:right="126" w:firstLine="320"/>
        <w:jc w:val="both"/>
      </w:pPr>
      <w:r>
        <w:rPr>
          <w:color w:val="231F20"/>
        </w:rPr>
        <w:t>Sport</w:t>
      </w:r>
      <w:r>
        <w:rPr>
          <w:color w:val="231F20"/>
          <w:spacing w:val="40"/>
        </w:rPr>
        <w:t xml:space="preserve"> </w:t>
      </w:r>
      <w:r>
        <w:rPr>
          <w:color w:val="231F20"/>
        </w:rPr>
        <w:t>tourism</w:t>
      </w:r>
      <w:r>
        <w:rPr>
          <w:color w:val="231F20"/>
          <w:spacing w:val="40"/>
        </w:rPr>
        <w:t xml:space="preserve"> </w:t>
      </w:r>
      <w:r>
        <w:rPr>
          <w:color w:val="231F20"/>
        </w:rPr>
        <w:t>environments</w:t>
      </w:r>
      <w:r>
        <w:rPr>
          <w:color w:val="231F20"/>
          <w:spacing w:val="40"/>
        </w:rPr>
        <w:t xml:space="preserve"> </w:t>
      </w:r>
      <w:r>
        <w:rPr>
          <w:color w:val="231F20"/>
        </w:rPr>
        <w:t>and</w:t>
      </w:r>
      <w:r>
        <w:rPr>
          <w:color w:val="231F20"/>
          <w:spacing w:val="40"/>
        </w:rPr>
        <w:t xml:space="preserve"> </w:t>
      </w:r>
      <w:r>
        <w:rPr>
          <w:color w:val="231F20"/>
        </w:rPr>
        <w:t>resources</w:t>
      </w:r>
      <w:r>
        <w:rPr>
          <w:color w:val="231F20"/>
          <w:spacing w:val="40"/>
        </w:rPr>
        <w:t xml:space="preserve"> </w:t>
      </w:r>
      <w:r>
        <w:rPr>
          <w:color w:val="231F20"/>
        </w:rPr>
        <w:t>form</w:t>
      </w:r>
      <w:r>
        <w:rPr>
          <w:color w:val="231F20"/>
          <w:spacing w:val="40"/>
        </w:rPr>
        <w:t xml:space="preserve"> </w:t>
      </w:r>
      <w:r>
        <w:rPr>
          <w:color w:val="231F20"/>
        </w:rPr>
        <w:t>an</w:t>
      </w:r>
      <w:r>
        <w:rPr>
          <w:color w:val="231F20"/>
          <w:spacing w:val="40"/>
        </w:rPr>
        <w:t xml:space="preserve"> </w:t>
      </w:r>
      <w:r>
        <w:rPr>
          <w:color w:val="231F20"/>
        </w:rPr>
        <w:t>important part of the foundation upon which sport tourism development is built. Landscape and climate are key determinants of the attractiveness of tourist destinations. They also have considerable influence on the sport and recreational activities that to</w:t>
      </w:r>
      <w:r>
        <w:rPr>
          <w:color w:val="231F20"/>
        </w:rPr>
        <w:t xml:space="preserve">urists associate with a destination, thereby influencing destination image. The relationship between sport and the environment is a dynamic one (Standeven &amp; DeKnop, 1999). </w:t>
      </w:r>
      <w:r>
        <w:rPr>
          <w:color w:val="231F20"/>
          <w:w w:val="95"/>
        </w:rPr>
        <w:t>Understanding this relationship is critical to harnessing trends that offer</w:t>
      </w:r>
      <w:r>
        <w:rPr>
          <w:color w:val="231F20"/>
          <w:spacing w:val="40"/>
        </w:rPr>
        <w:t xml:space="preserve"> </w:t>
      </w:r>
      <w:r>
        <w:rPr>
          <w:color w:val="231F20"/>
        </w:rPr>
        <w:t>the oppo</w:t>
      </w:r>
      <w:r>
        <w:rPr>
          <w:color w:val="231F20"/>
        </w:rPr>
        <w:t xml:space="preserve">rtunity for, or pose a threat to, sustainable sport and tourism development (Hinch </w:t>
      </w:r>
      <w:r>
        <w:rPr>
          <w:i/>
          <w:color w:val="231F20"/>
        </w:rPr>
        <w:t>et al</w:t>
      </w:r>
      <w:r>
        <w:rPr>
          <w:color w:val="231F20"/>
        </w:rPr>
        <w:t xml:space="preserve">., 2016). Reproducible or transportable sports offer a valuable example in this respect (Bale, 1994; Weed, 2010). </w:t>
      </w:r>
      <w:r>
        <w:rPr>
          <w:color w:val="231F20"/>
          <w:w w:val="95"/>
        </w:rPr>
        <w:t>Transportability, while representing the threat of rel</w:t>
      </w:r>
      <w:r>
        <w:rPr>
          <w:color w:val="231F20"/>
          <w:w w:val="95"/>
        </w:rPr>
        <w:t xml:space="preserve">ocation from a sports place of origin, may also provide an opportunity to develop new or existing </w:t>
      </w:r>
      <w:r>
        <w:rPr>
          <w:color w:val="231F20"/>
        </w:rPr>
        <w:t>sports resources at specific tourism places.</w:t>
      </w:r>
    </w:p>
    <w:p w14:paraId="44B6D706" w14:textId="77777777" w:rsidR="00AE0598" w:rsidRDefault="0069255A">
      <w:pPr>
        <w:pStyle w:val="Corpodetexto"/>
        <w:spacing w:before="17" w:line="232" w:lineRule="auto"/>
        <w:ind w:left="110" w:right="127" w:firstLine="320"/>
        <w:jc w:val="both"/>
      </w:pPr>
      <w:r>
        <w:rPr>
          <w:color w:val="231F20"/>
        </w:rPr>
        <w:t xml:space="preserve">This chapter also considers the sharp distinction that lies between </w:t>
      </w:r>
      <w:r>
        <w:rPr>
          <w:color w:val="231F20"/>
          <w:w w:val="95"/>
        </w:rPr>
        <w:t xml:space="preserve">sport tourism development in the built (central) and natural (peripheral) </w:t>
      </w:r>
      <w:r>
        <w:rPr>
          <w:color w:val="231F20"/>
        </w:rPr>
        <w:t xml:space="preserve">environments. The importance of this distinction lies in the contrasting impacts and management issues that apply </w:t>
      </w:r>
      <w:r>
        <w:rPr>
          <w:color w:val="231F20"/>
        </w:rPr>
        <w:t>to sport tourism in differing contexts,</w:t>
      </w:r>
      <w:r>
        <w:rPr>
          <w:color w:val="231F20"/>
          <w:spacing w:val="-4"/>
        </w:rPr>
        <w:t xml:space="preserve"> </w:t>
      </w:r>
      <w:r>
        <w:rPr>
          <w:color w:val="231F20"/>
        </w:rPr>
        <w:t>and</w:t>
      </w:r>
      <w:r>
        <w:rPr>
          <w:color w:val="231F20"/>
          <w:spacing w:val="-4"/>
        </w:rPr>
        <w:t xml:space="preserve"> </w:t>
      </w:r>
      <w:r>
        <w:rPr>
          <w:color w:val="231F20"/>
        </w:rPr>
        <w:t>at</w:t>
      </w:r>
      <w:r>
        <w:rPr>
          <w:color w:val="231F20"/>
          <w:spacing w:val="-4"/>
        </w:rPr>
        <w:t xml:space="preserve"> </w:t>
      </w:r>
      <w:r>
        <w:rPr>
          <w:color w:val="231F20"/>
        </w:rPr>
        <w:t>various</w:t>
      </w:r>
      <w:r>
        <w:rPr>
          <w:color w:val="231F20"/>
          <w:spacing w:val="-4"/>
        </w:rPr>
        <w:t xml:space="preserve"> </w:t>
      </w:r>
      <w:r>
        <w:rPr>
          <w:color w:val="231F20"/>
        </w:rPr>
        <w:t>scales</w:t>
      </w:r>
      <w:r>
        <w:rPr>
          <w:color w:val="231F20"/>
          <w:spacing w:val="-4"/>
        </w:rPr>
        <w:t xml:space="preserve"> </w:t>
      </w:r>
      <w:r>
        <w:rPr>
          <w:color w:val="231F20"/>
        </w:rPr>
        <w:t>of</w:t>
      </w:r>
      <w:r>
        <w:rPr>
          <w:color w:val="231F20"/>
          <w:spacing w:val="-4"/>
        </w:rPr>
        <w:t xml:space="preserve"> </w:t>
      </w:r>
      <w:r>
        <w:rPr>
          <w:color w:val="231F20"/>
        </w:rPr>
        <w:t>analysis</w:t>
      </w:r>
      <w:r>
        <w:rPr>
          <w:color w:val="231F20"/>
          <w:spacing w:val="-4"/>
        </w:rPr>
        <w:t xml:space="preserve"> </w:t>
      </w:r>
      <w:r>
        <w:rPr>
          <w:color w:val="231F20"/>
        </w:rPr>
        <w:t>from</w:t>
      </w:r>
      <w:r>
        <w:rPr>
          <w:color w:val="231F20"/>
          <w:spacing w:val="-4"/>
        </w:rPr>
        <w:t xml:space="preserve"> </w:t>
      </w:r>
      <w:r>
        <w:rPr>
          <w:color w:val="231F20"/>
        </w:rPr>
        <w:t>the</w:t>
      </w:r>
      <w:r>
        <w:rPr>
          <w:color w:val="231F20"/>
          <w:spacing w:val="-4"/>
        </w:rPr>
        <w:t xml:space="preserve"> </w:t>
      </w:r>
      <w:r>
        <w:rPr>
          <w:color w:val="231F20"/>
        </w:rPr>
        <w:t>local</w:t>
      </w:r>
      <w:r>
        <w:rPr>
          <w:color w:val="231F20"/>
          <w:spacing w:val="-4"/>
        </w:rPr>
        <w:t xml:space="preserve"> </w:t>
      </w:r>
      <w:r>
        <w:rPr>
          <w:color w:val="231F20"/>
        </w:rPr>
        <w:t>(e.g.</w:t>
      </w:r>
      <w:r>
        <w:rPr>
          <w:color w:val="231F20"/>
          <w:spacing w:val="-4"/>
        </w:rPr>
        <w:t xml:space="preserve"> </w:t>
      </w:r>
      <w:r>
        <w:rPr>
          <w:color w:val="231F20"/>
        </w:rPr>
        <w:t>see</w:t>
      </w:r>
      <w:r>
        <w:rPr>
          <w:color w:val="231F20"/>
          <w:spacing w:val="-4"/>
        </w:rPr>
        <w:t xml:space="preserve"> </w:t>
      </w:r>
      <w:r>
        <w:rPr>
          <w:color w:val="231F20"/>
        </w:rPr>
        <w:t>Pillay</w:t>
      </w:r>
      <w:r>
        <w:rPr>
          <w:color w:val="231F20"/>
          <w:spacing w:val="-4"/>
        </w:rPr>
        <w:t xml:space="preserve"> </w:t>
      </w:r>
      <w:r>
        <w:rPr>
          <w:color w:val="231F20"/>
        </w:rPr>
        <w:t xml:space="preserve">&amp; </w:t>
      </w:r>
      <w:r>
        <w:rPr>
          <w:color w:val="231F20"/>
          <w:w w:val="95"/>
        </w:rPr>
        <w:t xml:space="preserve">Bass, 2008) to the global (e.g. see Otto &amp; Heath, 2009). How these impacts </w:t>
      </w:r>
      <w:r>
        <w:rPr>
          <w:color w:val="231F20"/>
        </w:rPr>
        <w:t>are</w:t>
      </w:r>
      <w:r>
        <w:rPr>
          <w:color w:val="231F20"/>
          <w:spacing w:val="-5"/>
        </w:rPr>
        <w:t xml:space="preserve"> </w:t>
      </w:r>
      <w:r>
        <w:rPr>
          <w:color w:val="231F20"/>
        </w:rPr>
        <w:t>perceived</w:t>
      </w:r>
      <w:r>
        <w:rPr>
          <w:color w:val="231F20"/>
          <w:spacing w:val="-6"/>
        </w:rPr>
        <w:t xml:space="preserve"> </w:t>
      </w:r>
      <w:r>
        <w:rPr>
          <w:color w:val="231F20"/>
        </w:rPr>
        <w:t>at</w:t>
      </w:r>
      <w:r>
        <w:rPr>
          <w:color w:val="231F20"/>
          <w:spacing w:val="-5"/>
        </w:rPr>
        <w:t xml:space="preserve"> </w:t>
      </w:r>
      <w:r>
        <w:rPr>
          <w:color w:val="231F20"/>
        </w:rPr>
        <w:t>the</w:t>
      </w:r>
      <w:r>
        <w:rPr>
          <w:color w:val="231F20"/>
          <w:spacing w:val="-6"/>
        </w:rPr>
        <w:t xml:space="preserve"> </w:t>
      </w:r>
      <w:r>
        <w:rPr>
          <w:color w:val="231F20"/>
        </w:rPr>
        <w:t>local</w:t>
      </w:r>
      <w:r>
        <w:rPr>
          <w:color w:val="231F20"/>
          <w:spacing w:val="-5"/>
        </w:rPr>
        <w:t xml:space="preserve"> </w:t>
      </w:r>
      <w:r>
        <w:rPr>
          <w:color w:val="231F20"/>
        </w:rPr>
        <w:t>level</w:t>
      </w:r>
      <w:r>
        <w:rPr>
          <w:color w:val="231F20"/>
          <w:spacing w:val="-6"/>
        </w:rPr>
        <w:t xml:space="preserve"> </w:t>
      </w:r>
      <w:r>
        <w:rPr>
          <w:color w:val="231F20"/>
        </w:rPr>
        <w:t>will</w:t>
      </w:r>
      <w:r>
        <w:rPr>
          <w:color w:val="231F20"/>
          <w:spacing w:val="-5"/>
        </w:rPr>
        <w:t xml:space="preserve"> </w:t>
      </w:r>
      <w:r>
        <w:rPr>
          <w:color w:val="231F20"/>
        </w:rPr>
        <w:t>have</w:t>
      </w:r>
      <w:r>
        <w:rPr>
          <w:color w:val="231F20"/>
          <w:spacing w:val="-6"/>
        </w:rPr>
        <w:t xml:space="preserve"> </w:t>
      </w:r>
      <w:r>
        <w:rPr>
          <w:color w:val="231F20"/>
        </w:rPr>
        <w:t>a</w:t>
      </w:r>
      <w:r>
        <w:rPr>
          <w:color w:val="231F20"/>
          <w:spacing w:val="-5"/>
        </w:rPr>
        <w:t xml:space="preserve"> </w:t>
      </w:r>
      <w:r>
        <w:rPr>
          <w:color w:val="231F20"/>
        </w:rPr>
        <w:t>considerable</w:t>
      </w:r>
      <w:r>
        <w:rPr>
          <w:color w:val="231F20"/>
          <w:spacing w:val="-6"/>
        </w:rPr>
        <w:t xml:space="preserve"> </w:t>
      </w:r>
      <w:r>
        <w:rPr>
          <w:color w:val="231F20"/>
        </w:rPr>
        <w:t>bearing</w:t>
      </w:r>
      <w:r>
        <w:rPr>
          <w:color w:val="231F20"/>
          <w:spacing w:val="-5"/>
        </w:rPr>
        <w:t xml:space="preserve"> </w:t>
      </w:r>
      <w:r>
        <w:rPr>
          <w:color w:val="231F20"/>
        </w:rPr>
        <w:t>upon</w:t>
      </w:r>
      <w:r>
        <w:rPr>
          <w:color w:val="231F20"/>
          <w:spacing w:val="-6"/>
        </w:rPr>
        <w:t xml:space="preserve"> </w:t>
      </w:r>
      <w:r>
        <w:rPr>
          <w:color w:val="231F20"/>
        </w:rPr>
        <w:t>th</w:t>
      </w:r>
      <w:r>
        <w:rPr>
          <w:color w:val="231F20"/>
        </w:rPr>
        <w:t xml:space="preserve">e future of sport-related tourism development (Cornelissen </w:t>
      </w:r>
      <w:r>
        <w:rPr>
          <w:i/>
          <w:color w:val="231F20"/>
        </w:rPr>
        <w:t>et al.</w:t>
      </w:r>
      <w:r>
        <w:rPr>
          <w:color w:val="231F20"/>
        </w:rPr>
        <w:t>, 2009; Hritz &amp; Ross, 2010; Schulenkorf, 2009; Smith, 2010).</w:t>
      </w:r>
    </w:p>
    <w:p w14:paraId="3563C810" w14:textId="77777777" w:rsidR="00AE0598" w:rsidRDefault="00AE0598">
      <w:pPr>
        <w:spacing w:line="232" w:lineRule="auto"/>
        <w:jc w:val="both"/>
        <w:sectPr w:rsidR="00AE0598">
          <w:pgSz w:w="8850" w:h="13270"/>
          <w:pgMar w:top="720" w:right="1060" w:bottom="280" w:left="1080" w:header="720" w:footer="720" w:gutter="0"/>
          <w:cols w:space="720"/>
        </w:sectPr>
      </w:pPr>
    </w:p>
    <w:p w14:paraId="4FFEE135" w14:textId="77777777" w:rsidR="00AE0598" w:rsidRDefault="0069255A">
      <w:pPr>
        <w:spacing w:before="77"/>
        <w:ind w:left="110"/>
        <w:rPr>
          <w:rFonts w:ascii="Trebuchet MS"/>
          <w:sz w:val="46"/>
        </w:rPr>
      </w:pPr>
      <w:r>
        <w:rPr>
          <w:rFonts w:ascii="Trebuchet MS"/>
          <w:color w:val="231F20"/>
          <w:sz w:val="46"/>
        </w:rPr>
        <w:lastRenderedPageBreak/>
        <w:t>Part</w:t>
      </w:r>
      <w:r>
        <w:rPr>
          <w:rFonts w:ascii="Trebuchet MS"/>
          <w:color w:val="231F20"/>
          <w:spacing w:val="-9"/>
          <w:sz w:val="46"/>
        </w:rPr>
        <w:t xml:space="preserve"> </w:t>
      </w:r>
      <w:r>
        <w:rPr>
          <w:rFonts w:ascii="Trebuchet MS"/>
          <w:color w:val="231F20"/>
          <w:spacing w:val="-12"/>
          <w:w w:val="105"/>
          <w:sz w:val="46"/>
        </w:rPr>
        <w:t>4</w:t>
      </w:r>
    </w:p>
    <w:p w14:paraId="00128E77" w14:textId="77777777" w:rsidR="00AE0598" w:rsidRDefault="0069255A">
      <w:pPr>
        <w:spacing w:before="26" w:line="252" w:lineRule="auto"/>
        <w:ind w:left="110"/>
        <w:rPr>
          <w:rFonts w:ascii="Trebuchet MS"/>
          <w:sz w:val="46"/>
        </w:rPr>
      </w:pPr>
      <w:r>
        <w:rPr>
          <w:rFonts w:ascii="Trebuchet MS"/>
          <w:color w:val="231F20"/>
          <w:spacing w:val="-2"/>
          <w:w w:val="105"/>
          <w:sz w:val="46"/>
        </w:rPr>
        <w:t>Sport</w:t>
      </w:r>
      <w:r>
        <w:rPr>
          <w:rFonts w:ascii="Trebuchet MS"/>
          <w:color w:val="231F20"/>
          <w:spacing w:val="-35"/>
          <w:w w:val="105"/>
          <w:sz w:val="46"/>
        </w:rPr>
        <w:t xml:space="preserve"> </w:t>
      </w:r>
      <w:r>
        <w:rPr>
          <w:rFonts w:ascii="Trebuchet MS"/>
          <w:color w:val="231F20"/>
          <w:spacing w:val="-2"/>
          <w:w w:val="105"/>
          <w:sz w:val="46"/>
        </w:rPr>
        <w:t>Tourism</w:t>
      </w:r>
      <w:r>
        <w:rPr>
          <w:rFonts w:ascii="Trebuchet MS"/>
          <w:color w:val="231F20"/>
          <w:spacing w:val="-34"/>
          <w:w w:val="105"/>
          <w:sz w:val="46"/>
        </w:rPr>
        <w:t xml:space="preserve"> </w:t>
      </w:r>
      <w:r>
        <w:rPr>
          <w:rFonts w:ascii="Trebuchet MS"/>
          <w:color w:val="231F20"/>
          <w:spacing w:val="-2"/>
          <w:w w:val="105"/>
          <w:sz w:val="46"/>
        </w:rPr>
        <w:t xml:space="preserve">Development </w:t>
      </w:r>
      <w:r>
        <w:rPr>
          <w:rFonts w:ascii="Trebuchet MS"/>
          <w:color w:val="231F20"/>
          <w:w w:val="105"/>
          <w:sz w:val="46"/>
        </w:rPr>
        <w:t>and Time</w:t>
      </w:r>
    </w:p>
    <w:p w14:paraId="62F02765" w14:textId="77777777" w:rsidR="00AE0598" w:rsidRDefault="00AE0598">
      <w:pPr>
        <w:spacing w:line="252" w:lineRule="auto"/>
        <w:rPr>
          <w:rFonts w:ascii="Trebuchet MS"/>
          <w:sz w:val="46"/>
        </w:rPr>
        <w:sectPr w:rsidR="00AE0598">
          <w:pgSz w:w="8850" w:h="13270"/>
          <w:pgMar w:top="1020" w:right="1060" w:bottom="280" w:left="1080" w:header="720" w:footer="720" w:gutter="0"/>
          <w:cols w:space="720"/>
        </w:sectPr>
      </w:pPr>
    </w:p>
    <w:p w14:paraId="3224486D" w14:textId="77777777" w:rsidR="00AE0598" w:rsidRDefault="00AE0598">
      <w:pPr>
        <w:pStyle w:val="Corpodetexto"/>
        <w:spacing w:before="2"/>
        <w:rPr>
          <w:rFonts w:ascii="Trebuchet MS"/>
          <w:sz w:val="17"/>
        </w:rPr>
      </w:pPr>
    </w:p>
    <w:p w14:paraId="34FB52F1" w14:textId="77777777" w:rsidR="00AE0598" w:rsidRDefault="00AE0598">
      <w:pPr>
        <w:rPr>
          <w:rFonts w:ascii="Trebuchet MS"/>
          <w:sz w:val="17"/>
        </w:rPr>
        <w:sectPr w:rsidR="00AE0598">
          <w:pgSz w:w="8850" w:h="13270"/>
          <w:pgMar w:top="1240" w:right="1060" w:bottom="280" w:left="1080" w:header="720" w:footer="720" w:gutter="0"/>
          <w:cols w:space="720"/>
        </w:sectPr>
      </w:pPr>
    </w:p>
    <w:p w14:paraId="28A9BD1F" w14:textId="77777777" w:rsidR="00AE0598" w:rsidRDefault="0069255A">
      <w:pPr>
        <w:pStyle w:val="Ttulo1"/>
        <w:spacing w:line="252" w:lineRule="auto"/>
        <w:ind w:left="595" w:hanging="486"/>
      </w:pPr>
      <w:bookmarkStart w:id="15" w:name="8._Sport_and_the_Tourist_Experience"/>
      <w:bookmarkStart w:id="16" w:name="_TOC_250005"/>
      <w:bookmarkEnd w:id="15"/>
      <w:r>
        <w:rPr>
          <w:color w:val="231F20"/>
          <w:w w:val="105"/>
        </w:rPr>
        <w:lastRenderedPageBreak/>
        <w:t>8</w:t>
      </w:r>
      <w:r>
        <w:rPr>
          <w:color w:val="231F20"/>
          <w:spacing w:val="40"/>
          <w:w w:val="105"/>
        </w:rPr>
        <w:t xml:space="preserve"> </w:t>
      </w:r>
      <w:r>
        <w:rPr>
          <w:color w:val="231F20"/>
          <w:w w:val="105"/>
        </w:rPr>
        <w:t>Sport</w:t>
      </w:r>
      <w:r>
        <w:rPr>
          <w:color w:val="231F20"/>
          <w:spacing w:val="-36"/>
          <w:w w:val="105"/>
        </w:rPr>
        <w:t xml:space="preserve"> </w:t>
      </w:r>
      <w:r>
        <w:rPr>
          <w:color w:val="231F20"/>
          <w:w w:val="105"/>
        </w:rPr>
        <w:t>and</w:t>
      </w:r>
      <w:r>
        <w:rPr>
          <w:color w:val="231F20"/>
          <w:spacing w:val="-36"/>
          <w:w w:val="105"/>
        </w:rPr>
        <w:t xml:space="preserve"> </w:t>
      </w:r>
      <w:r>
        <w:rPr>
          <w:color w:val="231F20"/>
          <w:w w:val="105"/>
        </w:rPr>
        <w:t>the</w:t>
      </w:r>
      <w:r>
        <w:rPr>
          <w:color w:val="231F20"/>
          <w:spacing w:val="-36"/>
          <w:w w:val="105"/>
        </w:rPr>
        <w:t xml:space="preserve"> </w:t>
      </w:r>
      <w:r>
        <w:rPr>
          <w:color w:val="231F20"/>
          <w:w w:val="105"/>
        </w:rPr>
        <w:t xml:space="preserve">Tourist </w:t>
      </w:r>
      <w:bookmarkEnd w:id="16"/>
      <w:r>
        <w:rPr>
          <w:color w:val="231F20"/>
          <w:spacing w:val="-2"/>
          <w:w w:val="105"/>
        </w:rPr>
        <w:t>Experience</w:t>
      </w:r>
    </w:p>
    <w:p w14:paraId="12C91260" w14:textId="77777777" w:rsidR="00AE0598" w:rsidRDefault="00AE0598">
      <w:pPr>
        <w:pStyle w:val="Corpodetexto"/>
        <w:spacing w:before="5"/>
        <w:rPr>
          <w:rFonts w:ascii="Trebuchet MS"/>
          <w:sz w:val="77"/>
        </w:rPr>
      </w:pPr>
    </w:p>
    <w:p w14:paraId="46D2A49F" w14:textId="77777777" w:rsidR="00AE0598" w:rsidRDefault="0069255A">
      <w:pPr>
        <w:spacing w:line="206" w:lineRule="exact"/>
        <w:ind w:left="110" w:right="127"/>
        <w:jc w:val="right"/>
        <w:rPr>
          <w:i/>
          <w:sz w:val="18"/>
        </w:rPr>
      </w:pPr>
      <w:r>
        <w:rPr>
          <w:i/>
          <w:color w:val="231F20"/>
          <w:sz w:val="18"/>
        </w:rPr>
        <w:t>The</w:t>
      </w:r>
      <w:r>
        <w:rPr>
          <w:i/>
          <w:color w:val="231F20"/>
          <w:spacing w:val="20"/>
          <w:sz w:val="18"/>
        </w:rPr>
        <w:t xml:space="preserve"> </w:t>
      </w:r>
      <w:r>
        <w:rPr>
          <w:i/>
          <w:color w:val="231F20"/>
          <w:sz w:val="18"/>
        </w:rPr>
        <w:t>consumption</w:t>
      </w:r>
      <w:r>
        <w:rPr>
          <w:i/>
          <w:color w:val="231F20"/>
          <w:spacing w:val="20"/>
          <w:sz w:val="18"/>
        </w:rPr>
        <w:t xml:space="preserve"> </w:t>
      </w:r>
      <w:r>
        <w:rPr>
          <w:i/>
          <w:color w:val="231F20"/>
          <w:sz w:val="18"/>
        </w:rPr>
        <w:t>of</w:t>
      </w:r>
      <w:r>
        <w:rPr>
          <w:i/>
          <w:color w:val="231F20"/>
          <w:spacing w:val="20"/>
          <w:sz w:val="18"/>
        </w:rPr>
        <w:t xml:space="preserve"> </w:t>
      </w:r>
      <w:r>
        <w:rPr>
          <w:i/>
          <w:color w:val="231F20"/>
          <w:sz w:val="18"/>
        </w:rPr>
        <w:t>tourism</w:t>
      </w:r>
      <w:r>
        <w:rPr>
          <w:i/>
          <w:color w:val="231F20"/>
          <w:spacing w:val="21"/>
          <w:sz w:val="18"/>
        </w:rPr>
        <w:t xml:space="preserve"> </w:t>
      </w:r>
      <w:r>
        <w:rPr>
          <w:i/>
          <w:color w:val="231F20"/>
          <w:sz w:val="18"/>
        </w:rPr>
        <w:t>and</w:t>
      </w:r>
      <w:r>
        <w:rPr>
          <w:i/>
          <w:color w:val="231F20"/>
          <w:spacing w:val="20"/>
          <w:sz w:val="18"/>
        </w:rPr>
        <w:t xml:space="preserve"> </w:t>
      </w:r>
      <w:r>
        <w:rPr>
          <w:i/>
          <w:color w:val="231F20"/>
          <w:sz w:val="18"/>
        </w:rPr>
        <w:t>sport</w:t>
      </w:r>
      <w:r>
        <w:rPr>
          <w:i/>
          <w:color w:val="231F20"/>
          <w:spacing w:val="20"/>
          <w:sz w:val="18"/>
        </w:rPr>
        <w:t xml:space="preserve"> </w:t>
      </w:r>
      <w:r>
        <w:rPr>
          <w:i/>
          <w:color w:val="231F20"/>
          <w:sz w:val="18"/>
        </w:rPr>
        <w:t>can</w:t>
      </w:r>
      <w:r>
        <w:rPr>
          <w:i/>
          <w:color w:val="231F20"/>
          <w:spacing w:val="21"/>
          <w:sz w:val="18"/>
        </w:rPr>
        <w:t xml:space="preserve"> </w:t>
      </w:r>
      <w:r>
        <w:rPr>
          <w:i/>
          <w:color w:val="231F20"/>
          <w:sz w:val="18"/>
        </w:rPr>
        <w:t>embody</w:t>
      </w:r>
      <w:r>
        <w:rPr>
          <w:i/>
          <w:color w:val="231F20"/>
          <w:spacing w:val="20"/>
          <w:sz w:val="18"/>
        </w:rPr>
        <w:t xml:space="preserve"> </w:t>
      </w:r>
      <w:r>
        <w:rPr>
          <w:i/>
          <w:color w:val="231F20"/>
          <w:sz w:val="18"/>
        </w:rPr>
        <w:t>symbols,</w:t>
      </w:r>
      <w:r>
        <w:rPr>
          <w:i/>
          <w:color w:val="231F20"/>
          <w:spacing w:val="20"/>
          <w:sz w:val="18"/>
        </w:rPr>
        <w:t xml:space="preserve"> </w:t>
      </w:r>
      <w:r>
        <w:rPr>
          <w:i/>
          <w:color w:val="231F20"/>
          <w:sz w:val="18"/>
        </w:rPr>
        <w:t>convey</w:t>
      </w:r>
      <w:r>
        <w:rPr>
          <w:i/>
          <w:color w:val="231F20"/>
          <w:spacing w:val="21"/>
          <w:sz w:val="18"/>
        </w:rPr>
        <w:t xml:space="preserve"> </w:t>
      </w:r>
      <w:r>
        <w:rPr>
          <w:i/>
          <w:color w:val="231F20"/>
          <w:spacing w:val="-2"/>
          <w:sz w:val="18"/>
        </w:rPr>
        <w:t>meanings</w:t>
      </w:r>
    </w:p>
    <w:p w14:paraId="1A024700" w14:textId="77777777" w:rsidR="00AE0598" w:rsidRDefault="0069255A">
      <w:pPr>
        <w:spacing w:line="206" w:lineRule="exact"/>
        <w:ind w:left="110" w:right="128"/>
        <w:jc w:val="right"/>
        <w:rPr>
          <w:i/>
          <w:sz w:val="18"/>
        </w:rPr>
      </w:pPr>
      <w:r>
        <w:rPr>
          <w:i/>
          <w:color w:val="231F20"/>
          <w:sz w:val="18"/>
        </w:rPr>
        <w:t>and</w:t>
      </w:r>
      <w:r>
        <w:rPr>
          <w:i/>
          <w:color w:val="231F20"/>
          <w:spacing w:val="11"/>
          <w:sz w:val="18"/>
        </w:rPr>
        <w:t xml:space="preserve"> </w:t>
      </w:r>
      <w:r>
        <w:rPr>
          <w:i/>
          <w:color w:val="231F20"/>
          <w:sz w:val="18"/>
        </w:rPr>
        <w:t>provide</w:t>
      </w:r>
      <w:r>
        <w:rPr>
          <w:i/>
          <w:color w:val="231F20"/>
          <w:spacing w:val="11"/>
          <w:sz w:val="18"/>
        </w:rPr>
        <w:t xml:space="preserve"> </w:t>
      </w:r>
      <w:r>
        <w:rPr>
          <w:i/>
          <w:color w:val="231F20"/>
          <w:sz w:val="18"/>
        </w:rPr>
        <w:t>a</w:t>
      </w:r>
      <w:r>
        <w:rPr>
          <w:i/>
          <w:color w:val="231F20"/>
          <w:spacing w:val="11"/>
          <w:sz w:val="18"/>
        </w:rPr>
        <w:t xml:space="preserve"> </w:t>
      </w:r>
      <w:r>
        <w:rPr>
          <w:i/>
          <w:color w:val="231F20"/>
          <w:sz w:val="18"/>
        </w:rPr>
        <w:t>frame</w:t>
      </w:r>
      <w:r>
        <w:rPr>
          <w:i/>
          <w:color w:val="231F20"/>
          <w:spacing w:val="11"/>
          <w:sz w:val="18"/>
        </w:rPr>
        <w:t xml:space="preserve"> </w:t>
      </w:r>
      <w:r>
        <w:rPr>
          <w:i/>
          <w:color w:val="231F20"/>
          <w:sz w:val="18"/>
        </w:rPr>
        <w:t>for</w:t>
      </w:r>
      <w:r>
        <w:rPr>
          <w:i/>
          <w:color w:val="231F20"/>
          <w:spacing w:val="11"/>
          <w:sz w:val="18"/>
        </w:rPr>
        <w:t xml:space="preserve"> </w:t>
      </w:r>
      <w:r>
        <w:rPr>
          <w:i/>
          <w:color w:val="231F20"/>
          <w:sz w:val="18"/>
        </w:rPr>
        <w:t>identity</w:t>
      </w:r>
      <w:r>
        <w:rPr>
          <w:i/>
          <w:color w:val="231F20"/>
          <w:spacing w:val="11"/>
          <w:sz w:val="18"/>
        </w:rPr>
        <w:t xml:space="preserve"> </w:t>
      </w:r>
      <w:r>
        <w:rPr>
          <w:i/>
          <w:color w:val="231F20"/>
          <w:spacing w:val="-2"/>
          <w:sz w:val="18"/>
        </w:rPr>
        <w:t>making.</w:t>
      </w:r>
    </w:p>
    <w:p w14:paraId="646A794E" w14:textId="77777777" w:rsidR="00AE0598" w:rsidRDefault="0069255A">
      <w:pPr>
        <w:spacing w:before="29"/>
        <w:ind w:left="110" w:right="128"/>
        <w:jc w:val="right"/>
        <w:rPr>
          <w:sz w:val="18"/>
        </w:rPr>
      </w:pPr>
      <w:r>
        <w:rPr>
          <w:color w:val="231F20"/>
          <w:w w:val="95"/>
          <w:sz w:val="18"/>
        </w:rPr>
        <w:t>Moularde</w:t>
      </w:r>
      <w:r>
        <w:rPr>
          <w:color w:val="231F20"/>
          <w:spacing w:val="12"/>
          <w:sz w:val="18"/>
        </w:rPr>
        <w:t xml:space="preserve"> </w:t>
      </w:r>
      <w:r>
        <w:rPr>
          <w:color w:val="231F20"/>
          <w:w w:val="95"/>
          <w:sz w:val="18"/>
        </w:rPr>
        <w:t>and</w:t>
      </w:r>
      <w:r>
        <w:rPr>
          <w:color w:val="231F20"/>
          <w:spacing w:val="13"/>
          <w:sz w:val="18"/>
        </w:rPr>
        <w:t xml:space="preserve"> </w:t>
      </w:r>
      <w:r>
        <w:rPr>
          <w:color w:val="231F20"/>
          <w:w w:val="95"/>
          <w:sz w:val="18"/>
        </w:rPr>
        <w:t>Weaver,</w:t>
      </w:r>
      <w:r>
        <w:rPr>
          <w:color w:val="231F20"/>
          <w:spacing w:val="13"/>
          <w:sz w:val="18"/>
        </w:rPr>
        <w:t xml:space="preserve"> </w:t>
      </w:r>
      <w:r>
        <w:rPr>
          <w:color w:val="231F20"/>
          <w:w w:val="95"/>
          <w:sz w:val="18"/>
        </w:rPr>
        <w:t>2016:</w:t>
      </w:r>
      <w:r>
        <w:rPr>
          <w:color w:val="231F20"/>
          <w:spacing w:val="12"/>
          <w:sz w:val="18"/>
        </w:rPr>
        <w:t xml:space="preserve"> </w:t>
      </w:r>
      <w:r>
        <w:rPr>
          <w:color w:val="231F20"/>
          <w:spacing w:val="-5"/>
          <w:w w:val="95"/>
          <w:sz w:val="18"/>
        </w:rPr>
        <w:t>285</w:t>
      </w:r>
    </w:p>
    <w:p w14:paraId="63BC88EA" w14:textId="77777777" w:rsidR="00AE0598" w:rsidRDefault="00AE0598">
      <w:pPr>
        <w:pStyle w:val="Corpodetexto"/>
        <w:spacing w:before="6"/>
      </w:pPr>
    </w:p>
    <w:p w14:paraId="52DD6235" w14:textId="77777777" w:rsidR="00AE0598" w:rsidRDefault="0069255A">
      <w:pPr>
        <w:ind w:left="110"/>
        <w:rPr>
          <w:rFonts w:ascii="Trebuchet MS"/>
          <w:b/>
          <w:sz w:val="20"/>
        </w:rPr>
      </w:pPr>
      <w:r>
        <w:rPr>
          <w:rFonts w:ascii="Trebuchet MS"/>
          <w:b/>
          <w:color w:val="231F20"/>
          <w:spacing w:val="-2"/>
          <w:sz w:val="20"/>
        </w:rPr>
        <w:t>Introduction</w:t>
      </w:r>
    </w:p>
    <w:p w14:paraId="120D65FF" w14:textId="77777777" w:rsidR="00AE0598" w:rsidRDefault="0069255A">
      <w:pPr>
        <w:pStyle w:val="Corpodetexto"/>
        <w:spacing w:before="122" w:line="232" w:lineRule="auto"/>
        <w:ind w:left="110" w:right="126" w:firstLine="320"/>
        <w:jc w:val="both"/>
      </w:pPr>
      <w:r>
        <w:rPr>
          <w:color w:val="231F20"/>
        </w:rPr>
        <w:t>This chapter considers aspects of sport tourism in the short term and, in doing so, focuses on the tourist experience. In terms of sport tourism development and time, the tourist experience is the first and most</w:t>
      </w:r>
      <w:r>
        <w:rPr>
          <w:color w:val="231F20"/>
          <w:spacing w:val="-12"/>
        </w:rPr>
        <w:t xml:space="preserve"> </w:t>
      </w:r>
      <w:r>
        <w:rPr>
          <w:color w:val="231F20"/>
        </w:rPr>
        <w:t>immediate</w:t>
      </w:r>
      <w:r>
        <w:rPr>
          <w:color w:val="231F20"/>
          <w:spacing w:val="-12"/>
        </w:rPr>
        <w:t xml:space="preserve"> </w:t>
      </w:r>
      <w:r>
        <w:rPr>
          <w:color w:val="231F20"/>
        </w:rPr>
        <w:t>temporal</w:t>
      </w:r>
      <w:r>
        <w:rPr>
          <w:color w:val="231F20"/>
          <w:spacing w:val="-11"/>
        </w:rPr>
        <w:t xml:space="preserve"> </w:t>
      </w:r>
      <w:r>
        <w:rPr>
          <w:color w:val="231F20"/>
        </w:rPr>
        <w:t>element</w:t>
      </w:r>
      <w:r>
        <w:rPr>
          <w:color w:val="231F20"/>
          <w:spacing w:val="-12"/>
        </w:rPr>
        <w:t xml:space="preserve"> </w:t>
      </w:r>
      <w:r>
        <w:rPr>
          <w:color w:val="231F20"/>
        </w:rPr>
        <w:t>that</w:t>
      </w:r>
      <w:r>
        <w:rPr>
          <w:color w:val="231F20"/>
          <w:spacing w:val="-11"/>
        </w:rPr>
        <w:t xml:space="preserve"> </w:t>
      </w:r>
      <w:r>
        <w:rPr>
          <w:color w:val="231F20"/>
        </w:rPr>
        <w:t>we</w:t>
      </w:r>
      <w:r>
        <w:rPr>
          <w:color w:val="231F20"/>
          <w:spacing w:val="-12"/>
        </w:rPr>
        <w:t xml:space="preserve"> </w:t>
      </w:r>
      <w:r>
        <w:rPr>
          <w:color w:val="231F20"/>
        </w:rPr>
        <w:t>consider.</w:t>
      </w:r>
      <w:r>
        <w:rPr>
          <w:color w:val="231F20"/>
          <w:spacing w:val="-11"/>
        </w:rPr>
        <w:t xml:space="preserve"> </w:t>
      </w:r>
      <w:r>
        <w:rPr>
          <w:color w:val="231F20"/>
        </w:rPr>
        <w:t>Later,</w:t>
      </w:r>
      <w:r>
        <w:rPr>
          <w:color w:val="231F20"/>
          <w:spacing w:val="-12"/>
        </w:rPr>
        <w:t xml:space="preserve"> </w:t>
      </w:r>
      <w:r>
        <w:rPr>
          <w:color w:val="231F20"/>
        </w:rPr>
        <w:t>we</w:t>
      </w:r>
      <w:r>
        <w:rPr>
          <w:color w:val="231F20"/>
          <w:spacing w:val="-12"/>
        </w:rPr>
        <w:t xml:space="preserve"> </w:t>
      </w:r>
      <w:r>
        <w:rPr>
          <w:color w:val="231F20"/>
        </w:rPr>
        <w:t>extend</w:t>
      </w:r>
      <w:r>
        <w:rPr>
          <w:color w:val="231F20"/>
          <w:spacing w:val="-11"/>
        </w:rPr>
        <w:t xml:space="preserve"> </w:t>
      </w:r>
      <w:r>
        <w:rPr>
          <w:color w:val="231F20"/>
        </w:rPr>
        <w:t xml:space="preserve">the </w:t>
      </w:r>
      <w:r>
        <w:rPr>
          <w:color w:val="231F20"/>
          <w:w w:val="95"/>
        </w:rPr>
        <w:t xml:space="preserve">temporal dimension to consider the annual/seasonal (Chapter 9) and long- </w:t>
      </w:r>
      <w:r>
        <w:rPr>
          <w:color w:val="231F20"/>
        </w:rPr>
        <w:t>term</w:t>
      </w:r>
      <w:r>
        <w:rPr>
          <w:color w:val="231F20"/>
          <w:spacing w:val="-8"/>
        </w:rPr>
        <w:t xml:space="preserve"> </w:t>
      </w:r>
      <w:r>
        <w:rPr>
          <w:color w:val="231F20"/>
        </w:rPr>
        <w:t>evolutionary</w:t>
      </w:r>
      <w:r>
        <w:rPr>
          <w:color w:val="231F20"/>
          <w:spacing w:val="-8"/>
        </w:rPr>
        <w:t xml:space="preserve"> </w:t>
      </w:r>
      <w:r>
        <w:rPr>
          <w:color w:val="231F20"/>
        </w:rPr>
        <w:t>(Chapter</w:t>
      </w:r>
      <w:r>
        <w:rPr>
          <w:color w:val="231F20"/>
          <w:spacing w:val="-8"/>
        </w:rPr>
        <w:t xml:space="preserve"> </w:t>
      </w:r>
      <w:r>
        <w:rPr>
          <w:color w:val="231F20"/>
        </w:rPr>
        <w:t>10)</w:t>
      </w:r>
      <w:r>
        <w:rPr>
          <w:color w:val="231F20"/>
          <w:spacing w:val="-8"/>
        </w:rPr>
        <w:t xml:space="preserve"> </w:t>
      </w:r>
      <w:r>
        <w:rPr>
          <w:color w:val="231F20"/>
        </w:rPr>
        <w:t>dynamics</w:t>
      </w:r>
      <w:r>
        <w:rPr>
          <w:color w:val="231F20"/>
          <w:spacing w:val="-8"/>
        </w:rPr>
        <w:t xml:space="preserve"> </w:t>
      </w:r>
      <w:r>
        <w:rPr>
          <w:color w:val="231F20"/>
        </w:rPr>
        <w:t>of</w:t>
      </w:r>
      <w:r>
        <w:rPr>
          <w:color w:val="231F20"/>
          <w:spacing w:val="-8"/>
        </w:rPr>
        <w:t xml:space="preserve"> </w:t>
      </w:r>
      <w:r>
        <w:rPr>
          <w:color w:val="231F20"/>
        </w:rPr>
        <w:t>sport</w:t>
      </w:r>
      <w:r>
        <w:rPr>
          <w:color w:val="231F20"/>
          <w:spacing w:val="-8"/>
        </w:rPr>
        <w:t xml:space="preserve"> </w:t>
      </w:r>
      <w:r>
        <w:rPr>
          <w:color w:val="231F20"/>
        </w:rPr>
        <w:t>tourism</w:t>
      </w:r>
      <w:r>
        <w:rPr>
          <w:color w:val="231F20"/>
          <w:spacing w:val="-8"/>
        </w:rPr>
        <w:t xml:space="preserve"> </w:t>
      </w:r>
      <w:r>
        <w:rPr>
          <w:color w:val="231F20"/>
        </w:rPr>
        <w:t>development. In this chapter, we initially consider the temporal phases of the sport tourist</w:t>
      </w:r>
      <w:r>
        <w:rPr>
          <w:color w:val="231F20"/>
          <w:spacing w:val="-3"/>
        </w:rPr>
        <w:t xml:space="preserve"> </w:t>
      </w:r>
      <w:r>
        <w:rPr>
          <w:color w:val="231F20"/>
        </w:rPr>
        <w:t>ex</w:t>
      </w:r>
      <w:r>
        <w:rPr>
          <w:color w:val="231F20"/>
        </w:rPr>
        <w:t>perience,</w:t>
      </w:r>
      <w:r>
        <w:rPr>
          <w:color w:val="231F20"/>
          <w:spacing w:val="-3"/>
        </w:rPr>
        <w:t xml:space="preserve"> </w:t>
      </w:r>
      <w:r>
        <w:rPr>
          <w:color w:val="231F20"/>
        </w:rPr>
        <w:t>before</w:t>
      </w:r>
      <w:r>
        <w:rPr>
          <w:color w:val="231F20"/>
          <w:spacing w:val="-3"/>
        </w:rPr>
        <w:t xml:space="preserve"> </w:t>
      </w:r>
      <w:r>
        <w:rPr>
          <w:color w:val="231F20"/>
        </w:rPr>
        <w:t>addressing</w:t>
      </w:r>
      <w:r>
        <w:rPr>
          <w:color w:val="231F20"/>
          <w:spacing w:val="-3"/>
        </w:rPr>
        <w:t xml:space="preserve"> </w:t>
      </w:r>
      <w:r>
        <w:rPr>
          <w:color w:val="231F20"/>
        </w:rPr>
        <w:t>socio-structural</w:t>
      </w:r>
      <w:r>
        <w:rPr>
          <w:color w:val="231F20"/>
          <w:spacing w:val="-3"/>
        </w:rPr>
        <w:t xml:space="preserve"> </w:t>
      </w:r>
      <w:r>
        <w:rPr>
          <w:color w:val="231F20"/>
        </w:rPr>
        <w:t>factors</w:t>
      </w:r>
      <w:r>
        <w:rPr>
          <w:color w:val="231F20"/>
          <w:spacing w:val="-3"/>
        </w:rPr>
        <w:t xml:space="preserve"> </w:t>
      </w:r>
      <w:r>
        <w:rPr>
          <w:color w:val="231F20"/>
        </w:rPr>
        <w:t>that</w:t>
      </w:r>
      <w:r>
        <w:rPr>
          <w:color w:val="231F20"/>
          <w:spacing w:val="-3"/>
        </w:rPr>
        <w:t xml:space="preserve"> </w:t>
      </w:r>
      <w:r>
        <w:rPr>
          <w:color w:val="231F20"/>
        </w:rPr>
        <w:t xml:space="preserve">shape </w:t>
      </w:r>
      <w:r>
        <w:rPr>
          <w:color w:val="231F20"/>
          <w:w w:val="95"/>
        </w:rPr>
        <w:t xml:space="preserve">and influence sport tourism experiences. The structure of the discussions </w:t>
      </w:r>
      <w:r>
        <w:rPr>
          <w:color w:val="231F20"/>
        </w:rPr>
        <w:t>that follow is provided by the fourfold classification of sport tourism presented in Chapter 2, which includes spectat</w:t>
      </w:r>
      <w:r>
        <w:rPr>
          <w:color w:val="231F20"/>
        </w:rPr>
        <w:t>or events, participation events, active engagement in recreational sports and sports heritage. Informed</w:t>
      </w:r>
      <w:r>
        <w:rPr>
          <w:color w:val="231F20"/>
          <w:spacing w:val="-1"/>
        </w:rPr>
        <w:t xml:space="preserve"> </w:t>
      </w:r>
      <w:r>
        <w:rPr>
          <w:color w:val="231F20"/>
        </w:rPr>
        <w:t>by</w:t>
      </w:r>
      <w:r>
        <w:rPr>
          <w:color w:val="231F20"/>
          <w:spacing w:val="-1"/>
        </w:rPr>
        <w:t xml:space="preserve"> </w:t>
      </w:r>
      <w:r>
        <w:rPr>
          <w:color w:val="231F20"/>
        </w:rPr>
        <w:t>Morgan’s</w:t>
      </w:r>
      <w:r>
        <w:rPr>
          <w:color w:val="231F20"/>
          <w:spacing w:val="-1"/>
        </w:rPr>
        <w:t xml:space="preserve"> </w:t>
      </w:r>
      <w:r>
        <w:rPr>
          <w:color w:val="231F20"/>
        </w:rPr>
        <w:t>(2007)</w:t>
      </w:r>
      <w:r>
        <w:rPr>
          <w:color w:val="231F20"/>
          <w:spacing w:val="-1"/>
        </w:rPr>
        <w:t xml:space="preserve"> </w:t>
      </w:r>
      <w:r>
        <w:rPr>
          <w:color w:val="231F20"/>
        </w:rPr>
        <w:t>experience</w:t>
      </w:r>
      <w:r>
        <w:rPr>
          <w:color w:val="231F20"/>
          <w:spacing w:val="-1"/>
        </w:rPr>
        <w:t xml:space="preserve"> </w:t>
      </w:r>
      <w:r>
        <w:rPr>
          <w:color w:val="231F20"/>
        </w:rPr>
        <w:t>space</w:t>
      </w:r>
      <w:r>
        <w:rPr>
          <w:color w:val="231F20"/>
          <w:spacing w:val="-1"/>
        </w:rPr>
        <w:t xml:space="preserve"> </w:t>
      </w:r>
      <w:r>
        <w:rPr>
          <w:color w:val="231F20"/>
        </w:rPr>
        <w:t>model,</w:t>
      </w:r>
      <w:r>
        <w:rPr>
          <w:color w:val="231F20"/>
          <w:spacing w:val="-1"/>
        </w:rPr>
        <w:t xml:space="preserve"> </w:t>
      </w:r>
      <w:r>
        <w:rPr>
          <w:color w:val="231F20"/>
        </w:rPr>
        <w:t>we</w:t>
      </w:r>
      <w:r>
        <w:rPr>
          <w:color w:val="231F20"/>
          <w:spacing w:val="-1"/>
        </w:rPr>
        <w:t xml:space="preserve"> </w:t>
      </w:r>
      <w:r>
        <w:rPr>
          <w:color w:val="231F20"/>
        </w:rPr>
        <w:t>first</w:t>
      </w:r>
      <w:r>
        <w:rPr>
          <w:color w:val="231F20"/>
          <w:spacing w:val="-1"/>
        </w:rPr>
        <w:t xml:space="preserve"> </w:t>
      </w:r>
      <w:r>
        <w:rPr>
          <w:color w:val="231F20"/>
        </w:rPr>
        <w:t>consider the co-creation of sport spectator and participant experiences by way</w:t>
      </w:r>
      <w:r>
        <w:rPr>
          <w:color w:val="231F20"/>
          <w:spacing w:val="80"/>
        </w:rPr>
        <w:t xml:space="preserve"> </w:t>
      </w:r>
      <w:r>
        <w:rPr>
          <w:color w:val="231F20"/>
        </w:rPr>
        <w:t>of unique socio-cultu</w:t>
      </w:r>
      <w:r>
        <w:rPr>
          <w:color w:val="231F20"/>
        </w:rPr>
        <w:t>ral interactions that unfold through the interplay</w:t>
      </w:r>
      <w:r>
        <w:rPr>
          <w:color w:val="231F20"/>
          <w:spacing w:val="80"/>
        </w:rPr>
        <w:t xml:space="preserve"> </w:t>
      </w:r>
      <w:r>
        <w:rPr>
          <w:color w:val="231F20"/>
        </w:rPr>
        <w:t>of activities and people in a sport setting that is place-situated. We then turn</w:t>
      </w:r>
      <w:r>
        <w:rPr>
          <w:color w:val="231F20"/>
          <w:spacing w:val="-1"/>
        </w:rPr>
        <w:t xml:space="preserve"> </w:t>
      </w:r>
      <w:r>
        <w:rPr>
          <w:color w:val="231F20"/>
        </w:rPr>
        <w:t>our</w:t>
      </w:r>
      <w:r>
        <w:rPr>
          <w:color w:val="231F20"/>
          <w:spacing w:val="-1"/>
        </w:rPr>
        <w:t xml:space="preserve"> </w:t>
      </w:r>
      <w:r>
        <w:rPr>
          <w:color w:val="231F20"/>
        </w:rPr>
        <w:t>attention</w:t>
      </w:r>
      <w:r>
        <w:rPr>
          <w:color w:val="231F20"/>
          <w:spacing w:val="-1"/>
        </w:rPr>
        <w:t xml:space="preserve"> </w:t>
      </w:r>
      <w:r>
        <w:rPr>
          <w:color w:val="231F20"/>
        </w:rPr>
        <w:t>to</w:t>
      </w:r>
      <w:r>
        <w:rPr>
          <w:color w:val="231F20"/>
          <w:spacing w:val="-1"/>
        </w:rPr>
        <w:t xml:space="preserve"> </w:t>
      </w:r>
      <w:r>
        <w:rPr>
          <w:color w:val="231F20"/>
        </w:rPr>
        <w:t>tourist</w:t>
      </w:r>
      <w:r>
        <w:rPr>
          <w:color w:val="231F20"/>
          <w:spacing w:val="-1"/>
        </w:rPr>
        <w:t xml:space="preserve"> </w:t>
      </w:r>
      <w:r>
        <w:rPr>
          <w:color w:val="231F20"/>
        </w:rPr>
        <w:t>experiences</w:t>
      </w:r>
      <w:r>
        <w:rPr>
          <w:color w:val="231F20"/>
          <w:spacing w:val="-1"/>
        </w:rPr>
        <w:t xml:space="preserve"> </w:t>
      </w:r>
      <w:r>
        <w:rPr>
          <w:color w:val="231F20"/>
        </w:rPr>
        <w:t>of</w:t>
      </w:r>
      <w:r>
        <w:rPr>
          <w:color w:val="231F20"/>
          <w:spacing w:val="-1"/>
        </w:rPr>
        <w:t xml:space="preserve"> </w:t>
      </w:r>
      <w:r>
        <w:rPr>
          <w:color w:val="231F20"/>
        </w:rPr>
        <w:t>active</w:t>
      </w:r>
      <w:r>
        <w:rPr>
          <w:color w:val="231F20"/>
          <w:spacing w:val="-1"/>
        </w:rPr>
        <w:t xml:space="preserve"> </w:t>
      </w:r>
      <w:r>
        <w:rPr>
          <w:color w:val="231F20"/>
        </w:rPr>
        <w:t>engagement</w:t>
      </w:r>
      <w:r>
        <w:rPr>
          <w:color w:val="231F20"/>
          <w:spacing w:val="-1"/>
        </w:rPr>
        <w:t xml:space="preserve"> </w:t>
      </w:r>
      <w:r>
        <w:rPr>
          <w:color w:val="231F20"/>
        </w:rPr>
        <w:t>in</w:t>
      </w:r>
      <w:r>
        <w:rPr>
          <w:color w:val="231F20"/>
          <w:spacing w:val="-1"/>
        </w:rPr>
        <w:t xml:space="preserve"> </w:t>
      </w:r>
      <w:r>
        <w:rPr>
          <w:color w:val="231F20"/>
        </w:rPr>
        <w:t xml:space="preserve">sports, </w:t>
      </w:r>
      <w:r>
        <w:rPr>
          <w:color w:val="231F20"/>
          <w:w w:val="95"/>
        </w:rPr>
        <w:t>and heritage sports, respectively. We conclude this chapter with thoughts</w:t>
      </w:r>
      <w:r>
        <w:rPr>
          <w:color w:val="231F20"/>
        </w:rPr>
        <w:t xml:space="preserve"> on how visitor experiences are shaped and influenced by the sport and tourism systems at a destination.</w:t>
      </w:r>
    </w:p>
    <w:p w14:paraId="270E99D7" w14:textId="77777777" w:rsidR="00AE0598" w:rsidRDefault="00AE0598">
      <w:pPr>
        <w:pStyle w:val="Corpodetexto"/>
        <w:rPr>
          <w:sz w:val="23"/>
        </w:rPr>
      </w:pPr>
    </w:p>
    <w:p w14:paraId="76309B67" w14:textId="77777777" w:rsidR="00AE0598" w:rsidRDefault="0069255A">
      <w:pPr>
        <w:ind w:left="110"/>
        <w:rPr>
          <w:rFonts w:ascii="Trebuchet MS"/>
          <w:b/>
          <w:sz w:val="20"/>
        </w:rPr>
      </w:pPr>
      <w:r>
        <w:rPr>
          <w:rFonts w:ascii="Trebuchet MS"/>
          <w:b/>
          <w:color w:val="231F20"/>
          <w:sz w:val="20"/>
        </w:rPr>
        <w:t>Temporal</w:t>
      </w:r>
      <w:r>
        <w:rPr>
          <w:rFonts w:ascii="Trebuchet MS"/>
          <w:b/>
          <w:color w:val="231F20"/>
          <w:spacing w:val="-6"/>
          <w:sz w:val="20"/>
        </w:rPr>
        <w:t xml:space="preserve"> </w:t>
      </w:r>
      <w:r>
        <w:rPr>
          <w:rFonts w:ascii="Trebuchet MS"/>
          <w:b/>
          <w:color w:val="231F20"/>
          <w:sz w:val="20"/>
        </w:rPr>
        <w:t>Phases</w:t>
      </w:r>
      <w:r>
        <w:rPr>
          <w:rFonts w:ascii="Trebuchet MS"/>
          <w:b/>
          <w:color w:val="231F20"/>
          <w:spacing w:val="-5"/>
          <w:sz w:val="20"/>
        </w:rPr>
        <w:t xml:space="preserve"> </w:t>
      </w:r>
      <w:r>
        <w:rPr>
          <w:rFonts w:ascii="Trebuchet MS"/>
          <w:b/>
          <w:color w:val="231F20"/>
          <w:sz w:val="20"/>
        </w:rPr>
        <w:t>of</w:t>
      </w:r>
      <w:r>
        <w:rPr>
          <w:rFonts w:ascii="Trebuchet MS"/>
          <w:b/>
          <w:color w:val="231F20"/>
          <w:spacing w:val="-6"/>
          <w:sz w:val="20"/>
        </w:rPr>
        <w:t xml:space="preserve"> </w:t>
      </w:r>
      <w:r>
        <w:rPr>
          <w:rFonts w:ascii="Trebuchet MS"/>
          <w:b/>
          <w:color w:val="231F20"/>
          <w:sz w:val="20"/>
        </w:rPr>
        <w:t>the</w:t>
      </w:r>
      <w:r>
        <w:rPr>
          <w:rFonts w:ascii="Trebuchet MS"/>
          <w:b/>
          <w:color w:val="231F20"/>
          <w:spacing w:val="-5"/>
          <w:sz w:val="20"/>
        </w:rPr>
        <w:t xml:space="preserve"> </w:t>
      </w:r>
      <w:r>
        <w:rPr>
          <w:rFonts w:ascii="Trebuchet MS"/>
          <w:b/>
          <w:color w:val="231F20"/>
          <w:sz w:val="20"/>
        </w:rPr>
        <w:t>Sport</w:t>
      </w:r>
      <w:r>
        <w:rPr>
          <w:rFonts w:ascii="Trebuchet MS"/>
          <w:b/>
          <w:color w:val="231F20"/>
          <w:spacing w:val="-5"/>
          <w:sz w:val="20"/>
        </w:rPr>
        <w:t xml:space="preserve"> </w:t>
      </w:r>
      <w:r>
        <w:rPr>
          <w:rFonts w:ascii="Trebuchet MS"/>
          <w:b/>
          <w:color w:val="231F20"/>
          <w:sz w:val="20"/>
        </w:rPr>
        <w:t>Tourist</w:t>
      </w:r>
      <w:r>
        <w:rPr>
          <w:rFonts w:ascii="Trebuchet MS"/>
          <w:b/>
          <w:color w:val="231F20"/>
          <w:spacing w:val="-6"/>
          <w:sz w:val="20"/>
        </w:rPr>
        <w:t xml:space="preserve"> </w:t>
      </w:r>
      <w:r>
        <w:rPr>
          <w:rFonts w:ascii="Trebuchet MS"/>
          <w:b/>
          <w:color w:val="231F20"/>
          <w:spacing w:val="-2"/>
          <w:sz w:val="20"/>
        </w:rPr>
        <w:t>Experience</w:t>
      </w:r>
    </w:p>
    <w:p w14:paraId="41C6B781" w14:textId="77777777" w:rsidR="00AE0598" w:rsidRDefault="0069255A">
      <w:pPr>
        <w:pStyle w:val="Corpodetexto"/>
        <w:spacing w:before="122" w:line="232" w:lineRule="auto"/>
        <w:ind w:left="110" w:right="126" w:firstLine="320"/>
        <w:jc w:val="both"/>
      </w:pPr>
      <w:r>
        <w:rPr>
          <w:color w:val="231F20"/>
        </w:rPr>
        <w:t>While here we consider the im</w:t>
      </w:r>
      <w:r>
        <w:rPr>
          <w:color w:val="231F20"/>
        </w:rPr>
        <w:t xml:space="preserve">mediate tourist experience, it is </w:t>
      </w:r>
      <w:r>
        <w:rPr>
          <w:color w:val="231F20"/>
          <w:w w:val="95"/>
        </w:rPr>
        <w:t>noteworthy given</w:t>
      </w:r>
      <w:r>
        <w:rPr>
          <w:color w:val="231F20"/>
          <w:spacing w:val="-1"/>
          <w:w w:val="95"/>
        </w:rPr>
        <w:t xml:space="preserve"> </w:t>
      </w:r>
      <w:r>
        <w:rPr>
          <w:color w:val="231F20"/>
          <w:w w:val="95"/>
        </w:rPr>
        <w:t>the</w:t>
      </w:r>
      <w:r>
        <w:rPr>
          <w:color w:val="231F20"/>
          <w:spacing w:val="-1"/>
          <w:w w:val="95"/>
        </w:rPr>
        <w:t xml:space="preserve"> </w:t>
      </w:r>
      <w:r>
        <w:rPr>
          <w:color w:val="231F20"/>
          <w:w w:val="95"/>
        </w:rPr>
        <w:t>temporal focus</w:t>
      </w:r>
      <w:r>
        <w:rPr>
          <w:color w:val="231F20"/>
          <w:spacing w:val="-1"/>
          <w:w w:val="95"/>
        </w:rPr>
        <w:t xml:space="preserve"> </w:t>
      </w:r>
      <w:r>
        <w:rPr>
          <w:color w:val="231F20"/>
          <w:w w:val="95"/>
        </w:rPr>
        <w:t>of Part 4:</w:t>
      </w:r>
      <w:r>
        <w:rPr>
          <w:color w:val="231F20"/>
          <w:spacing w:val="-1"/>
          <w:w w:val="95"/>
        </w:rPr>
        <w:t xml:space="preserve"> </w:t>
      </w:r>
      <w:r>
        <w:rPr>
          <w:color w:val="231F20"/>
          <w:w w:val="95"/>
        </w:rPr>
        <w:t>Sport</w:t>
      </w:r>
      <w:r>
        <w:rPr>
          <w:color w:val="231F20"/>
          <w:spacing w:val="-1"/>
          <w:w w:val="95"/>
        </w:rPr>
        <w:t xml:space="preserve"> </w:t>
      </w:r>
      <w:r>
        <w:rPr>
          <w:color w:val="231F20"/>
          <w:w w:val="95"/>
        </w:rPr>
        <w:t>Tourism</w:t>
      </w:r>
      <w:r>
        <w:rPr>
          <w:color w:val="231F20"/>
          <w:spacing w:val="-1"/>
          <w:w w:val="95"/>
        </w:rPr>
        <w:t xml:space="preserve"> </w:t>
      </w:r>
      <w:r>
        <w:rPr>
          <w:color w:val="231F20"/>
          <w:w w:val="95"/>
        </w:rPr>
        <w:t xml:space="preserve">Development </w:t>
      </w:r>
      <w:r>
        <w:rPr>
          <w:color w:val="231F20"/>
        </w:rPr>
        <w:t>and</w:t>
      </w:r>
      <w:r>
        <w:rPr>
          <w:color w:val="231F20"/>
          <w:spacing w:val="-5"/>
        </w:rPr>
        <w:t xml:space="preserve"> </w:t>
      </w:r>
      <w:r>
        <w:rPr>
          <w:color w:val="231F20"/>
        </w:rPr>
        <w:t>Time,</w:t>
      </w:r>
      <w:r>
        <w:rPr>
          <w:color w:val="231F20"/>
          <w:spacing w:val="-5"/>
        </w:rPr>
        <w:t xml:space="preserve"> </w:t>
      </w:r>
      <w:r>
        <w:rPr>
          <w:color w:val="231F20"/>
        </w:rPr>
        <w:t>that</w:t>
      </w:r>
      <w:r>
        <w:rPr>
          <w:color w:val="231F20"/>
          <w:spacing w:val="-5"/>
        </w:rPr>
        <w:t xml:space="preserve"> </w:t>
      </w:r>
      <w:r>
        <w:rPr>
          <w:color w:val="231F20"/>
        </w:rPr>
        <w:t>the</w:t>
      </w:r>
      <w:r>
        <w:rPr>
          <w:color w:val="231F20"/>
          <w:spacing w:val="-5"/>
        </w:rPr>
        <w:t xml:space="preserve"> </w:t>
      </w:r>
      <w:r>
        <w:rPr>
          <w:color w:val="231F20"/>
        </w:rPr>
        <w:t>tourist</w:t>
      </w:r>
      <w:r>
        <w:rPr>
          <w:color w:val="231F20"/>
          <w:spacing w:val="-5"/>
        </w:rPr>
        <w:t xml:space="preserve"> </w:t>
      </w:r>
      <w:r>
        <w:rPr>
          <w:color w:val="231F20"/>
        </w:rPr>
        <w:t>experience</w:t>
      </w:r>
      <w:r>
        <w:rPr>
          <w:color w:val="231F20"/>
          <w:spacing w:val="-5"/>
        </w:rPr>
        <w:t xml:space="preserve"> </w:t>
      </w:r>
      <w:r>
        <w:rPr>
          <w:color w:val="231F20"/>
        </w:rPr>
        <w:t>itself</w:t>
      </w:r>
      <w:r>
        <w:rPr>
          <w:color w:val="231F20"/>
          <w:spacing w:val="-5"/>
        </w:rPr>
        <w:t xml:space="preserve"> </w:t>
      </w:r>
      <w:r>
        <w:rPr>
          <w:color w:val="231F20"/>
        </w:rPr>
        <w:t>represents</w:t>
      </w:r>
      <w:r>
        <w:rPr>
          <w:color w:val="231F20"/>
          <w:spacing w:val="-5"/>
        </w:rPr>
        <w:t xml:space="preserve"> </w:t>
      </w:r>
      <w:r>
        <w:rPr>
          <w:color w:val="231F20"/>
        </w:rPr>
        <w:t>the</w:t>
      </w:r>
      <w:r>
        <w:rPr>
          <w:color w:val="231F20"/>
          <w:spacing w:val="-5"/>
        </w:rPr>
        <w:t xml:space="preserve"> </w:t>
      </w:r>
      <w:r>
        <w:rPr>
          <w:color w:val="231F20"/>
        </w:rPr>
        <w:t>sum</w:t>
      </w:r>
      <w:r>
        <w:rPr>
          <w:color w:val="231F20"/>
          <w:spacing w:val="-5"/>
        </w:rPr>
        <w:t xml:space="preserve"> </w:t>
      </w:r>
      <w:r>
        <w:rPr>
          <w:color w:val="231F20"/>
        </w:rPr>
        <w:t>of</w:t>
      </w:r>
      <w:r>
        <w:rPr>
          <w:color w:val="231F20"/>
          <w:spacing w:val="-5"/>
        </w:rPr>
        <w:t xml:space="preserve"> </w:t>
      </w:r>
      <w:r>
        <w:rPr>
          <w:color w:val="231F20"/>
        </w:rPr>
        <w:t>several distinct processes that unfold over time in five phases: anticipation, travel,</w:t>
      </w:r>
      <w:r>
        <w:rPr>
          <w:color w:val="231F20"/>
          <w:spacing w:val="-8"/>
        </w:rPr>
        <w:t xml:space="preserve"> </w:t>
      </w:r>
      <w:r>
        <w:rPr>
          <w:color w:val="231F20"/>
        </w:rPr>
        <w:t>visitor</w:t>
      </w:r>
      <w:r>
        <w:rPr>
          <w:color w:val="231F20"/>
          <w:spacing w:val="-8"/>
        </w:rPr>
        <w:t xml:space="preserve"> </w:t>
      </w:r>
      <w:r>
        <w:rPr>
          <w:color w:val="231F20"/>
        </w:rPr>
        <w:t>experiences</w:t>
      </w:r>
      <w:r>
        <w:rPr>
          <w:color w:val="231F20"/>
          <w:spacing w:val="-8"/>
        </w:rPr>
        <w:t xml:space="preserve"> </w:t>
      </w:r>
      <w:r>
        <w:rPr>
          <w:color w:val="231F20"/>
        </w:rPr>
        <w:t>at</w:t>
      </w:r>
      <w:r>
        <w:rPr>
          <w:color w:val="231F20"/>
          <w:spacing w:val="-8"/>
        </w:rPr>
        <w:t xml:space="preserve"> </w:t>
      </w:r>
      <w:r>
        <w:rPr>
          <w:color w:val="231F20"/>
        </w:rPr>
        <w:t>the</w:t>
      </w:r>
      <w:r>
        <w:rPr>
          <w:color w:val="231F20"/>
          <w:spacing w:val="-8"/>
        </w:rPr>
        <w:t xml:space="preserve"> </w:t>
      </w:r>
      <w:r>
        <w:rPr>
          <w:color w:val="231F20"/>
        </w:rPr>
        <w:t>destination,</w:t>
      </w:r>
      <w:r>
        <w:rPr>
          <w:color w:val="231F20"/>
          <w:spacing w:val="-8"/>
        </w:rPr>
        <w:t xml:space="preserve"> </w:t>
      </w:r>
      <w:r>
        <w:rPr>
          <w:color w:val="231F20"/>
        </w:rPr>
        <w:t>travel</w:t>
      </w:r>
      <w:r>
        <w:rPr>
          <w:color w:val="231F20"/>
          <w:spacing w:val="-8"/>
        </w:rPr>
        <w:t xml:space="preserve"> </w:t>
      </w:r>
      <w:r>
        <w:rPr>
          <w:color w:val="231F20"/>
        </w:rPr>
        <w:t>back</w:t>
      </w:r>
      <w:r>
        <w:rPr>
          <w:color w:val="231F20"/>
          <w:spacing w:val="-8"/>
        </w:rPr>
        <w:t xml:space="preserve"> </w:t>
      </w:r>
      <w:r>
        <w:rPr>
          <w:color w:val="231F20"/>
        </w:rPr>
        <w:t>and</w:t>
      </w:r>
      <w:r>
        <w:rPr>
          <w:color w:val="231F20"/>
          <w:spacing w:val="-8"/>
        </w:rPr>
        <w:t xml:space="preserve"> </w:t>
      </w:r>
      <w:r>
        <w:rPr>
          <w:color w:val="231F20"/>
        </w:rPr>
        <w:t xml:space="preserve">recollection (Clawson &amp; Knetsch, 1966; Manfredo &amp; Driver, 1983). The anticipation </w:t>
      </w:r>
      <w:r>
        <w:rPr>
          <w:color w:val="231F20"/>
          <w:w w:val="95"/>
        </w:rPr>
        <w:t>phase of the tourist experience</w:t>
      </w:r>
      <w:r>
        <w:rPr>
          <w:color w:val="231F20"/>
          <w:w w:val="95"/>
        </w:rPr>
        <w:t xml:space="preserve"> requires an understanding of information </w:t>
      </w:r>
      <w:r>
        <w:rPr>
          <w:color w:val="231F20"/>
        </w:rPr>
        <w:t>search,</w:t>
      </w:r>
      <w:r>
        <w:rPr>
          <w:color w:val="231F20"/>
          <w:spacing w:val="15"/>
        </w:rPr>
        <w:t xml:space="preserve"> </w:t>
      </w:r>
      <w:r>
        <w:rPr>
          <w:color w:val="231F20"/>
        </w:rPr>
        <w:t>decision-making,</w:t>
      </w:r>
      <w:r>
        <w:rPr>
          <w:color w:val="231F20"/>
          <w:spacing w:val="15"/>
        </w:rPr>
        <w:t xml:space="preserve"> </w:t>
      </w:r>
      <w:r>
        <w:rPr>
          <w:color w:val="231F20"/>
        </w:rPr>
        <w:t>planning</w:t>
      </w:r>
      <w:r>
        <w:rPr>
          <w:color w:val="231F20"/>
          <w:spacing w:val="15"/>
        </w:rPr>
        <w:t xml:space="preserve"> </w:t>
      </w:r>
      <w:r>
        <w:rPr>
          <w:color w:val="231F20"/>
        </w:rPr>
        <w:t>and</w:t>
      </w:r>
      <w:r>
        <w:rPr>
          <w:color w:val="231F20"/>
          <w:spacing w:val="15"/>
        </w:rPr>
        <w:t xml:space="preserve"> </w:t>
      </w:r>
      <w:r>
        <w:rPr>
          <w:color w:val="231F20"/>
        </w:rPr>
        <w:t>the</w:t>
      </w:r>
      <w:r>
        <w:rPr>
          <w:color w:val="231F20"/>
          <w:spacing w:val="15"/>
        </w:rPr>
        <w:t xml:space="preserve"> </w:t>
      </w:r>
      <w:r>
        <w:rPr>
          <w:color w:val="231F20"/>
        </w:rPr>
        <w:t>formulation</w:t>
      </w:r>
      <w:r>
        <w:rPr>
          <w:color w:val="231F20"/>
          <w:spacing w:val="15"/>
        </w:rPr>
        <w:t xml:space="preserve"> </w:t>
      </w:r>
      <w:r>
        <w:rPr>
          <w:color w:val="231F20"/>
        </w:rPr>
        <w:t>of</w:t>
      </w:r>
      <w:r>
        <w:rPr>
          <w:color w:val="231F20"/>
          <w:spacing w:val="15"/>
        </w:rPr>
        <w:t xml:space="preserve"> </w:t>
      </w:r>
      <w:r>
        <w:rPr>
          <w:color w:val="231F20"/>
        </w:rPr>
        <w:t>expectations,</w:t>
      </w:r>
    </w:p>
    <w:p w14:paraId="7F7A97B7" w14:textId="77777777" w:rsidR="00AE0598" w:rsidRDefault="00AE0598">
      <w:pPr>
        <w:pStyle w:val="Corpodetexto"/>
        <w:rPr>
          <w:sz w:val="20"/>
        </w:rPr>
      </w:pPr>
    </w:p>
    <w:p w14:paraId="1D1B4F1A" w14:textId="77777777" w:rsidR="00AE0598" w:rsidRDefault="00AE0598">
      <w:pPr>
        <w:pStyle w:val="Corpodetexto"/>
        <w:spacing w:before="7"/>
      </w:pPr>
    </w:p>
    <w:p w14:paraId="3BB66998" w14:textId="77777777" w:rsidR="00AE0598" w:rsidRDefault="0069255A">
      <w:pPr>
        <w:spacing w:before="100"/>
        <w:ind w:left="384" w:right="409"/>
        <w:jc w:val="center"/>
        <w:rPr>
          <w:rFonts w:ascii="Trebuchet MS"/>
          <w:sz w:val="16"/>
        </w:rPr>
      </w:pPr>
      <w:r>
        <w:rPr>
          <w:rFonts w:ascii="Trebuchet MS"/>
          <w:color w:val="231F20"/>
          <w:spacing w:val="-5"/>
          <w:w w:val="105"/>
          <w:sz w:val="16"/>
        </w:rPr>
        <w:t>155</w:t>
      </w:r>
    </w:p>
    <w:p w14:paraId="5FFDBB31" w14:textId="77777777" w:rsidR="00AE0598" w:rsidRDefault="00AE0598">
      <w:pPr>
        <w:jc w:val="center"/>
        <w:rPr>
          <w:rFonts w:ascii="Trebuchet MS"/>
          <w:sz w:val="16"/>
        </w:rPr>
        <w:sectPr w:rsidR="00AE0598">
          <w:pgSz w:w="8850" w:h="13270"/>
          <w:pgMar w:top="1020" w:right="1060" w:bottom="280" w:left="1080" w:header="720" w:footer="720" w:gutter="0"/>
          <w:cols w:space="720"/>
        </w:sectPr>
      </w:pPr>
    </w:p>
    <w:p w14:paraId="240331E0" w14:textId="77777777" w:rsidR="00AE0598" w:rsidRDefault="0069255A">
      <w:pPr>
        <w:spacing w:before="87"/>
        <w:ind w:left="108"/>
        <w:rPr>
          <w:rFonts w:ascii="Trebuchet MS"/>
          <w:sz w:val="14"/>
        </w:rPr>
      </w:pPr>
      <w:r>
        <w:rPr>
          <w:rFonts w:ascii="Trebuchet MS"/>
          <w:color w:val="231F20"/>
          <w:w w:val="105"/>
          <w:sz w:val="14"/>
        </w:rPr>
        <w:lastRenderedPageBreak/>
        <w:t>156</w:t>
      </w:r>
      <w:r>
        <w:rPr>
          <w:rFonts w:ascii="Trebuchet MS"/>
          <w:color w:val="231F20"/>
          <w:spacing w:val="66"/>
          <w:w w:val="150"/>
          <w:sz w:val="14"/>
        </w:rPr>
        <w:t xml:space="preserve"> </w:t>
      </w:r>
      <w:r>
        <w:rPr>
          <w:rFonts w:ascii="Trebuchet MS"/>
          <w:color w:val="231F20"/>
          <w:w w:val="105"/>
          <w:sz w:val="14"/>
        </w:rPr>
        <w:t>Part</w:t>
      </w:r>
      <w:r>
        <w:rPr>
          <w:rFonts w:ascii="Trebuchet MS"/>
          <w:color w:val="231F20"/>
          <w:spacing w:val="-9"/>
          <w:w w:val="105"/>
          <w:sz w:val="14"/>
        </w:rPr>
        <w:t xml:space="preserve"> </w:t>
      </w:r>
      <w:r>
        <w:rPr>
          <w:rFonts w:ascii="Trebuchet MS"/>
          <w:color w:val="231F20"/>
          <w:w w:val="105"/>
          <w:sz w:val="14"/>
        </w:rPr>
        <w:t>4:</w:t>
      </w:r>
      <w:r>
        <w:rPr>
          <w:rFonts w:ascii="Trebuchet MS"/>
          <w:color w:val="231F20"/>
          <w:spacing w:val="-8"/>
          <w:w w:val="105"/>
          <w:sz w:val="14"/>
        </w:rPr>
        <w:t xml:space="preserve"> </w:t>
      </w:r>
      <w:r>
        <w:rPr>
          <w:rFonts w:ascii="Trebuchet MS"/>
          <w:color w:val="231F20"/>
          <w:w w:val="105"/>
          <w:sz w:val="14"/>
        </w:rPr>
        <w:t>Sport</w:t>
      </w:r>
      <w:r>
        <w:rPr>
          <w:rFonts w:ascii="Trebuchet MS"/>
          <w:color w:val="231F20"/>
          <w:spacing w:val="-9"/>
          <w:w w:val="105"/>
          <w:sz w:val="14"/>
        </w:rPr>
        <w:t xml:space="preserve"> </w:t>
      </w:r>
      <w:r>
        <w:rPr>
          <w:rFonts w:ascii="Trebuchet MS"/>
          <w:color w:val="231F20"/>
          <w:w w:val="105"/>
          <w:sz w:val="14"/>
        </w:rPr>
        <w:t>Tourism</w:t>
      </w:r>
      <w:r>
        <w:rPr>
          <w:rFonts w:ascii="Trebuchet MS"/>
          <w:color w:val="231F20"/>
          <w:spacing w:val="-9"/>
          <w:w w:val="105"/>
          <w:sz w:val="14"/>
        </w:rPr>
        <w:t xml:space="preserve"> </w:t>
      </w:r>
      <w:r>
        <w:rPr>
          <w:rFonts w:ascii="Trebuchet MS"/>
          <w:color w:val="231F20"/>
          <w:w w:val="105"/>
          <w:sz w:val="14"/>
        </w:rPr>
        <w:t>Development</w:t>
      </w:r>
      <w:r>
        <w:rPr>
          <w:rFonts w:ascii="Trebuchet MS"/>
          <w:color w:val="231F20"/>
          <w:spacing w:val="-9"/>
          <w:w w:val="105"/>
          <w:sz w:val="14"/>
        </w:rPr>
        <w:t xml:space="preserve"> </w:t>
      </w:r>
      <w:r>
        <w:rPr>
          <w:rFonts w:ascii="Trebuchet MS"/>
          <w:color w:val="231F20"/>
          <w:w w:val="105"/>
          <w:sz w:val="14"/>
        </w:rPr>
        <w:t>and</w:t>
      </w:r>
      <w:r>
        <w:rPr>
          <w:rFonts w:ascii="Trebuchet MS"/>
          <w:color w:val="231F20"/>
          <w:spacing w:val="-8"/>
          <w:w w:val="105"/>
          <w:sz w:val="14"/>
        </w:rPr>
        <w:t xml:space="preserve"> </w:t>
      </w:r>
      <w:r>
        <w:rPr>
          <w:rFonts w:ascii="Trebuchet MS"/>
          <w:color w:val="231F20"/>
          <w:spacing w:val="-4"/>
          <w:w w:val="105"/>
          <w:sz w:val="14"/>
        </w:rPr>
        <w:t>Time</w:t>
      </w:r>
    </w:p>
    <w:p w14:paraId="299D2782" w14:textId="77777777" w:rsidR="00AE0598" w:rsidRDefault="00AE0598">
      <w:pPr>
        <w:pStyle w:val="Corpodetexto"/>
        <w:rPr>
          <w:rFonts w:ascii="Trebuchet MS"/>
          <w:sz w:val="16"/>
        </w:rPr>
      </w:pPr>
    </w:p>
    <w:p w14:paraId="0D01647F" w14:textId="77777777" w:rsidR="00AE0598" w:rsidRDefault="0069255A">
      <w:pPr>
        <w:pStyle w:val="Corpodetexto"/>
        <w:spacing w:before="118" w:line="232" w:lineRule="auto"/>
        <w:ind w:left="110" w:right="127"/>
        <w:jc w:val="both"/>
      </w:pPr>
      <w:r>
        <w:rPr>
          <w:color w:val="231F20"/>
        </w:rPr>
        <w:t>each</w:t>
      </w:r>
      <w:r>
        <w:rPr>
          <w:color w:val="231F20"/>
          <w:spacing w:val="-12"/>
        </w:rPr>
        <w:t xml:space="preserve"> </w:t>
      </w:r>
      <w:r>
        <w:rPr>
          <w:color w:val="231F20"/>
        </w:rPr>
        <w:t>of</w:t>
      </w:r>
      <w:r>
        <w:rPr>
          <w:color w:val="231F20"/>
          <w:spacing w:val="-12"/>
        </w:rPr>
        <w:t xml:space="preserve"> </w:t>
      </w:r>
      <w:r>
        <w:rPr>
          <w:color w:val="231F20"/>
        </w:rPr>
        <w:t>which</w:t>
      </w:r>
      <w:r>
        <w:rPr>
          <w:color w:val="231F20"/>
          <w:spacing w:val="-11"/>
        </w:rPr>
        <w:t xml:space="preserve"> </w:t>
      </w:r>
      <w:r>
        <w:rPr>
          <w:color w:val="231F20"/>
        </w:rPr>
        <w:t>are</w:t>
      </w:r>
      <w:r>
        <w:rPr>
          <w:color w:val="231F20"/>
          <w:spacing w:val="-12"/>
        </w:rPr>
        <w:t xml:space="preserve"> </w:t>
      </w:r>
      <w:r>
        <w:rPr>
          <w:color w:val="231F20"/>
        </w:rPr>
        <w:t>affected</w:t>
      </w:r>
      <w:r>
        <w:rPr>
          <w:color w:val="231F20"/>
          <w:spacing w:val="-11"/>
        </w:rPr>
        <w:t xml:space="preserve"> </w:t>
      </w:r>
      <w:r>
        <w:rPr>
          <w:color w:val="231F20"/>
        </w:rPr>
        <w:t>by</w:t>
      </w:r>
      <w:r>
        <w:rPr>
          <w:color w:val="231F20"/>
          <w:spacing w:val="-12"/>
        </w:rPr>
        <w:t xml:space="preserve"> </w:t>
      </w:r>
      <w:r>
        <w:rPr>
          <w:color w:val="231F20"/>
        </w:rPr>
        <w:t>travel</w:t>
      </w:r>
      <w:r>
        <w:rPr>
          <w:color w:val="231F20"/>
          <w:spacing w:val="-11"/>
        </w:rPr>
        <w:t xml:space="preserve"> </w:t>
      </w:r>
      <w:r>
        <w:rPr>
          <w:color w:val="231F20"/>
        </w:rPr>
        <w:t>motivations.</w:t>
      </w:r>
      <w:r>
        <w:rPr>
          <w:color w:val="231F20"/>
          <w:spacing w:val="-12"/>
        </w:rPr>
        <w:t xml:space="preserve"> </w:t>
      </w:r>
      <w:r>
        <w:rPr>
          <w:color w:val="231F20"/>
        </w:rPr>
        <w:t>Travel</w:t>
      </w:r>
      <w:r>
        <w:rPr>
          <w:color w:val="231F20"/>
          <w:spacing w:val="-12"/>
        </w:rPr>
        <w:t xml:space="preserve"> </w:t>
      </w:r>
      <w:r>
        <w:rPr>
          <w:color w:val="231F20"/>
        </w:rPr>
        <w:t>to</w:t>
      </w:r>
      <w:r>
        <w:rPr>
          <w:color w:val="231F20"/>
          <w:spacing w:val="-11"/>
        </w:rPr>
        <w:t xml:space="preserve"> </w:t>
      </w:r>
      <w:r>
        <w:rPr>
          <w:color w:val="231F20"/>
        </w:rPr>
        <w:t>the</w:t>
      </w:r>
      <w:r>
        <w:rPr>
          <w:color w:val="231F20"/>
          <w:spacing w:val="-12"/>
        </w:rPr>
        <w:t xml:space="preserve"> </w:t>
      </w:r>
      <w:r>
        <w:rPr>
          <w:color w:val="231F20"/>
        </w:rPr>
        <w:t xml:space="preserve">destination </w:t>
      </w:r>
      <w:r>
        <w:rPr>
          <w:color w:val="231F20"/>
          <w:w w:val="95"/>
        </w:rPr>
        <w:t xml:space="preserve">forms an important part of the tourist experience as it influences length of </w:t>
      </w:r>
      <w:r>
        <w:rPr>
          <w:color w:val="231F20"/>
        </w:rPr>
        <w:t>stay</w:t>
      </w:r>
      <w:r>
        <w:rPr>
          <w:color w:val="231F20"/>
          <w:spacing w:val="-2"/>
        </w:rPr>
        <w:t xml:space="preserve"> </w:t>
      </w:r>
      <w:r>
        <w:rPr>
          <w:color w:val="231F20"/>
        </w:rPr>
        <w:t>and</w:t>
      </w:r>
      <w:r>
        <w:rPr>
          <w:color w:val="231F20"/>
          <w:spacing w:val="-2"/>
        </w:rPr>
        <w:t xml:space="preserve"> </w:t>
      </w:r>
      <w:r>
        <w:rPr>
          <w:color w:val="231F20"/>
        </w:rPr>
        <w:t>the</w:t>
      </w:r>
      <w:r>
        <w:rPr>
          <w:color w:val="231F20"/>
          <w:spacing w:val="-2"/>
        </w:rPr>
        <w:t xml:space="preserve"> </w:t>
      </w:r>
      <w:r>
        <w:rPr>
          <w:color w:val="231F20"/>
        </w:rPr>
        <w:t>infrastructure</w:t>
      </w:r>
      <w:r>
        <w:rPr>
          <w:color w:val="231F20"/>
          <w:spacing w:val="-2"/>
        </w:rPr>
        <w:t xml:space="preserve"> </w:t>
      </w:r>
      <w:r>
        <w:rPr>
          <w:color w:val="231F20"/>
        </w:rPr>
        <w:t>and</w:t>
      </w:r>
      <w:r>
        <w:rPr>
          <w:color w:val="231F20"/>
          <w:spacing w:val="-2"/>
        </w:rPr>
        <w:t xml:space="preserve"> </w:t>
      </w:r>
      <w:r>
        <w:rPr>
          <w:color w:val="231F20"/>
        </w:rPr>
        <w:t>service</w:t>
      </w:r>
      <w:r>
        <w:rPr>
          <w:color w:val="231F20"/>
          <w:spacing w:val="-2"/>
        </w:rPr>
        <w:t xml:space="preserve"> </w:t>
      </w:r>
      <w:r>
        <w:rPr>
          <w:color w:val="231F20"/>
        </w:rPr>
        <w:t>needs</w:t>
      </w:r>
      <w:r>
        <w:rPr>
          <w:color w:val="231F20"/>
          <w:spacing w:val="-2"/>
        </w:rPr>
        <w:t xml:space="preserve"> </w:t>
      </w:r>
      <w:r>
        <w:rPr>
          <w:color w:val="231F20"/>
        </w:rPr>
        <w:t>of</w:t>
      </w:r>
      <w:r>
        <w:rPr>
          <w:color w:val="231F20"/>
          <w:spacing w:val="-2"/>
        </w:rPr>
        <w:t xml:space="preserve"> </w:t>
      </w:r>
      <w:r>
        <w:rPr>
          <w:color w:val="231F20"/>
        </w:rPr>
        <w:t>the</w:t>
      </w:r>
      <w:r>
        <w:rPr>
          <w:color w:val="231F20"/>
          <w:spacing w:val="-2"/>
        </w:rPr>
        <w:t xml:space="preserve"> </w:t>
      </w:r>
      <w:r>
        <w:rPr>
          <w:color w:val="231F20"/>
        </w:rPr>
        <w:t>tourist.</w:t>
      </w:r>
      <w:r>
        <w:rPr>
          <w:color w:val="231F20"/>
          <w:spacing w:val="-2"/>
        </w:rPr>
        <w:t xml:space="preserve"> </w:t>
      </w:r>
      <w:r>
        <w:rPr>
          <w:color w:val="231F20"/>
        </w:rPr>
        <w:t xml:space="preserve">Engagement </w:t>
      </w:r>
      <w:r>
        <w:rPr>
          <w:color w:val="231F20"/>
          <w:w w:val="95"/>
        </w:rPr>
        <w:t xml:space="preserve">in sporting activities and the feelings and behaviours of sport tourists are </w:t>
      </w:r>
      <w:r>
        <w:rPr>
          <w:color w:val="231F20"/>
        </w:rPr>
        <w:t>key dimensions of</w:t>
      </w:r>
      <w:r>
        <w:rPr>
          <w:color w:val="231F20"/>
        </w:rPr>
        <w:t xml:space="preserve"> the visitor experiences; these represent the interplay of activity, people and place (Weed, 2005). These engagements vary significantly with, for example, the relative priority placed on specific </w:t>
      </w:r>
      <w:r>
        <w:rPr>
          <w:color w:val="231F20"/>
          <w:w w:val="95"/>
        </w:rPr>
        <w:t>aspects of the pursuit of sport, and other touristic activi</w:t>
      </w:r>
      <w:r>
        <w:rPr>
          <w:color w:val="231F20"/>
          <w:w w:val="95"/>
        </w:rPr>
        <w:t xml:space="preserve">ties at a destination (Higham &amp; Hinch, 2009; Morgan, 2007). Visitor experiences at the actual </w:t>
      </w:r>
      <w:r>
        <w:rPr>
          <w:color w:val="231F20"/>
        </w:rPr>
        <w:t>destination,</w:t>
      </w:r>
      <w:r>
        <w:rPr>
          <w:color w:val="231F20"/>
          <w:spacing w:val="-1"/>
        </w:rPr>
        <w:t xml:space="preserve"> </w:t>
      </w:r>
      <w:r>
        <w:rPr>
          <w:color w:val="231F20"/>
        </w:rPr>
        <w:t>therefore,</w:t>
      </w:r>
      <w:r>
        <w:rPr>
          <w:color w:val="231F20"/>
          <w:spacing w:val="-1"/>
        </w:rPr>
        <w:t xml:space="preserve"> </w:t>
      </w:r>
      <w:r>
        <w:rPr>
          <w:color w:val="231F20"/>
        </w:rPr>
        <w:t>form</w:t>
      </w:r>
      <w:r>
        <w:rPr>
          <w:color w:val="231F20"/>
          <w:spacing w:val="-1"/>
        </w:rPr>
        <w:t xml:space="preserve"> </w:t>
      </w:r>
      <w:r>
        <w:rPr>
          <w:color w:val="231F20"/>
        </w:rPr>
        <w:t>one</w:t>
      </w:r>
      <w:r>
        <w:rPr>
          <w:color w:val="231F20"/>
          <w:spacing w:val="-1"/>
        </w:rPr>
        <w:t xml:space="preserve"> </w:t>
      </w:r>
      <w:r>
        <w:rPr>
          <w:color w:val="231F20"/>
        </w:rPr>
        <w:t>part</w:t>
      </w:r>
      <w:r>
        <w:rPr>
          <w:color w:val="231F20"/>
          <w:spacing w:val="-1"/>
        </w:rPr>
        <w:t xml:space="preserve"> </w:t>
      </w:r>
      <w:r>
        <w:rPr>
          <w:color w:val="231F20"/>
        </w:rPr>
        <w:t>of</w:t>
      </w:r>
      <w:r>
        <w:rPr>
          <w:color w:val="231F20"/>
          <w:spacing w:val="-1"/>
        </w:rPr>
        <w:t xml:space="preserve"> </w:t>
      </w:r>
      <w:r>
        <w:rPr>
          <w:color w:val="231F20"/>
        </w:rPr>
        <w:t>the</w:t>
      </w:r>
      <w:r>
        <w:rPr>
          <w:color w:val="231F20"/>
          <w:spacing w:val="-1"/>
        </w:rPr>
        <w:t xml:space="preserve"> </w:t>
      </w:r>
      <w:r>
        <w:rPr>
          <w:color w:val="231F20"/>
        </w:rPr>
        <w:t>subject</w:t>
      </w:r>
      <w:r>
        <w:rPr>
          <w:color w:val="231F20"/>
          <w:spacing w:val="-1"/>
        </w:rPr>
        <w:t xml:space="preserve"> </w:t>
      </w:r>
      <w:r>
        <w:rPr>
          <w:color w:val="231F20"/>
        </w:rPr>
        <w:t>of</w:t>
      </w:r>
      <w:r>
        <w:rPr>
          <w:color w:val="231F20"/>
          <w:spacing w:val="-1"/>
        </w:rPr>
        <w:t xml:space="preserve"> </w:t>
      </w:r>
      <w:r>
        <w:rPr>
          <w:color w:val="231F20"/>
        </w:rPr>
        <w:t>this</w:t>
      </w:r>
      <w:r>
        <w:rPr>
          <w:color w:val="231F20"/>
          <w:spacing w:val="-1"/>
        </w:rPr>
        <w:t xml:space="preserve"> </w:t>
      </w:r>
      <w:r>
        <w:rPr>
          <w:color w:val="231F20"/>
        </w:rPr>
        <w:t>chapter,</w:t>
      </w:r>
      <w:r>
        <w:rPr>
          <w:color w:val="231F20"/>
          <w:spacing w:val="-1"/>
        </w:rPr>
        <w:t xml:space="preserve"> </w:t>
      </w:r>
      <w:r>
        <w:rPr>
          <w:color w:val="231F20"/>
        </w:rPr>
        <w:t>given that they are set within the wider context of people’s lives prior to and following the tourist experience (Morgan, 2007).</w:t>
      </w:r>
    </w:p>
    <w:p w14:paraId="09790D71" w14:textId="77777777" w:rsidR="00AE0598" w:rsidRDefault="0069255A">
      <w:pPr>
        <w:pStyle w:val="Corpodetexto"/>
        <w:spacing w:before="14" w:line="232" w:lineRule="auto"/>
        <w:ind w:left="110" w:right="125" w:firstLine="320"/>
        <w:jc w:val="both"/>
      </w:pPr>
      <w:r>
        <w:rPr>
          <w:color w:val="231F20"/>
        </w:rPr>
        <w:t>It</w:t>
      </w:r>
      <w:r>
        <w:rPr>
          <w:color w:val="231F20"/>
          <w:spacing w:val="-9"/>
        </w:rPr>
        <w:t xml:space="preserve"> </w:t>
      </w:r>
      <w:r>
        <w:rPr>
          <w:color w:val="231F20"/>
        </w:rPr>
        <w:t>is</w:t>
      </w:r>
      <w:r>
        <w:rPr>
          <w:color w:val="231F20"/>
          <w:spacing w:val="-9"/>
        </w:rPr>
        <w:t xml:space="preserve"> </w:t>
      </w:r>
      <w:r>
        <w:rPr>
          <w:color w:val="231F20"/>
        </w:rPr>
        <w:t>useful</w:t>
      </w:r>
      <w:r>
        <w:rPr>
          <w:color w:val="231F20"/>
          <w:spacing w:val="-9"/>
        </w:rPr>
        <w:t xml:space="preserve"> </w:t>
      </w:r>
      <w:r>
        <w:rPr>
          <w:color w:val="231F20"/>
        </w:rPr>
        <w:t>to</w:t>
      </w:r>
      <w:r>
        <w:rPr>
          <w:color w:val="231F20"/>
          <w:spacing w:val="-9"/>
        </w:rPr>
        <w:t xml:space="preserve"> </w:t>
      </w:r>
      <w:r>
        <w:rPr>
          <w:color w:val="231F20"/>
        </w:rPr>
        <w:t>briefly</w:t>
      </w:r>
      <w:r>
        <w:rPr>
          <w:color w:val="231F20"/>
          <w:spacing w:val="-9"/>
        </w:rPr>
        <w:t xml:space="preserve"> </w:t>
      </w:r>
      <w:r>
        <w:rPr>
          <w:color w:val="231F20"/>
        </w:rPr>
        <w:t>consider</w:t>
      </w:r>
      <w:r>
        <w:rPr>
          <w:color w:val="231F20"/>
          <w:spacing w:val="-9"/>
        </w:rPr>
        <w:t xml:space="preserve"> </w:t>
      </w:r>
      <w:r>
        <w:rPr>
          <w:color w:val="231F20"/>
        </w:rPr>
        <w:t>the</w:t>
      </w:r>
      <w:r>
        <w:rPr>
          <w:color w:val="231F20"/>
          <w:spacing w:val="-9"/>
        </w:rPr>
        <w:t xml:space="preserve"> </w:t>
      </w:r>
      <w:r>
        <w:rPr>
          <w:color w:val="231F20"/>
        </w:rPr>
        <w:t>temporal</w:t>
      </w:r>
      <w:r>
        <w:rPr>
          <w:color w:val="231F20"/>
          <w:spacing w:val="-9"/>
        </w:rPr>
        <w:t xml:space="preserve"> </w:t>
      </w:r>
      <w:r>
        <w:rPr>
          <w:color w:val="231F20"/>
        </w:rPr>
        <w:t>phases</w:t>
      </w:r>
      <w:r>
        <w:rPr>
          <w:color w:val="231F20"/>
          <w:spacing w:val="-9"/>
        </w:rPr>
        <w:t xml:space="preserve"> </w:t>
      </w:r>
      <w:r>
        <w:rPr>
          <w:color w:val="231F20"/>
        </w:rPr>
        <w:t>of</w:t>
      </w:r>
      <w:r>
        <w:rPr>
          <w:color w:val="231F20"/>
          <w:spacing w:val="-9"/>
        </w:rPr>
        <w:t xml:space="preserve"> </w:t>
      </w:r>
      <w:r>
        <w:rPr>
          <w:color w:val="231F20"/>
        </w:rPr>
        <w:t>the</w:t>
      </w:r>
      <w:r>
        <w:rPr>
          <w:color w:val="231F20"/>
          <w:spacing w:val="-9"/>
        </w:rPr>
        <w:t xml:space="preserve"> </w:t>
      </w:r>
      <w:r>
        <w:rPr>
          <w:color w:val="231F20"/>
        </w:rPr>
        <w:t>sport</w:t>
      </w:r>
      <w:r>
        <w:rPr>
          <w:color w:val="231F20"/>
          <w:spacing w:val="-9"/>
        </w:rPr>
        <w:t xml:space="preserve"> </w:t>
      </w:r>
      <w:r>
        <w:rPr>
          <w:color w:val="231F20"/>
        </w:rPr>
        <w:t xml:space="preserve">tourist </w:t>
      </w:r>
      <w:r>
        <w:rPr>
          <w:color w:val="231F20"/>
          <w:w w:val="90"/>
        </w:rPr>
        <w:t>experience. The typology of sports tourists presented</w:t>
      </w:r>
      <w:r>
        <w:rPr>
          <w:color w:val="231F20"/>
          <w:w w:val="90"/>
        </w:rPr>
        <w:t xml:space="preserve"> in Table 8.1 serves as a </w:t>
      </w:r>
      <w:r>
        <w:rPr>
          <w:color w:val="231F20"/>
          <w:w w:val="95"/>
        </w:rPr>
        <w:t xml:space="preserve">starting point from which to consider the pre-trip phase of the sport tourist experience. Different sport tourist types are likely to vary considerably in </w:t>
      </w:r>
      <w:r>
        <w:rPr>
          <w:color w:val="231F20"/>
        </w:rPr>
        <w:t>terms</w:t>
      </w:r>
      <w:r>
        <w:rPr>
          <w:color w:val="231F20"/>
          <w:spacing w:val="-8"/>
        </w:rPr>
        <w:t xml:space="preserve"> </w:t>
      </w:r>
      <w:r>
        <w:rPr>
          <w:color w:val="231F20"/>
        </w:rPr>
        <w:t>of</w:t>
      </w:r>
      <w:r>
        <w:rPr>
          <w:color w:val="231F20"/>
          <w:spacing w:val="-8"/>
        </w:rPr>
        <w:t xml:space="preserve"> </w:t>
      </w:r>
      <w:r>
        <w:rPr>
          <w:color w:val="231F20"/>
        </w:rPr>
        <w:t>information</w:t>
      </w:r>
      <w:r>
        <w:rPr>
          <w:color w:val="231F20"/>
          <w:spacing w:val="-8"/>
        </w:rPr>
        <w:t xml:space="preserve"> </w:t>
      </w:r>
      <w:r>
        <w:rPr>
          <w:color w:val="231F20"/>
        </w:rPr>
        <w:t>search,</w:t>
      </w:r>
      <w:r>
        <w:rPr>
          <w:color w:val="231F20"/>
          <w:spacing w:val="-8"/>
        </w:rPr>
        <w:t xml:space="preserve"> </w:t>
      </w:r>
      <w:r>
        <w:rPr>
          <w:color w:val="231F20"/>
        </w:rPr>
        <w:t>decision-making</w:t>
      </w:r>
      <w:r>
        <w:rPr>
          <w:color w:val="231F20"/>
          <w:spacing w:val="-8"/>
        </w:rPr>
        <w:t xml:space="preserve"> </w:t>
      </w:r>
      <w:r>
        <w:rPr>
          <w:color w:val="231F20"/>
        </w:rPr>
        <w:t>and</w:t>
      </w:r>
      <w:r>
        <w:rPr>
          <w:color w:val="231F20"/>
          <w:spacing w:val="-8"/>
        </w:rPr>
        <w:t xml:space="preserve"> </w:t>
      </w:r>
      <w:r>
        <w:rPr>
          <w:color w:val="231F20"/>
        </w:rPr>
        <w:t>planning.</w:t>
      </w:r>
      <w:r>
        <w:rPr>
          <w:color w:val="231F20"/>
          <w:spacing w:val="-8"/>
        </w:rPr>
        <w:t xml:space="preserve"> </w:t>
      </w:r>
      <w:r>
        <w:rPr>
          <w:color w:val="231F20"/>
        </w:rPr>
        <w:t xml:space="preserve">Anticipation of </w:t>
      </w:r>
      <w:r>
        <w:rPr>
          <w:color w:val="231F20"/>
        </w:rPr>
        <w:t xml:space="preserve">spectator events, for example, may be situated within wider team fandoms and the search for collective experiences in association with </w:t>
      </w:r>
      <w:r>
        <w:rPr>
          <w:color w:val="231F20"/>
          <w:w w:val="95"/>
        </w:rPr>
        <w:t xml:space="preserve">team support and identity building (Jones, 2000), although Stewart (2001) </w:t>
      </w:r>
      <w:r>
        <w:rPr>
          <w:color w:val="231F20"/>
        </w:rPr>
        <w:t>highlights the diversity that exists within the</w:t>
      </w:r>
      <w:r>
        <w:rPr>
          <w:color w:val="231F20"/>
        </w:rPr>
        <w:t xml:space="preserve"> broad terminology of the sports fan (Laverie &amp; Arnett, 2000). Avenues of information search in </w:t>
      </w:r>
      <w:r>
        <w:rPr>
          <w:color w:val="231F20"/>
          <w:w w:val="95"/>
        </w:rPr>
        <w:t xml:space="preserve">the pre-trip phase will stand in significant contrast between sport tourist types and between first time and repeat visitors (Taks </w:t>
      </w:r>
      <w:r>
        <w:rPr>
          <w:i/>
          <w:color w:val="231F20"/>
          <w:w w:val="95"/>
        </w:rPr>
        <w:t>et al</w:t>
      </w:r>
      <w:r>
        <w:rPr>
          <w:color w:val="231F20"/>
          <w:w w:val="95"/>
        </w:rPr>
        <w:t>., 2009). Those</w:t>
      </w:r>
    </w:p>
    <w:p w14:paraId="04056F76" w14:textId="77777777" w:rsidR="00AE0598" w:rsidRDefault="00AE0598">
      <w:pPr>
        <w:pStyle w:val="Corpodetexto"/>
        <w:spacing w:before="6"/>
        <w:rPr>
          <w:sz w:val="26"/>
        </w:rPr>
      </w:pPr>
    </w:p>
    <w:p w14:paraId="5F91B950" w14:textId="77777777" w:rsidR="00AE0598" w:rsidRDefault="0069255A">
      <w:pPr>
        <w:ind w:left="110"/>
        <w:rPr>
          <w:rFonts w:ascii="Trebuchet MS"/>
          <w:sz w:val="16"/>
        </w:rPr>
      </w:pPr>
      <w:r>
        <w:rPr>
          <w:rFonts w:ascii="Trebuchet MS"/>
          <w:b/>
          <w:color w:val="231F20"/>
          <w:sz w:val="16"/>
        </w:rPr>
        <w:t>Table</w:t>
      </w:r>
      <w:r>
        <w:rPr>
          <w:rFonts w:ascii="Trebuchet MS"/>
          <w:b/>
          <w:color w:val="231F20"/>
          <w:spacing w:val="-2"/>
          <w:sz w:val="16"/>
        </w:rPr>
        <w:t xml:space="preserve"> </w:t>
      </w:r>
      <w:r>
        <w:rPr>
          <w:rFonts w:ascii="Trebuchet MS"/>
          <w:b/>
          <w:color w:val="231F20"/>
          <w:sz w:val="16"/>
        </w:rPr>
        <w:t>8.1</w:t>
      </w:r>
      <w:r>
        <w:rPr>
          <w:rFonts w:ascii="Trebuchet MS"/>
          <w:b/>
          <w:color w:val="231F20"/>
          <w:spacing w:val="37"/>
          <w:sz w:val="16"/>
        </w:rPr>
        <w:t xml:space="preserve"> </w:t>
      </w:r>
      <w:r>
        <w:rPr>
          <w:rFonts w:ascii="Trebuchet MS"/>
          <w:color w:val="231F20"/>
          <w:sz w:val="16"/>
        </w:rPr>
        <w:t>Sport</w:t>
      </w:r>
      <w:r>
        <w:rPr>
          <w:rFonts w:ascii="Trebuchet MS"/>
          <w:color w:val="231F20"/>
          <w:spacing w:val="-1"/>
          <w:sz w:val="16"/>
        </w:rPr>
        <w:t xml:space="preserve"> </w:t>
      </w:r>
      <w:r>
        <w:rPr>
          <w:rFonts w:ascii="Trebuchet MS"/>
          <w:color w:val="231F20"/>
          <w:sz w:val="16"/>
        </w:rPr>
        <w:t>tourist</w:t>
      </w:r>
      <w:r>
        <w:rPr>
          <w:rFonts w:ascii="Trebuchet MS"/>
          <w:color w:val="231F20"/>
          <w:spacing w:val="-2"/>
          <w:sz w:val="16"/>
        </w:rPr>
        <w:t xml:space="preserve"> typologies</w:t>
      </w:r>
    </w:p>
    <w:p w14:paraId="747F1BC9" w14:textId="6AC8EDE3" w:rsidR="00AE0598" w:rsidRDefault="0069255A">
      <w:pPr>
        <w:tabs>
          <w:tab w:val="left" w:pos="2963"/>
        </w:tabs>
        <w:spacing w:before="98"/>
        <w:ind w:left="110"/>
        <w:rPr>
          <w:rFonts w:ascii="Trebuchet MS"/>
          <w:b/>
          <w:sz w:val="14"/>
        </w:rPr>
      </w:pPr>
      <w:r>
        <w:rPr>
          <w:noProof/>
        </w:rPr>
        <mc:AlternateContent>
          <mc:Choice Requires="wps">
            <w:drawing>
              <wp:anchor distT="0" distB="0" distL="0" distR="0" simplePos="0" relativeHeight="487663616" behindDoc="1" locked="0" layoutInCell="1" allowOverlap="1" wp14:anchorId="6A9B991D" wp14:editId="0884D415">
                <wp:simplePos x="0" y="0"/>
                <wp:positionH relativeFrom="page">
                  <wp:posOffset>755650</wp:posOffset>
                </wp:positionH>
                <wp:positionV relativeFrom="paragraph">
                  <wp:posOffset>196215</wp:posOffset>
                </wp:positionV>
                <wp:extent cx="4097655" cy="1270"/>
                <wp:effectExtent l="0" t="0" r="0" b="0"/>
                <wp:wrapTopAndBottom/>
                <wp:docPr id="156" name="docshape2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097655" cy="1270"/>
                        </a:xfrm>
                        <a:custGeom>
                          <a:avLst/>
                          <a:gdLst>
                            <a:gd name="T0" fmla="+- 0 1190 1190"/>
                            <a:gd name="T1" fmla="*/ T0 w 6453"/>
                            <a:gd name="T2" fmla="+- 0 3963 1190"/>
                            <a:gd name="T3" fmla="*/ T2 w 6453"/>
                            <a:gd name="T4" fmla="+- 0 7643 1190"/>
                            <a:gd name="T5" fmla="*/ T4 w 6453"/>
                          </a:gdLst>
                          <a:ahLst/>
                          <a:cxnLst>
                            <a:cxn ang="0">
                              <a:pos x="T1" y="0"/>
                            </a:cxn>
                            <a:cxn ang="0">
                              <a:pos x="T3" y="0"/>
                            </a:cxn>
                            <a:cxn ang="0">
                              <a:pos x="T5" y="0"/>
                            </a:cxn>
                          </a:cxnLst>
                          <a:rect l="0" t="0" r="r" b="b"/>
                          <a:pathLst>
                            <a:path w="6453">
                              <a:moveTo>
                                <a:pt x="0" y="0"/>
                              </a:moveTo>
                              <a:lnTo>
                                <a:pt x="2773" y="0"/>
                              </a:lnTo>
                              <a:lnTo>
                                <a:pt x="6453" y="0"/>
                              </a:lnTo>
                            </a:path>
                          </a:pathLst>
                        </a:custGeom>
                        <a:noFill/>
                        <a:ln w="3175">
                          <a:solidFill>
                            <a:srgbClr val="231F2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328975" id="docshape212" o:spid="_x0000_s1026" style="position:absolute;margin-left:59.5pt;margin-top:15.45pt;width:322.65pt;height:.1pt;z-index:-156528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45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" path="m,l2773,,6453,e" filled="f" strokecolor="#231f20" strokeweight=".25pt">
                <v:path arrowok="t" o:connecttype="custom" o:connectlocs="0,0;1760855,0;4097655,0" o:connectangles="0,0,0"/>
                <w10:wrap type="topAndBottom" anchorx="page"/>
              </v:shape>
            </w:pict>
          </mc:Fallback>
        </mc:AlternateContent>
      </w:r>
      <w:r>
        <w:rPr>
          <w:rFonts w:ascii="Trebuchet MS"/>
          <w:b/>
          <w:color w:val="231F20"/>
          <w:sz w:val="14"/>
        </w:rPr>
        <w:t>Sport</w:t>
      </w:r>
      <w:r>
        <w:rPr>
          <w:rFonts w:ascii="Trebuchet MS"/>
          <w:b/>
          <w:color w:val="231F20"/>
          <w:spacing w:val="17"/>
          <w:sz w:val="14"/>
        </w:rPr>
        <w:t xml:space="preserve"> </w:t>
      </w:r>
      <w:r>
        <w:rPr>
          <w:rFonts w:ascii="Trebuchet MS"/>
          <w:b/>
          <w:color w:val="231F20"/>
          <w:sz w:val="14"/>
        </w:rPr>
        <w:t>tourist</w:t>
      </w:r>
      <w:r>
        <w:rPr>
          <w:rFonts w:ascii="Trebuchet MS"/>
          <w:b/>
          <w:color w:val="231F20"/>
          <w:spacing w:val="18"/>
          <w:sz w:val="14"/>
        </w:rPr>
        <w:t xml:space="preserve"> </w:t>
      </w:r>
      <w:r>
        <w:rPr>
          <w:rFonts w:ascii="Trebuchet MS"/>
          <w:b/>
          <w:color w:val="231F20"/>
          <w:sz w:val="14"/>
        </w:rPr>
        <w:t>typology</w:t>
      </w:r>
      <w:r>
        <w:rPr>
          <w:rFonts w:ascii="Trebuchet MS"/>
          <w:b/>
          <w:color w:val="231F20"/>
          <w:spacing w:val="17"/>
          <w:sz w:val="14"/>
        </w:rPr>
        <w:t xml:space="preserve"> </w:t>
      </w:r>
      <w:r>
        <w:rPr>
          <w:rFonts w:ascii="Trebuchet MS"/>
          <w:b/>
          <w:color w:val="231F20"/>
          <w:sz w:val="14"/>
        </w:rPr>
        <w:t>(Glyptis,</w:t>
      </w:r>
      <w:r>
        <w:rPr>
          <w:rFonts w:ascii="Trebuchet MS"/>
          <w:b/>
          <w:color w:val="231F20"/>
          <w:spacing w:val="18"/>
          <w:sz w:val="14"/>
        </w:rPr>
        <w:t xml:space="preserve"> </w:t>
      </w:r>
      <w:r>
        <w:rPr>
          <w:rFonts w:ascii="Trebuchet MS"/>
          <w:b/>
          <w:color w:val="231F20"/>
          <w:spacing w:val="-4"/>
          <w:sz w:val="14"/>
        </w:rPr>
        <w:t>1982)</w:t>
      </w:r>
      <w:r>
        <w:rPr>
          <w:rFonts w:ascii="Trebuchet MS"/>
          <w:b/>
          <w:color w:val="231F20"/>
          <w:sz w:val="14"/>
        </w:rPr>
        <w:tab/>
        <w:t>Parallels</w:t>
      </w:r>
      <w:r>
        <w:rPr>
          <w:rFonts w:ascii="Trebuchet MS"/>
          <w:b/>
          <w:color w:val="231F20"/>
          <w:spacing w:val="11"/>
          <w:sz w:val="14"/>
        </w:rPr>
        <w:t xml:space="preserve"> </w:t>
      </w:r>
      <w:r>
        <w:rPr>
          <w:rFonts w:ascii="Trebuchet MS"/>
          <w:b/>
          <w:color w:val="231F20"/>
          <w:sz w:val="14"/>
        </w:rPr>
        <w:t>with</w:t>
      </w:r>
      <w:r>
        <w:rPr>
          <w:rFonts w:ascii="Trebuchet MS"/>
          <w:b/>
          <w:color w:val="231F20"/>
          <w:spacing w:val="12"/>
          <w:sz w:val="14"/>
        </w:rPr>
        <w:t xml:space="preserve"> </w:t>
      </w:r>
      <w:r>
        <w:rPr>
          <w:rFonts w:ascii="Trebuchet MS"/>
          <w:b/>
          <w:color w:val="231F20"/>
          <w:sz w:val="14"/>
        </w:rPr>
        <w:t>subsequent</w:t>
      </w:r>
      <w:r>
        <w:rPr>
          <w:rFonts w:ascii="Trebuchet MS"/>
          <w:b/>
          <w:color w:val="231F20"/>
          <w:spacing w:val="12"/>
          <w:sz w:val="14"/>
        </w:rPr>
        <w:t xml:space="preserve"> </w:t>
      </w:r>
      <w:r>
        <w:rPr>
          <w:rFonts w:ascii="Trebuchet MS"/>
          <w:b/>
          <w:color w:val="231F20"/>
          <w:spacing w:val="-2"/>
          <w:sz w:val="14"/>
        </w:rPr>
        <w:t>typologies</w:t>
      </w:r>
    </w:p>
    <w:p w14:paraId="4B59D32C" w14:textId="77777777" w:rsidR="00AE0598" w:rsidRDefault="0069255A">
      <w:pPr>
        <w:tabs>
          <w:tab w:val="left" w:pos="2882"/>
        </w:tabs>
        <w:spacing w:before="13" w:line="235" w:lineRule="auto"/>
        <w:ind w:left="110"/>
        <w:rPr>
          <w:rFonts w:ascii="Trebuchet MS"/>
          <w:sz w:val="14"/>
        </w:rPr>
      </w:pPr>
      <w:r>
        <w:rPr>
          <w:rFonts w:ascii="Trebuchet MS"/>
          <w:color w:val="231F20"/>
          <w:sz w:val="14"/>
        </w:rPr>
        <w:t>General</w:t>
      </w:r>
      <w:r>
        <w:rPr>
          <w:rFonts w:ascii="Trebuchet MS"/>
          <w:color w:val="231F20"/>
          <w:spacing w:val="23"/>
          <w:sz w:val="14"/>
        </w:rPr>
        <w:t xml:space="preserve"> </w:t>
      </w:r>
      <w:r>
        <w:rPr>
          <w:rFonts w:ascii="Trebuchet MS"/>
          <w:color w:val="231F20"/>
          <w:sz w:val="14"/>
        </w:rPr>
        <w:t>holidays</w:t>
      </w:r>
      <w:r>
        <w:rPr>
          <w:rFonts w:ascii="Trebuchet MS"/>
          <w:color w:val="231F20"/>
          <w:spacing w:val="24"/>
          <w:sz w:val="14"/>
        </w:rPr>
        <w:t xml:space="preserve"> </w:t>
      </w:r>
      <w:r>
        <w:rPr>
          <w:rFonts w:ascii="Trebuchet MS"/>
          <w:color w:val="231F20"/>
          <w:sz w:val="14"/>
        </w:rPr>
        <w:t>with</w:t>
      </w:r>
      <w:r>
        <w:rPr>
          <w:rFonts w:ascii="Trebuchet MS"/>
          <w:color w:val="231F20"/>
          <w:spacing w:val="24"/>
          <w:sz w:val="14"/>
        </w:rPr>
        <w:t xml:space="preserve"> </w:t>
      </w:r>
      <w:r>
        <w:rPr>
          <w:rFonts w:ascii="Trebuchet MS"/>
          <w:color w:val="231F20"/>
          <w:sz w:val="14"/>
        </w:rPr>
        <w:t>sport</w:t>
      </w:r>
      <w:r>
        <w:rPr>
          <w:rFonts w:ascii="Trebuchet MS"/>
          <w:color w:val="231F20"/>
          <w:spacing w:val="24"/>
          <w:sz w:val="14"/>
        </w:rPr>
        <w:t xml:space="preserve"> </w:t>
      </w:r>
      <w:r>
        <w:rPr>
          <w:rFonts w:ascii="Trebuchet MS"/>
          <w:color w:val="231F20"/>
          <w:spacing w:val="-2"/>
          <w:sz w:val="14"/>
        </w:rPr>
        <w:t>content</w:t>
      </w:r>
      <w:r>
        <w:rPr>
          <w:rFonts w:ascii="Trebuchet MS"/>
          <w:color w:val="231F20"/>
          <w:sz w:val="14"/>
        </w:rPr>
        <w:tab/>
      </w:r>
      <w:r>
        <w:rPr>
          <w:rFonts w:ascii="Trebuchet MS"/>
          <w:color w:val="231F20"/>
          <w:position w:val="-3"/>
          <w:sz w:val="14"/>
        </w:rPr>
        <w:t>Incidental</w:t>
      </w:r>
      <w:r>
        <w:rPr>
          <w:rFonts w:ascii="Trebuchet MS"/>
          <w:color w:val="231F20"/>
          <w:spacing w:val="10"/>
          <w:position w:val="-3"/>
          <w:sz w:val="14"/>
        </w:rPr>
        <w:t xml:space="preserve"> </w:t>
      </w:r>
      <w:r>
        <w:rPr>
          <w:rFonts w:ascii="Trebuchet MS"/>
          <w:color w:val="231F20"/>
          <w:position w:val="-3"/>
          <w:sz w:val="14"/>
        </w:rPr>
        <w:t>(Jackson</w:t>
      </w:r>
      <w:r>
        <w:rPr>
          <w:rFonts w:ascii="Trebuchet MS"/>
          <w:color w:val="231F20"/>
          <w:spacing w:val="11"/>
          <w:position w:val="-3"/>
          <w:sz w:val="14"/>
        </w:rPr>
        <w:t xml:space="preserve"> </w:t>
      </w:r>
      <w:r>
        <w:rPr>
          <w:rFonts w:ascii="Trebuchet MS"/>
          <w:color w:val="231F20"/>
          <w:position w:val="-3"/>
          <w:sz w:val="14"/>
        </w:rPr>
        <w:t>&amp;</w:t>
      </w:r>
      <w:r>
        <w:rPr>
          <w:rFonts w:ascii="Trebuchet MS"/>
          <w:color w:val="231F20"/>
          <w:spacing w:val="11"/>
          <w:position w:val="-3"/>
          <w:sz w:val="14"/>
        </w:rPr>
        <w:t xml:space="preserve"> </w:t>
      </w:r>
      <w:r>
        <w:rPr>
          <w:rFonts w:ascii="Trebuchet MS"/>
          <w:color w:val="231F20"/>
          <w:position w:val="-3"/>
          <w:sz w:val="14"/>
        </w:rPr>
        <w:t>Reeves,</w:t>
      </w:r>
      <w:r>
        <w:rPr>
          <w:rFonts w:ascii="Trebuchet MS"/>
          <w:color w:val="231F20"/>
          <w:spacing w:val="11"/>
          <w:position w:val="-3"/>
          <w:sz w:val="14"/>
        </w:rPr>
        <w:t xml:space="preserve"> </w:t>
      </w:r>
      <w:r>
        <w:rPr>
          <w:rFonts w:ascii="Trebuchet MS"/>
          <w:color w:val="231F20"/>
          <w:spacing w:val="-2"/>
          <w:position w:val="-3"/>
          <w:sz w:val="14"/>
        </w:rPr>
        <w:t>1997)</w:t>
      </w:r>
    </w:p>
    <w:p w14:paraId="50072137" w14:textId="77777777" w:rsidR="00AE0598" w:rsidRDefault="0069255A">
      <w:pPr>
        <w:spacing w:line="161" w:lineRule="exact"/>
        <w:ind w:left="2883"/>
        <w:rPr>
          <w:rFonts w:ascii="Trebuchet MS"/>
          <w:sz w:val="14"/>
        </w:rPr>
      </w:pPr>
      <w:r>
        <w:rPr>
          <w:rFonts w:ascii="Trebuchet MS"/>
          <w:color w:val="231F20"/>
          <w:sz w:val="14"/>
        </w:rPr>
        <w:t>Incidental</w:t>
      </w:r>
      <w:r>
        <w:rPr>
          <w:rFonts w:ascii="Trebuchet MS"/>
          <w:color w:val="231F20"/>
          <w:spacing w:val="13"/>
          <w:sz w:val="14"/>
        </w:rPr>
        <w:t xml:space="preserve"> </w:t>
      </w:r>
      <w:r>
        <w:rPr>
          <w:rFonts w:ascii="Trebuchet MS"/>
          <w:color w:val="231F20"/>
          <w:sz w:val="14"/>
        </w:rPr>
        <w:t>(Reeves,</w:t>
      </w:r>
      <w:r>
        <w:rPr>
          <w:rFonts w:ascii="Trebuchet MS"/>
          <w:color w:val="231F20"/>
          <w:spacing w:val="13"/>
          <w:sz w:val="14"/>
        </w:rPr>
        <w:t xml:space="preserve"> </w:t>
      </w:r>
      <w:r>
        <w:rPr>
          <w:rFonts w:ascii="Trebuchet MS"/>
          <w:color w:val="231F20"/>
          <w:spacing w:val="-4"/>
          <w:sz w:val="14"/>
        </w:rPr>
        <w:t>2000)</w:t>
      </w:r>
    </w:p>
    <w:p w14:paraId="3C9219D7" w14:textId="15EF5EED" w:rsidR="00AE0598" w:rsidRDefault="0069255A">
      <w:pPr>
        <w:pStyle w:val="Corpodetexto"/>
        <w:spacing w:before="1"/>
        <w:rPr>
          <w:rFonts w:ascii="Trebuchet MS"/>
          <w:sz w:val="24"/>
        </w:rPr>
      </w:pPr>
      <w:r>
        <w:rPr>
          <w:noProof/>
        </w:rPr>
        <mc:AlternateContent>
          <mc:Choice Requires="wps">
            <w:drawing>
              <wp:anchor distT="0" distB="0" distL="0" distR="0" simplePos="0" relativeHeight="487664128" behindDoc="1" locked="0" layoutInCell="1" allowOverlap="1" wp14:anchorId="6E4DD65B" wp14:editId="1F08213A">
                <wp:simplePos x="0" y="0"/>
                <wp:positionH relativeFrom="page">
                  <wp:posOffset>755650</wp:posOffset>
                </wp:positionH>
                <wp:positionV relativeFrom="paragraph">
                  <wp:posOffset>193040</wp:posOffset>
                </wp:positionV>
                <wp:extent cx="4097655" cy="1270"/>
                <wp:effectExtent l="0" t="0" r="0" b="0"/>
                <wp:wrapTopAndBottom/>
                <wp:docPr id="155" name="docshape2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097655" cy="1270"/>
                        </a:xfrm>
                        <a:custGeom>
                          <a:avLst/>
                          <a:gdLst>
                            <a:gd name="T0" fmla="+- 0 1190 1190"/>
                            <a:gd name="T1" fmla="*/ T0 w 6453"/>
                            <a:gd name="T2" fmla="+- 0 3963 1190"/>
                            <a:gd name="T3" fmla="*/ T2 w 6453"/>
                            <a:gd name="T4" fmla="+- 0 7643 1190"/>
                            <a:gd name="T5" fmla="*/ T4 w 6453"/>
                          </a:gdLst>
                          <a:ahLst/>
                          <a:cxnLst>
                            <a:cxn ang="0">
                              <a:pos x="T1" y="0"/>
                            </a:cxn>
                            <a:cxn ang="0">
                              <a:pos x="T3" y="0"/>
                            </a:cxn>
                            <a:cxn ang="0">
                              <a:pos x="T5" y="0"/>
                            </a:cxn>
                          </a:cxnLst>
                          <a:rect l="0" t="0" r="r" b="b"/>
                          <a:pathLst>
                            <a:path w="6453">
                              <a:moveTo>
                                <a:pt x="0" y="0"/>
                              </a:moveTo>
                              <a:lnTo>
                                <a:pt x="2773" y="0"/>
                              </a:lnTo>
                              <a:lnTo>
                                <a:pt x="6453" y="0"/>
                              </a:lnTo>
                            </a:path>
                          </a:pathLst>
                        </a:custGeom>
                        <a:noFill/>
                        <a:ln w="3175">
                          <a:solidFill>
                            <a:srgbClr val="231F2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283531" id="docshape213" o:spid="_x0000_s1026" style="position:absolute;margin-left:59.5pt;margin-top:15.2pt;width:322.65pt;height:.1pt;z-index:-156523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45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" path="m,l2773,,6453,e" filled="f" strokecolor="#231f20" strokeweight=".25pt">
                <v:path arrowok="t" o:connecttype="custom" o:connectlocs="0,0;1760855,0;4097655,0" o:connectangles="0,0,0"/>
                <w10:wrap type="topAndBottom" anchorx="page"/>
              </v:shape>
            </w:pict>
          </mc:Fallback>
        </mc:AlternateContent>
      </w:r>
    </w:p>
    <w:p w14:paraId="4BF6254C" w14:textId="77777777" w:rsidR="00AE0598" w:rsidRDefault="0069255A">
      <w:pPr>
        <w:tabs>
          <w:tab w:val="left" w:pos="2882"/>
        </w:tabs>
        <w:spacing w:before="51" w:line="161" w:lineRule="exact"/>
        <w:ind w:left="110"/>
        <w:rPr>
          <w:rFonts w:ascii="Trebuchet MS"/>
          <w:sz w:val="14"/>
        </w:rPr>
      </w:pPr>
      <w:r>
        <w:rPr>
          <w:rFonts w:ascii="Trebuchet MS"/>
          <w:color w:val="231F20"/>
          <w:sz w:val="14"/>
        </w:rPr>
        <w:t>Specialist</w:t>
      </w:r>
      <w:r>
        <w:rPr>
          <w:rFonts w:ascii="Trebuchet MS"/>
          <w:color w:val="231F20"/>
          <w:spacing w:val="18"/>
          <w:sz w:val="14"/>
        </w:rPr>
        <w:t xml:space="preserve"> </w:t>
      </w:r>
      <w:r>
        <w:rPr>
          <w:rFonts w:ascii="Trebuchet MS"/>
          <w:color w:val="231F20"/>
          <w:sz w:val="14"/>
        </w:rPr>
        <w:t>or</w:t>
      </w:r>
      <w:r>
        <w:rPr>
          <w:rFonts w:ascii="Trebuchet MS"/>
          <w:color w:val="231F20"/>
          <w:spacing w:val="18"/>
          <w:sz w:val="14"/>
        </w:rPr>
        <w:t xml:space="preserve"> </w:t>
      </w:r>
      <w:r>
        <w:rPr>
          <w:rFonts w:ascii="Trebuchet MS"/>
          <w:color w:val="231F20"/>
          <w:sz w:val="14"/>
        </w:rPr>
        <w:t>general</w:t>
      </w:r>
      <w:r>
        <w:rPr>
          <w:rFonts w:ascii="Trebuchet MS"/>
          <w:color w:val="231F20"/>
          <w:spacing w:val="18"/>
          <w:sz w:val="14"/>
        </w:rPr>
        <w:t xml:space="preserve"> </w:t>
      </w:r>
      <w:r>
        <w:rPr>
          <w:rFonts w:ascii="Trebuchet MS"/>
          <w:color w:val="231F20"/>
          <w:sz w:val="14"/>
        </w:rPr>
        <w:t>sport</w:t>
      </w:r>
      <w:r>
        <w:rPr>
          <w:rFonts w:ascii="Trebuchet MS"/>
          <w:color w:val="231F20"/>
          <w:spacing w:val="18"/>
          <w:sz w:val="14"/>
        </w:rPr>
        <w:t xml:space="preserve"> </w:t>
      </w:r>
      <w:r>
        <w:rPr>
          <w:rFonts w:ascii="Trebuchet MS"/>
          <w:color w:val="231F20"/>
          <w:spacing w:val="-2"/>
          <w:sz w:val="14"/>
        </w:rPr>
        <w:t>holidays</w:t>
      </w:r>
      <w:r>
        <w:rPr>
          <w:rFonts w:ascii="Trebuchet MS"/>
          <w:color w:val="231F20"/>
          <w:sz w:val="14"/>
        </w:rPr>
        <w:tab/>
      </w:r>
      <w:r>
        <w:rPr>
          <w:rFonts w:ascii="Trebuchet MS"/>
          <w:color w:val="231F20"/>
          <w:w w:val="105"/>
          <w:sz w:val="14"/>
        </w:rPr>
        <w:t>Sport</w:t>
      </w:r>
      <w:r>
        <w:rPr>
          <w:rFonts w:ascii="Trebuchet MS"/>
          <w:color w:val="231F20"/>
          <w:spacing w:val="-1"/>
          <w:w w:val="105"/>
          <w:sz w:val="14"/>
        </w:rPr>
        <w:t xml:space="preserve"> </w:t>
      </w:r>
      <w:r>
        <w:rPr>
          <w:rFonts w:ascii="Trebuchet MS"/>
          <w:color w:val="231F20"/>
          <w:w w:val="105"/>
          <w:sz w:val="14"/>
        </w:rPr>
        <w:t xml:space="preserve">activity holidays (Standeven &amp; De Knop, </w:t>
      </w:r>
      <w:r>
        <w:rPr>
          <w:rFonts w:ascii="Trebuchet MS"/>
          <w:color w:val="231F20"/>
          <w:spacing w:val="-2"/>
          <w:w w:val="105"/>
          <w:sz w:val="14"/>
        </w:rPr>
        <w:t>1999)</w:t>
      </w:r>
    </w:p>
    <w:p w14:paraId="3D01A66E" w14:textId="77777777" w:rsidR="00AE0598" w:rsidRDefault="0069255A">
      <w:pPr>
        <w:spacing w:before="1" w:line="235" w:lineRule="auto"/>
        <w:ind w:left="2883" w:right="286"/>
        <w:rPr>
          <w:rFonts w:ascii="Trebuchet MS"/>
          <w:sz w:val="14"/>
        </w:rPr>
      </w:pPr>
      <w:r>
        <w:rPr>
          <w:rFonts w:ascii="Trebuchet MS"/>
          <w:color w:val="231F20"/>
          <w:w w:val="105"/>
          <w:sz w:val="14"/>
        </w:rPr>
        <w:t xml:space="preserve">Independent sport holidays (Standeven &amp; De Knop, </w:t>
      </w:r>
      <w:r>
        <w:rPr>
          <w:rFonts w:ascii="Trebuchet MS"/>
          <w:color w:val="231F20"/>
          <w:spacing w:val="-2"/>
          <w:w w:val="105"/>
          <w:sz w:val="14"/>
        </w:rPr>
        <w:t>1999)</w:t>
      </w:r>
    </w:p>
    <w:p w14:paraId="035AB14B" w14:textId="77777777" w:rsidR="00AE0598" w:rsidRDefault="0069255A">
      <w:pPr>
        <w:spacing w:line="160" w:lineRule="exact"/>
        <w:ind w:left="2883"/>
        <w:rPr>
          <w:rFonts w:ascii="Trebuchet MS"/>
          <w:sz w:val="14"/>
        </w:rPr>
      </w:pPr>
      <w:r>
        <w:rPr>
          <w:rFonts w:ascii="Trebuchet MS"/>
          <w:color w:val="231F20"/>
          <w:sz w:val="14"/>
        </w:rPr>
        <w:t>Sporadic</w:t>
      </w:r>
      <w:r>
        <w:rPr>
          <w:rFonts w:ascii="Trebuchet MS"/>
          <w:color w:val="231F20"/>
          <w:spacing w:val="12"/>
          <w:sz w:val="14"/>
        </w:rPr>
        <w:t xml:space="preserve"> </w:t>
      </w:r>
      <w:r>
        <w:rPr>
          <w:rFonts w:ascii="Trebuchet MS"/>
          <w:color w:val="231F20"/>
          <w:sz w:val="14"/>
        </w:rPr>
        <w:t>(Reeves,</w:t>
      </w:r>
      <w:r>
        <w:rPr>
          <w:rFonts w:ascii="Trebuchet MS"/>
          <w:color w:val="231F20"/>
          <w:spacing w:val="12"/>
          <w:sz w:val="14"/>
        </w:rPr>
        <w:t xml:space="preserve"> </w:t>
      </w:r>
      <w:r>
        <w:rPr>
          <w:rFonts w:ascii="Trebuchet MS"/>
          <w:color w:val="231F20"/>
          <w:spacing w:val="-4"/>
          <w:sz w:val="14"/>
        </w:rPr>
        <w:t>2000)</w:t>
      </w:r>
    </w:p>
    <w:p w14:paraId="495029DE" w14:textId="7091C891" w:rsidR="00AE0598" w:rsidRDefault="0069255A">
      <w:pPr>
        <w:spacing w:before="1" w:line="235" w:lineRule="auto"/>
        <w:ind w:left="2883" w:right="445"/>
        <w:rPr>
          <w:rFonts w:ascii="Trebuchet MS"/>
          <w:sz w:val="14"/>
        </w:rPr>
      </w:pPr>
      <w:r>
        <w:rPr>
          <w:noProof/>
        </w:rPr>
        <mc:AlternateContent>
          <mc:Choice Requires="wps">
            <w:drawing>
              <wp:anchor distT="0" distB="0" distL="0" distR="0" simplePos="0" relativeHeight="487664640" behindDoc="1" locked="0" layoutInCell="1" allowOverlap="1" wp14:anchorId="3B2565AF" wp14:editId="3F350872">
                <wp:simplePos x="0" y="0"/>
                <wp:positionH relativeFrom="page">
                  <wp:posOffset>755650</wp:posOffset>
                </wp:positionH>
                <wp:positionV relativeFrom="paragraph">
                  <wp:posOffset>336550</wp:posOffset>
                </wp:positionV>
                <wp:extent cx="4097655" cy="1270"/>
                <wp:effectExtent l="0" t="0" r="0" b="0"/>
                <wp:wrapTopAndBottom/>
                <wp:docPr id="154" name="docshape2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097655" cy="1270"/>
                        </a:xfrm>
                        <a:custGeom>
                          <a:avLst/>
                          <a:gdLst>
                            <a:gd name="T0" fmla="+- 0 1190 1190"/>
                            <a:gd name="T1" fmla="*/ T0 w 6453"/>
                            <a:gd name="T2" fmla="+- 0 3963 1190"/>
                            <a:gd name="T3" fmla="*/ T2 w 6453"/>
                            <a:gd name="T4" fmla="+- 0 7643 1190"/>
                            <a:gd name="T5" fmla="*/ T4 w 6453"/>
                          </a:gdLst>
                          <a:ahLst/>
                          <a:cxnLst>
                            <a:cxn ang="0">
                              <a:pos x="T1" y="0"/>
                            </a:cxn>
                            <a:cxn ang="0">
                              <a:pos x="T3" y="0"/>
                            </a:cxn>
                            <a:cxn ang="0">
                              <a:pos x="T5" y="0"/>
                            </a:cxn>
                          </a:cxnLst>
                          <a:rect l="0" t="0" r="r" b="b"/>
                          <a:pathLst>
                            <a:path w="6453">
                              <a:moveTo>
                                <a:pt x="0" y="0"/>
                              </a:moveTo>
                              <a:lnTo>
                                <a:pt x="2773" y="0"/>
                              </a:lnTo>
                              <a:lnTo>
                                <a:pt x="6453" y="0"/>
                              </a:lnTo>
                            </a:path>
                          </a:pathLst>
                        </a:custGeom>
                        <a:noFill/>
                        <a:ln w="3175">
                          <a:solidFill>
                            <a:srgbClr val="231F2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8DB1F5" id="docshape214" o:spid="_x0000_s1026" style="position:absolute;margin-left:59.5pt;margin-top:26.5pt;width:322.65pt;height:.1pt;z-index:-156518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45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" path="m,l2773,,6453,e" filled="f" strokecolor="#231f20" strokeweight=".25pt">
                <v:path arrowok="t" o:connecttype="custom" o:connectlocs="0,0;1760855,0;4097655,0" o:connectangles="0,0,0"/>
                <w10:wrap type="topAndBottom" anchorx="page"/>
              </v:shape>
            </w:pict>
          </mc:Fallback>
        </mc:AlternateContent>
      </w:r>
      <w:r>
        <w:rPr>
          <w:rFonts w:ascii="Trebuchet MS"/>
          <w:color w:val="231F20"/>
          <w:spacing w:val="2"/>
          <w:w w:val="115"/>
          <w:sz w:val="14"/>
        </w:rPr>
        <w:t>O</w:t>
      </w:r>
      <w:r>
        <w:rPr>
          <w:rFonts w:ascii="Trebuchet MS"/>
          <w:color w:val="231F20"/>
          <w:spacing w:val="-1"/>
          <w:w w:val="89"/>
          <w:sz w:val="14"/>
        </w:rPr>
        <w:t>c</w:t>
      </w:r>
      <w:r>
        <w:rPr>
          <w:rFonts w:ascii="Trebuchet MS"/>
          <w:color w:val="231F20"/>
          <w:spacing w:val="1"/>
          <w:w w:val="89"/>
          <w:sz w:val="14"/>
        </w:rPr>
        <w:t>c</w:t>
      </w:r>
      <w:r>
        <w:rPr>
          <w:rFonts w:ascii="Trebuchet MS"/>
          <w:color w:val="231F20"/>
          <w:spacing w:val="1"/>
          <w:w w:val="105"/>
          <w:sz w:val="14"/>
        </w:rPr>
        <w:t>a</w:t>
      </w:r>
      <w:r>
        <w:rPr>
          <w:rFonts w:ascii="Trebuchet MS"/>
          <w:color w:val="231F20"/>
          <w:w w:val="96"/>
          <w:sz w:val="14"/>
        </w:rPr>
        <w:t>s</w:t>
      </w:r>
      <w:r>
        <w:rPr>
          <w:rFonts w:ascii="Trebuchet MS"/>
          <w:color w:val="231F20"/>
          <w:spacing w:val="-1"/>
          <w:w w:val="97"/>
          <w:sz w:val="14"/>
        </w:rPr>
        <w:t>i</w:t>
      </w:r>
      <w:r>
        <w:rPr>
          <w:rFonts w:ascii="Trebuchet MS"/>
          <w:color w:val="231F20"/>
          <w:w w:val="113"/>
          <w:sz w:val="14"/>
        </w:rPr>
        <w:t>o</w:t>
      </w:r>
      <w:r>
        <w:rPr>
          <w:rFonts w:ascii="Trebuchet MS"/>
          <w:color w:val="231F20"/>
          <w:w w:val="111"/>
          <w:sz w:val="14"/>
        </w:rPr>
        <w:t>n</w:t>
      </w:r>
      <w:r>
        <w:rPr>
          <w:rFonts w:ascii="Trebuchet MS"/>
          <w:color w:val="231F20"/>
          <w:spacing w:val="-1"/>
          <w:w w:val="105"/>
          <w:sz w:val="14"/>
        </w:rPr>
        <w:t>a</w:t>
      </w:r>
      <w:r>
        <w:rPr>
          <w:rFonts w:ascii="Trebuchet MS"/>
          <w:color w:val="231F20"/>
          <w:spacing w:val="2"/>
          <w:w w:val="94"/>
          <w:sz w:val="14"/>
        </w:rPr>
        <w:t>l</w:t>
      </w:r>
      <w:r>
        <w:rPr>
          <w:rFonts w:ascii="Trebuchet MS"/>
          <w:color w:val="231F20"/>
          <w:spacing w:val="-1"/>
          <w:w w:val="53"/>
          <w:sz w:val="14"/>
        </w:rPr>
        <w:t>/</w:t>
      </w:r>
      <w:r>
        <w:rPr>
          <w:rFonts w:ascii="Trebuchet MS"/>
          <w:color w:val="231F20"/>
          <w:spacing w:val="-1"/>
          <w:sz w:val="14"/>
        </w:rPr>
        <w:t>r</w:t>
      </w:r>
      <w:r>
        <w:rPr>
          <w:rFonts w:ascii="Trebuchet MS"/>
          <w:color w:val="231F20"/>
          <w:spacing w:val="1"/>
          <w:w w:val="101"/>
          <w:sz w:val="14"/>
        </w:rPr>
        <w:t>e</w:t>
      </w:r>
      <w:r>
        <w:rPr>
          <w:rFonts w:ascii="Trebuchet MS"/>
          <w:color w:val="231F20"/>
          <w:w w:val="121"/>
          <w:sz w:val="14"/>
        </w:rPr>
        <w:t>g</w:t>
      </w:r>
      <w:r>
        <w:rPr>
          <w:rFonts w:ascii="Trebuchet MS"/>
          <w:color w:val="231F20"/>
          <w:spacing w:val="-1"/>
          <w:w w:val="111"/>
          <w:sz w:val="14"/>
        </w:rPr>
        <w:t>u</w:t>
      </w:r>
      <w:r>
        <w:rPr>
          <w:rFonts w:ascii="Trebuchet MS"/>
          <w:color w:val="231F20"/>
          <w:spacing w:val="-1"/>
          <w:w w:val="94"/>
          <w:sz w:val="14"/>
        </w:rPr>
        <w:t>l</w:t>
      </w:r>
      <w:r>
        <w:rPr>
          <w:rFonts w:ascii="Trebuchet MS"/>
          <w:color w:val="231F20"/>
          <w:w w:val="105"/>
          <w:sz w:val="14"/>
        </w:rPr>
        <w:t>a</w:t>
      </w:r>
      <w:r>
        <w:rPr>
          <w:rFonts w:ascii="Trebuchet MS"/>
          <w:color w:val="231F20"/>
          <w:spacing w:val="-2"/>
          <w:sz w:val="14"/>
        </w:rPr>
        <w:t>r</w:t>
      </w:r>
      <w:r>
        <w:rPr>
          <w:rFonts w:ascii="Trebuchet MS"/>
          <w:color w:val="231F20"/>
          <w:spacing w:val="-1"/>
          <w:w w:val="99"/>
          <w:sz w:val="14"/>
        </w:rPr>
        <w:t xml:space="preserve"> </w:t>
      </w:r>
      <w:r>
        <w:rPr>
          <w:rFonts w:ascii="Trebuchet MS"/>
          <w:color w:val="231F20"/>
          <w:sz w:val="14"/>
        </w:rPr>
        <w:t>(Jackson &amp; Reeves, 1997) Occasional sports (wo)men (Maier &amp; Weber, 1993) Mass sports (Maier &amp; Weber, 1993)</w:t>
      </w:r>
    </w:p>
    <w:p w14:paraId="2362F627" w14:textId="77777777" w:rsidR="00AE0598" w:rsidRDefault="0069255A">
      <w:pPr>
        <w:tabs>
          <w:tab w:val="left" w:pos="2882"/>
        </w:tabs>
        <w:spacing w:before="53" w:line="235" w:lineRule="auto"/>
        <w:ind w:left="2883" w:right="558" w:hanging="2773"/>
        <w:rPr>
          <w:rFonts w:ascii="Trebuchet MS"/>
          <w:sz w:val="14"/>
        </w:rPr>
      </w:pPr>
      <w:r>
        <w:rPr>
          <w:rFonts w:ascii="Trebuchet MS"/>
          <w:color w:val="231F20"/>
          <w:w w:val="105"/>
          <w:sz w:val="14"/>
        </w:rPr>
        <w:t>Upmarket sport holidays</w:t>
      </w:r>
      <w:r>
        <w:rPr>
          <w:rFonts w:ascii="Trebuchet MS"/>
          <w:color w:val="231F20"/>
          <w:sz w:val="14"/>
        </w:rPr>
        <w:tab/>
      </w:r>
      <w:r>
        <w:rPr>
          <w:rFonts w:ascii="Trebuchet MS"/>
          <w:color w:val="231F20"/>
          <w:w w:val="105"/>
          <w:sz w:val="14"/>
        </w:rPr>
        <w:t xml:space="preserve">Organised holiday sports (Standeven &amp; De Knop, </w:t>
      </w:r>
      <w:r>
        <w:rPr>
          <w:rFonts w:ascii="Trebuchet MS"/>
          <w:color w:val="231F20"/>
          <w:spacing w:val="-2"/>
          <w:w w:val="105"/>
          <w:sz w:val="14"/>
        </w:rPr>
        <w:t>1999)</w:t>
      </w:r>
    </w:p>
    <w:p w14:paraId="2689FB1B" w14:textId="77777777" w:rsidR="00AE0598" w:rsidRDefault="0069255A">
      <w:pPr>
        <w:spacing w:line="161" w:lineRule="exact"/>
        <w:ind w:left="2883"/>
        <w:rPr>
          <w:rFonts w:ascii="Trebuchet MS"/>
          <w:sz w:val="14"/>
        </w:rPr>
      </w:pPr>
      <w:r>
        <w:rPr>
          <w:rFonts w:ascii="Trebuchet MS"/>
          <w:color w:val="231F20"/>
          <w:spacing w:val="2"/>
          <w:w w:val="115"/>
          <w:sz w:val="14"/>
        </w:rPr>
        <w:t>O</w:t>
      </w:r>
      <w:r>
        <w:rPr>
          <w:rFonts w:ascii="Trebuchet MS"/>
          <w:color w:val="231F20"/>
          <w:spacing w:val="-1"/>
          <w:w w:val="89"/>
          <w:sz w:val="14"/>
        </w:rPr>
        <w:t>c</w:t>
      </w:r>
      <w:r>
        <w:rPr>
          <w:rFonts w:ascii="Trebuchet MS"/>
          <w:color w:val="231F20"/>
          <w:spacing w:val="1"/>
          <w:w w:val="89"/>
          <w:sz w:val="14"/>
        </w:rPr>
        <w:t>c</w:t>
      </w:r>
      <w:r>
        <w:rPr>
          <w:rFonts w:ascii="Trebuchet MS"/>
          <w:color w:val="231F20"/>
          <w:spacing w:val="1"/>
          <w:w w:val="105"/>
          <w:sz w:val="14"/>
        </w:rPr>
        <w:t>a</w:t>
      </w:r>
      <w:r>
        <w:rPr>
          <w:rFonts w:ascii="Trebuchet MS"/>
          <w:color w:val="231F20"/>
          <w:w w:val="96"/>
          <w:sz w:val="14"/>
        </w:rPr>
        <w:t>s</w:t>
      </w:r>
      <w:r>
        <w:rPr>
          <w:rFonts w:ascii="Trebuchet MS"/>
          <w:color w:val="231F20"/>
          <w:spacing w:val="-1"/>
          <w:w w:val="97"/>
          <w:sz w:val="14"/>
        </w:rPr>
        <w:t>i</w:t>
      </w:r>
      <w:r>
        <w:rPr>
          <w:rFonts w:ascii="Trebuchet MS"/>
          <w:color w:val="231F20"/>
          <w:w w:val="113"/>
          <w:sz w:val="14"/>
        </w:rPr>
        <w:t>o</w:t>
      </w:r>
      <w:r>
        <w:rPr>
          <w:rFonts w:ascii="Trebuchet MS"/>
          <w:color w:val="231F20"/>
          <w:w w:val="111"/>
          <w:sz w:val="14"/>
        </w:rPr>
        <w:t>n</w:t>
      </w:r>
      <w:r>
        <w:rPr>
          <w:rFonts w:ascii="Trebuchet MS"/>
          <w:color w:val="231F20"/>
          <w:spacing w:val="-1"/>
          <w:w w:val="105"/>
          <w:sz w:val="14"/>
        </w:rPr>
        <w:t>a</w:t>
      </w:r>
      <w:r>
        <w:rPr>
          <w:rFonts w:ascii="Trebuchet MS"/>
          <w:color w:val="231F20"/>
          <w:spacing w:val="2"/>
          <w:w w:val="94"/>
          <w:sz w:val="14"/>
        </w:rPr>
        <w:t>l</w:t>
      </w:r>
      <w:r>
        <w:rPr>
          <w:rFonts w:ascii="Trebuchet MS"/>
          <w:color w:val="231F20"/>
          <w:spacing w:val="-1"/>
          <w:w w:val="53"/>
          <w:sz w:val="14"/>
        </w:rPr>
        <w:t>/</w:t>
      </w:r>
      <w:r>
        <w:rPr>
          <w:rFonts w:ascii="Trebuchet MS"/>
          <w:color w:val="231F20"/>
          <w:spacing w:val="-1"/>
          <w:sz w:val="14"/>
        </w:rPr>
        <w:t>r</w:t>
      </w:r>
      <w:r>
        <w:rPr>
          <w:rFonts w:ascii="Trebuchet MS"/>
          <w:color w:val="231F20"/>
          <w:spacing w:val="1"/>
          <w:w w:val="101"/>
          <w:sz w:val="14"/>
        </w:rPr>
        <w:t>e</w:t>
      </w:r>
      <w:r>
        <w:rPr>
          <w:rFonts w:ascii="Trebuchet MS"/>
          <w:color w:val="231F20"/>
          <w:w w:val="121"/>
          <w:sz w:val="14"/>
        </w:rPr>
        <w:t>g</w:t>
      </w:r>
      <w:r>
        <w:rPr>
          <w:rFonts w:ascii="Trebuchet MS"/>
          <w:color w:val="231F20"/>
          <w:spacing w:val="-1"/>
          <w:w w:val="111"/>
          <w:sz w:val="14"/>
        </w:rPr>
        <w:t>u</w:t>
      </w:r>
      <w:r>
        <w:rPr>
          <w:rFonts w:ascii="Trebuchet MS"/>
          <w:color w:val="231F20"/>
          <w:spacing w:val="-1"/>
          <w:w w:val="94"/>
          <w:sz w:val="14"/>
        </w:rPr>
        <w:t>l</w:t>
      </w:r>
      <w:r>
        <w:rPr>
          <w:rFonts w:ascii="Trebuchet MS"/>
          <w:color w:val="231F20"/>
          <w:w w:val="105"/>
          <w:sz w:val="14"/>
        </w:rPr>
        <w:t>a</w:t>
      </w:r>
      <w:r>
        <w:rPr>
          <w:rFonts w:ascii="Trebuchet MS"/>
          <w:color w:val="231F20"/>
          <w:spacing w:val="-2"/>
          <w:sz w:val="14"/>
        </w:rPr>
        <w:t>r</w:t>
      </w:r>
      <w:r>
        <w:rPr>
          <w:rFonts w:ascii="Trebuchet MS"/>
          <w:color w:val="231F20"/>
          <w:spacing w:val="9"/>
          <w:sz w:val="14"/>
        </w:rPr>
        <w:t xml:space="preserve"> </w:t>
      </w:r>
      <w:r>
        <w:rPr>
          <w:rFonts w:ascii="Trebuchet MS"/>
          <w:color w:val="231F20"/>
          <w:sz w:val="14"/>
        </w:rPr>
        <w:t>(Jackson</w:t>
      </w:r>
      <w:r>
        <w:rPr>
          <w:rFonts w:ascii="Trebuchet MS"/>
          <w:color w:val="231F20"/>
          <w:spacing w:val="11"/>
          <w:sz w:val="14"/>
        </w:rPr>
        <w:t xml:space="preserve"> </w:t>
      </w:r>
      <w:r>
        <w:rPr>
          <w:rFonts w:ascii="Trebuchet MS"/>
          <w:color w:val="231F20"/>
          <w:sz w:val="14"/>
        </w:rPr>
        <w:t>&amp;</w:t>
      </w:r>
      <w:r>
        <w:rPr>
          <w:rFonts w:ascii="Trebuchet MS"/>
          <w:color w:val="231F20"/>
          <w:spacing w:val="11"/>
          <w:sz w:val="14"/>
        </w:rPr>
        <w:t xml:space="preserve"> </w:t>
      </w:r>
      <w:r>
        <w:rPr>
          <w:rFonts w:ascii="Trebuchet MS"/>
          <w:color w:val="231F20"/>
          <w:sz w:val="14"/>
        </w:rPr>
        <w:t>Reeves,</w:t>
      </w:r>
      <w:r>
        <w:rPr>
          <w:rFonts w:ascii="Trebuchet MS"/>
          <w:color w:val="231F20"/>
          <w:spacing w:val="12"/>
          <w:sz w:val="14"/>
        </w:rPr>
        <w:t xml:space="preserve"> </w:t>
      </w:r>
      <w:r>
        <w:rPr>
          <w:rFonts w:ascii="Trebuchet MS"/>
          <w:color w:val="231F20"/>
          <w:spacing w:val="-4"/>
          <w:sz w:val="14"/>
        </w:rPr>
        <w:t>1997)</w:t>
      </w:r>
    </w:p>
    <w:p w14:paraId="1672F27C" w14:textId="59FFE8A7" w:rsidR="00AE0598" w:rsidRDefault="0069255A">
      <w:pPr>
        <w:pStyle w:val="Corpodetexto"/>
        <w:spacing w:before="4"/>
        <w:rPr>
          <w:rFonts w:ascii="Trebuchet MS"/>
          <w:sz w:val="10"/>
        </w:rPr>
      </w:pPr>
      <w:r>
        <w:rPr>
          <w:noProof/>
        </w:rPr>
        <mc:AlternateContent>
          <mc:Choice Requires="wps">
            <w:drawing>
              <wp:anchor distT="0" distB="0" distL="0" distR="0" simplePos="0" relativeHeight="487665152" behindDoc="1" locked="0" layoutInCell="1" allowOverlap="1" wp14:anchorId="24BAB189" wp14:editId="6AA51412">
                <wp:simplePos x="0" y="0"/>
                <wp:positionH relativeFrom="page">
                  <wp:posOffset>755650</wp:posOffset>
                </wp:positionH>
                <wp:positionV relativeFrom="paragraph">
                  <wp:posOffset>92075</wp:posOffset>
                </wp:positionV>
                <wp:extent cx="4097655" cy="1270"/>
                <wp:effectExtent l="0" t="0" r="0" b="0"/>
                <wp:wrapTopAndBottom/>
                <wp:docPr id="153" name="docshape2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097655" cy="1270"/>
                        </a:xfrm>
                        <a:custGeom>
                          <a:avLst/>
                          <a:gdLst>
                            <a:gd name="T0" fmla="+- 0 1190 1190"/>
                            <a:gd name="T1" fmla="*/ T0 w 6453"/>
                            <a:gd name="T2" fmla="+- 0 3963 1190"/>
                            <a:gd name="T3" fmla="*/ T2 w 6453"/>
                            <a:gd name="T4" fmla="+- 0 7643 1190"/>
                            <a:gd name="T5" fmla="*/ T4 w 6453"/>
                          </a:gdLst>
                          <a:ahLst/>
                          <a:cxnLst>
                            <a:cxn ang="0">
                              <a:pos x="T1" y="0"/>
                            </a:cxn>
                            <a:cxn ang="0">
                              <a:pos x="T3" y="0"/>
                            </a:cxn>
                            <a:cxn ang="0">
                              <a:pos x="T5" y="0"/>
                            </a:cxn>
                          </a:cxnLst>
                          <a:rect l="0" t="0" r="r" b="b"/>
                          <a:pathLst>
                            <a:path w="6453">
                              <a:moveTo>
                                <a:pt x="0" y="0"/>
                              </a:moveTo>
                              <a:lnTo>
                                <a:pt x="2773" y="0"/>
                              </a:lnTo>
                              <a:lnTo>
                                <a:pt x="6453" y="0"/>
                              </a:lnTo>
                            </a:path>
                          </a:pathLst>
                        </a:custGeom>
                        <a:noFill/>
                        <a:ln w="3175">
                          <a:solidFill>
                            <a:srgbClr val="231F2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C84A10" id="docshape215" o:spid="_x0000_s1026" style="position:absolute;margin-left:59.5pt;margin-top:7.25pt;width:322.65pt;height:.1pt;z-index:-156513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45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" path="m,l2773,,6453,e" filled="f" strokecolor="#231f20" strokeweight=".25pt">
                <v:path arrowok="t" o:connecttype="custom" o:connectlocs="0,0;1760855,0;4097655,0" o:connectangles="0,0,0"/>
                <w10:wrap type="topAndBottom" anchorx="page"/>
              </v:shape>
            </w:pict>
          </mc:Fallback>
        </mc:AlternateContent>
      </w:r>
    </w:p>
    <w:p w14:paraId="52CD30F3" w14:textId="77777777" w:rsidR="00AE0598" w:rsidRDefault="0069255A">
      <w:pPr>
        <w:tabs>
          <w:tab w:val="left" w:pos="2882"/>
        </w:tabs>
        <w:spacing w:before="53" w:line="235" w:lineRule="auto"/>
        <w:ind w:left="2883" w:right="558" w:hanging="2773"/>
        <w:rPr>
          <w:rFonts w:ascii="Trebuchet MS"/>
          <w:sz w:val="14"/>
        </w:rPr>
      </w:pPr>
      <w:r>
        <w:rPr>
          <w:rFonts w:ascii="Trebuchet MS"/>
          <w:color w:val="231F20"/>
          <w:sz w:val="14"/>
        </w:rPr>
        <w:t>Elite</w:t>
      </w:r>
      <w:r>
        <w:rPr>
          <w:rFonts w:ascii="Trebuchet MS"/>
          <w:color w:val="231F20"/>
          <w:spacing w:val="-7"/>
          <w:sz w:val="14"/>
        </w:rPr>
        <w:t xml:space="preserve"> </w:t>
      </w:r>
      <w:r>
        <w:rPr>
          <w:rFonts w:ascii="Trebuchet MS"/>
          <w:color w:val="231F20"/>
          <w:sz w:val="14"/>
        </w:rPr>
        <w:t>training</w:t>
      </w:r>
      <w:r>
        <w:rPr>
          <w:rFonts w:ascii="Trebuchet MS"/>
          <w:color w:val="231F20"/>
          <w:sz w:val="14"/>
        </w:rPr>
        <w:tab/>
      </w:r>
      <w:r>
        <w:rPr>
          <w:rFonts w:ascii="Trebuchet MS"/>
          <w:color w:val="231F20"/>
          <w:sz w:val="14"/>
        </w:rPr>
        <w:t xml:space="preserve">Top performance athletes (Maier &amp; Weber, 1993) </w:t>
      </w:r>
      <w:r>
        <w:rPr>
          <w:rFonts w:ascii="Trebuchet MS"/>
          <w:color w:val="231F20"/>
          <w:spacing w:val="1"/>
          <w:w w:val="117"/>
          <w:sz w:val="14"/>
        </w:rPr>
        <w:t>D</w:t>
      </w:r>
      <w:r>
        <w:rPr>
          <w:rFonts w:ascii="Trebuchet MS"/>
          <w:color w:val="231F20"/>
          <w:spacing w:val="1"/>
          <w:w w:val="101"/>
          <w:sz w:val="14"/>
        </w:rPr>
        <w:t>e</w:t>
      </w:r>
      <w:r>
        <w:rPr>
          <w:rFonts w:ascii="Trebuchet MS"/>
          <w:color w:val="231F20"/>
          <w:spacing w:val="-1"/>
          <w:w w:val="109"/>
          <w:sz w:val="14"/>
        </w:rPr>
        <w:t>d</w:t>
      </w:r>
      <w:r>
        <w:rPr>
          <w:rFonts w:ascii="Trebuchet MS"/>
          <w:color w:val="231F20"/>
          <w:w w:val="97"/>
          <w:sz w:val="14"/>
        </w:rPr>
        <w:t>i</w:t>
      </w:r>
      <w:r>
        <w:rPr>
          <w:rFonts w:ascii="Trebuchet MS"/>
          <w:color w:val="231F20"/>
          <w:spacing w:val="1"/>
          <w:w w:val="89"/>
          <w:sz w:val="14"/>
        </w:rPr>
        <w:t>c</w:t>
      </w:r>
      <w:r>
        <w:rPr>
          <w:rFonts w:ascii="Trebuchet MS"/>
          <w:color w:val="231F20"/>
          <w:w w:val="105"/>
          <w:sz w:val="14"/>
        </w:rPr>
        <w:t>a</w:t>
      </w:r>
      <w:r>
        <w:rPr>
          <w:rFonts w:ascii="Trebuchet MS"/>
          <w:color w:val="231F20"/>
          <w:spacing w:val="-1"/>
          <w:w w:val="98"/>
          <w:sz w:val="14"/>
        </w:rPr>
        <w:t>t</w:t>
      </w:r>
      <w:r>
        <w:rPr>
          <w:rFonts w:ascii="Trebuchet MS"/>
          <w:color w:val="231F20"/>
          <w:spacing w:val="1"/>
          <w:w w:val="101"/>
          <w:sz w:val="14"/>
        </w:rPr>
        <w:t>e</w:t>
      </w:r>
      <w:r>
        <w:rPr>
          <w:rFonts w:ascii="Trebuchet MS"/>
          <w:color w:val="231F20"/>
          <w:spacing w:val="3"/>
          <w:w w:val="109"/>
          <w:sz w:val="14"/>
        </w:rPr>
        <w:t>d</w:t>
      </w:r>
      <w:r>
        <w:rPr>
          <w:rFonts w:ascii="Trebuchet MS"/>
          <w:color w:val="231F20"/>
          <w:spacing w:val="-2"/>
          <w:w w:val="53"/>
          <w:sz w:val="14"/>
        </w:rPr>
        <w:t>/</w:t>
      </w:r>
      <w:r>
        <w:rPr>
          <w:rFonts w:ascii="Trebuchet MS"/>
          <w:color w:val="231F20"/>
          <w:w w:val="109"/>
          <w:sz w:val="14"/>
        </w:rPr>
        <w:t>d</w:t>
      </w:r>
      <w:r>
        <w:rPr>
          <w:rFonts w:ascii="Trebuchet MS"/>
          <w:color w:val="231F20"/>
          <w:spacing w:val="-1"/>
          <w:sz w:val="14"/>
        </w:rPr>
        <w:t>r</w:t>
      </w:r>
      <w:r>
        <w:rPr>
          <w:rFonts w:ascii="Trebuchet MS"/>
          <w:color w:val="231F20"/>
          <w:w w:val="97"/>
          <w:sz w:val="14"/>
        </w:rPr>
        <w:t>i</w:t>
      </w:r>
      <w:r>
        <w:rPr>
          <w:rFonts w:ascii="Trebuchet MS"/>
          <w:color w:val="231F20"/>
          <w:spacing w:val="-1"/>
          <w:w w:val="102"/>
          <w:sz w:val="14"/>
        </w:rPr>
        <w:t>v</w:t>
      </w:r>
      <w:r>
        <w:rPr>
          <w:rFonts w:ascii="Trebuchet MS"/>
          <w:color w:val="231F20"/>
          <w:w w:val="101"/>
          <w:sz w:val="14"/>
        </w:rPr>
        <w:t>e</w:t>
      </w:r>
      <w:r>
        <w:rPr>
          <w:rFonts w:ascii="Trebuchet MS"/>
          <w:color w:val="231F20"/>
          <w:spacing w:val="-2"/>
          <w:w w:val="111"/>
          <w:sz w:val="14"/>
        </w:rPr>
        <w:t>n</w:t>
      </w:r>
      <w:r>
        <w:rPr>
          <w:rFonts w:ascii="Trebuchet MS"/>
          <w:color w:val="231F20"/>
          <w:spacing w:val="-1"/>
          <w:w w:val="99"/>
          <w:sz w:val="14"/>
        </w:rPr>
        <w:t xml:space="preserve"> </w:t>
      </w:r>
      <w:r>
        <w:rPr>
          <w:rFonts w:ascii="Trebuchet MS"/>
          <w:color w:val="231F20"/>
          <w:sz w:val="14"/>
        </w:rPr>
        <w:t>(Jackson &amp; Reeves, 1997)</w:t>
      </w:r>
    </w:p>
    <w:p w14:paraId="24DBB312" w14:textId="1A2414F0" w:rsidR="00AE0598" w:rsidRDefault="0069255A">
      <w:pPr>
        <w:pStyle w:val="Corpodetexto"/>
        <w:spacing w:before="3"/>
        <w:rPr>
          <w:rFonts w:ascii="Trebuchet MS"/>
          <w:sz w:val="24"/>
        </w:rPr>
      </w:pPr>
      <w:r>
        <w:rPr>
          <w:noProof/>
        </w:rPr>
        <mc:AlternateContent>
          <mc:Choice Requires="wps">
            <w:drawing>
              <wp:anchor distT="0" distB="0" distL="0" distR="0" simplePos="0" relativeHeight="487665664" behindDoc="1" locked="0" layoutInCell="1" allowOverlap="1" wp14:anchorId="293988C6" wp14:editId="1541D8BA">
                <wp:simplePos x="0" y="0"/>
                <wp:positionH relativeFrom="page">
                  <wp:posOffset>755650</wp:posOffset>
                </wp:positionH>
                <wp:positionV relativeFrom="paragraph">
                  <wp:posOffset>194310</wp:posOffset>
                </wp:positionV>
                <wp:extent cx="4097655" cy="1270"/>
                <wp:effectExtent l="0" t="0" r="0" b="0"/>
                <wp:wrapTopAndBottom/>
                <wp:docPr id="152" name="docshape2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097655" cy="1270"/>
                        </a:xfrm>
                        <a:custGeom>
                          <a:avLst/>
                          <a:gdLst>
                            <a:gd name="T0" fmla="+- 0 1190 1190"/>
                            <a:gd name="T1" fmla="*/ T0 w 6453"/>
                            <a:gd name="T2" fmla="+- 0 3963 1190"/>
                            <a:gd name="T3" fmla="*/ T2 w 6453"/>
                            <a:gd name="T4" fmla="+- 0 7643 1190"/>
                            <a:gd name="T5" fmla="*/ T4 w 6453"/>
                          </a:gdLst>
                          <a:ahLst/>
                          <a:cxnLst>
                            <a:cxn ang="0">
                              <a:pos x="T1" y="0"/>
                            </a:cxn>
                            <a:cxn ang="0">
                              <a:pos x="T3" y="0"/>
                            </a:cxn>
                            <a:cxn ang="0">
                              <a:pos x="T5" y="0"/>
                            </a:cxn>
                          </a:cxnLst>
                          <a:rect l="0" t="0" r="r" b="b"/>
                          <a:pathLst>
                            <a:path w="6453">
                              <a:moveTo>
                                <a:pt x="0" y="0"/>
                              </a:moveTo>
                              <a:lnTo>
                                <a:pt x="2773" y="0"/>
                              </a:lnTo>
                              <a:lnTo>
                                <a:pt x="6453" y="0"/>
                              </a:lnTo>
                            </a:path>
                          </a:pathLst>
                        </a:custGeom>
                        <a:noFill/>
                        <a:ln w="3175">
                          <a:solidFill>
                            <a:srgbClr val="231F2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3E3886" id="docshape216" o:spid="_x0000_s1026" style="position:absolute;margin-left:59.5pt;margin-top:15.3pt;width:322.65pt;height:.1pt;z-index:-156508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45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" path="m,l2773,,6453,e" filled="f" strokecolor="#231f20" strokeweight=".25pt">
                <v:path arrowok="t" o:connecttype="custom" o:connectlocs="0,0;1760855,0;4097655,0" o:connectangles="0,0,0"/>
                <w10:wrap type="topAndBottom" anchorx="page"/>
              </v:shape>
            </w:pict>
          </mc:Fallback>
        </mc:AlternateContent>
      </w:r>
    </w:p>
    <w:p w14:paraId="1B717662" w14:textId="77777777" w:rsidR="00AE0598" w:rsidRDefault="0069255A">
      <w:pPr>
        <w:tabs>
          <w:tab w:val="left" w:pos="2882"/>
        </w:tabs>
        <w:spacing w:before="53" w:line="235" w:lineRule="auto"/>
        <w:ind w:left="2883" w:right="495" w:hanging="2773"/>
        <w:rPr>
          <w:rFonts w:ascii="Trebuchet MS"/>
          <w:sz w:val="14"/>
        </w:rPr>
      </w:pPr>
      <w:r>
        <w:rPr>
          <w:rFonts w:ascii="Trebuchet MS"/>
          <w:color w:val="231F20"/>
          <w:w w:val="105"/>
          <w:sz w:val="14"/>
        </w:rPr>
        <w:t>Spectator</w:t>
      </w:r>
      <w:r>
        <w:rPr>
          <w:rFonts w:ascii="Trebuchet MS"/>
          <w:color w:val="231F20"/>
          <w:spacing w:val="-9"/>
          <w:w w:val="105"/>
          <w:sz w:val="14"/>
        </w:rPr>
        <w:t xml:space="preserve"> </w:t>
      </w:r>
      <w:r>
        <w:rPr>
          <w:rFonts w:ascii="Trebuchet MS"/>
          <w:color w:val="231F20"/>
          <w:w w:val="105"/>
          <w:sz w:val="14"/>
        </w:rPr>
        <w:t>events</w:t>
      </w:r>
      <w:r>
        <w:rPr>
          <w:rFonts w:ascii="Trebuchet MS"/>
          <w:color w:val="231F20"/>
          <w:sz w:val="14"/>
        </w:rPr>
        <w:tab/>
      </w:r>
      <w:r>
        <w:rPr>
          <w:rFonts w:ascii="Trebuchet MS"/>
          <w:color w:val="231F20"/>
          <w:w w:val="105"/>
          <w:sz w:val="14"/>
        </w:rPr>
        <w:t>Passive sports on holiday (Standeven &amp; De Knop, 1999), including casual and connoisseur observers Passive sports tourists (Maier &amp; Weber, 1993)</w:t>
      </w:r>
    </w:p>
    <w:p w14:paraId="6AD753F5" w14:textId="1CD55D43" w:rsidR="00AE0598" w:rsidRDefault="0069255A">
      <w:pPr>
        <w:pStyle w:val="Corpodetexto"/>
        <w:spacing w:before="3"/>
        <w:rPr>
          <w:rFonts w:ascii="Trebuchet MS"/>
          <w:sz w:val="10"/>
        </w:rPr>
      </w:pPr>
      <w:r>
        <w:rPr>
          <w:noProof/>
        </w:rPr>
        <mc:AlternateContent>
          <mc:Choice Requires="wps">
            <w:drawing>
              <wp:anchor distT="0" distB="0" distL="0" distR="0" simplePos="0" relativeHeight="487666176" behindDoc="1" locked="0" layoutInCell="1" allowOverlap="1" wp14:anchorId="1F40C9A8" wp14:editId="08B4D829">
                <wp:simplePos x="0" y="0"/>
                <wp:positionH relativeFrom="page">
                  <wp:posOffset>755650</wp:posOffset>
                </wp:positionH>
                <wp:positionV relativeFrom="paragraph">
                  <wp:posOffset>92710</wp:posOffset>
                </wp:positionV>
                <wp:extent cx="4097655" cy="1270"/>
                <wp:effectExtent l="0" t="0" r="0" b="0"/>
                <wp:wrapTopAndBottom/>
                <wp:docPr id="151" name="docshape2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097655" cy="1270"/>
                        </a:xfrm>
                        <a:custGeom>
                          <a:avLst/>
                          <a:gdLst>
                            <a:gd name="T0" fmla="+- 0 1190 1190"/>
                            <a:gd name="T1" fmla="*/ T0 w 6453"/>
                            <a:gd name="T2" fmla="+- 0 3963 1190"/>
                            <a:gd name="T3" fmla="*/ T2 w 6453"/>
                            <a:gd name="T4" fmla="+- 0 3963 1190"/>
                            <a:gd name="T5" fmla="*/ T4 w 6453"/>
                            <a:gd name="T6" fmla="+- 0 7643 1190"/>
                            <a:gd name="T7" fmla="*/ T6 w 6453"/>
                          </a:gdLst>
                          <a:ahLst/>
                          <a:cxnLst>
                            <a:cxn ang="0">
                              <a:pos x="T1" y="0"/>
                            </a:cxn>
                            <a:cxn ang="0">
                              <a:pos x="T3" y="0"/>
                            </a:cxn>
                            <a:cxn ang="0">
                              <a:pos x="T5" y="0"/>
                            </a:cxn>
                            <a:cxn ang="0">
                              <a:pos x="T7" y="0"/>
                            </a:cxn>
                          </a:cxnLst>
                          <a:rect l="0" t="0" r="r" b="b"/>
                          <a:pathLst>
                            <a:path w="6453">
                              <a:moveTo>
                                <a:pt x="0" y="0"/>
                              </a:moveTo>
                              <a:lnTo>
                                <a:pt x="2773" y="0"/>
                              </a:lnTo>
                              <a:moveTo>
                                <a:pt x="2773" y="0"/>
                              </a:moveTo>
                              <a:lnTo>
                                <a:pt x="6453" y="0"/>
                              </a:lnTo>
                            </a:path>
                          </a:pathLst>
                        </a:custGeom>
                        <a:noFill/>
                        <a:ln w="3175">
                          <a:solidFill>
                            <a:srgbClr val="231F2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E0E950" id="docshape217" o:spid="_x0000_s1026" style="position:absolute;margin-left:59.5pt;margin-top:7.3pt;width:322.65pt;height:.1pt;z-index:-156503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45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" path="m,l2773,t,l6453,e" filled="f" strokecolor="#231f20" strokeweight=".25pt">
                <v:path arrowok="t" o:connecttype="custom" o:connectlocs="0,0;1760855,0;1760855,0;4097655,0" o:connectangles="0,0,0,0"/>
                <w10:wrap type="topAndBottom" anchorx="page"/>
              </v:shape>
            </w:pict>
          </mc:Fallback>
        </mc:AlternateContent>
      </w:r>
    </w:p>
    <w:p w14:paraId="61BCCD58" w14:textId="77777777" w:rsidR="00AE0598" w:rsidRDefault="00AE0598">
      <w:pPr>
        <w:rPr>
          <w:rFonts w:ascii="Trebuchet MS"/>
          <w:sz w:val="10"/>
        </w:rPr>
        <w:sectPr w:rsidR="00AE0598">
          <w:pgSz w:w="8850" w:h="13270"/>
          <w:pgMar w:top="720" w:right="1060" w:bottom="280" w:left="1080" w:header="720" w:footer="720" w:gutter="0"/>
          <w:cols w:space="720"/>
        </w:sectPr>
      </w:pPr>
    </w:p>
    <w:p w14:paraId="231EA62D" w14:textId="77777777" w:rsidR="00AE0598" w:rsidRDefault="0069255A">
      <w:pPr>
        <w:spacing w:before="87"/>
        <w:ind w:left="4078"/>
        <w:rPr>
          <w:rFonts w:ascii="Trebuchet MS"/>
          <w:sz w:val="14"/>
        </w:rPr>
      </w:pPr>
      <w:r>
        <w:rPr>
          <w:rFonts w:ascii="Trebuchet MS"/>
          <w:color w:val="231F20"/>
          <w:w w:val="105"/>
          <w:sz w:val="14"/>
        </w:rPr>
        <w:lastRenderedPageBreak/>
        <w:t>Sport</w:t>
      </w:r>
      <w:r>
        <w:rPr>
          <w:rFonts w:ascii="Trebuchet MS"/>
          <w:color w:val="231F20"/>
          <w:spacing w:val="-11"/>
          <w:w w:val="105"/>
          <w:sz w:val="14"/>
        </w:rPr>
        <w:t xml:space="preserve"> </w:t>
      </w:r>
      <w:r>
        <w:rPr>
          <w:rFonts w:ascii="Trebuchet MS"/>
          <w:color w:val="231F20"/>
          <w:w w:val="105"/>
          <w:sz w:val="14"/>
        </w:rPr>
        <w:t>and</w:t>
      </w:r>
      <w:r>
        <w:rPr>
          <w:rFonts w:ascii="Trebuchet MS"/>
          <w:color w:val="231F20"/>
          <w:spacing w:val="-11"/>
          <w:w w:val="105"/>
          <w:sz w:val="14"/>
        </w:rPr>
        <w:t xml:space="preserve"> </w:t>
      </w:r>
      <w:r>
        <w:rPr>
          <w:rFonts w:ascii="Trebuchet MS"/>
          <w:color w:val="231F20"/>
          <w:w w:val="105"/>
          <w:sz w:val="14"/>
        </w:rPr>
        <w:t>the</w:t>
      </w:r>
      <w:r>
        <w:rPr>
          <w:rFonts w:ascii="Trebuchet MS"/>
          <w:color w:val="231F20"/>
          <w:spacing w:val="-11"/>
          <w:w w:val="105"/>
          <w:sz w:val="14"/>
        </w:rPr>
        <w:t xml:space="preserve"> </w:t>
      </w:r>
      <w:r>
        <w:rPr>
          <w:rFonts w:ascii="Trebuchet MS"/>
          <w:color w:val="231F20"/>
          <w:w w:val="105"/>
          <w:sz w:val="14"/>
        </w:rPr>
        <w:t>Tourist</w:t>
      </w:r>
      <w:r>
        <w:rPr>
          <w:rFonts w:ascii="Trebuchet MS"/>
          <w:color w:val="231F20"/>
          <w:spacing w:val="-11"/>
          <w:w w:val="105"/>
          <w:sz w:val="14"/>
        </w:rPr>
        <w:t xml:space="preserve"> </w:t>
      </w:r>
      <w:r>
        <w:rPr>
          <w:rFonts w:ascii="Trebuchet MS"/>
          <w:color w:val="231F20"/>
          <w:w w:val="105"/>
          <w:sz w:val="14"/>
        </w:rPr>
        <w:t>Experience</w:t>
      </w:r>
      <w:r>
        <w:rPr>
          <w:rFonts w:ascii="Trebuchet MS"/>
          <w:color w:val="231F20"/>
          <w:spacing w:val="78"/>
          <w:w w:val="105"/>
          <w:sz w:val="14"/>
        </w:rPr>
        <w:t xml:space="preserve"> </w:t>
      </w:r>
      <w:r>
        <w:rPr>
          <w:rFonts w:ascii="Trebuchet MS"/>
          <w:color w:val="231F20"/>
          <w:spacing w:val="-5"/>
          <w:w w:val="105"/>
          <w:sz w:val="14"/>
        </w:rPr>
        <w:t>157</w:t>
      </w:r>
    </w:p>
    <w:p w14:paraId="69D9D3D4" w14:textId="77777777" w:rsidR="00AE0598" w:rsidRDefault="00AE0598">
      <w:pPr>
        <w:pStyle w:val="Corpodetexto"/>
        <w:rPr>
          <w:rFonts w:ascii="Trebuchet MS"/>
          <w:sz w:val="16"/>
        </w:rPr>
      </w:pPr>
    </w:p>
    <w:p w14:paraId="64A050CB" w14:textId="77777777" w:rsidR="00AE0598" w:rsidRDefault="0069255A">
      <w:pPr>
        <w:pStyle w:val="Corpodetexto"/>
        <w:spacing w:before="118" w:line="232" w:lineRule="auto"/>
        <w:ind w:left="110" w:right="127"/>
        <w:jc w:val="both"/>
      </w:pPr>
      <w:r>
        <w:rPr>
          <w:color w:val="231F20"/>
          <w:w w:val="95"/>
        </w:rPr>
        <w:t>who pursue specialist or general sport holidays are perhaps most likely to respond to attraction markers, both contiguous and detached (Chapter 2),</w:t>
      </w:r>
      <w:r>
        <w:rPr>
          <w:color w:val="231F20"/>
          <w:spacing w:val="40"/>
        </w:rPr>
        <w:t xml:space="preserve"> </w:t>
      </w:r>
      <w:r>
        <w:rPr>
          <w:color w:val="231F20"/>
          <w:w w:val="95"/>
        </w:rPr>
        <w:t>to establish or raise awareness of a destination. Those who engage in elite training and competition, by con</w:t>
      </w:r>
      <w:r>
        <w:rPr>
          <w:color w:val="231F20"/>
          <w:w w:val="95"/>
        </w:rPr>
        <w:t xml:space="preserve">trast, operate under unique circumstances in terms of planning and anticipation of the experiences that they set out to </w:t>
      </w:r>
      <w:r>
        <w:rPr>
          <w:color w:val="231F20"/>
        </w:rPr>
        <w:t>achieve</w:t>
      </w:r>
      <w:r>
        <w:rPr>
          <w:color w:val="231F20"/>
          <w:spacing w:val="-8"/>
        </w:rPr>
        <w:t xml:space="preserve"> </w:t>
      </w:r>
      <w:r>
        <w:rPr>
          <w:color w:val="231F20"/>
        </w:rPr>
        <w:t>at</w:t>
      </w:r>
      <w:r>
        <w:rPr>
          <w:color w:val="231F20"/>
          <w:spacing w:val="-8"/>
        </w:rPr>
        <w:t xml:space="preserve"> </w:t>
      </w:r>
      <w:r>
        <w:rPr>
          <w:color w:val="231F20"/>
        </w:rPr>
        <w:t>the</w:t>
      </w:r>
      <w:r>
        <w:rPr>
          <w:color w:val="231F20"/>
          <w:spacing w:val="-8"/>
        </w:rPr>
        <w:t xml:space="preserve"> </w:t>
      </w:r>
      <w:r>
        <w:rPr>
          <w:color w:val="231F20"/>
        </w:rPr>
        <w:t>tourist</w:t>
      </w:r>
      <w:r>
        <w:rPr>
          <w:color w:val="231F20"/>
          <w:spacing w:val="-8"/>
        </w:rPr>
        <w:t xml:space="preserve"> </w:t>
      </w:r>
      <w:r>
        <w:rPr>
          <w:color w:val="231F20"/>
        </w:rPr>
        <w:t>destination,</w:t>
      </w:r>
      <w:r>
        <w:rPr>
          <w:color w:val="231F20"/>
          <w:spacing w:val="-8"/>
        </w:rPr>
        <w:t xml:space="preserve"> </w:t>
      </w:r>
      <w:r>
        <w:rPr>
          <w:color w:val="231F20"/>
        </w:rPr>
        <w:t>and</w:t>
      </w:r>
      <w:r>
        <w:rPr>
          <w:color w:val="231F20"/>
          <w:spacing w:val="-8"/>
        </w:rPr>
        <w:t xml:space="preserve"> </w:t>
      </w:r>
      <w:r>
        <w:rPr>
          <w:color w:val="231F20"/>
        </w:rPr>
        <w:t>are</w:t>
      </w:r>
      <w:r>
        <w:rPr>
          <w:color w:val="231F20"/>
          <w:spacing w:val="-8"/>
        </w:rPr>
        <w:t xml:space="preserve"> </w:t>
      </w:r>
      <w:r>
        <w:rPr>
          <w:color w:val="231F20"/>
        </w:rPr>
        <w:t>likely</w:t>
      </w:r>
      <w:r>
        <w:rPr>
          <w:color w:val="231F20"/>
          <w:spacing w:val="-8"/>
        </w:rPr>
        <w:t xml:space="preserve"> </w:t>
      </w:r>
      <w:r>
        <w:rPr>
          <w:color w:val="231F20"/>
        </w:rPr>
        <w:t>to</w:t>
      </w:r>
      <w:r>
        <w:rPr>
          <w:color w:val="231F20"/>
          <w:spacing w:val="-8"/>
        </w:rPr>
        <w:t xml:space="preserve"> </w:t>
      </w:r>
      <w:r>
        <w:rPr>
          <w:color w:val="231F20"/>
        </w:rPr>
        <w:t>operate</w:t>
      </w:r>
      <w:r>
        <w:rPr>
          <w:color w:val="231F20"/>
          <w:spacing w:val="-8"/>
        </w:rPr>
        <w:t xml:space="preserve"> </w:t>
      </w:r>
      <w:r>
        <w:rPr>
          <w:color w:val="231F20"/>
        </w:rPr>
        <w:t>in</w:t>
      </w:r>
      <w:r>
        <w:rPr>
          <w:color w:val="231F20"/>
          <w:spacing w:val="-8"/>
        </w:rPr>
        <w:t xml:space="preserve"> </w:t>
      </w:r>
      <w:r>
        <w:rPr>
          <w:color w:val="231F20"/>
        </w:rPr>
        <w:t>compliance with the directives of professional sports organisations (PS</w:t>
      </w:r>
      <w:r>
        <w:rPr>
          <w:color w:val="231F20"/>
        </w:rPr>
        <w:t>Os) (Higham &amp; Hinch, 2010).</w:t>
      </w:r>
    </w:p>
    <w:p w14:paraId="75486159" w14:textId="77777777" w:rsidR="00AE0598" w:rsidRDefault="00AE0598">
      <w:pPr>
        <w:pStyle w:val="Corpodetexto"/>
        <w:spacing w:before="9"/>
      </w:pPr>
    </w:p>
    <w:p w14:paraId="74CB78DB" w14:textId="77777777" w:rsidR="00AE0598" w:rsidRDefault="0069255A">
      <w:pPr>
        <w:ind w:left="110"/>
        <w:jc w:val="both"/>
        <w:rPr>
          <w:rFonts w:ascii="Trebuchet MS"/>
          <w:b/>
          <w:sz w:val="20"/>
        </w:rPr>
      </w:pPr>
      <w:r>
        <w:rPr>
          <w:rFonts w:ascii="Trebuchet MS"/>
          <w:b/>
          <w:color w:val="231F20"/>
          <w:sz w:val="20"/>
        </w:rPr>
        <w:t>Socio-Structural</w:t>
      </w:r>
      <w:r>
        <w:rPr>
          <w:rFonts w:ascii="Trebuchet MS"/>
          <w:b/>
          <w:color w:val="231F20"/>
          <w:spacing w:val="-2"/>
          <w:sz w:val="20"/>
        </w:rPr>
        <w:t xml:space="preserve"> </w:t>
      </w:r>
      <w:r>
        <w:rPr>
          <w:rFonts w:ascii="Trebuchet MS"/>
          <w:b/>
          <w:color w:val="231F20"/>
          <w:sz w:val="20"/>
        </w:rPr>
        <w:t>Factors</w:t>
      </w:r>
      <w:r>
        <w:rPr>
          <w:rFonts w:ascii="Trebuchet MS"/>
          <w:b/>
          <w:color w:val="231F20"/>
          <w:spacing w:val="-2"/>
          <w:sz w:val="20"/>
        </w:rPr>
        <w:t xml:space="preserve"> </w:t>
      </w:r>
      <w:r>
        <w:rPr>
          <w:rFonts w:ascii="Trebuchet MS"/>
          <w:b/>
          <w:color w:val="231F20"/>
          <w:sz w:val="20"/>
        </w:rPr>
        <w:t>Shaping</w:t>
      </w:r>
      <w:r>
        <w:rPr>
          <w:rFonts w:ascii="Trebuchet MS"/>
          <w:b/>
          <w:color w:val="231F20"/>
          <w:spacing w:val="-2"/>
          <w:sz w:val="20"/>
        </w:rPr>
        <w:t xml:space="preserve"> </w:t>
      </w:r>
      <w:r>
        <w:rPr>
          <w:rFonts w:ascii="Trebuchet MS"/>
          <w:b/>
          <w:color w:val="231F20"/>
          <w:sz w:val="20"/>
        </w:rPr>
        <w:t>Sport</w:t>
      </w:r>
      <w:r>
        <w:rPr>
          <w:rFonts w:ascii="Trebuchet MS"/>
          <w:b/>
          <w:color w:val="231F20"/>
          <w:spacing w:val="-1"/>
          <w:sz w:val="20"/>
        </w:rPr>
        <w:t xml:space="preserve"> </w:t>
      </w:r>
      <w:r>
        <w:rPr>
          <w:rFonts w:ascii="Trebuchet MS"/>
          <w:b/>
          <w:color w:val="231F20"/>
          <w:sz w:val="20"/>
        </w:rPr>
        <w:t>Tourism</w:t>
      </w:r>
      <w:r>
        <w:rPr>
          <w:rFonts w:ascii="Trebuchet MS"/>
          <w:b/>
          <w:color w:val="231F20"/>
          <w:spacing w:val="-2"/>
          <w:sz w:val="20"/>
        </w:rPr>
        <w:t xml:space="preserve"> Experiences</w:t>
      </w:r>
    </w:p>
    <w:p w14:paraId="3CE86E8F" w14:textId="77777777" w:rsidR="00AE0598" w:rsidRDefault="0069255A">
      <w:pPr>
        <w:pStyle w:val="Corpodetexto"/>
        <w:spacing w:before="122" w:line="232" w:lineRule="auto"/>
        <w:ind w:left="110" w:right="125" w:firstLine="320"/>
        <w:jc w:val="both"/>
      </w:pPr>
      <w:r>
        <w:rPr>
          <w:color w:val="231F20"/>
        </w:rPr>
        <w:t xml:space="preserve">Visitor expectations may vary significantly among participants both </w:t>
      </w:r>
      <w:r>
        <w:rPr>
          <w:color w:val="231F20"/>
          <w:w w:val="95"/>
        </w:rPr>
        <w:t xml:space="preserve">between different sports and within a given sport (Chapter 3). Expectations </w:t>
      </w:r>
      <w:r>
        <w:rPr>
          <w:color w:val="231F20"/>
        </w:rPr>
        <w:t xml:space="preserve">and desired experiences </w:t>
      </w:r>
      <w:r>
        <w:rPr>
          <w:color w:val="231F20"/>
        </w:rPr>
        <w:t xml:space="preserve">are a function of the lifestyles, attitudes and </w:t>
      </w:r>
      <w:r>
        <w:rPr>
          <w:color w:val="231F20"/>
          <w:w w:val="95"/>
        </w:rPr>
        <w:t xml:space="preserve">personalities of individual sport tourists and are likely to vary considerably </w:t>
      </w:r>
      <w:r>
        <w:rPr>
          <w:color w:val="231F20"/>
        </w:rPr>
        <w:t>with</w:t>
      </w:r>
      <w:r>
        <w:rPr>
          <w:color w:val="231F20"/>
          <w:spacing w:val="-9"/>
        </w:rPr>
        <w:t xml:space="preserve"> </w:t>
      </w:r>
      <w:r>
        <w:rPr>
          <w:color w:val="231F20"/>
        </w:rPr>
        <w:t>demographic</w:t>
      </w:r>
      <w:r>
        <w:rPr>
          <w:color w:val="231F20"/>
          <w:spacing w:val="-9"/>
        </w:rPr>
        <w:t xml:space="preserve"> </w:t>
      </w:r>
      <w:r>
        <w:rPr>
          <w:color w:val="231F20"/>
        </w:rPr>
        <w:t>profile,</w:t>
      </w:r>
      <w:r>
        <w:rPr>
          <w:color w:val="231F20"/>
          <w:spacing w:val="-9"/>
        </w:rPr>
        <w:t xml:space="preserve"> </w:t>
      </w:r>
      <w:r>
        <w:rPr>
          <w:color w:val="231F20"/>
        </w:rPr>
        <w:t>life</w:t>
      </w:r>
      <w:r>
        <w:rPr>
          <w:color w:val="231F20"/>
          <w:spacing w:val="-9"/>
        </w:rPr>
        <w:t xml:space="preserve"> </w:t>
      </w:r>
      <w:r>
        <w:rPr>
          <w:color w:val="231F20"/>
        </w:rPr>
        <w:t>and</w:t>
      </w:r>
      <w:r>
        <w:rPr>
          <w:color w:val="231F20"/>
          <w:spacing w:val="-9"/>
        </w:rPr>
        <w:t xml:space="preserve"> </w:t>
      </w:r>
      <w:r>
        <w:rPr>
          <w:color w:val="231F20"/>
        </w:rPr>
        <w:t>travel</w:t>
      </w:r>
      <w:r>
        <w:rPr>
          <w:color w:val="231F20"/>
          <w:spacing w:val="-9"/>
        </w:rPr>
        <w:t xml:space="preserve"> </w:t>
      </w:r>
      <w:r>
        <w:rPr>
          <w:color w:val="231F20"/>
        </w:rPr>
        <w:t>career</w:t>
      </w:r>
      <w:r>
        <w:rPr>
          <w:color w:val="231F20"/>
          <w:spacing w:val="-9"/>
        </w:rPr>
        <w:t xml:space="preserve"> </w:t>
      </w:r>
      <w:r>
        <w:rPr>
          <w:color w:val="231F20"/>
        </w:rPr>
        <w:t>stage,</w:t>
      </w:r>
      <w:r>
        <w:rPr>
          <w:color w:val="231F20"/>
          <w:spacing w:val="-9"/>
        </w:rPr>
        <w:t xml:space="preserve"> </w:t>
      </w:r>
      <w:r>
        <w:rPr>
          <w:color w:val="231F20"/>
        </w:rPr>
        <w:t>sport</w:t>
      </w:r>
      <w:r>
        <w:rPr>
          <w:color w:val="231F20"/>
          <w:spacing w:val="-9"/>
        </w:rPr>
        <w:t xml:space="preserve"> </w:t>
      </w:r>
      <w:r>
        <w:rPr>
          <w:color w:val="231F20"/>
        </w:rPr>
        <w:t>and</w:t>
      </w:r>
      <w:r>
        <w:rPr>
          <w:color w:val="231F20"/>
          <w:spacing w:val="-9"/>
        </w:rPr>
        <w:t xml:space="preserve"> </w:t>
      </w:r>
      <w:r>
        <w:rPr>
          <w:color w:val="231F20"/>
        </w:rPr>
        <w:t xml:space="preserve">personal </w:t>
      </w:r>
      <w:r>
        <w:rPr>
          <w:color w:val="231F20"/>
          <w:w w:val="95"/>
        </w:rPr>
        <w:t xml:space="preserve">experience or involvement in a sport or sports team (Gibson, 2005; Pearce, </w:t>
      </w:r>
      <w:r>
        <w:rPr>
          <w:color w:val="231F20"/>
        </w:rPr>
        <w:t xml:space="preserve">1988; Schreyer </w:t>
      </w:r>
      <w:r>
        <w:rPr>
          <w:i/>
          <w:color w:val="231F20"/>
        </w:rPr>
        <w:t>et al</w:t>
      </w:r>
      <w:r>
        <w:rPr>
          <w:color w:val="231F20"/>
        </w:rPr>
        <w:t>., 1984; Watson &amp; Roggenbuck, 1991).</w:t>
      </w:r>
    </w:p>
    <w:p w14:paraId="3BE6274F" w14:textId="77777777" w:rsidR="00AE0598" w:rsidRDefault="0069255A">
      <w:pPr>
        <w:pStyle w:val="Corpodetexto"/>
        <w:spacing w:before="8" w:line="232" w:lineRule="auto"/>
        <w:ind w:left="110" w:right="127" w:firstLine="320"/>
        <w:jc w:val="both"/>
      </w:pPr>
      <w:r>
        <w:rPr>
          <w:color w:val="231F20"/>
          <w:w w:val="95"/>
        </w:rPr>
        <w:t xml:space="preserve">Gibson (2005: 59) provides particularly useful insights into important </w:t>
      </w:r>
      <w:r>
        <w:rPr>
          <w:color w:val="231F20"/>
        </w:rPr>
        <w:t>aspects of the sport tourism experience, highlighting</w:t>
      </w:r>
      <w:r>
        <w:rPr>
          <w:color w:val="231F20"/>
        </w:rPr>
        <w:t xml:space="preserve"> that ‘findings from a range of studies in leisure, sport and tourism... have concluded that</w:t>
      </w:r>
      <w:r>
        <w:rPr>
          <w:color w:val="231F20"/>
          <w:spacing w:val="80"/>
        </w:rPr>
        <w:t xml:space="preserve"> </w:t>
      </w:r>
      <w:r>
        <w:rPr>
          <w:color w:val="231F20"/>
        </w:rPr>
        <w:t>the relationship between needs and activity choice is quite complex’.</w:t>
      </w:r>
      <w:r>
        <w:rPr>
          <w:color w:val="231F20"/>
          <w:spacing w:val="40"/>
        </w:rPr>
        <w:t xml:space="preserve"> </w:t>
      </w:r>
      <w:r>
        <w:rPr>
          <w:color w:val="231F20"/>
        </w:rPr>
        <w:t xml:space="preserve">Her systematic review of the sport tourism experience emphasises that </w:t>
      </w:r>
      <w:r>
        <w:rPr>
          <w:color w:val="231F20"/>
          <w:w w:val="95"/>
        </w:rPr>
        <w:t>motivations and behavio</w:t>
      </w:r>
      <w:r>
        <w:rPr>
          <w:color w:val="231F20"/>
          <w:w w:val="95"/>
        </w:rPr>
        <w:t xml:space="preserve">urs are multidimensional. Behaviour choices vary between individuals, and evolve over time, based on the need for stability </w:t>
      </w:r>
      <w:r>
        <w:rPr>
          <w:color w:val="231F20"/>
        </w:rPr>
        <w:t>and variety (or arousal). Those who seek optimal levels of stimulation seek experiences that are adventurous, challenging and novel,</w:t>
      </w:r>
      <w:r>
        <w:rPr>
          <w:color w:val="231F20"/>
        </w:rPr>
        <w:t xml:space="preserve"> whereas </w:t>
      </w:r>
      <w:r>
        <w:rPr>
          <w:color w:val="231F20"/>
          <w:w w:val="95"/>
        </w:rPr>
        <w:t xml:space="preserve">others may seek experiences that are personally enriching but secure and </w:t>
      </w:r>
      <w:r>
        <w:rPr>
          <w:color w:val="231F20"/>
          <w:spacing w:val="-2"/>
        </w:rPr>
        <w:t>predictable.</w:t>
      </w:r>
    </w:p>
    <w:p w14:paraId="077EE6DB" w14:textId="77777777" w:rsidR="00AE0598" w:rsidRDefault="0069255A">
      <w:pPr>
        <w:pStyle w:val="Corpodetexto"/>
        <w:spacing w:before="14" w:line="232" w:lineRule="auto"/>
        <w:ind w:left="110" w:right="127" w:firstLine="320"/>
        <w:jc w:val="both"/>
      </w:pPr>
      <w:r>
        <w:rPr>
          <w:color w:val="231F20"/>
        </w:rPr>
        <w:t xml:space="preserve">Research into tourist motivations is concerned with why people </w:t>
      </w:r>
      <w:r>
        <w:rPr>
          <w:color w:val="231F20"/>
          <w:w w:val="95"/>
        </w:rPr>
        <w:t xml:space="preserve">travel, the benefits that they seek and the experiences that they pursue to </w:t>
      </w:r>
      <w:r>
        <w:rPr>
          <w:color w:val="231F20"/>
        </w:rPr>
        <w:t>satisfy their needs an</w:t>
      </w:r>
      <w:r>
        <w:rPr>
          <w:color w:val="231F20"/>
        </w:rPr>
        <w:t xml:space="preserve">d desires (Cooper </w:t>
      </w:r>
      <w:r>
        <w:rPr>
          <w:i/>
          <w:color w:val="231F20"/>
        </w:rPr>
        <w:t>et al</w:t>
      </w:r>
      <w:r>
        <w:rPr>
          <w:color w:val="231F20"/>
        </w:rPr>
        <w:t xml:space="preserve">., 1993). Tourist motivation is a function of the self-perceived needs of the traveller, which drive the decision-making process and the purchase of tourism products (Collier, </w:t>
      </w:r>
      <w:r>
        <w:rPr>
          <w:color w:val="231F20"/>
          <w:w w:val="95"/>
        </w:rPr>
        <w:t>1989). The motivational profile of the traveller is a com</w:t>
      </w:r>
      <w:r>
        <w:rPr>
          <w:color w:val="231F20"/>
          <w:w w:val="95"/>
        </w:rPr>
        <w:t xml:space="preserve">bination of intrinsic </w:t>
      </w:r>
      <w:r>
        <w:rPr>
          <w:color w:val="231F20"/>
        </w:rPr>
        <w:t>and</w:t>
      </w:r>
      <w:r>
        <w:rPr>
          <w:color w:val="231F20"/>
          <w:spacing w:val="-6"/>
        </w:rPr>
        <w:t xml:space="preserve"> </w:t>
      </w:r>
      <w:r>
        <w:rPr>
          <w:color w:val="231F20"/>
        </w:rPr>
        <w:t>extrinsic</w:t>
      </w:r>
      <w:r>
        <w:rPr>
          <w:color w:val="231F20"/>
          <w:spacing w:val="-6"/>
        </w:rPr>
        <w:t xml:space="preserve"> </w:t>
      </w:r>
      <w:r>
        <w:rPr>
          <w:color w:val="231F20"/>
        </w:rPr>
        <w:t>factors.</w:t>
      </w:r>
      <w:r>
        <w:rPr>
          <w:color w:val="231F20"/>
          <w:spacing w:val="-6"/>
        </w:rPr>
        <w:t xml:space="preserve"> </w:t>
      </w:r>
      <w:r>
        <w:rPr>
          <w:color w:val="231F20"/>
        </w:rPr>
        <w:t>These</w:t>
      </w:r>
      <w:r>
        <w:rPr>
          <w:color w:val="231F20"/>
          <w:spacing w:val="-6"/>
        </w:rPr>
        <w:t xml:space="preserve"> </w:t>
      </w:r>
      <w:r>
        <w:rPr>
          <w:color w:val="231F20"/>
        </w:rPr>
        <w:t>factors</w:t>
      </w:r>
      <w:r>
        <w:rPr>
          <w:color w:val="231F20"/>
          <w:spacing w:val="-6"/>
        </w:rPr>
        <w:t xml:space="preserve"> </w:t>
      </w:r>
      <w:r>
        <w:rPr>
          <w:color w:val="231F20"/>
        </w:rPr>
        <w:t>have</w:t>
      </w:r>
      <w:r>
        <w:rPr>
          <w:color w:val="231F20"/>
          <w:spacing w:val="-6"/>
        </w:rPr>
        <w:t xml:space="preserve"> </w:t>
      </w:r>
      <w:r>
        <w:rPr>
          <w:color w:val="231F20"/>
        </w:rPr>
        <w:t>been</w:t>
      </w:r>
      <w:r>
        <w:rPr>
          <w:color w:val="231F20"/>
          <w:spacing w:val="-6"/>
        </w:rPr>
        <w:t xml:space="preserve"> </w:t>
      </w:r>
      <w:r>
        <w:rPr>
          <w:color w:val="231F20"/>
        </w:rPr>
        <w:t>described</w:t>
      </w:r>
      <w:r>
        <w:rPr>
          <w:color w:val="231F20"/>
          <w:spacing w:val="-6"/>
        </w:rPr>
        <w:t xml:space="preserve"> </w:t>
      </w:r>
      <w:r>
        <w:rPr>
          <w:color w:val="231F20"/>
        </w:rPr>
        <w:t>in</w:t>
      </w:r>
      <w:r>
        <w:rPr>
          <w:color w:val="231F20"/>
          <w:spacing w:val="-6"/>
        </w:rPr>
        <w:t xml:space="preserve"> </w:t>
      </w:r>
      <w:r>
        <w:rPr>
          <w:color w:val="231F20"/>
        </w:rPr>
        <w:t>terms</w:t>
      </w:r>
      <w:r>
        <w:rPr>
          <w:color w:val="231F20"/>
          <w:spacing w:val="-6"/>
        </w:rPr>
        <w:t xml:space="preserve"> </w:t>
      </w:r>
      <w:r>
        <w:rPr>
          <w:color w:val="231F20"/>
        </w:rPr>
        <w:t>of</w:t>
      </w:r>
      <w:r>
        <w:rPr>
          <w:color w:val="231F20"/>
          <w:spacing w:val="-6"/>
        </w:rPr>
        <w:t xml:space="preserve"> </w:t>
      </w:r>
      <w:r>
        <w:rPr>
          <w:color w:val="231F20"/>
        </w:rPr>
        <w:t xml:space="preserve">push </w:t>
      </w:r>
      <w:r>
        <w:rPr>
          <w:color w:val="231F20"/>
          <w:w w:val="95"/>
        </w:rPr>
        <w:t>(psychological) and pull (cultural) factors (Dann, 1981); the need being to match motivations (push factors) with destination attributes (pull factors) (Crompto</w:t>
      </w:r>
      <w:r>
        <w:rPr>
          <w:color w:val="231F20"/>
          <w:w w:val="95"/>
        </w:rPr>
        <w:t xml:space="preserve">n, 1979; Gibson, 2005). In the context of sport specifically, push </w:t>
      </w:r>
      <w:r>
        <w:rPr>
          <w:color w:val="231F20"/>
        </w:rPr>
        <w:t>factors</w:t>
      </w:r>
      <w:r>
        <w:rPr>
          <w:color w:val="231F20"/>
          <w:spacing w:val="-12"/>
        </w:rPr>
        <w:t xml:space="preserve"> </w:t>
      </w:r>
      <w:r>
        <w:rPr>
          <w:color w:val="231F20"/>
        </w:rPr>
        <w:t>may</w:t>
      </w:r>
      <w:r>
        <w:rPr>
          <w:color w:val="231F20"/>
          <w:spacing w:val="-12"/>
        </w:rPr>
        <w:t xml:space="preserve"> </w:t>
      </w:r>
      <w:r>
        <w:rPr>
          <w:color w:val="231F20"/>
        </w:rPr>
        <w:t>extend</w:t>
      </w:r>
      <w:r>
        <w:rPr>
          <w:color w:val="231F20"/>
          <w:spacing w:val="-11"/>
        </w:rPr>
        <w:t xml:space="preserve"> </w:t>
      </w:r>
      <w:r>
        <w:rPr>
          <w:color w:val="231F20"/>
        </w:rPr>
        <w:t>to</w:t>
      </w:r>
      <w:r>
        <w:rPr>
          <w:color w:val="231F20"/>
          <w:spacing w:val="-12"/>
        </w:rPr>
        <w:t xml:space="preserve"> </w:t>
      </w:r>
      <w:r>
        <w:rPr>
          <w:color w:val="231F20"/>
        </w:rPr>
        <w:t>the</w:t>
      </w:r>
      <w:r>
        <w:rPr>
          <w:color w:val="231F20"/>
          <w:spacing w:val="-11"/>
        </w:rPr>
        <w:t xml:space="preserve"> </w:t>
      </w:r>
      <w:r>
        <w:rPr>
          <w:color w:val="231F20"/>
        </w:rPr>
        <w:t>desire</w:t>
      </w:r>
      <w:r>
        <w:rPr>
          <w:color w:val="231F20"/>
          <w:spacing w:val="-12"/>
        </w:rPr>
        <w:t xml:space="preserve"> </w:t>
      </w:r>
      <w:r>
        <w:rPr>
          <w:color w:val="231F20"/>
        </w:rPr>
        <w:t>to</w:t>
      </w:r>
      <w:r>
        <w:rPr>
          <w:color w:val="231F20"/>
          <w:spacing w:val="-11"/>
        </w:rPr>
        <w:t xml:space="preserve"> </w:t>
      </w:r>
      <w:r>
        <w:rPr>
          <w:color w:val="231F20"/>
        </w:rPr>
        <w:t>achieve</w:t>
      </w:r>
      <w:r>
        <w:rPr>
          <w:color w:val="231F20"/>
          <w:spacing w:val="-12"/>
        </w:rPr>
        <w:t xml:space="preserve"> </w:t>
      </w:r>
      <w:r>
        <w:rPr>
          <w:color w:val="231F20"/>
        </w:rPr>
        <w:t>sport</w:t>
      </w:r>
      <w:r>
        <w:rPr>
          <w:color w:val="231F20"/>
          <w:spacing w:val="-12"/>
        </w:rPr>
        <w:t xml:space="preserve"> </w:t>
      </w:r>
      <w:r>
        <w:rPr>
          <w:color w:val="231F20"/>
        </w:rPr>
        <w:t>career</w:t>
      </w:r>
      <w:r>
        <w:rPr>
          <w:color w:val="231F20"/>
          <w:spacing w:val="-11"/>
        </w:rPr>
        <w:t xml:space="preserve"> </w:t>
      </w:r>
      <w:r>
        <w:rPr>
          <w:color w:val="231F20"/>
        </w:rPr>
        <w:t>or</w:t>
      </w:r>
      <w:r>
        <w:rPr>
          <w:color w:val="231F20"/>
          <w:spacing w:val="-12"/>
        </w:rPr>
        <w:t xml:space="preserve"> </w:t>
      </w:r>
      <w:r>
        <w:rPr>
          <w:color w:val="231F20"/>
        </w:rPr>
        <w:t>serious</w:t>
      </w:r>
      <w:r>
        <w:rPr>
          <w:color w:val="231F20"/>
          <w:spacing w:val="-11"/>
        </w:rPr>
        <w:t xml:space="preserve"> </w:t>
      </w:r>
      <w:r>
        <w:rPr>
          <w:color w:val="231F20"/>
        </w:rPr>
        <w:t>leisure objectives</w:t>
      </w:r>
      <w:r>
        <w:rPr>
          <w:color w:val="231F20"/>
          <w:spacing w:val="-6"/>
        </w:rPr>
        <w:t xml:space="preserve"> </w:t>
      </w:r>
      <w:r>
        <w:rPr>
          <w:color w:val="231F20"/>
        </w:rPr>
        <w:t>that</w:t>
      </w:r>
      <w:r>
        <w:rPr>
          <w:color w:val="231F20"/>
          <w:spacing w:val="-6"/>
        </w:rPr>
        <w:t xml:space="preserve"> </w:t>
      </w:r>
      <w:r>
        <w:rPr>
          <w:color w:val="231F20"/>
        </w:rPr>
        <w:t>cannot</w:t>
      </w:r>
      <w:r>
        <w:rPr>
          <w:color w:val="231F20"/>
          <w:spacing w:val="-6"/>
        </w:rPr>
        <w:t xml:space="preserve"> </w:t>
      </w:r>
      <w:r>
        <w:rPr>
          <w:color w:val="231F20"/>
        </w:rPr>
        <w:t>be</w:t>
      </w:r>
      <w:r>
        <w:rPr>
          <w:color w:val="231F20"/>
          <w:spacing w:val="-6"/>
        </w:rPr>
        <w:t xml:space="preserve"> </w:t>
      </w:r>
      <w:r>
        <w:rPr>
          <w:color w:val="231F20"/>
        </w:rPr>
        <w:t>achieved</w:t>
      </w:r>
      <w:r>
        <w:rPr>
          <w:color w:val="231F20"/>
          <w:spacing w:val="-6"/>
        </w:rPr>
        <w:t xml:space="preserve"> </w:t>
      </w:r>
      <w:r>
        <w:rPr>
          <w:color w:val="231F20"/>
        </w:rPr>
        <w:t>at</w:t>
      </w:r>
      <w:r>
        <w:rPr>
          <w:color w:val="231F20"/>
          <w:spacing w:val="-6"/>
        </w:rPr>
        <w:t xml:space="preserve"> </w:t>
      </w:r>
      <w:r>
        <w:rPr>
          <w:color w:val="231F20"/>
        </w:rPr>
        <w:t>home.</w:t>
      </w:r>
      <w:r>
        <w:rPr>
          <w:color w:val="231F20"/>
          <w:spacing w:val="-6"/>
        </w:rPr>
        <w:t xml:space="preserve"> </w:t>
      </w:r>
      <w:r>
        <w:rPr>
          <w:color w:val="231F20"/>
        </w:rPr>
        <w:t>Green</w:t>
      </w:r>
      <w:r>
        <w:rPr>
          <w:color w:val="231F20"/>
          <w:spacing w:val="-6"/>
        </w:rPr>
        <w:t xml:space="preserve"> </w:t>
      </w:r>
      <w:r>
        <w:rPr>
          <w:color w:val="231F20"/>
        </w:rPr>
        <w:t>and</w:t>
      </w:r>
      <w:r>
        <w:rPr>
          <w:color w:val="231F20"/>
          <w:spacing w:val="-6"/>
        </w:rPr>
        <w:t xml:space="preserve"> </w:t>
      </w:r>
      <w:r>
        <w:rPr>
          <w:color w:val="231F20"/>
        </w:rPr>
        <w:t>Chalip</w:t>
      </w:r>
      <w:r>
        <w:rPr>
          <w:color w:val="231F20"/>
          <w:spacing w:val="-6"/>
        </w:rPr>
        <w:t xml:space="preserve"> </w:t>
      </w:r>
      <w:r>
        <w:rPr>
          <w:color w:val="231F20"/>
        </w:rPr>
        <w:t>(1998),</w:t>
      </w:r>
      <w:r>
        <w:rPr>
          <w:color w:val="231F20"/>
          <w:spacing w:val="-6"/>
        </w:rPr>
        <w:t xml:space="preserve"> </w:t>
      </w:r>
      <w:r>
        <w:rPr>
          <w:color w:val="231F20"/>
        </w:rPr>
        <w:t>for example,</w:t>
      </w:r>
      <w:r>
        <w:rPr>
          <w:color w:val="231F20"/>
          <w:spacing w:val="-10"/>
        </w:rPr>
        <w:t xml:space="preserve"> </w:t>
      </w:r>
      <w:r>
        <w:rPr>
          <w:color w:val="231F20"/>
        </w:rPr>
        <w:t>report</w:t>
      </w:r>
      <w:r>
        <w:rPr>
          <w:color w:val="231F20"/>
          <w:spacing w:val="-10"/>
        </w:rPr>
        <w:t xml:space="preserve"> </w:t>
      </w:r>
      <w:r>
        <w:rPr>
          <w:color w:val="231F20"/>
        </w:rPr>
        <w:t>that</w:t>
      </w:r>
      <w:r>
        <w:rPr>
          <w:color w:val="231F20"/>
          <w:spacing w:val="-10"/>
        </w:rPr>
        <w:t xml:space="preserve"> </w:t>
      </w:r>
      <w:r>
        <w:rPr>
          <w:color w:val="231F20"/>
        </w:rPr>
        <w:t>sports</w:t>
      </w:r>
      <w:r>
        <w:rPr>
          <w:color w:val="231F20"/>
          <w:spacing w:val="-10"/>
        </w:rPr>
        <w:t xml:space="preserve"> </w:t>
      </w:r>
      <w:r>
        <w:rPr>
          <w:color w:val="231F20"/>
        </w:rPr>
        <w:t>people</w:t>
      </w:r>
      <w:r>
        <w:rPr>
          <w:color w:val="231F20"/>
          <w:spacing w:val="-10"/>
        </w:rPr>
        <w:t xml:space="preserve"> </w:t>
      </w:r>
      <w:r>
        <w:rPr>
          <w:color w:val="231F20"/>
        </w:rPr>
        <w:t>may</w:t>
      </w:r>
      <w:r>
        <w:rPr>
          <w:color w:val="231F20"/>
          <w:spacing w:val="-10"/>
        </w:rPr>
        <w:t xml:space="preserve"> </w:t>
      </w:r>
      <w:r>
        <w:rPr>
          <w:color w:val="231F20"/>
        </w:rPr>
        <w:t>be</w:t>
      </w:r>
      <w:r>
        <w:rPr>
          <w:color w:val="231F20"/>
          <w:spacing w:val="-10"/>
        </w:rPr>
        <w:t xml:space="preserve"> </w:t>
      </w:r>
      <w:r>
        <w:rPr>
          <w:color w:val="231F20"/>
        </w:rPr>
        <w:t>motivated</w:t>
      </w:r>
      <w:r>
        <w:rPr>
          <w:color w:val="231F20"/>
          <w:spacing w:val="-10"/>
        </w:rPr>
        <w:t xml:space="preserve"> </w:t>
      </w:r>
      <w:r>
        <w:rPr>
          <w:color w:val="231F20"/>
        </w:rPr>
        <w:t>by</w:t>
      </w:r>
      <w:r>
        <w:rPr>
          <w:color w:val="231F20"/>
          <w:spacing w:val="-10"/>
        </w:rPr>
        <w:t xml:space="preserve"> </w:t>
      </w:r>
      <w:r>
        <w:rPr>
          <w:color w:val="231F20"/>
        </w:rPr>
        <w:t>competency</w:t>
      </w:r>
      <w:r>
        <w:rPr>
          <w:color w:val="231F20"/>
          <w:spacing w:val="-10"/>
        </w:rPr>
        <w:t xml:space="preserve"> </w:t>
      </w:r>
      <w:r>
        <w:rPr>
          <w:color w:val="231F20"/>
        </w:rPr>
        <w:t xml:space="preserve">and </w:t>
      </w:r>
      <w:r>
        <w:rPr>
          <w:color w:val="231F20"/>
          <w:w w:val="95"/>
        </w:rPr>
        <w:t>mastery,</w:t>
      </w:r>
      <w:r>
        <w:rPr>
          <w:color w:val="231F20"/>
          <w:spacing w:val="-1"/>
          <w:w w:val="95"/>
        </w:rPr>
        <w:t xml:space="preserve"> </w:t>
      </w:r>
      <w:r>
        <w:rPr>
          <w:color w:val="231F20"/>
          <w:w w:val="95"/>
        </w:rPr>
        <w:t>which</w:t>
      </w:r>
      <w:r>
        <w:rPr>
          <w:color w:val="231F20"/>
          <w:spacing w:val="-2"/>
        </w:rPr>
        <w:t xml:space="preserve"> </w:t>
      </w:r>
      <w:r>
        <w:rPr>
          <w:color w:val="231F20"/>
          <w:w w:val="95"/>
        </w:rPr>
        <w:t>can</w:t>
      </w:r>
      <w:r>
        <w:rPr>
          <w:color w:val="231F20"/>
          <w:spacing w:val="-2"/>
        </w:rPr>
        <w:t xml:space="preserve"> </w:t>
      </w:r>
      <w:r>
        <w:rPr>
          <w:color w:val="231F20"/>
          <w:w w:val="95"/>
        </w:rPr>
        <w:t>be</w:t>
      </w:r>
      <w:r>
        <w:rPr>
          <w:color w:val="231F20"/>
          <w:spacing w:val="-3"/>
        </w:rPr>
        <w:t xml:space="preserve"> </w:t>
      </w:r>
      <w:r>
        <w:rPr>
          <w:color w:val="231F20"/>
          <w:w w:val="95"/>
        </w:rPr>
        <w:t>achieved</w:t>
      </w:r>
      <w:r>
        <w:rPr>
          <w:color w:val="231F20"/>
          <w:spacing w:val="-2"/>
        </w:rPr>
        <w:t xml:space="preserve"> </w:t>
      </w:r>
      <w:r>
        <w:rPr>
          <w:color w:val="231F20"/>
          <w:w w:val="95"/>
        </w:rPr>
        <w:t>in</w:t>
      </w:r>
      <w:r>
        <w:rPr>
          <w:color w:val="231F20"/>
          <w:spacing w:val="-2"/>
        </w:rPr>
        <w:t xml:space="preserve"> </w:t>
      </w:r>
      <w:r>
        <w:rPr>
          <w:color w:val="231F20"/>
          <w:w w:val="95"/>
        </w:rPr>
        <w:t>various</w:t>
      </w:r>
      <w:r>
        <w:rPr>
          <w:color w:val="231F20"/>
          <w:spacing w:val="-3"/>
        </w:rPr>
        <w:t xml:space="preserve"> </w:t>
      </w:r>
      <w:r>
        <w:rPr>
          <w:color w:val="231F20"/>
          <w:w w:val="95"/>
        </w:rPr>
        <w:t>levels</w:t>
      </w:r>
      <w:r>
        <w:rPr>
          <w:color w:val="231F20"/>
          <w:spacing w:val="-2"/>
        </w:rPr>
        <w:t xml:space="preserve"> </w:t>
      </w:r>
      <w:r>
        <w:rPr>
          <w:color w:val="231F20"/>
          <w:w w:val="95"/>
        </w:rPr>
        <w:t>of</w:t>
      </w:r>
      <w:r>
        <w:rPr>
          <w:color w:val="231F20"/>
          <w:spacing w:val="-2"/>
        </w:rPr>
        <w:t xml:space="preserve"> </w:t>
      </w:r>
      <w:r>
        <w:rPr>
          <w:color w:val="231F20"/>
          <w:w w:val="95"/>
        </w:rPr>
        <w:t>competition,</w:t>
      </w:r>
      <w:r>
        <w:rPr>
          <w:color w:val="231F20"/>
          <w:spacing w:val="-3"/>
        </w:rPr>
        <w:t xml:space="preserve"> </w:t>
      </w:r>
      <w:r>
        <w:rPr>
          <w:color w:val="231F20"/>
          <w:w w:val="95"/>
        </w:rPr>
        <w:t>but</w:t>
      </w:r>
      <w:r>
        <w:rPr>
          <w:color w:val="231F20"/>
          <w:spacing w:val="-2"/>
        </w:rPr>
        <w:t xml:space="preserve"> </w:t>
      </w:r>
      <w:r>
        <w:rPr>
          <w:color w:val="231F20"/>
          <w:w w:val="95"/>
        </w:rPr>
        <w:t>also</w:t>
      </w:r>
      <w:r>
        <w:rPr>
          <w:color w:val="231F20"/>
          <w:spacing w:val="-2"/>
        </w:rPr>
        <w:t xml:space="preserve"> </w:t>
      </w:r>
      <w:r>
        <w:rPr>
          <w:color w:val="231F20"/>
          <w:spacing w:val="-5"/>
          <w:w w:val="95"/>
        </w:rPr>
        <w:t>by</w:t>
      </w:r>
    </w:p>
    <w:p w14:paraId="2A6B1B47" w14:textId="77777777" w:rsidR="00AE0598" w:rsidRDefault="00AE0598">
      <w:pPr>
        <w:spacing w:line="232" w:lineRule="auto"/>
        <w:jc w:val="both"/>
        <w:sectPr w:rsidR="00AE0598">
          <w:pgSz w:w="8850" w:h="13270"/>
          <w:pgMar w:top="720" w:right="1060" w:bottom="280" w:left="1080" w:header="720" w:footer="720" w:gutter="0"/>
          <w:cols w:space="720"/>
        </w:sectPr>
      </w:pPr>
    </w:p>
    <w:p w14:paraId="6A0243B7" w14:textId="77777777" w:rsidR="00AE0598" w:rsidRDefault="0069255A">
      <w:pPr>
        <w:spacing w:before="87"/>
        <w:ind w:left="108"/>
        <w:rPr>
          <w:rFonts w:ascii="Trebuchet MS"/>
          <w:sz w:val="14"/>
        </w:rPr>
      </w:pPr>
      <w:r>
        <w:rPr>
          <w:rFonts w:ascii="Trebuchet MS"/>
          <w:color w:val="231F20"/>
          <w:w w:val="105"/>
          <w:sz w:val="14"/>
        </w:rPr>
        <w:lastRenderedPageBreak/>
        <w:t>158</w:t>
      </w:r>
      <w:r>
        <w:rPr>
          <w:rFonts w:ascii="Trebuchet MS"/>
          <w:color w:val="231F20"/>
          <w:spacing w:val="66"/>
          <w:w w:val="150"/>
          <w:sz w:val="14"/>
        </w:rPr>
        <w:t xml:space="preserve"> </w:t>
      </w:r>
      <w:r>
        <w:rPr>
          <w:rFonts w:ascii="Trebuchet MS"/>
          <w:color w:val="231F20"/>
          <w:w w:val="105"/>
          <w:sz w:val="14"/>
        </w:rPr>
        <w:t>Part</w:t>
      </w:r>
      <w:r>
        <w:rPr>
          <w:rFonts w:ascii="Trebuchet MS"/>
          <w:color w:val="231F20"/>
          <w:spacing w:val="-9"/>
          <w:w w:val="105"/>
          <w:sz w:val="14"/>
        </w:rPr>
        <w:t xml:space="preserve"> </w:t>
      </w:r>
      <w:r>
        <w:rPr>
          <w:rFonts w:ascii="Trebuchet MS"/>
          <w:color w:val="231F20"/>
          <w:w w:val="105"/>
          <w:sz w:val="14"/>
        </w:rPr>
        <w:t>4:</w:t>
      </w:r>
      <w:r>
        <w:rPr>
          <w:rFonts w:ascii="Trebuchet MS"/>
          <w:color w:val="231F20"/>
          <w:spacing w:val="-8"/>
          <w:w w:val="105"/>
          <w:sz w:val="14"/>
        </w:rPr>
        <w:t xml:space="preserve"> </w:t>
      </w:r>
      <w:r>
        <w:rPr>
          <w:rFonts w:ascii="Trebuchet MS"/>
          <w:color w:val="231F20"/>
          <w:w w:val="105"/>
          <w:sz w:val="14"/>
        </w:rPr>
        <w:t>Sport</w:t>
      </w:r>
      <w:r>
        <w:rPr>
          <w:rFonts w:ascii="Trebuchet MS"/>
          <w:color w:val="231F20"/>
          <w:spacing w:val="-9"/>
          <w:w w:val="105"/>
          <w:sz w:val="14"/>
        </w:rPr>
        <w:t xml:space="preserve"> </w:t>
      </w:r>
      <w:r>
        <w:rPr>
          <w:rFonts w:ascii="Trebuchet MS"/>
          <w:color w:val="231F20"/>
          <w:w w:val="105"/>
          <w:sz w:val="14"/>
        </w:rPr>
        <w:t>Tourism</w:t>
      </w:r>
      <w:r>
        <w:rPr>
          <w:rFonts w:ascii="Trebuchet MS"/>
          <w:color w:val="231F20"/>
          <w:spacing w:val="-9"/>
          <w:w w:val="105"/>
          <w:sz w:val="14"/>
        </w:rPr>
        <w:t xml:space="preserve"> </w:t>
      </w:r>
      <w:r>
        <w:rPr>
          <w:rFonts w:ascii="Trebuchet MS"/>
          <w:color w:val="231F20"/>
          <w:w w:val="105"/>
          <w:sz w:val="14"/>
        </w:rPr>
        <w:t>Development</w:t>
      </w:r>
      <w:r>
        <w:rPr>
          <w:rFonts w:ascii="Trebuchet MS"/>
          <w:color w:val="231F20"/>
          <w:spacing w:val="-9"/>
          <w:w w:val="105"/>
          <w:sz w:val="14"/>
        </w:rPr>
        <w:t xml:space="preserve"> </w:t>
      </w:r>
      <w:r>
        <w:rPr>
          <w:rFonts w:ascii="Trebuchet MS"/>
          <w:color w:val="231F20"/>
          <w:w w:val="105"/>
          <w:sz w:val="14"/>
        </w:rPr>
        <w:t>and</w:t>
      </w:r>
      <w:r>
        <w:rPr>
          <w:rFonts w:ascii="Trebuchet MS"/>
          <w:color w:val="231F20"/>
          <w:spacing w:val="-8"/>
          <w:w w:val="105"/>
          <w:sz w:val="14"/>
        </w:rPr>
        <w:t xml:space="preserve"> </w:t>
      </w:r>
      <w:r>
        <w:rPr>
          <w:rFonts w:ascii="Trebuchet MS"/>
          <w:color w:val="231F20"/>
          <w:spacing w:val="-4"/>
          <w:w w:val="105"/>
          <w:sz w:val="14"/>
        </w:rPr>
        <w:t>Time</w:t>
      </w:r>
    </w:p>
    <w:p w14:paraId="73ECA3E9" w14:textId="77777777" w:rsidR="00AE0598" w:rsidRDefault="00AE0598">
      <w:pPr>
        <w:pStyle w:val="Corpodetexto"/>
        <w:rPr>
          <w:rFonts w:ascii="Trebuchet MS"/>
          <w:sz w:val="16"/>
        </w:rPr>
      </w:pPr>
    </w:p>
    <w:p w14:paraId="58591914" w14:textId="77777777" w:rsidR="00AE0598" w:rsidRDefault="0069255A">
      <w:pPr>
        <w:pStyle w:val="Corpodetexto"/>
        <w:spacing w:before="118" w:line="232" w:lineRule="auto"/>
        <w:ind w:left="110" w:right="129"/>
        <w:jc w:val="both"/>
      </w:pPr>
      <w:r>
        <w:rPr>
          <w:color w:val="231F20"/>
          <w:w w:val="95"/>
        </w:rPr>
        <w:t xml:space="preserve">affiliation and socialisation needs, and to develop or embellish subcultural </w:t>
      </w:r>
      <w:r>
        <w:rPr>
          <w:color w:val="231F20"/>
        </w:rPr>
        <w:t>identity,</w:t>
      </w:r>
      <w:r>
        <w:rPr>
          <w:color w:val="231F20"/>
          <w:spacing w:val="-1"/>
        </w:rPr>
        <w:t xml:space="preserve"> </w:t>
      </w:r>
      <w:r>
        <w:rPr>
          <w:color w:val="231F20"/>
        </w:rPr>
        <w:t>which</w:t>
      </w:r>
      <w:r>
        <w:rPr>
          <w:color w:val="231F20"/>
          <w:spacing w:val="-1"/>
        </w:rPr>
        <w:t xml:space="preserve"> </w:t>
      </w:r>
      <w:r>
        <w:rPr>
          <w:color w:val="231F20"/>
        </w:rPr>
        <w:t>may</w:t>
      </w:r>
      <w:r>
        <w:rPr>
          <w:color w:val="231F20"/>
          <w:spacing w:val="-1"/>
        </w:rPr>
        <w:t xml:space="preserve"> </w:t>
      </w:r>
      <w:r>
        <w:rPr>
          <w:color w:val="231F20"/>
        </w:rPr>
        <w:t>be</w:t>
      </w:r>
      <w:r>
        <w:rPr>
          <w:color w:val="231F20"/>
          <w:spacing w:val="-1"/>
        </w:rPr>
        <w:t xml:space="preserve"> </w:t>
      </w:r>
      <w:r>
        <w:rPr>
          <w:color w:val="231F20"/>
        </w:rPr>
        <w:t>best</w:t>
      </w:r>
      <w:r>
        <w:rPr>
          <w:color w:val="231F20"/>
          <w:spacing w:val="-1"/>
        </w:rPr>
        <w:t xml:space="preserve"> </w:t>
      </w:r>
      <w:r>
        <w:rPr>
          <w:color w:val="231F20"/>
        </w:rPr>
        <w:t>served</w:t>
      </w:r>
      <w:r>
        <w:rPr>
          <w:color w:val="231F20"/>
          <w:spacing w:val="-1"/>
        </w:rPr>
        <w:t xml:space="preserve"> </w:t>
      </w:r>
      <w:r>
        <w:rPr>
          <w:color w:val="231F20"/>
        </w:rPr>
        <w:t>in</w:t>
      </w:r>
      <w:r>
        <w:rPr>
          <w:color w:val="231F20"/>
          <w:spacing w:val="-1"/>
        </w:rPr>
        <w:t xml:space="preserve"> </w:t>
      </w:r>
      <w:r>
        <w:rPr>
          <w:color w:val="231F20"/>
        </w:rPr>
        <w:t>a</w:t>
      </w:r>
      <w:r>
        <w:rPr>
          <w:color w:val="231F20"/>
          <w:spacing w:val="-1"/>
        </w:rPr>
        <w:t xml:space="preserve"> </w:t>
      </w:r>
      <w:r>
        <w:rPr>
          <w:color w:val="231F20"/>
        </w:rPr>
        <w:t>collective</w:t>
      </w:r>
      <w:r>
        <w:rPr>
          <w:color w:val="231F20"/>
          <w:spacing w:val="-1"/>
        </w:rPr>
        <w:t xml:space="preserve"> </w:t>
      </w:r>
      <w:r>
        <w:rPr>
          <w:color w:val="231F20"/>
        </w:rPr>
        <w:t>tourism</w:t>
      </w:r>
      <w:r>
        <w:rPr>
          <w:color w:val="231F20"/>
          <w:spacing w:val="-1"/>
        </w:rPr>
        <w:t xml:space="preserve"> </w:t>
      </w:r>
      <w:r>
        <w:rPr>
          <w:color w:val="231F20"/>
        </w:rPr>
        <w:t>context.</w:t>
      </w:r>
    </w:p>
    <w:p w14:paraId="6D2402C8" w14:textId="77777777" w:rsidR="00AE0598" w:rsidRDefault="0069255A">
      <w:pPr>
        <w:pStyle w:val="Corpodetexto"/>
        <w:spacing w:before="2" w:line="232" w:lineRule="auto"/>
        <w:ind w:left="110" w:right="123" w:firstLine="320"/>
        <w:jc w:val="both"/>
      </w:pPr>
      <w:r>
        <w:rPr>
          <w:color w:val="231F20"/>
        </w:rPr>
        <w:t>Pull factors include price, destination image and marketing and promotion. Destination image, which is a functi</w:t>
      </w:r>
      <w:r>
        <w:rPr>
          <w:color w:val="231F20"/>
        </w:rPr>
        <w:t>on of physical and abstract attributes (Echtner &amp; Ritchie, 1993), plays an important part in the formulation of expectations. Physical attributes include attractions, activities,</w:t>
      </w:r>
      <w:r>
        <w:rPr>
          <w:color w:val="231F20"/>
          <w:spacing w:val="-1"/>
        </w:rPr>
        <w:t xml:space="preserve"> </w:t>
      </w:r>
      <w:r>
        <w:rPr>
          <w:color w:val="231F20"/>
        </w:rPr>
        <w:t>sporting</w:t>
      </w:r>
      <w:r>
        <w:rPr>
          <w:color w:val="231F20"/>
          <w:spacing w:val="-1"/>
        </w:rPr>
        <w:t xml:space="preserve"> </w:t>
      </w:r>
      <w:r>
        <w:rPr>
          <w:color w:val="231F20"/>
        </w:rPr>
        <w:t>facilities</w:t>
      </w:r>
      <w:r>
        <w:rPr>
          <w:color w:val="231F20"/>
          <w:spacing w:val="-1"/>
        </w:rPr>
        <w:t xml:space="preserve"> </w:t>
      </w:r>
      <w:r>
        <w:rPr>
          <w:color w:val="231F20"/>
        </w:rPr>
        <w:t>and</w:t>
      </w:r>
      <w:r>
        <w:rPr>
          <w:color w:val="231F20"/>
          <w:spacing w:val="-1"/>
        </w:rPr>
        <w:t xml:space="preserve"> </w:t>
      </w:r>
      <w:r>
        <w:rPr>
          <w:color w:val="231F20"/>
        </w:rPr>
        <w:t>physical</w:t>
      </w:r>
      <w:r>
        <w:rPr>
          <w:color w:val="231F20"/>
          <w:spacing w:val="-1"/>
        </w:rPr>
        <w:t xml:space="preserve"> </w:t>
      </w:r>
      <w:r>
        <w:rPr>
          <w:color w:val="231F20"/>
        </w:rPr>
        <w:t>landscapes.</w:t>
      </w:r>
      <w:r>
        <w:rPr>
          <w:color w:val="231F20"/>
          <w:spacing w:val="-1"/>
        </w:rPr>
        <w:t xml:space="preserve"> </w:t>
      </w:r>
      <w:r>
        <w:rPr>
          <w:color w:val="231F20"/>
        </w:rPr>
        <w:t>Abstract</w:t>
      </w:r>
      <w:r>
        <w:rPr>
          <w:color w:val="231F20"/>
          <w:spacing w:val="-1"/>
        </w:rPr>
        <w:t xml:space="preserve"> </w:t>
      </w:r>
      <w:r>
        <w:rPr>
          <w:color w:val="231F20"/>
        </w:rPr>
        <w:t>attributes are</w:t>
      </w:r>
      <w:r>
        <w:rPr>
          <w:color w:val="231F20"/>
          <w:spacing w:val="-6"/>
        </w:rPr>
        <w:t xml:space="preserve"> </w:t>
      </w:r>
      <w:r>
        <w:rPr>
          <w:color w:val="231F20"/>
        </w:rPr>
        <w:t>less</w:t>
      </w:r>
      <w:r>
        <w:rPr>
          <w:color w:val="231F20"/>
          <w:spacing w:val="-6"/>
        </w:rPr>
        <w:t xml:space="preserve"> </w:t>
      </w:r>
      <w:r>
        <w:rPr>
          <w:color w:val="231F20"/>
        </w:rPr>
        <w:t>readily</w:t>
      </w:r>
      <w:r>
        <w:rPr>
          <w:color w:val="231F20"/>
          <w:spacing w:val="-6"/>
        </w:rPr>
        <w:t xml:space="preserve"> </w:t>
      </w:r>
      <w:r>
        <w:rPr>
          <w:color w:val="231F20"/>
        </w:rPr>
        <w:t>measured,</w:t>
      </w:r>
      <w:r>
        <w:rPr>
          <w:color w:val="231F20"/>
          <w:spacing w:val="-6"/>
        </w:rPr>
        <w:t xml:space="preserve"> </w:t>
      </w:r>
      <w:r>
        <w:rPr>
          <w:color w:val="231F20"/>
        </w:rPr>
        <w:t>and</w:t>
      </w:r>
      <w:r>
        <w:rPr>
          <w:color w:val="231F20"/>
          <w:spacing w:val="-6"/>
        </w:rPr>
        <w:t xml:space="preserve"> </w:t>
      </w:r>
      <w:r>
        <w:rPr>
          <w:color w:val="231F20"/>
        </w:rPr>
        <w:t>include</w:t>
      </w:r>
      <w:r>
        <w:rPr>
          <w:color w:val="231F20"/>
          <w:spacing w:val="-6"/>
        </w:rPr>
        <w:t xml:space="preserve"> </w:t>
      </w:r>
      <w:r>
        <w:rPr>
          <w:color w:val="231F20"/>
        </w:rPr>
        <w:t>atmosphere,</w:t>
      </w:r>
      <w:r>
        <w:rPr>
          <w:color w:val="231F20"/>
          <w:spacing w:val="-6"/>
        </w:rPr>
        <w:t xml:space="preserve"> </w:t>
      </w:r>
      <w:r>
        <w:rPr>
          <w:color w:val="231F20"/>
        </w:rPr>
        <w:t>crowding,</w:t>
      </w:r>
      <w:r>
        <w:rPr>
          <w:color w:val="231F20"/>
          <w:spacing w:val="-6"/>
        </w:rPr>
        <w:t xml:space="preserve"> </w:t>
      </w:r>
      <w:r>
        <w:rPr>
          <w:color w:val="231F20"/>
        </w:rPr>
        <w:t>safety</w:t>
      </w:r>
      <w:r>
        <w:rPr>
          <w:color w:val="231F20"/>
          <w:spacing w:val="-6"/>
        </w:rPr>
        <w:t xml:space="preserve"> </w:t>
      </w:r>
      <w:r>
        <w:rPr>
          <w:color w:val="231F20"/>
        </w:rPr>
        <w:t>and ambience. Again, specifically in terms of sport experiences, pull factors may relate to the search for competition or the achievement of sporting experiences</w:t>
      </w:r>
      <w:r>
        <w:rPr>
          <w:color w:val="231F20"/>
          <w:spacing w:val="37"/>
        </w:rPr>
        <w:t xml:space="preserve"> </w:t>
      </w:r>
      <w:r>
        <w:rPr>
          <w:color w:val="231F20"/>
        </w:rPr>
        <w:t>that</w:t>
      </w:r>
      <w:r>
        <w:rPr>
          <w:color w:val="231F20"/>
          <w:spacing w:val="37"/>
        </w:rPr>
        <w:t xml:space="preserve"> </w:t>
      </w:r>
      <w:r>
        <w:rPr>
          <w:color w:val="231F20"/>
        </w:rPr>
        <w:t>are</w:t>
      </w:r>
      <w:r>
        <w:rPr>
          <w:color w:val="231F20"/>
          <w:spacing w:val="37"/>
        </w:rPr>
        <w:t xml:space="preserve"> </w:t>
      </w:r>
      <w:r>
        <w:rPr>
          <w:color w:val="231F20"/>
        </w:rPr>
        <w:t>unique</w:t>
      </w:r>
      <w:r>
        <w:rPr>
          <w:color w:val="231F20"/>
          <w:spacing w:val="37"/>
        </w:rPr>
        <w:t xml:space="preserve"> </w:t>
      </w:r>
      <w:r>
        <w:rPr>
          <w:color w:val="231F20"/>
        </w:rPr>
        <w:t>to</w:t>
      </w:r>
      <w:r>
        <w:rPr>
          <w:color w:val="231F20"/>
          <w:spacing w:val="37"/>
        </w:rPr>
        <w:t xml:space="preserve"> </w:t>
      </w:r>
      <w:r>
        <w:rPr>
          <w:color w:val="231F20"/>
        </w:rPr>
        <w:t>particular</w:t>
      </w:r>
      <w:r>
        <w:rPr>
          <w:color w:val="231F20"/>
          <w:spacing w:val="37"/>
        </w:rPr>
        <w:t xml:space="preserve"> </w:t>
      </w:r>
      <w:r>
        <w:rPr>
          <w:color w:val="231F20"/>
        </w:rPr>
        <w:t>places</w:t>
      </w:r>
      <w:r>
        <w:rPr>
          <w:color w:val="231F20"/>
          <w:spacing w:val="37"/>
        </w:rPr>
        <w:t xml:space="preserve"> </w:t>
      </w:r>
      <w:r>
        <w:rPr>
          <w:color w:val="231F20"/>
        </w:rPr>
        <w:t>(Hinch,</w:t>
      </w:r>
      <w:r>
        <w:rPr>
          <w:color w:val="231F20"/>
          <w:spacing w:val="37"/>
        </w:rPr>
        <w:t xml:space="preserve"> </w:t>
      </w:r>
      <w:r>
        <w:rPr>
          <w:color w:val="231F20"/>
        </w:rPr>
        <w:t>2006;</w:t>
      </w:r>
      <w:r>
        <w:rPr>
          <w:color w:val="231F20"/>
          <w:spacing w:val="37"/>
        </w:rPr>
        <w:t xml:space="preserve"> </w:t>
      </w:r>
      <w:r>
        <w:rPr>
          <w:color w:val="231F20"/>
        </w:rPr>
        <w:t>Hinch &amp; Higham, 2005). Unique experiences are usually bound in both space and</w:t>
      </w:r>
      <w:r>
        <w:rPr>
          <w:color w:val="231F20"/>
          <w:spacing w:val="-3"/>
        </w:rPr>
        <w:t xml:space="preserve"> </w:t>
      </w:r>
      <w:r>
        <w:rPr>
          <w:color w:val="231F20"/>
        </w:rPr>
        <w:t>time</w:t>
      </w:r>
      <w:r>
        <w:rPr>
          <w:color w:val="231F20"/>
          <w:spacing w:val="-3"/>
        </w:rPr>
        <w:t xml:space="preserve"> </w:t>
      </w:r>
      <w:r>
        <w:rPr>
          <w:color w:val="231F20"/>
        </w:rPr>
        <w:t>(e.g.</w:t>
      </w:r>
      <w:r>
        <w:rPr>
          <w:color w:val="231F20"/>
          <w:spacing w:val="-3"/>
        </w:rPr>
        <w:t xml:space="preserve"> </w:t>
      </w:r>
      <w:r>
        <w:rPr>
          <w:color w:val="231F20"/>
        </w:rPr>
        <w:t>sports</w:t>
      </w:r>
      <w:r>
        <w:rPr>
          <w:color w:val="231F20"/>
          <w:spacing w:val="-3"/>
        </w:rPr>
        <w:t xml:space="preserve"> </w:t>
      </w:r>
      <w:r>
        <w:rPr>
          <w:color w:val="231F20"/>
        </w:rPr>
        <w:t>events,</w:t>
      </w:r>
      <w:r>
        <w:rPr>
          <w:color w:val="231F20"/>
          <w:spacing w:val="-3"/>
        </w:rPr>
        <w:t xml:space="preserve"> </w:t>
      </w:r>
      <w:r>
        <w:rPr>
          <w:color w:val="231F20"/>
        </w:rPr>
        <w:t>sports</w:t>
      </w:r>
      <w:r>
        <w:rPr>
          <w:color w:val="231F20"/>
          <w:spacing w:val="-3"/>
        </w:rPr>
        <w:t xml:space="preserve"> </w:t>
      </w:r>
      <w:r>
        <w:rPr>
          <w:color w:val="231F20"/>
        </w:rPr>
        <w:t>seasons).</w:t>
      </w:r>
      <w:r>
        <w:rPr>
          <w:color w:val="231F20"/>
          <w:spacing w:val="-3"/>
        </w:rPr>
        <w:t xml:space="preserve"> </w:t>
      </w:r>
      <w:r>
        <w:rPr>
          <w:color w:val="231F20"/>
        </w:rPr>
        <w:t>These</w:t>
      </w:r>
      <w:r>
        <w:rPr>
          <w:color w:val="231F20"/>
          <w:spacing w:val="-3"/>
        </w:rPr>
        <w:t xml:space="preserve"> </w:t>
      </w:r>
      <w:r>
        <w:rPr>
          <w:color w:val="231F20"/>
        </w:rPr>
        <w:t>pull</w:t>
      </w:r>
      <w:r>
        <w:rPr>
          <w:color w:val="231F20"/>
          <w:spacing w:val="-3"/>
        </w:rPr>
        <w:t xml:space="preserve"> </w:t>
      </w:r>
      <w:r>
        <w:rPr>
          <w:color w:val="231F20"/>
        </w:rPr>
        <w:t>factors</w:t>
      </w:r>
      <w:r>
        <w:rPr>
          <w:color w:val="231F20"/>
          <w:spacing w:val="-3"/>
        </w:rPr>
        <w:t xml:space="preserve"> </w:t>
      </w:r>
      <w:r>
        <w:rPr>
          <w:color w:val="231F20"/>
        </w:rPr>
        <w:t>may</w:t>
      </w:r>
      <w:r>
        <w:rPr>
          <w:color w:val="231F20"/>
          <w:spacing w:val="-3"/>
        </w:rPr>
        <w:t xml:space="preserve"> </w:t>
      </w:r>
      <w:r>
        <w:rPr>
          <w:color w:val="231F20"/>
        </w:rPr>
        <w:t>also influence</w:t>
      </w:r>
      <w:r>
        <w:rPr>
          <w:color w:val="231F20"/>
          <w:spacing w:val="-1"/>
        </w:rPr>
        <w:t xml:space="preserve"> </w:t>
      </w:r>
      <w:r>
        <w:rPr>
          <w:color w:val="231F20"/>
        </w:rPr>
        <w:t>the</w:t>
      </w:r>
      <w:r>
        <w:rPr>
          <w:color w:val="231F20"/>
          <w:spacing w:val="-1"/>
        </w:rPr>
        <w:t xml:space="preserve"> </w:t>
      </w:r>
      <w:r>
        <w:rPr>
          <w:color w:val="231F20"/>
        </w:rPr>
        <w:t>perceived</w:t>
      </w:r>
      <w:r>
        <w:rPr>
          <w:color w:val="231F20"/>
          <w:spacing w:val="-1"/>
        </w:rPr>
        <w:t xml:space="preserve"> </w:t>
      </w:r>
      <w:r>
        <w:rPr>
          <w:color w:val="231F20"/>
        </w:rPr>
        <w:t>needs</w:t>
      </w:r>
      <w:r>
        <w:rPr>
          <w:color w:val="231F20"/>
          <w:spacing w:val="-1"/>
        </w:rPr>
        <w:t xml:space="preserve"> </w:t>
      </w:r>
      <w:r>
        <w:rPr>
          <w:color w:val="231F20"/>
        </w:rPr>
        <w:t>of</w:t>
      </w:r>
      <w:r>
        <w:rPr>
          <w:color w:val="231F20"/>
          <w:spacing w:val="-1"/>
        </w:rPr>
        <w:t xml:space="preserve"> </w:t>
      </w:r>
      <w:r>
        <w:rPr>
          <w:color w:val="231F20"/>
        </w:rPr>
        <w:t>tourists</w:t>
      </w:r>
      <w:r>
        <w:rPr>
          <w:color w:val="231F20"/>
          <w:spacing w:val="-1"/>
        </w:rPr>
        <w:t xml:space="preserve"> </w:t>
      </w:r>
      <w:r>
        <w:rPr>
          <w:color w:val="231F20"/>
        </w:rPr>
        <w:t>in</w:t>
      </w:r>
      <w:r>
        <w:rPr>
          <w:color w:val="231F20"/>
          <w:spacing w:val="-1"/>
        </w:rPr>
        <w:t xml:space="preserve"> </w:t>
      </w:r>
      <w:r>
        <w:rPr>
          <w:color w:val="231F20"/>
        </w:rPr>
        <w:t>the</w:t>
      </w:r>
      <w:r>
        <w:rPr>
          <w:color w:val="231F20"/>
          <w:spacing w:val="-1"/>
        </w:rPr>
        <w:t xml:space="preserve"> </w:t>
      </w:r>
      <w:r>
        <w:rPr>
          <w:color w:val="231F20"/>
        </w:rPr>
        <w:t>anticipation</w:t>
      </w:r>
      <w:r>
        <w:rPr>
          <w:color w:val="231F20"/>
          <w:spacing w:val="-1"/>
        </w:rPr>
        <w:t xml:space="preserve"> </w:t>
      </w:r>
      <w:r>
        <w:rPr>
          <w:color w:val="231F20"/>
        </w:rPr>
        <w:t>phase</w:t>
      </w:r>
      <w:r>
        <w:rPr>
          <w:color w:val="231F20"/>
          <w:spacing w:val="-1"/>
        </w:rPr>
        <w:t xml:space="preserve"> </w:t>
      </w:r>
      <w:r>
        <w:rPr>
          <w:color w:val="231F20"/>
        </w:rPr>
        <w:t>of</w:t>
      </w:r>
      <w:r>
        <w:rPr>
          <w:color w:val="231F20"/>
          <w:spacing w:val="-1"/>
        </w:rPr>
        <w:t xml:space="preserve"> </w:t>
      </w:r>
      <w:r>
        <w:rPr>
          <w:color w:val="231F20"/>
        </w:rPr>
        <w:t>the travel experience.</w:t>
      </w:r>
    </w:p>
    <w:p w14:paraId="198BAFCA" w14:textId="77777777" w:rsidR="00AE0598" w:rsidRDefault="0069255A">
      <w:pPr>
        <w:pStyle w:val="Corpodetexto"/>
        <w:spacing w:before="16" w:line="232" w:lineRule="auto"/>
        <w:ind w:left="110" w:right="125" w:firstLine="320"/>
        <w:jc w:val="both"/>
      </w:pPr>
      <w:r>
        <w:rPr>
          <w:color w:val="231F20"/>
          <w:w w:val="95"/>
        </w:rPr>
        <w:t>Sport</w:t>
      </w:r>
      <w:r>
        <w:rPr>
          <w:color w:val="231F20"/>
          <w:spacing w:val="-2"/>
          <w:w w:val="95"/>
        </w:rPr>
        <w:t xml:space="preserve"> </w:t>
      </w:r>
      <w:r>
        <w:rPr>
          <w:color w:val="231F20"/>
          <w:w w:val="95"/>
        </w:rPr>
        <w:t>tourism,</w:t>
      </w:r>
      <w:r>
        <w:rPr>
          <w:color w:val="231F20"/>
          <w:spacing w:val="-2"/>
          <w:w w:val="95"/>
        </w:rPr>
        <w:t xml:space="preserve"> </w:t>
      </w:r>
      <w:r>
        <w:rPr>
          <w:color w:val="231F20"/>
          <w:w w:val="95"/>
        </w:rPr>
        <w:t>like</w:t>
      </w:r>
      <w:r>
        <w:rPr>
          <w:color w:val="231F20"/>
          <w:spacing w:val="-2"/>
          <w:w w:val="95"/>
        </w:rPr>
        <w:t xml:space="preserve"> </w:t>
      </w:r>
      <w:r>
        <w:rPr>
          <w:color w:val="231F20"/>
          <w:w w:val="95"/>
        </w:rPr>
        <w:t>other</w:t>
      </w:r>
      <w:r>
        <w:rPr>
          <w:color w:val="231F20"/>
          <w:spacing w:val="-2"/>
          <w:w w:val="95"/>
        </w:rPr>
        <w:t xml:space="preserve"> </w:t>
      </w:r>
      <w:r>
        <w:rPr>
          <w:color w:val="231F20"/>
          <w:w w:val="95"/>
        </w:rPr>
        <w:t>forms</w:t>
      </w:r>
      <w:r>
        <w:rPr>
          <w:color w:val="231F20"/>
          <w:spacing w:val="-2"/>
          <w:w w:val="95"/>
        </w:rPr>
        <w:t xml:space="preserve"> </w:t>
      </w:r>
      <w:r>
        <w:rPr>
          <w:color w:val="231F20"/>
          <w:w w:val="95"/>
        </w:rPr>
        <w:t>of</w:t>
      </w:r>
      <w:r>
        <w:rPr>
          <w:color w:val="231F20"/>
          <w:spacing w:val="-2"/>
          <w:w w:val="95"/>
        </w:rPr>
        <w:t xml:space="preserve"> </w:t>
      </w:r>
      <w:r>
        <w:rPr>
          <w:color w:val="231F20"/>
          <w:w w:val="95"/>
        </w:rPr>
        <w:t>travel,</w:t>
      </w:r>
      <w:r>
        <w:rPr>
          <w:color w:val="231F20"/>
          <w:spacing w:val="-2"/>
          <w:w w:val="95"/>
        </w:rPr>
        <w:t xml:space="preserve"> </w:t>
      </w:r>
      <w:r>
        <w:rPr>
          <w:color w:val="231F20"/>
          <w:w w:val="95"/>
        </w:rPr>
        <w:t>entails</w:t>
      </w:r>
      <w:r>
        <w:rPr>
          <w:color w:val="231F20"/>
          <w:spacing w:val="-2"/>
          <w:w w:val="95"/>
        </w:rPr>
        <w:t xml:space="preserve"> </w:t>
      </w:r>
      <w:r>
        <w:rPr>
          <w:color w:val="231F20"/>
          <w:w w:val="95"/>
        </w:rPr>
        <w:t>a</w:t>
      </w:r>
      <w:r>
        <w:rPr>
          <w:color w:val="231F20"/>
          <w:spacing w:val="-2"/>
          <w:w w:val="95"/>
        </w:rPr>
        <w:t xml:space="preserve"> </w:t>
      </w:r>
      <w:r>
        <w:rPr>
          <w:color w:val="231F20"/>
          <w:w w:val="95"/>
        </w:rPr>
        <w:t>set</w:t>
      </w:r>
      <w:r>
        <w:rPr>
          <w:color w:val="231F20"/>
          <w:spacing w:val="-2"/>
          <w:w w:val="95"/>
        </w:rPr>
        <w:t xml:space="preserve"> </w:t>
      </w:r>
      <w:r>
        <w:rPr>
          <w:color w:val="231F20"/>
          <w:w w:val="95"/>
        </w:rPr>
        <w:t>of</w:t>
      </w:r>
      <w:r>
        <w:rPr>
          <w:color w:val="231F20"/>
          <w:spacing w:val="-2"/>
          <w:w w:val="95"/>
        </w:rPr>
        <w:t xml:space="preserve"> </w:t>
      </w:r>
      <w:r>
        <w:rPr>
          <w:color w:val="231F20"/>
          <w:w w:val="95"/>
        </w:rPr>
        <w:t>motivations</w:t>
      </w:r>
      <w:r>
        <w:rPr>
          <w:color w:val="231F20"/>
          <w:spacing w:val="-2"/>
          <w:w w:val="95"/>
        </w:rPr>
        <w:t xml:space="preserve"> </w:t>
      </w:r>
      <w:r>
        <w:rPr>
          <w:color w:val="231F20"/>
          <w:w w:val="95"/>
        </w:rPr>
        <w:t xml:space="preserve">that </w:t>
      </w:r>
      <w:r>
        <w:rPr>
          <w:color w:val="231F20"/>
        </w:rPr>
        <w:t>are</w:t>
      </w:r>
      <w:r>
        <w:rPr>
          <w:color w:val="231F20"/>
          <w:spacing w:val="-7"/>
        </w:rPr>
        <w:t xml:space="preserve"> </w:t>
      </w:r>
      <w:r>
        <w:rPr>
          <w:color w:val="231F20"/>
        </w:rPr>
        <w:t>established</w:t>
      </w:r>
      <w:r>
        <w:rPr>
          <w:color w:val="231F20"/>
          <w:spacing w:val="-7"/>
        </w:rPr>
        <w:t xml:space="preserve"> </w:t>
      </w:r>
      <w:r>
        <w:rPr>
          <w:color w:val="231F20"/>
        </w:rPr>
        <w:t>in</w:t>
      </w:r>
      <w:r>
        <w:rPr>
          <w:color w:val="231F20"/>
          <w:spacing w:val="-7"/>
        </w:rPr>
        <w:t xml:space="preserve"> </w:t>
      </w:r>
      <w:r>
        <w:rPr>
          <w:color w:val="231F20"/>
        </w:rPr>
        <w:t>anticipation</w:t>
      </w:r>
      <w:r>
        <w:rPr>
          <w:color w:val="231F20"/>
          <w:spacing w:val="-7"/>
        </w:rPr>
        <w:t xml:space="preserve"> </w:t>
      </w:r>
      <w:r>
        <w:rPr>
          <w:color w:val="231F20"/>
        </w:rPr>
        <w:t>of</w:t>
      </w:r>
      <w:r>
        <w:rPr>
          <w:color w:val="231F20"/>
          <w:spacing w:val="-7"/>
        </w:rPr>
        <w:t xml:space="preserve"> </w:t>
      </w:r>
      <w:r>
        <w:rPr>
          <w:color w:val="231F20"/>
        </w:rPr>
        <w:t>the</w:t>
      </w:r>
      <w:r>
        <w:rPr>
          <w:color w:val="231F20"/>
          <w:spacing w:val="-7"/>
        </w:rPr>
        <w:t xml:space="preserve"> </w:t>
      </w:r>
      <w:r>
        <w:rPr>
          <w:color w:val="231F20"/>
        </w:rPr>
        <w:t>fulfilment</w:t>
      </w:r>
      <w:r>
        <w:rPr>
          <w:color w:val="231F20"/>
          <w:spacing w:val="-7"/>
        </w:rPr>
        <w:t xml:space="preserve"> </w:t>
      </w:r>
      <w:r>
        <w:rPr>
          <w:color w:val="231F20"/>
        </w:rPr>
        <w:t>of</w:t>
      </w:r>
      <w:r>
        <w:rPr>
          <w:color w:val="231F20"/>
          <w:spacing w:val="-7"/>
        </w:rPr>
        <w:t xml:space="preserve"> </w:t>
      </w:r>
      <w:r>
        <w:rPr>
          <w:color w:val="231F20"/>
        </w:rPr>
        <w:t>desired</w:t>
      </w:r>
      <w:r>
        <w:rPr>
          <w:color w:val="231F20"/>
          <w:spacing w:val="-7"/>
        </w:rPr>
        <w:t xml:space="preserve"> </w:t>
      </w:r>
      <w:r>
        <w:rPr>
          <w:color w:val="231F20"/>
        </w:rPr>
        <w:t>needs.</w:t>
      </w:r>
      <w:r>
        <w:rPr>
          <w:color w:val="231F20"/>
          <w:spacing w:val="-7"/>
        </w:rPr>
        <w:t xml:space="preserve"> </w:t>
      </w:r>
      <w:r>
        <w:rPr>
          <w:color w:val="231F20"/>
        </w:rPr>
        <w:t>Stewart (2001)</w:t>
      </w:r>
      <w:r>
        <w:rPr>
          <w:color w:val="231F20"/>
          <w:spacing w:val="-11"/>
        </w:rPr>
        <w:t xml:space="preserve"> </w:t>
      </w:r>
      <w:r>
        <w:rPr>
          <w:color w:val="231F20"/>
        </w:rPr>
        <w:t>identifies</w:t>
      </w:r>
      <w:r>
        <w:rPr>
          <w:color w:val="231F20"/>
          <w:spacing w:val="-11"/>
        </w:rPr>
        <w:t xml:space="preserve"> </w:t>
      </w:r>
      <w:r>
        <w:rPr>
          <w:color w:val="231F20"/>
        </w:rPr>
        <w:t>a</w:t>
      </w:r>
      <w:r>
        <w:rPr>
          <w:color w:val="231F20"/>
          <w:spacing w:val="-11"/>
        </w:rPr>
        <w:t xml:space="preserve"> </w:t>
      </w:r>
      <w:r>
        <w:rPr>
          <w:color w:val="231F20"/>
        </w:rPr>
        <w:t>range</w:t>
      </w:r>
      <w:r>
        <w:rPr>
          <w:color w:val="231F20"/>
          <w:spacing w:val="-11"/>
        </w:rPr>
        <w:t xml:space="preserve"> </w:t>
      </w:r>
      <w:r>
        <w:rPr>
          <w:color w:val="231F20"/>
        </w:rPr>
        <w:t>of</w:t>
      </w:r>
      <w:r>
        <w:rPr>
          <w:color w:val="231F20"/>
          <w:spacing w:val="-11"/>
        </w:rPr>
        <w:t xml:space="preserve"> </w:t>
      </w:r>
      <w:r>
        <w:rPr>
          <w:color w:val="231F20"/>
        </w:rPr>
        <w:t>factors</w:t>
      </w:r>
      <w:r>
        <w:rPr>
          <w:color w:val="231F20"/>
          <w:spacing w:val="-11"/>
        </w:rPr>
        <w:t xml:space="preserve"> </w:t>
      </w:r>
      <w:r>
        <w:rPr>
          <w:color w:val="231F20"/>
        </w:rPr>
        <w:t>that</w:t>
      </w:r>
      <w:r>
        <w:rPr>
          <w:color w:val="231F20"/>
          <w:spacing w:val="-11"/>
        </w:rPr>
        <w:t xml:space="preserve"> </w:t>
      </w:r>
      <w:r>
        <w:rPr>
          <w:color w:val="231F20"/>
        </w:rPr>
        <w:t>motivate</w:t>
      </w:r>
      <w:r>
        <w:rPr>
          <w:color w:val="231F20"/>
          <w:spacing w:val="-11"/>
        </w:rPr>
        <w:t xml:space="preserve"> </w:t>
      </w:r>
      <w:r>
        <w:rPr>
          <w:color w:val="231F20"/>
        </w:rPr>
        <w:t>fans</w:t>
      </w:r>
      <w:r>
        <w:rPr>
          <w:color w:val="231F20"/>
          <w:spacing w:val="-11"/>
        </w:rPr>
        <w:t xml:space="preserve"> </w:t>
      </w:r>
      <w:r>
        <w:rPr>
          <w:color w:val="231F20"/>
        </w:rPr>
        <w:t>to</w:t>
      </w:r>
      <w:r>
        <w:rPr>
          <w:color w:val="231F20"/>
          <w:spacing w:val="-11"/>
        </w:rPr>
        <w:t xml:space="preserve"> </w:t>
      </w:r>
      <w:r>
        <w:rPr>
          <w:color w:val="231F20"/>
        </w:rPr>
        <w:t>travel</w:t>
      </w:r>
      <w:r>
        <w:rPr>
          <w:color w:val="231F20"/>
          <w:spacing w:val="-11"/>
        </w:rPr>
        <w:t xml:space="preserve"> </w:t>
      </w:r>
      <w:r>
        <w:rPr>
          <w:color w:val="231F20"/>
        </w:rPr>
        <w:t>to</w:t>
      </w:r>
      <w:r>
        <w:rPr>
          <w:color w:val="231F20"/>
          <w:spacing w:val="-11"/>
        </w:rPr>
        <w:t xml:space="preserve"> </w:t>
      </w:r>
      <w:r>
        <w:rPr>
          <w:color w:val="231F20"/>
        </w:rPr>
        <w:t>su</w:t>
      </w:r>
      <w:r>
        <w:rPr>
          <w:color w:val="231F20"/>
        </w:rPr>
        <w:t xml:space="preserve">pport </w:t>
      </w:r>
      <w:r>
        <w:rPr>
          <w:color w:val="231F20"/>
          <w:w w:val="95"/>
        </w:rPr>
        <w:t xml:space="preserve">their teams and these fall within the gambit of push and pull factors. Push </w:t>
      </w:r>
      <w:r>
        <w:rPr>
          <w:color w:val="231F20"/>
        </w:rPr>
        <w:t>factors include release from everyday life, the search for camaraderie,</w:t>
      </w:r>
      <w:r>
        <w:rPr>
          <w:color w:val="231F20"/>
          <w:spacing w:val="80"/>
        </w:rPr>
        <w:t xml:space="preserve"> </w:t>
      </w:r>
      <w:r>
        <w:rPr>
          <w:color w:val="231F20"/>
        </w:rPr>
        <w:t>to develop friendships and a sense of belonging and the opportunity to do things that cannot be done at home (e.g. to enhance one’s standing within a sport subculture). In contrast, pull factors that may motivate event sport tourism include the unique inte</w:t>
      </w:r>
      <w:r>
        <w:rPr>
          <w:color w:val="231F20"/>
        </w:rPr>
        <w:t xml:space="preserve">rplay of a significant sports activity and people and place that distinctive tourism destinations offer (Weed, 2007). Pull factors may extend to the significance of a spatially </w:t>
      </w:r>
      <w:r>
        <w:rPr>
          <w:color w:val="231F20"/>
          <w:w w:val="95"/>
        </w:rPr>
        <w:t xml:space="preserve">and temporally bound context and the state of flow that may be associated with </w:t>
      </w:r>
      <w:r>
        <w:rPr>
          <w:color w:val="231F20"/>
          <w:w w:val="95"/>
        </w:rPr>
        <w:t xml:space="preserve">uncertainty of outcome and post-competition revelry and celebration. </w:t>
      </w:r>
      <w:r>
        <w:rPr>
          <w:color w:val="231F20"/>
          <w:spacing w:val="-2"/>
        </w:rPr>
        <w:t>Tourist</w:t>
      </w:r>
      <w:r>
        <w:rPr>
          <w:color w:val="231F20"/>
          <w:spacing w:val="-4"/>
        </w:rPr>
        <w:t xml:space="preserve"> </w:t>
      </w:r>
      <w:r>
        <w:rPr>
          <w:color w:val="231F20"/>
          <w:spacing w:val="-2"/>
        </w:rPr>
        <w:t>motivations</w:t>
      </w:r>
      <w:r>
        <w:rPr>
          <w:color w:val="231F20"/>
          <w:spacing w:val="-4"/>
        </w:rPr>
        <w:t xml:space="preserve"> </w:t>
      </w:r>
      <w:r>
        <w:rPr>
          <w:color w:val="231F20"/>
          <w:spacing w:val="-2"/>
        </w:rPr>
        <w:t>are</w:t>
      </w:r>
      <w:r>
        <w:rPr>
          <w:color w:val="231F20"/>
          <w:spacing w:val="-4"/>
        </w:rPr>
        <w:t xml:space="preserve"> </w:t>
      </w:r>
      <w:r>
        <w:rPr>
          <w:color w:val="231F20"/>
          <w:spacing w:val="-2"/>
        </w:rPr>
        <w:t>critical</w:t>
      </w:r>
      <w:r>
        <w:rPr>
          <w:color w:val="231F20"/>
          <w:spacing w:val="-4"/>
        </w:rPr>
        <w:t xml:space="preserve"> </w:t>
      </w:r>
      <w:r>
        <w:rPr>
          <w:color w:val="231F20"/>
          <w:spacing w:val="-2"/>
        </w:rPr>
        <w:t>to</w:t>
      </w:r>
      <w:r>
        <w:rPr>
          <w:color w:val="231F20"/>
          <w:spacing w:val="-4"/>
        </w:rPr>
        <w:t xml:space="preserve"> </w:t>
      </w:r>
      <w:r>
        <w:rPr>
          <w:color w:val="231F20"/>
          <w:spacing w:val="-2"/>
        </w:rPr>
        <w:t>understanding</w:t>
      </w:r>
      <w:r>
        <w:rPr>
          <w:color w:val="231F20"/>
          <w:spacing w:val="-4"/>
        </w:rPr>
        <w:t xml:space="preserve"> </w:t>
      </w:r>
      <w:r>
        <w:rPr>
          <w:color w:val="231F20"/>
          <w:spacing w:val="-2"/>
        </w:rPr>
        <w:t>why</w:t>
      </w:r>
      <w:r>
        <w:rPr>
          <w:color w:val="231F20"/>
          <w:spacing w:val="-4"/>
        </w:rPr>
        <w:t xml:space="preserve"> </w:t>
      </w:r>
      <w:r>
        <w:rPr>
          <w:color w:val="231F20"/>
          <w:spacing w:val="-2"/>
        </w:rPr>
        <w:t>people</w:t>
      </w:r>
      <w:r>
        <w:rPr>
          <w:color w:val="231F20"/>
          <w:spacing w:val="-4"/>
        </w:rPr>
        <w:t xml:space="preserve"> </w:t>
      </w:r>
      <w:r>
        <w:rPr>
          <w:color w:val="231F20"/>
          <w:spacing w:val="-2"/>
        </w:rPr>
        <w:t>do</w:t>
      </w:r>
      <w:r>
        <w:rPr>
          <w:color w:val="231F20"/>
          <w:spacing w:val="-4"/>
        </w:rPr>
        <w:t xml:space="preserve"> </w:t>
      </w:r>
      <w:r>
        <w:rPr>
          <w:color w:val="231F20"/>
          <w:spacing w:val="-2"/>
        </w:rPr>
        <w:t>or</w:t>
      </w:r>
      <w:r>
        <w:rPr>
          <w:color w:val="231F20"/>
          <w:spacing w:val="-4"/>
        </w:rPr>
        <w:t xml:space="preserve"> </w:t>
      </w:r>
      <w:r>
        <w:rPr>
          <w:color w:val="231F20"/>
          <w:spacing w:val="-2"/>
        </w:rPr>
        <w:t>do</w:t>
      </w:r>
      <w:r>
        <w:rPr>
          <w:color w:val="231F20"/>
          <w:spacing w:val="-4"/>
        </w:rPr>
        <w:t xml:space="preserve"> </w:t>
      </w:r>
      <w:r>
        <w:rPr>
          <w:color w:val="231F20"/>
          <w:spacing w:val="-2"/>
        </w:rPr>
        <w:t xml:space="preserve">not </w:t>
      </w:r>
      <w:r>
        <w:rPr>
          <w:color w:val="231F20"/>
        </w:rPr>
        <w:t>travel,</w:t>
      </w:r>
      <w:r>
        <w:rPr>
          <w:color w:val="231F20"/>
          <w:spacing w:val="-3"/>
        </w:rPr>
        <w:t xml:space="preserve"> </w:t>
      </w:r>
      <w:r>
        <w:rPr>
          <w:color w:val="231F20"/>
        </w:rPr>
        <w:t>their</w:t>
      </w:r>
      <w:r>
        <w:rPr>
          <w:color w:val="231F20"/>
          <w:spacing w:val="-3"/>
        </w:rPr>
        <w:t xml:space="preserve"> </w:t>
      </w:r>
      <w:r>
        <w:rPr>
          <w:color w:val="231F20"/>
        </w:rPr>
        <w:t>choice</w:t>
      </w:r>
      <w:r>
        <w:rPr>
          <w:color w:val="231F20"/>
          <w:spacing w:val="-3"/>
        </w:rPr>
        <w:t xml:space="preserve"> </w:t>
      </w:r>
      <w:r>
        <w:rPr>
          <w:color w:val="231F20"/>
        </w:rPr>
        <w:t>of</w:t>
      </w:r>
      <w:r>
        <w:rPr>
          <w:color w:val="231F20"/>
          <w:spacing w:val="-3"/>
        </w:rPr>
        <w:t xml:space="preserve"> </w:t>
      </w:r>
      <w:r>
        <w:rPr>
          <w:color w:val="231F20"/>
        </w:rPr>
        <w:t>destination</w:t>
      </w:r>
      <w:r>
        <w:rPr>
          <w:color w:val="231F20"/>
          <w:spacing w:val="-3"/>
        </w:rPr>
        <w:t xml:space="preserve"> </w:t>
      </w:r>
      <w:r>
        <w:rPr>
          <w:color w:val="231F20"/>
        </w:rPr>
        <w:t>and</w:t>
      </w:r>
      <w:r>
        <w:rPr>
          <w:color w:val="231F20"/>
          <w:spacing w:val="-3"/>
        </w:rPr>
        <w:t xml:space="preserve"> </w:t>
      </w:r>
      <w:r>
        <w:rPr>
          <w:color w:val="231F20"/>
        </w:rPr>
        <w:t>other</w:t>
      </w:r>
      <w:r>
        <w:rPr>
          <w:color w:val="231F20"/>
          <w:spacing w:val="-3"/>
        </w:rPr>
        <w:t xml:space="preserve"> </w:t>
      </w:r>
      <w:r>
        <w:rPr>
          <w:color w:val="231F20"/>
        </w:rPr>
        <w:t>aspects</w:t>
      </w:r>
      <w:r>
        <w:rPr>
          <w:color w:val="231F20"/>
          <w:spacing w:val="-3"/>
        </w:rPr>
        <w:t xml:space="preserve"> </w:t>
      </w:r>
      <w:r>
        <w:rPr>
          <w:color w:val="231F20"/>
        </w:rPr>
        <w:t>of</w:t>
      </w:r>
      <w:r>
        <w:rPr>
          <w:color w:val="231F20"/>
          <w:spacing w:val="-3"/>
        </w:rPr>
        <w:t xml:space="preserve"> </w:t>
      </w:r>
      <w:r>
        <w:rPr>
          <w:color w:val="231F20"/>
        </w:rPr>
        <w:t>tourist</w:t>
      </w:r>
      <w:r>
        <w:rPr>
          <w:color w:val="231F20"/>
          <w:spacing w:val="-3"/>
        </w:rPr>
        <w:t xml:space="preserve"> </w:t>
      </w:r>
      <w:r>
        <w:rPr>
          <w:color w:val="231F20"/>
        </w:rPr>
        <w:t>behaviour.</w:t>
      </w:r>
    </w:p>
    <w:p w14:paraId="1EE3990C" w14:textId="77777777" w:rsidR="00AE0598" w:rsidRDefault="00AE0598">
      <w:pPr>
        <w:pStyle w:val="Corpodetexto"/>
        <w:spacing w:before="5"/>
        <w:rPr>
          <w:sz w:val="22"/>
        </w:rPr>
      </w:pPr>
    </w:p>
    <w:p w14:paraId="1C7331D6" w14:textId="77777777" w:rsidR="00AE0598" w:rsidRDefault="0069255A">
      <w:pPr>
        <w:ind w:left="110"/>
        <w:jc w:val="both"/>
        <w:rPr>
          <w:rFonts w:ascii="Trebuchet MS"/>
          <w:b/>
          <w:sz w:val="20"/>
        </w:rPr>
      </w:pPr>
      <w:r>
        <w:rPr>
          <w:rFonts w:ascii="Trebuchet MS"/>
          <w:b/>
          <w:color w:val="231F20"/>
          <w:sz w:val="20"/>
        </w:rPr>
        <w:t>Spectator</w:t>
      </w:r>
      <w:r>
        <w:rPr>
          <w:rFonts w:ascii="Trebuchet MS"/>
          <w:b/>
          <w:color w:val="231F20"/>
          <w:spacing w:val="-6"/>
          <w:sz w:val="20"/>
        </w:rPr>
        <w:t xml:space="preserve"> </w:t>
      </w:r>
      <w:r>
        <w:rPr>
          <w:rFonts w:ascii="Trebuchet MS"/>
          <w:b/>
          <w:color w:val="231F20"/>
          <w:sz w:val="20"/>
        </w:rPr>
        <w:t>Event</w:t>
      </w:r>
      <w:r>
        <w:rPr>
          <w:rFonts w:ascii="Trebuchet MS"/>
          <w:b/>
          <w:color w:val="231F20"/>
          <w:spacing w:val="-6"/>
          <w:sz w:val="20"/>
        </w:rPr>
        <w:t xml:space="preserve"> </w:t>
      </w:r>
      <w:r>
        <w:rPr>
          <w:rFonts w:ascii="Trebuchet MS"/>
          <w:b/>
          <w:color w:val="231F20"/>
          <w:spacing w:val="-2"/>
          <w:sz w:val="20"/>
        </w:rPr>
        <w:t>Experiences</w:t>
      </w:r>
    </w:p>
    <w:p w14:paraId="0A4B955E" w14:textId="77777777" w:rsidR="00AE0598" w:rsidRDefault="0069255A">
      <w:pPr>
        <w:pStyle w:val="Corpodetexto"/>
        <w:spacing w:before="123" w:line="232" w:lineRule="auto"/>
        <w:ind w:left="110" w:right="126" w:firstLine="320"/>
        <w:jc w:val="both"/>
      </w:pPr>
      <w:r>
        <w:rPr>
          <w:color w:val="231F20"/>
        </w:rPr>
        <w:t>The comp</w:t>
      </w:r>
      <w:r>
        <w:rPr>
          <w:color w:val="231F20"/>
        </w:rPr>
        <w:t xml:space="preserve">lexity of the sport tourism experience is such that it is </w:t>
      </w:r>
      <w:r>
        <w:rPr>
          <w:color w:val="231F20"/>
          <w:spacing w:val="-2"/>
          <w:w w:val="95"/>
        </w:rPr>
        <w:t>necessary</w:t>
      </w:r>
      <w:r>
        <w:rPr>
          <w:color w:val="231F20"/>
          <w:spacing w:val="-5"/>
          <w:w w:val="95"/>
        </w:rPr>
        <w:t xml:space="preserve"> </w:t>
      </w:r>
      <w:r>
        <w:rPr>
          <w:color w:val="231F20"/>
          <w:spacing w:val="-2"/>
          <w:w w:val="95"/>
        </w:rPr>
        <w:t>to</w:t>
      </w:r>
      <w:r>
        <w:rPr>
          <w:color w:val="231F20"/>
          <w:spacing w:val="-5"/>
          <w:w w:val="95"/>
        </w:rPr>
        <w:t xml:space="preserve"> </w:t>
      </w:r>
      <w:r>
        <w:rPr>
          <w:color w:val="231F20"/>
          <w:spacing w:val="-2"/>
          <w:w w:val="95"/>
        </w:rPr>
        <w:t>address</w:t>
      </w:r>
      <w:r>
        <w:rPr>
          <w:color w:val="231F20"/>
          <w:spacing w:val="-5"/>
          <w:w w:val="95"/>
        </w:rPr>
        <w:t xml:space="preserve"> </w:t>
      </w:r>
      <w:r>
        <w:rPr>
          <w:color w:val="231F20"/>
          <w:spacing w:val="-2"/>
          <w:w w:val="95"/>
        </w:rPr>
        <w:t>the</w:t>
      </w:r>
      <w:r>
        <w:rPr>
          <w:color w:val="231F20"/>
          <w:spacing w:val="-5"/>
          <w:w w:val="95"/>
        </w:rPr>
        <w:t xml:space="preserve"> </w:t>
      </w:r>
      <w:r>
        <w:rPr>
          <w:color w:val="231F20"/>
          <w:spacing w:val="-2"/>
          <w:w w:val="95"/>
        </w:rPr>
        <w:t>motivations</w:t>
      </w:r>
      <w:r>
        <w:rPr>
          <w:color w:val="231F20"/>
          <w:spacing w:val="-5"/>
          <w:w w:val="95"/>
        </w:rPr>
        <w:t xml:space="preserve"> </w:t>
      </w:r>
      <w:r>
        <w:rPr>
          <w:color w:val="231F20"/>
          <w:spacing w:val="-2"/>
          <w:w w:val="95"/>
        </w:rPr>
        <w:t>and</w:t>
      </w:r>
      <w:r>
        <w:rPr>
          <w:color w:val="231F20"/>
          <w:spacing w:val="-5"/>
          <w:w w:val="95"/>
        </w:rPr>
        <w:t xml:space="preserve"> </w:t>
      </w:r>
      <w:r>
        <w:rPr>
          <w:color w:val="231F20"/>
          <w:spacing w:val="-2"/>
          <w:w w:val="95"/>
        </w:rPr>
        <w:t>experiences</w:t>
      </w:r>
      <w:r>
        <w:rPr>
          <w:color w:val="231F20"/>
          <w:spacing w:val="-5"/>
          <w:w w:val="95"/>
        </w:rPr>
        <w:t xml:space="preserve"> </w:t>
      </w:r>
      <w:r>
        <w:rPr>
          <w:color w:val="231F20"/>
          <w:spacing w:val="-2"/>
          <w:w w:val="95"/>
        </w:rPr>
        <w:t>of</w:t>
      </w:r>
      <w:r>
        <w:rPr>
          <w:color w:val="231F20"/>
          <w:spacing w:val="9"/>
        </w:rPr>
        <w:t xml:space="preserve"> </w:t>
      </w:r>
      <w:r>
        <w:rPr>
          <w:color w:val="231F20"/>
          <w:spacing w:val="-2"/>
          <w:w w:val="95"/>
        </w:rPr>
        <w:t>sport</w:t>
      </w:r>
      <w:r>
        <w:rPr>
          <w:color w:val="231F20"/>
          <w:spacing w:val="-5"/>
          <w:w w:val="95"/>
        </w:rPr>
        <w:t xml:space="preserve"> </w:t>
      </w:r>
      <w:r>
        <w:rPr>
          <w:color w:val="231F20"/>
          <w:spacing w:val="-2"/>
          <w:w w:val="95"/>
        </w:rPr>
        <w:t>tourists</w:t>
      </w:r>
      <w:r>
        <w:rPr>
          <w:color w:val="231F20"/>
          <w:spacing w:val="-5"/>
          <w:w w:val="95"/>
        </w:rPr>
        <w:t xml:space="preserve"> </w:t>
      </w:r>
      <w:r>
        <w:rPr>
          <w:color w:val="231F20"/>
          <w:spacing w:val="-2"/>
          <w:w w:val="95"/>
        </w:rPr>
        <w:t xml:space="preserve">within </w:t>
      </w:r>
      <w:r>
        <w:rPr>
          <w:color w:val="231F20"/>
        </w:rPr>
        <w:t xml:space="preserve">the context of different forms of engagement in sport and tourism. This </w:t>
      </w:r>
      <w:r>
        <w:rPr>
          <w:color w:val="231F20"/>
          <w:spacing w:val="-2"/>
          <w:w w:val="95"/>
        </w:rPr>
        <w:t>approach</w:t>
      </w:r>
      <w:r>
        <w:rPr>
          <w:color w:val="231F20"/>
          <w:spacing w:val="-6"/>
          <w:w w:val="95"/>
        </w:rPr>
        <w:t xml:space="preserve"> </w:t>
      </w:r>
      <w:r>
        <w:rPr>
          <w:color w:val="231F20"/>
          <w:spacing w:val="-2"/>
          <w:w w:val="95"/>
        </w:rPr>
        <w:t>will</w:t>
      </w:r>
      <w:r>
        <w:rPr>
          <w:color w:val="231F20"/>
          <w:spacing w:val="-6"/>
          <w:w w:val="95"/>
        </w:rPr>
        <w:t xml:space="preserve"> </w:t>
      </w:r>
      <w:r>
        <w:rPr>
          <w:color w:val="231F20"/>
          <w:spacing w:val="-2"/>
          <w:w w:val="95"/>
        </w:rPr>
        <w:t>serve</w:t>
      </w:r>
      <w:r>
        <w:rPr>
          <w:color w:val="231F20"/>
          <w:spacing w:val="-6"/>
          <w:w w:val="95"/>
        </w:rPr>
        <w:t xml:space="preserve"> </w:t>
      </w:r>
      <w:r>
        <w:rPr>
          <w:color w:val="231F20"/>
          <w:spacing w:val="-2"/>
          <w:w w:val="95"/>
        </w:rPr>
        <w:t>our</w:t>
      </w:r>
      <w:r>
        <w:rPr>
          <w:color w:val="231F20"/>
          <w:spacing w:val="-6"/>
          <w:w w:val="95"/>
        </w:rPr>
        <w:t xml:space="preserve"> </w:t>
      </w:r>
      <w:r>
        <w:rPr>
          <w:color w:val="231F20"/>
          <w:spacing w:val="-2"/>
          <w:w w:val="95"/>
        </w:rPr>
        <w:t>purposes</w:t>
      </w:r>
      <w:r>
        <w:rPr>
          <w:color w:val="231F20"/>
          <w:spacing w:val="-6"/>
          <w:w w:val="95"/>
        </w:rPr>
        <w:t xml:space="preserve"> </w:t>
      </w:r>
      <w:r>
        <w:rPr>
          <w:color w:val="231F20"/>
          <w:spacing w:val="-2"/>
          <w:w w:val="95"/>
        </w:rPr>
        <w:t>in</w:t>
      </w:r>
      <w:r>
        <w:rPr>
          <w:color w:val="231F20"/>
          <w:spacing w:val="-6"/>
          <w:w w:val="95"/>
        </w:rPr>
        <w:t xml:space="preserve"> </w:t>
      </w:r>
      <w:r>
        <w:rPr>
          <w:color w:val="231F20"/>
          <w:spacing w:val="-2"/>
          <w:w w:val="95"/>
        </w:rPr>
        <w:t>this</w:t>
      </w:r>
      <w:r>
        <w:rPr>
          <w:color w:val="231F20"/>
          <w:spacing w:val="-6"/>
          <w:w w:val="95"/>
        </w:rPr>
        <w:t xml:space="preserve"> </w:t>
      </w:r>
      <w:r>
        <w:rPr>
          <w:color w:val="231F20"/>
          <w:spacing w:val="-2"/>
          <w:w w:val="95"/>
        </w:rPr>
        <w:t>chapter,</w:t>
      </w:r>
      <w:r>
        <w:rPr>
          <w:color w:val="231F20"/>
          <w:spacing w:val="-6"/>
          <w:w w:val="95"/>
        </w:rPr>
        <w:t xml:space="preserve"> </w:t>
      </w:r>
      <w:r>
        <w:rPr>
          <w:color w:val="231F20"/>
          <w:spacing w:val="-2"/>
          <w:w w:val="95"/>
        </w:rPr>
        <w:t>although</w:t>
      </w:r>
      <w:r>
        <w:rPr>
          <w:color w:val="231F20"/>
          <w:spacing w:val="-6"/>
          <w:w w:val="95"/>
        </w:rPr>
        <w:t xml:space="preserve"> </w:t>
      </w:r>
      <w:r>
        <w:rPr>
          <w:color w:val="231F20"/>
          <w:spacing w:val="-2"/>
          <w:w w:val="95"/>
        </w:rPr>
        <w:t>later</w:t>
      </w:r>
      <w:r>
        <w:rPr>
          <w:color w:val="231F20"/>
          <w:spacing w:val="-6"/>
          <w:w w:val="95"/>
        </w:rPr>
        <w:t xml:space="preserve"> </w:t>
      </w:r>
      <w:r>
        <w:rPr>
          <w:color w:val="231F20"/>
          <w:spacing w:val="-2"/>
          <w:w w:val="95"/>
        </w:rPr>
        <w:t>in</w:t>
      </w:r>
      <w:r>
        <w:rPr>
          <w:color w:val="231F20"/>
          <w:spacing w:val="-6"/>
          <w:w w:val="95"/>
        </w:rPr>
        <w:t xml:space="preserve"> </w:t>
      </w:r>
      <w:r>
        <w:rPr>
          <w:color w:val="231F20"/>
          <w:spacing w:val="-2"/>
          <w:w w:val="95"/>
        </w:rPr>
        <w:t>the</w:t>
      </w:r>
      <w:r>
        <w:rPr>
          <w:color w:val="231F20"/>
          <w:spacing w:val="-6"/>
          <w:w w:val="95"/>
        </w:rPr>
        <w:t xml:space="preserve"> </w:t>
      </w:r>
      <w:r>
        <w:rPr>
          <w:color w:val="231F20"/>
          <w:spacing w:val="-2"/>
          <w:w w:val="95"/>
        </w:rPr>
        <w:t>chapter we</w:t>
      </w:r>
      <w:r>
        <w:rPr>
          <w:color w:val="231F20"/>
          <w:spacing w:val="-8"/>
          <w:w w:val="95"/>
        </w:rPr>
        <w:t xml:space="preserve"> </w:t>
      </w:r>
      <w:r>
        <w:rPr>
          <w:color w:val="231F20"/>
          <w:spacing w:val="-2"/>
          <w:w w:val="95"/>
        </w:rPr>
        <w:t>will</w:t>
      </w:r>
      <w:r>
        <w:rPr>
          <w:color w:val="231F20"/>
          <w:spacing w:val="-7"/>
          <w:w w:val="95"/>
        </w:rPr>
        <w:t xml:space="preserve"> </w:t>
      </w:r>
      <w:r>
        <w:rPr>
          <w:color w:val="231F20"/>
          <w:spacing w:val="-2"/>
          <w:w w:val="95"/>
        </w:rPr>
        <w:t>consider</w:t>
      </w:r>
      <w:r>
        <w:rPr>
          <w:color w:val="231F20"/>
          <w:spacing w:val="-7"/>
          <w:w w:val="95"/>
        </w:rPr>
        <w:t xml:space="preserve"> </w:t>
      </w:r>
      <w:r>
        <w:rPr>
          <w:color w:val="231F20"/>
          <w:spacing w:val="-2"/>
          <w:w w:val="95"/>
        </w:rPr>
        <w:t>that</w:t>
      </w:r>
      <w:r>
        <w:rPr>
          <w:color w:val="231F20"/>
          <w:spacing w:val="-7"/>
          <w:w w:val="95"/>
        </w:rPr>
        <w:t xml:space="preserve"> </w:t>
      </w:r>
      <w:r>
        <w:rPr>
          <w:color w:val="231F20"/>
          <w:spacing w:val="-2"/>
          <w:w w:val="95"/>
        </w:rPr>
        <w:t>ways</w:t>
      </w:r>
      <w:r>
        <w:rPr>
          <w:color w:val="231F20"/>
          <w:spacing w:val="-8"/>
          <w:w w:val="95"/>
        </w:rPr>
        <w:t xml:space="preserve"> </w:t>
      </w:r>
      <w:r>
        <w:rPr>
          <w:color w:val="231F20"/>
          <w:spacing w:val="-2"/>
          <w:w w:val="95"/>
        </w:rPr>
        <w:t>in</w:t>
      </w:r>
      <w:r>
        <w:rPr>
          <w:color w:val="231F20"/>
          <w:spacing w:val="-7"/>
          <w:w w:val="95"/>
        </w:rPr>
        <w:t xml:space="preserve"> </w:t>
      </w:r>
      <w:r>
        <w:rPr>
          <w:color w:val="231F20"/>
          <w:spacing w:val="-2"/>
          <w:w w:val="95"/>
        </w:rPr>
        <w:t>which</w:t>
      </w:r>
      <w:r>
        <w:rPr>
          <w:color w:val="231F20"/>
          <w:spacing w:val="-7"/>
          <w:w w:val="95"/>
        </w:rPr>
        <w:t xml:space="preserve"> </w:t>
      </w:r>
      <w:r>
        <w:rPr>
          <w:color w:val="231F20"/>
          <w:spacing w:val="-2"/>
          <w:w w:val="95"/>
        </w:rPr>
        <w:t>the</w:t>
      </w:r>
      <w:r>
        <w:rPr>
          <w:color w:val="231F20"/>
          <w:spacing w:val="-7"/>
          <w:w w:val="95"/>
        </w:rPr>
        <w:t xml:space="preserve"> </w:t>
      </w:r>
      <w:r>
        <w:rPr>
          <w:color w:val="231F20"/>
          <w:spacing w:val="-2"/>
          <w:w w:val="95"/>
        </w:rPr>
        <w:t>defining</w:t>
      </w:r>
      <w:r>
        <w:rPr>
          <w:color w:val="231F20"/>
          <w:spacing w:val="-8"/>
          <w:w w:val="95"/>
        </w:rPr>
        <w:t xml:space="preserve"> </w:t>
      </w:r>
      <w:r>
        <w:rPr>
          <w:color w:val="231F20"/>
          <w:spacing w:val="-2"/>
          <w:w w:val="95"/>
        </w:rPr>
        <w:t>lines</w:t>
      </w:r>
      <w:r>
        <w:rPr>
          <w:color w:val="231F20"/>
          <w:spacing w:val="-7"/>
          <w:w w:val="95"/>
        </w:rPr>
        <w:t xml:space="preserve"> </w:t>
      </w:r>
      <w:r>
        <w:rPr>
          <w:color w:val="231F20"/>
          <w:spacing w:val="-2"/>
          <w:w w:val="95"/>
        </w:rPr>
        <w:t>between</w:t>
      </w:r>
      <w:r>
        <w:rPr>
          <w:color w:val="231F20"/>
          <w:spacing w:val="-7"/>
          <w:w w:val="95"/>
        </w:rPr>
        <w:t xml:space="preserve"> </w:t>
      </w:r>
      <w:r>
        <w:rPr>
          <w:color w:val="231F20"/>
          <w:spacing w:val="-2"/>
          <w:w w:val="95"/>
        </w:rPr>
        <w:t>different</w:t>
      </w:r>
      <w:r>
        <w:rPr>
          <w:color w:val="231F20"/>
          <w:spacing w:val="-7"/>
          <w:w w:val="95"/>
        </w:rPr>
        <w:t xml:space="preserve"> </w:t>
      </w:r>
      <w:r>
        <w:rPr>
          <w:color w:val="231F20"/>
          <w:spacing w:val="-2"/>
          <w:w w:val="95"/>
        </w:rPr>
        <w:t xml:space="preserve">forms </w:t>
      </w:r>
      <w:r>
        <w:rPr>
          <w:color w:val="231F20"/>
        </w:rPr>
        <w:t>of sport tourism have bec</w:t>
      </w:r>
      <w:r>
        <w:rPr>
          <w:color w:val="231F20"/>
        </w:rPr>
        <w:t xml:space="preserve">ome increasingly blurred and indistinct. Event </w:t>
      </w:r>
      <w:r>
        <w:rPr>
          <w:color w:val="231F20"/>
          <w:w w:val="95"/>
        </w:rPr>
        <w:t>experiences</w:t>
      </w:r>
      <w:r>
        <w:rPr>
          <w:color w:val="231F20"/>
          <w:spacing w:val="-10"/>
          <w:w w:val="95"/>
        </w:rPr>
        <w:t xml:space="preserve"> </w:t>
      </w:r>
      <w:r>
        <w:rPr>
          <w:color w:val="231F20"/>
          <w:w w:val="95"/>
        </w:rPr>
        <w:t>are</w:t>
      </w:r>
      <w:r>
        <w:rPr>
          <w:color w:val="231F20"/>
          <w:spacing w:val="-9"/>
          <w:w w:val="95"/>
        </w:rPr>
        <w:t xml:space="preserve"> </w:t>
      </w:r>
      <w:r>
        <w:rPr>
          <w:color w:val="231F20"/>
          <w:w w:val="95"/>
        </w:rPr>
        <w:t>sought</w:t>
      </w:r>
      <w:r>
        <w:rPr>
          <w:color w:val="231F20"/>
          <w:spacing w:val="-9"/>
          <w:w w:val="95"/>
        </w:rPr>
        <w:t xml:space="preserve"> </w:t>
      </w:r>
      <w:r>
        <w:rPr>
          <w:color w:val="231F20"/>
          <w:w w:val="95"/>
        </w:rPr>
        <w:t>out</w:t>
      </w:r>
      <w:r>
        <w:rPr>
          <w:color w:val="231F20"/>
          <w:spacing w:val="-9"/>
          <w:w w:val="95"/>
        </w:rPr>
        <w:t xml:space="preserve"> </w:t>
      </w:r>
      <w:r>
        <w:rPr>
          <w:color w:val="231F20"/>
          <w:w w:val="95"/>
        </w:rPr>
        <w:t>by</w:t>
      </w:r>
      <w:r>
        <w:rPr>
          <w:color w:val="231F20"/>
          <w:spacing w:val="-10"/>
          <w:w w:val="95"/>
        </w:rPr>
        <w:t xml:space="preserve"> </w:t>
      </w:r>
      <w:r>
        <w:rPr>
          <w:color w:val="231F20"/>
          <w:w w:val="95"/>
        </w:rPr>
        <w:t>sport</w:t>
      </w:r>
      <w:r>
        <w:rPr>
          <w:color w:val="231F20"/>
          <w:spacing w:val="-9"/>
          <w:w w:val="95"/>
        </w:rPr>
        <w:t xml:space="preserve"> </w:t>
      </w:r>
      <w:r>
        <w:rPr>
          <w:color w:val="231F20"/>
          <w:w w:val="95"/>
        </w:rPr>
        <w:t>spectators</w:t>
      </w:r>
      <w:r>
        <w:rPr>
          <w:color w:val="231F20"/>
          <w:spacing w:val="-9"/>
          <w:w w:val="95"/>
        </w:rPr>
        <w:t xml:space="preserve"> </w:t>
      </w:r>
      <w:r>
        <w:rPr>
          <w:color w:val="231F20"/>
          <w:w w:val="95"/>
        </w:rPr>
        <w:t>who</w:t>
      </w:r>
      <w:r>
        <w:rPr>
          <w:color w:val="231F20"/>
          <w:spacing w:val="-9"/>
          <w:w w:val="95"/>
        </w:rPr>
        <w:t xml:space="preserve"> </w:t>
      </w:r>
      <w:r>
        <w:rPr>
          <w:color w:val="231F20"/>
          <w:w w:val="95"/>
        </w:rPr>
        <w:t>travel</w:t>
      </w:r>
      <w:r>
        <w:rPr>
          <w:color w:val="231F20"/>
          <w:spacing w:val="-10"/>
          <w:w w:val="95"/>
        </w:rPr>
        <w:t xml:space="preserve"> </w:t>
      </w:r>
      <w:r>
        <w:rPr>
          <w:color w:val="231F20"/>
          <w:w w:val="95"/>
        </w:rPr>
        <w:t>to</w:t>
      </w:r>
      <w:r>
        <w:rPr>
          <w:color w:val="231F20"/>
          <w:spacing w:val="-9"/>
          <w:w w:val="95"/>
        </w:rPr>
        <w:t xml:space="preserve"> </w:t>
      </w:r>
      <w:r>
        <w:rPr>
          <w:color w:val="231F20"/>
          <w:w w:val="95"/>
        </w:rPr>
        <w:t>experience</w:t>
      </w:r>
      <w:r>
        <w:rPr>
          <w:color w:val="231F20"/>
          <w:spacing w:val="-9"/>
          <w:w w:val="95"/>
        </w:rPr>
        <w:t xml:space="preserve"> </w:t>
      </w:r>
      <w:r>
        <w:rPr>
          <w:color w:val="231F20"/>
          <w:w w:val="95"/>
        </w:rPr>
        <w:t xml:space="preserve">elite </w:t>
      </w:r>
      <w:r>
        <w:rPr>
          <w:color w:val="231F20"/>
          <w:spacing w:val="-2"/>
        </w:rPr>
        <w:t>athletic</w:t>
      </w:r>
      <w:r>
        <w:rPr>
          <w:color w:val="231F20"/>
          <w:spacing w:val="-8"/>
        </w:rPr>
        <w:t xml:space="preserve"> </w:t>
      </w:r>
      <w:r>
        <w:rPr>
          <w:color w:val="231F20"/>
          <w:spacing w:val="-2"/>
        </w:rPr>
        <w:t>performances,</w:t>
      </w:r>
      <w:r>
        <w:rPr>
          <w:color w:val="231F20"/>
          <w:spacing w:val="-8"/>
        </w:rPr>
        <w:t xml:space="preserve"> </w:t>
      </w:r>
      <w:r>
        <w:rPr>
          <w:color w:val="231F20"/>
          <w:spacing w:val="-2"/>
        </w:rPr>
        <w:t>or</w:t>
      </w:r>
      <w:r>
        <w:rPr>
          <w:color w:val="231F20"/>
          <w:spacing w:val="-8"/>
        </w:rPr>
        <w:t xml:space="preserve"> </w:t>
      </w:r>
      <w:r>
        <w:rPr>
          <w:color w:val="231F20"/>
          <w:spacing w:val="-2"/>
        </w:rPr>
        <w:t>who</w:t>
      </w:r>
      <w:r>
        <w:rPr>
          <w:color w:val="231F20"/>
          <w:spacing w:val="-8"/>
        </w:rPr>
        <w:t xml:space="preserve"> </w:t>
      </w:r>
      <w:r>
        <w:rPr>
          <w:color w:val="231F20"/>
          <w:spacing w:val="-2"/>
        </w:rPr>
        <w:t>follow</w:t>
      </w:r>
      <w:r>
        <w:rPr>
          <w:color w:val="231F20"/>
          <w:spacing w:val="-8"/>
        </w:rPr>
        <w:t xml:space="preserve"> </w:t>
      </w:r>
      <w:r>
        <w:rPr>
          <w:color w:val="231F20"/>
          <w:spacing w:val="-2"/>
        </w:rPr>
        <w:t>a</w:t>
      </w:r>
      <w:r>
        <w:rPr>
          <w:color w:val="231F20"/>
          <w:spacing w:val="-8"/>
        </w:rPr>
        <w:t xml:space="preserve"> </w:t>
      </w:r>
      <w:r>
        <w:rPr>
          <w:color w:val="231F20"/>
          <w:spacing w:val="-2"/>
        </w:rPr>
        <w:t>sports</w:t>
      </w:r>
      <w:r>
        <w:rPr>
          <w:color w:val="231F20"/>
          <w:spacing w:val="-8"/>
        </w:rPr>
        <w:t xml:space="preserve"> </w:t>
      </w:r>
      <w:r>
        <w:rPr>
          <w:color w:val="231F20"/>
          <w:spacing w:val="-2"/>
        </w:rPr>
        <w:t>team</w:t>
      </w:r>
      <w:r>
        <w:rPr>
          <w:color w:val="231F20"/>
          <w:spacing w:val="-8"/>
        </w:rPr>
        <w:t xml:space="preserve"> </w:t>
      </w:r>
      <w:r>
        <w:rPr>
          <w:color w:val="231F20"/>
          <w:spacing w:val="-2"/>
        </w:rPr>
        <w:t>as</w:t>
      </w:r>
      <w:r>
        <w:rPr>
          <w:color w:val="231F20"/>
          <w:spacing w:val="-8"/>
        </w:rPr>
        <w:t xml:space="preserve"> </w:t>
      </w:r>
      <w:r>
        <w:rPr>
          <w:color w:val="231F20"/>
          <w:spacing w:val="-2"/>
        </w:rPr>
        <w:t>individual</w:t>
      </w:r>
      <w:r>
        <w:rPr>
          <w:color w:val="231F20"/>
          <w:spacing w:val="-8"/>
        </w:rPr>
        <w:t xml:space="preserve"> </w:t>
      </w:r>
      <w:r>
        <w:rPr>
          <w:color w:val="231F20"/>
          <w:spacing w:val="-2"/>
        </w:rPr>
        <w:t>fans</w:t>
      </w:r>
      <w:r>
        <w:rPr>
          <w:color w:val="231F20"/>
          <w:spacing w:val="-8"/>
        </w:rPr>
        <w:t xml:space="preserve"> </w:t>
      </w:r>
      <w:r>
        <w:rPr>
          <w:color w:val="231F20"/>
          <w:spacing w:val="-2"/>
        </w:rPr>
        <w:t>or</w:t>
      </w:r>
      <w:r>
        <w:rPr>
          <w:color w:val="231F20"/>
          <w:spacing w:val="-8"/>
        </w:rPr>
        <w:t xml:space="preserve"> </w:t>
      </w:r>
      <w:r>
        <w:rPr>
          <w:color w:val="231F20"/>
          <w:spacing w:val="-2"/>
        </w:rPr>
        <w:t xml:space="preserve">as </w:t>
      </w:r>
      <w:r>
        <w:rPr>
          <w:color w:val="231F20"/>
        </w:rPr>
        <w:t>part of a wider sports fandom (Osborne &amp; Coombs, 2013).</w:t>
      </w:r>
    </w:p>
    <w:p w14:paraId="10ADFA96" w14:textId="77777777" w:rsidR="00AE0598" w:rsidRDefault="0069255A">
      <w:pPr>
        <w:pStyle w:val="Corpodetexto"/>
        <w:spacing w:before="10" w:line="232" w:lineRule="auto"/>
        <w:ind w:left="110" w:right="127" w:firstLine="320"/>
        <w:jc w:val="both"/>
      </w:pPr>
      <w:r>
        <w:rPr>
          <w:color w:val="231F20"/>
          <w:w w:val="95"/>
        </w:rPr>
        <w:t>Morgan (2007) adopts a sociological perspective on the management of spectator event experiences. In addressing the interplay of event spectators</w:t>
      </w:r>
    </w:p>
    <w:p w14:paraId="7D73123F" w14:textId="77777777" w:rsidR="00AE0598" w:rsidRDefault="00AE0598">
      <w:pPr>
        <w:spacing w:line="232" w:lineRule="auto"/>
        <w:jc w:val="both"/>
        <w:sectPr w:rsidR="00AE0598">
          <w:pgSz w:w="8850" w:h="13270"/>
          <w:pgMar w:top="720" w:right="1060" w:bottom="280" w:left="1080" w:header="720" w:footer="720" w:gutter="0"/>
          <w:cols w:space="720"/>
        </w:sectPr>
      </w:pPr>
    </w:p>
    <w:p w14:paraId="428FFF36" w14:textId="77777777" w:rsidR="00AE0598" w:rsidRDefault="0069255A">
      <w:pPr>
        <w:spacing w:before="87"/>
        <w:ind w:left="4078"/>
        <w:rPr>
          <w:rFonts w:ascii="Trebuchet MS"/>
          <w:sz w:val="14"/>
        </w:rPr>
      </w:pPr>
      <w:r>
        <w:rPr>
          <w:rFonts w:ascii="Trebuchet MS"/>
          <w:color w:val="231F20"/>
          <w:w w:val="105"/>
          <w:sz w:val="14"/>
        </w:rPr>
        <w:lastRenderedPageBreak/>
        <w:t>Sport</w:t>
      </w:r>
      <w:r>
        <w:rPr>
          <w:rFonts w:ascii="Trebuchet MS"/>
          <w:color w:val="231F20"/>
          <w:spacing w:val="-11"/>
          <w:w w:val="105"/>
          <w:sz w:val="14"/>
        </w:rPr>
        <w:t xml:space="preserve"> </w:t>
      </w:r>
      <w:r>
        <w:rPr>
          <w:rFonts w:ascii="Trebuchet MS"/>
          <w:color w:val="231F20"/>
          <w:w w:val="105"/>
          <w:sz w:val="14"/>
        </w:rPr>
        <w:t>and</w:t>
      </w:r>
      <w:r>
        <w:rPr>
          <w:rFonts w:ascii="Trebuchet MS"/>
          <w:color w:val="231F20"/>
          <w:spacing w:val="-11"/>
          <w:w w:val="105"/>
          <w:sz w:val="14"/>
        </w:rPr>
        <w:t xml:space="preserve"> </w:t>
      </w:r>
      <w:r>
        <w:rPr>
          <w:rFonts w:ascii="Trebuchet MS"/>
          <w:color w:val="231F20"/>
          <w:w w:val="105"/>
          <w:sz w:val="14"/>
        </w:rPr>
        <w:t>the</w:t>
      </w:r>
      <w:r>
        <w:rPr>
          <w:rFonts w:ascii="Trebuchet MS"/>
          <w:color w:val="231F20"/>
          <w:spacing w:val="-11"/>
          <w:w w:val="105"/>
          <w:sz w:val="14"/>
        </w:rPr>
        <w:t xml:space="preserve"> </w:t>
      </w:r>
      <w:r>
        <w:rPr>
          <w:rFonts w:ascii="Trebuchet MS"/>
          <w:color w:val="231F20"/>
          <w:w w:val="105"/>
          <w:sz w:val="14"/>
        </w:rPr>
        <w:t>Tourist</w:t>
      </w:r>
      <w:r>
        <w:rPr>
          <w:rFonts w:ascii="Trebuchet MS"/>
          <w:color w:val="231F20"/>
          <w:spacing w:val="-11"/>
          <w:w w:val="105"/>
          <w:sz w:val="14"/>
        </w:rPr>
        <w:t xml:space="preserve"> </w:t>
      </w:r>
      <w:r>
        <w:rPr>
          <w:rFonts w:ascii="Trebuchet MS"/>
          <w:color w:val="231F20"/>
          <w:w w:val="105"/>
          <w:sz w:val="14"/>
        </w:rPr>
        <w:t>Experience</w:t>
      </w:r>
      <w:r>
        <w:rPr>
          <w:rFonts w:ascii="Trebuchet MS"/>
          <w:color w:val="231F20"/>
          <w:spacing w:val="78"/>
          <w:w w:val="105"/>
          <w:sz w:val="14"/>
        </w:rPr>
        <w:t xml:space="preserve"> </w:t>
      </w:r>
      <w:r>
        <w:rPr>
          <w:rFonts w:ascii="Trebuchet MS"/>
          <w:color w:val="231F20"/>
          <w:spacing w:val="-5"/>
          <w:w w:val="105"/>
          <w:sz w:val="14"/>
        </w:rPr>
        <w:t>159</w:t>
      </w:r>
    </w:p>
    <w:p w14:paraId="293E8C11" w14:textId="77777777" w:rsidR="00AE0598" w:rsidRDefault="00AE0598">
      <w:pPr>
        <w:pStyle w:val="Corpodetexto"/>
        <w:rPr>
          <w:rFonts w:ascii="Trebuchet MS"/>
          <w:sz w:val="16"/>
        </w:rPr>
      </w:pPr>
    </w:p>
    <w:p w14:paraId="5F902CA9" w14:textId="77777777" w:rsidR="00AE0598" w:rsidRDefault="0069255A">
      <w:pPr>
        <w:pStyle w:val="Corpodetexto"/>
        <w:spacing w:before="118" w:line="232" w:lineRule="auto"/>
        <w:ind w:left="110" w:right="129"/>
        <w:jc w:val="both"/>
      </w:pPr>
      <w:r>
        <w:rPr>
          <w:color w:val="231F20"/>
        </w:rPr>
        <w:t>and the place of competition, he highlights two perspectives on event spectator experiences:</w:t>
      </w:r>
    </w:p>
    <w:p w14:paraId="390E29FC" w14:textId="77777777" w:rsidR="00AE0598" w:rsidRDefault="00AE0598">
      <w:pPr>
        <w:pStyle w:val="Corpodetexto"/>
        <w:spacing w:before="8"/>
        <w:rPr>
          <w:sz w:val="20"/>
        </w:rPr>
      </w:pPr>
    </w:p>
    <w:p w14:paraId="6F6D732C" w14:textId="77777777" w:rsidR="00AE0598" w:rsidRDefault="0069255A">
      <w:pPr>
        <w:pStyle w:val="PargrafodaLista"/>
        <w:numPr>
          <w:ilvl w:val="0"/>
          <w:numId w:val="7"/>
        </w:numPr>
        <w:tabs>
          <w:tab w:val="left" w:pos="491"/>
        </w:tabs>
        <w:spacing w:line="232" w:lineRule="auto"/>
        <w:ind w:right="128" w:hanging="380"/>
        <w:jc w:val="both"/>
        <w:rPr>
          <w:rFonts w:ascii="Cambria"/>
          <w:sz w:val="21"/>
        </w:rPr>
      </w:pPr>
      <w:r>
        <w:rPr>
          <w:rFonts w:ascii="Cambria"/>
          <w:color w:val="231F20"/>
          <w:sz w:val="21"/>
        </w:rPr>
        <w:t>Managerial view: An experience as a type of product or service to provide an added-value offering.</w:t>
      </w:r>
    </w:p>
    <w:p w14:paraId="54E85BE4" w14:textId="77777777" w:rsidR="00AE0598" w:rsidRDefault="0069255A">
      <w:pPr>
        <w:pStyle w:val="PargrafodaLista"/>
        <w:numPr>
          <w:ilvl w:val="0"/>
          <w:numId w:val="7"/>
        </w:numPr>
        <w:tabs>
          <w:tab w:val="left" w:pos="491"/>
        </w:tabs>
        <w:spacing w:before="2" w:line="232" w:lineRule="auto"/>
        <w:ind w:right="128" w:hanging="380"/>
        <w:jc w:val="both"/>
        <w:rPr>
          <w:rFonts w:ascii="Cambria"/>
          <w:sz w:val="21"/>
        </w:rPr>
      </w:pPr>
      <w:r>
        <w:rPr>
          <w:rFonts w:ascii="Cambria"/>
          <w:color w:val="231F20"/>
          <w:sz w:val="21"/>
        </w:rPr>
        <w:t xml:space="preserve">Consumer behaviour view: An experience as having emotional, </w:t>
      </w:r>
      <w:r>
        <w:rPr>
          <w:rFonts w:ascii="Cambria"/>
          <w:color w:val="231F20"/>
          <w:w w:val="95"/>
          <w:sz w:val="21"/>
        </w:rPr>
        <w:t xml:space="preserve">symbolic and transformation significance for the individual involved. </w:t>
      </w:r>
      <w:r>
        <w:rPr>
          <w:rFonts w:ascii="Cambria"/>
          <w:color w:val="231F20"/>
          <w:sz w:val="21"/>
        </w:rPr>
        <w:t>(Morgan, 2007: 362)</w:t>
      </w:r>
    </w:p>
    <w:p w14:paraId="711A0BDF" w14:textId="77777777" w:rsidR="00AE0598" w:rsidRDefault="00AE0598">
      <w:pPr>
        <w:pStyle w:val="Corpodetexto"/>
        <w:spacing w:before="9"/>
        <w:rPr>
          <w:sz w:val="20"/>
        </w:rPr>
      </w:pPr>
    </w:p>
    <w:p w14:paraId="0F46663F" w14:textId="77777777" w:rsidR="00AE0598" w:rsidRDefault="0069255A">
      <w:pPr>
        <w:pStyle w:val="Corpodetexto"/>
        <w:spacing w:line="232" w:lineRule="auto"/>
        <w:ind w:left="110" w:right="124"/>
        <w:jc w:val="both"/>
      </w:pPr>
      <w:r>
        <w:rPr>
          <w:color w:val="231F20"/>
        </w:rPr>
        <w:t>The ma</w:t>
      </w:r>
      <w:r>
        <w:rPr>
          <w:color w:val="231F20"/>
        </w:rPr>
        <w:t>nagerial approach describes a commodified product that is developed to meet the needs of sport tourists as a homogeneous group. The</w:t>
      </w:r>
      <w:r>
        <w:rPr>
          <w:color w:val="231F20"/>
          <w:spacing w:val="-9"/>
        </w:rPr>
        <w:t xml:space="preserve"> </w:t>
      </w:r>
      <w:r>
        <w:rPr>
          <w:color w:val="231F20"/>
        </w:rPr>
        <w:t>consumer</w:t>
      </w:r>
      <w:r>
        <w:rPr>
          <w:color w:val="231F20"/>
          <w:spacing w:val="-9"/>
        </w:rPr>
        <w:t xml:space="preserve"> </w:t>
      </w:r>
      <w:r>
        <w:rPr>
          <w:color w:val="231F20"/>
        </w:rPr>
        <w:t>behaviour</w:t>
      </w:r>
      <w:r>
        <w:rPr>
          <w:color w:val="231F20"/>
          <w:spacing w:val="-9"/>
        </w:rPr>
        <w:t xml:space="preserve"> </w:t>
      </w:r>
      <w:r>
        <w:rPr>
          <w:color w:val="231F20"/>
        </w:rPr>
        <w:t>approach,</w:t>
      </w:r>
      <w:r>
        <w:rPr>
          <w:color w:val="231F20"/>
          <w:spacing w:val="-9"/>
        </w:rPr>
        <w:t xml:space="preserve"> </w:t>
      </w:r>
      <w:r>
        <w:rPr>
          <w:color w:val="231F20"/>
        </w:rPr>
        <w:t>as</w:t>
      </w:r>
      <w:r>
        <w:rPr>
          <w:color w:val="231F20"/>
          <w:spacing w:val="-9"/>
        </w:rPr>
        <w:t xml:space="preserve"> </w:t>
      </w:r>
      <w:r>
        <w:rPr>
          <w:color w:val="231F20"/>
        </w:rPr>
        <w:t>described</w:t>
      </w:r>
      <w:r>
        <w:rPr>
          <w:color w:val="231F20"/>
          <w:spacing w:val="-9"/>
        </w:rPr>
        <w:t xml:space="preserve"> </w:t>
      </w:r>
      <w:r>
        <w:rPr>
          <w:color w:val="231F20"/>
        </w:rPr>
        <w:t>by</w:t>
      </w:r>
      <w:r>
        <w:rPr>
          <w:color w:val="231F20"/>
          <w:spacing w:val="-9"/>
        </w:rPr>
        <w:t xml:space="preserve"> </w:t>
      </w:r>
      <w:r>
        <w:rPr>
          <w:color w:val="231F20"/>
        </w:rPr>
        <w:t>Morgan</w:t>
      </w:r>
      <w:r>
        <w:rPr>
          <w:color w:val="231F20"/>
          <w:spacing w:val="-9"/>
        </w:rPr>
        <w:t xml:space="preserve"> </w:t>
      </w:r>
      <w:r>
        <w:rPr>
          <w:color w:val="231F20"/>
        </w:rPr>
        <w:t>(2007:</w:t>
      </w:r>
      <w:r>
        <w:rPr>
          <w:color w:val="231F20"/>
          <w:spacing w:val="-9"/>
        </w:rPr>
        <w:t xml:space="preserve"> </w:t>
      </w:r>
      <w:r>
        <w:rPr>
          <w:color w:val="231F20"/>
        </w:rPr>
        <w:t xml:space="preserve">361), </w:t>
      </w:r>
      <w:r>
        <w:rPr>
          <w:color w:val="231F20"/>
          <w:w w:val="95"/>
        </w:rPr>
        <w:t>views the sport tourist experience as a ‘subjective emotion</w:t>
      </w:r>
      <w:r>
        <w:rPr>
          <w:color w:val="231F20"/>
          <w:w w:val="95"/>
        </w:rPr>
        <w:t xml:space="preserve">al journey full of </w:t>
      </w:r>
      <w:r>
        <w:rPr>
          <w:color w:val="231F20"/>
        </w:rPr>
        <w:t>personal,</w:t>
      </w:r>
      <w:r>
        <w:rPr>
          <w:color w:val="231F20"/>
          <w:spacing w:val="-3"/>
        </w:rPr>
        <w:t xml:space="preserve"> </w:t>
      </w:r>
      <w:r>
        <w:rPr>
          <w:color w:val="231F20"/>
        </w:rPr>
        <w:t>social</w:t>
      </w:r>
      <w:r>
        <w:rPr>
          <w:color w:val="231F20"/>
          <w:spacing w:val="-3"/>
        </w:rPr>
        <w:t xml:space="preserve"> </w:t>
      </w:r>
      <w:r>
        <w:rPr>
          <w:color w:val="231F20"/>
        </w:rPr>
        <w:t>and</w:t>
      </w:r>
      <w:r>
        <w:rPr>
          <w:color w:val="231F20"/>
          <w:spacing w:val="-3"/>
        </w:rPr>
        <w:t xml:space="preserve"> </w:t>
      </w:r>
      <w:r>
        <w:rPr>
          <w:color w:val="231F20"/>
        </w:rPr>
        <w:t>cultural</w:t>
      </w:r>
      <w:r>
        <w:rPr>
          <w:color w:val="231F20"/>
          <w:spacing w:val="-3"/>
        </w:rPr>
        <w:t xml:space="preserve"> </w:t>
      </w:r>
      <w:r>
        <w:rPr>
          <w:color w:val="231F20"/>
        </w:rPr>
        <w:t>meanings’.</w:t>
      </w:r>
      <w:r>
        <w:rPr>
          <w:color w:val="231F20"/>
          <w:spacing w:val="-3"/>
        </w:rPr>
        <w:t xml:space="preserve"> </w:t>
      </w:r>
      <w:r>
        <w:rPr>
          <w:color w:val="231F20"/>
        </w:rPr>
        <w:t>Morgan’s</w:t>
      </w:r>
      <w:r>
        <w:rPr>
          <w:color w:val="231F20"/>
          <w:spacing w:val="-3"/>
        </w:rPr>
        <w:t xml:space="preserve"> </w:t>
      </w:r>
      <w:r>
        <w:rPr>
          <w:color w:val="231F20"/>
        </w:rPr>
        <w:t>(2007)</w:t>
      </w:r>
      <w:r>
        <w:rPr>
          <w:color w:val="231F20"/>
          <w:spacing w:val="-3"/>
        </w:rPr>
        <w:t xml:space="preserve"> </w:t>
      </w:r>
      <w:r>
        <w:rPr>
          <w:color w:val="231F20"/>
        </w:rPr>
        <w:t>critique</w:t>
      </w:r>
      <w:r>
        <w:rPr>
          <w:color w:val="231F20"/>
          <w:spacing w:val="-3"/>
        </w:rPr>
        <w:t xml:space="preserve"> </w:t>
      </w:r>
      <w:r>
        <w:rPr>
          <w:color w:val="231F20"/>
        </w:rPr>
        <w:t xml:space="preserve">argues that the commodification of sport experiences through the provision of </w:t>
      </w:r>
      <w:r>
        <w:rPr>
          <w:color w:val="231F20"/>
          <w:w w:val="95"/>
        </w:rPr>
        <w:t xml:space="preserve">predefined, controlled and stage-managed experiences may reduce the live </w:t>
      </w:r>
      <w:r>
        <w:rPr>
          <w:color w:val="231F20"/>
        </w:rPr>
        <w:t>experience</w:t>
      </w:r>
      <w:r>
        <w:rPr>
          <w:color w:val="231F20"/>
          <w:spacing w:val="-3"/>
        </w:rPr>
        <w:t xml:space="preserve"> </w:t>
      </w:r>
      <w:r>
        <w:rPr>
          <w:color w:val="231F20"/>
        </w:rPr>
        <w:t>of</w:t>
      </w:r>
      <w:r>
        <w:rPr>
          <w:color w:val="231F20"/>
          <w:spacing w:val="-3"/>
        </w:rPr>
        <w:t xml:space="preserve"> </w:t>
      </w:r>
      <w:r>
        <w:rPr>
          <w:color w:val="231F20"/>
        </w:rPr>
        <w:t>specta</w:t>
      </w:r>
      <w:r>
        <w:rPr>
          <w:color w:val="231F20"/>
        </w:rPr>
        <w:t>tor</w:t>
      </w:r>
      <w:r>
        <w:rPr>
          <w:color w:val="231F20"/>
          <w:spacing w:val="-3"/>
        </w:rPr>
        <w:t xml:space="preserve"> </w:t>
      </w:r>
      <w:r>
        <w:rPr>
          <w:color w:val="231F20"/>
        </w:rPr>
        <w:t>sport</w:t>
      </w:r>
      <w:r>
        <w:rPr>
          <w:color w:val="231F20"/>
          <w:spacing w:val="-3"/>
        </w:rPr>
        <w:t xml:space="preserve"> </w:t>
      </w:r>
      <w:r>
        <w:rPr>
          <w:color w:val="231F20"/>
        </w:rPr>
        <w:t>to</w:t>
      </w:r>
      <w:r>
        <w:rPr>
          <w:color w:val="231F20"/>
          <w:spacing w:val="-3"/>
        </w:rPr>
        <w:t xml:space="preserve"> </w:t>
      </w:r>
      <w:r>
        <w:rPr>
          <w:color w:val="231F20"/>
        </w:rPr>
        <w:t>the</w:t>
      </w:r>
      <w:r>
        <w:rPr>
          <w:color w:val="231F20"/>
          <w:spacing w:val="-3"/>
        </w:rPr>
        <w:t xml:space="preserve"> </w:t>
      </w:r>
      <w:r>
        <w:rPr>
          <w:color w:val="231F20"/>
        </w:rPr>
        <w:t>equivalent</w:t>
      </w:r>
      <w:r>
        <w:rPr>
          <w:color w:val="231F20"/>
          <w:spacing w:val="-3"/>
        </w:rPr>
        <w:t xml:space="preserve"> </w:t>
      </w:r>
      <w:r>
        <w:rPr>
          <w:color w:val="231F20"/>
        </w:rPr>
        <w:t>of</w:t>
      </w:r>
      <w:r>
        <w:rPr>
          <w:color w:val="231F20"/>
          <w:spacing w:val="-3"/>
        </w:rPr>
        <w:t xml:space="preserve"> </w:t>
      </w:r>
      <w:r>
        <w:rPr>
          <w:color w:val="231F20"/>
        </w:rPr>
        <w:t>a</w:t>
      </w:r>
      <w:r>
        <w:rPr>
          <w:color w:val="231F20"/>
          <w:spacing w:val="-3"/>
        </w:rPr>
        <w:t xml:space="preserve"> </w:t>
      </w:r>
      <w:r>
        <w:rPr>
          <w:color w:val="231F20"/>
        </w:rPr>
        <w:t>television</w:t>
      </w:r>
      <w:r>
        <w:rPr>
          <w:color w:val="231F20"/>
          <w:spacing w:val="-3"/>
        </w:rPr>
        <w:t xml:space="preserve"> </w:t>
      </w:r>
      <w:r>
        <w:rPr>
          <w:color w:val="231F20"/>
        </w:rPr>
        <w:t>viewing</w:t>
      </w:r>
      <w:r>
        <w:rPr>
          <w:color w:val="231F20"/>
          <w:spacing w:val="-3"/>
        </w:rPr>
        <w:t xml:space="preserve"> </w:t>
      </w:r>
      <w:r>
        <w:rPr>
          <w:color w:val="231F20"/>
        </w:rPr>
        <w:t xml:space="preserve">or </w:t>
      </w:r>
      <w:r>
        <w:rPr>
          <w:color w:val="231F20"/>
          <w:w w:val="95"/>
        </w:rPr>
        <w:t xml:space="preserve">live streaming experience, in which the spectator is an observer; passive in </w:t>
      </w:r>
      <w:r>
        <w:rPr>
          <w:color w:val="231F20"/>
        </w:rPr>
        <w:t xml:space="preserve">all aspects of the unfolding event. Indeed, the quality of the live viewing experience may in some respects be inferior to the electronic media or </w:t>
      </w:r>
      <w:r>
        <w:rPr>
          <w:color w:val="231F20"/>
          <w:w w:val="95"/>
        </w:rPr>
        <w:t xml:space="preserve">virtual experience. Alternatively, by elevating the subjective and emotional </w:t>
      </w:r>
      <w:r>
        <w:rPr>
          <w:color w:val="231F20"/>
        </w:rPr>
        <w:t>elements</w:t>
      </w:r>
      <w:r>
        <w:rPr>
          <w:color w:val="231F20"/>
          <w:spacing w:val="-1"/>
        </w:rPr>
        <w:t xml:space="preserve"> </w:t>
      </w:r>
      <w:r>
        <w:rPr>
          <w:color w:val="231F20"/>
        </w:rPr>
        <w:t>of</w:t>
      </w:r>
      <w:r>
        <w:rPr>
          <w:color w:val="231F20"/>
          <w:spacing w:val="-1"/>
        </w:rPr>
        <w:t xml:space="preserve"> </w:t>
      </w:r>
      <w:r>
        <w:rPr>
          <w:color w:val="231F20"/>
        </w:rPr>
        <w:t>the</w:t>
      </w:r>
      <w:r>
        <w:rPr>
          <w:color w:val="231F20"/>
          <w:spacing w:val="-1"/>
        </w:rPr>
        <w:t xml:space="preserve"> </w:t>
      </w:r>
      <w:r>
        <w:rPr>
          <w:color w:val="231F20"/>
        </w:rPr>
        <w:t>experience</w:t>
      </w:r>
      <w:r>
        <w:rPr>
          <w:color w:val="231F20"/>
          <w:spacing w:val="-1"/>
        </w:rPr>
        <w:t xml:space="preserve"> </w:t>
      </w:r>
      <w:r>
        <w:rPr>
          <w:color w:val="231F20"/>
        </w:rPr>
        <w:t>as</w:t>
      </w:r>
      <w:r>
        <w:rPr>
          <w:color w:val="231F20"/>
          <w:spacing w:val="-1"/>
        </w:rPr>
        <w:t xml:space="preserve"> </w:t>
      </w:r>
      <w:r>
        <w:rPr>
          <w:color w:val="231F20"/>
        </w:rPr>
        <w:t>an</w:t>
      </w:r>
      <w:r>
        <w:rPr>
          <w:color w:val="231F20"/>
          <w:spacing w:val="-1"/>
        </w:rPr>
        <w:t xml:space="preserve"> </w:t>
      </w:r>
      <w:r>
        <w:rPr>
          <w:color w:val="231F20"/>
        </w:rPr>
        <w:t>interplay</w:t>
      </w:r>
      <w:r>
        <w:rPr>
          <w:color w:val="231F20"/>
          <w:spacing w:val="-1"/>
        </w:rPr>
        <w:t xml:space="preserve"> </w:t>
      </w:r>
      <w:r>
        <w:rPr>
          <w:color w:val="231F20"/>
        </w:rPr>
        <w:t>of</w:t>
      </w:r>
      <w:r>
        <w:rPr>
          <w:color w:val="231F20"/>
          <w:spacing w:val="-1"/>
        </w:rPr>
        <w:t xml:space="preserve"> </w:t>
      </w:r>
      <w:r>
        <w:rPr>
          <w:color w:val="231F20"/>
        </w:rPr>
        <w:t>a</w:t>
      </w:r>
      <w:r>
        <w:rPr>
          <w:color w:val="231F20"/>
          <w:spacing w:val="-1"/>
        </w:rPr>
        <w:t xml:space="preserve"> </w:t>
      </w:r>
      <w:r>
        <w:rPr>
          <w:color w:val="231F20"/>
        </w:rPr>
        <w:t>unique</w:t>
      </w:r>
      <w:r>
        <w:rPr>
          <w:color w:val="231F20"/>
          <w:spacing w:val="-1"/>
        </w:rPr>
        <w:t xml:space="preserve"> </w:t>
      </w:r>
      <w:r>
        <w:rPr>
          <w:color w:val="231F20"/>
        </w:rPr>
        <w:t>sporting</w:t>
      </w:r>
      <w:r>
        <w:rPr>
          <w:color w:val="231F20"/>
          <w:spacing w:val="-1"/>
        </w:rPr>
        <w:t xml:space="preserve"> </w:t>
      </w:r>
      <w:r>
        <w:rPr>
          <w:color w:val="231F20"/>
        </w:rPr>
        <w:t xml:space="preserve">occasion </w:t>
      </w:r>
      <w:r>
        <w:rPr>
          <w:color w:val="231F20"/>
          <w:w w:val="95"/>
        </w:rPr>
        <w:t xml:space="preserve">taking place in a local place-situated context that is central to the occasion </w:t>
      </w:r>
      <w:r>
        <w:rPr>
          <w:color w:val="231F20"/>
        </w:rPr>
        <w:t>and</w:t>
      </w:r>
      <w:r>
        <w:rPr>
          <w:color w:val="231F20"/>
          <w:spacing w:val="-11"/>
        </w:rPr>
        <w:t xml:space="preserve"> </w:t>
      </w:r>
      <w:r>
        <w:rPr>
          <w:color w:val="231F20"/>
        </w:rPr>
        <w:t>in</w:t>
      </w:r>
      <w:r>
        <w:rPr>
          <w:color w:val="231F20"/>
          <w:spacing w:val="-11"/>
        </w:rPr>
        <w:t xml:space="preserve"> </w:t>
      </w:r>
      <w:r>
        <w:rPr>
          <w:color w:val="231F20"/>
        </w:rPr>
        <w:t>association</w:t>
      </w:r>
      <w:r>
        <w:rPr>
          <w:color w:val="231F20"/>
          <w:spacing w:val="-11"/>
        </w:rPr>
        <w:t xml:space="preserve"> </w:t>
      </w:r>
      <w:r>
        <w:rPr>
          <w:color w:val="231F20"/>
        </w:rPr>
        <w:t>with</w:t>
      </w:r>
      <w:r>
        <w:rPr>
          <w:color w:val="231F20"/>
          <w:spacing w:val="-11"/>
        </w:rPr>
        <w:t xml:space="preserve"> </w:t>
      </w:r>
      <w:r>
        <w:rPr>
          <w:color w:val="231F20"/>
        </w:rPr>
        <w:t>the</w:t>
      </w:r>
      <w:r>
        <w:rPr>
          <w:color w:val="231F20"/>
          <w:spacing w:val="-11"/>
        </w:rPr>
        <w:t xml:space="preserve"> </w:t>
      </w:r>
      <w:r>
        <w:rPr>
          <w:color w:val="231F20"/>
        </w:rPr>
        <w:t>interactions</w:t>
      </w:r>
      <w:r>
        <w:rPr>
          <w:color w:val="231F20"/>
          <w:spacing w:val="-11"/>
        </w:rPr>
        <w:t xml:space="preserve"> </w:t>
      </w:r>
      <w:r>
        <w:rPr>
          <w:color w:val="231F20"/>
        </w:rPr>
        <w:t>of</w:t>
      </w:r>
      <w:r>
        <w:rPr>
          <w:color w:val="231F20"/>
          <w:spacing w:val="-11"/>
        </w:rPr>
        <w:t xml:space="preserve"> </w:t>
      </w:r>
      <w:r>
        <w:rPr>
          <w:color w:val="231F20"/>
        </w:rPr>
        <w:t>travelling</w:t>
      </w:r>
      <w:r>
        <w:rPr>
          <w:color w:val="231F20"/>
          <w:spacing w:val="-11"/>
        </w:rPr>
        <w:t xml:space="preserve"> </w:t>
      </w:r>
      <w:r>
        <w:rPr>
          <w:color w:val="231F20"/>
        </w:rPr>
        <w:t>supporters</w:t>
      </w:r>
      <w:r>
        <w:rPr>
          <w:color w:val="231F20"/>
          <w:spacing w:val="-11"/>
        </w:rPr>
        <w:t xml:space="preserve"> </w:t>
      </w:r>
      <w:r>
        <w:rPr>
          <w:color w:val="231F20"/>
        </w:rPr>
        <w:t>and</w:t>
      </w:r>
      <w:r>
        <w:rPr>
          <w:color w:val="231F20"/>
          <w:spacing w:val="-11"/>
        </w:rPr>
        <w:t xml:space="preserve"> </w:t>
      </w:r>
      <w:r>
        <w:rPr>
          <w:color w:val="231F20"/>
        </w:rPr>
        <w:t xml:space="preserve">local </w:t>
      </w:r>
      <w:r>
        <w:rPr>
          <w:color w:val="231F20"/>
          <w:w w:val="95"/>
        </w:rPr>
        <w:t>hosts</w:t>
      </w:r>
      <w:r>
        <w:rPr>
          <w:color w:val="231F20"/>
          <w:spacing w:val="-5"/>
          <w:w w:val="95"/>
        </w:rPr>
        <w:t xml:space="preserve"> </w:t>
      </w:r>
      <w:r>
        <w:rPr>
          <w:color w:val="231F20"/>
          <w:w w:val="95"/>
        </w:rPr>
        <w:t>(Weed,</w:t>
      </w:r>
      <w:r>
        <w:rPr>
          <w:color w:val="231F20"/>
          <w:spacing w:val="-5"/>
          <w:w w:val="95"/>
        </w:rPr>
        <w:t xml:space="preserve"> </w:t>
      </w:r>
      <w:r>
        <w:rPr>
          <w:color w:val="231F20"/>
          <w:w w:val="95"/>
        </w:rPr>
        <w:t>2005)</w:t>
      </w:r>
      <w:r>
        <w:rPr>
          <w:color w:val="231F20"/>
          <w:spacing w:val="-5"/>
          <w:w w:val="95"/>
        </w:rPr>
        <w:t xml:space="preserve"> </w:t>
      </w:r>
      <w:r>
        <w:rPr>
          <w:color w:val="231F20"/>
          <w:w w:val="95"/>
        </w:rPr>
        <w:t>renders</w:t>
      </w:r>
      <w:r>
        <w:rPr>
          <w:color w:val="231F20"/>
          <w:spacing w:val="-5"/>
          <w:w w:val="95"/>
        </w:rPr>
        <w:t xml:space="preserve"> </w:t>
      </w:r>
      <w:r>
        <w:rPr>
          <w:color w:val="231F20"/>
          <w:w w:val="95"/>
        </w:rPr>
        <w:t>the</w:t>
      </w:r>
      <w:r>
        <w:rPr>
          <w:color w:val="231F20"/>
          <w:spacing w:val="-5"/>
          <w:w w:val="95"/>
        </w:rPr>
        <w:t xml:space="preserve"> </w:t>
      </w:r>
      <w:r>
        <w:rPr>
          <w:color w:val="231F20"/>
          <w:w w:val="95"/>
        </w:rPr>
        <w:t>sport</w:t>
      </w:r>
      <w:r>
        <w:rPr>
          <w:color w:val="231F20"/>
          <w:spacing w:val="-5"/>
          <w:w w:val="95"/>
        </w:rPr>
        <w:t xml:space="preserve"> </w:t>
      </w:r>
      <w:r>
        <w:rPr>
          <w:color w:val="231F20"/>
          <w:w w:val="95"/>
        </w:rPr>
        <w:t>spectator</w:t>
      </w:r>
      <w:r>
        <w:rPr>
          <w:color w:val="231F20"/>
          <w:spacing w:val="-5"/>
          <w:w w:val="95"/>
        </w:rPr>
        <w:t xml:space="preserve"> </w:t>
      </w:r>
      <w:r>
        <w:rPr>
          <w:color w:val="231F20"/>
          <w:w w:val="95"/>
        </w:rPr>
        <w:t>experience</w:t>
      </w:r>
      <w:r>
        <w:rPr>
          <w:color w:val="231F20"/>
          <w:spacing w:val="-5"/>
          <w:w w:val="95"/>
        </w:rPr>
        <w:t xml:space="preserve"> </w:t>
      </w:r>
      <w:r>
        <w:rPr>
          <w:color w:val="231F20"/>
          <w:w w:val="95"/>
        </w:rPr>
        <w:t>un</w:t>
      </w:r>
      <w:r>
        <w:rPr>
          <w:color w:val="231F20"/>
          <w:w w:val="95"/>
        </w:rPr>
        <w:t>ique</w:t>
      </w:r>
      <w:r>
        <w:rPr>
          <w:color w:val="231F20"/>
          <w:spacing w:val="-5"/>
          <w:w w:val="95"/>
        </w:rPr>
        <w:t xml:space="preserve"> </w:t>
      </w:r>
      <w:r>
        <w:rPr>
          <w:color w:val="231F20"/>
          <w:w w:val="95"/>
        </w:rPr>
        <w:t xml:space="preserve">(Morgan, </w:t>
      </w:r>
      <w:r>
        <w:rPr>
          <w:color w:val="231F20"/>
        </w:rPr>
        <w:t>2007).</w:t>
      </w:r>
      <w:r>
        <w:rPr>
          <w:color w:val="231F20"/>
          <w:spacing w:val="-4"/>
        </w:rPr>
        <w:t xml:space="preserve"> </w:t>
      </w:r>
      <w:r>
        <w:rPr>
          <w:color w:val="231F20"/>
        </w:rPr>
        <w:t>Interactive</w:t>
      </w:r>
      <w:r>
        <w:rPr>
          <w:color w:val="231F20"/>
          <w:spacing w:val="-4"/>
        </w:rPr>
        <w:t xml:space="preserve"> </w:t>
      </w:r>
      <w:r>
        <w:rPr>
          <w:color w:val="231F20"/>
        </w:rPr>
        <w:t>online</w:t>
      </w:r>
      <w:r>
        <w:rPr>
          <w:color w:val="231F20"/>
          <w:spacing w:val="-4"/>
        </w:rPr>
        <w:t xml:space="preserve"> </w:t>
      </w:r>
      <w:r>
        <w:rPr>
          <w:color w:val="231F20"/>
        </w:rPr>
        <w:t>media</w:t>
      </w:r>
      <w:r>
        <w:rPr>
          <w:color w:val="231F20"/>
          <w:spacing w:val="-4"/>
        </w:rPr>
        <w:t xml:space="preserve"> </w:t>
      </w:r>
      <w:r>
        <w:rPr>
          <w:color w:val="231F20"/>
        </w:rPr>
        <w:t>represent</w:t>
      </w:r>
      <w:r>
        <w:rPr>
          <w:color w:val="231F20"/>
          <w:spacing w:val="-4"/>
        </w:rPr>
        <w:t xml:space="preserve"> </w:t>
      </w:r>
      <w:r>
        <w:rPr>
          <w:color w:val="231F20"/>
        </w:rPr>
        <w:t>the</w:t>
      </w:r>
      <w:r>
        <w:rPr>
          <w:color w:val="231F20"/>
          <w:spacing w:val="-4"/>
        </w:rPr>
        <w:t xml:space="preserve"> </w:t>
      </w:r>
      <w:r>
        <w:rPr>
          <w:color w:val="231F20"/>
        </w:rPr>
        <w:t>new</w:t>
      </w:r>
      <w:r>
        <w:rPr>
          <w:color w:val="231F20"/>
          <w:spacing w:val="-4"/>
        </w:rPr>
        <w:t xml:space="preserve"> </w:t>
      </w:r>
      <w:r>
        <w:rPr>
          <w:color w:val="231F20"/>
        </w:rPr>
        <w:t>middle</w:t>
      </w:r>
      <w:r>
        <w:rPr>
          <w:color w:val="231F20"/>
          <w:spacing w:val="-4"/>
        </w:rPr>
        <w:t xml:space="preserve"> </w:t>
      </w:r>
      <w:r>
        <w:rPr>
          <w:color w:val="231F20"/>
        </w:rPr>
        <w:t>ground</w:t>
      </w:r>
      <w:r>
        <w:rPr>
          <w:color w:val="231F20"/>
          <w:spacing w:val="-4"/>
        </w:rPr>
        <w:t xml:space="preserve"> </w:t>
      </w:r>
      <w:r>
        <w:rPr>
          <w:color w:val="231F20"/>
        </w:rPr>
        <w:t>of</w:t>
      </w:r>
      <w:r>
        <w:rPr>
          <w:color w:val="231F20"/>
          <w:spacing w:val="-4"/>
        </w:rPr>
        <w:t xml:space="preserve"> </w:t>
      </w:r>
      <w:r>
        <w:rPr>
          <w:color w:val="231F20"/>
        </w:rPr>
        <w:t>live sport experiences.</w:t>
      </w:r>
    </w:p>
    <w:p w14:paraId="1ACD38A9" w14:textId="77777777" w:rsidR="00AE0598" w:rsidRDefault="0069255A">
      <w:pPr>
        <w:pStyle w:val="Corpodetexto"/>
        <w:spacing w:before="22" w:line="232" w:lineRule="auto"/>
        <w:ind w:left="110" w:right="127" w:firstLine="320"/>
        <w:jc w:val="both"/>
      </w:pPr>
      <w:r>
        <w:rPr>
          <w:color w:val="231F20"/>
        </w:rPr>
        <w:t>In illustrating a sociological perspective of the visitor experience, Morgan (2007: 363) presents an experience space model (Figure 8.1) to explain that ‘the experience is created by the interaction between the activities and the places provided by the des</w:t>
      </w:r>
      <w:r>
        <w:rPr>
          <w:color w:val="231F20"/>
        </w:rPr>
        <w:t>tination and the internal motivations</w:t>
      </w:r>
      <w:r>
        <w:rPr>
          <w:color w:val="231F20"/>
          <w:spacing w:val="-1"/>
        </w:rPr>
        <w:t xml:space="preserve"> </w:t>
      </w:r>
      <w:r>
        <w:rPr>
          <w:color w:val="231F20"/>
        </w:rPr>
        <w:t>and</w:t>
      </w:r>
      <w:r>
        <w:rPr>
          <w:color w:val="231F20"/>
          <w:spacing w:val="-1"/>
        </w:rPr>
        <w:t xml:space="preserve"> </w:t>
      </w:r>
      <w:r>
        <w:rPr>
          <w:color w:val="231F20"/>
        </w:rPr>
        <w:t>meanings</w:t>
      </w:r>
      <w:r>
        <w:rPr>
          <w:color w:val="231F20"/>
          <w:spacing w:val="-1"/>
        </w:rPr>
        <w:t xml:space="preserve"> </w:t>
      </w:r>
      <w:r>
        <w:rPr>
          <w:color w:val="231F20"/>
        </w:rPr>
        <w:t>brought</w:t>
      </w:r>
      <w:r>
        <w:rPr>
          <w:color w:val="231F20"/>
          <w:spacing w:val="-1"/>
        </w:rPr>
        <w:t xml:space="preserve"> </w:t>
      </w:r>
      <w:r>
        <w:rPr>
          <w:color w:val="231F20"/>
        </w:rPr>
        <w:t>by</w:t>
      </w:r>
      <w:r>
        <w:rPr>
          <w:color w:val="231F20"/>
          <w:spacing w:val="-1"/>
        </w:rPr>
        <w:t xml:space="preserve"> </w:t>
      </w:r>
      <w:r>
        <w:rPr>
          <w:color w:val="231F20"/>
        </w:rPr>
        <w:t>the</w:t>
      </w:r>
      <w:r>
        <w:rPr>
          <w:color w:val="231F20"/>
          <w:spacing w:val="-1"/>
        </w:rPr>
        <w:t xml:space="preserve"> </w:t>
      </w:r>
      <w:r>
        <w:rPr>
          <w:color w:val="231F20"/>
        </w:rPr>
        <w:t>visitors’.</w:t>
      </w:r>
      <w:r>
        <w:rPr>
          <w:color w:val="231F20"/>
          <w:spacing w:val="-1"/>
        </w:rPr>
        <w:t xml:space="preserve"> </w:t>
      </w:r>
      <w:r>
        <w:rPr>
          <w:color w:val="231F20"/>
        </w:rPr>
        <w:t>Figure</w:t>
      </w:r>
      <w:r>
        <w:rPr>
          <w:color w:val="231F20"/>
          <w:spacing w:val="-1"/>
        </w:rPr>
        <w:t xml:space="preserve"> </w:t>
      </w:r>
      <w:r>
        <w:rPr>
          <w:color w:val="231F20"/>
        </w:rPr>
        <w:t>8.1</w:t>
      </w:r>
      <w:r>
        <w:rPr>
          <w:color w:val="231F20"/>
          <w:spacing w:val="-1"/>
        </w:rPr>
        <w:t xml:space="preserve"> </w:t>
      </w:r>
      <w:r>
        <w:rPr>
          <w:color w:val="231F20"/>
        </w:rPr>
        <w:t>illustrates the</w:t>
      </w:r>
      <w:r>
        <w:rPr>
          <w:color w:val="231F20"/>
          <w:spacing w:val="-7"/>
        </w:rPr>
        <w:t xml:space="preserve"> </w:t>
      </w:r>
      <w:r>
        <w:rPr>
          <w:color w:val="231F20"/>
        </w:rPr>
        <w:t>motivational</w:t>
      </w:r>
      <w:r>
        <w:rPr>
          <w:color w:val="231F20"/>
          <w:spacing w:val="-7"/>
        </w:rPr>
        <w:t xml:space="preserve"> </w:t>
      </w:r>
      <w:r>
        <w:rPr>
          <w:color w:val="231F20"/>
        </w:rPr>
        <w:t>pull</w:t>
      </w:r>
      <w:r>
        <w:rPr>
          <w:color w:val="231F20"/>
          <w:spacing w:val="-7"/>
        </w:rPr>
        <w:t xml:space="preserve"> </w:t>
      </w:r>
      <w:r>
        <w:rPr>
          <w:color w:val="231F20"/>
        </w:rPr>
        <w:t>factors,</w:t>
      </w:r>
      <w:r>
        <w:rPr>
          <w:color w:val="231F20"/>
          <w:spacing w:val="-7"/>
        </w:rPr>
        <w:t xml:space="preserve"> </w:t>
      </w:r>
      <w:r>
        <w:rPr>
          <w:color w:val="231F20"/>
        </w:rPr>
        <w:t>which</w:t>
      </w:r>
      <w:r>
        <w:rPr>
          <w:color w:val="231F20"/>
          <w:spacing w:val="-7"/>
        </w:rPr>
        <w:t xml:space="preserve"> </w:t>
      </w:r>
      <w:r>
        <w:rPr>
          <w:color w:val="231F20"/>
        </w:rPr>
        <w:t>centre</w:t>
      </w:r>
      <w:r>
        <w:rPr>
          <w:color w:val="231F20"/>
          <w:spacing w:val="-7"/>
        </w:rPr>
        <w:t xml:space="preserve"> </w:t>
      </w:r>
      <w:r>
        <w:rPr>
          <w:color w:val="231F20"/>
        </w:rPr>
        <w:t>on</w:t>
      </w:r>
      <w:r>
        <w:rPr>
          <w:color w:val="231F20"/>
          <w:spacing w:val="-7"/>
        </w:rPr>
        <w:t xml:space="preserve"> </w:t>
      </w:r>
      <w:r>
        <w:rPr>
          <w:color w:val="231F20"/>
        </w:rPr>
        <w:t>the</w:t>
      </w:r>
      <w:r>
        <w:rPr>
          <w:color w:val="231F20"/>
          <w:spacing w:val="-7"/>
        </w:rPr>
        <w:t xml:space="preserve"> </w:t>
      </w:r>
      <w:r>
        <w:rPr>
          <w:color w:val="231F20"/>
        </w:rPr>
        <w:t>physical</w:t>
      </w:r>
      <w:r>
        <w:rPr>
          <w:color w:val="231F20"/>
          <w:spacing w:val="-7"/>
        </w:rPr>
        <w:t xml:space="preserve"> </w:t>
      </w:r>
      <w:r>
        <w:rPr>
          <w:color w:val="231F20"/>
        </w:rPr>
        <w:t>attributes</w:t>
      </w:r>
      <w:r>
        <w:rPr>
          <w:color w:val="231F20"/>
          <w:spacing w:val="-7"/>
        </w:rPr>
        <w:t xml:space="preserve"> </w:t>
      </w:r>
      <w:r>
        <w:rPr>
          <w:color w:val="231F20"/>
        </w:rPr>
        <w:t xml:space="preserve">and image of the destination, as mediated by destination management and </w:t>
      </w:r>
      <w:r>
        <w:rPr>
          <w:color w:val="231F20"/>
          <w:w w:val="95"/>
        </w:rPr>
        <w:t>marketing act</w:t>
      </w:r>
      <w:r>
        <w:rPr>
          <w:color w:val="231F20"/>
          <w:w w:val="95"/>
        </w:rPr>
        <w:t xml:space="preserve">ivities. This represents the </w:t>
      </w:r>
      <w:r>
        <w:rPr>
          <w:i/>
          <w:color w:val="231F20"/>
          <w:w w:val="95"/>
        </w:rPr>
        <w:t xml:space="preserve">in situ </w:t>
      </w:r>
      <w:r>
        <w:rPr>
          <w:color w:val="231F20"/>
          <w:w w:val="95"/>
        </w:rPr>
        <w:t xml:space="preserve">destination setting where the sport experience takes place. The model then outlines the motivations, </w:t>
      </w:r>
      <w:r>
        <w:rPr>
          <w:color w:val="231F20"/>
        </w:rPr>
        <w:t>meanings and identities that tourists bring to the place of competition. In the case of sport tourism, the spectator e</w:t>
      </w:r>
      <w:r>
        <w:rPr>
          <w:color w:val="231F20"/>
        </w:rPr>
        <w:t xml:space="preserve">xperience will be heavily influenced by personal meanings and the collective social identities of </w:t>
      </w:r>
      <w:r>
        <w:rPr>
          <w:color w:val="231F20"/>
          <w:w w:val="95"/>
        </w:rPr>
        <w:t>communities of supporters (Morgan, 2007). The experience space allows</w:t>
      </w:r>
      <w:r>
        <w:rPr>
          <w:color w:val="231F20"/>
          <w:spacing w:val="40"/>
        </w:rPr>
        <w:t xml:space="preserve"> </w:t>
      </w:r>
      <w:r>
        <w:rPr>
          <w:color w:val="231F20"/>
          <w:w w:val="95"/>
        </w:rPr>
        <w:t>for the co-creation of experiences based on social and cultural interactions that repres</w:t>
      </w:r>
      <w:r>
        <w:rPr>
          <w:color w:val="231F20"/>
          <w:w w:val="95"/>
        </w:rPr>
        <w:t>ent the interplay of activities and people in a sport setting that</w:t>
      </w:r>
      <w:r>
        <w:rPr>
          <w:color w:val="231F20"/>
          <w:spacing w:val="80"/>
          <w:w w:val="150"/>
        </w:rPr>
        <w:t xml:space="preserve"> </w:t>
      </w:r>
      <w:r>
        <w:rPr>
          <w:color w:val="231F20"/>
        </w:rPr>
        <w:t>is place-situated.</w:t>
      </w:r>
    </w:p>
    <w:p w14:paraId="4E036098" w14:textId="77777777" w:rsidR="00AE0598" w:rsidRDefault="00AE0598">
      <w:pPr>
        <w:spacing w:line="232" w:lineRule="auto"/>
        <w:jc w:val="both"/>
        <w:sectPr w:rsidR="00AE0598">
          <w:pgSz w:w="8850" w:h="13270"/>
          <w:pgMar w:top="720" w:right="1060" w:bottom="280" w:left="1080" w:header="720" w:footer="720" w:gutter="0"/>
          <w:cols w:space="720"/>
        </w:sectPr>
      </w:pPr>
    </w:p>
    <w:p w14:paraId="729D7FB5" w14:textId="77777777" w:rsidR="00AE0598" w:rsidRDefault="0069255A">
      <w:pPr>
        <w:spacing w:before="87"/>
        <w:ind w:left="108"/>
        <w:rPr>
          <w:rFonts w:ascii="Trebuchet MS"/>
          <w:sz w:val="14"/>
        </w:rPr>
      </w:pPr>
      <w:r>
        <w:rPr>
          <w:rFonts w:ascii="Trebuchet MS"/>
          <w:color w:val="231F20"/>
          <w:w w:val="105"/>
          <w:sz w:val="14"/>
        </w:rPr>
        <w:lastRenderedPageBreak/>
        <w:t>160</w:t>
      </w:r>
      <w:r>
        <w:rPr>
          <w:rFonts w:ascii="Trebuchet MS"/>
          <w:color w:val="231F20"/>
          <w:spacing w:val="66"/>
          <w:w w:val="150"/>
          <w:sz w:val="14"/>
        </w:rPr>
        <w:t xml:space="preserve"> </w:t>
      </w:r>
      <w:r>
        <w:rPr>
          <w:rFonts w:ascii="Trebuchet MS"/>
          <w:color w:val="231F20"/>
          <w:w w:val="105"/>
          <w:sz w:val="14"/>
        </w:rPr>
        <w:t>Part</w:t>
      </w:r>
      <w:r>
        <w:rPr>
          <w:rFonts w:ascii="Trebuchet MS"/>
          <w:color w:val="231F20"/>
          <w:spacing w:val="-9"/>
          <w:w w:val="105"/>
          <w:sz w:val="14"/>
        </w:rPr>
        <w:t xml:space="preserve"> </w:t>
      </w:r>
      <w:r>
        <w:rPr>
          <w:rFonts w:ascii="Trebuchet MS"/>
          <w:color w:val="231F20"/>
          <w:w w:val="105"/>
          <w:sz w:val="14"/>
        </w:rPr>
        <w:t>4:</w:t>
      </w:r>
      <w:r>
        <w:rPr>
          <w:rFonts w:ascii="Trebuchet MS"/>
          <w:color w:val="231F20"/>
          <w:spacing w:val="-8"/>
          <w:w w:val="105"/>
          <w:sz w:val="14"/>
        </w:rPr>
        <w:t xml:space="preserve"> </w:t>
      </w:r>
      <w:r>
        <w:rPr>
          <w:rFonts w:ascii="Trebuchet MS"/>
          <w:color w:val="231F20"/>
          <w:w w:val="105"/>
          <w:sz w:val="14"/>
        </w:rPr>
        <w:t>Sport</w:t>
      </w:r>
      <w:r>
        <w:rPr>
          <w:rFonts w:ascii="Trebuchet MS"/>
          <w:color w:val="231F20"/>
          <w:spacing w:val="-9"/>
          <w:w w:val="105"/>
          <w:sz w:val="14"/>
        </w:rPr>
        <w:t xml:space="preserve"> </w:t>
      </w:r>
      <w:r>
        <w:rPr>
          <w:rFonts w:ascii="Trebuchet MS"/>
          <w:color w:val="231F20"/>
          <w:w w:val="105"/>
          <w:sz w:val="14"/>
        </w:rPr>
        <w:t>Tourism</w:t>
      </w:r>
      <w:r>
        <w:rPr>
          <w:rFonts w:ascii="Trebuchet MS"/>
          <w:color w:val="231F20"/>
          <w:spacing w:val="-9"/>
          <w:w w:val="105"/>
          <w:sz w:val="14"/>
        </w:rPr>
        <w:t xml:space="preserve"> </w:t>
      </w:r>
      <w:r>
        <w:rPr>
          <w:rFonts w:ascii="Trebuchet MS"/>
          <w:color w:val="231F20"/>
          <w:w w:val="105"/>
          <w:sz w:val="14"/>
        </w:rPr>
        <w:t>Development</w:t>
      </w:r>
      <w:r>
        <w:rPr>
          <w:rFonts w:ascii="Trebuchet MS"/>
          <w:color w:val="231F20"/>
          <w:spacing w:val="-9"/>
          <w:w w:val="105"/>
          <w:sz w:val="14"/>
        </w:rPr>
        <w:t xml:space="preserve"> </w:t>
      </w:r>
      <w:r>
        <w:rPr>
          <w:rFonts w:ascii="Trebuchet MS"/>
          <w:color w:val="231F20"/>
          <w:w w:val="105"/>
          <w:sz w:val="14"/>
        </w:rPr>
        <w:t>and</w:t>
      </w:r>
      <w:r>
        <w:rPr>
          <w:rFonts w:ascii="Trebuchet MS"/>
          <w:color w:val="231F20"/>
          <w:spacing w:val="-8"/>
          <w:w w:val="105"/>
          <w:sz w:val="14"/>
        </w:rPr>
        <w:t xml:space="preserve"> </w:t>
      </w:r>
      <w:r>
        <w:rPr>
          <w:rFonts w:ascii="Trebuchet MS"/>
          <w:color w:val="231F20"/>
          <w:spacing w:val="-4"/>
          <w:w w:val="105"/>
          <w:sz w:val="14"/>
        </w:rPr>
        <w:t>Time</w:t>
      </w:r>
    </w:p>
    <w:p w14:paraId="1F393074" w14:textId="77777777" w:rsidR="00AE0598" w:rsidRDefault="00AE0598">
      <w:pPr>
        <w:pStyle w:val="Corpodetexto"/>
        <w:spacing w:before="4"/>
        <w:rPr>
          <w:rFonts w:ascii="Trebuchet MS"/>
          <w:sz w:val="19"/>
        </w:rPr>
      </w:pPr>
    </w:p>
    <w:p w14:paraId="7004829E" w14:textId="77777777" w:rsidR="00AE0598" w:rsidRDefault="00AE0598">
      <w:pPr>
        <w:rPr>
          <w:rFonts w:ascii="Trebuchet MS"/>
          <w:sz w:val="19"/>
        </w:rPr>
        <w:sectPr w:rsidR="00AE0598">
          <w:pgSz w:w="8850" w:h="13270"/>
          <w:pgMar w:top="720" w:right="1060" w:bottom="280" w:left="1080" w:header="720" w:footer="720" w:gutter="0"/>
          <w:cols w:space="720"/>
        </w:sectPr>
      </w:pPr>
    </w:p>
    <w:p w14:paraId="7813D53D" w14:textId="77777777" w:rsidR="00AE0598" w:rsidRDefault="00AE0598">
      <w:pPr>
        <w:pStyle w:val="Corpodetexto"/>
        <w:rPr>
          <w:rFonts w:ascii="Trebuchet MS"/>
          <w:sz w:val="22"/>
        </w:rPr>
      </w:pPr>
    </w:p>
    <w:p w14:paraId="2BE89074" w14:textId="77777777" w:rsidR="00AE0598" w:rsidRDefault="0069255A">
      <w:pPr>
        <w:spacing w:before="192" w:line="218" w:lineRule="auto"/>
        <w:ind w:left="795" w:right="394"/>
        <w:jc w:val="center"/>
        <w:rPr>
          <w:rFonts w:ascii="Segoe UI Symbol"/>
          <w:sz w:val="18"/>
        </w:rPr>
      </w:pPr>
      <w:r>
        <w:rPr>
          <w:rFonts w:ascii="Segoe UI Symbol"/>
          <w:color w:val="231F20"/>
          <w:spacing w:val="-2"/>
          <w:sz w:val="18"/>
        </w:rPr>
        <w:t xml:space="preserve">Experience </w:t>
      </w:r>
      <w:r>
        <w:rPr>
          <w:rFonts w:ascii="Segoe UI Symbol"/>
          <w:color w:val="231F20"/>
          <w:spacing w:val="-2"/>
          <w:w w:val="95"/>
          <w:sz w:val="18"/>
        </w:rPr>
        <w:t>Management</w:t>
      </w:r>
    </w:p>
    <w:p w14:paraId="13FA7F65" w14:textId="668C2481" w:rsidR="00AE0598" w:rsidRDefault="0069255A">
      <w:pPr>
        <w:spacing w:line="218" w:lineRule="exact"/>
        <w:ind w:left="398"/>
        <w:jc w:val="center"/>
        <w:rPr>
          <w:i/>
          <w:sz w:val="18"/>
        </w:rPr>
      </w:pPr>
      <w:r>
        <w:rPr>
          <w:noProof/>
        </w:rPr>
        <mc:AlternateContent>
          <mc:Choice Requires="wpg">
            <w:drawing>
              <wp:anchor distT="0" distB="0" distL="114300" distR="114300" simplePos="0" relativeHeight="483731456" behindDoc="1" locked="0" layoutInCell="1" allowOverlap="1" wp14:anchorId="1384EE94" wp14:editId="723B4327">
                <wp:simplePos x="0" y="0"/>
                <wp:positionH relativeFrom="page">
                  <wp:posOffset>1707515</wp:posOffset>
                </wp:positionH>
                <wp:positionV relativeFrom="paragraph">
                  <wp:posOffset>134620</wp:posOffset>
                </wp:positionV>
                <wp:extent cx="2066925" cy="1624965"/>
                <wp:effectExtent l="0" t="0" r="0" b="0"/>
                <wp:wrapNone/>
                <wp:docPr id="145" name="docshapegroup2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66925" cy="1624965"/>
                          <a:chOff x="2689" y="212"/>
                          <a:chExt cx="3255" cy="2559"/>
                        </a:xfrm>
                      </wpg:grpSpPr>
                      <wps:wsp>
                        <wps:cNvPr id="146" name="docshape219"/>
                        <wps:cNvSpPr>
                          <a:spLocks/>
                        </wps:cNvSpPr>
                        <wps:spPr bwMode="auto">
                          <a:xfrm>
                            <a:off x="2697" y="220"/>
                            <a:ext cx="3238" cy="2542"/>
                          </a:xfrm>
                          <a:custGeom>
                            <a:avLst/>
                            <a:gdLst>
                              <a:gd name="T0" fmla="+- 0 5935 2697"/>
                              <a:gd name="T1" fmla="*/ T0 w 3238"/>
                              <a:gd name="T2" fmla="+- 0 2127 221"/>
                              <a:gd name="T3" fmla="*/ 2127 h 2542"/>
                              <a:gd name="T4" fmla="+- 0 4316 2697"/>
                              <a:gd name="T5" fmla="*/ T4 w 3238"/>
                              <a:gd name="T6" fmla="+- 0 2762 221"/>
                              <a:gd name="T7" fmla="*/ 2762 h 2542"/>
                              <a:gd name="T8" fmla="+- 0 2697 2697"/>
                              <a:gd name="T9" fmla="*/ T8 w 3238"/>
                              <a:gd name="T10" fmla="+- 0 2127 221"/>
                              <a:gd name="T11" fmla="*/ 2127 h 2542"/>
                              <a:gd name="T12" fmla="+- 0 2697 2697"/>
                              <a:gd name="T13" fmla="*/ T12 w 3238"/>
                              <a:gd name="T14" fmla="+- 0 856 221"/>
                              <a:gd name="T15" fmla="*/ 856 h 2542"/>
                              <a:gd name="T16" fmla="+- 0 4316 2697"/>
                              <a:gd name="T17" fmla="*/ T16 w 3238"/>
                              <a:gd name="T18" fmla="+- 0 221 221"/>
                              <a:gd name="T19" fmla="*/ 221 h 2542"/>
                              <a:gd name="T20" fmla="+- 0 5935 2697"/>
                              <a:gd name="T21" fmla="*/ T20 w 3238"/>
                              <a:gd name="T22" fmla="+- 0 856 221"/>
                              <a:gd name="T23" fmla="*/ 856 h 2542"/>
                              <a:gd name="T24" fmla="+- 0 5935 2697"/>
                              <a:gd name="T25" fmla="*/ T24 w 3238"/>
                              <a:gd name="T26" fmla="+- 0 2127 221"/>
                              <a:gd name="T27" fmla="*/ 2127 h 2542"/>
                            </a:gdLst>
                            <a:ahLst/>
                            <a:cxnLst>
                              <a:cxn ang="0">
                                <a:pos x="T1" y="T3"/>
                              </a:cxn>
                              <a:cxn ang="0">
                                <a:pos x="T5" y="T7"/>
                              </a:cxn>
                              <a:cxn ang="0">
                                <a:pos x="T9" y="T11"/>
                              </a:cxn>
                              <a:cxn ang="0">
                                <a:pos x="T13" y="T15"/>
                              </a:cxn>
                              <a:cxn ang="0">
                                <a:pos x="T17" y="T19"/>
                              </a:cxn>
                              <a:cxn ang="0">
                                <a:pos x="T21" y="T23"/>
                              </a:cxn>
                              <a:cxn ang="0">
                                <a:pos x="T25" y="T27"/>
                              </a:cxn>
                            </a:cxnLst>
                            <a:rect l="0" t="0" r="r" b="b"/>
                            <a:pathLst>
                              <a:path w="3238" h="2542">
                                <a:moveTo>
                                  <a:pt x="3238" y="1906"/>
                                </a:moveTo>
                                <a:lnTo>
                                  <a:pt x="1619" y="2541"/>
                                </a:lnTo>
                                <a:lnTo>
                                  <a:pt x="0" y="1906"/>
                                </a:lnTo>
                                <a:lnTo>
                                  <a:pt x="0" y="635"/>
                                </a:lnTo>
                                <a:lnTo>
                                  <a:pt x="1619" y="0"/>
                                </a:lnTo>
                                <a:lnTo>
                                  <a:pt x="3238" y="635"/>
                                </a:lnTo>
                                <a:lnTo>
                                  <a:pt x="3238" y="1906"/>
                                </a:lnTo>
                                <a:close/>
                              </a:path>
                            </a:pathLst>
                          </a:custGeom>
                          <a:noFill/>
                          <a:ln w="10757">
                            <a:solidFill>
                              <a:srgbClr val="231F2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7" name="Line 150"/>
                        <wps:cNvCnPr>
                          <a:cxnSpLocks noChangeShapeType="1"/>
                        </wps:cNvCnPr>
                        <wps:spPr bwMode="auto">
                          <a:xfrm>
                            <a:off x="4316" y="1059"/>
                            <a:ext cx="0" cy="193"/>
                          </a:xfrm>
                          <a:prstGeom prst="line">
                            <a:avLst/>
                          </a:prstGeom>
                          <a:noFill/>
                          <a:ln w="7176">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148" name="docshape220"/>
                        <wps:cNvSpPr>
                          <a:spLocks/>
                        </wps:cNvSpPr>
                        <wps:spPr bwMode="auto">
                          <a:xfrm>
                            <a:off x="4268" y="1238"/>
                            <a:ext cx="96" cy="83"/>
                          </a:xfrm>
                          <a:custGeom>
                            <a:avLst/>
                            <a:gdLst>
                              <a:gd name="T0" fmla="+- 0 4365 4269"/>
                              <a:gd name="T1" fmla="*/ T0 w 96"/>
                              <a:gd name="T2" fmla="+- 0 1238 1238"/>
                              <a:gd name="T3" fmla="*/ 1238 h 83"/>
                              <a:gd name="T4" fmla="+- 0 4269 4269"/>
                              <a:gd name="T5" fmla="*/ T4 w 96"/>
                              <a:gd name="T6" fmla="+- 0 1238 1238"/>
                              <a:gd name="T7" fmla="*/ 1238 h 83"/>
                              <a:gd name="T8" fmla="+- 0 4317 4269"/>
                              <a:gd name="T9" fmla="*/ T8 w 96"/>
                              <a:gd name="T10" fmla="+- 0 1321 1238"/>
                              <a:gd name="T11" fmla="*/ 1321 h 83"/>
                              <a:gd name="T12" fmla="+- 0 4365 4269"/>
                              <a:gd name="T13" fmla="*/ T12 w 96"/>
                              <a:gd name="T14" fmla="+- 0 1238 1238"/>
                              <a:gd name="T15" fmla="*/ 1238 h 83"/>
                            </a:gdLst>
                            <a:ahLst/>
                            <a:cxnLst>
                              <a:cxn ang="0">
                                <a:pos x="T1" y="T3"/>
                              </a:cxn>
                              <a:cxn ang="0">
                                <a:pos x="T5" y="T7"/>
                              </a:cxn>
                              <a:cxn ang="0">
                                <a:pos x="T9" y="T11"/>
                              </a:cxn>
                              <a:cxn ang="0">
                                <a:pos x="T13" y="T15"/>
                              </a:cxn>
                            </a:cxnLst>
                            <a:rect l="0" t="0" r="r" b="b"/>
                            <a:pathLst>
                              <a:path w="96" h="83">
                                <a:moveTo>
                                  <a:pt x="96" y="0"/>
                                </a:moveTo>
                                <a:lnTo>
                                  <a:pt x="0" y="0"/>
                                </a:lnTo>
                                <a:lnTo>
                                  <a:pt x="48" y="83"/>
                                </a:lnTo>
                                <a:lnTo>
                                  <a:pt x="96" y="0"/>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9" name="Line 148"/>
                        <wps:cNvCnPr>
                          <a:cxnSpLocks noChangeShapeType="1"/>
                        </wps:cNvCnPr>
                        <wps:spPr bwMode="auto">
                          <a:xfrm>
                            <a:off x="4316" y="1658"/>
                            <a:ext cx="0" cy="193"/>
                          </a:xfrm>
                          <a:prstGeom prst="line">
                            <a:avLst/>
                          </a:prstGeom>
                          <a:noFill/>
                          <a:ln w="7176">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150" name="docshape221"/>
                        <wps:cNvSpPr>
                          <a:spLocks/>
                        </wps:cNvSpPr>
                        <wps:spPr bwMode="auto">
                          <a:xfrm>
                            <a:off x="4268" y="1836"/>
                            <a:ext cx="96" cy="83"/>
                          </a:xfrm>
                          <a:custGeom>
                            <a:avLst/>
                            <a:gdLst>
                              <a:gd name="T0" fmla="+- 0 4365 4269"/>
                              <a:gd name="T1" fmla="*/ T0 w 96"/>
                              <a:gd name="T2" fmla="+- 0 1837 1837"/>
                              <a:gd name="T3" fmla="*/ 1837 h 83"/>
                              <a:gd name="T4" fmla="+- 0 4269 4269"/>
                              <a:gd name="T5" fmla="*/ T4 w 96"/>
                              <a:gd name="T6" fmla="+- 0 1837 1837"/>
                              <a:gd name="T7" fmla="*/ 1837 h 83"/>
                              <a:gd name="T8" fmla="+- 0 4317 4269"/>
                              <a:gd name="T9" fmla="*/ T8 w 96"/>
                              <a:gd name="T10" fmla="+- 0 1920 1837"/>
                              <a:gd name="T11" fmla="*/ 1920 h 83"/>
                              <a:gd name="T12" fmla="+- 0 4365 4269"/>
                              <a:gd name="T13" fmla="*/ T12 w 96"/>
                              <a:gd name="T14" fmla="+- 0 1837 1837"/>
                              <a:gd name="T15" fmla="*/ 1837 h 83"/>
                            </a:gdLst>
                            <a:ahLst/>
                            <a:cxnLst>
                              <a:cxn ang="0">
                                <a:pos x="T1" y="T3"/>
                              </a:cxn>
                              <a:cxn ang="0">
                                <a:pos x="T5" y="T7"/>
                              </a:cxn>
                              <a:cxn ang="0">
                                <a:pos x="T9" y="T11"/>
                              </a:cxn>
                              <a:cxn ang="0">
                                <a:pos x="T13" y="T15"/>
                              </a:cxn>
                            </a:cxnLst>
                            <a:rect l="0" t="0" r="r" b="b"/>
                            <a:pathLst>
                              <a:path w="96" h="83">
                                <a:moveTo>
                                  <a:pt x="96" y="0"/>
                                </a:moveTo>
                                <a:lnTo>
                                  <a:pt x="0" y="0"/>
                                </a:lnTo>
                                <a:lnTo>
                                  <a:pt x="48" y="83"/>
                                </a:lnTo>
                                <a:lnTo>
                                  <a:pt x="96" y="0"/>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A88DF54" id="docshapegroup218" o:spid="_x0000_s1026" style="position:absolute;margin-left:134.45pt;margin-top:10.6pt;width:162.75pt;height:127.95pt;z-index:-19585024;mso-position-horizontal-relative:page" coordorigin="2689,212" coordsize="3255,25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">
                <v:shape id="docshape219" o:spid="_x0000_s1027" style="position:absolute;left:2697;top:220;width:3238;height:2542;visibility:visible;mso-wrap-style:square;v-text-anchor:top" coordsize="3238,25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" path="m3238,1906l1619,2541,,1906,,635,1619,,3238,635r,1271xe" filled="f" strokecolor="#231f20" strokeweight=".29881mm">
                  <v:path arrowok="t" o:connecttype="custom" o:connectlocs="3238,2127;1619,2762;0,2127;0,856;1619,221;3238,856;3238,2127" o:connectangles="0,0,0,0,0,0,0"/>
                </v:shape>
                <v:line id="Line 150" o:spid="_x0000_s1028" style="position:absolute;visibility:visible;mso-wrap-style:square" from="4316,1059" to="4316,12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" strokecolor="#231f20" strokeweight=".19933mm"/>
                <v:shape id="docshape220" o:spid="_x0000_s1029" style="position:absolute;left:4268;top:1238;width:96;height:83;visibility:visible;mso-wrap-style:square;v-text-anchor:top" coordsize="96,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" path="m96,l,,48,83,96,xe" fillcolor="#231f20" stroked="f">
                  <v:path arrowok="t" o:connecttype="custom" o:connectlocs="96,1238;0,1238;48,1321;96,1238" o:connectangles="0,0,0,0"/>
                </v:shape>
                <v:line id="Line 148" o:spid="_x0000_s1030" style="position:absolute;visibility:visible;mso-wrap-style:square" from="4316,1658" to="4316,18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" strokecolor="#231f20" strokeweight=".19933mm"/>
                <v:shape id="docshape221" o:spid="_x0000_s1031" style="position:absolute;left:4268;top:1836;width:96;height:83;visibility:visible;mso-wrap-style:square;v-text-anchor:top" coordsize="96,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" path="m96,l,,48,83,96,xe" fillcolor="#231f20" stroked="f">
                  <v:path arrowok="t" o:connecttype="custom" o:connectlocs="96,1837;0,1837;48,1920;96,1837" o:connectangles="0,0,0,0"/>
                </v:shape>
                <w10:wrap anchorx="page"/>
              </v:group>
            </w:pict>
          </mc:Fallback>
        </mc:AlternateContent>
      </w:r>
      <w:r>
        <w:rPr>
          <w:rFonts w:ascii="Segoe UI Symbol"/>
          <w:color w:val="231F20"/>
          <w:w w:val="95"/>
          <w:sz w:val="18"/>
        </w:rPr>
        <w:t>[</w:t>
      </w:r>
      <w:r>
        <w:rPr>
          <w:i/>
          <w:color w:val="231F20"/>
          <w:w w:val="95"/>
          <w:sz w:val="18"/>
        </w:rPr>
        <w:t>of</w:t>
      </w:r>
      <w:r>
        <w:rPr>
          <w:i/>
          <w:color w:val="231F20"/>
          <w:spacing w:val="2"/>
          <w:sz w:val="18"/>
        </w:rPr>
        <w:t xml:space="preserve"> </w:t>
      </w:r>
      <w:r>
        <w:rPr>
          <w:i/>
          <w:color w:val="231F20"/>
          <w:w w:val="95"/>
          <w:sz w:val="18"/>
        </w:rPr>
        <w:t>the</w:t>
      </w:r>
      <w:r>
        <w:rPr>
          <w:i/>
          <w:color w:val="231F20"/>
          <w:spacing w:val="2"/>
          <w:sz w:val="18"/>
        </w:rPr>
        <w:t xml:space="preserve"> </w:t>
      </w:r>
      <w:r>
        <w:rPr>
          <w:i/>
          <w:color w:val="231F20"/>
          <w:w w:val="95"/>
          <w:sz w:val="18"/>
        </w:rPr>
        <w:t>physical</w:t>
      </w:r>
      <w:r>
        <w:rPr>
          <w:i/>
          <w:color w:val="231F20"/>
          <w:spacing w:val="2"/>
          <w:sz w:val="18"/>
        </w:rPr>
        <w:t xml:space="preserve"> </w:t>
      </w:r>
      <w:r>
        <w:rPr>
          <w:i/>
          <w:color w:val="231F20"/>
          <w:spacing w:val="-4"/>
          <w:w w:val="95"/>
          <w:sz w:val="18"/>
        </w:rPr>
        <w:t>attributes</w:t>
      </w:r>
    </w:p>
    <w:p w14:paraId="0BF60396" w14:textId="77777777" w:rsidR="00AE0598" w:rsidRDefault="0069255A">
      <w:pPr>
        <w:spacing w:before="104"/>
        <w:ind w:left="40"/>
        <w:rPr>
          <w:b/>
          <w:sz w:val="18"/>
        </w:rPr>
      </w:pPr>
      <w:r>
        <w:br w:type="column"/>
      </w:r>
      <w:r>
        <w:rPr>
          <w:b/>
          <w:color w:val="231F20"/>
          <w:w w:val="105"/>
          <w:sz w:val="18"/>
        </w:rPr>
        <w:t>The</w:t>
      </w:r>
      <w:r>
        <w:rPr>
          <w:b/>
          <w:color w:val="231F20"/>
          <w:spacing w:val="10"/>
          <w:w w:val="105"/>
          <w:sz w:val="18"/>
        </w:rPr>
        <w:t xml:space="preserve"> </w:t>
      </w:r>
      <w:r>
        <w:rPr>
          <w:b/>
          <w:color w:val="231F20"/>
          <w:w w:val="105"/>
          <w:sz w:val="18"/>
        </w:rPr>
        <w:t>Event</w:t>
      </w:r>
      <w:r>
        <w:rPr>
          <w:b/>
          <w:color w:val="231F20"/>
          <w:spacing w:val="10"/>
          <w:w w:val="105"/>
          <w:sz w:val="18"/>
        </w:rPr>
        <w:t xml:space="preserve"> </w:t>
      </w:r>
      <w:r>
        <w:rPr>
          <w:b/>
          <w:color w:val="231F20"/>
          <w:spacing w:val="-2"/>
          <w:w w:val="105"/>
          <w:sz w:val="18"/>
        </w:rPr>
        <w:t>Organisers</w:t>
      </w:r>
    </w:p>
    <w:p w14:paraId="77F44650" w14:textId="77777777" w:rsidR="00AE0598" w:rsidRDefault="0069255A">
      <w:pPr>
        <w:rPr>
          <w:b/>
        </w:rPr>
      </w:pPr>
      <w:r>
        <w:br w:type="column"/>
      </w:r>
    </w:p>
    <w:p w14:paraId="713A6D6F" w14:textId="77777777" w:rsidR="00AE0598" w:rsidRDefault="0069255A">
      <w:pPr>
        <w:spacing w:before="189" w:line="218" w:lineRule="auto"/>
        <w:ind w:left="598" w:right="1061"/>
        <w:jc w:val="center"/>
        <w:rPr>
          <w:rFonts w:ascii="Segoe UI Symbol"/>
          <w:sz w:val="18"/>
        </w:rPr>
      </w:pPr>
      <w:r>
        <w:rPr>
          <w:rFonts w:ascii="Segoe UI Symbol"/>
          <w:color w:val="231F20"/>
          <w:spacing w:val="-2"/>
          <w:w w:val="95"/>
          <w:sz w:val="18"/>
        </w:rPr>
        <w:t xml:space="preserve">Experience </w:t>
      </w:r>
      <w:r>
        <w:rPr>
          <w:rFonts w:ascii="Segoe UI Symbol"/>
          <w:color w:val="231F20"/>
          <w:spacing w:val="-2"/>
          <w:sz w:val="18"/>
        </w:rPr>
        <w:t>Marketing</w:t>
      </w:r>
    </w:p>
    <w:p w14:paraId="69853D9F" w14:textId="77777777" w:rsidR="00AE0598" w:rsidRDefault="0069255A">
      <w:pPr>
        <w:spacing w:line="218" w:lineRule="exact"/>
        <w:ind w:left="-6" w:right="458"/>
        <w:jc w:val="center"/>
        <w:rPr>
          <w:i/>
          <w:sz w:val="18"/>
        </w:rPr>
      </w:pPr>
      <w:r>
        <w:rPr>
          <w:rFonts w:ascii="Segoe UI Symbol"/>
          <w:color w:val="231F20"/>
          <w:sz w:val="18"/>
        </w:rPr>
        <w:t>[</w:t>
      </w:r>
      <w:r>
        <w:rPr>
          <w:i/>
          <w:color w:val="231F20"/>
          <w:sz w:val="18"/>
        </w:rPr>
        <w:t>of</w:t>
      </w:r>
      <w:r>
        <w:rPr>
          <w:i/>
          <w:color w:val="231F20"/>
          <w:spacing w:val="-10"/>
          <w:sz w:val="18"/>
        </w:rPr>
        <w:t xml:space="preserve"> </w:t>
      </w:r>
      <w:r>
        <w:rPr>
          <w:i/>
          <w:color w:val="231F20"/>
          <w:sz w:val="18"/>
        </w:rPr>
        <w:t>the</w:t>
      </w:r>
      <w:r>
        <w:rPr>
          <w:i/>
          <w:color w:val="231F20"/>
          <w:spacing w:val="-9"/>
          <w:sz w:val="18"/>
        </w:rPr>
        <w:t xml:space="preserve"> </w:t>
      </w:r>
      <w:r>
        <w:rPr>
          <w:i/>
          <w:color w:val="231F20"/>
          <w:sz w:val="18"/>
        </w:rPr>
        <w:t>personality</w:t>
      </w:r>
      <w:r>
        <w:rPr>
          <w:i/>
          <w:color w:val="231F20"/>
          <w:spacing w:val="-10"/>
          <w:sz w:val="18"/>
        </w:rPr>
        <w:t xml:space="preserve"> </w:t>
      </w:r>
      <w:r>
        <w:rPr>
          <w:i/>
          <w:color w:val="231F20"/>
          <w:sz w:val="18"/>
        </w:rPr>
        <w:t>&amp;</w:t>
      </w:r>
      <w:r>
        <w:rPr>
          <w:i/>
          <w:color w:val="231F20"/>
          <w:spacing w:val="-9"/>
          <w:sz w:val="18"/>
        </w:rPr>
        <w:t xml:space="preserve"> </w:t>
      </w:r>
      <w:r>
        <w:rPr>
          <w:i/>
          <w:color w:val="231F20"/>
          <w:spacing w:val="-5"/>
          <w:sz w:val="18"/>
        </w:rPr>
        <w:t>holistic</w:t>
      </w:r>
    </w:p>
    <w:p w14:paraId="3799F82B" w14:textId="77777777" w:rsidR="00AE0598" w:rsidRDefault="00AE0598">
      <w:pPr>
        <w:spacing w:line="218" w:lineRule="exact"/>
        <w:jc w:val="center"/>
        <w:rPr>
          <w:sz w:val="18"/>
        </w:rPr>
        <w:sectPr w:rsidR="00AE0598">
          <w:type w:val="continuous"/>
          <w:pgSz w:w="8850" w:h="13270"/>
          <w:pgMar w:top="1080" w:right="1060" w:bottom="280" w:left="1080" w:header="720" w:footer="720" w:gutter="0"/>
          <w:cols w:num="3" w:space="720" w:equalWidth="0">
            <w:col w:w="2215" w:space="40"/>
            <w:col w:w="1923" w:space="39"/>
            <w:col w:w="2493"/>
          </w:cols>
        </w:sectPr>
      </w:pPr>
    </w:p>
    <w:p w14:paraId="28D269AE" w14:textId="77777777" w:rsidR="00AE0598" w:rsidRDefault="0069255A">
      <w:pPr>
        <w:tabs>
          <w:tab w:val="left" w:pos="4128"/>
        </w:tabs>
        <w:spacing w:line="219" w:lineRule="exact"/>
        <w:ind w:left="357"/>
        <w:rPr>
          <w:rFonts w:ascii="Segoe UI Symbol"/>
          <w:sz w:val="18"/>
        </w:rPr>
      </w:pPr>
      <w:r>
        <w:rPr>
          <w:i/>
          <w:color w:val="231F20"/>
          <w:sz w:val="18"/>
        </w:rPr>
        <w:t>of</w:t>
      </w:r>
      <w:r>
        <w:rPr>
          <w:i/>
          <w:color w:val="231F20"/>
          <w:spacing w:val="-9"/>
          <w:sz w:val="18"/>
        </w:rPr>
        <w:t xml:space="preserve"> </w:t>
      </w:r>
      <w:r>
        <w:rPr>
          <w:i/>
          <w:color w:val="231F20"/>
          <w:sz w:val="18"/>
        </w:rPr>
        <w:t>the</w:t>
      </w:r>
      <w:r>
        <w:rPr>
          <w:i/>
          <w:color w:val="231F20"/>
          <w:spacing w:val="-8"/>
          <w:sz w:val="18"/>
        </w:rPr>
        <w:t xml:space="preserve"> </w:t>
      </w:r>
      <w:r>
        <w:rPr>
          <w:i/>
          <w:color w:val="231F20"/>
          <w:sz w:val="18"/>
        </w:rPr>
        <w:t>event</w:t>
      </w:r>
      <w:r>
        <w:rPr>
          <w:i/>
          <w:color w:val="231F20"/>
          <w:spacing w:val="-8"/>
          <w:sz w:val="18"/>
        </w:rPr>
        <w:t xml:space="preserve"> </w:t>
      </w:r>
      <w:r>
        <w:rPr>
          <w:i/>
          <w:color w:val="231F20"/>
          <w:w w:val="105"/>
          <w:sz w:val="18"/>
        </w:rPr>
        <w:t>&amp;</w:t>
      </w:r>
      <w:r>
        <w:rPr>
          <w:i/>
          <w:color w:val="231F20"/>
          <w:spacing w:val="-11"/>
          <w:w w:val="105"/>
          <w:sz w:val="18"/>
        </w:rPr>
        <w:t xml:space="preserve"> </w:t>
      </w:r>
      <w:r>
        <w:rPr>
          <w:i/>
          <w:color w:val="231F20"/>
          <w:spacing w:val="-2"/>
          <w:sz w:val="18"/>
        </w:rPr>
        <w:t>destination</w:t>
      </w:r>
      <w:r>
        <w:rPr>
          <w:rFonts w:ascii="Segoe UI Symbol"/>
          <w:color w:val="231F20"/>
          <w:spacing w:val="-2"/>
          <w:sz w:val="18"/>
        </w:rPr>
        <w:t>]</w:t>
      </w:r>
      <w:r>
        <w:rPr>
          <w:rFonts w:ascii="Segoe UI Symbol"/>
          <w:color w:val="231F20"/>
          <w:sz w:val="18"/>
        </w:rPr>
        <w:tab/>
      </w:r>
      <w:r>
        <w:rPr>
          <w:i/>
          <w:color w:val="231F20"/>
          <w:w w:val="95"/>
          <w:sz w:val="18"/>
        </w:rPr>
        <w:t>image</w:t>
      </w:r>
      <w:r>
        <w:rPr>
          <w:i/>
          <w:color w:val="231F20"/>
          <w:spacing w:val="-7"/>
          <w:w w:val="95"/>
          <w:sz w:val="18"/>
        </w:rPr>
        <w:t xml:space="preserve"> </w:t>
      </w:r>
      <w:r>
        <w:rPr>
          <w:i/>
          <w:color w:val="231F20"/>
          <w:w w:val="95"/>
          <w:sz w:val="18"/>
        </w:rPr>
        <w:t>of</w:t>
      </w:r>
      <w:r>
        <w:rPr>
          <w:i/>
          <w:color w:val="231F20"/>
          <w:spacing w:val="-6"/>
          <w:w w:val="95"/>
          <w:sz w:val="18"/>
        </w:rPr>
        <w:t xml:space="preserve"> </w:t>
      </w:r>
      <w:r>
        <w:rPr>
          <w:i/>
          <w:color w:val="231F20"/>
          <w:w w:val="95"/>
          <w:sz w:val="18"/>
        </w:rPr>
        <w:t>the</w:t>
      </w:r>
      <w:r>
        <w:rPr>
          <w:i/>
          <w:color w:val="231F20"/>
          <w:spacing w:val="-6"/>
          <w:w w:val="95"/>
          <w:sz w:val="18"/>
        </w:rPr>
        <w:t xml:space="preserve"> </w:t>
      </w:r>
      <w:r>
        <w:rPr>
          <w:i/>
          <w:color w:val="231F20"/>
          <w:spacing w:val="-2"/>
          <w:w w:val="95"/>
          <w:sz w:val="18"/>
        </w:rPr>
        <w:t>event/destination</w:t>
      </w:r>
      <w:r>
        <w:rPr>
          <w:rFonts w:ascii="Segoe UI Symbol"/>
          <w:color w:val="231F20"/>
          <w:spacing w:val="-2"/>
          <w:w w:val="95"/>
          <w:sz w:val="18"/>
        </w:rPr>
        <w:t>]</w:t>
      </w:r>
    </w:p>
    <w:p w14:paraId="2B2D0CCE" w14:textId="77777777" w:rsidR="00AE0598" w:rsidRDefault="00AE0598">
      <w:pPr>
        <w:pStyle w:val="Corpodetexto"/>
        <w:spacing w:before="6"/>
        <w:rPr>
          <w:rFonts w:ascii="Segoe UI Symbol"/>
          <w:sz w:val="18"/>
        </w:rPr>
      </w:pPr>
    </w:p>
    <w:p w14:paraId="7A511772" w14:textId="77777777" w:rsidR="00AE0598" w:rsidRDefault="0069255A">
      <w:pPr>
        <w:spacing w:before="104"/>
        <w:ind w:left="384" w:right="612"/>
        <w:jc w:val="center"/>
        <w:rPr>
          <w:b/>
          <w:sz w:val="18"/>
        </w:rPr>
      </w:pPr>
      <w:r>
        <w:rPr>
          <w:b/>
          <w:color w:val="231F20"/>
          <w:sz w:val="18"/>
        </w:rPr>
        <w:t>Experience</w:t>
      </w:r>
      <w:r>
        <w:rPr>
          <w:b/>
          <w:color w:val="231F20"/>
          <w:spacing w:val="22"/>
          <w:sz w:val="18"/>
        </w:rPr>
        <w:t xml:space="preserve"> </w:t>
      </w:r>
      <w:r>
        <w:rPr>
          <w:b/>
          <w:color w:val="231F20"/>
          <w:spacing w:val="-2"/>
          <w:sz w:val="18"/>
        </w:rPr>
        <w:t>Space</w:t>
      </w:r>
    </w:p>
    <w:p w14:paraId="13FD5DBD" w14:textId="77777777" w:rsidR="00AE0598" w:rsidRDefault="00AE0598">
      <w:pPr>
        <w:pStyle w:val="Corpodetexto"/>
        <w:spacing w:before="8"/>
        <w:rPr>
          <w:b/>
          <w:sz w:val="18"/>
        </w:rPr>
      </w:pPr>
    </w:p>
    <w:p w14:paraId="7A01CFBB" w14:textId="77777777" w:rsidR="00AE0598" w:rsidRDefault="00AE0598">
      <w:pPr>
        <w:rPr>
          <w:sz w:val="18"/>
        </w:rPr>
        <w:sectPr w:rsidR="00AE0598">
          <w:type w:val="continuous"/>
          <w:pgSz w:w="8850" w:h="13270"/>
          <w:pgMar w:top="1080" w:right="1060" w:bottom="280" w:left="1080" w:header="720" w:footer="720" w:gutter="0"/>
          <w:cols w:space="720"/>
        </w:sectPr>
      </w:pPr>
    </w:p>
    <w:p w14:paraId="328B425A" w14:textId="77777777" w:rsidR="00AE0598" w:rsidRDefault="0069255A">
      <w:pPr>
        <w:spacing w:before="98" w:line="218" w:lineRule="auto"/>
        <w:ind w:left="574" w:firstLine="200"/>
        <w:rPr>
          <w:rFonts w:ascii="Segoe UI Symbol"/>
          <w:sz w:val="18"/>
        </w:rPr>
      </w:pPr>
      <w:r>
        <w:rPr>
          <w:rFonts w:ascii="Segoe UI Symbol"/>
          <w:color w:val="231F20"/>
          <w:spacing w:val="-2"/>
          <w:sz w:val="18"/>
        </w:rPr>
        <w:t>Social interaction</w:t>
      </w:r>
    </w:p>
    <w:p w14:paraId="237D55A2" w14:textId="77777777" w:rsidR="00AE0598" w:rsidRDefault="0069255A">
      <w:pPr>
        <w:spacing w:before="165" w:line="657" w:lineRule="auto"/>
        <w:ind w:left="846" w:hanging="273"/>
        <w:rPr>
          <w:i/>
          <w:sz w:val="18"/>
        </w:rPr>
      </w:pPr>
      <w:r>
        <w:br w:type="column"/>
      </w:r>
      <w:r>
        <w:rPr>
          <w:i/>
          <w:color w:val="231F20"/>
          <w:spacing w:val="-2"/>
          <w:w w:val="95"/>
          <w:sz w:val="18"/>
        </w:rPr>
        <w:t>Co-Creation</w:t>
      </w:r>
      <w:r>
        <w:rPr>
          <w:i/>
          <w:color w:val="231F20"/>
          <w:spacing w:val="40"/>
          <w:sz w:val="18"/>
        </w:rPr>
        <w:t xml:space="preserve"> </w:t>
      </w:r>
      <w:r>
        <w:rPr>
          <w:i/>
          <w:color w:val="231F20"/>
          <w:spacing w:val="-4"/>
          <w:sz w:val="18"/>
        </w:rPr>
        <w:t>Flow</w:t>
      </w:r>
    </w:p>
    <w:p w14:paraId="1A4AE0A6" w14:textId="77777777" w:rsidR="00AE0598" w:rsidRDefault="0069255A">
      <w:pPr>
        <w:spacing w:before="98" w:line="218" w:lineRule="auto"/>
        <w:ind w:left="574" w:right="116" w:firstLine="100"/>
        <w:rPr>
          <w:rFonts w:ascii="Segoe UI Symbol"/>
          <w:sz w:val="18"/>
        </w:rPr>
      </w:pPr>
      <w:r>
        <w:br w:type="column"/>
      </w:r>
      <w:r>
        <w:rPr>
          <w:rFonts w:ascii="Segoe UI Symbol"/>
          <w:color w:val="231F20"/>
          <w:spacing w:val="-2"/>
          <w:w w:val="105"/>
          <w:sz w:val="18"/>
        </w:rPr>
        <w:t xml:space="preserve">Cultural </w:t>
      </w:r>
      <w:r>
        <w:rPr>
          <w:rFonts w:ascii="Segoe UI Symbol"/>
          <w:color w:val="231F20"/>
          <w:spacing w:val="-2"/>
          <w:sz w:val="18"/>
        </w:rPr>
        <w:t>interaction</w:t>
      </w:r>
    </w:p>
    <w:p w14:paraId="45990E01" w14:textId="77777777" w:rsidR="00AE0598" w:rsidRDefault="00AE0598">
      <w:pPr>
        <w:spacing w:line="218" w:lineRule="auto"/>
        <w:rPr>
          <w:rFonts w:ascii="Segoe UI Symbol"/>
          <w:sz w:val="18"/>
        </w:rPr>
        <w:sectPr w:rsidR="00AE0598">
          <w:type w:val="continuous"/>
          <w:pgSz w:w="8850" w:h="13270"/>
          <w:pgMar w:top="1080" w:right="1060" w:bottom="280" w:left="1080" w:header="720" w:footer="720" w:gutter="0"/>
          <w:cols w:num="3" w:space="720" w:equalWidth="0">
            <w:col w:w="1472" w:space="750"/>
            <w:col w:w="1494" w:space="763"/>
            <w:col w:w="2231"/>
          </w:cols>
        </w:sectPr>
      </w:pPr>
    </w:p>
    <w:p w14:paraId="1BBB2411" w14:textId="77777777" w:rsidR="00AE0598" w:rsidRDefault="0069255A">
      <w:pPr>
        <w:spacing w:before="5" w:line="218" w:lineRule="auto"/>
        <w:ind w:left="1598" w:firstLine="135"/>
        <w:rPr>
          <w:rFonts w:ascii="Segoe UI Symbol"/>
          <w:sz w:val="18"/>
        </w:rPr>
      </w:pPr>
      <w:r>
        <w:rPr>
          <w:rFonts w:ascii="Segoe UI Symbol"/>
          <w:color w:val="231F20"/>
          <w:spacing w:val="-2"/>
          <w:sz w:val="18"/>
        </w:rPr>
        <w:t>Social identities</w:t>
      </w:r>
    </w:p>
    <w:p w14:paraId="756362A2" w14:textId="77777777" w:rsidR="00AE0598" w:rsidRDefault="0069255A">
      <w:pPr>
        <w:rPr>
          <w:rFonts w:ascii="Segoe UI Symbol"/>
        </w:rPr>
      </w:pPr>
      <w:r>
        <w:br w:type="column"/>
      </w:r>
    </w:p>
    <w:p w14:paraId="00CBE57B" w14:textId="77777777" w:rsidR="00AE0598" w:rsidRDefault="00AE0598">
      <w:pPr>
        <w:pStyle w:val="Corpodetexto"/>
        <w:spacing w:before="3"/>
        <w:rPr>
          <w:rFonts w:ascii="Segoe UI Symbol"/>
          <w:sz w:val="15"/>
        </w:rPr>
      </w:pPr>
    </w:p>
    <w:p w14:paraId="292F4047" w14:textId="77777777" w:rsidR="00AE0598" w:rsidRDefault="0069255A">
      <w:pPr>
        <w:spacing w:line="218" w:lineRule="auto"/>
        <w:ind w:left="339" w:right="317"/>
        <w:jc w:val="center"/>
        <w:rPr>
          <w:rFonts w:ascii="Segoe UI Symbol"/>
          <w:sz w:val="18"/>
        </w:rPr>
      </w:pPr>
      <w:r>
        <w:rPr>
          <w:rFonts w:ascii="Segoe UI Symbol"/>
          <w:color w:val="231F20"/>
          <w:spacing w:val="-2"/>
          <w:w w:val="95"/>
          <w:sz w:val="18"/>
        </w:rPr>
        <w:t xml:space="preserve">Achievements </w:t>
      </w:r>
      <w:r>
        <w:rPr>
          <w:rFonts w:ascii="Segoe UI Symbol"/>
          <w:color w:val="231F20"/>
          <w:sz w:val="18"/>
        </w:rPr>
        <w:t xml:space="preserve">and hedonic </w:t>
      </w:r>
      <w:r>
        <w:rPr>
          <w:rFonts w:ascii="Segoe UI Symbol"/>
          <w:color w:val="231F20"/>
          <w:spacing w:val="-2"/>
          <w:sz w:val="18"/>
        </w:rPr>
        <w:t>pleasures</w:t>
      </w:r>
    </w:p>
    <w:p w14:paraId="14C1BE29" w14:textId="77777777" w:rsidR="00AE0598" w:rsidRDefault="0069255A">
      <w:pPr>
        <w:spacing w:before="190"/>
        <w:ind w:left="18"/>
        <w:jc w:val="center"/>
        <w:rPr>
          <w:b/>
          <w:sz w:val="18"/>
        </w:rPr>
      </w:pPr>
      <w:r>
        <w:rPr>
          <w:b/>
          <w:color w:val="231F20"/>
          <w:w w:val="105"/>
          <w:sz w:val="18"/>
        </w:rPr>
        <w:t>The</w:t>
      </w:r>
      <w:r>
        <w:rPr>
          <w:b/>
          <w:color w:val="231F20"/>
          <w:spacing w:val="9"/>
          <w:w w:val="105"/>
          <w:sz w:val="18"/>
        </w:rPr>
        <w:t xml:space="preserve"> </w:t>
      </w:r>
      <w:r>
        <w:rPr>
          <w:b/>
          <w:color w:val="231F20"/>
          <w:w w:val="105"/>
          <w:sz w:val="18"/>
        </w:rPr>
        <w:t>Sports</w:t>
      </w:r>
      <w:r>
        <w:rPr>
          <w:b/>
          <w:color w:val="231F20"/>
          <w:spacing w:val="10"/>
          <w:w w:val="105"/>
          <w:sz w:val="18"/>
        </w:rPr>
        <w:t xml:space="preserve"> </w:t>
      </w:r>
      <w:r>
        <w:rPr>
          <w:b/>
          <w:color w:val="231F20"/>
          <w:spacing w:val="-5"/>
          <w:w w:val="105"/>
          <w:sz w:val="18"/>
        </w:rPr>
        <w:t>Tourists</w:t>
      </w:r>
    </w:p>
    <w:p w14:paraId="67A8EC1E" w14:textId="77777777" w:rsidR="00AE0598" w:rsidRDefault="0069255A">
      <w:pPr>
        <w:spacing w:before="5" w:line="218" w:lineRule="auto"/>
        <w:ind w:left="69" w:right="1099" w:firstLine="55"/>
        <w:rPr>
          <w:rFonts w:ascii="Segoe UI Symbol"/>
          <w:sz w:val="18"/>
        </w:rPr>
      </w:pPr>
      <w:r>
        <w:br w:type="column"/>
      </w:r>
      <w:r>
        <w:rPr>
          <w:rFonts w:ascii="Segoe UI Symbol"/>
          <w:color w:val="231F20"/>
          <w:spacing w:val="-2"/>
          <w:sz w:val="18"/>
        </w:rPr>
        <w:t xml:space="preserve">Personal </w:t>
      </w:r>
      <w:r>
        <w:rPr>
          <w:rFonts w:ascii="Segoe UI Symbol"/>
          <w:color w:val="231F20"/>
          <w:spacing w:val="-2"/>
          <w:w w:val="95"/>
          <w:sz w:val="18"/>
        </w:rPr>
        <w:t>meanings</w:t>
      </w:r>
    </w:p>
    <w:p w14:paraId="56772C74" w14:textId="77777777" w:rsidR="00AE0598" w:rsidRDefault="00AE0598">
      <w:pPr>
        <w:spacing w:line="218" w:lineRule="auto"/>
        <w:rPr>
          <w:rFonts w:ascii="Segoe UI Symbol"/>
          <w:sz w:val="18"/>
        </w:rPr>
        <w:sectPr w:rsidR="00AE0598">
          <w:type w:val="continuous"/>
          <w:pgSz w:w="8850" w:h="13270"/>
          <w:pgMar w:top="1080" w:right="1060" w:bottom="280" w:left="1080" w:header="720" w:footer="720" w:gutter="0"/>
          <w:cols w:num="3" w:space="720" w:equalWidth="0">
            <w:col w:w="2326" w:space="40"/>
            <w:col w:w="1725" w:space="39"/>
            <w:col w:w="2580"/>
          </w:cols>
        </w:sectPr>
      </w:pPr>
    </w:p>
    <w:p w14:paraId="34F12F5D" w14:textId="77777777" w:rsidR="00AE0598" w:rsidRDefault="00AE0598">
      <w:pPr>
        <w:pStyle w:val="Corpodetexto"/>
        <w:rPr>
          <w:rFonts w:ascii="Segoe UI Symbol"/>
          <w:sz w:val="11"/>
        </w:rPr>
      </w:pPr>
    </w:p>
    <w:p w14:paraId="23B2D8BB" w14:textId="77777777" w:rsidR="00AE0598" w:rsidRDefault="0069255A">
      <w:pPr>
        <w:spacing w:before="100"/>
        <w:ind w:left="110"/>
        <w:rPr>
          <w:rFonts w:ascii="Trebuchet MS"/>
          <w:sz w:val="14"/>
        </w:rPr>
      </w:pPr>
      <w:r>
        <w:rPr>
          <w:rFonts w:ascii="Trebuchet MS"/>
          <w:b/>
          <w:color w:val="231F20"/>
          <w:sz w:val="14"/>
        </w:rPr>
        <w:t>Figure</w:t>
      </w:r>
      <w:r>
        <w:rPr>
          <w:rFonts w:ascii="Trebuchet MS"/>
          <w:b/>
          <w:color w:val="231F20"/>
          <w:spacing w:val="7"/>
          <w:sz w:val="14"/>
        </w:rPr>
        <w:t xml:space="preserve"> </w:t>
      </w:r>
      <w:r>
        <w:rPr>
          <w:rFonts w:ascii="Trebuchet MS"/>
          <w:b/>
          <w:color w:val="231F20"/>
          <w:sz w:val="14"/>
        </w:rPr>
        <w:t>8.1</w:t>
      </w:r>
      <w:r>
        <w:rPr>
          <w:rFonts w:ascii="Trebuchet MS"/>
          <w:b/>
          <w:color w:val="231F20"/>
          <w:spacing w:val="48"/>
          <w:sz w:val="14"/>
        </w:rPr>
        <w:t xml:space="preserve"> </w:t>
      </w:r>
      <w:r>
        <w:rPr>
          <w:rFonts w:ascii="Trebuchet MS"/>
          <w:color w:val="231F20"/>
          <w:sz w:val="14"/>
        </w:rPr>
        <w:t>The</w:t>
      </w:r>
      <w:r>
        <w:rPr>
          <w:rFonts w:ascii="Trebuchet MS"/>
          <w:color w:val="231F20"/>
          <w:spacing w:val="8"/>
          <w:sz w:val="14"/>
        </w:rPr>
        <w:t xml:space="preserve"> </w:t>
      </w:r>
      <w:r>
        <w:rPr>
          <w:rFonts w:ascii="Trebuchet MS"/>
          <w:color w:val="231F20"/>
          <w:sz w:val="14"/>
        </w:rPr>
        <w:t>experience</w:t>
      </w:r>
      <w:r>
        <w:rPr>
          <w:rFonts w:ascii="Trebuchet MS"/>
          <w:color w:val="231F20"/>
          <w:spacing w:val="7"/>
          <w:sz w:val="14"/>
        </w:rPr>
        <w:t xml:space="preserve"> </w:t>
      </w:r>
      <w:r>
        <w:rPr>
          <w:rFonts w:ascii="Trebuchet MS"/>
          <w:color w:val="231F20"/>
          <w:sz w:val="14"/>
        </w:rPr>
        <w:t>space</w:t>
      </w:r>
      <w:r>
        <w:rPr>
          <w:rFonts w:ascii="Trebuchet MS"/>
          <w:color w:val="231F20"/>
          <w:spacing w:val="8"/>
          <w:sz w:val="14"/>
        </w:rPr>
        <w:t xml:space="preserve"> </w:t>
      </w:r>
      <w:r>
        <w:rPr>
          <w:rFonts w:ascii="Trebuchet MS"/>
          <w:color w:val="231F20"/>
          <w:sz w:val="14"/>
        </w:rPr>
        <w:t>(Source:</w:t>
      </w:r>
      <w:r>
        <w:rPr>
          <w:rFonts w:ascii="Trebuchet MS"/>
          <w:color w:val="231F20"/>
          <w:spacing w:val="7"/>
          <w:sz w:val="14"/>
        </w:rPr>
        <w:t xml:space="preserve"> </w:t>
      </w:r>
      <w:r>
        <w:rPr>
          <w:rFonts w:ascii="Trebuchet MS"/>
          <w:color w:val="231F20"/>
          <w:sz w:val="14"/>
        </w:rPr>
        <w:t>Morgan,</w:t>
      </w:r>
      <w:r>
        <w:rPr>
          <w:rFonts w:ascii="Trebuchet MS"/>
          <w:color w:val="231F20"/>
          <w:spacing w:val="8"/>
          <w:sz w:val="14"/>
        </w:rPr>
        <w:t xml:space="preserve"> </w:t>
      </w:r>
      <w:r>
        <w:rPr>
          <w:rFonts w:ascii="Trebuchet MS"/>
          <w:color w:val="231F20"/>
          <w:sz w:val="14"/>
        </w:rPr>
        <w:t>2007:</w:t>
      </w:r>
      <w:r>
        <w:rPr>
          <w:rFonts w:ascii="Trebuchet MS"/>
          <w:color w:val="231F20"/>
          <w:spacing w:val="7"/>
          <w:sz w:val="14"/>
        </w:rPr>
        <w:t xml:space="preserve"> </w:t>
      </w:r>
      <w:r>
        <w:rPr>
          <w:rFonts w:ascii="Trebuchet MS"/>
          <w:color w:val="231F20"/>
          <w:spacing w:val="-4"/>
          <w:sz w:val="14"/>
        </w:rPr>
        <w:t>362)</w:t>
      </w:r>
    </w:p>
    <w:p w14:paraId="1F313E86" w14:textId="77777777" w:rsidR="00AE0598" w:rsidRDefault="00AE0598">
      <w:pPr>
        <w:pStyle w:val="Corpodetexto"/>
        <w:spacing w:before="9"/>
        <w:rPr>
          <w:rFonts w:ascii="Trebuchet MS"/>
          <w:sz w:val="17"/>
        </w:rPr>
      </w:pPr>
    </w:p>
    <w:p w14:paraId="3F38642F" w14:textId="77777777" w:rsidR="00AE0598" w:rsidRDefault="0069255A">
      <w:pPr>
        <w:pStyle w:val="Corpodetexto"/>
        <w:spacing w:line="232" w:lineRule="auto"/>
        <w:ind w:left="110" w:right="126" w:firstLine="320"/>
        <w:jc w:val="both"/>
      </w:pPr>
      <w:r>
        <w:rPr>
          <w:color w:val="231F20"/>
        </w:rPr>
        <w:t xml:space="preserve">Morgan (2007) highlights three internal elements of the spectator </w:t>
      </w:r>
      <w:r>
        <w:rPr>
          <w:color w:val="231F20"/>
          <w:w w:val="95"/>
        </w:rPr>
        <w:t>experience.</w:t>
      </w:r>
      <w:r>
        <w:rPr>
          <w:color w:val="231F20"/>
          <w:spacing w:val="-1"/>
          <w:w w:val="95"/>
        </w:rPr>
        <w:t xml:space="preserve"> </w:t>
      </w:r>
      <w:r>
        <w:rPr>
          <w:color w:val="231F20"/>
          <w:w w:val="95"/>
        </w:rPr>
        <w:t>The</w:t>
      </w:r>
      <w:r>
        <w:rPr>
          <w:color w:val="231F20"/>
          <w:spacing w:val="-1"/>
          <w:w w:val="95"/>
        </w:rPr>
        <w:t xml:space="preserve"> </w:t>
      </w:r>
      <w:r>
        <w:rPr>
          <w:color w:val="231F20"/>
          <w:w w:val="95"/>
        </w:rPr>
        <w:t>first</w:t>
      </w:r>
      <w:r>
        <w:rPr>
          <w:color w:val="231F20"/>
          <w:spacing w:val="-1"/>
          <w:w w:val="95"/>
        </w:rPr>
        <w:t xml:space="preserve"> </w:t>
      </w:r>
      <w:r>
        <w:rPr>
          <w:color w:val="231F20"/>
          <w:w w:val="95"/>
        </w:rPr>
        <w:t>relates</w:t>
      </w:r>
      <w:r>
        <w:rPr>
          <w:color w:val="231F20"/>
          <w:spacing w:val="-1"/>
          <w:w w:val="95"/>
        </w:rPr>
        <w:t xml:space="preserve"> </w:t>
      </w:r>
      <w:r>
        <w:rPr>
          <w:color w:val="231F20"/>
          <w:w w:val="95"/>
        </w:rPr>
        <w:t>to</w:t>
      </w:r>
      <w:r>
        <w:rPr>
          <w:color w:val="231F20"/>
          <w:spacing w:val="-1"/>
          <w:w w:val="95"/>
        </w:rPr>
        <w:t xml:space="preserve"> </w:t>
      </w:r>
      <w:r>
        <w:rPr>
          <w:color w:val="231F20"/>
          <w:w w:val="95"/>
        </w:rPr>
        <w:t>the</w:t>
      </w:r>
      <w:r>
        <w:rPr>
          <w:color w:val="231F20"/>
          <w:spacing w:val="-1"/>
          <w:w w:val="95"/>
        </w:rPr>
        <w:t xml:space="preserve"> </w:t>
      </w:r>
      <w:r>
        <w:rPr>
          <w:color w:val="231F20"/>
          <w:w w:val="95"/>
        </w:rPr>
        <w:t>personal</w:t>
      </w:r>
      <w:r>
        <w:rPr>
          <w:color w:val="231F20"/>
          <w:spacing w:val="-1"/>
          <w:w w:val="95"/>
        </w:rPr>
        <w:t xml:space="preserve"> </w:t>
      </w:r>
      <w:r>
        <w:rPr>
          <w:color w:val="231F20"/>
          <w:w w:val="95"/>
        </w:rPr>
        <w:t>benefits</w:t>
      </w:r>
      <w:r>
        <w:rPr>
          <w:color w:val="231F20"/>
          <w:spacing w:val="-1"/>
          <w:w w:val="95"/>
        </w:rPr>
        <w:t xml:space="preserve"> </w:t>
      </w:r>
      <w:r>
        <w:rPr>
          <w:color w:val="231F20"/>
          <w:w w:val="95"/>
        </w:rPr>
        <w:t>of</w:t>
      </w:r>
      <w:r>
        <w:rPr>
          <w:color w:val="231F20"/>
          <w:spacing w:val="-1"/>
          <w:w w:val="95"/>
        </w:rPr>
        <w:t xml:space="preserve"> </w:t>
      </w:r>
      <w:r>
        <w:rPr>
          <w:i/>
          <w:color w:val="231F20"/>
          <w:w w:val="95"/>
        </w:rPr>
        <w:t>hedonistic</w:t>
      </w:r>
      <w:r>
        <w:rPr>
          <w:i/>
          <w:color w:val="231F20"/>
          <w:spacing w:val="-1"/>
          <w:w w:val="95"/>
        </w:rPr>
        <w:t xml:space="preserve"> </w:t>
      </w:r>
      <w:r>
        <w:rPr>
          <w:i/>
          <w:color w:val="231F20"/>
          <w:w w:val="95"/>
        </w:rPr>
        <w:t xml:space="preserve">enjoyment </w:t>
      </w:r>
      <w:r>
        <w:rPr>
          <w:i/>
          <w:color w:val="231F20"/>
        </w:rPr>
        <w:t>and achievement</w:t>
      </w:r>
      <w:r>
        <w:rPr>
          <w:color w:val="231F20"/>
        </w:rPr>
        <w:t xml:space="preserve">. Novelty, impulse, entertainment and surprise are </w:t>
      </w:r>
      <w:r>
        <w:rPr>
          <w:color w:val="231F20"/>
          <w:w w:val="95"/>
        </w:rPr>
        <w:t xml:space="preserve">essential elements of experience that can be </w:t>
      </w:r>
      <w:r>
        <w:rPr>
          <w:color w:val="231F20"/>
          <w:w w:val="95"/>
        </w:rPr>
        <w:t>achieved in the tourist space.</w:t>
      </w:r>
      <w:r>
        <w:rPr>
          <w:color w:val="231F20"/>
          <w:spacing w:val="40"/>
        </w:rPr>
        <w:t xml:space="preserve"> </w:t>
      </w:r>
      <w:r>
        <w:rPr>
          <w:color w:val="231F20"/>
        </w:rPr>
        <w:t xml:space="preserve">So too, according to Morgan (2007), is total absorption in an activity, </w:t>
      </w:r>
      <w:r>
        <w:rPr>
          <w:color w:val="231F20"/>
          <w:w w:val="95"/>
        </w:rPr>
        <w:t xml:space="preserve">which can give rise to the elevated state of ‘flow’ (Csikszentmihalyi, 1992) </w:t>
      </w:r>
      <w:r>
        <w:rPr>
          <w:color w:val="231F20"/>
        </w:rPr>
        <w:t>(see</w:t>
      </w:r>
      <w:r>
        <w:rPr>
          <w:color w:val="231F20"/>
          <w:spacing w:val="-10"/>
        </w:rPr>
        <w:t xml:space="preserve"> </w:t>
      </w:r>
      <w:r>
        <w:rPr>
          <w:color w:val="231F20"/>
        </w:rPr>
        <w:t>Figure</w:t>
      </w:r>
      <w:r>
        <w:rPr>
          <w:color w:val="231F20"/>
          <w:spacing w:val="-10"/>
        </w:rPr>
        <w:t xml:space="preserve"> </w:t>
      </w:r>
      <w:r>
        <w:rPr>
          <w:color w:val="231F20"/>
        </w:rPr>
        <w:t>8.1).</w:t>
      </w:r>
      <w:r>
        <w:rPr>
          <w:color w:val="231F20"/>
          <w:spacing w:val="-10"/>
        </w:rPr>
        <w:t xml:space="preserve"> </w:t>
      </w:r>
      <w:r>
        <w:rPr>
          <w:color w:val="231F20"/>
        </w:rPr>
        <w:t>The</w:t>
      </w:r>
      <w:r>
        <w:rPr>
          <w:color w:val="231F20"/>
          <w:spacing w:val="-10"/>
        </w:rPr>
        <w:t xml:space="preserve"> </w:t>
      </w:r>
      <w:r>
        <w:rPr>
          <w:color w:val="231F20"/>
        </w:rPr>
        <w:t>second</w:t>
      </w:r>
      <w:r>
        <w:rPr>
          <w:color w:val="231F20"/>
          <w:spacing w:val="-10"/>
        </w:rPr>
        <w:t xml:space="preserve"> </w:t>
      </w:r>
      <w:r>
        <w:rPr>
          <w:color w:val="231F20"/>
        </w:rPr>
        <w:t>is</w:t>
      </w:r>
      <w:r>
        <w:rPr>
          <w:color w:val="231F20"/>
          <w:spacing w:val="-10"/>
        </w:rPr>
        <w:t xml:space="preserve"> </w:t>
      </w:r>
      <w:r>
        <w:rPr>
          <w:i/>
          <w:color w:val="231F20"/>
        </w:rPr>
        <w:t>social</w:t>
      </w:r>
      <w:r>
        <w:rPr>
          <w:i/>
          <w:color w:val="231F20"/>
          <w:spacing w:val="-10"/>
        </w:rPr>
        <w:t xml:space="preserve"> </w:t>
      </w:r>
      <w:r>
        <w:rPr>
          <w:i/>
          <w:color w:val="231F20"/>
        </w:rPr>
        <w:t>interactions</w:t>
      </w:r>
      <w:r>
        <w:rPr>
          <w:color w:val="231F20"/>
        </w:rPr>
        <w:t>,</w:t>
      </w:r>
      <w:r>
        <w:rPr>
          <w:color w:val="231F20"/>
          <w:spacing w:val="-10"/>
        </w:rPr>
        <w:t xml:space="preserve"> </w:t>
      </w:r>
      <w:r>
        <w:rPr>
          <w:color w:val="231F20"/>
        </w:rPr>
        <w:t>which</w:t>
      </w:r>
      <w:r>
        <w:rPr>
          <w:color w:val="231F20"/>
          <w:spacing w:val="-10"/>
        </w:rPr>
        <w:t xml:space="preserve"> </w:t>
      </w:r>
      <w:r>
        <w:rPr>
          <w:color w:val="231F20"/>
        </w:rPr>
        <w:t>lie</w:t>
      </w:r>
      <w:r>
        <w:rPr>
          <w:color w:val="231F20"/>
          <w:spacing w:val="-10"/>
        </w:rPr>
        <w:t xml:space="preserve"> </w:t>
      </w:r>
      <w:r>
        <w:rPr>
          <w:color w:val="231F20"/>
        </w:rPr>
        <w:t>at</w:t>
      </w:r>
      <w:r>
        <w:rPr>
          <w:color w:val="231F20"/>
          <w:spacing w:val="-10"/>
        </w:rPr>
        <w:t xml:space="preserve"> </w:t>
      </w:r>
      <w:r>
        <w:rPr>
          <w:color w:val="231F20"/>
        </w:rPr>
        <w:t>the</w:t>
      </w:r>
      <w:r>
        <w:rPr>
          <w:color w:val="231F20"/>
          <w:spacing w:val="-10"/>
        </w:rPr>
        <w:t xml:space="preserve"> </w:t>
      </w:r>
      <w:r>
        <w:rPr>
          <w:color w:val="231F20"/>
        </w:rPr>
        <w:t>heart</w:t>
      </w:r>
      <w:r>
        <w:rPr>
          <w:color w:val="231F20"/>
          <w:spacing w:val="-10"/>
        </w:rPr>
        <w:t xml:space="preserve"> </w:t>
      </w:r>
      <w:r>
        <w:rPr>
          <w:color w:val="231F20"/>
        </w:rPr>
        <w:t>of the</w:t>
      </w:r>
      <w:r>
        <w:rPr>
          <w:color w:val="231F20"/>
          <w:spacing w:val="-7"/>
        </w:rPr>
        <w:t xml:space="preserve"> </w:t>
      </w:r>
      <w:r>
        <w:rPr>
          <w:color w:val="231F20"/>
        </w:rPr>
        <w:t>intense</w:t>
      </w:r>
      <w:r>
        <w:rPr>
          <w:color w:val="231F20"/>
          <w:spacing w:val="-7"/>
        </w:rPr>
        <w:t xml:space="preserve"> </w:t>
      </w:r>
      <w:r>
        <w:rPr>
          <w:color w:val="231F20"/>
        </w:rPr>
        <w:t>collective</w:t>
      </w:r>
      <w:r>
        <w:rPr>
          <w:color w:val="231F20"/>
          <w:spacing w:val="-7"/>
        </w:rPr>
        <w:t xml:space="preserve"> </w:t>
      </w:r>
      <w:r>
        <w:rPr>
          <w:color w:val="231F20"/>
        </w:rPr>
        <w:t>experiences</w:t>
      </w:r>
      <w:r>
        <w:rPr>
          <w:color w:val="231F20"/>
          <w:spacing w:val="-7"/>
        </w:rPr>
        <w:t xml:space="preserve"> </w:t>
      </w:r>
      <w:r>
        <w:rPr>
          <w:color w:val="231F20"/>
        </w:rPr>
        <w:t>of</w:t>
      </w:r>
      <w:r>
        <w:rPr>
          <w:color w:val="231F20"/>
          <w:spacing w:val="-7"/>
        </w:rPr>
        <w:t xml:space="preserve"> </w:t>
      </w:r>
      <w:r>
        <w:rPr>
          <w:color w:val="231F20"/>
        </w:rPr>
        <w:t>spectator</w:t>
      </w:r>
      <w:r>
        <w:rPr>
          <w:color w:val="231F20"/>
          <w:spacing w:val="-7"/>
        </w:rPr>
        <w:t xml:space="preserve"> </w:t>
      </w:r>
      <w:r>
        <w:rPr>
          <w:color w:val="231F20"/>
        </w:rPr>
        <w:t>sports.</w:t>
      </w:r>
      <w:r>
        <w:rPr>
          <w:color w:val="231F20"/>
          <w:spacing w:val="-7"/>
        </w:rPr>
        <w:t xml:space="preserve"> </w:t>
      </w:r>
      <w:r>
        <w:rPr>
          <w:color w:val="231F20"/>
        </w:rPr>
        <w:t>These</w:t>
      </w:r>
      <w:r>
        <w:rPr>
          <w:color w:val="231F20"/>
          <w:spacing w:val="-7"/>
        </w:rPr>
        <w:t xml:space="preserve"> </w:t>
      </w:r>
      <w:r>
        <w:rPr>
          <w:color w:val="231F20"/>
        </w:rPr>
        <w:t>interactions provide</w:t>
      </w:r>
      <w:r>
        <w:rPr>
          <w:color w:val="231F20"/>
          <w:spacing w:val="-7"/>
        </w:rPr>
        <w:t xml:space="preserve"> </w:t>
      </w:r>
      <w:r>
        <w:rPr>
          <w:color w:val="231F20"/>
        </w:rPr>
        <w:t>a</w:t>
      </w:r>
      <w:r>
        <w:rPr>
          <w:color w:val="231F20"/>
          <w:spacing w:val="-7"/>
        </w:rPr>
        <w:t xml:space="preserve"> </w:t>
      </w:r>
      <w:r>
        <w:rPr>
          <w:color w:val="231F20"/>
        </w:rPr>
        <w:t>setting</w:t>
      </w:r>
      <w:r>
        <w:rPr>
          <w:color w:val="231F20"/>
          <w:spacing w:val="-7"/>
        </w:rPr>
        <w:t xml:space="preserve"> </w:t>
      </w:r>
      <w:r>
        <w:rPr>
          <w:color w:val="231F20"/>
        </w:rPr>
        <w:t>in</w:t>
      </w:r>
      <w:r>
        <w:rPr>
          <w:color w:val="231F20"/>
          <w:spacing w:val="-7"/>
        </w:rPr>
        <w:t xml:space="preserve"> </w:t>
      </w:r>
      <w:r>
        <w:rPr>
          <w:color w:val="231F20"/>
        </w:rPr>
        <w:t>which</w:t>
      </w:r>
      <w:r>
        <w:rPr>
          <w:color w:val="231F20"/>
          <w:spacing w:val="-7"/>
        </w:rPr>
        <w:t xml:space="preserve"> </w:t>
      </w:r>
      <w:r>
        <w:rPr>
          <w:color w:val="231F20"/>
        </w:rPr>
        <w:t>individual</w:t>
      </w:r>
      <w:r>
        <w:rPr>
          <w:color w:val="231F20"/>
          <w:spacing w:val="-7"/>
        </w:rPr>
        <w:t xml:space="preserve"> </w:t>
      </w:r>
      <w:r>
        <w:rPr>
          <w:color w:val="231F20"/>
        </w:rPr>
        <w:t>and</w:t>
      </w:r>
      <w:r>
        <w:rPr>
          <w:color w:val="231F20"/>
          <w:spacing w:val="-7"/>
        </w:rPr>
        <w:t xml:space="preserve"> </w:t>
      </w:r>
      <w:r>
        <w:rPr>
          <w:color w:val="231F20"/>
        </w:rPr>
        <w:t>social</w:t>
      </w:r>
      <w:r>
        <w:rPr>
          <w:color w:val="231F20"/>
          <w:spacing w:val="-7"/>
        </w:rPr>
        <w:t xml:space="preserve"> </w:t>
      </w:r>
      <w:r>
        <w:rPr>
          <w:color w:val="231F20"/>
        </w:rPr>
        <w:t>identities</w:t>
      </w:r>
      <w:r>
        <w:rPr>
          <w:color w:val="231F20"/>
          <w:spacing w:val="-7"/>
        </w:rPr>
        <w:t xml:space="preserve"> </w:t>
      </w:r>
      <w:r>
        <w:rPr>
          <w:color w:val="231F20"/>
        </w:rPr>
        <w:t>are</w:t>
      </w:r>
      <w:r>
        <w:rPr>
          <w:color w:val="231F20"/>
          <w:spacing w:val="-7"/>
        </w:rPr>
        <w:t xml:space="preserve"> </w:t>
      </w:r>
      <w:r>
        <w:rPr>
          <w:color w:val="231F20"/>
        </w:rPr>
        <w:t>forged,</w:t>
      </w:r>
      <w:r>
        <w:rPr>
          <w:color w:val="231F20"/>
          <w:spacing w:val="-7"/>
        </w:rPr>
        <w:t xml:space="preserve"> </w:t>
      </w:r>
      <w:r>
        <w:rPr>
          <w:color w:val="231F20"/>
        </w:rPr>
        <w:t xml:space="preserve">and </w:t>
      </w:r>
      <w:r>
        <w:rPr>
          <w:color w:val="231F20"/>
          <w:w w:val="95"/>
        </w:rPr>
        <w:t xml:space="preserve">where social and environmental circumstances may give rise to a sense of </w:t>
      </w:r>
      <w:r>
        <w:rPr>
          <w:color w:val="231F20"/>
        </w:rPr>
        <w:t>group identity or ‘comm</w:t>
      </w:r>
      <w:r>
        <w:rPr>
          <w:color w:val="231F20"/>
        </w:rPr>
        <w:t xml:space="preserve">unitas’ (Chalip, 2006; Hinch &amp; Higham, 2004; </w:t>
      </w:r>
      <w:r>
        <w:rPr>
          <w:color w:val="231F20"/>
          <w:w w:val="95"/>
        </w:rPr>
        <w:t>Morgan, 2007; Weed, 2005). Interactions with local people, both in terms</w:t>
      </w:r>
      <w:r>
        <w:rPr>
          <w:color w:val="231F20"/>
          <w:spacing w:val="80"/>
        </w:rPr>
        <w:t xml:space="preserve"> </w:t>
      </w:r>
      <w:r>
        <w:rPr>
          <w:color w:val="231F20"/>
        </w:rPr>
        <w:t>of integration (shared experiences) and differentiation (development of social</w:t>
      </w:r>
      <w:r>
        <w:rPr>
          <w:color w:val="231F20"/>
          <w:spacing w:val="-4"/>
        </w:rPr>
        <w:t xml:space="preserve"> </w:t>
      </w:r>
      <w:r>
        <w:rPr>
          <w:color w:val="231F20"/>
        </w:rPr>
        <w:t>identity),</w:t>
      </w:r>
      <w:r>
        <w:rPr>
          <w:color w:val="231F20"/>
          <w:spacing w:val="-4"/>
        </w:rPr>
        <w:t xml:space="preserve"> </w:t>
      </w:r>
      <w:r>
        <w:rPr>
          <w:color w:val="231F20"/>
        </w:rPr>
        <w:t>may</w:t>
      </w:r>
      <w:r>
        <w:rPr>
          <w:color w:val="231F20"/>
          <w:spacing w:val="-4"/>
        </w:rPr>
        <w:t xml:space="preserve"> </w:t>
      </w:r>
      <w:r>
        <w:rPr>
          <w:color w:val="231F20"/>
        </w:rPr>
        <w:t>be</w:t>
      </w:r>
      <w:r>
        <w:rPr>
          <w:color w:val="231F20"/>
          <w:spacing w:val="-4"/>
        </w:rPr>
        <w:t xml:space="preserve"> </w:t>
      </w:r>
      <w:r>
        <w:rPr>
          <w:color w:val="231F20"/>
        </w:rPr>
        <w:t>critical</w:t>
      </w:r>
      <w:r>
        <w:rPr>
          <w:color w:val="231F20"/>
          <w:spacing w:val="-4"/>
        </w:rPr>
        <w:t xml:space="preserve"> </w:t>
      </w:r>
      <w:r>
        <w:rPr>
          <w:color w:val="231F20"/>
        </w:rPr>
        <w:t>elements</w:t>
      </w:r>
      <w:r>
        <w:rPr>
          <w:color w:val="231F20"/>
          <w:spacing w:val="-4"/>
        </w:rPr>
        <w:t xml:space="preserve"> </w:t>
      </w:r>
      <w:r>
        <w:rPr>
          <w:color w:val="231F20"/>
        </w:rPr>
        <w:t>of</w:t>
      </w:r>
      <w:r>
        <w:rPr>
          <w:color w:val="231F20"/>
          <w:spacing w:val="-4"/>
        </w:rPr>
        <w:t xml:space="preserve"> </w:t>
      </w:r>
      <w:r>
        <w:rPr>
          <w:color w:val="231F20"/>
        </w:rPr>
        <w:t>the</w:t>
      </w:r>
      <w:r>
        <w:rPr>
          <w:color w:val="231F20"/>
          <w:spacing w:val="-4"/>
        </w:rPr>
        <w:t xml:space="preserve"> </w:t>
      </w:r>
      <w:r>
        <w:rPr>
          <w:color w:val="231F20"/>
        </w:rPr>
        <w:t>sport</w:t>
      </w:r>
      <w:r>
        <w:rPr>
          <w:color w:val="231F20"/>
          <w:spacing w:val="-4"/>
        </w:rPr>
        <w:t xml:space="preserve"> </w:t>
      </w:r>
      <w:r>
        <w:rPr>
          <w:color w:val="231F20"/>
        </w:rPr>
        <w:t>tourism</w:t>
      </w:r>
      <w:r>
        <w:rPr>
          <w:color w:val="231F20"/>
          <w:spacing w:val="-4"/>
        </w:rPr>
        <w:t xml:space="preserve"> </w:t>
      </w:r>
      <w:r>
        <w:rPr>
          <w:color w:val="231F20"/>
        </w:rPr>
        <w:t>experience (Weed</w:t>
      </w:r>
      <w:r>
        <w:rPr>
          <w:color w:val="231F20"/>
          <w:spacing w:val="40"/>
        </w:rPr>
        <w:t xml:space="preserve"> </w:t>
      </w:r>
      <w:r>
        <w:rPr>
          <w:color w:val="231F20"/>
        </w:rPr>
        <w:t>&amp;</w:t>
      </w:r>
      <w:r>
        <w:rPr>
          <w:color w:val="231F20"/>
          <w:spacing w:val="40"/>
        </w:rPr>
        <w:t xml:space="preserve"> </w:t>
      </w:r>
      <w:r>
        <w:rPr>
          <w:color w:val="231F20"/>
        </w:rPr>
        <w:t>Bull,</w:t>
      </w:r>
      <w:r>
        <w:rPr>
          <w:color w:val="231F20"/>
          <w:spacing w:val="40"/>
        </w:rPr>
        <w:t xml:space="preserve"> </w:t>
      </w:r>
      <w:r>
        <w:rPr>
          <w:color w:val="231F20"/>
        </w:rPr>
        <w:t>2004).</w:t>
      </w:r>
      <w:r>
        <w:rPr>
          <w:color w:val="231F20"/>
          <w:spacing w:val="40"/>
        </w:rPr>
        <w:t xml:space="preserve"> </w:t>
      </w:r>
      <w:r>
        <w:rPr>
          <w:color w:val="231F20"/>
        </w:rPr>
        <w:t>The</w:t>
      </w:r>
      <w:r>
        <w:rPr>
          <w:color w:val="231F20"/>
          <w:spacing w:val="40"/>
        </w:rPr>
        <w:t xml:space="preserve"> </w:t>
      </w:r>
      <w:r>
        <w:rPr>
          <w:color w:val="231F20"/>
        </w:rPr>
        <w:t>third</w:t>
      </w:r>
      <w:r>
        <w:rPr>
          <w:color w:val="231F20"/>
          <w:spacing w:val="40"/>
        </w:rPr>
        <w:t xml:space="preserve"> </w:t>
      </w:r>
      <w:r>
        <w:rPr>
          <w:color w:val="231F20"/>
        </w:rPr>
        <w:t>key</w:t>
      </w:r>
      <w:r>
        <w:rPr>
          <w:color w:val="231F20"/>
          <w:spacing w:val="40"/>
        </w:rPr>
        <w:t xml:space="preserve"> </w:t>
      </w:r>
      <w:r>
        <w:rPr>
          <w:color w:val="231F20"/>
        </w:rPr>
        <w:t>element</w:t>
      </w:r>
      <w:r>
        <w:rPr>
          <w:color w:val="231F20"/>
          <w:spacing w:val="40"/>
        </w:rPr>
        <w:t xml:space="preserve"> </w:t>
      </w:r>
      <w:r>
        <w:rPr>
          <w:color w:val="231F20"/>
        </w:rPr>
        <w:t>is</w:t>
      </w:r>
      <w:r>
        <w:rPr>
          <w:color w:val="231F20"/>
          <w:spacing w:val="40"/>
        </w:rPr>
        <w:t xml:space="preserve"> </w:t>
      </w:r>
      <w:r>
        <w:rPr>
          <w:i/>
          <w:color w:val="231F20"/>
        </w:rPr>
        <w:t>meaning</w:t>
      </w:r>
      <w:r>
        <w:rPr>
          <w:i/>
          <w:color w:val="231F20"/>
          <w:spacing w:val="40"/>
        </w:rPr>
        <w:t xml:space="preserve"> </w:t>
      </w:r>
      <w:r>
        <w:rPr>
          <w:i/>
          <w:color w:val="231F20"/>
        </w:rPr>
        <w:t>and</w:t>
      </w:r>
      <w:r>
        <w:rPr>
          <w:i/>
          <w:color w:val="231F20"/>
          <w:spacing w:val="40"/>
        </w:rPr>
        <w:t xml:space="preserve"> </w:t>
      </w:r>
      <w:r>
        <w:rPr>
          <w:i/>
          <w:color w:val="231F20"/>
        </w:rPr>
        <w:t>values</w:t>
      </w:r>
      <w:r>
        <w:rPr>
          <w:color w:val="231F20"/>
        </w:rPr>
        <w:t xml:space="preserve">. The meanings and values associated with a sport spectator experience are derived from the cultural background of the visitor and his or her </w:t>
      </w:r>
      <w:r>
        <w:rPr>
          <w:color w:val="231F20"/>
          <w:w w:val="95"/>
        </w:rPr>
        <w:t>subjective understanding and interpreta</w:t>
      </w:r>
      <w:r>
        <w:rPr>
          <w:color w:val="231F20"/>
          <w:w w:val="95"/>
        </w:rPr>
        <w:t xml:space="preserve">tion of the historical and cultural </w:t>
      </w:r>
      <w:r>
        <w:rPr>
          <w:color w:val="231F20"/>
        </w:rPr>
        <w:t>context of the sport and place where it takes place. ‘Sporting allegiances and cultures are therefore deep-set and subtle expressions of personal identity’ (Morgan, 2007: 368).</w:t>
      </w:r>
    </w:p>
    <w:p w14:paraId="7168402E" w14:textId="77777777" w:rsidR="00AE0598" w:rsidRDefault="00AE0598">
      <w:pPr>
        <w:spacing w:line="232" w:lineRule="auto"/>
        <w:jc w:val="both"/>
        <w:sectPr w:rsidR="00AE0598">
          <w:type w:val="continuous"/>
          <w:pgSz w:w="8850" w:h="13270"/>
          <w:pgMar w:top="1080" w:right="1060" w:bottom="280" w:left="1080" w:header="720" w:footer="720" w:gutter="0"/>
          <w:cols w:space="720"/>
        </w:sectPr>
      </w:pPr>
    </w:p>
    <w:p w14:paraId="47730E23" w14:textId="77777777" w:rsidR="00AE0598" w:rsidRDefault="0069255A">
      <w:pPr>
        <w:spacing w:before="87"/>
        <w:ind w:left="4078"/>
        <w:rPr>
          <w:rFonts w:ascii="Trebuchet MS"/>
          <w:sz w:val="14"/>
        </w:rPr>
      </w:pPr>
      <w:r>
        <w:rPr>
          <w:rFonts w:ascii="Trebuchet MS"/>
          <w:color w:val="231F20"/>
          <w:w w:val="105"/>
          <w:sz w:val="14"/>
        </w:rPr>
        <w:lastRenderedPageBreak/>
        <w:t>Sport</w:t>
      </w:r>
      <w:r>
        <w:rPr>
          <w:rFonts w:ascii="Trebuchet MS"/>
          <w:color w:val="231F20"/>
          <w:spacing w:val="-11"/>
          <w:w w:val="105"/>
          <w:sz w:val="14"/>
        </w:rPr>
        <w:t xml:space="preserve"> </w:t>
      </w:r>
      <w:r>
        <w:rPr>
          <w:rFonts w:ascii="Trebuchet MS"/>
          <w:color w:val="231F20"/>
          <w:w w:val="105"/>
          <w:sz w:val="14"/>
        </w:rPr>
        <w:t>and</w:t>
      </w:r>
      <w:r>
        <w:rPr>
          <w:rFonts w:ascii="Trebuchet MS"/>
          <w:color w:val="231F20"/>
          <w:spacing w:val="-11"/>
          <w:w w:val="105"/>
          <w:sz w:val="14"/>
        </w:rPr>
        <w:t xml:space="preserve"> </w:t>
      </w:r>
      <w:r>
        <w:rPr>
          <w:rFonts w:ascii="Trebuchet MS"/>
          <w:color w:val="231F20"/>
          <w:w w:val="105"/>
          <w:sz w:val="14"/>
        </w:rPr>
        <w:t>the</w:t>
      </w:r>
      <w:r>
        <w:rPr>
          <w:rFonts w:ascii="Trebuchet MS"/>
          <w:color w:val="231F20"/>
          <w:spacing w:val="-11"/>
          <w:w w:val="105"/>
          <w:sz w:val="14"/>
        </w:rPr>
        <w:t xml:space="preserve"> </w:t>
      </w:r>
      <w:r>
        <w:rPr>
          <w:rFonts w:ascii="Trebuchet MS"/>
          <w:color w:val="231F20"/>
          <w:w w:val="105"/>
          <w:sz w:val="14"/>
        </w:rPr>
        <w:t>Tourist</w:t>
      </w:r>
      <w:r>
        <w:rPr>
          <w:rFonts w:ascii="Trebuchet MS"/>
          <w:color w:val="231F20"/>
          <w:spacing w:val="-11"/>
          <w:w w:val="105"/>
          <w:sz w:val="14"/>
        </w:rPr>
        <w:t xml:space="preserve"> </w:t>
      </w:r>
      <w:r>
        <w:rPr>
          <w:rFonts w:ascii="Trebuchet MS"/>
          <w:color w:val="231F20"/>
          <w:w w:val="105"/>
          <w:sz w:val="14"/>
        </w:rPr>
        <w:t>Exper</w:t>
      </w:r>
      <w:r>
        <w:rPr>
          <w:rFonts w:ascii="Trebuchet MS"/>
          <w:color w:val="231F20"/>
          <w:w w:val="105"/>
          <w:sz w:val="14"/>
        </w:rPr>
        <w:t>ience</w:t>
      </w:r>
      <w:r>
        <w:rPr>
          <w:rFonts w:ascii="Trebuchet MS"/>
          <w:color w:val="231F20"/>
          <w:spacing w:val="78"/>
          <w:w w:val="105"/>
          <w:sz w:val="14"/>
        </w:rPr>
        <w:t xml:space="preserve"> </w:t>
      </w:r>
      <w:r>
        <w:rPr>
          <w:rFonts w:ascii="Trebuchet MS"/>
          <w:color w:val="231F20"/>
          <w:spacing w:val="-5"/>
          <w:w w:val="105"/>
          <w:sz w:val="14"/>
        </w:rPr>
        <w:t>161</w:t>
      </w:r>
    </w:p>
    <w:p w14:paraId="23F21E12" w14:textId="77777777" w:rsidR="00AE0598" w:rsidRDefault="00AE0598">
      <w:pPr>
        <w:pStyle w:val="Corpodetexto"/>
        <w:spacing w:before="4"/>
        <w:rPr>
          <w:rFonts w:ascii="Trebuchet MS"/>
          <w:sz w:val="17"/>
        </w:rPr>
      </w:pPr>
    </w:p>
    <w:p w14:paraId="1A786BB6" w14:textId="77777777" w:rsidR="00AE0598" w:rsidRDefault="0069255A">
      <w:pPr>
        <w:pStyle w:val="Corpodetexto"/>
        <w:spacing w:before="102" w:line="232" w:lineRule="auto"/>
        <w:ind w:left="110" w:right="127" w:firstLine="320"/>
        <w:jc w:val="both"/>
      </w:pPr>
      <w:r>
        <w:rPr>
          <w:color w:val="231F20"/>
        </w:rPr>
        <w:t xml:space="preserve">Thus, in terms of sport tourism, the significance of the place of </w:t>
      </w:r>
      <w:r>
        <w:rPr>
          <w:color w:val="231F20"/>
          <w:w w:val="95"/>
        </w:rPr>
        <w:t xml:space="preserve">competition (the destination) rests with the social and cultural interactions </w:t>
      </w:r>
      <w:r>
        <w:rPr>
          <w:color w:val="231F20"/>
        </w:rPr>
        <w:t xml:space="preserve">that occur when people travel, tour and gather at places of competition </w:t>
      </w:r>
      <w:r>
        <w:rPr>
          <w:color w:val="231F20"/>
          <w:w w:val="95"/>
        </w:rPr>
        <w:t>and engage in the tourist experience (Weed, 2007). The social experience</w:t>
      </w:r>
      <w:r>
        <w:rPr>
          <w:color w:val="231F20"/>
          <w:spacing w:val="80"/>
          <w:w w:val="150"/>
        </w:rPr>
        <w:t xml:space="preserve"> </w:t>
      </w:r>
      <w:r>
        <w:rPr>
          <w:color w:val="231F20"/>
        </w:rPr>
        <w:t xml:space="preserve">is place-situated and co-created through the interactions of hosts and </w:t>
      </w:r>
      <w:r>
        <w:rPr>
          <w:color w:val="231F20"/>
          <w:w w:val="95"/>
        </w:rPr>
        <w:t xml:space="preserve">guests. Within this context, hedonistic </w:t>
      </w:r>
      <w:r>
        <w:rPr>
          <w:color w:val="231F20"/>
          <w:w w:val="95"/>
        </w:rPr>
        <w:t xml:space="preserve">enjoyment and achievement, social </w:t>
      </w:r>
      <w:r>
        <w:rPr>
          <w:color w:val="231F20"/>
        </w:rPr>
        <w:t xml:space="preserve">interaction and meaning and values lie at the heart of the sport tourist </w:t>
      </w:r>
      <w:r>
        <w:rPr>
          <w:color w:val="231F20"/>
          <w:w w:val="95"/>
        </w:rPr>
        <w:t>experience (Morgan, 2007). This point corroborates the findings of studies of sports fans, which demonstrate the importance of the social experience</w:t>
      </w:r>
      <w:r>
        <w:rPr>
          <w:color w:val="231F20"/>
          <w:spacing w:val="40"/>
        </w:rPr>
        <w:t xml:space="preserve"> </w:t>
      </w:r>
      <w:r>
        <w:rPr>
          <w:color w:val="231F20"/>
        </w:rPr>
        <w:t>in</w:t>
      </w:r>
      <w:r>
        <w:rPr>
          <w:color w:val="231F20"/>
          <w:spacing w:val="-6"/>
        </w:rPr>
        <w:t xml:space="preserve"> </w:t>
      </w:r>
      <w:r>
        <w:rPr>
          <w:color w:val="231F20"/>
        </w:rPr>
        <w:t>terms</w:t>
      </w:r>
      <w:r>
        <w:rPr>
          <w:color w:val="231F20"/>
          <w:spacing w:val="-6"/>
        </w:rPr>
        <w:t xml:space="preserve"> </w:t>
      </w:r>
      <w:r>
        <w:rPr>
          <w:color w:val="231F20"/>
        </w:rPr>
        <w:t>of</w:t>
      </w:r>
      <w:r>
        <w:rPr>
          <w:color w:val="231F20"/>
          <w:spacing w:val="-6"/>
        </w:rPr>
        <w:t xml:space="preserve"> </w:t>
      </w:r>
      <w:r>
        <w:rPr>
          <w:color w:val="231F20"/>
        </w:rPr>
        <w:t>travelling</w:t>
      </w:r>
      <w:r>
        <w:rPr>
          <w:color w:val="231F20"/>
          <w:spacing w:val="-6"/>
        </w:rPr>
        <w:t xml:space="preserve"> </w:t>
      </w:r>
      <w:r>
        <w:rPr>
          <w:color w:val="231F20"/>
        </w:rPr>
        <w:t>for</w:t>
      </w:r>
      <w:r>
        <w:rPr>
          <w:color w:val="231F20"/>
          <w:spacing w:val="-6"/>
        </w:rPr>
        <w:t xml:space="preserve"> </w:t>
      </w:r>
      <w:r>
        <w:rPr>
          <w:color w:val="231F20"/>
        </w:rPr>
        <w:t>sport</w:t>
      </w:r>
      <w:r>
        <w:rPr>
          <w:color w:val="231F20"/>
          <w:spacing w:val="-6"/>
        </w:rPr>
        <w:t xml:space="preserve"> </w:t>
      </w:r>
      <w:r>
        <w:rPr>
          <w:color w:val="231F20"/>
        </w:rPr>
        <w:t>spectatorship</w:t>
      </w:r>
      <w:r>
        <w:rPr>
          <w:color w:val="231F20"/>
          <w:spacing w:val="-6"/>
        </w:rPr>
        <w:t xml:space="preserve"> </w:t>
      </w:r>
      <w:r>
        <w:rPr>
          <w:color w:val="231F20"/>
        </w:rPr>
        <w:t>(Fairley,</w:t>
      </w:r>
      <w:r>
        <w:rPr>
          <w:color w:val="231F20"/>
          <w:spacing w:val="-6"/>
        </w:rPr>
        <w:t xml:space="preserve"> </w:t>
      </w:r>
      <w:r>
        <w:rPr>
          <w:color w:val="231F20"/>
        </w:rPr>
        <w:t>2003).</w:t>
      </w:r>
    </w:p>
    <w:p w14:paraId="18C8F06C" w14:textId="77777777" w:rsidR="00AE0598" w:rsidRDefault="0069255A">
      <w:pPr>
        <w:pStyle w:val="Corpodetexto"/>
        <w:spacing w:before="12" w:line="232" w:lineRule="auto"/>
        <w:ind w:left="110" w:right="127" w:firstLine="320"/>
        <w:jc w:val="both"/>
      </w:pPr>
      <w:r>
        <w:rPr>
          <w:color w:val="231F20"/>
          <w:w w:val="95"/>
        </w:rPr>
        <w:t>Morgan’s (2007) work provides intriguing insights into the centrality</w:t>
      </w:r>
      <w:r>
        <w:rPr>
          <w:color w:val="231F20"/>
          <w:spacing w:val="80"/>
          <w:w w:val="150"/>
        </w:rPr>
        <w:t xml:space="preserve"> </w:t>
      </w:r>
      <w:r>
        <w:rPr>
          <w:color w:val="231F20"/>
        </w:rPr>
        <w:t>of personal and subjective sports histories to the performance of sport- related</w:t>
      </w:r>
      <w:r>
        <w:rPr>
          <w:color w:val="231F20"/>
          <w:spacing w:val="-3"/>
        </w:rPr>
        <w:t xml:space="preserve"> </w:t>
      </w:r>
      <w:r>
        <w:rPr>
          <w:color w:val="231F20"/>
        </w:rPr>
        <w:t>event</w:t>
      </w:r>
      <w:r>
        <w:rPr>
          <w:color w:val="231F20"/>
          <w:spacing w:val="-3"/>
        </w:rPr>
        <w:t xml:space="preserve"> </w:t>
      </w:r>
      <w:r>
        <w:rPr>
          <w:color w:val="231F20"/>
        </w:rPr>
        <w:t>experiences</w:t>
      </w:r>
      <w:r>
        <w:rPr>
          <w:color w:val="231F20"/>
          <w:spacing w:val="-3"/>
        </w:rPr>
        <w:t xml:space="preserve"> </w:t>
      </w:r>
      <w:r>
        <w:rPr>
          <w:color w:val="231F20"/>
        </w:rPr>
        <w:t>of</w:t>
      </w:r>
      <w:r>
        <w:rPr>
          <w:color w:val="231F20"/>
          <w:spacing w:val="-3"/>
        </w:rPr>
        <w:t xml:space="preserve"> </w:t>
      </w:r>
      <w:r>
        <w:rPr>
          <w:color w:val="231F20"/>
        </w:rPr>
        <w:t>activities,</w:t>
      </w:r>
      <w:r>
        <w:rPr>
          <w:color w:val="231F20"/>
          <w:spacing w:val="-3"/>
        </w:rPr>
        <w:t xml:space="preserve"> </w:t>
      </w:r>
      <w:r>
        <w:rPr>
          <w:color w:val="231F20"/>
        </w:rPr>
        <w:t>people</w:t>
      </w:r>
      <w:r>
        <w:rPr>
          <w:color w:val="231F20"/>
          <w:spacing w:val="-3"/>
        </w:rPr>
        <w:t xml:space="preserve"> </w:t>
      </w:r>
      <w:r>
        <w:rPr>
          <w:color w:val="231F20"/>
        </w:rPr>
        <w:t>and</w:t>
      </w:r>
      <w:r>
        <w:rPr>
          <w:color w:val="231F20"/>
          <w:spacing w:val="-3"/>
        </w:rPr>
        <w:t xml:space="preserve"> </w:t>
      </w:r>
      <w:r>
        <w:rPr>
          <w:color w:val="231F20"/>
        </w:rPr>
        <w:t>place.</w:t>
      </w:r>
      <w:r>
        <w:rPr>
          <w:color w:val="231F20"/>
          <w:spacing w:val="-3"/>
        </w:rPr>
        <w:t xml:space="preserve"> </w:t>
      </w:r>
      <w:r>
        <w:rPr>
          <w:color w:val="231F20"/>
        </w:rPr>
        <w:t>This,</w:t>
      </w:r>
      <w:r>
        <w:rPr>
          <w:color w:val="231F20"/>
          <w:spacing w:val="-3"/>
        </w:rPr>
        <w:t xml:space="preserve"> </w:t>
      </w:r>
      <w:r>
        <w:rPr>
          <w:color w:val="231F20"/>
        </w:rPr>
        <w:t>he</w:t>
      </w:r>
      <w:r>
        <w:rPr>
          <w:color w:val="231F20"/>
          <w:spacing w:val="-3"/>
        </w:rPr>
        <w:t xml:space="preserve"> </w:t>
      </w:r>
      <w:r>
        <w:rPr>
          <w:color w:val="231F20"/>
        </w:rPr>
        <w:t>argues, gives</w:t>
      </w:r>
      <w:r>
        <w:rPr>
          <w:color w:val="231F20"/>
          <w:spacing w:val="-1"/>
        </w:rPr>
        <w:t xml:space="preserve"> </w:t>
      </w:r>
      <w:r>
        <w:rPr>
          <w:color w:val="231F20"/>
        </w:rPr>
        <w:t>emphasis</w:t>
      </w:r>
      <w:r>
        <w:rPr>
          <w:color w:val="231F20"/>
          <w:spacing w:val="-1"/>
        </w:rPr>
        <w:t xml:space="preserve"> </w:t>
      </w:r>
      <w:r>
        <w:rPr>
          <w:color w:val="231F20"/>
        </w:rPr>
        <w:t>to</w:t>
      </w:r>
      <w:r>
        <w:rPr>
          <w:color w:val="231F20"/>
          <w:spacing w:val="-1"/>
        </w:rPr>
        <w:t xml:space="preserve"> </w:t>
      </w:r>
      <w:r>
        <w:rPr>
          <w:color w:val="231F20"/>
        </w:rPr>
        <w:t>the</w:t>
      </w:r>
      <w:r>
        <w:rPr>
          <w:color w:val="231F20"/>
          <w:spacing w:val="-1"/>
        </w:rPr>
        <w:t xml:space="preserve"> </w:t>
      </w:r>
      <w:r>
        <w:rPr>
          <w:color w:val="231F20"/>
        </w:rPr>
        <w:t>importance</w:t>
      </w:r>
      <w:r>
        <w:rPr>
          <w:color w:val="231F20"/>
          <w:spacing w:val="-1"/>
        </w:rPr>
        <w:t xml:space="preserve"> </w:t>
      </w:r>
      <w:r>
        <w:rPr>
          <w:color w:val="231F20"/>
        </w:rPr>
        <w:t>of</w:t>
      </w:r>
      <w:r>
        <w:rPr>
          <w:color w:val="231F20"/>
          <w:spacing w:val="-1"/>
        </w:rPr>
        <w:t xml:space="preserve"> </w:t>
      </w:r>
      <w:r>
        <w:rPr>
          <w:color w:val="231F20"/>
        </w:rPr>
        <w:t>allowing</w:t>
      </w:r>
      <w:r>
        <w:rPr>
          <w:color w:val="231F20"/>
          <w:spacing w:val="-1"/>
        </w:rPr>
        <w:t xml:space="preserve"> </w:t>
      </w:r>
      <w:r>
        <w:rPr>
          <w:color w:val="231F20"/>
        </w:rPr>
        <w:t>visitors</w:t>
      </w:r>
      <w:r>
        <w:rPr>
          <w:color w:val="231F20"/>
          <w:spacing w:val="-1"/>
        </w:rPr>
        <w:t xml:space="preserve"> </w:t>
      </w:r>
      <w:r>
        <w:rPr>
          <w:color w:val="231F20"/>
        </w:rPr>
        <w:t>to</w:t>
      </w:r>
      <w:r>
        <w:rPr>
          <w:color w:val="231F20"/>
          <w:spacing w:val="-1"/>
        </w:rPr>
        <w:t xml:space="preserve"> </w:t>
      </w:r>
      <w:r>
        <w:rPr>
          <w:color w:val="231F20"/>
        </w:rPr>
        <w:t>‘co-create’</w:t>
      </w:r>
      <w:r>
        <w:rPr>
          <w:color w:val="231F20"/>
          <w:spacing w:val="-1"/>
        </w:rPr>
        <w:t xml:space="preserve"> </w:t>
      </w:r>
      <w:r>
        <w:rPr>
          <w:color w:val="231F20"/>
        </w:rPr>
        <w:t xml:space="preserve">their </w:t>
      </w:r>
      <w:r>
        <w:rPr>
          <w:color w:val="231F20"/>
          <w:w w:val="95"/>
        </w:rPr>
        <w:t>experiences, rather than to mana</w:t>
      </w:r>
      <w:r>
        <w:rPr>
          <w:color w:val="231F20"/>
          <w:w w:val="95"/>
        </w:rPr>
        <w:t xml:space="preserve">ge and impose event experiences. National </w:t>
      </w:r>
      <w:r>
        <w:rPr>
          <w:color w:val="231F20"/>
        </w:rPr>
        <w:t>and/or regional tourism organisations, as well as sports organisations and event managers, need to better understand the expectations and desired experiences as having ‘emotional, symbolic and transformation signif</w:t>
      </w:r>
      <w:r>
        <w:rPr>
          <w:color w:val="231F20"/>
        </w:rPr>
        <w:t>icance</w:t>
      </w:r>
      <w:r>
        <w:rPr>
          <w:color w:val="231F20"/>
          <w:spacing w:val="-6"/>
        </w:rPr>
        <w:t xml:space="preserve"> </w:t>
      </w:r>
      <w:r>
        <w:rPr>
          <w:color w:val="231F20"/>
        </w:rPr>
        <w:t>for</w:t>
      </w:r>
      <w:r>
        <w:rPr>
          <w:color w:val="231F20"/>
          <w:spacing w:val="-6"/>
        </w:rPr>
        <w:t xml:space="preserve"> </w:t>
      </w:r>
      <w:r>
        <w:rPr>
          <w:color w:val="231F20"/>
        </w:rPr>
        <w:t>the</w:t>
      </w:r>
      <w:r>
        <w:rPr>
          <w:color w:val="231F20"/>
          <w:spacing w:val="-6"/>
        </w:rPr>
        <w:t xml:space="preserve"> </w:t>
      </w:r>
      <w:r>
        <w:rPr>
          <w:color w:val="231F20"/>
        </w:rPr>
        <w:t>individual</w:t>
      </w:r>
      <w:r>
        <w:rPr>
          <w:color w:val="231F20"/>
          <w:spacing w:val="-6"/>
        </w:rPr>
        <w:t xml:space="preserve"> </w:t>
      </w:r>
      <w:r>
        <w:rPr>
          <w:color w:val="231F20"/>
        </w:rPr>
        <w:t>involved’</w:t>
      </w:r>
      <w:r>
        <w:rPr>
          <w:color w:val="231F20"/>
          <w:spacing w:val="-6"/>
        </w:rPr>
        <w:t xml:space="preserve"> </w:t>
      </w:r>
      <w:r>
        <w:rPr>
          <w:color w:val="231F20"/>
        </w:rPr>
        <w:t>(Morgan,</w:t>
      </w:r>
      <w:r>
        <w:rPr>
          <w:color w:val="231F20"/>
          <w:spacing w:val="-6"/>
        </w:rPr>
        <w:t xml:space="preserve"> </w:t>
      </w:r>
      <w:r>
        <w:rPr>
          <w:color w:val="231F20"/>
        </w:rPr>
        <w:t>2007:</w:t>
      </w:r>
      <w:r>
        <w:rPr>
          <w:color w:val="231F20"/>
          <w:spacing w:val="-6"/>
        </w:rPr>
        <w:t xml:space="preserve"> </w:t>
      </w:r>
      <w:r>
        <w:rPr>
          <w:color w:val="231F20"/>
        </w:rPr>
        <w:t>362).</w:t>
      </w:r>
      <w:r>
        <w:rPr>
          <w:color w:val="231F20"/>
          <w:spacing w:val="-6"/>
        </w:rPr>
        <w:t xml:space="preserve"> </w:t>
      </w:r>
      <w:r>
        <w:rPr>
          <w:color w:val="231F20"/>
        </w:rPr>
        <w:t>This</w:t>
      </w:r>
      <w:r>
        <w:rPr>
          <w:color w:val="231F20"/>
          <w:spacing w:val="-6"/>
        </w:rPr>
        <w:t xml:space="preserve"> </w:t>
      </w:r>
      <w:r>
        <w:rPr>
          <w:color w:val="231F20"/>
        </w:rPr>
        <w:t>raises fascinating questions regarding how sport event hosting agencies, with tourism destination managers, collaborate to produce events that allow for</w:t>
      </w:r>
      <w:r>
        <w:rPr>
          <w:color w:val="231F20"/>
          <w:spacing w:val="-5"/>
        </w:rPr>
        <w:t xml:space="preserve"> </w:t>
      </w:r>
      <w:r>
        <w:rPr>
          <w:color w:val="231F20"/>
        </w:rPr>
        <w:t>the</w:t>
      </w:r>
      <w:r>
        <w:rPr>
          <w:color w:val="231F20"/>
          <w:spacing w:val="-5"/>
        </w:rPr>
        <w:t xml:space="preserve"> </w:t>
      </w:r>
      <w:r>
        <w:rPr>
          <w:color w:val="231F20"/>
        </w:rPr>
        <w:t>co-creation</w:t>
      </w:r>
      <w:r>
        <w:rPr>
          <w:color w:val="231F20"/>
          <w:spacing w:val="-5"/>
        </w:rPr>
        <w:t xml:space="preserve"> </w:t>
      </w:r>
      <w:r>
        <w:rPr>
          <w:color w:val="231F20"/>
        </w:rPr>
        <w:t>of</w:t>
      </w:r>
      <w:r>
        <w:rPr>
          <w:color w:val="231F20"/>
          <w:spacing w:val="-5"/>
        </w:rPr>
        <w:t xml:space="preserve"> </w:t>
      </w:r>
      <w:r>
        <w:rPr>
          <w:color w:val="231F20"/>
        </w:rPr>
        <w:t>sport</w:t>
      </w:r>
      <w:r>
        <w:rPr>
          <w:color w:val="231F20"/>
          <w:spacing w:val="-5"/>
        </w:rPr>
        <w:t xml:space="preserve"> </w:t>
      </w:r>
      <w:r>
        <w:rPr>
          <w:color w:val="231F20"/>
        </w:rPr>
        <w:t>tourism</w:t>
      </w:r>
      <w:r>
        <w:rPr>
          <w:color w:val="231F20"/>
          <w:spacing w:val="-5"/>
        </w:rPr>
        <w:t xml:space="preserve"> </w:t>
      </w:r>
      <w:r>
        <w:rPr>
          <w:color w:val="231F20"/>
        </w:rPr>
        <w:t>experiences</w:t>
      </w:r>
      <w:r>
        <w:rPr>
          <w:color w:val="231F20"/>
          <w:spacing w:val="-5"/>
        </w:rPr>
        <w:t xml:space="preserve"> </w:t>
      </w:r>
      <w:r>
        <w:rPr>
          <w:color w:val="231F20"/>
        </w:rPr>
        <w:t>(see</w:t>
      </w:r>
      <w:r>
        <w:rPr>
          <w:color w:val="231F20"/>
          <w:spacing w:val="-5"/>
        </w:rPr>
        <w:t xml:space="preserve"> </w:t>
      </w:r>
      <w:r>
        <w:rPr>
          <w:color w:val="231F20"/>
        </w:rPr>
        <w:t>Focus</w:t>
      </w:r>
      <w:r>
        <w:rPr>
          <w:color w:val="231F20"/>
          <w:spacing w:val="-5"/>
        </w:rPr>
        <w:t xml:space="preserve"> </w:t>
      </w:r>
      <w:r>
        <w:rPr>
          <w:color w:val="231F20"/>
        </w:rPr>
        <w:t>Point</w:t>
      </w:r>
      <w:r>
        <w:rPr>
          <w:color w:val="231F20"/>
          <w:spacing w:val="-5"/>
        </w:rPr>
        <w:t xml:space="preserve"> </w:t>
      </w:r>
      <w:r>
        <w:rPr>
          <w:color w:val="231F20"/>
        </w:rPr>
        <w:t>8.1).</w:t>
      </w:r>
    </w:p>
    <w:p w14:paraId="6FBC27C3" w14:textId="070111BE" w:rsidR="00AE0598" w:rsidRDefault="0069255A">
      <w:pPr>
        <w:pStyle w:val="Corpodetexto"/>
        <w:spacing w:before="11"/>
        <w:rPr>
          <w:sz w:val="26"/>
        </w:rPr>
      </w:pPr>
      <w:r>
        <w:rPr>
          <w:noProof/>
        </w:rPr>
        <mc:AlternateContent>
          <mc:Choice Requires="wps">
            <w:drawing>
              <wp:anchor distT="0" distB="0" distL="0" distR="0" simplePos="0" relativeHeight="487667200" behindDoc="1" locked="0" layoutInCell="1" allowOverlap="1" wp14:anchorId="6DC14E3F" wp14:editId="41B63AF8">
                <wp:simplePos x="0" y="0"/>
                <wp:positionH relativeFrom="page">
                  <wp:posOffset>755650</wp:posOffset>
                </wp:positionH>
                <wp:positionV relativeFrom="paragraph">
                  <wp:posOffset>215900</wp:posOffset>
                </wp:positionV>
                <wp:extent cx="4104005" cy="3206115"/>
                <wp:effectExtent l="0" t="0" r="0" b="0"/>
                <wp:wrapTopAndBottom/>
                <wp:docPr id="144" name="docshape2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04005" cy="3206115"/>
                        </a:xfrm>
                        <a:prstGeom prst="rect">
                          <a:avLst/>
                        </a:prstGeom>
                        <a:solidFill>
                          <a:srgbClr val="DCDDD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E0A7629" w14:textId="77777777" w:rsidR="00AE0598" w:rsidRDefault="0069255A">
                            <w:pPr>
                              <w:spacing w:before="75" w:line="247" w:lineRule="auto"/>
                              <w:ind w:left="113" w:right="756"/>
                              <w:jc w:val="both"/>
                              <w:rPr>
                                <w:rFonts w:ascii="Trebuchet MS" w:hAnsi="Trebuchet MS"/>
                                <w:color w:val="000000"/>
                                <w:sz w:val="20"/>
                              </w:rPr>
                            </w:pPr>
                            <w:r>
                              <w:rPr>
                                <w:rFonts w:ascii="Trebuchet MS" w:hAnsi="Trebuchet MS"/>
                                <w:color w:val="231F20"/>
                                <w:sz w:val="20"/>
                              </w:rPr>
                              <w:t xml:space="preserve">Focus Point 8.1: Co-Creating Event Experiences – Japan 2019 </w:t>
                            </w:r>
                            <w:r>
                              <w:rPr>
                                <w:rFonts w:ascii="Trebuchet MS" w:hAnsi="Trebuchet MS"/>
                                <w:color w:val="231F20"/>
                                <w:w w:val="105"/>
                                <w:sz w:val="20"/>
                              </w:rPr>
                              <w:t>Rugby World Cup</w:t>
                            </w:r>
                          </w:p>
                          <w:p w14:paraId="4263BA6B" w14:textId="77777777" w:rsidR="00AE0598" w:rsidRDefault="0069255A">
                            <w:pPr>
                              <w:pStyle w:val="Corpodetexto"/>
                              <w:spacing w:before="110"/>
                              <w:ind w:left="113"/>
                              <w:jc w:val="both"/>
                              <w:rPr>
                                <w:color w:val="000000"/>
                              </w:rPr>
                            </w:pPr>
                            <w:r>
                              <w:rPr>
                                <w:color w:val="231F20"/>
                              </w:rPr>
                              <w:t>James</w:t>
                            </w:r>
                            <w:r>
                              <w:rPr>
                                <w:color w:val="231F20"/>
                                <w:spacing w:val="11"/>
                              </w:rPr>
                              <w:t xml:space="preserve"> </w:t>
                            </w:r>
                            <w:r>
                              <w:rPr>
                                <w:color w:val="231F20"/>
                              </w:rPr>
                              <w:t>Higham,</w:t>
                            </w:r>
                            <w:r>
                              <w:rPr>
                                <w:color w:val="231F20"/>
                                <w:spacing w:val="12"/>
                              </w:rPr>
                              <w:t xml:space="preserve"> </w:t>
                            </w:r>
                            <w:r>
                              <w:rPr>
                                <w:color w:val="231F20"/>
                              </w:rPr>
                              <w:t>Tom</w:t>
                            </w:r>
                            <w:r>
                              <w:rPr>
                                <w:color w:val="231F20"/>
                                <w:spacing w:val="12"/>
                              </w:rPr>
                              <w:t xml:space="preserve"> </w:t>
                            </w:r>
                            <w:r>
                              <w:rPr>
                                <w:color w:val="231F20"/>
                              </w:rPr>
                              <w:t>Hinch</w:t>
                            </w:r>
                            <w:r>
                              <w:rPr>
                                <w:color w:val="231F20"/>
                                <w:spacing w:val="12"/>
                              </w:rPr>
                              <w:t xml:space="preserve"> </w:t>
                            </w:r>
                            <w:r>
                              <w:rPr>
                                <w:color w:val="231F20"/>
                              </w:rPr>
                              <w:t>and</w:t>
                            </w:r>
                            <w:r>
                              <w:rPr>
                                <w:color w:val="231F20"/>
                                <w:spacing w:val="11"/>
                              </w:rPr>
                              <w:t xml:space="preserve"> </w:t>
                            </w:r>
                            <w:r>
                              <w:rPr>
                                <w:color w:val="231F20"/>
                              </w:rPr>
                              <w:t>Adam</w:t>
                            </w:r>
                            <w:r>
                              <w:rPr>
                                <w:color w:val="231F20"/>
                                <w:spacing w:val="12"/>
                              </w:rPr>
                              <w:t xml:space="preserve"> </w:t>
                            </w:r>
                            <w:r>
                              <w:rPr>
                                <w:color w:val="231F20"/>
                                <w:spacing w:val="-2"/>
                              </w:rPr>
                              <w:t>Doering</w:t>
                            </w:r>
                          </w:p>
                          <w:p w14:paraId="06F36534" w14:textId="77777777" w:rsidR="00AE0598" w:rsidRDefault="0069255A">
                            <w:pPr>
                              <w:pStyle w:val="Corpodetexto"/>
                              <w:spacing w:before="120" w:line="232" w:lineRule="auto"/>
                              <w:ind w:left="113" w:right="110" w:firstLine="320"/>
                              <w:jc w:val="both"/>
                              <w:rPr>
                                <w:color w:val="000000"/>
                              </w:rPr>
                            </w:pPr>
                            <w:r>
                              <w:rPr>
                                <w:color w:val="231F20"/>
                                <w:w w:val="105"/>
                              </w:rPr>
                              <w:t xml:space="preserve">Successive Rugby World Cups (RWC) have served to make or </w:t>
                            </w:r>
                            <w:r>
                              <w:rPr>
                                <w:color w:val="231F20"/>
                                <w:w w:val="95"/>
                              </w:rPr>
                              <w:t>remake important elements of national identi</w:t>
                            </w:r>
                            <w:r>
                              <w:rPr>
                                <w:color w:val="231F20"/>
                                <w:w w:val="95"/>
                              </w:rPr>
                              <w:t xml:space="preserve">ty. Perhaps the most vivid </w:t>
                            </w:r>
                            <w:r>
                              <w:rPr>
                                <w:color w:val="231F20"/>
                              </w:rPr>
                              <w:t>case</w:t>
                            </w:r>
                            <w:r>
                              <w:rPr>
                                <w:color w:val="231F20"/>
                                <w:spacing w:val="-1"/>
                              </w:rPr>
                              <w:t xml:space="preserve"> </w:t>
                            </w:r>
                            <w:r>
                              <w:rPr>
                                <w:color w:val="231F20"/>
                              </w:rPr>
                              <w:t>is</w:t>
                            </w:r>
                            <w:r>
                              <w:rPr>
                                <w:color w:val="231F20"/>
                                <w:spacing w:val="-1"/>
                              </w:rPr>
                              <w:t xml:space="preserve"> </w:t>
                            </w:r>
                            <w:r>
                              <w:rPr>
                                <w:color w:val="231F20"/>
                              </w:rPr>
                              <w:t>that</w:t>
                            </w:r>
                            <w:r>
                              <w:rPr>
                                <w:color w:val="231F20"/>
                                <w:spacing w:val="-1"/>
                              </w:rPr>
                              <w:t xml:space="preserve"> </w:t>
                            </w:r>
                            <w:r>
                              <w:rPr>
                                <w:color w:val="231F20"/>
                              </w:rPr>
                              <w:t>of</w:t>
                            </w:r>
                            <w:r>
                              <w:rPr>
                                <w:color w:val="231F20"/>
                                <w:spacing w:val="-1"/>
                              </w:rPr>
                              <w:t xml:space="preserve"> </w:t>
                            </w:r>
                            <w:r>
                              <w:rPr>
                                <w:color w:val="231F20"/>
                              </w:rPr>
                              <w:t>the</w:t>
                            </w:r>
                            <w:r>
                              <w:rPr>
                                <w:color w:val="231F20"/>
                                <w:spacing w:val="-1"/>
                              </w:rPr>
                              <w:t xml:space="preserve"> </w:t>
                            </w:r>
                            <w:r>
                              <w:rPr>
                                <w:color w:val="231F20"/>
                              </w:rPr>
                              <w:t>1995</w:t>
                            </w:r>
                            <w:r>
                              <w:rPr>
                                <w:color w:val="231F20"/>
                                <w:spacing w:val="-1"/>
                              </w:rPr>
                              <w:t xml:space="preserve"> </w:t>
                            </w:r>
                            <w:r>
                              <w:rPr>
                                <w:color w:val="231F20"/>
                              </w:rPr>
                              <w:t>RWC,</w:t>
                            </w:r>
                            <w:r>
                              <w:rPr>
                                <w:color w:val="231F20"/>
                                <w:spacing w:val="-1"/>
                              </w:rPr>
                              <w:t xml:space="preserve"> </w:t>
                            </w:r>
                            <w:r>
                              <w:rPr>
                                <w:color w:val="231F20"/>
                              </w:rPr>
                              <w:t>which</w:t>
                            </w:r>
                            <w:r>
                              <w:rPr>
                                <w:color w:val="231F20"/>
                                <w:spacing w:val="-1"/>
                              </w:rPr>
                              <w:t xml:space="preserve"> </w:t>
                            </w:r>
                            <w:r>
                              <w:rPr>
                                <w:color w:val="231F20"/>
                              </w:rPr>
                              <w:t>was</w:t>
                            </w:r>
                            <w:r>
                              <w:rPr>
                                <w:color w:val="231F20"/>
                                <w:spacing w:val="-1"/>
                              </w:rPr>
                              <w:t xml:space="preserve"> </w:t>
                            </w:r>
                            <w:r>
                              <w:rPr>
                                <w:color w:val="231F20"/>
                              </w:rPr>
                              <w:t>hosted</w:t>
                            </w:r>
                            <w:r>
                              <w:rPr>
                                <w:color w:val="231F20"/>
                                <w:spacing w:val="-1"/>
                              </w:rPr>
                              <w:t xml:space="preserve"> </w:t>
                            </w:r>
                            <w:r>
                              <w:rPr>
                                <w:color w:val="231F20"/>
                              </w:rPr>
                              <w:t>in</w:t>
                            </w:r>
                            <w:r>
                              <w:rPr>
                                <w:color w:val="231F20"/>
                                <w:spacing w:val="-1"/>
                              </w:rPr>
                              <w:t xml:space="preserve"> </w:t>
                            </w:r>
                            <w:r>
                              <w:rPr>
                                <w:color w:val="231F20"/>
                              </w:rPr>
                              <w:t>the</w:t>
                            </w:r>
                            <w:r>
                              <w:rPr>
                                <w:color w:val="231F20"/>
                                <w:spacing w:val="-1"/>
                              </w:rPr>
                              <w:t xml:space="preserve"> </w:t>
                            </w:r>
                            <w:r>
                              <w:rPr>
                                <w:color w:val="231F20"/>
                              </w:rPr>
                              <w:t xml:space="preserve">post-Apartheid </w:t>
                            </w:r>
                            <w:r>
                              <w:rPr>
                                <w:color w:val="231F20"/>
                                <w:w w:val="105"/>
                              </w:rPr>
                              <w:t xml:space="preserve">Republic of South Africa (Steenveld &amp; Strelitz, 1998). In a national sport historically characterised by Afrikaner (white) nationalism </w:t>
                            </w:r>
                            <w:r>
                              <w:rPr>
                                <w:color w:val="231F20"/>
                                <w:w w:val="95"/>
                              </w:rPr>
                              <w:t>(Grundlingh, 1994; Laidlaw, 1999), the 1995 RWC played a critical role</w:t>
                            </w:r>
                            <w:r>
                              <w:rPr>
                                <w:color w:val="231F20"/>
                                <w:spacing w:val="40"/>
                              </w:rPr>
                              <w:t xml:space="preserve"> </w:t>
                            </w:r>
                            <w:r>
                              <w:rPr>
                                <w:color w:val="231F20"/>
                              </w:rPr>
                              <w:t>in</w:t>
                            </w:r>
                            <w:r>
                              <w:rPr>
                                <w:color w:val="231F20"/>
                                <w:spacing w:val="-3"/>
                              </w:rPr>
                              <w:t xml:space="preserve"> </w:t>
                            </w:r>
                            <w:r>
                              <w:rPr>
                                <w:color w:val="231F20"/>
                              </w:rPr>
                              <w:t>forging</w:t>
                            </w:r>
                            <w:r>
                              <w:rPr>
                                <w:color w:val="231F20"/>
                                <w:spacing w:val="-2"/>
                              </w:rPr>
                              <w:t xml:space="preserve"> </w:t>
                            </w:r>
                            <w:r>
                              <w:rPr>
                                <w:color w:val="231F20"/>
                              </w:rPr>
                              <w:t>a</w:t>
                            </w:r>
                            <w:r>
                              <w:rPr>
                                <w:color w:val="231F20"/>
                                <w:spacing w:val="-2"/>
                              </w:rPr>
                              <w:t xml:space="preserve"> </w:t>
                            </w:r>
                            <w:r>
                              <w:rPr>
                                <w:color w:val="231F20"/>
                              </w:rPr>
                              <w:t>post-Apartheid</w:t>
                            </w:r>
                            <w:r>
                              <w:rPr>
                                <w:color w:val="231F20"/>
                                <w:spacing w:val="-3"/>
                              </w:rPr>
                              <w:t xml:space="preserve"> </w:t>
                            </w:r>
                            <w:r>
                              <w:rPr>
                                <w:color w:val="231F20"/>
                              </w:rPr>
                              <w:t>national</w:t>
                            </w:r>
                            <w:r>
                              <w:rPr>
                                <w:color w:val="231F20"/>
                                <w:spacing w:val="-3"/>
                              </w:rPr>
                              <w:t xml:space="preserve"> </w:t>
                            </w:r>
                            <w:r>
                              <w:rPr>
                                <w:color w:val="231F20"/>
                              </w:rPr>
                              <w:t>identity</w:t>
                            </w:r>
                            <w:r>
                              <w:rPr>
                                <w:color w:val="231F20"/>
                                <w:spacing w:val="-3"/>
                              </w:rPr>
                              <w:t xml:space="preserve"> </w:t>
                            </w:r>
                            <w:r>
                              <w:rPr>
                                <w:color w:val="231F20"/>
                              </w:rPr>
                              <w:t>based</w:t>
                            </w:r>
                            <w:r>
                              <w:rPr>
                                <w:color w:val="231F20"/>
                                <w:spacing w:val="-2"/>
                              </w:rPr>
                              <w:t xml:space="preserve"> </w:t>
                            </w:r>
                            <w:r>
                              <w:rPr>
                                <w:color w:val="231F20"/>
                              </w:rPr>
                              <w:t>on</w:t>
                            </w:r>
                            <w:r>
                              <w:rPr>
                                <w:color w:val="231F20"/>
                                <w:spacing w:val="-3"/>
                              </w:rPr>
                              <w:t xml:space="preserve"> </w:t>
                            </w:r>
                            <w:r>
                              <w:rPr>
                                <w:color w:val="231F20"/>
                              </w:rPr>
                              <w:t>the</w:t>
                            </w:r>
                            <w:r>
                              <w:rPr>
                                <w:color w:val="231F20"/>
                                <w:spacing w:val="-2"/>
                              </w:rPr>
                              <w:t xml:space="preserve"> </w:t>
                            </w:r>
                            <w:r>
                              <w:rPr>
                                <w:color w:val="231F20"/>
                              </w:rPr>
                              <w:t>branding</w:t>
                            </w:r>
                            <w:r>
                              <w:rPr>
                                <w:color w:val="231F20"/>
                                <w:spacing w:val="-3"/>
                              </w:rPr>
                              <w:t xml:space="preserve"> </w:t>
                            </w:r>
                            <w:r>
                              <w:rPr>
                                <w:color w:val="231F20"/>
                              </w:rPr>
                              <w:t xml:space="preserve">of the ‘Rainbow Nation’ (Maingard, 1997; Nauright, 1997a, 1997b). This </w:t>
                            </w:r>
                            <w:r>
                              <w:rPr>
                                <w:color w:val="231F20"/>
                                <w:w w:val="105"/>
                              </w:rPr>
                              <w:t>contributed</w:t>
                            </w:r>
                            <w:r>
                              <w:rPr>
                                <w:color w:val="231F20"/>
                                <w:spacing w:val="-6"/>
                                <w:w w:val="105"/>
                              </w:rPr>
                              <w:t xml:space="preserve"> </w:t>
                            </w:r>
                            <w:r>
                              <w:rPr>
                                <w:color w:val="231F20"/>
                                <w:w w:val="105"/>
                              </w:rPr>
                              <w:t>to</w:t>
                            </w:r>
                            <w:r>
                              <w:rPr>
                                <w:color w:val="231F20"/>
                                <w:spacing w:val="-6"/>
                                <w:w w:val="105"/>
                              </w:rPr>
                              <w:t xml:space="preserve"> </w:t>
                            </w:r>
                            <w:r>
                              <w:rPr>
                                <w:color w:val="231F20"/>
                                <w:w w:val="105"/>
                              </w:rPr>
                              <w:t>the</w:t>
                            </w:r>
                            <w:r>
                              <w:rPr>
                                <w:color w:val="231F20"/>
                                <w:spacing w:val="-6"/>
                                <w:w w:val="105"/>
                              </w:rPr>
                              <w:t xml:space="preserve"> </w:t>
                            </w:r>
                            <w:r>
                              <w:rPr>
                                <w:color w:val="231F20"/>
                                <w:w w:val="105"/>
                              </w:rPr>
                              <w:t>‘remaking’</w:t>
                            </w:r>
                            <w:r>
                              <w:rPr>
                                <w:color w:val="231F20"/>
                                <w:spacing w:val="-6"/>
                                <w:w w:val="105"/>
                              </w:rPr>
                              <w:t xml:space="preserve"> </w:t>
                            </w:r>
                            <w:r>
                              <w:rPr>
                                <w:color w:val="231F20"/>
                                <w:w w:val="105"/>
                              </w:rPr>
                              <w:t>of</w:t>
                            </w:r>
                            <w:r>
                              <w:rPr>
                                <w:color w:val="231F20"/>
                                <w:spacing w:val="-6"/>
                                <w:w w:val="105"/>
                              </w:rPr>
                              <w:t xml:space="preserve"> </w:t>
                            </w:r>
                            <w:r>
                              <w:rPr>
                                <w:color w:val="231F20"/>
                                <w:w w:val="105"/>
                              </w:rPr>
                              <w:t>South</w:t>
                            </w:r>
                            <w:r>
                              <w:rPr>
                                <w:color w:val="231F20"/>
                                <w:spacing w:val="-6"/>
                                <w:w w:val="105"/>
                              </w:rPr>
                              <w:t xml:space="preserve"> </w:t>
                            </w:r>
                            <w:r>
                              <w:rPr>
                                <w:color w:val="231F20"/>
                                <w:w w:val="105"/>
                              </w:rPr>
                              <w:t>Africa</w:t>
                            </w:r>
                            <w:r>
                              <w:rPr>
                                <w:color w:val="231F20"/>
                                <w:spacing w:val="-6"/>
                                <w:w w:val="105"/>
                              </w:rPr>
                              <w:t xml:space="preserve"> </w:t>
                            </w:r>
                            <w:r>
                              <w:rPr>
                                <w:color w:val="231F20"/>
                                <w:w w:val="105"/>
                              </w:rPr>
                              <w:t>and</w:t>
                            </w:r>
                            <w:r>
                              <w:rPr>
                                <w:color w:val="231F20"/>
                                <w:spacing w:val="-6"/>
                                <w:w w:val="105"/>
                              </w:rPr>
                              <w:t xml:space="preserve"> </w:t>
                            </w:r>
                            <w:r>
                              <w:rPr>
                                <w:color w:val="231F20"/>
                                <w:w w:val="105"/>
                              </w:rPr>
                              <w:t>the</w:t>
                            </w:r>
                            <w:r>
                              <w:rPr>
                                <w:color w:val="231F20"/>
                                <w:spacing w:val="-6"/>
                                <w:w w:val="105"/>
                              </w:rPr>
                              <w:t xml:space="preserve"> </w:t>
                            </w:r>
                            <w:r>
                              <w:rPr>
                                <w:color w:val="231F20"/>
                                <w:w w:val="105"/>
                              </w:rPr>
                              <w:t>emergence</w:t>
                            </w:r>
                            <w:r>
                              <w:rPr>
                                <w:color w:val="231F20"/>
                                <w:spacing w:val="-6"/>
                                <w:w w:val="105"/>
                              </w:rPr>
                              <w:t xml:space="preserve"> </w:t>
                            </w:r>
                            <w:r>
                              <w:rPr>
                                <w:color w:val="231F20"/>
                                <w:w w:val="105"/>
                              </w:rPr>
                              <w:t xml:space="preserve">of </w:t>
                            </w:r>
                            <w:r>
                              <w:rPr>
                                <w:color w:val="231F20"/>
                                <w:w w:val="95"/>
                              </w:rPr>
                              <w:t xml:space="preserve">South Africa as a global tourism destination (Picard &amp; Robinson, 2006). </w:t>
                            </w:r>
                            <w:r>
                              <w:rPr>
                                <w:color w:val="231F20"/>
                              </w:rPr>
                              <w:t xml:space="preserve">The prominence of the contributions that RWC has made to national </w:t>
                            </w:r>
                            <w:r>
                              <w:rPr>
                                <w:color w:val="231F20"/>
                                <w:w w:val="95"/>
                              </w:rPr>
                              <w:t xml:space="preserve">identity, cultural politics and nation (re)making and (re)imaging raises </w:t>
                            </w:r>
                            <w:r>
                              <w:rPr>
                                <w:color w:val="231F20"/>
                                <w:w w:val="105"/>
                              </w:rPr>
                              <w:t>interesting</w:t>
                            </w:r>
                            <w:r>
                              <w:rPr>
                                <w:color w:val="231F20"/>
                                <w:spacing w:val="-10"/>
                                <w:w w:val="105"/>
                              </w:rPr>
                              <w:t xml:space="preserve"> </w:t>
                            </w:r>
                            <w:r>
                              <w:rPr>
                                <w:color w:val="231F20"/>
                                <w:w w:val="105"/>
                              </w:rPr>
                              <w:t>questions</w:t>
                            </w:r>
                            <w:r>
                              <w:rPr>
                                <w:color w:val="231F20"/>
                                <w:spacing w:val="-10"/>
                                <w:w w:val="105"/>
                              </w:rPr>
                              <w:t xml:space="preserve"> </w:t>
                            </w:r>
                            <w:r>
                              <w:rPr>
                                <w:color w:val="231F20"/>
                                <w:w w:val="105"/>
                              </w:rPr>
                              <w:t>as</w:t>
                            </w:r>
                            <w:r>
                              <w:rPr>
                                <w:color w:val="231F20"/>
                                <w:spacing w:val="-10"/>
                                <w:w w:val="105"/>
                              </w:rPr>
                              <w:t xml:space="preserve"> </w:t>
                            </w:r>
                            <w:r>
                              <w:rPr>
                                <w:color w:val="231F20"/>
                                <w:w w:val="105"/>
                              </w:rPr>
                              <w:t>to</w:t>
                            </w:r>
                            <w:r>
                              <w:rPr>
                                <w:color w:val="231F20"/>
                                <w:spacing w:val="-10"/>
                                <w:w w:val="105"/>
                              </w:rPr>
                              <w:t xml:space="preserve"> </w:t>
                            </w:r>
                            <w:r>
                              <w:rPr>
                                <w:color w:val="231F20"/>
                                <w:w w:val="105"/>
                              </w:rPr>
                              <w:t>the</w:t>
                            </w:r>
                            <w:r>
                              <w:rPr>
                                <w:color w:val="231F20"/>
                                <w:spacing w:val="-10"/>
                                <w:w w:val="105"/>
                              </w:rPr>
                              <w:t xml:space="preserve"> </w:t>
                            </w:r>
                            <w:r>
                              <w:rPr>
                                <w:color w:val="231F20"/>
                                <w:w w:val="105"/>
                              </w:rPr>
                              <w:t>cultural</w:t>
                            </w:r>
                            <w:r>
                              <w:rPr>
                                <w:color w:val="231F20"/>
                                <w:spacing w:val="-10"/>
                                <w:w w:val="105"/>
                              </w:rPr>
                              <w:t xml:space="preserve"> </w:t>
                            </w:r>
                            <w:r>
                              <w:rPr>
                                <w:color w:val="231F20"/>
                                <w:w w:val="105"/>
                              </w:rPr>
                              <w:t>politics</w:t>
                            </w:r>
                            <w:r>
                              <w:rPr>
                                <w:color w:val="231F20"/>
                                <w:spacing w:val="-10"/>
                                <w:w w:val="105"/>
                              </w:rPr>
                              <w:t xml:space="preserve"> </w:t>
                            </w:r>
                            <w:r>
                              <w:rPr>
                                <w:color w:val="231F20"/>
                                <w:w w:val="105"/>
                              </w:rPr>
                              <w:t>of</w:t>
                            </w:r>
                            <w:r>
                              <w:rPr>
                                <w:color w:val="231F20"/>
                                <w:spacing w:val="-10"/>
                                <w:w w:val="105"/>
                              </w:rPr>
                              <w:t xml:space="preserve"> </w:t>
                            </w:r>
                            <w:r>
                              <w:rPr>
                                <w:color w:val="231F20"/>
                                <w:w w:val="105"/>
                              </w:rPr>
                              <w:t>Japan’s</w:t>
                            </w:r>
                            <w:r>
                              <w:rPr>
                                <w:color w:val="231F20"/>
                                <w:spacing w:val="-10"/>
                                <w:w w:val="105"/>
                              </w:rPr>
                              <w:t xml:space="preserve"> </w:t>
                            </w:r>
                            <w:r>
                              <w:rPr>
                                <w:color w:val="231F20"/>
                                <w:w w:val="105"/>
                              </w:rPr>
                              <w:t>hosting</w:t>
                            </w:r>
                            <w:r>
                              <w:rPr>
                                <w:color w:val="231F20"/>
                                <w:spacing w:val="-10"/>
                                <w:w w:val="105"/>
                              </w:rPr>
                              <w:t xml:space="preserve"> </w:t>
                            </w:r>
                            <w:r>
                              <w:rPr>
                                <w:color w:val="231F20"/>
                                <w:w w:val="105"/>
                              </w:rPr>
                              <w:t xml:space="preserve">of </w:t>
                            </w:r>
                            <w:r>
                              <w:rPr>
                                <w:color w:val="231F20"/>
                              </w:rPr>
                              <w:t xml:space="preserve">RWC 2019. Morgan’s (2007) theorisation of event delivery and host– </w:t>
                            </w:r>
                            <w:r>
                              <w:rPr>
                                <w:color w:val="231F20"/>
                                <w:w w:val="95"/>
                              </w:rPr>
                              <w:t>guest</w:t>
                            </w:r>
                            <w:r>
                              <w:rPr>
                                <w:color w:val="231F20"/>
                                <w:spacing w:val="16"/>
                              </w:rPr>
                              <w:t xml:space="preserve"> </w:t>
                            </w:r>
                            <w:r>
                              <w:rPr>
                                <w:color w:val="231F20"/>
                                <w:w w:val="95"/>
                              </w:rPr>
                              <w:t>experiences</w:t>
                            </w:r>
                            <w:r>
                              <w:rPr>
                                <w:color w:val="231F20"/>
                                <w:spacing w:val="16"/>
                              </w:rPr>
                              <w:t xml:space="preserve"> </w:t>
                            </w:r>
                            <w:r>
                              <w:rPr>
                                <w:color w:val="231F20"/>
                                <w:w w:val="95"/>
                              </w:rPr>
                              <w:t>(Figure</w:t>
                            </w:r>
                            <w:r>
                              <w:rPr>
                                <w:color w:val="231F20"/>
                                <w:spacing w:val="16"/>
                              </w:rPr>
                              <w:t xml:space="preserve"> </w:t>
                            </w:r>
                            <w:r>
                              <w:rPr>
                                <w:color w:val="231F20"/>
                                <w:w w:val="95"/>
                              </w:rPr>
                              <w:t>8.1)</w:t>
                            </w:r>
                            <w:r>
                              <w:rPr>
                                <w:color w:val="231F20"/>
                                <w:spacing w:val="16"/>
                              </w:rPr>
                              <w:t xml:space="preserve"> </w:t>
                            </w:r>
                            <w:r>
                              <w:rPr>
                                <w:color w:val="231F20"/>
                                <w:w w:val="95"/>
                              </w:rPr>
                              <w:t>may</w:t>
                            </w:r>
                            <w:r>
                              <w:rPr>
                                <w:color w:val="231F20"/>
                                <w:spacing w:val="16"/>
                              </w:rPr>
                              <w:t xml:space="preserve"> </w:t>
                            </w:r>
                            <w:r>
                              <w:rPr>
                                <w:color w:val="231F20"/>
                                <w:w w:val="95"/>
                              </w:rPr>
                              <w:t>usefully</w:t>
                            </w:r>
                            <w:r>
                              <w:rPr>
                                <w:color w:val="231F20"/>
                                <w:spacing w:val="16"/>
                              </w:rPr>
                              <w:t xml:space="preserve"> </w:t>
                            </w:r>
                            <w:r>
                              <w:rPr>
                                <w:color w:val="231F20"/>
                                <w:w w:val="95"/>
                              </w:rPr>
                              <w:t>inform</w:t>
                            </w:r>
                            <w:r>
                              <w:rPr>
                                <w:color w:val="231F20"/>
                                <w:spacing w:val="16"/>
                              </w:rPr>
                              <w:t xml:space="preserve"> </w:t>
                            </w:r>
                            <w:r>
                              <w:rPr>
                                <w:color w:val="231F20"/>
                                <w:w w:val="95"/>
                              </w:rPr>
                              <w:t>this</w:t>
                            </w:r>
                            <w:r>
                              <w:rPr>
                                <w:color w:val="231F20"/>
                                <w:spacing w:val="16"/>
                              </w:rPr>
                              <w:t xml:space="preserve"> </w:t>
                            </w:r>
                            <w:r>
                              <w:rPr>
                                <w:color w:val="231F20"/>
                                <w:w w:val="95"/>
                              </w:rPr>
                              <w:t>question,</w:t>
                            </w:r>
                            <w:r>
                              <w:rPr>
                                <w:color w:val="231F20"/>
                                <w:spacing w:val="16"/>
                              </w:rPr>
                              <w:t xml:space="preserve"> </w:t>
                            </w:r>
                            <w:r>
                              <w:rPr>
                                <w:color w:val="231F20"/>
                                <w:spacing w:val="-2"/>
                                <w:w w:val="95"/>
                              </w:rPr>
                              <w:t>given</w:t>
                            </w:r>
                          </w:p>
                          <w:p w14:paraId="427E368F" w14:textId="77777777" w:rsidR="00AE0598" w:rsidRDefault="0069255A">
                            <w:pPr>
                              <w:spacing w:before="123"/>
                              <w:ind w:right="111"/>
                              <w:jc w:val="right"/>
                              <w:rPr>
                                <w:rFonts w:ascii="Trebuchet MS"/>
                                <w:i/>
                                <w:color w:val="000000"/>
                                <w:sz w:val="18"/>
                              </w:rPr>
                            </w:pPr>
                            <w:r>
                              <w:rPr>
                                <w:rFonts w:ascii="Trebuchet MS"/>
                                <w:i/>
                                <w:color w:val="231F20"/>
                                <w:spacing w:val="-2"/>
                                <w:sz w:val="18"/>
                              </w:rPr>
                              <w:t>(Continued)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C14E3F" id="docshape222" o:spid="_x0000_s1088" type="#_x0000_t202" style="position:absolute;margin-left:59.5pt;margin-top:17pt;width:323.15pt;height:252.45pt;z-index:-156492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" fillcolor="#dcddde" stroked="f">
                <v:textbox inset="0,0,0,0">
                  <w:txbxContent>
                    <w:p w14:paraId="0E0A7629" w14:textId="77777777" w:rsidR="00AE0598" w:rsidRDefault="0069255A">
                      <w:pPr>
                        <w:spacing w:before="75" w:line="247" w:lineRule="auto"/>
                        <w:ind w:left="113" w:right="756"/>
                        <w:jc w:val="both"/>
                        <w:rPr>
                          <w:rFonts w:ascii="Trebuchet MS" w:hAnsi="Trebuchet MS"/>
                          <w:color w:val="000000"/>
                          <w:sz w:val="20"/>
                        </w:rPr>
                      </w:pPr>
                      <w:r>
                        <w:rPr>
                          <w:rFonts w:ascii="Trebuchet MS" w:hAnsi="Trebuchet MS"/>
                          <w:color w:val="231F20"/>
                          <w:sz w:val="20"/>
                        </w:rPr>
                        <w:t xml:space="preserve">Focus Point 8.1: Co-Creating Event Experiences – Japan 2019 </w:t>
                      </w:r>
                      <w:r>
                        <w:rPr>
                          <w:rFonts w:ascii="Trebuchet MS" w:hAnsi="Trebuchet MS"/>
                          <w:color w:val="231F20"/>
                          <w:w w:val="105"/>
                          <w:sz w:val="20"/>
                        </w:rPr>
                        <w:t>Rugby World Cup</w:t>
                      </w:r>
                    </w:p>
                    <w:p w14:paraId="4263BA6B" w14:textId="77777777" w:rsidR="00AE0598" w:rsidRDefault="0069255A">
                      <w:pPr>
                        <w:pStyle w:val="Corpodetexto"/>
                        <w:spacing w:before="110"/>
                        <w:ind w:left="113"/>
                        <w:jc w:val="both"/>
                        <w:rPr>
                          <w:color w:val="000000"/>
                        </w:rPr>
                      </w:pPr>
                      <w:r>
                        <w:rPr>
                          <w:color w:val="231F20"/>
                        </w:rPr>
                        <w:t>James</w:t>
                      </w:r>
                      <w:r>
                        <w:rPr>
                          <w:color w:val="231F20"/>
                          <w:spacing w:val="11"/>
                        </w:rPr>
                        <w:t xml:space="preserve"> </w:t>
                      </w:r>
                      <w:r>
                        <w:rPr>
                          <w:color w:val="231F20"/>
                        </w:rPr>
                        <w:t>Higham,</w:t>
                      </w:r>
                      <w:r>
                        <w:rPr>
                          <w:color w:val="231F20"/>
                          <w:spacing w:val="12"/>
                        </w:rPr>
                        <w:t xml:space="preserve"> </w:t>
                      </w:r>
                      <w:r>
                        <w:rPr>
                          <w:color w:val="231F20"/>
                        </w:rPr>
                        <w:t>Tom</w:t>
                      </w:r>
                      <w:r>
                        <w:rPr>
                          <w:color w:val="231F20"/>
                          <w:spacing w:val="12"/>
                        </w:rPr>
                        <w:t xml:space="preserve"> </w:t>
                      </w:r>
                      <w:r>
                        <w:rPr>
                          <w:color w:val="231F20"/>
                        </w:rPr>
                        <w:t>Hinch</w:t>
                      </w:r>
                      <w:r>
                        <w:rPr>
                          <w:color w:val="231F20"/>
                          <w:spacing w:val="12"/>
                        </w:rPr>
                        <w:t xml:space="preserve"> </w:t>
                      </w:r>
                      <w:r>
                        <w:rPr>
                          <w:color w:val="231F20"/>
                        </w:rPr>
                        <w:t>and</w:t>
                      </w:r>
                      <w:r>
                        <w:rPr>
                          <w:color w:val="231F20"/>
                          <w:spacing w:val="11"/>
                        </w:rPr>
                        <w:t xml:space="preserve"> </w:t>
                      </w:r>
                      <w:r>
                        <w:rPr>
                          <w:color w:val="231F20"/>
                        </w:rPr>
                        <w:t>Adam</w:t>
                      </w:r>
                      <w:r>
                        <w:rPr>
                          <w:color w:val="231F20"/>
                          <w:spacing w:val="12"/>
                        </w:rPr>
                        <w:t xml:space="preserve"> </w:t>
                      </w:r>
                      <w:r>
                        <w:rPr>
                          <w:color w:val="231F20"/>
                          <w:spacing w:val="-2"/>
                        </w:rPr>
                        <w:t>Doering</w:t>
                      </w:r>
                    </w:p>
                    <w:p w14:paraId="06F36534" w14:textId="77777777" w:rsidR="00AE0598" w:rsidRDefault="0069255A">
                      <w:pPr>
                        <w:pStyle w:val="Corpodetexto"/>
                        <w:spacing w:before="120" w:line="232" w:lineRule="auto"/>
                        <w:ind w:left="113" w:right="110" w:firstLine="320"/>
                        <w:jc w:val="both"/>
                        <w:rPr>
                          <w:color w:val="000000"/>
                        </w:rPr>
                      </w:pPr>
                      <w:r>
                        <w:rPr>
                          <w:color w:val="231F20"/>
                          <w:w w:val="105"/>
                        </w:rPr>
                        <w:t xml:space="preserve">Successive Rugby World Cups (RWC) have served to make or </w:t>
                      </w:r>
                      <w:r>
                        <w:rPr>
                          <w:color w:val="231F20"/>
                          <w:w w:val="95"/>
                        </w:rPr>
                        <w:t>remake important elements of national identi</w:t>
                      </w:r>
                      <w:r>
                        <w:rPr>
                          <w:color w:val="231F20"/>
                          <w:w w:val="95"/>
                        </w:rPr>
                        <w:t xml:space="preserve">ty. Perhaps the most vivid </w:t>
                      </w:r>
                      <w:r>
                        <w:rPr>
                          <w:color w:val="231F20"/>
                        </w:rPr>
                        <w:t>case</w:t>
                      </w:r>
                      <w:r>
                        <w:rPr>
                          <w:color w:val="231F20"/>
                          <w:spacing w:val="-1"/>
                        </w:rPr>
                        <w:t xml:space="preserve"> </w:t>
                      </w:r>
                      <w:r>
                        <w:rPr>
                          <w:color w:val="231F20"/>
                        </w:rPr>
                        <w:t>is</w:t>
                      </w:r>
                      <w:r>
                        <w:rPr>
                          <w:color w:val="231F20"/>
                          <w:spacing w:val="-1"/>
                        </w:rPr>
                        <w:t xml:space="preserve"> </w:t>
                      </w:r>
                      <w:r>
                        <w:rPr>
                          <w:color w:val="231F20"/>
                        </w:rPr>
                        <w:t>that</w:t>
                      </w:r>
                      <w:r>
                        <w:rPr>
                          <w:color w:val="231F20"/>
                          <w:spacing w:val="-1"/>
                        </w:rPr>
                        <w:t xml:space="preserve"> </w:t>
                      </w:r>
                      <w:r>
                        <w:rPr>
                          <w:color w:val="231F20"/>
                        </w:rPr>
                        <w:t>of</w:t>
                      </w:r>
                      <w:r>
                        <w:rPr>
                          <w:color w:val="231F20"/>
                          <w:spacing w:val="-1"/>
                        </w:rPr>
                        <w:t xml:space="preserve"> </w:t>
                      </w:r>
                      <w:r>
                        <w:rPr>
                          <w:color w:val="231F20"/>
                        </w:rPr>
                        <w:t>the</w:t>
                      </w:r>
                      <w:r>
                        <w:rPr>
                          <w:color w:val="231F20"/>
                          <w:spacing w:val="-1"/>
                        </w:rPr>
                        <w:t xml:space="preserve"> </w:t>
                      </w:r>
                      <w:r>
                        <w:rPr>
                          <w:color w:val="231F20"/>
                        </w:rPr>
                        <w:t>1995</w:t>
                      </w:r>
                      <w:r>
                        <w:rPr>
                          <w:color w:val="231F20"/>
                          <w:spacing w:val="-1"/>
                        </w:rPr>
                        <w:t xml:space="preserve"> </w:t>
                      </w:r>
                      <w:r>
                        <w:rPr>
                          <w:color w:val="231F20"/>
                        </w:rPr>
                        <w:t>RWC,</w:t>
                      </w:r>
                      <w:r>
                        <w:rPr>
                          <w:color w:val="231F20"/>
                          <w:spacing w:val="-1"/>
                        </w:rPr>
                        <w:t xml:space="preserve"> </w:t>
                      </w:r>
                      <w:r>
                        <w:rPr>
                          <w:color w:val="231F20"/>
                        </w:rPr>
                        <w:t>which</w:t>
                      </w:r>
                      <w:r>
                        <w:rPr>
                          <w:color w:val="231F20"/>
                          <w:spacing w:val="-1"/>
                        </w:rPr>
                        <w:t xml:space="preserve"> </w:t>
                      </w:r>
                      <w:r>
                        <w:rPr>
                          <w:color w:val="231F20"/>
                        </w:rPr>
                        <w:t>was</w:t>
                      </w:r>
                      <w:r>
                        <w:rPr>
                          <w:color w:val="231F20"/>
                          <w:spacing w:val="-1"/>
                        </w:rPr>
                        <w:t xml:space="preserve"> </w:t>
                      </w:r>
                      <w:r>
                        <w:rPr>
                          <w:color w:val="231F20"/>
                        </w:rPr>
                        <w:t>hosted</w:t>
                      </w:r>
                      <w:r>
                        <w:rPr>
                          <w:color w:val="231F20"/>
                          <w:spacing w:val="-1"/>
                        </w:rPr>
                        <w:t xml:space="preserve"> </w:t>
                      </w:r>
                      <w:r>
                        <w:rPr>
                          <w:color w:val="231F20"/>
                        </w:rPr>
                        <w:t>in</w:t>
                      </w:r>
                      <w:r>
                        <w:rPr>
                          <w:color w:val="231F20"/>
                          <w:spacing w:val="-1"/>
                        </w:rPr>
                        <w:t xml:space="preserve"> </w:t>
                      </w:r>
                      <w:r>
                        <w:rPr>
                          <w:color w:val="231F20"/>
                        </w:rPr>
                        <w:t>the</w:t>
                      </w:r>
                      <w:r>
                        <w:rPr>
                          <w:color w:val="231F20"/>
                          <w:spacing w:val="-1"/>
                        </w:rPr>
                        <w:t xml:space="preserve"> </w:t>
                      </w:r>
                      <w:r>
                        <w:rPr>
                          <w:color w:val="231F20"/>
                        </w:rPr>
                        <w:t xml:space="preserve">post-Apartheid </w:t>
                      </w:r>
                      <w:r>
                        <w:rPr>
                          <w:color w:val="231F20"/>
                          <w:w w:val="105"/>
                        </w:rPr>
                        <w:t xml:space="preserve">Republic of South Africa (Steenveld &amp; Strelitz, 1998). In a national sport historically characterised by Afrikaner (white) nationalism </w:t>
                      </w:r>
                      <w:r>
                        <w:rPr>
                          <w:color w:val="231F20"/>
                          <w:w w:val="95"/>
                        </w:rPr>
                        <w:t>(Grundlingh, 1994; Laidlaw, 1999), the 1995 RWC played a critical role</w:t>
                      </w:r>
                      <w:r>
                        <w:rPr>
                          <w:color w:val="231F20"/>
                          <w:spacing w:val="40"/>
                        </w:rPr>
                        <w:t xml:space="preserve"> </w:t>
                      </w:r>
                      <w:r>
                        <w:rPr>
                          <w:color w:val="231F20"/>
                        </w:rPr>
                        <w:t>in</w:t>
                      </w:r>
                      <w:r>
                        <w:rPr>
                          <w:color w:val="231F20"/>
                          <w:spacing w:val="-3"/>
                        </w:rPr>
                        <w:t xml:space="preserve"> </w:t>
                      </w:r>
                      <w:r>
                        <w:rPr>
                          <w:color w:val="231F20"/>
                        </w:rPr>
                        <w:t>forging</w:t>
                      </w:r>
                      <w:r>
                        <w:rPr>
                          <w:color w:val="231F20"/>
                          <w:spacing w:val="-2"/>
                        </w:rPr>
                        <w:t xml:space="preserve"> </w:t>
                      </w:r>
                      <w:r>
                        <w:rPr>
                          <w:color w:val="231F20"/>
                        </w:rPr>
                        <w:t>a</w:t>
                      </w:r>
                      <w:r>
                        <w:rPr>
                          <w:color w:val="231F20"/>
                          <w:spacing w:val="-2"/>
                        </w:rPr>
                        <w:t xml:space="preserve"> </w:t>
                      </w:r>
                      <w:r>
                        <w:rPr>
                          <w:color w:val="231F20"/>
                        </w:rPr>
                        <w:t>post-Apartheid</w:t>
                      </w:r>
                      <w:r>
                        <w:rPr>
                          <w:color w:val="231F20"/>
                          <w:spacing w:val="-3"/>
                        </w:rPr>
                        <w:t xml:space="preserve"> </w:t>
                      </w:r>
                      <w:r>
                        <w:rPr>
                          <w:color w:val="231F20"/>
                        </w:rPr>
                        <w:t>national</w:t>
                      </w:r>
                      <w:r>
                        <w:rPr>
                          <w:color w:val="231F20"/>
                          <w:spacing w:val="-3"/>
                        </w:rPr>
                        <w:t xml:space="preserve"> </w:t>
                      </w:r>
                      <w:r>
                        <w:rPr>
                          <w:color w:val="231F20"/>
                        </w:rPr>
                        <w:t>identity</w:t>
                      </w:r>
                      <w:r>
                        <w:rPr>
                          <w:color w:val="231F20"/>
                          <w:spacing w:val="-3"/>
                        </w:rPr>
                        <w:t xml:space="preserve"> </w:t>
                      </w:r>
                      <w:r>
                        <w:rPr>
                          <w:color w:val="231F20"/>
                        </w:rPr>
                        <w:t>based</w:t>
                      </w:r>
                      <w:r>
                        <w:rPr>
                          <w:color w:val="231F20"/>
                          <w:spacing w:val="-2"/>
                        </w:rPr>
                        <w:t xml:space="preserve"> </w:t>
                      </w:r>
                      <w:r>
                        <w:rPr>
                          <w:color w:val="231F20"/>
                        </w:rPr>
                        <w:t>on</w:t>
                      </w:r>
                      <w:r>
                        <w:rPr>
                          <w:color w:val="231F20"/>
                          <w:spacing w:val="-3"/>
                        </w:rPr>
                        <w:t xml:space="preserve"> </w:t>
                      </w:r>
                      <w:r>
                        <w:rPr>
                          <w:color w:val="231F20"/>
                        </w:rPr>
                        <w:t>the</w:t>
                      </w:r>
                      <w:r>
                        <w:rPr>
                          <w:color w:val="231F20"/>
                          <w:spacing w:val="-2"/>
                        </w:rPr>
                        <w:t xml:space="preserve"> </w:t>
                      </w:r>
                      <w:r>
                        <w:rPr>
                          <w:color w:val="231F20"/>
                        </w:rPr>
                        <w:t>branding</w:t>
                      </w:r>
                      <w:r>
                        <w:rPr>
                          <w:color w:val="231F20"/>
                          <w:spacing w:val="-3"/>
                        </w:rPr>
                        <w:t xml:space="preserve"> </w:t>
                      </w:r>
                      <w:r>
                        <w:rPr>
                          <w:color w:val="231F20"/>
                        </w:rPr>
                        <w:t xml:space="preserve">of the ‘Rainbow Nation’ (Maingard, 1997; Nauright, 1997a, 1997b). This </w:t>
                      </w:r>
                      <w:r>
                        <w:rPr>
                          <w:color w:val="231F20"/>
                          <w:w w:val="105"/>
                        </w:rPr>
                        <w:t>contributed</w:t>
                      </w:r>
                      <w:r>
                        <w:rPr>
                          <w:color w:val="231F20"/>
                          <w:spacing w:val="-6"/>
                          <w:w w:val="105"/>
                        </w:rPr>
                        <w:t xml:space="preserve"> </w:t>
                      </w:r>
                      <w:r>
                        <w:rPr>
                          <w:color w:val="231F20"/>
                          <w:w w:val="105"/>
                        </w:rPr>
                        <w:t>to</w:t>
                      </w:r>
                      <w:r>
                        <w:rPr>
                          <w:color w:val="231F20"/>
                          <w:spacing w:val="-6"/>
                          <w:w w:val="105"/>
                        </w:rPr>
                        <w:t xml:space="preserve"> </w:t>
                      </w:r>
                      <w:r>
                        <w:rPr>
                          <w:color w:val="231F20"/>
                          <w:w w:val="105"/>
                        </w:rPr>
                        <w:t>the</w:t>
                      </w:r>
                      <w:r>
                        <w:rPr>
                          <w:color w:val="231F20"/>
                          <w:spacing w:val="-6"/>
                          <w:w w:val="105"/>
                        </w:rPr>
                        <w:t xml:space="preserve"> </w:t>
                      </w:r>
                      <w:r>
                        <w:rPr>
                          <w:color w:val="231F20"/>
                          <w:w w:val="105"/>
                        </w:rPr>
                        <w:t>‘remaking’</w:t>
                      </w:r>
                      <w:r>
                        <w:rPr>
                          <w:color w:val="231F20"/>
                          <w:spacing w:val="-6"/>
                          <w:w w:val="105"/>
                        </w:rPr>
                        <w:t xml:space="preserve"> </w:t>
                      </w:r>
                      <w:r>
                        <w:rPr>
                          <w:color w:val="231F20"/>
                          <w:w w:val="105"/>
                        </w:rPr>
                        <w:t>of</w:t>
                      </w:r>
                      <w:r>
                        <w:rPr>
                          <w:color w:val="231F20"/>
                          <w:spacing w:val="-6"/>
                          <w:w w:val="105"/>
                        </w:rPr>
                        <w:t xml:space="preserve"> </w:t>
                      </w:r>
                      <w:r>
                        <w:rPr>
                          <w:color w:val="231F20"/>
                          <w:w w:val="105"/>
                        </w:rPr>
                        <w:t>South</w:t>
                      </w:r>
                      <w:r>
                        <w:rPr>
                          <w:color w:val="231F20"/>
                          <w:spacing w:val="-6"/>
                          <w:w w:val="105"/>
                        </w:rPr>
                        <w:t xml:space="preserve"> </w:t>
                      </w:r>
                      <w:r>
                        <w:rPr>
                          <w:color w:val="231F20"/>
                          <w:w w:val="105"/>
                        </w:rPr>
                        <w:t>Africa</w:t>
                      </w:r>
                      <w:r>
                        <w:rPr>
                          <w:color w:val="231F20"/>
                          <w:spacing w:val="-6"/>
                          <w:w w:val="105"/>
                        </w:rPr>
                        <w:t xml:space="preserve"> </w:t>
                      </w:r>
                      <w:r>
                        <w:rPr>
                          <w:color w:val="231F20"/>
                          <w:w w:val="105"/>
                        </w:rPr>
                        <w:t>and</w:t>
                      </w:r>
                      <w:r>
                        <w:rPr>
                          <w:color w:val="231F20"/>
                          <w:spacing w:val="-6"/>
                          <w:w w:val="105"/>
                        </w:rPr>
                        <w:t xml:space="preserve"> </w:t>
                      </w:r>
                      <w:r>
                        <w:rPr>
                          <w:color w:val="231F20"/>
                          <w:w w:val="105"/>
                        </w:rPr>
                        <w:t>the</w:t>
                      </w:r>
                      <w:r>
                        <w:rPr>
                          <w:color w:val="231F20"/>
                          <w:spacing w:val="-6"/>
                          <w:w w:val="105"/>
                        </w:rPr>
                        <w:t xml:space="preserve"> </w:t>
                      </w:r>
                      <w:r>
                        <w:rPr>
                          <w:color w:val="231F20"/>
                          <w:w w:val="105"/>
                        </w:rPr>
                        <w:t>emergence</w:t>
                      </w:r>
                      <w:r>
                        <w:rPr>
                          <w:color w:val="231F20"/>
                          <w:spacing w:val="-6"/>
                          <w:w w:val="105"/>
                        </w:rPr>
                        <w:t xml:space="preserve"> </w:t>
                      </w:r>
                      <w:r>
                        <w:rPr>
                          <w:color w:val="231F20"/>
                          <w:w w:val="105"/>
                        </w:rPr>
                        <w:t xml:space="preserve">of </w:t>
                      </w:r>
                      <w:r>
                        <w:rPr>
                          <w:color w:val="231F20"/>
                          <w:w w:val="95"/>
                        </w:rPr>
                        <w:t xml:space="preserve">South Africa as a global tourism destination (Picard &amp; Robinson, 2006). </w:t>
                      </w:r>
                      <w:r>
                        <w:rPr>
                          <w:color w:val="231F20"/>
                        </w:rPr>
                        <w:t xml:space="preserve">The prominence of the contributions that RWC has made to national </w:t>
                      </w:r>
                      <w:r>
                        <w:rPr>
                          <w:color w:val="231F20"/>
                          <w:w w:val="95"/>
                        </w:rPr>
                        <w:t xml:space="preserve">identity, cultural politics and nation (re)making and (re)imaging raises </w:t>
                      </w:r>
                      <w:r>
                        <w:rPr>
                          <w:color w:val="231F20"/>
                          <w:w w:val="105"/>
                        </w:rPr>
                        <w:t>interesting</w:t>
                      </w:r>
                      <w:r>
                        <w:rPr>
                          <w:color w:val="231F20"/>
                          <w:spacing w:val="-10"/>
                          <w:w w:val="105"/>
                        </w:rPr>
                        <w:t xml:space="preserve"> </w:t>
                      </w:r>
                      <w:r>
                        <w:rPr>
                          <w:color w:val="231F20"/>
                          <w:w w:val="105"/>
                        </w:rPr>
                        <w:t>questions</w:t>
                      </w:r>
                      <w:r>
                        <w:rPr>
                          <w:color w:val="231F20"/>
                          <w:spacing w:val="-10"/>
                          <w:w w:val="105"/>
                        </w:rPr>
                        <w:t xml:space="preserve"> </w:t>
                      </w:r>
                      <w:r>
                        <w:rPr>
                          <w:color w:val="231F20"/>
                          <w:w w:val="105"/>
                        </w:rPr>
                        <w:t>as</w:t>
                      </w:r>
                      <w:r>
                        <w:rPr>
                          <w:color w:val="231F20"/>
                          <w:spacing w:val="-10"/>
                          <w:w w:val="105"/>
                        </w:rPr>
                        <w:t xml:space="preserve"> </w:t>
                      </w:r>
                      <w:r>
                        <w:rPr>
                          <w:color w:val="231F20"/>
                          <w:w w:val="105"/>
                        </w:rPr>
                        <w:t>to</w:t>
                      </w:r>
                      <w:r>
                        <w:rPr>
                          <w:color w:val="231F20"/>
                          <w:spacing w:val="-10"/>
                          <w:w w:val="105"/>
                        </w:rPr>
                        <w:t xml:space="preserve"> </w:t>
                      </w:r>
                      <w:r>
                        <w:rPr>
                          <w:color w:val="231F20"/>
                          <w:w w:val="105"/>
                        </w:rPr>
                        <w:t>the</w:t>
                      </w:r>
                      <w:r>
                        <w:rPr>
                          <w:color w:val="231F20"/>
                          <w:spacing w:val="-10"/>
                          <w:w w:val="105"/>
                        </w:rPr>
                        <w:t xml:space="preserve"> </w:t>
                      </w:r>
                      <w:r>
                        <w:rPr>
                          <w:color w:val="231F20"/>
                          <w:w w:val="105"/>
                        </w:rPr>
                        <w:t>cultural</w:t>
                      </w:r>
                      <w:r>
                        <w:rPr>
                          <w:color w:val="231F20"/>
                          <w:spacing w:val="-10"/>
                          <w:w w:val="105"/>
                        </w:rPr>
                        <w:t xml:space="preserve"> </w:t>
                      </w:r>
                      <w:r>
                        <w:rPr>
                          <w:color w:val="231F20"/>
                          <w:w w:val="105"/>
                        </w:rPr>
                        <w:t>politics</w:t>
                      </w:r>
                      <w:r>
                        <w:rPr>
                          <w:color w:val="231F20"/>
                          <w:spacing w:val="-10"/>
                          <w:w w:val="105"/>
                        </w:rPr>
                        <w:t xml:space="preserve"> </w:t>
                      </w:r>
                      <w:r>
                        <w:rPr>
                          <w:color w:val="231F20"/>
                          <w:w w:val="105"/>
                        </w:rPr>
                        <w:t>of</w:t>
                      </w:r>
                      <w:r>
                        <w:rPr>
                          <w:color w:val="231F20"/>
                          <w:spacing w:val="-10"/>
                          <w:w w:val="105"/>
                        </w:rPr>
                        <w:t xml:space="preserve"> </w:t>
                      </w:r>
                      <w:r>
                        <w:rPr>
                          <w:color w:val="231F20"/>
                          <w:w w:val="105"/>
                        </w:rPr>
                        <w:t>Japan’s</w:t>
                      </w:r>
                      <w:r>
                        <w:rPr>
                          <w:color w:val="231F20"/>
                          <w:spacing w:val="-10"/>
                          <w:w w:val="105"/>
                        </w:rPr>
                        <w:t xml:space="preserve"> </w:t>
                      </w:r>
                      <w:r>
                        <w:rPr>
                          <w:color w:val="231F20"/>
                          <w:w w:val="105"/>
                        </w:rPr>
                        <w:t>hosting</w:t>
                      </w:r>
                      <w:r>
                        <w:rPr>
                          <w:color w:val="231F20"/>
                          <w:spacing w:val="-10"/>
                          <w:w w:val="105"/>
                        </w:rPr>
                        <w:t xml:space="preserve"> </w:t>
                      </w:r>
                      <w:r>
                        <w:rPr>
                          <w:color w:val="231F20"/>
                          <w:w w:val="105"/>
                        </w:rPr>
                        <w:t xml:space="preserve">of </w:t>
                      </w:r>
                      <w:r>
                        <w:rPr>
                          <w:color w:val="231F20"/>
                        </w:rPr>
                        <w:t xml:space="preserve">RWC 2019. Morgan’s (2007) theorisation of event delivery and host– </w:t>
                      </w:r>
                      <w:r>
                        <w:rPr>
                          <w:color w:val="231F20"/>
                          <w:w w:val="95"/>
                        </w:rPr>
                        <w:t>guest</w:t>
                      </w:r>
                      <w:r>
                        <w:rPr>
                          <w:color w:val="231F20"/>
                          <w:spacing w:val="16"/>
                        </w:rPr>
                        <w:t xml:space="preserve"> </w:t>
                      </w:r>
                      <w:r>
                        <w:rPr>
                          <w:color w:val="231F20"/>
                          <w:w w:val="95"/>
                        </w:rPr>
                        <w:t>experiences</w:t>
                      </w:r>
                      <w:r>
                        <w:rPr>
                          <w:color w:val="231F20"/>
                          <w:spacing w:val="16"/>
                        </w:rPr>
                        <w:t xml:space="preserve"> </w:t>
                      </w:r>
                      <w:r>
                        <w:rPr>
                          <w:color w:val="231F20"/>
                          <w:w w:val="95"/>
                        </w:rPr>
                        <w:t>(Figure</w:t>
                      </w:r>
                      <w:r>
                        <w:rPr>
                          <w:color w:val="231F20"/>
                          <w:spacing w:val="16"/>
                        </w:rPr>
                        <w:t xml:space="preserve"> </w:t>
                      </w:r>
                      <w:r>
                        <w:rPr>
                          <w:color w:val="231F20"/>
                          <w:w w:val="95"/>
                        </w:rPr>
                        <w:t>8.1)</w:t>
                      </w:r>
                      <w:r>
                        <w:rPr>
                          <w:color w:val="231F20"/>
                          <w:spacing w:val="16"/>
                        </w:rPr>
                        <w:t xml:space="preserve"> </w:t>
                      </w:r>
                      <w:r>
                        <w:rPr>
                          <w:color w:val="231F20"/>
                          <w:w w:val="95"/>
                        </w:rPr>
                        <w:t>may</w:t>
                      </w:r>
                      <w:r>
                        <w:rPr>
                          <w:color w:val="231F20"/>
                          <w:spacing w:val="16"/>
                        </w:rPr>
                        <w:t xml:space="preserve"> </w:t>
                      </w:r>
                      <w:r>
                        <w:rPr>
                          <w:color w:val="231F20"/>
                          <w:w w:val="95"/>
                        </w:rPr>
                        <w:t>usefully</w:t>
                      </w:r>
                      <w:r>
                        <w:rPr>
                          <w:color w:val="231F20"/>
                          <w:spacing w:val="16"/>
                        </w:rPr>
                        <w:t xml:space="preserve"> </w:t>
                      </w:r>
                      <w:r>
                        <w:rPr>
                          <w:color w:val="231F20"/>
                          <w:w w:val="95"/>
                        </w:rPr>
                        <w:t>inform</w:t>
                      </w:r>
                      <w:r>
                        <w:rPr>
                          <w:color w:val="231F20"/>
                          <w:spacing w:val="16"/>
                        </w:rPr>
                        <w:t xml:space="preserve"> </w:t>
                      </w:r>
                      <w:r>
                        <w:rPr>
                          <w:color w:val="231F20"/>
                          <w:w w:val="95"/>
                        </w:rPr>
                        <w:t>this</w:t>
                      </w:r>
                      <w:r>
                        <w:rPr>
                          <w:color w:val="231F20"/>
                          <w:spacing w:val="16"/>
                        </w:rPr>
                        <w:t xml:space="preserve"> </w:t>
                      </w:r>
                      <w:r>
                        <w:rPr>
                          <w:color w:val="231F20"/>
                          <w:w w:val="95"/>
                        </w:rPr>
                        <w:t>question,</w:t>
                      </w:r>
                      <w:r>
                        <w:rPr>
                          <w:color w:val="231F20"/>
                          <w:spacing w:val="16"/>
                        </w:rPr>
                        <w:t xml:space="preserve"> </w:t>
                      </w:r>
                      <w:r>
                        <w:rPr>
                          <w:color w:val="231F20"/>
                          <w:spacing w:val="-2"/>
                          <w:w w:val="95"/>
                        </w:rPr>
                        <w:t>given</w:t>
                      </w:r>
                    </w:p>
                    <w:p w14:paraId="427E368F" w14:textId="77777777" w:rsidR="00AE0598" w:rsidRDefault="0069255A">
                      <w:pPr>
                        <w:spacing w:before="123"/>
                        <w:ind w:right="111"/>
                        <w:jc w:val="right"/>
                        <w:rPr>
                          <w:rFonts w:ascii="Trebuchet MS"/>
                          <w:i/>
                          <w:color w:val="000000"/>
                          <w:sz w:val="18"/>
                        </w:rPr>
                      </w:pPr>
                      <w:r>
                        <w:rPr>
                          <w:rFonts w:ascii="Trebuchet MS"/>
                          <w:i/>
                          <w:color w:val="231F20"/>
                          <w:spacing w:val="-2"/>
                          <w:sz w:val="18"/>
                        </w:rPr>
                        <w:t>(Continued)</w:t>
                      </w:r>
                    </w:p>
                  </w:txbxContent>
                </v:textbox>
                <w10:wrap type="topAndBottom" anchorx="page"/>
              </v:shape>
            </w:pict>
          </mc:Fallback>
        </mc:AlternateContent>
      </w:r>
    </w:p>
    <w:p w14:paraId="204E5D73" w14:textId="77777777" w:rsidR="00AE0598" w:rsidRDefault="00AE0598">
      <w:pPr>
        <w:rPr>
          <w:sz w:val="26"/>
        </w:rPr>
        <w:sectPr w:rsidR="00AE0598">
          <w:pgSz w:w="8850" w:h="13270"/>
          <w:pgMar w:top="720" w:right="1060" w:bottom="280" w:left="1080" w:header="720" w:footer="720" w:gutter="0"/>
          <w:cols w:space="720"/>
        </w:sectPr>
      </w:pPr>
    </w:p>
    <w:p w14:paraId="7963D71F" w14:textId="1610642A" w:rsidR="00AE0598" w:rsidRDefault="0069255A">
      <w:pPr>
        <w:spacing w:before="87"/>
        <w:ind w:left="108"/>
        <w:rPr>
          <w:rFonts w:ascii="Trebuchet MS"/>
          <w:sz w:val="14"/>
        </w:rPr>
      </w:pPr>
      <w:r>
        <w:rPr>
          <w:noProof/>
        </w:rPr>
        <w:lastRenderedPageBreak/>
        <mc:AlternateContent>
          <mc:Choice Requires="wps">
            <w:drawing>
              <wp:anchor distT="0" distB="0" distL="114300" distR="114300" simplePos="0" relativeHeight="483732480" behindDoc="1" locked="0" layoutInCell="1" allowOverlap="1" wp14:anchorId="2BE3C6B7" wp14:editId="6ACEAEAF">
                <wp:simplePos x="0" y="0"/>
                <wp:positionH relativeFrom="page">
                  <wp:posOffset>755650</wp:posOffset>
                </wp:positionH>
                <wp:positionV relativeFrom="page">
                  <wp:posOffset>838200</wp:posOffset>
                </wp:positionV>
                <wp:extent cx="4104005" cy="6645910"/>
                <wp:effectExtent l="0" t="0" r="0" b="0"/>
                <wp:wrapNone/>
                <wp:docPr id="143" name="docshape2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04005" cy="6645910"/>
                        </a:xfrm>
                        <a:prstGeom prst="rect">
                          <a:avLst/>
                        </a:prstGeom>
                        <a:solidFill>
                          <a:srgbClr val="DCDDD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31DDEF" id="docshape223" o:spid="_x0000_s1026" style="position:absolute;margin-left:59.5pt;margin-top:66pt;width:323.15pt;height:523.3pt;z-index:-195840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" fillcolor="#dcddde" stroked="f">
                <w10:wrap anchorx="page" anchory="page"/>
              </v:rect>
            </w:pict>
          </mc:Fallback>
        </mc:AlternateContent>
      </w:r>
      <w:r>
        <w:rPr>
          <w:rFonts w:ascii="Trebuchet MS"/>
          <w:color w:val="231F20"/>
          <w:w w:val="105"/>
          <w:sz w:val="14"/>
        </w:rPr>
        <w:t>162</w:t>
      </w:r>
      <w:r>
        <w:rPr>
          <w:rFonts w:ascii="Trebuchet MS"/>
          <w:color w:val="231F20"/>
          <w:spacing w:val="66"/>
          <w:w w:val="150"/>
          <w:sz w:val="14"/>
        </w:rPr>
        <w:t xml:space="preserve"> </w:t>
      </w:r>
      <w:r>
        <w:rPr>
          <w:rFonts w:ascii="Trebuchet MS"/>
          <w:color w:val="231F20"/>
          <w:w w:val="105"/>
          <w:sz w:val="14"/>
        </w:rPr>
        <w:t>Part</w:t>
      </w:r>
      <w:r>
        <w:rPr>
          <w:rFonts w:ascii="Trebuchet MS"/>
          <w:color w:val="231F20"/>
          <w:spacing w:val="-9"/>
          <w:w w:val="105"/>
          <w:sz w:val="14"/>
        </w:rPr>
        <w:t xml:space="preserve"> </w:t>
      </w:r>
      <w:r>
        <w:rPr>
          <w:rFonts w:ascii="Trebuchet MS"/>
          <w:color w:val="231F20"/>
          <w:w w:val="105"/>
          <w:sz w:val="14"/>
        </w:rPr>
        <w:t>4:</w:t>
      </w:r>
      <w:r>
        <w:rPr>
          <w:rFonts w:ascii="Trebuchet MS"/>
          <w:color w:val="231F20"/>
          <w:spacing w:val="-8"/>
          <w:w w:val="105"/>
          <w:sz w:val="14"/>
        </w:rPr>
        <w:t xml:space="preserve"> </w:t>
      </w:r>
      <w:r>
        <w:rPr>
          <w:rFonts w:ascii="Trebuchet MS"/>
          <w:color w:val="231F20"/>
          <w:w w:val="105"/>
          <w:sz w:val="14"/>
        </w:rPr>
        <w:t>Sport</w:t>
      </w:r>
      <w:r>
        <w:rPr>
          <w:rFonts w:ascii="Trebuchet MS"/>
          <w:color w:val="231F20"/>
          <w:spacing w:val="-9"/>
          <w:w w:val="105"/>
          <w:sz w:val="14"/>
        </w:rPr>
        <w:t xml:space="preserve"> </w:t>
      </w:r>
      <w:r>
        <w:rPr>
          <w:rFonts w:ascii="Trebuchet MS"/>
          <w:color w:val="231F20"/>
          <w:w w:val="105"/>
          <w:sz w:val="14"/>
        </w:rPr>
        <w:t>Tourism</w:t>
      </w:r>
      <w:r>
        <w:rPr>
          <w:rFonts w:ascii="Trebuchet MS"/>
          <w:color w:val="231F20"/>
          <w:spacing w:val="-9"/>
          <w:w w:val="105"/>
          <w:sz w:val="14"/>
        </w:rPr>
        <w:t xml:space="preserve"> </w:t>
      </w:r>
      <w:r>
        <w:rPr>
          <w:rFonts w:ascii="Trebuchet MS"/>
          <w:color w:val="231F20"/>
          <w:w w:val="105"/>
          <w:sz w:val="14"/>
        </w:rPr>
        <w:t>Development</w:t>
      </w:r>
      <w:r>
        <w:rPr>
          <w:rFonts w:ascii="Trebuchet MS"/>
          <w:color w:val="231F20"/>
          <w:spacing w:val="-9"/>
          <w:w w:val="105"/>
          <w:sz w:val="14"/>
        </w:rPr>
        <w:t xml:space="preserve"> </w:t>
      </w:r>
      <w:r>
        <w:rPr>
          <w:rFonts w:ascii="Trebuchet MS"/>
          <w:color w:val="231F20"/>
          <w:w w:val="105"/>
          <w:sz w:val="14"/>
        </w:rPr>
        <w:t>and</w:t>
      </w:r>
      <w:r>
        <w:rPr>
          <w:rFonts w:ascii="Trebuchet MS"/>
          <w:color w:val="231F20"/>
          <w:spacing w:val="-8"/>
          <w:w w:val="105"/>
          <w:sz w:val="14"/>
        </w:rPr>
        <w:t xml:space="preserve"> </w:t>
      </w:r>
      <w:r>
        <w:rPr>
          <w:rFonts w:ascii="Trebuchet MS"/>
          <w:color w:val="231F20"/>
          <w:spacing w:val="-4"/>
          <w:w w:val="105"/>
          <w:sz w:val="14"/>
        </w:rPr>
        <w:t>Time</w:t>
      </w:r>
    </w:p>
    <w:p w14:paraId="0640B202" w14:textId="77777777" w:rsidR="00AE0598" w:rsidRDefault="00AE0598">
      <w:pPr>
        <w:pStyle w:val="Corpodetexto"/>
        <w:spacing w:before="7"/>
        <w:rPr>
          <w:rFonts w:ascii="Trebuchet MS"/>
          <w:sz w:val="27"/>
        </w:rPr>
      </w:pPr>
    </w:p>
    <w:p w14:paraId="7AF9A002" w14:textId="77777777" w:rsidR="00AE0598" w:rsidRDefault="0069255A">
      <w:pPr>
        <w:spacing w:before="99"/>
        <w:ind w:left="223"/>
        <w:jc w:val="both"/>
        <w:rPr>
          <w:rFonts w:ascii="Trebuchet MS"/>
          <w:sz w:val="18"/>
        </w:rPr>
      </w:pPr>
      <w:r>
        <w:rPr>
          <w:rFonts w:ascii="Trebuchet MS"/>
          <w:color w:val="231F20"/>
          <w:sz w:val="20"/>
        </w:rPr>
        <w:t>Focus</w:t>
      </w:r>
      <w:r>
        <w:rPr>
          <w:rFonts w:ascii="Trebuchet MS"/>
          <w:color w:val="231F20"/>
          <w:spacing w:val="-9"/>
          <w:sz w:val="20"/>
        </w:rPr>
        <w:t xml:space="preserve"> </w:t>
      </w:r>
      <w:r>
        <w:rPr>
          <w:rFonts w:ascii="Trebuchet MS"/>
          <w:color w:val="231F20"/>
          <w:sz w:val="20"/>
        </w:rPr>
        <w:t>Point</w:t>
      </w:r>
      <w:r>
        <w:rPr>
          <w:rFonts w:ascii="Trebuchet MS"/>
          <w:color w:val="231F20"/>
          <w:spacing w:val="-8"/>
          <w:sz w:val="20"/>
        </w:rPr>
        <w:t xml:space="preserve"> </w:t>
      </w:r>
      <w:r>
        <w:rPr>
          <w:rFonts w:ascii="Trebuchet MS"/>
          <w:color w:val="231F20"/>
          <w:sz w:val="20"/>
        </w:rPr>
        <w:t>8.1</w:t>
      </w:r>
      <w:r>
        <w:rPr>
          <w:rFonts w:ascii="Trebuchet MS"/>
          <w:color w:val="231F20"/>
          <w:sz w:val="18"/>
        </w:rPr>
        <w:t>:</w:t>
      </w:r>
      <w:r>
        <w:rPr>
          <w:rFonts w:ascii="Trebuchet MS"/>
          <w:color w:val="231F20"/>
          <w:spacing w:val="-8"/>
          <w:sz w:val="18"/>
        </w:rPr>
        <w:t xml:space="preserve"> </w:t>
      </w:r>
      <w:r>
        <w:rPr>
          <w:rFonts w:ascii="Trebuchet MS"/>
          <w:color w:val="231F20"/>
          <w:spacing w:val="-2"/>
          <w:sz w:val="18"/>
        </w:rPr>
        <w:t>(Continued)</w:t>
      </w:r>
    </w:p>
    <w:p w14:paraId="557C7026" w14:textId="77777777" w:rsidR="00AE0598" w:rsidRDefault="0069255A">
      <w:pPr>
        <w:pStyle w:val="Corpodetexto"/>
        <w:spacing w:before="176" w:line="232" w:lineRule="auto"/>
        <w:ind w:left="223" w:right="238"/>
        <w:jc w:val="both"/>
      </w:pPr>
      <w:r>
        <w:rPr>
          <w:color w:val="231F20"/>
        </w:rPr>
        <w:t>the</w:t>
      </w:r>
      <w:r>
        <w:rPr>
          <w:color w:val="231F20"/>
          <w:spacing w:val="-10"/>
        </w:rPr>
        <w:t xml:space="preserve"> </w:t>
      </w:r>
      <w:r>
        <w:rPr>
          <w:color w:val="231F20"/>
        </w:rPr>
        <w:t>attention</w:t>
      </w:r>
      <w:r>
        <w:rPr>
          <w:color w:val="231F20"/>
          <w:spacing w:val="-10"/>
        </w:rPr>
        <w:t xml:space="preserve"> </w:t>
      </w:r>
      <w:r>
        <w:rPr>
          <w:color w:val="231F20"/>
        </w:rPr>
        <w:t>he</w:t>
      </w:r>
      <w:r>
        <w:rPr>
          <w:color w:val="231F20"/>
          <w:spacing w:val="-10"/>
        </w:rPr>
        <w:t xml:space="preserve"> </w:t>
      </w:r>
      <w:r>
        <w:rPr>
          <w:color w:val="231F20"/>
        </w:rPr>
        <w:t>pays</w:t>
      </w:r>
      <w:r>
        <w:rPr>
          <w:color w:val="231F20"/>
          <w:spacing w:val="-10"/>
        </w:rPr>
        <w:t xml:space="preserve"> </w:t>
      </w:r>
      <w:r>
        <w:rPr>
          <w:color w:val="231F20"/>
        </w:rPr>
        <w:t>to</w:t>
      </w:r>
      <w:r>
        <w:rPr>
          <w:color w:val="231F20"/>
          <w:spacing w:val="-9"/>
        </w:rPr>
        <w:t xml:space="preserve"> </w:t>
      </w:r>
      <w:r>
        <w:rPr>
          <w:color w:val="231F20"/>
        </w:rPr>
        <w:t>the</w:t>
      </w:r>
      <w:r>
        <w:rPr>
          <w:color w:val="231F20"/>
          <w:spacing w:val="-10"/>
        </w:rPr>
        <w:t xml:space="preserve"> </w:t>
      </w:r>
      <w:r>
        <w:rPr>
          <w:color w:val="231F20"/>
        </w:rPr>
        <w:t>interplay</w:t>
      </w:r>
      <w:r>
        <w:rPr>
          <w:color w:val="231F20"/>
          <w:spacing w:val="-10"/>
        </w:rPr>
        <w:t xml:space="preserve"> </w:t>
      </w:r>
      <w:r>
        <w:rPr>
          <w:color w:val="231F20"/>
        </w:rPr>
        <w:t>of</w:t>
      </w:r>
      <w:r>
        <w:rPr>
          <w:color w:val="231F20"/>
          <w:spacing w:val="-9"/>
        </w:rPr>
        <w:t xml:space="preserve"> </w:t>
      </w:r>
      <w:r>
        <w:rPr>
          <w:color w:val="231F20"/>
        </w:rPr>
        <w:t>external</w:t>
      </w:r>
      <w:r>
        <w:rPr>
          <w:color w:val="231F20"/>
          <w:spacing w:val="-9"/>
        </w:rPr>
        <w:t xml:space="preserve"> </w:t>
      </w:r>
      <w:r>
        <w:rPr>
          <w:color w:val="231F20"/>
        </w:rPr>
        <w:t>(as</w:t>
      </w:r>
      <w:r>
        <w:rPr>
          <w:color w:val="231F20"/>
          <w:spacing w:val="-10"/>
        </w:rPr>
        <w:t xml:space="preserve"> </w:t>
      </w:r>
      <w:r>
        <w:rPr>
          <w:color w:val="231F20"/>
        </w:rPr>
        <w:t>interpreted</w:t>
      </w:r>
      <w:r>
        <w:rPr>
          <w:color w:val="231F20"/>
          <w:spacing w:val="-10"/>
        </w:rPr>
        <w:t xml:space="preserve"> </w:t>
      </w:r>
      <w:r>
        <w:rPr>
          <w:color w:val="231F20"/>
        </w:rPr>
        <w:t>by</w:t>
      </w:r>
      <w:r>
        <w:rPr>
          <w:color w:val="231F20"/>
          <w:spacing w:val="-9"/>
        </w:rPr>
        <w:t xml:space="preserve"> </w:t>
      </w:r>
      <w:r>
        <w:rPr>
          <w:color w:val="231F20"/>
        </w:rPr>
        <w:t xml:space="preserve">the </w:t>
      </w:r>
      <w:r>
        <w:rPr>
          <w:color w:val="231F20"/>
          <w:w w:val="95"/>
        </w:rPr>
        <w:t xml:space="preserve">event organiser) and internal (as perceived, understood and interpreted by event attendees) elements. External elements relate to the image and brand of the destination in terms of physical destination attributes and </w:t>
      </w:r>
      <w:r>
        <w:rPr>
          <w:color w:val="231F20"/>
        </w:rPr>
        <w:t>the</w:t>
      </w:r>
      <w:r>
        <w:rPr>
          <w:color w:val="231F20"/>
          <w:spacing w:val="-3"/>
        </w:rPr>
        <w:t xml:space="preserve"> </w:t>
      </w:r>
      <w:r>
        <w:rPr>
          <w:color w:val="231F20"/>
        </w:rPr>
        <w:t>holistic</w:t>
      </w:r>
      <w:r>
        <w:rPr>
          <w:color w:val="231F20"/>
          <w:spacing w:val="-3"/>
        </w:rPr>
        <w:t xml:space="preserve"> </w:t>
      </w:r>
      <w:r>
        <w:rPr>
          <w:color w:val="231F20"/>
        </w:rPr>
        <w:t>image</w:t>
      </w:r>
      <w:r>
        <w:rPr>
          <w:color w:val="231F20"/>
          <w:spacing w:val="-3"/>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rPr>
        <w:t>destination</w:t>
      </w:r>
      <w:r>
        <w:rPr>
          <w:color w:val="231F20"/>
          <w:spacing w:val="-3"/>
        </w:rPr>
        <w:t xml:space="preserve"> </w:t>
      </w:r>
      <w:r>
        <w:rPr>
          <w:color w:val="231F20"/>
        </w:rPr>
        <w:t>a</w:t>
      </w:r>
      <w:r>
        <w:rPr>
          <w:color w:val="231F20"/>
        </w:rPr>
        <w:t>nd</w:t>
      </w:r>
      <w:r>
        <w:rPr>
          <w:color w:val="231F20"/>
          <w:spacing w:val="-3"/>
        </w:rPr>
        <w:t xml:space="preserve"> </w:t>
      </w:r>
      <w:r>
        <w:rPr>
          <w:color w:val="231F20"/>
        </w:rPr>
        <w:t>the</w:t>
      </w:r>
      <w:r>
        <w:rPr>
          <w:color w:val="231F20"/>
          <w:spacing w:val="-3"/>
        </w:rPr>
        <w:t xml:space="preserve"> </w:t>
      </w:r>
      <w:r>
        <w:rPr>
          <w:color w:val="231F20"/>
        </w:rPr>
        <w:t>event.</w:t>
      </w:r>
      <w:r>
        <w:rPr>
          <w:color w:val="231F20"/>
          <w:spacing w:val="-3"/>
        </w:rPr>
        <w:t xml:space="preserve"> </w:t>
      </w:r>
      <w:r>
        <w:rPr>
          <w:color w:val="231F20"/>
        </w:rPr>
        <w:t>These</w:t>
      </w:r>
      <w:r>
        <w:rPr>
          <w:color w:val="231F20"/>
          <w:spacing w:val="-3"/>
        </w:rPr>
        <w:t xml:space="preserve"> </w:t>
      </w:r>
      <w:r>
        <w:rPr>
          <w:color w:val="231F20"/>
        </w:rPr>
        <w:t>elements,</w:t>
      </w:r>
      <w:r>
        <w:rPr>
          <w:color w:val="231F20"/>
          <w:spacing w:val="-3"/>
        </w:rPr>
        <w:t xml:space="preserve"> </w:t>
      </w:r>
      <w:r>
        <w:rPr>
          <w:color w:val="231F20"/>
        </w:rPr>
        <w:t xml:space="preserve">as constructed through event planning, marketing and management, ‘… make it possible for experiences to happen, but they do not actually </w:t>
      </w:r>
      <w:r>
        <w:rPr>
          <w:color w:val="231F20"/>
          <w:w w:val="95"/>
        </w:rPr>
        <w:t xml:space="preserve">create them’ (Morgan, 2007: 362); rather they provide a context within </w:t>
      </w:r>
      <w:r>
        <w:rPr>
          <w:color w:val="231F20"/>
        </w:rPr>
        <w:t>which unique touri</w:t>
      </w:r>
      <w:r>
        <w:rPr>
          <w:color w:val="231F20"/>
        </w:rPr>
        <w:t xml:space="preserve">st experience can occur. Internal factors are those </w:t>
      </w:r>
      <w:r>
        <w:rPr>
          <w:color w:val="231F20"/>
          <w:w w:val="95"/>
        </w:rPr>
        <w:t>that motivate and engage tourists to attend an event. These include the personal meanings and social identities that arise from the engagement</w:t>
      </w:r>
      <w:r>
        <w:rPr>
          <w:color w:val="231F20"/>
          <w:spacing w:val="40"/>
        </w:rPr>
        <w:t xml:space="preserve"> </w:t>
      </w:r>
      <w:r>
        <w:rPr>
          <w:color w:val="231F20"/>
        </w:rPr>
        <w:t>of</w:t>
      </w:r>
      <w:r>
        <w:rPr>
          <w:color w:val="231F20"/>
          <w:spacing w:val="-8"/>
        </w:rPr>
        <w:t xml:space="preserve"> </w:t>
      </w:r>
      <w:r>
        <w:rPr>
          <w:color w:val="231F20"/>
        </w:rPr>
        <w:t>tourists</w:t>
      </w:r>
      <w:r>
        <w:rPr>
          <w:color w:val="231F20"/>
          <w:spacing w:val="-8"/>
        </w:rPr>
        <w:t xml:space="preserve"> </w:t>
      </w:r>
      <w:r>
        <w:rPr>
          <w:color w:val="231F20"/>
        </w:rPr>
        <w:t>in</w:t>
      </w:r>
      <w:r>
        <w:rPr>
          <w:color w:val="231F20"/>
          <w:spacing w:val="-8"/>
        </w:rPr>
        <w:t xml:space="preserve"> </w:t>
      </w:r>
      <w:r>
        <w:rPr>
          <w:color w:val="231F20"/>
        </w:rPr>
        <w:t>sport,</w:t>
      </w:r>
      <w:r>
        <w:rPr>
          <w:color w:val="231F20"/>
          <w:spacing w:val="-8"/>
        </w:rPr>
        <w:t xml:space="preserve"> </w:t>
      </w:r>
      <w:r>
        <w:rPr>
          <w:color w:val="231F20"/>
        </w:rPr>
        <w:t>which</w:t>
      </w:r>
      <w:r>
        <w:rPr>
          <w:color w:val="231F20"/>
          <w:spacing w:val="-8"/>
        </w:rPr>
        <w:t xml:space="preserve"> </w:t>
      </w:r>
      <w:r>
        <w:rPr>
          <w:color w:val="231F20"/>
        </w:rPr>
        <w:t>are</w:t>
      </w:r>
      <w:r>
        <w:rPr>
          <w:color w:val="231F20"/>
          <w:spacing w:val="-8"/>
        </w:rPr>
        <w:t xml:space="preserve"> </w:t>
      </w:r>
      <w:r>
        <w:rPr>
          <w:color w:val="231F20"/>
        </w:rPr>
        <w:t>critical</w:t>
      </w:r>
      <w:r>
        <w:rPr>
          <w:color w:val="231F20"/>
          <w:spacing w:val="-8"/>
        </w:rPr>
        <w:t xml:space="preserve"> </w:t>
      </w:r>
      <w:r>
        <w:rPr>
          <w:color w:val="231F20"/>
        </w:rPr>
        <w:t>to</w:t>
      </w:r>
      <w:r>
        <w:rPr>
          <w:color w:val="231F20"/>
          <w:spacing w:val="-8"/>
        </w:rPr>
        <w:t xml:space="preserve"> </w:t>
      </w:r>
      <w:r>
        <w:rPr>
          <w:color w:val="231F20"/>
        </w:rPr>
        <w:t>both</w:t>
      </w:r>
      <w:r>
        <w:rPr>
          <w:color w:val="231F20"/>
          <w:spacing w:val="-8"/>
        </w:rPr>
        <w:t xml:space="preserve"> </w:t>
      </w:r>
      <w:r>
        <w:rPr>
          <w:color w:val="231F20"/>
        </w:rPr>
        <w:t>event</w:t>
      </w:r>
      <w:r>
        <w:rPr>
          <w:color w:val="231F20"/>
          <w:spacing w:val="-8"/>
        </w:rPr>
        <w:t xml:space="preserve"> </w:t>
      </w:r>
      <w:r>
        <w:rPr>
          <w:color w:val="231F20"/>
        </w:rPr>
        <w:t>produc</w:t>
      </w:r>
      <w:r>
        <w:rPr>
          <w:color w:val="231F20"/>
        </w:rPr>
        <w:t>tion</w:t>
      </w:r>
      <w:r>
        <w:rPr>
          <w:color w:val="231F20"/>
          <w:spacing w:val="-8"/>
        </w:rPr>
        <w:t xml:space="preserve"> </w:t>
      </w:r>
      <w:r>
        <w:rPr>
          <w:color w:val="231F20"/>
        </w:rPr>
        <w:t>and</w:t>
      </w:r>
      <w:r>
        <w:rPr>
          <w:color w:val="231F20"/>
          <w:spacing w:val="-8"/>
        </w:rPr>
        <w:t xml:space="preserve"> </w:t>
      </w:r>
      <w:r>
        <w:rPr>
          <w:color w:val="231F20"/>
        </w:rPr>
        <w:t>the visitor</w:t>
      </w:r>
      <w:r>
        <w:rPr>
          <w:color w:val="231F20"/>
          <w:spacing w:val="-10"/>
        </w:rPr>
        <w:t xml:space="preserve"> </w:t>
      </w:r>
      <w:r>
        <w:rPr>
          <w:color w:val="231F20"/>
        </w:rPr>
        <w:t>experience.</w:t>
      </w:r>
      <w:r>
        <w:rPr>
          <w:color w:val="231F20"/>
          <w:spacing w:val="-10"/>
        </w:rPr>
        <w:t xml:space="preserve"> </w:t>
      </w:r>
      <w:r>
        <w:rPr>
          <w:color w:val="231F20"/>
        </w:rPr>
        <w:t>To</w:t>
      </w:r>
      <w:r>
        <w:rPr>
          <w:color w:val="231F20"/>
          <w:spacing w:val="-10"/>
        </w:rPr>
        <w:t xml:space="preserve"> </w:t>
      </w:r>
      <w:r>
        <w:rPr>
          <w:color w:val="231F20"/>
        </w:rPr>
        <w:t>understand</w:t>
      </w:r>
      <w:r>
        <w:rPr>
          <w:color w:val="231F20"/>
          <w:spacing w:val="-10"/>
        </w:rPr>
        <w:t xml:space="preserve"> </w:t>
      </w:r>
      <w:r>
        <w:rPr>
          <w:color w:val="231F20"/>
        </w:rPr>
        <w:t>the</w:t>
      </w:r>
      <w:r>
        <w:rPr>
          <w:color w:val="231F20"/>
          <w:spacing w:val="-10"/>
        </w:rPr>
        <w:t xml:space="preserve"> </w:t>
      </w:r>
      <w:r>
        <w:rPr>
          <w:color w:val="231F20"/>
        </w:rPr>
        <w:t>importance</w:t>
      </w:r>
      <w:r>
        <w:rPr>
          <w:color w:val="231F20"/>
          <w:spacing w:val="-10"/>
        </w:rPr>
        <w:t xml:space="preserve"> </w:t>
      </w:r>
      <w:r>
        <w:rPr>
          <w:color w:val="231F20"/>
        </w:rPr>
        <w:t>of</w:t>
      </w:r>
      <w:r>
        <w:rPr>
          <w:color w:val="231F20"/>
          <w:spacing w:val="-10"/>
        </w:rPr>
        <w:t xml:space="preserve"> </w:t>
      </w:r>
      <w:r>
        <w:rPr>
          <w:color w:val="231F20"/>
        </w:rPr>
        <w:t>internal</w:t>
      </w:r>
      <w:r>
        <w:rPr>
          <w:color w:val="231F20"/>
          <w:spacing w:val="-10"/>
        </w:rPr>
        <w:t xml:space="preserve"> </w:t>
      </w:r>
      <w:r>
        <w:rPr>
          <w:color w:val="231F20"/>
        </w:rPr>
        <w:t>factors,</w:t>
      </w:r>
      <w:r>
        <w:rPr>
          <w:color w:val="231F20"/>
          <w:spacing w:val="-10"/>
        </w:rPr>
        <w:t xml:space="preserve"> </w:t>
      </w:r>
      <w:r>
        <w:rPr>
          <w:color w:val="231F20"/>
        </w:rPr>
        <w:t>it ‘…is</w:t>
      </w:r>
      <w:r>
        <w:rPr>
          <w:color w:val="231F20"/>
          <w:spacing w:val="-6"/>
        </w:rPr>
        <w:t xml:space="preserve"> </w:t>
      </w:r>
      <w:r>
        <w:rPr>
          <w:color w:val="231F20"/>
        </w:rPr>
        <w:t>necessary</w:t>
      </w:r>
      <w:r>
        <w:rPr>
          <w:color w:val="231F20"/>
          <w:spacing w:val="-6"/>
        </w:rPr>
        <w:t xml:space="preserve"> </w:t>
      </w:r>
      <w:r>
        <w:rPr>
          <w:color w:val="231F20"/>
        </w:rPr>
        <w:t>to</w:t>
      </w:r>
      <w:r>
        <w:rPr>
          <w:color w:val="231F20"/>
          <w:spacing w:val="-6"/>
        </w:rPr>
        <w:t xml:space="preserve"> </w:t>
      </w:r>
      <w:r>
        <w:rPr>
          <w:color w:val="231F20"/>
        </w:rPr>
        <w:t>uncover</w:t>
      </w:r>
      <w:r>
        <w:rPr>
          <w:color w:val="231F20"/>
          <w:spacing w:val="-6"/>
        </w:rPr>
        <w:t xml:space="preserve"> </w:t>
      </w:r>
      <w:r>
        <w:rPr>
          <w:color w:val="231F20"/>
        </w:rPr>
        <w:t>the</w:t>
      </w:r>
      <w:r>
        <w:rPr>
          <w:color w:val="231F20"/>
          <w:spacing w:val="-6"/>
        </w:rPr>
        <w:t xml:space="preserve"> </w:t>
      </w:r>
      <w:r>
        <w:rPr>
          <w:color w:val="231F20"/>
        </w:rPr>
        <w:t>personal</w:t>
      </w:r>
      <w:r>
        <w:rPr>
          <w:color w:val="231F20"/>
          <w:spacing w:val="-6"/>
        </w:rPr>
        <w:t xml:space="preserve"> </w:t>
      </w:r>
      <w:r>
        <w:rPr>
          <w:color w:val="231F20"/>
        </w:rPr>
        <w:t>meanings</w:t>
      </w:r>
      <w:r>
        <w:rPr>
          <w:color w:val="231F20"/>
          <w:spacing w:val="-6"/>
        </w:rPr>
        <w:t xml:space="preserve"> </w:t>
      </w:r>
      <w:r>
        <w:rPr>
          <w:color w:val="231F20"/>
        </w:rPr>
        <w:t>which</w:t>
      </w:r>
      <w:r>
        <w:rPr>
          <w:color w:val="231F20"/>
          <w:spacing w:val="-6"/>
        </w:rPr>
        <w:t xml:space="preserve"> </w:t>
      </w:r>
      <w:r>
        <w:rPr>
          <w:color w:val="231F20"/>
        </w:rPr>
        <w:t>give</w:t>
      </w:r>
      <w:r>
        <w:rPr>
          <w:color w:val="231F20"/>
          <w:spacing w:val="-6"/>
        </w:rPr>
        <w:t xml:space="preserve"> </w:t>
      </w:r>
      <w:r>
        <w:rPr>
          <w:color w:val="231F20"/>
        </w:rPr>
        <w:t>the</w:t>
      </w:r>
      <w:r>
        <w:rPr>
          <w:color w:val="231F20"/>
          <w:spacing w:val="-6"/>
        </w:rPr>
        <w:t xml:space="preserve"> </w:t>
      </w:r>
      <w:r>
        <w:rPr>
          <w:color w:val="231F20"/>
        </w:rPr>
        <w:t>event significance in the lives of individuals’ (Morgan, 2007: 362).</w:t>
      </w:r>
    </w:p>
    <w:p w14:paraId="21E752B9" w14:textId="77777777" w:rsidR="00AE0598" w:rsidRDefault="0069255A">
      <w:pPr>
        <w:pStyle w:val="Corpodetexto"/>
        <w:spacing w:before="18" w:line="232" w:lineRule="auto"/>
        <w:ind w:left="223" w:right="240" w:firstLine="320"/>
        <w:jc w:val="both"/>
      </w:pPr>
      <w:r>
        <w:rPr>
          <w:color w:val="231F20"/>
          <w:w w:val="95"/>
        </w:rPr>
        <w:t>Japanese</w:t>
      </w:r>
      <w:r>
        <w:rPr>
          <w:color w:val="231F20"/>
          <w:spacing w:val="-7"/>
          <w:w w:val="95"/>
        </w:rPr>
        <w:t xml:space="preserve"> </w:t>
      </w:r>
      <w:r>
        <w:rPr>
          <w:color w:val="231F20"/>
          <w:w w:val="95"/>
        </w:rPr>
        <w:t>rugby</w:t>
      </w:r>
      <w:r>
        <w:rPr>
          <w:color w:val="231F20"/>
          <w:spacing w:val="-7"/>
          <w:w w:val="95"/>
        </w:rPr>
        <w:t xml:space="preserve"> </w:t>
      </w:r>
      <w:r>
        <w:rPr>
          <w:color w:val="231F20"/>
          <w:w w:val="95"/>
        </w:rPr>
        <w:t>represents</w:t>
      </w:r>
      <w:r>
        <w:rPr>
          <w:color w:val="231F20"/>
          <w:spacing w:val="-7"/>
          <w:w w:val="95"/>
        </w:rPr>
        <w:t xml:space="preserve"> </w:t>
      </w:r>
      <w:r>
        <w:rPr>
          <w:color w:val="231F20"/>
          <w:w w:val="95"/>
        </w:rPr>
        <w:t>an</w:t>
      </w:r>
      <w:r>
        <w:rPr>
          <w:color w:val="231F20"/>
          <w:spacing w:val="-7"/>
          <w:w w:val="95"/>
        </w:rPr>
        <w:t xml:space="preserve"> </w:t>
      </w:r>
      <w:r>
        <w:rPr>
          <w:color w:val="231F20"/>
          <w:w w:val="95"/>
        </w:rPr>
        <w:t>alternative</w:t>
      </w:r>
      <w:r>
        <w:rPr>
          <w:color w:val="231F20"/>
          <w:spacing w:val="-7"/>
          <w:w w:val="95"/>
        </w:rPr>
        <w:t xml:space="preserve"> </w:t>
      </w:r>
      <w:r>
        <w:rPr>
          <w:color w:val="231F20"/>
          <w:w w:val="95"/>
        </w:rPr>
        <w:t>multi-ethnic</w:t>
      </w:r>
      <w:r>
        <w:rPr>
          <w:color w:val="231F20"/>
          <w:spacing w:val="-7"/>
          <w:w w:val="95"/>
        </w:rPr>
        <w:t xml:space="preserve"> </w:t>
      </w:r>
      <w:r>
        <w:rPr>
          <w:color w:val="231F20"/>
          <w:w w:val="95"/>
        </w:rPr>
        <w:t>Japan,</w:t>
      </w:r>
      <w:r>
        <w:rPr>
          <w:color w:val="231F20"/>
          <w:spacing w:val="-7"/>
          <w:w w:val="95"/>
        </w:rPr>
        <w:t xml:space="preserve"> </w:t>
      </w:r>
      <w:r>
        <w:rPr>
          <w:color w:val="231F20"/>
          <w:w w:val="95"/>
        </w:rPr>
        <w:t>but</w:t>
      </w:r>
      <w:r>
        <w:rPr>
          <w:color w:val="231F20"/>
          <w:spacing w:val="-7"/>
          <w:w w:val="95"/>
        </w:rPr>
        <w:t xml:space="preserve"> </w:t>
      </w:r>
      <w:r>
        <w:rPr>
          <w:color w:val="231F20"/>
          <w:w w:val="95"/>
        </w:rPr>
        <w:t xml:space="preserve">RWC </w:t>
      </w:r>
      <w:r>
        <w:rPr>
          <w:color w:val="231F20"/>
        </w:rPr>
        <w:t>2019</w:t>
      </w:r>
      <w:r>
        <w:rPr>
          <w:color w:val="231F20"/>
          <w:spacing w:val="-2"/>
        </w:rPr>
        <w:t xml:space="preserve"> </w:t>
      </w:r>
      <w:r>
        <w:rPr>
          <w:color w:val="231F20"/>
        </w:rPr>
        <w:t>organisers</w:t>
      </w:r>
      <w:r>
        <w:rPr>
          <w:color w:val="231F20"/>
          <w:spacing w:val="-2"/>
        </w:rPr>
        <w:t xml:space="preserve"> </w:t>
      </w:r>
      <w:r>
        <w:rPr>
          <w:color w:val="231F20"/>
        </w:rPr>
        <w:t>are</w:t>
      </w:r>
      <w:r>
        <w:rPr>
          <w:color w:val="231F20"/>
          <w:spacing w:val="-2"/>
        </w:rPr>
        <w:t xml:space="preserve"> </w:t>
      </w:r>
      <w:r>
        <w:rPr>
          <w:color w:val="231F20"/>
        </w:rPr>
        <w:t>likely</w:t>
      </w:r>
      <w:r>
        <w:rPr>
          <w:color w:val="231F20"/>
          <w:spacing w:val="-2"/>
        </w:rPr>
        <w:t xml:space="preserve"> </w:t>
      </w:r>
      <w:r>
        <w:rPr>
          <w:color w:val="231F20"/>
        </w:rPr>
        <w:t>to</w:t>
      </w:r>
      <w:r>
        <w:rPr>
          <w:color w:val="231F20"/>
          <w:spacing w:val="-2"/>
        </w:rPr>
        <w:t xml:space="preserve"> </w:t>
      </w:r>
      <w:r>
        <w:rPr>
          <w:color w:val="231F20"/>
        </w:rPr>
        <w:t>be</w:t>
      </w:r>
      <w:r>
        <w:rPr>
          <w:color w:val="231F20"/>
          <w:spacing w:val="-2"/>
        </w:rPr>
        <w:t xml:space="preserve"> </w:t>
      </w:r>
      <w:r>
        <w:rPr>
          <w:color w:val="231F20"/>
        </w:rPr>
        <w:t>incentivised</w:t>
      </w:r>
      <w:r>
        <w:rPr>
          <w:color w:val="231F20"/>
          <w:spacing w:val="-2"/>
        </w:rPr>
        <w:t xml:space="preserve"> </w:t>
      </w:r>
      <w:r>
        <w:rPr>
          <w:color w:val="231F20"/>
        </w:rPr>
        <w:t>to</w:t>
      </w:r>
      <w:r>
        <w:rPr>
          <w:color w:val="231F20"/>
          <w:spacing w:val="-2"/>
        </w:rPr>
        <w:t xml:space="preserve"> </w:t>
      </w:r>
      <w:r>
        <w:rPr>
          <w:color w:val="231F20"/>
        </w:rPr>
        <w:t>promote</w:t>
      </w:r>
      <w:r>
        <w:rPr>
          <w:color w:val="231F20"/>
          <w:spacing w:val="-2"/>
        </w:rPr>
        <w:t xml:space="preserve"> </w:t>
      </w:r>
      <w:r>
        <w:rPr>
          <w:color w:val="231F20"/>
        </w:rPr>
        <w:t>the</w:t>
      </w:r>
      <w:r>
        <w:rPr>
          <w:color w:val="231F20"/>
          <w:spacing w:val="-2"/>
        </w:rPr>
        <w:t xml:space="preserve"> </w:t>
      </w:r>
      <w:r>
        <w:rPr>
          <w:color w:val="231F20"/>
        </w:rPr>
        <w:t>opposite, due to the conditions of having to create a cul</w:t>
      </w:r>
      <w:r>
        <w:rPr>
          <w:color w:val="231F20"/>
        </w:rPr>
        <w:t xml:space="preserve">tural niche in a global </w:t>
      </w:r>
      <w:r>
        <w:rPr>
          <w:color w:val="231F20"/>
          <w:w w:val="90"/>
        </w:rPr>
        <w:t xml:space="preserve">marketplace. This may serve to inadvertently reinforce the same primordial </w:t>
      </w:r>
      <w:r>
        <w:rPr>
          <w:color w:val="231F20"/>
        </w:rPr>
        <w:t xml:space="preserve">national identity through sport tourism that leads to the exclusion of </w:t>
      </w:r>
      <w:r>
        <w:rPr>
          <w:color w:val="231F20"/>
          <w:w w:val="95"/>
        </w:rPr>
        <w:t>difference</w:t>
      </w:r>
      <w:r>
        <w:rPr>
          <w:color w:val="231F20"/>
          <w:spacing w:val="-7"/>
          <w:w w:val="95"/>
        </w:rPr>
        <w:t xml:space="preserve"> </w:t>
      </w:r>
      <w:r>
        <w:rPr>
          <w:color w:val="231F20"/>
          <w:w w:val="95"/>
        </w:rPr>
        <w:t>and</w:t>
      </w:r>
      <w:r>
        <w:rPr>
          <w:color w:val="231F20"/>
          <w:spacing w:val="-7"/>
          <w:w w:val="95"/>
        </w:rPr>
        <w:t xml:space="preserve"> </w:t>
      </w:r>
      <w:r>
        <w:rPr>
          <w:color w:val="231F20"/>
          <w:w w:val="95"/>
        </w:rPr>
        <w:t>cultural</w:t>
      </w:r>
      <w:r>
        <w:rPr>
          <w:color w:val="231F20"/>
          <w:spacing w:val="-7"/>
          <w:w w:val="95"/>
        </w:rPr>
        <w:t xml:space="preserve"> </w:t>
      </w:r>
      <w:r>
        <w:rPr>
          <w:color w:val="231F20"/>
          <w:w w:val="95"/>
        </w:rPr>
        <w:t>diversity</w:t>
      </w:r>
      <w:r>
        <w:rPr>
          <w:color w:val="231F20"/>
          <w:spacing w:val="-7"/>
          <w:w w:val="95"/>
        </w:rPr>
        <w:t xml:space="preserve"> </w:t>
      </w:r>
      <w:r>
        <w:rPr>
          <w:color w:val="231F20"/>
          <w:w w:val="95"/>
        </w:rPr>
        <w:t>in</w:t>
      </w:r>
      <w:r>
        <w:rPr>
          <w:color w:val="231F20"/>
          <w:spacing w:val="-7"/>
          <w:w w:val="95"/>
        </w:rPr>
        <w:t xml:space="preserve"> </w:t>
      </w:r>
      <w:r>
        <w:rPr>
          <w:color w:val="231F20"/>
          <w:w w:val="95"/>
        </w:rPr>
        <w:t>Japan.</w:t>
      </w:r>
      <w:r>
        <w:rPr>
          <w:color w:val="231F20"/>
          <w:spacing w:val="-7"/>
          <w:w w:val="95"/>
        </w:rPr>
        <w:t xml:space="preserve"> </w:t>
      </w:r>
      <w:r>
        <w:rPr>
          <w:color w:val="231F20"/>
          <w:w w:val="95"/>
        </w:rPr>
        <w:t>Tourism</w:t>
      </w:r>
      <w:r>
        <w:rPr>
          <w:color w:val="231F20"/>
          <w:spacing w:val="-7"/>
          <w:w w:val="95"/>
        </w:rPr>
        <w:t xml:space="preserve"> </w:t>
      </w:r>
      <w:r>
        <w:rPr>
          <w:color w:val="231F20"/>
          <w:w w:val="95"/>
        </w:rPr>
        <w:t>is</w:t>
      </w:r>
      <w:r>
        <w:rPr>
          <w:color w:val="231F20"/>
          <w:spacing w:val="-7"/>
          <w:w w:val="95"/>
        </w:rPr>
        <w:t xml:space="preserve"> </w:t>
      </w:r>
      <w:r>
        <w:rPr>
          <w:color w:val="231F20"/>
          <w:w w:val="95"/>
        </w:rPr>
        <w:t>known</w:t>
      </w:r>
      <w:r>
        <w:rPr>
          <w:color w:val="231F20"/>
          <w:spacing w:val="-7"/>
          <w:w w:val="95"/>
        </w:rPr>
        <w:t xml:space="preserve"> </w:t>
      </w:r>
      <w:r>
        <w:rPr>
          <w:color w:val="231F20"/>
          <w:w w:val="95"/>
        </w:rPr>
        <w:t>to</w:t>
      </w:r>
      <w:r>
        <w:rPr>
          <w:color w:val="231F20"/>
          <w:spacing w:val="-7"/>
          <w:w w:val="95"/>
        </w:rPr>
        <w:t xml:space="preserve"> </w:t>
      </w:r>
      <w:r>
        <w:rPr>
          <w:color w:val="231F20"/>
          <w:w w:val="95"/>
        </w:rPr>
        <w:t xml:space="preserve">accentuate </w:t>
      </w:r>
      <w:r>
        <w:rPr>
          <w:color w:val="231F20"/>
        </w:rPr>
        <w:t>essentialis</w:t>
      </w:r>
      <w:r>
        <w:rPr>
          <w:color w:val="231F20"/>
        </w:rPr>
        <w:t xml:space="preserve">ed national identities rather than seeing the complexity in them. In sport, traditional ‘patriotic games’, particularly major sports </w:t>
      </w:r>
      <w:r>
        <w:rPr>
          <w:color w:val="231F20"/>
          <w:spacing w:val="-4"/>
        </w:rPr>
        <w:t xml:space="preserve">events, have tended to do the same. However, mobility and globalisation </w:t>
      </w:r>
      <w:r>
        <w:rPr>
          <w:color w:val="231F20"/>
          <w:w w:val="95"/>
        </w:rPr>
        <w:t>are</w:t>
      </w:r>
      <w:r>
        <w:rPr>
          <w:color w:val="231F20"/>
          <w:spacing w:val="-2"/>
          <w:w w:val="95"/>
        </w:rPr>
        <w:t xml:space="preserve"> </w:t>
      </w:r>
      <w:r>
        <w:rPr>
          <w:color w:val="231F20"/>
          <w:w w:val="95"/>
        </w:rPr>
        <w:t>increasingly</w:t>
      </w:r>
      <w:r>
        <w:rPr>
          <w:color w:val="231F20"/>
          <w:spacing w:val="-2"/>
          <w:w w:val="95"/>
        </w:rPr>
        <w:t xml:space="preserve"> </w:t>
      </w:r>
      <w:r>
        <w:rPr>
          <w:color w:val="231F20"/>
          <w:w w:val="95"/>
        </w:rPr>
        <w:t>impacting</w:t>
      </w:r>
      <w:r>
        <w:rPr>
          <w:color w:val="231F20"/>
          <w:spacing w:val="-2"/>
          <w:w w:val="95"/>
        </w:rPr>
        <w:t xml:space="preserve"> </w:t>
      </w:r>
      <w:r>
        <w:rPr>
          <w:color w:val="231F20"/>
          <w:w w:val="95"/>
        </w:rPr>
        <w:t>the</w:t>
      </w:r>
      <w:r>
        <w:rPr>
          <w:color w:val="231F20"/>
          <w:spacing w:val="-2"/>
          <w:w w:val="95"/>
        </w:rPr>
        <w:t xml:space="preserve"> </w:t>
      </w:r>
      <w:r>
        <w:rPr>
          <w:color w:val="231F20"/>
          <w:w w:val="95"/>
        </w:rPr>
        <w:t>nexus</w:t>
      </w:r>
      <w:r>
        <w:rPr>
          <w:color w:val="231F20"/>
          <w:spacing w:val="-2"/>
          <w:w w:val="95"/>
        </w:rPr>
        <w:t xml:space="preserve"> </w:t>
      </w:r>
      <w:r>
        <w:rPr>
          <w:color w:val="231F20"/>
          <w:w w:val="95"/>
        </w:rPr>
        <w:t>of</w:t>
      </w:r>
      <w:r>
        <w:rPr>
          <w:color w:val="231F20"/>
        </w:rPr>
        <w:t xml:space="preserve"> </w:t>
      </w:r>
      <w:r>
        <w:rPr>
          <w:color w:val="231F20"/>
          <w:w w:val="95"/>
        </w:rPr>
        <w:t>sport,</w:t>
      </w:r>
      <w:r>
        <w:rPr>
          <w:color w:val="231F20"/>
          <w:spacing w:val="-2"/>
          <w:w w:val="95"/>
        </w:rPr>
        <w:t xml:space="preserve"> </w:t>
      </w:r>
      <w:r>
        <w:rPr>
          <w:color w:val="231F20"/>
          <w:w w:val="95"/>
        </w:rPr>
        <w:t>tourism</w:t>
      </w:r>
      <w:r>
        <w:rPr>
          <w:color w:val="231F20"/>
          <w:spacing w:val="-2"/>
          <w:w w:val="95"/>
        </w:rPr>
        <w:t xml:space="preserve"> </w:t>
      </w:r>
      <w:r>
        <w:rPr>
          <w:color w:val="231F20"/>
          <w:w w:val="95"/>
        </w:rPr>
        <w:t>and</w:t>
      </w:r>
      <w:r>
        <w:rPr>
          <w:color w:val="231F20"/>
          <w:spacing w:val="-2"/>
          <w:w w:val="95"/>
        </w:rPr>
        <w:t xml:space="preserve"> </w:t>
      </w:r>
      <w:r>
        <w:rPr>
          <w:color w:val="231F20"/>
          <w:w w:val="95"/>
        </w:rPr>
        <w:t>identity.</w:t>
      </w:r>
      <w:r>
        <w:rPr>
          <w:color w:val="231F20"/>
          <w:spacing w:val="-2"/>
          <w:w w:val="95"/>
        </w:rPr>
        <w:t xml:space="preserve"> </w:t>
      </w:r>
      <w:r>
        <w:rPr>
          <w:color w:val="231F20"/>
          <w:w w:val="95"/>
        </w:rPr>
        <w:t xml:space="preserve">Sport </w:t>
      </w:r>
      <w:r>
        <w:rPr>
          <w:color w:val="231F20"/>
          <w:spacing w:val="-2"/>
          <w:w w:val="95"/>
        </w:rPr>
        <w:t>labour</w:t>
      </w:r>
      <w:r>
        <w:rPr>
          <w:color w:val="231F20"/>
          <w:spacing w:val="-3"/>
          <w:w w:val="95"/>
        </w:rPr>
        <w:t xml:space="preserve"> </w:t>
      </w:r>
      <w:r>
        <w:rPr>
          <w:color w:val="231F20"/>
          <w:spacing w:val="-2"/>
          <w:w w:val="95"/>
        </w:rPr>
        <w:t>mobilities</w:t>
      </w:r>
      <w:r>
        <w:rPr>
          <w:color w:val="231F20"/>
          <w:spacing w:val="-3"/>
          <w:w w:val="95"/>
        </w:rPr>
        <w:t xml:space="preserve"> </w:t>
      </w:r>
      <w:r>
        <w:rPr>
          <w:color w:val="231F20"/>
          <w:spacing w:val="-2"/>
          <w:w w:val="95"/>
        </w:rPr>
        <w:t>in</w:t>
      </w:r>
      <w:r>
        <w:rPr>
          <w:color w:val="231F20"/>
          <w:spacing w:val="-3"/>
          <w:w w:val="95"/>
        </w:rPr>
        <w:t xml:space="preserve"> </w:t>
      </w:r>
      <w:r>
        <w:rPr>
          <w:color w:val="231F20"/>
          <w:spacing w:val="-2"/>
          <w:w w:val="95"/>
        </w:rPr>
        <w:t>particular</w:t>
      </w:r>
      <w:r>
        <w:rPr>
          <w:color w:val="231F20"/>
          <w:spacing w:val="-3"/>
          <w:w w:val="95"/>
        </w:rPr>
        <w:t xml:space="preserve"> </w:t>
      </w:r>
      <w:r>
        <w:rPr>
          <w:color w:val="231F20"/>
          <w:spacing w:val="-2"/>
          <w:w w:val="95"/>
        </w:rPr>
        <w:t>have</w:t>
      </w:r>
      <w:r>
        <w:rPr>
          <w:color w:val="231F20"/>
          <w:spacing w:val="-3"/>
          <w:w w:val="95"/>
        </w:rPr>
        <w:t xml:space="preserve"> </w:t>
      </w:r>
      <w:r>
        <w:rPr>
          <w:color w:val="231F20"/>
          <w:spacing w:val="-2"/>
          <w:w w:val="95"/>
        </w:rPr>
        <w:t>contributed</w:t>
      </w:r>
      <w:r>
        <w:rPr>
          <w:color w:val="231F20"/>
          <w:spacing w:val="-3"/>
          <w:w w:val="95"/>
        </w:rPr>
        <w:t xml:space="preserve"> </w:t>
      </w:r>
      <w:r>
        <w:rPr>
          <w:color w:val="231F20"/>
          <w:spacing w:val="-2"/>
          <w:w w:val="95"/>
        </w:rPr>
        <w:t>to</w:t>
      </w:r>
      <w:r>
        <w:rPr>
          <w:color w:val="231F20"/>
          <w:spacing w:val="-3"/>
          <w:w w:val="95"/>
        </w:rPr>
        <w:t xml:space="preserve"> </w:t>
      </w:r>
      <w:r>
        <w:rPr>
          <w:color w:val="231F20"/>
          <w:spacing w:val="-2"/>
          <w:w w:val="95"/>
        </w:rPr>
        <w:t>increasing</w:t>
      </w:r>
      <w:r>
        <w:rPr>
          <w:color w:val="231F20"/>
          <w:spacing w:val="-3"/>
          <w:w w:val="95"/>
        </w:rPr>
        <w:t xml:space="preserve"> </w:t>
      </w:r>
      <w:r>
        <w:rPr>
          <w:color w:val="231F20"/>
          <w:spacing w:val="-2"/>
          <w:w w:val="95"/>
        </w:rPr>
        <w:t>diversity</w:t>
      </w:r>
      <w:r>
        <w:rPr>
          <w:color w:val="231F20"/>
          <w:spacing w:val="-3"/>
          <w:w w:val="95"/>
        </w:rPr>
        <w:t xml:space="preserve"> </w:t>
      </w:r>
      <w:r>
        <w:rPr>
          <w:color w:val="231F20"/>
          <w:spacing w:val="-2"/>
          <w:w w:val="95"/>
        </w:rPr>
        <w:t xml:space="preserve">and </w:t>
      </w:r>
      <w:r>
        <w:rPr>
          <w:color w:val="231F20"/>
          <w:w w:val="95"/>
        </w:rPr>
        <w:t>have</w:t>
      </w:r>
      <w:r>
        <w:rPr>
          <w:color w:val="231F20"/>
          <w:spacing w:val="-10"/>
          <w:w w:val="95"/>
        </w:rPr>
        <w:t xml:space="preserve"> </w:t>
      </w:r>
      <w:r>
        <w:rPr>
          <w:color w:val="231F20"/>
          <w:w w:val="95"/>
        </w:rPr>
        <w:t>at</w:t>
      </w:r>
      <w:r>
        <w:rPr>
          <w:color w:val="231F20"/>
          <w:spacing w:val="-9"/>
          <w:w w:val="95"/>
        </w:rPr>
        <w:t xml:space="preserve"> </w:t>
      </w:r>
      <w:r>
        <w:rPr>
          <w:color w:val="231F20"/>
          <w:w w:val="95"/>
        </w:rPr>
        <w:t>the</w:t>
      </w:r>
      <w:r>
        <w:rPr>
          <w:color w:val="231F20"/>
          <w:spacing w:val="-9"/>
          <w:w w:val="95"/>
        </w:rPr>
        <w:t xml:space="preserve"> </w:t>
      </w:r>
      <w:r>
        <w:rPr>
          <w:color w:val="231F20"/>
          <w:w w:val="95"/>
        </w:rPr>
        <w:t>very</w:t>
      </w:r>
      <w:r>
        <w:rPr>
          <w:color w:val="231F20"/>
          <w:spacing w:val="-9"/>
          <w:w w:val="95"/>
        </w:rPr>
        <w:t xml:space="preserve"> </w:t>
      </w:r>
      <w:r>
        <w:rPr>
          <w:color w:val="231F20"/>
          <w:w w:val="95"/>
        </w:rPr>
        <w:t>least</w:t>
      </w:r>
      <w:r>
        <w:rPr>
          <w:color w:val="231F20"/>
          <w:spacing w:val="-10"/>
          <w:w w:val="95"/>
        </w:rPr>
        <w:t xml:space="preserve"> </w:t>
      </w:r>
      <w:r>
        <w:rPr>
          <w:color w:val="231F20"/>
          <w:w w:val="95"/>
        </w:rPr>
        <w:t>raised</w:t>
      </w:r>
      <w:r>
        <w:rPr>
          <w:color w:val="231F20"/>
          <w:spacing w:val="-9"/>
          <w:w w:val="95"/>
        </w:rPr>
        <w:t xml:space="preserve"> </w:t>
      </w:r>
      <w:r>
        <w:rPr>
          <w:color w:val="231F20"/>
          <w:w w:val="95"/>
        </w:rPr>
        <w:t>questions</w:t>
      </w:r>
      <w:r>
        <w:rPr>
          <w:color w:val="231F20"/>
          <w:spacing w:val="-9"/>
          <w:w w:val="95"/>
        </w:rPr>
        <w:t xml:space="preserve"> </w:t>
      </w:r>
      <w:r>
        <w:rPr>
          <w:color w:val="231F20"/>
          <w:w w:val="95"/>
        </w:rPr>
        <w:t>about</w:t>
      </w:r>
      <w:r>
        <w:rPr>
          <w:color w:val="231F20"/>
          <w:spacing w:val="-9"/>
          <w:w w:val="95"/>
        </w:rPr>
        <w:t xml:space="preserve"> </w:t>
      </w:r>
      <w:r>
        <w:rPr>
          <w:color w:val="231F20"/>
          <w:w w:val="95"/>
        </w:rPr>
        <w:t>traditional</w:t>
      </w:r>
      <w:r>
        <w:rPr>
          <w:color w:val="231F20"/>
          <w:spacing w:val="-10"/>
          <w:w w:val="95"/>
        </w:rPr>
        <w:t xml:space="preserve"> </w:t>
      </w:r>
      <w:r>
        <w:rPr>
          <w:color w:val="231F20"/>
          <w:w w:val="95"/>
        </w:rPr>
        <w:t>understandings</w:t>
      </w:r>
      <w:r>
        <w:rPr>
          <w:color w:val="231F20"/>
          <w:spacing w:val="-9"/>
          <w:w w:val="95"/>
        </w:rPr>
        <w:t xml:space="preserve"> </w:t>
      </w:r>
      <w:r>
        <w:rPr>
          <w:color w:val="231F20"/>
          <w:w w:val="95"/>
        </w:rPr>
        <w:t>of identity.</w:t>
      </w:r>
      <w:r>
        <w:rPr>
          <w:color w:val="231F20"/>
          <w:spacing w:val="-10"/>
          <w:w w:val="95"/>
        </w:rPr>
        <w:t xml:space="preserve"> </w:t>
      </w:r>
      <w:r>
        <w:rPr>
          <w:color w:val="231F20"/>
          <w:w w:val="95"/>
        </w:rPr>
        <w:t>This</w:t>
      </w:r>
      <w:r>
        <w:rPr>
          <w:color w:val="231F20"/>
          <w:spacing w:val="-9"/>
          <w:w w:val="95"/>
        </w:rPr>
        <w:t xml:space="preserve"> </w:t>
      </w:r>
      <w:r>
        <w:rPr>
          <w:color w:val="231F20"/>
          <w:w w:val="95"/>
        </w:rPr>
        <w:t>is</w:t>
      </w:r>
      <w:r>
        <w:rPr>
          <w:color w:val="231F20"/>
          <w:spacing w:val="-9"/>
          <w:w w:val="95"/>
        </w:rPr>
        <w:t xml:space="preserve"> </w:t>
      </w:r>
      <w:r>
        <w:rPr>
          <w:color w:val="231F20"/>
          <w:w w:val="95"/>
        </w:rPr>
        <w:t>very</w:t>
      </w:r>
      <w:r>
        <w:rPr>
          <w:color w:val="231F20"/>
          <w:spacing w:val="-9"/>
          <w:w w:val="95"/>
        </w:rPr>
        <w:t xml:space="preserve"> </w:t>
      </w:r>
      <w:r>
        <w:rPr>
          <w:color w:val="231F20"/>
          <w:w w:val="95"/>
        </w:rPr>
        <w:t>much</w:t>
      </w:r>
      <w:r>
        <w:rPr>
          <w:color w:val="231F20"/>
          <w:spacing w:val="-10"/>
          <w:w w:val="95"/>
        </w:rPr>
        <w:t xml:space="preserve"> </w:t>
      </w:r>
      <w:r>
        <w:rPr>
          <w:color w:val="231F20"/>
          <w:w w:val="95"/>
        </w:rPr>
        <w:t>the</w:t>
      </w:r>
      <w:r>
        <w:rPr>
          <w:color w:val="231F20"/>
          <w:spacing w:val="-9"/>
          <w:w w:val="95"/>
        </w:rPr>
        <w:t xml:space="preserve"> </w:t>
      </w:r>
      <w:r>
        <w:rPr>
          <w:color w:val="231F20"/>
          <w:w w:val="95"/>
        </w:rPr>
        <w:t>case</w:t>
      </w:r>
      <w:r>
        <w:rPr>
          <w:color w:val="231F20"/>
          <w:spacing w:val="-9"/>
          <w:w w:val="95"/>
        </w:rPr>
        <w:t xml:space="preserve"> </w:t>
      </w:r>
      <w:r>
        <w:rPr>
          <w:color w:val="231F20"/>
          <w:w w:val="95"/>
        </w:rPr>
        <w:t>in</w:t>
      </w:r>
      <w:r>
        <w:rPr>
          <w:color w:val="231F20"/>
          <w:spacing w:val="-9"/>
          <w:w w:val="95"/>
        </w:rPr>
        <w:t xml:space="preserve"> </w:t>
      </w:r>
      <w:r>
        <w:rPr>
          <w:color w:val="231F20"/>
          <w:w w:val="95"/>
        </w:rPr>
        <w:t>Japan</w:t>
      </w:r>
      <w:r>
        <w:rPr>
          <w:color w:val="231F20"/>
          <w:spacing w:val="-10"/>
          <w:w w:val="95"/>
        </w:rPr>
        <w:t xml:space="preserve"> </w:t>
      </w:r>
      <w:r>
        <w:rPr>
          <w:color w:val="231F20"/>
          <w:w w:val="95"/>
        </w:rPr>
        <w:t>where</w:t>
      </w:r>
      <w:r>
        <w:rPr>
          <w:color w:val="231F20"/>
          <w:spacing w:val="-9"/>
          <w:w w:val="95"/>
        </w:rPr>
        <w:t xml:space="preserve"> </w:t>
      </w:r>
      <w:r>
        <w:rPr>
          <w:color w:val="231F20"/>
          <w:w w:val="95"/>
        </w:rPr>
        <w:t>the</w:t>
      </w:r>
      <w:r>
        <w:rPr>
          <w:color w:val="231F20"/>
          <w:spacing w:val="-9"/>
          <w:w w:val="95"/>
        </w:rPr>
        <w:t xml:space="preserve"> </w:t>
      </w:r>
      <w:r>
        <w:rPr>
          <w:color w:val="231F20"/>
          <w:w w:val="95"/>
        </w:rPr>
        <w:t>cultural</w:t>
      </w:r>
      <w:r>
        <w:rPr>
          <w:color w:val="231F20"/>
          <w:spacing w:val="-9"/>
          <w:w w:val="95"/>
        </w:rPr>
        <w:t xml:space="preserve"> </w:t>
      </w:r>
      <w:r>
        <w:rPr>
          <w:color w:val="231F20"/>
          <w:w w:val="95"/>
        </w:rPr>
        <w:t>diversity</w:t>
      </w:r>
      <w:r>
        <w:rPr>
          <w:color w:val="231F20"/>
          <w:spacing w:val="-10"/>
          <w:w w:val="95"/>
        </w:rPr>
        <w:t xml:space="preserve"> </w:t>
      </w:r>
      <w:r>
        <w:rPr>
          <w:color w:val="231F20"/>
          <w:w w:val="95"/>
        </w:rPr>
        <w:t>of the</w:t>
      </w:r>
      <w:r>
        <w:rPr>
          <w:color w:val="231F20"/>
          <w:spacing w:val="-9"/>
          <w:w w:val="95"/>
        </w:rPr>
        <w:t xml:space="preserve"> </w:t>
      </w:r>
      <w:r>
        <w:rPr>
          <w:color w:val="231F20"/>
          <w:w w:val="95"/>
        </w:rPr>
        <w:t>national</w:t>
      </w:r>
      <w:r>
        <w:rPr>
          <w:color w:val="231F20"/>
          <w:spacing w:val="-9"/>
          <w:w w:val="95"/>
        </w:rPr>
        <w:t xml:space="preserve"> </w:t>
      </w:r>
      <w:r>
        <w:rPr>
          <w:color w:val="231F20"/>
          <w:w w:val="95"/>
        </w:rPr>
        <w:t>men’s</w:t>
      </w:r>
      <w:r>
        <w:rPr>
          <w:color w:val="231F20"/>
          <w:spacing w:val="-9"/>
          <w:w w:val="95"/>
        </w:rPr>
        <w:t xml:space="preserve"> </w:t>
      </w:r>
      <w:r>
        <w:rPr>
          <w:color w:val="231F20"/>
          <w:w w:val="95"/>
        </w:rPr>
        <w:t>rugby</w:t>
      </w:r>
      <w:r>
        <w:rPr>
          <w:color w:val="231F20"/>
          <w:spacing w:val="-9"/>
          <w:w w:val="95"/>
        </w:rPr>
        <w:t xml:space="preserve"> </w:t>
      </w:r>
      <w:r>
        <w:rPr>
          <w:color w:val="231F20"/>
          <w:w w:val="95"/>
        </w:rPr>
        <w:t>team,</w:t>
      </w:r>
      <w:r>
        <w:rPr>
          <w:color w:val="231F20"/>
          <w:spacing w:val="-9"/>
          <w:w w:val="95"/>
        </w:rPr>
        <w:t xml:space="preserve"> </w:t>
      </w:r>
      <w:r>
        <w:rPr>
          <w:color w:val="231F20"/>
          <w:w w:val="95"/>
        </w:rPr>
        <w:t>which</w:t>
      </w:r>
      <w:r>
        <w:rPr>
          <w:color w:val="231F20"/>
          <w:spacing w:val="-9"/>
          <w:w w:val="95"/>
        </w:rPr>
        <w:t xml:space="preserve"> </w:t>
      </w:r>
      <w:r>
        <w:rPr>
          <w:color w:val="231F20"/>
          <w:w w:val="95"/>
        </w:rPr>
        <w:t>for</w:t>
      </w:r>
      <w:r>
        <w:rPr>
          <w:color w:val="231F20"/>
          <w:spacing w:val="-9"/>
          <w:w w:val="95"/>
        </w:rPr>
        <w:t xml:space="preserve"> </w:t>
      </w:r>
      <w:r>
        <w:rPr>
          <w:color w:val="231F20"/>
          <w:w w:val="95"/>
        </w:rPr>
        <w:t>many</w:t>
      </w:r>
      <w:r>
        <w:rPr>
          <w:color w:val="231F20"/>
          <w:spacing w:val="-9"/>
          <w:w w:val="95"/>
        </w:rPr>
        <w:t xml:space="preserve"> </w:t>
      </w:r>
      <w:r>
        <w:rPr>
          <w:color w:val="231F20"/>
          <w:w w:val="95"/>
        </w:rPr>
        <w:t>years</w:t>
      </w:r>
      <w:r>
        <w:rPr>
          <w:color w:val="231F20"/>
          <w:spacing w:val="-9"/>
          <w:w w:val="95"/>
        </w:rPr>
        <w:t xml:space="preserve"> </w:t>
      </w:r>
      <w:r>
        <w:rPr>
          <w:color w:val="231F20"/>
          <w:w w:val="95"/>
        </w:rPr>
        <w:t>has</w:t>
      </w:r>
      <w:r>
        <w:rPr>
          <w:color w:val="231F20"/>
          <w:spacing w:val="-9"/>
          <w:w w:val="95"/>
        </w:rPr>
        <w:t xml:space="preserve"> </w:t>
      </w:r>
      <w:r>
        <w:rPr>
          <w:color w:val="231F20"/>
          <w:w w:val="95"/>
        </w:rPr>
        <w:t>included</w:t>
      </w:r>
      <w:r>
        <w:rPr>
          <w:color w:val="231F20"/>
          <w:spacing w:val="-9"/>
          <w:w w:val="95"/>
        </w:rPr>
        <w:t xml:space="preserve"> </w:t>
      </w:r>
      <w:r>
        <w:rPr>
          <w:color w:val="231F20"/>
          <w:w w:val="95"/>
        </w:rPr>
        <w:t xml:space="preserve">players </w:t>
      </w:r>
      <w:r>
        <w:rPr>
          <w:color w:val="231F20"/>
        </w:rPr>
        <w:t>born</w:t>
      </w:r>
      <w:r>
        <w:rPr>
          <w:color w:val="231F20"/>
          <w:spacing w:val="-9"/>
        </w:rPr>
        <w:t xml:space="preserve"> </w:t>
      </w:r>
      <w:r>
        <w:rPr>
          <w:color w:val="231F20"/>
        </w:rPr>
        <w:t>in</w:t>
      </w:r>
      <w:r>
        <w:rPr>
          <w:color w:val="231F20"/>
          <w:spacing w:val="-9"/>
        </w:rPr>
        <w:t xml:space="preserve"> </w:t>
      </w:r>
      <w:r>
        <w:rPr>
          <w:color w:val="231F20"/>
        </w:rPr>
        <w:t>New</w:t>
      </w:r>
      <w:r>
        <w:rPr>
          <w:color w:val="231F20"/>
          <w:spacing w:val="-9"/>
        </w:rPr>
        <w:t xml:space="preserve"> </w:t>
      </w:r>
      <w:r>
        <w:rPr>
          <w:color w:val="231F20"/>
        </w:rPr>
        <w:t>Zealand,</w:t>
      </w:r>
      <w:r>
        <w:rPr>
          <w:color w:val="231F20"/>
          <w:spacing w:val="-9"/>
        </w:rPr>
        <w:t xml:space="preserve"> </w:t>
      </w:r>
      <w:r>
        <w:rPr>
          <w:color w:val="231F20"/>
        </w:rPr>
        <w:t>Samoa</w:t>
      </w:r>
      <w:r>
        <w:rPr>
          <w:color w:val="231F20"/>
          <w:spacing w:val="-9"/>
        </w:rPr>
        <w:t xml:space="preserve"> </w:t>
      </w:r>
      <w:r>
        <w:rPr>
          <w:color w:val="231F20"/>
        </w:rPr>
        <w:t>and</w:t>
      </w:r>
      <w:r>
        <w:rPr>
          <w:color w:val="231F20"/>
          <w:spacing w:val="-9"/>
        </w:rPr>
        <w:t xml:space="preserve"> </w:t>
      </w:r>
      <w:r>
        <w:rPr>
          <w:color w:val="231F20"/>
        </w:rPr>
        <w:t>Tonga</w:t>
      </w:r>
      <w:r>
        <w:rPr>
          <w:color w:val="231F20"/>
          <w:spacing w:val="-9"/>
        </w:rPr>
        <w:t xml:space="preserve"> </w:t>
      </w:r>
      <w:r>
        <w:rPr>
          <w:color w:val="231F20"/>
        </w:rPr>
        <w:t>(among</w:t>
      </w:r>
      <w:r>
        <w:rPr>
          <w:color w:val="231F20"/>
          <w:spacing w:val="-9"/>
        </w:rPr>
        <w:t xml:space="preserve"> </w:t>
      </w:r>
      <w:r>
        <w:rPr>
          <w:color w:val="231F20"/>
        </w:rPr>
        <w:t>others),</w:t>
      </w:r>
      <w:r>
        <w:rPr>
          <w:color w:val="231F20"/>
          <w:spacing w:val="-9"/>
        </w:rPr>
        <w:t xml:space="preserve"> </w:t>
      </w:r>
      <w:r>
        <w:rPr>
          <w:color w:val="231F20"/>
        </w:rPr>
        <w:t>is</w:t>
      </w:r>
      <w:r>
        <w:rPr>
          <w:color w:val="231F20"/>
          <w:spacing w:val="-9"/>
        </w:rPr>
        <w:t xml:space="preserve"> </w:t>
      </w:r>
      <w:r>
        <w:rPr>
          <w:color w:val="231F20"/>
        </w:rPr>
        <w:t xml:space="preserve">challenging the entrenched view of ethnic homogeneity and mono-culturalism. </w:t>
      </w:r>
      <w:r>
        <w:rPr>
          <w:color w:val="231F20"/>
          <w:w w:val="95"/>
        </w:rPr>
        <w:t>Tensions arise when, despite these inc</w:t>
      </w:r>
      <w:r>
        <w:rPr>
          <w:color w:val="231F20"/>
          <w:w w:val="95"/>
        </w:rPr>
        <w:t xml:space="preserve">reasing diversities, events like the </w:t>
      </w:r>
      <w:r>
        <w:rPr>
          <w:color w:val="231F20"/>
          <w:spacing w:val="-2"/>
        </w:rPr>
        <w:t>RWC</w:t>
      </w:r>
      <w:r>
        <w:rPr>
          <w:color w:val="231F20"/>
          <w:spacing w:val="-10"/>
        </w:rPr>
        <w:t xml:space="preserve"> </w:t>
      </w:r>
      <w:r>
        <w:rPr>
          <w:color w:val="231F20"/>
          <w:spacing w:val="-2"/>
        </w:rPr>
        <w:t>are</w:t>
      </w:r>
      <w:r>
        <w:rPr>
          <w:color w:val="231F20"/>
          <w:spacing w:val="-10"/>
        </w:rPr>
        <w:t xml:space="preserve"> </w:t>
      </w:r>
      <w:r>
        <w:rPr>
          <w:color w:val="231F20"/>
          <w:spacing w:val="-2"/>
        </w:rPr>
        <w:t>used</w:t>
      </w:r>
      <w:r>
        <w:rPr>
          <w:color w:val="231F20"/>
          <w:spacing w:val="-9"/>
        </w:rPr>
        <w:t xml:space="preserve"> </w:t>
      </w:r>
      <w:r>
        <w:rPr>
          <w:color w:val="231F20"/>
          <w:spacing w:val="-2"/>
        </w:rPr>
        <w:t>for</w:t>
      </w:r>
      <w:r>
        <w:rPr>
          <w:color w:val="231F20"/>
          <w:spacing w:val="-10"/>
        </w:rPr>
        <w:t xml:space="preserve"> </w:t>
      </w:r>
      <w:r>
        <w:rPr>
          <w:color w:val="231F20"/>
          <w:spacing w:val="-2"/>
        </w:rPr>
        <w:t>conservative</w:t>
      </w:r>
      <w:r>
        <w:rPr>
          <w:color w:val="231F20"/>
          <w:spacing w:val="-9"/>
        </w:rPr>
        <w:t xml:space="preserve"> </w:t>
      </w:r>
      <w:r>
        <w:rPr>
          <w:color w:val="231F20"/>
          <w:spacing w:val="-2"/>
        </w:rPr>
        <w:t>rationalities</w:t>
      </w:r>
      <w:r>
        <w:rPr>
          <w:color w:val="231F20"/>
          <w:spacing w:val="-10"/>
        </w:rPr>
        <w:t xml:space="preserve"> </w:t>
      </w:r>
      <w:r>
        <w:rPr>
          <w:color w:val="231F20"/>
          <w:spacing w:val="-2"/>
        </w:rPr>
        <w:t>and</w:t>
      </w:r>
      <w:r>
        <w:rPr>
          <w:color w:val="231F20"/>
          <w:spacing w:val="-9"/>
        </w:rPr>
        <w:t xml:space="preserve"> </w:t>
      </w:r>
      <w:r>
        <w:rPr>
          <w:color w:val="231F20"/>
          <w:spacing w:val="-2"/>
        </w:rPr>
        <w:t>legitimisations.</w:t>
      </w:r>
      <w:r>
        <w:rPr>
          <w:color w:val="231F20"/>
          <w:spacing w:val="-10"/>
        </w:rPr>
        <w:t xml:space="preserve"> </w:t>
      </w:r>
      <w:r>
        <w:rPr>
          <w:color w:val="231F20"/>
          <w:spacing w:val="-2"/>
        </w:rPr>
        <w:t xml:space="preserve">Beyond </w:t>
      </w:r>
      <w:r>
        <w:rPr>
          <w:color w:val="231F20"/>
        </w:rPr>
        <w:t>the</w:t>
      </w:r>
      <w:r>
        <w:rPr>
          <w:color w:val="231F20"/>
          <w:spacing w:val="-11"/>
        </w:rPr>
        <w:t xml:space="preserve"> </w:t>
      </w:r>
      <w:r>
        <w:rPr>
          <w:color w:val="231F20"/>
        </w:rPr>
        <w:t>field</w:t>
      </w:r>
      <w:r>
        <w:rPr>
          <w:color w:val="231F20"/>
          <w:spacing w:val="-11"/>
        </w:rPr>
        <w:t xml:space="preserve"> </w:t>
      </w:r>
      <w:r>
        <w:rPr>
          <w:color w:val="231F20"/>
        </w:rPr>
        <w:t>of</w:t>
      </w:r>
      <w:r>
        <w:rPr>
          <w:color w:val="231F20"/>
          <w:spacing w:val="-2"/>
        </w:rPr>
        <w:t xml:space="preserve"> </w:t>
      </w:r>
      <w:r>
        <w:rPr>
          <w:color w:val="231F20"/>
        </w:rPr>
        <w:t>competition,</w:t>
      </w:r>
      <w:r>
        <w:rPr>
          <w:color w:val="231F20"/>
          <w:spacing w:val="-11"/>
        </w:rPr>
        <w:t xml:space="preserve"> </w:t>
      </w:r>
      <w:r>
        <w:rPr>
          <w:color w:val="231F20"/>
        </w:rPr>
        <w:t>one</w:t>
      </w:r>
      <w:r>
        <w:rPr>
          <w:color w:val="231F20"/>
          <w:spacing w:val="-11"/>
        </w:rPr>
        <w:t xml:space="preserve"> </w:t>
      </w:r>
      <w:r>
        <w:rPr>
          <w:color w:val="231F20"/>
        </w:rPr>
        <w:t>of</w:t>
      </w:r>
      <w:r>
        <w:rPr>
          <w:color w:val="231F20"/>
          <w:spacing w:val="-2"/>
        </w:rPr>
        <w:t xml:space="preserve"> </w:t>
      </w:r>
      <w:r>
        <w:rPr>
          <w:color w:val="231F20"/>
        </w:rPr>
        <w:t>the</w:t>
      </w:r>
      <w:r>
        <w:rPr>
          <w:color w:val="231F20"/>
          <w:spacing w:val="-11"/>
        </w:rPr>
        <w:t xml:space="preserve"> </w:t>
      </w:r>
      <w:r>
        <w:rPr>
          <w:color w:val="231F20"/>
        </w:rPr>
        <w:t>more</w:t>
      </w:r>
      <w:r>
        <w:rPr>
          <w:color w:val="231F20"/>
          <w:spacing w:val="-11"/>
        </w:rPr>
        <w:t xml:space="preserve"> </w:t>
      </w:r>
      <w:r>
        <w:rPr>
          <w:color w:val="231F20"/>
        </w:rPr>
        <w:t>intriguing</w:t>
      </w:r>
      <w:r>
        <w:rPr>
          <w:color w:val="231F20"/>
          <w:spacing w:val="-11"/>
        </w:rPr>
        <w:t xml:space="preserve"> </w:t>
      </w:r>
      <w:r>
        <w:rPr>
          <w:color w:val="231F20"/>
        </w:rPr>
        <w:t>aspects</w:t>
      </w:r>
      <w:r>
        <w:rPr>
          <w:color w:val="231F20"/>
          <w:spacing w:val="-11"/>
        </w:rPr>
        <w:t xml:space="preserve"> </w:t>
      </w:r>
      <w:r>
        <w:rPr>
          <w:color w:val="231F20"/>
        </w:rPr>
        <w:t>of</w:t>
      </w:r>
      <w:r>
        <w:rPr>
          <w:color w:val="231F20"/>
          <w:spacing w:val="-2"/>
        </w:rPr>
        <w:t xml:space="preserve"> </w:t>
      </w:r>
      <w:r>
        <w:rPr>
          <w:color w:val="231F20"/>
        </w:rPr>
        <w:t>the</w:t>
      </w:r>
      <w:r>
        <w:rPr>
          <w:color w:val="231F20"/>
          <w:spacing w:val="-11"/>
        </w:rPr>
        <w:t xml:space="preserve"> </w:t>
      </w:r>
      <w:r>
        <w:rPr>
          <w:color w:val="231F20"/>
        </w:rPr>
        <w:t>2019 RWC will be the way the politics of identity play out.</w:t>
      </w:r>
    </w:p>
    <w:p w14:paraId="425D52C8" w14:textId="77777777" w:rsidR="00AE0598" w:rsidRDefault="0069255A">
      <w:pPr>
        <w:pStyle w:val="Corpodetexto"/>
        <w:spacing w:before="24" w:line="232" w:lineRule="auto"/>
        <w:ind w:left="223" w:right="241" w:firstLine="320"/>
        <w:jc w:val="both"/>
      </w:pPr>
      <w:r>
        <w:rPr>
          <w:color w:val="231F20"/>
          <w:w w:val="95"/>
        </w:rPr>
        <w:t xml:space="preserve">It is interesting to consider cultural politics in terms of the elements </w:t>
      </w:r>
      <w:r>
        <w:rPr>
          <w:color w:val="231F20"/>
        </w:rPr>
        <w:t xml:space="preserve">and interpretations of national identity that will be portrayed in the </w:t>
      </w:r>
      <w:r>
        <w:rPr>
          <w:color w:val="231F20"/>
          <w:w w:val="95"/>
        </w:rPr>
        <w:t>delivery</w:t>
      </w:r>
      <w:r>
        <w:rPr>
          <w:color w:val="231F20"/>
          <w:spacing w:val="-7"/>
          <w:w w:val="95"/>
        </w:rPr>
        <w:t xml:space="preserve"> </w:t>
      </w:r>
      <w:r>
        <w:rPr>
          <w:color w:val="231F20"/>
          <w:w w:val="95"/>
        </w:rPr>
        <w:t>of</w:t>
      </w:r>
      <w:r>
        <w:rPr>
          <w:color w:val="231F20"/>
          <w:spacing w:val="7"/>
        </w:rPr>
        <w:t xml:space="preserve"> </w:t>
      </w:r>
      <w:r>
        <w:rPr>
          <w:color w:val="231F20"/>
          <w:w w:val="95"/>
        </w:rPr>
        <w:t>the</w:t>
      </w:r>
      <w:r>
        <w:rPr>
          <w:color w:val="231F20"/>
          <w:spacing w:val="-7"/>
          <w:w w:val="95"/>
        </w:rPr>
        <w:t xml:space="preserve"> </w:t>
      </w:r>
      <w:r>
        <w:rPr>
          <w:color w:val="231F20"/>
          <w:w w:val="95"/>
        </w:rPr>
        <w:t>Japan</w:t>
      </w:r>
      <w:r>
        <w:rPr>
          <w:color w:val="231F20"/>
          <w:spacing w:val="-7"/>
          <w:w w:val="95"/>
        </w:rPr>
        <w:t xml:space="preserve"> </w:t>
      </w:r>
      <w:r>
        <w:rPr>
          <w:color w:val="231F20"/>
          <w:w w:val="95"/>
        </w:rPr>
        <w:t>2019</w:t>
      </w:r>
      <w:r>
        <w:rPr>
          <w:color w:val="231F20"/>
          <w:spacing w:val="-7"/>
          <w:w w:val="95"/>
        </w:rPr>
        <w:t xml:space="preserve"> </w:t>
      </w:r>
      <w:r>
        <w:rPr>
          <w:color w:val="231F20"/>
          <w:w w:val="95"/>
        </w:rPr>
        <w:t>RWC.</w:t>
      </w:r>
      <w:r>
        <w:rPr>
          <w:color w:val="231F20"/>
          <w:spacing w:val="-7"/>
          <w:w w:val="95"/>
        </w:rPr>
        <w:t xml:space="preserve"> </w:t>
      </w:r>
      <w:r>
        <w:rPr>
          <w:color w:val="231F20"/>
          <w:w w:val="95"/>
        </w:rPr>
        <w:t>It</w:t>
      </w:r>
      <w:r>
        <w:rPr>
          <w:color w:val="231F20"/>
          <w:spacing w:val="-7"/>
          <w:w w:val="95"/>
        </w:rPr>
        <w:t xml:space="preserve"> </w:t>
      </w:r>
      <w:r>
        <w:rPr>
          <w:color w:val="231F20"/>
          <w:w w:val="95"/>
        </w:rPr>
        <w:t>is</w:t>
      </w:r>
      <w:r>
        <w:rPr>
          <w:color w:val="231F20"/>
          <w:spacing w:val="-7"/>
          <w:w w:val="95"/>
        </w:rPr>
        <w:t xml:space="preserve"> </w:t>
      </w:r>
      <w:r>
        <w:rPr>
          <w:color w:val="231F20"/>
          <w:w w:val="95"/>
        </w:rPr>
        <w:t>also</w:t>
      </w:r>
      <w:r>
        <w:rPr>
          <w:color w:val="231F20"/>
          <w:spacing w:val="-7"/>
          <w:w w:val="95"/>
        </w:rPr>
        <w:t xml:space="preserve"> </w:t>
      </w:r>
      <w:r>
        <w:rPr>
          <w:color w:val="231F20"/>
          <w:w w:val="95"/>
        </w:rPr>
        <w:t>important</w:t>
      </w:r>
      <w:r>
        <w:rPr>
          <w:color w:val="231F20"/>
          <w:spacing w:val="-7"/>
          <w:w w:val="95"/>
        </w:rPr>
        <w:t xml:space="preserve"> </w:t>
      </w:r>
      <w:r>
        <w:rPr>
          <w:color w:val="231F20"/>
          <w:w w:val="95"/>
        </w:rPr>
        <w:t>to</w:t>
      </w:r>
      <w:r>
        <w:rPr>
          <w:color w:val="231F20"/>
          <w:spacing w:val="-7"/>
          <w:w w:val="95"/>
        </w:rPr>
        <w:t xml:space="preserve"> </w:t>
      </w:r>
      <w:r>
        <w:rPr>
          <w:color w:val="231F20"/>
          <w:w w:val="95"/>
        </w:rPr>
        <w:t>consider</w:t>
      </w:r>
      <w:r>
        <w:rPr>
          <w:color w:val="231F20"/>
          <w:spacing w:val="-7"/>
          <w:w w:val="95"/>
        </w:rPr>
        <w:t xml:space="preserve"> </w:t>
      </w:r>
      <w:r>
        <w:rPr>
          <w:color w:val="231F20"/>
          <w:w w:val="95"/>
        </w:rPr>
        <w:t>how</w:t>
      </w:r>
      <w:r>
        <w:rPr>
          <w:color w:val="231F20"/>
          <w:spacing w:val="-7"/>
          <w:w w:val="95"/>
        </w:rPr>
        <w:t xml:space="preserve"> </w:t>
      </w:r>
      <w:r>
        <w:rPr>
          <w:color w:val="231F20"/>
          <w:w w:val="95"/>
        </w:rPr>
        <w:t xml:space="preserve">RWC 2019 event organisers will deliver elements of experience management and experience marketing (Figure 8.1) in relation to (contested) aspects </w:t>
      </w:r>
      <w:r>
        <w:rPr>
          <w:color w:val="231F20"/>
          <w:spacing w:val="-2"/>
        </w:rPr>
        <w:t>of</w:t>
      </w:r>
      <w:r>
        <w:rPr>
          <w:color w:val="231F20"/>
          <w:spacing w:val="7"/>
        </w:rPr>
        <w:t xml:space="preserve"> </w:t>
      </w:r>
      <w:r>
        <w:rPr>
          <w:color w:val="231F20"/>
          <w:spacing w:val="-2"/>
        </w:rPr>
        <w:t>national</w:t>
      </w:r>
      <w:r>
        <w:rPr>
          <w:color w:val="231F20"/>
          <w:spacing w:val="-5"/>
        </w:rPr>
        <w:t xml:space="preserve"> </w:t>
      </w:r>
      <w:r>
        <w:rPr>
          <w:color w:val="231F20"/>
          <w:spacing w:val="-2"/>
        </w:rPr>
        <w:t>identity.</w:t>
      </w:r>
      <w:r>
        <w:rPr>
          <w:color w:val="231F20"/>
          <w:spacing w:val="-5"/>
        </w:rPr>
        <w:t xml:space="preserve"> </w:t>
      </w:r>
      <w:r>
        <w:rPr>
          <w:color w:val="231F20"/>
          <w:spacing w:val="-2"/>
        </w:rPr>
        <w:t>This,</w:t>
      </w:r>
      <w:r>
        <w:rPr>
          <w:color w:val="231F20"/>
          <w:spacing w:val="-5"/>
        </w:rPr>
        <w:t xml:space="preserve"> </w:t>
      </w:r>
      <w:r>
        <w:rPr>
          <w:color w:val="231F20"/>
          <w:spacing w:val="-2"/>
        </w:rPr>
        <w:t>in</w:t>
      </w:r>
      <w:r>
        <w:rPr>
          <w:color w:val="231F20"/>
          <w:spacing w:val="-6"/>
        </w:rPr>
        <w:t xml:space="preserve"> </w:t>
      </w:r>
      <w:r>
        <w:rPr>
          <w:color w:val="231F20"/>
          <w:spacing w:val="-2"/>
        </w:rPr>
        <w:t>turn,</w:t>
      </w:r>
      <w:r>
        <w:rPr>
          <w:color w:val="231F20"/>
          <w:spacing w:val="-5"/>
        </w:rPr>
        <w:t xml:space="preserve"> </w:t>
      </w:r>
      <w:r>
        <w:rPr>
          <w:color w:val="231F20"/>
          <w:spacing w:val="-2"/>
        </w:rPr>
        <w:t>raises</w:t>
      </w:r>
      <w:r>
        <w:rPr>
          <w:color w:val="231F20"/>
          <w:spacing w:val="-5"/>
        </w:rPr>
        <w:t xml:space="preserve"> </w:t>
      </w:r>
      <w:r>
        <w:rPr>
          <w:color w:val="231F20"/>
          <w:spacing w:val="-2"/>
        </w:rPr>
        <w:t>questions</w:t>
      </w:r>
      <w:r>
        <w:rPr>
          <w:color w:val="231F20"/>
          <w:spacing w:val="-5"/>
        </w:rPr>
        <w:t xml:space="preserve"> </w:t>
      </w:r>
      <w:r>
        <w:rPr>
          <w:color w:val="231F20"/>
          <w:spacing w:val="-2"/>
        </w:rPr>
        <w:t>about</w:t>
      </w:r>
      <w:r>
        <w:rPr>
          <w:color w:val="231F20"/>
          <w:spacing w:val="-5"/>
        </w:rPr>
        <w:t xml:space="preserve"> </w:t>
      </w:r>
      <w:r>
        <w:rPr>
          <w:color w:val="231F20"/>
          <w:spacing w:val="-2"/>
        </w:rPr>
        <w:t>how</w:t>
      </w:r>
      <w:r>
        <w:rPr>
          <w:color w:val="231F20"/>
          <w:spacing w:val="-5"/>
        </w:rPr>
        <w:t xml:space="preserve"> </w:t>
      </w:r>
      <w:r>
        <w:rPr>
          <w:color w:val="231F20"/>
          <w:spacing w:val="-2"/>
        </w:rPr>
        <w:t>RWC</w:t>
      </w:r>
      <w:r>
        <w:rPr>
          <w:color w:val="231F20"/>
          <w:spacing w:val="-5"/>
        </w:rPr>
        <w:t xml:space="preserve"> </w:t>
      </w:r>
      <w:r>
        <w:rPr>
          <w:color w:val="231F20"/>
          <w:spacing w:val="-4"/>
          <w:w w:val="95"/>
        </w:rPr>
        <w:t>2019</w:t>
      </w:r>
    </w:p>
    <w:p w14:paraId="113D98C1" w14:textId="77777777" w:rsidR="00AE0598" w:rsidRDefault="00AE0598">
      <w:pPr>
        <w:spacing w:line="232" w:lineRule="auto"/>
        <w:jc w:val="both"/>
        <w:sectPr w:rsidR="00AE0598">
          <w:pgSz w:w="8850" w:h="13270"/>
          <w:pgMar w:top="720" w:right="1060" w:bottom="280" w:left="1080" w:header="720" w:footer="720" w:gutter="0"/>
          <w:cols w:space="720"/>
        </w:sectPr>
      </w:pPr>
    </w:p>
    <w:p w14:paraId="0319CC47" w14:textId="77777777" w:rsidR="00AE0598" w:rsidRDefault="0069255A">
      <w:pPr>
        <w:spacing w:before="87"/>
        <w:ind w:left="4078"/>
        <w:rPr>
          <w:rFonts w:ascii="Trebuchet MS"/>
          <w:sz w:val="14"/>
        </w:rPr>
      </w:pPr>
      <w:r>
        <w:rPr>
          <w:rFonts w:ascii="Trebuchet MS"/>
          <w:color w:val="231F20"/>
          <w:w w:val="105"/>
          <w:sz w:val="14"/>
        </w:rPr>
        <w:lastRenderedPageBreak/>
        <w:t>Sport</w:t>
      </w:r>
      <w:r>
        <w:rPr>
          <w:rFonts w:ascii="Trebuchet MS"/>
          <w:color w:val="231F20"/>
          <w:spacing w:val="-11"/>
          <w:w w:val="105"/>
          <w:sz w:val="14"/>
        </w:rPr>
        <w:t xml:space="preserve"> </w:t>
      </w:r>
      <w:r>
        <w:rPr>
          <w:rFonts w:ascii="Trebuchet MS"/>
          <w:color w:val="231F20"/>
          <w:w w:val="105"/>
          <w:sz w:val="14"/>
        </w:rPr>
        <w:t>and</w:t>
      </w:r>
      <w:r>
        <w:rPr>
          <w:rFonts w:ascii="Trebuchet MS"/>
          <w:color w:val="231F20"/>
          <w:spacing w:val="-11"/>
          <w:w w:val="105"/>
          <w:sz w:val="14"/>
        </w:rPr>
        <w:t xml:space="preserve"> </w:t>
      </w:r>
      <w:r>
        <w:rPr>
          <w:rFonts w:ascii="Trebuchet MS"/>
          <w:color w:val="231F20"/>
          <w:w w:val="105"/>
          <w:sz w:val="14"/>
        </w:rPr>
        <w:t>the</w:t>
      </w:r>
      <w:r>
        <w:rPr>
          <w:rFonts w:ascii="Trebuchet MS"/>
          <w:color w:val="231F20"/>
          <w:spacing w:val="-11"/>
          <w:w w:val="105"/>
          <w:sz w:val="14"/>
        </w:rPr>
        <w:t xml:space="preserve"> </w:t>
      </w:r>
      <w:r>
        <w:rPr>
          <w:rFonts w:ascii="Trebuchet MS"/>
          <w:color w:val="231F20"/>
          <w:w w:val="105"/>
          <w:sz w:val="14"/>
        </w:rPr>
        <w:t>Tourist</w:t>
      </w:r>
      <w:r>
        <w:rPr>
          <w:rFonts w:ascii="Trebuchet MS"/>
          <w:color w:val="231F20"/>
          <w:spacing w:val="-11"/>
          <w:w w:val="105"/>
          <w:sz w:val="14"/>
        </w:rPr>
        <w:t xml:space="preserve"> </w:t>
      </w:r>
      <w:r>
        <w:rPr>
          <w:rFonts w:ascii="Trebuchet MS"/>
          <w:color w:val="231F20"/>
          <w:w w:val="105"/>
          <w:sz w:val="14"/>
        </w:rPr>
        <w:t>Experience</w:t>
      </w:r>
      <w:r>
        <w:rPr>
          <w:rFonts w:ascii="Trebuchet MS"/>
          <w:color w:val="231F20"/>
          <w:spacing w:val="78"/>
          <w:w w:val="105"/>
          <w:sz w:val="14"/>
        </w:rPr>
        <w:t xml:space="preserve"> </w:t>
      </w:r>
      <w:r>
        <w:rPr>
          <w:rFonts w:ascii="Trebuchet MS"/>
          <w:color w:val="231F20"/>
          <w:spacing w:val="-5"/>
          <w:w w:val="105"/>
          <w:sz w:val="14"/>
        </w:rPr>
        <w:t>163</w:t>
      </w:r>
    </w:p>
    <w:p w14:paraId="0FBE810F" w14:textId="4FE37D4C" w:rsidR="00AE0598" w:rsidRDefault="0069255A">
      <w:pPr>
        <w:pStyle w:val="Corpodetexto"/>
        <w:spacing w:before="6"/>
        <w:rPr>
          <w:rFonts w:ascii="Trebuchet MS"/>
          <w:sz w:val="27"/>
        </w:rPr>
      </w:pPr>
      <w:r>
        <w:rPr>
          <w:noProof/>
        </w:rPr>
        <mc:AlternateContent>
          <mc:Choice Requires="wps">
            <w:drawing>
              <wp:anchor distT="0" distB="0" distL="0" distR="0" simplePos="0" relativeHeight="487668224" behindDoc="1" locked="0" layoutInCell="1" allowOverlap="1" wp14:anchorId="5C4B2FD3" wp14:editId="0FD740F4">
                <wp:simplePos x="0" y="0"/>
                <wp:positionH relativeFrom="page">
                  <wp:posOffset>755650</wp:posOffset>
                </wp:positionH>
                <wp:positionV relativeFrom="paragraph">
                  <wp:posOffset>218440</wp:posOffset>
                </wp:positionV>
                <wp:extent cx="4104005" cy="2698115"/>
                <wp:effectExtent l="0" t="0" r="0" b="0"/>
                <wp:wrapTopAndBottom/>
                <wp:docPr id="142" name="docshape2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04005" cy="2698115"/>
                        </a:xfrm>
                        <a:prstGeom prst="rect">
                          <a:avLst/>
                        </a:prstGeom>
                        <a:solidFill>
                          <a:srgbClr val="DCDDD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B69D92F" w14:textId="77777777" w:rsidR="00AE0598" w:rsidRDefault="0069255A">
                            <w:pPr>
                              <w:pStyle w:val="Corpodetexto"/>
                              <w:spacing w:before="73" w:line="232" w:lineRule="auto"/>
                              <w:ind w:left="113" w:right="111"/>
                              <w:jc w:val="both"/>
                              <w:rPr>
                                <w:color w:val="000000"/>
                              </w:rPr>
                            </w:pPr>
                            <w:r>
                              <w:rPr>
                                <w:color w:val="231F20"/>
                                <w:spacing w:val="-2"/>
                              </w:rPr>
                              <w:t xml:space="preserve">organisers will negotiate the longstanding tensions of Japanese culture </w:t>
                            </w:r>
                            <w:r>
                              <w:rPr>
                                <w:color w:val="231F20"/>
                                <w:w w:val="95"/>
                              </w:rPr>
                              <w:t xml:space="preserve">associated with the national rugby team (Light </w:t>
                            </w:r>
                            <w:r>
                              <w:rPr>
                                <w:i/>
                                <w:color w:val="231F20"/>
                                <w:w w:val="95"/>
                              </w:rPr>
                              <w:t>et al</w:t>
                            </w:r>
                            <w:r>
                              <w:rPr>
                                <w:color w:val="231F20"/>
                                <w:w w:val="95"/>
                              </w:rPr>
                              <w:t xml:space="preserve">., 2008). The cultural </w:t>
                            </w:r>
                            <w:r>
                              <w:rPr>
                                <w:color w:val="231F20"/>
                              </w:rPr>
                              <w:t xml:space="preserve">diversity of the Japanese national rugby team is such that the 2019 </w:t>
                            </w:r>
                            <w:r>
                              <w:rPr>
                                <w:color w:val="231F20"/>
                                <w:spacing w:val="-2"/>
                              </w:rPr>
                              <w:t>World</w:t>
                            </w:r>
                            <w:r>
                              <w:rPr>
                                <w:color w:val="231F20"/>
                                <w:spacing w:val="-7"/>
                              </w:rPr>
                              <w:t xml:space="preserve"> </w:t>
                            </w:r>
                            <w:r>
                              <w:rPr>
                                <w:color w:val="231F20"/>
                                <w:spacing w:val="-2"/>
                              </w:rPr>
                              <w:t>C</w:t>
                            </w:r>
                            <w:r>
                              <w:rPr>
                                <w:color w:val="231F20"/>
                                <w:spacing w:val="-2"/>
                              </w:rPr>
                              <w:t>up</w:t>
                            </w:r>
                            <w:r>
                              <w:rPr>
                                <w:color w:val="231F20"/>
                                <w:spacing w:val="-7"/>
                              </w:rPr>
                              <w:t xml:space="preserve"> </w:t>
                            </w:r>
                            <w:r>
                              <w:rPr>
                                <w:color w:val="231F20"/>
                                <w:spacing w:val="-2"/>
                              </w:rPr>
                              <w:t>will</w:t>
                            </w:r>
                            <w:r>
                              <w:rPr>
                                <w:color w:val="231F20"/>
                                <w:spacing w:val="-7"/>
                              </w:rPr>
                              <w:t xml:space="preserve"> </w:t>
                            </w:r>
                            <w:r>
                              <w:rPr>
                                <w:color w:val="231F20"/>
                                <w:spacing w:val="-2"/>
                              </w:rPr>
                              <w:t>offer</w:t>
                            </w:r>
                            <w:r>
                              <w:rPr>
                                <w:color w:val="231F20"/>
                                <w:spacing w:val="-7"/>
                              </w:rPr>
                              <w:t xml:space="preserve"> </w:t>
                            </w:r>
                            <w:r>
                              <w:rPr>
                                <w:color w:val="231F20"/>
                                <w:spacing w:val="-2"/>
                              </w:rPr>
                              <w:t>an</w:t>
                            </w:r>
                            <w:r>
                              <w:rPr>
                                <w:color w:val="231F20"/>
                                <w:spacing w:val="-7"/>
                              </w:rPr>
                              <w:t xml:space="preserve"> </w:t>
                            </w:r>
                            <w:r>
                              <w:rPr>
                                <w:color w:val="231F20"/>
                                <w:spacing w:val="-2"/>
                              </w:rPr>
                              <w:t>opportunity</w:t>
                            </w:r>
                            <w:r>
                              <w:rPr>
                                <w:color w:val="231F20"/>
                                <w:spacing w:val="-7"/>
                              </w:rPr>
                              <w:t xml:space="preserve"> </w:t>
                            </w:r>
                            <w:r>
                              <w:rPr>
                                <w:color w:val="231F20"/>
                                <w:spacing w:val="-2"/>
                              </w:rPr>
                              <w:t>for</w:t>
                            </w:r>
                            <w:r>
                              <w:rPr>
                                <w:color w:val="231F20"/>
                                <w:spacing w:val="-7"/>
                              </w:rPr>
                              <w:t xml:space="preserve"> </w:t>
                            </w:r>
                            <w:r>
                              <w:rPr>
                                <w:color w:val="231F20"/>
                                <w:spacing w:val="-2"/>
                              </w:rPr>
                              <w:t>Japanese</w:t>
                            </w:r>
                            <w:r>
                              <w:rPr>
                                <w:color w:val="231F20"/>
                                <w:spacing w:val="-7"/>
                              </w:rPr>
                              <w:t xml:space="preserve"> </w:t>
                            </w:r>
                            <w:r>
                              <w:rPr>
                                <w:color w:val="231F20"/>
                                <w:spacing w:val="-2"/>
                              </w:rPr>
                              <w:t>national</w:t>
                            </w:r>
                            <w:r>
                              <w:rPr>
                                <w:color w:val="231F20"/>
                                <w:spacing w:val="-7"/>
                              </w:rPr>
                              <w:t xml:space="preserve"> </w:t>
                            </w:r>
                            <w:r>
                              <w:rPr>
                                <w:color w:val="231F20"/>
                                <w:spacing w:val="-2"/>
                              </w:rPr>
                              <w:t>identity</w:t>
                            </w:r>
                            <w:r>
                              <w:rPr>
                                <w:color w:val="231F20"/>
                                <w:spacing w:val="-7"/>
                              </w:rPr>
                              <w:t xml:space="preserve"> </w:t>
                            </w:r>
                            <w:r>
                              <w:rPr>
                                <w:color w:val="231F20"/>
                                <w:spacing w:val="-2"/>
                              </w:rPr>
                              <w:t>to</w:t>
                            </w:r>
                            <w:r>
                              <w:rPr>
                                <w:color w:val="231F20"/>
                                <w:spacing w:val="-7"/>
                              </w:rPr>
                              <w:t xml:space="preserve"> </w:t>
                            </w:r>
                            <w:r>
                              <w:rPr>
                                <w:color w:val="231F20"/>
                                <w:spacing w:val="-2"/>
                              </w:rPr>
                              <w:t xml:space="preserve">be </w:t>
                            </w:r>
                            <w:r>
                              <w:rPr>
                                <w:color w:val="231F20"/>
                                <w:w w:val="95"/>
                              </w:rPr>
                              <w:t xml:space="preserve">reimagined. Identity politics will shape the interplay of event organisers </w:t>
                            </w:r>
                            <w:r>
                              <w:rPr>
                                <w:color w:val="231F20"/>
                                <w:spacing w:val="-2"/>
                              </w:rPr>
                              <w:t>and</w:t>
                            </w:r>
                            <w:r>
                              <w:rPr>
                                <w:color w:val="231F20"/>
                                <w:spacing w:val="-4"/>
                              </w:rPr>
                              <w:t xml:space="preserve"> </w:t>
                            </w:r>
                            <w:r>
                              <w:rPr>
                                <w:color w:val="231F20"/>
                                <w:spacing w:val="-2"/>
                              </w:rPr>
                              <w:t>the</w:t>
                            </w:r>
                            <w:r>
                              <w:rPr>
                                <w:color w:val="231F20"/>
                                <w:spacing w:val="-4"/>
                              </w:rPr>
                              <w:t xml:space="preserve"> </w:t>
                            </w:r>
                            <w:r>
                              <w:rPr>
                                <w:color w:val="231F20"/>
                                <w:spacing w:val="-2"/>
                              </w:rPr>
                              <w:t>event</w:t>
                            </w:r>
                            <w:r>
                              <w:rPr>
                                <w:color w:val="231F20"/>
                                <w:spacing w:val="-4"/>
                              </w:rPr>
                              <w:t xml:space="preserve"> </w:t>
                            </w:r>
                            <w:r>
                              <w:rPr>
                                <w:color w:val="231F20"/>
                                <w:spacing w:val="-2"/>
                              </w:rPr>
                              <w:t>tourists</w:t>
                            </w:r>
                            <w:r>
                              <w:rPr>
                                <w:color w:val="231F20"/>
                                <w:spacing w:val="-4"/>
                              </w:rPr>
                              <w:t xml:space="preserve"> </w:t>
                            </w:r>
                            <w:r>
                              <w:rPr>
                                <w:color w:val="231F20"/>
                                <w:spacing w:val="-2"/>
                              </w:rPr>
                              <w:t>who</w:t>
                            </w:r>
                            <w:r>
                              <w:rPr>
                                <w:color w:val="231F20"/>
                                <w:spacing w:val="-4"/>
                              </w:rPr>
                              <w:t xml:space="preserve"> </w:t>
                            </w:r>
                            <w:r>
                              <w:rPr>
                                <w:color w:val="231F20"/>
                                <w:spacing w:val="-2"/>
                              </w:rPr>
                              <w:t>will</w:t>
                            </w:r>
                            <w:r>
                              <w:rPr>
                                <w:color w:val="231F20"/>
                                <w:spacing w:val="-4"/>
                              </w:rPr>
                              <w:t xml:space="preserve"> </w:t>
                            </w:r>
                            <w:r>
                              <w:rPr>
                                <w:color w:val="231F20"/>
                                <w:spacing w:val="-2"/>
                              </w:rPr>
                              <w:t>jointly</w:t>
                            </w:r>
                            <w:r>
                              <w:rPr>
                                <w:color w:val="231F20"/>
                                <w:spacing w:val="-4"/>
                              </w:rPr>
                              <w:t xml:space="preserve"> </w:t>
                            </w:r>
                            <w:r>
                              <w:rPr>
                                <w:color w:val="231F20"/>
                                <w:spacing w:val="-2"/>
                              </w:rPr>
                              <w:t>co-create</w:t>
                            </w:r>
                            <w:r>
                              <w:rPr>
                                <w:color w:val="231F20"/>
                                <w:spacing w:val="-4"/>
                              </w:rPr>
                              <w:t xml:space="preserve"> </w:t>
                            </w:r>
                            <w:r>
                              <w:rPr>
                                <w:color w:val="231F20"/>
                                <w:spacing w:val="-2"/>
                              </w:rPr>
                              <w:t>the</w:t>
                            </w:r>
                            <w:r>
                              <w:rPr>
                                <w:color w:val="231F20"/>
                                <w:spacing w:val="-4"/>
                              </w:rPr>
                              <w:t xml:space="preserve"> </w:t>
                            </w:r>
                            <w:r>
                              <w:rPr>
                                <w:color w:val="231F20"/>
                                <w:spacing w:val="-2"/>
                              </w:rPr>
                              <w:t>event</w:t>
                            </w:r>
                            <w:r>
                              <w:rPr>
                                <w:color w:val="231F20"/>
                                <w:spacing w:val="-4"/>
                              </w:rPr>
                              <w:t xml:space="preserve"> </w:t>
                            </w:r>
                            <w:r>
                              <w:rPr>
                                <w:color w:val="231F20"/>
                                <w:spacing w:val="-2"/>
                              </w:rPr>
                              <w:t>experience.</w:t>
                            </w:r>
                          </w:p>
                          <w:p w14:paraId="66BDABF9" w14:textId="77777777" w:rsidR="00AE0598" w:rsidRDefault="00AE0598">
                            <w:pPr>
                              <w:pStyle w:val="Corpodetexto"/>
                              <w:spacing w:before="6"/>
                              <w:rPr>
                                <w:color w:val="000000"/>
                              </w:rPr>
                            </w:pPr>
                          </w:p>
                          <w:p w14:paraId="157B6FBD" w14:textId="77777777" w:rsidR="00AE0598" w:rsidRDefault="0069255A">
                            <w:pPr>
                              <w:spacing w:before="1"/>
                              <w:ind w:left="113"/>
                              <w:jc w:val="both"/>
                              <w:rPr>
                                <w:rFonts w:ascii="Trebuchet MS"/>
                                <w:color w:val="000000"/>
                                <w:sz w:val="20"/>
                              </w:rPr>
                            </w:pPr>
                            <w:r>
                              <w:rPr>
                                <w:rFonts w:ascii="Trebuchet MS"/>
                                <w:color w:val="231F20"/>
                                <w:w w:val="105"/>
                                <w:sz w:val="20"/>
                              </w:rPr>
                              <w:t>Key</w:t>
                            </w:r>
                            <w:r>
                              <w:rPr>
                                <w:rFonts w:ascii="Trebuchet MS"/>
                                <w:color w:val="231F20"/>
                                <w:spacing w:val="-11"/>
                                <w:w w:val="105"/>
                                <w:sz w:val="20"/>
                              </w:rPr>
                              <w:t xml:space="preserve"> </w:t>
                            </w:r>
                            <w:r>
                              <w:rPr>
                                <w:rFonts w:ascii="Trebuchet MS"/>
                                <w:color w:val="231F20"/>
                                <w:spacing w:val="-2"/>
                                <w:w w:val="105"/>
                                <w:sz w:val="20"/>
                              </w:rPr>
                              <w:t>Reading</w:t>
                            </w:r>
                          </w:p>
                          <w:p w14:paraId="3B7A57F0" w14:textId="77777777" w:rsidR="00AE0598" w:rsidRDefault="0069255A">
                            <w:pPr>
                              <w:spacing w:before="122" w:line="232" w:lineRule="auto"/>
                              <w:ind w:left="113" w:right="111"/>
                              <w:jc w:val="both"/>
                              <w:rPr>
                                <w:color w:val="000000"/>
                                <w:sz w:val="21"/>
                              </w:rPr>
                            </w:pPr>
                            <w:r>
                              <w:rPr>
                                <w:color w:val="231F20"/>
                                <w:sz w:val="21"/>
                              </w:rPr>
                              <w:t xml:space="preserve">Hinch, T.D., Higham, J.E.S. and Doering, A. (2018) Sport, tourism and </w:t>
                            </w:r>
                            <w:r>
                              <w:rPr>
                                <w:color w:val="231F20"/>
                                <w:w w:val="105"/>
                                <w:sz w:val="21"/>
                              </w:rPr>
                              <w:t>identity:</w:t>
                            </w:r>
                            <w:r>
                              <w:rPr>
                                <w:color w:val="231F20"/>
                                <w:spacing w:val="-7"/>
                                <w:w w:val="105"/>
                                <w:sz w:val="21"/>
                              </w:rPr>
                              <w:t xml:space="preserve"> </w:t>
                            </w:r>
                            <w:r>
                              <w:rPr>
                                <w:color w:val="231F20"/>
                                <w:w w:val="105"/>
                                <w:sz w:val="21"/>
                              </w:rPr>
                              <w:t>Japan,</w:t>
                            </w:r>
                            <w:r>
                              <w:rPr>
                                <w:color w:val="231F20"/>
                                <w:spacing w:val="-7"/>
                                <w:w w:val="105"/>
                                <w:sz w:val="21"/>
                              </w:rPr>
                              <w:t xml:space="preserve"> </w:t>
                            </w:r>
                            <w:r>
                              <w:rPr>
                                <w:color w:val="231F20"/>
                                <w:w w:val="105"/>
                                <w:sz w:val="21"/>
                              </w:rPr>
                              <w:t>rugby</w:t>
                            </w:r>
                            <w:r>
                              <w:rPr>
                                <w:color w:val="231F20"/>
                                <w:spacing w:val="-7"/>
                                <w:w w:val="105"/>
                                <w:sz w:val="21"/>
                              </w:rPr>
                              <w:t xml:space="preserve"> </w:t>
                            </w:r>
                            <w:r>
                              <w:rPr>
                                <w:color w:val="231F20"/>
                                <w:w w:val="105"/>
                                <w:sz w:val="21"/>
                              </w:rPr>
                              <w:t>union</w:t>
                            </w:r>
                            <w:r>
                              <w:rPr>
                                <w:color w:val="231F20"/>
                                <w:spacing w:val="-7"/>
                                <w:w w:val="105"/>
                                <w:sz w:val="21"/>
                              </w:rPr>
                              <w:t xml:space="preserve"> </w:t>
                            </w:r>
                            <w:r>
                              <w:rPr>
                                <w:color w:val="231F20"/>
                                <w:w w:val="105"/>
                                <w:sz w:val="21"/>
                              </w:rPr>
                              <w:t>and</w:t>
                            </w:r>
                            <w:r>
                              <w:rPr>
                                <w:color w:val="231F20"/>
                                <w:spacing w:val="-7"/>
                                <w:w w:val="105"/>
                                <w:sz w:val="21"/>
                              </w:rPr>
                              <w:t xml:space="preserve"> </w:t>
                            </w:r>
                            <w:r>
                              <w:rPr>
                                <w:color w:val="231F20"/>
                                <w:w w:val="105"/>
                                <w:sz w:val="21"/>
                              </w:rPr>
                              <w:t>the</w:t>
                            </w:r>
                            <w:r>
                              <w:rPr>
                                <w:color w:val="231F20"/>
                                <w:spacing w:val="-7"/>
                                <w:w w:val="105"/>
                                <w:sz w:val="21"/>
                              </w:rPr>
                              <w:t xml:space="preserve"> </w:t>
                            </w:r>
                            <w:r>
                              <w:rPr>
                                <w:color w:val="231F20"/>
                                <w:w w:val="105"/>
                                <w:sz w:val="21"/>
                              </w:rPr>
                              <w:t>transcultural</w:t>
                            </w:r>
                            <w:r>
                              <w:rPr>
                                <w:color w:val="231F20"/>
                                <w:spacing w:val="-7"/>
                                <w:w w:val="105"/>
                                <w:sz w:val="21"/>
                              </w:rPr>
                              <w:t xml:space="preserve"> </w:t>
                            </w:r>
                            <w:r>
                              <w:rPr>
                                <w:color w:val="231F20"/>
                                <w:w w:val="105"/>
                                <w:sz w:val="21"/>
                              </w:rPr>
                              <w:t>maul.</w:t>
                            </w:r>
                            <w:r>
                              <w:rPr>
                                <w:color w:val="231F20"/>
                                <w:spacing w:val="-7"/>
                                <w:w w:val="105"/>
                                <w:sz w:val="21"/>
                              </w:rPr>
                              <w:t xml:space="preserve"> </w:t>
                            </w:r>
                            <w:r>
                              <w:rPr>
                                <w:color w:val="231F20"/>
                                <w:w w:val="105"/>
                                <w:sz w:val="21"/>
                              </w:rPr>
                              <w:t>In</w:t>
                            </w:r>
                            <w:r>
                              <w:rPr>
                                <w:color w:val="231F20"/>
                                <w:spacing w:val="-7"/>
                                <w:w w:val="105"/>
                                <w:sz w:val="21"/>
                              </w:rPr>
                              <w:t xml:space="preserve"> </w:t>
                            </w:r>
                            <w:r>
                              <w:rPr>
                                <w:color w:val="231F20"/>
                                <w:w w:val="105"/>
                                <w:sz w:val="21"/>
                              </w:rPr>
                              <w:t>C.</w:t>
                            </w:r>
                            <w:r>
                              <w:rPr>
                                <w:color w:val="231F20"/>
                                <w:spacing w:val="-7"/>
                                <w:w w:val="105"/>
                                <w:sz w:val="21"/>
                              </w:rPr>
                              <w:t xml:space="preserve"> </w:t>
                            </w:r>
                            <w:r>
                              <w:rPr>
                                <w:color w:val="231F20"/>
                                <w:w w:val="105"/>
                                <w:sz w:val="21"/>
                              </w:rPr>
                              <w:t xml:space="preserve">Acton and D. Hassan (eds) </w:t>
                            </w:r>
                            <w:r>
                              <w:rPr>
                                <w:i/>
                                <w:color w:val="231F20"/>
                                <w:w w:val="105"/>
                                <w:sz w:val="21"/>
                              </w:rPr>
                              <w:t xml:space="preserve">Sport and Contested Identities: Contemporary </w:t>
                            </w:r>
                            <w:r>
                              <w:rPr>
                                <w:i/>
                                <w:color w:val="231F20"/>
                                <w:sz w:val="21"/>
                              </w:rPr>
                              <w:t xml:space="preserve">Issues and Debates </w:t>
                            </w:r>
                            <w:r>
                              <w:rPr>
                                <w:color w:val="231F20"/>
                                <w:sz w:val="21"/>
                              </w:rPr>
                              <w:t>(pp. 191–206). London/New York: R</w:t>
                            </w:r>
                            <w:r>
                              <w:rPr>
                                <w:color w:val="231F20"/>
                                <w:sz w:val="21"/>
                              </w:rPr>
                              <w:t>outledge.</w:t>
                            </w:r>
                          </w:p>
                          <w:p w14:paraId="5F8C6774" w14:textId="77777777" w:rsidR="00AE0598" w:rsidRDefault="0069255A">
                            <w:pPr>
                              <w:spacing w:before="124" w:line="232" w:lineRule="auto"/>
                              <w:ind w:left="113" w:right="110"/>
                              <w:jc w:val="both"/>
                              <w:rPr>
                                <w:color w:val="000000"/>
                                <w:sz w:val="21"/>
                              </w:rPr>
                            </w:pPr>
                            <w:r>
                              <w:rPr>
                                <w:color w:val="231F20"/>
                                <w:sz w:val="21"/>
                              </w:rPr>
                              <w:t xml:space="preserve">Light, R., Hirai, H. and Ebishima, H. (2008) Tradition, identity professionalism and tensions in Japanese rugby. In G. Ryan (ed.) </w:t>
                            </w:r>
                            <w:r>
                              <w:rPr>
                                <w:i/>
                                <w:color w:val="231F20"/>
                                <w:sz w:val="21"/>
                              </w:rPr>
                              <w:t xml:space="preserve">The Changing Faces of Rugby: The Union Game and Professionalism Since 1995 </w:t>
                            </w:r>
                            <w:r>
                              <w:rPr>
                                <w:color w:val="231F20"/>
                                <w:sz w:val="21"/>
                              </w:rPr>
                              <w:t>(pp. 147–164). Newcastle: Cambridge.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4B2FD3" id="docshape224" o:spid="_x0000_s1089" type="#_x0000_t202" style="position:absolute;margin-left:59.5pt;margin-top:17.2pt;width:323.15pt;height:212.45pt;z-index:-156482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" fillcolor="#dcddde" stroked="f">
                <v:textbox inset="0,0,0,0">
                  <w:txbxContent>
                    <w:p w14:paraId="3B69D92F" w14:textId="77777777" w:rsidR="00AE0598" w:rsidRDefault="0069255A">
                      <w:pPr>
                        <w:pStyle w:val="Corpodetexto"/>
                        <w:spacing w:before="73" w:line="232" w:lineRule="auto"/>
                        <w:ind w:left="113" w:right="111"/>
                        <w:jc w:val="both"/>
                        <w:rPr>
                          <w:color w:val="000000"/>
                        </w:rPr>
                      </w:pPr>
                      <w:r>
                        <w:rPr>
                          <w:color w:val="231F20"/>
                          <w:spacing w:val="-2"/>
                        </w:rPr>
                        <w:t xml:space="preserve">organisers will negotiate the longstanding tensions of Japanese culture </w:t>
                      </w:r>
                      <w:r>
                        <w:rPr>
                          <w:color w:val="231F20"/>
                          <w:w w:val="95"/>
                        </w:rPr>
                        <w:t xml:space="preserve">associated with the national rugby team (Light </w:t>
                      </w:r>
                      <w:r>
                        <w:rPr>
                          <w:i/>
                          <w:color w:val="231F20"/>
                          <w:w w:val="95"/>
                        </w:rPr>
                        <w:t>et al</w:t>
                      </w:r>
                      <w:r>
                        <w:rPr>
                          <w:color w:val="231F20"/>
                          <w:w w:val="95"/>
                        </w:rPr>
                        <w:t xml:space="preserve">., 2008). The cultural </w:t>
                      </w:r>
                      <w:r>
                        <w:rPr>
                          <w:color w:val="231F20"/>
                        </w:rPr>
                        <w:t xml:space="preserve">diversity of the Japanese national rugby team is such that the 2019 </w:t>
                      </w:r>
                      <w:r>
                        <w:rPr>
                          <w:color w:val="231F20"/>
                          <w:spacing w:val="-2"/>
                        </w:rPr>
                        <w:t>World</w:t>
                      </w:r>
                      <w:r>
                        <w:rPr>
                          <w:color w:val="231F20"/>
                          <w:spacing w:val="-7"/>
                        </w:rPr>
                        <w:t xml:space="preserve"> </w:t>
                      </w:r>
                      <w:r>
                        <w:rPr>
                          <w:color w:val="231F20"/>
                          <w:spacing w:val="-2"/>
                        </w:rPr>
                        <w:t>C</w:t>
                      </w:r>
                      <w:r>
                        <w:rPr>
                          <w:color w:val="231F20"/>
                          <w:spacing w:val="-2"/>
                        </w:rPr>
                        <w:t>up</w:t>
                      </w:r>
                      <w:r>
                        <w:rPr>
                          <w:color w:val="231F20"/>
                          <w:spacing w:val="-7"/>
                        </w:rPr>
                        <w:t xml:space="preserve"> </w:t>
                      </w:r>
                      <w:r>
                        <w:rPr>
                          <w:color w:val="231F20"/>
                          <w:spacing w:val="-2"/>
                        </w:rPr>
                        <w:t>will</w:t>
                      </w:r>
                      <w:r>
                        <w:rPr>
                          <w:color w:val="231F20"/>
                          <w:spacing w:val="-7"/>
                        </w:rPr>
                        <w:t xml:space="preserve"> </w:t>
                      </w:r>
                      <w:r>
                        <w:rPr>
                          <w:color w:val="231F20"/>
                          <w:spacing w:val="-2"/>
                        </w:rPr>
                        <w:t>offer</w:t>
                      </w:r>
                      <w:r>
                        <w:rPr>
                          <w:color w:val="231F20"/>
                          <w:spacing w:val="-7"/>
                        </w:rPr>
                        <w:t xml:space="preserve"> </w:t>
                      </w:r>
                      <w:r>
                        <w:rPr>
                          <w:color w:val="231F20"/>
                          <w:spacing w:val="-2"/>
                        </w:rPr>
                        <w:t>an</w:t>
                      </w:r>
                      <w:r>
                        <w:rPr>
                          <w:color w:val="231F20"/>
                          <w:spacing w:val="-7"/>
                        </w:rPr>
                        <w:t xml:space="preserve"> </w:t>
                      </w:r>
                      <w:r>
                        <w:rPr>
                          <w:color w:val="231F20"/>
                          <w:spacing w:val="-2"/>
                        </w:rPr>
                        <w:t>opportunity</w:t>
                      </w:r>
                      <w:r>
                        <w:rPr>
                          <w:color w:val="231F20"/>
                          <w:spacing w:val="-7"/>
                        </w:rPr>
                        <w:t xml:space="preserve"> </w:t>
                      </w:r>
                      <w:r>
                        <w:rPr>
                          <w:color w:val="231F20"/>
                          <w:spacing w:val="-2"/>
                        </w:rPr>
                        <w:t>for</w:t>
                      </w:r>
                      <w:r>
                        <w:rPr>
                          <w:color w:val="231F20"/>
                          <w:spacing w:val="-7"/>
                        </w:rPr>
                        <w:t xml:space="preserve"> </w:t>
                      </w:r>
                      <w:r>
                        <w:rPr>
                          <w:color w:val="231F20"/>
                          <w:spacing w:val="-2"/>
                        </w:rPr>
                        <w:t>Japanese</w:t>
                      </w:r>
                      <w:r>
                        <w:rPr>
                          <w:color w:val="231F20"/>
                          <w:spacing w:val="-7"/>
                        </w:rPr>
                        <w:t xml:space="preserve"> </w:t>
                      </w:r>
                      <w:r>
                        <w:rPr>
                          <w:color w:val="231F20"/>
                          <w:spacing w:val="-2"/>
                        </w:rPr>
                        <w:t>national</w:t>
                      </w:r>
                      <w:r>
                        <w:rPr>
                          <w:color w:val="231F20"/>
                          <w:spacing w:val="-7"/>
                        </w:rPr>
                        <w:t xml:space="preserve"> </w:t>
                      </w:r>
                      <w:r>
                        <w:rPr>
                          <w:color w:val="231F20"/>
                          <w:spacing w:val="-2"/>
                        </w:rPr>
                        <w:t>identity</w:t>
                      </w:r>
                      <w:r>
                        <w:rPr>
                          <w:color w:val="231F20"/>
                          <w:spacing w:val="-7"/>
                        </w:rPr>
                        <w:t xml:space="preserve"> </w:t>
                      </w:r>
                      <w:r>
                        <w:rPr>
                          <w:color w:val="231F20"/>
                          <w:spacing w:val="-2"/>
                        </w:rPr>
                        <w:t>to</w:t>
                      </w:r>
                      <w:r>
                        <w:rPr>
                          <w:color w:val="231F20"/>
                          <w:spacing w:val="-7"/>
                        </w:rPr>
                        <w:t xml:space="preserve"> </w:t>
                      </w:r>
                      <w:r>
                        <w:rPr>
                          <w:color w:val="231F20"/>
                          <w:spacing w:val="-2"/>
                        </w:rPr>
                        <w:t xml:space="preserve">be </w:t>
                      </w:r>
                      <w:r>
                        <w:rPr>
                          <w:color w:val="231F20"/>
                          <w:w w:val="95"/>
                        </w:rPr>
                        <w:t xml:space="preserve">reimagined. Identity politics will shape the interplay of event organisers </w:t>
                      </w:r>
                      <w:r>
                        <w:rPr>
                          <w:color w:val="231F20"/>
                          <w:spacing w:val="-2"/>
                        </w:rPr>
                        <w:t>and</w:t>
                      </w:r>
                      <w:r>
                        <w:rPr>
                          <w:color w:val="231F20"/>
                          <w:spacing w:val="-4"/>
                        </w:rPr>
                        <w:t xml:space="preserve"> </w:t>
                      </w:r>
                      <w:r>
                        <w:rPr>
                          <w:color w:val="231F20"/>
                          <w:spacing w:val="-2"/>
                        </w:rPr>
                        <w:t>the</w:t>
                      </w:r>
                      <w:r>
                        <w:rPr>
                          <w:color w:val="231F20"/>
                          <w:spacing w:val="-4"/>
                        </w:rPr>
                        <w:t xml:space="preserve"> </w:t>
                      </w:r>
                      <w:r>
                        <w:rPr>
                          <w:color w:val="231F20"/>
                          <w:spacing w:val="-2"/>
                        </w:rPr>
                        <w:t>event</w:t>
                      </w:r>
                      <w:r>
                        <w:rPr>
                          <w:color w:val="231F20"/>
                          <w:spacing w:val="-4"/>
                        </w:rPr>
                        <w:t xml:space="preserve"> </w:t>
                      </w:r>
                      <w:r>
                        <w:rPr>
                          <w:color w:val="231F20"/>
                          <w:spacing w:val="-2"/>
                        </w:rPr>
                        <w:t>tourists</w:t>
                      </w:r>
                      <w:r>
                        <w:rPr>
                          <w:color w:val="231F20"/>
                          <w:spacing w:val="-4"/>
                        </w:rPr>
                        <w:t xml:space="preserve"> </w:t>
                      </w:r>
                      <w:r>
                        <w:rPr>
                          <w:color w:val="231F20"/>
                          <w:spacing w:val="-2"/>
                        </w:rPr>
                        <w:t>who</w:t>
                      </w:r>
                      <w:r>
                        <w:rPr>
                          <w:color w:val="231F20"/>
                          <w:spacing w:val="-4"/>
                        </w:rPr>
                        <w:t xml:space="preserve"> </w:t>
                      </w:r>
                      <w:r>
                        <w:rPr>
                          <w:color w:val="231F20"/>
                          <w:spacing w:val="-2"/>
                        </w:rPr>
                        <w:t>will</w:t>
                      </w:r>
                      <w:r>
                        <w:rPr>
                          <w:color w:val="231F20"/>
                          <w:spacing w:val="-4"/>
                        </w:rPr>
                        <w:t xml:space="preserve"> </w:t>
                      </w:r>
                      <w:r>
                        <w:rPr>
                          <w:color w:val="231F20"/>
                          <w:spacing w:val="-2"/>
                        </w:rPr>
                        <w:t>jointly</w:t>
                      </w:r>
                      <w:r>
                        <w:rPr>
                          <w:color w:val="231F20"/>
                          <w:spacing w:val="-4"/>
                        </w:rPr>
                        <w:t xml:space="preserve"> </w:t>
                      </w:r>
                      <w:r>
                        <w:rPr>
                          <w:color w:val="231F20"/>
                          <w:spacing w:val="-2"/>
                        </w:rPr>
                        <w:t>co-create</w:t>
                      </w:r>
                      <w:r>
                        <w:rPr>
                          <w:color w:val="231F20"/>
                          <w:spacing w:val="-4"/>
                        </w:rPr>
                        <w:t xml:space="preserve"> </w:t>
                      </w:r>
                      <w:r>
                        <w:rPr>
                          <w:color w:val="231F20"/>
                          <w:spacing w:val="-2"/>
                        </w:rPr>
                        <w:t>the</w:t>
                      </w:r>
                      <w:r>
                        <w:rPr>
                          <w:color w:val="231F20"/>
                          <w:spacing w:val="-4"/>
                        </w:rPr>
                        <w:t xml:space="preserve"> </w:t>
                      </w:r>
                      <w:r>
                        <w:rPr>
                          <w:color w:val="231F20"/>
                          <w:spacing w:val="-2"/>
                        </w:rPr>
                        <w:t>event</w:t>
                      </w:r>
                      <w:r>
                        <w:rPr>
                          <w:color w:val="231F20"/>
                          <w:spacing w:val="-4"/>
                        </w:rPr>
                        <w:t xml:space="preserve"> </w:t>
                      </w:r>
                      <w:r>
                        <w:rPr>
                          <w:color w:val="231F20"/>
                          <w:spacing w:val="-2"/>
                        </w:rPr>
                        <w:t>experience.</w:t>
                      </w:r>
                    </w:p>
                    <w:p w14:paraId="66BDABF9" w14:textId="77777777" w:rsidR="00AE0598" w:rsidRDefault="00AE0598">
                      <w:pPr>
                        <w:pStyle w:val="Corpodetexto"/>
                        <w:spacing w:before="6"/>
                        <w:rPr>
                          <w:color w:val="000000"/>
                        </w:rPr>
                      </w:pPr>
                    </w:p>
                    <w:p w14:paraId="157B6FBD" w14:textId="77777777" w:rsidR="00AE0598" w:rsidRDefault="0069255A">
                      <w:pPr>
                        <w:spacing w:before="1"/>
                        <w:ind w:left="113"/>
                        <w:jc w:val="both"/>
                        <w:rPr>
                          <w:rFonts w:ascii="Trebuchet MS"/>
                          <w:color w:val="000000"/>
                          <w:sz w:val="20"/>
                        </w:rPr>
                      </w:pPr>
                      <w:r>
                        <w:rPr>
                          <w:rFonts w:ascii="Trebuchet MS"/>
                          <w:color w:val="231F20"/>
                          <w:w w:val="105"/>
                          <w:sz w:val="20"/>
                        </w:rPr>
                        <w:t>Key</w:t>
                      </w:r>
                      <w:r>
                        <w:rPr>
                          <w:rFonts w:ascii="Trebuchet MS"/>
                          <w:color w:val="231F20"/>
                          <w:spacing w:val="-11"/>
                          <w:w w:val="105"/>
                          <w:sz w:val="20"/>
                        </w:rPr>
                        <w:t xml:space="preserve"> </w:t>
                      </w:r>
                      <w:r>
                        <w:rPr>
                          <w:rFonts w:ascii="Trebuchet MS"/>
                          <w:color w:val="231F20"/>
                          <w:spacing w:val="-2"/>
                          <w:w w:val="105"/>
                          <w:sz w:val="20"/>
                        </w:rPr>
                        <w:t>Reading</w:t>
                      </w:r>
                    </w:p>
                    <w:p w14:paraId="3B7A57F0" w14:textId="77777777" w:rsidR="00AE0598" w:rsidRDefault="0069255A">
                      <w:pPr>
                        <w:spacing w:before="122" w:line="232" w:lineRule="auto"/>
                        <w:ind w:left="113" w:right="111"/>
                        <w:jc w:val="both"/>
                        <w:rPr>
                          <w:color w:val="000000"/>
                          <w:sz w:val="21"/>
                        </w:rPr>
                      </w:pPr>
                      <w:r>
                        <w:rPr>
                          <w:color w:val="231F20"/>
                          <w:sz w:val="21"/>
                        </w:rPr>
                        <w:t xml:space="preserve">Hinch, T.D., Higham, J.E.S. and Doering, A. (2018) Sport, tourism and </w:t>
                      </w:r>
                      <w:r>
                        <w:rPr>
                          <w:color w:val="231F20"/>
                          <w:w w:val="105"/>
                          <w:sz w:val="21"/>
                        </w:rPr>
                        <w:t>identity:</w:t>
                      </w:r>
                      <w:r>
                        <w:rPr>
                          <w:color w:val="231F20"/>
                          <w:spacing w:val="-7"/>
                          <w:w w:val="105"/>
                          <w:sz w:val="21"/>
                        </w:rPr>
                        <w:t xml:space="preserve"> </w:t>
                      </w:r>
                      <w:r>
                        <w:rPr>
                          <w:color w:val="231F20"/>
                          <w:w w:val="105"/>
                          <w:sz w:val="21"/>
                        </w:rPr>
                        <w:t>Japan,</w:t>
                      </w:r>
                      <w:r>
                        <w:rPr>
                          <w:color w:val="231F20"/>
                          <w:spacing w:val="-7"/>
                          <w:w w:val="105"/>
                          <w:sz w:val="21"/>
                        </w:rPr>
                        <w:t xml:space="preserve"> </w:t>
                      </w:r>
                      <w:r>
                        <w:rPr>
                          <w:color w:val="231F20"/>
                          <w:w w:val="105"/>
                          <w:sz w:val="21"/>
                        </w:rPr>
                        <w:t>rugby</w:t>
                      </w:r>
                      <w:r>
                        <w:rPr>
                          <w:color w:val="231F20"/>
                          <w:spacing w:val="-7"/>
                          <w:w w:val="105"/>
                          <w:sz w:val="21"/>
                        </w:rPr>
                        <w:t xml:space="preserve"> </w:t>
                      </w:r>
                      <w:r>
                        <w:rPr>
                          <w:color w:val="231F20"/>
                          <w:w w:val="105"/>
                          <w:sz w:val="21"/>
                        </w:rPr>
                        <w:t>union</w:t>
                      </w:r>
                      <w:r>
                        <w:rPr>
                          <w:color w:val="231F20"/>
                          <w:spacing w:val="-7"/>
                          <w:w w:val="105"/>
                          <w:sz w:val="21"/>
                        </w:rPr>
                        <w:t xml:space="preserve"> </w:t>
                      </w:r>
                      <w:r>
                        <w:rPr>
                          <w:color w:val="231F20"/>
                          <w:w w:val="105"/>
                          <w:sz w:val="21"/>
                        </w:rPr>
                        <w:t>and</w:t>
                      </w:r>
                      <w:r>
                        <w:rPr>
                          <w:color w:val="231F20"/>
                          <w:spacing w:val="-7"/>
                          <w:w w:val="105"/>
                          <w:sz w:val="21"/>
                        </w:rPr>
                        <w:t xml:space="preserve"> </w:t>
                      </w:r>
                      <w:r>
                        <w:rPr>
                          <w:color w:val="231F20"/>
                          <w:w w:val="105"/>
                          <w:sz w:val="21"/>
                        </w:rPr>
                        <w:t>the</w:t>
                      </w:r>
                      <w:r>
                        <w:rPr>
                          <w:color w:val="231F20"/>
                          <w:spacing w:val="-7"/>
                          <w:w w:val="105"/>
                          <w:sz w:val="21"/>
                        </w:rPr>
                        <w:t xml:space="preserve"> </w:t>
                      </w:r>
                      <w:r>
                        <w:rPr>
                          <w:color w:val="231F20"/>
                          <w:w w:val="105"/>
                          <w:sz w:val="21"/>
                        </w:rPr>
                        <w:t>transcultural</w:t>
                      </w:r>
                      <w:r>
                        <w:rPr>
                          <w:color w:val="231F20"/>
                          <w:spacing w:val="-7"/>
                          <w:w w:val="105"/>
                          <w:sz w:val="21"/>
                        </w:rPr>
                        <w:t xml:space="preserve"> </w:t>
                      </w:r>
                      <w:r>
                        <w:rPr>
                          <w:color w:val="231F20"/>
                          <w:w w:val="105"/>
                          <w:sz w:val="21"/>
                        </w:rPr>
                        <w:t>maul.</w:t>
                      </w:r>
                      <w:r>
                        <w:rPr>
                          <w:color w:val="231F20"/>
                          <w:spacing w:val="-7"/>
                          <w:w w:val="105"/>
                          <w:sz w:val="21"/>
                        </w:rPr>
                        <w:t xml:space="preserve"> </w:t>
                      </w:r>
                      <w:r>
                        <w:rPr>
                          <w:color w:val="231F20"/>
                          <w:w w:val="105"/>
                          <w:sz w:val="21"/>
                        </w:rPr>
                        <w:t>In</w:t>
                      </w:r>
                      <w:r>
                        <w:rPr>
                          <w:color w:val="231F20"/>
                          <w:spacing w:val="-7"/>
                          <w:w w:val="105"/>
                          <w:sz w:val="21"/>
                        </w:rPr>
                        <w:t xml:space="preserve"> </w:t>
                      </w:r>
                      <w:r>
                        <w:rPr>
                          <w:color w:val="231F20"/>
                          <w:w w:val="105"/>
                          <w:sz w:val="21"/>
                        </w:rPr>
                        <w:t>C.</w:t>
                      </w:r>
                      <w:r>
                        <w:rPr>
                          <w:color w:val="231F20"/>
                          <w:spacing w:val="-7"/>
                          <w:w w:val="105"/>
                          <w:sz w:val="21"/>
                        </w:rPr>
                        <w:t xml:space="preserve"> </w:t>
                      </w:r>
                      <w:r>
                        <w:rPr>
                          <w:color w:val="231F20"/>
                          <w:w w:val="105"/>
                          <w:sz w:val="21"/>
                        </w:rPr>
                        <w:t xml:space="preserve">Acton and D. Hassan (eds) </w:t>
                      </w:r>
                      <w:r>
                        <w:rPr>
                          <w:i/>
                          <w:color w:val="231F20"/>
                          <w:w w:val="105"/>
                          <w:sz w:val="21"/>
                        </w:rPr>
                        <w:t xml:space="preserve">Sport and Contested Identities: Contemporary </w:t>
                      </w:r>
                      <w:r>
                        <w:rPr>
                          <w:i/>
                          <w:color w:val="231F20"/>
                          <w:sz w:val="21"/>
                        </w:rPr>
                        <w:t xml:space="preserve">Issues and Debates </w:t>
                      </w:r>
                      <w:r>
                        <w:rPr>
                          <w:color w:val="231F20"/>
                          <w:sz w:val="21"/>
                        </w:rPr>
                        <w:t>(pp. 191–206). London/New York: R</w:t>
                      </w:r>
                      <w:r>
                        <w:rPr>
                          <w:color w:val="231F20"/>
                          <w:sz w:val="21"/>
                        </w:rPr>
                        <w:t>outledge.</w:t>
                      </w:r>
                    </w:p>
                    <w:p w14:paraId="5F8C6774" w14:textId="77777777" w:rsidR="00AE0598" w:rsidRDefault="0069255A">
                      <w:pPr>
                        <w:spacing w:before="124" w:line="232" w:lineRule="auto"/>
                        <w:ind w:left="113" w:right="110"/>
                        <w:jc w:val="both"/>
                        <w:rPr>
                          <w:color w:val="000000"/>
                          <w:sz w:val="21"/>
                        </w:rPr>
                      </w:pPr>
                      <w:r>
                        <w:rPr>
                          <w:color w:val="231F20"/>
                          <w:sz w:val="21"/>
                        </w:rPr>
                        <w:t xml:space="preserve">Light, R., Hirai, H. and Ebishima, H. (2008) Tradition, identity professionalism and tensions in Japanese rugby. In G. Ryan (ed.) </w:t>
                      </w:r>
                      <w:r>
                        <w:rPr>
                          <w:i/>
                          <w:color w:val="231F20"/>
                          <w:sz w:val="21"/>
                        </w:rPr>
                        <w:t xml:space="preserve">The Changing Faces of Rugby: The Union Game and Professionalism Since 1995 </w:t>
                      </w:r>
                      <w:r>
                        <w:rPr>
                          <w:color w:val="231F20"/>
                          <w:sz w:val="21"/>
                        </w:rPr>
                        <w:t>(pp. 147–164). Newcastle: Cambridge.</w:t>
                      </w:r>
                    </w:p>
                  </w:txbxContent>
                </v:textbox>
                <w10:wrap type="topAndBottom" anchorx="page"/>
              </v:shape>
            </w:pict>
          </mc:Fallback>
        </mc:AlternateContent>
      </w:r>
    </w:p>
    <w:p w14:paraId="1A69D7F2" w14:textId="77777777" w:rsidR="00AE0598" w:rsidRDefault="0069255A">
      <w:pPr>
        <w:pStyle w:val="Corpodetexto"/>
        <w:spacing w:before="150" w:line="232" w:lineRule="auto"/>
        <w:ind w:left="110" w:right="127" w:firstLine="320"/>
        <w:jc w:val="both"/>
      </w:pPr>
      <w:r>
        <w:rPr>
          <w:color w:val="231F20"/>
          <w:w w:val="95"/>
        </w:rPr>
        <w:t>The phenomenon of travelling to attend and experience sport extends</w:t>
      </w:r>
      <w:r>
        <w:rPr>
          <w:color w:val="231F20"/>
          <w:spacing w:val="80"/>
        </w:rPr>
        <w:t xml:space="preserve"> </w:t>
      </w:r>
      <w:r>
        <w:rPr>
          <w:color w:val="231F20"/>
          <w:w w:val="95"/>
        </w:rPr>
        <w:t xml:space="preserve">to those who engage in one-off or recurring mobilities, which vary in terms of sport experiences between major sports events, as discussed above, and </w:t>
      </w:r>
      <w:r>
        <w:rPr>
          <w:color w:val="231F20"/>
        </w:rPr>
        <w:t>the enduring fandoms associated with c</w:t>
      </w:r>
      <w:r>
        <w:rPr>
          <w:color w:val="231F20"/>
        </w:rPr>
        <w:t xml:space="preserve">hampionship teams (Higham &amp; </w:t>
      </w:r>
      <w:r>
        <w:rPr>
          <w:color w:val="231F20"/>
          <w:w w:val="95"/>
        </w:rPr>
        <w:t xml:space="preserve">Hinch, 2010). Sports fandoms offer interesting insights into aspects of sport and tourist experiences, given the diversity of factors that motivate sports </w:t>
      </w:r>
      <w:r>
        <w:rPr>
          <w:color w:val="231F20"/>
        </w:rPr>
        <w:t>fans to travel in support of their team. Stewart (2001) offers a typology</w:t>
      </w:r>
      <w:r>
        <w:rPr>
          <w:color w:val="231F20"/>
        </w:rPr>
        <w:t xml:space="preserve"> of Australian team sport watchers, which demonstrates the diversity that exists among sports fans. The motivations held by each of these fan </w:t>
      </w:r>
      <w:r>
        <w:rPr>
          <w:color w:val="231F20"/>
          <w:w w:val="95"/>
        </w:rPr>
        <w:t>categories shape and influence visitor experiences at the host destination.</w:t>
      </w:r>
    </w:p>
    <w:p w14:paraId="698E31EF" w14:textId="77777777" w:rsidR="00AE0598" w:rsidRDefault="00AE0598">
      <w:pPr>
        <w:pStyle w:val="Corpodetexto"/>
        <w:spacing w:before="5"/>
      </w:pPr>
    </w:p>
    <w:p w14:paraId="0F1E818F" w14:textId="77777777" w:rsidR="00AE0598" w:rsidRDefault="0069255A">
      <w:pPr>
        <w:pStyle w:val="PargrafodaLista"/>
        <w:numPr>
          <w:ilvl w:val="0"/>
          <w:numId w:val="6"/>
        </w:numPr>
        <w:tabs>
          <w:tab w:val="left" w:pos="491"/>
        </w:tabs>
        <w:spacing w:line="232" w:lineRule="auto"/>
        <w:ind w:right="129"/>
        <w:jc w:val="both"/>
        <w:rPr>
          <w:rFonts w:ascii="Cambria"/>
          <w:sz w:val="21"/>
        </w:rPr>
      </w:pPr>
      <w:r>
        <w:rPr>
          <w:rFonts w:ascii="Cambria"/>
          <w:i/>
          <w:color w:val="231F20"/>
          <w:sz w:val="21"/>
        </w:rPr>
        <w:t xml:space="preserve">Passionate partisans: </w:t>
      </w:r>
      <w:r>
        <w:rPr>
          <w:rFonts w:ascii="Cambria"/>
          <w:color w:val="231F20"/>
          <w:sz w:val="21"/>
        </w:rPr>
        <w:t>Hardcore suppor</w:t>
      </w:r>
      <w:r>
        <w:rPr>
          <w:rFonts w:ascii="Cambria"/>
          <w:color w:val="231F20"/>
          <w:sz w:val="21"/>
        </w:rPr>
        <w:t xml:space="preserve">ters who attend games </w:t>
      </w:r>
      <w:r>
        <w:rPr>
          <w:rFonts w:ascii="Cambria"/>
          <w:color w:val="231F20"/>
          <w:w w:val="95"/>
          <w:sz w:val="21"/>
        </w:rPr>
        <w:t xml:space="preserve">regularly, regardless of inconveniences; their moods and identities are </w:t>
      </w:r>
      <w:r>
        <w:rPr>
          <w:rFonts w:ascii="Cambria"/>
          <w:color w:val="231F20"/>
          <w:sz w:val="21"/>
        </w:rPr>
        <w:t>closely linked to the successes and failures of their team.</w:t>
      </w:r>
    </w:p>
    <w:p w14:paraId="205CF55C" w14:textId="77777777" w:rsidR="00AE0598" w:rsidRDefault="0069255A">
      <w:pPr>
        <w:pStyle w:val="PargrafodaLista"/>
        <w:numPr>
          <w:ilvl w:val="0"/>
          <w:numId w:val="6"/>
        </w:numPr>
        <w:tabs>
          <w:tab w:val="left" w:pos="491"/>
        </w:tabs>
        <w:spacing w:before="4" w:line="232" w:lineRule="auto"/>
        <w:ind w:right="126"/>
        <w:jc w:val="both"/>
        <w:rPr>
          <w:rFonts w:ascii="Cambria"/>
          <w:sz w:val="21"/>
        </w:rPr>
      </w:pPr>
      <w:r>
        <w:rPr>
          <w:rFonts w:ascii="Cambria"/>
          <w:i/>
          <w:color w:val="231F20"/>
          <w:sz w:val="21"/>
        </w:rPr>
        <w:t>Champion</w:t>
      </w:r>
      <w:r>
        <w:rPr>
          <w:rFonts w:ascii="Cambria"/>
          <w:i/>
          <w:color w:val="231F20"/>
          <w:spacing w:val="40"/>
          <w:sz w:val="21"/>
        </w:rPr>
        <w:t xml:space="preserve"> </w:t>
      </w:r>
      <w:r>
        <w:rPr>
          <w:rFonts w:ascii="Cambria"/>
          <w:i/>
          <w:color w:val="231F20"/>
          <w:sz w:val="21"/>
        </w:rPr>
        <w:t>followers:</w:t>
      </w:r>
      <w:r>
        <w:rPr>
          <w:rFonts w:ascii="Cambria"/>
          <w:i/>
          <w:color w:val="231F20"/>
          <w:spacing w:val="40"/>
          <w:sz w:val="21"/>
        </w:rPr>
        <w:t xml:space="preserve"> </w:t>
      </w:r>
      <w:r>
        <w:rPr>
          <w:rFonts w:ascii="Cambria"/>
          <w:color w:val="231F20"/>
          <w:sz w:val="21"/>
        </w:rPr>
        <w:t>Less</w:t>
      </w:r>
      <w:r>
        <w:rPr>
          <w:rFonts w:ascii="Cambria"/>
          <w:color w:val="231F20"/>
          <w:spacing w:val="40"/>
          <w:sz w:val="21"/>
        </w:rPr>
        <w:t xml:space="preserve"> </w:t>
      </w:r>
      <w:r>
        <w:rPr>
          <w:rFonts w:ascii="Cambria"/>
          <w:color w:val="231F20"/>
          <w:sz w:val="21"/>
        </w:rPr>
        <w:t>fanatical,</w:t>
      </w:r>
      <w:r>
        <w:rPr>
          <w:rFonts w:ascii="Cambria"/>
          <w:color w:val="231F20"/>
          <w:spacing w:val="40"/>
          <w:sz w:val="21"/>
        </w:rPr>
        <w:t xml:space="preserve"> </w:t>
      </w:r>
      <w:r>
        <w:rPr>
          <w:rFonts w:ascii="Cambria"/>
          <w:color w:val="231F20"/>
          <w:sz w:val="21"/>
        </w:rPr>
        <w:t>and</w:t>
      </w:r>
      <w:r>
        <w:rPr>
          <w:rFonts w:ascii="Cambria"/>
          <w:color w:val="231F20"/>
          <w:spacing w:val="40"/>
          <w:sz w:val="21"/>
        </w:rPr>
        <w:t xml:space="preserve"> </w:t>
      </w:r>
      <w:r>
        <w:rPr>
          <w:rFonts w:ascii="Cambria"/>
          <w:color w:val="231F20"/>
          <w:sz w:val="21"/>
        </w:rPr>
        <w:t>change</w:t>
      </w:r>
      <w:r>
        <w:rPr>
          <w:rFonts w:ascii="Cambria"/>
          <w:color w:val="231F20"/>
          <w:spacing w:val="40"/>
          <w:sz w:val="21"/>
        </w:rPr>
        <w:t xml:space="preserve"> </w:t>
      </w:r>
      <w:r>
        <w:rPr>
          <w:rFonts w:ascii="Cambria"/>
          <w:color w:val="231F20"/>
          <w:sz w:val="21"/>
        </w:rPr>
        <w:t>their</w:t>
      </w:r>
      <w:r>
        <w:rPr>
          <w:rFonts w:ascii="Cambria"/>
          <w:color w:val="231F20"/>
          <w:spacing w:val="40"/>
          <w:sz w:val="21"/>
        </w:rPr>
        <w:t xml:space="preserve"> </w:t>
      </w:r>
      <w:r>
        <w:rPr>
          <w:rFonts w:ascii="Cambria"/>
          <w:color w:val="231F20"/>
          <w:sz w:val="21"/>
        </w:rPr>
        <w:t>allegiance</w:t>
      </w:r>
      <w:r>
        <w:rPr>
          <w:rFonts w:ascii="Cambria"/>
          <w:color w:val="231F20"/>
          <w:spacing w:val="40"/>
          <w:sz w:val="21"/>
        </w:rPr>
        <w:t xml:space="preserve"> </w:t>
      </w:r>
      <w:r>
        <w:rPr>
          <w:rFonts w:ascii="Cambria"/>
          <w:color w:val="231F20"/>
          <w:sz w:val="21"/>
        </w:rPr>
        <w:t>or their allegiance remains held in ab</w:t>
      </w:r>
      <w:r>
        <w:rPr>
          <w:rFonts w:ascii="Cambria"/>
          <w:color w:val="231F20"/>
          <w:sz w:val="21"/>
        </w:rPr>
        <w:t>eyance until their team starts winning some games.</w:t>
      </w:r>
    </w:p>
    <w:p w14:paraId="293D9CEB" w14:textId="77777777" w:rsidR="00AE0598" w:rsidRDefault="0069255A">
      <w:pPr>
        <w:pStyle w:val="PargrafodaLista"/>
        <w:numPr>
          <w:ilvl w:val="0"/>
          <w:numId w:val="6"/>
        </w:numPr>
        <w:tabs>
          <w:tab w:val="left" w:pos="491"/>
        </w:tabs>
        <w:spacing w:before="4" w:line="232" w:lineRule="auto"/>
        <w:ind w:right="127"/>
        <w:jc w:val="both"/>
        <w:rPr>
          <w:rFonts w:ascii="Cambria"/>
          <w:sz w:val="21"/>
        </w:rPr>
      </w:pPr>
      <w:r>
        <w:rPr>
          <w:rFonts w:ascii="Cambria"/>
          <w:i/>
          <w:color w:val="231F20"/>
          <w:w w:val="95"/>
          <w:sz w:val="21"/>
        </w:rPr>
        <w:t xml:space="preserve">Reclusive partisans: </w:t>
      </w:r>
      <w:r>
        <w:rPr>
          <w:rFonts w:ascii="Cambria"/>
          <w:color w:val="231F20"/>
          <w:w w:val="95"/>
          <w:sz w:val="21"/>
        </w:rPr>
        <w:t>Interest in the game and commitment to the team</w:t>
      </w:r>
      <w:r>
        <w:rPr>
          <w:rFonts w:ascii="Cambria"/>
          <w:color w:val="231F20"/>
          <w:spacing w:val="40"/>
          <w:sz w:val="21"/>
        </w:rPr>
        <w:t xml:space="preserve"> </w:t>
      </w:r>
      <w:r>
        <w:rPr>
          <w:rFonts w:ascii="Cambria"/>
          <w:color w:val="231F20"/>
          <w:sz w:val="21"/>
        </w:rPr>
        <w:t>is</w:t>
      </w:r>
      <w:r>
        <w:rPr>
          <w:rFonts w:ascii="Cambria"/>
          <w:color w:val="231F20"/>
          <w:spacing w:val="-4"/>
          <w:sz w:val="21"/>
        </w:rPr>
        <w:t xml:space="preserve"> </w:t>
      </w:r>
      <w:r>
        <w:rPr>
          <w:rFonts w:ascii="Cambria"/>
          <w:color w:val="231F20"/>
          <w:sz w:val="21"/>
        </w:rPr>
        <w:t>strong,</w:t>
      </w:r>
      <w:r>
        <w:rPr>
          <w:rFonts w:ascii="Cambria"/>
          <w:color w:val="231F20"/>
          <w:spacing w:val="-4"/>
          <w:sz w:val="21"/>
        </w:rPr>
        <w:t xml:space="preserve"> </w:t>
      </w:r>
      <w:r>
        <w:rPr>
          <w:rFonts w:ascii="Cambria"/>
          <w:color w:val="231F20"/>
          <w:sz w:val="21"/>
        </w:rPr>
        <w:t>but</w:t>
      </w:r>
      <w:r>
        <w:rPr>
          <w:rFonts w:ascii="Cambria"/>
          <w:color w:val="231F20"/>
          <w:spacing w:val="-4"/>
          <w:sz w:val="21"/>
        </w:rPr>
        <w:t xml:space="preserve"> </w:t>
      </w:r>
      <w:r>
        <w:rPr>
          <w:rFonts w:ascii="Cambria"/>
          <w:color w:val="231F20"/>
          <w:sz w:val="21"/>
        </w:rPr>
        <w:t>they</w:t>
      </w:r>
      <w:r>
        <w:rPr>
          <w:rFonts w:ascii="Cambria"/>
          <w:color w:val="231F20"/>
          <w:spacing w:val="-4"/>
          <w:sz w:val="21"/>
        </w:rPr>
        <w:t xml:space="preserve"> </w:t>
      </w:r>
      <w:r>
        <w:rPr>
          <w:rFonts w:ascii="Cambria"/>
          <w:color w:val="231F20"/>
          <w:sz w:val="21"/>
        </w:rPr>
        <w:t>attend</w:t>
      </w:r>
      <w:r>
        <w:rPr>
          <w:rFonts w:ascii="Cambria"/>
          <w:color w:val="231F20"/>
          <w:spacing w:val="-4"/>
          <w:sz w:val="21"/>
        </w:rPr>
        <w:t xml:space="preserve"> </w:t>
      </w:r>
      <w:r>
        <w:rPr>
          <w:rFonts w:ascii="Cambria"/>
          <w:color w:val="231F20"/>
          <w:sz w:val="21"/>
        </w:rPr>
        <w:t>games</w:t>
      </w:r>
      <w:r>
        <w:rPr>
          <w:rFonts w:ascii="Cambria"/>
          <w:color w:val="231F20"/>
          <w:spacing w:val="-4"/>
          <w:sz w:val="21"/>
        </w:rPr>
        <w:t xml:space="preserve"> </w:t>
      </w:r>
      <w:r>
        <w:rPr>
          <w:rFonts w:ascii="Cambria"/>
          <w:color w:val="231F20"/>
          <w:sz w:val="21"/>
        </w:rPr>
        <w:t>infrequently.</w:t>
      </w:r>
      <w:r>
        <w:rPr>
          <w:rFonts w:ascii="Cambria"/>
          <w:color w:val="231F20"/>
          <w:spacing w:val="-4"/>
          <w:sz w:val="21"/>
        </w:rPr>
        <w:t xml:space="preserve"> </w:t>
      </w:r>
      <w:r>
        <w:rPr>
          <w:rFonts w:ascii="Cambria"/>
          <w:color w:val="231F20"/>
          <w:sz w:val="21"/>
        </w:rPr>
        <w:t>Interested</w:t>
      </w:r>
      <w:r>
        <w:rPr>
          <w:rFonts w:ascii="Cambria"/>
          <w:color w:val="231F20"/>
          <w:spacing w:val="-4"/>
          <w:sz w:val="21"/>
        </w:rPr>
        <w:t xml:space="preserve"> </w:t>
      </w:r>
      <w:r>
        <w:rPr>
          <w:rFonts w:ascii="Cambria"/>
          <w:color w:val="231F20"/>
          <w:sz w:val="21"/>
        </w:rPr>
        <w:t>in</w:t>
      </w:r>
      <w:r>
        <w:rPr>
          <w:rFonts w:ascii="Cambria"/>
          <w:color w:val="231F20"/>
          <w:spacing w:val="-4"/>
          <w:sz w:val="21"/>
        </w:rPr>
        <w:t xml:space="preserve"> </w:t>
      </w:r>
      <w:r>
        <w:rPr>
          <w:rFonts w:ascii="Cambria"/>
          <w:color w:val="231F20"/>
          <w:sz w:val="21"/>
        </w:rPr>
        <w:t>the</w:t>
      </w:r>
      <w:r>
        <w:rPr>
          <w:rFonts w:ascii="Cambria"/>
          <w:color w:val="231F20"/>
          <w:spacing w:val="-4"/>
          <w:sz w:val="21"/>
        </w:rPr>
        <w:t xml:space="preserve"> </w:t>
      </w:r>
      <w:r>
        <w:rPr>
          <w:rFonts w:ascii="Cambria"/>
          <w:color w:val="231F20"/>
          <w:sz w:val="21"/>
        </w:rPr>
        <w:t>team more so than the game.</w:t>
      </w:r>
    </w:p>
    <w:p w14:paraId="3BB9BCB0" w14:textId="77777777" w:rsidR="00AE0598" w:rsidRDefault="0069255A">
      <w:pPr>
        <w:pStyle w:val="PargrafodaLista"/>
        <w:numPr>
          <w:ilvl w:val="0"/>
          <w:numId w:val="6"/>
        </w:numPr>
        <w:tabs>
          <w:tab w:val="left" w:pos="491"/>
        </w:tabs>
        <w:spacing w:before="3" w:line="232" w:lineRule="auto"/>
        <w:ind w:right="130"/>
        <w:jc w:val="both"/>
        <w:rPr>
          <w:rFonts w:ascii="Cambria"/>
          <w:sz w:val="21"/>
        </w:rPr>
      </w:pPr>
      <w:r>
        <w:rPr>
          <w:rFonts w:ascii="Cambria"/>
          <w:i/>
          <w:color w:val="231F20"/>
          <w:w w:val="95"/>
          <w:sz w:val="21"/>
        </w:rPr>
        <w:t xml:space="preserve">Theatregoers: </w:t>
      </w:r>
      <w:r>
        <w:rPr>
          <w:rFonts w:ascii="Cambria"/>
          <w:color w:val="231F20"/>
          <w:w w:val="95"/>
          <w:sz w:val="21"/>
        </w:rPr>
        <w:t xml:space="preserve">Primarily seek entertainment through sport but are not </w:t>
      </w:r>
      <w:r>
        <w:rPr>
          <w:rFonts w:ascii="Cambria"/>
          <w:color w:val="231F20"/>
          <w:sz w:val="21"/>
        </w:rPr>
        <w:t>necessarily attached to a particular team.</w:t>
      </w:r>
    </w:p>
    <w:p w14:paraId="5F887331" w14:textId="77777777" w:rsidR="00AE0598" w:rsidRDefault="0069255A">
      <w:pPr>
        <w:pStyle w:val="PargrafodaLista"/>
        <w:numPr>
          <w:ilvl w:val="0"/>
          <w:numId w:val="6"/>
        </w:numPr>
        <w:tabs>
          <w:tab w:val="left" w:pos="491"/>
        </w:tabs>
        <w:spacing w:before="3" w:line="232" w:lineRule="auto"/>
        <w:ind w:right="124"/>
        <w:jc w:val="both"/>
        <w:rPr>
          <w:rFonts w:ascii="Cambria"/>
          <w:sz w:val="21"/>
        </w:rPr>
      </w:pPr>
      <w:r>
        <w:rPr>
          <w:rFonts w:ascii="Cambria"/>
          <w:i/>
          <w:color w:val="231F20"/>
          <w:sz w:val="21"/>
        </w:rPr>
        <w:t xml:space="preserve">Aficionados: </w:t>
      </w:r>
      <w:r>
        <w:rPr>
          <w:rFonts w:ascii="Cambria"/>
          <w:color w:val="231F20"/>
          <w:sz w:val="21"/>
        </w:rPr>
        <w:t>Attracted to exciting games, and also to games that involve</w:t>
      </w:r>
      <w:r>
        <w:rPr>
          <w:rFonts w:ascii="Cambria"/>
          <w:color w:val="231F20"/>
          <w:spacing w:val="-5"/>
          <w:sz w:val="21"/>
        </w:rPr>
        <w:t xml:space="preserve"> </w:t>
      </w:r>
      <w:r>
        <w:rPr>
          <w:rFonts w:ascii="Cambria"/>
          <w:color w:val="231F20"/>
          <w:sz w:val="21"/>
        </w:rPr>
        <w:t>star</w:t>
      </w:r>
      <w:r>
        <w:rPr>
          <w:rFonts w:ascii="Cambria"/>
          <w:color w:val="231F20"/>
          <w:spacing w:val="-5"/>
          <w:sz w:val="21"/>
        </w:rPr>
        <w:t xml:space="preserve"> </w:t>
      </w:r>
      <w:r>
        <w:rPr>
          <w:rFonts w:ascii="Cambria"/>
          <w:color w:val="231F20"/>
          <w:sz w:val="21"/>
        </w:rPr>
        <w:t>players.</w:t>
      </w:r>
      <w:r>
        <w:rPr>
          <w:rFonts w:ascii="Cambria"/>
          <w:color w:val="231F20"/>
          <w:spacing w:val="-5"/>
          <w:sz w:val="21"/>
        </w:rPr>
        <w:t xml:space="preserve"> </w:t>
      </w:r>
      <w:r>
        <w:rPr>
          <w:rFonts w:ascii="Cambria"/>
          <w:color w:val="231F20"/>
          <w:sz w:val="21"/>
        </w:rPr>
        <w:t>Interested</w:t>
      </w:r>
      <w:r>
        <w:rPr>
          <w:rFonts w:ascii="Cambria"/>
          <w:color w:val="231F20"/>
          <w:spacing w:val="-5"/>
          <w:sz w:val="21"/>
        </w:rPr>
        <w:t xml:space="preserve"> </w:t>
      </w:r>
      <w:r>
        <w:rPr>
          <w:rFonts w:ascii="Cambria"/>
          <w:color w:val="231F20"/>
          <w:sz w:val="21"/>
        </w:rPr>
        <w:t>in</w:t>
      </w:r>
      <w:r>
        <w:rPr>
          <w:rFonts w:ascii="Cambria"/>
          <w:color w:val="231F20"/>
          <w:spacing w:val="-5"/>
          <w:sz w:val="21"/>
        </w:rPr>
        <w:t xml:space="preserve"> </w:t>
      </w:r>
      <w:r>
        <w:rPr>
          <w:rFonts w:ascii="Cambria"/>
          <w:color w:val="231F20"/>
          <w:sz w:val="21"/>
        </w:rPr>
        <w:t>the</w:t>
      </w:r>
      <w:r>
        <w:rPr>
          <w:rFonts w:ascii="Cambria"/>
          <w:color w:val="231F20"/>
          <w:spacing w:val="-5"/>
          <w:sz w:val="21"/>
        </w:rPr>
        <w:t xml:space="preserve"> </w:t>
      </w:r>
      <w:r>
        <w:rPr>
          <w:rFonts w:ascii="Cambria"/>
          <w:color w:val="231F20"/>
          <w:sz w:val="21"/>
        </w:rPr>
        <w:t>demonstration</w:t>
      </w:r>
      <w:r>
        <w:rPr>
          <w:rFonts w:ascii="Cambria"/>
          <w:color w:val="231F20"/>
          <w:spacing w:val="-5"/>
          <w:sz w:val="21"/>
        </w:rPr>
        <w:t xml:space="preserve"> </w:t>
      </w:r>
      <w:r>
        <w:rPr>
          <w:rFonts w:ascii="Cambria"/>
          <w:color w:val="231F20"/>
          <w:sz w:val="21"/>
        </w:rPr>
        <w:t>of</w:t>
      </w:r>
      <w:r>
        <w:rPr>
          <w:rFonts w:ascii="Cambria"/>
          <w:color w:val="231F20"/>
          <w:spacing w:val="-5"/>
          <w:sz w:val="21"/>
        </w:rPr>
        <w:t xml:space="preserve"> </w:t>
      </w:r>
      <w:r>
        <w:rPr>
          <w:rFonts w:ascii="Cambria"/>
          <w:color w:val="231F20"/>
          <w:sz w:val="21"/>
        </w:rPr>
        <w:t>skill,</w:t>
      </w:r>
      <w:r>
        <w:rPr>
          <w:rFonts w:ascii="Cambria"/>
          <w:color w:val="231F20"/>
          <w:spacing w:val="-5"/>
          <w:sz w:val="21"/>
        </w:rPr>
        <w:t xml:space="preserve"> </w:t>
      </w:r>
      <w:r>
        <w:rPr>
          <w:rFonts w:ascii="Cambria"/>
          <w:color w:val="231F20"/>
          <w:sz w:val="21"/>
        </w:rPr>
        <w:t>tactical complexity and aesth</w:t>
      </w:r>
      <w:r>
        <w:rPr>
          <w:rFonts w:ascii="Cambria"/>
          <w:color w:val="231F20"/>
          <w:sz w:val="21"/>
        </w:rPr>
        <w:t>etic pleasure, which take priority over the outcome of the game.</w:t>
      </w:r>
    </w:p>
    <w:p w14:paraId="10B8150A" w14:textId="77777777" w:rsidR="00AE0598" w:rsidRDefault="00AE0598">
      <w:pPr>
        <w:spacing w:line="232" w:lineRule="auto"/>
        <w:jc w:val="both"/>
        <w:rPr>
          <w:sz w:val="21"/>
        </w:rPr>
        <w:sectPr w:rsidR="00AE0598">
          <w:pgSz w:w="8850" w:h="13270"/>
          <w:pgMar w:top="720" w:right="1060" w:bottom="280" w:left="1080" w:header="720" w:footer="720" w:gutter="0"/>
          <w:cols w:space="720"/>
        </w:sectPr>
      </w:pPr>
    </w:p>
    <w:p w14:paraId="010BEC3D" w14:textId="77777777" w:rsidR="00AE0598" w:rsidRDefault="0069255A">
      <w:pPr>
        <w:spacing w:before="87"/>
        <w:ind w:left="108"/>
        <w:rPr>
          <w:rFonts w:ascii="Trebuchet MS"/>
          <w:sz w:val="14"/>
        </w:rPr>
      </w:pPr>
      <w:r>
        <w:rPr>
          <w:rFonts w:ascii="Trebuchet MS"/>
          <w:color w:val="231F20"/>
          <w:w w:val="105"/>
          <w:sz w:val="14"/>
        </w:rPr>
        <w:lastRenderedPageBreak/>
        <w:t>164</w:t>
      </w:r>
      <w:r>
        <w:rPr>
          <w:rFonts w:ascii="Trebuchet MS"/>
          <w:color w:val="231F20"/>
          <w:spacing w:val="66"/>
          <w:w w:val="150"/>
          <w:sz w:val="14"/>
        </w:rPr>
        <w:t xml:space="preserve"> </w:t>
      </w:r>
      <w:r>
        <w:rPr>
          <w:rFonts w:ascii="Trebuchet MS"/>
          <w:color w:val="231F20"/>
          <w:w w:val="105"/>
          <w:sz w:val="14"/>
        </w:rPr>
        <w:t>Part</w:t>
      </w:r>
      <w:r>
        <w:rPr>
          <w:rFonts w:ascii="Trebuchet MS"/>
          <w:color w:val="231F20"/>
          <w:spacing w:val="-9"/>
          <w:w w:val="105"/>
          <w:sz w:val="14"/>
        </w:rPr>
        <w:t xml:space="preserve"> </w:t>
      </w:r>
      <w:r>
        <w:rPr>
          <w:rFonts w:ascii="Trebuchet MS"/>
          <w:color w:val="231F20"/>
          <w:w w:val="105"/>
          <w:sz w:val="14"/>
        </w:rPr>
        <w:t>4:</w:t>
      </w:r>
      <w:r>
        <w:rPr>
          <w:rFonts w:ascii="Trebuchet MS"/>
          <w:color w:val="231F20"/>
          <w:spacing w:val="-8"/>
          <w:w w:val="105"/>
          <w:sz w:val="14"/>
        </w:rPr>
        <w:t xml:space="preserve"> </w:t>
      </w:r>
      <w:r>
        <w:rPr>
          <w:rFonts w:ascii="Trebuchet MS"/>
          <w:color w:val="231F20"/>
          <w:w w:val="105"/>
          <w:sz w:val="14"/>
        </w:rPr>
        <w:t>Sport</w:t>
      </w:r>
      <w:r>
        <w:rPr>
          <w:rFonts w:ascii="Trebuchet MS"/>
          <w:color w:val="231F20"/>
          <w:spacing w:val="-9"/>
          <w:w w:val="105"/>
          <w:sz w:val="14"/>
        </w:rPr>
        <w:t xml:space="preserve"> </w:t>
      </w:r>
      <w:r>
        <w:rPr>
          <w:rFonts w:ascii="Trebuchet MS"/>
          <w:color w:val="231F20"/>
          <w:w w:val="105"/>
          <w:sz w:val="14"/>
        </w:rPr>
        <w:t>Tourism</w:t>
      </w:r>
      <w:r>
        <w:rPr>
          <w:rFonts w:ascii="Trebuchet MS"/>
          <w:color w:val="231F20"/>
          <w:spacing w:val="-9"/>
          <w:w w:val="105"/>
          <w:sz w:val="14"/>
        </w:rPr>
        <w:t xml:space="preserve"> </w:t>
      </w:r>
      <w:r>
        <w:rPr>
          <w:rFonts w:ascii="Trebuchet MS"/>
          <w:color w:val="231F20"/>
          <w:w w:val="105"/>
          <w:sz w:val="14"/>
        </w:rPr>
        <w:t>Development</w:t>
      </w:r>
      <w:r>
        <w:rPr>
          <w:rFonts w:ascii="Trebuchet MS"/>
          <w:color w:val="231F20"/>
          <w:spacing w:val="-9"/>
          <w:w w:val="105"/>
          <w:sz w:val="14"/>
        </w:rPr>
        <w:t xml:space="preserve"> </w:t>
      </w:r>
      <w:r>
        <w:rPr>
          <w:rFonts w:ascii="Trebuchet MS"/>
          <w:color w:val="231F20"/>
          <w:w w:val="105"/>
          <w:sz w:val="14"/>
        </w:rPr>
        <w:t>and</w:t>
      </w:r>
      <w:r>
        <w:rPr>
          <w:rFonts w:ascii="Trebuchet MS"/>
          <w:color w:val="231F20"/>
          <w:spacing w:val="-8"/>
          <w:w w:val="105"/>
          <w:sz w:val="14"/>
        </w:rPr>
        <w:t xml:space="preserve"> </w:t>
      </w:r>
      <w:r>
        <w:rPr>
          <w:rFonts w:ascii="Trebuchet MS"/>
          <w:color w:val="231F20"/>
          <w:spacing w:val="-4"/>
          <w:w w:val="105"/>
          <w:sz w:val="14"/>
        </w:rPr>
        <w:t>Time</w:t>
      </w:r>
    </w:p>
    <w:p w14:paraId="41729E33" w14:textId="77777777" w:rsidR="00AE0598" w:rsidRDefault="00AE0598">
      <w:pPr>
        <w:pStyle w:val="Corpodetexto"/>
        <w:spacing w:before="4"/>
        <w:rPr>
          <w:rFonts w:ascii="Trebuchet MS"/>
          <w:sz w:val="17"/>
        </w:rPr>
      </w:pPr>
    </w:p>
    <w:p w14:paraId="652BF3A7" w14:textId="77777777" w:rsidR="00AE0598" w:rsidRDefault="0069255A">
      <w:pPr>
        <w:pStyle w:val="Corpodetexto"/>
        <w:spacing w:before="102" w:line="232" w:lineRule="auto"/>
        <w:ind w:left="110" w:right="127"/>
        <w:jc w:val="both"/>
      </w:pPr>
      <w:r>
        <w:rPr>
          <w:color w:val="231F20"/>
        </w:rPr>
        <w:t xml:space="preserve">No doubt, most fans are inspired to travel to watch their teams succeed and to experience the euphoria of championship success. For many, too, </w:t>
      </w:r>
      <w:r>
        <w:rPr>
          <w:color w:val="231F20"/>
          <w:w w:val="95"/>
        </w:rPr>
        <w:t xml:space="preserve">the sport experience extends to the excitement of the carnival atmosphere </w:t>
      </w:r>
      <w:r>
        <w:rPr>
          <w:color w:val="231F20"/>
          <w:spacing w:val="-2"/>
        </w:rPr>
        <w:t>associated</w:t>
      </w:r>
      <w:r>
        <w:rPr>
          <w:color w:val="231F20"/>
          <w:spacing w:val="-5"/>
        </w:rPr>
        <w:t xml:space="preserve"> </w:t>
      </w:r>
      <w:r>
        <w:rPr>
          <w:color w:val="231F20"/>
          <w:spacing w:val="-2"/>
        </w:rPr>
        <w:t>with</w:t>
      </w:r>
      <w:r>
        <w:rPr>
          <w:color w:val="231F20"/>
          <w:spacing w:val="-5"/>
        </w:rPr>
        <w:t xml:space="preserve"> </w:t>
      </w:r>
      <w:r>
        <w:rPr>
          <w:color w:val="231F20"/>
          <w:spacing w:val="-2"/>
        </w:rPr>
        <w:t>a</w:t>
      </w:r>
      <w:r>
        <w:rPr>
          <w:color w:val="231F20"/>
          <w:spacing w:val="-5"/>
        </w:rPr>
        <w:t xml:space="preserve"> </w:t>
      </w:r>
      <w:r>
        <w:rPr>
          <w:color w:val="231F20"/>
          <w:spacing w:val="-2"/>
        </w:rPr>
        <w:t>moment</w:t>
      </w:r>
      <w:r>
        <w:rPr>
          <w:color w:val="231F20"/>
          <w:spacing w:val="-5"/>
        </w:rPr>
        <w:t xml:space="preserve"> </w:t>
      </w:r>
      <w:r>
        <w:rPr>
          <w:color w:val="231F20"/>
          <w:spacing w:val="-2"/>
        </w:rPr>
        <w:t>in</w:t>
      </w:r>
      <w:r>
        <w:rPr>
          <w:color w:val="231F20"/>
          <w:spacing w:val="-5"/>
        </w:rPr>
        <w:t xml:space="preserve"> </w:t>
      </w:r>
      <w:r>
        <w:rPr>
          <w:color w:val="231F20"/>
          <w:spacing w:val="-2"/>
        </w:rPr>
        <w:t>time</w:t>
      </w:r>
      <w:r>
        <w:rPr>
          <w:color w:val="231F20"/>
          <w:spacing w:val="-5"/>
        </w:rPr>
        <w:t xml:space="preserve"> </w:t>
      </w:r>
      <w:r>
        <w:rPr>
          <w:color w:val="231F20"/>
          <w:spacing w:val="-2"/>
        </w:rPr>
        <w:t>when</w:t>
      </w:r>
      <w:r>
        <w:rPr>
          <w:color w:val="231F20"/>
          <w:spacing w:val="-5"/>
        </w:rPr>
        <w:t xml:space="preserve"> </w:t>
      </w:r>
      <w:r>
        <w:rPr>
          <w:color w:val="231F20"/>
          <w:spacing w:val="-2"/>
        </w:rPr>
        <w:t>i</w:t>
      </w:r>
      <w:r>
        <w:rPr>
          <w:color w:val="231F20"/>
          <w:spacing w:val="-2"/>
        </w:rPr>
        <w:t>ntense</w:t>
      </w:r>
      <w:r>
        <w:rPr>
          <w:color w:val="231F20"/>
          <w:spacing w:val="-5"/>
        </w:rPr>
        <w:t xml:space="preserve"> </w:t>
      </w:r>
      <w:r>
        <w:rPr>
          <w:color w:val="231F20"/>
          <w:spacing w:val="-2"/>
        </w:rPr>
        <w:t>sport</w:t>
      </w:r>
      <w:r>
        <w:rPr>
          <w:color w:val="231F20"/>
          <w:spacing w:val="-5"/>
        </w:rPr>
        <w:t xml:space="preserve"> </w:t>
      </w:r>
      <w:r>
        <w:rPr>
          <w:color w:val="231F20"/>
          <w:spacing w:val="-2"/>
        </w:rPr>
        <w:t>competition</w:t>
      </w:r>
      <w:r>
        <w:rPr>
          <w:color w:val="231F20"/>
          <w:spacing w:val="-5"/>
        </w:rPr>
        <w:t xml:space="preserve"> </w:t>
      </w:r>
      <w:r>
        <w:rPr>
          <w:color w:val="231F20"/>
          <w:spacing w:val="-2"/>
        </w:rPr>
        <w:t xml:space="preserve">occurs. </w:t>
      </w:r>
      <w:r>
        <w:rPr>
          <w:color w:val="231F20"/>
        </w:rPr>
        <w:t>Manifestations of national carnivalesque may emerge in these settings (Giulianotti, 1996). Sport then becomes a cultural experience, not only</w:t>
      </w:r>
      <w:r>
        <w:rPr>
          <w:color w:val="231F20"/>
          <w:spacing w:val="40"/>
        </w:rPr>
        <w:t xml:space="preserve"> </w:t>
      </w:r>
      <w:r>
        <w:rPr>
          <w:color w:val="231F20"/>
        </w:rPr>
        <w:t xml:space="preserve">in terms of sport as a manifestation of culture (Bale, 1989) but also the </w:t>
      </w:r>
      <w:r>
        <w:rPr>
          <w:color w:val="231F20"/>
          <w:w w:val="95"/>
        </w:rPr>
        <w:t>collect</w:t>
      </w:r>
      <w:r>
        <w:rPr>
          <w:color w:val="231F20"/>
          <w:w w:val="95"/>
        </w:rPr>
        <w:t>ive</w:t>
      </w:r>
      <w:r>
        <w:rPr>
          <w:color w:val="231F20"/>
          <w:spacing w:val="-4"/>
          <w:w w:val="95"/>
        </w:rPr>
        <w:t xml:space="preserve"> </w:t>
      </w:r>
      <w:r>
        <w:rPr>
          <w:color w:val="231F20"/>
          <w:w w:val="95"/>
        </w:rPr>
        <w:t>behaviour</w:t>
      </w:r>
      <w:r>
        <w:rPr>
          <w:color w:val="231F20"/>
          <w:spacing w:val="-4"/>
          <w:w w:val="95"/>
        </w:rPr>
        <w:t xml:space="preserve"> </w:t>
      </w:r>
      <w:r>
        <w:rPr>
          <w:color w:val="231F20"/>
          <w:w w:val="95"/>
        </w:rPr>
        <w:t>of</w:t>
      </w:r>
      <w:r>
        <w:rPr>
          <w:color w:val="231F20"/>
        </w:rPr>
        <w:t xml:space="preserve"> </w:t>
      </w:r>
      <w:r>
        <w:rPr>
          <w:color w:val="231F20"/>
          <w:w w:val="95"/>
        </w:rPr>
        <w:t>fans</w:t>
      </w:r>
      <w:r>
        <w:rPr>
          <w:color w:val="231F20"/>
          <w:spacing w:val="-4"/>
          <w:w w:val="95"/>
        </w:rPr>
        <w:t xml:space="preserve"> </w:t>
      </w:r>
      <w:r>
        <w:rPr>
          <w:color w:val="231F20"/>
          <w:w w:val="95"/>
        </w:rPr>
        <w:t>from</w:t>
      </w:r>
      <w:r>
        <w:rPr>
          <w:color w:val="231F20"/>
          <w:spacing w:val="-4"/>
          <w:w w:val="95"/>
        </w:rPr>
        <w:t xml:space="preserve"> </w:t>
      </w:r>
      <w:r>
        <w:rPr>
          <w:color w:val="231F20"/>
          <w:w w:val="95"/>
        </w:rPr>
        <w:t>different</w:t>
      </w:r>
      <w:r>
        <w:rPr>
          <w:color w:val="231F20"/>
          <w:spacing w:val="-4"/>
          <w:w w:val="95"/>
        </w:rPr>
        <w:t xml:space="preserve"> </w:t>
      </w:r>
      <w:r>
        <w:rPr>
          <w:color w:val="231F20"/>
          <w:w w:val="95"/>
        </w:rPr>
        <w:t>regions,</w:t>
      </w:r>
      <w:r>
        <w:rPr>
          <w:color w:val="231F20"/>
          <w:spacing w:val="-4"/>
          <w:w w:val="95"/>
        </w:rPr>
        <w:t xml:space="preserve"> </w:t>
      </w:r>
      <w:r>
        <w:rPr>
          <w:color w:val="231F20"/>
          <w:w w:val="95"/>
        </w:rPr>
        <w:t>countries</w:t>
      </w:r>
      <w:r>
        <w:rPr>
          <w:color w:val="231F20"/>
          <w:spacing w:val="-4"/>
          <w:w w:val="95"/>
        </w:rPr>
        <w:t xml:space="preserve"> </w:t>
      </w:r>
      <w:r>
        <w:rPr>
          <w:color w:val="231F20"/>
          <w:w w:val="95"/>
        </w:rPr>
        <w:t>and</w:t>
      </w:r>
      <w:r>
        <w:rPr>
          <w:color w:val="231F20"/>
          <w:spacing w:val="-4"/>
          <w:w w:val="95"/>
        </w:rPr>
        <w:t xml:space="preserve"> </w:t>
      </w:r>
      <w:r>
        <w:rPr>
          <w:color w:val="231F20"/>
          <w:w w:val="95"/>
        </w:rPr>
        <w:t>continents (Giulianotti, 1995a, 1995b; Morgan, 2007). These expressions of</w:t>
      </w:r>
      <w:r>
        <w:rPr>
          <w:color w:val="231F20"/>
        </w:rPr>
        <w:t xml:space="preserve"> </w:t>
      </w:r>
      <w:r>
        <w:rPr>
          <w:color w:val="231F20"/>
          <w:w w:val="95"/>
        </w:rPr>
        <w:t xml:space="preserve">individual and collective identity coalesce within the context of the destination where </w:t>
      </w:r>
      <w:r>
        <w:rPr>
          <w:color w:val="231F20"/>
        </w:rPr>
        <w:t>competition takes place. So, spec</w:t>
      </w:r>
      <w:r>
        <w:rPr>
          <w:color w:val="231F20"/>
        </w:rPr>
        <w:t xml:space="preserve">tators who experience an important </w:t>
      </w:r>
      <w:r>
        <w:rPr>
          <w:color w:val="231F20"/>
          <w:w w:val="95"/>
        </w:rPr>
        <w:t xml:space="preserve">sporting occasion at a given time are also subject to the cultural experience </w:t>
      </w:r>
      <w:r>
        <w:rPr>
          <w:color w:val="231F20"/>
        </w:rPr>
        <w:t>of a</w:t>
      </w:r>
      <w:r>
        <w:rPr>
          <w:color w:val="231F20"/>
          <w:spacing w:val="-5"/>
        </w:rPr>
        <w:t xml:space="preserve"> </w:t>
      </w:r>
      <w:r>
        <w:rPr>
          <w:color w:val="231F20"/>
        </w:rPr>
        <w:t>specific</w:t>
      </w:r>
      <w:r>
        <w:rPr>
          <w:color w:val="231F20"/>
          <w:spacing w:val="-5"/>
        </w:rPr>
        <w:t xml:space="preserve"> </w:t>
      </w:r>
      <w:r>
        <w:rPr>
          <w:color w:val="231F20"/>
        </w:rPr>
        <w:t>place.</w:t>
      </w:r>
      <w:r>
        <w:rPr>
          <w:color w:val="231F20"/>
          <w:spacing w:val="-5"/>
        </w:rPr>
        <w:t xml:space="preserve"> </w:t>
      </w:r>
      <w:r>
        <w:rPr>
          <w:color w:val="231F20"/>
        </w:rPr>
        <w:t>Indeed,</w:t>
      </w:r>
      <w:r>
        <w:rPr>
          <w:color w:val="231F20"/>
          <w:spacing w:val="-5"/>
        </w:rPr>
        <w:t xml:space="preserve"> </w:t>
      </w:r>
      <w:r>
        <w:rPr>
          <w:color w:val="231F20"/>
        </w:rPr>
        <w:t>for</w:t>
      </w:r>
      <w:r>
        <w:rPr>
          <w:color w:val="231F20"/>
          <w:spacing w:val="-5"/>
        </w:rPr>
        <w:t xml:space="preserve"> </w:t>
      </w:r>
      <w:r>
        <w:rPr>
          <w:color w:val="231F20"/>
        </w:rPr>
        <w:t>some</w:t>
      </w:r>
      <w:r>
        <w:rPr>
          <w:color w:val="231F20"/>
          <w:spacing w:val="-5"/>
        </w:rPr>
        <w:t xml:space="preserve"> </w:t>
      </w:r>
      <w:r>
        <w:rPr>
          <w:color w:val="231F20"/>
        </w:rPr>
        <w:t>sports</w:t>
      </w:r>
      <w:r>
        <w:rPr>
          <w:color w:val="231F20"/>
          <w:spacing w:val="-5"/>
        </w:rPr>
        <w:t xml:space="preserve"> </w:t>
      </w:r>
      <w:r>
        <w:rPr>
          <w:color w:val="231F20"/>
        </w:rPr>
        <w:t>fans,</w:t>
      </w:r>
      <w:r>
        <w:rPr>
          <w:color w:val="231F20"/>
          <w:spacing w:val="-5"/>
        </w:rPr>
        <w:t xml:space="preserve"> </w:t>
      </w:r>
      <w:r>
        <w:rPr>
          <w:color w:val="231F20"/>
        </w:rPr>
        <w:t>the</w:t>
      </w:r>
      <w:r>
        <w:rPr>
          <w:color w:val="231F20"/>
          <w:spacing w:val="-5"/>
        </w:rPr>
        <w:t xml:space="preserve"> </w:t>
      </w:r>
      <w:r>
        <w:rPr>
          <w:color w:val="231F20"/>
        </w:rPr>
        <w:t>experiences</w:t>
      </w:r>
      <w:r>
        <w:rPr>
          <w:color w:val="231F20"/>
          <w:spacing w:val="-5"/>
        </w:rPr>
        <w:t xml:space="preserve"> </w:t>
      </w:r>
      <w:r>
        <w:rPr>
          <w:color w:val="231F20"/>
        </w:rPr>
        <w:t xml:space="preserve">of place, </w:t>
      </w:r>
      <w:r>
        <w:rPr>
          <w:color w:val="231F20"/>
          <w:w w:val="95"/>
        </w:rPr>
        <w:t>perhaps due to historical associations or through visiting tourist</w:t>
      </w:r>
      <w:r>
        <w:rPr>
          <w:color w:val="231F20"/>
          <w:w w:val="95"/>
        </w:rPr>
        <w:t xml:space="preserve"> attractions </w:t>
      </w:r>
      <w:r>
        <w:rPr>
          <w:color w:val="231F20"/>
        </w:rPr>
        <w:t xml:space="preserve">or iconic local places and historical sites, may be critical aspects of the </w:t>
      </w:r>
      <w:r>
        <w:rPr>
          <w:color w:val="231F20"/>
          <w:w w:val="95"/>
        </w:rPr>
        <w:t xml:space="preserve">sport tourist experience (see Focus Point 8.2). This highlights sport tourism </w:t>
      </w:r>
      <w:r>
        <w:rPr>
          <w:color w:val="231F20"/>
        </w:rPr>
        <w:t>as the integration of activity (sport), people (sports fans) and place (the place of comp</w:t>
      </w:r>
      <w:r>
        <w:rPr>
          <w:color w:val="231F20"/>
        </w:rPr>
        <w:t xml:space="preserve">etition) (Weed &amp; Bull, 2004). The uncertainties of sports performances, circumstances and outcomes, combined with the unique </w:t>
      </w:r>
      <w:r>
        <w:rPr>
          <w:color w:val="231F20"/>
          <w:spacing w:val="-2"/>
        </w:rPr>
        <w:t>atmosphere</w:t>
      </w:r>
      <w:r>
        <w:rPr>
          <w:color w:val="231F20"/>
          <w:spacing w:val="-10"/>
        </w:rPr>
        <w:t xml:space="preserve"> </w:t>
      </w:r>
      <w:r>
        <w:rPr>
          <w:color w:val="231F20"/>
          <w:spacing w:val="-2"/>
        </w:rPr>
        <w:t>of</w:t>
      </w:r>
      <w:r>
        <w:rPr>
          <w:color w:val="231F20"/>
          <w:spacing w:val="-10"/>
        </w:rPr>
        <w:t xml:space="preserve"> </w:t>
      </w:r>
      <w:r>
        <w:rPr>
          <w:color w:val="231F20"/>
          <w:spacing w:val="-2"/>
        </w:rPr>
        <w:t>world</w:t>
      </w:r>
      <w:r>
        <w:rPr>
          <w:color w:val="231F20"/>
          <w:spacing w:val="-9"/>
        </w:rPr>
        <w:t xml:space="preserve"> </w:t>
      </w:r>
      <w:r>
        <w:rPr>
          <w:color w:val="231F20"/>
          <w:spacing w:val="-2"/>
        </w:rPr>
        <w:t>championship</w:t>
      </w:r>
      <w:r>
        <w:rPr>
          <w:color w:val="231F20"/>
          <w:spacing w:val="-10"/>
        </w:rPr>
        <w:t xml:space="preserve"> </w:t>
      </w:r>
      <w:r>
        <w:rPr>
          <w:color w:val="231F20"/>
          <w:spacing w:val="-2"/>
        </w:rPr>
        <w:t>events,</w:t>
      </w:r>
      <w:r>
        <w:rPr>
          <w:color w:val="231F20"/>
          <w:spacing w:val="-9"/>
        </w:rPr>
        <w:t xml:space="preserve"> </w:t>
      </w:r>
      <w:r>
        <w:rPr>
          <w:color w:val="231F20"/>
          <w:spacing w:val="-2"/>
        </w:rPr>
        <w:t>may</w:t>
      </w:r>
      <w:r>
        <w:rPr>
          <w:color w:val="231F20"/>
          <w:spacing w:val="-10"/>
        </w:rPr>
        <w:t xml:space="preserve"> </w:t>
      </w:r>
      <w:r>
        <w:rPr>
          <w:color w:val="231F20"/>
          <w:spacing w:val="-2"/>
        </w:rPr>
        <w:t>function</w:t>
      </w:r>
      <w:r>
        <w:rPr>
          <w:color w:val="231F20"/>
          <w:spacing w:val="-9"/>
        </w:rPr>
        <w:t xml:space="preserve"> </w:t>
      </w:r>
      <w:r>
        <w:rPr>
          <w:color w:val="231F20"/>
          <w:spacing w:val="-2"/>
        </w:rPr>
        <w:t>as</w:t>
      </w:r>
      <w:r>
        <w:rPr>
          <w:color w:val="231F20"/>
          <w:spacing w:val="-10"/>
        </w:rPr>
        <w:t xml:space="preserve"> </w:t>
      </w:r>
      <w:r>
        <w:rPr>
          <w:color w:val="231F20"/>
          <w:spacing w:val="-2"/>
        </w:rPr>
        <w:t>very</w:t>
      </w:r>
      <w:r>
        <w:rPr>
          <w:color w:val="231F20"/>
          <w:spacing w:val="-10"/>
        </w:rPr>
        <w:t xml:space="preserve"> </w:t>
      </w:r>
      <w:r>
        <w:rPr>
          <w:color w:val="231F20"/>
          <w:spacing w:val="-2"/>
        </w:rPr>
        <w:t xml:space="preserve">powerful </w:t>
      </w:r>
      <w:r>
        <w:rPr>
          <w:color w:val="231F20"/>
        </w:rPr>
        <w:t>tourist attractions (Hinch &amp; Higham, 2004).</w:t>
      </w:r>
    </w:p>
    <w:p w14:paraId="622F2CE6" w14:textId="77777777" w:rsidR="00AE0598" w:rsidRDefault="0069255A">
      <w:pPr>
        <w:pStyle w:val="Corpodetexto"/>
        <w:spacing w:before="26" w:line="232" w:lineRule="auto"/>
        <w:ind w:left="110" w:right="124" w:firstLine="320"/>
        <w:jc w:val="both"/>
      </w:pPr>
      <w:r>
        <w:rPr>
          <w:color w:val="231F20"/>
        </w:rPr>
        <w:t xml:space="preserve">Stewart’s typology demonstrates that sports fans cannot be considered a homogeneous travel market due to the variation in drivers motivating fans to travel in support of a team (Borland &amp; MacDonald, </w:t>
      </w:r>
      <w:r>
        <w:rPr>
          <w:color w:val="231F20"/>
          <w:w w:val="95"/>
        </w:rPr>
        <w:t>2003).</w:t>
      </w:r>
      <w:r>
        <w:rPr>
          <w:color w:val="231F20"/>
          <w:spacing w:val="27"/>
        </w:rPr>
        <w:t xml:space="preserve"> </w:t>
      </w:r>
      <w:r>
        <w:rPr>
          <w:color w:val="231F20"/>
          <w:w w:val="95"/>
        </w:rPr>
        <w:t>While</w:t>
      </w:r>
      <w:r>
        <w:rPr>
          <w:color w:val="231F20"/>
          <w:spacing w:val="27"/>
        </w:rPr>
        <w:t xml:space="preserve"> </w:t>
      </w:r>
      <w:r>
        <w:rPr>
          <w:color w:val="231F20"/>
          <w:w w:val="95"/>
        </w:rPr>
        <w:t>performance</w:t>
      </w:r>
      <w:r>
        <w:rPr>
          <w:color w:val="231F20"/>
          <w:spacing w:val="27"/>
        </w:rPr>
        <w:t xml:space="preserve"> </w:t>
      </w:r>
      <w:r>
        <w:rPr>
          <w:color w:val="231F20"/>
          <w:w w:val="95"/>
        </w:rPr>
        <w:t>and</w:t>
      </w:r>
      <w:r>
        <w:rPr>
          <w:color w:val="231F20"/>
          <w:spacing w:val="27"/>
        </w:rPr>
        <w:t xml:space="preserve"> </w:t>
      </w:r>
      <w:r>
        <w:rPr>
          <w:color w:val="231F20"/>
          <w:w w:val="95"/>
        </w:rPr>
        <w:t>outcome</w:t>
      </w:r>
      <w:r>
        <w:rPr>
          <w:color w:val="231F20"/>
          <w:spacing w:val="27"/>
        </w:rPr>
        <w:t xml:space="preserve"> </w:t>
      </w:r>
      <w:r>
        <w:rPr>
          <w:color w:val="231F20"/>
          <w:w w:val="95"/>
        </w:rPr>
        <w:t>may</w:t>
      </w:r>
      <w:r>
        <w:rPr>
          <w:color w:val="231F20"/>
          <w:spacing w:val="27"/>
        </w:rPr>
        <w:t xml:space="preserve"> </w:t>
      </w:r>
      <w:r>
        <w:rPr>
          <w:color w:val="231F20"/>
          <w:w w:val="95"/>
        </w:rPr>
        <w:t>be</w:t>
      </w:r>
      <w:r>
        <w:rPr>
          <w:color w:val="231F20"/>
          <w:spacing w:val="27"/>
        </w:rPr>
        <w:t xml:space="preserve"> </w:t>
      </w:r>
      <w:r>
        <w:rPr>
          <w:color w:val="231F20"/>
          <w:w w:val="95"/>
        </w:rPr>
        <w:t>important</w:t>
      </w:r>
      <w:r>
        <w:rPr>
          <w:color w:val="231F20"/>
          <w:spacing w:val="27"/>
        </w:rPr>
        <w:t xml:space="preserve"> </w:t>
      </w:r>
      <w:r>
        <w:rPr>
          <w:color w:val="231F20"/>
          <w:w w:val="95"/>
        </w:rPr>
        <w:t>to</w:t>
      </w:r>
      <w:r>
        <w:rPr>
          <w:color w:val="231F20"/>
          <w:spacing w:val="27"/>
        </w:rPr>
        <w:t xml:space="preserve"> </w:t>
      </w:r>
      <w:r>
        <w:rPr>
          <w:color w:val="231F20"/>
          <w:w w:val="95"/>
        </w:rPr>
        <w:t>many</w:t>
      </w:r>
      <w:r>
        <w:rPr>
          <w:color w:val="231F20"/>
          <w:spacing w:val="27"/>
        </w:rPr>
        <w:t xml:space="preserve"> </w:t>
      </w:r>
      <w:r>
        <w:rPr>
          <w:color w:val="231F20"/>
          <w:w w:val="95"/>
        </w:rPr>
        <w:t xml:space="preserve">fans, </w:t>
      </w:r>
      <w:r>
        <w:rPr>
          <w:color w:val="231F20"/>
        </w:rPr>
        <w:t>it is also the case that social identity can be constructed and reinforced through fandom membership whereby ‘sport becomes a pivotal means of signifying loyalty and commitment, producing enduring leis</w:t>
      </w:r>
      <w:r>
        <w:rPr>
          <w:color w:val="231F20"/>
        </w:rPr>
        <w:t xml:space="preserve">ure behaviour’ (Jones, </w:t>
      </w:r>
      <w:r>
        <w:rPr>
          <w:color w:val="231F20"/>
          <w:spacing w:val="9"/>
        </w:rPr>
        <w:t xml:space="preserve">2000: </w:t>
      </w:r>
      <w:r>
        <w:rPr>
          <w:color w:val="231F20"/>
        </w:rPr>
        <w:t>285). Identification with a sport subculture may be an important motivation for both participants and spectators. Green (2001: 5) notes that ‘interactions with others are at the core of</w:t>
      </w:r>
      <w:r>
        <w:rPr>
          <w:color w:val="231F20"/>
          <w:spacing w:val="40"/>
        </w:rPr>
        <w:t xml:space="preserve"> </w:t>
      </w:r>
      <w:r>
        <w:rPr>
          <w:color w:val="231F20"/>
          <w:w w:val="95"/>
        </w:rPr>
        <w:t>the socialisation process and provide ave</w:t>
      </w:r>
      <w:r>
        <w:rPr>
          <w:color w:val="231F20"/>
          <w:w w:val="95"/>
        </w:rPr>
        <w:t xml:space="preserve">nues through which values and </w:t>
      </w:r>
      <w:r>
        <w:rPr>
          <w:color w:val="231F20"/>
        </w:rPr>
        <w:t xml:space="preserve">beliefs come to be shared and expressed’. Sport tourism may, therefore, be motivated by a celebration of subculture through participation, </w:t>
      </w:r>
      <w:r>
        <w:rPr>
          <w:color w:val="231F20"/>
          <w:w w:val="95"/>
        </w:rPr>
        <w:t xml:space="preserve">spectatorship, association or interaction (e.g. through related non-sport </w:t>
      </w:r>
      <w:r>
        <w:rPr>
          <w:color w:val="231F20"/>
        </w:rPr>
        <w:t>activities at</w:t>
      </w:r>
      <w:r>
        <w:rPr>
          <w:color w:val="231F20"/>
        </w:rPr>
        <w:t xml:space="preserve"> the location where the sport or competition takes place) (Green &amp; Chalip, 1998).</w:t>
      </w:r>
    </w:p>
    <w:p w14:paraId="46DA6E96" w14:textId="36B81946" w:rsidR="00AE0598" w:rsidRDefault="0069255A">
      <w:pPr>
        <w:pStyle w:val="Corpodetexto"/>
        <w:spacing w:before="1"/>
        <w:rPr>
          <w:sz w:val="24"/>
        </w:rPr>
      </w:pPr>
      <w:r>
        <w:rPr>
          <w:noProof/>
        </w:rPr>
        <mc:AlternateContent>
          <mc:Choice Requires="wps">
            <w:drawing>
              <wp:anchor distT="0" distB="0" distL="0" distR="0" simplePos="0" relativeHeight="487668736" behindDoc="1" locked="0" layoutInCell="1" allowOverlap="1" wp14:anchorId="4B768738" wp14:editId="1F4BB6FF">
                <wp:simplePos x="0" y="0"/>
                <wp:positionH relativeFrom="page">
                  <wp:posOffset>759460</wp:posOffset>
                </wp:positionH>
                <wp:positionV relativeFrom="paragraph">
                  <wp:posOffset>194310</wp:posOffset>
                </wp:positionV>
                <wp:extent cx="4100830" cy="850265"/>
                <wp:effectExtent l="0" t="0" r="0" b="0"/>
                <wp:wrapTopAndBottom/>
                <wp:docPr id="141" name="docshape2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00830" cy="850265"/>
                        </a:xfrm>
                        <a:prstGeom prst="rect">
                          <a:avLst/>
                        </a:prstGeom>
                        <a:solidFill>
                          <a:srgbClr val="DCDDD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C484E09" w14:textId="77777777" w:rsidR="00AE0598" w:rsidRDefault="0069255A">
                            <w:pPr>
                              <w:spacing w:before="75" w:line="247" w:lineRule="auto"/>
                              <w:ind w:left="113" w:right="332"/>
                              <w:rPr>
                                <w:rFonts w:ascii="Trebuchet MS"/>
                                <w:color w:val="000000"/>
                                <w:sz w:val="20"/>
                              </w:rPr>
                            </w:pPr>
                            <w:r>
                              <w:rPr>
                                <w:rFonts w:ascii="Trebuchet MS"/>
                                <w:color w:val="231F20"/>
                                <w:sz w:val="20"/>
                              </w:rPr>
                              <w:t>Focus Point 8.2: Sport Event Experiences that are Bounded in Space and Time</w:t>
                            </w:r>
                          </w:p>
                          <w:p w14:paraId="7CE6B35D" w14:textId="77777777" w:rsidR="00AE0598" w:rsidRDefault="0069255A">
                            <w:pPr>
                              <w:pStyle w:val="Corpodetexto"/>
                              <w:spacing w:before="116" w:line="232" w:lineRule="auto"/>
                              <w:ind w:left="113"/>
                              <w:rPr>
                                <w:color w:val="000000"/>
                              </w:rPr>
                            </w:pPr>
                            <w:r>
                              <w:rPr>
                                <w:color w:val="231F20"/>
                              </w:rPr>
                              <w:t>Canada’s</w:t>
                            </w:r>
                            <w:r>
                              <w:rPr>
                                <w:color w:val="231F20"/>
                                <w:spacing w:val="-4"/>
                              </w:rPr>
                              <w:t xml:space="preserve"> </w:t>
                            </w:r>
                            <w:r>
                              <w:rPr>
                                <w:color w:val="231F20"/>
                              </w:rPr>
                              <w:t>victory</w:t>
                            </w:r>
                            <w:r>
                              <w:rPr>
                                <w:color w:val="231F20"/>
                                <w:spacing w:val="-4"/>
                              </w:rPr>
                              <w:t xml:space="preserve"> </w:t>
                            </w:r>
                            <w:r>
                              <w:rPr>
                                <w:color w:val="231F20"/>
                              </w:rPr>
                              <w:t>over</w:t>
                            </w:r>
                            <w:r>
                              <w:rPr>
                                <w:color w:val="231F20"/>
                                <w:spacing w:val="-4"/>
                              </w:rPr>
                              <w:t xml:space="preserve"> </w:t>
                            </w:r>
                            <w:r>
                              <w:rPr>
                                <w:color w:val="231F20"/>
                              </w:rPr>
                              <w:t>the</w:t>
                            </w:r>
                            <w:r>
                              <w:rPr>
                                <w:color w:val="231F20"/>
                                <w:spacing w:val="-4"/>
                              </w:rPr>
                              <w:t xml:space="preserve"> </w:t>
                            </w:r>
                            <w:r>
                              <w:rPr>
                                <w:color w:val="231F20"/>
                              </w:rPr>
                              <w:t>United</w:t>
                            </w:r>
                            <w:r>
                              <w:rPr>
                                <w:color w:val="231F20"/>
                                <w:spacing w:val="-4"/>
                              </w:rPr>
                              <w:t xml:space="preserve"> </w:t>
                            </w:r>
                            <w:r>
                              <w:rPr>
                                <w:color w:val="231F20"/>
                              </w:rPr>
                              <w:t>States</w:t>
                            </w:r>
                            <w:r>
                              <w:rPr>
                                <w:color w:val="231F20"/>
                                <w:spacing w:val="-4"/>
                              </w:rPr>
                              <w:t xml:space="preserve"> </w:t>
                            </w:r>
                            <w:r>
                              <w:rPr>
                                <w:color w:val="231F20"/>
                              </w:rPr>
                              <w:t>in</w:t>
                            </w:r>
                            <w:r>
                              <w:rPr>
                                <w:color w:val="231F20"/>
                                <w:spacing w:val="-3"/>
                              </w:rPr>
                              <w:t xml:space="preserve"> </w:t>
                            </w:r>
                            <w:r>
                              <w:rPr>
                                <w:color w:val="231F20"/>
                              </w:rPr>
                              <w:t>the</w:t>
                            </w:r>
                            <w:r>
                              <w:rPr>
                                <w:color w:val="231F20"/>
                                <w:spacing w:val="-4"/>
                              </w:rPr>
                              <w:t xml:space="preserve"> </w:t>
                            </w:r>
                            <w:r>
                              <w:rPr>
                                <w:color w:val="231F20"/>
                              </w:rPr>
                              <w:t>Vancouver</w:t>
                            </w:r>
                            <w:r>
                              <w:rPr>
                                <w:color w:val="231F20"/>
                                <w:spacing w:val="-4"/>
                              </w:rPr>
                              <w:t xml:space="preserve"> </w:t>
                            </w:r>
                            <w:r>
                              <w:rPr>
                                <w:color w:val="231F20"/>
                              </w:rPr>
                              <w:t>2010</w:t>
                            </w:r>
                            <w:r>
                              <w:rPr>
                                <w:color w:val="231F20"/>
                                <w:spacing w:val="-4"/>
                              </w:rPr>
                              <w:t xml:space="preserve"> </w:t>
                            </w:r>
                            <w:r>
                              <w:rPr>
                                <w:color w:val="231F20"/>
                              </w:rPr>
                              <w:t xml:space="preserve">Winter </w:t>
                            </w:r>
                            <w:r>
                              <w:rPr>
                                <w:color w:val="231F20"/>
                                <w:w w:val="95"/>
                              </w:rPr>
                              <w:t>Olympics</w:t>
                            </w:r>
                            <w:r>
                              <w:rPr>
                                <w:color w:val="231F20"/>
                                <w:spacing w:val="34"/>
                              </w:rPr>
                              <w:t xml:space="preserve"> </w:t>
                            </w:r>
                            <w:r>
                              <w:rPr>
                                <w:color w:val="231F20"/>
                                <w:w w:val="95"/>
                              </w:rPr>
                              <w:t>men’s</w:t>
                            </w:r>
                            <w:r>
                              <w:rPr>
                                <w:color w:val="231F20"/>
                                <w:spacing w:val="34"/>
                              </w:rPr>
                              <w:t xml:space="preserve"> </w:t>
                            </w:r>
                            <w:r>
                              <w:rPr>
                                <w:color w:val="231F20"/>
                                <w:w w:val="95"/>
                              </w:rPr>
                              <w:t>ice</w:t>
                            </w:r>
                            <w:r>
                              <w:rPr>
                                <w:color w:val="231F20"/>
                                <w:spacing w:val="34"/>
                              </w:rPr>
                              <w:t xml:space="preserve"> </w:t>
                            </w:r>
                            <w:r>
                              <w:rPr>
                                <w:color w:val="231F20"/>
                                <w:w w:val="95"/>
                              </w:rPr>
                              <w:t>hockey</w:t>
                            </w:r>
                            <w:r>
                              <w:rPr>
                                <w:color w:val="231F20"/>
                                <w:spacing w:val="34"/>
                              </w:rPr>
                              <w:t xml:space="preserve"> </w:t>
                            </w:r>
                            <w:r>
                              <w:rPr>
                                <w:color w:val="231F20"/>
                                <w:w w:val="95"/>
                              </w:rPr>
                              <w:t>final</w:t>
                            </w:r>
                            <w:r>
                              <w:rPr>
                                <w:color w:val="231F20"/>
                                <w:spacing w:val="34"/>
                              </w:rPr>
                              <w:t xml:space="preserve"> </w:t>
                            </w:r>
                            <w:r>
                              <w:rPr>
                                <w:color w:val="231F20"/>
                                <w:w w:val="95"/>
                              </w:rPr>
                              <w:t>triggered</w:t>
                            </w:r>
                            <w:r>
                              <w:rPr>
                                <w:color w:val="231F20"/>
                                <w:spacing w:val="34"/>
                              </w:rPr>
                              <w:t xml:space="preserve"> </w:t>
                            </w:r>
                            <w:r>
                              <w:rPr>
                                <w:color w:val="231F20"/>
                                <w:w w:val="95"/>
                              </w:rPr>
                              <w:t>scenes</w:t>
                            </w:r>
                            <w:r>
                              <w:rPr>
                                <w:color w:val="231F20"/>
                                <w:spacing w:val="34"/>
                              </w:rPr>
                              <w:t xml:space="preserve"> </w:t>
                            </w:r>
                            <w:r>
                              <w:rPr>
                                <w:color w:val="231F20"/>
                                <w:w w:val="95"/>
                              </w:rPr>
                              <w:t>of</w:t>
                            </w:r>
                            <w:r>
                              <w:rPr>
                                <w:color w:val="231F20"/>
                                <w:spacing w:val="34"/>
                              </w:rPr>
                              <w:t xml:space="preserve"> </w:t>
                            </w:r>
                            <w:r>
                              <w:rPr>
                                <w:color w:val="231F20"/>
                                <w:w w:val="95"/>
                              </w:rPr>
                              <w:t>jubilation</w:t>
                            </w:r>
                            <w:r>
                              <w:rPr>
                                <w:color w:val="231F20"/>
                                <w:spacing w:val="34"/>
                              </w:rPr>
                              <w:t xml:space="preserve"> </w:t>
                            </w:r>
                            <w:r>
                              <w:rPr>
                                <w:color w:val="231F20"/>
                                <w:spacing w:val="-2"/>
                                <w:w w:val="95"/>
                              </w:rPr>
                              <w:t>among</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768738" id="docshape225" o:spid="_x0000_s1090" type="#_x0000_t202" style="position:absolute;margin-left:59.8pt;margin-top:15.3pt;width:322.9pt;height:66.95pt;z-index:-156477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" fillcolor="#dcddde" stroked="f">
                <v:textbox inset="0,0,0,0">
                  <w:txbxContent>
                    <w:p w14:paraId="7C484E09" w14:textId="77777777" w:rsidR="00AE0598" w:rsidRDefault="0069255A">
                      <w:pPr>
                        <w:spacing w:before="75" w:line="247" w:lineRule="auto"/>
                        <w:ind w:left="113" w:right="332"/>
                        <w:rPr>
                          <w:rFonts w:ascii="Trebuchet MS"/>
                          <w:color w:val="000000"/>
                          <w:sz w:val="20"/>
                        </w:rPr>
                      </w:pPr>
                      <w:r>
                        <w:rPr>
                          <w:rFonts w:ascii="Trebuchet MS"/>
                          <w:color w:val="231F20"/>
                          <w:sz w:val="20"/>
                        </w:rPr>
                        <w:t>Focus Point 8.2: Sport Event Experiences that are Bounded in Space and Time</w:t>
                      </w:r>
                    </w:p>
                    <w:p w14:paraId="7CE6B35D" w14:textId="77777777" w:rsidR="00AE0598" w:rsidRDefault="0069255A">
                      <w:pPr>
                        <w:pStyle w:val="Corpodetexto"/>
                        <w:spacing w:before="116" w:line="232" w:lineRule="auto"/>
                        <w:ind w:left="113"/>
                        <w:rPr>
                          <w:color w:val="000000"/>
                        </w:rPr>
                      </w:pPr>
                      <w:r>
                        <w:rPr>
                          <w:color w:val="231F20"/>
                        </w:rPr>
                        <w:t>Canada’s</w:t>
                      </w:r>
                      <w:r>
                        <w:rPr>
                          <w:color w:val="231F20"/>
                          <w:spacing w:val="-4"/>
                        </w:rPr>
                        <w:t xml:space="preserve"> </w:t>
                      </w:r>
                      <w:r>
                        <w:rPr>
                          <w:color w:val="231F20"/>
                        </w:rPr>
                        <w:t>victory</w:t>
                      </w:r>
                      <w:r>
                        <w:rPr>
                          <w:color w:val="231F20"/>
                          <w:spacing w:val="-4"/>
                        </w:rPr>
                        <w:t xml:space="preserve"> </w:t>
                      </w:r>
                      <w:r>
                        <w:rPr>
                          <w:color w:val="231F20"/>
                        </w:rPr>
                        <w:t>over</w:t>
                      </w:r>
                      <w:r>
                        <w:rPr>
                          <w:color w:val="231F20"/>
                          <w:spacing w:val="-4"/>
                        </w:rPr>
                        <w:t xml:space="preserve"> </w:t>
                      </w:r>
                      <w:r>
                        <w:rPr>
                          <w:color w:val="231F20"/>
                        </w:rPr>
                        <w:t>the</w:t>
                      </w:r>
                      <w:r>
                        <w:rPr>
                          <w:color w:val="231F20"/>
                          <w:spacing w:val="-4"/>
                        </w:rPr>
                        <w:t xml:space="preserve"> </w:t>
                      </w:r>
                      <w:r>
                        <w:rPr>
                          <w:color w:val="231F20"/>
                        </w:rPr>
                        <w:t>United</w:t>
                      </w:r>
                      <w:r>
                        <w:rPr>
                          <w:color w:val="231F20"/>
                          <w:spacing w:val="-4"/>
                        </w:rPr>
                        <w:t xml:space="preserve"> </w:t>
                      </w:r>
                      <w:r>
                        <w:rPr>
                          <w:color w:val="231F20"/>
                        </w:rPr>
                        <w:t>States</w:t>
                      </w:r>
                      <w:r>
                        <w:rPr>
                          <w:color w:val="231F20"/>
                          <w:spacing w:val="-4"/>
                        </w:rPr>
                        <w:t xml:space="preserve"> </w:t>
                      </w:r>
                      <w:r>
                        <w:rPr>
                          <w:color w:val="231F20"/>
                        </w:rPr>
                        <w:t>in</w:t>
                      </w:r>
                      <w:r>
                        <w:rPr>
                          <w:color w:val="231F20"/>
                          <w:spacing w:val="-3"/>
                        </w:rPr>
                        <w:t xml:space="preserve"> </w:t>
                      </w:r>
                      <w:r>
                        <w:rPr>
                          <w:color w:val="231F20"/>
                        </w:rPr>
                        <w:t>the</w:t>
                      </w:r>
                      <w:r>
                        <w:rPr>
                          <w:color w:val="231F20"/>
                          <w:spacing w:val="-4"/>
                        </w:rPr>
                        <w:t xml:space="preserve"> </w:t>
                      </w:r>
                      <w:r>
                        <w:rPr>
                          <w:color w:val="231F20"/>
                        </w:rPr>
                        <w:t>Vancouver</w:t>
                      </w:r>
                      <w:r>
                        <w:rPr>
                          <w:color w:val="231F20"/>
                          <w:spacing w:val="-4"/>
                        </w:rPr>
                        <w:t xml:space="preserve"> </w:t>
                      </w:r>
                      <w:r>
                        <w:rPr>
                          <w:color w:val="231F20"/>
                        </w:rPr>
                        <w:t>2010</w:t>
                      </w:r>
                      <w:r>
                        <w:rPr>
                          <w:color w:val="231F20"/>
                          <w:spacing w:val="-4"/>
                        </w:rPr>
                        <w:t xml:space="preserve"> </w:t>
                      </w:r>
                      <w:r>
                        <w:rPr>
                          <w:color w:val="231F20"/>
                        </w:rPr>
                        <w:t xml:space="preserve">Winter </w:t>
                      </w:r>
                      <w:r>
                        <w:rPr>
                          <w:color w:val="231F20"/>
                          <w:w w:val="95"/>
                        </w:rPr>
                        <w:t>Olympics</w:t>
                      </w:r>
                      <w:r>
                        <w:rPr>
                          <w:color w:val="231F20"/>
                          <w:spacing w:val="34"/>
                        </w:rPr>
                        <w:t xml:space="preserve"> </w:t>
                      </w:r>
                      <w:r>
                        <w:rPr>
                          <w:color w:val="231F20"/>
                          <w:w w:val="95"/>
                        </w:rPr>
                        <w:t>men’s</w:t>
                      </w:r>
                      <w:r>
                        <w:rPr>
                          <w:color w:val="231F20"/>
                          <w:spacing w:val="34"/>
                        </w:rPr>
                        <w:t xml:space="preserve"> </w:t>
                      </w:r>
                      <w:r>
                        <w:rPr>
                          <w:color w:val="231F20"/>
                          <w:w w:val="95"/>
                        </w:rPr>
                        <w:t>ice</w:t>
                      </w:r>
                      <w:r>
                        <w:rPr>
                          <w:color w:val="231F20"/>
                          <w:spacing w:val="34"/>
                        </w:rPr>
                        <w:t xml:space="preserve"> </w:t>
                      </w:r>
                      <w:r>
                        <w:rPr>
                          <w:color w:val="231F20"/>
                          <w:w w:val="95"/>
                        </w:rPr>
                        <w:t>hockey</w:t>
                      </w:r>
                      <w:r>
                        <w:rPr>
                          <w:color w:val="231F20"/>
                          <w:spacing w:val="34"/>
                        </w:rPr>
                        <w:t xml:space="preserve"> </w:t>
                      </w:r>
                      <w:r>
                        <w:rPr>
                          <w:color w:val="231F20"/>
                          <w:w w:val="95"/>
                        </w:rPr>
                        <w:t>final</w:t>
                      </w:r>
                      <w:r>
                        <w:rPr>
                          <w:color w:val="231F20"/>
                          <w:spacing w:val="34"/>
                        </w:rPr>
                        <w:t xml:space="preserve"> </w:t>
                      </w:r>
                      <w:r>
                        <w:rPr>
                          <w:color w:val="231F20"/>
                          <w:w w:val="95"/>
                        </w:rPr>
                        <w:t>triggered</w:t>
                      </w:r>
                      <w:r>
                        <w:rPr>
                          <w:color w:val="231F20"/>
                          <w:spacing w:val="34"/>
                        </w:rPr>
                        <w:t xml:space="preserve"> </w:t>
                      </w:r>
                      <w:r>
                        <w:rPr>
                          <w:color w:val="231F20"/>
                          <w:w w:val="95"/>
                        </w:rPr>
                        <w:t>scenes</w:t>
                      </w:r>
                      <w:r>
                        <w:rPr>
                          <w:color w:val="231F20"/>
                          <w:spacing w:val="34"/>
                        </w:rPr>
                        <w:t xml:space="preserve"> </w:t>
                      </w:r>
                      <w:r>
                        <w:rPr>
                          <w:color w:val="231F20"/>
                          <w:w w:val="95"/>
                        </w:rPr>
                        <w:t>of</w:t>
                      </w:r>
                      <w:r>
                        <w:rPr>
                          <w:color w:val="231F20"/>
                          <w:spacing w:val="34"/>
                        </w:rPr>
                        <w:t xml:space="preserve"> </w:t>
                      </w:r>
                      <w:r>
                        <w:rPr>
                          <w:color w:val="231F20"/>
                          <w:w w:val="95"/>
                        </w:rPr>
                        <w:t>jubilation</w:t>
                      </w:r>
                      <w:r>
                        <w:rPr>
                          <w:color w:val="231F20"/>
                          <w:spacing w:val="34"/>
                        </w:rPr>
                        <w:t xml:space="preserve"> </w:t>
                      </w:r>
                      <w:r>
                        <w:rPr>
                          <w:color w:val="231F20"/>
                          <w:spacing w:val="-2"/>
                          <w:w w:val="95"/>
                        </w:rPr>
                        <w:t>among</w:t>
                      </w:r>
                    </w:p>
                  </w:txbxContent>
                </v:textbox>
                <w10:wrap type="topAndBottom" anchorx="page"/>
              </v:shape>
            </w:pict>
          </mc:Fallback>
        </mc:AlternateContent>
      </w:r>
    </w:p>
    <w:p w14:paraId="44D15412" w14:textId="77777777" w:rsidR="00AE0598" w:rsidRDefault="00AE0598">
      <w:pPr>
        <w:rPr>
          <w:sz w:val="24"/>
        </w:rPr>
        <w:sectPr w:rsidR="00AE0598">
          <w:pgSz w:w="8850" w:h="13270"/>
          <w:pgMar w:top="720" w:right="1060" w:bottom="280" w:left="1080" w:header="720" w:footer="720" w:gutter="0"/>
          <w:cols w:space="720"/>
        </w:sectPr>
      </w:pPr>
    </w:p>
    <w:p w14:paraId="2D931FBD" w14:textId="110D6002" w:rsidR="00AE0598" w:rsidRDefault="0069255A">
      <w:pPr>
        <w:spacing w:before="87"/>
        <w:ind w:left="4078"/>
        <w:rPr>
          <w:rFonts w:ascii="Trebuchet MS"/>
          <w:sz w:val="14"/>
        </w:rPr>
      </w:pPr>
      <w:r>
        <w:rPr>
          <w:noProof/>
        </w:rPr>
        <w:lastRenderedPageBreak/>
        <mc:AlternateContent>
          <mc:Choice Requires="wps">
            <w:drawing>
              <wp:anchor distT="0" distB="0" distL="114300" distR="114300" simplePos="0" relativeHeight="483734016" behindDoc="1" locked="0" layoutInCell="1" allowOverlap="1" wp14:anchorId="1D2E59D2" wp14:editId="1955F10E">
                <wp:simplePos x="0" y="0"/>
                <wp:positionH relativeFrom="page">
                  <wp:posOffset>755650</wp:posOffset>
                </wp:positionH>
                <wp:positionV relativeFrom="page">
                  <wp:posOffset>838200</wp:posOffset>
                </wp:positionV>
                <wp:extent cx="4104005" cy="6645910"/>
                <wp:effectExtent l="0" t="0" r="0" b="0"/>
                <wp:wrapNone/>
                <wp:docPr id="140" name="docshape2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04005" cy="6645910"/>
                        </a:xfrm>
                        <a:prstGeom prst="rect">
                          <a:avLst/>
                        </a:prstGeom>
                        <a:solidFill>
                          <a:srgbClr val="DCDDD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FC73A3" id="docshape226" o:spid="_x0000_s1026" style="position:absolute;margin-left:59.5pt;margin-top:66pt;width:323.15pt;height:523.3pt;z-index:-195824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" fillcolor="#dcddde" stroked="f">
                <w10:wrap anchorx="page" anchory="page"/>
              </v:rect>
            </w:pict>
          </mc:Fallback>
        </mc:AlternateContent>
      </w:r>
      <w:r>
        <w:rPr>
          <w:rFonts w:ascii="Trebuchet MS"/>
          <w:color w:val="231F20"/>
          <w:w w:val="105"/>
          <w:sz w:val="14"/>
        </w:rPr>
        <w:t>Sport</w:t>
      </w:r>
      <w:r>
        <w:rPr>
          <w:rFonts w:ascii="Trebuchet MS"/>
          <w:color w:val="231F20"/>
          <w:spacing w:val="-11"/>
          <w:w w:val="105"/>
          <w:sz w:val="14"/>
        </w:rPr>
        <w:t xml:space="preserve"> </w:t>
      </w:r>
      <w:r>
        <w:rPr>
          <w:rFonts w:ascii="Trebuchet MS"/>
          <w:color w:val="231F20"/>
          <w:w w:val="105"/>
          <w:sz w:val="14"/>
        </w:rPr>
        <w:t>and</w:t>
      </w:r>
      <w:r>
        <w:rPr>
          <w:rFonts w:ascii="Trebuchet MS"/>
          <w:color w:val="231F20"/>
          <w:spacing w:val="-11"/>
          <w:w w:val="105"/>
          <w:sz w:val="14"/>
        </w:rPr>
        <w:t xml:space="preserve"> </w:t>
      </w:r>
      <w:r>
        <w:rPr>
          <w:rFonts w:ascii="Trebuchet MS"/>
          <w:color w:val="231F20"/>
          <w:w w:val="105"/>
          <w:sz w:val="14"/>
        </w:rPr>
        <w:t>the</w:t>
      </w:r>
      <w:r>
        <w:rPr>
          <w:rFonts w:ascii="Trebuchet MS"/>
          <w:color w:val="231F20"/>
          <w:spacing w:val="-11"/>
          <w:w w:val="105"/>
          <w:sz w:val="14"/>
        </w:rPr>
        <w:t xml:space="preserve"> </w:t>
      </w:r>
      <w:r>
        <w:rPr>
          <w:rFonts w:ascii="Trebuchet MS"/>
          <w:color w:val="231F20"/>
          <w:w w:val="105"/>
          <w:sz w:val="14"/>
        </w:rPr>
        <w:t>Tourist</w:t>
      </w:r>
      <w:r>
        <w:rPr>
          <w:rFonts w:ascii="Trebuchet MS"/>
          <w:color w:val="231F20"/>
          <w:spacing w:val="-11"/>
          <w:w w:val="105"/>
          <w:sz w:val="14"/>
        </w:rPr>
        <w:t xml:space="preserve"> </w:t>
      </w:r>
      <w:r>
        <w:rPr>
          <w:rFonts w:ascii="Trebuchet MS"/>
          <w:color w:val="231F20"/>
          <w:w w:val="105"/>
          <w:sz w:val="14"/>
        </w:rPr>
        <w:t>Experience</w:t>
      </w:r>
      <w:r>
        <w:rPr>
          <w:rFonts w:ascii="Trebuchet MS"/>
          <w:color w:val="231F20"/>
          <w:spacing w:val="78"/>
          <w:w w:val="105"/>
          <w:sz w:val="14"/>
        </w:rPr>
        <w:t xml:space="preserve"> </w:t>
      </w:r>
      <w:r>
        <w:rPr>
          <w:rFonts w:ascii="Trebuchet MS"/>
          <w:color w:val="231F20"/>
          <w:spacing w:val="-5"/>
          <w:w w:val="105"/>
          <w:sz w:val="14"/>
        </w:rPr>
        <w:t>165</w:t>
      </w:r>
    </w:p>
    <w:p w14:paraId="00357067" w14:textId="77777777" w:rsidR="00AE0598" w:rsidRDefault="00AE0598">
      <w:pPr>
        <w:pStyle w:val="Corpodetexto"/>
        <w:spacing w:before="1"/>
        <w:rPr>
          <w:rFonts w:ascii="Trebuchet MS"/>
          <w:sz w:val="27"/>
        </w:rPr>
      </w:pPr>
    </w:p>
    <w:p w14:paraId="1D25D19F" w14:textId="77777777" w:rsidR="00AE0598" w:rsidRDefault="0069255A">
      <w:pPr>
        <w:pStyle w:val="Corpodetexto"/>
        <w:spacing w:before="103" w:line="232" w:lineRule="auto"/>
        <w:ind w:left="223" w:right="239"/>
        <w:jc w:val="both"/>
      </w:pPr>
      <w:r>
        <w:rPr>
          <w:color w:val="231F20"/>
        </w:rPr>
        <w:t xml:space="preserve">Canadians in Vancouver (and elsewhere around the world). The </w:t>
      </w:r>
      <w:r>
        <w:rPr>
          <w:color w:val="231F20"/>
          <w:w w:val="95"/>
        </w:rPr>
        <w:t xml:space="preserve">spontaneous celebrations that occurred in Vancouver were spatially and </w:t>
      </w:r>
      <w:r>
        <w:rPr>
          <w:color w:val="231F20"/>
        </w:rPr>
        <w:t xml:space="preserve">temporally bounded – it was </w:t>
      </w:r>
      <w:r>
        <w:rPr>
          <w:i/>
          <w:color w:val="231F20"/>
        </w:rPr>
        <w:t xml:space="preserve">the place to be </w:t>
      </w:r>
      <w:r>
        <w:rPr>
          <w:color w:val="231F20"/>
        </w:rPr>
        <w:t>at that moment in time. Similarly, the 1998 FIFA World Cup was hosted, and the final won in front of the home crowd, by France. The path that</w:t>
      </w:r>
      <w:r>
        <w:rPr>
          <w:color w:val="231F20"/>
        </w:rPr>
        <w:t xml:space="preserve"> the French team negotiated to the final was a tenuous one. Their quarter-final against Paraguay was won in extra time by a ‘golden goal’. In the semi-final, France</w:t>
      </w:r>
      <w:r>
        <w:rPr>
          <w:color w:val="231F20"/>
          <w:spacing w:val="-12"/>
        </w:rPr>
        <w:t xml:space="preserve"> </w:t>
      </w:r>
      <w:r>
        <w:rPr>
          <w:color w:val="231F20"/>
        </w:rPr>
        <w:t>was</w:t>
      </w:r>
      <w:r>
        <w:rPr>
          <w:color w:val="231F20"/>
          <w:spacing w:val="-12"/>
        </w:rPr>
        <w:t xml:space="preserve"> </w:t>
      </w:r>
      <w:r>
        <w:rPr>
          <w:color w:val="231F20"/>
        </w:rPr>
        <w:t>victorious</w:t>
      </w:r>
      <w:r>
        <w:rPr>
          <w:color w:val="231F20"/>
          <w:spacing w:val="-11"/>
        </w:rPr>
        <w:t xml:space="preserve"> </w:t>
      </w:r>
      <w:r>
        <w:rPr>
          <w:color w:val="231F20"/>
        </w:rPr>
        <w:t>over</w:t>
      </w:r>
      <w:r>
        <w:rPr>
          <w:color w:val="231F20"/>
          <w:spacing w:val="-12"/>
        </w:rPr>
        <w:t xml:space="preserve"> </w:t>
      </w:r>
      <w:r>
        <w:rPr>
          <w:color w:val="231F20"/>
        </w:rPr>
        <w:t>Italy,</w:t>
      </w:r>
      <w:r>
        <w:rPr>
          <w:color w:val="231F20"/>
          <w:spacing w:val="-11"/>
        </w:rPr>
        <w:t xml:space="preserve"> </w:t>
      </w:r>
      <w:r>
        <w:rPr>
          <w:color w:val="231F20"/>
        </w:rPr>
        <w:t>a</w:t>
      </w:r>
      <w:r>
        <w:rPr>
          <w:color w:val="231F20"/>
          <w:spacing w:val="-12"/>
        </w:rPr>
        <w:t xml:space="preserve"> </w:t>
      </w:r>
      <w:r>
        <w:rPr>
          <w:color w:val="231F20"/>
        </w:rPr>
        <w:t>three-time</w:t>
      </w:r>
      <w:r>
        <w:rPr>
          <w:color w:val="231F20"/>
          <w:spacing w:val="-11"/>
        </w:rPr>
        <w:t xml:space="preserve"> </w:t>
      </w:r>
      <w:r>
        <w:rPr>
          <w:color w:val="231F20"/>
        </w:rPr>
        <w:t>champion,</w:t>
      </w:r>
      <w:r>
        <w:rPr>
          <w:color w:val="231F20"/>
          <w:spacing w:val="-12"/>
        </w:rPr>
        <w:t xml:space="preserve"> </w:t>
      </w:r>
      <w:r>
        <w:rPr>
          <w:color w:val="231F20"/>
        </w:rPr>
        <w:t>in</w:t>
      </w:r>
      <w:r>
        <w:rPr>
          <w:color w:val="231F20"/>
          <w:spacing w:val="-12"/>
        </w:rPr>
        <w:t xml:space="preserve"> </w:t>
      </w:r>
      <w:r>
        <w:rPr>
          <w:color w:val="231F20"/>
        </w:rPr>
        <w:t>a</w:t>
      </w:r>
      <w:r>
        <w:rPr>
          <w:color w:val="231F20"/>
          <w:spacing w:val="-11"/>
        </w:rPr>
        <w:t xml:space="preserve"> </w:t>
      </w:r>
      <w:r>
        <w:rPr>
          <w:color w:val="231F20"/>
        </w:rPr>
        <w:t>game</w:t>
      </w:r>
      <w:r>
        <w:rPr>
          <w:color w:val="231F20"/>
          <w:spacing w:val="-12"/>
        </w:rPr>
        <w:t xml:space="preserve"> </w:t>
      </w:r>
      <w:r>
        <w:rPr>
          <w:color w:val="231F20"/>
        </w:rPr>
        <w:t xml:space="preserve">that </w:t>
      </w:r>
      <w:r>
        <w:rPr>
          <w:color w:val="231F20"/>
          <w:w w:val="95"/>
        </w:rPr>
        <w:t xml:space="preserve">was level after full time </w:t>
      </w:r>
      <w:r>
        <w:rPr>
          <w:color w:val="231F20"/>
          <w:w w:val="95"/>
        </w:rPr>
        <w:t xml:space="preserve">and extra time, and decided in a gripping penalty </w:t>
      </w:r>
      <w:r>
        <w:rPr>
          <w:color w:val="231F20"/>
        </w:rPr>
        <w:t xml:space="preserve">shootout. In the final, on 12 July 1998, the French team administered the </w:t>
      </w:r>
      <w:r>
        <w:rPr>
          <w:i/>
          <w:color w:val="231F20"/>
        </w:rPr>
        <w:t>coup de grace</w:t>
      </w:r>
      <w:r>
        <w:rPr>
          <w:color w:val="231F20"/>
        </w:rPr>
        <w:t xml:space="preserve">, in a complete performance ‘defeating the ultimate </w:t>
      </w:r>
      <w:r>
        <w:rPr>
          <w:color w:val="231F20"/>
          <w:w w:val="95"/>
        </w:rPr>
        <w:t xml:space="preserve">adversary, the football nation of legend, Brazil’ (Dauncey &amp; Hare, </w:t>
      </w:r>
      <w:r>
        <w:rPr>
          <w:color w:val="231F20"/>
          <w:w w:val="95"/>
        </w:rPr>
        <w:t xml:space="preserve">2000: </w:t>
      </w:r>
      <w:r>
        <w:rPr>
          <w:color w:val="231F20"/>
        </w:rPr>
        <w:t>344)</w:t>
      </w:r>
      <w:r>
        <w:rPr>
          <w:color w:val="231F20"/>
          <w:spacing w:val="-1"/>
        </w:rPr>
        <w:t xml:space="preserve"> </w:t>
      </w:r>
      <w:r>
        <w:rPr>
          <w:color w:val="231F20"/>
        </w:rPr>
        <w:t>by</w:t>
      </w:r>
      <w:r>
        <w:rPr>
          <w:color w:val="231F20"/>
          <w:spacing w:val="-1"/>
        </w:rPr>
        <w:t xml:space="preserve"> </w:t>
      </w:r>
      <w:r>
        <w:rPr>
          <w:color w:val="231F20"/>
        </w:rPr>
        <w:t>the</w:t>
      </w:r>
      <w:r>
        <w:rPr>
          <w:color w:val="231F20"/>
          <w:spacing w:val="-1"/>
        </w:rPr>
        <w:t xml:space="preserve"> </w:t>
      </w:r>
      <w:r>
        <w:rPr>
          <w:color w:val="231F20"/>
        </w:rPr>
        <w:t>convincing</w:t>
      </w:r>
      <w:r>
        <w:rPr>
          <w:color w:val="231F20"/>
          <w:spacing w:val="-1"/>
        </w:rPr>
        <w:t xml:space="preserve"> </w:t>
      </w:r>
      <w:r>
        <w:rPr>
          <w:color w:val="231F20"/>
        </w:rPr>
        <w:t>margin</w:t>
      </w:r>
      <w:r>
        <w:rPr>
          <w:color w:val="231F20"/>
          <w:spacing w:val="-1"/>
        </w:rPr>
        <w:t xml:space="preserve"> </w:t>
      </w:r>
      <w:r>
        <w:rPr>
          <w:color w:val="231F20"/>
        </w:rPr>
        <w:t>of</w:t>
      </w:r>
      <w:r>
        <w:rPr>
          <w:color w:val="231F20"/>
          <w:spacing w:val="-1"/>
        </w:rPr>
        <w:t xml:space="preserve"> </w:t>
      </w:r>
      <w:r>
        <w:rPr>
          <w:color w:val="231F20"/>
        </w:rPr>
        <w:t>4–1.</w:t>
      </w:r>
      <w:r>
        <w:rPr>
          <w:color w:val="231F20"/>
          <w:spacing w:val="-1"/>
        </w:rPr>
        <w:t xml:space="preserve"> </w:t>
      </w:r>
      <w:r>
        <w:rPr>
          <w:color w:val="231F20"/>
        </w:rPr>
        <w:t>‘On</w:t>
      </w:r>
      <w:r>
        <w:rPr>
          <w:color w:val="231F20"/>
          <w:spacing w:val="-1"/>
        </w:rPr>
        <w:t xml:space="preserve"> </w:t>
      </w:r>
      <w:r>
        <w:rPr>
          <w:color w:val="231F20"/>
        </w:rPr>
        <w:t>the</w:t>
      </w:r>
      <w:r>
        <w:rPr>
          <w:color w:val="231F20"/>
          <w:spacing w:val="-1"/>
        </w:rPr>
        <w:t xml:space="preserve"> </w:t>
      </w:r>
      <w:r>
        <w:rPr>
          <w:color w:val="231F20"/>
        </w:rPr>
        <w:t>night</w:t>
      </w:r>
      <w:r>
        <w:rPr>
          <w:color w:val="231F20"/>
          <w:spacing w:val="-1"/>
        </w:rPr>
        <w:t xml:space="preserve"> </w:t>
      </w:r>
      <w:r>
        <w:rPr>
          <w:color w:val="231F20"/>
        </w:rPr>
        <w:t>of</w:t>
      </w:r>
      <w:r>
        <w:rPr>
          <w:color w:val="231F20"/>
          <w:spacing w:val="-1"/>
        </w:rPr>
        <w:t xml:space="preserve"> </w:t>
      </w:r>
      <w:r>
        <w:rPr>
          <w:color w:val="231F20"/>
        </w:rPr>
        <w:t>12</w:t>
      </w:r>
      <w:r>
        <w:rPr>
          <w:color w:val="231F20"/>
          <w:spacing w:val="-1"/>
        </w:rPr>
        <w:t xml:space="preserve"> </w:t>
      </w:r>
      <w:r>
        <w:rPr>
          <w:color w:val="231F20"/>
        </w:rPr>
        <w:t>July</w:t>
      </w:r>
      <w:r>
        <w:rPr>
          <w:color w:val="231F20"/>
          <w:spacing w:val="-1"/>
        </w:rPr>
        <w:t xml:space="preserve"> </w:t>
      </w:r>
      <w:r>
        <w:rPr>
          <w:color w:val="231F20"/>
          <w:w w:val="105"/>
        </w:rPr>
        <w:t>…</w:t>
      </w:r>
      <w:r>
        <w:rPr>
          <w:color w:val="231F20"/>
          <w:spacing w:val="-3"/>
          <w:w w:val="105"/>
        </w:rPr>
        <w:t xml:space="preserve"> </w:t>
      </w:r>
      <w:r>
        <w:rPr>
          <w:color w:val="231F20"/>
        </w:rPr>
        <w:t xml:space="preserve">there </w:t>
      </w:r>
      <w:r>
        <w:rPr>
          <w:color w:val="231F20"/>
          <w:w w:val="95"/>
        </w:rPr>
        <w:t>was</w:t>
      </w:r>
      <w:r>
        <w:rPr>
          <w:color w:val="231F20"/>
          <w:spacing w:val="-7"/>
          <w:w w:val="95"/>
        </w:rPr>
        <w:t xml:space="preserve"> </w:t>
      </w:r>
      <w:r>
        <w:rPr>
          <w:color w:val="231F20"/>
          <w:w w:val="95"/>
        </w:rPr>
        <w:t>an</w:t>
      </w:r>
      <w:r>
        <w:rPr>
          <w:color w:val="231F20"/>
          <w:spacing w:val="-7"/>
          <w:w w:val="95"/>
        </w:rPr>
        <w:t xml:space="preserve"> </w:t>
      </w:r>
      <w:r>
        <w:rPr>
          <w:color w:val="231F20"/>
          <w:w w:val="95"/>
        </w:rPr>
        <w:t>outpouring</w:t>
      </w:r>
      <w:r>
        <w:rPr>
          <w:color w:val="231F20"/>
          <w:spacing w:val="-7"/>
          <w:w w:val="95"/>
        </w:rPr>
        <w:t xml:space="preserve"> </w:t>
      </w:r>
      <w:r>
        <w:rPr>
          <w:color w:val="231F20"/>
          <w:w w:val="95"/>
        </w:rPr>
        <w:t>of</w:t>
      </w:r>
      <w:r>
        <w:rPr>
          <w:color w:val="231F20"/>
          <w:spacing w:val="-7"/>
          <w:w w:val="95"/>
        </w:rPr>
        <w:t xml:space="preserve"> </w:t>
      </w:r>
      <w:r>
        <w:rPr>
          <w:color w:val="231F20"/>
          <w:w w:val="95"/>
        </w:rPr>
        <w:t>joy</w:t>
      </w:r>
      <w:r>
        <w:rPr>
          <w:color w:val="231F20"/>
          <w:spacing w:val="-7"/>
          <w:w w:val="95"/>
        </w:rPr>
        <w:t xml:space="preserve"> </w:t>
      </w:r>
      <w:r>
        <w:rPr>
          <w:color w:val="231F20"/>
          <w:w w:val="95"/>
        </w:rPr>
        <w:t>and</w:t>
      </w:r>
      <w:r>
        <w:rPr>
          <w:color w:val="231F20"/>
          <w:spacing w:val="-7"/>
          <w:w w:val="95"/>
        </w:rPr>
        <w:t xml:space="preserve"> </w:t>
      </w:r>
      <w:r>
        <w:rPr>
          <w:color w:val="231F20"/>
          <w:w w:val="95"/>
        </w:rPr>
        <w:t>sentiment</w:t>
      </w:r>
      <w:r>
        <w:rPr>
          <w:color w:val="231F20"/>
          <w:spacing w:val="-7"/>
          <w:w w:val="95"/>
        </w:rPr>
        <w:t xml:space="preserve"> </w:t>
      </w:r>
      <w:r>
        <w:rPr>
          <w:color w:val="231F20"/>
          <w:w w:val="95"/>
        </w:rPr>
        <w:t>that</w:t>
      </w:r>
      <w:r>
        <w:rPr>
          <w:color w:val="231F20"/>
          <w:spacing w:val="-7"/>
          <w:w w:val="95"/>
        </w:rPr>
        <w:t xml:space="preserve"> </w:t>
      </w:r>
      <w:r>
        <w:rPr>
          <w:color w:val="231F20"/>
          <w:w w:val="95"/>
        </w:rPr>
        <w:t>was</w:t>
      </w:r>
      <w:r>
        <w:rPr>
          <w:color w:val="231F20"/>
          <w:spacing w:val="-7"/>
          <w:w w:val="95"/>
        </w:rPr>
        <w:t xml:space="preserve"> </w:t>
      </w:r>
      <w:r>
        <w:rPr>
          <w:color w:val="231F20"/>
          <w:w w:val="95"/>
        </w:rPr>
        <w:t>unprecedented</w:t>
      </w:r>
      <w:r>
        <w:rPr>
          <w:color w:val="231F20"/>
          <w:spacing w:val="-7"/>
          <w:w w:val="95"/>
        </w:rPr>
        <w:t xml:space="preserve"> </w:t>
      </w:r>
      <w:r>
        <w:rPr>
          <w:color w:val="231F20"/>
          <w:w w:val="95"/>
        </w:rPr>
        <w:t>since</w:t>
      </w:r>
      <w:r>
        <w:rPr>
          <w:color w:val="231F20"/>
          <w:spacing w:val="-7"/>
          <w:w w:val="95"/>
        </w:rPr>
        <w:t xml:space="preserve"> </w:t>
      </w:r>
      <w:r>
        <w:rPr>
          <w:color w:val="231F20"/>
          <w:w w:val="95"/>
        </w:rPr>
        <w:t xml:space="preserve">the </w:t>
      </w:r>
      <w:r>
        <w:rPr>
          <w:color w:val="231F20"/>
        </w:rPr>
        <w:t>Liberation</w:t>
      </w:r>
      <w:r>
        <w:rPr>
          <w:color w:val="231F20"/>
          <w:spacing w:val="-1"/>
        </w:rPr>
        <w:t xml:space="preserve"> </w:t>
      </w:r>
      <w:r>
        <w:rPr>
          <w:color w:val="231F20"/>
        </w:rPr>
        <w:t>of</w:t>
      </w:r>
      <w:r>
        <w:rPr>
          <w:color w:val="231F20"/>
          <w:spacing w:val="-1"/>
        </w:rPr>
        <w:t xml:space="preserve"> </w:t>
      </w:r>
      <w:r>
        <w:rPr>
          <w:color w:val="231F20"/>
        </w:rPr>
        <w:t>1944…</w:t>
      </w:r>
      <w:r>
        <w:rPr>
          <w:color w:val="231F20"/>
          <w:spacing w:val="-1"/>
        </w:rPr>
        <w:t xml:space="preserve"> </w:t>
      </w:r>
      <w:r>
        <w:rPr>
          <w:color w:val="231F20"/>
        </w:rPr>
        <w:t>Huge</w:t>
      </w:r>
      <w:r>
        <w:rPr>
          <w:color w:val="231F20"/>
          <w:spacing w:val="-1"/>
        </w:rPr>
        <w:t xml:space="preserve"> </w:t>
      </w:r>
      <w:r>
        <w:rPr>
          <w:color w:val="231F20"/>
        </w:rPr>
        <w:t>numbers</w:t>
      </w:r>
      <w:r>
        <w:rPr>
          <w:color w:val="231F20"/>
          <w:spacing w:val="-1"/>
        </w:rPr>
        <w:t xml:space="preserve"> </w:t>
      </w:r>
      <w:r>
        <w:rPr>
          <w:color w:val="231F20"/>
        </w:rPr>
        <w:t>of</w:t>
      </w:r>
      <w:r>
        <w:rPr>
          <w:color w:val="231F20"/>
          <w:spacing w:val="-1"/>
        </w:rPr>
        <w:t xml:space="preserve"> </w:t>
      </w:r>
      <w:r>
        <w:rPr>
          <w:color w:val="231F20"/>
        </w:rPr>
        <w:t>people</w:t>
      </w:r>
      <w:r>
        <w:rPr>
          <w:color w:val="231F20"/>
          <w:spacing w:val="-1"/>
        </w:rPr>
        <w:t xml:space="preserve"> </w:t>
      </w:r>
      <w:r>
        <w:rPr>
          <w:color w:val="231F20"/>
        </w:rPr>
        <w:t>poured</w:t>
      </w:r>
      <w:r>
        <w:rPr>
          <w:color w:val="231F20"/>
          <w:spacing w:val="-1"/>
        </w:rPr>
        <w:t xml:space="preserve"> </w:t>
      </w:r>
      <w:r>
        <w:rPr>
          <w:color w:val="231F20"/>
        </w:rPr>
        <w:t>onto</w:t>
      </w:r>
      <w:r>
        <w:rPr>
          <w:color w:val="231F20"/>
          <w:spacing w:val="-1"/>
        </w:rPr>
        <w:t xml:space="preserve"> </w:t>
      </w:r>
      <w:r>
        <w:rPr>
          <w:color w:val="231F20"/>
        </w:rPr>
        <w:t>the</w:t>
      </w:r>
      <w:r>
        <w:rPr>
          <w:color w:val="231F20"/>
          <w:spacing w:val="-1"/>
        </w:rPr>
        <w:t xml:space="preserve"> </w:t>
      </w:r>
      <w:r>
        <w:rPr>
          <w:color w:val="231F20"/>
        </w:rPr>
        <w:t>streets in spontaneous celebration. In Paris, hundreds of thousands gathered again</w:t>
      </w:r>
      <w:r>
        <w:rPr>
          <w:color w:val="231F20"/>
          <w:spacing w:val="-7"/>
        </w:rPr>
        <w:t xml:space="preserve"> </w:t>
      </w:r>
      <w:r>
        <w:rPr>
          <w:color w:val="231F20"/>
        </w:rPr>
        <w:t>on</w:t>
      </w:r>
      <w:r>
        <w:rPr>
          <w:color w:val="231F20"/>
          <w:spacing w:val="-7"/>
        </w:rPr>
        <w:t xml:space="preserve"> </w:t>
      </w:r>
      <w:r>
        <w:rPr>
          <w:color w:val="231F20"/>
        </w:rPr>
        <w:t>the</w:t>
      </w:r>
      <w:r>
        <w:rPr>
          <w:color w:val="231F20"/>
          <w:spacing w:val="-7"/>
        </w:rPr>
        <w:t xml:space="preserve"> </w:t>
      </w:r>
      <w:r>
        <w:rPr>
          <w:color w:val="231F20"/>
        </w:rPr>
        <w:t>Champs</w:t>
      </w:r>
      <w:r>
        <w:rPr>
          <w:color w:val="231F20"/>
          <w:spacing w:val="-7"/>
        </w:rPr>
        <w:t xml:space="preserve"> </w:t>
      </w:r>
      <w:r>
        <w:rPr>
          <w:color w:val="231F20"/>
        </w:rPr>
        <w:t>Elysées</w:t>
      </w:r>
      <w:r>
        <w:rPr>
          <w:color w:val="231F20"/>
          <w:spacing w:val="-7"/>
        </w:rPr>
        <w:t xml:space="preserve"> </w:t>
      </w:r>
      <w:r>
        <w:rPr>
          <w:color w:val="231F20"/>
        </w:rPr>
        <w:t>the</w:t>
      </w:r>
      <w:r>
        <w:rPr>
          <w:color w:val="231F20"/>
          <w:spacing w:val="-7"/>
        </w:rPr>
        <w:t xml:space="preserve"> </w:t>
      </w:r>
      <w:r>
        <w:rPr>
          <w:color w:val="231F20"/>
        </w:rPr>
        <w:t>next</w:t>
      </w:r>
      <w:r>
        <w:rPr>
          <w:color w:val="231F20"/>
          <w:spacing w:val="-7"/>
        </w:rPr>
        <w:t xml:space="preserve"> </w:t>
      </w:r>
      <w:r>
        <w:rPr>
          <w:color w:val="231F20"/>
        </w:rPr>
        <w:t>day</w:t>
      </w:r>
      <w:r>
        <w:rPr>
          <w:color w:val="231F20"/>
          <w:spacing w:val="-7"/>
        </w:rPr>
        <w:t xml:space="preserve"> </w:t>
      </w:r>
      <w:r>
        <w:rPr>
          <w:color w:val="231F20"/>
        </w:rPr>
        <w:t>to</w:t>
      </w:r>
      <w:r>
        <w:rPr>
          <w:color w:val="231F20"/>
          <w:spacing w:val="-7"/>
        </w:rPr>
        <w:t xml:space="preserve"> </w:t>
      </w:r>
      <w:r>
        <w:rPr>
          <w:color w:val="231F20"/>
        </w:rPr>
        <w:t>see</w:t>
      </w:r>
      <w:r>
        <w:rPr>
          <w:color w:val="231F20"/>
          <w:spacing w:val="-7"/>
        </w:rPr>
        <w:t xml:space="preserve"> </w:t>
      </w:r>
      <w:r>
        <w:rPr>
          <w:color w:val="231F20"/>
        </w:rPr>
        <w:t>the</w:t>
      </w:r>
      <w:r>
        <w:rPr>
          <w:color w:val="231F20"/>
          <w:spacing w:val="-7"/>
        </w:rPr>
        <w:t xml:space="preserve"> </w:t>
      </w:r>
      <w:r>
        <w:rPr>
          <w:color w:val="231F20"/>
        </w:rPr>
        <w:t>Cup</w:t>
      </w:r>
      <w:r>
        <w:rPr>
          <w:color w:val="231F20"/>
          <w:spacing w:val="-7"/>
        </w:rPr>
        <w:t xml:space="preserve"> </w:t>
      </w:r>
      <w:r>
        <w:rPr>
          <w:color w:val="231F20"/>
        </w:rPr>
        <w:t>paraded</w:t>
      </w:r>
      <w:r>
        <w:rPr>
          <w:color w:val="231F20"/>
          <w:spacing w:val="-7"/>
        </w:rPr>
        <w:t xml:space="preserve"> </w:t>
      </w:r>
      <w:r>
        <w:rPr>
          <w:color w:val="231F20"/>
        </w:rPr>
        <w:t>in</w:t>
      </w:r>
      <w:r>
        <w:rPr>
          <w:color w:val="231F20"/>
          <w:spacing w:val="-7"/>
        </w:rPr>
        <w:t xml:space="preserve"> </w:t>
      </w:r>
      <w:r>
        <w:rPr>
          <w:color w:val="231F20"/>
        </w:rPr>
        <w:t>an open-topped</w:t>
      </w:r>
      <w:r>
        <w:rPr>
          <w:color w:val="231F20"/>
          <w:spacing w:val="-5"/>
        </w:rPr>
        <w:t xml:space="preserve"> </w:t>
      </w:r>
      <w:r>
        <w:rPr>
          <w:color w:val="231F20"/>
        </w:rPr>
        <w:t>bus.</w:t>
      </w:r>
      <w:r>
        <w:rPr>
          <w:color w:val="231F20"/>
          <w:spacing w:val="-5"/>
        </w:rPr>
        <w:t xml:space="preserve"> </w:t>
      </w:r>
      <w:r>
        <w:rPr>
          <w:color w:val="231F20"/>
        </w:rPr>
        <w:t>For</w:t>
      </w:r>
      <w:r>
        <w:rPr>
          <w:color w:val="231F20"/>
          <w:spacing w:val="-5"/>
        </w:rPr>
        <w:t xml:space="preserve"> </w:t>
      </w:r>
      <w:r>
        <w:rPr>
          <w:color w:val="231F20"/>
        </w:rPr>
        <w:t>all,</w:t>
      </w:r>
      <w:r>
        <w:rPr>
          <w:color w:val="231F20"/>
          <w:spacing w:val="-5"/>
        </w:rPr>
        <w:t xml:space="preserve"> </w:t>
      </w:r>
      <w:r>
        <w:rPr>
          <w:color w:val="231F20"/>
        </w:rPr>
        <w:t>the</w:t>
      </w:r>
      <w:r>
        <w:rPr>
          <w:color w:val="231F20"/>
          <w:spacing w:val="-5"/>
        </w:rPr>
        <w:t xml:space="preserve"> </w:t>
      </w:r>
      <w:r>
        <w:rPr>
          <w:color w:val="231F20"/>
        </w:rPr>
        <w:t>victory</w:t>
      </w:r>
      <w:r>
        <w:rPr>
          <w:color w:val="231F20"/>
          <w:spacing w:val="-5"/>
        </w:rPr>
        <w:t xml:space="preserve"> </w:t>
      </w:r>
      <w:r>
        <w:rPr>
          <w:color w:val="231F20"/>
        </w:rPr>
        <w:t>was</w:t>
      </w:r>
      <w:r>
        <w:rPr>
          <w:color w:val="231F20"/>
          <w:spacing w:val="-5"/>
        </w:rPr>
        <w:t xml:space="preserve"> </w:t>
      </w:r>
      <w:r>
        <w:rPr>
          <w:color w:val="231F20"/>
        </w:rPr>
        <w:t>an</w:t>
      </w:r>
      <w:r>
        <w:rPr>
          <w:color w:val="231F20"/>
          <w:spacing w:val="-5"/>
        </w:rPr>
        <w:t xml:space="preserve"> </w:t>
      </w:r>
      <w:r>
        <w:rPr>
          <w:color w:val="231F20"/>
        </w:rPr>
        <w:t>unforgettable</w:t>
      </w:r>
      <w:r>
        <w:rPr>
          <w:color w:val="231F20"/>
          <w:spacing w:val="-5"/>
        </w:rPr>
        <w:t xml:space="preserve"> </w:t>
      </w:r>
      <w:r>
        <w:rPr>
          <w:color w:val="231F20"/>
        </w:rPr>
        <w:t>experience’ (Dauncey</w:t>
      </w:r>
      <w:r>
        <w:rPr>
          <w:color w:val="231F20"/>
          <w:spacing w:val="-5"/>
        </w:rPr>
        <w:t xml:space="preserve"> </w:t>
      </w:r>
      <w:r>
        <w:rPr>
          <w:color w:val="231F20"/>
          <w:w w:val="105"/>
        </w:rPr>
        <w:t>&amp;</w:t>
      </w:r>
      <w:r>
        <w:rPr>
          <w:color w:val="231F20"/>
          <w:spacing w:val="-8"/>
          <w:w w:val="105"/>
        </w:rPr>
        <w:t xml:space="preserve"> </w:t>
      </w:r>
      <w:r>
        <w:rPr>
          <w:color w:val="231F20"/>
        </w:rPr>
        <w:t>Hare,</w:t>
      </w:r>
      <w:r>
        <w:rPr>
          <w:color w:val="231F20"/>
          <w:spacing w:val="-5"/>
        </w:rPr>
        <w:t xml:space="preserve"> </w:t>
      </w:r>
      <w:r>
        <w:rPr>
          <w:color w:val="231F20"/>
        </w:rPr>
        <w:t>2000:</w:t>
      </w:r>
      <w:r>
        <w:rPr>
          <w:color w:val="231F20"/>
          <w:spacing w:val="-5"/>
        </w:rPr>
        <w:t xml:space="preserve"> </w:t>
      </w:r>
      <w:r>
        <w:rPr>
          <w:color w:val="231F20"/>
        </w:rPr>
        <w:t>331).</w:t>
      </w:r>
      <w:r>
        <w:rPr>
          <w:color w:val="231F20"/>
          <w:spacing w:val="-5"/>
        </w:rPr>
        <w:t xml:space="preserve"> </w:t>
      </w:r>
      <w:r>
        <w:rPr>
          <w:color w:val="231F20"/>
        </w:rPr>
        <w:t>A</w:t>
      </w:r>
      <w:r>
        <w:rPr>
          <w:color w:val="231F20"/>
          <w:spacing w:val="-5"/>
        </w:rPr>
        <w:t xml:space="preserve"> </w:t>
      </w:r>
      <w:r>
        <w:rPr>
          <w:color w:val="231F20"/>
        </w:rPr>
        <w:t>global</w:t>
      </w:r>
      <w:r>
        <w:rPr>
          <w:color w:val="231F20"/>
          <w:spacing w:val="-5"/>
        </w:rPr>
        <w:t xml:space="preserve"> </w:t>
      </w:r>
      <w:r>
        <w:rPr>
          <w:color w:val="231F20"/>
        </w:rPr>
        <w:t>television</w:t>
      </w:r>
      <w:r>
        <w:rPr>
          <w:color w:val="231F20"/>
          <w:spacing w:val="-5"/>
        </w:rPr>
        <w:t xml:space="preserve"> </w:t>
      </w:r>
      <w:r>
        <w:rPr>
          <w:color w:val="231F20"/>
        </w:rPr>
        <w:t>audience,</w:t>
      </w:r>
      <w:r>
        <w:rPr>
          <w:color w:val="231F20"/>
          <w:spacing w:val="-5"/>
        </w:rPr>
        <w:t xml:space="preserve"> </w:t>
      </w:r>
      <w:r>
        <w:rPr>
          <w:color w:val="231F20"/>
        </w:rPr>
        <w:t>at</w:t>
      </w:r>
      <w:r>
        <w:rPr>
          <w:color w:val="231F20"/>
          <w:spacing w:val="-5"/>
        </w:rPr>
        <w:t xml:space="preserve"> </w:t>
      </w:r>
      <w:r>
        <w:rPr>
          <w:color w:val="231F20"/>
        </w:rPr>
        <w:t>the</w:t>
      </w:r>
      <w:r>
        <w:rPr>
          <w:color w:val="231F20"/>
          <w:spacing w:val="-5"/>
        </w:rPr>
        <w:t xml:space="preserve"> </w:t>
      </w:r>
      <w:r>
        <w:rPr>
          <w:color w:val="231F20"/>
        </w:rPr>
        <w:t>time the</w:t>
      </w:r>
      <w:r>
        <w:rPr>
          <w:color w:val="231F20"/>
          <w:spacing w:val="-9"/>
        </w:rPr>
        <w:t xml:space="preserve"> </w:t>
      </w:r>
      <w:r>
        <w:rPr>
          <w:color w:val="231F20"/>
        </w:rPr>
        <w:t>largest</w:t>
      </w:r>
      <w:r>
        <w:rPr>
          <w:color w:val="231F20"/>
          <w:spacing w:val="-9"/>
        </w:rPr>
        <w:t xml:space="preserve"> </w:t>
      </w:r>
      <w:r>
        <w:rPr>
          <w:color w:val="231F20"/>
        </w:rPr>
        <w:t>television</w:t>
      </w:r>
      <w:r>
        <w:rPr>
          <w:color w:val="231F20"/>
          <w:spacing w:val="-9"/>
        </w:rPr>
        <w:t xml:space="preserve"> </w:t>
      </w:r>
      <w:r>
        <w:rPr>
          <w:color w:val="231F20"/>
        </w:rPr>
        <w:t>audience</w:t>
      </w:r>
      <w:r>
        <w:rPr>
          <w:color w:val="231F20"/>
          <w:spacing w:val="-9"/>
        </w:rPr>
        <w:t xml:space="preserve"> </w:t>
      </w:r>
      <w:r>
        <w:rPr>
          <w:color w:val="231F20"/>
        </w:rPr>
        <w:t>for</w:t>
      </w:r>
      <w:r>
        <w:rPr>
          <w:color w:val="231F20"/>
          <w:spacing w:val="-9"/>
        </w:rPr>
        <w:t xml:space="preserve"> </w:t>
      </w:r>
      <w:r>
        <w:rPr>
          <w:color w:val="231F20"/>
        </w:rPr>
        <w:t>a</w:t>
      </w:r>
      <w:r>
        <w:rPr>
          <w:color w:val="231F20"/>
          <w:spacing w:val="-9"/>
        </w:rPr>
        <w:t xml:space="preserve"> </w:t>
      </w:r>
      <w:r>
        <w:rPr>
          <w:color w:val="231F20"/>
        </w:rPr>
        <w:t>single</w:t>
      </w:r>
      <w:r>
        <w:rPr>
          <w:color w:val="231F20"/>
          <w:spacing w:val="-9"/>
        </w:rPr>
        <w:t xml:space="preserve"> </w:t>
      </w:r>
      <w:r>
        <w:rPr>
          <w:color w:val="231F20"/>
        </w:rPr>
        <w:t>sport,</w:t>
      </w:r>
      <w:r>
        <w:rPr>
          <w:color w:val="231F20"/>
          <w:spacing w:val="-9"/>
        </w:rPr>
        <w:t xml:space="preserve"> </w:t>
      </w:r>
      <w:r>
        <w:rPr>
          <w:color w:val="231F20"/>
        </w:rPr>
        <w:t>watched</w:t>
      </w:r>
      <w:r>
        <w:rPr>
          <w:color w:val="231F20"/>
          <w:spacing w:val="-9"/>
        </w:rPr>
        <w:t xml:space="preserve"> </w:t>
      </w:r>
      <w:r>
        <w:rPr>
          <w:color w:val="231F20"/>
        </w:rPr>
        <w:t>these</w:t>
      </w:r>
      <w:r>
        <w:rPr>
          <w:color w:val="231F20"/>
          <w:spacing w:val="-9"/>
        </w:rPr>
        <w:t xml:space="preserve"> </w:t>
      </w:r>
      <w:r>
        <w:rPr>
          <w:color w:val="231F20"/>
        </w:rPr>
        <w:t>events unfold. There can be little doubt about the emotion associated with defining sporting moments that are experienced only at a given place in a g</w:t>
      </w:r>
      <w:r>
        <w:rPr>
          <w:color w:val="231F20"/>
        </w:rPr>
        <w:t>iven moment of time. Laidlaw (2010: 51), in reference to sport and</w:t>
      </w:r>
      <w:r>
        <w:rPr>
          <w:color w:val="231F20"/>
          <w:spacing w:val="-12"/>
        </w:rPr>
        <w:t xml:space="preserve"> </w:t>
      </w:r>
      <w:r>
        <w:rPr>
          <w:color w:val="231F20"/>
        </w:rPr>
        <w:t>identity,</w:t>
      </w:r>
      <w:r>
        <w:rPr>
          <w:color w:val="231F20"/>
          <w:spacing w:val="-12"/>
        </w:rPr>
        <w:t xml:space="preserve"> </w:t>
      </w:r>
      <w:r>
        <w:rPr>
          <w:color w:val="231F20"/>
        </w:rPr>
        <w:t>describes</w:t>
      </w:r>
      <w:r>
        <w:rPr>
          <w:color w:val="231F20"/>
          <w:spacing w:val="-11"/>
        </w:rPr>
        <w:t xml:space="preserve"> </w:t>
      </w:r>
      <w:r>
        <w:rPr>
          <w:color w:val="231F20"/>
        </w:rPr>
        <w:t>some</w:t>
      </w:r>
      <w:r>
        <w:rPr>
          <w:color w:val="231F20"/>
          <w:spacing w:val="-12"/>
        </w:rPr>
        <w:t xml:space="preserve"> </w:t>
      </w:r>
      <w:r>
        <w:rPr>
          <w:color w:val="231F20"/>
        </w:rPr>
        <w:t>sports</w:t>
      </w:r>
      <w:r>
        <w:rPr>
          <w:color w:val="231F20"/>
          <w:spacing w:val="-11"/>
        </w:rPr>
        <w:t xml:space="preserve"> </w:t>
      </w:r>
      <w:r>
        <w:rPr>
          <w:color w:val="231F20"/>
        </w:rPr>
        <w:t>as</w:t>
      </w:r>
      <w:r>
        <w:rPr>
          <w:color w:val="231F20"/>
          <w:spacing w:val="-12"/>
        </w:rPr>
        <w:t xml:space="preserve"> </w:t>
      </w:r>
      <w:r>
        <w:rPr>
          <w:color w:val="231F20"/>
        </w:rPr>
        <w:t>a</w:t>
      </w:r>
      <w:r>
        <w:rPr>
          <w:color w:val="231F20"/>
          <w:spacing w:val="-11"/>
        </w:rPr>
        <w:t xml:space="preserve"> </w:t>
      </w:r>
      <w:r>
        <w:rPr>
          <w:color w:val="231F20"/>
        </w:rPr>
        <w:t>‘barometer</w:t>
      </w:r>
      <w:r>
        <w:rPr>
          <w:color w:val="231F20"/>
          <w:spacing w:val="-12"/>
        </w:rPr>
        <w:t xml:space="preserve"> </w:t>
      </w:r>
      <w:r>
        <w:rPr>
          <w:color w:val="231F20"/>
        </w:rPr>
        <w:t>of</w:t>
      </w:r>
      <w:r>
        <w:rPr>
          <w:color w:val="231F20"/>
          <w:spacing w:val="-12"/>
        </w:rPr>
        <w:t xml:space="preserve"> </w:t>
      </w:r>
      <w:r>
        <w:rPr>
          <w:color w:val="231F20"/>
        </w:rPr>
        <w:t>feelgood’,</w:t>
      </w:r>
      <w:r>
        <w:rPr>
          <w:color w:val="231F20"/>
          <w:spacing w:val="-11"/>
        </w:rPr>
        <w:t xml:space="preserve"> </w:t>
      </w:r>
      <w:r>
        <w:rPr>
          <w:color w:val="231F20"/>
        </w:rPr>
        <w:t xml:space="preserve">noting that ‘nobody who was around when… South Africa won the (rugby) </w:t>
      </w:r>
      <w:r>
        <w:rPr>
          <w:color w:val="231F20"/>
          <w:w w:val="95"/>
        </w:rPr>
        <w:t>World Cup in 1995 would be under any illusion as to the c</w:t>
      </w:r>
      <w:r>
        <w:rPr>
          <w:color w:val="231F20"/>
          <w:w w:val="95"/>
        </w:rPr>
        <w:t xml:space="preserve">ollective high that those moments brought to a whole nation’. Giulianotti (1996: 323) </w:t>
      </w:r>
      <w:r>
        <w:rPr>
          <w:color w:val="231F20"/>
        </w:rPr>
        <w:t>notes the significance of the US 1994 FIFA World Cup in terms of the Irish team fans being based in New York and Orlando, during which ‘the</w:t>
      </w:r>
      <w:r>
        <w:rPr>
          <w:color w:val="231F20"/>
          <w:spacing w:val="-6"/>
        </w:rPr>
        <w:t xml:space="preserve"> </w:t>
      </w:r>
      <w:r>
        <w:rPr>
          <w:color w:val="231F20"/>
        </w:rPr>
        <w:t>soccer</w:t>
      </w:r>
      <w:r>
        <w:rPr>
          <w:color w:val="231F20"/>
          <w:spacing w:val="-6"/>
        </w:rPr>
        <w:t xml:space="preserve"> </w:t>
      </w:r>
      <w:r>
        <w:rPr>
          <w:color w:val="231F20"/>
        </w:rPr>
        <w:t>culture</w:t>
      </w:r>
      <w:r>
        <w:rPr>
          <w:color w:val="231F20"/>
          <w:spacing w:val="-6"/>
        </w:rPr>
        <w:t xml:space="preserve"> </w:t>
      </w:r>
      <w:r>
        <w:rPr>
          <w:color w:val="231F20"/>
        </w:rPr>
        <w:t>helped</w:t>
      </w:r>
      <w:r>
        <w:rPr>
          <w:color w:val="231F20"/>
          <w:spacing w:val="-6"/>
        </w:rPr>
        <w:t xml:space="preserve"> </w:t>
      </w:r>
      <w:r>
        <w:rPr>
          <w:color w:val="231F20"/>
        </w:rPr>
        <w:t>to</w:t>
      </w:r>
      <w:r>
        <w:rPr>
          <w:color w:val="231F20"/>
          <w:spacing w:val="-6"/>
        </w:rPr>
        <w:t xml:space="preserve"> </w:t>
      </w:r>
      <w:r>
        <w:rPr>
          <w:color w:val="231F20"/>
        </w:rPr>
        <w:t>promote</w:t>
      </w:r>
      <w:r>
        <w:rPr>
          <w:color w:val="231F20"/>
          <w:spacing w:val="-6"/>
        </w:rPr>
        <w:t xml:space="preserve"> </w:t>
      </w:r>
      <w:r>
        <w:rPr>
          <w:color w:val="231F20"/>
        </w:rPr>
        <w:t>a</w:t>
      </w:r>
      <w:r>
        <w:rPr>
          <w:color w:val="231F20"/>
          <w:spacing w:val="-6"/>
        </w:rPr>
        <w:t xml:space="preserve"> </w:t>
      </w:r>
      <w:r>
        <w:rPr>
          <w:color w:val="231F20"/>
        </w:rPr>
        <w:t>fresh</w:t>
      </w:r>
      <w:r>
        <w:rPr>
          <w:color w:val="231F20"/>
          <w:spacing w:val="-6"/>
        </w:rPr>
        <w:t xml:space="preserve"> </w:t>
      </w:r>
      <w:r>
        <w:rPr>
          <w:color w:val="231F20"/>
        </w:rPr>
        <w:t>sense</w:t>
      </w:r>
      <w:r>
        <w:rPr>
          <w:color w:val="231F20"/>
          <w:spacing w:val="-6"/>
        </w:rPr>
        <w:t xml:space="preserve"> </w:t>
      </w:r>
      <w:r>
        <w:rPr>
          <w:color w:val="231F20"/>
        </w:rPr>
        <w:t>of</w:t>
      </w:r>
      <w:r>
        <w:rPr>
          <w:color w:val="231F20"/>
          <w:spacing w:val="-6"/>
        </w:rPr>
        <w:t xml:space="preserve"> </w:t>
      </w:r>
      <w:r>
        <w:rPr>
          <w:color w:val="231F20"/>
        </w:rPr>
        <w:t>Irish</w:t>
      </w:r>
      <w:r>
        <w:rPr>
          <w:color w:val="231F20"/>
          <w:spacing w:val="-6"/>
        </w:rPr>
        <w:t xml:space="preserve"> </w:t>
      </w:r>
      <w:r>
        <w:rPr>
          <w:color w:val="231F20"/>
        </w:rPr>
        <w:t>identity,</w:t>
      </w:r>
      <w:r>
        <w:rPr>
          <w:color w:val="231F20"/>
          <w:spacing w:val="-6"/>
        </w:rPr>
        <w:t xml:space="preserve"> </w:t>
      </w:r>
      <w:r>
        <w:rPr>
          <w:color w:val="231F20"/>
        </w:rPr>
        <w:t xml:space="preserve">as </w:t>
      </w:r>
      <w:r>
        <w:rPr>
          <w:color w:val="231F20"/>
          <w:w w:val="95"/>
        </w:rPr>
        <w:t>beyond nation-state boundaries or territorial claims’. These celebrations were characterised by an absence of football hooliganism, interactions</w:t>
      </w:r>
      <w:r>
        <w:rPr>
          <w:color w:val="231F20"/>
          <w:spacing w:val="80"/>
          <w:w w:val="150"/>
        </w:rPr>
        <w:t xml:space="preserve"> </w:t>
      </w:r>
      <w:r>
        <w:rPr>
          <w:color w:val="231F20"/>
        </w:rPr>
        <w:t>of</w:t>
      </w:r>
      <w:r>
        <w:rPr>
          <w:color w:val="231F20"/>
          <w:spacing w:val="-5"/>
        </w:rPr>
        <w:t xml:space="preserve"> </w:t>
      </w:r>
      <w:r>
        <w:rPr>
          <w:color w:val="231F20"/>
        </w:rPr>
        <w:t>Irish</w:t>
      </w:r>
      <w:r>
        <w:rPr>
          <w:color w:val="231F20"/>
          <w:spacing w:val="-6"/>
        </w:rPr>
        <w:t xml:space="preserve"> </w:t>
      </w:r>
      <w:r>
        <w:rPr>
          <w:color w:val="231F20"/>
        </w:rPr>
        <w:t>fans</w:t>
      </w:r>
      <w:r>
        <w:rPr>
          <w:color w:val="231F20"/>
          <w:spacing w:val="-6"/>
        </w:rPr>
        <w:t xml:space="preserve"> </w:t>
      </w:r>
      <w:r>
        <w:rPr>
          <w:color w:val="231F20"/>
        </w:rPr>
        <w:t>with</w:t>
      </w:r>
      <w:r>
        <w:rPr>
          <w:color w:val="231F20"/>
          <w:spacing w:val="-5"/>
        </w:rPr>
        <w:t xml:space="preserve"> </w:t>
      </w:r>
      <w:r>
        <w:rPr>
          <w:color w:val="231F20"/>
        </w:rPr>
        <w:t>other</w:t>
      </w:r>
      <w:r>
        <w:rPr>
          <w:color w:val="231F20"/>
          <w:spacing w:val="-6"/>
        </w:rPr>
        <w:t xml:space="preserve"> </w:t>
      </w:r>
      <w:r>
        <w:rPr>
          <w:color w:val="231F20"/>
        </w:rPr>
        <w:t>supporter</w:t>
      </w:r>
      <w:r>
        <w:rPr>
          <w:color w:val="231F20"/>
          <w:spacing w:val="-6"/>
        </w:rPr>
        <w:t xml:space="preserve"> </w:t>
      </w:r>
      <w:r>
        <w:rPr>
          <w:color w:val="231F20"/>
        </w:rPr>
        <w:t>cultures</w:t>
      </w:r>
      <w:r>
        <w:rPr>
          <w:color w:val="231F20"/>
          <w:spacing w:val="-5"/>
        </w:rPr>
        <w:t xml:space="preserve"> </w:t>
      </w:r>
      <w:r>
        <w:rPr>
          <w:color w:val="231F20"/>
        </w:rPr>
        <w:t>and</w:t>
      </w:r>
      <w:r>
        <w:rPr>
          <w:color w:val="231F20"/>
          <w:spacing w:val="-6"/>
        </w:rPr>
        <w:t xml:space="preserve"> </w:t>
      </w:r>
      <w:r>
        <w:rPr>
          <w:color w:val="231F20"/>
        </w:rPr>
        <w:t>expressions</w:t>
      </w:r>
      <w:r>
        <w:rPr>
          <w:color w:val="231F20"/>
          <w:spacing w:val="-6"/>
        </w:rPr>
        <w:t xml:space="preserve"> </w:t>
      </w:r>
      <w:r>
        <w:rPr>
          <w:color w:val="231F20"/>
        </w:rPr>
        <w:t>of</w:t>
      </w:r>
      <w:r>
        <w:rPr>
          <w:color w:val="231F20"/>
          <w:spacing w:val="-5"/>
        </w:rPr>
        <w:t xml:space="preserve"> </w:t>
      </w:r>
      <w:r>
        <w:rPr>
          <w:color w:val="231F20"/>
        </w:rPr>
        <w:t>carn</w:t>
      </w:r>
      <w:r>
        <w:rPr>
          <w:color w:val="231F20"/>
        </w:rPr>
        <w:t>ival fandom in places of historic significance to the Irish diaspora.</w:t>
      </w:r>
    </w:p>
    <w:p w14:paraId="4EE78F10" w14:textId="77777777" w:rsidR="00AE0598" w:rsidRDefault="00AE0598">
      <w:pPr>
        <w:pStyle w:val="Corpodetexto"/>
        <w:spacing w:before="4"/>
        <w:rPr>
          <w:sz w:val="24"/>
        </w:rPr>
      </w:pPr>
    </w:p>
    <w:p w14:paraId="246839EC" w14:textId="77777777" w:rsidR="00AE0598" w:rsidRDefault="0069255A">
      <w:pPr>
        <w:ind w:left="223"/>
        <w:jc w:val="both"/>
        <w:rPr>
          <w:rFonts w:ascii="Trebuchet MS"/>
          <w:sz w:val="20"/>
        </w:rPr>
      </w:pPr>
      <w:r>
        <w:rPr>
          <w:rFonts w:ascii="Trebuchet MS"/>
          <w:color w:val="231F20"/>
          <w:w w:val="105"/>
          <w:sz w:val="20"/>
        </w:rPr>
        <w:t>Key</w:t>
      </w:r>
      <w:r>
        <w:rPr>
          <w:rFonts w:ascii="Trebuchet MS"/>
          <w:color w:val="231F20"/>
          <w:spacing w:val="-11"/>
          <w:w w:val="105"/>
          <w:sz w:val="20"/>
        </w:rPr>
        <w:t xml:space="preserve"> </w:t>
      </w:r>
      <w:r>
        <w:rPr>
          <w:rFonts w:ascii="Trebuchet MS"/>
          <w:color w:val="231F20"/>
          <w:spacing w:val="-2"/>
          <w:w w:val="105"/>
          <w:sz w:val="20"/>
        </w:rPr>
        <w:t>Reading</w:t>
      </w:r>
    </w:p>
    <w:p w14:paraId="4D82D5CB" w14:textId="77777777" w:rsidR="00AE0598" w:rsidRDefault="0069255A">
      <w:pPr>
        <w:spacing w:before="122" w:line="232" w:lineRule="auto"/>
        <w:ind w:left="223" w:right="241"/>
        <w:jc w:val="both"/>
        <w:rPr>
          <w:sz w:val="21"/>
        </w:rPr>
      </w:pPr>
      <w:r>
        <w:rPr>
          <w:color w:val="231F20"/>
          <w:sz w:val="21"/>
        </w:rPr>
        <w:t xml:space="preserve">Dauncey, H. and Hare, G. (2000) World Cup France ‘98: Metaphors, meanings and values. </w:t>
      </w:r>
      <w:r>
        <w:rPr>
          <w:i/>
          <w:color w:val="231F20"/>
          <w:sz w:val="21"/>
        </w:rPr>
        <w:t xml:space="preserve">International Review for the Sociology of Sport </w:t>
      </w:r>
      <w:r>
        <w:rPr>
          <w:color w:val="231F20"/>
          <w:sz w:val="21"/>
        </w:rPr>
        <w:t>35 (3), 331–347.</w:t>
      </w:r>
    </w:p>
    <w:p w14:paraId="2F50BC64" w14:textId="77777777" w:rsidR="00AE0598" w:rsidRDefault="0069255A">
      <w:pPr>
        <w:spacing w:before="124" w:line="232" w:lineRule="auto"/>
        <w:ind w:left="223" w:right="241"/>
        <w:jc w:val="both"/>
        <w:rPr>
          <w:sz w:val="21"/>
        </w:rPr>
      </w:pPr>
      <w:r>
        <w:rPr>
          <w:color w:val="231F20"/>
          <w:sz w:val="21"/>
        </w:rPr>
        <w:t xml:space="preserve">Giulianotti, R. (1996) Back to the future: An ethnography of Ireland’s football fans at the 1994 World Cup Finals in the USA. </w:t>
      </w:r>
      <w:r>
        <w:rPr>
          <w:i/>
          <w:color w:val="231F20"/>
          <w:sz w:val="21"/>
        </w:rPr>
        <w:t xml:space="preserve">International Review for the Sociology of Sport </w:t>
      </w:r>
      <w:r>
        <w:rPr>
          <w:color w:val="231F20"/>
          <w:sz w:val="21"/>
        </w:rPr>
        <w:t>31 (3), 323–347.</w:t>
      </w:r>
    </w:p>
    <w:p w14:paraId="47581488" w14:textId="77777777" w:rsidR="00AE0598" w:rsidRDefault="00AE0598">
      <w:pPr>
        <w:spacing w:line="232" w:lineRule="auto"/>
        <w:jc w:val="both"/>
        <w:rPr>
          <w:sz w:val="21"/>
        </w:rPr>
        <w:sectPr w:rsidR="00AE0598">
          <w:pgSz w:w="8850" w:h="13270"/>
          <w:pgMar w:top="720" w:right="1060" w:bottom="280" w:left="1080" w:header="720" w:footer="720" w:gutter="0"/>
          <w:cols w:space="720"/>
        </w:sectPr>
      </w:pPr>
    </w:p>
    <w:p w14:paraId="191874D5" w14:textId="77777777" w:rsidR="00AE0598" w:rsidRDefault="0069255A">
      <w:pPr>
        <w:spacing w:before="87"/>
        <w:ind w:left="108"/>
        <w:rPr>
          <w:rFonts w:ascii="Trebuchet MS"/>
          <w:sz w:val="14"/>
        </w:rPr>
      </w:pPr>
      <w:r>
        <w:rPr>
          <w:rFonts w:ascii="Trebuchet MS"/>
          <w:color w:val="231F20"/>
          <w:w w:val="105"/>
          <w:sz w:val="14"/>
        </w:rPr>
        <w:lastRenderedPageBreak/>
        <w:t>166</w:t>
      </w:r>
      <w:r>
        <w:rPr>
          <w:rFonts w:ascii="Trebuchet MS"/>
          <w:color w:val="231F20"/>
          <w:spacing w:val="66"/>
          <w:w w:val="150"/>
          <w:sz w:val="14"/>
        </w:rPr>
        <w:t xml:space="preserve"> </w:t>
      </w:r>
      <w:r>
        <w:rPr>
          <w:rFonts w:ascii="Trebuchet MS"/>
          <w:color w:val="231F20"/>
          <w:w w:val="105"/>
          <w:sz w:val="14"/>
        </w:rPr>
        <w:t>Part</w:t>
      </w:r>
      <w:r>
        <w:rPr>
          <w:rFonts w:ascii="Trebuchet MS"/>
          <w:color w:val="231F20"/>
          <w:spacing w:val="-9"/>
          <w:w w:val="105"/>
          <w:sz w:val="14"/>
        </w:rPr>
        <w:t xml:space="preserve"> </w:t>
      </w:r>
      <w:r>
        <w:rPr>
          <w:rFonts w:ascii="Trebuchet MS"/>
          <w:color w:val="231F20"/>
          <w:w w:val="105"/>
          <w:sz w:val="14"/>
        </w:rPr>
        <w:t>4:</w:t>
      </w:r>
      <w:r>
        <w:rPr>
          <w:rFonts w:ascii="Trebuchet MS"/>
          <w:color w:val="231F20"/>
          <w:spacing w:val="-8"/>
          <w:w w:val="105"/>
          <w:sz w:val="14"/>
        </w:rPr>
        <w:t xml:space="preserve"> </w:t>
      </w:r>
      <w:r>
        <w:rPr>
          <w:rFonts w:ascii="Trebuchet MS"/>
          <w:color w:val="231F20"/>
          <w:w w:val="105"/>
          <w:sz w:val="14"/>
        </w:rPr>
        <w:t>Sport</w:t>
      </w:r>
      <w:r>
        <w:rPr>
          <w:rFonts w:ascii="Trebuchet MS"/>
          <w:color w:val="231F20"/>
          <w:spacing w:val="-9"/>
          <w:w w:val="105"/>
          <w:sz w:val="14"/>
        </w:rPr>
        <w:t xml:space="preserve"> </w:t>
      </w:r>
      <w:r>
        <w:rPr>
          <w:rFonts w:ascii="Trebuchet MS"/>
          <w:color w:val="231F20"/>
          <w:w w:val="105"/>
          <w:sz w:val="14"/>
        </w:rPr>
        <w:t>Tourism</w:t>
      </w:r>
      <w:r>
        <w:rPr>
          <w:rFonts w:ascii="Trebuchet MS"/>
          <w:color w:val="231F20"/>
          <w:spacing w:val="-9"/>
          <w:w w:val="105"/>
          <w:sz w:val="14"/>
        </w:rPr>
        <w:t xml:space="preserve"> </w:t>
      </w:r>
      <w:r>
        <w:rPr>
          <w:rFonts w:ascii="Trebuchet MS"/>
          <w:color w:val="231F20"/>
          <w:w w:val="105"/>
          <w:sz w:val="14"/>
        </w:rPr>
        <w:t>Development</w:t>
      </w:r>
      <w:r>
        <w:rPr>
          <w:rFonts w:ascii="Trebuchet MS"/>
          <w:color w:val="231F20"/>
          <w:spacing w:val="-9"/>
          <w:w w:val="105"/>
          <w:sz w:val="14"/>
        </w:rPr>
        <w:t xml:space="preserve"> </w:t>
      </w:r>
      <w:r>
        <w:rPr>
          <w:rFonts w:ascii="Trebuchet MS"/>
          <w:color w:val="231F20"/>
          <w:w w:val="105"/>
          <w:sz w:val="14"/>
        </w:rPr>
        <w:t>and</w:t>
      </w:r>
      <w:r>
        <w:rPr>
          <w:rFonts w:ascii="Trebuchet MS"/>
          <w:color w:val="231F20"/>
          <w:spacing w:val="-8"/>
          <w:w w:val="105"/>
          <w:sz w:val="14"/>
        </w:rPr>
        <w:t xml:space="preserve"> </w:t>
      </w:r>
      <w:r>
        <w:rPr>
          <w:rFonts w:ascii="Trebuchet MS"/>
          <w:color w:val="231F20"/>
          <w:spacing w:val="-4"/>
          <w:w w:val="105"/>
          <w:sz w:val="14"/>
        </w:rPr>
        <w:t>Time</w:t>
      </w:r>
    </w:p>
    <w:p w14:paraId="5A46D789" w14:textId="77777777" w:rsidR="00AE0598" w:rsidRDefault="00AE0598">
      <w:pPr>
        <w:pStyle w:val="Corpodetexto"/>
        <w:rPr>
          <w:rFonts w:ascii="Trebuchet MS"/>
          <w:sz w:val="16"/>
        </w:rPr>
      </w:pPr>
    </w:p>
    <w:p w14:paraId="6AC77989" w14:textId="77777777" w:rsidR="00AE0598" w:rsidRDefault="0069255A">
      <w:pPr>
        <w:spacing w:before="120"/>
        <w:ind w:left="110"/>
        <w:rPr>
          <w:rFonts w:ascii="Trebuchet MS"/>
          <w:b/>
          <w:sz w:val="20"/>
        </w:rPr>
      </w:pPr>
      <w:r>
        <w:rPr>
          <w:rFonts w:ascii="Trebuchet MS"/>
          <w:b/>
          <w:color w:val="231F20"/>
          <w:w w:val="95"/>
          <w:sz w:val="20"/>
        </w:rPr>
        <w:t>Participation</w:t>
      </w:r>
      <w:r>
        <w:rPr>
          <w:rFonts w:ascii="Trebuchet MS"/>
          <w:b/>
          <w:color w:val="231F20"/>
          <w:spacing w:val="28"/>
          <w:sz w:val="20"/>
        </w:rPr>
        <w:t xml:space="preserve"> </w:t>
      </w:r>
      <w:r>
        <w:rPr>
          <w:rFonts w:ascii="Trebuchet MS"/>
          <w:b/>
          <w:color w:val="231F20"/>
          <w:w w:val="95"/>
          <w:sz w:val="20"/>
        </w:rPr>
        <w:t>Event</w:t>
      </w:r>
      <w:r>
        <w:rPr>
          <w:rFonts w:ascii="Trebuchet MS"/>
          <w:b/>
          <w:color w:val="231F20"/>
          <w:spacing w:val="28"/>
          <w:sz w:val="20"/>
        </w:rPr>
        <w:t xml:space="preserve"> </w:t>
      </w:r>
      <w:r>
        <w:rPr>
          <w:rFonts w:ascii="Trebuchet MS"/>
          <w:b/>
          <w:color w:val="231F20"/>
          <w:spacing w:val="-2"/>
          <w:w w:val="95"/>
          <w:sz w:val="20"/>
        </w:rPr>
        <w:t>Experiences</w:t>
      </w:r>
    </w:p>
    <w:p w14:paraId="018E63A6" w14:textId="77777777" w:rsidR="00AE0598" w:rsidRDefault="0069255A">
      <w:pPr>
        <w:pStyle w:val="Corpodetexto"/>
        <w:spacing w:before="122" w:line="232" w:lineRule="auto"/>
        <w:ind w:left="110" w:right="127" w:firstLine="320"/>
        <w:jc w:val="both"/>
      </w:pPr>
      <w:r>
        <w:rPr>
          <w:color w:val="231F20"/>
        </w:rPr>
        <w:t>The</w:t>
      </w:r>
      <w:r>
        <w:rPr>
          <w:color w:val="231F20"/>
          <w:spacing w:val="-12"/>
        </w:rPr>
        <w:t xml:space="preserve"> </w:t>
      </w:r>
      <w:r>
        <w:rPr>
          <w:color w:val="231F20"/>
        </w:rPr>
        <w:t>experiences</w:t>
      </w:r>
      <w:r>
        <w:rPr>
          <w:color w:val="231F20"/>
          <w:spacing w:val="-12"/>
        </w:rPr>
        <w:t xml:space="preserve"> </w:t>
      </w:r>
      <w:r>
        <w:rPr>
          <w:color w:val="231F20"/>
        </w:rPr>
        <w:t>of</w:t>
      </w:r>
      <w:r>
        <w:rPr>
          <w:color w:val="231F20"/>
          <w:spacing w:val="-11"/>
        </w:rPr>
        <w:t xml:space="preserve"> </w:t>
      </w:r>
      <w:r>
        <w:rPr>
          <w:color w:val="231F20"/>
        </w:rPr>
        <w:t>event</w:t>
      </w:r>
      <w:r>
        <w:rPr>
          <w:color w:val="231F20"/>
          <w:spacing w:val="-12"/>
        </w:rPr>
        <w:t xml:space="preserve"> </w:t>
      </w:r>
      <w:r>
        <w:rPr>
          <w:color w:val="231F20"/>
        </w:rPr>
        <w:t>participants</w:t>
      </w:r>
      <w:r>
        <w:rPr>
          <w:color w:val="231F20"/>
          <w:spacing w:val="-11"/>
        </w:rPr>
        <w:t xml:space="preserve"> </w:t>
      </w:r>
      <w:r>
        <w:rPr>
          <w:color w:val="231F20"/>
        </w:rPr>
        <w:t>are</w:t>
      </w:r>
      <w:r>
        <w:rPr>
          <w:color w:val="231F20"/>
          <w:spacing w:val="-12"/>
        </w:rPr>
        <w:t xml:space="preserve"> </w:t>
      </w:r>
      <w:r>
        <w:rPr>
          <w:color w:val="231F20"/>
        </w:rPr>
        <w:t>most</w:t>
      </w:r>
      <w:r>
        <w:rPr>
          <w:color w:val="231F20"/>
          <w:spacing w:val="-11"/>
        </w:rPr>
        <w:t xml:space="preserve"> </w:t>
      </w:r>
      <w:r>
        <w:rPr>
          <w:color w:val="231F20"/>
        </w:rPr>
        <w:t>logically</w:t>
      </w:r>
      <w:r>
        <w:rPr>
          <w:color w:val="231F20"/>
          <w:spacing w:val="-12"/>
        </w:rPr>
        <w:t xml:space="preserve"> </w:t>
      </w:r>
      <w:r>
        <w:rPr>
          <w:color w:val="231F20"/>
        </w:rPr>
        <w:t>considered</w:t>
      </w:r>
      <w:r>
        <w:rPr>
          <w:color w:val="231F20"/>
          <w:spacing w:val="-12"/>
        </w:rPr>
        <w:t xml:space="preserve"> </w:t>
      </w:r>
      <w:r>
        <w:rPr>
          <w:color w:val="231F20"/>
        </w:rPr>
        <w:t xml:space="preserve">in </w:t>
      </w:r>
      <w:r>
        <w:rPr>
          <w:color w:val="231F20"/>
          <w:spacing w:val="-2"/>
        </w:rPr>
        <w:t>relation</w:t>
      </w:r>
      <w:r>
        <w:rPr>
          <w:color w:val="231F20"/>
          <w:spacing w:val="-10"/>
        </w:rPr>
        <w:t xml:space="preserve"> </w:t>
      </w:r>
      <w:r>
        <w:rPr>
          <w:color w:val="231F20"/>
          <w:spacing w:val="-2"/>
        </w:rPr>
        <w:t>to</w:t>
      </w:r>
      <w:r>
        <w:rPr>
          <w:color w:val="231F20"/>
          <w:spacing w:val="-10"/>
        </w:rPr>
        <w:t xml:space="preserve"> </w:t>
      </w:r>
      <w:r>
        <w:rPr>
          <w:color w:val="231F20"/>
          <w:spacing w:val="-2"/>
        </w:rPr>
        <w:t>the</w:t>
      </w:r>
      <w:r>
        <w:rPr>
          <w:color w:val="231F20"/>
          <w:spacing w:val="-9"/>
        </w:rPr>
        <w:t xml:space="preserve"> </w:t>
      </w:r>
      <w:r>
        <w:rPr>
          <w:color w:val="231F20"/>
          <w:spacing w:val="-2"/>
        </w:rPr>
        <w:t>level</w:t>
      </w:r>
      <w:r>
        <w:rPr>
          <w:color w:val="231F20"/>
          <w:spacing w:val="-10"/>
        </w:rPr>
        <w:t xml:space="preserve"> </w:t>
      </w:r>
      <w:r>
        <w:rPr>
          <w:color w:val="231F20"/>
          <w:spacing w:val="-2"/>
        </w:rPr>
        <w:t>of</w:t>
      </w:r>
      <w:r>
        <w:rPr>
          <w:color w:val="231F20"/>
          <w:spacing w:val="-9"/>
        </w:rPr>
        <w:t xml:space="preserve"> </w:t>
      </w:r>
      <w:r>
        <w:rPr>
          <w:color w:val="231F20"/>
          <w:spacing w:val="-2"/>
        </w:rPr>
        <w:t>competition,</w:t>
      </w:r>
      <w:r>
        <w:rPr>
          <w:color w:val="231F20"/>
          <w:spacing w:val="-10"/>
        </w:rPr>
        <w:t xml:space="preserve"> </w:t>
      </w:r>
      <w:r>
        <w:rPr>
          <w:color w:val="231F20"/>
          <w:spacing w:val="-2"/>
        </w:rPr>
        <w:t>which</w:t>
      </w:r>
      <w:r>
        <w:rPr>
          <w:color w:val="231F20"/>
          <w:spacing w:val="-9"/>
        </w:rPr>
        <w:t xml:space="preserve"> </w:t>
      </w:r>
      <w:r>
        <w:rPr>
          <w:color w:val="231F20"/>
          <w:spacing w:val="-2"/>
        </w:rPr>
        <w:t>varies</w:t>
      </w:r>
      <w:r>
        <w:rPr>
          <w:color w:val="231F20"/>
          <w:spacing w:val="-10"/>
        </w:rPr>
        <w:t xml:space="preserve"> </w:t>
      </w:r>
      <w:r>
        <w:rPr>
          <w:color w:val="231F20"/>
          <w:spacing w:val="-2"/>
        </w:rPr>
        <w:t>from</w:t>
      </w:r>
      <w:r>
        <w:rPr>
          <w:color w:val="231F20"/>
          <w:spacing w:val="-10"/>
        </w:rPr>
        <w:t xml:space="preserve"> </w:t>
      </w:r>
      <w:r>
        <w:rPr>
          <w:color w:val="231F20"/>
          <w:spacing w:val="-2"/>
        </w:rPr>
        <w:t>professional/elite</w:t>
      </w:r>
      <w:r>
        <w:rPr>
          <w:color w:val="231F20"/>
          <w:spacing w:val="-9"/>
        </w:rPr>
        <w:t xml:space="preserve"> </w:t>
      </w:r>
      <w:r>
        <w:rPr>
          <w:color w:val="231F20"/>
          <w:spacing w:val="-2"/>
        </w:rPr>
        <w:t xml:space="preserve">to </w:t>
      </w:r>
      <w:r>
        <w:rPr>
          <w:color w:val="231F20"/>
        </w:rPr>
        <w:t>the</w:t>
      </w:r>
      <w:r>
        <w:rPr>
          <w:color w:val="231F20"/>
          <w:spacing w:val="-7"/>
        </w:rPr>
        <w:t xml:space="preserve"> </w:t>
      </w:r>
      <w:r>
        <w:rPr>
          <w:color w:val="231F20"/>
        </w:rPr>
        <w:t>amateur</w:t>
      </w:r>
      <w:r>
        <w:rPr>
          <w:color w:val="231F20"/>
          <w:spacing w:val="-7"/>
        </w:rPr>
        <w:t xml:space="preserve"> </w:t>
      </w:r>
      <w:r>
        <w:rPr>
          <w:color w:val="231F20"/>
        </w:rPr>
        <w:t>ranks,</w:t>
      </w:r>
      <w:r>
        <w:rPr>
          <w:color w:val="231F20"/>
          <w:spacing w:val="-7"/>
        </w:rPr>
        <w:t xml:space="preserve"> </w:t>
      </w:r>
      <w:r>
        <w:rPr>
          <w:color w:val="231F20"/>
        </w:rPr>
        <w:t>which</w:t>
      </w:r>
      <w:r>
        <w:rPr>
          <w:color w:val="231F20"/>
          <w:spacing w:val="-7"/>
        </w:rPr>
        <w:t xml:space="preserve"> </w:t>
      </w:r>
      <w:r>
        <w:rPr>
          <w:color w:val="231F20"/>
        </w:rPr>
        <w:t>in</w:t>
      </w:r>
      <w:r>
        <w:rPr>
          <w:color w:val="231F20"/>
          <w:spacing w:val="-7"/>
        </w:rPr>
        <w:t xml:space="preserve"> </w:t>
      </w:r>
      <w:r>
        <w:rPr>
          <w:color w:val="231F20"/>
        </w:rPr>
        <w:t>turn</w:t>
      </w:r>
      <w:r>
        <w:rPr>
          <w:color w:val="231F20"/>
          <w:spacing w:val="-7"/>
        </w:rPr>
        <w:t xml:space="preserve"> </w:t>
      </w:r>
      <w:r>
        <w:rPr>
          <w:color w:val="231F20"/>
        </w:rPr>
        <w:t>varies</w:t>
      </w:r>
      <w:r>
        <w:rPr>
          <w:color w:val="231F20"/>
          <w:spacing w:val="-7"/>
        </w:rPr>
        <w:t xml:space="preserve"> </w:t>
      </w:r>
      <w:r>
        <w:rPr>
          <w:color w:val="231F20"/>
        </w:rPr>
        <w:t>from</w:t>
      </w:r>
      <w:r>
        <w:rPr>
          <w:color w:val="231F20"/>
          <w:spacing w:val="-7"/>
        </w:rPr>
        <w:t xml:space="preserve"> </w:t>
      </w:r>
      <w:r>
        <w:rPr>
          <w:color w:val="231F20"/>
        </w:rPr>
        <w:t>serious</w:t>
      </w:r>
      <w:r>
        <w:rPr>
          <w:color w:val="231F20"/>
          <w:spacing w:val="-7"/>
        </w:rPr>
        <w:t xml:space="preserve"> </w:t>
      </w:r>
      <w:r>
        <w:rPr>
          <w:color w:val="231F20"/>
        </w:rPr>
        <w:t>amateur</w:t>
      </w:r>
      <w:r>
        <w:rPr>
          <w:color w:val="231F20"/>
          <w:spacing w:val="-7"/>
        </w:rPr>
        <w:t xml:space="preserve"> </w:t>
      </w:r>
      <w:r>
        <w:rPr>
          <w:color w:val="231F20"/>
        </w:rPr>
        <w:t>athletes</w:t>
      </w:r>
      <w:r>
        <w:rPr>
          <w:color w:val="231F20"/>
          <w:spacing w:val="-7"/>
        </w:rPr>
        <w:t xml:space="preserve"> </w:t>
      </w:r>
      <w:r>
        <w:rPr>
          <w:color w:val="231F20"/>
        </w:rPr>
        <w:t xml:space="preserve">to </w:t>
      </w:r>
      <w:r>
        <w:rPr>
          <w:color w:val="231F20"/>
          <w:w w:val="95"/>
        </w:rPr>
        <w:t>recreational</w:t>
      </w:r>
      <w:r>
        <w:rPr>
          <w:color w:val="231F20"/>
          <w:spacing w:val="-4"/>
          <w:w w:val="95"/>
        </w:rPr>
        <w:t xml:space="preserve"> </w:t>
      </w:r>
      <w:r>
        <w:rPr>
          <w:color w:val="231F20"/>
          <w:w w:val="95"/>
        </w:rPr>
        <w:t>and</w:t>
      </w:r>
      <w:r>
        <w:rPr>
          <w:color w:val="231F20"/>
          <w:spacing w:val="-4"/>
          <w:w w:val="95"/>
        </w:rPr>
        <w:t xml:space="preserve"> </w:t>
      </w:r>
      <w:r>
        <w:rPr>
          <w:color w:val="231F20"/>
          <w:w w:val="95"/>
        </w:rPr>
        <w:t>social</w:t>
      </w:r>
      <w:r>
        <w:rPr>
          <w:color w:val="231F20"/>
          <w:spacing w:val="-4"/>
          <w:w w:val="95"/>
        </w:rPr>
        <w:t xml:space="preserve"> </w:t>
      </w:r>
      <w:r>
        <w:rPr>
          <w:color w:val="231F20"/>
          <w:w w:val="95"/>
        </w:rPr>
        <w:t>sport</w:t>
      </w:r>
      <w:r>
        <w:rPr>
          <w:color w:val="231F20"/>
          <w:spacing w:val="-4"/>
          <w:w w:val="95"/>
        </w:rPr>
        <w:t xml:space="preserve"> </w:t>
      </w:r>
      <w:r>
        <w:rPr>
          <w:color w:val="231F20"/>
          <w:w w:val="95"/>
        </w:rPr>
        <w:t>participants.</w:t>
      </w:r>
      <w:r>
        <w:rPr>
          <w:color w:val="231F20"/>
          <w:spacing w:val="-4"/>
          <w:w w:val="95"/>
        </w:rPr>
        <w:t xml:space="preserve"> </w:t>
      </w:r>
      <w:r>
        <w:rPr>
          <w:color w:val="231F20"/>
          <w:w w:val="95"/>
        </w:rPr>
        <w:t>The</w:t>
      </w:r>
      <w:r>
        <w:rPr>
          <w:color w:val="231F20"/>
          <w:spacing w:val="-4"/>
          <w:w w:val="95"/>
        </w:rPr>
        <w:t xml:space="preserve"> </w:t>
      </w:r>
      <w:r>
        <w:rPr>
          <w:color w:val="231F20"/>
          <w:w w:val="95"/>
        </w:rPr>
        <w:t>experiences</w:t>
      </w:r>
      <w:r>
        <w:rPr>
          <w:color w:val="231F20"/>
          <w:spacing w:val="-4"/>
          <w:w w:val="95"/>
        </w:rPr>
        <w:t xml:space="preserve"> </w:t>
      </w:r>
      <w:r>
        <w:rPr>
          <w:color w:val="231F20"/>
          <w:w w:val="95"/>
        </w:rPr>
        <w:t>of</w:t>
      </w:r>
      <w:r>
        <w:rPr>
          <w:color w:val="231F20"/>
          <w:spacing w:val="-4"/>
          <w:w w:val="95"/>
        </w:rPr>
        <w:t xml:space="preserve"> </w:t>
      </w:r>
      <w:r>
        <w:rPr>
          <w:color w:val="231F20"/>
          <w:w w:val="95"/>
        </w:rPr>
        <w:t>each</w:t>
      </w:r>
      <w:r>
        <w:rPr>
          <w:color w:val="231F20"/>
          <w:spacing w:val="-4"/>
          <w:w w:val="95"/>
        </w:rPr>
        <w:t xml:space="preserve"> </w:t>
      </w:r>
      <w:r>
        <w:rPr>
          <w:color w:val="231F20"/>
          <w:w w:val="95"/>
        </w:rPr>
        <w:t>could</w:t>
      </w:r>
      <w:r>
        <w:rPr>
          <w:color w:val="231F20"/>
          <w:spacing w:val="-4"/>
          <w:w w:val="95"/>
        </w:rPr>
        <w:t xml:space="preserve"> </w:t>
      </w:r>
      <w:r>
        <w:rPr>
          <w:color w:val="231F20"/>
          <w:w w:val="95"/>
        </w:rPr>
        <w:t>not be</w:t>
      </w:r>
      <w:r>
        <w:rPr>
          <w:color w:val="231F20"/>
          <w:spacing w:val="-4"/>
          <w:w w:val="95"/>
        </w:rPr>
        <w:t xml:space="preserve"> </w:t>
      </w:r>
      <w:r>
        <w:rPr>
          <w:color w:val="231F20"/>
          <w:w w:val="95"/>
        </w:rPr>
        <w:t>more</w:t>
      </w:r>
      <w:r>
        <w:rPr>
          <w:color w:val="231F20"/>
          <w:spacing w:val="-5"/>
          <w:w w:val="95"/>
        </w:rPr>
        <w:t xml:space="preserve"> </w:t>
      </w:r>
      <w:r>
        <w:rPr>
          <w:color w:val="231F20"/>
          <w:w w:val="95"/>
        </w:rPr>
        <w:t>contrasting</w:t>
      </w:r>
      <w:r>
        <w:rPr>
          <w:color w:val="231F20"/>
          <w:spacing w:val="-5"/>
          <w:w w:val="95"/>
        </w:rPr>
        <w:t xml:space="preserve"> </w:t>
      </w:r>
      <w:r>
        <w:rPr>
          <w:color w:val="231F20"/>
          <w:w w:val="95"/>
        </w:rPr>
        <w:t>(Higham</w:t>
      </w:r>
      <w:r>
        <w:rPr>
          <w:color w:val="231F20"/>
          <w:spacing w:val="-5"/>
          <w:w w:val="95"/>
        </w:rPr>
        <w:t xml:space="preserve"> </w:t>
      </w:r>
      <w:r>
        <w:rPr>
          <w:color w:val="231F20"/>
          <w:w w:val="95"/>
        </w:rPr>
        <w:t>&amp;</w:t>
      </w:r>
      <w:r>
        <w:rPr>
          <w:color w:val="231F20"/>
          <w:spacing w:val="-5"/>
          <w:w w:val="95"/>
        </w:rPr>
        <w:t xml:space="preserve"> </w:t>
      </w:r>
      <w:r>
        <w:rPr>
          <w:color w:val="231F20"/>
          <w:w w:val="95"/>
        </w:rPr>
        <w:t>Hinch,</w:t>
      </w:r>
      <w:r>
        <w:rPr>
          <w:color w:val="231F20"/>
          <w:spacing w:val="-4"/>
          <w:w w:val="95"/>
        </w:rPr>
        <w:t xml:space="preserve"> </w:t>
      </w:r>
      <w:r>
        <w:rPr>
          <w:color w:val="231F20"/>
          <w:w w:val="95"/>
        </w:rPr>
        <w:t>2010).</w:t>
      </w:r>
      <w:r>
        <w:rPr>
          <w:color w:val="231F20"/>
          <w:spacing w:val="-4"/>
          <w:w w:val="95"/>
        </w:rPr>
        <w:t xml:space="preserve"> </w:t>
      </w:r>
      <w:r>
        <w:rPr>
          <w:color w:val="231F20"/>
          <w:w w:val="95"/>
        </w:rPr>
        <w:t>Professional</w:t>
      </w:r>
      <w:r>
        <w:rPr>
          <w:color w:val="231F20"/>
          <w:spacing w:val="-4"/>
          <w:w w:val="95"/>
        </w:rPr>
        <w:t xml:space="preserve"> </w:t>
      </w:r>
      <w:r>
        <w:rPr>
          <w:color w:val="231F20"/>
          <w:w w:val="95"/>
        </w:rPr>
        <w:t>and</w:t>
      </w:r>
      <w:r>
        <w:rPr>
          <w:color w:val="231F20"/>
          <w:spacing w:val="-5"/>
          <w:w w:val="95"/>
        </w:rPr>
        <w:t xml:space="preserve"> </w:t>
      </w:r>
      <w:r>
        <w:rPr>
          <w:color w:val="231F20"/>
          <w:w w:val="95"/>
        </w:rPr>
        <w:t>elite</w:t>
      </w:r>
      <w:r>
        <w:rPr>
          <w:color w:val="231F20"/>
          <w:spacing w:val="-5"/>
          <w:w w:val="95"/>
        </w:rPr>
        <w:t xml:space="preserve"> </w:t>
      </w:r>
      <w:r>
        <w:rPr>
          <w:color w:val="231F20"/>
          <w:w w:val="95"/>
        </w:rPr>
        <w:t>athletes face</w:t>
      </w:r>
      <w:r>
        <w:rPr>
          <w:color w:val="231F20"/>
          <w:spacing w:val="-10"/>
          <w:w w:val="95"/>
        </w:rPr>
        <w:t xml:space="preserve"> </w:t>
      </w:r>
      <w:r>
        <w:rPr>
          <w:color w:val="231F20"/>
          <w:w w:val="95"/>
        </w:rPr>
        <w:t>unique</w:t>
      </w:r>
      <w:r>
        <w:rPr>
          <w:color w:val="231F20"/>
          <w:spacing w:val="-9"/>
          <w:w w:val="95"/>
        </w:rPr>
        <w:t xml:space="preserve"> </w:t>
      </w:r>
      <w:r>
        <w:rPr>
          <w:color w:val="231F20"/>
          <w:w w:val="95"/>
        </w:rPr>
        <w:t>travel</w:t>
      </w:r>
      <w:r>
        <w:rPr>
          <w:color w:val="231F20"/>
          <w:spacing w:val="-9"/>
          <w:w w:val="95"/>
        </w:rPr>
        <w:t xml:space="preserve"> </w:t>
      </w:r>
      <w:r>
        <w:rPr>
          <w:color w:val="231F20"/>
          <w:w w:val="95"/>
        </w:rPr>
        <w:t>circumstances</w:t>
      </w:r>
      <w:r>
        <w:rPr>
          <w:color w:val="231F20"/>
          <w:spacing w:val="-9"/>
          <w:w w:val="95"/>
        </w:rPr>
        <w:t xml:space="preserve"> </w:t>
      </w:r>
      <w:r>
        <w:rPr>
          <w:color w:val="231F20"/>
          <w:w w:val="95"/>
        </w:rPr>
        <w:t>associated</w:t>
      </w:r>
      <w:r>
        <w:rPr>
          <w:color w:val="231F20"/>
          <w:spacing w:val="-10"/>
          <w:w w:val="95"/>
        </w:rPr>
        <w:t xml:space="preserve"> </w:t>
      </w:r>
      <w:r>
        <w:rPr>
          <w:color w:val="231F20"/>
          <w:w w:val="95"/>
        </w:rPr>
        <w:t>with</w:t>
      </w:r>
      <w:r>
        <w:rPr>
          <w:color w:val="231F20"/>
          <w:spacing w:val="-9"/>
          <w:w w:val="95"/>
        </w:rPr>
        <w:t xml:space="preserve"> </w:t>
      </w:r>
      <w:r>
        <w:rPr>
          <w:color w:val="231F20"/>
          <w:w w:val="95"/>
        </w:rPr>
        <w:t>achieving</w:t>
      </w:r>
      <w:r>
        <w:rPr>
          <w:color w:val="231F20"/>
          <w:spacing w:val="-9"/>
          <w:w w:val="95"/>
        </w:rPr>
        <w:t xml:space="preserve"> </w:t>
      </w:r>
      <w:r>
        <w:rPr>
          <w:color w:val="231F20"/>
          <w:w w:val="95"/>
        </w:rPr>
        <w:t>the</w:t>
      </w:r>
      <w:r>
        <w:rPr>
          <w:color w:val="231F20"/>
          <w:spacing w:val="-9"/>
          <w:w w:val="95"/>
        </w:rPr>
        <w:t xml:space="preserve"> </w:t>
      </w:r>
      <w:r>
        <w:rPr>
          <w:color w:val="231F20"/>
          <w:w w:val="95"/>
        </w:rPr>
        <w:t>right</w:t>
      </w:r>
      <w:r>
        <w:rPr>
          <w:color w:val="231F20"/>
          <w:spacing w:val="-10"/>
          <w:w w:val="95"/>
        </w:rPr>
        <w:t xml:space="preserve"> </w:t>
      </w:r>
      <w:r>
        <w:rPr>
          <w:color w:val="231F20"/>
          <w:w w:val="95"/>
        </w:rPr>
        <w:t xml:space="preserve">physical </w:t>
      </w:r>
      <w:r>
        <w:rPr>
          <w:color w:val="231F20"/>
        </w:rPr>
        <w:t>and emotional states required to attain the highest levels of competitive performance. Professional athletes are the business travellers of sport tourism</w:t>
      </w:r>
      <w:r>
        <w:rPr>
          <w:color w:val="231F20"/>
          <w:spacing w:val="-12"/>
        </w:rPr>
        <w:t xml:space="preserve"> </w:t>
      </w:r>
      <w:r>
        <w:rPr>
          <w:color w:val="231F20"/>
        </w:rPr>
        <w:t>(Hodge</w:t>
      </w:r>
      <w:r>
        <w:rPr>
          <w:color w:val="231F20"/>
          <w:spacing w:val="-12"/>
        </w:rPr>
        <w:t xml:space="preserve"> </w:t>
      </w:r>
      <w:r>
        <w:rPr>
          <w:i/>
          <w:color w:val="231F20"/>
        </w:rPr>
        <w:t>et</w:t>
      </w:r>
      <w:r>
        <w:rPr>
          <w:i/>
          <w:color w:val="231F20"/>
          <w:spacing w:val="-11"/>
        </w:rPr>
        <w:t xml:space="preserve"> </w:t>
      </w:r>
      <w:r>
        <w:rPr>
          <w:i/>
          <w:color w:val="231F20"/>
        </w:rPr>
        <w:t>al</w:t>
      </w:r>
      <w:r>
        <w:rPr>
          <w:color w:val="231F20"/>
        </w:rPr>
        <w:t>.,</w:t>
      </w:r>
      <w:r>
        <w:rPr>
          <w:color w:val="231F20"/>
          <w:spacing w:val="-12"/>
        </w:rPr>
        <w:t xml:space="preserve"> </w:t>
      </w:r>
      <w:r>
        <w:rPr>
          <w:color w:val="231F20"/>
        </w:rPr>
        <w:t>2010),</w:t>
      </w:r>
      <w:r>
        <w:rPr>
          <w:color w:val="231F20"/>
          <w:spacing w:val="-11"/>
        </w:rPr>
        <w:t xml:space="preserve"> </w:t>
      </w:r>
      <w:r>
        <w:rPr>
          <w:color w:val="231F20"/>
        </w:rPr>
        <w:t>and</w:t>
      </w:r>
      <w:r>
        <w:rPr>
          <w:color w:val="231F20"/>
          <w:spacing w:val="-12"/>
        </w:rPr>
        <w:t xml:space="preserve"> </w:t>
      </w:r>
      <w:r>
        <w:rPr>
          <w:color w:val="231F20"/>
        </w:rPr>
        <w:t>often</w:t>
      </w:r>
      <w:r>
        <w:rPr>
          <w:color w:val="231F20"/>
          <w:spacing w:val="-11"/>
        </w:rPr>
        <w:t xml:space="preserve"> </w:t>
      </w:r>
      <w:r>
        <w:rPr>
          <w:color w:val="231F20"/>
        </w:rPr>
        <w:t>travel</w:t>
      </w:r>
      <w:r>
        <w:rPr>
          <w:color w:val="231F20"/>
          <w:spacing w:val="-12"/>
        </w:rPr>
        <w:t xml:space="preserve"> </w:t>
      </w:r>
      <w:r>
        <w:rPr>
          <w:color w:val="231F20"/>
        </w:rPr>
        <w:t>under</w:t>
      </w:r>
      <w:r>
        <w:rPr>
          <w:color w:val="231F20"/>
          <w:spacing w:val="-12"/>
        </w:rPr>
        <w:t xml:space="preserve"> </w:t>
      </w:r>
      <w:r>
        <w:rPr>
          <w:color w:val="231F20"/>
        </w:rPr>
        <w:t>the</w:t>
      </w:r>
      <w:r>
        <w:rPr>
          <w:color w:val="231F20"/>
          <w:spacing w:val="-11"/>
        </w:rPr>
        <w:t xml:space="preserve"> </w:t>
      </w:r>
      <w:r>
        <w:rPr>
          <w:color w:val="231F20"/>
        </w:rPr>
        <w:t>directives</w:t>
      </w:r>
      <w:r>
        <w:rPr>
          <w:color w:val="231F20"/>
          <w:spacing w:val="-12"/>
        </w:rPr>
        <w:t xml:space="preserve"> </w:t>
      </w:r>
      <w:r>
        <w:rPr>
          <w:color w:val="231F20"/>
        </w:rPr>
        <w:t>of</w:t>
      </w:r>
      <w:r>
        <w:rPr>
          <w:color w:val="231F20"/>
          <w:spacing w:val="-11"/>
        </w:rPr>
        <w:t xml:space="preserve"> </w:t>
      </w:r>
      <w:r>
        <w:rPr>
          <w:color w:val="231F20"/>
        </w:rPr>
        <w:t xml:space="preserve">PSOs </w:t>
      </w:r>
      <w:r>
        <w:rPr>
          <w:color w:val="231F20"/>
          <w:w w:val="95"/>
        </w:rPr>
        <w:t>and/or</w:t>
      </w:r>
      <w:r>
        <w:rPr>
          <w:color w:val="231F20"/>
          <w:spacing w:val="-3"/>
          <w:w w:val="95"/>
        </w:rPr>
        <w:t xml:space="preserve"> </w:t>
      </w:r>
      <w:r>
        <w:rPr>
          <w:color w:val="231F20"/>
          <w:w w:val="95"/>
        </w:rPr>
        <w:t>team</w:t>
      </w:r>
      <w:r>
        <w:rPr>
          <w:color w:val="231F20"/>
          <w:spacing w:val="-3"/>
          <w:w w:val="95"/>
        </w:rPr>
        <w:t xml:space="preserve"> </w:t>
      </w:r>
      <w:r>
        <w:rPr>
          <w:color w:val="231F20"/>
          <w:w w:val="95"/>
        </w:rPr>
        <w:t>management.</w:t>
      </w:r>
      <w:r>
        <w:rPr>
          <w:color w:val="231F20"/>
          <w:spacing w:val="-3"/>
          <w:w w:val="95"/>
        </w:rPr>
        <w:t xml:space="preserve"> </w:t>
      </w:r>
      <w:r>
        <w:rPr>
          <w:color w:val="231F20"/>
          <w:w w:val="95"/>
        </w:rPr>
        <w:t>Woodman</w:t>
      </w:r>
      <w:r>
        <w:rPr>
          <w:color w:val="231F20"/>
          <w:spacing w:val="-3"/>
          <w:w w:val="95"/>
        </w:rPr>
        <w:t xml:space="preserve"> </w:t>
      </w:r>
      <w:r>
        <w:rPr>
          <w:color w:val="231F20"/>
          <w:w w:val="95"/>
        </w:rPr>
        <w:t>and</w:t>
      </w:r>
      <w:r>
        <w:rPr>
          <w:color w:val="231F20"/>
          <w:spacing w:val="-3"/>
          <w:w w:val="95"/>
        </w:rPr>
        <w:t xml:space="preserve"> </w:t>
      </w:r>
      <w:r>
        <w:rPr>
          <w:color w:val="231F20"/>
          <w:w w:val="95"/>
        </w:rPr>
        <w:t>Hardy</w:t>
      </w:r>
      <w:r>
        <w:rPr>
          <w:color w:val="231F20"/>
          <w:spacing w:val="-3"/>
          <w:w w:val="95"/>
        </w:rPr>
        <w:t xml:space="preserve"> </w:t>
      </w:r>
      <w:r>
        <w:rPr>
          <w:color w:val="231F20"/>
          <w:w w:val="95"/>
        </w:rPr>
        <w:t>(2001)</w:t>
      </w:r>
      <w:r>
        <w:rPr>
          <w:color w:val="231F20"/>
          <w:spacing w:val="-3"/>
          <w:w w:val="95"/>
        </w:rPr>
        <w:t xml:space="preserve"> </w:t>
      </w:r>
      <w:r>
        <w:rPr>
          <w:color w:val="231F20"/>
          <w:w w:val="95"/>
        </w:rPr>
        <w:t>highlight</w:t>
      </w:r>
      <w:r>
        <w:rPr>
          <w:color w:val="231F20"/>
          <w:spacing w:val="-3"/>
          <w:w w:val="95"/>
        </w:rPr>
        <w:t xml:space="preserve"> </w:t>
      </w:r>
      <w:r>
        <w:rPr>
          <w:color w:val="231F20"/>
          <w:w w:val="95"/>
        </w:rPr>
        <w:t>a</w:t>
      </w:r>
      <w:r>
        <w:rPr>
          <w:color w:val="231F20"/>
          <w:spacing w:val="-3"/>
          <w:w w:val="95"/>
        </w:rPr>
        <w:t xml:space="preserve"> </w:t>
      </w:r>
      <w:r>
        <w:rPr>
          <w:color w:val="231F20"/>
          <w:w w:val="95"/>
        </w:rPr>
        <w:t>range</w:t>
      </w:r>
      <w:r>
        <w:rPr>
          <w:color w:val="231F20"/>
          <w:spacing w:val="-3"/>
          <w:w w:val="95"/>
        </w:rPr>
        <w:t xml:space="preserve"> </w:t>
      </w:r>
      <w:r>
        <w:rPr>
          <w:color w:val="231F20"/>
          <w:w w:val="95"/>
        </w:rPr>
        <w:t xml:space="preserve">of causes of organisational or work-related social psychological stress in elite sport, many of which bear upon or relate directly to the circumstances that </w:t>
      </w:r>
      <w:r>
        <w:rPr>
          <w:color w:val="231F20"/>
          <w:spacing w:val="-2"/>
        </w:rPr>
        <w:t xml:space="preserve">athletes face at places of competition. They consider organisational stress </w:t>
      </w:r>
      <w:r>
        <w:rPr>
          <w:color w:val="231F20"/>
          <w:spacing w:val="-2"/>
          <w:w w:val="95"/>
        </w:rPr>
        <w:t>caused by environmental</w:t>
      </w:r>
      <w:r>
        <w:rPr>
          <w:color w:val="231F20"/>
          <w:spacing w:val="-2"/>
          <w:w w:val="95"/>
        </w:rPr>
        <w:t xml:space="preserve">, personal, leadership and team factors, highlighting </w:t>
      </w:r>
      <w:r>
        <w:rPr>
          <w:color w:val="231F20"/>
          <w:w w:val="95"/>
        </w:rPr>
        <w:t xml:space="preserve">the need for consistency, predictability, support and, in some cases, control </w:t>
      </w:r>
      <w:r>
        <w:rPr>
          <w:color w:val="231F20"/>
          <w:spacing w:val="-2"/>
        </w:rPr>
        <w:t>over</w:t>
      </w:r>
      <w:r>
        <w:rPr>
          <w:color w:val="231F20"/>
          <w:spacing w:val="-6"/>
        </w:rPr>
        <w:t xml:space="preserve"> </w:t>
      </w:r>
      <w:r>
        <w:rPr>
          <w:color w:val="231F20"/>
          <w:spacing w:val="-2"/>
        </w:rPr>
        <w:t>the</w:t>
      </w:r>
      <w:r>
        <w:rPr>
          <w:color w:val="231F20"/>
          <w:spacing w:val="-6"/>
        </w:rPr>
        <w:t xml:space="preserve"> </w:t>
      </w:r>
      <w:r>
        <w:rPr>
          <w:color w:val="231F20"/>
          <w:spacing w:val="-2"/>
        </w:rPr>
        <w:t>social</w:t>
      </w:r>
      <w:r>
        <w:rPr>
          <w:color w:val="231F20"/>
          <w:spacing w:val="-6"/>
        </w:rPr>
        <w:t xml:space="preserve"> </w:t>
      </w:r>
      <w:r>
        <w:rPr>
          <w:color w:val="231F20"/>
          <w:spacing w:val="-2"/>
        </w:rPr>
        <w:t>and</w:t>
      </w:r>
      <w:r>
        <w:rPr>
          <w:color w:val="231F20"/>
          <w:spacing w:val="-6"/>
        </w:rPr>
        <w:t xml:space="preserve"> </w:t>
      </w:r>
      <w:r>
        <w:rPr>
          <w:color w:val="231F20"/>
          <w:spacing w:val="-2"/>
        </w:rPr>
        <w:t>physical</w:t>
      </w:r>
      <w:r>
        <w:rPr>
          <w:color w:val="231F20"/>
          <w:spacing w:val="-6"/>
        </w:rPr>
        <w:t xml:space="preserve"> </w:t>
      </w:r>
      <w:r>
        <w:rPr>
          <w:color w:val="231F20"/>
          <w:spacing w:val="-2"/>
        </w:rPr>
        <w:t>environment</w:t>
      </w:r>
      <w:r>
        <w:rPr>
          <w:color w:val="231F20"/>
          <w:spacing w:val="-6"/>
        </w:rPr>
        <w:t xml:space="preserve"> </w:t>
      </w:r>
      <w:r>
        <w:rPr>
          <w:color w:val="231F20"/>
          <w:spacing w:val="-2"/>
        </w:rPr>
        <w:t>prior</w:t>
      </w:r>
      <w:r>
        <w:rPr>
          <w:color w:val="231F20"/>
          <w:spacing w:val="-6"/>
        </w:rPr>
        <w:t xml:space="preserve"> </w:t>
      </w:r>
      <w:r>
        <w:rPr>
          <w:color w:val="231F20"/>
          <w:spacing w:val="-2"/>
        </w:rPr>
        <w:t>to</w:t>
      </w:r>
      <w:r>
        <w:rPr>
          <w:color w:val="231F20"/>
          <w:spacing w:val="-6"/>
        </w:rPr>
        <w:t xml:space="preserve"> </w:t>
      </w:r>
      <w:r>
        <w:rPr>
          <w:color w:val="231F20"/>
          <w:spacing w:val="-2"/>
        </w:rPr>
        <w:t>and</w:t>
      </w:r>
      <w:r>
        <w:rPr>
          <w:color w:val="231F20"/>
          <w:spacing w:val="-6"/>
        </w:rPr>
        <w:t xml:space="preserve"> </w:t>
      </w:r>
      <w:r>
        <w:rPr>
          <w:color w:val="231F20"/>
          <w:spacing w:val="-2"/>
        </w:rPr>
        <w:t>during</w:t>
      </w:r>
      <w:r>
        <w:rPr>
          <w:color w:val="231F20"/>
          <w:spacing w:val="-6"/>
        </w:rPr>
        <w:t xml:space="preserve"> </w:t>
      </w:r>
      <w:r>
        <w:rPr>
          <w:color w:val="231F20"/>
          <w:spacing w:val="-2"/>
        </w:rPr>
        <w:t xml:space="preserve">competition. </w:t>
      </w:r>
      <w:r>
        <w:rPr>
          <w:color w:val="231F20"/>
          <w:w w:val="95"/>
        </w:rPr>
        <w:t>While</w:t>
      </w:r>
      <w:r>
        <w:rPr>
          <w:color w:val="231F20"/>
          <w:spacing w:val="-10"/>
          <w:w w:val="95"/>
        </w:rPr>
        <w:t xml:space="preserve"> </w:t>
      </w:r>
      <w:r>
        <w:rPr>
          <w:color w:val="231F20"/>
          <w:w w:val="95"/>
        </w:rPr>
        <w:t>many</w:t>
      </w:r>
      <w:r>
        <w:rPr>
          <w:color w:val="231F20"/>
          <w:spacing w:val="-9"/>
          <w:w w:val="95"/>
        </w:rPr>
        <w:t xml:space="preserve"> </w:t>
      </w:r>
      <w:r>
        <w:rPr>
          <w:color w:val="231F20"/>
          <w:w w:val="95"/>
        </w:rPr>
        <w:t>causes</w:t>
      </w:r>
      <w:r>
        <w:rPr>
          <w:color w:val="231F20"/>
          <w:spacing w:val="-9"/>
          <w:w w:val="95"/>
        </w:rPr>
        <w:t xml:space="preserve"> </w:t>
      </w:r>
      <w:r>
        <w:rPr>
          <w:color w:val="231F20"/>
          <w:w w:val="95"/>
        </w:rPr>
        <w:t>of</w:t>
      </w:r>
      <w:r>
        <w:rPr>
          <w:color w:val="231F20"/>
          <w:spacing w:val="-9"/>
          <w:w w:val="95"/>
        </w:rPr>
        <w:t xml:space="preserve"> </w:t>
      </w:r>
      <w:r>
        <w:rPr>
          <w:color w:val="231F20"/>
          <w:w w:val="95"/>
        </w:rPr>
        <w:t>stress</w:t>
      </w:r>
      <w:r>
        <w:rPr>
          <w:color w:val="231F20"/>
          <w:spacing w:val="-10"/>
          <w:w w:val="95"/>
        </w:rPr>
        <w:t xml:space="preserve"> </w:t>
      </w:r>
      <w:r>
        <w:rPr>
          <w:color w:val="231F20"/>
          <w:w w:val="95"/>
        </w:rPr>
        <w:t>among</w:t>
      </w:r>
      <w:r>
        <w:rPr>
          <w:color w:val="231F20"/>
          <w:spacing w:val="-9"/>
          <w:w w:val="95"/>
        </w:rPr>
        <w:t xml:space="preserve"> </w:t>
      </w:r>
      <w:r>
        <w:rPr>
          <w:color w:val="231F20"/>
          <w:w w:val="95"/>
        </w:rPr>
        <w:t>elite</w:t>
      </w:r>
      <w:r>
        <w:rPr>
          <w:color w:val="231F20"/>
          <w:spacing w:val="-9"/>
          <w:w w:val="95"/>
        </w:rPr>
        <w:t xml:space="preserve"> </w:t>
      </w:r>
      <w:r>
        <w:rPr>
          <w:color w:val="231F20"/>
          <w:w w:val="95"/>
        </w:rPr>
        <w:t>sport</w:t>
      </w:r>
      <w:r>
        <w:rPr>
          <w:color w:val="231F20"/>
          <w:spacing w:val="-9"/>
          <w:w w:val="95"/>
        </w:rPr>
        <w:t xml:space="preserve"> </w:t>
      </w:r>
      <w:r>
        <w:rPr>
          <w:color w:val="231F20"/>
          <w:w w:val="95"/>
        </w:rPr>
        <w:t>part</w:t>
      </w:r>
      <w:r>
        <w:rPr>
          <w:color w:val="231F20"/>
          <w:w w:val="95"/>
        </w:rPr>
        <w:t>icipants</w:t>
      </w:r>
      <w:r>
        <w:rPr>
          <w:color w:val="231F20"/>
          <w:spacing w:val="-10"/>
          <w:w w:val="95"/>
        </w:rPr>
        <w:t xml:space="preserve"> </w:t>
      </w:r>
      <w:r>
        <w:rPr>
          <w:color w:val="231F20"/>
          <w:w w:val="95"/>
        </w:rPr>
        <w:t>relate</w:t>
      </w:r>
      <w:r>
        <w:rPr>
          <w:color w:val="231F20"/>
          <w:spacing w:val="-9"/>
          <w:w w:val="95"/>
        </w:rPr>
        <w:t xml:space="preserve"> </w:t>
      </w:r>
      <w:r>
        <w:rPr>
          <w:color w:val="231F20"/>
          <w:w w:val="95"/>
        </w:rPr>
        <w:t>to</w:t>
      </w:r>
      <w:r>
        <w:rPr>
          <w:color w:val="231F20"/>
          <w:spacing w:val="-9"/>
          <w:w w:val="95"/>
        </w:rPr>
        <w:t xml:space="preserve"> </w:t>
      </w:r>
      <w:r>
        <w:rPr>
          <w:color w:val="231F20"/>
          <w:w w:val="95"/>
        </w:rPr>
        <w:t>the</w:t>
      </w:r>
      <w:r>
        <w:rPr>
          <w:color w:val="231F20"/>
          <w:spacing w:val="-9"/>
          <w:w w:val="95"/>
        </w:rPr>
        <w:t xml:space="preserve"> </w:t>
      </w:r>
      <w:r>
        <w:rPr>
          <w:color w:val="231F20"/>
          <w:w w:val="95"/>
        </w:rPr>
        <w:t xml:space="preserve">sport </w:t>
      </w:r>
      <w:r>
        <w:rPr>
          <w:color w:val="231F20"/>
          <w:spacing w:val="-2"/>
        </w:rPr>
        <w:t>itself</w:t>
      </w:r>
      <w:r>
        <w:rPr>
          <w:color w:val="231F20"/>
          <w:spacing w:val="-9"/>
        </w:rPr>
        <w:t xml:space="preserve"> </w:t>
      </w:r>
      <w:r>
        <w:rPr>
          <w:color w:val="231F20"/>
          <w:spacing w:val="-2"/>
        </w:rPr>
        <w:t>(e.g.</w:t>
      </w:r>
      <w:r>
        <w:rPr>
          <w:color w:val="231F20"/>
          <w:spacing w:val="-9"/>
        </w:rPr>
        <w:t xml:space="preserve"> </w:t>
      </w:r>
      <w:r>
        <w:rPr>
          <w:color w:val="231F20"/>
          <w:spacing w:val="-2"/>
        </w:rPr>
        <w:t>loss</w:t>
      </w:r>
      <w:r>
        <w:rPr>
          <w:color w:val="231F20"/>
          <w:spacing w:val="-9"/>
        </w:rPr>
        <w:t xml:space="preserve"> </w:t>
      </w:r>
      <w:r>
        <w:rPr>
          <w:color w:val="231F20"/>
          <w:spacing w:val="-2"/>
        </w:rPr>
        <w:t>of</w:t>
      </w:r>
      <w:r>
        <w:rPr>
          <w:color w:val="231F20"/>
          <w:spacing w:val="-9"/>
        </w:rPr>
        <w:t xml:space="preserve"> </w:t>
      </w:r>
      <w:r>
        <w:rPr>
          <w:color w:val="231F20"/>
          <w:spacing w:val="-2"/>
        </w:rPr>
        <w:t>form,</w:t>
      </w:r>
      <w:r>
        <w:rPr>
          <w:color w:val="231F20"/>
          <w:spacing w:val="-9"/>
        </w:rPr>
        <w:t xml:space="preserve"> </w:t>
      </w:r>
      <w:r>
        <w:rPr>
          <w:color w:val="231F20"/>
          <w:spacing w:val="-2"/>
        </w:rPr>
        <w:t>injury,</w:t>
      </w:r>
      <w:r>
        <w:rPr>
          <w:color w:val="231F20"/>
          <w:spacing w:val="-9"/>
        </w:rPr>
        <w:t xml:space="preserve"> </w:t>
      </w:r>
      <w:r>
        <w:rPr>
          <w:color w:val="231F20"/>
          <w:spacing w:val="-2"/>
        </w:rPr>
        <w:t>selection</w:t>
      </w:r>
      <w:r>
        <w:rPr>
          <w:color w:val="231F20"/>
          <w:spacing w:val="-9"/>
        </w:rPr>
        <w:t xml:space="preserve"> </w:t>
      </w:r>
      <w:r>
        <w:rPr>
          <w:color w:val="231F20"/>
          <w:spacing w:val="-2"/>
        </w:rPr>
        <w:t>and</w:t>
      </w:r>
      <w:r>
        <w:rPr>
          <w:color w:val="231F20"/>
          <w:spacing w:val="-9"/>
        </w:rPr>
        <w:t xml:space="preserve"> </w:t>
      </w:r>
      <w:r>
        <w:rPr>
          <w:color w:val="231F20"/>
          <w:spacing w:val="-2"/>
        </w:rPr>
        <w:t>financial</w:t>
      </w:r>
      <w:r>
        <w:rPr>
          <w:color w:val="231F20"/>
          <w:spacing w:val="-8"/>
        </w:rPr>
        <w:t xml:space="preserve"> </w:t>
      </w:r>
      <w:r>
        <w:rPr>
          <w:color w:val="231F20"/>
          <w:spacing w:val="-2"/>
        </w:rPr>
        <w:t>hardship),</w:t>
      </w:r>
      <w:r>
        <w:rPr>
          <w:color w:val="231F20"/>
          <w:spacing w:val="-9"/>
        </w:rPr>
        <w:t xml:space="preserve"> </w:t>
      </w:r>
      <w:r>
        <w:rPr>
          <w:color w:val="231F20"/>
          <w:spacing w:val="-2"/>
        </w:rPr>
        <w:t>stress</w:t>
      </w:r>
      <w:r>
        <w:rPr>
          <w:color w:val="231F20"/>
          <w:spacing w:val="-8"/>
        </w:rPr>
        <w:t xml:space="preserve"> </w:t>
      </w:r>
      <w:r>
        <w:rPr>
          <w:color w:val="231F20"/>
          <w:spacing w:val="-2"/>
        </w:rPr>
        <w:t xml:space="preserve">may </w:t>
      </w:r>
      <w:r>
        <w:rPr>
          <w:color w:val="231F20"/>
        </w:rPr>
        <w:t>also</w:t>
      </w:r>
      <w:r>
        <w:rPr>
          <w:color w:val="231F20"/>
          <w:spacing w:val="-5"/>
        </w:rPr>
        <w:t xml:space="preserve"> </w:t>
      </w:r>
      <w:r>
        <w:rPr>
          <w:color w:val="231F20"/>
        </w:rPr>
        <w:t>arise</w:t>
      </w:r>
      <w:r>
        <w:rPr>
          <w:color w:val="231F20"/>
          <w:spacing w:val="-5"/>
        </w:rPr>
        <w:t xml:space="preserve"> </w:t>
      </w:r>
      <w:r>
        <w:rPr>
          <w:color w:val="231F20"/>
        </w:rPr>
        <w:t>from</w:t>
      </w:r>
      <w:r>
        <w:rPr>
          <w:color w:val="231F20"/>
          <w:spacing w:val="-5"/>
        </w:rPr>
        <w:t xml:space="preserve"> </w:t>
      </w:r>
      <w:r>
        <w:rPr>
          <w:color w:val="231F20"/>
        </w:rPr>
        <w:t>specific</w:t>
      </w:r>
      <w:r>
        <w:rPr>
          <w:color w:val="231F20"/>
          <w:spacing w:val="-5"/>
        </w:rPr>
        <w:t xml:space="preserve"> </w:t>
      </w:r>
      <w:r>
        <w:rPr>
          <w:color w:val="231F20"/>
        </w:rPr>
        <w:t>destination</w:t>
      </w:r>
      <w:r>
        <w:rPr>
          <w:color w:val="231F20"/>
          <w:spacing w:val="-5"/>
        </w:rPr>
        <w:t xml:space="preserve"> </w:t>
      </w:r>
      <w:r>
        <w:rPr>
          <w:color w:val="231F20"/>
        </w:rPr>
        <w:t>factors</w:t>
      </w:r>
      <w:r>
        <w:rPr>
          <w:color w:val="231F20"/>
          <w:spacing w:val="-5"/>
        </w:rPr>
        <w:t xml:space="preserve"> </w:t>
      </w:r>
      <w:r>
        <w:rPr>
          <w:color w:val="231F20"/>
        </w:rPr>
        <w:t>(unfamiliarity,</w:t>
      </w:r>
      <w:r>
        <w:rPr>
          <w:color w:val="231F20"/>
          <w:spacing w:val="-5"/>
        </w:rPr>
        <w:t xml:space="preserve"> </w:t>
      </w:r>
      <w:r>
        <w:rPr>
          <w:color w:val="231F20"/>
        </w:rPr>
        <w:t xml:space="preserve">homesickness, loneliness, poor accommodation, inconvenient or substandard training </w:t>
      </w:r>
      <w:r>
        <w:rPr>
          <w:color w:val="231F20"/>
          <w:spacing w:val="-2"/>
        </w:rPr>
        <w:t>facilities) (e.g. disabled athletes, see Darcy, 2003).</w:t>
      </w:r>
    </w:p>
    <w:p w14:paraId="4E9199EA" w14:textId="77777777" w:rsidR="00AE0598" w:rsidRDefault="0069255A">
      <w:pPr>
        <w:pStyle w:val="Corpodetexto"/>
        <w:spacing w:before="26" w:line="232" w:lineRule="auto"/>
        <w:ind w:left="110" w:right="125" w:firstLine="320"/>
        <w:jc w:val="both"/>
      </w:pPr>
      <w:r>
        <w:rPr>
          <w:color w:val="231F20"/>
        </w:rPr>
        <w:t xml:space="preserve">It is noteworthy, however, that other causes of organisational stress </w:t>
      </w:r>
      <w:r>
        <w:rPr>
          <w:color w:val="231F20"/>
          <w:w w:val="95"/>
        </w:rPr>
        <w:t>highlighted by Woodman and Hardy (2001) may be m</w:t>
      </w:r>
      <w:r>
        <w:rPr>
          <w:color w:val="231F20"/>
          <w:w w:val="95"/>
        </w:rPr>
        <w:t>itigated or eliminated with</w:t>
      </w:r>
      <w:r>
        <w:rPr>
          <w:color w:val="231F20"/>
          <w:spacing w:val="-6"/>
          <w:w w:val="95"/>
        </w:rPr>
        <w:t xml:space="preserve"> </w:t>
      </w:r>
      <w:r>
        <w:rPr>
          <w:color w:val="231F20"/>
          <w:w w:val="95"/>
        </w:rPr>
        <w:t>careful</w:t>
      </w:r>
      <w:r>
        <w:rPr>
          <w:color w:val="231F20"/>
          <w:spacing w:val="-6"/>
          <w:w w:val="95"/>
        </w:rPr>
        <w:t xml:space="preserve"> </w:t>
      </w:r>
      <w:r>
        <w:rPr>
          <w:color w:val="231F20"/>
          <w:w w:val="95"/>
        </w:rPr>
        <w:t>consideration</w:t>
      </w:r>
      <w:r>
        <w:rPr>
          <w:color w:val="231F20"/>
          <w:spacing w:val="-6"/>
          <w:w w:val="95"/>
        </w:rPr>
        <w:t xml:space="preserve"> </w:t>
      </w:r>
      <w:r>
        <w:rPr>
          <w:color w:val="231F20"/>
          <w:w w:val="95"/>
        </w:rPr>
        <w:t>given</w:t>
      </w:r>
      <w:r>
        <w:rPr>
          <w:color w:val="231F20"/>
          <w:spacing w:val="-6"/>
          <w:w w:val="95"/>
        </w:rPr>
        <w:t xml:space="preserve"> </w:t>
      </w:r>
      <w:r>
        <w:rPr>
          <w:color w:val="231F20"/>
          <w:w w:val="95"/>
        </w:rPr>
        <w:t>to</w:t>
      </w:r>
      <w:r>
        <w:rPr>
          <w:color w:val="231F20"/>
          <w:spacing w:val="-6"/>
          <w:w w:val="95"/>
        </w:rPr>
        <w:t xml:space="preserve"> </w:t>
      </w:r>
      <w:r>
        <w:rPr>
          <w:color w:val="231F20"/>
          <w:w w:val="95"/>
        </w:rPr>
        <w:t>locational</w:t>
      </w:r>
      <w:r>
        <w:rPr>
          <w:color w:val="231F20"/>
          <w:spacing w:val="-6"/>
          <w:w w:val="95"/>
        </w:rPr>
        <w:t xml:space="preserve"> </w:t>
      </w:r>
      <w:r>
        <w:rPr>
          <w:color w:val="231F20"/>
          <w:w w:val="95"/>
        </w:rPr>
        <w:t>and</w:t>
      </w:r>
      <w:r>
        <w:rPr>
          <w:color w:val="231F20"/>
          <w:spacing w:val="-6"/>
          <w:w w:val="95"/>
        </w:rPr>
        <w:t xml:space="preserve"> </w:t>
      </w:r>
      <w:r>
        <w:rPr>
          <w:color w:val="231F20"/>
          <w:w w:val="95"/>
        </w:rPr>
        <w:t>living</w:t>
      </w:r>
      <w:r>
        <w:rPr>
          <w:color w:val="231F20"/>
          <w:spacing w:val="-6"/>
          <w:w w:val="95"/>
        </w:rPr>
        <w:t xml:space="preserve"> </w:t>
      </w:r>
      <w:r>
        <w:rPr>
          <w:color w:val="231F20"/>
          <w:w w:val="95"/>
        </w:rPr>
        <w:t>arrangements</w:t>
      </w:r>
      <w:r>
        <w:rPr>
          <w:color w:val="231F20"/>
          <w:spacing w:val="-6"/>
          <w:w w:val="95"/>
        </w:rPr>
        <w:t xml:space="preserve"> </w:t>
      </w:r>
      <w:r>
        <w:rPr>
          <w:color w:val="231F20"/>
          <w:w w:val="95"/>
        </w:rPr>
        <w:t>when athletes are based in foreign countries while preparing for and engaging in competition. Accommodation and nutritional arrangements can be closely managed at</w:t>
      </w:r>
      <w:r>
        <w:rPr>
          <w:color w:val="231F20"/>
          <w:w w:val="95"/>
        </w:rPr>
        <w:t xml:space="preserve"> places of training and/or competition. Boredom and isolation</w:t>
      </w:r>
      <w:r>
        <w:rPr>
          <w:color w:val="231F20"/>
          <w:spacing w:val="80"/>
        </w:rPr>
        <w:t xml:space="preserve"> </w:t>
      </w:r>
      <w:r>
        <w:rPr>
          <w:color w:val="231F20"/>
        </w:rPr>
        <w:t xml:space="preserve">in the training environment may be mitigated or eliminated through strategies such as integration into local communities of competitors, as </w:t>
      </w:r>
      <w:r>
        <w:rPr>
          <w:color w:val="231F20"/>
          <w:w w:val="95"/>
        </w:rPr>
        <w:t>well as through the tourist experiences achieved in no</w:t>
      </w:r>
      <w:r>
        <w:rPr>
          <w:color w:val="231F20"/>
          <w:w w:val="95"/>
        </w:rPr>
        <w:t xml:space="preserve">vel and stimulating </w:t>
      </w:r>
      <w:r>
        <w:rPr>
          <w:color w:val="231F20"/>
        </w:rPr>
        <w:t>places</w:t>
      </w:r>
      <w:r>
        <w:rPr>
          <w:color w:val="231F20"/>
          <w:spacing w:val="-5"/>
        </w:rPr>
        <w:t xml:space="preserve"> </w:t>
      </w:r>
      <w:r>
        <w:rPr>
          <w:color w:val="231F20"/>
        </w:rPr>
        <w:t>in</w:t>
      </w:r>
      <w:r>
        <w:rPr>
          <w:color w:val="231F20"/>
          <w:spacing w:val="-5"/>
        </w:rPr>
        <w:t xml:space="preserve"> </w:t>
      </w:r>
      <w:r>
        <w:rPr>
          <w:color w:val="231F20"/>
        </w:rPr>
        <w:t>an</w:t>
      </w:r>
      <w:r>
        <w:rPr>
          <w:color w:val="231F20"/>
          <w:spacing w:val="-5"/>
        </w:rPr>
        <w:t xml:space="preserve"> </w:t>
      </w:r>
      <w:r>
        <w:rPr>
          <w:color w:val="231F20"/>
        </w:rPr>
        <w:t>attempt</w:t>
      </w:r>
      <w:r>
        <w:rPr>
          <w:color w:val="231F20"/>
          <w:spacing w:val="-6"/>
        </w:rPr>
        <w:t xml:space="preserve"> </w:t>
      </w:r>
      <w:r>
        <w:rPr>
          <w:color w:val="231F20"/>
        </w:rPr>
        <w:t>to</w:t>
      </w:r>
      <w:r>
        <w:rPr>
          <w:color w:val="231F20"/>
          <w:spacing w:val="-5"/>
        </w:rPr>
        <w:t xml:space="preserve"> </w:t>
      </w:r>
      <w:r>
        <w:rPr>
          <w:color w:val="231F20"/>
        </w:rPr>
        <w:t>establish</w:t>
      </w:r>
      <w:r>
        <w:rPr>
          <w:color w:val="231F20"/>
          <w:spacing w:val="-6"/>
        </w:rPr>
        <w:t xml:space="preserve"> </w:t>
      </w:r>
      <w:r>
        <w:rPr>
          <w:color w:val="231F20"/>
        </w:rPr>
        <w:t>a</w:t>
      </w:r>
      <w:r>
        <w:rPr>
          <w:color w:val="231F20"/>
          <w:spacing w:val="-6"/>
        </w:rPr>
        <w:t xml:space="preserve"> </w:t>
      </w:r>
      <w:r>
        <w:rPr>
          <w:color w:val="231F20"/>
        </w:rPr>
        <w:t>balance</w:t>
      </w:r>
      <w:r>
        <w:rPr>
          <w:color w:val="231F20"/>
          <w:spacing w:val="-6"/>
        </w:rPr>
        <w:t xml:space="preserve"> </w:t>
      </w:r>
      <w:r>
        <w:rPr>
          <w:color w:val="231F20"/>
        </w:rPr>
        <w:t>between</w:t>
      </w:r>
      <w:r>
        <w:rPr>
          <w:color w:val="231F20"/>
          <w:spacing w:val="-6"/>
        </w:rPr>
        <w:t xml:space="preserve"> </w:t>
      </w:r>
      <w:r>
        <w:rPr>
          <w:color w:val="231F20"/>
        </w:rPr>
        <w:t>the</w:t>
      </w:r>
      <w:r>
        <w:rPr>
          <w:color w:val="231F20"/>
          <w:spacing w:val="-6"/>
        </w:rPr>
        <w:t xml:space="preserve"> </w:t>
      </w:r>
      <w:r>
        <w:rPr>
          <w:color w:val="231F20"/>
        </w:rPr>
        <w:t>business</w:t>
      </w:r>
      <w:r>
        <w:rPr>
          <w:color w:val="231F20"/>
          <w:spacing w:val="-5"/>
        </w:rPr>
        <w:t xml:space="preserve"> </w:t>
      </w:r>
      <w:r>
        <w:rPr>
          <w:color w:val="231F20"/>
        </w:rPr>
        <w:t>of</w:t>
      </w:r>
      <w:r>
        <w:rPr>
          <w:color w:val="231F20"/>
          <w:spacing w:val="-5"/>
        </w:rPr>
        <w:t xml:space="preserve"> </w:t>
      </w:r>
      <w:r>
        <w:rPr>
          <w:color w:val="231F20"/>
        </w:rPr>
        <w:t>sport and escape from the pressures of competition. It is also likely that team culture</w:t>
      </w:r>
      <w:r>
        <w:rPr>
          <w:color w:val="231F20"/>
          <w:spacing w:val="-6"/>
        </w:rPr>
        <w:t xml:space="preserve"> </w:t>
      </w:r>
      <w:r>
        <w:rPr>
          <w:color w:val="231F20"/>
        </w:rPr>
        <w:t>may</w:t>
      </w:r>
      <w:r>
        <w:rPr>
          <w:color w:val="231F20"/>
          <w:spacing w:val="-6"/>
        </w:rPr>
        <w:t xml:space="preserve"> </w:t>
      </w:r>
      <w:r>
        <w:rPr>
          <w:color w:val="231F20"/>
        </w:rPr>
        <w:t>be</w:t>
      </w:r>
      <w:r>
        <w:rPr>
          <w:color w:val="231F20"/>
          <w:spacing w:val="-7"/>
        </w:rPr>
        <w:t xml:space="preserve"> </w:t>
      </w:r>
      <w:r>
        <w:rPr>
          <w:color w:val="231F20"/>
        </w:rPr>
        <w:t>enhanced</w:t>
      </w:r>
      <w:r>
        <w:rPr>
          <w:color w:val="231F20"/>
          <w:spacing w:val="-7"/>
        </w:rPr>
        <w:t xml:space="preserve"> </w:t>
      </w:r>
      <w:r>
        <w:rPr>
          <w:color w:val="231F20"/>
        </w:rPr>
        <w:t>through</w:t>
      </w:r>
      <w:r>
        <w:rPr>
          <w:color w:val="231F20"/>
          <w:spacing w:val="-6"/>
        </w:rPr>
        <w:t xml:space="preserve"> </w:t>
      </w:r>
      <w:r>
        <w:rPr>
          <w:color w:val="231F20"/>
        </w:rPr>
        <w:t>the</w:t>
      </w:r>
      <w:r>
        <w:rPr>
          <w:color w:val="231F20"/>
          <w:spacing w:val="-6"/>
        </w:rPr>
        <w:t xml:space="preserve"> </w:t>
      </w:r>
      <w:r>
        <w:rPr>
          <w:color w:val="231F20"/>
        </w:rPr>
        <w:t>shared</w:t>
      </w:r>
      <w:r>
        <w:rPr>
          <w:color w:val="231F20"/>
          <w:spacing w:val="-7"/>
        </w:rPr>
        <w:t xml:space="preserve"> </w:t>
      </w:r>
      <w:r>
        <w:rPr>
          <w:color w:val="231F20"/>
        </w:rPr>
        <w:t>experiences</w:t>
      </w:r>
      <w:r>
        <w:rPr>
          <w:color w:val="231F20"/>
          <w:spacing w:val="-6"/>
        </w:rPr>
        <w:t xml:space="preserve"> </w:t>
      </w:r>
      <w:r>
        <w:rPr>
          <w:color w:val="231F20"/>
        </w:rPr>
        <w:t>of</w:t>
      </w:r>
      <w:r>
        <w:rPr>
          <w:color w:val="231F20"/>
          <w:spacing w:val="-7"/>
        </w:rPr>
        <w:t xml:space="preserve"> </w:t>
      </w:r>
      <w:r>
        <w:rPr>
          <w:color w:val="231F20"/>
        </w:rPr>
        <w:t>new,</w:t>
      </w:r>
      <w:r>
        <w:rPr>
          <w:color w:val="231F20"/>
          <w:spacing w:val="-7"/>
        </w:rPr>
        <w:t xml:space="preserve"> </w:t>
      </w:r>
      <w:r>
        <w:rPr>
          <w:color w:val="231F20"/>
        </w:rPr>
        <w:t>unique or iconic places.</w:t>
      </w:r>
    </w:p>
    <w:p w14:paraId="42CA9235" w14:textId="77777777" w:rsidR="00AE0598" w:rsidRDefault="0069255A">
      <w:pPr>
        <w:pStyle w:val="Corpodetexto"/>
        <w:spacing w:before="15" w:line="232" w:lineRule="auto"/>
        <w:ind w:left="110" w:right="127" w:firstLine="320"/>
        <w:jc w:val="both"/>
      </w:pPr>
      <w:r>
        <w:rPr>
          <w:color w:val="231F20"/>
        </w:rPr>
        <w:t xml:space="preserve">For elite athletes and professional sports team members, optimum </w:t>
      </w:r>
      <w:r>
        <w:rPr>
          <w:color w:val="231F20"/>
          <w:w w:val="95"/>
        </w:rPr>
        <w:t xml:space="preserve">competitive performance is a function of creating the right environment for preparation and competition (Hodge </w:t>
      </w:r>
      <w:r>
        <w:rPr>
          <w:i/>
          <w:color w:val="231F20"/>
          <w:w w:val="95"/>
        </w:rPr>
        <w:t>et al</w:t>
      </w:r>
      <w:r>
        <w:rPr>
          <w:color w:val="231F20"/>
          <w:w w:val="95"/>
        </w:rPr>
        <w:t xml:space="preserve">., 2001). Sports managers make </w:t>
      </w:r>
      <w:r>
        <w:rPr>
          <w:color w:val="231F20"/>
        </w:rPr>
        <w:t xml:space="preserve">reference to ‘team </w:t>
      </w:r>
      <w:r>
        <w:rPr>
          <w:color w:val="231F20"/>
        </w:rPr>
        <w:t>culture’ as an essential element of a successful team. In</w:t>
      </w:r>
      <w:r>
        <w:rPr>
          <w:color w:val="231F20"/>
          <w:spacing w:val="-6"/>
        </w:rPr>
        <w:t xml:space="preserve"> </w:t>
      </w:r>
      <w:r>
        <w:rPr>
          <w:color w:val="231F20"/>
        </w:rPr>
        <w:t>seeking</w:t>
      </w:r>
      <w:r>
        <w:rPr>
          <w:color w:val="231F20"/>
          <w:spacing w:val="-6"/>
        </w:rPr>
        <w:t xml:space="preserve"> </w:t>
      </w:r>
      <w:r>
        <w:rPr>
          <w:color w:val="231F20"/>
        </w:rPr>
        <w:t>to</w:t>
      </w:r>
      <w:r>
        <w:rPr>
          <w:color w:val="231F20"/>
          <w:spacing w:val="-6"/>
        </w:rPr>
        <w:t xml:space="preserve"> </w:t>
      </w:r>
      <w:r>
        <w:rPr>
          <w:color w:val="231F20"/>
        </w:rPr>
        <w:t>establish</w:t>
      </w:r>
      <w:r>
        <w:rPr>
          <w:color w:val="231F20"/>
          <w:spacing w:val="-6"/>
        </w:rPr>
        <w:t xml:space="preserve"> </w:t>
      </w:r>
      <w:r>
        <w:rPr>
          <w:color w:val="231F20"/>
        </w:rPr>
        <w:t>a</w:t>
      </w:r>
      <w:r>
        <w:rPr>
          <w:color w:val="231F20"/>
          <w:spacing w:val="-6"/>
        </w:rPr>
        <w:t xml:space="preserve"> </w:t>
      </w:r>
      <w:r>
        <w:rPr>
          <w:color w:val="231F20"/>
        </w:rPr>
        <w:t>culture</w:t>
      </w:r>
      <w:r>
        <w:rPr>
          <w:color w:val="231F20"/>
          <w:spacing w:val="-6"/>
        </w:rPr>
        <w:t xml:space="preserve"> </w:t>
      </w:r>
      <w:r>
        <w:rPr>
          <w:color w:val="231F20"/>
        </w:rPr>
        <w:t>for</w:t>
      </w:r>
      <w:r>
        <w:rPr>
          <w:color w:val="231F20"/>
          <w:spacing w:val="-6"/>
        </w:rPr>
        <w:t xml:space="preserve"> </w:t>
      </w:r>
      <w:r>
        <w:rPr>
          <w:color w:val="231F20"/>
        </w:rPr>
        <w:t>team</w:t>
      </w:r>
      <w:r>
        <w:rPr>
          <w:color w:val="231F20"/>
          <w:spacing w:val="-6"/>
        </w:rPr>
        <w:t xml:space="preserve"> </w:t>
      </w:r>
      <w:r>
        <w:rPr>
          <w:color w:val="231F20"/>
        </w:rPr>
        <w:t>success,</w:t>
      </w:r>
      <w:r>
        <w:rPr>
          <w:color w:val="231F20"/>
          <w:spacing w:val="-6"/>
        </w:rPr>
        <w:t xml:space="preserve"> </w:t>
      </w:r>
      <w:r>
        <w:rPr>
          <w:color w:val="231F20"/>
        </w:rPr>
        <w:t>team</w:t>
      </w:r>
      <w:r>
        <w:rPr>
          <w:color w:val="231F20"/>
          <w:spacing w:val="-6"/>
        </w:rPr>
        <w:t xml:space="preserve"> </w:t>
      </w:r>
      <w:r>
        <w:rPr>
          <w:color w:val="231F20"/>
        </w:rPr>
        <w:t>management</w:t>
      </w:r>
      <w:r>
        <w:rPr>
          <w:color w:val="231F20"/>
          <w:spacing w:val="-6"/>
        </w:rPr>
        <w:t xml:space="preserve"> </w:t>
      </w:r>
      <w:r>
        <w:rPr>
          <w:color w:val="231F20"/>
        </w:rPr>
        <w:t xml:space="preserve">will </w:t>
      </w:r>
      <w:r>
        <w:rPr>
          <w:color w:val="231F20"/>
          <w:w w:val="95"/>
        </w:rPr>
        <w:t>consider</w:t>
      </w:r>
      <w:r>
        <w:rPr>
          <w:color w:val="231F20"/>
          <w:spacing w:val="-7"/>
          <w:w w:val="95"/>
        </w:rPr>
        <w:t xml:space="preserve"> </w:t>
      </w:r>
      <w:r>
        <w:rPr>
          <w:color w:val="231F20"/>
          <w:w w:val="95"/>
        </w:rPr>
        <w:t>all</w:t>
      </w:r>
      <w:r>
        <w:rPr>
          <w:color w:val="231F20"/>
          <w:spacing w:val="-7"/>
          <w:w w:val="95"/>
        </w:rPr>
        <w:t xml:space="preserve"> </w:t>
      </w:r>
      <w:r>
        <w:rPr>
          <w:color w:val="231F20"/>
          <w:w w:val="95"/>
        </w:rPr>
        <w:t>aspects</w:t>
      </w:r>
      <w:r>
        <w:rPr>
          <w:color w:val="231F20"/>
          <w:spacing w:val="-7"/>
          <w:w w:val="95"/>
        </w:rPr>
        <w:t xml:space="preserve"> </w:t>
      </w:r>
      <w:r>
        <w:rPr>
          <w:color w:val="231F20"/>
          <w:w w:val="95"/>
        </w:rPr>
        <w:t>of</w:t>
      </w:r>
      <w:r>
        <w:rPr>
          <w:color w:val="231F20"/>
          <w:spacing w:val="-7"/>
          <w:w w:val="95"/>
        </w:rPr>
        <w:t xml:space="preserve"> </w:t>
      </w:r>
      <w:r>
        <w:rPr>
          <w:color w:val="231F20"/>
          <w:w w:val="95"/>
        </w:rPr>
        <w:t>the</w:t>
      </w:r>
      <w:r>
        <w:rPr>
          <w:color w:val="231F20"/>
          <w:spacing w:val="-7"/>
          <w:w w:val="95"/>
        </w:rPr>
        <w:t xml:space="preserve"> </w:t>
      </w:r>
      <w:r>
        <w:rPr>
          <w:color w:val="231F20"/>
          <w:w w:val="95"/>
        </w:rPr>
        <w:t>team</w:t>
      </w:r>
      <w:r>
        <w:rPr>
          <w:color w:val="231F20"/>
          <w:spacing w:val="-7"/>
          <w:w w:val="95"/>
        </w:rPr>
        <w:t xml:space="preserve"> </w:t>
      </w:r>
      <w:r>
        <w:rPr>
          <w:color w:val="231F20"/>
          <w:w w:val="95"/>
        </w:rPr>
        <w:t>environment</w:t>
      </w:r>
      <w:r>
        <w:rPr>
          <w:color w:val="231F20"/>
          <w:spacing w:val="-7"/>
          <w:w w:val="95"/>
        </w:rPr>
        <w:t xml:space="preserve"> </w:t>
      </w:r>
      <w:r>
        <w:rPr>
          <w:color w:val="231F20"/>
          <w:w w:val="95"/>
        </w:rPr>
        <w:t>that</w:t>
      </w:r>
      <w:r>
        <w:rPr>
          <w:color w:val="231F20"/>
          <w:spacing w:val="-7"/>
          <w:w w:val="95"/>
        </w:rPr>
        <w:t xml:space="preserve"> </w:t>
      </w:r>
      <w:r>
        <w:rPr>
          <w:color w:val="231F20"/>
          <w:w w:val="95"/>
        </w:rPr>
        <w:t>may</w:t>
      </w:r>
      <w:r>
        <w:rPr>
          <w:color w:val="231F20"/>
          <w:spacing w:val="-7"/>
          <w:w w:val="95"/>
        </w:rPr>
        <w:t xml:space="preserve"> </w:t>
      </w:r>
      <w:r>
        <w:rPr>
          <w:color w:val="231F20"/>
          <w:w w:val="95"/>
        </w:rPr>
        <w:t>influence</w:t>
      </w:r>
      <w:r>
        <w:rPr>
          <w:color w:val="231F20"/>
          <w:spacing w:val="-7"/>
          <w:w w:val="95"/>
        </w:rPr>
        <w:t xml:space="preserve"> </w:t>
      </w:r>
      <w:r>
        <w:rPr>
          <w:color w:val="231F20"/>
          <w:w w:val="95"/>
        </w:rPr>
        <w:t xml:space="preserve">competitive </w:t>
      </w:r>
      <w:r>
        <w:rPr>
          <w:color w:val="231F20"/>
        </w:rPr>
        <w:t>team performance. Travelling athletes face the addit</w:t>
      </w:r>
      <w:r>
        <w:rPr>
          <w:color w:val="231F20"/>
        </w:rPr>
        <w:t>ional challenges associated</w:t>
      </w:r>
      <w:r>
        <w:rPr>
          <w:color w:val="231F20"/>
          <w:spacing w:val="20"/>
        </w:rPr>
        <w:t xml:space="preserve"> </w:t>
      </w:r>
      <w:r>
        <w:rPr>
          <w:color w:val="231F20"/>
        </w:rPr>
        <w:t>with</w:t>
      </w:r>
      <w:r>
        <w:rPr>
          <w:color w:val="231F20"/>
          <w:spacing w:val="20"/>
        </w:rPr>
        <w:t xml:space="preserve"> </w:t>
      </w:r>
      <w:r>
        <w:rPr>
          <w:color w:val="231F20"/>
        </w:rPr>
        <w:t>unfamiliar</w:t>
      </w:r>
      <w:r>
        <w:rPr>
          <w:color w:val="231F20"/>
          <w:spacing w:val="21"/>
        </w:rPr>
        <w:t xml:space="preserve"> </w:t>
      </w:r>
      <w:r>
        <w:rPr>
          <w:color w:val="231F20"/>
        </w:rPr>
        <w:t>living</w:t>
      </w:r>
      <w:r>
        <w:rPr>
          <w:color w:val="231F20"/>
          <w:spacing w:val="20"/>
        </w:rPr>
        <w:t xml:space="preserve"> </w:t>
      </w:r>
      <w:r>
        <w:rPr>
          <w:color w:val="231F20"/>
        </w:rPr>
        <w:t>and</w:t>
      </w:r>
      <w:r>
        <w:rPr>
          <w:color w:val="231F20"/>
          <w:spacing w:val="21"/>
        </w:rPr>
        <w:t xml:space="preserve"> </w:t>
      </w:r>
      <w:r>
        <w:rPr>
          <w:color w:val="231F20"/>
        </w:rPr>
        <w:t>playing</w:t>
      </w:r>
      <w:r>
        <w:rPr>
          <w:color w:val="231F20"/>
          <w:spacing w:val="20"/>
        </w:rPr>
        <w:t xml:space="preserve"> </w:t>
      </w:r>
      <w:r>
        <w:rPr>
          <w:color w:val="231F20"/>
        </w:rPr>
        <w:t>conditions,</w:t>
      </w:r>
      <w:r>
        <w:rPr>
          <w:color w:val="231F20"/>
          <w:spacing w:val="20"/>
        </w:rPr>
        <w:t xml:space="preserve"> </w:t>
      </w:r>
      <w:r>
        <w:rPr>
          <w:color w:val="231F20"/>
          <w:spacing w:val="-2"/>
          <w:w w:val="95"/>
        </w:rPr>
        <w:t>compromised</w:t>
      </w:r>
    </w:p>
    <w:p w14:paraId="7057C548" w14:textId="77777777" w:rsidR="00AE0598" w:rsidRDefault="00AE0598">
      <w:pPr>
        <w:spacing w:line="232" w:lineRule="auto"/>
        <w:jc w:val="both"/>
        <w:sectPr w:rsidR="00AE0598">
          <w:pgSz w:w="8850" w:h="13270"/>
          <w:pgMar w:top="720" w:right="1060" w:bottom="280" w:left="1080" w:header="720" w:footer="720" w:gutter="0"/>
          <w:cols w:space="720"/>
        </w:sectPr>
      </w:pPr>
    </w:p>
    <w:p w14:paraId="723846AD" w14:textId="77777777" w:rsidR="00AE0598" w:rsidRDefault="0069255A">
      <w:pPr>
        <w:spacing w:before="87"/>
        <w:ind w:left="4078"/>
        <w:rPr>
          <w:rFonts w:ascii="Trebuchet MS"/>
          <w:sz w:val="14"/>
        </w:rPr>
      </w:pPr>
      <w:r>
        <w:rPr>
          <w:rFonts w:ascii="Trebuchet MS"/>
          <w:color w:val="231F20"/>
          <w:w w:val="105"/>
          <w:sz w:val="14"/>
        </w:rPr>
        <w:lastRenderedPageBreak/>
        <w:t>Sport</w:t>
      </w:r>
      <w:r>
        <w:rPr>
          <w:rFonts w:ascii="Trebuchet MS"/>
          <w:color w:val="231F20"/>
          <w:spacing w:val="-11"/>
          <w:w w:val="105"/>
          <w:sz w:val="14"/>
        </w:rPr>
        <w:t xml:space="preserve"> </w:t>
      </w:r>
      <w:r>
        <w:rPr>
          <w:rFonts w:ascii="Trebuchet MS"/>
          <w:color w:val="231F20"/>
          <w:w w:val="105"/>
          <w:sz w:val="14"/>
        </w:rPr>
        <w:t>and</w:t>
      </w:r>
      <w:r>
        <w:rPr>
          <w:rFonts w:ascii="Trebuchet MS"/>
          <w:color w:val="231F20"/>
          <w:spacing w:val="-11"/>
          <w:w w:val="105"/>
          <w:sz w:val="14"/>
        </w:rPr>
        <w:t xml:space="preserve"> </w:t>
      </w:r>
      <w:r>
        <w:rPr>
          <w:rFonts w:ascii="Trebuchet MS"/>
          <w:color w:val="231F20"/>
          <w:w w:val="105"/>
          <w:sz w:val="14"/>
        </w:rPr>
        <w:t>the</w:t>
      </w:r>
      <w:r>
        <w:rPr>
          <w:rFonts w:ascii="Trebuchet MS"/>
          <w:color w:val="231F20"/>
          <w:spacing w:val="-11"/>
          <w:w w:val="105"/>
          <w:sz w:val="14"/>
        </w:rPr>
        <w:t xml:space="preserve"> </w:t>
      </w:r>
      <w:r>
        <w:rPr>
          <w:rFonts w:ascii="Trebuchet MS"/>
          <w:color w:val="231F20"/>
          <w:w w:val="105"/>
          <w:sz w:val="14"/>
        </w:rPr>
        <w:t>Tourist</w:t>
      </w:r>
      <w:r>
        <w:rPr>
          <w:rFonts w:ascii="Trebuchet MS"/>
          <w:color w:val="231F20"/>
          <w:spacing w:val="-11"/>
          <w:w w:val="105"/>
          <w:sz w:val="14"/>
        </w:rPr>
        <w:t xml:space="preserve"> </w:t>
      </w:r>
      <w:r>
        <w:rPr>
          <w:rFonts w:ascii="Trebuchet MS"/>
          <w:color w:val="231F20"/>
          <w:w w:val="105"/>
          <w:sz w:val="14"/>
        </w:rPr>
        <w:t>Experience</w:t>
      </w:r>
      <w:r>
        <w:rPr>
          <w:rFonts w:ascii="Trebuchet MS"/>
          <w:color w:val="231F20"/>
          <w:spacing w:val="78"/>
          <w:w w:val="105"/>
          <w:sz w:val="14"/>
        </w:rPr>
        <w:t xml:space="preserve"> </w:t>
      </w:r>
      <w:r>
        <w:rPr>
          <w:rFonts w:ascii="Trebuchet MS"/>
          <w:color w:val="231F20"/>
          <w:spacing w:val="-5"/>
          <w:w w:val="105"/>
          <w:sz w:val="14"/>
        </w:rPr>
        <w:t>167</w:t>
      </w:r>
    </w:p>
    <w:p w14:paraId="73FC4DDC" w14:textId="77777777" w:rsidR="00AE0598" w:rsidRDefault="00AE0598">
      <w:pPr>
        <w:pStyle w:val="Corpodetexto"/>
        <w:rPr>
          <w:rFonts w:ascii="Trebuchet MS"/>
          <w:sz w:val="16"/>
        </w:rPr>
      </w:pPr>
    </w:p>
    <w:p w14:paraId="3143EA3B" w14:textId="77777777" w:rsidR="00AE0598" w:rsidRDefault="0069255A">
      <w:pPr>
        <w:pStyle w:val="Corpodetexto"/>
        <w:spacing w:before="118" w:line="232" w:lineRule="auto"/>
        <w:ind w:left="110" w:right="123"/>
        <w:jc w:val="both"/>
      </w:pPr>
      <w:r>
        <w:rPr>
          <w:color w:val="231F20"/>
          <w:w w:val="95"/>
        </w:rPr>
        <w:t>daily routines and physiological stresses caused by trans-meridian</w:t>
      </w:r>
      <w:r>
        <w:rPr>
          <w:color w:val="231F20"/>
          <w:w w:val="95"/>
        </w:rPr>
        <w:t xml:space="preserve"> travel (Higham &amp; Hinch, 2009). ‘To counter the perceived disadvantages of away games, professional sports teams have invested heavily in addressing these </w:t>
      </w:r>
      <w:r>
        <w:rPr>
          <w:color w:val="231F20"/>
        </w:rPr>
        <w:t>factors</w:t>
      </w:r>
      <w:r>
        <w:rPr>
          <w:color w:val="231F20"/>
          <w:spacing w:val="-12"/>
        </w:rPr>
        <w:t xml:space="preserve"> </w:t>
      </w:r>
      <w:r>
        <w:rPr>
          <w:color w:val="231F20"/>
        </w:rPr>
        <w:t>in</w:t>
      </w:r>
      <w:r>
        <w:rPr>
          <w:color w:val="231F20"/>
          <w:spacing w:val="-12"/>
        </w:rPr>
        <w:t xml:space="preserve"> </w:t>
      </w:r>
      <w:r>
        <w:rPr>
          <w:color w:val="231F20"/>
        </w:rPr>
        <w:t>their</w:t>
      </w:r>
      <w:r>
        <w:rPr>
          <w:color w:val="231F20"/>
          <w:spacing w:val="-11"/>
        </w:rPr>
        <w:t xml:space="preserve"> </w:t>
      </w:r>
      <w:r>
        <w:rPr>
          <w:color w:val="231F20"/>
        </w:rPr>
        <w:t>quest</w:t>
      </w:r>
      <w:r>
        <w:rPr>
          <w:color w:val="231F20"/>
          <w:spacing w:val="-12"/>
        </w:rPr>
        <w:t xml:space="preserve"> </w:t>
      </w:r>
      <w:r>
        <w:rPr>
          <w:color w:val="231F20"/>
        </w:rPr>
        <w:t>to</w:t>
      </w:r>
      <w:r>
        <w:rPr>
          <w:color w:val="231F20"/>
          <w:spacing w:val="-11"/>
        </w:rPr>
        <w:t xml:space="preserve"> </w:t>
      </w:r>
      <w:r>
        <w:rPr>
          <w:color w:val="231F20"/>
        </w:rPr>
        <w:t>win</w:t>
      </w:r>
      <w:r>
        <w:rPr>
          <w:color w:val="231F20"/>
          <w:spacing w:val="-12"/>
        </w:rPr>
        <w:t xml:space="preserve"> </w:t>
      </w:r>
      <w:r>
        <w:rPr>
          <w:color w:val="231F20"/>
        </w:rPr>
        <w:t>away</w:t>
      </w:r>
      <w:r>
        <w:rPr>
          <w:color w:val="231F20"/>
          <w:spacing w:val="-11"/>
        </w:rPr>
        <w:t xml:space="preserve"> </w:t>
      </w:r>
      <w:r>
        <w:rPr>
          <w:color w:val="231F20"/>
        </w:rPr>
        <w:t>games’</w:t>
      </w:r>
      <w:r>
        <w:rPr>
          <w:color w:val="231F20"/>
          <w:spacing w:val="-12"/>
        </w:rPr>
        <w:t xml:space="preserve"> </w:t>
      </w:r>
      <w:r>
        <w:rPr>
          <w:color w:val="231F20"/>
        </w:rPr>
        <w:t>(Francis</w:t>
      </w:r>
      <w:r>
        <w:rPr>
          <w:color w:val="231F20"/>
          <w:spacing w:val="-11"/>
        </w:rPr>
        <w:t xml:space="preserve"> </w:t>
      </w:r>
      <w:r>
        <w:rPr>
          <w:color w:val="231F20"/>
        </w:rPr>
        <w:t>&amp;</w:t>
      </w:r>
      <w:r>
        <w:rPr>
          <w:color w:val="231F20"/>
          <w:spacing w:val="-12"/>
        </w:rPr>
        <w:t xml:space="preserve"> </w:t>
      </w:r>
      <w:r>
        <w:rPr>
          <w:color w:val="231F20"/>
        </w:rPr>
        <w:t>Murphy,</w:t>
      </w:r>
      <w:r>
        <w:rPr>
          <w:color w:val="231F20"/>
          <w:spacing w:val="-12"/>
        </w:rPr>
        <w:t xml:space="preserve"> </w:t>
      </w:r>
      <w:r>
        <w:rPr>
          <w:color w:val="231F20"/>
        </w:rPr>
        <w:t>2004:</w:t>
      </w:r>
      <w:r>
        <w:rPr>
          <w:color w:val="231F20"/>
          <w:spacing w:val="-11"/>
        </w:rPr>
        <w:t xml:space="preserve"> </w:t>
      </w:r>
      <w:r>
        <w:rPr>
          <w:color w:val="231F20"/>
        </w:rPr>
        <w:t>78).</w:t>
      </w:r>
      <w:r>
        <w:rPr>
          <w:color w:val="231F20"/>
          <w:spacing w:val="-12"/>
        </w:rPr>
        <w:t xml:space="preserve"> </w:t>
      </w:r>
      <w:r>
        <w:rPr>
          <w:color w:val="231F20"/>
        </w:rPr>
        <w:t xml:space="preserve">A </w:t>
      </w:r>
      <w:r>
        <w:rPr>
          <w:color w:val="231F20"/>
          <w:w w:val="95"/>
        </w:rPr>
        <w:t xml:space="preserve">major focus of this effort </w:t>
      </w:r>
      <w:r>
        <w:rPr>
          <w:color w:val="231F20"/>
          <w:w w:val="95"/>
        </w:rPr>
        <w:t xml:space="preserve">has been to create the desired team environment, </w:t>
      </w:r>
      <w:r>
        <w:rPr>
          <w:color w:val="231F20"/>
        </w:rPr>
        <w:t>which</w:t>
      </w:r>
      <w:r>
        <w:rPr>
          <w:color w:val="231F20"/>
          <w:spacing w:val="-8"/>
        </w:rPr>
        <w:t xml:space="preserve"> </w:t>
      </w:r>
      <w:r>
        <w:rPr>
          <w:color w:val="231F20"/>
        </w:rPr>
        <w:t>may</w:t>
      </w:r>
      <w:r>
        <w:rPr>
          <w:color w:val="231F20"/>
          <w:spacing w:val="-8"/>
        </w:rPr>
        <w:t xml:space="preserve"> </w:t>
      </w:r>
      <w:r>
        <w:rPr>
          <w:color w:val="231F20"/>
        </w:rPr>
        <w:t>be</w:t>
      </w:r>
      <w:r>
        <w:rPr>
          <w:color w:val="231F20"/>
          <w:spacing w:val="-8"/>
        </w:rPr>
        <w:t xml:space="preserve"> </w:t>
      </w:r>
      <w:r>
        <w:rPr>
          <w:color w:val="231F20"/>
        </w:rPr>
        <w:t>achieved</w:t>
      </w:r>
      <w:r>
        <w:rPr>
          <w:color w:val="231F20"/>
          <w:spacing w:val="-8"/>
        </w:rPr>
        <w:t xml:space="preserve"> </w:t>
      </w:r>
      <w:r>
        <w:rPr>
          <w:color w:val="231F20"/>
        </w:rPr>
        <w:t>by</w:t>
      </w:r>
      <w:r>
        <w:rPr>
          <w:color w:val="231F20"/>
          <w:spacing w:val="-8"/>
        </w:rPr>
        <w:t xml:space="preserve"> </w:t>
      </w:r>
      <w:r>
        <w:rPr>
          <w:color w:val="231F20"/>
        </w:rPr>
        <w:t>creating</w:t>
      </w:r>
      <w:r>
        <w:rPr>
          <w:color w:val="231F20"/>
          <w:spacing w:val="-8"/>
        </w:rPr>
        <w:t xml:space="preserve"> </w:t>
      </w:r>
      <w:r>
        <w:rPr>
          <w:color w:val="231F20"/>
        </w:rPr>
        <w:t>familiar</w:t>
      </w:r>
      <w:r>
        <w:rPr>
          <w:color w:val="231F20"/>
          <w:spacing w:val="-8"/>
        </w:rPr>
        <w:t xml:space="preserve"> </w:t>
      </w:r>
      <w:r>
        <w:rPr>
          <w:color w:val="231F20"/>
        </w:rPr>
        <w:t>and</w:t>
      </w:r>
      <w:r>
        <w:rPr>
          <w:color w:val="231F20"/>
          <w:spacing w:val="-8"/>
        </w:rPr>
        <w:t xml:space="preserve"> </w:t>
      </w:r>
      <w:r>
        <w:rPr>
          <w:color w:val="231F20"/>
        </w:rPr>
        <w:t>secure</w:t>
      </w:r>
      <w:r>
        <w:rPr>
          <w:color w:val="231F20"/>
          <w:spacing w:val="-8"/>
        </w:rPr>
        <w:t xml:space="preserve"> </w:t>
      </w:r>
      <w:r>
        <w:rPr>
          <w:color w:val="231F20"/>
        </w:rPr>
        <w:t>environments</w:t>
      </w:r>
      <w:r>
        <w:rPr>
          <w:color w:val="231F20"/>
          <w:spacing w:val="-8"/>
        </w:rPr>
        <w:t xml:space="preserve"> </w:t>
      </w:r>
      <w:r>
        <w:rPr>
          <w:color w:val="231F20"/>
        </w:rPr>
        <w:t>for competitors at the place of competition.</w:t>
      </w:r>
    </w:p>
    <w:p w14:paraId="157DB646" w14:textId="77777777" w:rsidR="00AE0598" w:rsidRDefault="0069255A">
      <w:pPr>
        <w:pStyle w:val="Corpodetexto"/>
        <w:spacing w:before="8" w:line="232" w:lineRule="auto"/>
        <w:ind w:left="110" w:right="126" w:firstLine="320"/>
        <w:jc w:val="both"/>
      </w:pPr>
      <w:r>
        <w:rPr>
          <w:color w:val="231F20"/>
          <w:w w:val="95"/>
        </w:rPr>
        <w:t xml:space="preserve">Achieving a strategic fit between the destination where teams/athletes </w:t>
      </w:r>
      <w:r>
        <w:rPr>
          <w:color w:val="231F20"/>
        </w:rPr>
        <w:t>are based and team culture is an important strategy. Creating the right environment requires the achievement of a balance between familiarity and</w:t>
      </w:r>
      <w:r>
        <w:rPr>
          <w:color w:val="231F20"/>
          <w:spacing w:val="-7"/>
        </w:rPr>
        <w:t xml:space="preserve"> </w:t>
      </w:r>
      <w:r>
        <w:rPr>
          <w:color w:val="231F20"/>
        </w:rPr>
        <w:t>novelty.</w:t>
      </w:r>
      <w:r>
        <w:rPr>
          <w:color w:val="231F20"/>
          <w:spacing w:val="-7"/>
        </w:rPr>
        <w:t xml:space="preserve"> </w:t>
      </w:r>
      <w:r>
        <w:rPr>
          <w:color w:val="231F20"/>
        </w:rPr>
        <w:t>Many</w:t>
      </w:r>
      <w:r>
        <w:rPr>
          <w:color w:val="231F20"/>
          <w:spacing w:val="-7"/>
        </w:rPr>
        <w:t xml:space="preserve"> </w:t>
      </w:r>
      <w:r>
        <w:rPr>
          <w:color w:val="231F20"/>
        </w:rPr>
        <w:t>sports</w:t>
      </w:r>
      <w:r>
        <w:rPr>
          <w:color w:val="231F20"/>
          <w:spacing w:val="-7"/>
        </w:rPr>
        <w:t xml:space="preserve"> </w:t>
      </w:r>
      <w:r>
        <w:rPr>
          <w:color w:val="231F20"/>
        </w:rPr>
        <w:t>teams</w:t>
      </w:r>
      <w:r>
        <w:rPr>
          <w:color w:val="231F20"/>
          <w:spacing w:val="-7"/>
        </w:rPr>
        <w:t xml:space="preserve"> </w:t>
      </w:r>
      <w:r>
        <w:rPr>
          <w:color w:val="231F20"/>
        </w:rPr>
        <w:t>seek</w:t>
      </w:r>
      <w:r>
        <w:rPr>
          <w:color w:val="231F20"/>
          <w:spacing w:val="-7"/>
        </w:rPr>
        <w:t xml:space="preserve"> </w:t>
      </w:r>
      <w:r>
        <w:rPr>
          <w:color w:val="231F20"/>
        </w:rPr>
        <w:t>an</w:t>
      </w:r>
      <w:r>
        <w:rPr>
          <w:color w:val="231F20"/>
          <w:spacing w:val="-7"/>
        </w:rPr>
        <w:t xml:space="preserve"> </w:t>
      </w:r>
      <w:r>
        <w:rPr>
          <w:color w:val="231F20"/>
        </w:rPr>
        <w:t>‘env</w:t>
      </w:r>
      <w:r>
        <w:rPr>
          <w:color w:val="231F20"/>
        </w:rPr>
        <w:t>ironmental</w:t>
      </w:r>
      <w:r>
        <w:rPr>
          <w:color w:val="231F20"/>
          <w:spacing w:val="-7"/>
        </w:rPr>
        <w:t xml:space="preserve"> </w:t>
      </w:r>
      <w:r>
        <w:rPr>
          <w:color w:val="231F20"/>
        </w:rPr>
        <w:t>bubble’</w:t>
      </w:r>
      <w:r>
        <w:rPr>
          <w:color w:val="231F20"/>
          <w:spacing w:val="-7"/>
        </w:rPr>
        <w:t xml:space="preserve"> </w:t>
      </w:r>
      <w:r>
        <w:rPr>
          <w:color w:val="231F20"/>
        </w:rPr>
        <w:t>in</w:t>
      </w:r>
      <w:r>
        <w:rPr>
          <w:color w:val="231F20"/>
          <w:spacing w:val="-7"/>
        </w:rPr>
        <w:t xml:space="preserve"> </w:t>
      </w:r>
      <w:r>
        <w:rPr>
          <w:color w:val="231F20"/>
        </w:rPr>
        <w:t>which to prepare for competition in a setting that is low in stress and high in familiarity (Higham &amp; Hinch, 2010). However, insular, familiar and routined environments can become suffocating for athletes. Therefore, creating the righ</w:t>
      </w:r>
      <w:r>
        <w:rPr>
          <w:color w:val="231F20"/>
        </w:rPr>
        <w:t>t environment may extend to locating the team at a destination that offers opportunities to engage in tourist and leisure activities that can serve the function of bringing the desired level of novelty</w:t>
      </w:r>
      <w:r>
        <w:rPr>
          <w:color w:val="231F20"/>
          <w:spacing w:val="-11"/>
        </w:rPr>
        <w:t xml:space="preserve"> </w:t>
      </w:r>
      <w:r>
        <w:rPr>
          <w:color w:val="231F20"/>
        </w:rPr>
        <w:t>to</w:t>
      </w:r>
      <w:r>
        <w:rPr>
          <w:color w:val="231F20"/>
          <w:spacing w:val="-11"/>
        </w:rPr>
        <w:t xml:space="preserve"> </w:t>
      </w:r>
      <w:r>
        <w:rPr>
          <w:color w:val="231F20"/>
        </w:rPr>
        <w:t>the</w:t>
      </w:r>
      <w:r>
        <w:rPr>
          <w:color w:val="231F20"/>
          <w:spacing w:val="-11"/>
        </w:rPr>
        <w:t xml:space="preserve"> </w:t>
      </w:r>
      <w:r>
        <w:rPr>
          <w:color w:val="231F20"/>
        </w:rPr>
        <w:t>competition</w:t>
      </w:r>
      <w:r>
        <w:rPr>
          <w:color w:val="231F20"/>
          <w:spacing w:val="-11"/>
        </w:rPr>
        <w:t xml:space="preserve"> </w:t>
      </w:r>
      <w:r>
        <w:rPr>
          <w:color w:val="231F20"/>
        </w:rPr>
        <w:t>preparation</w:t>
      </w:r>
      <w:r>
        <w:rPr>
          <w:color w:val="231F20"/>
          <w:spacing w:val="-11"/>
        </w:rPr>
        <w:t xml:space="preserve"> </w:t>
      </w:r>
      <w:r>
        <w:rPr>
          <w:color w:val="231F20"/>
        </w:rPr>
        <w:t>phase.</w:t>
      </w:r>
      <w:r>
        <w:rPr>
          <w:color w:val="231F20"/>
          <w:spacing w:val="-11"/>
        </w:rPr>
        <w:t xml:space="preserve"> </w:t>
      </w:r>
      <w:r>
        <w:rPr>
          <w:color w:val="231F20"/>
        </w:rPr>
        <w:t>Distinctive</w:t>
      </w:r>
      <w:r>
        <w:rPr>
          <w:color w:val="231F20"/>
          <w:spacing w:val="-11"/>
        </w:rPr>
        <w:t xml:space="preserve"> </w:t>
      </w:r>
      <w:r>
        <w:rPr>
          <w:color w:val="231F20"/>
        </w:rPr>
        <w:t>and</w:t>
      </w:r>
      <w:r>
        <w:rPr>
          <w:color w:val="231F20"/>
          <w:spacing w:val="-11"/>
        </w:rPr>
        <w:t xml:space="preserve"> </w:t>
      </w:r>
      <w:r>
        <w:rPr>
          <w:color w:val="231F20"/>
        </w:rPr>
        <w:t xml:space="preserve">interesting </w:t>
      </w:r>
      <w:r>
        <w:rPr>
          <w:color w:val="231F20"/>
          <w:w w:val="95"/>
        </w:rPr>
        <w:t>tourist and heritage attractions may serve as a release from the pressures</w:t>
      </w:r>
      <w:r>
        <w:rPr>
          <w:color w:val="231F20"/>
          <w:spacing w:val="40"/>
        </w:rPr>
        <w:t xml:space="preserve"> </w:t>
      </w:r>
      <w:r>
        <w:rPr>
          <w:color w:val="231F20"/>
        </w:rPr>
        <w:t>of</w:t>
      </w:r>
      <w:r>
        <w:rPr>
          <w:color w:val="231F20"/>
          <w:spacing w:val="-1"/>
        </w:rPr>
        <w:t xml:space="preserve"> </w:t>
      </w:r>
      <w:r>
        <w:rPr>
          <w:color w:val="231F20"/>
        </w:rPr>
        <w:t>competition,</w:t>
      </w:r>
      <w:r>
        <w:rPr>
          <w:color w:val="231F20"/>
          <w:spacing w:val="-1"/>
        </w:rPr>
        <w:t xml:space="preserve"> </w:t>
      </w:r>
      <w:r>
        <w:rPr>
          <w:color w:val="231F20"/>
        </w:rPr>
        <w:t>and</w:t>
      </w:r>
      <w:r>
        <w:rPr>
          <w:color w:val="231F20"/>
          <w:spacing w:val="-1"/>
        </w:rPr>
        <w:t xml:space="preserve"> </w:t>
      </w:r>
      <w:r>
        <w:rPr>
          <w:color w:val="231F20"/>
        </w:rPr>
        <w:t>may</w:t>
      </w:r>
      <w:r>
        <w:rPr>
          <w:color w:val="231F20"/>
          <w:spacing w:val="-1"/>
        </w:rPr>
        <w:t xml:space="preserve"> </w:t>
      </w:r>
      <w:r>
        <w:rPr>
          <w:color w:val="231F20"/>
        </w:rPr>
        <w:t>also</w:t>
      </w:r>
      <w:r>
        <w:rPr>
          <w:color w:val="231F20"/>
          <w:spacing w:val="-1"/>
        </w:rPr>
        <w:t xml:space="preserve"> </w:t>
      </w:r>
      <w:r>
        <w:rPr>
          <w:color w:val="231F20"/>
        </w:rPr>
        <w:t>provide</w:t>
      </w:r>
      <w:r>
        <w:rPr>
          <w:color w:val="231F20"/>
          <w:spacing w:val="-1"/>
        </w:rPr>
        <w:t xml:space="preserve"> </w:t>
      </w:r>
      <w:r>
        <w:rPr>
          <w:color w:val="231F20"/>
        </w:rPr>
        <w:t>mental</w:t>
      </w:r>
      <w:r>
        <w:rPr>
          <w:color w:val="231F20"/>
          <w:spacing w:val="-1"/>
        </w:rPr>
        <w:t xml:space="preserve"> </w:t>
      </w:r>
      <w:r>
        <w:rPr>
          <w:color w:val="231F20"/>
        </w:rPr>
        <w:t>focus</w:t>
      </w:r>
      <w:r>
        <w:rPr>
          <w:color w:val="231F20"/>
          <w:spacing w:val="-1"/>
        </w:rPr>
        <w:t xml:space="preserve"> </w:t>
      </w:r>
      <w:r>
        <w:rPr>
          <w:color w:val="231F20"/>
        </w:rPr>
        <w:t>for</w:t>
      </w:r>
      <w:r>
        <w:rPr>
          <w:color w:val="231F20"/>
          <w:spacing w:val="-1"/>
        </w:rPr>
        <w:t xml:space="preserve"> </w:t>
      </w:r>
      <w:r>
        <w:rPr>
          <w:color w:val="231F20"/>
        </w:rPr>
        <w:t>players.</w:t>
      </w:r>
      <w:r>
        <w:rPr>
          <w:color w:val="231F20"/>
          <w:spacing w:val="-1"/>
        </w:rPr>
        <w:t xml:space="preserve"> </w:t>
      </w:r>
      <w:r>
        <w:rPr>
          <w:color w:val="231F20"/>
        </w:rPr>
        <w:t>Thus,</w:t>
      </w:r>
      <w:r>
        <w:rPr>
          <w:color w:val="231F20"/>
          <w:spacing w:val="-1"/>
        </w:rPr>
        <w:t xml:space="preserve"> </w:t>
      </w:r>
      <w:r>
        <w:rPr>
          <w:color w:val="231F20"/>
        </w:rPr>
        <w:t>the optimum</w:t>
      </w:r>
      <w:r>
        <w:rPr>
          <w:color w:val="231F20"/>
          <w:spacing w:val="-6"/>
        </w:rPr>
        <w:t xml:space="preserve"> </w:t>
      </w:r>
      <w:r>
        <w:rPr>
          <w:color w:val="231F20"/>
        </w:rPr>
        <w:t>experience</w:t>
      </w:r>
      <w:r>
        <w:rPr>
          <w:color w:val="231F20"/>
          <w:spacing w:val="-6"/>
        </w:rPr>
        <w:t xml:space="preserve"> </w:t>
      </w:r>
      <w:r>
        <w:rPr>
          <w:color w:val="231F20"/>
        </w:rPr>
        <w:t>for</w:t>
      </w:r>
      <w:r>
        <w:rPr>
          <w:color w:val="231F20"/>
          <w:spacing w:val="-6"/>
        </w:rPr>
        <w:t xml:space="preserve"> </w:t>
      </w:r>
      <w:r>
        <w:rPr>
          <w:color w:val="231F20"/>
        </w:rPr>
        <w:t>elite</w:t>
      </w:r>
      <w:r>
        <w:rPr>
          <w:color w:val="231F20"/>
          <w:spacing w:val="-6"/>
        </w:rPr>
        <w:t xml:space="preserve"> </w:t>
      </w:r>
      <w:r>
        <w:rPr>
          <w:color w:val="231F20"/>
        </w:rPr>
        <w:t>athletes</w:t>
      </w:r>
      <w:r>
        <w:rPr>
          <w:color w:val="231F20"/>
          <w:spacing w:val="-6"/>
        </w:rPr>
        <w:t xml:space="preserve"> </w:t>
      </w:r>
      <w:r>
        <w:rPr>
          <w:color w:val="231F20"/>
        </w:rPr>
        <w:t>at</w:t>
      </w:r>
      <w:r>
        <w:rPr>
          <w:color w:val="231F20"/>
          <w:spacing w:val="-6"/>
        </w:rPr>
        <w:t xml:space="preserve"> </w:t>
      </w:r>
      <w:r>
        <w:rPr>
          <w:color w:val="231F20"/>
        </w:rPr>
        <w:t>destinations</w:t>
      </w:r>
      <w:r>
        <w:rPr>
          <w:color w:val="231F20"/>
          <w:spacing w:val="-6"/>
        </w:rPr>
        <w:t xml:space="preserve"> </w:t>
      </w:r>
      <w:r>
        <w:rPr>
          <w:color w:val="231F20"/>
        </w:rPr>
        <w:t>where</w:t>
      </w:r>
      <w:r>
        <w:rPr>
          <w:color w:val="231F20"/>
          <w:spacing w:val="-6"/>
        </w:rPr>
        <w:t xml:space="preserve"> </w:t>
      </w:r>
      <w:r>
        <w:rPr>
          <w:color w:val="231F20"/>
        </w:rPr>
        <w:t>competition takes</w:t>
      </w:r>
      <w:r>
        <w:rPr>
          <w:color w:val="231F20"/>
          <w:spacing w:val="-9"/>
        </w:rPr>
        <w:t xml:space="preserve"> </w:t>
      </w:r>
      <w:r>
        <w:rPr>
          <w:color w:val="231F20"/>
        </w:rPr>
        <w:t>place</w:t>
      </w:r>
      <w:r>
        <w:rPr>
          <w:color w:val="231F20"/>
          <w:spacing w:val="-9"/>
        </w:rPr>
        <w:t xml:space="preserve"> </w:t>
      </w:r>
      <w:r>
        <w:rPr>
          <w:color w:val="231F20"/>
        </w:rPr>
        <w:t>involves</w:t>
      </w:r>
      <w:r>
        <w:rPr>
          <w:color w:val="231F20"/>
          <w:spacing w:val="-9"/>
        </w:rPr>
        <w:t xml:space="preserve"> </w:t>
      </w:r>
      <w:r>
        <w:rPr>
          <w:color w:val="231F20"/>
        </w:rPr>
        <w:t>‘tour</w:t>
      </w:r>
      <w:r>
        <w:rPr>
          <w:color w:val="231F20"/>
          <w:spacing w:val="-9"/>
        </w:rPr>
        <w:t xml:space="preserve"> </w:t>
      </w:r>
      <w:r>
        <w:rPr>
          <w:color w:val="231F20"/>
        </w:rPr>
        <w:t>balance’:</w:t>
      </w:r>
      <w:r>
        <w:rPr>
          <w:color w:val="231F20"/>
          <w:spacing w:val="-9"/>
        </w:rPr>
        <w:t xml:space="preserve"> </w:t>
      </w:r>
      <w:r>
        <w:rPr>
          <w:color w:val="231F20"/>
        </w:rPr>
        <w:t>the</w:t>
      </w:r>
      <w:r>
        <w:rPr>
          <w:color w:val="231F20"/>
          <w:spacing w:val="-9"/>
        </w:rPr>
        <w:t xml:space="preserve"> </w:t>
      </w:r>
      <w:r>
        <w:rPr>
          <w:color w:val="231F20"/>
        </w:rPr>
        <w:t>striking</w:t>
      </w:r>
      <w:r>
        <w:rPr>
          <w:color w:val="231F20"/>
          <w:spacing w:val="-9"/>
        </w:rPr>
        <w:t xml:space="preserve"> </w:t>
      </w:r>
      <w:r>
        <w:rPr>
          <w:color w:val="231F20"/>
        </w:rPr>
        <w:t>of</w:t>
      </w:r>
      <w:r>
        <w:rPr>
          <w:color w:val="231F20"/>
          <w:spacing w:val="-9"/>
        </w:rPr>
        <w:t xml:space="preserve"> </w:t>
      </w:r>
      <w:r>
        <w:rPr>
          <w:color w:val="231F20"/>
        </w:rPr>
        <w:t>an</w:t>
      </w:r>
      <w:r>
        <w:rPr>
          <w:color w:val="231F20"/>
          <w:spacing w:val="-9"/>
        </w:rPr>
        <w:t xml:space="preserve"> </w:t>
      </w:r>
      <w:r>
        <w:rPr>
          <w:color w:val="231F20"/>
        </w:rPr>
        <w:t>appropriate</w:t>
      </w:r>
      <w:r>
        <w:rPr>
          <w:color w:val="231F20"/>
          <w:spacing w:val="-9"/>
        </w:rPr>
        <w:t xml:space="preserve"> </w:t>
      </w:r>
      <w:r>
        <w:rPr>
          <w:color w:val="231F20"/>
        </w:rPr>
        <w:t xml:space="preserve">balance </w:t>
      </w:r>
      <w:r>
        <w:rPr>
          <w:color w:val="231F20"/>
          <w:w w:val="95"/>
        </w:rPr>
        <w:t>between</w:t>
      </w:r>
      <w:r>
        <w:rPr>
          <w:color w:val="231F20"/>
          <w:spacing w:val="-3"/>
          <w:w w:val="95"/>
        </w:rPr>
        <w:t xml:space="preserve"> </w:t>
      </w:r>
      <w:r>
        <w:rPr>
          <w:color w:val="231F20"/>
          <w:w w:val="95"/>
        </w:rPr>
        <w:t>athletic</w:t>
      </w:r>
      <w:r>
        <w:rPr>
          <w:color w:val="231F20"/>
          <w:spacing w:val="-3"/>
          <w:w w:val="95"/>
        </w:rPr>
        <w:t xml:space="preserve"> </w:t>
      </w:r>
      <w:r>
        <w:rPr>
          <w:color w:val="231F20"/>
          <w:w w:val="95"/>
        </w:rPr>
        <w:t>preparation</w:t>
      </w:r>
      <w:r>
        <w:rPr>
          <w:color w:val="231F20"/>
          <w:spacing w:val="-3"/>
          <w:w w:val="95"/>
        </w:rPr>
        <w:t xml:space="preserve"> </w:t>
      </w:r>
      <w:r>
        <w:rPr>
          <w:color w:val="231F20"/>
          <w:w w:val="95"/>
        </w:rPr>
        <w:t>and</w:t>
      </w:r>
      <w:r>
        <w:rPr>
          <w:color w:val="231F20"/>
          <w:spacing w:val="-3"/>
          <w:w w:val="95"/>
        </w:rPr>
        <w:t xml:space="preserve"> </w:t>
      </w:r>
      <w:r>
        <w:rPr>
          <w:color w:val="231F20"/>
          <w:w w:val="95"/>
        </w:rPr>
        <w:t>engagement</w:t>
      </w:r>
      <w:r>
        <w:rPr>
          <w:color w:val="231F20"/>
          <w:spacing w:val="-3"/>
          <w:w w:val="95"/>
        </w:rPr>
        <w:t xml:space="preserve"> </w:t>
      </w:r>
      <w:r>
        <w:rPr>
          <w:color w:val="231F20"/>
          <w:w w:val="95"/>
        </w:rPr>
        <w:t>with</w:t>
      </w:r>
      <w:r>
        <w:rPr>
          <w:color w:val="231F20"/>
          <w:spacing w:val="-3"/>
          <w:w w:val="95"/>
        </w:rPr>
        <w:t xml:space="preserve"> </w:t>
      </w:r>
      <w:r>
        <w:rPr>
          <w:color w:val="231F20"/>
          <w:w w:val="95"/>
        </w:rPr>
        <w:t>the</w:t>
      </w:r>
      <w:r>
        <w:rPr>
          <w:color w:val="231F20"/>
          <w:spacing w:val="-3"/>
          <w:w w:val="95"/>
        </w:rPr>
        <w:t xml:space="preserve"> </w:t>
      </w:r>
      <w:r>
        <w:rPr>
          <w:color w:val="231F20"/>
          <w:w w:val="95"/>
        </w:rPr>
        <w:t>place</w:t>
      </w:r>
      <w:r>
        <w:rPr>
          <w:color w:val="231F20"/>
          <w:spacing w:val="-3"/>
          <w:w w:val="95"/>
        </w:rPr>
        <w:t xml:space="preserve"> </w:t>
      </w:r>
      <w:r>
        <w:rPr>
          <w:color w:val="231F20"/>
          <w:w w:val="95"/>
        </w:rPr>
        <w:t>of</w:t>
      </w:r>
      <w:r>
        <w:rPr>
          <w:color w:val="231F20"/>
          <w:spacing w:val="-3"/>
          <w:w w:val="95"/>
        </w:rPr>
        <w:t xml:space="preserve"> </w:t>
      </w:r>
      <w:r>
        <w:rPr>
          <w:color w:val="231F20"/>
          <w:w w:val="95"/>
        </w:rPr>
        <w:t xml:space="preserve">competition </w:t>
      </w:r>
      <w:r>
        <w:rPr>
          <w:color w:val="231F20"/>
        </w:rPr>
        <w:t xml:space="preserve">(Hodge </w:t>
      </w:r>
      <w:r>
        <w:rPr>
          <w:i/>
          <w:color w:val="231F20"/>
        </w:rPr>
        <w:t>et al</w:t>
      </w:r>
      <w:r>
        <w:rPr>
          <w:color w:val="231F20"/>
        </w:rPr>
        <w:t>., 2008).</w:t>
      </w:r>
    </w:p>
    <w:p w14:paraId="12C650EE" w14:textId="77777777" w:rsidR="00AE0598" w:rsidRDefault="0069255A">
      <w:pPr>
        <w:pStyle w:val="Corpodetexto"/>
        <w:spacing w:before="21" w:line="232" w:lineRule="auto"/>
        <w:ind w:left="110" w:right="127" w:firstLine="320"/>
        <w:jc w:val="both"/>
      </w:pPr>
      <w:r>
        <w:rPr>
          <w:color w:val="231F20"/>
        </w:rPr>
        <w:t xml:space="preserve">Distinct from elite athletes are those who engage in sport tourism as </w:t>
      </w:r>
      <w:r>
        <w:rPr>
          <w:color w:val="231F20"/>
          <w:w w:val="95"/>
        </w:rPr>
        <w:t>active participants, at va</w:t>
      </w:r>
      <w:r>
        <w:rPr>
          <w:color w:val="231F20"/>
          <w:w w:val="95"/>
        </w:rPr>
        <w:t xml:space="preserve">rious levels of competiveness. The Masters’ Games </w:t>
      </w:r>
      <w:r>
        <w:rPr>
          <w:color w:val="231F20"/>
        </w:rPr>
        <w:t xml:space="preserve">phenomenon embodies much of this diversity in one single event (Ryan &amp; Lockyer, 2002). Ryan and Trauer (2005: 183) identify four types of </w:t>
      </w:r>
      <w:r>
        <w:rPr>
          <w:color w:val="231F20"/>
          <w:w w:val="95"/>
        </w:rPr>
        <w:t>competitors</w:t>
      </w:r>
      <w:r>
        <w:rPr>
          <w:color w:val="231F20"/>
          <w:spacing w:val="4"/>
        </w:rPr>
        <w:t xml:space="preserve"> </w:t>
      </w:r>
      <w:r>
        <w:rPr>
          <w:color w:val="231F20"/>
          <w:w w:val="95"/>
        </w:rPr>
        <w:t>who</w:t>
      </w:r>
      <w:r>
        <w:rPr>
          <w:color w:val="231F20"/>
          <w:spacing w:val="4"/>
        </w:rPr>
        <w:t xml:space="preserve"> </w:t>
      </w:r>
      <w:r>
        <w:rPr>
          <w:color w:val="231F20"/>
          <w:w w:val="95"/>
        </w:rPr>
        <w:t>may</w:t>
      </w:r>
      <w:r>
        <w:rPr>
          <w:color w:val="231F20"/>
          <w:spacing w:val="5"/>
        </w:rPr>
        <w:t xml:space="preserve"> </w:t>
      </w:r>
      <w:r>
        <w:rPr>
          <w:color w:val="231F20"/>
          <w:w w:val="95"/>
        </w:rPr>
        <w:t>engage</w:t>
      </w:r>
      <w:r>
        <w:rPr>
          <w:color w:val="231F20"/>
          <w:spacing w:val="4"/>
        </w:rPr>
        <w:t xml:space="preserve"> </w:t>
      </w:r>
      <w:r>
        <w:rPr>
          <w:color w:val="231F20"/>
          <w:w w:val="95"/>
        </w:rPr>
        <w:t>in</w:t>
      </w:r>
      <w:r>
        <w:rPr>
          <w:color w:val="231F20"/>
          <w:spacing w:val="5"/>
        </w:rPr>
        <w:t xml:space="preserve"> </w:t>
      </w:r>
      <w:r>
        <w:rPr>
          <w:color w:val="231F20"/>
          <w:w w:val="95"/>
        </w:rPr>
        <w:t>Masters</w:t>
      </w:r>
      <w:r>
        <w:rPr>
          <w:color w:val="231F20"/>
          <w:spacing w:val="4"/>
        </w:rPr>
        <w:t xml:space="preserve"> </w:t>
      </w:r>
      <w:r>
        <w:rPr>
          <w:color w:val="231F20"/>
          <w:w w:val="95"/>
        </w:rPr>
        <w:t>Games</w:t>
      </w:r>
      <w:r>
        <w:rPr>
          <w:color w:val="231F20"/>
          <w:spacing w:val="5"/>
        </w:rPr>
        <w:t xml:space="preserve"> </w:t>
      </w:r>
      <w:r>
        <w:rPr>
          <w:color w:val="231F20"/>
          <w:w w:val="95"/>
        </w:rPr>
        <w:t>competition.</w:t>
      </w:r>
      <w:r>
        <w:rPr>
          <w:color w:val="231F20"/>
          <w:spacing w:val="4"/>
        </w:rPr>
        <w:t xml:space="preserve"> </w:t>
      </w:r>
      <w:r>
        <w:rPr>
          <w:color w:val="231F20"/>
          <w:w w:val="95"/>
        </w:rPr>
        <w:t>They</w:t>
      </w:r>
      <w:r>
        <w:rPr>
          <w:color w:val="231F20"/>
          <w:spacing w:val="5"/>
        </w:rPr>
        <w:t xml:space="preserve"> </w:t>
      </w:r>
      <w:r>
        <w:rPr>
          <w:color w:val="231F20"/>
          <w:spacing w:val="-2"/>
          <w:w w:val="95"/>
        </w:rPr>
        <w:t>include:</w:t>
      </w:r>
    </w:p>
    <w:p w14:paraId="5D1B8876" w14:textId="77777777" w:rsidR="00AE0598" w:rsidRDefault="00AE0598">
      <w:pPr>
        <w:pStyle w:val="Corpodetexto"/>
        <w:spacing w:before="11"/>
        <w:rPr>
          <w:sz w:val="20"/>
        </w:rPr>
      </w:pPr>
    </w:p>
    <w:p w14:paraId="044EF415" w14:textId="77777777" w:rsidR="00AE0598" w:rsidRDefault="0069255A">
      <w:pPr>
        <w:pStyle w:val="PargrafodaLista"/>
        <w:numPr>
          <w:ilvl w:val="0"/>
          <w:numId w:val="5"/>
        </w:numPr>
        <w:tabs>
          <w:tab w:val="left" w:pos="491"/>
        </w:tabs>
        <w:spacing w:line="232" w:lineRule="auto"/>
        <w:ind w:right="127"/>
        <w:jc w:val="both"/>
        <w:rPr>
          <w:rFonts w:ascii="Cambria"/>
          <w:sz w:val="21"/>
        </w:rPr>
      </w:pPr>
      <w:r>
        <w:rPr>
          <w:rFonts w:ascii="Cambria"/>
          <w:i/>
          <w:color w:val="231F20"/>
          <w:sz w:val="21"/>
        </w:rPr>
        <w:t>The</w:t>
      </w:r>
      <w:r>
        <w:rPr>
          <w:rFonts w:ascii="Cambria"/>
          <w:i/>
          <w:color w:val="231F20"/>
          <w:spacing w:val="-4"/>
          <w:sz w:val="21"/>
        </w:rPr>
        <w:t xml:space="preserve"> </w:t>
      </w:r>
      <w:r>
        <w:rPr>
          <w:rFonts w:ascii="Cambria"/>
          <w:i/>
          <w:color w:val="231F20"/>
          <w:sz w:val="21"/>
        </w:rPr>
        <w:t>Games</w:t>
      </w:r>
      <w:r>
        <w:rPr>
          <w:rFonts w:ascii="Cambria"/>
          <w:i/>
          <w:color w:val="231F20"/>
          <w:spacing w:val="-4"/>
          <w:sz w:val="21"/>
        </w:rPr>
        <w:t xml:space="preserve"> </w:t>
      </w:r>
      <w:r>
        <w:rPr>
          <w:rFonts w:ascii="Cambria"/>
          <w:i/>
          <w:color w:val="231F20"/>
          <w:sz w:val="21"/>
        </w:rPr>
        <w:t>Enthusiast:</w:t>
      </w:r>
      <w:r>
        <w:rPr>
          <w:rFonts w:ascii="Cambria"/>
          <w:i/>
          <w:color w:val="231F20"/>
          <w:spacing w:val="-4"/>
          <w:sz w:val="21"/>
        </w:rPr>
        <w:t xml:space="preserve"> </w:t>
      </w:r>
      <w:r>
        <w:rPr>
          <w:rFonts w:ascii="Cambria"/>
          <w:color w:val="231F20"/>
          <w:sz w:val="21"/>
        </w:rPr>
        <w:t>High</w:t>
      </w:r>
      <w:r>
        <w:rPr>
          <w:rFonts w:ascii="Cambria"/>
          <w:color w:val="231F20"/>
          <w:spacing w:val="-4"/>
          <w:sz w:val="21"/>
        </w:rPr>
        <w:t xml:space="preserve"> </w:t>
      </w:r>
      <w:r>
        <w:rPr>
          <w:rFonts w:ascii="Cambria"/>
          <w:color w:val="231F20"/>
          <w:sz w:val="21"/>
        </w:rPr>
        <w:t>levels</w:t>
      </w:r>
      <w:r>
        <w:rPr>
          <w:rFonts w:ascii="Cambria"/>
          <w:color w:val="231F20"/>
          <w:spacing w:val="-4"/>
          <w:sz w:val="21"/>
        </w:rPr>
        <w:t xml:space="preserve"> </w:t>
      </w:r>
      <w:r>
        <w:rPr>
          <w:rFonts w:ascii="Cambria"/>
          <w:color w:val="231F20"/>
          <w:sz w:val="21"/>
        </w:rPr>
        <w:t>of</w:t>
      </w:r>
      <w:r>
        <w:rPr>
          <w:rFonts w:ascii="Cambria"/>
          <w:color w:val="231F20"/>
          <w:spacing w:val="-4"/>
          <w:sz w:val="21"/>
        </w:rPr>
        <w:t xml:space="preserve"> </w:t>
      </w:r>
      <w:r>
        <w:rPr>
          <w:rFonts w:ascii="Cambria"/>
          <w:color w:val="231F20"/>
          <w:sz w:val="21"/>
        </w:rPr>
        <w:t>involvement</w:t>
      </w:r>
      <w:r>
        <w:rPr>
          <w:rFonts w:ascii="Cambria"/>
          <w:color w:val="231F20"/>
          <w:spacing w:val="-4"/>
          <w:sz w:val="21"/>
        </w:rPr>
        <w:t xml:space="preserve"> </w:t>
      </w:r>
      <w:r>
        <w:rPr>
          <w:rFonts w:ascii="Cambria"/>
          <w:color w:val="231F20"/>
          <w:sz w:val="21"/>
        </w:rPr>
        <w:t>in</w:t>
      </w:r>
      <w:r>
        <w:rPr>
          <w:rFonts w:ascii="Cambria"/>
          <w:color w:val="231F20"/>
          <w:spacing w:val="-4"/>
          <w:sz w:val="21"/>
        </w:rPr>
        <w:t xml:space="preserve"> </w:t>
      </w:r>
      <w:r>
        <w:rPr>
          <w:rFonts w:ascii="Cambria"/>
          <w:color w:val="231F20"/>
          <w:sz w:val="21"/>
        </w:rPr>
        <w:t>his</w:t>
      </w:r>
      <w:r>
        <w:rPr>
          <w:rFonts w:ascii="Cambria"/>
          <w:color w:val="231F20"/>
          <w:spacing w:val="-4"/>
          <w:sz w:val="21"/>
        </w:rPr>
        <w:t xml:space="preserve"> </w:t>
      </w:r>
      <w:r>
        <w:rPr>
          <w:rFonts w:ascii="Cambria"/>
          <w:color w:val="231F20"/>
          <w:sz w:val="21"/>
        </w:rPr>
        <w:t>or</w:t>
      </w:r>
      <w:r>
        <w:rPr>
          <w:rFonts w:ascii="Cambria"/>
          <w:color w:val="231F20"/>
          <w:spacing w:val="-4"/>
          <w:sz w:val="21"/>
        </w:rPr>
        <w:t xml:space="preserve"> </w:t>
      </w:r>
      <w:r>
        <w:rPr>
          <w:rFonts w:ascii="Cambria"/>
          <w:color w:val="231F20"/>
          <w:sz w:val="21"/>
        </w:rPr>
        <w:t>her</w:t>
      </w:r>
      <w:r>
        <w:rPr>
          <w:rFonts w:ascii="Cambria"/>
          <w:color w:val="231F20"/>
          <w:spacing w:val="-4"/>
          <w:sz w:val="21"/>
        </w:rPr>
        <w:t xml:space="preserve"> </w:t>
      </w:r>
      <w:r>
        <w:rPr>
          <w:rFonts w:ascii="Cambria"/>
          <w:color w:val="231F20"/>
          <w:sz w:val="21"/>
        </w:rPr>
        <w:t xml:space="preserve">sport, </w:t>
      </w:r>
      <w:r>
        <w:rPr>
          <w:rFonts w:ascii="Cambria"/>
          <w:color w:val="231F20"/>
          <w:w w:val="95"/>
          <w:sz w:val="21"/>
        </w:rPr>
        <w:t xml:space="preserve">motivated both by the intrinsic awards of physical well-being and the </w:t>
      </w:r>
      <w:r>
        <w:rPr>
          <w:rFonts w:ascii="Cambria"/>
          <w:color w:val="231F20"/>
          <w:sz w:val="21"/>
        </w:rPr>
        <w:t>social interactions that come with participation.</w:t>
      </w:r>
    </w:p>
    <w:p w14:paraId="63F67B9B" w14:textId="77777777" w:rsidR="00AE0598" w:rsidRDefault="0069255A">
      <w:pPr>
        <w:pStyle w:val="PargrafodaLista"/>
        <w:numPr>
          <w:ilvl w:val="0"/>
          <w:numId w:val="5"/>
        </w:numPr>
        <w:tabs>
          <w:tab w:val="left" w:pos="491"/>
        </w:tabs>
        <w:spacing w:before="4" w:line="232" w:lineRule="auto"/>
        <w:ind w:right="128"/>
        <w:jc w:val="both"/>
        <w:rPr>
          <w:rFonts w:ascii="Cambria"/>
          <w:sz w:val="21"/>
        </w:rPr>
      </w:pPr>
      <w:r>
        <w:rPr>
          <w:rFonts w:ascii="Cambria"/>
          <w:i/>
          <w:color w:val="231F20"/>
          <w:sz w:val="21"/>
        </w:rPr>
        <w:t xml:space="preserve">The Serious Competitor: </w:t>
      </w:r>
      <w:r>
        <w:rPr>
          <w:rFonts w:ascii="Cambria"/>
          <w:color w:val="231F20"/>
          <w:sz w:val="21"/>
        </w:rPr>
        <w:t>Motivated by successful competit</w:t>
      </w:r>
      <w:r>
        <w:rPr>
          <w:rFonts w:ascii="Cambria"/>
          <w:color w:val="231F20"/>
          <w:sz w:val="21"/>
        </w:rPr>
        <w:t>ion and high involvement.</w:t>
      </w:r>
    </w:p>
    <w:p w14:paraId="01F0C912" w14:textId="77777777" w:rsidR="00AE0598" w:rsidRDefault="0069255A">
      <w:pPr>
        <w:pStyle w:val="PargrafodaLista"/>
        <w:numPr>
          <w:ilvl w:val="0"/>
          <w:numId w:val="5"/>
        </w:numPr>
        <w:tabs>
          <w:tab w:val="left" w:pos="491"/>
        </w:tabs>
        <w:spacing w:before="2" w:line="232" w:lineRule="auto"/>
        <w:ind w:right="124"/>
        <w:jc w:val="both"/>
        <w:rPr>
          <w:rFonts w:ascii="Cambria"/>
          <w:sz w:val="21"/>
        </w:rPr>
      </w:pPr>
      <w:r>
        <w:rPr>
          <w:rFonts w:ascii="Cambria"/>
          <w:i/>
          <w:color w:val="231F20"/>
          <w:sz w:val="21"/>
        </w:rPr>
        <w:t>The</w:t>
      </w:r>
      <w:r>
        <w:rPr>
          <w:rFonts w:ascii="Cambria"/>
          <w:i/>
          <w:color w:val="231F20"/>
          <w:spacing w:val="-5"/>
          <w:sz w:val="21"/>
        </w:rPr>
        <w:t xml:space="preserve"> </w:t>
      </w:r>
      <w:r>
        <w:rPr>
          <w:rFonts w:ascii="Cambria"/>
          <w:i/>
          <w:color w:val="231F20"/>
          <w:sz w:val="21"/>
        </w:rPr>
        <w:t>Novice/Dabbler:</w:t>
      </w:r>
      <w:r>
        <w:rPr>
          <w:rFonts w:ascii="Cambria"/>
          <w:i/>
          <w:color w:val="231F20"/>
          <w:spacing w:val="-5"/>
          <w:sz w:val="21"/>
        </w:rPr>
        <w:t xml:space="preserve"> </w:t>
      </w:r>
      <w:r>
        <w:rPr>
          <w:rFonts w:ascii="Cambria"/>
          <w:color w:val="231F20"/>
          <w:sz w:val="21"/>
        </w:rPr>
        <w:t>Engages</w:t>
      </w:r>
      <w:r>
        <w:rPr>
          <w:rFonts w:ascii="Cambria"/>
          <w:color w:val="231F20"/>
          <w:spacing w:val="-5"/>
          <w:sz w:val="21"/>
        </w:rPr>
        <w:t xml:space="preserve"> </w:t>
      </w:r>
      <w:r>
        <w:rPr>
          <w:rFonts w:ascii="Cambria"/>
          <w:color w:val="231F20"/>
          <w:sz w:val="21"/>
        </w:rPr>
        <w:t>in</w:t>
      </w:r>
      <w:r>
        <w:rPr>
          <w:rFonts w:ascii="Cambria"/>
          <w:color w:val="231F20"/>
          <w:spacing w:val="-5"/>
          <w:sz w:val="21"/>
        </w:rPr>
        <w:t xml:space="preserve"> </w:t>
      </w:r>
      <w:r>
        <w:rPr>
          <w:rFonts w:ascii="Cambria"/>
          <w:color w:val="231F20"/>
          <w:sz w:val="21"/>
        </w:rPr>
        <w:t>sport</w:t>
      </w:r>
      <w:r>
        <w:rPr>
          <w:rFonts w:ascii="Cambria"/>
          <w:color w:val="231F20"/>
          <w:spacing w:val="-5"/>
          <w:sz w:val="21"/>
        </w:rPr>
        <w:t xml:space="preserve"> </w:t>
      </w:r>
      <w:r>
        <w:rPr>
          <w:rFonts w:ascii="Cambria"/>
          <w:color w:val="231F20"/>
          <w:sz w:val="21"/>
        </w:rPr>
        <w:t>for</w:t>
      </w:r>
      <w:r>
        <w:rPr>
          <w:rFonts w:ascii="Cambria"/>
          <w:color w:val="231F20"/>
          <w:spacing w:val="-5"/>
          <w:sz w:val="21"/>
        </w:rPr>
        <w:t xml:space="preserve"> </w:t>
      </w:r>
      <w:r>
        <w:rPr>
          <w:rFonts w:ascii="Cambria"/>
          <w:color w:val="231F20"/>
          <w:sz w:val="21"/>
        </w:rPr>
        <w:t>reasons</w:t>
      </w:r>
      <w:r>
        <w:rPr>
          <w:rFonts w:ascii="Cambria"/>
          <w:color w:val="231F20"/>
          <w:spacing w:val="-5"/>
          <w:sz w:val="21"/>
        </w:rPr>
        <w:t xml:space="preserve"> </w:t>
      </w:r>
      <w:r>
        <w:rPr>
          <w:rFonts w:ascii="Cambria"/>
          <w:color w:val="231F20"/>
          <w:sz w:val="21"/>
        </w:rPr>
        <w:t>of</w:t>
      </w:r>
      <w:r>
        <w:rPr>
          <w:rFonts w:ascii="Cambria"/>
          <w:color w:val="231F20"/>
          <w:spacing w:val="-5"/>
          <w:sz w:val="21"/>
        </w:rPr>
        <w:t xml:space="preserve"> </w:t>
      </w:r>
      <w:r>
        <w:rPr>
          <w:rFonts w:ascii="Cambria"/>
          <w:color w:val="231F20"/>
          <w:sz w:val="21"/>
        </w:rPr>
        <w:t>physical</w:t>
      </w:r>
      <w:r>
        <w:rPr>
          <w:rFonts w:ascii="Cambria"/>
          <w:color w:val="231F20"/>
          <w:spacing w:val="-5"/>
          <w:sz w:val="21"/>
        </w:rPr>
        <w:t xml:space="preserve"> </w:t>
      </w:r>
      <w:r>
        <w:rPr>
          <w:rFonts w:ascii="Cambria"/>
          <w:color w:val="231F20"/>
          <w:sz w:val="21"/>
        </w:rPr>
        <w:t>fitness, and for reasons of participation rather than competition.</w:t>
      </w:r>
    </w:p>
    <w:p w14:paraId="0D5E7043" w14:textId="77777777" w:rsidR="00AE0598" w:rsidRDefault="0069255A">
      <w:pPr>
        <w:pStyle w:val="PargrafodaLista"/>
        <w:numPr>
          <w:ilvl w:val="0"/>
          <w:numId w:val="5"/>
        </w:numPr>
        <w:tabs>
          <w:tab w:val="left" w:pos="491"/>
        </w:tabs>
        <w:spacing w:before="3" w:line="232" w:lineRule="auto"/>
        <w:ind w:right="128"/>
        <w:jc w:val="both"/>
        <w:rPr>
          <w:rFonts w:ascii="Cambria"/>
          <w:sz w:val="21"/>
        </w:rPr>
      </w:pPr>
      <w:r>
        <w:rPr>
          <w:rFonts w:ascii="Cambria"/>
          <w:i/>
          <w:color w:val="231F20"/>
          <w:sz w:val="21"/>
        </w:rPr>
        <w:t xml:space="preserve">The Spectator: </w:t>
      </w:r>
      <w:r>
        <w:rPr>
          <w:rFonts w:ascii="Cambria"/>
          <w:color w:val="231F20"/>
          <w:sz w:val="21"/>
        </w:rPr>
        <w:t>Knowledgeable and interested in sport but exhibits minimal direct engagement.</w:t>
      </w:r>
    </w:p>
    <w:p w14:paraId="7B058112" w14:textId="77777777" w:rsidR="00AE0598" w:rsidRDefault="00AE0598">
      <w:pPr>
        <w:pStyle w:val="Corpodetexto"/>
        <w:spacing w:before="7"/>
        <w:rPr>
          <w:sz w:val="20"/>
        </w:rPr>
      </w:pPr>
    </w:p>
    <w:p w14:paraId="1D35925E" w14:textId="77777777" w:rsidR="00AE0598" w:rsidRDefault="0069255A">
      <w:pPr>
        <w:pStyle w:val="Corpodetexto"/>
        <w:spacing w:before="1" w:line="232" w:lineRule="auto"/>
        <w:ind w:left="110" w:right="127"/>
        <w:jc w:val="both"/>
      </w:pPr>
      <w:r>
        <w:rPr>
          <w:color w:val="231F20"/>
        </w:rPr>
        <w:t>The</w:t>
      </w:r>
      <w:r>
        <w:rPr>
          <w:color w:val="231F20"/>
          <w:spacing w:val="-3"/>
        </w:rPr>
        <w:t xml:space="preserve"> </w:t>
      </w:r>
      <w:r>
        <w:rPr>
          <w:color w:val="231F20"/>
        </w:rPr>
        <w:t>diverse</w:t>
      </w:r>
      <w:r>
        <w:rPr>
          <w:color w:val="231F20"/>
          <w:spacing w:val="-3"/>
        </w:rPr>
        <w:t xml:space="preserve"> </w:t>
      </w:r>
      <w:r>
        <w:rPr>
          <w:color w:val="231F20"/>
        </w:rPr>
        <w:t>motivations</w:t>
      </w:r>
      <w:r>
        <w:rPr>
          <w:color w:val="231F20"/>
          <w:spacing w:val="-3"/>
        </w:rPr>
        <w:t xml:space="preserve"> </w:t>
      </w:r>
      <w:r>
        <w:rPr>
          <w:color w:val="231F20"/>
        </w:rPr>
        <w:t>and</w:t>
      </w:r>
      <w:r>
        <w:rPr>
          <w:color w:val="231F20"/>
          <w:spacing w:val="-3"/>
        </w:rPr>
        <w:t xml:space="preserve"> </w:t>
      </w:r>
      <w:r>
        <w:rPr>
          <w:color w:val="231F20"/>
        </w:rPr>
        <w:t>broad</w:t>
      </w:r>
      <w:r>
        <w:rPr>
          <w:color w:val="231F20"/>
          <w:spacing w:val="-3"/>
        </w:rPr>
        <w:t xml:space="preserve"> </w:t>
      </w:r>
      <w:r>
        <w:rPr>
          <w:color w:val="231F20"/>
        </w:rPr>
        <w:t>catchment</w:t>
      </w:r>
      <w:r>
        <w:rPr>
          <w:color w:val="231F20"/>
          <w:spacing w:val="-3"/>
        </w:rPr>
        <w:t xml:space="preserve"> </w:t>
      </w:r>
      <w:r>
        <w:rPr>
          <w:color w:val="231F20"/>
        </w:rPr>
        <w:t>of</w:t>
      </w:r>
      <w:r>
        <w:rPr>
          <w:color w:val="231F20"/>
          <w:spacing w:val="-3"/>
        </w:rPr>
        <w:t xml:space="preserve"> </w:t>
      </w:r>
      <w:r>
        <w:rPr>
          <w:color w:val="231F20"/>
        </w:rPr>
        <w:t>participants</w:t>
      </w:r>
      <w:r>
        <w:rPr>
          <w:color w:val="231F20"/>
          <w:spacing w:val="-3"/>
        </w:rPr>
        <w:t xml:space="preserve"> </w:t>
      </w:r>
      <w:r>
        <w:rPr>
          <w:color w:val="231F20"/>
        </w:rPr>
        <w:t>in</w:t>
      </w:r>
      <w:r>
        <w:rPr>
          <w:color w:val="231F20"/>
          <w:spacing w:val="-3"/>
        </w:rPr>
        <w:t xml:space="preserve"> </w:t>
      </w:r>
      <w:r>
        <w:rPr>
          <w:color w:val="231F20"/>
        </w:rPr>
        <w:t>Masters sport events explain the rapid growth in Masters competitions, from regional</w:t>
      </w:r>
      <w:r>
        <w:rPr>
          <w:color w:val="231F20"/>
          <w:spacing w:val="74"/>
        </w:rPr>
        <w:t xml:space="preserve"> </w:t>
      </w:r>
      <w:r>
        <w:rPr>
          <w:color w:val="231F20"/>
        </w:rPr>
        <w:t>and</w:t>
      </w:r>
      <w:r>
        <w:rPr>
          <w:color w:val="231F20"/>
          <w:spacing w:val="74"/>
        </w:rPr>
        <w:t xml:space="preserve"> </w:t>
      </w:r>
      <w:r>
        <w:rPr>
          <w:color w:val="231F20"/>
        </w:rPr>
        <w:t>national</w:t>
      </w:r>
      <w:r>
        <w:rPr>
          <w:color w:val="231F20"/>
          <w:spacing w:val="74"/>
        </w:rPr>
        <w:t xml:space="preserve"> </w:t>
      </w:r>
      <w:r>
        <w:rPr>
          <w:color w:val="231F20"/>
        </w:rPr>
        <w:t>to</w:t>
      </w:r>
      <w:r>
        <w:rPr>
          <w:color w:val="231F20"/>
          <w:spacing w:val="74"/>
        </w:rPr>
        <w:t xml:space="preserve"> </w:t>
      </w:r>
      <w:r>
        <w:rPr>
          <w:color w:val="231F20"/>
        </w:rPr>
        <w:t>world</w:t>
      </w:r>
      <w:r>
        <w:rPr>
          <w:color w:val="231F20"/>
          <w:spacing w:val="74"/>
        </w:rPr>
        <w:t xml:space="preserve"> </w:t>
      </w:r>
      <w:r>
        <w:rPr>
          <w:color w:val="231F20"/>
        </w:rPr>
        <w:t>championships,</w:t>
      </w:r>
      <w:r>
        <w:rPr>
          <w:color w:val="231F20"/>
          <w:spacing w:val="74"/>
        </w:rPr>
        <w:t xml:space="preserve"> </w:t>
      </w:r>
      <w:r>
        <w:rPr>
          <w:color w:val="231F20"/>
        </w:rPr>
        <w:t>which</w:t>
      </w:r>
      <w:r>
        <w:rPr>
          <w:color w:val="231F20"/>
          <w:spacing w:val="74"/>
        </w:rPr>
        <w:t xml:space="preserve"> </w:t>
      </w:r>
      <w:r>
        <w:rPr>
          <w:color w:val="231F20"/>
        </w:rPr>
        <w:t>now</w:t>
      </w:r>
      <w:r>
        <w:rPr>
          <w:color w:val="231F20"/>
          <w:spacing w:val="74"/>
        </w:rPr>
        <w:t xml:space="preserve"> </w:t>
      </w:r>
      <w:r>
        <w:rPr>
          <w:color w:val="231F20"/>
        </w:rPr>
        <w:t>attract</w:t>
      </w:r>
    </w:p>
    <w:p w14:paraId="2B3CD952" w14:textId="77777777" w:rsidR="00AE0598" w:rsidRDefault="00AE0598">
      <w:pPr>
        <w:spacing w:line="232" w:lineRule="auto"/>
        <w:jc w:val="both"/>
        <w:sectPr w:rsidR="00AE0598">
          <w:pgSz w:w="8850" w:h="13270"/>
          <w:pgMar w:top="720" w:right="1060" w:bottom="280" w:left="1080" w:header="720" w:footer="720" w:gutter="0"/>
          <w:cols w:space="720"/>
        </w:sectPr>
      </w:pPr>
    </w:p>
    <w:p w14:paraId="5869E8F8" w14:textId="77777777" w:rsidR="00AE0598" w:rsidRDefault="0069255A">
      <w:pPr>
        <w:spacing w:before="87"/>
        <w:ind w:left="108"/>
        <w:rPr>
          <w:rFonts w:ascii="Trebuchet MS"/>
          <w:sz w:val="14"/>
        </w:rPr>
      </w:pPr>
      <w:r>
        <w:rPr>
          <w:rFonts w:ascii="Trebuchet MS"/>
          <w:color w:val="231F20"/>
          <w:w w:val="105"/>
          <w:sz w:val="14"/>
        </w:rPr>
        <w:lastRenderedPageBreak/>
        <w:t>168</w:t>
      </w:r>
      <w:r>
        <w:rPr>
          <w:rFonts w:ascii="Trebuchet MS"/>
          <w:color w:val="231F20"/>
          <w:spacing w:val="66"/>
          <w:w w:val="150"/>
          <w:sz w:val="14"/>
        </w:rPr>
        <w:t xml:space="preserve"> </w:t>
      </w:r>
      <w:r>
        <w:rPr>
          <w:rFonts w:ascii="Trebuchet MS"/>
          <w:color w:val="231F20"/>
          <w:w w:val="105"/>
          <w:sz w:val="14"/>
        </w:rPr>
        <w:t>Part</w:t>
      </w:r>
      <w:r>
        <w:rPr>
          <w:rFonts w:ascii="Trebuchet MS"/>
          <w:color w:val="231F20"/>
          <w:spacing w:val="-9"/>
          <w:w w:val="105"/>
          <w:sz w:val="14"/>
        </w:rPr>
        <w:t xml:space="preserve"> </w:t>
      </w:r>
      <w:r>
        <w:rPr>
          <w:rFonts w:ascii="Trebuchet MS"/>
          <w:color w:val="231F20"/>
          <w:w w:val="105"/>
          <w:sz w:val="14"/>
        </w:rPr>
        <w:t>4:</w:t>
      </w:r>
      <w:r>
        <w:rPr>
          <w:rFonts w:ascii="Trebuchet MS"/>
          <w:color w:val="231F20"/>
          <w:spacing w:val="-8"/>
          <w:w w:val="105"/>
          <w:sz w:val="14"/>
        </w:rPr>
        <w:t xml:space="preserve"> </w:t>
      </w:r>
      <w:r>
        <w:rPr>
          <w:rFonts w:ascii="Trebuchet MS"/>
          <w:color w:val="231F20"/>
          <w:w w:val="105"/>
          <w:sz w:val="14"/>
        </w:rPr>
        <w:t>Sport</w:t>
      </w:r>
      <w:r>
        <w:rPr>
          <w:rFonts w:ascii="Trebuchet MS"/>
          <w:color w:val="231F20"/>
          <w:spacing w:val="-9"/>
          <w:w w:val="105"/>
          <w:sz w:val="14"/>
        </w:rPr>
        <w:t xml:space="preserve"> </w:t>
      </w:r>
      <w:r>
        <w:rPr>
          <w:rFonts w:ascii="Trebuchet MS"/>
          <w:color w:val="231F20"/>
          <w:w w:val="105"/>
          <w:sz w:val="14"/>
        </w:rPr>
        <w:t>Tourism</w:t>
      </w:r>
      <w:r>
        <w:rPr>
          <w:rFonts w:ascii="Trebuchet MS"/>
          <w:color w:val="231F20"/>
          <w:spacing w:val="-9"/>
          <w:w w:val="105"/>
          <w:sz w:val="14"/>
        </w:rPr>
        <w:t xml:space="preserve"> </w:t>
      </w:r>
      <w:r>
        <w:rPr>
          <w:rFonts w:ascii="Trebuchet MS"/>
          <w:color w:val="231F20"/>
          <w:w w:val="105"/>
          <w:sz w:val="14"/>
        </w:rPr>
        <w:t>Development</w:t>
      </w:r>
      <w:r>
        <w:rPr>
          <w:rFonts w:ascii="Trebuchet MS"/>
          <w:color w:val="231F20"/>
          <w:spacing w:val="-9"/>
          <w:w w:val="105"/>
          <w:sz w:val="14"/>
        </w:rPr>
        <w:t xml:space="preserve"> </w:t>
      </w:r>
      <w:r>
        <w:rPr>
          <w:rFonts w:ascii="Trebuchet MS"/>
          <w:color w:val="231F20"/>
          <w:w w:val="105"/>
          <w:sz w:val="14"/>
        </w:rPr>
        <w:t>and</w:t>
      </w:r>
      <w:r>
        <w:rPr>
          <w:rFonts w:ascii="Trebuchet MS"/>
          <w:color w:val="231F20"/>
          <w:spacing w:val="-8"/>
          <w:w w:val="105"/>
          <w:sz w:val="14"/>
        </w:rPr>
        <w:t xml:space="preserve"> </w:t>
      </w:r>
      <w:r>
        <w:rPr>
          <w:rFonts w:ascii="Trebuchet MS"/>
          <w:color w:val="231F20"/>
          <w:spacing w:val="-4"/>
          <w:w w:val="105"/>
          <w:sz w:val="14"/>
        </w:rPr>
        <w:t>Time</w:t>
      </w:r>
    </w:p>
    <w:p w14:paraId="721B4530" w14:textId="77777777" w:rsidR="00AE0598" w:rsidRDefault="00AE0598">
      <w:pPr>
        <w:pStyle w:val="Corpodetexto"/>
        <w:rPr>
          <w:rFonts w:ascii="Trebuchet MS"/>
          <w:sz w:val="16"/>
        </w:rPr>
      </w:pPr>
    </w:p>
    <w:p w14:paraId="1B3A2D23" w14:textId="77777777" w:rsidR="00AE0598" w:rsidRDefault="0069255A">
      <w:pPr>
        <w:pStyle w:val="Corpodetexto"/>
        <w:spacing w:before="118" w:line="232" w:lineRule="auto"/>
        <w:ind w:left="110" w:right="128"/>
        <w:jc w:val="both"/>
      </w:pPr>
      <w:r>
        <w:rPr>
          <w:color w:val="231F20"/>
        </w:rPr>
        <w:t>recurrent</w:t>
      </w:r>
      <w:r>
        <w:rPr>
          <w:color w:val="231F20"/>
          <w:spacing w:val="-7"/>
        </w:rPr>
        <w:t xml:space="preserve"> </w:t>
      </w:r>
      <w:r>
        <w:rPr>
          <w:color w:val="231F20"/>
        </w:rPr>
        <w:t>flows</w:t>
      </w:r>
      <w:r>
        <w:rPr>
          <w:color w:val="231F20"/>
          <w:spacing w:val="-7"/>
        </w:rPr>
        <w:t xml:space="preserve"> </w:t>
      </w:r>
      <w:r>
        <w:rPr>
          <w:color w:val="231F20"/>
        </w:rPr>
        <w:t>of</w:t>
      </w:r>
      <w:r>
        <w:rPr>
          <w:color w:val="231F20"/>
          <w:spacing w:val="-7"/>
        </w:rPr>
        <w:t xml:space="preserve"> </w:t>
      </w:r>
      <w:r>
        <w:rPr>
          <w:color w:val="231F20"/>
        </w:rPr>
        <w:t>competitors</w:t>
      </w:r>
      <w:r>
        <w:rPr>
          <w:color w:val="231F20"/>
          <w:spacing w:val="-7"/>
        </w:rPr>
        <w:t xml:space="preserve"> </w:t>
      </w:r>
      <w:r>
        <w:rPr>
          <w:color w:val="231F20"/>
        </w:rPr>
        <w:t>in</w:t>
      </w:r>
      <w:r>
        <w:rPr>
          <w:color w:val="231F20"/>
          <w:spacing w:val="-7"/>
        </w:rPr>
        <w:t xml:space="preserve"> </w:t>
      </w:r>
      <w:r>
        <w:rPr>
          <w:color w:val="231F20"/>
        </w:rPr>
        <w:t>many</w:t>
      </w:r>
      <w:r>
        <w:rPr>
          <w:color w:val="231F20"/>
          <w:spacing w:val="-7"/>
        </w:rPr>
        <w:t xml:space="preserve"> </w:t>
      </w:r>
      <w:r>
        <w:rPr>
          <w:color w:val="231F20"/>
        </w:rPr>
        <w:t>parts</w:t>
      </w:r>
      <w:r>
        <w:rPr>
          <w:color w:val="231F20"/>
          <w:spacing w:val="-7"/>
        </w:rPr>
        <w:t xml:space="preserve"> </w:t>
      </w:r>
      <w:r>
        <w:rPr>
          <w:color w:val="231F20"/>
        </w:rPr>
        <w:t>of</w:t>
      </w:r>
      <w:r>
        <w:rPr>
          <w:color w:val="231F20"/>
          <w:spacing w:val="-7"/>
        </w:rPr>
        <w:t xml:space="preserve"> </w:t>
      </w:r>
      <w:r>
        <w:rPr>
          <w:color w:val="231F20"/>
        </w:rPr>
        <w:t>the</w:t>
      </w:r>
      <w:r>
        <w:rPr>
          <w:color w:val="231F20"/>
          <w:spacing w:val="-7"/>
        </w:rPr>
        <w:t xml:space="preserve"> </w:t>
      </w:r>
      <w:r>
        <w:rPr>
          <w:color w:val="231F20"/>
        </w:rPr>
        <w:t>world.</w:t>
      </w:r>
      <w:r>
        <w:rPr>
          <w:color w:val="231F20"/>
          <w:spacing w:val="-7"/>
        </w:rPr>
        <w:t xml:space="preserve"> </w:t>
      </w:r>
      <w:r>
        <w:rPr>
          <w:color w:val="231F20"/>
        </w:rPr>
        <w:t>The</w:t>
      </w:r>
      <w:r>
        <w:rPr>
          <w:color w:val="231F20"/>
          <w:spacing w:val="-7"/>
        </w:rPr>
        <w:t xml:space="preserve"> </w:t>
      </w:r>
      <w:r>
        <w:rPr>
          <w:color w:val="231F20"/>
        </w:rPr>
        <w:t>sport</w:t>
      </w:r>
      <w:r>
        <w:rPr>
          <w:color w:val="231F20"/>
          <w:spacing w:val="-7"/>
        </w:rPr>
        <w:t xml:space="preserve"> </w:t>
      </w:r>
      <w:r>
        <w:rPr>
          <w:color w:val="231F20"/>
        </w:rPr>
        <w:t>and tourism experiences sought by Masters competitors, combined with the internationalisation of the Masters’ Games movement (Trauer &amp; Ryan, 2005)</w:t>
      </w:r>
      <w:r>
        <w:rPr>
          <w:color w:val="231F20"/>
          <w:spacing w:val="-1"/>
        </w:rPr>
        <w:t xml:space="preserve"> </w:t>
      </w:r>
      <w:r>
        <w:rPr>
          <w:color w:val="231F20"/>
        </w:rPr>
        <w:t>has</w:t>
      </w:r>
      <w:r>
        <w:rPr>
          <w:color w:val="231F20"/>
          <w:spacing w:val="-1"/>
        </w:rPr>
        <w:t xml:space="preserve"> </w:t>
      </w:r>
      <w:r>
        <w:rPr>
          <w:color w:val="231F20"/>
        </w:rPr>
        <w:t>ensured</w:t>
      </w:r>
      <w:r>
        <w:rPr>
          <w:color w:val="231F20"/>
          <w:spacing w:val="-1"/>
        </w:rPr>
        <w:t xml:space="preserve"> </w:t>
      </w:r>
      <w:r>
        <w:rPr>
          <w:color w:val="231F20"/>
        </w:rPr>
        <w:t>that</w:t>
      </w:r>
      <w:r>
        <w:rPr>
          <w:color w:val="231F20"/>
          <w:spacing w:val="-1"/>
        </w:rPr>
        <w:t xml:space="preserve"> </w:t>
      </w:r>
      <w:r>
        <w:rPr>
          <w:color w:val="231F20"/>
        </w:rPr>
        <w:t>understanding</w:t>
      </w:r>
      <w:r>
        <w:rPr>
          <w:color w:val="231F20"/>
          <w:spacing w:val="-1"/>
        </w:rPr>
        <w:t xml:space="preserve"> </w:t>
      </w:r>
      <w:r>
        <w:rPr>
          <w:color w:val="231F20"/>
        </w:rPr>
        <w:t>Masters’</w:t>
      </w:r>
      <w:r>
        <w:rPr>
          <w:color w:val="231F20"/>
          <w:spacing w:val="-1"/>
        </w:rPr>
        <w:t xml:space="preserve"> </w:t>
      </w:r>
      <w:r>
        <w:rPr>
          <w:color w:val="231F20"/>
        </w:rPr>
        <w:t>Games</w:t>
      </w:r>
      <w:r>
        <w:rPr>
          <w:color w:val="231F20"/>
          <w:spacing w:val="-1"/>
        </w:rPr>
        <w:t xml:space="preserve"> </w:t>
      </w:r>
      <w:r>
        <w:rPr>
          <w:color w:val="231F20"/>
        </w:rPr>
        <w:t>experiences</w:t>
      </w:r>
      <w:r>
        <w:rPr>
          <w:color w:val="231F20"/>
          <w:spacing w:val="-1"/>
        </w:rPr>
        <w:t xml:space="preserve"> </w:t>
      </w:r>
      <w:r>
        <w:rPr>
          <w:color w:val="231F20"/>
        </w:rPr>
        <w:t>is</w:t>
      </w:r>
      <w:r>
        <w:rPr>
          <w:color w:val="231F20"/>
          <w:spacing w:val="-1"/>
        </w:rPr>
        <w:t xml:space="preserve"> </w:t>
      </w:r>
      <w:r>
        <w:rPr>
          <w:color w:val="231F20"/>
        </w:rPr>
        <w:t xml:space="preserve">of </w:t>
      </w:r>
      <w:r>
        <w:rPr>
          <w:color w:val="231F20"/>
          <w:w w:val="95"/>
        </w:rPr>
        <w:t>considerable interest to spo</w:t>
      </w:r>
      <w:r>
        <w:rPr>
          <w:color w:val="231F20"/>
          <w:w w:val="95"/>
        </w:rPr>
        <w:t xml:space="preserve">rt and tourism destination managers at various </w:t>
      </w:r>
      <w:r>
        <w:rPr>
          <w:color w:val="231F20"/>
        </w:rPr>
        <w:t>scales of regional, national or international analysis.</w:t>
      </w:r>
    </w:p>
    <w:p w14:paraId="21E2645E" w14:textId="77777777" w:rsidR="00AE0598" w:rsidRDefault="0069255A">
      <w:pPr>
        <w:pStyle w:val="Corpodetexto"/>
        <w:spacing w:before="7" w:line="232" w:lineRule="auto"/>
        <w:ind w:left="110" w:right="123" w:firstLine="320"/>
        <w:jc w:val="both"/>
      </w:pPr>
      <w:r>
        <w:rPr>
          <w:color w:val="231F20"/>
          <w:w w:val="95"/>
        </w:rPr>
        <w:t xml:space="preserve">Similar approaches to understanding the experiences of active sport </w:t>
      </w:r>
      <w:r>
        <w:rPr>
          <w:color w:val="231F20"/>
        </w:rPr>
        <w:t>participants</w:t>
      </w:r>
      <w:r>
        <w:rPr>
          <w:color w:val="231F20"/>
          <w:spacing w:val="40"/>
        </w:rPr>
        <w:t xml:space="preserve"> </w:t>
      </w:r>
      <w:r>
        <w:rPr>
          <w:color w:val="231F20"/>
        </w:rPr>
        <w:t>are</w:t>
      </w:r>
      <w:r>
        <w:rPr>
          <w:color w:val="231F20"/>
          <w:spacing w:val="40"/>
        </w:rPr>
        <w:t xml:space="preserve"> </w:t>
      </w:r>
      <w:r>
        <w:rPr>
          <w:color w:val="231F20"/>
        </w:rPr>
        <w:t>now</w:t>
      </w:r>
      <w:r>
        <w:rPr>
          <w:color w:val="231F20"/>
          <w:spacing w:val="40"/>
        </w:rPr>
        <w:t xml:space="preserve"> </w:t>
      </w:r>
      <w:r>
        <w:rPr>
          <w:color w:val="231F20"/>
        </w:rPr>
        <w:t>focusing</w:t>
      </w:r>
      <w:r>
        <w:rPr>
          <w:color w:val="231F20"/>
          <w:spacing w:val="40"/>
        </w:rPr>
        <w:t xml:space="preserve"> </w:t>
      </w:r>
      <w:r>
        <w:rPr>
          <w:color w:val="231F20"/>
        </w:rPr>
        <w:t>on</w:t>
      </w:r>
      <w:r>
        <w:rPr>
          <w:color w:val="231F20"/>
          <w:spacing w:val="40"/>
        </w:rPr>
        <w:t xml:space="preserve"> </w:t>
      </w:r>
      <w:r>
        <w:rPr>
          <w:color w:val="231F20"/>
        </w:rPr>
        <w:t>participation</w:t>
      </w:r>
      <w:r>
        <w:rPr>
          <w:color w:val="231F20"/>
          <w:spacing w:val="40"/>
        </w:rPr>
        <w:t xml:space="preserve"> </w:t>
      </w:r>
      <w:r>
        <w:rPr>
          <w:color w:val="231F20"/>
        </w:rPr>
        <w:t>in</w:t>
      </w:r>
      <w:r>
        <w:rPr>
          <w:color w:val="231F20"/>
          <w:spacing w:val="40"/>
        </w:rPr>
        <w:t xml:space="preserve"> </w:t>
      </w:r>
      <w:r>
        <w:rPr>
          <w:color w:val="231F20"/>
        </w:rPr>
        <w:t>single</w:t>
      </w:r>
      <w:r>
        <w:rPr>
          <w:color w:val="231F20"/>
          <w:spacing w:val="40"/>
        </w:rPr>
        <w:t xml:space="preserve"> </w:t>
      </w:r>
      <w:r>
        <w:rPr>
          <w:color w:val="231F20"/>
        </w:rPr>
        <w:t>sports,</w:t>
      </w:r>
      <w:r>
        <w:rPr>
          <w:color w:val="231F20"/>
          <w:spacing w:val="40"/>
        </w:rPr>
        <w:t xml:space="preserve"> </w:t>
      </w:r>
      <w:r>
        <w:rPr>
          <w:color w:val="231F20"/>
        </w:rPr>
        <w:t>such as</w:t>
      </w:r>
      <w:r>
        <w:rPr>
          <w:color w:val="231F20"/>
          <w:spacing w:val="40"/>
        </w:rPr>
        <w:t xml:space="preserve"> </w:t>
      </w:r>
      <w:r>
        <w:rPr>
          <w:color w:val="231F20"/>
        </w:rPr>
        <w:t>cycle</w:t>
      </w:r>
      <w:r>
        <w:rPr>
          <w:color w:val="231F20"/>
          <w:spacing w:val="40"/>
        </w:rPr>
        <w:t xml:space="preserve"> </w:t>
      </w:r>
      <w:r>
        <w:rPr>
          <w:color w:val="231F20"/>
        </w:rPr>
        <w:t>road</w:t>
      </w:r>
      <w:r>
        <w:rPr>
          <w:color w:val="231F20"/>
          <w:spacing w:val="40"/>
        </w:rPr>
        <w:t xml:space="preserve"> </w:t>
      </w:r>
      <w:r>
        <w:rPr>
          <w:color w:val="231F20"/>
        </w:rPr>
        <w:t>races,</w:t>
      </w:r>
      <w:r>
        <w:rPr>
          <w:color w:val="231F20"/>
          <w:spacing w:val="40"/>
        </w:rPr>
        <w:t xml:space="preserve"> </w:t>
      </w:r>
      <w:r>
        <w:rPr>
          <w:color w:val="231F20"/>
        </w:rPr>
        <w:t>triathlons</w:t>
      </w:r>
      <w:r>
        <w:rPr>
          <w:color w:val="231F20"/>
          <w:spacing w:val="40"/>
        </w:rPr>
        <w:t xml:space="preserve"> </w:t>
      </w:r>
      <w:r>
        <w:rPr>
          <w:color w:val="231F20"/>
        </w:rPr>
        <w:t>and</w:t>
      </w:r>
      <w:r>
        <w:rPr>
          <w:color w:val="231F20"/>
          <w:spacing w:val="40"/>
        </w:rPr>
        <w:t xml:space="preserve"> </w:t>
      </w:r>
      <w:r>
        <w:rPr>
          <w:color w:val="231F20"/>
        </w:rPr>
        <w:t>mountain</w:t>
      </w:r>
      <w:r>
        <w:rPr>
          <w:color w:val="231F20"/>
          <w:spacing w:val="40"/>
        </w:rPr>
        <w:t xml:space="preserve"> </w:t>
      </w:r>
      <w:r>
        <w:rPr>
          <w:color w:val="231F20"/>
        </w:rPr>
        <w:t>biking</w:t>
      </w:r>
      <w:r>
        <w:rPr>
          <w:color w:val="231F20"/>
          <w:spacing w:val="40"/>
        </w:rPr>
        <w:t xml:space="preserve"> </w:t>
      </w:r>
      <w:r>
        <w:rPr>
          <w:color w:val="231F20"/>
        </w:rPr>
        <w:t>events</w:t>
      </w:r>
      <w:r>
        <w:rPr>
          <w:color w:val="231F20"/>
          <w:spacing w:val="40"/>
        </w:rPr>
        <w:t xml:space="preserve"> </w:t>
      </w:r>
      <w:r>
        <w:rPr>
          <w:color w:val="231F20"/>
        </w:rPr>
        <w:t>(Higham &amp;</w:t>
      </w:r>
      <w:r>
        <w:rPr>
          <w:color w:val="231F20"/>
          <w:spacing w:val="40"/>
        </w:rPr>
        <w:t xml:space="preserve"> </w:t>
      </w:r>
      <w:r>
        <w:rPr>
          <w:color w:val="231F20"/>
        </w:rPr>
        <w:t>Hinch,</w:t>
      </w:r>
      <w:r>
        <w:rPr>
          <w:color w:val="231F20"/>
          <w:spacing w:val="40"/>
        </w:rPr>
        <w:t xml:space="preserve"> </w:t>
      </w:r>
      <w:r>
        <w:rPr>
          <w:color w:val="231F20"/>
        </w:rPr>
        <w:t>2010).</w:t>
      </w:r>
      <w:r>
        <w:rPr>
          <w:color w:val="231F20"/>
          <w:spacing w:val="40"/>
        </w:rPr>
        <w:t xml:space="preserve"> </w:t>
      </w:r>
      <w:r>
        <w:rPr>
          <w:color w:val="231F20"/>
        </w:rPr>
        <w:t>Two</w:t>
      </w:r>
      <w:r>
        <w:rPr>
          <w:color w:val="231F20"/>
          <w:spacing w:val="40"/>
        </w:rPr>
        <w:t xml:space="preserve"> </w:t>
      </w:r>
      <w:r>
        <w:rPr>
          <w:color w:val="231F20"/>
        </w:rPr>
        <w:t>important</w:t>
      </w:r>
      <w:r>
        <w:rPr>
          <w:color w:val="231F20"/>
          <w:spacing w:val="40"/>
        </w:rPr>
        <w:t xml:space="preserve"> </w:t>
      </w:r>
      <w:r>
        <w:rPr>
          <w:color w:val="231F20"/>
        </w:rPr>
        <w:t>points</w:t>
      </w:r>
      <w:r>
        <w:rPr>
          <w:color w:val="231F20"/>
          <w:spacing w:val="40"/>
        </w:rPr>
        <w:t xml:space="preserve"> </w:t>
      </w:r>
      <w:r>
        <w:rPr>
          <w:color w:val="231F20"/>
        </w:rPr>
        <w:t>emerge</w:t>
      </w:r>
      <w:r>
        <w:rPr>
          <w:color w:val="231F20"/>
          <w:spacing w:val="40"/>
        </w:rPr>
        <w:t xml:space="preserve"> </w:t>
      </w:r>
      <w:r>
        <w:rPr>
          <w:color w:val="231F20"/>
        </w:rPr>
        <w:t>from</w:t>
      </w:r>
      <w:r>
        <w:rPr>
          <w:color w:val="231F20"/>
          <w:spacing w:val="40"/>
        </w:rPr>
        <w:t xml:space="preserve"> </w:t>
      </w:r>
      <w:r>
        <w:rPr>
          <w:color w:val="231F20"/>
        </w:rPr>
        <w:t>these</w:t>
      </w:r>
      <w:r>
        <w:rPr>
          <w:color w:val="231F20"/>
          <w:spacing w:val="40"/>
        </w:rPr>
        <w:t xml:space="preserve"> </w:t>
      </w:r>
      <w:r>
        <w:rPr>
          <w:color w:val="231F20"/>
        </w:rPr>
        <w:t>analyses. One is the importance placed on event participation, often in outdoor recreational settings, by those who engage in serious leisure (</w:t>
      </w:r>
      <w:r>
        <w:rPr>
          <w:color w:val="231F20"/>
        </w:rPr>
        <w:t>Davidson &amp; Stebbins, 2011), not only in terms of desired experiences but also fundamentally in terms of destination attractiveness and destination choice. Moularde and Weaver (2016) explore the case of mountain bikers. In investigating the attractiveness o</w:t>
      </w:r>
      <w:r>
        <w:rPr>
          <w:color w:val="231F20"/>
        </w:rPr>
        <w:t>f certain destinations, they found that destinations were assessed in terms of opportunities to advance the seriousness of the participants’ engagement in their sport (see also Case Study 8.1).</w:t>
      </w:r>
    </w:p>
    <w:p w14:paraId="05313D06" w14:textId="77777777" w:rsidR="00AE0598" w:rsidRDefault="00AE0598">
      <w:pPr>
        <w:pStyle w:val="Corpodetexto"/>
        <w:rPr>
          <w:sz w:val="20"/>
        </w:rPr>
      </w:pPr>
    </w:p>
    <w:p w14:paraId="4CFEBE9C" w14:textId="77777777" w:rsidR="00AE0598" w:rsidRDefault="00AE0598">
      <w:pPr>
        <w:pStyle w:val="Corpodetexto"/>
        <w:spacing w:before="9"/>
        <w:rPr>
          <w:sz w:val="25"/>
        </w:rPr>
      </w:pPr>
    </w:p>
    <w:p w14:paraId="63E33FAF" w14:textId="3262413D" w:rsidR="00AE0598" w:rsidRDefault="0069255A">
      <w:pPr>
        <w:spacing w:before="100" w:line="247" w:lineRule="auto"/>
        <w:ind w:left="221" w:right="896"/>
        <w:jc w:val="both"/>
        <w:rPr>
          <w:rFonts w:ascii="Trebuchet MS" w:hAnsi="Trebuchet MS"/>
          <w:sz w:val="20"/>
        </w:rPr>
      </w:pPr>
      <w:r>
        <w:rPr>
          <w:noProof/>
        </w:rPr>
        <mc:AlternateContent>
          <mc:Choice Requires="wps">
            <w:drawing>
              <wp:anchor distT="0" distB="0" distL="114300" distR="114300" simplePos="0" relativeHeight="483734528" behindDoc="1" locked="0" layoutInCell="1" allowOverlap="1" wp14:anchorId="1638850A" wp14:editId="045B01D7">
                <wp:simplePos x="0" y="0"/>
                <wp:positionH relativeFrom="page">
                  <wp:posOffset>754380</wp:posOffset>
                </wp:positionH>
                <wp:positionV relativeFrom="paragraph">
                  <wp:posOffset>15240</wp:posOffset>
                </wp:positionV>
                <wp:extent cx="4104005" cy="3482975"/>
                <wp:effectExtent l="0" t="0" r="0" b="0"/>
                <wp:wrapNone/>
                <wp:docPr id="139" name="docshape2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04005" cy="3482975"/>
                        </a:xfrm>
                        <a:prstGeom prst="rect">
                          <a:avLst/>
                        </a:prstGeom>
                        <a:solidFill>
                          <a:srgbClr val="DCDDD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EBE6546" id="docshape227" o:spid="_x0000_s1026" style="position:absolute;margin-left:59.4pt;margin-top:1.2pt;width:323.15pt;height:274.25pt;z-index:-195819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" fillcolor="#dcddde" stroked="f">
                <w10:wrap anchorx="page"/>
              </v:rect>
            </w:pict>
          </mc:Fallback>
        </mc:AlternateContent>
      </w:r>
      <w:r>
        <w:rPr>
          <w:rFonts w:ascii="Trebuchet MS" w:hAnsi="Trebuchet MS"/>
          <w:color w:val="231F20"/>
          <w:w w:val="105"/>
          <w:sz w:val="20"/>
        </w:rPr>
        <w:t>Case</w:t>
      </w:r>
      <w:r>
        <w:rPr>
          <w:rFonts w:ascii="Trebuchet MS" w:hAnsi="Trebuchet MS"/>
          <w:color w:val="231F20"/>
          <w:spacing w:val="-14"/>
          <w:w w:val="105"/>
          <w:sz w:val="20"/>
        </w:rPr>
        <w:t xml:space="preserve"> </w:t>
      </w:r>
      <w:r>
        <w:rPr>
          <w:rFonts w:ascii="Trebuchet MS" w:hAnsi="Trebuchet MS"/>
          <w:color w:val="231F20"/>
          <w:w w:val="105"/>
          <w:sz w:val="20"/>
        </w:rPr>
        <w:t>Study</w:t>
      </w:r>
      <w:r>
        <w:rPr>
          <w:rFonts w:ascii="Trebuchet MS" w:hAnsi="Trebuchet MS"/>
          <w:color w:val="231F20"/>
          <w:spacing w:val="-14"/>
          <w:w w:val="105"/>
          <w:sz w:val="20"/>
        </w:rPr>
        <w:t xml:space="preserve"> </w:t>
      </w:r>
      <w:r>
        <w:rPr>
          <w:rFonts w:ascii="Trebuchet MS" w:hAnsi="Trebuchet MS"/>
          <w:color w:val="231F20"/>
          <w:w w:val="105"/>
          <w:sz w:val="20"/>
        </w:rPr>
        <w:t>8.1:</w:t>
      </w:r>
      <w:r>
        <w:rPr>
          <w:rFonts w:ascii="Trebuchet MS" w:hAnsi="Trebuchet MS"/>
          <w:color w:val="231F20"/>
          <w:spacing w:val="-14"/>
          <w:w w:val="105"/>
          <w:sz w:val="20"/>
        </w:rPr>
        <w:t xml:space="preserve"> </w:t>
      </w:r>
      <w:r>
        <w:rPr>
          <w:rFonts w:ascii="Trebuchet MS" w:hAnsi="Trebuchet MS"/>
          <w:color w:val="231F20"/>
          <w:w w:val="105"/>
          <w:sz w:val="20"/>
        </w:rPr>
        <w:t>Pursuing</w:t>
      </w:r>
      <w:r>
        <w:rPr>
          <w:rFonts w:ascii="Trebuchet MS" w:hAnsi="Trebuchet MS"/>
          <w:color w:val="231F20"/>
          <w:spacing w:val="-14"/>
          <w:w w:val="105"/>
          <w:sz w:val="20"/>
        </w:rPr>
        <w:t xml:space="preserve"> </w:t>
      </w:r>
      <w:r>
        <w:rPr>
          <w:rFonts w:ascii="Trebuchet MS" w:hAnsi="Trebuchet MS"/>
          <w:color w:val="231F20"/>
          <w:w w:val="105"/>
          <w:sz w:val="20"/>
        </w:rPr>
        <w:t>Serious</w:t>
      </w:r>
      <w:r>
        <w:rPr>
          <w:rFonts w:ascii="Trebuchet MS" w:hAnsi="Trebuchet MS"/>
          <w:color w:val="231F20"/>
          <w:spacing w:val="-14"/>
          <w:w w:val="105"/>
          <w:sz w:val="20"/>
        </w:rPr>
        <w:t xml:space="preserve"> </w:t>
      </w:r>
      <w:r>
        <w:rPr>
          <w:rFonts w:ascii="Trebuchet MS" w:hAnsi="Trebuchet MS"/>
          <w:color w:val="231F20"/>
          <w:w w:val="105"/>
          <w:sz w:val="20"/>
        </w:rPr>
        <w:t>Sport</w:t>
      </w:r>
      <w:r>
        <w:rPr>
          <w:rFonts w:ascii="Trebuchet MS" w:hAnsi="Trebuchet MS"/>
          <w:color w:val="231F20"/>
          <w:spacing w:val="-14"/>
          <w:w w:val="105"/>
          <w:sz w:val="20"/>
        </w:rPr>
        <w:t xml:space="preserve"> </w:t>
      </w:r>
      <w:r>
        <w:rPr>
          <w:rFonts w:ascii="Trebuchet MS" w:hAnsi="Trebuchet MS"/>
          <w:color w:val="231F20"/>
          <w:w w:val="105"/>
          <w:sz w:val="20"/>
        </w:rPr>
        <w:t>Tourism</w:t>
      </w:r>
      <w:r>
        <w:rPr>
          <w:rFonts w:ascii="Trebuchet MS" w:hAnsi="Trebuchet MS"/>
          <w:color w:val="231F20"/>
          <w:spacing w:val="-14"/>
          <w:w w:val="105"/>
          <w:sz w:val="20"/>
        </w:rPr>
        <w:t xml:space="preserve"> </w:t>
      </w:r>
      <w:r>
        <w:rPr>
          <w:rFonts w:ascii="Trebuchet MS" w:hAnsi="Trebuchet MS"/>
          <w:color w:val="231F20"/>
          <w:w w:val="105"/>
          <w:sz w:val="20"/>
        </w:rPr>
        <w:t>–</w:t>
      </w:r>
      <w:r>
        <w:rPr>
          <w:rFonts w:ascii="Trebuchet MS" w:hAnsi="Trebuchet MS"/>
          <w:color w:val="231F20"/>
          <w:spacing w:val="-14"/>
          <w:w w:val="105"/>
          <w:sz w:val="20"/>
        </w:rPr>
        <w:t xml:space="preserve"> </w:t>
      </w:r>
      <w:r>
        <w:rPr>
          <w:rFonts w:ascii="Trebuchet MS" w:hAnsi="Trebuchet MS"/>
          <w:color w:val="231F20"/>
          <w:w w:val="105"/>
          <w:sz w:val="20"/>
        </w:rPr>
        <w:t>Qualitative Insights from Amateur Athletes and Their Entourage</w:t>
      </w:r>
    </w:p>
    <w:p w14:paraId="200F14B0" w14:textId="77777777" w:rsidR="00AE0598" w:rsidRDefault="0069255A">
      <w:pPr>
        <w:pStyle w:val="Corpodetexto"/>
        <w:spacing w:before="110"/>
        <w:ind w:left="221"/>
        <w:jc w:val="both"/>
      </w:pPr>
      <w:r>
        <w:rPr>
          <w:color w:val="231F20"/>
        </w:rPr>
        <w:t>Brent</w:t>
      </w:r>
      <w:r>
        <w:rPr>
          <w:color w:val="231F20"/>
          <w:spacing w:val="4"/>
        </w:rPr>
        <w:t xml:space="preserve"> </w:t>
      </w:r>
      <w:r>
        <w:rPr>
          <w:color w:val="231F20"/>
        </w:rPr>
        <w:t>D.</w:t>
      </w:r>
      <w:r>
        <w:rPr>
          <w:color w:val="231F20"/>
          <w:spacing w:val="6"/>
        </w:rPr>
        <w:t xml:space="preserve"> </w:t>
      </w:r>
      <w:r>
        <w:rPr>
          <w:color w:val="231F20"/>
        </w:rPr>
        <w:t>Moyle,</w:t>
      </w:r>
      <w:r>
        <w:rPr>
          <w:color w:val="231F20"/>
          <w:spacing w:val="6"/>
        </w:rPr>
        <w:t xml:space="preserve"> </w:t>
      </w:r>
      <w:r>
        <w:rPr>
          <w:color w:val="231F20"/>
        </w:rPr>
        <w:t>Millicent</w:t>
      </w:r>
      <w:r>
        <w:rPr>
          <w:color w:val="231F20"/>
          <w:spacing w:val="6"/>
        </w:rPr>
        <w:t xml:space="preserve"> </w:t>
      </w:r>
      <w:r>
        <w:rPr>
          <w:color w:val="231F20"/>
        </w:rPr>
        <w:t>Kennelly</w:t>
      </w:r>
      <w:r>
        <w:rPr>
          <w:color w:val="231F20"/>
          <w:spacing w:val="6"/>
        </w:rPr>
        <w:t xml:space="preserve"> </w:t>
      </w:r>
      <w:r>
        <w:rPr>
          <w:color w:val="231F20"/>
        </w:rPr>
        <w:t>and</w:t>
      </w:r>
      <w:r>
        <w:rPr>
          <w:color w:val="231F20"/>
          <w:spacing w:val="6"/>
        </w:rPr>
        <w:t xml:space="preserve"> </w:t>
      </w:r>
      <w:r>
        <w:rPr>
          <w:color w:val="231F20"/>
        </w:rPr>
        <w:t>Matthew</w:t>
      </w:r>
      <w:r>
        <w:rPr>
          <w:color w:val="231F20"/>
          <w:spacing w:val="7"/>
        </w:rPr>
        <w:t xml:space="preserve"> </w:t>
      </w:r>
      <w:r>
        <w:rPr>
          <w:color w:val="231F20"/>
          <w:spacing w:val="-2"/>
        </w:rPr>
        <w:t>Lamont</w:t>
      </w:r>
    </w:p>
    <w:p w14:paraId="7D995DEE" w14:textId="77777777" w:rsidR="00AE0598" w:rsidRDefault="0069255A">
      <w:pPr>
        <w:pStyle w:val="Corpodetexto"/>
        <w:spacing w:before="120" w:line="232" w:lineRule="auto"/>
        <w:ind w:left="221" w:right="242" w:firstLine="320"/>
        <w:jc w:val="both"/>
      </w:pPr>
      <w:r>
        <w:rPr>
          <w:i/>
          <w:color w:val="231F20"/>
        </w:rPr>
        <w:t xml:space="preserve">Event travel careers </w:t>
      </w:r>
      <w:r>
        <w:rPr>
          <w:color w:val="231F20"/>
        </w:rPr>
        <w:t xml:space="preserve">reflect a pattern of travel to events connected to an individual’s preferred leisure activity (Getz, 2008). Previous </w:t>
      </w:r>
      <w:r>
        <w:rPr>
          <w:color w:val="231F20"/>
          <w:w w:val="95"/>
        </w:rPr>
        <w:t>r</w:t>
      </w:r>
      <w:r>
        <w:rPr>
          <w:color w:val="231F20"/>
          <w:w w:val="95"/>
        </w:rPr>
        <w:t xml:space="preserve">esearch has indicated that an event travel career is a potentially lifelong </w:t>
      </w:r>
      <w:r>
        <w:rPr>
          <w:color w:val="231F20"/>
        </w:rPr>
        <w:t>pattern</w:t>
      </w:r>
      <w:r>
        <w:rPr>
          <w:color w:val="231F20"/>
          <w:spacing w:val="-11"/>
        </w:rPr>
        <w:t xml:space="preserve"> </w:t>
      </w:r>
      <w:r>
        <w:rPr>
          <w:color w:val="231F20"/>
        </w:rPr>
        <w:t>of</w:t>
      </w:r>
      <w:r>
        <w:rPr>
          <w:color w:val="231F20"/>
          <w:spacing w:val="-11"/>
        </w:rPr>
        <w:t xml:space="preserve"> </w:t>
      </w:r>
      <w:r>
        <w:rPr>
          <w:color w:val="231F20"/>
        </w:rPr>
        <w:t>travel</w:t>
      </w:r>
      <w:r>
        <w:rPr>
          <w:color w:val="231F20"/>
          <w:spacing w:val="-11"/>
        </w:rPr>
        <w:t xml:space="preserve"> </w:t>
      </w:r>
      <w:r>
        <w:rPr>
          <w:color w:val="231F20"/>
        </w:rPr>
        <w:t>to</w:t>
      </w:r>
      <w:r>
        <w:rPr>
          <w:color w:val="231F20"/>
          <w:spacing w:val="-11"/>
        </w:rPr>
        <w:t xml:space="preserve"> </w:t>
      </w:r>
      <w:r>
        <w:rPr>
          <w:color w:val="231F20"/>
        </w:rPr>
        <w:t>events</w:t>
      </w:r>
      <w:r>
        <w:rPr>
          <w:color w:val="231F20"/>
          <w:spacing w:val="-11"/>
        </w:rPr>
        <w:t xml:space="preserve"> </w:t>
      </w:r>
      <w:r>
        <w:rPr>
          <w:color w:val="231F20"/>
        </w:rPr>
        <w:t>linked</w:t>
      </w:r>
      <w:r>
        <w:rPr>
          <w:color w:val="231F20"/>
          <w:spacing w:val="-11"/>
        </w:rPr>
        <w:t xml:space="preserve"> </w:t>
      </w:r>
      <w:r>
        <w:rPr>
          <w:color w:val="231F20"/>
        </w:rPr>
        <w:t>with</w:t>
      </w:r>
      <w:r>
        <w:rPr>
          <w:color w:val="231F20"/>
          <w:spacing w:val="-11"/>
        </w:rPr>
        <w:t xml:space="preserve"> </w:t>
      </w:r>
      <w:r>
        <w:rPr>
          <w:color w:val="231F20"/>
        </w:rPr>
        <w:t>an</w:t>
      </w:r>
      <w:r>
        <w:rPr>
          <w:color w:val="231F20"/>
          <w:spacing w:val="-11"/>
        </w:rPr>
        <w:t xml:space="preserve"> </w:t>
      </w:r>
      <w:r>
        <w:rPr>
          <w:color w:val="231F20"/>
        </w:rPr>
        <w:t>individual’s</w:t>
      </w:r>
      <w:r>
        <w:rPr>
          <w:color w:val="231F20"/>
          <w:spacing w:val="-11"/>
        </w:rPr>
        <w:t xml:space="preserve"> </w:t>
      </w:r>
      <w:r>
        <w:rPr>
          <w:color w:val="231F20"/>
        </w:rPr>
        <w:t>preferred</w:t>
      </w:r>
      <w:r>
        <w:rPr>
          <w:color w:val="231F20"/>
          <w:spacing w:val="-11"/>
        </w:rPr>
        <w:t xml:space="preserve"> </w:t>
      </w:r>
      <w:r>
        <w:rPr>
          <w:color w:val="231F20"/>
        </w:rPr>
        <w:t xml:space="preserve">leisure activity. This case study applies the concept of an event travel career </w:t>
      </w:r>
      <w:r>
        <w:rPr>
          <w:color w:val="231F20"/>
          <w:w w:val="95"/>
        </w:rPr>
        <w:t>to amateur triathletes and their n</w:t>
      </w:r>
      <w:r>
        <w:rPr>
          <w:color w:val="231F20"/>
          <w:w w:val="95"/>
        </w:rPr>
        <w:t>on-participating entourage. Research</w:t>
      </w:r>
      <w:r>
        <w:rPr>
          <w:color w:val="231F20"/>
          <w:spacing w:val="80"/>
        </w:rPr>
        <w:t xml:space="preserve"> </w:t>
      </w:r>
      <w:r>
        <w:rPr>
          <w:color w:val="231F20"/>
        </w:rPr>
        <w:t>in sport tourism contexts demonstrates that people who engage in an event</w:t>
      </w:r>
      <w:r>
        <w:rPr>
          <w:color w:val="231F20"/>
          <w:spacing w:val="-4"/>
        </w:rPr>
        <w:t xml:space="preserve"> </w:t>
      </w:r>
      <w:r>
        <w:rPr>
          <w:color w:val="231F20"/>
        </w:rPr>
        <w:t>travel</w:t>
      </w:r>
      <w:r>
        <w:rPr>
          <w:color w:val="231F20"/>
          <w:spacing w:val="-4"/>
        </w:rPr>
        <w:t xml:space="preserve"> </w:t>
      </w:r>
      <w:r>
        <w:rPr>
          <w:color w:val="231F20"/>
        </w:rPr>
        <w:t>career</w:t>
      </w:r>
      <w:r>
        <w:rPr>
          <w:color w:val="231F20"/>
          <w:spacing w:val="-4"/>
        </w:rPr>
        <w:t xml:space="preserve"> </w:t>
      </w:r>
      <w:r>
        <w:rPr>
          <w:color w:val="231F20"/>
        </w:rPr>
        <w:t>often</w:t>
      </w:r>
      <w:r>
        <w:rPr>
          <w:color w:val="231F20"/>
          <w:spacing w:val="-4"/>
        </w:rPr>
        <w:t xml:space="preserve"> </w:t>
      </w:r>
      <w:r>
        <w:rPr>
          <w:color w:val="231F20"/>
        </w:rPr>
        <w:t>exhibit</w:t>
      </w:r>
      <w:r>
        <w:rPr>
          <w:color w:val="231F20"/>
          <w:spacing w:val="-4"/>
        </w:rPr>
        <w:t xml:space="preserve"> </w:t>
      </w:r>
      <w:r>
        <w:rPr>
          <w:color w:val="231F20"/>
        </w:rPr>
        <w:t>the</w:t>
      </w:r>
      <w:r>
        <w:rPr>
          <w:color w:val="231F20"/>
          <w:spacing w:val="-4"/>
        </w:rPr>
        <w:t xml:space="preserve"> </w:t>
      </w:r>
      <w:r>
        <w:rPr>
          <w:color w:val="231F20"/>
        </w:rPr>
        <w:t>defining</w:t>
      </w:r>
      <w:r>
        <w:rPr>
          <w:color w:val="231F20"/>
          <w:spacing w:val="-4"/>
        </w:rPr>
        <w:t xml:space="preserve"> </w:t>
      </w:r>
      <w:r>
        <w:rPr>
          <w:color w:val="231F20"/>
        </w:rPr>
        <w:t>characteristics</w:t>
      </w:r>
      <w:r>
        <w:rPr>
          <w:color w:val="231F20"/>
          <w:spacing w:val="-4"/>
        </w:rPr>
        <w:t xml:space="preserve"> </w:t>
      </w:r>
      <w:r>
        <w:rPr>
          <w:color w:val="231F20"/>
        </w:rPr>
        <w:t>of</w:t>
      </w:r>
      <w:r>
        <w:rPr>
          <w:color w:val="231F20"/>
          <w:spacing w:val="-4"/>
        </w:rPr>
        <w:t xml:space="preserve"> </w:t>
      </w:r>
      <w:r>
        <w:rPr>
          <w:i/>
          <w:color w:val="231F20"/>
        </w:rPr>
        <w:t>serious leisure</w:t>
      </w:r>
      <w:r>
        <w:rPr>
          <w:color w:val="231F20"/>
        </w:rPr>
        <w:t xml:space="preserve">, which involves the systematic pursuit of an amateur in a core activity that requires specialist skills and knowledge and is often </w:t>
      </w:r>
      <w:r>
        <w:rPr>
          <w:color w:val="231F20"/>
          <w:w w:val="95"/>
        </w:rPr>
        <w:t xml:space="preserve">associated with hobbies such as sports or arts (Stebbins, 2007). Serious </w:t>
      </w:r>
      <w:r>
        <w:rPr>
          <w:color w:val="231F20"/>
        </w:rPr>
        <w:t>leisure</w:t>
      </w:r>
      <w:r>
        <w:rPr>
          <w:color w:val="231F20"/>
          <w:spacing w:val="-5"/>
        </w:rPr>
        <w:t xml:space="preserve"> </w:t>
      </w:r>
      <w:r>
        <w:rPr>
          <w:color w:val="231F20"/>
        </w:rPr>
        <w:t>has</w:t>
      </w:r>
      <w:r>
        <w:rPr>
          <w:color w:val="231F20"/>
          <w:spacing w:val="-5"/>
        </w:rPr>
        <w:t xml:space="preserve"> </w:t>
      </w:r>
      <w:r>
        <w:rPr>
          <w:color w:val="231F20"/>
        </w:rPr>
        <w:t>been</w:t>
      </w:r>
      <w:r>
        <w:rPr>
          <w:color w:val="231F20"/>
          <w:spacing w:val="-5"/>
        </w:rPr>
        <w:t xml:space="preserve"> </w:t>
      </w:r>
      <w:r>
        <w:rPr>
          <w:color w:val="231F20"/>
        </w:rPr>
        <w:t>noted</w:t>
      </w:r>
      <w:r>
        <w:rPr>
          <w:color w:val="231F20"/>
          <w:spacing w:val="-5"/>
        </w:rPr>
        <w:t xml:space="preserve"> </w:t>
      </w:r>
      <w:r>
        <w:rPr>
          <w:color w:val="231F20"/>
        </w:rPr>
        <w:t>as</w:t>
      </w:r>
      <w:r>
        <w:rPr>
          <w:color w:val="231F20"/>
          <w:spacing w:val="-5"/>
        </w:rPr>
        <w:t xml:space="preserve"> </w:t>
      </w:r>
      <w:r>
        <w:rPr>
          <w:color w:val="231F20"/>
        </w:rPr>
        <w:t>a</w:t>
      </w:r>
      <w:r>
        <w:rPr>
          <w:color w:val="231F20"/>
          <w:spacing w:val="-5"/>
        </w:rPr>
        <w:t xml:space="preserve"> </w:t>
      </w:r>
      <w:r>
        <w:rPr>
          <w:color w:val="231F20"/>
        </w:rPr>
        <w:t>mechanism</w:t>
      </w:r>
      <w:r>
        <w:rPr>
          <w:color w:val="231F20"/>
          <w:spacing w:val="-5"/>
        </w:rPr>
        <w:t xml:space="preserve"> </w:t>
      </w:r>
      <w:r>
        <w:rPr>
          <w:color w:val="231F20"/>
        </w:rPr>
        <w:t>to</w:t>
      </w:r>
      <w:r>
        <w:rPr>
          <w:color w:val="231F20"/>
          <w:spacing w:val="-5"/>
        </w:rPr>
        <w:t xml:space="preserve"> </w:t>
      </w:r>
      <w:r>
        <w:rPr>
          <w:color w:val="231F20"/>
        </w:rPr>
        <w:t>construct</w:t>
      </w:r>
      <w:r>
        <w:rPr>
          <w:color w:val="231F20"/>
          <w:spacing w:val="-5"/>
        </w:rPr>
        <w:t xml:space="preserve"> </w:t>
      </w:r>
      <w:r>
        <w:rPr>
          <w:color w:val="231F20"/>
        </w:rPr>
        <w:t>or</w:t>
      </w:r>
      <w:r>
        <w:rPr>
          <w:color w:val="231F20"/>
          <w:spacing w:val="-5"/>
        </w:rPr>
        <w:t xml:space="preserve"> </w:t>
      </w:r>
      <w:r>
        <w:rPr>
          <w:color w:val="231F20"/>
        </w:rPr>
        <w:t>confirm</w:t>
      </w:r>
      <w:r>
        <w:rPr>
          <w:color w:val="231F20"/>
          <w:spacing w:val="-5"/>
        </w:rPr>
        <w:t xml:space="preserve"> </w:t>
      </w:r>
      <w:r>
        <w:rPr>
          <w:color w:val="231F20"/>
        </w:rPr>
        <w:t xml:space="preserve">leisure </w:t>
      </w:r>
      <w:r>
        <w:rPr>
          <w:color w:val="231F20"/>
          <w:w w:val="95"/>
        </w:rPr>
        <w:t>identity, enable interaction, provide a time and place to celebrate shared identity,</w:t>
      </w:r>
      <w:r>
        <w:rPr>
          <w:color w:val="231F20"/>
          <w:spacing w:val="-2"/>
          <w:w w:val="95"/>
        </w:rPr>
        <w:t xml:space="preserve"> </w:t>
      </w:r>
      <w:r>
        <w:rPr>
          <w:color w:val="231F20"/>
          <w:w w:val="95"/>
        </w:rPr>
        <w:t>as</w:t>
      </w:r>
      <w:r>
        <w:rPr>
          <w:color w:val="231F20"/>
          <w:spacing w:val="-2"/>
          <w:w w:val="95"/>
        </w:rPr>
        <w:t xml:space="preserve"> </w:t>
      </w:r>
      <w:r>
        <w:rPr>
          <w:color w:val="231F20"/>
          <w:w w:val="95"/>
        </w:rPr>
        <w:t>a</w:t>
      </w:r>
      <w:r>
        <w:rPr>
          <w:color w:val="231F20"/>
          <w:spacing w:val="-2"/>
          <w:w w:val="95"/>
        </w:rPr>
        <w:t xml:space="preserve"> </w:t>
      </w:r>
      <w:r>
        <w:rPr>
          <w:color w:val="231F20"/>
          <w:w w:val="95"/>
        </w:rPr>
        <w:t>pathway</w:t>
      </w:r>
      <w:r>
        <w:rPr>
          <w:color w:val="231F20"/>
          <w:spacing w:val="-2"/>
          <w:w w:val="95"/>
        </w:rPr>
        <w:t xml:space="preserve"> </w:t>
      </w:r>
      <w:r>
        <w:rPr>
          <w:color w:val="231F20"/>
          <w:w w:val="95"/>
        </w:rPr>
        <w:t>to</w:t>
      </w:r>
      <w:r>
        <w:rPr>
          <w:color w:val="231F20"/>
          <w:spacing w:val="-2"/>
          <w:w w:val="95"/>
        </w:rPr>
        <w:t xml:space="preserve"> </w:t>
      </w:r>
      <w:r>
        <w:rPr>
          <w:color w:val="231F20"/>
          <w:w w:val="95"/>
        </w:rPr>
        <w:t>further</w:t>
      </w:r>
      <w:r>
        <w:rPr>
          <w:color w:val="231F20"/>
          <w:spacing w:val="-2"/>
          <w:w w:val="95"/>
        </w:rPr>
        <w:t xml:space="preserve"> </w:t>
      </w:r>
      <w:r>
        <w:rPr>
          <w:color w:val="231F20"/>
          <w:w w:val="95"/>
        </w:rPr>
        <w:t>a</w:t>
      </w:r>
      <w:r>
        <w:rPr>
          <w:color w:val="231F20"/>
          <w:spacing w:val="-2"/>
          <w:w w:val="95"/>
        </w:rPr>
        <w:t xml:space="preserve"> </w:t>
      </w:r>
      <w:r>
        <w:rPr>
          <w:color w:val="231F20"/>
          <w:w w:val="95"/>
        </w:rPr>
        <w:t>leisure</w:t>
      </w:r>
      <w:r>
        <w:rPr>
          <w:color w:val="231F20"/>
          <w:spacing w:val="-2"/>
          <w:w w:val="95"/>
        </w:rPr>
        <w:t xml:space="preserve"> </w:t>
      </w:r>
      <w:r>
        <w:rPr>
          <w:color w:val="231F20"/>
          <w:w w:val="95"/>
        </w:rPr>
        <w:t>career</w:t>
      </w:r>
      <w:r>
        <w:rPr>
          <w:color w:val="231F20"/>
          <w:spacing w:val="-2"/>
          <w:w w:val="95"/>
        </w:rPr>
        <w:t xml:space="preserve"> </w:t>
      </w:r>
      <w:r>
        <w:rPr>
          <w:color w:val="231F20"/>
          <w:w w:val="95"/>
        </w:rPr>
        <w:t>and</w:t>
      </w:r>
      <w:r>
        <w:rPr>
          <w:color w:val="231F20"/>
          <w:spacing w:val="-2"/>
          <w:w w:val="95"/>
        </w:rPr>
        <w:t xml:space="preserve"> </w:t>
      </w:r>
      <w:r>
        <w:rPr>
          <w:color w:val="231F20"/>
          <w:w w:val="95"/>
        </w:rPr>
        <w:t>for</w:t>
      </w:r>
      <w:r>
        <w:rPr>
          <w:color w:val="231F20"/>
          <w:spacing w:val="-2"/>
          <w:w w:val="95"/>
        </w:rPr>
        <w:t xml:space="preserve"> </w:t>
      </w:r>
      <w:r>
        <w:rPr>
          <w:color w:val="231F20"/>
          <w:w w:val="95"/>
        </w:rPr>
        <w:t>the</w:t>
      </w:r>
      <w:r>
        <w:rPr>
          <w:color w:val="231F20"/>
          <w:spacing w:val="-2"/>
          <w:w w:val="95"/>
        </w:rPr>
        <w:t xml:space="preserve"> </w:t>
      </w:r>
      <w:r>
        <w:rPr>
          <w:color w:val="231F20"/>
          <w:w w:val="95"/>
        </w:rPr>
        <w:t>more</w:t>
      </w:r>
      <w:r>
        <w:rPr>
          <w:color w:val="231F20"/>
          <w:spacing w:val="-2"/>
          <w:w w:val="95"/>
        </w:rPr>
        <w:t xml:space="preserve"> </w:t>
      </w:r>
      <w:r>
        <w:rPr>
          <w:color w:val="231F20"/>
          <w:w w:val="95"/>
        </w:rPr>
        <w:t xml:space="preserve">serious participants, a way to signal career stage. Amateur triathletes have been </w:t>
      </w:r>
      <w:r>
        <w:rPr>
          <w:color w:val="231F20"/>
        </w:rPr>
        <w:t>identified</w:t>
      </w:r>
      <w:r>
        <w:rPr>
          <w:color w:val="231F20"/>
          <w:spacing w:val="-4"/>
        </w:rPr>
        <w:t xml:space="preserve"> </w:t>
      </w:r>
      <w:r>
        <w:rPr>
          <w:color w:val="231F20"/>
        </w:rPr>
        <w:t>a</w:t>
      </w:r>
      <w:r>
        <w:rPr>
          <w:color w:val="231F20"/>
        </w:rPr>
        <w:t>s</w:t>
      </w:r>
      <w:r>
        <w:rPr>
          <w:color w:val="231F20"/>
          <w:spacing w:val="-4"/>
        </w:rPr>
        <w:t xml:space="preserve"> </w:t>
      </w:r>
      <w:r>
        <w:rPr>
          <w:color w:val="231F20"/>
        </w:rPr>
        <w:t>serious</w:t>
      </w:r>
      <w:r>
        <w:rPr>
          <w:color w:val="231F20"/>
          <w:spacing w:val="-4"/>
        </w:rPr>
        <w:t xml:space="preserve"> </w:t>
      </w:r>
      <w:r>
        <w:rPr>
          <w:color w:val="231F20"/>
        </w:rPr>
        <w:t>leisure</w:t>
      </w:r>
      <w:r>
        <w:rPr>
          <w:color w:val="231F20"/>
          <w:spacing w:val="-4"/>
        </w:rPr>
        <w:t xml:space="preserve"> </w:t>
      </w:r>
      <w:r>
        <w:rPr>
          <w:color w:val="231F20"/>
        </w:rPr>
        <w:t>participants,</w:t>
      </w:r>
      <w:r>
        <w:rPr>
          <w:color w:val="231F20"/>
          <w:spacing w:val="-4"/>
        </w:rPr>
        <w:t xml:space="preserve"> </w:t>
      </w:r>
      <w:r>
        <w:rPr>
          <w:color w:val="231F20"/>
        </w:rPr>
        <w:t>and</w:t>
      </w:r>
      <w:r>
        <w:rPr>
          <w:color w:val="231F20"/>
          <w:spacing w:val="-4"/>
        </w:rPr>
        <w:t xml:space="preserve"> </w:t>
      </w:r>
      <w:r>
        <w:rPr>
          <w:color w:val="231F20"/>
        </w:rPr>
        <w:t>often</w:t>
      </w:r>
      <w:r>
        <w:rPr>
          <w:color w:val="231F20"/>
          <w:spacing w:val="-4"/>
        </w:rPr>
        <w:t xml:space="preserve"> </w:t>
      </w:r>
      <w:r>
        <w:rPr>
          <w:color w:val="231F20"/>
        </w:rPr>
        <w:t>engage</w:t>
      </w:r>
      <w:r>
        <w:rPr>
          <w:color w:val="231F20"/>
          <w:spacing w:val="-4"/>
        </w:rPr>
        <w:t xml:space="preserve"> </w:t>
      </w:r>
      <w:r>
        <w:rPr>
          <w:color w:val="231F20"/>
        </w:rPr>
        <w:t>in</w:t>
      </w:r>
      <w:r>
        <w:rPr>
          <w:color w:val="231F20"/>
          <w:spacing w:val="-4"/>
        </w:rPr>
        <w:t xml:space="preserve"> </w:t>
      </w:r>
      <w:r>
        <w:rPr>
          <w:color w:val="231F20"/>
        </w:rPr>
        <w:t>an</w:t>
      </w:r>
      <w:r>
        <w:rPr>
          <w:color w:val="231F20"/>
          <w:spacing w:val="-4"/>
        </w:rPr>
        <w:t xml:space="preserve"> </w:t>
      </w:r>
      <w:r>
        <w:rPr>
          <w:color w:val="231F20"/>
        </w:rPr>
        <w:t>event travel career characterised by travel to triathlon events of increasing levels</w:t>
      </w:r>
      <w:r>
        <w:rPr>
          <w:color w:val="231F20"/>
          <w:spacing w:val="-10"/>
        </w:rPr>
        <w:t xml:space="preserve"> </w:t>
      </w:r>
      <w:r>
        <w:rPr>
          <w:color w:val="231F20"/>
        </w:rPr>
        <w:t>of</w:t>
      </w:r>
      <w:r>
        <w:rPr>
          <w:color w:val="231F20"/>
          <w:spacing w:val="-10"/>
        </w:rPr>
        <w:t xml:space="preserve"> </w:t>
      </w:r>
      <w:r>
        <w:rPr>
          <w:color w:val="231F20"/>
        </w:rPr>
        <w:t>challenge</w:t>
      </w:r>
      <w:r>
        <w:rPr>
          <w:color w:val="231F20"/>
          <w:spacing w:val="-10"/>
        </w:rPr>
        <w:t xml:space="preserve"> </w:t>
      </w:r>
      <w:r>
        <w:rPr>
          <w:color w:val="231F20"/>
        </w:rPr>
        <w:t>and/or</w:t>
      </w:r>
      <w:r>
        <w:rPr>
          <w:color w:val="231F20"/>
          <w:spacing w:val="-10"/>
        </w:rPr>
        <w:t xml:space="preserve"> </w:t>
      </w:r>
      <w:r>
        <w:rPr>
          <w:color w:val="231F20"/>
        </w:rPr>
        <w:t>prestige</w:t>
      </w:r>
      <w:r>
        <w:rPr>
          <w:color w:val="231F20"/>
          <w:spacing w:val="-10"/>
        </w:rPr>
        <w:t xml:space="preserve"> </w:t>
      </w:r>
      <w:r>
        <w:rPr>
          <w:color w:val="231F20"/>
        </w:rPr>
        <w:t>as</w:t>
      </w:r>
      <w:r>
        <w:rPr>
          <w:color w:val="231F20"/>
          <w:spacing w:val="-10"/>
        </w:rPr>
        <w:t xml:space="preserve"> </w:t>
      </w:r>
      <w:r>
        <w:rPr>
          <w:color w:val="231F20"/>
        </w:rPr>
        <w:t>time</w:t>
      </w:r>
      <w:r>
        <w:rPr>
          <w:color w:val="231F20"/>
          <w:spacing w:val="-10"/>
        </w:rPr>
        <w:t xml:space="preserve"> </w:t>
      </w:r>
      <w:r>
        <w:rPr>
          <w:color w:val="231F20"/>
        </w:rPr>
        <w:t>progresses.</w:t>
      </w:r>
    </w:p>
    <w:p w14:paraId="7FB563ED" w14:textId="77777777" w:rsidR="00AE0598" w:rsidRDefault="00AE0598">
      <w:pPr>
        <w:spacing w:line="232" w:lineRule="auto"/>
        <w:jc w:val="both"/>
        <w:sectPr w:rsidR="00AE0598">
          <w:pgSz w:w="8850" w:h="13270"/>
          <w:pgMar w:top="720" w:right="1060" w:bottom="280" w:left="1080" w:header="720" w:footer="720" w:gutter="0"/>
          <w:cols w:space="720"/>
        </w:sectPr>
      </w:pPr>
    </w:p>
    <w:p w14:paraId="6CC76DA9" w14:textId="738AEB55" w:rsidR="00AE0598" w:rsidRDefault="0069255A">
      <w:pPr>
        <w:spacing w:before="87"/>
        <w:ind w:left="4078"/>
        <w:rPr>
          <w:rFonts w:ascii="Trebuchet MS"/>
          <w:sz w:val="14"/>
        </w:rPr>
      </w:pPr>
      <w:r>
        <w:rPr>
          <w:noProof/>
        </w:rPr>
        <w:lastRenderedPageBreak/>
        <mc:AlternateContent>
          <mc:Choice Requires="wps">
            <w:drawing>
              <wp:anchor distT="0" distB="0" distL="114300" distR="114300" simplePos="0" relativeHeight="483735040" behindDoc="1" locked="0" layoutInCell="1" allowOverlap="1" wp14:anchorId="11548982" wp14:editId="48B56FB2">
                <wp:simplePos x="0" y="0"/>
                <wp:positionH relativeFrom="page">
                  <wp:posOffset>755650</wp:posOffset>
                </wp:positionH>
                <wp:positionV relativeFrom="page">
                  <wp:posOffset>838200</wp:posOffset>
                </wp:positionV>
                <wp:extent cx="4104005" cy="6649085"/>
                <wp:effectExtent l="0" t="0" r="0" b="0"/>
                <wp:wrapNone/>
                <wp:docPr id="138" name="docshape2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04005" cy="6649085"/>
                        </a:xfrm>
                        <a:prstGeom prst="rect">
                          <a:avLst/>
                        </a:prstGeom>
                        <a:solidFill>
                          <a:srgbClr val="DCDDD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3DE634" id="docshape228" o:spid="_x0000_s1026" style="position:absolute;margin-left:59.5pt;margin-top:66pt;width:323.15pt;height:523.55pt;z-index:-195814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" fillcolor="#dcddde" stroked="f">
                <w10:wrap anchorx="page" anchory="page"/>
              </v:rect>
            </w:pict>
          </mc:Fallback>
        </mc:AlternateContent>
      </w:r>
      <w:r>
        <w:rPr>
          <w:rFonts w:ascii="Trebuchet MS"/>
          <w:color w:val="231F20"/>
          <w:w w:val="105"/>
          <w:sz w:val="14"/>
        </w:rPr>
        <w:t>Sport</w:t>
      </w:r>
      <w:r>
        <w:rPr>
          <w:rFonts w:ascii="Trebuchet MS"/>
          <w:color w:val="231F20"/>
          <w:spacing w:val="-11"/>
          <w:w w:val="105"/>
          <w:sz w:val="14"/>
        </w:rPr>
        <w:t xml:space="preserve"> </w:t>
      </w:r>
      <w:r>
        <w:rPr>
          <w:rFonts w:ascii="Trebuchet MS"/>
          <w:color w:val="231F20"/>
          <w:w w:val="105"/>
          <w:sz w:val="14"/>
        </w:rPr>
        <w:t>and</w:t>
      </w:r>
      <w:r>
        <w:rPr>
          <w:rFonts w:ascii="Trebuchet MS"/>
          <w:color w:val="231F20"/>
          <w:spacing w:val="-11"/>
          <w:w w:val="105"/>
          <w:sz w:val="14"/>
        </w:rPr>
        <w:t xml:space="preserve"> </w:t>
      </w:r>
      <w:r>
        <w:rPr>
          <w:rFonts w:ascii="Trebuchet MS"/>
          <w:color w:val="231F20"/>
          <w:w w:val="105"/>
          <w:sz w:val="14"/>
        </w:rPr>
        <w:t>the</w:t>
      </w:r>
      <w:r>
        <w:rPr>
          <w:rFonts w:ascii="Trebuchet MS"/>
          <w:color w:val="231F20"/>
          <w:spacing w:val="-11"/>
          <w:w w:val="105"/>
          <w:sz w:val="14"/>
        </w:rPr>
        <w:t xml:space="preserve"> </w:t>
      </w:r>
      <w:r>
        <w:rPr>
          <w:rFonts w:ascii="Trebuchet MS"/>
          <w:color w:val="231F20"/>
          <w:w w:val="105"/>
          <w:sz w:val="14"/>
        </w:rPr>
        <w:t>Tourist</w:t>
      </w:r>
      <w:r>
        <w:rPr>
          <w:rFonts w:ascii="Trebuchet MS"/>
          <w:color w:val="231F20"/>
          <w:spacing w:val="-11"/>
          <w:w w:val="105"/>
          <w:sz w:val="14"/>
        </w:rPr>
        <w:t xml:space="preserve"> </w:t>
      </w:r>
      <w:r>
        <w:rPr>
          <w:rFonts w:ascii="Trebuchet MS"/>
          <w:color w:val="231F20"/>
          <w:w w:val="105"/>
          <w:sz w:val="14"/>
        </w:rPr>
        <w:t>Experience</w:t>
      </w:r>
      <w:r>
        <w:rPr>
          <w:rFonts w:ascii="Trebuchet MS"/>
          <w:color w:val="231F20"/>
          <w:spacing w:val="78"/>
          <w:w w:val="105"/>
          <w:sz w:val="14"/>
        </w:rPr>
        <w:t xml:space="preserve"> </w:t>
      </w:r>
      <w:r>
        <w:rPr>
          <w:rFonts w:ascii="Trebuchet MS"/>
          <w:color w:val="231F20"/>
          <w:spacing w:val="-5"/>
          <w:w w:val="105"/>
          <w:sz w:val="14"/>
        </w:rPr>
        <w:t>169</w:t>
      </w:r>
    </w:p>
    <w:p w14:paraId="39C6E242" w14:textId="77777777" w:rsidR="00AE0598" w:rsidRDefault="00AE0598">
      <w:pPr>
        <w:pStyle w:val="Corpodetexto"/>
        <w:spacing w:before="1"/>
        <w:rPr>
          <w:rFonts w:ascii="Trebuchet MS"/>
          <w:sz w:val="27"/>
        </w:rPr>
      </w:pPr>
    </w:p>
    <w:p w14:paraId="1DE2CD2E" w14:textId="77777777" w:rsidR="00AE0598" w:rsidRDefault="0069255A">
      <w:pPr>
        <w:pStyle w:val="Corpodetexto"/>
        <w:spacing w:before="103" w:line="232" w:lineRule="auto"/>
        <w:ind w:left="223" w:right="241" w:firstLine="320"/>
        <w:jc w:val="both"/>
      </w:pPr>
      <w:r>
        <w:rPr>
          <w:color w:val="231F20"/>
        </w:rPr>
        <w:t xml:space="preserve">Through an exploratory study consisting of a series of over 50 </w:t>
      </w:r>
      <w:r>
        <w:rPr>
          <w:color w:val="231F20"/>
          <w:w w:val="95"/>
        </w:rPr>
        <w:t>qualitative interviews conducted over a seven-year period, our research has</w:t>
      </w:r>
      <w:r>
        <w:rPr>
          <w:color w:val="231F20"/>
          <w:spacing w:val="-5"/>
          <w:w w:val="95"/>
        </w:rPr>
        <w:t xml:space="preserve"> </w:t>
      </w:r>
      <w:r>
        <w:rPr>
          <w:color w:val="231F20"/>
          <w:w w:val="95"/>
        </w:rPr>
        <w:t>revealed</w:t>
      </w:r>
      <w:r>
        <w:rPr>
          <w:color w:val="231F20"/>
          <w:spacing w:val="-5"/>
          <w:w w:val="95"/>
        </w:rPr>
        <w:t xml:space="preserve"> </w:t>
      </w:r>
      <w:r>
        <w:rPr>
          <w:color w:val="231F20"/>
          <w:w w:val="95"/>
        </w:rPr>
        <w:t>that</w:t>
      </w:r>
      <w:r>
        <w:rPr>
          <w:color w:val="231F20"/>
          <w:spacing w:val="-5"/>
          <w:w w:val="95"/>
        </w:rPr>
        <w:t xml:space="preserve"> </w:t>
      </w:r>
      <w:r>
        <w:rPr>
          <w:color w:val="231F20"/>
          <w:w w:val="95"/>
        </w:rPr>
        <w:t>in</w:t>
      </w:r>
      <w:r>
        <w:rPr>
          <w:color w:val="231F20"/>
          <w:spacing w:val="-5"/>
          <w:w w:val="95"/>
        </w:rPr>
        <w:t xml:space="preserve"> </w:t>
      </w:r>
      <w:r>
        <w:rPr>
          <w:color w:val="231F20"/>
          <w:w w:val="95"/>
        </w:rPr>
        <w:t>order</w:t>
      </w:r>
      <w:r>
        <w:rPr>
          <w:color w:val="231F20"/>
          <w:spacing w:val="-5"/>
          <w:w w:val="95"/>
        </w:rPr>
        <w:t xml:space="preserve"> </w:t>
      </w:r>
      <w:r>
        <w:rPr>
          <w:color w:val="231F20"/>
          <w:w w:val="95"/>
        </w:rPr>
        <w:t>to</w:t>
      </w:r>
      <w:r>
        <w:rPr>
          <w:color w:val="231F20"/>
          <w:spacing w:val="-5"/>
          <w:w w:val="95"/>
        </w:rPr>
        <w:t xml:space="preserve"> </w:t>
      </w:r>
      <w:r>
        <w:rPr>
          <w:color w:val="231F20"/>
          <w:w w:val="95"/>
        </w:rPr>
        <w:t>realise</w:t>
      </w:r>
      <w:r>
        <w:rPr>
          <w:color w:val="231F20"/>
          <w:spacing w:val="-5"/>
          <w:w w:val="95"/>
        </w:rPr>
        <w:t xml:space="preserve"> </w:t>
      </w:r>
      <w:r>
        <w:rPr>
          <w:color w:val="231F20"/>
          <w:w w:val="95"/>
        </w:rPr>
        <w:t>ongoing</w:t>
      </w:r>
      <w:r>
        <w:rPr>
          <w:color w:val="231F20"/>
          <w:spacing w:val="-5"/>
          <w:w w:val="95"/>
        </w:rPr>
        <w:t xml:space="preserve"> </w:t>
      </w:r>
      <w:r>
        <w:rPr>
          <w:color w:val="231F20"/>
          <w:w w:val="95"/>
        </w:rPr>
        <w:t>participation</w:t>
      </w:r>
      <w:r>
        <w:rPr>
          <w:color w:val="231F20"/>
          <w:spacing w:val="-5"/>
          <w:w w:val="95"/>
        </w:rPr>
        <w:t xml:space="preserve"> </w:t>
      </w:r>
      <w:r>
        <w:rPr>
          <w:color w:val="231F20"/>
          <w:w w:val="95"/>
        </w:rPr>
        <w:t>at</w:t>
      </w:r>
      <w:r>
        <w:rPr>
          <w:color w:val="231F20"/>
          <w:spacing w:val="-5"/>
          <w:w w:val="95"/>
        </w:rPr>
        <w:t xml:space="preserve"> </w:t>
      </w:r>
      <w:r>
        <w:rPr>
          <w:color w:val="231F20"/>
          <w:w w:val="95"/>
        </w:rPr>
        <w:t>their</w:t>
      </w:r>
      <w:r>
        <w:rPr>
          <w:color w:val="231F20"/>
          <w:spacing w:val="-5"/>
          <w:w w:val="95"/>
        </w:rPr>
        <w:t xml:space="preserve"> </w:t>
      </w:r>
      <w:r>
        <w:rPr>
          <w:color w:val="231F20"/>
          <w:w w:val="95"/>
        </w:rPr>
        <w:t xml:space="preserve">desired </w:t>
      </w:r>
      <w:r>
        <w:rPr>
          <w:color w:val="231F20"/>
        </w:rPr>
        <w:t xml:space="preserve">level, triathletes must inevitably navigate </w:t>
      </w:r>
      <w:r>
        <w:rPr>
          <w:color w:val="231F20"/>
        </w:rPr>
        <w:t xml:space="preserve">and negotiate a series of </w:t>
      </w:r>
      <w:r>
        <w:rPr>
          <w:color w:val="231F20"/>
          <w:w w:val="95"/>
        </w:rPr>
        <w:t xml:space="preserve">competing priorities which constrain participation (Lamont </w:t>
      </w:r>
      <w:r>
        <w:rPr>
          <w:i/>
          <w:color w:val="231F20"/>
          <w:w w:val="95"/>
        </w:rPr>
        <w:t>et al</w:t>
      </w:r>
      <w:r>
        <w:rPr>
          <w:color w:val="231F20"/>
          <w:w w:val="95"/>
        </w:rPr>
        <w:t xml:space="preserve">., 2012). </w:t>
      </w:r>
      <w:r>
        <w:rPr>
          <w:color w:val="231F20"/>
        </w:rPr>
        <w:t>These</w:t>
      </w:r>
      <w:r>
        <w:rPr>
          <w:color w:val="231F20"/>
          <w:spacing w:val="-5"/>
        </w:rPr>
        <w:t xml:space="preserve"> </w:t>
      </w:r>
      <w:r>
        <w:rPr>
          <w:color w:val="231F20"/>
        </w:rPr>
        <w:t>interrelated</w:t>
      </w:r>
      <w:r>
        <w:rPr>
          <w:color w:val="231F20"/>
          <w:spacing w:val="-5"/>
        </w:rPr>
        <w:t xml:space="preserve"> </w:t>
      </w:r>
      <w:r>
        <w:rPr>
          <w:color w:val="231F20"/>
        </w:rPr>
        <w:t>competing</w:t>
      </w:r>
      <w:r>
        <w:rPr>
          <w:color w:val="231F20"/>
          <w:spacing w:val="-5"/>
        </w:rPr>
        <w:t xml:space="preserve"> </w:t>
      </w:r>
      <w:r>
        <w:rPr>
          <w:color w:val="231F20"/>
        </w:rPr>
        <w:t>priorities</w:t>
      </w:r>
      <w:r>
        <w:rPr>
          <w:color w:val="231F20"/>
          <w:spacing w:val="-5"/>
        </w:rPr>
        <w:t xml:space="preserve"> </w:t>
      </w:r>
      <w:r>
        <w:rPr>
          <w:color w:val="231F20"/>
        </w:rPr>
        <w:t>include</w:t>
      </w:r>
      <w:r>
        <w:rPr>
          <w:color w:val="231F20"/>
          <w:spacing w:val="-5"/>
        </w:rPr>
        <w:t xml:space="preserve"> </w:t>
      </w:r>
      <w:r>
        <w:rPr>
          <w:color w:val="231F20"/>
        </w:rPr>
        <w:t>familial</w:t>
      </w:r>
      <w:r>
        <w:rPr>
          <w:color w:val="231F20"/>
          <w:spacing w:val="-5"/>
        </w:rPr>
        <w:t xml:space="preserve"> </w:t>
      </w:r>
      <w:r>
        <w:rPr>
          <w:color w:val="231F20"/>
        </w:rPr>
        <w:t xml:space="preserve">relationships, </w:t>
      </w:r>
      <w:r>
        <w:rPr>
          <w:color w:val="231F20"/>
          <w:w w:val="95"/>
        </w:rPr>
        <w:t>domestic</w:t>
      </w:r>
      <w:r>
        <w:rPr>
          <w:color w:val="231F20"/>
          <w:spacing w:val="-8"/>
          <w:w w:val="95"/>
        </w:rPr>
        <w:t xml:space="preserve"> </w:t>
      </w:r>
      <w:r>
        <w:rPr>
          <w:color w:val="231F20"/>
          <w:w w:val="95"/>
        </w:rPr>
        <w:t>responsibilities,</w:t>
      </w:r>
      <w:r>
        <w:rPr>
          <w:color w:val="231F20"/>
          <w:spacing w:val="-8"/>
          <w:w w:val="95"/>
        </w:rPr>
        <w:t xml:space="preserve"> </w:t>
      </w:r>
      <w:r>
        <w:rPr>
          <w:color w:val="231F20"/>
          <w:w w:val="95"/>
        </w:rPr>
        <w:t>sociability,</w:t>
      </w:r>
      <w:r>
        <w:rPr>
          <w:color w:val="231F20"/>
          <w:spacing w:val="-8"/>
          <w:w w:val="95"/>
        </w:rPr>
        <w:t xml:space="preserve"> </w:t>
      </w:r>
      <w:r>
        <w:rPr>
          <w:color w:val="231F20"/>
          <w:w w:val="95"/>
        </w:rPr>
        <w:t>finances,</w:t>
      </w:r>
      <w:r>
        <w:rPr>
          <w:color w:val="231F20"/>
          <w:spacing w:val="-8"/>
          <w:w w:val="95"/>
        </w:rPr>
        <w:t xml:space="preserve"> </w:t>
      </w:r>
      <w:r>
        <w:rPr>
          <w:color w:val="231F20"/>
          <w:w w:val="95"/>
        </w:rPr>
        <w:t>other</w:t>
      </w:r>
      <w:r>
        <w:rPr>
          <w:color w:val="231F20"/>
          <w:spacing w:val="-8"/>
          <w:w w:val="95"/>
        </w:rPr>
        <w:t xml:space="preserve"> </w:t>
      </w:r>
      <w:r>
        <w:rPr>
          <w:color w:val="231F20"/>
          <w:w w:val="95"/>
        </w:rPr>
        <w:t>leisure</w:t>
      </w:r>
      <w:r>
        <w:rPr>
          <w:color w:val="231F20"/>
          <w:spacing w:val="-8"/>
          <w:w w:val="95"/>
        </w:rPr>
        <w:t xml:space="preserve"> </w:t>
      </w:r>
      <w:r>
        <w:rPr>
          <w:color w:val="231F20"/>
          <w:w w:val="95"/>
        </w:rPr>
        <w:t>options,</w:t>
      </w:r>
      <w:r>
        <w:rPr>
          <w:color w:val="231F20"/>
          <w:spacing w:val="-8"/>
          <w:w w:val="95"/>
        </w:rPr>
        <w:t xml:space="preserve"> </w:t>
      </w:r>
      <w:r>
        <w:rPr>
          <w:color w:val="231F20"/>
          <w:w w:val="95"/>
        </w:rPr>
        <w:t xml:space="preserve">well- </w:t>
      </w:r>
      <w:r>
        <w:rPr>
          <w:color w:val="231F20"/>
        </w:rPr>
        <w:t>being and work/education. For example, when a triathlete engages in extensive</w:t>
      </w:r>
      <w:r>
        <w:rPr>
          <w:color w:val="231F20"/>
          <w:spacing w:val="-3"/>
        </w:rPr>
        <w:t xml:space="preserve"> </w:t>
      </w:r>
      <w:r>
        <w:rPr>
          <w:color w:val="231F20"/>
        </w:rPr>
        <w:t>physical</w:t>
      </w:r>
      <w:r>
        <w:rPr>
          <w:color w:val="231F20"/>
          <w:spacing w:val="-3"/>
        </w:rPr>
        <w:t xml:space="preserve"> </w:t>
      </w:r>
      <w:r>
        <w:rPr>
          <w:color w:val="231F20"/>
        </w:rPr>
        <w:t>training</w:t>
      </w:r>
      <w:r>
        <w:rPr>
          <w:color w:val="231F20"/>
          <w:spacing w:val="-3"/>
        </w:rPr>
        <w:t xml:space="preserve"> </w:t>
      </w:r>
      <w:r>
        <w:rPr>
          <w:color w:val="231F20"/>
        </w:rPr>
        <w:t>leading</w:t>
      </w:r>
      <w:r>
        <w:rPr>
          <w:color w:val="231F20"/>
          <w:spacing w:val="-3"/>
        </w:rPr>
        <w:t xml:space="preserve"> </w:t>
      </w:r>
      <w:r>
        <w:rPr>
          <w:color w:val="231F20"/>
        </w:rPr>
        <w:t>up</w:t>
      </w:r>
      <w:r>
        <w:rPr>
          <w:color w:val="231F20"/>
          <w:spacing w:val="-3"/>
        </w:rPr>
        <w:t xml:space="preserve"> </w:t>
      </w:r>
      <w:r>
        <w:rPr>
          <w:color w:val="231F20"/>
        </w:rPr>
        <w:t>to</w:t>
      </w:r>
      <w:r>
        <w:rPr>
          <w:color w:val="231F20"/>
          <w:spacing w:val="-3"/>
        </w:rPr>
        <w:t xml:space="preserve"> </w:t>
      </w:r>
      <w:r>
        <w:rPr>
          <w:color w:val="231F20"/>
        </w:rPr>
        <w:t>an</w:t>
      </w:r>
      <w:r>
        <w:rPr>
          <w:color w:val="231F20"/>
          <w:spacing w:val="-3"/>
        </w:rPr>
        <w:t xml:space="preserve"> </w:t>
      </w:r>
      <w:r>
        <w:rPr>
          <w:color w:val="231F20"/>
        </w:rPr>
        <w:t>event,</w:t>
      </w:r>
      <w:r>
        <w:rPr>
          <w:color w:val="231F20"/>
          <w:spacing w:val="-3"/>
        </w:rPr>
        <w:t xml:space="preserve"> </w:t>
      </w:r>
      <w:r>
        <w:rPr>
          <w:color w:val="231F20"/>
        </w:rPr>
        <w:t>he</w:t>
      </w:r>
      <w:r>
        <w:rPr>
          <w:color w:val="231F20"/>
          <w:spacing w:val="-3"/>
        </w:rPr>
        <w:t xml:space="preserve"> </w:t>
      </w:r>
      <w:r>
        <w:rPr>
          <w:color w:val="231F20"/>
        </w:rPr>
        <w:t>or</w:t>
      </w:r>
      <w:r>
        <w:rPr>
          <w:color w:val="231F20"/>
          <w:spacing w:val="-3"/>
        </w:rPr>
        <w:t xml:space="preserve"> </w:t>
      </w:r>
      <w:r>
        <w:rPr>
          <w:color w:val="231F20"/>
        </w:rPr>
        <w:t>she</w:t>
      </w:r>
      <w:r>
        <w:rPr>
          <w:color w:val="231F20"/>
          <w:spacing w:val="-3"/>
        </w:rPr>
        <w:t xml:space="preserve"> </w:t>
      </w:r>
      <w:r>
        <w:rPr>
          <w:color w:val="231F20"/>
        </w:rPr>
        <w:t>may</w:t>
      </w:r>
      <w:r>
        <w:rPr>
          <w:color w:val="231F20"/>
          <w:spacing w:val="-3"/>
        </w:rPr>
        <w:t xml:space="preserve"> </w:t>
      </w:r>
      <w:r>
        <w:rPr>
          <w:color w:val="231F20"/>
        </w:rPr>
        <w:t>have less time and energy for family and friends, domestic responsibilities and work. Our research has shown that am</w:t>
      </w:r>
      <w:r>
        <w:rPr>
          <w:color w:val="231F20"/>
        </w:rPr>
        <w:t>ateur triathletes negotiate constraints via the acceptance of opportunity costs, being pragmatic about</w:t>
      </w:r>
      <w:r>
        <w:rPr>
          <w:color w:val="231F20"/>
          <w:spacing w:val="-6"/>
        </w:rPr>
        <w:t xml:space="preserve"> </w:t>
      </w:r>
      <w:r>
        <w:rPr>
          <w:color w:val="231F20"/>
        </w:rPr>
        <w:t>their</w:t>
      </w:r>
      <w:r>
        <w:rPr>
          <w:color w:val="231F20"/>
          <w:spacing w:val="-6"/>
        </w:rPr>
        <w:t xml:space="preserve"> </w:t>
      </w:r>
      <w:r>
        <w:rPr>
          <w:color w:val="231F20"/>
        </w:rPr>
        <w:t>performance,</w:t>
      </w:r>
      <w:r>
        <w:rPr>
          <w:color w:val="231F20"/>
          <w:spacing w:val="-6"/>
        </w:rPr>
        <w:t xml:space="preserve"> </w:t>
      </w:r>
      <w:r>
        <w:rPr>
          <w:color w:val="231F20"/>
        </w:rPr>
        <w:t>engaging</w:t>
      </w:r>
      <w:r>
        <w:rPr>
          <w:color w:val="231F20"/>
          <w:spacing w:val="-6"/>
        </w:rPr>
        <w:t xml:space="preserve"> </w:t>
      </w:r>
      <w:r>
        <w:rPr>
          <w:color w:val="231F20"/>
        </w:rPr>
        <w:t>in</w:t>
      </w:r>
      <w:r>
        <w:rPr>
          <w:color w:val="231F20"/>
          <w:spacing w:val="-6"/>
        </w:rPr>
        <w:t xml:space="preserve"> </w:t>
      </w:r>
      <w:r>
        <w:rPr>
          <w:color w:val="231F20"/>
        </w:rPr>
        <w:t>planning</w:t>
      </w:r>
      <w:r>
        <w:rPr>
          <w:color w:val="231F20"/>
          <w:spacing w:val="-6"/>
        </w:rPr>
        <w:t xml:space="preserve"> </w:t>
      </w:r>
      <w:r>
        <w:rPr>
          <w:color w:val="231F20"/>
        </w:rPr>
        <w:t>and</w:t>
      </w:r>
      <w:r>
        <w:rPr>
          <w:color w:val="231F20"/>
          <w:spacing w:val="-6"/>
        </w:rPr>
        <w:t xml:space="preserve"> </w:t>
      </w:r>
      <w:r>
        <w:rPr>
          <w:color w:val="231F20"/>
        </w:rPr>
        <w:t>time</w:t>
      </w:r>
      <w:r>
        <w:rPr>
          <w:color w:val="231F20"/>
          <w:spacing w:val="-6"/>
        </w:rPr>
        <w:t xml:space="preserve"> </w:t>
      </w:r>
      <w:r>
        <w:rPr>
          <w:color w:val="231F20"/>
        </w:rPr>
        <w:t>management, communicating and cooperating with significant others and being opportunistic</w:t>
      </w:r>
      <w:r>
        <w:rPr>
          <w:color w:val="231F20"/>
          <w:spacing w:val="-8"/>
        </w:rPr>
        <w:t xml:space="preserve"> </w:t>
      </w:r>
      <w:r>
        <w:rPr>
          <w:color w:val="231F20"/>
        </w:rPr>
        <w:t>and</w:t>
      </w:r>
      <w:r>
        <w:rPr>
          <w:color w:val="231F20"/>
          <w:spacing w:val="-8"/>
        </w:rPr>
        <w:t xml:space="preserve"> </w:t>
      </w:r>
      <w:r>
        <w:rPr>
          <w:color w:val="231F20"/>
        </w:rPr>
        <w:t>flexible</w:t>
      </w:r>
      <w:r>
        <w:rPr>
          <w:color w:val="231F20"/>
          <w:spacing w:val="-8"/>
        </w:rPr>
        <w:t xml:space="preserve"> </w:t>
      </w:r>
      <w:r>
        <w:rPr>
          <w:color w:val="231F20"/>
        </w:rPr>
        <w:t>w</w:t>
      </w:r>
      <w:r>
        <w:rPr>
          <w:color w:val="231F20"/>
        </w:rPr>
        <w:t>ith</w:t>
      </w:r>
      <w:r>
        <w:rPr>
          <w:color w:val="231F20"/>
          <w:spacing w:val="-8"/>
        </w:rPr>
        <w:t xml:space="preserve"> </w:t>
      </w:r>
      <w:r>
        <w:rPr>
          <w:color w:val="231F20"/>
        </w:rPr>
        <w:t>training</w:t>
      </w:r>
      <w:r>
        <w:rPr>
          <w:color w:val="231F20"/>
          <w:spacing w:val="-8"/>
        </w:rPr>
        <w:t xml:space="preserve"> </w:t>
      </w:r>
      <w:r>
        <w:rPr>
          <w:color w:val="231F20"/>
        </w:rPr>
        <w:t>(Kennelly</w:t>
      </w:r>
      <w:r>
        <w:rPr>
          <w:color w:val="231F20"/>
          <w:spacing w:val="-8"/>
        </w:rPr>
        <w:t xml:space="preserve"> </w:t>
      </w:r>
      <w:r>
        <w:rPr>
          <w:i/>
          <w:color w:val="231F20"/>
        </w:rPr>
        <w:t>et</w:t>
      </w:r>
      <w:r>
        <w:rPr>
          <w:i/>
          <w:color w:val="231F20"/>
          <w:spacing w:val="-8"/>
        </w:rPr>
        <w:t xml:space="preserve"> </w:t>
      </w:r>
      <w:r>
        <w:rPr>
          <w:i/>
          <w:color w:val="231F20"/>
        </w:rPr>
        <w:t>al</w:t>
      </w:r>
      <w:r>
        <w:rPr>
          <w:color w:val="231F20"/>
        </w:rPr>
        <w:t>.,</w:t>
      </w:r>
      <w:r>
        <w:rPr>
          <w:color w:val="231F20"/>
          <w:spacing w:val="-8"/>
        </w:rPr>
        <w:t xml:space="preserve"> </w:t>
      </w:r>
      <w:r>
        <w:rPr>
          <w:color w:val="231F20"/>
        </w:rPr>
        <w:t>2013).</w:t>
      </w:r>
    </w:p>
    <w:p w14:paraId="20E610F7" w14:textId="77777777" w:rsidR="00AE0598" w:rsidRDefault="0069255A">
      <w:pPr>
        <w:pStyle w:val="Corpodetexto"/>
        <w:spacing w:before="18" w:line="232" w:lineRule="auto"/>
        <w:ind w:left="223" w:right="240" w:firstLine="320"/>
        <w:jc w:val="both"/>
      </w:pPr>
      <w:r>
        <w:rPr>
          <w:color w:val="231F20"/>
        </w:rPr>
        <w:t>Despite encountering significant opportunity costs, our research suggests</w:t>
      </w:r>
      <w:r>
        <w:rPr>
          <w:color w:val="231F20"/>
          <w:spacing w:val="-5"/>
        </w:rPr>
        <w:t xml:space="preserve"> </w:t>
      </w:r>
      <w:r>
        <w:rPr>
          <w:color w:val="231F20"/>
        </w:rPr>
        <w:t>that</w:t>
      </w:r>
      <w:r>
        <w:rPr>
          <w:color w:val="231F20"/>
          <w:spacing w:val="-5"/>
        </w:rPr>
        <w:t xml:space="preserve"> </w:t>
      </w:r>
      <w:r>
        <w:rPr>
          <w:color w:val="231F20"/>
        </w:rPr>
        <w:t>amateur</w:t>
      </w:r>
      <w:r>
        <w:rPr>
          <w:color w:val="231F20"/>
          <w:spacing w:val="-5"/>
        </w:rPr>
        <w:t xml:space="preserve"> </w:t>
      </w:r>
      <w:r>
        <w:rPr>
          <w:color w:val="231F20"/>
        </w:rPr>
        <w:t>athletes</w:t>
      </w:r>
      <w:r>
        <w:rPr>
          <w:color w:val="231F20"/>
          <w:spacing w:val="-5"/>
        </w:rPr>
        <w:t xml:space="preserve"> </w:t>
      </w:r>
      <w:r>
        <w:rPr>
          <w:color w:val="231F20"/>
        </w:rPr>
        <w:t>have</w:t>
      </w:r>
      <w:r>
        <w:rPr>
          <w:color w:val="231F20"/>
          <w:spacing w:val="-5"/>
        </w:rPr>
        <w:t xml:space="preserve"> </w:t>
      </w:r>
      <w:r>
        <w:rPr>
          <w:color w:val="231F20"/>
        </w:rPr>
        <w:t>an</w:t>
      </w:r>
      <w:r>
        <w:rPr>
          <w:color w:val="231F20"/>
          <w:spacing w:val="-5"/>
        </w:rPr>
        <w:t xml:space="preserve"> </w:t>
      </w:r>
      <w:r>
        <w:rPr>
          <w:color w:val="231F20"/>
        </w:rPr>
        <w:t>enduring</w:t>
      </w:r>
      <w:r>
        <w:rPr>
          <w:color w:val="231F20"/>
          <w:spacing w:val="-5"/>
        </w:rPr>
        <w:t xml:space="preserve"> </w:t>
      </w:r>
      <w:r>
        <w:rPr>
          <w:color w:val="231F20"/>
        </w:rPr>
        <w:t>commitment</w:t>
      </w:r>
      <w:r>
        <w:rPr>
          <w:color w:val="231F20"/>
          <w:spacing w:val="-5"/>
        </w:rPr>
        <w:t xml:space="preserve"> </w:t>
      </w:r>
      <w:r>
        <w:rPr>
          <w:color w:val="231F20"/>
        </w:rPr>
        <w:t>to</w:t>
      </w:r>
      <w:r>
        <w:rPr>
          <w:color w:val="231F20"/>
          <w:spacing w:val="-5"/>
        </w:rPr>
        <w:t xml:space="preserve"> </w:t>
      </w:r>
      <w:r>
        <w:rPr>
          <w:color w:val="231F20"/>
        </w:rPr>
        <w:t>their sport.</w:t>
      </w:r>
      <w:r>
        <w:rPr>
          <w:color w:val="231F20"/>
          <w:spacing w:val="-12"/>
        </w:rPr>
        <w:t xml:space="preserve"> </w:t>
      </w:r>
      <w:r>
        <w:rPr>
          <w:color w:val="231F20"/>
        </w:rPr>
        <w:t>A</w:t>
      </w:r>
      <w:r>
        <w:rPr>
          <w:color w:val="231F20"/>
          <w:spacing w:val="-12"/>
        </w:rPr>
        <w:t xml:space="preserve"> </w:t>
      </w:r>
      <w:r>
        <w:rPr>
          <w:color w:val="231F20"/>
        </w:rPr>
        <w:t>secondary</w:t>
      </w:r>
      <w:r>
        <w:rPr>
          <w:color w:val="231F20"/>
          <w:spacing w:val="-11"/>
        </w:rPr>
        <w:t xml:space="preserve"> </w:t>
      </w:r>
      <w:r>
        <w:rPr>
          <w:color w:val="231F20"/>
        </w:rPr>
        <w:t>aspect</w:t>
      </w:r>
      <w:r>
        <w:rPr>
          <w:color w:val="231F20"/>
          <w:spacing w:val="-12"/>
        </w:rPr>
        <w:t xml:space="preserve"> </w:t>
      </w:r>
      <w:r>
        <w:rPr>
          <w:color w:val="231F20"/>
        </w:rPr>
        <w:t>of</w:t>
      </w:r>
      <w:r>
        <w:rPr>
          <w:color w:val="231F20"/>
          <w:spacing w:val="-11"/>
        </w:rPr>
        <w:t xml:space="preserve"> </w:t>
      </w:r>
      <w:r>
        <w:rPr>
          <w:color w:val="231F20"/>
        </w:rPr>
        <w:t>this</w:t>
      </w:r>
      <w:r>
        <w:rPr>
          <w:color w:val="231F20"/>
          <w:spacing w:val="-12"/>
        </w:rPr>
        <w:t xml:space="preserve"> </w:t>
      </w:r>
      <w:r>
        <w:rPr>
          <w:color w:val="231F20"/>
        </w:rPr>
        <w:t>research</w:t>
      </w:r>
      <w:r>
        <w:rPr>
          <w:color w:val="231F20"/>
          <w:spacing w:val="-11"/>
        </w:rPr>
        <w:t xml:space="preserve"> </w:t>
      </w:r>
      <w:r>
        <w:rPr>
          <w:color w:val="231F20"/>
        </w:rPr>
        <w:t>was</w:t>
      </w:r>
      <w:r>
        <w:rPr>
          <w:color w:val="231F20"/>
          <w:spacing w:val="-12"/>
        </w:rPr>
        <w:t xml:space="preserve"> </w:t>
      </w:r>
      <w:r>
        <w:rPr>
          <w:color w:val="231F20"/>
        </w:rPr>
        <w:t>conducted</w:t>
      </w:r>
      <w:r>
        <w:rPr>
          <w:color w:val="231F20"/>
          <w:spacing w:val="-12"/>
        </w:rPr>
        <w:t xml:space="preserve"> </w:t>
      </w:r>
      <w:r>
        <w:rPr>
          <w:color w:val="231F20"/>
        </w:rPr>
        <w:t>following</w:t>
      </w:r>
      <w:r>
        <w:rPr>
          <w:color w:val="231F20"/>
          <w:spacing w:val="-11"/>
        </w:rPr>
        <w:t xml:space="preserve"> </w:t>
      </w:r>
      <w:r>
        <w:rPr>
          <w:color w:val="231F20"/>
        </w:rPr>
        <w:t xml:space="preserve">the cancellation of an Ironman triathlon in New Zealand in 2012, and we found that amateur athletes tend to persevere through ‘costs’ such as the reduction of a full to a half Ironman event to enable their ongoing </w:t>
      </w:r>
      <w:r>
        <w:rPr>
          <w:color w:val="231F20"/>
          <w:spacing w:val="-2"/>
        </w:rPr>
        <w:t>participation</w:t>
      </w:r>
      <w:r>
        <w:rPr>
          <w:color w:val="231F20"/>
          <w:spacing w:val="-9"/>
        </w:rPr>
        <w:t xml:space="preserve"> </w:t>
      </w:r>
      <w:r>
        <w:rPr>
          <w:color w:val="231F20"/>
          <w:spacing w:val="-2"/>
        </w:rPr>
        <w:t>(Moyle</w:t>
      </w:r>
      <w:r>
        <w:rPr>
          <w:color w:val="231F20"/>
          <w:spacing w:val="-9"/>
        </w:rPr>
        <w:t xml:space="preserve"> </w:t>
      </w:r>
      <w:r>
        <w:rPr>
          <w:i/>
          <w:color w:val="231F20"/>
          <w:spacing w:val="-2"/>
        </w:rPr>
        <w:t>et</w:t>
      </w:r>
      <w:r>
        <w:rPr>
          <w:i/>
          <w:color w:val="231F20"/>
          <w:spacing w:val="-9"/>
        </w:rPr>
        <w:t xml:space="preserve"> </w:t>
      </w:r>
      <w:r>
        <w:rPr>
          <w:i/>
          <w:color w:val="231F20"/>
          <w:spacing w:val="-2"/>
        </w:rPr>
        <w:t>al</w:t>
      </w:r>
      <w:r>
        <w:rPr>
          <w:color w:val="231F20"/>
          <w:spacing w:val="-2"/>
        </w:rPr>
        <w:t>.,</w:t>
      </w:r>
      <w:r>
        <w:rPr>
          <w:color w:val="231F20"/>
          <w:spacing w:val="-9"/>
        </w:rPr>
        <w:t xml:space="preserve"> </w:t>
      </w:r>
      <w:r>
        <w:rPr>
          <w:color w:val="231F20"/>
          <w:spacing w:val="-2"/>
        </w:rPr>
        <w:t>2014).</w:t>
      </w:r>
      <w:r>
        <w:rPr>
          <w:color w:val="231F20"/>
          <w:spacing w:val="-9"/>
        </w:rPr>
        <w:t xml:space="preserve"> </w:t>
      </w:r>
      <w:r>
        <w:rPr>
          <w:color w:val="231F20"/>
          <w:spacing w:val="-2"/>
        </w:rPr>
        <w:t>It</w:t>
      </w:r>
      <w:r>
        <w:rPr>
          <w:color w:val="231F20"/>
          <w:spacing w:val="-9"/>
        </w:rPr>
        <w:t xml:space="preserve"> </w:t>
      </w:r>
      <w:r>
        <w:rPr>
          <w:color w:val="231F20"/>
          <w:spacing w:val="-2"/>
        </w:rPr>
        <w:t>was</w:t>
      </w:r>
      <w:r>
        <w:rPr>
          <w:color w:val="231F20"/>
          <w:spacing w:val="-9"/>
        </w:rPr>
        <w:t xml:space="preserve"> </w:t>
      </w:r>
      <w:r>
        <w:rPr>
          <w:color w:val="231F20"/>
          <w:spacing w:val="-2"/>
        </w:rPr>
        <w:t>identified</w:t>
      </w:r>
      <w:r>
        <w:rPr>
          <w:color w:val="231F20"/>
          <w:spacing w:val="-9"/>
        </w:rPr>
        <w:t xml:space="preserve"> </w:t>
      </w:r>
      <w:r>
        <w:rPr>
          <w:color w:val="231F20"/>
          <w:spacing w:val="-2"/>
        </w:rPr>
        <w:t>that</w:t>
      </w:r>
      <w:r>
        <w:rPr>
          <w:color w:val="231F20"/>
          <w:spacing w:val="-9"/>
        </w:rPr>
        <w:t xml:space="preserve"> </w:t>
      </w:r>
      <w:r>
        <w:rPr>
          <w:color w:val="231F20"/>
          <w:spacing w:val="-2"/>
        </w:rPr>
        <w:t>in</w:t>
      </w:r>
      <w:r>
        <w:rPr>
          <w:color w:val="231F20"/>
          <w:spacing w:val="-9"/>
        </w:rPr>
        <w:t xml:space="preserve"> </w:t>
      </w:r>
      <w:r>
        <w:rPr>
          <w:color w:val="231F20"/>
          <w:spacing w:val="-2"/>
        </w:rPr>
        <w:t xml:space="preserve">event-centred </w:t>
      </w:r>
      <w:r>
        <w:rPr>
          <w:color w:val="231F20"/>
          <w:w w:val="90"/>
        </w:rPr>
        <w:t xml:space="preserve">serious leisure, event cancellation is a significant cost that will invoke a need </w:t>
      </w:r>
      <w:r>
        <w:rPr>
          <w:color w:val="231F20"/>
          <w:w w:val="95"/>
        </w:rPr>
        <w:t>to</w:t>
      </w:r>
      <w:r>
        <w:rPr>
          <w:color w:val="231F20"/>
          <w:spacing w:val="-8"/>
          <w:w w:val="95"/>
        </w:rPr>
        <w:t xml:space="preserve"> </w:t>
      </w:r>
      <w:r>
        <w:rPr>
          <w:color w:val="231F20"/>
          <w:w w:val="95"/>
        </w:rPr>
        <w:t>persevere</w:t>
      </w:r>
      <w:r>
        <w:rPr>
          <w:color w:val="231F20"/>
          <w:spacing w:val="-8"/>
          <w:w w:val="95"/>
        </w:rPr>
        <w:t xml:space="preserve"> </w:t>
      </w:r>
      <w:r>
        <w:rPr>
          <w:color w:val="231F20"/>
          <w:w w:val="95"/>
        </w:rPr>
        <w:t>if</w:t>
      </w:r>
      <w:r>
        <w:rPr>
          <w:color w:val="231F20"/>
        </w:rPr>
        <w:t xml:space="preserve"> </w:t>
      </w:r>
      <w:r>
        <w:rPr>
          <w:color w:val="231F20"/>
          <w:w w:val="95"/>
        </w:rPr>
        <w:t>participation</w:t>
      </w:r>
      <w:r>
        <w:rPr>
          <w:color w:val="231F20"/>
          <w:spacing w:val="-8"/>
          <w:w w:val="95"/>
        </w:rPr>
        <w:t xml:space="preserve"> </w:t>
      </w:r>
      <w:r>
        <w:rPr>
          <w:color w:val="231F20"/>
          <w:w w:val="95"/>
        </w:rPr>
        <w:t>is</w:t>
      </w:r>
      <w:r>
        <w:rPr>
          <w:color w:val="231F20"/>
          <w:spacing w:val="-8"/>
          <w:w w:val="95"/>
        </w:rPr>
        <w:t xml:space="preserve"> </w:t>
      </w:r>
      <w:r>
        <w:rPr>
          <w:color w:val="231F20"/>
          <w:w w:val="95"/>
        </w:rPr>
        <w:t>to</w:t>
      </w:r>
      <w:r>
        <w:rPr>
          <w:color w:val="231F20"/>
          <w:spacing w:val="-8"/>
          <w:w w:val="95"/>
        </w:rPr>
        <w:t xml:space="preserve"> </w:t>
      </w:r>
      <w:r>
        <w:rPr>
          <w:color w:val="231F20"/>
          <w:w w:val="95"/>
        </w:rPr>
        <w:t>continue.</w:t>
      </w:r>
      <w:r>
        <w:rPr>
          <w:color w:val="231F20"/>
          <w:spacing w:val="-8"/>
          <w:w w:val="95"/>
        </w:rPr>
        <w:t xml:space="preserve"> </w:t>
      </w:r>
      <w:r>
        <w:rPr>
          <w:color w:val="231F20"/>
          <w:w w:val="95"/>
        </w:rPr>
        <w:t>In</w:t>
      </w:r>
      <w:r>
        <w:rPr>
          <w:color w:val="231F20"/>
          <w:spacing w:val="-8"/>
          <w:w w:val="95"/>
        </w:rPr>
        <w:t xml:space="preserve"> </w:t>
      </w:r>
      <w:r>
        <w:rPr>
          <w:color w:val="231F20"/>
          <w:w w:val="95"/>
        </w:rPr>
        <w:t>addition,</w:t>
      </w:r>
      <w:r>
        <w:rPr>
          <w:color w:val="231F20"/>
          <w:spacing w:val="-8"/>
          <w:w w:val="95"/>
        </w:rPr>
        <w:t xml:space="preserve"> </w:t>
      </w:r>
      <w:r>
        <w:rPr>
          <w:color w:val="231F20"/>
          <w:w w:val="95"/>
        </w:rPr>
        <w:t>the</w:t>
      </w:r>
      <w:r>
        <w:rPr>
          <w:color w:val="231F20"/>
          <w:spacing w:val="-8"/>
          <w:w w:val="95"/>
        </w:rPr>
        <w:t xml:space="preserve"> </w:t>
      </w:r>
      <w:r>
        <w:rPr>
          <w:color w:val="231F20"/>
          <w:w w:val="95"/>
        </w:rPr>
        <w:t>research</w:t>
      </w:r>
      <w:r>
        <w:rPr>
          <w:color w:val="231F20"/>
          <w:spacing w:val="-8"/>
          <w:w w:val="95"/>
        </w:rPr>
        <w:t xml:space="preserve"> </w:t>
      </w:r>
      <w:r>
        <w:rPr>
          <w:color w:val="231F20"/>
          <w:w w:val="95"/>
        </w:rPr>
        <w:t>found that</w:t>
      </w:r>
      <w:r>
        <w:rPr>
          <w:color w:val="231F20"/>
          <w:spacing w:val="-10"/>
          <w:w w:val="95"/>
        </w:rPr>
        <w:t xml:space="preserve"> </w:t>
      </w:r>
      <w:r>
        <w:rPr>
          <w:color w:val="231F20"/>
          <w:w w:val="95"/>
        </w:rPr>
        <w:t>experiencing</w:t>
      </w:r>
      <w:r>
        <w:rPr>
          <w:color w:val="231F20"/>
          <w:spacing w:val="-9"/>
          <w:w w:val="95"/>
        </w:rPr>
        <w:t xml:space="preserve"> </w:t>
      </w:r>
      <w:r>
        <w:rPr>
          <w:color w:val="231F20"/>
          <w:w w:val="95"/>
        </w:rPr>
        <w:t>significant,</w:t>
      </w:r>
      <w:r>
        <w:rPr>
          <w:color w:val="231F20"/>
          <w:spacing w:val="-9"/>
          <w:w w:val="95"/>
        </w:rPr>
        <w:t xml:space="preserve"> </w:t>
      </w:r>
      <w:r>
        <w:rPr>
          <w:color w:val="231F20"/>
          <w:w w:val="95"/>
        </w:rPr>
        <w:t>stand-alone</w:t>
      </w:r>
      <w:r>
        <w:rPr>
          <w:color w:val="231F20"/>
          <w:spacing w:val="-9"/>
          <w:w w:val="95"/>
        </w:rPr>
        <w:t xml:space="preserve"> </w:t>
      </w:r>
      <w:r>
        <w:rPr>
          <w:color w:val="231F20"/>
          <w:w w:val="95"/>
        </w:rPr>
        <w:t>costs</w:t>
      </w:r>
      <w:r>
        <w:rPr>
          <w:color w:val="231F20"/>
          <w:spacing w:val="-10"/>
          <w:w w:val="95"/>
        </w:rPr>
        <w:t xml:space="preserve"> </w:t>
      </w:r>
      <w:r>
        <w:rPr>
          <w:color w:val="231F20"/>
          <w:w w:val="95"/>
        </w:rPr>
        <w:t>does</w:t>
      </w:r>
      <w:r>
        <w:rPr>
          <w:color w:val="231F20"/>
          <w:spacing w:val="-9"/>
          <w:w w:val="95"/>
        </w:rPr>
        <w:t xml:space="preserve"> </w:t>
      </w:r>
      <w:r>
        <w:rPr>
          <w:color w:val="231F20"/>
          <w:w w:val="95"/>
        </w:rPr>
        <w:t>not</w:t>
      </w:r>
      <w:r>
        <w:rPr>
          <w:color w:val="231F20"/>
          <w:spacing w:val="-9"/>
          <w:w w:val="95"/>
        </w:rPr>
        <w:t xml:space="preserve"> </w:t>
      </w:r>
      <w:r>
        <w:rPr>
          <w:color w:val="231F20"/>
          <w:w w:val="95"/>
        </w:rPr>
        <w:t>necessarily</w:t>
      </w:r>
      <w:r>
        <w:rPr>
          <w:color w:val="231F20"/>
          <w:spacing w:val="-9"/>
          <w:w w:val="95"/>
        </w:rPr>
        <w:t xml:space="preserve"> </w:t>
      </w:r>
      <w:r>
        <w:rPr>
          <w:color w:val="231F20"/>
          <w:w w:val="95"/>
        </w:rPr>
        <w:t xml:space="preserve">result </w:t>
      </w:r>
      <w:r>
        <w:rPr>
          <w:color w:val="231F20"/>
          <w:w w:val="90"/>
        </w:rPr>
        <w:t>in career abandonment, but triggers deployment of</w:t>
      </w:r>
      <w:r>
        <w:rPr>
          <w:color w:val="231F20"/>
          <w:spacing w:val="31"/>
        </w:rPr>
        <w:t xml:space="preserve"> </w:t>
      </w:r>
      <w:r>
        <w:rPr>
          <w:color w:val="231F20"/>
          <w:w w:val="90"/>
        </w:rPr>
        <w:t xml:space="preserve">perseverance strategies. </w:t>
      </w:r>
      <w:r>
        <w:rPr>
          <w:color w:val="231F20"/>
          <w:spacing w:val="-2"/>
          <w:w w:val="95"/>
        </w:rPr>
        <w:t>Persevering</w:t>
      </w:r>
      <w:r>
        <w:rPr>
          <w:color w:val="231F20"/>
          <w:spacing w:val="-3"/>
          <w:w w:val="95"/>
        </w:rPr>
        <w:t xml:space="preserve"> </w:t>
      </w:r>
      <w:r>
        <w:rPr>
          <w:color w:val="231F20"/>
          <w:spacing w:val="-2"/>
          <w:w w:val="95"/>
        </w:rPr>
        <w:t>around</w:t>
      </w:r>
      <w:r>
        <w:rPr>
          <w:color w:val="231F20"/>
          <w:spacing w:val="-3"/>
          <w:w w:val="95"/>
        </w:rPr>
        <w:t xml:space="preserve"> </w:t>
      </w:r>
      <w:r>
        <w:rPr>
          <w:color w:val="231F20"/>
          <w:spacing w:val="-2"/>
          <w:w w:val="95"/>
        </w:rPr>
        <w:t>a</w:t>
      </w:r>
      <w:r>
        <w:rPr>
          <w:color w:val="231F20"/>
          <w:spacing w:val="-3"/>
          <w:w w:val="95"/>
        </w:rPr>
        <w:t xml:space="preserve"> </w:t>
      </w:r>
      <w:r>
        <w:rPr>
          <w:color w:val="231F20"/>
          <w:spacing w:val="-2"/>
          <w:w w:val="95"/>
        </w:rPr>
        <w:t>significant</w:t>
      </w:r>
      <w:r>
        <w:rPr>
          <w:color w:val="231F20"/>
          <w:spacing w:val="-3"/>
          <w:w w:val="95"/>
        </w:rPr>
        <w:t xml:space="preserve"> </w:t>
      </w:r>
      <w:r>
        <w:rPr>
          <w:color w:val="231F20"/>
          <w:spacing w:val="-2"/>
          <w:w w:val="95"/>
        </w:rPr>
        <w:t>cost</w:t>
      </w:r>
      <w:r>
        <w:rPr>
          <w:color w:val="231F20"/>
          <w:spacing w:val="-3"/>
          <w:w w:val="95"/>
        </w:rPr>
        <w:t xml:space="preserve"> </w:t>
      </w:r>
      <w:r>
        <w:rPr>
          <w:color w:val="231F20"/>
          <w:spacing w:val="-2"/>
          <w:w w:val="95"/>
        </w:rPr>
        <w:t>will</w:t>
      </w:r>
      <w:r>
        <w:rPr>
          <w:color w:val="231F20"/>
          <w:spacing w:val="-3"/>
          <w:w w:val="95"/>
        </w:rPr>
        <w:t xml:space="preserve"> </w:t>
      </w:r>
      <w:r>
        <w:rPr>
          <w:color w:val="231F20"/>
          <w:spacing w:val="-2"/>
          <w:w w:val="95"/>
        </w:rPr>
        <w:t>see</w:t>
      </w:r>
      <w:r>
        <w:rPr>
          <w:color w:val="231F20"/>
          <w:spacing w:val="-3"/>
          <w:w w:val="95"/>
        </w:rPr>
        <w:t xml:space="preserve"> </w:t>
      </w:r>
      <w:r>
        <w:rPr>
          <w:color w:val="231F20"/>
          <w:spacing w:val="-2"/>
          <w:w w:val="95"/>
        </w:rPr>
        <w:t>cognitive</w:t>
      </w:r>
      <w:r>
        <w:rPr>
          <w:color w:val="231F20"/>
          <w:spacing w:val="-3"/>
          <w:w w:val="95"/>
        </w:rPr>
        <w:t xml:space="preserve"> </w:t>
      </w:r>
      <w:r>
        <w:rPr>
          <w:color w:val="231F20"/>
          <w:spacing w:val="-2"/>
          <w:w w:val="95"/>
        </w:rPr>
        <w:t>strategies</w:t>
      </w:r>
      <w:r>
        <w:rPr>
          <w:color w:val="231F20"/>
          <w:spacing w:val="-3"/>
          <w:w w:val="95"/>
        </w:rPr>
        <w:t xml:space="preserve"> </w:t>
      </w:r>
      <w:r>
        <w:rPr>
          <w:color w:val="231F20"/>
          <w:spacing w:val="-2"/>
          <w:w w:val="95"/>
        </w:rPr>
        <w:t>deployed initially,</w:t>
      </w:r>
      <w:r>
        <w:rPr>
          <w:color w:val="231F20"/>
          <w:spacing w:val="-8"/>
          <w:w w:val="95"/>
        </w:rPr>
        <w:t xml:space="preserve"> </w:t>
      </w:r>
      <w:r>
        <w:rPr>
          <w:color w:val="231F20"/>
          <w:spacing w:val="-2"/>
          <w:w w:val="95"/>
        </w:rPr>
        <w:t>followed</w:t>
      </w:r>
      <w:r>
        <w:rPr>
          <w:color w:val="231F20"/>
          <w:spacing w:val="-7"/>
          <w:w w:val="95"/>
        </w:rPr>
        <w:t xml:space="preserve"> </w:t>
      </w:r>
      <w:r>
        <w:rPr>
          <w:color w:val="231F20"/>
          <w:spacing w:val="-2"/>
          <w:w w:val="95"/>
        </w:rPr>
        <w:t>by</w:t>
      </w:r>
      <w:r>
        <w:rPr>
          <w:color w:val="231F20"/>
          <w:spacing w:val="-7"/>
          <w:w w:val="95"/>
        </w:rPr>
        <w:t xml:space="preserve"> </w:t>
      </w:r>
      <w:r>
        <w:rPr>
          <w:color w:val="231F20"/>
          <w:spacing w:val="-2"/>
          <w:w w:val="95"/>
        </w:rPr>
        <w:t>behavioural</w:t>
      </w:r>
      <w:r>
        <w:rPr>
          <w:color w:val="231F20"/>
          <w:spacing w:val="-7"/>
          <w:w w:val="95"/>
        </w:rPr>
        <w:t xml:space="preserve"> </w:t>
      </w:r>
      <w:r>
        <w:rPr>
          <w:color w:val="231F20"/>
          <w:spacing w:val="-2"/>
          <w:w w:val="95"/>
        </w:rPr>
        <w:t>strategies</w:t>
      </w:r>
      <w:r>
        <w:rPr>
          <w:color w:val="231F20"/>
          <w:spacing w:val="-8"/>
          <w:w w:val="95"/>
        </w:rPr>
        <w:t xml:space="preserve"> </w:t>
      </w:r>
      <w:r>
        <w:rPr>
          <w:color w:val="231F20"/>
          <w:spacing w:val="-2"/>
          <w:w w:val="95"/>
        </w:rPr>
        <w:t>relative</w:t>
      </w:r>
      <w:r>
        <w:rPr>
          <w:color w:val="231F20"/>
          <w:spacing w:val="-7"/>
          <w:w w:val="95"/>
        </w:rPr>
        <w:t xml:space="preserve"> </w:t>
      </w:r>
      <w:r>
        <w:rPr>
          <w:color w:val="231F20"/>
          <w:spacing w:val="-2"/>
          <w:w w:val="95"/>
        </w:rPr>
        <w:t>to</w:t>
      </w:r>
      <w:r>
        <w:rPr>
          <w:color w:val="231F20"/>
          <w:spacing w:val="-7"/>
          <w:w w:val="95"/>
        </w:rPr>
        <w:t xml:space="preserve"> </w:t>
      </w:r>
      <w:r>
        <w:rPr>
          <w:color w:val="231F20"/>
          <w:spacing w:val="-2"/>
          <w:w w:val="95"/>
        </w:rPr>
        <w:t>the</w:t>
      </w:r>
      <w:r>
        <w:rPr>
          <w:color w:val="231F20"/>
          <w:spacing w:val="-7"/>
          <w:w w:val="95"/>
        </w:rPr>
        <w:t xml:space="preserve"> </w:t>
      </w:r>
      <w:r>
        <w:rPr>
          <w:color w:val="231F20"/>
          <w:spacing w:val="-2"/>
          <w:w w:val="95"/>
        </w:rPr>
        <w:t>perceived</w:t>
      </w:r>
      <w:r>
        <w:rPr>
          <w:color w:val="231F20"/>
          <w:spacing w:val="-8"/>
          <w:w w:val="95"/>
        </w:rPr>
        <w:t xml:space="preserve"> </w:t>
      </w:r>
      <w:r>
        <w:rPr>
          <w:color w:val="231F20"/>
          <w:spacing w:val="-2"/>
          <w:w w:val="95"/>
        </w:rPr>
        <w:t xml:space="preserve">impact </w:t>
      </w:r>
      <w:r>
        <w:rPr>
          <w:color w:val="231F20"/>
          <w:spacing w:val="-2"/>
        </w:rPr>
        <w:t>of that</w:t>
      </w:r>
      <w:r>
        <w:rPr>
          <w:color w:val="231F20"/>
          <w:spacing w:val="-3"/>
        </w:rPr>
        <w:t xml:space="preserve"> </w:t>
      </w:r>
      <w:r>
        <w:rPr>
          <w:color w:val="231F20"/>
          <w:spacing w:val="-2"/>
        </w:rPr>
        <w:t>cost.</w:t>
      </w:r>
      <w:r>
        <w:rPr>
          <w:color w:val="231F20"/>
          <w:spacing w:val="-3"/>
        </w:rPr>
        <w:t xml:space="preserve"> </w:t>
      </w:r>
      <w:r>
        <w:rPr>
          <w:color w:val="231F20"/>
          <w:spacing w:val="-2"/>
        </w:rPr>
        <w:t>Cognitive</w:t>
      </w:r>
      <w:r>
        <w:rPr>
          <w:color w:val="231F20"/>
          <w:spacing w:val="-3"/>
        </w:rPr>
        <w:t xml:space="preserve"> </w:t>
      </w:r>
      <w:r>
        <w:rPr>
          <w:color w:val="231F20"/>
          <w:spacing w:val="-2"/>
        </w:rPr>
        <w:t>strategies</w:t>
      </w:r>
      <w:r>
        <w:rPr>
          <w:color w:val="231F20"/>
          <w:spacing w:val="-3"/>
        </w:rPr>
        <w:t xml:space="preserve"> </w:t>
      </w:r>
      <w:r>
        <w:rPr>
          <w:color w:val="231F20"/>
          <w:spacing w:val="-2"/>
        </w:rPr>
        <w:t>are</w:t>
      </w:r>
      <w:r>
        <w:rPr>
          <w:color w:val="231F20"/>
          <w:spacing w:val="-3"/>
        </w:rPr>
        <w:t xml:space="preserve"> </w:t>
      </w:r>
      <w:r>
        <w:rPr>
          <w:color w:val="231F20"/>
          <w:spacing w:val="-2"/>
        </w:rPr>
        <w:t>geared</w:t>
      </w:r>
      <w:r>
        <w:rPr>
          <w:color w:val="231F20"/>
          <w:spacing w:val="-3"/>
        </w:rPr>
        <w:t xml:space="preserve"> </w:t>
      </w:r>
      <w:r>
        <w:rPr>
          <w:color w:val="231F20"/>
          <w:spacing w:val="-2"/>
        </w:rPr>
        <w:t>towards</w:t>
      </w:r>
      <w:r>
        <w:rPr>
          <w:color w:val="231F20"/>
          <w:spacing w:val="-3"/>
        </w:rPr>
        <w:t xml:space="preserve"> </w:t>
      </w:r>
      <w:r>
        <w:rPr>
          <w:color w:val="231F20"/>
          <w:spacing w:val="-2"/>
        </w:rPr>
        <w:t>reducing</w:t>
      </w:r>
      <w:r>
        <w:rPr>
          <w:color w:val="231F20"/>
          <w:spacing w:val="-3"/>
        </w:rPr>
        <w:t xml:space="preserve"> </w:t>
      </w:r>
      <w:r>
        <w:rPr>
          <w:color w:val="231F20"/>
          <w:spacing w:val="-2"/>
        </w:rPr>
        <w:t xml:space="preserve">cognitive </w:t>
      </w:r>
      <w:r>
        <w:rPr>
          <w:color w:val="231F20"/>
        </w:rPr>
        <w:t>dissonance</w:t>
      </w:r>
      <w:r>
        <w:rPr>
          <w:color w:val="231F20"/>
          <w:spacing w:val="-11"/>
        </w:rPr>
        <w:t xml:space="preserve"> </w:t>
      </w:r>
      <w:r>
        <w:rPr>
          <w:color w:val="231F20"/>
        </w:rPr>
        <w:t>where</w:t>
      </w:r>
      <w:r>
        <w:rPr>
          <w:color w:val="231F20"/>
          <w:spacing w:val="-11"/>
        </w:rPr>
        <w:t xml:space="preserve"> </w:t>
      </w:r>
      <w:r>
        <w:rPr>
          <w:color w:val="231F20"/>
        </w:rPr>
        <w:t>a</w:t>
      </w:r>
      <w:r>
        <w:rPr>
          <w:color w:val="231F20"/>
          <w:spacing w:val="-11"/>
        </w:rPr>
        <w:t xml:space="preserve"> </w:t>
      </w:r>
      <w:r>
        <w:rPr>
          <w:color w:val="231F20"/>
        </w:rPr>
        <w:t>person</w:t>
      </w:r>
      <w:r>
        <w:rPr>
          <w:color w:val="231F20"/>
          <w:spacing w:val="-11"/>
        </w:rPr>
        <w:t xml:space="preserve"> </w:t>
      </w:r>
      <w:r>
        <w:rPr>
          <w:color w:val="231F20"/>
        </w:rPr>
        <w:t>may</w:t>
      </w:r>
      <w:r>
        <w:rPr>
          <w:color w:val="231F20"/>
          <w:spacing w:val="-11"/>
        </w:rPr>
        <w:t xml:space="preserve"> </w:t>
      </w:r>
      <w:r>
        <w:rPr>
          <w:color w:val="231F20"/>
        </w:rPr>
        <w:t>be</w:t>
      </w:r>
      <w:r>
        <w:rPr>
          <w:color w:val="231F20"/>
          <w:spacing w:val="-11"/>
        </w:rPr>
        <w:t xml:space="preserve"> </w:t>
      </w:r>
      <w:r>
        <w:rPr>
          <w:color w:val="231F20"/>
        </w:rPr>
        <w:t>uncomfortable</w:t>
      </w:r>
      <w:r>
        <w:rPr>
          <w:color w:val="231F20"/>
          <w:spacing w:val="-11"/>
        </w:rPr>
        <w:t xml:space="preserve"> </w:t>
      </w:r>
      <w:r>
        <w:rPr>
          <w:color w:val="231F20"/>
        </w:rPr>
        <w:t>with</w:t>
      </w:r>
      <w:r>
        <w:rPr>
          <w:color w:val="231F20"/>
          <w:spacing w:val="-11"/>
        </w:rPr>
        <w:t xml:space="preserve"> </w:t>
      </w:r>
      <w:r>
        <w:rPr>
          <w:color w:val="231F20"/>
        </w:rPr>
        <w:t>holding</w:t>
      </w:r>
      <w:r>
        <w:rPr>
          <w:color w:val="231F20"/>
          <w:spacing w:val="-11"/>
        </w:rPr>
        <w:t xml:space="preserve"> </w:t>
      </w:r>
      <w:r>
        <w:rPr>
          <w:color w:val="231F20"/>
        </w:rPr>
        <w:t>two</w:t>
      </w:r>
      <w:r>
        <w:rPr>
          <w:color w:val="231F20"/>
          <w:spacing w:val="-11"/>
        </w:rPr>
        <w:t xml:space="preserve"> </w:t>
      </w:r>
      <w:r>
        <w:rPr>
          <w:color w:val="231F20"/>
        </w:rPr>
        <w:t xml:space="preserve">or </w:t>
      </w:r>
      <w:r>
        <w:rPr>
          <w:color w:val="231F20"/>
          <w:spacing w:val="-2"/>
          <w:w w:val="95"/>
        </w:rPr>
        <w:t>more cognitions that may conflict with one another. Behavioural strategies encompass</w:t>
      </w:r>
      <w:r>
        <w:rPr>
          <w:color w:val="231F20"/>
          <w:spacing w:val="-8"/>
          <w:w w:val="95"/>
        </w:rPr>
        <w:t xml:space="preserve"> </w:t>
      </w:r>
      <w:r>
        <w:rPr>
          <w:color w:val="231F20"/>
          <w:spacing w:val="-2"/>
          <w:w w:val="95"/>
        </w:rPr>
        <w:t>observable</w:t>
      </w:r>
      <w:r>
        <w:rPr>
          <w:color w:val="231F20"/>
          <w:spacing w:val="-7"/>
          <w:w w:val="95"/>
        </w:rPr>
        <w:t xml:space="preserve"> </w:t>
      </w:r>
      <w:r>
        <w:rPr>
          <w:color w:val="231F20"/>
          <w:spacing w:val="-2"/>
          <w:w w:val="95"/>
        </w:rPr>
        <w:t>changes</w:t>
      </w:r>
      <w:r>
        <w:rPr>
          <w:color w:val="231F20"/>
          <w:spacing w:val="-7"/>
          <w:w w:val="95"/>
        </w:rPr>
        <w:t xml:space="preserve"> </w:t>
      </w:r>
      <w:r>
        <w:rPr>
          <w:color w:val="231F20"/>
          <w:spacing w:val="-2"/>
          <w:w w:val="95"/>
        </w:rPr>
        <w:t>in</w:t>
      </w:r>
      <w:r>
        <w:rPr>
          <w:color w:val="231F20"/>
          <w:spacing w:val="-7"/>
          <w:w w:val="95"/>
        </w:rPr>
        <w:t xml:space="preserve"> </w:t>
      </w:r>
      <w:r>
        <w:rPr>
          <w:color w:val="231F20"/>
          <w:spacing w:val="-2"/>
          <w:w w:val="95"/>
        </w:rPr>
        <w:t>le</w:t>
      </w:r>
      <w:r>
        <w:rPr>
          <w:color w:val="231F20"/>
          <w:spacing w:val="-2"/>
          <w:w w:val="95"/>
        </w:rPr>
        <w:t>isure</w:t>
      </w:r>
      <w:r>
        <w:rPr>
          <w:color w:val="231F20"/>
          <w:spacing w:val="-8"/>
          <w:w w:val="95"/>
        </w:rPr>
        <w:t xml:space="preserve"> </w:t>
      </w:r>
      <w:r>
        <w:rPr>
          <w:color w:val="231F20"/>
          <w:spacing w:val="-2"/>
          <w:w w:val="95"/>
        </w:rPr>
        <w:t>or</w:t>
      </w:r>
      <w:r>
        <w:rPr>
          <w:color w:val="231F20"/>
          <w:spacing w:val="-7"/>
          <w:w w:val="95"/>
        </w:rPr>
        <w:t xml:space="preserve"> </w:t>
      </w:r>
      <w:r>
        <w:rPr>
          <w:color w:val="231F20"/>
          <w:spacing w:val="-2"/>
          <w:w w:val="95"/>
        </w:rPr>
        <w:t>non-leisure</w:t>
      </w:r>
      <w:r>
        <w:rPr>
          <w:color w:val="231F20"/>
          <w:spacing w:val="-7"/>
          <w:w w:val="95"/>
        </w:rPr>
        <w:t xml:space="preserve"> </w:t>
      </w:r>
      <w:r>
        <w:rPr>
          <w:color w:val="231F20"/>
          <w:spacing w:val="-2"/>
          <w:w w:val="95"/>
        </w:rPr>
        <w:t>behaviours</w:t>
      </w:r>
      <w:r>
        <w:rPr>
          <w:color w:val="231F20"/>
          <w:spacing w:val="-7"/>
          <w:w w:val="95"/>
        </w:rPr>
        <w:t xml:space="preserve"> </w:t>
      </w:r>
      <w:r>
        <w:rPr>
          <w:color w:val="231F20"/>
          <w:spacing w:val="-2"/>
          <w:w w:val="95"/>
        </w:rPr>
        <w:t>such</w:t>
      </w:r>
      <w:r>
        <w:rPr>
          <w:color w:val="231F20"/>
          <w:spacing w:val="-8"/>
          <w:w w:val="95"/>
        </w:rPr>
        <w:t xml:space="preserve"> </w:t>
      </w:r>
      <w:r>
        <w:rPr>
          <w:color w:val="231F20"/>
          <w:spacing w:val="-2"/>
          <w:w w:val="95"/>
        </w:rPr>
        <w:t xml:space="preserve">as </w:t>
      </w:r>
      <w:r>
        <w:rPr>
          <w:color w:val="231F20"/>
          <w:w w:val="95"/>
        </w:rPr>
        <w:t xml:space="preserve">reducing frequency of participation or modifying non-leisure behaviours </w:t>
      </w:r>
      <w:r>
        <w:rPr>
          <w:color w:val="231F20"/>
        </w:rPr>
        <w:t>to</w:t>
      </w:r>
      <w:r>
        <w:rPr>
          <w:color w:val="231F20"/>
          <w:spacing w:val="-12"/>
        </w:rPr>
        <w:t xml:space="preserve"> </w:t>
      </w:r>
      <w:r>
        <w:rPr>
          <w:color w:val="231F20"/>
        </w:rPr>
        <w:t>better</w:t>
      </w:r>
      <w:r>
        <w:rPr>
          <w:color w:val="231F20"/>
          <w:spacing w:val="-12"/>
        </w:rPr>
        <w:t xml:space="preserve"> </w:t>
      </w:r>
      <w:r>
        <w:rPr>
          <w:color w:val="231F20"/>
        </w:rPr>
        <w:t>accommodate</w:t>
      </w:r>
      <w:r>
        <w:rPr>
          <w:color w:val="231F20"/>
          <w:spacing w:val="-11"/>
        </w:rPr>
        <w:t xml:space="preserve"> </w:t>
      </w:r>
      <w:r>
        <w:rPr>
          <w:color w:val="231F20"/>
        </w:rPr>
        <w:t>leisure</w:t>
      </w:r>
      <w:r>
        <w:rPr>
          <w:color w:val="231F20"/>
          <w:spacing w:val="-12"/>
        </w:rPr>
        <w:t xml:space="preserve"> </w:t>
      </w:r>
      <w:r>
        <w:rPr>
          <w:color w:val="231F20"/>
        </w:rPr>
        <w:t>(Lamont</w:t>
      </w:r>
      <w:r>
        <w:rPr>
          <w:color w:val="231F20"/>
          <w:spacing w:val="-11"/>
        </w:rPr>
        <w:t xml:space="preserve"> </w:t>
      </w:r>
      <w:r>
        <w:rPr>
          <w:i/>
          <w:color w:val="231F20"/>
        </w:rPr>
        <w:t>et</w:t>
      </w:r>
      <w:r>
        <w:rPr>
          <w:i/>
          <w:color w:val="231F20"/>
          <w:spacing w:val="-12"/>
        </w:rPr>
        <w:t xml:space="preserve"> </w:t>
      </w:r>
      <w:r>
        <w:rPr>
          <w:i/>
          <w:color w:val="231F20"/>
        </w:rPr>
        <w:t>al</w:t>
      </w:r>
      <w:r>
        <w:rPr>
          <w:color w:val="231F20"/>
        </w:rPr>
        <w:t>.,</w:t>
      </w:r>
      <w:r>
        <w:rPr>
          <w:color w:val="231F20"/>
          <w:spacing w:val="-11"/>
        </w:rPr>
        <w:t xml:space="preserve"> </w:t>
      </w:r>
      <w:r>
        <w:rPr>
          <w:color w:val="231F20"/>
        </w:rPr>
        <w:t>2015).</w:t>
      </w:r>
    </w:p>
    <w:p w14:paraId="35259080" w14:textId="77777777" w:rsidR="00AE0598" w:rsidRDefault="0069255A">
      <w:pPr>
        <w:pStyle w:val="Corpodetexto"/>
        <w:spacing w:before="22" w:line="232" w:lineRule="auto"/>
        <w:ind w:left="223" w:right="240" w:firstLine="320"/>
        <w:jc w:val="both"/>
      </w:pPr>
      <w:r>
        <w:rPr>
          <w:color w:val="231F20"/>
        </w:rPr>
        <w:t xml:space="preserve">Our research has also found that costs and perseverance are not necessarily only encountered by amateur athletes, with partners and significant others, who we collectively refer to as an athlete’s ‘non- </w:t>
      </w:r>
      <w:r>
        <w:rPr>
          <w:color w:val="231F20"/>
          <w:w w:val="95"/>
        </w:rPr>
        <w:t>participating entourage’, also investing leisure time</w:t>
      </w:r>
      <w:r>
        <w:rPr>
          <w:color w:val="231F20"/>
          <w:w w:val="95"/>
        </w:rPr>
        <w:t xml:space="preserve"> into travel to events </w:t>
      </w:r>
      <w:r>
        <w:rPr>
          <w:color w:val="231F20"/>
        </w:rPr>
        <w:t>and being impacted upon as the athlete goes about his or her training regimes in preparation for events. Subsequently, our research has identified</w:t>
      </w:r>
      <w:r>
        <w:rPr>
          <w:color w:val="231F20"/>
          <w:spacing w:val="5"/>
        </w:rPr>
        <w:t xml:space="preserve"> </w:t>
      </w:r>
      <w:r>
        <w:rPr>
          <w:color w:val="231F20"/>
        </w:rPr>
        <w:t>that</w:t>
      </w:r>
      <w:r>
        <w:rPr>
          <w:color w:val="231F20"/>
          <w:spacing w:val="5"/>
        </w:rPr>
        <w:t xml:space="preserve"> </w:t>
      </w:r>
      <w:r>
        <w:rPr>
          <w:color w:val="231F20"/>
        </w:rPr>
        <w:t>athlete’s</w:t>
      </w:r>
      <w:r>
        <w:rPr>
          <w:color w:val="231F20"/>
          <w:spacing w:val="5"/>
        </w:rPr>
        <w:t xml:space="preserve"> </w:t>
      </w:r>
      <w:r>
        <w:rPr>
          <w:color w:val="231F20"/>
        </w:rPr>
        <w:t>participation</w:t>
      </w:r>
      <w:r>
        <w:rPr>
          <w:color w:val="231F20"/>
          <w:spacing w:val="5"/>
        </w:rPr>
        <w:t xml:space="preserve"> </w:t>
      </w:r>
      <w:r>
        <w:rPr>
          <w:color w:val="231F20"/>
        </w:rPr>
        <w:t>is</w:t>
      </w:r>
      <w:r>
        <w:rPr>
          <w:color w:val="231F20"/>
          <w:spacing w:val="5"/>
        </w:rPr>
        <w:t xml:space="preserve"> </w:t>
      </w:r>
      <w:r>
        <w:rPr>
          <w:color w:val="231F20"/>
        </w:rPr>
        <w:t>cyclical</w:t>
      </w:r>
      <w:r>
        <w:rPr>
          <w:color w:val="231F20"/>
          <w:spacing w:val="5"/>
        </w:rPr>
        <w:t xml:space="preserve"> </w:t>
      </w:r>
      <w:r>
        <w:rPr>
          <w:color w:val="231F20"/>
        </w:rPr>
        <w:t>in</w:t>
      </w:r>
      <w:r>
        <w:rPr>
          <w:color w:val="231F20"/>
          <w:spacing w:val="5"/>
        </w:rPr>
        <w:t xml:space="preserve"> </w:t>
      </w:r>
      <w:r>
        <w:rPr>
          <w:color w:val="231F20"/>
        </w:rPr>
        <w:t>nature</w:t>
      </w:r>
      <w:r>
        <w:rPr>
          <w:color w:val="231F20"/>
          <w:spacing w:val="5"/>
        </w:rPr>
        <w:t xml:space="preserve"> </w:t>
      </w:r>
      <w:r>
        <w:rPr>
          <w:color w:val="231F20"/>
        </w:rPr>
        <w:t>to</w:t>
      </w:r>
      <w:r>
        <w:rPr>
          <w:color w:val="231F20"/>
          <w:spacing w:val="5"/>
        </w:rPr>
        <w:t xml:space="preserve"> </w:t>
      </w:r>
      <w:r>
        <w:rPr>
          <w:color w:val="231F20"/>
        </w:rPr>
        <w:t>minimise</w:t>
      </w:r>
    </w:p>
    <w:p w14:paraId="7D253DE3" w14:textId="77777777" w:rsidR="00AE0598" w:rsidRDefault="00AE0598">
      <w:pPr>
        <w:pStyle w:val="Corpodetexto"/>
        <w:spacing w:before="9"/>
      </w:pPr>
    </w:p>
    <w:p w14:paraId="18C420EF" w14:textId="77777777" w:rsidR="00AE0598" w:rsidRDefault="0069255A">
      <w:pPr>
        <w:spacing w:before="1"/>
        <w:ind w:left="110" w:right="241"/>
        <w:jc w:val="right"/>
        <w:rPr>
          <w:rFonts w:ascii="Trebuchet MS"/>
          <w:i/>
          <w:sz w:val="18"/>
        </w:rPr>
      </w:pPr>
      <w:r>
        <w:rPr>
          <w:rFonts w:ascii="Trebuchet MS"/>
          <w:i/>
          <w:color w:val="231F20"/>
          <w:spacing w:val="-2"/>
          <w:sz w:val="18"/>
        </w:rPr>
        <w:t>(Continued)</w:t>
      </w:r>
    </w:p>
    <w:p w14:paraId="373020DB" w14:textId="77777777" w:rsidR="00AE0598" w:rsidRDefault="00AE0598">
      <w:pPr>
        <w:jc w:val="right"/>
        <w:rPr>
          <w:rFonts w:ascii="Trebuchet MS"/>
          <w:sz w:val="18"/>
        </w:rPr>
        <w:sectPr w:rsidR="00AE0598">
          <w:pgSz w:w="8850" w:h="13270"/>
          <w:pgMar w:top="720" w:right="1060" w:bottom="280" w:left="1080" w:header="720" w:footer="720" w:gutter="0"/>
          <w:cols w:space="720"/>
        </w:sectPr>
      </w:pPr>
    </w:p>
    <w:p w14:paraId="4C693598" w14:textId="205B3D63" w:rsidR="00AE0598" w:rsidRDefault="0069255A">
      <w:pPr>
        <w:spacing w:before="87"/>
        <w:ind w:left="108"/>
        <w:rPr>
          <w:rFonts w:ascii="Trebuchet MS"/>
          <w:sz w:val="14"/>
        </w:rPr>
      </w:pPr>
      <w:r>
        <w:rPr>
          <w:noProof/>
        </w:rPr>
        <w:lastRenderedPageBreak/>
        <mc:AlternateContent>
          <mc:Choice Requires="wps">
            <w:drawing>
              <wp:anchor distT="0" distB="0" distL="114300" distR="114300" simplePos="0" relativeHeight="483735552" behindDoc="1" locked="0" layoutInCell="1" allowOverlap="1" wp14:anchorId="732BEE88" wp14:editId="6587A895">
                <wp:simplePos x="0" y="0"/>
                <wp:positionH relativeFrom="page">
                  <wp:posOffset>755650</wp:posOffset>
                </wp:positionH>
                <wp:positionV relativeFrom="page">
                  <wp:posOffset>838200</wp:posOffset>
                </wp:positionV>
                <wp:extent cx="4104005" cy="6733540"/>
                <wp:effectExtent l="0" t="0" r="0" b="0"/>
                <wp:wrapNone/>
                <wp:docPr id="137" name="docshape2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04005" cy="6733540"/>
                        </a:xfrm>
                        <a:prstGeom prst="rect">
                          <a:avLst/>
                        </a:prstGeom>
                        <a:solidFill>
                          <a:srgbClr val="DCDDD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13D0E8" id="docshape229" o:spid="_x0000_s1026" style="position:absolute;margin-left:59.5pt;margin-top:66pt;width:323.15pt;height:530.2pt;z-index:-195809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" fillcolor="#dcddde" stroked="f">
                <w10:wrap anchorx="page" anchory="page"/>
              </v:rect>
            </w:pict>
          </mc:Fallback>
        </mc:AlternateContent>
      </w:r>
      <w:r>
        <w:rPr>
          <w:rFonts w:ascii="Trebuchet MS"/>
          <w:color w:val="231F20"/>
          <w:w w:val="105"/>
          <w:sz w:val="14"/>
        </w:rPr>
        <w:t>170</w:t>
      </w:r>
      <w:r>
        <w:rPr>
          <w:rFonts w:ascii="Trebuchet MS"/>
          <w:color w:val="231F20"/>
          <w:spacing w:val="66"/>
          <w:w w:val="150"/>
          <w:sz w:val="14"/>
        </w:rPr>
        <w:t xml:space="preserve"> </w:t>
      </w:r>
      <w:r>
        <w:rPr>
          <w:rFonts w:ascii="Trebuchet MS"/>
          <w:color w:val="231F20"/>
          <w:w w:val="105"/>
          <w:sz w:val="14"/>
        </w:rPr>
        <w:t>Part</w:t>
      </w:r>
      <w:r>
        <w:rPr>
          <w:rFonts w:ascii="Trebuchet MS"/>
          <w:color w:val="231F20"/>
          <w:spacing w:val="-9"/>
          <w:w w:val="105"/>
          <w:sz w:val="14"/>
        </w:rPr>
        <w:t xml:space="preserve"> </w:t>
      </w:r>
      <w:r>
        <w:rPr>
          <w:rFonts w:ascii="Trebuchet MS"/>
          <w:color w:val="231F20"/>
          <w:w w:val="105"/>
          <w:sz w:val="14"/>
        </w:rPr>
        <w:t>4:</w:t>
      </w:r>
      <w:r>
        <w:rPr>
          <w:rFonts w:ascii="Trebuchet MS"/>
          <w:color w:val="231F20"/>
          <w:spacing w:val="-8"/>
          <w:w w:val="105"/>
          <w:sz w:val="14"/>
        </w:rPr>
        <w:t xml:space="preserve"> </w:t>
      </w:r>
      <w:r>
        <w:rPr>
          <w:rFonts w:ascii="Trebuchet MS"/>
          <w:color w:val="231F20"/>
          <w:w w:val="105"/>
          <w:sz w:val="14"/>
        </w:rPr>
        <w:t>Sport</w:t>
      </w:r>
      <w:r>
        <w:rPr>
          <w:rFonts w:ascii="Trebuchet MS"/>
          <w:color w:val="231F20"/>
          <w:spacing w:val="-9"/>
          <w:w w:val="105"/>
          <w:sz w:val="14"/>
        </w:rPr>
        <w:t xml:space="preserve"> </w:t>
      </w:r>
      <w:r>
        <w:rPr>
          <w:rFonts w:ascii="Trebuchet MS"/>
          <w:color w:val="231F20"/>
          <w:w w:val="105"/>
          <w:sz w:val="14"/>
        </w:rPr>
        <w:t>Tourism</w:t>
      </w:r>
      <w:r>
        <w:rPr>
          <w:rFonts w:ascii="Trebuchet MS"/>
          <w:color w:val="231F20"/>
          <w:spacing w:val="-9"/>
          <w:w w:val="105"/>
          <w:sz w:val="14"/>
        </w:rPr>
        <w:t xml:space="preserve"> </w:t>
      </w:r>
      <w:r>
        <w:rPr>
          <w:rFonts w:ascii="Trebuchet MS"/>
          <w:color w:val="231F20"/>
          <w:w w:val="105"/>
          <w:sz w:val="14"/>
        </w:rPr>
        <w:t>Development</w:t>
      </w:r>
      <w:r>
        <w:rPr>
          <w:rFonts w:ascii="Trebuchet MS"/>
          <w:color w:val="231F20"/>
          <w:spacing w:val="-9"/>
          <w:w w:val="105"/>
          <w:sz w:val="14"/>
        </w:rPr>
        <w:t xml:space="preserve"> </w:t>
      </w:r>
      <w:r>
        <w:rPr>
          <w:rFonts w:ascii="Trebuchet MS"/>
          <w:color w:val="231F20"/>
          <w:w w:val="105"/>
          <w:sz w:val="14"/>
        </w:rPr>
        <w:t>and</w:t>
      </w:r>
      <w:r>
        <w:rPr>
          <w:rFonts w:ascii="Trebuchet MS"/>
          <w:color w:val="231F20"/>
          <w:spacing w:val="-8"/>
          <w:w w:val="105"/>
          <w:sz w:val="14"/>
        </w:rPr>
        <w:t xml:space="preserve"> </w:t>
      </w:r>
      <w:r>
        <w:rPr>
          <w:rFonts w:ascii="Trebuchet MS"/>
          <w:color w:val="231F20"/>
          <w:spacing w:val="-4"/>
          <w:w w:val="105"/>
          <w:sz w:val="14"/>
        </w:rPr>
        <w:t>Time</w:t>
      </w:r>
    </w:p>
    <w:p w14:paraId="7B39DF5B" w14:textId="77777777" w:rsidR="00AE0598" w:rsidRDefault="00AE0598">
      <w:pPr>
        <w:pStyle w:val="Corpodetexto"/>
        <w:spacing w:before="10"/>
        <w:rPr>
          <w:rFonts w:ascii="Trebuchet MS"/>
          <w:sz w:val="27"/>
        </w:rPr>
      </w:pPr>
    </w:p>
    <w:p w14:paraId="763AAFC6" w14:textId="77777777" w:rsidR="00AE0598" w:rsidRDefault="0069255A">
      <w:pPr>
        <w:spacing w:before="100"/>
        <w:ind w:left="223"/>
        <w:jc w:val="both"/>
        <w:rPr>
          <w:rFonts w:ascii="Trebuchet MS"/>
          <w:sz w:val="18"/>
        </w:rPr>
      </w:pPr>
      <w:r>
        <w:rPr>
          <w:rFonts w:ascii="Trebuchet MS"/>
          <w:color w:val="231F20"/>
          <w:sz w:val="18"/>
        </w:rPr>
        <w:t>Case</w:t>
      </w:r>
      <w:r>
        <w:rPr>
          <w:rFonts w:ascii="Trebuchet MS"/>
          <w:color w:val="231F20"/>
          <w:spacing w:val="-7"/>
          <w:sz w:val="18"/>
        </w:rPr>
        <w:t xml:space="preserve"> </w:t>
      </w:r>
      <w:r>
        <w:rPr>
          <w:rFonts w:ascii="Trebuchet MS"/>
          <w:color w:val="231F20"/>
          <w:sz w:val="18"/>
        </w:rPr>
        <w:t>Study</w:t>
      </w:r>
      <w:r>
        <w:rPr>
          <w:rFonts w:ascii="Trebuchet MS"/>
          <w:color w:val="231F20"/>
          <w:spacing w:val="-5"/>
          <w:sz w:val="18"/>
        </w:rPr>
        <w:t xml:space="preserve"> </w:t>
      </w:r>
      <w:r>
        <w:rPr>
          <w:rFonts w:ascii="Trebuchet MS"/>
          <w:color w:val="231F20"/>
          <w:sz w:val="18"/>
        </w:rPr>
        <w:t>8.1:</w:t>
      </w:r>
      <w:r>
        <w:rPr>
          <w:rFonts w:ascii="Trebuchet MS"/>
          <w:color w:val="231F20"/>
          <w:spacing w:val="-6"/>
          <w:sz w:val="18"/>
        </w:rPr>
        <w:t xml:space="preserve"> </w:t>
      </w:r>
      <w:r>
        <w:rPr>
          <w:rFonts w:ascii="Trebuchet MS"/>
          <w:color w:val="231F20"/>
          <w:spacing w:val="-2"/>
          <w:sz w:val="18"/>
        </w:rPr>
        <w:t>(Continued)</w:t>
      </w:r>
    </w:p>
    <w:p w14:paraId="447639BD" w14:textId="77777777" w:rsidR="00AE0598" w:rsidRDefault="00AE0598">
      <w:pPr>
        <w:pStyle w:val="Corpodetexto"/>
        <w:spacing w:before="9"/>
        <w:rPr>
          <w:rFonts w:ascii="Trebuchet MS"/>
          <w:sz w:val="16"/>
        </w:rPr>
      </w:pPr>
    </w:p>
    <w:p w14:paraId="0691D66A" w14:textId="77777777" w:rsidR="00AE0598" w:rsidRDefault="0069255A">
      <w:pPr>
        <w:pStyle w:val="Corpodetexto"/>
        <w:spacing w:before="1" w:line="232" w:lineRule="auto"/>
        <w:ind w:left="223" w:right="241"/>
        <w:jc w:val="both"/>
      </w:pPr>
      <w:r>
        <w:rPr>
          <w:color w:val="231F20"/>
        </w:rPr>
        <w:t xml:space="preserve">competing priorities and the impact on partners and other family members (Kennelly </w:t>
      </w:r>
      <w:r>
        <w:rPr>
          <w:i/>
          <w:color w:val="231F20"/>
        </w:rPr>
        <w:t>et al</w:t>
      </w:r>
      <w:r>
        <w:rPr>
          <w:color w:val="231F20"/>
        </w:rPr>
        <w:t>., 2015).</w:t>
      </w:r>
    </w:p>
    <w:p w14:paraId="23DB5050" w14:textId="77777777" w:rsidR="00AE0598" w:rsidRDefault="0069255A">
      <w:pPr>
        <w:pStyle w:val="Corpodetexto"/>
        <w:spacing w:before="2" w:line="232" w:lineRule="auto"/>
        <w:ind w:left="223" w:right="241" w:firstLine="320"/>
        <w:jc w:val="both"/>
      </w:pPr>
      <w:r>
        <w:rPr>
          <w:color w:val="231F20"/>
        </w:rPr>
        <w:t>Consequently,</w:t>
      </w:r>
      <w:r>
        <w:rPr>
          <w:color w:val="231F20"/>
          <w:spacing w:val="-2"/>
        </w:rPr>
        <w:t xml:space="preserve"> </w:t>
      </w:r>
      <w:r>
        <w:rPr>
          <w:color w:val="231F20"/>
        </w:rPr>
        <w:t>in</w:t>
      </w:r>
      <w:r>
        <w:rPr>
          <w:color w:val="231F20"/>
          <w:spacing w:val="-2"/>
        </w:rPr>
        <w:t xml:space="preserve"> </w:t>
      </w:r>
      <w:r>
        <w:rPr>
          <w:color w:val="231F20"/>
        </w:rPr>
        <w:t>a</w:t>
      </w:r>
      <w:r>
        <w:rPr>
          <w:color w:val="231F20"/>
          <w:spacing w:val="-2"/>
        </w:rPr>
        <w:t xml:space="preserve"> </w:t>
      </w:r>
      <w:r>
        <w:rPr>
          <w:color w:val="231F20"/>
        </w:rPr>
        <w:t>recent</w:t>
      </w:r>
      <w:r>
        <w:rPr>
          <w:color w:val="231F20"/>
          <w:spacing w:val="-2"/>
        </w:rPr>
        <w:t xml:space="preserve"> </w:t>
      </w:r>
      <w:r>
        <w:rPr>
          <w:color w:val="231F20"/>
        </w:rPr>
        <w:t>study</w:t>
      </w:r>
      <w:r>
        <w:rPr>
          <w:color w:val="231F20"/>
          <w:spacing w:val="-2"/>
        </w:rPr>
        <w:t xml:space="preserve"> </w:t>
      </w:r>
      <w:r>
        <w:rPr>
          <w:color w:val="231F20"/>
        </w:rPr>
        <w:t>we</w:t>
      </w:r>
      <w:r>
        <w:rPr>
          <w:color w:val="231F20"/>
          <w:spacing w:val="-2"/>
        </w:rPr>
        <w:t xml:space="preserve"> </w:t>
      </w:r>
      <w:r>
        <w:rPr>
          <w:color w:val="231F20"/>
        </w:rPr>
        <w:t>have</w:t>
      </w:r>
      <w:r>
        <w:rPr>
          <w:color w:val="231F20"/>
          <w:spacing w:val="-2"/>
        </w:rPr>
        <w:t xml:space="preserve"> </w:t>
      </w:r>
      <w:r>
        <w:rPr>
          <w:color w:val="231F20"/>
        </w:rPr>
        <w:t>shifted</w:t>
      </w:r>
      <w:r>
        <w:rPr>
          <w:color w:val="231F20"/>
          <w:spacing w:val="-2"/>
        </w:rPr>
        <w:t xml:space="preserve"> </w:t>
      </w:r>
      <w:r>
        <w:rPr>
          <w:color w:val="231F20"/>
        </w:rPr>
        <w:t>focus</w:t>
      </w:r>
      <w:r>
        <w:rPr>
          <w:color w:val="231F20"/>
          <w:spacing w:val="-2"/>
        </w:rPr>
        <w:t xml:space="preserve"> </w:t>
      </w:r>
      <w:r>
        <w:rPr>
          <w:color w:val="231F20"/>
        </w:rPr>
        <w:t>to</w:t>
      </w:r>
      <w:r>
        <w:rPr>
          <w:color w:val="231F20"/>
          <w:spacing w:val="-2"/>
        </w:rPr>
        <w:t xml:space="preserve"> </w:t>
      </w:r>
      <w:r>
        <w:rPr>
          <w:color w:val="231F20"/>
        </w:rPr>
        <w:t>exploring the</w:t>
      </w:r>
      <w:r>
        <w:rPr>
          <w:color w:val="231F20"/>
          <w:spacing w:val="-11"/>
        </w:rPr>
        <w:t xml:space="preserve"> </w:t>
      </w:r>
      <w:r>
        <w:rPr>
          <w:color w:val="231F20"/>
        </w:rPr>
        <w:t>impacts</w:t>
      </w:r>
      <w:r>
        <w:rPr>
          <w:color w:val="231F20"/>
          <w:spacing w:val="-11"/>
        </w:rPr>
        <w:t xml:space="preserve"> </w:t>
      </w:r>
      <w:r>
        <w:rPr>
          <w:color w:val="231F20"/>
        </w:rPr>
        <w:t>of</w:t>
      </w:r>
      <w:r>
        <w:rPr>
          <w:color w:val="231F20"/>
          <w:spacing w:val="-3"/>
        </w:rPr>
        <w:t xml:space="preserve"> </w:t>
      </w:r>
      <w:r>
        <w:rPr>
          <w:color w:val="231F20"/>
        </w:rPr>
        <w:t>serious</w:t>
      </w:r>
      <w:r>
        <w:rPr>
          <w:color w:val="231F20"/>
          <w:spacing w:val="-11"/>
        </w:rPr>
        <w:t xml:space="preserve"> </w:t>
      </w:r>
      <w:r>
        <w:rPr>
          <w:color w:val="231F20"/>
        </w:rPr>
        <w:t>leisure</w:t>
      </w:r>
      <w:r>
        <w:rPr>
          <w:color w:val="231F20"/>
          <w:spacing w:val="-11"/>
        </w:rPr>
        <w:t xml:space="preserve"> </w:t>
      </w:r>
      <w:r>
        <w:rPr>
          <w:color w:val="231F20"/>
        </w:rPr>
        <w:t>on</w:t>
      </w:r>
      <w:r>
        <w:rPr>
          <w:color w:val="231F20"/>
          <w:spacing w:val="-11"/>
        </w:rPr>
        <w:t xml:space="preserve"> </w:t>
      </w:r>
      <w:r>
        <w:rPr>
          <w:color w:val="231F20"/>
        </w:rPr>
        <w:t>amateur</w:t>
      </w:r>
      <w:r>
        <w:rPr>
          <w:color w:val="231F20"/>
          <w:spacing w:val="-11"/>
        </w:rPr>
        <w:t xml:space="preserve"> </w:t>
      </w:r>
      <w:r>
        <w:rPr>
          <w:color w:val="231F20"/>
        </w:rPr>
        <w:t>athletes’</w:t>
      </w:r>
      <w:r>
        <w:rPr>
          <w:color w:val="231F20"/>
          <w:spacing w:val="-11"/>
        </w:rPr>
        <w:t xml:space="preserve"> </w:t>
      </w:r>
      <w:r>
        <w:rPr>
          <w:color w:val="231F20"/>
        </w:rPr>
        <w:t>spouses</w:t>
      </w:r>
      <w:r>
        <w:rPr>
          <w:color w:val="231F20"/>
          <w:spacing w:val="-11"/>
        </w:rPr>
        <w:t xml:space="preserve"> </w:t>
      </w:r>
      <w:r>
        <w:rPr>
          <w:color w:val="231F20"/>
        </w:rPr>
        <w:t>(Lamont</w:t>
      </w:r>
      <w:r>
        <w:rPr>
          <w:color w:val="231F20"/>
          <w:spacing w:val="-11"/>
        </w:rPr>
        <w:t xml:space="preserve"> </w:t>
      </w:r>
      <w:r>
        <w:rPr>
          <w:i/>
          <w:color w:val="231F20"/>
        </w:rPr>
        <w:t xml:space="preserve">et </w:t>
      </w:r>
      <w:r>
        <w:rPr>
          <w:i/>
          <w:color w:val="231F20"/>
          <w:w w:val="95"/>
        </w:rPr>
        <w:t>al</w:t>
      </w:r>
      <w:r>
        <w:rPr>
          <w:color w:val="231F20"/>
          <w:w w:val="95"/>
        </w:rPr>
        <w:t>.,</w:t>
      </w:r>
      <w:r>
        <w:rPr>
          <w:color w:val="231F20"/>
          <w:spacing w:val="-10"/>
          <w:w w:val="95"/>
        </w:rPr>
        <w:t xml:space="preserve"> </w:t>
      </w:r>
      <w:r>
        <w:rPr>
          <w:color w:val="231F20"/>
          <w:w w:val="95"/>
        </w:rPr>
        <w:t>2015).</w:t>
      </w:r>
      <w:r>
        <w:rPr>
          <w:color w:val="231F20"/>
          <w:spacing w:val="-9"/>
          <w:w w:val="95"/>
        </w:rPr>
        <w:t xml:space="preserve"> </w:t>
      </w:r>
      <w:r>
        <w:rPr>
          <w:color w:val="231F20"/>
          <w:w w:val="95"/>
        </w:rPr>
        <w:t>Previous</w:t>
      </w:r>
      <w:r>
        <w:rPr>
          <w:color w:val="231F20"/>
          <w:spacing w:val="-9"/>
          <w:w w:val="95"/>
        </w:rPr>
        <w:t xml:space="preserve"> </w:t>
      </w:r>
      <w:r>
        <w:rPr>
          <w:color w:val="231F20"/>
          <w:w w:val="95"/>
        </w:rPr>
        <w:t>studies</w:t>
      </w:r>
      <w:r>
        <w:rPr>
          <w:color w:val="231F20"/>
          <w:spacing w:val="-9"/>
          <w:w w:val="95"/>
        </w:rPr>
        <w:t xml:space="preserve"> </w:t>
      </w:r>
      <w:r>
        <w:rPr>
          <w:color w:val="231F20"/>
          <w:w w:val="95"/>
        </w:rPr>
        <w:t>have</w:t>
      </w:r>
      <w:r>
        <w:rPr>
          <w:color w:val="231F20"/>
          <w:spacing w:val="-10"/>
          <w:w w:val="95"/>
        </w:rPr>
        <w:t xml:space="preserve"> </w:t>
      </w:r>
      <w:r>
        <w:rPr>
          <w:color w:val="231F20"/>
          <w:w w:val="95"/>
        </w:rPr>
        <w:t>identified</w:t>
      </w:r>
      <w:r>
        <w:rPr>
          <w:color w:val="231F20"/>
          <w:spacing w:val="-9"/>
          <w:w w:val="95"/>
        </w:rPr>
        <w:t xml:space="preserve"> </w:t>
      </w:r>
      <w:r>
        <w:rPr>
          <w:color w:val="231F20"/>
          <w:w w:val="95"/>
        </w:rPr>
        <w:t>three</w:t>
      </w:r>
      <w:r>
        <w:rPr>
          <w:color w:val="231F20"/>
          <w:spacing w:val="-9"/>
          <w:w w:val="95"/>
        </w:rPr>
        <w:t xml:space="preserve"> </w:t>
      </w:r>
      <w:r>
        <w:rPr>
          <w:color w:val="231F20"/>
          <w:w w:val="95"/>
        </w:rPr>
        <w:t>models</w:t>
      </w:r>
      <w:r>
        <w:rPr>
          <w:color w:val="231F20"/>
          <w:spacing w:val="-9"/>
          <w:w w:val="95"/>
        </w:rPr>
        <w:t xml:space="preserve"> </w:t>
      </w:r>
      <w:r>
        <w:rPr>
          <w:color w:val="231F20"/>
          <w:w w:val="95"/>
        </w:rPr>
        <w:t>of</w:t>
      </w:r>
      <w:r>
        <w:rPr>
          <w:color w:val="231F20"/>
          <w:spacing w:val="-10"/>
          <w:w w:val="95"/>
        </w:rPr>
        <w:t xml:space="preserve"> </w:t>
      </w:r>
      <w:r>
        <w:rPr>
          <w:color w:val="231F20"/>
          <w:w w:val="95"/>
        </w:rPr>
        <w:t>spousal</w:t>
      </w:r>
      <w:r>
        <w:rPr>
          <w:color w:val="231F20"/>
          <w:spacing w:val="-9"/>
          <w:w w:val="95"/>
        </w:rPr>
        <w:t xml:space="preserve"> </w:t>
      </w:r>
      <w:r>
        <w:rPr>
          <w:color w:val="231F20"/>
          <w:w w:val="95"/>
        </w:rPr>
        <w:t xml:space="preserve">leisure </w:t>
      </w:r>
      <w:r>
        <w:rPr>
          <w:color w:val="231F20"/>
          <w:spacing w:val="-2"/>
          <w:w w:val="95"/>
        </w:rPr>
        <w:t xml:space="preserve">interactions (Gillespie </w:t>
      </w:r>
      <w:r>
        <w:rPr>
          <w:i/>
          <w:color w:val="231F20"/>
          <w:spacing w:val="-2"/>
          <w:w w:val="95"/>
        </w:rPr>
        <w:t>et al</w:t>
      </w:r>
      <w:r>
        <w:rPr>
          <w:color w:val="231F20"/>
          <w:spacing w:val="-2"/>
          <w:w w:val="95"/>
        </w:rPr>
        <w:t xml:space="preserve">., 2002; Hultsman, 2012). The first encapsulates </w:t>
      </w:r>
      <w:r>
        <w:rPr>
          <w:color w:val="231F20"/>
        </w:rPr>
        <w:t>circumstances</w:t>
      </w:r>
      <w:r>
        <w:rPr>
          <w:color w:val="231F20"/>
          <w:spacing w:val="-12"/>
        </w:rPr>
        <w:t xml:space="preserve"> </w:t>
      </w:r>
      <w:r>
        <w:rPr>
          <w:color w:val="231F20"/>
        </w:rPr>
        <w:t>where</w:t>
      </w:r>
      <w:r>
        <w:rPr>
          <w:color w:val="231F20"/>
          <w:spacing w:val="-12"/>
        </w:rPr>
        <w:t xml:space="preserve"> </w:t>
      </w:r>
      <w:r>
        <w:rPr>
          <w:color w:val="231F20"/>
        </w:rPr>
        <w:t>both</w:t>
      </w:r>
      <w:r>
        <w:rPr>
          <w:color w:val="231F20"/>
          <w:spacing w:val="-11"/>
        </w:rPr>
        <w:t xml:space="preserve"> </w:t>
      </w:r>
      <w:r>
        <w:rPr>
          <w:color w:val="231F20"/>
        </w:rPr>
        <w:t>spouses</w:t>
      </w:r>
      <w:r>
        <w:rPr>
          <w:color w:val="231F20"/>
          <w:spacing w:val="-12"/>
        </w:rPr>
        <w:t xml:space="preserve"> </w:t>
      </w:r>
      <w:r>
        <w:rPr>
          <w:color w:val="231F20"/>
        </w:rPr>
        <w:t>share</w:t>
      </w:r>
      <w:r>
        <w:rPr>
          <w:color w:val="231F20"/>
          <w:spacing w:val="-11"/>
        </w:rPr>
        <w:t xml:space="preserve"> </w:t>
      </w:r>
      <w:r>
        <w:rPr>
          <w:color w:val="231F20"/>
        </w:rPr>
        <w:t>an</w:t>
      </w:r>
      <w:r>
        <w:rPr>
          <w:color w:val="231F20"/>
          <w:spacing w:val="-12"/>
        </w:rPr>
        <w:t xml:space="preserve"> </w:t>
      </w:r>
      <w:r>
        <w:rPr>
          <w:color w:val="231F20"/>
        </w:rPr>
        <w:t>interest</w:t>
      </w:r>
      <w:r>
        <w:rPr>
          <w:color w:val="231F20"/>
          <w:spacing w:val="-11"/>
        </w:rPr>
        <w:t xml:space="preserve"> </w:t>
      </w:r>
      <w:r>
        <w:rPr>
          <w:color w:val="231F20"/>
        </w:rPr>
        <w:t>and</w:t>
      </w:r>
      <w:r>
        <w:rPr>
          <w:color w:val="231F20"/>
          <w:spacing w:val="-12"/>
        </w:rPr>
        <w:t xml:space="preserve"> </w:t>
      </w:r>
      <w:r>
        <w:rPr>
          <w:color w:val="231F20"/>
        </w:rPr>
        <w:t>participate</w:t>
      </w:r>
      <w:r>
        <w:rPr>
          <w:color w:val="231F20"/>
          <w:spacing w:val="-12"/>
        </w:rPr>
        <w:t xml:space="preserve"> </w:t>
      </w:r>
      <w:r>
        <w:rPr>
          <w:color w:val="231F20"/>
        </w:rPr>
        <w:t>in a leisure activity together. The second model is where one spouse is highly</w:t>
      </w:r>
      <w:r>
        <w:rPr>
          <w:color w:val="231F20"/>
          <w:spacing w:val="-6"/>
        </w:rPr>
        <w:t xml:space="preserve"> </w:t>
      </w:r>
      <w:r>
        <w:rPr>
          <w:color w:val="231F20"/>
        </w:rPr>
        <w:t>committed</w:t>
      </w:r>
      <w:r>
        <w:rPr>
          <w:color w:val="231F20"/>
          <w:spacing w:val="-6"/>
        </w:rPr>
        <w:t xml:space="preserve"> </w:t>
      </w:r>
      <w:r>
        <w:rPr>
          <w:color w:val="231F20"/>
        </w:rPr>
        <w:t>to</w:t>
      </w:r>
      <w:r>
        <w:rPr>
          <w:color w:val="231F20"/>
          <w:spacing w:val="-6"/>
        </w:rPr>
        <w:t xml:space="preserve"> </w:t>
      </w:r>
      <w:r>
        <w:rPr>
          <w:color w:val="231F20"/>
        </w:rPr>
        <w:t>an</w:t>
      </w:r>
      <w:r>
        <w:rPr>
          <w:color w:val="231F20"/>
          <w:spacing w:val="-6"/>
        </w:rPr>
        <w:t xml:space="preserve"> </w:t>
      </w:r>
      <w:r>
        <w:rPr>
          <w:color w:val="231F20"/>
        </w:rPr>
        <w:t>activity</w:t>
      </w:r>
      <w:r>
        <w:rPr>
          <w:color w:val="231F20"/>
          <w:spacing w:val="-6"/>
        </w:rPr>
        <w:t xml:space="preserve"> </w:t>
      </w:r>
      <w:r>
        <w:rPr>
          <w:color w:val="231F20"/>
        </w:rPr>
        <w:t>and</w:t>
      </w:r>
      <w:r>
        <w:rPr>
          <w:color w:val="231F20"/>
          <w:spacing w:val="-6"/>
        </w:rPr>
        <w:t xml:space="preserve"> </w:t>
      </w:r>
      <w:r>
        <w:rPr>
          <w:color w:val="231F20"/>
        </w:rPr>
        <w:t>the</w:t>
      </w:r>
      <w:r>
        <w:rPr>
          <w:color w:val="231F20"/>
          <w:spacing w:val="-6"/>
        </w:rPr>
        <w:t xml:space="preserve"> </w:t>
      </w:r>
      <w:r>
        <w:rPr>
          <w:color w:val="231F20"/>
        </w:rPr>
        <w:t>other</w:t>
      </w:r>
      <w:r>
        <w:rPr>
          <w:color w:val="231F20"/>
          <w:spacing w:val="-6"/>
        </w:rPr>
        <w:t xml:space="preserve"> </w:t>
      </w:r>
      <w:r>
        <w:rPr>
          <w:color w:val="231F20"/>
        </w:rPr>
        <w:t>spouse</w:t>
      </w:r>
      <w:r>
        <w:rPr>
          <w:color w:val="231F20"/>
          <w:spacing w:val="-6"/>
        </w:rPr>
        <w:t xml:space="preserve"> </w:t>
      </w:r>
      <w:r>
        <w:rPr>
          <w:color w:val="231F20"/>
        </w:rPr>
        <w:t>is</w:t>
      </w:r>
      <w:r>
        <w:rPr>
          <w:color w:val="231F20"/>
          <w:spacing w:val="-6"/>
        </w:rPr>
        <w:t xml:space="preserve"> </w:t>
      </w:r>
      <w:r>
        <w:rPr>
          <w:color w:val="231F20"/>
        </w:rPr>
        <w:t>not</w:t>
      </w:r>
      <w:r>
        <w:rPr>
          <w:color w:val="231F20"/>
          <w:spacing w:val="-6"/>
        </w:rPr>
        <w:t xml:space="preserve"> </w:t>
      </w:r>
      <w:r>
        <w:rPr>
          <w:color w:val="231F20"/>
        </w:rPr>
        <w:t>committed but</w:t>
      </w:r>
      <w:r>
        <w:rPr>
          <w:color w:val="231F20"/>
          <w:spacing w:val="-7"/>
        </w:rPr>
        <w:t xml:space="preserve"> </w:t>
      </w:r>
      <w:r>
        <w:rPr>
          <w:color w:val="231F20"/>
        </w:rPr>
        <w:t>provides</w:t>
      </w:r>
      <w:r>
        <w:rPr>
          <w:color w:val="231F20"/>
          <w:spacing w:val="-7"/>
        </w:rPr>
        <w:t xml:space="preserve"> </w:t>
      </w:r>
      <w:r>
        <w:rPr>
          <w:color w:val="231F20"/>
        </w:rPr>
        <w:t>support</w:t>
      </w:r>
      <w:r>
        <w:rPr>
          <w:color w:val="231F20"/>
          <w:spacing w:val="-7"/>
        </w:rPr>
        <w:t xml:space="preserve"> </w:t>
      </w:r>
      <w:r>
        <w:rPr>
          <w:color w:val="231F20"/>
        </w:rPr>
        <w:t>to</w:t>
      </w:r>
      <w:r>
        <w:rPr>
          <w:color w:val="231F20"/>
          <w:spacing w:val="-7"/>
        </w:rPr>
        <w:t xml:space="preserve"> </w:t>
      </w:r>
      <w:r>
        <w:rPr>
          <w:color w:val="231F20"/>
        </w:rPr>
        <w:t>the</w:t>
      </w:r>
      <w:r>
        <w:rPr>
          <w:color w:val="231F20"/>
          <w:spacing w:val="-7"/>
        </w:rPr>
        <w:t xml:space="preserve"> </w:t>
      </w:r>
      <w:r>
        <w:rPr>
          <w:color w:val="231F20"/>
        </w:rPr>
        <w:t>committed</w:t>
      </w:r>
      <w:r>
        <w:rPr>
          <w:color w:val="231F20"/>
          <w:spacing w:val="-7"/>
        </w:rPr>
        <w:t xml:space="preserve"> </w:t>
      </w:r>
      <w:r>
        <w:rPr>
          <w:color w:val="231F20"/>
        </w:rPr>
        <w:t>spouse.</w:t>
      </w:r>
      <w:r>
        <w:rPr>
          <w:color w:val="231F20"/>
          <w:spacing w:val="-7"/>
        </w:rPr>
        <w:t xml:space="preserve"> </w:t>
      </w:r>
      <w:r>
        <w:rPr>
          <w:color w:val="231F20"/>
        </w:rPr>
        <w:t>In</w:t>
      </w:r>
      <w:r>
        <w:rPr>
          <w:color w:val="231F20"/>
          <w:spacing w:val="-7"/>
        </w:rPr>
        <w:t xml:space="preserve"> </w:t>
      </w:r>
      <w:r>
        <w:rPr>
          <w:color w:val="231F20"/>
        </w:rPr>
        <w:t>the</w:t>
      </w:r>
      <w:r>
        <w:rPr>
          <w:color w:val="231F20"/>
          <w:spacing w:val="-7"/>
        </w:rPr>
        <w:t xml:space="preserve"> </w:t>
      </w:r>
      <w:r>
        <w:rPr>
          <w:color w:val="231F20"/>
        </w:rPr>
        <w:t>third</w:t>
      </w:r>
      <w:r>
        <w:rPr>
          <w:color w:val="231F20"/>
          <w:spacing w:val="-7"/>
        </w:rPr>
        <w:t xml:space="preserve"> </w:t>
      </w:r>
      <w:r>
        <w:rPr>
          <w:color w:val="231F20"/>
        </w:rPr>
        <w:t>model,</w:t>
      </w:r>
      <w:r>
        <w:rPr>
          <w:color w:val="231F20"/>
          <w:spacing w:val="-7"/>
        </w:rPr>
        <w:t xml:space="preserve"> </w:t>
      </w:r>
      <w:r>
        <w:rPr>
          <w:color w:val="231F20"/>
        </w:rPr>
        <w:t xml:space="preserve">one </w:t>
      </w:r>
      <w:r>
        <w:rPr>
          <w:color w:val="231F20"/>
          <w:w w:val="95"/>
        </w:rPr>
        <w:t>spouse</w:t>
      </w:r>
      <w:r>
        <w:rPr>
          <w:color w:val="231F20"/>
          <w:spacing w:val="-6"/>
          <w:w w:val="95"/>
        </w:rPr>
        <w:t xml:space="preserve"> </w:t>
      </w:r>
      <w:r>
        <w:rPr>
          <w:color w:val="231F20"/>
          <w:w w:val="95"/>
        </w:rPr>
        <w:t>is</w:t>
      </w:r>
      <w:r>
        <w:rPr>
          <w:color w:val="231F20"/>
          <w:spacing w:val="-6"/>
          <w:w w:val="95"/>
        </w:rPr>
        <w:t xml:space="preserve"> </w:t>
      </w:r>
      <w:r>
        <w:rPr>
          <w:color w:val="231F20"/>
          <w:w w:val="95"/>
        </w:rPr>
        <w:t>engaged</w:t>
      </w:r>
      <w:r>
        <w:rPr>
          <w:color w:val="231F20"/>
          <w:spacing w:val="-6"/>
          <w:w w:val="95"/>
        </w:rPr>
        <w:t xml:space="preserve"> </w:t>
      </w:r>
      <w:r>
        <w:rPr>
          <w:color w:val="231F20"/>
          <w:w w:val="95"/>
        </w:rPr>
        <w:t>in</w:t>
      </w:r>
      <w:r>
        <w:rPr>
          <w:color w:val="231F20"/>
          <w:spacing w:val="-6"/>
          <w:w w:val="95"/>
        </w:rPr>
        <w:t xml:space="preserve"> </w:t>
      </w:r>
      <w:r>
        <w:rPr>
          <w:color w:val="231F20"/>
          <w:w w:val="95"/>
        </w:rPr>
        <w:t>serious</w:t>
      </w:r>
      <w:r>
        <w:rPr>
          <w:color w:val="231F20"/>
          <w:spacing w:val="-6"/>
          <w:w w:val="95"/>
        </w:rPr>
        <w:t xml:space="preserve"> </w:t>
      </w:r>
      <w:r>
        <w:rPr>
          <w:color w:val="231F20"/>
          <w:w w:val="95"/>
        </w:rPr>
        <w:t>leisure</w:t>
      </w:r>
      <w:r>
        <w:rPr>
          <w:color w:val="231F20"/>
          <w:spacing w:val="-6"/>
          <w:w w:val="95"/>
        </w:rPr>
        <w:t xml:space="preserve"> </w:t>
      </w:r>
      <w:r>
        <w:rPr>
          <w:color w:val="231F20"/>
          <w:w w:val="95"/>
        </w:rPr>
        <w:t>and</w:t>
      </w:r>
      <w:r>
        <w:rPr>
          <w:color w:val="231F20"/>
          <w:spacing w:val="-6"/>
          <w:w w:val="95"/>
        </w:rPr>
        <w:t xml:space="preserve"> </w:t>
      </w:r>
      <w:r>
        <w:rPr>
          <w:color w:val="231F20"/>
          <w:w w:val="95"/>
        </w:rPr>
        <w:t>com</w:t>
      </w:r>
      <w:r>
        <w:rPr>
          <w:color w:val="231F20"/>
          <w:w w:val="95"/>
        </w:rPr>
        <w:t>petes</w:t>
      </w:r>
      <w:r>
        <w:rPr>
          <w:color w:val="231F20"/>
          <w:spacing w:val="-6"/>
          <w:w w:val="95"/>
        </w:rPr>
        <w:t xml:space="preserve"> </w:t>
      </w:r>
      <w:r>
        <w:rPr>
          <w:color w:val="231F20"/>
          <w:w w:val="95"/>
        </w:rPr>
        <w:t>in</w:t>
      </w:r>
      <w:r>
        <w:rPr>
          <w:color w:val="231F20"/>
          <w:spacing w:val="-6"/>
          <w:w w:val="95"/>
        </w:rPr>
        <w:t xml:space="preserve"> </w:t>
      </w:r>
      <w:r>
        <w:rPr>
          <w:color w:val="231F20"/>
          <w:w w:val="95"/>
        </w:rPr>
        <w:t>events</w:t>
      </w:r>
      <w:r>
        <w:rPr>
          <w:color w:val="231F20"/>
          <w:spacing w:val="-6"/>
          <w:w w:val="95"/>
        </w:rPr>
        <w:t xml:space="preserve"> </w:t>
      </w:r>
      <w:r>
        <w:rPr>
          <w:color w:val="231F20"/>
          <w:w w:val="95"/>
        </w:rPr>
        <w:t>related</w:t>
      </w:r>
      <w:r>
        <w:rPr>
          <w:color w:val="231F20"/>
          <w:spacing w:val="-6"/>
          <w:w w:val="95"/>
        </w:rPr>
        <w:t xml:space="preserve"> </w:t>
      </w:r>
      <w:r>
        <w:rPr>
          <w:color w:val="231F20"/>
          <w:w w:val="95"/>
        </w:rPr>
        <w:t>to</w:t>
      </w:r>
      <w:r>
        <w:rPr>
          <w:color w:val="231F20"/>
          <w:spacing w:val="-6"/>
          <w:w w:val="95"/>
        </w:rPr>
        <w:t xml:space="preserve"> </w:t>
      </w:r>
      <w:r>
        <w:rPr>
          <w:color w:val="231F20"/>
          <w:w w:val="95"/>
        </w:rPr>
        <w:t xml:space="preserve">the activity; this spouse is therefore positioned as the ‘dominant’ competitor, with the other spouse attending events to enact a support role. Our data </w:t>
      </w:r>
      <w:r>
        <w:rPr>
          <w:color w:val="231F20"/>
        </w:rPr>
        <w:t>suggested</w:t>
      </w:r>
      <w:r>
        <w:rPr>
          <w:color w:val="231F20"/>
          <w:spacing w:val="-7"/>
        </w:rPr>
        <w:t xml:space="preserve"> </w:t>
      </w:r>
      <w:r>
        <w:rPr>
          <w:color w:val="231F20"/>
        </w:rPr>
        <w:t>an</w:t>
      </w:r>
      <w:r>
        <w:rPr>
          <w:color w:val="231F20"/>
          <w:spacing w:val="-7"/>
        </w:rPr>
        <w:t xml:space="preserve"> </w:t>
      </w:r>
      <w:r>
        <w:rPr>
          <w:color w:val="231F20"/>
        </w:rPr>
        <w:t>additional</w:t>
      </w:r>
      <w:r>
        <w:rPr>
          <w:color w:val="231F20"/>
          <w:spacing w:val="-7"/>
        </w:rPr>
        <w:t xml:space="preserve"> </w:t>
      </w:r>
      <w:r>
        <w:rPr>
          <w:color w:val="231F20"/>
        </w:rPr>
        <w:t>‘dominant</w:t>
      </w:r>
      <w:r>
        <w:rPr>
          <w:color w:val="231F20"/>
          <w:spacing w:val="-7"/>
        </w:rPr>
        <w:t xml:space="preserve"> </w:t>
      </w:r>
      <w:r>
        <w:rPr>
          <w:color w:val="231F20"/>
        </w:rPr>
        <w:t>participant/secondary</w:t>
      </w:r>
      <w:r>
        <w:rPr>
          <w:color w:val="231F20"/>
          <w:spacing w:val="-7"/>
        </w:rPr>
        <w:t xml:space="preserve"> </w:t>
      </w:r>
      <w:r>
        <w:rPr>
          <w:color w:val="231F20"/>
        </w:rPr>
        <w:t xml:space="preserve">participant’ </w:t>
      </w:r>
      <w:r>
        <w:rPr>
          <w:color w:val="231F20"/>
          <w:w w:val="95"/>
        </w:rPr>
        <w:t xml:space="preserve">model reflecting situations where one spouse within the couple was the </w:t>
      </w:r>
      <w:r>
        <w:rPr>
          <w:color w:val="231F20"/>
        </w:rPr>
        <w:t>dominant</w:t>
      </w:r>
      <w:r>
        <w:rPr>
          <w:color w:val="231F20"/>
          <w:spacing w:val="-8"/>
        </w:rPr>
        <w:t xml:space="preserve"> </w:t>
      </w:r>
      <w:r>
        <w:rPr>
          <w:color w:val="231F20"/>
        </w:rPr>
        <w:t>participant</w:t>
      </w:r>
      <w:r>
        <w:rPr>
          <w:color w:val="231F20"/>
          <w:spacing w:val="-8"/>
        </w:rPr>
        <w:t xml:space="preserve"> </w:t>
      </w:r>
      <w:r>
        <w:rPr>
          <w:color w:val="231F20"/>
        </w:rPr>
        <w:t>in</w:t>
      </w:r>
      <w:r>
        <w:rPr>
          <w:color w:val="231F20"/>
          <w:spacing w:val="-8"/>
        </w:rPr>
        <w:t xml:space="preserve"> </w:t>
      </w:r>
      <w:r>
        <w:rPr>
          <w:color w:val="231F20"/>
        </w:rPr>
        <w:t>endurance</w:t>
      </w:r>
      <w:r>
        <w:rPr>
          <w:color w:val="231F20"/>
          <w:spacing w:val="-8"/>
        </w:rPr>
        <w:t xml:space="preserve"> </w:t>
      </w:r>
      <w:r>
        <w:rPr>
          <w:color w:val="231F20"/>
        </w:rPr>
        <w:t>sports,</w:t>
      </w:r>
      <w:r>
        <w:rPr>
          <w:color w:val="231F20"/>
          <w:spacing w:val="-8"/>
        </w:rPr>
        <w:t xml:space="preserve"> </w:t>
      </w:r>
      <w:r>
        <w:rPr>
          <w:color w:val="231F20"/>
        </w:rPr>
        <w:t>while</w:t>
      </w:r>
      <w:r>
        <w:rPr>
          <w:color w:val="231F20"/>
          <w:spacing w:val="-8"/>
        </w:rPr>
        <w:t xml:space="preserve"> </w:t>
      </w:r>
      <w:r>
        <w:rPr>
          <w:color w:val="231F20"/>
        </w:rPr>
        <w:t>the</w:t>
      </w:r>
      <w:r>
        <w:rPr>
          <w:color w:val="231F20"/>
          <w:spacing w:val="-8"/>
        </w:rPr>
        <w:t xml:space="preserve"> </w:t>
      </w:r>
      <w:r>
        <w:rPr>
          <w:color w:val="231F20"/>
        </w:rPr>
        <w:t>other</w:t>
      </w:r>
      <w:r>
        <w:rPr>
          <w:color w:val="231F20"/>
          <w:spacing w:val="-8"/>
        </w:rPr>
        <w:t xml:space="preserve"> </w:t>
      </w:r>
      <w:r>
        <w:rPr>
          <w:color w:val="231F20"/>
        </w:rPr>
        <w:t>spouse</w:t>
      </w:r>
      <w:r>
        <w:rPr>
          <w:color w:val="231F20"/>
          <w:spacing w:val="-8"/>
        </w:rPr>
        <w:t xml:space="preserve"> </w:t>
      </w:r>
      <w:r>
        <w:rPr>
          <w:color w:val="231F20"/>
        </w:rPr>
        <w:t>was a</w:t>
      </w:r>
      <w:r>
        <w:rPr>
          <w:color w:val="231F20"/>
          <w:spacing w:val="-9"/>
        </w:rPr>
        <w:t xml:space="preserve"> </w:t>
      </w:r>
      <w:r>
        <w:rPr>
          <w:color w:val="231F20"/>
        </w:rPr>
        <w:t>secondary</w:t>
      </w:r>
      <w:r>
        <w:rPr>
          <w:color w:val="231F20"/>
          <w:spacing w:val="-9"/>
        </w:rPr>
        <w:t xml:space="preserve"> </w:t>
      </w:r>
      <w:r>
        <w:rPr>
          <w:color w:val="231F20"/>
        </w:rPr>
        <w:t>(less</w:t>
      </w:r>
      <w:r>
        <w:rPr>
          <w:color w:val="231F20"/>
          <w:spacing w:val="-9"/>
        </w:rPr>
        <w:t xml:space="preserve"> </w:t>
      </w:r>
      <w:r>
        <w:rPr>
          <w:color w:val="231F20"/>
        </w:rPr>
        <w:t>involved)</w:t>
      </w:r>
      <w:r>
        <w:rPr>
          <w:color w:val="231F20"/>
          <w:spacing w:val="-9"/>
        </w:rPr>
        <w:t xml:space="preserve"> </w:t>
      </w:r>
      <w:r>
        <w:rPr>
          <w:color w:val="231F20"/>
        </w:rPr>
        <w:t>participant.</w:t>
      </w:r>
      <w:r>
        <w:rPr>
          <w:color w:val="231F20"/>
          <w:spacing w:val="-9"/>
        </w:rPr>
        <w:t xml:space="preserve"> </w:t>
      </w:r>
      <w:r>
        <w:rPr>
          <w:color w:val="231F20"/>
        </w:rPr>
        <w:t>Although</w:t>
      </w:r>
      <w:r>
        <w:rPr>
          <w:color w:val="231F20"/>
          <w:spacing w:val="-9"/>
        </w:rPr>
        <w:t xml:space="preserve"> </w:t>
      </w:r>
      <w:r>
        <w:rPr>
          <w:color w:val="231F20"/>
        </w:rPr>
        <w:t>both</w:t>
      </w:r>
      <w:r>
        <w:rPr>
          <w:color w:val="231F20"/>
          <w:spacing w:val="-9"/>
        </w:rPr>
        <w:t xml:space="preserve"> </w:t>
      </w:r>
      <w:r>
        <w:rPr>
          <w:color w:val="231F20"/>
        </w:rPr>
        <w:t>spouses</w:t>
      </w:r>
      <w:r>
        <w:rPr>
          <w:color w:val="231F20"/>
          <w:spacing w:val="-9"/>
        </w:rPr>
        <w:t xml:space="preserve"> </w:t>
      </w:r>
      <w:r>
        <w:rPr>
          <w:color w:val="231F20"/>
        </w:rPr>
        <w:t>shared an</w:t>
      </w:r>
      <w:r>
        <w:rPr>
          <w:color w:val="231F20"/>
          <w:spacing w:val="-12"/>
        </w:rPr>
        <w:t xml:space="preserve"> </w:t>
      </w:r>
      <w:r>
        <w:rPr>
          <w:color w:val="231F20"/>
        </w:rPr>
        <w:t>interest</w:t>
      </w:r>
      <w:r>
        <w:rPr>
          <w:color w:val="231F20"/>
          <w:spacing w:val="-12"/>
        </w:rPr>
        <w:t xml:space="preserve"> </w:t>
      </w:r>
      <w:r>
        <w:rPr>
          <w:color w:val="231F20"/>
        </w:rPr>
        <w:t>in</w:t>
      </w:r>
      <w:r>
        <w:rPr>
          <w:color w:val="231F20"/>
          <w:spacing w:val="-11"/>
        </w:rPr>
        <w:t xml:space="preserve"> </w:t>
      </w:r>
      <w:r>
        <w:rPr>
          <w:color w:val="231F20"/>
        </w:rPr>
        <w:t>the</w:t>
      </w:r>
      <w:r>
        <w:rPr>
          <w:color w:val="231F20"/>
          <w:spacing w:val="-12"/>
        </w:rPr>
        <w:t xml:space="preserve"> </w:t>
      </w:r>
      <w:r>
        <w:rPr>
          <w:color w:val="231F20"/>
        </w:rPr>
        <w:t>activity,</w:t>
      </w:r>
      <w:r>
        <w:rPr>
          <w:color w:val="231F20"/>
          <w:spacing w:val="-11"/>
        </w:rPr>
        <w:t xml:space="preserve"> </w:t>
      </w:r>
      <w:r>
        <w:rPr>
          <w:color w:val="231F20"/>
        </w:rPr>
        <w:t>the</w:t>
      </w:r>
      <w:r>
        <w:rPr>
          <w:color w:val="231F20"/>
          <w:spacing w:val="-12"/>
        </w:rPr>
        <w:t xml:space="preserve"> </w:t>
      </w:r>
      <w:r>
        <w:rPr>
          <w:color w:val="231F20"/>
        </w:rPr>
        <w:t>secondary</w:t>
      </w:r>
      <w:r>
        <w:rPr>
          <w:color w:val="231F20"/>
          <w:spacing w:val="-11"/>
        </w:rPr>
        <w:t xml:space="preserve"> </w:t>
      </w:r>
      <w:r>
        <w:rPr>
          <w:color w:val="231F20"/>
        </w:rPr>
        <w:t>participant’s</w:t>
      </w:r>
      <w:r>
        <w:rPr>
          <w:color w:val="231F20"/>
          <w:spacing w:val="-12"/>
        </w:rPr>
        <w:t xml:space="preserve"> </w:t>
      </w:r>
      <w:r>
        <w:rPr>
          <w:color w:val="231F20"/>
        </w:rPr>
        <w:t>involvement</w:t>
      </w:r>
      <w:r>
        <w:rPr>
          <w:color w:val="231F20"/>
          <w:spacing w:val="-12"/>
        </w:rPr>
        <w:t xml:space="preserve"> </w:t>
      </w:r>
      <w:r>
        <w:rPr>
          <w:color w:val="231F20"/>
        </w:rPr>
        <w:t>was constrained</w:t>
      </w:r>
      <w:r>
        <w:rPr>
          <w:color w:val="231F20"/>
          <w:spacing w:val="-6"/>
        </w:rPr>
        <w:t xml:space="preserve"> </w:t>
      </w:r>
      <w:r>
        <w:rPr>
          <w:color w:val="231F20"/>
        </w:rPr>
        <w:t>by</w:t>
      </w:r>
      <w:r>
        <w:rPr>
          <w:color w:val="231F20"/>
          <w:spacing w:val="-6"/>
        </w:rPr>
        <w:t xml:space="preserve"> </w:t>
      </w:r>
      <w:r>
        <w:rPr>
          <w:color w:val="231F20"/>
        </w:rPr>
        <w:t>enacting</w:t>
      </w:r>
      <w:r>
        <w:rPr>
          <w:color w:val="231F20"/>
          <w:spacing w:val="-6"/>
        </w:rPr>
        <w:t xml:space="preserve"> </w:t>
      </w:r>
      <w:r>
        <w:rPr>
          <w:color w:val="231F20"/>
        </w:rPr>
        <w:t>a</w:t>
      </w:r>
      <w:r>
        <w:rPr>
          <w:color w:val="231F20"/>
          <w:spacing w:val="-6"/>
        </w:rPr>
        <w:t xml:space="preserve"> </w:t>
      </w:r>
      <w:r>
        <w:rPr>
          <w:color w:val="231F20"/>
        </w:rPr>
        <w:t>support</w:t>
      </w:r>
      <w:r>
        <w:rPr>
          <w:color w:val="231F20"/>
          <w:spacing w:val="-6"/>
        </w:rPr>
        <w:t xml:space="preserve"> </w:t>
      </w:r>
      <w:r>
        <w:rPr>
          <w:color w:val="231F20"/>
        </w:rPr>
        <w:t>role</w:t>
      </w:r>
      <w:r>
        <w:rPr>
          <w:color w:val="231F20"/>
          <w:spacing w:val="-6"/>
        </w:rPr>
        <w:t xml:space="preserve"> </w:t>
      </w:r>
      <w:r>
        <w:rPr>
          <w:color w:val="231F20"/>
        </w:rPr>
        <w:t>to</w:t>
      </w:r>
      <w:r>
        <w:rPr>
          <w:color w:val="231F20"/>
          <w:spacing w:val="-6"/>
        </w:rPr>
        <w:t xml:space="preserve"> </w:t>
      </w:r>
      <w:r>
        <w:rPr>
          <w:color w:val="231F20"/>
        </w:rPr>
        <w:t>the</w:t>
      </w:r>
      <w:r>
        <w:rPr>
          <w:color w:val="231F20"/>
          <w:spacing w:val="-6"/>
        </w:rPr>
        <w:t xml:space="preserve"> </w:t>
      </w:r>
      <w:r>
        <w:rPr>
          <w:color w:val="231F20"/>
        </w:rPr>
        <w:t>dominant</w:t>
      </w:r>
      <w:r>
        <w:rPr>
          <w:color w:val="231F20"/>
          <w:spacing w:val="-6"/>
        </w:rPr>
        <w:t xml:space="preserve"> </w:t>
      </w:r>
      <w:r>
        <w:rPr>
          <w:color w:val="231F20"/>
        </w:rPr>
        <w:t>participant.</w:t>
      </w:r>
    </w:p>
    <w:p w14:paraId="2FA4E28F" w14:textId="77777777" w:rsidR="00AE0598" w:rsidRDefault="0069255A">
      <w:pPr>
        <w:pStyle w:val="Corpodetexto"/>
        <w:spacing w:before="20" w:line="232" w:lineRule="auto"/>
        <w:ind w:left="223" w:right="240" w:firstLine="320"/>
        <w:jc w:val="both"/>
      </w:pPr>
      <w:r>
        <w:rPr>
          <w:color w:val="231F20"/>
        </w:rPr>
        <w:t>Indeed, our data indicated that for some couples, it is extremely difficult for both spouses to be highly committed to leisure activities, particularly</w:t>
      </w:r>
      <w:r>
        <w:rPr>
          <w:color w:val="231F20"/>
          <w:spacing w:val="-1"/>
        </w:rPr>
        <w:t xml:space="preserve"> </w:t>
      </w:r>
      <w:r>
        <w:rPr>
          <w:color w:val="231F20"/>
        </w:rPr>
        <w:t>when</w:t>
      </w:r>
      <w:r>
        <w:rPr>
          <w:color w:val="231F20"/>
          <w:spacing w:val="-1"/>
        </w:rPr>
        <w:t xml:space="preserve"> </w:t>
      </w:r>
      <w:r>
        <w:rPr>
          <w:color w:val="231F20"/>
        </w:rPr>
        <w:t>the</w:t>
      </w:r>
      <w:r>
        <w:rPr>
          <w:color w:val="231F20"/>
          <w:spacing w:val="-1"/>
        </w:rPr>
        <w:t xml:space="preserve"> </w:t>
      </w:r>
      <w:r>
        <w:rPr>
          <w:color w:val="231F20"/>
        </w:rPr>
        <w:t>couple</w:t>
      </w:r>
      <w:r>
        <w:rPr>
          <w:color w:val="231F20"/>
          <w:spacing w:val="-1"/>
        </w:rPr>
        <w:t xml:space="preserve"> </w:t>
      </w:r>
      <w:r>
        <w:rPr>
          <w:color w:val="231F20"/>
        </w:rPr>
        <w:t>have</w:t>
      </w:r>
      <w:r>
        <w:rPr>
          <w:color w:val="231F20"/>
          <w:spacing w:val="-1"/>
        </w:rPr>
        <w:t xml:space="preserve"> </w:t>
      </w:r>
      <w:r>
        <w:rPr>
          <w:color w:val="231F20"/>
        </w:rPr>
        <w:t>young</w:t>
      </w:r>
      <w:r>
        <w:rPr>
          <w:color w:val="231F20"/>
          <w:spacing w:val="-1"/>
        </w:rPr>
        <w:t xml:space="preserve"> </w:t>
      </w:r>
      <w:r>
        <w:rPr>
          <w:color w:val="231F20"/>
        </w:rPr>
        <w:t>children.</w:t>
      </w:r>
      <w:r>
        <w:rPr>
          <w:color w:val="231F20"/>
          <w:spacing w:val="-1"/>
        </w:rPr>
        <w:t xml:space="preserve"> </w:t>
      </w:r>
      <w:r>
        <w:rPr>
          <w:color w:val="231F20"/>
        </w:rPr>
        <w:t>Thus,</w:t>
      </w:r>
      <w:r>
        <w:rPr>
          <w:color w:val="231F20"/>
          <w:spacing w:val="-1"/>
        </w:rPr>
        <w:t xml:space="preserve"> </w:t>
      </w:r>
      <w:r>
        <w:rPr>
          <w:color w:val="231F20"/>
        </w:rPr>
        <w:t>our</w:t>
      </w:r>
      <w:r>
        <w:rPr>
          <w:color w:val="231F20"/>
          <w:spacing w:val="-1"/>
        </w:rPr>
        <w:t xml:space="preserve"> </w:t>
      </w:r>
      <w:r>
        <w:rPr>
          <w:color w:val="231F20"/>
        </w:rPr>
        <w:t>research found</w:t>
      </w:r>
      <w:r>
        <w:rPr>
          <w:color w:val="231F20"/>
          <w:spacing w:val="39"/>
        </w:rPr>
        <w:t xml:space="preserve"> </w:t>
      </w:r>
      <w:r>
        <w:rPr>
          <w:color w:val="231F20"/>
        </w:rPr>
        <w:t>that</w:t>
      </w:r>
      <w:r>
        <w:rPr>
          <w:color w:val="231F20"/>
          <w:spacing w:val="39"/>
        </w:rPr>
        <w:t xml:space="preserve"> </w:t>
      </w:r>
      <w:r>
        <w:rPr>
          <w:color w:val="231F20"/>
        </w:rPr>
        <w:t>one</w:t>
      </w:r>
      <w:r>
        <w:rPr>
          <w:color w:val="231F20"/>
          <w:spacing w:val="39"/>
        </w:rPr>
        <w:t xml:space="preserve"> </w:t>
      </w:r>
      <w:r>
        <w:rPr>
          <w:color w:val="231F20"/>
        </w:rPr>
        <w:t>spouse</w:t>
      </w:r>
      <w:r>
        <w:rPr>
          <w:color w:val="231F20"/>
          <w:spacing w:val="39"/>
        </w:rPr>
        <w:t xml:space="preserve"> </w:t>
      </w:r>
      <w:r>
        <w:rPr>
          <w:color w:val="231F20"/>
        </w:rPr>
        <w:t>within</w:t>
      </w:r>
      <w:r>
        <w:rPr>
          <w:color w:val="231F20"/>
          <w:spacing w:val="39"/>
        </w:rPr>
        <w:t xml:space="preserve"> </w:t>
      </w:r>
      <w:r>
        <w:rPr>
          <w:color w:val="231F20"/>
        </w:rPr>
        <w:t>a</w:t>
      </w:r>
      <w:r>
        <w:rPr>
          <w:color w:val="231F20"/>
          <w:spacing w:val="39"/>
        </w:rPr>
        <w:t xml:space="preserve"> </w:t>
      </w:r>
      <w:r>
        <w:rPr>
          <w:color w:val="231F20"/>
        </w:rPr>
        <w:t>couple</w:t>
      </w:r>
      <w:r>
        <w:rPr>
          <w:color w:val="231F20"/>
          <w:spacing w:val="39"/>
        </w:rPr>
        <w:t xml:space="preserve"> </w:t>
      </w:r>
      <w:r>
        <w:rPr>
          <w:color w:val="231F20"/>
        </w:rPr>
        <w:t>tended</w:t>
      </w:r>
      <w:r>
        <w:rPr>
          <w:color w:val="231F20"/>
          <w:spacing w:val="39"/>
        </w:rPr>
        <w:t xml:space="preserve"> </w:t>
      </w:r>
      <w:r>
        <w:rPr>
          <w:color w:val="231F20"/>
        </w:rPr>
        <w:t>to</w:t>
      </w:r>
      <w:r>
        <w:rPr>
          <w:color w:val="231F20"/>
          <w:spacing w:val="39"/>
        </w:rPr>
        <w:t xml:space="preserve"> </w:t>
      </w:r>
      <w:r>
        <w:rPr>
          <w:color w:val="231F20"/>
        </w:rPr>
        <w:t>adopt</w:t>
      </w:r>
      <w:r>
        <w:rPr>
          <w:color w:val="231F20"/>
          <w:spacing w:val="39"/>
        </w:rPr>
        <w:t xml:space="preserve"> </w:t>
      </w:r>
      <w:r>
        <w:rPr>
          <w:color w:val="231F20"/>
        </w:rPr>
        <w:t>a</w:t>
      </w:r>
      <w:r>
        <w:rPr>
          <w:color w:val="231F20"/>
          <w:spacing w:val="39"/>
        </w:rPr>
        <w:t xml:space="preserve"> </w:t>
      </w:r>
      <w:r>
        <w:rPr>
          <w:color w:val="231F20"/>
        </w:rPr>
        <w:t xml:space="preserve">support role for their athlete spouse, spanning both day-to-day life and event travel contexts. ‘Supporting’ spouses tended to report enduring </w:t>
      </w:r>
      <w:r>
        <w:rPr>
          <w:color w:val="231F20"/>
          <w:w w:val="95"/>
        </w:rPr>
        <w:t>frequent absenteeism by their athlete partner which evoked a series of interconnected stressors such as i</w:t>
      </w:r>
      <w:r>
        <w:rPr>
          <w:color w:val="231F20"/>
          <w:w w:val="95"/>
        </w:rPr>
        <w:t xml:space="preserve">ncreased domestic responsibilities and </w:t>
      </w:r>
      <w:r>
        <w:rPr>
          <w:color w:val="231F20"/>
        </w:rPr>
        <w:t>anxiety over their athlete’s safety and well-being. Stressors, however, were</w:t>
      </w:r>
      <w:r>
        <w:rPr>
          <w:color w:val="231F20"/>
          <w:spacing w:val="-8"/>
        </w:rPr>
        <w:t xml:space="preserve"> </w:t>
      </w:r>
      <w:r>
        <w:rPr>
          <w:color w:val="231F20"/>
        </w:rPr>
        <w:t>counteracted</w:t>
      </w:r>
      <w:r>
        <w:rPr>
          <w:color w:val="231F20"/>
          <w:spacing w:val="-8"/>
        </w:rPr>
        <w:t xml:space="preserve"> </w:t>
      </w:r>
      <w:r>
        <w:rPr>
          <w:color w:val="231F20"/>
        </w:rPr>
        <w:t>by</w:t>
      </w:r>
      <w:r>
        <w:rPr>
          <w:color w:val="231F20"/>
          <w:spacing w:val="-8"/>
        </w:rPr>
        <w:t xml:space="preserve"> </w:t>
      </w:r>
      <w:r>
        <w:rPr>
          <w:color w:val="231F20"/>
        </w:rPr>
        <w:t>an</w:t>
      </w:r>
      <w:r>
        <w:rPr>
          <w:color w:val="231F20"/>
          <w:spacing w:val="-8"/>
        </w:rPr>
        <w:t xml:space="preserve"> </w:t>
      </w:r>
      <w:r>
        <w:rPr>
          <w:color w:val="231F20"/>
        </w:rPr>
        <w:t>array</w:t>
      </w:r>
      <w:r>
        <w:rPr>
          <w:color w:val="231F20"/>
          <w:spacing w:val="-8"/>
        </w:rPr>
        <w:t xml:space="preserve"> </w:t>
      </w:r>
      <w:r>
        <w:rPr>
          <w:color w:val="231F20"/>
        </w:rPr>
        <w:t>of</w:t>
      </w:r>
      <w:r>
        <w:rPr>
          <w:color w:val="231F20"/>
          <w:spacing w:val="-8"/>
        </w:rPr>
        <w:t xml:space="preserve"> </w:t>
      </w:r>
      <w:r>
        <w:rPr>
          <w:color w:val="231F20"/>
        </w:rPr>
        <w:t>perceived</w:t>
      </w:r>
      <w:r>
        <w:rPr>
          <w:color w:val="231F20"/>
          <w:spacing w:val="-8"/>
        </w:rPr>
        <w:t xml:space="preserve"> </w:t>
      </w:r>
      <w:r>
        <w:rPr>
          <w:color w:val="231F20"/>
        </w:rPr>
        <w:t>benefits</w:t>
      </w:r>
      <w:r>
        <w:rPr>
          <w:color w:val="231F20"/>
          <w:spacing w:val="-8"/>
        </w:rPr>
        <w:t xml:space="preserve"> </w:t>
      </w:r>
      <w:r>
        <w:rPr>
          <w:color w:val="231F20"/>
        </w:rPr>
        <w:t>such</w:t>
      </w:r>
      <w:r>
        <w:rPr>
          <w:color w:val="231F20"/>
          <w:spacing w:val="-8"/>
        </w:rPr>
        <w:t xml:space="preserve"> </w:t>
      </w:r>
      <w:r>
        <w:rPr>
          <w:color w:val="231F20"/>
        </w:rPr>
        <w:t>as</w:t>
      </w:r>
      <w:r>
        <w:rPr>
          <w:color w:val="231F20"/>
          <w:spacing w:val="-8"/>
        </w:rPr>
        <w:t xml:space="preserve"> </w:t>
      </w:r>
      <w:r>
        <w:rPr>
          <w:color w:val="231F20"/>
        </w:rPr>
        <w:t xml:space="preserve">enhanced family togetherness and travel opportunities (Kennelly </w:t>
      </w:r>
      <w:r>
        <w:rPr>
          <w:i/>
          <w:color w:val="231F20"/>
        </w:rPr>
        <w:t>et al</w:t>
      </w:r>
      <w:r>
        <w:rPr>
          <w:color w:val="231F20"/>
        </w:rPr>
        <w:t xml:space="preserve">., 2015). </w:t>
      </w:r>
      <w:r>
        <w:rPr>
          <w:color w:val="231F20"/>
          <w:w w:val="95"/>
        </w:rPr>
        <w:t>Furthe</w:t>
      </w:r>
      <w:r>
        <w:rPr>
          <w:color w:val="231F20"/>
          <w:w w:val="95"/>
        </w:rPr>
        <w:t>r research is required on the paradoxical cycles in which athletes and their spouses tolerate significant stressors offset by the benefits that sustain</w:t>
      </w:r>
      <w:r>
        <w:rPr>
          <w:color w:val="231F20"/>
          <w:spacing w:val="-10"/>
          <w:w w:val="95"/>
        </w:rPr>
        <w:t xml:space="preserve"> </w:t>
      </w:r>
      <w:r>
        <w:rPr>
          <w:color w:val="231F20"/>
          <w:w w:val="95"/>
        </w:rPr>
        <w:t>event</w:t>
      </w:r>
      <w:r>
        <w:rPr>
          <w:color w:val="231F20"/>
          <w:spacing w:val="-9"/>
          <w:w w:val="95"/>
        </w:rPr>
        <w:t xml:space="preserve"> </w:t>
      </w:r>
      <w:r>
        <w:rPr>
          <w:color w:val="231F20"/>
          <w:w w:val="95"/>
        </w:rPr>
        <w:t>travel</w:t>
      </w:r>
      <w:r>
        <w:rPr>
          <w:color w:val="231F20"/>
          <w:spacing w:val="-9"/>
          <w:w w:val="95"/>
        </w:rPr>
        <w:t xml:space="preserve"> </w:t>
      </w:r>
      <w:r>
        <w:rPr>
          <w:color w:val="231F20"/>
          <w:w w:val="95"/>
        </w:rPr>
        <w:t>careers</w:t>
      </w:r>
      <w:r>
        <w:rPr>
          <w:color w:val="231F20"/>
          <w:spacing w:val="-9"/>
          <w:w w:val="95"/>
        </w:rPr>
        <w:t xml:space="preserve"> </w:t>
      </w:r>
      <w:r>
        <w:rPr>
          <w:color w:val="231F20"/>
          <w:w w:val="95"/>
        </w:rPr>
        <w:t>in</w:t>
      </w:r>
      <w:r>
        <w:rPr>
          <w:color w:val="231F20"/>
          <w:spacing w:val="-10"/>
          <w:w w:val="95"/>
        </w:rPr>
        <w:t xml:space="preserve"> </w:t>
      </w:r>
      <w:r>
        <w:rPr>
          <w:color w:val="231F20"/>
          <w:w w:val="95"/>
        </w:rPr>
        <w:t>the</w:t>
      </w:r>
      <w:r>
        <w:rPr>
          <w:color w:val="231F20"/>
          <w:spacing w:val="-9"/>
          <w:w w:val="95"/>
        </w:rPr>
        <w:t xml:space="preserve"> </w:t>
      </w:r>
      <w:r>
        <w:rPr>
          <w:color w:val="231F20"/>
          <w:w w:val="95"/>
        </w:rPr>
        <w:t>longer</w:t>
      </w:r>
      <w:r>
        <w:rPr>
          <w:color w:val="231F20"/>
          <w:spacing w:val="-9"/>
          <w:w w:val="95"/>
        </w:rPr>
        <w:t xml:space="preserve"> </w:t>
      </w:r>
      <w:r>
        <w:rPr>
          <w:color w:val="231F20"/>
          <w:w w:val="95"/>
        </w:rPr>
        <w:t>term.</w:t>
      </w:r>
      <w:r>
        <w:rPr>
          <w:color w:val="231F20"/>
          <w:spacing w:val="-9"/>
          <w:w w:val="95"/>
        </w:rPr>
        <w:t xml:space="preserve"> </w:t>
      </w:r>
      <w:r>
        <w:rPr>
          <w:color w:val="231F20"/>
          <w:w w:val="95"/>
        </w:rPr>
        <w:t>From</w:t>
      </w:r>
      <w:r>
        <w:rPr>
          <w:color w:val="231F20"/>
          <w:spacing w:val="-10"/>
          <w:w w:val="95"/>
        </w:rPr>
        <w:t xml:space="preserve"> </w:t>
      </w:r>
      <w:r>
        <w:rPr>
          <w:color w:val="231F20"/>
          <w:w w:val="95"/>
        </w:rPr>
        <w:t>a</w:t>
      </w:r>
      <w:r>
        <w:rPr>
          <w:color w:val="231F20"/>
          <w:spacing w:val="-9"/>
          <w:w w:val="95"/>
        </w:rPr>
        <w:t xml:space="preserve"> </w:t>
      </w:r>
      <w:r>
        <w:rPr>
          <w:color w:val="231F20"/>
          <w:w w:val="95"/>
        </w:rPr>
        <w:t>supply</w:t>
      </w:r>
      <w:r>
        <w:rPr>
          <w:color w:val="231F20"/>
          <w:spacing w:val="-9"/>
          <w:w w:val="95"/>
        </w:rPr>
        <w:t xml:space="preserve"> </w:t>
      </w:r>
      <w:r>
        <w:rPr>
          <w:color w:val="231F20"/>
          <w:w w:val="95"/>
        </w:rPr>
        <w:t>perspective, more</w:t>
      </w:r>
      <w:r>
        <w:rPr>
          <w:color w:val="231F20"/>
          <w:spacing w:val="-3"/>
          <w:w w:val="95"/>
        </w:rPr>
        <w:t xml:space="preserve"> </w:t>
      </w:r>
      <w:r>
        <w:rPr>
          <w:color w:val="231F20"/>
          <w:w w:val="95"/>
        </w:rPr>
        <w:t>research</w:t>
      </w:r>
      <w:r>
        <w:rPr>
          <w:color w:val="231F20"/>
          <w:spacing w:val="-3"/>
          <w:w w:val="95"/>
        </w:rPr>
        <w:t xml:space="preserve"> </w:t>
      </w:r>
      <w:r>
        <w:rPr>
          <w:color w:val="231F20"/>
          <w:w w:val="95"/>
        </w:rPr>
        <w:t>is</w:t>
      </w:r>
      <w:r>
        <w:rPr>
          <w:color w:val="231F20"/>
          <w:spacing w:val="-3"/>
          <w:w w:val="95"/>
        </w:rPr>
        <w:t xml:space="preserve"> </w:t>
      </w:r>
      <w:r>
        <w:rPr>
          <w:color w:val="231F20"/>
          <w:w w:val="95"/>
        </w:rPr>
        <w:t>needed</w:t>
      </w:r>
      <w:r>
        <w:rPr>
          <w:color w:val="231F20"/>
          <w:spacing w:val="-3"/>
          <w:w w:val="95"/>
        </w:rPr>
        <w:t xml:space="preserve"> </w:t>
      </w:r>
      <w:r>
        <w:rPr>
          <w:color w:val="231F20"/>
          <w:w w:val="95"/>
        </w:rPr>
        <w:t>on</w:t>
      </w:r>
      <w:r>
        <w:rPr>
          <w:color w:val="231F20"/>
          <w:spacing w:val="-3"/>
          <w:w w:val="95"/>
        </w:rPr>
        <w:t xml:space="preserve"> </w:t>
      </w:r>
      <w:r>
        <w:rPr>
          <w:color w:val="231F20"/>
          <w:w w:val="95"/>
        </w:rPr>
        <w:t>developing</w:t>
      </w:r>
      <w:r>
        <w:rPr>
          <w:color w:val="231F20"/>
          <w:spacing w:val="-3"/>
          <w:w w:val="95"/>
        </w:rPr>
        <w:t xml:space="preserve"> </w:t>
      </w:r>
      <w:r>
        <w:rPr>
          <w:color w:val="231F20"/>
          <w:w w:val="95"/>
        </w:rPr>
        <w:t>event</w:t>
      </w:r>
      <w:r>
        <w:rPr>
          <w:color w:val="231F20"/>
          <w:spacing w:val="-3"/>
          <w:w w:val="95"/>
        </w:rPr>
        <w:t xml:space="preserve"> </w:t>
      </w:r>
      <w:r>
        <w:rPr>
          <w:color w:val="231F20"/>
          <w:w w:val="95"/>
        </w:rPr>
        <w:t>portfolios</w:t>
      </w:r>
      <w:r>
        <w:rPr>
          <w:color w:val="231F20"/>
          <w:spacing w:val="-3"/>
          <w:w w:val="95"/>
        </w:rPr>
        <w:t xml:space="preserve"> </w:t>
      </w:r>
      <w:r>
        <w:rPr>
          <w:color w:val="231F20"/>
          <w:w w:val="95"/>
        </w:rPr>
        <w:t>with</w:t>
      </w:r>
      <w:r>
        <w:rPr>
          <w:color w:val="231F20"/>
          <w:spacing w:val="-3"/>
          <w:w w:val="95"/>
        </w:rPr>
        <w:t xml:space="preserve"> </w:t>
      </w:r>
      <w:r>
        <w:rPr>
          <w:color w:val="231F20"/>
          <w:w w:val="95"/>
        </w:rPr>
        <w:t>the</w:t>
      </w:r>
      <w:r>
        <w:rPr>
          <w:color w:val="231F20"/>
          <w:spacing w:val="-3"/>
          <w:w w:val="95"/>
        </w:rPr>
        <w:t xml:space="preserve"> </w:t>
      </w:r>
      <w:r>
        <w:rPr>
          <w:color w:val="231F20"/>
          <w:w w:val="95"/>
        </w:rPr>
        <w:t xml:space="preserve">capacity </w:t>
      </w:r>
      <w:r>
        <w:rPr>
          <w:color w:val="231F20"/>
        </w:rPr>
        <w:t>to build sustainable sports tourism destinations for both athletes and their all-important, but often neglected ‘non-participating entourage’.</w:t>
      </w:r>
    </w:p>
    <w:p w14:paraId="63944517" w14:textId="77777777" w:rsidR="00AE0598" w:rsidRDefault="00AE0598">
      <w:pPr>
        <w:pStyle w:val="Corpodetexto"/>
        <w:spacing w:before="8"/>
        <w:rPr>
          <w:sz w:val="22"/>
        </w:rPr>
      </w:pPr>
    </w:p>
    <w:p w14:paraId="4A2B6596" w14:textId="77777777" w:rsidR="00AE0598" w:rsidRDefault="0069255A">
      <w:pPr>
        <w:ind w:left="223"/>
        <w:jc w:val="both"/>
        <w:rPr>
          <w:rFonts w:ascii="Trebuchet MS"/>
          <w:sz w:val="20"/>
        </w:rPr>
      </w:pPr>
      <w:r>
        <w:rPr>
          <w:rFonts w:ascii="Trebuchet MS"/>
          <w:color w:val="231F20"/>
          <w:w w:val="105"/>
          <w:sz w:val="20"/>
        </w:rPr>
        <w:t>Key</w:t>
      </w:r>
      <w:r>
        <w:rPr>
          <w:rFonts w:ascii="Trebuchet MS"/>
          <w:color w:val="231F20"/>
          <w:spacing w:val="-11"/>
          <w:w w:val="105"/>
          <w:sz w:val="20"/>
        </w:rPr>
        <w:t xml:space="preserve"> </w:t>
      </w:r>
      <w:r>
        <w:rPr>
          <w:rFonts w:ascii="Trebuchet MS"/>
          <w:color w:val="231F20"/>
          <w:spacing w:val="-2"/>
          <w:w w:val="105"/>
          <w:sz w:val="20"/>
        </w:rPr>
        <w:t>Reading</w:t>
      </w:r>
    </w:p>
    <w:p w14:paraId="7DE50A59" w14:textId="77777777" w:rsidR="00AE0598" w:rsidRDefault="0069255A">
      <w:pPr>
        <w:pStyle w:val="Corpodetexto"/>
        <w:spacing w:before="122" w:line="232" w:lineRule="auto"/>
        <w:ind w:left="223" w:right="241"/>
        <w:jc w:val="both"/>
      </w:pPr>
      <w:r>
        <w:rPr>
          <w:color w:val="231F20"/>
          <w:w w:val="105"/>
        </w:rPr>
        <w:t>Kennelly, M., Moyle, B.D. and Lamont, M. (2013) Constr</w:t>
      </w:r>
      <w:r>
        <w:rPr>
          <w:color w:val="231F20"/>
          <w:w w:val="105"/>
        </w:rPr>
        <w:t xml:space="preserve">aint </w:t>
      </w:r>
      <w:r>
        <w:rPr>
          <w:color w:val="231F20"/>
          <w:w w:val="95"/>
        </w:rPr>
        <w:t xml:space="preserve">negotiation in serious leisure: A study of amateur triathletes. </w:t>
      </w:r>
      <w:r>
        <w:rPr>
          <w:i/>
          <w:color w:val="231F20"/>
          <w:w w:val="95"/>
        </w:rPr>
        <w:t xml:space="preserve">Journal of </w:t>
      </w:r>
      <w:r>
        <w:rPr>
          <w:i/>
          <w:color w:val="231F20"/>
        </w:rPr>
        <w:t xml:space="preserve">Leisure Research </w:t>
      </w:r>
      <w:r>
        <w:rPr>
          <w:color w:val="231F20"/>
        </w:rPr>
        <w:t>45 (4), 466–484.</w:t>
      </w:r>
    </w:p>
    <w:p w14:paraId="56CAF6E3" w14:textId="77777777" w:rsidR="00AE0598" w:rsidRDefault="00AE0598">
      <w:pPr>
        <w:spacing w:line="232" w:lineRule="auto"/>
        <w:jc w:val="both"/>
        <w:sectPr w:rsidR="00AE0598">
          <w:pgSz w:w="8850" w:h="13270"/>
          <w:pgMar w:top="720" w:right="1060" w:bottom="280" w:left="1080" w:header="720" w:footer="720" w:gutter="0"/>
          <w:cols w:space="720"/>
        </w:sectPr>
      </w:pPr>
    </w:p>
    <w:p w14:paraId="436E345D" w14:textId="77777777" w:rsidR="00AE0598" w:rsidRDefault="0069255A">
      <w:pPr>
        <w:spacing w:before="87"/>
        <w:ind w:left="4078"/>
        <w:rPr>
          <w:rFonts w:ascii="Trebuchet MS"/>
          <w:sz w:val="14"/>
        </w:rPr>
      </w:pPr>
      <w:r>
        <w:rPr>
          <w:rFonts w:ascii="Trebuchet MS"/>
          <w:color w:val="231F20"/>
          <w:w w:val="105"/>
          <w:sz w:val="14"/>
        </w:rPr>
        <w:lastRenderedPageBreak/>
        <w:t>Sport</w:t>
      </w:r>
      <w:r>
        <w:rPr>
          <w:rFonts w:ascii="Trebuchet MS"/>
          <w:color w:val="231F20"/>
          <w:spacing w:val="-11"/>
          <w:w w:val="105"/>
          <w:sz w:val="14"/>
        </w:rPr>
        <w:t xml:space="preserve"> </w:t>
      </w:r>
      <w:r>
        <w:rPr>
          <w:rFonts w:ascii="Trebuchet MS"/>
          <w:color w:val="231F20"/>
          <w:w w:val="105"/>
          <w:sz w:val="14"/>
        </w:rPr>
        <w:t>and</w:t>
      </w:r>
      <w:r>
        <w:rPr>
          <w:rFonts w:ascii="Trebuchet MS"/>
          <w:color w:val="231F20"/>
          <w:spacing w:val="-11"/>
          <w:w w:val="105"/>
          <w:sz w:val="14"/>
        </w:rPr>
        <w:t xml:space="preserve"> </w:t>
      </w:r>
      <w:r>
        <w:rPr>
          <w:rFonts w:ascii="Trebuchet MS"/>
          <w:color w:val="231F20"/>
          <w:w w:val="105"/>
          <w:sz w:val="14"/>
        </w:rPr>
        <w:t>the</w:t>
      </w:r>
      <w:r>
        <w:rPr>
          <w:rFonts w:ascii="Trebuchet MS"/>
          <w:color w:val="231F20"/>
          <w:spacing w:val="-11"/>
          <w:w w:val="105"/>
          <w:sz w:val="14"/>
        </w:rPr>
        <w:t xml:space="preserve"> </w:t>
      </w:r>
      <w:r>
        <w:rPr>
          <w:rFonts w:ascii="Trebuchet MS"/>
          <w:color w:val="231F20"/>
          <w:w w:val="105"/>
          <w:sz w:val="14"/>
        </w:rPr>
        <w:t>Tourist</w:t>
      </w:r>
      <w:r>
        <w:rPr>
          <w:rFonts w:ascii="Trebuchet MS"/>
          <w:color w:val="231F20"/>
          <w:spacing w:val="-11"/>
          <w:w w:val="105"/>
          <w:sz w:val="14"/>
        </w:rPr>
        <w:t xml:space="preserve"> </w:t>
      </w:r>
      <w:r>
        <w:rPr>
          <w:rFonts w:ascii="Trebuchet MS"/>
          <w:color w:val="231F20"/>
          <w:w w:val="105"/>
          <w:sz w:val="14"/>
        </w:rPr>
        <w:t>Experience</w:t>
      </w:r>
      <w:r>
        <w:rPr>
          <w:rFonts w:ascii="Trebuchet MS"/>
          <w:color w:val="231F20"/>
          <w:spacing w:val="78"/>
          <w:w w:val="105"/>
          <w:sz w:val="14"/>
        </w:rPr>
        <w:t xml:space="preserve"> </w:t>
      </w:r>
      <w:r>
        <w:rPr>
          <w:rFonts w:ascii="Trebuchet MS"/>
          <w:color w:val="231F20"/>
          <w:spacing w:val="-5"/>
          <w:w w:val="105"/>
          <w:sz w:val="14"/>
        </w:rPr>
        <w:t>171</w:t>
      </w:r>
    </w:p>
    <w:p w14:paraId="75DB9BB7" w14:textId="0928E5FD" w:rsidR="00AE0598" w:rsidRDefault="0069255A">
      <w:pPr>
        <w:pStyle w:val="Corpodetexto"/>
        <w:spacing w:before="6"/>
        <w:rPr>
          <w:rFonts w:ascii="Trebuchet MS"/>
          <w:sz w:val="27"/>
        </w:rPr>
      </w:pPr>
      <w:r>
        <w:rPr>
          <w:noProof/>
        </w:rPr>
        <mc:AlternateContent>
          <mc:Choice Requires="wps">
            <w:drawing>
              <wp:anchor distT="0" distB="0" distL="0" distR="0" simplePos="0" relativeHeight="487671296" behindDoc="1" locked="0" layoutInCell="1" allowOverlap="1" wp14:anchorId="776ABAFC" wp14:editId="2120FA23">
                <wp:simplePos x="0" y="0"/>
                <wp:positionH relativeFrom="page">
                  <wp:posOffset>755650</wp:posOffset>
                </wp:positionH>
                <wp:positionV relativeFrom="paragraph">
                  <wp:posOffset>218440</wp:posOffset>
                </wp:positionV>
                <wp:extent cx="4104005" cy="891540"/>
                <wp:effectExtent l="0" t="0" r="0" b="0"/>
                <wp:wrapTopAndBottom/>
                <wp:docPr id="136" name="docshape2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04005" cy="891540"/>
                        </a:xfrm>
                        <a:prstGeom prst="rect">
                          <a:avLst/>
                        </a:prstGeom>
                        <a:solidFill>
                          <a:srgbClr val="DCDDD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5180A23" w14:textId="77777777" w:rsidR="00AE0598" w:rsidRDefault="0069255A">
                            <w:pPr>
                              <w:pStyle w:val="Corpodetexto"/>
                              <w:spacing w:before="73" w:line="232" w:lineRule="auto"/>
                              <w:ind w:left="113" w:right="111"/>
                              <w:jc w:val="both"/>
                              <w:rPr>
                                <w:color w:val="000000"/>
                              </w:rPr>
                            </w:pPr>
                            <w:r>
                              <w:rPr>
                                <w:color w:val="231F20"/>
                              </w:rPr>
                              <w:t xml:space="preserve">Lamont, M., Kennelly, M. and Wilson, E. (2012) Competing priorities as constraints in event travel careers. </w:t>
                            </w:r>
                            <w:r>
                              <w:rPr>
                                <w:i/>
                                <w:color w:val="231F20"/>
                              </w:rPr>
                              <w:t xml:space="preserve">Tourism Management </w:t>
                            </w:r>
                            <w:r>
                              <w:rPr>
                                <w:color w:val="231F20"/>
                              </w:rPr>
                              <w:t xml:space="preserve">33 (5), </w:t>
                            </w:r>
                            <w:r>
                              <w:rPr>
                                <w:color w:val="231F20"/>
                                <w:spacing w:val="-2"/>
                              </w:rPr>
                              <w:t>1068–1079.</w:t>
                            </w:r>
                          </w:p>
                          <w:p w14:paraId="6649C544" w14:textId="77777777" w:rsidR="00AE0598" w:rsidRDefault="0069255A">
                            <w:pPr>
                              <w:spacing w:before="3" w:line="232" w:lineRule="auto"/>
                              <w:ind w:left="113" w:right="111" w:firstLine="320"/>
                              <w:jc w:val="both"/>
                              <w:rPr>
                                <w:i/>
                                <w:color w:val="000000"/>
                                <w:sz w:val="21"/>
                              </w:rPr>
                            </w:pPr>
                            <w:r>
                              <w:rPr>
                                <w:i/>
                                <w:color w:val="231F20"/>
                                <w:sz w:val="21"/>
                              </w:rPr>
                              <w:t>Additional references cited in this case study are included in the reference list.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6ABAFC" id="docshape230" o:spid="_x0000_s1091" type="#_x0000_t202" style="position:absolute;margin-left:59.5pt;margin-top:17.2pt;width:323.15pt;height:70.2pt;z-index:-156451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" fillcolor="#dcddde" stroked="f">
                <v:textbox inset="0,0,0,0">
                  <w:txbxContent>
                    <w:p w14:paraId="65180A23" w14:textId="77777777" w:rsidR="00AE0598" w:rsidRDefault="0069255A">
                      <w:pPr>
                        <w:pStyle w:val="Corpodetexto"/>
                        <w:spacing w:before="73" w:line="232" w:lineRule="auto"/>
                        <w:ind w:left="113" w:right="111"/>
                        <w:jc w:val="both"/>
                        <w:rPr>
                          <w:color w:val="000000"/>
                        </w:rPr>
                      </w:pPr>
                      <w:r>
                        <w:rPr>
                          <w:color w:val="231F20"/>
                        </w:rPr>
                        <w:t xml:space="preserve">Lamont, M., Kennelly, M. and Wilson, E. (2012) Competing priorities as constraints in event travel careers. </w:t>
                      </w:r>
                      <w:r>
                        <w:rPr>
                          <w:i/>
                          <w:color w:val="231F20"/>
                        </w:rPr>
                        <w:t xml:space="preserve">Tourism Management </w:t>
                      </w:r>
                      <w:r>
                        <w:rPr>
                          <w:color w:val="231F20"/>
                        </w:rPr>
                        <w:t xml:space="preserve">33 (5), </w:t>
                      </w:r>
                      <w:r>
                        <w:rPr>
                          <w:color w:val="231F20"/>
                          <w:spacing w:val="-2"/>
                        </w:rPr>
                        <w:t>1068–1079.</w:t>
                      </w:r>
                    </w:p>
                    <w:p w14:paraId="6649C544" w14:textId="77777777" w:rsidR="00AE0598" w:rsidRDefault="0069255A">
                      <w:pPr>
                        <w:spacing w:before="3" w:line="232" w:lineRule="auto"/>
                        <w:ind w:left="113" w:right="111" w:firstLine="320"/>
                        <w:jc w:val="both"/>
                        <w:rPr>
                          <w:i/>
                          <w:color w:val="000000"/>
                          <w:sz w:val="21"/>
                        </w:rPr>
                      </w:pPr>
                      <w:r>
                        <w:rPr>
                          <w:i/>
                          <w:color w:val="231F20"/>
                          <w:sz w:val="21"/>
                        </w:rPr>
                        <w:t>Additional references cited in this case study are included in the reference list.</w:t>
                      </w:r>
                    </w:p>
                  </w:txbxContent>
                </v:textbox>
                <w10:wrap type="topAndBottom" anchorx="page"/>
              </v:shape>
            </w:pict>
          </mc:Fallback>
        </mc:AlternateContent>
      </w:r>
    </w:p>
    <w:p w14:paraId="04F1A3B6" w14:textId="77777777" w:rsidR="00AE0598" w:rsidRDefault="00AE0598">
      <w:pPr>
        <w:pStyle w:val="Corpodetexto"/>
        <w:spacing w:before="2"/>
        <w:rPr>
          <w:rFonts w:ascii="Trebuchet MS"/>
          <w:sz w:val="13"/>
        </w:rPr>
      </w:pPr>
    </w:p>
    <w:p w14:paraId="452223B5" w14:textId="77777777" w:rsidR="00AE0598" w:rsidRDefault="0069255A">
      <w:pPr>
        <w:spacing w:before="99"/>
        <w:ind w:left="110"/>
        <w:rPr>
          <w:rFonts w:ascii="Trebuchet MS"/>
          <w:b/>
          <w:sz w:val="20"/>
        </w:rPr>
      </w:pPr>
      <w:r>
        <w:rPr>
          <w:rFonts w:ascii="Trebuchet MS"/>
          <w:b/>
          <w:color w:val="231F20"/>
          <w:sz w:val="20"/>
        </w:rPr>
        <w:t>Active</w:t>
      </w:r>
      <w:r>
        <w:rPr>
          <w:rFonts w:ascii="Trebuchet MS"/>
          <w:b/>
          <w:color w:val="231F20"/>
          <w:spacing w:val="3"/>
          <w:sz w:val="20"/>
        </w:rPr>
        <w:t xml:space="preserve"> </w:t>
      </w:r>
      <w:r>
        <w:rPr>
          <w:rFonts w:ascii="Trebuchet MS"/>
          <w:b/>
          <w:color w:val="231F20"/>
          <w:sz w:val="20"/>
        </w:rPr>
        <w:t>Engagement</w:t>
      </w:r>
      <w:r>
        <w:rPr>
          <w:rFonts w:ascii="Trebuchet MS"/>
          <w:b/>
          <w:color w:val="231F20"/>
          <w:spacing w:val="4"/>
          <w:sz w:val="20"/>
        </w:rPr>
        <w:t xml:space="preserve"> </w:t>
      </w:r>
      <w:r>
        <w:rPr>
          <w:rFonts w:ascii="Trebuchet MS"/>
          <w:b/>
          <w:color w:val="231F20"/>
          <w:sz w:val="20"/>
        </w:rPr>
        <w:t>in</w:t>
      </w:r>
      <w:r>
        <w:rPr>
          <w:rFonts w:ascii="Trebuchet MS"/>
          <w:b/>
          <w:color w:val="231F20"/>
          <w:spacing w:val="4"/>
          <w:sz w:val="20"/>
        </w:rPr>
        <w:t xml:space="preserve"> </w:t>
      </w:r>
      <w:r>
        <w:rPr>
          <w:rFonts w:ascii="Trebuchet MS"/>
          <w:b/>
          <w:color w:val="231F20"/>
          <w:sz w:val="20"/>
        </w:rPr>
        <w:t>Recreational</w:t>
      </w:r>
      <w:r>
        <w:rPr>
          <w:rFonts w:ascii="Trebuchet MS"/>
          <w:b/>
          <w:color w:val="231F20"/>
          <w:spacing w:val="3"/>
          <w:sz w:val="20"/>
        </w:rPr>
        <w:t xml:space="preserve"> </w:t>
      </w:r>
      <w:r>
        <w:rPr>
          <w:rFonts w:ascii="Trebuchet MS"/>
          <w:b/>
          <w:color w:val="231F20"/>
          <w:spacing w:val="-2"/>
          <w:sz w:val="20"/>
        </w:rPr>
        <w:t>Sports</w:t>
      </w:r>
    </w:p>
    <w:p w14:paraId="49C09F22" w14:textId="77777777" w:rsidR="00AE0598" w:rsidRDefault="0069255A">
      <w:pPr>
        <w:pStyle w:val="Corpodetexto"/>
        <w:spacing w:before="122" w:line="232" w:lineRule="auto"/>
        <w:ind w:left="110" w:right="123" w:firstLine="320"/>
        <w:jc w:val="both"/>
      </w:pPr>
      <w:r>
        <w:rPr>
          <w:color w:val="231F20"/>
          <w:w w:val="95"/>
        </w:rPr>
        <w:t xml:space="preserve">Active engagement in recreational sports is an aspect of sport tourism that offers fertile ground for critical research. Hagen and Boyes (2016), for </w:t>
      </w:r>
      <w:r>
        <w:rPr>
          <w:color w:val="231F20"/>
        </w:rPr>
        <w:t xml:space="preserve">example, offer in-depth insights into the experiences of active mountain biking participants. They explore </w:t>
      </w:r>
      <w:r>
        <w:rPr>
          <w:color w:val="231F20"/>
        </w:rPr>
        <w:t>the relationship between mountain bike subculture and riding practice in relation to heightened and deep affective</w:t>
      </w:r>
      <w:r>
        <w:rPr>
          <w:color w:val="231F20"/>
          <w:spacing w:val="40"/>
        </w:rPr>
        <w:t xml:space="preserve"> </w:t>
      </w:r>
      <w:r>
        <w:rPr>
          <w:color w:val="231F20"/>
        </w:rPr>
        <w:t>experiences.</w:t>
      </w:r>
      <w:r>
        <w:rPr>
          <w:color w:val="231F20"/>
          <w:spacing w:val="40"/>
        </w:rPr>
        <w:t xml:space="preserve"> </w:t>
      </w:r>
      <w:r>
        <w:rPr>
          <w:color w:val="231F20"/>
        </w:rPr>
        <w:t>Theoretically</w:t>
      </w:r>
      <w:r>
        <w:rPr>
          <w:color w:val="231F20"/>
          <w:spacing w:val="40"/>
        </w:rPr>
        <w:t xml:space="preserve"> </w:t>
      </w:r>
      <w:r>
        <w:rPr>
          <w:color w:val="231F20"/>
        </w:rPr>
        <w:t>informed</w:t>
      </w:r>
      <w:r>
        <w:rPr>
          <w:color w:val="231F20"/>
          <w:spacing w:val="40"/>
        </w:rPr>
        <w:t xml:space="preserve"> </w:t>
      </w:r>
      <w:r>
        <w:rPr>
          <w:color w:val="231F20"/>
        </w:rPr>
        <w:t>by</w:t>
      </w:r>
      <w:r>
        <w:rPr>
          <w:color w:val="231F20"/>
          <w:spacing w:val="40"/>
        </w:rPr>
        <w:t xml:space="preserve"> </w:t>
      </w:r>
      <w:r>
        <w:rPr>
          <w:color w:val="231F20"/>
        </w:rPr>
        <w:t>Bourdieu’s</w:t>
      </w:r>
      <w:r>
        <w:rPr>
          <w:color w:val="231F20"/>
          <w:spacing w:val="40"/>
        </w:rPr>
        <w:t xml:space="preserve"> </w:t>
      </w:r>
      <w:r>
        <w:rPr>
          <w:color w:val="231F20"/>
        </w:rPr>
        <w:t xml:space="preserve">theories of field, habitus and capital, they explore aspects of social history, race </w:t>
      </w:r>
      <w:r>
        <w:rPr>
          <w:color w:val="231F20"/>
          <w:w w:val="95"/>
        </w:rPr>
        <w:t>govern</w:t>
      </w:r>
      <w:r>
        <w:rPr>
          <w:color w:val="231F20"/>
          <w:w w:val="95"/>
        </w:rPr>
        <w:t>ance and forms (cross-country, downhill and enduro), and the forces of mainstreaming, fragmentation and resistance, media consumption and commercialisation, and gender. These aspects of a participation sport have important implications for participant expe</w:t>
      </w:r>
      <w:r>
        <w:rPr>
          <w:color w:val="231F20"/>
          <w:w w:val="95"/>
        </w:rPr>
        <w:t xml:space="preserve">riences of sport in terms of the socially constructed nature of the mountain bike subculture and affective </w:t>
      </w:r>
      <w:r>
        <w:rPr>
          <w:color w:val="231F20"/>
        </w:rPr>
        <w:t>sensations (see Focus Point 8.3).</w:t>
      </w:r>
    </w:p>
    <w:p w14:paraId="7DA5C705" w14:textId="69FA0E19" w:rsidR="00AE0598" w:rsidRDefault="0069255A">
      <w:pPr>
        <w:pStyle w:val="Corpodetexto"/>
        <w:rPr>
          <w:sz w:val="19"/>
        </w:rPr>
      </w:pPr>
      <w:r>
        <w:rPr>
          <w:noProof/>
        </w:rPr>
        <mc:AlternateContent>
          <mc:Choice Requires="wps">
            <w:drawing>
              <wp:anchor distT="0" distB="0" distL="0" distR="0" simplePos="0" relativeHeight="487671808" behindDoc="1" locked="0" layoutInCell="1" allowOverlap="1" wp14:anchorId="54943ED2" wp14:editId="1FDFDBA5">
                <wp:simplePos x="0" y="0"/>
                <wp:positionH relativeFrom="page">
                  <wp:posOffset>755650</wp:posOffset>
                </wp:positionH>
                <wp:positionV relativeFrom="paragraph">
                  <wp:posOffset>156845</wp:posOffset>
                </wp:positionV>
                <wp:extent cx="4104005" cy="3328670"/>
                <wp:effectExtent l="0" t="0" r="0" b="0"/>
                <wp:wrapTopAndBottom/>
                <wp:docPr id="135" name="docshape2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04005" cy="3328670"/>
                        </a:xfrm>
                        <a:prstGeom prst="rect">
                          <a:avLst/>
                        </a:prstGeom>
                        <a:solidFill>
                          <a:srgbClr val="DCDDD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3BA02BC" w14:textId="77777777" w:rsidR="00AE0598" w:rsidRDefault="0069255A">
                            <w:pPr>
                              <w:spacing w:before="75"/>
                              <w:ind w:left="113"/>
                              <w:jc w:val="both"/>
                              <w:rPr>
                                <w:rFonts w:ascii="Trebuchet MS"/>
                                <w:color w:val="000000"/>
                                <w:sz w:val="20"/>
                              </w:rPr>
                            </w:pPr>
                            <w:r>
                              <w:rPr>
                                <w:rFonts w:ascii="Trebuchet MS"/>
                                <w:color w:val="231F20"/>
                                <w:w w:val="105"/>
                                <w:sz w:val="20"/>
                              </w:rPr>
                              <w:t>Focus</w:t>
                            </w:r>
                            <w:r>
                              <w:rPr>
                                <w:rFonts w:ascii="Trebuchet MS"/>
                                <w:color w:val="231F20"/>
                                <w:spacing w:val="-2"/>
                                <w:w w:val="105"/>
                                <w:sz w:val="20"/>
                              </w:rPr>
                              <w:t xml:space="preserve"> </w:t>
                            </w:r>
                            <w:r>
                              <w:rPr>
                                <w:rFonts w:ascii="Trebuchet MS"/>
                                <w:color w:val="231F20"/>
                                <w:w w:val="105"/>
                                <w:sz w:val="20"/>
                              </w:rPr>
                              <w:t>Point</w:t>
                            </w:r>
                            <w:r>
                              <w:rPr>
                                <w:rFonts w:ascii="Trebuchet MS"/>
                                <w:color w:val="231F20"/>
                                <w:spacing w:val="-2"/>
                                <w:w w:val="105"/>
                                <w:sz w:val="20"/>
                              </w:rPr>
                              <w:t xml:space="preserve"> </w:t>
                            </w:r>
                            <w:r>
                              <w:rPr>
                                <w:rFonts w:ascii="Trebuchet MS"/>
                                <w:color w:val="231F20"/>
                                <w:w w:val="105"/>
                                <w:sz w:val="20"/>
                              </w:rPr>
                              <w:t>8.3:</w:t>
                            </w:r>
                            <w:r>
                              <w:rPr>
                                <w:rFonts w:ascii="Trebuchet MS"/>
                                <w:color w:val="231F20"/>
                                <w:spacing w:val="-2"/>
                                <w:w w:val="105"/>
                                <w:sz w:val="20"/>
                              </w:rPr>
                              <w:t xml:space="preserve"> </w:t>
                            </w:r>
                            <w:r>
                              <w:rPr>
                                <w:rFonts w:ascii="Trebuchet MS"/>
                                <w:color w:val="231F20"/>
                                <w:w w:val="105"/>
                                <w:sz w:val="20"/>
                              </w:rPr>
                              <w:t>Mountain</w:t>
                            </w:r>
                            <w:r>
                              <w:rPr>
                                <w:rFonts w:ascii="Trebuchet MS"/>
                                <w:color w:val="231F20"/>
                                <w:spacing w:val="-2"/>
                                <w:w w:val="105"/>
                                <w:sz w:val="20"/>
                              </w:rPr>
                              <w:t xml:space="preserve"> </w:t>
                            </w:r>
                            <w:r>
                              <w:rPr>
                                <w:rFonts w:ascii="Trebuchet MS"/>
                                <w:color w:val="231F20"/>
                                <w:w w:val="105"/>
                                <w:sz w:val="20"/>
                              </w:rPr>
                              <w:t>Biking</w:t>
                            </w:r>
                            <w:r>
                              <w:rPr>
                                <w:rFonts w:ascii="Trebuchet MS"/>
                                <w:color w:val="231F20"/>
                                <w:spacing w:val="-2"/>
                                <w:w w:val="105"/>
                                <w:sz w:val="20"/>
                              </w:rPr>
                              <w:t xml:space="preserve"> Affect</w:t>
                            </w:r>
                          </w:p>
                          <w:p w14:paraId="32079D5F" w14:textId="77777777" w:rsidR="00AE0598" w:rsidRDefault="0069255A">
                            <w:pPr>
                              <w:pStyle w:val="Corpodetexto"/>
                              <w:spacing w:before="116"/>
                              <w:ind w:left="113"/>
                              <w:jc w:val="both"/>
                              <w:rPr>
                                <w:color w:val="000000"/>
                              </w:rPr>
                            </w:pPr>
                            <w:r>
                              <w:rPr>
                                <w:color w:val="231F20"/>
                              </w:rPr>
                              <w:t>Scarlett</w:t>
                            </w:r>
                            <w:r>
                              <w:rPr>
                                <w:color w:val="231F20"/>
                                <w:spacing w:val="4"/>
                              </w:rPr>
                              <w:t xml:space="preserve"> </w:t>
                            </w:r>
                            <w:r>
                              <w:rPr>
                                <w:color w:val="231F20"/>
                              </w:rPr>
                              <w:t>Hagen</w:t>
                            </w:r>
                            <w:r>
                              <w:rPr>
                                <w:color w:val="231F20"/>
                                <w:spacing w:val="4"/>
                              </w:rPr>
                              <w:t xml:space="preserve"> </w:t>
                            </w:r>
                            <w:r>
                              <w:rPr>
                                <w:color w:val="231F20"/>
                              </w:rPr>
                              <w:t>and</w:t>
                            </w:r>
                            <w:r>
                              <w:rPr>
                                <w:color w:val="231F20"/>
                                <w:spacing w:val="5"/>
                              </w:rPr>
                              <w:t xml:space="preserve"> </w:t>
                            </w:r>
                            <w:r>
                              <w:rPr>
                                <w:color w:val="231F20"/>
                              </w:rPr>
                              <w:t>Mike</w:t>
                            </w:r>
                            <w:r>
                              <w:rPr>
                                <w:color w:val="231F20"/>
                                <w:spacing w:val="4"/>
                              </w:rPr>
                              <w:t xml:space="preserve"> </w:t>
                            </w:r>
                            <w:r>
                              <w:rPr>
                                <w:color w:val="231F20"/>
                                <w:spacing w:val="-4"/>
                              </w:rPr>
                              <w:t>Boyes</w:t>
                            </w:r>
                          </w:p>
                          <w:p w14:paraId="692D0C64" w14:textId="77777777" w:rsidR="00AE0598" w:rsidRDefault="0069255A">
                            <w:pPr>
                              <w:pStyle w:val="Corpodetexto"/>
                              <w:spacing w:before="120" w:line="232" w:lineRule="auto"/>
                              <w:ind w:left="113" w:right="111" w:firstLine="320"/>
                              <w:jc w:val="both"/>
                              <w:rPr>
                                <w:color w:val="000000"/>
                              </w:rPr>
                            </w:pPr>
                            <w:r>
                              <w:rPr>
                                <w:color w:val="231F20"/>
                              </w:rPr>
                              <w:t>Gravity</w:t>
                            </w:r>
                            <w:r>
                              <w:rPr>
                                <w:color w:val="231F20"/>
                                <w:spacing w:val="-12"/>
                              </w:rPr>
                              <w:t xml:space="preserve"> </w:t>
                            </w:r>
                            <w:r>
                              <w:rPr>
                                <w:color w:val="231F20"/>
                              </w:rPr>
                              <w:t>mountain</w:t>
                            </w:r>
                            <w:r>
                              <w:rPr>
                                <w:color w:val="231F20"/>
                                <w:spacing w:val="-12"/>
                              </w:rPr>
                              <w:t xml:space="preserve"> </w:t>
                            </w:r>
                            <w:r>
                              <w:rPr>
                                <w:color w:val="231F20"/>
                              </w:rPr>
                              <w:t>biking</w:t>
                            </w:r>
                            <w:r>
                              <w:rPr>
                                <w:color w:val="231F20"/>
                                <w:spacing w:val="-11"/>
                              </w:rPr>
                              <w:t xml:space="preserve"> </w:t>
                            </w:r>
                            <w:r>
                              <w:rPr>
                                <w:color w:val="231F20"/>
                              </w:rPr>
                              <w:t>is</w:t>
                            </w:r>
                            <w:r>
                              <w:rPr>
                                <w:color w:val="231F20"/>
                                <w:spacing w:val="-12"/>
                              </w:rPr>
                              <w:t xml:space="preserve"> </w:t>
                            </w:r>
                            <w:r>
                              <w:rPr>
                                <w:color w:val="231F20"/>
                              </w:rPr>
                              <w:t>a</w:t>
                            </w:r>
                            <w:r>
                              <w:rPr>
                                <w:color w:val="231F20"/>
                                <w:spacing w:val="-11"/>
                              </w:rPr>
                              <w:t xml:space="preserve"> </w:t>
                            </w:r>
                            <w:r>
                              <w:rPr>
                                <w:color w:val="231F20"/>
                              </w:rPr>
                              <w:t>sport</w:t>
                            </w:r>
                            <w:r>
                              <w:rPr>
                                <w:color w:val="231F20"/>
                                <w:spacing w:val="-12"/>
                              </w:rPr>
                              <w:t xml:space="preserve"> </w:t>
                            </w:r>
                            <w:r>
                              <w:rPr>
                                <w:color w:val="231F20"/>
                              </w:rPr>
                              <w:t>that</w:t>
                            </w:r>
                            <w:r>
                              <w:rPr>
                                <w:color w:val="231F20"/>
                                <w:spacing w:val="-11"/>
                              </w:rPr>
                              <w:t xml:space="preserve"> </w:t>
                            </w:r>
                            <w:r>
                              <w:rPr>
                                <w:color w:val="231F20"/>
                              </w:rPr>
                              <w:t>provides</w:t>
                            </w:r>
                            <w:r>
                              <w:rPr>
                                <w:color w:val="231F20"/>
                                <w:spacing w:val="-12"/>
                              </w:rPr>
                              <w:t xml:space="preserve"> </w:t>
                            </w:r>
                            <w:r>
                              <w:rPr>
                                <w:color w:val="231F20"/>
                              </w:rPr>
                              <w:t>participants</w:t>
                            </w:r>
                            <w:r>
                              <w:rPr>
                                <w:color w:val="231F20"/>
                                <w:spacing w:val="-12"/>
                              </w:rPr>
                              <w:t xml:space="preserve"> </w:t>
                            </w:r>
                            <w:r>
                              <w:rPr>
                                <w:color w:val="231F20"/>
                              </w:rPr>
                              <w:t>with</w:t>
                            </w:r>
                            <w:r>
                              <w:rPr>
                                <w:color w:val="231F20"/>
                                <w:spacing w:val="-11"/>
                              </w:rPr>
                              <w:t xml:space="preserve"> </w:t>
                            </w:r>
                            <w:r>
                              <w:rPr>
                                <w:color w:val="231F20"/>
                              </w:rPr>
                              <w:t xml:space="preserve">a </w:t>
                            </w:r>
                            <w:r>
                              <w:rPr>
                                <w:color w:val="231F20"/>
                                <w:w w:val="95"/>
                              </w:rPr>
                              <w:t xml:space="preserve">range of destinations, landscapes, terrain and track obstacles. Locations </w:t>
                            </w:r>
                            <w:r>
                              <w:rPr>
                                <w:color w:val="231F20"/>
                              </w:rPr>
                              <w:t xml:space="preserve">such as Queenstown (New Zealand), Whistler (Canada) and Morzine </w:t>
                            </w:r>
                            <w:r>
                              <w:rPr>
                                <w:color w:val="231F20"/>
                                <w:w w:val="95"/>
                              </w:rPr>
                              <w:t xml:space="preserve">(France) are widely recognised as </w:t>
                            </w:r>
                            <w:r>
                              <w:rPr>
                                <w:i/>
                                <w:color w:val="231F20"/>
                                <w:w w:val="95"/>
                              </w:rPr>
                              <w:t xml:space="preserve">the </w:t>
                            </w:r>
                            <w:r>
                              <w:rPr>
                                <w:color w:val="231F20"/>
                                <w:w w:val="95"/>
                              </w:rPr>
                              <w:t xml:space="preserve">summer destinations for mountain </w:t>
                            </w:r>
                            <w:r>
                              <w:rPr>
                                <w:color w:val="231F20"/>
                              </w:rPr>
                              <w:t xml:space="preserve">bike enthusiasts. </w:t>
                            </w:r>
                            <w:r>
                              <w:rPr>
                                <w:color w:val="231F20"/>
                              </w:rPr>
                              <w:t xml:space="preserve">Trail managers in each location have built trails to </w:t>
                            </w:r>
                            <w:r>
                              <w:rPr>
                                <w:color w:val="231F20"/>
                                <w:w w:val="95"/>
                              </w:rPr>
                              <w:t>showcase the natural geological features of these mountain destinations. Important factors for well-designed trails include site selection, terrain, gradient, elevation and the inclusion of</w:t>
                            </w:r>
                            <w:r>
                              <w:rPr>
                                <w:color w:val="231F20"/>
                              </w:rPr>
                              <w:t xml:space="preserve"> </w:t>
                            </w:r>
                            <w:r>
                              <w:rPr>
                                <w:color w:val="231F20"/>
                                <w:w w:val="95"/>
                              </w:rPr>
                              <w:t>specific obst</w:t>
                            </w:r>
                            <w:r>
                              <w:rPr>
                                <w:color w:val="231F20"/>
                                <w:w w:val="95"/>
                              </w:rPr>
                              <w:t xml:space="preserve">acles. The trails need to descend the hillside in unison with the natural landscape, and to work </w:t>
                            </w:r>
                            <w:r>
                              <w:rPr>
                                <w:color w:val="231F20"/>
                              </w:rPr>
                              <w:t>with</w:t>
                            </w:r>
                            <w:r>
                              <w:rPr>
                                <w:color w:val="231F20"/>
                                <w:spacing w:val="-12"/>
                              </w:rPr>
                              <w:t xml:space="preserve"> </w:t>
                            </w:r>
                            <w:r>
                              <w:rPr>
                                <w:color w:val="231F20"/>
                              </w:rPr>
                              <w:t>the</w:t>
                            </w:r>
                            <w:r>
                              <w:rPr>
                                <w:color w:val="231F20"/>
                                <w:spacing w:val="-12"/>
                              </w:rPr>
                              <w:t xml:space="preserve"> </w:t>
                            </w:r>
                            <w:r>
                              <w:rPr>
                                <w:color w:val="231F20"/>
                              </w:rPr>
                              <w:t>terrain</w:t>
                            </w:r>
                            <w:r>
                              <w:rPr>
                                <w:color w:val="231F20"/>
                                <w:spacing w:val="-11"/>
                              </w:rPr>
                              <w:t xml:space="preserve"> </w:t>
                            </w:r>
                            <w:r>
                              <w:rPr>
                                <w:color w:val="231F20"/>
                              </w:rPr>
                              <w:t>to</w:t>
                            </w:r>
                            <w:r>
                              <w:rPr>
                                <w:color w:val="231F20"/>
                                <w:spacing w:val="-12"/>
                              </w:rPr>
                              <w:t xml:space="preserve"> </w:t>
                            </w:r>
                            <w:r>
                              <w:rPr>
                                <w:color w:val="231F20"/>
                              </w:rPr>
                              <w:t>be</w:t>
                            </w:r>
                            <w:r>
                              <w:rPr>
                                <w:color w:val="231F20"/>
                                <w:spacing w:val="-11"/>
                              </w:rPr>
                              <w:t xml:space="preserve"> </w:t>
                            </w:r>
                            <w:r>
                              <w:rPr>
                                <w:color w:val="231F20"/>
                              </w:rPr>
                              <w:t>predicable</w:t>
                            </w:r>
                            <w:r>
                              <w:rPr>
                                <w:color w:val="231F20"/>
                                <w:spacing w:val="-12"/>
                              </w:rPr>
                              <w:t xml:space="preserve"> </w:t>
                            </w:r>
                            <w:r>
                              <w:rPr>
                                <w:color w:val="231F20"/>
                              </w:rPr>
                              <w:t>for</w:t>
                            </w:r>
                            <w:r>
                              <w:rPr>
                                <w:color w:val="231F20"/>
                                <w:spacing w:val="-11"/>
                              </w:rPr>
                              <w:t xml:space="preserve"> </w:t>
                            </w:r>
                            <w:r>
                              <w:rPr>
                                <w:color w:val="231F20"/>
                              </w:rPr>
                              <w:t>riders</w:t>
                            </w:r>
                            <w:r>
                              <w:rPr>
                                <w:color w:val="231F20"/>
                                <w:spacing w:val="-12"/>
                              </w:rPr>
                              <w:t xml:space="preserve"> </w:t>
                            </w:r>
                            <w:r>
                              <w:rPr>
                                <w:color w:val="231F20"/>
                              </w:rPr>
                              <w:t>at</w:t>
                            </w:r>
                            <w:r>
                              <w:rPr>
                                <w:color w:val="231F20"/>
                                <w:spacing w:val="-12"/>
                              </w:rPr>
                              <w:t xml:space="preserve"> </w:t>
                            </w:r>
                            <w:r>
                              <w:rPr>
                                <w:color w:val="231F20"/>
                              </w:rPr>
                              <w:t>high</w:t>
                            </w:r>
                            <w:r>
                              <w:rPr>
                                <w:color w:val="231F20"/>
                                <w:spacing w:val="-11"/>
                              </w:rPr>
                              <w:t xml:space="preserve"> </w:t>
                            </w:r>
                            <w:r>
                              <w:rPr>
                                <w:color w:val="231F20"/>
                              </w:rPr>
                              <w:t>speeds.</w:t>
                            </w:r>
                            <w:r>
                              <w:rPr>
                                <w:color w:val="231F20"/>
                                <w:spacing w:val="-12"/>
                              </w:rPr>
                              <w:t xml:space="preserve"> </w:t>
                            </w:r>
                            <w:r>
                              <w:rPr>
                                <w:color w:val="231F20"/>
                              </w:rPr>
                              <w:t xml:space="preserve">Queenstown </w:t>
                            </w:r>
                            <w:r>
                              <w:rPr>
                                <w:color w:val="231F20"/>
                                <w:w w:val="95"/>
                              </w:rPr>
                              <w:t>provides</w:t>
                            </w:r>
                            <w:r>
                              <w:rPr>
                                <w:color w:val="231F20"/>
                                <w:spacing w:val="-7"/>
                                <w:w w:val="95"/>
                              </w:rPr>
                              <w:t xml:space="preserve"> </w:t>
                            </w:r>
                            <w:r>
                              <w:rPr>
                                <w:color w:val="231F20"/>
                                <w:w w:val="95"/>
                              </w:rPr>
                              <w:t>rocky</w:t>
                            </w:r>
                            <w:r>
                              <w:rPr>
                                <w:color w:val="231F20"/>
                                <w:spacing w:val="-7"/>
                                <w:w w:val="95"/>
                              </w:rPr>
                              <w:t xml:space="preserve"> </w:t>
                            </w:r>
                            <w:r>
                              <w:rPr>
                                <w:color w:val="231F20"/>
                                <w:w w:val="95"/>
                              </w:rPr>
                              <w:t>terrain</w:t>
                            </w:r>
                            <w:r>
                              <w:rPr>
                                <w:color w:val="231F20"/>
                                <w:spacing w:val="-7"/>
                                <w:w w:val="95"/>
                              </w:rPr>
                              <w:t xml:space="preserve"> </w:t>
                            </w:r>
                            <w:r>
                              <w:rPr>
                                <w:color w:val="231F20"/>
                                <w:w w:val="95"/>
                              </w:rPr>
                              <w:t>on</w:t>
                            </w:r>
                            <w:r>
                              <w:rPr>
                                <w:color w:val="231F20"/>
                                <w:spacing w:val="-7"/>
                                <w:w w:val="95"/>
                              </w:rPr>
                              <w:t xml:space="preserve"> </w:t>
                            </w:r>
                            <w:r>
                              <w:rPr>
                                <w:color w:val="231F20"/>
                                <w:w w:val="95"/>
                              </w:rPr>
                              <w:t>steep</w:t>
                            </w:r>
                            <w:r>
                              <w:rPr>
                                <w:color w:val="231F20"/>
                                <w:spacing w:val="-7"/>
                                <w:w w:val="95"/>
                              </w:rPr>
                              <w:t xml:space="preserve"> </w:t>
                            </w:r>
                            <w:r>
                              <w:rPr>
                                <w:color w:val="231F20"/>
                                <w:w w:val="95"/>
                              </w:rPr>
                              <w:t>slopes,</w:t>
                            </w:r>
                            <w:r>
                              <w:rPr>
                                <w:color w:val="231F20"/>
                                <w:spacing w:val="-7"/>
                                <w:w w:val="95"/>
                              </w:rPr>
                              <w:t xml:space="preserve"> </w:t>
                            </w:r>
                            <w:r>
                              <w:rPr>
                                <w:color w:val="231F20"/>
                                <w:w w:val="95"/>
                              </w:rPr>
                              <w:t>whereas</w:t>
                            </w:r>
                            <w:r>
                              <w:rPr>
                                <w:color w:val="231F20"/>
                                <w:spacing w:val="-7"/>
                                <w:w w:val="95"/>
                              </w:rPr>
                              <w:t xml:space="preserve"> </w:t>
                            </w:r>
                            <w:r>
                              <w:rPr>
                                <w:color w:val="231F20"/>
                                <w:w w:val="95"/>
                              </w:rPr>
                              <w:t>Whistler</w:t>
                            </w:r>
                            <w:r>
                              <w:rPr>
                                <w:color w:val="231F20"/>
                                <w:spacing w:val="-7"/>
                                <w:w w:val="95"/>
                              </w:rPr>
                              <w:t xml:space="preserve"> </w:t>
                            </w:r>
                            <w:r>
                              <w:rPr>
                                <w:color w:val="231F20"/>
                                <w:w w:val="95"/>
                              </w:rPr>
                              <w:t>has</w:t>
                            </w:r>
                            <w:r>
                              <w:rPr>
                                <w:color w:val="231F20"/>
                                <w:spacing w:val="-7"/>
                                <w:w w:val="95"/>
                              </w:rPr>
                              <w:t xml:space="preserve"> </w:t>
                            </w:r>
                            <w:r>
                              <w:rPr>
                                <w:color w:val="231F20"/>
                                <w:w w:val="95"/>
                              </w:rPr>
                              <w:t>longer</w:t>
                            </w:r>
                            <w:r>
                              <w:rPr>
                                <w:color w:val="231F20"/>
                                <w:spacing w:val="-7"/>
                                <w:w w:val="95"/>
                              </w:rPr>
                              <w:t xml:space="preserve"> </w:t>
                            </w:r>
                            <w:r>
                              <w:rPr>
                                <w:color w:val="231F20"/>
                                <w:w w:val="95"/>
                              </w:rPr>
                              <w:t xml:space="preserve">trails </w:t>
                            </w:r>
                            <w:r>
                              <w:rPr>
                                <w:color w:val="231F20"/>
                              </w:rPr>
                              <w:t>with a large</w:t>
                            </w:r>
                            <w:r>
                              <w:rPr>
                                <w:color w:val="231F20"/>
                              </w:rPr>
                              <w:t xml:space="preserve"> number of jump-trails. On such trails, riders travel over </w:t>
                            </w:r>
                            <w:r>
                              <w:rPr>
                                <w:color w:val="231F20"/>
                                <w:spacing w:val="-2"/>
                              </w:rPr>
                              <w:t>multiple</w:t>
                            </w:r>
                            <w:r>
                              <w:rPr>
                                <w:color w:val="231F20"/>
                                <w:spacing w:val="-6"/>
                              </w:rPr>
                              <w:t xml:space="preserve"> </w:t>
                            </w:r>
                            <w:r>
                              <w:rPr>
                                <w:color w:val="231F20"/>
                                <w:spacing w:val="-2"/>
                              </w:rPr>
                              <w:t>jumps,</w:t>
                            </w:r>
                            <w:r>
                              <w:rPr>
                                <w:color w:val="231F20"/>
                                <w:spacing w:val="-6"/>
                              </w:rPr>
                              <w:t xml:space="preserve"> </w:t>
                            </w:r>
                            <w:r>
                              <w:rPr>
                                <w:color w:val="231F20"/>
                                <w:spacing w:val="-2"/>
                              </w:rPr>
                              <w:t>aiming</w:t>
                            </w:r>
                            <w:r>
                              <w:rPr>
                                <w:color w:val="231F20"/>
                                <w:spacing w:val="-6"/>
                              </w:rPr>
                              <w:t xml:space="preserve"> </w:t>
                            </w:r>
                            <w:r>
                              <w:rPr>
                                <w:color w:val="231F20"/>
                                <w:spacing w:val="-2"/>
                              </w:rPr>
                              <w:t>to</w:t>
                            </w:r>
                            <w:r>
                              <w:rPr>
                                <w:color w:val="231F20"/>
                                <w:spacing w:val="-6"/>
                              </w:rPr>
                              <w:t xml:space="preserve"> </w:t>
                            </w:r>
                            <w:r>
                              <w:rPr>
                                <w:color w:val="231F20"/>
                                <w:spacing w:val="-2"/>
                              </w:rPr>
                              <w:t>get</w:t>
                            </w:r>
                            <w:r>
                              <w:rPr>
                                <w:color w:val="231F20"/>
                                <w:spacing w:val="-6"/>
                              </w:rPr>
                              <w:t xml:space="preserve"> </w:t>
                            </w:r>
                            <w:r>
                              <w:rPr>
                                <w:color w:val="231F20"/>
                                <w:spacing w:val="-2"/>
                              </w:rPr>
                              <w:t>their</w:t>
                            </w:r>
                            <w:r>
                              <w:rPr>
                                <w:color w:val="231F20"/>
                                <w:spacing w:val="-6"/>
                              </w:rPr>
                              <w:t xml:space="preserve"> </w:t>
                            </w:r>
                            <w:r>
                              <w:rPr>
                                <w:color w:val="231F20"/>
                                <w:spacing w:val="-2"/>
                              </w:rPr>
                              <w:t>level</w:t>
                            </w:r>
                            <w:r>
                              <w:rPr>
                                <w:color w:val="231F20"/>
                                <w:spacing w:val="-6"/>
                              </w:rPr>
                              <w:t xml:space="preserve"> </w:t>
                            </w:r>
                            <w:r>
                              <w:rPr>
                                <w:color w:val="231F20"/>
                                <w:spacing w:val="-2"/>
                              </w:rPr>
                              <w:t>of</w:t>
                            </w:r>
                            <w:r>
                              <w:rPr>
                                <w:color w:val="231F20"/>
                              </w:rPr>
                              <w:t xml:space="preserve"> </w:t>
                            </w:r>
                            <w:r>
                              <w:rPr>
                                <w:color w:val="231F20"/>
                                <w:spacing w:val="-2"/>
                              </w:rPr>
                              <w:t>desired</w:t>
                            </w:r>
                            <w:r>
                              <w:rPr>
                                <w:color w:val="231F20"/>
                                <w:spacing w:val="-6"/>
                              </w:rPr>
                              <w:t xml:space="preserve"> </w:t>
                            </w:r>
                            <w:r>
                              <w:rPr>
                                <w:color w:val="231F20"/>
                                <w:spacing w:val="-2"/>
                              </w:rPr>
                              <w:t>air-time.</w:t>
                            </w:r>
                            <w:r>
                              <w:rPr>
                                <w:color w:val="231F20"/>
                                <w:spacing w:val="-6"/>
                              </w:rPr>
                              <w:t xml:space="preserve"> </w:t>
                            </w:r>
                            <w:r>
                              <w:rPr>
                                <w:color w:val="231F20"/>
                                <w:spacing w:val="-2"/>
                              </w:rPr>
                              <w:t>The</w:t>
                            </w:r>
                            <w:r>
                              <w:rPr>
                                <w:color w:val="231F20"/>
                                <w:spacing w:val="-6"/>
                              </w:rPr>
                              <w:t xml:space="preserve"> </w:t>
                            </w:r>
                            <w:r>
                              <w:rPr>
                                <w:color w:val="231F20"/>
                                <w:spacing w:val="-2"/>
                              </w:rPr>
                              <w:t xml:space="preserve">terrain </w:t>
                            </w:r>
                            <w:r>
                              <w:rPr>
                                <w:color w:val="231F20"/>
                                <w:w w:val="95"/>
                              </w:rPr>
                              <w:t>in</w:t>
                            </w:r>
                            <w:r>
                              <w:rPr>
                                <w:color w:val="231F20"/>
                                <w:spacing w:val="-8"/>
                                <w:w w:val="95"/>
                              </w:rPr>
                              <w:t xml:space="preserve"> </w:t>
                            </w:r>
                            <w:r>
                              <w:rPr>
                                <w:color w:val="231F20"/>
                                <w:w w:val="95"/>
                              </w:rPr>
                              <w:t>Morzine</w:t>
                            </w:r>
                            <w:r>
                              <w:rPr>
                                <w:color w:val="231F20"/>
                                <w:spacing w:val="-8"/>
                                <w:w w:val="95"/>
                              </w:rPr>
                              <w:t xml:space="preserve"> </w:t>
                            </w:r>
                            <w:r>
                              <w:rPr>
                                <w:color w:val="231F20"/>
                                <w:w w:val="95"/>
                              </w:rPr>
                              <w:t>is</w:t>
                            </w:r>
                            <w:r>
                              <w:rPr>
                                <w:color w:val="231F20"/>
                                <w:spacing w:val="-8"/>
                                <w:w w:val="95"/>
                              </w:rPr>
                              <w:t xml:space="preserve"> </w:t>
                            </w:r>
                            <w:r>
                              <w:rPr>
                                <w:color w:val="231F20"/>
                                <w:w w:val="95"/>
                              </w:rPr>
                              <w:t>termed</w:t>
                            </w:r>
                            <w:r>
                              <w:rPr>
                                <w:color w:val="231F20"/>
                                <w:spacing w:val="-8"/>
                                <w:w w:val="95"/>
                              </w:rPr>
                              <w:t xml:space="preserve"> </w:t>
                            </w:r>
                            <w:r>
                              <w:rPr>
                                <w:color w:val="231F20"/>
                                <w:w w:val="95"/>
                              </w:rPr>
                              <w:t>‘hero-dirt’</w:t>
                            </w:r>
                            <w:r>
                              <w:rPr>
                                <w:color w:val="231F20"/>
                                <w:spacing w:val="-8"/>
                                <w:w w:val="95"/>
                              </w:rPr>
                              <w:t xml:space="preserve"> </w:t>
                            </w:r>
                            <w:r>
                              <w:rPr>
                                <w:color w:val="231F20"/>
                                <w:w w:val="95"/>
                              </w:rPr>
                              <w:t>as</w:t>
                            </w:r>
                            <w:r>
                              <w:rPr>
                                <w:color w:val="231F20"/>
                                <w:spacing w:val="-8"/>
                                <w:w w:val="95"/>
                              </w:rPr>
                              <w:t xml:space="preserve"> </w:t>
                            </w:r>
                            <w:r>
                              <w:rPr>
                                <w:color w:val="231F20"/>
                                <w:w w:val="95"/>
                              </w:rPr>
                              <w:t>the</w:t>
                            </w:r>
                            <w:r>
                              <w:rPr>
                                <w:color w:val="231F20"/>
                                <w:spacing w:val="-8"/>
                                <w:w w:val="95"/>
                              </w:rPr>
                              <w:t xml:space="preserve"> </w:t>
                            </w:r>
                            <w:r>
                              <w:rPr>
                                <w:color w:val="231F20"/>
                                <w:w w:val="95"/>
                              </w:rPr>
                              <w:t>tracks</w:t>
                            </w:r>
                            <w:r>
                              <w:rPr>
                                <w:color w:val="231F20"/>
                                <w:spacing w:val="-8"/>
                                <w:w w:val="95"/>
                              </w:rPr>
                              <w:t xml:space="preserve"> </w:t>
                            </w:r>
                            <w:r>
                              <w:rPr>
                                <w:color w:val="231F20"/>
                                <w:w w:val="95"/>
                              </w:rPr>
                              <w:t>are</w:t>
                            </w:r>
                            <w:r>
                              <w:rPr>
                                <w:color w:val="231F20"/>
                                <w:spacing w:val="-8"/>
                                <w:w w:val="95"/>
                              </w:rPr>
                              <w:t xml:space="preserve"> </w:t>
                            </w:r>
                            <w:r>
                              <w:rPr>
                                <w:color w:val="231F20"/>
                                <w:w w:val="95"/>
                              </w:rPr>
                              <w:t>smoother</w:t>
                            </w:r>
                            <w:r>
                              <w:rPr>
                                <w:color w:val="231F20"/>
                                <w:spacing w:val="-8"/>
                                <w:w w:val="95"/>
                              </w:rPr>
                              <w:t xml:space="preserve"> </w:t>
                            </w:r>
                            <w:r>
                              <w:rPr>
                                <w:color w:val="231F20"/>
                                <w:w w:val="95"/>
                              </w:rPr>
                              <w:t>and</w:t>
                            </w:r>
                            <w:r>
                              <w:rPr>
                                <w:color w:val="231F20"/>
                                <w:spacing w:val="-8"/>
                                <w:w w:val="95"/>
                              </w:rPr>
                              <w:t xml:space="preserve"> </w:t>
                            </w:r>
                            <w:r>
                              <w:rPr>
                                <w:color w:val="231F20"/>
                                <w:w w:val="95"/>
                              </w:rPr>
                              <w:t>flow</w:t>
                            </w:r>
                            <w:r>
                              <w:rPr>
                                <w:color w:val="231F20"/>
                                <w:spacing w:val="-8"/>
                                <w:w w:val="95"/>
                              </w:rPr>
                              <w:t xml:space="preserve"> </w:t>
                            </w:r>
                            <w:r>
                              <w:rPr>
                                <w:color w:val="231F20"/>
                                <w:w w:val="95"/>
                              </w:rPr>
                              <w:t xml:space="preserve">down the hillside with ease. On these trails, rocks are limited and the trails are wider and considerably safer for beginner riders. Each destination has a </w:t>
                            </w:r>
                            <w:r>
                              <w:rPr>
                                <w:color w:val="231F20"/>
                              </w:rPr>
                              <w:t>unique point of difference.</w:t>
                            </w:r>
                          </w:p>
                          <w:p w14:paraId="00415217" w14:textId="77777777" w:rsidR="00AE0598" w:rsidRDefault="0069255A">
                            <w:pPr>
                              <w:spacing w:before="67"/>
                              <w:ind w:right="111"/>
                              <w:jc w:val="right"/>
                              <w:rPr>
                                <w:rFonts w:ascii="Trebuchet MS"/>
                                <w:i/>
                                <w:color w:val="000000"/>
                                <w:sz w:val="18"/>
                              </w:rPr>
                            </w:pPr>
                            <w:r>
                              <w:rPr>
                                <w:rFonts w:ascii="Trebuchet MS"/>
                                <w:i/>
                                <w:color w:val="231F20"/>
                                <w:spacing w:val="-2"/>
                                <w:sz w:val="18"/>
                              </w:rPr>
                              <w:t>(Continued)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943ED2" id="docshape231" o:spid="_x0000_s1092" type="#_x0000_t202" style="position:absolute;margin-left:59.5pt;margin-top:12.35pt;width:323.15pt;height:262.1pt;z-index:-156446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" fillcolor="#dcddde" stroked="f">
                <v:textbox inset="0,0,0,0">
                  <w:txbxContent>
                    <w:p w14:paraId="23BA02BC" w14:textId="77777777" w:rsidR="00AE0598" w:rsidRDefault="0069255A">
                      <w:pPr>
                        <w:spacing w:before="75"/>
                        <w:ind w:left="113"/>
                        <w:jc w:val="both"/>
                        <w:rPr>
                          <w:rFonts w:ascii="Trebuchet MS"/>
                          <w:color w:val="000000"/>
                          <w:sz w:val="20"/>
                        </w:rPr>
                      </w:pPr>
                      <w:r>
                        <w:rPr>
                          <w:rFonts w:ascii="Trebuchet MS"/>
                          <w:color w:val="231F20"/>
                          <w:w w:val="105"/>
                          <w:sz w:val="20"/>
                        </w:rPr>
                        <w:t>Focus</w:t>
                      </w:r>
                      <w:r>
                        <w:rPr>
                          <w:rFonts w:ascii="Trebuchet MS"/>
                          <w:color w:val="231F20"/>
                          <w:spacing w:val="-2"/>
                          <w:w w:val="105"/>
                          <w:sz w:val="20"/>
                        </w:rPr>
                        <w:t xml:space="preserve"> </w:t>
                      </w:r>
                      <w:r>
                        <w:rPr>
                          <w:rFonts w:ascii="Trebuchet MS"/>
                          <w:color w:val="231F20"/>
                          <w:w w:val="105"/>
                          <w:sz w:val="20"/>
                        </w:rPr>
                        <w:t>Point</w:t>
                      </w:r>
                      <w:r>
                        <w:rPr>
                          <w:rFonts w:ascii="Trebuchet MS"/>
                          <w:color w:val="231F20"/>
                          <w:spacing w:val="-2"/>
                          <w:w w:val="105"/>
                          <w:sz w:val="20"/>
                        </w:rPr>
                        <w:t xml:space="preserve"> </w:t>
                      </w:r>
                      <w:r>
                        <w:rPr>
                          <w:rFonts w:ascii="Trebuchet MS"/>
                          <w:color w:val="231F20"/>
                          <w:w w:val="105"/>
                          <w:sz w:val="20"/>
                        </w:rPr>
                        <w:t>8.3:</w:t>
                      </w:r>
                      <w:r>
                        <w:rPr>
                          <w:rFonts w:ascii="Trebuchet MS"/>
                          <w:color w:val="231F20"/>
                          <w:spacing w:val="-2"/>
                          <w:w w:val="105"/>
                          <w:sz w:val="20"/>
                        </w:rPr>
                        <w:t xml:space="preserve"> </w:t>
                      </w:r>
                      <w:r>
                        <w:rPr>
                          <w:rFonts w:ascii="Trebuchet MS"/>
                          <w:color w:val="231F20"/>
                          <w:w w:val="105"/>
                          <w:sz w:val="20"/>
                        </w:rPr>
                        <w:t>Mountain</w:t>
                      </w:r>
                      <w:r>
                        <w:rPr>
                          <w:rFonts w:ascii="Trebuchet MS"/>
                          <w:color w:val="231F20"/>
                          <w:spacing w:val="-2"/>
                          <w:w w:val="105"/>
                          <w:sz w:val="20"/>
                        </w:rPr>
                        <w:t xml:space="preserve"> </w:t>
                      </w:r>
                      <w:r>
                        <w:rPr>
                          <w:rFonts w:ascii="Trebuchet MS"/>
                          <w:color w:val="231F20"/>
                          <w:w w:val="105"/>
                          <w:sz w:val="20"/>
                        </w:rPr>
                        <w:t>Biking</w:t>
                      </w:r>
                      <w:r>
                        <w:rPr>
                          <w:rFonts w:ascii="Trebuchet MS"/>
                          <w:color w:val="231F20"/>
                          <w:spacing w:val="-2"/>
                          <w:w w:val="105"/>
                          <w:sz w:val="20"/>
                        </w:rPr>
                        <w:t xml:space="preserve"> Affect</w:t>
                      </w:r>
                    </w:p>
                    <w:p w14:paraId="32079D5F" w14:textId="77777777" w:rsidR="00AE0598" w:rsidRDefault="0069255A">
                      <w:pPr>
                        <w:pStyle w:val="Corpodetexto"/>
                        <w:spacing w:before="116"/>
                        <w:ind w:left="113"/>
                        <w:jc w:val="both"/>
                        <w:rPr>
                          <w:color w:val="000000"/>
                        </w:rPr>
                      </w:pPr>
                      <w:r>
                        <w:rPr>
                          <w:color w:val="231F20"/>
                        </w:rPr>
                        <w:t>Scarlett</w:t>
                      </w:r>
                      <w:r>
                        <w:rPr>
                          <w:color w:val="231F20"/>
                          <w:spacing w:val="4"/>
                        </w:rPr>
                        <w:t xml:space="preserve"> </w:t>
                      </w:r>
                      <w:r>
                        <w:rPr>
                          <w:color w:val="231F20"/>
                        </w:rPr>
                        <w:t>Hagen</w:t>
                      </w:r>
                      <w:r>
                        <w:rPr>
                          <w:color w:val="231F20"/>
                          <w:spacing w:val="4"/>
                        </w:rPr>
                        <w:t xml:space="preserve"> </w:t>
                      </w:r>
                      <w:r>
                        <w:rPr>
                          <w:color w:val="231F20"/>
                        </w:rPr>
                        <w:t>and</w:t>
                      </w:r>
                      <w:r>
                        <w:rPr>
                          <w:color w:val="231F20"/>
                          <w:spacing w:val="5"/>
                        </w:rPr>
                        <w:t xml:space="preserve"> </w:t>
                      </w:r>
                      <w:r>
                        <w:rPr>
                          <w:color w:val="231F20"/>
                        </w:rPr>
                        <w:t>Mike</w:t>
                      </w:r>
                      <w:r>
                        <w:rPr>
                          <w:color w:val="231F20"/>
                          <w:spacing w:val="4"/>
                        </w:rPr>
                        <w:t xml:space="preserve"> </w:t>
                      </w:r>
                      <w:r>
                        <w:rPr>
                          <w:color w:val="231F20"/>
                          <w:spacing w:val="-4"/>
                        </w:rPr>
                        <w:t>Boyes</w:t>
                      </w:r>
                    </w:p>
                    <w:p w14:paraId="692D0C64" w14:textId="77777777" w:rsidR="00AE0598" w:rsidRDefault="0069255A">
                      <w:pPr>
                        <w:pStyle w:val="Corpodetexto"/>
                        <w:spacing w:before="120" w:line="232" w:lineRule="auto"/>
                        <w:ind w:left="113" w:right="111" w:firstLine="320"/>
                        <w:jc w:val="both"/>
                        <w:rPr>
                          <w:color w:val="000000"/>
                        </w:rPr>
                      </w:pPr>
                      <w:r>
                        <w:rPr>
                          <w:color w:val="231F20"/>
                        </w:rPr>
                        <w:t>Gravity</w:t>
                      </w:r>
                      <w:r>
                        <w:rPr>
                          <w:color w:val="231F20"/>
                          <w:spacing w:val="-12"/>
                        </w:rPr>
                        <w:t xml:space="preserve"> </w:t>
                      </w:r>
                      <w:r>
                        <w:rPr>
                          <w:color w:val="231F20"/>
                        </w:rPr>
                        <w:t>mountain</w:t>
                      </w:r>
                      <w:r>
                        <w:rPr>
                          <w:color w:val="231F20"/>
                          <w:spacing w:val="-12"/>
                        </w:rPr>
                        <w:t xml:space="preserve"> </w:t>
                      </w:r>
                      <w:r>
                        <w:rPr>
                          <w:color w:val="231F20"/>
                        </w:rPr>
                        <w:t>biking</w:t>
                      </w:r>
                      <w:r>
                        <w:rPr>
                          <w:color w:val="231F20"/>
                          <w:spacing w:val="-11"/>
                        </w:rPr>
                        <w:t xml:space="preserve"> </w:t>
                      </w:r>
                      <w:r>
                        <w:rPr>
                          <w:color w:val="231F20"/>
                        </w:rPr>
                        <w:t>is</w:t>
                      </w:r>
                      <w:r>
                        <w:rPr>
                          <w:color w:val="231F20"/>
                          <w:spacing w:val="-12"/>
                        </w:rPr>
                        <w:t xml:space="preserve"> </w:t>
                      </w:r>
                      <w:r>
                        <w:rPr>
                          <w:color w:val="231F20"/>
                        </w:rPr>
                        <w:t>a</w:t>
                      </w:r>
                      <w:r>
                        <w:rPr>
                          <w:color w:val="231F20"/>
                          <w:spacing w:val="-11"/>
                        </w:rPr>
                        <w:t xml:space="preserve"> </w:t>
                      </w:r>
                      <w:r>
                        <w:rPr>
                          <w:color w:val="231F20"/>
                        </w:rPr>
                        <w:t>sport</w:t>
                      </w:r>
                      <w:r>
                        <w:rPr>
                          <w:color w:val="231F20"/>
                          <w:spacing w:val="-12"/>
                        </w:rPr>
                        <w:t xml:space="preserve"> </w:t>
                      </w:r>
                      <w:r>
                        <w:rPr>
                          <w:color w:val="231F20"/>
                        </w:rPr>
                        <w:t>that</w:t>
                      </w:r>
                      <w:r>
                        <w:rPr>
                          <w:color w:val="231F20"/>
                          <w:spacing w:val="-11"/>
                        </w:rPr>
                        <w:t xml:space="preserve"> </w:t>
                      </w:r>
                      <w:r>
                        <w:rPr>
                          <w:color w:val="231F20"/>
                        </w:rPr>
                        <w:t>provides</w:t>
                      </w:r>
                      <w:r>
                        <w:rPr>
                          <w:color w:val="231F20"/>
                          <w:spacing w:val="-12"/>
                        </w:rPr>
                        <w:t xml:space="preserve"> </w:t>
                      </w:r>
                      <w:r>
                        <w:rPr>
                          <w:color w:val="231F20"/>
                        </w:rPr>
                        <w:t>participants</w:t>
                      </w:r>
                      <w:r>
                        <w:rPr>
                          <w:color w:val="231F20"/>
                          <w:spacing w:val="-12"/>
                        </w:rPr>
                        <w:t xml:space="preserve"> </w:t>
                      </w:r>
                      <w:r>
                        <w:rPr>
                          <w:color w:val="231F20"/>
                        </w:rPr>
                        <w:t>with</w:t>
                      </w:r>
                      <w:r>
                        <w:rPr>
                          <w:color w:val="231F20"/>
                          <w:spacing w:val="-11"/>
                        </w:rPr>
                        <w:t xml:space="preserve"> </w:t>
                      </w:r>
                      <w:r>
                        <w:rPr>
                          <w:color w:val="231F20"/>
                        </w:rPr>
                        <w:t xml:space="preserve">a </w:t>
                      </w:r>
                      <w:r>
                        <w:rPr>
                          <w:color w:val="231F20"/>
                          <w:w w:val="95"/>
                        </w:rPr>
                        <w:t xml:space="preserve">range of destinations, landscapes, terrain and track obstacles. Locations </w:t>
                      </w:r>
                      <w:r>
                        <w:rPr>
                          <w:color w:val="231F20"/>
                        </w:rPr>
                        <w:t xml:space="preserve">such as Queenstown (New Zealand), Whistler (Canada) and Morzine </w:t>
                      </w:r>
                      <w:r>
                        <w:rPr>
                          <w:color w:val="231F20"/>
                          <w:w w:val="95"/>
                        </w:rPr>
                        <w:t xml:space="preserve">(France) are widely recognised as </w:t>
                      </w:r>
                      <w:r>
                        <w:rPr>
                          <w:i/>
                          <w:color w:val="231F20"/>
                          <w:w w:val="95"/>
                        </w:rPr>
                        <w:t xml:space="preserve">the </w:t>
                      </w:r>
                      <w:r>
                        <w:rPr>
                          <w:color w:val="231F20"/>
                          <w:w w:val="95"/>
                        </w:rPr>
                        <w:t xml:space="preserve">summer destinations for mountain </w:t>
                      </w:r>
                      <w:r>
                        <w:rPr>
                          <w:color w:val="231F20"/>
                        </w:rPr>
                        <w:t xml:space="preserve">bike enthusiasts. </w:t>
                      </w:r>
                      <w:r>
                        <w:rPr>
                          <w:color w:val="231F20"/>
                        </w:rPr>
                        <w:t xml:space="preserve">Trail managers in each location have built trails to </w:t>
                      </w:r>
                      <w:r>
                        <w:rPr>
                          <w:color w:val="231F20"/>
                          <w:w w:val="95"/>
                        </w:rPr>
                        <w:t>showcase the natural geological features of these mountain destinations. Important factors for well-designed trails include site selection, terrain, gradient, elevation and the inclusion of</w:t>
                      </w:r>
                      <w:r>
                        <w:rPr>
                          <w:color w:val="231F20"/>
                        </w:rPr>
                        <w:t xml:space="preserve"> </w:t>
                      </w:r>
                      <w:r>
                        <w:rPr>
                          <w:color w:val="231F20"/>
                          <w:w w:val="95"/>
                        </w:rPr>
                        <w:t>specific obst</w:t>
                      </w:r>
                      <w:r>
                        <w:rPr>
                          <w:color w:val="231F20"/>
                          <w:w w:val="95"/>
                        </w:rPr>
                        <w:t xml:space="preserve">acles. The trails need to descend the hillside in unison with the natural landscape, and to work </w:t>
                      </w:r>
                      <w:r>
                        <w:rPr>
                          <w:color w:val="231F20"/>
                        </w:rPr>
                        <w:t>with</w:t>
                      </w:r>
                      <w:r>
                        <w:rPr>
                          <w:color w:val="231F20"/>
                          <w:spacing w:val="-12"/>
                        </w:rPr>
                        <w:t xml:space="preserve"> </w:t>
                      </w:r>
                      <w:r>
                        <w:rPr>
                          <w:color w:val="231F20"/>
                        </w:rPr>
                        <w:t>the</w:t>
                      </w:r>
                      <w:r>
                        <w:rPr>
                          <w:color w:val="231F20"/>
                          <w:spacing w:val="-12"/>
                        </w:rPr>
                        <w:t xml:space="preserve"> </w:t>
                      </w:r>
                      <w:r>
                        <w:rPr>
                          <w:color w:val="231F20"/>
                        </w:rPr>
                        <w:t>terrain</w:t>
                      </w:r>
                      <w:r>
                        <w:rPr>
                          <w:color w:val="231F20"/>
                          <w:spacing w:val="-11"/>
                        </w:rPr>
                        <w:t xml:space="preserve"> </w:t>
                      </w:r>
                      <w:r>
                        <w:rPr>
                          <w:color w:val="231F20"/>
                        </w:rPr>
                        <w:t>to</w:t>
                      </w:r>
                      <w:r>
                        <w:rPr>
                          <w:color w:val="231F20"/>
                          <w:spacing w:val="-12"/>
                        </w:rPr>
                        <w:t xml:space="preserve"> </w:t>
                      </w:r>
                      <w:r>
                        <w:rPr>
                          <w:color w:val="231F20"/>
                        </w:rPr>
                        <w:t>be</w:t>
                      </w:r>
                      <w:r>
                        <w:rPr>
                          <w:color w:val="231F20"/>
                          <w:spacing w:val="-11"/>
                        </w:rPr>
                        <w:t xml:space="preserve"> </w:t>
                      </w:r>
                      <w:r>
                        <w:rPr>
                          <w:color w:val="231F20"/>
                        </w:rPr>
                        <w:t>predicable</w:t>
                      </w:r>
                      <w:r>
                        <w:rPr>
                          <w:color w:val="231F20"/>
                          <w:spacing w:val="-12"/>
                        </w:rPr>
                        <w:t xml:space="preserve"> </w:t>
                      </w:r>
                      <w:r>
                        <w:rPr>
                          <w:color w:val="231F20"/>
                        </w:rPr>
                        <w:t>for</w:t>
                      </w:r>
                      <w:r>
                        <w:rPr>
                          <w:color w:val="231F20"/>
                          <w:spacing w:val="-11"/>
                        </w:rPr>
                        <w:t xml:space="preserve"> </w:t>
                      </w:r>
                      <w:r>
                        <w:rPr>
                          <w:color w:val="231F20"/>
                        </w:rPr>
                        <w:t>riders</w:t>
                      </w:r>
                      <w:r>
                        <w:rPr>
                          <w:color w:val="231F20"/>
                          <w:spacing w:val="-12"/>
                        </w:rPr>
                        <w:t xml:space="preserve"> </w:t>
                      </w:r>
                      <w:r>
                        <w:rPr>
                          <w:color w:val="231F20"/>
                        </w:rPr>
                        <w:t>at</w:t>
                      </w:r>
                      <w:r>
                        <w:rPr>
                          <w:color w:val="231F20"/>
                          <w:spacing w:val="-12"/>
                        </w:rPr>
                        <w:t xml:space="preserve"> </w:t>
                      </w:r>
                      <w:r>
                        <w:rPr>
                          <w:color w:val="231F20"/>
                        </w:rPr>
                        <w:t>high</w:t>
                      </w:r>
                      <w:r>
                        <w:rPr>
                          <w:color w:val="231F20"/>
                          <w:spacing w:val="-11"/>
                        </w:rPr>
                        <w:t xml:space="preserve"> </w:t>
                      </w:r>
                      <w:r>
                        <w:rPr>
                          <w:color w:val="231F20"/>
                        </w:rPr>
                        <w:t>speeds.</w:t>
                      </w:r>
                      <w:r>
                        <w:rPr>
                          <w:color w:val="231F20"/>
                          <w:spacing w:val="-12"/>
                        </w:rPr>
                        <w:t xml:space="preserve"> </w:t>
                      </w:r>
                      <w:r>
                        <w:rPr>
                          <w:color w:val="231F20"/>
                        </w:rPr>
                        <w:t xml:space="preserve">Queenstown </w:t>
                      </w:r>
                      <w:r>
                        <w:rPr>
                          <w:color w:val="231F20"/>
                          <w:w w:val="95"/>
                        </w:rPr>
                        <w:t>provides</w:t>
                      </w:r>
                      <w:r>
                        <w:rPr>
                          <w:color w:val="231F20"/>
                          <w:spacing w:val="-7"/>
                          <w:w w:val="95"/>
                        </w:rPr>
                        <w:t xml:space="preserve"> </w:t>
                      </w:r>
                      <w:r>
                        <w:rPr>
                          <w:color w:val="231F20"/>
                          <w:w w:val="95"/>
                        </w:rPr>
                        <w:t>rocky</w:t>
                      </w:r>
                      <w:r>
                        <w:rPr>
                          <w:color w:val="231F20"/>
                          <w:spacing w:val="-7"/>
                          <w:w w:val="95"/>
                        </w:rPr>
                        <w:t xml:space="preserve"> </w:t>
                      </w:r>
                      <w:r>
                        <w:rPr>
                          <w:color w:val="231F20"/>
                          <w:w w:val="95"/>
                        </w:rPr>
                        <w:t>terrain</w:t>
                      </w:r>
                      <w:r>
                        <w:rPr>
                          <w:color w:val="231F20"/>
                          <w:spacing w:val="-7"/>
                          <w:w w:val="95"/>
                        </w:rPr>
                        <w:t xml:space="preserve"> </w:t>
                      </w:r>
                      <w:r>
                        <w:rPr>
                          <w:color w:val="231F20"/>
                          <w:w w:val="95"/>
                        </w:rPr>
                        <w:t>on</w:t>
                      </w:r>
                      <w:r>
                        <w:rPr>
                          <w:color w:val="231F20"/>
                          <w:spacing w:val="-7"/>
                          <w:w w:val="95"/>
                        </w:rPr>
                        <w:t xml:space="preserve"> </w:t>
                      </w:r>
                      <w:r>
                        <w:rPr>
                          <w:color w:val="231F20"/>
                          <w:w w:val="95"/>
                        </w:rPr>
                        <w:t>steep</w:t>
                      </w:r>
                      <w:r>
                        <w:rPr>
                          <w:color w:val="231F20"/>
                          <w:spacing w:val="-7"/>
                          <w:w w:val="95"/>
                        </w:rPr>
                        <w:t xml:space="preserve"> </w:t>
                      </w:r>
                      <w:r>
                        <w:rPr>
                          <w:color w:val="231F20"/>
                          <w:w w:val="95"/>
                        </w:rPr>
                        <w:t>slopes,</w:t>
                      </w:r>
                      <w:r>
                        <w:rPr>
                          <w:color w:val="231F20"/>
                          <w:spacing w:val="-7"/>
                          <w:w w:val="95"/>
                        </w:rPr>
                        <w:t xml:space="preserve"> </w:t>
                      </w:r>
                      <w:r>
                        <w:rPr>
                          <w:color w:val="231F20"/>
                          <w:w w:val="95"/>
                        </w:rPr>
                        <w:t>whereas</w:t>
                      </w:r>
                      <w:r>
                        <w:rPr>
                          <w:color w:val="231F20"/>
                          <w:spacing w:val="-7"/>
                          <w:w w:val="95"/>
                        </w:rPr>
                        <w:t xml:space="preserve"> </w:t>
                      </w:r>
                      <w:r>
                        <w:rPr>
                          <w:color w:val="231F20"/>
                          <w:w w:val="95"/>
                        </w:rPr>
                        <w:t>Whistler</w:t>
                      </w:r>
                      <w:r>
                        <w:rPr>
                          <w:color w:val="231F20"/>
                          <w:spacing w:val="-7"/>
                          <w:w w:val="95"/>
                        </w:rPr>
                        <w:t xml:space="preserve"> </w:t>
                      </w:r>
                      <w:r>
                        <w:rPr>
                          <w:color w:val="231F20"/>
                          <w:w w:val="95"/>
                        </w:rPr>
                        <w:t>has</w:t>
                      </w:r>
                      <w:r>
                        <w:rPr>
                          <w:color w:val="231F20"/>
                          <w:spacing w:val="-7"/>
                          <w:w w:val="95"/>
                        </w:rPr>
                        <w:t xml:space="preserve"> </w:t>
                      </w:r>
                      <w:r>
                        <w:rPr>
                          <w:color w:val="231F20"/>
                          <w:w w:val="95"/>
                        </w:rPr>
                        <w:t>longer</w:t>
                      </w:r>
                      <w:r>
                        <w:rPr>
                          <w:color w:val="231F20"/>
                          <w:spacing w:val="-7"/>
                          <w:w w:val="95"/>
                        </w:rPr>
                        <w:t xml:space="preserve"> </w:t>
                      </w:r>
                      <w:r>
                        <w:rPr>
                          <w:color w:val="231F20"/>
                          <w:w w:val="95"/>
                        </w:rPr>
                        <w:t xml:space="preserve">trails </w:t>
                      </w:r>
                      <w:r>
                        <w:rPr>
                          <w:color w:val="231F20"/>
                        </w:rPr>
                        <w:t>with a large</w:t>
                      </w:r>
                      <w:r>
                        <w:rPr>
                          <w:color w:val="231F20"/>
                        </w:rPr>
                        <w:t xml:space="preserve"> number of jump-trails. On such trails, riders travel over </w:t>
                      </w:r>
                      <w:r>
                        <w:rPr>
                          <w:color w:val="231F20"/>
                          <w:spacing w:val="-2"/>
                        </w:rPr>
                        <w:t>multiple</w:t>
                      </w:r>
                      <w:r>
                        <w:rPr>
                          <w:color w:val="231F20"/>
                          <w:spacing w:val="-6"/>
                        </w:rPr>
                        <w:t xml:space="preserve"> </w:t>
                      </w:r>
                      <w:r>
                        <w:rPr>
                          <w:color w:val="231F20"/>
                          <w:spacing w:val="-2"/>
                        </w:rPr>
                        <w:t>jumps,</w:t>
                      </w:r>
                      <w:r>
                        <w:rPr>
                          <w:color w:val="231F20"/>
                          <w:spacing w:val="-6"/>
                        </w:rPr>
                        <w:t xml:space="preserve"> </w:t>
                      </w:r>
                      <w:r>
                        <w:rPr>
                          <w:color w:val="231F20"/>
                          <w:spacing w:val="-2"/>
                        </w:rPr>
                        <w:t>aiming</w:t>
                      </w:r>
                      <w:r>
                        <w:rPr>
                          <w:color w:val="231F20"/>
                          <w:spacing w:val="-6"/>
                        </w:rPr>
                        <w:t xml:space="preserve"> </w:t>
                      </w:r>
                      <w:r>
                        <w:rPr>
                          <w:color w:val="231F20"/>
                          <w:spacing w:val="-2"/>
                        </w:rPr>
                        <w:t>to</w:t>
                      </w:r>
                      <w:r>
                        <w:rPr>
                          <w:color w:val="231F20"/>
                          <w:spacing w:val="-6"/>
                        </w:rPr>
                        <w:t xml:space="preserve"> </w:t>
                      </w:r>
                      <w:r>
                        <w:rPr>
                          <w:color w:val="231F20"/>
                          <w:spacing w:val="-2"/>
                        </w:rPr>
                        <w:t>get</w:t>
                      </w:r>
                      <w:r>
                        <w:rPr>
                          <w:color w:val="231F20"/>
                          <w:spacing w:val="-6"/>
                        </w:rPr>
                        <w:t xml:space="preserve"> </w:t>
                      </w:r>
                      <w:r>
                        <w:rPr>
                          <w:color w:val="231F20"/>
                          <w:spacing w:val="-2"/>
                        </w:rPr>
                        <w:t>their</w:t>
                      </w:r>
                      <w:r>
                        <w:rPr>
                          <w:color w:val="231F20"/>
                          <w:spacing w:val="-6"/>
                        </w:rPr>
                        <w:t xml:space="preserve"> </w:t>
                      </w:r>
                      <w:r>
                        <w:rPr>
                          <w:color w:val="231F20"/>
                          <w:spacing w:val="-2"/>
                        </w:rPr>
                        <w:t>level</w:t>
                      </w:r>
                      <w:r>
                        <w:rPr>
                          <w:color w:val="231F20"/>
                          <w:spacing w:val="-6"/>
                        </w:rPr>
                        <w:t xml:space="preserve"> </w:t>
                      </w:r>
                      <w:r>
                        <w:rPr>
                          <w:color w:val="231F20"/>
                          <w:spacing w:val="-2"/>
                        </w:rPr>
                        <w:t>of</w:t>
                      </w:r>
                      <w:r>
                        <w:rPr>
                          <w:color w:val="231F20"/>
                        </w:rPr>
                        <w:t xml:space="preserve"> </w:t>
                      </w:r>
                      <w:r>
                        <w:rPr>
                          <w:color w:val="231F20"/>
                          <w:spacing w:val="-2"/>
                        </w:rPr>
                        <w:t>desired</w:t>
                      </w:r>
                      <w:r>
                        <w:rPr>
                          <w:color w:val="231F20"/>
                          <w:spacing w:val="-6"/>
                        </w:rPr>
                        <w:t xml:space="preserve"> </w:t>
                      </w:r>
                      <w:r>
                        <w:rPr>
                          <w:color w:val="231F20"/>
                          <w:spacing w:val="-2"/>
                        </w:rPr>
                        <w:t>air-time.</w:t>
                      </w:r>
                      <w:r>
                        <w:rPr>
                          <w:color w:val="231F20"/>
                          <w:spacing w:val="-6"/>
                        </w:rPr>
                        <w:t xml:space="preserve"> </w:t>
                      </w:r>
                      <w:r>
                        <w:rPr>
                          <w:color w:val="231F20"/>
                          <w:spacing w:val="-2"/>
                        </w:rPr>
                        <w:t>The</w:t>
                      </w:r>
                      <w:r>
                        <w:rPr>
                          <w:color w:val="231F20"/>
                          <w:spacing w:val="-6"/>
                        </w:rPr>
                        <w:t xml:space="preserve"> </w:t>
                      </w:r>
                      <w:r>
                        <w:rPr>
                          <w:color w:val="231F20"/>
                          <w:spacing w:val="-2"/>
                        </w:rPr>
                        <w:t xml:space="preserve">terrain </w:t>
                      </w:r>
                      <w:r>
                        <w:rPr>
                          <w:color w:val="231F20"/>
                          <w:w w:val="95"/>
                        </w:rPr>
                        <w:t>in</w:t>
                      </w:r>
                      <w:r>
                        <w:rPr>
                          <w:color w:val="231F20"/>
                          <w:spacing w:val="-8"/>
                          <w:w w:val="95"/>
                        </w:rPr>
                        <w:t xml:space="preserve"> </w:t>
                      </w:r>
                      <w:r>
                        <w:rPr>
                          <w:color w:val="231F20"/>
                          <w:w w:val="95"/>
                        </w:rPr>
                        <w:t>Morzine</w:t>
                      </w:r>
                      <w:r>
                        <w:rPr>
                          <w:color w:val="231F20"/>
                          <w:spacing w:val="-8"/>
                          <w:w w:val="95"/>
                        </w:rPr>
                        <w:t xml:space="preserve"> </w:t>
                      </w:r>
                      <w:r>
                        <w:rPr>
                          <w:color w:val="231F20"/>
                          <w:w w:val="95"/>
                        </w:rPr>
                        <w:t>is</w:t>
                      </w:r>
                      <w:r>
                        <w:rPr>
                          <w:color w:val="231F20"/>
                          <w:spacing w:val="-8"/>
                          <w:w w:val="95"/>
                        </w:rPr>
                        <w:t xml:space="preserve"> </w:t>
                      </w:r>
                      <w:r>
                        <w:rPr>
                          <w:color w:val="231F20"/>
                          <w:w w:val="95"/>
                        </w:rPr>
                        <w:t>termed</w:t>
                      </w:r>
                      <w:r>
                        <w:rPr>
                          <w:color w:val="231F20"/>
                          <w:spacing w:val="-8"/>
                          <w:w w:val="95"/>
                        </w:rPr>
                        <w:t xml:space="preserve"> </w:t>
                      </w:r>
                      <w:r>
                        <w:rPr>
                          <w:color w:val="231F20"/>
                          <w:w w:val="95"/>
                        </w:rPr>
                        <w:t>‘hero-dirt’</w:t>
                      </w:r>
                      <w:r>
                        <w:rPr>
                          <w:color w:val="231F20"/>
                          <w:spacing w:val="-8"/>
                          <w:w w:val="95"/>
                        </w:rPr>
                        <w:t xml:space="preserve"> </w:t>
                      </w:r>
                      <w:r>
                        <w:rPr>
                          <w:color w:val="231F20"/>
                          <w:w w:val="95"/>
                        </w:rPr>
                        <w:t>as</w:t>
                      </w:r>
                      <w:r>
                        <w:rPr>
                          <w:color w:val="231F20"/>
                          <w:spacing w:val="-8"/>
                          <w:w w:val="95"/>
                        </w:rPr>
                        <w:t xml:space="preserve"> </w:t>
                      </w:r>
                      <w:r>
                        <w:rPr>
                          <w:color w:val="231F20"/>
                          <w:w w:val="95"/>
                        </w:rPr>
                        <w:t>the</w:t>
                      </w:r>
                      <w:r>
                        <w:rPr>
                          <w:color w:val="231F20"/>
                          <w:spacing w:val="-8"/>
                          <w:w w:val="95"/>
                        </w:rPr>
                        <w:t xml:space="preserve"> </w:t>
                      </w:r>
                      <w:r>
                        <w:rPr>
                          <w:color w:val="231F20"/>
                          <w:w w:val="95"/>
                        </w:rPr>
                        <w:t>tracks</w:t>
                      </w:r>
                      <w:r>
                        <w:rPr>
                          <w:color w:val="231F20"/>
                          <w:spacing w:val="-8"/>
                          <w:w w:val="95"/>
                        </w:rPr>
                        <w:t xml:space="preserve"> </w:t>
                      </w:r>
                      <w:r>
                        <w:rPr>
                          <w:color w:val="231F20"/>
                          <w:w w:val="95"/>
                        </w:rPr>
                        <w:t>are</w:t>
                      </w:r>
                      <w:r>
                        <w:rPr>
                          <w:color w:val="231F20"/>
                          <w:spacing w:val="-8"/>
                          <w:w w:val="95"/>
                        </w:rPr>
                        <w:t xml:space="preserve"> </w:t>
                      </w:r>
                      <w:r>
                        <w:rPr>
                          <w:color w:val="231F20"/>
                          <w:w w:val="95"/>
                        </w:rPr>
                        <w:t>smoother</w:t>
                      </w:r>
                      <w:r>
                        <w:rPr>
                          <w:color w:val="231F20"/>
                          <w:spacing w:val="-8"/>
                          <w:w w:val="95"/>
                        </w:rPr>
                        <w:t xml:space="preserve"> </w:t>
                      </w:r>
                      <w:r>
                        <w:rPr>
                          <w:color w:val="231F20"/>
                          <w:w w:val="95"/>
                        </w:rPr>
                        <w:t>and</w:t>
                      </w:r>
                      <w:r>
                        <w:rPr>
                          <w:color w:val="231F20"/>
                          <w:spacing w:val="-8"/>
                          <w:w w:val="95"/>
                        </w:rPr>
                        <w:t xml:space="preserve"> </w:t>
                      </w:r>
                      <w:r>
                        <w:rPr>
                          <w:color w:val="231F20"/>
                          <w:w w:val="95"/>
                        </w:rPr>
                        <w:t>flow</w:t>
                      </w:r>
                      <w:r>
                        <w:rPr>
                          <w:color w:val="231F20"/>
                          <w:spacing w:val="-8"/>
                          <w:w w:val="95"/>
                        </w:rPr>
                        <w:t xml:space="preserve"> </w:t>
                      </w:r>
                      <w:r>
                        <w:rPr>
                          <w:color w:val="231F20"/>
                          <w:w w:val="95"/>
                        </w:rPr>
                        <w:t xml:space="preserve">down the hillside with ease. On these trails, rocks are limited and the trails are wider and considerably safer for beginner riders. Each destination has a </w:t>
                      </w:r>
                      <w:r>
                        <w:rPr>
                          <w:color w:val="231F20"/>
                        </w:rPr>
                        <w:t>unique point of difference.</w:t>
                      </w:r>
                    </w:p>
                    <w:p w14:paraId="00415217" w14:textId="77777777" w:rsidR="00AE0598" w:rsidRDefault="0069255A">
                      <w:pPr>
                        <w:spacing w:before="67"/>
                        <w:ind w:right="111"/>
                        <w:jc w:val="right"/>
                        <w:rPr>
                          <w:rFonts w:ascii="Trebuchet MS"/>
                          <w:i/>
                          <w:color w:val="000000"/>
                          <w:sz w:val="18"/>
                        </w:rPr>
                      </w:pPr>
                      <w:r>
                        <w:rPr>
                          <w:rFonts w:ascii="Trebuchet MS"/>
                          <w:i/>
                          <w:color w:val="231F20"/>
                          <w:spacing w:val="-2"/>
                          <w:sz w:val="18"/>
                        </w:rPr>
                        <w:t>(Continued)</w:t>
                      </w:r>
                    </w:p>
                  </w:txbxContent>
                </v:textbox>
                <w10:wrap type="topAndBottom" anchorx="page"/>
              </v:shape>
            </w:pict>
          </mc:Fallback>
        </mc:AlternateContent>
      </w:r>
    </w:p>
    <w:p w14:paraId="5BD10BB1" w14:textId="77777777" w:rsidR="00AE0598" w:rsidRDefault="00AE0598">
      <w:pPr>
        <w:rPr>
          <w:sz w:val="19"/>
        </w:rPr>
        <w:sectPr w:rsidR="00AE0598">
          <w:pgSz w:w="8850" w:h="13270"/>
          <w:pgMar w:top="720" w:right="1060" w:bottom="280" w:left="1080" w:header="720" w:footer="720" w:gutter="0"/>
          <w:cols w:space="720"/>
        </w:sectPr>
      </w:pPr>
    </w:p>
    <w:p w14:paraId="7DBA6F52" w14:textId="77777777" w:rsidR="00AE0598" w:rsidRDefault="0069255A">
      <w:pPr>
        <w:spacing w:before="87"/>
        <w:ind w:left="108"/>
        <w:rPr>
          <w:rFonts w:ascii="Trebuchet MS"/>
          <w:sz w:val="14"/>
        </w:rPr>
      </w:pPr>
      <w:r>
        <w:rPr>
          <w:rFonts w:ascii="Trebuchet MS"/>
          <w:color w:val="231F20"/>
          <w:w w:val="105"/>
          <w:sz w:val="14"/>
        </w:rPr>
        <w:lastRenderedPageBreak/>
        <w:t>172</w:t>
      </w:r>
      <w:r>
        <w:rPr>
          <w:rFonts w:ascii="Trebuchet MS"/>
          <w:color w:val="231F20"/>
          <w:spacing w:val="66"/>
          <w:w w:val="150"/>
          <w:sz w:val="14"/>
        </w:rPr>
        <w:t xml:space="preserve"> </w:t>
      </w:r>
      <w:r>
        <w:rPr>
          <w:rFonts w:ascii="Trebuchet MS"/>
          <w:color w:val="231F20"/>
          <w:w w:val="105"/>
          <w:sz w:val="14"/>
        </w:rPr>
        <w:t>Part</w:t>
      </w:r>
      <w:r>
        <w:rPr>
          <w:rFonts w:ascii="Trebuchet MS"/>
          <w:color w:val="231F20"/>
          <w:spacing w:val="-9"/>
          <w:w w:val="105"/>
          <w:sz w:val="14"/>
        </w:rPr>
        <w:t xml:space="preserve"> </w:t>
      </w:r>
      <w:r>
        <w:rPr>
          <w:rFonts w:ascii="Trebuchet MS"/>
          <w:color w:val="231F20"/>
          <w:w w:val="105"/>
          <w:sz w:val="14"/>
        </w:rPr>
        <w:t>4:</w:t>
      </w:r>
      <w:r>
        <w:rPr>
          <w:rFonts w:ascii="Trebuchet MS"/>
          <w:color w:val="231F20"/>
          <w:spacing w:val="-8"/>
          <w:w w:val="105"/>
          <w:sz w:val="14"/>
        </w:rPr>
        <w:t xml:space="preserve"> </w:t>
      </w:r>
      <w:r>
        <w:rPr>
          <w:rFonts w:ascii="Trebuchet MS"/>
          <w:color w:val="231F20"/>
          <w:w w:val="105"/>
          <w:sz w:val="14"/>
        </w:rPr>
        <w:t>Sport</w:t>
      </w:r>
      <w:r>
        <w:rPr>
          <w:rFonts w:ascii="Trebuchet MS"/>
          <w:color w:val="231F20"/>
          <w:spacing w:val="-9"/>
          <w:w w:val="105"/>
          <w:sz w:val="14"/>
        </w:rPr>
        <w:t xml:space="preserve"> </w:t>
      </w:r>
      <w:r>
        <w:rPr>
          <w:rFonts w:ascii="Trebuchet MS"/>
          <w:color w:val="231F20"/>
          <w:w w:val="105"/>
          <w:sz w:val="14"/>
        </w:rPr>
        <w:t>Tourism</w:t>
      </w:r>
      <w:r>
        <w:rPr>
          <w:rFonts w:ascii="Trebuchet MS"/>
          <w:color w:val="231F20"/>
          <w:spacing w:val="-9"/>
          <w:w w:val="105"/>
          <w:sz w:val="14"/>
        </w:rPr>
        <w:t xml:space="preserve"> </w:t>
      </w:r>
      <w:r>
        <w:rPr>
          <w:rFonts w:ascii="Trebuchet MS"/>
          <w:color w:val="231F20"/>
          <w:w w:val="105"/>
          <w:sz w:val="14"/>
        </w:rPr>
        <w:t>Development</w:t>
      </w:r>
      <w:r>
        <w:rPr>
          <w:rFonts w:ascii="Trebuchet MS"/>
          <w:color w:val="231F20"/>
          <w:spacing w:val="-9"/>
          <w:w w:val="105"/>
          <w:sz w:val="14"/>
        </w:rPr>
        <w:t xml:space="preserve"> </w:t>
      </w:r>
      <w:r>
        <w:rPr>
          <w:rFonts w:ascii="Trebuchet MS"/>
          <w:color w:val="231F20"/>
          <w:w w:val="105"/>
          <w:sz w:val="14"/>
        </w:rPr>
        <w:t>and</w:t>
      </w:r>
      <w:r>
        <w:rPr>
          <w:rFonts w:ascii="Trebuchet MS"/>
          <w:color w:val="231F20"/>
          <w:spacing w:val="-8"/>
          <w:w w:val="105"/>
          <w:sz w:val="14"/>
        </w:rPr>
        <w:t xml:space="preserve"> </w:t>
      </w:r>
      <w:r>
        <w:rPr>
          <w:rFonts w:ascii="Trebuchet MS"/>
          <w:color w:val="231F20"/>
          <w:spacing w:val="-4"/>
          <w:w w:val="105"/>
          <w:sz w:val="14"/>
        </w:rPr>
        <w:t>Time</w:t>
      </w:r>
    </w:p>
    <w:p w14:paraId="744D9DD0" w14:textId="77777777" w:rsidR="00AE0598" w:rsidRDefault="00AE0598">
      <w:pPr>
        <w:pStyle w:val="Corpodetexto"/>
        <w:spacing w:before="7"/>
        <w:rPr>
          <w:rFonts w:ascii="Trebuchet MS"/>
          <w:sz w:val="27"/>
        </w:rPr>
      </w:pPr>
    </w:p>
    <w:p w14:paraId="60AC2CAC" w14:textId="18767564" w:rsidR="00AE0598" w:rsidRDefault="0069255A">
      <w:pPr>
        <w:spacing w:before="99"/>
        <w:ind w:left="223"/>
        <w:rPr>
          <w:rFonts w:ascii="Trebuchet MS"/>
          <w:sz w:val="18"/>
        </w:rPr>
      </w:pPr>
      <w:r>
        <w:rPr>
          <w:noProof/>
        </w:rPr>
        <mc:AlternateContent>
          <mc:Choice Requires="wps">
            <w:drawing>
              <wp:anchor distT="0" distB="0" distL="114300" distR="114300" simplePos="0" relativeHeight="483737088" behindDoc="1" locked="0" layoutInCell="1" allowOverlap="1" wp14:anchorId="563AE012" wp14:editId="6CBFE30E">
                <wp:simplePos x="0" y="0"/>
                <wp:positionH relativeFrom="page">
                  <wp:posOffset>755650</wp:posOffset>
                </wp:positionH>
                <wp:positionV relativeFrom="paragraph">
                  <wp:posOffset>14605</wp:posOffset>
                </wp:positionV>
                <wp:extent cx="4104005" cy="4392930"/>
                <wp:effectExtent l="0" t="0" r="0" b="0"/>
                <wp:wrapNone/>
                <wp:docPr id="134" name="docshape2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04005" cy="4392930"/>
                        </a:xfrm>
                        <a:prstGeom prst="rect">
                          <a:avLst/>
                        </a:prstGeom>
                        <a:solidFill>
                          <a:srgbClr val="DCDDD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54CC11" id="docshape232" o:spid="_x0000_s1026" style="position:absolute;margin-left:59.5pt;margin-top:1.15pt;width:323.15pt;height:345.9pt;z-index:-195793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" fillcolor="#dcddde" stroked="f">
                <w10:wrap anchorx="page"/>
              </v:rect>
            </w:pict>
          </mc:Fallback>
        </mc:AlternateContent>
      </w:r>
      <w:r>
        <w:rPr>
          <w:rFonts w:ascii="Trebuchet MS"/>
          <w:color w:val="231F20"/>
          <w:sz w:val="20"/>
        </w:rPr>
        <w:t>Focus Point</w:t>
      </w:r>
      <w:r>
        <w:rPr>
          <w:rFonts w:ascii="Trebuchet MS"/>
          <w:color w:val="231F20"/>
          <w:spacing w:val="1"/>
          <w:sz w:val="20"/>
        </w:rPr>
        <w:t xml:space="preserve"> </w:t>
      </w:r>
      <w:r>
        <w:rPr>
          <w:rFonts w:ascii="Trebuchet MS"/>
          <w:color w:val="231F20"/>
          <w:sz w:val="20"/>
        </w:rPr>
        <w:t>8.3</w:t>
      </w:r>
      <w:r>
        <w:rPr>
          <w:rFonts w:ascii="Trebuchet MS"/>
          <w:color w:val="231F20"/>
          <w:sz w:val="18"/>
        </w:rPr>
        <w:t xml:space="preserve">: </w:t>
      </w:r>
      <w:r>
        <w:rPr>
          <w:rFonts w:ascii="Trebuchet MS"/>
          <w:color w:val="231F20"/>
          <w:spacing w:val="-2"/>
          <w:sz w:val="18"/>
        </w:rPr>
        <w:t>(Continued)</w:t>
      </w:r>
    </w:p>
    <w:p w14:paraId="483AA2EB" w14:textId="77777777" w:rsidR="00AE0598" w:rsidRDefault="0069255A">
      <w:pPr>
        <w:pStyle w:val="Corpodetexto"/>
        <w:spacing w:before="176" w:line="232" w:lineRule="auto"/>
        <w:ind w:left="223" w:right="240" w:firstLine="320"/>
        <w:jc w:val="both"/>
      </w:pPr>
      <w:r>
        <w:rPr>
          <w:color w:val="231F20"/>
        </w:rPr>
        <w:t>The technical challenges in these locations present riders with opportunities for affective experiences and self-expression. Affective terrain</w:t>
      </w:r>
      <w:r>
        <w:rPr>
          <w:color w:val="231F20"/>
          <w:spacing w:val="-9"/>
        </w:rPr>
        <w:t xml:space="preserve"> </w:t>
      </w:r>
      <w:r>
        <w:rPr>
          <w:color w:val="231F20"/>
        </w:rPr>
        <w:t>is</w:t>
      </w:r>
      <w:r>
        <w:rPr>
          <w:color w:val="231F20"/>
          <w:spacing w:val="-9"/>
        </w:rPr>
        <w:t xml:space="preserve"> </w:t>
      </w:r>
      <w:r>
        <w:rPr>
          <w:color w:val="231F20"/>
        </w:rPr>
        <w:t>considered</w:t>
      </w:r>
      <w:r>
        <w:rPr>
          <w:color w:val="231F20"/>
          <w:spacing w:val="-9"/>
        </w:rPr>
        <w:t xml:space="preserve"> </w:t>
      </w:r>
      <w:r>
        <w:rPr>
          <w:color w:val="231F20"/>
        </w:rPr>
        <w:t>to</w:t>
      </w:r>
      <w:r>
        <w:rPr>
          <w:color w:val="231F20"/>
          <w:spacing w:val="-9"/>
        </w:rPr>
        <w:t xml:space="preserve"> </w:t>
      </w:r>
      <w:r>
        <w:rPr>
          <w:color w:val="231F20"/>
        </w:rPr>
        <w:t>include</w:t>
      </w:r>
      <w:r>
        <w:rPr>
          <w:color w:val="231F20"/>
          <w:spacing w:val="-9"/>
        </w:rPr>
        <w:t xml:space="preserve"> </w:t>
      </w:r>
      <w:r>
        <w:rPr>
          <w:color w:val="231F20"/>
        </w:rPr>
        <w:t>obstacles</w:t>
      </w:r>
      <w:r>
        <w:rPr>
          <w:color w:val="231F20"/>
          <w:spacing w:val="-9"/>
        </w:rPr>
        <w:t xml:space="preserve"> </w:t>
      </w:r>
      <w:r>
        <w:rPr>
          <w:color w:val="231F20"/>
        </w:rPr>
        <w:t>such</w:t>
      </w:r>
      <w:r>
        <w:rPr>
          <w:color w:val="231F20"/>
          <w:spacing w:val="-9"/>
        </w:rPr>
        <w:t xml:space="preserve"> </w:t>
      </w:r>
      <w:r>
        <w:rPr>
          <w:color w:val="231F20"/>
        </w:rPr>
        <w:t>as</w:t>
      </w:r>
      <w:r>
        <w:rPr>
          <w:color w:val="231F20"/>
          <w:spacing w:val="-9"/>
        </w:rPr>
        <w:t xml:space="preserve"> </w:t>
      </w:r>
      <w:r>
        <w:rPr>
          <w:color w:val="231F20"/>
        </w:rPr>
        <w:t>jumps,</w:t>
      </w:r>
      <w:r>
        <w:rPr>
          <w:color w:val="231F20"/>
          <w:spacing w:val="-9"/>
        </w:rPr>
        <w:t xml:space="preserve"> </w:t>
      </w:r>
      <w:r>
        <w:rPr>
          <w:color w:val="231F20"/>
        </w:rPr>
        <w:t>drops,</w:t>
      </w:r>
      <w:r>
        <w:rPr>
          <w:color w:val="231F20"/>
          <w:spacing w:val="-9"/>
        </w:rPr>
        <w:t xml:space="preserve"> </w:t>
      </w:r>
      <w:r>
        <w:rPr>
          <w:color w:val="231F20"/>
        </w:rPr>
        <w:t>berm</w:t>
      </w:r>
      <w:r>
        <w:rPr>
          <w:color w:val="231F20"/>
        </w:rPr>
        <w:t xml:space="preserve">s, </w:t>
      </w:r>
      <w:r>
        <w:rPr>
          <w:color w:val="231F20"/>
          <w:w w:val="95"/>
        </w:rPr>
        <w:t xml:space="preserve">chutes and fast sections that combine to create distinctive ride moments. </w:t>
      </w:r>
      <w:r>
        <w:rPr>
          <w:color w:val="231F20"/>
        </w:rPr>
        <w:t xml:space="preserve">As riders travel over these sections of track, there is the opportunity to experience weightlessness; gravity acting </w:t>
      </w:r>
      <w:r>
        <w:rPr>
          <w:i/>
          <w:color w:val="231F20"/>
        </w:rPr>
        <w:t xml:space="preserve">in </w:t>
      </w:r>
      <w:r>
        <w:rPr>
          <w:color w:val="231F20"/>
        </w:rPr>
        <w:t xml:space="preserve">and </w:t>
      </w:r>
      <w:r>
        <w:rPr>
          <w:i/>
          <w:color w:val="231F20"/>
        </w:rPr>
        <w:t xml:space="preserve">on </w:t>
      </w:r>
      <w:r>
        <w:rPr>
          <w:color w:val="231F20"/>
        </w:rPr>
        <w:t xml:space="preserve">their body, and </w:t>
      </w:r>
      <w:r>
        <w:rPr>
          <w:color w:val="231F20"/>
          <w:w w:val="95"/>
        </w:rPr>
        <w:t xml:space="preserve">physical craving for faster speeds. As riders’ travel along mountain bike tracks, they experience the interlinking interaction between the terrain, </w:t>
      </w:r>
      <w:r>
        <w:rPr>
          <w:color w:val="231F20"/>
        </w:rPr>
        <w:t>their bike and body. Each person’s level of riding ability determines the depth of his or her affective expe</w:t>
      </w:r>
      <w:r>
        <w:rPr>
          <w:color w:val="231F20"/>
        </w:rPr>
        <w:t>rience. The more skilled a rider, the more opportunities there are for a wider range of mountain bike experiences.</w:t>
      </w:r>
      <w:r>
        <w:rPr>
          <w:color w:val="231F20"/>
          <w:spacing w:val="-12"/>
        </w:rPr>
        <w:t xml:space="preserve"> </w:t>
      </w:r>
      <w:r>
        <w:rPr>
          <w:color w:val="231F20"/>
        </w:rPr>
        <w:t>The</w:t>
      </w:r>
      <w:r>
        <w:rPr>
          <w:color w:val="231F20"/>
          <w:spacing w:val="-12"/>
        </w:rPr>
        <w:t xml:space="preserve"> </w:t>
      </w:r>
      <w:r>
        <w:rPr>
          <w:color w:val="231F20"/>
        </w:rPr>
        <w:t>strongest</w:t>
      </w:r>
      <w:r>
        <w:rPr>
          <w:color w:val="231F20"/>
          <w:spacing w:val="-11"/>
        </w:rPr>
        <w:t xml:space="preserve"> </w:t>
      </w:r>
      <w:r>
        <w:rPr>
          <w:color w:val="231F20"/>
        </w:rPr>
        <w:t>ride</w:t>
      </w:r>
      <w:r>
        <w:rPr>
          <w:color w:val="231F20"/>
          <w:spacing w:val="-12"/>
        </w:rPr>
        <w:t xml:space="preserve"> </w:t>
      </w:r>
      <w:r>
        <w:rPr>
          <w:color w:val="231F20"/>
        </w:rPr>
        <w:t>affects</w:t>
      </w:r>
      <w:r>
        <w:rPr>
          <w:color w:val="231F20"/>
          <w:spacing w:val="-11"/>
        </w:rPr>
        <w:t xml:space="preserve"> </w:t>
      </w:r>
      <w:r>
        <w:rPr>
          <w:color w:val="231F20"/>
        </w:rPr>
        <w:t>are</w:t>
      </w:r>
      <w:r>
        <w:rPr>
          <w:color w:val="231F20"/>
          <w:spacing w:val="-12"/>
        </w:rPr>
        <w:t xml:space="preserve"> </w:t>
      </w:r>
      <w:r>
        <w:rPr>
          <w:color w:val="231F20"/>
        </w:rPr>
        <w:t>evoked</w:t>
      </w:r>
      <w:r>
        <w:rPr>
          <w:color w:val="231F20"/>
          <w:spacing w:val="-11"/>
        </w:rPr>
        <w:t xml:space="preserve"> </w:t>
      </w:r>
      <w:r>
        <w:rPr>
          <w:color w:val="231F20"/>
        </w:rPr>
        <w:t>by</w:t>
      </w:r>
      <w:r>
        <w:rPr>
          <w:color w:val="231F20"/>
          <w:spacing w:val="-12"/>
        </w:rPr>
        <w:t xml:space="preserve"> </w:t>
      </w:r>
      <w:r>
        <w:rPr>
          <w:color w:val="231F20"/>
        </w:rPr>
        <w:t>the</w:t>
      </w:r>
      <w:r>
        <w:rPr>
          <w:color w:val="231F20"/>
          <w:spacing w:val="-12"/>
        </w:rPr>
        <w:t xml:space="preserve"> </w:t>
      </w:r>
      <w:r>
        <w:rPr>
          <w:color w:val="231F20"/>
        </w:rPr>
        <w:t>accumulation of affective moments on various technical and challenging obstacles. Riders use the</w:t>
      </w:r>
      <w:r>
        <w:rPr>
          <w:color w:val="231F20"/>
        </w:rPr>
        <w:t xml:space="preserve"> term ‘flow’ to refer to the way they ride down the trail smoothly, maintaining their speed without interruption. As riders </w:t>
      </w:r>
      <w:r>
        <w:rPr>
          <w:color w:val="231F20"/>
          <w:w w:val="95"/>
        </w:rPr>
        <w:t>become</w:t>
      </w:r>
      <w:r>
        <w:rPr>
          <w:color w:val="231F20"/>
          <w:spacing w:val="-10"/>
          <w:w w:val="95"/>
        </w:rPr>
        <w:t xml:space="preserve"> </w:t>
      </w:r>
      <w:r>
        <w:rPr>
          <w:color w:val="231F20"/>
          <w:w w:val="95"/>
        </w:rPr>
        <w:t>more</w:t>
      </w:r>
      <w:r>
        <w:rPr>
          <w:color w:val="231F20"/>
          <w:spacing w:val="-9"/>
          <w:w w:val="95"/>
        </w:rPr>
        <w:t xml:space="preserve"> </w:t>
      </w:r>
      <w:r>
        <w:rPr>
          <w:color w:val="231F20"/>
          <w:w w:val="95"/>
        </w:rPr>
        <w:t>technically</w:t>
      </w:r>
      <w:r>
        <w:rPr>
          <w:color w:val="231F20"/>
          <w:spacing w:val="-9"/>
          <w:w w:val="95"/>
        </w:rPr>
        <w:t xml:space="preserve"> </w:t>
      </w:r>
      <w:r>
        <w:rPr>
          <w:color w:val="231F20"/>
          <w:w w:val="95"/>
        </w:rPr>
        <w:t>advanced,</w:t>
      </w:r>
      <w:r>
        <w:rPr>
          <w:color w:val="231F20"/>
          <w:spacing w:val="-9"/>
          <w:w w:val="95"/>
        </w:rPr>
        <w:t xml:space="preserve"> </w:t>
      </w:r>
      <w:r>
        <w:rPr>
          <w:color w:val="231F20"/>
          <w:w w:val="95"/>
        </w:rPr>
        <w:t>they</w:t>
      </w:r>
      <w:r>
        <w:rPr>
          <w:color w:val="231F20"/>
          <w:spacing w:val="-10"/>
          <w:w w:val="95"/>
        </w:rPr>
        <w:t xml:space="preserve"> </w:t>
      </w:r>
      <w:r>
        <w:rPr>
          <w:color w:val="231F20"/>
          <w:w w:val="95"/>
        </w:rPr>
        <w:t>achieve</w:t>
      </w:r>
      <w:r>
        <w:rPr>
          <w:color w:val="231F20"/>
          <w:spacing w:val="-9"/>
          <w:w w:val="95"/>
        </w:rPr>
        <w:t xml:space="preserve"> </w:t>
      </w:r>
      <w:r>
        <w:rPr>
          <w:color w:val="231F20"/>
          <w:w w:val="95"/>
        </w:rPr>
        <w:t>more</w:t>
      </w:r>
      <w:r>
        <w:rPr>
          <w:color w:val="231F20"/>
          <w:spacing w:val="-9"/>
          <w:w w:val="95"/>
        </w:rPr>
        <w:t xml:space="preserve"> </w:t>
      </w:r>
      <w:r>
        <w:rPr>
          <w:color w:val="231F20"/>
          <w:w w:val="95"/>
        </w:rPr>
        <w:t>consistent</w:t>
      </w:r>
      <w:r>
        <w:rPr>
          <w:color w:val="231F20"/>
          <w:spacing w:val="-9"/>
          <w:w w:val="95"/>
        </w:rPr>
        <w:t xml:space="preserve"> </w:t>
      </w:r>
      <w:r>
        <w:rPr>
          <w:color w:val="231F20"/>
          <w:w w:val="95"/>
        </w:rPr>
        <w:t>levels</w:t>
      </w:r>
      <w:r>
        <w:rPr>
          <w:color w:val="231F20"/>
          <w:spacing w:val="-10"/>
          <w:w w:val="95"/>
        </w:rPr>
        <w:t xml:space="preserve"> </w:t>
      </w:r>
      <w:r>
        <w:rPr>
          <w:color w:val="231F20"/>
          <w:w w:val="95"/>
        </w:rPr>
        <w:t>of flow. Riders with high levels of</w:t>
      </w:r>
      <w:r>
        <w:rPr>
          <w:color w:val="231F20"/>
        </w:rPr>
        <w:t xml:space="preserve"> </w:t>
      </w:r>
      <w:r>
        <w:rPr>
          <w:color w:val="231F20"/>
          <w:w w:val="95"/>
        </w:rPr>
        <w:t>ability are able to mainta</w:t>
      </w:r>
      <w:r>
        <w:rPr>
          <w:color w:val="231F20"/>
          <w:w w:val="95"/>
        </w:rPr>
        <w:t>in flow on trails that are rough, bumpy and highly technical. An intimate understanding</w:t>
      </w:r>
      <w:r>
        <w:rPr>
          <w:color w:val="231F20"/>
          <w:spacing w:val="80"/>
        </w:rPr>
        <w:t xml:space="preserve"> </w:t>
      </w:r>
      <w:r>
        <w:rPr>
          <w:color w:val="231F20"/>
        </w:rPr>
        <w:t>of</w:t>
      </w:r>
      <w:r>
        <w:rPr>
          <w:color w:val="231F20"/>
          <w:spacing w:val="31"/>
        </w:rPr>
        <w:t xml:space="preserve"> </w:t>
      </w:r>
      <w:r>
        <w:rPr>
          <w:color w:val="231F20"/>
        </w:rPr>
        <w:t>mountain bike riding practice in relation to affective experiences</w:t>
      </w:r>
      <w:r>
        <w:rPr>
          <w:color w:val="231F20"/>
          <w:spacing w:val="80"/>
        </w:rPr>
        <w:t xml:space="preserve"> </w:t>
      </w:r>
      <w:r>
        <w:rPr>
          <w:color w:val="231F20"/>
        </w:rPr>
        <w:t xml:space="preserve">is critical to the competitiveness of tourism destinations that target </w:t>
      </w:r>
      <w:r>
        <w:rPr>
          <w:color w:val="231F20"/>
          <w:w w:val="95"/>
        </w:rPr>
        <w:t>dedicated mountain bikers a</w:t>
      </w:r>
      <w:r>
        <w:rPr>
          <w:color w:val="231F20"/>
          <w:w w:val="95"/>
        </w:rPr>
        <w:t>nd those who engage in mountain biking as</w:t>
      </w:r>
      <w:r>
        <w:rPr>
          <w:color w:val="231F20"/>
          <w:spacing w:val="40"/>
        </w:rPr>
        <w:t xml:space="preserve"> </w:t>
      </w:r>
      <w:r>
        <w:rPr>
          <w:color w:val="231F20"/>
        </w:rPr>
        <w:t>a form of serious leisure.</w:t>
      </w:r>
    </w:p>
    <w:p w14:paraId="0C88E272" w14:textId="77777777" w:rsidR="00AE0598" w:rsidRDefault="00AE0598">
      <w:pPr>
        <w:pStyle w:val="Corpodetexto"/>
        <w:spacing w:before="2"/>
        <w:rPr>
          <w:sz w:val="23"/>
        </w:rPr>
      </w:pPr>
    </w:p>
    <w:p w14:paraId="7A63F76B" w14:textId="77777777" w:rsidR="00AE0598" w:rsidRDefault="0069255A">
      <w:pPr>
        <w:spacing w:before="1"/>
        <w:ind w:left="223"/>
        <w:rPr>
          <w:rFonts w:ascii="Trebuchet MS"/>
          <w:sz w:val="20"/>
        </w:rPr>
      </w:pPr>
      <w:r>
        <w:rPr>
          <w:rFonts w:ascii="Trebuchet MS"/>
          <w:color w:val="231F20"/>
          <w:w w:val="105"/>
          <w:sz w:val="20"/>
        </w:rPr>
        <w:t>Key</w:t>
      </w:r>
      <w:r>
        <w:rPr>
          <w:rFonts w:ascii="Trebuchet MS"/>
          <w:color w:val="231F20"/>
          <w:spacing w:val="-11"/>
          <w:w w:val="105"/>
          <w:sz w:val="20"/>
        </w:rPr>
        <w:t xml:space="preserve"> </w:t>
      </w:r>
      <w:r>
        <w:rPr>
          <w:rFonts w:ascii="Trebuchet MS"/>
          <w:color w:val="231F20"/>
          <w:spacing w:val="-2"/>
          <w:w w:val="105"/>
          <w:sz w:val="20"/>
        </w:rPr>
        <w:t>Reading</w:t>
      </w:r>
    </w:p>
    <w:p w14:paraId="6817B310" w14:textId="77777777" w:rsidR="00AE0598" w:rsidRDefault="0069255A">
      <w:pPr>
        <w:spacing w:before="122" w:line="232" w:lineRule="auto"/>
        <w:ind w:left="223" w:right="130"/>
        <w:rPr>
          <w:sz w:val="21"/>
        </w:rPr>
      </w:pPr>
      <w:r>
        <w:rPr>
          <w:color w:val="231F20"/>
          <w:w w:val="95"/>
          <w:sz w:val="21"/>
        </w:rPr>
        <w:t>Hagen, S. and Boyes, M. (2016) Affective ride experiences on mountain</w:t>
      </w:r>
      <w:r>
        <w:rPr>
          <w:color w:val="231F20"/>
          <w:spacing w:val="40"/>
          <w:sz w:val="21"/>
        </w:rPr>
        <w:t xml:space="preserve"> </w:t>
      </w:r>
      <w:r>
        <w:rPr>
          <w:color w:val="231F20"/>
          <w:sz w:val="21"/>
        </w:rPr>
        <w:t xml:space="preserve">bike terrain. </w:t>
      </w:r>
      <w:r>
        <w:rPr>
          <w:i/>
          <w:color w:val="231F20"/>
          <w:sz w:val="21"/>
        </w:rPr>
        <w:t xml:space="preserve">Journal of Outdoor Recreation and Tourism </w:t>
      </w:r>
      <w:r>
        <w:rPr>
          <w:color w:val="231F20"/>
          <w:sz w:val="21"/>
        </w:rPr>
        <w:t>15, 89–98.</w:t>
      </w:r>
    </w:p>
    <w:p w14:paraId="703D5BEE" w14:textId="77777777" w:rsidR="00AE0598" w:rsidRDefault="00AE0598">
      <w:pPr>
        <w:pStyle w:val="Corpodetexto"/>
        <w:rPr>
          <w:sz w:val="24"/>
        </w:rPr>
      </w:pPr>
    </w:p>
    <w:p w14:paraId="7CFCA19C" w14:textId="77777777" w:rsidR="00AE0598" w:rsidRDefault="00AE0598">
      <w:pPr>
        <w:pStyle w:val="Corpodetexto"/>
        <w:spacing w:before="6"/>
        <w:rPr>
          <w:sz w:val="23"/>
        </w:rPr>
      </w:pPr>
    </w:p>
    <w:p w14:paraId="02D0CA19" w14:textId="77777777" w:rsidR="00AE0598" w:rsidRDefault="0069255A">
      <w:pPr>
        <w:pStyle w:val="Corpodetexto"/>
        <w:spacing w:before="1" w:line="232" w:lineRule="auto"/>
        <w:ind w:left="118" w:right="130" w:firstLine="320"/>
        <w:jc w:val="both"/>
      </w:pPr>
      <w:r>
        <w:rPr>
          <w:color w:val="231F20"/>
        </w:rPr>
        <w:t>A key point to emerge from research into active participation in sports</w:t>
      </w:r>
      <w:r>
        <w:rPr>
          <w:color w:val="231F20"/>
          <w:spacing w:val="-6"/>
        </w:rPr>
        <w:t xml:space="preserve"> </w:t>
      </w:r>
      <w:r>
        <w:rPr>
          <w:color w:val="231F20"/>
        </w:rPr>
        <w:t>is</w:t>
      </w:r>
      <w:r>
        <w:rPr>
          <w:color w:val="231F20"/>
          <w:spacing w:val="-6"/>
        </w:rPr>
        <w:t xml:space="preserve"> </w:t>
      </w:r>
      <w:r>
        <w:rPr>
          <w:color w:val="231F20"/>
        </w:rPr>
        <w:t>the</w:t>
      </w:r>
      <w:r>
        <w:rPr>
          <w:color w:val="231F20"/>
          <w:spacing w:val="-6"/>
        </w:rPr>
        <w:t xml:space="preserve"> </w:t>
      </w:r>
      <w:r>
        <w:rPr>
          <w:color w:val="231F20"/>
        </w:rPr>
        <w:t>importance</w:t>
      </w:r>
      <w:r>
        <w:rPr>
          <w:color w:val="231F20"/>
          <w:spacing w:val="-6"/>
        </w:rPr>
        <w:t xml:space="preserve"> </w:t>
      </w:r>
      <w:r>
        <w:rPr>
          <w:color w:val="231F20"/>
        </w:rPr>
        <w:t>of</w:t>
      </w:r>
      <w:r>
        <w:rPr>
          <w:color w:val="231F20"/>
          <w:spacing w:val="-6"/>
        </w:rPr>
        <w:t xml:space="preserve"> </w:t>
      </w:r>
      <w:r>
        <w:rPr>
          <w:color w:val="231F20"/>
        </w:rPr>
        <w:t>social</w:t>
      </w:r>
      <w:r>
        <w:rPr>
          <w:color w:val="231F20"/>
          <w:spacing w:val="-6"/>
        </w:rPr>
        <w:t xml:space="preserve"> </w:t>
      </w:r>
      <w:r>
        <w:rPr>
          <w:color w:val="231F20"/>
        </w:rPr>
        <w:t>identity</w:t>
      </w:r>
      <w:r>
        <w:rPr>
          <w:color w:val="231F20"/>
          <w:spacing w:val="-6"/>
        </w:rPr>
        <w:t xml:space="preserve"> </w:t>
      </w:r>
      <w:r>
        <w:rPr>
          <w:color w:val="231F20"/>
        </w:rPr>
        <w:t>and</w:t>
      </w:r>
      <w:r>
        <w:rPr>
          <w:color w:val="231F20"/>
          <w:spacing w:val="-6"/>
        </w:rPr>
        <w:t xml:space="preserve"> </w:t>
      </w:r>
      <w:r>
        <w:rPr>
          <w:color w:val="231F20"/>
        </w:rPr>
        <w:t>belonging.</w:t>
      </w:r>
      <w:r>
        <w:rPr>
          <w:color w:val="231F20"/>
          <w:spacing w:val="-6"/>
        </w:rPr>
        <w:t xml:space="preserve"> </w:t>
      </w:r>
      <w:r>
        <w:rPr>
          <w:color w:val="231F20"/>
        </w:rPr>
        <w:t>Whether</w:t>
      </w:r>
      <w:r>
        <w:rPr>
          <w:color w:val="231F20"/>
          <w:spacing w:val="-6"/>
        </w:rPr>
        <w:t xml:space="preserve"> </w:t>
      </w:r>
      <w:r>
        <w:rPr>
          <w:color w:val="231F20"/>
        </w:rPr>
        <w:t xml:space="preserve">active engagement in sport takes the form of serious leisure or recreational participation, the fact that sport and tourism </w:t>
      </w:r>
      <w:r>
        <w:rPr>
          <w:color w:val="231F20"/>
        </w:rPr>
        <w:t xml:space="preserve">offer a frame for identity </w:t>
      </w:r>
      <w:r>
        <w:rPr>
          <w:color w:val="231F20"/>
          <w:w w:val="95"/>
        </w:rPr>
        <w:t xml:space="preserve">making has grown in importance in recent years (Higham &amp; Hinch, 2010). </w:t>
      </w:r>
      <w:r>
        <w:rPr>
          <w:color w:val="231F20"/>
        </w:rPr>
        <w:t>Moularde</w:t>
      </w:r>
      <w:r>
        <w:rPr>
          <w:color w:val="231F20"/>
          <w:spacing w:val="-12"/>
        </w:rPr>
        <w:t xml:space="preserve"> </w:t>
      </w:r>
      <w:r>
        <w:rPr>
          <w:color w:val="231F20"/>
        </w:rPr>
        <w:t>and</w:t>
      </w:r>
      <w:r>
        <w:rPr>
          <w:color w:val="231F20"/>
          <w:spacing w:val="-12"/>
        </w:rPr>
        <w:t xml:space="preserve"> </w:t>
      </w:r>
      <w:r>
        <w:rPr>
          <w:color w:val="231F20"/>
        </w:rPr>
        <w:t>Weaver</w:t>
      </w:r>
      <w:r>
        <w:rPr>
          <w:color w:val="231F20"/>
          <w:spacing w:val="-11"/>
        </w:rPr>
        <w:t xml:space="preserve"> </w:t>
      </w:r>
      <w:r>
        <w:rPr>
          <w:color w:val="231F20"/>
        </w:rPr>
        <w:t>(2016:</w:t>
      </w:r>
      <w:r>
        <w:rPr>
          <w:color w:val="231F20"/>
          <w:spacing w:val="-12"/>
        </w:rPr>
        <w:t xml:space="preserve"> </w:t>
      </w:r>
      <w:r>
        <w:rPr>
          <w:color w:val="231F20"/>
        </w:rPr>
        <w:t>285)</w:t>
      </w:r>
      <w:r>
        <w:rPr>
          <w:color w:val="231F20"/>
          <w:spacing w:val="-11"/>
        </w:rPr>
        <w:t xml:space="preserve"> </w:t>
      </w:r>
      <w:r>
        <w:rPr>
          <w:color w:val="231F20"/>
        </w:rPr>
        <w:t>note</w:t>
      </w:r>
      <w:r>
        <w:rPr>
          <w:color w:val="231F20"/>
          <w:spacing w:val="-12"/>
        </w:rPr>
        <w:t xml:space="preserve"> </w:t>
      </w:r>
      <w:r>
        <w:rPr>
          <w:color w:val="231F20"/>
        </w:rPr>
        <w:t>that</w:t>
      </w:r>
      <w:r>
        <w:rPr>
          <w:color w:val="231F20"/>
          <w:spacing w:val="-11"/>
        </w:rPr>
        <w:t xml:space="preserve"> </w:t>
      </w:r>
      <w:r>
        <w:rPr>
          <w:color w:val="231F20"/>
        </w:rPr>
        <w:t>‘the</w:t>
      </w:r>
      <w:r>
        <w:rPr>
          <w:color w:val="231F20"/>
          <w:spacing w:val="-12"/>
        </w:rPr>
        <w:t xml:space="preserve"> </w:t>
      </w:r>
      <w:r>
        <w:rPr>
          <w:color w:val="231F20"/>
        </w:rPr>
        <w:t>consumption</w:t>
      </w:r>
      <w:r>
        <w:rPr>
          <w:color w:val="231F20"/>
          <w:spacing w:val="-12"/>
        </w:rPr>
        <w:t xml:space="preserve"> </w:t>
      </w:r>
      <w:r>
        <w:rPr>
          <w:color w:val="231F20"/>
        </w:rPr>
        <w:t>of</w:t>
      </w:r>
      <w:r>
        <w:rPr>
          <w:color w:val="231F20"/>
          <w:spacing w:val="-11"/>
        </w:rPr>
        <w:t xml:space="preserve"> </w:t>
      </w:r>
      <w:r>
        <w:rPr>
          <w:color w:val="231F20"/>
        </w:rPr>
        <w:t xml:space="preserve">tourism </w:t>
      </w:r>
      <w:r>
        <w:rPr>
          <w:color w:val="231F20"/>
          <w:w w:val="95"/>
        </w:rPr>
        <w:t>and sport can embody symbols, convey meanings and provide a frame for identity</w:t>
      </w:r>
      <w:r>
        <w:rPr>
          <w:color w:val="231F20"/>
          <w:spacing w:val="-2"/>
          <w:w w:val="95"/>
        </w:rPr>
        <w:t xml:space="preserve"> </w:t>
      </w:r>
      <w:r>
        <w:rPr>
          <w:color w:val="231F20"/>
          <w:w w:val="95"/>
        </w:rPr>
        <w:t>making’.</w:t>
      </w:r>
      <w:r>
        <w:rPr>
          <w:color w:val="231F20"/>
          <w:spacing w:val="-2"/>
          <w:w w:val="95"/>
        </w:rPr>
        <w:t xml:space="preserve"> </w:t>
      </w:r>
      <w:r>
        <w:rPr>
          <w:color w:val="231F20"/>
          <w:w w:val="95"/>
        </w:rPr>
        <w:t>Identity</w:t>
      </w:r>
      <w:r>
        <w:rPr>
          <w:color w:val="231F20"/>
          <w:spacing w:val="-2"/>
          <w:w w:val="95"/>
        </w:rPr>
        <w:t xml:space="preserve"> </w:t>
      </w:r>
      <w:r>
        <w:rPr>
          <w:color w:val="231F20"/>
          <w:w w:val="95"/>
        </w:rPr>
        <w:t>construction</w:t>
      </w:r>
      <w:r>
        <w:rPr>
          <w:color w:val="231F20"/>
          <w:spacing w:val="-2"/>
          <w:w w:val="95"/>
        </w:rPr>
        <w:t xml:space="preserve"> </w:t>
      </w:r>
      <w:r>
        <w:rPr>
          <w:color w:val="231F20"/>
          <w:w w:val="95"/>
        </w:rPr>
        <w:t>has</w:t>
      </w:r>
      <w:r>
        <w:rPr>
          <w:color w:val="231F20"/>
          <w:spacing w:val="-1"/>
          <w:w w:val="95"/>
        </w:rPr>
        <w:t xml:space="preserve"> </w:t>
      </w:r>
      <w:r>
        <w:rPr>
          <w:color w:val="231F20"/>
          <w:w w:val="95"/>
        </w:rPr>
        <w:t>provided</w:t>
      </w:r>
      <w:r>
        <w:rPr>
          <w:color w:val="231F20"/>
          <w:spacing w:val="-2"/>
          <w:w w:val="95"/>
        </w:rPr>
        <w:t xml:space="preserve"> </w:t>
      </w:r>
      <w:r>
        <w:rPr>
          <w:color w:val="231F20"/>
          <w:w w:val="95"/>
        </w:rPr>
        <w:t>important</w:t>
      </w:r>
      <w:r>
        <w:rPr>
          <w:color w:val="231F20"/>
          <w:spacing w:val="-1"/>
          <w:w w:val="95"/>
        </w:rPr>
        <w:t xml:space="preserve"> </w:t>
      </w:r>
      <w:r>
        <w:rPr>
          <w:color w:val="231F20"/>
          <w:w w:val="95"/>
        </w:rPr>
        <w:t>insights</w:t>
      </w:r>
      <w:r>
        <w:rPr>
          <w:color w:val="231F20"/>
          <w:spacing w:val="-1"/>
          <w:w w:val="95"/>
        </w:rPr>
        <w:t xml:space="preserve"> </w:t>
      </w:r>
      <w:r>
        <w:rPr>
          <w:color w:val="231F20"/>
          <w:w w:val="95"/>
        </w:rPr>
        <w:t xml:space="preserve">into participation in lifestyle sports such as surfing, windsurfing and mountain biking (Hagen &amp; Boyes, 2016; Wheaton, 2004). Humphreys (2011) deploys </w:t>
      </w:r>
      <w:r>
        <w:rPr>
          <w:color w:val="231F20"/>
        </w:rPr>
        <w:t>Bourdieu’s</w:t>
      </w:r>
      <w:r>
        <w:rPr>
          <w:color w:val="231F20"/>
          <w:spacing w:val="-8"/>
        </w:rPr>
        <w:t xml:space="preserve"> </w:t>
      </w:r>
      <w:r>
        <w:rPr>
          <w:color w:val="231F20"/>
        </w:rPr>
        <w:t>concepts</w:t>
      </w:r>
      <w:r>
        <w:rPr>
          <w:color w:val="231F20"/>
          <w:spacing w:val="-8"/>
        </w:rPr>
        <w:t xml:space="preserve"> </w:t>
      </w:r>
      <w:r>
        <w:rPr>
          <w:color w:val="231F20"/>
        </w:rPr>
        <w:t>of</w:t>
      </w:r>
      <w:r>
        <w:rPr>
          <w:color w:val="231F20"/>
          <w:spacing w:val="-8"/>
        </w:rPr>
        <w:t xml:space="preserve"> </w:t>
      </w:r>
      <w:r>
        <w:rPr>
          <w:color w:val="231F20"/>
        </w:rPr>
        <w:t>social</w:t>
      </w:r>
      <w:r>
        <w:rPr>
          <w:color w:val="231F20"/>
          <w:spacing w:val="-8"/>
        </w:rPr>
        <w:t xml:space="preserve"> </w:t>
      </w:r>
      <w:r>
        <w:rPr>
          <w:color w:val="231F20"/>
        </w:rPr>
        <w:t>and</w:t>
      </w:r>
      <w:r>
        <w:rPr>
          <w:color w:val="231F20"/>
          <w:spacing w:val="-8"/>
        </w:rPr>
        <w:t xml:space="preserve"> </w:t>
      </w:r>
      <w:r>
        <w:rPr>
          <w:color w:val="231F20"/>
        </w:rPr>
        <w:t>cultural</w:t>
      </w:r>
      <w:r>
        <w:rPr>
          <w:color w:val="231F20"/>
          <w:spacing w:val="-8"/>
        </w:rPr>
        <w:t xml:space="preserve"> </w:t>
      </w:r>
      <w:r>
        <w:rPr>
          <w:color w:val="231F20"/>
        </w:rPr>
        <w:t>capital</w:t>
      </w:r>
      <w:r>
        <w:rPr>
          <w:color w:val="231F20"/>
          <w:spacing w:val="-8"/>
        </w:rPr>
        <w:t xml:space="preserve"> </w:t>
      </w:r>
      <w:r>
        <w:rPr>
          <w:color w:val="231F20"/>
        </w:rPr>
        <w:t>to</w:t>
      </w:r>
      <w:r>
        <w:rPr>
          <w:color w:val="231F20"/>
          <w:spacing w:val="-8"/>
        </w:rPr>
        <w:t xml:space="preserve"> </w:t>
      </w:r>
      <w:r>
        <w:rPr>
          <w:color w:val="231F20"/>
        </w:rPr>
        <w:t>examine</w:t>
      </w:r>
      <w:r>
        <w:rPr>
          <w:color w:val="231F20"/>
          <w:spacing w:val="-8"/>
        </w:rPr>
        <w:t xml:space="preserve"> </w:t>
      </w:r>
      <w:r>
        <w:rPr>
          <w:color w:val="231F20"/>
        </w:rPr>
        <w:t>how</w:t>
      </w:r>
      <w:r>
        <w:rPr>
          <w:color w:val="231F20"/>
          <w:spacing w:val="-8"/>
        </w:rPr>
        <w:t xml:space="preserve"> </w:t>
      </w:r>
      <w:r>
        <w:rPr>
          <w:color w:val="231F20"/>
        </w:rPr>
        <w:t xml:space="preserve">golfers understand the reputation of certain golf courses, bestowing them with </w:t>
      </w:r>
      <w:r>
        <w:rPr>
          <w:color w:val="231F20"/>
          <w:w w:val="95"/>
        </w:rPr>
        <w:t>elevated standing which, in turn, reflects upon their own status if they visit</w:t>
      </w:r>
    </w:p>
    <w:p w14:paraId="1EE5CE44" w14:textId="77777777" w:rsidR="00AE0598" w:rsidRDefault="00AE0598">
      <w:pPr>
        <w:spacing w:line="232" w:lineRule="auto"/>
        <w:jc w:val="both"/>
        <w:sectPr w:rsidR="00AE0598">
          <w:pgSz w:w="8850" w:h="13270"/>
          <w:pgMar w:top="720" w:right="1060" w:bottom="280" w:left="1080" w:header="720" w:footer="720" w:gutter="0"/>
          <w:cols w:space="720"/>
        </w:sectPr>
      </w:pPr>
    </w:p>
    <w:p w14:paraId="7126CE7C" w14:textId="77777777" w:rsidR="00AE0598" w:rsidRDefault="0069255A">
      <w:pPr>
        <w:spacing w:before="87"/>
        <w:ind w:left="4078"/>
        <w:rPr>
          <w:rFonts w:ascii="Trebuchet MS"/>
          <w:sz w:val="14"/>
        </w:rPr>
      </w:pPr>
      <w:r>
        <w:rPr>
          <w:rFonts w:ascii="Trebuchet MS"/>
          <w:color w:val="231F20"/>
          <w:w w:val="105"/>
          <w:sz w:val="14"/>
        </w:rPr>
        <w:lastRenderedPageBreak/>
        <w:t>Sport</w:t>
      </w:r>
      <w:r>
        <w:rPr>
          <w:rFonts w:ascii="Trebuchet MS"/>
          <w:color w:val="231F20"/>
          <w:spacing w:val="-11"/>
          <w:w w:val="105"/>
          <w:sz w:val="14"/>
        </w:rPr>
        <w:t xml:space="preserve"> </w:t>
      </w:r>
      <w:r>
        <w:rPr>
          <w:rFonts w:ascii="Trebuchet MS"/>
          <w:color w:val="231F20"/>
          <w:w w:val="105"/>
          <w:sz w:val="14"/>
        </w:rPr>
        <w:t>and</w:t>
      </w:r>
      <w:r>
        <w:rPr>
          <w:rFonts w:ascii="Trebuchet MS"/>
          <w:color w:val="231F20"/>
          <w:spacing w:val="-11"/>
          <w:w w:val="105"/>
          <w:sz w:val="14"/>
        </w:rPr>
        <w:t xml:space="preserve"> </w:t>
      </w:r>
      <w:r>
        <w:rPr>
          <w:rFonts w:ascii="Trebuchet MS"/>
          <w:color w:val="231F20"/>
          <w:w w:val="105"/>
          <w:sz w:val="14"/>
        </w:rPr>
        <w:t>the</w:t>
      </w:r>
      <w:r>
        <w:rPr>
          <w:rFonts w:ascii="Trebuchet MS"/>
          <w:color w:val="231F20"/>
          <w:spacing w:val="-11"/>
          <w:w w:val="105"/>
          <w:sz w:val="14"/>
        </w:rPr>
        <w:t xml:space="preserve"> </w:t>
      </w:r>
      <w:r>
        <w:rPr>
          <w:rFonts w:ascii="Trebuchet MS"/>
          <w:color w:val="231F20"/>
          <w:w w:val="105"/>
          <w:sz w:val="14"/>
        </w:rPr>
        <w:t>Tourist</w:t>
      </w:r>
      <w:r>
        <w:rPr>
          <w:rFonts w:ascii="Trebuchet MS"/>
          <w:color w:val="231F20"/>
          <w:spacing w:val="-11"/>
          <w:w w:val="105"/>
          <w:sz w:val="14"/>
        </w:rPr>
        <w:t xml:space="preserve"> </w:t>
      </w:r>
      <w:r>
        <w:rPr>
          <w:rFonts w:ascii="Trebuchet MS"/>
          <w:color w:val="231F20"/>
          <w:w w:val="105"/>
          <w:sz w:val="14"/>
        </w:rPr>
        <w:t>Experience</w:t>
      </w:r>
      <w:r>
        <w:rPr>
          <w:rFonts w:ascii="Trebuchet MS"/>
          <w:color w:val="231F20"/>
          <w:spacing w:val="78"/>
          <w:w w:val="105"/>
          <w:sz w:val="14"/>
        </w:rPr>
        <w:t xml:space="preserve"> </w:t>
      </w:r>
      <w:r>
        <w:rPr>
          <w:rFonts w:ascii="Trebuchet MS"/>
          <w:color w:val="231F20"/>
          <w:spacing w:val="-5"/>
          <w:w w:val="105"/>
          <w:sz w:val="14"/>
        </w:rPr>
        <w:t>173</w:t>
      </w:r>
    </w:p>
    <w:p w14:paraId="78CC5C56" w14:textId="77777777" w:rsidR="00AE0598" w:rsidRDefault="00AE0598">
      <w:pPr>
        <w:pStyle w:val="Corpodetexto"/>
        <w:rPr>
          <w:rFonts w:ascii="Trebuchet MS"/>
          <w:sz w:val="16"/>
        </w:rPr>
      </w:pPr>
    </w:p>
    <w:p w14:paraId="52FF41A8" w14:textId="77777777" w:rsidR="00AE0598" w:rsidRDefault="0069255A">
      <w:pPr>
        <w:pStyle w:val="Corpodetexto"/>
        <w:spacing w:before="118" w:line="232" w:lineRule="auto"/>
        <w:ind w:left="110" w:right="124"/>
        <w:jc w:val="both"/>
      </w:pPr>
      <w:r>
        <w:rPr>
          <w:color w:val="231F20"/>
        </w:rPr>
        <w:t xml:space="preserve">and play on those courses. In </w:t>
      </w:r>
      <w:r>
        <w:rPr>
          <w:color w:val="231F20"/>
        </w:rPr>
        <w:t>other sports, consumer identification with a</w:t>
      </w:r>
      <w:r>
        <w:rPr>
          <w:color w:val="231F20"/>
          <w:spacing w:val="-10"/>
        </w:rPr>
        <w:t xml:space="preserve"> </w:t>
      </w:r>
      <w:r>
        <w:rPr>
          <w:color w:val="231F20"/>
        </w:rPr>
        <w:t>sport</w:t>
      </w:r>
      <w:r>
        <w:rPr>
          <w:color w:val="231F20"/>
          <w:spacing w:val="-10"/>
        </w:rPr>
        <w:t xml:space="preserve"> </w:t>
      </w:r>
      <w:r>
        <w:rPr>
          <w:color w:val="231F20"/>
        </w:rPr>
        <w:t>subculture</w:t>
      </w:r>
      <w:r>
        <w:rPr>
          <w:color w:val="231F20"/>
          <w:spacing w:val="-10"/>
        </w:rPr>
        <w:t xml:space="preserve"> </w:t>
      </w:r>
      <w:r>
        <w:rPr>
          <w:color w:val="231F20"/>
        </w:rPr>
        <w:t>may</w:t>
      </w:r>
      <w:r>
        <w:rPr>
          <w:color w:val="231F20"/>
          <w:spacing w:val="-10"/>
        </w:rPr>
        <w:t xml:space="preserve"> </w:t>
      </w:r>
      <w:r>
        <w:rPr>
          <w:color w:val="231F20"/>
        </w:rPr>
        <w:t>be</w:t>
      </w:r>
      <w:r>
        <w:rPr>
          <w:color w:val="231F20"/>
          <w:spacing w:val="-10"/>
        </w:rPr>
        <w:t xml:space="preserve"> </w:t>
      </w:r>
      <w:r>
        <w:rPr>
          <w:color w:val="231F20"/>
        </w:rPr>
        <w:t>a</w:t>
      </w:r>
      <w:r>
        <w:rPr>
          <w:color w:val="231F20"/>
          <w:spacing w:val="-10"/>
        </w:rPr>
        <w:t xml:space="preserve"> </w:t>
      </w:r>
      <w:r>
        <w:rPr>
          <w:color w:val="231F20"/>
        </w:rPr>
        <w:t>critical</w:t>
      </w:r>
      <w:r>
        <w:rPr>
          <w:color w:val="231F20"/>
          <w:spacing w:val="-10"/>
        </w:rPr>
        <w:t xml:space="preserve"> </w:t>
      </w:r>
      <w:r>
        <w:rPr>
          <w:color w:val="231F20"/>
        </w:rPr>
        <w:t>element</w:t>
      </w:r>
      <w:r>
        <w:rPr>
          <w:color w:val="231F20"/>
          <w:spacing w:val="-10"/>
        </w:rPr>
        <w:t xml:space="preserve"> </w:t>
      </w:r>
      <w:r>
        <w:rPr>
          <w:color w:val="231F20"/>
        </w:rPr>
        <w:t>of</w:t>
      </w:r>
      <w:r>
        <w:rPr>
          <w:color w:val="231F20"/>
          <w:spacing w:val="-10"/>
        </w:rPr>
        <w:t xml:space="preserve"> </w:t>
      </w:r>
      <w:r>
        <w:rPr>
          <w:color w:val="231F20"/>
        </w:rPr>
        <w:t>the</w:t>
      </w:r>
      <w:r>
        <w:rPr>
          <w:color w:val="231F20"/>
          <w:spacing w:val="-10"/>
        </w:rPr>
        <w:t xml:space="preserve"> </w:t>
      </w:r>
      <w:r>
        <w:rPr>
          <w:color w:val="231F20"/>
        </w:rPr>
        <w:t>visitor</w:t>
      </w:r>
      <w:r>
        <w:rPr>
          <w:color w:val="231F20"/>
          <w:spacing w:val="-10"/>
        </w:rPr>
        <w:t xml:space="preserve"> </w:t>
      </w:r>
      <w:r>
        <w:rPr>
          <w:color w:val="231F20"/>
        </w:rPr>
        <w:t>experience</w:t>
      </w:r>
      <w:r>
        <w:rPr>
          <w:color w:val="231F20"/>
          <w:spacing w:val="-10"/>
        </w:rPr>
        <w:t xml:space="preserve"> </w:t>
      </w:r>
      <w:r>
        <w:rPr>
          <w:color w:val="231F20"/>
        </w:rPr>
        <w:t xml:space="preserve">(see </w:t>
      </w:r>
      <w:r>
        <w:rPr>
          <w:color w:val="231F20"/>
          <w:w w:val="95"/>
        </w:rPr>
        <w:t>Chapter 6). Green (2001: 5) notes that ‘interactions with others are at the core of the socialisation process and provide avenues through which values and</w:t>
      </w:r>
      <w:r>
        <w:rPr>
          <w:color w:val="231F20"/>
          <w:spacing w:val="-1"/>
          <w:w w:val="95"/>
        </w:rPr>
        <w:t xml:space="preserve"> </w:t>
      </w:r>
      <w:r>
        <w:rPr>
          <w:color w:val="231F20"/>
          <w:w w:val="95"/>
        </w:rPr>
        <w:t>beliefs</w:t>
      </w:r>
      <w:r>
        <w:rPr>
          <w:color w:val="231F20"/>
          <w:spacing w:val="-1"/>
          <w:w w:val="95"/>
        </w:rPr>
        <w:t xml:space="preserve"> </w:t>
      </w:r>
      <w:r>
        <w:rPr>
          <w:color w:val="231F20"/>
          <w:w w:val="95"/>
        </w:rPr>
        <w:t>come</w:t>
      </w:r>
      <w:r>
        <w:rPr>
          <w:color w:val="231F20"/>
          <w:spacing w:val="-1"/>
          <w:w w:val="95"/>
        </w:rPr>
        <w:t xml:space="preserve"> </w:t>
      </w:r>
      <w:r>
        <w:rPr>
          <w:color w:val="231F20"/>
          <w:w w:val="95"/>
        </w:rPr>
        <w:t>to</w:t>
      </w:r>
      <w:r>
        <w:rPr>
          <w:color w:val="231F20"/>
          <w:spacing w:val="-1"/>
          <w:w w:val="95"/>
        </w:rPr>
        <w:t xml:space="preserve"> </w:t>
      </w:r>
      <w:r>
        <w:rPr>
          <w:color w:val="231F20"/>
          <w:w w:val="95"/>
        </w:rPr>
        <w:t>be</w:t>
      </w:r>
      <w:r>
        <w:rPr>
          <w:color w:val="231F20"/>
          <w:spacing w:val="-1"/>
          <w:w w:val="95"/>
        </w:rPr>
        <w:t xml:space="preserve"> </w:t>
      </w:r>
      <w:r>
        <w:rPr>
          <w:color w:val="231F20"/>
          <w:w w:val="95"/>
        </w:rPr>
        <w:t>shared</w:t>
      </w:r>
      <w:r>
        <w:rPr>
          <w:color w:val="231F20"/>
          <w:spacing w:val="-1"/>
          <w:w w:val="95"/>
        </w:rPr>
        <w:t xml:space="preserve"> </w:t>
      </w:r>
      <w:r>
        <w:rPr>
          <w:color w:val="231F20"/>
          <w:w w:val="95"/>
        </w:rPr>
        <w:t>and</w:t>
      </w:r>
      <w:r>
        <w:rPr>
          <w:color w:val="231F20"/>
          <w:spacing w:val="-1"/>
          <w:w w:val="95"/>
        </w:rPr>
        <w:t xml:space="preserve"> </w:t>
      </w:r>
      <w:r>
        <w:rPr>
          <w:color w:val="231F20"/>
          <w:w w:val="95"/>
        </w:rPr>
        <w:t>expressed’.</w:t>
      </w:r>
      <w:r>
        <w:rPr>
          <w:color w:val="231F20"/>
          <w:spacing w:val="-1"/>
          <w:w w:val="95"/>
        </w:rPr>
        <w:t xml:space="preserve"> </w:t>
      </w:r>
      <w:r>
        <w:rPr>
          <w:color w:val="231F20"/>
          <w:w w:val="95"/>
        </w:rPr>
        <w:t>Sport</w:t>
      </w:r>
      <w:r>
        <w:rPr>
          <w:color w:val="231F20"/>
          <w:spacing w:val="-1"/>
          <w:w w:val="95"/>
        </w:rPr>
        <w:t xml:space="preserve"> </w:t>
      </w:r>
      <w:r>
        <w:rPr>
          <w:color w:val="231F20"/>
          <w:w w:val="95"/>
        </w:rPr>
        <w:t>tourism</w:t>
      </w:r>
      <w:r>
        <w:rPr>
          <w:color w:val="231F20"/>
          <w:spacing w:val="-1"/>
          <w:w w:val="95"/>
        </w:rPr>
        <w:t xml:space="preserve"> </w:t>
      </w:r>
      <w:r>
        <w:rPr>
          <w:color w:val="231F20"/>
          <w:w w:val="95"/>
        </w:rPr>
        <w:t>may,</w:t>
      </w:r>
      <w:r>
        <w:rPr>
          <w:color w:val="231F20"/>
          <w:spacing w:val="-1"/>
          <w:w w:val="95"/>
        </w:rPr>
        <w:t xml:space="preserve"> </w:t>
      </w:r>
      <w:r>
        <w:rPr>
          <w:color w:val="231F20"/>
          <w:w w:val="95"/>
        </w:rPr>
        <w:t xml:space="preserve">therefore, </w:t>
      </w:r>
      <w:r>
        <w:rPr>
          <w:color w:val="231F20"/>
        </w:rPr>
        <w:t>be</w:t>
      </w:r>
      <w:r>
        <w:rPr>
          <w:color w:val="231F20"/>
          <w:spacing w:val="-11"/>
        </w:rPr>
        <w:t xml:space="preserve"> </w:t>
      </w:r>
      <w:r>
        <w:rPr>
          <w:color w:val="231F20"/>
        </w:rPr>
        <w:t>motivated</w:t>
      </w:r>
      <w:r>
        <w:rPr>
          <w:color w:val="231F20"/>
          <w:spacing w:val="-11"/>
        </w:rPr>
        <w:t xml:space="preserve"> </w:t>
      </w:r>
      <w:r>
        <w:rPr>
          <w:color w:val="231F20"/>
        </w:rPr>
        <w:t>by</w:t>
      </w:r>
      <w:r>
        <w:rPr>
          <w:color w:val="231F20"/>
          <w:spacing w:val="-11"/>
        </w:rPr>
        <w:t xml:space="preserve"> </w:t>
      </w:r>
      <w:r>
        <w:rPr>
          <w:color w:val="231F20"/>
        </w:rPr>
        <w:t>a</w:t>
      </w:r>
      <w:r>
        <w:rPr>
          <w:color w:val="231F20"/>
          <w:spacing w:val="-11"/>
        </w:rPr>
        <w:t xml:space="preserve"> </w:t>
      </w:r>
      <w:r>
        <w:rPr>
          <w:color w:val="231F20"/>
        </w:rPr>
        <w:t>celebration</w:t>
      </w:r>
      <w:r>
        <w:rPr>
          <w:color w:val="231F20"/>
          <w:spacing w:val="-11"/>
        </w:rPr>
        <w:t xml:space="preserve"> </w:t>
      </w:r>
      <w:r>
        <w:rPr>
          <w:color w:val="231F20"/>
        </w:rPr>
        <w:t>of</w:t>
      </w:r>
      <w:r>
        <w:rPr>
          <w:color w:val="231F20"/>
          <w:spacing w:val="-11"/>
        </w:rPr>
        <w:t xml:space="preserve"> </w:t>
      </w:r>
      <w:r>
        <w:rPr>
          <w:color w:val="231F20"/>
        </w:rPr>
        <w:t>subculture</w:t>
      </w:r>
      <w:r>
        <w:rPr>
          <w:color w:val="231F20"/>
          <w:spacing w:val="-11"/>
        </w:rPr>
        <w:t xml:space="preserve"> </w:t>
      </w:r>
      <w:r>
        <w:rPr>
          <w:color w:val="231F20"/>
        </w:rPr>
        <w:t>through</w:t>
      </w:r>
      <w:r>
        <w:rPr>
          <w:color w:val="231F20"/>
          <w:spacing w:val="-11"/>
        </w:rPr>
        <w:t xml:space="preserve"> </w:t>
      </w:r>
      <w:r>
        <w:rPr>
          <w:color w:val="231F20"/>
        </w:rPr>
        <w:t>participation</w:t>
      </w:r>
      <w:r>
        <w:rPr>
          <w:color w:val="231F20"/>
          <w:spacing w:val="-11"/>
        </w:rPr>
        <w:t xml:space="preserve"> </w:t>
      </w:r>
      <w:r>
        <w:rPr>
          <w:color w:val="231F20"/>
        </w:rPr>
        <w:t>(Green &amp; Chalip, 1998).</w:t>
      </w:r>
    </w:p>
    <w:p w14:paraId="2586B1F5" w14:textId="77777777" w:rsidR="00AE0598" w:rsidRDefault="0069255A">
      <w:pPr>
        <w:pStyle w:val="Corpodetexto"/>
        <w:spacing w:before="8" w:line="232" w:lineRule="auto"/>
        <w:ind w:left="110" w:right="124" w:firstLine="320"/>
        <w:jc w:val="both"/>
      </w:pPr>
      <w:r>
        <w:rPr>
          <w:color w:val="231F20"/>
        </w:rPr>
        <w:t>Active participation in sports, therefore, represents a diversity of forms of engagement, which is reflected in an equally diverse range of desired tourist experiences. The sport of golf demonstr</w:t>
      </w:r>
      <w:r>
        <w:rPr>
          <w:color w:val="231F20"/>
        </w:rPr>
        <w:t>ates the varied range of tourist motivations held by sport participants (Hudson &amp; Hudson, 2010). The motivations underpinning travel to play golf, and as a consequence, the sport tourism experiences of golfers, differ between distinct sport tourist types (</w:t>
      </w:r>
      <w:r>
        <w:rPr>
          <w:color w:val="231F20"/>
        </w:rPr>
        <w:t>Table 8.2). These cannot be generalised directly to other sports due to the unique rules, competition structures and elements of play that characterise each sport (Chapter 2). However, an understanding of the motivations that sport tourists hold towards sp</w:t>
      </w:r>
      <w:r>
        <w:rPr>
          <w:color w:val="231F20"/>
        </w:rPr>
        <w:t>orts such as golf is critical to fostering desired visitor experiences (Humphreys, 2011). Humphreys and Weed (2014) present the findings of a study that examines aspects of negotiation and compromise, as influenced by lifestage, on decisions to engage in g</w:t>
      </w:r>
      <w:r>
        <w:rPr>
          <w:color w:val="231F20"/>
        </w:rPr>
        <w:t>olf tourism and to</w:t>
      </w:r>
      <w:r>
        <w:rPr>
          <w:color w:val="231F20"/>
          <w:spacing w:val="40"/>
        </w:rPr>
        <w:t xml:space="preserve"> </w:t>
      </w:r>
      <w:r>
        <w:rPr>
          <w:color w:val="231F20"/>
        </w:rPr>
        <w:t>play</w:t>
      </w:r>
      <w:r>
        <w:rPr>
          <w:color w:val="231F20"/>
          <w:spacing w:val="40"/>
        </w:rPr>
        <w:t xml:space="preserve"> </w:t>
      </w:r>
      <w:r>
        <w:rPr>
          <w:color w:val="231F20"/>
        </w:rPr>
        <w:t>golf</w:t>
      </w:r>
      <w:r>
        <w:rPr>
          <w:color w:val="231F20"/>
          <w:spacing w:val="40"/>
        </w:rPr>
        <w:t xml:space="preserve"> </w:t>
      </w:r>
      <w:r>
        <w:rPr>
          <w:color w:val="231F20"/>
        </w:rPr>
        <w:t>during</w:t>
      </w:r>
      <w:r>
        <w:rPr>
          <w:color w:val="231F20"/>
          <w:spacing w:val="40"/>
        </w:rPr>
        <w:t xml:space="preserve"> </w:t>
      </w:r>
      <w:r>
        <w:rPr>
          <w:color w:val="231F20"/>
        </w:rPr>
        <w:t>family</w:t>
      </w:r>
      <w:r>
        <w:rPr>
          <w:color w:val="231F20"/>
          <w:spacing w:val="40"/>
        </w:rPr>
        <w:t xml:space="preserve"> </w:t>
      </w:r>
      <w:r>
        <w:rPr>
          <w:color w:val="231F20"/>
        </w:rPr>
        <w:t>trips</w:t>
      </w:r>
      <w:r>
        <w:rPr>
          <w:color w:val="231F20"/>
          <w:spacing w:val="40"/>
        </w:rPr>
        <w:t xml:space="preserve"> </w:t>
      </w:r>
      <w:r>
        <w:rPr>
          <w:color w:val="231F20"/>
        </w:rPr>
        <w:t>to</w:t>
      </w:r>
      <w:r>
        <w:rPr>
          <w:color w:val="231F20"/>
          <w:spacing w:val="40"/>
        </w:rPr>
        <w:t xml:space="preserve"> </w:t>
      </w:r>
      <w:r>
        <w:rPr>
          <w:color w:val="231F20"/>
        </w:rPr>
        <w:t>a</w:t>
      </w:r>
      <w:r>
        <w:rPr>
          <w:color w:val="231F20"/>
          <w:spacing w:val="40"/>
        </w:rPr>
        <w:t xml:space="preserve"> </w:t>
      </w:r>
      <w:r>
        <w:rPr>
          <w:color w:val="231F20"/>
        </w:rPr>
        <w:t>destination.</w:t>
      </w:r>
      <w:r>
        <w:rPr>
          <w:color w:val="231F20"/>
          <w:spacing w:val="40"/>
        </w:rPr>
        <w:t xml:space="preserve"> </w:t>
      </w:r>
      <w:r>
        <w:rPr>
          <w:color w:val="231F20"/>
        </w:rPr>
        <w:t>Drawing</w:t>
      </w:r>
      <w:r>
        <w:rPr>
          <w:color w:val="231F20"/>
          <w:spacing w:val="40"/>
        </w:rPr>
        <w:t xml:space="preserve"> </w:t>
      </w:r>
      <w:r>
        <w:rPr>
          <w:color w:val="231F20"/>
        </w:rPr>
        <w:t>on</w:t>
      </w:r>
      <w:r>
        <w:rPr>
          <w:color w:val="231F20"/>
          <w:spacing w:val="40"/>
        </w:rPr>
        <w:t xml:space="preserve"> </w:t>
      </w:r>
      <w:r>
        <w:rPr>
          <w:color w:val="231F20"/>
        </w:rPr>
        <w:t>two</w:t>
      </w:r>
      <w:r>
        <w:rPr>
          <w:color w:val="231F20"/>
          <w:spacing w:val="40"/>
        </w:rPr>
        <w:t xml:space="preserve"> </w:t>
      </w:r>
      <w:r>
        <w:rPr>
          <w:color w:val="231F20"/>
        </w:rPr>
        <w:t>tiers of the decision-making unit (DMU), Humphreys and Weed (2014) provide insights of importance to destination managers. Similar studies that examine the tourist motivations and decision-making processes associated with other sports are certainly well ju</w:t>
      </w:r>
      <w:r>
        <w:rPr>
          <w:color w:val="231F20"/>
        </w:rPr>
        <w:t>stified.</w:t>
      </w:r>
    </w:p>
    <w:p w14:paraId="3B65DB5F" w14:textId="77777777" w:rsidR="00AE0598" w:rsidRDefault="00AE0598">
      <w:pPr>
        <w:pStyle w:val="Corpodetexto"/>
        <w:spacing w:before="4"/>
        <w:rPr>
          <w:sz w:val="19"/>
        </w:rPr>
      </w:pPr>
    </w:p>
    <w:p w14:paraId="4D9D9D68" w14:textId="77777777" w:rsidR="00AE0598" w:rsidRDefault="0069255A">
      <w:pPr>
        <w:ind w:left="110"/>
        <w:jc w:val="both"/>
        <w:rPr>
          <w:rFonts w:ascii="Trebuchet MS"/>
          <w:sz w:val="16"/>
        </w:rPr>
      </w:pPr>
      <w:r>
        <w:rPr>
          <w:rFonts w:ascii="Trebuchet MS"/>
          <w:b/>
          <w:color w:val="231F20"/>
          <w:w w:val="105"/>
          <w:sz w:val="16"/>
        </w:rPr>
        <w:t>Table</w:t>
      </w:r>
      <w:r>
        <w:rPr>
          <w:rFonts w:ascii="Trebuchet MS"/>
          <w:b/>
          <w:color w:val="231F20"/>
          <w:spacing w:val="-7"/>
          <w:w w:val="105"/>
          <w:sz w:val="16"/>
        </w:rPr>
        <w:t xml:space="preserve"> </w:t>
      </w:r>
      <w:r>
        <w:rPr>
          <w:rFonts w:ascii="Trebuchet MS"/>
          <w:b/>
          <w:color w:val="231F20"/>
          <w:w w:val="105"/>
          <w:sz w:val="16"/>
        </w:rPr>
        <w:t>8.2</w:t>
      </w:r>
      <w:r>
        <w:rPr>
          <w:rFonts w:ascii="Trebuchet MS"/>
          <w:b/>
          <w:color w:val="231F20"/>
          <w:spacing w:val="29"/>
          <w:w w:val="105"/>
          <w:sz w:val="16"/>
        </w:rPr>
        <w:t xml:space="preserve"> </w:t>
      </w:r>
      <w:r>
        <w:rPr>
          <w:rFonts w:ascii="Trebuchet MS"/>
          <w:color w:val="231F20"/>
          <w:w w:val="105"/>
          <w:sz w:val="16"/>
        </w:rPr>
        <w:t>Sport</w:t>
      </w:r>
      <w:r>
        <w:rPr>
          <w:rFonts w:ascii="Trebuchet MS"/>
          <w:color w:val="231F20"/>
          <w:spacing w:val="-7"/>
          <w:w w:val="105"/>
          <w:sz w:val="16"/>
        </w:rPr>
        <w:t xml:space="preserve"> </w:t>
      </w:r>
      <w:r>
        <w:rPr>
          <w:rFonts w:ascii="Trebuchet MS"/>
          <w:color w:val="231F20"/>
          <w:w w:val="105"/>
          <w:sz w:val="16"/>
        </w:rPr>
        <w:t>motivation</w:t>
      </w:r>
      <w:r>
        <w:rPr>
          <w:rFonts w:ascii="Trebuchet MS"/>
          <w:color w:val="231F20"/>
          <w:spacing w:val="-6"/>
          <w:w w:val="105"/>
          <w:sz w:val="16"/>
        </w:rPr>
        <w:t xml:space="preserve"> </w:t>
      </w:r>
      <w:r>
        <w:rPr>
          <w:rFonts w:ascii="Trebuchet MS"/>
          <w:color w:val="231F20"/>
          <w:w w:val="105"/>
          <w:sz w:val="16"/>
        </w:rPr>
        <w:t>profiles</w:t>
      </w:r>
      <w:r>
        <w:rPr>
          <w:rFonts w:ascii="Trebuchet MS"/>
          <w:color w:val="231F20"/>
          <w:spacing w:val="-7"/>
          <w:w w:val="105"/>
          <w:sz w:val="16"/>
        </w:rPr>
        <w:t xml:space="preserve"> </w:t>
      </w:r>
      <w:r>
        <w:rPr>
          <w:rFonts w:ascii="Trebuchet MS"/>
          <w:color w:val="231F20"/>
          <w:w w:val="105"/>
          <w:sz w:val="16"/>
        </w:rPr>
        <w:t>of</w:t>
      </w:r>
      <w:r>
        <w:rPr>
          <w:rFonts w:ascii="Trebuchet MS"/>
          <w:color w:val="231F20"/>
          <w:spacing w:val="-6"/>
          <w:w w:val="105"/>
          <w:sz w:val="16"/>
        </w:rPr>
        <w:t xml:space="preserve"> </w:t>
      </w:r>
      <w:r>
        <w:rPr>
          <w:rFonts w:ascii="Trebuchet MS"/>
          <w:color w:val="231F20"/>
          <w:w w:val="105"/>
          <w:sz w:val="16"/>
        </w:rPr>
        <w:t>sport</w:t>
      </w:r>
      <w:r>
        <w:rPr>
          <w:rFonts w:ascii="Trebuchet MS"/>
          <w:color w:val="231F20"/>
          <w:spacing w:val="-6"/>
          <w:w w:val="105"/>
          <w:sz w:val="16"/>
        </w:rPr>
        <w:t xml:space="preserve"> </w:t>
      </w:r>
      <w:r>
        <w:rPr>
          <w:rFonts w:ascii="Trebuchet MS"/>
          <w:color w:val="231F20"/>
          <w:w w:val="105"/>
          <w:sz w:val="16"/>
        </w:rPr>
        <w:t>tourists</w:t>
      </w:r>
      <w:r>
        <w:rPr>
          <w:rFonts w:ascii="Trebuchet MS"/>
          <w:color w:val="231F20"/>
          <w:spacing w:val="-7"/>
          <w:w w:val="105"/>
          <w:sz w:val="16"/>
        </w:rPr>
        <w:t xml:space="preserve"> </w:t>
      </w:r>
      <w:r>
        <w:rPr>
          <w:rFonts w:ascii="Trebuchet MS"/>
          <w:color w:val="231F20"/>
          <w:w w:val="105"/>
          <w:sz w:val="16"/>
        </w:rPr>
        <w:t>who</w:t>
      </w:r>
      <w:r>
        <w:rPr>
          <w:rFonts w:ascii="Trebuchet MS"/>
          <w:color w:val="231F20"/>
          <w:spacing w:val="-6"/>
          <w:w w:val="105"/>
          <w:sz w:val="16"/>
        </w:rPr>
        <w:t xml:space="preserve"> </w:t>
      </w:r>
      <w:r>
        <w:rPr>
          <w:rFonts w:ascii="Trebuchet MS"/>
          <w:color w:val="231F20"/>
          <w:w w:val="105"/>
          <w:sz w:val="16"/>
        </w:rPr>
        <w:t>play</w:t>
      </w:r>
      <w:r>
        <w:rPr>
          <w:rFonts w:ascii="Trebuchet MS"/>
          <w:color w:val="231F20"/>
          <w:spacing w:val="-7"/>
          <w:w w:val="105"/>
          <w:sz w:val="16"/>
        </w:rPr>
        <w:t xml:space="preserve"> </w:t>
      </w:r>
      <w:r>
        <w:rPr>
          <w:rFonts w:ascii="Trebuchet MS"/>
          <w:color w:val="231F20"/>
          <w:spacing w:val="-4"/>
          <w:w w:val="105"/>
          <w:sz w:val="16"/>
        </w:rPr>
        <w:t>golf</w:t>
      </w:r>
    </w:p>
    <w:p w14:paraId="32AC8D14" w14:textId="77777777" w:rsidR="00AE0598" w:rsidRDefault="00AE0598">
      <w:pPr>
        <w:jc w:val="both"/>
        <w:rPr>
          <w:rFonts w:ascii="Trebuchet MS"/>
          <w:sz w:val="16"/>
        </w:rPr>
        <w:sectPr w:rsidR="00AE0598">
          <w:pgSz w:w="8850" w:h="13270"/>
          <w:pgMar w:top="720" w:right="1060" w:bottom="280" w:left="1080" w:header="720" w:footer="720" w:gutter="0"/>
          <w:cols w:space="720"/>
        </w:sectPr>
      </w:pPr>
    </w:p>
    <w:p w14:paraId="20ACFA21" w14:textId="77777777" w:rsidR="00AE0598" w:rsidRDefault="0069255A">
      <w:pPr>
        <w:spacing w:before="100" w:line="235" w:lineRule="auto"/>
        <w:ind w:left="110"/>
        <w:rPr>
          <w:rFonts w:ascii="Trebuchet MS"/>
          <w:b/>
          <w:sz w:val="14"/>
        </w:rPr>
      </w:pPr>
      <w:r>
        <w:rPr>
          <w:rFonts w:ascii="Trebuchet MS"/>
          <w:b/>
          <w:color w:val="231F20"/>
          <w:sz w:val="14"/>
        </w:rPr>
        <w:t>Sport tourist types (Glyptis,</w:t>
      </w:r>
      <w:r>
        <w:rPr>
          <w:rFonts w:ascii="Trebuchet MS"/>
          <w:b/>
          <w:color w:val="231F20"/>
          <w:spacing w:val="-7"/>
          <w:sz w:val="14"/>
        </w:rPr>
        <w:t xml:space="preserve"> </w:t>
      </w:r>
      <w:r>
        <w:rPr>
          <w:rFonts w:ascii="Trebuchet MS"/>
          <w:b/>
          <w:color w:val="231F20"/>
          <w:sz w:val="14"/>
        </w:rPr>
        <w:t>1982)</w:t>
      </w:r>
    </w:p>
    <w:p w14:paraId="270490DE" w14:textId="77777777" w:rsidR="00AE0598" w:rsidRDefault="0069255A">
      <w:pPr>
        <w:tabs>
          <w:tab w:val="left" w:pos="1754"/>
        </w:tabs>
        <w:spacing w:before="98" w:line="161" w:lineRule="exact"/>
        <w:ind w:left="110"/>
        <w:rPr>
          <w:rFonts w:ascii="Trebuchet MS"/>
          <w:b/>
          <w:sz w:val="14"/>
        </w:rPr>
      </w:pPr>
      <w:r>
        <w:br w:type="column"/>
      </w:r>
      <w:r>
        <w:rPr>
          <w:rFonts w:ascii="Trebuchet MS"/>
          <w:b/>
          <w:color w:val="231F20"/>
          <w:w w:val="95"/>
          <w:sz w:val="14"/>
        </w:rPr>
        <w:t>Primary</w:t>
      </w:r>
      <w:r>
        <w:rPr>
          <w:rFonts w:ascii="Trebuchet MS"/>
          <w:b/>
          <w:color w:val="231F20"/>
          <w:spacing w:val="25"/>
          <w:sz w:val="14"/>
        </w:rPr>
        <w:t xml:space="preserve"> </w:t>
      </w:r>
      <w:r>
        <w:rPr>
          <w:rFonts w:ascii="Trebuchet MS"/>
          <w:b/>
          <w:color w:val="231F20"/>
          <w:spacing w:val="-2"/>
          <w:sz w:val="14"/>
        </w:rPr>
        <w:t>motivations</w:t>
      </w:r>
      <w:r>
        <w:rPr>
          <w:rFonts w:ascii="Trebuchet MS"/>
          <w:b/>
          <w:color w:val="231F20"/>
          <w:sz w:val="14"/>
        </w:rPr>
        <w:tab/>
      </w:r>
      <w:r>
        <w:rPr>
          <w:rFonts w:ascii="Trebuchet MS"/>
          <w:b/>
          <w:color w:val="231F20"/>
          <w:spacing w:val="-2"/>
          <w:sz w:val="14"/>
        </w:rPr>
        <w:t>Destination</w:t>
      </w:r>
    </w:p>
    <w:p w14:paraId="7536560F" w14:textId="77777777" w:rsidR="00AE0598" w:rsidRDefault="0069255A">
      <w:pPr>
        <w:spacing w:line="161" w:lineRule="exact"/>
        <w:ind w:left="1754"/>
        <w:rPr>
          <w:rFonts w:ascii="Trebuchet MS"/>
          <w:b/>
          <w:sz w:val="14"/>
        </w:rPr>
      </w:pPr>
      <w:r>
        <w:rPr>
          <w:rFonts w:ascii="Trebuchet MS"/>
          <w:b/>
          <w:color w:val="231F20"/>
          <w:spacing w:val="-2"/>
          <w:sz w:val="14"/>
        </w:rPr>
        <w:t>attributes</w:t>
      </w:r>
    </w:p>
    <w:p w14:paraId="40906D3E" w14:textId="77777777" w:rsidR="00AE0598" w:rsidRDefault="0069255A">
      <w:pPr>
        <w:spacing w:before="98"/>
        <w:ind w:left="110"/>
        <w:rPr>
          <w:rFonts w:ascii="Trebuchet MS"/>
          <w:b/>
          <w:sz w:val="14"/>
        </w:rPr>
      </w:pPr>
      <w:r>
        <w:br w:type="column"/>
      </w:r>
      <w:r>
        <w:rPr>
          <w:rFonts w:ascii="Trebuchet MS"/>
          <w:b/>
          <w:color w:val="231F20"/>
          <w:sz w:val="14"/>
        </w:rPr>
        <w:t>Secondary</w:t>
      </w:r>
      <w:r>
        <w:rPr>
          <w:rFonts w:ascii="Trebuchet MS"/>
          <w:b/>
          <w:color w:val="231F20"/>
          <w:spacing w:val="18"/>
          <w:sz w:val="14"/>
        </w:rPr>
        <w:t xml:space="preserve"> </w:t>
      </w:r>
      <w:r>
        <w:rPr>
          <w:rFonts w:ascii="Trebuchet MS"/>
          <w:b/>
          <w:color w:val="231F20"/>
          <w:spacing w:val="-2"/>
          <w:sz w:val="14"/>
        </w:rPr>
        <w:t>activities</w:t>
      </w:r>
    </w:p>
    <w:p w14:paraId="7FBBBDA9" w14:textId="77777777" w:rsidR="00AE0598" w:rsidRDefault="00AE0598">
      <w:pPr>
        <w:rPr>
          <w:rFonts w:ascii="Trebuchet MS"/>
          <w:sz w:val="14"/>
        </w:rPr>
        <w:sectPr w:rsidR="00AE0598">
          <w:type w:val="continuous"/>
          <w:pgSz w:w="8850" w:h="13270"/>
          <w:pgMar w:top="1080" w:right="1060" w:bottom="280" w:left="1080" w:header="720" w:footer="720" w:gutter="0"/>
          <w:cols w:num="3" w:space="720" w:equalWidth="0">
            <w:col w:w="1422" w:space="50"/>
            <w:col w:w="2585" w:space="684"/>
            <w:col w:w="1969"/>
          </w:cols>
        </w:sectPr>
      </w:pPr>
    </w:p>
    <w:p w14:paraId="6067E9F0" w14:textId="77777777" w:rsidR="00AE0598" w:rsidRDefault="00AE0598">
      <w:pPr>
        <w:pStyle w:val="Corpodetexto"/>
        <w:spacing w:before="2"/>
        <w:rPr>
          <w:rFonts w:ascii="Trebuchet MS"/>
          <w:b/>
          <w:sz w:val="4"/>
        </w:rPr>
      </w:pPr>
    </w:p>
    <w:tbl>
      <w:tblPr>
        <w:tblStyle w:val="TableNormal"/>
        <w:tblW w:w="0" w:type="auto"/>
        <w:tblInd w:w="117" w:type="dxa"/>
        <w:tblLayout w:type="fixed"/>
        <w:tblLook w:val="01E0" w:firstRow="1" w:lastRow="1" w:firstColumn="1" w:lastColumn="1" w:noHBand="0" w:noVBand="0"/>
      </w:tblPr>
      <w:tblGrid>
        <w:gridCol w:w="1350"/>
        <w:gridCol w:w="1628"/>
        <w:gridCol w:w="1635"/>
        <w:gridCol w:w="1841"/>
      </w:tblGrid>
      <w:tr w:rsidR="00AE0598" w14:paraId="25ECA5A2" w14:textId="77777777">
        <w:trPr>
          <w:trHeight w:val="740"/>
        </w:trPr>
        <w:tc>
          <w:tcPr>
            <w:tcW w:w="1350" w:type="dxa"/>
            <w:tcBorders>
              <w:top w:val="single" w:sz="2" w:space="0" w:color="231F20"/>
              <w:bottom w:val="single" w:sz="2" w:space="0" w:color="231F20"/>
            </w:tcBorders>
          </w:tcPr>
          <w:p w14:paraId="0D868B9C" w14:textId="77777777" w:rsidR="00AE0598" w:rsidRDefault="0069255A">
            <w:pPr>
              <w:pStyle w:val="TableParagraph"/>
              <w:spacing w:before="53" w:line="235" w:lineRule="auto"/>
              <w:rPr>
                <w:sz w:val="14"/>
              </w:rPr>
            </w:pPr>
            <w:r>
              <w:rPr>
                <w:color w:val="231F20"/>
                <w:w w:val="105"/>
                <w:sz w:val="14"/>
              </w:rPr>
              <w:t>General</w:t>
            </w:r>
            <w:r>
              <w:rPr>
                <w:color w:val="231F20"/>
                <w:spacing w:val="-7"/>
                <w:w w:val="105"/>
                <w:sz w:val="14"/>
              </w:rPr>
              <w:t xml:space="preserve"> </w:t>
            </w:r>
            <w:r>
              <w:rPr>
                <w:color w:val="231F20"/>
                <w:w w:val="105"/>
                <w:sz w:val="14"/>
              </w:rPr>
              <w:t>holidays with</w:t>
            </w:r>
            <w:r>
              <w:rPr>
                <w:color w:val="231F20"/>
                <w:spacing w:val="-6"/>
                <w:w w:val="105"/>
                <w:sz w:val="14"/>
              </w:rPr>
              <w:t xml:space="preserve"> </w:t>
            </w:r>
            <w:r>
              <w:rPr>
                <w:color w:val="231F20"/>
                <w:w w:val="105"/>
                <w:sz w:val="14"/>
              </w:rPr>
              <w:t>sports</w:t>
            </w:r>
            <w:r>
              <w:rPr>
                <w:color w:val="231F20"/>
                <w:spacing w:val="-6"/>
                <w:w w:val="105"/>
                <w:sz w:val="14"/>
              </w:rPr>
              <w:t xml:space="preserve"> </w:t>
            </w:r>
            <w:r>
              <w:rPr>
                <w:color w:val="231F20"/>
                <w:w w:val="105"/>
                <w:sz w:val="14"/>
              </w:rPr>
              <w:t>content</w:t>
            </w:r>
          </w:p>
        </w:tc>
        <w:tc>
          <w:tcPr>
            <w:tcW w:w="1628" w:type="dxa"/>
            <w:tcBorders>
              <w:top w:val="single" w:sz="2" w:space="0" w:color="231F20"/>
              <w:bottom w:val="single" w:sz="2" w:space="0" w:color="231F20"/>
            </w:tcBorders>
          </w:tcPr>
          <w:p w14:paraId="7DA696F7" w14:textId="77777777" w:rsidR="00AE0598" w:rsidRDefault="0069255A">
            <w:pPr>
              <w:pStyle w:val="TableParagraph"/>
              <w:spacing w:before="53" w:line="235" w:lineRule="auto"/>
              <w:ind w:left="41"/>
              <w:rPr>
                <w:sz w:val="14"/>
              </w:rPr>
            </w:pPr>
            <w:r>
              <w:rPr>
                <w:color w:val="231F20"/>
                <w:w w:val="105"/>
                <w:sz w:val="14"/>
              </w:rPr>
              <w:t>Various</w:t>
            </w:r>
            <w:r>
              <w:rPr>
                <w:color w:val="231F20"/>
                <w:spacing w:val="-7"/>
                <w:w w:val="105"/>
                <w:sz w:val="14"/>
              </w:rPr>
              <w:t xml:space="preserve"> </w:t>
            </w:r>
            <w:r>
              <w:rPr>
                <w:color w:val="231F20"/>
                <w:w w:val="105"/>
                <w:sz w:val="14"/>
              </w:rPr>
              <w:t>business</w:t>
            </w:r>
            <w:r>
              <w:rPr>
                <w:color w:val="231F20"/>
                <w:spacing w:val="-7"/>
                <w:w w:val="105"/>
                <w:sz w:val="14"/>
              </w:rPr>
              <w:t xml:space="preserve"> </w:t>
            </w:r>
            <w:r>
              <w:rPr>
                <w:color w:val="231F20"/>
                <w:w w:val="105"/>
                <w:sz w:val="14"/>
              </w:rPr>
              <w:t>or</w:t>
            </w:r>
            <w:r>
              <w:rPr>
                <w:color w:val="231F20"/>
                <w:spacing w:val="-7"/>
                <w:w w:val="105"/>
                <w:sz w:val="14"/>
              </w:rPr>
              <w:t xml:space="preserve"> </w:t>
            </w:r>
            <w:r>
              <w:rPr>
                <w:color w:val="231F20"/>
                <w:w w:val="105"/>
                <w:sz w:val="14"/>
              </w:rPr>
              <w:t xml:space="preserve">lei- </w:t>
            </w:r>
            <w:r>
              <w:rPr>
                <w:color w:val="231F20"/>
                <w:sz w:val="14"/>
              </w:rPr>
              <w:t>sure</w:t>
            </w:r>
            <w:r>
              <w:rPr>
                <w:color w:val="231F20"/>
                <w:spacing w:val="6"/>
                <w:sz w:val="14"/>
              </w:rPr>
              <w:t xml:space="preserve"> </w:t>
            </w:r>
            <w:r>
              <w:rPr>
                <w:color w:val="231F20"/>
                <w:sz w:val="14"/>
              </w:rPr>
              <w:t>travel</w:t>
            </w:r>
            <w:r>
              <w:rPr>
                <w:color w:val="231F20"/>
                <w:spacing w:val="6"/>
                <w:sz w:val="14"/>
              </w:rPr>
              <w:t xml:space="preserve"> </w:t>
            </w:r>
            <w:r>
              <w:rPr>
                <w:color w:val="231F20"/>
                <w:spacing w:val="-2"/>
                <w:sz w:val="14"/>
              </w:rPr>
              <w:t>motivations</w:t>
            </w:r>
          </w:p>
        </w:tc>
        <w:tc>
          <w:tcPr>
            <w:tcW w:w="1635" w:type="dxa"/>
            <w:tcBorders>
              <w:top w:val="single" w:sz="2" w:space="0" w:color="231F20"/>
              <w:bottom w:val="single" w:sz="2" w:space="0" w:color="231F20"/>
            </w:tcBorders>
          </w:tcPr>
          <w:p w14:paraId="7AFA83E1" w14:textId="77777777" w:rsidR="00AE0598" w:rsidRDefault="0069255A">
            <w:pPr>
              <w:pStyle w:val="TableParagraph"/>
              <w:spacing w:before="53" w:line="235" w:lineRule="auto"/>
              <w:ind w:left="57" w:right="48"/>
              <w:rPr>
                <w:sz w:val="14"/>
              </w:rPr>
            </w:pPr>
            <w:r>
              <w:rPr>
                <w:color w:val="231F20"/>
                <w:w w:val="105"/>
                <w:sz w:val="14"/>
              </w:rPr>
              <w:t xml:space="preserve">Vary with primary </w:t>
            </w:r>
            <w:r>
              <w:rPr>
                <w:color w:val="231F20"/>
                <w:sz w:val="14"/>
              </w:rPr>
              <w:t>motivations</w:t>
            </w:r>
            <w:r>
              <w:rPr>
                <w:color w:val="231F20"/>
                <w:spacing w:val="-7"/>
                <w:sz w:val="14"/>
              </w:rPr>
              <w:t xml:space="preserve"> </w:t>
            </w:r>
            <w:r>
              <w:rPr>
                <w:color w:val="231F20"/>
                <w:sz w:val="14"/>
              </w:rPr>
              <w:t xml:space="preserve">(existence </w:t>
            </w:r>
            <w:r>
              <w:rPr>
                <w:color w:val="231F20"/>
                <w:w w:val="105"/>
                <w:sz w:val="14"/>
              </w:rPr>
              <w:t xml:space="preserve">of a golf course is </w:t>
            </w:r>
            <w:r>
              <w:rPr>
                <w:color w:val="231F20"/>
                <w:spacing w:val="-2"/>
                <w:w w:val="105"/>
                <w:sz w:val="14"/>
              </w:rPr>
              <w:t>incidental)</w:t>
            </w:r>
          </w:p>
        </w:tc>
        <w:tc>
          <w:tcPr>
            <w:tcW w:w="1841" w:type="dxa"/>
            <w:tcBorders>
              <w:top w:val="single" w:sz="2" w:space="0" w:color="231F20"/>
              <w:bottom w:val="single" w:sz="2" w:space="0" w:color="231F20"/>
            </w:tcBorders>
          </w:tcPr>
          <w:p w14:paraId="77A23C35" w14:textId="77777777" w:rsidR="00AE0598" w:rsidRDefault="0069255A">
            <w:pPr>
              <w:pStyle w:val="TableParagraph"/>
              <w:spacing w:before="53" w:line="235" w:lineRule="auto"/>
              <w:ind w:left="47" w:right="162"/>
              <w:rPr>
                <w:sz w:val="14"/>
              </w:rPr>
            </w:pPr>
            <w:r>
              <w:rPr>
                <w:color w:val="231F20"/>
                <w:w w:val="105"/>
                <w:sz w:val="14"/>
              </w:rPr>
              <w:t>Playing golf, among other</w:t>
            </w:r>
            <w:r>
              <w:rPr>
                <w:color w:val="231F20"/>
                <w:spacing w:val="-9"/>
                <w:w w:val="105"/>
                <w:sz w:val="14"/>
              </w:rPr>
              <w:t xml:space="preserve"> </w:t>
            </w:r>
            <w:r>
              <w:rPr>
                <w:color w:val="231F20"/>
                <w:w w:val="105"/>
                <w:sz w:val="14"/>
              </w:rPr>
              <w:t>things</w:t>
            </w:r>
          </w:p>
        </w:tc>
      </w:tr>
      <w:tr w:rsidR="00AE0598" w14:paraId="6A3B1DC1" w14:textId="77777777">
        <w:trPr>
          <w:trHeight w:val="214"/>
        </w:trPr>
        <w:tc>
          <w:tcPr>
            <w:tcW w:w="1350" w:type="dxa"/>
            <w:tcBorders>
              <w:top w:val="single" w:sz="2" w:space="0" w:color="231F20"/>
            </w:tcBorders>
          </w:tcPr>
          <w:p w14:paraId="029AEC61" w14:textId="77777777" w:rsidR="00AE0598" w:rsidRDefault="0069255A">
            <w:pPr>
              <w:pStyle w:val="TableParagraph"/>
              <w:spacing w:before="51" w:line="144" w:lineRule="exact"/>
              <w:rPr>
                <w:sz w:val="14"/>
              </w:rPr>
            </w:pPr>
            <w:r>
              <w:rPr>
                <w:color w:val="231F20"/>
                <w:sz w:val="14"/>
              </w:rPr>
              <w:t>Specialist</w:t>
            </w:r>
            <w:r>
              <w:rPr>
                <w:color w:val="231F20"/>
                <w:spacing w:val="10"/>
                <w:sz w:val="14"/>
              </w:rPr>
              <w:t xml:space="preserve"> </w:t>
            </w:r>
            <w:r>
              <w:rPr>
                <w:color w:val="231F20"/>
                <w:spacing w:val="-2"/>
                <w:sz w:val="14"/>
              </w:rPr>
              <w:t>sport</w:t>
            </w:r>
          </w:p>
        </w:tc>
        <w:tc>
          <w:tcPr>
            <w:tcW w:w="1628" w:type="dxa"/>
            <w:tcBorders>
              <w:top w:val="single" w:sz="2" w:space="0" w:color="231F20"/>
            </w:tcBorders>
          </w:tcPr>
          <w:p w14:paraId="0C6B0561" w14:textId="77777777" w:rsidR="00AE0598" w:rsidRDefault="0069255A">
            <w:pPr>
              <w:pStyle w:val="TableParagraph"/>
              <w:spacing w:before="51" w:line="144" w:lineRule="exact"/>
              <w:ind w:left="41"/>
              <w:rPr>
                <w:sz w:val="14"/>
              </w:rPr>
            </w:pPr>
            <w:r>
              <w:rPr>
                <w:color w:val="231F20"/>
                <w:w w:val="105"/>
                <w:sz w:val="14"/>
              </w:rPr>
              <w:t>Pilgrimage</w:t>
            </w:r>
            <w:r>
              <w:rPr>
                <w:color w:val="231F20"/>
                <w:spacing w:val="4"/>
                <w:w w:val="105"/>
                <w:sz w:val="14"/>
              </w:rPr>
              <w:t xml:space="preserve"> </w:t>
            </w:r>
            <w:r>
              <w:rPr>
                <w:color w:val="231F20"/>
                <w:w w:val="105"/>
                <w:sz w:val="14"/>
              </w:rPr>
              <w:t>to</w:t>
            </w:r>
            <w:r>
              <w:rPr>
                <w:color w:val="231F20"/>
                <w:spacing w:val="4"/>
                <w:w w:val="105"/>
                <w:sz w:val="14"/>
              </w:rPr>
              <w:t xml:space="preserve"> </w:t>
            </w:r>
            <w:r>
              <w:rPr>
                <w:color w:val="231F20"/>
                <w:spacing w:val="-5"/>
                <w:w w:val="105"/>
                <w:sz w:val="14"/>
              </w:rPr>
              <w:t>the</w:t>
            </w:r>
          </w:p>
        </w:tc>
        <w:tc>
          <w:tcPr>
            <w:tcW w:w="1635" w:type="dxa"/>
            <w:tcBorders>
              <w:top w:val="single" w:sz="2" w:space="0" w:color="231F20"/>
            </w:tcBorders>
          </w:tcPr>
          <w:p w14:paraId="00BA204E" w14:textId="77777777" w:rsidR="00AE0598" w:rsidRDefault="0069255A">
            <w:pPr>
              <w:pStyle w:val="TableParagraph"/>
              <w:spacing w:before="51" w:line="144" w:lineRule="exact"/>
              <w:ind w:left="57"/>
              <w:rPr>
                <w:sz w:val="14"/>
              </w:rPr>
            </w:pPr>
            <w:r>
              <w:rPr>
                <w:color w:val="231F20"/>
                <w:w w:val="105"/>
                <w:sz w:val="14"/>
              </w:rPr>
              <w:t>Grand</w:t>
            </w:r>
            <w:r>
              <w:rPr>
                <w:color w:val="231F20"/>
                <w:spacing w:val="1"/>
                <w:w w:val="105"/>
                <w:sz w:val="14"/>
              </w:rPr>
              <w:t xml:space="preserve"> </w:t>
            </w:r>
            <w:r>
              <w:rPr>
                <w:color w:val="231F20"/>
                <w:w w:val="105"/>
                <w:sz w:val="14"/>
              </w:rPr>
              <w:t>slam</w:t>
            </w:r>
            <w:r>
              <w:rPr>
                <w:color w:val="231F20"/>
                <w:spacing w:val="1"/>
                <w:w w:val="105"/>
                <w:sz w:val="14"/>
              </w:rPr>
              <w:t xml:space="preserve"> </w:t>
            </w:r>
            <w:r>
              <w:rPr>
                <w:color w:val="231F20"/>
                <w:w w:val="105"/>
                <w:sz w:val="14"/>
              </w:rPr>
              <w:t>and</w:t>
            </w:r>
            <w:r>
              <w:rPr>
                <w:color w:val="231F20"/>
                <w:spacing w:val="1"/>
                <w:w w:val="105"/>
                <w:sz w:val="14"/>
              </w:rPr>
              <w:t xml:space="preserve"> </w:t>
            </w:r>
            <w:r>
              <w:rPr>
                <w:color w:val="231F20"/>
                <w:spacing w:val="-2"/>
                <w:w w:val="105"/>
                <w:sz w:val="14"/>
              </w:rPr>
              <w:t>other</w:t>
            </w:r>
          </w:p>
        </w:tc>
        <w:tc>
          <w:tcPr>
            <w:tcW w:w="1841" w:type="dxa"/>
            <w:tcBorders>
              <w:top w:val="single" w:sz="2" w:space="0" w:color="231F20"/>
            </w:tcBorders>
          </w:tcPr>
          <w:p w14:paraId="7F75EE12" w14:textId="77777777" w:rsidR="00AE0598" w:rsidRDefault="0069255A">
            <w:pPr>
              <w:pStyle w:val="TableParagraph"/>
              <w:spacing w:before="51" w:line="144" w:lineRule="exact"/>
              <w:ind w:left="47"/>
              <w:rPr>
                <w:sz w:val="14"/>
              </w:rPr>
            </w:pPr>
            <w:r>
              <w:rPr>
                <w:color w:val="231F20"/>
                <w:w w:val="105"/>
                <w:sz w:val="14"/>
              </w:rPr>
              <w:t>Nostalgia</w:t>
            </w:r>
            <w:r>
              <w:rPr>
                <w:color w:val="231F20"/>
                <w:spacing w:val="11"/>
                <w:w w:val="105"/>
                <w:sz w:val="14"/>
              </w:rPr>
              <w:t xml:space="preserve"> </w:t>
            </w:r>
            <w:r>
              <w:rPr>
                <w:color w:val="231F20"/>
                <w:w w:val="105"/>
                <w:sz w:val="14"/>
              </w:rPr>
              <w:t>sport</w:t>
            </w:r>
            <w:r>
              <w:rPr>
                <w:color w:val="231F20"/>
                <w:spacing w:val="12"/>
                <w:w w:val="105"/>
                <w:sz w:val="14"/>
              </w:rPr>
              <w:t xml:space="preserve"> </w:t>
            </w:r>
            <w:r>
              <w:rPr>
                <w:color w:val="231F20"/>
                <w:spacing w:val="-2"/>
                <w:w w:val="105"/>
                <w:sz w:val="14"/>
              </w:rPr>
              <w:t>tourism</w:t>
            </w:r>
          </w:p>
        </w:tc>
      </w:tr>
      <w:tr w:rsidR="00AE0598" w14:paraId="63D4A402" w14:textId="77777777">
        <w:trPr>
          <w:trHeight w:val="160"/>
        </w:trPr>
        <w:tc>
          <w:tcPr>
            <w:tcW w:w="1350" w:type="dxa"/>
          </w:tcPr>
          <w:p w14:paraId="78F16547" w14:textId="77777777" w:rsidR="00AE0598" w:rsidRDefault="0069255A">
            <w:pPr>
              <w:pStyle w:val="TableParagraph"/>
              <w:spacing w:line="140" w:lineRule="exact"/>
              <w:rPr>
                <w:sz w:val="14"/>
              </w:rPr>
            </w:pPr>
            <w:r>
              <w:rPr>
                <w:color w:val="231F20"/>
                <w:spacing w:val="-2"/>
                <w:w w:val="105"/>
                <w:sz w:val="14"/>
              </w:rPr>
              <w:t>holidays</w:t>
            </w:r>
          </w:p>
        </w:tc>
        <w:tc>
          <w:tcPr>
            <w:tcW w:w="1628" w:type="dxa"/>
          </w:tcPr>
          <w:p w14:paraId="5FC751C6" w14:textId="77777777" w:rsidR="00AE0598" w:rsidRDefault="0069255A">
            <w:pPr>
              <w:pStyle w:val="TableParagraph"/>
              <w:spacing w:line="140" w:lineRule="exact"/>
              <w:ind w:left="41"/>
              <w:rPr>
                <w:sz w:val="14"/>
              </w:rPr>
            </w:pPr>
            <w:r>
              <w:rPr>
                <w:color w:val="231F20"/>
                <w:w w:val="105"/>
                <w:sz w:val="14"/>
              </w:rPr>
              <w:t>heartland</w:t>
            </w:r>
            <w:r>
              <w:rPr>
                <w:color w:val="231F20"/>
                <w:spacing w:val="4"/>
                <w:w w:val="105"/>
                <w:sz w:val="14"/>
              </w:rPr>
              <w:t xml:space="preserve"> </w:t>
            </w:r>
            <w:r>
              <w:rPr>
                <w:color w:val="231F20"/>
                <w:w w:val="105"/>
                <w:sz w:val="14"/>
              </w:rPr>
              <w:t>of</w:t>
            </w:r>
            <w:r>
              <w:rPr>
                <w:color w:val="231F20"/>
                <w:spacing w:val="5"/>
                <w:w w:val="105"/>
                <w:sz w:val="14"/>
              </w:rPr>
              <w:t xml:space="preserve"> </w:t>
            </w:r>
            <w:r>
              <w:rPr>
                <w:color w:val="231F20"/>
                <w:spacing w:val="-4"/>
                <w:w w:val="105"/>
                <w:sz w:val="14"/>
              </w:rPr>
              <w:t>golf.</w:t>
            </w:r>
          </w:p>
        </w:tc>
        <w:tc>
          <w:tcPr>
            <w:tcW w:w="1635" w:type="dxa"/>
          </w:tcPr>
          <w:p w14:paraId="7C98F1DE" w14:textId="77777777" w:rsidR="00AE0598" w:rsidRDefault="0069255A">
            <w:pPr>
              <w:pStyle w:val="TableParagraph"/>
              <w:spacing w:line="140" w:lineRule="exact"/>
              <w:ind w:left="57"/>
              <w:rPr>
                <w:sz w:val="14"/>
              </w:rPr>
            </w:pPr>
            <w:r>
              <w:rPr>
                <w:color w:val="231F20"/>
                <w:w w:val="105"/>
                <w:sz w:val="14"/>
              </w:rPr>
              <w:t>championship</w:t>
            </w:r>
            <w:r>
              <w:rPr>
                <w:color w:val="231F20"/>
                <w:spacing w:val="19"/>
                <w:w w:val="105"/>
                <w:sz w:val="14"/>
              </w:rPr>
              <w:t xml:space="preserve"> </w:t>
            </w:r>
            <w:r>
              <w:rPr>
                <w:color w:val="231F20"/>
                <w:spacing w:val="-2"/>
                <w:w w:val="105"/>
                <w:sz w:val="14"/>
              </w:rPr>
              <w:t>courses</w:t>
            </w:r>
          </w:p>
        </w:tc>
        <w:tc>
          <w:tcPr>
            <w:tcW w:w="1841" w:type="dxa"/>
          </w:tcPr>
          <w:p w14:paraId="1283C2CB" w14:textId="77777777" w:rsidR="00AE0598" w:rsidRDefault="00AE0598">
            <w:pPr>
              <w:pStyle w:val="TableParagraph"/>
              <w:rPr>
                <w:rFonts w:ascii="Times New Roman"/>
                <w:sz w:val="10"/>
              </w:rPr>
            </w:pPr>
          </w:p>
        </w:tc>
      </w:tr>
      <w:tr w:rsidR="00AE0598" w14:paraId="2F3DB732" w14:textId="77777777">
        <w:trPr>
          <w:trHeight w:val="205"/>
        </w:trPr>
        <w:tc>
          <w:tcPr>
            <w:tcW w:w="1350" w:type="dxa"/>
            <w:tcBorders>
              <w:bottom w:val="single" w:sz="2" w:space="0" w:color="231F20"/>
            </w:tcBorders>
          </w:tcPr>
          <w:p w14:paraId="6FA4DEC1" w14:textId="77777777" w:rsidR="00AE0598" w:rsidRDefault="00AE0598">
            <w:pPr>
              <w:pStyle w:val="TableParagraph"/>
              <w:rPr>
                <w:rFonts w:ascii="Times New Roman"/>
                <w:sz w:val="14"/>
              </w:rPr>
            </w:pPr>
          </w:p>
        </w:tc>
        <w:tc>
          <w:tcPr>
            <w:tcW w:w="1628" w:type="dxa"/>
            <w:tcBorders>
              <w:bottom w:val="single" w:sz="2" w:space="0" w:color="231F20"/>
            </w:tcBorders>
          </w:tcPr>
          <w:p w14:paraId="23027FE3" w14:textId="77777777" w:rsidR="00AE0598" w:rsidRDefault="0069255A">
            <w:pPr>
              <w:pStyle w:val="TableParagraph"/>
              <w:spacing w:line="159" w:lineRule="exact"/>
              <w:ind w:left="41"/>
              <w:rPr>
                <w:sz w:val="14"/>
              </w:rPr>
            </w:pPr>
            <w:r>
              <w:rPr>
                <w:color w:val="231F20"/>
                <w:w w:val="105"/>
                <w:sz w:val="14"/>
              </w:rPr>
              <w:t>Emulating</w:t>
            </w:r>
            <w:r>
              <w:rPr>
                <w:color w:val="231F20"/>
                <w:spacing w:val="4"/>
                <w:w w:val="105"/>
                <w:sz w:val="14"/>
              </w:rPr>
              <w:t xml:space="preserve"> </w:t>
            </w:r>
            <w:r>
              <w:rPr>
                <w:color w:val="231F20"/>
                <w:w w:val="105"/>
                <w:sz w:val="14"/>
              </w:rPr>
              <w:t>icon</w:t>
            </w:r>
            <w:r>
              <w:rPr>
                <w:color w:val="231F20"/>
                <w:spacing w:val="4"/>
                <w:w w:val="105"/>
                <w:sz w:val="14"/>
              </w:rPr>
              <w:t xml:space="preserve"> </w:t>
            </w:r>
            <w:r>
              <w:rPr>
                <w:color w:val="231F20"/>
                <w:spacing w:val="-2"/>
                <w:w w:val="105"/>
                <w:sz w:val="14"/>
              </w:rPr>
              <w:t>players</w:t>
            </w:r>
          </w:p>
        </w:tc>
        <w:tc>
          <w:tcPr>
            <w:tcW w:w="1635" w:type="dxa"/>
            <w:tcBorders>
              <w:bottom w:val="single" w:sz="2" w:space="0" w:color="231F20"/>
            </w:tcBorders>
          </w:tcPr>
          <w:p w14:paraId="31F0DEFD" w14:textId="77777777" w:rsidR="00AE0598" w:rsidRDefault="00AE0598">
            <w:pPr>
              <w:pStyle w:val="TableParagraph"/>
              <w:rPr>
                <w:rFonts w:ascii="Times New Roman"/>
                <w:sz w:val="14"/>
              </w:rPr>
            </w:pPr>
          </w:p>
        </w:tc>
        <w:tc>
          <w:tcPr>
            <w:tcW w:w="1841" w:type="dxa"/>
            <w:tcBorders>
              <w:bottom w:val="single" w:sz="2" w:space="0" w:color="231F20"/>
            </w:tcBorders>
          </w:tcPr>
          <w:p w14:paraId="00A75A3E" w14:textId="77777777" w:rsidR="00AE0598" w:rsidRDefault="00AE0598">
            <w:pPr>
              <w:pStyle w:val="TableParagraph"/>
              <w:rPr>
                <w:rFonts w:ascii="Times New Roman"/>
                <w:sz w:val="14"/>
              </w:rPr>
            </w:pPr>
          </w:p>
        </w:tc>
      </w:tr>
      <w:tr w:rsidR="00AE0598" w14:paraId="0CBCB1FD" w14:textId="77777777">
        <w:trPr>
          <w:trHeight w:val="214"/>
        </w:trPr>
        <w:tc>
          <w:tcPr>
            <w:tcW w:w="1350" w:type="dxa"/>
            <w:tcBorders>
              <w:top w:val="single" w:sz="2" w:space="0" w:color="231F20"/>
            </w:tcBorders>
          </w:tcPr>
          <w:p w14:paraId="6DA9B541" w14:textId="77777777" w:rsidR="00AE0598" w:rsidRDefault="0069255A">
            <w:pPr>
              <w:pStyle w:val="TableParagraph"/>
              <w:spacing w:before="51" w:line="144" w:lineRule="exact"/>
              <w:rPr>
                <w:sz w:val="14"/>
              </w:rPr>
            </w:pPr>
            <w:r>
              <w:rPr>
                <w:color w:val="231F20"/>
                <w:sz w:val="14"/>
              </w:rPr>
              <w:t>General</w:t>
            </w:r>
            <w:r>
              <w:rPr>
                <w:color w:val="231F20"/>
                <w:spacing w:val="20"/>
                <w:w w:val="105"/>
                <w:sz w:val="14"/>
              </w:rPr>
              <w:t xml:space="preserve"> </w:t>
            </w:r>
            <w:r>
              <w:rPr>
                <w:color w:val="231F20"/>
                <w:spacing w:val="-2"/>
                <w:w w:val="105"/>
                <w:sz w:val="14"/>
              </w:rPr>
              <w:t>sport</w:t>
            </w:r>
          </w:p>
        </w:tc>
        <w:tc>
          <w:tcPr>
            <w:tcW w:w="1628" w:type="dxa"/>
            <w:tcBorders>
              <w:top w:val="single" w:sz="2" w:space="0" w:color="231F20"/>
            </w:tcBorders>
          </w:tcPr>
          <w:p w14:paraId="229B7DE2" w14:textId="77777777" w:rsidR="00AE0598" w:rsidRDefault="0069255A">
            <w:pPr>
              <w:pStyle w:val="TableParagraph"/>
              <w:spacing w:before="51" w:line="144" w:lineRule="exact"/>
              <w:ind w:left="41"/>
              <w:rPr>
                <w:sz w:val="14"/>
              </w:rPr>
            </w:pPr>
            <w:r>
              <w:rPr>
                <w:color w:val="231F20"/>
                <w:w w:val="105"/>
                <w:sz w:val="14"/>
              </w:rPr>
              <w:t>Golf</w:t>
            </w:r>
            <w:r>
              <w:rPr>
                <w:color w:val="231F20"/>
                <w:spacing w:val="-1"/>
                <w:w w:val="105"/>
                <w:sz w:val="14"/>
              </w:rPr>
              <w:t xml:space="preserve"> </w:t>
            </w:r>
            <w:r>
              <w:rPr>
                <w:color w:val="231F20"/>
                <w:w w:val="105"/>
                <w:sz w:val="14"/>
              </w:rPr>
              <w:t>as one</w:t>
            </w:r>
            <w:r>
              <w:rPr>
                <w:color w:val="231F20"/>
                <w:spacing w:val="-1"/>
                <w:w w:val="105"/>
                <w:sz w:val="14"/>
              </w:rPr>
              <w:t xml:space="preserve"> </w:t>
            </w:r>
            <w:r>
              <w:rPr>
                <w:color w:val="231F20"/>
                <w:spacing w:val="-4"/>
                <w:w w:val="105"/>
                <w:sz w:val="14"/>
              </w:rPr>
              <w:t>part</w:t>
            </w:r>
          </w:p>
        </w:tc>
        <w:tc>
          <w:tcPr>
            <w:tcW w:w="1635" w:type="dxa"/>
            <w:tcBorders>
              <w:top w:val="single" w:sz="2" w:space="0" w:color="231F20"/>
            </w:tcBorders>
          </w:tcPr>
          <w:p w14:paraId="4238FB54" w14:textId="77777777" w:rsidR="00AE0598" w:rsidRDefault="0069255A">
            <w:pPr>
              <w:pStyle w:val="TableParagraph"/>
              <w:spacing w:before="51" w:line="144" w:lineRule="exact"/>
              <w:ind w:left="57"/>
              <w:rPr>
                <w:sz w:val="14"/>
              </w:rPr>
            </w:pPr>
            <w:r>
              <w:rPr>
                <w:color w:val="231F20"/>
                <w:w w:val="105"/>
                <w:sz w:val="14"/>
              </w:rPr>
              <w:t>Single</w:t>
            </w:r>
            <w:r>
              <w:rPr>
                <w:color w:val="231F20"/>
                <w:spacing w:val="6"/>
                <w:w w:val="105"/>
                <w:sz w:val="14"/>
              </w:rPr>
              <w:t xml:space="preserve"> </w:t>
            </w:r>
            <w:r>
              <w:rPr>
                <w:color w:val="231F20"/>
                <w:spacing w:val="-2"/>
                <w:w w:val="105"/>
                <w:sz w:val="14"/>
              </w:rPr>
              <w:t>integrated</w:t>
            </w:r>
          </w:p>
        </w:tc>
        <w:tc>
          <w:tcPr>
            <w:tcW w:w="1841" w:type="dxa"/>
            <w:tcBorders>
              <w:top w:val="single" w:sz="2" w:space="0" w:color="231F20"/>
            </w:tcBorders>
          </w:tcPr>
          <w:p w14:paraId="1F0E9026" w14:textId="77777777" w:rsidR="00AE0598" w:rsidRDefault="0069255A">
            <w:pPr>
              <w:pStyle w:val="TableParagraph"/>
              <w:spacing w:before="51" w:line="144" w:lineRule="exact"/>
              <w:ind w:left="47"/>
              <w:rPr>
                <w:sz w:val="14"/>
              </w:rPr>
            </w:pPr>
            <w:r>
              <w:rPr>
                <w:color w:val="231F20"/>
                <w:sz w:val="14"/>
              </w:rPr>
              <w:t>Family-based</w:t>
            </w:r>
            <w:r>
              <w:rPr>
                <w:color w:val="231F20"/>
                <w:spacing w:val="33"/>
                <w:sz w:val="14"/>
              </w:rPr>
              <w:t xml:space="preserve"> </w:t>
            </w:r>
            <w:r>
              <w:rPr>
                <w:color w:val="231F20"/>
                <w:spacing w:val="-2"/>
                <w:sz w:val="14"/>
              </w:rPr>
              <w:t>activities</w:t>
            </w:r>
          </w:p>
        </w:tc>
      </w:tr>
      <w:tr w:rsidR="00AE0598" w14:paraId="4A8D28C7" w14:textId="77777777">
        <w:trPr>
          <w:trHeight w:val="160"/>
        </w:trPr>
        <w:tc>
          <w:tcPr>
            <w:tcW w:w="1350" w:type="dxa"/>
          </w:tcPr>
          <w:p w14:paraId="3E04E285" w14:textId="77777777" w:rsidR="00AE0598" w:rsidRDefault="0069255A">
            <w:pPr>
              <w:pStyle w:val="TableParagraph"/>
              <w:spacing w:line="140" w:lineRule="exact"/>
              <w:rPr>
                <w:sz w:val="14"/>
              </w:rPr>
            </w:pPr>
            <w:r>
              <w:rPr>
                <w:color w:val="231F20"/>
                <w:spacing w:val="-2"/>
                <w:w w:val="105"/>
                <w:sz w:val="14"/>
              </w:rPr>
              <w:t>holidays</w:t>
            </w:r>
          </w:p>
        </w:tc>
        <w:tc>
          <w:tcPr>
            <w:tcW w:w="1628" w:type="dxa"/>
          </w:tcPr>
          <w:p w14:paraId="5C72D737" w14:textId="77777777" w:rsidR="00AE0598" w:rsidRDefault="0069255A">
            <w:pPr>
              <w:pStyle w:val="TableParagraph"/>
              <w:spacing w:line="140" w:lineRule="exact"/>
              <w:ind w:left="41"/>
              <w:rPr>
                <w:sz w:val="14"/>
              </w:rPr>
            </w:pPr>
            <w:r>
              <w:rPr>
                <w:color w:val="231F20"/>
                <w:w w:val="105"/>
                <w:sz w:val="14"/>
              </w:rPr>
              <w:t>of</w:t>
            </w:r>
            <w:r>
              <w:rPr>
                <w:color w:val="231F20"/>
                <w:spacing w:val="-4"/>
                <w:w w:val="105"/>
                <w:sz w:val="14"/>
              </w:rPr>
              <w:t xml:space="preserve"> </w:t>
            </w:r>
            <w:r>
              <w:rPr>
                <w:color w:val="231F20"/>
                <w:w w:val="105"/>
                <w:sz w:val="14"/>
              </w:rPr>
              <w:t>a</w:t>
            </w:r>
            <w:r>
              <w:rPr>
                <w:color w:val="231F20"/>
                <w:spacing w:val="-4"/>
                <w:w w:val="105"/>
                <w:sz w:val="14"/>
              </w:rPr>
              <w:t xml:space="preserve"> </w:t>
            </w:r>
            <w:r>
              <w:rPr>
                <w:color w:val="231F20"/>
                <w:w w:val="105"/>
                <w:sz w:val="14"/>
              </w:rPr>
              <w:t>suite</w:t>
            </w:r>
            <w:r>
              <w:rPr>
                <w:color w:val="231F20"/>
                <w:spacing w:val="-4"/>
                <w:w w:val="105"/>
                <w:sz w:val="14"/>
              </w:rPr>
              <w:t xml:space="preserve"> </w:t>
            </w:r>
            <w:r>
              <w:rPr>
                <w:color w:val="231F20"/>
                <w:w w:val="105"/>
                <w:sz w:val="14"/>
              </w:rPr>
              <w:t>of</w:t>
            </w:r>
            <w:r>
              <w:rPr>
                <w:color w:val="231F20"/>
                <w:spacing w:val="-4"/>
                <w:w w:val="105"/>
                <w:sz w:val="14"/>
              </w:rPr>
              <w:t xml:space="preserve"> </w:t>
            </w:r>
            <w:r>
              <w:rPr>
                <w:color w:val="231F20"/>
                <w:spacing w:val="-2"/>
                <w:w w:val="105"/>
                <w:sz w:val="14"/>
              </w:rPr>
              <w:t>visitor</w:t>
            </w:r>
          </w:p>
        </w:tc>
        <w:tc>
          <w:tcPr>
            <w:tcW w:w="1635" w:type="dxa"/>
          </w:tcPr>
          <w:p w14:paraId="3CB73D16" w14:textId="77777777" w:rsidR="00AE0598" w:rsidRDefault="0069255A">
            <w:pPr>
              <w:pStyle w:val="TableParagraph"/>
              <w:spacing w:line="140" w:lineRule="exact"/>
              <w:ind w:left="57"/>
              <w:rPr>
                <w:sz w:val="14"/>
              </w:rPr>
            </w:pPr>
            <w:r>
              <w:rPr>
                <w:color w:val="231F20"/>
                <w:spacing w:val="-2"/>
                <w:sz w:val="14"/>
              </w:rPr>
              <w:t>resorts</w:t>
            </w:r>
          </w:p>
        </w:tc>
        <w:tc>
          <w:tcPr>
            <w:tcW w:w="1841" w:type="dxa"/>
          </w:tcPr>
          <w:p w14:paraId="5CAF423E" w14:textId="77777777" w:rsidR="00AE0598" w:rsidRDefault="00AE0598">
            <w:pPr>
              <w:pStyle w:val="TableParagraph"/>
              <w:rPr>
                <w:rFonts w:ascii="Times New Roman"/>
                <w:sz w:val="10"/>
              </w:rPr>
            </w:pPr>
          </w:p>
        </w:tc>
      </w:tr>
      <w:tr w:rsidR="00AE0598" w14:paraId="1409B11A" w14:textId="77777777">
        <w:trPr>
          <w:trHeight w:val="205"/>
        </w:trPr>
        <w:tc>
          <w:tcPr>
            <w:tcW w:w="1350" w:type="dxa"/>
            <w:tcBorders>
              <w:bottom w:val="single" w:sz="2" w:space="0" w:color="231F20"/>
            </w:tcBorders>
          </w:tcPr>
          <w:p w14:paraId="2462357C" w14:textId="77777777" w:rsidR="00AE0598" w:rsidRDefault="00AE0598">
            <w:pPr>
              <w:pStyle w:val="TableParagraph"/>
              <w:rPr>
                <w:rFonts w:ascii="Times New Roman"/>
                <w:sz w:val="14"/>
              </w:rPr>
            </w:pPr>
          </w:p>
        </w:tc>
        <w:tc>
          <w:tcPr>
            <w:tcW w:w="1628" w:type="dxa"/>
            <w:tcBorders>
              <w:bottom w:val="single" w:sz="2" w:space="0" w:color="231F20"/>
            </w:tcBorders>
          </w:tcPr>
          <w:p w14:paraId="66AA8BB2" w14:textId="77777777" w:rsidR="00AE0598" w:rsidRDefault="0069255A">
            <w:pPr>
              <w:pStyle w:val="TableParagraph"/>
              <w:spacing w:line="159" w:lineRule="exact"/>
              <w:ind w:left="41"/>
              <w:rPr>
                <w:sz w:val="14"/>
              </w:rPr>
            </w:pPr>
            <w:r>
              <w:rPr>
                <w:color w:val="231F20"/>
                <w:spacing w:val="-2"/>
                <w:sz w:val="14"/>
              </w:rPr>
              <w:t>activities</w:t>
            </w:r>
          </w:p>
        </w:tc>
        <w:tc>
          <w:tcPr>
            <w:tcW w:w="1635" w:type="dxa"/>
            <w:tcBorders>
              <w:bottom w:val="single" w:sz="2" w:space="0" w:color="231F20"/>
            </w:tcBorders>
          </w:tcPr>
          <w:p w14:paraId="37BE079A" w14:textId="77777777" w:rsidR="00AE0598" w:rsidRDefault="00AE0598">
            <w:pPr>
              <w:pStyle w:val="TableParagraph"/>
              <w:rPr>
                <w:rFonts w:ascii="Times New Roman"/>
                <w:sz w:val="14"/>
              </w:rPr>
            </w:pPr>
          </w:p>
        </w:tc>
        <w:tc>
          <w:tcPr>
            <w:tcW w:w="1841" w:type="dxa"/>
            <w:tcBorders>
              <w:bottom w:val="single" w:sz="2" w:space="0" w:color="231F20"/>
            </w:tcBorders>
          </w:tcPr>
          <w:p w14:paraId="103673EB" w14:textId="77777777" w:rsidR="00AE0598" w:rsidRDefault="00AE0598">
            <w:pPr>
              <w:pStyle w:val="TableParagraph"/>
              <w:rPr>
                <w:rFonts w:ascii="Times New Roman"/>
                <w:sz w:val="14"/>
              </w:rPr>
            </w:pPr>
          </w:p>
        </w:tc>
      </w:tr>
      <w:tr w:rsidR="00AE0598" w14:paraId="2F7059E9" w14:textId="77777777">
        <w:trPr>
          <w:trHeight w:val="214"/>
        </w:trPr>
        <w:tc>
          <w:tcPr>
            <w:tcW w:w="1350" w:type="dxa"/>
            <w:tcBorders>
              <w:top w:val="single" w:sz="2" w:space="0" w:color="231F20"/>
            </w:tcBorders>
          </w:tcPr>
          <w:p w14:paraId="52DBE4CC" w14:textId="77777777" w:rsidR="00AE0598" w:rsidRDefault="0069255A">
            <w:pPr>
              <w:pStyle w:val="TableParagraph"/>
              <w:spacing w:before="51" w:line="144" w:lineRule="exact"/>
              <w:rPr>
                <w:sz w:val="14"/>
              </w:rPr>
            </w:pPr>
            <w:r>
              <w:rPr>
                <w:color w:val="231F20"/>
                <w:w w:val="105"/>
                <w:sz w:val="14"/>
              </w:rPr>
              <w:t>Upmarket</w:t>
            </w:r>
            <w:r>
              <w:rPr>
                <w:color w:val="231F20"/>
                <w:spacing w:val="10"/>
                <w:w w:val="105"/>
                <w:sz w:val="14"/>
              </w:rPr>
              <w:t xml:space="preserve"> </w:t>
            </w:r>
            <w:r>
              <w:rPr>
                <w:color w:val="231F20"/>
                <w:spacing w:val="-2"/>
                <w:w w:val="105"/>
                <w:sz w:val="14"/>
              </w:rPr>
              <w:t>sports</w:t>
            </w:r>
          </w:p>
        </w:tc>
        <w:tc>
          <w:tcPr>
            <w:tcW w:w="1628" w:type="dxa"/>
            <w:tcBorders>
              <w:top w:val="single" w:sz="2" w:space="0" w:color="231F20"/>
            </w:tcBorders>
          </w:tcPr>
          <w:p w14:paraId="58E54258" w14:textId="77777777" w:rsidR="00AE0598" w:rsidRDefault="0069255A">
            <w:pPr>
              <w:pStyle w:val="TableParagraph"/>
              <w:spacing w:before="51" w:line="144" w:lineRule="exact"/>
              <w:ind w:left="41"/>
              <w:rPr>
                <w:sz w:val="14"/>
              </w:rPr>
            </w:pPr>
            <w:r>
              <w:rPr>
                <w:color w:val="231F20"/>
                <w:sz w:val="14"/>
              </w:rPr>
              <w:t>Golf</w:t>
            </w:r>
            <w:r>
              <w:rPr>
                <w:color w:val="231F20"/>
                <w:spacing w:val="5"/>
                <w:sz w:val="14"/>
              </w:rPr>
              <w:t xml:space="preserve"> </w:t>
            </w:r>
            <w:r>
              <w:rPr>
                <w:color w:val="231F20"/>
                <w:sz w:val="14"/>
              </w:rPr>
              <w:t>as</w:t>
            </w:r>
            <w:r>
              <w:rPr>
                <w:color w:val="231F20"/>
                <w:spacing w:val="6"/>
                <w:sz w:val="14"/>
              </w:rPr>
              <w:t xml:space="preserve"> </w:t>
            </w:r>
            <w:r>
              <w:rPr>
                <w:color w:val="231F20"/>
                <w:sz w:val="14"/>
              </w:rPr>
              <w:t>a</w:t>
            </w:r>
            <w:r>
              <w:rPr>
                <w:color w:val="231F20"/>
                <w:spacing w:val="5"/>
                <w:sz w:val="14"/>
              </w:rPr>
              <w:t xml:space="preserve"> </w:t>
            </w:r>
            <w:r>
              <w:rPr>
                <w:color w:val="231F20"/>
                <w:spacing w:val="-2"/>
                <w:sz w:val="14"/>
              </w:rPr>
              <w:t>specialised</w:t>
            </w:r>
          </w:p>
        </w:tc>
        <w:tc>
          <w:tcPr>
            <w:tcW w:w="1635" w:type="dxa"/>
            <w:tcBorders>
              <w:top w:val="single" w:sz="2" w:space="0" w:color="231F20"/>
            </w:tcBorders>
          </w:tcPr>
          <w:p w14:paraId="6E2F1ACF" w14:textId="77777777" w:rsidR="00AE0598" w:rsidRDefault="0069255A">
            <w:pPr>
              <w:pStyle w:val="TableParagraph"/>
              <w:spacing w:before="51" w:line="144" w:lineRule="exact"/>
              <w:ind w:left="57"/>
              <w:rPr>
                <w:sz w:val="14"/>
              </w:rPr>
            </w:pPr>
            <w:r>
              <w:rPr>
                <w:color w:val="231F20"/>
                <w:w w:val="105"/>
                <w:sz w:val="14"/>
              </w:rPr>
              <w:t>High</w:t>
            </w:r>
            <w:r>
              <w:rPr>
                <w:color w:val="231F20"/>
                <w:spacing w:val="8"/>
                <w:w w:val="105"/>
                <w:sz w:val="14"/>
              </w:rPr>
              <w:t xml:space="preserve"> </w:t>
            </w:r>
            <w:r>
              <w:rPr>
                <w:color w:val="231F20"/>
                <w:w w:val="105"/>
                <w:sz w:val="14"/>
              </w:rPr>
              <w:t>degree</w:t>
            </w:r>
            <w:r>
              <w:rPr>
                <w:color w:val="231F20"/>
                <w:spacing w:val="8"/>
                <w:w w:val="105"/>
                <w:sz w:val="14"/>
              </w:rPr>
              <w:t xml:space="preserve"> </w:t>
            </w:r>
            <w:r>
              <w:rPr>
                <w:color w:val="231F20"/>
                <w:w w:val="105"/>
                <w:sz w:val="14"/>
              </w:rPr>
              <w:t>of</w:t>
            </w:r>
            <w:r>
              <w:rPr>
                <w:color w:val="231F20"/>
                <w:spacing w:val="8"/>
                <w:w w:val="105"/>
                <w:sz w:val="14"/>
              </w:rPr>
              <w:t xml:space="preserve"> </w:t>
            </w:r>
            <w:r>
              <w:rPr>
                <w:color w:val="231F20"/>
                <w:spacing w:val="-2"/>
                <w:w w:val="105"/>
                <w:sz w:val="14"/>
              </w:rPr>
              <w:t>luxury.</w:t>
            </w:r>
          </w:p>
        </w:tc>
        <w:tc>
          <w:tcPr>
            <w:tcW w:w="1841" w:type="dxa"/>
            <w:tcBorders>
              <w:top w:val="single" w:sz="2" w:space="0" w:color="231F20"/>
            </w:tcBorders>
          </w:tcPr>
          <w:p w14:paraId="2024662C" w14:textId="77777777" w:rsidR="00AE0598" w:rsidRDefault="0069255A">
            <w:pPr>
              <w:pStyle w:val="TableParagraph"/>
              <w:spacing w:before="51" w:line="144" w:lineRule="exact"/>
              <w:ind w:left="47"/>
              <w:rPr>
                <w:sz w:val="14"/>
              </w:rPr>
            </w:pPr>
            <w:r>
              <w:rPr>
                <w:color w:val="231F20"/>
                <w:w w:val="105"/>
                <w:sz w:val="14"/>
              </w:rPr>
              <w:t>Domestic</w:t>
            </w:r>
            <w:r>
              <w:rPr>
                <w:color w:val="231F20"/>
                <w:spacing w:val="4"/>
                <w:w w:val="105"/>
                <w:sz w:val="14"/>
              </w:rPr>
              <w:t xml:space="preserve"> </w:t>
            </w:r>
            <w:r>
              <w:rPr>
                <w:color w:val="231F20"/>
                <w:w w:val="105"/>
                <w:sz w:val="14"/>
              </w:rPr>
              <w:t>and</w:t>
            </w:r>
            <w:r>
              <w:rPr>
                <w:color w:val="231F20"/>
                <w:spacing w:val="4"/>
                <w:w w:val="105"/>
                <w:sz w:val="14"/>
              </w:rPr>
              <w:t xml:space="preserve"> </w:t>
            </w:r>
            <w:r>
              <w:rPr>
                <w:color w:val="231F20"/>
                <w:spacing w:val="-2"/>
                <w:w w:val="105"/>
                <w:sz w:val="14"/>
              </w:rPr>
              <w:t>social</w:t>
            </w:r>
          </w:p>
        </w:tc>
      </w:tr>
      <w:tr w:rsidR="00AE0598" w14:paraId="40AB00B0" w14:textId="77777777">
        <w:trPr>
          <w:trHeight w:val="160"/>
        </w:trPr>
        <w:tc>
          <w:tcPr>
            <w:tcW w:w="1350" w:type="dxa"/>
          </w:tcPr>
          <w:p w14:paraId="043614C4" w14:textId="77777777" w:rsidR="00AE0598" w:rsidRDefault="0069255A">
            <w:pPr>
              <w:pStyle w:val="TableParagraph"/>
              <w:spacing w:line="140" w:lineRule="exact"/>
              <w:rPr>
                <w:sz w:val="14"/>
              </w:rPr>
            </w:pPr>
            <w:r>
              <w:rPr>
                <w:color w:val="231F20"/>
                <w:spacing w:val="-2"/>
                <w:w w:val="105"/>
                <w:sz w:val="14"/>
              </w:rPr>
              <w:t>holidays</w:t>
            </w:r>
          </w:p>
        </w:tc>
        <w:tc>
          <w:tcPr>
            <w:tcW w:w="1628" w:type="dxa"/>
          </w:tcPr>
          <w:p w14:paraId="29C763DE" w14:textId="77777777" w:rsidR="00AE0598" w:rsidRDefault="0069255A">
            <w:pPr>
              <w:pStyle w:val="TableParagraph"/>
              <w:spacing w:line="140" w:lineRule="exact"/>
              <w:ind w:left="41"/>
              <w:rPr>
                <w:sz w:val="14"/>
              </w:rPr>
            </w:pPr>
            <w:r>
              <w:rPr>
                <w:color w:val="231F20"/>
                <w:sz w:val="14"/>
              </w:rPr>
              <w:t>visitor</w:t>
            </w:r>
            <w:r>
              <w:rPr>
                <w:color w:val="231F20"/>
                <w:spacing w:val="11"/>
                <w:sz w:val="14"/>
              </w:rPr>
              <w:t xml:space="preserve"> </w:t>
            </w:r>
            <w:r>
              <w:rPr>
                <w:color w:val="231F20"/>
                <w:spacing w:val="-2"/>
                <w:sz w:val="14"/>
              </w:rPr>
              <w:t>activity</w:t>
            </w:r>
          </w:p>
        </w:tc>
        <w:tc>
          <w:tcPr>
            <w:tcW w:w="1635" w:type="dxa"/>
          </w:tcPr>
          <w:p w14:paraId="614F0C1F" w14:textId="77777777" w:rsidR="00AE0598" w:rsidRDefault="0069255A">
            <w:pPr>
              <w:pStyle w:val="TableParagraph"/>
              <w:spacing w:line="140" w:lineRule="exact"/>
              <w:ind w:left="57"/>
              <w:rPr>
                <w:sz w:val="14"/>
              </w:rPr>
            </w:pPr>
            <w:r>
              <w:rPr>
                <w:color w:val="231F20"/>
                <w:w w:val="105"/>
                <w:sz w:val="14"/>
              </w:rPr>
              <w:t>Second</w:t>
            </w:r>
            <w:r>
              <w:rPr>
                <w:color w:val="231F20"/>
                <w:spacing w:val="7"/>
                <w:w w:val="105"/>
                <w:sz w:val="14"/>
              </w:rPr>
              <w:t xml:space="preserve"> </w:t>
            </w:r>
            <w:r>
              <w:rPr>
                <w:color w:val="231F20"/>
                <w:w w:val="105"/>
                <w:sz w:val="14"/>
              </w:rPr>
              <w:t>home</w:t>
            </w:r>
            <w:r>
              <w:rPr>
                <w:color w:val="231F20"/>
                <w:spacing w:val="7"/>
                <w:w w:val="105"/>
                <w:sz w:val="14"/>
              </w:rPr>
              <w:t xml:space="preserve"> </w:t>
            </w:r>
            <w:r>
              <w:rPr>
                <w:color w:val="231F20"/>
                <w:spacing w:val="-2"/>
                <w:w w:val="105"/>
                <w:sz w:val="14"/>
              </w:rPr>
              <w:t>develop-</w:t>
            </w:r>
          </w:p>
        </w:tc>
        <w:tc>
          <w:tcPr>
            <w:tcW w:w="1841" w:type="dxa"/>
          </w:tcPr>
          <w:p w14:paraId="3090DE40" w14:textId="77777777" w:rsidR="00AE0598" w:rsidRDefault="0069255A">
            <w:pPr>
              <w:pStyle w:val="TableParagraph"/>
              <w:spacing w:line="140" w:lineRule="exact"/>
              <w:ind w:left="47"/>
              <w:rPr>
                <w:sz w:val="14"/>
              </w:rPr>
            </w:pPr>
            <w:r>
              <w:rPr>
                <w:color w:val="231F20"/>
                <w:spacing w:val="-2"/>
                <w:sz w:val="14"/>
              </w:rPr>
              <w:t>activities</w:t>
            </w:r>
          </w:p>
        </w:tc>
      </w:tr>
      <w:tr w:rsidR="00AE0598" w14:paraId="3673E80E" w14:textId="77777777">
        <w:trPr>
          <w:trHeight w:val="159"/>
        </w:trPr>
        <w:tc>
          <w:tcPr>
            <w:tcW w:w="1350" w:type="dxa"/>
          </w:tcPr>
          <w:p w14:paraId="7B4625B1" w14:textId="77777777" w:rsidR="00AE0598" w:rsidRDefault="00AE0598">
            <w:pPr>
              <w:pStyle w:val="TableParagraph"/>
              <w:rPr>
                <w:rFonts w:ascii="Times New Roman"/>
                <w:sz w:val="10"/>
              </w:rPr>
            </w:pPr>
          </w:p>
        </w:tc>
        <w:tc>
          <w:tcPr>
            <w:tcW w:w="1628" w:type="dxa"/>
          </w:tcPr>
          <w:p w14:paraId="4D20FBA0" w14:textId="77777777" w:rsidR="00AE0598" w:rsidRDefault="00AE0598">
            <w:pPr>
              <w:pStyle w:val="TableParagraph"/>
              <w:rPr>
                <w:rFonts w:ascii="Times New Roman"/>
                <w:sz w:val="10"/>
              </w:rPr>
            </w:pPr>
          </w:p>
        </w:tc>
        <w:tc>
          <w:tcPr>
            <w:tcW w:w="1635" w:type="dxa"/>
          </w:tcPr>
          <w:p w14:paraId="0561FA93" w14:textId="77777777" w:rsidR="00AE0598" w:rsidRDefault="0069255A">
            <w:pPr>
              <w:pStyle w:val="TableParagraph"/>
              <w:spacing w:line="140" w:lineRule="exact"/>
              <w:ind w:left="57"/>
              <w:rPr>
                <w:sz w:val="14"/>
              </w:rPr>
            </w:pPr>
            <w:r>
              <w:rPr>
                <w:color w:val="231F20"/>
                <w:sz w:val="14"/>
              </w:rPr>
              <w:t>ments</w:t>
            </w:r>
            <w:r>
              <w:rPr>
                <w:color w:val="231F20"/>
                <w:spacing w:val="11"/>
                <w:sz w:val="14"/>
              </w:rPr>
              <w:t xml:space="preserve"> </w:t>
            </w:r>
            <w:r>
              <w:rPr>
                <w:color w:val="231F20"/>
                <w:sz w:val="14"/>
              </w:rPr>
              <w:t>adjacent</w:t>
            </w:r>
            <w:r>
              <w:rPr>
                <w:color w:val="231F20"/>
                <w:spacing w:val="12"/>
                <w:sz w:val="14"/>
              </w:rPr>
              <w:t xml:space="preserve"> </w:t>
            </w:r>
            <w:r>
              <w:rPr>
                <w:color w:val="231F20"/>
                <w:sz w:val="14"/>
              </w:rPr>
              <w:t>to</w:t>
            </w:r>
            <w:r>
              <w:rPr>
                <w:color w:val="231F20"/>
                <w:spacing w:val="12"/>
                <w:sz w:val="14"/>
              </w:rPr>
              <w:t xml:space="preserve"> </w:t>
            </w:r>
            <w:r>
              <w:rPr>
                <w:color w:val="231F20"/>
                <w:spacing w:val="-4"/>
                <w:sz w:val="14"/>
              </w:rPr>
              <w:t>golf</w:t>
            </w:r>
          </w:p>
        </w:tc>
        <w:tc>
          <w:tcPr>
            <w:tcW w:w="1841" w:type="dxa"/>
          </w:tcPr>
          <w:p w14:paraId="1AD69DE4" w14:textId="77777777" w:rsidR="00AE0598" w:rsidRDefault="00AE0598">
            <w:pPr>
              <w:pStyle w:val="TableParagraph"/>
              <w:rPr>
                <w:rFonts w:ascii="Times New Roman"/>
                <w:sz w:val="10"/>
              </w:rPr>
            </w:pPr>
          </w:p>
        </w:tc>
      </w:tr>
      <w:tr w:rsidR="00AE0598" w14:paraId="3D88FD48" w14:textId="77777777">
        <w:trPr>
          <w:trHeight w:val="205"/>
        </w:trPr>
        <w:tc>
          <w:tcPr>
            <w:tcW w:w="1350" w:type="dxa"/>
            <w:tcBorders>
              <w:bottom w:val="single" w:sz="2" w:space="0" w:color="231F20"/>
            </w:tcBorders>
          </w:tcPr>
          <w:p w14:paraId="179A2BB8" w14:textId="77777777" w:rsidR="00AE0598" w:rsidRDefault="00AE0598">
            <w:pPr>
              <w:pStyle w:val="TableParagraph"/>
              <w:rPr>
                <w:rFonts w:ascii="Times New Roman"/>
                <w:sz w:val="14"/>
              </w:rPr>
            </w:pPr>
          </w:p>
        </w:tc>
        <w:tc>
          <w:tcPr>
            <w:tcW w:w="1628" w:type="dxa"/>
            <w:tcBorders>
              <w:bottom w:val="single" w:sz="2" w:space="0" w:color="231F20"/>
            </w:tcBorders>
          </w:tcPr>
          <w:p w14:paraId="108BE207" w14:textId="77777777" w:rsidR="00AE0598" w:rsidRDefault="00AE0598">
            <w:pPr>
              <w:pStyle w:val="TableParagraph"/>
              <w:rPr>
                <w:rFonts w:ascii="Times New Roman"/>
                <w:sz w:val="14"/>
              </w:rPr>
            </w:pPr>
          </w:p>
        </w:tc>
        <w:tc>
          <w:tcPr>
            <w:tcW w:w="1635" w:type="dxa"/>
            <w:tcBorders>
              <w:bottom w:val="single" w:sz="2" w:space="0" w:color="231F20"/>
            </w:tcBorders>
          </w:tcPr>
          <w:p w14:paraId="616AD226" w14:textId="77777777" w:rsidR="00AE0598" w:rsidRDefault="0069255A">
            <w:pPr>
              <w:pStyle w:val="TableParagraph"/>
              <w:spacing w:line="159" w:lineRule="exact"/>
              <w:ind w:left="57"/>
              <w:rPr>
                <w:sz w:val="14"/>
              </w:rPr>
            </w:pPr>
            <w:r>
              <w:rPr>
                <w:color w:val="231F20"/>
                <w:spacing w:val="-2"/>
                <w:sz w:val="14"/>
              </w:rPr>
              <w:t>courses</w:t>
            </w:r>
          </w:p>
        </w:tc>
        <w:tc>
          <w:tcPr>
            <w:tcW w:w="1841" w:type="dxa"/>
            <w:tcBorders>
              <w:bottom w:val="single" w:sz="2" w:space="0" w:color="231F20"/>
            </w:tcBorders>
          </w:tcPr>
          <w:p w14:paraId="5A0CF111" w14:textId="77777777" w:rsidR="00AE0598" w:rsidRDefault="00AE0598">
            <w:pPr>
              <w:pStyle w:val="TableParagraph"/>
              <w:rPr>
                <w:rFonts w:ascii="Times New Roman"/>
                <w:sz w:val="14"/>
              </w:rPr>
            </w:pPr>
          </w:p>
        </w:tc>
      </w:tr>
      <w:tr w:rsidR="00AE0598" w14:paraId="570DADE4" w14:textId="77777777">
        <w:trPr>
          <w:trHeight w:val="214"/>
        </w:trPr>
        <w:tc>
          <w:tcPr>
            <w:tcW w:w="1350" w:type="dxa"/>
            <w:tcBorders>
              <w:top w:val="single" w:sz="2" w:space="0" w:color="231F20"/>
            </w:tcBorders>
          </w:tcPr>
          <w:p w14:paraId="4B698068" w14:textId="77777777" w:rsidR="00AE0598" w:rsidRDefault="0069255A">
            <w:pPr>
              <w:pStyle w:val="TableParagraph"/>
              <w:spacing w:before="51" w:line="144" w:lineRule="exact"/>
              <w:rPr>
                <w:sz w:val="14"/>
              </w:rPr>
            </w:pPr>
            <w:r>
              <w:rPr>
                <w:color w:val="231F20"/>
                <w:sz w:val="14"/>
              </w:rPr>
              <w:t>Elite</w:t>
            </w:r>
            <w:r>
              <w:rPr>
                <w:color w:val="231F20"/>
                <w:spacing w:val="-3"/>
                <w:sz w:val="14"/>
              </w:rPr>
              <w:t xml:space="preserve"> </w:t>
            </w:r>
            <w:r>
              <w:rPr>
                <w:color w:val="231F20"/>
                <w:spacing w:val="-2"/>
                <w:sz w:val="14"/>
              </w:rPr>
              <w:t>training</w:t>
            </w:r>
          </w:p>
        </w:tc>
        <w:tc>
          <w:tcPr>
            <w:tcW w:w="1628" w:type="dxa"/>
            <w:tcBorders>
              <w:top w:val="single" w:sz="2" w:space="0" w:color="231F20"/>
            </w:tcBorders>
          </w:tcPr>
          <w:p w14:paraId="296FFA09" w14:textId="77777777" w:rsidR="00AE0598" w:rsidRDefault="0069255A">
            <w:pPr>
              <w:pStyle w:val="TableParagraph"/>
              <w:spacing w:before="51" w:line="144" w:lineRule="exact"/>
              <w:ind w:left="41"/>
              <w:rPr>
                <w:sz w:val="14"/>
              </w:rPr>
            </w:pPr>
            <w:r>
              <w:rPr>
                <w:color w:val="231F20"/>
                <w:sz w:val="14"/>
              </w:rPr>
              <w:t>Seek</w:t>
            </w:r>
            <w:r>
              <w:rPr>
                <w:color w:val="231F20"/>
                <w:spacing w:val="30"/>
                <w:sz w:val="14"/>
              </w:rPr>
              <w:t xml:space="preserve"> </w:t>
            </w:r>
            <w:r>
              <w:rPr>
                <w:color w:val="231F20"/>
                <w:sz w:val="14"/>
              </w:rPr>
              <w:t>competition</w:t>
            </w:r>
            <w:r>
              <w:rPr>
                <w:color w:val="231F20"/>
                <w:spacing w:val="30"/>
                <w:sz w:val="14"/>
              </w:rPr>
              <w:t xml:space="preserve"> </w:t>
            </w:r>
            <w:r>
              <w:rPr>
                <w:color w:val="231F20"/>
                <w:spacing w:val="-5"/>
                <w:sz w:val="14"/>
              </w:rPr>
              <w:t>and</w:t>
            </w:r>
          </w:p>
        </w:tc>
        <w:tc>
          <w:tcPr>
            <w:tcW w:w="1635" w:type="dxa"/>
            <w:tcBorders>
              <w:top w:val="single" w:sz="2" w:space="0" w:color="231F20"/>
            </w:tcBorders>
          </w:tcPr>
          <w:p w14:paraId="47D80675" w14:textId="77777777" w:rsidR="00AE0598" w:rsidRDefault="0069255A">
            <w:pPr>
              <w:pStyle w:val="TableParagraph"/>
              <w:spacing w:before="51" w:line="144" w:lineRule="exact"/>
              <w:ind w:left="57"/>
              <w:rPr>
                <w:sz w:val="14"/>
              </w:rPr>
            </w:pPr>
            <w:r>
              <w:rPr>
                <w:color w:val="231F20"/>
                <w:w w:val="105"/>
                <w:sz w:val="14"/>
              </w:rPr>
              <w:t>Networks</w:t>
            </w:r>
            <w:r>
              <w:rPr>
                <w:color w:val="231F20"/>
                <w:spacing w:val="11"/>
                <w:w w:val="105"/>
                <w:sz w:val="14"/>
              </w:rPr>
              <w:t xml:space="preserve"> </w:t>
            </w:r>
            <w:r>
              <w:rPr>
                <w:color w:val="231F20"/>
                <w:w w:val="105"/>
                <w:sz w:val="14"/>
              </w:rPr>
              <w:t>of</w:t>
            </w:r>
            <w:r>
              <w:rPr>
                <w:color w:val="231F20"/>
                <w:spacing w:val="12"/>
                <w:w w:val="105"/>
                <w:sz w:val="14"/>
              </w:rPr>
              <w:t xml:space="preserve"> </w:t>
            </w:r>
            <w:r>
              <w:rPr>
                <w:color w:val="231F20"/>
                <w:spacing w:val="-4"/>
                <w:w w:val="105"/>
                <w:sz w:val="14"/>
              </w:rPr>
              <w:t>golf</w:t>
            </w:r>
          </w:p>
        </w:tc>
        <w:tc>
          <w:tcPr>
            <w:tcW w:w="1841" w:type="dxa"/>
            <w:tcBorders>
              <w:top w:val="single" w:sz="2" w:space="0" w:color="231F20"/>
            </w:tcBorders>
          </w:tcPr>
          <w:p w14:paraId="457C9284" w14:textId="77777777" w:rsidR="00AE0598" w:rsidRDefault="0069255A">
            <w:pPr>
              <w:pStyle w:val="TableParagraph"/>
              <w:spacing w:before="51" w:line="143" w:lineRule="exact"/>
              <w:ind w:left="47"/>
              <w:rPr>
                <w:sz w:val="14"/>
              </w:rPr>
            </w:pPr>
            <w:r>
              <w:rPr>
                <w:color w:val="231F20"/>
                <w:w w:val="105"/>
                <w:sz w:val="14"/>
              </w:rPr>
              <w:t>Coaching</w:t>
            </w:r>
            <w:r>
              <w:rPr>
                <w:color w:val="231F20"/>
                <w:spacing w:val="15"/>
                <w:w w:val="105"/>
                <w:sz w:val="14"/>
              </w:rPr>
              <w:t xml:space="preserve"> </w:t>
            </w:r>
            <w:r>
              <w:rPr>
                <w:color w:val="231F20"/>
                <w:spacing w:val="-2"/>
                <w:w w:val="105"/>
                <w:sz w:val="14"/>
              </w:rPr>
              <w:t>clinics,</w:t>
            </w:r>
          </w:p>
        </w:tc>
      </w:tr>
      <w:tr w:rsidR="00AE0598" w14:paraId="39566552" w14:textId="77777777">
        <w:trPr>
          <w:trHeight w:val="160"/>
        </w:trPr>
        <w:tc>
          <w:tcPr>
            <w:tcW w:w="1350" w:type="dxa"/>
          </w:tcPr>
          <w:p w14:paraId="42D4D8CC" w14:textId="77777777" w:rsidR="00AE0598" w:rsidRDefault="00AE0598">
            <w:pPr>
              <w:pStyle w:val="TableParagraph"/>
              <w:rPr>
                <w:rFonts w:ascii="Times New Roman"/>
                <w:sz w:val="10"/>
              </w:rPr>
            </w:pPr>
          </w:p>
        </w:tc>
        <w:tc>
          <w:tcPr>
            <w:tcW w:w="1628" w:type="dxa"/>
          </w:tcPr>
          <w:p w14:paraId="7A8DE332" w14:textId="77777777" w:rsidR="00AE0598" w:rsidRDefault="0069255A">
            <w:pPr>
              <w:pStyle w:val="TableParagraph"/>
              <w:spacing w:line="140" w:lineRule="exact"/>
              <w:ind w:left="41"/>
              <w:rPr>
                <w:sz w:val="14"/>
              </w:rPr>
            </w:pPr>
            <w:r>
              <w:rPr>
                <w:color w:val="231F20"/>
                <w:w w:val="105"/>
                <w:sz w:val="14"/>
              </w:rPr>
              <w:t>being</w:t>
            </w:r>
            <w:r>
              <w:rPr>
                <w:color w:val="231F20"/>
                <w:spacing w:val="3"/>
                <w:w w:val="105"/>
                <w:sz w:val="14"/>
              </w:rPr>
              <w:t xml:space="preserve"> </w:t>
            </w:r>
            <w:r>
              <w:rPr>
                <w:color w:val="231F20"/>
                <w:w w:val="105"/>
                <w:sz w:val="14"/>
              </w:rPr>
              <w:t>challenged</w:t>
            </w:r>
            <w:r>
              <w:rPr>
                <w:color w:val="231F20"/>
                <w:spacing w:val="6"/>
                <w:w w:val="105"/>
                <w:sz w:val="14"/>
              </w:rPr>
              <w:t xml:space="preserve"> </w:t>
            </w:r>
            <w:r>
              <w:rPr>
                <w:color w:val="231F20"/>
                <w:w w:val="105"/>
                <w:sz w:val="14"/>
              </w:rPr>
              <w:t>by</w:t>
            </w:r>
            <w:r>
              <w:rPr>
                <w:color w:val="231F20"/>
                <w:spacing w:val="6"/>
                <w:w w:val="105"/>
                <w:sz w:val="14"/>
              </w:rPr>
              <w:t xml:space="preserve"> </w:t>
            </w:r>
            <w:r>
              <w:rPr>
                <w:color w:val="231F20"/>
                <w:spacing w:val="-10"/>
                <w:w w:val="105"/>
                <w:sz w:val="14"/>
              </w:rPr>
              <w:t>a</w:t>
            </w:r>
          </w:p>
        </w:tc>
        <w:tc>
          <w:tcPr>
            <w:tcW w:w="1635" w:type="dxa"/>
          </w:tcPr>
          <w:p w14:paraId="3051F43E" w14:textId="77777777" w:rsidR="00AE0598" w:rsidRDefault="0069255A">
            <w:pPr>
              <w:pStyle w:val="TableParagraph"/>
              <w:spacing w:line="140" w:lineRule="exact"/>
              <w:ind w:left="57"/>
              <w:rPr>
                <w:sz w:val="14"/>
              </w:rPr>
            </w:pPr>
            <w:r>
              <w:rPr>
                <w:color w:val="231F20"/>
                <w:w w:val="105"/>
                <w:sz w:val="14"/>
              </w:rPr>
              <w:t>courses</w:t>
            </w:r>
            <w:r>
              <w:rPr>
                <w:color w:val="231F20"/>
                <w:spacing w:val="6"/>
                <w:w w:val="105"/>
                <w:sz w:val="14"/>
              </w:rPr>
              <w:t xml:space="preserve"> </w:t>
            </w:r>
            <w:r>
              <w:rPr>
                <w:color w:val="231F20"/>
                <w:w w:val="105"/>
                <w:sz w:val="14"/>
              </w:rPr>
              <w:t>forming</w:t>
            </w:r>
            <w:r>
              <w:rPr>
                <w:color w:val="231F20"/>
                <w:spacing w:val="7"/>
                <w:w w:val="105"/>
                <w:sz w:val="14"/>
              </w:rPr>
              <w:t xml:space="preserve"> </w:t>
            </w:r>
            <w:r>
              <w:rPr>
                <w:color w:val="231F20"/>
                <w:spacing w:val="-4"/>
                <w:w w:val="105"/>
                <w:sz w:val="14"/>
              </w:rPr>
              <w:t>golf</w:t>
            </w:r>
          </w:p>
        </w:tc>
        <w:tc>
          <w:tcPr>
            <w:tcW w:w="1841" w:type="dxa"/>
          </w:tcPr>
          <w:p w14:paraId="5313CAC2" w14:textId="77777777" w:rsidR="00AE0598" w:rsidRDefault="0069255A">
            <w:pPr>
              <w:pStyle w:val="TableParagraph"/>
              <w:spacing w:line="140" w:lineRule="exact"/>
              <w:ind w:left="47"/>
              <w:rPr>
                <w:sz w:val="14"/>
              </w:rPr>
            </w:pPr>
            <w:r>
              <w:rPr>
                <w:color w:val="231F20"/>
                <w:sz w:val="14"/>
              </w:rPr>
              <w:t>professional</w:t>
            </w:r>
            <w:r>
              <w:rPr>
                <w:color w:val="231F20"/>
                <w:spacing w:val="50"/>
                <w:sz w:val="14"/>
              </w:rPr>
              <w:t xml:space="preserve"> </w:t>
            </w:r>
            <w:r>
              <w:rPr>
                <w:color w:val="231F20"/>
                <w:spacing w:val="-2"/>
                <w:sz w:val="14"/>
              </w:rPr>
              <w:t>advice,</w:t>
            </w:r>
          </w:p>
        </w:tc>
      </w:tr>
      <w:tr w:rsidR="00AE0598" w14:paraId="72762E44" w14:textId="77777777">
        <w:trPr>
          <w:trHeight w:val="205"/>
        </w:trPr>
        <w:tc>
          <w:tcPr>
            <w:tcW w:w="1350" w:type="dxa"/>
            <w:tcBorders>
              <w:bottom w:val="single" w:sz="2" w:space="0" w:color="231F20"/>
            </w:tcBorders>
          </w:tcPr>
          <w:p w14:paraId="4279C365" w14:textId="77777777" w:rsidR="00AE0598" w:rsidRDefault="00AE0598">
            <w:pPr>
              <w:pStyle w:val="TableParagraph"/>
              <w:rPr>
                <w:rFonts w:ascii="Times New Roman"/>
                <w:sz w:val="14"/>
              </w:rPr>
            </w:pPr>
          </w:p>
        </w:tc>
        <w:tc>
          <w:tcPr>
            <w:tcW w:w="1628" w:type="dxa"/>
            <w:tcBorders>
              <w:bottom w:val="single" w:sz="2" w:space="0" w:color="231F20"/>
            </w:tcBorders>
          </w:tcPr>
          <w:p w14:paraId="5449D3E7" w14:textId="77777777" w:rsidR="00AE0598" w:rsidRDefault="0069255A">
            <w:pPr>
              <w:pStyle w:val="TableParagraph"/>
              <w:spacing w:line="159" w:lineRule="exact"/>
              <w:ind w:left="41"/>
              <w:rPr>
                <w:sz w:val="14"/>
              </w:rPr>
            </w:pPr>
            <w:r>
              <w:rPr>
                <w:color w:val="231F20"/>
                <w:w w:val="105"/>
                <w:sz w:val="14"/>
              </w:rPr>
              <w:t>range</w:t>
            </w:r>
            <w:r>
              <w:rPr>
                <w:color w:val="231F20"/>
                <w:spacing w:val="7"/>
                <w:w w:val="105"/>
                <w:sz w:val="14"/>
              </w:rPr>
              <w:t xml:space="preserve"> </w:t>
            </w:r>
            <w:r>
              <w:rPr>
                <w:color w:val="231F20"/>
                <w:w w:val="105"/>
                <w:sz w:val="14"/>
              </w:rPr>
              <w:t>of</w:t>
            </w:r>
            <w:r>
              <w:rPr>
                <w:color w:val="231F20"/>
                <w:spacing w:val="8"/>
                <w:w w:val="105"/>
                <w:sz w:val="14"/>
              </w:rPr>
              <w:t xml:space="preserve"> </w:t>
            </w:r>
            <w:r>
              <w:rPr>
                <w:color w:val="231F20"/>
                <w:w w:val="105"/>
                <w:sz w:val="14"/>
              </w:rPr>
              <w:t>golf</w:t>
            </w:r>
            <w:r>
              <w:rPr>
                <w:color w:val="231F20"/>
                <w:spacing w:val="8"/>
                <w:w w:val="105"/>
                <w:sz w:val="14"/>
              </w:rPr>
              <w:t xml:space="preserve"> </w:t>
            </w:r>
            <w:r>
              <w:rPr>
                <w:color w:val="231F20"/>
                <w:spacing w:val="-2"/>
                <w:w w:val="105"/>
                <w:sz w:val="14"/>
              </w:rPr>
              <w:t>courses</w:t>
            </w:r>
          </w:p>
        </w:tc>
        <w:tc>
          <w:tcPr>
            <w:tcW w:w="1635" w:type="dxa"/>
            <w:tcBorders>
              <w:bottom w:val="single" w:sz="2" w:space="0" w:color="231F20"/>
            </w:tcBorders>
          </w:tcPr>
          <w:p w14:paraId="2F53396F" w14:textId="77777777" w:rsidR="00AE0598" w:rsidRDefault="0069255A">
            <w:pPr>
              <w:pStyle w:val="TableParagraph"/>
              <w:spacing w:line="159" w:lineRule="exact"/>
              <w:ind w:left="57"/>
              <w:rPr>
                <w:sz w:val="14"/>
              </w:rPr>
            </w:pPr>
            <w:r>
              <w:rPr>
                <w:color w:val="231F20"/>
                <w:spacing w:val="-2"/>
                <w:w w:val="105"/>
                <w:sz w:val="14"/>
              </w:rPr>
              <w:t>regions</w:t>
            </w:r>
          </w:p>
        </w:tc>
        <w:tc>
          <w:tcPr>
            <w:tcW w:w="1841" w:type="dxa"/>
            <w:tcBorders>
              <w:bottom w:val="single" w:sz="2" w:space="0" w:color="231F20"/>
            </w:tcBorders>
          </w:tcPr>
          <w:p w14:paraId="26CF1C1C" w14:textId="77777777" w:rsidR="00AE0598" w:rsidRDefault="0069255A">
            <w:pPr>
              <w:pStyle w:val="TableParagraph"/>
              <w:spacing w:line="159" w:lineRule="exact"/>
              <w:ind w:left="47"/>
              <w:rPr>
                <w:sz w:val="14"/>
              </w:rPr>
            </w:pPr>
            <w:r>
              <w:rPr>
                <w:color w:val="231F20"/>
                <w:w w:val="105"/>
                <w:sz w:val="14"/>
              </w:rPr>
              <w:t>purchase</w:t>
            </w:r>
            <w:r>
              <w:rPr>
                <w:color w:val="231F20"/>
                <w:spacing w:val="-1"/>
                <w:w w:val="105"/>
                <w:sz w:val="14"/>
              </w:rPr>
              <w:t xml:space="preserve"> </w:t>
            </w:r>
            <w:r>
              <w:rPr>
                <w:color w:val="231F20"/>
                <w:w w:val="105"/>
                <w:sz w:val="14"/>
              </w:rPr>
              <w:t xml:space="preserve">of </w:t>
            </w:r>
            <w:r>
              <w:rPr>
                <w:color w:val="231F20"/>
                <w:spacing w:val="-2"/>
                <w:w w:val="105"/>
                <w:sz w:val="14"/>
              </w:rPr>
              <w:t>equipment</w:t>
            </w:r>
          </w:p>
        </w:tc>
      </w:tr>
    </w:tbl>
    <w:p w14:paraId="3AD9ED93" w14:textId="77777777" w:rsidR="00AE0598" w:rsidRDefault="0069255A">
      <w:pPr>
        <w:spacing w:before="71"/>
        <w:ind w:left="110"/>
        <w:rPr>
          <w:rFonts w:ascii="Trebuchet MS"/>
          <w:sz w:val="14"/>
        </w:rPr>
      </w:pPr>
      <w:r>
        <w:rPr>
          <w:rFonts w:ascii="Trebuchet MS"/>
          <w:color w:val="231F20"/>
          <w:sz w:val="14"/>
        </w:rPr>
        <w:t>Source:</w:t>
      </w:r>
      <w:r>
        <w:rPr>
          <w:rFonts w:ascii="Trebuchet MS"/>
          <w:color w:val="231F20"/>
          <w:spacing w:val="16"/>
          <w:sz w:val="14"/>
        </w:rPr>
        <w:t xml:space="preserve"> </w:t>
      </w:r>
      <w:r>
        <w:rPr>
          <w:rFonts w:ascii="Trebuchet MS"/>
          <w:color w:val="231F20"/>
          <w:sz w:val="14"/>
        </w:rPr>
        <w:t>Adapted</w:t>
      </w:r>
      <w:r>
        <w:rPr>
          <w:rFonts w:ascii="Trebuchet MS"/>
          <w:color w:val="231F20"/>
          <w:spacing w:val="17"/>
          <w:sz w:val="14"/>
        </w:rPr>
        <w:t xml:space="preserve"> </w:t>
      </w:r>
      <w:r>
        <w:rPr>
          <w:rFonts w:ascii="Trebuchet MS"/>
          <w:color w:val="231F20"/>
          <w:sz w:val="14"/>
        </w:rPr>
        <w:t>from</w:t>
      </w:r>
      <w:r>
        <w:rPr>
          <w:rFonts w:ascii="Trebuchet MS"/>
          <w:color w:val="231F20"/>
          <w:spacing w:val="17"/>
          <w:sz w:val="14"/>
        </w:rPr>
        <w:t xml:space="preserve"> </w:t>
      </w:r>
      <w:r>
        <w:rPr>
          <w:rFonts w:ascii="Trebuchet MS"/>
          <w:color w:val="231F20"/>
          <w:sz w:val="14"/>
        </w:rPr>
        <w:t>Glyptis</w:t>
      </w:r>
      <w:r>
        <w:rPr>
          <w:rFonts w:ascii="Trebuchet MS"/>
          <w:color w:val="231F20"/>
          <w:spacing w:val="17"/>
          <w:sz w:val="14"/>
        </w:rPr>
        <w:t xml:space="preserve"> </w:t>
      </w:r>
      <w:r>
        <w:rPr>
          <w:rFonts w:ascii="Trebuchet MS"/>
          <w:color w:val="231F20"/>
          <w:sz w:val="14"/>
        </w:rPr>
        <w:t>(1982)</w:t>
      </w:r>
      <w:r>
        <w:rPr>
          <w:rFonts w:ascii="Trebuchet MS"/>
          <w:color w:val="231F20"/>
          <w:spacing w:val="17"/>
          <w:sz w:val="14"/>
        </w:rPr>
        <w:t xml:space="preserve"> </w:t>
      </w:r>
      <w:r>
        <w:rPr>
          <w:rFonts w:ascii="Trebuchet MS"/>
          <w:color w:val="231F20"/>
          <w:sz w:val="14"/>
        </w:rPr>
        <w:t>and</w:t>
      </w:r>
      <w:r>
        <w:rPr>
          <w:rFonts w:ascii="Trebuchet MS"/>
          <w:color w:val="231F20"/>
          <w:spacing w:val="17"/>
          <w:sz w:val="14"/>
        </w:rPr>
        <w:t xml:space="preserve"> </w:t>
      </w:r>
      <w:r>
        <w:rPr>
          <w:rFonts w:ascii="Trebuchet MS"/>
          <w:color w:val="231F20"/>
          <w:sz w:val="14"/>
        </w:rPr>
        <w:t>Priestley</w:t>
      </w:r>
      <w:r>
        <w:rPr>
          <w:rFonts w:ascii="Trebuchet MS"/>
          <w:color w:val="231F20"/>
          <w:spacing w:val="17"/>
          <w:sz w:val="14"/>
        </w:rPr>
        <w:t xml:space="preserve"> </w:t>
      </w:r>
      <w:r>
        <w:rPr>
          <w:rFonts w:ascii="Trebuchet MS"/>
          <w:color w:val="231F20"/>
          <w:spacing w:val="-2"/>
          <w:sz w:val="14"/>
        </w:rPr>
        <w:t>(1995).</w:t>
      </w:r>
    </w:p>
    <w:p w14:paraId="557BF871" w14:textId="77777777" w:rsidR="00AE0598" w:rsidRDefault="00AE0598">
      <w:pPr>
        <w:rPr>
          <w:rFonts w:ascii="Trebuchet MS"/>
          <w:sz w:val="14"/>
        </w:rPr>
        <w:sectPr w:rsidR="00AE0598">
          <w:type w:val="continuous"/>
          <w:pgSz w:w="8850" w:h="13270"/>
          <w:pgMar w:top="1080" w:right="1060" w:bottom="280" w:left="1080" w:header="720" w:footer="720" w:gutter="0"/>
          <w:cols w:space="720"/>
        </w:sectPr>
      </w:pPr>
    </w:p>
    <w:p w14:paraId="0FF6F14D" w14:textId="77777777" w:rsidR="00AE0598" w:rsidRDefault="0069255A">
      <w:pPr>
        <w:spacing w:before="87"/>
        <w:ind w:left="108"/>
        <w:rPr>
          <w:rFonts w:ascii="Trebuchet MS"/>
          <w:sz w:val="14"/>
        </w:rPr>
      </w:pPr>
      <w:r>
        <w:rPr>
          <w:rFonts w:ascii="Trebuchet MS"/>
          <w:color w:val="231F20"/>
          <w:w w:val="105"/>
          <w:sz w:val="14"/>
        </w:rPr>
        <w:lastRenderedPageBreak/>
        <w:t>174</w:t>
      </w:r>
      <w:r>
        <w:rPr>
          <w:rFonts w:ascii="Trebuchet MS"/>
          <w:color w:val="231F20"/>
          <w:spacing w:val="66"/>
          <w:w w:val="150"/>
          <w:sz w:val="14"/>
        </w:rPr>
        <w:t xml:space="preserve"> </w:t>
      </w:r>
      <w:r>
        <w:rPr>
          <w:rFonts w:ascii="Trebuchet MS"/>
          <w:color w:val="231F20"/>
          <w:w w:val="105"/>
          <w:sz w:val="14"/>
        </w:rPr>
        <w:t>Part</w:t>
      </w:r>
      <w:r>
        <w:rPr>
          <w:rFonts w:ascii="Trebuchet MS"/>
          <w:color w:val="231F20"/>
          <w:spacing w:val="-9"/>
          <w:w w:val="105"/>
          <w:sz w:val="14"/>
        </w:rPr>
        <w:t xml:space="preserve"> </w:t>
      </w:r>
      <w:r>
        <w:rPr>
          <w:rFonts w:ascii="Trebuchet MS"/>
          <w:color w:val="231F20"/>
          <w:w w:val="105"/>
          <w:sz w:val="14"/>
        </w:rPr>
        <w:t>4:</w:t>
      </w:r>
      <w:r>
        <w:rPr>
          <w:rFonts w:ascii="Trebuchet MS"/>
          <w:color w:val="231F20"/>
          <w:spacing w:val="-8"/>
          <w:w w:val="105"/>
          <w:sz w:val="14"/>
        </w:rPr>
        <w:t xml:space="preserve"> </w:t>
      </w:r>
      <w:r>
        <w:rPr>
          <w:rFonts w:ascii="Trebuchet MS"/>
          <w:color w:val="231F20"/>
          <w:w w:val="105"/>
          <w:sz w:val="14"/>
        </w:rPr>
        <w:t>Sport</w:t>
      </w:r>
      <w:r>
        <w:rPr>
          <w:rFonts w:ascii="Trebuchet MS"/>
          <w:color w:val="231F20"/>
          <w:spacing w:val="-9"/>
          <w:w w:val="105"/>
          <w:sz w:val="14"/>
        </w:rPr>
        <w:t xml:space="preserve"> </w:t>
      </w:r>
      <w:r>
        <w:rPr>
          <w:rFonts w:ascii="Trebuchet MS"/>
          <w:color w:val="231F20"/>
          <w:w w:val="105"/>
          <w:sz w:val="14"/>
        </w:rPr>
        <w:t>Tourism</w:t>
      </w:r>
      <w:r>
        <w:rPr>
          <w:rFonts w:ascii="Trebuchet MS"/>
          <w:color w:val="231F20"/>
          <w:spacing w:val="-9"/>
          <w:w w:val="105"/>
          <w:sz w:val="14"/>
        </w:rPr>
        <w:t xml:space="preserve"> </w:t>
      </w:r>
      <w:r>
        <w:rPr>
          <w:rFonts w:ascii="Trebuchet MS"/>
          <w:color w:val="231F20"/>
          <w:w w:val="105"/>
          <w:sz w:val="14"/>
        </w:rPr>
        <w:t>Development</w:t>
      </w:r>
      <w:r>
        <w:rPr>
          <w:rFonts w:ascii="Trebuchet MS"/>
          <w:color w:val="231F20"/>
          <w:spacing w:val="-9"/>
          <w:w w:val="105"/>
          <w:sz w:val="14"/>
        </w:rPr>
        <w:t xml:space="preserve"> </w:t>
      </w:r>
      <w:r>
        <w:rPr>
          <w:rFonts w:ascii="Trebuchet MS"/>
          <w:color w:val="231F20"/>
          <w:w w:val="105"/>
          <w:sz w:val="14"/>
        </w:rPr>
        <w:t>and</w:t>
      </w:r>
      <w:r>
        <w:rPr>
          <w:rFonts w:ascii="Trebuchet MS"/>
          <w:color w:val="231F20"/>
          <w:spacing w:val="-8"/>
          <w:w w:val="105"/>
          <w:sz w:val="14"/>
        </w:rPr>
        <w:t xml:space="preserve"> </w:t>
      </w:r>
      <w:r>
        <w:rPr>
          <w:rFonts w:ascii="Trebuchet MS"/>
          <w:color w:val="231F20"/>
          <w:spacing w:val="-4"/>
          <w:w w:val="105"/>
          <w:sz w:val="14"/>
        </w:rPr>
        <w:t>Time</w:t>
      </w:r>
    </w:p>
    <w:p w14:paraId="0F93E02E" w14:textId="77777777" w:rsidR="00AE0598" w:rsidRDefault="00AE0598">
      <w:pPr>
        <w:pStyle w:val="Corpodetexto"/>
        <w:rPr>
          <w:rFonts w:ascii="Trebuchet MS"/>
          <w:sz w:val="16"/>
        </w:rPr>
      </w:pPr>
    </w:p>
    <w:p w14:paraId="370C09F2" w14:textId="77777777" w:rsidR="00AE0598" w:rsidRDefault="0069255A">
      <w:pPr>
        <w:spacing w:before="120"/>
        <w:ind w:left="110"/>
        <w:rPr>
          <w:rFonts w:ascii="Trebuchet MS"/>
          <w:b/>
          <w:sz w:val="20"/>
        </w:rPr>
      </w:pPr>
      <w:r>
        <w:rPr>
          <w:rFonts w:ascii="Trebuchet MS"/>
          <w:b/>
          <w:color w:val="231F20"/>
          <w:sz w:val="20"/>
        </w:rPr>
        <w:t>Heritage</w:t>
      </w:r>
      <w:r>
        <w:rPr>
          <w:rFonts w:ascii="Trebuchet MS"/>
          <w:b/>
          <w:color w:val="231F20"/>
          <w:spacing w:val="13"/>
          <w:sz w:val="20"/>
        </w:rPr>
        <w:t xml:space="preserve"> </w:t>
      </w:r>
      <w:r>
        <w:rPr>
          <w:rFonts w:ascii="Trebuchet MS"/>
          <w:b/>
          <w:color w:val="231F20"/>
          <w:sz w:val="20"/>
        </w:rPr>
        <w:t>Sport</w:t>
      </w:r>
      <w:r>
        <w:rPr>
          <w:rFonts w:ascii="Trebuchet MS"/>
          <w:b/>
          <w:color w:val="231F20"/>
          <w:spacing w:val="13"/>
          <w:sz w:val="20"/>
        </w:rPr>
        <w:t xml:space="preserve"> </w:t>
      </w:r>
      <w:r>
        <w:rPr>
          <w:rFonts w:ascii="Trebuchet MS"/>
          <w:b/>
          <w:color w:val="231F20"/>
          <w:spacing w:val="-2"/>
          <w:sz w:val="20"/>
        </w:rPr>
        <w:t>Experiences</w:t>
      </w:r>
    </w:p>
    <w:p w14:paraId="63E65C75" w14:textId="77777777" w:rsidR="00AE0598" w:rsidRDefault="0069255A">
      <w:pPr>
        <w:pStyle w:val="Corpodetexto"/>
        <w:spacing w:before="122" w:line="232" w:lineRule="auto"/>
        <w:ind w:left="110" w:right="125" w:firstLine="320"/>
        <w:jc w:val="both"/>
      </w:pPr>
      <w:r>
        <w:rPr>
          <w:color w:val="231F20"/>
        </w:rPr>
        <w:t>Heritage</w:t>
      </w:r>
      <w:r>
        <w:rPr>
          <w:color w:val="231F20"/>
          <w:spacing w:val="79"/>
        </w:rPr>
        <w:t xml:space="preserve"> </w:t>
      </w:r>
      <w:r>
        <w:rPr>
          <w:color w:val="231F20"/>
        </w:rPr>
        <w:t>and</w:t>
      </w:r>
      <w:r>
        <w:rPr>
          <w:color w:val="231F20"/>
          <w:spacing w:val="79"/>
        </w:rPr>
        <w:t xml:space="preserve"> </w:t>
      </w:r>
      <w:r>
        <w:rPr>
          <w:color w:val="231F20"/>
        </w:rPr>
        <w:t>nostalgia</w:t>
      </w:r>
      <w:r>
        <w:rPr>
          <w:color w:val="231F20"/>
          <w:spacing w:val="79"/>
        </w:rPr>
        <w:t xml:space="preserve"> </w:t>
      </w:r>
      <w:r>
        <w:rPr>
          <w:color w:val="231F20"/>
        </w:rPr>
        <w:t>have</w:t>
      </w:r>
      <w:r>
        <w:rPr>
          <w:color w:val="231F20"/>
          <w:spacing w:val="79"/>
        </w:rPr>
        <w:t xml:space="preserve"> </w:t>
      </w:r>
      <w:r>
        <w:rPr>
          <w:color w:val="231F20"/>
        </w:rPr>
        <w:t>emerged</w:t>
      </w:r>
      <w:r>
        <w:rPr>
          <w:color w:val="231F20"/>
          <w:spacing w:val="79"/>
        </w:rPr>
        <w:t xml:space="preserve"> </w:t>
      </w:r>
      <w:r>
        <w:rPr>
          <w:color w:val="231F20"/>
        </w:rPr>
        <w:t>as</w:t>
      </w:r>
      <w:r>
        <w:rPr>
          <w:color w:val="231F20"/>
          <w:spacing w:val="79"/>
        </w:rPr>
        <w:t xml:space="preserve"> </w:t>
      </w:r>
      <w:r>
        <w:rPr>
          <w:color w:val="231F20"/>
        </w:rPr>
        <w:t>an</w:t>
      </w:r>
      <w:r>
        <w:rPr>
          <w:color w:val="231F20"/>
          <w:spacing w:val="79"/>
        </w:rPr>
        <w:t xml:space="preserve"> </w:t>
      </w:r>
      <w:r>
        <w:rPr>
          <w:color w:val="231F20"/>
        </w:rPr>
        <w:t>important</w:t>
      </w:r>
      <w:r>
        <w:rPr>
          <w:color w:val="231F20"/>
          <w:spacing w:val="79"/>
        </w:rPr>
        <w:t xml:space="preserve"> </w:t>
      </w:r>
      <w:r>
        <w:rPr>
          <w:color w:val="231F20"/>
        </w:rPr>
        <w:t>avenue of personal and social identity and a key element of authentic sport experiences (Higham &amp; Hinch, 2010). Fairley and Gammon (2005) address</w:t>
      </w:r>
      <w:r>
        <w:rPr>
          <w:color w:val="231F20"/>
          <w:spacing w:val="-7"/>
        </w:rPr>
        <w:t xml:space="preserve"> </w:t>
      </w:r>
      <w:r>
        <w:rPr>
          <w:color w:val="231F20"/>
        </w:rPr>
        <w:t>sport</w:t>
      </w:r>
      <w:r>
        <w:rPr>
          <w:color w:val="231F20"/>
          <w:spacing w:val="-7"/>
        </w:rPr>
        <w:t xml:space="preserve"> </w:t>
      </w:r>
      <w:r>
        <w:rPr>
          <w:color w:val="231F20"/>
        </w:rPr>
        <w:t>and</w:t>
      </w:r>
      <w:r>
        <w:rPr>
          <w:color w:val="231F20"/>
          <w:spacing w:val="-7"/>
        </w:rPr>
        <w:t xml:space="preserve"> </w:t>
      </w:r>
      <w:r>
        <w:rPr>
          <w:color w:val="231F20"/>
        </w:rPr>
        <w:t>nostalgia</w:t>
      </w:r>
      <w:r>
        <w:rPr>
          <w:color w:val="231F20"/>
          <w:spacing w:val="-7"/>
        </w:rPr>
        <w:t xml:space="preserve"> </w:t>
      </w:r>
      <w:r>
        <w:rPr>
          <w:color w:val="231F20"/>
        </w:rPr>
        <w:t>in</w:t>
      </w:r>
      <w:r>
        <w:rPr>
          <w:color w:val="231F20"/>
          <w:spacing w:val="-7"/>
        </w:rPr>
        <w:t xml:space="preserve"> </w:t>
      </w:r>
      <w:r>
        <w:rPr>
          <w:color w:val="231F20"/>
        </w:rPr>
        <w:t>terms</w:t>
      </w:r>
      <w:r>
        <w:rPr>
          <w:color w:val="231F20"/>
          <w:spacing w:val="-7"/>
        </w:rPr>
        <w:t xml:space="preserve"> </w:t>
      </w:r>
      <w:r>
        <w:rPr>
          <w:color w:val="231F20"/>
        </w:rPr>
        <w:t>of</w:t>
      </w:r>
      <w:r>
        <w:rPr>
          <w:color w:val="231F20"/>
          <w:spacing w:val="-7"/>
        </w:rPr>
        <w:t xml:space="preserve"> </w:t>
      </w:r>
      <w:r>
        <w:rPr>
          <w:color w:val="231F20"/>
        </w:rPr>
        <w:t>artefact</w:t>
      </w:r>
      <w:r>
        <w:rPr>
          <w:color w:val="231F20"/>
          <w:spacing w:val="-7"/>
        </w:rPr>
        <w:t xml:space="preserve"> </w:t>
      </w:r>
      <w:r>
        <w:rPr>
          <w:color w:val="231F20"/>
        </w:rPr>
        <w:t>and</w:t>
      </w:r>
      <w:r>
        <w:rPr>
          <w:color w:val="231F20"/>
          <w:spacing w:val="-7"/>
        </w:rPr>
        <w:t xml:space="preserve"> </w:t>
      </w:r>
      <w:r>
        <w:rPr>
          <w:color w:val="231F20"/>
        </w:rPr>
        <w:t>e</w:t>
      </w:r>
      <w:r>
        <w:rPr>
          <w:color w:val="231F20"/>
        </w:rPr>
        <w:t>xperience.</w:t>
      </w:r>
      <w:r>
        <w:rPr>
          <w:color w:val="231F20"/>
          <w:spacing w:val="-7"/>
        </w:rPr>
        <w:t xml:space="preserve"> </w:t>
      </w:r>
      <w:r>
        <w:rPr>
          <w:color w:val="231F20"/>
        </w:rPr>
        <w:t xml:space="preserve">Heritage sport experiences have developed in ways that offer parallels with the study of heritage tourism (Gammon &amp; Ramshaw, 2013). Heritage sport </w:t>
      </w:r>
      <w:r>
        <w:rPr>
          <w:color w:val="231F20"/>
          <w:w w:val="95"/>
        </w:rPr>
        <w:t xml:space="preserve">tourism, as originally conceived by Redmond (1990) in the North America </w:t>
      </w:r>
      <w:r>
        <w:rPr>
          <w:color w:val="231F20"/>
        </w:rPr>
        <w:t>context, centred on the sp</w:t>
      </w:r>
      <w:r>
        <w:rPr>
          <w:color w:val="231F20"/>
        </w:rPr>
        <w:t xml:space="preserve">ort place or artefact, as expressed in terms of </w:t>
      </w:r>
      <w:r>
        <w:rPr>
          <w:color w:val="231F20"/>
          <w:w w:val="95"/>
        </w:rPr>
        <w:t xml:space="preserve">tourist visits to sport museums, halls of fame, themed bars and restaurants. While some sports facilities have developed their own heritage values over </w:t>
      </w:r>
      <w:r>
        <w:rPr>
          <w:color w:val="231F20"/>
        </w:rPr>
        <w:t>time,</w:t>
      </w:r>
      <w:r>
        <w:rPr>
          <w:color w:val="231F20"/>
          <w:spacing w:val="-1"/>
        </w:rPr>
        <w:t xml:space="preserve"> </w:t>
      </w:r>
      <w:r>
        <w:rPr>
          <w:color w:val="231F20"/>
        </w:rPr>
        <w:t>Ramshaw</w:t>
      </w:r>
      <w:r>
        <w:rPr>
          <w:color w:val="231F20"/>
          <w:spacing w:val="-1"/>
        </w:rPr>
        <w:t xml:space="preserve"> </w:t>
      </w:r>
      <w:r>
        <w:rPr>
          <w:color w:val="231F20"/>
        </w:rPr>
        <w:t>(2011)</w:t>
      </w:r>
      <w:r>
        <w:rPr>
          <w:color w:val="231F20"/>
          <w:spacing w:val="-1"/>
        </w:rPr>
        <w:t xml:space="preserve"> </w:t>
      </w:r>
      <w:r>
        <w:rPr>
          <w:color w:val="231F20"/>
        </w:rPr>
        <w:t>observes</w:t>
      </w:r>
      <w:r>
        <w:rPr>
          <w:color w:val="231F20"/>
          <w:spacing w:val="-1"/>
        </w:rPr>
        <w:t xml:space="preserve"> </w:t>
      </w:r>
      <w:r>
        <w:rPr>
          <w:color w:val="231F20"/>
        </w:rPr>
        <w:t>growing</w:t>
      </w:r>
      <w:r>
        <w:rPr>
          <w:color w:val="231F20"/>
          <w:spacing w:val="-1"/>
        </w:rPr>
        <w:t xml:space="preserve"> </w:t>
      </w:r>
      <w:r>
        <w:rPr>
          <w:color w:val="231F20"/>
        </w:rPr>
        <w:t>interest</w:t>
      </w:r>
      <w:r>
        <w:rPr>
          <w:color w:val="231F20"/>
          <w:spacing w:val="-1"/>
        </w:rPr>
        <w:t xml:space="preserve"> </w:t>
      </w:r>
      <w:r>
        <w:rPr>
          <w:color w:val="231F20"/>
        </w:rPr>
        <w:t>in</w:t>
      </w:r>
      <w:r>
        <w:rPr>
          <w:color w:val="231F20"/>
          <w:spacing w:val="-1"/>
        </w:rPr>
        <w:t xml:space="preserve"> </w:t>
      </w:r>
      <w:r>
        <w:rPr>
          <w:color w:val="231F20"/>
        </w:rPr>
        <w:t>the</w:t>
      </w:r>
      <w:r>
        <w:rPr>
          <w:color w:val="231F20"/>
          <w:spacing w:val="-1"/>
        </w:rPr>
        <w:t xml:space="preserve"> </w:t>
      </w:r>
      <w:r>
        <w:rPr>
          <w:color w:val="231F20"/>
        </w:rPr>
        <w:t>de</w:t>
      </w:r>
      <w:r>
        <w:rPr>
          <w:color w:val="231F20"/>
        </w:rPr>
        <w:t>velopment</w:t>
      </w:r>
      <w:r>
        <w:rPr>
          <w:color w:val="231F20"/>
          <w:spacing w:val="-1"/>
        </w:rPr>
        <w:t xml:space="preserve"> </w:t>
      </w:r>
      <w:r>
        <w:rPr>
          <w:color w:val="231F20"/>
        </w:rPr>
        <w:t>of new sports facilities with strong heritage elements. The phenomenon of the</w:t>
      </w:r>
      <w:r>
        <w:rPr>
          <w:color w:val="231F20"/>
          <w:spacing w:val="-3"/>
        </w:rPr>
        <w:t xml:space="preserve"> </w:t>
      </w:r>
      <w:r>
        <w:rPr>
          <w:color w:val="231F20"/>
        </w:rPr>
        <w:t>‘retro</w:t>
      </w:r>
      <w:r>
        <w:rPr>
          <w:color w:val="231F20"/>
          <w:spacing w:val="-2"/>
        </w:rPr>
        <w:t xml:space="preserve"> </w:t>
      </w:r>
      <w:r>
        <w:rPr>
          <w:color w:val="231F20"/>
        </w:rPr>
        <w:t>park’</w:t>
      </w:r>
      <w:r>
        <w:rPr>
          <w:color w:val="231F20"/>
          <w:spacing w:val="-3"/>
        </w:rPr>
        <w:t xml:space="preserve"> </w:t>
      </w:r>
      <w:r>
        <w:rPr>
          <w:color w:val="231F20"/>
        </w:rPr>
        <w:t>emerged</w:t>
      </w:r>
      <w:r>
        <w:rPr>
          <w:color w:val="231F20"/>
          <w:spacing w:val="-3"/>
        </w:rPr>
        <w:t xml:space="preserve"> </w:t>
      </w:r>
      <w:r>
        <w:rPr>
          <w:color w:val="231F20"/>
        </w:rPr>
        <w:t>in</w:t>
      </w:r>
      <w:r>
        <w:rPr>
          <w:color w:val="231F20"/>
          <w:spacing w:val="-2"/>
        </w:rPr>
        <w:t xml:space="preserve"> </w:t>
      </w:r>
      <w:r>
        <w:rPr>
          <w:color w:val="231F20"/>
        </w:rPr>
        <w:t>the</w:t>
      </w:r>
      <w:r>
        <w:rPr>
          <w:color w:val="231F20"/>
          <w:spacing w:val="-3"/>
        </w:rPr>
        <w:t xml:space="preserve"> </w:t>
      </w:r>
      <w:r>
        <w:rPr>
          <w:color w:val="231F20"/>
        </w:rPr>
        <w:t>early</w:t>
      </w:r>
      <w:r>
        <w:rPr>
          <w:color w:val="231F20"/>
          <w:spacing w:val="-3"/>
        </w:rPr>
        <w:t xml:space="preserve"> </w:t>
      </w:r>
      <w:r>
        <w:rPr>
          <w:color w:val="231F20"/>
        </w:rPr>
        <w:t>1990s,</w:t>
      </w:r>
      <w:r>
        <w:rPr>
          <w:color w:val="231F20"/>
          <w:spacing w:val="-2"/>
        </w:rPr>
        <w:t xml:space="preserve"> </w:t>
      </w:r>
      <w:r>
        <w:rPr>
          <w:color w:val="231F20"/>
        </w:rPr>
        <w:t>as</w:t>
      </w:r>
      <w:r>
        <w:rPr>
          <w:color w:val="231F20"/>
          <w:spacing w:val="-3"/>
        </w:rPr>
        <w:t xml:space="preserve"> </w:t>
      </w:r>
      <w:r>
        <w:rPr>
          <w:color w:val="231F20"/>
        </w:rPr>
        <w:t>a</w:t>
      </w:r>
      <w:r>
        <w:rPr>
          <w:color w:val="231F20"/>
          <w:spacing w:val="-3"/>
        </w:rPr>
        <w:t xml:space="preserve"> </w:t>
      </w:r>
      <w:r>
        <w:rPr>
          <w:color w:val="231F20"/>
        </w:rPr>
        <w:t>means</w:t>
      </w:r>
      <w:r>
        <w:rPr>
          <w:color w:val="231F20"/>
          <w:spacing w:val="-3"/>
        </w:rPr>
        <w:t xml:space="preserve"> </w:t>
      </w:r>
      <w:r>
        <w:rPr>
          <w:color w:val="231F20"/>
        </w:rPr>
        <w:t>of</w:t>
      </w:r>
      <w:r>
        <w:rPr>
          <w:color w:val="231F20"/>
          <w:spacing w:val="-2"/>
        </w:rPr>
        <w:t xml:space="preserve"> </w:t>
      </w:r>
      <w:r>
        <w:rPr>
          <w:color w:val="231F20"/>
        </w:rPr>
        <w:t>reclaiming</w:t>
      </w:r>
      <w:r>
        <w:rPr>
          <w:color w:val="231F20"/>
          <w:spacing w:val="-2"/>
        </w:rPr>
        <w:t xml:space="preserve"> </w:t>
      </w:r>
      <w:r>
        <w:rPr>
          <w:color w:val="231F20"/>
        </w:rPr>
        <w:t>the strong heritage values that can enrich the sport experience (Higham &amp; Hinch, 2010; Ramshaw, 2006).</w:t>
      </w:r>
    </w:p>
    <w:p w14:paraId="1775E2A7" w14:textId="77777777" w:rsidR="00AE0598" w:rsidRDefault="0069255A">
      <w:pPr>
        <w:pStyle w:val="Corpodetexto"/>
        <w:spacing w:before="18" w:line="232" w:lineRule="auto"/>
        <w:ind w:left="110" w:right="127" w:firstLine="320"/>
        <w:jc w:val="both"/>
      </w:pPr>
      <w:r>
        <w:rPr>
          <w:color w:val="231F20"/>
        </w:rPr>
        <w:t xml:space="preserve">Initially, then, heritage sport experiences were derived from built structures; either stadiums and other sports venues that may develop </w:t>
      </w:r>
      <w:r>
        <w:rPr>
          <w:color w:val="231F20"/>
          <w:spacing w:val="-2"/>
        </w:rPr>
        <w:t>their</w:t>
      </w:r>
      <w:r>
        <w:rPr>
          <w:color w:val="231F20"/>
          <w:spacing w:val="-5"/>
        </w:rPr>
        <w:t xml:space="preserve"> </w:t>
      </w:r>
      <w:r>
        <w:rPr>
          <w:color w:val="231F20"/>
          <w:spacing w:val="-2"/>
        </w:rPr>
        <w:t>own</w:t>
      </w:r>
      <w:r>
        <w:rPr>
          <w:color w:val="231F20"/>
          <w:spacing w:val="-5"/>
        </w:rPr>
        <w:t xml:space="preserve"> </w:t>
      </w:r>
      <w:r>
        <w:rPr>
          <w:color w:val="231F20"/>
          <w:spacing w:val="-2"/>
        </w:rPr>
        <w:t>aura</w:t>
      </w:r>
      <w:r>
        <w:rPr>
          <w:color w:val="231F20"/>
          <w:spacing w:val="-5"/>
        </w:rPr>
        <w:t xml:space="preserve"> </w:t>
      </w:r>
      <w:r>
        <w:rPr>
          <w:color w:val="231F20"/>
          <w:spacing w:val="-2"/>
        </w:rPr>
        <w:t>o</w:t>
      </w:r>
      <w:r>
        <w:rPr>
          <w:color w:val="231F20"/>
          <w:spacing w:val="-2"/>
        </w:rPr>
        <w:t>f</w:t>
      </w:r>
      <w:r>
        <w:rPr>
          <w:color w:val="231F20"/>
        </w:rPr>
        <w:t xml:space="preserve"> </w:t>
      </w:r>
      <w:r>
        <w:rPr>
          <w:color w:val="231F20"/>
          <w:spacing w:val="-2"/>
        </w:rPr>
        <w:t>history</w:t>
      </w:r>
      <w:r>
        <w:rPr>
          <w:color w:val="231F20"/>
          <w:spacing w:val="-5"/>
        </w:rPr>
        <w:t xml:space="preserve"> </w:t>
      </w:r>
      <w:r>
        <w:rPr>
          <w:color w:val="231F20"/>
          <w:spacing w:val="-2"/>
        </w:rPr>
        <w:t>over</w:t>
      </w:r>
      <w:r>
        <w:rPr>
          <w:color w:val="231F20"/>
          <w:spacing w:val="-5"/>
        </w:rPr>
        <w:t xml:space="preserve"> </w:t>
      </w:r>
      <w:r>
        <w:rPr>
          <w:color w:val="231F20"/>
          <w:spacing w:val="-2"/>
        </w:rPr>
        <w:t>time</w:t>
      </w:r>
      <w:r>
        <w:rPr>
          <w:color w:val="231F20"/>
          <w:spacing w:val="-5"/>
        </w:rPr>
        <w:t xml:space="preserve"> </w:t>
      </w:r>
      <w:r>
        <w:rPr>
          <w:color w:val="231F20"/>
          <w:spacing w:val="-2"/>
        </w:rPr>
        <w:t>(Bale,</w:t>
      </w:r>
      <w:r>
        <w:rPr>
          <w:color w:val="231F20"/>
          <w:spacing w:val="-5"/>
        </w:rPr>
        <w:t xml:space="preserve"> </w:t>
      </w:r>
      <w:r>
        <w:rPr>
          <w:color w:val="231F20"/>
          <w:spacing w:val="-2"/>
        </w:rPr>
        <w:t>1989)</w:t>
      </w:r>
      <w:r>
        <w:rPr>
          <w:color w:val="231F20"/>
          <w:spacing w:val="-5"/>
        </w:rPr>
        <w:t xml:space="preserve"> </w:t>
      </w:r>
      <w:r>
        <w:rPr>
          <w:color w:val="231F20"/>
          <w:spacing w:val="-2"/>
        </w:rPr>
        <w:t>or</w:t>
      </w:r>
      <w:r>
        <w:rPr>
          <w:color w:val="231F20"/>
          <w:spacing w:val="-5"/>
        </w:rPr>
        <w:t xml:space="preserve"> </w:t>
      </w:r>
      <w:r>
        <w:rPr>
          <w:color w:val="231F20"/>
          <w:spacing w:val="-2"/>
        </w:rPr>
        <w:t>(re)constructed</w:t>
      </w:r>
      <w:r>
        <w:rPr>
          <w:color w:val="231F20"/>
          <w:spacing w:val="-5"/>
        </w:rPr>
        <w:t xml:space="preserve"> </w:t>
      </w:r>
      <w:r>
        <w:rPr>
          <w:color w:val="231F20"/>
          <w:spacing w:val="-2"/>
        </w:rPr>
        <w:t xml:space="preserve">parks, </w:t>
      </w:r>
      <w:r>
        <w:rPr>
          <w:color w:val="231F20"/>
        </w:rPr>
        <w:t xml:space="preserve">stadiums, museums and halls of fame (Ramshaw, 2011). While the commercialisation of sports heritage matured in these forms in North </w:t>
      </w:r>
      <w:r>
        <w:rPr>
          <w:color w:val="231F20"/>
          <w:w w:val="95"/>
        </w:rPr>
        <w:t>America (Gammon, 2002), the growth in demand for heritage sport t</w:t>
      </w:r>
      <w:r>
        <w:rPr>
          <w:color w:val="231F20"/>
          <w:w w:val="95"/>
        </w:rPr>
        <w:t>ourism has</w:t>
      </w:r>
      <w:r>
        <w:rPr>
          <w:color w:val="231F20"/>
          <w:spacing w:val="-8"/>
          <w:w w:val="95"/>
        </w:rPr>
        <w:t xml:space="preserve"> </w:t>
      </w:r>
      <w:r>
        <w:rPr>
          <w:color w:val="231F20"/>
          <w:w w:val="95"/>
        </w:rPr>
        <w:t>resulted</w:t>
      </w:r>
      <w:r>
        <w:rPr>
          <w:color w:val="231F20"/>
          <w:spacing w:val="-8"/>
          <w:w w:val="95"/>
        </w:rPr>
        <w:t xml:space="preserve"> </w:t>
      </w:r>
      <w:r>
        <w:rPr>
          <w:color w:val="231F20"/>
          <w:w w:val="95"/>
        </w:rPr>
        <w:t>in</w:t>
      </w:r>
      <w:r>
        <w:rPr>
          <w:color w:val="231F20"/>
          <w:spacing w:val="-8"/>
          <w:w w:val="95"/>
        </w:rPr>
        <w:t xml:space="preserve"> </w:t>
      </w:r>
      <w:r>
        <w:rPr>
          <w:color w:val="231F20"/>
          <w:w w:val="95"/>
        </w:rPr>
        <w:t>the</w:t>
      </w:r>
      <w:r>
        <w:rPr>
          <w:color w:val="231F20"/>
          <w:spacing w:val="-8"/>
          <w:w w:val="95"/>
        </w:rPr>
        <w:t xml:space="preserve"> </w:t>
      </w:r>
      <w:r>
        <w:rPr>
          <w:color w:val="231F20"/>
          <w:w w:val="95"/>
        </w:rPr>
        <w:t>development</w:t>
      </w:r>
      <w:r>
        <w:rPr>
          <w:color w:val="231F20"/>
          <w:spacing w:val="-8"/>
          <w:w w:val="95"/>
        </w:rPr>
        <w:t xml:space="preserve"> </w:t>
      </w:r>
      <w:r>
        <w:rPr>
          <w:color w:val="231F20"/>
          <w:w w:val="95"/>
        </w:rPr>
        <w:t>of</w:t>
      </w:r>
      <w:r>
        <w:rPr>
          <w:color w:val="231F20"/>
        </w:rPr>
        <w:t xml:space="preserve"> </w:t>
      </w:r>
      <w:r>
        <w:rPr>
          <w:color w:val="231F20"/>
          <w:w w:val="95"/>
        </w:rPr>
        <w:t>heritage</w:t>
      </w:r>
      <w:r>
        <w:rPr>
          <w:color w:val="231F20"/>
          <w:spacing w:val="-8"/>
          <w:w w:val="95"/>
        </w:rPr>
        <w:t xml:space="preserve"> </w:t>
      </w:r>
      <w:r>
        <w:rPr>
          <w:color w:val="231F20"/>
          <w:w w:val="95"/>
        </w:rPr>
        <w:t>experiences</w:t>
      </w:r>
      <w:r>
        <w:rPr>
          <w:color w:val="231F20"/>
          <w:spacing w:val="-8"/>
          <w:w w:val="95"/>
        </w:rPr>
        <w:t xml:space="preserve"> </w:t>
      </w:r>
      <w:r>
        <w:rPr>
          <w:color w:val="231F20"/>
          <w:w w:val="95"/>
        </w:rPr>
        <w:t>that</w:t>
      </w:r>
      <w:r>
        <w:rPr>
          <w:color w:val="231F20"/>
          <w:spacing w:val="-8"/>
          <w:w w:val="95"/>
        </w:rPr>
        <w:t xml:space="preserve"> </w:t>
      </w:r>
      <w:r>
        <w:rPr>
          <w:color w:val="231F20"/>
          <w:w w:val="95"/>
        </w:rPr>
        <w:t>are</w:t>
      </w:r>
      <w:r>
        <w:rPr>
          <w:color w:val="231F20"/>
          <w:spacing w:val="-8"/>
          <w:w w:val="95"/>
        </w:rPr>
        <w:t xml:space="preserve"> </w:t>
      </w:r>
      <w:r>
        <w:rPr>
          <w:color w:val="231F20"/>
          <w:w w:val="95"/>
        </w:rPr>
        <w:t>diverse</w:t>
      </w:r>
      <w:r>
        <w:rPr>
          <w:color w:val="231F20"/>
          <w:spacing w:val="-8"/>
          <w:w w:val="95"/>
        </w:rPr>
        <w:t xml:space="preserve"> </w:t>
      </w:r>
      <w:r>
        <w:rPr>
          <w:color w:val="231F20"/>
          <w:w w:val="95"/>
        </w:rPr>
        <w:t xml:space="preserve">and </w:t>
      </w:r>
      <w:r>
        <w:rPr>
          <w:color w:val="231F20"/>
        </w:rPr>
        <w:t>multifaceted,</w:t>
      </w:r>
      <w:r>
        <w:rPr>
          <w:color w:val="231F20"/>
          <w:spacing w:val="-10"/>
        </w:rPr>
        <w:t xml:space="preserve"> </w:t>
      </w:r>
      <w:r>
        <w:rPr>
          <w:color w:val="231F20"/>
        </w:rPr>
        <w:t>which</w:t>
      </w:r>
      <w:r>
        <w:rPr>
          <w:color w:val="231F20"/>
          <w:spacing w:val="-10"/>
        </w:rPr>
        <w:t xml:space="preserve"> </w:t>
      </w:r>
      <w:r>
        <w:rPr>
          <w:color w:val="231F20"/>
        </w:rPr>
        <w:t>is</w:t>
      </w:r>
      <w:r>
        <w:rPr>
          <w:color w:val="231F20"/>
          <w:spacing w:val="-10"/>
        </w:rPr>
        <w:t xml:space="preserve"> </w:t>
      </w:r>
      <w:r>
        <w:rPr>
          <w:color w:val="231F20"/>
        </w:rPr>
        <w:t>now</w:t>
      </w:r>
      <w:r>
        <w:rPr>
          <w:color w:val="231F20"/>
          <w:spacing w:val="-10"/>
        </w:rPr>
        <w:t xml:space="preserve"> </w:t>
      </w:r>
      <w:r>
        <w:rPr>
          <w:color w:val="231F20"/>
        </w:rPr>
        <w:t>reflected</w:t>
      </w:r>
      <w:r>
        <w:rPr>
          <w:color w:val="231F20"/>
          <w:spacing w:val="-10"/>
        </w:rPr>
        <w:t xml:space="preserve"> </w:t>
      </w:r>
      <w:r>
        <w:rPr>
          <w:color w:val="231F20"/>
        </w:rPr>
        <w:t>in</w:t>
      </w:r>
      <w:r>
        <w:rPr>
          <w:color w:val="231F20"/>
          <w:spacing w:val="-10"/>
        </w:rPr>
        <w:t xml:space="preserve"> </w:t>
      </w:r>
      <w:r>
        <w:rPr>
          <w:color w:val="231F20"/>
        </w:rPr>
        <w:t>the</w:t>
      </w:r>
      <w:r>
        <w:rPr>
          <w:color w:val="231F20"/>
          <w:spacing w:val="-10"/>
        </w:rPr>
        <w:t xml:space="preserve"> </w:t>
      </w:r>
      <w:r>
        <w:rPr>
          <w:color w:val="231F20"/>
        </w:rPr>
        <w:t>academic</w:t>
      </w:r>
      <w:r>
        <w:rPr>
          <w:color w:val="231F20"/>
          <w:spacing w:val="-10"/>
        </w:rPr>
        <w:t xml:space="preserve"> </w:t>
      </w:r>
      <w:r>
        <w:rPr>
          <w:color w:val="231F20"/>
        </w:rPr>
        <w:t>literature</w:t>
      </w:r>
      <w:r>
        <w:rPr>
          <w:color w:val="231F20"/>
          <w:spacing w:val="-10"/>
        </w:rPr>
        <w:t xml:space="preserve"> </w:t>
      </w:r>
      <w:r>
        <w:rPr>
          <w:color w:val="231F20"/>
        </w:rPr>
        <w:t>(Fairley</w:t>
      </w:r>
      <w:r>
        <w:rPr>
          <w:color w:val="231F20"/>
          <w:spacing w:val="-10"/>
        </w:rPr>
        <w:t xml:space="preserve"> </w:t>
      </w:r>
      <w:r>
        <w:rPr>
          <w:color w:val="231F20"/>
        </w:rPr>
        <w:t xml:space="preserve">&amp; </w:t>
      </w:r>
      <w:r>
        <w:rPr>
          <w:color w:val="231F20"/>
          <w:w w:val="95"/>
        </w:rPr>
        <w:t>Gammon,</w:t>
      </w:r>
      <w:r>
        <w:rPr>
          <w:color w:val="231F20"/>
          <w:spacing w:val="-2"/>
          <w:w w:val="95"/>
        </w:rPr>
        <w:t xml:space="preserve"> </w:t>
      </w:r>
      <w:r>
        <w:rPr>
          <w:color w:val="231F20"/>
          <w:w w:val="95"/>
        </w:rPr>
        <w:t>2005).</w:t>
      </w:r>
      <w:r>
        <w:rPr>
          <w:color w:val="231F20"/>
          <w:spacing w:val="-2"/>
          <w:w w:val="95"/>
        </w:rPr>
        <w:t xml:space="preserve"> </w:t>
      </w:r>
      <w:r>
        <w:rPr>
          <w:color w:val="231F20"/>
          <w:w w:val="95"/>
        </w:rPr>
        <w:t>Heritage</w:t>
      </w:r>
      <w:r>
        <w:rPr>
          <w:color w:val="231F20"/>
          <w:spacing w:val="-2"/>
          <w:w w:val="95"/>
        </w:rPr>
        <w:t xml:space="preserve"> </w:t>
      </w:r>
      <w:r>
        <w:rPr>
          <w:color w:val="231F20"/>
          <w:w w:val="95"/>
        </w:rPr>
        <w:t>has</w:t>
      </w:r>
      <w:r>
        <w:rPr>
          <w:color w:val="231F20"/>
          <w:spacing w:val="-2"/>
          <w:w w:val="95"/>
        </w:rPr>
        <w:t xml:space="preserve"> </w:t>
      </w:r>
      <w:r>
        <w:rPr>
          <w:color w:val="231F20"/>
          <w:w w:val="95"/>
        </w:rPr>
        <w:t>been</w:t>
      </w:r>
      <w:r>
        <w:rPr>
          <w:color w:val="231F20"/>
          <w:spacing w:val="-2"/>
          <w:w w:val="95"/>
        </w:rPr>
        <w:t xml:space="preserve"> </w:t>
      </w:r>
      <w:r>
        <w:rPr>
          <w:color w:val="231F20"/>
          <w:w w:val="95"/>
        </w:rPr>
        <w:t>a</w:t>
      </w:r>
      <w:r>
        <w:rPr>
          <w:color w:val="231F20"/>
          <w:spacing w:val="-2"/>
          <w:w w:val="95"/>
        </w:rPr>
        <w:t xml:space="preserve"> </w:t>
      </w:r>
      <w:r>
        <w:rPr>
          <w:color w:val="231F20"/>
          <w:w w:val="95"/>
        </w:rPr>
        <w:t>critical</w:t>
      </w:r>
      <w:r>
        <w:rPr>
          <w:color w:val="231F20"/>
          <w:spacing w:val="-2"/>
          <w:w w:val="95"/>
        </w:rPr>
        <w:t xml:space="preserve"> </w:t>
      </w:r>
      <w:r>
        <w:rPr>
          <w:color w:val="231F20"/>
          <w:w w:val="95"/>
        </w:rPr>
        <w:t>element</w:t>
      </w:r>
      <w:r>
        <w:rPr>
          <w:color w:val="231F20"/>
          <w:spacing w:val="-2"/>
          <w:w w:val="95"/>
        </w:rPr>
        <w:t xml:space="preserve"> </w:t>
      </w:r>
      <w:r>
        <w:rPr>
          <w:color w:val="231F20"/>
          <w:w w:val="95"/>
        </w:rPr>
        <w:t>of</w:t>
      </w:r>
      <w:r>
        <w:rPr>
          <w:color w:val="231F20"/>
          <w:spacing w:val="12"/>
        </w:rPr>
        <w:t xml:space="preserve"> </w:t>
      </w:r>
      <w:r>
        <w:rPr>
          <w:color w:val="231F20"/>
          <w:w w:val="95"/>
        </w:rPr>
        <w:t>many</w:t>
      </w:r>
      <w:r>
        <w:rPr>
          <w:color w:val="231F20"/>
          <w:spacing w:val="-2"/>
          <w:w w:val="95"/>
        </w:rPr>
        <w:t xml:space="preserve"> </w:t>
      </w:r>
      <w:r>
        <w:rPr>
          <w:color w:val="231F20"/>
          <w:w w:val="95"/>
        </w:rPr>
        <w:t>sport</w:t>
      </w:r>
      <w:r>
        <w:rPr>
          <w:color w:val="231F20"/>
          <w:spacing w:val="-2"/>
          <w:w w:val="95"/>
        </w:rPr>
        <w:t xml:space="preserve"> </w:t>
      </w:r>
      <w:r>
        <w:rPr>
          <w:color w:val="231F20"/>
          <w:w w:val="95"/>
        </w:rPr>
        <w:t xml:space="preserve">tourism </w:t>
      </w:r>
      <w:r>
        <w:rPr>
          <w:color w:val="231F20"/>
          <w:spacing w:val="-2"/>
        </w:rPr>
        <w:t>experiences.</w:t>
      </w:r>
      <w:r>
        <w:rPr>
          <w:color w:val="231F20"/>
          <w:spacing w:val="-9"/>
        </w:rPr>
        <w:t xml:space="preserve"> </w:t>
      </w:r>
      <w:r>
        <w:rPr>
          <w:color w:val="231F20"/>
          <w:spacing w:val="-2"/>
        </w:rPr>
        <w:t>Fairley</w:t>
      </w:r>
      <w:r>
        <w:rPr>
          <w:color w:val="231F20"/>
          <w:spacing w:val="-9"/>
        </w:rPr>
        <w:t xml:space="preserve"> </w:t>
      </w:r>
      <w:r>
        <w:rPr>
          <w:color w:val="231F20"/>
          <w:spacing w:val="-2"/>
        </w:rPr>
        <w:t>(2003)</w:t>
      </w:r>
      <w:r>
        <w:rPr>
          <w:color w:val="231F20"/>
          <w:spacing w:val="-9"/>
        </w:rPr>
        <w:t xml:space="preserve"> </w:t>
      </w:r>
      <w:r>
        <w:rPr>
          <w:color w:val="231F20"/>
          <w:spacing w:val="-2"/>
        </w:rPr>
        <w:t>notes</w:t>
      </w:r>
      <w:r>
        <w:rPr>
          <w:color w:val="231F20"/>
          <w:spacing w:val="-9"/>
        </w:rPr>
        <w:t xml:space="preserve"> </w:t>
      </w:r>
      <w:r>
        <w:rPr>
          <w:color w:val="231F20"/>
          <w:spacing w:val="-2"/>
        </w:rPr>
        <w:t>that</w:t>
      </w:r>
      <w:r>
        <w:rPr>
          <w:color w:val="231F20"/>
          <w:spacing w:val="-9"/>
        </w:rPr>
        <w:t xml:space="preserve"> </w:t>
      </w:r>
      <w:r>
        <w:rPr>
          <w:color w:val="231F20"/>
          <w:spacing w:val="-2"/>
        </w:rPr>
        <w:t>nostalgia</w:t>
      </w:r>
      <w:r>
        <w:rPr>
          <w:color w:val="231F20"/>
          <w:spacing w:val="-9"/>
        </w:rPr>
        <w:t xml:space="preserve"> </w:t>
      </w:r>
      <w:r>
        <w:rPr>
          <w:color w:val="231F20"/>
          <w:spacing w:val="-2"/>
        </w:rPr>
        <w:t>is</w:t>
      </w:r>
      <w:r>
        <w:rPr>
          <w:color w:val="231F20"/>
          <w:spacing w:val="-9"/>
        </w:rPr>
        <w:t xml:space="preserve"> </w:t>
      </w:r>
      <w:r>
        <w:rPr>
          <w:color w:val="231F20"/>
          <w:spacing w:val="-2"/>
        </w:rPr>
        <w:t>a</w:t>
      </w:r>
      <w:r>
        <w:rPr>
          <w:color w:val="231F20"/>
          <w:spacing w:val="-9"/>
        </w:rPr>
        <w:t xml:space="preserve"> </w:t>
      </w:r>
      <w:r>
        <w:rPr>
          <w:color w:val="231F20"/>
          <w:spacing w:val="-2"/>
        </w:rPr>
        <w:t>driver</w:t>
      </w:r>
      <w:r>
        <w:rPr>
          <w:color w:val="231F20"/>
          <w:spacing w:val="-9"/>
        </w:rPr>
        <w:t xml:space="preserve"> </w:t>
      </w:r>
      <w:r>
        <w:rPr>
          <w:color w:val="231F20"/>
          <w:spacing w:val="-2"/>
        </w:rPr>
        <w:t>of group</w:t>
      </w:r>
      <w:r>
        <w:rPr>
          <w:color w:val="231F20"/>
          <w:spacing w:val="-9"/>
        </w:rPr>
        <w:t xml:space="preserve"> </w:t>
      </w:r>
      <w:r>
        <w:rPr>
          <w:color w:val="231F20"/>
          <w:spacing w:val="-2"/>
        </w:rPr>
        <w:t xml:space="preserve">repeat </w:t>
      </w:r>
      <w:r>
        <w:rPr>
          <w:color w:val="231F20"/>
          <w:w w:val="95"/>
        </w:rPr>
        <w:t>travel</w:t>
      </w:r>
      <w:r>
        <w:rPr>
          <w:color w:val="231F20"/>
          <w:spacing w:val="-8"/>
          <w:w w:val="95"/>
        </w:rPr>
        <w:t xml:space="preserve"> </w:t>
      </w:r>
      <w:r>
        <w:rPr>
          <w:color w:val="231F20"/>
          <w:w w:val="95"/>
        </w:rPr>
        <w:t>to</w:t>
      </w:r>
      <w:r>
        <w:rPr>
          <w:color w:val="231F20"/>
          <w:spacing w:val="-8"/>
          <w:w w:val="95"/>
        </w:rPr>
        <w:t xml:space="preserve"> </w:t>
      </w:r>
      <w:r>
        <w:rPr>
          <w:color w:val="231F20"/>
          <w:w w:val="95"/>
        </w:rPr>
        <w:t>experience</w:t>
      </w:r>
      <w:r>
        <w:rPr>
          <w:color w:val="231F20"/>
          <w:spacing w:val="-8"/>
          <w:w w:val="95"/>
        </w:rPr>
        <w:t xml:space="preserve"> </w:t>
      </w:r>
      <w:r>
        <w:rPr>
          <w:color w:val="231F20"/>
          <w:w w:val="95"/>
        </w:rPr>
        <w:t>sports,</w:t>
      </w:r>
      <w:r>
        <w:rPr>
          <w:color w:val="231F20"/>
          <w:spacing w:val="-8"/>
          <w:w w:val="95"/>
        </w:rPr>
        <w:t xml:space="preserve"> </w:t>
      </w:r>
      <w:r>
        <w:rPr>
          <w:color w:val="231F20"/>
          <w:w w:val="95"/>
        </w:rPr>
        <w:t>playing</w:t>
      </w:r>
      <w:r>
        <w:rPr>
          <w:color w:val="231F20"/>
          <w:spacing w:val="-8"/>
          <w:w w:val="95"/>
        </w:rPr>
        <w:t xml:space="preserve"> </w:t>
      </w:r>
      <w:r>
        <w:rPr>
          <w:color w:val="231F20"/>
          <w:w w:val="95"/>
        </w:rPr>
        <w:t>an</w:t>
      </w:r>
      <w:r>
        <w:rPr>
          <w:color w:val="231F20"/>
          <w:spacing w:val="-8"/>
          <w:w w:val="95"/>
        </w:rPr>
        <w:t xml:space="preserve"> </w:t>
      </w:r>
      <w:r>
        <w:rPr>
          <w:color w:val="231F20"/>
          <w:w w:val="95"/>
        </w:rPr>
        <w:t>important</w:t>
      </w:r>
      <w:r>
        <w:rPr>
          <w:color w:val="231F20"/>
          <w:spacing w:val="-8"/>
          <w:w w:val="95"/>
        </w:rPr>
        <w:t xml:space="preserve"> </w:t>
      </w:r>
      <w:r>
        <w:rPr>
          <w:color w:val="231F20"/>
          <w:w w:val="95"/>
        </w:rPr>
        <w:t>part</w:t>
      </w:r>
      <w:r>
        <w:rPr>
          <w:color w:val="231F20"/>
          <w:spacing w:val="-8"/>
          <w:w w:val="95"/>
        </w:rPr>
        <w:t xml:space="preserve"> </w:t>
      </w:r>
      <w:r>
        <w:rPr>
          <w:color w:val="231F20"/>
          <w:w w:val="95"/>
        </w:rPr>
        <w:t>in</w:t>
      </w:r>
      <w:r>
        <w:rPr>
          <w:color w:val="231F20"/>
          <w:spacing w:val="-8"/>
          <w:w w:val="95"/>
        </w:rPr>
        <w:t xml:space="preserve"> </w:t>
      </w:r>
      <w:r>
        <w:rPr>
          <w:color w:val="231F20"/>
          <w:w w:val="95"/>
        </w:rPr>
        <w:t>the</w:t>
      </w:r>
      <w:r>
        <w:rPr>
          <w:color w:val="231F20"/>
          <w:spacing w:val="-8"/>
          <w:w w:val="95"/>
        </w:rPr>
        <w:t xml:space="preserve"> </w:t>
      </w:r>
      <w:r>
        <w:rPr>
          <w:color w:val="231F20"/>
          <w:w w:val="95"/>
        </w:rPr>
        <w:t>recruitment</w:t>
      </w:r>
      <w:r>
        <w:rPr>
          <w:color w:val="231F20"/>
          <w:spacing w:val="-8"/>
          <w:w w:val="95"/>
        </w:rPr>
        <w:t xml:space="preserve"> </w:t>
      </w:r>
      <w:r>
        <w:rPr>
          <w:color w:val="231F20"/>
          <w:w w:val="95"/>
        </w:rPr>
        <w:t>and socialisation of</w:t>
      </w:r>
      <w:r>
        <w:rPr>
          <w:color w:val="231F20"/>
        </w:rPr>
        <w:t xml:space="preserve"> </w:t>
      </w:r>
      <w:r>
        <w:rPr>
          <w:color w:val="231F20"/>
          <w:w w:val="95"/>
        </w:rPr>
        <w:t>new group members. Research that explores the means and ways of building heritage values and embellishing nostalgic experiences of sport is of</w:t>
      </w:r>
      <w:r>
        <w:rPr>
          <w:color w:val="231F20"/>
        </w:rPr>
        <w:t xml:space="preserve"> </w:t>
      </w:r>
      <w:r>
        <w:rPr>
          <w:color w:val="231F20"/>
          <w:w w:val="95"/>
        </w:rPr>
        <w:t>considerable interest. Derom and Ramshaw (2016) offer insights into</w:t>
      </w:r>
      <w:r>
        <w:rPr>
          <w:color w:val="231F20"/>
          <w:spacing w:val="-7"/>
          <w:w w:val="95"/>
        </w:rPr>
        <w:t xml:space="preserve"> </w:t>
      </w:r>
      <w:r>
        <w:rPr>
          <w:color w:val="231F20"/>
          <w:w w:val="95"/>
        </w:rPr>
        <w:t>the</w:t>
      </w:r>
      <w:r>
        <w:rPr>
          <w:color w:val="231F20"/>
          <w:spacing w:val="-7"/>
          <w:w w:val="95"/>
        </w:rPr>
        <w:t xml:space="preserve"> </w:t>
      </w:r>
      <w:r>
        <w:rPr>
          <w:color w:val="231F20"/>
          <w:w w:val="95"/>
        </w:rPr>
        <w:t>potential</w:t>
      </w:r>
      <w:r>
        <w:rPr>
          <w:color w:val="231F20"/>
          <w:spacing w:val="-7"/>
          <w:w w:val="95"/>
        </w:rPr>
        <w:t xml:space="preserve"> </w:t>
      </w:r>
      <w:r>
        <w:rPr>
          <w:color w:val="231F20"/>
          <w:w w:val="95"/>
        </w:rPr>
        <w:t>for</w:t>
      </w:r>
      <w:r>
        <w:rPr>
          <w:color w:val="231F20"/>
          <w:spacing w:val="-7"/>
          <w:w w:val="95"/>
        </w:rPr>
        <w:t xml:space="preserve"> </w:t>
      </w:r>
      <w:r>
        <w:rPr>
          <w:color w:val="231F20"/>
          <w:w w:val="95"/>
        </w:rPr>
        <w:t>managers</w:t>
      </w:r>
      <w:r>
        <w:rPr>
          <w:color w:val="231F20"/>
          <w:spacing w:val="-7"/>
          <w:w w:val="95"/>
        </w:rPr>
        <w:t xml:space="preserve"> </w:t>
      </w:r>
      <w:r>
        <w:rPr>
          <w:color w:val="231F20"/>
          <w:w w:val="95"/>
        </w:rPr>
        <w:t>of</w:t>
      </w:r>
      <w:r>
        <w:rPr>
          <w:color w:val="231F20"/>
        </w:rPr>
        <w:t xml:space="preserve"> </w:t>
      </w:r>
      <w:r>
        <w:rPr>
          <w:color w:val="231F20"/>
          <w:w w:val="95"/>
        </w:rPr>
        <w:t>participation</w:t>
      </w:r>
      <w:r>
        <w:rPr>
          <w:color w:val="231F20"/>
          <w:spacing w:val="-7"/>
          <w:w w:val="95"/>
        </w:rPr>
        <w:t xml:space="preserve"> </w:t>
      </w:r>
      <w:r>
        <w:rPr>
          <w:color w:val="231F20"/>
          <w:w w:val="95"/>
        </w:rPr>
        <w:t>s</w:t>
      </w:r>
      <w:r>
        <w:rPr>
          <w:color w:val="231F20"/>
          <w:w w:val="95"/>
        </w:rPr>
        <w:t>ports</w:t>
      </w:r>
      <w:r>
        <w:rPr>
          <w:color w:val="231F20"/>
          <w:spacing w:val="-7"/>
          <w:w w:val="95"/>
        </w:rPr>
        <w:t xml:space="preserve"> </w:t>
      </w:r>
      <w:r>
        <w:rPr>
          <w:color w:val="231F20"/>
          <w:w w:val="95"/>
        </w:rPr>
        <w:t>events</w:t>
      </w:r>
      <w:r>
        <w:rPr>
          <w:color w:val="231F20"/>
          <w:spacing w:val="-7"/>
          <w:w w:val="95"/>
        </w:rPr>
        <w:t xml:space="preserve"> </w:t>
      </w:r>
      <w:r>
        <w:rPr>
          <w:color w:val="231F20"/>
          <w:w w:val="95"/>
        </w:rPr>
        <w:t>to</w:t>
      </w:r>
      <w:r>
        <w:rPr>
          <w:color w:val="231F20"/>
          <w:spacing w:val="-7"/>
          <w:w w:val="95"/>
        </w:rPr>
        <w:t xml:space="preserve"> </w:t>
      </w:r>
      <w:r>
        <w:rPr>
          <w:color w:val="231F20"/>
          <w:w w:val="95"/>
        </w:rPr>
        <w:t>leverage</w:t>
      </w:r>
      <w:r>
        <w:rPr>
          <w:color w:val="231F20"/>
          <w:spacing w:val="-7"/>
          <w:w w:val="95"/>
        </w:rPr>
        <w:t xml:space="preserve"> </w:t>
      </w:r>
      <w:r>
        <w:rPr>
          <w:color w:val="231F20"/>
          <w:w w:val="95"/>
        </w:rPr>
        <w:t>the heritage values of</w:t>
      </w:r>
      <w:r>
        <w:rPr>
          <w:color w:val="231F20"/>
        </w:rPr>
        <w:t xml:space="preserve"> </w:t>
      </w:r>
      <w:r>
        <w:rPr>
          <w:color w:val="231F20"/>
          <w:w w:val="95"/>
        </w:rPr>
        <w:t xml:space="preserve">their sport not only to promote participation, but also to foster tourist engagement with the wider heritage of a tourism destination </w:t>
      </w:r>
      <w:r>
        <w:rPr>
          <w:color w:val="231F20"/>
        </w:rPr>
        <w:t>(see Focus Point 8.4).</w:t>
      </w:r>
    </w:p>
    <w:p w14:paraId="2084D498" w14:textId="06564023" w:rsidR="00AE0598" w:rsidRDefault="0069255A">
      <w:pPr>
        <w:pStyle w:val="Corpodetexto"/>
        <w:spacing w:before="11"/>
      </w:pPr>
      <w:r>
        <w:rPr>
          <w:noProof/>
        </w:rPr>
        <mc:AlternateContent>
          <mc:Choice Requires="wps">
            <w:drawing>
              <wp:anchor distT="0" distB="0" distL="0" distR="0" simplePos="0" relativeHeight="487672832" behindDoc="1" locked="0" layoutInCell="1" allowOverlap="1" wp14:anchorId="2BB2EDF4" wp14:editId="0E0C3B93">
                <wp:simplePos x="0" y="0"/>
                <wp:positionH relativeFrom="page">
                  <wp:posOffset>755650</wp:posOffset>
                </wp:positionH>
                <wp:positionV relativeFrom="paragraph">
                  <wp:posOffset>178435</wp:posOffset>
                </wp:positionV>
                <wp:extent cx="4104005" cy="1317625"/>
                <wp:effectExtent l="0" t="0" r="0" b="0"/>
                <wp:wrapTopAndBottom/>
                <wp:docPr id="133" name="docshape2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04005" cy="1317625"/>
                        </a:xfrm>
                        <a:prstGeom prst="rect">
                          <a:avLst/>
                        </a:prstGeom>
                        <a:solidFill>
                          <a:srgbClr val="DCDDD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14FE50F" w14:textId="77777777" w:rsidR="00AE0598" w:rsidRDefault="0069255A">
                            <w:pPr>
                              <w:spacing w:before="75"/>
                              <w:ind w:left="113"/>
                              <w:jc w:val="both"/>
                              <w:rPr>
                                <w:rFonts w:ascii="Trebuchet MS"/>
                                <w:color w:val="000000"/>
                                <w:sz w:val="20"/>
                              </w:rPr>
                            </w:pPr>
                            <w:r>
                              <w:rPr>
                                <w:rFonts w:ascii="Trebuchet MS"/>
                                <w:color w:val="231F20"/>
                                <w:sz w:val="20"/>
                              </w:rPr>
                              <w:t>Focus</w:t>
                            </w:r>
                            <w:r>
                              <w:rPr>
                                <w:rFonts w:ascii="Trebuchet MS"/>
                                <w:color w:val="231F20"/>
                                <w:spacing w:val="2"/>
                                <w:sz w:val="20"/>
                              </w:rPr>
                              <w:t xml:space="preserve"> </w:t>
                            </w:r>
                            <w:r>
                              <w:rPr>
                                <w:rFonts w:ascii="Trebuchet MS"/>
                                <w:color w:val="231F20"/>
                                <w:sz w:val="20"/>
                              </w:rPr>
                              <w:t>Point</w:t>
                            </w:r>
                            <w:r>
                              <w:rPr>
                                <w:rFonts w:ascii="Trebuchet MS"/>
                                <w:color w:val="231F20"/>
                                <w:spacing w:val="3"/>
                                <w:sz w:val="20"/>
                              </w:rPr>
                              <w:t xml:space="preserve"> </w:t>
                            </w:r>
                            <w:r>
                              <w:rPr>
                                <w:rFonts w:ascii="Trebuchet MS"/>
                                <w:color w:val="231F20"/>
                                <w:sz w:val="20"/>
                              </w:rPr>
                              <w:t>8.4:</w:t>
                            </w:r>
                            <w:r>
                              <w:rPr>
                                <w:rFonts w:ascii="Trebuchet MS"/>
                                <w:color w:val="231F20"/>
                                <w:spacing w:val="3"/>
                                <w:sz w:val="20"/>
                              </w:rPr>
                              <w:t xml:space="preserve"> </w:t>
                            </w:r>
                            <w:r>
                              <w:rPr>
                                <w:rFonts w:ascii="Trebuchet MS"/>
                                <w:color w:val="231F20"/>
                                <w:sz w:val="20"/>
                              </w:rPr>
                              <w:t>Tour</w:t>
                            </w:r>
                            <w:r>
                              <w:rPr>
                                <w:rFonts w:ascii="Trebuchet MS"/>
                                <w:color w:val="231F20"/>
                                <w:spacing w:val="2"/>
                                <w:sz w:val="20"/>
                              </w:rPr>
                              <w:t xml:space="preserve"> </w:t>
                            </w:r>
                            <w:r>
                              <w:rPr>
                                <w:rFonts w:ascii="Trebuchet MS"/>
                                <w:color w:val="231F20"/>
                                <w:sz w:val="20"/>
                              </w:rPr>
                              <w:t>of</w:t>
                            </w:r>
                            <w:r>
                              <w:rPr>
                                <w:rFonts w:ascii="Trebuchet MS"/>
                                <w:color w:val="231F20"/>
                                <w:spacing w:val="3"/>
                                <w:sz w:val="20"/>
                              </w:rPr>
                              <w:t xml:space="preserve"> </w:t>
                            </w:r>
                            <w:r>
                              <w:rPr>
                                <w:rFonts w:ascii="Trebuchet MS"/>
                                <w:color w:val="231F20"/>
                                <w:sz w:val="20"/>
                              </w:rPr>
                              <w:t>Flanders</w:t>
                            </w:r>
                            <w:r>
                              <w:rPr>
                                <w:rFonts w:ascii="Trebuchet MS"/>
                                <w:color w:val="231F20"/>
                                <w:spacing w:val="3"/>
                                <w:sz w:val="20"/>
                              </w:rPr>
                              <w:t xml:space="preserve"> </w:t>
                            </w:r>
                            <w:r>
                              <w:rPr>
                                <w:rFonts w:ascii="Trebuchet MS"/>
                                <w:color w:val="231F20"/>
                                <w:sz w:val="20"/>
                              </w:rPr>
                              <w:t>Cyclo</w:t>
                            </w:r>
                            <w:r>
                              <w:rPr>
                                <w:rFonts w:ascii="Trebuchet MS"/>
                                <w:color w:val="231F20"/>
                                <w:spacing w:val="3"/>
                                <w:sz w:val="20"/>
                              </w:rPr>
                              <w:t xml:space="preserve"> </w:t>
                            </w:r>
                            <w:r>
                              <w:rPr>
                                <w:rFonts w:ascii="Trebuchet MS"/>
                                <w:color w:val="231F20"/>
                                <w:spacing w:val="-4"/>
                                <w:sz w:val="20"/>
                              </w:rPr>
                              <w:t>Event</w:t>
                            </w:r>
                          </w:p>
                          <w:p w14:paraId="21135335" w14:textId="77777777" w:rsidR="00AE0598" w:rsidRDefault="0069255A">
                            <w:pPr>
                              <w:pStyle w:val="Corpodetexto"/>
                              <w:spacing w:before="116"/>
                              <w:ind w:left="113"/>
                              <w:jc w:val="both"/>
                              <w:rPr>
                                <w:color w:val="000000"/>
                              </w:rPr>
                            </w:pPr>
                            <w:r>
                              <w:rPr>
                                <w:color w:val="231F20"/>
                              </w:rPr>
                              <w:t>In</w:t>
                            </w:r>
                            <w:r>
                              <w:rPr>
                                <w:color w:val="231F20"/>
                              </w:rPr>
                              <w:t>ge</w:t>
                            </w:r>
                            <w:r>
                              <w:rPr>
                                <w:color w:val="231F20"/>
                                <w:spacing w:val="-5"/>
                              </w:rPr>
                              <w:t xml:space="preserve"> </w:t>
                            </w:r>
                            <w:r>
                              <w:rPr>
                                <w:color w:val="231F20"/>
                              </w:rPr>
                              <w:t>Derom</w:t>
                            </w:r>
                            <w:r>
                              <w:rPr>
                                <w:color w:val="231F20"/>
                                <w:spacing w:val="-5"/>
                              </w:rPr>
                              <w:t xml:space="preserve"> </w:t>
                            </w:r>
                            <w:r>
                              <w:rPr>
                                <w:color w:val="231F20"/>
                              </w:rPr>
                              <w:t>and</w:t>
                            </w:r>
                            <w:r>
                              <w:rPr>
                                <w:color w:val="231F20"/>
                                <w:spacing w:val="-5"/>
                              </w:rPr>
                              <w:t xml:space="preserve"> </w:t>
                            </w:r>
                            <w:r>
                              <w:rPr>
                                <w:color w:val="231F20"/>
                              </w:rPr>
                              <w:t>Gregory</w:t>
                            </w:r>
                            <w:r>
                              <w:rPr>
                                <w:color w:val="231F20"/>
                                <w:spacing w:val="-5"/>
                              </w:rPr>
                              <w:t xml:space="preserve"> </w:t>
                            </w:r>
                            <w:r>
                              <w:rPr>
                                <w:color w:val="231F20"/>
                                <w:spacing w:val="-2"/>
                              </w:rPr>
                              <w:t>Ramshaw</w:t>
                            </w:r>
                          </w:p>
                          <w:p w14:paraId="7D6BDB50" w14:textId="77777777" w:rsidR="00AE0598" w:rsidRDefault="0069255A">
                            <w:pPr>
                              <w:pStyle w:val="Corpodetexto"/>
                              <w:spacing w:before="120" w:line="232" w:lineRule="auto"/>
                              <w:ind w:left="113" w:right="111" w:firstLine="320"/>
                              <w:jc w:val="both"/>
                              <w:rPr>
                                <w:color w:val="000000"/>
                              </w:rPr>
                            </w:pPr>
                            <w:r>
                              <w:rPr>
                                <w:color w:val="231F20"/>
                              </w:rPr>
                              <w:t>Major</w:t>
                            </w:r>
                            <w:r>
                              <w:rPr>
                                <w:color w:val="231F20"/>
                                <w:spacing w:val="-9"/>
                              </w:rPr>
                              <w:t xml:space="preserve"> </w:t>
                            </w:r>
                            <w:r>
                              <w:rPr>
                                <w:color w:val="231F20"/>
                              </w:rPr>
                              <w:t>sport</w:t>
                            </w:r>
                            <w:r>
                              <w:rPr>
                                <w:color w:val="231F20"/>
                                <w:spacing w:val="-9"/>
                              </w:rPr>
                              <w:t xml:space="preserve"> </w:t>
                            </w:r>
                            <w:r>
                              <w:rPr>
                                <w:color w:val="231F20"/>
                              </w:rPr>
                              <w:t>events,</w:t>
                            </w:r>
                            <w:r>
                              <w:rPr>
                                <w:color w:val="231F20"/>
                                <w:spacing w:val="-9"/>
                              </w:rPr>
                              <w:t xml:space="preserve"> </w:t>
                            </w:r>
                            <w:r>
                              <w:rPr>
                                <w:color w:val="231F20"/>
                              </w:rPr>
                              <w:t>including</w:t>
                            </w:r>
                            <w:r>
                              <w:rPr>
                                <w:color w:val="231F20"/>
                                <w:spacing w:val="-9"/>
                              </w:rPr>
                              <w:t xml:space="preserve"> </w:t>
                            </w:r>
                            <w:r>
                              <w:rPr>
                                <w:color w:val="231F20"/>
                              </w:rPr>
                              <w:t>well-known</w:t>
                            </w:r>
                            <w:r>
                              <w:rPr>
                                <w:color w:val="231F20"/>
                                <w:spacing w:val="-9"/>
                              </w:rPr>
                              <w:t xml:space="preserve"> </w:t>
                            </w:r>
                            <w:r>
                              <w:rPr>
                                <w:color w:val="231F20"/>
                              </w:rPr>
                              <w:t>cycling</w:t>
                            </w:r>
                            <w:r>
                              <w:rPr>
                                <w:color w:val="231F20"/>
                                <w:spacing w:val="-9"/>
                              </w:rPr>
                              <w:t xml:space="preserve"> </w:t>
                            </w:r>
                            <w:r>
                              <w:rPr>
                                <w:color w:val="231F20"/>
                              </w:rPr>
                              <w:t>races</w:t>
                            </w:r>
                            <w:r>
                              <w:rPr>
                                <w:color w:val="231F20"/>
                                <w:spacing w:val="-9"/>
                              </w:rPr>
                              <w:t xml:space="preserve"> </w:t>
                            </w:r>
                            <w:r>
                              <w:rPr>
                                <w:color w:val="231F20"/>
                              </w:rPr>
                              <w:t>such</w:t>
                            </w:r>
                            <w:r>
                              <w:rPr>
                                <w:color w:val="231F20"/>
                                <w:spacing w:val="-9"/>
                              </w:rPr>
                              <w:t xml:space="preserve"> </w:t>
                            </w:r>
                            <w:r>
                              <w:rPr>
                                <w:color w:val="231F20"/>
                              </w:rPr>
                              <w:t>as</w:t>
                            </w:r>
                            <w:r>
                              <w:rPr>
                                <w:color w:val="231F20"/>
                                <w:spacing w:val="-9"/>
                              </w:rPr>
                              <w:t xml:space="preserve"> </w:t>
                            </w:r>
                            <w:r>
                              <w:rPr>
                                <w:color w:val="231F20"/>
                              </w:rPr>
                              <w:t xml:space="preserve">the </w:t>
                            </w:r>
                            <w:r>
                              <w:rPr>
                                <w:color w:val="231F20"/>
                                <w:spacing w:val="-2"/>
                              </w:rPr>
                              <w:t>Tour</w:t>
                            </w:r>
                            <w:r>
                              <w:rPr>
                                <w:color w:val="231F20"/>
                                <w:spacing w:val="-6"/>
                              </w:rPr>
                              <w:t xml:space="preserve"> </w:t>
                            </w:r>
                            <w:r>
                              <w:rPr>
                                <w:color w:val="231F20"/>
                                <w:spacing w:val="-2"/>
                              </w:rPr>
                              <w:t>of</w:t>
                            </w:r>
                            <w:r>
                              <w:rPr>
                                <w:color w:val="231F20"/>
                              </w:rPr>
                              <w:t xml:space="preserve"> </w:t>
                            </w:r>
                            <w:r>
                              <w:rPr>
                                <w:color w:val="231F20"/>
                                <w:spacing w:val="-2"/>
                              </w:rPr>
                              <w:t>Flanders,</w:t>
                            </w:r>
                            <w:r>
                              <w:rPr>
                                <w:color w:val="231F20"/>
                                <w:spacing w:val="-6"/>
                              </w:rPr>
                              <w:t xml:space="preserve"> </w:t>
                            </w:r>
                            <w:r>
                              <w:rPr>
                                <w:color w:val="231F20"/>
                                <w:spacing w:val="-2"/>
                              </w:rPr>
                              <w:t>may</w:t>
                            </w:r>
                            <w:r>
                              <w:rPr>
                                <w:color w:val="231F20"/>
                                <w:spacing w:val="-6"/>
                              </w:rPr>
                              <w:t xml:space="preserve"> </w:t>
                            </w:r>
                            <w:r>
                              <w:rPr>
                                <w:color w:val="231F20"/>
                                <w:spacing w:val="-2"/>
                              </w:rPr>
                              <w:t>be</w:t>
                            </w:r>
                            <w:r>
                              <w:rPr>
                                <w:color w:val="231F20"/>
                                <w:spacing w:val="-6"/>
                              </w:rPr>
                              <w:t xml:space="preserve"> </w:t>
                            </w:r>
                            <w:r>
                              <w:rPr>
                                <w:color w:val="231F20"/>
                                <w:spacing w:val="-2"/>
                              </w:rPr>
                              <w:t>leveraged</w:t>
                            </w:r>
                            <w:r>
                              <w:rPr>
                                <w:color w:val="231F20"/>
                                <w:spacing w:val="-6"/>
                              </w:rPr>
                              <w:t xml:space="preserve"> </w:t>
                            </w:r>
                            <w:r>
                              <w:rPr>
                                <w:color w:val="231F20"/>
                                <w:spacing w:val="-2"/>
                              </w:rPr>
                              <w:t>to</w:t>
                            </w:r>
                            <w:r>
                              <w:rPr>
                                <w:color w:val="231F20"/>
                                <w:spacing w:val="-6"/>
                              </w:rPr>
                              <w:t xml:space="preserve"> </w:t>
                            </w:r>
                            <w:r>
                              <w:rPr>
                                <w:color w:val="231F20"/>
                                <w:spacing w:val="-2"/>
                              </w:rPr>
                              <w:t>attract</w:t>
                            </w:r>
                            <w:r>
                              <w:rPr>
                                <w:color w:val="231F20"/>
                                <w:spacing w:val="-6"/>
                              </w:rPr>
                              <w:t xml:space="preserve"> </w:t>
                            </w:r>
                            <w:r>
                              <w:rPr>
                                <w:color w:val="231F20"/>
                                <w:spacing w:val="-2"/>
                              </w:rPr>
                              <w:t>international</w:t>
                            </w:r>
                            <w:r>
                              <w:rPr>
                                <w:color w:val="231F20"/>
                                <w:spacing w:val="-6"/>
                              </w:rPr>
                              <w:t xml:space="preserve"> </w:t>
                            </w:r>
                            <w:r>
                              <w:rPr>
                                <w:color w:val="231F20"/>
                                <w:spacing w:val="-2"/>
                              </w:rPr>
                              <w:t>tourists</w:t>
                            </w:r>
                            <w:r>
                              <w:rPr>
                                <w:color w:val="231F20"/>
                                <w:spacing w:val="-6"/>
                              </w:rPr>
                              <w:t xml:space="preserve"> </w:t>
                            </w:r>
                            <w:r>
                              <w:rPr>
                                <w:color w:val="231F20"/>
                                <w:spacing w:val="-2"/>
                              </w:rPr>
                              <w:t xml:space="preserve">and </w:t>
                            </w:r>
                            <w:r>
                              <w:rPr>
                                <w:color w:val="231F20"/>
                              </w:rPr>
                              <w:t xml:space="preserve">potential investors to the host community and region. Event leverage </w:t>
                            </w:r>
                            <w:r>
                              <w:rPr>
                                <w:color w:val="231F20"/>
                                <w:w w:val="95"/>
                              </w:rPr>
                              <w:t>describes the strategic process of aligning event and destination-related resources</w:t>
                            </w:r>
                            <w:r>
                              <w:rPr>
                                <w:color w:val="231F20"/>
                                <w:spacing w:val="15"/>
                              </w:rPr>
                              <w:t xml:space="preserve"> </w:t>
                            </w:r>
                            <w:r>
                              <w:rPr>
                                <w:color w:val="231F20"/>
                                <w:w w:val="95"/>
                              </w:rPr>
                              <w:t>with</w:t>
                            </w:r>
                            <w:r>
                              <w:rPr>
                                <w:color w:val="231F20"/>
                                <w:spacing w:val="16"/>
                              </w:rPr>
                              <w:t xml:space="preserve"> </w:t>
                            </w:r>
                            <w:r>
                              <w:rPr>
                                <w:color w:val="231F20"/>
                                <w:w w:val="95"/>
                              </w:rPr>
                              <w:t>newly</w:t>
                            </w:r>
                            <w:r>
                              <w:rPr>
                                <w:color w:val="231F20"/>
                                <w:spacing w:val="15"/>
                              </w:rPr>
                              <w:t xml:space="preserve"> </w:t>
                            </w:r>
                            <w:r>
                              <w:rPr>
                                <w:color w:val="231F20"/>
                                <w:w w:val="95"/>
                              </w:rPr>
                              <w:t>developed</w:t>
                            </w:r>
                            <w:r>
                              <w:rPr>
                                <w:color w:val="231F20"/>
                                <w:spacing w:val="16"/>
                              </w:rPr>
                              <w:t xml:space="preserve"> </w:t>
                            </w:r>
                            <w:r>
                              <w:rPr>
                                <w:color w:val="231F20"/>
                                <w:w w:val="95"/>
                              </w:rPr>
                              <w:t>initiatives</w:t>
                            </w:r>
                            <w:r>
                              <w:rPr>
                                <w:color w:val="231F20"/>
                                <w:spacing w:val="15"/>
                              </w:rPr>
                              <w:t xml:space="preserve"> </w:t>
                            </w:r>
                            <w:r>
                              <w:rPr>
                                <w:color w:val="231F20"/>
                                <w:w w:val="95"/>
                              </w:rPr>
                              <w:t>to</w:t>
                            </w:r>
                            <w:r>
                              <w:rPr>
                                <w:color w:val="231F20"/>
                                <w:spacing w:val="16"/>
                              </w:rPr>
                              <w:t xml:space="preserve"> </w:t>
                            </w:r>
                            <w:r>
                              <w:rPr>
                                <w:color w:val="231F20"/>
                                <w:w w:val="95"/>
                              </w:rPr>
                              <w:t>create</w:t>
                            </w:r>
                            <w:r>
                              <w:rPr>
                                <w:color w:val="231F20"/>
                                <w:spacing w:val="15"/>
                              </w:rPr>
                              <w:t xml:space="preserve"> </w:t>
                            </w:r>
                            <w:r>
                              <w:rPr>
                                <w:color w:val="231F20"/>
                                <w:w w:val="95"/>
                              </w:rPr>
                              <w:t>additional</w:t>
                            </w:r>
                            <w:r>
                              <w:rPr>
                                <w:color w:val="231F20"/>
                                <w:spacing w:val="16"/>
                              </w:rPr>
                              <w:t xml:space="preserve"> </w:t>
                            </w:r>
                            <w:r>
                              <w:rPr>
                                <w:color w:val="231F20"/>
                                <w:spacing w:val="-2"/>
                                <w:w w:val="95"/>
                              </w:rPr>
                              <w:t>benefits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B2EDF4" id="docshape233" o:spid="_x0000_s1093" type="#_x0000_t202" style="position:absolute;margin-left:59.5pt;margin-top:14.05pt;width:323.15pt;height:103.75pt;z-index:-156436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" fillcolor="#dcddde" stroked="f">
                <v:textbox inset="0,0,0,0">
                  <w:txbxContent>
                    <w:p w14:paraId="714FE50F" w14:textId="77777777" w:rsidR="00AE0598" w:rsidRDefault="0069255A">
                      <w:pPr>
                        <w:spacing w:before="75"/>
                        <w:ind w:left="113"/>
                        <w:jc w:val="both"/>
                        <w:rPr>
                          <w:rFonts w:ascii="Trebuchet MS"/>
                          <w:color w:val="000000"/>
                          <w:sz w:val="20"/>
                        </w:rPr>
                      </w:pPr>
                      <w:r>
                        <w:rPr>
                          <w:rFonts w:ascii="Trebuchet MS"/>
                          <w:color w:val="231F20"/>
                          <w:sz w:val="20"/>
                        </w:rPr>
                        <w:t>Focus</w:t>
                      </w:r>
                      <w:r>
                        <w:rPr>
                          <w:rFonts w:ascii="Trebuchet MS"/>
                          <w:color w:val="231F20"/>
                          <w:spacing w:val="2"/>
                          <w:sz w:val="20"/>
                        </w:rPr>
                        <w:t xml:space="preserve"> </w:t>
                      </w:r>
                      <w:r>
                        <w:rPr>
                          <w:rFonts w:ascii="Trebuchet MS"/>
                          <w:color w:val="231F20"/>
                          <w:sz w:val="20"/>
                        </w:rPr>
                        <w:t>Point</w:t>
                      </w:r>
                      <w:r>
                        <w:rPr>
                          <w:rFonts w:ascii="Trebuchet MS"/>
                          <w:color w:val="231F20"/>
                          <w:spacing w:val="3"/>
                          <w:sz w:val="20"/>
                        </w:rPr>
                        <w:t xml:space="preserve"> </w:t>
                      </w:r>
                      <w:r>
                        <w:rPr>
                          <w:rFonts w:ascii="Trebuchet MS"/>
                          <w:color w:val="231F20"/>
                          <w:sz w:val="20"/>
                        </w:rPr>
                        <w:t>8.4:</w:t>
                      </w:r>
                      <w:r>
                        <w:rPr>
                          <w:rFonts w:ascii="Trebuchet MS"/>
                          <w:color w:val="231F20"/>
                          <w:spacing w:val="3"/>
                          <w:sz w:val="20"/>
                        </w:rPr>
                        <w:t xml:space="preserve"> </w:t>
                      </w:r>
                      <w:r>
                        <w:rPr>
                          <w:rFonts w:ascii="Trebuchet MS"/>
                          <w:color w:val="231F20"/>
                          <w:sz w:val="20"/>
                        </w:rPr>
                        <w:t>Tour</w:t>
                      </w:r>
                      <w:r>
                        <w:rPr>
                          <w:rFonts w:ascii="Trebuchet MS"/>
                          <w:color w:val="231F20"/>
                          <w:spacing w:val="2"/>
                          <w:sz w:val="20"/>
                        </w:rPr>
                        <w:t xml:space="preserve"> </w:t>
                      </w:r>
                      <w:r>
                        <w:rPr>
                          <w:rFonts w:ascii="Trebuchet MS"/>
                          <w:color w:val="231F20"/>
                          <w:sz w:val="20"/>
                        </w:rPr>
                        <w:t>of</w:t>
                      </w:r>
                      <w:r>
                        <w:rPr>
                          <w:rFonts w:ascii="Trebuchet MS"/>
                          <w:color w:val="231F20"/>
                          <w:spacing w:val="3"/>
                          <w:sz w:val="20"/>
                        </w:rPr>
                        <w:t xml:space="preserve"> </w:t>
                      </w:r>
                      <w:r>
                        <w:rPr>
                          <w:rFonts w:ascii="Trebuchet MS"/>
                          <w:color w:val="231F20"/>
                          <w:sz w:val="20"/>
                        </w:rPr>
                        <w:t>Flanders</w:t>
                      </w:r>
                      <w:r>
                        <w:rPr>
                          <w:rFonts w:ascii="Trebuchet MS"/>
                          <w:color w:val="231F20"/>
                          <w:spacing w:val="3"/>
                          <w:sz w:val="20"/>
                        </w:rPr>
                        <w:t xml:space="preserve"> </w:t>
                      </w:r>
                      <w:r>
                        <w:rPr>
                          <w:rFonts w:ascii="Trebuchet MS"/>
                          <w:color w:val="231F20"/>
                          <w:sz w:val="20"/>
                        </w:rPr>
                        <w:t>Cyclo</w:t>
                      </w:r>
                      <w:r>
                        <w:rPr>
                          <w:rFonts w:ascii="Trebuchet MS"/>
                          <w:color w:val="231F20"/>
                          <w:spacing w:val="3"/>
                          <w:sz w:val="20"/>
                        </w:rPr>
                        <w:t xml:space="preserve"> </w:t>
                      </w:r>
                      <w:r>
                        <w:rPr>
                          <w:rFonts w:ascii="Trebuchet MS"/>
                          <w:color w:val="231F20"/>
                          <w:spacing w:val="-4"/>
                          <w:sz w:val="20"/>
                        </w:rPr>
                        <w:t>Event</w:t>
                      </w:r>
                    </w:p>
                    <w:p w14:paraId="21135335" w14:textId="77777777" w:rsidR="00AE0598" w:rsidRDefault="0069255A">
                      <w:pPr>
                        <w:pStyle w:val="Corpodetexto"/>
                        <w:spacing w:before="116"/>
                        <w:ind w:left="113"/>
                        <w:jc w:val="both"/>
                        <w:rPr>
                          <w:color w:val="000000"/>
                        </w:rPr>
                      </w:pPr>
                      <w:r>
                        <w:rPr>
                          <w:color w:val="231F20"/>
                        </w:rPr>
                        <w:t>In</w:t>
                      </w:r>
                      <w:r>
                        <w:rPr>
                          <w:color w:val="231F20"/>
                        </w:rPr>
                        <w:t>ge</w:t>
                      </w:r>
                      <w:r>
                        <w:rPr>
                          <w:color w:val="231F20"/>
                          <w:spacing w:val="-5"/>
                        </w:rPr>
                        <w:t xml:space="preserve"> </w:t>
                      </w:r>
                      <w:r>
                        <w:rPr>
                          <w:color w:val="231F20"/>
                        </w:rPr>
                        <w:t>Derom</w:t>
                      </w:r>
                      <w:r>
                        <w:rPr>
                          <w:color w:val="231F20"/>
                          <w:spacing w:val="-5"/>
                        </w:rPr>
                        <w:t xml:space="preserve"> </w:t>
                      </w:r>
                      <w:r>
                        <w:rPr>
                          <w:color w:val="231F20"/>
                        </w:rPr>
                        <w:t>and</w:t>
                      </w:r>
                      <w:r>
                        <w:rPr>
                          <w:color w:val="231F20"/>
                          <w:spacing w:val="-5"/>
                        </w:rPr>
                        <w:t xml:space="preserve"> </w:t>
                      </w:r>
                      <w:r>
                        <w:rPr>
                          <w:color w:val="231F20"/>
                        </w:rPr>
                        <w:t>Gregory</w:t>
                      </w:r>
                      <w:r>
                        <w:rPr>
                          <w:color w:val="231F20"/>
                          <w:spacing w:val="-5"/>
                        </w:rPr>
                        <w:t xml:space="preserve"> </w:t>
                      </w:r>
                      <w:r>
                        <w:rPr>
                          <w:color w:val="231F20"/>
                          <w:spacing w:val="-2"/>
                        </w:rPr>
                        <w:t>Ramshaw</w:t>
                      </w:r>
                    </w:p>
                    <w:p w14:paraId="7D6BDB50" w14:textId="77777777" w:rsidR="00AE0598" w:rsidRDefault="0069255A">
                      <w:pPr>
                        <w:pStyle w:val="Corpodetexto"/>
                        <w:spacing w:before="120" w:line="232" w:lineRule="auto"/>
                        <w:ind w:left="113" w:right="111" w:firstLine="320"/>
                        <w:jc w:val="both"/>
                        <w:rPr>
                          <w:color w:val="000000"/>
                        </w:rPr>
                      </w:pPr>
                      <w:r>
                        <w:rPr>
                          <w:color w:val="231F20"/>
                        </w:rPr>
                        <w:t>Major</w:t>
                      </w:r>
                      <w:r>
                        <w:rPr>
                          <w:color w:val="231F20"/>
                          <w:spacing w:val="-9"/>
                        </w:rPr>
                        <w:t xml:space="preserve"> </w:t>
                      </w:r>
                      <w:r>
                        <w:rPr>
                          <w:color w:val="231F20"/>
                        </w:rPr>
                        <w:t>sport</w:t>
                      </w:r>
                      <w:r>
                        <w:rPr>
                          <w:color w:val="231F20"/>
                          <w:spacing w:val="-9"/>
                        </w:rPr>
                        <w:t xml:space="preserve"> </w:t>
                      </w:r>
                      <w:r>
                        <w:rPr>
                          <w:color w:val="231F20"/>
                        </w:rPr>
                        <w:t>events,</w:t>
                      </w:r>
                      <w:r>
                        <w:rPr>
                          <w:color w:val="231F20"/>
                          <w:spacing w:val="-9"/>
                        </w:rPr>
                        <w:t xml:space="preserve"> </w:t>
                      </w:r>
                      <w:r>
                        <w:rPr>
                          <w:color w:val="231F20"/>
                        </w:rPr>
                        <w:t>including</w:t>
                      </w:r>
                      <w:r>
                        <w:rPr>
                          <w:color w:val="231F20"/>
                          <w:spacing w:val="-9"/>
                        </w:rPr>
                        <w:t xml:space="preserve"> </w:t>
                      </w:r>
                      <w:r>
                        <w:rPr>
                          <w:color w:val="231F20"/>
                        </w:rPr>
                        <w:t>well-known</w:t>
                      </w:r>
                      <w:r>
                        <w:rPr>
                          <w:color w:val="231F20"/>
                          <w:spacing w:val="-9"/>
                        </w:rPr>
                        <w:t xml:space="preserve"> </w:t>
                      </w:r>
                      <w:r>
                        <w:rPr>
                          <w:color w:val="231F20"/>
                        </w:rPr>
                        <w:t>cycling</w:t>
                      </w:r>
                      <w:r>
                        <w:rPr>
                          <w:color w:val="231F20"/>
                          <w:spacing w:val="-9"/>
                        </w:rPr>
                        <w:t xml:space="preserve"> </w:t>
                      </w:r>
                      <w:r>
                        <w:rPr>
                          <w:color w:val="231F20"/>
                        </w:rPr>
                        <w:t>races</w:t>
                      </w:r>
                      <w:r>
                        <w:rPr>
                          <w:color w:val="231F20"/>
                          <w:spacing w:val="-9"/>
                        </w:rPr>
                        <w:t xml:space="preserve"> </w:t>
                      </w:r>
                      <w:r>
                        <w:rPr>
                          <w:color w:val="231F20"/>
                        </w:rPr>
                        <w:t>such</w:t>
                      </w:r>
                      <w:r>
                        <w:rPr>
                          <w:color w:val="231F20"/>
                          <w:spacing w:val="-9"/>
                        </w:rPr>
                        <w:t xml:space="preserve"> </w:t>
                      </w:r>
                      <w:r>
                        <w:rPr>
                          <w:color w:val="231F20"/>
                        </w:rPr>
                        <w:t>as</w:t>
                      </w:r>
                      <w:r>
                        <w:rPr>
                          <w:color w:val="231F20"/>
                          <w:spacing w:val="-9"/>
                        </w:rPr>
                        <w:t xml:space="preserve"> </w:t>
                      </w:r>
                      <w:r>
                        <w:rPr>
                          <w:color w:val="231F20"/>
                        </w:rPr>
                        <w:t xml:space="preserve">the </w:t>
                      </w:r>
                      <w:r>
                        <w:rPr>
                          <w:color w:val="231F20"/>
                          <w:spacing w:val="-2"/>
                        </w:rPr>
                        <w:t>Tour</w:t>
                      </w:r>
                      <w:r>
                        <w:rPr>
                          <w:color w:val="231F20"/>
                          <w:spacing w:val="-6"/>
                        </w:rPr>
                        <w:t xml:space="preserve"> </w:t>
                      </w:r>
                      <w:r>
                        <w:rPr>
                          <w:color w:val="231F20"/>
                          <w:spacing w:val="-2"/>
                        </w:rPr>
                        <w:t>of</w:t>
                      </w:r>
                      <w:r>
                        <w:rPr>
                          <w:color w:val="231F20"/>
                        </w:rPr>
                        <w:t xml:space="preserve"> </w:t>
                      </w:r>
                      <w:r>
                        <w:rPr>
                          <w:color w:val="231F20"/>
                          <w:spacing w:val="-2"/>
                        </w:rPr>
                        <w:t>Flanders,</w:t>
                      </w:r>
                      <w:r>
                        <w:rPr>
                          <w:color w:val="231F20"/>
                          <w:spacing w:val="-6"/>
                        </w:rPr>
                        <w:t xml:space="preserve"> </w:t>
                      </w:r>
                      <w:r>
                        <w:rPr>
                          <w:color w:val="231F20"/>
                          <w:spacing w:val="-2"/>
                        </w:rPr>
                        <w:t>may</w:t>
                      </w:r>
                      <w:r>
                        <w:rPr>
                          <w:color w:val="231F20"/>
                          <w:spacing w:val="-6"/>
                        </w:rPr>
                        <w:t xml:space="preserve"> </w:t>
                      </w:r>
                      <w:r>
                        <w:rPr>
                          <w:color w:val="231F20"/>
                          <w:spacing w:val="-2"/>
                        </w:rPr>
                        <w:t>be</w:t>
                      </w:r>
                      <w:r>
                        <w:rPr>
                          <w:color w:val="231F20"/>
                          <w:spacing w:val="-6"/>
                        </w:rPr>
                        <w:t xml:space="preserve"> </w:t>
                      </w:r>
                      <w:r>
                        <w:rPr>
                          <w:color w:val="231F20"/>
                          <w:spacing w:val="-2"/>
                        </w:rPr>
                        <w:t>leveraged</w:t>
                      </w:r>
                      <w:r>
                        <w:rPr>
                          <w:color w:val="231F20"/>
                          <w:spacing w:val="-6"/>
                        </w:rPr>
                        <w:t xml:space="preserve"> </w:t>
                      </w:r>
                      <w:r>
                        <w:rPr>
                          <w:color w:val="231F20"/>
                          <w:spacing w:val="-2"/>
                        </w:rPr>
                        <w:t>to</w:t>
                      </w:r>
                      <w:r>
                        <w:rPr>
                          <w:color w:val="231F20"/>
                          <w:spacing w:val="-6"/>
                        </w:rPr>
                        <w:t xml:space="preserve"> </w:t>
                      </w:r>
                      <w:r>
                        <w:rPr>
                          <w:color w:val="231F20"/>
                          <w:spacing w:val="-2"/>
                        </w:rPr>
                        <w:t>attract</w:t>
                      </w:r>
                      <w:r>
                        <w:rPr>
                          <w:color w:val="231F20"/>
                          <w:spacing w:val="-6"/>
                        </w:rPr>
                        <w:t xml:space="preserve"> </w:t>
                      </w:r>
                      <w:r>
                        <w:rPr>
                          <w:color w:val="231F20"/>
                          <w:spacing w:val="-2"/>
                        </w:rPr>
                        <w:t>international</w:t>
                      </w:r>
                      <w:r>
                        <w:rPr>
                          <w:color w:val="231F20"/>
                          <w:spacing w:val="-6"/>
                        </w:rPr>
                        <w:t xml:space="preserve"> </w:t>
                      </w:r>
                      <w:r>
                        <w:rPr>
                          <w:color w:val="231F20"/>
                          <w:spacing w:val="-2"/>
                        </w:rPr>
                        <w:t>tourists</w:t>
                      </w:r>
                      <w:r>
                        <w:rPr>
                          <w:color w:val="231F20"/>
                          <w:spacing w:val="-6"/>
                        </w:rPr>
                        <w:t xml:space="preserve"> </w:t>
                      </w:r>
                      <w:r>
                        <w:rPr>
                          <w:color w:val="231F20"/>
                          <w:spacing w:val="-2"/>
                        </w:rPr>
                        <w:t xml:space="preserve">and </w:t>
                      </w:r>
                      <w:r>
                        <w:rPr>
                          <w:color w:val="231F20"/>
                        </w:rPr>
                        <w:t xml:space="preserve">potential investors to the host community and region. Event leverage </w:t>
                      </w:r>
                      <w:r>
                        <w:rPr>
                          <w:color w:val="231F20"/>
                          <w:w w:val="95"/>
                        </w:rPr>
                        <w:t>describes the strategic process of aligning event and destination-related resources</w:t>
                      </w:r>
                      <w:r>
                        <w:rPr>
                          <w:color w:val="231F20"/>
                          <w:spacing w:val="15"/>
                        </w:rPr>
                        <w:t xml:space="preserve"> </w:t>
                      </w:r>
                      <w:r>
                        <w:rPr>
                          <w:color w:val="231F20"/>
                          <w:w w:val="95"/>
                        </w:rPr>
                        <w:t>with</w:t>
                      </w:r>
                      <w:r>
                        <w:rPr>
                          <w:color w:val="231F20"/>
                          <w:spacing w:val="16"/>
                        </w:rPr>
                        <w:t xml:space="preserve"> </w:t>
                      </w:r>
                      <w:r>
                        <w:rPr>
                          <w:color w:val="231F20"/>
                          <w:w w:val="95"/>
                        </w:rPr>
                        <w:t>newly</w:t>
                      </w:r>
                      <w:r>
                        <w:rPr>
                          <w:color w:val="231F20"/>
                          <w:spacing w:val="15"/>
                        </w:rPr>
                        <w:t xml:space="preserve"> </w:t>
                      </w:r>
                      <w:r>
                        <w:rPr>
                          <w:color w:val="231F20"/>
                          <w:w w:val="95"/>
                        </w:rPr>
                        <w:t>developed</w:t>
                      </w:r>
                      <w:r>
                        <w:rPr>
                          <w:color w:val="231F20"/>
                          <w:spacing w:val="16"/>
                        </w:rPr>
                        <w:t xml:space="preserve"> </w:t>
                      </w:r>
                      <w:r>
                        <w:rPr>
                          <w:color w:val="231F20"/>
                          <w:w w:val="95"/>
                        </w:rPr>
                        <w:t>initiatives</w:t>
                      </w:r>
                      <w:r>
                        <w:rPr>
                          <w:color w:val="231F20"/>
                          <w:spacing w:val="15"/>
                        </w:rPr>
                        <w:t xml:space="preserve"> </w:t>
                      </w:r>
                      <w:r>
                        <w:rPr>
                          <w:color w:val="231F20"/>
                          <w:w w:val="95"/>
                        </w:rPr>
                        <w:t>to</w:t>
                      </w:r>
                      <w:r>
                        <w:rPr>
                          <w:color w:val="231F20"/>
                          <w:spacing w:val="16"/>
                        </w:rPr>
                        <w:t xml:space="preserve"> </w:t>
                      </w:r>
                      <w:r>
                        <w:rPr>
                          <w:color w:val="231F20"/>
                          <w:w w:val="95"/>
                        </w:rPr>
                        <w:t>create</w:t>
                      </w:r>
                      <w:r>
                        <w:rPr>
                          <w:color w:val="231F20"/>
                          <w:spacing w:val="15"/>
                        </w:rPr>
                        <w:t xml:space="preserve"> </w:t>
                      </w:r>
                      <w:r>
                        <w:rPr>
                          <w:color w:val="231F20"/>
                          <w:w w:val="95"/>
                        </w:rPr>
                        <w:t>additional</w:t>
                      </w:r>
                      <w:r>
                        <w:rPr>
                          <w:color w:val="231F20"/>
                          <w:spacing w:val="16"/>
                        </w:rPr>
                        <w:t xml:space="preserve"> </w:t>
                      </w:r>
                      <w:r>
                        <w:rPr>
                          <w:color w:val="231F20"/>
                          <w:spacing w:val="-2"/>
                          <w:w w:val="95"/>
                        </w:rPr>
                        <w:t>benefits</w:t>
                      </w:r>
                    </w:p>
                  </w:txbxContent>
                </v:textbox>
                <w10:wrap type="topAndBottom" anchorx="page"/>
              </v:shape>
            </w:pict>
          </mc:Fallback>
        </mc:AlternateContent>
      </w:r>
    </w:p>
    <w:p w14:paraId="22DCA057" w14:textId="77777777" w:rsidR="00AE0598" w:rsidRDefault="00AE0598">
      <w:pPr>
        <w:sectPr w:rsidR="00AE0598">
          <w:pgSz w:w="8850" w:h="13270"/>
          <w:pgMar w:top="720" w:right="1060" w:bottom="280" w:left="1080" w:header="720" w:footer="720" w:gutter="0"/>
          <w:cols w:space="720"/>
        </w:sectPr>
      </w:pPr>
    </w:p>
    <w:p w14:paraId="04FFEA46" w14:textId="77777777" w:rsidR="00AE0598" w:rsidRDefault="0069255A">
      <w:pPr>
        <w:spacing w:before="87"/>
        <w:ind w:left="4078"/>
        <w:rPr>
          <w:rFonts w:ascii="Trebuchet MS"/>
          <w:sz w:val="14"/>
        </w:rPr>
      </w:pPr>
      <w:r>
        <w:rPr>
          <w:rFonts w:ascii="Trebuchet MS"/>
          <w:color w:val="231F20"/>
          <w:w w:val="105"/>
          <w:sz w:val="14"/>
        </w:rPr>
        <w:lastRenderedPageBreak/>
        <w:t>Sport</w:t>
      </w:r>
      <w:r>
        <w:rPr>
          <w:rFonts w:ascii="Trebuchet MS"/>
          <w:color w:val="231F20"/>
          <w:spacing w:val="-11"/>
          <w:w w:val="105"/>
          <w:sz w:val="14"/>
        </w:rPr>
        <w:t xml:space="preserve"> </w:t>
      </w:r>
      <w:r>
        <w:rPr>
          <w:rFonts w:ascii="Trebuchet MS"/>
          <w:color w:val="231F20"/>
          <w:w w:val="105"/>
          <w:sz w:val="14"/>
        </w:rPr>
        <w:t>and</w:t>
      </w:r>
      <w:r>
        <w:rPr>
          <w:rFonts w:ascii="Trebuchet MS"/>
          <w:color w:val="231F20"/>
          <w:spacing w:val="-11"/>
          <w:w w:val="105"/>
          <w:sz w:val="14"/>
        </w:rPr>
        <w:t xml:space="preserve"> </w:t>
      </w:r>
      <w:r>
        <w:rPr>
          <w:rFonts w:ascii="Trebuchet MS"/>
          <w:color w:val="231F20"/>
          <w:w w:val="105"/>
          <w:sz w:val="14"/>
        </w:rPr>
        <w:t>the</w:t>
      </w:r>
      <w:r>
        <w:rPr>
          <w:rFonts w:ascii="Trebuchet MS"/>
          <w:color w:val="231F20"/>
          <w:spacing w:val="-11"/>
          <w:w w:val="105"/>
          <w:sz w:val="14"/>
        </w:rPr>
        <w:t xml:space="preserve"> </w:t>
      </w:r>
      <w:r>
        <w:rPr>
          <w:rFonts w:ascii="Trebuchet MS"/>
          <w:color w:val="231F20"/>
          <w:w w:val="105"/>
          <w:sz w:val="14"/>
        </w:rPr>
        <w:t>Tourist</w:t>
      </w:r>
      <w:r>
        <w:rPr>
          <w:rFonts w:ascii="Trebuchet MS"/>
          <w:color w:val="231F20"/>
          <w:spacing w:val="-11"/>
          <w:w w:val="105"/>
          <w:sz w:val="14"/>
        </w:rPr>
        <w:t xml:space="preserve"> </w:t>
      </w:r>
      <w:r>
        <w:rPr>
          <w:rFonts w:ascii="Trebuchet MS"/>
          <w:color w:val="231F20"/>
          <w:w w:val="105"/>
          <w:sz w:val="14"/>
        </w:rPr>
        <w:t>Experience</w:t>
      </w:r>
      <w:r>
        <w:rPr>
          <w:rFonts w:ascii="Trebuchet MS"/>
          <w:color w:val="231F20"/>
          <w:spacing w:val="78"/>
          <w:w w:val="105"/>
          <w:sz w:val="14"/>
        </w:rPr>
        <w:t xml:space="preserve"> </w:t>
      </w:r>
      <w:r>
        <w:rPr>
          <w:rFonts w:ascii="Trebuchet MS"/>
          <w:color w:val="231F20"/>
          <w:spacing w:val="-5"/>
          <w:w w:val="105"/>
          <w:sz w:val="14"/>
        </w:rPr>
        <w:t>175</w:t>
      </w:r>
    </w:p>
    <w:p w14:paraId="68CB298A" w14:textId="77777777" w:rsidR="00AE0598" w:rsidRDefault="00AE0598">
      <w:pPr>
        <w:pStyle w:val="Corpodetexto"/>
        <w:spacing w:before="9"/>
        <w:rPr>
          <w:rFonts w:ascii="Trebuchet MS"/>
          <w:sz w:val="27"/>
        </w:rPr>
      </w:pPr>
    </w:p>
    <w:p w14:paraId="5505701E" w14:textId="0B6656C6" w:rsidR="00AE0598" w:rsidRDefault="0069255A">
      <w:pPr>
        <w:pStyle w:val="Corpodetexto"/>
        <w:spacing w:before="102" w:line="232" w:lineRule="auto"/>
        <w:ind w:left="223" w:right="241"/>
        <w:jc w:val="both"/>
      </w:pPr>
      <w:r>
        <w:rPr>
          <w:noProof/>
        </w:rPr>
        <mc:AlternateContent>
          <mc:Choice Requires="wps">
            <w:drawing>
              <wp:anchor distT="0" distB="0" distL="114300" distR="114300" simplePos="0" relativeHeight="483738112" behindDoc="1" locked="0" layoutInCell="1" allowOverlap="1" wp14:anchorId="0A5F7433" wp14:editId="5AF53104">
                <wp:simplePos x="0" y="0"/>
                <wp:positionH relativeFrom="page">
                  <wp:posOffset>755650</wp:posOffset>
                </wp:positionH>
                <wp:positionV relativeFrom="paragraph">
                  <wp:posOffset>18415</wp:posOffset>
                </wp:positionV>
                <wp:extent cx="4104005" cy="5755640"/>
                <wp:effectExtent l="0" t="0" r="0" b="0"/>
                <wp:wrapNone/>
                <wp:docPr id="132" name="docshape2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04005" cy="5755640"/>
                        </a:xfrm>
                        <a:prstGeom prst="rect">
                          <a:avLst/>
                        </a:prstGeom>
                        <a:solidFill>
                          <a:srgbClr val="DCDDD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5DDB5F" id="docshape234" o:spid="_x0000_s1026" style="position:absolute;margin-left:59.5pt;margin-top:1.45pt;width:323.15pt;height:453.2pt;z-index:-195783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" fillcolor="#dcddde" stroked="f">
                <w10:wrap anchorx="page"/>
              </v:rect>
            </w:pict>
          </mc:Fallback>
        </mc:AlternateContent>
      </w:r>
      <w:r>
        <w:rPr>
          <w:color w:val="231F20"/>
        </w:rPr>
        <w:t>for</w:t>
      </w:r>
      <w:r>
        <w:rPr>
          <w:color w:val="231F20"/>
          <w:spacing w:val="-8"/>
        </w:rPr>
        <w:t xml:space="preserve"> </w:t>
      </w:r>
      <w:r>
        <w:rPr>
          <w:color w:val="231F20"/>
        </w:rPr>
        <w:t>the</w:t>
      </w:r>
      <w:r>
        <w:rPr>
          <w:color w:val="231F20"/>
          <w:spacing w:val="-8"/>
        </w:rPr>
        <w:t xml:space="preserve"> </w:t>
      </w:r>
      <w:r>
        <w:rPr>
          <w:color w:val="231F20"/>
        </w:rPr>
        <w:t>host</w:t>
      </w:r>
      <w:r>
        <w:rPr>
          <w:color w:val="231F20"/>
          <w:spacing w:val="-8"/>
        </w:rPr>
        <w:t xml:space="preserve"> </w:t>
      </w:r>
      <w:r>
        <w:rPr>
          <w:color w:val="231F20"/>
        </w:rPr>
        <w:t>community</w:t>
      </w:r>
      <w:r>
        <w:rPr>
          <w:color w:val="231F20"/>
          <w:spacing w:val="-8"/>
        </w:rPr>
        <w:t xml:space="preserve"> </w:t>
      </w:r>
      <w:r>
        <w:rPr>
          <w:color w:val="231F20"/>
        </w:rPr>
        <w:t>(Derom</w:t>
      </w:r>
      <w:r>
        <w:rPr>
          <w:color w:val="231F20"/>
          <w:spacing w:val="-8"/>
        </w:rPr>
        <w:t xml:space="preserve"> </w:t>
      </w:r>
      <w:r>
        <w:rPr>
          <w:color w:val="231F20"/>
        </w:rPr>
        <w:t>&amp;</w:t>
      </w:r>
      <w:r>
        <w:rPr>
          <w:color w:val="231F20"/>
          <w:spacing w:val="-8"/>
        </w:rPr>
        <w:t xml:space="preserve"> </w:t>
      </w:r>
      <w:r>
        <w:rPr>
          <w:color w:val="231F20"/>
        </w:rPr>
        <w:t>VanWynsberghe,</w:t>
      </w:r>
      <w:r>
        <w:rPr>
          <w:color w:val="231F20"/>
          <w:spacing w:val="-8"/>
        </w:rPr>
        <w:t xml:space="preserve"> </w:t>
      </w:r>
      <w:r>
        <w:rPr>
          <w:color w:val="231F20"/>
        </w:rPr>
        <w:t>2015).</w:t>
      </w:r>
      <w:r>
        <w:rPr>
          <w:color w:val="231F20"/>
          <w:spacing w:val="-8"/>
        </w:rPr>
        <w:t xml:space="preserve"> </w:t>
      </w:r>
      <w:r>
        <w:rPr>
          <w:color w:val="231F20"/>
        </w:rPr>
        <w:t>In</w:t>
      </w:r>
      <w:r>
        <w:rPr>
          <w:color w:val="231F20"/>
          <w:spacing w:val="-8"/>
        </w:rPr>
        <w:t xml:space="preserve"> </w:t>
      </w:r>
      <w:r>
        <w:rPr>
          <w:color w:val="231F20"/>
        </w:rPr>
        <w:t>an</w:t>
      </w:r>
      <w:r>
        <w:rPr>
          <w:color w:val="231F20"/>
          <w:spacing w:val="-8"/>
        </w:rPr>
        <w:t xml:space="preserve"> </w:t>
      </w:r>
      <w:r>
        <w:rPr>
          <w:color w:val="231F20"/>
        </w:rPr>
        <w:t>effort to attract more tourists to the region of Flanders, cities have been transformed</w:t>
      </w:r>
      <w:r>
        <w:rPr>
          <w:color w:val="231F20"/>
          <w:spacing w:val="-12"/>
        </w:rPr>
        <w:t xml:space="preserve"> </w:t>
      </w:r>
      <w:r>
        <w:rPr>
          <w:color w:val="231F20"/>
        </w:rPr>
        <w:t>by</w:t>
      </w:r>
      <w:r>
        <w:rPr>
          <w:color w:val="231F20"/>
          <w:spacing w:val="-12"/>
        </w:rPr>
        <w:t xml:space="preserve"> </w:t>
      </w:r>
      <w:r>
        <w:rPr>
          <w:color w:val="231F20"/>
        </w:rPr>
        <w:t>the</w:t>
      </w:r>
      <w:r>
        <w:rPr>
          <w:color w:val="231F20"/>
          <w:spacing w:val="-11"/>
        </w:rPr>
        <w:t xml:space="preserve"> </w:t>
      </w:r>
      <w:r>
        <w:rPr>
          <w:color w:val="231F20"/>
        </w:rPr>
        <w:t>major</w:t>
      </w:r>
      <w:r>
        <w:rPr>
          <w:color w:val="231F20"/>
          <w:spacing w:val="-12"/>
        </w:rPr>
        <w:t xml:space="preserve"> </w:t>
      </w:r>
      <w:r>
        <w:rPr>
          <w:color w:val="231F20"/>
        </w:rPr>
        <w:t>cycling</w:t>
      </w:r>
      <w:r>
        <w:rPr>
          <w:color w:val="231F20"/>
          <w:spacing w:val="-11"/>
        </w:rPr>
        <w:t xml:space="preserve"> </w:t>
      </w:r>
      <w:r>
        <w:rPr>
          <w:color w:val="231F20"/>
        </w:rPr>
        <w:t>race,</w:t>
      </w:r>
      <w:r>
        <w:rPr>
          <w:color w:val="231F20"/>
          <w:spacing w:val="-12"/>
        </w:rPr>
        <w:t xml:space="preserve"> </w:t>
      </w:r>
      <w:r>
        <w:rPr>
          <w:color w:val="231F20"/>
        </w:rPr>
        <w:t>for</w:t>
      </w:r>
      <w:r>
        <w:rPr>
          <w:color w:val="231F20"/>
          <w:spacing w:val="-11"/>
        </w:rPr>
        <w:t xml:space="preserve"> </w:t>
      </w:r>
      <w:r>
        <w:rPr>
          <w:color w:val="231F20"/>
        </w:rPr>
        <w:t>example</w:t>
      </w:r>
      <w:r>
        <w:rPr>
          <w:color w:val="231F20"/>
          <w:spacing w:val="-12"/>
        </w:rPr>
        <w:t xml:space="preserve"> </w:t>
      </w:r>
      <w:r>
        <w:rPr>
          <w:color w:val="231F20"/>
        </w:rPr>
        <w:t>by</w:t>
      </w:r>
      <w:r>
        <w:rPr>
          <w:color w:val="231F20"/>
          <w:spacing w:val="-12"/>
        </w:rPr>
        <w:t xml:space="preserve"> </w:t>
      </w:r>
      <w:r>
        <w:rPr>
          <w:color w:val="231F20"/>
        </w:rPr>
        <w:t>the</w:t>
      </w:r>
      <w:r>
        <w:rPr>
          <w:color w:val="231F20"/>
          <w:spacing w:val="-11"/>
        </w:rPr>
        <w:t xml:space="preserve"> </w:t>
      </w:r>
      <w:r>
        <w:rPr>
          <w:color w:val="231F20"/>
        </w:rPr>
        <w:t xml:space="preserve">construction of the permanent Tour of Flanders Museum in the arrival host city of </w:t>
      </w:r>
      <w:r>
        <w:rPr>
          <w:color w:val="231F20"/>
          <w:spacing w:val="-2"/>
        </w:rPr>
        <w:t>Oudenaarde.</w:t>
      </w:r>
      <w:r>
        <w:rPr>
          <w:color w:val="231F20"/>
          <w:spacing w:val="-5"/>
        </w:rPr>
        <w:t xml:space="preserve"> </w:t>
      </w:r>
      <w:r>
        <w:rPr>
          <w:color w:val="231F20"/>
          <w:spacing w:val="-2"/>
        </w:rPr>
        <w:t>The</w:t>
      </w:r>
      <w:r>
        <w:rPr>
          <w:color w:val="231F20"/>
          <w:spacing w:val="-5"/>
        </w:rPr>
        <w:t xml:space="preserve"> </w:t>
      </w:r>
      <w:r>
        <w:rPr>
          <w:color w:val="231F20"/>
          <w:spacing w:val="-2"/>
        </w:rPr>
        <w:t>Tour</w:t>
      </w:r>
      <w:r>
        <w:rPr>
          <w:color w:val="231F20"/>
          <w:spacing w:val="-5"/>
        </w:rPr>
        <w:t xml:space="preserve"> </w:t>
      </w:r>
      <w:r>
        <w:rPr>
          <w:color w:val="231F20"/>
          <w:spacing w:val="-2"/>
        </w:rPr>
        <w:t>of</w:t>
      </w:r>
      <w:r>
        <w:rPr>
          <w:color w:val="231F20"/>
        </w:rPr>
        <w:t xml:space="preserve"> </w:t>
      </w:r>
      <w:r>
        <w:rPr>
          <w:color w:val="231F20"/>
          <w:spacing w:val="-2"/>
        </w:rPr>
        <w:t>Flanders</w:t>
      </w:r>
      <w:r>
        <w:rPr>
          <w:color w:val="231F20"/>
          <w:spacing w:val="-5"/>
        </w:rPr>
        <w:t xml:space="preserve"> </w:t>
      </w:r>
      <w:r>
        <w:rPr>
          <w:color w:val="231F20"/>
          <w:spacing w:val="-2"/>
        </w:rPr>
        <w:t>is</w:t>
      </w:r>
      <w:r>
        <w:rPr>
          <w:color w:val="231F20"/>
          <w:spacing w:val="-5"/>
        </w:rPr>
        <w:t xml:space="preserve"> </w:t>
      </w:r>
      <w:r>
        <w:rPr>
          <w:color w:val="231F20"/>
          <w:spacing w:val="-2"/>
        </w:rPr>
        <w:t>organised</w:t>
      </w:r>
      <w:r>
        <w:rPr>
          <w:color w:val="231F20"/>
          <w:spacing w:val="-5"/>
        </w:rPr>
        <w:t xml:space="preserve"> </w:t>
      </w:r>
      <w:r>
        <w:rPr>
          <w:color w:val="231F20"/>
          <w:spacing w:val="-2"/>
        </w:rPr>
        <w:t>annually</w:t>
      </w:r>
      <w:r>
        <w:rPr>
          <w:color w:val="231F20"/>
          <w:spacing w:val="-5"/>
        </w:rPr>
        <w:t xml:space="preserve"> </w:t>
      </w:r>
      <w:r>
        <w:rPr>
          <w:color w:val="231F20"/>
          <w:spacing w:val="-2"/>
        </w:rPr>
        <w:t>in</w:t>
      </w:r>
      <w:r>
        <w:rPr>
          <w:color w:val="231F20"/>
          <w:spacing w:val="-5"/>
        </w:rPr>
        <w:t xml:space="preserve"> </w:t>
      </w:r>
      <w:r>
        <w:rPr>
          <w:color w:val="231F20"/>
          <w:spacing w:val="-2"/>
        </w:rPr>
        <w:t xml:space="preserve">conjunction </w:t>
      </w:r>
      <w:r>
        <w:rPr>
          <w:color w:val="231F20"/>
        </w:rPr>
        <w:t>with</w:t>
      </w:r>
      <w:r>
        <w:rPr>
          <w:color w:val="231F20"/>
          <w:spacing w:val="-6"/>
        </w:rPr>
        <w:t xml:space="preserve"> </w:t>
      </w:r>
      <w:r>
        <w:rPr>
          <w:color w:val="231F20"/>
        </w:rPr>
        <w:t>the</w:t>
      </w:r>
      <w:r>
        <w:rPr>
          <w:color w:val="231F20"/>
          <w:spacing w:val="-6"/>
        </w:rPr>
        <w:t xml:space="preserve"> </w:t>
      </w:r>
      <w:r>
        <w:rPr>
          <w:color w:val="231F20"/>
        </w:rPr>
        <w:t>Tour</w:t>
      </w:r>
      <w:r>
        <w:rPr>
          <w:color w:val="231F20"/>
          <w:spacing w:val="-6"/>
        </w:rPr>
        <w:t xml:space="preserve"> </w:t>
      </w:r>
      <w:r>
        <w:rPr>
          <w:color w:val="231F20"/>
        </w:rPr>
        <w:t>of Flanders</w:t>
      </w:r>
      <w:r>
        <w:rPr>
          <w:color w:val="231F20"/>
          <w:spacing w:val="-6"/>
        </w:rPr>
        <w:t xml:space="preserve"> </w:t>
      </w:r>
      <w:r>
        <w:rPr>
          <w:color w:val="231F20"/>
        </w:rPr>
        <w:t>Cyclo,</w:t>
      </w:r>
      <w:r>
        <w:rPr>
          <w:color w:val="231F20"/>
          <w:spacing w:val="-6"/>
        </w:rPr>
        <w:t xml:space="preserve"> </w:t>
      </w:r>
      <w:r>
        <w:rPr>
          <w:color w:val="231F20"/>
        </w:rPr>
        <w:t>a</w:t>
      </w:r>
      <w:r>
        <w:rPr>
          <w:color w:val="231F20"/>
          <w:spacing w:val="-6"/>
        </w:rPr>
        <w:t xml:space="preserve"> </w:t>
      </w:r>
      <w:r>
        <w:rPr>
          <w:color w:val="231F20"/>
        </w:rPr>
        <w:t>heritage-based</w:t>
      </w:r>
      <w:r>
        <w:rPr>
          <w:color w:val="231F20"/>
          <w:spacing w:val="-6"/>
        </w:rPr>
        <w:t xml:space="preserve"> </w:t>
      </w:r>
      <w:r>
        <w:rPr>
          <w:color w:val="231F20"/>
        </w:rPr>
        <w:t>active</w:t>
      </w:r>
      <w:r>
        <w:rPr>
          <w:color w:val="231F20"/>
          <w:spacing w:val="-6"/>
        </w:rPr>
        <w:t xml:space="preserve"> </w:t>
      </w:r>
      <w:r>
        <w:rPr>
          <w:color w:val="231F20"/>
        </w:rPr>
        <w:t>sport</w:t>
      </w:r>
      <w:r>
        <w:rPr>
          <w:color w:val="231F20"/>
          <w:spacing w:val="-6"/>
        </w:rPr>
        <w:t xml:space="preserve"> </w:t>
      </w:r>
      <w:r>
        <w:rPr>
          <w:color w:val="231F20"/>
        </w:rPr>
        <w:t xml:space="preserve">tourism </w:t>
      </w:r>
      <w:r>
        <w:rPr>
          <w:color w:val="231F20"/>
          <w:w w:val="95"/>
        </w:rPr>
        <w:t xml:space="preserve">event that is open to the general public and attracts 16,000 participants </w:t>
      </w:r>
      <w:r>
        <w:rPr>
          <w:color w:val="231F20"/>
        </w:rPr>
        <w:t>from across the world. To examine opportunities for event leverage associated</w:t>
      </w:r>
      <w:r>
        <w:rPr>
          <w:color w:val="231F20"/>
        </w:rPr>
        <w:t xml:space="preserve"> with active sport tourism events, data were collected from </w:t>
      </w:r>
      <w:r>
        <w:rPr>
          <w:color w:val="231F20"/>
          <w:w w:val="95"/>
        </w:rPr>
        <w:t>event</w:t>
      </w:r>
      <w:r>
        <w:rPr>
          <w:color w:val="231F20"/>
          <w:spacing w:val="-5"/>
          <w:w w:val="95"/>
        </w:rPr>
        <w:t xml:space="preserve"> </w:t>
      </w:r>
      <w:r>
        <w:rPr>
          <w:color w:val="231F20"/>
          <w:w w:val="95"/>
        </w:rPr>
        <w:t>participants</w:t>
      </w:r>
      <w:r>
        <w:rPr>
          <w:color w:val="231F20"/>
          <w:spacing w:val="-5"/>
          <w:w w:val="95"/>
        </w:rPr>
        <w:t xml:space="preserve"> </w:t>
      </w:r>
      <w:r>
        <w:rPr>
          <w:color w:val="231F20"/>
          <w:w w:val="95"/>
        </w:rPr>
        <w:t>prior</w:t>
      </w:r>
      <w:r>
        <w:rPr>
          <w:color w:val="231F20"/>
          <w:spacing w:val="-5"/>
          <w:w w:val="95"/>
        </w:rPr>
        <w:t xml:space="preserve"> </w:t>
      </w:r>
      <w:r>
        <w:rPr>
          <w:color w:val="231F20"/>
          <w:w w:val="95"/>
        </w:rPr>
        <w:t>to</w:t>
      </w:r>
      <w:r>
        <w:rPr>
          <w:color w:val="231F20"/>
          <w:spacing w:val="-5"/>
          <w:w w:val="95"/>
        </w:rPr>
        <w:t xml:space="preserve"> </w:t>
      </w:r>
      <w:r>
        <w:rPr>
          <w:color w:val="231F20"/>
          <w:w w:val="95"/>
        </w:rPr>
        <w:t>the</w:t>
      </w:r>
      <w:r>
        <w:rPr>
          <w:color w:val="231F20"/>
          <w:spacing w:val="-5"/>
          <w:w w:val="95"/>
        </w:rPr>
        <w:t xml:space="preserve"> </w:t>
      </w:r>
      <w:r>
        <w:rPr>
          <w:color w:val="231F20"/>
          <w:w w:val="95"/>
        </w:rPr>
        <w:t>2013</w:t>
      </w:r>
      <w:r>
        <w:rPr>
          <w:color w:val="231F20"/>
          <w:spacing w:val="-5"/>
          <w:w w:val="95"/>
        </w:rPr>
        <w:t xml:space="preserve"> </w:t>
      </w:r>
      <w:r>
        <w:rPr>
          <w:color w:val="231F20"/>
          <w:w w:val="95"/>
        </w:rPr>
        <w:t>edition</w:t>
      </w:r>
      <w:r>
        <w:rPr>
          <w:color w:val="231F20"/>
          <w:spacing w:val="-5"/>
          <w:w w:val="95"/>
        </w:rPr>
        <w:t xml:space="preserve"> </w:t>
      </w:r>
      <w:r>
        <w:rPr>
          <w:color w:val="231F20"/>
          <w:w w:val="95"/>
        </w:rPr>
        <w:t>of</w:t>
      </w:r>
      <w:r>
        <w:rPr>
          <w:color w:val="231F20"/>
        </w:rPr>
        <w:t xml:space="preserve"> </w:t>
      </w:r>
      <w:r>
        <w:rPr>
          <w:color w:val="231F20"/>
          <w:w w:val="95"/>
        </w:rPr>
        <w:t>the</w:t>
      </w:r>
      <w:r>
        <w:rPr>
          <w:color w:val="231F20"/>
          <w:spacing w:val="-5"/>
          <w:w w:val="95"/>
        </w:rPr>
        <w:t xml:space="preserve"> </w:t>
      </w:r>
      <w:r>
        <w:rPr>
          <w:color w:val="231F20"/>
          <w:w w:val="95"/>
        </w:rPr>
        <w:t>Tour</w:t>
      </w:r>
      <w:r>
        <w:rPr>
          <w:color w:val="231F20"/>
          <w:spacing w:val="-5"/>
          <w:w w:val="95"/>
        </w:rPr>
        <w:t xml:space="preserve"> </w:t>
      </w:r>
      <w:r>
        <w:rPr>
          <w:color w:val="231F20"/>
          <w:w w:val="95"/>
        </w:rPr>
        <w:t>of</w:t>
      </w:r>
      <w:r>
        <w:rPr>
          <w:color w:val="231F20"/>
        </w:rPr>
        <w:t xml:space="preserve"> </w:t>
      </w:r>
      <w:r>
        <w:rPr>
          <w:color w:val="231F20"/>
          <w:w w:val="95"/>
        </w:rPr>
        <w:t>Flanders</w:t>
      </w:r>
      <w:r>
        <w:rPr>
          <w:color w:val="231F20"/>
          <w:spacing w:val="-5"/>
          <w:w w:val="95"/>
        </w:rPr>
        <w:t xml:space="preserve"> </w:t>
      </w:r>
      <w:r>
        <w:rPr>
          <w:color w:val="231F20"/>
          <w:w w:val="95"/>
        </w:rPr>
        <w:t xml:space="preserve">Cyclo. </w:t>
      </w:r>
      <w:r>
        <w:rPr>
          <w:color w:val="231F20"/>
        </w:rPr>
        <w:t>An</w:t>
      </w:r>
      <w:r>
        <w:rPr>
          <w:color w:val="231F20"/>
          <w:spacing w:val="-7"/>
        </w:rPr>
        <w:t xml:space="preserve"> </w:t>
      </w:r>
      <w:r>
        <w:rPr>
          <w:color w:val="231F20"/>
        </w:rPr>
        <w:t>online</w:t>
      </w:r>
      <w:r>
        <w:rPr>
          <w:color w:val="231F20"/>
          <w:spacing w:val="-7"/>
        </w:rPr>
        <w:t xml:space="preserve"> </w:t>
      </w:r>
      <w:r>
        <w:rPr>
          <w:color w:val="231F20"/>
        </w:rPr>
        <w:t>survey</w:t>
      </w:r>
      <w:r>
        <w:rPr>
          <w:color w:val="231F20"/>
          <w:spacing w:val="-7"/>
        </w:rPr>
        <w:t xml:space="preserve"> </w:t>
      </w:r>
      <w:r>
        <w:rPr>
          <w:color w:val="231F20"/>
        </w:rPr>
        <w:t>was</w:t>
      </w:r>
      <w:r>
        <w:rPr>
          <w:color w:val="231F20"/>
          <w:spacing w:val="-7"/>
        </w:rPr>
        <w:t xml:space="preserve"> </w:t>
      </w:r>
      <w:r>
        <w:rPr>
          <w:color w:val="231F20"/>
        </w:rPr>
        <w:t>completed</w:t>
      </w:r>
      <w:r>
        <w:rPr>
          <w:color w:val="231F20"/>
          <w:spacing w:val="-7"/>
        </w:rPr>
        <w:t xml:space="preserve"> </w:t>
      </w:r>
      <w:r>
        <w:rPr>
          <w:color w:val="231F20"/>
        </w:rPr>
        <w:t>by</w:t>
      </w:r>
      <w:r>
        <w:rPr>
          <w:color w:val="231F20"/>
          <w:spacing w:val="-7"/>
        </w:rPr>
        <w:t xml:space="preserve"> </w:t>
      </w:r>
      <w:r>
        <w:rPr>
          <w:color w:val="231F20"/>
        </w:rPr>
        <w:t>a</w:t>
      </w:r>
      <w:r>
        <w:rPr>
          <w:color w:val="231F20"/>
          <w:spacing w:val="-7"/>
        </w:rPr>
        <w:t xml:space="preserve"> </w:t>
      </w:r>
      <w:r>
        <w:rPr>
          <w:color w:val="231F20"/>
        </w:rPr>
        <w:t>sample</w:t>
      </w:r>
      <w:r>
        <w:rPr>
          <w:color w:val="231F20"/>
          <w:spacing w:val="-7"/>
        </w:rPr>
        <w:t xml:space="preserve"> </w:t>
      </w:r>
      <w:r>
        <w:rPr>
          <w:color w:val="231F20"/>
        </w:rPr>
        <w:t>of national</w:t>
      </w:r>
      <w:r>
        <w:rPr>
          <w:color w:val="231F20"/>
          <w:spacing w:val="-7"/>
        </w:rPr>
        <w:t xml:space="preserve"> </w:t>
      </w:r>
      <w:r>
        <w:rPr>
          <w:color w:val="231F20"/>
        </w:rPr>
        <w:t>(</w:t>
      </w:r>
      <w:r>
        <w:rPr>
          <w:i/>
          <w:color w:val="231F20"/>
        </w:rPr>
        <w:t>n</w:t>
      </w:r>
      <w:r>
        <w:rPr>
          <w:i/>
          <w:color w:val="231F20"/>
          <w:spacing w:val="-7"/>
        </w:rPr>
        <w:t xml:space="preserve"> </w:t>
      </w:r>
      <w:r>
        <w:rPr>
          <w:color w:val="231F20"/>
        </w:rPr>
        <w:t>=</w:t>
      </w:r>
      <w:r>
        <w:rPr>
          <w:color w:val="231F20"/>
          <w:spacing w:val="-7"/>
        </w:rPr>
        <w:t xml:space="preserve"> </w:t>
      </w:r>
      <w:r>
        <w:rPr>
          <w:color w:val="231F20"/>
        </w:rPr>
        <w:t>650)</w:t>
      </w:r>
      <w:r>
        <w:rPr>
          <w:color w:val="231F20"/>
          <w:spacing w:val="-7"/>
        </w:rPr>
        <w:t xml:space="preserve"> </w:t>
      </w:r>
      <w:r>
        <w:rPr>
          <w:color w:val="231F20"/>
        </w:rPr>
        <w:t>and international</w:t>
      </w:r>
      <w:r>
        <w:rPr>
          <w:color w:val="231F20"/>
          <w:spacing w:val="-12"/>
        </w:rPr>
        <w:t xml:space="preserve"> </w:t>
      </w:r>
      <w:r>
        <w:rPr>
          <w:color w:val="231F20"/>
        </w:rPr>
        <w:t>(</w:t>
      </w:r>
      <w:r>
        <w:rPr>
          <w:i/>
          <w:color w:val="231F20"/>
        </w:rPr>
        <w:t>n</w:t>
      </w:r>
      <w:r>
        <w:rPr>
          <w:i/>
          <w:color w:val="231F20"/>
          <w:spacing w:val="-12"/>
        </w:rPr>
        <w:t xml:space="preserve"> </w:t>
      </w:r>
      <w:r>
        <w:rPr>
          <w:color w:val="231F20"/>
        </w:rPr>
        <w:t>=</w:t>
      </w:r>
      <w:r>
        <w:rPr>
          <w:color w:val="231F20"/>
          <w:spacing w:val="-11"/>
        </w:rPr>
        <w:t xml:space="preserve"> </w:t>
      </w:r>
      <w:r>
        <w:rPr>
          <w:color w:val="231F20"/>
        </w:rPr>
        <w:t>441)</w:t>
      </w:r>
      <w:r>
        <w:rPr>
          <w:color w:val="231F20"/>
          <w:spacing w:val="-12"/>
        </w:rPr>
        <w:t xml:space="preserve"> </w:t>
      </w:r>
      <w:r>
        <w:rPr>
          <w:color w:val="231F20"/>
        </w:rPr>
        <w:t>event</w:t>
      </w:r>
      <w:r>
        <w:rPr>
          <w:color w:val="231F20"/>
          <w:spacing w:val="-11"/>
        </w:rPr>
        <w:t xml:space="preserve"> </w:t>
      </w:r>
      <w:r>
        <w:rPr>
          <w:color w:val="231F20"/>
        </w:rPr>
        <w:t>participants.</w:t>
      </w:r>
      <w:r>
        <w:rPr>
          <w:color w:val="231F20"/>
          <w:spacing w:val="-12"/>
        </w:rPr>
        <w:t xml:space="preserve"> </w:t>
      </w:r>
      <w:r>
        <w:rPr>
          <w:color w:val="231F20"/>
        </w:rPr>
        <w:t>Comparing</w:t>
      </w:r>
      <w:r>
        <w:rPr>
          <w:color w:val="231F20"/>
          <w:spacing w:val="-11"/>
        </w:rPr>
        <w:t xml:space="preserve"> </w:t>
      </w:r>
      <w:r>
        <w:rPr>
          <w:color w:val="231F20"/>
        </w:rPr>
        <w:t>the</w:t>
      </w:r>
      <w:r>
        <w:rPr>
          <w:color w:val="231F20"/>
          <w:spacing w:val="-12"/>
        </w:rPr>
        <w:t xml:space="preserve"> </w:t>
      </w:r>
      <w:r>
        <w:rPr>
          <w:color w:val="231F20"/>
        </w:rPr>
        <w:t>two</w:t>
      </w:r>
      <w:r>
        <w:rPr>
          <w:color w:val="231F20"/>
          <w:spacing w:val="-12"/>
        </w:rPr>
        <w:t xml:space="preserve"> </w:t>
      </w:r>
      <w:r>
        <w:rPr>
          <w:color w:val="231F20"/>
        </w:rPr>
        <w:t xml:space="preserve">samples </w:t>
      </w:r>
      <w:r>
        <w:rPr>
          <w:color w:val="231F20"/>
          <w:w w:val="95"/>
        </w:rPr>
        <w:t xml:space="preserve">of event participants within the framework of event leverage has shown that different event and destination-related resources are important for </w:t>
      </w:r>
      <w:r>
        <w:rPr>
          <w:color w:val="231F20"/>
        </w:rPr>
        <w:t>different</w:t>
      </w:r>
      <w:r>
        <w:rPr>
          <w:color w:val="231F20"/>
          <w:spacing w:val="-9"/>
        </w:rPr>
        <w:t xml:space="preserve"> </w:t>
      </w:r>
      <w:r>
        <w:rPr>
          <w:color w:val="231F20"/>
        </w:rPr>
        <w:t>groups</w:t>
      </w:r>
      <w:r>
        <w:rPr>
          <w:color w:val="231F20"/>
          <w:spacing w:val="-9"/>
        </w:rPr>
        <w:t xml:space="preserve"> </w:t>
      </w:r>
      <w:r>
        <w:rPr>
          <w:color w:val="231F20"/>
        </w:rPr>
        <w:t>of</w:t>
      </w:r>
      <w:r>
        <w:rPr>
          <w:color w:val="231F20"/>
          <w:spacing w:val="-1"/>
        </w:rPr>
        <w:t xml:space="preserve"> </w:t>
      </w:r>
      <w:r>
        <w:rPr>
          <w:color w:val="231F20"/>
        </w:rPr>
        <w:t>event</w:t>
      </w:r>
      <w:r>
        <w:rPr>
          <w:color w:val="231F20"/>
          <w:spacing w:val="-9"/>
        </w:rPr>
        <w:t xml:space="preserve"> </w:t>
      </w:r>
      <w:r>
        <w:rPr>
          <w:color w:val="231F20"/>
        </w:rPr>
        <w:t>participants,</w:t>
      </w:r>
      <w:r>
        <w:rPr>
          <w:color w:val="231F20"/>
          <w:spacing w:val="-9"/>
        </w:rPr>
        <w:t xml:space="preserve"> </w:t>
      </w:r>
      <w:r>
        <w:rPr>
          <w:color w:val="231F20"/>
        </w:rPr>
        <w:t>who</w:t>
      </w:r>
      <w:r>
        <w:rPr>
          <w:color w:val="231F20"/>
          <w:spacing w:val="-9"/>
        </w:rPr>
        <w:t xml:space="preserve"> </w:t>
      </w:r>
      <w:r>
        <w:rPr>
          <w:color w:val="231F20"/>
        </w:rPr>
        <w:t>are</w:t>
      </w:r>
      <w:r>
        <w:rPr>
          <w:color w:val="231F20"/>
          <w:spacing w:val="-9"/>
        </w:rPr>
        <w:t xml:space="preserve"> </w:t>
      </w:r>
      <w:r>
        <w:rPr>
          <w:color w:val="231F20"/>
        </w:rPr>
        <w:t>consequently</w:t>
      </w:r>
      <w:r>
        <w:rPr>
          <w:color w:val="231F20"/>
          <w:spacing w:val="-9"/>
        </w:rPr>
        <w:t xml:space="preserve"> </w:t>
      </w:r>
      <w:r>
        <w:rPr>
          <w:color w:val="231F20"/>
        </w:rPr>
        <w:t>in</w:t>
      </w:r>
      <w:r>
        <w:rPr>
          <w:color w:val="231F20"/>
          <w:spacing w:val="-9"/>
        </w:rPr>
        <w:t xml:space="preserve"> </w:t>
      </w:r>
      <w:r>
        <w:rPr>
          <w:color w:val="231F20"/>
        </w:rPr>
        <w:t xml:space="preserve">search </w:t>
      </w:r>
      <w:r>
        <w:rPr>
          <w:color w:val="231F20"/>
          <w:spacing w:val="-2"/>
        </w:rPr>
        <w:t>o</w:t>
      </w:r>
      <w:r>
        <w:rPr>
          <w:color w:val="231F20"/>
          <w:spacing w:val="-2"/>
        </w:rPr>
        <w:t>f different</w:t>
      </w:r>
      <w:r>
        <w:rPr>
          <w:color w:val="231F20"/>
          <w:spacing w:val="-8"/>
        </w:rPr>
        <w:t xml:space="preserve"> </w:t>
      </w:r>
      <w:r>
        <w:rPr>
          <w:color w:val="231F20"/>
          <w:spacing w:val="-2"/>
        </w:rPr>
        <w:t>event</w:t>
      </w:r>
      <w:r>
        <w:rPr>
          <w:color w:val="231F20"/>
          <w:spacing w:val="-8"/>
        </w:rPr>
        <w:t xml:space="preserve"> </w:t>
      </w:r>
      <w:r>
        <w:rPr>
          <w:color w:val="231F20"/>
          <w:spacing w:val="-2"/>
        </w:rPr>
        <w:t>experiences.</w:t>
      </w:r>
      <w:r>
        <w:rPr>
          <w:color w:val="231F20"/>
          <w:spacing w:val="-8"/>
        </w:rPr>
        <w:t xml:space="preserve"> </w:t>
      </w:r>
      <w:r>
        <w:rPr>
          <w:color w:val="231F20"/>
          <w:spacing w:val="-2"/>
        </w:rPr>
        <w:t>In</w:t>
      </w:r>
      <w:r>
        <w:rPr>
          <w:color w:val="231F20"/>
          <w:spacing w:val="-8"/>
        </w:rPr>
        <w:t xml:space="preserve"> </w:t>
      </w:r>
      <w:r>
        <w:rPr>
          <w:color w:val="231F20"/>
          <w:spacing w:val="-2"/>
        </w:rPr>
        <w:t>the</w:t>
      </w:r>
      <w:r>
        <w:rPr>
          <w:color w:val="231F20"/>
          <w:spacing w:val="-8"/>
        </w:rPr>
        <w:t xml:space="preserve"> </w:t>
      </w:r>
      <w:r>
        <w:rPr>
          <w:color w:val="231F20"/>
          <w:spacing w:val="-2"/>
        </w:rPr>
        <w:t>case</w:t>
      </w:r>
      <w:r>
        <w:rPr>
          <w:color w:val="231F20"/>
          <w:spacing w:val="-8"/>
        </w:rPr>
        <w:t xml:space="preserve"> </w:t>
      </w:r>
      <w:r>
        <w:rPr>
          <w:color w:val="231F20"/>
          <w:spacing w:val="-2"/>
        </w:rPr>
        <w:t>of the</w:t>
      </w:r>
      <w:r>
        <w:rPr>
          <w:color w:val="231F20"/>
          <w:spacing w:val="-8"/>
        </w:rPr>
        <w:t xml:space="preserve"> </w:t>
      </w:r>
      <w:r>
        <w:rPr>
          <w:color w:val="231F20"/>
          <w:spacing w:val="-2"/>
        </w:rPr>
        <w:t>Tour</w:t>
      </w:r>
      <w:r>
        <w:rPr>
          <w:color w:val="231F20"/>
          <w:spacing w:val="-8"/>
        </w:rPr>
        <w:t xml:space="preserve"> </w:t>
      </w:r>
      <w:r>
        <w:rPr>
          <w:color w:val="231F20"/>
          <w:spacing w:val="-2"/>
        </w:rPr>
        <w:t>of Flanders</w:t>
      </w:r>
      <w:r>
        <w:rPr>
          <w:color w:val="231F20"/>
          <w:spacing w:val="-8"/>
        </w:rPr>
        <w:t xml:space="preserve"> </w:t>
      </w:r>
      <w:r>
        <w:rPr>
          <w:color w:val="231F20"/>
          <w:spacing w:val="-2"/>
        </w:rPr>
        <w:t xml:space="preserve">Cyclo, </w:t>
      </w:r>
      <w:r>
        <w:rPr>
          <w:color w:val="231F20"/>
        </w:rPr>
        <w:t xml:space="preserve">which makes explicit associations to Flanders’ cycling heritage, sport </w:t>
      </w:r>
      <w:r>
        <w:rPr>
          <w:color w:val="231F20"/>
          <w:w w:val="95"/>
        </w:rPr>
        <w:t xml:space="preserve">heritage and more specifically ‘active’ sport heritage has been identified </w:t>
      </w:r>
      <w:r>
        <w:rPr>
          <w:color w:val="231F20"/>
        </w:rPr>
        <w:t>as an important resource to promote participation among active</w:t>
      </w:r>
      <w:r>
        <w:rPr>
          <w:color w:val="231F20"/>
          <w:spacing w:val="40"/>
        </w:rPr>
        <w:t xml:space="preserve"> </w:t>
      </w:r>
      <w:r>
        <w:rPr>
          <w:color w:val="231F20"/>
        </w:rPr>
        <w:t xml:space="preserve">sport tourists. This is particularly important for international event </w:t>
      </w:r>
      <w:r>
        <w:rPr>
          <w:color w:val="231F20"/>
          <w:w w:val="95"/>
        </w:rPr>
        <w:t>participants who are more committed to experien</w:t>
      </w:r>
      <w:r>
        <w:rPr>
          <w:color w:val="231F20"/>
          <w:w w:val="95"/>
        </w:rPr>
        <w:t>cing and pursuing the event’s</w:t>
      </w:r>
      <w:r>
        <w:rPr>
          <w:color w:val="231F20"/>
          <w:spacing w:val="-7"/>
          <w:w w:val="95"/>
        </w:rPr>
        <w:t xml:space="preserve"> </w:t>
      </w:r>
      <w:r>
        <w:rPr>
          <w:color w:val="231F20"/>
          <w:w w:val="95"/>
        </w:rPr>
        <w:t>heritage,</w:t>
      </w:r>
      <w:r>
        <w:rPr>
          <w:color w:val="231F20"/>
          <w:spacing w:val="-7"/>
          <w:w w:val="95"/>
        </w:rPr>
        <w:t xml:space="preserve"> </w:t>
      </w:r>
      <w:r>
        <w:rPr>
          <w:color w:val="231F20"/>
          <w:w w:val="95"/>
        </w:rPr>
        <w:t>as</w:t>
      </w:r>
      <w:r>
        <w:rPr>
          <w:color w:val="231F20"/>
          <w:spacing w:val="-7"/>
          <w:w w:val="95"/>
        </w:rPr>
        <w:t xml:space="preserve"> </w:t>
      </w:r>
      <w:r>
        <w:rPr>
          <w:color w:val="231F20"/>
          <w:w w:val="95"/>
        </w:rPr>
        <w:t>active</w:t>
      </w:r>
      <w:r>
        <w:rPr>
          <w:color w:val="231F20"/>
          <w:spacing w:val="-7"/>
          <w:w w:val="95"/>
        </w:rPr>
        <w:t xml:space="preserve"> </w:t>
      </w:r>
      <w:r>
        <w:rPr>
          <w:color w:val="231F20"/>
          <w:w w:val="95"/>
        </w:rPr>
        <w:t>participants</w:t>
      </w:r>
      <w:r>
        <w:rPr>
          <w:color w:val="231F20"/>
          <w:spacing w:val="-7"/>
          <w:w w:val="95"/>
        </w:rPr>
        <w:t xml:space="preserve"> </w:t>
      </w:r>
      <w:r>
        <w:rPr>
          <w:color w:val="231F20"/>
          <w:w w:val="95"/>
        </w:rPr>
        <w:t>as</w:t>
      </w:r>
      <w:r>
        <w:rPr>
          <w:color w:val="231F20"/>
          <w:spacing w:val="-7"/>
          <w:w w:val="95"/>
        </w:rPr>
        <w:t xml:space="preserve"> </w:t>
      </w:r>
      <w:r>
        <w:rPr>
          <w:color w:val="231F20"/>
          <w:w w:val="95"/>
        </w:rPr>
        <w:t>well</w:t>
      </w:r>
      <w:r>
        <w:rPr>
          <w:color w:val="231F20"/>
          <w:spacing w:val="-7"/>
          <w:w w:val="95"/>
        </w:rPr>
        <w:t xml:space="preserve"> </w:t>
      </w:r>
      <w:r>
        <w:rPr>
          <w:color w:val="231F20"/>
          <w:w w:val="95"/>
        </w:rPr>
        <w:t>as</w:t>
      </w:r>
      <w:r>
        <w:rPr>
          <w:color w:val="231F20"/>
          <w:spacing w:val="-7"/>
          <w:w w:val="95"/>
        </w:rPr>
        <w:t xml:space="preserve"> </w:t>
      </w:r>
      <w:r>
        <w:rPr>
          <w:color w:val="231F20"/>
          <w:w w:val="95"/>
        </w:rPr>
        <w:t>passive</w:t>
      </w:r>
      <w:r>
        <w:rPr>
          <w:color w:val="231F20"/>
          <w:spacing w:val="-7"/>
          <w:w w:val="95"/>
        </w:rPr>
        <w:t xml:space="preserve"> </w:t>
      </w:r>
      <w:r>
        <w:rPr>
          <w:color w:val="231F20"/>
          <w:w w:val="95"/>
        </w:rPr>
        <w:t>spectators,</w:t>
      </w:r>
      <w:r>
        <w:rPr>
          <w:color w:val="231F20"/>
          <w:spacing w:val="-7"/>
          <w:w w:val="95"/>
        </w:rPr>
        <w:t xml:space="preserve"> </w:t>
      </w:r>
      <w:r>
        <w:rPr>
          <w:color w:val="231F20"/>
          <w:w w:val="95"/>
        </w:rPr>
        <w:t xml:space="preserve">when </w:t>
      </w:r>
      <w:r>
        <w:rPr>
          <w:color w:val="231F20"/>
          <w:spacing w:val="-2"/>
        </w:rPr>
        <w:t>compared</w:t>
      </w:r>
      <w:r>
        <w:rPr>
          <w:color w:val="231F20"/>
          <w:spacing w:val="-4"/>
        </w:rPr>
        <w:t xml:space="preserve"> </w:t>
      </w:r>
      <w:r>
        <w:rPr>
          <w:color w:val="231F20"/>
          <w:spacing w:val="-2"/>
        </w:rPr>
        <w:t>to</w:t>
      </w:r>
      <w:r>
        <w:rPr>
          <w:color w:val="231F20"/>
          <w:spacing w:val="-4"/>
        </w:rPr>
        <w:t xml:space="preserve"> </w:t>
      </w:r>
      <w:r>
        <w:rPr>
          <w:color w:val="231F20"/>
          <w:spacing w:val="-2"/>
        </w:rPr>
        <w:t>national</w:t>
      </w:r>
      <w:r>
        <w:rPr>
          <w:color w:val="231F20"/>
          <w:spacing w:val="-4"/>
        </w:rPr>
        <w:t xml:space="preserve"> </w:t>
      </w:r>
      <w:r>
        <w:rPr>
          <w:color w:val="231F20"/>
          <w:spacing w:val="-2"/>
        </w:rPr>
        <w:t>event</w:t>
      </w:r>
      <w:r>
        <w:rPr>
          <w:color w:val="231F20"/>
          <w:spacing w:val="-4"/>
        </w:rPr>
        <w:t xml:space="preserve"> </w:t>
      </w:r>
      <w:r>
        <w:rPr>
          <w:color w:val="231F20"/>
          <w:spacing w:val="-2"/>
        </w:rPr>
        <w:t>participants.</w:t>
      </w:r>
      <w:r>
        <w:rPr>
          <w:color w:val="231F20"/>
          <w:spacing w:val="-4"/>
        </w:rPr>
        <w:t xml:space="preserve"> </w:t>
      </w:r>
      <w:r>
        <w:rPr>
          <w:color w:val="231F20"/>
          <w:spacing w:val="-2"/>
        </w:rPr>
        <w:t>This</w:t>
      </w:r>
      <w:r>
        <w:rPr>
          <w:color w:val="231F20"/>
          <w:spacing w:val="-4"/>
        </w:rPr>
        <w:t xml:space="preserve"> </w:t>
      </w:r>
      <w:r>
        <w:rPr>
          <w:color w:val="231F20"/>
          <w:spacing w:val="-2"/>
        </w:rPr>
        <w:t>motivation</w:t>
      </w:r>
      <w:r>
        <w:rPr>
          <w:color w:val="231F20"/>
          <w:spacing w:val="-4"/>
        </w:rPr>
        <w:t xml:space="preserve"> </w:t>
      </w:r>
      <w:r>
        <w:rPr>
          <w:color w:val="231F20"/>
          <w:spacing w:val="-2"/>
        </w:rPr>
        <w:t>to</w:t>
      </w:r>
      <w:r>
        <w:rPr>
          <w:color w:val="231F20"/>
          <w:spacing w:val="-4"/>
        </w:rPr>
        <w:t xml:space="preserve"> </w:t>
      </w:r>
      <w:r>
        <w:rPr>
          <w:color w:val="231F20"/>
          <w:spacing w:val="-2"/>
        </w:rPr>
        <w:t xml:space="preserve">experience </w:t>
      </w:r>
      <w:r>
        <w:rPr>
          <w:color w:val="231F20"/>
        </w:rPr>
        <w:t>‘active’</w:t>
      </w:r>
      <w:r>
        <w:rPr>
          <w:color w:val="231F20"/>
          <w:spacing w:val="-3"/>
        </w:rPr>
        <w:t xml:space="preserve"> </w:t>
      </w:r>
      <w:r>
        <w:rPr>
          <w:color w:val="231F20"/>
        </w:rPr>
        <w:t>sport</w:t>
      </w:r>
      <w:r>
        <w:rPr>
          <w:color w:val="231F20"/>
          <w:spacing w:val="-3"/>
        </w:rPr>
        <w:t xml:space="preserve"> </w:t>
      </w:r>
      <w:r>
        <w:rPr>
          <w:color w:val="231F20"/>
        </w:rPr>
        <w:t>heritage</w:t>
      </w:r>
      <w:r>
        <w:rPr>
          <w:color w:val="231F20"/>
          <w:spacing w:val="-3"/>
        </w:rPr>
        <w:t xml:space="preserve"> </w:t>
      </w:r>
      <w:r>
        <w:rPr>
          <w:color w:val="231F20"/>
        </w:rPr>
        <w:t>demonstrates</w:t>
      </w:r>
      <w:r>
        <w:rPr>
          <w:color w:val="231F20"/>
          <w:spacing w:val="-3"/>
        </w:rPr>
        <w:t xml:space="preserve"> </w:t>
      </w:r>
      <w:r>
        <w:rPr>
          <w:color w:val="231F20"/>
        </w:rPr>
        <w:t>that</w:t>
      </w:r>
      <w:r>
        <w:rPr>
          <w:color w:val="231F20"/>
          <w:spacing w:val="-3"/>
        </w:rPr>
        <w:t xml:space="preserve"> </w:t>
      </w:r>
      <w:r>
        <w:rPr>
          <w:color w:val="231F20"/>
        </w:rPr>
        <w:t>event</w:t>
      </w:r>
      <w:r>
        <w:rPr>
          <w:color w:val="231F20"/>
          <w:spacing w:val="-3"/>
        </w:rPr>
        <w:t xml:space="preserve"> </w:t>
      </w:r>
      <w:r>
        <w:rPr>
          <w:color w:val="231F20"/>
        </w:rPr>
        <w:t>managers</w:t>
      </w:r>
      <w:r>
        <w:rPr>
          <w:color w:val="231F20"/>
          <w:spacing w:val="-3"/>
        </w:rPr>
        <w:t xml:space="preserve"> </w:t>
      </w:r>
      <w:r>
        <w:rPr>
          <w:color w:val="231F20"/>
        </w:rPr>
        <w:t>may</w:t>
      </w:r>
      <w:r>
        <w:rPr>
          <w:color w:val="231F20"/>
          <w:spacing w:val="-3"/>
        </w:rPr>
        <w:t xml:space="preserve"> </w:t>
      </w:r>
      <w:r>
        <w:rPr>
          <w:color w:val="231F20"/>
        </w:rPr>
        <w:t>wish</w:t>
      </w:r>
      <w:r>
        <w:rPr>
          <w:color w:val="231F20"/>
          <w:spacing w:val="-3"/>
        </w:rPr>
        <w:t xml:space="preserve"> </w:t>
      </w:r>
      <w:r>
        <w:rPr>
          <w:color w:val="231F20"/>
        </w:rPr>
        <w:t>to permanently</w:t>
      </w:r>
      <w:r>
        <w:rPr>
          <w:color w:val="231F20"/>
          <w:spacing w:val="-12"/>
        </w:rPr>
        <w:t xml:space="preserve"> </w:t>
      </w:r>
      <w:r>
        <w:rPr>
          <w:color w:val="231F20"/>
        </w:rPr>
        <w:t>embed</w:t>
      </w:r>
      <w:r>
        <w:rPr>
          <w:color w:val="231F20"/>
          <w:spacing w:val="-12"/>
        </w:rPr>
        <w:t xml:space="preserve"> </w:t>
      </w:r>
      <w:r>
        <w:rPr>
          <w:color w:val="231F20"/>
        </w:rPr>
        <w:t>heritage</w:t>
      </w:r>
      <w:r>
        <w:rPr>
          <w:color w:val="231F20"/>
          <w:spacing w:val="-11"/>
        </w:rPr>
        <w:t xml:space="preserve"> </w:t>
      </w:r>
      <w:r>
        <w:rPr>
          <w:color w:val="231F20"/>
        </w:rPr>
        <w:t>(via</w:t>
      </w:r>
      <w:r>
        <w:rPr>
          <w:color w:val="231F20"/>
          <w:spacing w:val="-12"/>
        </w:rPr>
        <w:t xml:space="preserve"> </w:t>
      </w:r>
      <w:r>
        <w:rPr>
          <w:color w:val="231F20"/>
        </w:rPr>
        <w:t>the</w:t>
      </w:r>
      <w:r>
        <w:rPr>
          <w:color w:val="231F20"/>
          <w:spacing w:val="-11"/>
        </w:rPr>
        <w:t xml:space="preserve"> </w:t>
      </w:r>
      <w:r>
        <w:rPr>
          <w:color w:val="231F20"/>
        </w:rPr>
        <w:t>route,</w:t>
      </w:r>
      <w:r>
        <w:rPr>
          <w:color w:val="231F20"/>
          <w:spacing w:val="-12"/>
        </w:rPr>
        <w:t xml:space="preserve"> </w:t>
      </w:r>
      <w:r>
        <w:rPr>
          <w:color w:val="231F20"/>
        </w:rPr>
        <w:t>history</w:t>
      </w:r>
      <w:r>
        <w:rPr>
          <w:color w:val="231F20"/>
          <w:spacing w:val="-11"/>
        </w:rPr>
        <w:t xml:space="preserve"> </w:t>
      </w:r>
      <w:r>
        <w:rPr>
          <w:color w:val="231F20"/>
        </w:rPr>
        <w:t>and</w:t>
      </w:r>
      <w:r>
        <w:rPr>
          <w:color w:val="231F20"/>
          <w:spacing w:val="-12"/>
        </w:rPr>
        <w:t xml:space="preserve"> </w:t>
      </w:r>
      <w:r>
        <w:rPr>
          <w:color w:val="231F20"/>
        </w:rPr>
        <w:t>atmosphere</w:t>
      </w:r>
      <w:r>
        <w:rPr>
          <w:color w:val="231F20"/>
          <w:spacing w:val="-12"/>
        </w:rPr>
        <w:t xml:space="preserve"> </w:t>
      </w:r>
      <w:r>
        <w:rPr>
          <w:color w:val="231F20"/>
        </w:rPr>
        <w:t>of the</w:t>
      </w:r>
      <w:r>
        <w:rPr>
          <w:color w:val="231F20"/>
          <w:spacing w:val="-12"/>
        </w:rPr>
        <w:t xml:space="preserve"> </w:t>
      </w:r>
      <w:r>
        <w:rPr>
          <w:color w:val="231F20"/>
        </w:rPr>
        <w:t>event)</w:t>
      </w:r>
      <w:r>
        <w:rPr>
          <w:color w:val="231F20"/>
          <w:spacing w:val="-12"/>
        </w:rPr>
        <w:t xml:space="preserve"> </w:t>
      </w:r>
      <w:r>
        <w:rPr>
          <w:color w:val="231F20"/>
        </w:rPr>
        <w:t>within</w:t>
      </w:r>
      <w:r>
        <w:rPr>
          <w:color w:val="231F20"/>
          <w:spacing w:val="-11"/>
        </w:rPr>
        <w:t xml:space="preserve"> </w:t>
      </w:r>
      <w:r>
        <w:rPr>
          <w:color w:val="231F20"/>
        </w:rPr>
        <w:t>the</w:t>
      </w:r>
      <w:r>
        <w:rPr>
          <w:color w:val="231F20"/>
          <w:spacing w:val="-12"/>
        </w:rPr>
        <w:t xml:space="preserve"> </w:t>
      </w:r>
      <w:r>
        <w:rPr>
          <w:color w:val="231F20"/>
        </w:rPr>
        <w:t>host</w:t>
      </w:r>
      <w:r>
        <w:rPr>
          <w:color w:val="231F20"/>
          <w:spacing w:val="-11"/>
        </w:rPr>
        <w:t xml:space="preserve"> </w:t>
      </w:r>
      <w:r>
        <w:rPr>
          <w:color w:val="231F20"/>
        </w:rPr>
        <w:t>community</w:t>
      </w:r>
      <w:r>
        <w:rPr>
          <w:color w:val="231F20"/>
          <w:spacing w:val="-12"/>
        </w:rPr>
        <w:t xml:space="preserve"> </w:t>
      </w:r>
      <w:r>
        <w:rPr>
          <w:color w:val="231F20"/>
        </w:rPr>
        <w:t>and</w:t>
      </w:r>
      <w:r>
        <w:rPr>
          <w:color w:val="231F20"/>
          <w:spacing w:val="-11"/>
        </w:rPr>
        <w:t xml:space="preserve"> </w:t>
      </w:r>
      <w:r>
        <w:rPr>
          <w:color w:val="231F20"/>
        </w:rPr>
        <w:t>region</w:t>
      </w:r>
      <w:r>
        <w:rPr>
          <w:color w:val="231F20"/>
          <w:spacing w:val="-12"/>
        </w:rPr>
        <w:t xml:space="preserve"> </w:t>
      </w:r>
      <w:r>
        <w:rPr>
          <w:color w:val="231F20"/>
        </w:rPr>
        <w:t>to</w:t>
      </w:r>
      <w:r>
        <w:rPr>
          <w:color w:val="231F20"/>
          <w:spacing w:val="-12"/>
        </w:rPr>
        <w:t xml:space="preserve"> </w:t>
      </w:r>
      <w:r>
        <w:rPr>
          <w:color w:val="231F20"/>
        </w:rPr>
        <w:t>highlight</w:t>
      </w:r>
      <w:r>
        <w:rPr>
          <w:color w:val="231F20"/>
          <w:spacing w:val="-11"/>
        </w:rPr>
        <w:t xml:space="preserve"> </w:t>
      </w:r>
      <w:r>
        <w:rPr>
          <w:color w:val="231F20"/>
        </w:rPr>
        <w:t>a</w:t>
      </w:r>
      <w:r>
        <w:rPr>
          <w:color w:val="231F20"/>
          <w:spacing w:val="-12"/>
        </w:rPr>
        <w:t xml:space="preserve"> </w:t>
      </w:r>
      <w:r>
        <w:rPr>
          <w:color w:val="231F20"/>
        </w:rPr>
        <w:t>specific heritage</w:t>
      </w:r>
      <w:r>
        <w:rPr>
          <w:color w:val="231F20"/>
          <w:spacing w:val="-11"/>
        </w:rPr>
        <w:t xml:space="preserve"> </w:t>
      </w:r>
      <w:r>
        <w:rPr>
          <w:color w:val="231F20"/>
        </w:rPr>
        <w:t>that</w:t>
      </w:r>
      <w:r>
        <w:rPr>
          <w:color w:val="231F20"/>
          <w:spacing w:val="-11"/>
        </w:rPr>
        <w:t xml:space="preserve"> </w:t>
      </w:r>
      <w:r>
        <w:rPr>
          <w:color w:val="231F20"/>
        </w:rPr>
        <w:t>separates</w:t>
      </w:r>
      <w:r>
        <w:rPr>
          <w:color w:val="231F20"/>
          <w:spacing w:val="-11"/>
        </w:rPr>
        <w:t xml:space="preserve"> </w:t>
      </w:r>
      <w:r>
        <w:rPr>
          <w:color w:val="231F20"/>
        </w:rPr>
        <w:t>the</w:t>
      </w:r>
      <w:r>
        <w:rPr>
          <w:color w:val="231F20"/>
          <w:spacing w:val="-11"/>
        </w:rPr>
        <w:t xml:space="preserve"> </w:t>
      </w:r>
      <w:r>
        <w:rPr>
          <w:color w:val="231F20"/>
        </w:rPr>
        <w:t>event</w:t>
      </w:r>
      <w:r>
        <w:rPr>
          <w:color w:val="231F20"/>
          <w:spacing w:val="-11"/>
        </w:rPr>
        <w:t xml:space="preserve"> </w:t>
      </w:r>
      <w:r>
        <w:rPr>
          <w:color w:val="231F20"/>
        </w:rPr>
        <w:t>from</w:t>
      </w:r>
      <w:r>
        <w:rPr>
          <w:color w:val="231F20"/>
          <w:spacing w:val="-11"/>
        </w:rPr>
        <w:t xml:space="preserve"> </w:t>
      </w:r>
      <w:r>
        <w:rPr>
          <w:color w:val="231F20"/>
        </w:rPr>
        <w:t>competing</w:t>
      </w:r>
      <w:r>
        <w:rPr>
          <w:color w:val="231F20"/>
          <w:spacing w:val="-11"/>
        </w:rPr>
        <w:t xml:space="preserve"> </w:t>
      </w:r>
      <w:r>
        <w:rPr>
          <w:color w:val="231F20"/>
        </w:rPr>
        <w:t>events</w:t>
      </w:r>
      <w:r>
        <w:rPr>
          <w:color w:val="231F20"/>
          <w:spacing w:val="-11"/>
        </w:rPr>
        <w:t xml:space="preserve"> </w:t>
      </w:r>
      <w:r>
        <w:rPr>
          <w:color w:val="231F20"/>
        </w:rPr>
        <w:t>and</w:t>
      </w:r>
      <w:r>
        <w:rPr>
          <w:color w:val="231F20"/>
          <w:spacing w:val="-11"/>
        </w:rPr>
        <w:t xml:space="preserve"> </w:t>
      </w:r>
      <w:r>
        <w:rPr>
          <w:color w:val="231F20"/>
        </w:rPr>
        <w:t>to</w:t>
      </w:r>
      <w:r>
        <w:rPr>
          <w:color w:val="231F20"/>
          <w:spacing w:val="-11"/>
        </w:rPr>
        <w:t xml:space="preserve"> </w:t>
      </w:r>
      <w:r>
        <w:rPr>
          <w:color w:val="231F20"/>
        </w:rPr>
        <w:t>attract international</w:t>
      </w:r>
      <w:r>
        <w:rPr>
          <w:color w:val="231F20"/>
          <w:spacing w:val="-8"/>
        </w:rPr>
        <w:t xml:space="preserve"> </w:t>
      </w:r>
      <w:r>
        <w:rPr>
          <w:color w:val="231F20"/>
        </w:rPr>
        <w:t>tourists</w:t>
      </w:r>
      <w:r>
        <w:rPr>
          <w:color w:val="231F20"/>
          <w:spacing w:val="-8"/>
        </w:rPr>
        <w:t xml:space="preserve"> </w:t>
      </w:r>
      <w:r>
        <w:rPr>
          <w:color w:val="231F20"/>
        </w:rPr>
        <w:t>beyond</w:t>
      </w:r>
      <w:r>
        <w:rPr>
          <w:color w:val="231F20"/>
          <w:spacing w:val="-8"/>
        </w:rPr>
        <w:t xml:space="preserve"> </w:t>
      </w:r>
      <w:r>
        <w:rPr>
          <w:color w:val="231F20"/>
        </w:rPr>
        <w:t>the</w:t>
      </w:r>
      <w:r>
        <w:rPr>
          <w:color w:val="231F20"/>
          <w:spacing w:val="-8"/>
        </w:rPr>
        <w:t xml:space="preserve"> </w:t>
      </w:r>
      <w:r>
        <w:rPr>
          <w:color w:val="231F20"/>
        </w:rPr>
        <w:t>duration</w:t>
      </w:r>
      <w:r>
        <w:rPr>
          <w:color w:val="231F20"/>
          <w:spacing w:val="-8"/>
        </w:rPr>
        <w:t xml:space="preserve"> </w:t>
      </w:r>
      <w:r>
        <w:rPr>
          <w:color w:val="231F20"/>
        </w:rPr>
        <w:t>of the</w:t>
      </w:r>
      <w:r>
        <w:rPr>
          <w:color w:val="231F20"/>
          <w:spacing w:val="-8"/>
        </w:rPr>
        <w:t xml:space="preserve"> </w:t>
      </w:r>
      <w:r>
        <w:rPr>
          <w:color w:val="231F20"/>
        </w:rPr>
        <w:t>event.</w:t>
      </w:r>
    </w:p>
    <w:p w14:paraId="4CAB18B2" w14:textId="77777777" w:rsidR="00AE0598" w:rsidRDefault="00AE0598">
      <w:pPr>
        <w:pStyle w:val="Corpodetexto"/>
        <w:spacing w:before="9"/>
        <w:rPr>
          <w:sz w:val="23"/>
        </w:rPr>
      </w:pPr>
    </w:p>
    <w:p w14:paraId="5ADF50C9" w14:textId="77777777" w:rsidR="00AE0598" w:rsidRDefault="0069255A">
      <w:pPr>
        <w:spacing w:before="1"/>
        <w:ind w:left="223"/>
        <w:jc w:val="both"/>
        <w:rPr>
          <w:rFonts w:ascii="Trebuchet MS"/>
          <w:sz w:val="20"/>
        </w:rPr>
      </w:pPr>
      <w:r>
        <w:rPr>
          <w:rFonts w:ascii="Trebuchet MS"/>
          <w:color w:val="231F20"/>
          <w:w w:val="105"/>
          <w:sz w:val="20"/>
        </w:rPr>
        <w:t>Key</w:t>
      </w:r>
      <w:r>
        <w:rPr>
          <w:rFonts w:ascii="Trebuchet MS"/>
          <w:color w:val="231F20"/>
          <w:spacing w:val="-11"/>
          <w:w w:val="105"/>
          <w:sz w:val="20"/>
        </w:rPr>
        <w:t xml:space="preserve"> </w:t>
      </w:r>
      <w:r>
        <w:rPr>
          <w:rFonts w:ascii="Trebuchet MS"/>
          <w:color w:val="231F20"/>
          <w:spacing w:val="-2"/>
          <w:w w:val="105"/>
          <w:sz w:val="20"/>
        </w:rPr>
        <w:t>Reading</w:t>
      </w:r>
    </w:p>
    <w:p w14:paraId="442B0CFB" w14:textId="77777777" w:rsidR="00AE0598" w:rsidRDefault="0069255A">
      <w:pPr>
        <w:pStyle w:val="Corpodetexto"/>
        <w:spacing w:before="122" w:line="232" w:lineRule="auto"/>
        <w:ind w:left="223" w:right="241"/>
        <w:jc w:val="both"/>
      </w:pPr>
      <w:r>
        <w:rPr>
          <w:color w:val="231F20"/>
        </w:rPr>
        <w:t xml:space="preserve">Derom, I. and VanWynsberghe, R. (2015) Extending the benefits of </w:t>
      </w:r>
      <w:r>
        <w:rPr>
          <w:color w:val="231F20"/>
          <w:w w:val="95"/>
        </w:rPr>
        <w:t xml:space="preserve">leveraging cycling events: Evidence from the Tour of Flanders. </w:t>
      </w:r>
      <w:r>
        <w:rPr>
          <w:i/>
          <w:color w:val="231F20"/>
          <w:w w:val="95"/>
        </w:rPr>
        <w:t xml:space="preserve">European </w:t>
      </w:r>
      <w:r>
        <w:rPr>
          <w:i/>
          <w:color w:val="231F20"/>
        </w:rPr>
        <w:t xml:space="preserve">Sport Management Quarterly </w:t>
      </w:r>
      <w:r>
        <w:rPr>
          <w:color w:val="231F20"/>
        </w:rPr>
        <w:t>15 (1), 111–131.</w:t>
      </w:r>
    </w:p>
    <w:p w14:paraId="429DCA7B" w14:textId="77777777" w:rsidR="00AE0598" w:rsidRDefault="0069255A">
      <w:pPr>
        <w:pStyle w:val="Corpodetexto"/>
        <w:spacing w:before="123" w:line="232" w:lineRule="auto"/>
        <w:ind w:left="223" w:right="241"/>
        <w:jc w:val="both"/>
      </w:pPr>
      <w:r>
        <w:rPr>
          <w:color w:val="231F20"/>
          <w:w w:val="105"/>
        </w:rPr>
        <w:t>Derom, I. and Ramshaw, G. (2016) Leveraging sport</w:t>
      </w:r>
      <w:r>
        <w:rPr>
          <w:color w:val="231F20"/>
          <w:w w:val="105"/>
        </w:rPr>
        <w:t xml:space="preserve"> heritage to </w:t>
      </w:r>
      <w:r>
        <w:rPr>
          <w:color w:val="231F20"/>
        </w:rPr>
        <w:t xml:space="preserve">promote tourism destinations: The case of the Tour of Flanders Cyclo </w:t>
      </w:r>
      <w:r>
        <w:rPr>
          <w:color w:val="231F20"/>
          <w:w w:val="105"/>
        </w:rPr>
        <w:t>event.</w:t>
      </w:r>
      <w:r>
        <w:rPr>
          <w:color w:val="231F20"/>
          <w:spacing w:val="-10"/>
          <w:w w:val="105"/>
        </w:rPr>
        <w:t xml:space="preserve"> </w:t>
      </w:r>
      <w:r>
        <w:rPr>
          <w:i/>
          <w:color w:val="231F20"/>
          <w:w w:val="105"/>
        </w:rPr>
        <w:t>Journal</w:t>
      </w:r>
      <w:r>
        <w:rPr>
          <w:i/>
          <w:color w:val="231F20"/>
          <w:spacing w:val="-10"/>
          <w:w w:val="105"/>
        </w:rPr>
        <w:t xml:space="preserve"> </w:t>
      </w:r>
      <w:r>
        <w:rPr>
          <w:i/>
          <w:color w:val="231F20"/>
          <w:w w:val="105"/>
        </w:rPr>
        <w:t>of</w:t>
      </w:r>
      <w:r>
        <w:rPr>
          <w:i/>
          <w:color w:val="231F20"/>
          <w:spacing w:val="-10"/>
          <w:w w:val="105"/>
        </w:rPr>
        <w:t xml:space="preserve"> </w:t>
      </w:r>
      <w:r>
        <w:rPr>
          <w:i/>
          <w:color w:val="231F20"/>
          <w:w w:val="105"/>
        </w:rPr>
        <w:t>Sport</w:t>
      </w:r>
      <w:r>
        <w:rPr>
          <w:i/>
          <w:color w:val="231F20"/>
          <w:spacing w:val="-10"/>
          <w:w w:val="105"/>
        </w:rPr>
        <w:t xml:space="preserve"> </w:t>
      </w:r>
      <w:r>
        <w:rPr>
          <w:i/>
          <w:color w:val="231F20"/>
          <w:w w:val="110"/>
        </w:rPr>
        <w:t>&amp;</w:t>
      </w:r>
      <w:r>
        <w:rPr>
          <w:i/>
          <w:color w:val="231F20"/>
          <w:spacing w:val="-12"/>
          <w:w w:val="110"/>
        </w:rPr>
        <w:t xml:space="preserve"> </w:t>
      </w:r>
      <w:r>
        <w:rPr>
          <w:i/>
          <w:color w:val="231F20"/>
          <w:w w:val="105"/>
        </w:rPr>
        <w:t>Tourism</w:t>
      </w:r>
      <w:r>
        <w:rPr>
          <w:i/>
          <w:color w:val="231F20"/>
          <w:spacing w:val="-10"/>
          <w:w w:val="105"/>
        </w:rPr>
        <w:t xml:space="preserve"> </w:t>
      </w:r>
      <w:r>
        <w:rPr>
          <w:color w:val="231F20"/>
          <w:w w:val="105"/>
        </w:rPr>
        <w:t>20</w:t>
      </w:r>
      <w:r>
        <w:rPr>
          <w:color w:val="231F20"/>
          <w:spacing w:val="-10"/>
          <w:w w:val="105"/>
        </w:rPr>
        <w:t xml:space="preserve"> </w:t>
      </w:r>
      <w:r>
        <w:rPr>
          <w:color w:val="231F20"/>
        </w:rPr>
        <w:t>(</w:t>
      </w:r>
      <w:r>
        <w:rPr>
          <w:color w:val="231F20"/>
          <w:spacing w:val="3"/>
          <w:w w:val="102"/>
        </w:rPr>
        <w:t>3</w:t>
      </w:r>
      <w:r>
        <w:rPr>
          <w:color w:val="231F20"/>
          <w:spacing w:val="-2"/>
          <w:w w:val="73"/>
        </w:rPr>
        <w:t>/</w:t>
      </w:r>
      <w:r>
        <w:rPr>
          <w:color w:val="231F20"/>
          <w:spacing w:val="2"/>
          <w:w w:val="102"/>
        </w:rPr>
        <w:t>4</w:t>
      </w:r>
      <w:r>
        <w:rPr>
          <w:color w:val="231F20"/>
          <w:spacing w:val="-5"/>
        </w:rPr>
        <w:t>)</w:t>
      </w:r>
      <w:r>
        <w:rPr>
          <w:color w:val="231F20"/>
          <w:spacing w:val="1"/>
          <w:w w:val="148"/>
        </w:rPr>
        <w:t>,</w:t>
      </w:r>
      <w:r>
        <w:rPr>
          <w:color w:val="231F20"/>
          <w:spacing w:val="-8"/>
          <w:w w:val="104"/>
        </w:rPr>
        <w:t xml:space="preserve"> </w:t>
      </w:r>
      <w:r>
        <w:rPr>
          <w:color w:val="231F20"/>
          <w:w w:val="105"/>
        </w:rPr>
        <w:t>263–283.</w:t>
      </w:r>
    </w:p>
    <w:p w14:paraId="3A6DAD98" w14:textId="77777777" w:rsidR="00AE0598" w:rsidRDefault="00AE0598">
      <w:pPr>
        <w:pStyle w:val="Corpodetexto"/>
        <w:spacing w:before="6"/>
        <w:rPr>
          <w:sz w:val="18"/>
        </w:rPr>
      </w:pPr>
    </w:p>
    <w:p w14:paraId="1CA9830D" w14:textId="77777777" w:rsidR="00AE0598" w:rsidRDefault="0069255A">
      <w:pPr>
        <w:ind w:left="110"/>
        <w:jc w:val="both"/>
        <w:rPr>
          <w:rFonts w:ascii="Trebuchet MS"/>
          <w:b/>
          <w:sz w:val="20"/>
        </w:rPr>
      </w:pPr>
      <w:r>
        <w:rPr>
          <w:rFonts w:ascii="Trebuchet MS"/>
          <w:b/>
          <w:color w:val="231F20"/>
          <w:sz w:val="20"/>
        </w:rPr>
        <w:t>Sport</w:t>
      </w:r>
      <w:r>
        <w:rPr>
          <w:rFonts w:ascii="Trebuchet MS"/>
          <w:b/>
          <w:color w:val="231F20"/>
          <w:spacing w:val="-1"/>
          <w:sz w:val="20"/>
        </w:rPr>
        <w:t xml:space="preserve"> </w:t>
      </w:r>
      <w:r>
        <w:rPr>
          <w:rFonts w:ascii="Trebuchet MS"/>
          <w:b/>
          <w:color w:val="231F20"/>
          <w:sz w:val="20"/>
        </w:rPr>
        <w:t>and</w:t>
      </w:r>
      <w:r>
        <w:rPr>
          <w:rFonts w:ascii="Trebuchet MS"/>
          <w:b/>
          <w:color w:val="231F20"/>
          <w:spacing w:val="-1"/>
          <w:sz w:val="20"/>
        </w:rPr>
        <w:t xml:space="preserve"> </w:t>
      </w:r>
      <w:r>
        <w:rPr>
          <w:rFonts w:ascii="Trebuchet MS"/>
          <w:b/>
          <w:color w:val="231F20"/>
          <w:sz w:val="20"/>
        </w:rPr>
        <w:t>Tourism</w:t>
      </w:r>
      <w:r>
        <w:rPr>
          <w:rFonts w:ascii="Trebuchet MS"/>
          <w:b/>
          <w:color w:val="231F20"/>
          <w:spacing w:val="-1"/>
          <w:sz w:val="20"/>
        </w:rPr>
        <w:t xml:space="preserve"> </w:t>
      </w:r>
      <w:r>
        <w:rPr>
          <w:rFonts w:ascii="Trebuchet MS"/>
          <w:b/>
          <w:color w:val="231F20"/>
          <w:sz w:val="20"/>
        </w:rPr>
        <w:t>Systems:</w:t>
      </w:r>
      <w:r>
        <w:rPr>
          <w:rFonts w:ascii="Trebuchet MS"/>
          <w:b/>
          <w:color w:val="231F20"/>
          <w:spacing w:val="-1"/>
          <w:sz w:val="20"/>
        </w:rPr>
        <w:t xml:space="preserve"> </w:t>
      </w:r>
      <w:r>
        <w:rPr>
          <w:rFonts w:ascii="Trebuchet MS"/>
          <w:b/>
          <w:color w:val="231F20"/>
          <w:sz w:val="20"/>
        </w:rPr>
        <w:t>Visitor</w:t>
      </w:r>
      <w:r>
        <w:rPr>
          <w:rFonts w:ascii="Trebuchet MS"/>
          <w:b/>
          <w:color w:val="231F20"/>
          <w:spacing w:val="-1"/>
          <w:sz w:val="20"/>
        </w:rPr>
        <w:t xml:space="preserve"> </w:t>
      </w:r>
      <w:r>
        <w:rPr>
          <w:rFonts w:ascii="Trebuchet MS"/>
          <w:b/>
          <w:color w:val="231F20"/>
          <w:spacing w:val="-2"/>
          <w:sz w:val="20"/>
        </w:rPr>
        <w:t>Experiences</w:t>
      </w:r>
    </w:p>
    <w:p w14:paraId="2E15539A" w14:textId="77777777" w:rsidR="00AE0598" w:rsidRDefault="0069255A">
      <w:pPr>
        <w:pStyle w:val="Corpodetexto"/>
        <w:spacing w:before="122" w:line="232" w:lineRule="auto"/>
        <w:ind w:left="110" w:right="127" w:firstLine="320"/>
        <w:jc w:val="both"/>
      </w:pPr>
      <w:r>
        <w:rPr>
          <w:color w:val="231F20"/>
        </w:rPr>
        <w:t>The</w:t>
      </w:r>
      <w:r>
        <w:rPr>
          <w:color w:val="231F20"/>
          <w:spacing w:val="-3"/>
        </w:rPr>
        <w:t xml:space="preserve"> </w:t>
      </w:r>
      <w:r>
        <w:rPr>
          <w:color w:val="231F20"/>
        </w:rPr>
        <w:t>sport</w:t>
      </w:r>
      <w:r>
        <w:rPr>
          <w:color w:val="231F20"/>
          <w:spacing w:val="-3"/>
        </w:rPr>
        <w:t xml:space="preserve"> </w:t>
      </w:r>
      <w:r>
        <w:rPr>
          <w:color w:val="231F20"/>
        </w:rPr>
        <w:t>tourist</w:t>
      </w:r>
      <w:r>
        <w:rPr>
          <w:color w:val="231F20"/>
          <w:spacing w:val="-3"/>
        </w:rPr>
        <w:t xml:space="preserve"> </w:t>
      </w:r>
      <w:r>
        <w:rPr>
          <w:color w:val="231F20"/>
        </w:rPr>
        <w:t>experience</w:t>
      </w:r>
      <w:r>
        <w:rPr>
          <w:color w:val="231F20"/>
          <w:spacing w:val="-3"/>
        </w:rPr>
        <w:t xml:space="preserve"> </w:t>
      </w:r>
      <w:r>
        <w:rPr>
          <w:color w:val="231F20"/>
        </w:rPr>
        <w:t>can</w:t>
      </w:r>
      <w:r>
        <w:rPr>
          <w:color w:val="231F20"/>
          <w:spacing w:val="-3"/>
        </w:rPr>
        <w:t xml:space="preserve"> </w:t>
      </w:r>
      <w:r>
        <w:rPr>
          <w:color w:val="231F20"/>
        </w:rPr>
        <w:t>be</w:t>
      </w:r>
      <w:r>
        <w:rPr>
          <w:color w:val="231F20"/>
          <w:spacing w:val="-3"/>
        </w:rPr>
        <w:t xml:space="preserve"> </w:t>
      </w:r>
      <w:r>
        <w:rPr>
          <w:color w:val="231F20"/>
        </w:rPr>
        <w:t>described</w:t>
      </w:r>
      <w:r>
        <w:rPr>
          <w:color w:val="231F20"/>
          <w:spacing w:val="-3"/>
        </w:rPr>
        <w:t xml:space="preserve"> </w:t>
      </w:r>
      <w:r>
        <w:rPr>
          <w:color w:val="231F20"/>
        </w:rPr>
        <w:t>and</w:t>
      </w:r>
      <w:r>
        <w:rPr>
          <w:color w:val="231F20"/>
          <w:spacing w:val="-3"/>
        </w:rPr>
        <w:t xml:space="preserve"> </w:t>
      </w:r>
      <w:r>
        <w:rPr>
          <w:color w:val="231F20"/>
        </w:rPr>
        <w:t>studied</w:t>
      </w:r>
      <w:r>
        <w:rPr>
          <w:color w:val="231F20"/>
          <w:spacing w:val="-3"/>
        </w:rPr>
        <w:t xml:space="preserve"> </w:t>
      </w:r>
      <w:r>
        <w:rPr>
          <w:color w:val="231F20"/>
        </w:rPr>
        <w:t>in</w:t>
      </w:r>
      <w:r>
        <w:rPr>
          <w:color w:val="231F20"/>
          <w:spacing w:val="-3"/>
        </w:rPr>
        <w:t xml:space="preserve"> </w:t>
      </w:r>
      <w:r>
        <w:rPr>
          <w:color w:val="231F20"/>
        </w:rPr>
        <w:t>various ways</w:t>
      </w:r>
      <w:r>
        <w:rPr>
          <w:color w:val="231F20"/>
          <w:spacing w:val="-12"/>
        </w:rPr>
        <w:t xml:space="preserve"> </w:t>
      </w:r>
      <w:r>
        <w:rPr>
          <w:color w:val="231F20"/>
        </w:rPr>
        <w:t>but</w:t>
      </w:r>
      <w:r>
        <w:rPr>
          <w:color w:val="231F20"/>
          <w:spacing w:val="-11"/>
        </w:rPr>
        <w:t xml:space="preserve"> </w:t>
      </w:r>
      <w:r>
        <w:rPr>
          <w:color w:val="231F20"/>
        </w:rPr>
        <w:t>fundamentally</w:t>
      </w:r>
      <w:r>
        <w:rPr>
          <w:color w:val="231F20"/>
          <w:spacing w:val="-12"/>
        </w:rPr>
        <w:t xml:space="preserve"> </w:t>
      </w:r>
      <w:r>
        <w:rPr>
          <w:color w:val="231F20"/>
        </w:rPr>
        <w:t>it</w:t>
      </w:r>
      <w:r>
        <w:rPr>
          <w:color w:val="231F20"/>
          <w:spacing w:val="-11"/>
        </w:rPr>
        <w:t xml:space="preserve"> </w:t>
      </w:r>
      <w:r>
        <w:rPr>
          <w:color w:val="231F20"/>
        </w:rPr>
        <w:t>represents</w:t>
      </w:r>
      <w:r>
        <w:rPr>
          <w:color w:val="231F20"/>
          <w:spacing w:val="-12"/>
        </w:rPr>
        <w:t xml:space="preserve"> </w:t>
      </w:r>
      <w:r>
        <w:rPr>
          <w:color w:val="231F20"/>
        </w:rPr>
        <w:t>a</w:t>
      </w:r>
      <w:r>
        <w:rPr>
          <w:color w:val="231F20"/>
          <w:spacing w:val="-11"/>
        </w:rPr>
        <w:t xml:space="preserve"> </w:t>
      </w:r>
      <w:r>
        <w:rPr>
          <w:color w:val="231F20"/>
        </w:rPr>
        <w:t>combination</w:t>
      </w:r>
      <w:r>
        <w:rPr>
          <w:color w:val="231F20"/>
          <w:spacing w:val="-12"/>
        </w:rPr>
        <w:t xml:space="preserve"> </w:t>
      </w:r>
      <w:r>
        <w:rPr>
          <w:color w:val="231F20"/>
        </w:rPr>
        <w:t>of</w:t>
      </w:r>
      <w:r>
        <w:rPr>
          <w:color w:val="231F20"/>
          <w:spacing w:val="-11"/>
        </w:rPr>
        <w:t xml:space="preserve"> </w:t>
      </w:r>
      <w:r>
        <w:rPr>
          <w:color w:val="231F20"/>
        </w:rPr>
        <w:t>tangible</w:t>
      </w:r>
      <w:r>
        <w:rPr>
          <w:color w:val="231F20"/>
          <w:spacing w:val="-12"/>
        </w:rPr>
        <w:t xml:space="preserve"> </w:t>
      </w:r>
      <w:r>
        <w:rPr>
          <w:color w:val="231F20"/>
        </w:rPr>
        <w:t xml:space="preserve">(physical </w:t>
      </w:r>
      <w:r>
        <w:rPr>
          <w:color w:val="231F20"/>
          <w:w w:val="95"/>
        </w:rPr>
        <w:t xml:space="preserve">attributes) and intangible (emotions and feelings) elements (Weed, 2010). </w:t>
      </w:r>
      <w:r>
        <w:rPr>
          <w:color w:val="231F20"/>
        </w:rPr>
        <w:t>The</w:t>
      </w:r>
      <w:r>
        <w:rPr>
          <w:color w:val="231F20"/>
          <w:spacing w:val="43"/>
        </w:rPr>
        <w:t xml:space="preserve"> </w:t>
      </w:r>
      <w:r>
        <w:rPr>
          <w:color w:val="231F20"/>
        </w:rPr>
        <w:t>experiential</w:t>
      </w:r>
      <w:r>
        <w:rPr>
          <w:color w:val="231F20"/>
          <w:spacing w:val="44"/>
        </w:rPr>
        <w:t xml:space="preserve"> </w:t>
      </w:r>
      <w:r>
        <w:rPr>
          <w:color w:val="231F20"/>
        </w:rPr>
        <w:t>approach</w:t>
      </w:r>
      <w:r>
        <w:rPr>
          <w:color w:val="231F20"/>
          <w:spacing w:val="43"/>
        </w:rPr>
        <w:t xml:space="preserve"> </w:t>
      </w:r>
      <w:r>
        <w:rPr>
          <w:color w:val="231F20"/>
        </w:rPr>
        <w:t>involves</w:t>
      </w:r>
      <w:r>
        <w:rPr>
          <w:color w:val="231F20"/>
          <w:spacing w:val="44"/>
        </w:rPr>
        <w:t xml:space="preserve"> </w:t>
      </w:r>
      <w:r>
        <w:rPr>
          <w:color w:val="231F20"/>
        </w:rPr>
        <w:t>understanding</w:t>
      </w:r>
      <w:r>
        <w:rPr>
          <w:color w:val="231F20"/>
          <w:spacing w:val="44"/>
        </w:rPr>
        <w:t xml:space="preserve"> </w:t>
      </w:r>
      <w:r>
        <w:rPr>
          <w:color w:val="231F20"/>
        </w:rPr>
        <w:t>the</w:t>
      </w:r>
      <w:r>
        <w:rPr>
          <w:color w:val="231F20"/>
          <w:spacing w:val="43"/>
        </w:rPr>
        <w:t xml:space="preserve"> </w:t>
      </w:r>
      <w:r>
        <w:rPr>
          <w:color w:val="231F20"/>
        </w:rPr>
        <w:t>emotions</w:t>
      </w:r>
      <w:r>
        <w:rPr>
          <w:color w:val="231F20"/>
          <w:spacing w:val="44"/>
        </w:rPr>
        <w:t xml:space="preserve"> </w:t>
      </w:r>
      <w:r>
        <w:rPr>
          <w:color w:val="231F20"/>
          <w:spacing w:val="-5"/>
        </w:rPr>
        <w:t>and</w:t>
      </w:r>
    </w:p>
    <w:p w14:paraId="03351889" w14:textId="77777777" w:rsidR="00AE0598" w:rsidRDefault="00AE0598">
      <w:pPr>
        <w:spacing w:line="232" w:lineRule="auto"/>
        <w:jc w:val="both"/>
        <w:sectPr w:rsidR="00AE0598">
          <w:pgSz w:w="8850" w:h="13270"/>
          <w:pgMar w:top="720" w:right="1060" w:bottom="280" w:left="1080" w:header="720" w:footer="720" w:gutter="0"/>
          <w:cols w:space="720"/>
        </w:sectPr>
      </w:pPr>
    </w:p>
    <w:p w14:paraId="26FAEE3A" w14:textId="77777777" w:rsidR="00AE0598" w:rsidRDefault="0069255A">
      <w:pPr>
        <w:spacing w:before="87"/>
        <w:ind w:left="108"/>
        <w:rPr>
          <w:rFonts w:ascii="Trebuchet MS"/>
          <w:sz w:val="14"/>
        </w:rPr>
      </w:pPr>
      <w:r>
        <w:rPr>
          <w:rFonts w:ascii="Trebuchet MS"/>
          <w:color w:val="231F20"/>
          <w:w w:val="105"/>
          <w:sz w:val="14"/>
        </w:rPr>
        <w:lastRenderedPageBreak/>
        <w:t>176</w:t>
      </w:r>
      <w:r>
        <w:rPr>
          <w:rFonts w:ascii="Trebuchet MS"/>
          <w:color w:val="231F20"/>
          <w:spacing w:val="66"/>
          <w:w w:val="150"/>
          <w:sz w:val="14"/>
        </w:rPr>
        <w:t xml:space="preserve"> </w:t>
      </w:r>
      <w:r>
        <w:rPr>
          <w:rFonts w:ascii="Trebuchet MS"/>
          <w:color w:val="231F20"/>
          <w:w w:val="105"/>
          <w:sz w:val="14"/>
        </w:rPr>
        <w:t>Part</w:t>
      </w:r>
      <w:r>
        <w:rPr>
          <w:rFonts w:ascii="Trebuchet MS"/>
          <w:color w:val="231F20"/>
          <w:spacing w:val="-9"/>
          <w:w w:val="105"/>
          <w:sz w:val="14"/>
        </w:rPr>
        <w:t xml:space="preserve"> </w:t>
      </w:r>
      <w:r>
        <w:rPr>
          <w:rFonts w:ascii="Trebuchet MS"/>
          <w:color w:val="231F20"/>
          <w:w w:val="105"/>
          <w:sz w:val="14"/>
        </w:rPr>
        <w:t>4:</w:t>
      </w:r>
      <w:r>
        <w:rPr>
          <w:rFonts w:ascii="Trebuchet MS"/>
          <w:color w:val="231F20"/>
          <w:spacing w:val="-8"/>
          <w:w w:val="105"/>
          <w:sz w:val="14"/>
        </w:rPr>
        <w:t xml:space="preserve"> </w:t>
      </w:r>
      <w:r>
        <w:rPr>
          <w:rFonts w:ascii="Trebuchet MS"/>
          <w:color w:val="231F20"/>
          <w:w w:val="105"/>
          <w:sz w:val="14"/>
        </w:rPr>
        <w:t>Sport</w:t>
      </w:r>
      <w:r>
        <w:rPr>
          <w:rFonts w:ascii="Trebuchet MS"/>
          <w:color w:val="231F20"/>
          <w:spacing w:val="-9"/>
          <w:w w:val="105"/>
          <w:sz w:val="14"/>
        </w:rPr>
        <w:t xml:space="preserve"> </w:t>
      </w:r>
      <w:r>
        <w:rPr>
          <w:rFonts w:ascii="Trebuchet MS"/>
          <w:color w:val="231F20"/>
          <w:w w:val="105"/>
          <w:sz w:val="14"/>
        </w:rPr>
        <w:t>Tourism</w:t>
      </w:r>
      <w:r>
        <w:rPr>
          <w:rFonts w:ascii="Trebuchet MS"/>
          <w:color w:val="231F20"/>
          <w:spacing w:val="-9"/>
          <w:w w:val="105"/>
          <w:sz w:val="14"/>
        </w:rPr>
        <w:t xml:space="preserve"> </w:t>
      </w:r>
      <w:r>
        <w:rPr>
          <w:rFonts w:ascii="Trebuchet MS"/>
          <w:color w:val="231F20"/>
          <w:w w:val="105"/>
          <w:sz w:val="14"/>
        </w:rPr>
        <w:t>Development</w:t>
      </w:r>
      <w:r>
        <w:rPr>
          <w:rFonts w:ascii="Trebuchet MS"/>
          <w:color w:val="231F20"/>
          <w:spacing w:val="-9"/>
          <w:w w:val="105"/>
          <w:sz w:val="14"/>
        </w:rPr>
        <w:t xml:space="preserve"> </w:t>
      </w:r>
      <w:r>
        <w:rPr>
          <w:rFonts w:ascii="Trebuchet MS"/>
          <w:color w:val="231F20"/>
          <w:w w:val="105"/>
          <w:sz w:val="14"/>
        </w:rPr>
        <w:t>and</w:t>
      </w:r>
      <w:r>
        <w:rPr>
          <w:rFonts w:ascii="Trebuchet MS"/>
          <w:color w:val="231F20"/>
          <w:spacing w:val="-8"/>
          <w:w w:val="105"/>
          <w:sz w:val="14"/>
        </w:rPr>
        <w:t xml:space="preserve"> </w:t>
      </w:r>
      <w:r>
        <w:rPr>
          <w:rFonts w:ascii="Trebuchet MS"/>
          <w:color w:val="231F20"/>
          <w:spacing w:val="-4"/>
          <w:w w:val="105"/>
          <w:sz w:val="14"/>
        </w:rPr>
        <w:t>Time</w:t>
      </w:r>
    </w:p>
    <w:p w14:paraId="0391F23B" w14:textId="77777777" w:rsidR="00AE0598" w:rsidRDefault="00AE0598">
      <w:pPr>
        <w:pStyle w:val="Corpodetexto"/>
        <w:spacing w:before="4"/>
        <w:rPr>
          <w:rFonts w:ascii="Trebuchet MS"/>
          <w:sz w:val="17"/>
        </w:rPr>
      </w:pPr>
    </w:p>
    <w:p w14:paraId="11066CAC" w14:textId="77777777" w:rsidR="00AE0598" w:rsidRDefault="0069255A">
      <w:pPr>
        <w:pStyle w:val="Corpodetexto"/>
        <w:spacing w:before="102" w:line="232" w:lineRule="auto"/>
        <w:ind w:left="110" w:right="127"/>
        <w:jc w:val="both"/>
      </w:pPr>
      <w:r>
        <w:rPr>
          <w:color w:val="231F20"/>
          <w:w w:val="95"/>
        </w:rPr>
        <w:t xml:space="preserve">feelings that comprise the visitor experience. These emotions may include </w:t>
      </w:r>
      <w:r>
        <w:rPr>
          <w:color w:val="231F20"/>
        </w:rPr>
        <w:t>joy, relief, exhaustion, euphoria and dejection, which arise from victory, defeat,</w:t>
      </w:r>
      <w:r>
        <w:rPr>
          <w:color w:val="231F20"/>
          <w:spacing w:val="-5"/>
        </w:rPr>
        <w:t xml:space="preserve"> </w:t>
      </w:r>
      <w:r>
        <w:rPr>
          <w:color w:val="231F20"/>
        </w:rPr>
        <w:t>camaraderie</w:t>
      </w:r>
      <w:r>
        <w:rPr>
          <w:color w:val="231F20"/>
          <w:spacing w:val="-5"/>
        </w:rPr>
        <w:t xml:space="preserve"> </w:t>
      </w:r>
      <w:r>
        <w:rPr>
          <w:color w:val="231F20"/>
        </w:rPr>
        <w:t>and</w:t>
      </w:r>
      <w:r>
        <w:rPr>
          <w:color w:val="231F20"/>
          <w:spacing w:val="-5"/>
        </w:rPr>
        <w:t xml:space="preserve"> </w:t>
      </w:r>
      <w:r>
        <w:rPr>
          <w:color w:val="231F20"/>
        </w:rPr>
        <w:t>sense</w:t>
      </w:r>
      <w:r>
        <w:rPr>
          <w:color w:val="231F20"/>
          <w:spacing w:val="-5"/>
        </w:rPr>
        <w:t xml:space="preserve"> </w:t>
      </w:r>
      <w:r>
        <w:rPr>
          <w:color w:val="231F20"/>
        </w:rPr>
        <w:t>of</w:t>
      </w:r>
      <w:r>
        <w:rPr>
          <w:color w:val="231F20"/>
          <w:spacing w:val="-5"/>
        </w:rPr>
        <w:t xml:space="preserve"> </w:t>
      </w:r>
      <w:r>
        <w:rPr>
          <w:color w:val="231F20"/>
        </w:rPr>
        <w:t>history,</w:t>
      </w:r>
      <w:r>
        <w:rPr>
          <w:color w:val="231F20"/>
          <w:spacing w:val="-5"/>
        </w:rPr>
        <w:t xml:space="preserve"> </w:t>
      </w:r>
      <w:r>
        <w:rPr>
          <w:color w:val="231F20"/>
        </w:rPr>
        <w:t>which</w:t>
      </w:r>
      <w:r>
        <w:rPr>
          <w:color w:val="231F20"/>
          <w:spacing w:val="-5"/>
        </w:rPr>
        <w:t xml:space="preserve"> </w:t>
      </w:r>
      <w:r>
        <w:rPr>
          <w:color w:val="231F20"/>
        </w:rPr>
        <w:t>may</w:t>
      </w:r>
      <w:r>
        <w:rPr>
          <w:color w:val="231F20"/>
          <w:spacing w:val="-5"/>
        </w:rPr>
        <w:t xml:space="preserve"> </w:t>
      </w:r>
      <w:r>
        <w:rPr>
          <w:color w:val="231F20"/>
        </w:rPr>
        <w:t>arise</w:t>
      </w:r>
      <w:r>
        <w:rPr>
          <w:color w:val="231F20"/>
          <w:spacing w:val="-5"/>
        </w:rPr>
        <w:t xml:space="preserve"> </w:t>
      </w:r>
      <w:r>
        <w:rPr>
          <w:color w:val="231F20"/>
        </w:rPr>
        <w:t>through</w:t>
      </w:r>
      <w:r>
        <w:rPr>
          <w:color w:val="231F20"/>
          <w:spacing w:val="-5"/>
        </w:rPr>
        <w:t xml:space="preserve"> </w:t>
      </w:r>
      <w:r>
        <w:rPr>
          <w:color w:val="231F20"/>
        </w:rPr>
        <w:t>event</w:t>
      </w:r>
      <w:r>
        <w:rPr>
          <w:color w:val="231F20"/>
        </w:rPr>
        <w:t xml:space="preserve"> and competition spectatorship and/or active participation in sports, or be relived through nostalgic experiences of sports. Visitor experiences are a function of the motivations and desired experiences of the tourist. </w:t>
      </w:r>
      <w:r>
        <w:rPr>
          <w:color w:val="231F20"/>
          <w:w w:val="95"/>
        </w:rPr>
        <w:t xml:space="preserve">Walker </w:t>
      </w:r>
      <w:r>
        <w:rPr>
          <w:i/>
          <w:color w:val="231F20"/>
          <w:w w:val="95"/>
        </w:rPr>
        <w:t>et al</w:t>
      </w:r>
      <w:r>
        <w:rPr>
          <w:color w:val="231F20"/>
          <w:w w:val="95"/>
        </w:rPr>
        <w:t>. (2010), for example, us</w:t>
      </w:r>
      <w:r>
        <w:rPr>
          <w:color w:val="231F20"/>
          <w:w w:val="95"/>
        </w:rPr>
        <w:t xml:space="preserve">e ‘activity mode’ and ‘task orientation’ </w:t>
      </w:r>
      <w:r>
        <w:rPr>
          <w:color w:val="231F20"/>
        </w:rPr>
        <w:t>to explore the experiences of active sport participants competing at the World</w:t>
      </w:r>
      <w:r>
        <w:rPr>
          <w:color w:val="231F20"/>
          <w:spacing w:val="-5"/>
        </w:rPr>
        <w:t xml:space="preserve"> </w:t>
      </w:r>
      <w:r>
        <w:rPr>
          <w:color w:val="231F20"/>
        </w:rPr>
        <w:t>Masters</w:t>
      </w:r>
      <w:r>
        <w:rPr>
          <w:color w:val="231F20"/>
          <w:spacing w:val="-5"/>
        </w:rPr>
        <w:t xml:space="preserve"> </w:t>
      </w:r>
      <w:r>
        <w:rPr>
          <w:color w:val="231F20"/>
        </w:rPr>
        <w:t>Games,</w:t>
      </w:r>
      <w:r>
        <w:rPr>
          <w:color w:val="231F20"/>
          <w:spacing w:val="-5"/>
        </w:rPr>
        <w:t xml:space="preserve"> </w:t>
      </w:r>
      <w:r>
        <w:rPr>
          <w:color w:val="231F20"/>
        </w:rPr>
        <w:t>highlighting</w:t>
      </w:r>
      <w:r>
        <w:rPr>
          <w:color w:val="231F20"/>
          <w:spacing w:val="-5"/>
        </w:rPr>
        <w:t xml:space="preserve"> </w:t>
      </w:r>
      <w:r>
        <w:rPr>
          <w:color w:val="231F20"/>
        </w:rPr>
        <w:t>similarities</w:t>
      </w:r>
      <w:r>
        <w:rPr>
          <w:color w:val="231F20"/>
          <w:spacing w:val="-5"/>
        </w:rPr>
        <w:t xml:space="preserve"> </w:t>
      </w:r>
      <w:r>
        <w:rPr>
          <w:color w:val="231F20"/>
        </w:rPr>
        <w:t>and</w:t>
      </w:r>
      <w:r>
        <w:rPr>
          <w:color w:val="231F20"/>
          <w:spacing w:val="-5"/>
        </w:rPr>
        <w:t xml:space="preserve"> </w:t>
      </w:r>
      <w:r>
        <w:rPr>
          <w:color w:val="231F20"/>
        </w:rPr>
        <w:t>differences</w:t>
      </w:r>
      <w:r>
        <w:rPr>
          <w:color w:val="231F20"/>
          <w:spacing w:val="-5"/>
        </w:rPr>
        <w:t xml:space="preserve"> </w:t>
      </w:r>
      <w:r>
        <w:rPr>
          <w:color w:val="231F20"/>
        </w:rPr>
        <w:t>in</w:t>
      </w:r>
      <w:r>
        <w:rPr>
          <w:color w:val="231F20"/>
          <w:spacing w:val="-5"/>
        </w:rPr>
        <w:t xml:space="preserve"> </w:t>
      </w:r>
      <w:r>
        <w:rPr>
          <w:color w:val="231F20"/>
        </w:rPr>
        <w:t xml:space="preserve">visitor </w:t>
      </w:r>
      <w:r>
        <w:rPr>
          <w:color w:val="231F20"/>
          <w:w w:val="95"/>
        </w:rPr>
        <w:t xml:space="preserve">experiences among discrete groups of competitors. Visitor experiences are </w:t>
      </w:r>
      <w:r>
        <w:rPr>
          <w:color w:val="231F20"/>
        </w:rPr>
        <w:t>shaped</w:t>
      </w:r>
      <w:r>
        <w:rPr>
          <w:color w:val="231F20"/>
          <w:spacing w:val="-5"/>
        </w:rPr>
        <w:t xml:space="preserve"> </w:t>
      </w:r>
      <w:r>
        <w:rPr>
          <w:color w:val="231F20"/>
        </w:rPr>
        <w:t>and</w:t>
      </w:r>
      <w:r>
        <w:rPr>
          <w:color w:val="231F20"/>
          <w:spacing w:val="-5"/>
        </w:rPr>
        <w:t xml:space="preserve"> </w:t>
      </w:r>
      <w:r>
        <w:rPr>
          <w:color w:val="231F20"/>
        </w:rPr>
        <w:t>influenced</w:t>
      </w:r>
      <w:r>
        <w:rPr>
          <w:color w:val="231F20"/>
          <w:spacing w:val="-5"/>
        </w:rPr>
        <w:t xml:space="preserve"> </w:t>
      </w:r>
      <w:r>
        <w:rPr>
          <w:color w:val="231F20"/>
        </w:rPr>
        <w:t>by</w:t>
      </w:r>
      <w:r>
        <w:rPr>
          <w:color w:val="231F20"/>
          <w:spacing w:val="-5"/>
        </w:rPr>
        <w:t xml:space="preserve"> </w:t>
      </w:r>
      <w:r>
        <w:rPr>
          <w:color w:val="231F20"/>
        </w:rPr>
        <w:t>the</w:t>
      </w:r>
      <w:r>
        <w:rPr>
          <w:color w:val="231F20"/>
          <w:spacing w:val="-5"/>
        </w:rPr>
        <w:t xml:space="preserve"> </w:t>
      </w:r>
      <w:r>
        <w:rPr>
          <w:color w:val="231F20"/>
        </w:rPr>
        <w:t>sport</w:t>
      </w:r>
      <w:r>
        <w:rPr>
          <w:color w:val="231F20"/>
          <w:spacing w:val="-5"/>
        </w:rPr>
        <w:t xml:space="preserve"> </w:t>
      </w:r>
      <w:r>
        <w:rPr>
          <w:color w:val="231F20"/>
        </w:rPr>
        <w:t>and</w:t>
      </w:r>
      <w:r>
        <w:rPr>
          <w:color w:val="231F20"/>
          <w:spacing w:val="-5"/>
        </w:rPr>
        <w:t xml:space="preserve"> </w:t>
      </w:r>
      <w:r>
        <w:rPr>
          <w:color w:val="231F20"/>
        </w:rPr>
        <w:t>tourism</w:t>
      </w:r>
      <w:r>
        <w:rPr>
          <w:color w:val="231F20"/>
          <w:spacing w:val="-5"/>
        </w:rPr>
        <w:t xml:space="preserve"> </w:t>
      </w:r>
      <w:r>
        <w:rPr>
          <w:color w:val="231F20"/>
        </w:rPr>
        <w:t>systems</w:t>
      </w:r>
      <w:r>
        <w:rPr>
          <w:color w:val="231F20"/>
          <w:spacing w:val="-5"/>
        </w:rPr>
        <w:t xml:space="preserve"> </w:t>
      </w:r>
      <w:r>
        <w:rPr>
          <w:color w:val="231F20"/>
        </w:rPr>
        <w:t>at</w:t>
      </w:r>
      <w:r>
        <w:rPr>
          <w:color w:val="231F20"/>
          <w:spacing w:val="-5"/>
        </w:rPr>
        <w:t xml:space="preserve"> </w:t>
      </w:r>
      <w:r>
        <w:rPr>
          <w:color w:val="231F20"/>
        </w:rPr>
        <w:t>a</w:t>
      </w:r>
      <w:r>
        <w:rPr>
          <w:color w:val="231F20"/>
          <w:spacing w:val="-5"/>
        </w:rPr>
        <w:t xml:space="preserve"> </w:t>
      </w:r>
      <w:r>
        <w:rPr>
          <w:color w:val="231F20"/>
        </w:rPr>
        <w:t>destination (Figure 8.2).</w:t>
      </w:r>
    </w:p>
    <w:p w14:paraId="3E83AE8B" w14:textId="27CF96EA" w:rsidR="00AE0598" w:rsidRDefault="0069255A">
      <w:pPr>
        <w:pStyle w:val="Corpodetexto"/>
        <w:spacing w:before="15" w:line="232" w:lineRule="auto"/>
        <w:ind w:left="110" w:right="127" w:firstLine="320"/>
        <w:jc w:val="both"/>
      </w:pPr>
      <w:r>
        <w:rPr>
          <w:noProof/>
        </w:rPr>
        <mc:AlternateContent>
          <mc:Choice Requires="wpg">
            <w:drawing>
              <wp:anchor distT="0" distB="0" distL="114300" distR="114300" simplePos="0" relativeHeight="15816192" behindDoc="0" locked="0" layoutInCell="1" allowOverlap="1" wp14:anchorId="0AF971BE" wp14:editId="7BEC002C">
                <wp:simplePos x="0" y="0"/>
                <wp:positionH relativeFrom="page">
                  <wp:posOffset>3449320</wp:posOffset>
                </wp:positionH>
                <wp:positionV relativeFrom="paragraph">
                  <wp:posOffset>2604135</wp:posOffset>
                </wp:positionV>
                <wp:extent cx="267970" cy="50165"/>
                <wp:effectExtent l="0" t="0" r="0" b="0"/>
                <wp:wrapNone/>
                <wp:docPr id="129" name="docshapegroup2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67970" cy="50165"/>
                          <a:chOff x="5432" y="4101"/>
                          <a:chExt cx="422" cy="79"/>
                        </a:xfrm>
                      </wpg:grpSpPr>
                      <wps:wsp>
                        <wps:cNvPr id="130" name="Line 132"/>
                        <wps:cNvCnPr>
                          <a:cxnSpLocks noChangeShapeType="1"/>
                        </wps:cNvCnPr>
                        <wps:spPr bwMode="auto">
                          <a:xfrm>
                            <a:off x="5511" y="4140"/>
                            <a:ext cx="263" cy="0"/>
                          </a:xfrm>
                          <a:prstGeom prst="line">
                            <a:avLst/>
                          </a:prstGeom>
                          <a:noFill/>
                          <a:ln w="12446">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131" name="docshape236"/>
                        <wps:cNvSpPr>
                          <a:spLocks/>
                        </wps:cNvSpPr>
                        <wps:spPr bwMode="auto">
                          <a:xfrm>
                            <a:off x="5431" y="4101"/>
                            <a:ext cx="422" cy="79"/>
                          </a:xfrm>
                          <a:custGeom>
                            <a:avLst/>
                            <a:gdLst>
                              <a:gd name="T0" fmla="+- 0 5511 5432"/>
                              <a:gd name="T1" fmla="*/ T0 w 422"/>
                              <a:gd name="T2" fmla="+- 0 4180 4101"/>
                              <a:gd name="T3" fmla="*/ 4180 h 79"/>
                              <a:gd name="T4" fmla="+- 0 5511 5432"/>
                              <a:gd name="T5" fmla="*/ T4 w 422"/>
                              <a:gd name="T6" fmla="+- 0 4101 4101"/>
                              <a:gd name="T7" fmla="*/ 4101 h 79"/>
                              <a:gd name="T8" fmla="+- 0 5432 5432"/>
                              <a:gd name="T9" fmla="*/ T8 w 422"/>
                              <a:gd name="T10" fmla="+- 0 4140 4101"/>
                              <a:gd name="T11" fmla="*/ 4140 h 79"/>
                              <a:gd name="T12" fmla="+- 0 5511 5432"/>
                              <a:gd name="T13" fmla="*/ T12 w 422"/>
                              <a:gd name="T14" fmla="+- 0 4180 4101"/>
                              <a:gd name="T15" fmla="*/ 4180 h 79"/>
                              <a:gd name="T16" fmla="+- 0 5853 5432"/>
                              <a:gd name="T17" fmla="*/ T16 w 422"/>
                              <a:gd name="T18" fmla="+- 0 4140 4101"/>
                              <a:gd name="T19" fmla="*/ 4140 h 79"/>
                              <a:gd name="T20" fmla="+- 0 5774 5432"/>
                              <a:gd name="T21" fmla="*/ T20 w 422"/>
                              <a:gd name="T22" fmla="+- 0 4101 4101"/>
                              <a:gd name="T23" fmla="*/ 4101 h 79"/>
                              <a:gd name="T24" fmla="+- 0 5774 5432"/>
                              <a:gd name="T25" fmla="*/ T24 w 422"/>
                              <a:gd name="T26" fmla="+- 0 4180 4101"/>
                              <a:gd name="T27" fmla="*/ 4180 h 79"/>
                              <a:gd name="T28" fmla="+- 0 5853 5432"/>
                              <a:gd name="T29" fmla="*/ T28 w 422"/>
                              <a:gd name="T30" fmla="+- 0 4140 4101"/>
                              <a:gd name="T31" fmla="*/ 4140 h 79"/>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422" h="79">
                                <a:moveTo>
                                  <a:pt x="79" y="79"/>
                                </a:moveTo>
                                <a:lnTo>
                                  <a:pt x="79" y="0"/>
                                </a:lnTo>
                                <a:lnTo>
                                  <a:pt x="0" y="39"/>
                                </a:lnTo>
                                <a:lnTo>
                                  <a:pt x="79" y="79"/>
                                </a:lnTo>
                                <a:close/>
                                <a:moveTo>
                                  <a:pt x="421" y="39"/>
                                </a:moveTo>
                                <a:lnTo>
                                  <a:pt x="342" y="0"/>
                                </a:lnTo>
                                <a:lnTo>
                                  <a:pt x="342" y="79"/>
                                </a:lnTo>
                                <a:lnTo>
                                  <a:pt x="421" y="39"/>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0060B62" id="docshapegroup235" o:spid="_x0000_s1026" style="position:absolute;margin-left:271.6pt;margin-top:205.05pt;width:21.1pt;height:3.95pt;z-index:15816192;mso-position-horizontal-relative:page" coordorigin="5432,4101" coordsize="422,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">
                <v:line id="Line 132" o:spid="_x0000_s1027" style="position:absolute;visibility:visible;mso-wrap-style:square" from="5511,4140" to="5774,41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" strokecolor="#231f20" strokeweight=".98pt"/>
                <v:shape id="docshape236" o:spid="_x0000_s1028" style="position:absolute;left:5431;top:4101;width:422;height:79;visibility:visible;mso-wrap-style:square;v-text-anchor:top" coordsize="42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" path="m79,79l79,,,39,79,79xm421,39l342,r,79l421,39xe" fillcolor="#231f20" stroked="f">
                  <v:path arrowok="t" o:connecttype="custom" o:connectlocs="79,4180;79,4101;0,4140;79,4180;421,4140;342,4101;342,4180;421,4140" o:connectangles="0,0,0,0,0,0,0,0"/>
                </v:shape>
                <w10:wrap anchorx="page"/>
              </v:group>
            </w:pict>
          </mc:Fallback>
        </mc:AlternateContent>
      </w:r>
      <w:r>
        <w:rPr>
          <w:noProof/>
        </w:rPr>
        <mc:AlternateContent>
          <mc:Choice Requires="wpg">
            <w:drawing>
              <wp:anchor distT="0" distB="0" distL="114300" distR="114300" simplePos="0" relativeHeight="15816704" behindDoc="0" locked="0" layoutInCell="1" allowOverlap="1" wp14:anchorId="1E8D35C1" wp14:editId="588D90AA">
                <wp:simplePos x="0" y="0"/>
                <wp:positionH relativeFrom="page">
                  <wp:posOffset>1830070</wp:posOffset>
                </wp:positionH>
                <wp:positionV relativeFrom="paragraph">
                  <wp:posOffset>2604135</wp:posOffset>
                </wp:positionV>
                <wp:extent cx="266065" cy="50165"/>
                <wp:effectExtent l="0" t="0" r="0" b="0"/>
                <wp:wrapNone/>
                <wp:docPr id="126" name="docshapegroup2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66065" cy="50165"/>
                          <a:chOff x="2882" y="4101"/>
                          <a:chExt cx="419" cy="79"/>
                        </a:xfrm>
                      </wpg:grpSpPr>
                      <wps:wsp>
                        <wps:cNvPr id="127" name="Line 129"/>
                        <wps:cNvCnPr>
                          <a:cxnSpLocks noChangeShapeType="1"/>
                        </wps:cNvCnPr>
                        <wps:spPr bwMode="auto">
                          <a:xfrm>
                            <a:off x="2961" y="4140"/>
                            <a:ext cx="260" cy="0"/>
                          </a:xfrm>
                          <a:prstGeom prst="line">
                            <a:avLst/>
                          </a:prstGeom>
                          <a:noFill/>
                          <a:ln w="12446">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128" name="docshape238"/>
                        <wps:cNvSpPr>
                          <a:spLocks/>
                        </wps:cNvSpPr>
                        <wps:spPr bwMode="auto">
                          <a:xfrm>
                            <a:off x="2881" y="4101"/>
                            <a:ext cx="419" cy="79"/>
                          </a:xfrm>
                          <a:custGeom>
                            <a:avLst/>
                            <a:gdLst>
                              <a:gd name="T0" fmla="+- 0 2961 2882"/>
                              <a:gd name="T1" fmla="*/ T0 w 419"/>
                              <a:gd name="T2" fmla="+- 0 4101 4101"/>
                              <a:gd name="T3" fmla="*/ 4101 h 79"/>
                              <a:gd name="T4" fmla="+- 0 2882 2882"/>
                              <a:gd name="T5" fmla="*/ T4 w 419"/>
                              <a:gd name="T6" fmla="+- 0 4140 4101"/>
                              <a:gd name="T7" fmla="*/ 4140 h 79"/>
                              <a:gd name="T8" fmla="+- 0 2961 2882"/>
                              <a:gd name="T9" fmla="*/ T8 w 419"/>
                              <a:gd name="T10" fmla="+- 0 4180 4101"/>
                              <a:gd name="T11" fmla="*/ 4180 h 79"/>
                              <a:gd name="T12" fmla="+- 0 2961 2882"/>
                              <a:gd name="T13" fmla="*/ T12 w 419"/>
                              <a:gd name="T14" fmla="+- 0 4101 4101"/>
                              <a:gd name="T15" fmla="*/ 4101 h 79"/>
                              <a:gd name="T16" fmla="+- 0 3300 2882"/>
                              <a:gd name="T17" fmla="*/ T16 w 419"/>
                              <a:gd name="T18" fmla="+- 0 4140 4101"/>
                              <a:gd name="T19" fmla="*/ 4140 h 79"/>
                              <a:gd name="T20" fmla="+- 0 3221 2882"/>
                              <a:gd name="T21" fmla="*/ T20 w 419"/>
                              <a:gd name="T22" fmla="+- 0 4101 4101"/>
                              <a:gd name="T23" fmla="*/ 4101 h 79"/>
                              <a:gd name="T24" fmla="+- 0 3221 2882"/>
                              <a:gd name="T25" fmla="*/ T24 w 419"/>
                              <a:gd name="T26" fmla="+- 0 4180 4101"/>
                              <a:gd name="T27" fmla="*/ 4180 h 79"/>
                              <a:gd name="T28" fmla="+- 0 3300 2882"/>
                              <a:gd name="T29" fmla="*/ T28 w 419"/>
                              <a:gd name="T30" fmla="+- 0 4140 4101"/>
                              <a:gd name="T31" fmla="*/ 4140 h 79"/>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419" h="79">
                                <a:moveTo>
                                  <a:pt x="79" y="0"/>
                                </a:moveTo>
                                <a:lnTo>
                                  <a:pt x="0" y="39"/>
                                </a:lnTo>
                                <a:lnTo>
                                  <a:pt x="79" y="79"/>
                                </a:lnTo>
                                <a:lnTo>
                                  <a:pt x="79" y="0"/>
                                </a:lnTo>
                                <a:close/>
                                <a:moveTo>
                                  <a:pt x="418" y="39"/>
                                </a:moveTo>
                                <a:lnTo>
                                  <a:pt x="339" y="0"/>
                                </a:lnTo>
                                <a:lnTo>
                                  <a:pt x="339" y="79"/>
                                </a:lnTo>
                                <a:lnTo>
                                  <a:pt x="418" y="39"/>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3709AC" id="docshapegroup237" o:spid="_x0000_s1026" style="position:absolute;margin-left:144.1pt;margin-top:205.05pt;width:20.95pt;height:3.95pt;z-index:15816704;mso-position-horizontal-relative:page" coordorigin="2882,4101" coordsize="419,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">
                <v:line id="Line 129" o:spid="_x0000_s1027" style="position:absolute;visibility:visible;mso-wrap-style:square" from="2961,4140" to="3221,41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" strokecolor="#231f20" strokeweight=".98pt"/>
                <v:shape id="docshape238" o:spid="_x0000_s1028" style="position:absolute;left:2881;top:4101;width:419;height:79;visibility:visible;mso-wrap-style:square;v-text-anchor:top" coordsize="419,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" path="m79,l,39,79,79,79,xm418,39l339,r,79l418,39xe" fillcolor="#231f20" stroked="f">
                  <v:path arrowok="t" o:connecttype="custom" o:connectlocs="79,4101;0,4140;79,4180;79,4101;418,4140;339,4101;339,4180;418,4140" o:connectangles="0,0,0,0,0,0,0,0"/>
                </v:shape>
                <w10:wrap anchorx="page"/>
              </v:group>
            </w:pict>
          </mc:Fallback>
        </mc:AlternateContent>
      </w:r>
      <w:r>
        <w:rPr>
          <w:color w:val="231F20"/>
        </w:rPr>
        <w:t xml:space="preserve">The spatial distribution and accessibility of sports facilities and venues in central and satellite areas influence the sport experience for </w:t>
      </w:r>
      <w:r>
        <w:rPr>
          <w:color w:val="231F20"/>
          <w:w w:val="95"/>
        </w:rPr>
        <w:t>both hosts and guests. Bale (1982) makes reference to ‘sports nodes’ that are functionally delineated areas where t</w:t>
      </w:r>
      <w:r>
        <w:rPr>
          <w:color w:val="231F20"/>
          <w:w w:val="95"/>
        </w:rPr>
        <w:t xml:space="preserve">he sport experience takes place. </w:t>
      </w:r>
      <w:r>
        <w:rPr>
          <w:color w:val="231F20"/>
        </w:rPr>
        <w:t>These</w:t>
      </w:r>
      <w:r>
        <w:rPr>
          <w:color w:val="231F20"/>
          <w:spacing w:val="-5"/>
        </w:rPr>
        <w:t xml:space="preserve"> </w:t>
      </w:r>
      <w:r>
        <w:rPr>
          <w:color w:val="231F20"/>
        </w:rPr>
        <w:t>nodal</w:t>
      </w:r>
      <w:r>
        <w:rPr>
          <w:color w:val="231F20"/>
          <w:spacing w:val="-5"/>
        </w:rPr>
        <w:t xml:space="preserve"> </w:t>
      </w:r>
      <w:r>
        <w:rPr>
          <w:color w:val="231F20"/>
        </w:rPr>
        <w:t>areas</w:t>
      </w:r>
      <w:r>
        <w:rPr>
          <w:color w:val="231F20"/>
          <w:spacing w:val="-5"/>
        </w:rPr>
        <w:t xml:space="preserve"> </w:t>
      </w:r>
      <w:r>
        <w:rPr>
          <w:color w:val="231F20"/>
        </w:rPr>
        <w:t>can</w:t>
      </w:r>
      <w:r>
        <w:rPr>
          <w:color w:val="231F20"/>
          <w:spacing w:val="-5"/>
        </w:rPr>
        <w:t xml:space="preserve"> </w:t>
      </w:r>
      <w:r>
        <w:rPr>
          <w:color w:val="231F20"/>
        </w:rPr>
        <w:t>be</w:t>
      </w:r>
      <w:r>
        <w:rPr>
          <w:color w:val="231F20"/>
          <w:spacing w:val="-5"/>
        </w:rPr>
        <w:t xml:space="preserve"> </w:t>
      </w:r>
      <w:r>
        <w:rPr>
          <w:color w:val="231F20"/>
        </w:rPr>
        <w:t>managed</w:t>
      </w:r>
      <w:r>
        <w:rPr>
          <w:color w:val="231F20"/>
          <w:spacing w:val="-5"/>
        </w:rPr>
        <w:t xml:space="preserve"> </w:t>
      </w:r>
      <w:r>
        <w:rPr>
          <w:color w:val="231F20"/>
        </w:rPr>
        <w:t>to</w:t>
      </w:r>
      <w:r>
        <w:rPr>
          <w:color w:val="231F20"/>
          <w:spacing w:val="-5"/>
        </w:rPr>
        <w:t xml:space="preserve"> </w:t>
      </w:r>
      <w:r>
        <w:rPr>
          <w:color w:val="231F20"/>
        </w:rPr>
        <w:t>minimise</w:t>
      </w:r>
      <w:r>
        <w:rPr>
          <w:color w:val="231F20"/>
          <w:spacing w:val="-5"/>
        </w:rPr>
        <w:t xml:space="preserve"> </w:t>
      </w:r>
      <w:r>
        <w:rPr>
          <w:color w:val="231F20"/>
        </w:rPr>
        <w:t>negative</w:t>
      </w:r>
      <w:r>
        <w:rPr>
          <w:color w:val="231F20"/>
          <w:spacing w:val="-5"/>
        </w:rPr>
        <w:t xml:space="preserve"> </w:t>
      </w:r>
      <w:r>
        <w:rPr>
          <w:color w:val="231F20"/>
        </w:rPr>
        <w:t>impacts</w:t>
      </w:r>
      <w:r>
        <w:rPr>
          <w:color w:val="231F20"/>
          <w:spacing w:val="-5"/>
        </w:rPr>
        <w:t xml:space="preserve"> </w:t>
      </w:r>
      <w:r>
        <w:rPr>
          <w:color w:val="231F20"/>
        </w:rPr>
        <w:t>such</w:t>
      </w:r>
      <w:r>
        <w:rPr>
          <w:color w:val="231F20"/>
          <w:spacing w:val="-5"/>
        </w:rPr>
        <w:t xml:space="preserve"> </w:t>
      </w:r>
      <w:r>
        <w:rPr>
          <w:color w:val="231F20"/>
        </w:rPr>
        <w:t xml:space="preserve">as congestion, noise and unruly behaviour. Equally, as Smith (2010) notes, ‘sport city’ zones may be developed to enhance the sport and tourist </w:t>
      </w:r>
      <w:r>
        <w:rPr>
          <w:color w:val="231F20"/>
          <w:w w:val="95"/>
        </w:rPr>
        <w:t xml:space="preserve">experience. </w:t>
      </w:r>
      <w:r>
        <w:rPr>
          <w:color w:val="231F20"/>
          <w:w w:val="95"/>
        </w:rPr>
        <w:t>Similarly, ‘Fan Fest zones’ (Smith, 2010) which were a feature</w:t>
      </w:r>
      <w:r>
        <w:rPr>
          <w:color w:val="231F20"/>
          <w:spacing w:val="40"/>
        </w:rPr>
        <w:t xml:space="preserve"> </w:t>
      </w:r>
      <w:r>
        <w:rPr>
          <w:color w:val="231F20"/>
        </w:rPr>
        <w:t>of the 2006 FIFA World Cup in Germany, and ‘experiential hot spots’ (Pettersson</w:t>
      </w:r>
      <w:r>
        <w:rPr>
          <w:color w:val="231F20"/>
          <w:spacing w:val="-5"/>
        </w:rPr>
        <w:t xml:space="preserve"> </w:t>
      </w:r>
      <w:r>
        <w:rPr>
          <w:color w:val="231F20"/>
        </w:rPr>
        <w:t>&amp;</w:t>
      </w:r>
      <w:r>
        <w:rPr>
          <w:color w:val="231F20"/>
          <w:spacing w:val="-5"/>
        </w:rPr>
        <w:t xml:space="preserve"> </w:t>
      </w:r>
      <w:r>
        <w:rPr>
          <w:color w:val="231F20"/>
        </w:rPr>
        <w:t>Getz,</w:t>
      </w:r>
      <w:r>
        <w:rPr>
          <w:color w:val="231F20"/>
          <w:spacing w:val="-5"/>
        </w:rPr>
        <w:t xml:space="preserve"> </w:t>
      </w:r>
      <w:r>
        <w:rPr>
          <w:color w:val="231F20"/>
        </w:rPr>
        <w:t>2009)</w:t>
      </w:r>
      <w:r>
        <w:rPr>
          <w:color w:val="231F20"/>
          <w:spacing w:val="-5"/>
        </w:rPr>
        <w:t xml:space="preserve"> </w:t>
      </w:r>
      <w:r>
        <w:rPr>
          <w:color w:val="231F20"/>
        </w:rPr>
        <w:t>which</w:t>
      </w:r>
      <w:r>
        <w:rPr>
          <w:color w:val="231F20"/>
          <w:spacing w:val="-5"/>
        </w:rPr>
        <w:t xml:space="preserve"> </w:t>
      </w:r>
      <w:r>
        <w:rPr>
          <w:color w:val="231F20"/>
        </w:rPr>
        <w:t>may</w:t>
      </w:r>
      <w:r>
        <w:rPr>
          <w:color w:val="231F20"/>
          <w:spacing w:val="-5"/>
        </w:rPr>
        <w:t xml:space="preserve"> </w:t>
      </w:r>
      <w:r>
        <w:rPr>
          <w:color w:val="231F20"/>
        </w:rPr>
        <w:t>be</w:t>
      </w:r>
      <w:r>
        <w:rPr>
          <w:color w:val="231F20"/>
          <w:spacing w:val="-6"/>
        </w:rPr>
        <w:t xml:space="preserve"> </w:t>
      </w:r>
      <w:r>
        <w:rPr>
          <w:color w:val="231F20"/>
        </w:rPr>
        <w:t>micro-locations</w:t>
      </w:r>
      <w:r>
        <w:rPr>
          <w:color w:val="231F20"/>
          <w:spacing w:val="-5"/>
        </w:rPr>
        <w:t xml:space="preserve"> </w:t>
      </w:r>
      <w:r>
        <w:rPr>
          <w:color w:val="231F20"/>
        </w:rPr>
        <w:t>within</w:t>
      </w:r>
      <w:r>
        <w:rPr>
          <w:color w:val="231F20"/>
          <w:spacing w:val="-6"/>
        </w:rPr>
        <w:t xml:space="preserve"> </w:t>
      </w:r>
      <w:r>
        <w:rPr>
          <w:color w:val="231F20"/>
        </w:rPr>
        <w:t>the</w:t>
      </w:r>
      <w:r>
        <w:rPr>
          <w:color w:val="231F20"/>
          <w:spacing w:val="-5"/>
        </w:rPr>
        <w:t xml:space="preserve"> </w:t>
      </w:r>
      <w:r>
        <w:rPr>
          <w:color w:val="231F20"/>
        </w:rPr>
        <w:t>local event setting, are defined in space and time.</w:t>
      </w:r>
    </w:p>
    <w:p w14:paraId="5CCBDCD7" w14:textId="77777777" w:rsidR="00AE0598" w:rsidRDefault="00AE0598">
      <w:pPr>
        <w:pStyle w:val="Corpodetexto"/>
        <w:rPr>
          <w:sz w:val="20"/>
        </w:rPr>
      </w:pPr>
    </w:p>
    <w:p w14:paraId="13E415DA" w14:textId="0ABBF189" w:rsidR="00AE0598" w:rsidRDefault="0069255A">
      <w:pPr>
        <w:pStyle w:val="Corpodetexto"/>
        <w:spacing w:before="10"/>
        <w:rPr>
          <w:sz w:val="14"/>
        </w:rPr>
      </w:pPr>
      <w:r>
        <w:rPr>
          <w:noProof/>
        </w:rPr>
        <mc:AlternateContent>
          <mc:Choice Requires="wpg">
            <w:drawing>
              <wp:anchor distT="0" distB="0" distL="0" distR="0" simplePos="0" relativeHeight="487673856" behindDoc="1" locked="0" layoutInCell="1" allowOverlap="1" wp14:anchorId="2A53FBA4" wp14:editId="7A9D9722">
                <wp:simplePos x="0" y="0"/>
                <wp:positionH relativeFrom="page">
                  <wp:posOffset>765810</wp:posOffset>
                </wp:positionH>
                <wp:positionV relativeFrom="paragraph">
                  <wp:posOffset>127000</wp:posOffset>
                </wp:positionV>
                <wp:extent cx="1067435" cy="2670175"/>
                <wp:effectExtent l="0" t="0" r="0" b="0"/>
                <wp:wrapTopAndBottom/>
                <wp:docPr id="123" name="docshapegroup2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67435" cy="2670175"/>
                          <a:chOff x="1206" y="200"/>
                          <a:chExt cx="1681" cy="4205"/>
                        </a:xfrm>
                      </wpg:grpSpPr>
                      <wps:wsp>
                        <wps:cNvPr id="124" name="docshape240"/>
                        <wps:cNvSpPr txBox="1">
                          <a:spLocks noChangeArrowheads="1"/>
                        </wps:cNvSpPr>
                        <wps:spPr bwMode="auto">
                          <a:xfrm>
                            <a:off x="1211" y="587"/>
                            <a:ext cx="1671" cy="3812"/>
                          </a:xfrm>
                          <a:prstGeom prst="rect">
                            <a:avLst/>
                          </a:prstGeom>
                          <a:noFill/>
                          <a:ln w="6223">
                            <a:solidFill>
                              <a:srgbClr val="231F2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259B9B1C" w14:textId="77777777" w:rsidR="00AE0598" w:rsidRDefault="0069255A">
                              <w:pPr>
                                <w:spacing w:before="55"/>
                                <w:ind w:left="205"/>
                                <w:rPr>
                                  <w:i/>
                                  <w:sz w:val="13"/>
                                </w:rPr>
                              </w:pPr>
                              <w:r>
                                <w:rPr>
                                  <w:i/>
                                  <w:color w:val="231F20"/>
                                  <w:spacing w:val="-4"/>
                                  <w:sz w:val="13"/>
                                </w:rPr>
                                <w:t>Travel</w:t>
                              </w:r>
                              <w:r>
                                <w:rPr>
                                  <w:i/>
                                  <w:color w:val="231F20"/>
                                  <w:spacing w:val="5"/>
                                  <w:sz w:val="13"/>
                                </w:rPr>
                                <w:t xml:space="preserve"> </w:t>
                              </w:r>
                              <w:r>
                                <w:rPr>
                                  <w:i/>
                                  <w:color w:val="231F20"/>
                                  <w:spacing w:val="-2"/>
                                  <w:sz w:val="13"/>
                                </w:rPr>
                                <w:t>experiences</w:t>
                              </w:r>
                            </w:p>
                            <w:p w14:paraId="5D9A382B" w14:textId="77777777" w:rsidR="00AE0598" w:rsidRDefault="0069255A">
                              <w:pPr>
                                <w:spacing w:before="11" w:line="249" w:lineRule="auto"/>
                                <w:ind w:left="392" w:hanging="188"/>
                                <w:rPr>
                                  <w:rFonts w:ascii="Segoe UI Symbol"/>
                                  <w:sz w:val="13"/>
                                </w:rPr>
                              </w:pPr>
                              <w:r>
                                <w:rPr>
                                  <w:rFonts w:ascii="Segoe UI Symbol"/>
                                  <w:color w:val="231F20"/>
                                  <w:spacing w:val="-2"/>
                                  <w:w w:val="105"/>
                                  <w:sz w:val="13"/>
                                </w:rPr>
                                <w:t>Time/cost/distance</w:t>
                              </w:r>
                              <w:r>
                                <w:rPr>
                                  <w:rFonts w:ascii="Segoe UI Symbol"/>
                                  <w:color w:val="231F20"/>
                                  <w:spacing w:val="40"/>
                                  <w:w w:val="105"/>
                                  <w:sz w:val="13"/>
                                </w:rPr>
                                <w:t xml:space="preserve"> </w:t>
                              </w:r>
                              <w:r>
                                <w:rPr>
                                  <w:rFonts w:ascii="Segoe UI Symbol"/>
                                  <w:color w:val="231F20"/>
                                  <w:spacing w:val="-2"/>
                                  <w:w w:val="105"/>
                                  <w:sz w:val="13"/>
                                </w:rPr>
                                <w:t>thresholds</w:t>
                              </w:r>
                            </w:p>
                            <w:p w14:paraId="0069AFE7" w14:textId="77777777" w:rsidR="00AE0598" w:rsidRDefault="0069255A">
                              <w:pPr>
                                <w:spacing w:before="1" w:line="249" w:lineRule="auto"/>
                                <w:ind w:left="205"/>
                                <w:rPr>
                                  <w:rFonts w:ascii="Segoe UI Symbol"/>
                                  <w:sz w:val="13"/>
                                </w:rPr>
                              </w:pPr>
                              <w:r>
                                <w:rPr>
                                  <w:rFonts w:ascii="Segoe UI Symbol"/>
                                  <w:color w:val="231F20"/>
                                  <w:w w:val="105"/>
                                  <w:sz w:val="13"/>
                                </w:rPr>
                                <w:t>Length of stay</w:t>
                              </w:r>
                              <w:r>
                                <w:rPr>
                                  <w:rFonts w:ascii="Segoe UI Symbol"/>
                                  <w:color w:val="231F20"/>
                                  <w:spacing w:val="40"/>
                                  <w:w w:val="105"/>
                                  <w:sz w:val="13"/>
                                </w:rPr>
                                <w:t xml:space="preserve"> </w:t>
                              </w:r>
                              <w:r>
                                <w:rPr>
                                  <w:rFonts w:ascii="Segoe UI Symbol"/>
                                  <w:color w:val="231F20"/>
                                  <w:spacing w:val="-2"/>
                                  <w:sz w:val="13"/>
                                </w:rPr>
                                <w:t>Independent/group</w:t>
                              </w:r>
                            </w:p>
                            <w:p w14:paraId="718DE211" w14:textId="77777777" w:rsidR="00AE0598" w:rsidRDefault="00AE0598">
                              <w:pPr>
                                <w:spacing w:before="12"/>
                                <w:rPr>
                                  <w:rFonts w:ascii="Segoe UI Symbol"/>
                                  <w:sz w:val="14"/>
                                </w:rPr>
                              </w:pPr>
                            </w:p>
                            <w:p w14:paraId="6B26AC5F" w14:textId="77777777" w:rsidR="00AE0598" w:rsidRDefault="0069255A">
                              <w:pPr>
                                <w:ind w:left="205"/>
                                <w:rPr>
                                  <w:i/>
                                  <w:sz w:val="13"/>
                                </w:rPr>
                              </w:pPr>
                              <w:r>
                                <w:rPr>
                                  <w:i/>
                                  <w:color w:val="231F20"/>
                                  <w:w w:val="95"/>
                                  <w:sz w:val="13"/>
                                </w:rPr>
                                <w:t>Tourist</w:t>
                              </w:r>
                              <w:r>
                                <w:rPr>
                                  <w:i/>
                                  <w:color w:val="231F20"/>
                                  <w:spacing w:val="-5"/>
                                  <w:w w:val="95"/>
                                  <w:sz w:val="13"/>
                                </w:rPr>
                                <w:t xml:space="preserve"> </w:t>
                              </w:r>
                              <w:r>
                                <w:rPr>
                                  <w:i/>
                                  <w:color w:val="231F20"/>
                                  <w:spacing w:val="-2"/>
                                  <w:sz w:val="13"/>
                                </w:rPr>
                                <w:t>experiences</w:t>
                              </w:r>
                            </w:p>
                            <w:p w14:paraId="45AFAD06" w14:textId="77777777" w:rsidR="00AE0598" w:rsidRDefault="0069255A">
                              <w:pPr>
                                <w:spacing w:before="10" w:line="249" w:lineRule="auto"/>
                                <w:ind w:left="392" w:right="221" w:hanging="188"/>
                                <w:rPr>
                                  <w:rFonts w:ascii="Segoe UI Symbol"/>
                                  <w:sz w:val="13"/>
                                </w:rPr>
                              </w:pPr>
                              <w:r>
                                <w:rPr>
                                  <w:rFonts w:ascii="Segoe UI Symbol"/>
                                  <w:color w:val="231F20"/>
                                  <w:w w:val="105"/>
                                  <w:sz w:val="13"/>
                                </w:rPr>
                                <w:t>First</w:t>
                              </w:r>
                              <w:r>
                                <w:rPr>
                                  <w:rFonts w:ascii="Segoe UI Symbol"/>
                                  <w:color w:val="231F20"/>
                                  <w:spacing w:val="-10"/>
                                  <w:w w:val="105"/>
                                  <w:sz w:val="13"/>
                                </w:rPr>
                                <w:t xml:space="preserve"> </w:t>
                              </w:r>
                              <w:r>
                                <w:rPr>
                                  <w:rFonts w:ascii="Segoe UI Symbol"/>
                                  <w:color w:val="231F20"/>
                                  <w:w w:val="105"/>
                                  <w:sz w:val="13"/>
                                </w:rPr>
                                <w:t>time</w:t>
                              </w:r>
                              <w:r>
                                <w:rPr>
                                  <w:rFonts w:ascii="Segoe UI Symbol"/>
                                  <w:color w:val="231F20"/>
                                  <w:spacing w:val="-9"/>
                                  <w:w w:val="105"/>
                                  <w:sz w:val="13"/>
                                </w:rPr>
                                <w:t xml:space="preserve"> </w:t>
                              </w:r>
                              <w:r>
                                <w:rPr>
                                  <w:rFonts w:ascii="Segoe UI Symbol"/>
                                  <w:color w:val="231F20"/>
                                  <w:w w:val="105"/>
                                  <w:sz w:val="13"/>
                                </w:rPr>
                                <w:t>and</w:t>
                              </w:r>
                              <w:r>
                                <w:rPr>
                                  <w:rFonts w:ascii="Segoe UI Symbol"/>
                                  <w:color w:val="231F20"/>
                                  <w:spacing w:val="-10"/>
                                  <w:w w:val="105"/>
                                  <w:sz w:val="13"/>
                                </w:rPr>
                                <w:t xml:space="preserve"> </w:t>
                              </w:r>
                              <w:r>
                                <w:rPr>
                                  <w:rFonts w:ascii="Segoe UI Symbol"/>
                                  <w:color w:val="231F20"/>
                                  <w:w w:val="105"/>
                                  <w:sz w:val="13"/>
                                </w:rPr>
                                <w:t>repeat</w:t>
                              </w:r>
                              <w:r>
                                <w:rPr>
                                  <w:rFonts w:ascii="Segoe UI Symbol"/>
                                  <w:color w:val="231F20"/>
                                  <w:spacing w:val="40"/>
                                  <w:w w:val="105"/>
                                  <w:sz w:val="13"/>
                                </w:rPr>
                                <w:t xml:space="preserve"> </w:t>
                              </w:r>
                              <w:r>
                                <w:rPr>
                                  <w:rFonts w:ascii="Segoe UI Symbol"/>
                                  <w:color w:val="231F20"/>
                                  <w:spacing w:val="-2"/>
                                  <w:w w:val="105"/>
                                  <w:sz w:val="13"/>
                                </w:rPr>
                                <w:t>visitation</w:t>
                              </w:r>
                            </w:p>
                            <w:p w14:paraId="7F8DAA66" w14:textId="77777777" w:rsidR="00AE0598" w:rsidRDefault="0069255A">
                              <w:pPr>
                                <w:spacing w:before="1" w:line="249" w:lineRule="auto"/>
                                <w:ind w:left="205" w:right="201"/>
                                <w:rPr>
                                  <w:rFonts w:ascii="Segoe UI Symbol"/>
                                  <w:sz w:val="13"/>
                                </w:rPr>
                              </w:pPr>
                              <w:r>
                                <w:rPr>
                                  <w:rFonts w:ascii="Segoe UI Symbol"/>
                                  <w:color w:val="231F20"/>
                                  <w:w w:val="105"/>
                                  <w:sz w:val="13"/>
                                </w:rPr>
                                <w:t>Touristic</w:t>
                              </w:r>
                              <w:r>
                                <w:rPr>
                                  <w:rFonts w:ascii="Segoe UI Symbol"/>
                                  <w:color w:val="231F20"/>
                                  <w:spacing w:val="-9"/>
                                  <w:w w:val="105"/>
                                  <w:sz w:val="13"/>
                                </w:rPr>
                                <w:t xml:space="preserve"> </w:t>
                              </w:r>
                              <w:r>
                                <w:rPr>
                                  <w:rFonts w:ascii="Segoe UI Symbol"/>
                                  <w:color w:val="231F20"/>
                                  <w:w w:val="105"/>
                                  <w:sz w:val="13"/>
                                </w:rPr>
                                <w:t>activities</w:t>
                              </w:r>
                              <w:r>
                                <w:rPr>
                                  <w:rFonts w:ascii="Segoe UI Symbol"/>
                                  <w:color w:val="231F20"/>
                                  <w:spacing w:val="40"/>
                                  <w:w w:val="105"/>
                                  <w:sz w:val="13"/>
                                </w:rPr>
                                <w:t xml:space="preserve"> </w:t>
                              </w:r>
                              <w:r>
                                <w:rPr>
                                  <w:rFonts w:ascii="Segoe UI Symbol"/>
                                  <w:color w:val="231F20"/>
                                  <w:w w:val="105"/>
                                  <w:sz w:val="13"/>
                                </w:rPr>
                                <w:t>Expenditure</w:t>
                              </w:r>
                              <w:r>
                                <w:rPr>
                                  <w:rFonts w:ascii="Segoe UI Symbol"/>
                                  <w:color w:val="231F20"/>
                                  <w:spacing w:val="-10"/>
                                  <w:w w:val="105"/>
                                  <w:sz w:val="13"/>
                                </w:rPr>
                                <w:t xml:space="preserve"> </w:t>
                              </w:r>
                              <w:r>
                                <w:rPr>
                                  <w:rFonts w:ascii="Segoe UI Symbol"/>
                                  <w:color w:val="231F20"/>
                                  <w:w w:val="105"/>
                                  <w:sz w:val="13"/>
                                </w:rPr>
                                <w:t>patterns</w:t>
                              </w:r>
                              <w:r>
                                <w:rPr>
                                  <w:rFonts w:ascii="Segoe UI Symbol"/>
                                  <w:color w:val="231F20"/>
                                  <w:spacing w:val="40"/>
                                  <w:w w:val="105"/>
                                  <w:sz w:val="13"/>
                                </w:rPr>
                                <w:t xml:space="preserve"> </w:t>
                              </w:r>
                              <w:r>
                                <w:rPr>
                                  <w:rFonts w:ascii="Segoe UI Symbol"/>
                                  <w:color w:val="231F20"/>
                                  <w:w w:val="105"/>
                                  <w:sz w:val="13"/>
                                </w:rPr>
                                <w:t>Event</w:t>
                              </w:r>
                              <w:r>
                                <w:rPr>
                                  <w:rFonts w:ascii="Segoe UI Symbol"/>
                                  <w:color w:val="231F20"/>
                                  <w:spacing w:val="-9"/>
                                  <w:w w:val="105"/>
                                  <w:sz w:val="13"/>
                                </w:rPr>
                                <w:t xml:space="preserve"> </w:t>
                              </w:r>
                              <w:r>
                                <w:rPr>
                                  <w:rFonts w:ascii="Segoe UI Symbol"/>
                                  <w:color w:val="231F20"/>
                                  <w:w w:val="105"/>
                                  <w:sz w:val="13"/>
                                </w:rPr>
                                <w:t>management</w:t>
                              </w:r>
                              <w:r>
                                <w:rPr>
                                  <w:rFonts w:ascii="Segoe UI Symbol"/>
                                  <w:color w:val="231F20"/>
                                  <w:spacing w:val="40"/>
                                  <w:w w:val="105"/>
                                  <w:sz w:val="13"/>
                                </w:rPr>
                                <w:t xml:space="preserve"> </w:t>
                              </w:r>
                              <w:r>
                                <w:rPr>
                                  <w:rFonts w:ascii="Segoe UI Symbol"/>
                                  <w:color w:val="231F20"/>
                                  <w:w w:val="105"/>
                                  <w:sz w:val="13"/>
                                </w:rPr>
                                <w:t>Host/guest</w:t>
                              </w:r>
                              <w:r>
                                <w:rPr>
                                  <w:rFonts w:ascii="Segoe UI Symbol"/>
                                  <w:color w:val="231F20"/>
                                  <w:spacing w:val="-9"/>
                                  <w:w w:val="105"/>
                                  <w:sz w:val="13"/>
                                </w:rPr>
                                <w:t xml:space="preserve"> </w:t>
                              </w:r>
                              <w:r>
                                <w:rPr>
                                  <w:rFonts w:ascii="Segoe UI Symbol"/>
                                  <w:color w:val="231F20"/>
                                  <w:w w:val="105"/>
                                  <w:sz w:val="13"/>
                                </w:rPr>
                                <w:t>relations</w:t>
                              </w:r>
                              <w:r>
                                <w:rPr>
                                  <w:rFonts w:ascii="Segoe UI Symbol"/>
                                  <w:color w:val="231F20"/>
                                  <w:spacing w:val="40"/>
                                  <w:w w:val="105"/>
                                  <w:sz w:val="13"/>
                                </w:rPr>
                                <w:t xml:space="preserve"> </w:t>
                              </w:r>
                              <w:r>
                                <w:rPr>
                                  <w:rFonts w:ascii="Segoe UI Symbol"/>
                                  <w:color w:val="231F20"/>
                                  <w:w w:val="105"/>
                                  <w:sz w:val="13"/>
                                </w:rPr>
                                <w:t>Co-creation</w:t>
                              </w:r>
                              <w:r>
                                <w:rPr>
                                  <w:rFonts w:ascii="Segoe UI Symbol"/>
                                  <w:color w:val="231F20"/>
                                  <w:spacing w:val="-9"/>
                                  <w:w w:val="105"/>
                                  <w:sz w:val="13"/>
                                </w:rPr>
                                <w:t xml:space="preserve"> </w:t>
                              </w:r>
                              <w:r>
                                <w:rPr>
                                  <w:rFonts w:ascii="Segoe UI Symbol"/>
                                  <w:color w:val="231F20"/>
                                  <w:w w:val="105"/>
                                  <w:sz w:val="13"/>
                                </w:rPr>
                                <w:t>of</w:t>
                              </w:r>
                            </w:p>
                            <w:p w14:paraId="78CF087B" w14:textId="77777777" w:rsidR="00AE0598" w:rsidRDefault="0069255A">
                              <w:pPr>
                                <w:spacing w:before="3"/>
                                <w:ind w:left="392"/>
                                <w:rPr>
                                  <w:rFonts w:ascii="Segoe UI Symbol"/>
                                  <w:sz w:val="13"/>
                                </w:rPr>
                              </w:pPr>
                              <w:r>
                                <w:rPr>
                                  <w:rFonts w:ascii="Segoe UI Symbol"/>
                                  <w:color w:val="231F20"/>
                                  <w:spacing w:val="-2"/>
                                  <w:sz w:val="13"/>
                                </w:rPr>
                                <w:t>experiences</w:t>
                              </w:r>
                            </w:p>
                          </w:txbxContent>
                        </wps:txbx>
                        <wps:bodyPr rot="0" vert="horz" wrap="square" lIns="0" tIns="0" rIns="0" bIns="0" anchor="t" anchorCtr="0" upright="1">
                          <a:noAutofit/>
                        </wps:bodyPr>
                      </wps:wsp>
                      <wps:wsp>
                        <wps:cNvPr id="125" name="docshape241"/>
                        <wps:cNvSpPr txBox="1">
                          <a:spLocks noChangeArrowheads="1"/>
                        </wps:cNvSpPr>
                        <wps:spPr bwMode="auto">
                          <a:xfrm>
                            <a:off x="1211" y="204"/>
                            <a:ext cx="1671" cy="383"/>
                          </a:xfrm>
                          <a:prstGeom prst="rect">
                            <a:avLst/>
                          </a:prstGeom>
                          <a:noFill/>
                          <a:ln w="6223">
                            <a:solidFill>
                              <a:srgbClr val="231F2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4BCA8F8E" w14:textId="77777777" w:rsidR="00AE0598" w:rsidRDefault="0069255A">
                              <w:pPr>
                                <w:spacing w:before="15" w:line="225" w:lineRule="auto"/>
                                <w:ind w:left="390" w:hanging="257"/>
                                <w:rPr>
                                  <w:b/>
                                  <w:sz w:val="15"/>
                                </w:rPr>
                              </w:pPr>
                              <w:r>
                                <w:rPr>
                                  <w:b/>
                                  <w:color w:val="231F20"/>
                                  <w:w w:val="105"/>
                                  <w:sz w:val="15"/>
                                </w:rPr>
                                <w:t>Travel</w:t>
                              </w:r>
                              <w:r>
                                <w:rPr>
                                  <w:b/>
                                  <w:color w:val="231F20"/>
                                  <w:spacing w:val="-4"/>
                                  <w:w w:val="105"/>
                                  <w:sz w:val="15"/>
                                </w:rPr>
                                <w:t xml:space="preserve"> </w:t>
                              </w:r>
                              <w:r>
                                <w:rPr>
                                  <w:b/>
                                  <w:color w:val="231F20"/>
                                  <w:w w:val="105"/>
                                  <w:sz w:val="15"/>
                                </w:rPr>
                                <w:t>and</w:t>
                              </w:r>
                              <w:r>
                                <w:rPr>
                                  <w:b/>
                                  <w:color w:val="231F20"/>
                                  <w:spacing w:val="-4"/>
                                  <w:w w:val="105"/>
                                  <w:sz w:val="15"/>
                                </w:rPr>
                                <w:t xml:space="preserve"> </w:t>
                              </w:r>
                              <w:r>
                                <w:rPr>
                                  <w:b/>
                                  <w:color w:val="231F20"/>
                                  <w:w w:val="105"/>
                                  <w:sz w:val="15"/>
                                </w:rPr>
                                <w:t>tourist</w:t>
                              </w:r>
                              <w:r>
                                <w:rPr>
                                  <w:b/>
                                  <w:color w:val="231F20"/>
                                  <w:spacing w:val="40"/>
                                  <w:w w:val="105"/>
                                  <w:sz w:val="15"/>
                                </w:rPr>
                                <w:t xml:space="preserve"> </w:t>
                              </w:r>
                              <w:r>
                                <w:rPr>
                                  <w:b/>
                                  <w:color w:val="231F20"/>
                                  <w:spacing w:val="-2"/>
                                  <w:w w:val="105"/>
                                  <w:sz w:val="15"/>
                                </w:rPr>
                                <w:t>experiences</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A53FBA4" id="docshapegroup239" o:spid="_x0000_s1094" style="position:absolute;margin-left:60.3pt;margin-top:10pt;width:84.05pt;height:210.25pt;z-index:-15642624;mso-wrap-distance-left:0;mso-wrap-distance-right:0;mso-position-horizontal-relative:page;mso-position-vertical-relative:text" coordorigin="1206,200" coordsize="1681,42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">
                <v:shape id="docshape240" o:spid="_x0000_s1095" type="#_x0000_t202" style="position:absolute;left:1211;top:587;width:1671;height:3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" filled="f" strokecolor="#231f20" strokeweight=".49pt">
                  <v:textbox inset="0,0,0,0">
                    <w:txbxContent>
                      <w:p w14:paraId="259B9B1C" w14:textId="77777777" w:rsidR="00AE0598" w:rsidRDefault="0069255A">
                        <w:pPr>
                          <w:spacing w:before="55"/>
                          <w:ind w:left="205"/>
                          <w:rPr>
                            <w:i/>
                            <w:sz w:val="13"/>
                          </w:rPr>
                        </w:pPr>
                        <w:r>
                          <w:rPr>
                            <w:i/>
                            <w:color w:val="231F20"/>
                            <w:spacing w:val="-4"/>
                            <w:sz w:val="13"/>
                          </w:rPr>
                          <w:t>Travel</w:t>
                        </w:r>
                        <w:r>
                          <w:rPr>
                            <w:i/>
                            <w:color w:val="231F20"/>
                            <w:spacing w:val="5"/>
                            <w:sz w:val="13"/>
                          </w:rPr>
                          <w:t xml:space="preserve"> </w:t>
                        </w:r>
                        <w:r>
                          <w:rPr>
                            <w:i/>
                            <w:color w:val="231F20"/>
                            <w:spacing w:val="-2"/>
                            <w:sz w:val="13"/>
                          </w:rPr>
                          <w:t>experiences</w:t>
                        </w:r>
                      </w:p>
                      <w:p w14:paraId="5D9A382B" w14:textId="77777777" w:rsidR="00AE0598" w:rsidRDefault="0069255A">
                        <w:pPr>
                          <w:spacing w:before="11" w:line="249" w:lineRule="auto"/>
                          <w:ind w:left="392" w:hanging="188"/>
                          <w:rPr>
                            <w:rFonts w:ascii="Segoe UI Symbol"/>
                            <w:sz w:val="13"/>
                          </w:rPr>
                        </w:pPr>
                        <w:r>
                          <w:rPr>
                            <w:rFonts w:ascii="Segoe UI Symbol"/>
                            <w:color w:val="231F20"/>
                            <w:spacing w:val="-2"/>
                            <w:w w:val="105"/>
                            <w:sz w:val="13"/>
                          </w:rPr>
                          <w:t>Time/cost/distance</w:t>
                        </w:r>
                        <w:r>
                          <w:rPr>
                            <w:rFonts w:ascii="Segoe UI Symbol"/>
                            <w:color w:val="231F20"/>
                            <w:spacing w:val="40"/>
                            <w:w w:val="105"/>
                            <w:sz w:val="13"/>
                          </w:rPr>
                          <w:t xml:space="preserve"> </w:t>
                        </w:r>
                        <w:r>
                          <w:rPr>
                            <w:rFonts w:ascii="Segoe UI Symbol"/>
                            <w:color w:val="231F20"/>
                            <w:spacing w:val="-2"/>
                            <w:w w:val="105"/>
                            <w:sz w:val="13"/>
                          </w:rPr>
                          <w:t>thresholds</w:t>
                        </w:r>
                      </w:p>
                      <w:p w14:paraId="0069AFE7" w14:textId="77777777" w:rsidR="00AE0598" w:rsidRDefault="0069255A">
                        <w:pPr>
                          <w:spacing w:before="1" w:line="249" w:lineRule="auto"/>
                          <w:ind w:left="205"/>
                          <w:rPr>
                            <w:rFonts w:ascii="Segoe UI Symbol"/>
                            <w:sz w:val="13"/>
                          </w:rPr>
                        </w:pPr>
                        <w:r>
                          <w:rPr>
                            <w:rFonts w:ascii="Segoe UI Symbol"/>
                            <w:color w:val="231F20"/>
                            <w:w w:val="105"/>
                            <w:sz w:val="13"/>
                          </w:rPr>
                          <w:t>Length of stay</w:t>
                        </w:r>
                        <w:r>
                          <w:rPr>
                            <w:rFonts w:ascii="Segoe UI Symbol"/>
                            <w:color w:val="231F20"/>
                            <w:spacing w:val="40"/>
                            <w:w w:val="105"/>
                            <w:sz w:val="13"/>
                          </w:rPr>
                          <w:t xml:space="preserve"> </w:t>
                        </w:r>
                        <w:r>
                          <w:rPr>
                            <w:rFonts w:ascii="Segoe UI Symbol"/>
                            <w:color w:val="231F20"/>
                            <w:spacing w:val="-2"/>
                            <w:sz w:val="13"/>
                          </w:rPr>
                          <w:t>Independent/group</w:t>
                        </w:r>
                      </w:p>
                      <w:p w14:paraId="718DE211" w14:textId="77777777" w:rsidR="00AE0598" w:rsidRDefault="00AE0598">
                        <w:pPr>
                          <w:spacing w:before="12"/>
                          <w:rPr>
                            <w:rFonts w:ascii="Segoe UI Symbol"/>
                            <w:sz w:val="14"/>
                          </w:rPr>
                        </w:pPr>
                      </w:p>
                      <w:p w14:paraId="6B26AC5F" w14:textId="77777777" w:rsidR="00AE0598" w:rsidRDefault="0069255A">
                        <w:pPr>
                          <w:ind w:left="205"/>
                          <w:rPr>
                            <w:i/>
                            <w:sz w:val="13"/>
                          </w:rPr>
                        </w:pPr>
                        <w:r>
                          <w:rPr>
                            <w:i/>
                            <w:color w:val="231F20"/>
                            <w:w w:val="95"/>
                            <w:sz w:val="13"/>
                          </w:rPr>
                          <w:t>Tourist</w:t>
                        </w:r>
                        <w:r>
                          <w:rPr>
                            <w:i/>
                            <w:color w:val="231F20"/>
                            <w:spacing w:val="-5"/>
                            <w:w w:val="95"/>
                            <w:sz w:val="13"/>
                          </w:rPr>
                          <w:t xml:space="preserve"> </w:t>
                        </w:r>
                        <w:r>
                          <w:rPr>
                            <w:i/>
                            <w:color w:val="231F20"/>
                            <w:spacing w:val="-2"/>
                            <w:sz w:val="13"/>
                          </w:rPr>
                          <w:t>experiences</w:t>
                        </w:r>
                      </w:p>
                      <w:p w14:paraId="45AFAD06" w14:textId="77777777" w:rsidR="00AE0598" w:rsidRDefault="0069255A">
                        <w:pPr>
                          <w:spacing w:before="10" w:line="249" w:lineRule="auto"/>
                          <w:ind w:left="392" w:right="221" w:hanging="188"/>
                          <w:rPr>
                            <w:rFonts w:ascii="Segoe UI Symbol"/>
                            <w:sz w:val="13"/>
                          </w:rPr>
                        </w:pPr>
                        <w:r>
                          <w:rPr>
                            <w:rFonts w:ascii="Segoe UI Symbol"/>
                            <w:color w:val="231F20"/>
                            <w:w w:val="105"/>
                            <w:sz w:val="13"/>
                          </w:rPr>
                          <w:t>First</w:t>
                        </w:r>
                        <w:r>
                          <w:rPr>
                            <w:rFonts w:ascii="Segoe UI Symbol"/>
                            <w:color w:val="231F20"/>
                            <w:spacing w:val="-10"/>
                            <w:w w:val="105"/>
                            <w:sz w:val="13"/>
                          </w:rPr>
                          <w:t xml:space="preserve"> </w:t>
                        </w:r>
                        <w:r>
                          <w:rPr>
                            <w:rFonts w:ascii="Segoe UI Symbol"/>
                            <w:color w:val="231F20"/>
                            <w:w w:val="105"/>
                            <w:sz w:val="13"/>
                          </w:rPr>
                          <w:t>time</w:t>
                        </w:r>
                        <w:r>
                          <w:rPr>
                            <w:rFonts w:ascii="Segoe UI Symbol"/>
                            <w:color w:val="231F20"/>
                            <w:spacing w:val="-9"/>
                            <w:w w:val="105"/>
                            <w:sz w:val="13"/>
                          </w:rPr>
                          <w:t xml:space="preserve"> </w:t>
                        </w:r>
                        <w:r>
                          <w:rPr>
                            <w:rFonts w:ascii="Segoe UI Symbol"/>
                            <w:color w:val="231F20"/>
                            <w:w w:val="105"/>
                            <w:sz w:val="13"/>
                          </w:rPr>
                          <w:t>and</w:t>
                        </w:r>
                        <w:r>
                          <w:rPr>
                            <w:rFonts w:ascii="Segoe UI Symbol"/>
                            <w:color w:val="231F20"/>
                            <w:spacing w:val="-10"/>
                            <w:w w:val="105"/>
                            <w:sz w:val="13"/>
                          </w:rPr>
                          <w:t xml:space="preserve"> </w:t>
                        </w:r>
                        <w:r>
                          <w:rPr>
                            <w:rFonts w:ascii="Segoe UI Symbol"/>
                            <w:color w:val="231F20"/>
                            <w:w w:val="105"/>
                            <w:sz w:val="13"/>
                          </w:rPr>
                          <w:t>repeat</w:t>
                        </w:r>
                        <w:r>
                          <w:rPr>
                            <w:rFonts w:ascii="Segoe UI Symbol"/>
                            <w:color w:val="231F20"/>
                            <w:spacing w:val="40"/>
                            <w:w w:val="105"/>
                            <w:sz w:val="13"/>
                          </w:rPr>
                          <w:t xml:space="preserve"> </w:t>
                        </w:r>
                        <w:r>
                          <w:rPr>
                            <w:rFonts w:ascii="Segoe UI Symbol"/>
                            <w:color w:val="231F20"/>
                            <w:spacing w:val="-2"/>
                            <w:w w:val="105"/>
                            <w:sz w:val="13"/>
                          </w:rPr>
                          <w:t>visitation</w:t>
                        </w:r>
                      </w:p>
                      <w:p w14:paraId="7F8DAA66" w14:textId="77777777" w:rsidR="00AE0598" w:rsidRDefault="0069255A">
                        <w:pPr>
                          <w:spacing w:before="1" w:line="249" w:lineRule="auto"/>
                          <w:ind w:left="205" w:right="201"/>
                          <w:rPr>
                            <w:rFonts w:ascii="Segoe UI Symbol"/>
                            <w:sz w:val="13"/>
                          </w:rPr>
                        </w:pPr>
                        <w:r>
                          <w:rPr>
                            <w:rFonts w:ascii="Segoe UI Symbol"/>
                            <w:color w:val="231F20"/>
                            <w:w w:val="105"/>
                            <w:sz w:val="13"/>
                          </w:rPr>
                          <w:t>Touristic</w:t>
                        </w:r>
                        <w:r>
                          <w:rPr>
                            <w:rFonts w:ascii="Segoe UI Symbol"/>
                            <w:color w:val="231F20"/>
                            <w:spacing w:val="-9"/>
                            <w:w w:val="105"/>
                            <w:sz w:val="13"/>
                          </w:rPr>
                          <w:t xml:space="preserve"> </w:t>
                        </w:r>
                        <w:r>
                          <w:rPr>
                            <w:rFonts w:ascii="Segoe UI Symbol"/>
                            <w:color w:val="231F20"/>
                            <w:w w:val="105"/>
                            <w:sz w:val="13"/>
                          </w:rPr>
                          <w:t>activities</w:t>
                        </w:r>
                        <w:r>
                          <w:rPr>
                            <w:rFonts w:ascii="Segoe UI Symbol"/>
                            <w:color w:val="231F20"/>
                            <w:spacing w:val="40"/>
                            <w:w w:val="105"/>
                            <w:sz w:val="13"/>
                          </w:rPr>
                          <w:t xml:space="preserve"> </w:t>
                        </w:r>
                        <w:r>
                          <w:rPr>
                            <w:rFonts w:ascii="Segoe UI Symbol"/>
                            <w:color w:val="231F20"/>
                            <w:w w:val="105"/>
                            <w:sz w:val="13"/>
                          </w:rPr>
                          <w:t>Expenditure</w:t>
                        </w:r>
                        <w:r>
                          <w:rPr>
                            <w:rFonts w:ascii="Segoe UI Symbol"/>
                            <w:color w:val="231F20"/>
                            <w:spacing w:val="-10"/>
                            <w:w w:val="105"/>
                            <w:sz w:val="13"/>
                          </w:rPr>
                          <w:t xml:space="preserve"> </w:t>
                        </w:r>
                        <w:r>
                          <w:rPr>
                            <w:rFonts w:ascii="Segoe UI Symbol"/>
                            <w:color w:val="231F20"/>
                            <w:w w:val="105"/>
                            <w:sz w:val="13"/>
                          </w:rPr>
                          <w:t>patterns</w:t>
                        </w:r>
                        <w:r>
                          <w:rPr>
                            <w:rFonts w:ascii="Segoe UI Symbol"/>
                            <w:color w:val="231F20"/>
                            <w:spacing w:val="40"/>
                            <w:w w:val="105"/>
                            <w:sz w:val="13"/>
                          </w:rPr>
                          <w:t xml:space="preserve"> </w:t>
                        </w:r>
                        <w:r>
                          <w:rPr>
                            <w:rFonts w:ascii="Segoe UI Symbol"/>
                            <w:color w:val="231F20"/>
                            <w:w w:val="105"/>
                            <w:sz w:val="13"/>
                          </w:rPr>
                          <w:t>Event</w:t>
                        </w:r>
                        <w:r>
                          <w:rPr>
                            <w:rFonts w:ascii="Segoe UI Symbol"/>
                            <w:color w:val="231F20"/>
                            <w:spacing w:val="-9"/>
                            <w:w w:val="105"/>
                            <w:sz w:val="13"/>
                          </w:rPr>
                          <w:t xml:space="preserve"> </w:t>
                        </w:r>
                        <w:r>
                          <w:rPr>
                            <w:rFonts w:ascii="Segoe UI Symbol"/>
                            <w:color w:val="231F20"/>
                            <w:w w:val="105"/>
                            <w:sz w:val="13"/>
                          </w:rPr>
                          <w:t>management</w:t>
                        </w:r>
                        <w:r>
                          <w:rPr>
                            <w:rFonts w:ascii="Segoe UI Symbol"/>
                            <w:color w:val="231F20"/>
                            <w:spacing w:val="40"/>
                            <w:w w:val="105"/>
                            <w:sz w:val="13"/>
                          </w:rPr>
                          <w:t xml:space="preserve"> </w:t>
                        </w:r>
                        <w:r>
                          <w:rPr>
                            <w:rFonts w:ascii="Segoe UI Symbol"/>
                            <w:color w:val="231F20"/>
                            <w:w w:val="105"/>
                            <w:sz w:val="13"/>
                          </w:rPr>
                          <w:t>Host/guest</w:t>
                        </w:r>
                        <w:r>
                          <w:rPr>
                            <w:rFonts w:ascii="Segoe UI Symbol"/>
                            <w:color w:val="231F20"/>
                            <w:spacing w:val="-9"/>
                            <w:w w:val="105"/>
                            <w:sz w:val="13"/>
                          </w:rPr>
                          <w:t xml:space="preserve"> </w:t>
                        </w:r>
                        <w:r>
                          <w:rPr>
                            <w:rFonts w:ascii="Segoe UI Symbol"/>
                            <w:color w:val="231F20"/>
                            <w:w w:val="105"/>
                            <w:sz w:val="13"/>
                          </w:rPr>
                          <w:t>relations</w:t>
                        </w:r>
                        <w:r>
                          <w:rPr>
                            <w:rFonts w:ascii="Segoe UI Symbol"/>
                            <w:color w:val="231F20"/>
                            <w:spacing w:val="40"/>
                            <w:w w:val="105"/>
                            <w:sz w:val="13"/>
                          </w:rPr>
                          <w:t xml:space="preserve"> </w:t>
                        </w:r>
                        <w:r>
                          <w:rPr>
                            <w:rFonts w:ascii="Segoe UI Symbol"/>
                            <w:color w:val="231F20"/>
                            <w:w w:val="105"/>
                            <w:sz w:val="13"/>
                          </w:rPr>
                          <w:t>Co-creation</w:t>
                        </w:r>
                        <w:r>
                          <w:rPr>
                            <w:rFonts w:ascii="Segoe UI Symbol"/>
                            <w:color w:val="231F20"/>
                            <w:spacing w:val="-9"/>
                            <w:w w:val="105"/>
                            <w:sz w:val="13"/>
                          </w:rPr>
                          <w:t xml:space="preserve"> </w:t>
                        </w:r>
                        <w:r>
                          <w:rPr>
                            <w:rFonts w:ascii="Segoe UI Symbol"/>
                            <w:color w:val="231F20"/>
                            <w:w w:val="105"/>
                            <w:sz w:val="13"/>
                          </w:rPr>
                          <w:t>of</w:t>
                        </w:r>
                      </w:p>
                      <w:p w14:paraId="78CF087B" w14:textId="77777777" w:rsidR="00AE0598" w:rsidRDefault="0069255A">
                        <w:pPr>
                          <w:spacing w:before="3"/>
                          <w:ind w:left="392"/>
                          <w:rPr>
                            <w:rFonts w:ascii="Segoe UI Symbol"/>
                            <w:sz w:val="13"/>
                          </w:rPr>
                        </w:pPr>
                        <w:r>
                          <w:rPr>
                            <w:rFonts w:ascii="Segoe UI Symbol"/>
                            <w:color w:val="231F20"/>
                            <w:spacing w:val="-2"/>
                            <w:sz w:val="13"/>
                          </w:rPr>
                          <w:t>experiences</w:t>
                        </w:r>
                      </w:p>
                    </w:txbxContent>
                  </v:textbox>
                </v:shape>
                <v:shape id="docshape241" o:spid="_x0000_s1096" type="#_x0000_t202" style="position:absolute;left:1211;top:204;width:1671;height: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" filled="f" strokecolor="#231f20" strokeweight=".49pt">
                  <v:textbox inset="0,0,0,0">
                    <w:txbxContent>
                      <w:p w14:paraId="4BCA8F8E" w14:textId="77777777" w:rsidR="00AE0598" w:rsidRDefault="0069255A">
                        <w:pPr>
                          <w:spacing w:before="15" w:line="225" w:lineRule="auto"/>
                          <w:ind w:left="390" w:hanging="257"/>
                          <w:rPr>
                            <w:b/>
                            <w:sz w:val="15"/>
                          </w:rPr>
                        </w:pPr>
                        <w:r>
                          <w:rPr>
                            <w:b/>
                            <w:color w:val="231F20"/>
                            <w:w w:val="105"/>
                            <w:sz w:val="15"/>
                          </w:rPr>
                          <w:t>Travel</w:t>
                        </w:r>
                        <w:r>
                          <w:rPr>
                            <w:b/>
                            <w:color w:val="231F20"/>
                            <w:spacing w:val="-4"/>
                            <w:w w:val="105"/>
                            <w:sz w:val="15"/>
                          </w:rPr>
                          <w:t xml:space="preserve"> </w:t>
                        </w:r>
                        <w:r>
                          <w:rPr>
                            <w:b/>
                            <w:color w:val="231F20"/>
                            <w:w w:val="105"/>
                            <w:sz w:val="15"/>
                          </w:rPr>
                          <w:t>and</w:t>
                        </w:r>
                        <w:r>
                          <w:rPr>
                            <w:b/>
                            <w:color w:val="231F20"/>
                            <w:spacing w:val="-4"/>
                            <w:w w:val="105"/>
                            <w:sz w:val="15"/>
                          </w:rPr>
                          <w:t xml:space="preserve"> </w:t>
                        </w:r>
                        <w:r>
                          <w:rPr>
                            <w:b/>
                            <w:color w:val="231F20"/>
                            <w:w w:val="105"/>
                            <w:sz w:val="15"/>
                          </w:rPr>
                          <w:t>tourist</w:t>
                        </w:r>
                        <w:r>
                          <w:rPr>
                            <w:b/>
                            <w:color w:val="231F20"/>
                            <w:spacing w:val="40"/>
                            <w:w w:val="105"/>
                            <w:sz w:val="15"/>
                          </w:rPr>
                          <w:t xml:space="preserve"> </w:t>
                        </w:r>
                        <w:r>
                          <w:rPr>
                            <w:b/>
                            <w:color w:val="231F20"/>
                            <w:spacing w:val="-2"/>
                            <w:w w:val="105"/>
                            <w:sz w:val="15"/>
                          </w:rPr>
                          <w:t>experiences</w:t>
                        </w:r>
                      </w:p>
                    </w:txbxContent>
                  </v:textbox>
                </v:shape>
                <w10:wrap type="topAndBottom" anchorx="page"/>
              </v:group>
            </w:pict>
          </mc:Fallback>
        </mc:AlternateContent>
      </w:r>
      <w:r>
        <w:rPr>
          <w:noProof/>
        </w:rPr>
        <mc:AlternateContent>
          <mc:Choice Requires="wpg">
            <w:drawing>
              <wp:anchor distT="0" distB="0" distL="0" distR="0" simplePos="0" relativeHeight="487674368" behindDoc="1" locked="0" layoutInCell="1" allowOverlap="1" wp14:anchorId="72E983D6" wp14:editId="0FB1F1B5">
                <wp:simplePos x="0" y="0"/>
                <wp:positionH relativeFrom="page">
                  <wp:posOffset>2094230</wp:posOffset>
                </wp:positionH>
                <wp:positionV relativeFrom="paragraph">
                  <wp:posOffset>126365</wp:posOffset>
                </wp:positionV>
                <wp:extent cx="1358900" cy="2670810"/>
                <wp:effectExtent l="0" t="0" r="0" b="0"/>
                <wp:wrapTopAndBottom/>
                <wp:docPr id="120" name="docshapegroup2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58900" cy="2670810"/>
                          <a:chOff x="3298" y="199"/>
                          <a:chExt cx="2140" cy="4206"/>
                        </a:xfrm>
                      </wpg:grpSpPr>
                      <wps:wsp>
                        <wps:cNvPr id="121" name="docshape243"/>
                        <wps:cNvSpPr txBox="1">
                          <a:spLocks noChangeArrowheads="1"/>
                        </wps:cNvSpPr>
                        <wps:spPr bwMode="auto">
                          <a:xfrm>
                            <a:off x="3303" y="587"/>
                            <a:ext cx="2129" cy="3812"/>
                          </a:xfrm>
                          <a:prstGeom prst="rect">
                            <a:avLst/>
                          </a:prstGeom>
                          <a:noFill/>
                          <a:ln w="7023">
                            <a:solidFill>
                              <a:srgbClr val="231F2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47C3F739" w14:textId="77777777" w:rsidR="00AE0598" w:rsidRDefault="0069255A">
                              <w:pPr>
                                <w:spacing w:before="37" w:line="249" w:lineRule="auto"/>
                                <w:ind w:left="407" w:right="309" w:firstLine="206"/>
                                <w:rPr>
                                  <w:rFonts w:ascii="Segoe UI Symbol"/>
                                  <w:sz w:val="13"/>
                                </w:rPr>
                              </w:pPr>
                              <w:r>
                                <w:rPr>
                                  <w:rFonts w:ascii="Segoe UI Symbol"/>
                                  <w:color w:val="231F20"/>
                                  <w:w w:val="105"/>
                                  <w:sz w:val="13"/>
                                </w:rPr>
                                <w:t>Sports</w:t>
                              </w:r>
                              <w:r>
                                <w:rPr>
                                  <w:rFonts w:ascii="Segoe UI Symbol"/>
                                  <w:color w:val="231F20"/>
                                  <w:spacing w:val="-9"/>
                                  <w:w w:val="105"/>
                                  <w:sz w:val="13"/>
                                </w:rPr>
                                <w:t xml:space="preserve"> </w:t>
                              </w:r>
                              <w:r>
                                <w:rPr>
                                  <w:rFonts w:ascii="Segoe UI Symbol"/>
                                  <w:color w:val="231F20"/>
                                  <w:w w:val="105"/>
                                  <w:sz w:val="13"/>
                                </w:rPr>
                                <w:t>facilities</w:t>
                              </w:r>
                              <w:r>
                                <w:rPr>
                                  <w:rFonts w:ascii="Segoe UI Symbol"/>
                                  <w:color w:val="231F20"/>
                                  <w:spacing w:val="40"/>
                                  <w:w w:val="105"/>
                                  <w:sz w:val="13"/>
                                </w:rPr>
                                <w:t xml:space="preserve"> </w:t>
                              </w:r>
                              <w:r>
                                <w:rPr>
                                  <w:rFonts w:ascii="Segoe UI Symbol"/>
                                  <w:color w:val="231F20"/>
                                  <w:spacing w:val="-2"/>
                                  <w:w w:val="105"/>
                                  <w:sz w:val="13"/>
                                </w:rPr>
                                <w:t>Status</w:t>
                              </w:r>
                              <w:r>
                                <w:rPr>
                                  <w:rFonts w:ascii="Segoe UI Symbol"/>
                                  <w:color w:val="231F20"/>
                                  <w:spacing w:val="-7"/>
                                  <w:w w:val="105"/>
                                  <w:sz w:val="13"/>
                                </w:rPr>
                                <w:t xml:space="preserve"> </w:t>
                              </w:r>
                              <w:r>
                                <w:rPr>
                                  <w:rFonts w:ascii="Segoe UI Symbol"/>
                                  <w:color w:val="231F20"/>
                                  <w:spacing w:val="-2"/>
                                  <w:w w:val="105"/>
                                  <w:sz w:val="13"/>
                                </w:rPr>
                                <w:t>of</w:t>
                              </w:r>
                              <w:r>
                                <w:rPr>
                                  <w:rFonts w:ascii="Segoe UI Symbol"/>
                                  <w:color w:val="231F20"/>
                                  <w:spacing w:val="-7"/>
                                  <w:w w:val="105"/>
                                  <w:sz w:val="13"/>
                                </w:rPr>
                                <w:t xml:space="preserve"> </w:t>
                              </w:r>
                              <w:r>
                                <w:rPr>
                                  <w:rFonts w:ascii="Segoe UI Symbol"/>
                                  <w:color w:val="231F20"/>
                                  <w:spacing w:val="-2"/>
                                  <w:w w:val="105"/>
                                  <w:sz w:val="13"/>
                                </w:rPr>
                                <w:t>sport</w:t>
                              </w:r>
                              <w:r>
                                <w:rPr>
                                  <w:rFonts w:ascii="Segoe UI Symbol"/>
                                  <w:color w:val="231F20"/>
                                  <w:spacing w:val="-7"/>
                                  <w:w w:val="105"/>
                                  <w:sz w:val="13"/>
                                </w:rPr>
                                <w:t xml:space="preserve"> </w:t>
                              </w:r>
                              <w:r>
                                <w:rPr>
                                  <w:rFonts w:ascii="Segoe UI Symbol"/>
                                  <w:color w:val="231F20"/>
                                  <w:spacing w:val="-2"/>
                                  <w:w w:val="105"/>
                                  <w:sz w:val="13"/>
                                </w:rPr>
                                <w:t>centres</w:t>
                              </w:r>
                            </w:p>
                            <w:p w14:paraId="43F02C82" w14:textId="77777777" w:rsidR="00AE0598" w:rsidRDefault="0069255A">
                              <w:pPr>
                                <w:spacing w:before="1" w:line="249" w:lineRule="auto"/>
                                <w:ind w:left="630" w:right="309" w:firstLine="30"/>
                                <w:rPr>
                                  <w:rFonts w:ascii="Segoe UI Symbol"/>
                                  <w:sz w:val="13"/>
                                </w:rPr>
                              </w:pPr>
                              <w:r>
                                <w:rPr>
                                  <w:rFonts w:ascii="Segoe UI Symbol"/>
                                  <w:color w:val="231F20"/>
                                  <w:sz w:val="13"/>
                                </w:rPr>
                                <w:t>Nodal</w:t>
                              </w:r>
                              <w:r>
                                <w:rPr>
                                  <w:rFonts w:ascii="Segoe UI Symbol"/>
                                  <w:color w:val="231F20"/>
                                  <w:spacing w:val="-7"/>
                                  <w:sz w:val="13"/>
                                </w:rPr>
                                <w:t xml:space="preserve"> </w:t>
                              </w:r>
                              <w:r>
                                <w:rPr>
                                  <w:rFonts w:ascii="Segoe UI Symbol"/>
                                  <w:color w:val="231F20"/>
                                  <w:sz w:val="13"/>
                                </w:rPr>
                                <w:t>regions</w:t>
                              </w:r>
                              <w:r>
                                <w:rPr>
                                  <w:rFonts w:ascii="Segoe UI Symbol"/>
                                  <w:color w:val="231F20"/>
                                  <w:spacing w:val="40"/>
                                  <w:sz w:val="13"/>
                                </w:rPr>
                                <w:t xml:space="preserve"> </w:t>
                              </w:r>
                              <w:r>
                                <w:rPr>
                                  <w:rFonts w:ascii="Segoe UI Symbol"/>
                                  <w:color w:val="231F20"/>
                                  <w:sz w:val="13"/>
                                </w:rPr>
                                <w:t>Sports</w:t>
                              </w:r>
                              <w:r>
                                <w:rPr>
                                  <w:rFonts w:ascii="Segoe UI Symbol"/>
                                  <w:color w:val="231F20"/>
                                  <w:spacing w:val="9"/>
                                  <w:sz w:val="13"/>
                                </w:rPr>
                                <w:t xml:space="preserve"> </w:t>
                              </w:r>
                              <w:r>
                                <w:rPr>
                                  <w:rFonts w:ascii="Segoe UI Symbol"/>
                                  <w:color w:val="231F20"/>
                                  <w:spacing w:val="-2"/>
                                  <w:sz w:val="13"/>
                                </w:rPr>
                                <w:t>heritage</w:t>
                              </w:r>
                            </w:p>
                            <w:p w14:paraId="6FE85928" w14:textId="77777777" w:rsidR="00AE0598" w:rsidRDefault="00AE0598">
                              <w:pPr>
                                <w:spacing w:before="9"/>
                                <w:rPr>
                                  <w:rFonts w:ascii="Segoe UI Symbol"/>
                                  <w:sz w:val="13"/>
                                </w:rPr>
                              </w:pPr>
                            </w:p>
                            <w:p w14:paraId="3FB13CE1" w14:textId="77777777" w:rsidR="00AE0598" w:rsidRDefault="0069255A">
                              <w:pPr>
                                <w:spacing w:line="249" w:lineRule="auto"/>
                                <w:ind w:left="182" w:right="183" w:firstLine="21"/>
                                <w:jc w:val="center"/>
                                <w:rPr>
                                  <w:rFonts w:ascii="Segoe UI Symbol"/>
                                  <w:sz w:val="13"/>
                                </w:rPr>
                              </w:pPr>
                              <w:r>
                                <w:rPr>
                                  <w:rFonts w:ascii="Segoe UI Symbol"/>
                                  <w:color w:val="231F20"/>
                                  <w:w w:val="105"/>
                                  <w:sz w:val="13"/>
                                </w:rPr>
                                <w:t>Salient attraction nuclei</w:t>
                              </w:r>
                              <w:r>
                                <w:rPr>
                                  <w:rFonts w:ascii="Segoe UI Symbol"/>
                                  <w:color w:val="231F20"/>
                                  <w:spacing w:val="40"/>
                                  <w:w w:val="105"/>
                                  <w:sz w:val="13"/>
                                </w:rPr>
                                <w:t xml:space="preserve"> </w:t>
                              </w:r>
                              <w:r>
                                <w:rPr>
                                  <w:rFonts w:ascii="Segoe UI Symbol"/>
                                  <w:color w:val="231F20"/>
                                  <w:w w:val="105"/>
                                  <w:sz w:val="13"/>
                                </w:rPr>
                                <w:t>Clustered attraction nuclei</w:t>
                              </w:r>
                              <w:r>
                                <w:rPr>
                                  <w:rFonts w:ascii="Segoe UI Symbol"/>
                                  <w:color w:val="231F20"/>
                                  <w:spacing w:val="40"/>
                                  <w:w w:val="105"/>
                                  <w:sz w:val="13"/>
                                </w:rPr>
                                <w:t xml:space="preserve"> </w:t>
                              </w:r>
                              <w:r>
                                <w:rPr>
                                  <w:rFonts w:ascii="Segoe UI Symbol"/>
                                  <w:color w:val="231F20"/>
                                  <w:w w:val="105"/>
                                  <w:sz w:val="13"/>
                                </w:rPr>
                                <w:t>Proximity</w:t>
                              </w:r>
                              <w:r>
                                <w:rPr>
                                  <w:rFonts w:ascii="Segoe UI Symbol"/>
                                  <w:color w:val="231F20"/>
                                  <w:spacing w:val="-6"/>
                                  <w:w w:val="105"/>
                                  <w:sz w:val="13"/>
                                </w:rPr>
                                <w:t xml:space="preserve"> </w:t>
                              </w:r>
                              <w:r>
                                <w:rPr>
                                  <w:rFonts w:ascii="Segoe UI Symbol"/>
                                  <w:color w:val="231F20"/>
                                  <w:w w:val="105"/>
                                  <w:sz w:val="13"/>
                                </w:rPr>
                                <w:t>to</w:t>
                              </w:r>
                              <w:r>
                                <w:rPr>
                                  <w:rFonts w:ascii="Segoe UI Symbol"/>
                                  <w:color w:val="231F20"/>
                                  <w:spacing w:val="-6"/>
                                  <w:w w:val="105"/>
                                  <w:sz w:val="13"/>
                                </w:rPr>
                                <w:t xml:space="preserve"> </w:t>
                              </w:r>
                              <w:r>
                                <w:rPr>
                                  <w:rFonts w:ascii="Segoe UI Symbol"/>
                                  <w:color w:val="231F20"/>
                                  <w:w w:val="105"/>
                                  <w:sz w:val="13"/>
                                </w:rPr>
                                <w:t>tourist</w:t>
                              </w:r>
                              <w:r>
                                <w:rPr>
                                  <w:rFonts w:ascii="Segoe UI Symbol"/>
                                  <w:color w:val="231F20"/>
                                  <w:spacing w:val="-6"/>
                                  <w:w w:val="105"/>
                                  <w:sz w:val="13"/>
                                </w:rPr>
                                <w:t xml:space="preserve"> </w:t>
                              </w:r>
                              <w:r>
                                <w:rPr>
                                  <w:rFonts w:ascii="Segoe UI Symbol"/>
                                  <w:color w:val="231F20"/>
                                  <w:w w:val="105"/>
                                  <w:sz w:val="13"/>
                                </w:rPr>
                                <w:t>precincts</w:t>
                              </w:r>
                              <w:r>
                                <w:rPr>
                                  <w:rFonts w:ascii="Segoe UI Symbol"/>
                                  <w:color w:val="231F20"/>
                                  <w:spacing w:val="40"/>
                                  <w:w w:val="105"/>
                                  <w:sz w:val="13"/>
                                </w:rPr>
                                <w:t xml:space="preserve"> </w:t>
                              </w:r>
                              <w:r>
                                <w:rPr>
                                  <w:rFonts w:ascii="Segoe UI Symbol"/>
                                  <w:color w:val="231F20"/>
                                  <w:spacing w:val="-2"/>
                                  <w:w w:val="105"/>
                                  <w:sz w:val="13"/>
                                </w:rPr>
                                <w:t>Infrastructure</w:t>
                              </w:r>
                            </w:p>
                            <w:p w14:paraId="0D796C91" w14:textId="77777777" w:rsidR="00AE0598" w:rsidRDefault="0069255A">
                              <w:pPr>
                                <w:spacing w:before="1"/>
                                <w:ind w:left="443" w:right="453"/>
                                <w:jc w:val="center"/>
                                <w:rPr>
                                  <w:rFonts w:ascii="Segoe UI Symbol"/>
                                  <w:sz w:val="13"/>
                                </w:rPr>
                              </w:pPr>
                              <w:r>
                                <w:rPr>
                                  <w:rFonts w:ascii="Segoe UI Symbol"/>
                                  <w:color w:val="231F20"/>
                                  <w:sz w:val="13"/>
                                </w:rPr>
                                <w:t>Service</w:t>
                              </w:r>
                              <w:r>
                                <w:rPr>
                                  <w:rFonts w:ascii="Segoe UI Symbol"/>
                                  <w:color w:val="231F20"/>
                                  <w:spacing w:val="7"/>
                                  <w:sz w:val="13"/>
                                </w:rPr>
                                <w:t xml:space="preserve"> </w:t>
                              </w:r>
                              <w:r>
                                <w:rPr>
                                  <w:rFonts w:ascii="Segoe UI Symbol"/>
                                  <w:color w:val="231F20"/>
                                  <w:spacing w:val="-2"/>
                                  <w:sz w:val="13"/>
                                </w:rPr>
                                <w:t>development</w:t>
                              </w:r>
                            </w:p>
                          </w:txbxContent>
                        </wps:txbx>
                        <wps:bodyPr rot="0" vert="horz" wrap="square" lIns="0" tIns="0" rIns="0" bIns="0" anchor="t" anchorCtr="0" upright="1">
                          <a:noAutofit/>
                        </wps:bodyPr>
                      </wps:wsp>
                      <wps:wsp>
                        <wps:cNvPr id="122" name="docshape244"/>
                        <wps:cNvSpPr txBox="1">
                          <a:spLocks noChangeArrowheads="1"/>
                        </wps:cNvSpPr>
                        <wps:spPr bwMode="auto">
                          <a:xfrm>
                            <a:off x="3303" y="204"/>
                            <a:ext cx="2129" cy="383"/>
                          </a:xfrm>
                          <a:prstGeom prst="rect">
                            <a:avLst/>
                          </a:prstGeom>
                          <a:noFill/>
                          <a:ln w="7023">
                            <a:solidFill>
                              <a:srgbClr val="231F2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60A40435" w14:textId="77777777" w:rsidR="00AE0598" w:rsidRDefault="0069255A">
                              <w:pPr>
                                <w:spacing w:before="88"/>
                                <w:ind w:left="49"/>
                                <w:rPr>
                                  <w:b/>
                                  <w:sz w:val="15"/>
                                </w:rPr>
                              </w:pPr>
                              <w:r>
                                <w:rPr>
                                  <w:b/>
                                  <w:color w:val="231F20"/>
                                  <w:w w:val="105"/>
                                  <w:sz w:val="15"/>
                                </w:rPr>
                                <w:t>Sport</w:t>
                              </w:r>
                              <w:r>
                                <w:rPr>
                                  <w:b/>
                                  <w:color w:val="231F20"/>
                                  <w:spacing w:val="18"/>
                                  <w:w w:val="105"/>
                                  <w:sz w:val="15"/>
                                </w:rPr>
                                <w:t xml:space="preserve"> </w:t>
                              </w:r>
                              <w:r>
                                <w:rPr>
                                  <w:b/>
                                  <w:color w:val="231F20"/>
                                  <w:w w:val="105"/>
                                  <w:sz w:val="15"/>
                                </w:rPr>
                                <w:t>and</w:t>
                              </w:r>
                              <w:r>
                                <w:rPr>
                                  <w:b/>
                                  <w:color w:val="231F20"/>
                                  <w:spacing w:val="19"/>
                                  <w:w w:val="105"/>
                                  <w:sz w:val="15"/>
                                </w:rPr>
                                <w:t xml:space="preserve"> </w:t>
                              </w:r>
                              <w:r>
                                <w:rPr>
                                  <w:b/>
                                  <w:color w:val="231F20"/>
                                  <w:w w:val="105"/>
                                  <w:sz w:val="15"/>
                                </w:rPr>
                                <w:t>tourism</w:t>
                              </w:r>
                              <w:r>
                                <w:rPr>
                                  <w:b/>
                                  <w:color w:val="231F20"/>
                                  <w:spacing w:val="19"/>
                                  <w:w w:val="105"/>
                                  <w:sz w:val="15"/>
                                </w:rPr>
                                <w:t xml:space="preserve"> </w:t>
                              </w:r>
                              <w:r>
                                <w:rPr>
                                  <w:b/>
                                  <w:color w:val="231F20"/>
                                  <w:spacing w:val="-2"/>
                                  <w:w w:val="105"/>
                                  <w:sz w:val="15"/>
                                </w:rPr>
                                <w:t>systems</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2E983D6" id="docshapegroup242" o:spid="_x0000_s1097" style="position:absolute;margin-left:164.9pt;margin-top:9.95pt;width:107pt;height:210.3pt;z-index:-15642112;mso-wrap-distance-left:0;mso-wrap-distance-right:0;mso-position-horizontal-relative:page;mso-position-vertical-relative:text" coordorigin="3298,199" coordsize="2140,42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">
                <v:shape id="docshape243" o:spid="_x0000_s1098" type="#_x0000_t202" style="position:absolute;left:3303;top:587;width:2129;height:3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" filled="f" strokecolor="#231f20" strokeweight=".19508mm">
                  <v:textbox inset="0,0,0,0">
                    <w:txbxContent>
                      <w:p w14:paraId="47C3F739" w14:textId="77777777" w:rsidR="00AE0598" w:rsidRDefault="0069255A">
                        <w:pPr>
                          <w:spacing w:before="37" w:line="249" w:lineRule="auto"/>
                          <w:ind w:left="407" w:right="309" w:firstLine="206"/>
                          <w:rPr>
                            <w:rFonts w:ascii="Segoe UI Symbol"/>
                            <w:sz w:val="13"/>
                          </w:rPr>
                        </w:pPr>
                        <w:r>
                          <w:rPr>
                            <w:rFonts w:ascii="Segoe UI Symbol"/>
                            <w:color w:val="231F20"/>
                            <w:w w:val="105"/>
                            <w:sz w:val="13"/>
                          </w:rPr>
                          <w:t>Sports</w:t>
                        </w:r>
                        <w:r>
                          <w:rPr>
                            <w:rFonts w:ascii="Segoe UI Symbol"/>
                            <w:color w:val="231F20"/>
                            <w:spacing w:val="-9"/>
                            <w:w w:val="105"/>
                            <w:sz w:val="13"/>
                          </w:rPr>
                          <w:t xml:space="preserve"> </w:t>
                        </w:r>
                        <w:r>
                          <w:rPr>
                            <w:rFonts w:ascii="Segoe UI Symbol"/>
                            <w:color w:val="231F20"/>
                            <w:w w:val="105"/>
                            <w:sz w:val="13"/>
                          </w:rPr>
                          <w:t>facilities</w:t>
                        </w:r>
                        <w:r>
                          <w:rPr>
                            <w:rFonts w:ascii="Segoe UI Symbol"/>
                            <w:color w:val="231F20"/>
                            <w:spacing w:val="40"/>
                            <w:w w:val="105"/>
                            <w:sz w:val="13"/>
                          </w:rPr>
                          <w:t xml:space="preserve"> </w:t>
                        </w:r>
                        <w:r>
                          <w:rPr>
                            <w:rFonts w:ascii="Segoe UI Symbol"/>
                            <w:color w:val="231F20"/>
                            <w:spacing w:val="-2"/>
                            <w:w w:val="105"/>
                            <w:sz w:val="13"/>
                          </w:rPr>
                          <w:t>Status</w:t>
                        </w:r>
                        <w:r>
                          <w:rPr>
                            <w:rFonts w:ascii="Segoe UI Symbol"/>
                            <w:color w:val="231F20"/>
                            <w:spacing w:val="-7"/>
                            <w:w w:val="105"/>
                            <w:sz w:val="13"/>
                          </w:rPr>
                          <w:t xml:space="preserve"> </w:t>
                        </w:r>
                        <w:r>
                          <w:rPr>
                            <w:rFonts w:ascii="Segoe UI Symbol"/>
                            <w:color w:val="231F20"/>
                            <w:spacing w:val="-2"/>
                            <w:w w:val="105"/>
                            <w:sz w:val="13"/>
                          </w:rPr>
                          <w:t>of</w:t>
                        </w:r>
                        <w:r>
                          <w:rPr>
                            <w:rFonts w:ascii="Segoe UI Symbol"/>
                            <w:color w:val="231F20"/>
                            <w:spacing w:val="-7"/>
                            <w:w w:val="105"/>
                            <w:sz w:val="13"/>
                          </w:rPr>
                          <w:t xml:space="preserve"> </w:t>
                        </w:r>
                        <w:r>
                          <w:rPr>
                            <w:rFonts w:ascii="Segoe UI Symbol"/>
                            <w:color w:val="231F20"/>
                            <w:spacing w:val="-2"/>
                            <w:w w:val="105"/>
                            <w:sz w:val="13"/>
                          </w:rPr>
                          <w:t>sport</w:t>
                        </w:r>
                        <w:r>
                          <w:rPr>
                            <w:rFonts w:ascii="Segoe UI Symbol"/>
                            <w:color w:val="231F20"/>
                            <w:spacing w:val="-7"/>
                            <w:w w:val="105"/>
                            <w:sz w:val="13"/>
                          </w:rPr>
                          <w:t xml:space="preserve"> </w:t>
                        </w:r>
                        <w:r>
                          <w:rPr>
                            <w:rFonts w:ascii="Segoe UI Symbol"/>
                            <w:color w:val="231F20"/>
                            <w:spacing w:val="-2"/>
                            <w:w w:val="105"/>
                            <w:sz w:val="13"/>
                          </w:rPr>
                          <w:t>centres</w:t>
                        </w:r>
                      </w:p>
                      <w:p w14:paraId="43F02C82" w14:textId="77777777" w:rsidR="00AE0598" w:rsidRDefault="0069255A">
                        <w:pPr>
                          <w:spacing w:before="1" w:line="249" w:lineRule="auto"/>
                          <w:ind w:left="630" w:right="309" w:firstLine="30"/>
                          <w:rPr>
                            <w:rFonts w:ascii="Segoe UI Symbol"/>
                            <w:sz w:val="13"/>
                          </w:rPr>
                        </w:pPr>
                        <w:r>
                          <w:rPr>
                            <w:rFonts w:ascii="Segoe UI Symbol"/>
                            <w:color w:val="231F20"/>
                            <w:sz w:val="13"/>
                          </w:rPr>
                          <w:t>Nodal</w:t>
                        </w:r>
                        <w:r>
                          <w:rPr>
                            <w:rFonts w:ascii="Segoe UI Symbol"/>
                            <w:color w:val="231F20"/>
                            <w:spacing w:val="-7"/>
                            <w:sz w:val="13"/>
                          </w:rPr>
                          <w:t xml:space="preserve"> </w:t>
                        </w:r>
                        <w:r>
                          <w:rPr>
                            <w:rFonts w:ascii="Segoe UI Symbol"/>
                            <w:color w:val="231F20"/>
                            <w:sz w:val="13"/>
                          </w:rPr>
                          <w:t>regions</w:t>
                        </w:r>
                        <w:r>
                          <w:rPr>
                            <w:rFonts w:ascii="Segoe UI Symbol"/>
                            <w:color w:val="231F20"/>
                            <w:spacing w:val="40"/>
                            <w:sz w:val="13"/>
                          </w:rPr>
                          <w:t xml:space="preserve"> </w:t>
                        </w:r>
                        <w:r>
                          <w:rPr>
                            <w:rFonts w:ascii="Segoe UI Symbol"/>
                            <w:color w:val="231F20"/>
                            <w:sz w:val="13"/>
                          </w:rPr>
                          <w:t>Sports</w:t>
                        </w:r>
                        <w:r>
                          <w:rPr>
                            <w:rFonts w:ascii="Segoe UI Symbol"/>
                            <w:color w:val="231F20"/>
                            <w:spacing w:val="9"/>
                            <w:sz w:val="13"/>
                          </w:rPr>
                          <w:t xml:space="preserve"> </w:t>
                        </w:r>
                        <w:r>
                          <w:rPr>
                            <w:rFonts w:ascii="Segoe UI Symbol"/>
                            <w:color w:val="231F20"/>
                            <w:spacing w:val="-2"/>
                            <w:sz w:val="13"/>
                          </w:rPr>
                          <w:t>heritage</w:t>
                        </w:r>
                      </w:p>
                      <w:p w14:paraId="6FE85928" w14:textId="77777777" w:rsidR="00AE0598" w:rsidRDefault="00AE0598">
                        <w:pPr>
                          <w:spacing w:before="9"/>
                          <w:rPr>
                            <w:rFonts w:ascii="Segoe UI Symbol"/>
                            <w:sz w:val="13"/>
                          </w:rPr>
                        </w:pPr>
                      </w:p>
                      <w:p w14:paraId="3FB13CE1" w14:textId="77777777" w:rsidR="00AE0598" w:rsidRDefault="0069255A">
                        <w:pPr>
                          <w:spacing w:line="249" w:lineRule="auto"/>
                          <w:ind w:left="182" w:right="183" w:firstLine="21"/>
                          <w:jc w:val="center"/>
                          <w:rPr>
                            <w:rFonts w:ascii="Segoe UI Symbol"/>
                            <w:sz w:val="13"/>
                          </w:rPr>
                        </w:pPr>
                        <w:r>
                          <w:rPr>
                            <w:rFonts w:ascii="Segoe UI Symbol"/>
                            <w:color w:val="231F20"/>
                            <w:w w:val="105"/>
                            <w:sz w:val="13"/>
                          </w:rPr>
                          <w:t>Salient attraction nuclei</w:t>
                        </w:r>
                        <w:r>
                          <w:rPr>
                            <w:rFonts w:ascii="Segoe UI Symbol"/>
                            <w:color w:val="231F20"/>
                            <w:spacing w:val="40"/>
                            <w:w w:val="105"/>
                            <w:sz w:val="13"/>
                          </w:rPr>
                          <w:t xml:space="preserve"> </w:t>
                        </w:r>
                        <w:r>
                          <w:rPr>
                            <w:rFonts w:ascii="Segoe UI Symbol"/>
                            <w:color w:val="231F20"/>
                            <w:w w:val="105"/>
                            <w:sz w:val="13"/>
                          </w:rPr>
                          <w:t>Clustered attraction nuclei</w:t>
                        </w:r>
                        <w:r>
                          <w:rPr>
                            <w:rFonts w:ascii="Segoe UI Symbol"/>
                            <w:color w:val="231F20"/>
                            <w:spacing w:val="40"/>
                            <w:w w:val="105"/>
                            <w:sz w:val="13"/>
                          </w:rPr>
                          <w:t xml:space="preserve"> </w:t>
                        </w:r>
                        <w:r>
                          <w:rPr>
                            <w:rFonts w:ascii="Segoe UI Symbol"/>
                            <w:color w:val="231F20"/>
                            <w:w w:val="105"/>
                            <w:sz w:val="13"/>
                          </w:rPr>
                          <w:t>Proximity</w:t>
                        </w:r>
                        <w:r>
                          <w:rPr>
                            <w:rFonts w:ascii="Segoe UI Symbol"/>
                            <w:color w:val="231F20"/>
                            <w:spacing w:val="-6"/>
                            <w:w w:val="105"/>
                            <w:sz w:val="13"/>
                          </w:rPr>
                          <w:t xml:space="preserve"> </w:t>
                        </w:r>
                        <w:r>
                          <w:rPr>
                            <w:rFonts w:ascii="Segoe UI Symbol"/>
                            <w:color w:val="231F20"/>
                            <w:w w:val="105"/>
                            <w:sz w:val="13"/>
                          </w:rPr>
                          <w:t>to</w:t>
                        </w:r>
                        <w:r>
                          <w:rPr>
                            <w:rFonts w:ascii="Segoe UI Symbol"/>
                            <w:color w:val="231F20"/>
                            <w:spacing w:val="-6"/>
                            <w:w w:val="105"/>
                            <w:sz w:val="13"/>
                          </w:rPr>
                          <w:t xml:space="preserve"> </w:t>
                        </w:r>
                        <w:r>
                          <w:rPr>
                            <w:rFonts w:ascii="Segoe UI Symbol"/>
                            <w:color w:val="231F20"/>
                            <w:w w:val="105"/>
                            <w:sz w:val="13"/>
                          </w:rPr>
                          <w:t>tourist</w:t>
                        </w:r>
                        <w:r>
                          <w:rPr>
                            <w:rFonts w:ascii="Segoe UI Symbol"/>
                            <w:color w:val="231F20"/>
                            <w:spacing w:val="-6"/>
                            <w:w w:val="105"/>
                            <w:sz w:val="13"/>
                          </w:rPr>
                          <w:t xml:space="preserve"> </w:t>
                        </w:r>
                        <w:r>
                          <w:rPr>
                            <w:rFonts w:ascii="Segoe UI Symbol"/>
                            <w:color w:val="231F20"/>
                            <w:w w:val="105"/>
                            <w:sz w:val="13"/>
                          </w:rPr>
                          <w:t>precincts</w:t>
                        </w:r>
                        <w:r>
                          <w:rPr>
                            <w:rFonts w:ascii="Segoe UI Symbol"/>
                            <w:color w:val="231F20"/>
                            <w:spacing w:val="40"/>
                            <w:w w:val="105"/>
                            <w:sz w:val="13"/>
                          </w:rPr>
                          <w:t xml:space="preserve"> </w:t>
                        </w:r>
                        <w:r>
                          <w:rPr>
                            <w:rFonts w:ascii="Segoe UI Symbol"/>
                            <w:color w:val="231F20"/>
                            <w:spacing w:val="-2"/>
                            <w:w w:val="105"/>
                            <w:sz w:val="13"/>
                          </w:rPr>
                          <w:t>Infrastructure</w:t>
                        </w:r>
                      </w:p>
                      <w:p w14:paraId="0D796C91" w14:textId="77777777" w:rsidR="00AE0598" w:rsidRDefault="0069255A">
                        <w:pPr>
                          <w:spacing w:before="1"/>
                          <w:ind w:left="443" w:right="453"/>
                          <w:jc w:val="center"/>
                          <w:rPr>
                            <w:rFonts w:ascii="Segoe UI Symbol"/>
                            <w:sz w:val="13"/>
                          </w:rPr>
                        </w:pPr>
                        <w:r>
                          <w:rPr>
                            <w:rFonts w:ascii="Segoe UI Symbol"/>
                            <w:color w:val="231F20"/>
                            <w:sz w:val="13"/>
                          </w:rPr>
                          <w:t>Service</w:t>
                        </w:r>
                        <w:r>
                          <w:rPr>
                            <w:rFonts w:ascii="Segoe UI Symbol"/>
                            <w:color w:val="231F20"/>
                            <w:spacing w:val="7"/>
                            <w:sz w:val="13"/>
                          </w:rPr>
                          <w:t xml:space="preserve"> </w:t>
                        </w:r>
                        <w:r>
                          <w:rPr>
                            <w:rFonts w:ascii="Segoe UI Symbol"/>
                            <w:color w:val="231F20"/>
                            <w:spacing w:val="-2"/>
                            <w:sz w:val="13"/>
                          </w:rPr>
                          <w:t>development</w:t>
                        </w:r>
                      </w:p>
                    </w:txbxContent>
                  </v:textbox>
                </v:shape>
                <v:shape id="docshape244" o:spid="_x0000_s1099" type="#_x0000_t202" style="position:absolute;left:3303;top:204;width:2129;height: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" filled="f" strokecolor="#231f20" strokeweight=".19508mm">
                  <v:textbox inset="0,0,0,0">
                    <w:txbxContent>
                      <w:p w14:paraId="60A40435" w14:textId="77777777" w:rsidR="00AE0598" w:rsidRDefault="0069255A">
                        <w:pPr>
                          <w:spacing w:before="88"/>
                          <w:ind w:left="49"/>
                          <w:rPr>
                            <w:b/>
                            <w:sz w:val="15"/>
                          </w:rPr>
                        </w:pPr>
                        <w:r>
                          <w:rPr>
                            <w:b/>
                            <w:color w:val="231F20"/>
                            <w:w w:val="105"/>
                            <w:sz w:val="15"/>
                          </w:rPr>
                          <w:t>Sport</w:t>
                        </w:r>
                        <w:r>
                          <w:rPr>
                            <w:b/>
                            <w:color w:val="231F20"/>
                            <w:spacing w:val="18"/>
                            <w:w w:val="105"/>
                            <w:sz w:val="15"/>
                          </w:rPr>
                          <w:t xml:space="preserve"> </w:t>
                        </w:r>
                        <w:r>
                          <w:rPr>
                            <w:b/>
                            <w:color w:val="231F20"/>
                            <w:w w:val="105"/>
                            <w:sz w:val="15"/>
                          </w:rPr>
                          <w:t>and</w:t>
                        </w:r>
                        <w:r>
                          <w:rPr>
                            <w:b/>
                            <w:color w:val="231F20"/>
                            <w:spacing w:val="19"/>
                            <w:w w:val="105"/>
                            <w:sz w:val="15"/>
                          </w:rPr>
                          <w:t xml:space="preserve"> </w:t>
                        </w:r>
                        <w:r>
                          <w:rPr>
                            <w:b/>
                            <w:color w:val="231F20"/>
                            <w:w w:val="105"/>
                            <w:sz w:val="15"/>
                          </w:rPr>
                          <w:t>tourism</w:t>
                        </w:r>
                        <w:r>
                          <w:rPr>
                            <w:b/>
                            <w:color w:val="231F20"/>
                            <w:spacing w:val="19"/>
                            <w:w w:val="105"/>
                            <w:sz w:val="15"/>
                          </w:rPr>
                          <w:t xml:space="preserve"> </w:t>
                        </w:r>
                        <w:r>
                          <w:rPr>
                            <w:b/>
                            <w:color w:val="231F20"/>
                            <w:spacing w:val="-2"/>
                            <w:w w:val="105"/>
                            <w:sz w:val="15"/>
                          </w:rPr>
                          <w:t>systems</w:t>
                        </w:r>
                      </w:p>
                    </w:txbxContent>
                  </v:textbox>
                </v:shape>
                <w10:wrap type="topAndBottom" anchorx="page"/>
              </v:group>
            </w:pict>
          </mc:Fallback>
        </mc:AlternateContent>
      </w:r>
      <w:r>
        <w:rPr>
          <w:noProof/>
        </w:rPr>
        <mc:AlternateContent>
          <mc:Choice Requires="wpg">
            <w:drawing>
              <wp:anchor distT="0" distB="0" distL="0" distR="0" simplePos="0" relativeHeight="487674880" behindDoc="1" locked="0" layoutInCell="1" allowOverlap="1" wp14:anchorId="0373B0F7" wp14:editId="058C8951">
                <wp:simplePos x="0" y="0"/>
                <wp:positionH relativeFrom="page">
                  <wp:posOffset>3713480</wp:posOffset>
                </wp:positionH>
                <wp:positionV relativeFrom="paragraph">
                  <wp:posOffset>127000</wp:posOffset>
                </wp:positionV>
                <wp:extent cx="1136015" cy="2670175"/>
                <wp:effectExtent l="0" t="0" r="0" b="0"/>
                <wp:wrapTopAndBottom/>
                <wp:docPr id="117" name="docshapegroup2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36015" cy="2670175"/>
                          <a:chOff x="5848" y="200"/>
                          <a:chExt cx="1789" cy="4205"/>
                        </a:xfrm>
                      </wpg:grpSpPr>
                      <wps:wsp>
                        <wps:cNvPr id="118" name="docshape246"/>
                        <wps:cNvSpPr txBox="1">
                          <a:spLocks noChangeArrowheads="1"/>
                        </wps:cNvSpPr>
                        <wps:spPr bwMode="auto">
                          <a:xfrm>
                            <a:off x="5852" y="587"/>
                            <a:ext cx="1779" cy="3812"/>
                          </a:xfrm>
                          <a:prstGeom prst="rect">
                            <a:avLst/>
                          </a:prstGeom>
                          <a:noFill/>
                          <a:ln w="6426">
                            <a:solidFill>
                              <a:srgbClr val="231F2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7F388252" w14:textId="77777777" w:rsidR="00AE0598" w:rsidRDefault="0069255A">
                              <w:pPr>
                                <w:spacing w:before="55" w:line="254" w:lineRule="auto"/>
                                <w:ind w:left="200" w:right="527" w:hanging="5"/>
                                <w:rPr>
                                  <w:rFonts w:ascii="Segoe UI Symbol"/>
                                  <w:sz w:val="13"/>
                                </w:rPr>
                              </w:pPr>
                              <w:r>
                                <w:rPr>
                                  <w:i/>
                                  <w:color w:val="231F20"/>
                                  <w:w w:val="105"/>
                                  <w:sz w:val="13"/>
                                </w:rPr>
                                <w:t>Spectator</w:t>
                              </w:r>
                              <w:r>
                                <w:rPr>
                                  <w:i/>
                                  <w:color w:val="231F20"/>
                                  <w:spacing w:val="-5"/>
                                  <w:w w:val="105"/>
                                  <w:sz w:val="13"/>
                                </w:rPr>
                                <w:t xml:space="preserve"> </w:t>
                              </w:r>
                              <w:r>
                                <w:rPr>
                                  <w:i/>
                                  <w:color w:val="231F20"/>
                                  <w:w w:val="105"/>
                                  <w:sz w:val="13"/>
                                </w:rPr>
                                <w:t>events</w:t>
                              </w:r>
                              <w:r>
                                <w:rPr>
                                  <w:i/>
                                  <w:color w:val="231F20"/>
                                  <w:spacing w:val="40"/>
                                  <w:w w:val="105"/>
                                  <w:sz w:val="13"/>
                                </w:rPr>
                                <w:t xml:space="preserve"> </w:t>
                              </w:r>
                              <w:r>
                                <w:rPr>
                                  <w:rFonts w:ascii="Segoe UI Symbol"/>
                                  <w:color w:val="231F20"/>
                                  <w:w w:val="105"/>
                                  <w:sz w:val="13"/>
                                </w:rPr>
                                <w:t>Event</w:t>
                              </w:r>
                              <w:r>
                                <w:rPr>
                                  <w:rFonts w:ascii="Segoe UI Symbol"/>
                                  <w:color w:val="231F20"/>
                                  <w:spacing w:val="-10"/>
                                  <w:w w:val="105"/>
                                  <w:sz w:val="13"/>
                                </w:rPr>
                                <w:t xml:space="preserve"> </w:t>
                              </w:r>
                              <w:r>
                                <w:rPr>
                                  <w:rFonts w:ascii="Segoe UI Symbol"/>
                                  <w:color w:val="231F20"/>
                                  <w:w w:val="105"/>
                                  <w:sz w:val="13"/>
                                </w:rPr>
                                <w:t>production</w:t>
                              </w:r>
                              <w:r>
                                <w:rPr>
                                  <w:rFonts w:ascii="Segoe UI Symbol"/>
                                  <w:color w:val="231F20"/>
                                  <w:spacing w:val="40"/>
                                  <w:w w:val="105"/>
                                  <w:sz w:val="13"/>
                                </w:rPr>
                                <w:t xml:space="preserve"> </w:t>
                              </w:r>
                              <w:r>
                                <w:rPr>
                                  <w:rFonts w:ascii="Segoe UI Symbol"/>
                                  <w:color w:val="231F20"/>
                                  <w:w w:val="105"/>
                                  <w:sz w:val="13"/>
                                </w:rPr>
                                <w:t>Event</w:t>
                              </w:r>
                              <w:r>
                                <w:rPr>
                                  <w:rFonts w:ascii="Segoe UI Symbol"/>
                                  <w:color w:val="231F20"/>
                                  <w:spacing w:val="6"/>
                                  <w:w w:val="105"/>
                                  <w:sz w:val="13"/>
                                </w:rPr>
                                <w:t xml:space="preserve"> </w:t>
                              </w:r>
                              <w:r>
                                <w:rPr>
                                  <w:rFonts w:ascii="Segoe UI Symbol"/>
                                  <w:color w:val="231F20"/>
                                  <w:spacing w:val="-2"/>
                                  <w:w w:val="105"/>
                                  <w:sz w:val="13"/>
                                </w:rPr>
                                <w:t>marketing</w:t>
                              </w:r>
                            </w:p>
                            <w:p w14:paraId="35EC8C4F" w14:textId="77777777" w:rsidR="00AE0598" w:rsidRDefault="0069255A">
                              <w:pPr>
                                <w:spacing w:line="249" w:lineRule="auto"/>
                                <w:ind w:left="419" w:hanging="220"/>
                                <w:rPr>
                                  <w:rFonts w:ascii="Segoe UI Symbol"/>
                                  <w:sz w:val="13"/>
                                </w:rPr>
                              </w:pPr>
                              <w:r>
                                <w:rPr>
                                  <w:rFonts w:ascii="Segoe UI Symbol"/>
                                  <w:color w:val="231F20"/>
                                  <w:w w:val="105"/>
                                  <w:sz w:val="13"/>
                                </w:rPr>
                                <w:t>National identity and</w:t>
                              </w:r>
                              <w:r>
                                <w:rPr>
                                  <w:rFonts w:ascii="Segoe UI Symbol"/>
                                  <w:color w:val="231F20"/>
                                  <w:spacing w:val="40"/>
                                  <w:w w:val="105"/>
                                  <w:sz w:val="13"/>
                                </w:rPr>
                                <w:t xml:space="preserve"> </w:t>
                              </w:r>
                              <w:r>
                                <w:rPr>
                                  <w:rFonts w:ascii="Segoe UI Symbol"/>
                                  <w:color w:val="231F20"/>
                                  <w:spacing w:val="-2"/>
                                  <w:w w:val="105"/>
                                  <w:sz w:val="13"/>
                                </w:rPr>
                                <w:t>destination</w:t>
                              </w:r>
                              <w:r>
                                <w:rPr>
                                  <w:rFonts w:ascii="Segoe UI Symbol"/>
                                  <w:color w:val="231F20"/>
                                  <w:spacing w:val="-8"/>
                                  <w:w w:val="105"/>
                                  <w:sz w:val="13"/>
                                </w:rPr>
                                <w:t xml:space="preserve"> </w:t>
                              </w:r>
                              <w:r>
                                <w:rPr>
                                  <w:rFonts w:ascii="Segoe UI Symbol"/>
                                  <w:color w:val="231F20"/>
                                  <w:spacing w:val="-2"/>
                                  <w:w w:val="105"/>
                                  <w:sz w:val="13"/>
                                </w:rPr>
                                <w:t>reimaging</w:t>
                              </w:r>
                            </w:p>
                            <w:p w14:paraId="4ECF8ABD" w14:textId="77777777" w:rsidR="00AE0598" w:rsidRDefault="0069255A">
                              <w:pPr>
                                <w:spacing w:line="249" w:lineRule="auto"/>
                                <w:ind w:left="200" w:right="68"/>
                                <w:rPr>
                                  <w:rFonts w:ascii="Segoe UI Symbol"/>
                                  <w:sz w:val="13"/>
                                </w:rPr>
                              </w:pPr>
                              <w:r>
                                <w:rPr>
                                  <w:rFonts w:ascii="Segoe UI Symbol"/>
                                  <w:color w:val="231F20"/>
                                  <w:w w:val="105"/>
                                  <w:sz w:val="13"/>
                                </w:rPr>
                                <w:t>Level of competition</w:t>
                              </w:r>
                              <w:r>
                                <w:rPr>
                                  <w:rFonts w:ascii="Segoe UI Symbol"/>
                                  <w:color w:val="231F20"/>
                                  <w:spacing w:val="40"/>
                                  <w:w w:val="105"/>
                                  <w:sz w:val="13"/>
                                </w:rPr>
                                <w:t xml:space="preserve"> </w:t>
                              </w:r>
                              <w:r>
                                <w:rPr>
                                  <w:rFonts w:ascii="Segoe UI Symbol"/>
                                  <w:color w:val="231F20"/>
                                  <w:w w:val="105"/>
                                  <w:sz w:val="13"/>
                                </w:rPr>
                                <w:t>Type of sport/event</w:t>
                              </w:r>
                              <w:r>
                                <w:rPr>
                                  <w:rFonts w:ascii="Segoe UI Symbol"/>
                                  <w:color w:val="231F20"/>
                                  <w:spacing w:val="40"/>
                                  <w:w w:val="105"/>
                                  <w:sz w:val="13"/>
                                </w:rPr>
                                <w:t xml:space="preserve"> </w:t>
                              </w:r>
                              <w:r>
                                <w:rPr>
                                  <w:rFonts w:ascii="Segoe UI Symbol"/>
                                  <w:color w:val="231F20"/>
                                  <w:w w:val="105"/>
                                  <w:sz w:val="13"/>
                                </w:rPr>
                                <w:t>Home/away</w:t>
                              </w:r>
                              <w:r>
                                <w:rPr>
                                  <w:rFonts w:ascii="Segoe UI Symbol"/>
                                  <w:color w:val="231F20"/>
                                  <w:spacing w:val="-9"/>
                                  <w:w w:val="105"/>
                                  <w:sz w:val="13"/>
                                </w:rPr>
                                <w:t xml:space="preserve"> </w:t>
                              </w:r>
                              <w:r>
                                <w:rPr>
                                  <w:rFonts w:ascii="Segoe UI Symbol"/>
                                  <w:color w:val="231F20"/>
                                  <w:w w:val="105"/>
                                  <w:sz w:val="13"/>
                                </w:rPr>
                                <w:t>team</w:t>
                              </w:r>
                              <w:r>
                                <w:rPr>
                                  <w:rFonts w:ascii="Segoe UI Symbol"/>
                                  <w:color w:val="231F20"/>
                                  <w:spacing w:val="40"/>
                                  <w:w w:val="105"/>
                                  <w:sz w:val="13"/>
                                </w:rPr>
                                <w:t xml:space="preserve"> </w:t>
                              </w:r>
                              <w:r>
                                <w:rPr>
                                  <w:rFonts w:ascii="Segoe UI Symbol"/>
                                  <w:color w:val="231F20"/>
                                  <w:sz w:val="13"/>
                                </w:rPr>
                                <w:t>Standard</w:t>
                              </w:r>
                              <w:r>
                                <w:rPr>
                                  <w:rFonts w:ascii="Segoe UI Symbol"/>
                                  <w:color w:val="231F20"/>
                                  <w:spacing w:val="-1"/>
                                  <w:sz w:val="13"/>
                                </w:rPr>
                                <w:t xml:space="preserve"> </w:t>
                              </w:r>
                              <w:r>
                                <w:rPr>
                                  <w:rFonts w:ascii="Segoe UI Symbol"/>
                                  <w:color w:val="231F20"/>
                                  <w:sz w:val="13"/>
                                </w:rPr>
                                <w:t>of</w:t>
                              </w:r>
                              <w:r>
                                <w:rPr>
                                  <w:rFonts w:ascii="Segoe UI Symbol"/>
                                  <w:color w:val="231F20"/>
                                  <w:spacing w:val="-1"/>
                                  <w:sz w:val="13"/>
                                </w:rPr>
                                <w:t xml:space="preserve"> </w:t>
                              </w:r>
                              <w:r>
                                <w:rPr>
                                  <w:rFonts w:ascii="Segoe UI Symbol"/>
                                  <w:color w:val="231F20"/>
                                  <w:sz w:val="13"/>
                                </w:rPr>
                                <w:t>performance</w:t>
                              </w:r>
                              <w:r>
                                <w:rPr>
                                  <w:rFonts w:ascii="Segoe UI Symbol"/>
                                  <w:color w:val="231F20"/>
                                  <w:spacing w:val="40"/>
                                  <w:w w:val="105"/>
                                  <w:sz w:val="13"/>
                                </w:rPr>
                                <w:t xml:space="preserve"> </w:t>
                              </w:r>
                              <w:r>
                                <w:rPr>
                                  <w:rFonts w:ascii="Segoe UI Symbol"/>
                                  <w:color w:val="231F20"/>
                                  <w:spacing w:val="-2"/>
                                  <w:w w:val="105"/>
                                  <w:sz w:val="13"/>
                                </w:rPr>
                                <w:t>Outcome of competition</w:t>
                              </w:r>
                            </w:p>
                            <w:p w14:paraId="0B0A5EE9" w14:textId="77777777" w:rsidR="00AE0598" w:rsidRDefault="0069255A">
                              <w:pPr>
                                <w:spacing w:before="72" w:line="228" w:lineRule="auto"/>
                                <w:ind w:left="200" w:right="155"/>
                                <w:rPr>
                                  <w:rFonts w:ascii="Segoe UI Symbol"/>
                                  <w:sz w:val="13"/>
                                </w:rPr>
                              </w:pPr>
                              <w:r>
                                <w:rPr>
                                  <w:i/>
                                  <w:color w:val="231F20"/>
                                  <w:w w:val="105"/>
                                  <w:sz w:val="13"/>
                                </w:rPr>
                                <w:t>Participation</w:t>
                              </w:r>
                              <w:r>
                                <w:rPr>
                                  <w:i/>
                                  <w:color w:val="231F20"/>
                                  <w:spacing w:val="-5"/>
                                  <w:w w:val="105"/>
                                  <w:sz w:val="13"/>
                                </w:rPr>
                                <w:t xml:space="preserve"> </w:t>
                              </w:r>
                              <w:r>
                                <w:rPr>
                                  <w:i/>
                                  <w:color w:val="231F20"/>
                                  <w:w w:val="105"/>
                                  <w:sz w:val="13"/>
                                </w:rPr>
                                <w:t>events</w:t>
                              </w:r>
                              <w:r>
                                <w:rPr>
                                  <w:i/>
                                  <w:color w:val="231F20"/>
                                  <w:spacing w:val="40"/>
                                  <w:w w:val="105"/>
                                  <w:sz w:val="13"/>
                                </w:rPr>
                                <w:t xml:space="preserve"> </w:t>
                              </w:r>
                              <w:r>
                                <w:rPr>
                                  <w:rFonts w:ascii="Segoe UI Symbol"/>
                                  <w:color w:val="231F20"/>
                                  <w:spacing w:val="-2"/>
                                  <w:w w:val="105"/>
                                  <w:sz w:val="13"/>
                                </w:rPr>
                                <w:t>Level</w:t>
                              </w:r>
                              <w:r>
                                <w:rPr>
                                  <w:rFonts w:ascii="Segoe UI Symbol"/>
                                  <w:color w:val="231F20"/>
                                  <w:spacing w:val="-7"/>
                                  <w:w w:val="105"/>
                                  <w:sz w:val="13"/>
                                </w:rPr>
                                <w:t xml:space="preserve"> </w:t>
                              </w:r>
                              <w:r>
                                <w:rPr>
                                  <w:rFonts w:ascii="Segoe UI Symbol"/>
                                  <w:color w:val="231F20"/>
                                  <w:spacing w:val="-2"/>
                                  <w:w w:val="105"/>
                                  <w:sz w:val="13"/>
                                </w:rPr>
                                <w:t>of</w:t>
                              </w:r>
                              <w:r>
                                <w:rPr>
                                  <w:rFonts w:ascii="Segoe UI Symbol"/>
                                  <w:color w:val="231F20"/>
                                  <w:spacing w:val="-7"/>
                                  <w:w w:val="105"/>
                                  <w:sz w:val="13"/>
                                </w:rPr>
                                <w:t xml:space="preserve"> </w:t>
                              </w:r>
                              <w:r>
                                <w:rPr>
                                  <w:rFonts w:ascii="Segoe UI Symbol"/>
                                  <w:color w:val="231F20"/>
                                  <w:spacing w:val="-2"/>
                                  <w:w w:val="105"/>
                                  <w:sz w:val="13"/>
                                </w:rPr>
                                <w:t>competition</w:t>
                              </w:r>
                              <w:r>
                                <w:rPr>
                                  <w:rFonts w:ascii="Segoe UI Symbol"/>
                                  <w:color w:val="231F20"/>
                                  <w:spacing w:val="40"/>
                                  <w:w w:val="105"/>
                                  <w:sz w:val="13"/>
                                </w:rPr>
                                <w:t xml:space="preserve"> </w:t>
                              </w:r>
                              <w:r>
                                <w:rPr>
                                  <w:rFonts w:ascii="Segoe UI Symbol"/>
                                  <w:color w:val="231F20"/>
                                  <w:spacing w:val="-2"/>
                                  <w:w w:val="105"/>
                                  <w:sz w:val="13"/>
                                </w:rPr>
                                <w:t>Motivations</w:t>
                              </w:r>
                            </w:p>
                            <w:p w14:paraId="27E7D9DA" w14:textId="77777777" w:rsidR="00AE0598" w:rsidRDefault="0069255A">
                              <w:pPr>
                                <w:spacing w:before="53" w:line="259" w:lineRule="auto"/>
                                <w:ind w:left="342" w:hanging="137"/>
                                <w:rPr>
                                  <w:i/>
                                  <w:sz w:val="13"/>
                                </w:rPr>
                              </w:pPr>
                              <w:r>
                                <w:rPr>
                                  <w:i/>
                                  <w:color w:val="231F20"/>
                                  <w:spacing w:val="-2"/>
                                  <w:sz w:val="13"/>
                                </w:rPr>
                                <w:t>Active</w:t>
                              </w:r>
                              <w:r>
                                <w:rPr>
                                  <w:i/>
                                  <w:color w:val="231F20"/>
                                  <w:spacing w:val="-6"/>
                                  <w:sz w:val="13"/>
                                </w:rPr>
                                <w:t xml:space="preserve"> </w:t>
                              </w:r>
                              <w:r>
                                <w:rPr>
                                  <w:i/>
                                  <w:color w:val="231F20"/>
                                  <w:spacing w:val="-2"/>
                                  <w:sz w:val="13"/>
                                </w:rPr>
                                <w:t>engagement</w:t>
                              </w:r>
                              <w:r>
                                <w:rPr>
                                  <w:i/>
                                  <w:color w:val="231F20"/>
                                  <w:spacing w:val="-5"/>
                                  <w:sz w:val="13"/>
                                </w:rPr>
                                <w:t xml:space="preserve"> </w:t>
                              </w:r>
                              <w:r>
                                <w:rPr>
                                  <w:i/>
                                  <w:color w:val="231F20"/>
                                  <w:spacing w:val="-2"/>
                                  <w:sz w:val="13"/>
                                </w:rPr>
                                <w:t>in</w:t>
                              </w:r>
                              <w:r>
                                <w:rPr>
                                  <w:i/>
                                  <w:color w:val="231F20"/>
                                  <w:spacing w:val="40"/>
                                  <w:sz w:val="13"/>
                                </w:rPr>
                                <w:t xml:space="preserve"> </w:t>
                              </w:r>
                              <w:r>
                                <w:rPr>
                                  <w:i/>
                                  <w:color w:val="231F20"/>
                                  <w:w w:val="95"/>
                                  <w:sz w:val="13"/>
                                </w:rPr>
                                <w:t>recreational</w:t>
                              </w:r>
                              <w:r>
                                <w:rPr>
                                  <w:i/>
                                  <w:color w:val="231F20"/>
                                  <w:spacing w:val="-5"/>
                                  <w:w w:val="95"/>
                                  <w:sz w:val="13"/>
                                </w:rPr>
                                <w:t xml:space="preserve"> </w:t>
                              </w:r>
                              <w:r>
                                <w:rPr>
                                  <w:i/>
                                  <w:color w:val="231F20"/>
                                  <w:spacing w:val="-2"/>
                                  <w:sz w:val="13"/>
                                </w:rPr>
                                <w:t>sports</w:t>
                              </w:r>
                            </w:p>
                            <w:p w14:paraId="049D456F" w14:textId="77777777" w:rsidR="00AE0598" w:rsidRDefault="0069255A">
                              <w:pPr>
                                <w:spacing w:line="160" w:lineRule="exact"/>
                                <w:ind w:left="200"/>
                                <w:rPr>
                                  <w:rFonts w:ascii="Segoe UI Symbol"/>
                                  <w:sz w:val="13"/>
                                </w:rPr>
                              </w:pPr>
                              <w:r>
                                <w:rPr>
                                  <w:rFonts w:ascii="Segoe UI Symbol"/>
                                  <w:color w:val="231F20"/>
                                  <w:w w:val="110"/>
                                  <w:sz w:val="13"/>
                                </w:rPr>
                                <w:t>Activity</w:t>
                              </w:r>
                              <w:r>
                                <w:rPr>
                                  <w:rFonts w:ascii="Segoe UI Symbol"/>
                                  <w:color w:val="231F20"/>
                                  <w:spacing w:val="10"/>
                                  <w:w w:val="110"/>
                                  <w:sz w:val="13"/>
                                </w:rPr>
                                <w:t xml:space="preserve"> </w:t>
                              </w:r>
                              <w:r>
                                <w:rPr>
                                  <w:rFonts w:ascii="Segoe UI Symbol"/>
                                  <w:color w:val="231F20"/>
                                  <w:spacing w:val="-4"/>
                                  <w:w w:val="110"/>
                                  <w:sz w:val="13"/>
                                </w:rPr>
                                <w:t>mode</w:t>
                              </w:r>
                            </w:p>
                            <w:p w14:paraId="207D6082" w14:textId="77777777" w:rsidR="00AE0598" w:rsidRDefault="0069255A">
                              <w:pPr>
                                <w:spacing w:before="8"/>
                                <w:ind w:left="200"/>
                                <w:rPr>
                                  <w:rFonts w:ascii="Segoe UI Symbol"/>
                                  <w:sz w:val="13"/>
                                </w:rPr>
                              </w:pPr>
                              <w:r>
                                <w:rPr>
                                  <w:rFonts w:ascii="Segoe UI Symbol"/>
                                  <w:color w:val="231F20"/>
                                  <w:spacing w:val="-4"/>
                                  <w:w w:val="110"/>
                                  <w:sz w:val="13"/>
                                </w:rPr>
                                <w:t>Task</w:t>
                              </w:r>
                              <w:r>
                                <w:rPr>
                                  <w:rFonts w:ascii="Segoe UI Symbol"/>
                                  <w:color w:val="231F20"/>
                                  <w:spacing w:val="-3"/>
                                  <w:w w:val="110"/>
                                  <w:sz w:val="13"/>
                                </w:rPr>
                                <w:t xml:space="preserve"> </w:t>
                              </w:r>
                              <w:r>
                                <w:rPr>
                                  <w:rFonts w:ascii="Segoe UI Symbol"/>
                                  <w:color w:val="231F20"/>
                                  <w:spacing w:val="-2"/>
                                  <w:w w:val="110"/>
                                  <w:sz w:val="13"/>
                                </w:rPr>
                                <w:t>orientation</w:t>
                              </w:r>
                            </w:p>
                            <w:p w14:paraId="04EC2303" w14:textId="77777777" w:rsidR="00AE0598" w:rsidRDefault="0069255A">
                              <w:pPr>
                                <w:spacing w:before="100" w:line="254" w:lineRule="auto"/>
                                <w:ind w:left="200" w:right="556"/>
                                <w:rPr>
                                  <w:rFonts w:ascii="Segoe UI Symbol"/>
                                  <w:sz w:val="13"/>
                                </w:rPr>
                              </w:pPr>
                              <w:r>
                                <w:rPr>
                                  <w:i/>
                                  <w:color w:val="231F20"/>
                                  <w:spacing w:val="-2"/>
                                  <w:sz w:val="13"/>
                                </w:rPr>
                                <w:t>Heritage</w:t>
                              </w:r>
                              <w:r>
                                <w:rPr>
                                  <w:i/>
                                  <w:color w:val="231F20"/>
                                  <w:spacing w:val="-6"/>
                                  <w:sz w:val="13"/>
                                </w:rPr>
                                <w:t xml:space="preserve"> </w:t>
                              </w:r>
                              <w:r>
                                <w:rPr>
                                  <w:i/>
                                  <w:color w:val="231F20"/>
                                  <w:spacing w:val="-2"/>
                                  <w:sz w:val="13"/>
                                </w:rPr>
                                <w:t>sports</w:t>
                              </w:r>
                              <w:r>
                                <w:rPr>
                                  <w:i/>
                                  <w:color w:val="231F20"/>
                                  <w:spacing w:val="40"/>
                                  <w:sz w:val="13"/>
                                </w:rPr>
                                <w:t xml:space="preserve"> </w:t>
                              </w:r>
                              <w:r>
                                <w:rPr>
                                  <w:rFonts w:ascii="Segoe UI Symbol"/>
                                  <w:color w:val="231F20"/>
                                  <w:spacing w:val="-2"/>
                                  <w:sz w:val="13"/>
                                </w:rPr>
                                <w:t>Artefact</w:t>
                              </w:r>
                              <w:r>
                                <w:rPr>
                                  <w:rFonts w:ascii="Segoe UI Symbol"/>
                                  <w:color w:val="231F20"/>
                                  <w:spacing w:val="40"/>
                                  <w:sz w:val="13"/>
                                </w:rPr>
                                <w:t xml:space="preserve"> </w:t>
                              </w:r>
                              <w:r>
                                <w:rPr>
                                  <w:rFonts w:ascii="Segoe UI Symbol"/>
                                  <w:color w:val="231F20"/>
                                  <w:spacing w:val="-2"/>
                                  <w:sz w:val="13"/>
                                </w:rPr>
                                <w:t>Experience</w:t>
                              </w:r>
                            </w:p>
                          </w:txbxContent>
                        </wps:txbx>
                        <wps:bodyPr rot="0" vert="horz" wrap="square" lIns="0" tIns="0" rIns="0" bIns="0" anchor="t" anchorCtr="0" upright="1">
                          <a:noAutofit/>
                        </wps:bodyPr>
                      </wps:wsp>
                      <wps:wsp>
                        <wps:cNvPr id="119" name="docshape247"/>
                        <wps:cNvSpPr txBox="1">
                          <a:spLocks noChangeArrowheads="1"/>
                        </wps:cNvSpPr>
                        <wps:spPr bwMode="auto">
                          <a:xfrm>
                            <a:off x="5852" y="204"/>
                            <a:ext cx="1779" cy="383"/>
                          </a:xfrm>
                          <a:prstGeom prst="rect">
                            <a:avLst/>
                          </a:prstGeom>
                          <a:noFill/>
                          <a:ln w="6426">
                            <a:solidFill>
                              <a:srgbClr val="231F2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32DD1493" w14:textId="77777777" w:rsidR="00AE0598" w:rsidRDefault="0069255A">
                              <w:pPr>
                                <w:spacing w:before="14" w:line="225" w:lineRule="auto"/>
                                <w:ind w:left="448" w:hanging="45"/>
                                <w:rPr>
                                  <w:b/>
                                  <w:sz w:val="15"/>
                                </w:rPr>
                              </w:pPr>
                              <w:r>
                                <w:rPr>
                                  <w:b/>
                                  <w:color w:val="231F20"/>
                                  <w:w w:val="105"/>
                                  <w:sz w:val="15"/>
                                </w:rPr>
                                <w:t>Sport tourist</w:t>
                              </w:r>
                              <w:r>
                                <w:rPr>
                                  <w:b/>
                                  <w:color w:val="231F20"/>
                                  <w:spacing w:val="40"/>
                                  <w:w w:val="105"/>
                                  <w:sz w:val="15"/>
                                </w:rPr>
                                <w:t xml:space="preserve"> </w:t>
                              </w:r>
                              <w:r>
                                <w:rPr>
                                  <w:b/>
                                  <w:color w:val="231F20"/>
                                  <w:spacing w:val="-2"/>
                                  <w:w w:val="105"/>
                                  <w:sz w:val="15"/>
                                </w:rPr>
                                <w:t>experiences</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373B0F7" id="docshapegroup245" o:spid="_x0000_s1100" style="position:absolute;margin-left:292.4pt;margin-top:10pt;width:89.45pt;height:210.25pt;z-index:-15641600;mso-wrap-distance-left:0;mso-wrap-distance-right:0;mso-position-horizontal-relative:page;mso-position-vertical-relative:text" coordorigin="5848,200" coordsize="1789,42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">
                <v:shape id="docshape246" o:spid="_x0000_s1101" type="#_x0000_t202" style="position:absolute;left:5852;top:587;width:1779;height:3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" filled="f" strokecolor="#231f20" strokeweight=".1785mm">
                  <v:textbox inset="0,0,0,0">
                    <w:txbxContent>
                      <w:p w14:paraId="7F388252" w14:textId="77777777" w:rsidR="00AE0598" w:rsidRDefault="0069255A">
                        <w:pPr>
                          <w:spacing w:before="55" w:line="254" w:lineRule="auto"/>
                          <w:ind w:left="200" w:right="527" w:hanging="5"/>
                          <w:rPr>
                            <w:rFonts w:ascii="Segoe UI Symbol"/>
                            <w:sz w:val="13"/>
                          </w:rPr>
                        </w:pPr>
                        <w:r>
                          <w:rPr>
                            <w:i/>
                            <w:color w:val="231F20"/>
                            <w:w w:val="105"/>
                            <w:sz w:val="13"/>
                          </w:rPr>
                          <w:t>Spectator</w:t>
                        </w:r>
                        <w:r>
                          <w:rPr>
                            <w:i/>
                            <w:color w:val="231F20"/>
                            <w:spacing w:val="-5"/>
                            <w:w w:val="105"/>
                            <w:sz w:val="13"/>
                          </w:rPr>
                          <w:t xml:space="preserve"> </w:t>
                        </w:r>
                        <w:r>
                          <w:rPr>
                            <w:i/>
                            <w:color w:val="231F20"/>
                            <w:w w:val="105"/>
                            <w:sz w:val="13"/>
                          </w:rPr>
                          <w:t>events</w:t>
                        </w:r>
                        <w:r>
                          <w:rPr>
                            <w:i/>
                            <w:color w:val="231F20"/>
                            <w:spacing w:val="40"/>
                            <w:w w:val="105"/>
                            <w:sz w:val="13"/>
                          </w:rPr>
                          <w:t xml:space="preserve"> </w:t>
                        </w:r>
                        <w:r>
                          <w:rPr>
                            <w:rFonts w:ascii="Segoe UI Symbol"/>
                            <w:color w:val="231F20"/>
                            <w:w w:val="105"/>
                            <w:sz w:val="13"/>
                          </w:rPr>
                          <w:t>Event</w:t>
                        </w:r>
                        <w:r>
                          <w:rPr>
                            <w:rFonts w:ascii="Segoe UI Symbol"/>
                            <w:color w:val="231F20"/>
                            <w:spacing w:val="-10"/>
                            <w:w w:val="105"/>
                            <w:sz w:val="13"/>
                          </w:rPr>
                          <w:t xml:space="preserve"> </w:t>
                        </w:r>
                        <w:r>
                          <w:rPr>
                            <w:rFonts w:ascii="Segoe UI Symbol"/>
                            <w:color w:val="231F20"/>
                            <w:w w:val="105"/>
                            <w:sz w:val="13"/>
                          </w:rPr>
                          <w:t>production</w:t>
                        </w:r>
                        <w:r>
                          <w:rPr>
                            <w:rFonts w:ascii="Segoe UI Symbol"/>
                            <w:color w:val="231F20"/>
                            <w:spacing w:val="40"/>
                            <w:w w:val="105"/>
                            <w:sz w:val="13"/>
                          </w:rPr>
                          <w:t xml:space="preserve"> </w:t>
                        </w:r>
                        <w:r>
                          <w:rPr>
                            <w:rFonts w:ascii="Segoe UI Symbol"/>
                            <w:color w:val="231F20"/>
                            <w:w w:val="105"/>
                            <w:sz w:val="13"/>
                          </w:rPr>
                          <w:t>Event</w:t>
                        </w:r>
                        <w:r>
                          <w:rPr>
                            <w:rFonts w:ascii="Segoe UI Symbol"/>
                            <w:color w:val="231F20"/>
                            <w:spacing w:val="6"/>
                            <w:w w:val="105"/>
                            <w:sz w:val="13"/>
                          </w:rPr>
                          <w:t xml:space="preserve"> </w:t>
                        </w:r>
                        <w:r>
                          <w:rPr>
                            <w:rFonts w:ascii="Segoe UI Symbol"/>
                            <w:color w:val="231F20"/>
                            <w:spacing w:val="-2"/>
                            <w:w w:val="105"/>
                            <w:sz w:val="13"/>
                          </w:rPr>
                          <w:t>marketing</w:t>
                        </w:r>
                      </w:p>
                      <w:p w14:paraId="35EC8C4F" w14:textId="77777777" w:rsidR="00AE0598" w:rsidRDefault="0069255A">
                        <w:pPr>
                          <w:spacing w:line="249" w:lineRule="auto"/>
                          <w:ind w:left="419" w:hanging="220"/>
                          <w:rPr>
                            <w:rFonts w:ascii="Segoe UI Symbol"/>
                            <w:sz w:val="13"/>
                          </w:rPr>
                        </w:pPr>
                        <w:r>
                          <w:rPr>
                            <w:rFonts w:ascii="Segoe UI Symbol"/>
                            <w:color w:val="231F20"/>
                            <w:w w:val="105"/>
                            <w:sz w:val="13"/>
                          </w:rPr>
                          <w:t>National identity and</w:t>
                        </w:r>
                        <w:r>
                          <w:rPr>
                            <w:rFonts w:ascii="Segoe UI Symbol"/>
                            <w:color w:val="231F20"/>
                            <w:spacing w:val="40"/>
                            <w:w w:val="105"/>
                            <w:sz w:val="13"/>
                          </w:rPr>
                          <w:t xml:space="preserve"> </w:t>
                        </w:r>
                        <w:r>
                          <w:rPr>
                            <w:rFonts w:ascii="Segoe UI Symbol"/>
                            <w:color w:val="231F20"/>
                            <w:spacing w:val="-2"/>
                            <w:w w:val="105"/>
                            <w:sz w:val="13"/>
                          </w:rPr>
                          <w:t>destination</w:t>
                        </w:r>
                        <w:r>
                          <w:rPr>
                            <w:rFonts w:ascii="Segoe UI Symbol"/>
                            <w:color w:val="231F20"/>
                            <w:spacing w:val="-8"/>
                            <w:w w:val="105"/>
                            <w:sz w:val="13"/>
                          </w:rPr>
                          <w:t xml:space="preserve"> </w:t>
                        </w:r>
                        <w:r>
                          <w:rPr>
                            <w:rFonts w:ascii="Segoe UI Symbol"/>
                            <w:color w:val="231F20"/>
                            <w:spacing w:val="-2"/>
                            <w:w w:val="105"/>
                            <w:sz w:val="13"/>
                          </w:rPr>
                          <w:t>reimaging</w:t>
                        </w:r>
                      </w:p>
                      <w:p w14:paraId="4ECF8ABD" w14:textId="77777777" w:rsidR="00AE0598" w:rsidRDefault="0069255A">
                        <w:pPr>
                          <w:spacing w:line="249" w:lineRule="auto"/>
                          <w:ind w:left="200" w:right="68"/>
                          <w:rPr>
                            <w:rFonts w:ascii="Segoe UI Symbol"/>
                            <w:sz w:val="13"/>
                          </w:rPr>
                        </w:pPr>
                        <w:r>
                          <w:rPr>
                            <w:rFonts w:ascii="Segoe UI Symbol"/>
                            <w:color w:val="231F20"/>
                            <w:w w:val="105"/>
                            <w:sz w:val="13"/>
                          </w:rPr>
                          <w:t>Level of competition</w:t>
                        </w:r>
                        <w:r>
                          <w:rPr>
                            <w:rFonts w:ascii="Segoe UI Symbol"/>
                            <w:color w:val="231F20"/>
                            <w:spacing w:val="40"/>
                            <w:w w:val="105"/>
                            <w:sz w:val="13"/>
                          </w:rPr>
                          <w:t xml:space="preserve"> </w:t>
                        </w:r>
                        <w:r>
                          <w:rPr>
                            <w:rFonts w:ascii="Segoe UI Symbol"/>
                            <w:color w:val="231F20"/>
                            <w:w w:val="105"/>
                            <w:sz w:val="13"/>
                          </w:rPr>
                          <w:t>Type of sport/event</w:t>
                        </w:r>
                        <w:r>
                          <w:rPr>
                            <w:rFonts w:ascii="Segoe UI Symbol"/>
                            <w:color w:val="231F20"/>
                            <w:spacing w:val="40"/>
                            <w:w w:val="105"/>
                            <w:sz w:val="13"/>
                          </w:rPr>
                          <w:t xml:space="preserve"> </w:t>
                        </w:r>
                        <w:r>
                          <w:rPr>
                            <w:rFonts w:ascii="Segoe UI Symbol"/>
                            <w:color w:val="231F20"/>
                            <w:w w:val="105"/>
                            <w:sz w:val="13"/>
                          </w:rPr>
                          <w:t>Home/away</w:t>
                        </w:r>
                        <w:r>
                          <w:rPr>
                            <w:rFonts w:ascii="Segoe UI Symbol"/>
                            <w:color w:val="231F20"/>
                            <w:spacing w:val="-9"/>
                            <w:w w:val="105"/>
                            <w:sz w:val="13"/>
                          </w:rPr>
                          <w:t xml:space="preserve"> </w:t>
                        </w:r>
                        <w:r>
                          <w:rPr>
                            <w:rFonts w:ascii="Segoe UI Symbol"/>
                            <w:color w:val="231F20"/>
                            <w:w w:val="105"/>
                            <w:sz w:val="13"/>
                          </w:rPr>
                          <w:t>team</w:t>
                        </w:r>
                        <w:r>
                          <w:rPr>
                            <w:rFonts w:ascii="Segoe UI Symbol"/>
                            <w:color w:val="231F20"/>
                            <w:spacing w:val="40"/>
                            <w:w w:val="105"/>
                            <w:sz w:val="13"/>
                          </w:rPr>
                          <w:t xml:space="preserve"> </w:t>
                        </w:r>
                        <w:r>
                          <w:rPr>
                            <w:rFonts w:ascii="Segoe UI Symbol"/>
                            <w:color w:val="231F20"/>
                            <w:sz w:val="13"/>
                          </w:rPr>
                          <w:t>Standard</w:t>
                        </w:r>
                        <w:r>
                          <w:rPr>
                            <w:rFonts w:ascii="Segoe UI Symbol"/>
                            <w:color w:val="231F20"/>
                            <w:spacing w:val="-1"/>
                            <w:sz w:val="13"/>
                          </w:rPr>
                          <w:t xml:space="preserve"> </w:t>
                        </w:r>
                        <w:r>
                          <w:rPr>
                            <w:rFonts w:ascii="Segoe UI Symbol"/>
                            <w:color w:val="231F20"/>
                            <w:sz w:val="13"/>
                          </w:rPr>
                          <w:t>of</w:t>
                        </w:r>
                        <w:r>
                          <w:rPr>
                            <w:rFonts w:ascii="Segoe UI Symbol"/>
                            <w:color w:val="231F20"/>
                            <w:spacing w:val="-1"/>
                            <w:sz w:val="13"/>
                          </w:rPr>
                          <w:t xml:space="preserve"> </w:t>
                        </w:r>
                        <w:r>
                          <w:rPr>
                            <w:rFonts w:ascii="Segoe UI Symbol"/>
                            <w:color w:val="231F20"/>
                            <w:sz w:val="13"/>
                          </w:rPr>
                          <w:t>performance</w:t>
                        </w:r>
                        <w:r>
                          <w:rPr>
                            <w:rFonts w:ascii="Segoe UI Symbol"/>
                            <w:color w:val="231F20"/>
                            <w:spacing w:val="40"/>
                            <w:w w:val="105"/>
                            <w:sz w:val="13"/>
                          </w:rPr>
                          <w:t xml:space="preserve"> </w:t>
                        </w:r>
                        <w:r>
                          <w:rPr>
                            <w:rFonts w:ascii="Segoe UI Symbol"/>
                            <w:color w:val="231F20"/>
                            <w:spacing w:val="-2"/>
                            <w:w w:val="105"/>
                            <w:sz w:val="13"/>
                          </w:rPr>
                          <w:t>Outcome of competition</w:t>
                        </w:r>
                      </w:p>
                      <w:p w14:paraId="0B0A5EE9" w14:textId="77777777" w:rsidR="00AE0598" w:rsidRDefault="0069255A">
                        <w:pPr>
                          <w:spacing w:before="72" w:line="228" w:lineRule="auto"/>
                          <w:ind w:left="200" w:right="155"/>
                          <w:rPr>
                            <w:rFonts w:ascii="Segoe UI Symbol"/>
                            <w:sz w:val="13"/>
                          </w:rPr>
                        </w:pPr>
                        <w:r>
                          <w:rPr>
                            <w:i/>
                            <w:color w:val="231F20"/>
                            <w:w w:val="105"/>
                            <w:sz w:val="13"/>
                          </w:rPr>
                          <w:t>Participation</w:t>
                        </w:r>
                        <w:r>
                          <w:rPr>
                            <w:i/>
                            <w:color w:val="231F20"/>
                            <w:spacing w:val="-5"/>
                            <w:w w:val="105"/>
                            <w:sz w:val="13"/>
                          </w:rPr>
                          <w:t xml:space="preserve"> </w:t>
                        </w:r>
                        <w:r>
                          <w:rPr>
                            <w:i/>
                            <w:color w:val="231F20"/>
                            <w:w w:val="105"/>
                            <w:sz w:val="13"/>
                          </w:rPr>
                          <w:t>events</w:t>
                        </w:r>
                        <w:r>
                          <w:rPr>
                            <w:i/>
                            <w:color w:val="231F20"/>
                            <w:spacing w:val="40"/>
                            <w:w w:val="105"/>
                            <w:sz w:val="13"/>
                          </w:rPr>
                          <w:t xml:space="preserve"> </w:t>
                        </w:r>
                        <w:r>
                          <w:rPr>
                            <w:rFonts w:ascii="Segoe UI Symbol"/>
                            <w:color w:val="231F20"/>
                            <w:spacing w:val="-2"/>
                            <w:w w:val="105"/>
                            <w:sz w:val="13"/>
                          </w:rPr>
                          <w:t>Level</w:t>
                        </w:r>
                        <w:r>
                          <w:rPr>
                            <w:rFonts w:ascii="Segoe UI Symbol"/>
                            <w:color w:val="231F20"/>
                            <w:spacing w:val="-7"/>
                            <w:w w:val="105"/>
                            <w:sz w:val="13"/>
                          </w:rPr>
                          <w:t xml:space="preserve"> </w:t>
                        </w:r>
                        <w:r>
                          <w:rPr>
                            <w:rFonts w:ascii="Segoe UI Symbol"/>
                            <w:color w:val="231F20"/>
                            <w:spacing w:val="-2"/>
                            <w:w w:val="105"/>
                            <w:sz w:val="13"/>
                          </w:rPr>
                          <w:t>of</w:t>
                        </w:r>
                        <w:r>
                          <w:rPr>
                            <w:rFonts w:ascii="Segoe UI Symbol"/>
                            <w:color w:val="231F20"/>
                            <w:spacing w:val="-7"/>
                            <w:w w:val="105"/>
                            <w:sz w:val="13"/>
                          </w:rPr>
                          <w:t xml:space="preserve"> </w:t>
                        </w:r>
                        <w:r>
                          <w:rPr>
                            <w:rFonts w:ascii="Segoe UI Symbol"/>
                            <w:color w:val="231F20"/>
                            <w:spacing w:val="-2"/>
                            <w:w w:val="105"/>
                            <w:sz w:val="13"/>
                          </w:rPr>
                          <w:t>competition</w:t>
                        </w:r>
                        <w:r>
                          <w:rPr>
                            <w:rFonts w:ascii="Segoe UI Symbol"/>
                            <w:color w:val="231F20"/>
                            <w:spacing w:val="40"/>
                            <w:w w:val="105"/>
                            <w:sz w:val="13"/>
                          </w:rPr>
                          <w:t xml:space="preserve"> </w:t>
                        </w:r>
                        <w:r>
                          <w:rPr>
                            <w:rFonts w:ascii="Segoe UI Symbol"/>
                            <w:color w:val="231F20"/>
                            <w:spacing w:val="-2"/>
                            <w:w w:val="105"/>
                            <w:sz w:val="13"/>
                          </w:rPr>
                          <w:t>Motivations</w:t>
                        </w:r>
                      </w:p>
                      <w:p w14:paraId="27E7D9DA" w14:textId="77777777" w:rsidR="00AE0598" w:rsidRDefault="0069255A">
                        <w:pPr>
                          <w:spacing w:before="53" w:line="259" w:lineRule="auto"/>
                          <w:ind w:left="342" w:hanging="137"/>
                          <w:rPr>
                            <w:i/>
                            <w:sz w:val="13"/>
                          </w:rPr>
                        </w:pPr>
                        <w:r>
                          <w:rPr>
                            <w:i/>
                            <w:color w:val="231F20"/>
                            <w:spacing w:val="-2"/>
                            <w:sz w:val="13"/>
                          </w:rPr>
                          <w:t>Active</w:t>
                        </w:r>
                        <w:r>
                          <w:rPr>
                            <w:i/>
                            <w:color w:val="231F20"/>
                            <w:spacing w:val="-6"/>
                            <w:sz w:val="13"/>
                          </w:rPr>
                          <w:t xml:space="preserve"> </w:t>
                        </w:r>
                        <w:r>
                          <w:rPr>
                            <w:i/>
                            <w:color w:val="231F20"/>
                            <w:spacing w:val="-2"/>
                            <w:sz w:val="13"/>
                          </w:rPr>
                          <w:t>engagement</w:t>
                        </w:r>
                        <w:r>
                          <w:rPr>
                            <w:i/>
                            <w:color w:val="231F20"/>
                            <w:spacing w:val="-5"/>
                            <w:sz w:val="13"/>
                          </w:rPr>
                          <w:t xml:space="preserve"> </w:t>
                        </w:r>
                        <w:r>
                          <w:rPr>
                            <w:i/>
                            <w:color w:val="231F20"/>
                            <w:spacing w:val="-2"/>
                            <w:sz w:val="13"/>
                          </w:rPr>
                          <w:t>in</w:t>
                        </w:r>
                        <w:r>
                          <w:rPr>
                            <w:i/>
                            <w:color w:val="231F20"/>
                            <w:spacing w:val="40"/>
                            <w:sz w:val="13"/>
                          </w:rPr>
                          <w:t xml:space="preserve"> </w:t>
                        </w:r>
                        <w:r>
                          <w:rPr>
                            <w:i/>
                            <w:color w:val="231F20"/>
                            <w:w w:val="95"/>
                            <w:sz w:val="13"/>
                          </w:rPr>
                          <w:t>recreational</w:t>
                        </w:r>
                        <w:r>
                          <w:rPr>
                            <w:i/>
                            <w:color w:val="231F20"/>
                            <w:spacing w:val="-5"/>
                            <w:w w:val="95"/>
                            <w:sz w:val="13"/>
                          </w:rPr>
                          <w:t xml:space="preserve"> </w:t>
                        </w:r>
                        <w:r>
                          <w:rPr>
                            <w:i/>
                            <w:color w:val="231F20"/>
                            <w:spacing w:val="-2"/>
                            <w:sz w:val="13"/>
                          </w:rPr>
                          <w:t>sports</w:t>
                        </w:r>
                      </w:p>
                      <w:p w14:paraId="049D456F" w14:textId="77777777" w:rsidR="00AE0598" w:rsidRDefault="0069255A">
                        <w:pPr>
                          <w:spacing w:line="160" w:lineRule="exact"/>
                          <w:ind w:left="200"/>
                          <w:rPr>
                            <w:rFonts w:ascii="Segoe UI Symbol"/>
                            <w:sz w:val="13"/>
                          </w:rPr>
                        </w:pPr>
                        <w:r>
                          <w:rPr>
                            <w:rFonts w:ascii="Segoe UI Symbol"/>
                            <w:color w:val="231F20"/>
                            <w:w w:val="110"/>
                            <w:sz w:val="13"/>
                          </w:rPr>
                          <w:t>Activity</w:t>
                        </w:r>
                        <w:r>
                          <w:rPr>
                            <w:rFonts w:ascii="Segoe UI Symbol"/>
                            <w:color w:val="231F20"/>
                            <w:spacing w:val="10"/>
                            <w:w w:val="110"/>
                            <w:sz w:val="13"/>
                          </w:rPr>
                          <w:t xml:space="preserve"> </w:t>
                        </w:r>
                        <w:r>
                          <w:rPr>
                            <w:rFonts w:ascii="Segoe UI Symbol"/>
                            <w:color w:val="231F20"/>
                            <w:spacing w:val="-4"/>
                            <w:w w:val="110"/>
                            <w:sz w:val="13"/>
                          </w:rPr>
                          <w:t>mode</w:t>
                        </w:r>
                      </w:p>
                      <w:p w14:paraId="207D6082" w14:textId="77777777" w:rsidR="00AE0598" w:rsidRDefault="0069255A">
                        <w:pPr>
                          <w:spacing w:before="8"/>
                          <w:ind w:left="200"/>
                          <w:rPr>
                            <w:rFonts w:ascii="Segoe UI Symbol"/>
                            <w:sz w:val="13"/>
                          </w:rPr>
                        </w:pPr>
                        <w:r>
                          <w:rPr>
                            <w:rFonts w:ascii="Segoe UI Symbol"/>
                            <w:color w:val="231F20"/>
                            <w:spacing w:val="-4"/>
                            <w:w w:val="110"/>
                            <w:sz w:val="13"/>
                          </w:rPr>
                          <w:t>Task</w:t>
                        </w:r>
                        <w:r>
                          <w:rPr>
                            <w:rFonts w:ascii="Segoe UI Symbol"/>
                            <w:color w:val="231F20"/>
                            <w:spacing w:val="-3"/>
                            <w:w w:val="110"/>
                            <w:sz w:val="13"/>
                          </w:rPr>
                          <w:t xml:space="preserve"> </w:t>
                        </w:r>
                        <w:r>
                          <w:rPr>
                            <w:rFonts w:ascii="Segoe UI Symbol"/>
                            <w:color w:val="231F20"/>
                            <w:spacing w:val="-2"/>
                            <w:w w:val="110"/>
                            <w:sz w:val="13"/>
                          </w:rPr>
                          <w:t>orientation</w:t>
                        </w:r>
                      </w:p>
                      <w:p w14:paraId="04EC2303" w14:textId="77777777" w:rsidR="00AE0598" w:rsidRDefault="0069255A">
                        <w:pPr>
                          <w:spacing w:before="100" w:line="254" w:lineRule="auto"/>
                          <w:ind w:left="200" w:right="556"/>
                          <w:rPr>
                            <w:rFonts w:ascii="Segoe UI Symbol"/>
                            <w:sz w:val="13"/>
                          </w:rPr>
                        </w:pPr>
                        <w:r>
                          <w:rPr>
                            <w:i/>
                            <w:color w:val="231F20"/>
                            <w:spacing w:val="-2"/>
                            <w:sz w:val="13"/>
                          </w:rPr>
                          <w:t>Heritage</w:t>
                        </w:r>
                        <w:r>
                          <w:rPr>
                            <w:i/>
                            <w:color w:val="231F20"/>
                            <w:spacing w:val="-6"/>
                            <w:sz w:val="13"/>
                          </w:rPr>
                          <w:t xml:space="preserve"> </w:t>
                        </w:r>
                        <w:r>
                          <w:rPr>
                            <w:i/>
                            <w:color w:val="231F20"/>
                            <w:spacing w:val="-2"/>
                            <w:sz w:val="13"/>
                          </w:rPr>
                          <w:t>sports</w:t>
                        </w:r>
                        <w:r>
                          <w:rPr>
                            <w:i/>
                            <w:color w:val="231F20"/>
                            <w:spacing w:val="40"/>
                            <w:sz w:val="13"/>
                          </w:rPr>
                          <w:t xml:space="preserve"> </w:t>
                        </w:r>
                        <w:r>
                          <w:rPr>
                            <w:rFonts w:ascii="Segoe UI Symbol"/>
                            <w:color w:val="231F20"/>
                            <w:spacing w:val="-2"/>
                            <w:sz w:val="13"/>
                          </w:rPr>
                          <w:t>Artefact</w:t>
                        </w:r>
                        <w:r>
                          <w:rPr>
                            <w:rFonts w:ascii="Segoe UI Symbol"/>
                            <w:color w:val="231F20"/>
                            <w:spacing w:val="40"/>
                            <w:sz w:val="13"/>
                          </w:rPr>
                          <w:t xml:space="preserve"> </w:t>
                        </w:r>
                        <w:r>
                          <w:rPr>
                            <w:rFonts w:ascii="Segoe UI Symbol"/>
                            <w:color w:val="231F20"/>
                            <w:spacing w:val="-2"/>
                            <w:sz w:val="13"/>
                          </w:rPr>
                          <w:t>Experience</w:t>
                        </w:r>
                      </w:p>
                    </w:txbxContent>
                  </v:textbox>
                </v:shape>
                <v:shape id="docshape247" o:spid="_x0000_s1102" type="#_x0000_t202" style="position:absolute;left:5852;top:204;width:1779;height: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" filled="f" strokecolor="#231f20" strokeweight=".1785mm">
                  <v:textbox inset="0,0,0,0">
                    <w:txbxContent>
                      <w:p w14:paraId="32DD1493" w14:textId="77777777" w:rsidR="00AE0598" w:rsidRDefault="0069255A">
                        <w:pPr>
                          <w:spacing w:before="14" w:line="225" w:lineRule="auto"/>
                          <w:ind w:left="448" w:hanging="45"/>
                          <w:rPr>
                            <w:b/>
                            <w:sz w:val="15"/>
                          </w:rPr>
                        </w:pPr>
                        <w:r>
                          <w:rPr>
                            <w:b/>
                            <w:color w:val="231F20"/>
                            <w:w w:val="105"/>
                            <w:sz w:val="15"/>
                          </w:rPr>
                          <w:t>Sport tourist</w:t>
                        </w:r>
                        <w:r>
                          <w:rPr>
                            <w:b/>
                            <w:color w:val="231F20"/>
                            <w:spacing w:val="40"/>
                            <w:w w:val="105"/>
                            <w:sz w:val="15"/>
                          </w:rPr>
                          <w:t xml:space="preserve"> </w:t>
                        </w:r>
                        <w:r>
                          <w:rPr>
                            <w:b/>
                            <w:color w:val="231F20"/>
                            <w:spacing w:val="-2"/>
                            <w:w w:val="105"/>
                            <w:sz w:val="15"/>
                          </w:rPr>
                          <w:t>experiences</w:t>
                        </w:r>
                      </w:p>
                    </w:txbxContent>
                  </v:textbox>
                </v:shape>
                <w10:wrap type="topAndBottom" anchorx="page"/>
              </v:group>
            </w:pict>
          </mc:Fallback>
        </mc:AlternateContent>
      </w:r>
    </w:p>
    <w:p w14:paraId="3026F555" w14:textId="77777777" w:rsidR="00AE0598" w:rsidRDefault="00AE0598">
      <w:pPr>
        <w:pStyle w:val="Corpodetexto"/>
        <w:spacing w:before="8"/>
        <w:rPr>
          <w:sz w:val="11"/>
        </w:rPr>
      </w:pPr>
    </w:p>
    <w:p w14:paraId="619E8D00" w14:textId="77777777" w:rsidR="00AE0598" w:rsidRDefault="0069255A">
      <w:pPr>
        <w:spacing w:before="99"/>
        <w:ind w:left="110"/>
        <w:rPr>
          <w:rFonts w:ascii="Trebuchet MS"/>
          <w:sz w:val="14"/>
        </w:rPr>
      </w:pPr>
      <w:r>
        <w:rPr>
          <w:rFonts w:ascii="Trebuchet MS"/>
          <w:b/>
          <w:color w:val="231F20"/>
          <w:sz w:val="14"/>
        </w:rPr>
        <w:t>Figure</w:t>
      </w:r>
      <w:r>
        <w:rPr>
          <w:rFonts w:ascii="Trebuchet MS"/>
          <w:b/>
          <w:color w:val="231F20"/>
          <w:spacing w:val="11"/>
          <w:sz w:val="14"/>
        </w:rPr>
        <w:t xml:space="preserve"> </w:t>
      </w:r>
      <w:r>
        <w:rPr>
          <w:rFonts w:ascii="Trebuchet MS"/>
          <w:b/>
          <w:color w:val="231F20"/>
          <w:sz w:val="14"/>
        </w:rPr>
        <w:t>8.2</w:t>
      </w:r>
      <w:r>
        <w:rPr>
          <w:rFonts w:ascii="Trebuchet MS"/>
          <w:b/>
          <w:color w:val="231F20"/>
          <w:spacing w:val="56"/>
          <w:sz w:val="14"/>
        </w:rPr>
        <w:t xml:space="preserve"> </w:t>
      </w:r>
      <w:r>
        <w:rPr>
          <w:rFonts w:ascii="Trebuchet MS"/>
          <w:color w:val="231F20"/>
          <w:sz w:val="14"/>
        </w:rPr>
        <w:t>Factors</w:t>
      </w:r>
      <w:r>
        <w:rPr>
          <w:rFonts w:ascii="Trebuchet MS"/>
          <w:color w:val="231F20"/>
          <w:spacing w:val="12"/>
          <w:sz w:val="14"/>
        </w:rPr>
        <w:t xml:space="preserve"> </w:t>
      </w:r>
      <w:r>
        <w:rPr>
          <w:rFonts w:ascii="Trebuchet MS"/>
          <w:color w:val="231F20"/>
          <w:sz w:val="14"/>
        </w:rPr>
        <w:t>influencing</w:t>
      </w:r>
      <w:r>
        <w:rPr>
          <w:rFonts w:ascii="Trebuchet MS"/>
          <w:color w:val="231F20"/>
          <w:spacing w:val="12"/>
          <w:sz w:val="14"/>
        </w:rPr>
        <w:t xml:space="preserve"> </w:t>
      </w:r>
      <w:r>
        <w:rPr>
          <w:rFonts w:ascii="Trebuchet MS"/>
          <w:color w:val="231F20"/>
          <w:sz w:val="14"/>
        </w:rPr>
        <w:t>the</w:t>
      </w:r>
      <w:r>
        <w:rPr>
          <w:rFonts w:ascii="Trebuchet MS"/>
          <w:color w:val="231F20"/>
          <w:spacing w:val="12"/>
          <w:sz w:val="14"/>
        </w:rPr>
        <w:t xml:space="preserve"> </w:t>
      </w:r>
      <w:r>
        <w:rPr>
          <w:rFonts w:ascii="Trebuchet MS"/>
          <w:color w:val="231F20"/>
          <w:sz w:val="14"/>
        </w:rPr>
        <w:t>sport</w:t>
      </w:r>
      <w:r>
        <w:rPr>
          <w:rFonts w:ascii="Trebuchet MS"/>
          <w:color w:val="231F20"/>
          <w:spacing w:val="12"/>
          <w:sz w:val="14"/>
        </w:rPr>
        <w:t xml:space="preserve"> </w:t>
      </w:r>
      <w:r>
        <w:rPr>
          <w:rFonts w:ascii="Trebuchet MS"/>
          <w:color w:val="231F20"/>
          <w:sz w:val="14"/>
        </w:rPr>
        <w:t>tourism</w:t>
      </w:r>
      <w:r>
        <w:rPr>
          <w:rFonts w:ascii="Trebuchet MS"/>
          <w:color w:val="231F20"/>
          <w:spacing w:val="12"/>
          <w:sz w:val="14"/>
        </w:rPr>
        <w:t xml:space="preserve"> </w:t>
      </w:r>
      <w:r>
        <w:rPr>
          <w:rFonts w:ascii="Trebuchet MS"/>
          <w:color w:val="231F20"/>
          <w:sz w:val="14"/>
        </w:rPr>
        <w:t>visitor</w:t>
      </w:r>
      <w:r>
        <w:rPr>
          <w:rFonts w:ascii="Trebuchet MS"/>
          <w:color w:val="231F20"/>
          <w:spacing w:val="12"/>
          <w:sz w:val="14"/>
        </w:rPr>
        <w:t xml:space="preserve"> </w:t>
      </w:r>
      <w:r>
        <w:rPr>
          <w:rFonts w:ascii="Trebuchet MS"/>
          <w:color w:val="231F20"/>
          <w:spacing w:val="-2"/>
          <w:sz w:val="14"/>
        </w:rPr>
        <w:t>experience</w:t>
      </w:r>
    </w:p>
    <w:p w14:paraId="1A943203" w14:textId="77777777" w:rsidR="00AE0598" w:rsidRDefault="00AE0598">
      <w:pPr>
        <w:rPr>
          <w:rFonts w:ascii="Trebuchet MS"/>
          <w:sz w:val="14"/>
        </w:rPr>
        <w:sectPr w:rsidR="00AE0598">
          <w:pgSz w:w="8850" w:h="13270"/>
          <w:pgMar w:top="720" w:right="1060" w:bottom="280" w:left="1080" w:header="720" w:footer="720" w:gutter="0"/>
          <w:cols w:space="720"/>
        </w:sectPr>
      </w:pPr>
    </w:p>
    <w:p w14:paraId="424F5DFA" w14:textId="77777777" w:rsidR="00AE0598" w:rsidRDefault="0069255A">
      <w:pPr>
        <w:spacing w:before="87"/>
        <w:ind w:left="4078"/>
        <w:rPr>
          <w:rFonts w:ascii="Trebuchet MS"/>
          <w:sz w:val="14"/>
        </w:rPr>
      </w:pPr>
      <w:r>
        <w:rPr>
          <w:rFonts w:ascii="Trebuchet MS"/>
          <w:color w:val="231F20"/>
          <w:w w:val="105"/>
          <w:sz w:val="14"/>
        </w:rPr>
        <w:lastRenderedPageBreak/>
        <w:t>Sport</w:t>
      </w:r>
      <w:r>
        <w:rPr>
          <w:rFonts w:ascii="Trebuchet MS"/>
          <w:color w:val="231F20"/>
          <w:spacing w:val="-11"/>
          <w:w w:val="105"/>
          <w:sz w:val="14"/>
        </w:rPr>
        <w:t xml:space="preserve"> </w:t>
      </w:r>
      <w:r>
        <w:rPr>
          <w:rFonts w:ascii="Trebuchet MS"/>
          <w:color w:val="231F20"/>
          <w:w w:val="105"/>
          <w:sz w:val="14"/>
        </w:rPr>
        <w:t>and</w:t>
      </w:r>
      <w:r>
        <w:rPr>
          <w:rFonts w:ascii="Trebuchet MS"/>
          <w:color w:val="231F20"/>
          <w:spacing w:val="-11"/>
          <w:w w:val="105"/>
          <w:sz w:val="14"/>
        </w:rPr>
        <w:t xml:space="preserve"> </w:t>
      </w:r>
      <w:r>
        <w:rPr>
          <w:rFonts w:ascii="Trebuchet MS"/>
          <w:color w:val="231F20"/>
          <w:w w:val="105"/>
          <w:sz w:val="14"/>
        </w:rPr>
        <w:t>the</w:t>
      </w:r>
      <w:r>
        <w:rPr>
          <w:rFonts w:ascii="Trebuchet MS"/>
          <w:color w:val="231F20"/>
          <w:spacing w:val="-11"/>
          <w:w w:val="105"/>
          <w:sz w:val="14"/>
        </w:rPr>
        <w:t xml:space="preserve"> </w:t>
      </w:r>
      <w:r>
        <w:rPr>
          <w:rFonts w:ascii="Trebuchet MS"/>
          <w:color w:val="231F20"/>
          <w:w w:val="105"/>
          <w:sz w:val="14"/>
        </w:rPr>
        <w:t>Tourist</w:t>
      </w:r>
      <w:r>
        <w:rPr>
          <w:rFonts w:ascii="Trebuchet MS"/>
          <w:color w:val="231F20"/>
          <w:spacing w:val="-11"/>
          <w:w w:val="105"/>
          <w:sz w:val="14"/>
        </w:rPr>
        <w:t xml:space="preserve"> </w:t>
      </w:r>
      <w:r>
        <w:rPr>
          <w:rFonts w:ascii="Trebuchet MS"/>
          <w:color w:val="231F20"/>
          <w:w w:val="105"/>
          <w:sz w:val="14"/>
        </w:rPr>
        <w:t>Experience</w:t>
      </w:r>
      <w:r>
        <w:rPr>
          <w:rFonts w:ascii="Trebuchet MS"/>
          <w:color w:val="231F20"/>
          <w:spacing w:val="78"/>
          <w:w w:val="105"/>
          <w:sz w:val="14"/>
        </w:rPr>
        <w:t xml:space="preserve"> </w:t>
      </w:r>
      <w:r>
        <w:rPr>
          <w:rFonts w:ascii="Trebuchet MS"/>
          <w:color w:val="231F20"/>
          <w:spacing w:val="-5"/>
          <w:w w:val="105"/>
          <w:sz w:val="14"/>
        </w:rPr>
        <w:t>177</w:t>
      </w:r>
    </w:p>
    <w:p w14:paraId="79D52532" w14:textId="77777777" w:rsidR="00AE0598" w:rsidRDefault="00AE0598">
      <w:pPr>
        <w:pStyle w:val="Corpodetexto"/>
        <w:rPr>
          <w:rFonts w:ascii="Trebuchet MS"/>
          <w:sz w:val="16"/>
        </w:rPr>
      </w:pPr>
    </w:p>
    <w:p w14:paraId="0100E628" w14:textId="77777777" w:rsidR="00AE0598" w:rsidRDefault="0069255A">
      <w:pPr>
        <w:pStyle w:val="Corpodetexto"/>
        <w:spacing w:before="118" w:line="232" w:lineRule="auto"/>
        <w:ind w:left="110" w:right="123" w:firstLine="320"/>
        <w:jc w:val="both"/>
      </w:pPr>
      <w:r>
        <w:rPr>
          <w:color w:val="231F20"/>
        </w:rPr>
        <w:t>The ‘tourism system’ that serves sports nodes is equally important. Tourists often embark on a trip with one attraction, or one particular experience in mind (Leiper, 1990). In sport tourism, as in any other</w:t>
      </w:r>
      <w:r>
        <w:rPr>
          <w:color w:val="231F20"/>
          <w:spacing w:val="40"/>
        </w:rPr>
        <w:t xml:space="preserve"> </w:t>
      </w:r>
      <w:r>
        <w:rPr>
          <w:color w:val="231F20"/>
        </w:rPr>
        <w:t>form of tourism, tourists typically engage in co</w:t>
      </w:r>
      <w:r>
        <w:rPr>
          <w:color w:val="231F20"/>
        </w:rPr>
        <w:t xml:space="preserve">mbinations of attraction nuclei that are salient to the desired experiences of the tourist. The importance of the tourism system in fostering the visitor experience is emphasised by Leiper’s (1990) concept of ‘clustered nuclei’. Clusters of </w:t>
      </w:r>
      <w:r>
        <w:rPr>
          <w:color w:val="231F20"/>
          <w:w w:val="95"/>
        </w:rPr>
        <w:t>symbiotic attra</w:t>
      </w:r>
      <w:r>
        <w:rPr>
          <w:color w:val="231F20"/>
          <w:w w:val="95"/>
        </w:rPr>
        <w:t>ction nuclei are a significant element of the contemporary tourism system. Leiper (1990: 375) explains that ‘tourists’ precinct seems</w:t>
      </w:r>
      <w:r>
        <w:rPr>
          <w:color w:val="231F20"/>
          <w:spacing w:val="80"/>
          <w:w w:val="150"/>
        </w:rPr>
        <w:t xml:space="preserve"> </w:t>
      </w:r>
      <w:r>
        <w:rPr>
          <w:color w:val="231F20"/>
        </w:rPr>
        <w:t xml:space="preserve">a useful expression for describing a small zone within a town or city </w:t>
      </w:r>
      <w:r>
        <w:rPr>
          <w:color w:val="231F20"/>
          <w:w w:val="95"/>
        </w:rPr>
        <w:t>where tourists are prone to gather because of cluste</w:t>
      </w:r>
      <w:r>
        <w:rPr>
          <w:color w:val="231F20"/>
          <w:w w:val="95"/>
        </w:rPr>
        <w:t xml:space="preserve">red nuclei with some </w:t>
      </w:r>
      <w:r>
        <w:rPr>
          <w:color w:val="231F20"/>
        </w:rPr>
        <w:t>unifying theme’.</w:t>
      </w:r>
    </w:p>
    <w:p w14:paraId="1A8A2ABB" w14:textId="77777777" w:rsidR="00AE0598" w:rsidRDefault="0069255A">
      <w:pPr>
        <w:pStyle w:val="Corpodetexto"/>
        <w:spacing w:before="14" w:line="232" w:lineRule="auto"/>
        <w:ind w:left="110" w:right="127" w:firstLine="320"/>
        <w:jc w:val="both"/>
      </w:pPr>
      <w:r>
        <w:rPr>
          <w:color w:val="231F20"/>
        </w:rPr>
        <w:t>The development of stadiums within tourist precincts illustrates the potential</w:t>
      </w:r>
      <w:r>
        <w:rPr>
          <w:color w:val="231F20"/>
          <w:spacing w:val="-2"/>
        </w:rPr>
        <w:t xml:space="preserve"> </w:t>
      </w:r>
      <w:r>
        <w:rPr>
          <w:color w:val="231F20"/>
        </w:rPr>
        <w:t>for</w:t>
      </w:r>
      <w:r>
        <w:rPr>
          <w:color w:val="231F20"/>
          <w:spacing w:val="-2"/>
        </w:rPr>
        <w:t xml:space="preserve"> </w:t>
      </w:r>
      <w:r>
        <w:rPr>
          <w:color w:val="231F20"/>
        </w:rPr>
        <w:t>tourist</w:t>
      </w:r>
      <w:r>
        <w:rPr>
          <w:color w:val="231F20"/>
          <w:spacing w:val="-2"/>
        </w:rPr>
        <w:t xml:space="preserve"> </w:t>
      </w:r>
      <w:r>
        <w:rPr>
          <w:color w:val="231F20"/>
        </w:rPr>
        <w:t>experiences</w:t>
      </w:r>
      <w:r>
        <w:rPr>
          <w:color w:val="231F20"/>
          <w:spacing w:val="-2"/>
        </w:rPr>
        <w:t xml:space="preserve"> </w:t>
      </w:r>
      <w:r>
        <w:rPr>
          <w:color w:val="231F20"/>
        </w:rPr>
        <w:t>to</w:t>
      </w:r>
      <w:r>
        <w:rPr>
          <w:color w:val="231F20"/>
          <w:spacing w:val="-2"/>
        </w:rPr>
        <w:t xml:space="preserve"> </w:t>
      </w:r>
      <w:r>
        <w:rPr>
          <w:color w:val="231F20"/>
        </w:rPr>
        <w:t>be</w:t>
      </w:r>
      <w:r>
        <w:rPr>
          <w:color w:val="231F20"/>
          <w:spacing w:val="-2"/>
        </w:rPr>
        <w:t xml:space="preserve"> </w:t>
      </w:r>
      <w:r>
        <w:rPr>
          <w:color w:val="231F20"/>
        </w:rPr>
        <w:t>fostered</w:t>
      </w:r>
      <w:r>
        <w:rPr>
          <w:color w:val="231F20"/>
          <w:spacing w:val="-2"/>
        </w:rPr>
        <w:t xml:space="preserve"> </w:t>
      </w:r>
      <w:r>
        <w:rPr>
          <w:color w:val="231F20"/>
        </w:rPr>
        <w:t>in</w:t>
      </w:r>
      <w:r>
        <w:rPr>
          <w:color w:val="231F20"/>
          <w:spacing w:val="-2"/>
        </w:rPr>
        <w:t xml:space="preserve"> </w:t>
      </w:r>
      <w:r>
        <w:rPr>
          <w:color w:val="231F20"/>
        </w:rPr>
        <w:t>association</w:t>
      </w:r>
      <w:r>
        <w:rPr>
          <w:color w:val="231F20"/>
          <w:spacing w:val="-2"/>
        </w:rPr>
        <w:t xml:space="preserve"> </w:t>
      </w:r>
      <w:r>
        <w:rPr>
          <w:color w:val="231F20"/>
        </w:rPr>
        <w:t>with</w:t>
      </w:r>
      <w:r>
        <w:rPr>
          <w:color w:val="231F20"/>
          <w:spacing w:val="-2"/>
        </w:rPr>
        <w:t xml:space="preserve"> </w:t>
      </w:r>
      <w:r>
        <w:rPr>
          <w:color w:val="231F20"/>
        </w:rPr>
        <w:t xml:space="preserve">event sport tourism (Mason </w:t>
      </w:r>
      <w:r>
        <w:rPr>
          <w:i/>
          <w:color w:val="231F20"/>
        </w:rPr>
        <w:t>et al.</w:t>
      </w:r>
      <w:r>
        <w:rPr>
          <w:color w:val="231F20"/>
        </w:rPr>
        <w:t xml:space="preserve">, 2008; Stevens &amp; Wooton, 1997). A unifying </w:t>
      </w:r>
      <w:r>
        <w:rPr>
          <w:color w:val="231F20"/>
          <w:w w:val="95"/>
        </w:rPr>
        <w:t>for</w:t>
      </w:r>
      <w:r>
        <w:rPr>
          <w:color w:val="231F20"/>
          <w:w w:val="95"/>
        </w:rPr>
        <w:t xml:space="preserve">ce exists where sports facilities are developed in association with sports </w:t>
      </w:r>
      <w:r>
        <w:rPr>
          <w:color w:val="231F20"/>
        </w:rPr>
        <w:t>bars, museums, halls of fame and other forms of entertainment. The development</w:t>
      </w:r>
      <w:r>
        <w:rPr>
          <w:color w:val="231F20"/>
          <w:spacing w:val="-11"/>
        </w:rPr>
        <w:t xml:space="preserve"> </w:t>
      </w:r>
      <w:r>
        <w:rPr>
          <w:color w:val="231F20"/>
        </w:rPr>
        <w:t>of</w:t>
      </w:r>
      <w:r>
        <w:rPr>
          <w:color w:val="231F20"/>
          <w:spacing w:val="-11"/>
        </w:rPr>
        <w:t xml:space="preserve"> </w:t>
      </w:r>
      <w:r>
        <w:rPr>
          <w:color w:val="231F20"/>
        </w:rPr>
        <w:t>complementary</w:t>
      </w:r>
      <w:r>
        <w:rPr>
          <w:color w:val="231F20"/>
          <w:spacing w:val="-11"/>
        </w:rPr>
        <w:t xml:space="preserve"> </w:t>
      </w:r>
      <w:r>
        <w:rPr>
          <w:color w:val="231F20"/>
        </w:rPr>
        <w:t>activities</w:t>
      </w:r>
      <w:r>
        <w:rPr>
          <w:color w:val="231F20"/>
          <w:spacing w:val="-11"/>
        </w:rPr>
        <w:t xml:space="preserve"> </w:t>
      </w:r>
      <w:r>
        <w:rPr>
          <w:color w:val="231F20"/>
        </w:rPr>
        <w:t>(e.g.</w:t>
      </w:r>
      <w:r>
        <w:rPr>
          <w:color w:val="231F20"/>
          <w:spacing w:val="-11"/>
        </w:rPr>
        <w:t xml:space="preserve"> </w:t>
      </w:r>
      <w:r>
        <w:rPr>
          <w:color w:val="231F20"/>
        </w:rPr>
        <w:t>non-sport</w:t>
      </w:r>
      <w:r>
        <w:rPr>
          <w:color w:val="231F20"/>
          <w:spacing w:val="-11"/>
        </w:rPr>
        <w:t xml:space="preserve"> </w:t>
      </w:r>
      <w:r>
        <w:rPr>
          <w:color w:val="231F20"/>
        </w:rPr>
        <w:t>entertainment) and tourist services (e.g. transport nodes,</w:t>
      </w:r>
      <w:r>
        <w:rPr>
          <w:color w:val="231F20"/>
        </w:rPr>
        <w:t xml:space="preserve"> accommodation, banking and information services) enhances the status of the tourist precinct. These developments may or may not be permanent. The temporary creation</w:t>
      </w:r>
      <w:r>
        <w:rPr>
          <w:color w:val="231F20"/>
          <w:spacing w:val="80"/>
        </w:rPr>
        <w:t xml:space="preserve"> </w:t>
      </w:r>
      <w:r>
        <w:rPr>
          <w:color w:val="231F20"/>
        </w:rPr>
        <w:t xml:space="preserve">of tourist precincts is a strategy that attempts to leverage sports events to encourage a </w:t>
      </w:r>
      <w:r>
        <w:rPr>
          <w:color w:val="231F20"/>
        </w:rPr>
        <w:t xml:space="preserve">wider experience of the destination. Nash and Johnston </w:t>
      </w:r>
      <w:r>
        <w:rPr>
          <w:color w:val="231F20"/>
          <w:w w:val="95"/>
        </w:rPr>
        <w:t xml:space="preserve">(1998), for instance, describe the development of exhibitions, promotions </w:t>
      </w:r>
      <w:r>
        <w:rPr>
          <w:color w:val="231F20"/>
        </w:rPr>
        <w:t>and</w:t>
      </w:r>
      <w:r>
        <w:rPr>
          <w:color w:val="231F20"/>
          <w:spacing w:val="-6"/>
        </w:rPr>
        <w:t xml:space="preserve"> </w:t>
      </w:r>
      <w:r>
        <w:rPr>
          <w:color w:val="231F20"/>
        </w:rPr>
        <w:t>community</w:t>
      </w:r>
      <w:r>
        <w:rPr>
          <w:color w:val="231F20"/>
          <w:spacing w:val="-6"/>
        </w:rPr>
        <w:t xml:space="preserve"> </w:t>
      </w:r>
      <w:r>
        <w:rPr>
          <w:color w:val="231F20"/>
        </w:rPr>
        <w:t>events</w:t>
      </w:r>
      <w:r>
        <w:rPr>
          <w:color w:val="231F20"/>
          <w:spacing w:val="-6"/>
        </w:rPr>
        <w:t xml:space="preserve"> </w:t>
      </w:r>
      <w:r>
        <w:rPr>
          <w:color w:val="231F20"/>
        </w:rPr>
        <w:t>in</w:t>
      </w:r>
      <w:r>
        <w:rPr>
          <w:color w:val="231F20"/>
          <w:spacing w:val="-6"/>
        </w:rPr>
        <w:t xml:space="preserve"> </w:t>
      </w:r>
      <w:r>
        <w:rPr>
          <w:color w:val="231F20"/>
        </w:rPr>
        <w:t>the</w:t>
      </w:r>
      <w:r>
        <w:rPr>
          <w:color w:val="231F20"/>
          <w:spacing w:val="-6"/>
        </w:rPr>
        <w:t xml:space="preserve"> </w:t>
      </w:r>
      <w:r>
        <w:rPr>
          <w:color w:val="231F20"/>
        </w:rPr>
        <w:t>cities</w:t>
      </w:r>
      <w:r>
        <w:rPr>
          <w:color w:val="231F20"/>
          <w:spacing w:val="-6"/>
        </w:rPr>
        <w:t xml:space="preserve"> </w:t>
      </w:r>
      <w:r>
        <w:rPr>
          <w:color w:val="231F20"/>
        </w:rPr>
        <w:t>of</w:t>
      </w:r>
      <w:r>
        <w:rPr>
          <w:color w:val="231F20"/>
          <w:spacing w:val="-6"/>
        </w:rPr>
        <w:t xml:space="preserve"> </w:t>
      </w:r>
      <w:r>
        <w:rPr>
          <w:color w:val="231F20"/>
        </w:rPr>
        <w:t>Liverpool</w:t>
      </w:r>
      <w:r>
        <w:rPr>
          <w:color w:val="231F20"/>
          <w:spacing w:val="-6"/>
        </w:rPr>
        <w:t xml:space="preserve"> </w:t>
      </w:r>
      <w:r>
        <w:rPr>
          <w:color w:val="231F20"/>
        </w:rPr>
        <w:t>and</w:t>
      </w:r>
      <w:r>
        <w:rPr>
          <w:color w:val="231F20"/>
          <w:spacing w:val="-6"/>
        </w:rPr>
        <w:t xml:space="preserve"> </w:t>
      </w:r>
      <w:r>
        <w:rPr>
          <w:color w:val="231F20"/>
        </w:rPr>
        <w:t>Leeds,</w:t>
      </w:r>
      <w:r>
        <w:rPr>
          <w:color w:val="231F20"/>
          <w:spacing w:val="-6"/>
        </w:rPr>
        <w:t xml:space="preserve"> </w:t>
      </w:r>
      <w:r>
        <w:rPr>
          <w:color w:val="231F20"/>
        </w:rPr>
        <w:t>which</w:t>
      </w:r>
      <w:r>
        <w:rPr>
          <w:color w:val="231F20"/>
          <w:spacing w:val="-6"/>
        </w:rPr>
        <w:t xml:space="preserve"> </w:t>
      </w:r>
      <w:r>
        <w:rPr>
          <w:color w:val="231F20"/>
        </w:rPr>
        <w:t>hosted games in the 1996 European Football Championship.</w:t>
      </w:r>
    </w:p>
    <w:p w14:paraId="41960321" w14:textId="77777777" w:rsidR="00AE0598" w:rsidRDefault="00AE0598">
      <w:pPr>
        <w:pStyle w:val="Corpodetexto"/>
        <w:spacing w:before="5"/>
        <w:rPr>
          <w:sz w:val="22"/>
        </w:rPr>
      </w:pPr>
    </w:p>
    <w:p w14:paraId="3302DB00" w14:textId="77777777" w:rsidR="00AE0598" w:rsidRDefault="0069255A">
      <w:pPr>
        <w:ind w:left="110"/>
        <w:rPr>
          <w:rFonts w:ascii="Trebuchet MS"/>
          <w:b/>
          <w:sz w:val="20"/>
        </w:rPr>
      </w:pPr>
      <w:r>
        <w:rPr>
          <w:rFonts w:ascii="Trebuchet MS"/>
          <w:b/>
          <w:color w:val="231F20"/>
          <w:spacing w:val="-2"/>
          <w:sz w:val="20"/>
        </w:rPr>
        <w:t>Conclusion</w:t>
      </w:r>
    </w:p>
    <w:p w14:paraId="0F984E3E" w14:textId="77777777" w:rsidR="00AE0598" w:rsidRDefault="0069255A">
      <w:pPr>
        <w:pStyle w:val="Corpodetexto"/>
        <w:spacing w:before="122" w:line="232" w:lineRule="auto"/>
        <w:ind w:left="110" w:right="126" w:firstLine="320"/>
        <w:jc w:val="both"/>
      </w:pPr>
      <w:r>
        <w:rPr>
          <w:color w:val="231F20"/>
        </w:rPr>
        <w:t xml:space="preserve">This chapter considers the short-term temporal dimension of sport </w:t>
      </w:r>
      <w:r>
        <w:rPr>
          <w:color w:val="231F20"/>
          <w:w w:val="95"/>
        </w:rPr>
        <w:t xml:space="preserve">tourism development. It addresses how sport may influence the frequency, </w:t>
      </w:r>
      <w:r>
        <w:rPr>
          <w:color w:val="231F20"/>
        </w:rPr>
        <w:t>timing and duration of sport tourism experiences</w:t>
      </w:r>
      <w:r>
        <w:rPr>
          <w:color w:val="231F20"/>
        </w:rPr>
        <w:t>, and how different aspects</w:t>
      </w:r>
      <w:r>
        <w:rPr>
          <w:color w:val="231F20"/>
          <w:spacing w:val="-2"/>
        </w:rPr>
        <w:t xml:space="preserve"> </w:t>
      </w:r>
      <w:r>
        <w:rPr>
          <w:color w:val="231F20"/>
        </w:rPr>
        <w:t>of</w:t>
      </w:r>
      <w:r>
        <w:rPr>
          <w:color w:val="231F20"/>
          <w:spacing w:val="-2"/>
        </w:rPr>
        <w:t xml:space="preserve"> </w:t>
      </w:r>
      <w:r>
        <w:rPr>
          <w:color w:val="231F20"/>
        </w:rPr>
        <w:t>sport</w:t>
      </w:r>
      <w:r>
        <w:rPr>
          <w:color w:val="231F20"/>
          <w:spacing w:val="-2"/>
        </w:rPr>
        <w:t xml:space="preserve"> </w:t>
      </w:r>
      <w:r>
        <w:rPr>
          <w:color w:val="231F20"/>
        </w:rPr>
        <w:t>and</w:t>
      </w:r>
      <w:r>
        <w:rPr>
          <w:color w:val="231F20"/>
          <w:spacing w:val="-2"/>
        </w:rPr>
        <w:t xml:space="preserve"> </w:t>
      </w:r>
      <w:r>
        <w:rPr>
          <w:color w:val="231F20"/>
        </w:rPr>
        <w:t>tourism</w:t>
      </w:r>
      <w:r>
        <w:rPr>
          <w:color w:val="231F20"/>
          <w:spacing w:val="-2"/>
        </w:rPr>
        <w:t xml:space="preserve"> </w:t>
      </w:r>
      <w:r>
        <w:rPr>
          <w:color w:val="231F20"/>
        </w:rPr>
        <w:t>mediate</w:t>
      </w:r>
      <w:r>
        <w:rPr>
          <w:color w:val="231F20"/>
          <w:spacing w:val="-2"/>
        </w:rPr>
        <w:t xml:space="preserve"> </w:t>
      </w:r>
      <w:r>
        <w:rPr>
          <w:color w:val="231F20"/>
        </w:rPr>
        <w:t>visitor</w:t>
      </w:r>
      <w:r>
        <w:rPr>
          <w:color w:val="231F20"/>
          <w:spacing w:val="-2"/>
        </w:rPr>
        <w:t xml:space="preserve"> </w:t>
      </w:r>
      <w:r>
        <w:rPr>
          <w:color w:val="231F20"/>
        </w:rPr>
        <w:t>experience</w:t>
      </w:r>
      <w:r>
        <w:rPr>
          <w:color w:val="231F20"/>
          <w:spacing w:val="-2"/>
        </w:rPr>
        <w:t xml:space="preserve"> </w:t>
      </w:r>
      <w:r>
        <w:rPr>
          <w:color w:val="231F20"/>
        </w:rPr>
        <w:t>at</w:t>
      </w:r>
      <w:r>
        <w:rPr>
          <w:color w:val="231F20"/>
          <w:spacing w:val="-2"/>
        </w:rPr>
        <w:t xml:space="preserve"> </w:t>
      </w:r>
      <w:r>
        <w:rPr>
          <w:color w:val="231F20"/>
        </w:rPr>
        <w:t>a</w:t>
      </w:r>
      <w:r>
        <w:rPr>
          <w:color w:val="231F20"/>
          <w:spacing w:val="-2"/>
        </w:rPr>
        <w:t xml:space="preserve"> </w:t>
      </w:r>
      <w:r>
        <w:rPr>
          <w:color w:val="231F20"/>
        </w:rPr>
        <w:t>destination. One of the pressing challenges in the academic study of sport tourism is to</w:t>
      </w:r>
      <w:r>
        <w:rPr>
          <w:color w:val="231F20"/>
          <w:spacing w:val="-12"/>
        </w:rPr>
        <w:t xml:space="preserve"> </w:t>
      </w:r>
      <w:r>
        <w:rPr>
          <w:color w:val="231F20"/>
        </w:rPr>
        <w:t>develop</w:t>
      </w:r>
      <w:r>
        <w:rPr>
          <w:color w:val="231F20"/>
          <w:spacing w:val="-12"/>
        </w:rPr>
        <w:t xml:space="preserve"> </w:t>
      </w:r>
      <w:r>
        <w:rPr>
          <w:color w:val="231F20"/>
        </w:rPr>
        <w:t>insights</w:t>
      </w:r>
      <w:r>
        <w:rPr>
          <w:color w:val="231F20"/>
          <w:spacing w:val="-11"/>
        </w:rPr>
        <w:t xml:space="preserve"> </w:t>
      </w:r>
      <w:r>
        <w:rPr>
          <w:color w:val="231F20"/>
        </w:rPr>
        <w:t>into</w:t>
      </w:r>
      <w:r>
        <w:rPr>
          <w:color w:val="231F20"/>
          <w:spacing w:val="-12"/>
        </w:rPr>
        <w:t xml:space="preserve"> </w:t>
      </w:r>
      <w:r>
        <w:rPr>
          <w:color w:val="231F20"/>
        </w:rPr>
        <w:t>the</w:t>
      </w:r>
      <w:r>
        <w:rPr>
          <w:color w:val="231F20"/>
          <w:spacing w:val="-11"/>
        </w:rPr>
        <w:t xml:space="preserve"> </w:t>
      </w:r>
      <w:r>
        <w:rPr>
          <w:color w:val="231F20"/>
        </w:rPr>
        <w:t>relationship</w:t>
      </w:r>
      <w:r>
        <w:rPr>
          <w:color w:val="231F20"/>
          <w:spacing w:val="-12"/>
        </w:rPr>
        <w:t xml:space="preserve"> </w:t>
      </w:r>
      <w:r>
        <w:rPr>
          <w:color w:val="231F20"/>
        </w:rPr>
        <w:t>between</w:t>
      </w:r>
      <w:r>
        <w:rPr>
          <w:color w:val="231F20"/>
          <w:spacing w:val="-11"/>
        </w:rPr>
        <w:t xml:space="preserve"> </w:t>
      </w:r>
      <w:r>
        <w:rPr>
          <w:color w:val="231F20"/>
        </w:rPr>
        <w:t>tourist</w:t>
      </w:r>
      <w:r>
        <w:rPr>
          <w:color w:val="231F20"/>
          <w:spacing w:val="-12"/>
        </w:rPr>
        <w:t xml:space="preserve"> </w:t>
      </w:r>
      <w:r>
        <w:rPr>
          <w:color w:val="231F20"/>
        </w:rPr>
        <w:t>motivations</w:t>
      </w:r>
      <w:r>
        <w:rPr>
          <w:color w:val="231F20"/>
          <w:spacing w:val="-12"/>
        </w:rPr>
        <w:t xml:space="preserve"> </w:t>
      </w:r>
      <w:r>
        <w:rPr>
          <w:color w:val="231F20"/>
        </w:rPr>
        <w:t xml:space="preserve">and </w:t>
      </w:r>
      <w:r>
        <w:rPr>
          <w:color w:val="231F20"/>
          <w:w w:val="95"/>
        </w:rPr>
        <w:t>expectations, a</w:t>
      </w:r>
      <w:r>
        <w:rPr>
          <w:color w:val="231F20"/>
          <w:w w:val="95"/>
        </w:rPr>
        <w:t xml:space="preserve">nd tourist experiences of sport and their behaviours at the destination. This should be informed by an understanding of the complex </w:t>
      </w:r>
      <w:r>
        <w:rPr>
          <w:color w:val="231F20"/>
        </w:rPr>
        <w:t xml:space="preserve">socio-structural factors that shape and influence tourist experience of </w:t>
      </w:r>
      <w:r>
        <w:rPr>
          <w:color w:val="231F20"/>
          <w:w w:val="95"/>
        </w:rPr>
        <w:t>sport,</w:t>
      </w:r>
      <w:r>
        <w:rPr>
          <w:color w:val="231F20"/>
          <w:spacing w:val="-2"/>
          <w:w w:val="95"/>
        </w:rPr>
        <w:t xml:space="preserve"> </w:t>
      </w:r>
      <w:r>
        <w:rPr>
          <w:color w:val="231F20"/>
          <w:w w:val="95"/>
        </w:rPr>
        <w:t>and</w:t>
      </w:r>
      <w:r>
        <w:rPr>
          <w:color w:val="231F20"/>
          <w:spacing w:val="-2"/>
          <w:w w:val="95"/>
        </w:rPr>
        <w:t xml:space="preserve"> </w:t>
      </w:r>
      <w:r>
        <w:rPr>
          <w:color w:val="231F20"/>
          <w:w w:val="95"/>
        </w:rPr>
        <w:t>an</w:t>
      </w:r>
      <w:r>
        <w:rPr>
          <w:color w:val="231F20"/>
          <w:spacing w:val="-2"/>
          <w:w w:val="95"/>
        </w:rPr>
        <w:t xml:space="preserve"> </w:t>
      </w:r>
      <w:r>
        <w:rPr>
          <w:color w:val="231F20"/>
          <w:w w:val="95"/>
        </w:rPr>
        <w:t>appreciation</w:t>
      </w:r>
      <w:r>
        <w:rPr>
          <w:color w:val="231F20"/>
          <w:spacing w:val="-2"/>
          <w:w w:val="95"/>
        </w:rPr>
        <w:t xml:space="preserve"> </w:t>
      </w:r>
      <w:r>
        <w:rPr>
          <w:color w:val="231F20"/>
          <w:w w:val="95"/>
        </w:rPr>
        <w:t>of</w:t>
      </w:r>
      <w:r>
        <w:rPr>
          <w:color w:val="231F20"/>
          <w:spacing w:val="-2"/>
          <w:w w:val="95"/>
        </w:rPr>
        <w:t xml:space="preserve"> </w:t>
      </w:r>
      <w:r>
        <w:rPr>
          <w:color w:val="231F20"/>
          <w:w w:val="95"/>
        </w:rPr>
        <w:t>how</w:t>
      </w:r>
      <w:r>
        <w:rPr>
          <w:color w:val="231F20"/>
          <w:spacing w:val="-2"/>
          <w:w w:val="95"/>
        </w:rPr>
        <w:t xml:space="preserve"> </w:t>
      </w:r>
      <w:r>
        <w:rPr>
          <w:color w:val="231F20"/>
          <w:w w:val="95"/>
        </w:rPr>
        <w:t>different</w:t>
      </w:r>
      <w:r>
        <w:rPr>
          <w:color w:val="231F20"/>
          <w:spacing w:val="-2"/>
          <w:w w:val="95"/>
        </w:rPr>
        <w:t xml:space="preserve"> </w:t>
      </w:r>
      <w:r>
        <w:rPr>
          <w:color w:val="231F20"/>
          <w:w w:val="95"/>
        </w:rPr>
        <w:t>factors</w:t>
      </w:r>
      <w:r>
        <w:rPr>
          <w:color w:val="231F20"/>
          <w:spacing w:val="-2"/>
          <w:w w:val="95"/>
        </w:rPr>
        <w:t xml:space="preserve"> </w:t>
      </w:r>
      <w:r>
        <w:rPr>
          <w:color w:val="231F20"/>
          <w:w w:val="95"/>
        </w:rPr>
        <w:t>drive</w:t>
      </w:r>
      <w:r>
        <w:rPr>
          <w:color w:val="231F20"/>
          <w:spacing w:val="-2"/>
          <w:w w:val="95"/>
        </w:rPr>
        <w:t xml:space="preserve"> </w:t>
      </w:r>
      <w:r>
        <w:rPr>
          <w:color w:val="231F20"/>
          <w:w w:val="95"/>
        </w:rPr>
        <w:t>tourist</w:t>
      </w:r>
      <w:r>
        <w:rPr>
          <w:color w:val="231F20"/>
          <w:spacing w:val="-2"/>
          <w:w w:val="95"/>
        </w:rPr>
        <w:t xml:space="preserve"> </w:t>
      </w:r>
      <w:r>
        <w:rPr>
          <w:color w:val="231F20"/>
          <w:w w:val="95"/>
        </w:rPr>
        <w:t xml:space="preserve">experiences </w:t>
      </w:r>
      <w:r>
        <w:rPr>
          <w:color w:val="231F20"/>
        </w:rPr>
        <w:t>of spectator events, active engagements in participation sports and the heritage</w:t>
      </w:r>
      <w:r>
        <w:rPr>
          <w:color w:val="231F20"/>
          <w:spacing w:val="-3"/>
        </w:rPr>
        <w:t xml:space="preserve"> </w:t>
      </w:r>
      <w:r>
        <w:rPr>
          <w:color w:val="231F20"/>
        </w:rPr>
        <w:t>values</w:t>
      </w:r>
      <w:r>
        <w:rPr>
          <w:color w:val="231F20"/>
          <w:spacing w:val="-3"/>
        </w:rPr>
        <w:t xml:space="preserve"> </w:t>
      </w:r>
      <w:r>
        <w:rPr>
          <w:color w:val="231F20"/>
        </w:rPr>
        <w:t>associated</w:t>
      </w:r>
      <w:r>
        <w:rPr>
          <w:color w:val="231F20"/>
          <w:spacing w:val="-3"/>
        </w:rPr>
        <w:t xml:space="preserve"> </w:t>
      </w:r>
      <w:r>
        <w:rPr>
          <w:color w:val="231F20"/>
        </w:rPr>
        <w:t>with</w:t>
      </w:r>
      <w:r>
        <w:rPr>
          <w:color w:val="231F20"/>
          <w:spacing w:val="-3"/>
        </w:rPr>
        <w:t xml:space="preserve"> </w:t>
      </w:r>
      <w:r>
        <w:rPr>
          <w:color w:val="231F20"/>
        </w:rPr>
        <w:t>nostalgic</w:t>
      </w:r>
      <w:r>
        <w:rPr>
          <w:color w:val="231F20"/>
          <w:spacing w:val="-3"/>
        </w:rPr>
        <w:t xml:space="preserve"> </w:t>
      </w:r>
      <w:r>
        <w:rPr>
          <w:color w:val="231F20"/>
        </w:rPr>
        <w:t>experiences.</w:t>
      </w:r>
      <w:r>
        <w:rPr>
          <w:color w:val="231F20"/>
          <w:spacing w:val="-3"/>
        </w:rPr>
        <w:t xml:space="preserve"> </w:t>
      </w:r>
      <w:r>
        <w:rPr>
          <w:color w:val="231F20"/>
        </w:rPr>
        <w:t>Gibson</w:t>
      </w:r>
      <w:r>
        <w:rPr>
          <w:color w:val="231F20"/>
          <w:spacing w:val="-3"/>
        </w:rPr>
        <w:t xml:space="preserve"> </w:t>
      </w:r>
      <w:r>
        <w:rPr>
          <w:color w:val="231F20"/>
        </w:rPr>
        <w:t>(1998a–c) originally</w:t>
      </w:r>
      <w:r>
        <w:rPr>
          <w:color w:val="231F20"/>
          <w:spacing w:val="-7"/>
        </w:rPr>
        <w:t xml:space="preserve"> </w:t>
      </w:r>
      <w:r>
        <w:rPr>
          <w:color w:val="231F20"/>
        </w:rPr>
        <w:t>conceived</w:t>
      </w:r>
      <w:r>
        <w:rPr>
          <w:color w:val="231F20"/>
          <w:spacing w:val="-7"/>
        </w:rPr>
        <w:t xml:space="preserve"> </w:t>
      </w:r>
      <w:r>
        <w:rPr>
          <w:color w:val="231F20"/>
        </w:rPr>
        <w:t>these</w:t>
      </w:r>
      <w:r>
        <w:rPr>
          <w:color w:val="231F20"/>
          <w:spacing w:val="-7"/>
        </w:rPr>
        <w:t xml:space="preserve"> </w:t>
      </w:r>
      <w:r>
        <w:rPr>
          <w:color w:val="231F20"/>
        </w:rPr>
        <w:t>as</w:t>
      </w:r>
      <w:r>
        <w:rPr>
          <w:color w:val="231F20"/>
          <w:spacing w:val="-7"/>
        </w:rPr>
        <w:t xml:space="preserve"> </w:t>
      </w:r>
      <w:r>
        <w:rPr>
          <w:color w:val="231F20"/>
        </w:rPr>
        <w:t>three</w:t>
      </w:r>
      <w:r>
        <w:rPr>
          <w:color w:val="231F20"/>
          <w:spacing w:val="-7"/>
        </w:rPr>
        <w:t xml:space="preserve"> </w:t>
      </w:r>
      <w:r>
        <w:rPr>
          <w:color w:val="231F20"/>
        </w:rPr>
        <w:t>distinct</w:t>
      </w:r>
      <w:r>
        <w:rPr>
          <w:color w:val="231F20"/>
          <w:spacing w:val="-7"/>
        </w:rPr>
        <w:t xml:space="preserve"> </w:t>
      </w:r>
      <w:r>
        <w:rPr>
          <w:color w:val="231F20"/>
        </w:rPr>
        <w:t>forms</w:t>
      </w:r>
      <w:r>
        <w:rPr>
          <w:color w:val="231F20"/>
          <w:spacing w:val="-7"/>
        </w:rPr>
        <w:t xml:space="preserve"> </w:t>
      </w:r>
      <w:r>
        <w:rPr>
          <w:color w:val="231F20"/>
        </w:rPr>
        <w:t>of</w:t>
      </w:r>
      <w:r>
        <w:rPr>
          <w:color w:val="231F20"/>
          <w:spacing w:val="-7"/>
        </w:rPr>
        <w:t xml:space="preserve"> </w:t>
      </w:r>
      <w:r>
        <w:rPr>
          <w:color w:val="231F20"/>
        </w:rPr>
        <w:t>engagement</w:t>
      </w:r>
      <w:r>
        <w:rPr>
          <w:color w:val="231F20"/>
          <w:spacing w:val="-7"/>
        </w:rPr>
        <w:t xml:space="preserve"> </w:t>
      </w:r>
      <w:r>
        <w:rPr>
          <w:color w:val="231F20"/>
        </w:rPr>
        <w:t>in</w:t>
      </w:r>
      <w:r>
        <w:rPr>
          <w:color w:val="231F20"/>
          <w:spacing w:val="-7"/>
        </w:rPr>
        <w:t xml:space="preserve"> </w:t>
      </w:r>
      <w:r>
        <w:rPr>
          <w:color w:val="231F20"/>
        </w:rPr>
        <w:t xml:space="preserve">sport </w:t>
      </w:r>
      <w:r>
        <w:rPr>
          <w:color w:val="231F20"/>
          <w:w w:val="95"/>
        </w:rPr>
        <w:t>tour</w:t>
      </w:r>
      <w:r>
        <w:rPr>
          <w:color w:val="231F20"/>
          <w:w w:val="95"/>
        </w:rPr>
        <w:t>ism. The reality is that the interplay of elements of event spectatorship, event participation, active engagement in recreational sports and heritage,</w:t>
      </w:r>
    </w:p>
    <w:p w14:paraId="60FE5FB0" w14:textId="77777777" w:rsidR="00AE0598" w:rsidRDefault="00AE0598">
      <w:pPr>
        <w:spacing w:line="232" w:lineRule="auto"/>
        <w:jc w:val="both"/>
        <w:sectPr w:rsidR="00AE0598">
          <w:pgSz w:w="8850" w:h="13270"/>
          <w:pgMar w:top="720" w:right="1060" w:bottom="280" w:left="1080" w:header="720" w:footer="720" w:gutter="0"/>
          <w:cols w:space="720"/>
        </w:sectPr>
      </w:pPr>
    </w:p>
    <w:p w14:paraId="19A9C180" w14:textId="77777777" w:rsidR="00AE0598" w:rsidRDefault="0069255A">
      <w:pPr>
        <w:spacing w:before="87"/>
        <w:ind w:left="108"/>
        <w:rPr>
          <w:rFonts w:ascii="Trebuchet MS"/>
          <w:sz w:val="14"/>
        </w:rPr>
      </w:pPr>
      <w:r>
        <w:rPr>
          <w:rFonts w:ascii="Trebuchet MS"/>
          <w:color w:val="231F20"/>
          <w:w w:val="105"/>
          <w:sz w:val="14"/>
        </w:rPr>
        <w:lastRenderedPageBreak/>
        <w:t>178</w:t>
      </w:r>
      <w:r>
        <w:rPr>
          <w:rFonts w:ascii="Trebuchet MS"/>
          <w:color w:val="231F20"/>
          <w:spacing w:val="66"/>
          <w:w w:val="150"/>
          <w:sz w:val="14"/>
        </w:rPr>
        <w:t xml:space="preserve"> </w:t>
      </w:r>
      <w:r>
        <w:rPr>
          <w:rFonts w:ascii="Trebuchet MS"/>
          <w:color w:val="231F20"/>
          <w:w w:val="105"/>
          <w:sz w:val="14"/>
        </w:rPr>
        <w:t>Part</w:t>
      </w:r>
      <w:r>
        <w:rPr>
          <w:rFonts w:ascii="Trebuchet MS"/>
          <w:color w:val="231F20"/>
          <w:spacing w:val="-9"/>
          <w:w w:val="105"/>
          <w:sz w:val="14"/>
        </w:rPr>
        <w:t xml:space="preserve"> </w:t>
      </w:r>
      <w:r>
        <w:rPr>
          <w:rFonts w:ascii="Trebuchet MS"/>
          <w:color w:val="231F20"/>
          <w:w w:val="105"/>
          <w:sz w:val="14"/>
        </w:rPr>
        <w:t>4:</w:t>
      </w:r>
      <w:r>
        <w:rPr>
          <w:rFonts w:ascii="Trebuchet MS"/>
          <w:color w:val="231F20"/>
          <w:spacing w:val="-8"/>
          <w:w w:val="105"/>
          <w:sz w:val="14"/>
        </w:rPr>
        <w:t xml:space="preserve"> </w:t>
      </w:r>
      <w:r>
        <w:rPr>
          <w:rFonts w:ascii="Trebuchet MS"/>
          <w:color w:val="231F20"/>
          <w:w w:val="105"/>
          <w:sz w:val="14"/>
        </w:rPr>
        <w:t>Sport</w:t>
      </w:r>
      <w:r>
        <w:rPr>
          <w:rFonts w:ascii="Trebuchet MS"/>
          <w:color w:val="231F20"/>
          <w:spacing w:val="-9"/>
          <w:w w:val="105"/>
          <w:sz w:val="14"/>
        </w:rPr>
        <w:t xml:space="preserve"> </w:t>
      </w:r>
      <w:r>
        <w:rPr>
          <w:rFonts w:ascii="Trebuchet MS"/>
          <w:color w:val="231F20"/>
          <w:w w:val="105"/>
          <w:sz w:val="14"/>
        </w:rPr>
        <w:t>Tourism</w:t>
      </w:r>
      <w:r>
        <w:rPr>
          <w:rFonts w:ascii="Trebuchet MS"/>
          <w:color w:val="231F20"/>
          <w:spacing w:val="-9"/>
          <w:w w:val="105"/>
          <w:sz w:val="14"/>
        </w:rPr>
        <w:t xml:space="preserve"> </w:t>
      </w:r>
      <w:r>
        <w:rPr>
          <w:rFonts w:ascii="Trebuchet MS"/>
          <w:color w:val="231F20"/>
          <w:w w:val="105"/>
          <w:sz w:val="14"/>
        </w:rPr>
        <w:t>Development</w:t>
      </w:r>
      <w:r>
        <w:rPr>
          <w:rFonts w:ascii="Trebuchet MS"/>
          <w:color w:val="231F20"/>
          <w:spacing w:val="-9"/>
          <w:w w:val="105"/>
          <w:sz w:val="14"/>
        </w:rPr>
        <w:t xml:space="preserve"> </w:t>
      </w:r>
      <w:r>
        <w:rPr>
          <w:rFonts w:ascii="Trebuchet MS"/>
          <w:color w:val="231F20"/>
          <w:w w:val="105"/>
          <w:sz w:val="14"/>
        </w:rPr>
        <w:t>and</w:t>
      </w:r>
      <w:r>
        <w:rPr>
          <w:rFonts w:ascii="Trebuchet MS"/>
          <w:color w:val="231F20"/>
          <w:spacing w:val="-8"/>
          <w:w w:val="105"/>
          <w:sz w:val="14"/>
        </w:rPr>
        <w:t xml:space="preserve"> </w:t>
      </w:r>
      <w:r>
        <w:rPr>
          <w:rFonts w:ascii="Trebuchet MS"/>
          <w:color w:val="231F20"/>
          <w:spacing w:val="-4"/>
          <w:w w:val="105"/>
          <w:sz w:val="14"/>
        </w:rPr>
        <w:t>Time</w:t>
      </w:r>
    </w:p>
    <w:p w14:paraId="207107D2" w14:textId="77777777" w:rsidR="00AE0598" w:rsidRDefault="00AE0598">
      <w:pPr>
        <w:pStyle w:val="Corpodetexto"/>
        <w:rPr>
          <w:rFonts w:ascii="Trebuchet MS"/>
          <w:sz w:val="16"/>
        </w:rPr>
      </w:pPr>
    </w:p>
    <w:p w14:paraId="2B45BF3C" w14:textId="77777777" w:rsidR="00AE0598" w:rsidRDefault="0069255A">
      <w:pPr>
        <w:pStyle w:val="Corpodetexto"/>
        <w:spacing w:before="118" w:line="232" w:lineRule="auto"/>
        <w:ind w:left="110" w:right="127"/>
        <w:jc w:val="both"/>
      </w:pPr>
      <w:r>
        <w:rPr>
          <w:color w:val="231F20"/>
        </w:rPr>
        <w:t>in a way that is collectively co-created, offers the potential for powerful and</w:t>
      </w:r>
      <w:r>
        <w:rPr>
          <w:color w:val="231F20"/>
          <w:spacing w:val="-5"/>
        </w:rPr>
        <w:t xml:space="preserve"> </w:t>
      </w:r>
      <w:r>
        <w:rPr>
          <w:color w:val="231F20"/>
        </w:rPr>
        <w:t>transformative</w:t>
      </w:r>
      <w:r>
        <w:rPr>
          <w:color w:val="231F20"/>
          <w:spacing w:val="-5"/>
        </w:rPr>
        <w:t xml:space="preserve"> </w:t>
      </w:r>
      <w:r>
        <w:rPr>
          <w:color w:val="231F20"/>
        </w:rPr>
        <w:t>contemporary</w:t>
      </w:r>
      <w:r>
        <w:rPr>
          <w:color w:val="231F20"/>
          <w:spacing w:val="-5"/>
        </w:rPr>
        <w:t xml:space="preserve"> </w:t>
      </w:r>
      <w:r>
        <w:rPr>
          <w:color w:val="231F20"/>
        </w:rPr>
        <w:t>tourist</w:t>
      </w:r>
      <w:r>
        <w:rPr>
          <w:color w:val="231F20"/>
          <w:spacing w:val="-5"/>
        </w:rPr>
        <w:t xml:space="preserve"> </w:t>
      </w:r>
      <w:r>
        <w:rPr>
          <w:color w:val="231F20"/>
        </w:rPr>
        <w:t>experiences</w:t>
      </w:r>
      <w:r>
        <w:rPr>
          <w:color w:val="231F20"/>
          <w:spacing w:val="-5"/>
        </w:rPr>
        <w:t xml:space="preserve"> </w:t>
      </w:r>
      <w:r>
        <w:rPr>
          <w:color w:val="231F20"/>
        </w:rPr>
        <w:t>(Morgan,</w:t>
      </w:r>
      <w:r>
        <w:rPr>
          <w:color w:val="231F20"/>
          <w:spacing w:val="-5"/>
        </w:rPr>
        <w:t xml:space="preserve"> </w:t>
      </w:r>
      <w:r>
        <w:rPr>
          <w:color w:val="231F20"/>
        </w:rPr>
        <w:t>2007).</w:t>
      </w:r>
    </w:p>
    <w:p w14:paraId="2DC62043" w14:textId="77777777" w:rsidR="00AE0598" w:rsidRDefault="0069255A">
      <w:pPr>
        <w:pStyle w:val="Corpodetexto"/>
        <w:spacing w:before="2" w:line="232" w:lineRule="auto"/>
        <w:ind w:left="110" w:right="125" w:firstLine="320"/>
        <w:jc w:val="both"/>
      </w:pPr>
      <w:r>
        <w:rPr>
          <w:color w:val="231F20"/>
        </w:rPr>
        <w:t>The</w:t>
      </w:r>
      <w:r>
        <w:rPr>
          <w:color w:val="231F20"/>
          <w:spacing w:val="-11"/>
        </w:rPr>
        <w:t xml:space="preserve"> </w:t>
      </w:r>
      <w:r>
        <w:rPr>
          <w:color w:val="231F20"/>
        </w:rPr>
        <w:t>factors</w:t>
      </w:r>
      <w:r>
        <w:rPr>
          <w:color w:val="231F20"/>
          <w:spacing w:val="-11"/>
        </w:rPr>
        <w:t xml:space="preserve"> </w:t>
      </w:r>
      <w:r>
        <w:rPr>
          <w:color w:val="231F20"/>
        </w:rPr>
        <w:t>that</w:t>
      </w:r>
      <w:r>
        <w:rPr>
          <w:color w:val="231F20"/>
          <w:spacing w:val="-11"/>
        </w:rPr>
        <w:t xml:space="preserve"> </w:t>
      </w:r>
      <w:r>
        <w:rPr>
          <w:color w:val="231F20"/>
        </w:rPr>
        <w:t>feature</w:t>
      </w:r>
      <w:r>
        <w:rPr>
          <w:color w:val="231F20"/>
          <w:spacing w:val="-11"/>
        </w:rPr>
        <w:t xml:space="preserve"> </w:t>
      </w:r>
      <w:r>
        <w:rPr>
          <w:color w:val="231F20"/>
        </w:rPr>
        <w:t>in</w:t>
      </w:r>
      <w:r>
        <w:rPr>
          <w:color w:val="231F20"/>
          <w:spacing w:val="-11"/>
        </w:rPr>
        <w:t xml:space="preserve"> </w:t>
      </w:r>
      <w:r>
        <w:rPr>
          <w:color w:val="231F20"/>
        </w:rPr>
        <w:t>the</w:t>
      </w:r>
      <w:r>
        <w:rPr>
          <w:color w:val="231F20"/>
          <w:spacing w:val="-11"/>
        </w:rPr>
        <w:t xml:space="preserve"> </w:t>
      </w:r>
      <w:r>
        <w:rPr>
          <w:color w:val="231F20"/>
        </w:rPr>
        <w:t>recall</w:t>
      </w:r>
      <w:r>
        <w:rPr>
          <w:color w:val="231F20"/>
          <w:spacing w:val="-11"/>
        </w:rPr>
        <w:t xml:space="preserve"> </w:t>
      </w:r>
      <w:r>
        <w:rPr>
          <w:color w:val="231F20"/>
        </w:rPr>
        <w:t>phase</w:t>
      </w:r>
      <w:r>
        <w:rPr>
          <w:color w:val="231F20"/>
          <w:spacing w:val="-11"/>
        </w:rPr>
        <w:t xml:space="preserve"> </w:t>
      </w:r>
      <w:r>
        <w:rPr>
          <w:color w:val="231F20"/>
        </w:rPr>
        <w:t>of</w:t>
      </w:r>
      <w:r>
        <w:rPr>
          <w:color w:val="231F20"/>
          <w:spacing w:val="-11"/>
        </w:rPr>
        <w:t xml:space="preserve"> </w:t>
      </w:r>
      <w:r>
        <w:rPr>
          <w:color w:val="231F20"/>
        </w:rPr>
        <w:t>the</w:t>
      </w:r>
      <w:r>
        <w:rPr>
          <w:color w:val="231F20"/>
          <w:spacing w:val="-11"/>
        </w:rPr>
        <w:t xml:space="preserve"> </w:t>
      </w:r>
      <w:r>
        <w:rPr>
          <w:color w:val="231F20"/>
        </w:rPr>
        <w:t>sport</w:t>
      </w:r>
      <w:r>
        <w:rPr>
          <w:color w:val="231F20"/>
          <w:spacing w:val="-11"/>
        </w:rPr>
        <w:t xml:space="preserve"> </w:t>
      </w:r>
      <w:r>
        <w:rPr>
          <w:color w:val="231F20"/>
        </w:rPr>
        <w:t>tourism</w:t>
      </w:r>
      <w:r>
        <w:rPr>
          <w:color w:val="231F20"/>
          <w:spacing w:val="-11"/>
        </w:rPr>
        <w:t xml:space="preserve"> </w:t>
      </w:r>
      <w:r>
        <w:rPr>
          <w:color w:val="231F20"/>
        </w:rPr>
        <w:t>visitor experience also remain poorly understo</w:t>
      </w:r>
      <w:r>
        <w:rPr>
          <w:color w:val="231F20"/>
        </w:rPr>
        <w:t xml:space="preserve">od. These factors are certain to </w:t>
      </w:r>
      <w:r>
        <w:rPr>
          <w:color w:val="231F20"/>
          <w:w w:val="95"/>
        </w:rPr>
        <w:t xml:space="preserve">differ between sport tourist types. High performance athletes are likely to be influenced by the standard of training facilities, personal performance </w:t>
      </w:r>
      <w:r>
        <w:rPr>
          <w:color w:val="231F20"/>
        </w:rPr>
        <w:t>and the outcome of the sport contest (Francis &amp; Murphy, 2005; Maier &amp; We</w:t>
      </w:r>
      <w:r>
        <w:rPr>
          <w:color w:val="231F20"/>
        </w:rPr>
        <w:t xml:space="preserve">ber, 1993). The experiences of event spectators may be judged by </w:t>
      </w:r>
      <w:r>
        <w:rPr>
          <w:color w:val="231F20"/>
          <w:w w:val="95"/>
        </w:rPr>
        <w:t xml:space="preserve">casual spectators based upon the uniqueness of the sport experience while more serious sports fans may judge it by the outcomes of competition and </w:t>
      </w:r>
      <w:r>
        <w:rPr>
          <w:color w:val="231F20"/>
        </w:rPr>
        <w:t>the enhancement of social identity and self-</w:t>
      </w:r>
      <w:r>
        <w:rPr>
          <w:color w:val="231F20"/>
        </w:rPr>
        <w:t xml:space="preserve">concept (Gibson, 1998a). By </w:t>
      </w:r>
      <w:r>
        <w:rPr>
          <w:color w:val="231F20"/>
          <w:w w:val="95"/>
        </w:rPr>
        <w:t xml:space="preserve">contrast, those pursuing general holidays with some incidental engagement </w:t>
      </w:r>
      <w:r>
        <w:rPr>
          <w:color w:val="231F20"/>
        </w:rPr>
        <w:t>in</w:t>
      </w:r>
      <w:r>
        <w:rPr>
          <w:color w:val="231F20"/>
          <w:spacing w:val="-9"/>
        </w:rPr>
        <w:t xml:space="preserve"> </w:t>
      </w:r>
      <w:r>
        <w:rPr>
          <w:color w:val="231F20"/>
        </w:rPr>
        <w:t>sport</w:t>
      </w:r>
      <w:r>
        <w:rPr>
          <w:color w:val="231F20"/>
          <w:spacing w:val="-9"/>
        </w:rPr>
        <w:t xml:space="preserve"> </w:t>
      </w:r>
      <w:r>
        <w:rPr>
          <w:color w:val="231F20"/>
        </w:rPr>
        <w:t>may</w:t>
      </w:r>
      <w:r>
        <w:rPr>
          <w:color w:val="231F20"/>
          <w:spacing w:val="-9"/>
        </w:rPr>
        <w:t xml:space="preserve"> </w:t>
      </w:r>
      <w:r>
        <w:rPr>
          <w:color w:val="231F20"/>
        </w:rPr>
        <w:t>seek</w:t>
      </w:r>
      <w:r>
        <w:rPr>
          <w:color w:val="231F20"/>
          <w:spacing w:val="-9"/>
        </w:rPr>
        <w:t xml:space="preserve"> </w:t>
      </w:r>
      <w:r>
        <w:rPr>
          <w:color w:val="231F20"/>
        </w:rPr>
        <w:t>unique</w:t>
      </w:r>
      <w:r>
        <w:rPr>
          <w:color w:val="231F20"/>
          <w:spacing w:val="-9"/>
        </w:rPr>
        <w:t xml:space="preserve"> </w:t>
      </w:r>
      <w:r>
        <w:rPr>
          <w:color w:val="231F20"/>
        </w:rPr>
        <w:t>touristic</w:t>
      </w:r>
      <w:r>
        <w:rPr>
          <w:color w:val="231F20"/>
          <w:spacing w:val="-9"/>
        </w:rPr>
        <w:t xml:space="preserve"> </w:t>
      </w:r>
      <w:r>
        <w:rPr>
          <w:color w:val="231F20"/>
        </w:rPr>
        <w:t>experiences</w:t>
      </w:r>
      <w:r>
        <w:rPr>
          <w:color w:val="231F20"/>
          <w:spacing w:val="-9"/>
        </w:rPr>
        <w:t xml:space="preserve"> </w:t>
      </w:r>
      <w:r>
        <w:rPr>
          <w:color w:val="231F20"/>
        </w:rPr>
        <w:t>of</w:t>
      </w:r>
      <w:r>
        <w:rPr>
          <w:color w:val="231F20"/>
          <w:spacing w:val="-9"/>
        </w:rPr>
        <w:t xml:space="preserve"> </w:t>
      </w:r>
      <w:r>
        <w:rPr>
          <w:color w:val="231F20"/>
        </w:rPr>
        <w:t>sport</w:t>
      </w:r>
      <w:r>
        <w:rPr>
          <w:color w:val="231F20"/>
          <w:spacing w:val="-9"/>
        </w:rPr>
        <w:t xml:space="preserve"> </w:t>
      </w:r>
      <w:r>
        <w:rPr>
          <w:color w:val="231F20"/>
        </w:rPr>
        <w:t>at</w:t>
      </w:r>
      <w:r>
        <w:rPr>
          <w:color w:val="231F20"/>
          <w:spacing w:val="-9"/>
        </w:rPr>
        <w:t xml:space="preserve"> </w:t>
      </w:r>
      <w:r>
        <w:rPr>
          <w:color w:val="231F20"/>
        </w:rPr>
        <w:t>the</w:t>
      </w:r>
      <w:r>
        <w:rPr>
          <w:color w:val="231F20"/>
          <w:spacing w:val="-9"/>
        </w:rPr>
        <w:t xml:space="preserve"> </w:t>
      </w:r>
      <w:r>
        <w:rPr>
          <w:color w:val="231F20"/>
        </w:rPr>
        <w:t xml:space="preserve">destination (Glyptis, 1982). In each instance, recollections of the visitor experience </w:t>
      </w:r>
      <w:r>
        <w:rPr>
          <w:color w:val="231F20"/>
          <w:w w:val="95"/>
        </w:rPr>
        <w:t xml:space="preserve">are </w:t>
      </w:r>
      <w:r>
        <w:rPr>
          <w:color w:val="231F20"/>
          <w:w w:val="95"/>
        </w:rPr>
        <w:t xml:space="preserve">influenced by different factors. The sport tourist experience remains a </w:t>
      </w:r>
      <w:r>
        <w:rPr>
          <w:color w:val="231F20"/>
        </w:rPr>
        <w:t>field</w:t>
      </w:r>
      <w:r>
        <w:rPr>
          <w:color w:val="231F20"/>
          <w:spacing w:val="-6"/>
        </w:rPr>
        <w:t xml:space="preserve"> </w:t>
      </w:r>
      <w:r>
        <w:rPr>
          <w:color w:val="231F20"/>
        </w:rPr>
        <w:t>that</w:t>
      </w:r>
      <w:r>
        <w:rPr>
          <w:color w:val="231F20"/>
          <w:spacing w:val="-6"/>
        </w:rPr>
        <w:t xml:space="preserve"> </w:t>
      </w:r>
      <w:r>
        <w:rPr>
          <w:color w:val="231F20"/>
        </w:rPr>
        <w:t>is</w:t>
      </w:r>
      <w:r>
        <w:rPr>
          <w:color w:val="231F20"/>
          <w:spacing w:val="-6"/>
        </w:rPr>
        <w:t xml:space="preserve"> </w:t>
      </w:r>
      <w:r>
        <w:rPr>
          <w:color w:val="231F20"/>
        </w:rPr>
        <w:t>rich</w:t>
      </w:r>
      <w:r>
        <w:rPr>
          <w:color w:val="231F20"/>
          <w:spacing w:val="-6"/>
        </w:rPr>
        <w:t xml:space="preserve"> </w:t>
      </w:r>
      <w:r>
        <w:rPr>
          <w:color w:val="231F20"/>
        </w:rPr>
        <w:t>in</w:t>
      </w:r>
      <w:r>
        <w:rPr>
          <w:color w:val="231F20"/>
          <w:spacing w:val="-6"/>
        </w:rPr>
        <w:t xml:space="preserve"> </w:t>
      </w:r>
      <w:r>
        <w:rPr>
          <w:color w:val="231F20"/>
        </w:rPr>
        <w:t>opportunities</w:t>
      </w:r>
      <w:r>
        <w:rPr>
          <w:color w:val="231F20"/>
          <w:spacing w:val="-6"/>
        </w:rPr>
        <w:t xml:space="preserve"> </w:t>
      </w:r>
      <w:r>
        <w:rPr>
          <w:color w:val="231F20"/>
        </w:rPr>
        <w:t>for</w:t>
      </w:r>
      <w:r>
        <w:rPr>
          <w:color w:val="231F20"/>
          <w:spacing w:val="-6"/>
        </w:rPr>
        <w:t xml:space="preserve"> </w:t>
      </w:r>
      <w:r>
        <w:rPr>
          <w:color w:val="231F20"/>
        </w:rPr>
        <w:t>further</w:t>
      </w:r>
      <w:r>
        <w:rPr>
          <w:color w:val="231F20"/>
          <w:spacing w:val="-6"/>
        </w:rPr>
        <w:t xml:space="preserve"> </w:t>
      </w:r>
      <w:r>
        <w:rPr>
          <w:color w:val="231F20"/>
        </w:rPr>
        <w:t>research.</w:t>
      </w:r>
      <w:r>
        <w:rPr>
          <w:color w:val="231F20"/>
          <w:spacing w:val="-6"/>
        </w:rPr>
        <w:t xml:space="preserve"> </w:t>
      </w:r>
      <w:r>
        <w:rPr>
          <w:color w:val="231F20"/>
        </w:rPr>
        <w:t>Indeed,</w:t>
      </w:r>
      <w:r>
        <w:rPr>
          <w:color w:val="231F20"/>
          <w:spacing w:val="-6"/>
        </w:rPr>
        <w:t xml:space="preserve"> </w:t>
      </w:r>
      <w:r>
        <w:rPr>
          <w:color w:val="231F20"/>
        </w:rPr>
        <w:t>the</w:t>
      </w:r>
      <w:r>
        <w:rPr>
          <w:color w:val="231F20"/>
          <w:spacing w:val="-6"/>
        </w:rPr>
        <w:t xml:space="preserve"> </w:t>
      </w:r>
      <w:r>
        <w:rPr>
          <w:color w:val="231F20"/>
        </w:rPr>
        <w:t xml:space="preserve">rapidly </w:t>
      </w:r>
      <w:r>
        <w:rPr>
          <w:color w:val="231F20"/>
          <w:w w:val="95"/>
        </w:rPr>
        <w:t xml:space="preserve">evolving and expanding world of virtual sports and sports experiences that </w:t>
      </w:r>
      <w:r>
        <w:rPr>
          <w:color w:val="231F20"/>
        </w:rPr>
        <w:t xml:space="preserve">are augmented by virtual reality raises fascinating questions regarding definitions of sport, virtual tourism and new dimensions of the sport </w:t>
      </w:r>
      <w:r>
        <w:rPr>
          <w:color w:val="231F20"/>
          <w:spacing w:val="-2"/>
        </w:rPr>
        <w:t>experience.</w:t>
      </w:r>
    </w:p>
    <w:p w14:paraId="24D07E69" w14:textId="77777777" w:rsidR="00AE0598" w:rsidRDefault="00AE0598">
      <w:pPr>
        <w:spacing w:line="232" w:lineRule="auto"/>
        <w:jc w:val="both"/>
        <w:sectPr w:rsidR="00AE0598">
          <w:pgSz w:w="8850" w:h="13270"/>
          <w:pgMar w:top="720" w:right="1060" w:bottom="280" w:left="1080" w:header="720" w:footer="720" w:gutter="0"/>
          <w:cols w:space="720"/>
        </w:sectPr>
      </w:pPr>
    </w:p>
    <w:p w14:paraId="6D8E5457" w14:textId="77777777" w:rsidR="00AE0598" w:rsidRDefault="0069255A">
      <w:pPr>
        <w:pStyle w:val="Ttulo1"/>
        <w:spacing w:line="252" w:lineRule="auto"/>
        <w:ind w:left="595" w:right="1609" w:hanging="486"/>
      </w:pPr>
      <w:bookmarkStart w:id="17" w:name="_TOC_250004"/>
      <w:r>
        <w:rPr>
          <w:color w:val="231F20"/>
          <w:spacing w:val="-2"/>
          <w:w w:val="105"/>
        </w:rPr>
        <w:lastRenderedPageBreak/>
        <w:t>9</w:t>
      </w:r>
      <w:r>
        <w:rPr>
          <w:color w:val="231F20"/>
          <w:spacing w:val="3"/>
          <w:w w:val="105"/>
        </w:rPr>
        <w:t xml:space="preserve"> </w:t>
      </w:r>
      <w:r>
        <w:rPr>
          <w:color w:val="231F20"/>
          <w:spacing w:val="-2"/>
          <w:w w:val="105"/>
        </w:rPr>
        <w:t>Seasonality,</w:t>
      </w:r>
      <w:r>
        <w:rPr>
          <w:color w:val="231F20"/>
          <w:spacing w:val="-35"/>
          <w:w w:val="105"/>
        </w:rPr>
        <w:t xml:space="preserve"> </w:t>
      </w:r>
      <w:r>
        <w:rPr>
          <w:color w:val="231F20"/>
          <w:spacing w:val="-2"/>
          <w:w w:val="105"/>
        </w:rPr>
        <w:t xml:space="preserve">Sport </w:t>
      </w:r>
      <w:bookmarkEnd w:id="17"/>
      <w:r>
        <w:rPr>
          <w:color w:val="231F20"/>
          <w:w w:val="105"/>
        </w:rPr>
        <w:t>and Tourism</w:t>
      </w:r>
    </w:p>
    <w:p w14:paraId="0846716A" w14:textId="77777777" w:rsidR="00AE0598" w:rsidRDefault="00AE0598">
      <w:pPr>
        <w:pStyle w:val="Corpodetexto"/>
        <w:spacing w:before="2"/>
        <w:rPr>
          <w:rFonts w:ascii="Trebuchet MS"/>
          <w:sz w:val="78"/>
        </w:rPr>
      </w:pPr>
    </w:p>
    <w:p w14:paraId="1179A0E4" w14:textId="77777777" w:rsidR="00AE0598" w:rsidRDefault="0069255A">
      <w:pPr>
        <w:spacing w:line="228" w:lineRule="auto"/>
        <w:ind w:left="716" w:right="128" w:hanging="284"/>
        <w:jc w:val="right"/>
        <w:rPr>
          <w:sz w:val="18"/>
        </w:rPr>
      </w:pPr>
      <w:r>
        <w:rPr>
          <w:i/>
          <w:color w:val="231F20"/>
          <w:sz w:val="18"/>
        </w:rPr>
        <w:t>It is not known with any certainty whether tourists travel in peak season because</w:t>
      </w:r>
      <w:r>
        <w:rPr>
          <w:i/>
          <w:color w:val="231F20"/>
          <w:spacing w:val="40"/>
          <w:sz w:val="18"/>
        </w:rPr>
        <w:t xml:space="preserve"> </w:t>
      </w:r>
      <w:r>
        <w:rPr>
          <w:i/>
          <w:color w:val="231F20"/>
          <w:sz w:val="18"/>
        </w:rPr>
        <w:t>they</w:t>
      </w:r>
      <w:r>
        <w:rPr>
          <w:i/>
          <w:color w:val="231F20"/>
          <w:spacing w:val="3"/>
          <w:sz w:val="18"/>
        </w:rPr>
        <w:t xml:space="preserve"> </w:t>
      </w:r>
      <w:r>
        <w:rPr>
          <w:i/>
          <w:color w:val="231F20"/>
          <w:sz w:val="18"/>
        </w:rPr>
        <w:t>want</w:t>
      </w:r>
      <w:r>
        <w:rPr>
          <w:i/>
          <w:color w:val="231F20"/>
          <w:spacing w:val="4"/>
          <w:sz w:val="18"/>
        </w:rPr>
        <w:t xml:space="preserve"> </w:t>
      </w:r>
      <w:r>
        <w:rPr>
          <w:i/>
          <w:color w:val="231F20"/>
          <w:sz w:val="18"/>
        </w:rPr>
        <w:t>to,</w:t>
      </w:r>
      <w:r>
        <w:rPr>
          <w:i/>
          <w:color w:val="231F20"/>
          <w:spacing w:val="4"/>
          <w:sz w:val="18"/>
        </w:rPr>
        <w:t xml:space="preserve"> </w:t>
      </w:r>
      <w:r>
        <w:rPr>
          <w:i/>
          <w:color w:val="231F20"/>
          <w:sz w:val="18"/>
        </w:rPr>
        <w:t>because</w:t>
      </w:r>
      <w:r>
        <w:rPr>
          <w:i/>
          <w:color w:val="231F20"/>
          <w:spacing w:val="4"/>
          <w:sz w:val="18"/>
        </w:rPr>
        <w:t xml:space="preserve"> </w:t>
      </w:r>
      <w:r>
        <w:rPr>
          <w:i/>
          <w:color w:val="231F20"/>
          <w:sz w:val="18"/>
        </w:rPr>
        <w:t>they</w:t>
      </w:r>
      <w:r>
        <w:rPr>
          <w:i/>
          <w:color w:val="231F20"/>
          <w:spacing w:val="4"/>
          <w:sz w:val="18"/>
        </w:rPr>
        <w:t xml:space="preserve"> </w:t>
      </w:r>
      <w:r>
        <w:rPr>
          <w:i/>
          <w:color w:val="231F20"/>
          <w:sz w:val="18"/>
        </w:rPr>
        <w:t>have</w:t>
      </w:r>
      <w:r>
        <w:rPr>
          <w:i/>
          <w:color w:val="231F20"/>
          <w:spacing w:val="3"/>
          <w:sz w:val="18"/>
        </w:rPr>
        <w:t xml:space="preserve"> </w:t>
      </w:r>
      <w:r>
        <w:rPr>
          <w:i/>
          <w:color w:val="231F20"/>
          <w:sz w:val="18"/>
        </w:rPr>
        <w:t>to,</w:t>
      </w:r>
      <w:r>
        <w:rPr>
          <w:i/>
          <w:color w:val="231F20"/>
          <w:spacing w:val="4"/>
          <w:sz w:val="18"/>
        </w:rPr>
        <w:t xml:space="preserve"> </w:t>
      </w:r>
      <w:r>
        <w:rPr>
          <w:i/>
          <w:color w:val="231F20"/>
          <w:sz w:val="18"/>
        </w:rPr>
        <w:t>or</w:t>
      </w:r>
      <w:r>
        <w:rPr>
          <w:i/>
          <w:color w:val="231F20"/>
          <w:spacing w:val="4"/>
          <w:sz w:val="18"/>
        </w:rPr>
        <w:t xml:space="preserve"> </w:t>
      </w:r>
      <w:r>
        <w:rPr>
          <w:i/>
          <w:color w:val="231F20"/>
          <w:sz w:val="18"/>
        </w:rPr>
        <w:t>because</w:t>
      </w:r>
      <w:r>
        <w:rPr>
          <w:i/>
          <w:color w:val="231F20"/>
          <w:spacing w:val="4"/>
          <w:sz w:val="18"/>
        </w:rPr>
        <w:t xml:space="preserve"> </w:t>
      </w:r>
      <w:r>
        <w:rPr>
          <w:i/>
          <w:color w:val="231F20"/>
          <w:sz w:val="18"/>
        </w:rPr>
        <w:t>they</w:t>
      </w:r>
      <w:r>
        <w:rPr>
          <w:i/>
          <w:color w:val="231F20"/>
          <w:spacing w:val="4"/>
          <w:sz w:val="18"/>
        </w:rPr>
        <w:t xml:space="preserve"> </w:t>
      </w:r>
      <w:r>
        <w:rPr>
          <w:i/>
          <w:color w:val="231F20"/>
          <w:sz w:val="18"/>
        </w:rPr>
        <w:t>have</w:t>
      </w:r>
      <w:r>
        <w:rPr>
          <w:i/>
          <w:color w:val="231F20"/>
          <w:spacing w:val="3"/>
          <w:sz w:val="18"/>
        </w:rPr>
        <w:t xml:space="preserve"> </w:t>
      </w:r>
      <w:r>
        <w:rPr>
          <w:i/>
          <w:color w:val="231F20"/>
          <w:sz w:val="18"/>
        </w:rPr>
        <w:t>been</w:t>
      </w:r>
      <w:r>
        <w:rPr>
          <w:i/>
          <w:color w:val="231F20"/>
          <w:spacing w:val="4"/>
          <w:sz w:val="18"/>
        </w:rPr>
        <w:t xml:space="preserve"> </w:t>
      </w:r>
      <w:r>
        <w:rPr>
          <w:i/>
          <w:color w:val="231F20"/>
          <w:sz w:val="18"/>
        </w:rPr>
        <w:t>conditioned</w:t>
      </w:r>
      <w:r>
        <w:rPr>
          <w:i/>
          <w:color w:val="231F20"/>
          <w:spacing w:val="4"/>
          <w:sz w:val="18"/>
        </w:rPr>
        <w:t xml:space="preserve"> </w:t>
      </w:r>
      <w:r>
        <w:rPr>
          <w:i/>
          <w:color w:val="231F20"/>
          <w:spacing w:val="-5"/>
          <w:sz w:val="18"/>
        </w:rPr>
        <w:t>to</w:t>
      </w:r>
      <w:r>
        <w:rPr>
          <w:color w:val="231F20"/>
          <w:spacing w:val="-5"/>
          <w:sz w:val="18"/>
        </w:rPr>
        <w:t>.</w:t>
      </w:r>
    </w:p>
    <w:p w14:paraId="021DF2D8" w14:textId="77777777" w:rsidR="00AE0598" w:rsidRDefault="0069255A">
      <w:pPr>
        <w:spacing w:line="202" w:lineRule="exact"/>
        <w:ind w:left="110" w:right="128"/>
        <w:jc w:val="right"/>
        <w:rPr>
          <w:sz w:val="18"/>
        </w:rPr>
      </w:pPr>
      <w:r>
        <w:rPr>
          <w:color w:val="231F20"/>
          <w:w w:val="95"/>
          <w:sz w:val="18"/>
        </w:rPr>
        <w:t>Butler,</w:t>
      </w:r>
      <w:r>
        <w:rPr>
          <w:color w:val="231F20"/>
          <w:spacing w:val="4"/>
          <w:sz w:val="18"/>
        </w:rPr>
        <w:t xml:space="preserve"> </w:t>
      </w:r>
      <w:r>
        <w:rPr>
          <w:color w:val="231F20"/>
          <w:w w:val="95"/>
          <w:sz w:val="18"/>
        </w:rPr>
        <w:t>2001:</w:t>
      </w:r>
      <w:r>
        <w:rPr>
          <w:color w:val="231F20"/>
          <w:spacing w:val="4"/>
          <w:sz w:val="18"/>
        </w:rPr>
        <w:t xml:space="preserve"> </w:t>
      </w:r>
      <w:r>
        <w:rPr>
          <w:color w:val="231F20"/>
          <w:spacing w:val="-5"/>
          <w:w w:val="95"/>
          <w:sz w:val="18"/>
        </w:rPr>
        <w:t>19</w:t>
      </w:r>
    </w:p>
    <w:p w14:paraId="51F9FBCB" w14:textId="77777777" w:rsidR="00AE0598" w:rsidRDefault="00AE0598">
      <w:pPr>
        <w:pStyle w:val="Corpodetexto"/>
        <w:rPr>
          <w:sz w:val="20"/>
        </w:rPr>
      </w:pPr>
    </w:p>
    <w:p w14:paraId="7E3D84D8" w14:textId="77777777" w:rsidR="00AE0598" w:rsidRDefault="00AE0598">
      <w:pPr>
        <w:pStyle w:val="Corpodetexto"/>
        <w:rPr>
          <w:sz w:val="22"/>
        </w:rPr>
      </w:pPr>
    </w:p>
    <w:p w14:paraId="191E4B1B" w14:textId="77777777" w:rsidR="00AE0598" w:rsidRDefault="0069255A">
      <w:pPr>
        <w:ind w:left="110"/>
        <w:rPr>
          <w:rFonts w:ascii="Trebuchet MS"/>
          <w:b/>
          <w:sz w:val="20"/>
        </w:rPr>
      </w:pPr>
      <w:r>
        <w:rPr>
          <w:rFonts w:ascii="Trebuchet MS"/>
          <w:b/>
          <w:color w:val="231F20"/>
          <w:spacing w:val="-2"/>
          <w:sz w:val="20"/>
        </w:rPr>
        <w:t>Introduction</w:t>
      </w:r>
    </w:p>
    <w:p w14:paraId="3A340F5E" w14:textId="77777777" w:rsidR="00AE0598" w:rsidRDefault="0069255A">
      <w:pPr>
        <w:pStyle w:val="Corpodetexto"/>
        <w:spacing w:before="122" w:line="232" w:lineRule="auto"/>
        <w:ind w:left="110" w:right="127" w:firstLine="320"/>
        <w:jc w:val="both"/>
      </w:pPr>
      <w:r>
        <w:rPr>
          <w:color w:val="231F20"/>
          <w:w w:val="95"/>
        </w:rPr>
        <w:t>Seasonality is the midpoint on the sport tourism development temporal framework</w:t>
      </w:r>
      <w:r>
        <w:rPr>
          <w:color w:val="231F20"/>
          <w:spacing w:val="-3"/>
          <w:w w:val="95"/>
        </w:rPr>
        <w:t xml:space="preserve"> </w:t>
      </w:r>
      <w:r>
        <w:rPr>
          <w:color w:val="231F20"/>
          <w:w w:val="95"/>
        </w:rPr>
        <w:t>that</w:t>
      </w:r>
      <w:r>
        <w:rPr>
          <w:color w:val="231F20"/>
          <w:spacing w:val="-3"/>
          <w:w w:val="95"/>
        </w:rPr>
        <w:t xml:space="preserve"> </w:t>
      </w:r>
      <w:r>
        <w:rPr>
          <w:color w:val="231F20"/>
          <w:w w:val="95"/>
        </w:rPr>
        <w:t>structures</w:t>
      </w:r>
      <w:r>
        <w:rPr>
          <w:color w:val="231F20"/>
          <w:spacing w:val="-3"/>
          <w:w w:val="95"/>
        </w:rPr>
        <w:t xml:space="preserve"> </w:t>
      </w:r>
      <w:r>
        <w:rPr>
          <w:color w:val="231F20"/>
          <w:w w:val="95"/>
        </w:rPr>
        <w:t>Part</w:t>
      </w:r>
      <w:r>
        <w:rPr>
          <w:color w:val="231F20"/>
          <w:spacing w:val="-3"/>
          <w:w w:val="95"/>
        </w:rPr>
        <w:t xml:space="preserve"> </w:t>
      </w:r>
      <w:r>
        <w:rPr>
          <w:color w:val="231F20"/>
          <w:w w:val="95"/>
        </w:rPr>
        <w:t>4</w:t>
      </w:r>
      <w:r>
        <w:rPr>
          <w:color w:val="231F20"/>
          <w:spacing w:val="-3"/>
          <w:w w:val="95"/>
        </w:rPr>
        <w:t xml:space="preserve"> </w:t>
      </w:r>
      <w:r>
        <w:rPr>
          <w:color w:val="231F20"/>
          <w:w w:val="95"/>
        </w:rPr>
        <w:t>of</w:t>
      </w:r>
      <w:r>
        <w:rPr>
          <w:color w:val="231F20"/>
          <w:spacing w:val="-3"/>
          <w:w w:val="95"/>
        </w:rPr>
        <w:t xml:space="preserve"> </w:t>
      </w:r>
      <w:r>
        <w:rPr>
          <w:color w:val="231F20"/>
          <w:w w:val="95"/>
        </w:rPr>
        <w:t>this</w:t>
      </w:r>
      <w:r>
        <w:rPr>
          <w:color w:val="231F20"/>
          <w:spacing w:val="-3"/>
          <w:w w:val="95"/>
        </w:rPr>
        <w:t xml:space="preserve"> </w:t>
      </w:r>
      <w:r>
        <w:rPr>
          <w:color w:val="231F20"/>
          <w:w w:val="95"/>
        </w:rPr>
        <w:t>book</w:t>
      </w:r>
      <w:r>
        <w:rPr>
          <w:color w:val="231F20"/>
          <w:spacing w:val="-3"/>
          <w:w w:val="95"/>
        </w:rPr>
        <w:t xml:space="preserve"> </w:t>
      </w:r>
      <w:r>
        <w:rPr>
          <w:color w:val="231F20"/>
          <w:w w:val="95"/>
        </w:rPr>
        <w:t>(see</w:t>
      </w:r>
      <w:r>
        <w:rPr>
          <w:color w:val="231F20"/>
          <w:spacing w:val="-3"/>
          <w:w w:val="95"/>
        </w:rPr>
        <w:t xml:space="preserve"> </w:t>
      </w:r>
      <w:r>
        <w:rPr>
          <w:color w:val="231F20"/>
          <w:w w:val="95"/>
        </w:rPr>
        <w:t>Chapter</w:t>
      </w:r>
      <w:r>
        <w:rPr>
          <w:color w:val="231F20"/>
          <w:spacing w:val="-3"/>
          <w:w w:val="95"/>
        </w:rPr>
        <w:t xml:space="preserve"> </w:t>
      </w:r>
      <w:r>
        <w:rPr>
          <w:color w:val="231F20"/>
          <w:w w:val="95"/>
        </w:rPr>
        <w:t>1).</w:t>
      </w:r>
      <w:r>
        <w:rPr>
          <w:color w:val="231F20"/>
          <w:spacing w:val="-3"/>
          <w:w w:val="95"/>
        </w:rPr>
        <w:t xml:space="preserve"> </w:t>
      </w:r>
      <w:r>
        <w:rPr>
          <w:color w:val="231F20"/>
          <w:w w:val="95"/>
        </w:rPr>
        <w:t>In</w:t>
      </w:r>
      <w:r>
        <w:rPr>
          <w:color w:val="231F20"/>
          <w:spacing w:val="-3"/>
          <w:w w:val="95"/>
        </w:rPr>
        <w:t xml:space="preserve"> </w:t>
      </w:r>
      <w:r>
        <w:rPr>
          <w:color w:val="231F20"/>
          <w:w w:val="95"/>
        </w:rPr>
        <w:t>the</w:t>
      </w:r>
      <w:r>
        <w:rPr>
          <w:color w:val="231F20"/>
          <w:spacing w:val="-3"/>
          <w:w w:val="95"/>
        </w:rPr>
        <w:t xml:space="preserve"> </w:t>
      </w:r>
      <w:r>
        <w:rPr>
          <w:color w:val="231F20"/>
          <w:w w:val="95"/>
        </w:rPr>
        <w:t xml:space="preserve">context </w:t>
      </w:r>
      <w:r>
        <w:rPr>
          <w:color w:val="231F20"/>
        </w:rPr>
        <w:t>of this chapter, seasonality is defined as ‘a temporal imbalance in the phenomenon</w:t>
      </w:r>
      <w:r>
        <w:rPr>
          <w:color w:val="231F20"/>
          <w:spacing w:val="-12"/>
        </w:rPr>
        <w:t xml:space="preserve"> </w:t>
      </w:r>
      <w:r>
        <w:rPr>
          <w:color w:val="231F20"/>
        </w:rPr>
        <w:t>of</w:t>
      </w:r>
      <w:r>
        <w:rPr>
          <w:color w:val="231F20"/>
          <w:spacing w:val="-11"/>
        </w:rPr>
        <w:t xml:space="preserve"> </w:t>
      </w:r>
      <w:r>
        <w:rPr>
          <w:color w:val="231F20"/>
        </w:rPr>
        <w:t>tourism,</w:t>
      </w:r>
      <w:r>
        <w:rPr>
          <w:color w:val="231F20"/>
          <w:spacing w:val="-11"/>
        </w:rPr>
        <w:t xml:space="preserve"> </w:t>
      </w:r>
      <w:r>
        <w:rPr>
          <w:color w:val="231F20"/>
        </w:rPr>
        <w:t>which</w:t>
      </w:r>
      <w:r>
        <w:rPr>
          <w:color w:val="231F20"/>
          <w:spacing w:val="-11"/>
        </w:rPr>
        <w:t xml:space="preserve"> </w:t>
      </w:r>
      <w:r>
        <w:rPr>
          <w:color w:val="231F20"/>
        </w:rPr>
        <w:t>may</w:t>
      </w:r>
      <w:r>
        <w:rPr>
          <w:color w:val="231F20"/>
          <w:spacing w:val="-11"/>
        </w:rPr>
        <w:t xml:space="preserve"> </w:t>
      </w:r>
      <w:r>
        <w:rPr>
          <w:color w:val="231F20"/>
        </w:rPr>
        <w:t>be</w:t>
      </w:r>
      <w:r>
        <w:rPr>
          <w:color w:val="231F20"/>
          <w:spacing w:val="-11"/>
        </w:rPr>
        <w:t xml:space="preserve"> </w:t>
      </w:r>
      <w:r>
        <w:rPr>
          <w:color w:val="231F20"/>
        </w:rPr>
        <w:t>expressed</w:t>
      </w:r>
      <w:r>
        <w:rPr>
          <w:color w:val="231F20"/>
          <w:spacing w:val="-11"/>
        </w:rPr>
        <w:t xml:space="preserve"> </w:t>
      </w:r>
      <w:r>
        <w:rPr>
          <w:color w:val="231F20"/>
        </w:rPr>
        <w:t>in</w:t>
      </w:r>
      <w:r>
        <w:rPr>
          <w:color w:val="231F20"/>
          <w:spacing w:val="-12"/>
        </w:rPr>
        <w:t xml:space="preserve"> </w:t>
      </w:r>
      <w:r>
        <w:rPr>
          <w:color w:val="231F20"/>
        </w:rPr>
        <w:t>terms</w:t>
      </w:r>
      <w:r>
        <w:rPr>
          <w:color w:val="231F20"/>
          <w:spacing w:val="-11"/>
        </w:rPr>
        <w:t xml:space="preserve"> </w:t>
      </w:r>
      <w:r>
        <w:rPr>
          <w:color w:val="231F20"/>
        </w:rPr>
        <w:t>of</w:t>
      </w:r>
      <w:r>
        <w:rPr>
          <w:color w:val="231F20"/>
          <w:spacing w:val="-12"/>
        </w:rPr>
        <w:t xml:space="preserve"> </w:t>
      </w:r>
      <w:r>
        <w:rPr>
          <w:color w:val="231F20"/>
        </w:rPr>
        <w:t xml:space="preserve">dimensions </w:t>
      </w:r>
      <w:r>
        <w:rPr>
          <w:color w:val="231F20"/>
          <w:w w:val="95"/>
        </w:rPr>
        <w:t>of such elements as numbers of visitors, expenditure of visitors, traffic on highways and other forms of transportation, employment and admissions</w:t>
      </w:r>
      <w:r>
        <w:rPr>
          <w:color w:val="231F20"/>
          <w:spacing w:val="40"/>
        </w:rPr>
        <w:t xml:space="preserve"> </w:t>
      </w:r>
      <w:r>
        <w:rPr>
          <w:color w:val="231F20"/>
        </w:rPr>
        <w:t>to attractions’ (Butler, 2001: 5; see also Koenig-Lewis &amp; Bischoff, 2005;</w:t>
      </w:r>
      <w:r>
        <w:rPr>
          <w:color w:val="231F20"/>
        </w:rPr>
        <w:t xml:space="preserve"> Martin </w:t>
      </w:r>
      <w:r>
        <w:rPr>
          <w:i/>
          <w:color w:val="231F20"/>
        </w:rPr>
        <w:t>et al</w:t>
      </w:r>
      <w:r>
        <w:rPr>
          <w:color w:val="231F20"/>
        </w:rPr>
        <w:t xml:space="preserve">., 2014). It is one of the most common characteristics of tourism, yet probably one of the least understood. More often than not, it is uncritically viewed as a problem that needs to be fixed. In contrast, seasonality is not generally seen as </w:t>
      </w:r>
      <w:r>
        <w:rPr>
          <w:color w:val="231F20"/>
        </w:rPr>
        <w:t xml:space="preserve">a major issue in sport, although </w:t>
      </w:r>
      <w:r>
        <w:rPr>
          <w:color w:val="231F20"/>
          <w:w w:val="95"/>
        </w:rPr>
        <w:t xml:space="preserve">recent trends towards longer playing seasons tend to constrain multisport </w:t>
      </w:r>
      <w:r>
        <w:rPr>
          <w:color w:val="231F20"/>
        </w:rPr>
        <w:t>participation (Higham &amp; Hinch, 2002a).</w:t>
      </w:r>
    </w:p>
    <w:p w14:paraId="7A3E6AB4" w14:textId="77777777" w:rsidR="00AE0598" w:rsidRDefault="0069255A">
      <w:pPr>
        <w:pStyle w:val="Corpodetexto"/>
        <w:spacing w:before="16" w:line="232" w:lineRule="auto"/>
        <w:ind w:left="110" w:right="127" w:firstLine="319"/>
        <w:jc w:val="both"/>
      </w:pPr>
      <w:r>
        <w:rPr>
          <w:color w:val="231F20"/>
        </w:rPr>
        <w:t xml:space="preserve">The purpose of this chapter is to examine the ways in which sport </w:t>
      </w:r>
      <w:r>
        <w:rPr>
          <w:color w:val="231F20"/>
          <w:w w:val="95"/>
        </w:rPr>
        <w:t>tourism is characterised by seasonality with</w:t>
      </w:r>
      <w:r>
        <w:rPr>
          <w:color w:val="231F20"/>
          <w:w w:val="95"/>
        </w:rPr>
        <w:t xml:space="preserve"> an emphasis on how sport has </w:t>
      </w:r>
      <w:r>
        <w:rPr>
          <w:color w:val="231F20"/>
        </w:rPr>
        <w:t xml:space="preserve">been used to alter tourism seasons in targeted destinations. We start by </w:t>
      </w:r>
      <w:r>
        <w:rPr>
          <w:color w:val="231F20"/>
          <w:w w:val="95"/>
        </w:rPr>
        <w:t>examining</w:t>
      </w:r>
      <w:r>
        <w:rPr>
          <w:color w:val="231F20"/>
          <w:spacing w:val="-4"/>
          <w:w w:val="95"/>
        </w:rPr>
        <w:t xml:space="preserve"> </w:t>
      </w:r>
      <w:r>
        <w:rPr>
          <w:color w:val="231F20"/>
          <w:w w:val="95"/>
        </w:rPr>
        <w:t>seasonal</w:t>
      </w:r>
      <w:r>
        <w:rPr>
          <w:color w:val="231F20"/>
          <w:spacing w:val="-4"/>
          <w:w w:val="95"/>
        </w:rPr>
        <w:t xml:space="preserve"> </w:t>
      </w:r>
      <w:r>
        <w:rPr>
          <w:color w:val="231F20"/>
          <w:w w:val="95"/>
        </w:rPr>
        <w:t>patterns</w:t>
      </w:r>
      <w:r>
        <w:rPr>
          <w:color w:val="231F20"/>
          <w:spacing w:val="-4"/>
          <w:w w:val="95"/>
        </w:rPr>
        <w:t xml:space="preserve"> </w:t>
      </w:r>
      <w:r>
        <w:rPr>
          <w:color w:val="231F20"/>
          <w:w w:val="95"/>
        </w:rPr>
        <w:t>and</w:t>
      </w:r>
      <w:r>
        <w:rPr>
          <w:color w:val="231F20"/>
          <w:spacing w:val="-4"/>
          <w:w w:val="95"/>
        </w:rPr>
        <w:t xml:space="preserve"> </w:t>
      </w:r>
      <w:r>
        <w:rPr>
          <w:color w:val="231F20"/>
          <w:w w:val="95"/>
        </w:rPr>
        <w:t>issues</w:t>
      </w:r>
      <w:r>
        <w:rPr>
          <w:color w:val="231F20"/>
          <w:spacing w:val="-4"/>
          <w:w w:val="95"/>
        </w:rPr>
        <w:t xml:space="preserve"> </w:t>
      </w:r>
      <w:r>
        <w:rPr>
          <w:color w:val="231F20"/>
          <w:w w:val="95"/>
        </w:rPr>
        <w:t>in</w:t>
      </w:r>
      <w:r>
        <w:rPr>
          <w:color w:val="231F20"/>
          <w:spacing w:val="-4"/>
          <w:w w:val="95"/>
        </w:rPr>
        <w:t xml:space="preserve"> </w:t>
      </w:r>
      <w:r>
        <w:rPr>
          <w:color w:val="231F20"/>
          <w:w w:val="95"/>
        </w:rPr>
        <w:t>a</w:t>
      </w:r>
      <w:r>
        <w:rPr>
          <w:color w:val="231F20"/>
          <w:spacing w:val="-4"/>
          <w:w w:val="95"/>
        </w:rPr>
        <w:t xml:space="preserve"> </w:t>
      </w:r>
      <w:r>
        <w:rPr>
          <w:color w:val="231F20"/>
          <w:w w:val="95"/>
        </w:rPr>
        <w:t>tourism</w:t>
      </w:r>
      <w:r>
        <w:rPr>
          <w:color w:val="231F20"/>
          <w:spacing w:val="-4"/>
          <w:w w:val="95"/>
        </w:rPr>
        <w:t xml:space="preserve"> </w:t>
      </w:r>
      <w:r>
        <w:rPr>
          <w:color w:val="231F20"/>
          <w:w w:val="95"/>
        </w:rPr>
        <w:t>context</w:t>
      </w:r>
      <w:r>
        <w:rPr>
          <w:color w:val="231F20"/>
          <w:spacing w:val="-4"/>
          <w:w w:val="95"/>
        </w:rPr>
        <w:t xml:space="preserve"> </w:t>
      </w:r>
      <w:r>
        <w:rPr>
          <w:color w:val="231F20"/>
          <w:w w:val="95"/>
        </w:rPr>
        <w:t>followed</w:t>
      </w:r>
      <w:r>
        <w:rPr>
          <w:color w:val="231F20"/>
          <w:spacing w:val="-4"/>
          <w:w w:val="95"/>
        </w:rPr>
        <w:t xml:space="preserve"> </w:t>
      </w:r>
      <w:r>
        <w:rPr>
          <w:color w:val="231F20"/>
          <w:w w:val="95"/>
        </w:rPr>
        <w:t>by</w:t>
      </w:r>
      <w:r>
        <w:rPr>
          <w:color w:val="231F20"/>
          <w:spacing w:val="-4"/>
          <w:w w:val="95"/>
        </w:rPr>
        <w:t xml:space="preserve"> </w:t>
      </w:r>
      <w:r>
        <w:rPr>
          <w:color w:val="231F20"/>
          <w:w w:val="95"/>
        </w:rPr>
        <w:t xml:space="preserve">the </w:t>
      </w:r>
      <w:r>
        <w:rPr>
          <w:color w:val="231F20"/>
        </w:rPr>
        <w:t>sporting</w:t>
      </w:r>
      <w:r>
        <w:rPr>
          <w:color w:val="231F20"/>
          <w:spacing w:val="-8"/>
        </w:rPr>
        <w:t xml:space="preserve"> </w:t>
      </w:r>
      <w:r>
        <w:rPr>
          <w:color w:val="231F20"/>
        </w:rPr>
        <w:t>context.</w:t>
      </w:r>
      <w:r>
        <w:rPr>
          <w:color w:val="231F20"/>
          <w:spacing w:val="-8"/>
        </w:rPr>
        <w:t xml:space="preserve"> </w:t>
      </w:r>
      <w:r>
        <w:rPr>
          <w:color w:val="231F20"/>
        </w:rPr>
        <w:t>Consideration</w:t>
      </w:r>
      <w:r>
        <w:rPr>
          <w:color w:val="231F20"/>
          <w:spacing w:val="-8"/>
        </w:rPr>
        <w:t xml:space="preserve"> </w:t>
      </w:r>
      <w:r>
        <w:rPr>
          <w:color w:val="231F20"/>
        </w:rPr>
        <w:t>will</w:t>
      </w:r>
      <w:r>
        <w:rPr>
          <w:color w:val="231F20"/>
          <w:spacing w:val="-8"/>
        </w:rPr>
        <w:t xml:space="preserve"> </w:t>
      </w:r>
      <w:r>
        <w:rPr>
          <w:color w:val="231F20"/>
        </w:rPr>
        <w:t>be</w:t>
      </w:r>
      <w:r>
        <w:rPr>
          <w:color w:val="231F20"/>
          <w:spacing w:val="-8"/>
        </w:rPr>
        <w:t xml:space="preserve"> </w:t>
      </w:r>
      <w:r>
        <w:rPr>
          <w:color w:val="231F20"/>
        </w:rPr>
        <w:t>given</w:t>
      </w:r>
      <w:r>
        <w:rPr>
          <w:color w:val="231F20"/>
          <w:spacing w:val="-8"/>
        </w:rPr>
        <w:t xml:space="preserve"> </w:t>
      </w:r>
      <w:r>
        <w:rPr>
          <w:color w:val="231F20"/>
        </w:rPr>
        <w:t>to</w:t>
      </w:r>
      <w:r>
        <w:rPr>
          <w:color w:val="231F20"/>
          <w:spacing w:val="-8"/>
        </w:rPr>
        <w:t xml:space="preserve"> </w:t>
      </w:r>
      <w:r>
        <w:rPr>
          <w:color w:val="231F20"/>
        </w:rPr>
        <w:t>the</w:t>
      </w:r>
      <w:r>
        <w:rPr>
          <w:color w:val="231F20"/>
          <w:spacing w:val="-8"/>
        </w:rPr>
        <w:t xml:space="preserve"> </w:t>
      </w:r>
      <w:r>
        <w:rPr>
          <w:color w:val="231F20"/>
        </w:rPr>
        <w:t>factors</w:t>
      </w:r>
      <w:r>
        <w:rPr>
          <w:color w:val="231F20"/>
          <w:spacing w:val="-8"/>
        </w:rPr>
        <w:t xml:space="preserve"> </w:t>
      </w:r>
      <w:r>
        <w:rPr>
          <w:color w:val="231F20"/>
        </w:rPr>
        <w:t>that</w:t>
      </w:r>
      <w:r>
        <w:rPr>
          <w:color w:val="231F20"/>
          <w:spacing w:val="-8"/>
        </w:rPr>
        <w:t xml:space="preserve"> </w:t>
      </w:r>
      <w:r>
        <w:rPr>
          <w:color w:val="231F20"/>
        </w:rPr>
        <w:t>influence t</w:t>
      </w:r>
      <w:r>
        <w:rPr>
          <w:color w:val="231F20"/>
        </w:rPr>
        <w:t xml:space="preserve">hese patterns including the growing implications of climate change on </w:t>
      </w:r>
      <w:r>
        <w:rPr>
          <w:color w:val="231F20"/>
          <w:w w:val="95"/>
        </w:rPr>
        <w:t>seasonality. Next, a review of sport-based strategies that have been used in an attempt to alter seasonality will be presented. Case Study 9.1 by Robert Steiger highlights the way that c</w:t>
      </w:r>
      <w:r>
        <w:rPr>
          <w:color w:val="231F20"/>
          <w:w w:val="95"/>
        </w:rPr>
        <w:t xml:space="preserve">limate change is impacting the ski industry </w:t>
      </w:r>
      <w:r>
        <w:rPr>
          <w:color w:val="231F20"/>
        </w:rPr>
        <w:t>and its implications for seasonality in the sport tourism sector.</w:t>
      </w:r>
    </w:p>
    <w:p w14:paraId="47906843" w14:textId="77777777" w:rsidR="00AE0598" w:rsidRDefault="00AE0598">
      <w:pPr>
        <w:pStyle w:val="Corpodetexto"/>
        <w:spacing w:before="11"/>
      </w:pPr>
    </w:p>
    <w:p w14:paraId="09FCA956" w14:textId="77777777" w:rsidR="00AE0598" w:rsidRDefault="0069255A">
      <w:pPr>
        <w:ind w:left="110"/>
        <w:rPr>
          <w:rFonts w:ascii="Trebuchet MS"/>
          <w:b/>
          <w:sz w:val="20"/>
        </w:rPr>
      </w:pPr>
      <w:r>
        <w:rPr>
          <w:rFonts w:ascii="Trebuchet MS"/>
          <w:b/>
          <w:color w:val="231F20"/>
          <w:sz w:val="20"/>
        </w:rPr>
        <w:t>Seasonal</w:t>
      </w:r>
      <w:r>
        <w:rPr>
          <w:rFonts w:ascii="Trebuchet MS"/>
          <w:b/>
          <w:color w:val="231F20"/>
          <w:spacing w:val="4"/>
          <w:sz w:val="20"/>
        </w:rPr>
        <w:t xml:space="preserve"> </w:t>
      </w:r>
      <w:r>
        <w:rPr>
          <w:rFonts w:ascii="Trebuchet MS"/>
          <w:b/>
          <w:color w:val="231F20"/>
          <w:sz w:val="20"/>
        </w:rPr>
        <w:t>Patterns</w:t>
      </w:r>
      <w:r>
        <w:rPr>
          <w:rFonts w:ascii="Trebuchet MS"/>
          <w:b/>
          <w:color w:val="231F20"/>
          <w:spacing w:val="4"/>
          <w:sz w:val="20"/>
        </w:rPr>
        <w:t xml:space="preserve"> </w:t>
      </w:r>
      <w:r>
        <w:rPr>
          <w:rFonts w:ascii="Trebuchet MS"/>
          <w:b/>
          <w:color w:val="231F20"/>
          <w:sz w:val="20"/>
        </w:rPr>
        <w:t>and</w:t>
      </w:r>
      <w:r>
        <w:rPr>
          <w:rFonts w:ascii="Trebuchet MS"/>
          <w:b/>
          <w:color w:val="231F20"/>
          <w:spacing w:val="4"/>
          <w:sz w:val="20"/>
        </w:rPr>
        <w:t xml:space="preserve"> </w:t>
      </w:r>
      <w:r>
        <w:rPr>
          <w:rFonts w:ascii="Trebuchet MS"/>
          <w:b/>
          <w:color w:val="231F20"/>
          <w:sz w:val="20"/>
        </w:rPr>
        <w:t>Issues</w:t>
      </w:r>
      <w:r>
        <w:rPr>
          <w:rFonts w:ascii="Trebuchet MS"/>
          <w:b/>
          <w:color w:val="231F20"/>
          <w:spacing w:val="5"/>
          <w:sz w:val="20"/>
        </w:rPr>
        <w:t xml:space="preserve"> </w:t>
      </w:r>
      <w:r>
        <w:rPr>
          <w:rFonts w:ascii="Trebuchet MS"/>
          <w:b/>
          <w:color w:val="231F20"/>
          <w:sz w:val="20"/>
        </w:rPr>
        <w:t>in</w:t>
      </w:r>
      <w:r>
        <w:rPr>
          <w:rFonts w:ascii="Trebuchet MS"/>
          <w:b/>
          <w:color w:val="231F20"/>
          <w:spacing w:val="4"/>
          <w:sz w:val="20"/>
        </w:rPr>
        <w:t xml:space="preserve"> </w:t>
      </w:r>
      <w:r>
        <w:rPr>
          <w:rFonts w:ascii="Trebuchet MS"/>
          <w:b/>
          <w:color w:val="231F20"/>
          <w:spacing w:val="-2"/>
          <w:sz w:val="20"/>
        </w:rPr>
        <w:t>Tourism</w:t>
      </w:r>
    </w:p>
    <w:p w14:paraId="3CF8F74C" w14:textId="77777777" w:rsidR="00AE0598" w:rsidRDefault="0069255A">
      <w:pPr>
        <w:pStyle w:val="Corpodetexto"/>
        <w:spacing w:before="122" w:line="232" w:lineRule="auto"/>
        <w:ind w:left="110" w:right="127" w:firstLine="320"/>
        <w:jc w:val="both"/>
      </w:pPr>
      <w:r>
        <w:rPr>
          <w:color w:val="231F20"/>
          <w:w w:val="95"/>
        </w:rPr>
        <w:t xml:space="preserve">Baron’s (1975) pioneering study of tourism seasonality consisted of an analysis of tourism data from 16 prominent tourism destination countries </w:t>
      </w:r>
      <w:r>
        <w:rPr>
          <w:color w:val="231F20"/>
        </w:rPr>
        <w:t>covering</w:t>
      </w:r>
      <w:r>
        <w:rPr>
          <w:color w:val="231F20"/>
          <w:spacing w:val="-6"/>
        </w:rPr>
        <w:t xml:space="preserve"> </w:t>
      </w:r>
      <w:r>
        <w:rPr>
          <w:color w:val="231F20"/>
        </w:rPr>
        <w:t>a</w:t>
      </w:r>
      <w:r>
        <w:rPr>
          <w:color w:val="231F20"/>
          <w:spacing w:val="-6"/>
        </w:rPr>
        <w:t xml:space="preserve"> </w:t>
      </w:r>
      <w:r>
        <w:rPr>
          <w:color w:val="231F20"/>
        </w:rPr>
        <w:t>period</w:t>
      </w:r>
      <w:r>
        <w:rPr>
          <w:color w:val="231F20"/>
          <w:spacing w:val="-6"/>
        </w:rPr>
        <w:t xml:space="preserve"> </w:t>
      </w:r>
      <w:r>
        <w:rPr>
          <w:color w:val="231F20"/>
        </w:rPr>
        <w:t>of</w:t>
      </w:r>
      <w:r>
        <w:rPr>
          <w:color w:val="231F20"/>
          <w:spacing w:val="-6"/>
        </w:rPr>
        <w:t xml:space="preserve"> </w:t>
      </w:r>
      <w:r>
        <w:rPr>
          <w:color w:val="231F20"/>
        </w:rPr>
        <w:t>17</w:t>
      </w:r>
      <w:r>
        <w:rPr>
          <w:color w:val="231F20"/>
          <w:spacing w:val="-6"/>
        </w:rPr>
        <w:t xml:space="preserve"> </w:t>
      </w:r>
      <w:r>
        <w:rPr>
          <w:color w:val="231F20"/>
        </w:rPr>
        <w:t>years.</w:t>
      </w:r>
      <w:r>
        <w:rPr>
          <w:color w:val="231F20"/>
          <w:spacing w:val="-6"/>
        </w:rPr>
        <w:t xml:space="preserve"> </w:t>
      </w:r>
      <w:r>
        <w:rPr>
          <w:color w:val="231F20"/>
        </w:rPr>
        <w:t>His</w:t>
      </w:r>
      <w:r>
        <w:rPr>
          <w:color w:val="231F20"/>
          <w:spacing w:val="-6"/>
        </w:rPr>
        <w:t xml:space="preserve"> </w:t>
      </w:r>
      <w:r>
        <w:rPr>
          <w:color w:val="231F20"/>
        </w:rPr>
        <w:t>work</w:t>
      </w:r>
      <w:r>
        <w:rPr>
          <w:color w:val="231F20"/>
          <w:spacing w:val="-6"/>
        </w:rPr>
        <w:t xml:space="preserve"> </w:t>
      </w:r>
      <w:r>
        <w:rPr>
          <w:color w:val="231F20"/>
        </w:rPr>
        <w:t>confirmed</w:t>
      </w:r>
      <w:r>
        <w:rPr>
          <w:color w:val="231F20"/>
          <w:spacing w:val="-6"/>
        </w:rPr>
        <w:t xml:space="preserve"> </w:t>
      </w:r>
      <w:r>
        <w:rPr>
          <w:color w:val="231F20"/>
        </w:rPr>
        <w:t>‘most</w:t>
      </w:r>
      <w:r>
        <w:rPr>
          <w:color w:val="231F20"/>
          <w:spacing w:val="-6"/>
        </w:rPr>
        <w:t xml:space="preserve"> </w:t>
      </w:r>
      <w:r>
        <w:rPr>
          <w:color w:val="231F20"/>
        </w:rPr>
        <w:t>statistical</w:t>
      </w:r>
      <w:r>
        <w:rPr>
          <w:color w:val="231F20"/>
          <w:spacing w:val="-6"/>
        </w:rPr>
        <w:t xml:space="preserve"> </w:t>
      </w:r>
      <w:r>
        <w:rPr>
          <w:color w:val="231F20"/>
        </w:rPr>
        <w:t>series of arrivals and departures of tourist</w:t>
      </w:r>
      <w:r>
        <w:rPr>
          <w:color w:val="231F20"/>
        </w:rPr>
        <w:t>s, bed nights in accommodation, employment</w:t>
      </w:r>
      <w:r>
        <w:rPr>
          <w:color w:val="231F20"/>
          <w:spacing w:val="15"/>
        </w:rPr>
        <w:t xml:space="preserve"> </w:t>
      </w:r>
      <w:r>
        <w:rPr>
          <w:color w:val="231F20"/>
        </w:rPr>
        <w:t>in</w:t>
      </w:r>
      <w:r>
        <w:rPr>
          <w:color w:val="231F20"/>
          <w:spacing w:val="15"/>
        </w:rPr>
        <w:t xml:space="preserve"> </w:t>
      </w:r>
      <w:r>
        <w:rPr>
          <w:color w:val="231F20"/>
        </w:rPr>
        <w:t>hotels</w:t>
      </w:r>
      <w:r>
        <w:rPr>
          <w:color w:val="231F20"/>
          <w:spacing w:val="15"/>
        </w:rPr>
        <w:t xml:space="preserve"> </w:t>
      </w:r>
      <w:r>
        <w:rPr>
          <w:color w:val="231F20"/>
        </w:rPr>
        <w:t>and</w:t>
      </w:r>
      <w:r>
        <w:rPr>
          <w:color w:val="231F20"/>
          <w:spacing w:val="15"/>
        </w:rPr>
        <w:t xml:space="preserve"> </w:t>
      </w:r>
      <w:r>
        <w:rPr>
          <w:color w:val="231F20"/>
        </w:rPr>
        <w:t>other</w:t>
      </w:r>
      <w:r>
        <w:rPr>
          <w:color w:val="231F20"/>
          <w:spacing w:val="15"/>
        </w:rPr>
        <w:t xml:space="preserve"> </w:t>
      </w:r>
      <w:r>
        <w:rPr>
          <w:color w:val="231F20"/>
        </w:rPr>
        <w:t>branches</w:t>
      </w:r>
      <w:r>
        <w:rPr>
          <w:color w:val="231F20"/>
          <w:spacing w:val="15"/>
        </w:rPr>
        <w:t xml:space="preserve"> </w:t>
      </w:r>
      <w:r>
        <w:rPr>
          <w:color w:val="231F20"/>
        </w:rPr>
        <w:t>of</w:t>
      </w:r>
      <w:r>
        <w:rPr>
          <w:color w:val="231F20"/>
          <w:spacing w:val="15"/>
        </w:rPr>
        <w:t xml:space="preserve"> </w:t>
      </w:r>
      <w:r>
        <w:rPr>
          <w:color w:val="231F20"/>
        </w:rPr>
        <w:t>the</w:t>
      </w:r>
      <w:r>
        <w:rPr>
          <w:color w:val="231F20"/>
          <w:spacing w:val="15"/>
        </w:rPr>
        <w:t xml:space="preserve"> </w:t>
      </w:r>
      <w:r>
        <w:rPr>
          <w:color w:val="231F20"/>
        </w:rPr>
        <w:t>tourist</w:t>
      </w:r>
      <w:r>
        <w:rPr>
          <w:color w:val="231F20"/>
          <w:spacing w:val="15"/>
        </w:rPr>
        <w:t xml:space="preserve"> </w:t>
      </w:r>
      <w:r>
        <w:rPr>
          <w:color w:val="231F20"/>
        </w:rPr>
        <w:t>industry</w:t>
      </w:r>
      <w:r>
        <w:rPr>
          <w:color w:val="231F20"/>
          <w:spacing w:val="15"/>
        </w:rPr>
        <w:t xml:space="preserve"> </w:t>
      </w:r>
      <w:r>
        <w:rPr>
          <w:color w:val="231F20"/>
        </w:rPr>
        <w:t>show</w:t>
      </w:r>
    </w:p>
    <w:p w14:paraId="3633FB26" w14:textId="77777777" w:rsidR="00AE0598" w:rsidRDefault="00AE0598">
      <w:pPr>
        <w:pStyle w:val="Corpodetexto"/>
        <w:spacing w:before="3"/>
        <w:rPr>
          <w:sz w:val="24"/>
        </w:rPr>
      </w:pPr>
    </w:p>
    <w:p w14:paraId="0336A0CC" w14:textId="77777777" w:rsidR="00AE0598" w:rsidRDefault="0069255A">
      <w:pPr>
        <w:spacing w:before="99"/>
        <w:ind w:left="384" w:right="409"/>
        <w:jc w:val="center"/>
        <w:rPr>
          <w:rFonts w:ascii="Trebuchet MS"/>
          <w:sz w:val="16"/>
        </w:rPr>
      </w:pPr>
      <w:r>
        <w:rPr>
          <w:rFonts w:ascii="Trebuchet MS"/>
          <w:color w:val="231F20"/>
          <w:spacing w:val="-5"/>
          <w:w w:val="105"/>
          <w:sz w:val="16"/>
        </w:rPr>
        <w:t>179</w:t>
      </w:r>
    </w:p>
    <w:p w14:paraId="61C36A3B" w14:textId="77777777" w:rsidR="00AE0598" w:rsidRDefault="00AE0598">
      <w:pPr>
        <w:jc w:val="center"/>
        <w:rPr>
          <w:rFonts w:ascii="Trebuchet MS"/>
          <w:sz w:val="16"/>
        </w:rPr>
        <w:sectPr w:rsidR="00AE0598">
          <w:pgSz w:w="8850" w:h="13270"/>
          <w:pgMar w:top="1020" w:right="1060" w:bottom="280" w:left="1080" w:header="720" w:footer="720" w:gutter="0"/>
          <w:cols w:space="720"/>
        </w:sectPr>
      </w:pPr>
    </w:p>
    <w:p w14:paraId="20CF3527" w14:textId="77777777" w:rsidR="00AE0598" w:rsidRDefault="0069255A">
      <w:pPr>
        <w:spacing w:before="87"/>
        <w:ind w:left="108"/>
        <w:jc w:val="both"/>
        <w:rPr>
          <w:rFonts w:ascii="Trebuchet MS"/>
          <w:sz w:val="14"/>
        </w:rPr>
      </w:pPr>
      <w:r>
        <w:rPr>
          <w:rFonts w:ascii="Trebuchet MS"/>
          <w:color w:val="231F20"/>
          <w:w w:val="105"/>
          <w:sz w:val="14"/>
        </w:rPr>
        <w:lastRenderedPageBreak/>
        <w:t>180</w:t>
      </w:r>
      <w:r>
        <w:rPr>
          <w:rFonts w:ascii="Trebuchet MS"/>
          <w:color w:val="231F20"/>
          <w:spacing w:val="66"/>
          <w:w w:val="150"/>
          <w:sz w:val="14"/>
        </w:rPr>
        <w:t xml:space="preserve"> </w:t>
      </w:r>
      <w:r>
        <w:rPr>
          <w:rFonts w:ascii="Trebuchet MS"/>
          <w:color w:val="231F20"/>
          <w:w w:val="105"/>
          <w:sz w:val="14"/>
        </w:rPr>
        <w:t>Part</w:t>
      </w:r>
      <w:r>
        <w:rPr>
          <w:rFonts w:ascii="Trebuchet MS"/>
          <w:color w:val="231F20"/>
          <w:spacing w:val="-9"/>
          <w:w w:val="105"/>
          <w:sz w:val="14"/>
        </w:rPr>
        <w:t xml:space="preserve"> </w:t>
      </w:r>
      <w:r>
        <w:rPr>
          <w:rFonts w:ascii="Trebuchet MS"/>
          <w:color w:val="231F20"/>
          <w:w w:val="105"/>
          <w:sz w:val="14"/>
        </w:rPr>
        <w:t>4:</w:t>
      </w:r>
      <w:r>
        <w:rPr>
          <w:rFonts w:ascii="Trebuchet MS"/>
          <w:color w:val="231F20"/>
          <w:spacing w:val="-8"/>
          <w:w w:val="105"/>
          <w:sz w:val="14"/>
        </w:rPr>
        <w:t xml:space="preserve"> </w:t>
      </w:r>
      <w:r>
        <w:rPr>
          <w:rFonts w:ascii="Trebuchet MS"/>
          <w:color w:val="231F20"/>
          <w:w w:val="105"/>
          <w:sz w:val="14"/>
        </w:rPr>
        <w:t>Sport</w:t>
      </w:r>
      <w:r>
        <w:rPr>
          <w:rFonts w:ascii="Trebuchet MS"/>
          <w:color w:val="231F20"/>
          <w:spacing w:val="-9"/>
          <w:w w:val="105"/>
          <w:sz w:val="14"/>
        </w:rPr>
        <w:t xml:space="preserve"> </w:t>
      </w:r>
      <w:r>
        <w:rPr>
          <w:rFonts w:ascii="Trebuchet MS"/>
          <w:color w:val="231F20"/>
          <w:w w:val="105"/>
          <w:sz w:val="14"/>
        </w:rPr>
        <w:t>Tourism</w:t>
      </w:r>
      <w:r>
        <w:rPr>
          <w:rFonts w:ascii="Trebuchet MS"/>
          <w:color w:val="231F20"/>
          <w:spacing w:val="-9"/>
          <w:w w:val="105"/>
          <w:sz w:val="14"/>
        </w:rPr>
        <w:t xml:space="preserve"> </w:t>
      </w:r>
      <w:r>
        <w:rPr>
          <w:rFonts w:ascii="Trebuchet MS"/>
          <w:color w:val="231F20"/>
          <w:w w:val="105"/>
          <w:sz w:val="14"/>
        </w:rPr>
        <w:t>Development</w:t>
      </w:r>
      <w:r>
        <w:rPr>
          <w:rFonts w:ascii="Trebuchet MS"/>
          <w:color w:val="231F20"/>
          <w:spacing w:val="-9"/>
          <w:w w:val="105"/>
          <w:sz w:val="14"/>
        </w:rPr>
        <w:t xml:space="preserve"> </w:t>
      </w:r>
      <w:r>
        <w:rPr>
          <w:rFonts w:ascii="Trebuchet MS"/>
          <w:color w:val="231F20"/>
          <w:w w:val="105"/>
          <w:sz w:val="14"/>
        </w:rPr>
        <w:t>and</w:t>
      </w:r>
      <w:r>
        <w:rPr>
          <w:rFonts w:ascii="Trebuchet MS"/>
          <w:color w:val="231F20"/>
          <w:spacing w:val="-8"/>
          <w:w w:val="105"/>
          <w:sz w:val="14"/>
        </w:rPr>
        <w:t xml:space="preserve"> </w:t>
      </w:r>
      <w:r>
        <w:rPr>
          <w:rFonts w:ascii="Trebuchet MS"/>
          <w:color w:val="231F20"/>
          <w:spacing w:val="-4"/>
          <w:w w:val="105"/>
          <w:sz w:val="14"/>
        </w:rPr>
        <w:t>Time</w:t>
      </w:r>
    </w:p>
    <w:p w14:paraId="4836C9DF" w14:textId="77777777" w:rsidR="00AE0598" w:rsidRDefault="00AE0598">
      <w:pPr>
        <w:pStyle w:val="Corpodetexto"/>
        <w:rPr>
          <w:rFonts w:ascii="Trebuchet MS"/>
          <w:sz w:val="16"/>
        </w:rPr>
      </w:pPr>
    </w:p>
    <w:p w14:paraId="78EB4C65" w14:textId="77777777" w:rsidR="00AE0598" w:rsidRDefault="0069255A">
      <w:pPr>
        <w:pStyle w:val="Corpodetexto"/>
        <w:spacing w:before="118" w:line="232" w:lineRule="auto"/>
        <w:ind w:left="110" w:right="127"/>
        <w:jc w:val="both"/>
      </w:pPr>
      <w:r>
        <w:rPr>
          <w:color w:val="231F20"/>
        </w:rPr>
        <w:t xml:space="preserve">considerable fluctuations from month to month due to seasonality and </w:t>
      </w:r>
      <w:r>
        <w:rPr>
          <w:color w:val="231F20"/>
          <w:w w:val="95"/>
        </w:rPr>
        <w:t xml:space="preserve">other predictable factors, which can be measured’ (Baron, 1975: 2). Spain has been a particularly popular focus for research on tourism seasonality </w:t>
      </w:r>
      <w:r>
        <w:rPr>
          <w:color w:val="231F20"/>
        </w:rPr>
        <w:t xml:space="preserve">with Lopez Bonilla </w:t>
      </w:r>
      <w:r>
        <w:rPr>
          <w:i/>
          <w:color w:val="231F20"/>
        </w:rPr>
        <w:t>et al</w:t>
      </w:r>
      <w:r>
        <w:rPr>
          <w:color w:val="231F20"/>
        </w:rPr>
        <w:t>. (2006: 255) i</w:t>
      </w:r>
      <w:r>
        <w:rPr>
          <w:color w:val="231F20"/>
        </w:rPr>
        <w:t>dentifying a number of different seasonal tourism patterns found in different regions across the country: ‘The Andalusia and the Valencian Community display single-peak seasonality; the Balearics and Catalonia have a multiple-peak pattern; and the Canary I</w:t>
      </w:r>
      <w:r>
        <w:rPr>
          <w:color w:val="231F20"/>
        </w:rPr>
        <w:t xml:space="preserve">slands and the Community of Madrid display non-peak seasonality’. More recently, Martin </w:t>
      </w:r>
      <w:r>
        <w:rPr>
          <w:i/>
          <w:color w:val="231F20"/>
        </w:rPr>
        <w:t>et al</w:t>
      </w:r>
      <w:r>
        <w:rPr>
          <w:color w:val="231F20"/>
        </w:rPr>
        <w:t>. (2014) found that the coastal areas</w:t>
      </w:r>
      <w:r>
        <w:rPr>
          <w:color w:val="231F20"/>
          <w:spacing w:val="-1"/>
        </w:rPr>
        <w:t xml:space="preserve"> </w:t>
      </w:r>
      <w:r>
        <w:rPr>
          <w:color w:val="231F20"/>
        </w:rPr>
        <w:t>of</w:t>
      </w:r>
      <w:r>
        <w:rPr>
          <w:color w:val="231F20"/>
          <w:spacing w:val="-1"/>
        </w:rPr>
        <w:t xml:space="preserve"> </w:t>
      </w:r>
      <w:r>
        <w:rPr>
          <w:color w:val="231F20"/>
        </w:rPr>
        <w:t>Andalusia</w:t>
      </w:r>
      <w:r>
        <w:rPr>
          <w:color w:val="231F20"/>
          <w:spacing w:val="-1"/>
        </w:rPr>
        <w:t xml:space="preserve"> </w:t>
      </w:r>
      <w:r>
        <w:rPr>
          <w:color w:val="231F20"/>
        </w:rPr>
        <w:t>experience</w:t>
      </w:r>
      <w:r>
        <w:rPr>
          <w:color w:val="231F20"/>
          <w:spacing w:val="-1"/>
        </w:rPr>
        <w:t xml:space="preserve"> </w:t>
      </w:r>
      <w:r>
        <w:rPr>
          <w:color w:val="231F20"/>
        </w:rPr>
        <w:t>the</w:t>
      </w:r>
      <w:r>
        <w:rPr>
          <w:color w:val="231F20"/>
          <w:spacing w:val="-1"/>
        </w:rPr>
        <w:t xml:space="preserve"> </w:t>
      </w:r>
      <w:r>
        <w:rPr>
          <w:color w:val="231F20"/>
        </w:rPr>
        <w:t>greatest</w:t>
      </w:r>
      <w:r>
        <w:rPr>
          <w:color w:val="231F20"/>
          <w:spacing w:val="-1"/>
        </w:rPr>
        <w:t xml:space="preserve"> </w:t>
      </w:r>
      <w:r>
        <w:rPr>
          <w:color w:val="231F20"/>
        </w:rPr>
        <w:t>seasonality</w:t>
      </w:r>
      <w:r>
        <w:rPr>
          <w:color w:val="231F20"/>
          <w:spacing w:val="-1"/>
        </w:rPr>
        <w:t xml:space="preserve"> </w:t>
      </w:r>
      <w:r>
        <w:rPr>
          <w:color w:val="231F20"/>
        </w:rPr>
        <w:t>in</w:t>
      </w:r>
      <w:r>
        <w:rPr>
          <w:color w:val="231F20"/>
          <w:spacing w:val="-1"/>
        </w:rPr>
        <w:t xml:space="preserve"> </w:t>
      </w:r>
      <w:r>
        <w:rPr>
          <w:color w:val="231F20"/>
        </w:rPr>
        <w:t>Spain,</w:t>
      </w:r>
      <w:r>
        <w:rPr>
          <w:color w:val="231F20"/>
          <w:spacing w:val="-1"/>
        </w:rPr>
        <w:t xml:space="preserve"> </w:t>
      </w:r>
      <w:r>
        <w:rPr>
          <w:color w:val="231F20"/>
        </w:rPr>
        <w:t>which</w:t>
      </w:r>
      <w:r>
        <w:rPr>
          <w:color w:val="231F20"/>
          <w:spacing w:val="-1"/>
        </w:rPr>
        <w:t xml:space="preserve"> </w:t>
      </w:r>
      <w:r>
        <w:rPr>
          <w:color w:val="231F20"/>
        </w:rPr>
        <w:t>is further</w:t>
      </w:r>
      <w:r>
        <w:rPr>
          <w:color w:val="231F20"/>
          <w:spacing w:val="-7"/>
        </w:rPr>
        <w:t xml:space="preserve"> </w:t>
      </w:r>
      <w:r>
        <w:rPr>
          <w:color w:val="231F20"/>
        </w:rPr>
        <w:t>complicated</w:t>
      </w:r>
      <w:r>
        <w:rPr>
          <w:color w:val="231F20"/>
          <w:spacing w:val="-7"/>
        </w:rPr>
        <w:t xml:space="preserve"> </w:t>
      </w:r>
      <w:r>
        <w:rPr>
          <w:color w:val="231F20"/>
        </w:rPr>
        <w:t>by</w:t>
      </w:r>
      <w:r>
        <w:rPr>
          <w:color w:val="231F20"/>
          <w:spacing w:val="-7"/>
        </w:rPr>
        <w:t xml:space="preserve"> </w:t>
      </w:r>
      <w:r>
        <w:rPr>
          <w:color w:val="231F20"/>
        </w:rPr>
        <w:t>the</w:t>
      </w:r>
      <w:r>
        <w:rPr>
          <w:color w:val="231F20"/>
          <w:spacing w:val="-7"/>
        </w:rPr>
        <w:t xml:space="preserve"> </w:t>
      </w:r>
      <w:r>
        <w:rPr>
          <w:color w:val="231F20"/>
        </w:rPr>
        <w:t>fact</w:t>
      </w:r>
      <w:r>
        <w:rPr>
          <w:color w:val="231F20"/>
          <w:spacing w:val="-7"/>
        </w:rPr>
        <w:t xml:space="preserve"> </w:t>
      </w:r>
      <w:r>
        <w:rPr>
          <w:color w:val="231F20"/>
        </w:rPr>
        <w:t>that</w:t>
      </w:r>
      <w:r>
        <w:rPr>
          <w:color w:val="231F20"/>
          <w:spacing w:val="-7"/>
        </w:rPr>
        <w:t xml:space="preserve"> </w:t>
      </w:r>
      <w:r>
        <w:rPr>
          <w:color w:val="231F20"/>
        </w:rPr>
        <w:t>they</w:t>
      </w:r>
      <w:r>
        <w:rPr>
          <w:color w:val="231F20"/>
          <w:spacing w:val="-7"/>
        </w:rPr>
        <w:t xml:space="preserve"> </w:t>
      </w:r>
      <w:r>
        <w:rPr>
          <w:color w:val="231F20"/>
        </w:rPr>
        <w:t>are</w:t>
      </w:r>
      <w:r>
        <w:rPr>
          <w:color w:val="231F20"/>
          <w:spacing w:val="-7"/>
        </w:rPr>
        <w:t xml:space="preserve"> </w:t>
      </w:r>
      <w:r>
        <w:rPr>
          <w:color w:val="231F20"/>
        </w:rPr>
        <w:t>the</w:t>
      </w:r>
      <w:r>
        <w:rPr>
          <w:color w:val="231F20"/>
          <w:spacing w:val="-7"/>
        </w:rPr>
        <w:t xml:space="preserve"> </w:t>
      </w:r>
      <w:r>
        <w:rPr>
          <w:color w:val="231F20"/>
        </w:rPr>
        <w:t>most</w:t>
      </w:r>
      <w:r>
        <w:rPr>
          <w:color w:val="231F20"/>
          <w:spacing w:val="-7"/>
        </w:rPr>
        <w:t xml:space="preserve"> </w:t>
      </w:r>
      <w:r>
        <w:rPr>
          <w:color w:val="231F20"/>
        </w:rPr>
        <w:t>visited</w:t>
      </w:r>
      <w:r>
        <w:rPr>
          <w:color w:val="231F20"/>
          <w:spacing w:val="-7"/>
        </w:rPr>
        <w:t xml:space="preserve"> </w:t>
      </w:r>
      <w:r>
        <w:rPr>
          <w:color w:val="231F20"/>
        </w:rPr>
        <w:t>areas</w:t>
      </w:r>
      <w:r>
        <w:rPr>
          <w:color w:val="231F20"/>
          <w:spacing w:val="-7"/>
        </w:rPr>
        <w:t xml:space="preserve"> </w:t>
      </w:r>
      <w:r>
        <w:rPr>
          <w:color w:val="231F20"/>
        </w:rPr>
        <w:t>in</w:t>
      </w:r>
      <w:r>
        <w:rPr>
          <w:color w:val="231F20"/>
          <w:spacing w:val="-7"/>
        </w:rPr>
        <w:t xml:space="preserve"> </w:t>
      </w:r>
      <w:r>
        <w:rPr>
          <w:color w:val="231F20"/>
        </w:rPr>
        <w:t>the region. Such analyses demonstrate a significant breadth of patterns and the</w:t>
      </w:r>
      <w:r>
        <w:rPr>
          <w:color w:val="231F20"/>
          <w:spacing w:val="-5"/>
        </w:rPr>
        <w:t xml:space="preserve"> </w:t>
      </w:r>
      <w:r>
        <w:rPr>
          <w:color w:val="231F20"/>
        </w:rPr>
        <w:t>fact</w:t>
      </w:r>
      <w:r>
        <w:rPr>
          <w:color w:val="231F20"/>
          <w:spacing w:val="-5"/>
        </w:rPr>
        <w:t xml:space="preserve"> </w:t>
      </w:r>
      <w:r>
        <w:rPr>
          <w:color w:val="231F20"/>
        </w:rPr>
        <w:t>that</w:t>
      </w:r>
      <w:r>
        <w:rPr>
          <w:color w:val="231F20"/>
          <w:spacing w:val="-5"/>
        </w:rPr>
        <w:t xml:space="preserve"> </w:t>
      </w:r>
      <w:r>
        <w:rPr>
          <w:color w:val="231F20"/>
        </w:rPr>
        <w:t>they</w:t>
      </w:r>
      <w:r>
        <w:rPr>
          <w:color w:val="231F20"/>
          <w:spacing w:val="-5"/>
        </w:rPr>
        <w:t xml:space="preserve"> </w:t>
      </w:r>
      <w:r>
        <w:rPr>
          <w:color w:val="231F20"/>
        </w:rPr>
        <w:t>can</w:t>
      </w:r>
      <w:r>
        <w:rPr>
          <w:color w:val="231F20"/>
          <w:spacing w:val="-5"/>
        </w:rPr>
        <w:t xml:space="preserve"> </w:t>
      </w:r>
      <w:r>
        <w:rPr>
          <w:color w:val="231F20"/>
        </w:rPr>
        <w:t>differ</w:t>
      </w:r>
      <w:r>
        <w:rPr>
          <w:color w:val="231F20"/>
          <w:spacing w:val="-5"/>
        </w:rPr>
        <w:t xml:space="preserve"> </w:t>
      </w:r>
      <w:r>
        <w:rPr>
          <w:color w:val="231F20"/>
        </w:rPr>
        <w:t>dramatically</w:t>
      </w:r>
      <w:r>
        <w:rPr>
          <w:color w:val="231F20"/>
          <w:spacing w:val="-5"/>
        </w:rPr>
        <w:t xml:space="preserve"> </w:t>
      </w:r>
      <w:r>
        <w:rPr>
          <w:color w:val="231F20"/>
        </w:rPr>
        <w:t>by</w:t>
      </w:r>
      <w:r>
        <w:rPr>
          <w:color w:val="231F20"/>
          <w:spacing w:val="-5"/>
        </w:rPr>
        <w:t xml:space="preserve"> </w:t>
      </w:r>
      <w:r>
        <w:rPr>
          <w:color w:val="231F20"/>
        </w:rPr>
        <w:t>region</w:t>
      </w:r>
      <w:r>
        <w:rPr>
          <w:color w:val="231F20"/>
          <w:spacing w:val="-5"/>
        </w:rPr>
        <w:t xml:space="preserve"> </w:t>
      </w:r>
      <w:r>
        <w:rPr>
          <w:color w:val="231F20"/>
        </w:rPr>
        <w:t>even</w:t>
      </w:r>
      <w:r>
        <w:rPr>
          <w:color w:val="231F20"/>
          <w:spacing w:val="-5"/>
        </w:rPr>
        <w:t xml:space="preserve"> </w:t>
      </w:r>
      <w:r>
        <w:rPr>
          <w:color w:val="231F20"/>
        </w:rPr>
        <w:t>when</w:t>
      </w:r>
      <w:r>
        <w:rPr>
          <w:color w:val="231F20"/>
          <w:spacing w:val="-5"/>
        </w:rPr>
        <w:t xml:space="preserve"> </w:t>
      </w:r>
      <w:r>
        <w:rPr>
          <w:color w:val="231F20"/>
        </w:rPr>
        <w:t>they</w:t>
      </w:r>
      <w:r>
        <w:rPr>
          <w:color w:val="231F20"/>
          <w:spacing w:val="-5"/>
        </w:rPr>
        <w:t xml:space="preserve"> </w:t>
      </w:r>
      <w:r>
        <w:rPr>
          <w:color w:val="231F20"/>
        </w:rPr>
        <w:t>are</w:t>
      </w:r>
      <w:r>
        <w:rPr>
          <w:color w:val="231F20"/>
          <w:spacing w:val="-5"/>
        </w:rPr>
        <w:t xml:space="preserve"> </w:t>
      </w:r>
      <w:r>
        <w:rPr>
          <w:color w:val="231F20"/>
        </w:rPr>
        <w:t>in relatively close proximity to each other.</w:t>
      </w:r>
    </w:p>
    <w:p w14:paraId="75DEBD78" w14:textId="77777777" w:rsidR="00AE0598" w:rsidRDefault="0069255A">
      <w:pPr>
        <w:pStyle w:val="Corpodetexto"/>
        <w:spacing w:before="17" w:line="232" w:lineRule="auto"/>
        <w:ind w:left="110" w:right="127" w:firstLine="320"/>
        <w:jc w:val="both"/>
      </w:pPr>
      <w:r>
        <w:rPr>
          <w:color w:val="231F20"/>
          <w:w w:val="95"/>
        </w:rPr>
        <w:t>Tourism seasonality tends to be more exag</w:t>
      </w:r>
      <w:r>
        <w:rPr>
          <w:color w:val="231F20"/>
          <w:w w:val="95"/>
        </w:rPr>
        <w:t xml:space="preserve">gerated in peripheral areas </w:t>
      </w:r>
      <w:r>
        <w:rPr>
          <w:color w:val="231F20"/>
        </w:rPr>
        <w:t>than urban areas (Jeffrey &amp; Barden, 2001). One of the reasons for this is that the central place characteristics of urban areas mean that there is a greater concentration of year-round attractions in cities (Daniels, 2007; Koeni</w:t>
      </w:r>
      <w:r>
        <w:rPr>
          <w:color w:val="231F20"/>
        </w:rPr>
        <w:t xml:space="preserve">g-Lewis &amp; Bischoff, 2005). These attractions include museums, art </w:t>
      </w:r>
      <w:r>
        <w:rPr>
          <w:color w:val="231F20"/>
          <w:w w:val="95"/>
        </w:rPr>
        <w:t xml:space="preserve">galleries, historic buildings, shopping and entertainment venues, many of which are indoor facilities that offer protection from the natural elements. </w:t>
      </w:r>
      <w:r>
        <w:rPr>
          <w:color w:val="231F20"/>
        </w:rPr>
        <w:t>Sporting events, facilities and program</w:t>
      </w:r>
      <w:r>
        <w:rPr>
          <w:color w:val="231F20"/>
        </w:rPr>
        <w:t xml:space="preserve">mes represent a significant part of this suite of attractions (Chapter 5). In contrast, peripheral areas are characterised by a much narrower range of attractions (Lima &amp; Morais, </w:t>
      </w:r>
      <w:r>
        <w:rPr>
          <w:color w:val="231F20"/>
          <w:w w:val="95"/>
        </w:rPr>
        <w:t xml:space="preserve">2014) that often involve outdoor activities and are therefore more sensitive </w:t>
      </w:r>
      <w:r>
        <w:rPr>
          <w:color w:val="231F20"/>
        </w:rPr>
        <w:t xml:space="preserve">to weather and climatic conditions. They are also remote by definition, </w:t>
      </w:r>
      <w:r>
        <w:rPr>
          <w:color w:val="231F20"/>
          <w:w w:val="95"/>
        </w:rPr>
        <w:t xml:space="preserve">which may present a variety of access problems at certain times of the year </w:t>
      </w:r>
      <w:r>
        <w:rPr>
          <w:color w:val="231F20"/>
        </w:rPr>
        <w:t>(Baum &amp; Hagen, 1999; Cannas, 2012).</w:t>
      </w:r>
    </w:p>
    <w:p w14:paraId="7D178B51" w14:textId="77777777" w:rsidR="00AE0598" w:rsidRDefault="00AE0598">
      <w:pPr>
        <w:pStyle w:val="Corpodetexto"/>
        <w:spacing w:before="4"/>
        <w:rPr>
          <w:sz w:val="22"/>
        </w:rPr>
      </w:pPr>
    </w:p>
    <w:p w14:paraId="0B48A3D5" w14:textId="77777777" w:rsidR="00AE0598" w:rsidRDefault="0069255A">
      <w:pPr>
        <w:ind w:left="110"/>
        <w:jc w:val="both"/>
        <w:rPr>
          <w:rFonts w:ascii="Trebuchet MS"/>
          <w:sz w:val="20"/>
        </w:rPr>
      </w:pPr>
      <w:r>
        <w:rPr>
          <w:rFonts w:ascii="Trebuchet MS"/>
          <w:color w:val="231F20"/>
          <w:sz w:val="20"/>
        </w:rPr>
        <w:t>Seasonality</w:t>
      </w:r>
      <w:r>
        <w:rPr>
          <w:rFonts w:ascii="Trebuchet MS"/>
          <w:color w:val="231F20"/>
          <w:spacing w:val="11"/>
          <w:sz w:val="20"/>
        </w:rPr>
        <w:t xml:space="preserve"> </w:t>
      </w:r>
      <w:r>
        <w:rPr>
          <w:rFonts w:ascii="Trebuchet MS"/>
          <w:color w:val="231F20"/>
          <w:sz w:val="20"/>
        </w:rPr>
        <w:t>as</w:t>
      </w:r>
      <w:r>
        <w:rPr>
          <w:rFonts w:ascii="Trebuchet MS"/>
          <w:color w:val="231F20"/>
          <w:spacing w:val="11"/>
          <w:sz w:val="20"/>
        </w:rPr>
        <w:t xml:space="preserve"> </w:t>
      </w:r>
      <w:r>
        <w:rPr>
          <w:rFonts w:ascii="Trebuchet MS"/>
          <w:color w:val="231F20"/>
          <w:sz w:val="20"/>
        </w:rPr>
        <w:t>a</w:t>
      </w:r>
      <w:r>
        <w:rPr>
          <w:rFonts w:ascii="Trebuchet MS"/>
          <w:color w:val="231F20"/>
          <w:spacing w:val="11"/>
          <w:sz w:val="20"/>
        </w:rPr>
        <w:t xml:space="preserve"> </w:t>
      </w:r>
      <w:r>
        <w:rPr>
          <w:rFonts w:ascii="Trebuchet MS"/>
          <w:color w:val="231F20"/>
          <w:spacing w:val="-2"/>
          <w:sz w:val="20"/>
        </w:rPr>
        <w:t>problem</w:t>
      </w:r>
    </w:p>
    <w:p w14:paraId="7CC1CA2A" w14:textId="77777777" w:rsidR="00AE0598" w:rsidRDefault="0069255A">
      <w:pPr>
        <w:pStyle w:val="Corpodetexto"/>
        <w:spacing w:before="122" w:line="232" w:lineRule="auto"/>
        <w:ind w:left="110" w:right="128" w:firstLine="320"/>
        <w:jc w:val="both"/>
      </w:pPr>
      <w:r>
        <w:rPr>
          <w:color w:val="231F20"/>
        </w:rPr>
        <w:t xml:space="preserve">The prevailing view of tourism seasonality is </w:t>
      </w:r>
      <w:r>
        <w:rPr>
          <w:color w:val="231F20"/>
        </w:rPr>
        <w:t xml:space="preserve">that it is ‘a problem to be overcome, or to be “tackled” at a policy, marketing and operational </w:t>
      </w:r>
      <w:r>
        <w:rPr>
          <w:color w:val="231F20"/>
          <w:w w:val="95"/>
        </w:rPr>
        <w:t xml:space="preserve">level’ (Cannas, 2012: 42). Advocates of this position point out that tourism </w:t>
      </w:r>
      <w:r>
        <w:rPr>
          <w:color w:val="231F20"/>
        </w:rPr>
        <w:t>seasonality has many negative effects on the destination including: (1) economic</w:t>
      </w:r>
      <w:r>
        <w:rPr>
          <w:color w:val="231F20"/>
          <w:spacing w:val="-12"/>
        </w:rPr>
        <w:t xml:space="preserve"> </w:t>
      </w:r>
      <w:r>
        <w:rPr>
          <w:color w:val="231F20"/>
        </w:rPr>
        <w:t>challenges</w:t>
      </w:r>
      <w:r>
        <w:rPr>
          <w:color w:val="231F20"/>
          <w:spacing w:val="-12"/>
        </w:rPr>
        <w:t xml:space="preserve"> </w:t>
      </w:r>
      <w:r>
        <w:rPr>
          <w:color w:val="231F20"/>
        </w:rPr>
        <w:t>related</w:t>
      </w:r>
      <w:r>
        <w:rPr>
          <w:color w:val="231F20"/>
          <w:spacing w:val="-11"/>
        </w:rPr>
        <w:t xml:space="preserve"> </w:t>
      </w:r>
      <w:r>
        <w:rPr>
          <w:color w:val="231F20"/>
        </w:rPr>
        <w:t>to</w:t>
      </w:r>
      <w:r>
        <w:rPr>
          <w:color w:val="231F20"/>
          <w:spacing w:val="-12"/>
        </w:rPr>
        <w:t xml:space="preserve"> </w:t>
      </w:r>
      <w:r>
        <w:rPr>
          <w:color w:val="231F20"/>
        </w:rPr>
        <w:t>uneven</w:t>
      </w:r>
      <w:r>
        <w:rPr>
          <w:color w:val="231F20"/>
          <w:spacing w:val="-11"/>
        </w:rPr>
        <w:t xml:space="preserve"> </w:t>
      </w:r>
      <w:r>
        <w:rPr>
          <w:color w:val="231F20"/>
        </w:rPr>
        <w:t>cash</w:t>
      </w:r>
      <w:r>
        <w:rPr>
          <w:color w:val="231F20"/>
          <w:spacing w:val="-12"/>
        </w:rPr>
        <w:t xml:space="preserve"> </w:t>
      </w:r>
      <w:r>
        <w:rPr>
          <w:color w:val="231F20"/>
        </w:rPr>
        <w:t>flow,</w:t>
      </w:r>
      <w:r>
        <w:rPr>
          <w:color w:val="231F20"/>
          <w:spacing w:val="-11"/>
        </w:rPr>
        <w:t xml:space="preserve"> </w:t>
      </w:r>
      <w:r>
        <w:rPr>
          <w:color w:val="231F20"/>
        </w:rPr>
        <w:t>employment</w:t>
      </w:r>
      <w:r>
        <w:rPr>
          <w:color w:val="231F20"/>
          <w:spacing w:val="-12"/>
        </w:rPr>
        <w:t xml:space="preserve"> </w:t>
      </w:r>
      <w:r>
        <w:rPr>
          <w:color w:val="231F20"/>
        </w:rPr>
        <w:t>issues</w:t>
      </w:r>
      <w:r>
        <w:rPr>
          <w:color w:val="231F20"/>
          <w:spacing w:val="-12"/>
        </w:rPr>
        <w:t xml:space="preserve"> </w:t>
      </w:r>
      <w:r>
        <w:rPr>
          <w:color w:val="231F20"/>
        </w:rPr>
        <w:t xml:space="preserve">and </w:t>
      </w:r>
      <w:r>
        <w:rPr>
          <w:color w:val="231F20"/>
          <w:w w:val="95"/>
        </w:rPr>
        <w:t>underutilised</w:t>
      </w:r>
      <w:r>
        <w:rPr>
          <w:color w:val="231F20"/>
          <w:spacing w:val="14"/>
        </w:rPr>
        <w:t xml:space="preserve"> </w:t>
      </w:r>
      <w:r>
        <w:rPr>
          <w:color w:val="231F20"/>
          <w:w w:val="95"/>
        </w:rPr>
        <w:t>capital</w:t>
      </w:r>
      <w:r>
        <w:rPr>
          <w:color w:val="231F20"/>
          <w:spacing w:val="15"/>
        </w:rPr>
        <w:t xml:space="preserve"> </w:t>
      </w:r>
      <w:r>
        <w:rPr>
          <w:color w:val="231F20"/>
          <w:w w:val="95"/>
        </w:rPr>
        <w:t>(Gomez-Martin,</w:t>
      </w:r>
      <w:r>
        <w:rPr>
          <w:color w:val="231F20"/>
          <w:spacing w:val="15"/>
        </w:rPr>
        <w:t xml:space="preserve"> </w:t>
      </w:r>
      <w:r>
        <w:rPr>
          <w:color w:val="231F20"/>
          <w:w w:val="95"/>
        </w:rPr>
        <w:t>2005;</w:t>
      </w:r>
      <w:r>
        <w:rPr>
          <w:color w:val="231F20"/>
          <w:spacing w:val="15"/>
        </w:rPr>
        <w:t xml:space="preserve"> </w:t>
      </w:r>
      <w:r>
        <w:rPr>
          <w:color w:val="231F20"/>
          <w:w w:val="95"/>
        </w:rPr>
        <w:t>Jang,</w:t>
      </w:r>
      <w:r>
        <w:rPr>
          <w:color w:val="231F20"/>
          <w:spacing w:val="15"/>
        </w:rPr>
        <w:t xml:space="preserve"> </w:t>
      </w:r>
      <w:r>
        <w:rPr>
          <w:color w:val="231F20"/>
          <w:w w:val="95"/>
        </w:rPr>
        <w:t>2004;</w:t>
      </w:r>
      <w:r>
        <w:rPr>
          <w:color w:val="231F20"/>
          <w:spacing w:val="15"/>
        </w:rPr>
        <w:t xml:space="preserve"> </w:t>
      </w:r>
      <w:r>
        <w:rPr>
          <w:color w:val="231F20"/>
          <w:w w:val="95"/>
        </w:rPr>
        <w:t>Nadel</w:t>
      </w:r>
      <w:r>
        <w:rPr>
          <w:color w:val="231F20"/>
          <w:spacing w:val="15"/>
        </w:rPr>
        <w:t xml:space="preserve"> </w:t>
      </w:r>
      <w:r>
        <w:rPr>
          <w:i/>
          <w:color w:val="231F20"/>
          <w:w w:val="95"/>
        </w:rPr>
        <w:t>et</w:t>
      </w:r>
      <w:r>
        <w:rPr>
          <w:i/>
          <w:color w:val="231F20"/>
          <w:spacing w:val="15"/>
        </w:rPr>
        <w:t xml:space="preserve"> </w:t>
      </w:r>
      <w:r>
        <w:rPr>
          <w:i/>
          <w:color w:val="231F20"/>
          <w:w w:val="95"/>
        </w:rPr>
        <w:t>al</w:t>
      </w:r>
      <w:r>
        <w:rPr>
          <w:color w:val="231F20"/>
          <w:w w:val="95"/>
        </w:rPr>
        <w:t>.,</w:t>
      </w:r>
      <w:r>
        <w:rPr>
          <w:color w:val="231F20"/>
          <w:spacing w:val="15"/>
        </w:rPr>
        <w:t xml:space="preserve"> </w:t>
      </w:r>
      <w:r>
        <w:rPr>
          <w:color w:val="231F20"/>
          <w:spacing w:val="-4"/>
          <w:w w:val="95"/>
        </w:rPr>
        <w:t>2004);</w:t>
      </w:r>
    </w:p>
    <w:p w14:paraId="31759868" w14:textId="77777777" w:rsidR="00AE0598" w:rsidRDefault="0069255A">
      <w:pPr>
        <w:pStyle w:val="PargrafodaLista"/>
        <w:numPr>
          <w:ilvl w:val="0"/>
          <w:numId w:val="4"/>
        </w:numPr>
        <w:tabs>
          <w:tab w:val="left" w:pos="435"/>
        </w:tabs>
        <w:spacing w:before="7" w:line="232" w:lineRule="auto"/>
        <w:ind w:right="128" w:firstLine="0"/>
        <w:jc w:val="both"/>
        <w:rPr>
          <w:rFonts w:ascii="Cambria"/>
          <w:sz w:val="21"/>
        </w:rPr>
      </w:pPr>
      <w:r>
        <w:rPr>
          <w:rFonts w:ascii="Cambria"/>
          <w:color w:val="231F20"/>
          <w:sz w:val="21"/>
        </w:rPr>
        <w:t>social issues like crowding during the peak season (Koenig-Lewis &amp; Bischoff, 2005); and (3) ecological issues caused b</w:t>
      </w:r>
      <w:r>
        <w:rPr>
          <w:rFonts w:ascii="Cambria"/>
          <w:color w:val="231F20"/>
          <w:sz w:val="21"/>
        </w:rPr>
        <w:t>y exceeding carrying capacities</w:t>
      </w:r>
      <w:r>
        <w:rPr>
          <w:rFonts w:ascii="Cambria"/>
          <w:color w:val="231F20"/>
          <w:spacing w:val="-5"/>
          <w:sz w:val="21"/>
        </w:rPr>
        <w:t xml:space="preserve"> </w:t>
      </w:r>
      <w:r>
        <w:rPr>
          <w:rFonts w:ascii="Cambria"/>
          <w:color w:val="231F20"/>
          <w:sz w:val="21"/>
        </w:rPr>
        <w:t>during</w:t>
      </w:r>
      <w:r>
        <w:rPr>
          <w:rFonts w:ascii="Cambria"/>
          <w:color w:val="231F20"/>
          <w:spacing w:val="-5"/>
          <w:sz w:val="21"/>
        </w:rPr>
        <w:t xml:space="preserve"> </w:t>
      </w:r>
      <w:r>
        <w:rPr>
          <w:rFonts w:ascii="Cambria"/>
          <w:color w:val="231F20"/>
          <w:sz w:val="21"/>
        </w:rPr>
        <w:t>the</w:t>
      </w:r>
      <w:r>
        <w:rPr>
          <w:rFonts w:ascii="Cambria"/>
          <w:color w:val="231F20"/>
          <w:spacing w:val="-5"/>
          <w:sz w:val="21"/>
        </w:rPr>
        <w:t xml:space="preserve"> </w:t>
      </w:r>
      <w:r>
        <w:rPr>
          <w:rFonts w:ascii="Cambria"/>
          <w:color w:val="231F20"/>
          <w:sz w:val="21"/>
        </w:rPr>
        <w:t>high</w:t>
      </w:r>
      <w:r>
        <w:rPr>
          <w:rFonts w:ascii="Cambria"/>
          <w:color w:val="231F20"/>
          <w:spacing w:val="-5"/>
          <w:sz w:val="21"/>
        </w:rPr>
        <w:t xml:space="preserve"> </w:t>
      </w:r>
      <w:r>
        <w:rPr>
          <w:rFonts w:ascii="Cambria"/>
          <w:color w:val="231F20"/>
          <w:sz w:val="21"/>
        </w:rPr>
        <w:t>season</w:t>
      </w:r>
      <w:r>
        <w:rPr>
          <w:rFonts w:ascii="Cambria"/>
          <w:color w:val="231F20"/>
          <w:spacing w:val="-5"/>
          <w:sz w:val="21"/>
        </w:rPr>
        <w:t xml:space="preserve"> </w:t>
      </w:r>
      <w:r>
        <w:rPr>
          <w:rFonts w:ascii="Cambria"/>
          <w:color w:val="231F20"/>
          <w:sz w:val="21"/>
        </w:rPr>
        <w:t>(Chung,</w:t>
      </w:r>
      <w:r>
        <w:rPr>
          <w:rFonts w:ascii="Cambria"/>
          <w:color w:val="231F20"/>
          <w:spacing w:val="-5"/>
          <w:sz w:val="21"/>
        </w:rPr>
        <w:t xml:space="preserve"> </w:t>
      </w:r>
      <w:r>
        <w:rPr>
          <w:rFonts w:ascii="Cambria"/>
          <w:color w:val="231F20"/>
          <w:sz w:val="21"/>
        </w:rPr>
        <w:t>2009;</w:t>
      </w:r>
      <w:r>
        <w:rPr>
          <w:rFonts w:ascii="Cambria"/>
          <w:color w:val="231F20"/>
          <w:spacing w:val="-5"/>
          <w:sz w:val="21"/>
        </w:rPr>
        <w:t xml:space="preserve"> </w:t>
      </w:r>
      <w:r>
        <w:rPr>
          <w:rFonts w:ascii="Cambria"/>
          <w:color w:val="231F20"/>
          <w:sz w:val="21"/>
        </w:rPr>
        <w:t>Martin</w:t>
      </w:r>
      <w:r>
        <w:rPr>
          <w:rFonts w:ascii="Cambria"/>
          <w:color w:val="231F20"/>
          <w:spacing w:val="-5"/>
          <w:sz w:val="21"/>
        </w:rPr>
        <w:t xml:space="preserve"> </w:t>
      </w:r>
      <w:r>
        <w:rPr>
          <w:rFonts w:ascii="Cambria"/>
          <w:i/>
          <w:color w:val="231F20"/>
          <w:sz w:val="21"/>
        </w:rPr>
        <w:t>et</w:t>
      </w:r>
      <w:r>
        <w:rPr>
          <w:rFonts w:ascii="Cambria"/>
          <w:i/>
          <w:color w:val="231F20"/>
          <w:spacing w:val="-5"/>
          <w:sz w:val="21"/>
        </w:rPr>
        <w:t xml:space="preserve"> </w:t>
      </w:r>
      <w:r>
        <w:rPr>
          <w:rFonts w:ascii="Cambria"/>
          <w:i/>
          <w:color w:val="231F20"/>
          <w:sz w:val="21"/>
        </w:rPr>
        <w:t>al</w:t>
      </w:r>
      <w:r>
        <w:rPr>
          <w:rFonts w:ascii="Cambria"/>
          <w:color w:val="231F20"/>
          <w:sz w:val="21"/>
        </w:rPr>
        <w:t>.,</w:t>
      </w:r>
      <w:r>
        <w:rPr>
          <w:rFonts w:ascii="Cambria"/>
          <w:color w:val="231F20"/>
          <w:spacing w:val="-5"/>
          <w:sz w:val="21"/>
        </w:rPr>
        <w:t xml:space="preserve"> </w:t>
      </w:r>
      <w:r>
        <w:rPr>
          <w:rFonts w:ascii="Cambria"/>
          <w:color w:val="231F20"/>
          <w:sz w:val="21"/>
        </w:rPr>
        <w:t>2014).</w:t>
      </w:r>
    </w:p>
    <w:p w14:paraId="07649E09" w14:textId="77777777" w:rsidR="00AE0598" w:rsidRDefault="0069255A">
      <w:pPr>
        <w:pStyle w:val="Corpodetexto"/>
        <w:spacing w:before="4" w:line="232" w:lineRule="auto"/>
        <w:ind w:left="110" w:right="127" w:firstLine="320"/>
        <w:jc w:val="both"/>
      </w:pPr>
      <w:r>
        <w:rPr>
          <w:color w:val="231F20"/>
        </w:rPr>
        <w:t>Different regions of the world report many of the same problems associated</w:t>
      </w:r>
      <w:r>
        <w:rPr>
          <w:color w:val="231F20"/>
          <w:spacing w:val="-12"/>
        </w:rPr>
        <w:t xml:space="preserve"> </w:t>
      </w:r>
      <w:r>
        <w:rPr>
          <w:color w:val="231F20"/>
        </w:rPr>
        <w:t>with</w:t>
      </w:r>
      <w:r>
        <w:rPr>
          <w:color w:val="231F20"/>
          <w:spacing w:val="-12"/>
        </w:rPr>
        <w:t xml:space="preserve"> </w:t>
      </w:r>
      <w:r>
        <w:rPr>
          <w:color w:val="231F20"/>
        </w:rPr>
        <w:t>seasonality,</w:t>
      </w:r>
      <w:r>
        <w:rPr>
          <w:color w:val="231F20"/>
          <w:spacing w:val="-11"/>
        </w:rPr>
        <w:t xml:space="preserve"> </w:t>
      </w:r>
      <w:r>
        <w:rPr>
          <w:color w:val="231F20"/>
        </w:rPr>
        <w:t>despite</w:t>
      </w:r>
      <w:r>
        <w:rPr>
          <w:color w:val="231F20"/>
          <w:spacing w:val="-12"/>
        </w:rPr>
        <w:t xml:space="preserve"> </w:t>
      </w:r>
      <w:r>
        <w:rPr>
          <w:color w:val="231F20"/>
        </w:rPr>
        <w:t>experiencing</w:t>
      </w:r>
      <w:r>
        <w:rPr>
          <w:color w:val="231F20"/>
          <w:spacing w:val="-11"/>
        </w:rPr>
        <w:t xml:space="preserve"> </w:t>
      </w:r>
      <w:r>
        <w:rPr>
          <w:color w:val="231F20"/>
        </w:rPr>
        <w:t>quite</w:t>
      </w:r>
      <w:r>
        <w:rPr>
          <w:color w:val="231F20"/>
          <w:spacing w:val="-12"/>
        </w:rPr>
        <w:t xml:space="preserve"> </w:t>
      </w:r>
      <w:r>
        <w:rPr>
          <w:color w:val="231F20"/>
        </w:rPr>
        <w:t>different</w:t>
      </w:r>
      <w:r>
        <w:rPr>
          <w:color w:val="231F20"/>
          <w:spacing w:val="-11"/>
        </w:rPr>
        <w:t xml:space="preserve"> </w:t>
      </w:r>
      <w:r>
        <w:rPr>
          <w:color w:val="231F20"/>
        </w:rPr>
        <w:t>patterns of seasonal variation. For example, Great Britain’s high season occurs in the</w:t>
      </w:r>
      <w:r>
        <w:rPr>
          <w:color w:val="231F20"/>
          <w:spacing w:val="-7"/>
        </w:rPr>
        <w:t xml:space="preserve"> </w:t>
      </w:r>
      <w:r>
        <w:rPr>
          <w:color w:val="231F20"/>
        </w:rPr>
        <w:t>summer</w:t>
      </w:r>
      <w:r>
        <w:rPr>
          <w:color w:val="231F20"/>
          <w:spacing w:val="-7"/>
        </w:rPr>
        <w:t xml:space="preserve"> </w:t>
      </w:r>
      <w:r>
        <w:rPr>
          <w:color w:val="231F20"/>
        </w:rPr>
        <w:t>months</w:t>
      </w:r>
      <w:r>
        <w:rPr>
          <w:color w:val="231F20"/>
          <w:spacing w:val="-7"/>
        </w:rPr>
        <w:t xml:space="preserve"> </w:t>
      </w:r>
      <w:r>
        <w:rPr>
          <w:color w:val="231F20"/>
        </w:rPr>
        <w:t>of</w:t>
      </w:r>
      <w:r>
        <w:rPr>
          <w:color w:val="231F20"/>
          <w:spacing w:val="4"/>
        </w:rPr>
        <w:t xml:space="preserve"> </w:t>
      </w:r>
      <w:r>
        <w:rPr>
          <w:color w:val="231F20"/>
        </w:rPr>
        <w:t>July</w:t>
      </w:r>
      <w:r>
        <w:rPr>
          <w:color w:val="231F20"/>
          <w:spacing w:val="-7"/>
        </w:rPr>
        <w:t xml:space="preserve"> </w:t>
      </w:r>
      <w:r>
        <w:rPr>
          <w:color w:val="231F20"/>
        </w:rPr>
        <w:t>and</w:t>
      </w:r>
      <w:r>
        <w:rPr>
          <w:color w:val="231F20"/>
          <w:spacing w:val="-7"/>
        </w:rPr>
        <w:t xml:space="preserve"> </w:t>
      </w:r>
      <w:r>
        <w:rPr>
          <w:color w:val="231F20"/>
        </w:rPr>
        <w:t>August,</w:t>
      </w:r>
      <w:r>
        <w:rPr>
          <w:color w:val="231F20"/>
          <w:spacing w:val="-6"/>
        </w:rPr>
        <w:t xml:space="preserve"> </w:t>
      </w:r>
      <w:r>
        <w:rPr>
          <w:color w:val="231F20"/>
        </w:rPr>
        <w:t>with</w:t>
      </w:r>
      <w:r>
        <w:rPr>
          <w:color w:val="231F20"/>
          <w:spacing w:val="-7"/>
        </w:rPr>
        <w:t xml:space="preserve"> </w:t>
      </w:r>
      <w:r>
        <w:rPr>
          <w:color w:val="231F20"/>
        </w:rPr>
        <w:t>a</w:t>
      </w:r>
      <w:r>
        <w:rPr>
          <w:color w:val="231F20"/>
          <w:spacing w:val="-7"/>
        </w:rPr>
        <w:t xml:space="preserve"> </w:t>
      </w:r>
      <w:r>
        <w:rPr>
          <w:color w:val="231F20"/>
        </w:rPr>
        <w:t>marked</w:t>
      </w:r>
      <w:r>
        <w:rPr>
          <w:color w:val="231F20"/>
          <w:spacing w:val="-7"/>
        </w:rPr>
        <w:t xml:space="preserve"> </w:t>
      </w:r>
      <w:r>
        <w:rPr>
          <w:color w:val="231F20"/>
        </w:rPr>
        <w:t>decline</w:t>
      </w:r>
      <w:r>
        <w:rPr>
          <w:color w:val="231F20"/>
          <w:spacing w:val="-6"/>
        </w:rPr>
        <w:t xml:space="preserve"> </w:t>
      </w:r>
      <w:r>
        <w:rPr>
          <w:color w:val="231F20"/>
        </w:rPr>
        <w:t>in</w:t>
      </w:r>
      <w:r>
        <w:rPr>
          <w:color w:val="231F20"/>
          <w:spacing w:val="-7"/>
        </w:rPr>
        <w:t xml:space="preserve"> </w:t>
      </w:r>
      <w:r>
        <w:rPr>
          <w:color w:val="231F20"/>
          <w:spacing w:val="-2"/>
        </w:rPr>
        <w:t>tourism</w:t>
      </w:r>
    </w:p>
    <w:p w14:paraId="3A0F60FD" w14:textId="77777777" w:rsidR="00AE0598" w:rsidRDefault="00AE0598">
      <w:pPr>
        <w:spacing w:line="232" w:lineRule="auto"/>
        <w:jc w:val="both"/>
        <w:sectPr w:rsidR="00AE0598">
          <w:pgSz w:w="8850" w:h="13270"/>
          <w:pgMar w:top="720" w:right="1060" w:bottom="280" w:left="1080" w:header="720" w:footer="720" w:gutter="0"/>
          <w:cols w:space="720"/>
        </w:sectPr>
      </w:pPr>
    </w:p>
    <w:p w14:paraId="7B0899B5" w14:textId="77777777" w:rsidR="00AE0598" w:rsidRDefault="0069255A">
      <w:pPr>
        <w:spacing w:before="87"/>
        <w:ind w:left="4213"/>
        <w:rPr>
          <w:rFonts w:ascii="Trebuchet MS"/>
          <w:sz w:val="14"/>
        </w:rPr>
      </w:pPr>
      <w:r>
        <w:rPr>
          <w:rFonts w:ascii="Trebuchet MS"/>
          <w:color w:val="231F20"/>
          <w:w w:val="105"/>
          <w:sz w:val="14"/>
        </w:rPr>
        <w:lastRenderedPageBreak/>
        <w:t>Seasonality,</w:t>
      </w:r>
      <w:r>
        <w:rPr>
          <w:rFonts w:ascii="Trebuchet MS"/>
          <w:color w:val="231F20"/>
          <w:spacing w:val="-12"/>
          <w:w w:val="105"/>
          <w:sz w:val="14"/>
        </w:rPr>
        <w:t xml:space="preserve"> </w:t>
      </w:r>
      <w:r>
        <w:rPr>
          <w:rFonts w:ascii="Trebuchet MS"/>
          <w:color w:val="231F20"/>
          <w:w w:val="105"/>
          <w:sz w:val="14"/>
        </w:rPr>
        <w:t>Sport</w:t>
      </w:r>
      <w:r>
        <w:rPr>
          <w:rFonts w:ascii="Trebuchet MS"/>
          <w:color w:val="231F20"/>
          <w:spacing w:val="-11"/>
          <w:w w:val="105"/>
          <w:sz w:val="14"/>
        </w:rPr>
        <w:t xml:space="preserve"> </w:t>
      </w:r>
      <w:r>
        <w:rPr>
          <w:rFonts w:ascii="Trebuchet MS"/>
          <w:color w:val="231F20"/>
          <w:w w:val="105"/>
          <w:sz w:val="14"/>
        </w:rPr>
        <w:t>and</w:t>
      </w:r>
      <w:r>
        <w:rPr>
          <w:rFonts w:ascii="Trebuchet MS"/>
          <w:color w:val="231F20"/>
          <w:spacing w:val="-11"/>
          <w:w w:val="105"/>
          <w:sz w:val="14"/>
        </w:rPr>
        <w:t xml:space="preserve"> </w:t>
      </w:r>
      <w:r>
        <w:rPr>
          <w:rFonts w:ascii="Trebuchet MS"/>
          <w:color w:val="231F20"/>
          <w:w w:val="105"/>
          <w:sz w:val="14"/>
        </w:rPr>
        <w:t>Tourism</w:t>
      </w:r>
      <w:r>
        <w:rPr>
          <w:rFonts w:ascii="Trebuchet MS"/>
          <w:color w:val="231F20"/>
          <w:spacing w:val="60"/>
          <w:w w:val="105"/>
          <w:sz w:val="14"/>
        </w:rPr>
        <w:t xml:space="preserve"> </w:t>
      </w:r>
      <w:r>
        <w:rPr>
          <w:rFonts w:ascii="Trebuchet MS"/>
          <w:color w:val="231F20"/>
          <w:spacing w:val="-5"/>
          <w:w w:val="105"/>
          <w:sz w:val="14"/>
        </w:rPr>
        <w:t>181</w:t>
      </w:r>
    </w:p>
    <w:p w14:paraId="13FD9FC1" w14:textId="77777777" w:rsidR="00AE0598" w:rsidRDefault="00AE0598">
      <w:pPr>
        <w:pStyle w:val="Corpodetexto"/>
        <w:rPr>
          <w:rFonts w:ascii="Trebuchet MS"/>
          <w:sz w:val="16"/>
        </w:rPr>
      </w:pPr>
    </w:p>
    <w:p w14:paraId="03E67147" w14:textId="77777777" w:rsidR="00AE0598" w:rsidRDefault="0069255A">
      <w:pPr>
        <w:pStyle w:val="Corpodetexto"/>
        <w:spacing w:before="118" w:line="232" w:lineRule="auto"/>
        <w:ind w:left="110" w:right="127"/>
        <w:jc w:val="both"/>
      </w:pPr>
      <w:r>
        <w:rPr>
          <w:color w:val="231F20"/>
        </w:rPr>
        <w:t>during</w:t>
      </w:r>
      <w:r>
        <w:rPr>
          <w:color w:val="231F20"/>
          <w:spacing w:val="-4"/>
        </w:rPr>
        <w:t xml:space="preserve"> </w:t>
      </w:r>
      <w:r>
        <w:rPr>
          <w:color w:val="231F20"/>
        </w:rPr>
        <w:t>the</w:t>
      </w:r>
      <w:r>
        <w:rPr>
          <w:color w:val="231F20"/>
          <w:spacing w:val="-4"/>
        </w:rPr>
        <w:t xml:space="preserve"> </w:t>
      </w:r>
      <w:r>
        <w:rPr>
          <w:color w:val="231F20"/>
        </w:rPr>
        <w:t>winter</w:t>
      </w:r>
      <w:r>
        <w:rPr>
          <w:color w:val="231F20"/>
          <w:spacing w:val="-4"/>
        </w:rPr>
        <w:t xml:space="preserve"> </w:t>
      </w:r>
      <w:r>
        <w:rPr>
          <w:color w:val="231F20"/>
        </w:rPr>
        <w:t>months.</w:t>
      </w:r>
      <w:r>
        <w:rPr>
          <w:color w:val="231F20"/>
          <w:spacing w:val="-4"/>
        </w:rPr>
        <w:t xml:space="preserve"> </w:t>
      </w:r>
      <w:r>
        <w:rPr>
          <w:color w:val="231F20"/>
        </w:rPr>
        <w:t>Jamaica,</w:t>
      </w:r>
      <w:r>
        <w:rPr>
          <w:color w:val="231F20"/>
          <w:spacing w:val="-4"/>
        </w:rPr>
        <w:t xml:space="preserve"> </w:t>
      </w:r>
      <w:r>
        <w:rPr>
          <w:color w:val="231F20"/>
        </w:rPr>
        <w:t>in</w:t>
      </w:r>
      <w:r>
        <w:rPr>
          <w:color w:val="231F20"/>
          <w:spacing w:val="-4"/>
        </w:rPr>
        <w:t xml:space="preserve"> </w:t>
      </w:r>
      <w:r>
        <w:rPr>
          <w:color w:val="231F20"/>
        </w:rPr>
        <w:t>contrast,</w:t>
      </w:r>
      <w:r>
        <w:rPr>
          <w:color w:val="231F20"/>
          <w:spacing w:val="-4"/>
        </w:rPr>
        <w:t xml:space="preserve"> </w:t>
      </w:r>
      <w:r>
        <w:rPr>
          <w:color w:val="231F20"/>
        </w:rPr>
        <w:t>has</w:t>
      </w:r>
      <w:r>
        <w:rPr>
          <w:color w:val="231F20"/>
          <w:spacing w:val="-4"/>
        </w:rPr>
        <w:t xml:space="preserve"> </w:t>
      </w:r>
      <w:r>
        <w:rPr>
          <w:color w:val="231F20"/>
        </w:rPr>
        <w:t>a</w:t>
      </w:r>
      <w:r>
        <w:rPr>
          <w:color w:val="231F20"/>
          <w:spacing w:val="-4"/>
        </w:rPr>
        <w:t xml:space="preserve"> </w:t>
      </w:r>
      <w:r>
        <w:rPr>
          <w:color w:val="231F20"/>
        </w:rPr>
        <w:t>busy</w:t>
      </w:r>
      <w:r>
        <w:rPr>
          <w:color w:val="231F20"/>
          <w:spacing w:val="-4"/>
        </w:rPr>
        <w:t xml:space="preserve"> </w:t>
      </w:r>
      <w:r>
        <w:rPr>
          <w:color w:val="231F20"/>
        </w:rPr>
        <w:t>winter</w:t>
      </w:r>
      <w:r>
        <w:rPr>
          <w:color w:val="231F20"/>
          <w:spacing w:val="-4"/>
        </w:rPr>
        <w:t xml:space="preserve"> </w:t>
      </w:r>
      <w:r>
        <w:rPr>
          <w:color w:val="231F20"/>
        </w:rPr>
        <w:t xml:space="preserve">season but a slow spring season. Seasonality tends to be more of an issue for </w:t>
      </w:r>
      <w:r>
        <w:rPr>
          <w:color w:val="231F20"/>
          <w:w w:val="95"/>
        </w:rPr>
        <w:t xml:space="preserve">destinations that depend on specific climatic conditions as attractions (e.g. </w:t>
      </w:r>
      <w:r>
        <w:rPr>
          <w:color w:val="231F20"/>
          <w:w w:val="90"/>
        </w:rPr>
        <w:t>winter sports, summer sports and certain adventure sports) than destinat</w:t>
      </w:r>
      <w:r>
        <w:rPr>
          <w:color w:val="231F20"/>
          <w:w w:val="90"/>
        </w:rPr>
        <w:t xml:space="preserve">ions </w:t>
      </w:r>
      <w:r>
        <w:rPr>
          <w:color w:val="231F20"/>
          <w:w w:val="95"/>
        </w:rPr>
        <w:t>where</w:t>
      </w:r>
      <w:r>
        <w:rPr>
          <w:color w:val="231F20"/>
          <w:spacing w:val="-4"/>
          <w:w w:val="95"/>
        </w:rPr>
        <w:t xml:space="preserve"> </w:t>
      </w:r>
      <w:r>
        <w:rPr>
          <w:color w:val="231F20"/>
          <w:w w:val="95"/>
        </w:rPr>
        <w:t>climatic</w:t>
      </w:r>
      <w:r>
        <w:rPr>
          <w:color w:val="231F20"/>
          <w:spacing w:val="-4"/>
          <w:w w:val="95"/>
        </w:rPr>
        <w:t xml:space="preserve"> </w:t>
      </w:r>
      <w:r>
        <w:rPr>
          <w:color w:val="231F20"/>
          <w:w w:val="95"/>
        </w:rPr>
        <w:t>conditions</w:t>
      </w:r>
      <w:r>
        <w:rPr>
          <w:color w:val="231F20"/>
          <w:spacing w:val="-4"/>
          <w:w w:val="95"/>
        </w:rPr>
        <w:t xml:space="preserve"> </w:t>
      </w:r>
      <w:r>
        <w:rPr>
          <w:color w:val="231F20"/>
          <w:w w:val="95"/>
        </w:rPr>
        <w:t>provide</w:t>
      </w:r>
      <w:r>
        <w:rPr>
          <w:color w:val="231F20"/>
          <w:spacing w:val="-4"/>
          <w:w w:val="95"/>
        </w:rPr>
        <w:t xml:space="preserve"> </w:t>
      </w:r>
      <w:r>
        <w:rPr>
          <w:color w:val="231F20"/>
          <w:w w:val="95"/>
        </w:rPr>
        <w:t>an</w:t>
      </w:r>
      <w:r>
        <w:rPr>
          <w:color w:val="231F20"/>
          <w:spacing w:val="-4"/>
          <w:w w:val="95"/>
        </w:rPr>
        <w:t xml:space="preserve"> </w:t>
      </w:r>
      <w:r>
        <w:rPr>
          <w:color w:val="231F20"/>
          <w:w w:val="95"/>
        </w:rPr>
        <w:t>environmental</w:t>
      </w:r>
      <w:r>
        <w:rPr>
          <w:color w:val="231F20"/>
          <w:spacing w:val="-4"/>
          <w:w w:val="95"/>
        </w:rPr>
        <w:t xml:space="preserve"> </w:t>
      </w:r>
      <w:r>
        <w:rPr>
          <w:color w:val="231F20"/>
          <w:w w:val="95"/>
        </w:rPr>
        <w:t>context</w:t>
      </w:r>
      <w:r>
        <w:rPr>
          <w:color w:val="231F20"/>
          <w:spacing w:val="-4"/>
          <w:w w:val="95"/>
        </w:rPr>
        <w:t xml:space="preserve"> </w:t>
      </w:r>
      <w:r>
        <w:rPr>
          <w:color w:val="231F20"/>
          <w:w w:val="95"/>
        </w:rPr>
        <w:t>rather</w:t>
      </w:r>
      <w:r>
        <w:rPr>
          <w:color w:val="231F20"/>
          <w:spacing w:val="-4"/>
          <w:w w:val="95"/>
        </w:rPr>
        <w:t xml:space="preserve"> </w:t>
      </w:r>
      <w:r>
        <w:rPr>
          <w:color w:val="231F20"/>
          <w:w w:val="95"/>
        </w:rPr>
        <w:t>than</w:t>
      </w:r>
      <w:r>
        <w:rPr>
          <w:color w:val="231F20"/>
          <w:spacing w:val="-4"/>
          <w:w w:val="95"/>
        </w:rPr>
        <w:t xml:space="preserve"> </w:t>
      </w:r>
      <w:r>
        <w:rPr>
          <w:color w:val="231F20"/>
          <w:w w:val="95"/>
        </w:rPr>
        <w:t xml:space="preserve">the </w:t>
      </w:r>
      <w:r>
        <w:rPr>
          <w:color w:val="231F20"/>
        </w:rPr>
        <w:t>central</w:t>
      </w:r>
      <w:r>
        <w:rPr>
          <w:color w:val="231F20"/>
          <w:spacing w:val="-3"/>
        </w:rPr>
        <w:t xml:space="preserve"> </w:t>
      </w:r>
      <w:r>
        <w:rPr>
          <w:color w:val="231F20"/>
        </w:rPr>
        <w:t>attraction</w:t>
      </w:r>
      <w:r>
        <w:rPr>
          <w:color w:val="231F20"/>
          <w:spacing w:val="-3"/>
        </w:rPr>
        <w:t xml:space="preserve"> </w:t>
      </w:r>
      <w:r>
        <w:rPr>
          <w:color w:val="231F20"/>
        </w:rPr>
        <w:t>(e.g.</w:t>
      </w:r>
      <w:r>
        <w:rPr>
          <w:color w:val="231F20"/>
          <w:spacing w:val="-3"/>
        </w:rPr>
        <w:t xml:space="preserve"> </w:t>
      </w:r>
      <w:r>
        <w:rPr>
          <w:color w:val="231F20"/>
        </w:rPr>
        <w:t>ethnic</w:t>
      </w:r>
      <w:r>
        <w:rPr>
          <w:color w:val="231F20"/>
          <w:spacing w:val="-3"/>
        </w:rPr>
        <w:t xml:space="preserve"> </w:t>
      </w:r>
      <w:r>
        <w:rPr>
          <w:color w:val="231F20"/>
        </w:rPr>
        <w:t>tourism)</w:t>
      </w:r>
      <w:r>
        <w:rPr>
          <w:color w:val="231F20"/>
          <w:spacing w:val="-3"/>
        </w:rPr>
        <w:t xml:space="preserve"> </w:t>
      </w:r>
      <w:r>
        <w:rPr>
          <w:color w:val="231F20"/>
        </w:rPr>
        <w:t>(Gomez-Martin,</w:t>
      </w:r>
      <w:r>
        <w:rPr>
          <w:color w:val="231F20"/>
          <w:spacing w:val="-3"/>
        </w:rPr>
        <w:t xml:space="preserve"> </w:t>
      </w:r>
      <w:r>
        <w:rPr>
          <w:color w:val="231F20"/>
        </w:rPr>
        <w:t>2005).</w:t>
      </w:r>
    </w:p>
    <w:p w14:paraId="3A94732E" w14:textId="77777777" w:rsidR="00AE0598" w:rsidRDefault="0069255A">
      <w:pPr>
        <w:pStyle w:val="Corpodetexto"/>
        <w:spacing w:before="7" w:line="232" w:lineRule="auto"/>
        <w:ind w:left="110" w:right="127" w:firstLine="320"/>
        <w:jc w:val="both"/>
      </w:pPr>
      <w:r>
        <w:rPr>
          <w:color w:val="231F20"/>
          <w:w w:val="95"/>
        </w:rPr>
        <w:t>With</w:t>
      </w:r>
      <w:r>
        <w:rPr>
          <w:color w:val="231F20"/>
          <w:spacing w:val="-1"/>
          <w:w w:val="95"/>
        </w:rPr>
        <w:t xml:space="preserve"> </w:t>
      </w:r>
      <w:r>
        <w:rPr>
          <w:color w:val="231F20"/>
          <w:w w:val="95"/>
        </w:rPr>
        <w:t>a</w:t>
      </w:r>
      <w:r>
        <w:rPr>
          <w:color w:val="231F20"/>
          <w:spacing w:val="-1"/>
          <w:w w:val="95"/>
        </w:rPr>
        <w:t xml:space="preserve"> </w:t>
      </w:r>
      <w:r>
        <w:rPr>
          <w:color w:val="231F20"/>
          <w:w w:val="95"/>
        </w:rPr>
        <w:t>few</w:t>
      </w:r>
      <w:r>
        <w:rPr>
          <w:color w:val="231F20"/>
          <w:spacing w:val="-1"/>
          <w:w w:val="95"/>
        </w:rPr>
        <w:t xml:space="preserve"> </w:t>
      </w:r>
      <w:r>
        <w:rPr>
          <w:color w:val="231F20"/>
          <w:w w:val="95"/>
        </w:rPr>
        <w:t>notable</w:t>
      </w:r>
      <w:r>
        <w:rPr>
          <w:color w:val="231F20"/>
          <w:spacing w:val="-1"/>
          <w:w w:val="95"/>
        </w:rPr>
        <w:t xml:space="preserve"> </w:t>
      </w:r>
      <w:r>
        <w:rPr>
          <w:color w:val="231F20"/>
          <w:w w:val="95"/>
        </w:rPr>
        <w:t>exceptions</w:t>
      </w:r>
      <w:r>
        <w:rPr>
          <w:color w:val="231F20"/>
          <w:spacing w:val="-1"/>
          <w:w w:val="95"/>
        </w:rPr>
        <w:t xml:space="preserve"> </w:t>
      </w:r>
      <w:r>
        <w:rPr>
          <w:color w:val="231F20"/>
          <w:w w:val="95"/>
        </w:rPr>
        <w:t>(e.g.</w:t>
      </w:r>
      <w:r>
        <w:rPr>
          <w:color w:val="231F20"/>
          <w:spacing w:val="-1"/>
          <w:w w:val="95"/>
        </w:rPr>
        <w:t xml:space="preserve"> </w:t>
      </w:r>
      <w:r>
        <w:rPr>
          <w:color w:val="231F20"/>
          <w:w w:val="95"/>
        </w:rPr>
        <w:t>Chung,</w:t>
      </w:r>
      <w:r>
        <w:rPr>
          <w:color w:val="231F20"/>
          <w:spacing w:val="-1"/>
          <w:w w:val="95"/>
        </w:rPr>
        <w:t xml:space="preserve"> </w:t>
      </w:r>
      <w:r>
        <w:rPr>
          <w:color w:val="231F20"/>
          <w:w w:val="95"/>
        </w:rPr>
        <w:t>2009;</w:t>
      </w:r>
      <w:r>
        <w:rPr>
          <w:color w:val="231F20"/>
          <w:spacing w:val="-1"/>
          <w:w w:val="95"/>
        </w:rPr>
        <w:t xml:space="preserve"> </w:t>
      </w:r>
      <w:r>
        <w:rPr>
          <w:color w:val="231F20"/>
          <w:w w:val="95"/>
        </w:rPr>
        <w:t>Flognfeldt,</w:t>
      </w:r>
      <w:r>
        <w:rPr>
          <w:color w:val="231F20"/>
          <w:spacing w:val="-1"/>
          <w:w w:val="95"/>
        </w:rPr>
        <w:t xml:space="preserve"> </w:t>
      </w:r>
      <w:r>
        <w:rPr>
          <w:color w:val="231F20"/>
          <w:w w:val="95"/>
        </w:rPr>
        <w:t>2001),</w:t>
      </w:r>
      <w:r>
        <w:rPr>
          <w:color w:val="231F20"/>
          <w:spacing w:val="-1"/>
          <w:w w:val="95"/>
        </w:rPr>
        <w:t xml:space="preserve"> </w:t>
      </w:r>
      <w:r>
        <w:rPr>
          <w:color w:val="231F20"/>
          <w:w w:val="95"/>
        </w:rPr>
        <w:t xml:space="preserve">little </w:t>
      </w:r>
      <w:r>
        <w:rPr>
          <w:color w:val="231F20"/>
        </w:rPr>
        <w:t>attention</w:t>
      </w:r>
      <w:r>
        <w:rPr>
          <w:color w:val="231F20"/>
          <w:spacing w:val="-7"/>
        </w:rPr>
        <w:t xml:space="preserve"> </w:t>
      </w:r>
      <w:r>
        <w:rPr>
          <w:color w:val="231F20"/>
        </w:rPr>
        <w:t>has</w:t>
      </w:r>
      <w:r>
        <w:rPr>
          <w:color w:val="231F20"/>
          <w:spacing w:val="-7"/>
        </w:rPr>
        <w:t xml:space="preserve"> </w:t>
      </w:r>
      <w:r>
        <w:rPr>
          <w:color w:val="231F20"/>
        </w:rPr>
        <w:t>been</w:t>
      </w:r>
      <w:r>
        <w:rPr>
          <w:color w:val="231F20"/>
          <w:spacing w:val="-7"/>
        </w:rPr>
        <w:t xml:space="preserve"> </w:t>
      </w:r>
      <w:r>
        <w:rPr>
          <w:color w:val="231F20"/>
        </w:rPr>
        <w:t>paid</w:t>
      </w:r>
      <w:r>
        <w:rPr>
          <w:color w:val="231F20"/>
          <w:spacing w:val="-7"/>
        </w:rPr>
        <w:t xml:space="preserve"> </w:t>
      </w:r>
      <w:r>
        <w:rPr>
          <w:color w:val="231F20"/>
        </w:rPr>
        <w:t>to</w:t>
      </w:r>
      <w:r>
        <w:rPr>
          <w:color w:val="231F20"/>
          <w:spacing w:val="-7"/>
        </w:rPr>
        <w:t xml:space="preserve"> </w:t>
      </w:r>
      <w:r>
        <w:rPr>
          <w:color w:val="231F20"/>
        </w:rPr>
        <w:t>the</w:t>
      </w:r>
      <w:r>
        <w:rPr>
          <w:color w:val="231F20"/>
          <w:spacing w:val="-7"/>
        </w:rPr>
        <w:t xml:space="preserve"> </w:t>
      </w:r>
      <w:r>
        <w:rPr>
          <w:color w:val="231F20"/>
        </w:rPr>
        <w:t>possible</w:t>
      </w:r>
      <w:r>
        <w:rPr>
          <w:color w:val="231F20"/>
          <w:spacing w:val="-7"/>
        </w:rPr>
        <w:t xml:space="preserve"> </w:t>
      </w:r>
      <w:r>
        <w:rPr>
          <w:color w:val="231F20"/>
        </w:rPr>
        <w:t>benefits</w:t>
      </w:r>
      <w:r>
        <w:rPr>
          <w:color w:val="231F20"/>
          <w:spacing w:val="-7"/>
        </w:rPr>
        <w:t xml:space="preserve"> </w:t>
      </w:r>
      <w:r>
        <w:rPr>
          <w:color w:val="231F20"/>
        </w:rPr>
        <w:t>that</w:t>
      </w:r>
      <w:r>
        <w:rPr>
          <w:color w:val="231F20"/>
          <w:spacing w:val="-7"/>
        </w:rPr>
        <w:t xml:space="preserve"> </w:t>
      </w:r>
      <w:r>
        <w:rPr>
          <w:color w:val="231F20"/>
        </w:rPr>
        <w:t>may</w:t>
      </w:r>
      <w:r>
        <w:rPr>
          <w:color w:val="231F20"/>
          <w:spacing w:val="-7"/>
        </w:rPr>
        <w:t xml:space="preserve"> </w:t>
      </w:r>
      <w:r>
        <w:rPr>
          <w:color w:val="231F20"/>
        </w:rPr>
        <w:t>be</w:t>
      </w:r>
      <w:r>
        <w:rPr>
          <w:color w:val="231F20"/>
          <w:spacing w:val="-7"/>
        </w:rPr>
        <w:t xml:space="preserve"> </w:t>
      </w:r>
      <w:r>
        <w:rPr>
          <w:color w:val="231F20"/>
        </w:rPr>
        <w:t>attributed</w:t>
      </w:r>
      <w:r>
        <w:rPr>
          <w:color w:val="231F20"/>
          <w:spacing w:val="-7"/>
        </w:rPr>
        <w:t xml:space="preserve"> </w:t>
      </w:r>
      <w:r>
        <w:rPr>
          <w:color w:val="231F20"/>
        </w:rPr>
        <w:t xml:space="preserve">to </w:t>
      </w:r>
      <w:r>
        <w:rPr>
          <w:color w:val="231F20"/>
          <w:w w:val="95"/>
        </w:rPr>
        <w:t>seasonality.</w:t>
      </w:r>
      <w:r>
        <w:rPr>
          <w:color w:val="231F20"/>
          <w:spacing w:val="-10"/>
          <w:w w:val="95"/>
        </w:rPr>
        <w:t xml:space="preserve"> </w:t>
      </w:r>
      <w:r>
        <w:rPr>
          <w:color w:val="231F20"/>
          <w:w w:val="95"/>
        </w:rPr>
        <w:t>Hartman</w:t>
      </w:r>
      <w:r>
        <w:rPr>
          <w:color w:val="231F20"/>
          <w:spacing w:val="-9"/>
          <w:w w:val="95"/>
        </w:rPr>
        <w:t xml:space="preserve"> </w:t>
      </w:r>
      <w:r>
        <w:rPr>
          <w:color w:val="231F20"/>
          <w:w w:val="95"/>
        </w:rPr>
        <w:t>(1986:</w:t>
      </w:r>
      <w:r>
        <w:rPr>
          <w:color w:val="231F20"/>
          <w:spacing w:val="-9"/>
          <w:w w:val="95"/>
        </w:rPr>
        <w:t xml:space="preserve"> </w:t>
      </w:r>
      <w:r>
        <w:rPr>
          <w:color w:val="231F20"/>
          <w:w w:val="95"/>
        </w:rPr>
        <w:t>3132),</w:t>
      </w:r>
      <w:r>
        <w:rPr>
          <w:color w:val="231F20"/>
          <w:spacing w:val="-9"/>
          <w:w w:val="95"/>
        </w:rPr>
        <w:t xml:space="preserve"> </w:t>
      </w:r>
      <w:r>
        <w:rPr>
          <w:color w:val="231F20"/>
          <w:w w:val="95"/>
        </w:rPr>
        <w:t>however,</w:t>
      </w:r>
      <w:r>
        <w:rPr>
          <w:color w:val="231F20"/>
          <w:spacing w:val="-10"/>
          <w:w w:val="95"/>
        </w:rPr>
        <w:t xml:space="preserve"> </w:t>
      </w:r>
      <w:r>
        <w:rPr>
          <w:color w:val="231F20"/>
          <w:w w:val="95"/>
        </w:rPr>
        <w:t>argues</w:t>
      </w:r>
      <w:r>
        <w:rPr>
          <w:color w:val="231F20"/>
          <w:spacing w:val="-9"/>
          <w:w w:val="95"/>
        </w:rPr>
        <w:t xml:space="preserve"> </w:t>
      </w:r>
      <w:r>
        <w:rPr>
          <w:color w:val="231F20"/>
          <w:w w:val="95"/>
        </w:rPr>
        <w:t>that</w:t>
      </w:r>
      <w:r>
        <w:rPr>
          <w:color w:val="231F20"/>
          <w:spacing w:val="-9"/>
          <w:w w:val="95"/>
        </w:rPr>
        <w:t xml:space="preserve"> </w:t>
      </w:r>
      <w:r>
        <w:rPr>
          <w:color w:val="231F20"/>
          <w:w w:val="95"/>
        </w:rPr>
        <w:t>tourist</w:t>
      </w:r>
      <w:r>
        <w:rPr>
          <w:color w:val="231F20"/>
          <w:spacing w:val="-9"/>
          <w:w w:val="95"/>
        </w:rPr>
        <w:t xml:space="preserve"> </w:t>
      </w:r>
      <w:r>
        <w:rPr>
          <w:color w:val="231F20"/>
          <w:w w:val="95"/>
        </w:rPr>
        <w:t>low</w:t>
      </w:r>
      <w:r>
        <w:rPr>
          <w:color w:val="231F20"/>
          <w:spacing w:val="-10"/>
          <w:w w:val="95"/>
        </w:rPr>
        <w:t xml:space="preserve"> </w:t>
      </w:r>
      <w:r>
        <w:rPr>
          <w:color w:val="231F20"/>
          <w:w w:val="95"/>
        </w:rPr>
        <w:t xml:space="preserve">seasons </w:t>
      </w:r>
      <w:r>
        <w:rPr>
          <w:color w:val="231F20"/>
        </w:rPr>
        <w:t>offer ‘the only chance for a social and ecological environment to recover fully.</w:t>
      </w:r>
      <w:r>
        <w:rPr>
          <w:color w:val="231F20"/>
          <w:spacing w:val="-3"/>
        </w:rPr>
        <w:t xml:space="preserve"> </w:t>
      </w:r>
      <w:r>
        <w:rPr>
          <w:color w:val="231F20"/>
        </w:rPr>
        <w:t>A</w:t>
      </w:r>
      <w:r>
        <w:rPr>
          <w:color w:val="231F20"/>
          <w:spacing w:val="-3"/>
        </w:rPr>
        <w:t xml:space="preserve"> </w:t>
      </w:r>
      <w:r>
        <w:rPr>
          <w:color w:val="231F20"/>
        </w:rPr>
        <w:t>dormant</w:t>
      </w:r>
      <w:r>
        <w:rPr>
          <w:color w:val="231F20"/>
          <w:spacing w:val="-3"/>
        </w:rPr>
        <w:t xml:space="preserve"> </w:t>
      </w:r>
      <w:r>
        <w:rPr>
          <w:color w:val="231F20"/>
        </w:rPr>
        <w:t>period</w:t>
      </w:r>
      <w:r>
        <w:rPr>
          <w:color w:val="231F20"/>
          <w:spacing w:val="-3"/>
        </w:rPr>
        <w:t xml:space="preserve"> </w:t>
      </w:r>
      <w:r>
        <w:rPr>
          <w:color w:val="231F20"/>
        </w:rPr>
        <w:t>for</w:t>
      </w:r>
      <w:r>
        <w:rPr>
          <w:color w:val="231F20"/>
          <w:spacing w:val="-3"/>
        </w:rPr>
        <w:t xml:space="preserve"> </w:t>
      </w:r>
      <w:r>
        <w:rPr>
          <w:color w:val="231F20"/>
        </w:rPr>
        <w:t>the</w:t>
      </w:r>
      <w:r>
        <w:rPr>
          <w:color w:val="231F20"/>
          <w:spacing w:val="-3"/>
        </w:rPr>
        <w:t xml:space="preserve"> </w:t>
      </w:r>
      <w:r>
        <w:rPr>
          <w:color w:val="231F20"/>
        </w:rPr>
        <w:t>host</w:t>
      </w:r>
      <w:r>
        <w:rPr>
          <w:color w:val="231F20"/>
          <w:spacing w:val="-3"/>
        </w:rPr>
        <w:t xml:space="preserve"> </w:t>
      </w:r>
      <w:r>
        <w:rPr>
          <w:color w:val="231F20"/>
        </w:rPr>
        <w:t>environment</w:t>
      </w:r>
      <w:r>
        <w:rPr>
          <w:color w:val="231F20"/>
          <w:spacing w:val="-3"/>
        </w:rPr>
        <w:t xml:space="preserve"> </w:t>
      </w:r>
      <w:r>
        <w:rPr>
          <w:color w:val="231F20"/>
        </w:rPr>
        <w:t>is</w:t>
      </w:r>
      <w:r>
        <w:rPr>
          <w:color w:val="231F20"/>
          <w:spacing w:val="-3"/>
        </w:rPr>
        <w:t xml:space="preserve"> </w:t>
      </w:r>
      <w:r>
        <w:rPr>
          <w:color w:val="231F20"/>
        </w:rPr>
        <w:t>simply</w:t>
      </w:r>
      <w:r>
        <w:rPr>
          <w:color w:val="231F20"/>
          <w:spacing w:val="-3"/>
        </w:rPr>
        <w:t xml:space="preserve"> </w:t>
      </w:r>
      <w:r>
        <w:rPr>
          <w:color w:val="231F20"/>
        </w:rPr>
        <w:t>a</w:t>
      </w:r>
      <w:r>
        <w:rPr>
          <w:color w:val="231F20"/>
          <w:spacing w:val="-3"/>
        </w:rPr>
        <w:t xml:space="preserve"> </w:t>
      </w:r>
      <w:r>
        <w:rPr>
          <w:color w:val="231F20"/>
        </w:rPr>
        <w:t>necessity</w:t>
      </w:r>
      <w:r>
        <w:rPr>
          <w:color w:val="231F20"/>
          <w:spacing w:val="-3"/>
        </w:rPr>
        <w:t xml:space="preserve"> </w:t>
      </w:r>
      <w:r>
        <w:rPr>
          <w:color w:val="231F20"/>
        </w:rPr>
        <w:t>in order</w:t>
      </w:r>
      <w:r>
        <w:rPr>
          <w:color w:val="231F20"/>
          <w:spacing w:val="-9"/>
        </w:rPr>
        <w:t xml:space="preserve"> </w:t>
      </w:r>
      <w:r>
        <w:rPr>
          <w:color w:val="231F20"/>
        </w:rPr>
        <w:t>to</w:t>
      </w:r>
      <w:r>
        <w:rPr>
          <w:color w:val="231F20"/>
          <w:spacing w:val="-9"/>
        </w:rPr>
        <w:t xml:space="preserve"> </w:t>
      </w:r>
      <w:r>
        <w:rPr>
          <w:color w:val="231F20"/>
        </w:rPr>
        <w:t>preserve</w:t>
      </w:r>
      <w:r>
        <w:rPr>
          <w:color w:val="231F20"/>
          <w:spacing w:val="-9"/>
        </w:rPr>
        <w:t xml:space="preserve"> </w:t>
      </w:r>
      <w:r>
        <w:rPr>
          <w:color w:val="231F20"/>
        </w:rPr>
        <w:t>its</w:t>
      </w:r>
      <w:r>
        <w:rPr>
          <w:color w:val="231F20"/>
          <w:spacing w:val="-9"/>
        </w:rPr>
        <w:t xml:space="preserve"> </w:t>
      </w:r>
      <w:r>
        <w:rPr>
          <w:color w:val="231F20"/>
        </w:rPr>
        <w:t>identity’.</w:t>
      </w:r>
      <w:r>
        <w:rPr>
          <w:color w:val="231F20"/>
          <w:spacing w:val="-9"/>
        </w:rPr>
        <w:t xml:space="preserve"> </w:t>
      </w:r>
      <w:r>
        <w:rPr>
          <w:color w:val="231F20"/>
        </w:rPr>
        <w:t>Similarly,</w:t>
      </w:r>
      <w:r>
        <w:rPr>
          <w:color w:val="231F20"/>
          <w:spacing w:val="-9"/>
        </w:rPr>
        <w:t xml:space="preserve"> </w:t>
      </w:r>
      <w:r>
        <w:rPr>
          <w:color w:val="231F20"/>
        </w:rPr>
        <w:t>Butler</w:t>
      </w:r>
      <w:r>
        <w:rPr>
          <w:color w:val="231F20"/>
          <w:spacing w:val="-9"/>
        </w:rPr>
        <w:t xml:space="preserve"> </w:t>
      </w:r>
      <w:r>
        <w:rPr>
          <w:color w:val="231F20"/>
        </w:rPr>
        <w:t>(1994:</w:t>
      </w:r>
      <w:r>
        <w:rPr>
          <w:color w:val="231F20"/>
          <w:spacing w:val="-9"/>
        </w:rPr>
        <w:t xml:space="preserve"> </w:t>
      </w:r>
      <w:r>
        <w:rPr>
          <w:color w:val="231F20"/>
        </w:rPr>
        <w:t>335)</w:t>
      </w:r>
      <w:r>
        <w:rPr>
          <w:color w:val="231F20"/>
          <w:spacing w:val="-9"/>
        </w:rPr>
        <w:t xml:space="preserve"> </w:t>
      </w:r>
      <w:r>
        <w:rPr>
          <w:color w:val="231F20"/>
        </w:rPr>
        <w:t>suggests</w:t>
      </w:r>
      <w:r>
        <w:rPr>
          <w:color w:val="231F20"/>
          <w:spacing w:val="-9"/>
        </w:rPr>
        <w:t xml:space="preserve"> </w:t>
      </w:r>
      <w:r>
        <w:rPr>
          <w:color w:val="231F20"/>
        </w:rPr>
        <w:t>that ‘…while</w:t>
      </w:r>
      <w:r>
        <w:rPr>
          <w:color w:val="231F20"/>
          <w:spacing w:val="-11"/>
        </w:rPr>
        <w:t xml:space="preserve"> </w:t>
      </w:r>
      <w:r>
        <w:rPr>
          <w:color w:val="231F20"/>
        </w:rPr>
        <w:t>areas</w:t>
      </w:r>
      <w:r>
        <w:rPr>
          <w:color w:val="231F20"/>
          <w:spacing w:val="-11"/>
        </w:rPr>
        <w:t xml:space="preserve"> </w:t>
      </w:r>
      <w:r>
        <w:rPr>
          <w:color w:val="231F20"/>
        </w:rPr>
        <w:t>may</w:t>
      </w:r>
      <w:r>
        <w:rPr>
          <w:color w:val="231F20"/>
          <w:spacing w:val="-11"/>
        </w:rPr>
        <w:t xml:space="preserve"> </w:t>
      </w:r>
      <w:r>
        <w:rPr>
          <w:color w:val="231F20"/>
        </w:rPr>
        <w:t>experience</w:t>
      </w:r>
      <w:r>
        <w:rPr>
          <w:color w:val="231F20"/>
          <w:spacing w:val="-11"/>
        </w:rPr>
        <w:t xml:space="preserve"> </w:t>
      </w:r>
      <w:r>
        <w:rPr>
          <w:color w:val="231F20"/>
        </w:rPr>
        <w:t>very</w:t>
      </w:r>
      <w:r>
        <w:rPr>
          <w:color w:val="231F20"/>
          <w:spacing w:val="-11"/>
        </w:rPr>
        <w:t xml:space="preserve"> </w:t>
      </w:r>
      <w:r>
        <w:rPr>
          <w:color w:val="231F20"/>
        </w:rPr>
        <w:t>heavy</w:t>
      </w:r>
      <w:r>
        <w:rPr>
          <w:color w:val="231F20"/>
          <w:spacing w:val="-11"/>
        </w:rPr>
        <w:t xml:space="preserve"> </w:t>
      </w:r>
      <w:r>
        <w:rPr>
          <w:color w:val="231F20"/>
        </w:rPr>
        <w:t>use</w:t>
      </w:r>
      <w:r>
        <w:rPr>
          <w:color w:val="231F20"/>
          <w:spacing w:val="-11"/>
        </w:rPr>
        <w:t xml:space="preserve"> </w:t>
      </w:r>
      <w:r>
        <w:rPr>
          <w:color w:val="231F20"/>
        </w:rPr>
        <w:t>during</w:t>
      </w:r>
      <w:r>
        <w:rPr>
          <w:color w:val="231F20"/>
          <w:spacing w:val="-11"/>
        </w:rPr>
        <w:t xml:space="preserve"> </w:t>
      </w:r>
      <w:r>
        <w:rPr>
          <w:color w:val="231F20"/>
        </w:rPr>
        <w:t>peak</w:t>
      </w:r>
      <w:r>
        <w:rPr>
          <w:color w:val="231F20"/>
          <w:spacing w:val="-11"/>
        </w:rPr>
        <w:t xml:space="preserve"> </w:t>
      </w:r>
      <w:r>
        <w:rPr>
          <w:color w:val="231F20"/>
        </w:rPr>
        <w:t>seasons,</w:t>
      </w:r>
      <w:r>
        <w:rPr>
          <w:color w:val="231F20"/>
          <w:spacing w:val="-11"/>
        </w:rPr>
        <w:t xml:space="preserve"> </w:t>
      </w:r>
      <w:r>
        <w:rPr>
          <w:color w:val="231F20"/>
        </w:rPr>
        <w:t>in</w:t>
      </w:r>
      <w:r>
        <w:rPr>
          <w:color w:val="231F20"/>
          <w:spacing w:val="-11"/>
        </w:rPr>
        <w:t xml:space="preserve"> </w:t>
      </w:r>
      <w:r>
        <w:rPr>
          <w:color w:val="231F20"/>
        </w:rPr>
        <w:t xml:space="preserve">the </w:t>
      </w:r>
      <w:r>
        <w:rPr>
          <w:color w:val="231F20"/>
          <w:w w:val="95"/>
        </w:rPr>
        <w:t>long</w:t>
      </w:r>
      <w:r>
        <w:rPr>
          <w:color w:val="231F20"/>
          <w:spacing w:val="-9"/>
          <w:w w:val="95"/>
        </w:rPr>
        <w:t xml:space="preserve"> </w:t>
      </w:r>
      <w:r>
        <w:rPr>
          <w:color w:val="231F20"/>
          <w:w w:val="95"/>
        </w:rPr>
        <w:t>run</w:t>
      </w:r>
      <w:r>
        <w:rPr>
          <w:color w:val="231F20"/>
          <w:spacing w:val="-9"/>
          <w:w w:val="95"/>
        </w:rPr>
        <w:t xml:space="preserve"> </w:t>
      </w:r>
      <w:r>
        <w:rPr>
          <w:color w:val="231F20"/>
          <w:w w:val="95"/>
        </w:rPr>
        <w:t>they</w:t>
      </w:r>
      <w:r>
        <w:rPr>
          <w:color w:val="231F20"/>
          <w:spacing w:val="-9"/>
          <w:w w:val="95"/>
        </w:rPr>
        <w:t xml:space="preserve"> </w:t>
      </w:r>
      <w:r>
        <w:rPr>
          <w:color w:val="231F20"/>
          <w:w w:val="95"/>
        </w:rPr>
        <w:t>may</w:t>
      </w:r>
      <w:r>
        <w:rPr>
          <w:color w:val="231F20"/>
          <w:spacing w:val="-9"/>
          <w:w w:val="95"/>
        </w:rPr>
        <w:t xml:space="preserve"> </w:t>
      </w:r>
      <w:r>
        <w:rPr>
          <w:color w:val="231F20"/>
          <w:w w:val="95"/>
        </w:rPr>
        <w:t>well</w:t>
      </w:r>
      <w:r>
        <w:rPr>
          <w:color w:val="231F20"/>
          <w:spacing w:val="-9"/>
          <w:w w:val="95"/>
        </w:rPr>
        <w:t xml:space="preserve"> </w:t>
      </w:r>
      <w:r>
        <w:rPr>
          <w:color w:val="231F20"/>
          <w:w w:val="95"/>
        </w:rPr>
        <w:t>be</w:t>
      </w:r>
      <w:r>
        <w:rPr>
          <w:color w:val="231F20"/>
          <w:spacing w:val="-9"/>
          <w:w w:val="95"/>
        </w:rPr>
        <w:t xml:space="preserve"> </w:t>
      </w:r>
      <w:r>
        <w:rPr>
          <w:color w:val="231F20"/>
          <w:w w:val="95"/>
        </w:rPr>
        <w:t>better</w:t>
      </w:r>
      <w:r>
        <w:rPr>
          <w:color w:val="231F20"/>
          <w:spacing w:val="-9"/>
          <w:w w:val="95"/>
        </w:rPr>
        <w:t xml:space="preserve"> </w:t>
      </w:r>
      <w:r>
        <w:rPr>
          <w:color w:val="231F20"/>
          <w:w w:val="95"/>
        </w:rPr>
        <w:t>off</w:t>
      </w:r>
      <w:r>
        <w:rPr>
          <w:color w:val="231F20"/>
          <w:spacing w:val="2"/>
        </w:rPr>
        <w:t xml:space="preserve"> </w:t>
      </w:r>
      <w:r>
        <w:rPr>
          <w:color w:val="231F20"/>
          <w:w w:val="95"/>
        </w:rPr>
        <w:t>than</w:t>
      </w:r>
      <w:r>
        <w:rPr>
          <w:color w:val="231F20"/>
          <w:spacing w:val="-9"/>
          <w:w w:val="95"/>
        </w:rPr>
        <w:t xml:space="preserve"> </w:t>
      </w:r>
      <w:r>
        <w:rPr>
          <w:color w:val="231F20"/>
          <w:w w:val="95"/>
        </w:rPr>
        <w:t>having</w:t>
      </w:r>
      <w:r>
        <w:rPr>
          <w:color w:val="231F20"/>
          <w:spacing w:val="-9"/>
          <w:w w:val="95"/>
        </w:rPr>
        <w:t xml:space="preserve"> </w:t>
      </w:r>
      <w:r>
        <w:rPr>
          <w:color w:val="231F20"/>
          <w:w w:val="95"/>
        </w:rPr>
        <w:t>that</w:t>
      </w:r>
      <w:r>
        <w:rPr>
          <w:color w:val="231F20"/>
          <w:spacing w:val="-9"/>
          <w:w w:val="95"/>
        </w:rPr>
        <w:t xml:space="preserve"> </w:t>
      </w:r>
      <w:r>
        <w:rPr>
          <w:color w:val="231F20"/>
          <w:w w:val="95"/>
        </w:rPr>
        <w:t>use</w:t>
      </w:r>
      <w:r>
        <w:rPr>
          <w:color w:val="231F20"/>
          <w:spacing w:val="-9"/>
          <w:w w:val="95"/>
        </w:rPr>
        <w:t xml:space="preserve"> </w:t>
      </w:r>
      <w:r>
        <w:rPr>
          <w:color w:val="231F20"/>
          <w:w w:val="95"/>
        </w:rPr>
        <w:t>spread</w:t>
      </w:r>
      <w:r>
        <w:rPr>
          <w:color w:val="231F20"/>
          <w:spacing w:val="-9"/>
          <w:w w:val="95"/>
        </w:rPr>
        <w:t xml:space="preserve"> </w:t>
      </w:r>
      <w:r>
        <w:rPr>
          <w:color w:val="231F20"/>
          <w:w w:val="95"/>
        </w:rPr>
        <w:t>more</w:t>
      </w:r>
      <w:r>
        <w:rPr>
          <w:color w:val="231F20"/>
          <w:spacing w:val="-9"/>
          <w:w w:val="95"/>
        </w:rPr>
        <w:t xml:space="preserve"> </w:t>
      </w:r>
      <w:r>
        <w:rPr>
          <w:color w:val="231F20"/>
          <w:w w:val="95"/>
        </w:rPr>
        <w:t xml:space="preserve">evenly </w:t>
      </w:r>
      <w:r>
        <w:rPr>
          <w:color w:val="231F20"/>
        </w:rPr>
        <w:t>throughout</w:t>
      </w:r>
      <w:r>
        <w:rPr>
          <w:color w:val="231F20"/>
          <w:spacing w:val="-6"/>
        </w:rPr>
        <w:t xml:space="preserve"> </w:t>
      </w:r>
      <w:r>
        <w:rPr>
          <w:color w:val="231F20"/>
        </w:rPr>
        <w:t>the</w:t>
      </w:r>
      <w:r>
        <w:rPr>
          <w:color w:val="231F20"/>
          <w:spacing w:val="-6"/>
        </w:rPr>
        <w:t xml:space="preserve"> </w:t>
      </w:r>
      <w:r>
        <w:rPr>
          <w:color w:val="231F20"/>
        </w:rPr>
        <w:t>year’.</w:t>
      </w:r>
      <w:r>
        <w:rPr>
          <w:color w:val="231F20"/>
          <w:spacing w:val="-6"/>
        </w:rPr>
        <w:t xml:space="preserve"> </w:t>
      </w:r>
      <w:r>
        <w:rPr>
          <w:color w:val="231F20"/>
        </w:rPr>
        <w:t>In</w:t>
      </w:r>
      <w:r>
        <w:rPr>
          <w:color w:val="231F20"/>
          <w:spacing w:val="-6"/>
        </w:rPr>
        <w:t xml:space="preserve"> </w:t>
      </w:r>
      <w:r>
        <w:rPr>
          <w:color w:val="231F20"/>
        </w:rPr>
        <w:t>fact,</w:t>
      </w:r>
      <w:r>
        <w:rPr>
          <w:color w:val="231F20"/>
          <w:spacing w:val="-6"/>
        </w:rPr>
        <w:t xml:space="preserve"> </w:t>
      </w:r>
      <w:r>
        <w:rPr>
          <w:color w:val="231F20"/>
        </w:rPr>
        <w:t>the</w:t>
      </w:r>
      <w:r>
        <w:rPr>
          <w:color w:val="231F20"/>
          <w:spacing w:val="-6"/>
        </w:rPr>
        <w:t xml:space="preserve"> </w:t>
      </w:r>
      <w:r>
        <w:rPr>
          <w:color w:val="231F20"/>
        </w:rPr>
        <w:t>off-season</w:t>
      </w:r>
      <w:r>
        <w:rPr>
          <w:color w:val="231F20"/>
          <w:spacing w:val="-6"/>
        </w:rPr>
        <w:t xml:space="preserve"> </w:t>
      </w:r>
      <w:r>
        <w:rPr>
          <w:color w:val="231F20"/>
        </w:rPr>
        <w:t>has</w:t>
      </w:r>
      <w:r>
        <w:rPr>
          <w:color w:val="231F20"/>
          <w:spacing w:val="-6"/>
        </w:rPr>
        <w:t xml:space="preserve"> </w:t>
      </w:r>
      <w:r>
        <w:rPr>
          <w:color w:val="231F20"/>
        </w:rPr>
        <w:t>been</w:t>
      </w:r>
      <w:r>
        <w:rPr>
          <w:color w:val="231F20"/>
          <w:spacing w:val="-6"/>
        </w:rPr>
        <w:t xml:space="preserve"> </w:t>
      </w:r>
      <w:r>
        <w:rPr>
          <w:color w:val="231F20"/>
        </w:rPr>
        <w:t>described</w:t>
      </w:r>
      <w:r>
        <w:rPr>
          <w:color w:val="231F20"/>
          <w:spacing w:val="-6"/>
        </w:rPr>
        <w:t xml:space="preserve"> </w:t>
      </w:r>
      <w:r>
        <w:rPr>
          <w:color w:val="231F20"/>
        </w:rPr>
        <w:t>as</w:t>
      </w:r>
      <w:r>
        <w:rPr>
          <w:color w:val="231F20"/>
          <w:spacing w:val="-6"/>
        </w:rPr>
        <w:t xml:space="preserve"> </w:t>
      </w:r>
      <w:r>
        <w:rPr>
          <w:color w:val="231F20"/>
        </w:rPr>
        <w:t>having a ‘fallow effect’ in that it offers the destination a period of recuperation (Baum &amp; Hagen, 1999; see also Koenig-Lewis &amp; Bischoff, 2005).</w:t>
      </w:r>
    </w:p>
    <w:p w14:paraId="6C138300" w14:textId="77777777" w:rsidR="00AE0598" w:rsidRDefault="00AE0598">
      <w:pPr>
        <w:pStyle w:val="Corpodetexto"/>
        <w:spacing w:before="6"/>
        <w:rPr>
          <w:sz w:val="25"/>
        </w:rPr>
      </w:pPr>
    </w:p>
    <w:p w14:paraId="4395884B" w14:textId="77777777" w:rsidR="00AE0598" w:rsidRDefault="0069255A">
      <w:pPr>
        <w:ind w:left="110"/>
        <w:jc w:val="both"/>
        <w:rPr>
          <w:rFonts w:ascii="Trebuchet MS"/>
          <w:b/>
          <w:sz w:val="20"/>
        </w:rPr>
      </w:pPr>
      <w:r>
        <w:rPr>
          <w:rFonts w:ascii="Trebuchet MS"/>
          <w:b/>
          <w:color w:val="231F20"/>
          <w:sz w:val="20"/>
        </w:rPr>
        <w:t>Seasonal</w:t>
      </w:r>
      <w:r>
        <w:rPr>
          <w:rFonts w:ascii="Trebuchet MS"/>
          <w:b/>
          <w:color w:val="231F20"/>
          <w:spacing w:val="-4"/>
          <w:sz w:val="20"/>
        </w:rPr>
        <w:t xml:space="preserve"> </w:t>
      </w:r>
      <w:r>
        <w:rPr>
          <w:rFonts w:ascii="Trebuchet MS"/>
          <w:b/>
          <w:color w:val="231F20"/>
          <w:sz w:val="20"/>
        </w:rPr>
        <w:t>Patterns,</w:t>
      </w:r>
      <w:r>
        <w:rPr>
          <w:rFonts w:ascii="Trebuchet MS"/>
          <w:b/>
          <w:color w:val="231F20"/>
          <w:spacing w:val="-3"/>
          <w:sz w:val="20"/>
        </w:rPr>
        <w:t xml:space="preserve"> </w:t>
      </w:r>
      <w:r>
        <w:rPr>
          <w:rFonts w:ascii="Trebuchet MS"/>
          <w:b/>
          <w:color w:val="231F20"/>
          <w:sz w:val="20"/>
        </w:rPr>
        <w:t>Trends</w:t>
      </w:r>
      <w:r>
        <w:rPr>
          <w:rFonts w:ascii="Trebuchet MS"/>
          <w:b/>
          <w:color w:val="231F20"/>
          <w:spacing w:val="-3"/>
          <w:sz w:val="20"/>
        </w:rPr>
        <w:t xml:space="preserve"> </w:t>
      </w:r>
      <w:r>
        <w:rPr>
          <w:rFonts w:ascii="Trebuchet MS"/>
          <w:b/>
          <w:color w:val="231F20"/>
          <w:sz w:val="20"/>
        </w:rPr>
        <w:t>and</w:t>
      </w:r>
      <w:r>
        <w:rPr>
          <w:rFonts w:ascii="Trebuchet MS"/>
          <w:b/>
          <w:color w:val="231F20"/>
          <w:spacing w:val="-3"/>
          <w:sz w:val="20"/>
        </w:rPr>
        <w:t xml:space="preserve"> </w:t>
      </w:r>
      <w:r>
        <w:rPr>
          <w:rFonts w:ascii="Trebuchet MS"/>
          <w:b/>
          <w:color w:val="231F20"/>
          <w:sz w:val="20"/>
        </w:rPr>
        <w:t>Issues</w:t>
      </w:r>
      <w:r>
        <w:rPr>
          <w:rFonts w:ascii="Trebuchet MS"/>
          <w:b/>
          <w:color w:val="231F20"/>
          <w:spacing w:val="-4"/>
          <w:sz w:val="20"/>
        </w:rPr>
        <w:t xml:space="preserve"> </w:t>
      </w:r>
      <w:r>
        <w:rPr>
          <w:rFonts w:ascii="Trebuchet MS"/>
          <w:b/>
          <w:color w:val="231F20"/>
          <w:sz w:val="20"/>
        </w:rPr>
        <w:t>in</w:t>
      </w:r>
      <w:r>
        <w:rPr>
          <w:rFonts w:ascii="Trebuchet MS"/>
          <w:b/>
          <w:color w:val="231F20"/>
          <w:spacing w:val="-3"/>
          <w:sz w:val="20"/>
        </w:rPr>
        <w:t xml:space="preserve"> </w:t>
      </w:r>
      <w:r>
        <w:rPr>
          <w:rFonts w:ascii="Trebuchet MS"/>
          <w:b/>
          <w:color w:val="231F20"/>
          <w:spacing w:val="-4"/>
          <w:sz w:val="20"/>
        </w:rPr>
        <w:t>S</w:t>
      </w:r>
      <w:r>
        <w:rPr>
          <w:rFonts w:ascii="Trebuchet MS"/>
          <w:b/>
          <w:color w:val="231F20"/>
          <w:spacing w:val="-4"/>
          <w:sz w:val="20"/>
        </w:rPr>
        <w:t>port</w:t>
      </w:r>
    </w:p>
    <w:p w14:paraId="5A9A714C" w14:textId="77777777" w:rsidR="00AE0598" w:rsidRDefault="0069255A">
      <w:pPr>
        <w:pStyle w:val="Corpodetexto"/>
        <w:spacing w:before="122" w:line="232" w:lineRule="auto"/>
        <w:ind w:left="110" w:right="127" w:firstLine="320"/>
        <w:jc w:val="both"/>
      </w:pPr>
      <w:r>
        <w:rPr>
          <w:color w:val="231F20"/>
          <w:w w:val="95"/>
        </w:rPr>
        <w:t xml:space="preserve">Typically, team-based sporting seasons begin with training camps and </w:t>
      </w:r>
      <w:r>
        <w:rPr>
          <w:color w:val="231F20"/>
        </w:rPr>
        <w:t>exhibition games followed by a regular season of league competitions, and</w:t>
      </w:r>
      <w:r>
        <w:rPr>
          <w:color w:val="231F20"/>
          <w:spacing w:val="-9"/>
        </w:rPr>
        <w:t xml:space="preserve"> </w:t>
      </w:r>
      <w:r>
        <w:rPr>
          <w:color w:val="231F20"/>
        </w:rPr>
        <w:t>ending</w:t>
      </w:r>
      <w:r>
        <w:rPr>
          <w:color w:val="231F20"/>
          <w:spacing w:val="-9"/>
        </w:rPr>
        <w:t xml:space="preserve"> </w:t>
      </w:r>
      <w:r>
        <w:rPr>
          <w:color w:val="231F20"/>
        </w:rPr>
        <w:t>with</w:t>
      </w:r>
      <w:r>
        <w:rPr>
          <w:color w:val="231F20"/>
          <w:spacing w:val="-9"/>
        </w:rPr>
        <w:t xml:space="preserve"> </w:t>
      </w:r>
      <w:r>
        <w:rPr>
          <w:color w:val="231F20"/>
        </w:rPr>
        <w:t>playoffs</w:t>
      </w:r>
      <w:r>
        <w:rPr>
          <w:color w:val="231F20"/>
          <w:spacing w:val="-9"/>
        </w:rPr>
        <w:t xml:space="preserve"> </w:t>
      </w:r>
      <w:r>
        <w:rPr>
          <w:color w:val="231F20"/>
        </w:rPr>
        <w:t>that</w:t>
      </w:r>
      <w:r>
        <w:rPr>
          <w:color w:val="231F20"/>
          <w:spacing w:val="-9"/>
        </w:rPr>
        <w:t xml:space="preserve"> </w:t>
      </w:r>
      <w:r>
        <w:rPr>
          <w:color w:val="231F20"/>
        </w:rPr>
        <w:t>determine</w:t>
      </w:r>
      <w:r>
        <w:rPr>
          <w:color w:val="231F20"/>
          <w:spacing w:val="-9"/>
        </w:rPr>
        <w:t xml:space="preserve"> </w:t>
      </w:r>
      <w:r>
        <w:rPr>
          <w:color w:val="231F20"/>
        </w:rPr>
        <w:t>the</w:t>
      </w:r>
      <w:r>
        <w:rPr>
          <w:color w:val="231F20"/>
          <w:spacing w:val="-9"/>
        </w:rPr>
        <w:t xml:space="preserve"> </w:t>
      </w:r>
      <w:r>
        <w:rPr>
          <w:color w:val="231F20"/>
        </w:rPr>
        <w:t>champion</w:t>
      </w:r>
      <w:r>
        <w:rPr>
          <w:color w:val="231F20"/>
          <w:spacing w:val="-9"/>
        </w:rPr>
        <w:t xml:space="preserve"> </w:t>
      </w:r>
      <w:r>
        <w:rPr>
          <w:color w:val="231F20"/>
        </w:rPr>
        <w:t>for</w:t>
      </w:r>
      <w:r>
        <w:rPr>
          <w:color w:val="231F20"/>
          <w:spacing w:val="-9"/>
        </w:rPr>
        <w:t xml:space="preserve"> </w:t>
      </w:r>
      <w:r>
        <w:rPr>
          <w:color w:val="231F20"/>
        </w:rPr>
        <w:t>that</w:t>
      </w:r>
      <w:r>
        <w:rPr>
          <w:color w:val="231F20"/>
          <w:spacing w:val="-9"/>
        </w:rPr>
        <w:t xml:space="preserve"> </w:t>
      </w:r>
      <w:r>
        <w:rPr>
          <w:color w:val="231F20"/>
        </w:rPr>
        <w:t xml:space="preserve">particular year. While these patterns vary by sport, level of competition and other factors such as location, one of the most significant changes to sport seasonality over the past 30 years has been the expansion of traditional </w:t>
      </w:r>
      <w:r>
        <w:rPr>
          <w:color w:val="231F20"/>
          <w:w w:val="95"/>
        </w:rPr>
        <w:t>competition seasons. The rea</w:t>
      </w:r>
      <w:r>
        <w:rPr>
          <w:color w:val="231F20"/>
          <w:w w:val="95"/>
        </w:rPr>
        <w:t xml:space="preserve">sons for this expansion include an assortment of technological innovations, changing social conditions and general forces </w:t>
      </w:r>
      <w:r>
        <w:rPr>
          <w:color w:val="231F20"/>
        </w:rPr>
        <w:t>of globalisation, and the professionalisation of many sports at the elite level</w:t>
      </w:r>
      <w:r>
        <w:rPr>
          <w:color w:val="231F20"/>
          <w:spacing w:val="-9"/>
        </w:rPr>
        <w:t xml:space="preserve"> </w:t>
      </w:r>
      <w:r>
        <w:rPr>
          <w:color w:val="231F20"/>
        </w:rPr>
        <w:t>of</w:t>
      </w:r>
      <w:r>
        <w:rPr>
          <w:color w:val="231F20"/>
          <w:spacing w:val="-9"/>
        </w:rPr>
        <w:t xml:space="preserve"> </w:t>
      </w:r>
      <w:r>
        <w:rPr>
          <w:color w:val="231F20"/>
        </w:rPr>
        <w:t>competition.</w:t>
      </w:r>
      <w:r>
        <w:rPr>
          <w:color w:val="231F20"/>
          <w:spacing w:val="-9"/>
        </w:rPr>
        <w:t xml:space="preserve"> </w:t>
      </w:r>
      <w:r>
        <w:rPr>
          <w:color w:val="231F20"/>
        </w:rPr>
        <w:t>In</w:t>
      </w:r>
      <w:r>
        <w:rPr>
          <w:color w:val="231F20"/>
          <w:spacing w:val="-9"/>
        </w:rPr>
        <w:t xml:space="preserve"> </w:t>
      </w:r>
      <w:r>
        <w:rPr>
          <w:color w:val="231F20"/>
        </w:rPr>
        <w:t>conjunction</w:t>
      </w:r>
      <w:r>
        <w:rPr>
          <w:color w:val="231F20"/>
          <w:spacing w:val="-9"/>
        </w:rPr>
        <w:t xml:space="preserve"> </w:t>
      </w:r>
      <w:r>
        <w:rPr>
          <w:color w:val="231F20"/>
        </w:rPr>
        <w:t>with</w:t>
      </w:r>
      <w:r>
        <w:rPr>
          <w:color w:val="231F20"/>
          <w:spacing w:val="-9"/>
        </w:rPr>
        <w:t xml:space="preserve"> </w:t>
      </w:r>
      <w:r>
        <w:rPr>
          <w:color w:val="231F20"/>
        </w:rPr>
        <w:t>these</w:t>
      </w:r>
      <w:r>
        <w:rPr>
          <w:color w:val="231F20"/>
          <w:spacing w:val="-9"/>
        </w:rPr>
        <w:t xml:space="preserve"> </w:t>
      </w:r>
      <w:r>
        <w:rPr>
          <w:color w:val="231F20"/>
        </w:rPr>
        <w:t>factors,</w:t>
      </w:r>
      <w:r>
        <w:rPr>
          <w:color w:val="231F20"/>
          <w:spacing w:val="-9"/>
        </w:rPr>
        <w:t xml:space="preserve"> </w:t>
      </w:r>
      <w:r>
        <w:rPr>
          <w:color w:val="231F20"/>
        </w:rPr>
        <w:t>par</w:t>
      </w:r>
      <w:r>
        <w:rPr>
          <w:color w:val="231F20"/>
        </w:rPr>
        <w:t>tnerships</w:t>
      </w:r>
      <w:r>
        <w:rPr>
          <w:color w:val="231F20"/>
          <w:spacing w:val="-9"/>
        </w:rPr>
        <w:t xml:space="preserve"> </w:t>
      </w:r>
      <w:r>
        <w:rPr>
          <w:color w:val="231F20"/>
        </w:rPr>
        <w:t xml:space="preserve">with </w:t>
      </w:r>
      <w:r>
        <w:rPr>
          <w:color w:val="231F20"/>
          <w:w w:val="95"/>
        </w:rPr>
        <w:t xml:space="preserve">broadcast media and other corporate partners have generated pressures to increase the length of the competitive season as a strategy for maximising </w:t>
      </w:r>
      <w:r>
        <w:rPr>
          <w:color w:val="231F20"/>
        </w:rPr>
        <w:t>business profits (Sage, 2016). In many cases,</w:t>
      </w:r>
    </w:p>
    <w:p w14:paraId="71F95875" w14:textId="77777777" w:rsidR="00AE0598" w:rsidRDefault="00AE0598">
      <w:pPr>
        <w:pStyle w:val="Corpodetexto"/>
        <w:spacing w:before="1"/>
        <w:rPr>
          <w:sz w:val="22"/>
        </w:rPr>
      </w:pPr>
    </w:p>
    <w:p w14:paraId="05C37745" w14:textId="77777777" w:rsidR="00AE0598" w:rsidRDefault="0069255A">
      <w:pPr>
        <w:spacing w:line="244" w:lineRule="auto"/>
        <w:ind w:left="430" w:right="124"/>
        <w:jc w:val="both"/>
        <w:rPr>
          <w:sz w:val="20"/>
        </w:rPr>
      </w:pPr>
      <w:r>
        <w:rPr>
          <w:color w:val="231F20"/>
          <w:sz w:val="20"/>
        </w:rPr>
        <w:t>the restrictions of functioning within a tradi</w:t>
      </w:r>
      <w:r>
        <w:rPr>
          <w:color w:val="231F20"/>
          <w:sz w:val="20"/>
        </w:rPr>
        <w:t xml:space="preserve">tional sports season have… </w:t>
      </w:r>
      <w:r>
        <w:rPr>
          <w:color w:val="231F20"/>
          <w:w w:val="95"/>
          <w:sz w:val="20"/>
        </w:rPr>
        <w:t xml:space="preserve">been cast aside. The professional development of numerous sports, where teams compete virtually year round has, in those cases, largely eliminated </w:t>
      </w:r>
      <w:r>
        <w:rPr>
          <w:color w:val="231F20"/>
          <w:sz w:val="20"/>
        </w:rPr>
        <w:t>the notion of sport seasonality [in terms of inactivity or an absence of engagemen</w:t>
      </w:r>
      <w:r>
        <w:rPr>
          <w:color w:val="231F20"/>
          <w:sz w:val="20"/>
        </w:rPr>
        <w:t>t]. (Higham &amp; Hinch, 2002a: 183)</w:t>
      </w:r>
    </w:p>
    <w:p w14:paraId="36C341CC" w14:textId="77777777" w:rsidR="00AE0598" w:rsidRDefault="00AE0598">
      <w:pPr>
        <w:pStyle w:val="Corpodetexto"/>
        <w:spacing w:before="6"/>
        <w:rPr>
          <w:sz w:val="20"/>
        </w:rPr>
      </w:pPr>
    </w:p>
    <w:p w14:paraId="7BBFFDA2" w14:textId="77777777" w:rsidR="00AE0598" w:rsidRDefault="0069255A">
      <w:pPr>
        <w:pStyle w:val="Corpodetexto"/>
        <w:spacing w:line="232" w:lineRule="auto"/>
        <w:ind w:left="110" w:right="127" w:firstLine="320"/>
        <w:jc w:val="both"/>
      </w:pPr>
      <w:r>
        <w:rPr>
          <w:color w:val="231F20"/>
        </w:rPr>
        <w:t xml:space="preserve">European football is one of many examples that illustrate this trend. </w:t>
      </w:r>
      <w:r>
        <w:rPr>
          <w:color w:val="231F20"/>
          <w:w w:val="95"/>
        </w:rPr>
        <w:t xml:space="preserve">The professional football season in Europe has been transformed through </w:t>
      </w:r>
      <w:r>
        <w:rPr>
          <w:color w:val="231F20"/>
        </w:rPr>
        <w:t xml:space="preserve">the development of international league competitions, from a domestic </w:t>
      </w:r>
      <w:r>
        <w:rPr>
          <w:color w:val="231F20"/>
          <w:w w:val="95"/>
        </w:rPr>
        <w:t>winter</w:t>
      </w:r>
      <w:r>
        <w:rPr>
          <w:color w:val="231F20"/>
          <w:spacing w:val="16"/>
        </w:rPr>
        <w:t xml:space="preserve"> </w:t>
      </w:r>
      <w:r>
        <w:rPr>
          <w:color w:val="231F20"/>
          <w:w w:val="95"/>
        </w:rPr>
        <w:t>spo</w:t>
      </w:r>
      <w:r>
        <w:rPr>
          <w:color w:val="231F20"/>
          <w:w w:val="95"/>
        </w:rPr>
        <w:t>rt</w:t>
      </w:r>
      <w:r>
        <w:rPr>
          <w:color w:val="231F20"/>
          <w:spacing w:val="17"/>
        </w:rPr>
        <w:t xml:space="preserve"> </w:t>
      </w:r>
      <w:r>
        <w:rPr>
          <w:color w:val="231F20"/>
          <w:w w:val="95"/>
        </w:rPr>
        <w:t>into</w:t>
      </w:r>
      <w:r>
        <w:rPr>
          <w:color w:val="231F20"/>
          <w:spacing w:val="17"/>
        </w:rPr>
        <w:t xml:space="preserve"> </w:t>
      </w:r>
      <w:r>
        <w:rPr>
          <w:color w:val="231F20"/>
          <w:w w:val="95"/>
        </w:rPr>
        <w:t>an</w:t>
      </w:r>
      <w:r>
        <w:rPr>
          <w:color w:val="231F20"/>
          <w:spacing w:val="17"/>
        </w:rPr>
        <w:t xml:space="preserve"> </w:t>
      </w:r>
      <w:r>
        <w:rPr>
          <w:color w:val="231F20"/>
          <w:w w:val="95"/>
        </w:rPr>
        <w:t>international</w:t>
      </w:r>
      <w:r>
        <w:rPr>
          <w:color w:val="231F20"/>
          <w:spacing w:val="16"/>
        </w:rPr>
        <w:t xml:space="preserve"> </w:t>
      </w:r>
      <w:r>
        <w:rPr>
          <w:color w:val="231F20"/>
          <w:w w:val="95"/>
        </w:rPr>
        <w:t>club</w:t>
      </w:r>
      <w:r>
        <w:rPr>
          <w:color w:val="231F20"/>
          <w:spacing w:val="17"/>
        </w:rPr>
        <w:t xml:space="preserve"> </w:t>
      </w:r>
      <w:r>
        <w:rPr>
          <w:color w:val="231F20"/>
          <w:w w:val="95"/>
        </w:rPr>
        <w:t>sport</w:t>
      </w:r>
      <w:r>
        <w:rPr>
          <w:color w:val="231F20"/>
          <w:spacing w:val="17"/>
        </w:rPr>
        <w:t xml:space="preserve"> </w:t>
      </w:r>
      <w:r>
        <w:rPr>
          <w:color w:val="231F20"/>
          <w:w w:val="95"/>
        </w:rPr>
        <w:t>that</w:t>
      </w:r>
      <w:r>
        <w:rPr>
          <w:color w:val="231F20"/>
          <w:spacing w:val="17"/>
        </w:rPr>
        <w:t xml:space="preserve"> </w:t>
      </w:r>
      <w:r>
        <w:rPr>
          <w:color w:val="231F20"/>
          <w:w w:val="95"/>
        </w:rPr>
        <w:t>takes</w:t>
      </w:r>
      <w:r>
        <w:rPr>
          <w:color w:val="231F20"/>
          <w:spacing w:val="17"/>
        </w:rPr>
        <w:t xml:space="preserve"> </w:t>
      </w:r>
      <w:r>
        <w:rPr>
          <w:color w:val="231F20"/>
          <w:w w:val="95"/>
        </w:rPr>
        <w:t>place</w:t>
      </w:r>
      <w:r>
        <w:rPr>
          <w:color w:val="231F20"/>
          <w:spacing w:val="16"/>
        </w:rPr>
        <w:t xml:space="preserve"> </w:t>
      </w:r>
      <w:r>
        <w:rPr>
          <w:color w:val="231F20"/>
          <w:w w:val="95"/>
        </w:rPr>
        <w:t>across</w:t>
      </w:r>
      <w:r>
        <w:rPr>
          <w:color w:val="231F20"/>
          <w:spacing w:val="17"/>
        </w:rPr>
        <w:t xml:space="preserve"> </w:t>
      </w:r>
      <w:r>
        <w:rPr>
          <w:color w:val="231F20"/>
          <w:spacing w:val="-4"/>
          <w:w w:val="95"/>
        </w:rPr>
        <w:t>most</w:t>
      </w:r>
    </w:p>
    <w:p w14:paraId="0F72177B" w14:textId="77777777" w:rsidR="00AE0598" w:rsidRDefault="00AE0598">
      <w:pPr>
        <w:spacing w:line="232" w:lineRule="auto"/>
        <w:jc w:val="both"/>
        <w:sectPr w:rsidR="00AE0598">
          <w:pgSz w:w="8850" w:h="13270"/>
          <w:pgMar w:top="720" w:right="1060" w:bottom="280" w:left="1080" w:header="720" w:footer="720" w:gutter="0"/>
          <w:cols w:space="720"/>
        </w:sectPr>
      </w:pPr>
    </w:p>
    <w:p w14:paraId="26FB8541" w14:textId="77777777" w:rsidR="00AE0598" w:rsidRDefault="0069255A">
      <w:pPr>
        <w:spacing w:before="87"/>
        <w:ind w:left="108"/>
        <w:rPr>
          <w:rFonts w:ascii="Trebuchet MS"/>
          <w:sz w:val="14"/>
        </w:rPr>
      </w:pPr>
      <w:r>
        <w:rPr>
          <w:rFonts w:ascii="Trebuchet MS"/>
          <w:color w:val="231F20"/>
          <w:w w:val="105"/>
          <w:sz w:val="14"/>
        </w:rPr>
        <w:lastRenderedPageBreak/>
        <w:t>182</w:t>
      </w:r>
      <w:r>
        <w:rPr>
          <w:rFonts w:ascii="Trebuchet MS"/>
          <w:color w:val="231F20"/>
          <w:spacing w:val="66"/>
          <w:w w:val="150"/>
          <w:sz w:val="14"/>
        </w:rPr>
        <w:t xml:space="preserve"> </w:t>
      </w:r>
      <w:r>
        <w:rPr>
          <w:rFonts w:ascii="Trebuchet MS"/>
          <w:color w:val="231F20"/>
          <w:w w:val="105"/>
          <w:sz w:val="14"/>
        </w:rPr>
        <w:t>Part</w:t>
      </w:r>
      <w:r>
        <w:rPr>
          <w:rFonts w:ascii="Trebuchet MS"/>
          <w:color w:val="231F20"/>
          <w:spacing w:val="-9"/>
          <w:w w:val="105"/>
          <w:sz w:val="14"/>
        </w:rPr>
        <w:t xml:space="preserve"> </w:t>
      </w:r>
      <w:r>
        <w:rPr>
          <w:rFonts w:ascii="Trebuchet MS"/>
          <w:color w:val="231F20"/>
          <w:w w:val="105"/>
          <w:sz w:val="14"/>
        </w:rPr>
        <w:t>4:</w:t>
      </w:r>
      <w:r>
        <w:rPr>
          <w:rFonts w:ascii="Trebuchet MS"/>
          <w:color w:val="231F20"/>
          <w:spacing w:val="-8"/>
          <w:w w:val="105"/>
          <w:sz w:val="14"/>
        </w:rPr>
        <w:t xml:space="preserve"> </w:t>
      </w:r>
      <w:r>
        <w:rPr>
          <w:rFonts w:ascii="Trebuchet MS"/>
          <w:color w:val="231F20"/>
          <w:w w:val="105"/>
          <w:sz w:val="14"/>
        </w:rPr>
        <w:t>Sport</w:t>
      </w:r>
      <w:r>
        <w:rPr>
          <w:rFonts w:ascii="Trebuchet MS"/>
          <w:color w:val="231F20"/>
          <w:spacing w:val="-9"/>
          <w:w w:val="105"/>
          <w:sz w:val="14"/>
        </w:rPr>
        <w:t xml:space="preserve"> </w:t>
      </w:r>
      <w:r>
        <w:rPr>
          <w:rFonts w:ascii="Trebuchet MS"/>
          <w:color w:val="231F20"/>
          <w:w w:val="105"/>
          <w:sz w:val="14"/>
        </w:rPr>
        <w:t>Tourism</w:t>
      </w:r>
      <w:r>
        <w:rPr>
          <w:rFonts w:ascii="Trebuchet MS"/>
          <w:color w:val="231F20"/>
          <w:spacing w:val="-9"/>
          <w:w w:val="105"/>
          <w:sz w:val="14"/>
        </w:rPr>
        <w:t xml:space="preserve"> </w:t>
      </w:r>
      <w:r>
        <w:rPr>
          <w:rFonts w:ascii="Trebuchet MS"/>
          <w:color w:val="231F20"/>
          <w:w w:val="105"/>
          <w:sz w:val="14"/>
        </w:rPr>
        <w:t>Development</w:t>
      </w:r>
      <w:r>
        <w:rPr>
          <w:rFonts w:ascii="Trebuchet MS"/>
          <w:color w:val="231F20"/>
          <w:spacing w:val="-9"/>
          <w:w w:val="105"/>
          <w:sz w:val="14"/>
        </w:rPr>
        <w:t xml:space="preserve"> </w:t>
      </w:r>
      <w:r>
        <w:rPr>
          <w:rFonts w:ascii="Trebuchet MS"/>
          <w:color w:val="231F20"/>
          <w:w w:val="105"/>
          <w:sz w:val="14"/>
        </w:rPr>
        <w:t>and</w:t>
      </w:r>
      <w:r>
        <w:rPr>
          <w:rFonts w:ascii="Trebuchet MS"/>
          <w:color w:val="231F20"/>
          <w:spacing w:val="-8"/>
          <w:w w:val="105"/>
          <w:sz w:val="14"/>
        </w:rPr>
        <w:t xml:space="preserve"> </w:t>
      </w:r>
      <w:r>
        <w:rPr>
          <w:rFonts w:ascii="Trebuchet MS"/>
          <w:color w:val="231F20"/>
          <w:spacing w:val="-4"/>
          <w:w w:val="105"/>
          <w:sz w:val="14"/>
        </w:rPr>
        <w:t>Time</w:t>
      </w:r>
    </w:p>
    <w:p w14:paraId="1A33D19A" w14:textId="77777777" w:rsidR="00AE0598" w:rsidRDefault="00AE0598">
      <w:pPr>
        <w:pStyle w:val="Corpodetexto"/>
        <w:rPr>
          <w:rFonts w:ascii="Trebuchet MS"/>
          <w:sz w:val="16"/>
        </w:rPr>
      </w:pPr>
    </w:p>
    <w:p w14:paraId="50FCC342" w14:textId="77777777" w:rsidR="00AE0598" w:rsidRDefault="0069255A">
      <w:pPr>
        <w:pStyle w:val="Corpodetexto"/>
        <w:spacing w:before="118" w:line="232" w:lineRule="auto"/>
        <w:ind w:left="110" w:right="127"/>
        <w:jc w:val="both"/>
      </w:pPr>
      <w:r>
        <w:rPr>
          <w:color w:val="231F20"/>
          <w:w w:val="95"/>
        </w:rPr>
        <w:t xml:space="preserve">of the calendar year. Other examples exist where sport seasons have been </w:t>
      </w:r>
      <w:r>
        <w:rPr>
          <w:color w:val="231F20"/>
        </w:rPr>
        <w:t xml:space="preserve">altered to revolve around the summer rather than the winter months. The Norwegian Football League, which takes place in summer to exploit </w:t>
      </w:r>
      <w:r>
        <w:rPr>
          <w:color w:val="231F20"/>
          <w:w w:val="95"/>
        </w:rPr>
        <w:t xml:space="preserve">favourable playing and spectator conditions, </w:t>
      </w:r>
      <w:r>
        <w:rPr>
          <w:color w:val="231F20"/>
          <w:w w:val="95"/>
        </w:rPr>
        <w:t xml:space="preserve">is one example. Similarly, the </w:t>
      </w:r>
      <w:r>
        <w:rPr>
          <w:color w:val="231F20"/>
        </w:rPr>
        <w:t>development</w:t>
      </w:r>
      <w:r>
        <w:rPr>
          <w:color w:val="231F20"/>
          <w:spacing w:val="-4"/>
        </w:rPr>
        <w:t xml:space="preserve"> </w:t>
      </w:r>
      <w:r>
        <w:rPr>
          <w:color w:val="231F20"/>
        </w:rPr>
        <w:t>of</w:t>
      </w:r>
      <w:r>
        <w:rPr>
          <w:color w:val="231F20"/>
          <w:spacing w:val="-4"/>
        </w:rPr>
        <w:t xml:space="preserve"> </w:t>
      </w:r>
      <w:r>
        <w:rPr>
          <w:color w:val="231F20"/>
        </w:rPr>
        <w:t>the</w:t>
      </w:r>
      <w:r>
        <w:rPr>
          <w:color w:val="231F20"/>
          <w:spacing w:val="-4"/>
        </w:rPr>
        <w:t xml:space="preserve"> </w:t>
      </w:r>
      <w:r>
        <w:rPr>
          <w:color w:val="231F20"/>
        </w:rPr>
        <w:t>Super</w:t>
      </w:r>
      <w:r>
        <w:rPr>
          <w:color w:val="231F20"/>
          <w:spacing w:val="-4"/>
        </w:rPr>
        <w:t xml:space="preserve"> </w:t>
      </w:r>
      <w:r>
        <w:rPr>
          <w:color w:val="231F20"/>
        </w:rPr>
        <w:t>League</w:t>
      </w:r>
      <w:r>
        <w:rPr>
          <w:color w:val="231F20"/>
          <w:spacing w:val="-4"/>
        </w:rPr>
        <w:t xml:space="preserve"> </w:t>
      </w:r>
      <w:r>
        <w:rPr>
          <w:color w:val="231F20"/>
        </w:rPr>
        <w:t>realigned</w:t>
      </w:r>
      <w:r>
        <w:rPr>
          <w:color w:val="231F20"/>
          <w:spacing w:val="-4"/>
        </w:rPr>
        <w:t xml:space="preserve"> </w:t>
      </w:r>
      <w:r>
        <w:rPr>
          <w:color w:val="231F20"/>
        </w:rPr>
        <w:t>Rugby</w:t>
      </w:r>
      <w:r>
        <w:rPr>
          <w:color w:val="231F20"/>
          <w:spacing w:val="-4"/>
        </w:rPr>
        <w:t xml:space="preserve"> </w:t>
      </w:r>
      <w:r>
        <w:rPr>
          <w:color w:val="231F20"/>
        </w:rPr>
        <w:t>League</w:t>
      </w:r>
      <w:r>
        <w:rPr>
          <w:color w:val="231F20"/>
          <w:spacing w:val="-4"/>
        </w:rPr>
        <w:t xml:space="preserve"> </w:t>
      </w:r>
      <w:r>
        <w:rPr>
          <w:color w:val="231F20"/>
        </w:rPr>
        <w:t>from</w:t>
      </w:r>
      <w:r>
        <w:rPr>
          <w:color w:val="231F20"/>
          <w:spacing w:val="-4"/>
        </w:rPr>
        <w:t xml:space="preserve"> </w:t>
      </w:r>
      <w:r>
        <w:rPr>
          <w:color w:val="231F20"/>
        </w:rPr>
        <w:t>a</w:t>
      </w:r>
      <w:r>
        <w:rPr>
          <w:color w:val="231F20"/>
          <w:spacing w:val="-4"/>
        </w:rPr>
        <w:t xml:space="preserve"> </w:t>
      </w:r>
      <w:r>
        <w:rPr>
          <w:color w:val="231F20"/>
        </w:rPr>
        <w:t>winter to a summer sport in the UK and France as part of a strategy to develop</w:t>
      </w:r>
      <w:r>
        <w:rPr>
          <w:color w:val="231F20"/>
          <w:spacing w:val="40"/>
        </w:rPr>
        <w:t xml:space="preserve"> </w:t>
      </w:r>
      <w:r>
        <w:rPr>
          <w:color w:val="231F20"/>
        </w:rPr>
        <w:t>a global competition season involving teams based in the northern and southern hemis</w:t>
      </w:r>
      <w:r>
        <w:rPr>
          <w:color w:val="231F20"/>
        </w:rPr>
        <w:t>pheres.</w:t>
      </w:r>
    </w:p>
    <w:p w14:paraId="0BDB8B4E" w14:textId="6B6C6451" w:rsidR="00AE0598" w:rsidRDefault="0069255A">
      <w:pPr>
        <w:pStyle w:val="Corpodetexto"/>
        <w:spacing w:before="10" w:line="232" w:lineRule="auto"/>
        <w:ind w:left="110" w:right="127" w:firstLine="320"/>
        <w:jc w:val="both"/>
      </w:pPr>
      <w:r>
        <w:rPr>
          <w:noProof/>
        </w:rPr>
        <mc:AlternateContent>
          <mc:Choice Requires="wpg">
            <w:drawing>
              <wp:anchor distT="0" distB="0" distL="114300" distR="114300" simplePos="0" relativeHeight="483741184" behindDoc="1" locked="0" layoutInCell="1" allowOverlap="1" wp14:anchorId="0858AFE7" wp14:editId="4E88A69B">
                <wp:simplePos x="0" y="0"/>
                <wp:positionH relativeFrom="page">
                  <wp:posOffset>1315085</wp:posOffset>
                </wp:positionH>
                <wp:positionV relativeFrom="paragraph">
                  <wp:posOffset>2390775</wp:posOffset>
                </wp:positionV>
                <wp:extent cx="3348990" cy="238760"/>
                <wp:effectExtent l="0" t="0" r="0" b="0"/>
                <wp:wrapNone/>
                <wp:docPr id="108" name="docshapegroup2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348990" cy="238760"/>
                          <a:chOff x="2071" y="3765"/>
                          <a:chExt cx="5274" cy="376"/>
                        </a:xfrm>
                      </wpg:grpSpPr>
                      <wps:wsp>
                        <wps:cNvPr id="109" name="docshape249"/>
                        <wps:cNvSpPr>
                          <a:spLocks/>
                        </wps:cNvSpPr>
                        <wps:spPr bwMode="auto">
                          <a:xfrm>
                            <a:off x="2070" y="3764"/>
                            <a:ext cx="2394" cy="376"/>
                          </a:xfrm>
                          <a:custGeom>
                            <a:avLst/>
                            <a:gdLst>
                              <a:gd name="T0" fmla="+- 0 2236 2071"/>
                              <a:gd name="T1" fmla="*/ T0 w 2394"/>
                              <a:gd name="T2" fmla="+- 0 3956 3765"/>
                              <a:gd name="T3" fmla="*/ 3956 h 376"/>
                              <a:gd name="T4" fmla="+- 0 2071 2071"/>
                              <a:gd name="T5" fmla="*/ T4 w 2394"/>
                              <a:gd name="T6" fmla="+- 0 4140 3765"/>
                              <a:gd name="T7" fmla="*/ 4140 h 376"/>
                              <a:gd name="T8" fmla="+- 0 2304 2071"/>
                              <a:gd name="T9" fmla="*/ T8 w 2394"/>
                              <a:gd name="T10" fmla="+- 0 3956 3765"/>
                              <a:gd name="T11" fmla="*/ 3956 h 376"/>
                              <a:gd name="T12" fmla="+- 0 2236 2071"/>
                              <a:gd name="T13" fmla="*/ T12 w 2394"/>
                              <a:gd name="T14" fmla="+- 0 3765 3765"/>
                              <a:gd name="T15" fmla="*/ 3765 h 376"/>
                              <a:gd name="T16" fmla="+- 0 2071 2071"/>
                              <a:gd name="T17" fmla="*/ T16 w 2394"/>
                              <a:gd name="T18" fmla="+- 0 3949 3765"/>
                              <a:gd name="T19" fmla="*/ 3949 h 376"/>
                              <a:gd name="T20" fmla="+- 0 2304 2071"/>
                              <a:gd name="T21" fmla="*/ T20 w 2394"/>
                              <a:gd name="T22" fmla="+- 0 3765 3765"/>
                              <a:gd name="T23" fmla="*/ 3765 h 376"/>
                              <a:gd name="T24" fmla="+- 0 2476 2071"/>
                              <a:gd name="T25" fmla="*/ T24 w 2394"/>
                              <a:gd name="T26" fmla="+- 0 3956 3765"/>
                              <a:gd name="T27" fmla="*/ 3956 h 376"/>
                              <a:gd name="T28" fmla="+- 0 2311 2071"/>
                              <a:gd name="T29" fmla="*/ T28 w 2394"/>
                              <a:gd name="T30" fmla="+- 0 4140 3765"/>
                              <a:gd name="T31" fmla="*/ 4140 h 376"/>
                              <a:gd name="T32" fmla="+- 0 2544 2071"/>
                              <a:gd name="T33" fmla="*/ T32 w 2394"/>
                              <a:gd name="T34" fmla="+- 0 3956 3765"/>
                              <a:gd name="T35" fmla="*/ 3956 h 376"/>
                              <a:gd name="T36" fmla="+- 0 2476 2071"/>
                              <a:gd name="T37" fmla="*/ T36 w 2394"/>
                              <a:gd name="T38" fmla="+- 0 3765 3765"/>
                              <a:gd name="T39" fmla="*/ 3765 h 376"/>
                              <a:gd name="T40" fmla="+- 0 2311 2071"/>
                              <a:gd name="T41" fmla="*/ T40 w 2394"/>
                              <a:gd name="T42" fmla="+- 0 3949 3765"/>
                              <a:gd name="T43" fmla="*/ 3949 h 376"/>
                              <a:gd name="T44" fmla="+- 0 2544 2071"/>
                              <a:gd name="T45" fmla="*/ T44 w 2394"/>
                              <a:gd name="T46" fmla="+- 0 3765 3765"/>
                              <a:gd name="T47" fmla="*/ 3765 h 376"/>
                              <a:gd name="T48" fmla="+- 0 2716 2071"/>
                              <a:gd name="T49" fmla="*/ T48 w 2394"/>
                              <a:gd name="T50" fmla="+- 0 3956 3765"/>
                              <a:gd name="T51" fmla="*/ 3956 h 376"/>
                              <a:gd name="T52" fmla="+- 0 2551 2071"/>
                              <a:gd name="T53" fmla="*/ T52 w 2394"/>
                              <a:gd name="T54" fmla="+- 0 4140 3765"/>
                              <a:gd name="T55" fmla="*/ 4140 h 376"/>
                              <a:gd name="T56" fmla="+- 0 2784 2071"/>
                              <a:gd name="T57" fmla="*/ T56 w 2394"/>
                              <a:gd name="T58" fmla="+- 0 3956 3765"/>
                              <a:gd name="T59" fmla="*/ 3956 h 376"/>
                              <a:gd name="T60" fmla="+- 0 2716 2071"/>
                              <a:gd name="T61" fmla="*/ T60 w 2394"/>
                              <a:gd name="T62" fmla="+- 0 3765 3765"/>
                              <a:gd name="T63" fmla="*/ 3765 h 376"/>
                              <a:gd name="T64" fmla="+- 0 2551 2071"/>
                              <a:gd name="T65" fmla="*/ T64 w 2394"/>
                              <a:gd name="T66" fmla="+- 0 3949 3765"/>
                              <a:gd name="T67" fmla="*/ 3949 h 376"/>
                              <a:gd name="T68" fmla="+- 0 2784 2071"/>
                              <a:gd name="T69" fmla="*/ T68 w 2394"/>
                              <a:gd name="T70" fmla="+- 0 3765 3765"/>
                              <a:gd name="T71" fmla="*/ 3765 h 376"/>
                              <a:gd name="T72" fmla="+- 0 2956 2071"/>
                              <a:gd name="T73" fmla="*/ T72 w 2394"/>
                              <a:gd name="T74" fmla="+- 0 3956 3765"/>
                              <a:gd name="T75" fmla="*/ 3956 h 376"/>
                              <a:gd name="T76" fmla="+- 0 2791 2071"/>
                              <a:gd name="T77" fmla="*/ T76 w 2394"/>
                              <a:gd name="T78" fmla="+- 0 4140 3765"/>
                              <a:gd name="T79" fmla="*/ 4140 h 376"/>
                              <a:gd name="T80" fmla="+- 0 3024 2071"/>
                              <a:gd name="T81" fmla="*/ T80 w 2394"/>
                              <a:gd name="T82" fmla="+- 0 3956 3765"/>
                              <a:gd name="T83" fmla="*/ 3956 h 376"/>
                              <a:gd name="T84" fmla="+- 0 2956 2071"/>
                              <a:gd name="T85" fmla="*/ T84 w 2394"/>
                              <a:gd name="T86" fmla="+- 0 3765 3765"/>
                              <a:gd name="T87" fmla="*/ 3765 h 376"/>
                              <a:gd name="T88" fmla="+- 0 2791 2071"/>
                              <a:gd name="T89" fmla="*/ T88 w 2394"/>
                              <a:gd name="T90" fmla="+- 0 3949 3765"/>
                              <a:gd name="T91" fmla="*/ 3949 h 376"/>
                              <a:gd name="T92" fmla="+- 0 3024 2071"/>
                              <a:gd name="T93" fmla="*/ T92 w 2394"/>
                              <a:gd name="T94" fmla="+- 0 3765 3765"/>
                              <a:gd name="T95" fmla="*/ 3765 h 376"/>
                              <a:gd name="T96" fmla="+- 0 3196 2071"/>
                              <a:gd name="T97" fmla="*/ T96 w 2394"/>
                              <a:gd name="T98" fmla="+- 0 3956 3765"/>
                              <a:gd name="T99" fmla="*/ 3956 h 376"/>
                              <a:gd name="T100" fmla="+- 0 3031 2071"/>
                              <a:gd name="T101" fmla="*/ T100 w 2394"/>
                              <a:gd name="T102" fmla="+- 0 4140 3765"/>
                              <a:gd name="T103" fmla="*/ 4140 h 376"/>
                              <a:gd name="T104" fmla="+- 0 3264 2071"/>
                              <a:gd name="T105" fmla="*/ T104 w 2394"/>
                              <a:gd name="T106" fmla="+- 0 3956 3765"/>
                              <a:gd name="T107" fmla="*/ 3956 h 376"/>
                              <a:gd name="T108" fmla="+- 0 3196 2071"/>
                              <a:gd name="T109" fmla="*/ T108 w 2394"/>
                              <a:gd name="T110" fmla="+- 0 3765 3765"/>
                              <a:gd name="T111" fmla="*/ 3765 h 376"/>
                              <a:gd name="T112" fmla="+- 0 3031 2071"/>
                              <a:gd name="T113" fmla="*/ T112 w 2394"/>
                              <a:gd name="T114" fmla="+- 0 3949 3765"/>
                              <a:gd name="T115" fmla="*/ 3949 h 376"/>
                              <a:gd name="T116" fmla="+- 0 3264 2071"/>
                              <a:gd name="T117" fmla="*/ T116 w 2394"/>
                              <a:gd name="T118" fmla="+- 0 3765 3765"/>
                              <a:gd name="T119" fmla="*/ 3765 h 376"/>
                              <a:gd name="T120" fmla="+- 0 3436 2071"/>
                              <a:gd name="T121" fmla="*/ T120 w 2394"/>
                              <a:gd name="T122" fmla="+- 0 3956 3765"/>
                              <a:gd name="T123" fmla="*/ 3956 h 376"/>
                              <a:gd name="T124" fmla="+- 0 3271 2071"/>
                              <a:gd name="T125" fmla="*/ T124 w 2394"/>
                              <a:gd name="T126" fmla="+- 0 4140 3765"/>
                              <a:gd name="T127" fmla="*/ 4140 h 376"/>
                              <a:gd name="T128" fmla="+- 0 3504 2071"/>
                              <a:gd name="T129" fmla="*/ T128 w 2394"/>
                              <a:gd name="T130" fmla="+- 0 3956 3765"/>
                              <a:gd name="T131" fmla="*/ 3956 h 376"/>
                              <a:gd name="T132" fmla="+- 0 3436 2071"/>
                              <a:gd name="T133" fmla="*/ T132 w 2394"/>
                              <a:gd name="T134" fmla="+- 0 3765 3765"/>
                              <a:gd name="T135" fmla="*/ 3765 h 376"/>
                              <a:gd name="T136" fmla="+- 0 3271 2071"/>
                              <a:gd name="T137" fmla="*/ T136 w 2394"/>
                              <a:gd name="T138" fmla="+- 0 3949 3765"/>
                              <a:gd name="T139" fmla="*/ 3949 h 376"/>
                              <a:gd name="T140" fmla="+- 0 3504 2071"/>
                              <a:gd name="T141" fmla="*/ T140 w 2394"/>
                              <a:gd name="T142" fmla="+- 0 3765 3765"/>
                              <a:gd name="T143" fmla="*/ 3765 h 376"/>
                              <a:gd name="T144" fmla="+- 0 3676 2071"/>
                              <a:gd name="T145" fmla="*/ T144 w 2394"/>
                              <a:gd name="T146" fmla="+- 0 3956 3765"/>
                              <a:gd name="T147" fmla="*/ 3956 h 376"/>
                              <a:gd name="T148" fmla="+- 0 3511 2071"/>
                              <a:gd name="T149" fmla="*/ T148 w 2394"/>
                              <a:gd name="T150" fmla="+- 0 4140 3765"/>
                              <a:gd name="T151" fmla="*/ 4140 h 376"/>
                              <a:gd name="T152" fmla="+- 0 3744 2071"/>
                              <a:gd name="T153" fmla="*/ T152 w 2394"/>
                              <a:gd name="T154" fmla="+- 0 3956 3765"/>
                              <a:gd name="T155" fmla="*/ 3956 h 376"/>
                              <a:gd name="T156" fmla="+- 0 3676 2071"/>
                              <a:gd name="T157" fmla="*/ T156 w 2394"/>
                              <a:gd name="T158" fmla="+- 0 3765 3765"/>
                              <a:gd name="T159" fmla="*/ 3765 h 376"/>
                              <a:gd name="T160" fmla="+- 0 3511 2071"/>
                              <a:gd name="T161" fmla="*/ T160 w 2394"/>
                              <a:gd name="T162" fmla="+- 0 3949 3765"/>
                              <a:gd name="T163" fmla="*/ 3949 h 376"/>
                              <a:gd name="T164" fmla="+- 0 3744 2071"/>
                              <a:gd name="T165" fmla="*/ T164 w 2394"/>
                              <a:gd name="T166" fmla="+- 0 3765 3765"/>
                              <a:gd name="T167" fmla="*/ 3765 h 376"/>
                              <a:gd name="T168" fmla="+- 0 3916 2071"/>
                              <a:gd name="T169" fmla="*/ T168 w 2394"/>
                              <a:gd name="T170" fmla="+- 0 3956 3765"/>
                              <a:gd name="T171" fmla="*/ 3956 h 376"/>
                              <a:gd name="T172" fmla="+- 0 3751 2071"/>
                              <a:gd name="T173" fmla="*/ T172 w 2394"/>
                              <a:gd name="T174" fmla="+- 0 4140 3765"/>
                              <a:gd name="T175" fmla="*/ 4140 h 376"/>
                              <a:gd name="T176" fmla="+- 0 3984 2071"/>
                              <a:gd name="T177" fmla="*/ T176 w 2394"/>
                              <a:gd name="T178" fmla="+- 0 3956 3765"/>
                              <a:gd name="T179" fmla="*/ 3956 h 376"/>
                              <a:gd name="T180" fmla="+- 0 3916 2071"/>
                              <a:gd name="T181" fmla="*/ T180 w 2394"/>
                              <a:gd name="T182" fmla="+- 0 3765 3765"/>
                              <a:gd name="T183" fmla="*/ 3765 h 376"/>
                              <a:gd name="T184" fmla="+- 0 3751 2071"/>
                              <a:gd name="T185" fmla="*/ T184 w 2394"/>
                              <a:gd name="T186" fmla="+- 0 3949 3765"/>
                              <a:gd name="T187" fmla="*/ 3949 h 376"/>
                              <a:gd name="T188" fmla="+- 0 3984 2071"/>
                              <a:gd name="T189" fmla="*/ T188 w 2394"/>
                              <a:gd name="T190" fmla="+- 0 3765 3765"/>
                              <a:gd name="T191" fmla="*/ 3765 h 376"/>
                              <a:gd name="T192" fmla="+- 0 4156 2071"/>
                              <a:gd name="T193" fmla="*/ T192 w 2394"/>
                              <a:gd name="T194" fmla="+- 0 3956 3765"/>
                              <a:gd name="T195" fmla="*/ 3956 h 376"/>
                              <a:gd name="T196" fmla="+- 0 3991 2071"/>
                              <a:gd name="T197" fmla="*/ T196 w 2394"/>
                              <a:gd name="T198" fmla="+- 0 4140 3765"/>
                              <a:gd name="T199" fmla="*/ 4140 h 376"/>
                              <a:gd name="T200" fmla="+- 0 4224 2071"/>
                              <a:gd name="T201" fmla="*/ T200 w 2394"/>
                              <a:gd name="T202" fmla="+- 0 3956 3765"/>
                              <a:gd name="T203" fmla="*/ 3956 h 376"/>
                              <a:gd name="T204" fmla="+- 0 4156 2071"/>
                              <a:gd name="T205" fmla="*/ T204 w 2394"/>
                              <a:gd name="T206" fmla="+- 0 3765 3765"/>
                              <a:gd name="T207" fmla="*/ 3765 h 376"/>
                              <a:gd name="T208" fmla="+- 0 3991 2071"/>
                              <a:gd name="T209" fmla="*/ T208 w 2394"/>
                              <a:gd name="T210" fmla="+- 0 3949 3765"/>
                              <a:gd name="T211" fmla="*/ 3949 h 376"/>
                              <a:gd name="T212" fmla="+- 0 4224 2071"/>
                              <a:gd name="T213" fmla="*/ T212 w 2394"/>
                              <a:gd name="T214" fmla="+- 0 3765 3765"/>
                              <a:gd name="T215" fmla="*/ 3765 h 376"/>
                              <a:gd name="T216" fmla="+- 0 4396 2071"/>
                              <a:gd name="T217" fmla="*/ T216 w 2394"/>
                              <a:gd name="T218" fmla="+- 0 3956 3765"/>
                              <a:gd name="T219" fmla="*/ 3956 h 376"/>
                              <a:gd name="T220" fmla="+- 0 4231 2071"/>
                              <a:gd name="T221" fmla="*/ T220 w 2394"/>
                              <a:gd name="T222" fmla="+- 0 4140 3765"/>
                              <a:gd name="T223" fmla="*/ 4140 h 376"/>
                              <a:gd name="T224" fmla="+- 0 4464 2071"/>
                              <a:gd name="T225" fmla="*/ T224 w 2394"/>
                              <a:gd name="T226" fmla="+- 0 3956 3765"/>
                              <a:gd name="T227" fmla="*/ 3956 h 37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Lst>
                            <a:rect l="0" t="0" r="r" b="b"/>
                            <a:pathLst>
                              <a:path w="2394" h="376">
                                <a:moveTo>
                                  <a:pt x="233" y="191"/>
                                </a:moveTo>
                                <a:lnTo>
                                  <a:pt x="165" y="191"/>
                                </a:lnTo>
                                <a:lnTo>
                                  <a:pt x="0" y="191"/>
                                </a:lnTo>
                                <a:lnTo>
                                  <a:pt x="0" y="375"/>
                                </a:lnTo>
                                <a:lnTo>
                                  <a:pt x="233" y="375"/>
                                </a:lnTo>
                                <a:lnTo>
                                  <a:pt x="233" y="191"/>
                                </a:lnTo>
                                <a:close/>
                                <a:moveTo>
                                  <a:pt x="233" y="0"/>
                                </a:moveTo>
                                <a:lnTo>
                                  <a:pt x="165" y="0"/>
                                </a:lnTo>
                                <a:lnTo>
                                  <a:pt x="0" y="0"/>
                                </a:lnTo>
                                <a:lnTo>
                                  <a:pt x="0" y="184"/>
                                </a:lnTo>
                                <a:lnTo>
                                  <a:pt x="233" y="184"/>
                                </a:lnTo>
                                <a:lnTo>
                                  <a:pt x="233" y="0"/>
                                </a:lnTo>
                                <a:close/>
                                <a:moveTo>
                                  <a:pt x="473" y="191"/>
                                </a:moveTo>
                                <a:lnTo>
                                  <a:pt x="405" y="191"/>
                                </a:lnTo>
                                <a:lnTo>
                                  <a:pt x="240" y="191"/>
                                </a:lnTo>
                                <a:lnTo>
                                  <a:pt x="240" y="375"/>
                                </a:lnTo>
                                <a:lnTo>
                                  <a:pt x="473" y="375"/>
                                </a:lnTo>
                                <a:lnTo>
                                  <a:pt x="473" y="191"/>
                                </a:lnTo>
                                <a:close/>
                                <a:moveTo>
                                  <a:pt x="473" y="0"/>
                                </a:moveTo>
                                <a:lnTo>
                                  <a:pt x="405" y="0"/>
                                </a:lnTo>
                                <a:lnTo>
                                  <a:pt x="240" y="0"/>
                                </a:lnTo>
                                <a:lnTo>
                                  <a:pt x="240" y="184"/>
                                </a:lnTo>
                                <a:lnTo>
                                  <a:pt x="473" y="184"/>
                                </a:lnTo>
                                <a:lnTo>
                                  <a:pt x="473" y="0"/>
                                </a:lnTo>
                                <a:close/>
                                <a:moveTo>
                                  <a:pt x="713" y="191"/>
                                </a:moveTo>
                                <a:lnTo>
                                  <a:pt x="645" y="191"/>
                                </a:lnTo>
                                <a:lnTo>
                                  <a:pt x="480" y="191"/>
                                </a:lnTo>
                                <a:lnTo>
                                  <a:pt x="480" y="375"/>
                                </a:lnTo>
                                <a:lnTo>
                                  <a:pt x="713" y="375"/>
                                </a:lnTo>
                                <a:lnTo>
                                  <a:pt x="713" y="191"/>
                                </a:lnTo>
                                <a:close/>
                                <a:moveTo>
                                  <a:pt x="713" y="0"/>
                                </a:moveTo>
                                <a:lnTo>
                                  <a:pt x="645" y="0"/>
                                </a:lnTo>
                                <a:lnTo>
                                  <a:pt x="480" y="0"/>
                                </a:lnTo>
                                <a:lnTo>
                                  <a:pt x="480" y="184"/>
                                </a:lnTo>
                                <a:lnTo>
                                  <a:pt x="713" y="184"/>
                                </a:lnTo>
                                <a:lnTo>
                                  <a:pt x="713" y="0"/>
                                </a:lnTo>
                                <a:close/>
                                <a:moveTo>
                                  <a:pt x="953" y="191"/>
                                </a:moveTo>
                                <a:lnTo>
                                  <a:pt x="885" y="191"/>
                                </a:lnTo>
                                <a:lnTo>
                                  <a:pt x="720" y="191"/>
                                </a:lnTo>
                                <a:lnTo>
                                  <a:pt x="720" y="375"/>
                                </a:lnTo>
                                <a:lnTo>
                                  <a:pt x="953" y="375"/>
                                </a:lnTo>
                                <a:lnTo>
                                  <a:pt x="953" y="191"/>
                                </a:lnTo>
                                <a:close/>
                                <a:moveTo>
                                  <a:pt x="953" y="0"/>
                                </a:moveTo>
                                <a:lnTo>
                                  <a:pt x="885" y="0"/>
                                </a:lnTo>
                                <a:lnTo>
                                  <a:pt x="720" y="0"/>
                                </a:lnTo>
                                <a:lnTo>
                                  <a:pt x="720" y="184"/>
                                </a:lnTo>
                                <a:lnTo>
                                  <a:pt x="953" y="184"/>
                                </a:lnTo>
                                <a:lnTo>
                                  <a:pt x="953" y="0"/>
                                </a:lnTo>
                                <a:close/>
                                <a:moveTo>
                                  <a:pt x="1193" y="191"/>
                                </a:moveTo>
                                <a:lnTo>
                                  <a:pt x="1125" y="191"/>
                                </a:lnTo>
                                <a:lnTo>
                                  <a:pt x="960" y="191"/>
                                </a:lnTo>
                                <a:lnTo>
                                  <a:pt x="960" y="375"/>
                                </a:lnTo>
                                <a:lnTo>
                                  <a:pt x="1193" y="375"/>
                                </a:lnTo>
                                <a:lnTo>
                                  <a:pt x="1193" y="191"/>
                                </a:lnTo>
                                <a:close/>
                                <a:moveTo>
                                  <a:pt x="1193" y="0"/>
                                </a:moveTo>
                                <a:lnTo>
                                  <a:pt x="1125" y="0"/>
                                </a:lnTo>
                                <a:lnTo>
                                  <a:pt x="960" y="0"/>
                                </a:lnTo>
                                <a:lnTo>
                                  <a:pt x="960" y="184"/>
                                </a:lnTo>
                                <a:lnTo>
                                  <a:pt x="1193" y="184"/>
                                </a:lnTo>
                                <a:lnTo>
                                  <a:pt x="1193" y="0"/>
                                </a:lnTo>
                                <a:close/>
                                <a:moveTo>
                                  <a:pt x="1433" y="191"/>
                                </a:moveTo>
                                <a:lnTo>
                                  <a:pt x="1365" y="191"/>
                                </a:lnTo>
                                <a:lnTo>
                                  <a:pt x="1200" y="191"/>
                                </a:lnTo>
                                <a:lnTo>
                                  <a:pt x="1200" y="375"/>
                                </a:lnTo>
                                <a:lnTo>
                                  <a:pt x="1433" y="375"/>
                                </a:lnTo>
                                <a:lnTo>
                                  <a:pt x="1433" y="191"/>
                                </a:lnTo>
                                <a:close/>
                                <a:moveTo>
                                  <a:pt x="1433" y="0"/>
                                </a:moveTo>
                                <a:lnTo>
                                  <a:pt x="1365" y="0"/>
                                </a:lnTo>
                                <a:lnTo>
                                  <a:pt x="1200" y="0"/>
                                </a:lnTo>
                                <a:lnTo>
                                  <a:pt x="1200" y="184"/>
                                </a:lnTo>
                                <a:lnTo>
                                  <a:pt x="1433" y="184"/>
                                </a:lnTo>
                                <a:lnTo>
                                  <a:pt x="1433" y="0"/>
                                </a:lnTo>
                                <a:close/>
                                <a:moveTo>
                                  <a:pt x="1673" y="191"/>
                                </a:moveTo>
                                <a:lnTo>
                                  <a:pt x="1605" y="191"/>
                                </a:lnTo>
                                <a:lnTo>
                                  <a:pt x="1440" y="191"/>
                                </a:lnTo>
                                <a:lnTo>
                                  <a:pt x="1440" y="375"/>
                                </a:lnTo>
                                <a:lnTo>
                                  <a:pt x="1673" y="375"/>
                                </a:lnTo>
                                <a:lnTo>
                                  <a:pt x="1673" y="191"/>
                                </a:lnTo>
                                <a:close/>
                                <a:moveTo>
                                  <a:pt x="1673" y="0"/>
                                </a:moveTo>
                                <a:lnTo>
                                  <a:pt x="1605" y="0"/>
                                </a:lnTo>
                                <a:lnTo>
                                  <a:pt x="1440" y="0"/>
                                </a:lnTo>
                                <a:lnTo>
                                  <a:pt x="1440" y="184"/>
                                </a:lnTo>
                                <a:lnTo>
                                  <a:pt x="1673" y="184"/>
                                </a:lnTo>
                                <a:lnTo>
                                  <a:pt x="1673" y="0"/>
                                </a:lnTo>
                                <a:close/>
                                <a:moveTo>
                                  <a:pt x="1913" y="191"/>
                                </a:moveTo>
                                <a:lnTo>
                                  <a:pt x="1845" y="191"/>
                                </a:lnTo>
                                <a:lnTo>
                                  <a:pt x="1680" y="191"/>
                                </a:lnTo>
                                <a:lnTo>
                                  <a:pt x="1680" y="375"/>
                                </a:lnTo>
                                <a:lnTo>
                                  <a:pt x="1913" y="375"/>
                                </a:lnTo>
                                <a:lnTo>
                                  <a:pt x="1913" y="191"/>
                                </a:lnTo>
                                <a:close/>
                                <a:moveTo>
                                  <a:pt x="1913" y="0"/>
                                </a:moveTo>
                                <a:lnTo>
                                  <a:pt x="1845" y="0"/>
                                </a:lnTo>
                                <a:lnTo>
                                  <a:pt x="1680" y="0"/>
                                </a:lnTo>
                                <a:lnTo>
                                  <a:pt x="1680" y="184"/>
                                </a:lnTo>
                                <a:lnTo>
                                  <a:pt x="1913" y="184"/>
                                </a:lnTo>
                                <a:lnTo>
                                  <a:pt x="1913" y="0"/>
                                </a:lnTo>
                                <a:close/>
                                <a:moveTo>
                                  <a:pt x="2153" y="191"/>
                                </a:moveTo>
                                <a:lnTo>
                                  <a:pt x="2085" y="191"/>
                                </a:lnTo>
                                <a:lnTo>
                                  <a:pt x="1920" y="191"/>
                                </a:lnTo>
                                <a:lnTo>
                                  <a:pt x="1920" y="375"/>
                                </a:lnTo>
                                <a:lnTo>
                                  <a:pt x="2153" y="375"/>
                                </a:lnTo>
                                <a:lnTo>
                                  <a:pt x="2153" y="191"/>
                                </a:lnTo>
                                <a:close/>
                                <a:moveTo>
                                  <a:pt x="2153" y="0"/>
                                </a:moveTo>
                                <a:lnTo>
                                  <a:pt x="2085" y="0"/>
                                </a:lnTo>
                                <a:lnTo>
                                  <a:pt x="1920" y="0"/>
                                </a:lnTo>
                                <a:lnTo>
                                  <a:pt x="1920" y="184"/>
                                </a:lnTo>
                                <a:lnTo>
                                  <a:pt x="2153" y="184"/>
                                </a:lnTo>
                                <a:lnTo>
                                  <a:pt x="2153" y="0"/>
                                </a:lnTo>
                                <a:close/>
                                <a:moveTo>
                                  <a:pt x="2393" y="191"/>
                                </a:moveTo>
                                <a:lnTo>
                                  <a:pt x="2325" y="191"/>
                                </a:lnTo>
                                <a:lnTo>
                                  <a:pt x="2160" y="191"/>
                                </a:lnTo>
                                <a:lnTo>
                                  <a:pt x="2160" y="375"/>
                                </a:lnTo>
                                <a:lnTo>
                                  <a:pt x="2393" y="375"/>
                                </a:lnTo>
                                <a:lnTo>
                                  <a:pt x="2393" y="191"/>
                                </a:lnTo>
                                <a:close/>
                              </a:path>
                            </a:pathLst>
                          </a:custGeom>
                          <a:solidFill>
                            <a:srgbClr val="80828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0" name="docshape250"/>
                        <wps:cNvSpPr>
                          <a:spLocks/>
                        </wps:cNvSpPr>
                        <wps:spPr bwMode="auto">
                          <a:xfrm>
                            <a:off x="4230" y="3764"/>
                            <a:ext cx="234" cy="184"/>
                          </a:xfrm>
                          <a:custGeom>
                            <a:avLst/>
                            <a:gdLst>
                              <a:gd name="T0" fmla="+- 0 4464 4231"/>
                              <a:gd name="T1" fmla="*/ T0 w 234"/>
                              <a:gd name="T2" fmla="+- 0 3765 3765"/>
                              <a:gd name="T3" fmla="*/ 3765 h 184"/>
                              <a:gd name="T4" fmla="+- 0 4300 4231"/>
                              <a:gd name="T5" fmla="*/ T4 w 234"/>
                              <a:gd name="T6" fmla="+- 0 3765 3765"/>
                              <a:gd name="T7" fmla="*/ 3765 h 184"/>
                              <a:gd name="T8" fmla="+- 0 4231 4231"/>
                              <a:gd name="T9" fmla="*/ T8 w 234"/>
                              <a:gd name="T10" fmla="+- 0 3765 3765"/>
                              <a:gd name="T11" fmla="*/ 3765 h 184"/>
                              <a:gd name="T12" fmla="+- 0 4231 4231"/>
                              <a:gd name="T13" fmla="*/ T12 w 234"/>
                              <a:gd name="T14" fmla="+- 0 3949 3765"/>
                              <a:gd name="T15" fmla="*/ 3949 h 184"/>
                              <a:gd name="T16" fmla="+- 0 4464 4231"/>
                              <a:gd name="T17" fmla="*/ T16 w 234"/>
                              <a:gd name="T18" fmla="+- 0 3949 3765"/>
                              <a:gd name="T19" fmla="*/ 3949 h 184"/>
                              <a:gd name="T20" fmla="+- 0 4464 4231"/>
                              <a:gd name="T21" fmla="*/ T20 w 234"/>
                              <a:gd name="T22" fmla="+- 0 3765 3765"/>
                              <a:gd name="T23" fmla="*/ 3765 h 184"/>
                            </a:gdLst>
                            <a:ahLst/>
                            <a:cxnLst>
                              <a:cxn ang="0">
                                <a:pos x="T1" y="T3"/>
                              </a:cxn>
                              <a:cxn ang="0">
                                <a:pos x="T5" y="T7"/>
                              </a:cxn>
                              <a:cxn ang="0">
                                <a:pos x="T9" y="T11"/>
                              </a:cxn>
                              <a:cxn ang="0">
                                <a:pos x="T13" y="T15"/>
                              </a:cxn>
                              <a:cxn ang="0">
                                <a:pos x="T17" y="T19"/>
                              </a:cxn>
                              <a:cxn ang="0">
                                <a:pos x="T21" y="T23"/>
                              </a:cxn>
                            </a:cxnLst>
                            <a:rect l="0" t="0" r="r" b="b"/>
                            <a:pathLst>
                              <a:path w="234" h="184">
                                <a:moveTo>
                                  <a:pt x="233" y="0"/>
                                </a:moveTo>
                                <a:lnTo>
                                  <a:pt x="69" y="0"/>
                                </a:lnTo>
                                <a:lnTo>
                                  <a:pt x="0" y="0"/>
                                </a:lnTo>
                                <a:lnTo>
                                  <a:pt x="0" y="184"/>
                                </a:lnTo>
                                <a:lnTo>
                                  <a:pt x="233" y="184"/>
                                </a:lnTo>
                                <a:lnTo>
                                  <a:pt x="233" y="0"/>
                                </a:lnTo>
                                <a:close/>
                              </a:path>
                            </a:pathLst>
                          </a:custGeom>
                          <a:solidFill>
                            <a:srgbClr val="35333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11" name="docshape25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4729" y="3764"/>
                            <a:ext cx="466" cy="1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12" name="docshape252"/>
                        <wps:cNvSpPr>
                          <a:spLocks/>
                        </wps:cNvSpPr>
                        <wps:spPr bwMode="auto">
                          <a:xfrm>
                            <a:off x="4470" y="3764"/>
                            <a:ext cx="930" cy="376"/>
                          </a:xfrm>
                          <a:custGeom>
                            <a:avLst/>
                            <a:gdLst>
                              <a:gd name="T0" fmla="+- 0 4722 4471"/>
                              <a:gd name="T1" fmla="*/ T0 w 930"/>
                              <a:gd name="T2" fmla="+- 0 3765 3765"/>
                              <a:gd name="T3" fmla="*/ 3765 h 376"/>
                              <a:gd name="T4" fmla="+- 0 4540 4471"/>
                              <a:gd name="T5" fmla="*/ T4 w 930"/>
                              <a:gd name="T6" fmla="+- 0 3765 3765"/>
                              <a:gd name="T7" fmla="*/ 3765 h 376"/>
                              <a:gd name="T8" fmla="+- 0 4471 4471"/>
                              <a:gd name="T9" fmla="*/ T8 w 930"/>
                              <a:gd name="T10" fmla="+- 0 3765 3765"/>
                              <a:gd name="T11" fmla="*/ 3765 h 376"/>
                              <a:gd name="T12" fmla="+- 0 4471 4471"/>
                              <a:gd name="T13" fmla="*/ T12 w 930"/>
                              <a:gd name="T14" fmla="+- 0 3949 3765"/>
                              <a:gd name="T15" fmla="*/ 3949 h 376"/>
                              <a:gd name="T16" fmla="+- 0 4722 4471"/>
                              <a:gd name="T17" fmla="*/ T16 w 930"/>
                              <a:gd name="T18" fmla="+- 0 3949 3765"/>
                              <a:gd name="T19" fmla="*/ 3949 h 376"/>
                              <a:gd name="T20" fmla="+- 0 4722 4471"/>
                              <a:gd name="T21" fmla="*/ T20 w 930"/>
                              <a:gd name="T22" fmla="+- 0 3765 3765"/>
                              <a:gd name="T23" fmla="*/ 3765 h 376"/>
                              <a:gd name="T24" fmla="+- 0 4945 4471"/>
                              <a:gd name="T25" fmla="*/ T24 w 930"/>
                              <a:gd name="T26" fmla="+- 0 3956 3765"/>
                              <a:gd name="T27" fmla="*/ 3956 h 376"/>
                              <a:gd name="T28" fmla="+- 0 4798 4471"/>
                              <a:gd name="T29" fmla="*/ T28 w 930"/>
                              <a:gd name="T30" fmla="+- 0 3956 3765"/>
                              <a:gd name="T31" fmla="*/ 3956 h 376"/>
                              <a:gd name="T32" fmla="+- 0 4730 4471"/>
                              <a:gd name="T33" fmla="*/ T32 w 930"/>
                              <a:gd name="T34" fmla="+- 0 3956 3765"/>
                              <a:gd name="T35" fmla="*/ 3956 h 376"/>
                              <a:gd name="T36" fmla="+- 0 4730 4471"/>
                              <a:gd name="T37" fmla="*/ T36 w 930"/>
                              <a:gd name="T38" fmla="+- 0 4140 3765"/>
                              <a:gd name="T39" fmla="*/ 4140 h 376"/>
                              <a:gd name="T40" fmla="+- 0 4945 4471"/>
                              <a:gd name="T41" fmla="*/ T40 w 930"/>
                              <a:gd name="T42" fmla="+- 0 4140 3765"/>
                              <a:gd name="T43" fmla="*/ 4140 h 376"/>
                              <a:gd name="T44" fmla="+- 0 4945 4471"/>
                              <a:gd name="T45" fmla="*/ T44 w 930"/>
                              <a:gd name="T46" fmla="+- 0 3956 3765"/>
                              <a:gd name="T47" fmla="*/ 3956 h 376"/>
                              <a:gd name="T48" fmla="+- 0 5401 4471"/>
                              <a:gd name="T49" fmla="*/ T48 w 930"/>
                              <a:gd name="T50" fmla="+- 0 3765 3765"/>
                              <a:gd name="T51" fmla="*/ 3765 h 376"/>
                              <a:gd name="T52" fmla="+- 0 5270 4471"/>
                              <a:gd name="T53" fmla="*/ T52 w 930"/>
                              <a:gd name="T54" fmla="+- 0 3765 3765"/>
                              <a:gd name="T55" fmla="*/ 3765 h 376"/>
                              <a:gd name="T56" fmla="+- 0 5202 4471"/>
                              <a:gd name="T57" fmla="*/ T56 w 930"/>
                              <a:gd name="T58" fmla="+- 0 3765 3765"/>
                              <a:gd name="T59" fmla="*/ 3765 h 376"/>
                              <a:gd name="T60" fmla="+- 0 5202 4471"/>
                              <a:gd name="T61" fmla="*/ T60 w 930"/>
                              <a:gd name="T62" fmla="+- 0 3949 3765"/>
                              <a:gd name="T63" fmla="*/ 3949 h 376"/>
                              <a:gd name="T64" fmla="+- 0 5401 4471"/>
                              <a:gd name="T65" fmla="*/ T64 w 930"/>
                              <a:gd name="T66" fmla="+- 0 3949 3765"/>
                              <a:gd name="T67" fmla="*/ 3949 h 376"/>
                              <a:gd name="T68" fmla="+- 0 5401 4471"/>
                              <a:gd name="T69" fmla="*/ T68 w 930"/>
                              <a:gd name="T70" fmla="+- 0 3765 3765"/>
                              <a:gd name="T71" fmla="*/ 3765 h 37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930" h="376">
                                <a:moveTo>
                                  <a:pt x="251" y="0"/>
                                </a:moveTo>
                                <a:lnTo>
                                  <a:pt x="69" y="0"/>
                                </a:lnTo>
                                <a:lnTo>
                                  <a:pt x="0" y="0"/>
                                </a:lnTo>
                                <a:lnTo>
                                  <a:pt x="0" y="184"/>
                                </a:lnTo>
                                <a:lnTo>
                                  <a:pt x="251" y="184"/>
                                </a:lnTo>
                                <a:lnTo>
                                  <a:pt x="251" y="0"/>
                                </a:lnTo>
                                <a:close/>
                                <a:moveTo>
                                  <a:pt x="474" y="191"/>
                                </a:moveTo>
                                <a:lnTo>
                                  <a:pt x="327" y="191"/>
                                </a:lnTo>
                                <a:lnTo>
                                  <a:pt x="259" y="191"/>
                                </a:lnTo>
                                <a:lnTo>
                                  <a:pt x="259" y="375"/>
                                </a:lnTo>
                                <a:lnTo>
                                  <a:pt x="474" y="375"/>
                                </a:lnTo>
                                <a:lnTo>
                                  <a:pt x="474" y="191"/>
                                </a:lnTo>
                                <a:close/>
                                <a:moveTo>
                                  <a:pt x="930" y="0"/>
                                </a:moveTo>
                                <a:lnTo>
                                  <a:pt x="799" y="0"/>
                                </a:lnTo>
                                <a:lnTo>
                                  <a:pt x="731" y="0"/>
                                </a:lnTo>
                                <a:lnTo>
                                  <a:pt x="731" y="184"/>
                                </a:lnTo>
                                <a:lnTo>
                                  <a:pt x="930" y="184"/>
                                </a:lnTo>
                                <a:lnTo>
                                  <a:pt x="930" y="0"/>
                                </a:lnTo>
                                <a:close/>
                              </a:path>
                            </a:pathLst>
                          </a:custGeom>
                          <a:solidFill>
                            <a:srgbClr val="35333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13" name="docshape25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6151" y="3764"/>
                            <a:ext cx="474" cy="1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14" name="docshape254"/>
                        <wps:cNvSpPr>
                          <a:spLocks/>
                        </wps:cNvSpPr>
                        <wps:spPr bwMode="auto">
                          <a:xfrm>
                            <a:off x="5671" y="3956"/>
                            <a:ext cx="714" cy="184"/>
                          </a:xfrm>
                          <a:custGeom>
                            <a:avLst/>
                            <a:gdLst>
                              <a:gd name="T0" fmla="+- 0 5886 5671"/>
                              <a:gd name="T1" fmla="*/ T0 w 714"/>
                              <a:gd name="T2" fmla="+- 0 3956 3956"/>
                              <a:gd name="T3" fmla="*/ 3956 h 184"/>
                              <a:gd name="T4" fmla="+- 0 5740 5671"/>
                              <a:gd name="T5" fmla="*/ T4 w 714"/>
                              <a:gd name="T6" fmla="+- 0 3956 3956"/>
                              <a:gd name="T7" fmla="*/ 3956 h 184"/>
                              <a:gd name="T8" fmla="+- 0 5671 5671"/>
                              <a:gd name="T9" fmla="*/ T8 w 714"/>
                              <a:gd name="T10" fmla="+- 0 3956 3956"/>
                              <a:gd name="T11" fmla="*/ 3956 h 184"/>
                              <a:gd name="T12" fmla="+- 0 5671 5671"/>
                              <a:gd name="T13" fmla="*/ T12 w 714"/>
                              <a:gd name="T14" fmla="+- 0 4140 3956"/>
                              <a:gd name="T15" fmla="*/ 4140 h 184"/>
                              <a:gd name="T16" fmla="+- 0 5886 5671"/>
                              <a:gd name="T17" fmla="*/ T16 w 714"/>
                              <a:gd name="T18" fmla="+- 0 4140 3956"/>
                              <a:gd name="T19" fmla="*/ 4140 h 184"/>
                              <a:gd name="T20" fmla="+- 0 5886 5671"/>
                              <a:gd name="T21" fmla="*/ T20 w 714"/>
                              <a:gd name="T22" fmla="+- 0 3956 3956"/>
                              <a:gd name="T23" fmla="*/ 3956 h 184"/>
                              <a:gd name="T24" fmla="+- 0 6145 5671"/>
                              <a:gd name="T25" fmla="*/ T24 w 714"/>
                              <a:gd name="T26" fmla="+- 0 3956 3956"/>
                              <a:gd name="T27" fmla="*/ 3956 h 184"/>
                              <a:gd name="T28" fmla="+- 0 5961 5671"/>
                              <a:gd name="T29" fmla="*/ T28 w 714"/>
                              <a:gd name="T30" fmla="+- 0 3956 3956"/>
                              <a:gd name="T31" fmla="*/ 3956 h 184"/>
                              <a:gd name="T32" fmla="+- 0 5892 5671"/>
                              <a:gd name="T33" fmla="*/ T32 w 714"/>
                              <a:gd name="T34" fmla="+- 0 3956 3956"/>
                              <a:gd name="T35" fmla="*/ 3956 h 184"/>
                              <a:gd name="T36" fmla="+- 0 5892 5671"/>
                              <a:gd name="T37" fmla="*/ T36 w 714"/>
                              <a:gd name="T38" fmla="+- 0 4140 3956"/>
                              <a:gd name="T39" fmla="*/ 4140 h 184"/>
                              <a:gd name="T40" fmla="+- 0 6145 5671"/>
                              <a:gd name="T41" fmla="*/ T40 w 714"/>
                              <a:gd name="T42" fmla="+- 0 4140 3956"/>
                              <a:gd name="T43" fmla="*/ 4140 h 184"/>
                              <a:gd name="T44" fmla="+- 0 6145 5671"/>
                              <a:gd name="T45" fmla="*/ T44 w 714"/>
                              <a:gd name="T46" fmla="+- 0 3956 3956"/>
                              <a:gd name="T47" fmla="*/ 3956 h 184"/>
                              <a:gd name="T48" fmla="+- 0 6385 5671"/>
                              <a:gd name="T49" fmla="*/ T48 w 714"/>
                              <a:gd name="T50" fmla="+- 0 3956 3956"/>
                              <a:gd name="T51" fmla="*/ 3956 h 184"/>
                              <a:gd name="T52" fmla="+- 0 6316 5671"/>
                              <a:gd name="T53" fmla="*/ T52 w 714"/>
                              <a:gd name="T54" fmla="+- 0 3956 3956"/>
                              <a:gd name="T55" fmla="*/ 3956 h 184"/>
                              <a:gd name="T56" fmla="+- 0 6151 5671"/>
                              <a:gd name="T57" fmla="*/ T56 w 714"/>
                              <a:gd name="T58" fmla="+- 0 3956 3956"/>
                              <a:gd name="T59" fmla="*/ 3956 h 184"/>
                              <a:gd name="T60" fmla="+- 0 6151 5671"/>
                              <a:gd name="T61" fmla="*/ T60 w 714"/>
                              <a:gd name="T62" fmla="+- 0 4140 3956"/>
                              <a:gd name="T63" fmla="*/ 4140 h 184"/>
                              <a:gd name="T64" fmla="+- 0 6385 5671"/>
                              <a:gd name="T65" fmla="*/ T64 w 714"/>
                              <a:gd name="T66" fmla="+- 0 4140 3956"/>
                              <a:gd name="T67" fmla="*/ 4140 h 184"/>
                              <a:gd name="T68" fmla="+- 0 6385 5671"/>
                              <a:gd name="T69" fmla="*/ T68 w 714"/>
                              <a:gd name="T70" fmla="+- 0 3956 3956"/>
                              <a:gd name="T71" fmla="*/ 3956 h 18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714" h="184">
                                <a:moveTo>
                                  <a:pt x="215" y="0"/>
                                </a:moveTo>
                                <a:lnTo>
                                  <a:pt x="69" y="0"/>
                                </a:lnTo>
                                <a:lnTo>
                                  <a:pt x="0" y="0"/>
                                </a:lnTo>
                                <a:lnTo>
                                  <a:pt x="0" y="184"/>
                                </a:lnTo>
                                <a:lnTo>
                                  <a:pt x="215" y="184"/>
                                </a:lnTo>
                                <a:lnTo>
                                  <a:pt x="215" y="0"/>
                                </a:lnTo>
                                <a:close/>
                                <a:moveTo>
                                  <a:pt x="474" y="0"/>
                                </a:moveTo>
                                <a:lnTo>
                                  <a:pt x="290" y="0"/>
                                </a:lnTo>
                                <a:lnTo>
                                  <a:pt x="221" y="0"/>
                                </a:lnTo>
                                <a:lnTo>
                                  <a:pt x="221" y="184"/>
                                </a:lnTo>
                                <a:lnTo>
                                  <a:pt x="474" y="184"/>
                                </a:lnTo>
                                <a:lnTo>
                                  <a:pt x="474" y="0"/>
                                </a:lnTo>
                                <a:close/>
                                <a:moveTo>
                                  <a:pt x="714" y="0"/>
                                </a:moveTo>
                                <a:lnTo>
                                  <a:pt x="645" y="0"/>
                                </a:lnTo>
                                <a:lnTo>
                                  <a:pt x="480" y="0"/>
                                </a:lnTo>
                                <a:lnTo>
                                  <a:pt x="480" y="184"/>
                                </a:lnTo>
                                <a:lnTo>
                                  <a:pt x="714" y="184"/>
                                </a:lnTo>
                                <a:lnTo>
                                  <a:pt x="714" y="0"/>
                                </a:lnTo>
                                <a:close/>
                              </a:path>
                            </a:pathLst>
                          </a:custGeom>
                          <a:solidFill>
                            <a:srgbClr val="DCDDD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5" name="docshape255"/>
                        <wps:cNvSpPr>
                          <a:spLocks/>
                        </wps:cNvSpPr>
                        <wps:spPr bwMode="auto">
                          <a:xfrm>
                            <a:off x="4951" y="3764"/>
                            <a:ext cx="1914" cy="376"/>
                          </a:xfrm>
                          <a:custGeom>
                            <a:avLst/>
                            <a:gdLst>
                              <a:gd name="T0" fmla="+- 0 5195 4951"/>
                              <a:gd name="T1" fmla="*/ T0 w 1914"/>
                              <a:gd name="T2" fmla="+- 0 3956 3765"/>
                              <a:gd name="T3" fmla="*/ 3956 h 376"/>
                              <a:gd name="T4" fmla="+- 0 5020 4951"/>
                              <a:gd name="T5" fmla="*/ T4 w 1914"/>
                              <a:gd name="T6" fmla="+- 0 3956 3765"/>
                              <a:gd name="T7" fmla="*/ 3956 h 376"/>
                              <a:gd name="T8" fmla="+- 0 4951 4951"/>
                              <a:gd name="T9" fmla="*/ T8 w 1914"/>
                              <a:gd name="T10" fmla="+- 0 3956 3765"/>
                              <a:gd name="T11" fmla="*/ 3956 h 376"/>
                              <a:gd name="T12" fmla="+- 0 4951 4951"/>
                              <a:gd name="T13" fmla="*/ T12 w 1914"/>
                              <a:gd name="T14" fmla="+- 0 4140 3765"/>
                              <a:gd name="T15" fmla="*/ 4140 h 376"/>
                              <a:gd name="T16" fmla="+- 0 5195 4951"/>
                              <a:gd name="T17" fmla="*/ T16 w 1914"/>
                              <a:gd name="T18" fmla="+- 0 4140 3765"/>
                              <a:gd name="T19" fmla="*/ 4140 h 376"/>
                              <a:gd name="T20" fmla="+- 0 5195 4951"/>
                              <a:gd name="T21" fmla="*/ T20 w 1914"/>
                              <a:gd name="T22" fmla="+- 0 3956 3765"/>
                              <a:gd name="T23" fmla="*/ 3956 h 376"/>
                              <a:gd name="T24" fmla="+- 0 5401 4951"/>
                              <a:gd name="T25" fmla="*/ T24 w 1914"/>
                              <a:gd name="T26" fmla="+- 0 3956 3765"/>
                              <a:gd name="T27" fmla="*/ 3956 h 376"/>
                              <a:gd name="T28" fmla="+- 0 5270 4951"/>
                              <a:gd name="T29" fmla="*/ T28 w 1914"/>
                              <a:gd name="T30" fmla="+- 0 3956 3765"/>
                              <a:gd name="T31" fmla="*/ 3956 h 376"/>
                              <a:gd name="T32" fmla="+- 0 5202 4951"/>
                              <a:gd name="T33" fmla="*/ T32 w 1914"/>
                              <a:gd name="T34" fmla="+- 0 3956 3765"/>
                              <a:gd name="T35" fmla="*/ 3956 h 376"/>
                              <a:gd name="T36" fmla="+- 0 5202 4951"/>
                              <a:gd name="T37" fmla="*/ T36 w 1914"/>
                              <a:gd name="T38" fmla="+- 0 4140 3765"/>
                              <a:gd name="T39" fmla="*/ 4140 h 376"/>
                              <a:gd name="T40" fmla="+- 0 5401 4951"/>
                              <a:gd name="T41" fmla="*/ T40 w 1914"/>
                              <a:gd name="T42" fmla="+- 0 4140 3765"/>
                              <a:gd name="T43" fmla="*/ 4140 h 376"/>
                              <a:gd name="T44" fmla="+- 0 5401 4951"/>
                              <a:gd name="T45" fmla="*/ T44 w 1914"/>
                              <a:gd name="T46" fmla="+- 0 3956 3765"/>
                              <a:gd name="T47" fmla="*/ 3956 h 376"/>
                              <a:gd name="T48" fmla="+- 0 5665 4951"/>
                              <a:gd name="T49" fmla="*/ T48 w 1914"/>
                              <a:gd name="T50" fmla="+- 0 3956 3765"/>
                              <a:gd name="T51" fmla="*/ 3956 h 376"/>
                              <a:gd name="T52" fmla="+- 0 5476 4951"/>
                              <a:gd name="T53" fmla="*/ T52 w 1914"/>
                              <a:gd name="T54" fmla="+- 0 3956 3765"/>
                              <a:gd name="T55" fmla="*/ 3956 h 376"/>
                              <a:gd name="T56" fmla="+- 0 5407 4951"/>
                              <a:gd name="T57" fmla="*/ T56 w 1914"/>
                              <a:gd name="T58" fmla="+- 0 3956 3765"/>
                              <a:gd name="T59" fmla="*/ 3956 h 376"/>
                              <a:gd name="T60" fmla="+- 0 5407 4951"/>
                              <a:gd name="T61" fmla="*/ T60 w 1914"/>
                              <a:gd name="T62" fmla="+- 0 4140 3765"/>
                              <a:gd name="T63" fmla="*/ 4140 h 376"/>
                              <a:gd name="T64" fmla="+- 0 5665 4951"/>
                              <a:gd name="T65" fmla="*/ T64 w 1914"/>
                              <a:gd name="T66" fmla="+- 0 4140 3765"/>
                              <a:gd name="T67" fmla="*/ 4140 h 376"/>
                              <a:gd name="T68" fmla="+- 0 5665 4951"/>
                              <a:gd name="T69" fmla="*/ T68 w 1914"/>
                              <a:gd name="T70" fmla="+- 0 3956 3765"/>
                              <a:gd name="T71" fmla="*/ 3956 h 376"/>
                              <a:gd name="T72" fmla="+- 0 5665 4951"/>
                              <a:gd name="T73" fmla="*/ T72 w 1914"/>
                              <a:gd name="T74" fmla="+- 0 3765 3765"/>
                              <a:gd name="T75" fmla="*/ 3765 h 376"/>
                              <a:gd name="T76" fmla="+- 0 5476 4951"/>
                              <a:gd name="T77" fmla="*/ T76 w 1914"/>
                              <a:gd name="T78" fmla="+- 0 3765 3765"/>
                              <a:gd name="T79" fmla="*/ 3765 h 376"/>
                              <a:gd name="T80" fmla="+- 0 5407 4951"/>
                              <a:gd name="T81" fmla="*/ T80 w 1914"/>
                              <a:gd name="T82" fmla="+- 0 3765 3765"/>
                              <a:gd name="T83" fmla="*/ 3765 h 376"/>
                              <a:gd name="T84" fmla="+- 0 5407 4951"/>
                              <a:gd name="T85" fmla="*/ T84 w 1914"/>
                              <a:gd name="T86" fmla="+- 0 3949 3765"/>
                              <a:gd name="T87" fmla="*/ 3949 h 376"/>
                              <a:gd name="T88" fmla="+- 0 5665 4951"/>
                              <a:gd name="T89" fmla="*/ T88 w 1914"/>
                              <a:gd name="T90" fmla="+- 0 3949 3765"/>
                              <a:gd name="T91" fmla="*/ 3949 h 376"/>
                              <a:gd name="T92" fmla="+- 0 5665 4951"/>
                              <a:gd name="T93" fmla="*/ T92 w 1914"/>
                              <a:gd name="T94" fmla="+- 0 3765 3765"/>
                              <a:gd name="T95" fmla="*/ 3765 h 376"/>
                              <a:gd name="T96" fmla="+- 0 5886 4951"/>
                              <a:gd name="T97" fmla="*/ T96 w 1914"/>
                              <a:gd name="T98" fmla="+- 0 3765 3765"/>
                              <a:gd name="T99" fmla="*/ 3765 h 376"/>
                              <a:gd name="T100" fmla="+- 0 5740 4951"/>
                              <a:gd name="T101" fmla="*/ T100 w 1914"/>
                              <a:gd name="T102" fmla="+- 0 3765 3765"/>
                              <a:gd name="T103" fmla="*/ 3765 h 376"/>
                              <a:gd name="T104" fmla="+- 0 5671 4951"/>
                              <a:gd name="T105" fmla="*/ T104 w 1914"/>
                              <a:gd name="T106" fmla="+- 0 3765 3765"/>
                              <a:gd name="T107" fmla="*/ 3765 h 376"/>
                              <a:gd name="T108" fmla="+- 0 5671 4951"/>
                              <a:gd name="T109" fmla="*/ T108 w 1914"/>
                              <a:gd name="T110" fmla="+- 0 3949 3765"/>
                              <a:gd name="T111" fmla="*/ 3949 h 376"/>
                              <a:gd name="T112" fmla="+- 0 5886 4951"/>
                              <a:gd name="T113" fmla="*/ T112 w 1914"/>
                              <a:gd name="T114" fmla="+- 0 3949 3765"/>
                              <a:gd name="T115" fmla="*/ 3949 h 376"/>
                              <a:gd name="T116" fmla="+- 0 5886 4951"/>
                              <a:gd name="T117" fmla="*/ T116 w 1914"/>
                              <a:gd name="T118" fmla="+- 0 3765 3765"/>
                              <a:gd name="T119" fmla="*/ 3765 h 376"/>
                              <a:gd name="T120" fmla="+- 0 6145 4951"/>
                              <a:gd name="T121" fmla="*/ T120 w 1914"/>
                              <a:gd name="T122" fmla="+- 0 3765 3765"/>
                              <a:gd name="T123" fmla="*/ 3765 h 376"/>
                              <a:gd name="T124" fmla="+- 0 6076 4951"/>
                              <a:gd name="T125" fmla="*/ T124 w 1914"/>
                              <a:gd name="T126" fmla="+- 0 3765 3765"/>
                              <a:gd name="T127" fmla="*/ 3765 h 376"/>
                              <a:gd name="T128" fmla="+- 0 5892 4951"/>
                              <a:gd name="T129" fmla="*/ T128 w 1914"/>
                              <a:gd name="T130" fmla="+- 0 3765 3765"/>
                              <a:gd name="T131" fmla="*/ 3765 h 376"/>
                              <a:gd name="T132" fmla="+- 0 5892 4951"/>
                              <a:gd name="T133" fmla="*/ T132 w 1914"/>
                              <a:gd name="T134" fmla="+- 0 3949 3765"/>
                              <a:gd name="T135" fmla="*/ 3949 h 376"/>
                              <a:gd name="T136" fmla="+- 0 6145 4951"/>
                              <a:gd name="T137" fmla="*/ T136 w 1914"/>
                              <a:gd name="T138" fmla="+- 0 3949 3765"/>
                              <a:gd name="T139" fmla="*/ 3949 h 376"/>
                              <a:gd name="T140" fmla="+- 0 6145 4951"/>
                              <a:gd name="T141" fmla="*/ T140 w 1914"/>
                              <a:gd name="T142" fmla="+- 0 3765 3765"/>
                              <a:gd name="T143" fmla="*/ 3765 h 376"/>
                              <a:gd name="T144" fmla="+- 0 6865 4951"/>
                              <a:gd name="T145" fmla="*/ T144 w 1914"/>
                              <a:gd name="T146" fmla="+- 0 3956 3765"/>
                              <a:gd name="T147" fmla="*/ 3956 h 376"/>
                              <a:gd name="T148" fmla="+- 0 6700 4951"/>
                              <a:gd name="T149" fmla="*/ T148 w 1914"/>
                              <a:gd name="T150" fmla="+- 0 3956 3765"/>
                              <a:gd name="T151" fmla="*/ 3956 h 376"/>
                              <a:gd name="T152" fmla="+- 0 6631 4951"/>
                              <a:gd name="T153" fmla="*/ T152 w 1914"/>
                              <a:gd name="T154" fmla="+- 0 3956 3765"/>
                              <a:gd name="T155" fmla="*/ 3956 h 376"/>
                              <a:gd name="T156" fmla="+- 0 6631 4951"/>
                              <a:gd name="T157" fmla="*/ T156 w 1914"/>
                              <a:gd name="T158" fmla="+- 0 4140 3765"/>
                              <a:gd name="T159" fmla="*/ 4140 h 376"/>
                              <a:gd name="T160" fmla="+- 0 6865 4951"/>
                              <a:gd name="T161" fmla="*/ T160 w 1914"/>
                              <a:gd name="T162" fmla="+- 0 4140 3765"/>
                              <a:gd name="T163" fmla="*/ 4140 h 376"/>
                              <a:gd name="T164" fmla="+- 0 6865 4951"/>
                              <a:gd name="T165" fmla="*/ T164 w 1914"/>
                              <a:gd name="T166" fmla="+- 0 3956 3765"/>
                              <a:gd name="T167" fmla="*/ 3956 h 376"/>
                              <a:gd name="T168" fmla="+- 0 6865 4951"/>
                              <a:gd name="T169" fmla="*/ T168 w 1914"/>
                              <a:gd name="T170" fmla="+- 0 3765 3765"/>
                              <a:gd name="T171" fmla="*/ 3765 h 376"/>
                              <a:gd name="T172" fmla="+- 0 6796 4951"/>
                              <a:gd name="T173" fmla="*/ T172 w 1914"/>
                              <a:gd name="T174" fmla="+- 0 3765 3765"/>
                              <a:gd name="T175" fmla="*/ 3765 h 376"/>
                              <a:gd name="T176" fmla="+- 0 6631 4951"/>
                              <a:gd name="T177" fmla="*/ T176 w 1914"/>
                              <a:gd name="T178" fmla="+- 0 3765 3765"/>
                              <a:gd name="T179" fmla="*/ 3765 h 376"/>
                              <a:gd name="T180" fmla="+- 0 6631 4951"/>
                              <a:gd name="T181" fmla="*/ T180 w 1914"/>
                              <a:gd name="T182" fmla="+- 0 3949 3765"/>
                              <a:gd name="T183" fmla="*/ 3949 h 376"/>
                              <a:gd name="T184" fmla="+- 0 6865 4951"/>
                              <a:gd name="T185" fmla="*/ T184 w 1914"/>
                              <a:gd name="T186" fmla="+- 0 3949 3765"/>
                              <a:gd name="T187" fmla="*/ 3949 h 376"/>
                              <a:gd name="T188" fmla="+- 0 6865 4951"/>
                              <a:gd name="T189" fmla="*/ T188 w 1914"/>
                              <a:gd name="T190" fmla="+- 0 3765 3765"/>
                              <a:gd name="T191" fmla="*/ 3765 h 37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1914" h="376">
                                <a:moveTo>
                                  <a:pt x="244" y="191"/>
                                </a:moveTo>
                                <a:lnTo>
                                  <a:pt x="69" y="191"/>
                                </a:lnTo>
                                <a:lnTo>
                                  <a:pt x="0" y="191"/>
                                </a:lnTo>
                                <a:lnTo>
                                  <a:pt x="0" y="375"/>
                                </a:lnTo>
                                <a:lnTo>
                                  <a:pt x="244" y="375"/>
                                </a:lnTo>
                                <a:lnTo>
                                  <a:pt x="244" y="191"/>
                                </a:lnTo>
                                <a:close/>
                                <a:moveTo>
                                  <a:pt x="450" y="191"/>
                                </a:moveTo>
                                <a:lnTo>
                                  <a:pt x="319" y="191"/>
                                </a:lnTo>
                                <a:lnTo>
                                  <a:pt x="251" y="191"/>
                                </a:lnTo>
                                <a:lnTo>
                                  <a:pt x="251" y="375"/>
                                </a:lnTo>
                                <a:lnTo>
                                  <a:pt x="450" y="375"/>
                                </a:lnTo>
                                <a:lnTo>
                                  <a:pt x="450" y="191"/>
                                </a:lnTo>
                                <a:close/>
                                <a:moveTo>
                                  <a:pt x="714" y="191"/>
                                </a:moveTo>
                                <a:lnTo>
                                  <a:pt x="525" y="191"/>
                                </a:lnTo>
                                <a:lnTo>
                                  <a:pt x="456" y="191"/>
                                </a:lnTo>
                                <a:lnTo>
                                  <a:pt x="456" y="375"/>
                                </a:lnTo>
                                <a:lnTo>
                                  <a:pt x="714" y="375"/>
                                </a:lnTo>
                                <a:lnTo>
                                  <a:pt x="714" y="191"/>
                                </a:lnTo>
                                <a:close/>
                                <a:moveTo>
                                  <a:pt x="714" y="0"/>
                                </a:moveTo>
                                <a:lnTo>
                                  <a:pt x="525" y="0"/>
                                </a:lnTo>
                                <a:lnTo>
                                  <a:pt x="456" y="0"/>
                                </a:lnTo>
                                <a:lnTo>
                                  <a:pt x="456" y="184"/>
                                </a:lnTo>
                                <a:lnTo>
                                  <a:pt x="714" y="184"/>
                                </a:lnTo>
                                <a:lnTo>
                                  <a:pt x="714" y="0"/>
                                </a:lnTo>
                                <a:close/>
                                <a:moveTo>
                                  <a:pt x="935" y="0"/>
                                </a:moveTo>
                                <a:lnTo>
                                  <a:pt x="789" y="0"/>
                                </a:lnTo>
                                <a:lnTo>
                                  <a:pt x="720" y="0"/>
                                </a:lnTo>
                                <a:lnTo>
                                  <a:pt x="720" y="184"/>
                                </a:lnTo>
                                <a:lnTo>
                                  <a:pt x="935" y="184"/>
                                </a:lnTo>
                                <a:lnTo>
                                  <a:pt x="935" y="0"/>
                                </a:lnTo>
                                <a:close/>
                                <a:moveTo>
                                  <a:pt x="1194" y="0"/>
                                </a:moveTo>
                                <a:lnTo>
                                  <a:pt x="1125" y="0"/>
                                </a:lnTo>
                                <a:lnTo>
                                  <a:pt x="941" y="0"/>
                                </a:lnTo>
                                <a:lnTo>
                                  <a:pt x="941" y="184"/>
                                </a:lnTo>
                                <a:lnTo>
                                  <a:pt x="1194" y="184"/>
                                </a:lnTo>
                                <a:lnTo>
                                  <a:pt x="1194" y="0"/>
                                </a:lnTo>
                                <a:close/>
                                <a:moveTo>
                                  <a:pt x="1914" y="191"/>
                                </a:moveTo>
                                <a:lnTo>
                                  <a:pt x="1749" y="191"/>
                                </a:lnTo>
                                <a:lnTo>
                                  <a:pt x="1680" y="191"/>
                                </a:lnTo>
                                <a:lnTo>
                                  <a:pt x="1680" y="375"/>
                                </a:lnTo>
                                <a:lnTo>
                                  <a:pt x="1914" y="375"/>
                                </a:lnTo>
                                <a:lnTo>
                                  <a:pt x="1914" y="191"/>
                                </a:lnTo>
                                <a:close/>
                                <a:moveTo>
                                  <a:pt x="1914" y="0"/>
                                </a:moveTo>
                                <a:lnTo>
                                  <a:pt x="1845" y="0"/>
                                </a:lnTo>
                                <a:lnTo>
                                  <a:pt x="1680" y="0"/>
                                </a:lnTo>
                                <a:lnTo>
                                  <a:pt x="1680" y="184"/>
                                </a:lnTo>
                                <a:lnTo>
                                  <a:pt x="1914" y="184"/>
                                </a:lnTo>
                                <a:lnTo>
                                  <a:pt x="1914" y="0"/>
                                </a:lnTo>
                                <a:close/>
                              </a:path>
                            </a:pathLst>
                          </a:custGeom>
                          <a:solidFill>
                            <a:srgbClr val="35333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6" name="docshape256"/>
                        <wps:cNvSpPr>
                          <a:spLocks/>
                        </wps:cNvSpPr>
                        <wps:spPr bwMode="auto">
                          <a:xfrm>
                            <a:off x="6871" y="3764"/>
                            <a:ext cx="474" cy="184"/>
                          </a:xfrm>
                          <a:custGeom>
                            <a:avLst/>
                            <a:gdLst>
                              <a:gd name="T0" fmla="+- 0 7345 6871"/>
                              <a:gd name="T1" fmla="*/ T0 w 474"/>
                              <a:gd name="T2" fmla="+- 0 3765 3765"/>
                              <a:gd name="T3" fmla="*/ 3765 h 184"/>
                              <a:gd name="T4" fmla="+- 0 7276 6871"/>
                              <a:gd name="T5" fmla="*/ T4 w 474"/>
                              <a:gd name="T6" fmla="+- 0 3765 3765"/>
                              <a:gd name="T7" fmla="*/ 3765 h 184"/>
                              <a:gd name="T8" fmla="+- 0 6871 6871"/>
                              <a:gd name="T9" fmla="*/ T8 w 474"/>
                              <a:gd name="T10" fmla="+- 0 3765 3765"/>
                              <a:gd name="T11" fmla="*/ 3765 h 184"/>
                              <a:gd name="T12" fmla="+- 0 6871 6871"/>
                              <a:gd name="T13" fmla="*/ T12 w 474"/>
                              <a:gd name="T14" fmla="+- 0 3949 3765"/>
                              <a:gd name="T15" fmla="*/ 3949 h 184"/>
                              <a:gd name="T16" fmla="+- 0 7345 6871"/>
                              <a:gd name="T17" fmla="*/ T16 w 474"/>
                              <a:gd name="T18" fmla="+- 0 3949 3765"/>
                              <a:gd name="T19" fmla="*/ 3949 h 184"/>
                              <a:gd name="T20" fmla="+- 0 7345 6871"/>
                              <a:gd name="T21" fmla="*/ T20 w 474"/>
                              <a:gd name="T22" fmla="+- 0 3765 3765"/>
                              <a:gd name="T23" fmla="*/ 3765 h 184"/>
                            </a:gdLst>
                            <a:ahLst/>
                            <a:cxnLst>
                              <a:cxn ang="0">
                                <a:pos x="T1" y="T3"/>
                              </a:cxn>
                              <a:cxn ang="0">
                                <a:pos x="T5" y="T7"/>
                              </a:cxn>
                              <a:cxn ang="0">
                                <a:pos x="T9" y="T11"/>
                              </a:cxn>
                              <a:cxn ang="0">
                                <a:pos x="T13" y="T15"/>
                              </a:cxn>
                              <a:cxn ang="0">
                                <a:pos x="T17" y="T19"/>
                              </a:cxn>
                              <a:cxn ang="0">
                                <a:pos x="T21" y="T23"/>
                              </a:cxn>
                            </a:cxnLst>
                            <a:rect l="0" t="0" r="r" b="b"/>
                            <a:pathLst>
                              <a:path w="474" h="184">
                                <a:moveTo>
                                  <a:pt x="474" y="0"/>
                                </a:moveTo>
                                <a:lnTo>
                                  <a:pt x="405" y="0"/>
                                </a:lnTo>
                                <a:lnTo>
                                  <a:pt x="0" y="0"/>
                                </a:lnTo>
                                <a:lnTo>
                                  <a:pt x="0" y="184"/>
                                </a:lnTo>
                                <a:lnTo>
                                  <a:pt x="474" y="184"/>
                                </a:lnTo>
                                <a:lnTo>
                                  <a:pt x="474" y="0"/>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1B3959D" id="docshapegroup248" o:spid="_x0000_s1026" style="position:absolute;margin-left:103.55pt;margin-top:188.25pt;width:263.7pt;height:18.8pt;z-index:-19575296;mso-position-horizontal-relative:page" coordorigin="2071,3765" coordsize="5274,3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">
                <v:shape id="docshape249" o:spid="_x0000_s1027" style="position:absolute;left:2070;top:3764;width:2394;height:376;visibility:visible;mso-wrap-style:square;v-text-anchor:top" coordsize="2394,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" path="m233,191r-68,l,191,,375r233,l233,191xm233,l165,,,,,184r233,l233,xm473,191r-68,l240,191r,184l473,375r,-184xm473,l405,,240,r,184l473,184,473,xm713,191r-68,l480,191r,184l713,375r,-184xm713,l645,,480,r,184l713,184,713,xm953,191r-68,l720,191r,184l953,375r,-184xm953,l885,,720,r,184l953,184,953,xm1193,191r-68,l960,191r,184l1193,375r,-184xm1193,r-68,l960,r,184l1193,184,1193,xm1433,191r-68,l1200,191r,184l1433,375r,-184xm1433,r-68,l1200,r,184l1433,184,1433,xm1673,191r-68,l1440,191r,184l1673,375r,-184xm1673,r-68,l1440,r,184l1673,184,1673,xm1913,191r-68,l1680,191r,184l1913,375r,-184xm1913,r-68,l1680,r,184l1913,184,1913,xm2153,191r-68,l1920,191r,184l2153,375r,-184xm2153,r-68,l1920,r,184l2153,184,2153,xm2393,191r-68,l2160,191r,184l2393,375r,-184xe" fillcolor="#808285" stroked="f">
                  <v:path arrowok="t" o:connecttype="custom" o:connectlocs="165,3956;0,4140;233,3956;165,3765;0,3949;233,3765;405,3956;240,4140;473,3956;405,3765;240,3949;473,3765;645,3956;480,4140;713,3956;645,3765;480,3949;713,3765;885,3956;720,4140;953,3956;885,3765;720,3949;953,3765;1125,3956;960,4140;1193,3956;1125,3765;960,3949;1193,3765;1365,3956;1200,4140;1433,3956;1365,3765;1200,3949;1433,3765;1605,3956;1440,4140;1673,3956;1605,3765;1440,3949;1673,3765;1845,3956;1680,4140;1913,3956;1845,3765;1680,3949;1913,3765;2085,3956;1920,4140;2153,3956;2085,3765;1920,3949;2153,3765;2325,3956;2160,4140;2393,3956" o:connectangles="0,0,0,0,0,0,0,0,0,0,0,0,0,0,0,0,0,0,0,0,0,0,0,0,0,0,0,0,0,0,0,0,0,0,0,0,0,0,0,0,0,0,0,0,0,0,0,0,0,0,0,0,0,0,0,0,0"/>
                </v:shape>
                <v:shape id="docshape250" o:spid="_x0000_s1028" style="position:absolute;left:4230;top:3764;width:234;height:184;visibility:visible;mso-wrap-style:square;v-text-anchor:top" coordsize="234,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" path="m233,l69,,,,,184r233,l233,xe" fillcolor="#353334" stroked="f">
                  <v:path arrowok="t" o:connecttype="custom" o:connectlocs="233,3765;69,3765;0,3765;0,3949;233,3949;233,3765" o:connectangles="0,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251" o:spid="_x0000_s1029" type="#_x0000_t75" style="position:absolute;left:4729;top:3764;width:466;height:1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">
                  <v:imagedata r:id="rId38" o:title=""/>
                </v:shape>
                <v:shape id="docshape252" o:spid="_x0000_s1030" style="position:absolute;left:4470;top:3764;width:930;height:376;visibility:visible;mso-wrap-style:square;v-text-anchor:top" coordsize="930,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" path="m251,l69,,,,,184r251,l251,xm474,191r-147,l259,191r,184l474,375r,-184xm930,l799,,731,r,184l930,184,930,xe" fillcolor="#353334" stroked="f">
                  <v:path arrowok="t" o:connecttype="custom" o:connectlocs="251,3765;69,3765;0,3765;0,3949;251,3949;251,3765;474,3956;327,3956;259,3956;259,4140;474,4140;474,3956;930,3765;799,3765;731,3765;731,3949;930,3949;930,3765" o:connectangles="0,0,0,0,0,0,0,0,0,0,0,0,0,0,0,0,0,0"/>
                </v:shape>
                <v:shape id="docshape253" o:spid="_x0000_s1031" type="#_x0000_t75" style="position:absolute;left:6151;top:3764;width:474;height:1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">
                  <v:imagedata r:id="rId39" o:title=""/>
                </v:shape>
                <v:shape id="docshape254" o:spid="_x0000_s1032" style="position:absolute;left:5671;top:3956;width:714;height:184;visibility:visible;mso-wrap-style:square;v-text-anchor:top" coordsize="714,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" path="m215,l69,,,,,184r215,l215,xm474,l290,,221,r,184l474,184,474,xm714,l645,,480,r,184l714,184,714,xe" fillcolor="#dcddde" stroked="f">
                  <v:path arrowok="t" o:connecttype="custom" o:connectlocs="215,3956;69,3956;0,3956;0,4140;215,4140;215,3956;474,3956;290,3956;221,3956;221,4140;474,4140;474,3956;714,3956;645,3956;480,3956;480,4140;714,4140;714,3956" o:connectangles="0,0,0,0,0,0,0,0,0,0,0,0,0,0,0,0,0,0"/>
                </v:shape>
                <v:shape id="docshape255" o:spid="_x0000_s1033" style="position:absolute;left:4951;top:3764;width:1914;height:376;visibility:visible;mso-wrap-style:square;v-text-anchor:top" coordsize="1914,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" path="m244,191r-175,l,191,,375r244,l244,191xm450,191r-131,l251,191r,184l450,375r,-184xm714,191r-189,l456,191r,184l714,375r,-184xm714,l525,,456,r,184l714,184,714,xm935,l789,,720,r,184l935,184,935,xm1194,r-69,l941,r,184l1194,184,1194,xm1914,191r-165,l1680,191r,184l1914,375r,-184xm1914,r-69,l1680,r,184l1914,184,1914,xe" fillcolor="#353334" stroked="f">
                  <v:path arrowok="t" o:connecttype="custom" o:connectlocs="244,3956;69,3956;0,3956;0,4140;244,4140;244,3956;450,3956;319,3956;251,3956;251,4140;450,4140;450,3956;714,3956;525,3956;456,3956;456,4140;714,4140;714,3956;714,3765;525,3765;456,3765;456,3949;714,3949;714,3765;935,3765;789,3765;720,3765;720,3949;935,3949;935,3765;1194,3765;1125,3765;941,3765;941,3949;1194,3949;1194,3765;1914,3956;1749,3956;1680,3956;1680,4140;1914,4140;1914,3956;1914,3765;1845,3765;1680,3765;1680,3949;1914,3949;1914,3765" o:connectangles="0,0,0,0,0,0,0,0,0,0,0,0,0,0,0,0,0,0,0,0,0,0,0,0,0,0,0,0,0,0,0,0,0,0,0,0,0,0,0,0,0,0,0,0,0,0,0,0"/>
                </v:shape>
                <v:shape id="docshape256" o:spid="_x0000_s1034" style="position:absolute;left:6871;top:3764;width:474;height:184;visibility:visible;mso-wrap-style:square;v-text-anchor:top" coordsize="474,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" path="m474,l405,,,,,184r474,l474,xe" fillcolor="#231f20" stroked="f">
                  <v:path arrowok="t" o:connecttype="custom" o:connectlocs="474,3765;405,3765;0,3765;0,3949;474,3949;474,3765" o:connectangles="0,0,0,0,0,0"/>
                </v:shape>
                <w10:wrap anchorx="page"/>
              </v:group>
            </w:pict>
          </mc:Fallback>
        </mc:AlternateContent>
      </w:r>
      <w:r>
        <w:rPr>
          <w:color w:val="231F20"/>
        </w:rPr>
        <w:t xml:space="preserve">Figure 9.1 illustrates the expansion of the rugby union competition season in New Zealand from 1975 to 2017. Using data drawn from New </w:t>
      </w:r>
      <w:r>
        <w:rPr>
          <w:color w:val="231F20"/>
          <w:w w:val="95"/>
        </w:rPr>
        <w:t>Zealand</w:t>
      </w:r>
      <w:r>
        <w:rPr>
          <w:color w:val="231F20"/>
          <w:spacing w:val="-4"/>
          <w:w w:val="95"/>
        </w:rPr>
        <w:t xml:space="preserve"> </w:t>
      </w:r>
      <w:r>
        <w:rPr>
          <w:color w:val="231F20"/>
          <w:w w:val="95"/>
        </w:rPr>
        <w:t>Rugby</w:t>
      </w:r>
      <w:r>
        <w:rPr>
          <w:color w:val="231F20"/>
          <w:spacing w:val="-4"/>
          <w:w w:val="95"/>
        </w:rPr>
        <w:t xml:space="preserve"> </w:t>
      </w:r>
      <w:r>
        <w:rPr>
          <w:color w:val="231F20"/>
          <w:w w:val="95"/>
        </w:rPr>
        <w:t>Union</w:t>
      </w:r>
      <w:r>
        <w:rPr>
          <w:color w:val="231F20"/>
          <w:spacing w:val="-4"/>
          <w:w w:val="95"/>
        </w:rPr>
        <w:t xml:space="preserve"> </w:t>
      </w:r>
      <w:r>
        <w:rPr>
          <w:color w:val="231F20"/>
          <w:w w:val="95"/>
        </w:rPr>
        <w:t>statistics</w:t>
      </w:r>
      <w:r>
        <w:rPr>
          <w:color w:val="231F20"/>
          <w:spacing w:val="-4"/>
          <w:w w:val="95"/>
        </w:rPr>
        <w:t xml:space="preserve"> </w:t>
      </w:r>
      <w:r>
        <w:rPr>
          <w:color w:val="231F20"/>
          <w:w w:val="95"/>
        </w:rPr>
        <w:t>published</w:t>
      </w:r>
      <w:r>
        <w:rPr>
          <w:color w:val="231F20"/>
          <w:spacing w:val="-4"/>
          <w:w w:val="95"/>
        </w:rPr>
        <w:t xml:space="preserve"> </w:t>
      </w:r>
      <w:r>
        <w:rPr>
          <w:color w:val="231F20"/>
          <w:w w:val="95"/>
        </w:rPr>
        <w:t>on</w:t>
      </w:r>
      <w:r>
        <w:rPr>
          <w:color w:val="231F20"/>
          <w:spacing w:val="-4"/>
          <w:w w:val="95"/>
        </w:rPr>
        <w:t xml:space="preserve"> </w:t>
      </w:r>
      <w:r>
        <w:rPr>
          <w:color w:val="231F20"/>
          <w:w w:val="95"/>
        </w:rPr>
        <w:t>a</w:t>
      </w:r>
      <w:r>
        <w:rPr>
          <w:color w:val="231F20"/>
          <w:spacing w:val="-4"/>
          <w:w w:val="95"/>
        </w:rPr>
        <w:t xml:space="preserve"> </w:t>
      </w:r>
      <w:r>
        <w:rPr>
          <w:color w:val="231F20"/>
          <w:w w:val="95"/>
        </w:rPr>
        <w:t>season-by-season</w:t>
      </w:r>
      <w:r>
        <w:rPr>
          <w:color w:val="231F20"/>
          <w:spacing w:val="-4"/>
          <w:w w:val="95"/>
        </w:rPr>
        <w:t xml:space="preserve"> </w:t>
      </w:r>
      <w:r>
        <w:rPr>
          <w:color w:val="231F20"/>
          <w:w w:val="95"/>
        </w:rPr>
        <w:t>basis</w:t>
      </w:r>
      <w:r>
        <w:rPr>
          <w:color w:val="231F20"/>
          <w:spacing w:val="-4"/>
          <w:w w:val="95"/>
        </w:rPr>
        <w:t xml:space="preserve"> </w:t>
      </w:r>
      <w:r>
        <w:rPr>
          <w:color w:val="231F20"/>
          <w:w w:val="95"/>
        </w:rPr>
        <w:t>in</w:t>
      </w:r>
      <w:r>
        <w:rPr>
          <w:color w:val="231F20"/>
          <w:spacing w:val="-4"/>
          <w:w w:val="95"/>
        </w:rPr>
        <w:t xml:space="preserve"> </w:t>
      </w:r>
      <w:r>
        <w:rPr>
          <w:color w:val="231F20"/>
          <w:w w:val="95"/>
        </w:rPr>
        <w:t xml:space="preserve">the New Zealand Rugby Almanac, the expansion of the rugby season is evident. </w:t>
      </w:r>
      <w:r>
        <w:rPr>
          <w:color w:val="231F20"/>
        </w:rPr>
        <w:t>This expansion of the sport season was advanced by the introduction of the National Provincial Championship (NPC) in 1976 and the transition to</w:t>
      </w:r>
      <w:r>
        <w:rPr>
          <w:color w:val="231F20"/>
          <w:spacing w:val="-12"/>
        </w:rPr>
        <w:t xml:space="preserve"> </w:t>
      </w:r>
      <w:r>
        <w:rPr>
          <w:color w:val="231F20"/>
        </w:rPr>
        <w:t>professionalisation</w:t>
      </w:r>
      <w:r>
        <w:rPr>
          <w:color w:val="231F20"/>
          <w:spacing w:val="-12"/>
        </w:rPr>
        <w:t xml:space="preserve"> </w:t>
      </w:r>
      <w:r>
        <w:rPr>
          <w:color w:val="231F20"/>
        </w:rPr>
        <w:t>of</w:t>
      </w:r>
      <w:r>
        <w:rPr>
          <w:color w:val="231F20"/>
          <w:spacing w:val="-11"/>
        </w:rPr>
        <w:t xml:space="preserve"> </w:t>
      </w:r>
      <w:r>
        <w:rPr>
          <w:color w:val="231F20"/>
        </w:rPr>
        <w:t>rugby</w:t>
      </w:r>
      <w:r>
        <w:rPr>
          <w:color w:val="231F20"/>
          <w:spacing w:val="-12"/>
        </w:rPr>
        <w:t xml:space="preserve"> </w:t>
      </w:r>
      <w:r>
        <w:rPr>
          <w:color w:val="231F20"/>
        </w:rPr>
        <w:t>union</w:t>
      </w:r>
      <w:r>
        <w:rPr>
          <w:color w:val="231F20"/>
          <w:spacing w:val="-11"/>
        </w:rPr>
        <w:t xml:space="preserve"> </w:t>
      </w:r>
      <w:r>
        <w:rPr>
          <w:color w:val="231F20"/>
        </w:rPr>
        <w:t>in</w:t>
      </w:r>
      <w:r>
        <w:rPr>
          <w:color w:val="231F20"/>
          <w:spacing w:val="-12"/>
        </w:rPr>
        <w:t xml:space="preserve"> </w:t>
      </w:r>
      <w:r>
        <w:rPr>
          <w:color w:val="231F20"/>
        </w:rPr>
        <w:t>the</w:t>
      </w:r>
      <w:r>
        <w:rPr>
          <w:color w:val="231F20"/>
          <w:spacing w:val="-11"/>
        </w:rPr>
        <w:t xml:space="preserve"> </w:t>
      </w:r>
      <w:r>
        <w:rPr>
          <w:color w:val="231F20"/>
        </w:rPr>
        <w:t>southern</w:t>
      </w:r>
      <w:r>
        <w:rPr>
          <w:color w:val="231F20"/>
          <w:spacing w:val="-12"/>
        </w:rPr>
        <w:t xml:space="preserve"> </w:t>
      </w:r>
      <w:r>
        <w:rPr>
          <w:color w:val="231F20"/>
        </w:rPr>
        <w:t>hemisphere</w:t>
      </w:r>
      <w:r>
        <w:rPr>
          <w:color w:val="231F20"/>
          <w:spacing w:val="-12"/>
        </w:rPr>
        <w:t xml:space="preserve"> </w:t>
      </w:r>
      <w:r>
        <w:rPr>
          <w:color w:val="231F20"/>
        </w:rPr>
        <w:t>in</w:t>
      </w:r>
      <w:r>
        <w:rPr>
          <w:color w:val="231F20"/>
          <w:spacing w:val="-11"/>
        </w:rPr>
        <w:t xml:space="preserve"> </w:t>
      </w:r>
      <w:r>
        <w:rPr>
          <w:color w:val="231F20"/>
        </w:rPr>
        <w:t>1996 (Higham &amp; Hinch, 2002a). Ongoing league expansion and adjustment to accommodate</w:t>
      </w:r>
      <w:r>
        <w:rPr>
          <w:color w:val="231F20"/>
          <w:spacing w:val="-8"/>
        </w:rPr>
        <w:t xml:space="preserve"> </w:t>
      </w:r>
      <w:r>
        <w:rPr>
          <w:color w:val="231F20"/>
        </w:rPr>
        <w:t>television</w:t>
      </w:r>
      <w:r>
        <w:rPr>
          <w:color w:val="231F20"/>
          <w:spacing w:val="-8"/>
        </w:rPr>
        <w:t xml:space="preserve"> </w:t>
      </w:r>
      <w:r>
        <w:rPr>
          <w:color w:val="231F20"/>
        </w:rPr>
        <w:t>broadcast</w:t>
      </w:r>
      <w:r>
        <w:rPr>
          <w:color w:val="231F20"/>
          <w:spacing w:val="-8"/>
        </w:rPr>
        <w:t xml:space="preserve"> </w:t>
      </w:r>
      <w:r>
        <w:rPr>
          <w:color w:val="231F20"/>
        </w:rPr>
        <w:t>interests</w:t>
      </w:r>
      <w:r>
        <w:rPr>
          <w:color w:val="231F20"/>
          <w:spacing w:val="-8"/>
        </w:rPr>
        <w:t xml:space="preserve"> </w:t>
      </w:r>
      <w:r>
        <w:rPr>
          <w:color w:val="231F20"/>
        </w:rPr>
        <w:t>continue</w:t>
      </w:r>
      <w:r>
        <w:rPr>
          <w:color w:val="231F20"/>
          <w:spacing w:val="-8"/>
        </w:rPr>
        <w:t xml:space="preserve"> </w:t>
      </w:r>
      <w:r>
        <w:rPr>
          <w:color w:val="231F20"/>
        </w:rPr>
        <w:t>to</w:t>
      </w:r>
      <w:r>
        <w:rPr>
          <w:color w:val="231F20"/>
          <w:spacing w:val="-8"/>
        </w:rPr>
        <w:t xml:space="preserve"> </w:t>
      </w:r>
      <w:r>
        <w:rPr>
          <w:color w:val="231F20"/>
        </w:rPr>
        <w:t>extend</w:t>
      </w:r>
      <w:r>
        <w:rPr>
          <w:color w:val="231F20"/>
          <w:spacing w:val="-8"/>
        </w:rPr>
        <w:t xml:space="preserve"> </w:t>
      </w:r>
      <w:r>
        <w:rPr>
          <w:color w:val="231F20"/>
        </w:rPr>
        <w:t>and</w:t>
      </w:r>
      <w:r>
        <w:rPr>
          <w:color w:val="231F20"/>
          <w:spacing w:val="-8"/>
        </w:rPr>
        <w:t xml:space="preserve"> </w:t>
      </w:r>
      <w:r>
        <w:rPr>
          <w:color w:val="231F20"/>
        </w:rPr>
        <w:t>shift seasonal patterns (Higham, 2005). Features of the 2010 New Zealand rugby calendar</w:t>
      </w:r>
      <w:r>
        <w:rPr>
          <w:color w:val="231F20"/>
        </w:rPr>
        <w:t xml:space="preserve"> (see also Figure 9.1) included the expansion of the early </w:t>
      </w:r>
      <w:r>
        <w:rPr>
          <w:color w:val="231F20"/>
          <w:w w:val="90"/>
        </w:rPr>
        <w:t>season</w:t>
      </w:r>
      <w:r>
        <w:rPr>
          <w:color w:val="231F20"/>
          <w:spacing w:val="10"/>
        </w:rPr>
        <w:t xml:space="preserve"> </w:t>
      </w:r>
      <w:r>
        <w:rPr>
          <w:color w:val="231F20"/>
          <w:w w:val="90"/>
        </w:rPr>
        <w:t>Super</w:t>
      </w:r>
      <w:r>
        <w:rPr>
          <w:color w:val="231F20"/>
          <w:spacing w:val="10"/>
        </w:rPr>
        <w:t xml:space="preserve"> </w:t>
      </w:r>
      <w:r>
        <w:rPr>
          <w:color w:val="231F20"/>
          <w:w w:val="90"/>
        </w:rPr>
        <w:t>12</w:t>
      </w:r>
      <w:r>
        <w:rPr>
          <w:color w:val="231F20"/>
          <w:spacing w:val="10"/>
        </w:rPr>
        <w:t xml:space="preserve"> </w:t>
      </w:r>
      <w:r>
        <w:rPr>
          <w:color w:val="231F20"/>
          <w:w w:val="90"/>
        </w:rPr>
        <w:t>competition</w:t>
      </w:r>
      <w:r>
        <w:rPr>
          <w:color w:val="231F20"/>
          <w:spacing w:val="11"/>
        </w:rPr>
        <w:t xml:space="preserve"> </w:t>
      </w:r>
      <w:r>
        <w:rPr>
          <w:color w:val="231F20"/>
          <w:w w:val="90"/>
        </w:rPr>
        <w:t>to</w:t>
      </w:r>
      <w:r>
        <w:rPr>
          <w:color w:val="231F20"/>
          <w:spacing w:val="10"/>
        </w:rPr>
        <w:t xml:space="preserve"> </w:t>
      </w:r>
      <w:r>
        <w:rPr>
          <w:color w:val="231F20"/>
          <w:w w:val="90"/>
        </w:rPr>
        <w:t>14</w:t>
      </w:r>
      <w:r>
        <w:rPr>
          <w:color w:val="231F20"/>
          <w:spacing w:val="10"/>
        </w:rPr>
        <w:t xml:space="preserve"> </w:t>
      </w:r>
      <w:r>
        <w:rPr>
          <w:color w:val="231F20"/>
          <w:w w:val="90"/>
        </w:rPr>
        <w:t>teams</w:t>
      </w:r>
      <w:r>
        <w:rPr>
          <w:color w:val="231F20"/>
          <w:spacing w:val="10"/>
        </w:rPr>
        <w:t xml:space="preserve"> </w:t>
      </w:r>
      <w:r>
        <w:rPr>
          <w:color w:val="231F20"/>
          <w:w w:val="90"/>
        </w:rPr>
        <w:t>in</w:t>
      </w:r>
      <w:r>
        <w:rPr>
          <w:color w:val="231F20"/>
          <w:spacing w:val="11"/>
        </w:rPr>
        <w:t xml:space="preserve"> </w:t>
      </w:r>
      <w:r>
        <w:rPr>
          <w:color w:val="231F20"/>
          <w:w w:val="90"/>
        </w:rPr>
        <w:t>three</w:t>
      </w:r>
      <w:r>
        <w:rPr>
          <w:color w:val="231F20"/>
          <w:spacing w:val="10"/>
        </w:rPr>
        <w:t xml:space="preserve"> </w:t>
      </w:r>
      <w:r>
        <w:rPr>
          <w:color w:val="231F20"/>
          <w:w w:val="90"/>
        </w:rPr>
        <w:t>countries</w:t>
      </w:r>
      <w:r>
        <w:rPr>
          <w:color w:val="231F20"/>
          <w:spacing w:val="10"/>
        </w:rPr>
        <w:t xml:space="preserve"> </w:t>
      </w:r>
      <w:r>
        <w:rPr>
          <w:color w:val="231F20"/>
          <w:w w:val="90"/>
        </w:rPr>
        <w:t>and</w:t>
      </w:r>
      <w:r>
        <w:rPr>
          <w:color w:val="231F20"/>
          <w:spacing w:val="10"/>
        </w:rPr>
        <w:t xml:space="preserve"> </w:t>
      </w:r>
      <w:r>
        <w:rPr>
          <w:color w:val="231F20"/>
          <w:w w:val="90"/>
        </w:rPr>
        <w:t>ultimately</w:t>
      </w:r>
      <w:r>
        <w:rPr>
          <w:color w:val="231F20"/>
          <w:spacing w:val="11"/>
        </w:rPr>
        <w:t xml:space="preserve"> </w:t>
      </w:r>
      <w:r>
        <w:rPr>
          <w:color w:val="231F20"/>
          <w:spacing w:val="-5"/>
          <w:w w:val="90"/>
        </w:rPr>
        <w:t>to</w:t>
      </w:r>
    </w:p>
    <w:p w14:paraId="007BD807" w14:textId="77777777" w:rsidR="00AE0598" w:rsidRDefault="00AE0598">
      <w:pPr>
        <w:pStyle w:val="Corpodetexto"/>
        <w:rPr>
          <w:sz w:val="20"/>
        </w:rPr>
      </w:pPr>
    </w:p>
    <w:p w14:paraId="2A1B29DC" w14:textId="77777777" w:rsidR="00AE0598" w:rsidRDefault="00AE0598">
      <w:pPr>
        <w:pStyle w:val="Corpodetexto"/>
        <w:spacing w:before="4"/>
        <w:rPr>
          <w:sz w:val="23"/>
        </w:rPr>
      </w:pPr>
    </w:p>
    <w:tbl>
      <w:tblPr>
        <w:tblStyle w:val="TableNormal"/>
        <w:tblW w:w="0" w:type="auto"/>
        <w:tblInd w:w="178"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1E0" w:firstRow="1" w:lastRow="1" w:firstColumn="1" w:lastColumn="1" w:noHBand="0" w:noVBand="0"/>
      </w:tblPr>
      <w:tblGrid>
        <w:gridCol w:w="576"/>
        <w:gridCol w:w="240"/>
        <w:gridCol w:w="240"/>
        <w:gridCol w:w="240"/>
        <w:gridCol w:w="240"/>
        <w:gridCol w:w="240"/>
        <w:gridCol w:w="240"/>
        <w:gridCol w:w="240"/>
        <w:gridCol w:w="240"/>
        <w:gridCol w:w="240"/>
        <w:gridCol w:w="240"/>
        <w:gridCol w:w="240"/>
        <w:gridCol w:w="259"/>
        <w:gridCol w:w="222"/>
        <w:gridCol w:w="247"/>
        <w:gridCol w:w="209"/>
        <w:gridCol w:w="264"/>
        <w:gridCol w:w="221"/>
        <w:gridCol w:w="259"/>
        <w:gridCol w:w="240"/>
        <w:gridCol w:w="240"/>
        <w:gridCol w:w="239"/>
        <w:gridCol w:w="240"/>
        <w:gridCol w:w="239"/>
        <w:gridCol w:w="239"/>
      </w:tblGrid>
      <w:tr w:rsidR="00AE0598" w14:paraId="0E23DC46" w14:textId="77777777">
        <w:trPr>
          <w:trHeight w:val="364"/>
        </w:trPr>
        <w:tc>
          <w:tcPr>
            <w:tcW w:w="576" w:type="dxa"/>
          </w:tcPr>
          <w:p w14:paraId="6F21A1EE" w14:textId="77777777" w:rsidR="00AE0598" w:rsidRDefault="0069255A">
            <w:pPr>
              <w:pStyle w:val="TableParagraph"/>
              <w:spacing w:before="16" w:line="180" w:lineRule="auto"/>
              <w:ind w:left="70" w:right="34"/>
              <w:rPr>
                <w:rFonts w:ascii="Segoe UI Symbol"/>
                <w:sz w:val="16"/>
              </w:rPr>
            </w:pPr>
            <w:r>
              <w:rPr>
                <w:rFonts w:ascii="Segoe UI Symbol"/>
                <w:color w:val="231F20"/>
                <w:spacing w:val="-2"/>
                <w:sz w:val="16"/>
              </w:rPr>
              <w:t xml:space="preserve">Rugby </w:t>
            </w:r>
            <w:r>
              <w:rPr>
                <w:rFonts w:ascii="Segoe UI Symbol"/>
                <w:color w:val="231F20"/>
                <w:spacing w:val="-4"/>
                <w:w w:val="95"/>
                <w:sz w:val="16"/>
              </w:rPr>
              <w:t>season</w:t>
            </w:r>
          </w:p>
        </w:tc>
        <w:tc>
          <w:tcPr>
            <w:tcW w:w="480" w:type="dxa"/>
            <w:gridSpan w:val="2"/>
          </w:tcPr>
          <w:p w14:paraId="784E17F6" w14:textId="77777777" w:rsidR="00AE0598" w:rsidRDefault="0069255A">
            <w:pPr>
              <w:pStyle w:val="TableParagraph"/>
              <w:spacing w:before="64"/>
              <w:ind w:left="131"/>
              <w:rPr>
                <w:rFonts w:ascii="Segoe UI Symbol"/>
                <w:sz w:val="16"/>
              </w:rPr>
            </w:pPr>
            <w:r>
              <w:rPr>
                <w:rFonts w:ascii="Segoe UI Symbol"/>
                <w:color w:val="231F20"/>
                <w:spacing w:val="-5"/>
                <w:sz w:val="16"/>
              </w:rPr>
              <w:t>Jan</w:t>
            </w:r>
          </w:p>
        </w:tc>
        <w:tc>
          <w:tcPr>
            <w:tcW w:w="480" w:type="dxa"/>
            <w:gridSpan w:val="2"/>
          </w:tcPr>
          <w:p w14:paraId="66FA418F" w14:textId="77777777" w:rsidR="00AE0598" w:rsidRDefault="0069255A">
            <w:pPr>
              <w:pStyle w:val="TableParagraph"/>
              <w:spacing w:before="64"/>
              <w:ind w:left="118"/>
              <w:rPr>
                <w:rFonts w:ascii="Segoe UI Symbol"/>
                <w:sz w:val="16"/>
              </w:rPr>
            </w:pPr>
            <w:r>
              <w:rPr>
                <w:rFonts w:ascii="Segoe UI Symbol"/>
                <w:color w:val="231F20"/>
                <w:spacing w:val="-5"/>
                <w:sz w:val="16"/>
              </w:rPr>
              <w:t>Feb</w:t>
            </w:r>
          </w:p>
        </w:tc>
        <w:tc>
          <w:tcPr>
            <w:tcW w:w="480" w:type="dxa"/>
            <w:gridSpan w:val="2"/>
          </w:tcPr>
          <w:p w14:paraId="29B1FB45" w14:textId="77777777" w:rsidR="00AE0598" w:rsidRDefault="0069255A">
            <w:pPr>
              <w:pStyle w:val="TableParagraph"/>
              <w:spacing w:before="64"/>
              <w:ind w:left="104"/>
              <w:rPr>
                <w:rFonts w:ascii="Segoe UI Symbol"/>
                <w:sz w:val="16"/>
              </w:rPr>
            </w:pPr>
            <w:r>
              <w:rPr>
                <w:rFonts w:ascii="Segoe UI Symbol"/>
                <w:color w:val="231F20"/>
                <w:spacing w:val="-5"/>
                <w:w w:val="105"/>
                <w:sz w:val="16"/>
              </w:rPr>
              <w:t>Mar</w:t>
            </w:r>
          </w:p>
        </w:tc>
        <w:tc>
          <w:tcPr>
            <w:tcW w:w="480" w:type="dxa"/>
            <w:gridSpan w:val="2"/>
          </w:tcPr>
          <w:p w14:paraId="2C014442" w14:textId="77777777" w:rsidR="00AE0598" w:rsidRDefault="0069255A">
            <w:pPr>
              <w:pStyle w:val="TableParagraph"/>
              <w:spacing w:before="64"/>
              <w:ind w:left="113"/>
              <w:rPr>
                <w:rFonts w:ascii="Segoe UI Symbol"/>
                <w:sz w:val="16"/>
              </w:rPr>
            </w:pPr>
            <w:r>
              <w:rPr>
                <w:rFonts w:ascii="Segoe UI Symbol"/>
                <w:color w:val="231F20"/>
                <w:spacing w:val="-5"/>
                <w:sz w:val="16"/>
              </w:rPr>
              <w:t>Apr</w:t>
            </w:r>
          </w:p>
        </w:tc>
        <w:tc>
          <w:tcPr>
            <w:tcW w:w="480" w:type="dxa"/>
            <w:gridSpan w:val="2"/>
          </w:tcPr>
          <w:p w14:paraId="47A468AD" w14:textId="77777777" w:rsidR="00AE0598" w:rsidRDefault="0069255A">
            <w:pPr>
              <w:pStyle w:val="TableParagraph"/>
              <w:spacing w:before="64"/>
              <w:ind w:left="91"/>
              <w:rPr>
                <w:rFonts w:ascii="Segoe UI Symbol"/>
                <w:sz w:val="16"/>
              </w:rPr>
            </w:pPr>
            <w:r>
              <w:rPr>
                <w:rFonts w:ascii="Segoe UI Symbol"/>
                <w:color w:val="231F20"/>
                <w:spacing w:val="-5"/>
                <w:w w:val="105"/>
                <w:sz w:val="16"/>
              </w:rPr>
              <w:t>May</w:t>
            </w:r>
          </w:p>
        </w:tc>
        <w:tc>
          <w:tcPr>
            <w:tcW w:w="499" w:type="dxa"/>
            <w:gridSpan w:val="2"/>
          </w:tcPr>
          <w:p w14:paraId="09508061" w14:textId="77777777" w:rsidR="00AE0598" w:rsidRDefault="0069255A">
            <w:pPr>
              <w:pStyle w:val="TableParagraph"/>
              <w:spacing w:before="64"/>
              <w:ind w:left="100"/>
              <w:rPr>
                <w:rFonts w:ascii="Segoe UI Symbol"/>
                <w:sz w:val="16"/>
              </w:rPr>
            </w:pPr>
            <w:r>
              <w:rPr>
                <w:rFonts w:ascii="Segoe UI Symbol"/>
                <w:color w:val="231F20"/>
                <w:spacing w:val="-4"/>
                <w:sz w:val="16"/>
              </w:rPr>
              <w:t>June</w:t>
            </w:r>
          </w:p>
        </w:tc>
        <w:tc>
          <w:tcPr>
            <w:tcW w:w="469" w:type="dxa"/>
            <w:gridSpan w:val="2"/>
          </w:tcPr>
          <w:p w14:paraId="7059C04F" w14:textId="77777777" w:rsidR="00AE0598" w:rsidRDefault="0069255A">
            <w:pPr>
              <w:pStyle w:val="TableParagraph"/>
              <w:spacing w:before="64"/>
              <w:ind w:left="100"/>
              <w:rPr>
                <w:rFonts w:ascii="Segoe UI Symbol"/>
                <w:sz w:val="16"/>
              </w:rPr>
            </w:pPr>
            <w:r>
              <w:rPr>
                <w:rFonts w:ascii="Segoe UI Symbol"/>
                <w:color w:val="231F20"/>
                <w:spacing w:val="-4"/>
                <w:w w:val="105"/>
                <w:sz w:val="16"/>
              </w:rPr>
              <w:t>July</w:t>
            </w:r>
          </w:p>
        </w:tc>
        <w:tc>
          <w:tcPr>
            <w:tcW w:w="473" w:type="dxa"/>
            <w:gridSpan w:val="2"/>
          </w:tcPr>
          <w:p w14:paraId="3E3383F2" w14:textId="77777777" w:rsidR="00AE0598" w:rsidRDefault="0069255A">
            <w:pPr>
              <w:pStyle w:val="TableParagraph"/>
              <w:spacing w:before="64"/>
              <w:ind w:left="97"/>
              <w:rPr>
                <w:rFonts w:ascii="Segoe UI Symbol"/>
                <w:sz w:val="16"/>
              </w:rPr>
            </w:pPr>
            <w:r>
              <w:rPr>
                <w:rFonts w:ascii="Segoe UI Symbol"/>
                <w:color w:val="231F20"/>
                <w:spacing w:val="-5"/>
                <w:sz w:val="16"/>
              </w:rPr>
              <w:t>Aug</w:t>
            </w:r>
          </w:p>
        </w:tc>
        <w:tc>
          <w:tcPr>
            <w:tcW w:w="480" w:type="dxa"/>
            <w:gridSpan w:val="2"/>
          </w:tcPr>
          <w:p w14:paraId="5959AE75" w14:textId="77777777" w:rsidR="00AE0598" w:rsidRDefault="0069255A">
            <w:pPr>
              <w:pStyle w:val="TableParagraph"/>
              <w:spacing w:before="64"/>
              <w:ind w:left="95"/>
              <w:rPr>
                <w:rFonts w:ascii="Segoe UI Symbol"/>
                <w:sz w:val="16"/>
              </w:rPr>
            </w:pPr>
            <w:r>
              <w:rPr>
                <w:rFonts w:ascii="Segoe UI Symbol"/>
                <w:color w:val="231F20"/>
                <w:spacing w:val="-4"/>
                <w:sz w:val="16"/>
              </w:rPr>
              <w:t>Sept</w:t>
            </w:r>
          </w:p>
        </w:tc>
        <w:tc>
          <w:tcPr>
            <w:tcW w:w="480" w:type="dxa"/>
            <w:gridSpan w:val="2"/>
          </w:tcPr>
          <w:p w14:paraId="6086ACA6" w14:textId="77777777" w:rsidR="00AE0598" w:rsidRDefault="0069255A">
            <w:pPr>
              <w:pStyle w:val="TableParagraph"/>
              <w:spacing w:before="64"/>
              <w:ind w:left="121"/>
              <w:rPr>
                <w:rFonts w:ascii="Segoe UI Symbol"/>
                <w:sz w:val="16"/>
              </w:rPr>
            </w:pPr>
            <w:r>
              <w:rPr>
                <w:rFonts w:ascii="Segoe UI Symbol"/>
                <w:color w:val="231F20"/>
                <w:spacing w:val="-5"/>
                <w:w w:val="105"/>
                <w:sz w:val="16"/>
              </w:rPr>
              <w:t>Oct</w:t>
            </w:r>
          </w:p>
        </w:tc>
        <w:tc>
          <w:tcPr>
            <w:tcW w:w="479" w:type="dxa"/>
            <w:gridSpan w:val="2"/>
          </w:tcPr>
          <w:p w14:paraId="299A3698" w14:textId="77777777" w:rsidR="00AE0598" w:rsidRDefault="0069255A">
            <w:pPr>
              <w:pStyle w:val="TableParagraph"/>
              <w:spacing w:before="64"/>
              <w:ind w:left="100"/>
              <w:rPr>
                <w:rFonts w:ascii="Segoe UI Symbol"/>
                <w:sz w:val="16"/>
              </w:rPr>
            </w:pPr>
            <w:r>
              <w:rPr>
                <w:rFonts w:ascii="Segoe UI Symbol"/>
                <w:color w:val="231F20"/>
                <w:spacing w:val="-5"/>
                <w:sz w:val="16"/>
              </w:rPr>
              <w:t>Nov</w:t>
            </w:r>
          </w:p>
        </w:tc>
        <w:tc>
          <w:tcPr>
            <w:tcW w:w="478" w:type="dxa"/>
            <w:gridSpan w:val="2"/>
          </w:tcPr>
          <w:p w14:paraId="1C2D3A57" w14:textId="77777777" w:rsidR="00AE0598" w:rsidRDefault="0069255A">
            <w:pPr>
              <w:pStyle w:val="TableParagraph"/>
              <w:spacing w:before="64"/>
              <w:ind w:left="109"/>
              <w:rPr>
                <w:rFonts w:ascii="Segoe UI Symbol"/>
                <w:sz w:val="16"/>
              </w:rPr>
            </w:pPr>
            <w:r>
              <w:rPr>
                <w:rFonts w:ascii="Segoe UI Symbol"/>
                <w:color w:val="231F20"/>
                <w:spacing w:val="-5"/>
                <w:sz w:val="16"/>
              </w:rPr>
              <w:t>Dec</w:t>
            </w:r>
          </w:p>
        </w:tc>
      </w:tr>
      <w:tr w:rsidR="00AE0598" w14:paraId="1C57599A" w14:textId="77777777">
        <w:trPr>
          <w:trHeight w:val="180"/>
        </w:trPr>
        <w:tc>
          <w:tcPr>
            <w:tcW w:w="576" w:type="dxa"/>
          </w:tcPr>
          <w:p w14:paraId="10C6138B" w14:textId="77777777" w:rsidR="00AE0598" w:rsidRDefault="0069255A">
            <w:pPr>
              <w:pStyle w:val="TableParagraph"/>
              <w:spacing w:line="160" w:lineRule="exact"/>
              <w:ind w:left="90" w:right="82"/>
              <w:jc w:val="center"/>
              <w:rPr>
                <w:rFonts w:ascii="Segoe UI Symbol"/>
                <w:sz w:val="16"/>
              </w:rPr>
            </w:pPr>
            <w:r>
              <w:rPr>
                <w:rFonts w:ascii="Segoe UI Symbol"/>
                <w:color w:val="231F20"/>
                <w:spacing w:val="-4"/>
                <w:sz w:val="16"/>
              </w:rPr>
              <w:t>2017</w:t>
            </w:r>
          </w:p>
        </w:tc>
        <w:tc>
          <w:tcPr>
            <w:tcW w:w="240" w:type="dxa"/>
          </w:tcPr>
          <w:p w14:paraId="19E8721F" w14:textId="77777777" w:rsidR="00AE0598" w:rsidRDefault="00AE0598">
            <w:pPr>
              <w:pStyle w:val="TableParagraph"/>
              <w:rPr>
                <w:rFonts w:ascii="Times New Roman"/>
                <w:sz w:val="12"/>
              </w:rPr>
            </w:pPr>
          </w:p>
        </w:tc>
        <w:tc>
          <w:tcPr>
            <w:tcW w:w="240" w:type="dxa"/>
          </w:tcPr>
          <w:p w14:paraId="056ED2B3" w14:textId="77777777" w:rsidR="00AE0598" w:rsidRDefault="00AE0598">
            <w:pPr>
              <w:pStyle w:val="TableParagraph"/>
              <w:rPr>
                <w:rFonts w:ascii="Times New Roman"/>
                <w:sz w:val="12"/>
              </w:rPr>
            </w:pPr>
          </w:p>
        </w:tc>
        <w:tc>
          <w:tcPr>
            <w:tcW w:w="240" w:type="dxa"/>
          </w:tcPr>
          <w:p w14:paraId="0795E2CA" w14:textId="77777777" w:rsidR="00AE0598" w:rsidRDefault="00AE0598">
            <w:pPr>
              <w:pStyle w:val="TableParagraph"/>
              <w:rPr>
                <w:rFonts w:ascii="Times New Roman"/>
                <w:sz w:val="12"/>
              </w:rPr>
            </w:pPr>
          </w:p>
        </w:tc>
        <w:tc>
          <w:tcPr>
            <w:tcW w:w="240" w:type="dxa"/>
          </w:tcPr>
          <w:p w14:paraId="1C2A16FB" w14:textId="77777777" w:rsidR="00AE0598" w:rsidRDefault="00AE0598">
            <w:pPr>
              <w:pStyle w:val="TableParagraph"/>
              <w:rPr>
                <w:rFonts w:ascii="Times New Roman"/>
                <w:sz w:val="12"/>
              </w:rPr>
            </w:pPr>
          </w:p>
        </w:tc>
        <w:tc>
          <w:tcPr>
            <w:tcW w:w="240" w:type="dxa"/>
          </w:tcPr>
          <w:p w14:paraId="15C06C7C" w14:textId="77777777" w:rsidR="00AE0598" w:rsidRDefault="00AE0598">
            <w:pPr>
              <w:pStyle w:val="TableParagraph"/>
              <w:rPr>
                <w:rFonts w:ascii="Times New Roman"/>
                <w:sz w:val="12"/>
              </w:rPr>
            </w:pPr>
          </w:p>
        </w:tc>
        <w:tc>
          <w:tcPr>
            <w:tcW w:w="240" w:type="dxa"/>
          </w:tcPr>
          <w:p w14:paraId="120E8799" w14:textId="77777777" w:rsidR="00AE0598" w:rsidRDefault="00AE0598">
            <w:pPr>
              <w:pStyle w:val="TableParagraph"/>
              <w:rPr>
                <w:rFonts w:ascii="Times New Roman"/>
                <w:sz w:val="12"/>
              </w:rPr>
            </w:pPr>
          </w:p>
        </w:tc>
        <w:tc>
          <w:tcPr>
            <w:tcW w:w="240" w:type="dxa"/>
          </w:tcPr>
          <w:p w14:paraId="5274B50C" w14:textId="77777777" w:rsidR="00AE0598" w:rsidRDefault="00AE0598">
            <w:pPr>
              <w:pStyle w:val="TableParagraph"/>
              <w:rPr>
                <w:rFonts w:ascii="Times New Roman"/>
                <w:sz w:val="12"/>
              </w:rPr>
            </w:pPr>
          </w:p>
        </w:tc>
        <w:tc>
          <w:tcPr>
            <w:tcW w:w="240" w:type="dxa"/>
          </w:tcPr>
          <w:p w14:paraId="62527D9A" w14:textId="77777777" w:rsidR="00AE0598" w:rsidRDefault="00AE0598">
            <w:pPr>
              <w:pStyle w:val="TableParagraph"/>
              <w:rPr>
                <w:rFonts w:ascii="Times New Roman"/>
                <w:sz w:val="12"/>
              </w:rPr>
            </w:pPr>
          </w:p>
        </w:tc>
        <w:tc>
          <w:tcPr>
            <w:tcW w:w="240" w:type="dxa"/>
          </w:tcPr>
          <w:p w14:paraId="11A95A89" w14:textId="77777777" w:rsidR="00AE0598" w:rsidRDefault="00AE0598">
            <w:pPr>
              <w:pStyle w:val="TableParagraph"/>
              <w:rPr>
                <w:rFonts w:ascii="Times New Roman"/>
                <w:sz w:val="12"/>
              </w:rPr>
            </w:pPr>
          </w:p>
        </w:tc>
        <w:tc>
          <w:tcPr>
            <w:tcW w:w="240" w:type="dxa"/>
          </w:tcPr>
          <w:p w14:paraId="2902E83A" w14:textId="77777777" w:rsidR="00AE0598" w:rsidRDefault="00AE0598">
            <w:pPr>
              <w:pStyle w:val="TableParagraph"/>
              <w:rPr>
                <w:rFonts w:ascii="Times New Roman"/>
                <w:sz w:val="12"/>
              </w:rPr>
            </w:pPr>
          </w:p>
        </w:tc>
        <w:tc>
          <w:tcPr>
            <w:tcW w:w="240" w:type="dxa"/>
          </w:tcPr>
          <w:p w14:paraId="6F93C439" w14:textId="77777777" w:rsidR="00AE0598" w:rsidRDefault="00AE0598">
            <w:pPr>
              <w:pStyle w:val="TableParagraph"/>
              <w:rPr>
                <w:rFonts w:ascii="Times New Roman"/>
                <w:sz w:val="12"/>
              </w:rPr>
            </w:pPr>
          </w:p>
        </w:tc>
        <w:tc>
          <w:tcPr>
            <w:tcW w:w="259" w:type="dxa"/>
          </w:tcPr>
          <w:p w14:paraId="12DB9FAB" w14:textId="77777777" w:rsidR="00AE0598" w:rsidRDefault="00AE0598">
            <w:pPr>
              <w:pStyle w:val="TableParagraph"/>
              <w:rPr>
                <w:rFonts w:ascii="Times New Roman"/>
                <w:sz w:val="12"/>
              </w:rPr>
            </w:pPr>
          </w:p>
        </w:tc>
        <w:tc>
          <w:tcPr>
            <w:tcW w:w="222" w:type="dxa"/>
          </w:tcPr>
          <w:p w14:paraId="0E891866" w14:textId="77777777" w:rsidR="00AE0598" w:rsidRDefault="00AE0598">
            <w:pPr>
              <w:pStyle w:val="TableParagraph"/>
              <w:rPr>
                <w:rFonts w:ascii="Times New Roman"/>
                <w:sz w:val="12"/>
              </w:rPr>
            </w:pPr>
          </w:p>
        </w:tc>
        <w:tc>
          <w:tcPr>
            <w:tcW w:w="247" w:type="dxa"/>
          </w:tcPr>
          <w:p w14:paraId="3C79BA27" w14:textId="77777777" w:rsidR="00AE0598" w:rsidRDefault="00AE0598">
            <w:pPr>
              <w:pStyle w:val="TableParagraph"/>
              <w:rPr>
                <w:rFonts w:ascii="Times New Roman"/>
                <w:sz w:val="12"/>
              </w:rPr>
            </w:pPr>
          </w:p>
        </w:tc>
        <w:tc>
          <w:tcPr>
            <w:tcW w:w="209" w:type="dxa"/>
          </w:tcPr>
          <w:p w14:paraId="24E72D61" w14:textId="77777777" w:rsidR="00AE0598" w:rsidRDefault="00AE0598">
            <w:pPr>
              <w:pStyle w:val="TableParagraph"/>
              <w:rPr>
                <w:rFonts w:ascii="Times New Roman"/>
                <w:sz w:val="12"/>
              </w:rPr>
            </w:pPr>
          </w:p>
        </w:tc>
        <w:tc>
          <w:tcPr>
            <w:tcW w:w="264" w:type="dxa"/>
          </w:tcPr>
          <w:p w14:paraId="53C4B974" w14:textId="77777777" w:rsidR="00AE0598" w:rsidRDefault="00AE0598">
            <w:pPr>
              <w:pStyle w:val="TableParagraph"/>
              <w:rPr>
                <w:rFonts w:ascii="Times New Roman"/>
                <w:sz w:val="12"/>
              </w:rPr>
            </w:pPr>
          </w:p>
        </w:tc>
        <w:tc>
          <w:tcPr>
            <w:tcW w:w="221" w:type="dxa"/>
          </w:tcPr>
          <w:p w14:paraId="3D0B8177" w14:textId="77777777" w:rsidR="00AE0598" w:rsidRDefault="00AE0598">
            <w:pPr>
              <w:pStyle w:val="TableParagraph"/>
              <w:rPr>
                <w:rFonts w:ascii="Times New Roman"/>
                <w:sz w:val="12"/>
              </w:rPr>
            </w:pPr>
          </w:p>
        </w:tc>
        <w:tc>
          <w:tcPr>
            <w:tcW w:w="259" w:type="dxa"/>
          </w:tcPr>
          <w:p w14:paraId="7D728266" w14:textId="77777777" w:rsidR="00AE0598" w:rsidRDefault="00AE0598">
            <w:pPr>
              <w:pStyle w:val="TableParagraph"/>
              <w:rPr>
                <w:rFonts w:ascii="Times New Roman"/>
                <w:sz w:val="12"/>
              </w:rPr>
            </w:pPr>
          </w:p>
        </w:tc>
        <w:tc>
          <w:tcPr>
            <w:tcW w:w="240" w:type="dxa"/>
          </w:tcPr>
          <w:p w14:paraId="2D0190E5" w14:textId="77777777" w:rsidR="00AE0598" w:rsidRDefault="00AE0598">
            <w:pPr>
              <w:pStyle w:val="TableParagraph"/>
              <w:rPr>
                <w:rFonts w:ascii="Times New Roman"/>
                <w:sz w:val="12"/>
              </w:rPr>
            </w:pPr>
          </w:p>
        </w:tc>
        <w:tc>
          <w:tcPr>
            <w:tcW w:w="240" w:type="dxa"/>
          </w:tcPr>
          <w:p w14:paraId="30207530" w14:textId="77777777" w:rsidR="00AE0598" w:rsidRDefault="00AE0598">
            <w:pPr>
              <w:pStyle w:val="TableParagraph"/>
              <w:rPr>
                <w:rFonts w:ascii="Times New Roman"/>
                <w:sz w:val="12"/>
              </w:rPr>
            </w:pPr>
          </w:p>
        </w:tc>
        <w:tc>
          <w:tcPr>
            <w:tcW w:w="239" w:type="dxa"/>
          </w:tcPr>
          <w:p w14:paraId="683C7DAA" w14:textId="77777777" w:rsidR="00AE0598" w:rsidRDefault="00AE0598">
            <w:pPr>
              <w:pStyle w:val="TableParagraph"/>
              <w:rPr>
                <w:rFonts w:ascii="Times New Roman"/>
                <w:sz w:val="12"/>
              </w:rPr>
            </w:pPr>
          </w:p>
        </w:tc>
        <w:tc>
          <w:tcPr>
            <w:tcW w:w="479" w:type="dxa"/>
            <w:gridSpan w:val="2"/>
          </w:tcPr>
          <w:p w14:paraId="73ADCAAE" w14:textId="77777777" w:rsidR="00AE0598" w:rsidRDefault="00AE0598">
            <w:pPr>
              <w:pStyle w:val="TableParagraph"/>
              <w:rPr>
                <w:rFonts w:ascii="Times New Roman"/>
                <w:sz w:val="12"/>
              </w:rPr>
            </w:pPr>
          </w:p>
        </w:tc>
        <w:tc>
          <w:tcPr>
            <w:tcW w:w="239" w:type="dxa"/>
          </w:tcPr>
          <w:p w14:paraId="6D4572F0" w14:textId="77777777" w:rsidR="00AE0598" w:rsidRDefault="00AE0598">
            <w:pPr>
              <w:pStyle w:val="TableParagraph"/>
              <w:rPr>
                <w:rFonts w:ascii="Times New Roman"/>
                <w:sz w:val="12"/>
              </w:rPr>
            </w:pPr>
          </w:p>
        </w:tc>
      </w:tr>
      <w:tr w:rsidR="00AE0598" w14:paraId="2CE8858B" w14:textId="77777777">
        <w:trPr>
          <w:trHeight w:val="181"/>
        </w:trPr>
        <w:tc>
          <w:tcPr>
            <w:tcW w:w="576" w:type="dxa"/>
          </w:tcPr>
          <w:p w14:paraId="5E151886" w14:textId="77777777" w:rsidR="00AE0598" w:rsidRDefault="0069255A">
            <w:pPr>
              <w:pStyle w:val="TableParagraph"/>
              <w:spacing w:line="161" w:lineRule="exact"/>
              <w:ind w:left="97" w:right="82"/>
              <w:jc w:val="center"/>
              <w:rPr>
                <w:rFonts w:ascii="Segoe UI Symbol"/>
                <w:sz w:val="16"/>
              </w:rPr>
            </w:pPr>
            <w:r>
              <w:rPr>
                <w:rFonts w:ascii="Segoe UI Symbol"/>
                <w:color w:val="231F20"/>
                <w:spacing w:val="-4"/>
                <w:sz w:val="16"/>
              </w:rPr>
              <w:t>2010</w:t>
            </w:r>
          </w:p>
        </w:tc>
        <w:tc>
          <w:tcPr>
            <w:tcW w:w="240" w:type="dxa"/>
          </w:tcPr>
          <w:p w14:paraId="6A5AB3A1" w14:textId="77777777" w:rsidR="00AE0598" w:rsidRDefault="00AE0598">
            <w:pPr>
              <w:pStyle w:val="TableParagraph"/>
              <w:rPr>
                <w:rFonts w:ascii="Times New Roman"/>
                <w:sz w:val="12"/>
              </w:rPr>
            </w:pPr>
          </w:p>
        </w:tc>
        <w:tc>
          <w:tcPr>
            <w:tcW w:w="240" w:type="dxa"/>
          </w:tcPr>
          <w:p w14:paraId="34AA175B" w14:textId="77777777" w:rsidR="00AE0598" w:rsidRDefault="00AE0598">
            <w:pPr>
              <w:pStyle w:val="TableParagraph"/>
              <w:rPr>
                <w:rFonts w:ascii="Times New Roman"/>
                <w:sz w:val="12"/>
              </w:rPr>
            </w:pPr>
          </w:p>
        </w:tc>
        <w:tc>
          <w:tcPr>
            <w:tcW w:w="240" w:type="dxa"/>
          </w:tcPr>
          <w:p w14:paraId="7C4EDF2A" w14:textId="77777777" w:rsidR="00AE0598" w:rsidRDefault="00AE0598">
            <w:pPr>
              <w:pStyle w:val="TableParagraph"/>
              <w:rPr>
                <w:rFonts w:ascii="Times New Roman"/>
                <w:sz w:val="12"/>
              </w:rPr>
            </w:pPr>
          </w:p>
        </w:tc>
        <w:tc>
          <w:tcPr>
            <w:tcW w:w="240" w:type="dxa"/>
          </w:tcPr>
          <w:p w14:paraId="78D437AE" w14:textId="77777777" w:rsidR="00AE0598" w:rsidRDefault="00AE0598">
            <w:pPr>
              <w:pStyle w:val="TableParagraph"/>
              <w:rPr>
                <w:rFonts w:ascii="Times New Roman"/>
                <w:sz w:val="12"/>
              </w:rPr>
            </w:pPr>
          </w:p>
        </w:tc>
        <w:tc>
          <w:tcPr>
            <w:tcW w:w="240" w:type="dxa"/>
          </w:tcPr>
          <w:p w14:paraId="0068FDEF" w14:textId="77777777" w:rsidR="00AE0598" w:rsidRDefault="00AE0598">
            <w:pPr>
              <w:pStyle w:val="TableParagraph"/>
              <w:rPr>
                <w:rFonts w:ascii="Times New Roman"/>
                <w:sz w:val="12"/>
              </w:rPr>
            </w:pPr>
          </w:p>
        </w:tc>
        <w:tc>
          <w:tcPr>
            <w:tcW w:w="240" w:type="dxa"/>
          </w:tcPr>
          <w:p w14:paraId="56E266B5" w14:textId="77777777" w:rsidR="00AE0598" w:rsidRDefault="00AE0598">
            <w:pPr>
              <w:pStyle w:val="TableParagraph"/>
              <w:rPr>
                <w:rFonts w:ascii="Times New Roman"/>
                <w:sz w:val="12"/>
              </w:rPr>
            </w:pPr>
          </w:p>
        </w:tc>
        <w:tc>
          <w:tcPr>
            <w:tcW w:w="240" w:type="dxa"/>
          </w:tcPr>
          <w:p w14:paraId="468B0007" w14:textId="77777777" w:rsidR="00AE0598" w:rsidRDefault="00AE0598">
            <w:pPr>
              <w:pStyle w:val="TableParagraph"/>
              <w:rPr>
                <w:rFonts w:ascii="Times New Roman"/>
                <w:sz w:val="12"/>
              </w:rPr>
            </w:pPr>
          </w:p>
        </w:tc>
        <w:tc>
          <w:tcPr>
            <w:tcW w:w="240" w:type="dxa"/>
          </w:tcPr>
          <w:p w14:paraId="5D8CDF56" w14:textId="77777777" w:rsidR="00AE0598" w:rsidRDefault="00AE0598">
            <w:pPr>
              <w:pStyle w:val="TableParagraph"/>
              <w:rPr>
                <w:rFonts w:ascii="Times New Roman"/>
                <w:sz w:val="12"/>
              </w:rPr>
            </w:pPr>
          </w:p>
        </w:tc>
        <w:tc>
          <w:tcPr>
            <w:tcW w:w="240" w:type="dxa"/>
          </w:tcPr>
          <w:p w14:paraId="0060DB6F" w14:textId="77777777" w:rsidR="00AE0598" w:rsidRDefault="00AE0598">
            <w:pPr>
              <w:pStyle w:val="TableParagraph"/>
              <w:rPr>
                <w:rFonts w:ascii="Times New Roman"/>
                <w:sz w:val="12"/>
              </w:rPr>
            </w:pPr>
          </w:p>
        </w:tc>
        <w:tc>
          <w:tcPr>
            <w:tcW w:w="240" w:type="dxa"/>
          </w:tcPr>
          <w:p w14:paraId="1ECEE819" w14:textId="77777777" w:rsidR="00AE0598" w:rsidRDefault="00AE0598">
            <w:pPr>
              <w:pStyle w:val="TableParagraph"/>
              <w:rPr>
                <w:rFonts w:ascii="Times New Roman"/>
                <w:sz w:val="12"/>
              </w:rPr>
            </w:pPr>
          </w:p>
        </w:tc>
        <w:tc>
          <w:tcPr>
            <w:tcW w:w="240" w:type="dxa"/>
          </w:tcPr>
          <w:p w14:paraId="02AAD876" w14:textId="77777777" w:rsidR="00AE0598" w:rsidRDefault="00AE0598">
            <w:pPr>
              <w:pStyle w:val="TableParagraph"/>
              <w:rPr>
                <w:rFonts w:ascii="Times New Roman"/>
                <w:sz w:val="12"/>
              </w:rPr>
            </w:pPr>
          </w:p>
        </w:tc>
        <w:tc>
          <w:tcPr>
            <w:tcW w:w="259" w:type="dxa"/>
            <w:tcBorders>
              <w:top w:val="nil"/>
              <w:left w:val="nil"/>
              <w:bottom w:val="nil"/>
              <w:right w:val="nil"/>
            </w:tcBorders>
            <w:shd w:val="clear" w:color="auto" w:fill="231F20"/>
          </w:tcPr>
          <w:p w14:paraId="6F3ECC67" w14:textId="77777777" w:rsidR="00AE0598" w:rsidRDefault="00AE0598">
            <w:pPr>
              <w:pStyle w:val="TableParagraph"/>
              <w:rPr>
                <w:rFonts w:ascii="Times New Roman"/>
                <w:sz w:val="12"/>
              </w:rPr>
            </w:pPr>
          </w:p>
        </w:tc>
        <w:tc>
          <w:tcPr>
            <w:tcW w:w="222" w:type="dxa"/>
          </w:tcPr>
          <w:p w14:paraId="57348BB2" w14:textId="77777777" w:rsidR="00AE0598" w:rsidRDefault="00AE0598">
            <w:pPr>
              <w:pStyle w:val="TableParagraph"/>
              <w:rPr>
                <w:rFonts w:ascii="Times New Roman"/>
                <w:sz w:val="12"/>
              </w:rPr>
            </w:pPr>
          </w:p>
        </w:tc>
        <w:tc>
          <w:tcPr>
            <w:tcW w:w="247" w:type="dxa"/>
          </w:tcPr>
          <w:p w14:paraId="15E01B63" w14:textId="77777777" w:rsidR="00AE0598" w:rsidRDefault="00AE0598">
            <w:pPr>
              <w:pStyle w:val="TableParagraph"/>
              <w:rPr>
                <w:rFonts w:ascii="Times New Roman"/>
                <w:sz w:val="12"/>
              </w:rPr>
            </w:pPr>
          </w:p>
        </w:tc>
        <w:tc>
          <w:tcPr>
            <w:tcW w:w="209" w:type="dxa"/>
          </w:tcPr>
          <w:p w14:paraId="518751C5" w14:textId="77777777" w:rsidR="00AE0598" w:rsidRDefault="00AE0598">
            <w:pPr>
              <w:pStyle w:val="TableParagraph"/>
              <w:rPr>
                <w:rFonts w:ascii="Times New Roman"/>
                <w:sz w:val="12"/>
              </w:rPr>
            </w:pPr>
          </w:p>
        </w:tc>
        <w:tc>
          <w:tcPr>
            <w:tcW w:w="264" w:type="dxa"/>
          </w:tcPr>
          <w:p w14:paraId="4F58E43B" w14:textId="77777777" w:rsidR="00AE0598" w:rsidRDefault="00AE0598">
            <w:pPr>
              <w:pStyle w:val="TableParagraph"/>
              <w:rPr>
                <w:rFonts w:ascii="Times New Roman"/>
                <w:sz w:val="12"/>
              </w:rPr>
            </w:pPr>
          </w:p>
        </w:tc>
        <w:tc>
          <w:tcPr>
            <w:tcW w:w="221" w:type="dxa"/>
          </w:tcPr>
          <w:p w14:paraId="20389A54" w14:textId="77777777" w:rsidR="00AE0598" w:rsidRDefault="00AE0598">
            <w:pPr>
              <w:pStyle w:val="TableParagraph"/>
              <w:rPr>
                <w:rFonts w:ascii="Times New Roman"/>
                <w:sz w:val="12"/>
              </w:rPr>
            </w:pPr>
          </w:p>
        </w:tc>
        <w:tc>
          <w:tcPr>
            <w:tcW w:w="259" w:type="dxa"/>
          </w:tcPr>
          <w:p w14:paraId="36855BC3" w14:textId="77777777" w:rsidR="00AE0598" w:rsidRDefault="00AE0598">
            <w:pPr>
              <w:pStyle w:val="TableParagraph"/>
              <w:rPr>
                <w:rFonts w:ascii="Times New Roman"/>
                <w:sz w:val="12"/>
              </w:rPr>
            </w:pPr>
          </w:p>
        </w:tc>
        <w:tc>
          <w:tcPr>
            <w:tcW w:w="240" w:type="dxa"/>
          </w:tcPr>
          <w:p w14:paraId="351E1A1D" w14:textId="77777777" w:rsidR="00AE0598" w:rsidRDefault="00AE0598">
            <w:pPr>
              <w:pStyle w:val="TableParagraph"/>
              <w:rPr>
                <w:rFonts w:ascii="Times New Roman"/>
                <w:sz w:val="12"/>
              </w:rPr>
            </w:pPr>
          </w:p>
        </w:tc>
        <w:tc>
          <w:tcPr>
            <w:tcW w:w="240" w:type="dxa"/>
          </w:tcPr>
          <w:p w14:paraId="5EDC8EF1" w14:textId="77777777" w:rsidR="00AE0598" w:rsidRDefault="00AE0598">
            <w:pPr>
              <w:pStyle w:val="TableParagraph"/>
              <w:rPr>
                <w:rFonts w:ascii="Times New Roman"/>
                <w:sz w:val="12"/>
              </w:rPr>
            </w:pPr>
          </w:p>
        </w:tc>
        <w:tc>
          <w:tcPr>
            <w:tcW w:w="239" w:type="dxa"/>
          </w:tcPr>
          <w:p w14:paraId="4E64AD89" w14:textId="77777777" w:rsidR="00AE0598" w:rsidRDefault="00AE0598">
            <w:pPr>
              <w:pStyle w:val="TableParagraph"/>
              <w:rPr>
                <w:rFonts w:ascii="Times New Roman"/>
                <w:sz w:val="12"/>
              </w:rPr>
            </w:pPr>
          </w:p>
        </w:tc>
        <w:tc>
          <w:tcPr>
            <w:tcW w:w="479" w:type="dxa"/>
            <w:gridSpan w:val="2"/>
            <w:tcBorders>
              <w:top w:val="nil"/>
              <w:left w:val="nil"/>
              <w:bottom w:val="nil"/>
              <w:right w:val="nil"/>
            </w:tcBorders>
            <w:shd w:val="clear" w:color="auto" w:fill="231F20"/>
          </w:tcPr>
          <w:p w14:paraId="07622F86" w14:textId="77777777" w:rsidR="00AE0598" w:rsidRDefault="00AE0598">
            <w:pPr>
              <w:pStyle w:val="TableParagraph"/>
              <w:rPr>
                <w:rFonts w:ascii="Times New Roman"/>
                <w:sz w:val="12"/>
              </w:rPr>
            </w:pPr>
          </w:p>
        </w:tc>
        <w:tc>
          <w:tcPr>
            <w:tcW w:w="239" w:type="dxa"/>
          </w:tcPr>
          <w:p w14:paraId="5CC5D77C" w14:textId="77777777" w:rsidR="00AE0598" w:rsidRDefault="00AE0598">
            <w:pPr>
              <w:pStyle w:val="TableParagraph"/>
              <w:rPr>
                <w:rFonts w:ascii="Times New Roman"/>
                <w:sz w:val="12"/>
              </w:rPr>
            </w:pPr>
          </w:p>
        </w:tc>
      </w:tr>
      <w:tr w:rsidR="00AE0598" w14:paraId="6D401959" w14:textId="77777777">
        <w:trPr>
          <w:trHeight w:val="180"/>
        </w:trPr>
        <w:tc>
          <w:tcPr>
            <w:tcW w:w="576" w:type="dxa"/>
          </w:tcPr>
          <w:p w14:paraId="6F57E2A3" w14:textId="77777777" w:rsidR="00AE0598" w:rsidRDefault="0069255A">
            <w:pPr>
              <w:pStyle w:val="TableParagraph"/>
              <w:spacing w:line="160" w:lineRule="exact"/>
              <w:ind w:left="6"/>
              <w:jc w:val="center"/>
              <w:rPr>
                <w:rFonts w:ascii="Segoe UI Symbol" w:hAnsi="Segoe UI Symbol"/>
                <w:sz w:val="16"/>
              </w:rPr>
            </w:pPr>
            <w:r>
              <w:rPr>
                <w:rFonts w:ascii="Segoe UI Symbol" w:hAnsi="Segoe UI Symbol"/>
                <w:color w:val="231F20"/>
                <w:w w:val="136"/>
                <w:sz w:val="16"/>
              </w:rPr>
              <w:t>…</w:t>
            </w:r>
          </w:p>
        </w:tc>
        <w:tc>
          <w:tcPr>
            <w:tcW w:w="5758" w:type="dxa"/>
            <w:gridSpan w:val="24"/>
            <w:tcBorders>
              <w:top w:val="nil"/>
            </w:tcBorders>
          </w:tcPr>
          <w:p w14:paraId="199E6973" w14:textId="77777777" w:rsidR="00AE0598" w:rsidRDefault="00AE0598">
            <w:pPr>
              <w:pStyle w:val="TableParagraph"/>
              <w:rPr>
                <w:rFonts w:ascii="Times New Roman"/>
                <w:sz w:val="12"/>
              </w:rPr>
            </w:pPr>
          </w:p>
        </w:tc>
      </w:tr>
      <w:tr w:rsidR="00AE0598" w14:paraId="18474062" w14:textId="77777777">
        <w:trPr>
          <w:trHeight w:val="180"/>
        </w:trPr>
        <w:tc>
          <w:tcPr>
            <w:tcW w:w="576" w:type="dxa"/>
          </w:tcPr>
          <w:p w14:paraId="4F194A7E" w14:textId="77777777" w:rsidR="00AE0598" w:rsidRDefault="0069255A">
            <w:pPr>
              <w:pStyle w:val="TableParagraph"/>
              <w:spacing w:line="160" w:lineRule="exact"/>
              <w:ind w:left="97" w:right="82"/>
              <w:jc w:val="center"/>
              <w:rPr>
                <w:rFonts w:ascii="Segoe UI Symbol"/>
                <w:sz w:val="16"/>
              </w:rPr>
            </w:pPr>
            <w:r>
              <w:rPr>
                <w:rFonts w:ascii="Segoe UI Symbol"/>
                <w:color w:val="231F20"/>
                <w:spacing w:val="-4"/>
                <w:sz w:val="16"/>
              </w:rPr>
              <w:t>2002</w:t>
            </w:r>
          </w:p>
        </w:tc>
        <w:tc>
          <w:tcPr>
            <w:tcW w:w="240" w:type="dxa"/>
          </w:tcPr>
          <w:p w14:paraId="184B91A0" w14:textId="77777777" w:rsidR="00AE0598" w:rsidRDefault="00AE0598">
            <w:pPr>
              <w:pStyle w:val="TableParagraph"/>
              <w:rPr>
                <w:rFonts w:ascii="Times New Roman"/>
                <w:sz w:val="12"/>
              </w:rPr>
            </w:pPr>
          </w:p>
        </w:tc>
        <w:tc>
          <w:tcPr>
            <w:tcW w:w="240" w:type="dxa"/>
          </w:tcPr>
          <w:p w14:paraId="261E7667" w14:textId="77777777" w:rsidR="00AE0598" w:rsidRDefault="00AE0598">
            <w:pPr>
              <w:pStyle w:val="TableParagraph"/>
              <w:rPr>
                <w:rFonts w:ascii="Times New Roman"/>
                <w:sz w:val="12"/>
              </w:rPr>
            </w:pPr>
          </w:p>
        </w:tc>
        <w:tc>
          <w:tcPr>
            <w:tcW w:w="240" w:type="dxa"/>
          </w:tcPr>
          <w:p w14:paraId="79B107A2" w14:textId="77777777" w:rsidR="00AE0598" w:rsidRDefault="00AE0598">
            <w:pPr>
              <w:pStyle w:val="TableParagraph"/>
              <w:rPr>
                <w:rFonts w:ascii="Times New Roman"/>
                <w:sz w:val="12"/>
              </w:rPr>
            </w:pPr>
          </w:p>
        </w:tc>
        <w:tc>
          <w:tcPr>
            <w:tcW w:w="240" w:type="dxa"/>
          </w:tcPr>
          <w:p w14:paraId="177ED73A" w14:textId="77777777" w:rsidR="00AE0598" w:rsidRDefault="00AE0598">
            <w:pPr>
              <w:pStyle w:val="TableParagraph"/>
              <w:rPr>
                <w:rFonts w:ascii="Times New Roman"/>
                <w:sz w:val="12"/>
              </w:rPr>
            </w:pPr>
          </w:p>
        </w:tc>
        <w:tc>
          <w:tcPr>
            <w:tcW w:w="240" w:type="dxa"/>
          </w:tcPr>
          <w:p w14:paraId="78138BD5" w14:textId="77777777" w:rsidR="00AE0598" w:rsidRDefault="00AE0598">
            <w:pPr>
              <w:pStyle w:val="TableParagraph"/>
              <w:rPr>
                <w:rFonts w:ascii="Times New Roman"/>
                <w:sz w:val="12"/>
              </w:rPr>
            </w:pPr>
          </w:p>
        </w:tc>
        <w:tc>
          <w:tcPr>
            <w:tcW w:w="240" w:type="dxa"/>
          </w:tcPr>
          <w:p w14:paraId="20E85A53" w14:textId="77777777" w:rsidR="00AE0598" w:rsidRDefault="00AE0598">
            <w:pPr>
              <w:pStyle w:val="TableParagraph"/>
              <w:rPr>
                <w:rFonts w:ascii="Times New Roman"/>
                <w:sz w:val="12"/>
              </w:rPr>
            </w:pPr>
          </w:p>
        </w:tc>
        <w:tc>
          <w:tcPr>
            <w:tcW w:w="240" w:type="dxa"/>
          </w:tcPr>
          <w:p w14:paraId="0CDDE405" w14:textId="77777777" w:rsidR="00AE0598" w:rsidRDefault="00AE0598">
            <w:pPr>
              <w:pStyle w:val="TableParagraph"/>
              <w:rPr>
                <w:rFonts w:ascii="Times New Roman"/>
                <w:sz w:val="12"/>
              </w:rPr>
            </w:pPr>
          </w:p>
        </w:tc>
        <w:tc>
          <w:tcPr>
            <w:tcW w:w="240" w:type="dxa"/>
          </w:tcPr>
          <w:p w14:paraId="37813A55" w14:textId="77777777" w:rsidR="00AE0598" w:rsidRDefault="00AE0598">
            <w:pPr>
              <w:pStyle w:val="TableParagraph"/>
              <w:rPr>
                <w:rFonts w:ascii="Times New Roman"/>
                <w:sz w:val="12"/>
              </w:rPr>
            </w:pPr>
          </w:p>
        </w:tc>
        <w:tc>
          <w:tcPr>
            <w:tcW w:w="240" w:type="dxa"/>
          </w:tcPr>
          <w:p w14:paraId="73A7904A" w14:textId="77777777" w:rsidR="00AE0598" w:rsidRDefault="00AE0598">
            <w:pPr>
              <w:pStyle w:val="TableParagraph"/>
              <w:rPr>
                <w:rFonts w:ascii="Times New Roman"/>
                <w:sz w:val="12"/>
              </w:rPr>
            </w:pPr>
          </w:p>
        </w:tc>
        <w:tc>
          <w:tcPr>
            <w:tcW w:w="240" w:type="dxa"/>
          </w:tcPr>
          <w:p w14:paraId="7E5756AC" w14:textId="77777777" w:rsidR="00AE0598" w:rsidRDefault="00AE0598">
            <w:pPr>
              <w:pStyle w:val="TableParagraph"/>
              <w:rPr>
                <w:rFonts w:ascii="Times New Roman"/>
                <w:sz w:val="12"/>
              </w:rPr>
            </w:pPr>
          </w:p>
        </w:tc>
        <w:tc>
          <w:tcPr>
            <w:tcW w:w="240" w:type="dxa"/>
            <w:tcBorders>
              <w:right w:val="nil"/>
            </w:tcBorders>
          </w:tcPr>
          <w:p w14:paraId="77A504FC" w14:textId="77777777" w:rsidR="00AE0598" w:rsidRDefault="00AE0598">
            <w:pPr>
              <w:pStyle w:val="TableParagraph"/>
              <w:rPr>
                <w:rFonts w:ascii="Times New Roman"/>
                <w:sz w:val="12"/>
              </w:rPr>
            </w:pPr>
          </w:p>
        </w:tc>
        <w:tc>
          <w:tcPr>
            <w:tcW w:w="259" w:type="dxa"/>
            <w:vMerge w:val="restart"/>
            <w:tcBorders>
              <w:top w:val="nil"/>
              <w:left w:val="nil"/>
              <w:bottom w:val="nil"/>
              <w:right w:val="nil"/>
            </w:tcBorders>
            <w:shd w:val="clear" w:color="auto" w:fill="231F20"/>
          </w:tcPr>
          <w:p w14:paraId="10BD252C" w14:textId="77777777" w:rsidR="00AE0598" w:rsidRDefault="00AE0598">
            <w:pPr>
              <w:pStyle w:val="TableParagraph"/>
              <w:rPr>
                <w:rFonts w:ascii="Times New Roman"/>
                <w:sz w:val="18"/>
              </w:rPr>
            </w:pPr>
          </w:p>
        </w:tc>
        <w:tc>
          <w:tcPr>
            <w:tcW w:w="222" w:type="dxa"/>
            <w:tcBorders>
              <w:left w:val="nil"/>
              <w:right w:val="nil"/>
            </w:tcBorders>
          </w:tcPr>
          <w:p w14:paraId="4347B292" w14:textId="77777777" w:rsidR="00AE0598" w:rsidRDefault="00AE0598">
            <w:pPr>
              <w:pStyle w:val="TableParagraph"/>
              <w:rPr>
                <w:rFonts w:ascii="Times New Roman"/>
                <w:sz w:val="12"/>
              </w:rPr>
            </w:pPr>
          </w:p>
        </w:tc>
        <w:tc>
          <w:tcPr>
            <w:tcW w:w="456" w:type="dxa"/>
            <w:gridSpan w:val="2"/>
            <w:tcBorders>
              <w:top w:val="nil"/>
              <w:left w:val="nil"/>
              <w:bottom w:val="nil"/>
              <w:right w:val="nil"/>
            </w:tcBorders>
            <w:shd w:val="clear" w:color="auto" w:fill="231F20"/>
          </w:tcPr>
          <w:p w14:paraId="309A5D9C" w14:textId="77777777" w:rsidR="00AE0598" w:rsidRDefault="00AE0598">
            <w:pPr>
              <w:pStyle w:val="TableParagraph"/>
              <w:rPr>
                <w:rFonts w:ascii="Times New Roman"/>
                <w:sz w:val="12"/>
              </w:rPr>
            </w:pPr>
          </w:p>
        </w:tc>
        <w:tc>
          <w:tcPr>
            <w:tcW w:w="264" w:type="dxa"/>
            <w:tcBorders>
              <w:left w:val="nil"/>
            </w:tcBorders>
          </w:tcPr>
          <w:p w14:paraId="2D0609F5" w14:textId="77777777" w:rsidR="00AE0598" w:rsidRDefault="00AE0598">
            <w:pPr>
              <w:pStyle w:val="TableParagraph"/>
              <w:rPr>
                <w:rFonts w:ascii="Times New Roman"/>
                <w:sz w:val="12"/>
              </w:rPr>
            </w:pPr>
          </w:p>
        </w:tc>
        <w:tc>
          <w:tcPr>
            <w:tcW w:w="221" w:type="dxa"/>
          </w:tcPr>
          <w:p w14:paraId="5BB8BF23" w14:textId="77777777" w:rsidR="00AE0598" w:rsidRDefault="00AE0598">
            <w:pPr>
              <w:pStyle w:val="TableParagraph"/>
              <w:rPr>
                <w:rFonts w:ascii="Times New Roman"/>
                <w:sz w:val="12"/>
              </w:rPr>
            </w:pPr>
          </w:p>
        </w:tc>
        <w:tc>
          <w:tcPr>
            <w:tcW w:w="259" w:type="dxa"/>
          </w:tcPr>
          <w:p w14:paraId="59899853" w14:textId="77777777" w:rsidR="00AE0598" w:rsidRDefault="00AE0598">
            <w:pPr>
              <w:pStyle w:val="TableParagraph"/>
              <w:rPr>
                <w:rFonts w:ascii="Times New Roman"/>
                <w:sz w:val="12"/>
              </w:rPr>
            </w:pPr>
          </w:p>
        </w:tc>
        <w:tc>
          <w:tcPr>
            <w:tcW w:w="240" w:type="dxa"/>
          </w:tcPr>
          <w:p w14:paraId="0EA5969A" w14:textId="77777777" w:rsidR="00AE0598" w:rsidRDefault="00AE0598">
            <w:pPr>
              <w:pStyle w:val="TableParagraph"/>
              <w:rPr>
                <w:rFonts w:ascii="Times New Roman"/>
                <w:sz w:val="12"/>
              </w:rPr>
            </w:pPr>
          </w:p>
        </w:tc>
        <w:tc>
          <w:tcPr>
            <w:tcW w:w="240" w:type="dxa"/>
          </w:tcPr>
          <w:p w14:paraId="018F3B63" w14:textId="77777777" w:rsidR="00AE0598" w:rsidRDefault="00AE0598">
            <w:pPr>
              <w:pStyle w:val="TableParagraph"/>
              <w:rPr>
                <w:rFonts w:ascii="Times New Roman"/>
                <w:sz w:val="12"/>
              </w:rPr>
            </w:pPr>
          </w:p>
        </w:tc>
        <w:tc>
          <w:tcPr>
            <w:tcW w:w="239" w:type="dxa"/>
            <w:tcBorders>
              <w:right w:val="nil"/>
            </w:tcBorders>
          </w:tcPr>
          <w:p w14:paraId="6EE5E33C" w14:textId="77777777" w:rsidR="00AE0598" w:rsidRDefault="00AE0598">
            <w:pPr>
              <w:pStyle w:val="TableParagraph"/>
              <w:rPr>
                <w:rFonts w:ascii="Times New Roman"/>
                <w:sz w:val="12"/>
              </w:rPr>
            </w:pPr>
          </w:p>
        </w:tc>
        <w:tc>
          <w:tcPr>
            <w:tcW w:w="479" w:type="dxa"/>
            <w:gridSpan w:val="2"/>
            <w:tcBorders>
              <w:top w:val="nil"/>
              <w:left w:val="nil"/>
              <w:bottom w:val="nil"/>
              <w:right w:val="nil"/>
            </w:tcBorders>
            <w:shd w:val="clear" w:color="auto" w:fill="231F20"/>
          </w:tcPr>
          <w:p w14:paraId="044B5D54" w14:textId="77777777" w:rsidR="00AE0598" w:rsidRDefault="00AE0598">
            <w:pPr>
              <w:pStyle w:val="TableParagraph"/>
              <w:rPr>
                <w:rFonts w:ascii="Times New Roman"/>
                <w:sz w:val="12"/>
              </w:rPr>
            </w:pPr>
          </w:p>
        </w:tc>
        <w:tc>
          <w:tcPr>
            <w:tcW w:w="239" w:type="dxa"/>
            <w:tcBorders>
              <w:left w:val="nil"/>
            </w:tcBorders>
          </w:tcPr>
          <w:p w14:paraId="5A480727" w14:textId="77777777" w:rsidR="00AE0598" w:rsidRDefault="00AE0598">
            <w:pPr>
              <w:pStyle w:val="TableParagraph"/>
              <w:rPr>
                <w:rFonts w:ascii="Times New Roman"/>
                <w:sz w:val="12"/>
              </w:rPr>
            </w:pPr>
          </w:p>
        </w:tc>
      </w:tr>
      <w:tr w:rsidR="00AE0598" w14:paraId="135EF7A8" w14:textId="77777777">
        <w:trPr>
          <w:trHeight w:val="181"/>
        </w:trPr>
        <w:tc>
          <w:tcPr>
            <w:tcW w:w="576" w:type="dxa"/>
          </w:tcPr>
          <w:p w14:paraId="007DA195" w14:textId="77777777" w:rsidR="00AE0598" w:rsidRDefault="0069255A">
            <w:pPr>
              <w:pStyle w:val="TableParagraph"/>
              <w:spacing w:line="161" w:lineRule="exact"/>
              <w:ind w:left="97" w:right="82"/>
              <w:jc w:val="center"/>
              <w:rPr>
                <w:rFonts w:ascii="Segoe UI Symbol"/>
                <w:sz w:val="16"/>
              </w:rPr>
            </w:pPr>
            <w:r>
              <w:rPr>
                <w:rFonts w:ascii="Segoe UI Symbol"/>
                <w:color w:val="231F20"/>
                <w:spacing w:val="-4"/>
                <w:sz w:val="16"/>
              </w:rPr>
              <w:t>2001</w:t>
            </w:r>
          </w:p>
        </w:tc>
        <w:tc>
          <w:tcPr>
            <w:tcW w:w="240" w:type="dxa"/>
          </w:tcPr>
          <w:p w14:paraId="6EAC8A85" w14:textId="77777777" w:rsidR="00AE0598" w:rsidRDefault="00AE0598">
            <w:pPr>
              <w:pStyle w:val="TableParagraph"/>
              <w:rPr>
                <w:rFonts w:ascii="Times New Roman"/>
                <w:sz w:val="12"/>
              </w:rPr>
            </w:pPr>
          </w:p>
        </w:tc>
        <w:tc>
          <w:tcPr>
            <w:tcW w:w="240" w:type="dxa"/>
          </w:tcPr>
          <w:p w14:paraId="6C4B15C3" w14:textId="77777777" w:rsidR="00AE0598" w:rsidRDefault="00AE0598">
            <w:pPr>
              <w:pStyle w:val="TableParagraph"/>
              <w:rPr>
                <w:rFonts w:ascii="Times New Roman"/>
                <w:sz w:val="12"/>
              </w:rPr>
            </w:pPr>
          </w:p>
        </w:tc>
        <w:tc>
          <w:tcPr>
            <w:tcW w:w="240" w:type="dxa"/>
          </w:tcPr>
          <w:p w14:paraId="178ED28D" w14:textId="77777777" w:rsidR="00AE0598" w:rsidRDefault="00AE0598">
            <w:pPr>
              <w:pStyle w:val="TableParagraph"/>
              <w:rPr>
                <w:rFonts w:ascii="Times New Roman"/>
                <w:sz w:val="12"/>
              </w:rPr>
            </w:pPr>
          </w:p>
        </w:tc>
        <w:tc>
          <w:tcPr>
            <w:tcW w:w="240" w:type="dxa"/>
          </w:tcPr>
          <w:p w14:paraId="5D3036AD" w14:textId="77777777" w:rsidR="00AE0598" w:rsidRDefault="00AE0598">
            <w:pPr>
              <w:pStyle w:val="TableParagraph"/>
              <w:rPr>
                <w:rFonts w:ascii="Times New Roman"/>
                <w:sz w:val="12"/>
              </w:rPr>
            </w:pPr>
          </w:p>
        </w:tc>
        <w:tc>
          <w:tcPr>
            <w:tcW w:w="240" w:type="dxa"/>
          </w:tcPr>
          <w:p w14:paraId="1DAE6151" w14:textId="77777777" w:rsidR="00AE0598" w:rsidRDefault="00AE0598">
            <w:pPr>
              <w:pStyle w:val="TableParagraph"/>
              <w:rPr>
                <w:rFonts w:ascii="Times New Roman"/>
                <w:sz w:val="12"/>
              </w:rPr>
            </w:pPr>
          </w:p>
        </w:tc>
        <w:tc>
          <w:tcPr>
            <w:tcW w:w="240" w:type="dxa"/>
          </w:tcPr>
          <w:p w14:paraId="45D82B6E" w14:textId="77777777" w:rsidR="00AE0598" w:rsidRDefault="00AE0598">
            <w:pPr>
              <w:pStyle w:val="TableParagraph"/>
              <w:rPr>
                <w:rFonts w:ascii="Times New Roman"/>
                <w:sz w:val="12"/>
              </w:rPr>
            </w:pPr>
          </w:p>
        </w:tc>
        <w:tc>
          <w:tcPr>
            <w:tcW w:w="240" w:type="dxa"/>
          </w:tcPr>
          <w:p w14:paraId="1106EDFC" w14:textId="77777777" w:rsidR="00AE0598" w:rsidRDefault="00AE0598">
            <w:pPr>
              <w:pStyle w:val="TableParagraph"/>
              <w:rPr>
                <w:rFonts w:ascii="Times New Roman"/>
                <w:sz w:val="12"/>
              </w:rPr>
            </w:pPr>
          </w:p>
        </w:tc>
        <w:tc>
          <w:tcPr>
            <w:tcW w:w="240" w:type="dxa"/>
          </w:tcPr>
          <w:p w14:paraId="51E499EA" w14:textId="77777777" w:rsidR="00AE0598" w:rsidRDefault="00AE0598">
            <w:pPr>
              <w:pStyle w:val="TableParagraph"/>
              <w:rPr>
                <w:rFonts w:ascii="Times New Roman"/>
                <w:sz w:val="12"/>
              </w:rPr>
            </w:pPr>
          </w:p>
        </w:tc>
        <w:tc>
          <w:tcPr>
            <w:tcW w:w="240" w:type="dxa"/>
          </w:tcPr>
          <w:p w14:paraId="49F176C8" w14:textId="77777777" w:rsidR="00AE0598" w:rsidRDefault="00AE0598">
            <w:pPr>
              <w:pStyle w:val="TableParagraph"/>
              <w:rPr>
                <w:rFonts w:ascii="Times New Roman"/>
                <w:sz w:val="12"/>
              </w:rPr>
            </w:pPr>
          </w:p>
        </w:tc>
        <w:tc>
          <w:tcPr>
            <w:tcW w:w="240" w:type="dxa"/>
          </w:tcPr>
          <w:p w14:paraId="4F66A927" w14:textId="77777777" w:rsidR="00AE0598" w:rsidRDefault="00AE0598">
            <w:pPr>
              <w:pStyle w:val="TableParagraph"/>
              <w:rPr>
                <w:rFonts w:ascii="Times New Roman"/>
                <w:sz w:val="12"/>
              </w:rPr>
            </w:pPr>
          </w:p>
        </w:tc>
        <w:tc>
          <w:tcPr>
            <w:tcW w:w="240" w:type="dxa"/>
            <w:tcBorders>
              <w:right w:val="nil"/>
            </w:tcBorders>
          </w:tcPr>
          <w:p w14:paraId="3074167C" w14:textId="77777777" w:rsidR="00AE0598" w:rsidRDefault="00AE0598">
            <w:pPr>
              <w:pStyle w:val="TableParagraph"/>
              <w:rPr>
                <w:rFonts w:ascii="Times New Roman"/>
                <w:sz w:val="12"/>
              </w:rPr>
            </w:pPr>
          </w:p>
        </w:tc>
        <w:tc>
          <w:tcPr>
            <w:tcW w:w="259" w:type="dxa"/>
            <w:vMerge/>
            <w:tcBorders>
              <w:top w:val="nil"/>
              <w:left w:val="nil"/>
              <w:bottom w:val="nil"/>
              <w:right w:val="nil"/>
            </w:tcBorders>
            <w:shd w:val="clear" w:color="auto" w:fill="231F20"/>
          </w:tcPr>
          <w:p w14:paraId="708F5A4D" w14:textId="77777777" w:rsidR="00AE0598" w:rsidRDefault="00AE0598">
            <w:pPr>
              <w:rPr>
                <w:sz w:val="2"/>
                <w:szCs w:val="2"/>
              </w:rPr>
            </w:pPr>
          </w:p>
        </w:tc>
        <w:tc>
          <w:tcPr>
            <w:tcW w:w="222" w:type="dxa"/>
            <w:tcBorders>
              <w:left w:val="nil"/>
            </w:tcBorders>
          </w:tcPr>
          <w:p w14:paraId="46883236" w14:textId="77777777" w:rsidR="00AE0598" w:rsidRDefault="00AE0598">
            <w:pPr>
              <w:pStyle w:val="TableParagraph"/>
              <w:rPr>
                <w:rFonts w:ascii="Times New Roman"/>
                <w:sz w:val="12"/>
              </w:rPr>
            </w:pPr>
          </w:p>
        </w:tc>
        <w:tc>
          <w:tcPr>
            <w:tcW w:w="247" w:type="dxa"/>
            <w:vMerge w:val="restart"/>
            <w:tcBorders>
              <w:top w:val="nil"/>
              <w:left w:val="nil"/>
            </w:tcBorders>
          </w:tcPr>
          <w:p w14:paraId="71FB0D5E" w14:textId="77777777" w:rsidR="00AE0598" w:rsidRDefault="00AE0598">
            <w:pPr>
              <w:pStyle w:val="TableParagraph"/>
              <w:rPr>
                <w:rFonts w:ascii="Times New Roman"/>
                <w:sz w:val="18"/>
              </w:rPr>
            </w:pPr>
          </w:p>
        </w:tc>
        <w:tc>
          <w:tcPr>
            <w:tcW w:w="209" w:type="dxa"/>
          </w:tcPr>
          <w:p w14:paraId="473CC17D" w14:textId="77777777" w:rsidR="00AE0598" w:rsidRDefault="00AE0598">
            <w:pPr>
              <w:pStyle w:val="TableParagraph"/>
              <w:rPr>
                <w:rFonts w:ascii="Times New Roman"/>
                <w:sz w:val="12"/>
              </w:rPr>
            </w:pPr>
          </w:p>
        </w:tc>
        <w:tc>
          <w:tcPr>
            <w:tcW w:w="264" w:type="dxa"/>
          </w:tcPr>
          <w:p w14:paraId="00D7B972" w14:textId="77777777" w:rsidR="00AE0598" w:rsidRDefault="00AE0598">
            <w:pPr>
              <w:pStyle w:val="TableParagraph"/>
              <w:rPr>
                <w:rFonts w:ascii="Times New Roman"/>
                <w:sz w:val="12"/>
              </w:rPr>
            </w:pPr>
          </w:p>
        </w:tc>
        <w:tc>
          <w:tcPr>
            <w:tcW w:w="221" w:type="dxa"/>
          </w:tcPr>
          <w:p w14:paraId="6EF20681" w14:textId="77777777" w:rsidR="00AE0598" w:rsidRDefault="00AE0598">
            <w:pPr>
              <w:pStyle w:val="TableParagraph"/>
              <w:rPr>
                <w:rFonts w:ascii="Times New Roman"/>
                <w:sz w:val="12"/>
              </w:rPr>
            </w:pPr>
          </w:p>
        </w:tc>
        <w:tc>
          <w:tcPr>
            <w:tcW w:w="259" w:type="dxa"/>
          </w:tcPr>
          <w:p w14:paraId="55F076A1" w14:textId="77777777" w:rsidR="00AE0598" w:rsidRDefault="00AE0598">
            <w:pPr>
              <w:pStyle w:val="TableParagraph"/>
              <w:rPr>
                <w:rFonts w:ascii="Times New Roman"/>
                <w:sz w:val="12"/>
              </w:rPr>
            </w:pPr>
          </w:p>
        </w:tc>
        <w:tc>
          <w:tcPr>
            <w:tcW w:w="240" w:type="dxa"/>
          </w:tcPr>
          <w:p w14:paraId="0503D5EF" w14:textId="77777777" w:rsidR="00AE0598" w:rsidRDefault="00AE0598">
            <w:pPr>
              <w:pStyle w:val="TableParagraph"/>
              <w:rPr>
                <w:rFonts w:ascii="Times New Roman"/>
                <w:sz w:val="12"/>
              </w:rPr>
            </w:pPr>
          </w:p>
        </w:tc>
        <w:tc>
          <w:tcPr>
            <w:tcW w:w="240" w:type="dxa"/>
          </w:tcPr>
          <w:p w14:paraId="7F32E453" w14:textId="77777777" w:rsidR="00AE0598" w:rsidRDefault="00AE0598">
            <w:pPr>
              <w:pStyle w:val="TableParagraph"/>
              <w:rPr>
                <w:rFonts w:ascii="Times New Roman"/>
                <w:sz w:val="12"/>
              </w:rPr>
            </w:pPr>
          </w:p>
        </w:tc>
        <w:tc>
          <w:tcPr>
            <w:tcW w:w="479" w:type="dxa"/>
            <w:gridSpan w:val="2"/>
            <w:tcBorders>
              <w:top w:val="nil"/>
              <w:left w:val="nil"/>
              <w:bottom w:val="nil"/>
              <w:right w:val="nil"/>
            </w:tcBorders>
            <w:shd w:val="clear" w:color="auto" w:fill="231F20"/>
          </w:tcPr>
          <w:p w14:paraId="5E6E2E53" w14:textId="77777777" w:rsidR="00AE0598" w:rsidRDefault="00AE0598">
            <w:pPr>
              <w:pStyle w:val="TableParagraph"/>
              <w:rPr>
                <w:rFonts w:ascii="Times New Roman"/>
                <w:sz w:val="12"/>
              </w:rPr>
            </w:pPr>
          </w:p>
        </w:tc>
        <w:tc>
          <w:tcPr>
            <w:tcW w:w="239" w:type="dxa"/>
            <w:tcBorders>
              <w:top w:val="nil"/>
              <w:left w:val="nil"/>
            </w:tcBorders>
          </w:tcPr>
          <w:p w14:paraId="43F40ED4" w14:textId="77777777" w:rsidR="00AE0598" w:rsidRDefault="00AE0598">
            <w:pPr>
              <w:pStyle w:val="TableParagraph"/>
              <w:rPr>
                <w:rFonts w:ascii="Times New Roman"/>
                <w:sz w:val="12"/>
              </w:rPr>
            </w:pPr>
          </w:p>
        </w:tc>
        <w:tc>
          <w:tcPr>
            <w:tcW w:w="239" w:type="dxa"/>
          </w:tcPr>
          <w:p w14:paraId="04E9AB58" w14:textId="77777777" w:rsidR="00AE0598" w:rsidRDefault="00AE0598">
            <w:pPr>
              <w:pStyle w:val="TableParagraph"/>
              <w:rPr>
                <w:rFonts w:ascii="Times New Roman"/>
                <w:sz w:val="12"/>
              </w:rPr>
            </w:pPr>
          </w:p>
        </w:tc>
      </w:tr>
      <w:tr w:rsidR="00AE0598" w14:paraId="21A8F56A" w14:textId="77777777">
        <w:trPr>
          <w:trHeight w:val="162"/>
        </w:trPr>
        <w:tc>
          <w:tcPr>
            <w:tcW w:w="576" w:type="dxa"/>
          </w:tcPr>
          <w:p w14:paraId="3D4FB3B6" w14:textId="77777777" w:rsidR="00AE0598" w:rsidRDefault="0069255A">
            <w:pPr>
              <w:pStyle w:val="TableParagraph"/>
              <w:spacing w:line="143" w:lineRule="exact"/>
              <w:ind w:left="97" w:right="82"/>
              <w:jc w:val="center"/>
              <w:rPr>
                <w:rFonts w:ascii="Segoe UI Symbol"/>
                <w:sz w:val="16"/>
              </w:rPr>
            </w:pPr>
            <w:r>
              <w:rPr>
                <w:rFonts w:ascii="Segoe UI Symbol"/>
                <w:color w:val="231F20"/>
                <w:spacing w:val="-4"/>
                <w:sz w:val="16"/>
              </w:rPr>
              <w:t>2000</w:t>
            </w:r>
          </w:p>
        </w:tc>
        <w:tc>
          <w:tcPr>
            <w:tcW w:w="240" w:type="dxa"/>
          </w:tcPr>
          <w:p w14:paraId="35AE1221" w14:textId="77777777" w:rsidR="00AE0598" w:rsidRDefault="00AE0598">
            <w:pPr>
              <w:pStyle w:val="TableParagraph"/>
              <w:rPr>
                <w:rFonts w:ascii="Times New Roman"/>
                <w:sz w:val="10"/>
              </w:rPr>
            </w:pPr>
          </w:p>
        </w:tc>
        <w:tc>
          <w:tcPr>
            <w:tcW w:w="240" w:type="dxa"/>
          </w:tcPr>
          <w:p w14:paraId="71FA3AA0" w14:textId="77777777" w:rsidR="00AE0598" w:rsidRDefault="00AE0598">
            <w:pPr>
              <w:pStyle w:val="TableParagraph"/>
              <w:rPr>
                <w:rFonts w:ascii="Times New Roman"/>
                <w:sz w:val="10"/>
              </w:rPr>
            </w:pPr>
          </w:p>
        </w:tc>
        <w:tc>
          <w:tcPr>
            <w:tcW w:w="240" w:type="dxa"/>
          </w:tcPr>
          <w:p w14:paraId="27A806A2" w14:textId="77777777" w:rsidR="00AE0598" w:rsidRDefault="00AE0598">
            <w:pPr>
              <w:pStyle w:val="TableParagraph"/>
              <w:rPr>
                <w:rFonts w:ascii="Times New Roman"/>
                <w:sz w:val="10"/>
              </w:rPr>
            </w:pPr>
          </w:p>
        </w:tc>
        <w:tc>
          <w:tcPr>
            <w:tcW w:w="240" w:type="dxa"/>
          </w:tcPr>
          <w:p w14:paraId="74134E17" w14:textId="77777777" w:rsidR="00AE0598" w:rsidRDefault="00AE0598">
            <w:pPr>
              <w:pStyle w:val="TableParagraph"/>
              <w:rPr>
                <w:rFonts w:ascii="Times New Roman"/>
                <w:sz w:val="10"/>
              </w:rPr>
            </w:pPr>
          </w:p>
        </w:tc>
        <w:tc>
          <w:tcPr>
            <w:tcW w:w="240" w:type="dxa"/>
          </w:tcPr>
          <w:p w14:paraId="23A7AF02" w14:textId="77777777" w:rsidR="00AE0598" w:rsidRDefault="00AE0598">
            <w:pPr>
              <w:pStyle w:val="TableParagraph"/>
              <w:rPr>
                <w:rFonts w:ascii="Times New Roman"/>
                <w:sz w:val="10"/>
              </w:rPr>
            </w:pPr>
          </w:p>
        </w:tc>
        <w:tc>
          <w:tcPr>
            <w:tcW w:w="240" w:type="dxa"/>
          </w:tcPr>
          <w:p w14:paraId="72F1B3DE" w14:textId="77777777" w:rsidR="00AE0598" w:rsidRDefault="00AE0598">
            <w:pPr>
              <w:pStyle w:val="TableParagraph"/>
              <w:rPr>
                <w:rFonts w:ascii="Times New Roman"/>
                <w:sz w:val="10"/>
              </w:rPr>
            </w:pPr>
          </w:p>
        </w:tc>
        <w:tc>
          <w:tcPr>
            <w:tcW w:w="240" w:type="dxa"/>
          </w:tcPr>
          <w:p w14:paraId="3D8E4B2D" w14:textId="77777777" w:rsidR="00AE0598" w:rsidRDefault="00AE0598">
            <w:pPr>
              <w:pStyle w:val="TableParagraph"/>
              <w:rPr>
                <w:rFonts w:ascii="Times New Roman"/>
                <w:sz w:val="10"/>
              </w:rPr>
            </w:pPr>
          </w:p>
        </w:tc>
        <w:tc>
          <w:tcPr>
            <w:tcW w:w="240" w:type="dxa"/>
          </w:tcPr>
          <w:p w14:paraId="16E6DD2F" w14:textId="77777777" w:rsidR="00AE0598" w:rsidRDefault="00AE0598">
            <w:pPr>
              <w:pStyle w:val="TableParagraph"/>
              <w:rPr>
                <w:rFonts w:ascii="Times New Roman"/>
                <w:sz w:val="10"/>
              </w:rPr>
            </w:pPr>
          </w:p>
        </w:tc>
        <w:tc>
          <w:tcPr>
            <w:tcW w:w="240" w:type="dxa"/>
          </w:tcPr>
          <w:p w14:paraId="31C013C4" w14:textId="77777777" w:rsidR="00AE0598" w:rsidRDefault="00AE0598">
            <w:pPr>
              <w:pStyle w:val="TableParagraph"/>
              <w:rPr>
                <w:rFonts w:ascii="Times New Roman"/>
                <w:sz w:val="10"/>
              </w:rPr>
            </w:pPr>
          </w:p>
        </w:tc>
        <w:tc>
          <w:tcPr>
            <w:tcW w:w="240" w:type="dxa"/>
          </w:tcPr>
          <w:p w14:paraId="30C308D1" w14:textId="77777777" w:rsidR="00AE0598" w:rsidRDefault="00AE0598">
            <w:pPr>
              <w:pStyle w:val="TableParagraph"/>
              <w:rPr>
                <w:rFonts w:ascii="Times New Roman"/>
                <w:sz w:val="10"/>
              </w:rPr>
            </w:pPr>
          </w:p>
        </w:tc>
        <w:tc>
          <w:tcPr>
            <w:tcW w:w="240" w:type="dxa"/>
            <w:tcBorders>
              <w:right w:val="nil"/>
            </w:tcBorders>
          </w:tcPr>
          <w:p w14:paraId="4535FFC2" w14:textId="77777777" w:rsidR="00AE0598" w:rsidRDefault="00AE0598">
            <w:pPr>
              <w:pStyle w:val="TableParagraph"/>
              <w:rPr>
                <w:rFonts w:ascii="Times New Roman"/>
                <w:sz w:val="10"/>
              </w:rPr>
            </w:pPr>
          </w:p>
        </w:tc>
        <w:tc>
          <w:tcPr>
            <w:tcW w:w="259" w:type="dxa"/>
            <w:vMerge/>
            <w:tcBorders>
              <w:top w:val="nil"/>
              <w:left w:val="nil"/>
              <w:bottom w:val="nil"/>
              <w:right w:val="nil"/>
            </w:tcBorders>
            <w:shd w:val="clear" w:color="auto" w:fill="231F20"/>
          </w:tcPr>
          <w:p w14:paraId="43A19A68" w14:textId="77777777" w:rsidR="00AE0598" w:rsidRDefault="00AE0598">
            <w:pPr>
              <w:rPr>
                <w:sz w:val="2"/>
                <w:szCs w:val="2"/>
              </w:rPr>
            </w:pPr>
          </w:p>
        </w:tc>
        <w:tc>
          <w:tcPr>
            <w:tcW w:w="222" w:type="dxa"/>
            <w:tcBorders>
              <w:left w:val="nil"/>
            </w:tcBorders>
          </w:tcPr>
          <w:p w14:paraId="29AD54F6" w14:textId="77777777" w:rsidR="00AE0598" w:rsidRDefault="00AE0598">
            <w:pPr>
              <w:pStyle w:val="TableParagraph"/>
              <w:rPr>
                <w:rFonts w:ascii="Times New Roman"/>
                <w:sz w:val="10"/>
              </w:rPr>
            </w:pPr>
          </w:p>
        </w:tc>
        <w:tc>
          <w:tcPr>
            <w:tcW w:w="247" w:type="dxa"/>
            <w:vMerge/>
            <w:tcBorders>
              <w:top w:val="nil"/>
              <w:left w:val="nil"/>
            </w:tcBorders>
          </w:tcPr>
          <w:p w14:paraId="79A11849" w14:textId="77777777" w:rsidR="00AE0598" w:rsidRDefault="00AE0598">
            <w:pPr>
              <w:rPr>
                <w:sz w:val="2"/>
                <w:szCs w:val="2"/>
              </w:rPr>
            </w:pPr>
          </w:p>
        </w:tc>
        <w:tc>
          <w:tcPr>
            <w:tcW w:w="209" w:type="dxa"/>
          </w:tcPr>
          <w:p w14:paraId="342DAE31" w14:textId="77777777" w:rsidR="00AE0598" w:rsidRDefault="00AE0598">
            <w:pPr>
              <w:pStyle w:val="TableParagraph"/>
              <w:rPr>
                <w:rFonts w:ascii="Times New Roman"/>
                <w:sz w:val="10"/>
              </w:rPr>
            </w:pPr>
          </w:p>
        </w:tc>
        <w:tc>
          <w:tcPr>
            <w:tcW w:w="264" w:type="dxa"/>
          </w:tcPr>
          <w:p w14:paraId="57806970" w14:textId="77777777" w:rsidR="00AE0598" w:rsidRDefault="00AE0598">
            <w:pPr>
              <w:pStyle w:val="TableParagraph"/>
              <w:rPr>
                <w:rFonts w:ascii="Times New Roman"/>
                <w:sz w:val="10"/>
              </w:rPr>
            </w:pPr>
          </w:p>
        </w:tc>
        <w:tc>
          <w:tcPr>
            <w:tcW w:w="221" w:type="dxa"/>
          </w:tcPr>
          <w:p w14:paraId="7459CD25" w14:textId="77777777" w:rsidR="00AE0598" w:rsidRDefault="00AE0598">
            <w:pPr>
              <w:pStyle w:val="TableParagraph"/>
              <w:rPr>
                <w:rFonts w:ascii="Times New Roman"/>
                <w:sz w:val="10"/>
              </w:rPr>
            </w:pPr>
          </w:p>
        </w:tc>
        <w:tc>
          <w:tcPr>
            <w:tcW w:w="259" w:type="dxa"/>
            <w:tcBorders>
              <w:bottom w:val="single" w:sz="18" w:space="0" w:color="231F20"/>
            </w:tcBorders>
          </w:tcPr>
          <w:p w14:paraId="341FEE04" w14:textId="77777777" w:rsidR="00AE0598" w:rsidRDefault="00AE0598">
            <w:pPr>
              <w:pStyle w:val="TableParagraph"/>
              <w:rPr>
                <w:rFonts w:ascii="Times New Roman"/>
                <w:sz w:val="10"/>
              </w:rPr>
            </w:pPr>
          </w:p>
        </w:tc>
        <w:tc>
          <w:tcPr>
            <w:tcW w:w="240" w:type="dxa"/>
            <w:tcBorders>
              <w:bottom w:val="single" w:sz="18" w:space="0" w:color="231F20"/>
            </w:tcBorders>
          </w:tcPr>
          <w:p w14:paraId="47FAE6BF" w14:textId="77777777" w:rsidR="00AE0598" w:rsidRDefault="00AE0598">
            <w:pPr>
              <w:pStyle w:val="TableParagraph"/>
              <w:rPr>
                <w:rFonts w:ascii="Times New Roman"/>
                <w:sz w:val="10"/>
              </w:rPr>
            </w:pPr>
          </w:p>
        </w:tc>
        <w:tc>
          <w:tcPr>
            <w:tcW w:w="240" w:type="dxa"/>
            <w:tcBorders>
              <w:bottom w:val="single" w:sz="18" w:space="0" w:color="231F20"/>
            </w:tcBorders>
          </w:tcPr>
          <w:p w14:paraId="7F72F850" w14:textId="77777777" w:rsidR="00AE0598" w:rsidRDefault="00AE0598">
            <w:pPr>
              <w:pStyle w:val="TableParagraph"/>
              <w:rPr>
                <w:rFonts w:ascii="Times New Roman"/>
                <w:sz w:val="10"/>
              </w:rPr>
            </w:pPr>
          </w:p>
        </w:tc>
        <w:tc>
          <w:tcPr>
            <w:tcW w:w="239" w:type="dxa"/>
            <w:tcBorders>
              <w:bottom w:val="single" w:sz="18" w:space="0" w:color="231F20"/>
            </w:tcBorders>
          </w:tcPr>
          <w:p w14:paraId="78AD077A" w14:textId="77777777" w:rsidR="00AE0598" w:rsidRDefault="00AE0598">
            <w:pPr>
              <w:pStyle w:val="TableParagraph"/>
              <w:rPr>
                <w:rFonts w:ascii="Times New Roman"/>
                <w:sz w:val="10"/>
              </w:rPr>
            </w:pPr>
          </w:p>
        </w:tc>
        <w:tc>
          <w:tcPr>
            <w:tcW w:w="240" w:type="dxa"/>
          </w:tcPr>
          <w:p w14:paraId="2104BB40" w14:textId="77777777" w:rsidR="00AE0598" w:rsidRDefault="00AE0598">
            <w:pPr>
              <w:pStyle w:val="TableParagraph"/>
              <w:rPr>
                <w:rFonts w:ascii="Times New Roman"/>
                <w:sz w:val="10"/>
              </w:rPr>
            </w:pPr>
          </w:p>
        </w:tc>
        <w:tc>
          <w:tcPr>
            <w:tcW w:w="239" w:type="dxa"/>
          </w:tcPr>
          <w:p w14:paraId="4D903754" w14:textId="77777777" w:rsidR="00AE0598" w:rsidRDefault="00AE0598">
            <w:pPr>
              <w:pStyle w:val="TableParagraph"/>
              <w:rPr>
                <w:rFonts w:ascii="Times New Roman"/>
                <w:sz w:val="10"/>
              </w:rPr>
            </w:pPr>
          </w:p>
        </w:tc>
        <w:tc>
          <w:tcPr>
            <w:tcW w:w="239" w:type="dxa"/>
          </w:tcPr>
          <w:p w14:paraId="30A76A62" w14:textId="77777777" w:rsidR="00AE0598" w:rsidRDefault="00AE0598">
            <w:pPr>
              <w:pStyle w:val="TableParagraph"/>
              <w:rPr>
                <w:rFonts w:ascii="Times New Roman"/>
                <w:sz w:val="10"/>
              </w:rPr>
            </w:pPr>
          </w:p>
        </w:tc>
      </w:tr>
      <w:tr w:rsidR="00AE0598" w14:paraId="6BA3FB09" w14:textId="77777777">
        <w:trPr>
          <w:trHeight w:val="145"/>
        </w:trPr>
        <w:tc>
          <w:tcPr>
            <w:tcW w:w="576" w:type="dxa"/>
          </w:tcPr>
          <w:p w14:paraId="69DBA5BE" w14:textId="77777777" w:rsidR="00AE0598" w:rsidRDefault="0069255A">
            <w:pPr>
              <w:pStyle w:val="TableParagraph"/>
              <w:spacing w:line="125" w:lineRule="exact"/>
              <w:ind w:left="97" w:right="82"/>
              <w:jc w:val="center"/>
              <w:rPr>
                <w:rFonts w:ascii="Segoe UI Symbol"/>
                <w:sz w:val="16"/>
              </w:rPr>
            </w:pPr>
            <w:r>
              <w:rPr>
                <w:rFonts w:ascii="Segoe UI Symbol"/>
                <w:color w:val="231F20"/>
                <w:spacing w:val="-4"/>
                <w:sz w:val="16"/>
              </w:rPr>
              <w:t>1999</w:t>
            </w:r>
          </w:p>
        </w:tc>
        <w:tc>
          <w:tcPr>
            <w:tcW w:w="240" w:type="dxa"/>
          </w:tcPr>
          <w:p w14:paraId="2A7259BE" w14:textId="77777777" w:rsidR="00AE0598" w:rsidRDefault="00AE0598">
            <w:pPr>
              <w:pStyle w:val="TableParagraph"/>
              <w:rPr>
                <w:rFonts w:ascii="Times New Roman"/>
                <w:sz w:val="8"/>
              </w:rPr>
            </w:pPr>
          </w:p>
        </w:tc>
        <w:tc>
          <w:tcPr>
            <w:tcW w:w="240" w:type="dxa"/>
          </w:tcPr>
          <w:p w14:paraId="7FE9A131" w14:textId="77777777" w:rsidR="00AE0598" w:rsidRDefault="00AE0598">
            <w:pPr>
              <w:pStyle w:val="TableParagraph"/>
              <w:rPr>
                <w:rFonts w:ascii="Times New Roman"/>
                <w:sz w:val="8"/>
              </w:rPr>
            </w:pPr>
          </w:p>
        </w:tc>
        <w:tc>
          <w:tcPr>
            <w:tcW w:w="240" w:type="dxa"/>
          </w:tcPr>
          <w:p w14:paraId="40D9C678" w14:textId="77777777" w:rsidR="00AE0598" w:rsidRDefault="00AE0598">
            <w:pPr>
              <w:pStyle w:val="TableParagraph"/>
              <w:rPr>
                <w:rFonts w:ascii="Times New Roman"/>
                <w:sz w:val="8"/>
              </w:rPr>
            </w:pPr>
          </w:p>
        </w:tc>
        <w:tc>
          <w:tcPr>
            <w:tcW w:w="240" w:type="dxa"/>
          </w:tcPr>
          <w:p w14:paraId="7D9FB232" w14:textId="77777777" w:rsidR="00AE0598" w:rsidRDefault="00AE0598">
            <w:pPr>
              <w:pStyle w:val="TableParagraph"/>
              <w:rPr>
                <w:rFonts w:ascii="Times New Roman"/>
                <w:sz w:val="8"/>
              </w:rPr>
            </w:pPr>
          </w:p>
        </w:tc>
        <w:tc>
          <w:tcPr>
            <w:tcW w:w="240" w:type="dxa"/>
          </w:tcPr>
          <w:p w14:paraId="728428BD" w14:textId="77777777" w:rsidR="00AE0598" w:rsidRDefault="00AE0598">
            <w:pPr>
              <w:pStyle w:val="TableParagraph"/>
              <w:rPr>
                <w:rFonts w:ascii="Times New Roman"/>
                <w:sz w:val="8"/>
              </w:rPr>
            </w:pPr>
          </w:p>
        </w:tc>
        <w:tc>
          <w:tcPr>
            <w:tcW w:w="240" w:type="dxa"/>
          </w:tcPr>
          <w:p w14:paraId="531BCF2C" w14:textId="77777777" w:rsidR="00AE0598" w:rsidRDefault="00AE0598">
            <w:pPr>
              <w:pStyle w:val="TableParagraph"/>
              <w:rPr>
                <w:rFonts w:ascii="Times New Roman"/>
                <w:sz w:val="8"/>
              </w:rPr>
            </w:pPr>
          </w:p>
        </w:tc>
        <w:tc>
          <w:tcPr>
            <w:tcW w:w="240" w:type="dxa"/>
          </w:tcPr>
          <w:p w14:paraId="6CE7B634" w14:textId="77777777" w:rsidR="00AE0598" w:rsidRDefault="00AE0598">
            <w:pPr>
              <w:pStyle w:val="TableParagraph"/>
              <w:rPr>
                <w:rFonts w:ascii="Times New Roman"/>
                <w:sz w:val="8"/>
              </w:rPr>
            </w:pPr>
          </w:p>
        </w:tc>
        <w:tc>
          <w:tcPr>
            <w:tcW w:w="240" w:type="dxa"/>
          </w:tcPr>
          <w:p w14:paraId="1045E653" w14:textId="77777777" w:rsidR="00AE0598" w:rsidRDefault="00AE0598">
            <w:pPr>
              <w:pStyle w:val="TableParagraph"/>
              <w:rPr>
                <w:rFonts w:ascii="Times New Roman"/>
                <w:sz w:val="8"/>
              </w:rPr>
            </w:pPr>
          </w:p>
        </w:tc>
        <w:tc>
          <w:tcPr>
            <w:tcW w:w="240" w:type="dxa"/>
          </w:tcPr>
          <w:p w14:paraId="64A1B453" w14:textId="77777777" w:rsidR="00AE0598" w:rsidRDefault="00AE0598">
            <w:pPr>
              <w:pStyle w:val="TableParagraph"/>
              <w:rPr>
                <w:rFonts w:ascii="Times New Roman"/>
                <w:sz w:val="8"/>
              </w:rPr>
            </w:pPr>
          </w:p>
        </w:tc>
        <w:tc>
          <w:tcPr>
            <w:tcW w:w="240" w:type="dxa"/>
          </w:tcPr>
          <w:p w14:paraId="2A8FBA82" w14:textId="77777777" w:rsidR="00AE0598" w:rsidRDefault="00AE0598">
            <w:pPr>
              <w:pStyle w:val="TableParagraph"/>
              <w:rPr>
                <w:rFonts w:ascii="Times New Roman"/>
                <w:sz w:val="8"/>
              </w:rPr>
            </w:pPr>
          </w:p>
        </w:tc>
        <w:tc>
          <w:tcPr>
            <w:tcW w:w="240" w:type="dxa"/>
            <w:tcBorders>
              <w:right w:val="nil"/>
            </w:tcBorders>
          </w:tcPr>
          <w:p w14:paraId="66F2C559" w14:textId="77777777" w:rsidR="00AE0598" w:rsidRDefault="00AE0598">
            <w:pPr>
              <w:pStyle w:val="TableParagraph"/>
              <w:rPr>
                <w:rFonts w:ascii="Times New Roman"/>
                <w:sz w:val="8"/>
              </w:rPr>
            </w:pPr>
          </w:p>
        </w:tc>
        <w:tc>
          <w:tcPr>
            <w:tcW w:w="259" w:type="dxa"/>
            <w:vMerge/>
            <w:tcBorders>
              <w:top w:val="nil"/>
              <w:left w:val="nil"/>
              <w:bottom w:val="nil"/>
              <w:right w:val="nil"/>
            </w:tcBorders>
            <w:shd w:val="clear" w:color="auto" w:fill="231F20"/>
          </w:tcPr>
          <w:p w14:paraId="0A89C30C" w14:textId="77777777" w:rsidR="00AE0598" w:rsidRDefault="00AE0598">
            <w:pPr>
              <w:rPr>
                <w:sz w:val="2"/>
                <w:szCs w:val="2"/>
              </w:rPr>
            </w:pPr>
          </w:p>
        </w:tc>
        <w:tc>
          <w:tcPr>
            <w:tcW w:w="222" w:type="dxa"/>
            <w:tcBorders>
              <w:left w:val="nil"/>
            </w:tcBorders>
          </w:tcPr>
          <w:p w14:paraId="620C636C" w14:textId="77777777" w:rsidR="00AE0598" w:rsidRDefault="00AE0598">
            <w:pPr>
              <w:pStyle w:val="TableParagraph"/>
              <w:rPr>
                <w:rFonts w:ascii="Times New Roman"/>
                <w:sz w:val="8"/>
              </w:rPr>
            </w:pPr>
          </w:p>
        </w:tc>
        <w:tc>
          <w:tcPr>
            <w:tcW w:w="247" w:type="dxa"/>
            <w:vMerge/>
            <w:tcBorders>
              <w:top w:val="nil"/>
              <w:left w:val="nil"/>
            </w:tcBorders>
          </w:tcPr>
          <w:p w14:paraId="104F0BB1" w14:textId="77777777" w:rsidR="00AE0598" w:rsidRDefault="00AE0598">
            <w:pPr>
              <w:rPr>
                <w:sz w:val="2"/>
                <w:szCs w:val="2"/>
              </w:rPr>
            </w:pPr>
          </w:p>
        </w:tc>
        <w:tc>
          <w:tcPr>
            <w:tcW w:w="209" w:type="dxa"/>
          </w:tcPr>
          <w:p w14:paraId="43803687" w14:textId="77777777" w:rsidR="00AE0598" w:rsidRDefault="00AE0598">
            <w:pPr>
              <w:pStyle w:val="TableParagraph"/>
              <w:rPr>
                <w:rFonts w:ascii="Times New Roman"/>
                <w:sz w:val="8"/>
              </w:rPr>
            </w:pPr>
          </w:p>
        </w:tc>
        <w:tc>
          <w:tcPr>
            <w:tcW w:w="264" w:type="dxa"/>
          </w:tcPr>
          <w:p w14:paraId="28B8BFD9" w14:textId="77777777" w:rsidR="00AE0598" w:rsidRDefault="00AE0598">
            <w:pPr>
              <w:pStyle w:val="TableParagraph"/>
              <w:rPr>
                <w:rFonts w:ascii="Times New Roman"/>
                <w:sz w:val="8"/>
              </w:rPr>
            </w:pPr>
          </w:p>
        </w:tc>
        <w:tc>
          <w:tcPr>
            <w:tcW w:w="221" w:type="dxa"/>
          </w:tcPr>
          <w:p w14:paraId="52A4A366" w14:textId="77777777" w:rsidR="00AE0598" w:rsidRDefault="00AE0598">
            <w:pPr>
              <w:pStyle w:val="TableParagraph"/>
              <w:rPr>
                <w:rFonts w:ascii="Times New Roman"/>
                <w:sz w:val="8"/>
              </w:rPr>
            </w:pPr>
          </w:p>
        </w:tc>
        <w:tc>
          <w:tcPr>
            <w:tcW w:w="978" w:type="dxa"/>
            <w:gridSpan w:val="4"/>
            <w:tcBorders>
              <w:top w:val="single" w:sz="18" w:space="0" w:color="231F20"/>
              <w:bottom w:val="single" w:sz="18" w:space="0" w:color="231F20"/>
            </w:tcBorders>
          </w:tcPr>
          <w:p w14:paraId="111D6968" w14:textId="77777777" w:rsidR="00AE0598" w:rsidRDefault="0069255A">
            <w:pPr>
              <w:pStyle w:val="TableParagraph"/>
              <w:spacing w:line="125" w:lineRule="exact"/>
              <w:ind w:left="69"/>
              <w:rPr>
                <w:rFonts w:ascii="Segoe UI Symbol"/>
                <w:sz w:val="10"/>
              </w:rPr>
            </w:pPr>
            <w:r>
              <w:rPr>
                <w:rFonts w:ascii="Segoe UI Symbol"/>
                <w:color w:val="FFFFFF"/>
                <w:w w:val="110"/>
                <w:sz w:val="10"/>
              </w:rPr>
              <w:t>RWC</w:t>
            </w:r>
            <w:r>
              <w:rPr>
                <w:rFonts w:ascii="Segoe UI Symbol"/>
                <w:color w:val="FFFFFF"/>
                <w:spacing w:val="-5"/>
                <w:w w:val="110"/>
                <w:sz w:val="10"/>
              </w:rPr>
              <w:t xml:space="preserve"> </w:t>
            </w:r>
            <w:r>
              <w:rPr>
                <w:rFonts w:ascii="Segoe UI Symbol"/>
                <w:color w:val="FFFFFF"/>
                <w:w w:val="110"/>
                <w:sz w:val="10"/>
              </w:rPr>
              <w:t>1999</w:t>
            </w:r>
            <w:r>
              <w:rPr>
                <w:rFonts w:ascii="Segoe UI Symbol"/>
                <w:color w:val="FFFFFF"/>
                <w:spacing w:val="-5"/>
                <w:w w:val="110"/>
                <w:sz w:val="10"/>
              </w:rPr>
              <w:t xml:space="preserve"> </w:t>
            </w:r>
            <w:r>
              <w:rPr>
                <w:rFonts w:ascii="Segoe UI Symbol"/>
                <w:color w:val="FFFFFF"/>
                <w:spacing w:val="-2"/>
                <w:w w:val="110"/>
                <w:sz w:val="10"/>
              </w:rPr>
              <w:t>Wales</w:t>
            </w:r>
          </w:p>
        </w:tc>
        <w:tc>
          <w:tcPr>
            <w:tcW w:w="240" w:type="dxa"/>
          </w:tcPr>
          <w:p w14:paraId="30617D18" w14:textId="77777777" w:rsidR="00AE0598" w:rsidRDefault="00AE0598">
            <w:pPr>
              <w:pStyle w:val="TableParagraph"/>
              <w:rPr>
                <w:rFonts w:ascii="Times New Roman"/>
                <w:sz w:val="8"/>
              </w:rPr>
            </w:pPr>
          </w:p>
        </w:tc>
        <w:tc>
          <w:tcPr>
            <w:tcW w:w="239" w:type="dxa"/>
          </w:tcPr>
          <w:p w14:paraId="2708D20B" w14:textId="77777777" w:rsidR="00AE0598" w:rsidRDefault="00AE0598">
            <w:pPr>
              <w:pStyle w:val="TableParagraph"/>
              <w:rPr>
                <w:rFonts w:ascii="Times New Roman"/>
                <w:sz w:val="8"/>
              </w:rPr>
            </w:pPr>
          </w:p>
        </w:tc>
        <w:tc>
          <w:tcPr>
            <w:tcW w:w="239" w:type="dxa"/>
          </w:tcPr>
          <w:p w14:paraId="186EBF0C" w14:textId="77777777" w:rsidR="00AE0598" w:rsidRDefault="00AE0598">
            <w:pPr>
              <w:pStyle w:val="TableParagraph"/>
              <w:rPr>
                <w:rFonts w:ascii="Times New Roman"/>
                <w:sz w:val="8"/>
              </w:rPr>
            </w:pPr>
          </w:p>
        </w:tc>
      </w:tr>
      <w:tr w:rsidR="00AE0598" w14:paraId="28BEC8DC" w14:textId="77777777">
        <w:trPr>
          <w:trHeight w:val="163"/>
        </w:trPr>
        <w:tc>
          <w:tcPr>
            <w:tcW w:w="576" w:type="dxa"/>
          </w:tcPr>
          <w:p w14:paraId="0CE273A5" w14:textId="77777777" w:rsidR="00AE0598" w:rsidRDefault="0069255A">
            <w:pPr>
              <w:pStyle w:val="TableParagraph"/>
              <w:spacing w:line="144" w:lineRule="exact"/>
              <w:ind w:left="97" w:right="82"/>
              <w:jc w:val="center"/>
              <w:rPr>
                <w:rFonts w:ascii="Segoe UI Symbol"/>
                <w:sz w:val="16"/>
              </w:rPr>
            </w:pPr>
            <w:r>
              <w:rPr>
                <w:rFonts w:ascii="Segoe UI Symbol"/>
                <w:color w:val="231F20"/>
                <w:spacing w:val="-4"/>
                <w:sz w:val="16"/>
              </w:rPr>
              <w:t>1998</w:t>
            </w:r>
          </w:p>
        </w:tc>
        <w:tc>
          <w:tcPr>
            <w:tcW w:w="240" w:type="dxa"/>
          </w:tcPr>
          <w:p w14:paraId="667B3FA8" w14:textId="77777777" w:rsidR="00AE0598" w:rsidRDefault="00AE0598">
            <w:pPr>
              <w:pStyle w:val="TableParagraph"/>
              <w:rPr>
                <w:rFonts w:ascii="Times New Roman"/>
                <w:sz w:val="10"/>
              </w:rPr>
            </w:pPr>
          </w:p>
        </w:tc>
        <w:tc>
          <w:tcPr>
            <w:tcW w:w="240" w:type="dxa"/>
          </w:tcPr>
          <w:p w14:paraId="2145EB25" w14:textId="77777777" w:rsidR="00AE0598" w:rsidRDefault="00AE0598">
            <w:pPr>
              <w:pStyle w:val="TableParagraph"/>
              <w:rPr>
                <w:rFonts w:ascii="Times New Roman"/>
                <w:sz w:val="10"/>
              </w:rPr>
            </w:pPr>
          </w:p>
        </w:tc>
        <w:tc>
          <w:tcPr>
            <w:tcW w:w="240" w:type="dxa"/>
          </w:tcPr>
          <w:p w14:paraId="125ABF7D" w14:textId="77777777" w:rsidR="00AE0598" w:rsidRDefault="00AE0598">
            <w:pPr>
              <w:pStyle w:val="TableParagraph"/>
              <w:rPr>
                <w:rFonts w:ascii="Times New Roman"/>
                <w:sz w:val="10"/>
              </w:rPr>
            </w:pPr>
          </w:p>
        </w:tc>
        <w:tc>
          <w:tcPr>
            <w:tcW w:w="240" w:type="dxa"/>
          </w:tcPr>
          <w:p w14:paraId="3E70D81B" w14:textId="77777777" w:rsidR="00AE0598" w:rsidRDefault="00AE0598">
            <w:pPr>
              <w:pStyle w:val="TableParagraph"/>
              <w:rPr>
                <w:rFonts w:ascii="Times New Roman"/>
                <w:sz w:val="10"/>
              </w:rPr>
            </w:pPr>
          </w:p>
        </w:tc>
        <w:tc>
          <w:tcPr>
            <w:tcW w:w="240" w:type="dxa"/>
          </w:tcPr>
          <w:p w14:paraId="0A1F5868" w14:textId="77777777" w:rsidR="00AE0598" w:rsidRDefault="00AE0598">
            <w:pPr>
              <w:pStyle w:val="TableParagraph"/>
              <w:rPr>
                <w:rFonts w:ascii="Times New Roman"/>
                <w:sz w:val="10"/>
              </w:rPr>
            </w:pPr>
          </w:p>
        </w:tc>
        <w:tc>
          <w:tcPr>
            <w:tcW w:w="240" w:type="dxa"/>
          </w:tcPr>
          <w:p w14:paraId="6F8F4407" w14:textId="77777777" w:rsidR="00AE0598" w:rsidRDefault="00AE0598">
            <w:pPr>
              <w:pStyle w:val="TableParagraph"/>
              <w:rPr>
                <w:rFonts w:ascii="Times New Roman"/>
                <w:sz w:val="10"/>
              </w:rPr>
            </w:pPr>
          </w:p>
        </w:tc>
        <w:tc>
          <w:tcPr>
            <w:tcW w:w="240" w:type="dxa"/>
          </w:tcPr>
          <w:p w14:paraId="6631ADDD" w14:textId="77777777" w:rsidR="00AE0598" w:rsidRDefault="00AE0598">
            <w:pPr>
              <w:pStyle w:val="TableParagraph"/>
              <w:rPr>
                <w:rFonts w:ascii="Times New Roman"/>
                <w:sz w:val="10"/>
              </w:rPr>
            </w:pPr>
          </w:p>
        </w:tc>
        <w:tc>
          <w:tcPr>
            <w:tcW w:w="240" w:type="dxa"/>
          </w:tcPr>
          <w:p w14:paraId="1AE7D1BA" w14:textId="77777777" w:rsidR="00AE0598" w:rsidRDefault="00AE0598">
            <w:pPr>
              <w:pStyle w:val="TableParagraph"/>
              <w:rPr>
                <w:rFonts w:ascii="Times New Roman"/>
                <w:sz w:val="10"/>
              </w:rPr>
            </w:pPr>
          </w:p>
        </w:tc>
        <w:tc>
          <w:tcPr>
            <w:tcW w:w="240" w:type="dxa"/>
          </w:tcPr>
          <w:p w14:paraId="4A658943" w14:textId="77777777" w:rsidR="00AE0598" w:rsidRDefault="00AE0598">
            <w:pPr>
              <w:pStyle w:val="TableParagraph"/>
              <w:rPr>
                <w:rFonts w:ascii="Times New Roman"/>
                <w:sz w:val="10"/>
              </w:rPr>
            </w:pPr>
          </w:p>
        </w:tc>
        <w:tc>
          <w:tcPr>
            <w:tcW w:w="240" w:type="dxa"/>
          </w:tcPr>
          <w:p w14:paraId="344FAE20" w14:textId="77777777" w:rsidR="00AE0598" w:rsidRDefault="00AE0598">
            <w:pPr>
              <w:pStyle w:val="TableParagraph"/>
              <w:rPr>
                <w:rFonts w:ascii="Times New Roman"/>
                <w:sz w:val="10"/>
              </w:rPr>
            </w:pPr>
          </w:p>
        </w:tc>
        <w:tc>
          <w:tcPr>
            <w:tcW w:w="240" w:type="dxa"/>
          </w:tcPr>
          <w:p w14:paraId="6FD7D2D8" w14:textId="77777777" w:rsidR="00AE0598" w:rsidRDefault="00AE0598">
            <w:pPr>
              <w:pStyle w:val="TableParagraph"/>
              <w:rPr>
                <w:rFonts w:ascii="Times New Roman"/>
                <w:sz w:val="10"/>
              </w:rPr>
            </w:pPr>
          </w:p>
        </w:tc>
        <w:tc>
          <w:tcPr>
            <w:tcW w:w="259" w:type="dxa"/>
            <w:tcBorders>
              <w:right w:val="nil"/>
            </w:tcBorders>
          </w:tcPr>
          <w:p w14:paraId="45C0A4C6" w14:textId="77777777" w:rsidR="00AE0598" w:rsidRDefault="00AE0598">
            <w:pPr>
              <w:pStyle w:val="TableParagraph"/>
              <w:rPr>
                <w:rFonts w:ascii="Times New Roman"/>
                <w:sz w:val="10"/>
              </w:rPr>
            </w:pPr>
          </w:p>
        </w:tc>
        <w:tc>
          <w:tcPr>
            <w:tcW w:w="222" w:type="dxa"/>
            <w:tcBorders>
              <w:top w:val="nil"/>
              <w:left w:val="nil"/>
              <w:bottom w:val="nil"/>
              <w:right w:val="nil"/>
            </w:tcBorders>
            <w:shd w:val="clear" w:color="auto" w:fill="231F20"/>
          </w:tcPr>
          <w:p w14:paraId="0A7E26F6" w14:textId="77777777" w:rsidR="00AE0598" w:rsidRDefault="00AE0598">
            <w:pPr>
              <w:pStyle w:val="TableParagraph"/>
              <w:rPr>
                <w:rFonts w:ascii="Times New Roman"/>
                <w:sz w:val="10"/>
              </w:rPr>
            </w:pPr>
          </w:p>
        </w:tc>
        <w:tc>
          <w:tcPr>
            <w:tcW w:w="247" w:type="dxa"/>
            <w:vMerge/>
            <w:tcBorders>
              <w:top w:val="nil"/>
              <w:left w:val="nil"/>
            </w:tcBorders>
          </w:tcPr>
          <w:p w14:paraId="24A9557B" w14:textId="77777777" w:rsidR="00AE0598" w:rsidRDefault="00AE0598">
            <w:pPr>
              <w:rPr>
                <w:sz w:val="2"/>
                <w:szCs w:val="2"/>
              </w:rPr>
            </w:pPr>
          </w:p>
        </w:tc>
        <w:tc>
          <w:tcPr>
            <w:tcW w:w="209" w:type="dxa"/>
          </w:tcPr>
          <w:p w14:paraId="0F41064F" w14:textId="77777777" w:rsidR="00AE0598" w:rsidRDefault="00AE0598">
            <w:pPr>
              <w:pStyle w:val="TableParagraph"/>
              <w:rPr>
                <w:rFonts w:ascii="Times New Roman"/>
                <w:sz w:val="10"/>
              </w:rPr>
            </w:pPr>
          </w:p>
        </w:tc>
        <w:tc>
          <w:tcPr>
            <w:tcW w:w="264" w:type="dxa"/>
          </w:tcPr>
          <w:p w14:paraId="4C9BC822" w14:textId="77777777" w:rsidR="00AE0598" w:rsidRDefault="00AE0598">
            <w:pPr>
              <w:pStyle w:val="TableParagraph"/>
              <w:rPr>
                <w:rFonts w:ascii="Times New Roman"/>
                <w:sz w:val="10"/>
              </w:rPr>
            </w:pPr>
          </w:p>
        </w:tc>
        <w:tc>
          <w:tcPr>
            <w:tcW w:w="221" w:type="dxa"/>
          </w:tcPr>
          <w:p w14:paraId="0F59AC7A" w14:textId="77777777" w:rsidR="00AE0598" w:rsidRDefault="00AE0598">
            <w:pPr>
              <w:pStyle w:val="TableParagraph"/>
              <w:rPr>
                <w:rFonts w:ascii="Times New Roman"/>
                <w:sz w:val="10"/>
              </w:rPr>
            </w:pPr>
          </w:p>
        </w:tc>
        <w:tc>
          <w:tcPr>
            <w:tcW w:w="259" w:type="dxa"/>
            <w:tcBorders>
              <w:top w:val="single" w:sz="18" w:space="0" w:color="231F20"/>
            </w:tcBorders>
          </w:tcPr>
          <w:p w14:paraId="7E3A7BEA" w14:textId="77777777" w:rsidR="00AE0598" w:rsidRDefault="00AE0598">
            <w:pPr>
              <w:pStyle w:val="TableParagraph"/>
              <w:rPr>
                <w:rFonts w:ascii="Times New Roman"/>
                <w:sz w:val="10"/>
              </w:rPr>
            </w:pPr>
          </w:p>
        </w:tc>
        <w:tc>
          <w:tcPr>
            <w:tcW w:w="240" w:type="dxa"/>
            <w:tcBorders>
              <w:top w:val="single" w:sz="18" w:space="0" w:color="231F20"/>
            </w:tcBorders>
          </w:tcPr>
          <w:p w14:paraId="24B0B7AC" w14:textId="77777777" w:rsidR="00AE0598" w:rsidRDefault="00AE0598">
            <w:pPr>
              <w:pStyle w:val="TableParagraph"/>
              <w:rPr>
                <w:rFonts w:ascii="Times New Roman"/>
                <w:sz w:val="10"/>
              </w:rPr>
            </w:pPr>
          </w:p>
        </w:tc>
        <w:tc>
          <w:tcPr>
            <w:tcW w:w="240" w:type="dxa"/>
            <w:tcBorders>
              <w:top w:val="single" w:sz="18" w:space="0" w:color="231F20"/>
            </w:tcBorders>
          </w:tcPr>
          <w:p w14:paraId="2A82F81C" w14:textId="77777777" w:rsidR="00AE0598" w:rsidRDefault="00AE0598">
            <w:pPr>
              <w:pStyle w:val="TableParagraph"/>
              <w:rPr>
                <w:rFonts w:ascii="Times New Roman"/>
                <w:sz w:val="10"/>
              </w:rPr>
            </w:pPr>
          </w:p>
        </w:tc>
        <w:tc>
          <w:tcPr>
            <w:tcW w:w="239" w:type="dxa"/>
            <w:tcBorders>
              <w:top w:val="single" w:sz="18" w:space="0" w:color="231F20"/>
            </w:tcBorders>
          </w:tcPr>
          <w:p w14:paraId="7D750D9B" w14:textId="77777777" w:rsidR="00AE0598" w:rsidRDefault="00AE0598">
            <w:pPr>
              <w:pStyle w:val="TableParagraph"/>
              <w:rPr>
                <w:rFonts w:ascii="Times New Roman"/>
                <w:sz w:val="10"/>
              </w:rPr>
            </w:pPr>
          </w:p>
        </w:tc>
        <w:tc>
          <w:tcPr>
            <w:tcW w:w="240" w:type="dxa"/>
          </w:tcPr>
          <w:p w14:paraId="0E97DF6F" w14:textId="77777777" w:rsidR="00AE0598" w:rsidRDefault="00AE0598">
            <w:pPr>
              <w:pStyle w:val="TableParagraph"/>
              <w:rPr>
                <w:rFonts w:ascii="Times New Roman"/>
                <w:sz w:val="10"/>
              </w:rPr>
            </w:pPr>
          </w:p>
        </w:tc>
        <w:tc>
          <w:tcPr>
            <w:tcW w:w="239" w:type="dxa"/>
          </w:tcPr>
          <w:p w14:paraId="73635CFE" w14:textId="77777777" w:rsidR="00AE0598" w:rsidRDefault="00AE0598">
            <w:pPr>
              <w:pStyle w:val="TableParagraph"/>
              <w:rPr>
                <w:rFonts w:ascii="Times New Roman"/>
                <w:sz w:val="10"/>
              </w:rPr>
            </w:pPr>
          </w:p>
        </w:tc>
        <w:tc>
          <w:tcPr>
            <w:tcW w:w="239" w:type="dxa"/>
          </w:tcPr>
          <w:p w14:paraId="45F37AE7" w14:textId="77777777" w:rsidR="00AE0598" w:rsidRDefault="00AE0598">
            <w:pPr>
              <w:pStyle w:val="TableParagraph"/>
              <w:rPr>
                <w:rFonts w:ascii="Times New Roman"/>
                <w:sz w:val="10"/>
              </w:rPr>
            </w:pPr>
          </w:p>
        </w:tc>
      </w:tr>
      <w:tr w:rsidR="00AE0598" w14:paraId="1FE34881" w14:textId="77777777">
        <w:trPr>
          <w:trHeight w:val="180"/>
        </w:trPr>
        <w:tc>
          <w:tcPr>
            <w:tcW w:w="576" w:type="dxa"/>
          </w:tcPr>
          <w:p w14:paraId="3A2C6AB3" w14:textId="77777777" w:rsidR="00AE0598" w:rsidRDefault="0069255A">
            <w:pPr>
              <w:pStyle w:val="TableParagraph"/>
              <w:spacing w:line="160" w:lineRule="exact"/>
              <w:ind w:left="97" w:right="82"/>
              <w:jc w:val="center"/>
              <w:rPr>
                <w:rFonts w:ascii="Segoe UI Symbol"/>
                <w:sz w:val="16"/>
              </w:rPr>
            </w:pPr>
            <w:r>
              <w:rPr>
                <w:rFonts w:ascii="Segoe UI Symbol"/>
                <w:color w:val="231F20"/>
                <w:spacing w:val="-4"/>
                <w:sz w:val="16"/>
              </w:rPr>
              <w:t>1997</w:t>
            </w:r>
          </w:p>
        </w:tc>
        <w:tc>
          <w:tcPr>
            <w:tcW w:w="240" w:type="dxa"/>
          </w:tcPr>
          <w:p w14:paraId="55063981" w14:textId="77777777" w:rsidR="00AE0598" w:rsidRDefault="00AE0598">
            <w:pPr>
              <w:pStyle w:val="TableParagraph"/>
              <w:rPr>
                <w:rFonts w:ascii="Times New Roman"/>
                <w:sz w:val="12"/>
              </w:rPr>
            </w:pPr>
          </w:p>
        </w:tc>
        <w:tc>
          <w:tcPr>
            <w:tcW w:w="240" w:type="dxa"/>
          </w:tcPr>
          <w:p w14:paraId="6AD8F9F4" w14:textId="77777777" w:rsidR="00AE0598" w:rsidRDefault="00AE0598">
            <w:pPr>
              <w:pStyle w:val="TableParagraph"/>
              <w:rPr>
                <w:rFonts w:ascii="Times New Roman"/>
                <w:sz w:val="12"/>
              </w:rPr>
            </w:pPr>
          </w:p>
        </w:tc>
        <w:tc>
          <w:tcPr>
            <w:tcW w:w="240" w:type="dxa"/>
          </w:tcPr>
          <w:p w14:paraId="20F9FBA8" w14:textId="77777777" w:rsidR="00AE0598" w:rsidRDefault="00AE0598">
            <w:pPr>
              <w:pStyle w:val="TableParagraph"/>
              <w:rPr>
                <w:rFonts w:ascii="Times New Roman"/>
                <w:sz w:val="12"/>
              </w:rPr>
            </w:pPr>
          </w:p>
        </w:tc>
        <w:tc>
          <w:tcPr>
            <w:tcW w:w="240" w:type="dxa"/>
          </w:tcPr>
          <w:p w14:paraId="313812CE" w14:textId="77777777" w:rsidR="00AE0598" w:rsidRDefault="00AE0598">
            <w:pPr>
              <w:pStyle w:val="TableParagraph"/>
              <w:rPr>
                <w:rFonts w:ascii="Times New Roman"/>
                <w:sz w:val="12"/>
              </w:rPr>
            </w:pPr>
          </w:p>
        </w:tc>
        <w:tc>
          <w:tcPr>
            <w:tcW w:w="240" w:type="dxa"/>
          </w:tcPr>
          <w:p w14:paraId="4F363A35" w14:textId="77777777" w:rsidR="00AE0598" w:rsidRDefault="00AE0598">
            <w:pPr>
              <w:pStyle w:val="TableParagraph"/>
              <w:rPr>
                <w:rFonts w:ascii="Times New Roman"/>
                <w:sz w:val="12"/>
              </w:rPr>
            </w:pPr>
          </w:p>
        </w:tc>
        <w:tc>
          <w:tcPr>
            <w:tcW w:w="240" w:type="dxa"/>
          </w:tcPr>
          <w:p w14:paraId="6E63E721" w14:textId="77777777" w:rsidR="00AE0598" w:rsidRDefault="00AE0598">
            <w:pPr>
              <w:pStyle w:val="TableParagraph"/>
              <w:rPr>
                <w:rFonts w:ascii="Times New Roman"/>
                <w:sz w:val="12"/>
              </w:rPr>
            </w:pPr>
          </w:p>
        </w:tc>
        <w:tc>
          <w:tcPr>
            <w:tcW w:w="240" w:type="dxa"/>
          </w:tcPr>
          <w:p w14:paraId="09A6E211" w14:textId="77777777" w:rsidR="00AE0598" w:rsidRDefault="00AE0598">
            <w:pPr>
              <w:pStyle w:val="TableParagraph"/>
              <w:rPr>
                <w:rFonts w:ascii="Times New Roman"/>
                <w:sz w:val="12"/>
              </w:rPr>
            </w:pPr>
          </w:p>
        </w:tc>
        <w:tc>
          <w:tcPr>
            <w:tcW w:w="240" w:type="dxa"/>
          </w:tcPr>
          <w:p w14:paraId="623B4A11" w14:textId="77777777" w:rsidR="00AE0598" w:rsidRDefault="00AE0598">
            <w:pPr>
              <w:pStyle w:val="TableParagraph"/>
              <w:rPr>
                <w:rFonts w:ascii="Times New Roman"/>
                <w:sz w:val="12"/>
              </w:rPr>
            </w:pPr>
          </w:p>
        </w:tc>
        <w:tc>
          <w:tcPr>
            <w:tcW w:w="240" w:type="dxa"/>
          </w:tcPr>
          <w:p w14:paraId="1795483E" w14:textId="77777777" w:rsidR="00AE0598" w:rsidRDefault="00AE0598">
            <w:pPr>
              <w:pStyle w:val="TableParagraph"/>
              <w:rPr>
                <w:rFonts w:ascii="Times New Roman"/>
                <w:sz w:val="12"/>
              </w:rPr>
            </w:pPr>
          </w:p>
        </w:tc>
        <w:tc>
          <w:tcPr>
            <w:tcW w:w="240" w:type="dxa"/>
          </w:tcPr>
          <w:p w14:paraId="550132BC" w14:textId="77777777" w:rsidR="00AE0598" w:rsidRDefault="00AE0598">
            <w:pPr>
              <w:pStyle w:val="TableParagraph"/>
              <w:rPr>
                <w:rFonts w:ascii="Times New Roman"/>
                <w:sz w:val="12"/>
              </w:rPr>
            </w:pPr>
          </w:p>
        </w:tc>
        <w:tc>
          <w:tcPr>
            <w:tcW w:w="240" w:type="dxa"/>
          </w:tcPr>
          <w:p w14:paraId="2A0449B0" w14:textId="77777777" w:rsidR="00AE0598" w:rsidRDefault="00AE0598">
            <w:pPr>
              <w:pStyle w:val="TableParagraph"/>
              <w:rPr>
                <w:rFonts w:ascii="Times New Roman"/>
                <w:sz w:val="12"/>
              </w:rPr>
            </w:pPr>
          </w:p>
        </w:tc>
        <w:tc>
          <w:tcPr>
            <w:tcW w:w="259" w:type="dxa"/>
          </w:tcPr>
          <w:p w14:paraId="018BB44A" w14:textId="77777777" w:rsidR="00AE0598" w:rsidRDefault="00AE0598">
            <w:pPr>
              <w:pStyle w:val="TableParagraph"/>
              <w:rPr>
                <w:rFonts w:ascii="Times New Roman"/>
                <w:sz w:val="12"/>
              </w:rPr>
            </w:pPr>
          </w:p>
        </w:tc>
        <w:tc>
          <w:tcPr>
            <w:tcW w:w="222" w:type="dxa"/>
          </w:tcPr>
          <w:p w14:paraId="67903C11" w14:textId="77777777" w:rsidR="00AE0598" w:rsidRDefault="00AE0598">
            <w:pPr>
              <w:pStyle w:val="TableParagraph"/>
              <w:rPr>
                <w:rFonts w:ascii="Times New Roman"/>
                <w:sz w:val="12"/>
              </w:rPr>
            </w:pPr>
          </w:p>
        </w:tc>
        <w:tc>
          <w:tcPr>
            <w:tcW w:w="247" w:type="dxa"/>
          </w:tcPr>
          <w:p w14:paraId="235D596E" w14:textId="77777777" w:rsidR="00AE0598" w:rsidRDefault="00AE0598">
            <w:pPr>
              <w:pStyle w:val="TableParagraph"/>
              <w:rPr>
                <w:rFonts w:ascii="Times New Roman"/>
                <w:sz w:val="12"/>
              </w:rPr>
            </w:pPr>
          </w:p>
        </w:tc>
        <w:tc>
          <w:tcPr>
            <w:tcW w:w="209" w:type="dxa"/>
          </w:tcPr>
          <w:p w14:paraId="4F3C9C90" w14:textId="77777777" w:rsidR="00AE0598" w:rsidRDefault="00AE0598">
            <w:pPr>
              <w:pStyle w:val="TableParagraph"/>
              <w:rPr>
                <w:rFonts w:ascii="Times New Roman"/>
                <w:sz w:val="12"/>
              </w:rPr>
            </w:pPr>
          </w:p>
        </w:tc>
        <w:tc>
          <w:tcPr>
            <w:tcW w:w="264" w:type="dxa"/>
          </w:tcPr>
          <w:p w14:paraId="634F24B7" w14:textId="77777777" w:rsidR="00AE0598" w:rsidRDefault="00AE0598">
            <w:pPr>
              <w:pStyle w:val="TableParagraph"/>
              <w:rPr>
                <w:rFonts w:ascii="Times New Roman"/>
                <w:sz w:val="12"/>
              </w:rPr>
            </w:pPr>
          </w:p>
        </w:tc>
        <w:tc>
          <w:tcPr>
            <w:tcW w:w="221" w:type="dxa"/>
          </w:tcPr>
          <w:p w14:paraId="6E40699A" w14:textId="77777777" w:rsidR="00AE0598" w:rsidRDefault="00AE0598">
            <w:pPr>
              <w:pStyle w:val="TableParagraph"/>
              <w:rPr>
                <w:rFonts w:ascii="Times New Roman"/>
                <w:sz w:val="12"/>
              </w:rPr>
            </w:pPr>
          </w:p>
        </w:tc>
        <w:tc>
          <w:tcPr>
            <w:tcW w:w="259" w:type="dxa"/>
          </w:tcPr>
          <w:p w14:paraId="38203314" w14:textId="77777777" w:rsidR="00AE0598" w:rsidRDefault="00AE0598">
            <w:pPr>
              <w:pStyle w:val="TableParagraph"/>
              <w:rPr>
                <w:rFonts w:ascii="Times New Roman"/>
                <w:sz w:val="12"/>
              </w:rPr>
            </w:pPr>
          </w:p>
        </w:tc>
        <w:tc>
          <w:tcPr>
            <w:tcW w:w="240" w:type="dxa"/>
          </w:tcPr>
          <w:p w14:paraId="4654631A" w14:textId="77777777" w:rsidR="00AE0598" w:rsidRDefault="00AE0598">
            <w:pPr>
              <w:pStyle w:val="TableParagraph"/>
              <w:rPr>
                <w:rFonts w:ascii="Times New Roman"/>
                <w:sz w:val="12"/>
              </w:rPr>
            </w:pPr>
          </w:p>
        </w:tc>
        <w:tc>
          <w:tcPr>
            <w:tcW w:w="240" w:type="dxa"/>
          </w:tcPr>
          <w:p w14:paraId="2E6AB84F" w14:textId="77777777" w:rsidR="00AE0598" w:rsidRDefault="00AE0598">
            <w:pPr>
              <w:pStyle w:val="TableParagraph"/>
              <w:rPr>
                <w:rFonts w:ascii="Times New Roman"/>
                <w:sz w:val="12"/>
              </w:rPr>
            </w:pPr>
          </w:p>
        </w:tc>
        <w:tc>
          <w:tcPr>
            <w:tcW w:w="718" w:type="dxa"/>
            <w:gridSpan w:val="3"/>
          </w:tcPr>
          <w:p w14:paraId="4F2D7CB3" w14:textId="77777777" w:rsidR="00AE0598" w:rsidRDefault="00AE0598">
            <w:pPr>
              <w:pStyle w:val="TableParagraph"/>
              <w:rPr>
                <w:rFonts w:ascii="Times New Roman"/>
                <w:sz w:val="12"/>
              </w:rPr>
            </w:pPr>
          </w:p>
        </w:tc>
        <w:tc>
          <w:tcPr>
            <w:tcW w:w="239" w:type="dxa"/>
          </w:tcPr>
          <w:p w14:paraId="1F15BC3E" w14:textId="77777777" w:rsidR="00AE0598" w:rsidRDefault="00AE0598">
            <w:pPr>
              <w:pStyle w:val="TableParagraph"/>
              <w:rPr>
                <w:rFonts w:ascii="Times New Roman"/>
                <w:sz w:val="12"/>
              </w:rPr>
            </w:pPr>
          </w:p>
        </w:tc>
      </w:tr>
      <w:tr w:rsidR="00AE0598" w14:paraId="3505693E" w14:textId="77777777">
        <w:trPr>
          <w:trHeight w:val="180"/>
        </w:trPr>
        <w:tc>
          <w:tcPr>
            <w:tcW w:w="576" w:type="dxa"/>
          </w:tcPr>
          <w:p w14:paraId="6D613642" w14:textId="77777777" w:rsidR="00AE0598" w:rsidRDefault="0069255A">
            <w:pPr>
              <w:pStyle w:val="TableParagraph"/>
              <w:spacing w:line="161" w:lineRule="exact"/>
              <w:ind w:left="97" w:right="82"/>
              <w:jc w:val="center"/>
              <w:rPr>
                <w:rFonts w:ascii="Segoe UI Symbol"/>
                <w:sz w:val="16"/>
              </w:rPr>
            </w:pPr>
            <w:r>
              <w:rPr>
                <w:rFonts w:ascii="Segoe UI Symbol"/>
                <w:color w:val="231F20"/>
                <w:spacing w:val="-4"/>
                <w:sz w:val="16"/>
              </w:rPr>
              <w:t>1996</w:t>
            </w:r>
          </w:p>
        </w:tc>
        <w:tc>
          <w:tcPr>
            <w:tcW w:w="240" w:type="dxa"/>
          </w:tcPr>
          <w:p w14:paraId="456B6110" w14:textId="77777777" w:rsidR="00AE0598" w:rsidRDefault="00AE0598">
            <w:pPr>
              <w:pStyle w:val="TableParagraph"/>
              <w:rPr>
                <w:rFonts w:ascii="Times New Roman"/>
                <w:sz w:val="12"/>
              </w:rPr>
            </w:pPr>
          </w:p>
        </w:tc>
        <w:tc>
          <w:tcPr>
            <w:tcW w:w="240" w:type="dxa"/>
          </w:tcPr>
          <w:p w14:paraId="4377699F" w14:textId="77777777" w:rsidR="00AE0598" w:rsidRDefault="00AE0598">
            <w:pPr>
              <w:pStyle w:val="TableParagraph"/>
              <w:rPr>
                <w:rFonts w:ascii="Times New Roman"/>
                <w:sz w:val="12"/>
              </w:rPr>
            </w:pPr>
          </w:p>
        </w:tc>
        <w:tc>
          <w:tcPr>
            <w:tcW w:w="240" w:type="dxa"/>
          </w:tcPr>
          <w:p w14:paraId="571BC530" w14:textId="77777777" w:rsidR="00AE0598" w:rsidRDefault="00AE0598">
            <w:pPr>
              <w:pStyle w:val="TableParagraph"/>
              <w:rPr>
                <w:rFonts w:ascii="Times New Roman"/>
                <w:sz w:val="12"/>
              </w:rPr>
            </w:pPr>
          </w:p>
        </w:tc>
        <w:tc>
          <w:tcPr>
            <w:tcW w:w="240" w:type="dxa"/>
          </w:tcPr>
          <w:p w14:paraId="5F68A6C4" w14:textId="77777777" w:rsidR="00AE0598" w:rsidRDefault="00AE0598">
            <w:pPr>
              <w:pStyle w:val="TableParagraph"/>
              <w:rPr>
                <w:rFonts w:ascii="Times New Roman"/>
                <w:sz w:val="12"/>
              </w:rPr>
            </w:pPr>
          </w:p>
        </w:tc>
        <w:tc>
          <w:tcPr>
            <w:tcW w:w="240" w:type="dxa"/>
          </w:tcPr>
          <w:p w14:paraId="4CD28F5C" w14:textId="77777777" w:rsidR="00AE0598" w:rsidRDefault="00AE0598">
            <w:pPr>
              <w:pStyle w:val="TableParagraph"/>
              <w:rPr>
                <w:rFonts w:ascii="Times New Roman"/>
                <w:sz w:val="12"/>
              </w:rPr>
            </w:pPr>
          </w:p>
        </w:tc>
        <w:tc>
          <w:tcPr>
            <w:tcW w:w="240" w:type="dxa"/>
          </w:tcPr>
          <w:p w14:paraId="44D29450" w14:textId="77777777" w:rsidR="00AE0598" w:rsidRDefault="00AE0598">
            <w:pPr>
              <w:pStyle w:val="TableParagraph"/>
              <w:rPr>
                <w:rFonts w:ascii="Times New Roman"/>
                <w:sz w:val="12"/>
              </w:rPr>
            </w:pPr>
          </w:p>
        </w:tc>
        <w:tc>
          <w:tcPr>
            <w:tcW w:w="240" w:type="dxa"/>
          </w:tcPr>
          <w:p w14:paraId="5D909D5F" w14:textId="77777777" w:rsidR="00AE0598" w:rsidRDefault="00AE0598">
            <w:pPr>
              <w:pStyle w:val="TableParagraph"/>
              <w:rPr>
                <w:rFonts w:ascii="Times New Roman"/>
                <w:sz w:val="12"/>
              </w:rPr>
            </w:pPr>
          </w:p>
        </w:tc>
        <w:tc>
          <w:tcPr>
            <w:tcW w:w="240" w:type="dxa"/>
          </w:tcPr>
          <w:p w14:paraId="0FF23D53" w14:textId="77777777" w:rsidR="00AE0598" w:rsidRDefault="00AE0598">
            <w:pPr>
              <w:pStyle w:val="TableParagraph"/>
              <w:rPr>
                <w:rFonts w:ascii="Times New Roman"/>
                <w:sz w:val="12"/>
              </w:rPr>
            </w:pPr>
          </w:p>
        </w:tc>
        <w:tc>
          <w:tcPr>
            <w:tcW w:w="240" w:type="dxa"/>
          </w:tcPr>
          <w:p w14:paraId="5B275DA3" w14:textId="77777777" w:rsidR="00AE0598" w:rsidRDefault="00AE0598">
            <w:pPr>
              <w:pStyle w:val="TableParagraph"/>
              <w:rPr>
                <w:rFonts w:ascii="Times New Roman"/>
                <w:sz w:val="12"/>
              </w:rPr>
            </w:pPr>
          </w:p>
        </w:tc>
        <w:tc>
          <w:tcPr>
            <w:tcW w:w="240" w:type="dxa"/>
          </w:tcPr>
          <w:p w14:paraId="104010CE" w14:textId="77777777" w:rsidR="00AE0598" w:rsidRDefault="00AE0598">
            <w:pPr>
              <w:pStyle w:val="TableParagraph"/>
              <w:rPr>
                <w:rFonts w:ascii="Times New Roman"/>
                <w:sz w:val="12"/>
              </w:rPr>
            </w:pPr>
          </w:p>
        </w:tc>
        <w:tc>
          <w:tcPr>
            <w:tcW w:w="240" w:type="dxa"/>
          </w:tcPr>
          <w:p w14:paraId="04D17978" w14:textId="77777777" w:rsidR="00AE0598" w:rsidRDefault="00AE0598">
            <w:pPr>
              <w:pStyle w:val="TableParagraph"/>
              <w:rPr>
                <w:rFonts w:ascii="Times New Roman"/>
                <w:sz w:val="12"/>
              </w:rPr>
            </w:pPr>
          </w:p>
        </w:tc>
        <w:tc>
          <w:tcPr>
            <w:tcW w:w="259" w:type="dxa"/>
            <w:tcBorders>
              <w:right w:val="nil"/>
            </w:tcBorders>
          </w:tcPr>
          <w:p w14:paraId="732DA0C5" w14:textId="77777777" w:rsidR="00AE0598" w:rsidRDefault="00AE0598">
            <w:pPr>
              <w:pStyle w:val="TableParagraph"/>
              <w:rPr>
                <w:rFonts w:ascii="Times New Roman"/>
                <w:sz w:val="12"/>
              </w:rPr>
            </w:pPr>
          </w:p>
        </w:tc>
        <w:tc>
          <w:tcPr>
            <w:tcW w:w="469" w:type="dxa"/>
            <w:gridSpan w:val="2"/>
            <w:tcBorders>
              <w:top w:val="nil"/>
              <w:left w:val="nil"/>
              <w:bottom w:val="nil"/>
              <w:right w:val="nil"/>
            </w:tcBorders>
            <w:shd w:val="clear" w:color="auto" w:fill="231F20"/>
          </w:tcPr>
          <w:p w14:paraId="387D9DE7" w14:textId="77777777" w:rsidR="00AE0598" w:rsidRDefault="00AE0598">
            <w:pPr>
              <w:pStyle w:val="TableParagraph"/>
              <w:rPr>
                <w:rFonts w:ascii="Times New Roman"/>
                <w:sz w:val="12"/>
              </w:rPr>
            </w:pPr>
          </w:p>
        </w:tc>
        <w:tc>
          <w:tcPr>
            <w:tcW w:w="473" w:type="dxa"/>
            <w:gridSpan w:val="2"/>
            <w:tcBorders>
              <w:left w:val="nil"/>
            </w:tcBorders>
          </w:tcPr>
          <w:p w14:paraId="461F75F8" w14:textId="77777777" w:rsidR="00AE0598" w:rsidRDefault="00AE0598">
            <w:pPr>
              <w:pStyle w:val="TableParagraph"/>
              <w:rPr>
                <w:rFonts w:ascii="Times New Roman"/>
                <w:sz w:val="12"/>
              </w:rPr>
            </w:pPr>
          </w:p>
        </w:tc>
        <w:tc>
          <w:tcPr>
            <w:tcW w:w="221" w:type="dxa"/>
          </w:tcPr>
          <w:p w14:paraId="3FFD76C6" w14:textId="77777777" w:rsidR="00AE0598" w:rsidRDefault="00AE0598">
            <w:pPr>
              <w:pStyle w:val="TableParagraph"/>
              <w:rPr>
                <w:rFonts w:ascii="Times New Roman"/>
                <w:sz w:val="12"/>
              </w:rPr>
            </w:pPr>
          </w:p>
        </w:tc>
        <w:tc>
          <w:tcPr>
            <w:tcW w:w="259" w:type="dxa"/>
          </w:tcPr>
          <w:p w14:paraId="79C24EEF" w14:textId="77777777" w:rsidR="00AE0598" w:rsidRDefault="00AE0598">
            <w:pPr>
              <w:pStyle w:val="TableParagraph"/>
              <w:rPr>
                <w:rFonts w:ascii="Times New Roman"/>
                <w:sz w:val="12"/>
              </w:rPr>
            </w:pPr>
          </w:p>
        </w:tc>
        <w:tc>
          <w:tcPr>
            <w:tcW w:w="240" w:type="dxa"/>
          </w:tcPr>
          <w:p w14:paraId="2E5B3231" w14:textId="77777777" w:rsidR="00AE0598" w:rsidRDefault="00AE0598">
            <w:pPr>
              <w:pStyle w:val="TableParagraph"/>
              <w:rPr>
                <w:rFonts w:ascii="Times New Roman"/>
                <w:sz w:val="12"/>
              </w:rPr>
            </w:pPr>
          </w:p>
        </w:tc>
        <w:tc>
          <w:tcPr>
            <w:tcW w:w="240" w:type="dxa"/>
          </w:tcPr>
          <w:p w14:paraId="7BA155F1" w14:textId="77777777" w:rsidR="00AE0598" w:rsidRDefault="00AE0598">
            <w:pPr>
              <w:pStyle w:val="TableParagraph"/>
              <w:rPr>
                <w:rFonts w:ascii="Times New Roman"/>
                <w:sz w:val="12"/>
              </w:rPr>
            </w:pPr>
          </w:p>
        </w:tc>
        <w:tc>
          <w:tcPr>
            <w:tcW w:w="239" w:type="dxa"/>
          </w:tcPr>
          <w:p w14:paraId="776AFE13" w14:textId="77777777" w:rsidR="00AE0598" w:rsidRDefault="00AE0598">
            <w:pPr>
              <w:pStyle w:val="TableParagraph"/>
              <w:rPr>
                <w:rFonts w:ascii="Times New Roman"/>
                <w:sz w:val="12"/>
              </w:rPr>
            </w:pPr>
          </w:p>
        </w:tc>
        <w:tc>
          <w:tcPr>
            <w:tcW w:w="240" w:type="dxa"/>
          </w:tcPr>
          <w:p w14:paraId="5EA22519" w14:textId="77777777" w:rsidR="00AE0598" w:rsidRDefault="00AE0598">
            <w:pPr>
              <w:pStyle w:val="TableParagraph"/>
              <w:rPr>
                <w:rFonts w:ascii="Times New Roman"/>
                <w:sz w:val="12"/>
              </w:rPr>
            </w:pPr>
          </w:p>
        </w:tc>
        <w:tc>
          <w:tcPr>
            <w:tcW w:w="239" w:type="dxa"/>
          </w:tcPr>
          <w:p w14:paraId="0D761636" w14:textId="77777777" w:rsidR="00AE0598" w:rsidRDefault="00AE0598">
            <w:pPr>
              <w:pStyle w:val="TableParagraph"/>
              <w:rPr>
                <w:rFonts w:ascii="Times New Roman"/>
                <w:sz w:val="12"/>
              </w:rPr>
            </w:pPr>
          </w:p>
        </w:tc>
        <w:tc>
          <w:tcPr>
            <w:tcW w:w="239" w:type="dxa"/>
          </w:tcPr>
          <w:p w14:paraId="063EDF33" w14:textId="77777777" w:rsidR="00AE0598" w:rsidRDefault="00AE0598">
            <w:pPr>
              <w:pStyle w:val="TableParagraph"/>
              <w:rPr>
                <w:rFonts w:ascii="Times New Roman"/>
                <w:sz w:val="12"/>
              </w:rPr>
            </w:pPr>
          </w:p>
        </w:tc>
      </w:tr>
      <w:tr w:rsidR="00AE0598" w14:paraId="5CE9C179" w14:textId="77777777">
        <w:trPr>
          <w:trHeight w:val="180"/>
        </w:trPr>
        <w:tc>
          <w:tcPr>
            <w:tcW w:w="576" w:type="dxa"/>
          </w:tcPr>
          <w:p w14:paraId="2BA32E77" w14:textId="77777777" w:rsidR="00AE0598" w:rsidRDefault="0069255A">
            <w:pPr>
              <w:pStyle w:val="TableParagraph"/>
              <w:spacing w:line="160" w:lineRule="exact"/>
              <w:ind w:left="97" w:right="82"/>
              <w:jc w:val="center"/>
              <w:rPr>
                <w:rFonts w:ascii="Segoe UI Symbol"/>
                <w:sz w:val="16"/>
              </w:rPr>
            </w:pPr>
            <w:r>
              <w:rPr>
                <w:rFonts w:ascii="Segoe UI Symbol"/>
                <w:color w:val="231F20"/>
                <w:spacing w:val="-4"/>
                <w:sz w:val="16"/>
              </w:rPr>
              <w:t>1995</w:t>
            </w:r>
          </w:p>
        </w:tc>
        <w:tc>
          <w:tcPr>
            <w:tcW w:w="240" w:type="dxa"/>
          </w:tcPr>
          <w:p w14:paraId="2E3A54E3" w14:textId="77777777" w:rsidR="00AE0598" w:rsidRDefault="00AE0598">
            <w:pPr>
              <w:pStyle w:val="TableParagraph"/>
              <w:rPr>
                <w:rFonts w:ascii="Times New Roman"/>
                <w:sz w:val="12"/>
              </w:rPr>
            </w:pPr>
          </w:p>
        </w:tc>
        <w:tc>
          <w:tcPr>
            <w:tcW w:w="240" w:type="dxa"/>
          </w:tcPr>
          <w:p w14:paraId="0ED75126" w14:textId="77777777" w:rsidR="00AE0598" w:rsidRDefault="00AE0598">
            <w:pPr>
              <w:pStyle w:val="TableParagraph"/>
              <w:rPr>
                <w:rFonts w:ascii="Times New Roman"/>
                <w:sz w:val="12"/>
              </w:rPr>
            </w:pPr>
          </w:p>
        </w:tc>
        <w:tc>
          <w:tcPr>
            <w:tcW w:w="240" w:type="dxa"/>
          </w:tcPr>
          <w:p w14:paraId="7550D99F" w14:textId="77777777" w:rsidR="00AE0598" w:rsidRDefault="00AE0598">
            <w:pPr>
              <w:pStyle w:val="TableParagraph"/>
              <w:rPr>
                <w:rFonts w:ascii="Times New Roman"/>
                <w:sz w:val="12"/>
              </w:rPr>
            </w:pPr>
          </w:p>
        </w:tc>
        <w:tc>
          <w:tcPr>
            <w:tcW w:w="240" w:type="dxa"/>
          </w:tcPr>
          <w:p w14:paraId="39B99928" w14:textId="77777777" w:rsidR="00AE0598" w:rsidRDefault="00AE0598">
            <w:pPr>
              <w:pStyle w:val="TableParagraph"/>
              <w:rPr>
                <w:rFonts w:ascii="Times New Roman"/>
                <w:sz w:val="12"/>
              </w:rPr>
            </w:pPr>
          </w:p>
        </w:tc>
        <w:tc>
          <w:tcPr>
            <w:tcW w:w="240" w:type="dxa"/>
          </w:tcPr>
          <w:p w14:paraId="203558B1" w14:textId="77777777" w:rsidR="00AE0598" w:rsidRDefault="00AE0598">
            <w:pPr>
              <w:pStyle w:val="TableParagraph"/>
              <w:rPr>
                <w:rFonts w:ascii="Times New Roman"/>
                <w:sz w:val="12"/>
              </w:rPr>
            </w:pPr>
          </w:p>
        </w:tc>
        <w:tc>
          <w:tcPr>
            <w:tcW w:w="240" w:type="dxa"/>
          </w:tcPr>
          <w:p w14:paraId="39984AE1" w14:textId="77777777" w:rsidR="00AE0598" w:rsidRDefault="00AE0598">
            <w:pPr>
              <w:pStyle w:val="TableParagraph"/>
              <w:rPr>
                <w:rFonts w:ascii="Times New Roman"/>
                <w:sz w:val="12"/>
              </w:rPr>
            </w:pPr>
          </w:p>
        </w:tc>
        <w:tc>
          <w:tcPr>
            <w:tcW w:w="240" w:type="dxa"/>
          </w:tcPr>
          <w:p w14:paraId="227D65A5" w14:textId="77777777" w:rsidR="00AE0598" w:rsidRDefault="00AE0598">
            <w:pPr>
              <w:pStyle w:val="TableParagraph"/>
              <w:rPr>
                <w:rFonts w:ascii="Times New Roman"/>
                <w:sz w:val="12"/>
              </w:rPr>
            </w:pPr>
          </w:p>
        </w:tc>
        <w:tc>
          <w:tcPr>
            <w:tcW w:w="240" w:type="dxa"/>
          </w:tcPr>
          <w:p w14:paraId="3FB11E7E" w14:textId="77777777" w:rsidR="00AE0598" w:rsidRDefault="00AE0598">
            <w:pPr>
              <w:pStyle w:val="TableParagraph"/>
              <w:rPr>
                <w:rFonts w:ascii="Times New Roman"/>
                <w:sz w:val="12"/>
              </w:rPr>
            </w:pPr>
          </w:p>
        </w:tc>
        <w:tc>
          <w:tcPr>
            <w:tcW w:w="240" w:type="dxa"/>
          </w:tcPr>
          <w:p w14:paraId="08EBA06B" w14:textId="77777777" w:rsidR="00AE0598" w:rsidRDefault="00AE0598">
            <w:pPr>
              <w:pStyle w:val="TableParagraph"/>
              <w:rPr>
                <w:rFonts w:ascii="Times New Roman"/>
                <w:sz w:val="12"/>
              </w:rPr>
            </w:pPr>
          </w:p>
        </w:tc>
        <w:tc>
          <w:tcPr>
            <w:tcW w:w="240" w:type="dxa"/>
          </w:tcPr>
          <w:p w14:paraId="5275D7C7" w14:textId="77777777" w:rsidR="00AE0598" w:rsidRDefault="00AE0598">
            <w:pPr>
              <w:pStyle w:val="TableParagraph"/>
              <w:rPr>
                <w:rFonts w:ascii="Times New Roman"/>
                <w:sz w:val="12"/>
              </w:rPr>
            </w:pPr>
          </w:p>
        </w:tc>
        <w:tc>
          <w:tcPr>
            <w:tcW w:w="240" w:type="dxa"/>
          </w:tcPr>
          <w:p w14:paraId="0DE3BBE5" w14:textId="77777777" w:rsidR="00AE0598" w:rsidRDefault="00AE0598">
            <w:pPr>
              <w:pStyle w:val="TableParagraph"/>
              <w:rPr>
                <w:rFonts w:ascii="Times New Roman"/>
                <w:sz w:val="12"/>
              </w:rPr>
            </w:pPr>
          </w:p>
        </w:tc>
        <w:tc>
          <w:tcPr>
            <w:tcW w:w="259" w:type="dxa"/>
          </w:tcPr>
          <w:p w14:paraId="74AC086B" w14:textId="77777777" w:rsidR="00AE0598" w:rsidRDefault="00AE0598">
            <w:pPr>
              <w:pStyle w:val="TableParagraph"/>
              <w:rPr>
                <w:rFonts w:ascii="Times New Roman"/>
                <w:sz w:val="12"/>
              </w:rPr>
            </w:pPr>
          </w:p>
        </w:tc>
        <w:tc>
          <w:tcPr>
            <w:tcW w:w="222" w:type="dxa"/>
            <w:tcBorders>
              <w:right w:val="nil"/>
            </w:tcBorders>
          </w:tcPr>
          <w:p w14:paraId="06CBF4F9" w14:textId="77777777" w:rsidR="00AE0598" w:rsidRDefault="00AE0598">
            <w:pPr>
              <w:pStyle w:val="TableParagraph"/>
              <w:rPr>
                <w:rFonts w:ascii="Times New Roman"/>
                <w:sz w:val="12"/>
              </w:rPr>
            </w:pPr>
          </w:p>
        </w:tc>
        <w:tc>
          <w:tcPr>
            <w:tcW w:w="941" w:type="dxa"/>
            <w:gridSpan w:val="4"/>
            <w:tcBorders>
              <w:top w:val="nil"/>
              <w:left w:val="nil"/>
              <w:bottom w:val="nil"/>
              <w:right w:val="nil"/>
            </w:tcBorders>
            <w:shd w:val="clear" w:color="auto" w:fill="231F20"/>
          </w:tcPr>
          <w:p w14:paraId="5981B0EC" w14:textId="77777777" w:rsidR="00AE0598" w:rsidRDefault="0069255A">
            <w:pPr>
              <w:pStyle w:val="TableParagraph"/>
              <w:spacing w:before="18"/>
              <w:ind w:left="74"/>
              <w:rPr>
                <w:rFonts w:ascii="Segoe UI Symbol"/>
                <w:sz w:val="10"/>
              </w:rPr>
            </w:pPr>
            <w:r>
              <w:rPr>
                <w:rFonts w:ascii="Segoe UI Symbol"/>
                <w:color w:val="FFFFFF"/>
                <w:w w:val="110"/>
                <w:sz w:val="10"/>
              </w:rPr>
              <w:t>RWC</w:t>
            </w:r>
            <w:r>
              <w:rPr>
                <w:rFonts w:ascii="Segoe UI Symbol"/>
                <w:color w:val="FFFFFF"/>
                <w:spacing w:val="-5"/>
                <w:w w:val="110"/>
                <w:sz w:val="10"/>
              </w:rPr>
              <w:t xml:space="preserve"> </w:t>
            </w:r>
            <w:r>
              <w:rPr>
                <w:rFonts w:ascii="Segoe UI Symbol"/>
                <w:color w:val="FFFFFF"/>
                <w:w w:val="110"/>
                <w:sz w:val="10"/>
              </w:rPr>
              <w:t>1995</w:t>
            </w:r>
            <w:r>
              <w:rPr>
                <w:rFonts w:ascii="Segoe UI Symbol"/>
                <w:color w:val="FFFFFF"/>
                <w:spacing w:val="-5"/>
                <w:w w:val="110"/>
                <w:sz w:val="10"/>
              </w:rPr>
              <w:t xml:space="preserve"> RSA</w:t>
            </w:r>
          </w:p>
        </w:tc>
        <w:tc>
          <w:tcPr>
            <w:tcW w:w="259" w:type="dxa"/>
          </w:tcPr>
          <w:p w14:paraId="5F6D3DFA" w14:textId="77777777" w:rsidR="00AE0598" w:rsidRDefault="00AE0598">
            <w:pPr>
              <w:pStyle w:val="TableParagraph"/>
              <w:rPr>
                <w:rFonts w:ascii="Times New Roman"/>
                <w:sz w:val="12"/>
              </w:rPr>
            </w:pPr>
          </w:p>
        </w:tc>
        <w:tc>
          <w:tcPr>
            <w:tcW w:w="240" w:type="dxa"/>
          </w:tcPr>
          <w:p w14:paraId="7CEF7D67" w14:textId="77777777" w:rsidR="00AE0598" w:rsidRDefault="00AE0598">
            <w:pPr>
              <w:pStyle w:val="TableParagraph"/>
              <w:rPr>
                <w:rFonts w:ascii="Times New Roman"/>
                <w:sz w:val="12"/>
              </w:rPr>
            </w:pPr>
          </w:p>
        </w:tc>
        <w:tc>
          <w:tcPr>
            <w:tcW w:w="240" w:type="dxa"/>
          </w:tcPr>
          <w:p w14:paraId="0AAAD39B" w14:textId="77777777" w:rsidR="00AE0598" w:rsidRDefault="00AE0598">
            <w:pPr>
              <w:pStyle w:val="TableParagraph"/>
              <w:rPr>
                <w:rFonts w:ascii="Times New Roman"/>
                <w:sz w:val="12"/>
              </w:rPr>
            </w:pPr>
          </w:p>
        </w:tc>
        <w:tc>
          <w:tcPr>
            <w:tcW w:w="239" w:type="dxa"/>
          </w:tcPr>
          <w:p w14:paraId="56848619" w14:textId="77777777" w:rsidR="00AE0598" w:rsidRDefault="00AE0598">
            <w:pPr>
              <w:pStyle w:val="TableParagraph"/>
              <w:rPr>
                <w:rFonts w:ascii="Times New Roman"/>
                <w:sz w:val="12"/>
              </w:rPr>
            </w:pPr>
          </w:p>
        </w:tc>
        <w:tc>
          <w:tcPr>
            <w:tcW w:w="240" w:type="dxa"/>
          </w:tcPr>
          <w:p w14:paraId="35194E0A" w14:textId="77777777" w:rsidR="00AE0598" w:rsidRDefault="00AE0598">
            <w:pPr>
              <w:pStyle w:val="TableParagraph"/>
              <w:rPr>
                <w:rFonts w:ascii="Times New Roman"/>
                <w:sz w:val="12"/>
              </w:rPr>
            </w:pPr>
          </w:p>
        </w:tc>
        <w:tc>
          <w:tcPr>
            <w:tcW w:w="239" w:type="dxa"/>
          </w:tcPr>
          <w:p w14:paraId="26D3B11F" w14:textId="77777777" w:rsidR="00AE0598" w:rsidRDefault="00AE0598">
            <w:pPr>
              <w:pStyle w:val="TableParagraph"/>
              <w:rPr>
                <w:rFonts w:ascii="Times New Roman"/>
                <w:sz w:val="12"/>
              </w:rPr>
            </w:pPr>
          </w:p>
        </w:tc>
        <w:tc>
          <w:tcPr>
            <w:tcW w:w="239" w:type="dxa"/>
          </w:tcPr>
          <w:p w14:paraId="223EC3C9" w14:textId="77777777" w:rsidR="00AE0598" w:rsidRDefault="00AE0598">
            <w:pPr>
              <w:pStyle w:val="TableParagraph"/>
              <w:rPr>
                <w:rFonts w:ascii="Times New Roman"/>
                <w:sz w:val="12"/>
              </w:rPr>
            </w:pPr>
          </w:p>
        </w:tc>
      </w:tr>
      <w:tr w:rsidR="00AE0598" w14:paraId="6BB0E024" w14:textId="77777777">
        <w:trPr>
          <w:trHeight w:val="181"/>
        </w:trPr>
        <w:tc>
          <w:tcPr>
            <w:tcW w:w="576" w:type="dxa"/>
          </w:tcPr>
          <w:p w14:paraId="0EB0156D" w14:textId="77777777" w:rsidR="00AE0598" w:rsidRDefault="0069255A">
            <w:pPr>
              <w:pStyle w:val="TableParagraph"/>
              <w:spacing w:line="161" w:lineRule="exact"/>
              <w:ind w:left="97" w:right="82"/>
              <w:jc w:val="center"/>
              <w:rPr>
                <w:rFonts w:ascii="Segoe UI Symbol" w:eastAsia="Segoe UI Symbol"/>
                <w:sz w:val="16"/>
              </w:rPr>
            </w:pPr>
            <w:r>
              <w:rPr>
                <w:rFonts w:ascii="Segoe UI Symbol" w:eastAsia="Segoe UI Symbol"/>
                <w:color w:val="231F20"/>
                <w:spacing w:val="-4"/>
                <w:w w:val="90"/>
                <w:sz w:val="16"/>
              </w:rPr>
              <w:t>199</w:t>
            </w:r>
            <w:r>
              <w:rPr>
                <w:rFonts w:ascii="Segoe UI Symbol" w:eastAsia="Segoe UI Symbol"/>
                <w:color w:val="231F20"/>
                <w:spacing w:val="-4"/>
                <w:w w:val="90"/>
                <w:sz w:val="16"/>
              </w:rPr>
              <w:t>🖑</w:t>
            </w:r>
          </w:p>
        </w:tc>
        <w:tc>
          <w:tcPr>
            <w:tcW w:w="240" w:type="dxa"/>
          </w:tcPr>
          <w:p w14:paraId="1432C19B" w14:textId="77777777" w:rsidR="00AE0598" w:rsidRDefault="00AE0598">
            <w:pPr>
              <w:pStyle w:val="TableParagraph"/>
              <w:rPr>
                <w:rFonts w:ascii="Times New Roman"/>
                <w:sz w:val="12"/>
              </w:rPr>
            </w:pPr>
          </w:p>
        </w:tc>
        <w:tc>
          <w:tcPr>
            <w:tcW w:w="240" w:type="dxa"/>
          </w:tcPr>
          <w:p w14:paraId="7A3A03F6" w14:textId="77777777" w:rsidR="00AE0598" w:rsidRDefault="00AE0598">
            <w:pPr>
              <w:pStyle w:val="TableParagraph"/>
              <w:rPr>
                <w:rFonts w:ascii="Times New Roman"/>
                <w:sz w:val="12"/>
              </w:rPr>
            </w:pPr>
          </w:p>
        </w:tc>
        <w:tc>
          <w:tcPr>
            <w:tcW w:w="240" w:type="dxa"/>
          </w:tcPr>
          <w:p w14:paraId="1EB6FE76" w14:textId="77777777" w:rsidR="00AE0598" w:rsidRDefault="00AE0598">
            <w:pPr>
              <w:pStyle w:val="TableParagraph"/>
              <w:rPr>
                <w:rFonts w:ascii="Times New Roman"/>
                <w:sz w:val="12"/>
              </w:rPr>
            </w:pPr>
          </w:p>
        </w:tc>
        <w:tc>
          <w:tcPr>
            <w:tcW w:w="240" w:type="dxa"/>
          </w:tcPr>
          <w:p w14:paraId="6D4CC5B6" w14:textId="77777777" w:rsidR="00AE0598" w:rsidRDefault="00AE0598">
            <w:pPr>
              <w:pStyle w:val="TableParagraph"/>
              <w:rPr>
                <w:rFonts w:ascii="Times New Roman"/>
                <w:sz w:val="12"/>
              </w:rPr>
            </w:pPr>
          </w:p>
        </w:tc>
        <w:tc>
          <w:tcPr>
            <w:tcW w:w="240" w:type="dxa"/>
          </w:tcPr>
          <w:p w14:paraId="3549D6F2" w14:textId="77777777" w:rsidR="00AE0598" w:rsidRDefault="00AE0598">
            <w:pPr>
              <w:pStyle w:val="TableParagraph"/>
              <w:rPr>
                <w:rFonts w:ascii="Times New Roman"/>
                <w:sz w:val="12"/>
              </w:rPr>
            </w:pPr>
          </w:p>
        </w:tc>
        <w:tc>
          <w:tcPr>
            <w:tcW w:w="240" w:type="dxa"/>
          </w:tcPr>
          <w:p w14:paraId="6CC7D741" w14:textId="77777777" w:rsidR="00AE0598" w:rsidRDefault="00AE0598">
            <w:pPr>
              <w:pStyle w:val="TableParagraph"/>
              <w:rPr>
                <w:rFonts w:ascii="Times New Roman"/>
                <w:sz w:val="12"/>
              </w:rPr>
            </w:pPr>
          </w:p>
        </w:tc>
        <w:tc>
          <w:tcPr>
            <w:tcW w:w="240" w:type="dxa"/>
          </w:tcPr>
          <w:p w14:paraId="4999D48B" w14:textId="77777777" w:rsidR="00AE0598" w:rsidRDefault="00AE0598">
            <w:pPr>
              <w:pStyle w:val="TableParagraph"/>
              <w:rPr>
                <w:rFonts w:ascii="Times New Roman"/>
                <w:sz w:val="12"/>
              </w:rPr>
            </w:pPr>
          </w:p>
        </w:tc>
        <w:tc>
          <w:tcPr>
            <w:tcW w:w="240" w:type="dxa"/>
          </w:tcPr>
          <w:p w14:paraId="2D7BC31F" w14:textId="77777777" w:rsidR="00AE0598" w:rsidRDefault="00AE0598">
            <w:pPr>
              <w:pStyle w:val="TableParagraph"/>
              <w:rPr>
                <w:rFonts w:ascii="Times New Roman"/>
                <w:sz w:val="12"/>
              </w:rPr>
            </w:pPr>
          </w:p>
        </w:tc>
        <w:tc>
          <w:tcPr>
            <w:tcW w:w="240" w:type="dxa"/>
          </w:tcPr>
          <w:p w14:paraId="7FF941F1" w14:textId="77777777" w:rsidR="00AE0598" w:rsidRDefault="00AE0598">
            <w:pPr>
              <w:pStyle w:val="TableParagraph"/>
              <w:rPr>
                <w:rFonts w:ascii="Times New Roman"/>
                <w:sz w:val="12"/>
              </w:rPr>
            </w:pPr>
          </w:p>
        </w:tc>
        <w:tc>
          <w:tcPr>
            <w:tcW w:w="240" w:type="dxa"/>
          </w:tcPr>
          <w:p w14:paraId="1863B7E9" w14:textId="77777777" w:rsidR="00AE0598" w:rsidRDefault="00AE0598">
            <w:pPr>
              <w:pStyle w:val="TableParagraph"/>
              <w:rPr>
                <w:rFonts w:ascii="Times New Roman"/>
                <w:sz w:val="12"/>
              </w:rPr>
            </w:pPr>
          </w:p>
        </w:tc>
        <w:tc>
          <w:tcPr>
            <w:tcW w:w="240" w:type="dxa"/>
          </w:tcPr>
          <w:p w14:paraId="449314C6" w14:textId="77777777" w:rsidR="00AE0598" w:rsidRDefault="00AE0598">
            <w:pPr>
              <w:pStyle w:val="TableParagraph"/>
              <w:rPr>
                <w:rFonts w:ascii="Times New Roman"/>
                <w:sz w:val="12"/>
              </w:rPr>
            </w:pPr>
          </w:p>
        </w:tc>
        <w:tc>
          <w:tcPr>
            <w:tcW w:w="259" w:type="dxa"/>
          </w:tcPr>
          <w:p w14:paraId="5990D36F" w14:textId="77777777" w:rsidR="00AE0598" w:rsidRDefault="00AE0598">
            <w:pPr>
              <w:pStyle w:val="TableParagraph"/>
              <w:rPr>
                <w:rFonts w:ascii="Times New Roman"/>
                <w:sz w:val="12"/>
              </w:rPr>
            </w:pPr>
          </w:p>
        </w:tc>
        <w:tc>
          <w:tcPr>
            <w:tcW w:w="222" w:type="dxa"/>
          </w:tcPr>
          <w:p w14:paraId="240C2B8F" w14:textId="77777777" w:rsidR="00AE0598" w:rsidRDefault="00AE0598">
            <w:pPr>
              <w:pStyle w:val="TableParagraph"/>
              <w:rPr>
                <w:rFonts w:ascii="Times New Roman"/>
                <w:sz w:val="12"/>
              </w:rPr>
            </w:pPr>
          </w:p>
        </w:tc>
        <w:tc>
          <w:tcPr>
            <w:tcW w:w="247" w:type="dxa"/>
          </w:tcPr>
          <w:p w14:paraId="01EFC573" w14:textId="77777777" w:rsidR="00AE0598" w:rsidRDefault="00AE0598">
            <w:pPr>
              <w:pStyle w:val="TableParagraph"/>
              <w:rPr>
                <w:rFonts w:ascii="Times New Roman"/>
                <w:sz w:val="12"/>
              </w:rPr>
            </w:pPr>
          </w:p>
        </w:tc>
        <w:tc>
          <w:tcPr>
            <w:tcW w:w="209" w:type="dxa"/>
          </w:tcPr>
          <w:p w14:paraId="66767E9A" w14:textId="77777777" w:rsidR="00AE0598" w:rsidRDefault="00AE0598">
            <w:pPr>
              <w:pStyle w:val="TableParagraph"/>
              <w:rPr>
                <w:rFonts w:ascii="Times New Roman"/>
                <w:sz w:val="12"/>
              </w:rPr>
            </w:pPr>
          </w:p>
        </w:tc>
        <w:tc>
          <w:tcPr>
            <w:tcW w:w="264" w:type="dxa"/>
          </w:tcPr>
          <w:p w14:paraId="6AE3D221" w14:textId="77777777" w:rsidR="00AE0598" w:rsidRDefault="00AE0598">
            <w:pPr>
              <w:pStyle w:val="TableParagraph"/>
              <w:rPr>
                <w:rFonts w:ascii="Times New Roman"/>
                <w:sz w:val="12"/>
              </w:rPr>
            </w:pPr>
          </w:p>
        </w:tc>
        <w:tc>
          <w:tcPr>
            <w:tcW w:w="221" w:type="dxa"/>
          </w:tcPr>
          <w:p w14:paraId="41013A51" w14:textId="77777777" w:rsidR="00AE0598" w:rsidRDefault="00AE0598">
            <w:pPr>
              <w:pStyle w:val="TableParagraph"/>
              <w:rPr>
                <w:rFonts w:ascii="Times New Roman"/>
                <w:sz w:val="12"/>
              </w:rPr>
            </w:pPr>
          </w:p>
        </w:tc>
        <w:tc>
          <w:tcPr>
            <w:tcW w:w="259" w:type="dxa"/>
          </w:tcPr>
          <w:p w14:paraId="672718DB" w14:textId="77777777" w:rsidR="00AE0598" w:rsidRDefault="00AE0598">
            <w:pPr>
              <w:pStyle w:val="TableParagraph"/>
              <w:rPr>
                <w:rFonts w:ascii="Times New Roman"/>
                <w:sz w:val="12"/>
              </w:rPr>
            </w:pPr>
          </w:p>
        </w:tc>
        <w:tc>
          <w:tcPr>
            <w:tcW w:w="240" w:type="dxa"/>
          </w:tcPr>
          <w:p w14:paraId="61F164D2" w14:textId="77777777" w:rsidR="00AE0598" w:rsidRDefault="00AE0598">
            <w:pPr>
              <w:pStyle w:val="TableParagraph"/>
              <w:rPr>
                <w:rFonts w:ascii="Times New Roman"/>
                <w:sz w:val="12"/>
              </w:rPr>
            </w:pPr>
          </w:p>
        </w:tc>
        <w:tc>
          <w:tcPr>
            <w:tcW w:w="240" w:type="dxa"/>
          </w:tcPr>
          <w:p w14:paraId="04B5AF46" w14:textId="77777777" w:rsidR="00AE0598" w:rsidRDefault="00AE0598">
            <w:pPr>
              <w:pStyle w:val="TableParagraph"/>
              <w:rPr>
                <w:rFonts w:ascii="Times New Roman"/>
                <w:sz w:val="12"/>
              </w:rPr>
            </w:pPr>
          </w:p>
        </w:tc>
        <w:tc>
          <w:tcPr>
            <w:tcW w:w="239" w:type="dxa"/>
          </w:tcPr>
          <w:p w14:paraId="4911C1E2" w14:textId="77777777" w:rsidR="00AE0598" w:rsidRDefault="00AE0598">
            <w:pPr>
              <w:pStyle w:val="TableParagraph"/>
              <w:rPr>
                <w:rFonts w:ascii="Times New Roman"/>
                <w:sz w:val="12"/>
              </w:rPr>
            </w:pPr>
          </w:p>
        </w:tc>
        <w:tc>
          <w:tcPr>
            <w:tcW w:w="240" w:type="dxa"/>
          </w:tcPr>
          <w:p w14:paraId="4947D072" w14:textId="77777777" w:rsidR="00AE0598" w:rsidRDefault="00AE0598">
            <w:pPr>
              <w:pStyle w:val="TableParagraph"/>
              <w:rPr>
                <w:rFonts w:ascii="Times New Roman"/>
                <w:sz w:val="12"/>
              </w:rPr>
            </w:pPr>
          </w:p>
        </w:tc>
        <w:tc>
          <w:tcPr>
            <w:tcW w:w="239" w:type="dxa"/>
          </w:tcPr>
          <w:p w14:paraId="63147AFB" w14:textId="77777777" w:rsidR="00AE0598" w:rsidRDefault="00AE0598">
            <w:pPr>
              <w:pStyle w:val="TableParagraph"/>
              <w:rPr>
                <w:rFonts w:ascii="Times New Roman"/>
                <w:sz w:val="12"/>
              </w:rPr>
            </w:pPr>
          </w:p>
        </w:tc>
        <w:tc>
          <w:tcPr>
            <w:tcW w:w="239" w:type="dxa"/>
          </w:tcPr>
          <w:p w14:paraId="23BED9A9" w14:textId="77777777" w:rsidR="00AE0598" w:rsidRDefault="00AE0598">
            <w:pPr>
              <w:pStyle w:val="TableParagraph"/>
              <w:rPr>
                <w:rFonts w:ascii="Times New Roman"/>
                <w:sz w:val="12"/>
              </w:rPr>
            </w:pPr>
          </w:p>
        </w:tc>
      </w:tr>
      <w:tr w:rsidR="00AE0598" w14:paraId="6E8B88CC" w14:textId="77777777">
        <w:trPr>
          <w:trHeight w:val="180"/>
        </w:trPr>
        <w:tc>
          <w:tcPr>
            <w:tcW w:w="576" w:type="dxa"/>
          </w:tcPr>
          <w:p w14:paraId="7B93A44F" w14:textId="77777777" w:rsidR="00AE0598" w:rsidRDefault="0069255A">
            <w:pPr>
              <w:pStyle w:val="TableParagraph"/>
              <w:spacing w:line="160" w:lineRule="exact"/>
              <w:ind w:left="97" w:right="82"/>
              <w:jc w:val="center"/>
              <w:rPr>
                <w:rFonts w:ascii="Segoe UI Symbol"/>
                <w:sz w:val="16"/>
              </w:rPr>
            </w:pPr>
            <w:r>
              <w:rPr>
                <w:rFonts w:ascii="Segoe UI Symbol"/>
                <w:color w:val="231F20"/>
                <w:spacing w:val="-4"/>
                <w:sz w:val="16"/>
              </w:rPr>
              <w:t>1990</w:t>
            </w:r>
          </w:p>
        </w:tc>
        <w:tc>
          <w:tcPr>
            <w:tcW w:w="240" w:type="dxa"/>
          </w:tcPr>
          <w:p w14:paraId="6A1365CE" w14:textId="77777777" w:rsidR="00AE0598" w:rsidRDefault="00AE0598">
            <w:pPr>
              <w:pStyle w:val="TableParagraph"/>
              <w:rPr>
                <w:rFonts w:ascii="Times New Roman"/>
                <w:sz w:val="12"/>
              </w:rPr>
            </w:pPr>
          </w:p>
        </w:tc>
        <w:tc>
          <w:tcPr>
            <w:tcW w:w="240" w:type="dxa"/>
          </w:tcPr>
          <w:p w14:paraId="05357A76" w14:textId="77777777" w:rsidR="00AE0598" w:rsidRDefault="00AE0598">
            <w:pPr>
              <w:pStyle w:val="TableParagraph"/>
              <w:rPr>
                <w:rFonts w:ascii="Times New Roman"/>
                <w:sz w:val="12"/>
              </w:rPr>
            </w:pPr>
          </w:p>
        </w:tc>
        <w:tc>
          <w:tcPr>
            <w:tcW w:w="240" w:type="dxa"/>
          </w:tcPr>
          <w:p w14:paraId="6FA7C68C" w14:textId="77777777" w:rsidR="00AE0598" w:rsidRDefault="00AE0598">
            <w:pPr>
              <w:pStyle w:val="TableParagraph"/>
              <w:rPr>
                <w:rFonts w:ascii="Times New Roman"/>
                <w:sz w:val="12"/>
              </w:rPr>
            </w:pPr>
          </w:p>
        </w:tc>
        <w:tc>
          <w:tcPr>
            <w:tcW w:w="240" w:type="dxa"/>
          </w:tcPr>
          <w:p w14:paraId="1278E638" w14:textId="77777777" w:rsidR="00AE0598" w:rsidRDefault="00AE0598">
            <w:pPr>
              <w:pStyle w:val="TableParagraph"/>
              <w:rPr>
                <w:rFonts w:ascii="Times New Roman"/>
                <w:sz w:val="12"/>
              </w:rPr>
            </w:pPr>
          </w:p>
        </w:tc>
        <w:tc>
          <w:tcPr>
            <w:tcW w:w="240" w:type="dxa"/>
          </w:tcPr>
          <w:p w14:paraId="4324A179" w14:textId="77777777" w:rsidR="00AE0598" w:rsidRDefault="00AE0598">
            <w:pPr>
              <w:pStyle w:val="TableParagraph"/>
              <w:rPr>
                <w:rFonts w:ascii="Times New Roman"/>
                <w:sz w:val="12"/>
              </w:rPr>
            </w:pPr>
          </w:p>
        </w:tc>
        <w:tc>
          <w:tcPr>
            <w:tcW w:w="240" w:type="dxa"/>
          </w:tcPr>
          <w:p w14:paraId="6F538276" w14:textId="77777777" w:rsidR="00AE0598" w:rsidRDefault="00AE0598">
            <w:pPr>
              <w:pStyle w:val="TableParagraph"/>
              <w:rPr>
                <w:rFonts w:ascii="Times New Roman"/>
                <w:sz w:val="12"/>
              </w:rPr>
            </w:pPr>
          </w:p>
        </w:tc>
        <w:tc>
          <w:tcPr>
            <w:tcW w:w="240" w:type="dxa"/>
          </w:tcPr>
          <w:p w14:paraId="71C0CB18" w14:textId="77777777" w:rsidR="00AE0598" w:rsidRDefault="00AE0598">
            <w:pPr>
              <w:pStyle w:val="TableParagraph"/>
              <w:rPr>
                <w:rFonts w:ascii="Times New Roman"/>
                <w:sz w:val="12"/>
              </w:rPr>
            </w:pPr>
          </w:p>
        </w:tc>
        <w:tc>
          <w:tcPr>
            <w:tcW w:w="240" w:type="dxa"/>
          </w:tcPr>
          <w:p w14:paraId="0C3C5D05" w14:textId="77777777" w:rsidR="00AE0598" w:rsidRDefault="00AE0598">
            <w:pPr>
              <w:pStyle w:val="TableParagraph"/>
              <w:rPr>
                <w:rFonts w:ascii="Times New Roman"/>
                <w:sz w:val="12"/>
              </w:rPr>
            </w:pPr>
          </w:p>
        </w:tc>
        <w:tc>
          <w:tcPr>
            <w:tcW w:w="240" w:type="dxa"/>
          </w:tcPr>
          <w:p w14:paraId="02C941B1" w14:textId="77777777" w:rsidR="00AE0598" w:rsidRDefault="00AE0598">
            <w:pPr>
              <w:pStyle w:val="TableParagraph"/>
              <w:rPr>
                <w:rFonts w:ascii="Times New Roman"/>
                <w:sz w:val="12"/>
              </w:rPr>
            </w:pPr>
          </w:p>
        </w:tc>
        <w:tc>
          <w:tcPr>
            <w:tcW w:w="240" w:type="dxa"/>
          </w:tcPr>
          <w:p w14:paraId="7DE9D19A" w14:textId="77777777" w:rsidR="00AE0598" w:rsidRDefault="00AE0598">
            <w:pPr>
              <w:pStyle w:val="TableParagraph"/>
              <w:rPr>
                <w:rFonts w:ascii="Times New Roman"/>
                <w:sz w:val="12"/>
              </w:rPr>
            </w:pPr>
          </w:p>
        </w:tc>
        <w:tc>
          <w:tcPr>
            <w:tcW w:w="240" w:type="dxa"/>
          </w:tcPr>
          <w:p w14:paraId="0E1B0AE5" w14:textId="77777777" w:rsidR="00AE0598" w:rsidRDefault="00AE0598">
            <w:pPr>
              <w:pStyle w:val="TableParagraph"/>
              <w:rPr>
                <w:rFonts w:ascii="Times New Roman"/>
                <w:sz w:val="12"/>
              </w:rPr>
            </w:pPr>
          </w:p>
        </w:tc>
        <w:tc>
          <w:tcPr>
            <w:tcW w:w="481" w:type="dxa"/>
            <w:gridSpan w:val="2"/>
          </w:tcPr>
          <w:p w14:paraId="3E7DA6AB" w14:textId="77777777" w:rsidR="00AE0598" w:rsidRDefault="00AE0598">
            <w:pPr>
              <w:pStyle w:val="TableParagraph"/>
              <w:rPr>
                <w:rFonts w:ascii="Times New Roman"/>
                <w:sz w:val="12"/>
              </w:rPr>
            </w:pPr>
          </w:p>
        </w:tc>
        <w:tc>
          <w:tcPr>
            <w:tcW w:w="247" w:type="dxa"/>
          </w:tcPr>
          <w:p w14:paraId="756FBFCA" w14:textId="77777777" w:rsidR="00AE0598" w:rsidRDefault="00AE0598">
            <w:pPr>
              <w:pStyle w:val="TableParagraph"/>
              <w:rPr>
                <w:rFonts w:ascii="Times New Roman"/>
                <w:sz w:val="12"/>
              </w:rPr>
            </w:pPr>
          </w:p>
        </w:tc>
        <w:tc>
          <w:tcPr>
            <w:tcW w:w="209" w:type="dxa"/>
          </w:tcPr>
          <w:p w14:paraId="5B1DA822" w14:textId="77777777" w:rsidR="00AE0598" w:rsidRDefault="00AE0598">
            <w:pPr>
              <w:pStyle w:val="TableParagraph"/>
              <w:rPr>
                <w:rFonts w:ascii="Times New Roman"/>
                <w:sz w:val="12"/>
              </w:rPr>
            </w:pPr>
          </w:p>
        </w:tc>
        <w:tc>
          <w:tcPr>
            <w:tcW w:w="264" w:type="dxa"/>
          </w:tcPr>
          <w:p w14:paraId="1BC81504" w14:textId="77777777" w:rsidR="00AE0598" w:rsidRDefault="00AE0598">
            <w:pPr>
              <w:pStyle w:val="TableParagraph"/>
              <w:rPr>
                <w:rFonts w:ascii="Times New Roman"/>
                <w:sz w:val="12"/>
              </w:rPr>
            </w:pPr>
          </w:p>
        </w:tc>
        <w:tc>
          <w:tcPr>
            <w:tcW w:w="221" w:type="dxa"/>
          </w:tcPr>
          <w:p w14:paraId="65DB0D2C" w14:textId="77777777" w:rsidR="00AE0598" w:rsidRDefault="00AE0598">
            <w:pPr>
              <w:pStyle w:val="TableParagraph"/>
              <w:rPr>
                <w:rFonts w:ascii="Times New Roman"/>
                <w:sz w:val="12"/>
              </w:rPr>
            </w:pPr>
          </w:p>
        </w:tc>
        <w:tc>
          <w:tcPr>
            <w:tcW w:w="259" w:type="dxa"/>
          </w:tcPr>
          <w:p w14:paraId="1F953F35" w14:textId="77777777" w:rsidR="00AE0598" w:rsidRDefault="00AE0598">
            <w:pPr>
              <w:pStyle w:val="TableParagraph"/>
              <w:rPr>
                <w:rFonts w:ascii="Times New Roman"/>
                <w:sz w:val="12"/>
              </w:rPr>
            </w:pPr>
          </w:p>
        </w:tc>
        <w:tc>
          <w:tcPr>
            <w:tcW w:w="240" w:type="dxa"/>
          </w:tcPr>
          <w:p w14:paraId="3BA68F26" w14:textId="77777777" w:rsidR="00AE0598" w:rsidRDefault="00AE0598">
            <w:pPr>
              <w:pStyle w:val="TableParagraph"/>
              <w:rPr>
                <w:rFonts w:ascii="Times New Roman"/>
                <w:sz w:val="12"/>
              </w:rPr>
            </w:pPr>
          </w:p>
        </w:tc>
        <w:tc>
          <w:tcPr>
            <w:tcW w:w="240" w:type="dxa"/>
          </w:tcPr>
          <w:p w14:paraId="7FCE75CC" w14:textId="77777777" w:rsidR="00AE0598" w:rsidRDefault="00AE0598">
            <w:pPr>
              <w:pStyle w:val="TableParagraph"/>
              <w:rPr>
                <w:rFonts w:ascii="Times New Roman"/>
                <w:sz w:val="12"/>
              </w:rPr>
            </w:pPr>
          </w:p>
        </w:tc>
        <w:tc>
          <w:tcPr>
            <w:tcW w:w="239" w:type="dxa"/>
          </w:tcPr>
          <w:p w14:paraId="2E8A20E0" w14:textId="77777777" w:rsidR="00AE0598" w:rsidRDefault="00AE0598">
            <w:pPr>
              <w:pStyle w:val="TableParagraph"/>
              <w:rPr>
                <w:rFonts w:ascii="Times New Roman"/>
                <w:sz w:val="12"/>
              </w:rPr>
            </w:pPr>
          </w:p>
        </w:tc>
        <w:tc>
          <w:tcPr>
            <w:tcW w:w="240" w:type="dxa"/>
          </w:tcPr>
          <w:p w14:paraId="041BFE55" w14:textId="77777777" w:rsidR="00AE0598" w:rsidRDefault="00AE0598">
            <w:pPr>
              <w:pStyle w:val="TableParagraph"/>
              <w:rPr>
                <w:rFonts w:ascii="Times New Roman"/>
                <w:sz w:val="12"/>
              </w:rPr>
            </w:pPr>
          </w:p>
        </w:tc>
        <w:tc>
          <w:tcPr>
            <w:tcW w:w="239" w:type="dxa"/>
          </w:tcPr>
          <w:p w14:paraId="40F8A4E6" w14:textId="77777777" w:rsidR="00AE0598" w:rsidRDefault="00AE0598">
            <w:pPr>
              <w:pStyle w:val="TableParagraph"/>
              <w:rPr>
                <w:rFonts w:ascii="Times New Roman"/>
                <w:sz w:val="12"/>
              </w:rPr>
            </w:pPr>
          </w:p>
        </w:tc>
        <w:tc>
          <w:tcPr>
            <w:tcW w:w="239" w:type="dxa"/>
          </w:tcPr>
          <w:p w14:paraId="1DDAD0DE" w14:textId="77777777" w:rsidR="00AE0598" w:rsidRDefault="00AE0598">
            <w:pPr>
              <w:pStyle w:val="TableParagraph"/>
              <w:rPr>
                <w:rFonts w:ascii="Times New Roman"/>
                <w:sz w:val="12"/>
              </w:rPr>
            </w:pPr>
          </w:p>
        </w:tc>
      </w:tr>
      <w:tr w:rsidR="00AE0598" w14:paraId="6FF43CAE" w14:textId="77777777">
        <w:trPr>
          <w:trHeight w:val="180"/>
        </w:trPr>
        <w:tc>
          <w:tcPr>
            <w:tcW w:w="576" w:type="dxa"/>
          </w:tcPr>
          <w:p w14:paraId="7A0BE421" w14:textId="77777777" w:rsidR="00AE0598" w:rsidRDefault="0069255A">
            <w:pPr>
              <w:pStyle w:val="TableParagraph"/>
              <w:spacing w:line="160" w:lineRule="exact"/>
              <w:ind w:left="97" w:right="82"/>
              <w:jc w:val="center"/>
              <w:rPr>
                <w:rFonts w:ascii="Segoe UI Symbol"/>
                <w:sz w:val="16"/>
              </w:rPr>
            </w:pPr>
            <w:r>
              <w:rPr>
                <w:rFonts w:ascii="Segoe UI Symbol"/>
                <w:color w:val="231F20"/>
                <w:spacing w:val="-4"/>
                <w:sz w:val="16"/>
              </w:rPr>
              <w:t>1985</w:t>
            </w:r>
          </w:p>
        </w:tc>
        <w:tc>
          <w:tcPr>
            <w:tcW w:w="240" w:type="dxa"/>
          </w:tcPr>
          <w:p w14:paraId="353BC717" w14:textId="77777777" w:rsidR="00AE0598" w:rsidRDefault="00AE0598">
            <w:pPr>
              <w:pStyle w:val="TableParagraph"/>
              <w:rPr>
                <w:rFonts w:ascii="Times New Roman"/>
                <w:sz w:val="12"/>
              </w:rPr>
            </w:pPr>
          </w:p>
        </w:tc>
        <w:tc>
          <w:tcPr>
            <w:tcW w:w="240" w:type="dxa"/>
          </w:tcPr>
          <w:p w14:paraId="515195FF" w14:textId="77777777" w:rsidR="00AE0598" w:rsidRDefault="00AE0598">
            <w:pPr>
              <w:pStyle w:val="TableParagraph"/>
              <w:rPr>
                <w:rFonts w:ascii="Times New Roman"/>
                <w:sz w:val="12"/>
              </w:rPr>
            </w:pPr>
          </w:p>
        </w:tc>
        <w:tc>
          <w:tcPr>
            <w:tcW w:w="240" w:type="dxa"/>
          </w:tcPr>
          <w:p w14:paraId="41F42CE8" w14:textId="77777777" w:rsidR="00AE0598" w:rsidRDefault="00AE0598">
            <w:pPr>
              <w:pStyle w:val="TableParagraph"/>
              <w:rPr>
                <w:rFonts w:ascii="Times New Roman"/>
                <w:sz w:val="12"/>
              </w:rPr>
            </w:pPr>
          </w:p>
        </w:tc>
        <w:tc>
          <w:tcPr>
            <w:tcW w:w="240" w:type="dxa"/>
          </w:tcPr>
          <w:p w14:paraId="4F6B8EE1" w14:textId="77777777" w:rsidR="00AE0598" w:rsidRDefault="00AE0598">
            <w:pPr>
              <w:pStyle w:val="TableParagraph"/>
              <w:rPr>
                <w:rFonts w:ascii="Times New Roman"/>
                <w:sz w:val="12"/>
              </w:rPr>
            </w:pPr>
          </w:p>
        </w:tc>
        <w:tc>
          <w:tcPr>
            <w:tcW w:w="240" w:type="dxa"/>
          </w:tcPr>
          <w:p w14:paraId="6C553C54" w14:textId="77777777" w:rsidR="00AE0598" w:rsidRDefault="00AE0598">
            <w:pPr>
              <w:pStyle w:val="TableParagraph"/>
              <w:rPr>
                <w:rFonts w:ascii="Times New Roman"/>
                <w:sz w:val="12"/>
              </w:rPr>
            </w:pPr>
          </w:p>
        </w:tc>
        <w:tc>
          <w:tcPr>
            <w:tcW w:w="240" w:type="dxa"/>
          </w:tcPr>
          <w:p w14:paraId="1CF8669E" w14:textId="77777777" w:rsidR="00AE0598" w:rsidRDefault="00AE0598">
            <w:pPr>
              <w:pStyle w:val="TableParagraph"/>
              <w:rPr>
                <w:rFonts w:ascii="Times New Roman"/>
                <w:sz w:val="12"/>
              </w:rPr>
            </w:pPr>
          </w:p>
        </w:tc>
        <w:tc>
          <w:tcPr>
            <w:tcW w:w="240" w:type="dxa"/>
          </w:tcPr>
          <w:p w14:paraId="008577DF" w14:textId="77777777" w:rsidR="00AE0598" w:rsidRDefault="00AE0598">
            <w:pPr>
              <w:pStyle w:val="TableParagraph"/>
              <w:rPr>
                <w:rFonts w:ascii="Times New Roman"/>
                <w:sz w:val="12"/>
              </w:rPr>
            </w:pPr>
          </w:p>
        </w:tc>
        <w:tc>
          <w:tcPr>
            <w:tcW w:w="240" w:type="dxa"/>
          </w:tcPr>
          <w:p w14:paraId="1B544988" w14:textId="77777777" w:rsidR="00AE0598" w:rsidRDefault="00AE0598">
            <w:pPr>
              <w:pStyle w:val="TableParagraph"/>
              <w:rPr>
                <w:rFonts w:ascii="Times New Roman"/>
                <w:sz w:val="12"/>
              </w:rPr>
            </w:pPr>
          </w:p>
        </w:tc>
        <w:tc>
          <w:tcPr>
            <w:tcW w:w="240" w:type="dxa"/>
          </w:tcPr>
          <w:p w14:paraId="0B959DA2" w14:textId="77777777" w:rsidR="00AE0598" w:rsidRDefault="00AE0598">
            <w:pPr>
              <w:pStyle w:val="TableParagraph"/>
              <w:rPr>
                <w:rFonts w:ascii="Times New Roman"/>
                <w:sz w:val="12"/>
              </w:rPr>
            </w:pPr>
          </w:p>
        </w:tc>
        <w:tc>
          <w:tcPr>
            <w:tcW w:w="240" w:type="dxa"/>
          </w:tcPr>
          <w:p w14:paraId="05CD09D0" w14:textId="77777777" w:rsidR="00AE0598" w:rsidRDefault="00AE0598">
            <w:pPr>
              <w:pStyle w:val="TableParagraph"/>
              <w:rPr>
                <w:rFonts w:ascii="Times New Roman"/>
                <w:sz w:val="12"/>
              </w:rPr>
            </w:pPr>
          </w:p>
        </w:tc>
        <w:tc>
          <w:tcPr>
            <w:tcW w:w="968" w:type="dxa"/>
            <w:gridSpan w:val="4"/>
          </w:tcPr>
          <w:p w14:paraId="25FE2401" w14:textId="77777777" w:rsidR="00AE0598" w:rsidRDefault="00AE0598">
            <w:pPr>
              <w:pStyle w:val="TableParagraph"/>
              <w:rPr>
                <w:rFonts w:ascii="Times New Roman"/>
                <w:sz w:val="12"/>
              </w:rPr>
            </w:pPr>
          </w:p>
        </w:tc>
        <w:tc>
          <w:tcPr>
            <w:tcW w:w="209" w:type="dxa"/>
          </w:tcPr>
          <w:p w14:paraId="21B7F55F" w14:textId="77777777" w:rsidR="00AE0598" w:rsidRDefault="00AE0598">
            <w:pPr>
              <w:pStyle w:val="TableParagraph"/>
              <w:rPr>
                <w:rFonts w:ascii="Times New Roman"/>
                <w:sz w:val="12"/>
              </w:rPr>
            </w:pPr>
          </w:p>
        </w:tc>
        <w:tc>
          <w:tcPr>
            <w:tcW w:w="264" w:type="dxa"/>
          </w:tcPr>
          <w:p w14:paraId="294D05C8" w14:textId="77777777" w:rsidR="00AE0598" w:rsidRDefault="00AE0598">
            <w:pPr>
              <w:pStyle w:val="TableParagraph"/>
              <w:rPr>
                <w:rFonts w:ascii="Times New Roman"/>
                <w:sz w:val="12"/>
              </w:rPr>
            </w:pPr>
          </w:p>
        </w:tc>
        <w:tc>
          <w:tcPr>
            <w:tcW w:w="221" w:type="dxa"/>
          </w:tcPr>
          <w:p w14:paraId="0AE397B3" w14:textId="77777777" w:rsidR="00AE0598" w:rsidRDefault="00AE0598">
            <w:pPr>
              <w:pStyle w:val="TableParagraph"/>
              <w:rPr>
                <w:rFonts w:ascii="Times New Roman"/>
                <w:sz w:val="12"/>
              </w:rPr>
            </w:pPr>
          </w:p>
        </w:tc>
        <w:tc>
          <w:tcPr>
            <w:tcW w:w="259" w:type="dxa"/>
          </w:tcPr>
          <w:p w14:paraId="583F552D" w14:textId="77777777" w:rsidR="00AE0598" w:rsidRDefault="00AE0598">
            <w:pPr>
              <w:pStyle w:val="TableParagraph"/>
              <w:rPr>
                <w:rFonts w:ascii="Times New Roman"/>
                <w:sz w:val="12"/>
              </w:rPr>
            </w:pPr>
          </w:p>
        </w:tc>
        <w:tc>
          <w:tcPr>
            <w:tcW w:w="240" w:type="dxa"/>
          </w:tcPr>
          <w:p w14:paraId="10B388D0" w14:textId="77777777" w:rsidR="00AE0598" w:rsidRDefault="00AE0598">
            <w:pPr>
              <w:pStyle w:val="TableParagraph"/>
              <w:rPr>
                <w:rFonts w:ascii="Times New Roman"/>
                <w:sz w:val="12"/>
              </w:rPr>
            </w:pPr>
          </w:p>
        </w:tc>
        <w:tc>
          <w:tcPr>
            <w:tcW w:w="240" w:type="dxa"/>
          </w:tcPr>
          <w:p w14:paraId="52944D1B" w14:textId="77777777" w:rsidR="00AE0598" w:rsidRDefault="00AE0598">
            <w:pPr>
              <w:pStyle w:val="TableParagraph"/>
              <w:rPr>
                <w:rFonts w:ascii="Times New Roman"/>
                <w:sz w:val="12"/>
              </w:rPr>
            </w:pPr>
          </w:p>
        </w:tc>
        <w:tc>
          <w:tcPr>
            <w:tcW w:w="239" w:type="dxa"/>
          </w:tcPr>
          <w:p w14:paraId="1E5EF1D5" w14:textId="77777777" w:rsidR="00AE0598" w:rsidRDefault="00AE0598">
            <w:pPr>
              <w:pStyle w:val="TableParagraph"/>
              <w:rPr>
                <w:rFonts w:ascii="Times New Roman"/>
                <w:sz w:val="12"/>
              </w:rPr>
            </w:pPr>
          </w:p>
        </w:tc>
        <w:tc>
          <w:tcPr>
            <w:tcW w:w="240" w:type="dxa"/>
          </w:tcPr>
          <w:p w14:paraId="3B7036DF" w14:textId="77777777" w:rsidR="00AE0598" w:rsidRDefault="00AE0598">
            <w:pPr>
              <w:pStyle w:val="TableParagraph"/>
              <w:rPr>
                <w:rFonts w:ascii="Times New Roman"/>
                <w:sz w:val="12"/>
              </w:rPr>
            </w:pPr>
          </w:p>
        </w:tc>
        <w:tc>
          <w:tcPr>
            <w:tcW w:w="239" w:type="dxa"/>
          </w:tcPr>
          <w:p w14:paraId="5AF5CF38" w14:textId="77777777" w:rsidR="00AE0598" w:rsidRDefault="00AE0598">
            <w:pPr>
              <w:pStyle w:val="TableParagraph"/>
              <w:rPr>
                <w:rFonts w:ascii="Times New Roman"/>
                <w:sz w:val="12"/>
              </w:rPr>
            </w:pPr>
          </w:p>
        </w:tc>
        <w:tc>
          <w:tcPr>
            <w:tcW w:w="239" w:type="dxa"/>
          </w:tcPr>
          <w:p w14:paraId="231B78C1" w14:textId="77777777" w:rsidR="00AE0598" w:rsidRDefault="00AE0598">
            <w:pPr>
              <w:pStyle w:val="TableParagraph"/>
              <w:rPr>
                <w:rFonts w:ascii="Times New Roman"/>
                <w:sz w:val="12"/>
              </w:rPr>
            </w:pPr>
          </w:p>
        </w:tc>
      </w:tr>
      <w:tr w:rsidR="00AE0598" w14:paraId="219E8D41" w14:textId="77777777">
        <w:trPr>
          <w:trHeight w:val="181"/>
        </w:trPr>
        <w:tc>
          <w:tcPr>
            <w:tcW w:w="576" w:type="dxa"/>
          </w:tcPr>
          <w:p w14:paraId="07C8E4BD" w14:textId="77777777" w:rsidR="00AE0598" w:rsidRDefault="0069255A">
            <w:pPr>
              <w:pStyle w:val="TableParagraph"/>
              <w:spacing w:line="161" w:lineRule="exact"/>
              <w:ind w:left="97" w:right="82"/>
              <w:jc w:val="center"/>
              <w:rPr>
                <w:rFonts w:ascii="Segoe UI Symbol"/>
                <w:sz w:val="16"/>
              </w:rPr>
            </w:pPr>
            <w:r>
              <w:rPr>
                <w:rFonts w:ascii="Segoe UI Symbol"/>
                <w:color w:val="231F20"/>
                <w:spacing w:val="-4"/>
                <w:sz w:val="16"/>
              </w:rPr>
              <w:t>1980</w:t>
            </w:r>
          </w:p>
        </w:tc>
        <w:tc>
          <w:tcPr>
            <w:tcW w:w="240" w:type="dxa"/>
          </w:tcPr>
          <w:p w14:paraId="40FBCE26" w14:textId="77777777" w:rsidR="00AE0598" w:rsidRDefault="00AE0598">
            <w:pPr>
              <w:pStyle w:val="TableParagraph"/>
              <w:rPr>
                <w:rFonts w:ascii="Times New Roman"/>
                <w:sz w:val="12"/>
              </w:rPr>
            </w:pPr>
          </w:p>
        </w:tc>
        <w:tc>
          <w:tcPr>
            <w:tcW w:w="240" w:type="dxa"/>
          </w:tcPr>
          <w:p w14:paraId="17205715" w14:textId="77777777" w:rsidR="00AE0598" w:rsidRDefault="00AE0598">
            <w:pPr>
              <w:pStyle w:val="TableParagraph"/>
              <w:rPr>
                <w:rFonts w:ascii="Times New Roman"/>
                <w:sz w:val="12"/>
              </w:rPr>
            </w:pPr>
          </w:p>
        </w:tc>
        <w:tc>
          <w:tcPr>
            <w:tcW w:w="240" w:type="dxa"/>
          </w:tcPr>
          <w:p w14:paraId="4EB97AD9" w14:textId="77777777" w:rsidR="00AE0598" w:rsidRDefault="00AE0598">
            <w:pPr>
              <w:pStyle w:val="TableParagraph"/>
              <w:rPr>
                <w:rFonts w:ascii="Times New Roman"/>
                <w:sz w:val="12"/>
              </w:rPr>
            </w:pPr>
          </w:p>
        </w:tc>
        <w:tc>
          <w:tcPr>
            <w:tcW w:w="240" w:type="dxa"/>
          </w:tcPr>
          <w:p w14:paraId="3CAAB5D7" w14:textId="77777777" w:rsidR="00AE0598" w:rsidRDefault="00AE0598">
            <w:pPr>
              <w:pStyle w:val="TableParagraph"/>
              <w:rPr>
                <w:rFonts w:ascii="Times New Roman"/>
                <w:sz w:val="12"/>
              </w:rPr>
            </w:pPr>
          </w:p>
        </w:tc>
        <w:tc>
          <w:tcPr>
            <w:tcW w:w="240" w:type="dxa"/>
          </w:tcPr>
          <w:p w14:paraId="7C0EDF3B" w14:textId="77777777" w:rsidR="00AE0598" w:rsidRDefault="00AE0598">
            <w:pPr>
              <w:pStyle w:val="TableParagraph"/>
              <w:rPr>
                <w:rFonts w:ascii="Times New Roman"/>
                <w:sz w:val="12"/>
              </w:rPr>
            </w:pPr>
          </w:p>
        </w:tc>
        <w:tc>
          <w:tcPr>
            <w:tcW w:w="240" w:type="dxa"/>
          </w:tcPr>
          <w:p w14:paraId="6196CA60" w14:textId="77777777" w:rsidR="00AE0598" w:rsidRDefault="00AE0598">
            <w:pPr>
              <w:pStyle w:val="TableParagraph"/>
              <w:rPr>
                <w:rFonts w:ascii="Times New Roman"/>
                <w:sz w:val="12"/>
              </w:rPr>
            </w:pPr>
          </w:p>
        </w:tc>
        <w:tc>
          <w:tcPr>
            <w:tcW w:w="240" w:type="dxa"/>
          </w:tcPr>
          <w:p w14:paraId="70DEAD19" w14:textId="77777777" w:rsidR="00AE0598" w:rsidRDefault="00AE0598">
            <w:pPr>
              <w:pStyle w:val="TableParagraph"/>
              <w:rPr>
                <w:rFonts w:ascii="Times New Roman"/>
                <w:sz w:val="12"/>
              </w:rPr>
            </w:pPr>
          </w:p>
        </w:tc>
        <w:tc>
          <w:tcPr>
            <w:tcW w:w="240" w:type="dxa"/>
          </w:tcPr>
          <w:p w14:paraId="29A38B53" w14:textId="77777777" w:rsidR="00AE0598" w:rsidRDefault="00AE0598">
            <w:pPr>
              <w:pStyle w:val="TableParagraph"/>
              <w:rPr>
                <w:rFonts w:ascii="Times New Roman"/>
                <w:sz w:val="12"/>
              </w:rPr>
            </w:pPr>
          </w:p>
        </w:tc>
        <w:tc>
          <w:tcPr>
            <w:tcW w:w="240" w:type="dxa"/>
            <w:tcBorders>
              <w:right w:val="nil"/>
            </w:tcBorders>
          </w:tcPr>
          <w:p w14:paraId="0224B0B8" w14:textId="77777777" w:rsidR="00AE0598" w:rsidRDefault="00AE0598">
            <w:pPr>
              <w:pStyle w:val="TableParagraph"/>
              <w:rPr>
                <w:rFonts w:ascii="Times New Roman"/>
                <w:sz w:val="12"/>
              </w:rPr>
            </w:pPr>
          </w:p>
        </w:tc>
        <w:tc>
          <w:tcPr>
            <w:tcW w:w="240" w:type="dxa"/>
            <w:tcBorders>
              <w:top w:val="nil"/>
              <w:left w:val="nil"/>
              <w:bottom w:val="nil"/>
              <w:right w:val="nil"/>
            </w:tcBorders>
            <w:shd w:val="clear" w:color="auto" w:fill="231F20"/>
          </w:tcPr>
          <w:p w14:paraId="549C33D9" w14:textId="77777777" w:rsidR="00AE0598" w:rsidRDefault="00AE0598">
            <w:pPr>
              <w:pStyle w:val="TableParagraph"/>
              <w:rPr>
                <w:rFonts w:ascii="Times New Roman"/>
                <w:sz w:val="12"/>
              </w:rPr>
            </w:pPr>
          </w:p>
        </w:tc>
        <w:tc>
          <w:tcPr>
            <w:tcW w:w="240" w:type="dxa"/>
            <w:tcBorders>
              <w:left w:val="nil"/>
            </w:tcBorders>
          </w:tcPr>
          <w:p w14:paraId="077DDDBC" w14:textId="77777777" w:rsidR="00AE0598" w:rsidRDefault="00AE0598">
            <w:pPr>
              <w:pStyle w:val="TableParagraph"/>
              <w:rPr>
                <w:rFonts w:ascii="Times New Roman"/>
                <w:sz w:val="12"/>
              </w:rPr>
            </w:pPr>
          </w:p>
        </w:tc>
        <w:tc>
          <w:tcPr>
            <w:tcW w:w="259" w:type="dxa"/>
          </w:tcPr>
          <w:p w14:paraId="02B02DDF" w14:textId="77777777" w:rsidR="00AE0598" w:rsidRDefault="00AE0598">
            <w:pPr>
              <w:pStyle w:val="TableParagraph"/>
              <w:rPr>
                <w:rFonts w:ascii="Times New Roman"/>
                <w:sz w:val="12"/>
              </w:rPr>
            </w:pPr>
          </w:p>
        </w:tc>
        <w:tc>
          <w:tcPr>
            <w:tcW w:w="222" w:type="dxa"/>
          </w:tcPr>
          <w:p w14:paraId="3BDC7CCF" w14:textId="77777777" w:rsidR="00AE0598" w:rsidRDefault="00AE0598">
            <w:pPr>
              <w:pStyle w:val="TableParagraph"/>
              <w:rPr>
                <w:rFonts w:ascii="Times New Roman"/>
                <w:sz w:val="12"/>
              </w:rPr>
            </w:pPr>
          </w:p>
        </w:tc>
        <w:tc>
          <w:tcPr>
            <w:tcW w:w="247" w:type="dxa"/>
          </w:tcPr>
          <w:p w14:paraId="14ACDEE8" w14:textId="77777777" w:rsidR="00AE0598" w:rsidRDefault="00AE0598">
            <w:pPr>
              <w:pStyle w:val="TableParagraph"/>
              <w:rPr>
                <w:rFonts w:ascii="Times New Roman"/>
                <w:sz w:val="12"/>
              </w:rPr>
            </w:pPr>
          </w:p>
        </w:tc>
        <w:tc>
          <w:tcPr>
            <w:tcW w:w="209" w:type="dxa"/>
          </w:tcPr>
          <w:p w14:paraId="46F01C42" w14:textId="77777777" w:rsidR="00AE0598" w:rsidRDefault="00AE0598">
            <w:pPr>
              <w:pStyle w:val="TableParagraph"/>
              <w:rPr>
                <w:rFonts w:ascii="Times New Roman"/>
                <w:sz w:val="12"/>
              </w:rPr>
            </w:pPr>
          </w:p>
        </w:tc>
        <w:tc>
          <w:tcPr>
            <w:tcW w:w="264" w:type="dxa"/>
          </w:tcPr>
          <w:p w14:paraId="0478EFBD" w14:textId="77777777" w:rsidR="00AE0598" w:rsidRDefault="00AE0598">
            <w:pPr>
              <w:pStyle w:val="TableParagraph"/>
              <w:rPr>
                <w:rFonts w:ascii="Times New Roman"/>
                <w:sz w:val="12"/>
              </w:rPr>
            </w:pPr>
          </w:p>
        </w:tc>
        <w:tc>
          <w:tcPr>
            <w:tcW w:w="221" w:type="dxa"/>
          </w:tcPr>
          <w:p w14:paraId="2E91DE62" w14:textId="77777777" w:rsidR="00AE0598" w:rsidRDefault="00AE0598">
            <w:pPr>
              <w:pStyle w:val="TableParagraph"/>
              <w:rPr>
                <w:rFonts w:ascii="Times New Roman"/>
                <w:sz w:val="12"/>
              </w:rPr>
            </w:pPr>
          </w:p>
        </w:tc>
        <w:tc>
          <w:tcPr>
            <w:tcW w:w="1218" w:type="dxa"/>
            <w:gridSpan w:val="5"/>
          </w:tcPr>
          <w:p w14:paraId="2D0D1C56" w14:textId="77777777" w:rsidR="00AE0598" w:rsidRDefault="00AE0598">
            <w:pPr>
              <w:pStyle w:val="TableParagraph"/>
              <w:rPr>
                <w:rFonts w:ascii="Times New Roman"/>
                <w:sz w:val="12"/>
              </w:rPr>
            </w:pPr>
          </w:p>
        </w:tc>
        <w:tc>
          <w:tcPr>
            <w:tcW w:w="239" w:type="dxa"/>
          </w:tcPr>
          <w:p w14:paraId="6B04D4B3" w14:textId="77777777" w:rsidR="00AE0598" w:rsidRDefault="00AE0598">
            <w:pPr>
              <w:pStyle w:val="TableParagraph"/>
              <w:rPr>
                <w:rFonts w:ascii="Times New Roman"/>
                <w:sz w:val="12"/>
              </w:rPr>
            </w:pPr>
          </w:p>
        </w:tc>
        <w:tc>
          <w:tcPr>
            <w:tcW w:w="239" w:type="dxa"/>
          </w:tcPr>
          <w:p w14:paraId="3360BF7A" w14:textId="77777777" w:rsidR="00AE0598" w:rsidRDefault="00AE0598">
            <w:pPr>
              <w:pStyle w:val="TableParagraph"/>
              <w:rPr>
                <w:rFonts w:ascii="Times New Roman"/>
                <w:sz w:val="12"/>
              </w:rPr>
            </w:pPr>
          </w:p>
        </w:tc>
      </w:tr>
      <w:tr w:rsidR="00AE0598" w14:paraId="78329888" w14:textId="77777777">
        <w:trPr>
          <w:trHeight w:val="180"/>
        </w:trPr>
        <w:tc>
          <w:tcPr>
            <w:tcW w:w="576" w:type="dxa"/>
          </w:tcPr>
          <w:p w14:paraId="5A9DB999" w14:textId="77777777" w:rsidR="00AE0598" w:rsidRDefault="0069255A">
            <w:pPr>
              <w:pStyle w:val="TableParagraph"/>
              <w:spacing w:line="160" w:lineRule="exact"/>
              <w:ind w:left="97" w:right="82"/>
              <w:jc w:val="center"/>
              <w:rPr>
                <w:rFonts w:ascii="Segoe UI Symbol"/>
                <w:sz w:val="16"/>
              </w:rPr>
            </w:pPr>
            <w:r>
              <w:rPr>
                <w:rFonts w:ascii="Segoe UI Symbol"/>
                <w:color w:val="231F20"/>
                <w:spacing w:val="-4"/>
                <w:sz w:val="16"/>
              </w:rPr>
              <w:t>1975</w:t>
            </w:r>
          </w:p>
        </w:tc>
        <w:tc>
          <w:tcPr>
            <w:tcW w:w="240" w:type="dxa"/>
          </w:tcPr>
          <w:p w14:paraId="6FE60B41" w14:textId="77777777" w:rsidR="00AE0598" w:rsidRDefault="00AE0598">
            <w:pPr>
              <w:pStyle w:val="TableParagraph"/>
              <w:rPr>
                <w:rFonts w:ascii="Times New Roman"/>
                <w:sz w:val="12"/>
              </w:rPr>
            </w:pPr>
          </w:p>
        </w:tc>
        <w:tc>
          <w:tcPr>
            <w:tcW w:w="240" w:type="dxa"/>
          </w:tcPr>
          <w:p w14:paraId="674AB34C" w14:textId="77777777" w:rsidR="00AE0598" w:rsidRDefault="00AE0598">
            <w:pPr>
              <w:pStyle w:val="TableParagraph"/>
              <w:rPr>
                <w:rFonts w:ascii="Times New Roman"/>
                <w:sz w:val="12"/>
              </w:rPr>
            </w:pPr>
          </w:p>
        </w:tc>
        <w:tc>
          <w:tcPr>
            <w:tcW w:w="240" w:type="dxa"/>
          </w:tcPr>
          <w:p w14:paraId="37CD6006" w14:textId="77777777" w:rsidR="00AE0598" w:rsidRDefault="00AE0598">
            <w:pPr>
              <w:pStyle w:val="TableParagraph"/>
              <w:rPr>
                <w:rFonts w:ascii="Times New Roman"/>
                <w:sz w:val="12"/>
              </w:rPr>
            </w:pPr>
          </w:p>
        </w:tc>
        <w:tc>
          <w:tcPr>
            <w:tcW w:w="240" w:type="dxa"/>
          </w:tcPr>
          <w:p w14:paraId="5CE991DB" w14:textId="77777777" w:rsidR="00AE0598" w:rsidRDefault="00AE0598">
            <w:pPr>
              <w:pStyle w:val="TableParagraph"/>
              <w:rPr>
                <w:rFonts w:ascii="Times New Roman"/>
                <w:sz w:val="12"/>
              </w:rPr>
            </w:pPr>
          </w:p>
        </w:tc>
        <w:tc>
          <w:tcPr>
            <w:tcW w:w="240" w:type="dxa"/>
          </w:tcPr>
          <w:p w14:paraId="078D69EF" w14:textId="77777777" w:rsidR="00AE0598" w:rsidRDefault="00AE0598">
            <w:pPr>
              <w:pStyle w:val="TableParagraph"/>
              <w:rPr>
                <w:rFonts w:ascii="Times New Roman"/>
                <w:sz w:val="12"/>
              </w:rPr>
            </w:pPr>
          </w:p>
        </w:tc>
        <w:tc>
          <w:tcPr>
            <w:tcW w:w="240" w:type="dxa"/>
          </w:tcPr>
          <w:p w14:paraId="5725B477" w14:textId="77777777" w:rsidR="00AE0598" w:rsidRDefault="00AE0598">
            <w:pPr>
              <w:pStyle w:val="TableParagraph"/>
              <w:rPr>
                <w:rFonts w:ascii="Times New Roman"/>
                <w:sz w:val="12"/>
              </w:rPr>
            </w:pPr>
          </w:p>
        </w:tc>
        <w:tc>
          <w:tcPr>
            <w:tcW w:w="240" w:type="dxa"/>
          </w:tcPr>
          <w:p w14:paraId="5C890D60" w14:textId="77777777" w:rsidR="00AE0598" w:rsidRDefault="00AE0598">
            <w:pPr>
              <w:pStyle w:val="TableParagraph"/>
              <w:rPr>
                <w:rFonts w:ascii="Times New Roman"/>
                <w:sz w:val="12"/>
              </w:rPr>
            </w:pPr>
          </w:p>
        </w:tc>
        <w:tc>
          <w:tcPr>
            <w:tcW w:w="240" w:type="dxa"/>
          </w:tcPr>
          <w:p w14:paraId="10D2F50B" w14:textId="77777777" w:rsidR="00AE0598" w:rsidRDefault="00AE0598">
            <w:pPr>
              <w:pStyle w:val="TableParagraph"/>
              <w:rPr>
                <w:rFonts w:ascii="Times New Roman"/>
                <w:sz w:val="12"/>
              </w:rPr>
            </w:pPr>
          </w:p>
        </w:tc>
        <w:tc>
          <w:tcPr>
            <w:tcW w:w="240" w:type="dxa"/>
          </w:tcPr>
          <w:p w14:paraId="080F6052" w14:textId="77777777" w:rsidR="00AE0598" w:rsidRDefault="00AE0598">
            <w:pPr>
              <w:pStyle w:val="TableParagraph"/>
              <w:rPr>
                <w:rFonts w:ascii="Times New Roman"/>
                <w:sz w:val="12"/>
              </w:rPr>
            </w:pPr>
          </w:p>
        </w:tc>
        <w:tc>
          <w:tcPr>
            <w:tcW w:w="240" w:type="dxa"/>
          </w:tcPr>
          <w:p w14:paraId="50EEDB8A" w14:textId="77777777" w:rsidR="00AE0598" w:rsidRDefault="00AE0598">
            <w:pPr>
              <w:pStyle w:val="TableParagraph"/>
              <w:rPr>
                <w:rFonts w:ascii="Times New Roman"/>
                <w:sz w:val="12"/>
              </w:rPr>
            </w:pPr>
          </w:p>
        </w:tc>
        <w:tc>
          <w:tcPr>
            <w:tcW w:w="240" w:type="dxa"/>
          </w:tcPr>
          <w:p w14:paraId="76692E59" w14:textId="77777777" w:rsidR="00AE0598" w:rsidRDefault="00AE0598">
            <w:pPr>
              <w:pStyle w:val="TableParagraph"/>
              <w:rPr>
                <w:rFonts w:ascii="Times New Roman"/>
                <w:sz w:val="12"/>
              </w:rPr>
            </w:pPr>
          </w:p>
        </w:tc>
        <w:tc>
          <w:tcPr>
            <w:tcW w:w="259" w:type="dxa"/>
          </w:tcPr>
          <w:p w14:paraId="3C23F7C8" w14:textId="77777777" w:rsidR="00AE0598" w:rsidRDefault="00AE0598">
            <w:pPr>
              <w:pStyle w:val="TableParagraph"/>
              <w:rPr>
                <w:rFonts w:ascii="Times New Roman"/>
                <w:sz w:val="12"/>
              </w:rPr>
            </w:pPr>
          </w:p>
        </w:tc>
        <w:tc>
          <w:tcPr>
            <w:tcW w:w="222" w:type="dxa"/>
          </w:tcPr>
          <w:p w14:paraId="4AE5796A" w14:textId="77777777" w:rsidR="00AE0598" w:rsidRDefault="00AE0598">
            <w:pPr>
              <w:pStyle w:val="TableParagraph"/>
              <w:rPr>
                <w:rFonts w:ascii="Times New Roman"/>
                <w:sz w:val="12"/>
              </w:rPr>
            </w:pPr>
          </w:p>
        </w:tc>
        <w:tc>
          <w:tcPr>
            <w:tcW w:w="247" w:type="dxa"/>
          </w:tcPr>
          <w:p w14:paraId="606FB577" w14:textId="77777777" w:rsidR="00AE0598" w:rsidRDefault="00AE0598">
            <w:pPr>
              <w:pStyle w:val="TableParagraph"/>
              <w:rPr>
                <w:rFonts w:ascii="Times New Roman"/>
                <w:sz w:val="12"/>
              </w:rPr>
            </w:pPr>
          </w:p>
        </w:tc>
        <w:tc>
          <w:tcPr>
            <w:tcW w:w="209" w:type="dxa"/>
          </w:tcPr>
          <w:p w14:paraId="38918DE4" w14:textId="77777777" w:rsidR="00AE0598" w:rsidRDefault="00AE0598">
            <w:pPr>
              <w:pStyle w:val="TableParagraph"/>
              <w:rPr>
                <w:rFonts w:ascii="Times New Roman"/>
                <w:sz w:val="12"/>
              </w:rPr>
            </w:pPr>
          </w:p>
        </w:tc>
        <w:tc>
          <w:tcPr>
            <w:tcW w:w="264" w:type="dxa"/>
          </w:tcPr>
          <w:p w14:paraId="42FD40BD" w14:textId="77777777" w:rsidR="00AE0598" w:rsidRDefault="00AE0598">
            <w:pPr>
              <w:pStyle w:val="TableParagraph"/>
              <w:rPr>
                <w:rFonts w:ascii="Times New Roman"/>
                <w:sz w:val="12"/>
              </w:rPr>
            </w:pPr>
          </w:p>
        </w:tc>
        <w:tc>
          <w:tcPr>
            <w:tcW w:w="221" w:type="dxa"/>
          </w:tcPr>
          <w:p w14:paraId="08A9757F" w14:textId="77777777" w:rsidR="00AE0598" w:rsidRDefault="00AE0598">
            <w:pPr>
              <w:pStyle w:val="TableParagraph"/>
              <w:rPr>
                <w:rFonts w:ascii="Times New Roman"/>
                <w:sz w:val="12"/>
              </w:rPr>
            </w:pPr>
          </w:p>
        </w:tc>
        <w:tc>
          <w:tcPr>
            <w:tcW w:w="259" w:type="dxa"/>
          </w:tcPr>
          <w:p w14:paraId="680D2CA7" w14:textId="77777777" w:rsidR="00AE0598" w:rsidRDefault="00AE0598">
            <w:pPr>
              <w:pStyle w:val="TableParagraph"/>
              <w:rPr>
                <w:rFonts w:ascii="Times New Roman"/>
                <w:sz w:val="12"/>
              </w:rPr>
            </w:pPr>
          </w:p>
        </w:tc>
        <w:tc>
          <w:tcPr>
            <w:tcW w:w="240" w:type="dxa"/>
          </w:tcPr>
          <w:p w14:paraId="5C76E041" w14:textId="77777777" w:rsidR="00AE0598" w:rsidRDefault="00AE0598">
            <w:pPr>
              <w:pStyle w:val="TableParagraph"/>
              <w:rPr>
                <w:rFonts w:ascii="Times New Roman"/>
                <w:sz w:val="12"/>
              </w:rPr>
            </w:pPr>
          </w:p>
        </w:tc>
        <w:tc>
          <w:tcPr>
            <w:tcW w:w="240" w:type="dxa"/>
          </w:tcPr>
          <w:p w14:paraId="5785F26E" w14:textId="77777777" w:rsidR="00AE0598" w:rsidRDefault="00AE0598">
            <w:pPr>
              <w:pStyle w:val="TableParagraph"/>
              <w:rPr>
                <w:rFonts w:ascii="Times New Roman"/>
                <w:sz w:val="12"/>
              </w:rPr>
            </w:pPr>
          </w:p>
        </w:tc>
        <w:tc>
          <w:tcPr>
            <w:tcW w:w="239" w:type="dxa"/>
          </w:tcPr>
          <w:p w14:paraId="48B2577A" w14:textId="77777777" w:rsidR="00AE0598" w:rsidRDefault="00AE0598">
            <w:pPr>
              <w:pStyle w:val="TableParagraph"/>
              <w:rPr>
                <w:rFonts w:ascii="Times New Roman"/>
                <w:sz w:val="12"/>
              </w:rPr>
            </w:pPr>
          </w:p>
        </w:tc>
        <w:tc>
          <w:tcPr>
            <w:tcW w:w="240" w:type="dxa"/>
          </w:tcPr>
          <w:p w14:paraId="7CD2C446" w14:textId="77777777" w:rsidR="00AE0598" w:rsidRDefault="00AE0598">
            <w:pPr>
              <w:pStyle w:val="TableParagraph"/>
              <w:rPr>
                <w:rFonts w:ascii="Times New Roman"/>
                <w:sz w:val="12"/>
              </w:rPr>
            </w:pPr>
          </w:p>
        </w:tc>
        <w:tc>
          <w:tcPr>
            <w:tcW w:w="239" w:type="dxa"/>
          </w:tcPr>
          <w:p w14:paraId="3CC0B348" w14:textId="77777777" w:rsidR="00AE0598" w:rsidRDefault="00AE0598">
            <w:pPr>
              <w:pStyle w:val="TableParagraph"/>
              <w:rPr>
                <w:rFonts w:ascii="Times New Roman"/>
                <w:sz w:val="12"/>
              </w:rPr>
            </w:pPr>
          </w:p>
        </w:tc>
        <w:tc>
          <w:tcPr>
            <w:tcW w:w="239" w:type="dxa"/>
          </w:tcPr>
          <w:p w14:paraId="47AAA2C1" w14:textId="77777777" w:rsidR="00AE0598" w:rsidRDefault="00AE0598">
            <w:pPr>
              <w:pStyle w:val="TableParagraph"/>
              <w:rPr>
                <w:rFonts w:ascii="Times New Roman"/>
                <w:sz w:val="12"/>
              </w:rPr>
            </w:pPr>
          </w:p>
        </w:tc>
      </w:tr>
      <w:tr w:rsidR="00AE0598" w14:paraId="27630223" w14:textId="77777777">
        <w:trPr>
          <w:trHeight w:val="303"/>
        </w:trPr>
        <w:tc>
          <w:tcPr>
            <w:tcW w:w="1296" w:type="dxa"/>
            <w:gridSpan w:val="4"/>
          </w:tcPr>
          <w:p w14:paraId="4812921E" w14:textId="77777777" w:rsidR="00AE0598" w:rsidRDefault="0069255A">
            <w:pPr>
              <w:pStyle w:val="TableParagraph"/>
              <w:spacing w:line="153" w:lineRule="exact"/>
              <w:ind w:left="70"/>
              <w:rPr>
                <w:rFonts w:ascii="Segoe UI Symbol"/>
                <w:sz w:val="13"/>
              </w:rPr>
            </w:pPr>
            <w:r>
              <w:rPr>
                <w:rFonts w:ascii="Segoe UI Symbol"/>
                <w:color w:val="231F20"/>
                <w:sz w:val="13"/>
              </w:rPr>
              <w:t>Competition</w:t>
            </w:r>
            <w:r>
              <w:rPr>
                <w:rFonts w:ascii="Segoe UI Symbol"/>
                <w:color w:val="231F20"/>
                <w:spacing w:val="24"/>
                <w:w w:val="105"/>
                <w:sz w:val="13"/>
              </w:rPr>
              <w:t xml:space="preserve"> </w:t>
            </w:r>
            <w:r>
              <w:rPr>
                <w:rFonts w:ascii="Segoe UI Symbol"/>
                <w:color w:val="231F20"/>
                <w:spacing w:val="-5"/>
                <w:w w:val="105"/>
                <w:sz w:val="13"/>
              </w:rPr>
              <w:t>key</w:t>
            </w:r>
          </w:p>
        </w:tc>
        <w:tc>
          <w:tcPr>
            <w:tcW w:w="240" w:type="dxa"/>
          </w:tcPr>
          <w:p w14:paraId="0B7C545B" w14:textId="77777777" w:rsidR="00AE0598" w:rsidRDefault="00AE0598">
            <w:pPr>
              <w:pStyle w:val="TableParagraph"/>
              <w:rPr>
                <w:rFonts w:ascii="Times New Roman"/>
                <w:sz w:val="18"/>
              </w:rPr>
            </w:pPr>
          </w:p>
        </w:tc>
        <w:tc>
          <w:tcPr>
            <w:tcW w:w="1440" w:type="dxa"/>
            <w:gridSpan w:val="6"/>
          </w:tcPr>
          <w:p w14:paraId="3BBCD72A" w14:textId="77777777" w:rsidR="00AE0598" w:rsidRDefault="0069255A">
            <w:pPr>
              <w:pStyle w:val="TableParagraph"/>
              <w:spacing w:line="144" w:lineRule="exact"/>
              <w:ind w:left="70"/>
              <w:rPr>
                <w:rFonts w:ascii="Segoe UI Symbol"/>
                <w:sz w:val="13"/>
              </w:rPr>
            </w:pPr>
            <w:r>
              <w:rPr>
                <w:rFonts w:ascii="Segoe UI Symbol"/>
                <w:color w:val="231F20"/>
                <w:sz w:val="13"/>
              </w:rPr>
              <w:t>Super</w:t>
            </w:r>
            <w:r>
              <w:rPr>
                <w:rFonts w:ascii="Segoe UI Symbol"/>
                <w:color w:val="231F20"/>
                <w:spacing w:val="-5"/>
                <w:sz w:val="13"/>
              </w:rPr>
              <w:t xml:space="preserve"> </w:t>
            </w:r>
            <w:r>
              <w:rPr>
                <w:rFonts w:ascii="Segoe UI Symbol"/>
                <w:color w:val="231F20"/>
                <w:sz w:val="13"/>
              </w:rPr>
              <w:t>18</w:t>
            </w:r>
            <w:r>
              <w:rPr>
                <w:rFonts w:ascii="Segoe UI Symbol"/>
                <w:color w:val="231F20"/>
                <w:spacing w:val="3"/>
                <w:sz w:val="13"/>
              </w:rPr>
              <w:t xml:space="preserve"> </w:t>
            </w:r>
            <w:r>
              <w:rPr>
                <w:rFonts w:ascii="Segoe UI Symbol"/>
                <w:color w:val="231F20"/>
                <w:spacing w:val="-5"/>
                <w:sz w:val="13"/>
              </w:rPr>
              <w:t>and</w:t>
            </w:r>
          </w:p>
          <w:p w14:paraId="56973143" w14:textId="77777777" w:rsidR="00AE0598" w:rsidRDefault="0069255A">
            <w:pPr>
              <w:pStyle w:val="TableParagraph"/>
              <w:spacing w:line="140" w:lineRule="exact"/>
              <w:ind w:left="70"/>
              <w:rPr>
                <w:rFonts w:ascii="Segoe UI Symbol"/>
                <w:sz w:val="13"/>
              </w:rPr>
            </w:pPr>
            <w:r>
              <w:rPr>
                <w:rFonts w:ascii="Segoe UI Symbol"/>
                <w:color w:val="231F20"/>
                <w:spacing w:val="-2"/>
                <w:w w:val="105"/>
                <w:sz w:val="13"/>
              </w:rPr>
              <w:t>forerunners#</w:t>
            </w:r>
          </w:p>
        </w:tc>
        <w:tc>
          <w:tcPr>
            <w:tcW w:w="240" w:type="dxa"/>
          </w:tcPr>
          <w:p w14:paraId="0149AA5D" w14:textId="77777777" w:rsidR="00AE0598" w:rsidRDefault="00AE0598">
            <w:pPr>
              <w:pStyle w:val="TableParagraph"/>
              <w:rPr>
                <w:rFonts w:ascii="Times New Roman"/>
                <w:sz w:val="18"/>
              </w:rPr>
            </w:pPr>
          </w:p>
        </w:tc>
        <w:tc>
          <w:tcPr>
            <w:tcW w:w="1681" w:type="dxa"/>
            <w:gridSpan w:val="7"/>
          </w:tcPr>
          <w:p w14:paraId="02196F28" w14:textId="77777777" w:rsidR="00AE0598" w:rsidRDefault="0069255A">
            <w:pPr>
              <w:pStyle w:val="TableParagraph"/>
              <w:spacing w:line="144" w:lineRule="exact"/>
              <w:ind w:left="70"/>
              <w:rPr>
                <w:rFonts w:ascii="Segoe UI Symbol"/>
                <w:sz w:val="13"/>
              </w:rPr>
            </w:pPr>
            <w:r>
              <w:rPr>
                <w:rFonts w:ascii="Segoe UI Symbol"/>
                <w:color w:val="231F20"/>
                <w:sz w:val="13"/>
              </w:rPr>
              <w:t>International</w:t>
            </w:r>
            <w:r>
              <w:rPr>
                <w:rFonts w:ascii="Segoe UI Symbol"/>
                <w:color w:val="231F20"/>
                <w:spacing w:val="25"/>
                <w:w w:val="105"/>
                <w:sz w:val="13"/>
              </w:rPr>
              <w:t xml:space="preserve"> </w:t>
            </w:r>
            <w:r>
              <w:rPr>
                <w:rFonts w:ascii="Segoe UI Symbol"/>
                <w:color w:val="231F20"/>
                <w:spacing w:val="-2"/>
                <w:w w:val="105"/>
                <w:sz w:val="13"/>
              </w:rPr>
              <w:t>fixtures</w:t>
            </w:r>
          </w:p>
          <w:p w14:paraId="24C9FBF2" w14:textId="77777777" w:rsidR="00AE0598" w:rsidRDefault="0069255A">
            <w:pPr>
              <w:pStyle w:val="TableParagraph"/>
              <w:spacing w:line="140" w:lineRule="exact"/>
              <w:ind w:left="70"/>
              <w:rPr>
                <w:rFonts w:ascii="Segoe UI Symbol"/>
                <w:sz w:val="13"/>
              </w:rPr>
            </w:pPr>
            <w:r>
              <w:rPr>
                <w:rFonts w:ascii="Segoe UI Symbol"/>
                <w:color w:val="231F20"/>
                <w:spacing w:val="-4"/>
                <w:w w:val="115"/>
                <w:sz w:val="13"/>
              </w:rPr>
              <w:t>NZRFU</w:t>
            </w:r>
          </w:p>
        </w:tc>
        <w:tc>
          <w:tcPr>
            <w:tcW w:w="240" w:type="dxa"/>
          </w:tcPr>
          <w:p w14:paraId="73D32A8B" w14:textId="77777777" w:rsidR="00AE0598" w:rsidRDefault="00AE0598">
            <w:pPr>
              <w:pStyle w:val="TableParagraph"/>
              <w:rPr>
                <w:rFonts w:ascii="Times New Roman"/>
                <w:sz w:val="18"/>
              </w:rPr>
            </w:pPr>
          </w:p>
        </w:tc>
        <w:tc>
          <w:tcPr>
            <w:tcW w:w="1197" w:type="dxa"/>
            <w:gridSpan w:val="5"/>
          </w:tcPr>
          <w:p w14:paraId="07140DD3" w14:textId="77777777" w:rsidR="00AE0598" w:rsidRDefault="0069255A">
            <w:pPr>
              <w:pStyle w:val="TableParagraph"/>
              <w:spacing w:line="153" w:lineRule="exact"/>
              <w:ind w:left="69"/>
              <w:rPr>
                <w:rFonts w:ascii="Segoe UI Symbol"/>
                <w:sz w:val="13"/>
              </w:rPr>
            </w:pPr>
            <w:r>
              <w:rPr>
                <w:rFonts w:ascii="Segoe UI Symbol"/>
                <w:color w:val="231F20"/>
                <w:spacing w:val="-4"/>
                <w:w w:val="110"/>
                <w:sz w:val="13"/>
              </w:rPr>
              <w:t>NPC*</w:t>
            </w:r>
          </w:p>
        </w:tc>
      </w:tr>
    </w:tbl>
    <w:p w14:paraId="1C55D22F" w14:textId="77777777" w:rsidR="00AE0598" w:rsidRDefault="00AE0598">
      <w:pPr>
        <w:pStyle w:val="Corpodetexto"/>
        <w:spacing w:before="11"/>
        <w:rPr>
          <w:sz w:val="15"/>
        </w:rPr>
      </w:pPr>
    </w:p>
    <w:p w14:paraId="236D03E8" w14:textId="0D0B7D76" w:rsidR="00AE0598" w:rsidRDefault="0069255A">
      <w:pPr>
        <w:spacing w:before="99" w:line="283" w:lineRule="auto"/>
        <w:ind w:left="108"/>
        <w:rPr>
          <w:rFonts w:ascii="Trebuchet MS" w:hAnsi="Trebuchet MS"/>
          <w:sz w:val="14"/>
        </w:rPr>
      </w:pPr>
      <w:r>
        <w:rPr>
          <w:noProof/>
        </w:rPr>
        <mc:AlternateContent>
          <mc:Choice Requires="wpg">
            <w:drawing>
              <wp:anchor distT="0" distB="0" distL="114300" distR="114300" simplePos="0" relativeHeight="483741696" behindDoc="1" locked="0" layoutInCell="1" allowOverlap="1" wp14:anchorId="4D60DEEC" wp14:editId="725DA18C">
                <wp:simplePos x="0" y="0"/>
                <wp:positionH relativeFrom="page">
                  <wp:posOffset>1315085</wp:posOffset>
                </wp:positionH>
                <wp:positionV relativeFrom="paragraph">
                  <wp:posOffset>-1889760</wp:posOffset>
                </wp:positionV>
                <wp:extent cx="3348990" cy="1769110"/>
                <wp:effectExtent l="0" t="0" r="0" b="0"/>
                <wp:wrapNone/>
                <wp:docPr id="102" name="docshapegroup2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348990" cy="1769110"/>
                          <a:chOff x="2071" y="-2976"/>
                          <a:chExt cx="5274" cy="2786"/>
                        </a:xfrm>
                      </wpg:grpSpPr>
                      <wps:wsp>
                        <wps:cNvPr id="103" name="docshape258"/>
                        <wps:cNvSpPr>
                          <a:spLocks/>
                        </wps:cNvSpPr>
                        <wps:spPr bwMode="auto">
                          <a:xfrm>
                            <a:off x="2550" y="-497"/>
                            <a:ext cx="234" cy="308"/>
                          </a:xfrm>
                          <a:custGeom>
                            <a:avLst/>
                            <a:gdLst>
                              <a:gd name="T0" fmla="+- 0 2784 2551"/>
                              <a:gd name="T1" fmla="*/ T0 w 234"/>
                              <a:gd name="T2" fmla="+- 0 -497 -497"/>
                              <a:gd name="T3" fmla="*/ -497 h 308"/>
                              <a:gd name="T4" fmla="+- 0 2716 2551"/>
                              <a:gd name="T5" fmla="*/ T4 w 234"/>
                              <a:gd name="T6" fmla="+- 0 -497 -497"/>
                              <a:gd name="T7" fmla="*/ -497 h 308"/>
                              <a:gd name="T8" fmla="+- 0 2551 2551"/>
                              <a:gd name="T9" fmla="*/ T8 w 234"/>
                              <a:gd name="T10" fmla="+- 0 -497 -497"/>
                              <a:gd name="T11" fmla="*/ -497 h 308"/>
                              <a:gd name="T12" fmla="+- 0 2551 2551"/>
                              <a:gd name="T13" fmla="*/ T12 w 234"/>
                              <a:gd name="T14" fmla="+- 0 -190 -497"/>
                              <a:gd name="T15" fmla="*/ -190 h 308"/>
                              <a:gd name="T16" fmla="+- 0 2784 2551"/>
                              <a:gd name="T17" fmla="*/ T16 w 234"/>
                              <a:gd name="T18" fmla="+- 0 -190 -497"/>
                              <a:gd name="T19" fmla="*/ -190 h 308"/>
                              <a:gd name="T20" fmla="+- 0 2784 2551"/>
                              <a:gd name="T21" fmla="*/ T20 w 234"/>
                              <a:gd name="T22" fmla="+- 0 -497 -497"/>
                              <a:gd name="T23" fmla="*/ -497 h 308"/>
                            </a:gdLst>
                            <a:ahLst/>
                            <a:cxnLst>
                              <a:cxn ang="0">
                                <a:pos x="T1" y="T3"/>
                              </a:cxn>
                              <a:cxn ang="0">
                                <a:pos x="T5" y="T7"/>
                              </a:cxn>
                              <a:cxn ang="0">
                                <a:pos x="T9" y="T11"/>
                              </a:cxn>
                              <a:cxn ang="0">
                                <a:pos x="T13" y="T15"/>
                              </a:cxn>
                              <a:cxn ang="0">
                                <a:pos x="T17" y="T19"/>
                              </a:cxn>
                              <a:cxn ang="0">
                                <a:pos x="T21" y="T23"/>
                              </a:cxn>
                            </a:cxnLst>
                            <a:rect l="0" t="0" r="r" b="b"/>
                            <a:pathLst>
                              <a:path w="234" h="308">
                                <a:moveTo>
                                  <a:pt x="233" y="0"/>
                                </a:moveTo>
                                <a:lnTo>
                                  <a:pt x="165" y="0"/>
                                </a:lnTo>
                                <a:lnTo>
                                  <a:pt x="0" y="0"/>
                                </a:lnTo>
                                <a:lnTo>
                                  <a:pt x="0" y="307"/>
                                </a:lnTo>
                                <a:lnTo>
                                  <a:pt x="233" y="307"/>
                                </a:lnTo>
                                <a:lnTo>
                                  <a:pt x="233" y="0"/>
                                </a:lnTo>
                                <a:close/>
                              </a:path>
                            </a:pathLst>
                          </a:custGeom>
                          <a:solidFill>
                            <a:srgbClr val="80828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04" name="docshape259"/>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2070" y="-2976"/>
                            <a:ext cx="4726" cy="27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05" name="docshape260"/>
                        <wps:cNvSpPr>
                          <a:spLocks/>
                        </wps:cNvSpPr>
                        <wps:spPr bwMode="auto">
                          <a:xfrm>
                            <a:off x="4951" y="-2785"/>
                            <a:ext cx="2394" cy="1138"/>
                          </a:xfrm>
                          <a:custGeom>
                            <a:avLst/>
                            <a:gdLst>
                              <a:gd name="T0" fmla="+- 0 5195 4951"/>
                              <a:gd name="T1" fmla="*/ T0 w 2394"/>
                              <a:gd name="T2" fmla="+- 0 -2212 -2784"/>
                              <a:gd name="T3" fmla="*/ -2212 h 1138"/>
                              <a:gd name="T4" fmla="+- 0 5020 4951"/>
                              <a:gd name="T5" fmla="*/ T4 w 2394"/>
                              <a:gd name="T6" fmla="+- 0 -2212 -2784"/>
                              <a:gd name="T7" fmla="*/ -2212 h 1138"/>
                              <a:gd name="T8" fmla="+- 0 4951 4951"/>
                              <a:gd name="T9" fmla="*/ T8 w 2394"/>
                              <a:gd name="T10" fmla="+- 0 -2212 -2784"/>
                              <a:gd name="T11" fmla="*/ -2212 h 1138"/>
                              <a:gd name="T12" fmla="+- 0 4951 4951"/>
                              <a:gd name="T13" fmla="*/ T12 w 2394"/>
                              <a:gd name="T14" fmla="+- 0 -2028 -2784"/>
                              <a:gd name="T15" fmla="*/ -2028 h 1138"/>
                              <a:gd name="T16" fmla="+- 0 5195 4951"/>
                              <a:gd name="T17" fmla="*/ T16 w 2394"/>
                              <a:gd name="T18" fmla="+- 0 -2028 -2784"/>
                              <a:gd name="T19" fmla="*/ -2028 h 1138"/>
                              <a:gd name="T20" fmla="+- 0 5195 4951"/>
                              <a:gd name="T21" fmla="*/ T20 w 2394"/>
                              <a:gd name="T22" fmla="+- 0 -2212 -2784"/>
                              <a:gd name="T23" fmla="*/ -2212 h 1138"/>
                              <a:gd name="T24" fmla="+- 0 5195 4951"/>
                              <a:gd name="T25" fmla="*/ T24 w 2394"/>
                              <a:gd name="T26" fmla="+- 0 -2784 -2784"/>
                              <a:gd name="T27" fmla="*/ -2784 h 1138"/>
                              <a:gd name="T28" fmla="+- 0 5020 4951"/>
                              <a:gd name="T29" fmla="*/ T28 w 2394"/>
                              <a:gd name="T30" fmla="+- 0 -2784 -2784"/>
                              <a:gd name="T31" fmla="*/ -2784 h 1138"/>
                              <a:gd name="T32" fmla="+- 0 4951 4951"/>
                              <a:gd name="T33" fmla="*/ T32 w 2394"/>
                              <a:gd name="T34" fmla="+- 0 -2784 -2784"/>
                              <a:gd name="T35" fmla="*/ -2784 h 1138"/>
                              <a:gd name="T36" fmla="+- 0 4951 4951"/>
                              <a:gd name="T37" fmla="*/ T36 w 2394"/>
                              <a:gd name="T38" fmla="+- 0 -2213 -2784"/>
                              <a:gd name="T39" fmla="*/ -2213 h 1138"/>
                              <a:gd name="T40" fmla="+- 0 5195 4951"/>
                              <a:gd name="T41" fmla="*/ T40 w 2394"/>
                              <a:gd name="T42" fmla="+- 0 -2213 -2784"/>
                              <a:gd name="T43" fmla="*/ -2213 h 1138"/>
                              <a:gd name="T44" fmla="+- 0 5195 4951"/>
                              <a:gd name="T45" fmla="*/ T44 w 2394"/>
                              <a:gd name="T46" fmla="+- 0 -2784 -2784"/>
                              <a:gd name="T47" fmla="*/ -2784 h 1138"/>
                              <a:gd name="T48" fmla="+- 0 5665 4951"/>
                              <a:gd name="T49" fmla="*/ T48 w 2394"/>
                              <a:gd name="T50" fmla="+- 0 -1832 -2784"/>
                              <a:gd name="T51" fmla="*/ -1832 h 1138"/>
                              <a:gd name="T52" fmla="+- 0 5407 4951"/>
                              <a:gd name="T53" fmla="*/ T52 w 2394"/>
                              <a:gd name="T54" fmla="+- 0 -1832 -2784"/>
                              <a:gd name="T55" fmla="*/ -1832 h 1138"/>
                              <a:gd name="T56" fmla="+- 0 5202 4951"/>
                              <a:gd name="T57" fmla="*/ T56 w 2394"/>
                              <a:gd name="T58" fmla="+- 0 -1832 -2784"/>
                              <a:gd name="T59" fmla="*/ -1832 h 1138"/>
                              <a:gd name="T60" fmla="+- 0 5202 4951"/>
                              <a:gd name="T61" fmla="*/ T60 w 2394"/>
                              <a:gd name="T62" fmla="+- 0 -1647 -2784"/>
                              <a:gd name="T63" fmla="*/ -1647 h 1138"/>
                              <a:gd name="T64" fmla="+- 0 5665 4951"/>
                              <a:gd name="T65" fmla="*/ T64 w 2394"/>
                              <a:gd name="T66" fmla="+- 0 -1647 -2784"/>
                              <a:gd name="T67" fmla="*/ -1647 h 1138"/>
                              <a:gd name="T68" fmla="+- 0 5665 4951"/>
                              <a:gd name="T69" fmla="*/ T68 w 2394"/>
                              <a:gd name="T70" fmla="+- 0 -1832 -2784"/>
                              <a:gd name="T71" fmla="*/ -1832 h 1138"/>
                              <a:gd name="T72" fmla="+- 0 5961 4951"/>
                              <a:gd name="T73" fmla="*/ T72 w 2394"/>
                              <a:gd name="T74" fmla="+- 0 -2372 -2784"/>
                              <a:gd name="T75" fmla="*/ -2372 h 1138"/>
                              <a:gd name="T76" fmla="+- 0 5892 4951"/>
                              <a:gd name="T77" fmla="*/ T76 w 2394"/>
                              <a:gd name="T78" fmla="+- 0 -2372 -2784"/>
                              <a:gd name="T79" fmla="*/ -2372 h 1138"/>
                              <a:gd name="T80" fmla="+- 0 5892 4951"/>
                              <a:gd name="T81" fmla="*/ T80 w 2394"/>
                              <a:gd name="T82" fmla="+- 0 -2250 -2784"/>
                              <a:gd name="T83" fmla="*/ -2250 h 1138"/>
                              <a:gd name="T84" fmla="+- 0 5961 4951"/>
                              <a:gd name="T85" fmla="*/ T84 w 2394"/>
                              <a:gd name="T86" fmla="+- 0 -2250 -2784"/>
                              <a:gd name="T87" fmla="*/ -2250 h 1138"/>
                              <a:gd name="T88" fmla="+- 0 5961 4951"/>
                              <a:gd name="T89" fmla="*/ T88 w 2394"/>
                              <a:gd name="T90" fmla="+- 0 -2372 -2784"/>
                              <a:gd name="T91" fmla="*/ -2372 h 1138"/>
                              <a:gd name="T92" fmla="+- 0 6865 4951"/>
                              <a:gd name="T93" fmla="*/ T92 w 2394"/>
                              <a:gd name="T94" fmla="+- 0 -2372 -2784"/>
                              <a:gd name="T95" fmla="*/ -2372 h 1138"/>
                              <a:gd name="T96" fmla="+- 0 6796 4951"/>
                              <a:gd name="T97" fmla="*/ T96 w 2394"/>
                              <a:gd name="T98" fmla="+- 0 -2372 -2784"/>
                              <a:gd name="T99" fmla="*/ -2372 h 1138"/>
                              <a:gd name="T100" fmla="+- 0 6796 4951"/>
                              <a:gd name="T101" fmla="*/ T100 w 2394"/>
                              <a:gd name="T102" fmla="+- 0 -2250 -2784"/>
                              <a:gd name="T103" fmla="*/ -2250 h 1138"/>
                              <a:gd name="T104" fmla="+- 0 6865 4951"/>
                              <a:gd name="T105" fmla="*/ T104 w 2394"/>
                              <a:gd name="T106" fmla="+- 0 -2250 -2784"/>
                              <a:gd name="T107" fmla="*/ -2250 h 1138"/>
                              <a:gd name="T108" fmla="+- 0 6865 4951"/>
                              <a:gd name="T109" fmla="*/ T108 w 2394"/>
                              <a:gd name="T110" fmla="+- 0 -2372 -2784"/>
                              <a:gd name="T111" fmla="*/ -2372 h 1138"/>
                              <a:gd name="T112" fmla="+- 0 7345 4951"/>
                              <a:gd name="T113" fmla="*/ T112 w 2394"/>
                              <a:gd name="T114" fmla="+- 0 -2022 -2784"/>
                              <a:gd name="T115" fmla="*/ -2022 h 1138"/>
                              <a:gd name="T116" fmla="+- 0 7276 4951"/>
                              <a:gd name="T117" fmla="*/ T116 w 2394"/>
                              <a:gd name="T118" fmla="+- 0 -2022 -2784"/>
                              <a:gd name="T119" fmla="*/ -2022 h 1138"/>
                              <a:gd name="T120" fmla="+- 0 6631 4951"/>
                              <a:gd name="T121" fmla="*/ T120 w 2394"/>
                              <a:gd name="T122" fmla="+- 0 -2022 -2784"/>
                              <a:gd name="T123" fmla="*/ -2022 h 1138"/>
                              <a:gd name="T124" fmla="+- 0 6631 4951"/>
                              <a:gd name="T125" fmla="*/ T124 w 2394"/>
                              <a:gd name="T126" fmla="+- 0 -1838 -2784"/>
                              <a:gd name="T127" fmla="*/ -1838 h 1138"/>
                              <a:gd name="T128" fmla="+- 0 7345 4951"/>
                              <a:gd name="T129" fmla="*/ T128 w 2394"/>
                              <a:gd name="T130" fmla="+- 0 -1838 -2784"/>
                              <a:gd name="T131" fmla="*/ -1838 h 1138"/>
                              <a:gd name="T132" fmla="+- 0 7345 4951"/>
                              <a:gd name="T133" fmla="*/ T132 w 2394"/>
                              <a:gd name="T134" fmla="+- 0 -2022 -2784"/>
                              <a:gd name="T135" fmla="*/ -2022 h 113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Lst>
                            <a:rect l="0" t="0" r="r" b="b"/>
                            <a:pathLst>
                              <a:path w="2394" h="1138">
                                <a:moveTo>
                                  <a:pt x="244" y="572"/>
                                </a:moveTo>
                                <a:lnTo>
                                  <a:pt x="69" y="572"/>
                                </a:lnTo>
                                <a:lnTo>
                                  <a:pt x="0" y="572"/>
                                </a:lnTo>
                                <a:lnTo>
                                  <a:pt x="0" y="756"/>
                                </a:lnTo>
                                <a:lnTo>
                                  <a:pt x="244" y="756"/>
                                </a:lnTo>
                                <a:lnTo>
                                  <a:pt x="244" y="572"/>
                                </a:lnTo>
                                <a:close/>
                                <a:moveTo>
                                  <a:pt x="244" y="0"/>
                                </a:moveTo>
                                <a:lnTo>
                                  <a:pt x="69" y="0"/>
                                </a:lnTo>
                                <a:lnTo>
                                  <a:pt x="0" y="0"/>
                                </a:lnTo>
                                <a:lnTo>
                                  <a:pt x="0" y="571"/>
                                </a:lnTo>
                                <a:lnTo>
                                  <a:pt x="244" y="571"/>
                                </a:lnTo>
                                <a:lnTo>
                                  <a:pt x="244" y="0"/>
                                </a:lnTo>
                                <a:close/>
                                <a:moveTo>
                                  <a:pt x="714" y="952"/>
                                </a:moveTo>
                                <a:lnTo>
                                  <a:pt x="456" y="952"/>
                                </a:lnTo>
                                <a:lnTo>
                                  <a:pt x="251" y="952"/>
                                </a:lnTo>
                                <a:lnTo>
                                  <a:pt x="251" y="1137"/>
                                </a:lnTo>
                                <a:lnTo>
                                  <a:pt x="714" y="1137"/>
                                </a:lnTo>
                                <a:lnTo>
                                  <a:pt x="714" y="952"/>
                                </a:lnTo>
                                <a:close/>
                                <a:moveTo>
                                  <a:pt x="1010" y="412"/>
                                </a:moveTo>
                                <a:lnTo>
                                  <a:pt x="941" y="412"/>
                                </a:lnTo>
                                <a:lnTo>
                                  <a:pt x="941" y="534"/>
                                </a:lnTo>
                                <a:lnTo>
                                  <a:pt x="1010" y="534"/>
                                </a:lnTo>
                                <a:lnTo>
                                  <a:pt x="1010" y="412"/>
                                </a:lnTo>
                                <a:close/>
                                <a:moveTo>
                                  <a:pt x="1914" y="412"/>
                                </a:moveTo>
                                <a:lnTo>
                                  <a:pt x="1845" y="412"/>
                                </a:lnTo>
                                <a:lnTo>
                                  <a:pt x="1845" y="534"/>
                                </a:lnTo>
                                <a:lnTo>
                                  <a:pt x="1914" y="534"/>
                                </a:lnTo>
                                <a:lnTo>
                                  <a:pt x="1914" y="412"/>
                                </a:lnTo>
                                <a:close/>
                                <a:moveTo>
                                  <a:pt x="2394" y="762"/>
                                </a:moveTo>
                                <a:lnTo>
                                  <a:pt x="2325" y="762"/>
                                </a:lnTo>
                                <a:lnTo>
                                  <a:pt x="1680" y="762"/>
                                </a:lnTo>
                                <a:lnTo>
                                  <a:pt x="1680" y="946"/>
                                </a:lnTo>
                                <a:lnTo>
                                  <a:pt x="2394" y="946"/>
                                </a:lnTo>
                                <a:lnTo>
                                  <a:pt x="2394" y="762"/>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06" name="docshape26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4464" y="-1260"/>
                            <a:ext cx="487" cy="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07" name="docshape262"/>
                        <wps:cNvSpPr>
                          <a:spLocks/>
                        </wps:cNvSpPr>
                        <wps:spPr bwMode="auto">
                          <a:xfrm>
                            <a:off x="6144" y="-879"/>
                            <a:ext cx="727" cy="185"/>
                          </a:xfrm>
                          <a:custGeom>
                            <a:avLst/>
                            <a:gdLst>
                              <a:gd name="T0" fmla="+- 0 6871 6145"/>
                              <a:gd name="T1" fmla="*/ T0 w 727"/>
                              <a:gd name="T2" fmla="+- 0 -879 -879"/>
                              <a:gd name="T3" fmla="*/ -879 h 185"/>
                              <a:gd name="T4" fmla="+- 0 6865 6145"/>
                              <a:gd name="T5" fmla="*/ T4 w 727"/>
                              <a:gd name="T6" fmla="+- 0 -879 -879"/>
                              <a:gd name="T7" fmla="*/ -879 h 185"/>
                              <a:gd name="T8" fmla="+- 0 6865 6145"/>
                              <a:gd name="T9" fmla="*/ T8 w 727"/>
                              <a:gd name="T10" fmla="+- 0 -878 -879"/>
                              <a:gd name="T11" fmla="*/ -878 h 185"/>
                              <a:gd name="T12" fmla="+- 0 6631 6145"/>
                              <a:gd name="T13" fmla="*/ T12 w 727"/>
                              <a:gd name="T14" fmla="+- 0 -878 -879"/>
                              <a:gd name="T15" fmla="*/ -878 h 185"/>
                              <a:gd name="T16" fmla="+- 0 6631 6145"/>
                              <a:gd name="T17" fmla="*/ T16 w 727"/>
                              <a:gd name="T18" fmla="+- 0 -879 -879"/>
                              <a:gd name="T19" fmla="*/ -879 h 185"/>
                              <a:gd name="T20" fmla="+- 0 6625 6145"/>
                              <a:gd name="T21" fmla="*/ T20 w 727"/>
                              <a:gd name="T22" fmla="+- 0 -879 -879"/>
                              <a:gd name="T23" fmla="*/ -879 h 185"/>
                              <a:gd name="T24" fmla="+- 0 6625 6145"/>
                              <a:gd name="T25" fmla="*/ T24 w 727"/>
                              <a:gd name="T26" fmla="+- 0 -878 -879"/>
                              <a:gd name="T27" fmla="*/ -878 h 185"/>
                              <a:gd name="T28" fmla="+- 0 6391 6145"/>
                              <a:gd name="T29" fmla="*/ T28 w 727"/>
                              <a:gd name="T30" fmla="+- 0 -878 -879"/>
                              <a:gd name="T31" fmla="*/ -878 h 185"/>
                              <a:gd name="T32" fmla="+- 0 6391 6145"/>
                              <a:gd name="T33" fmla="*/ T32 w 727"/>
                              <a:gd name="T34" fmla="+- 0 -879 -879"/>
                              <a:gd name="T35" fmla="*/ -879 h 185"/>
                              <a:gd name="T36" fmla="+- 0 6385 6145"/>
                              <a:gd name="T37" fmla="*/ T36 w 727"/>
                              <a:gd name="T38" fmla="+- 0 -879 -879"/>
                              <a:gd name="T39" fmla="*/ -879 h 185"/>
                              <a:gd name="T40" fmla="+- 0 6385 6145"/>
                              <a:gd name="T41" fmla="*/ T40 w 727"/>
                              <a:gd name="T42" fmla="+- 0 -878 -879"/>
                              <a:gd name="T43" fmla="*/ -878 h 185"/>
                              <a:gd name="T44" fmla="+- 0 6151 6145"/>
                              <a:gd name="T45" fmla="*/ T44 w 727"/>
                              <a:gd name="T46" fmla="+- 0 -878 -879"/>
                              <a:gd name="T47" fmla="*/ -878 h 185"/>
                              <a:gd name="T48" fmla="+- 0 6151 6145"/>
                              <a:gd name="T49" fmla="*/ T48 w 727"/>
                              <a:gd name="T50" fmla="+- 0 -879 -879"/>
                              <a:gd name="T51" fmla="*/ -879 h 185"/>
                              <a:gd name="T52" fmla="+- 0 6145 6145"/>
                              <a:gd name="T53" fmla="*/ T52 w 727"/>
                              <a:gd name="T54" fmla="+- 0 -879 -879"/>
                              <a:gd name="T55" fmla="*/ -879 h 185"/>
                              <a:gd name="T56" fmla="+- 0 6145 6145"/>
                              <a:gd name="T57" fmla="*/ T56 w 727"/>
                              <a:gd name="T58" fmla="+- 0 -694 -879"/>
                              <a:gd name="T59" fmla="*/ -694 h 185"/>
                              <a:gd name="T60" fmla="+- 0 6871 6145"/>
                              <a:gd name="T61" fmla="*/ T60 w 727"/>
                              <a:gd name="T62" fmla="+- 0 -694 -879"/>
                              <a:gd name="T63" fmla="*/ -694 h 185"/>
                              <a:gd name="T64" fmla="+- 0 6871 6145"/>
                              <a:gd name="T65" fmla="*/ T64 w 727"/>
                              <a:gd name="T66" fmla="+- 0 -879 -879"/>
                              <a:gd name="T67" fmla="*/ -879 h 18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727" h="185">
                                <a:moveTo>
                                  <a:pt x="726" y="0"/>
                                </a:moveTo>
                                <a:lnTo>
                                  <a:pt x="720" y="0"/>
                                </a:lnTo>
                                <a:lnTo>
                                  <a:pt x="720" y="1"/>
                                </a:lnTo>
                                <a:lnTo>
                                  <a:pt x="486" y="1"/>
                                </a:lnTo>
                                <a:lnTo>
                                  <a:pt x="486" y="0"/>
                                </a:lnTo>
                                <a:lnTo>
                                  <a:pt x="480" y="0"/>
                                </a:lnTo>
                                <a:lnTo>
                                  <a:pt x="480" y="1"/>
                                </a:lnTo>
                                <a:lnTo>
                                  <a:pt x="246" y="1"/>
                                </a:lnTo>
                                <a:lnTo>
                                  <a:pt x="246" y="0"/>
                                </a:lnTo>
                                <a:lnTo>
                                  <a:pt x="240" y="0"/>
                                </a:lnTo>
                                <a:lnTo>
                                  <a:pt x="240" y="1"/>
                                </a:lnTo>
                                <a:lnTo>
                                  <a:pt x="6" y="1"/>
                                </a:lnTo>
                                <a:lnTo>
                                  <a:pt x="6" y="0"/>
                                </a:lnTo>
                                <a:lnTo>
                                  <a:pt x="0" y="0"/>
                                </a:lnTo>
                                <a:lnTo>
                                  <a:pt x="0" y="185"/>
                                </a:lnTo>
                                <a:lnTo>
                                  <a:pt x="726" y="185"/>
                                </a:lnTo>
                                <a:lnTo>
                                  <a:pt x="726" y="0"/>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9DAEACA" id="docshapegroup257" o:spid="_x0000_s1026" style="position:absolute;margin-left:103.55pt;margin-top:-148.8pt;width:263.7pt;height:139.3pt;z-index:-19574784;mso-position-horizontal-relative:page" coordorigin="2071,-2976" coordsize="5274,27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">
                <v:shape id="docshape258" o:spid="_x0000_s1027" style="position:absolute;left:2550;top:-497;width:234;height:308;visibility:visible;mso-wrap-style:square;v-text-anchor:top" coordsize="234,3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" path="m233,l165,,,,,307r233,l233,xe" fillcolor="#808285" stroked="f">
                  <v:path arrowok="t" o:connecttype="custom" o:connectlocs="233,-497;165,-497;0,-497;0,-190;233,-190;233,-497" o:connectangles="0,0,0,0,0,0"/>
                </v:shape>
                <v:shape id="docshape259" o:spid="_x0000_s1028" type="#_x0000_t75" style="position:absolute;left:2070;top:-2976;width:4726;height:27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">
                  <v:imagedata r:id="rId42" o:title=""/>
                </v:shape>
                <v:shape id="docshape260" o:spid="_x0000_s1029" style="position:absolute;left:4951;top:-2785;width:2394;height:1138;visibility:visible;mso-wrap-style:square;v-text-anchor:top" coordsize="2394,1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" path="m244,572r-175,l,572,,756r244,l244,572xm244,l69,,,,,571r244,l244,xm714,952r-258,l251,952r,185l714,1137r,-185xm1010,412r-69,l941,534r69,l1010,412xm1914,412r-69,l1845,534r69,l1914,412xm2394,762r-69,l1680,762r,184l2394,946r,-184xe" fillcolor="#231f20" stroked="f">
                  <v:path arrowok="t" o:connecttype="custom" o:connectlocs="244,-2212;69,-2212;0,-2212;0,-2028;244,-2028;244,-2212;244,-2784;69,-2784;0,-2784;0,-2213;244,-2213;244,-2784;714,-1832;456,-1832;251,-1832;251,-1647;714,-1647;714,-1832;1010,-2372;941,-2372;941,-2250;1010,-2250;1010,-2372;1914,-2372;1845,-2372;1845,-2250;1914,-2250;1914,-2372;2394,-2022;2325,-2022;1680,-2022;1680,-1838;2394,-1838;2394,-2022" o:connectangles="0,0,0,0,0,0,0,0,0,0,0,0,0,0,0,0,0,0,0,0,0,0,0,0,0,0,0,0,0,0,0,0,0,0"/>
                </v:shape>
                <v:shape id="docshape261" o:spid="_x0000_s1030" type="#_x0000_t75" style="position:absolute;left:4464;top:-1260;width:487;height:3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">
                  <v:imagedata r:id="rId43" o:title=""/>
                </v:shape>
                <v:shape id="docshape262" o:spid="_x0000_s1031" style="position:absolute;left:6144;top:-879;width:727;height:185;visibility:visible;mso-wrap-style:square;v-text-anchor:top" coordsize="727,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" path="m726,r-6,l720,1,486,1r,-1l480,r,1l246,1r,-1l240,r,1l6,1,6,,,,,185r726,l726,xe" fillcolor="#231f20" stroked="f">
                  <v:path arrowok="t" o:connecttype="custom" o:connectlocs="726,-879;720,-879;720,-878;486,-878;486,-879;480,-879;480,-878;246,-878;246,-879;240,-879;240,-878;6,-878;6,-879;0,-879;0,-694;726,-694;726,-879" o:connectangles="0,0,0,0,0,0,0,0,0,0,0,0,0,0,0,0,0"/>
                </v:shape>
                <w10:wrap anchorx="page"/>
              </v:group>
            </w:pict>
          </mc:Fallback>
        </mc:AlternateContent>
      </w:r>
      <w:r>
        <w:rPr>
          <w:rFonts w:ascii="Trebuchet MS" w:hAnsi="Trebuchet MS"/>
          <w:b/>
          <w:color w:val="231F20"/>
          <w:sz w:val="14"/>
        </w:rPr>
        <w:t>Figure</w:t>
      </w:r>
      <w:r>
        <w:rPr>
          <w:rFonts w:ascii="Trebuchet MS" w:hAnsi="Trebuchet MS"/>
          <w:b/>
          <w:color w:val="231F20"/>
          <w:spacing w:val="40"/>
          <w:sz w:val="14"/>
        </w:rPr>
        <w:t xml:space="preserve"> </w:t>
      </w:r>
      <w:r>
        <w:rPr>
          <w:rFonts w:ascii="Trebuchet MS" w:hAnsi="Trebuchet MS"/>
          <w:b/>
          <w:color w:val="231F20"/>
          <w:sz w:val="14"/>
        </w:rPr>
        <w:t>9.1</w:t>
      </w:r>
      <w:r>
        <w:rPr>
          <w:rFonts w:ascii="Trebuchet MS" w:hAnsi="Trebuchet MS"/>
          <w:b/>
          <w:color w:val="231F20"/>
          <w:spacing w:val="72"/>
          <w:sz w:val="14"/>
        </w:rPr>
        <w:t xml:space="preserve"> </w:t>
      </w:r>
      <w:r>
        <w:rPr>
          <w:rFonts w:ascii="Trebuchet MS" w:hAnsi="Trebuchet MS"/>
          <w:color w:val="231F20"/>
          <w:sz w:val="14"/>
        </w:rPr>
        <w:t>The</w:t>
      </w:r>
      <w:r>
        <w:rPr>
          <w:rFonts w:ascii="Trebuchet MS" w:hAnsi="Trebuchet MS"/>
          <w:color w:val="231F20"/>
          <w:spacing w:val="40"/>
          <w:sz w:val="14"/>
        </w:rPr>
        <w:t xml:space="preserve"> </w:t>
      </w:r>
      <w:r>
        <w:rPr>
          <w:rFonts w:ascii="Trebuchet MS" w:hAnsi="Trebuchet MS"/>
          <w:color w:val="231F20"/>
          <w:sz w:val="14"/>
        </w:rPr>
        <w:t>expansion</w:t>
      </w:r>
      <w:r>
        <w:rPr>
          <w:rFonts w:ascii="Trebuchet MS" w:hAnsi="Trebuchet MS"/>
          <w:color w:val="231F20"/>
          <w:spacing w:val="40"/>
          <w:sz w:val="14"/>
        </w:rPr>
        <w:t xml:space="preserve"> </w:t>
      </w:r>
      <w:r>
        <w:rPr>
          <w:rFonts w:ascii="Trebuchet MS" w:hAnsi="Trebuchet MS"/>
          <w:color w:val="231F20"/>
          <w:sz w:val="14"/>
        </w:rPr>
        <w:t>of</w:t>
      </w:r>
      <w:r>
        <w:rPr>
          <w:rFonts w:ascii="Trebuchet MS" w:hAnsi="Trebuchet MS"/>
          <w:color w:val="231F20"/>
          <w:spacing w:val="40"/>
          <w:sz w:val="14"/>
        </w:rPr>
        <w:t xml:space="preserve"> </w:t>
      </w:r>
      <w:r>
        <w:rPr>
          <w:rFonts w:ascii="Trebuchet MS" w:hAnsi="Trebuchet MS"/>
          <w:color w:val="231F20"/>
          <w:sz w:val="14"/>
        </w:rPr>
        <w:t>the</w:t>
      </w:r>
      <w:r>
        <w:rPr>
          <w:rFonts w:ascii="Trebuchet MS" w:hAnsi="Trebuchet MS"/>
          <w:color w:val="231F20"/>
          <w:spacing w:val="40"/>
          <w:sz w:val="14"/>
        </w:rPr>
        <w:t xml:space="preserve"> </w:t>
      </w:r>
      <w:r>
        <w:rPr>
          <w:rFonts w:ascii="Trebuchet MS" w:hAnsi="Trebuchet MS"/>
          <w:color w:val="231F20"/>
          <w:sz w:val="14"/>
        </w:rPr>
        <w:t>New</w:t>
      </w:r>
      <w:r>
        <w:rPr>
          <w:rFonts w:ascii="Trebuchet MS" w:hAnsi="Trebuchet MS"/>
          <w:color w:val="231F20"/>
          <w:spacing w:val="40"/>
          <w:sz w:val="14"/>
        </w:rPr>
        <w:t xml:space="preserve"> </w:t>
      </w:r>
      <w:r>
        <w:rPr>
          <w:rFonts w:ascii="Trebuchet MS" w:hAnsi="Trebuchet MS"/>
          <w:color w:val="231F20"/>
          <w:sz w:val="14"/>
        </w:rPr>
        <w:t>Zealand</w:t>
      </w:r>
      <w:r>
        <w:rPr>
          <w:rFonts w:ascii="Trebuchet MS" w:hAnsi="Trebuchet MS"/>
          <w:color w:val="231F20"/>
          <w:spacing w:val="40"/>
          <w:sz w:val="14"/>
        </w:rPr>
        <w:t xml:space="preserve"> </w:t>
      </w:r>
      <w:r>
        <w:rPr>
          <w:rFonts w:ascii="Trebuchet MS" w:hAnsi="Trebuchet MS"/>
          <w:color w:val="231F20"/>
          <w:sz w:val="14"/>
        </w:rPr>
        <w:t>representative</w:t>
      </w:r>
      <w:r>
        <w:rPr>
          <w:rFonts w:ascii="Trebuchet MS" w:hAnsi="Trebuchet MS"/>
          <w:color w:val="231F20"/>
          <w:spacing w:val="40"/>
          <w:sz w:val="14"/>
        </w:rPr>
        <w:t xml:space="preserve"> </w:t>
      </w:r>
      <w:r>
        <w:rPr>
          <w:rFonts w:ascii="Trebuchet MS" w:hAnsi="Trebuchet MS"/>
          <w:color w:val="231F20"/>
          <w:sz w:val="14"/>
        </w:rPr>
        <w:t>rugby</w:t>
      </w:r>
      <w:r>
        <w:rPr>
          <w:rFonts w:ascii="Trebuchet MS" w:hAnsi="Trebuchet MS"/>
          <w:color w:val="231F20"/>
          <w:spacing w:val="40"/>
          <w:sz w:val="14"/>
        </w:rPr>
        <w:t xml:space="preserve"> </w:t>
      </w:r>
      <w:r>
        <w:rPr>
          <w:rFonts w:ascii="Trebuchet MS" w:hAnsi="Trebuchet MS"/>
          <w:color w:val="231F20"/>
          <w:sz w:val="14"/>
        </w:rPr>
        <w:t>season</w:t>
      </w:r>
      <w:r>
        <w:rPr>
          <w:rFonts w:ascii="Trebuchet MS" w:hAnsi="Trebuchet MS"/>
          <w:color w:val="231F20"/>
          <w:spacing w:val="40"/>
          <w:sz w:val="14"/>
        </w:rPr>
        <w:t xml:space="preserve"> </w:t>
      </w:r>
      <w:r>
        <w:rPr>
          <w:rFonts w:ascii="Trebuchet MS" w:hAnsi="Trebuchet MS"/>
          <w:color w:val="231F20"/>
          <w:sz w:val="14"/>
        </w:rPr>
        <w:t>(1975–2002,</w:t>
      </w:r>
      <w:r>
        <w:rPr>
          <w:rFonts w:ascii="Trebuchet MS" w:hAnsi="Trebuchet MS"/>
          <w:color w:val="231F20"/>
          <w:spacing w:val="40"/>
          <w:sz w:val="14"/>
        </w:rPr>
        <w:t xml:space="preserve"> </w:t>
      </w:r>
      <w:r>
        <w:rPr>
          <w:rFonts w:ascii="Trebuchet MS" w:hAnsi="Trebuchet MS"/>
          <w:color w:val="231F20"/>
          <w:sz w:val="14"/>
        </w:rPr>
        <w:t>2010, 2017)</w:t>
      </w:r>
      <w:r>
        <w:rPr>
          <w:rFonts w:ascii="Trebuchet MS" w:hAnsi="Trebuchet MS"/>
          <w:color w:val="231F20"/>
          <w:spacing w:val="29"/>
          <w:sz w:val="14"/>
        </w:rPr>
        <w:t xml:space="preserve"> </w:t>
      </w:r>
      <w:r>
        <w:rPr>
          <w:rFonts w:ascii="Trebuchet MS" w:hAnsi="Trebuchet MS"/>
          <w:color w:val="231F20"/>
          <w:sz w:val="14"/>
        </w:rPr>
        <w:t>(Source:</w:t>
      </w:r>
      <w:r>
        <w:rPr>
          <w:rFonts w:ascii="Trebuchet MS" w:hAnsi="Trebuchet MS"/>
          <w:color w:val="231F20"/>
          <w:spacing w:val="29"/>
          <w:sz w:val="14"/>
        </w:rPr>
        <w:t xml:space="preserve"> </w:t>
      </w:r>
      <w:r>
        <w:rPr>
          <w:rFonts w:ascii="Trebuchet MS" w:hAnsi="Trebuchet MS"/>
          <w:color w:val="231F20"/>
          <w:sz w:val="14"/>
        </w:rPr>
        <w:t>New</w:t>
      </w:r>
      <w:r>
        <w:rPr>
          <w:rFonts w:ascii="Trebuchet MS" w:hAnsi="Trebuchet MS"/>
          <w:color w:val="231F20"/>
          <w:spacing w:val="29"/>
          <w:sz w:val="14"/>
        </w:rPr>
        <w:t xml:space="preserve"> </w:t>
      </w:r>
      <w:r>
        <w:rPr>
          <w:rFonts w:ascii="Trebuchet MS" w:hAnsi="Trebuchet MS"/>
          <w:color w:val="231F20"/>
          <w:sz w:val="14"/>
        </w:rPr>
        <w:t>Zealand</w:t>
      </w:r>
      <w:r>
        <w:rPr>
          <w:rFonts w:ascii="Trebuchet MS" w:hAnsi="Trebuchet MS"/>
          <w:color w:val="231F20"/>
          <w:spacing w:val="29"/>
          <w:sz w:val="14"/>
        </w:rPr>
        <w:t xml:space="preserve"> </w:t>
      </w:r>
      <w:r>
        <w:rPr>
          <w:rFonts w:ascii="Trebuchet MS" w:hAnsi="Trebuchet MS"/>
          <w:color w:val="231F20"/>
          <w:sz w:val="14"/>
        </w:rPr>
        <w:t>Rugby</w:t>
      </w:r>
      <w:r>
        <w:rPr>
          <w:rFonts w:ascii="Trebuchet MS" w:hAnsi="Trebuchet MS"/>
          <w:color w:val="231F20"/>
          <w:spacing w:val="29"/>
          <w:sz w:val="14"/>
        </w:rPr>
        <w:t xml:space="preserve"> </w:t>
      </w:r>
      <w:r>
        <w:rPr>
          <w:rFonts w:ascii="Trebuchet MS" w:hAnsi="Trebuchet MS"/>
          <w:color w:val="231F20"/>
          <w:sz w:val="14"/>
        </w:rPr>
        <w:t>Almanac</w:t>
      </w:r>
      <w:r>
        <w:rPr>
          <w:rFonts w:ascii="Trebuchet MS" w:hAnsi="Trebuchet MS"/>
          <w:color w:val="231F20"/>
          <w:spacing w:val="29"/>
          <w:sz w:val="14"/>
        </w:rPr>
        <w:t xml:space="preserve"> </w:t>
      </w:r>
      <w:r>
        <w:rPr>
          <w:rFonts w:ascii="Trebuchet MS" w:hAnsi="Trebuchet MS"/>
          <w:color w:val="231F20"/>
          <w:sz w:val="14"/>
        </w:rPr>
        <w:t>1975–2002,</w:t>
      </w:r>
      <w:r>
        <w:rPr>
          <w:rFonts w:ascii="Trebuchet MS" w:hAnsi="Trebuchet MS"/>
          <w:color w:val="231F20"/>
          <w:spacing w:val="29"/>
          <w:sz w:val="14"/>
        </w:rPr>
        <w:t xml:space="preserve"> </w:t>
      </w:r>
      <w:r>
        <w:rPr>
          <w:rFonts w:ascii="Trebuchet MS" w:hAnsi="Trebuchet MS"/>
          <w:color w:val="231F20"/>
          <w:sz w:val="14"/>
        </w:rPr>
        <w:t>2010,</w:t>
      </w:r>
      <w:r>
        <w:rPr>
          <w:rFonts w:ascii="Trebuchet MS" w:hAnsi="Trebuchet MS"/>
          <w:color w:val="231F20"/>
          <w:spacing w:val="29"/>
          <w:sz w:val="14"/>
        </w:rPr>
        <w:t xml:space="preserve"> </w:t>
      </w:r>
      <w:r>
        <w:rPr>
          <w:rFonts w:ascii="Trebuchet MS" w:hAnsi="Trebuchet MS"/>
          <w:color w:val="231F20"/>
          <w:sz w:val="14"/>
        </w:rPr>
        <w:t>2017)</w:t>
      </w:r>
    </w:p>
    <w:p w14:paraId="283BA2EA" w14:textId="77777777" w:rsidR="00AE0598" w:rsidRDefault="0069255A">
      <w:pPr>
        <w:spacing w:before="49" w:line="161" w:lineRule="exact"/>
        <w:ind w:left="108"/>
        <w:rPr>
          <w:rFonts w:ascii="Trebuchet MS"/>
          <w:sz w:val="14"/>
        </w:rPr>
      </w:pPr>
      <w:r>
        <w:rPr>
          <w:rFonts w:ascii="Trebuchet MS"/>
          <w:color w:val="231F20"/>
          <w:w w:val="105"/>
          <w:sz w:val="14"/>
        </w:rPr>
        <w:t>Note:</w:t>
      </w:r>
      <w:r>
        <w:rPr>
          <w:rFonts w:ascii="Trebuchet MS"/>
          <w:color w:val="231F20"/>
          <w:spacing w:val="-2"/>
          <w:w w:val="105"/>
          <w:sz w:val="14"/>
        </w:rPr>
        <w:t xml:space="preserve"> </w:t>
      </w:r>
      <w:r>
        <w:rPr>
          <w:rFonts w:ascii="Trebuchet MS"/>
          <w:color w:val="231F20"/>
          <w:w w:val="105"/>
          <w:sz w:val="14"/>
        </w:rPr>
        <w:t>Years</w:t>
      </w:r>
      <w:r>
        <w:rPr>
          <w:rFonts w:ascii="Trebuchet MS"/>
          <w:color w:val="231F20"/>
          <w:spacing w:val="-1"/>
          <w:w w:val="105"/>
          <w:sz w:val="14"/>
        </w:rPr>
        <w:t xml:space="preserve"> </w:t>
      </w:r>
      <w:r>
        <w:rPr>
          <w:rFonts w:ascii="Trebuchet MS"/>
          <w:color w:val="231F20"/>
          <w:w w:val="105"/>
          <w:sz w:val="14"/>
        </w:rPr>
        <w:t>prior</w:t>
      </w:r>
      <w:r>
        <w:rPr>
          <w:rFonts w:ascii="Trebuchet MS"/>
          <w:color w:val="231F20"/>
          <w:spacing w:val="-2"/>
          <w:w w:val="105"/>
          <w:sz w:val="14"/>
        </w:rPr>
        <w:t xml:space="preserve"> </w:t>
      </w:r>
      <w:r>
        <w:rPr>
          <w:rFonts w:ascii="Trebuchet MS"/>
          <w:color w:val="231F20"/>
          <w:w w:val="105"/>
          <w:sz w:val="14"/>
        </w:rPr>
        <w:t>to</w:t>
      </w:r>
      <w:r>
        <w:rPr>
          <w:rFonts w:ascii="Trebuchet MS"/>
          <w:color w:val="231F20"/>
          <w:spacing w:val="-1"/>
          <w:w w:val="105"/>
          <w:sz w:val="14"/>
        </w:rPr>
        <w:t xml:space="preserve"> </w:t>
      </w:r>
      <w:r>
        <w:rPr>
          <w:rFonts w:ascii="Trebuchet MS"/>
          <w:color w:val="231F20"/>
          <w:w w:val="105"/>
          <w:sz w:val="14"/>
        </w:rPr>
        <w:t>1994</w:t>
      </w:r>
      <w:r>
        <w:rPr>
          <w:rFonts w:ascii="Trebuchet MS"/>
          <w:color w:val="231F20"/>
          <w:spacing w:val="-2"/>
          <w:w w:val="105"/>
          <w:sz w:val="14"/>
        </w:rPr>
        <w:t xml:space="preserve"> </w:t>
      </w:r>
      <w:r>
        <w:rPr>
          <w:rFonts w:ascii="Trebuchet MS"/>
          <w:color w:val="231F20"/>
          <w:w w:val="105"/>
          <w:sz w:val="14"/>
        </w:rPr>
        <w:t>and</w:t>
      </w:r>
      <w:r>
        <w:rPr>
          <w:rFonts w:ascii="Trebuchet MS"/>
          <w:color w:val="231F20"/>
          <w:spacing w:val="-1"/>
          <w:w w:val="105"/>
          <w:sz w:val="14"/>
        </w:rPr>
        <w:t xml:space="preserve"> </w:t>
      </w:r>
      <w:r>
        <w:rPr>
          <w:rFonts w:ascii="Trebuchet MS"/>
          <w:color w:val="231F20"/>
          <w:w w:val="105"/>
          <w:sz w:val="14"/>
        </w:rPr>
        <w:t>from</w:t>
      </w:r>
      <w:r>
        <w:rPr>
          <w:rFonts w:ascii="Trebuchet MS"/>
          <w:color w:val="231F20"/>
          <w:spacing w:val="-2"/>
          <w:w w:val="105"/>
          <w:sz w:val="14"/>
        </w:rPr>
        <w:t xml:space="preserve"> </w:t>
      </w:r>
      <w:r>
        <w:rPr>
          <w:rFonts w:ascii="Trebuchet MS"/>
          <w:color w:val="231F20"/>
          <w:w w:val="105"/>
          <w:sz w:val="14"/>
        </w:rPr>
        <w:t>2002</w:t>
      </w:r>
      <w:r>
        <w:rPr>
          <w:rFonts w:ascii="Trebuchet MS"/>
          <w:color w:val="231F20"/>
          <w:spacing w:val="-1"/>
          <w:w w:val="105"/>
          <w:sz w:val="14"/>
        </w:rPr>
        <w:t xml:space="preserve"> </w:t>
      </w:r>
      <w:r>
        <w:rPr>
          <w:rFonts w:ascii="Trebuchet MS"/>
          <w:color w:val="231F20"/>
          <w:w w:val="105"/>
          <w:sz w:val="14"/>
        </w:rPr>
        <w:t>are</w:t>
      </w:r>
      <w:r>
        <w:rPr>
          <w:rFonts w:ascii="Trebuchet MS"/>
          <w:color w:val="231F20"/>
          <w:spacing w:val="-1"/>
          <w:w w:val="105"/>
          <w:sz w:val="14"/>
        </w:rPr>
        <w:t xml:space="preserve"> </w:t>
      </w:r>
      <w:r>
        <w:rPr>
          <w:rFonts w:ascii="Trebuchet MS"/>
          <w:color w:val="231F20"/>
          <w:w w:val="105"/>
          <w:sz w:val="14"/>
        </w:rPr>
        <w:t>not</w:t>
      </w:r>
      <w:r>
        <w:rPr>
          <w:rFonts w:ascii="Trebuchet MS"/>
          <w:color w:val="231F20"/>
          <w:spacing w:val="-2"/>
          <w:w w:val="105"/>
          <w:sz w:val="14"/>
        </w:rPr>
        <w:t xml:space="preserve"> </w:t>
      </w:r>
      <w:r>
        <w:rPr>
          <w:rFonts w:ascii="Trebuchet MS"/>
          <w:color w:val="231F20"/>
          <w:w w:val="105"/>
          <w:sz w:val="14"/>
        </w:rPr>
        <w:t>continuous</w:t>
      </w:r>
      <w:r>
        <w:rPr>
          <w:rFonts w:ascii="Trebuchet MS"/>
          <w:color w:val="231F20"/>
          <w:spacing w:val="-1"/>
          <w:w w:val="105"/>
          <w:sz w:val="14"/>
        </w:rPr>
        <w:t xml:space="preserve"> </w:t>
      </w:r>
      <w:r>
        <w:rPr>
          <w:rFonts w:ascii="Trebuchet MS"/>
          <w:color w:val="231F20"/>
          <w:w w:val="105"/>
          <w:sz w:val="14"/>
        </w:rPr>
        <w:t>(Source:</w:t>
      </w:r>
      <w:r>
        <w:rPr>
          <w:rFonts w:ascii="Trebuchet MS"/>
          <w:color w:val="231F20"/>
          <w:spacing w:val="-2"/>
          <w:w w:val="105"/>
          <w:sz w:val="14"/>
        </w:rPr>
        <w:t xml:space="preserve"> </w:t>
      </w:r>
      <w:r>
        <w:rPr>
          <w:rFonts w:ascii="Trebuchet MS"/>
          <w:color w:val="231F20"/>
          <w:w w:val="105"/>
          <w:sz w:val="14"/>
        </w:rPr>
        <w:t>Higham</w:t>
      </w:r>
      <w:r>
        <w:rPr>
          <w:rFonts w:ascii="Trebuchet MS"/>
          <w:color w:val="231F20"/>
          <w:spacing w:val="-1"/>
          <w:w w:val="105"/>
          <w:sz w:val="14"/>
        </w:rPr>
        <w:t xml:space="preserve"> </w:t>
      </w:r>
      <w:r>
        <w:rPr>
          <w:rFonts w:ascii="Trebuchet MS"/>
          <w:color w:val="231F20"/>
          <w:w w:val="105"/>
          <w:sz w:val="14"/>
        </w:rPr>
        <w:t>&amp;</w:t>
      </w:r>
      <w:r>
        <w:rPr>
          <w:rFonts w:ascii="Trebuchet MS"/>
          <w:color w:val="231F20"/>
          <w:spacing w:val="-2"/>
          <w:w w:val="105"/>
          <w:sz w:val="14"/>
        </w:rPr>
        <w:t xml:space="preserve"> </w:t>
      </w:r>
      <w:r>
        <w:rPr>
          <w:rFonts w:ascii="Trebuchet MS"/>
          <w:color w:val="231F20"/>
          <w:w w:val="105"/>
          <w:sz w:val="14"/>
        </w:rPr>
        <w:t>Hinch,</w:t>
      </w:r>
      <w:r>
        <w:rPr>
          <w:rFonts w:ascii="Trebuchet MS"/>
          <w:color w:val="231F20"/>
          <w:spacing w:val="-1"/>
          <w:w w:val="105"/>
          <w:sz w:val="14"/>
        </w:rPr>
        <w:t xml:space="preserve"> </w:t>
      </w:r>
      <w:r>
        <w:rPr>
          <w:rFonts w:ascii="Trebuchet MS"/>
          <w:color w:val="231F20"/>
          <w:spacing w:val="-2"/>
          <w:w w:val="105"/>
          <w:sz w:val="14"/>
        </w:rPr>
        <w:t>2002a).</w:t>
      </w:r>
    </w:p>
    <w:p w14:paraId="12E5B75D" w14:textId="77777777" w:rsidR="00AE0598" w:rsidRDefault="0069255A">
      <w:pPr>
        <w:spacing w:line="160" w:lineRule="exact"/>
        <w:ind w:left="108"/>
        <w:rPr>
          <w:rFonts w:ascii="Trebuchet MS" w:hAnsi="Trebuchet MS"/>
          <w:sz w:val="14"/>
        </w:rPr>
      </w:pPr>
      <w:r>
        <w:rPr>
          <w:rFonts w:ascii="Trebuchet MS" w:hAnsi="Trebuchet MS"/>
          <w:i/>
          <w:color w:val="231F20"/>
          <w:w w:val="105"/>
          <w:sz w:val="14"/>
        </w:rPr>
        <w:t>#</w:t>
      </w:r>
      <w:r>
        <w:rPr>
          <w:rFonts w:ascii="Trebuchet MS" w:hAnsi="Trebuchet MS"/>
          <w:color w:val="231F20"/>
          <w:w w:val="105"/>
          <w:sz w:val="14"/>
        </w:rPr>
        <w:t>Super</w:t>
      </w:r>
      <w:r>
        <w:rPr>
          <w:rFonts w:ascii="Trebuchet MS" w:hAnsi="Trebuchet MS"/>
          <w:color w:val="231F20"/>
          <w:spacing w:val="24"/>
          <w:w w:val="105"/>
          <w:sz w:val="14"/>
        </w:rPr>
        <w:t xml:space="preserve"> </w:t>
      </w:r>
      <w:r>
        <w:rPr>
          <w:rFonts w:ascii="Trebuchet MS" w:hAnsi="Trebuchet MS"/>
          <w:color w:val="231F20"/>
          <w:w w:val="105"/>
          <w:sz w:val="14"/>
        </w:rPr>
        <w:t>18</w:t>
      </w:r>
      <w:r>
        <w:rPr>
          <w:rFonts w:ascii="Trebuchet MS" w:hAnsi="Trebuchet MS"/>
          <w:color w:val="231F20"/>
          <w:spacing w:val="24"/>
          <w:w w:val="105"/>
          <w:sz w:val="14"/>
        </w:rPr>
        <w:t xml:space="preserve"> </w:t>
      </w:r>
      <w:r>
        <w:rPr>
          <w:rFonts w:ascii="Trebuchet MS" w:hAnsi="Trebuchet MS"/>
          <w:color w:val="231F20"/>
          <w:w w:val="105"/>
          <w:sz w:val="14"/>
        </w:rPr>
        <w:t>(2016–2017),</w:t>
      </w:r>
      <w:r>
        <w:rPr>
          <w:rFonts w:ascii="Trebuchet MS" w:hAnsi="Trebuchet MS"/>
          <w:color w:val="231F20"/>
          <w:spacing w:val="24"/>
          <w:w w:val="105"/>
          <w:sz w:val="14"/>
        </w:rPr>
        <w:t xml:space="preserve"> </w:t>
      </w:r>
      <w:r>
        <w:rPr>
          <w:rFonts w:ascii="Trebuchet MS" w:hAnsi="Trebuchet MS"/>
          <w:color w:val="231F20"/>
          <w:w w:val="105"/>
          <w:sz w:val="14"/>
        </w:rPr>
        <w:t>Super</w:t>
      </w:r>
      <w:r>
        <w:rPr>
          <w:rFonts w:ascii="Trebuchet MS" w:hAnsi="Trebuchet MS"/>
          <w:color w:val="231F20"/>
          <w:spacing w:val="24"/>
          <w:w w:val="105"/>
          <w:sz w:val="14"/>
        </w:rPr>
        <w:t xml:space="preserve"> </w:t>
      </w:r>
      <w:r>
        <w:rPr>
          <w:rFonts w:ascii="Trebuchet MS" w:hAnsi="Trebuchet MS"/>
          <w:color w:val="231F20"/>
          <w:w w:val="105"/>
          <w:sz w:val="14"/>
        </w:rPr>
        <w:t>15</w:t>
      </w:r>
      <w:r>
        <w:rPr>
          <w:rFonts w:ascii="Trebuchet MS" w:hAnsi="Trebuchet MS"/>
          <w:color w:val="231F20"/>
          <w:spacing w:val="24"/>
          <w:w w:val="105"/>
          <w:sz w:val="14"/>
        </w:rPr>
        <w:t xml:space="preserve"> </w:t>
      </w:r>
      <w:r>
        <w:rPr>
          <w:rFonts w:ascii="Trebuchet MS" w:hAnsi="Trebuchet MS"/>
          <w:color w:val="231F20"/>
          <w:w w:val="105"/>
          <w:sz w:val="14"/>
        </w:rPr>
        <w:t>(2012–2015),</w:t>
      </w:r>
      <w:r>
        <w:rPr>
          <w:rFonts w:ascii="Trebuchet MS" w:hAnsi="Trebuchet MS"/>
          <w:color w:val="231F20"/>
          <w:spacing w:val="24"/>
          <w:w w:val="105"/>
          <w:sz w:val="14"/>
        </w:rPr>
        <w:t xml:space="preserve"> </w:t>
      </w:r>
      <w:r>
        <w:rPr>
          <w:rFonts w:ascii="Trebuchet MS" w:hAnsi="Trebuchet MS"/>
          <w:color w:val="231F20"/>
          <w:w w:val="105"/>
          <w:sz w:val="14"/>
        </w:rPr>
        <w:t>Super</w:t>
      </w:r>
      <w:r>
        <w:rPr>
          <w:rFonts w:ascii="Trebuchet MS" w:hAnsi="Trebuchet MS"/>
          <w:color w:val="231F20"/>
          <w:spacing w:val="24"/>
          <w:w w:val="105"/>
          <w:sz w:val="14"/>
        </w:rPr>
        <w:t xml:space="preserve"> </w:t>
      </w:r>
      <w:r>
        <w:rPr>
          <w:rFonts w:ascii="Trebuchet MS" w:hAnsi="Trebuchet MS"/>
          <w:color w:val="231F20"/>
          <w:w w:val="105"/>
          <w:sz w:val="14"/>
        </w:rPr>
        <w:t>14</w:t>
      </w:r>
      <w:r>
        <w:rPr>
          <w:rFonts w:ascii="Trebuchet MS" w:hAnsi="Trebuchet MS"/>
          <w:color w:val="231F20"/>
          <w:spacing w:val="24"/>
          <w:w w:val="105"/>
          <w:sz w:val="14"/>
        </w:rPr>
        <w:t xml:space="preserve"> </w:t>
      </w:r>
      <w:r>
        <w:rPr>
          <w:rFonts w:ascii="Trebuchet MS" w:hAnsi="Trebuchet MS"/>
          <w:color w:val="231F20"/>
          <w:w w:val="105"/>
          <w:sz w:val="14"/>
        </w:rPr>
        <w:t>(2009–2011),</w:t>
      </w:r>
      <w:r>
        <w:rPr>
          <w:rFonts w:ascii="Trebuchet MS" w:hAnsi="Trebuchet MS"/>
          <w:color w:val="231F20"/>
          <w:spacing w:val="24"/>
          <w:w w:val="105"/>
          <w:sz w:val="14"/>
        </w:rPr>
        <w:t xml:space="preserve"> </w:t>
      </w:r>
      <w:r>
        <w:rPr>
          <w:rFonts w:ascii="Trebuchet MS" w:hAnsi="Trebuchet MS"/>
          <w:color w:val="231F20"/>
          <w:w w:val="105"/>
          <w:sz w:val="14"/>
        </w:rPr>
        <w:t>Rugby</w:t>
      </w:r>
      <w:r>
        <w:rPr>
          <w:rFonts w:ascii="Trebuchet MS" w:hAnsi="Trebuchet MS"/>
          <w:color w:val="231F20"/>
          <w:spacing w:val="24"/>
          <w:w w:val="105"/>
          <w:sz w:val="14"/>
        </w:rPr>
        <w:t xml:space="preserve"> </w:t>
      </w:r>
      <w:r>
        <w:rPr>
          <w:rFonts w:ascii="Trebuchet MS" w:hAnsi="Trebuchet MS"/>
          <w:color w:val="231F20"/>
          <w:w w:val="105"/>
          <w:sz w:val="14"/>
        </w:rPr>
        <w:t>Super</w:t>
      </w:r>
      <w:r>
        <w:rPr>
          <w:rFonts w:ascii="Trebuchet MS" w:hAnsi="Trebuchet MS"/>
          <w:color w:val="231F20"/>
          <w:spacing w:val="24"/>
          <w:w w:val="105"/>
          <w:sz w:val="14"/>
        </w:rPr>
        <w:t xml:space="preserve"> </w:t>
      </w:r>
      <w:r>
        <w:rPr>
          <w:rFonts w:ascii="Trebuchet MS" w:hAnsi="Trebuchet MS"/>
          <w:color w:val="231F20"/>
          <w:w w:val="105"/>
          <w:sz w:val="14"/>
        </w:rPr>
        <w:t>12</w:t>
      </w:r>
      <w:r>
        <w:rPr>
          <w:rFonts w:ascii="Trebuchet MS" w:hAnsi="Trebuchet MS"/>
          <w:color w:val="231F20"/>
          <w:spacing w:val="24"/>
          <w:w w:val="105"/>
          <w:sz w:val="14"/>
        </w:rPr>
        <w:t xml:space="preserve"> </w:t>
      </w:r>
      <w:r>
        <w:rPr>
          <w:rFonts w:ascii="Trebuchet MS" w:hAnsi="Trebuchet MS"/>
          <w:color w:val="231F20"/>
          <w:spacing w:val="-2"/>
          <w:w w:val="105"/>
          <w:sz w:val="14"/>
        </w:rPr>
        <w:t>(1996–),</w:t>
      </w:r>
    </w:p>
    <w:p w14:paraId="11B821C9" w14:textId="77777777" w:rsidR="00AE0598" w:rsidRDefault="0069255A">
      <w:pPr>
        <w:spacing w:line="160" w:lineRule="exact"/>
        <w:ind w:left="108"/>
        <w:rPr>
          <w:rFonts w:ascii="Trebuchet MS" w:hAnsi="Trebuchet MS"/>
          <w:sz w:val="14"/>
        </w:rPr>
      </w:pPr>
      <w:r>
        <w:rPr>
          <w:rFonts w:ascii="Trebuchet MS" w:hAnsi="Trebuchet MS"/>
          <w:color w:val="231F20"/>
          <w:sz w:val="14"/>
        </w:rPr>
        <w:t>Super</w:t>
      </w:r>
      <w:r>
        <w:rPr>
          <w:rFonts w:ascii="Trebuchet MS" w:hAnsi="Trebuchet MS"/>
          <w:color w:val="231F20"/>
          <w:spacing w:val="26"/>
          <w:sz w:val="14"/>
        </w:rPr>
        <w:t xml:space="preserve"> </w:t>
      </w:r>
      <w:r>
        <w:rPr>
          <w:rFonts w:ascii="Trebuchet MS" w:hAnsi="Trebuchet MS"/>
          <w:color w:val="231F20"/>
          <w:spacing w:val="-5"/>
          <w:w w:val="105"/>
          <w:sz w:val="14"/>
        </w:rPr>
        <w:t>1</w:t>
      </w:r>
      <w:r>
        <w:rPr>
          <w:rFonts w:ascii="Trebuchet MS" w:hAnsi="Trebuchet MS"/>
          <w:color w:val="231F20"/>
          <w:spacing w:val="1"/>
          <w:w w:val="105"/>
          <w:sz w:val="14"/>
        </w:rPr>
        <w:t>0</w:t>
      </w:r>
      <w:r>
        <w:rPr>
          <w:rFonts w:ascii="Trebuchet MS" w:hAnsi="Trebuchet MS"/>
          <w:color w:val="231F20"/>
          <w:spacing w:val="-1"/>
          <w:w w:val="52"/>
          <w:sz w:val="14"/>
        </w:rPr>
        <w:t>/</w:t>
      </w:r>
      <w:r>
        <w:rPr>
          <w:rFonts w:ascii="Trebuchet MS" w:hAnsi="Trebuchet MS"/>
          <w:color w:val="231F20"/>
          <w:spacing w:val="4"/>
          <w:w w:val="101"/>
          <w:sz w:val="14"/>
        </w:rPr>
        <w:t>C</w:t>
      </w:r>
      <w:r>
        <w:rPr>
          <w:rFonts w:ascii="Trebuchet MS" w:hAnsi="Trebuchet MS"/>
          <w:color w:val="231F20"/>
          <w:w w:val="121"/>
          <w:sz w:val="14"/>
        </w:rPr>
        <w:t>A</w:t>
      </w:r>
      <w:r>
        <w:rPr>
          <w:rFonts w:ascii="Trebuchet MS" w:hAnsi="Trebuchet MS"/>
          <w:color w:val="231F20"/>
          <w:spacing w:val="-1"/>
          <w:w w:val="112"/>
          <w:sz w:val="14"/>
        </w:rPr>
        <w:t>N</w:t>
      </w:r>
      <w:r>
        <w:rPr>
          <w:rFonts w:ascii="Trebuchet MS" w:hAnsi="Trebuchet MS"/>
          <w:color w:val="231F20"/>
          <w:spacing w:val="-3"/>
          <w:sz w:val="14"/>
        </w:rPr>
        <w:t>Z</w:t>
      </w:r>
      <w:r>
        <w:rPr>
          <w:rFonts w:ascii="Trebuchet MS" w:hAnsi="Trebuchet MS"/>
          <w:color w:val="231F20"/>
          <w:spacing w:val="26"/>
          <w:sz w:val="14"/>
        </w:rPr>
        <w:t xml:space="preserve"> </w:t>
      </w:r>
      <w:r>
        <w:rPr>
          <w:rFonts w:ascii="Trebuchet MS" w:hAnsi="Trebuchet MS"/>
          <w:color w:val="231F20"/>
          <w:sz w:val="14"/>
        </w:rPr>
        <w:t>(1990–1995).</w:t>
      </w:r>
      <w:r>
        <w:rPr>
          <w:rFonts w:ascii="Trebuchet MS" w:hAnsi="Trebuchet MS"/>
          <w:color w:val="231F20"/>
          <w:spacing w:val="26"/>
          <w:sz w:val="14"/>
        </w:rPr>
        <w:t xml:space="preserve"> </w:t>
      </w:r>
      <w:r>
        <w:rPr>
          <w:rFonts w:ascii="Trebuchet MS" w:hAnsi="Trebuchet MS"/>
          <w:color w:val="231F20"/>
          <w:sz w:val="14"/>
        </w:rPr>
        <w:t>Includes</w:t>
      </w:r>
      <w:r>
        <w:rPr>
          <w:rFonts w:ascii="Trebuchet MS" w:hAnsi="Trebuchet MS"/>
          <w:color w:val="231F20"/>
          <w:spacing w:val="26"/>
          <w:sz w:val="14"/>
        </w:rPr>
        <w:t xml:space="preserve"> </w:t>
      </w:r>
      <w:r>
        <w:rPr>
          <w:rFonts w:ascii="Trebuchet MS" w:hAnsi="Trebuchet MS"/>
          <w:color w:val="231F20"/>
          <w:sz w:val="14"/>
        </w:rPr>
        <w:t>preseason</w:t>
      </w:r>
      <w:r>
        <w:rPr>
          <w:rFonts w:ascii="Trebuchet MS" w:hAnsi="Trebuchet MS"/>
          <w:color w:val="231F20"/>
          <w:spacing w:val="26"/>
          <w:sz w:val="14"/>
        </w:rPr>
        <w:t xml:space="preserve"> </w:t>
      </w:r>
      <w:r>
        <w:rPr>
          <w:rFonts w:ascii="Trebuchet MS" w:hAnsi="Trebuchet MS"/>
          <w:color w:val="231F20"/>
          <w:sz w:val="14"/>
        </w:rPr>
        <w:t>warm</w:t>
      </w:r>
      <w:r>
        <w:rPr>
          <w:rFonts w:ascii="Trebuchet MS" w:hAnsi="Trebuchet MS"/>
          <w:color w:val="231F20"/>
          <w:spacing w:val="27"/>
          <w:sz w:val="14"/>
        </w:rPr>
        <w:t xml:space="preserve"> </w:t>
      </w:r>
      <w:r>
        <w:rPr>
          <w:rFonts w:ascii="Trebuchet MS" w:hAnsi="Trebuchet MS"/>
          <w:color w:val="231F20"/>
          <w:sz w:val="14"/>
        </w:rPr>
        <w:t>up</w:t>
      </w:r>
      <w:r>
        <w:rPr>
          <w:rFonts w:ascii="Trebuchet MS" w:hAnsi="Trebuchet MS"/>
          <w:color w:val="231F20"/>
          <w:spacing w:val="26"/>
          <w:sz w:val="14"/>
        </w:rPr>
        <w:t xml:space="preserve"> </w:t>
      </w:r>
      <w:r>
        <w:rPr>
          <w:rFonts w:ascii="Trebuchet MS" w:hAnsi="Trebuchet MS"/>
          <w:color w:val="231F20"/>
          <w:spacing w:val="-2"/>
          <w:sz w:val="14"/>
        </w:rPr>
        <w:t>games.</w:t>
      </w:r>
    </w:p>
    <w:p w14:paraId="5FF4DBEF" w14:textId="77777777" w:rsidR="00AE0598" w:rsidRDefault="0069255A">
      <w:pPr>
        <w:spacing w:before="1" w:line="235" w:lineRule="auto"/>
        <w:ind w:left="108"/>
        <w:rPr>
          <w:rFonts w:ascii="Trebuchet MS"/>
          <w:sz w:val="14"/>
        </w:rPr>
      </w:pPr>
      <w:r>
        <w:rPr>
          <w:rFonts w:ascii="Trebuchet MS"/>
          <w:color w:val="231F20"/>
          <w:spacing w:val="-2"/>
          <w:w w:val="148"/>
          <w:sz w:val="14"/>
        </w:rPr>
        <w:t>*</w:t>
      </w:r>
      <w:r>
        <w:rPr>
          <w:rFonts w:ascii="Trebuchet MS"/>
          <w:color w:val="231F20"/>
          <w:spacing w:val="1"/>
          <w:w w:val="110"/>
          <w:sz w:val="14"/>
        </w:rPr>
        <w:t>N</w:t>
      </w:r>
      <w:r>
        <w:rPr>
          <w:rFonts w:ascii="Trebuchet MS"/>
          <w:color w:val="231F20"/>
          <w:spacing w:val="2"/>
          <w:w w:val="96"/>
          <w:sz w:val="14"/>
        </w:rPr>
        <w:t>P</w:t>
      </w:r>
      <w:r>
        <w:rPr>
          <w:rFonts w:ascii="Trebuchet MS"/>
          <w:color w:val="231F20"/>
          <w:w w:val="99"/>
          <w:sz w:val="14"/>
        </w:rPr>
        <w:t>C</w:t>
      </w:r>
      <w:r>
        <w:rPr>
          <w:rFonts w:ascii="Trebuchet MS"/>
          <w:color w:val="231F20"/>
          <w:spacing w:val="-2"/>
          <w:w w:val="72"/>
          <w:sz w:val="14"/>
        </w:rPr>
        <w:t>:</w:t>
      </w:r>
      <w:r>
        <w:rPr>
          <w:rFonts w:ascii="Trebuchet MS"/>
          <w:color w:val="231F20"/>
          <w:spacing w:val="-1"/>
          <w:w w:val="105"/>
          <w:sz w:val="14"/>
        </w:rPr>
        <w:t xml:space="preserve"> </w:t>
      </w:r>
      <w:r>
        <w:rPr>
          <w:rFonts w:ascii="Trebuchet MS"/>
          <w:color w:val="231F20"/>
          <w:w w:val="105"/>
          <w:sz w:val="14"/>
        </w:rPr>
        <w:t>National Provincial Championship (now overlaps with Rugby Championship (international); RWC: Rugby World Cup.</w:t>
      </w:r>
    </w:p>
    <w:p w14:paraId="4FA63757" w14:textId="77777777" w:rsidR="00AE0598" w:rsidRDefault="00AE0598">
      <w:pPr>
        <w:spacing w:line="235" w:lineRule="auto"/>
        <w:rPr>
          <w:rFonts w:ascii="Trebuchet MS"/>
          <w:sz w:val="14"/>
        </w:rPr>
        <w:sectPr w:rsidR="00AE0598">
          <w:pgSz w:w="8850" w:h="13270"/>
          <w:pgMar w:top="720" w:right="1060" w:bottom="280" w:left="1080" w:header="720" w:footer="720" w:gutter="0"/>
          <w:cols w:space="720"/>
        </w:sectPr>
      </w:pPr>
    </w:p>
    <w:p w14:paraId="36A5E471" w14:textId="77777777" w:rsidR="00AE0598" w:rsidRDefault="0069255A">
      <w:pPr>
        <w:spacing w:before="87"/>
        <w:ind w:left="4213"/>
        <w:rPr>
          <w:rFonts w:ascii="Trebuchet MS"/>
          <w:sz w:val="14"/>
        </w:rPr>
      </w:pPr>
      <w:r>
        <w:rPr>
          <w:rFonts w:ascii="Trebuchet MS"/>
          <w:color w:val="231F20"/>
          <w:w w:val="105"/>
          <w:sz w:val="14"/>
        </w:rPr>
        <w:lastRenderedPageBreak/>
        <w:t>Seasonality,</w:t>
      </w:r>
      <w:r>
        <w:rPr>
          <w:rFonts w:ascii="Trebuchet MS"/>
          <w:color w:val="231F20"/>
          <w:spacing w:val="-12"/>
          <w:w w:val="105"/>
          <w:sz w:val="14"/>
        </w:rPr>
        <w:t xml:space="preserve"> </w:t>
      </w:r>
      <w:r>
        <w:rPr>
          <w:rFonts w:ascii="Trebuchet MS"/>
          <w:color w:val="231F20"/>
          <w:w w:val="105"/>
          <w:sz w:val="14"/>
        </w:rPr>
        <w:t>Sport</w:t>
      </w:r>
      <w:r>
        <w:rPr>
          <w:rFonts w:ascii="Trebuchet MS"/>
          <w:color w:val="231F20"/>
          <w:spacing w:val="-11"/>
          <w:w w:val="105"/>
          <w:sz w:val="14"/>
        </w:rPr>
        <w:t xml:space="preserve"> </w:t>
      </w:r>
      <w:r>
        <w:rPr>
          <w:rFonts w:ascii="Trebuchet MS"/>
          <w:color w:val="231F20"/>
          <w:w w:val="105"/>
          <w:sz w:val="14"/>
        </w:rPr>
        <w:t>and</w:t>
      </w:r>
      <w:r>
        <w:rPr>
          <w:rFonts w:ascii="Trebuchet MS"/>
          <w:color w:val="231F20"/>
          <w:spacing w:val="-11"/>
          <w:w w:val="105"/>
          <w:sz w:val="14"/>
        </w:rPr>
        <w:t xml:space="preserve"> </w:t>
      </w:r>
      <w:r>
        <w:rPr>
          <w:rFonts w:ascii="Trebuchet MS"/>
          <w:color w:val="231F20"/>
          <w:w w:val="105"/>
          <w:sz w:val="14"/>
        </w:rPr>
        <w:t>Tourism</w:t>
      </w:r>
      <w:r>
        <w:rPr>
          <w:rFonts w:ascii="Trebuchet MS"/>
          <w:color w:val="231F20"/>
          <w:spacing w:val="60"/>
          <w:w w:val="105"/>
          <w:sz w:val="14"/>
        </w:rPr>
        <w:t xml:space="preserve"> </w:t>
      </w:r>
      <w:r>
        <w:rPr>
          <w:rFonts w:ascii="Trebuchet MS"/>
          <w:color w:val="231F20"/>
          <w:spacing w:val="-5"/>
          <w:w w:val="105"/>
          <w:sz w:val="14"/>
        </w:rPr>
        <w:t>183</w:t>
      </w:r>
    </w:p>
    <w:p w14:paraId="153982BE" w14:textId="77777777" w:rsidR="00AE0598" w:rsidRDefault="00AE0598">
      <w:pPr>
        <w:pStyle w:val="Corpodetexto"/>
        <w:rPr>
          <w:rFonts w:ascii="Trebuchet MS"/>
          <w:sz w:val="16"/>
        </w:rPr>
      </w:pPr>
    </w:p>
    <w:p w14:paraId="5A5975A2" w14:textId="77777777" w:rsidR="00AE0598" w:rsidRDefault="0069255A">
      <w:pPr>
        <w:pStyle w:val="Corpodetexto"/>
        <w:spacing w:before="118" w:line="232" w:lineRule="auto"/>
        <w:ind w:left="110" w:right="126"/>
        <w:jc w:val="both"/>
      </w:pPr>
      <w:r>
        <w:rPr>
          <w:color w:val="231F20"/>
          <w:w w:val="95"/>
        </w:rPr>
        <w:t xml:space="preserve">18 teams in five countries (New Zealand, South Africa, Australia, Argentina </w:t>
      </w:r>
      <w:r>
        <w:rPr>
          <w:color w:val="231F20"/>
        </w:rPr>
        <w:t>and Japan) in 2016. It also included a further expanded international rugby</w:t>
      </w:r>
      <w:r>
        <w:rPr>
          <w:color w:val="231F20"/>
          <w:spacing w:val="-9"/>
        </w:rPr>
        <w:t xml:space="preserve"> </w:t>
      </w:r>
      <w:r>
        <w:rPr>
          <w:color w:val="231F20"/>
        </w:rPr>
        <w:t>calendar,</w:t>
      </w:r>
      <w:r>
        <w:rPr>
          <w:color w:val="231F20"/>
          <w:spacing w:val="-9"/>
        </w:rPr>
        <w:t xml:space="preserve"> </w:t>
      </w:r>
      <w:r>
        <w:rPr>
          <w:color w:val="231F20"/>
        </w:rPr>
        <w:t>specifically</w:t>
      </w:r>
      <w:r>
        <w:rPr>
          <w:color w:val="231F20"/>
          <w:spacing w:val="-9"/>
        </w:rPr>
        <w:t xml:space="preserve"> </w:t>
      </w:r>
      <w:r>
        <w:rPr>
          <w:color w:val="231F20"/>
        </w:rPr>
        <w:t>the</w:t>
      </w:r>
      <w:r>
        <w:rPr>
          <w:color w:val="231F20"/>
          <w:spacing w:val="-9"/>
        </w:rPr>
        <w:t xml:space="preserve"> </w:t>
      </w:r>
      <w:r>
        <w:rPr>
          <w:color w:val="231F20"/>
        </w:rPr>
        <w:t>expansion</w:t>
      </w:r>
      <w:r>
        <w:rPr>
          <w:color w:val="231F20"/>
          <w:spacing w:val="-9"/>
        </w:rPr>
        <w:t xml:space="preserve"> </w:t>
      </w:r>
      <w:r>
        <w:rPr>
          <w:color w:val="231F20"/>
        </w:rPr>
        <w:t>of</w:t>
      </w:r>
      <w:r>
        <w:rPr>
          <w:color w:val="231F20"/>
          <w:spacing w:val="-9"/>
        </w:rPr>
        <w:t xml:space="preserve"> </w:t>
      </w:r>
      <w:r>
        <w:rPr>
          <w:color w:val="231F20"/>
        </w:rPr>
        <w:t>the</w:t>
      </w:r>
      <w:r>
        <w:rPr>
          <w:color w:val="231F20"/>
          <w:spacing w:val="-9"/>
        </w:rPr>
        <w:t xml:space="preserve"> </w:t>
      </w:r>
      <w:r>
        <w:rPr>
          <w:color w:val="231F20"/>
        </w:rPr>
        <w:t>Tri-Nations</w:t>
      </w:r>
      <w:r>
        <w:rPr>
          <w:color w:val="231F20"/>
          <w:spacing w:val="-9"/>
        </w:rPr>
        <w:t xml:space="preserve"> </w:t>
      </w:r>
      <w:r>
        <w:rPr>
          <w:color w:val="231F20"/>
        </w:rPr>
        <w:t>competition (from four to six games per team) wh</w:t>
      </w:r>
      <w:r>
        <w:rPr>
          <w:color w:val="231F20"/>
        </w:rPr>
        <w:t>ich extended through August, and the</w:t>
      </w:r>
      <w:r>
        <w:rPr>
          <w:color w:val="231F20"/>
          <w:spacing w:val="-1"/>
        </w:rPr>
        <w:t xml:space="preserve"> </w:t>
      </w:r>
      <w:r>
        <w:rPr>
          <w:color w:val="231F20"/>
        </w:rPr>
        <w:t>establishment</w:t>
      </w:r>
      <w:r>
        <w:rPr>
          <w:color w:val="231F20"/>
          <w:spacing w:val="-1"/>
        </w:rPr>
        <w:t xml:space="preserve"> </w:t>
      </w:r>
      <w:r>
        <w:rPr>
          <w:color w:val="231F20"/>
        </w:rPr>
        <w:t>in</w:t>
      </w:r>
      <w:r>
        <w:rPr>
          <w:color w:val="231F20"/>
          <w:spacing w:val="-1"/>
        </w:rPr>
        <w:t xml:space="preserve"> </w:t>
      </w:r>
      <w:r>
        <w:rPr>
          <w:color w:val="231F20"/>
        </w:rPr>
        <w:t>recent</w:t>
      </w:r>
      <w:r>
        <w:rPr>
          <w:color w:val="231F20"/>
          <w:spacing w:val="-1"/>
        </w:rPr>
        <w:t xml:space="preserve"> </w:t>
      </w:r>
      <w:r>
        <w:rPr>
          <w:color w:val="231F20"/>
        </w:rPr>
        <w:t>years</w:t>
      </w:r>
      <w:r>
        <w:rPr>
          <w:color w:val="231F20"/>
          <w:spacing w:val="-1"/>
        </w:rPr>
        <w:t xml:space="preserve"> </w:t>
      </w:r>
      <w:r>
        <w:rPr>
          <w:color w:val="231F20"/>
        </w:rPr>
        <w:t>of</w:t>
      </w:r>
      <w:r>
        <w:rPr>
          <w:color w:val="231F20"/>
          <w:spacing w:val="-1"/>
        </w:rPr>
        <w:t xml:space="preserve"> </w:t>
      </w:r>
      <w:r>
        <w:rPr>
          <w:color w:val="231F20"/>
        </w:rPr>
        <w:t>the</w:t>
      </w:r>
      <w:r>
        <w:rPr>
          <w:color w:val="231F20"/>
          <w:spacing w:val="-1"/>
        </w:rPr>
        <w:t xml:space="preserve"> </w:t>
      </w:r>
      <w:r>
        <w:rPr>
          <w:color w:val="231F20"/>
        </w:rPr>
        <w:t>‘Autumn</w:t>
      </w:r>
      <w:r>
        <w:rPr>
          <w:color w:val="231F20"/>
          <w:spacing w:val="-1"/>
        </w:rPr>
        <w:t xml:space="preserve"> </w:t>
      </w:r>
      <w:r>
        <w:rPr>
          <w:color w:val="231F20"/>
        </w:rPr>
        <w:t>tests’</w:t>
      </w:r>
      <w:r>
        <w:rPr>
          <w:color w:val="231F20"/>
          <w:spacing w:val="-1"/>
        </w:rPr>
        <w:t xml:space="preserve"> </w:t>
      </w:r>
      <w:r>
        <w:rPr>
          <w:color w:val="231F20"/>
        </w:rPr>
        <w:t>played</w:t>
      </w:r>
      <w:r>
        <w:rPr>
          <w:color w:val="231F20"/>
          <w:spacing w:val="-1"/>
        </w:rPr>
        <w:t xml:space="preserve"> </w:t>
      </w:r>
      <w:r>
        <w:rPr>
          <w:color w:val="231F20"/>
        </w:rPr>
        <w:t>in</w:t>
      </w:r>
      <w:r>
        <w:rPr>
          <w:color w:val="231F20"/>
          <w:spacing w:val="-1"/>
        </w:rPr>
        <w:t xml:space="preserve"> </w:t>
      </w:r>
      <w:r>
        <w:rPr>
          <w:color w:val="231F20"/>
        </w:rPr>
        <w:t xml:space="preserve">Europe </w:t>
      </w:r>
      <w:r>
        <w:rPr>
          <w:color w:val="231F20"/>
          <w:spacing w:val="5"/>
          <w:w w:val="89"/>
        </w:rPr>
        <w:t>(</w:t>
      </w:r>
      <w:r>
        <w:rPr>
          <w:color w:val="231F20"/>
          <w:spacing w:val="-1"/>
          <w:w w:val="122"/>
        </w:rPr>
        <w:t>N</w:t>
      </w:r>
      <w:r>
        <w:rPr>
          <w:color w:val="231F20"/>
          <w:spacing w:val="-5"/>
          <w:w w:val="105"/>
        </w:rPr>
        <w:t>o</w:t>
      </w:r>
      <w:r>
        <w:rPr>
          <w:color w:val="231F20"/>
          <w:spacing w:val="-4"/>
        </w:rPr>
        <w:t>v</w:t>
      </w:r>
      <w:r>
        <w:rPr>
          <w:color w:val="231F20"/>
          <w:spacing w:val="-1"/>
          <w:w w:val="98"/>
        </w:rPr>
        <w:t>e</w:t>
      </w:r>
      <w:r>
        <w:rPr>
          <w:color w:val="231F20"/>
          <w:spacing w:val="-2"/>
          <w:w w:val="98"/>
        </w:rPr>
        <w:t>m</w:t>
      </w:r>
      <w:r>
        <w:rPr>
          <w:color w:val="231F20"/>
          <w:spacing w:val="1"/>
          <w:w w:val="102"/>
        </w:rPr>
        <w:t>b</w:t>
      </w:r>
      <w:r>
        <w:rPr>
          <w:color w:val="231F20"/>
          <w:spacing w:val="-1"/>
          <w:w w:val="92"/>
        </w:rPr>
        <w:t>e</w:t>
      </w:r>
      <w:r>
        <w:rPr>
          <w:color w:val="231F20"/>
          <w:spacing w:val="1"/>
          <w:w w:val="95"/>
        </w:rPr>
        <w:t>r</w:t>
      </w:r>
      <w:r>
        <w:rPr>
          <w:color w:val="231F20"/>
          <w:spacing w:val="8"/>
          <w:w w:val="62"/>
        </w:rPr>
        <w:t>/</w:t>
      </w:r>
      <w:r>
        <w:rPr>
          <w:color w:val="231F20"/>
          <w:spacing w:val="2"/>
          <w:w w:val="118"/>
        </w:rPr>
        <w:t>D</w:t>
      </w:r>
      <w:r>
        <w:rPr>
          <w:color w:val="231F20"/>
          <w:spacing w:val="1"/>
          <w:w w:val="92"/>
        </w:rPr>
        <w:t>e</w:t>
      </w:r>
      <w:r>
        <w:rPr>
          <w:color w:val="231F20"/>
          <w:spacing w:val="1"/>
          <w:w w:val="101"/>
        </w:rPr>
        <w:t>c</w:t>
      </w:r>
      <w:r>
        <w:rPr>
          <w:color w:val="231F20"/>
          <w:spacing w:val="-1"/>
          <w:w w:val="92"/>
        </w:rPr>
        <w:t>e</w:t>
      </w:r>
      <w:r>
        <w:rPr>
          <w:color w:val="231F20"/>
          <w:spacing w:val="-2"/>
          <w:w w:val="101"/>
        </w:rPr>
        <w:t>m</w:t>
      </w:r>
      <w:r>
        <w:rPr>
          <w:color w:val="231F20"/>
          <w:spacing w:val="1"/>
          <w:w w:val="102"/>
        </w:rPr>
        <w:t>b</w:t>
      </w:r>
      <w:r>
        <w:rPr>
          <w:color w:val="231F20"/>
          <w:spacing w:val="-1"/>
          <w:w w:val="93"/>
        </w:rPr>
        <w:t>e</w:t>
      </w:r>
      <w:r>
        <w:rPr>
          <w:color w:val="231F20"/>
          <w:spacing w:val="-6"/>
          <w:w w:val="93"/>
        </w:rPr>
        <w:t>r</w:t>
      </w:r>
      <w:r>
        <w:rPr>
          <w:color w:val="231F20"/>
          <w:spacing w:val="-7"/>
          <w:w w:val="89"/>
        </w:rPr>
        <w:t>)</w:t>
      </w:r>
      <w:r>
        <w:rPr>
          <w:color w:val="231F20"/>
          <w:w w:val="137"/>
        </w:rPr>
        <w:t>,</w:t>
      </w:r>
      <w:r>
        <w:rPr>
          <w:color w:val="231F20"/>
          <w:spacing w:val="-1"/>
          <w:w w:val="99"/>
        </w:rPr>
        <w:t xml:space="preserve"> </w:t>
      </w:r>
      <w:r>
        <w:rPr>
          <w:color w:val="231F20"/>
        </w:rPr>
        <w:t>with a feature test match played in an Asian or North</w:t>
      </w:r>
      <w:r>
        <w:rPr>
          <w:color w:val="231F20"/>
          <w:spacing w:val="-2"/>
        </w:rPr>
        <w:t xml:space="preserve"> </w:t>
      </w:r>
      <w:r>
        <w:rPr>
          <w:color w:val="231F20"/>
        </w:rPr>
        <w:t>American</w:t>
      </w:r>
      <w:r>
        <w:rPr>
          <w:color w:val="231F20"/>
          <w:spacing w:val="-2"/>
        </w:rPr>
        <w:t xml:space="preserve"> </w:t>
      </w:r>
      <w:r>
        <w:rPr>
          <w:color w:val="231F20"/>
        </w:rPr>
        <w:t>city</w:t>
      </w:r>
      <w:r>
        <w:rPr>
          <w:color w:val="231F20"/>
          <w:spacing w:val="-2"/>
        </w:rPr>
        <w:t xml:space="preserve"> </w:t>
      </w:r>
      <w:r>
        <w:rPr>
          <w:color w:val="231F20"/>
        </w:rPr>
        <w:t>en</w:t>
      </w:r>
      <w:r>
        <w:rPr>
          <w:color w:val="231F20"/>
          <w:spacing w:val="-2"/>
        </w:rPr>
        <w:t xml:space="preserve"> </w:t>
      </w:r>
      <w:r>
        <w:rPr>
          <w:color w:val="231F20"/>
        </w:rPr>
        <w:t>route</w:t>
      </w:r>
      <w:r>
        <w:rPr>
          <w:color w:val="231F20"/>
          <w:spacing w:val="-2"/>
        </w:rPr>
        <w:t xml:space="preserve"> </w:t>
      </w:r>
      <w:r>
        <w:rPr>
          <w:color w:val="231F20"/>
        </w:rPr>
        <w:t>to</w:t>
      </w:r>
      <w:r>
        <w:rPr>
          <w:color w:val="231F20"/>
          <w:spacing w:val="-2"/>
        </w:rPr>
        <w:t xml:space="preserve"> </w:t>
      </w:r>
      <w:r>
        <w:rPr>
          <w:color w:val="231F20"/>
        </w:rPr>
        <w:t>Europe</w:t>
      </w:r>
      <w:r>
        <w:rPr>
          <w:color w:val="231F20"/>
          <w:spacing w:val="-2"/>
        </w:rPr>
        <w:t xml:space="preserve"> </w:t>
      </w:r>
      <w:r>
        <w:rPr>
          <w:color w:val="231F20"/>
        </w:rPr>
        <w:t>in</w:t>
      </w:r>
      <w:r>
        <w:rPr>
          <w:color w:val="231F20"/>
          <w:spacing w:val="-2"/>
        </w:rPr>
        <w:t xml:space="preserve"> </w:t>
      </w:r>
      <w:r>
        <w:rPr>
          <w:color w:val="231F20"/>
        </w:rPr>
        <w:t>early</w:t>
      </w:r>
      <w:r>
        <w:rPr>
          <w:color w:val="231F20"/>
          <w:spacing w:val="-2"/>
        </w:rPr>
        <w:t xml:space="preserve"> </w:t>
      </w:r>
      <w:r>
        <w:rPr>
          <w:color w:val="231F20"/>
        </w:rPr>
        <w:t>November</w:t>
      </w:r>
      <w:r>
        <w:rPr>
          <w:color w:val="231F20"/>
          <w:spacing w:val="-2"/>
        </w:rPr>
        <w:t xml:space="preserve"> </w:t>
      </w:r>
      <w:r>
        <w:rPr>
          <w:color w:val="231F20"/>
        </w:rPr>
        <w:t>each</w:t>
      </w:r>
      <w:r>
        <w:rPr>
          <w:color w:val="231F20"/>
          <w:spacing w:val="-2"/>
        </w:rPr>
        <w:t xml:space="preserve"> </w:t>
      </w:r>
      <w:r>
        <w:rPr>
          <w:color w:val="231F20"/>
        </w:rPr>
        <w:t>year.</w:t>
      </w:r>
    </w:p>
    <w:p w14:paraId="3502B40D" w14:textId="77777777" w:rsidR="00AE0598" w:rsidRDefault="0069255A">
      <w:pPr>
        <w:pStyle w:val="Corpodetexto"/>
        <w:spacing w:before="8" w:line="232" w:lineRule="auto"/>
        <w:ind w:left="110" w:right="125" w:firstLine="320"/>
        <w:jc w:val="both"/>
      </w:pPr>
      <w:r>
        <w:rPr>
          <w:color w:val="231F20"/>
        </w:rPr>
        <w:t>Such has been the continuing expansion of the international programme,</w:t>
      </w:r>
      <w:r>
        <w:rPr>
          <w:color w:val="231F20"/>
          <w:spacing w:val="-6"/>
        </w:rPr>
        <w:t xml:space="preserve"> </w:t>
      </w:r>
      <w:r>
        <w:rPr>
          <w:color w:val="231F20"/>
        </w:rPr>
        <w:t>with</w:t>
      </w:r>
      <w:r>
        <w:rPr>
          <w:color w:val="231F20"/>
          <w:spacing w:val="-6"/>
        </w:rPr>
        <w:t xml:space="preserve"> </w:t>
      </w:r>
      <w:r>
        <w:rPr>
          <w:color w:val="231F20"/>
        </w:rPr>
        <w:t>the</w:t>
      </w:r>
      <w:r>
        <w:rPr>
          <w:color w:val="231F20"/>
          <w:spacing w:val="-6"/>
        </w:rPr>
        <w:t xml:space="preserve"> </w:t>
      </w:r>
      <w:r>
        <w:rPr>
          <w:color w:val="231F20"/>
        </w:rPr>
        <w:t>Tri-Nations</w:t>
      </w:r>
      <w:r>
        <w:rPr>
          <w:color w:val="231F20"/>
          <w:spacing w:val="-6"/>
        </w:rPr>
        <w:t xml:space="preserve"> </w:t>
      </w:r>
      <w:r>
        <w:rPr>
          <w:color w:val="231F20"/>
        </w:rPr>
        <w:t>evolving</w:t>
      </w:r>
      <w:r>
        <w:rPr>
          <w:color w:val="231F20"/>
          <w:spacing w:val="-6"/>
        </w:rPr>
        <w:t xml:space="preserve"> </w:t>
      </w:r>
      <w:r>
        <w:rPr>
          <w:color w:val="231F20"/>
        </w:rPr>
        <w:t>into</w:t>
      </w:r>
      <w:r>
        <w:rPr>
          <w:color w:val="231F20"/>
          <w:spacing w:val="-6"/>
        </w:rPr>
        <w:t xml:space="preserve"> </w:t>
      </w:r>
      <w:r>
        <w:rPr>
          <w:color w:val="231F20"/>
        </w:rPr>
        <w:t>the</w:t>
      </w:r>
      <w:r>
        <w:rPr>
          <w:color w:val="231F20"/>
          <w:spacing w:val="-6"/>
        </w:rPr>
        <w:t xml:space="preserve"> </w:t>
      </w:r>
      <w:r>
        <w:rPr>
          <w:color w:val="231F20"/>
        </w:rPr>
        <w:t>Rugby</w:t>
      </w:r>
      <w:r>
        <w:rPr>
          <w:color w:val="231F20"/>
          <w:spacing w:val="-6"/>
        </w:rPr>
        <w:t xml:space="preserve"> </w:t>
      </w:r>
      <w:r>
        <w:rPr>
          <w:color w:val="231F20"/>
        </w:rPr>
        <w:t xml:space="preserve">Championship </w:t>
      </w:r>
      <w:r>
        <w:rPr>
          <w:color w:val="231F20"/>
          <w:w w:val="95"/>
        </w:rPr>
        <w:t>with</w:t>
      </w:r>
      <w:r>
        <w:rPr>
          <w:color w:val="231F20"/>
        </w:rPr>
        <w:t xml:space="preserve"> </w:t>
      </w:r>
      <w:r>
        <w:rPr>
          <w:color w:val="231F20"/>
          <w:w w:val="95"/>
        </w:rPr>
        <w:t>the</w:t>
      </w:r>
      <w:r>
        <w:rPr>
          <w:color w:val="231F20"/>
        </w:rPr>
        <w:t xml:space="preserve"> </w:t>
      </w:r>
      <w:r>
        <w:rPr>
          <w:color w:val="231F20"/>
          <w:w w:val="95"/>
        </w:rPr>
        <w:t>inclusion</w:t>
      </w:r>
      <w:r>
        <w:rPr>
          <w:color w:val="231F20"/>
        </w:rPr>
        <w:t xml:space="preserve"> </w:t>
      </w:r>
      <w:r>
        <w:rPr>
          <w:color w:val="231F20"/>
          <w:w w:val="95"/>
        </w:rPr>
        <w:t>of</w:t>
      </w:r>
      <w:r>
        <w:rPr>
          <w:color w:val="231F20"/>
        </w:rPr>
        <w:t xml:space="preserve"> </w:t>
      </w:r>
      <w:r>
        <w:rPr>
          <w:color w:val="231F20"/>
          <w:w w:val="95"/>
        </w:rPr>
        <w:t>Argentina,</w:t>
      </w:r>
      <w:r>
        <w:rPr>
          <w:color w:val="231F20"/>
        </w:rPr>
        <w:t xml:space="preserve"> </w:t>
      </w:r>
      <w:r>
        <w:rPr>
          <w:color w:val="231F20"/>
          <w:w w:val="95"/>
        </w:rPr>
        <w:t>that</w:t>
      </w:r>
      <w:r>
        <w:rPr>
          <w:color w:val="231F20"/>
        </w:rPr>
        <w:t xml:space="preserve"> </w:t>
      </w:r>
      <w:r>
        <w:rPr>
          <w:color w:val="231F20"/>
          <w:w w:val="95"/>
        </w:rPr>
        <w:t>a</w:t>
      </w:r>
      <w:r>
        <w:rPr>
          <w:color w:val="231F20"/>
        </w:rPr>
        <w:t xml:space="preserve"> </w:t>
      </w:r>
      <w:r>
        <w:rPr>
          <w:color w:val="231F20"/>
          <w:w w:val="95"/>
        </w:rPr>
        <w:t>mid-season</w:t>
      </w:r>
      <w:r>
        <w:rPr>
          <w:color w:val="231F20"/>
        </w:rPr>
        <w:t xml:space="preserve"> </w:t>
      </w:r>
      <w:r>
        <w:rPr>
          <w:color w:val="231F20"/>
          <w:w w:val="95"/>
        </w:rPr>
        <w:t>‘international</w:t>
      </w:r>
      <w:r>
        <w:rPr>
          <w:color w:val="231F20"/>
        </w:rPr>
        <w:t xml:space="preserve"> </w:t>
      </w:r>
      <w:r>
        <w:rPr>
          <w:color w:val="231F20"/>
          <w:w w:val="95"/>
        </w:rPr>
        <w:t>window’</w:t>
      </w:r>
      <w:r>
        <w:rPr>
          <w:color w:val="231F20"/>
          <w:spacing w:val="80"/>
          <w:w w:val="150"/>
        </w:rPr>
        <w:t xml:space="preserve"> </w:t>
      </w:r>
      <w:r>
        <w:rPr>
          <w:color w:val="231F20"/>
        </w:rPr>
        <w:t>is</w:t>
      </w:r>
      <w:r>
        <w:rPr>
          <w:color w:val="231F20"/>
          <w:spacing w:val="-2"/>
        </w:rPr>
        <w:t xml:space="preserve"> </w:t>
      </w:r>
      <w:r>
        <w:rPr>
          <w:color w:val="231F20"/>
        </w:rPr>
        <w:t>squeezed</w:t>
      </w:r>
      <w:r>
        <w:rPr>
          <w:color w:val="231F20"/>
          <w:spacing w:val="-2"/>
        </w:rPr>
        <w:t xml:space="preserve"> </w:t>
      </w:r>
      <w:r>
        <w:rPr>
          <w:color w:val="231F20"/>
        </w:rPr>
        <w:t>into</w:t>
      </w:r>
      <w:r>
        <w:rPr>
          <w:color w:val="231F20"/>
          <w:spacing w:val="-2"/>
        </w:rPr>
        <w:t xml:space="preserve"> </w:t>
      </w:r>
      <w:r>
        <w:rPr>
          <w:color w:val="231F20"/>
        </w:rPr>
        <w:t>the</w:t>
      </w:r>
      <w:r>
        <w:rPr>
          <w:color w:val="231F20"/>
          <w:spacing w:val="-2"/>
        </w:rPr>
        <w:t xml:space="preserve"> </w:t>
      </w:r>
      <w:r>
        <w:rPr>
          <w:color w:val="231F20"/>
        </w:rPr>
        <w:t>latter</w:t>
      </w:r>
      <w:r>
        <w:rPr>
          <w:color w:val="231F20"/>
          <w:spacing w:val="-2"/>
        </w:rPr>
        <w:t xml:space="preserve"> </w:t>
      </w:r>
      <w:r>
        <w:rPr>
          <w:color w:val="231F20"/>
        </w:rPr>
        <w:t>part</w:t>
      </w:r>
      <w:r>
        <w:rPr>
          <w:color w:val="231F20"/>
          <w:spacing w:val="-2"/>
        </w:rPr>
        <w:t xml:space="preserve"> </w:t>
      </w:r>
      <w:r>
        <w:rPr>
          <w:color w:val="231F20"/>
        </w:rPr>
        <w:t>of</w:t>
      </w:r>
      <w:r>
        <w:rPr>
          <w:color w:val="231F20"/>
          <w:spacing w:val="-2"/>
        </w:rPr>
        <w:t xml:space="preserve"> </w:t>
      </w:r>
      <w:r>
        <w:rPr>
          <w:color w:val="231F20"/>
        </w:rPr>
        <w:t>the</w:t>
      </w:r>
      <w:r>
        <w:rPr>
          <w:color w:val="231F20"/>
          <w:spacing w:val="-2"/>
        </w:rPr>
        <w:t xml:space="preserve"> </w:t>
      </w:r>
      <w:r>
        <w:rPr>
          <w:color w:val="231F20"/>
        </w:rPr>
        <w:t>Super</w:t>
      </w:r>
      <w:r>
        <w:rPr>
          <w:color w:val="231F20"/>
          <w:spacing w:val="-2"/>
        </w:rPr>
        <w:t xml:space="preserve"> </w:t>
      </w:r>
      <w:r>
        <w:rPr>
          <w:color w:val="231F20"/>
        </w:rPr>
        <w:t>18,</w:t>
      </w:r>
      <w:r>
        <w:rPr>
          <w:color w:val="231F20"/>
          <w:spacing w:val="-2"/>
        </w:rPr>
        <w:t xml:space="preserve"> </w:t>
      </w:r>
      <w:r>
        <w:rPr>
          <w:color w:val="231F20"/>
        </w:rPr>
        <w:t>causing</w:t>
      </w:r>
      <w:r>
        <w:rPr>
          <w:color w:val="231F20"/>
          <w:spacing w:val="-2"/>
        </w:rPr>
        <w:t xml:space="preserve"> </w:t>
      </w:r>
      <w:r>
        <w:rPr>
          <w:color w:val="231F20"/>
        </w:rPr>
        <w:t>that</w:t>
      </w:r>
      <w:r>
        <w:rPr>
          <w:color w:val="231F20"/>
          <w:spacing w:val="-2"/>
        </w:rPr>
        <w:t xml:space="preserve"> </w:t>
      </w:r>
      <w:r>
        <w:rPr>
          <w:color w:val="231F20"/>
        </w:rPr>
        <w:t xml:space="preserve">competition to be temporarily suspended for four weeks in June, and recommenced </w:t>
      </w:r>
      <w:r>
        <w:rPr>
          <w:color w:val="231F20"/>
          <w:w w:val="95"/>
        </w:rPr>
        <w:t xml:space="preserve">and completed in July. Meanwhile, the northern and southern hemisphere rugby nations continue to seek agreement on a global international rugby </w:t>
      </w:r>
      <w:r>
        <w:rPr>
          <w:color w:val="231F20"/>
        </w:rPr>
        <w:t>season, while the S</w:t>
      </w:r>
      <w:r>
        <w:rPr>
          <w:color w:val="231F20"/>
        </w:rPr>
        <w:t xml:space="preserve">uper 18 will be reduced, once again, to 15 teams in acknowledgement of the unsustainable nature of the current 18-team </w:t>
      </w:r>
      <w:r>
        <w:rPr>
          <w:color w:val="231F20"/>
          <w:w w:val="95"/>
        </w:rPr>
        <w:t xml:space="preserve">competition. The relentlessness of the professional rugby calendar in the </w:t>
      </w:r>
      <w:r>
        <w:rPr>
          <w:color w:val="231F20"/>
        </w:rPr>
        <w:t>southern hemisphere has contributed to some leading players see</w:t>
      </w:r>
      <w:r>
        <w:rPr>
          <w:color w:val="231F20"/>
        </w:rPr>
        <w:t>king occasional</w:t>
      </w:r>
      <w:r>
        <w:rPr>
          <w:color w:val="231F20"/>
          <w:spacing w:val="-1"/>
        </w:rPr>
        <w:t xml:space="preserve"> </w:t>
      </w:r>
      <w:r>
        <w:rPr>
          <w:color w:val="231F20"/>
        </w:rPr>
        <w:t>respite</w:t>
      </w:r>
      <w:r>
        <w:rPr>
          <w:color w:val="231F20"/>
          <w:spacing w:val="-1"/>
        </w:rPr>
        <w:t xml:space="preserve"> </w:t>
      </w:r>
      <w:r>
        <w:rPr>
          <w:color w:val="231F20"/>
        </w:rPr>
        <w:t>to</w:t>
      </w:r>
      <w:r>
        <w:rPr>
          <w:color w:val="231F20"/>
          <w:spacing w:val="-1"/>
        </w:rPr>
        <w:t xml:space="preserve"> </w:t>
      </w:r>
      <w:r>
        <w:rPr>
          <w:color w:val="231F20"/>
        </w:rPr>
        <w:t>prolong</w:t>
      </w:r>
      <w:r>
        <w:rPr>
          <w:color w:val="231F20"/>
          <w:spacing w:val="-1"/>
        </w:rPr>
        <w:t xml:space="preserve"> </w:t>
      </w:r>
      <w:r>
        <w:rPr>
          <w:color w:val="231F20"/>
        </w:rPr>
        <w:t>their</w:t>
      </w:r>
      <w:r>
        <w:rPr>
          <w:color w:val="231F20"/>
          <w:spacing w:val="-1"/>
        </w:rPr>
        <w:t xml:space="preserve"> </w:t>
      </w:r>
      <w:r>
        <w:rPr>
          <w:color w:val="231F20"/>
        </w:rPr>
        <w:t>playing</w:t>
      </w:r>
      <w:r>
        <w:rPr>
          <w:color w:val="231F20"/>
          <w:spacing w:val="-1"/>
        </w:rPr>
        <w:t xml:space="preserve"> </w:t>
      </w:r>
      <w:r>
        <w:rPr>
          <w:color w:val="231F20"/>
        </w:rPr>
        <w:t>careers.</w:t>
      </w:r>
      <w:r>
        <w:rPr>
          <w:color w:val="231F20"/>
          <w:spacing w:val="-1"/>
        </w:rPr>
        <w:t xml:space="preserve"> </w:t>
      </w:r>
      <w:r>
        <w:rPr>
          <w:color w:val="231F20"/>
        </w:rPr>
        <w:t>This</w:t>
      </w:r>
      <w:r>
        <w:rPr>
          <w:color w:val="231F20"/>
          <w:spacing w:val="-1"/>
        </w:rPr>
        <w:t xml:space="preserve"> </w:t>
      </w:r>
      <w:r>
        <w:rPr>
          <w:color w:val="231F20"/>
        </w:rPr>
        <w:t>may</w:t>
      </w:r>
      <w:r>
        <w:rPr>
          <w:color w:val="231F20"/>
          <w:spacing w:val="-1"/>
        </w:rPr>
        <w:t xml:space="preserve"> </w:t>
      </w:r>
      <w:r>
        <w:rPr>
          <w:color w:val="231F20"/>
        </w:rPr>
        <w:t>include</w:t>
      </w:r>
      <w:r>
        <w:rPr>
          <w:color w:val="231F20"/>
          <w:spacing w:val="-1"/>
        </w:rPr>
        <w:t xml:space="preserve"> </w:t>
      </w:r>
      <w:r>
        <w:rPr>
          <w:color w:val="231F20"/>
        </w:rPr>
        <w:t>the taking up of shorter, more lucrative club contracts in countries such as Japan and France (often in the seasons between the Rugby World Cup tournaments that take place at four-y</w:t>
      </w:r>
      <w:r>
        <w:rPr>
          <w:color w:val="231F20"/>
        </w:rPr>
        <w:t>ear intervals). More recently, the most</w:t>
      </w:r>
      <w:r>
        <w:rPr>
          <w:color w:val="231F20"/>
          <w:spacing w:val="-1"/>
        </w:rPr>
        <w:t xml:space="preserve"> </w:t>
      </w:r>
      <w:r>
        <w:rPr>
          <w:color w:val="231F20"/>
        </w:rPr>
        <w:t>high</w:t>
      </w:r>
      <w:r>
        <w:rPr>
          <w:color w:val="231F20"/>
          <w:spacing w:val="-1"/>
        </w:rPr>
        <w:t xml:space="preserve"> </w:t>
      </w:r>
      <w:r>
        <w:rPr>
          <w:color w:val="231F20"/>
        </w:rPr>
        <w:t>profile</w:t>
      </w:r>
      <w:r>
        <w:rPr>
          <w:color w:val="231F20"/>
          <w:spacing w:val="-1"/>
        </w:rPr>
        <w:t xml:space="preserve"> </w:t>
      </w:r>
      <w:r>
        <w:rPr>
          <w:color w:val="231F20"/>
        </w:rPr>
        <w:t>players</w:t>
      </w:r>
      <w:r>
        <w:rPr>
          <w:color w:val="231F20"/>
          <w:spacing w:val="-1"/>
        </w:rPr>
        <w:t xml:space="preserve"> </w:t>
      </w:r>
      <w:r>
        <w:rPr>
          <w:color w:val="231F20"/>
        </w:rPr>
        <w:t>in</w:t>
      </w:r>
      <w:r>
        <w:rPr>
          <w:color w:val="231F20"/>
          <w:spacing w:val="-1"/>
        </w:rPr>
        <w:t xml:space="preserve"> </w:t>
      </w:r>
      <w:r>
        <w:rPr>
          <w:color w:val="231F20"/>
        </w:rPr>
        <w:t>New</w:t>
      </w:r>
      <w:r>
        <w:rPr>
          <w:color w:val="231F20"/>
          <w:spacing w:val="-1"/>
        </w:rPr>
        <w:t xml:space="preserve"> </w:t>
      </w:r>
      <w:r>
        <w:rPr>
          <w:color w:val="231F20"/>
        </w:rPr>
        <w:t>Zealand</w:t>
      </w:r>
      <w:r>
        <w:rPr>
          <w:color w:val="231F20"/>
          <w:spacing w:val="-1"/>
        </w:rPr>
        <w:t xml:space="preserve"> </w:t>
      </w:r>
      <w:r>
        <w:rPr>
          <w:color w:val="231F20"/>
        </w:rPr>
        <w:t>have</w:t>
      </w:r>
      <w:r>
        <w:rPr>
          <w:color w:val="231F20"/>
          <w:spacing w:val="-1"/>
        </w:rPr>
        <w:t xml:space="preserve"> </w:t>
      </w:r>
      <w:r>
        <w:rPr>
          <w:color w:val="231F20"/>
        </w:rPr>
        <w:t>negotiated</w:t>
      </w:r>
      <w:r>
        <w:rPr>
          <w:color w:val="231F20"/>
          <w:spacing w:val="-1"/>
        </w:rPr>
        <w:t xml:space="preserve"> </w:t>
      </w:r>
      <w:r>
        <w:rPr>
          <w:color w:val="231F20"/>
        </w:rPr>
        <w:t>contracts</w:t>
      </w:r>
      <w:r>
        <w:rPr>
          <w:color w:val="231F20"/>
          <w:spacing w:val="-1"/>
        </w:rPr>
        <w:t xml:space="preserve"> </w:t>
      </w:r>
      <w:r>
        <w:rPr>
          <w:color w:val="231F20"/>
        </w:rPr>
        <w:t xml:space="preserve">that include the option of periods of sabbatical leave of up to eight to nine months to take a complete break from the almost year-round playing </w:t>
      </w:r>
      <w:r>
        <w:rPr>
          <w:color w:val="231F20"/>
          <w:spacing w:val="-2"/>
        </w:rPr>
        <w:t>season.</w:t>
      </w:r>
    </w:p>
    <w:p w14:paraId="43C2154A" w14:textId="77777777" w:rsidR="00AE0598" w:rsidRDefault="0069255A">
      <w:pPr>
        <w:pStyle w:val="Corpodetexto"/>
        <w:spacing w:before="23" w:line="232" w:lineRule="auto"/>
        <w:ind w:left="110" w:right="122" w:firstLine="320"/>
        <w:jc w:val="both"/>
      </w:pPr>
      <w:r>
        <w:rPr>
          <w:color w:val="231F20"/>
        </w:rPr>
        <w:t>The development of all-season sports facilities represents another change that has facilitated the exte</w:t>
      </w:r>
      <w:r>
        <w:rPr>
          <w:color w:val="231F20"/>
        </w:rPr>
        <w:t xml:space="preserve">nsion of sport seasons. Examples </w:t>
      </w:r>
      <w:r>
        <w:rPr>
          <w:color w:val="231F20"/>
          <w:w w:val="95"/>
        </w:rPr>
        <w:t xml:space="preserve">include summer skiing facilities in Scandinavia, the all-season Millennium </w:t>
      </w:r>
      <w:r>
        <w:rPr>
          <w:color w:val="231F20"/>
        </w:rPr>
        <w:t xml:space="preserve">Stadium in Cardiff (Wales) and the proliferation of smaller-scale leisure </w:t>
      </w:r>
      <w:r>
        <w:rPr>
          <w:color w:val="231F20"/>
          <w:w w:val="95"/>
        </w:rPr>
        <w:t>sport facilities that effectively provide climatically controlled environm</w:t>
      </w:r>
      <w:r>
        <w:rPr>
          <w:color w:val="231F20"/>
          <w:w w:val="95"/>
        </w:rPr>
        <w:t xml:space="preserve">ents </w:t>
      </w:r>
      <w:r>
        <w:rPr>
          <w:color w:val="231F20"/>
        </w:rPr>
        <w:t>or</w:t>
      </w:r>
      <w:r>
        <w:rPr>
          <w:color w:val="231F20"/>
          <w:spacing w:val="-3"/>
        </w:rPr>
        <w:t xml:space="preserve"> </w:t>
      </w:r>
      <w:r>
        <w:rPr>
          <w:color w:val="231F20"/>
        </w:rPr>
        <w:t>ones</w:t>
      </w:r>
      <w:r>
        <w:rPr>
          <w:color w:val="231F20"/>
          <w:spacing w:val="-3"/>
        </w:rPr>
        <w:t xml:space="preserve"> </w:t>
      </w:r>
      <w:r>
        <w:rPr>
          <w:color w:val="231F20"/>
        </w:rPr>
        <w:t>dominated</w:t>
      </w:r>
      <w:r>
        <w:rPr>
          <w:color w:val="231F20"/>
          <w:spacing w:val="-3"/>
        </w:rPr>
        <w:t xml:space="preserve"> </w:t>
      </w:r>
      <w:r>
        <w:rPr>
          <w:color w:val="231F20"/>
        </w:rPr>
        <w:t>by</w:t>
      </w:r>
      <w:r>
        <w:rPr>
          <w:color w:val="231F20"/>
          <w:spacing w:val="-3"/>
        </w:rPr>
        <w:t xml:space="preserve"> </w:t>
      </w:r>
      <w:r>
        <w:rPr>
          <w:color w:val="231F20"/>
        </w:rPr>
        <w:t>new</w:t>
      </w:r>
      <w:r>
        <w:rPr>
          <w:color w:val="231F20"/>
          <w:spacing w:val="-3"/>
        </w:rPr>
        <w:t xml:space="preserve"> </w:t>
      </w:r>
      <w:r>
        <w:rPr>
          <w:color w:val="231F20"/>
        </w:rPr>
        <w:t>technologies</w:t>
      </w:r>
      <w:r>
        <w:rPr>
          <w:color w:val="231F20"/>
          <w:spacing w:val="-3"/>
        </w:rPr>
        <w:t xml:space="preserve"> </w:t>
      </w:r>
      <w:r>
        <w:rPr>
          <w:color w:val="231F20"/>
        </w:rPr>
        <w:t>(Bale,</w:t>
      </w:r>
      <w:r>
        <w:rPr>
          <w:color w:val="231F20"/>
          <w:spacing w:val="-3"/>
        </w:rPr>
        <w:t xml:space="preserve"> </w:t>
      </w:r>
      <w:r>
        <w:rPr>
          <w:color w:val="231F20"/>
        </w:rPr>
        <w:t>1989).</w:t>
      </w:r>
      <w:r>
        <w:rPr>
          <w:color w:val="231F20"/>
          <w:spacing w:val="-3"/>
        </w:rPr>
        <w:t xml:space="preserve"> </w:t>
      </w:r>
      <w:r>
        <w:rPr>
          <w:color w:val="231F20"/>
        </w:rPr>
        <w:t>For</w:t>
      </w:r>
      <w:r>
        <w:rPr>
          <w:color w:val="231F20"/>
          <w:spacing w:val="-3"/>
        </w:rPr>
        <w:t xml:space="preserve"> </w:t>
      </w:r>
      <w:r>
        <w:rPr>
          <w:color w:val="231F20"/>
        </w:rPr>
        <w:t>sports</w:t>
      </w:r>
      <w:r>
        <w:rPr>
          <w:color w:val="231F20"/>
          <w:spacing w:val="-3"/>
        </w:rPr>
        <w:t xml:space="preserve"> </w:t>
      </w:r>
      <w:r>
        <w:rPr>
          <w:color w:val="231F20"/>
        </w:rPr>
        <w:t>that</w:t>
      </w:r>
      <w:r>
        <w:rPr>
          <w:color w:val="231F20"/>
          <w:spacing w:val="-3"/>
        </w:rPr>
        <w:t xml:space="preserve"> </w:t>
      </w:r>
      <w:r>
        <w:rPr>
          <w:color w:val="231F20"/>
        </w:rPr>
        <w:t xml:space="preserve">are </w:t>
      </w:r>
      <w:r>
        <w:rPr>
          <w:color w:val="231F20"/>
          <w:w w:val="95"/>
        </w:rPr>
        <w:t xml:space="preserve">conducted outdoors, an assortment of equipment and clothing innovations </w:t>
      </w:r>
      <w:r>
        <w:rPr>
          <w:color w:val="231F20"/>
        </w:rPr>
        <w:t>has expanded the range of climatic conditions in which they may be comfortably pursued.</w:t>
      </w:r>
    </w:p>
    <w:p w14:paraId="07B78510" w14:textId="77777777" w:rsidR="00AE0598" w:rsidRDefault="0069255A">
      <w:pPr>
        <w:pStyle w:val="Corpodetexto"/>
        <w:spacing w:before="11" w:line="232" w:lineRule="auto"/>
        <w:ind w:left="110" w:right="127" w:firstLine="320"/>
        <w:jc w:val="both"/>
      </w:pPr>
      <w:r>
        <w:rPr>
          <w:color w:val="231F20"/>
          <w:w w:val="95"/>
        </w:rPr>
        <w:t>Notwithstanding the</w:t>
      </w:r>
      <w:r>
        <w:rPr>
          <w:color w:val="231F20"/>
          <w:w w:val="95"/>
        </w:rPr>
        <w:t xml:space="preserve">se changes, it is evident that seasonal patterns still </w:t>
      </w:r>
      <w:r>
        <w:rPr>
          <w:color w:val="231F20"/>
        </w:rPr>
        <w:t xml:space="preserve">exist in sport. This is most obvious in the case of winter sports such as </w:t>
      </w:r>
      <w:r>
        <w:rPr>
          <w:color w:val="231F20"/>
          <w:w w:val="95"/>
        </w:rPr>
        <w:t>those that require snow or summer sports such as sailing and scuba diving which are much more attractive to participants in war</w:t>
      </w:r>
      <w:r>
        <w:rPr>
          <w:color w:val="231F20"/>
          <w:w w:val="95"/>
        </w:rPr>
        <w:t xml:space="preserve">m water conditions. The reality of these sport seasons has a direct impact on the seasonality of </w:t>
      </w:r>
      <w:r>
        <w:rPr>
          <w:color w:val="231F20"/>
        </w:rPr>
        <w:t>sport tourism.</w:t>
      </w:r>
    </w:p>
    <w:p w14:paraId="26786DBD" w14:textId="77777777" w:rsidR="00AE0598" w:rsidRDefault="00AE0598">
      <w:pPr>
        <w:spacing w:line="232" w:lineRule="auto"/>
        <w:jc w:val="both"/>
        <w:sectPr w:rsidR="00AE0598">
          <w:pgSz w:w="8850" w:h="13270"/>
          <w:pgMar w:top="720" w:right="1060" w:bottom="280" w:left="1080" w:header="720" w:footer="720" w:gutter="0"/>
          <w:cols w:space="720"/>
        </w:sectPr>
      </w:pPr>
    </w:p>
    <w:p w14:paraId="7516A49A" w14:textId="77777777" w:rsidR="00AE0598" w:rsidRDefault="0069255A">
      <w:pPr>
        <w:spacing w:before="87"/>
        <w:ind w:left="108"/>
        <w:rPr>
          <w:rFonts w:ascii="Trebuchet MS"/>
          <w:sz w:val="14"/>
        </w:rPr>
      </w:pPr>
      <w:r>
        <w:rPr>
          <w:rFonts w:ascii="Trebuchet MS"/>
          <w:color w:val="231F20"/>
          <w:w w:val="105"/>
          <w:sz w:val="14"/>
        </w:rPr>
        <w:lastRenderedPageBreak/>
        <w:t>184</w:t>
      </w:r>
      <w:r>
        <w:rPr>
          <w:rFonts w:ascii="Trebuchet MS"/>
          <w:color w:val="231F20"/>
          <w:spacing w:val="66"/>
          <w:w w:val="150"/>
          <w:sz w:val="14"/>
        </w:rPr>
        <w:t xml:space="preserve"> </w:t>
      </w:r>
      <w:r>
        <w:rPr>
          <w:rFonts w:ascii="Trebuchet MS"/>
          <w:color w:val="231F20"/>
          <w:w w:val="105"/>
          <w:sz w:val="14"/>
        </w:rPr>
        <w:t>Part</w:t>
      </w:r>
      <w:r>
        <w:rPr>
          <w:rFonts w:ascii="Trebuchet MS"/>
          <w:color w:val="231F20"/>
          <w:spacing w:val="-9"/>
          <w:w w:val="105"/>
          <w:sz w:val="14"/>
        </w:rPr>
        <w:t xml:space="preserve"> </w:t>
      </w:r>
      <w:r>
        <w:rPr>
          <w:rFonts w:ascii="Trebuchet MS"/>
          <w:color w:val="231F20"/>
          <w:w w:val="105"/>
          <w:sz w:val="14"/>
        </w:rPr>
        <w:t>4:</w:t>
      </w:r>
      <w:r>
        <w:rPr>
          <w:rFonts w:ascii="Trebuchet MS"/>
          <w:color w:val="231F20"/>
          <w:spacing w:val="-8"/>
          <w:w w:val="105"/>
          <w:sz w:val="14"/>
        </w:rPr>
        <w:t xml:space="preserve"> </w:t>
      </w:r>
      <w:r>
        <w:rPr>
          <w:rFonts w:ascii="Trebuchet MS"/>
          <w:color w:val="231F20"/>
          <w:w w:val="105"/>
          <w:sz w:val="14"/>
        </w:rPr>
        <w:t>Sport</w:t>
      </w:r>
      <w:r>
        <w:rPr>
          <w:rFonts w:ascii="Trebuchet MS"/>
          <w:color w:val="231F20"/>
          <w:spacing w:val="-9"/>
          <w:w w:val="105"/>
          <w:sz w:val="14"/>
        </w:rPr>
        <w:t xml:space="preserve"> </w:t>
      </w:r>
      <w:r>
        <w:rPr>
          <w:rFonts w:ascii="Trebuchet MS"/>
          <w:color w:val="231F20"/>
          <w:w w:val="105"/>
          <w:sz w:val="14"/>
        </w:rPr>
        <w:t>Tourism</w:t>
      </w:r>
      <w:r>
        <w:rPr>
          <w:rFonts w:ascii="Trebuchet MS"/>
          <w:color w:val="231F20"/>
          <w:spacing w:val="-9"/>
          <w:w w:val="105"/>
          <w:sz w:val="14"/>
        </w:rPr>
        <w:t xml:space="preserve"> </w:t>
      </w:r>
      <w:r>
        <w:rPr>
          <w:rFonts w:ascii="Trebuchet MS"/>
          <w:color w:val="231F20"/>
          <w:w w:val="105"/>
          <w:sz w:val="14"/>
        </w:rPr>
        <w:t>Development</w:t>
      </w:r>
      <w:r>
        <w:rPr>
          <w:rFonts w:ascii="Trebuchet MS"/>
          <w:color w:val="231F20"/>
          <w:spacing w:val="-9"/>
          <w:w w:val="105"/>
          <w:sz w:val="14"/>
        </w:rPr>
        <w:t xml:space="preserve"> </w:t>
      </w:r>
      <w:r>
        <w:rPr>
          <w:rFonts w:ascii="Trebuchet MS"/>
          <w:color w:val="231F20"/>
          <w:w w:val="105"/>
          <w:sz w:val="14"/>
        </w:rPr>
        <w:t>and</w:t>
      </w:r>
      <w:r>
        <w:rPr>
          <w:rFonts w:ascii="Trebuchet MS"/>
          <w:color w:val="231F20"/>
          <w:spacing w:val="-8"/>
          <w:w w:val="105"/>
          <w:sz w:val="14"/>
        </w:rPr>
        <w:t xml:space="preserve"> </w:t>
      </w:r>
      <w:r>
        <w:rPr>
          <w:rFonts w:ascii="Trebuchet MS"/>
          <w:color w:val="231F20"/>
          <w:spacing w:val="-4"/>
          <w:w w:val="105"/>
          <w:sz w:val="14"/>
        </w:rPr>
        <w:t>Time</w:t>
      </w:r>
    </w:p>
    <w:p w14:paraId="00B5A9F3" w14:textId="77777777" w:rsidR="00AE0598" w:rsidRDefault="00AE0598">
      <w:pPr>
        <w:pStyle w:val="Corpodetexto"/>
        <w:rPr>
          <w:rFonts w:ascii="Trebuchet MS"/>
          <w:sz w:val="16"/>
        </w:rPr>
      </w:pPr>
    </w:p>
    <w:p w14:paraId="54458872" w14:textId="77777777" w:rsidR="00AE0598" w:rsidRDefault="0069255A">
      <w:pPr>
        <w:spacing w:before="120"/>
        <w:ind w:left="110"/>
        <w:jc w:val="both"/>
        <w:rPr>
          <w:rFonts w:ascii="Trebuchet MS"/>
          <w:sz w:val="20"/>
        </w:rPr>
      </w:pPr>
      <w:r>
        <w:rPr>
          <w:rFonts w:ascii="Trebuchet MS"/>
          <w:color w:val="231F20"/>
          <w:w w:val="105"/>
          <w:sz w:val="20"/>
        </w:rPr>
        <w:t>Sport</w:t>
      </w:r>
      <w:r>
        <w:rPr>
          <w:rFonts w:ascii="Trebuchet MS"/>
          <w:color w:val="231F20"/>
          <w:spacing w:val="-9"/>
          <w:w w:val="105"/>
          <w:sz w:val="20"/>
        </w:rPr>
        <w:t xml:space="preserve"> </w:t>
      </w:r>
      <w:r>
        <w:rPr>
          <w:rFonts w:ascii="Trebuchet MS"/>
          <w:color w:val="231F20"/>
          <w:w w:val="105"/>
          <w:sz w:val="20"/>
        </w:rPr>
        <w:t>as</w:t>
      </w:r>
      <w:r>
        <w:rPr>
          <w:rFonts w:ascii="Trebuchet MS"/>
          <w:color w:val="231F20"/>
          <w:spacing w:val="-8"/>
          <w:w w:val="105"/>
          <w:sz w:val="20"/>
        </w:rPr>
        <w:t xml:space="preserve"> </w:t>
      </w:r>
      <w:r>
        <w:rPr>
          <w:rFonts w:ascii="Trebuchet MS"/>
          <w:color w:val="231F20"/>
          <w:w w:val="105"/>
          <w:sz w:val="20"/>
        </w:rPr>
        <w:t>a</w:t>
      </w:r>
      <w:r>
        <w:rPr>
          <w:rFonts w:ascii="Trebuchet MS"/>
          <w:color w:val="231F20"/>
          <w:spacing w:val="-9"/>
          <w:w w:val="105"/>
          <w:sz w:val="20"/>
        </w:rPr>
        <w:t xml:space="preserve"> </w:t>
      </w:r>
      <w:r>
        <w:rPr>
          <w:rFonts w:ascii="Trebuchet MS"/>
          <w:color w:val="231F20"/>
          <w:w w:val="105"/>
          <w:sz w:val="20"/>
        </w:rPr>
        <w:t>factor</w:t>
      </w:r>
      <w:r>
        <w:rPr>
          <w:rFonts w:ascii="Trebuchet MS"/>
          <w:color w:val="231F20"/>
          <w:spacing w:val="-8"/>
          <w:w w:val="105"/>
          <w:sz w:val="20"/>
        </w:rPr>
        <w:t xml:space="preserve"> </w:t>
      </w:r>
      <w:r>
        <w:rPr>
          <w:rFonts w:ascii="Trebuchet MS"/>
          <w:color w:val="231F20"/>
          <w:w w:val="105"/>
          <w:sz w:val="20"/>
        </w:rPr>
        <w:t>of</w:t>
      </w:r>
      <w:r>
        <w:rPr>
          <w:rFonts w:ascii="Trebuchet MS"/>
          <w:color w:val="231F20"/>
          <w:spacing w:val="-9"/>
          <w:w w:val="105"/>
          <w:sz w:val="20"/>
        </w:rPr>
        <w:t xml:space="preserve"> </w:t>
      </w:r>
      <w:r>
        <w:rPr>
          <w:rFonts w:ascii="Trebuchet MS"/>
          <w:color w:val="231F20"/>
          <w:w w:val="105"/>
          <w:sz w:val="20"/>
        </w:rPr>
        <w:t>tourism</w:t>
      </w:r>
      <w:r>
        <w:rPr>
          <w:rFonts w:ascii="Trebuchet MS"/>
          <w:color w:val="231F20"/>
          <w:spacing w:val="-8"/>
          <w:w w:val="105"/>
          <w:sz w:val="20"/>
        </w:rPr>
        <w:t xml:space="preserve"> </w:t>
      </w:r>
      <w:r>
        <w:rPr>
          <w:rFonts w:ascii="Trebuchet MS"/>
          <w:color w:val="231F20"/>
          <w:spacing w:val="-2"/>
          <w:w w:val="105"/>
          <w:sz w:val="20"/>
        </w:rPr>
        <w:t>seasonality</w:t>
      </w:r>
    </w:p>
    <w:p w14:paraId="0A906DF6" w14:textId="77777777" w:rsidR="00AE0598" w:rsidRDefault="0069255A">
      <w:pPr>
        <w:pStyle w:val="Corpodetexto"/>
        <w:spacing w:before="122" w:line="232" w:lineRule="auto"/>
        <w:ind w:left="110" w:right="123" w:firstLine="320"/>
        <w:jc w:val="both"/>
      </w:pPr>
      <w:r>
        <w:rPr>
          <w:color w:val="231F20"/>
        </w:rPr>
        <w:t>At</w:t>
      </w:r>
      <w:r>
        <w:rPr>
          <w:color w:val="231F20"/>
          <w:spacing w:val="-10"/>
        </w:rPr>
        <w:t xml:space="preserve"> </w:t>
      </w:r>
      <w:r>
        <w:rPr>
          <w:color w:val="231F20"/>
        </w:rPr>
        <w:t>a</w:t>
      </w:r>
      <w:r>
        <w:rPr>
          <w:color w:val="231F20"/>
          <w:spacing w:val="-10"/>
        </w:rPr>
        <w:t xml:space="preserve"> </w:t>
      </w:r>
      <w:r>
        <w:rPr>
          <w:color w:val="231F20"/>
        </w:rPr>
        <w:t>general</w:t>
      </w:r>
      <w:r>
        <w:rPr>
          <w:color w:val="231F20"/>
          <w:spacing w:val="-10"/>
        </w:rPr>
        <w:t xml:space="preserve"> </w:t>
      </w:r>
      <w:r>
        <w:rPr>
          <w:color w:val="231F20"/>
        </w:rPr>
        <w:t>level,</w:t>
      </w:r>
      <w:r>
        <w:rPr>
          <w:color w:val="231F20"/>
          <w:spacing w:val="-10"/>
        </w:rPr>
        <w:t xml:space="preserve"> </w:t>
      </w:r>
      <w:r>
        <w:rPr>
          <w:color w:val="231F20"/>
        </w:rPr>
        <w:t>tourism</w:t>
      </w:r>
      <w:r>
        <w:rPr>
          <w:color w:val="231F20"/>
          <w:spacing w:val="-10"/>
        </w:rPr>
        <w:t xml:space="preserve"> </w:t>
      </w:r>
      <w:r>
        <w:rPr>
          <w:color w:val="231F20"/>
        </w:rPr>
        <w:t>seasonality</w:t>
      </w:r>
      <w:r>
        <w:rPr>
          <w:color w:val="231F20"/>
          <w:spacing w:val="-10"/>
        </w:rPr>
        <w:t xml:space="preserve"> </w:t>
      </w:r>
      <w:r>
        <w:rPr>
          <w:color w:val="231F20"/>
        </w:rPr>
        <w:t>has</w:t>
      </w:r>
      <w:r>
        <w:rPr>
          <w:color w:val="231F20"/>
          <w:spacing w:val="-10"/>
        </w:rPr>
        <w:t xml:space="preserve"> </w:t>
      </w:r>
      <w:r>
        <w:rPr>
          <w:color w:val="231F20"/>
        </w:rPr>
        <w:t>been</w:t>
      </w:r>
      <w:r>
        <w:rPr>
          <w:color w:val="231F20"/>
          <w:spacing w:val="-10"/>
        </w:rPr>
        <w:t xml:space="preserve"> </w:t>
      </w:r>
      <w:r>
        <w:rPr>
          <w:color w:val="231F20"/>
        </w:rPr>
        <w:t>attributed</w:t>
      </w:r>
      <w:r>
        <w:rPr>
          <w:color w:val="231F20"/>
          <w:spacing w:val="-10"/>
        </w:rPr>
        <w:t xml:space="preserve"> </w:t>
      </w:r>
      <w:r>
        <w:rPr>
          <w:color w:val="231F20"/>
        </w:rPr>
        <w:t>to</w:t>
      </w:r>
      <w:r>
        <w:rPr>
          <w:color w:val="231F20"/>
          <w:spacing w:val="-10"/>
        </w:rPr>
        <w:t xml:space="preserve"> </w:t>
      </w:r>
      <w:r>
        <w:rPr>
          <w:color w:val="231F20"/>
        </w:rPr>
        <w:t xml:space="preserve">‘natural’ and ‘institutional’ factors (Baron, 1975; Cannas, 2012; Koenig-Lewis &amp; Bischoff, 2005; Martin </w:t>
      </w:r>
      <w:r>
        <w:rPr>
          <w:i/>
          <w:color w:val="231F20"/>
        </w:rPr>
        <w:t>et al</w:t>
      </w:r>
      <w:r>
        <w:rPr>
          <w:color w:val="231F20"/>
        </w:rPr>
        <w:t>., 2014). Natural seasonality refers to regular temporal</w:t>
      </w:r>
      <w:r>
        <w:rPr>
          <w:color w:val="231F20"/>
          <w:spacing w:val="-5"/>
        </w:rPr>
        <w:t xml:space="preserve"> </w:t>
      </w:r>
      <w:r>
        <w:rPr>
          <w:color w:val="231F20"/>
        </w:rPr>
        <w:t>variations</w:t>
      </w:r>
      <w:r>
        <w:rPr>
          <w:color w:val="231F20"/>
          <w:spacing w:val="-5"/>
        </w:rPr>
        <w:t xml:space="preserve"> </w:t>
      </w:r>
      <w:r>
        <w:rPr>
          <w:color w:val="231F20"/>
        </w:rPr>
        <w:t>in</w:t>
      </w:r>
      <w:r>
        <w:rPr>
          <w:color w:val="231F20"/>
          <w:spacing w:val="-5"/>
        </w:rPr>
        <w:t xml:space="preserve"> </w:t>
      </w:r>
      <w:r>
        <w:rPr>
          <w:color w:val="231F20"/>
        </w:rPr>
        <w:t>natural</w:t>
      </w:r>
      <w:r>
        <w:rPr>
          <w:color w:val="231F20"/>
          <w:spacing w:val="-5"/>
        </w:rPr>
        <w:t xml:space="preserve"> </w:t>
      </w:r>
      <w:r>
        <w:rPr>
          <w:color w:val="231F20"/>
        </w:rPr>
        <w:t>phenomena,</w:t>
      </w:r>
      <w:r>
        <w:rPr>
          <w:color w:val="231F20"/>
          <w:spacing w:val="-5"/>
        </w:rPr>
        <w:t xml:space="preserve"> </w:t>
      </w:r>
      <w:r>
        <w:rPr>
          <w:color w:val="231F20"/>
        </w:rPr>
        <w:t>particularly</w:t>
      </w:r>
      <w:r>
        <w:rPr>
          <w:color w:val="231F20"/>
          <w:spacing w:val="-5"/>
        </w:rPr>
        <w:t xml:space="preserve"> </w:t>
      </w:r>
      <w:r>
        <w:rPr>
          <w:color w:val="231F20"/>
        </w:rPr>
        <w:t>those</w:t>
      </w:r>
      <w:r>
        <w:rPr>
          <w:color w:val="231F20"/>
          <w:spacing w:val="-5"/>
        </w:rPr>
        <w:t xml:space="preserve"> </w:t>
      </w:r>
      <w:r>
        <w:rPr>
          <w:color w:val="231F20"/>
        </w:rPr>
        <w:t xml:space="preserve">associated </w:t>
      </w:r>
      <w:r>
        <w:rPr>
          <w:color w:val="231F20"/>
          <w:w w:val="95"/>
        </w:rPr>
        <w:t xml:space="preserve">with cyclical climatic changes throughout the year (Butler, 1994; Gomez- </w:t>
      </w:r>
      <w:r>
        <w:rPr>
          <w:color w:val="231F20"/>
        </w:rPr>
        <w:t xml:space="preserve">Martin, 2005). These variations impact demand as well as supply. For </w:t>
      </w:r>
      <w:r>
        <w:rPr>
          <w:color w:val="231F20"/>
          <w:w w:val="95"/>
        </w:rPr>
        <w:t>example, climate is of fundamental importance to sport tourism in higher latitude de</w:t>
      </w:r>
      <w:r>
        <w:rPr>
          <w:color w:val="231F20"/>
          <w:w w:val="95"/>
        </w:rPr>
        <w:t>stinations, although it is often considered as a nuisance factor or constraint to tourist development. Kreutzwiser (1989) contends that</w:t>
      </w:r>
    </w:p>
    <w:p w14:paraId="61D72E90" w14:textId="77777777" w:rsidR="00AE0598" w:rsidRDefault="00AE0598">
      <w:pPr>
        <w:pStyle w:val="Corpodetexto"/>
        <w:spacing w:before="8"/>
      </w:pPr>
    </w:p>
    <w:p w14:paraId="17222CFF" w14:textId="77777777" w:rsidR="00AE0598" w:rsidRDefault="0069255A">
      <w:pPr>
        <w:spacing w:line="244" w:lineRule="auto"/>
        <w:ind w:left="430" w:right="127"/>
        <w:jc w:val="both"/>
        <w:rPr>
          <w:sz w:val="20"/>
        </w:rPr>
      </w:pPr>
      <w:r>
        <w:rPr>
          <w:color w:val="231F20"/>
          <w:sz w:val="20"/>
        </w:rPr>
        <w:t xml:space="preserve">Climate and weather conditions </w:t>
      </w:r>
      <w:r>
        <w:rPr>
          <w:color w:val="231F20"/>
          <w:w w:val="105"/>
          <w:sz w:val="20"/>
        </w:rPr>
        <w:t xml:space="preserve">... </w:t>
      </w:r>
      <w:r>
        <w:rPr>
          <w:color w:val="231F20"/>
          <w:sz w:val="20"/>
        </w:rPr>
        <w:t>influence how satisfying particular recreational (sport) outings will be. Air temper</w:t>
      </w:r>
      <w:r>
        <w:rPr>
          <w:color w:val="231F20"/>
          <w:sz w:val="20"/>
        </w:rPr>
        <w:t>ature, humidity, precipitation, cloudiness, amount of daylight, visibility, wind, water temperature,</w:t>
      </w:r>
      <w:r>
        <w:rPr>
          <w:color w:val="231F20"/>
          <w:spacing w:val="-7"/>
          <w:sz w:val="20"/>
        </w:rPr>
        <w:t xml:space="preserve"> </w:t>
      </w:r>
      <w:r>
        <w:rPr>
          <w:color w:val="231F20"/>
          <w:sz w:val="20"/>
        </w:rPr>
        <w:t>and</w:t>
      </w:r>
      <w:r>
        <w:rPr>
          <w:color w:val="231F20"/>
          <w:spacing w:val="-7"/>
          <w:sz w:val="20"/>
        </w:rPr>
        <w:t xml:space="preserve"> </w:t>
      </w:r>
      <w:r>
        <w:rPr>
          <w:color w:val="231F20"/>
          <w:sz w:val="20"/>
        </w:rPr>
        <w:t>snow</w:t>
      </w:r>
      <w:r>
        <w:rPr>
          <w:color w:val="231F20"/>
          <w:spacing w:val="-7"/>
          <w:sz w:val="20"/>
        </w:rPr>
        <w:t xml:space="preserve"> </w:t>
      </w:r>
      <w:r>
        <w:rPr>
          <w:color w:val="231F20"/>
          <w:sz w:val="20"/>
        </w:rPr>
        <w:t>and</w:t>
      </w:r>
      <w:r>
        <w:rPr>
          <w:color w:val="231F20"/>
          <w:spacing w:val="-7"/>
          <w:sz w:val="20"/>
        </w:rPr>
        <w:t xml:space="preserve"> </w:t>
      </w:r>
      <w:r>
        <w:rPr>
          <w:color w:val="231F20"/>
          <w:sz w:val="20"/>
        </w:rPr>
        <w:t>ice</w:t>
      </w:r>
      <w:r>
        <w:rPr>
          <w:color w:val="231F20"/>
          <w:spacing w:val="-7"/>
          <w:sz w:val="20"/>
        </w:rPr>
        <w:t xml:space="preserve"> </w:t>
      </w:r>
      <w:r>
        <w:rPr>
          <w:color w:val="231F20"/>
          <w:sz w:val="20"/>
        </w:rPr>
        <w:t>cover</w:t>
      </w:r>
      <w:r>
        <w:rPr>
          <w:color w:val="231F20"/>
          <w:spacing w:val="-7"/>
          <w:sz w:val="20"/>
        </w:rPr>
        <w:t xml:space="preserve"> </w:t>
      </w:r>
      <w:r>
        <w:rPr>
          <w:color w:val="231F20"/>
          <w:sz w:val="20"/>
        </w:rPr>
        <w:t>are</w:t>
      </w:r>
      <w:r>
        <w:rPr>
          <w:color w:val="231F20"/>
          <w:spacing w:val="-7"/>
          <w:sz w:val="20"/>
        </w:rPr>
        <w:t xml:space="preserve"> </w:t>
      </w:r>
      <w:r>
        <w:rPr>
          <w:color w:val="231F20"/>
          <w:sz w:val="20"/>
        </w:rPr>
        <w:t>among</w:t>
      </w:r>
      <w:r>
        <w:rPr>
          <w:color w:val="231F20"/>
          <w:spacing w:val="-7"/>
          <w:sz w:val="20"/>
        </w:rPr>
        <w:t xml:space="preserve"> </w:t>
      </w:r>
      <w:r>
        <w:rPr>
          <w:color w:val="231F20"/>
          <w:sz w:val="20"/>
        </w:rPr>
        <w:t>the</w:t>
      </w:r>
      <w:r>
        <w:rPr>
          <w:color w:val="231F20"/>
          <w:spacing w:val="-7"/>
          <w:sz w:val="20"/>
        </w:rPr>
        <w:t xml:space="preserve"> </w:t>
      </w:r>
      <w:r>
        <w:rPr>
          <w:color w:val="231F20"/>
          <w:sz w:val="20"/>
        </w:rPr>
        <w:t>parameters</w:t>
      </w:r>
      <w:r>
        <w:rPr>
          <w:color w:val="231F20"/>
          <w:spacing w:val="-7"/>
          <w:sz w:val="20"/>
        </w:rPr>
        <w:t xml:space="preserve"> </w:t>
      </w:r>
      <w:r>
        <w:rPr>
          <w:color w:val="231F20"/>
          <w:sz w:val="20"/>
        </w:rPr>
        <w:t>deemed to</w:t>
      </w:r>
      <w:r>
        <w:rPr>
          <w:color w:val="231F20"/>
          <w:spacing w:val="-8"/>
          <w:sz w:val="20"/>
        </w:rPr>
        <w:t xml:space="preserve"> </w:t>
      </w:r>
      <w:r>
        <w:rPr>
          <w:color w:val="231F20"/>
          <w:sz w:val="20"/>
        </w:rPr>
        <w:t>be</w:t>
      </w:r>
      <w:r>
        <w:rPr>
          <w:color w:val="231F20"/>
          <w:spacing w:val="-8"/>
          <w:sz w:val="20"/>
        </w:rPr>
        <w:t xml:space="preserve"> </w:t>
      </w:r>
      <w:r>
        <w:rPr>
          <w:color w:val="231F20"/>
          <w:sz w:val="20"/>
        </w:rPr>
        <w:t>important...</w:t>
      </w:r>
      <w:r>
        <w:rPr>
          <w:color w:val="231F20"/>
          <w:spacing w:val="-8"/>
          <w:sz w:val="20"/>
        </w:rPr>
        <w:t xml:space="preserve"> </w:t>
      </w:r>
      <w:r>
        <w:rPr>
          <w:color w:val="231F20"/>
          <w:sz w:val="20"/>
        </w:rPr>
        <w:t>In</w:t>
      </w:r>
      <w:r>
        <w:rPr>
          <w:color w:val="231F20"/>
          <w:spacing w:val="-8"/>
          <w:sz w:val="20"/>
        </w:rPr>
        <w:t xml:space="preserve"> </w:t>
      </w:r>
      <w:r>
        <w:rPr>
          <w:color w:val="231F20"/>
          <w:sz w:val="20"/>
        </w:rPr>
        <w:t>summer,</w:t>
      </w:r>
      <w:r>
        <w:rPr>
          <w:color w:val="231F20"/>
          <w:spacing w:val="-8"/>
          <w:sz w:val="20"/>
        </w:rPr>
        <w:t xml:space="preserve"> </w:t>
      </w:r>
      <w:r>
        <w:rPr>
          <w:color w:val="231F20"/>
          <w:sz w:val="20"/>
        </w:rPr>
        <w:t>air</w:t>
      </w:r>
      <w:r>
        <w:rPr>
          <w:color w:val="231F20"/>
          <w:spacing w:val="-8"/>
          <w:sz w:val="20"/>
        </w:rPr>
        <w:t xml:space="preserve"> </w:t>
      </w:r>
      <w:r>
        <w:rPr>
          <w:color w:val="231F20"/>
          <w:sz w:val="20"/>
        </w:rPr>
        <w:t>temperature</w:t>
      </w:r>
      <w:r>
        <w:rPr>
          <w:color w:val="231F20"/>
          <w:spacing w:val="-8"/>
          <w:sz w:val="20"/>
        </w:rPr>
        <w:t xml:space="preserve"> </w:t>
      </w:r>
      <w:r>
        <w:rPr>
          <w:color w:val="231F20"/>
          <w:sz w:val="20"/>
        </w:rPr>
        <w:t>and</w:t>
      </w:r>
      <w:r>
        <w:rPr>
          <w:color w:val="231F20"/>
          <w:spacing w:val="-8"/>
          <w:sz w:val="20"/>
        </w:rPr>
        <w:t xml:space="preserve"> </w:t>
      </w:r>
      <w:r>
        <w:rPr>
          <w:color w:val="231F20"/>
          <w:sz w:val="20"/>
        </w:rPr>
        <w:t>humidity</w:t>
      </w:r>
      <w:r>
        <w:rPr>
          <w:color w:val="231F20"/>
          <w:spacing w:val="-8"/>
          <w:sz w:val="20"/>
        </w:rPr>
        <w:t xml:space="preserve"> </w:t>
      </w:r>
      <w:r>
        <w:rPr>
          <w:color w:val="231F20"/>
          <w:sz w:val="20"/>
        </w:rPr>
        <w:t>can</w:t>
      </w:r>
      <w:r>
        <w:rPr>
          <w:color w:val="231F20"/>
          <w:spacing w:val="-8"/>
          <w:sz w:val="20"/>
        </w:rPr>
        <w:t xml:space="preserve"> </w:t>
      </w:r>
      <w:r>
        <w:rPr>
          <w:color w:val="231F20"/>
          <w:sz w:val="20"/>
        </w:rPr>
        <w:t>combine to create uncomfortable condi</w:t>
      </w:r>
      <w:r>
        <w:rPr>
          <w:color w:val="231F20"/>
          <w:sz w:val="20"/>
        </w:rPr>
        <w:t xml:space="preserve">tions for vigorous activities, while wind and temperature in winter can create a wind chill hazardous to outdoor </w:t>
      </w:r>
      <w:r>
        <w:rPr>
          <w:color w:val="231F20"/>
          <w:w w:val="95"/>
          <w:sz w:val="20"/>
        </w:rPr>
        <w:t>recreationists. (Kreutzwiser, 1989: 2930)</w:t>
      </w:r>
    </w:p>
    <w:p w14:paraId="1524EE95" w14:textId="77777777" w:rsidR="00AE0598" w:rsidRDefault="00AE0598">
      <w:pPr>
        <w:pStyle w:val="Corpodetexto"/>
        <w:spacing w:before="9"/>
        <w:rPr>
          <w:sz w:val="20"/>
        </w:rPr>
      </w:pPr>
    </w:p>
    <w:p w14:paraId="44E18998" w14:textId="77777777" w:rsidR="00AE0598" w:rsidRDefault="0069255A">
      <w:pPr>
        <w:pStyle w:val="Corpodetexto"/>
        <w:spacing w:line="232" w:lineRule="auto"/>
        <w:ind w:left="110" w:right="127"/>
        <w:jc w:val="both"/>
      </w:pPr>
      <w:r>
        <w:rPr>
          <w:color w:val="231F20"/>
          <w:w w:val="95"/>
        </w:rPr>
        <w:t>These climatic variations are closely correlated with other cyclical events</w:t>
      </w:r>
      <w:r>
        <w:rPr>
          <w:color w:val="231F20"/>
          <w:spacing w:val="80"/>
        </w:rPr>
        <w:t xml:space="preserve"> </w:t>
      </w:r>
      <w:r>
        <w:rPr>
          <w:color w:val="231F20"/>
        </w:rPr>
        <w:t>in the natural realm, su</w:t>
      </w:r>
      <w:r>
        <w:rPr>
          <w:color w:val="231F20"/>
        </w:rPr>
        <w:t xml:space="preserve">ch as plant growth, animal behaviour and water </w:t>
      </w:r>
      <w:r>
        <w:rPr>
          <w:color w:val="231F20"/>
          <w:w w:val="95"/>
        </w:rPr>
        <w:t xml:space="preserve">flows and a range of other destination characteristics that may have direct </w:t>
      </w:r>
      <w:r>
        <w:rPr>
          <w:color w:val="231F20"/>
        </w:rPr>
        <w:t>or indirect impacts on sport tourism activities.</w:t>
      </w:r>
    </w:p>
    <w:p w14:paraId="1B68604A" w14:textId="77777777" w:rsidR="00AE0598" w:rsidRDefault="0069255A">
      <w:pPr>
        <w:pStyle w:val="Corpodetexto"/>
        <w:spacing w:before="5" w:line="232" w:lineRule="auto"/>
        <w:ind w:left="110" w:right="127" w:firstLine="320"/>
        <w:jc w:val="both"/>
      </w:pPr>
      <w:r>
        <w:rPr>
          <w:color w:val="231F20"/>
          <w:w w:val="95"/>
        </w:rPr>
        <w:t>By contrast, institutional factors reflect the social norms and practices</w:t>
      </w:r>
      <w:r>
        <w:rPr>
          <w:color w:val="231F20"/>
          <w:spacing w:val="40"/>
        </w:rPr>
        <w:t xml:space="preserve"> </w:t>
      </w:r>
      <w:r>
        <w:rPr>
          <w:color w:val="231F20"/>
        </w:rPr>
        <w:t>of society (Hinch &amp; Hickey, 1996; Koenig-Lewis &amp; Bischoff, 2005).</w:t>
      </w:r>
      <w:r>
        <w:rPr>
          <w:color w:val="231F20"/>
          <w:spacing w:val="80"/>
        </w:rPr>
        <w:t xml:space="preserve"> </w:t>
      </w:r>
      <w:r>
        <w:rPr>
          <w:color w:val="231F20"/>
        </w:rPr>
        <w:t>These include religious, cultural, ethnic, social and economic practices</w:t>
      </w:r>
      <w:r>
        <w:rPr>
          <w:color w:val="231F20"/>
          <w:spacing w:val="40"/>
        </w:rPr>
        <w:t xml:space="preserve"> </w:t>
      </w:r>
      <w:r>
        <w:rPr>
          <w:color w:val="231F20"/>
        </w:rPr>
        <w:t>as epitomised by religious, school and indu</w:t>
      </w:r>
      <w:r>
        <w:rPr>
          <w:color w:val="231F20"/>
        </w:rPr>
        <w:t>strial holidays. Two of the most</w:t>
      </w:r>
      <w:r>
        <w:rPr>
          <w:color w:val="231F20"/>
          <w:spacing w:val="-8"/>
        </w:rPr>
        <w:t xml:space="preserve"> </w:t>
      </w:r>
      <w:r>
        <w:rPr>
          <w:color w:val="231F20"/>
        </w:rPr>
        <w:t>prevalent</w:t>
      </w:r>
      <w:r>
        <w:rPr>
          <w:color w:val="231F20"/>
          <w:spacing w:val="-8"/>
        </w:rPr>
        <w:t xml:space="preserve"> </w:t>
      </w:r>
      <w:r>
        <w:rPr>
          <w:color w:val="231F20"/>
        </w:rPr>
        <w:t>institutional</w:t>
      </w:r>
      <w:r>
        <w:rPr>
          <w:color w:val="231F20"/>
          <w:spacing w:val="-8"/>
        </w:rPr>
        <w:t xml:space="preserve"> </w:t>
      </w:r>
      <w:r>
        <w:rPr>
          <w:color w:val="231F20"/>
        </w:rPr>
        <w:t>constraints</w:t>
      </w:r>
      <w:r>
        <w:rPr>
          <w:color w:val="231F20"/>
          <w:spacing w:val="-8"/>
        </w:rPr>
        <w:t xml:space="preserve"> </w:t>
      </w:r>
      <w:r>
        <w:rPr>
          <w:color w:val="231F20"/>
        </w:rPr>
        <w:t>on</w:t>
      </w:r>
      <w:r>
        <w:rPr>
          <w:color w:val="231F20"/>
          <w:spacing w:val="-8"/>
        </w:rPr>
        <w:t xml:space="preserve"> </w:t>
      </w:r>
      <w:r>
        <w:rPr>
          <w:color w:val="231F20"/>
        </w:rPr>
        <w:t>the</w:t>
      </w:r>
      <w:r>
        <w:rPr>
          <w:color w:val="231F20"/>
          <w:spacing w:val="-8"/>
        </w:rPr>
        <w:t xml:space="preserve"> </w:t>
      </w:r>
      <w:r>
        <w:rPr>
          <w:color w:val="231F20"/>
        </w:rPr>
        <w:t>scheduling</w:t>
      </w:r>
      <w:r>
        <w:rPr>
          <w:color w:val="231F20"/>
          <w:spacing w:val="-8"/>
        </w:rPr>
        <w:t xml:space="preserve"> </w:t>
      </w:r>
      <w:r>
        <w:rPr>
          <w:color w:val="231F20"/>
        </w:rPr>
        <w:t>of</w:t>
      </w:r>
      <w:r>
        <w:rPr>
          <w:color w:val="231F20"/>
          <w:spacing w:val="-8"/>
        </w:rPr>
        <w:t xml:space="preserve"> </w:t>
      </w:r>
      <w:r>
        <w:rPr>
          <w:color w:val="231F20"/>
        </w:rPr>
        <w:t>sport</w:t>
      </w:r>
      <w:r>
        <w:rPr>
          <w:color w:val="231F20"/>
          <w:spacing w:val="-8"/>
        </w:rPr>
        <w:t xml:space="preserve"> </w:t>
      </w:r>
      <w:r>
        <w:rPr>
          <w:color w:val="231F20"/>
        </w:rPr>
        <w:t xml:space="preserve">travel are school and work commitments (Cannas, 2012; Martin </w:t>
      </w:r>
      <w:r>
        <w:rPr>
          <w:i/>
          <w:color w:val="231F20"/>
        </w:rPr>
        <w:t>et al</w:t>
      </w:r>
      <w:r>
        <w:rPr>
          <w:color w:val="231F20"/>
        </w:rPr>
        <w:t>., 2014). Tradition also plays a large part in the scheduling of these vacations. Changing rel</w:t>
      </w:r>
      <w:r>
        <w:rPr>
          <w:color w:val="231F20"/>
        </w:rPr>
        <w:t>igious views, social norms, transportation options and technological advances may moderate these forces.</w:t>
      </w:r>
    </w:p>
    <w:p w14:paraId="0E42C915" w14:textId="77777777" w:rsidR="00AE0598" w:rsidRDefault="0069255A">
      <w:pPr>
        <w:pStyle w:val="Corpodetexto"/>
        <w:spacing w:before="11" w:line="232" w:lineRule="auto"/>
        <w:ind w:left="110" w:right="127" w:firstLine="320"/>
        <w:jc w:val="both"/>
      </w:pPr>
      <w:r>
        <w:rPr>
          <w:color w:val="231F20"/>
        </w:rPr>
        <w:t>Butler</w:t>
      </w:r>
      <w:r>
        <w:rPr>
          <w:color w:val="231F20"/>
          <w:spacing w:val="-4"/>
        </w:rPr>
        <w:t xml:space="preserve"> </w:t>
      </w:r>
      <w:r>
        <w:rPr>
          <w:color w:val="231F20"/>
        </w:rPr>
        <w:t>(1994,</w:t>
      </w:r>
      <w:r>
        <w:rPr>
          <w:color w:val="231F20"/>
          <w:spacing w:val="-4"/>
        </w:rPr>
        <w:t xml:space="preserve"> </w:t>
      </w:r>
      <w:r>
        <w:rPr>
          <w:color w:val="231F20"/>
        </w:rPr>
        <w:t>2001)</w:t>
      </w:r>
      <w:r>
        <w:rPr>
          <w:color w:val="231F20"/>
          <w:spacing w:val="-4"/>
        </w:rPr>
        <w:t xml:space="preserve"> </w:t>
      </w:r>
      <w:r>
        <w:rPr>
          <w:color w:val="231F20"/>
        </w:rPr>
        <w:t>identified</w:t>
      </w:r>
      <w:r>
        <w:rPr>
          <w:color w:val="231F20"/>
          <w:spacing w:val="-4"/>
        </w:rPr>
        <w:t xml:space="preserve"> </w:t>
      </w:r>
      <w:r>
        <w:rPr>
          <w:color w:val="231F20"/>
        </w:rPr>
        <w:t>three</w:t>
      </w:r>
      <w:r>
        <w:rPr>
          <w:color w:val="231F20"/>
          <w:spacing w:val="-4"/>
        </w:rPr>
        <w:t xml:space="preserve"> </w:t>
      </w:r>
      <w:r>
        <w:rPr>
          <w:color w:val="231F20"/>
        </w:rPr>
        <w:t>additional</w:t>
      </w:r>
      <w:r>
        <w:rPr>
          <w:color w:val="231F20"/>
          <w:spacing w:val="-4"/>
        </w:rPr>
        <w:t xml:space="preserve"> </w:t>
      </w:r>
      <w:r>
        <w:rPr>
          <w:color w:val="231F20"/>
        </w:rPr>
        <w:t>causes</w:t>
      </w:r>
      <w:r>
        <w:rPr>
          <w:color w:val="231F20"/>
          <w:spacing w:val="-4"/>
        </w:rPr>
        <w:t xml:space="preserve"> </w:t>
      </w:r>
      <w:r>
        <w:rPr>
          <w:color w:val="231F20"/>
        </w:rPr>
        <w:t>of</w:t>
      </w:r>
      <w:r>
        <w:rPr>
          <w:color w:val="231F20"/>
          <w:spacing w:val="-4"/>
        </w:rPr>
        <w:t xml:space="preserve"> </w:t>
      </w:r>
      <w:r>
        <w:rPr>
          <w:color w:val="231F20"/>
        </w:rPr>
        <w:t>seasonality. The first of these is social pressure or fashion, which is usually set by celebr</w:t>
      </w:r>
      <w:r>
        <w:rPr>
          <w:color w:val="231F20"/>
        </w:rPr>
        <w:t xml:space="preserve">ities and other privileged classes within society. A sport example of this factor would be media attention given to celebrities at yachting </w:t>
      </w:r>
      <w:r>
        <w:rPr>
          <w:color w:val="231F20"/>
          <w:w w:val="95"/>
        </w:rPr>
        <w:t>regattas and horse racing meets. Inertia or tradition is a second seasonality factor (also Cannas, 2012). People ten</w:t>
      </w:r>
      <w:r>
        <w:rPr>
          <w:color w:val="231F20"/>
          <w:w w:val="95"/>
        </w:rPr>
        <w:t xml:space="preserve">d to be creatures of habit and if they have traditionally taken their holiday during a given time of the year, they </w:t>
      </w:r>
      <w:r>
        <w:rPr>
          <w:color w:val="231F20"/>
        </w:rPr>
        <w:t xml:space="preserve">will likely continue to do so. For example, even upon retirement, many </w:t>
      </w:r>
      <w:r>
        <w:rPr>
          <w:color w:val="231F20"/>
          <w:w w:val="95"/>
        </w:rPr>
        <w:t>individuals will take an ‘annual vacation’ during the same period tha</w:t>
      </w:r>
      <w:r>
        <w:rPr>
          <w:color w:val="231F20"/>
          <w:w w:val="95"/>
        </w:rPr>
        <w:t xml:space="preserve">t they </w:t>
      </w:r>
      <w:r>
        <w:rPr>
          <w:color w:val="231F20"/>
        </w:rPr>
        <w:t>were</w:t>
      </w:r>
      <w:r>
        <w:rPr>
          <w:color w:val="231F20"/>
          <w:spacing w:val="5"/>
        </w:rPr>
        <w:t xml:space="preserve"> </w:t>
      </w:r>
      <w:r>
        <w:rPr>
          <w:color w:val="231F20"/>
        </w:rPr>
        <w:t>previously</w:t>
      </w:r>
      <w:r>
        <w:rPr>
          <w:color w:val="231F20"/>
          <w:spacing w:val="5"/>
        </w:rPr>
        <w:t xml:space="preserve"> </w:t>
      </w:r>
      <w:r>
        <w:rPr>
          <w:color w:val="231F20"/>
        </w:rPr>
        <w:t>constrained</w:t>
      </w:r>
      <w:r>
        <w:rPr>
          <w:color w:val="231F20"/>
          <w:spacing w:val="5"/>
        </w:rPr>
        <w:t xml:space="preserve"> </w:t>
      </w:r>
      <w:r>
        <w:rPr>
          <w:color w:val="231F20"/>
        </w:rPr>
        <w:t>to</w:t>
      </w:r>
      <w:r>
        <w:rPr>
          <w:color w:val="231F20"/>
          <w:spacing w:val="5"/>
        </w:rPr>
        <w:t xml:space="preserve"> </w:t>
      </w:r>
      <w:r>
        <w:rPr>
          <w:color w:val="231F20"/>
        </w:rPr>
        <w:t>due</w:t>
      </w:r>
      <w:r>
        <w:rPr>
          <w:color w:val="231F20"/>
          <w:spacing w:val="5"/>
        </w:rPr>
        <w:t xml:space="preserve"> </w:t>
      </w:r>
      <w:r>
        <w:rPr>
          <w:color w:val="231F20"/>
        </w:rPr>
        <w:t>to</w:t>
      </w:r>
      <w:r>
        <w:rPr>
          <w:color w:val="231F20"/>
          <w:spacing w:val="5"/>
        </w:rPr>
        <w:t xml:space="preserve"> </w:t>
      </w:r>
      <w:r>
        <w:rPr>
          <w:color w:val="231F20"/>
        </w:rPr>
        <w:t>their</w:t>
      </w:r>
      <w:r>
        <w:rPr>
          <w:color w:val="231F20"/>
          <w:spacing w:val="6"/>
        </w:rPr>
        <w:t xml:space="preserve"> </w:t>
      </w:r>
      <w:r>
        <w:rPr>
          <w:color w:val="231F20"/>
        </w:rPr>
        <w:t>jobs.</w:t>
      </w:r>
      <w:r>
        <w:rPr>
          <w:color w:val="231F20"/>
          <w:spacing w:val="5"/>
        </w:rPr>
        <w:t xml:space="preserve"> </w:t>
      </w:r>
      <w:r>
        <w:rPr>
          <w:color w:val="231F20"/>
        </w:rPr>
        <w:t>Finally,</w:t>
      </w:r>
      <w:r>
        <w:rPr>
          <w:color w:val="231F20"/>
          <w:spacing w:val="5"/>
        </w:rPr>
        <w:t xml:space="preserve"> </w:t>
      </w:r>
      <w:r>
        <w:rPr>
          <w:color w:val="231F20"/>
        </w:rPr>
        <w:t>the</w:t>
      </w:r>
      <w:r>
        <w:rPr>
          <w:color w:val="231F20"/>
          <w:spacing w:val="5"/>
        </w:rPr>
        <w:t xml:space="preserve"> </w:t>
      </w:r>
      <w:r>
        <w:rPr>
          <w:color w:val="231F20"/>
          <w:spacing w:val="-2"/>
        </w:rPr>
        <w:t>scheduling</w:t>
      </w:r>
    </w:p>
    <w:p w14:paraId="3328E812" w14:textId="77777777" w:rsidR="00AE0598" w:rsidRDefault="00AE0598">
      <w:pPr>
        <w:spacing w:line="232" w:lineRule="auto"/>
        <w:jc w:val="both"/>
        <w:sectPr w:rsidR="00AE0598">
          <w:pgSz w:w="8850" w:h="13270"/>
          <w:pgMar w:top="720" w:right="1060" w:bottom="280" w:left="1080" w:header="720" w:footer="720" w:gutter="0"/>
          <w:cols w:space="720"/>
        </w:sectPr>
      </w:pPr>
    </w:p>
    <w:p w14:paraId="435BD248" w14:textId="77777777" w:rsidR="00AE0598" w:rsidRDefault="0069255A">
      <w:pPr>
        <w:spacing w:before="87"/>
        <w:ind w:left="4213"/>
        <w:rPr>
          <w:rFonts w:ascii="Trebuchet MS"/>
          <w:sz w:val="14"/>
        </w:rPr>
      </w:pPr>
      <w:r>
        <w:rPr>
          <w:rFonts w:ascii="Trebuchet MS"/>
          <w:color w:val="231F20"/>
          <w:w w:val="105"/>
          <w:sz w:val="14"/>
        </w:rPr>
        <w:lastRenderedPageBreak/>
        <w:t>Seasonality,</w:t>
      </w:r>
      <w:r>
        <w:rPr>
          <w:rFonts w:ascii="Trebuchet MS"/>
          <w:color w:val="231F20"/>
          <w:spacing w:val="-12"/>
          <w:w w:val="105"/>
          <w:sz w:val="14"/>
        </w:rPr>
        <w:t xml:space="preserve"> </w:t>
      </w:r>
      <w:r>
        <w:rPr>
          <w:rFonts w:ascii="Trebuchet MS"/>
          <w:color w:val="231F20"/>
          <w:w w:val="105"/>
          <w:sz w:val="14"/>
        </w:rPr>
        <w:t>Sport</w:t>
      </w:r>
      <w:r>
        <w:rPr>
          <w:rFonts w:ascii="Trebuchet MS"/>
          <w:color w:val="231F20"/>
          <w:spacing w:val="-11"/>
          <w:w w:val="105"/>
          <w:sz w:val="14"/>
        </w:rPr>
        <w:t xml:space="preserve"> </w:t>
      </w:r>
      <w:r>
        <w:rPr>
          <w:rFonts w:ascii="Trebuchet MS"/>
          <w:color w:val="231F20"/>
          <w:w w:val="105"/>
          <w:sz w:val="14"/>
        </w:rPr>
        <w:t>and</w:t>
      </w:r>
      <w:r>
        <w:rPr>
          <w:rFonts w:ascii="Trebuchet MS"/>
          <w:color w:val="231F20"/>
          <w:spacing w:val="-11"/>
          <w:w w:val="105"/>
          <w:sz w:val="14"/>
        </w:rPr>
        <w:t xml:space="preserve"> </w:t>
      </w:r>
      <w:r>
        <w:rPr>
          <w:rFonts w:ascii="Trebuchet MS"/>
          <w:color w:val="231F20"/>
          <w:w w:val="105"/>
          <w:sz w:val="14"/>
        </w:rPr>
        <w:t>Tourism</w:t>
      </w:r>
      <w:r>
        <w:rPr>
          <w:rFonts w:ascii="Trebuchet MS"/>
          <w:color w:val="231F20"/>
          <w:spacing w:val="60"/>
          <w:w w:val="105"/>
          <w:sz w:val="14"/>
        </w:rPr>
        <w:t xml:space="preserve"> </w:t>
      </w:r>
      <w:r>
        <w:rPr>
          <w:rFonts w:ascii="Trebuchet MS"/>
          <w:color w:val="231F20"/>
          <w:spacing w:val="-5"/>
          <w:w w:val="105"/>
          <w:sz w:val="14"/>
        </w:rPr>
        <w:t>185</w:t>
      </w:r>
    </w:p>
    <w:p w14:paraId="349EE288" w14:textId="77777777" w:rsidR="00AE0598" w:rsidRDefault="00AE0598">
      <w:pPr>
        <w:pStyle w:val="Corpodetexto"/>
        <w:rPr>
          <w:rFonts w:ascii="Trebuchet MS"/>
          <w:sz w:val="16"/>
        </w:rPr>
      </w:pPr>
    </w:p>
    <w:p w14:paraId="4E655518" w14:textId="77777777" w:rsidR="00AE0598" w:rsidRDefault="0069255A">
      <w:pPr>
        <w:pStyle w:val="Corpodetexto"/>
        <w:spacing w:before="118" w:line="232" w:lineRule="auto"/>
        <w:ind w:left="110" w:right="127"/>
        <w:jc w:val="both"/>
      </w:pPr>
      <w:r>
        <w:rPr>
          <w:color w:val="231F20"/>
        </w:rPr>
        <w:t>of sporting seasons is a factor in its own right. Butler (2001) makes the case that sport seasons have a direct impact on tourism seasons. Winter sports such as skiing, snowboarding and snowmobiling are perhaps the most</w:t>
      </w:r>
      <w:r>
        <w:rPr>
          <w:color w:val="231F20"/>
          <w:spacing w:val="-8"/>
        </w:rPr>
        <w:t xml:space="preserve"> </w:t>
      </w:r>
      <w:r>
        <w:rPr>
          <w:color w:val="231F20"/>
        </w:rPr>
        <w:t>obvious</w:t>
      </w:r>
      <w:r>
        <w:rPr>
          <w:color w:val="231F20"/>
          <w:spacing w:val="-8"/>
        </w:rPr>
        <w:t xml:space="preserve"> </w:t>
      </w:r>
      <w:r>
        <w:rPr>
          <w:color w:val="231F20"/>
        </w:rPr>
        <w:t>examples,</w:t>
      </w:r>
      <w:r>
        <w:rPr>
          <w:color w:val="231F20"/>
          <w:spacing w:val="-8"/>
        </w:rPr>
        <w:t xml:space="preserve"> </w:t>
      </w:r>
      <w:r>
        <w:rPr>
          <w:color w:val="231F20"/>
        </w:rPr>
        <w:t>but</w:t>
      </w:r>
      <w:r>
        <w:rPr>
          <w:color w:val="231F20"/>
          <w:spacing w:val="-8"/>
        </w:rPr>
        <w:t xml:space="preserve"> </w:t>
      </w:r>
      <w:r>
        <w:rPr>
          <w:color w:val="231F20"/>
        </w:rPr>
        <w:t>summer-based</w:t>
      </w:r>
      <w:r>
        <w:rPr>
          <w:color w:val="231F20"/>
          <w:spacing w:val="-8"/>
        </w:rPr>
        <w:t xml:space="preserve"> </w:t>
      </w:r>
      <w:r>
        <w:rPr>
          <w:color w:val="231F20"/>
        </w:rPr>
        <w:t>a</w:t>
      </w:r>
      <w:r>
        <w:rPr>
          <w:color w:val="231F20"/>
        </w:rPr>
        <w:t>ctivities</w:t>
      </w:r>
      <w:r>
        <w:rPr>
          <w:color w:val="231F20"/>
          <w:spacing w:val="-8"/>
        </w:rPr>
        <w:t xml:space="preserve"> </w:t>
      </w:r>
      <w:r>
        <w:rPr>
          <w:color w:val="231F20"/>
        </w:rPr>
        <w:t>such</w:t>
      </w:r>
      <w:r>
        <w:rPr>
          <w:color w:val="231F20"/>
          <w:spacing w:val="-8"/>
        </w:rPr>
        <w:t xml:space="preserve"> </w:t>
      </w:r>
      <w:r>
        <w:rPr>
          <w:color w:val="231F20"/>
        </w:rPr>
        <w:t>as</w:t>
      </w:r>
      <w:r>
        <w:rPr>
          <w:color w:val="231F20"/>
          <w:spacing w:val="-8"/>
        </w:rPr>
        <w:t xml:space="preserve"> </w:t>
      </w:r>
      <w:r>
        <w:rPr>
          <w:color w:val="231F20"/>
        </w:rPr>
        <w:t>surfing</w:t>
      </w:r>
      <w:r>
        <w:rPr>
          <w:color w:val="231F20"/>
          <w:spacing w:val="-8"/>
        </w:rPr>
        <w:t xml:space="preserve"> </w:t>
      </w:r>
      <w:r>
        <w:rPr>
          <w:color w:val="231F20"/>
        </w:rPr>
        <w:t>and golf</w:t>
      </w:r>
      <w:r>
        <w:rPr>
          <w:color w:val="231F20"/>
          <w:spacing w:val="-6"/>
        </w:rPr>
        <w:t xml:space="preserve"> </w:t>
      </w:r>
      <w:r>
        <w:rPr>
          <w:color w:val="231F20"/>
        </w:rPr>
        <w:t>also</w:t>
      </w:r>
      <w:r>
        <w:rPr>
          <w:color w:val="231F20"/>
          <w:spacing w:val="-6"/>
        </w:rPr>
        <w:t xml:space="preserve"> </w:t>
      </w:r>
      <w:r>
        <w:rPr>
          <w:color w:val="231F20"/>
        </w:rPr>
        <w:t>influence</w:t>
      </w:r>
      <w:r>
        <w:rPr>
          <w:color w:val="231F20"/>
          <w:spacing w:val="-6"/>
        </w:rPr>
        <w:t xml:space="preserve"> </w:t>
      </w:r>
      <w:r>
        <w:rPr>
          <w:color w:val="231F20"/>
        </w:rPr>
        <w:t>travel</w:t>
      </w:r>
      <w:r>
        <w:rPr>
          <w:color w:val="231F20"/>
          <w:spacing w:val="-6"/>
        </w:rPr>
        <w:t xml:space="preserve"> </w:t>
      </w:r>
      <w:r>
        <w:rPr>
          <w:color w:val="231F20"/>
        </w:rPr>
        <w:t>patterns</w:t>
      </w:r>
      <w:r>
        <w:rPr>
          <w:color w:val="231F20"/>
          <w:spacing w:val="-6"/>
        </w:rPr>
        <w:t xml:space="preserve"> </w:t>
      </w:r>
      <w:r>
        <w:rPr>
          <w:color w:val="231F20"/>
        </w:rPr>
        <w:t>as</w:t>
      </w:r>
      <w:r>
        <w:rPr>
          <w:color w:val="231F20"/>
          <w:spacing w:val="-6"/>
        </w:rPr>
        <w:t xml:space="preserve"> </w:t>
      </w:r>
      <w:r>
        <w:rPr>
          <w:color w:val="231F20"/>
        </w:rPr>
        <w:t>tourists</w:t>
      </w:r>
      <w:r>
        <w:rPr>
          <w:color w:val="231F20"/>
          <w:spacing w:val="-6"/>
        </w:rPr>
        <w:t xml:space="preserve"> </w:t>
      </w:r>
      <w:r>
        <w:rPr>
          <w:color w:val="231F20"/>
        </w:rPr>
        <w:t>search</w:t>
      </w:r>
      <w:r>
        <w:rPr>
          <w:color w:val="231F20"/>
          <w:spacing w:val="-6"/>
        </w:rPr>
        <w:t xml:space="preserve"> </w:t>
      </w:r>
      <w:r>
        <w:rPr>
          <w:color w:val="231F20"/>
        </w:rPr>
        <w:t>for</w:t>
      </w:r>
      <w:r>
        <w:rPr>
          <w:color w:val="231F20"/>
          <w:spacing w:val="-6"/>
        </w:rPr>
        <w:t xml:space="preserve"> </w:t>
      </w:r>
      <w:r>
        <w:rPr>
          <w:color w:val="231F20"/>
        </w:rPr>
        <w:t>the</w:t>
      </w:r>
      <w:r>
        <w:rPr>
          <w:color w:val="231F20"/>
          <w:spacing w:val="-6"/>
        </w:rPr>
        <w:t xml:space="preserve"> </w:t>
      </w:r>
      <w:r>
        <w:rPr>
          <w:color w:val="231F20"/>
        </w:rPr>
        <w:t>best</w:t>
      </w:r>
      <w:r>
        <w:rPr>
          <w:color w:val="231F20"/>
          <w:spacing w:val="-6"/>
        </w:rPr>
        <w:t xml:space="preserve"> </w:t>
      </w:r>
      <w:r>
        <w:rPr>
          <w:color w:val="231F20"/>
        </w:rPr>
        <w:t>seasonal conditions for the pursuit of their sporting passions. Climatic conditions appear to be influential in all of these examples, yet even sports that</w:t>
      </w:r>
      <w:r>
        <w:rPr>
          <w:color w:val="231F20"/>
          <w:spacing w:val="80"/>
          <w:w w:val="150"/>
        </w:rPr>
        <w:t xml:space="preserve"> </w:t>
      </w:r>
      <w:r>
        <w:rPr>
          <w:color w:val="231F20"/>
        </w:rPr>
        <w:t>ar</w:t>
      </w:r>
      <w:r>
        <w:rPr>
          <w:color w:val="231F20"/>
        </w:rPr>
        <w:t>e played within climatically controlled settings, such as competitive basketball, normally have distinct seasons. If an inclusive definition of ‘institutional’ determinants of seasonal patterns were adopted, then sporting season would seem to be closely as</w:t>
      </w:r>
      <w:r>
        <w:rPr>
          <w:color w:val="231F20"/>
        </w:rPr>
        <w:t xml:space="preserve">sociated with this category. </w:t>
      </w:r>
      <w:r>
        <w:rPr>
          <w:color w:val="231F20"/>
          <w:w w:val="95"/>
        </w:rPr>
        <w:t xml:space="preserve">Indeed, sport sociologists have long argued that sport is a social institution </w:t>
      </w:r>
      <w:r>
        <w:rPr>
          <w:color w:val="231F20"/>
        </w:rPr>
        <w:t>(Giulianotti, 2016).</w:t>
      </w:r>
    </w:p>
    <w:p w14:paraId="207E63D2" w14:textId="77777777" w:rsidR="00AE0598" w:rsidRDefault="0069255A">
      <w:pPr>
        <w:pStyle w:val="Corpodetexto"/>
        <w:spacing w:before="10"/>
        <w:ind w:left="430"/>
        <w:jc w:val="both"/>
      </w:pPr>
      <w:r>
        <w:rPr>
          <w:color w:val="231F20"/>
          <w:w w:val="90"/>
        </w:rPr>
        <w:t>Butler</w:t>
      </w:r>
      <w:r>
        <w:rPr>
          <w:color w:val="231F20"/>
          <w:spacing w:val="22"/>
        </w:rPr>
        <w:t xml:space="preserve"> </w:t>
      </w:r>
      <w:r>
        <w:rPr>
          <w:color w:val="231F20"/>
          <w:w w:val="90"/>
        </w:rPr>
        <w:t>(2001)</w:t>
      </w:r>
      <w:r>
        <w:rPr>
          <w:color w:val="231F20"/>
          <w:spacing w:val="22"/>
        </w:rPr>
        <w:t xml:space="preserve"> </w:t>
      </w:r>
      <w:r>
        <w:rPr>
          <w:color w:val="231F20"/>
          <w:w w:val="90"/>
        </w:rPr>
        <w:t>has</w:t>
      </w:r>
      <w:r>
        <w:rPr>
          <w:color w:val="231F20"/>
          <w:spacing w:val="23"/>
        </w:rPr>
        <w:t xml:space="preserve"> </w:t>
      </w:r>
      <w:r>
        <w:rPr>
          <w:color w:val="231F20"/>
          <w:w w:val="90"/>
        </w:rPr>
        <w:t>suggested</w:t>
      </w:r>
      <w:r>
        <w:rPr>
          <w:color w:val="231F20"/>
          <w:spacing w:val="22"/>
        </w:rPr>
        <w:t xml:space="preserve"> </w:t>
      </w:r>
      <w:r>
        <w:rPr>
          <w:color w:val="231F20"/>
          <w:w w:val="90"/>
        </w:rPr>
        <w:t>that</w:t>
      </w:r>
      <w:r>
        <w:rPr>
          <w:color w:val="231F20"/>
          <w:spacing w:val="23"/>
        </w:rPr>
        <w:t xml:space="preserve"> </w:t>
      </w:r>
      <w:r>
        <w:rPr>
          <w:color w:val="231F20"/>
          <w:spacing w:val="-5"/>
          <w:w w:val="90"/>
        </w:rPr>
        <w:t>it</w:t>
      </w:r>
    </w:p>
    <w:p w14:paraId="2BC82A8F" w14:textId="77777777" w:rsidR="00AE0598" w:rsidRDefault="00AE0598">
      <w:pPr>
        <w:pStyle w:val="Corpodetexto"/>
        <w:spacing w:before="8"/>
        <w:rPr>
          <w:sz w:val="20"/>
        </w:rPr>
      </w:pPr>
    </w:p>
    <w:p w14:paraId="39157D6D" w14:textId="77777777" w:rsidR="00AE0598" w:rsidRDefault="0069255A">
      <w:pPr>
        <w:spacing w:line="244" w:lineRule="auto"/>
        <w:ind w:left="430" w:right="128"/>
        <w:jc w:val="both"/>
        <w:rPr>
          <w:sz w:val="20"/>
        </w:rPr>
      </w:pPr>
      <w:r>
        <w:rPr>
          <w:color w:val="231F20"/>
          <w:sz w:val="20"/>
        </w:rPr>
        <w:t>is the interaction between the forces determining the natural and institutionalized elements of the seasonality of tourism in both the generating and receiving areas as modified by actions of the public and private sector which creates the pattern of seaso</w:t>
      </w:r>
      <w:r>
        <w:rPr>
          <w:color w:val="231F20"/>
          <w:sz w:val="20"/>
        </w:rPr>
        <w:t>nality in tourism that occurs at a specific destination. (Butler, 2001: 8)</w:t>
      </w:r>
    </w:p>
    <w:p w14:paraId="08799166" w14:textId="77777777" w:rsidR="00AE0598" w:rsidRDefault="00AE0598">
      <w:pPr>
        <w:pStyle w:val="Corpodetexto"/>
        <w:spacing w:before="6"/>
        <w:rPr>
          <w:sz w:val="20"/>
        </w:rPr>
      </w:pPr>
    </w:p>
    <w:p w14:paraId="3ACB9E84" w14:textId="77777777" w:rsidR="00AE0598" w:rsidRDefault="0069255A">
      <w:pPr>
        <w:pStyle w:val="Corpodetexto"/>
        <w:spacing w:line="232" w:lineRule="auto"/>
        <w:ind w:left="110" w:right="127"/>
        <w:jc w:val="both"/>
      </w:pPr>
      <w:r>
        <w:rPr>
          <w:color w:val="231F20"/>
        </w:rPr>
        <w:t xml:space="preserve">Natural and institutional factors can be thought of as pull and push </w:t>
      </w:r>
      <w:r>
        <w:rPr>
          <w:color w:val="231F20"/>
          <w:w w:val="95"/>
        </w:rPr>
        <w:t>factors which interact with each other to create seasonal patterns (Butler</w:t>
      </w:r>
      <w:r>
        <w:rPr>
          <w:color w:val="231F20"/>
          <w:spacing w:val="80"/>
          <w:w w:val="150"/>
        </w:rPr>
        <w:t xml:space="preserve"> </w:t>
      </w:r>
      <w:r>
        <w:rPr>
          <w:color w:val="231F20"/>
        </w:rPr>
        <w:t>&amp;</w:t>
      </w:r>
      <w:r>
        <w:rPr>
          <w:color w:val="231F20"/>
          <w:spacing w:val="40"/>
        </w:rPr>
        <w:t xml:space="preserve"> </w:t>
      </w:r>
      <w:r>
        <w:rPr>
          <w:color w:val="231F20"/>
        </w:rPr>
        <w:t>Mao,</w:t>
      </w:r>
      <w:r>
        <w:rPr>
          <w:color w:val="231F20"/>
          <w:spacing w:val="40"/>
        </w:rPr>
        <w:t xml:space="preserve"> </w:t>
      </w:r>
      <w:r>
        <w:rPr>
          <w:color w:val="231F20"/>
        </w:rPr>
        <w:t>1996;</w:t>
      </w:r>
      <w:r>
        <w:rPr>
          <w:color w:val="231F20"/>
          <w:spacing w:val="40"/>
        </w:rPr>
        <w:t xml:space="preserve"> </w:t>
      </w:r>
      <w:r>
        <w:rPr>
          <w:color w:val="231F20"/>
        </w:rPr>
        <w:t>Cannas,</w:t>
      </w:r>
      <w:r>
        <w:rPr>
          <w:color w:val="231F20"/>
          <w:spacing w:val="40"/>
        </w:rPr>
        <w:t xml:space="preserve"> </w:t>
      </w:r>
      <w:r>
        <w:rPr>
          <w:color w:val="231F20"/>
        </w:rPr>
        <w:t>2012;</w:t>
      </w:r>
      <w:r>
        <w:rPr>
          <w:color w:val="231F20"/>
          <w:spacing w:val="40"/>
        </w:rPr>
        <w:t xml:space="preserve"> </w:t>
      </w:r>
      <w:r>
        <w:rPr>
          <w:color w:val="231F20"/>
        </w:rPr>
        <w:t>Koenig-Le</w:t>
      </w:r>
      <w:r>
        <w:rPr>
          <w:color w:val="231F20"/>
        </w:rPr>
        <w:t>wis</w:t>
      </w:r>
      <w:r>
        <w:rPr>
          <w:color w:val="231F20"/>
          <w:spacing w:val="40"/>
        </w:rPr>
        <w:t xml:space="preserve"> </w:t>
      </w:r>
      <w:r>
        <w:rPr>
          <w:color w:val="231F20"/>
        </w:rPr>
        <w:t>&amp;</w:t>
      </w:r>
      <w:r>
        <w:rPr>
          <w:color w:val="231F20"/>
          <w:spacing w:val="40"/>
        </w:rPr>
        <w:t xml:space="preserve"> </w:t>
      </w:r>
      <w:r>
        <w:rPr>
          <w:color w:val="231F20"/>
        </w:rPr>
        <w:t>Bischoff,</w:t>
      </w:r>
      <w:r>
        <w:rPr>
          <w:color w:val="231F20"/>
          <w:spacing w:val="40"/>
        </w:rPr>
        <w:t xml:space="preserve"> </w:t>
      </w:r>
      <w:r>
        <w:rPr>
          <w:color w:val="231F20"/>
        </w:rPr>
        <w:t>2005).</w:t>
      </w:r>
      <w:r>
        <w:rPr>
          <w:color w:val="231F20"/>
          <w:spacing w:val="40"/>
        </w:rPr>
        <w:t xml:space="preserve"> </w:t>
      </w:r>
      <w:r>
        <w:rPr>
          <w:color w:val="231F20"/>
        </w:rPr>
        <w:t>While the interactions between the factors that influence seasonal patterns of sport</w:t>
      </w:r>
      <w:r>
        <w:rPr>
          <w:color w:val="231F20"/>
          <w:spacing w:val="-10"/>
        </w:rPr>
        <w:t xml:space="preserve"> </w:t>
      </w:r>
      <w:r>
        <w:rPr>
          <w:color w:val="231F20"/>
        </w:rPr>
        <w:t>tourism</w:t>
      </w:r>
      <w:r>
        <w:rPr>
          <w:color w:val="231F20"/>
          <w:spacing w:val="-10"/>
        </w:rPr>
        <w:t xml:space="preserve"> </w:t>
      </w:r>
      <w:r>
        <w:rPr>
          <w:color w:val="231F20"/>
        </w:rPr>
        <w:t>visitation</w:t>
      </w:r>
      <w:r>
        <w:rPr>
          <w:color w:val="231F20"/>
          <w:spacing w:val="-10"/>
        </w:rPr>
        <w:t xml:space="preserve"> </w:t>
      </w:r>
      <w:r>
        <w:rPr>
          <w:color w:val="231F20"/>
        </w:rPr>
        <w:t>are</w:t>
      </w:r>
      <w:r>
        <w:rPr>
          <w:color w:val="231F20"/>
          <w:spacing w:val="-10"/>
        </w:rPr>
        <w:t xml:space="preserve"> </w:t>
      </w:r>
      <w:r>
        <w:rPr>
          <w:color w:val="231F20"/>
        </w:rPr>
        <w:t>complex,</w:t>
      </w:r>
      <w:r>
        <w:rPr>
          <w:color w:val="231F20"/>
          <w:spacing w:val="-10"/>
        </w:rPr>
        <w:t xml:space="preserve"> </w:t>
      </w:r>
      <w:r>
        <w:rPr>
          <w:color w:val="231F20"/>
        </w:rPr>
        <w:t>their</w:t>
      </w:r>
      <w:r>
        <w:rPr>
          <w:color w:val="231F20"/>
          <w:spacing w:val="-10"/>
        </w:rPr>
        <w:t xml:space="preserve"> </w:t>
      </w:r>
      <w:r>
        <w:rPr>
          <w:color w:val="231F20"/>
        </w:rPr>
        <w:t>basic</w:t>
      </w:r>
      <w:r>
        <w:rPr>
          <w:color w:val="231F20"/>
          <w:spacing w:val="-10"/>
        </w:rPr>
        <w:t xml:space="preserve"> </w:t>
      </w:r>
      <w:r>
        <w:rPr>
          <w:color w:val="231F20"/>
        </w:rPr>
        <w:t>relationship</w:t>
      </w:r>
      <w:r>
        <w:rPr>
          <w:color w:val="231F20"/>
          <w:spacing w:val="-10"/>
        </w:rPr>
        <w:t xml:space="preserve"> </w:t>
      </w:r>
      <w:r>
        <w:rPr>
          <w:color w:val="231F20"/>
        </w:rPr>
        <w:t>is</w:t>
      </w:r>
      <w:r>
        <w:rPr>
          <w:color w:val="231F20"/>
          <w:spacing w:val="-10"/>
        </w:rPr>
        <w:t xml:space="preserve"> </w:t>
      </w:r>
      <w:r>
        <w:rPr>
          <w:color w:val="231F20"/>
        </w:rPr>
        <w:t>relatively straightforward (Figure 9.2). Institutional and natural factors influence tou</w:t>
      </w:r>
      <w:r>
        <w:rPr>
          <w:color w:val="231F20"/>
        </w:rPr>
        <w:t>rism demand as well as tourism supply. Policymakers, planners and managers may intervene in this process by modifying supply attributes through strategies such as the development of climatically controlled sport facilities. They may also modify institution</w:t>
      </w:r>
      <w:r>
        <w:rPr>
          <w:color w:val="231F20"/>
        </w:rPr>
        <w:t>al and natural factors</w:t>
      </w:r>
      <w:r>
        <w:rPr>
          <w:color w:val="231F20"/>
          <w:spacing w:val="40"/>
        </w:rPr>
        <w:t xml:space="preserve"> </w:t>
      </w:r>
      <w:r>
        <w:rPr>
          <w:color w:val="231F20"/>
        </w:rPr>
        <w:t xml:space="preserve">on the demand side through such strategies as promotional information </w:t>
      </w:r>
      <w:r>
        <w:rPr>
          <w:color w:val="231F20"/>
          <w:w w:val="95"/>
        </w:rPr>
        <w:t xml:space="preserve">that dispels misconceptions that potential tourists might have about sport </w:t>
      </w:r>
      <w:r>
        <w:rPr>
          <w:color w:val="231F20"/>
        </w:rPr>
        <w:t xml:space="preserve">participation during the off season. It remains unclear as to whether </w:t>
      </w:r>
      <w:r>
        <w:rPr>
          <w:color w:val="231F20"/>
          <w:w w:val="95"/>
        </w:rPr>
        <w:t>institutional fact</w:t>
      </w:r>
      <w:r>
        <w:rPr>
          <w:color w:val="231F20"/>
          <w:w w:val="95"/>
        </w:rPr>
        <w:t xml:space="preserve">ors can be manipulated at a societal level or whether they </w:t>
      </w:r>
      <w:r>
        <w:rPr>
          <w:color w:val="231F20"/>
        </w:rPr>
        <w:t>will</w:t>
      </w:r>
      <w:r>
        <w:rPr>
          <w:color w:val="231F20"/>
          <w:spacing w:val="-4"/>
        </w:rPr>
        <w:t xml:space="preserve"> </w:t>
      </w:r>
      <w:r>
        <w:rPr>
          <w:color w:val="231F20"/>
        </w:rPr>
        <w:t>prove</w:t>
      </w:r>
      <w:r>
        <w:rPr>
          <w:color w:val="231F20"/>
          <w:spacing w:val="-4"/>
        </w:rPr>
        <w:t xml:space="preserve"> </w:t>
      </w:r>
      <w:r>
        <w:rPr>
          <w:color w:val="231F20"/>
        </w:rPr>
        <w:t>to</w:t>
      </w:r>
      <w:r>
        <w:rPr>
          <w:color w:val="231F20"/>
          <w:spacing w:val="-4"/>
        </w:rPr>
        <w:t xml:space="preserve"> </w:t>
      </w:r>
      <w:r>
        <w:rPr>
          <w:color w:val="231F20"/>
        </w:rPr>
        <w:t>be</w:t>
      </w:r>
      <w:r>
        <w:rPr>
          <w:color w:val="231F20"/>
          <w:spacing w:val="-4"/>
        </w:rPr>
        <w:t xml:space="preserve"> </w:t>
      </w:r>
      <w:r>
        <w:rPr>
          <w:color w:val="231F20"/>
        </w:rPr>
        <w:t>intransigent.</w:t>
      </w:r>
      <w:r>
        <w:rPr>
          <w:color w:val="231F20"/>
          <w:spacing w:val="-4"/>
        </w:rPr>
        <w:t xml:space="preserve"> </w:t>
      </w:r>
      <w:r>
        <w:rPr>
          <w:color w:val="231F20"/>
        </w:rPr>
        <w:t>If</w:t>
      </w:r>
      <w:r>
        <w:rPr>
          <w:color w:val="231F20"/>
          <w:spacing w:val="-4"/>
        </w:rPr>
        <w:t xml:space="preserve"> </w:t>
      </w:r>
      <w:r>
        <w:rPr>
          <w:color w:val="231F20"/>
        </w:rPr>
        <w:t>the</w:t>
      </w:r>
      <w:r>
        <w:rPr>
          <w:color w:val="231F20"/>
          <w:spacing w:val="-4"/>
        </w:rPr>
        <w:t xml:space="preserve"> </w:t>
      </w:r>
      <w:r>
        <w:rPr>
          <w:color w:val="231F20"/>
        </w:rPr>
        <w:t>latter</w:t>
      </w:r>
      <w:r>
        <w:rPr>
          <w:color w:val="231F20"/>
          <w:spacing w:val="-4"/>
        </w:rPr>
        <w:t xml:space="preserve"> </w:t>
      </w:r>
      <w:r>
        <w:rPr>
          <w:color w:val="231F20"/>
        </w:rPr>
        <w:t>response</w:t>
      </w:r>
      <w:r>
        <w:rPr>
          <w:color w:val="231F20"/>
          <w:spacing w:val="-4"/>
        </w:rPr>
        <w:t xml:space="preserve"> </w:t>
      </w:r>
      <w:r>
        <w:rPr>
          <w:color w:val="231F20"/>
        </w:rPr>
        <w:t>is</w:t>
      </w:r>
      <w:r>
        <w:rPr>
          <w:color w:val="231F20"/>
          <w:spacing w:val="-4"/>
        </w:rPr>
        <w:t xml:space="preserve"> </w:t>
      </w:r>
      <w:r>
        <w:rPr>
          <w:color w:val="231F20"/>
        </w:rPr>
        <w:t>the</w:t>
      </w:r>
      <w:r>
        <w:rPr>
          <w:color w:val="231F20"/>
          <w:spacing w:val="-4"/>
        </w:rPr>
        <w:t xml:space="preserve"> </w:t>
      </w:r>
      <w:r>
        <w:rPr>
          <w:color w:val="231F20"/>
        </w:rPr>
        <w:t>case,</w:t>
      </w:r>
      <w:r>
        <w:rPr>
          <w:color w:val="231F20"/>
          <w:spacing w:val="-4"/>
        </w:rPr>
        <w:t xml:space="preserve"> </w:t>
      </w:r>
      <w:r>
        <w:rPr>
          <w:color w:val="231F20"/>
        </w:rPr>
        <w:t>a</w:t>
      </w:r>
      <w:r>
        <w:rPr>
          <w:color w:val="231F20"/>
          <w:spacing w:val="-4"/>
        </w:rPr>
        <w:t xml:space="preserve"> </w:t>
      </w:r>
      <w:r>
        <w:rPr>
          <w:color w:val="231F20"/>
        </w:rPr>
        <w:t>strategic approach to the manipulation of these factors will be challenging.</w:t>
      </w:r>
    </w:p>
    <w:p w14:paraId="308D0B17" w14:textId="77777777" w:rsidR="00AE0598" w:rsidRDefault="00AE0598">
      <w:pPr>
        <w:pStyle w:val="Corpodetexto"/>
        <w:spacing w:before="7"/>
        <w:rPr>
          <w:sz w:val="22"/>
        </w:rPr>
      </w:pPr>
    </w:p>
    <w:p w14:paraId="2DEF42BB" w14:textId="77777777" w:rsidR="00AE0598" w:rsidRDefault="0069255A">
      <w:pPr>
        <w:ind w:left="110"/>
        <w:jc w:val="both"/>
        <w:rPr>
          <w:rFonts w:ascii="Trebuchet MS"/>
          <w:sz w:val="20"/>
        </w:rPr>
      </w:pPr>
      <w:r>
        <w:rPr>
          <w:rFonts w:ascii="Trebuchet MS"/>
          <w:color w:val="231F20"/>
          <w:sz w:val="20"/>
        </w:rPr>
        <w:t>Differential</w:t>
      </w:r>
      <w:r>
        <w:rPr>
          <w:rFonts w:ascii="Trebuchet MS"/>
          <w:color w:val="231F20"/>
          <w:spacing w:val="15"/>
          <w:sz w:val="20"/>
        </w:rPr>
        <w:t xml:space="preserve"> </w:t>
      </w:r>
      <w:r>
        <w:rPr>
          <w:rFonts w:ascii="Trebuchet MS"/>
          <w:color w:val="231F20"/>
          <w:sz w:val="20"/>
        </w:rPr>
        <w:t>influence</w:t>
      </w:r>
      <w:r>
        <w:rPr>
          <w:rFonts w:ascii="Trebuchet MS"/>
          <w:color w:val="231F20"/>
          <w:spacing w:val="15"/>
          <w:sz w:val="20"/>
        </w:rPr>
        <w:t xml:space="preserve"> </w:t>
      </w:r>
      <w:r>
        <w:rPr>
          <w:rFonts w:ascii="Trebuchet MS"/>
          <w:color w:val="231F20"/>
          <w:sz w:val="20"/>
        </w:rPr>
        <w:t>across</w:t>
      </w:r>
      <w:r>
        <w:rPr>
          <w:rFonts w:ascii="Trebuchet MS"/>
          <w:color w:val="231F20"/>
          <w:spacing w:val="15"/>
          <w:sz w:val="20"/>
        </w:rPr>
        <w:t xml:space="preserve"> </w:t>
      </w:r>
      <w:r>
        <w:rPr>
          <w:rFonts w:ascii="Trebuchet MS"/>
          <w:color w:val="231F20"/>
          <w:sz w:val="20"/>
        </w:rPr>
        <w:t>the</w:t>
      </w:r>
      <w:r>
        <w:rPr>
          <w:rFonts w:ascii="Trebuchet MS"/>
          <w:color w:val="231F20"/>
          <w:spacing w:val="15"/>
          <w:sz w:val="20"/>
        </w:rPr>
        <w:t xml:space="preserve"> </w:t>
      </w:r>
      <w:r>
        <w:rPr>
          <w:rFonts w:ascii="Trebuchet MS"/>
          <w:color w:val="231F20"/>
          <w:sz w:val="20"/>
        </w:rPr>
        <w:t>hierarchy</w:t>
      </w:r>
      <w:r>
        <w:rPr>
          <w:rFonts w:ascii="Trebuchet MS"/>
          <w:color w:val="231F20"/>
          <w:spacing w:val="15"/>
          <w:sz w:val="20"/>
        </w:rPr>
        <w:t xml:space="preserve"> </w:t>
      </w:r>
      <w:r>
        <w:rPr>
          <w:rFonts w:ascii="Trebuchet MS"/>
          <w:color w:val="231F20"/>
          <w:sz w:val="20"/>
        </w:rPr>
        <w:t>of</w:t>
      </w:r>
      <w:r>
        <w:rPr>
          <w:rFonts w:ascii="Trebuchet MS"/>
          <w:color w:val="231F20"/>
          <w:spacing w:val="15"/>
          <w:sz w:val="20"/>
        </w:rPr>
        <w:t xml:space="preserve"> </w:t>
      </w:r>
      <w:r>
        <w:rPr>
          <w:rFonts w:ascii="Trebuchet MS"/>
          <w:color w:val="231F20"/>
          <w:sz w:val="20"/>
        </w:rPr>
        <w:t>sport</w:t>
      </w:r>
      <w:r>
        <w:rPr>
          <w:rFonts w:ascii="Trebuchet MS"/>
          <w:color w:val="231F20"/>
          <w:spacing w:val="15"/>
          <w:sz w:val="20"/>
        </w:rPr>
        <w:t xml:space="preserve"> </w:t>
      </w:r>
      <w:r>
        <w:rPr>
          <w:rFonts w:ascii="Trebuchet MS"/>
          <w:color w:val="231F20"/>
          <w:spacing w:val="-2"/>
          <w:sz w:val="20"/>
        </w:rPr>
        <w:t>attractions</w:t>
      </w:r>
    </w:p>
    <w:p w14:paraId="4EDFBD73" w14:textId="77777777" w:rsidR="00AE0598" w:rsidRDefault="0069255A">
      <w:pPr>
        <w:pStyle w:val="Corpodetexto"/>
        <w:spacing w:before="122" w:line="232" w:lineRule="auto"/>
        <w:ind w:left="110" w:right="127" w:firstLine="320"/>
        <w:jc w:val="both"/>
      </w:pPr>
      <w:r>
        <w:rPr>
          <w:color w:val="231F20"/>
          <w:w w:val="95"/>
        </w:rPr>
        <w:t>The degree to which a sporting activity influences tourism seasonality</w:t>
      </w:r>
      <w:r>
        <w:rPr>
          <w:color w:val="231F20"/>
          <w:spacing w:val="80"/>
        </w:rPr>
        <w:t xml:space="preserve"> </w:t>
      </w:r>
      <w:r>
        <w:rPr>
          <w:color w:val="231F20"/>
        </w:rPr>
        <w:t>is</w:t>
      </w:r>
      <w:r>
        <w:rPr>
          <w:color w:val="231F20"/>
          <w:spacing w:val="-10"/>
        </w:rPr>
        <w:t xml:space="preserve"> </w:t>
      </w:r>
      <w:r>
        <w:rPr>
          <w:color w:val="231F20"/>
        </w:rPr>
        <w:t>in</w:t>
      </w:r>
      <w:r>
        <w:rPr>
          <w:color w:val="231F20"/>
          <w:spacing w:val="-10"/>
        </w:rPr>
        <w:t xml:space="preserve"> </w:t>
      </w:r>
      <w:r>
        <w:rPr>
          <w:color w:val="231F20"/>
        </w:rPr>
        <w:t>part</w:t>
      </w:r>
      <w:r>
        <w:rPr>
          <w:color w:val="231F20"/>
          <w:spacing w:val="-10"/>
        </w:rPr>
        <w:t xml:space="preserve"> </w:t>
      </w:r>
      <w:r>
        <w:rPr>
          <w:color w:val="231F20"/>
        </w:rPr>
        <w:t>determined</w:t>
      </w:r>
      <w:r>
        <w:rPr>
          <w:color w:val="231F20"/>
          <w:spacing w:val="-10"/>
        </w:rPr>
        <w:t xml:space="preserve"> </w:t>
      </w:r>
      <w:r>
        <w:rPr>
          <w:color w:val="231F20"/>
        </w:rPr>
        <w:t>by</w:t>
      </w:r>
      <w:r>
        <w:rPr>
          <w:color w:val="231F20"/>
          <w:spacing w:val="-10"/>
        </w:rPr>
        <w:t xml:space="preserve"> </w:t>
      </w:r>
      <w:r>
        <w:rPr>
          <w:color w:val="231F20"/>
        </w:rPr>
        <w:t>the</w:t>
      </w:r>
      <w:r>
        <w:rPr>
          <w:color w:val="231F20"/>
          <w:spacing w:val="-10"/>
        </w:rPr>
        <w:t xml:space="preserve"> </w:t>
      </w:r>
      <w:r>
        <w:rPr>
          <w:color w:val="231F20"/>
        </w:rPr>
        <w:t>placement</w:t>
      </w:r>
      <w:r>
        <w:rPr>
          <w:color w:val="231F20"/>
          <w:spacing w:val="-10"/>
        </w:rPr>
        <w:t xml:space="preserve"> </w:t>
      </w:r>
      <w:r>
        <w:rPr>
          <w:color w:val="231F20"/>
        </w:rPr>
        <w:t>of</w:t>
      </w:r>
      <w:r>
        <w:rPr>
          <w:color w:val="231F20"/>
          <w:spacing w:val="-10"/>
        </w:rPr>
        <w:t xml:space="preserve"> </w:t>
      </w:r>
      <w:r>
        <w:rPr>
          <w:color w:val="231F20"/>
        </w:rPr>
        <w:t>that</w:t>
      </w:r>
      <w:r>
        <w:rPr>
          <w:color w:val="231F20"/>
          <w:spacing w:val="-10"/>
        </w:rPr>
        <w:t xml:space="preserve"> </w:t>
      </w:r>
      <w:r>
        <w:rPr>
          <w:color w:val="231F20"/>
        </w:rPr>
        <w:t>sport</w:t>
      </w:r>
      <w:r>
        <w:rPr>
          <w:color w:val="231F20"/>
          <w:spacing w:val="-10"/>
        </w:rPr>
        <w:t xml:space="preserve"> </w:t>
      </w:r>
      <w:r>
        <w:rPr>
          <w:color w:val="231F20"/>
        </w:rPr>
        <w:t>within</w:t>
      </w:r>
      <w:r>
        <w:rPr>
          <w:color w:val="231F20"/>
          <w:spacing w:val="-10"/>
        </w:rPr>
        <w:t xml:space="preserve"> </w:t>
      </w:r>
      <w:r>
        <w:rPr>
          <w:color w:val="231F20"/>
        </w:rPr>
        <w:t>the</w:t>
      </w:r>
      <w:r>
        <w:rPr>
          <w:color w:val="231F20"/>
          <w:spacing w:val="-10"/>
        </w:rPr>
        <w:t xml:space="preserve"> </w:t>
      </w:r>
      <w:r>
        <w:rPr>
          <w:color w:val="231F20"/>
        </w:rPr>
        <w:t>traveller’s hierarchy</w:t>
      </w:r>
      <w:r>
        <w:rPr>
          <w:color w:val="231F20"/>
          <w:spacing w:val="-12"/>
        </w:rPr>
        <w:t xml:space="preserve"> </w:t>
      </w:r>
      <w:r>
        <w:rPr>
          <w:color w:val="231F20"/>
        </w:rPr>
        <w:t>of</w:t>
      </w:r>
      <w:r>
        <w:rPr>
          <w:color w:val="231F20"/>
          <w:spacing w:val="-11"/>
        </w:rPr>
        <w:t xml:space="preserve"> </w:t>
      </w:r>
      <w:r>
        <w:rPr>
          <w:color w:val="231F20"/>
        </w:rPr>
        <w:t>attractions</w:t>
      </w:r>
      <w:r>
        <w:rPr>
          <w:color w:val="231F20"/>
          <w:spacing w:val="-12"/>
        </w:rPr>
        <w:t xml:space="preserve"> </w:t>
      </w:r>
      <w:r>
        <w:rPr>
          <w:color w:val="231F20"/>
        </w:rPr>
        <w:t>(Chapter</w:t>
      </w:r>
      <w:r>
        <w:rPr>
          <w:color w:val="231F20"/>
          <w:spacing w:val="-11"/>
        </w:rPr>
        <w:t xml:space="preserve"> </w:t>
      </w:r>
      <w:r>
        <w:rPr>
          <w:color w:val="231F20"/>
        </w:rPr>
        <w:t>2).</w:t>
      </w:r>
      <w:r>
        <w:rPr>
          <w:color w:val="231F20"/>
          <w:spacing w:val="-12"/>
        </w:rPr>
        <w:t xml:space="preserve"> </w:t>
      </w:r>
      <w:r>
        <w:rPr>
          <w:color w:val="231F20"/>
        </w:rPr>
        <w:t>Trip</w:t>
      </w:r>
      <w:r>
        <w:rPr>
          <w:color w:val="231F20"/>
          <w:spacing w:val="-11"/>
        </w:rPr>
        <w:t xml:space="preserve"> </w:t>
      </w:r>
      <w:r>
        <w:rPr>
          <w:color w:val="231F20"/>
        </w:rPr>
        <w:t>behaviour</w:t>
      </w:r>
      <w:r>
        <w:rPr>
          <w:color w:val="231F20"/>
          <w:spacing w:val="-12"/>
        </w:rPr>
        <w:t xml:space="preserve"> </w:t>
      </w:r>
      <w:r>
        <w:rPr>
          <w:color w:val="231F20"/>
        </w:rPr>
        <w:t>varies</w:t>
      </w:r>
      <w:r>
        <w:rPr>
          <w:color w:val="231F20"/>
          <w:spacing w:val="-11"/>
        </w:rPr>
        <w:t xml:space="preserve"> </w:t>
      </w:r>
      <w:r>
        <w:rPr>
          <w:color w:val="231F20"/>
        </w:rPr>
        <w:t>on</w:t>
      </w:r>
      <w:r>
        <w:rPr>
          <w:color w:val="231F20"/>
          <w:spacing w:val="-12"/>
        </w:rPr>
        <w:t xml:space="preserve"> </w:t>
      </w:r>
      <w:r>
        <w:rPr>
          <w:color w:val="231F20"/>
        </w:rPr>
        <w:t>the</w:t>
      </w:r>
      <w:r>
        <w:rPr>
          <w:color w:val="231F20"/>
          <w:spacing w:val="-11"/>
        </w:rPr>
        <w:t xml:space="preserve"> </w:t>
      </w:r>
      <w:r>
        <w:rPr>
          <w:color w:val="231F20"/>
        </w:rPr>
        <w:t>basis</w:t>
      </w:r>
      <w:r>
        <w:rPr>
          <w:color w:val="231F20"/>
          <w:spacing w:val="-12"/>
        </w:rPr>
        <w:t xml:space="preserve"> </w:t>
      </w:r>
      <w:r>
        <w:rPr>
          <w:color w:val="231F20"/>
        </w:rPr>
        <w:t xml:space="preserve">of </w:t>
      </w:r>
      <w:r>
        <w:rPr>
          <w:color w:val="231F20"/>
          <w:w w:val="95"/>
        </w:rPr>
        <w:t>the</w:t>
      </w:r>
      <w:r>
        <w:rPr>
          <w:color w:val="231F20"/>
          <w:spacing w:val="-3"/>
          <w:w w:val="95"/>
        </w:rPr>
        <w:t xml:space="preserve"> </w:t>
      </w:r>
      <w:r>
        <w:rPr>
          <w:color w:val="231F20"/>
          <w:w w:val="95"/>
        </w:rPr>
        <w:t>centrality</w:t>
      </w:r>
      <w:r>
        <w:rPr>
          <w:color w:val="231F20"/>
          <w:spacing w:val="-3"/>
          <w:w w:val="95"/>
        </w:rPr>
        <w:t xml:space="preserve"> </w:t>
      </w:r>
      <w:r>
        <w:rPr>
          <w:color w:val="231F20"/>
          <w:w w:val="95"/>
        </w:rPr>
        <w:t>of</w:t>
      </w:r>
      <w:r>
        <w:rPr>
          <w:color w:val="231F20"/>
          <w:spacing w:val="-3"/>
          <w:w w:val="95"/>
        </w:rPr>
        <w:t xml:space="preserve"> </w:t>
      </w:r>
      <w:r>
        <w:rPr>
          <w:color w:val="231F20"/>
          <w:w w:val="95"/>
        </w:rPr>
        <w:t>sport</w:t>
      </w:r>
      <w:r>
        <w:rPr>
          <w:color w:val="231F20"/>
          <w:spacing w:val="-3"/>
          <w:w w:val="95"/>
        </w:rPr>
        <w:t xml:space="preserve"> </w:t>
      </w:r>
      <w:r>
        <w:rPr>
          <w:color w:val="231F20"/>
          <w:w w:val="95"/>
        </w:rPr>
        <w:t>as</w:t>
      </w:r>
      <w:r>
        <w:rPr>
          <w:color w:val="231F20"/>
          <w:spacing w:val="-3"/>
          <w:w w:val="95"/>
        </w:rPr>
        <w:t xml:space="preserve"> </w:t>
      </w:r>
      <w:r>
        <w:rPr>
          <w:color w:val="231F20"/>
          <w:w w:val="95"/>
        </w:rPr>
        <w:t>the</w:t>
      </w:r>
      <w:r>
        <w:rPr>
          <w:color w:val="231F20"/>
          <w:spacing w:val="-3"/>
          <w:w w:val="95"/>
        </w:rPr>
        <w:t xml:space="preserve"> </w:t>
      </w:r>
      <w:r>
        <w:rPr>
          <w:color w:val="231F20"/>
          <w:w w:val="95"/>
        </w:rPr>
        <w:t>tourist</w:t>
      </w:r>
      <w:r>
        <w:rPr>
          <w:color w:val="231F20"/>
          <w:spacing w:val="-3"/>
          <w:w w:val="95"/>
        </w:rPr>
        <w:t xml:space="preserve"> </w:t>
      </w:r>
      <w:r>
        <w:rPr>
          <w:color w:val="231F20"/>
          <w:w w:val="95"/>
        </w:rPr>
        <w:t>attraction</w:t>
      </w:r>
      <w:r>
        <w:rPr>
          <w:color w:val="231F20"/>
          <w:spacing w:val="-3"/>
          <w:w w:val="95"/>
        </w:rPr>
        <w:t xml:space="preserve"> </w:t>
      </w:r>
      <w:r>
        <w:rPr>
          <w:color w:val="231F20"/>
          <w:w w:val="95"/>
        </w:rPr>
        <w:t>or</w:t>
      </w:r>
      <w:r>
        <w:rPr>
          <w:color w:val="231F20"/>
          <w:spacing w:val="-3"/>
          <w:w w:val="95"/>
        </w:rPr>
        <w:t xml:space="preserve"> </w:t>
      </w:r>
      <w:r>
        <w:rPr>
          <w:color w:val="231F20"/>
          <w:w w:val="95"/>
        </w:rPr>
        <w:t>how</w:t>
      </w:r>
      <w:r>
        <w:rPr>
          <w:color w:val="231F20"/>
          <w:spacing w:val="-3"/>
          <w:w w:val="95"/>
        </w:rPr>
        <w:t xml:space="preserve"> </w:t>
      </w:r>
      <w:r>
        <w:rPr>
          <w:color w:val="231F20"/>
          <w:w w:val="95"/>
        </w:rPr>
        <w:t>prominently</w:t>
      </w:r>
      <w:r>
        <w:rPr>
          <w:color w:val="231F20"/>
          <w:spacing w:val="-3"/>
          <w:w w:val="95"/>
        </w:rPr>
        <w:t xml:space="preserve"> </w:t>
      </w:r>
      <w:r>
        <w:rPr>
          <w:color w:val="231F20"/>
          <w:w w:val="95"/>
        </w:rPr>
        <w:t>the</w:t>
      </w:r>
      <w:r>
        <w:rPr>
          <w:color w:val="231F20"/>
          <w:spacing w:val="-3"/>
          <w:w w:val="95"/>
        </w:rPr>
        <w:t xml:space="preserve"> </w:t>
      </w:r>
      <w:r>
        <w:rPr>
          <w:color w:val="231F20"/>
          <w:w w:val="95"/>
        </w:rPr>
        <w:t>sport</w:t>
      </w:r>
    </w:p>
    <w:p w14:paraId="7873C37C" w14:textId="77777777" w:rsidR="00AE0598" w:rsidRDefault="00AE0598">
      <w:pPr>
        <w:spacing w:line="232" w:lineRule="auto"/>
        <w:jc w:val="both"/>
        <w:sectPr w:rsidR="00AE0598">
          <w:pgSz w:w="8850" w:h="13270"/>
          <w:pgMar w:top="720" w:right="1060" w:bottom="280" w:left="1080" w:header="720" w:footer="720" w:gutter="0"/>
          <w:cols w:space="720"/>
        </w:sectPr>
      </w:pPr>
    </w:p>
    <w:p w14:paraId="0C1F5CAB" w14:textId="08FD8D2A" w:rsidR="00AE0598" w:rsidRDefault="0069255A">
      <w:pPr>
        <w:spacing w:before="87"/>
        <w:ind w:left="108"/>
        <w:rPr>
          <w:rFonts w:ascii="Trebuchet MS"/>
          <w:sz w:val="14"/>
        </w:rPr>
      </w:pPr>
      <w:r>
        <w:rPr>
          <w:noProof/>
        </w:rPr>
        <w:lastRenderedPageBreak/>
        <mc:AlternateContent>
          <mc:Choice Requires="wpg">
            <w:drawing>
              <wp:anchor distT="0" distB="0" distL="114300" distR="114300" simplePos="0" relativeHeight="15819264" behindDoc="0" locked="0" layoutInCell="1" allowOverlap="1" wp14:anchorId="1854F1CF" wp14:editId="19EBE003">
                <wp:simplePos x="0" y="0"/>
                <wp:positionH relativeFrom="page">
                  <wp:posOffset>2197735</wp:posOffset>
                </wp:positionH>
                <wp:positionV relativeFrom="paragraph">
                  <wp:posOffset>735330</wp:posOffset>
                </wp:positionV>
                <wp:extent cx="1153160" cy="50800"/>
                <wp:effectExtent l="0" t="0" r="0" b="0"/>
                <wp:wrapNone/>
                <wp:docPr id="99" name="docshapegroup2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53160" cy="50800"/>
                          <a:chOff x="3461" y="1158"/>
                          <a:chExt cx="1816" cy="80"/>
                        </a:xfrm>
                      </wpg:grpSpPr>
                      <wps:wsp>
                        <wps:cNvPr id="100" name="Line 102"/>
                        <wps:cNvCnPr>
                          <a:cxnSpLocks noChangeShapeType="1"/>
                        </wps:cNvCnPr>
                        <wps:spPr bwMode="auto">
                          <a:xfrm>
                            <a:off x="3528" y="1198"/>
                            <a:ext cx="1681" cy="0"/>
                          </a:xfrm>
                          <a:prstGeom prst="line">
                            <a:avLst/>
                          </a:prstGeom>
                          <a:noFill/>
                          <a:ln w="9525">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101" name="docshape264"/>
                        <wps:cNvSpPr>
                          <a:spLocks/>
                        </wps:cNvSpPr>
                        <wps:spPr bwMode="auto">
                          <a:xfrm>
                            <a:off x="3461" y="1158"/>
                            <a:ext cx="1816" cy="80"/>
                          </a:xfrm>
                          <a:custGeom>
                            <a:avLst/>
                            <a:gdLst>
                              <a:gd name="T0" fmla="+- 0 3542 3461"/>
                              <a:gd name="T1" fmla="*/ T0 w 1816"/>
                              <a:gd name="T2" fmla="+- 0 1158 1158"/>
                              <a:gd name="T3" fmla="*/ 1158 h 80"/>
                              <a:gd name="T4" fmla="+- 0 3461 3461"/>
                              <a:gd name="T5" fmla="*/ T4 w 1816"/>
                              <a:gd name="T6" fmla="+- 0 1198 1158"/>
                              <a:gd name="T7" fmla="*/ 1198 h 80"/>
                              <a:gd name="T8" fmla="+- 0 3542 3461"/>
                              <a:gd name="T9" fmla="*/ T8 w 1816"/>
                              <a:gd name="T10" fmla="+- 0 1238 1158"/>
                              <a:gd name="T11" fmla="*/ 1238 h 80"/>
                              <a:gd name="T12" fmla="+- 0 3542 3461"/>
                              <a:gd name="T13" fmla="*/ T12 w 1816"/>
                              <a:gd name="T14" fmla="+- 0 1158 1158"/>
                              <a:gd name="T15" fmla="*/ 1158 h 80"/>
                              <a:gd name="T16" fmla="+- 0 5276 3461"/>
                              <a:gd name="T17" fmla="*/ T16 w 1816"/>
                              <a:gd name="T18" fmla="+- 0 1198 1158"/>
                              <a:gd name="T19" fmla="*/ 1198 h 80"/>
                              <a:gd name="T20" fmla="+- 0 5196 3461"/>
                              <a:gd name="T21" fmla="*/ T20 w 1816"/>
                              <a:gd name="T22" fmla="+- 0 1158 1158"/>
                              <a:gd name="T23" fmla="*/ 1158 h 80"/>
                              <a:gd name="T24" fmla="+- 0 5196 3461"/>
                              <a:gd name="T25" fmla="*/ T24 w 1816"/>
                              <a:gd name="T26" fmla="+- 0 1238 1158"/>
                              <a:gd name="T27" fmla="*/ 1238 h 80"/>
                              <a:gd name="T28" fmla="+- 0 5276 3461"/>
                              <a:gd name="T29" fmla="*/ T28 w 1816"/>
                              <a:gd name="T30" fmla="+- 0 1198 1158"/>
                              <a:gd name="T31" fmla="*/ 1198 h 80"/>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1816" h="80">
                                <a:moveTo>
                                  <a:pt x="81" y="0"/>
                                </a:moveTo>
                                <a:lnTo>
                                  <a:pt x="0" y="40"/>
                                </a:lnTo>
                                <a:lnTo>
                                  <a:pt x="81" y="80"/>
                                </a:lnTo>
                                <a:lnTo>
                                  <a:pt x="81" y="0"/>
                                </a:lnTo>
                                <a:close/>
                                <a:moveTo>
                                  <a:pt x="1815" y="40"/>
                                </a:moveTo>
                                <a:lnTo>
                                  <a:pt x="1735" y="0"/>
                                </a:lnTo>
                                <a:lnTo>
                                  <a:pt x="1735" y="80"/>
                                </a:lnTo>
                                <a:lnTo>
                                  <a:pt x="1815" y="40"/>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69CB440" id="docshapegroup263" o:spid="_x0000_s1026" style="position:absolute;margin-left:173.05pt;margin-top:57.9pt;width:90.8pt;height:4pt;z-index:15819264;mso-position-horizontal-relative:page" coordorigin="3461,1158" coordsize="1816,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">
                <v:line id="Line 102" o:spid="_x0000_s1027" style="position:absolute;visibility:visible;mso-wrap-style:square" from="3528,1198" to="5209,11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" strokecolor="#231f20"/>
                <v:shape id="docshape264" o:spid="_x0000_s1028" style="position:absolute;left:3461;top:1158;width:1816;height:80;visibility:visible;mso-wrap-style:square;v-text-anchor:top" coordsize="181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" path="m81,l,40,81,80,81,xm1815,40l1735,r,80l1815,40xe" fillcolor="#231f20" stroked="f">
                  <v:path arrowok="t" o:connecttype="custom" o:connectlocs="81,1158;0,1198;81,1238;81,1158;1815,1198;1735,1158;1735,1238;1815,1198" o:connectangles="0,0,0,0,0,0,0,0"/>
                </v:shape>
                <w10:wrap anchorx="page"/>
              </v:group>
            </w:pict>
          </mc:Fallback>
        </mc:AlternateContent>
      </w:r>
      <w:r>
        <w:rPr>
          <w:noProof/>
        </w:rPr>
        <mc:AlternateContent>
          <mc:Choice Requires="wpg">
            <w:drawing>
              <wp:anchor distT="0" distB="0" distL="114300" distR="114300" simplePos="0" relativeHeight="483743744" behindDoc="1" locked="0" layoutInCell="1" allowOverlap="1" wp14:anchorId="0DCD3F29" wp14:editId="36E71800">
                <wp:simplePos x="0" y="0"/>
                <wp:positionH relativeFrom="page">
                  <wp:posOffset>1139190</wp:posOffset>
                </wp:positionH>
                <wp:positionV relativeFrom="paragraph">
                  <wp:posOffset>1137285</wp:posOffset>
                </wp:positionV>
                <wp:extent cx="1094740" cy="1386840"/>
                <wp:effectExtent l="0" t="0" r="0" b="0"/>
                <wp:wrapNone/>
                <wp:docPr id="94" name="docshapegroup2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94740" cy="1386840"/>
                          <a:chOff x="1794" y="1791"/>
                          <a:chExt cx="1724" cy="2184"/>
                        </a:xfrm>
                      </wpg:grpSpPr>
                      <wps:wsp>
                        <wps:cNvPr id="95" name="Line 99"/>
                        <wps:cNvCnPr>
                          <a:cxnSpLocks noChangeShapeType="1"/>
                        </wps:cNvCnPr>
                        <wps:spPr bwMode="auto">
                          <a:xfrm>
                            <a:off x="3510" y="2674"/>
                            <a:ext cx="0" cy="0"/>
                          </a:xfrm>
                          <a:prstGeom prst="line">
                            <a:avLst/>
                          </a:prstGeom>
                          <a:noFill/>
                          <a:ln w="9525">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96" name="docshape266"/>
                        <wps:cNvSpPr>
                          <a:spLocks/>
                        </wps:cNvSpPr>
                        <wps:spPr bwMode="auto">
                          <a:xfrm>
                            <a:off x="2766" y="1803"/>
                            <a:ext cx="83" cy="87"/>
                          </a:xfrm>
                          <a:custGeom>
                            <a:avLst/>
                            <a:gdLst>
                              <a:gd name="T0" fmla="+- 0 2766 2766"/>
                              <a:gd name="T1" fmla="*/ T0 w 83"/>
                              <a:gd name="T2" fmla="+- 0 1803 1803"/>
                              <a:gd name="T3" fmla="*/ 1803 h 87"/>
                              <a:gd name="T4" fmla="+- 0 2787 2766"/>
                              <a:gd name="T5" fmla="*/ T4 w 83"/>
                              <a:gd name="T6" fmla="+- 0 1890 1803"/>
                              <a:gd name="T7" fmla="*/ 1890 h 87"/>
                              <a:gd name="T8" fmla="+- 0 2849 2766"/>
                              <a:gd name="T9" fmla="*/ T8 w 83"/>
                              <a:gd name="T10" fmla="+- 0 1838 1803"/>
                              <a:gd name="T11" fmla="*/ 1838 h 87"/>
                              <a:gd name="T12" fmla="+- 0 2766 2766"/>
                              <a:gd name="T13" fmla="*/ T12 w 83"/>
                              <a:gd name="T14" fmla="+- 0 1803 1803"/>
                              <a:gd name="T15" fmla="*/ 1803 h 87"/>
                            </a:gdLst>
                            <a:ahLst/>
                            <a:cxnLst>
                              <a:cxn ang="0">
                                <a:pos x="T1" y="T3"/>
                              </a:cxn>
                              <a:cxn ang="0">
                                <a:pos x="T5" y="T7"/>
                              </a:cxn>
                              <a:cxn ang="0">
                                <a:pos x="T9" y="T11"/>
                              </a:cxn>
                              <a:cxn ang="0">
                                <a:pos x="T13" y="T15"/>
                              </a:cxn>
                            </a:cxnLst>
                            <a:rect l="0" t="0" r="r" b="b"/>
                            <a:pathLst>
                              <a:path w="83" h="87">
                                <a:moveTo>
                                  <a:pt x="0" y="0"/>
                                </a:moveTo>
                                <a:lnTo>
                                  <a:pt x="21" y="87"/>
                                </a:lnTo>
                                <a:lnTo>
                                  <a:pt x="83" y="35"/>
                                </a:lnTo>
                                <a:lnTo>
                                  <a:pt x="0" y="0"/>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7" name="Line 97"/>
                        <wps:cNvCnPr>
                          <a:cxnSpLocks noChangeShapeType="1"/>
                        </wps:cNvCnPr>
                        <wps:spPr bwMode="auto">
                          <a:xfrm>
                            <a:off x="1801" y="1798"/>
                            <a:ext cx="1370" cy="2109"/>
                          </a:xfrm>
                          <a:prstGeom prst="line">
                            <a:avLst/>
                          </a:prstGeom>
                          <a:noFill/>
                          <a:ln w="9525">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98" name="docshape267"/>
                        <wps:cNvSpPr>
                          <a:spLocks/>
                        </wps:cNvSpPr>
                        <wps:spPr bwMode="auto">
                          <a:xfrm>
                            <a:off x="3137" y="3885"/>
                            <a:ext cx="78" cy="89"/>
                          </a:xfrm>
                          <a:custGeom>
                            <a:avLst/>
                            <a:gdLst>
                              <a:gd name="T0" fmla="+- 0 3206 3137"/>
                              <a:gd name="T1" fmla="*/ T0 w 78"/>
                              <a:gd name="T2" fmla="+- 0 3885 3885"/>
                              <a:gd name="T3" fmla="*/ 3885 h 89"/>
                              <a:gd name="T4" fmla="+- 0 3137 3137"/>
                              <a:gd name="T5" fmla="*/ T4 w 78"/>
                              <a:gd name="T6" fmla="+- 0 3928 3885"/>
                              <a:gd name="T7" fmla="*/ 3928 h 89"/>
                              <a:gd name="T8" fmla="+- 0 3214 3137"/>
                              <a:gd name="T9" fmla="*/ T8 w 78"/>
                              <a:gd name="T10" fmla="+- 0 3974 3885"/>
                              <a:gd name="T11" fmla="*/ 3974 h 89"/>
                              <a:gd name="T12" fmla="+- 0 3206 3137"/>
                              <a:gd name="T13" fmla="*/ T12 w 78"/>
                              <a:gd name="T14" fmla="+- 0 3885 3885"/>
                              <a:gd name="T15" fmla="*/ 3885 h 89"/>
                            </a:gdLst>
                            <a:ahLst/>
                            <a:cxnLst>
                              <a:cxn ang="0">
                                <a:pos x="T1" y="T3"/>
                              </a:cxn>
                              <a:cxn ang="0">
                                <a:pos x="T5" y="T7"/>
                              </a:cxn>
                              <a:cxn ang="0">
                                <a:pos x="T9" y="T11"/>
                              </a:cxn>
                              <a:cxn ang="0">
                                <a:pos x="T13" y="T15"/>
                              </a:cxn>
                            </a:cxnLst>
                            <a:rect l="0" t="0" r="r" b="b"/>
                            <a:pathLst>
                              <a:path w="78" h="89">
                                <a:moveTo>
                                  <a:pt x="69" y="0"/>
                                </a:moveTo>
                                <a:lnTo>
                                  <a:pt x="0" y="43"/>
                                </a:lnTo>
                                <a:lnTo>
                                  <a:pt x="77" y="89"/>
                                </a:lnTo>
                                <a:lnTo>
                                  <a:pt x="69" y="0"/>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565937B" id="docshapegroup265" o:spid="_x0000_s1026" style="position:absolute;margin-left:89.7pt;margin-top:89.55pt;width:86.2pt;height:109.2pt;z-index:-19572736;mso-position-horizontal-relative:page" coordorigin="1794,1791" coordsize="1724,2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">
                <v:line id="Line 99" o:spid="_x0000_s1027" style="position:absolute;visibility:visible;mso-wrap-style:square" from="3510,2674" to="3510,26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" strokecolor="#231f20"/>
                <v:shape id="docshape266" o:spid="_x0000_s1028" style="position:absolute;left:2766;top:1803;width:83;height:87;visibility:visible;mso-wrap-style:square;v-text-anchor:top" coordsize="83,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" path="m,l21,87,83,35,,xe" fillcolor="#231f20" stroked="f">
                  <v:path arrowok="t" o:connecttype="custom" o:connectlocs="0,1803;21,1890;83,1838;0,1803" o:connectangles="0,0,0,0"/>
                </v:shape>
                <v:line id="Line 97" o:spid="_x0000_s1029" style="position:absolute;visibility:visible;mso-wrap-style:square" from="1801,1798" to="3171,39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" strokecolor="#231f20"/>
                <v:shape id="docshape267" o:spid="_x0000_s1030" style="position:absolute;left:3137;top:3885;width:78;height:89;visibility:visible;mso-wrap-style:square;v-text-anchor:top" coordsize="78,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" path="m69,l,43,77,89,69,xe" fillcolor="#231f20" stroked="f">
                  <v:path arrowok="t" o:connecttype="custom" o:connectlocs="69,3885;0,3928;77,3974;69,3885" o:connectangles="0,0,0,0"/>
                </v:shape>
                <w10:wrap anchorx="page"/>
              </v:group>
            </w:pict>
          </mc:Fallback>
        </mc:AlternateContent>
      </w:r>
      <w:r>
        <w:rPr>
          <w:rFonts w:ascii="Trebuchet MS"/>
          <w:color w:val="231F20"/>
          <w:w w:val="105"/>
          <w:sz w:val="14"/>
        </w:rPr>
        <w:t>186</w:t>
      </w:r>
      <w:r>
        <w:rPr>
          <w:rFonts w:ascii="Trebuchet MS"/>
          <w:color w:val="231F20"/>
          <w:spacing w:val="66"/>
          <w:w w:val="150"/>
          <w:sz w:val="14"/>
        </w:rPr>
        <w:t xml:space="preserve"> </w:t>
      </w:r>
      <w:r>
        <w:rPr>
          <w:rFonts w:ascii="Trebuchet MS"/>
          <w:color w:val="231F20"/>
          <w:w w:val="105"/>
          <w:sz w:val="14"/>
        </w:rPr>
        <w:t>Part</w:t>
      </w:r>
      <w:r>
        <w:rPr>
          <w:rFonts w:ascii="Trebuchet MS"/>
          <w:color w:val="231F20"/>
          <w:spacing w:val="-9"/>
          <w:w w:val="105"/>
          <w:sz w:val="14"/>
        </w:rPr>
        <w:t xml:space="preserve"> </w:t>
      </w:r>
      <w:r>
        <w:rPr>
          <w:rFonts w:ascii="Trebuchet MS"/>
          <w:color w:val="231F20"/>
          <w:w w:val="105"/>
          <w:sz w:val="14"/>
        </w:rPr>
        <w:t>4:</w:t>
      </w:r>
      <w:r>
        <w:rPr>
          <w:rFonts w:ascii="Trebuchet MS"/>
          <w:color w:val="231F20"/>
          <w:spacing w:val="-8"/>
          <w:w w:val="105"/>
          <w:sz w:val="14"/>
        </w:rPr>
        <w:t xml:space="preserve"> </w:t>
      </w:r>
      <w:r>
        <w:rPr>
          <w:rFonts w:ascii="Trebuchet MS"/>
          <w:color w:val="231F20"/>
          <w:w w:val="105"/>
          <w:sz w:val="14"/>
        </w:rPr>
        <w:t>Sport</w:t>
      </w:r>
      <w:r>
        <w:rPr>
          <w:rFonts w:ascii="Trebuchet MS"/>
          <w:color w:val="231F20"/>
          <w:spacing w:val="-9"/>
          <w:w w:val="105"/>
          <w:sz w:val="14"/>
        </w:rPr>
        <w:t xml:space="preserve"> </w:t>
      </w:r>
      <w:r>
        <w:rPr>
          <w:rFonts w:ascii="Trebuchet MS"/>
          <w:color w:val="231F20"/>
          <w:w w:val="105"/>
          <w:sz w:val="14"/>
        </w:rPr>
        <w:t>Tourism</w:t>
      </w:r>
      <w:r>
        <w:rPr>
          <w:rFonts w:ascii="Trebuchet MS"/>
          <w:color w:val="231F20"/>
          <w:spacing w:val="-9"/>
          <w:w w:val="105"/>
          <w:sz w:val="14"/>
        </w:rPr>
        <w:t xml:space="preserve"> </w:t>
      </w:r>
      <w:r>
        <w:rPr>
          <w:rFonts w:ascii="Trebuchet MS"/>
          <w:color w:val="231F20"/>
          <w:w w:val="105"/>
          <w:sz w:val="14"/>
        </w:rPr>
        <w:t>Development</w:t>
      </w:r>
      <w:r>
        <w:rPr>
          <w:rFonts w:ascii="Trebuchet MS"/>
          <w:color w:val="231F20"/>
          <w:spacing w:val="-9"/>
          <w:w w:val="105"/>
          <w:sz w:val="14"/>
        </w:rPr>
        <w:t xml:space="preserve"> </w:t>
      </w:r>
      <w:r>
        <w:rPr>
          <w:rFonts w:ascii="Trebuchet MS"/>
          <w:color w:val="231F20"/>
          <w:w w:val="105"/>
          <w:sz w:val="14"/>
        </w:rPr>
        <w:t>and</w:t>
      </w:r>
      <w:r>
        <w:rPr>
          <w:rFonts w:ascii="Trebuchet MS"/>
          <w:color w:val="231F20"/>
          <w:spacing w:val="-8"/>
          <w:w w:val="105"/>
          <w:sz w:val="14"/>
        </w:rPr>
        <w:t xml:space="preserve"> </w:t>
      </w:r>
      <w:r>
        <w:rPr>
          <w:rFonts w:ascii="Trebuchet MS"/>
          <w:color w:val="231F20"/>
          <w:spacing w:val="-4"/>
          <w:w w:val="105"/>
          <w:sz w:val="14"/>
        </w:rPr>
        <w:t>Time</w:t>
      </w:r>
    </w:p>
    <w:p w14:paraId="2A32BFE6" w14:textId="69419B78" w:rsidR="00AE0598" w:rsidRDefault="0069255A">
      <w:pPr>
        <w:pStyle w:val="Corpodetexto"/>
        <w:spacing w:before="6"/>
        <w:rPr>
          <w:rFonts w:ascii="Trebuchet MS"/>
          <w:sz w:val="27"/>
        </w:rPr>
      </w:pPr>
      <w:r>
        <w:rPr>
          <w:noProof/>
        </w:rPr>
        <mc:AlternateContent>
          <mc:Choice Requires="wpg">
            <w:drawing>
              <wp:anchor distT="0" distB="0" distL="0" distR="0" simplePos="0" relativeHeight="487677440" behindDoc="1" locked="0" layoutInCell="1" allowOverlap="1" wp14:anchorId="15FCBAC6" wp14:editId="0F5C76AE">
                <wp:simplePos x="0" y="0"/>
                <wp:positionH relativeFrom="page">
                  <wp:posOffset>965200</wp:posOffset>
                </wp:positionH>
                <wp:positionV relativeFrom="paragraph">
                  <wp:posOffset>218440</wp:posOffset>
                </wp:positionV>
                <wp:extent cx="3618230" cy="2216150"/>
                <wp:effectExtent l="0" t="0" r="0" b="0"/>
                <wp:wrapTopAndBottom/>
                <wp:docPr id="86" name="docshapegroup2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618230" cy="2216150"/>
                          <a:chOff x="1520" y="344"/>
                          <a:chExt cx="5698" cy="3490"/>
                        </a:xfrm>
                      </wpg:grpSpPr>
                      <wps:wsp>
                        <wps:cNvPr id="87" name="Line 94"/>
                        <wps:cNvCnPr>
                          <a:cxnSpLocks noChangeShapeType="1"/>
                        </wps:cNvCnPr>
                        <wps:spPr bwMode="auto">
                          <a:xfrm>
                            <a:off x="7086" y="1554"/>
                            <a:ext cx="0" cy="2026"/>
                          </a:xfrm>
                          <a:prstGeom prst="line">
                            <a:avLst/>
                          </a:prstGeom>
                          <a:noFill/>
                          <a:ln w="9525">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88" name="docshape269"/>
                        <wps:cNvSpPr>
                          <a:spLocks/>
                        </wps:cNvSpPr>
                        <wps:spPr bwMode="auto">
                          <a:xfrm>
                            <a:off x="5679" y="3556"/>
                            <a:ext cx="79" cy="89"/>
                          </a:xfrm>
                          <a:custGeom>
                            <a:avLst/>
                            <a:gdLst>
                              <a:gd name="T0" fmla="+- 0 5691 5680"/>
                              <a:gd name="T1" fmla="*/ T0 w 79"/>
                              <a:gd name="T2" fmla="+- 0 3557 3557"/>
                              <a:gd name="T3" fmla="*/ 3557 h 89"/>
                              <a:gd name="T4" fmla="+- 0 5680 5680"/>
                              <a:gd name="T5" fmla="*/ T4 w 79"/>
                              <a:gd name="T6" fmla="+- 0 3645 3557"/>
                              <a:gd name="T7" fmla="*/ 3645 h 89"/>
                              <a:gd name="T8" fmla="+- 0 5758 5680"/>
                              <a:gd name="T9" fmla="*/ T8 w 79"/>
                              <a:gd name="T10" fmla="+- 0 3601 3557"/>
                              <a:gd name="T11" fmla="*/ 3601 h 89"/>
                              <a:gd name="T12" fmla="+- 0 5691 5680"/>
                              <a:gd name="T13" fmla="*/ T12 w 79"/>
                              <a:gd name="T14" fmla="+- 0 3557 3557"/>
                              <a:gd name="T15" fmla="*/ 3557 h 89"/>
                            </a:gdLst>
                            <a:ahLst/>
                            <a:cxnLst>
                              <a:cxn ang="0">
                                <a:pos x="T1" y="T3"/>
                              </a:cxn>
                              <a:cxn ang="0">
                                <a:pos x="T5" y="T7"/>
                              </a:cxn>
                              <a:cxn ang="0">
                                <a:pos x="T9" y="T11"/>
                              </a:cxn>
                              <a:cxn ang="0">
                                <a:pos x="T13" y="T15"/>
                              </a:cxn>
                            </a:cxnLst>
                            <a:rect l="0" t="0" r="r" b="b"/>
                            <a:pathLst>
                              <a:path w="79" h="89">
                                <a:moveTo>
                                  <a:pt x="11" y="0"/>
                                </a:moveTo>
                                <a:lnTo>
                                  <a:pt x="0" y="88"/>
                                </a:lnTo>
                                <a:lnTo>
                                  <a:pt x="78" y="44"/>
                                </a:lnTo>
                                <a:lnTo>
                                  <a:pt x="11" y="0"/>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9" name="Line 92"/>
                        <wps:cNvCnPr>
                          <a:cxnSpLocks noChangeShapeType="1"/>
                        </wps:cNvCnPr>
                        <wps:spPr bwMode="auto">
                          <a:xfrm>
                            <a:off x="5390" y="2424"/>
                            <a:ext cx="616" cy="0"/>
                          </a:xfrm>
                          <a:prstGeom prst="line">
                            <a:avLst/>
                          </a:prstGeom>
                          <a:noFill/>
                          <a:ln w="9525">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90" name="docshape270"/>
                        <wps:cNvSpPr>
                          <a:spLocks/>
                        </wps:cNvSpPr>
                        <wps:spPr bwMode="auto">
                          <a:xfrm>
                            <a:off x="5965" y="1553"/>
                            <a:ext cx="81" cy="88"/>
                          </a:xfrm>
                          <a:custGeom>
                            <a:avLst/>
                            <a:gdLst>
                              <a:gd name="T0" fmla="+- 0 6046 5965"/>
                              <a:gd name="T1" fmla="*/ T0 w 81"/>
                              <a:gd name="T2" fmla="+- 0 1554 1554"/>
                              <a:gd name="T3" fmla="*/ 1554 h 88"/>
                              <a:gd name="T4" fmla="+- 0 5965 5965"/>
                              <a:gd name="T5" fmla="*/ T4 w 81"/>
                              <a:gd name="T6" fmla="+- 0 1594 1554"/>
                              <a:gd name="T7" fmla="*/ 1594 h 88"/>
                              <a:gd name="T8" fmla="+- 0 6030 5965"/>
                              <a:gd name="T9" fmla="*/ T8 w 81"/>
                              <a:gd name="T10" fmla="+- 0 1642 1554"/>
                              <a:gd name="T11" fmla="*/ 1642 h 88"/>
                              <a:gd name="T12" fmla="+- 0 6046 5965"/>
                              <a:gd name="T13" fmla="*/ T12 w 81"/>
                              <a:gd name="T14" fmla="+- 0 1554 1554"/>
                              <a:gd name="T15" fmla="*/ 1554 h 88"/>
                            </a:gdLst>
                            <a:ahLst/>
                            <a:cxnLst>
                              <a:cxn ang="0">
                                <a:pos x="T1" y="T3"/>
                              </a:cxn>
                              <a:cxn ang="0">
                                <a:pos x="T5" y="T7"/>
                              </a:cxn>
                              <a:cxn ang="0">
                                <a:pos x="T9" y="T11"/>
                              </a:cxn>
                              <a:cxn ang="0">
                                <a:pos x="T13" y="T15"/>
                              </a:cxn>
                            </a:cxnLst>
                            <a:rect l="0" t="0" r="r" b="b"/>
                            <a:pathLst>
                              <a:path w="81" h="88">
                                <a:moveTo>
                                  <a:pt x="81" y="0"/>
                                </a:moveTo>
                                <a:lnTo>
                                  <a:pt x="0" y="40"/>
                                </a:lnTo>
                                <a:lnTo>
                                  <a:pt x="65" y="88"/>
                                </a:lnTo>
                                <a:lnTo>
                                  <a:pt x="81" y="0"/>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1" name="docshape271"/>
                        <wps:cNvSpPr txBox="1">
                          <a:spLocks noChangeArrowheads="1"/>
                        </wps:cNvSpPr>
                        <wps:spPr bwMode="auto">
                          <a:xfrm>
                            <a:off x="3214" y="2424"/>
                            <a:ext cx="2466" cy="1405"/>
                          </a:xfrm>
                          <a:prstGeom prst="rect">
                            <a:avLst/>
                          </a:prstGeom>
                          <a:noFill/>
                          <a:ln w="6350">
                            <a:solidFill>
                              <a:srgbClr val="231F2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33BAB8A6" w14:textId="77777777" w:rsidR="00AE0598" w:rsidRDefault="0069255A">
                              <w:pPr>
                                <w:spacing w:before="49"/>
                                <w:ind w:left="107" w:right="107"/>
                                <w:jc w:val="center"/>
                                <w:rPr>
                                  <w:b/>
                                  <w:sz w:val="16"/>
                                </w:rPr>
                              </w:pPr>
                              <w:r>
                                <w:rPr>
                                  <w:b/>
                                  <w:color w:val="231F20"/>
                                  <w:w w:val="115"/>
                                  <w:sz w:val="16"/>
                                </w:rPr>
                                <w:t>MODIFYING</w:t>
                              </w:r>
                              <w:r>
                                <w:rPr>
                                  <w:b/>
                                  <w:color w:val="231F20"/>
                                  <w:spacing w:val="30"/>
                                  <w:w w:val="120"/>
                                  <w:sz w:val="16"/>
                                </w:rPr>
                                <w:t xml:space="preserve"> </w:t>
                              </w:r>
                              <w:r>
                                <w:rPr>
                                  <w:b/>
                                  <w:color w:val="231F20"/>
                                  <w:spacing w:val="-2"/>
                                  <w:w w:val="120"/>
                                  <w:sz w:val="16"/>
                                </w:rPr>
                                <w:t>ACTIONS</w:t>
                              </w:r>
                            </w:p>
                            <w:p w14:paraId="1D4A954B" w14:textId="77777777" w:rsidR="00AE0598" w:rsidRDefault="0069255A">
                              <w:pPr>
                                <w:spacing w:before="176" w:line="216" w:lineRule="auto"/>
                                <w:ind w:left="109" w:right="107"/>
                                <w:jc w:val="center"/>
                                <w:rPr>
                                  <w:rFonts w:ascii="Segoe UI Symbol"/>
                                  <w:sz w:val="16"/>
                                </w:rPr>
                              </w:pPr>
                              <w:r>
                                <w:rPr>
                                  <w:rFonts w:ascii="Segoe UI Symbol"/>
                                  <w:color w:val="231F20"/>
                                  <w:sz w:val="16"/>
                                </w:rPr>
                                <w:t>Differential</w:t>
                              </w:r>
                              <w:r>
                                <w:rPr>
                                  <w:rFonts w:ascii="Segoe UI Symbol"/>
                                  <w:color w:val="231F20"/>
                                  <w:spacing w:val="-10"/>
                                  <w:sz w:val="16"/>
                                </w:rPr>
                                <w:t xml:space="preserve"> </w:t>
                              </w:r>
                              <w:r>
                                <w:rPr>
                                  <w:rFonts w:ascii="Segoe UI Symbol"/>
                                  <w:color w:val="231F20"/>
                                  <w:sz w:val="16"/>
                                </w:rPr>
                                <w:t>pricing</w:t>
                              </w:r>
                              <w:r>
                                <w:rPr>
                                  <w:rFonts w:ascii="Segoe UI Symbol"/>
                                  <w:color w:val="231F20"/>
                                  <w:spacing w:val="-10"/>
                                  <w:sz w:val="16"/>
                                </w:rPr>
                                <w:t xml:space="preserve"> </w:t>
                              </w:r>
                              <w:r>
                                <w:rPr>
                                  <w:rFonts w:ascii="Segoe UI Symbol"/>
                                  <w:color w:val="231F20"/>
                                  <w:sz w:val="16"/>
                                </w:rPr>
                                <w:t>and</w:t>
                              </w:r>
                              <w:r>
                                <w:rPr>
                                  <w:rFonts w:ascii="Segoe UI Symbol"/>
                                  <w:color w:val="231F20"/>
                                  <w:spacing w:val="-10"/>
                                  <w:sz w:val="16"/>
                                </w:rPr>
                                <w:t xml:space="preserve"> </w:t>
                              </w:r>
                              <w:r>
                                <w:rPr>
                                  <w:rFonts w:ascii="Segoe UI Symbol"/>
                                  <w:color w:val="231F20"/>
                                  <w:sz w:val="16"/>
                                </w:rPr>
                                <w:t>taxation New attractions &amp; events Technological</w:t>
                              </w:r>
                              <w:r>
                                <w:rPr>
                                  <w:rFonts w:ascii="Segoe UI Symbol"/>
                                  <w:color w:val="231F20"/>
                                  <w:spacing w:val="-3"/>
                                  <w:sz w:val="16"/>
                                </w:rPr>
                                <w:t xml:space="preserve"> </w:t>
                              </w:r>
                              <w:r>
                                <w:rPr>
                                  <w:rFonts w:ascii="Segoe UI Symbol"/>
                                  <w:color w:val="231F20"/>
                                  <w:sz w:val="16"/>
                                </w:rPr>
                                <w:t>innovation Market</w:t>
                              </w:r>
                              <w:r>
                                <w:rPr>
                                  <w:rFonts w:ascii="Segoe UI Symbol"/>
                                  <w:color w:val="231F20"/>
                                  <w:spacing w:val="-3"/>
                                  <w:sz w:val="16"/>
                                </w:rPr>
                                <w:t xml:space="preserve"> </w:t>
                              </w:r>
                              <w:r>
                                <w:rPr>
                                  <w:rFonts w:ascii="Segoe UI Symbol"/>
                                  <w:color w:val="231F20"/>
                                  <w:sz w:val="16"/>
                                </w:rPr>
                                <w:t xml:space="preserve">diversification </w:t>
                              </w:r>
                              <w:r>
                                <w:rPr>
                                  <w:rFonts w:ascii="Segoe UI Symbol"/>
                                  <w:color w:val="231F20"/>
                                  <w:spacing w:val="-2"/>
                                  <w:sz w:val="16"/>
                                </w:rPr>
                                <w:t>Promotions</w:t>
                              </w:r>
                            </w:p>
                          </w:txbxContent>
                        </wps:txbx>
                        <wps:bodyPr rot="0" vert="horz" wrap="square" lIns="0" tIns="0" rIns="0" bIns="0" anchor="t" anchorCtr="0" upright="1">
                          <a:noAutofit/>
                        </wps:bodyPr>
                      </wps:wsp>
                      <wps:wsp>
                        <wps:cNvPr id="92" name="docshape272"/>
                        <wps:cNvSpPr txBox="1">
                          <a:spLocks noChangeArrowheads="1"/>
                        </wps:cNvSpPr>
                        <wps:spPr bwMode="auto">
                          <a:xfrm>
                            <a:off x="5276" y="349"/>
                            <a:ext cx="1937" cy="1200"/>
                          </a:xfrm>
                          <a:prstGeom prst="rect">
                            <a:avLst/>
                          </a:prstGeom>
                          <a:noFill/>
                          <a:ln w="6350">
                            <a:solidFill>
                              <a:srgbClr val="231F2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3D6EFC55" w14:textId="77777777" w:rsidR="00AE0598" w:rsidRDefault="0069255A">
                              <w:pPr>
                                <w:spacing w:before="49"/>
                                <w:ind w:left="95" w:right="95"/>
                                <w:jc w:val="center"/>
                                <w:rPr>
                                  <w:b/>
                                  <w:sz w:val="16"/>
                                </w:rPr>
                              </w:pPr>
                              <w:r>
                                <w:rPr>
                                  <w:b/>
                                  <w:color w:val="231F20"/>
                                  <w:w w:val="110"/>
                                  <w:sz w:val="16"/>
                                </w:rPr>
                                <w:t>SUPPLY</w:t>
                              </w:r>
                              <w:r>
                                <w:rPr>
                                  <w:b/>
                                  <w:color w:val="231F20"/>
                                  <w:spacing w:val="-7"/>
                                  <w:w w:val="110"/>
                                  <w:sz w:val="16"/>
                                </w:rPr>
                                <w:t xml:space="preserve"> </w:t>
                              </w:r>
                              <w:r>
                                <w:rPr>
                                  <w:b/>
                                  <w:color w:val="231F20"/>
                                  <w:spacing w:val="-2"/>
                                  <w:w w:val="110"/>
                                  <w:sz w:val="16"/>
                                </w:rPr>
                                <w:t>ATTRIBUTES</w:t>
                              </w:r>
                            </w:p>
                            <w:p w14:paraId="65D326D6" w14:textId="77777777" w:rsidR="00AE0598" w:rsidRDefault="0069255A">
                              <w:pPr>
                                <w:spacing w:before="176" w:line="216" w:lineRule="auto"/>
                                <w:ind w:left="95" w:right="93"/>
                                <w:jc w:val="center"/>
                                <w:rPr>
                                  <w:rFonts w:ascii="Segoe UI Symbol"/>
                                  <w:sz w:val="16"/>
                                </w:rPr>
                              </w:pPr>
                              <w:r>
                                <w:rPr>
                                  <w:rFonts w:ascii="Segoe UI Symbol"/>
                                  <w:color w:val="231F20"/>
                                  <w:sz w:val="16"/>
                                </w:rPr>
                                <w:t>Institutional</w:t>
                              </w:r>
                              <w:r>
                                <w:rPr>
                                  <w:rFonts w:ascii="Segoe UI Symbol"/>
                                  <w:color w:val="231F20"/>
                                  <w:spacing w:val="-4"/>
                                  <w:sz w:val="16"/>
                                </w:rPr>
                                <w:t xml:space="preserve"> </w:t>
                              </w:r>
                              <w:r>
                                <w:rPr>
                                  <w:rFonts w:ascii="Segoe UI Symbol"/>
                                  <w:color w:val="231F20"/>
                                  <w:sz w:val="16"/>
                                </w:rPr>
                                <w:t>and</w:t>
                              </w:r>
                              <w:r>
                                <w:rPr>
                                  <w:rFonts w:ascii="Segoe UI Symbol"/>
                                  <w:color w:val="231F20"/>
                                  <w:spacing w:val="-4"/>
                                  <w:sz w:val="16"/>
                                </w:rPr>
                                <w:t xml:space="preserve"> </w:t>
                              </w:r>
                              <w:r>
                                <w:rPr>
                                  <w:rFonts w:ascii="Segoe UI Symbol"/>
                                  <w:color w:val="231F20"/>
                                  <w:sz w:val="16"/>
                                </w:rPr>
                                <w:t xml:space="preserve">natural factors in destination </w:t>
                              </w:r>
                              <w:r>
                                <w:rPr>
                                  <w:rFonts w:ascii="Segoe UI Symbol"/>
                                  <w:color w:val="231F20"/>
                                  <w:spacing w:val="-2"/>
                                  <w:sz w:val="16"/>
                                </w:rPr>
                                <w:t>areas</w:t>
                              </w:r>
                            </w:p>
                          </w:txbxContent>
                        </wps:txbx>
                        <wps:bodyPr rot="0" vert="horz" wrap="square" lIns="0" tIns="0" rIns="0" bIns="0" anchor="t" anchorCtr="0" upright="1">
                          <a:noAutofit/>
                        </wps:bodyPr>
                      </wps:wsp>
                      <wps:wsp>
                        <wps:cNvPr id="93" name="docshape273"/>
                        <wps:cNvSpPr txBox="1">
                          <a:spLocks noChangeArrowheads="1"/>
                        </wps:cNvSpPr>
                        <wps:spPr bwMode="auto">
                          <a:xfrm>
                            <a:off x="1525" y="349"/>
                            <a:ext cx="1937" cy="1200"/>
                          </a:xfrm>
                          <a:prstGeom prst="rect">
                            <a:avLst/>
                          </a:prstGeom>
                          <a:noFill/>
                          <a:ln w="6350">
                            <a:solidFill>
                              <a:srgbClr val="231F2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59A56754" w14:textId="77777777" w:rsidR="00AE0598" w:rsidRDefault="0069255A">
                              <w:pPr>
                                <w:spacing w:before="49"/>
                                <w:ind w:left="95" w:right="95"/>
                                <w:jc w:val="center"/>
                                <w:rPr>
                                  <w:b/>
                                  <w:sz w:val="16"/>
                                </w:rPr>
                              </w:pPr>
                              <w:r>
                                <w:rPr>
                                  <w:b/>
                                  <w:color w:val="231F20"/>
                                  <w:w w:val="115"/>
                                  <w:sz w:val="16"/>
                                </w:rPr>
                                <w:t>DEMAND</w:t>
                              </w:r>
                              <w:r>
                                <w:rPr>
                                  <w:b/>
                                  <w:color w:val="231F20"/>
                                  <w:spacing w:val="25"/>
                                  <w:w w:val="115"/>
                                  <w:sz w:val="16"/>
                                </w:rPr>
                                <w:t xml:space="preserve"> </w:t>
                              </w:r>
                              <w:r>
                                <w:rPr>
                                  <w:b/>
                                  <w:color w:val="231F20"/>
                                  <w:spacing w:val="-2"/>
                                  <w:w w:val="115"/>
                                  <w:sz w:val="16"/>
                                </w:rPr>
                                <w:t>FACTORS</w:t>
                              </w:r>
                            </w:p>
                            <w:p w14:paraId="3979E459" w14:textId="77777777" w:rsidR="00AE0598" w:rsidRDefault="0069255A">
                              <w:pPr>
                                <w:spacing w:before="176" w:line="216" w:lineRule="auto"/>
                                <w:ind w:left="95" w:right="93"/>
                                <w:jc w:val="center"/>
                                <w:rPr>
                                  <w:rFonts w:ascii="Segoe UI Symbol"/>
                                  <w:sz w:val="16"/>
                                </w:rPr>
                              </w:pPr>
                              <w:r>
                                <w:rPr>
                                  <w:rFonts w:ascii="Segoe UI Symbol"/>
                                  <w:color w:val="231F20"/>
                                  <w:sz w:val="16"/>
                                </w:rPr>
                                <w:t>Institutional</w:t>
                              </w:r>
                              <w:r>
                                <w:rPr>
                                  <w:rFonts w:ascii="Segoe UI Symbol"/>
                                  <w:color w:val="231F20"/>
                                  <w:spacing w:val="-4"/>
                                  <w:sz w:val="16"/>
                                </w:rPr>
                                <w:t xml:space="preserve"> </w:t>
                              </w:r>
                              <w:r>
                                <w:rPr>
                                  <w:rFonts w:ascii="Segoe UI Symbol"/>
                                  <w:color w:val="231F20"/>
                                  <w:sz w:val="16"/>
                                </w:rPr>
                                <w:t>and</w:t>
                              </w:r>
                              <w:r>
                                <w:rPr>
                                  <w:rFonts w:ascii="Segoe UI Symbol"/>
                                  <w:color w:val="231F20"/>
                                  <w:spacing w:val="-4"/>
                                  <w:sz w:val="16"/>
                                </w:rPr>
                                <w:t xml:space="preserve"> </w:t>
                              </w:r>
                              <w:r>
                                <w:rPr>
                                  <w:rFonts w:ascii="Segoe UI Symbol"/>
                                  <w:color w:val="231F20"/>
                                  <w:sz w:val="16"/>
                                </w:rPr>
                                <w:t>natural factors in origin</w:t>
                              </w:r>
                            </w:p>
                            <w:p w14:paraId="1439F437" w14:textId="77777777" w:rsidR="00AE0598" w:rsidRDefault="0069255A">
                              <w:pPr>
                                <w:spacing w:line="196" w:lineRule="exact"/>
                                <w:ind w:left="95" w:right="95"/>
                                <w:jc w:val="center"/>
                                <w:rPr>
                                  <w:rFonts w:ascii="Segoe UI Symbol"/>
                                  <w:sz w:val="16"/>
                                </w:rPr>
                              </w:pPr>
                              <w:r>
                                <w:rPr>
                                  <w:rFonts w:ascii="Segoe UI Symbol"/>
                                  <w:color w:val="231F20"/>
                                  <w:spacing w:val="-2"/>
                                  <w:sz w:val="16"/>
                                </w:rPr>
                                <w:t>areas</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5FCBAC6" id="docshapegroup268" o:spid="_x0000_s1103" style="position:absolute;margin-left:76pt;margin-top:17.2pt;width:284.9pt;height:174.5pt;z-index:-15639040;mso-wrap-distance-left:0;mso-wrap-distance-right:0;mso-position-horizontal-relative:page;mso-position-vertical-relative:text" coordorigin="1520,344" coordsize="5698,34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">
                <v:line id="Line 94" o:spid="_x0000_s1104" style="position:absolute;visibility:visible;mso-wrap-style:square" from="7086,1554" to="7086,35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" strokecolor="#231f20"/>
                <v:shape id="docshape269" o:spid="_x0000_s1105" style="position:absolute;left:5679;top:3556;width:79;height:89;visibility:visible;mso-wrap-style:square;v-text-anchor:top" coordsize="79,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" path="m11,l,88,78,44,11,xe" fillcolor="#231f20" stroked="f">
                  <v:path arrowok="t" o:connecttype="custom" o:connectlocs="11,3557;0,3645;78,3601;11,3557" o:connectangles="0,0,0,0"/>
                </v:shape>
                <v:line id="Line 92" o:spid="_x0000_s1106" style="position:absolute;visibility:visible;mso-wrap-style:square" from="5390,2424" to="6006,24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" strokecolor="#231f20"/>
                <v:shape id="docshape270" o:spid="_x0000_s1107" style="position:absolute;left:5965;top:1553;width:81;height:88;visibility:visible;mso-wrap-style:square;v-text-anchor:top" coordsize="8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" path="m81,l,40,65,88,81,xe" fillcolor="#231f20" stroked="f">
                  <v:path arrowok="t" o:connecttype="custom" o:connectlocs="81,1554;0,1594;65,1642;81,1554" o:connectangles="0,0,0,0"/>
                </v:shape>
                <v:shape id="docshape271" o:spid="_x0000_s1108" type="#_x0000_t202" style="position:absolute;left:3214;top:2424;width:2466;height:14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" filled="f" strokecolor="#231f20" strokeweight=".5pt">
                  <v:textbox inset="0,0,0,0">
                    <w:txbxContent>
                      <w:p w14:paraId="33BAB8A6" w14:textId="77777777" w:rsidR="00AE0598" w:rsidRDefault="0069255A">
                        <w:pPr>
                          <w:spacing w:before="49"/>
                          <w:ind w:left="107" w:right="107"/>
                          <w:jc w:val="center"/>
                          <w:rPr>
                            <w:b/>
                            <w:sz w:val="16"/>
                          </w:rPr>
                        </w:pPr>
                        <w:r>
                          <w:rPr>
                            <w:b/>
                            <w:color w:val="231F20"/>
                            <w:w w:val="115"/>
                            <w:sz w:val="16"/>
                          </w:rPr>
                          <w:t>MODIFYING</w:t>
                        </w:r>
                        <w:r>
                          <w:rPr>
                            <w:b/>
                            <w:color w:val="231F20"/>
                            <w:spacing w:val="30"/>
                            <w:w w:val="120"/>
                            <w:sz w:val="16"/>
                          </w:rPr>
                          <w:t xml:space="preserve"> </w:t>
                        </w:r>
                        <w:r>
                          <w:rPr>
                            <w:b/>
                            <w:color w:val="231F20"/>
                            <w:spacing w:val="-2"/>
                            <w:w w:val="120"/>
                            <w:sz w:val="16"/>
                          </w:rPr>
                          <w:t>ACTIONS</w:t>
                        </w:r>
                      </w:p>
                      <w:p w14:paraId="1D4A954B" w14:textId="77777777" w:rsidR="00AE0598" w:rsidRDefault="0069255A">
                        <w:pPr>
                          <w:spacing w:before="176" w:line="216" w:lineRule="auto"/>
                          <w:ind w:left="109" w:right="107"/>
                          <w:jc w:val="center"/>
                          <w:rPr>
                            <w:rFonts w:ascii="Segoe UI Symbol"/>
                            <w:sz w:val="16"/>
                          </w:rPr>
                        </w:pPr>
                        <w:r>
                          <w:rPr>
                            <w:rFonts w:ascii="Segoe UI Symbol"/>
                            <w:color w:val="231F20"/>
                            <w:sz w:val="16"/>
                          </w:rPr>
                          <w:t>Differential</w:t>
                        </w:r>
                        <w:r>
                          <w:rPr>
                            <w:rFonts w:ascii="Segoe UI Symbol"/>
                            <w:color w:val="231F20"/>
                            <w:spacing w:val="-10"/>
                            <w:sz w:val="16"/>
                          </w:rPr>
                          <w:t xml:space="preserve"> </w:t>
                        </w:r>
                        <w:r>
                          <w:rPr>
                            <w:rFonts w:ascii="Segoe UI Symbol"/>
                            <w:color w:val="231F20"/>
                            <w:sz w:val="16"/>
                          </w:rPr>
                          <w:t>pricing</w:t>
                        </w:r>
                        <w:r>
                          <w:rPr>
                            <w:rFonts w:ascii="Segoe UI Symbol"/>
                            <w:color w:val="231F20"/>
                            <w:spacing w:val="-10"/>
                            <w:sz w:val="16"/>
                          </w:rPr>
                          <w:t xml:space="preserve"> </w:t>
                        </w:r>
                        <w:r>
                          <w:rPr>
                            <w:rFonts w:ascii="Segoe UI Symbol"/>
                            <w:color w:val="231F20"/>
                            <w:sz w:val="16"/>
                          </w:rPr>
                          <w:t>and</w:t>
                        </w:r>
                        <w:r>
                          <w:rPr>
                            <w:rFonts w:ascii="Segoe UI Symbol"/>
                            <w:color w:val="231F20"/>
                            <w:spacing w:val="-10"/>
                            <w:sz w:val="16"/>
                          </w:rPr>
                          <w:t xml:space="preserve"> </w:t>
                        </w:r>
                        <w:r>
                          <w:rPr>
                            <w:rFonts w:ascii="Segoe UI Symbol"/>
                            <w:color w:val="231F20"/>
                            <w:sz w:val="16"/>
                          </w:rPr>
                          <w:t>taxation New attractions &amp; events Technological</w:t>
                        </w:r>
                        <w:r>
                          <w:rPr>
                            <w:rFonts w:ascii="Segoe UI Symbol"/>
                            <w:color w:val="231F20"/>
                            <w:spacing w:val="-3"/>
                            <w:sz w:val="16"/>
                          </w:rPr>
                          <w:t xml:space="preserve"> </w:t>
                        </w:r>
                        <w:r>
                          <w:rPr>
                            <w:rFonts w:ascii="Segoe UI Symbol"/>
                            <w:color w:val="231F20"/>
                            <w:sz w:val="16"/>
                          </w:rPr>
                          <w:t>innovation Market</w:t>
                        </w:r>
                        <w:r>
                          <w:rPr>
                            <w:rFonts w:ascii="Segoe UI Symbol"/>
                            <w:color w:val="231F20"/>
                            <w:spacing w:val="-3"/>
                            <w:sz w:val="16"/>
                          </w:rPr>
                          <w:t xml:space="preserve"> </w:t>
                        </w:r>
                        <w:r>
                          <w:rPr>
                            <w:rFonts w:ascii="Segoe UI Symbol"/>
                            <w:color w:val="231F20"/>
                            <w:sz w:val="16"/>
                          </w:rPr>
                          <w:t xml:space="preserve">diversification </w:t>
                        </w:r>
                        <w:r>
                          <w:rPr>
                            <w:rFonts w:ascii="Segoe UI Symbol"/>
                            <w:color w:val="231F20"/>
                            <w:spacing w:val="-2"/>
                            <w:sz w:val="16"/>
                          </w:rPr>
                          <w:t>Promotions</w:t>
                        </w:r>
                      </w:p>
                    </w:txbxContent>
                  </v:textbox>
                </v:shape>
                <v:shape id="docshape272" o:spid="_x0000_s1109" type="#_x0000_t202" style="position:absolute;left:5276;top:349;width:1937;height:1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" filled="f" strokecolor="#231f20" strokeweight=".5pt">
                  <v:textbox inset="0,0,0,0">
                    <w:txbxContent>
                      <w:p w14:paraId="3D6EFC55" w14:textId="77777777" w:rsidR="00AE0598" w:rsidRDefault="0069255A">
                        <w:pPr>
                          <w:spacing w:before="49"/>
                          <w:ind w:left="95" w:right="95"/>
                          <w:jc w:val="center"/>
                          <w:rPr>
                            <w:b/>
                            <w:sz w:val="16"/>
                          </w:rPr>
                        </w:pPr>
                        <w:r>
                          <w:rPr>
                            <w:b/>
                            <w:color w:val="231F20"/>
                            <w:w w:val="110"/>
                            <w:sz w:val="16"/>
                          </w:rPr>
                          <w:t>SUPPLY</w:t>
                        </w:r>
                        <w:r>
                          <w:rPr>
                            <w:b/>
                            <w:color w:val="231F20"/>
                            <w:spacing w:val="-7"/>
                            <w:w w:val="110"/>
                            <w:sz w:val="16"/>
                          </w:rPr>
                          <w:t xml:space="preserve"> </w:t>
                        </w:r>
                        <w:r>
                          <w:rPr>
                            <w:b/>
                            <w:color w:val="231F20"/>
                            <w:spacing w:val="-2"/>
                            <w:w w:val="110"/>
                            <w:sz w:val="16"/>
                          </w:rPr>
                          <w:t>ATTRIBUTES</w:t>
                        </w:r>
                      </w:p>
                      <w:p w14:paraId="65D326D6" w14:textId="77777777" w:rsidR="00AE0598" w:rsidRDefault="0069255A">
                        <w:pPr>
                          <w:spacing w:before="176" w:line="216" w:lineRule="auto"/>
                          <w:ind w:left="95" w:right="93"/>
                          <w:jc w:val="center"/>
                          <w:rPr>
                            <w:rFonts w:ascii="Segoe UI Symbol"/>
                            <w:sz w:val="16"/>
                          </w:rPr>
                        </w:pPr>
                        <w:r>
                          <w:rPr>
                            <w:rFonts w:ascii="Segoe UI Symbol"/>
                            <w:color w:val="231F20"/>
                            <w:sz w:val="16"/>
                          </w:rPr>
                          <w:t>Institutional</w:t>
                        </w:r>
                        <w:r>
                          <w:rPr>
                            <w:rFonts w:ascii="Segoe UI Symbol"/>
                            <w:color w:val="231F20"/>
                            <w:spacing w:val="-4"/>
                            <w:sz w:val="16"/>
                          </w:rPr>
                          <w:t xml:space="preserve"> </w:t>
                        </w:r>
                        <w:r>
                          <w:rPr>
                            <w:rFonts w:ascii="Segoe UI Symbol"/>
                            <w:color w:val="231F20"/>
                            <w:sz w:val="16"/>
                          </w:rPr>
                          <w:t>and</w:t>
                        </w:r>
                        <w:r>
                          <w:rPr>
                            <w:rFonts w:ascii="Segoe UI Symbol"/>
                            <w:color w:val="231F20"/>
                            <w:spacing w:val="-4"/>
                            <w:sz w:val="16"/>
                          </w:rPr>
                          <w:t xml:space="preserve"> </w:t>
                        </w:r>
                        <w:r>
                          <w:rPr>
                            <w:rFonts w:ascii="Segoe UI Symbol"/>
                            <w:color w:val="231F20"/>
                            <w:sz w:val="16"/>
                          </w:rPr>
                          <w:t xml:space="preserve">natural factors in destination </w:t>
                        </w:r>
                        <w:r>
                          <w:rPr>
                            <w:rFonts w:ascii="Segoe UI Symbol"/>
                            <w:color w:val="231F20"/>
                            <w:spacing w:val="-2"/>
                            <w:sz w:val="16"/>
                          </w:rPr>
                          <w:t>areas</w:t>
                        </w:r>
                      </w:p>
                    </w:txbxContent>
                  </v:textbox>
                </v:shape>
                <v:shape id="docshape273" o:spid="_x0000_s1110" type="#_x0000_t202" style="position:absolute;left:1525;top:349;width:1937;height:1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" filled="f" strokecolor="#231f20" strokeweight=".5pt">
                  <v:textbox inset="0,0,0,0">
                    <w:txbxContent>
                      <w:p w14:paraId="59A56754" w14:textId="77777777" w:rsidR="00AE0598" w:rsidRDefault="0069255A">
                        <w:pPr>
                          <w:spacing w:before="49"/>
                          <w:ind w:left="95" w:right="95"/>
                          <w:jc w:val="center"/>
                          <w:rPr>
                            <w:b/>
                            <w:sz w:val="16"/>
                          </w:rPr>
                        </w:pPr>
                        <w:r>
                          <w:rPr>
                            <w:b/>
                            <w:color w:val="231F20"/>
                            <w:w w:val="115"/>
                            <w:sz w:val="16"/>
                          </w:rPr>
                          <w:t>DEMAND</w:t>
                        </w:r>
                        <w:r>
                          <w:rPr>
                            <w:b/>
                            <w:color w:val="231F20"/>
                            <w:spacing w:val="25"/>
                            <w:w w:val="115"/>
                            <w:sz w:val="16"/>
                          </w:rPr>
                          <w:t xml:space="preserve"> </w:t>
                        </w:r>
                        <w:r>
                          <w:rPr>
                            <w:b/>
                            <w:color w:val="231F20"/>
                            <w:spacing w:val="-2"/>
                            <w:w w:val="115"/>
                            <w:sz w:val="16"/>
                          </w:rPr>
                          <w:t>FACTORS</w:t>
                        </w:r>
                      </w:p>
                      <w:p w14:paraId="3979E459" w14:textId="77777777" w:rsidR="00AE0598" w:rsidRDefault="0069255A">
                        <w:pPr>
                          <w:spacing w:before="176" w:line="216" w:lineRule="auto"/>
                          <w:ind w:left="95" w:right="93"/>
                          <w:jc w:val="center"/>
                          <w:rPr>
                            <w:rFonts w:ascii="Segoe UI Symbol"/>
                            <w:sz w:val="16"/>
                          </w:rPr>
                        </w:pPr>
                        <w:r>
                          <w:rPr>
                            <w:rFonts w:ascii="Segoe UI Symbol"/>
                            <w:color w:val="231F20"/>
                            <w:sz w:val="16"/>
                          </w:rPr>
                          <w:t>Institutional</w:t>
                        </w:r>
                        <w:r>
                          <w:rPr>
                            <w:rFonts w:ascii="Segoe UI Symbol"/>
                            <w:color w:val="231F20"/>
                            <w:spacing w:val="-4"/>
                            <w:sz w:val="16"/>
                          </w:rPr>
                          <w:t xml:space="preserve"> </w:t>
                        </w:r>
                        <w:r>
                          <w:rPr>
                            <w:rFonts w:ascii="Segoe UI Symbol"/>
                            <w:color w:val="231F20"/>
                            <w:sz w:val="16"/>
                          </w:rPr>
                          <w:t>and</w:t>
                        </w:r>
                        <w:r>
                          <w:rPr>
                            <w:rFonts w:ascii="Segoe UI Symbol"/>
                            <w:color w:val="231F20"/>
                            <w:spacing w:val="-4"/>
                            <w:sz w:val="16"/>
                          </w:rPr>
                          <w:t xml:space="preserve"> </w:t>
                        </w:r>
                        <w:r>
                          <w:rPr>
                            <w:rFonts w:ascii="Segoe UI Symbol"/>
                            <w:color w:val="231F20"/>
                            <w:sz w:val="16"/>
                          </w:rPr>
                          <w:t>natural factors in origin</w:t>
                        </w:r>
                      </w:p>
                      <w:p w14:paraId="1439F437" w14:textId="77777777" w:rsidR="00AE0598" w:rsidRDefault="0069255A">
                        <w:pPr>
                          <w:spacing w:line="196" w:lineRule="exact"/>
                          <w:ind w:left="95" w:right="95"/>
                          <w:jc w:val="center"/>
                          <w:rPr>
                            <w:rFonts w:ascii="Segoe UI Symbol"/>
                            <w:sz w:val="16"/>
                          </w:rPr>
                        </w:pPr>
                        <w:r>
                          <w:rPr>
                            <w:rFonts w:ascii="Segoe UI Symbol"/>
                            <w:color w:val="231F20"/>
                            <w:spacing w:val="-2"/>
                            <w:sz w:val="16"/>
                          </w:rPr>
                          <w:t>areas</w:t>
                        </w:r>
                      </w:p>
                    </w:txbxContent>
                  </v:textbox>
                </v:shape>
                <w10:wrap type="topAndBottom" anchorx="page"/>
              </v:group>
            </w:pict>
          </mc:Fallback>
        </mc:AlternateContent>
      </w:r>
    </w:p>
    <w:p w14:paraId="77F8A1BC" w14:textId="77777777" w:rsidR="00AE0598" w:rsidRDefault="00AE0598">
      <w:pPr>
        <w:pStyle w:val="Corpodetexto"/>
        <w:rPr>
          <w:rFonts w:ascii="Trebuchet MS"/>
          <w:sz w:val="20"/>
        </w:rPr>
      </w:pPr>
    </w:p>
    <w:p w14:paraId="18619891" w14:textId="105506CD" w:rsidR="00AE0598" w:rsidRDefault="0069255A">
      <w:pPr>
        <w:pStyle w:val="Corpodetexto"/>
        <w:spacing w:before="5"/>
        <w:rPr>
          <w:rFonts w:ascii="Trebuchet MS"/>
          <w:sz w:val="18"/>
        </w:rPr>
      </w:pPr>
      <w:r>
        <w:rPr>
          <w:noProof/>
        </w:rPr>
        <mc:AlternateContent>
          <mc:Choice Requires="wps">
            <w:drawing>
              <wp:anchor distT="0" distB="0" distL="0" distR="0" simplePos="0" relativeHeight="487677952" behindDoc="1" locked="0" layoutInCell="1" allowOverlap="1" wp14:anchorId="1B95FE39" wp14:editId="7EF17651">
                <wp:simplePos x="0" y="0"/>
                <wp:positionH relativeFrom="page">
                  <wp:posOffset>2044065</wp:posOffset>
                </wp:positionH>
                <wp:positionV relativeFrom="paragraph">
                  <wp:posOffset>154305</wp:posOffset>
                </wp:positionV>
                <wp:extent cx="1570990" cy="685800"/>
                <wp:effectExtent l="0" t="0" r="0" b="0"/>
                <wp:wrapTopAndBottom/>
                <wp:docPr id="85" name="docshape2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0990" cy="685800"/>
                        </a:xfrm>
                        <a:prstGeom prst="rect">
                          <a:avLst/>
                        </a:prstGeom>
                        <a:noFill/>
                        <a:ln w="6350">
                          <a:solidFill>
                            <a:srgbClr val="231F2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44B434B6" w14:textId="77777777" w:rsidR="00AE0598" w:rsidRDefault="00AE0598">
                            <w:pPr>
                              <w:pStyle w:val="Corpodetexto"/>
                              <w:spacing w:before="5"/>
                              <w:rPr>
                                <w:rFonts w:ascii="Trebuchet MS"/>
                                <w:sz w:val="20"/>
                              </w:rPr>
                            </w:pPr>
                          </w:p>
                          <w:p w14:paraId="5056F545" w14:textId="77777777" w:rsidR="00AE0598" w:rsidRDefault="0069255A">
                            <w:pPr>
                              <w:spacing w:line="244" w:lineRule="auto"/>
                              <w:ind w:left="30" w:right="75" w:hanging="1"/>
                              <w:jc w:val="center"/>
                              <w:rPr>
                                <w:b/>
                                <w:sz w:val="16"/>
                              </w:rPr>
                            </w:pPr>
                            <w:r>
                              <w:rPr>
                                <w:b/>
                                <w:color w:val="231F20"/>
                                <w:w w:val="115"/>
                                <w:sz w:val="16"/>
                              </w:rPr>
                              <w:t>PATTERN OF SPORT TOURISM SEASONALITY AT A DESTINATION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95FE39" id="docshape274" o:spid="_x0000_s1111" type="#_x0000_t202" style="position:absolute;margin-left:160.95pt;margin-top:12.15pt;width:123.7pt;height:54pt;z-index:-156385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" filled="f" strokecolor="#231f20" strokeweight=".5pt">
                <v:textbox inset="0,0,0,0">
                  <w:txbxContent>
                    <w:p w14:paraId="44B434B6" w14:textId="77777777" w:rsidR="00AE0598" w:rsidRDefault="00AE0598">
                      <w:pPr>
                        <w:pStyle w:val="Corpodetexto"/>
                        <w:spacing w:before="5"/>
                        <w:rPr>
                          <w:rFonts w:ascii="Trebuchet MS"/>
                          <w:sz w:val="20"/>
                        </w:rPr>
                      </w:pPr>
                    </w:p>
                    <w:p w14:paraId="5056F545" w14:textId="77777777" w:rsidR="00AE0598" w:rsidRDefault="0069255A">
                      <w:pPr>
                        <w:spacing w:line="244" w:lineRule="auto"/>
                        <w:ind w:left="30" w:right="75" w:hanging="1"/>
                        <w:jc w:val="center"/>
                        <w:rPr>
                          <w:b/>
                          <w:sz w:val="16"/>
                        </w:rPr>
                      </w:pPr>
                      <w:r>
                        <w:rPr>
                          <w:b/>
                          <w:color w:val="231F20"/>
                          <w:w w:val="115"/>
                          <w:sz w:val="16"/>
                        </w:rPr>
                        <w:t>PATTERN OF SPORT TOURISM SEASONALITY AT A DESTINATION</w:t>
                      </w:r>
                    </w:p>
                  </w:txbxContent>
                </v:textbox>
                <w10:wrap type="topAndBottom" anchorx="page"/>
              </v:shape>
            </w:pict>
          </mc:Fallback>
        </mc:AlternateContent>
      </w:r>
    </w:p>
    <w:p w14:paraId="7326C279" w14:textId="77777777" w:rsidR="00AE0598" w:rsidRDefault="00AE0598">
      <w:pPr>
        <w:pStyle w:val="Corpodetexto"/>
        <w:spacing w:before="3"/>
        <w:rPr>
          <w:rFonts w:ascii="Trebuchet MS"/>
          <w:sz w:val="14"/>
        </w:rPr>
      </w:pPr>
    </w:p>
    <w:p w14:paraId="30FF86F5" w14:textId="0BB028C2" w:rsidR="00AE0598" w:rsidRDefault="0069255A">
      <w:pPr>
        <w:spacing w:before="100"/>
        <w:ind w:left="120"/>
        <w:rPr>
          <w:rFonts w:ascii="Trebuchet MS"/>
          <w:sz w:val="14"/>
        </w:rPr>
      </w:pPr>
      <w:r>
        <w:rPr>
          <w:noProof/>
        </w:rPr>
        <mc:AlternateContent>
          <mc:Choice Requires="wpg">
            <w:drawing>
              <wp:anchor distT="0" distB="0" distL="114300" distR="114300" simplePos="0" relativeHeight="15820288" behindDoc="0" locked="0" layoutInCell="1" allowOverlap="1" wp14:anchorId="64467E56" wp14:editId="45C7590D">
                <wp:simplePos x="0" y="0"/>
                <wp:positionH relativeFrom="page">
                  <wp:posOffset>2787650</wp:posOffset>
                </wp:positionH>
                <wp:positionV relativeFrom="paragraph">
                  <wp:posOffset>-1096010</wp:posOffset>
                </wp:positionV>
                <wp:extent cx="51435" cy="304165"/>
                <wp:effectExtent l="0" t="0" r="0" b="0"/>
                <wp:wrapNone/>
                <wp:docPr id="82" name="docshapegroup2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1435" cy="304165"/>
                          <a:chOff x="4390" y="-1726"/>
                          <a:chExt cx="81" cy="479"/>
                        </a:xfrm>
                      </wpg:grpSpPr>
                      <wps:wsp>
                        <wps:cNvPr id="83" name="Line 85"/>
                        <wps:cNvCnPr>
                          <a:cxnSpLocks noChangeShapeType="1"/>
                        </wps:cNvCnPr>
                        <wps:spPr bwMode="auto">
                          <a:xfrm>
                            <a:off x="4430" y="-1645"/>
                            <a:ext cx="0" cy="317"/>
                          </a:xfrm>
                          <a:prstGeom prst="line">
                            <a:avLst/>
                          </a:prstGeom>
                          <a:noFill/>
                          <a:ln w="9525">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84" name="docshape276"/>
                        <wps:cNvSpPr>
                          <a:spLocks/>
                        </wps:cNvSpPr>
                        <wps:spPr bwMode="auto">
                          <a:xfrm>
                            <a:off x="4390" y="-1727"/>
                            <a:ext cx="81" cy="479"/>
                          </a:xfrm>
                          <a:custGeom>
                            <a:avLst/>
                            <a:gdLst>
                              <a:gd name="T0" fmla="+- 0 4470 4390"/>
                              <a:gd name="T1" fmla="*/ T0 w 81"/>
                              <a:gd name="T2" fmla="+- 0 -1329 -1726"/>
                              <a:gd name="T3" fmla="*/ -1329 h 479"/>
                              <a:gd name="T4" fmla="+- 0 4390 4390"/>
                              <a:gd name="T5" fmla="*/ T4 w 81"/>
                              <a:gd name="T6" fmla="+- 0 -1329 -1726"/>
                              <a:gd name="T7" fmla="*/ -1329 h 479"/>
                              <a:gd name="T8" fmla="+- 0 4432 4390"/>
                              <a:gd name="T9" fmla="*/ T8 w 81"/>
                              <a:gd name="T10" fmla="+- 0 -1248 -1726"/>
                              <a:gd name="T11" fmla="*/ -1248 h 479"/>
                              <a:gd name="T12" fmla="+- 0 4470 4390"/>
                              <a:gd name="T13" fmla="*/ T12 w 81"/>
                              <a:gd name="T14" fmla="+- 0 -1329 -1726"/>
                              <a:gd name="T15" fmla="*/ -1329 h 479"/>
                              <a:gd name="T16" fmla="+- 0 4470 4390"/>
                              <a:gd name="T17" fmla="*/ T16 w 81"/>
                              <a:gd name="T18" fmla="+- 0 -1645 -1726"/>
                              <a:gd name="T19" fmla="*/ -1645 h 479"/>
                              <a:gd name="T20" fmla="+- 0 4432 4390"/>
                              <a:gd name="T21" fmla="*/ T20 w 81"/>
                              <a:gd name="T22" fmla="+- 0 -1726 -1726"/>
                              <a:gd name="T23" fmla="*/ -1726 h 479"/>
                              <a:gd name="T24" fmla="+- 0 4390 4390"/>
                              <a:gd name="T25" fmla="*/ T24 w 81"/>
                              <a:gd name="T26" fmla="+- 0 -1645 -1726"/>
                              <a:gd name="T27" fmla="*/ -1645 h 479"/>
                              <a:gd name="T28" fmla="+- 0 4470 4390"/>
                              <a:gd name="T29" fmla="*/ T28 w 81"/>
                              <a:gd name="T30" fmla="+- 0 -1645 -1726"/>
                              <a:gd name="T31" fmla="*/ -1645 h 479"/>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81" h="479">
                                <a:moveTo>
                                  <a:pt x="80" y="397"/>
                                </a:moveTo>
                                <a:lnTo>
                                  <a:pt x="0" y="397"/>
                                </a:lnTo>
                                <a:lnTo>
                                  <a:pt x="42" y="478"/>
                                </a:lnTo>
                                <a:lnTo>
                                  <a:pt x="80" y="397"/>
                                </a:lnTo>
                                <a:close/>
                                <a:moveTo>
                                  <a:pt x="80" y="81"/>
                                </a:moveTo>
                                <a:lnTo>
                                  <a:pt x="42" y="0"/>
                                </a:lnTo>
                                <a:lnTo>
                                  <a:pt x="0" y="81"/>
                                </a:lnTo>
                                <a:lnTo>
                                  <a:pt x="80" y="81"/>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5EF8C00" id="docshapegroup275" o:spid="_x0000_s1026" style="position:absolute;margin-left:219.5pt;margin-top:-86.3pt;width:4.05pt;height:23.95pt;z-index:15820288;mso-position-horizontal-relative:page" coordorigin="4390,-1726" coordsize="81,4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">
                <v:line id="Line 85" o:spid="_x0000_s1027" style="position:absolute;visibility:visible;mso-wrap-style:square" from="4430,-1645" to="4430,-13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" strokecolor="#231f20"/>
                <v:shape id="docshape276" o:spid="_x0000_s1028" style="position:absolute;left:4390;top:-1727;width:81;height:479;visibility:visible;mso-wrap-style:square;v-text-anchor:top" coordsize="81,4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" path="m80,397l,397r42,81l80,397xm80,81l42,,,81r80,xe" fillcolor="#231f20" stroked="f">
                  <v:path arrowok="t" o:connecttype="custom" o:connectlocs="80,-1329;0,-1329;42,-1248;80,-1329;80,-1645;42,-1726;0,-1645;80,-1645" o:connectangles="0,0,0,0,0,0,0,0"/>
                </v:shape>
                <w10:wrap anchorx="page"/>
              </v:group>
            </w:pict>
          </mc:Fallback>
        </mc:AlternateContent>
      </w:r>
      <w:r>
        <w:rPr>
          <w:rFonts w:ascii="Trebuchet MS"/>
          <w:b/>
          <w:color w:val="231F20"/>
          <w:sz w:val="14"/>
        </w:rPr>
        <w:t>Figure</w:t>
      </w:r>
      <w:r>
        <w:rPr>
          <w:rFonts w:ascii="Trebuchet MS"/>
          <w:b/>
          <w:color w:val="231F20"/>
          <w:spacing w:val="12"/>
          <w:sz w:val="14"/>
        </w:rPr>
        <w:t xml:space="preserve"> </w:t>
      </w:r>
      <w:r>
        <w:rPr>
          <w:rFonts w:ascii="Trebuchet MS"/>
          <w:b/>
          <w:color w:val="231F20"/>
          <w:sz w:val="14"/>
        </w:rPr>
        <w:t>9.2</w:t>
      </w:r>
      <w:r>
        <w:rPr>
          <w:rFonts w:ascii="Trebuchet MS"/>
          <w:b/>
          <w:color w:val="231F20"/>
          <w:spacing w:val="72"/>
          <w:sz w:val="14"/>
        </w:rPr>
        <w:t xml:space="preserve"> </w:t>
      </w:r>
      <w:r>
        <w:rPr>
          <w:rFonts w:ascii="Trebuchet MS"/>
          <w:color w:val="231F20"/>
          <w:sz w:val="14"/>
        </w:rPr>
        <w:t>Sport</w:t>
      </w:r>
      <w:r>
        <w:rPr>
          <w:rFonts w:ascii="Trebuchet MS"/>
          <w:color w:val="231F20"/>
          <w:spacing w:val="12"/>
          <w:sz w:val="14"/>
        </w:rPr>
        <w:t xml:space="preserve"> </w:t>
      </w:r>
      <w:r>
        <w:rPr>
          <w:rFonts w:ascii="Trebuchet MS"/>
          <w:color w:val="231F20"/>
          <w:sz w:val="14"/>
        </w:rPr>
        <w:t>influences</w:t>
      </w:r>
      <w:r>
        <w:rPr>
          <w:rFonts w:ascii="Trebuchet MS"/>
          <w:color w:val="231F20"/>
          <w:spacing w:val="13"/>
          <w:sz w:val="14"/>
        </w:rPr>
        <w:t xml:space="preserve"> </w:t>
      </w:r>
      <w:r>
        <w:rPr>
          <w:rFonts w:ascii="Trebuchet MS"/>
          <w:color w:val="231F20"/>
          <w:sz w:val="14"/>
        </w:rPr>
        <w:t>on</w:t>
      </w:r>
      <w:r>
        <w:rPr>
          <w:rFonts w:ascii="Trebuchet MS"/>
          <w:color w:val="231F20"/>
          <w:spacing w:val="12"/>
          <w:sz w:val="14"/>
        </w:rPr>
        <w:t xml:space="preserve"> </w:t>
      </w:r>
      <w:r>
        <w:rPr>
          <w:rFonts w:ascii="Trebuchet MS"/>
          <w:color w:val="231F20"/>
          <w:sz w:val="14"/>
        </w:rPr>
        <w:t>patterns</w:t>
      </w:r>
      <w:r>
        <w:rPr>
          <w:rFonts w:ascii="Trebuchet MS"/>
          <w:color w:val="231F20"/>
          <w:spacing w:val="12"/>
          <w:sz w:val="14"/>
        </w:rPr>
        <w:t xml:space="preserve"> </w:t>
      </w:r>
      <w:r>
        <w:rPr>
          <w:rFonts w:ascii="Trebuchet MS"/>
          <w:color w:val="231F20"/>
          <w:sz w:val="14"/>
        </w:rPr>
        <w:t>of</w:t>
      </w:r>
      <w:r>
        <w:rPr>
          <w:rFonts w:ascii="Trebuchet MS"/>
          <w:color w:val="231F20"/>
          <w:spacing w:val="13"/>
          <w:sz w:val="14"/>
        </w:rPr>
        <w:t xml:space="preserve"> </w:t>
      </w:r>
      <w:r>
        <w:rPr>
          <w:rFonts w:ascii="Trebuchet MS"/>
          <w:color w:val="231F20"/>
          <w:sz w:val="14"/>
        </w:rPr>
        <w:t>tourist</w:t>
      </w:r>
      <w:r>
        <w:rPr>
          <w:rFonts w:ascii="Trebuchet MS"/>
          <w:color w:val="231F20"/>
          <w:spacing w:val="12"/>
          <w:sz w:val="14"/>
        </w:rPr>
        <w:t xml:space="preserve"> </w:t>
      </w:r>
      <w:r>
        <w:rPr>
          <w:rFonts w:ascii="Trebuchet MS"/>
          <w:color w:val="231F20"/>
          <w:sz w:val="14"/>
        </w:rPr>
        <w:t>seasonality</w:t>
      </w:r>
      <w:r>
        <w:rPr>
          <w:rFonts w:ascii="Trebuchet MS"/>
          <w:color w:val="231F20"/>
          <w:spacing w:val="12"/>
          <w:sz w:val="14"/>
        </w:rPr>
        <w:t xml:space="preserve"> </w:t>
      </w:r>
      <w:r>
        <w:rPr>
          <w:rFonts w:ascii="Trebuchet MS"/>
          <w:color w:val="231F20"/>
          <w:sz w:val="14"/>
        </w:rPr>
        <w:t>(Source:</w:t>
      </w:r>
      <w:r>
        <w:rPr>
          <w:rFonts w:ascii="Trebuchet MS"/>
          <w:color w:val="231F20"/>
          <w:spacing w:val="13"/>
          <w:sz w:val="14"/>
        </w:rPr>
        <w:t xml:space="preserve"> </w:t>
      </w:r>
      <w:r>
        <w:rPr>
          <w:rFonts w:ascii="Trebuchet MS"/>
          <w:color w:val="231F20"/>
          <w:sz w:val="14"/>
        </w:rPr>
        <w:t>Based</w:t>
      </w:r>
      <w:r>
        <w:rPr>
          <w:rFonts w:ascii="Trebuchet MS"/>
          <w:color w:val="231F20"/>
          <w:spacing w:val="12"/>
          <w:sz w:val="14"/>
        </w:rPr>
        <w:t xml:space="preserve"> </w:t>
      </w:r>
      <w:r>
        <w:rPr>
          <w:rFonts w:ascii="Trebuchet MS"/>
          <w:color w:val="231F20"/>
          <w:sz w:val="14"/>
        </w:rPr>
        <w:t>on</w:t>
      </w:r>
      <w:r>
        <w:rPr>
          <w:rFonts w:ascii="Trebuchet MS"/>
          <w:color w:val="231F20"/>
          <w:spacing w:val="12"/>
          <w:sz w:val="14"/>
        </w:rPr>
        <w:t xml:space="preserve"> </w:t>
      </w:r>
      <w:r>
        <w:rPr>
          <w:rFonts w:ascii="Trebuchet MS"/>
          <w:color w:val="231F20"/>
          <w:sz w:val="14"/>
        </w:rPr>
        <w:t>Butler,</w:t>
      </w:r>
      <w:r>
        <w:rPr>
          <w:rFonts w:ascii="Trebuchet MS"/>
          <w:color w:val="231F20"/>
          <w:spacing w:val="12"/>
          <w:sz w:val="14"/>
        </w:rPr>
        <w:t xml:space="preserve"> </w:t>
      </w:r>
      <w:r>
        <w:rPr>
          <w:rFonts w:ascii="Trebuchet MS"/>
          <w:color w:val="231F20"/>
          <w:spacing w:val="-2"/>
          <w:sz w:val="14"/>
        </w:rPr>
        <w:t>2001)</w:t>
      </w:r>
    </w:p>
    <w:p w14:paraId="55E9272A" w14:textId="77777777" w:rsidR="00AE0598" w:rsidRDefault="00AE0598">
      <w:pPr>
        <w:pStyle w:val="Corpodetexto"/>
        <w:spacing w:before="3"/>
        <w:rPr>
          <w:rFonts w:ascii="Trebuchet MS"/>
          <w:sz w:val="14"/>
        </w:rPr>
      </w:pPr>
    </w:p>
    <w:p w14:paraId="6C905F01" w14:textId="77777777" w:rsidR="00AE0598" w:rsidRDefault="0069255A">
      <w:pPr>
        <w:pStyle w:val="Corpodetexto"/>
        <w:spacing w:before="103" w:line="232" w:lineRule="auto"/>
        <w:ind w:left="110" w:right="128"/>
        <w:jc w:val="right"/>
      </w:pPr>
      <w:r>
        <w:rPr>
          <w:color w:val="231F20"/>
          <w:w w:val="95"/>
        </w:rPr>
        <w:t>features as</w:t>
      </w:r>
      <w:r>
        <w:rPr>
          <w:color w:val="231F20"/>
          <w:spacing w:val="-1"/>
          <w:w w:val="95"/>
        </w:rPr>
        <w:t xml:space="preserve"> </w:t>
      </w:r>
      <w:r>
        <w:rPr>
          <w:color w:val="231F20"/>
          <w:w w:val="95"/>
        </w:rPr>
        <w:t>a</w:t>
      </w:r>
      <w:r>
        <w:rPr>
          <w:color w:val="231F20"/>
          <w:spacing w:val="-1"/>
          <w:w w:val="95"/>
        </w:rPr>
        <w:t xml:space="preserve"> </w:t>
      </w:r>
      <w:r>
        <w:rPr>
          <w:color w:val="231F20"/>
          <w:w w:val="95"/>
        </w:rPr>
        <w:t>travel</w:t>
      </w:r>
      <w:r>
        <w:rPr>
          <w:color w:val="231F20"/>
          <w:spacing w:val="-1"/>
          <w:w w:val="95"/>
        </w:rPr>
        <w:t xml:space="preserve"> </w:t>
      </w:r>
      <w:r>
        <w:rPr>
          <w:color w:val="231F20"/>
          <w:w w:val="95"/>
        </w:rPr>
        <w:t>motivation.</w:t>
      </w:r>
      <w:r>
        <w:rPr>
          <w:color w:val="231F20"/>
          <w:spacing w:val="-1"/>
          <w:w w:val="95"/>
        </w:rPr>
        <w:t xml:space="preserve"> </w:t>
      </w:r>
      <w:r>
        <w:rPr>
          <w:color w:val="231F20"/>
          <w:w w:val="95"/>
        </w:rPr>
        <w:t>Where</w:t>
      </w:r>
      <w:r>
        <w:rPr>
          <w:color w:val="231F20"/>
          <w:spacing w:val="-1"/>
          <w:w w:val="95"/>
        </w:rPr>
        <w:t xml:space="preserve"> </w:t>
      </w:r>
      <w:r>
        <w:rPr>
          <w:color w:val="231F20"/>
          <w:w w:val="95"/>
        </w:rPr>
        <w:t>sport</w:t>
      </w:r>
      <w:r>
        <w:rPr>
          <w:color w:val="231F20"/>
          <w:spacing w:val="-1"/>
          <w:w w:val="95"/>
        </w:rPr>
        <w:t xml:space="preserve"> </w:t>
      </w:r>
      <w:r>
        <w:rPr>
          <w:color w:val="231F20"/>
          <w:w w:val="95"/>
        </w:rPr>
        <w:t>is</w:t>
      </w:r>
      <w:r>
        <w:rPr>
          <w:color w:val="231F20"/>
          <w:spacing w:val="-1"/>
          <w:w w:val="95"/>
        </w:rPr>
        <w:t xml:space="preserve"> </w:t>
      </w:r>
      <w:r>
        <w:rPr>
          <w:color w:val="231F20"/>
          <w:w w:val="95"/>
        </w:rPr>
        <w:t>the</w:t>
      </w:r>
      <w:r>
        <w:rPr>
          <w:color w:val="231F20"/>
          <w:spacing w:val="-1"/>
          <w:w w:val="95"/>
        </w:rPr>
        <w:t xml:space="preserve"> </w:t>
      </w:r>
      <w:r>
        <w:rPr>
          <w:color w:val="231F20"/>
          <w:w w:val="95"/>
        </w:rPr>
        <w:t>principal</w:t>
      </w:r>
      <w:r>
        <w:rPr>
          <w:color w:val="231F20"/>
          <w:spacing w:val="-1"/>
          <w:w w:val="95"/>
        </w:rPr>
        <w:t xml:space="preserve"> </w:t>
      </w:r>
      <w:r>
        <w:rPr>
          <w:color w:val="231F20"/>
          <w:w w:val="95"/>
        </w:rPr>
        <w:t>focus</w:t>
      </w:r>
      <w:r>
        <w:rPr>
          <w:color w:val="231F20"/>
          <w:spacing w:val="-1"/>
          <w:w w:val="95"/>
        </w:rPr>
        <w:t xml:space="preserve"> </w:t>
      </w:r>
      <w:r>
        <w:rPr>
          <w:color w:val="231F20"/>
          <w:w w:val="95"/>
        </w:rPr>
        <w:t>of the</w:t>
      </w:r>
      <w:r>
        <w:rPr>
          <w:color w:val="231F20"/>
          <w:spacing w:val="-1"/>
          <w:w w:val="95"/>
        </w:rPr>
        <w:t xml:space="preserve"> </w:t>
      </w:r>
      <w:r>
        <w:rPr>
          <w:color w:val="231F20"/>
          <w:w w:val="95"/>
        </w:rPr>
        <w:t>trip (i.e.</w:t>
      </w:r>
      <w:r>
        <w:rPr>
          <w:color w:val="231F20"/>
          <w:spacing w:val="33"/>
        </w:rPr>
        <w:t xml:space="preserve"> </w:t>
      </w:r>
      <w:r>
        <w:rPr>
          <w:color w:val="231F20"/>
          <w:w w:val="95"/>
        </w:rPr>
        <w:t>the</w:t>
      </w:r>
      <w:r>
        <w:rPr>
          <w:color w:val="231F20"/>
          <w:spacing w:val="33"/>
        </w:rPr>
        <w:t xml:space="preserve"> </w:t>
      </w:r>
      <w:r>
        <w:rPr>
          <w:color w:val="231F20"/>
          <w:w w:val="95"/>
        </w:rPr>
        <w:t>primary</w:t>
      </w:r>
      <w:r>
        <w:rPr>
          <w:color w:val="231F20"/>
          <w:spacing w:val="33"/>
        </w:rPr>
        <w:t xml:space="preserve"> </w:t>
      </w:r>
      <w:r>
        <w:rPr>
          <w:color w:val="231F20"/>
          <w:w w:val="95"/>
        </w:rPr>
        <w:t>attraction),</w:t>
      </w:r>
      <w:r>
        <w:rPr>
          <w:color w:val="231F20"/>
          <w:spacing w:val="33"/>
        </w:rPr>
        <w:t xml:space="preserve"> </w:t>
      </w:r>
      <w:r>
        <w:rPr>
          <w:color w:val="231F20"/>
          <w:w w:val="95"/>
        </w:rPr>
        <w:t>travellers</w:t>
      </w:r>
      <w:r>
        <w:rPr>
          <w:color w:val="231F20"/>
          <w:spacing w:val="33"/>
        </w:rPr>
        <w:t xml:space="preserve"> </w:t>
      </w:r>
      <w:r>
        <w:rPr>
          <w:color w:val="231F20"/>
          <w:w w:val="95"/>
        </w:rPr>
        <w:t>demonstrate</w:t>
      </w:r>
      <w:r>
        <w:rPr>
          <w:color w:val="231F20"/>
          <w:spacing w:val="33"/>
        </w:rPr>
        <w:t xml:space="preserve"> </w:t>
      </w:r>
      <w:r>
        <w:rPr>
          <w:color w:val="231F20"/>
          <w:w w:val="95"/>
        </w:rPr>
        <w:t>a</w:t>
      </w:r>
      <w:r>
        <w:rPr>
          <w:color w:val="231F20"/>
          <w:spacing w:val="33"/>
        </w:rPr>
        <w:t xml:space="preserve"> </w:t>
      </w:r>
      <w:r>
        <w:rPr>
          <w:color w:val="231F20"/>
          <w:w w:val="95"/>
        </w:rPr>
        <w:t>greater</w:t>
      </w:r>
      <w:r>
        <w:rPr>
          <w:color w:val="231F20"/>
          <w:spacing w:val="33"/>
        </w:rPr>
        <w:t xml:space="preserve"> </w:t>
      </w:r>
      <w:r>
        <w:rPr>
          <w:color w:val="231F20"/>
          <w:w w:val="95"/>
        </w:rPr>
        <w:t xml:space="preserve">propensity </w:t>
      </w:r>
      <w:r>
        <w:rPr>
          <w:color w:val="231F20"/>
        </w:rPr>
        <w:t>to</w:t>
      </w:r>
      <w:r>
        <w:rPr>
          <w:color w:val="231F20"/>
          <w:spacing w:val="24"/>
        </w:rPr>
        <w:t xml:space="preserve"> </w:t>
      </w:r>
      <w:r>
        <w:rPr>
          <w:color w:val="231F20"/>
        </w:rPr>
        <w:t>travel</w:t>
      </w:r>
      <w:r>
        <w:rPr>
          <w:color w:val="231F20"/>
          <w:spacing w:val="24"/>
        </w:rPr>
        <w:t xml:space="preserve"> </w:t>
      </w:r>
      <w:r>
        <w:rPr>
          <w:color w:val="231F20"/>
        </w:rPr>
        <w:t>in</w:t>
      </w:r>
      <w:r>
        <w:rPr>
          <w:color w:val="231F20"/>
          <w:spacing w:val="24"/>
        </w:rPr>
        <w:t xml:space="preserve"> </w:t>
      </w:r>
      <w:r>
        <w:rPr>
          <w:color w:val="231F20"/>
        </w:rPr>
        <w:t>the</w:t>
      </w:r>
      <w:r>
        <w:rPr>
          <w:color w:val="231F20"/>
          <w:spacing w:val="24"/>
        </w:rPr>
        <w:t xml:space="preserve"> </w:t>
      </w:r>
      <w:r>
        <w:rPr>
          <w:color w:val="231F20"/>
        </w:rPr>
        <w:t>tourism</w:t>
      </w:r>
      <w:r>
        <w:rPr>
          <w:color w:val="231F20"/>
          <w:spacing w:val="24"/>
        </w:rPr>
        <w:t xml:space="preserve"> </w:t>
      </w:r>
      <w:r>
        <w:rPr>
          <w:color w:val="231F20"/>
        </w:rPr>
        <w:t>‘off-season’</w:t>
      </w:r>
      <w:r>
        <w:rPr>
          <w:color w:val="231F20"/>
          <w:spacing w:val="24"/>
        </w:rPr>
        <w:t xml:space="preserve"> </w:t>
      </w:r>
      <w:r>
        <w:rPr>
          <w:color w:val="231F20"/>
        </w:rPr>
        <w:t>(World</w:t>
      </w:r>
      <w:r>
        <w:rPr>
          <w:color w:val="231F20"/>
          <w:spacing w:val="24"/>
        </w:rPr>
        <w:t xml:space="preserve"> </w:t>
      </w:r>
      <w:r>
        <w:rPr>
          <w:color w:val="231F20"/>
        </w:rPr>
        <w:t>Tourism</w:t>
      </w:r>
      <w:r>
        <w:rPr>
          <w:color w:val="231F20"/>
          <w:spacing w:val="24"/>
        </w:rPr>
        <w:t xml:space="preserve"> </w:t>
      </w:r>
      <w:r>
        <w:rPr>
          <w:color w:val="231F20"/>
        </w:rPr>
        <w:t>Organisation</w:t>
      </w:r>
      <w:r>
        <w:rPr>
          <w:color w:val="231F20"/>
          <w:spacing w:val="24"/>
        </w:rPr>
        <w:t xml:space="preserve"> </w:t>
      </w:r>
      <w:r>
        <w:rPr>
          <w:color w:val="231F20"/>
        </w:rPr>
        <w:t>and International</w:t>
      </w:r>
      <w:r>
        <w:rPr>
          <w:color w:val="231F20"/>
          <w:spacing w:val="-2"/>
        </w:rPr>
        <w:t xml:space="preserve"> </w:t>
      </w:r>
      <w:r>
        <w:rPr>
          <w:color w:val="231F20"/>
        </w:rPr>
        <w:t>Olympic</w:t>
      </w:r>
      <w:r>
        <w:rPr>
          <w:color w:val="231F20"/>
          <w:spacing w:val="-2"/>
        </w:rPr>
        <w:t xml:space="preserve"> </w:t>
      </w:r>
      <w:r>
        <w:rPr>
          <w:color w:val="231F20"/>
        </w:rPr>
        <w:t>Committee,</w:t>
      </w:r>
      <w:r>
        <w:rPr>
          <w:color w:val="231F20"/>
          <w:spacing w:val="-2"/>
        </w:rPr>
        <w:t xml:space="preserve"> </w:t>
      </w:r>
      <w:r>
        <w:rPr>
          <w:color w:val="231F20"/>
        </w:rPr>
        <w:t>2001).</w:t>
      </w:r>
      <w:r>
        <w:rPr>
          <w:color w:val="231F20"/>
          <w:spacing w:val="-2"/>
        </w:rPr>
        <w:t xml:space="preserve"> </w:t>
      </w:r>
      <w:r>
        <w:rPr>
          <w:color w:val="231F20"/>
        </w:rPr>
        <w:t>More</w:t>
      </w:r>
      <w:r>
        <w:rPr>
          <w:color w:val="231F20"/>
          <w:spacing w:val="-2"/>
        </w:rPr>
        <w:t xml:space="preserve"> </w:t>
      </w:r>
      <w:r>
        <w:rPr>
          <w:color w:val="231F20"/>
        </w:rPr>
        <w:t>casual</w:t>
      </w:r>
      <w:r>
        <w:rPr>
          <w:color w:val="231F20"/>
          <w:spacing w:val="-2"/>
        </w:rPr>
        <w:t xml:space="preserve"> </w:t>
      </w:r>
      <w:r>
        <w:rPr>
          <w:color w:val="231F20"/>
        </w:rPr>
        <w:t>sport</w:t>
      </w:r>
      <w:r>
        <w:rPr>
          <w:color w:val="231F20"/>
          <w:spacing w:val="-2"/>
        </w:rPr>
        <w:t xml:space="preserve"> </w:t>
      </w:r>
      <w:r>
        <w:rPr>
          <w:color w:val="231F20"/>
        </w:rPr>
        <w:t>tourists</w:t>
      </w:r>
      <w:r>
        <w:rPr>
          <w:color w:val="231F20"/>
          <w:spacing w:val="-2"/>
        </w:rPr>
        <w:t xml:space="preserve"> </w:t>
      </w:r>
      <w:r>
        <w:rPr>
          <w:color w:val="231F20"/>
        </w:rPr>
        <w:t xml:space="preserve">(i.e. </w:t>
      </w:r>
      <w:r>
        <w:rPr>
          <w:color w:val="231F20"/>
          <w:w w:val="95"/>
        </w:rPr>
        <w:t>those</w:t>
      </w:r>
      <w:r>
        <w:rPr>
          <w:color w:val="231F20"/>
        </w:rPr>
        <w:t xml:space="preserve"> </w:t>
      </w:r>
      <w:r>
        <w:rPr>
          <w:color w:val="231F20"/>
          <w:w w:val="95"/>
        </w:rPr>
        <w:t>who</w:t>
      </w:r>
      <w:r>
        <w:rPr>
          <w:color w:val="231F20"/>
        </w:rPr>
        <w:t xml:space="preserve"> </w:t>
      </w:r>
      <w:r>
        <w:rPr>
          <w:color w:val="231F20"/>
          <w:w w:val="95"/>
        </w:rPr>
        <w:t>see</w:t>
      </w:r>
      <w:r>
        <w:rPr>
          <w:color w:val="231F20"/>
        </w:rPr>
        <w:t xml:space="preserve"> </w:t>
      </w:r>
      <w:r>
        <w:rPr>
          <w:color w:val="231F20"/>
          <w:w w:val="95"/>
        </w:rPr>
        <w:t>sport</w:t>
      </w:r>
      <w:r>
        <w:rPr>
          <w:color w:val="231F20"/>
        </w:rPr>
        <w:t xml:space="preserve"> </w:t>
      </w:r>
      <w:r>
        <w:rPr>
          <w:color w:val="231F20"/>
          <w:w w:val="95"/>
        </w:rPr>
        <w:t>as</w:t>
      </w:r>
      <w:r>
        <w:rPr>
          <w:color w:val="231F20"/>
        </w:rPr>
        <w:t xml:space="preserve"> </w:t>
      </w:r>
      <w:r>
        <w:rPr>
          <w:color w:val="231F20"/>
          <w:w w:val="95"/>
        </w:rPr>
        <w:t>a</w:t>
      </w:r>
      <w:r>
        <w:rPr>
          <w:color w:val="231F20"/>
        </w:rPr>
        <w:t xml:space="preserve"> </w:t>
      </w:r>
      <w:r>
        <w:rPr>
          <w:color w:val="231F20"/>
          <w:w w:val="95"/>
        </w:rPr>
        <w:t>secondary</w:t>
      </w:r>
      <w:r>
        <w:rPr>
          <w:color w:val="231F20"/>
        </w:rPr>
        <w:t xml:space="preserve"> </w:t>
      </w:r>
      <w:r>
        <w:rPr>
          <w:color w:val="231F20"/>
          <w:w w:val="95"/>
        </w:rPr>
        <w:t>or</w:t>
      </w:r>
      <w:r>
        <w:rPr>
          <w:color w:val="231F20"/>
        </w:rPr>
        <w:t xml:space="preserve"> </w:t>
      </w:r>
      <w:r>
        <w:rPr>
          <w:color w:val="231F20"/>
          <w:w w:val="95"/>
        </w:rPr>
        <w:t>tertiary</w:t>
      </w:r>
      <w:r>
        <w:rPr>
          <w:color w:val="231F20"/>
        </w:rPr>
        <w:t xml:space="preserve"> </w:t>
      </w:r>
      <w:r>
        <w:rPr>
          <w:color w:val="231F20"/>
          <w:w w:val="95"/>
        </w:rPr>
        <w:t>attraction)</w:t>
      </w:r>
      <w:r>
        <w:rPr>
          <w:color w:val="231F20"/>
        </w:rPr>
        <w:t xml:space="preserve"> </w:t>
      </w:r>
      <w:r>
        <w:rPr>
          <w:color w:val="231F20"/>
          <w:w w:val="95"/>
        </w:rPr>
        <w:t>exhibit</w:t>
      </w:r>
      <w:r>
        <w:rPr>
          <w:color w:val="231F20"/>
        </w:rPr>
        <w:t xml:space="preserve"> </w:t>
      </w:r>
      <w:r>
        <w:rPr>
          <w:color w:val="231F20"/>
          <w:w w:val="95"/>
        </w:rPr>
        <w:t>higher</w:t>
      </w:r>
      <w:r>
        <w:rPr>
          <w:color w:val="231F20"/>
          <w:spacing w:val="80"/>
          <w:w w:val="150"/>
        </w:rPr>
        <w:t xml:space="preserve"> </w:t>
      </w:r>
      <w:r>
        <w:rPr>
          <w:color w:val="231F20"/>
        </w:rPr>
        <w:t>levels</w:t>
      </w:r>
      <w:r>
        <w:rPr>
          <w:color w:val="231F20"/>
          <w:spacing w:val="11"/>
        </w:rPr>
        <w:t xml:space="preserve"> </w:t>
      </w:r>
      <w:r>
        <w:rPr>
          <w:color w:val="231F20"/>
        </w:rPr>
        <w:t>of</w:t>
      </w:r>
      <w:r>
        <w:rPr>
          <w:color w:val="231F20"/>
          <w:spacing w:val="11"/>
        </w:rPr>
        <w:t xml:space="preserve"> </w:t>
      </w:r>
      <w:r>
        <w:rPr>
          <w:color w:val="231F20"/>
        </w:rPr>
        <w:t>seasonal</w:t>
      </w:r>
      <w:r>
        <w:rPr>
          <w:color w:val="231F20"/>
          <w:spacing w:val="11"/>
        </w:rPr>
        <w:t xml:space="preserve"> </w:t>
      </w:r>
      <w:r>
        <w:rPr>
          <w:color w:val="231F20"/>
        </w:rPr>
        <w:t>variation</w:t>
      </w:r>
      <w:r>
        <w:rPr>
          <w:color w:val="231F20"/>
          <w:spacing w:val="11"/>
        </w:rPr>
        <w:t xml:space="preserve"> </w:t>
      </w:r>
      <w:r>
        <w:rPr>
          <w:color w:val="231F20"/>
        </w:rPr>
        <w:t>in</w:t>
      </w:r>
      <w:r>
        <w:rPr>
          <w:color w:val="231F20"/>
          <w:spacing w:val="11"/>
        </w:rPr>
        <w:t xml:space="preserve"> </w:t>
      </w:r>
      <w:r>
        <w:rPr>
          <w:color w:val="231F20"/>
        </w:rPr>
        <w:t>their</w:t>
      </w:r>
      <w:r>
        <w:rPr>
          <w:color w:val="231F20"/>
          <w:spacing w:val="11"/>
        </w:rPr>
        <w:t xml:space="preserve"> </w:t>
      </w:r>
      <w:r>
        <w:rPr>
          <w:color w:val="231F20"/>
        </w:rPr>
        <w:t>travels.</w:t>
      </w:r>
      <w:r>
        <w:rPr>
          <w:color w:val="231F20"/>
          <w:spacing w:val="11"/>
        </w:rPr>
        <w:t xml:space="preserve"> </w:t>
      </w:r>
      <w:r>
        <w:rPr>
          <w:color w:val="231F20"/>
        </w:rPr>
        <w:t>Where</w:t>
      </w:r>
      <w:r>
        <w:rPr>
          <w:color w:val="231F20"/>
          <w:spacing w:val="11"/>
        </w:rPr>
        <w:t xml:space="preserve"> </w:t>
      </w:r>
      <w:r>
        <w:rPr>
          <w:color w:val="231F20"/>
        </w:rPr>
        <w:t>sport</w:t>
      </w:r>
      <w:r>
        <w:rPr>
          <w:color w:val="231F20"/>
          <w:spacing w:val="11"/>
        </w:rPr>
        <w:t xml:space="preserve"> </w:t>
      </w:r>
      <w:r>
        <w:rPr>
          <w:color w:val="231F20"/>
        </w:rPr>
        <w:t>is</w:t>
      </w:r>
      <w:r>
        <w:rPr>
          <w:color w:val="231F20"/>
          <w:spacing w:val="11"/>
        </w:rPr>
        <w:t xml:space="preserve"> </w:t>
      </w:r>
      <w:r>
        <w:rPr>
          <w:color w:val="231F20"/>
        </w:rPr>
        <w:t>the</w:t>
      </w:r>
      <w:r>
        <w:rPr>
          <w:color w:val="231F20"/>
          <w:spacing w:val="11"/>
        </w:rPr>
        <w:t xml:space="preserve"> </w:t>
      </w:r>
      <w:r>
        <w:rPr>
          <w:color w:val="231F20"/>
        </w:rPr>
        <w:t xml:space="preserve">primary </w:t>
      </w:r>
      <w:r>
        <w:rPr>
          <w:color w:val="231F20"/>
          <w:w w:val="95"/>
        </w:rPr>
        <w:t xml:space="preserve">motivation, sport tourists are willing to negotiate institutional and natural </w:t>
      </w:r>
      <w:r>
        <w:rPr>
          <w:color w:val="231F20"/>
        </w:rPr>
        <w:t>constraints</w:t>
      </w:r>
      <w:r>
        <w:rPr>
          <w:color w:val="231F20"/>
          <w:spacing w:val="39"/>
        </w:rPr>
        <w:t xml:space="preserve"> </w:t>
      </w:r>
      <w:r>
        <w:rPr>
          <w:color w:val="231F20"/>
        </w:rPr>
        <w:t>that</w:t>
      </w:r>
      <w:r>
        <w:rPr>
          <w:color w:val="231F20"/>
          <w:spacing w:val="39"/>
        </w:rPr>
        <w:t xml:space="preserve"> </w:t>
      </w:r>
      <w:r>
        <w:rPr>
          <w:color w:val="231F20"/>
        </w:rPr>
        <w:t>might</w:t>
      </w:r>
      <w:r>
        <w:rPr>
          <w:color w:val="231F20"/>
          <w:spacing w:val="39"/>
        </w:rPr>
        <w:t xml:space="preserve"> </w:t>
      </w:r>
      <w:r>
        <w:rPr>
          <w:color w:val="231F20"/>
        </w:rPr>
        <w:t>otherwise</w:t>
      </w:r>
      <w:r>
        <w:rPr>
          <w:color w:val="231F20"/>
          <w:spacing w:val="39"/>
        </w:rPr>
        <w:t xml:space="preserve"> </w:t>
      </w:r>
      <w:r>
        <w:rPr>
          <w:color w:val="231F20"/>
        </w:rPr>
        <w:t>be</w:t>
      </w:r>
      <w:r>
        <w:rPr>
          <w:color w:val="231F20"/>
          <w:spacing w:val="39"/>
        </w:rPr>
        <w:t xml:space="preserve"> </w:t>
      </w:r>
      <w:r>
        <w:rPr>
          <w:color w:val="231F20"/>
        </w:rPr>
        <w:t>insurmountable</w:t>
      </w:r>
      <w:r>
        <w:rPr>
          <w:color w:val="231F20"/>
          <w:spacing w:val="39"/>
        </w:rPr>
        <w:t xml:space="preserve"> </w:t>
      </w:r>
      <w:r>
        <w:rPr>
          <w:color w:val="231F20"/>
        </w:rPr>
        <w:t>for</w:t>
      </w:r>
      <w:r>
        <w:rPr>
          <w:color w:val="231F20"/>
          <w:spacing w:val="39"/>
        </w:rPr>
        <w:t xml:space="preserve"> </w:t>
      </w:r>
      <w:r>
        <w:rPr>
          <w:color w:val="231F20"/>
        </w:rPr>
        <w:t>more</w:t>
      </w:r>
      <w:r>
        <w:rPr>
          <w:color w:val="231F20"/>
          <w:spacing w:val="39"/>
        </w:rPr>
        <w:t xml:space="preserve"> </w:t>
      </w:r>
      <w:r>
        <w:rPr>
          <w:color w:val="231F20"/>
        </w:rPr>
        <w:t xml:space="preserve">casual sport tourists (Hinch &amp; Jackson, 2000; Hinch </w:t>
      </w:r>
      <w:r>
        <w:rPr>
          <w:i/>
          <w:color w:val="231F20"/>
        </w:rPr>
        <w:t>et al</w:t>
      </w:r>
      <w:r>
        <w:rPr>
          <w:color w:val="231F20"/>
        </w:rPr>
        <w:t>., 2001). For example, outbound</w:t>
      </w:r>
      <w:r>
        <w:rPr>
          <w:color w:val="231F20"/>
          <w:spacing w:val="-2"/>
        </w:rPr>
        <w:t xml:space="preserve"> </w:t>
      </w:r>
      <w:r>
        <w:rPr>
          <w:color w:val="231F20"/>
        </w:rPr>
        <w:t>tourists</w:t>
      </w:r>
      <w:r>
        <w:rPr>
          <w:color w:val="231F20"/>
          <w:spacing w:val="-2"/>
        </w:rPr>
        <w:t xml:space="preserve"> </w:t>
      </w:r>
      <w:r>
        <w:rPr>
          <w:color w:val="231F20"/>
        </w:rPr>
        <w:t>from</w:t>
      </w:r>
      <w:r>
        <w:rPr>
          <w:color w:val="231F20"/>
          <w:spacing w:val="-2"/>
        </w:rPr>
        <w:t xml:space="preserve"> </w:t>
      </w:r>
      <w:r>
        <w:rPr>
          <w:color w:val="231F20"/>
        </w:rPr>
        <w:t>Germany,</w:t>
      </w:r>
      <w:r>
        <w:rPr>
          <w:color w:val="231F20"/>
          <w:spacing w:val="-2"/>
        </w:rPr>
        <w:t xml:space="preserve"> </w:t>
      </w:r>
      <w:r>
        <w:rPr>
          <w:color w:val="231F20"/>
        </w:rPr>
        <w:t>the</w:t>
      </w:r>
      <w:r>
        <w:rPr>
          <w:color w:val="231F20"/>
          <w:spacing w:val="-2"/>
        </w:rPr>
        <w:t xml:space="preserve"> </w:t>
      </w:r>
      <w:r>
        <w:rPr>
          <w:color w:val="231F20"/>
        </w:rPr>
        <w:t>Ne</w:t>
      </w:r>
      <w:r>
        <w:rPr>
          <w:color w:val="231F20"/>
        </w:rPr>
        <w:t>therlands</w:t>
      </w:r>
      <w:r>
        <w:rPr>
          <w:color w:val="231F20"/>
          <w:spacing w:val="-2"/>
        </w:rPr>
        <w:t xml:space="preserve"> </w:t>
      </w:r>
      <w:r>
        <w:rPr>
          <w:color w:val="231F20"/>
        </w:rPr>
        <w:t>and</w:t>
      </w:r>
      <w:r>
        <w:rPr>
          <w:color w:val="231F20"/>
          <w:spacing w:val="-2"/>
        </w:rPr>
        <w:t xml:space="preserve"> </w:t>
      </w:r>
      <w:r>
        <w:rPr>
          <w:color w:val="231F20"/>
        </w:rPr>
        <w:t>France</w:t>
      </w:r>
      <w:r>
        <w:rPr>
          <w:color w:val="231F20"/>
          <w:spacing w:val="-2"/>
        </w:rPr>
        <w:t xml:space="preserve"> </w:t>
      </w:r>
      <w:r>
        <w:rPr>
          <w:color w:val="231F20"/>
        </w:rPr>
        <w:t>who</w:t>
      </w:r>
      <w:r>
        <w:rPr>
          <w:color w:val="231F20"/>
          <w:spacing w:val="-2"/>
        </w:rPr>
        <w:t xml:space="preserve"> </w:t>
      </w:r>
      <w:r>
        <w:rPr>
          <w:color w:val="231F20"/>
        </w:rPr>
        <w:t>have a strong sport focus are more likely to travel from January to April than are</w:t>
      </w:r>
      <w:r>
        <w:rPr>
          <w:color w:val="231F20"/>
          <w:spacing w:val="11"/>
        </w:rPr>
        <w:t xml:space="preserve"> </w:t>
      </w:r>
      <w:r>
        <w:rPr>
          <w:color w:val="231F20"/>
        </w:rPr>
        <w:t>outbound</w:t>
      </w:r>
      <w:r>
        <w:rPr>
          <w:color w:val="231F20"/>
          <w:spacing w:val="11"/>
        </w:rPr>
        <w:t xml:space="preserve"> </w:t>
      </w:r>
      <w:r>
        <w:rPr>
          <w:color w:val="231F20"/>
        </w:rPr>
        <w:t>tourists</w:t>
      </w:r>
      <w:r>
        <w:rPr>
          <w:color w:val="231F20"/>
          <w:spacing w:val="11"/>
        </w:rPr>
        <w:t xml:space="preserve"> </w:t>
      </w:r>
      <w:r>
        <w:rPr>
          <w:color w:val="231F20"/>
        </w:rPr>
        <w:t>with</w:t>
      </w:r>
      <w:r>
        <w:rPr>
          <w:color w:val="231F20"/>
          <w:spacing w:val="12"/>
        </w:rPr>
        <w:t xml:space="preserve"> </w:t>
      </w:r>
      <w:r>
        <w:rPr>
          <w:color w:val="231F20"/>
        </w:rPr>
        <w:t>a</w:t>
      </w:r>
      <w:r>
        <w:rPr>
          <w:color w:val="231F20"/>
          <w:spacing w:val="11"/>
        </w:rPr>
        <w:t xml:space="preserve"> </w:t>
      </w:r>
      <w:r>
        <w:rPr>
          <w:color w:val="231F20"/>
        </w:rPr>
        <w:t>more</w:t>
      </w:r>
      <w:r>
        <w:rPr>
          <w:color w:val="231F20"/>
          <w:spacing w:val="11"/>
        </w:rPr>
        <w:t xml:space="preserve"> </w:t>
      </w:r>
      <w:r>
        <w:rPr>
          <w:color w:val="231F20"/>
        </w:rPr>
        <w:t>casual</w:t>
      </w:r>
      <w:r>
        <w:rPr>
          <w:color w:val="231F20"/>
          <w:spacing w:val="12"/>
        </w:rPr>
        <w:t xml:space="preserve"> </w:t>
      </w:r>
      <w:r>
        <w:rPr>
          <w:color w:val="231F20"/>
        </w:rPr>
        <w:t>approach</w:t>
      </w:r>
      <w:r>
        <w:rPr>
          <w:color w:val="231F20"/>
          <w:spacing w:val="11"/>
        </w:rPr>
        <w:t xml:space="preserve"> </w:t>
      </w:r>
      <w:r>
        <w:rPr>
          <w:color w:val="231F20"/>
        </w:rPr>
        <w:t>to</w:t>
      </w:r>
      <w:r>
        <w:rPr>
          <w:color w:val="231F20"/>
          <w:spacing w:val="12"/>
        </w:rPr>
        <w:t xml:space="preserve"> </w:t>
      </w:r>
      <w:r>
        <w:rPr>
          <w:color w:val="231F20"/>
        </w:rPr>
        <w:t>sport.</w:t>
      </w:r>
      <w:r>
        <w:rPr>
          <w:color w:val="231F20"/>
          <w:spacing w:val="12"/>
        </w:rPr>
        <w:t xml:space="preserve"> </w:t>
      </w:r>
      <w:r>
        <w:rPr>
          <w:color w:val="231F20"/>
        </w:rPr>
        <w:t>The</w:t>
      </w:r>
      <w:r>
        <w:rPr>
          <w:color w:val="231F20"/>
          <w:spacing w:val="11"/>
        </w:rPr>
        <w:t xml:space="preserve"> </w:t>
      </w:r>
      <w:r>
        <w:rPr>
          <w:color w:val="231F20"/>
        </w:rPr>
        <w:t>latter group</w:t>
      </w:r>
      <w:r>
        <w:rPr>
          <w:color w:val="231F20"/>
          <w:spacing w:val="-2"/>
        </w:rPr>
        <w:t xml:space="preserve"> </w:t>
      </w:r>
      <w:r>
        <w:rPr>
          <w:color w:val="231F20"/>
        </w:rPr>
        <w:t>is</w:t>
      </w:r>
      <w:r>
        <w:rPr>
          <w:color w:val="231F20"/>
          <w:spacing w:val="-2"/>
        </w:rPr>
        <w:t xml:space="preserve"> </w:t>
      </w:r>
      <w:r>
        <w:rPr>
          <w:color w:val="231F20"/>
        </w:rPr>
        <w:t>much</w:t>
      </w:r>
      <w:r>
        <w:rPr>
          <w:color w:val="231F20"/>
          <w:spacing w:val="-2"/>
        </w:rPr>
        <w:t xml:space="preserve"> </w:t>
      </w:r>
      <w:r>
        <w:rPr>
          <w:color w:val="231F20"/>
        </w:rPr>
        <w:t>more</w:t>
      </w:r>
      <w:r>
        <w:rPr>
          <w:color w:val="231F20"/>
          <w:spacing w:val="-2"/>
        </w:rPr>
        <w:t xml:space="preserve"> </w:t>
      </w:r>
      <w:r>
        <w:rPr>
          <w:color w:val="231F20"/>
        </w:rPr>
        <w:t>likely</w:t>
      </w:r>
      <w:r>
        <w:rPr>
          <w:color w:val="231F20"/>
          <w:spacing w:val="-2"/>
        </w:rPr>
        <w:t xml:space="preserve"> </w:t>
      </w:r>
      <w:r>
        <w:rPr>
          <w:color w:val="231F20"/>
        </w:rPr>
        <w:t>to</w:t>
      </w:r>
      <w:r>
        <w:rPr>
          <w:color w:val="231F20"/>
          <w:spacing w:val="-2"/>
        </w:rPr>
        <w:t xml:space="preserve"> </w:t>
      </w:r>
      <w:r>
        <w:rPr>
          <w:color w:val="231F20"/>
        </w:rPr>
        <w:t>travel</w:t>
      </w:r>
      <w:r>
        <w:rPr>
          <w:color w:val="231F20"/>
          <w:spacing w:val="-2"/>
        </w:rPr>
        <w:t xml:space="preserve"> </w:t>
      </w:r>
      <w:r>
        <w:rPr>
          <w:color w:val="231F20"/>
        </w:rPr>
        <w:t>from</w:t>
      </w:r>
      <w:r>
        <w:rPr>
          <w:color w:val="231F20"/>
          <w:spacing w:val="-2"/>
        </w:rPr>
        <w:t xml:space="preserve"> </w:t>
      </w:r>
      <w:r>
        <w:rPr>
          <w:color w:val="231F20"/>
        </w:rPr>
        <w:t>May</w:t>
      </w:r>
      <w:r>
        <w:rPr>
          <w:color w:val="231F20"/>
          <w:spacing w:val="-2"/>
        </w:rPr>
        <w:t xml:space="preserve"> </w:t>
      </w:r>
      <w:r>
        <w:rPr>
          <w:color w:val="231F20"/>
        </w:rPr>
        <w:t>to</w:t>
      </w:r>
      <w:r>
        <w:rPr>
          <w:color w:val="231F20"/>
          <w:spacing w:val="-2"/>
        </w:rPr>
        <w:t xml:space="preserve"> </w:t>
      </w:r>
      <w:r>
        <w:rPr>
          <w:color w:val="231F20"/>
        </w:rPr>
        <w:t>August</w:t>
      </w:r>
      <w:r>
        <w:rPr>
          <w:color w:val="231F20"/>
          <w:spacing w:val="-2"/>
        </w:rPr>
        <w:t xml:space="preserve"> </w:t>
      </w:r>
      <w:r>
        <w:rPr>
          <w:color w:val="231F20"/>
        </w:rPr>
        <w:t>(World</w:t>
      </w:r>
      <w:r>
        <w:rPr>
          <w:color w:val="231F20"/>
          <w:spacing w:val="-2"/>
        </w:rPr>
        <w:t xml:space="preserve"> </w:t>
      </w:r>
      <w:r>
        <w:rPr>
          <w:color w:val="231F20"/>
        </w:rPr>
        <w:t>Tourism Organisation</w:t>
      </w:r>
      <w:r>
        <w:rPr>
          <w:color w:val="231F20"/>
          <w:spacing w:val="14"/>
        </w:rPr>
        <w:t xml:space="preserve"> </w:t>
      </w:r>
      <w:r>
        <w:rPr>
          <w:color w:val="231F20"/>
        </w:rPr>
        <w:t>and</w:t>
      </w:r>
      <w:r>
        <w:rPr>
          <w:color w:val="231F20"/>
          <w:spacing w:val="14"/>
        </w:rPr>
        <w:t xml:space="preserve"> </w:t>
      </w:r>
      <w:r>
        <w:rPr>
          <w:color w:val="231F20"/>
        </w:rPr>
        <w:t>International</w:t>
      </w:r>
      <w:r>
        <w:rPr>
          <w:color w:val="231F20"/>
          <w:spacing w:val="14"/>
        </w:rPr>
        <w:t xml:space="preserve"> </w:t>
      </w:r>
      <w:r>
        <w:rPr>
          <w:color w:val="231F20"/>
        </w:rPr>
        <w:t>Olympic</w:t>
      </w:r>
      <w:r>
        <w:rPr>
          <w:color w:val="231F20"/>
          <w:spacing w:val="14"/>
        </w:rPr>
        <w:t xml:space="preserve"> </w:t>
      </w:r>
      <w:r>
        <w:rPr>
          <w:color w:val="231F20"/>
        </w:rPr>
        <w:t>Committee,</w:t>
      </w:r>
      <w:r>
        <w:rPr>
          <w:color w:val="231F20"/>
          <w:spacing w:val="14"/>
        </w:rPr>
        <w:t xml:space="preserve"> </w:t>
      </w:r>
      <w:r>
        <w:rPr>
          <w:color w:val="231F20"/>
        </w:rPr>
        <w:t>2001).</w:t>
      </w:r>
      <w:r>
        <w:rPr>
          <w:color w:val="231F20"/>
          <w:spacing w:val="14"/>
        </w:rPr>
        <w:t xml:space="preserve"> </w:t>
      </w:r>
      <w:r>
        <w:rPr>
          <w:color w:val="231F20"/>
        </w:rPr>
        <w:t>In</w:t>
      </w:r>
      <w:r>
        <w:rPr>
          <w:color w:val="231F20"/>
          <w:spacing w:val="14"/>
        </w:rPr>
        <w:t xml:space="preserve"> </w:t>
      </w:r>
      <w:r>
        <w:rPr>
          <w:color w:val="231F20"/>
        </w:rPr>
        <w:t>contrast, casual</w:t>
      </w:r>
      <w:r>
        <w:rPr>
          <w:color w:val="231F20"/>
          <w:spacing w:val="10"/>
        </w:rPr>
        <w:t xml:space="preserve"> </w:t>
      </w:r>
      <w:r>
        <w:rPr>
          <w:color w:val="231F20"/>
        </w:rPr>
        <w:t>sport</w:t>
      </w:r>
      <w:r>
        <w:rPr>
          <w:color w:val="231F20"/>
          <w:spacing w:val="10"/>
        </w:rPr>
        <w:t xml:space="preserve"> </w:t>
      </w:r>
      <w:r>
        <w:rPr>
          <w:color w:val="231F20"/>
        </w:rPr>
        <w:t>tourists</w:t>
      </w:r>
      <w:r>
        <w:rPr>
          <w:color w:val="231F20"/>
          <w:spacing w:val="10"/>
        </w:rPr>
        <w:t xml:space="preserve"> </w:t>
      </w:r>
      <w:r>
        <w:rPr>
          <w:color w:val="231F20"/>
        </w:rPr>
        <w:t>exhibit</w:t>
      </w:r>
      <w:r>
        <w:rPr>
          <w:color w:val="231F20"/>
          <w:spacing w:val="10"/>
        </w:rPr>
        <w:t xml:space="preserve"> </w:t>
      </w:r>
      <w:r>
        <w:rPr>
          <w:color w:val="231F20"/>
        </w:rPr>
        <w:t>a</w:t>
      </w:r>
      <w:r>
        <w:rPr>
          <w:color w:val="231F20"/>
          <w:spacing w:val="10"/>
        </w:rPr>
        <w:t xml:space="preserve"> </w:t>
      </w:r>
      <w:r>
        <w:rPr>
          <w:color w:val="231F20"/>
        </w:rPr>
        <w:t>single-peaked</w:t>
      </w:r>
      <w:r>
        <w:rPr>
          <w:color w:val="231F20"/>
          <w:spacing w:val="10"/>
        </w:rPr>
        <w:t xml:space="preserve"> </w:t>
      </w:r>
      <w:r>
        <w:rPr>
          <w:color w:val="231F20"/>
        </w:rPr>
        <w:t>pattern</w:t>
      </w:r>
      <w:r>
        <w:rPr>
          <w:color w:val="231F20"/>
          <w:spacing w:val="10"/>
        </w:rPr>
        <w:t xml:space="preserve"> </w:t>
      </w:r>
      <w:r>
        <w:rPr>
          <w:color w:val="231F20"/>
        </w:rPr>
        <w:t>of</w:t>
      </w:r>
      <w:r>
        <w:rPr>
          <w:color w:val="231F20"/>
          <w:spacing w:val="10"/>
        </w:rPr>
        <w:t xml:space="preserve"> </w:t>
      </w:r>
      <w:r>
        <w:rPr>
          <w:color w:val="231F20"/>
        </w:rPr>
        <w:t>seasonality</w:t>
      </w:r>
      <w:r>
        <w:rPr>
          <w:color w:val="231F20"/>
          <w:spacing w:val="10"/>
        </w:rPr>
        <w:t xml:space="preserve"> </w:t>
      </w:r>
      <w:r>
        <w:rPr>
          <w:color w:val="231F20"/>
        </w:rPr>
        <w:t xml:space="preserve">that </w:t>
      </w:r>
      <w:r>
        <w:rPr>
          <w:color w:val="231F20"/>
          <w:w w:val="95"/>
        </w:rPr>
        <w:t>coincides</w:t>
      </w:r>
      <w:r>
        <w:rPr>
          <w:color w:val="231F20"/>
          <w:spacing w:val="-3"/>
          <w:w w:val="95"/>
        </w:rPr>
        <w:t xml:space="preserve"> </w:t>
      </w:r>
      <w:r>
        <w:rPr>
          <w:color w:val="231F20"/>
          <w:w w:val="95"/>
        </w:rPr>
        <w:t>with</w:t>
      </w:r>
      <w:r>
        <w:rPr>
          <w:color w:val="231F20"/>
          <w:spacing w:val="-3"/>
          <w:w w:val="95"/>
        </w:rPr>
        <w:t xml:space="preserve"> </w:t>
      </w:r>
      <w:r>
        <w:rPr>
          <w:color w:val="231F20"/>
          <w:w w:val="95"/>
        </w:rPr>
        <w:t>the</w:t>
      </w:r>
      <w:r>
        <w:rPr>
          <w:color w:val="231F20"/>
          <w:spacing w:val="-4"/>
          <w:w w:val="95"/>
        </w:rPr>
        <w:t xml:space="preserve"> </w:t>
      </w:r>
      <w:r>
        <w:rPr>
          <w:color w:val="231F20"/>
          <w:w w:val="95"/>
        </w:rPr>
        <w:t>typical</w:t>
      </w:r>
      <w:r>
        <w:rPr>
          <w:color w:val="231F20"/>
          <w:spacing w:val="-3"/>
          <w:w w:val="95"/>
        </w:rPr>
        <w:t xml:space="preserve"> </w:t>
      </w:r>
      <w:r>
        <w:rPr>
          <w:color w:val="231F20"/>
          <w:w w:val="95"/>
        </w:rPr>
        <w:t>summer</w:t>
      </w:r>
      <w:r>
        <w:rPr>
          <w:color w:val="231F20"/>
          <w:spacing w:val="-3"/>
          <w:w w:val="95"/>
        </w:rPr>
        <w:t xml:space="preserve"> </w:t>
      </w:r>
      <w:r>
        <w:rPr>
          <w:color w:val="231F20"/>
          <w:w w:val="95"/>
        </w:rPr>
        <w:t>peaks</w:t>
      </w:r>
      <w:r>
        <w:rPr>
          <w:color w:val="231F20"/>
          <w:spacing w:val="-4"/>
          <w:w w:val="95"/>
        </w:rPr>
        <w:t xml:space="preserve"> </w:t>
      </w:r>
      <w:r>
        <w:rPr>
          <w:color w:val="231F20"/>
          <w:w w:val="95"/>
        </w:rPr>
        <w:t>of</w:t>
      </w:r>
      <w:r>
        <w:rPr>
          <w:color w:val="231F20"/>
          <w:spacing w:val="-3"/>
          <w:w w:val="95"/>
        </w:rPr>
        <w:t xml:space="preserve"> </w:t>
      </w:r>
      <w:r>
        <w:rPr>
          <w:color w:val="231F20"/>
          <w:w w:val="95"/>
        </w:rPr>
        <w:t>mass</w:t>
      </w:r>
      <w:r>
        <w:rPr>
          <w:color w:val="231F20"/>
          <w:spacing w:val="-3"/>
          <w:w w:val="95"/>
        </w:rPr>
        <w:t xml:space="preserve"> </w:t>
      </w:r>
      <w:r>
        <w:rPr>
          <w:color w:val="231F20"/>
          <w:w w:val="95"/>
        </w:rPr>
        <w:t>tourism</w:t>
      </w:r>
      <w:r>
        <w:rPr>
          <w:color w:val="231F20"/>
          <w:spacing w:val="-4"/>
          <w:w w:val="95"/>
        </w:rPr>
        <w:t xml:space="preserve"> </w:t>
      </w:r>
      <w:r>
        <w:rPr>
          <w:color w:val="231F20"/>
          <w:w w:val="95"/>
        </w:rPr>
        <w:t>in</w:t>
      </w:r>
      <w:r>
        <w:rPr>
          <w:color w:val="231F20"/>
          <w:spacing w:val="-3"/>
          <w:w w:val="95"/>
        </w:rPr>
        <w:t xml:space="preserve"> </w:t>
      </w:r>
      <w:r>
        <w:rPr>
          <w:color w:val="231F20"/>
          <w:w w:val="95"/>
        </w:rPr>
        <w:t>these</w:t>
      </w:r>
      <w:r>
        <w:rPr>
          <w:color w:val="231F20"/>
          <w:spacing w:val="-3"/>
          <w:w w:val="95"/>
        </w:rPr>
        <w:t xml:space="preserve"> </w:t>
      </w:r>
      <w:r>
        <w:rPr>
          <w:color w:val="231F20"/>
          <w:w w:val="95"/>
        </w:rPr>
        <w:t xml:space="preserve">countries. A similar pattern was found </w:t>
      </w:r>
      <w:r>
        <w:rPr>
          <w:color w:val="231F20"/>
          <w:w w:val="95"/>
        </w:rPr>
        <w:t>for sport tourists in Canada (Weighill, 2002).</w:t>
      </w:r>
      <w:r>
        <w:rPr>
          <w:color w:val="231F20"/>
          <w:spacing w:val="40"/>
        </w:rPr>
        <w:t xml:space="preserve"> </w:t>
      </w:r>
      <w:r>
        <w:rPr>
          <w:color w:val="231F20"/>
        </w:rPr>
        <w:t>The</w:t>
      </w:r>
      <w:r>
        <w:rPr>
          <w:color w:val="231F20"/>
          <w:spacing w:val="-12"/>
        </w:rPr>
        <w:t xml:space="preserve"> </w:t>
      </w:r>
      <w:r>
        <w:rPr>
          <w:color w:val="231F20"/>
        </w:rPr>
        <w:t>degree</w:t>
      </w:r>
      <w:r>
        <w:rPr>
          <w:color w:val="231F20"/>
          <w:spacing w:val="-12"/>
        </w:rPr>
        <w:t xml:space="preserve"> </w:t>
      </w:r>
      <w:r>
        <w:rPr>
          <w:color w:val="231F20"/>
        </w:rPr>
        <w:t>to</w:t>
      </w:r>
      <w:r>
        <w:rPr>
          <w:color w:val="231F20"/>
          <w:spacing w:val="-11"/>
        </w:rPr>
        <w:t xml:space="preserve"> </w:t>
      </w:r>
      <w:r>
        <w:rPr>
          <w:color w:val="231F20"/>
        </w:rPr>
        <w:t>which</w:t>
      </w:r>
      <w:r>
        <w:rPr>
          <w:color w:val="231F20"/>
          <w:spacing w:val="-12"/>
        </w:rPr>
        <w:t xml:space="preserve"> </w:t>
      </w:r>
      <w:r>
        <w:rPr>
          <w:color w:val="231F20"/>
        </w:rPr>
        <w:t>a</w:t>
      </w:r>
      <w:r>
        <w:rPr>
          <w:color w:val="231F20"/>
          <w:spacing w:val="-11"/>
        </w:rPr>
        <w:t xml:space="preserve"> </w:t>
      </w:r>
      <w:r>
        <w:rPr>
          <w:color w:val="231F20"/>
        </w:rPr>
        <w:t>sporting</w:t>
      </w:r>
      <w:r>
        <w:rPr>
          <w:color w:val="231F20"/>
          <w:spacing w:val="-12"/>
        </w:rPr>
        <w:t xml:space="preserve"> </w:t>
      </w:r>
      <w:r>
        <w:rPr>
          <w:color w:val="231F20"/>
        </w:rPr>
        <w:t>activity</w:t>
      </w:r>
      <w:r>
        <w:rPr>
          <w:color w:val="231F20"/>
          <w:spacing w:val="-11"/>
        </w:rPr>
        <w:t xml:space="preserve"> </w:t>
      </w:r>
      <w:r>
        <w:rPr>
          <w:color w:val="231F20"/>
        </w:rPr>
        <w:t>is</w:t>
      </w:r>
      <w:r>
        <w:rPr>
          <w:color w:val="231F20"/>
          <w:spacing w:val="-12"/>
        </w:rPr>
        <w:t xml:space="preserve"> </w:t>
      </w:r>
      <w:r>
        <w:rPr>
          <w:color w:val="231F20"/>
        </w:rPr>
        <w:t>dependent</w:t>
      </w:r>
      <w:r>
        <w:rPr>
          <w:color w:val="231F20"/>
          <w:spacing w:val="-12"/>
        </w:rPr>
        <w:t xml:space="preserve"> </w:t>
      </w:r>
      <w:r>
        <w:rPr>
          <w:color w:val="231F20"/>
        </w:rPr>
        <w:t>on</w:t>
      </w:r>
      <w:r>
        <w:rPr>
          <w:color w:val="231F20"/>
          <w:spacing w:val="-11"/>
        </w:rPr>
        <w:t xml:space="preserve"> </w:t>
      </w:r>
      <w:r>
        <w:rPr>
          <w:color w:val="231F20"/>
        </w:rPr>
        <w:t>specific</w:t>
      </w:r>
      <w:r>
        <w:rPr>
          <w:color w:val="231F20"/>
          <w:spacing w:val="-12"/>
        </w:rPr>
        <w:t xml:space="preserve"> </w:t>
      </w:r>
      <w:r>
        <w:rPr>
          <w:color w:val="231F20"/>
        </w:rPr>
        <w:t xml:space="preserve">climatic </w:t>
      </w:r>
      <w:r>
        <w:rPr>
          <w:color w:val="231F20"/>
          <w:w w:val="95"/>
        </w:rPr>
        <w:t>conditions</w:t>
      </w:r>
      <w:r>
        <w:rPr>
          <w:color w:val="231F20"/>
          <w:spacing w:val="-15"/>
          <w:w w:val="95"/>
        </w:rPr>
        <w:t xml:space="preserve"> </w:t>
      </w:r>
      <w:r>
        <w:rPr>
          <w:color w:val="231F20"/>
          <w:w w:val="95"/>
        </w:rPr>
        <w:t>is</w:t>
      </w:r>
      <w:r>
        <w:rPr>
          <w:color w:val="231F20"/>
          <w:spacing w:val="-15"/>
          <w:w w:val="95"/>
        </w:rPr>
        <w:t xml:space="preserve"> </w:t>
      </w:r>
      <w:r>
        <w:rPr>
          <w:color w:val="231F20"/>
          <w:w w:val="95"/>
        </w:rPr>
        <w:t>also</w:t>
      </w:r>
      <w:r>
        <w:rPr>
          <w:color w:val="231F20"/>
          <w:spacing w:val="-15"/>
          <w:w w:val="95"/>
        </w:rPr>
        <w:t xml:space="preserve"> </w:t>
      </w:r>
      <w:r>
        <w:rPr>
          <w:color w:val="231F20"/>
          <w:w w:val="95"/>
        </w:rPr>
        <w:t>an</w:t>
      </w:r>
      <w:r>
        <w:rPr>
          <w:color w:val="231F20"/>
          <w:spacing w:val="-15"/>
          <w:w w:val="95"/>
        </w:rPr>
        <w:t xml:space="preserve"> </w:t>
      </w:r>
      <w:r>
        <w:rPr>
          <w:color w:val="231F20"/>
          <w:w w:val="95"/>
        </w:rPr>
        <w:t>important</w:t>
      </w:r>
      <w:r>
        <w:rPr>
          <w:color w:val="231F20"/>
          <w:spacing w:val="-15"/>
          <w:w w:val="95"/>
        </w:rPr>
        <w:t xml:space="preserve"> </w:t>
      </w:r>
      <w:r>
        <w:rPr>
          <w:color w:val="231F20"/>
          <w:w w:val="95"/>
        </w:rPr>
        <w:t>factor</w:t>
      </w:r>
      <w:r>
        <w:rPr>
          <w:color w:val="231F20"/>
          <w:spacing w:val="-15"/>
          <w:w w:val="95"/>
        </w:rPr>
        <w:t xml:space="preserve"> </w:t>
      </w:r>
      <w:r>
        <w:rPr>
          <w:color w:val="231F20"/>
          <w:w w:val="95"/>
        </w:rPr>
        <w:t>in</w:t>
      </w:r>
      <w:r>
        <w:rPr>
          <w:color w:val="231F20"/>
          <w:spacing w:val="-15"/>
          <w:w w:val="95"/>
        </w:rPr>
        <w:t xml:space="preserve"> </w:t>
      </w:r>
      <w:r>
        <w:rPr>
          <w:color w:val="231F20"/>
          <w:w w:val="95"/>
        </w:rPr>
        <w:t>terms</w:t>
      </w:r>
      <w:r>
        <w:rPr>
          <w:color w:val="231F20"/>
          <w:spacing w:val="-15"/>
          <w:w w:val="95"/>
        </w:rPr>
        <w:t xml:space="preserve"> </w:t>
      </w:r>
      <w:r>
        <w:rPr>
          <w:color w:val="231F20"/>
          <w:w w:val="95"/>
        </w:rPr>
        <w:t>of seasonal</w:t>
      </w:r>
      <w:r>
        <w:rPr>
          <w:color w:val="231F20"/>
          <w:spacing w:val="-15"/>
          <w:w w:val="95"/>
        </w:rPr>
        <w:t xml:space="preserve"> </w:t>
      </w:r>
      <w:r>
        <w:rPr>
          <w:color w:val="231F20"/>
          <w:w w:val="95"/>
        </w:rPr>
        <w:t>patterns</w:t>
      </w:r>
      <w:r>
        <w:rPr>
          <w:color w:val="231F20"/>
          <w:spacing w:val="-15"/>
          <w:w w:val="95"/>
        </w:rPr>
        <w:t xml:space="preserve"> </w:t>
      </w:r>
      <w:r>
        <w:rPr>
          <w:color w:val="231F20"/>
          <w:w w:val="95"/>
        </w:rPr>
        <w:t>of activity (Gomez-Martin,</w:t>
      </w:r>
      <w:r>
        <w:rPr>
          <w:color w:val="231F20"/>
          <w:spacing w:val="4"/>
        </w:rPr>
        <w:t xml:space="preserve"> </w:t>
      </w:r>
      <w:r>
        <w:rPr>
          <w:color w:val="231F20"/>
          <w:w w:val="95"/>
        </w:rPr>
        <w:t>2005).</w:t>
      </w:r>
      <w:r>
        <w:rPr>
          <w:color w:val="231F20"/>
          <w:spacing w:val="4"/>
        </w:rPr>
        <w:t xml:space="preserve"> </w:t>
      </w:r>
      <w:r>
        <w:rPr>
          <w:color w:val="231F20"/>
          <w:w w:val="95"/>
        </w:rPr>
        <w:t>Sports</w:t>
      </w:r>
      <w:r>
        <w:rPr>
          <w:color w:val="231F20"/>
          <w:spacing w:val="5"/>
        </w:rPr>
        <w:t xml:space="preserve"> </w:t>
      </w:r>
      <w:r>
        <w:rPr>
          <w:color w:val="231F20"/>
          <w:w w:val="95"/>
        </w:rPr>
        <w:t>such</w:t>
      </w:r>
      <w:r>
        <w:rPr>
          <w:color w:val="231F20"/>
          <w:spacing w:val="4"/>
        </w:rPr>
        <w:t xml:space="preserve"> </w:t>
      </w:r>
      <w:r>
        <w:rPr>
          <w:color w:val="231F20"/>
          <w:w w:val="95"/>
        </w:rPr>
        <w:t>as</w:t>
      </w:r>
      <w:r>
        <w:rPr>
          <w:color w:val="231F20"/>
          <w:spacing w:val="5"/>
        </w:rPr>
        <w:t xml:space="preserve"> </w:t>
      </w:r>
      <w:r>
        <w:rPr>
          <w:color w:val="231F20"/>
          <w:w w:val="95"/>
        </w:rPr>
        <w:t>skiing</w:t>
      </w:r>
      <w:r>
        <w:rPr>
          <w:color w:val="231F20"/>
          <w:spacing w:val="4"/>
        </w:rPr>
        <w:t xml:space="preserve"> </w:t>
      </w:r>
      <w:r>
        <w:rPr>
          <w:color w:val="231F20"/>
          <w:w w:val="95"/>
        </w:rPr>
        <w:t>and</w:t>
      </w:r>
      <w:r>
        <w:rPr>
          <w:color w:val="231F20"/>
          <w:spacing w:val="5"/>
        </w:rPr>
        <w:t xml:space="preserve"> </w:t>
      </w:r>
      <w:r>
        <w:rPr>
          <w:color w:val="231F20"/>
          <w:w w:val="95"/>
        </w:rPr>
        <w:t>sailing</w:t>
      </w:r>
      <w:r>
        <w:rPr>
          <w:color w:val="231F20"/>
          <w:spacing w:val="4"/>
        </w:rPr>
        <w:t xml:space="preserve"> </w:t>
      </w:r>
      <w:r>
        <w:rPr>
          <w:color w:val="231F20"/>
          <w:w w:val="95"/>
        </w:rPr>
        <w:t>are</w:t>
      </w:r>
      <w:r>
        <w:rPr>
          <w:color w:val="231F20"/>
          <w:spacing w:val="5"/>
        </w:rPr>
        <w:t xml:space="preserve"> </w:t>
      </w:r>
      <w:r>
        <w:rPr>
          <w:color w:val="231F20"/>
          <w:w w:val="95"/>
        </w:rPr>
        <w:t>directly</w:t>
      </w:r>
      <w:r>
        <w:rPr>
          <w:color w:val="231F20"/>
          <w:spacing w:val="4"/>
        </w:rPr>
        <w:t xml:space="preserve"> </w:t>
      </w:r>
      <w:r>
        <w:rPr>
          <w:color w:val="231F20"/>
          <w:w w:val="95"/>
        </w:rPr>
        <w:t>tied</w:t>
      </w:r>
      <w:r>
        <w:rPr>
          <w:color w:val="231F20"/>
          <w:spacing w:val="4"/>
        </w:rPr>
        <w:t xml:space="preserve"> </w:t>
      </w:r>
      <w:r>
        <w:rPr>
          <w:color w:val="231F20"/>
          <w:spacing w:val="-5"/>
          <w:w w:val="95"/>
        </w:rPr>
        <w:t>to</w:t>
      </w:r>
    </w:p>
    <w:p w14:paraId="7999A704" w14:textId="77777777" w:rsidR="00AE0598" w:rsidRDefault="00AE0598">
      <w:pPr>
        <w:spacing w:line="232" w:lineRule="auto"/>
        <w:jc w:val="right"/>
        <w:sectPr w:rsidR="00AE0598">
          <w:pgSz w:w="8850" w:h="13270"/>
          <w:pgMar w:top="720" w:right="1060" w:bottom="280" w:left="1080" w:header="720" w:footer="720" w:gutter="0"/>
          <w:cols w:space="720"/>
        </w:sectPr>
      </w:pPr>
    </w:p>
    <w:p w14:paraId="16A935D3" w14:textId="77777777" w:rsidR="00AE0598" w:rsidRDefault="0069255A">
      <w:pPr>
        <w:spacing w:before="87"/>
        <w:ind w:left="4213"/>
        <w:rPr>
          <w:rFonts w:ascii="Trebuchet MS"/>
          <w:sz w:val="14"/>
        </w:rPr>
      </w:pPr>
      <w:r>
        <w:rPr>
          <w:rFonts w:ascii="Trebuchet MS"/>
          <w:color w:val="231F20"/>
          <w:w w:val="105"/>
          <w:sz w:val="14"/>
        </w:rPr>
        <w:lastRenderedPageBreak/>
        <w:t>Seasonality,</w:t>
      </w:r>
      <w:r>
        <w:rPr>
          <w:rFonts w:ascii="Trebuchet MS"/>
          <w:color w:val="231F20"/>
          <w:spacing w:val="-12"/>
          <w:w w:val="105"/>
          <w:sz w:val="14"/>
        </w:rPr>
        <w:t xml:space="preserve"> </w:t>
      </w:r>
      <w:r>
        <w:rPr>
          <w:rFonts w:ascii="Trebuchet MS"/>
          <w:color w:val="231F20"/>
          <w:w w:val="105"/>
          <w:sz w:val="14"/>
        </w:rPr>
        <w:t>Sport</w:t>
      </w:r>
      <w:r>
        <w:rPr>
          <w:rFonts w:ascii="Trebuchet MS"/>
          <w:color w:val="231F20"/>
          <w:spacing w:val="-11"/>
          <w:w w:val="105"/>
          <w:sz w:val="14"/>
        </w:rPr>
        <w:t xml:space="preserve"> </w:t>
      </w:r>
      <w:r>
        <w:rPr>
          <w:rFonts w:ascii="Trebuchet MS"/>
          <w:color w:val="231F20"/>
          <w:w w:val="105"/>
          <w:sz w:val="14"/>
        </w:rPr>
        <w:t>and</w:t>
      </w:r>
      <w:r>
        <w:rPr>
          <w:rFonts w:ascii="Trebuchet MS"/>
          <w:color w:val="231F20"/>
          <w:spacing w:val="-11"/>
          <w:w w:val="105"/>
          <w:sz w:val="14"/>
        </w:rPr>
        <w:t xml:space="preserve"> </w:t>
      </w:r>
      <w:r>
        <w:rPr>
          <w:rFonts w:ascii="Trebuchet MS"/>
          <w:color w:val="231F20"/>
          <w:w w:val="105"/>
          <w:sz w:val="14"/>
        </w:rPr>
        <w:t>Tourism</w:t>
      </w:r>
      <w:r>
        <w:rPr>
          <w:rFonts w:ascii="Trebuchet MS"/>
          <w:color w:val="231F20"/>
          <w:spacing w:val="60"/>
          <w:w w:val="105"/>
          <w:sz w:val="14"/>
        </w:rPr>
        <w:t xml:space="preserve"> </w:t>
      </w:r>
      <w:r>
        <w:rPr>
          <w:rFonts w:ascii="Trebuchet MS"/>
          <w:color w:val="231F20"/>
          <w:spacing w:val="-5"/>
          <w:w w:val="105"/>
          <w:sz w:val="14"/>
        </w:rPr>
        <w:t>187</w:t>
      </w:r>
    </w:p>
    <w:p w14:paraId="74828C62" w14:textId="77777777" w:rsidR="00AE0598" w:rsidRDefault="00AE0598">
      <w:pPr>
        <w:pStyle w:val="Corpodetexto"/>
        <w:rPr>
          <w:rFonts w:ascii="Trebuchet MS"/>
          <w:sz w:val="16"/>
        </w:rPr>
      </w:pPr>
    </w:p>
    <w:p w14:paraId="4F50764D" w14:textId="77777777" w:rsidR="00AE0598" w:rsidRDefault="0069255A">
      <w:pPr>
        <w:pStyle w:val="Corpodetexto"/>
        <w:spacing w:before="118" w:line="232" w:lineRule="auto"/>
        <w:ind w:left="110" w:right="127"/>
        <w:jc w:val="both"/>
      </w:pPr>
      <w:r>
        <w:rPr>
          <w:color w:val="231F20"/>
          <w:spacing w:val="-2"/>
        </w:rPr>
        <w:t>specific</w:t>
      </w:r>
      <w:r>
        <w:rPr>
          <w:color w:val="231F20"/>
          <w:spacing w:val="-8"/>
        </w:rPr>
        <w:t xml:space="preserve"> </w:t>
      </w:r>
      <w:r>
        <w:rPr>
          <w:color w:val="231F20"/>
          <w:spacing w:val="-2"/>
        </w:rPr>
        <w:t>natural</w:t>
      </w:r>
      <w:r>
        <w:rPr>
          <w:color w:val="231F20"/>
          <w:spacing w:val="-8"/>
        </w:rPr>
        <w:t xml:space="preserve"> </w:t>
      </w:r>
      <w:r>
        <w:rPr>
          <w:color w:val="231F20"/>
          <w:spacing w:val="-2"/>
        </w:rPr>
        <w:t>attributes</w:t>
      </w:r>
      <w:r>
        <w:rPr>
          <w:color w:val="231F20"/>
          <w:spacing w:val="-8"/>
        </w:rPr>
        <w:t xml:space="preserve"> </w:t>
      </w:r>
      <w:r>
        <w:rPr>
          <w:color w:val="231F20"/>
          <w:spacing w:val="-2"/>
        </w:rPr>
        <w:t>such</w:t>
      </w:r>
      <w:r>
        <w:rPr>
          <w:color w:val="231F20"/>
          <w:spacing w:val="-8"/>
        </w:rPr>
        <w:t xml:space="preserve"> </w:t>
      </w:r>
      <w:r>
        <w:rPr>
          <w:color w:val="231F20"/>
          <w:spacing w:val="-2"/>
        </w:rPr>
        <w:t>as</w:t>
      </w:r>
      <w:r>
        <w:rPr>
          <w:color w:val="231F20"/>
          <w:spacing w:val="-8"/>
        </w:rPr>
        <w:t xml:space="preserve"> </w:t>
      </w:r>
      <w:r>
        <w:rPr>
          <w:color w:val="231F20"/>
          <w:spacing w:val="-2"/>
        </w:rPr>
        <w:t>snow</w:t>
      </w:r>
      <w:r>
        <w:rPr>
          <w:color w:val="231F20"/>
          <w:spacing w:val="-8"/>
        </w:rPr>
        <w:t xml:space="preserve"> </w:t>
      </w:r>
      <w:r>
        <w:rPr>
          <w:color w:val="231F20"/>
          <w:spacing w:val="-2"/>
        </w:rPr>
        <w:t>and</w:t>
      </w:r>
      <w:r>
        <w:rPr>
          <w:color w:val="231F20"/>
          <w:spacing w:val="-8"/>
        </w:rPr>
        <w:t xml:space="preserve"> </w:t>
      </w:r>
      <w:r>
        <w:rPr>
          <w:color w:val="231F20"/>
          <w:spacing w:val="-2"/>
        </w:rPr>
        <w:t>wind</w:t>
      </w:r>
      <w:r>
        <w:rPr>
          <w:color w:val="231F20"/>
          <w:spacing w:val="-8"/>
        </w:rPr>
        <w:t xml:space="preserve"> </w:t>
      </w:r>
      <w:r>
        <w:rPr>
          <w:color w:val="231F20"/>
          <w:spacing w:val="-2"/>
        </w:rPr>
        <w:t>conditions,</w:t>
      </w:r>
      <w:r>
        <w:rPr>
          <w:color w:val="231F20"/>
          <w:spacing w:val="-8"/>
        </w:rPr>
        <w:t xml:space="preserve"> </w:t>
      </w:r>
      <w:r>
        <w:rPr>
          <w:color w:val="231F20"/>
          <w:spacing w:val="-2"/>
        </w:rPr>
        <w:t xml:space="preserve">respectively. </w:t>
      </w:r>
      <w:r>
        <w:rPr>
          <w:color w:val="231F20"/>
          <w:w w:val="95"/>
        </w:rPr>
        <w:t>Other</w:t>
      </w:r>
      <w:r>
        <w:rPr>
          <w:color w:val="231F20"/>
          <w:spacing w:val="-2"/>
          <w:w w:val="95"/>
        </w:rPr>
        <w:t xml:space="preserve"> </w:t>
      </w:r>
      <w:r>
        <w:rPr>
          <w:color w:val="231F20"/>
          <w:w w:val="95"/>
        </w:rPr>
        <w:t>sports,</w:t>
      </w:r>
      <w:r>
        <w:rPr>
          <w:color w:val="231F20"/>
          <w:spacing w:val="-2"/>
          <w:w w:val="95"/>
        </w:rPr>
        <w:t xml:space="preserve"> </w:t>
      </w:r>
      <w:r>
        <w:rPr>
          <w:color w:val="231F20"/>
          <w:w w:val="95"/>
        </w:rPr>
        <w:t>even</w:t>
      </w:r>
      <w:r>
        <w:rPr>
          <w:color w:val="231F20"/>
          <w:spacing w:val="-2"/>
          <w:w w:val="95"/>
        </w:rPr>
        <w:t xml:space="preserve"> </w:t>
      </w:r>
      <w:r>
        <w:rPr>
          <w:color w:val="231F20"/>
          <w:w w:val="95"/>
        </w:rPr>
        <w:t>though</w:t>
      </w:r>
      <w:r>
        <w:rPr>
          <w:color w:val="231F20"/>
          <w:spacing w:val="-2"/>
          <w:w w:val="95"/>
        </w:rPr>
        <w:t xml:space="preserve"> </w:t>
      </w:r>
      <w:r>
        <w:rPr>
          <w:color w:val="231F20"/>
          <w:w w:val="95"/>
        </w:rPr>
        <w:t>they</w:t>
      </w:r>
      <w:r>
        <w:rPr>
          <w:color w:val="231F20"/>
          <w:spacing w:val="-2"/>
          <w:w w:val="95"/>
        </w:rPr>
        <w:t xml:space="preserve"> </w:t>
      </w:r>
      <w:r>
        <w:rPr>
          <w:color w:val="231F20"/>
          <w:w w:val="95"/>
        </w:rPr>
        <w:t>occur</w:t>
      </w:r>
      <w:r>
        <w:rPr>
          <w:color w:val="231F20"/>
          <w:spacing w:val="-2"/>
          <w:w w:val="95"/>
        </w:rPr>
        <w:t xml:space="preserve"> </w:t>
      </w:r>
      <w:r>
        <w:rPr>
          <w:color w:val="231F20"/>
          <w:w w:val="95"/>
        </w:rPr>
        <w:t>outdoors,</w:t>
      </w:r>
      <w:r>
        <w:rPr>
          <w:color w:val="231F20"/>
          <w:spacing w:val="-2"/>
          <w:w w:val="95"/>
        </w:rPr>
        <w:t xml:space="preserve"> </w:t>
      </w:r>
      <w:r>
        <w:rPr>
          <w:color w:val="231F20"/>
          <w:w w:val="95"/>
        </w:rPr>
        <w:t>may</w:t>
      </w:r>
      <w:r>
        <w:rPr>
          <w:color w:val="231F20"/>
          <w:spacing w:val="-2"/>
          <w:w w:val="95"/>
        </w:rPr>
        <w:t xml:space="preserve"> </w:t>
      </w:r>
      <w:r>
        <w:rPr>
          <w:color w:val="231F20"/>
          <w:w w:val="95"/>
        </w:rPr>
        <w:t>be</w:t>
      </w:r>
      <w:r>
        <w:rPr>
          <w:color w:val="231F20"/>
          <w:spacing w:val="-2"/>
          <w:w w:val="95"/>
        </w:rPr>
        <w:t xml:space="preserve"> </w:t>
      </w:r>
      <w:r>
        <w:rPr>
          <w:color w:val="231F20"/>
          <w:w w:val="95"/>
        </w:rPr>
        <w:t>enhanced</w:t>
      </w:r>
      <w:r>
        <w:rPr>
          <w:color w:val="231F20"/>
          <w:spacing w:val="-2"/>
          <w:w w:val="95"/>
        </w:rPr>
        <w:t xml:space="preserve"> </w:t>
      </w:r>
      <w:r>
        <w:rPr>
          <w:color w:val="231F20"/>
          <w:w w:val="95"/>
        </w:rPr>
        <w:t>by</w:t>
      </w:r>
      <w:r>
        <w:rPr>
          <w:color w:val="231F20"/>
          <w:spacing w:val="-2"/>
          <w:w w:val="95"/>
        </w:rPr>
        <w:t xml:space="preserve"> </w:t>
      </w:r>
      <w:r>
        <w:rPr>
          <w:color w:val="231F20"/>
          <w:w w:val="95"/>
        </w:rPr>
        <w:t xml:space="preserve">natural </w:t>
      </w:r>
      <w:r>
        <w:rPr>
          <w:color w:val="231F20"/>
          <w:w w:val="90"/>
        </w:rPr>
        <w:t xml:space="preserve">attributes but these attributes are not necessarily central to the experience. In </w:t>
      </w:r>
      <w:r>
        <w:rPr>
          <w:color w:val="231F20"/>
          <w:w w:val="95"/>
        </w:rPr>
        <w:t>the</w:t>
      </w:r>
      <w:r>
        <w:rPr>
          <w:color w:val="231F20"/>
          <w:spacing w:val="-3"/>
          <w:w w:val="95"/>
        </w:rPr>
        <w:t xml:space="preserve"> </w:t>
      </w:r>
      <w:r>
        <w:rPr>
          <w:color w:val="231F20"/>
          <w:w w:val="95"/>
        </w:rPr>
        <w:t>latter</w:t>
      </w:r>
      <w:r>
        <w:rPr>
          <w:color w:val="231F20"/>
          <w:spacing w:val="-3"/>
          <w:w w:val="95"/>
        </w:rPr>
        <w:t xml:space="preserve"> </w:t>
      </w:r>
      <w:r>
        <w:rPr>
          <w:color w:val="231F20"/>
          <w:w w:val="95"/>
        </w:rPr>
        <w:t>case,</w:t>
      </w:r>
      <w:r>
        <w:rPr>
          <w:color w:val="231F20"/>
          <w:spacing w:val="-3"/>
          <w:w w:val="95"/>
        </w:rPr>
        <w:t xml:space="preserve"> </w:t>
      </w:r>
      <w:r>
        <w:rPr>
          <w:color w:val="231F20"/>
          <w:w w:val="95"/>
        </w:rPr>
        <w:t>natural</w:t>
      </w:r>
      <w:r>
        <w:rPr>
          <w:color w:val="231F20"/>
          <w:spacing w:val="-3"/>
          <w:w w:val="95"/>
        </w:rPr>
        <w:t xml:space="preserve"> </w:t>
      </w:r>
      <w:r>
        <w:rPr>
          <w:color w:val="231F20"/>
          <w:w w:val="95"/>
        </w:rPr>
        <w:t>factors</w:t>
      </w:r>
      <w:r>
        <w:rPr>
          <w:color w:val="231F20"/>
          <w:spacing w:val="-3"/>
          <w:w w:val="95"/>
        </w:rPr>
        <w:t xml:space="preserve"> </w:t>
      </w:r>
      <w:r>
        <w:rPr>
          <w:color w:val="231F20"/>
          <w:w w:val="95"/>
        </w:rPr>
        <w:t>like</w:t>
      </w:r>
      <w:r>
        <w:rPr>
          <w:color w:val="231F20"/>
          <w:spacing w:val="-3"/>
          <w:w w:val="95"/>
        </w:rPr>
        <w:t xml:space="preserve"> </w:t>
      </w:r>
      <w:r>
        <w:rPr>
          <w:color w:val="231F20"/>
          <w:w w:val="95"/>
        </w:rPr>
        <w:t>weather</w:t>
      </w:r>
      <w:r>
        <w:rPr>
          <w:color w:val="231F20"/>
          <w:spacing w:val="-3"/>
          <w:w w:val="95"/>
        </w:rPr>
        <w:t xml:space="preserve"> </w:t>
      </w:r>
      <w:r>
        <w:rPr>
          <w:color w:val="231F20"/>
          <w:w w:val="95"/>
        </w:rPr>
        <w:t>may</w:t>
      </w:r>
      <w:r>
        <w:rPr>
          <w:color w:val="231F20"/>
          <w:spacing w:val="-3"/>
          <w:w w:val="95"/>
        </w:rPr>
        <w:t xml:space="preserve"> </w:t>
      </w:r>
      <w:r>
        <w:rPr>
          <w:color w:val="231F20"/>
          <w:w w:val="95"/>
        </w:rPr>
        <w:t>serve</w:t>
      </w:r>
      <w:r>
        <w:rPr>
          <w:color w:val="231F20"/>
          <w:spacing w:val="-3"/>
          <w:w w:val="95"/>
        </w:rPr>
        <w:t xml:space="preserve"> </w:t>
      </w:r>
      <w:r>
        <w:rPr>
          <w:color w:val="231F20"/>
          <w:w w:val="95"/>
        </w:rPr>
        <w:t>as</w:t>
      </w:r>
      <w:r>
        <w:rPr>
          <w:color w:val="231F20"/>
          <w:spacing w:val="-3"/>
          <w:w w:val="95"/>
        </w:rPr>
        <w:t xml:space="preserve"> </w:t>
      </w:r>
      <w:r>
        <w:rPr>
          <w:color w:val="231F20"/>
          <w:w w:val="95"/>
        </w:rPr>
        <w:t>the</w:t>
      </w:r>
      <w:r>
        <w:rPr>
          <w:color w:val="231F20"/>
          <w:spacing w:val="-3"/>
          <w:w w:val="95"/>
        </w:rPr>
        <w:t xml:space="preserve"> </w:t>
      </w:r>
      <w:r>
        <w:rPr>
          <w:color w:val="231F20"/>
          <w:w w:val="95"/>
        </w:rPr>
        <w:t>general</w:t>
      </w:r>
      <w:r>
        <w:rPr>
          <w:color w:val="231F20"/>
          <w:spacing w:val="-3"/>
          <w:w w:val="95"/>
        </w:rPr>
        <w:t xml:space="preserve"> </w:t>
      </w:r>
      <w:r>
        <w:rPr>
          <w:color w:val="231F20"/>
          <w:w w:val="95"/>
        </w:rPr>
        <w:t xml:space="preserve">context rather than having a direct bearing on the essence of the tourist experience </w:t>
      </w:r>
      <w:r>
        <w:rPr>
          <w:color w:val="231F20"/>
        </w:rPr>
        <w:t xml:space="preserve">(Scott, Jones &amp; Konopek, 2007). In cases such as mountain biking and </w:t>
      </w:r>
      <w:r>
        <w:rPr>
          <w:color w:val="231F20"/>
          <w:spacing w:val="-2"/>
        </w:rPr>
        <w:t>beach</w:t>
      </w:r>
      <w:r>
        <w:rPr>
          <w:color w:val="231F20"/>
          <w:spacing w:val="-3"/>
        </w:rPr>
        <w:t xml:space="preserve"> </w:t>
      </w:r>
      <w:r>
        <w:rPr>
          <w:color w:val="231F20"/>
          <w:spacing w:val="-2"/>
        </w:rPr>
        <w:t>volleyball,</w:t>
      </w:r>
      <w:r>
        <w:rPr>
          <w:color w:val="231F20"/>
          <w:spacing w:val="-3"/>
        </w:rPr>
        <w:t xml:space="preserve"> </w:t>
      </w:r>
      <w:r>
        <w:rPr>
          <w:color w:val="231F20"/>
          <w:spacing w:val="-2"/>
        </w:rPr>
        <w:t>natural</w:t>
      </w:r>
      <w:r>
        <w:rPr>
          <w:color w:val="231F20"/>
          <w:spacing w:val="-3"/>
        </w:rPr>
        <w:t xml:space="preserve"> </w:t>
      </w:r>
      <w:r>
        <w:rPr>
          <w:color w:val="231F20"/>
          <w:spacing w:val="-2"/>
        </w:rPr>
        <w:t>conditions</w:t>
      </w:r>
      <w:r>
        <w:rPr>
          <w:color w:val="231F20"/>
          <w:spacing w:val="-3"/>
        </w:rPr>
        <w:t xml:space="preserve"> </w:t>
      </w:r>
      <w:r>
        <w:rPr>
          <w:color w:val="231F20"/>
          <w:spacing w:val="-2"/>
        </w:rPr>
        <w:t>which</w:t>
      </w:r>
      <w:r>
        <w:rPr>
          <w:color w:val="231F20"/>
          <w:spacing w:val="-3"/>
        </w:rPr>
        <w:t xml:space="preserve"> </w:t>
      </w:r>
      <w:r>
        <w:rPr>
          <w:color w:val="231F20"/>
          <w:spacing w:val="-2"/>
        </w:rPr>
        <w:t>deviate</w:t>
      </w:r>
      <w:r>
        <w:rPr>
          <w:color w:val="231F20"/>
          <w:spacing w:val="-3"/>
        </w:rPr>
        <w:t xml:space="preserve"> </w:t>
      </w:r>
      <w:r>
        <w:rPr>
          <w:color w:val="231F20"/>
          <w:spacing w:val="-2"/>
        </w:rPr>
        <w:t>from</w:t>
      </w:r>
      <w:r>
        <w:rPr>
          <w:color w:val="231F20"/>
          <w:spacing w:val="-3"/>
        </w:rPr>
        <w:t xml:space="preserve"> </w:t>
      </w:r>
      <w:r>
        <w:rPr>
          <w:color w:val="231F20"/>
          <w:spacing w:val="-2"/>
        </w:rPr>
        <w:t>what</w:t>
      </w:r>
      <w:r>
        <w:rPr>
          <w:color w:val="231F20"/>
          <w:spacing w:val="-3"/>
        </w:rPr>
        <w:t xml:space="preserve"> </w:t>
      </w:r>
      <w:r>
        <w:rPr>
          <w:color w:val="231F20"/>
          <w:spacing w:val="-2"/>
        </w:rPr>
        <w:t>is</w:t>
      </w:r>
      <w:r>
        <w:rPr>
          <w:color w:val="231F20"/>
          <w:spacing w:val="-3"/>
        </w:rPr>
        <w:t xml:space="preserve"> </w:t>
      </w:r>
      <w:r>
        <w:rPr>
          <w:color w:val="231F20"/>
          <w:spacing w:val="-2"/>
        </w:rPr>
        <w:t xml:space="preserve">perceived </w:t>
      </w:r>
      <w:r>
        <w:rPr>
          <w:color w:val="231F20"/>
          <w:w w:val="95"/>
        </w:rPr>
        <w:t>as the ideal may be a signif</w:t>
      </w:r>
      <w:r>
        <w:rPr>
          <w:color w:val="231F20"/>
          <w:w w:val="95"/>
        </w:rPr>
        <w:t>icant deterrent to sport tourism at certain times of</w:t>
      </w:r>
      <w:r>
        <w:rPr>
          <w:color w:val="231F20"/>
        </w:rPr>
        <w:t xml:space="preserve"> </w:t>
      </w:r>
      <w:r>
        <w:rPr>
          <w:color w:val="231F20"/>
          <w:w w:val="95"/>
        </w:rPr>
        <w:t>the</w:t>
      </w:r>
      <w:r>
        <w:rPr>
          <w:color w:val="231F20"/>
          <w:spacing w:val="-2"/>
          <w:w w:val="95"/>
        </w:rPr>
        <w:t xml:space="preserve"> </w:t>
      </w:r>
      <w:r>
        <w:rPr>
          <w:color w:val="231F20"/>
          <w:w w:val="95"/>
        </w:rPr>
        <w:t>year.</w:t>
      </w:r>
      <w:r>
        <w:rPr>
          <w:color w:val="231F20"/>
          <w:spacing w:val="-2"/>
          <w:w w:val="95"/>
        </w:rPr>
        <w:t xml:space="preserve"> </w:t>
      </w:r>
      <w:r>
        <w:rPr>
          <w:color w:val="231F20"/>
          <w:w w:val="95"/>
        </w:rPr>
        <w:t>Alternatively,</w:t>
      </w:r>
      <w:r>
        <w:rPr>
          <w:color w:val="231F20"/>
          <w:spacing w:val="-2"/>
          <w:w w:val="95"/>
        </w:rPr>
        <w:t xml:space="preserve"> </w:t>
      </w:r>
      <w:r>
        <w:rPr>
          <w:color w:val="231F20"/>
          <w:w w:val="95"/>
        </w:rPr>
        <w:t>advantageous</w:t>
      </w:r>
      <w:r>
        <w:rPr>
          <w:color w:val="231F20"/>
          <w:spacing w:val="-2"/>
          <w:w w:val="95"/>
        </w:rPr>
        <w:t xml:space="preserve"> </w:t>
      </w:r>
      <w:r>
        <w:rPr>
          <w:color w:val="231F20"/>
          <w:w w:val="95"/>
        </w:rPr>
        <w:t>or</w:t>
      </w:r>
      <w:r>
        <w:rPr>
          <w:color w:val="231F20"/>
          <w:spacing w:val="-2"/>
          <w:w w:val="95"/>
        </w:rPr>
        <w:t xml:space="preserve"> </w:t>
      </w:r>
      <w:r>
        <w:rPr>
          <w:color w:val="231F20"/>
          <w:w w:val="95"/>
        </w:rPr>
        <w:t>extreme</w:t>
      </w:r>
      <w:r>
        <w:rPr>
          <w:color w:val="231F20"/>
          <w:spacing w:val="-2"/>
          <w:w w:val="95"/>
        </w:rPr>
        <w:t xml:space="preserve"> </w:t>
      </w:r>
      <w:r>
        <w:rPr>
          <w:color w:val="231F20"/>
          <w:w w:val="95"/>
        </w:rPr>
        <w:t>weather</w:t>
      </w:r>
      <w:r>
        <w:rPr>
          <w:color w:val="231F20"/>
          <w:spacing w:val="-2"/>
          <w:w w:val="95"/>
        </w:rPr>
        <w:t xml:space="preserve"> </w:t>
      </w:r>
      <w:r>
        <w:rPr>
          <w:color w:val="231F20"/>
          <w:w w:val="95"/>
        </w:rPr>
        <w:t>conditions</w:t>
      </w:r>
      <w:r>
        <w:rPr>
          <w:color w:val="231F20"/>
          <w:spacing w:val="-2"/>
          <w:w w:val="95"/>
        </w:rPr>
        <w:t xml:space="preserve"> </w:t>
      </w:r>
      <w:r>
        <w:rPr>
          <w:color w:val="231F20"/>
          <w:w w:val="95"/>
        </w:rPr>
        <w:t xml:space="preserve">(e.g. unseasonably warm temperatures leading to snow melt and high river flow </w:t>
      </w:r>
      <w:r>
        <w:rPr>
          <w:color w:val="231F20"/>
        </w:rPr>
        <w:t xml:space="preserve">volume) may be promoted as a positive characteristic for </w:t>
      </w:r>
      <w:r>
        <w:rPr>
          <w:color w:val="231F20"/>
        </w:rPr>
        <w:t>many types of extreme</w:t>
      </w:r>
      <w:r>
        <w:rPr>
          <w:color w:val="231F20"/>
          <w:spacing w:val="-9"/>
        </w:rPr>
        <w:t xml:space="preserve"> </w:t>
      </w:r>
      <w:r>
        <w:rPr>
          <w:color w:val="231F20"/>
        </w:rPr>
        <w:t>sports</w:t>
      </w:r>
      <w:r>
        <w:rPr>
          <w:color w:val="231F20"/>
          <w:spacing w:val="-9"/>
        </w:rPr>
        <w:t xml:space="preserve"> </w:t>
      </w:r>
      <w:r>
        <w:rPr>
          <w:color w:val="231F20"/>
        </w:rPr>
        <w:t>(e.g.</w:t>
      </w:r>
      <w:r>
        <w:rPr>
          <w:color w:val="231F20"/>
          <w:spacing w:val="-9"/>
        </w:rPr>
        <w:t xml:space="preserve"> </w:t>
      </w:r>
      <w:r>
        <w:rPr>
          <w:color w:val="231F20"/>
        </w:rPr>
        <w:t>white-water</w:t>
      </w:r>
      <w:r>
        <w:rPr>
          <w:color w:val="231F20"/>
          <w:spacing w:val="-9"/>
        </w:rPr>
        <w:t xml:space="preserve"> </w:t>
      </w:r>
      <w:r>
        <w:rPr>
          <w:color w:val="231F20"/>
        </w:rPr>
        <w:t>rafting,</w:t>
      </w:r>
      <w:r>
        <w:rPr>
          <w:color w:val="231F20"/>
          <w:spacing w:val="-9"/>
        </w:rPr>
        <w:t xml:space="preserve"> </w:t>
      </w:r>
      <w:r>
        <w:rPr>
          <w:color w:val="231F20"/>
        </w:rPr>
        <w:t>kayaking).</w:t>
      </w:r>
    </w:p>
    <w:p w14:paraId="5CD7349F" w14:textId="77777777" w:rsidR="00AE0598" w:rsidRDefault="00AE0598">
      <w:pPr>
        <w:pStyle w:val="Corpodetexto"/>
        <w:spacing w:before="5"/>
        <w:rPr>
          <w:sz w:val="32"/>
        </w:rPr>
      </w:pPr>
    </w:p>
    <w:p w14:paraId="470AB0FF" w14:textId="77777777" w:rsidR="00AE0598" w:rsidRDefault="0069255A">
      <w:pPr>
        <w:ind w:left="110"/>
        <w:jc w:val="both"/>
        <w:rPr>
          <w:rFonts w:ascii="Trebuchet MS"/>
          <w:b/>
          <w:sz w:val="20"/>
        </w:rPr>
      </w:pPr>
      <w:r>
        <w:rPr>
          <w:rFonts w:ascii="Trebuchet MS"/>
          <w:b/>
          <w:color w:val="231F20"/>
          <w:sz w:val="20"/>
        </w:rPr>
        <w:t>Climate</w:t>
      </w:r>
      <w:r>
        <w:rPr>
          <w:rFonts w:ascii="Trebuchet MS"/>
          <w:b/>
          <w:color w:val="231F20"/>
          <w:spacing w:val="3"/>
          <w:sz w:val="20"/>
        </w:rPr>
        <w:t xml:space="preserve"> </w:t>
      </w:r>
      <w:r>
        <w:rPr>
          <w:rFonts w:ascii="Trebuchet MS"/>
          <w:b/>
          <w:color w:val="231F20"/>
          <w:sz w:val="20"/>
        </w:rPr>
        <w:t>Change</w:t>
      </w:r>
      <w:r>
        <w:rPr>
          <w:rFonts w:ascii="Trebuchet MS"/>
          <w:b/>
          <w:color w:val="231F20"/>
          <w:spacing w:val="4"/>
          <w:sz w:val="20"/>
        </w:rPr>
        <w:t xml:space="preserve"> </w:t>
      </w:r>
      <w:r>
        <w:rPr>
          <w:rFonts w:ascii="Trebuchet MS"/>
          <w:b/>
          <w:color w:val="231F20"/>
          <w:sz w:val="20"/>
        </w:rPr>
        <w:t>and</w:t>
      </w:r>
      <w:r>
        <w:rPr>
          <w:rFonts w:ascii="Trebuchet MS"/>
          <w:b/>
          <w:color w:val="231F20"/>
          <w:spacing w:val="3"/>
          <w:sz w:val="20"/>
        </w:rPr>
        <w:t xml:space="preserve"> </w:t>
      </w:r>
      <w:r>
        <w:rPr>
          <w:rFonts w:ascii="Trebuchet MS"/>
          <w:b/>
          <w:color w:val="231F20"/>
          <w:sz w:val="20"/>
        </w:rPr>
        <w:t>Sport</w:t>
      </w:r>
      <w:r>
        <w:rPr>
          <w:rFonts w:ascii="Trebuchet MS"/>
          <w:b/>
          <w:color w:val="231F20"/>
          <w:spacing w:val="4"/>
          <w:sz w:val="20"/>
        </w:rPr>
        <w:t xml:space="preserve"> </w:t>
      </w:r>
      <w:r>
        <w:rPr>
          <w:rFonts w:ascii="Trebuchet MS"/>
          <w:b/>
          <w:color w:val="231F20"/>
          <w:sz w:val="20"/>
        </w:rPr>
        <w:t>Tourism</w:t>
      </w:r>
      <w:r>
        <w:rPr>
          <w:rFonts w:ascii="Trebuchet MS"/>
          <w:b/>
          <w:color w:val="231F20"/>
          <w:spacing w:val="3"/>
          <w:sz w:val="20"/>
        </w:rPr>
        <w:t xml:space="preserve"> </w:t>
      </w:r>
      <w:r>
        <w:rPr>
          <w:rFonts w:ascii="Trebuchet MS"/>
          <w:b/>
          <w:color w:val="231F20"/>
          <w:spacing w:val="-2"/>
          <w:sz w:val="20"/>
        </w:rPr>
        <w:t>Seasonality</w:t>
      </w:r>
    </w:p>
    <w:p w14:paraId="0034FC6F" w14:textId="77777777" w:rsidR="00AE0598" w:rsidRDefault="0069255A">
      <w:pPr>
        <w:pStyle w:val="Corpodetexto"/>
        <w:spacing w:before="122" w:line="232" w:lineRule="auto"/>
        <w:ind w:left="110" w:right="126" w:firstLine="320"/>
        <w:jc w:val="both"/>
      </w:pPr>
      <w:r>
        <w:rPr>
          <w:color w:val="231F20"/>
        </w:rPr>
        <w:t>Climate ‘is the prevailing condition of the atmosphere deduced from periods</w:t>
      </w:r>
      <w:r>
        <w:rPr>
          <w:color w:val="231F20"/>
          <w:spacing w:val="-7"/>
        </w:rPr>
        <w:t xml:space="preserve"> </w:t>
      </w:r>
      <w:r>
        <w:rPr>
          <w:color w:val="231F20"/>
        </w:rPr>
        <w:t>of</w:t>
      </w:r>
      <w:r>
        <w:rPr>
          <w:color w:val="231F20"/>
          <w:spacing w:val="-7"/>
        </w:rPr>
        <w:t xml:space="preserve"> </w:t>
      </w:r>
      <w:r>
        <w:rPr>
          <w:color w:val="231F20"/>
        </w:rPr>
        <w:t>observation’</w:t>
      </w:r>
      <w:r>
        <w:rPr>
          <w:color w:val="231F20"/>
          <w:spacing w:val="-7"/>
        </w:rPr>
        <w:t xml:space="preserve"> </w:t>
      </w:r>
      <w:r>
        <w:rPr>
          <w:color w:val="231F20"/>
        </w:rPr>
        <w:t>while</w:t>
      </w:r>
      <w:r>
        <w:rPr>
          <w:color w:val="231F20"/>
          <w:spacing w:val="-7"/>
        </w:rPr>
        <w:t xml:space="preserve"> </w:t>
      </w:r>
      <w:r>
        <w:rPr>
          <w:color w:val="231F20"/>
        </w:rPr>
        <w:t>weather</w:t>
      </w:r>
      <w:r>
        <w:rPr>
          <w:color w:val="231F20"/>
          <w:spacing w:val="-7"/>
        </w:rPr>
        <w:t xml:space="preserve"> </w:t>
      </w:r>
      <w:r>
        <w:rPr>
          <w:color w:val="231F20"/>
        </w:rPr>
        <w:t>is</w:t>
      </w:r>
      <w:r>
        <w:rPr>
          <w:color w:val="231F20"/>
          <w:spacing w:val="-7"/>
        </w:rPr>
        <w:t xml:space="preserve"> </w:t>
      </w:r>
      <w:r>
        <w:rPr>
          <w:color w:val="231F20"/>
        </w:rPr>
        <w:t>‘the</w:t>
      </w:r>
      <w:r>
        <w:rPr>
          <w:color w:val="231F20"/>
          <w:spacing w:val="-7"/>
        </w:rPr>
        <w:t xml:space="preserve"> </w:t>
      </w:r>
      <w:r>
        <w:rPr>
          <w:color w:val="231F20"/>
        </w:rPr>
        <w:t>state</w:t>
      </w:r>
      <w:r>
        <w:rPr>
          <w:color w:val="231F20"/>
          <w:spacing w:val="-7"/>
        </w:rPr>
        <w:t xml:space="preserve"> </w:t>
      </w:r>
      <w:r>
        <w:rPr>
          <w:color w:val="231F20"/>
        </w:rPr>
        <w:t>of</w:t>
      </w:r>
      <w:r>
        <w:rPr>
          <w:color w:val="231F20"/>
          <w:spacing w:val="-7"/>
        </w:rPr>
        <w:t xml:space="preserve"> </w:t>
      </w:r>
      <w:r>
        <w:rPr>
          <w:color w:val="231F20"/>
        </w:rPr>
        <w:t>the</w:t>
      </w:r>
      <w:r>
        <w:rPr>
          <w:color w:val="231F20"/>
          <w:spacing w:val="-7"/>
        </w:rPr>
        <w:t xml:space="preserve"> </w:t>
      </w:r>
      <w:r>
        <w:rPr>
          <w:color w:val="231F20"/>
        </w:rPr>
        <w:t>atmosphere</w:t>
      </w:r>
      <w:r>
        <w:rPr>
          <w:color w:val="231F20"/>
          <w:spacing w:val="-7"/>
        </w:rPr>
        <w:t xml:space="preserve"> </w:t>
      </w:r>
      <w:r>
        <w:rPr>
          <w:color w:val="231F20"/>
        </w:rPr>
        <w:t>in</w:t>
      </w:r>
      <w:r>
        <w:rPr>
          <w:color w:val="231F20"/>
          <w:spacing w:val="-7"/>
        </w:rPr>
        <w:t xml:space="preserve"> </w:t>
      </w:r>
      <w:r>
        <w:rPr>
          <w:color w:val="231F20"/>
        </w:rPr>
        <w:t xml:space="preserve">a </w:t>
      </w:r>
      <w:r>
        <w:rPr>
          <w:color w:val="231F20"/>
          <w:w w:val="95"/>
        </w:rPr>
        <w:t>given</w:t>
      </w:r>
      <w:r>
        <w:rPr>
          <w:color w:val="231F20"/>
          <w:spacing w:val="-1"/>
          <w:w w:val="95"/>
        </w:rPr>
        <w:t xml:space="preserve"> </w:t>
      </w:r>
      <w:r>
        <w:rPr>
          <w:color w:val="231F20"/>
          <w:w w:val="95"/>
        </w:rPr>
        <w:t>place</w:t>
      </w:r>
      <w:r>
        <w:rPr>
          <w:color w:val="231F20"/>
          <w:spacing w:val="-1"/>
          <w:w w:val="95"/>
        </w:rPr>
        <w:t xml:space="preserve"> </w:t>
      </w:r>
      <w:r>
        <w:rPr>
          <w:color w:val="231F20"/>
          <w:w w:val="95"/>
        </w:rPr>
        <w:t>at</w:t>
      </w:r>
      <w:r>
        <w:rPr>
          <w:color w:val="231F20"/>
          <w:spacing w:val="-1"/>
          <w:w w:val="95"/>
        </w:rPr>
        <w:t xml:space="preserve"> </w:t>
      </w:r>
      <w:r>
        <w:rPr>
          <w:color w:val="231F20"/>
          <w:w w:val="95"/>
        </w:rPr>
        <w:t>a</w:t>
      </w:r>
      <w:r>
        <w:rPr>
          <w:color w:val="231F20"/>
          <w:spacing w:val="-1"/>
          <w:w w:val="95"/>
        </w:rPr>
        <w:t xml:space="preserve"> </w:t>
      </w:r>
      <w:r>
        <w:rPr>
          <w:color w:val="231F20"/>
          <w:w w:val="95"/>
        </w:rPr>
        <w:t>given</w:t>
      </w:r>
      <w:r>
        <w:rPr>
          <w:color w:val="231F20"/>
          <w:spacing w:val="-1"/>
          <w:w w:val="95"/>
        </w:rPr>
        <w:t xml:space="preserve"> </w:t>
      </w:r>
      <w:r>
        <w:rPr>
          <w:color w:val="231F20"/>
          <w:w w:val="95"/>
        </w:rPr>
        <w:t>time’</w:t>
      </w:r>
      <w:r>
        <w:rPr>
          <w:color w:val="231F20"/>
          <w:spacing w:val="-1"/>
          <w:w w:val="95"/>
        </w:rPr>
        <w:t xml:space="preserve"> </w:t>
      </w:r>
      <w:r>
        <w:rPr>
          <w:color w:val="231F20"/>
          <w:w w:val="95"/>
        </w:rPr>
        <w:t>(Gomez-Martin,</w:t>
      </w:r>
      <w:r>
        <w:rPr>
          <w:color w:val="231F20"/>
          <w:spacing w:val="-1"/>
          <w:w w:val="95"/>
        </w:rPr>
        <w:t xml:space="preserve"> </w:t>
      </w:r>
      <w:r>
        <w:rPr>
          <w:color w:val="231F20"/>
          <w:w w:val="95"/>
        </w:rPr>
        <w:t>2005:</w:t>
      </w:r>
      <w:r>
        <w:rPr>
          <w:color w:val="231F20"/>
          <w:spacing w:val="-1"/>
          <w:w w:val="95"/>
        </w:rPr>
        <w:t xml:space="preserve"> </w:t>
      </w:r>
      <w:r>
        <w:rPr>
          <w:color w:val="231F20"/>
          <w:w w:val="95"/>
        </w:rPr>
        <w:t>572).</w:t>
      </w:r>
      <w:r>
        <w:rPr>
          <w:color w:val="231F20"/>
          <w:spacing w:val="-1"/>
          <w:w w:val="95"/>
        </w:rPr>
        <w:t xml:space="preserve"> </w:t>
      </w:r>
      <w:r>
        <w:rPr>
          <w:color w:val="231F20"/>
          <w:w w:val="95"/>
        </w:rPr>
        <w:t>Tourists</w:t>
      </w:r>
      <w:r>
        <w:rPr>
          <w:color w:val="231F20"/>
          <w:spacing w:val="-1"/>
          <w:w w:val="95"/>
        </w:rPr>
        <w:t xml:space="preserve"> </w:t>
      </w:r>
      <w:r>
        <w:rPr>
          <w:color w:val="231F20"/>
          <w:w w:val="95"/>
        </w:rPr>
        <w:t>experience climate as weather at any point in ti</w:t>
      </w:r>
      <w:r>
        <w:rPr>
          <w:color w:val="231F20"/>
          <w:w w:val="95"/>
        </w:rPr>
        <w:t>me and space. Until fairly recently, the tourism industry tended to view the natural causes of tourism seasonality</w:t>
      </w:r>
      <w:r>
        <w:rPr>
          <w:color w:val="231F20"/>
          <w:spacing w:val="40"/>
        </w:rPr>
        <w:t xml:space="preserve"> </w:t>
      </w:r>
      <w:r>
        <w:rPr>
          <w:color w:val="231F20"/>
          <w:w w:val="95"/>
        </w:rPr>
        <w:t>as</w:t>
      </w:r>
      <w:r>
        <w:rPr>
          <w:color w:val="231F20"/>
          <w:spacing w:val="-3"/>
          <w:w w:val="95"/>
        </w:rPr>
        <w:t xml:space="preserve"> </w:t>
      </w:r>
      <w:r>
        <w:rPr>
          <w:color w:val="231F20"/>
          <w:w w:val="95"/>
        </w:rPr>
        <w:t>stable</w:t>
      </w:r>
      <w:r>
        <w:rPr>
          <w:color w:val="231F20"/>
          <w:spacing w:val="-3"/>
          <w:w w:val="95"/>
        </w:rPr>
        <w:t xml:space="preserve"> </w:t>
      </w:r>
      <w:r>
        <w:rPr>
          <w:color w:val="231F20"/>
          <w:w w:val="95"/>
        </w:rPr>
        <w:t>but</w:t>
      </w:r>
      <w:r>
        <w:rPr>
          <w:color w:val="231F20"/>
          <w:spacing w:val="-3"/>
          <w:w w:val="95"/>
        </w:rPr>
        <w:t xml:space="preserve"> </w:t>
      </w:r>
      <w:r>
        <w:rPr>
          <w:color w:val="231F20"/>
          <w:w w:val="95"/>
        </w:rPr>
        <w:t>climate</w:t>
      </w:r>
      <w:r>
        <w:rPr>
          <w:color w:val="231F20"/>
          <w:spacing w:val="-3"/>
          <w:w w:val="95"/>
        </w:rPr>
        <w:t xml:space="preserve"> </w:t>
      </w:r>
      <w:r>
        <w:rPr>
          <w:color w:val="231F20"/>
          <w:w w:val="95"/>
        </w:rPr>
        <w:t>change</w:t>
      </w:r>
      <w:r>
        <w:rPr>
          <w:color w:val="231F20"/>
          <w:spacing w:val="-3"/>
          <w:w w:val="95"/>
        </w:rPr>
        <w:t xml:space="preserve"> </w:t>
      </w:r>
      <w:r>
        <w:rPr>
          <w:color w:val="231F20"/>
          <w:w w:val="95"/>
        </w:rPr>
        <w:t>is</w:t>
      </w:r>
      <w:r>
        <w:rPr>
          <w:color w:val="231F20"/>
          <w:spacing w:val="-3"/>
          <w:w w:val="95"/>
        </w:rPr>
        <w:t xml:space="preserve"> </w:t>
      </w:r>
      <w:r>
        <w:rPr>
          <w:color w:val="231F20"/>
          <w:w w:val="95"/>
        </w:rPr>
        <w:t>increasingly</w:t>
      </w:r>
      <w:r>
        <w:rPr>
          <w:color w:val="231F20"/>
          <w:spacing w:val="-3"/>
          <w:w w:val="95"/>
        </w:rPr>
        <w:t xml:space="preserve"> </w:t>
      </w:r>
      <w:r>
        <w:rPr>
          <w:color w:val="231F20"/>
          <w:w w:val="95"/>
        </w:rPr>
        <w:t>recognised</w:t>
      </w:r>
      <w:r>
        <w:rPr>
          <w:color w:val="231F20"/>
          <w:spacing w:val="-3"/>
          <w:w w:val="95"/>
        </w:rPr>
        <w:t xml:space="preserve"> </w:t>
      </w:r>
      <w:r>
        <w:rPr>
          <w:color w:val="231F20"/>
          <w:w w:val="95"/>
        </w:rPr>
        <w:t>as</w:t>
      </w:r>
      <w:r>
        <w:rPr>
          <w:color w:val="231F20"/>
          <w:spacing w:val="-3"/>
          <w:w w:val="95"/>
        </w:rPr>
        <w:t xml:space="preserve"> </w:t>
      </w:r>
      <w:r>
        <w:rPr>
          <w:color w:val="231F20"/>
          <w:w w:val="95"/>
        </w:rPr>
        <w:t>a</w:t>
      </w:r>
      <w:r>
        <w:rPr>
          <w:color w:val="231F20"/>
          <w:spacing w:val="-3"/>
          <w:w w:val="95"/>
        </w:rPr>
        <w:t xml:space="preserve"> </w:t>
      </w:r>
      <w:r>
        <w:rPr>
          <w:color w:val="231F20"/>
          <w:w w:val="95"/>
        </w:rPr>
        <w:t>dynamic</w:t>
      </w:r>
      <w:r>
        <w:rPr>
          <w:color w:val="231F20"/>
          <w:spacing w:val="-3"/>
          <w:w w:val="95"/>
        </w:rPr>
        <w:t xml:space="preserve"> </w:t>
      </w:r>
      <w:r>
        <w:rPr>
          <w:color w:val="231F20"/>
          <w:w w:val="95"/>
        </w:rPr>
        <w:t>force</w:t>
      </w:r>
      <w:r>
        <w:rPr>
          <w:color w:val="231F20"/>
          <w:spacing w:val="-3"/>
          <w:w w:val="95"/>
        </w:rPr>
        <w:t xml:space="preserve"> </w:t>
      </w:r>
      <w:r>
        <w:rPr>
          <w:color w:val="231F20"/>
          <w:w w:val="95"/>
        </w:rPr>
        <w:t>in the temporal and spatial distribution of tourism (Hartman, 1986; Kennedy</w:t>
      </w:r>
      <w:r>
        <w:rPr>
          <w:color w:val="231F20"/>
          <w:spacing w:val="40"/>
        </w:rPr>
        <w:t xml:space="preserve"> </w:t>
      </w:r>
      <w:r>
        <w:rPr>
          <w:color w:val="231F20"/>
        </w:rPr>
        <w:t>&amp; Deegan, 2001; Koenig-Lewis &amp; Bischoff, 2005). The trend towards rising</w:t>
      </w:r>
      <w:r>
        <w:rPr>
          <w:color w:val="231F20"/>
          <w:spacing w:val="-5"/>
        </w:rPr>
        <w:t xml:space="preserve"> </w:t>
      </w:r>
      <w:r>
        <w:rPr>
          <w:color w:val="231F20"/>
        </w:rPr>
        <w:t>global</w:t>
      </w:r>
      <w:r>
        <w:rPr>
          <w:color w:val="231F20"/>
          <w:spacing w:val="-5"/>
        </w:rPr>
        <w:t xml:space="preserve"> </w:t>
      </w:r>
      <w:r>
        <w:rPr>
          <w:color w:val="231F20"/>
        </w:rPr>
        <w:t>temperatures</w:t>
      </w:r>
      <w:r>
        <w:rPr>
          <w:color w:val="231F20"/>
          <w:spacing w:val="-5"/>
        </w:rPr>
        <w:t xml:space="preserve"> </w:t>
      </w:r>
      <w:r>
        <w:rPr>
          <w:color w:val="231F20"/>
        </w:rPr>
        <w:t>has</w:t>
      </w:r>
      <w:r>
        <w:rPr>
          <w:color w:val="231F20"/>
          <w:spacing w:val="-5"/>
        </w:rPr>
        <w:t xml:space="preserve"> </w:t>
      </w:r>
      <w:r>
        <w:rPr>
          <w:color w:val="231F20"/>
        </w:rPr>
        <w:t>impacted</w:t>
      </w:r>
      <w:r>
        <w:rPr>
          <w:color w:val="231F20"/>
          <w:spacing w:val="-5"/>
        </w:rPr>
        <w:t xml:space="preserve"> </w:t>
      </w:r>
      <w:r>
        <w:rPr>
          <w:color w:val="231F20"/>
        </w:rPr>
        <w:t>tourism</w:t>
      </w:r>
      <w:r>
        <w:rPr>
          <w:color w:val="231F20"/>
          <w:spacing w:val="-5"/>
        </w:rPr>
        <w:t xml:space="preserve"> </w:t>
      </w:r>
      <w:r>
        <w:rPr>
          <w:color w:val="231F20"/>
        </w:rPr>
        <w:t>seasonality</w:t>
      </w:r>
      <w:r>
        <w:rPr>
          <w:color w:val="231F20"/>
          <w:spacing w:val="-5"/>
        </w:rPr>
        <w:t xml:space="preserve"> </w:t>
      </w:r>
      <w:r>
        <w:rPr>
          <w:color w:val="231F20"/>
        </w:rPr>
        <w:t>in</w:t>
      </w:r>
      <w:r>
        <w:rPr>
          <w:color w:val="231F20"/>
          <w:spacing w:val="-5"/>
        </w:rPr>
        <w:t xml:space="preserve"> </w:t>
      </w:r>
      <w:r>
        <w:rPr>
          <w:color w:val="231F20"/>
        </w:rPr>
        <w:t>a</w:t>
      </w:r>
      <w:r>
        <w:rPr>
          <w:color w:val="231F20"/>
          <w:spacing w:val="-5"/>
        </w:rPr>
        <w:t xml:space="preserve"> </w:t>
      </w:r>
      <w:r>
        <w:rPr>
          <w:color w:val="231F20"/>
        </w:rPr>
        <w:t xml:space="preserve">variety </w:t>
      </w:r>
      <w:r>
        <w:rPr>
          <w:color w:val="231F20"/>
          <w:w w:val="95"/>
        </w:rPr>
        <w:t xml:space="preserve">of ways. Amelung </w:t>
      </w:r>
      <w:r>
        <w:rPr>
          <w:i/>
          <w:color w:val="231F20"/>
          <w:w w:val="95"/>
        </w:rPr>
        <w:t xml:space="preserve">et al. </w:t>
      </w:r>
      <w:r>
        <w:rPr>
          <w:color w:val="231F20"/>
          <w:w w:val="95"/>
        </w:rPr>
        <w:t>(2007) used two c</w:t>
      </w:r>
      <w:r>
        <w:rPr>
          <w:color w:val="231F20"/>
          <w:w w:val="95"/>
        </w:rPr>
        <w:t xml:space="preserve">limate change scenarios with the </w:t>
      </w:r>
      <w:r>
        <w:rPr>
          <w:color w:val="231F20"/>
        </w:rPr>
        <w:t xml:space="preserve">Tourism Climate Index (TCI) to show that climatic conditions currently </w:t>
      </w:r>
      <w:r>
        <w:rPr>
          <w:color w:val="231F20"/>
          <w:w w:val="95"/>
        </w:rPr>
        <w:t xml:space="preserve">preferred by tourists will shift to the higher latitudes. Visitation to locations </w:t>
      </w:r>
      <w:r>
        <w:rPr>
          <w:color w:val="231F20"/>
        </w:rPr>
        <w:t>like the Mediterranean will likely shift from the summer peak season t</w:t>
      </w:r>
      <w:r>
        <w:rPr>
          <w:color w:val="231F20"/>
        </w:rPr>
        <w:t>o the</w:t>
      </w:r>
      <w:r>
        <w:rPr>
          <w:color w:val="231F20"/>
          <w:spacing w:val="-6"/>
        </w:rPr>
        <w:t xml:space="preserve"> </w:t>
      </w:r>
      <w:r>
        <w:rPr>
          <w:color w:val="231F20"/>
        </w:rPr>
        <w:t>spring</w:t>
      </w:r>
      <w:r>
        <w:rPr>
          <w:color w:val="231F20"/>
          <w:spacing w:val="-6"/>
        </w:rPr>
        <w:t xml:space="preserve"> </w:t>
      </w:r>
      <w:r>
        <w:rPr>
          <w:color w:val="231F20"/>
        </w:rPr>
        <w:t>and</w:t>
      </w:r>
      <w:r>
        <w:rPr>
          <w:color w:val="231F20"/>
          <w:spacing w:val="-6"/>
        </w:rPr>
        <w:t xml:space="preserve"> </w:t>
      </w:r>
      <w:r>
        <w:rPr>
          <w:color w:val="231F20"/>
        </w:rPr>
        <w:t>fall</w:t>
      </w:r>
      <w:r>
        <w:rPr>
          <w:color w:val="231F20"/>
          <w:spacing w:val="-6"/>
        </w:rPr>
        <w:t xml:space="preserve"> </w:t>
      </w:r>
      <w:r>
        <w:rPr>
          <w:color w:val="231F20"/>
        </w:rPr>
        <w:t>seasons</w:t>
      </w:r>
      <w:r>
        <w:rPr>
          <w:color w:val="231F20"/>
          <w:spacing w:val="-6"/>
        </w:rPr>
        <w:t xml:space="preserve"> </w:t>
      </w:r>
      <w:r>
        <w:rPr>
          <w:color w:val="231F20"/>
        </w:rPr>
        <w:t>while</w:t>
      </w:r>
      <w:r>
        <w:rPr>
          <w:color w:val="231F20"/>
          <w:spacing w:val="-6"/>
        </w:rPr>
        <w:t xml:space="preserve"> </w:t>
      </w:r>
      <w:r>
        <w:rPr>
          <w:color w:val="231F20"/>
        </w:rPr>
        <w:t>Scandinavia</w:t>
      </w:r>
      <w:r>
        <w:rPr>
          <w:color w:val="231F20"/>
          <w:spacing w:val="-6"/>
        </w:rPr>
        <w:t xml:space="preserve"> </w:t>
      </w:r>
      <w:r>
        <w:rPr>
          <w:color w:val="231F20"/>
        </w:rPr>
        <w:t>(and</w:t>
      </w:r>
      <w:r>
        <w:rPr>
          <w:color w:val="231F20"/>
          <w:spacing w:val="-6"/>
        </w:rPr>
        <w:t xml:space="preserve"> </w:t>
      </w:r>
      <w:r>
        <w:rPr>
          <w:color w:val="231F20"/>
        </w:rPr>
        <w:t>other)</w:t>
      </w:r>
      <w:r>
        <w:rPr>
          <w:color w:val="231F20"/>
          <w:spacing w:val="-6"/>
        </w:rPr>
        <w:t xml:space="preserve"> </w:t>
      </w:r>
      <w:r>
        <w:rPr>
          <w:color w:val="231F20"/>
        </w:rPr>
        <w:t>destinations</w:t>
      </w:r>
      <w:r>
        <w:rPr>
          <w:color w:val="231F20"/>
          <w:spacing w:val="-6"/>
        </w:rPr>
        <w:t xml:space="preserve"> </w:t>
      </w:r>
      <w:r>
        <w:rPr>
          <w:color w:val="231F20"/>
        </w:rPr>
        <w:t xml:space="preserve">in </w:t>
      </w:r>
      <w:r>
        <w:rPr>
          <w:color w:val="231F20"/>
          <w:w w:val="95"/>
        </w:rPr>
        <w:t xml:space="preserve">the higher latitudes will be characterised by a longer summer peak season. </w:t>
      </w:r>
      <w:r>
        <w:rPr>
          <w:color w:val="231F20"/>
        </w:rPr>
        <w:t>Similarly, Fang and Yin (2015) used the TCI to demonstrate that China currently enjoys climatic condition</w:t>
      </w:r>
      <w:r>
        <w:rPr>
          <w:color w:val="231F20"/>
        </w:rPr>
        <w:t>s that support a summer peak in the north, a winter peak in the south and a bimodal shoulder peak (spring and</w:t>
      </w:r>
      <w:r>
        <w:rPr>
          <w:color w:val="231F20"/>
          <w:spacing w:val="-5"/>
        </w:rPr>
        <w:t xml:space="preserve"> </w:t>
      </w:r>
      <w:r>
        <w:rPr>
          <w:color w:val="231F20"/>
        </w:rPr>
        <w:t>fall)</w:t>
      </w:r>
      <w:r>
        <w:rPr>
          <w:color w:val="231F20"/>
          <w:spacing w:val="-5"/>
        </w:rPr>
        <w:t xml:space="preserve"> </w:t>
      </w:r>
      <w:r>
        <w:rPr>
          <w:color w:val="231F20"/>
        </w:rPr>
        <w:t>in</w:t>
      </w:r>
      <w:r>
        <w:rPr>
          <w:color w:val="231F20"/>
          <w:spacing w:val="-5"/>
        </w:rPr>
        <w:t xml:space="preserve"> </w:t>
      </w:r>
      <w:r>
        <w:rPr>
          <w:color w:val="231F20"/>
        </w:rPr>
        <w:t>the</w:t>
      </w:r>
      <w:r>
        <w:rPr>
          <w:color w:val="231F20"/>
          <w:spacing w:val="-5"/>
        </w:rPr>
        <w:t xml:space="preserve"> </w:t>
      </w:r>
      <w:r>
        <w:rPr>
          <w:color w:val="231F20"/>
        </w:rPr>
        <w:t>middle</w:t>
      </w:r>
      <w:r>
        <w:rPr>
          <w:color w:val="231F20"/>
          <w:spacing w:val="-5"/>
        </w:rPr>
        <w:t xml:space="preserve"> </w:t>
      </w:r>
      <w:r>
        <w:rPr>
          <w:color w:val="231F20"/>
        </w:rPr>
        <w:t>latitudes.</w:t>
      </w:r>
      <w:r>
        <w:rPr>
          <w:color w:val="231F20"/>
          <w:spacing w:val="-5"/>
        </w:rPr>
        <w:t xml:space="preserve"> </w:t>
      </w:r>
      <w:r>
        <w:rPr>
          <w:color w:val="231F20"/>
        </w:rPr>
        <w:t>They</w:t>
      </w:r>
      <w:r>
        <w:rPr>
          <w:color w:val="231F20"/>
          <w:spacing w:val="-5"/>
        </w:rPr>
        <w:t xml:space="preserve"> </w:t>
      </w:r>
      <w:r>
        <w:rPr>
          <w:color w:val="231F20"/>
        </w:rPr>
        <w:t>warn,</w:t>
      </w:r>
      <w:r>
        <w:rPr>
          <w:color w:val="231F20"/>
          <w:spacing w:val="-5"/>
        </w:rPr>
        <w:t xml:space="preserve"> </w:t>
      </w:r>
      <w:r>
        <w:rPr>
          <w:color w:val="231F20"/>
        </w:rPr>
        <w:t>however,</w:t>
      </w:r>
      <w:r>
        <w:rPr>
          <w:color w:val="231F20"/>
          <w:spacing w:val="-5"/>
        </w:rPr>
        <w:t xml:space="preserve"> </w:t>
      </w:r>
      <w:r>
        <w:rPr>
          <w:color w:val="231F20"/>
        </w:rPr>
        <w:t>that</w:t>
      </w:r>
      <w:r>
        <w:rPr>
          <w:color w:val="231F20"/>
          <w:spacing w:val="-5"/>
        </w:rPr>
        <w:t xml:space="preserve"> </w:t>
      </w:r>
      <w:r>
        <w:rPr>
          <w:color w:val="231F20"/>
        </w:rPr>
        <w:t>the</w:t>
      </w:r>
      <w:r>
        <w:rPr>
          <w:color w:val="231F20"/>
          <w:spacing w:val="-5"/>
        </w:rPr>
        <w:t xml:space="preserve"> </w:t>
      </w:r>
      <w:r>
        <w:rPr>
          <w:color w:val="231F20"/>
        </w:rPr>
        <w:t>impacts</w:t>
      </w:r>
      <w:r>
        <w:rPr>
          <w:color w:val="231F20"/>
          <w:spacing w:val="-5"/>
        </w:rPr>
        <w:t xml:space="preserve"> </w:t>
      </w:r>
      <w:r>
        <w:rPr>
          <w:color w:val="231F20"/>
        </w:rPr>
        <w:t>of climate</w:t>
      </w:r>
      <w:r>
        <w:rPr>
          <w:color w:val="231F20"/>
          <w:spacing w:val="-11"/>
        </w:rPr>
        <w:t xml:space="preserve"> </w:t>
      </w:r>
      <w:r>
        <w:rPr>
          <w:color w:val="231F20"/>
        </w:rPr>
        <w:t>change</w:t>
      </w:r>
      <w:r>
        <w:rPr>
          <w:color w:val="231F20"/>
          <w:spacing w:val="-11"/>
        </w:rPr>
        <w:t xml:space="preserve"> </w:t>
      </w:r>
      <w:r>
        <w:rPr>
          <w:color w:val="231F20"/>
        </w:rPr>
        <w:t>on</w:t>
      </w:r>
      <w:r>
        <w:rPr>
          <w:color w:val="231F20"/>
          <w:spacing w:val="-11"/>
        </w:rPr>
        <w:t xml:space="preserve"> </w:t>
      </w:r>
      <w:r>
        <w:rPr>
          <w:color w:val="231F20"/>
        </w:rPr>
        <w:t>these</w:t>
      </w:r>
      <w:r>
        <w:rPr>
          <w:color w:val="231F20"/>
          <w:spacing w:val="-11"/>
        </w:rPr>
        <w:t xml:space="preserve"> </w:t>
      </w:r>
      <w:r>
        <w:rPr>
          <w:color w:val="231F20"/>
        </w:rPr>
        <w:t>seasonality</w:t>
      </w:r>
      <w:r>
        <w:rPr>
          <w:color w:val="231F20"/>
          <w:spacing w:val="-11"/>
        </w:rPr>
        <w:t xml:space="preserve"> </w:t>
      </w:r>
      <w:r>
        <w:rPr>
          <w:color w:val="231F20"/>
        </w:rPr>
        <w:t>regions</w:t>
      </w:r>
      <w:r>
        <w:rPr>
          <w:color w:val="231F20"/>
          <w:spacing w:val="-11"/>
        </w:rPr>
        <w:t xml:space="preserve"> </w:t>
      </w:r>
      <w:r>
        <w:rPr>
          <w:color w:val="231F20"/>
        </w:rPr>
        <w:t>are</w:t>
      </w:r>
      <w:r>
        <w:rPr>
          <w:color w:val="231F20"/>
          <w:spacing w:val="-11"/>
        </w:rPr>
        <w:t xml:space="preserve"> </w:t>
      </w:r>
      <w:r>
        <w:rPr>
          <w:color w:val="231F20"/>
        </w:rPr>
        <w:t>likely</w:t>
      </w:r>
      <w:r>
        <w:rPr>
          <w:color w:val="231F20"/>
          <w:spacing w:val="-11"/>
        </w:rPr>
        <w:t xml:space="preserve"> </w:t>
      </w:r>
      <w:r>
        <w:rPr>
          <w:color w:val="231F20"/>
        </w:rPr>
        <w:t>to</w:t>
      </w:r>
      <w:r>
        <w:rPr>
          <w:color w:val="231F20"/>
          <w:spacing w:val="-11"/>
        </w:rPr>
        <w:t xml:space="preserve"> </w:t>
      </w:r>
      <w:r>
        <w:rPr>
          <w:color w:val="231F20"/>
        </w:rPr>
        <w:t>be</w:t>
      </w:r>
      <w:r>
        <w:rPr>
          <w:color w:val="231F20"/>
          <w:spacing w:val="-11"/>
        </w:rPr>
        <w:t xml:space="preserve"> </w:t>
      </w:r>
      <w:r>
        <w:rPr>
          <w:color w:val="231F20"/>
        </w:rPr>
        <w:t>profound</w:t>
      </w:r>
      <w:r>
        <w:rPr>
          <w:color w:val="231F20"/>
          <w:spacing w:val="-11"/>
        </w:rPr>
        <w:t xml:space="preserve"> </w:t>
      </w:r>
      <w:r>
        <w:rPr>
          <w:color w:val="231F20"/>
        </w:rPr>
        <w:t>and that more research is needed in this area.</w:t>
      </w:r>
    </w:p>
    <w:p w14:paraId="0BC4E0FB" w14:textId="77777777" w:rsidR="00AE0598" w:rsidRDefault="0069255A">
      <w:pPr>
        <w:pStyle w:val="Corpodetexto"/>
        <w:spacing w:before="25" w:line="232" w:lineRule="auto"/>
        <w:ind w:left="110" w:right="127" w:firstLine="320"/>
        <w:jc w:val="both"/>
      </w:pPr>
      <w:r>
        <w:rPr>
          <w:color w:val="231F20"/>
          <w:w w:val="95"/>
        </w:rPr>
        <w:t xml:space="preserve">A study of the potential impacts of climatic change on winter recreation in Ontario, Canada, highlights the vulnerability of four major winter sport activities (Scott </w:t>
      </w:r>
      <w:r>
        <w:rPr>
          <w:i/>
          <w:color w:val="231F20"/>
          <w:w w:val="95"/>
        </w:rPr>
        <w:t>et al</w:t>
      </w:r>
      <w:r>
        <w:rPr>
          <w:color w:val="231F20"/>
          <w:w w:val="95"/>
        </w:rPr>
        <w:t xml:space="preserve">., 2002). Even relatively small increases in temperature </w:t>
      </w:r>
      <w:r>
        <w:rPr>
          <w:color w:val="231F20"/>
        </w:rPr>
        <w:t>were</w:t>
      </w:r>
      <w:r>
        <w:rPr>
          <w:color w:val="231F20"/>
          <w:spacing w:val="-7"/>
        </w:rPr>
        <w:t xml:space="preserve"> </w:t>
      </w:r>
      <w:r>
        <w:rPr>
          <w:color w:val="231F20"/>
        </w:rPr>
        <w:t>shown</w:t>
      </w:r>
      <w:r>
        <w:rPr>
          <w:color w:val="231F20"/>
          <w:spacing w:val="-7"/>
        </w:rPr>
        <w:t xml:space="preserve"> </w:t>
      </w:r>
      <w:r>
        <w:rPr>
          <w:color w:val="231F20"/>
        </w:rPr>
        <w:t>to</w:t>
      </w:r>
      <w:r>
        <w:rPr>
          <w:color w:val="231F20"/>
          <w:spacing w:val="-7"/>
        </w:rPr>
        <w:t xml:space="preserve"> </w:t>
      </w:r>
      <w:r>
        <w:rPr>
          <w:color w:val="231F20"/>
        </w:rPr>
        <w:t>result</w:t>
      </w:r>
      <w:r>
        <w:rPr>
          <w:color w:val="231F20"/>
          <w:spacing w:val="-7"/>
        </w:rPr>
        <w:t xml:space="preserve"> </w:t>
      </w:r>
      <w:r>
        <w:rPr>
          <w:color w:val="231F20"/>
        </w:rPr>
        <w:t>in</w:t>
      </w:r>
      <w:r>
        <w:rPr>
          <w:color w:val="231F20"/>
          <w:spacing w:val="-7"/>
        </w:rPr>
        <w:t xml:space="preserve"> </w:t>
      </w:r>
      <w:r>
        <w:rPr>
          <w:color w:val="231F20"/>
        </w:rPr>
        <w:t>maj</w:t>
      </w:r>
      <w:r>
        <w:rPr>
          <w:color w:val="231F20"/>
        </w:rPr>
        <w:t>or</w:t>
      </w:r>
      <w:r>
        <w:rPr>
          <w:color w:val="231F20"/>
          <w:spacing w:val="-7"/>
        </w:rPr>
        <w:t xml:space="preserve"> </w:t>
      </w:r>
      <w:r>
        <w:rPr>
          <w:color w:val="231F20"/>
        </w:rPr>
        <w:t>decreases</w:t>
      </w:r>
      <w:r>
        <w:rPr>
          <w:color w:val="231F20"/>
          <w:spacing w:val="-7"/>
        </w:rPr>
        <w:t xml:space="preserve"> </w:t>
      </w:r>
      <w:r>
        <w:rPr>
          <w:color w:val="231F20"/>
        </w:rPr>
        <w:t>in</w:t>
      </w:r>
      <w:r>
        <w:rPr>
          <w:color w:val="231F20"/>
          <w:spacing w:val="-7"/>
        </w:rPr>
        <w:t xml:space="preserve"> </w:t>
      </w:r>
      <w:r>
        <w:rPr>
          <w:color w:val="231F20"/>
        </w:rPr>
        <w:t>Nordic</w:t>
      </w:r>
      <w:r>
        <w:rPr>
          <w:color w:val="231F20"/>
          <w:spacing w:val="-7"/>
        </w:rPr>
        <w:t xml:space="preserve"> </w:t>
      </w:r>
      <w:r>
        <w:rPr>
          <w:color w:val="231F20"/>
        </w:rPr>
        <w:t>skiing,</w:t>
      </w:r>
      <w:r>
        <w:rPr>
          <w:color w:val="231F20"/>
          <w:spacing w:val="-7"/>
        </w:rPr>
        <w:t xml:space="preserve"> </w:t>
      </w:r>
      <w:r>
        <w:rPr>
          <w:color w:val="231F20"/>
        </w:rPr>
        <w:t xml:space="preserve">snowmobiling, ice fishing and downhill skiing activities. The least affected of these activities was downhill skiing due to the availability of snow-making </w:t>
      </w:r>
      <w:r>
        <w:rPr>
          <w:color w:val="231F20"/>
          <w:w w:val="95"/>
        </w:rPr>
        <w:t>equipment that increases the range of temperatures for which snow cov</w:t>
      </w:r>
      <w:r>
        <w:rPr>
          <w:color w:val="231F20"/>
          <w:w w:val="95"/>
        </w:rPr>
        <w:t xml:space="preserve">er </w:t>
      </w:r>
      <w:r>
        <w:rPr>
          <w:color w:val="231F20"/>
        </w:rPr>
        <w:t>can</w:t>
      </w:r>
      <w:r>
        <w:rPr>
          <w:color w:val="231F20"/>
          <w:spacing w:val="19"/>
        </w:rPr>
        <w:t xml:space="preserve"> </w:t>
      </w:r>
      <w:r>
        <w:rPr>
          <w:color w:val="231F20"/>
        </w:rPr>
        <w:t>be</w:t>
      </w:r>
      <w:r>
        <w:rPr>
          <w:color w:val="231F20"/>
          <w:spacing w:val="20"/>
        </w:rPr>
        <w:t xml:space="preserve"> </w:t>
      </w:r>
      <w:r>
        <w:rPr>
          <w:color w:val="231F20"/>
        </w:rPr>
        <w:t>guaranteed.</w:t>
      </w:r>
      <w:r>
        <w:rPr>
          <w:color w:val="231F20"/>
          <w:spacing w:val="19"/>
        </w:rPr>
        <w:t xml:space="preserve"> </w:t>
      </w:r>
      <w:r>
        <w:rPr>
          <w:color w:val="231F20"/>
        </w:rPr>
        <w:t>Notwithstanding</w:t>
      </w:r>
      <w:r>
        <w:rPr>
          <w:color w:val="231F20"/>
          <w:spacing w:val="19"/>
        </w:rPr>
        <w:t xml:space="preserve"> </w:t>
      </w:r>
      <w:r>
        <w:rPr>
          <w:color w:val="231F20"/>
        </w:rPr>
        <w:t>this</w:t>
      </w:r>
      <w:r>
        <w:rPr>
          <w:color w:val="231F20"/>
          <w:spacing w:val="19"/>
        </w:rPr>
        <w:t xml:space="preserve"> </w:t>
      </w:r>
      <w:r>
        <w:rPr>
          <w:color w:val="231F20"/>
        </w:rPr>
        <w:t>technology,</w:t>
      </w:r>
      <w:r>
        <w:rPr>
          <w:color w:val="231F20"/>
          <w:spacing w:val="19"/>
        </w:rPr>
        <w:t xml:space="preserve"> </w:t>
      </w:r>
      <w:r>
        <w:rPr>
          <w:color w:val="231F20"/>
        </w:rPr>
        <w:t>a</w:t>
      </w:r>
      <w:r>
        <w:rPr>
          <w:color w:val="231F20"/>
          <w:spacing w:val="19"/>
        </w:rPr>
        <w:t xml:space="preserve"> </w:t>
      </w:r>
      <w:r>
        <w:rPr>
          <w:color w:val="231F20"/>
        </w:rPr>
        <w:t>relatively</w:t>
      </w:r>
      <w:r>
        <w:rPr>
          <w:color w:val="231F20"/>
          <w:spacing w:val="20"/>
        </w:rPr>
        <w:t xml:space="preserve"> </w:t>
      </w:r>
      <w:r>
        <w:rPr>
          <w:color w:val="231F20"/>
        </w:rPr>
        <w:t>small</w:t>
      </w:r>
    </w:p>
    <w:p w14:paraId="1AF7A892" w14:textId="77777777" w:rsidR="00AE0598" w:rsidRDefault="00AE0598">
      <w:pPr>
        <w:spacing w:line="232" w:lineRule="auto"/>
        <w:jc w:val="both"/>
        <w:sectPr w:rsidR="00AE0598">
          <w:pgSz w:w="8850" w:h="13270"/>
          <w:pgMar w:top="720" w:right="1060" w:bottom="280" w:left="1080" w:header="720" w:footer="720" w:gutter="0"/>
          <w:cols w:space="720"/>
        </w:sectPr>
      </w:pPr>
    </w:p>
    <w:p w14:paraId="2A0AB169" w14:textId="77777777" w:rsidR="00AE0598" w:rsidRDefault="0069255A">
      <w:pPr>
        <w:spacing w:before="87"/>
        <w:ind w:left="108"/>
        <w:rPr>
          <w:rFonts w:ascii="Trebuchet MS"/>
          <w:sz w:val="14"/>
        </w:rPr>
      </w:pPr>
      <w:r>
        <w:rPr>
          <w:rFonts w:ascii="Trebuchet MS"/>
          <w:color w:val="231F20"/>
          <w:w w:val="105"/>
          <w:sz w:val="14"/>
        </w:rPr>
        <w:lastRenderedPageBreak/>
        <w:t>188</w:t>
      </w:r>
      <w:r>
        <w:rPr>
          <w:rFonts w:ascii="Trebuchet MS"/>
          <w:color w:val="231F20"/>
          <w:spacing w:val="66"/>
          <w:w w:val="150"/>
          <w:sz w:val="14"/>
        </w:rPr>
        <w:t xml:space="preserve"> </w:t>
      </w:r>
      <w:r>
        <w:rPr>
          <w:rFonts w:ascii="Trebuchet MS"/>
          <w:color w:val="231F20"/>
          <w:w w:val="105"/>
          <w:sz w:val="14"/>
        </w:rPr>
        <w:t>Part</w:t>
      </w:r>
      <w:r>
        <w:rPr>
          <w:rFonts w:ascii="Trebuchet MS"/>
          <w:color w:val="231F20"/>
          <w:spacing w:val="-9"/>
          <w:w w:val="105"/>
          <w:sz w:val="14"/>
        </w:rPr>
        <w:t xml:space="preserve"> </w:t>
      </w:r>
      <w:r>
        <w:rPr>
          <w:rFonts w:ascii="Trebuchet MS"/>
          <w:color w:val="231F20"/>
          <w:w w:val="105"/>
          <w:sz w:val="14"/>
        </w:rPr>
        <w:t>4:</w:t>
      </w:r>
      <w:r>
        <w:rPr>
          <w:rFonts w:ascii="Trebuchet MS"/>
          <w:color w:val="231F20"/>
          <w:spacing w:val="-8"/>
          <w:w w:val="105"/>
          <w:sz w:val="14"/>
        </w:rPr>
        <w:t xml:space="preserve"> </w:t>
      </w:r>
      <w:r>
        <w:rPr>
          <w:rFonts w:ascii="Trebuchet MS"/>
          <w:color w:val="231F20"/>
          <w:w w:val="105"/>
          <w:sz w:val="14"/>
        </w:rPr>
        <w:t>Sport</w:t>
      </w:r>
      <w:r>
        <w:rPr>
          <w:rFonts w:ascii="Trebuchet MS"/>
          <w:color w:val="231F20"/>
          <w:spacing w:val="-9"/>
          <w:w w:val="105"/>
          <w:sz w:val="14"/>
        </w:rPr>
        <w:t xml:space="preserve"> </w:t>
      </w:r>
      <w:r>
        <w:rPr>
          <w:rFonts w:ascii="Trebuchet MS"/>
          <w:color w:val="231F20"/>
          <w:w w:val="105"/>
          <w:sz w:val="14"/>
        </w:rPr>
        <w:t>Tourism</w:t>
      </w:r>
      <w:r>
        <w:rPr>
          <w:rFonts w:ascii="Trebuchet MS"/>
          <w:color w:val="231F20"/>
          <w:spacing w:val="-9"/>
          <w:w w:val="105"/>
          <w:sz w:val="14"/>
        </w:rPr>
        <w:t xml:space="preserve"> </w:t>
      </w:r>
      <w:r>
        <w:rPr>
          <w:rFonts w:ascii="Trebuchet MS"/>
          <w:color w:val="231F20"/>
          <w:w w:val="105"/>
          <w:sz w:val="14"/>
        </w:rPr>
        <w:t>Development</w:t>
      </w:r>
      <w:r>
        <w:rPr>
          <w:rFonts w:ascii="Trebuchet MS"/>
          <w:color w:val="231F20"/>
          <w:spacing w:val="-9"/>
          <w:w w:val="105"/>
          <w:sz w:val="14"/>
        </w:rPr>
        <w:t xml:space="preserve"> </w:t>
      </w:r>
      <w:r>
        <w:rPr>
          <w:rFonts w:ascii="Trebuchet MS"/>
          <w:color w:val="231F20"/>
          <w:w w:val="105"/>
          <w:sz w:val="14"/>
        </w:rPr>
        <w:t>and</w:t>
      </w:r>
      <w:r>
        <w:rPr>
          <w:rFonts w:ascii="Trebuchet MS"/>
          <w:color w:val="231F20"/>
          <w:spacing w:val="-8"/>
          <w:w w:val="105"/>
          <w:sz w:val="14"/>
        </w:rPr>
        <w:t xml:space="preserve"> </w:t>
      </w:r>
      <w:r>
        <w:rPr>
          <w:rFonts w:ascii="Trebuchet MS"/>
          <w:color w:val="231F20"/>
          <w:spacing w:val="-4"/>
          <w:w w:val="105"/>
          <w:sz w:val="14"/>
        </w:rPr>
        <w:t>Time</w:t>
      </w:r>
    </w:p>
    <w:p w14:paraId="7744E591" w14:textId="77777777" w:rsidR="00AE0598" w:rsidRDefault="00AE0598">
      <w:pPr>
        <w:pStyle w:val="Corpodetexto"/>
        <w:rPr>
          <w:rFonts w:ascii="Trebuchet MS"/>
          <w:sz w:val="16"/>
        </w:rPr>
      </w:pPr>
    </w:p>
    <w:p w14:paraId="2927DAC2" w14:textId="77777777" w:rsidR="00AE0598" w:rsidRDefault="0069255A">
      <w:pPr>
        <w:pStyle w:val="Corpodetexto"/>
        <w:spacing w:before="118" w:line="232" w:lineRule="auto"/>
        <w:ind w:left="110" w:right="128"/>
        <w:jc w:val="both"/>
      </w:pPr>
      <w:r>
        <w:rPr>
          <w:color w:val="231F20"/>
        </w:rPr>
        <w:t xml:space="preserve">increase in temperature was shown to reduce the average ski season by </w:t>
      </w:r>
      <w:r>
        <w:rPr>
          <w:color w:val="231F20"/>
          <w:w w:val="95"/>
        </w:rPr>
        <w:t xml:space="preserve">between 21% and 34%. Given the dispersed nature of the other activities, current snow-making technology was not seen as a feasible way to mitigate </w:t>
      </w:r>
      <w:r>
        <w:rPr>
          <w:color w:val="231F20"/>
        </w:rPr>
        <w:t>the potentially drastic impacts of glob</w:t>
      </w:r>
      <w:r>
        <w:rPr>
          <w:color w:val="231F20"/>
        </w:rPr>
        <w:t>al warming in what is currently a winter-based destination.</w:t>
      </w:r>
    </w:p>
    <w:p w14:paraId="79001612" w14:textId="77777777" w:rsidR="00AE0598" w:rsidRDefault="0069255A">
      <w:pPr>
        <w:pStyle w:val="Corpodetexto"/>
        <w:spacing w:before="6" w:line="232" w:lineRule="auto"/>
        <w:ind w:left="110" w:right="125" w:firstLine="320"/>
        <w:jc w:val="both"/>
      </w:pPr>
      <w:r>
        <w:rPr>
          <w:color w:val="231F20"/>
        </w:rPr>
        <w:t xml:space="preserve">The broad-based shift of preferred tourist climates to the higher latitudes with its implications for seasonality is only part of the story. </w:t>
      </w:r>
      <w:r>
        <w:rPr>
          <w:color w:val="231F20"/>
          <w:w w:val="95"/>
        </w:rPr>
        <w:t xml:space="preserve">Specific sport tourism activities like downhill skiing </w:t>
      </w:r>
      <w:r>
        <w:rPr>
          <w:color w:val="231F20"/>
          <w:w w:val="95"/>
        </w:rPr>
        <w:t xml:space="preserve">depend on particular aspects of climate such as temperature and precipitation (Tuppen, 2000). </w:t>
      </w:r>
      <w:r>
        <w:rPr>
          <w:color w:val="231F20"/>
        </w:rPr>
        <w:t>Scott,</w:t>
      </w:r>
      <w:r>
        <w:rPr>
          <w:color w:val="231F20"/>
          <w:spacing w:val="-5"/>
        </w:rPr>
        <w:t xml:space="preserve"> </w:t>
      </w:r>
      <w:r>
        <w:rPr>
          <w:color w:val="231F20"/>
        </w:rPr>
        <w:t>McBoyle</w:t>
      </w:r>
      <w:r>
        <w:rPr>
          <w:color w:val="231F20"/>
          <w:spacing w:val="-5"/>
        </w:rPr>
        <w:t xml:space="preserve"> </w:t>
      </w:r>
      <w:r>
        <w:rPr>
          <w:color w:val="231F20"/>
        </w:rPr>
        <w:t>&amp;</w:t>
      </w:r>
      <w:r>
        <w:rPr>
          <w:color w:val="231F20"/>
          <w:spacing w:val="-5"/>
        </w:rPr>
        <w:t xml:space="preserve"> </w:t>
      </w:r>
      <w:r>
        <w:rPr>
          <w:color w:val="231F20"/>
        </w:rPr>
        <w:t>Minogue</w:t>
      </w:r>
      <w:r>
        <w:rPr>
          <w:color w:val="231F20"/>
          <w:spacing w:val="-5"/>
        </w:rPr>
        <w:t xml:space="preserve"> </w:t>
      </w:r>
      <w:r>
        <w:rPr>
          <w:color w:val="231F20"/>
        </w:rPr>
        <w:t>(2007)</w:t>
      </w:r>
      <w:r>
        <w:rPr>
          <w:color w:val="231F20"/>
          <w:spacing w:val="-5"/>
        </w:rPr>
        <w:t xml:space="preserve"> </w:t>
      </w:r>
      <w:r>
        <w:rPr>
          <w:color w:val="231F20"/>
        </w:rPr>
        <w:t>suggest</w:t>
      </w:r>
      <w:r>
        <w:rPr>
          <w:color w:val="231F20"/>
          <w:spacing w:val="-5"/>
        </w:rPr>
        <w:t xml:space="preserve"> </w:t>
      </w:r>
      <w:r>
        <w:rPr>
          <w:color w:val="231F20"/>
        </w:rPr>
        <w:t>that</w:t>
      </w:r>
      <w:r>
        <w:rPr>
          <w:color w:val="231F20"/>
          <w:spacing w:val="-5"/>
        </w:rPr>
        <w:t xml:space="preserve"> </w:t>
      </w:r>
      <w:r>
        <w:rPr>
          <w:color w:val="231F20"/>
        </w:rPr>
        <w:t>the</w:t>
      </w:r>
      <w:r>
        <w:rPr>
          <w:color w:val="231F20"/>
          <w:spacing w:val="-5"/>
        </w:rPr>
        <w:t xml:space="preserve"> </w:t>
      </w:r>
      <w:r>
        <w:rPr>
          <w:color w:val="231F20"/>
        </w:rPr>
        <w:t>desired</w:t>
      </w:r>
      <w:r>
        <w:rPr>
          <w:color w:val="231F20"/>
          <w:spacing w:val="-5"/>
        </w:rPr>
        <w:t xml:space="preserve"> </w:t>
      </w:r>
      <w:r>
        <w:rPr>
          <w:color w:val="231F20"/>
        </w:rPr>
        <w:t>conditions</w:t>
      </w:r>
      <w:r>
        <w:rPr>
          <w:color w:val="231F20"/>
          <w:spacing w:val="-5"/>
        </w:rPr>
        <w:t xml:space="preserve"> </w:t>
      </w:r>
      <w:r>
        <w:rPr>
          <w:color w:val="231F20"/>
        </w:rPr>
        <w:t xml:space="preserve">for </w:t>
      </w:r>
      <w:r>
        <w:rPr>
          <w:color w:val="231F20"/>
          <w:w w:val="95"/>
        </w:rPr>
        <w:t>such activities will not only shift to the higher latitudes but will shift to the higher a</w:t>
      </w:r>
      <w:r>
        <w:rPr>
          <w:color w:val="231F20"/>
          <w:w w:val="95"/>
        </w:rPr>
        <w:t>lpine elevations (Case Study 9.1). Despite a variety of</w:t>
      </w:r>
      <w:r>
        <w:rPr>
          <w:color w:val="231F20"/>
        </w:rPr>
        <w:t xml:space="preserve"> </w:t>
      </w:r>
      <w:r>
        <w:rPr>
          <w:color w:val="231F20"/>
          <w:w w:val="95"/>
        </w:rPr>
        <w:t xml:space="preserve">management strategies designed to address these issues, the ski season in most locations </w:t>
      </w:r>
      <w:r>
        <w:rPr>
          <w:color w:val="231F20"/>
        </w:rPr>
        <w:t>is shifting.</w:t>
      </w:r>
    </w:p>
    <w:p w14:paraId="135BA954" w14:textId="77777777" w:rsidR="00AE0598" w:rsidRDefault="0069255A">
      <w:pPr>
        <w:pStyle w:val="Corpodetexto"/>
        <w:spacing w:before="11" w:line="232" w:lineRule="auto"/>
        <w:ind w:left="110" w:right="125" w:firstLine="320"/>
        <w:jc w:val="both"/>
      </w:pPr>
      <w:r>
        <w:rPr>
          <w:color w:val="231F20"/>
        </w:rPr>
        <w:t xml:space="preserve">The relative degree to which the seasonal impacts of climate change </w:t>
      </w:r>
      <w:r>
        <w:rPr>
          <w:color w:val="231F20"/>
          <w:w w:val="95"/>
        </w:rPr>
        <w:t xml:space="preserve">are manifest in a spatial (e.g. shifts to the higher latitudes) or in a temporal </w:t>
      </w:r>
      <w:r>
        <w:rPr>
          <w:color w:val="231F20"/>
        </w:rPr>
        <w:t>(shifts across the calendar year) manner is difficult to predict and will</w:t>
      </w:r>
      <w:r>
        <w:rPr>
          <w:color w:val="231F20"/>
          <w:spacing w:val="40"/>
        </w:rPr>
        <w:t xml:space="preserve"> </w:t>
      </w:r>
      <w:r>
        <w:rPr>
          <w:color w:val="231F20"/>
        </w:rPr>
        <w:t>be regionally variable. To a large extent, this depends on whether the institutional</w:t>
      </w:r>
      <w:r>
        <w:rPr>
          <w:color w:val="231F20"/>
          <w:spacing w:val="-3"/>
        </w:rPr>
        <w:t xml:space="preserve"> </w:t>
      </w:r>
      <w:r>
        <w:rPr>
          <w:color w:val="231F20"/>
        </w:rPr>
        <w:t>factors</w:t>
      </w:r>
      <w:r>
        <w:rPr>
          <w:color w:val="231F20"/>
          <w:spacing w:val="-3"/>
        </w:rPr>
        <w:t xml:space="preserve"> </w:t>
      </w:r>
      <w:r>
        <w:rPr>
          <w:color w:val="231F20"/>
        </w:rPr>
        <w:t>that</w:t>
      </w:r>
      <w:r>
        <w:rPr>
          <w:color w:val="231F20"/>
          <w:spacing w:val="-3"/>
        </w:rPr>
        <w:t xml:space="preserve"> </w:t>
      </w:r>
      <w:r>
        <w:rPr>
          <w:color w:val="231F20"/>
        </w:rPr>
        <w:t>sha</w:t>
      </w:r>
      <w:r>
        <w:rPr>
          <w:color w:val="231F20"/>
        </w:rPr>
        <w:t>pe</w:t>
      </w:r>
      <w:r>
        <w:rPr>
          <w:color w:val="231F20"/>
          <w:spacing w:val="-3"/>
        </w:rPr>
        <w:t xml:space="preserve"> </w:t>
      </w:r>
      <w:r>
        <w:rPr>
          <w:color w:val="231F20"/>
        </w:rPr>
        <w:t>tourism</w:t>
      </w:r>
      <w:r>
        <w:rPr>
          <w:color w:val="231F20"/>
          <w:spacing w:val="-3"/>
        </w:rPr>
        <w:t xml:space="preserve"> </w:t>
      </w:r>
      <w:r>
        <w:rPr>
          <w:color w:val="231F20"/>
        </w:rPr>
        <w:t>seasonality</w:t>
      </w:r>
      <w:r>
        <w:rPr>
          <w:color w:val="231F20"/>
          <w:spacing w:val="-3"/>
        </w:rPr>
        <w:t xml:space="preserve"> </w:t>
      </w:r>
      <w:r>
        <w:rPr>
          <w:color w:val="231F20"/>
        </w:rPr>
        <w:t>discussed</w:t>
      </w:r>
      <w:r>
        <w:rPr>
          <w:color w:val="231F20"/>
          <w:spacing w:val="-3"/>
        </w:rPr>
        <w:t xml:space="preserve"> </w:t>
      </w:r>
      <w:r>
        <w:rPr>
          <w:color w:val="231F20"/>
        </w:rPr>
        <w:t>earlier</w:t>
      </w:r>
      <w:r>
        <w:rPr>
          <w:color w:val="231F20"/>
          <w:spacing w:val="-3"/>
        </w:rPr>
        <w:t xml:space="preserve"> </w:t>
      </w:r>
      <w:r>
        <w:rPr>
          <w:color w:val="231F20"/>
        </w:rPr>
        <w:t>are flexible</w:t>
      </w:r>
      <w:r>
        <w:rPr>
          <w:color w:val="231F20"/>
          <w:spacing w:val="-1"/>
        </w:rPr>
        <w:t xml:space="preserve"> </w:t>
      </w:r>
      <w:r>
        <w:rPr>
          <w:color w:val="231F20"/>
        </w:rPr>
        <w:t>or</w:t>
      </w:r>
      <w:r>
        <w:rPr>
          <w:color w:val="231F20"/>
          <w:spacing w:val="-1"/>
        </w:rPr>
        <w:t xml:space="preserve"> </w:t>
      </w:r>
      <w:r>
        <w:rPr>
          <w:color w:val="231F20"/>
        </w:rPr>
        <w:t>not.</w:t>
      </w:r>
      <w:r>
        <w:rPr>
          <w:color w:val="231F20"/>
          <w:spacing w:val="-1"/>
        </w:rPr>
        <w:t xml:space="preserve"> </w:t>
      </w:r>
      <w:r>
        <w:rPr>
          <w:color w:val="231F20"/>
        </w:rPr>
        <w:t>If</w:t>
      </w:r>
      <w:r>
        <w:rPr>
          <w:color w:val="231F20"/>
          <w:spacing w:val="-1"/>
        </w:rPr>
        <w:t xml:space="preserve"> </w:t>
      </w:r>
      <w:r>
        <w:rPr>
          <w:color w:val="231F20"/>
        </w:rPr>
        <w:t>these</w:t>
      </w:r>
      <w:r>
        <w:rPr>
          <w:color w:val="231F20"/>
          <w:spacing w:val="-1"/>
        </w:rPr>
        <w:t xml:space="preserve"> </w:t>
      </w:r>
      <w:r>
        <w:rPr>
          <w:color w:val="231F20"/>
        </w:rPr>
        <w:t>factors</w:t>
      </w:r>
      <w:r>
        <w:rPr>
          <w:color w:val="231F20"/>
          <w:spacing w:val="-1"/>
        </w:rPr>
        <w:t xml:space="preserve"> </w:t>
      </w:r>
      <w:r>
        <w:rPr>
          <w:color w:val="231F20"/>
        </w:rPr>
        <w:t>prove</w:t>
      </w:r>
      <w:r>
        <w:rPr>
          <w:color w:val="231F20"/>
          <w:spacing w:val="-1"/>
        </w:rPr>
        <w:t xml:space="preserve"> </w:t>
      </w:r>
      <w:r>
        <w:rPr>
          <w:color w:val="231F20"/>
        </w:rPr>
        <w:t>to</w:t>
      </w:r>
      <w:r>
        <w:rPr>
          <w:color w:val="231F20"/>
          <w:spacing w:val="-1"/>
        </w:rPr>
        <w:t xml:space="preserve"> </w:t>
      </w:r>
      <w:r>
        <w:rPr>
          <w:color w:val="231F20"/>
        </w:rPr>
        <w:t>be</w:t>
      </w:r>
      <w:r>
        <w:rPr>
          <w:color w:val="231F20"/>
          <w:spacing w:val="-1"/>
        </w:rPr>
        <w:t xml:space="preserve"> </w:t>
      </w:r>
      <w:r>
        <w:rPr>
          <w:color w:val="231F20"/>
        </w:rPr>
        <w:t>inflexible</w:t>
      </w:r>
      <w:r>
        <w:rPr>
          <w:color w:val="231F20"/>
          <w:spacing w:val="-1"/>
        </w:rPr>
        <w:t xml:space="preserve"> </w:t>
      </w:r>
      <w:r>
        <w:rPr>
          <w:color w:val="231F20"/>
        </w:rPr>
        <w:t>then climate</w:t>
      </w:r>
      <w:r>
        <w:rPr>
          <w:color w:val="231F20"/>
          <w:spacing w:val="-1"/>
        </w:rPr>
        <w:t xml:space="preserve"> </w:t>
      </w:r>
      <w:r>
        <w:rPr>
          <w:color w:val="231F20"/>
        </w:rPr>
        <w:t>change is</w:t>
      </w:r>
      <w:r>
        <w:rPr>
          <w:color w:val="231F20"/>
          <w:spacing w:val="-3"/>
        </w:rPr>
        <w:t xml:space="preserve"> </w:t>
      </w:r>
      <w:r>
        <w:rPr>
          <w:color w:val="231F20"/>
        </w:rPr>
        <w:t>likely</w:t>
      </w:r>
      <w:r>
        <w:rPr>
          <w:color w:val="231F20"/>
          <w:spacing w:val="-3"/>
        </w:rPr>
        <w:t xml:space="preserve"> </w:t>
      </w:r>
      <w:r>
        <w:rPr>
          <w:color w:val="231F20"/>
        </w:rPr>
        <w:t>to</w:t>
      </w:r>
      <w:r>
        <w:rPr>
          <w:color w:val="231F20"/>
          <w:spacing w:val="-3"/>
        </w:rPr>
        <w:t xml:space="preserve"> </w:t>
      </w:r>
      <w:r>
        <w:rPr>
          <w:color w:val="231F20"/>
        </w:rPr>
        <w:t>have</w:t>
      </w:r>
      <w:r>
        <w:rPr>
          <w:color w:val="231F20"/>
          <w:spacing w:val="-3"/>
        </w:rPr>
        <w:t xml:space="preserve"> </w:t>
      </w:r>
      <w:r>
        <w:rPr>
          <w:color w:val="231F20"/>
        </w:rPr>
        <w:t>a</w:t>
      </w:r>
      <w:r>
        <w:rPr>
          <w:color w:val="231F20"/>
          <w:spacing w:val="-3"/>
        </w:rPr>
        <w:t xml:space="preserve"> </w:t>
      </w:r>
      <w:r>
        <w:rPr>
          <w:color w:val="231F20"/>
        </w:rPr>
        <w:t>spatial</w:t>
      </w:r>
      <w:r>
        <w:rPr>
          <w:color w:val="231F20"/>
          <w:spacing w:val="-3"/>
        </w:rPr>
        <w:t xml:space="preserve"> </w:t>
      </w:r>
      <w:r>
        <w:rPr>
          <w:color w:val="231F20"/>
        </w:rPr>
        <w:t>impact</w:t>
      </w:r>
      <w:r>
        <w:rPr>
          <w:color w:val="231F20"/>
          <w:spacing w:val="-3"/>
        </w:rPr>
        <w:t xml:space="preserve"> </w:t>
      </w:r>
      <w:r>
        <w:rPr>
          <w:color w:val="231F20"/>
        </w:rPr>
        <w:t>on</w:t>
      </w:r>
      <w:r>
        <w:rPr>
          <w:color w:val="231F20"/>
          <w:spacing w:val="-3"/>
        </w:rPr>
        <w:t xml:space="preserve"> </w:t>
      </w:r>
      <w:r>
        <w:rPr>
          <w:color w:val="231F20"/>
        </w:rPr>
        <w:t>tourist</w:t>
      </w:r>
      <w:r>
        <w:rPr>
          <w:color w:val="231F20"/>
          <w:spacing w:val="-3"/>
        </w:rPr>
        <w:t xml:space="preserve"> </w:t>
      </w:r>
      <w:r>
        <w:rPr>
          <w:color w:val="231F20"/>
        </w:rPr>
        <w:t>flows,</w:t>
      </w:r>
      <w:r>
        <w:rPr>
          <w:color w:val="231F20"/>
          <w:spacing w:val="-3"/>
        </w:rPr>
        <w:t xml:space="preserve"> </w:t>
      </w:r>
      <w:r>
        <w:rPr>
          <w:color w:val="231F20"/>
        </w:rPr>
        <w:t>whereas</w:t>
      </w:r>
      <w:r>
        <w:rPr>
          <w:color w:val="231F20"/>
          <w:spacing w:val="-3"/>
        </w:rPr>
        <w:t xml:space="preserve"> </w:t>
      </w:r>
      <w:r>
        <w:rPr>
          <w:color w:val="231F20"/>
        </w:rPr>
        <w:t>if</w:t>
      </w:r>
      <w:r>
        <w:rPr>
          <w:color w:val="231F20"/>
          <w:spacing w:val="-3"/>
        </w:rPr>
        <w:t xml:space="preserve"> </w:t>
      </w:r>
      <w:r>
        <w:rPr>
          <w:color w:val="231F20"/>
        </w:rPr>
        <w:t xml:space="preserve">institutional factors are flexible, a temporal impact on travel flows </w:t>
      </w:r>
      <w:r>
        <w:rPr>
          <w:color w:val="231F20"/>
        </w:rPr>
        <w:t xml:space="preserve">is more likely to occur (Amelung </w:t>
      </w:r>
      <w:r>
        <w:rPr>
          <w:i/>
          <w:color w:val="231F20"/>
        </w:rPr>
        <w:t>et al</w:t>
      </w:r>
      <w:r>
        <w:rPr>
          <w:color w:val="231F20"/>
        </w:rPr>
        <w:t>., 2007).</w:t>
      </w:r>
    </w:p>
    <w:p w14:paraId="3E7BA780" w14:textId="2367C74A" w:rsidR="00AE0598" w:rsidRDefault="0069255A">
      <w:pPr>
        <w:pStyle w:val="Corpodetexto"/>
        <w:spacing w:before="9"/>
        <w:rPr>
          <w:sz w:val="29"/>
        </w:rPr>
      </w:pPr>
      <w:r>
        <w:rPr>
          <w:noProof/>
        </w:rPr>
        <mc:AlternateContent>
          <mc:Choice Requires="wps">
            <w:drawing>
              <wp:anchor distT="0" distB="0" distL="0" distR="0" simplePos="0" relativeHeight="487680000" behindDoc="1" locked="0" layoutInCell="1" allowOverlap="1" wp14:anchorId="7F699AD4" wp14:editId="4120D3BD">
                <wp:simplePos x="0" y="0"/>
                <wp:positionH relativeFrom="page">
                  <wp:posOffset>754380</wp:posOffset>
                </wp:positionH>
                <wp:positionV relativeFrom="paragraph">
                  <wp:posOffset>236855</wp:posOffset>
                </wp:positionV>
                <wp:extent cx="4104005" cy="3003550"/>
                <wp:effectExtent l="0" t="0" r="0" b="0"/>
                <wp:wrapTopAndBottom/>
                <wp:docPr id="81" name="docshape2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04005" cy="3003550"/>
                        </a:xfrm>
                        <a:prstGeom prst="rect">
                          <a:avLst/>
                        </a:prstGeom>
                        <a:solidFill>
                          <a:srgbClr val="DCDDD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6F476AA" w14:textId="77777777" w:rsidR="00AE0598" w:rsidRDefault="0069255A">
                            <w:pPr>
                              <w:spacing w:before="85" w:line="247" w:lineRule="auto"/>
                              <w:ind w:left="123" w:right="1702"/>
                              <w:jc w:val="both"/>
                              <w:rPr>
                                <w:rFonts w:ascii="Trebuchet MS"/>
                                <w:color w:val="000000"/>
                                <w:sz w:val="20"/>
                              </w:rPr>
                            </w:pPr>
                            <w:r>
                              <w:rPr>
                                <w:rFonts w:ascii="Trebuchet MS"/>
                                <w:color w:val="231F20"/>
                                <w:spacing w:val="-2"/>
                                <w:w w:val="105"/>
                                <w:sz w:val="20"/>
                              </w:rPr>
                              <w:t>Case</w:t>
                            </w:r>
                            <w:r>
                              <w:rPr>
                                <w:rFonts w:ascii="Trebuchet MS"/>
                                <w:color w:val="231F20"/>
                                <w:spacing w:val="-10"/>
                                <w:w w:val="105"/>
                                <w:sz w:val="20"/>
                              </w:rPr>
                              <w:t xml:space="preserve"> </w:t>
                            </w:r>
                            <w:r>
                              <w:rPr>
                                <w:rFonts w:ascii="Trebuchet MS"/>
                                <w:color w:val="231F20"/>
                                <w:spacing w:val="-2"/>
                                <w:w w:val="105"/>
                                <w:sz w:val="20"/>
                              </w:rPr>
                              <w:t>Study</w:t>
                            </w:r>
                            <w:r>
                              <w:rPr>
                                <w:rFonts w:ascii="Trebuchet MS"/>
                                <w:color w:val="231F20"/>
                                <w:spacing w:val="-10"/>
                                <w:w w:val="105"/>
                                <w:sz w:val="20"/>
                              </w:rPr>
                              <w:t xml:space="preserve"> </w:t>
                            </w:r>
                            <w:r>
                              <w:rPr>
                                <w:rFonts w:ascii="Trebuchet MS"/>
                                <w:color w:val="231F20"/>
                                <w:spacing w:val="-2"/>
                                <w:w w:val="105"/>
                                <w:sz w:val="20"/>
                              </w:rPr>
                              <w:t>9.1:</w:t>
                            </w:r>
                            <w:r>
                              <w:rPr>
                                <w:rFonts w:ascii="Trebuchet MS"/>
                                <w:color w:val="231F20"/>
                                <w:spacing w:val="-10"/>
                                <w:w w:val="105"/>
                                <w:sz w:val="20"/>
                              </w:rPr>
                              <w:t xml:space="preserve"> </w:t>
                            </w:r>
                            <w:r>
                              <w:rPr>
                                <w:rFonts w:ascii="Trebuchet MS"/>
                                <w:color w:val="231F20"/>
                                <w:spacing w:val="-2"/>
                                <w:w w:val="105"/>
                                <w:sz w:val="20"/>
                              </w:rPr>
                              <w:t>Climate</w:t>
                            </w:r>
                            <w:r>
                              <w:rPr>
                                <w:rFonts w:ascii="Trebuchet MS"/>
                                <w:color w:val="231F20"/>
                                <w:spacing w:val="-10"/>
                                <w:w w:val="105"/>
                                <w:sz w:val="20"/>
                              </w:rPr>
                              <w:t xml:space="preserve"> </w:t>
                            </w:r>
                            <w:r>
                              <w:rPr>
                                <w:rFonts w:ascii="Trebuchet MS"/>
                                <w:color w:val="231F20"/>
                                <w:spacing w:val="-2"/>
                                <w:w w:val="105"/>
                                <w:sz w:val="20"/>
                              </w:rPr>
                              <w:t>Challenges</w:t>
                            </w:r>
                            <w:r>
                              <w:rPr>
                                <w:rFonts w:ascii="Trebuchet MS"/>
                                <w:color w:val="231F20"/>
                                <w:spacing w:val="-10"/>
                                <w:w w:val="105"/>
                                <w:sz w:val="20"/>
                              </w:rPr>
                              <w:t xml:space="preserve"> </w:t>
                            </w:r>
                            <w:r>
                              <w:rPr>
                                <w:rFonts w:ascii="Trebuchet MS"/>
                                <w:color w:val="231F20"/>
                                <w:spacing w:val="-2"/>
                                <w:w w:val="105"/>
                                <w:sz w:val="20"/>
                              </w:rPr>
                              <w:t>and</w:t>
                            </w:r>
                            <w:r>
                              <w:rPr>
                                <w:rFonts w:ascii="Trebuchet MS"/>
                                <w:color w:val="231F20"/>
                                <w:spacing w:val="-10"/>
                                <w:w w:val="105"/>
                                <w:sz w:val="20"/>
                              </w:rPr>
                              <w:t xml:space="preserve"> </w:t>
                            </w:r>
                            <w:r>
                              <w:rPr>
                                <w:rFonts w:ascii="Trebuchet MS"/>
                                <w:color w:val="231F20"/>
                                <w:spacing w:val="-2"/>
                                <w:w w:val="105"/>
                                <w:sz w:val="20"/>
                              </w:rPr>
                              <w:t xml:space="preserve">Responses </w:t>
                            </w:r>
                            <w:r>
                              <w:rPr>
                                <w:rFonts w:ascii="Trebuchet MS"/>
                                <w:color w:val="231F20"/>
                                <w:w w:val="105"/>
                                <w:sz w:val="20"/>
                              </w:rPr>
                              <w:t>by the Ski Industry</w:t>
                            </w:r>
                          </w:p>
                          <w:p w14:paraId="1B794FA5" w14:textId="77777777" w:rsidR="00AE0598" w:rsidRDefault="0069255A">
                            <w:pPr>
                              <w:pStyle w:val="Corpodetexto"/>
                              <w:spacing w:before="110"/>
                              <w:ind w:left="123"/>
                              <w:jc w:val="both"/>
                              <w:rPr>
                                <w:color w:val="000000"/>
                              </w:rPr>
                            </w:pPr>
                            <w:r>
                              <w:rPr>
                                <w:color w:val="231F20"/>
                                <w:w w:val="95"/>
                              </w:rPr>
                              <w:t>Robert</w:t>
                            </w:r>
                            <w:r>
                              <w:rPr>
                                <w:color w:val="231F20"/>
                                <w:spacing w:val="13"/>
                              </w:rPr>
                              <w:t xml:space="preserve"> </w:t>
                            </w:r>
                            <w:r>
                              <w:rPr>
                                <w:color w:val="231F20"/>
                                <w:w w:val="95"/>
                              </w:rPr>
                              <w:t>Steiger,</w:t>
                            </w:r>
                            <w:r>
                              <w:rPr>
                                <w:color w:val="231F20"/>
                                <w:spacing w:val="14"/>
                              </w:rPr>
                              <w:t xml:space="preserve"> </w:t>
                            </w:r>
                            <w:r>
                              <w:rPr>
                                <w:color w:val="231F20"/>
                                <w:w w:val="95"/>
                              </w:rPr>
                              <w:t>University</w:t>
                            </w:r>
                            <w:r>
                              <w:rPr>
                                <w:color w:val="231F20"/>
                                <w:spacing w:val="14"/>
                              </w:rPr>
                              <w:t xml:space="preserve"> </w:t>
                            </w:r>
                            <w:r>
                              <w:rPr>
                                <w:color w:val="231F20"/>
                                <w:w w:val="95"/>
                              </w:rPr>
                              <w:t>of</w:t>
                            </w:r>
                            <w:r>
                              <w:rPr>
                                <w:color w:val="231F20"/>
                                <w:spacing w:val="12"/>
                              </w:rPr>
                              <w:t xml:space="preserve"> </w:t>
                            </w:r>
                            <w:r>
                              <w:rPr>
                                <w:color w:val="231F20"/>
                                <w:spacing w:val="-2"/>
                                <w:w w:val="95"/>
                              </w:rPr>
                              <w:t>Innsbruck</w:t>
                            </w:r>
                          </w:p>
                          <w:p w14:paraId="17F13866" w14:textId="77777777" w:rsidR="00AE0598" w:rsidRDefault="0069255A">
                            <w:pPr>
                              <w:pStyle w:val="Corpodetexto"/>
                              <w:spacing w:before="120" w:line="232" w:lineRule="auto"/>
                              <w:ind w:left="123" w:right="117" w:firstLine="320"/>
                              <w:jc w:val="both"/>
                              <w:rPr>
                                <w:color w:val="000000"/>
                              </w:rPr>
                            </w:pPr>
                            <w:r>
                              <w:rPr>
                                <w:color w:val="231F20"/>
                                <w:w w:val="95"/>
                              </w:rPr>
                              <w:t xml:space="preserve">Snow is an indispensable resource for mountain destinations in the winter season. Climate change alters the amount of snowfall (decrease) </w:t>
                            </w:r>
                            <w:r>
                              <w:rPr>
                                <w:color w:val="231F20"/>
                              </w:rPr>
                              <w:t>and</w:t>
                            </w:r>
                            <w:r>
                              <w:rPr>
                                <w:color w:val="231F20"/>
                                <w:spacing w:val="-9"/>
                              </w:rPr>
                              <w:t xml:space="preserve"> </w:t>
                            </w:r>
                            <w:r>
                              <w:rPr>
                                <w:color w:val="231F20"/>
                              </w:rPr>
                              <w:t>snow</w:t>
                            </w:r>
                            <w:r>
                              <w:rPr>
                                <w:color w:val="231F20"/>
                                <w:spacing w:val="-9"/>
                              </w:rPr>
                              <w:t xml:space="preserve"> </w:t>
                            </w:r>
                            <w:r>
                              <w:rPr>
                                <w:color w:val="231F20"/>
                              </w:rPr>
                              <w:t>melt</w:t>
                            </w:r>
                            <w:r>
                              <w:rPr>
                                <w:color w:val="231F20"/>
                                <w:spacing w:val="-9"/>
                              </w:rPr>
                              <w:t xml:space="preserve"> </w:t>
                            </w:r>
                            <w:r>
                              <w:rPr>
                                <w:color w:val="231F20"/>
                              </w:rPr>
                              <w:t>(increase),</w:t>
                            </w:r>
                            <w:r>
                              <w:rPr>
                                <w:color w:val="231F20"/>
                                <w:spacing w:val="-9"/>
                              </w:rPr>
                              <w:t xml:space="preserve"> </w:t>
                            </w:r>
                            <w:r>
                              <w:rPr>
                                <w:color w:val="231F20"/>
                              </w:rPr>
                              <w:t>influencing</w:t>
                            </w:r>
                            <w:r>
                              <w:rPr>
                                <w:color w:val="231F20"/>
                                <w:spacing w:val="-9"/>
                              </w:rPr>
                              <w:t xml:space="preserve"> </w:t>
                            </w:r>
                            <w:r>
                              <w:rPr>
                                <w:color w:val="231F20"/>
                              </w:rPr>
                              <w:t>the</w:t>
                            </w:r>
                            <w:r>
                              <w:rPr>
                                <w:color w:val="231F20"/>
                                <w:spacing w:val="-9"/>
                              </w:rPr>
                              <w:t xml:space="preserve"> </w:t>
                            </w:r>
                            <w:r>
                              <w:rPr>
                                <w:color w:val="231F20"/>
                              </w:rPr>
                              <w:t>average</w:t>
                            </w:r>
                            <w:r>
                              <w:rPr>
                                <w:color w:val="231F20"/>
                                <w:spacing w:val="-9"/>
                              </w:rPr>
                              <w:t xml:space="preserve"> </w:t>
                            </w:r>
                            <w:r>
                              <w:rPr>
                                <w:color w:val="231F20"/>
                              </w:rPr>
                              <w:t>snow</w:t>
                            </w:r>
                            <w:r>
                              <w:rPr>
                                <w:color w:val="231F20"/>
                                <w:spacing w:val="-9"/>
                              </w:rPr>
                              <w:t xml:space="preserve"> </w:t>
                            </w:r>
                            <w:r>
                              <w:rPr>
                                <w:color w:val="231F20"/>
                              </w:rPr>
                              <w:t>depth</w:t>
                            </w:r>
                            <w:r>
                              <w:rPr>
                                <w:color w:val="231F20"/>
                                <w:spacing w:val="-9"/>
                              </w:rPr>
                              <w:t xml:space="preserve"> </w:t>
                            </w:r>
                            <w:r>
                              <w:rPr>
                                <w:color w:val="231F20"/>
                              </w:rPr>
                              <w:t>and</w:t>
                            </w:r>
                            <w:r>
                              <w:rPr>
                                <w:color w:val="231F20"/>
                                <w:spacing w:val="-9"/>
                              </w:rPr>
                              <w:t xml:space="preserve"> </w:t>
                            </w:r>
                            <w:r>
                              <w:rPr>
                                <w:color w:val="231F20"/>
                              </w:rPr>
                              <w:t>the length</w:t>
                            </w:r>
                            <w:r>
                              <w:rPr>
                                <w:color w:val="231F20"/>
                                <w:spacing w:val="-1"/>
                              </w:rPr>
                              <w:t xml:space="preserve"> </w:t>
                            </w:r>
                            <w:r>
                              <w:rPr>
                                <w:color w:val="231F20"/>
                              </w:rPr>
                              <w:t>of</w:t>
                            </w:r>
                            <w:r>
                              <w:rPr>
                                <w:color w:val="231F20"/>
                                <w:spacing w:val="-1"/>
                              </w:rPr>
                              <w:t xml:space="preserve"> </w:t>
                            </w:r>
                            <w:r>
                              <w:rPr>
                                <w:color w:val="231F20"/>
                              </w:rPr>
                              <w:t>the</w:t>
                            </w:r>
                            <w:r>
                              <w:rPr>
                                <w:color w:val="231F20"/>
                                <w:spacing w:val="-1"/>
                              </w:rPr>
                              <w:t xml:space="preserve"> </w:t>
                            </w:r>
                            <w:r>
                              <w:rPr>
                                <w:color w:val="231F20"/>
                              </w:rPr>
                              <w:t>snow</w:t>
                            </w:r>
                            <w:r>
                              <w:rPr>
                                <w:color w:val="231F20"/>
                                <w:spacing w:val="-1"/>
                              </w:rPr>
                              <w:t xml:space="preserve"> </w:t>
                            </w:r>
                            <w:r>
                              <w:rPr>
                                <w:color w:val="231F20"/>
                              </w:rPr>
                              <w:t>season.</w:t>
                            </w:r>
                            <w:r>
                              <w:rPr>
                                <w:color w:val="231F20"/>
                                <w:spacing w:val="-1"/>
                              </w:rPr>
                              <w:t xml:space="preserve"> </w:t>
                            </w:r>
                            <w:r>
                              <w:rPr>
                                <w:color w:val="231F20"/>
                              </w:rPr>
                              <w:t>Any</w:t>
                            </w:r>
                            <w:r>
                              <w:rPr>
                                <w:color w:val="231F20"/>
                                <w:spacing w:val="-1"/>
                              </w:rPr>
                              <w:t xml:space="preserve"> </w:t>
                            </w:r>
                            <w:r>
                              <w:rPr>
                                <w:color w:val="231F20"/>
                              </w:rPr>
                              <w:t>impact</w:t>
                            </w:r>
                            <w:r>
                              <w:rPr>
                                <w:color w:val="231F20"/>
                                <w:spacing w:val="-1"/>
                              </w:rPr>
                              <w:t xml:space="preserve"> </w:t>
                            </w:r>
                            <w:r>
                              <w:rPr>
                                <w:color w:val="231F20"/>
                              </w:rPr>
                              <w:t>of</w:t>
                            </w:r>
                            <w:r>
                              <w:rPr>
                                <w:color w:val="231F20"/>
                                <w:spacing w:val="-1"/>
                              </w:rPr>
                              <w:t xml:space="preserve"> </w:t>
                            </w:r>
                            <w:r>
                              <w:rPr>
                                <w:color w:val="231F20"/>
                              </w:rPr>
                              <w:t>climate</w:t>
                            </w:r>
                            <w:r>
                              <w:rPr>
                                <w:color w:val="231F20"/>
                                <w:spacing w:val="-1"/>
                              </w:rPr>
                              <w:t xml:space="preserve"> </w:t>
                            </w:r>
                            <w:r>
                              <w:rPr>
                                <w:color w:val="231F20"/>
                              </w:rPr>
                              <w:t>change</w:t>
                            </w:r>
                            <w:r>
                              <w:rPr>
                                <w:color w:val="231F20"/>
                                <w:spacing w:val="-1"/>
                              </w:rPr>
                              <w:t xml:space="preserve"> </w:t>
                            </w:r>
                            <w:r>
                              <w:rPr>
                                <w:color w:val="231F20"/>
                              </w:rPr>
                              <w:t>on</w:t>
                            </w:r>
                            <w:r>
                              <w:rPr>
                                <w:color w:val="231F20"/>
                                <w:spacing w:val="-1"/>
                              </w:rPr>
                              <w:t xml:space="preserve"> </w:t>
                            </w:r>
                            <w:r>
                              <w:rPr>
                                <w:color w:val="231F20"/>
                              </w:rPr>
                              <w:t>this</w:t>
                            </w:r>
                            <w:r>
                              <w:rPr>
                                <w:color w:val="231F20"/>
                                <w:spacing w:val="-1"/>
                              </w:rPr>
                              <w:t xml:space="preserve"> </w:t>
                            </w:r>
                            <w:r>
                              <w:rPr>
                                <w:color w:val="231F20"/>
                              </w:rPr>
                              <w:t xml:space="preserve">basic resource is a potential stressor for snow-dependent resorts. But the </w:t>
                            </w:r>
                            <w:r>
                              <w:rPr>
                                <w:color w:val="231F20"/>
                                <w:w w:val="95"/>
                              </w:rPr>
                              <w:t xml:space="preserve">impact differs between latitude and elevation and also within relatively </w:t>
                            </w:r>
                            <w:r>
                              <w:rPr>
                                <w:color w:val="231F20"/>
                              </w:rPr>
                              <w:t>small regions due to the climatic heterogeneity of mountain regions (Steiger,</w:t>
                            </w:r>
                            <w:r>
                              <w:rPr>
                                <w:color w:val="231F20"/>
                                <w:spacing w:val="-3"/>
                              </w:rPr>
                              <w:t xml:space="preserve"> </w:t>
                            </w:r>
                            <w:r>
                              <w:rPr>
                                <w:color w:val="231F20"/>
                              </w:rPr>
                              <w:t>2010).</w:t>
                            </w:r>
                            <w:r>
                              <w:rPr>
                                <w:color w:val="231F20"/>
                                <w:spacing w:val="-3"/>
                              </w:rPr>
                              <w:t xml:space="preserve"> </w:t>
                            </w:r>
                            <w:r>
                              <w:rPr>
                                <w:color w:val="231F20"/>
                              </w:rPr>
                              <w:t>Winter</w:t>
                            </w:r>
                            <w:r>
                              <w:rPr>
                                <w:color w:val="231F20"/>
                                <w:spacing w:val="-3"/>
                              </w:rPr>
                              <w:t xml:space="preserve"> </w:t>
                            </w:r>
                            <w:r>
                              <w:rPr>
                                <w:color w:val="231F20"/>
                              </w:rPr>
                              <w:t>seasons</w:t>
                            </w:r>
                            <w:r>
                              <w:rPr>
                                <w:color w:val="231F20"/>
                                <w:spacing w:val="-3"/>
                              </w:rPr>
                              <w:t xml:space="preserve"> </w:t>
                            </w:r>
                            <w:r>
                              <w:rPr>
                                <w:color w:val="231F20"/>
                              </w:rPr>
                              <w:t>with</w:t>
                            </w:r>
                            <w:r>
                              <w:rPr>
                                <w:color w:val="231F20"/>
                                <w:spacing w:val="-3"/>
                              </w:rPr>
                              <w:t xml:space="preserve"> </w:t>
                            </w:r>
                            <w:r>
                              <w:rPr>
                                <w:color w:val="231F20"/>
                              </w:rPr>
                              <w:t>an</w:t>
                            </w:r>
                            <w:r>
                              <w:rPr>
                                <w:color w:val="231F20"/>
                                <w:spacing w:val="-3"/>
                              </w:rPr>
                              <w:t xml:space="preserve"> </w:t>
                            </w:r>
                            <w:r>
                              <w:rPr>
                                <w:color w:val="231F20"/>
                              </w:rPr>
                              <w:t>extraordinary</w:t>
                            </w:r>
                            <w:r>
                              <w:rPr>
                                <w:color w:val="231F20"/>
                                <w:spacing w:val="-3"/>
                              </w:rPr>
                              <w:t xml:space="preserve"> </w:t>
                            </w:r>
                            <w:r>
                              <w:rPr>
                                <w:color w:val="231F20"/>
                              </w:rPr>
                              <w:t>lack</w:t>
                            </w:r>
                            <w:r>
                              <w:rPr>
                                <w:color w:val="231F20"/>
                                <w:spacing w:val="-3"/>
                              </w:rPr>
                              <w:t xml:space="preserve"> </w:t>
                            </w:r>
                            <w:r>
                              <w:rPr>
                                <w:color w:val="231F20"/>
                              </w:rPr>
                              <w:t>of</w:t>
                            </w:r>
                            <w:r>
                              <w:rPr>
                                <w:color w:val="231F20"/>
                                <w:spacing w:val="-3"/>
                              </w:rPr>
                              <w:t xml:space="preserve"> </w:t>
                            </w:r>
                            <w:r>
                              <w:rPr>
                                <w:color w:val="231F20"/>
                              </w:rPr>
                              <w:t>snow</w:t>
                            </w:r>
                            <w:r>
                              <w:rPr>
                                <w:color w:val="231F20"/>
                                <w:spacing w:val="-3"/>
                              </w:rPr>
                              <w:t xml:space="preserve"> </w:t>
                            </w:r>
                            <w:r>
                              <w:rPr>
                                <w:color w:val="231F20"/>
                              </w:rPr>
                              <w:t xml:space="preserve">in </w:t>
                            </w:r>
                            <w:r>
                              <w:rPr>
                                <w:color w:val="231F20"/>
                                <w:w w:val="95"/>
                              </w:rPr>
                              <w:t>the</w:t>
                            </w:r>
                            <w:r>
                              <w:rPr>
                                <w:color w:val="231F20"/>
                                <w:spacing w:val="-5"/>
                                <w:w w:val="95"/>
                              </w:rPr>
                              <w:t xml:space="preserve"> </w:t>
                            </w:r>
                            <w:r>
                              <w:rPr>
                                <w:color w:val="231F20"/>
                                <w:w w:val="95"/>
                              </w:rPr>
                              <w:t>late</w:t>
                            </w:r>
                            <w:r>
                              <w:rPr>
                                <w:color w:val="231F20"/>
                                <w:spacing w:val="-5"/>
                                <w:w w:val="95"/>
                              </w:rPr>
                              <w:t xml:space="preserve"> </w:t>
                            </w:r>
                            <w:r>
                              <w:rPr>
                                <w:color w:val="231F20"/>
                                <w:w w:val="95"/>
                              </w:rPr>
                              <w:t>1980s</w:t>
                            </w:r>
                            <w:r>
                              <w:rPr>
                                <w:color w:val="231F20"/>
                                <w:spacing w:val="-5"/>
                                <w:w w:val="95"/>
                              </w:rPr>
                              <w:t xml:space="preserve"> </w:t>
                            </w:r>
                            <w:r>
                              <w:rPr>
                                <w:color w:val="231F20"/>
                                <w:w w:val="95"/>
                              </w:rPr>
                              <w:t>resulted</w:t>
                            </w:r>
                            <w:r>
                              <w:rPr>
                                <w:color w:val="231F20"/>
                                <w:spacing w:val="-5"/>
                                <w:w w:val="95"/>
                              </w:rPr>
                              <w:t xml:space="preserve"> </w:t>
                            </w:r>
                            <w:r>
                              <w:rPr>
                                <w:color w:val="231F20"/>
                                <w:w w:val="95"/>
                              </w:rPr>
                              <w:t>in</w:t>
                            </w:r>
                            <w:r>
                              <w:rPr>
                                <w:color w:val="231F20"/>
                                <w:spacing w:val="-5"/>
                                <w:w w:val="95"/>
                              </w:rPr>
                              <w:t xml:space="preserve"> </w:t>
                            </w:r>
                            <w:r>
                              <w:rPr>
                                <w:color w:val="231F20"/>
                                <w:w w:val="95"/>
                              </w:rPr>
                              <w:t>average</w:t>
                            </w:r>
                            <w:r>
                              <w:rPr>
                                <w:color w:val="231F20"/>
                                <w:spacing w:val="-5"/>
                                <w:w w:val="95"/>
                              </w:rPr>
                              <w:t xml:space="preserve"> </w:t>
                            </w:r>
                            <w:r>
                              <w:rPr>
                                <w:color w:val="231F20"/>
                                <w:w w:val="95"/>
                              </w:rPr>
                              <w:t>demand</w:t>
                            </w:r>
                            <w:r>
                              <w:rPr>
                                <w:color w:val="231F20"/>
                                <w:spacing w:val="-5"/>
                                <w:w w:val="95"/>
                              </w:rPr>
                              <w:t xml:space="preserve"> </w:t>
                            </w:r>
                            <w:r>
                              <w:rPr>
                                <w:color w:val="231F20"/>
                                <w:w w:val="95"/>
                              </w:rPr>
                              <w:t>losses</w:t>
                            </w:r>
                            <w:r>
                              <w:rPr>
                                <w:color w:val="231F20"/>
                                <w:spacing w:val="-5"/>
                                <w:w w:val="95"/>
                              </w:rPr>
                              <w:t xml:space="preserve"> </w:t>
                            </w:r>
                            <w:r>
                              <w:rPr>
                                <w:color w:val="231F20"/>
                                <w:w w:val="95"/>
                              </w:rPr>
                              <w:t>(participation</w:t>
                            </w:r>
                            <w:r>
                              <w:rPr>
                                <w:color w:val="231F20"/>
                                <w:spacing w:val="-5"/>
                                <w:w w:val="95"/>
                              </w:rPr>
                              <w:t xml:space="preserve"> </w:t>
                            </w:r>
                            <w:r>
                              <w:rPr>
                                <w:color w:val="231F20"/>
                                <w:w w:val="95"/>
                              </w:rPr>
                              <w:t>drops)</w:t>
                            </w:r>
                            <w:r>
                              <w:rPr>
                                <w:color w:val="231F20"/>
                                <w:spacing w:val="-5"/>
                                <w:w w:val="95"/>
                              </w:rPr>
                              <w:t xml:space="preserve"> </w:t>
                            </w:r>
                            <w:r>
                              <w:rPr>
                                <w:color w:val="231F20"/>
                                <w:w w:val="95"/>
                              </w:rPr>
                              <w:t xml:space="preserve">of </w:t>
                            </w:r>
                            <w:r>
                              <w:rPr>
                                <w:color w:val="231F20"/>
                              </w:rPr>
                              <w:t>30% in ski areas in Switzerland and northern Italy (Abegg &amp; Frösch, 1994;</w:t>
                            </w:r>
                            <w:r>
                              <w:rPr>
                                <w:color w:val="231F20"/>
                                <w:spacing w:val="-7"/>
                              </w:rPr>
                              <w:t xml:space="preserve"> </w:t>
                            </w:r>
                            <w:r>
                              <w:rPr>
                                <w:color w:val="231F20"/>
                              </w:rPr>
                              <w:t>Steiger,</w:t>
                            </w:r>
                            <w:r>
                              <w:rPr>
                                <w:color w:val="231F20"/>
                                <w:spacing w:val="-7"/>
                              </w:rPr>
                              <w:t xml:space="preserve"> </w:t>
                            </w:r>
                            <w:r>
                              <w:rPr>
                                <w:color w:val="231F20"/>
                              </w:rPr>
                              <w:t>2011a).</w:t>
                            </w:r>
                            <w:r>
                              <w:rPr>
                                <w:color w:val="231F20"/>
                                <w:spacing w:val="-7"/>
                              </w:rPr>
                              <w:t xml:space="preserve"> </w:t>
                            </w:r>
                            <w:r>
                              <w:rPr>
                                <w:color w:val="231F20"/>
                              </w:rPr>
                              <w:t>At</w:t>
                            </w:r>
                            <w:r>
                              <w:rPr>
                                <w:color w:val="231F20"/>
                                <w:spacing w:val="-7"/>
                              </w:rPr>
                              <w:t xml:space="preserve"> </w:t>
                            </w:r>
                            <w:r>
                              <w:rPr>
                                <w:color w:val="231F20"/>
                              </w:rPr>
                              <w:t>that</w:t>
                            </w:r>
                            <w:r>
                              <w:rPr>
                                <w:color w:val="231F20"/>
                                <w:spacing w:val="-7"/>
                              </w:rPr>
                              <w:t xml:space="preserve"> </w:t>
                            </w:r>
                            <w:r>
                              <w:rPr>
                                <w:color w:val="231F20"/>
                              </w:rPr>
                              <w:t>time,</w:t>
                            </w:r>
                            <w:r>
                              <w:rPr>
                                <w:color w:val="231F20"/>
                                <w:spacing w:val="-7"/>
                              </w:rPr>
                              <w:t xml:space="preserve"> </w:t>
                            </w:r>
                            <w:r>
                              <w:rPr>
                                <w:color w:val="231F20"/>
                              </w:rPr>
                              <w:t>snow-making</w:t>
                            </w:r>
                            <w:r>
                              <w:rPr>
                                <w:color w:val="231F20"/>
                                <w:spacing w:val="-7"/>
                              </w:rPr>
                              <w:t xml:space="preserve"> </w:t>
                            </w:r>
                            <w:r>
                              <w:rPr>
                                <w:color w:val="231F20"/>
                              </w:rPr>
                              <w:t>was</w:t>
                            </w:r>
                            <w:r>
                              <w:rPr>
                                <w:color w:val="231F20"/>
                                <w:spacing w:val="-7"/>
                              </w:rPr>
                              <w:t xml:space="preserve"> </w:t>
                            </w:r>
                            <w:r>
                              <w:rPr>
                                <w:color w:val="231F20"/>
                              </w:rPr>
                              <w:t>not</w:t>
                            </w:r>
                            <w:r>
                              <w:rPr>
                                <w:color w:val="231F20"/>
                                <w:spacing w:val="-7"/>
                              </w:rPr>
                              <w:t xml:space="preserve"> </w:t>
                            </w:r>
                            <w:r>
                              <w:rPr>
                                <w:color w:val="231F20"/>
                              </w:rPr>
                              <w:t>wide</w:t>
                            </w:r>
                            <w:r>
                              <w:rPr>
                                <w:color w:val="231F20"/>
                              </w:rPr>
                              <w:t xml:space="preserve">spread </w:t>
                            </w:r>
                            <w:r>
                              <w:rPr>
                                <w:color w:val="231F20"/>
                                <w:w w:val="95"/>
                              </w:rPr>
                              <w:t xml:space="preserve">and therefore the ski areas were highly dependent on natural snow. Due </w:t>
                            </w:r>
                            <w:r>
                              <w:rPr>
                                <w:color w:val="231F20"/>
                              </w:rPr>
                              <w:t>to</w:t>
                            </w:r>
                            <w:r>
                              <w:rPr>
                                <w:color w:val="231F20"/>
                                <w:spacing w:val="-1"/>
                              </w:rPr>
                              <w:t xml:space="preserve"> </w:t>
                            </w:r>
                            <w:r>
                              <w:rPr>
                                <w:color w:val="231F20"/>
                              </w:rPr>
                              <w:t>the critical</w:t>
                            </w:r>
                            <w:r>
                              <w:rPr>
                                <w:color w:val="231F20"/>
                                <w:spacing w:val="-1"/>
                              </w:rPr>
                              <w:t xml:space="preserve"> </w:t>
                            </w:r>
                            <w:r>
                              <w:rPr>
                                <w:color w:val="231F20"/>
                              </w:rPr>
                              <w:t>challenges</w:t>
                            </w:r>
                            <w:r>
                              <w:rPr>
                                <w:color w:val="231F20"/>
                                <w:spacing w:val="-1"/>
                              </w:rPr>
                              <w:t xml:space="preserve"> </w:t>
                            </w:r>
                            <w:r>
                              <w:rPr>
                                <w:color w:val="231F20"/>
                              </w:rPr>
                              <w:t>presented by</w:t>
                            </w:r>
                            <w:r>
                              <w:rPr>
                                <w:color w:val="231F20"/>
                                <w:spacing w:val="-1"/>
                              </w:rPr>
                              <w:t xml:space="preserve"> </w:t>
                            </w:r>
                            <w:r>
                              <w:rPr>
                                <w:color w:val="231F20"/>
                              </w:rPr>
                              <w:t>snow-scarce seasons,</w:t>
                            </w:r>
                            <w:r>
                              <w:rPr>
                                <w:color w:val="231F20"/>
                                <w:spacing w:val="-1"/>
                              </w:rPr>
                              <w:t xml:space="preserve"> </w:t>
                            </w:r>
                            <w:r>
                              <w:rPr>
                                <w:color w:val="231F20"/>
                              </w:rPr>
                              <w:t xml:space="preserve">ski areas </w:t>
                            </w:r>
                            <w:r>
                              <w:rPr>
                                <w:color w:val="231F20"/>
                                <w:w w:val="95"/>
                              </w:rPr>
                              <w:t>started to invest more and more in snow-making. Consequently, demand losses due to snow-scarce winters in the 2000s were considerably lower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699AD4" id="docshape277" o:spid="_x0000_s1112" type="#_x0000_t202" style="position:absolute;margin-left:59.4pt;margin-top:18.65pt;width:323.15pt;height:236.5pt;z-index:-156364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" fillcolor="#dcddde" stroked="f">
                <v:textbox inset="0,0,0,0">
                  <w:txbxContent>
                    <w:p w14:paraId="76F476AA" w14:textId="77777777" w:rsidR="00AE0598" w:rsidRDefault="0069255A">
                      <w:pPr>
                        <w:spacing w:before="85" w:line="247" w:lineRule="auto"/>
                        <w:ind w:left="123" w:right="1702"/>
                        <w:jc w:val="both"/>
                        <w:rPr>
                          <w:rFonts w:ascii="Trebuchet MS"/>
                          <w:color w:val="000000"/>
                          <w:sz w:val="20"/>
                        </w:rPr>
                      </w:pPr>
                      <w:r>
                        <w:rPr>
                          <w:rFonts w:ascii="Trebuchet MS"/>
                          <w:color w:val="231F20"/>
                          <w:spacing w:val="-2"/>
                          <w:w w:val="105"/>
                          <w:sz w:val="20"/>
                        </w:rPr>
                        <w:t>Case</w:t>
                      </w:r>
                      <w:r>
                        <w:rPr>
                          <w:rFonts w:ascii="Trebuchet MS"/>
                          <w:color w:val="231F20"/>
                          <w:spacing w:val="-10"/>
                          <w:w w:val="105"/>
                          <w:sz w:val="20"/>
                        </w:rPr>
                        <w:t xml:space="preserve"> </w:t>
                      </w:r>
                      <w:r>
                        <w:rPr>
                          <w:rFonts w:ascii="Trebuchet MS"/>
                          <w:color w:val="231F20"/>
                          <w:spacing w:val="-2"/>
                          <w:w w:val="105"/>
                          <w:sz w:val="20"/>
                        </w:rPr>
                        <w:t>Study</w:t>
                      </w:r>
                      <w:r>
                        <w:rPr>
                          <w:rFonts w:ascii="Trebuchet MS"/>
                          <w:color w:val="231F20"/>
                          <w:spacing w:val="-10"/>
                          <w:w w:val="105"/>
                          <w:sz w:val="20"/>
                        </w:rPr>
                        <w:t xml:space="preserve"> </w:t>
                      </w:r>
                      <w:r>
                        <w:rPr>
                          <w:rFonts w:ascii="Trebuchet MS"/>
                          <w:color w:val="231F20"/>
                          <w:spacing w:val="-2"/>
                          <w:w w:val="105"/>
                          <w:sz w:val="20"/>
                        </w:rPr>
                        <w:t>9.1:</w:t>
                      </w:r>
                      <w:r>
                        <w:rPr>
                          <w:rFonts w:ascii="Trebuchet MS"/>
                          <w:color w:val="231F20"/>
                          <w:spacing w:val="-10"/>
                          <w:w w:val="105"/>
                          <w:sz w:val="20"/>
                        </w:rPr>
                        <w:t xml:space="preserve"> </w:t>
                      </w:r>
                      <w:r>
                        <w:rPr>
                          <w:rFonts w:ascii="Trebuchet MS"/>
                          <w:color w:val="231F20"/>
                          <w:spacing w:val="-2"/>
                          <w:w w:val="105"/>
                          <w:sz w:val="20"/>
                        </w:rPr>
                        <w:t>Climate</w:t>
                      </w:r>
                      <w:r>
                        <w:rPr>
                          <w:rFonts w:ascii="Trebuchet MS"/>
                          <w:color w:val="231F20"/>
                          <w:spacing w:val="-10"/>
                          <w:w w:val="105"/>
                          <w:sz w:val="20"/>
                        </w:rPr>
                        <w:t xml:space="preserve"> </w:t>
                      </w:r>
                      <w:r>
                        <w:rPr>
                          <w:rFonts w:ascii="Trebuchet MS"/>
                          <w:color w:val="231F20"/>
                          <w:spacing w:val="-2"/>
                          <w:w w:val="105"/>
                          <w:sz w:val="20"/>
                        </w:rPr>
                        <w:t>Challenges</w:t>
                      </w:r>
                      <w:r>
                        <w:rPr>
                          <w:rFonts w:ascii="Trebuchet MS"/>
                          <w:color w:val="231F20"/>
                          <w:spacing w:val="-10"/>
                          <w:w w:val="105"/>
                          <w:sz w:val="20"/>
                        </w:rPr>
                        <w:t xml:space="preserve"> </w:t>
                      </w:r>
                      <w:r>
                        <w:rPr>
                          <w:rFonts w:ascii="Trebuchet MS"/>
                          <w:color w:val="231F20"/>
                          <w:spacing w:val="-2"/>
                          <w:w w:val="105"/>
                          <w:sz w:val="20"/>
                        </w:rPr>
                        <w:t>and</w:t>
                      </w:r>
                      <w:r>
                        <w:rPr>
                          <w:rFonts w:ascii="Trebuchet MS"/>
                          <w:color w:val="231F20"/>
                          <w:spacing w:val="-10"/>
                          <w:w w:val="105"/>
                          <w:sz w:val="20"/>
                        </w:rPr>
                        <w:t xml:space="preserve"> </w:t>
                      </w:r>
                      <w:r>
                        <w:rPr>
                          <w:rFonts w:ascii="Trebuchet MS"/>
                          <w:color w:val="231F20"/>
                          <w:spacing w:val="-2"/>
                          <w:w w:val="105"/>
                          <w:sz w:val="20"/>
                        </w:rPr>
                        <w:t xml:space="preserve">Responses </w:t>
                      </w:r>
                      <w:r>
                        <w:rPr>
                          <w:rFonts w:ascii="Trebuchet MS"/>
                          <w:color w:val="231F20"/>
                          <w:w w:val="105"/>
                          <w:sz w:val="20"/>
                        </w:rPr>
                        <w:t>by the Ski Industry</w:t>
                      </w:r>
                    </w:p>
                    <w:p w14:paraId="1B794FA5" w14:textId="77777777" w:rsidR="00AE0598" w:rsidRDefault="0069255A">
                      <w:pPr>
                        <w:pStyle w:val="Corpodetexto"/>
                        <w:spacing w:before="110"/>
                        <w:ind w:left="123"/>
                        <w:jc w:val="both"/>
                        <w:rPr>
                          <w:color w:val="000000"/>
                        </w:rPr>
                      </w:pPr>
                      <w:r>
                        <w:rPr>
                          <w:color w:val="231F20"/>
                          <w:w w:val="95"/>
                        </w:rPr>
                        <w:t>Robert</w:t>
                      </w:r>
                      <w:r>
                        <w:rPr>
                          <w:color w:val="231F20"/>
                          <w:spacing w:val="13"/>
                        </w:rPr>
                        <w:t xml:space="preserve"> </w:t>
                      </w:r>
                      <w:r>
                        <w:rPr>
                          <w:color w:val="231F20"/>
                          <w:w w:val="95"/>
                        </w:rPr>
                        <w:t>Steiger,</w:t>
                      </w:r>
                      <w:r>
                        <w:rPr>
                          <w:color w:val="231F20"/>
                          <w:spacing w:val="14"/>
                        </w:rPr>
                        <w:t xml:space="preserve"> </w:t>
                      </w:r>
                      <w:r>
                        <w:rPr>
                          <w:color w:val="231F20"/>
                          <w:w w:val="95"/>
                        </w:rPr>
                        <w:t>University</w:t>
                      </w:r>
                      <w:r>
                        <w:rPr>
                          <w:color w:val="231F20"/>
                          <w:spacing w:val="14"/>
                        </w:rPr>
                        <w:t xml:space="preserve"> </w:t>
                      </w:r>
                      <w:r>
                        <w:rPr>
                          <w:color w:val="231F20"/>
                          <w:w w:val="95"/>
                        </w:rPr>
                        <w:t>of</w:t>
                      </w:r>
                      <w:r>
                        <w:rPr>
                          <w:color w:val="231F20"/>
                          <w:spacing w:val="12"/>
                        </w:rPr>
                        <w:t xml:space="preserve"> </w:t>
                      </w:r>
                      <w:r>
                        <w:rPr>
                          <w:color w:val="231F20"/>
                          <w:spacing w:val="-2"/>
                          <w:w w:val="95"/>
                        </w:rPr>
                        <w:t>Innsbruck</w:t>
                      </w:r>
                    </w:p>
                    <w:p w14:paraId="17F13866" w14:textId="77777777" w:rsidR="00AE0598" w:rsidRDefault="0069255A">
                      <w:pPr>
                        <w:pStyle w:val="Corpodetexto"/>
                        <w:spacing w:before="120" w:line="232" w:lineRule="auto"/>
                        <w:ind w:left="123" w:right="117" w:firstLine="320"/>
                        <w:jc w:val="both"/>
                        <w:rPr>
                          <w:color w:val="000000"/>
                        </w:rPr>
                      </w:pPr>
                      <w:r>
                        <w:rPr>
                          <w:color w:val="231F20"/>
                          <w:w w:val="95"/>
                        </w:rPr>
                        <w:t xml:space="preserve">Snow is an indispensable resource for mountain destinations in the winter season. Climate change alters the amount of snowfall (decrease) </w:t>
                      </w:r>
                      <w:r>
                        <w:rPr>
                          <w:color w:val="231F20"/>
                        </w:rPr>
                        <w:t>and</w:t>
                      </w:r>
                      <w:r>
                        <w:rPr>
                          <w:color w:val="231F20"/>
                          <w:spacing w:val="-9"/>
                        </w:rPr>
                        <w:t xml:space="preserve"> </w:t>
                      </w:r>
                      <w:r>
                        <w:rPr>
                          <w:color w:val="231F20"/>
                        </w:rPr>
                        <w:t>snow</w:t>
                      </w:r>
                      <w:r>
                        <w:rPr>
                          <w:color w:val="231F20"/>
                          <w:spacing w:val="-9"/>
                        </w:rPr>
                        <w:t xml:space="preserve"> </w:t>
                      </w:r>
                      <w:r>
                        <w:rPr>
                          <w:color w:val="231F20"/>
                        </w:rPr>
                        <w:t>melt</w:t>
                      </w:r>
                      <w:r>
                        <w:rPr>
                          <w:color w:val="231F20"/>
                          <w:spacing w:val="-9"/>
                        </w:rPr>
                        <w:t xml:space="preserve"> </w:t>
                      </w:r>
                      <w:r>
                        <w:rPr>
                          <w:color w:val="231F20"/>
                        </w:rPr>
                        <w:t>(increase),</w:t>
                      </w:r>
                      <w:r>
                        <w:rPr>
                          <w:color w:val="231F20"/>
                          <w:spacing w:val="-9"/>
                        </w:rPr>
                        <w:t xml:space="preserve"> </w:t>
                      </w:r>
                      <w:r>
                        <w:rPr>
                          <w:color w:val="231F20"/>
                        </w:rPr>
                        <w:t>influencing</w:t>
                      </w:r>
                      <w:r>
                        <w:rPr>
                          <w:color w:val="231F20"/>
                          <w:spacing w:val="-9"/>
                        </w:rPr>
                        <w:t xml:space="preserve"> </w:t>
                      </w:r>
                      <w:r>
                        <w:rPr>
                          <w:color w:val="231F20"/>
                        </w:rPr>
                        <w:t>the</w:t>
                      </w:r>
                      <w:r>
                        <w:rPr>
                          <w:color w:val="231F20"/>
                          <w:spacing w:val="-9"/>
                        </w:rPr>
                        <w:t xml:space="preserve"> </w:t>
                      </w:r>
                      <w:r>
                        <w:rPr>
                          <w:color w:val="231F20"/>
                        </w:rPr>
                        <w:t>average</w:t>
                      </w:r>
                      <w:r>
                        <w:rPr>
                          <w:color w:val="231F20"/>
                          <w:spacing w:val="-9"/>
                        </w:rPr>
                        <w:t xml:space="preserve"> </w:t>
                      </w:r>
                      <w:r>
                        <w:rPr>
                          <w:color w:val="231F20"/>
                        </w:rPr>
                        <w:t>snow</w:t>
                      </w:r>
                      <w:r>
                        <w:rPr>
                          <w:color w:val="231F20"/>
                          <w:spacing w:val="-9"/>
                        </w:rPr>
                        <w:t xml:space="preserve"> </w:t>
                      </w:r>
                      <w:r>
                        <w:rPr>
                          <w:color w:val="231F20"/>
                        </w:rPr>
                        <w:t>depth</w:t>
                      </w:r>
                      <w:r>
                        <w:rPr>
                          <w:color w:val="231F20"/>
                          <w:spacing w:val="-9"/>
                        </w:rPr>
                        <w:t xml:space="preserve"> </w:t>
                      </w:r>
                      <w:r>
                        <w:rPr>
                          <w:color w:val="231F20"/>
                        </w:rPr>
                        <w:t>and</w:t>
                      </w:r>
                      <w:r>
                        <w:rPr>
                          <w:color w:val="231F20"/>
                          <w:spacing w:val="-9"/>
                        </w:rPr>
                        <w:t xml:space="preserve"> </w:t>
                      </w:r>
                      <w:r>
                        <w:rPr>
                          <w:color w:val="231F20"/>
                        </w:rPr>
                        <w:t>the length</w:t>
                      </w:r>
                      <w:r>
                        <w:rPr>
                          <w:color w:val="231F20"/>
                          <w:spacing w:val="-1"/>
                        </w:rPr>
                        <w:t xml:space="preserve"> </w:t>
                      </w:r>
                      <w:r>
                        <w:rPr>
                          <w:color w:val="231F20"/>
                        </w:rPr>
                        <w:t>of</w:t>
                      </w:r>
                      <w:r>
                        <w:rPr>
                          <w:color w:val="231F20"/>
                          <w:spacing w:val="-1"/>
                        </w:rPr>
                        <w:t xml:space="preserve"> </w:t>
                      </w:r>
                      <w:r>
                        <w:rPr>
                          <w:color w:val="231F20"/>
                        </w:rPr>
                        <w:t>the</w:t>
                      </w:r>
                      <w:r>
                        <w:rPr>
                          <w:color w:val="231F20"/>
                          <w:spacing w:val="-1"/>
                        </w:rPr>
                        <w:t xml:space="preserve"> </w:t>
                      </w:r>
                      <w:r>
                        <w:rPr>
                          <w:color w:val="231F20"/>
                        </w:rPr>
                        <w:t>snow</w:t>
                      </w:r>
                      <w:r>
                        <w:rPr>
                          <w:color w:val="231F20"/>
                          <w:spacing w:val="-1"/>
                        </w:rPr>
                        <w:t xml:space="preserve"> </w:t>
                      </w:r>
                      <w:r>
                        <w:rPr>
                          <w:color w:val="231F20"/>
                        </w:rPr>
                        <w:t>season.</w:t>
                      </w:r>
                      <w:r>
                        <w:rPr>
                          <w:color w:val="231F20"/>
                          <w:spacing w:val="-1"/>
                        </w:rPr>
                        <w:t xml:space="preserve"> </w:t>
                      </w:r>
                      <w:r>
                        <w:rPr>
                          <w:color w:val="231F20"/>
                        </w:rPr>
                        <w:t>Any</w:t>
                      </w:r>
                      <w:r>
                        <w:rPr>
                          <w:color w:val="231F20"/>
                          <w:spacing w:val="-1"/>
                        </w:rPr>
                        <w:t xml:space="preserve"> </w:t>
                      </w:r>
                      <w:r>
                        <w:rPr>
                          <w:color w:val="231F20"/>
                        </w:rPr>
                        <w:t>impact</w:t>
                      </w:r>
                      <w:r>
                        <w:rPr>
                          <w:color w:val="231F20"/>
                          <w:spacing w:val="-1"/>
                        </w:rPr>
                        <w:t xml:space="preserve"> </w:t>
                      </w:r>
                      <w:r>
                        <w:rPr>
                          <w:color w:val="231F20"/>
                        </w:rPr>
                        <w:t>of</w:t>
                      </w:r>
                      <w:r>
                        <w:rPr>
                          <w:color w:val="231F20"/>
                          <w:spacing w:val="-1"/>
                        </w:rPr>
                        <w:t xml:space="preserve"> </w:t>
                      </w:r>
                      <w:r>
                        <w:rPr>
                          <w:color w:val="231F20"/>
                        </w:rPr>
                        <w:t>climate</w:t>
                      </w:r>
                      <w:r>
                        <w:rPr>
                          <w:color w:val="231F20"/>
                          <w:spacing w:val="-1"/>
                        </w:rPr>
                        <w:t xml:space="preserve"> </w:t>
                      </w:r>
                      <w:r>
                        <w:rPr>
                          <w:color w:val="231F20"/>
                        </w:rPr>
                        <w:t>change</w:t>
                      </w:r>
                      <w:r>
                        <w:rPr>
                          <w:color w:val="231F20"/>
                          <w:spacing w:val="-1"/>
                        </w:rPr>
                        <w:t xml:space="preserve"> </w:t>
                      </w:r>
                      <w:r>
                        <w:rPr>
                          <w:color w:val="231F20"/>
                        </w:rPr>
                        <w:t>on</w:t>
                      </w:r>
                      <w:r>
                        <w:rPr>
                          <w:color w:val="231F20"/>
                          <w:spacing w:val="-1"/>
                        </w:rPr>
                        <w:t xml:space="preserve"> </w:t>
                      </w:r>
                      <w:r>
                        <w:rPr>
                          <w:color w:val="231F20"/>
                        </w:rPr>
                        <w:t>this</w:t>
                      </w:r>
                      <w:r>
                        <w:rPr>
                          <w:color w:val="231F20"/>
                          <w:spacing w:val="-1"/>
                        </w:rPr>
                        <w:t xml:space="preserve"> </w:t>
                      </w:r>
                      <w:r>
                        <w:rPr>
                          <w:color w:val="231F20"/>
                        </w:rPr>
                        <w:t xml:space="preserve">basic resource is a potential stressor for snow-dependent resorts. But the </w:t>
                      </w:r>
                      <w:r>
                        <w:rPr>
                          <w:color w:val="231F20"/>
                          <w:w w:val="95"/>
                        </w:rPr>
                        <w:t xml:space="preserve">impact differs between latitude and elevation and also within relatively </w:t>
                      </w:r>
                      <w:r>
                        <w:rPr>
                          <w:color w:val="231F20"/>
                        </w:rPr>
                        <w:t>small regions due to the climatic heterogeneity of mountain regions (Steiger,</w:t>
                      </w:r>
                      <w:r>
                        <w:rPr>
                          <w:color w:val="231F20"/>
                          <w:spacing w:val="-3"/>
                        </w:rPr>
                        <w:t xml:space="preserve"> </w:t>
                      </w:r>
                      <w:r>
                        <w:rPr>
                          <w:color w:val="231F20"/>
                        </w:rPr>
                        <w:t>2010).</w:t>
                      </w:r>
                      <w:r>
                        <w:rPr>
                          <w:color w:val="231F20"/>
                          <w:spacing w:val="-3"/>
                        </w:rPr>
                        <w:t xml:space="preserve"> </w:t>
                      </w:r>
                      <w:r>
                        <w:rPr>
                          <w:color w:val="231F20"/>
                        </w:rPr>
                        <w:t>Winter</w:t>
                      </w:r>
                      <w:r>
                        <w:rPr>
                          <w:color w:val="231F20"/>
                          <w:spacing w:val="-3"/>
                        </w:rPr>
                        <w:t xml:space="preserve"> </w:t>
                      </w:r>
                      <w:r>
                        <w:rPr>
                          <w:color w:val="231F20"/>
                        </w:rPr>
                        <w:t>seasons</w:t>
                      </w:r>
                      <w:r>
                        <w:rPr>
                          <w:color w:val="231F20"/>
                          <w:spacing w:val="-3"/>
                        </w:rPr>
                        <w:t xml:space="preserve"> </w:t>
                      </w:r>
                      <w:r>
                        <w:rPr>
                          <w:color w:val="231F20"/>
                        </w:rPr>
                        <w:t>with</w:t>
                      </w:r>
                      <w:r>
                        <w:rPr>
                          <w:color w:val="231F20"/>
                          <w:spacing w:val="-3"/>
                        </w:rPr>
                        <w:t xml:space="preserve"> </w:t>
                      </w:r>
                      <w:r>
                        <w:rPr>
                          <w:color w:val="231F20"/>
                        </w:rPr>
                        <w:t>an</w:t>
                      </w:r>
                      <w:r>
                        <w:rPr>
                          <w:color w:val="231F20"/>
                          <w:spacing w:val="-3"/>
                        </w:rPr>
                        <w:t xml:space="preserve"> </w:t>
                      </w:r>
                      <w:r>
                        <w:rPr>
                          <w:color w:val="231F20"/>
                        </w:rPr>
                        <w:t>extraordinary</w:t>
                      </w:r>
                      <w:r>
                        <w:rPr>
                          <w:color w:val="231F20"/>
                          <w:spacing w:val="-3"/>
                        </w:rPr>
                        <w:t xml:space="preserve"> </w:t>
                      </w:r>
                      <w:r>
                        <w:rPr>
                          <w:color w:val="231F20"/>
                        </w:rPr>
                        <w:t>lack</w:t>
                      </w:r>
                      <w:r>
                        <w:rPr>
                          <w:color w:val="231F20"/>
                          <w:spacing w:val="-3"/>
                        </w:rPr>
                        <w:t xml:space="preserve"> </w:t>
                      </w:r>
                      <w:r>
                        <w:rPr>
                          <w:color w:val="231F20"/>
                        </w:rPr>
                        <w:t>of</w:t>
                      </w:r>
                      <w:r>
                        <w:rPr>
                          <w:color w:val="231F20"/>
                          <w:spacing w:val="-3"/>
                        </w:rPr>
                        <w:t xml:space="preserve"> </w:t>
                      </w:r>
                      <w:r>
                        <w:rPr>
                          <w:color w:val="231F20"/>
                        </w:rPr>
                        <w:t>snow</w:t>
                      </w:r>
                      <w:r>
                        <w:rPr>
                          <w:color w:val="231F20"/>
                          <w:spacing w:val="-3"/>
                        </w:rPr>
                        <w:t xml:space="preserve"> </w:t>
                      </w:r>
                      <w:r>
                        <w:rPr>
                          <w:color w:val="231F20"/>
                        </w:rPr>
                        <w:t xml:space="preserve">in </w:t>
                      </w:r>
                      <w:r>
                        <w:rPr>
                          <w:color w:val="231F20"/>
                          <w:w w:val="95"/>
                        </w:rPr>
                        <w:t>the</w:t>
                      </w:r>
                      <w:r>
                        <w:rPr>
                          <w:color w:val="231F20"/>
                          <w:spacing w:val="-5"/>
                          <w:w w:val="95"/>
                        </w:rPr>
                        <w:t xml:space="preserve"> </w:t>
                      </w:r>
                      <w:r>
                        <w:rPr>
                          <w:color w:val="231F20"/>
                          <w:w w:val="95"/>
                        </w:rPr>
                        <w:t>late</w:t>
                      </w:r>
                      <w:r>
                        <w:rPr>
                          <w:color w:val="231F20"/>
                          <w:spacing w:val="-5"/>
                          <w:w w:val="95"/>
                        </w:rPr>
                        <w:t xml:space="preserve"> </w:t>
                      </w:r>
                      <w:r>
                        <w:rPr>
                          <w:color w:val="231F20"/>
                          <w:w w:val="95"/>
                        </w:rPr>
                        <w:t>1980s</w:t>
                      </w:r>
                      <w:r>
                        <w:rPr>
                          <w:color w:val="231F20"/>
                          <w:spacing w:val="-5"/>
                          <w:w w:val="95"/>
                        </w:rPr>
                        <w:t xml:space="preserve"> </w:t>
                      </w:r>
                      <w:r>
                        <w:rPr>
                          <w:color w:val="231F20"/>
                          <w:w w:val="95"/>
                        </w:rPr>
                        <w:t>resulted</w:t>
                      </w:r>
                      <w:r>
                        <w:rPr>
                          <w:color w:val="231F20"/>
                          <w:spacing w:val="-5"/>
                          <w:w w:val="95"/>
                        </w:rPr>
                        <w:t xml:space="preserve"> </w:t>
                      </w:r>
                      <w:r>
                        <w:rPr>
                          <w:color w:val="231F20"/>
                          <w:w w:val="95"/>
                        </w:rPr>
                        <w:t>in</w:t>
                      </w:r>
                      <w:r>
                        <w:rPr>
                          <w:color w:val="231F20"/>
                          <w:spacing w:val="-5"/>
                          <w:w w:val="95"/>
                        </w:rPr>
                        <w:t xml:space="preserve"> </w:t>
                      </w:r>
                      <w:r>
                        <w:rPr>
                          <w:color w:val="231F20"/>
                          <w:w w:val="95"/>
                        </w:rPr>
                        <w:t>average</w:t>
                      </w:r>
                      <w:r>
                        <w:rPr>
                          <w:color w:val="231F20"/>
                          <w:spacing w:val="-5"/>
                          <w:w w:val="95"/>
                        </w:rPr>
                        <w:t xml:space="preserve"> </w:t>
                      </w:r>
                      <w:r>
                        <w:rPr>
                          <w:color w:val="231F20"/>
                          <w:w w:val="95"/>
                        </w:rPr>
                        <w:t>demand</w:t>
                      </w:r>
                      <w:r>
                        <w:rPr>
                          <w:color w:val="231F20"/>
                          <w:spacing w:val="-5"/>
                          <w:w w:val="95"/>
                        </w:rPr>
                        <w:t xml:space="preserve"> </w:t>
                      </w:r>
                      <w:r>
                        <w:rPr>
                          <w:color w:val="231F20"/>
                          <w:w w:val="95"/>
                        </w:rPr>
                        <w:t>losses</w:t>
                      </w:r>
                      <w:r>
                        <w:rPr>
                          <w:color w:val="231F20"/>
                          <w:spacing w:val="-5"/>
                          <w:w w:val="95"/>
                        </w:rPr>
                        <w:t xml:space="preserve"> </w:t>
                      </w:r>
                      <w:r>
                        <w:rPr>
                          <w:color w:val="231F20"/>
                          <w:w w:val="95"/>
                        </w:rPr>
                        <w:t>(participation</w:t>
                      </w:r>
                      <w:r>
                        <w:rPr>
                          <w:color w:val="231F20"/>
                          <w:spacing w:val="-5"/>
                          <w:w w:val="95"/>
                        </w:rPr>
                        <w:t xml:space="preserve"> </w:t>
                      </w:r>
                      <w:r>
                        <w:rPr>
                          <w:color w:val="231F20"/>
                          <w:w w:val="95"/>
                        </w:rPr>
                        <w:t>drops)</w:t>
                      </w:r>
                      <w:r>
                        <w:rPr>
                          <w:color w:val="231F20"/>
                          <w:spacing w:val="-5"/>
                          <w:w w:val="95"/>
                        </w:rPr>
                        <w:t xml:space="preserve"> </w:t>
                      </w:r>
                      <w:r>
                        <w:rPr>
                          <w:color w:val="231F20"/>
                          <w:w w:val="95"/>
                        </w:rPr>
                        <w:t xml:space="preserve">of </w:t>
                      </w:r>
                      <w:r>
                        <w:rPr>
                          <w:color w:val="231F20"/>
                        </w:rPr>
                        <w:t>30% in ski areas in Switzerland and northern Italy (Abegg &amp; Frösch, 1994;</w:t>
                      </w:r>
                      <w:r>
                        <w:rPr>
                          <w:color w:val="231F20"/>
                          <w:spacing w:val="-7"/>
                        </w:rPr>
                        <w:t xml:space="preserve"> </w:t>
                      </w:r>
                      <w:r>
                        <w:rPr>
                          <w:color w:val="231F20"/>
                        </w:rPr>
                        <w:t>Steiger,</w:t>
                      </w:r>
                      <w:r>
                        <w:rPr>
                          <w:color w:val="231F20"/>
                          <w:spacing w:val="-7"/>
                        </w:rPr>
                        <w:t xml:space="preserve"> </w:t>
                      </w:r>
                      <w:r>
                        <w:rPr>
                          <w:color w:val="231F20"/>
                        </w:rPr>
                        <w:t>2011a).</w:t>
                      </w:r>
                      <w:r>
                        <w:rPr>
                          <w:color w:val="231F20"/>
                          <w:spacing w:val="-7"/>
                        </w:rPr>
                        <w:t xml:space="preserve"> </w:t>
                      </w:r>
                      <w:r>
                        <w:rPr>
                          <w:color w:val="231F20"/>
                        </w:rPr>
                        <w:t>At</w:t>
                      </w:r>
                      <w:r>
                        <w:rPr>
                          <w:color w:val="231F20"/>
                          <w:spacing w:val="-7"/>
                        </w:rPr>
                        <w:t xml:space="preserve"> </w:t>
                      </w:r>
                      <w:r>
                        <w:rPr>
                          <w:color w:val="231F20"/>
                        </w:rPr>
                        <w:t>that</w:t>
                      </w:r>
                      <w:r>
                        <w:rPr>
                          <w:color w:val="231F20"/>
                          <w:spacing w:val="-7"/>
                        </w:rPr>
                        <w:t xml:space="preserve"> </w:t>
                      </w:r>
                      <w:r>
                        <w:rPr>
                          <w:color w:val="231F20"/>
                        </w:rPr>
                        <w:t>time,</w:t>
                      </w:r>
                      <w:r>
                        <w:rPr>
                          <w:color w:val="231F20"/>
                          <w:spacing w:val="-7"/>
                        </w:rPr>
                        <w:t xml:space="preserve"> </w:t>
                      </w:r>
                      <w:r>
                        <w:rPr>
                          <w:color w:val="231F20"/>
                        </w:rPr>
                        <w:t>snow-making</w:t>
                      </w:r>
                      <w:r>
                        <w:rPr>
                          <w:color w:val="231F20"/>
                          <w:spacing w:val="-7"/>
                        </w:rPr>
                        <w:t xml:space="preserve"> </w:t>
                      </w:r>
                      <w:r>
                        <w:rPr>
                          <w:color w:val="231F20"/>
                        </w:rPr>
                        <w:t>was</w:t>
                      </w:r>
                      <w:r>
                        <w:rPr>
                          <w:color w:val="231F20"/>
                          <w:spacing w:val="-7"/>
                        </w:rPr>
                        <w:t xml:space="preserve"> </w:t>
                      </w:r>
                      <w:r>
                        <w:rPr>
                          <w:color w:val="231F20"/>
                        </w:rPr>
                        <w:t>not</w:t>
                      </w:r>
                      <w:r>
                        <w:rPr>
                          <w:color w:val="231F20"/>
                          <w:spacing w:val="-7"/>
                        </w:rPr>
                        <w:t xml:space="preserve"> </w:t>
                      </w:r>
                      <w:r>
                        <w:rPr>
                          <w:color w:val="231F20"/>
                        </w:rPr>
                        <w:t>wide</w:t>
                      </w:r>
                      <w:r>
                        <w:rPr>
                          <w:color w:val="231F20"/>
                        </w:rPr>
                        <w:t xml:space="preserve">spread </w:t>
                      </w:r>
                      <w:r>
                        <w:rPr>
                          <w:color w:val="231F20"/>
                          <w:w w:val="95"/>
                        </w:rPr>
                        <w:t xml:space="preserve">and therefore the ski areas were highly dependent on natural snow. Due </w:t>
                      </w:r>
                      <w:r>
                        <w:rPr>
                          <w:color w:val="231F20"/>
                        </w:rPr>
                        <w:t>to</w:t>
                      </w:r>
                      <w:r>
                        <w:rPr>
                          <w:color w:val="231F20"/>
                          <w:spacing w:val="-1"/>
                        </w:rPr>
                        <w:t xml:space="preserve"> </w:t>
                      </w:r>
                      <w:r>
                        <w:rPr>
                          <w:color w:val="231F20"/>
                        </w:rPr>
                        <w:t>the critical</w:t>
                      </w:r>
                      <w:r>
                        <w:rPr>
                          <w:color w:val="231F20"/>
                          <w:spacing w:val="-1"/>
                        </w:rPr>
                        <w:t xml:space="preserve"> </w:t>
                      </w:r>
                      <w:r>
                        <w:rPr>
                          <w:color w:val="231F20"/>
                        </w:rPr>
                        <w:t>challenges</w:t>
                      </w:r>
                      <w:r>
                        <w:rPr>
                          <w:color w:val="231F20"/>
                          <w:spacing w:val="-1"/>
                        </w:rPr>
                        <w:t xml:space="preserve"> </w:t>
                      </w:r>
                      <w:r>
                        <w:rPr>
                          <w:color w:val="231F20"/>
                        </w:rPr>
                        <w:t>presented by</w:t>
                      </w:r>
                      <w:r>
                        <w:rPr>
                          <w:color w:val="231F20"/>
                          <w:spacing w:val="-1"/>
                        </w:rPr>
                        <w:t xml:space="preserve"> </w:t>
                      </w:r>
                      <w:r>
                        <w:rPr>
                          <w:color w:val="231F20"/>
                        </w:rPr>
                        <w:t>snow-scarce seasons,</w:t>
                      </w:r>
                      <w:r>
                        <w:rPr>
                          <w:color w:val="231F20"/>
                          <w:spacing w:val="-1"/>
                        </w:rPr>
                        <w:t xml:space="preserve"> </w:t>
                      </w:r>
                      <w:r>
                        <w:rPr>
                          <w:color w:val="231F20"/>
                        </w:rPr>
                        <w:t xml:space="preserve">ski areas </w:t>
                      </w:r>
                      <w:r>
                        <w:rPr>
                          <w:color w:val="231F20"/>
                          <w:w w:val="95"/>
                        </w:rPr>
                        <w:t>started to invest more and more in snow-making. Consequently, demand losses due to snow-scarce winters in the 2000s were considerably lower</w:t>
                      </w:r>
                    </w:p>
                  </w:txbxContent>
                </v:textbox>
                <w10:wrap type="topAndBottom" anchorx="page"/>
              </v:shape>
            </w:pict>
          </mc:Fallback>
        </mc:AlternateContent>
      </w:r>
    </w:p>
    <w:p w14:paraId="28D5A4E1" w14:textId="77777777" w:rsidR="00AE0598" w:rsidRDefault="00AE0598">
      <w:pPr>
        <w:rPr>
          <w:sz w:val="29"/>
        </w:rPr>
        <w:sectPr w:rsidR="00AE0598">
          <w:pgSz w:w="8850" w:h="13270"/>
          <w:pgMar w:top="720" w:right="1060" w:bottom="280" w:left="1080" w:header="720" w:footer="720" w:gutter="0"/>
          <w:cols w:space="720"/>
        </w:sectPr>
      </w:pPr>
    </w:p>
    <w:p w14:paraId="27231B3D" w14:textId="32E7BAC2" w:rsidR="00AE0598" w:rsidRDefault="0069255A">
      <w:pPr>
        <w:spacing w:before="87"/>
        <w:ind w:left="4213"/>
        <w:rPr>
          <w:rFonts w:ascii="Trebuchet MS"/>
          <w:sz w:val="14"/>
        </w:rPr>
      </w:pPr>
      <w:r>
        <w:rPr>
          <w:noProof/>
        </w:rPr>
        <w:lastRenderedPageBreak/>
        <mc:AlternateContent>
          <mc:Choice Requires="wps">
            <w:drawing>
              <wp:anchor distT="0" distB="0" distL="114300" distR="114300" simplePos="0" relativeHeight="483745280" behindDoc="1" locked="0" layoutInCell="1" allowOverlap="1" wp14:anchorId="1165C54F" wp14:editId="55337A4D">
                <wp:simplePos x="0" y="0"/>
                <wp:positionH relativeFrom="page">
                  <wp:posOffset>755650</wp:posOffset>
                </wp:positionH>
                <wp:positionV relativeFrom="page">
                  <wp:posOffset>838200</wp:posOffset>
                </wp:positionV>
                <wp:extent cx="4104005" cy="6645910"/>
                <wp:effectExtent l="0" t="0" r="0" b="0"/>
                <wp:wrapNone/>
                <wp:docPr id="80" name="docshape2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04005" cy="6645910"/>
                        </a:xfrm>
                        <a:prstGeom prst="rect">
                          <a:avLst/>
                        </a:prstGeom>
                        <a:solidFill>
                          <a:srgbClr val="DCDDD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89318F" id="docshape278" o:spid="_x0000_s1026" style="position:absolute;margin-left:59.5pt;margin-top:66pt;width:323.15pt;height:523.3pt;z-index:-195712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" fillcolor="#dcddde" stroked="f">
                <w10:wrap anchorx="page" anchory="page"/>
              </v:rect>
            </w:pict>
          </mc:Fallback>
        </mc:AlternateContent>
      </w:r>
      <w:r>
        <w:rPr>
          <w:rFonts w:ascii="Trebuchet MS"/>
          <w:color w:val="231F20"/>
          <w:w w:val="105"/>
          <w:sz w:val="14"/>
        </w:rPr>
        <w:t>Seasonality,</w:t>
      </w:r>
      <w:r>
        <w:rPr>
          <w:rFonts w:ascii="Trebuchet MS"/>
          <w:color w:val="231F20"/>
          <w:spacing w:val="-12"/>
          <w:w w:val="105"/>
          <w:sz w:val="14"/>
        </w:rPr>
        <w:t xml:space="preserve"> </w:t>
      </w:r>
      <w:r>
        <w:rPr>
          <w:rFonts w:ascii="Trebuchet MS"/>
          <w:color w:val="231F20"/>
          <w:w w:val="105"/>
          <w:sz w:val="14"/>
        </w:rPr>
        <w:t>Sport</w:t>
      </w:r>
      <w:r>
        <w:rPr>
          <w:rFonts w:ascii="Trebuchet MS"/>
          <w:color w:val="231F20"/>
          <w:spacing w:val="-11"/>
          <w:w w:val="105"/>
          <w:sz w:val="14"/>
        </w:rPr>
        <w:t xml:space="preserve"> </w:t>
      </w:r>
      <w:r>
        <w:rPr>
          <w:rFonts w:ascii="Trebuchet MS"/>
          <w:color w:val="231F20"/>
          <w:w w:val="105"/>
          <w:sz w:val="14"/>
        </w:rPr>
        <w:t>and</w:t>
      </w:r>
      <w:r>
        <w:rPr>
          <w:rFonts w:ascii="Trebuchet MS"/>
          <w:color w:val="231F20"/>
          <w:spacing w:val="-11"/>
          <w:w w:val="105"/>
          <w:sz w:val="14"/>
        </w:rPr>
        <w:t xml:space="preserve"> </w:t>
      </w:r>
      <w:r>
        <w:rPr>
          <w:rFonts w:ascii="Trebuchet MS"/>
          <w:color w:val="231F20"/>
          <w:w w:val="105"/>
          <w:sz w:val="14"/>
        </w:rPr>
        <w:t>Tourism</w:t>
      </w:r>
      <w:r>
        <w:rPr>
          <w:rFonts w:ascii="Trebuchet MS"/>
          <w:color w:val="231F20"/>
          <w:spacing w:val="60"/>
          <w:w w:val="105"/>
          <w:sz w:val="14"/>
        </w:rPr>
        <w:t xml:space="preserve"> </w:t>
      </w:r>
      <w:r>
        <w:rPr>
          <w:rFonts w:ascii="Trebuchet MS"/>
          <w:color w:val="231F20"/>
          <w:spacing w:val="-5"/>
          <w:w w:val="105"/>
          <w:sz w:val="14"/>
        </w:rPr>
        <w:t>189</w:t>
      </w:r>
    </w:p>
    <w:p w14:paraId="08D8C24A" w14:textId="77777777" w:rsidR="00AE0598" w:rsidRDefault="00AE0598">
      <w:pPr>
        <w:pStyle w:val="Corpodetexto"/>
        <w:spacing w:before="1"/>
        <w:rPr>
          <w:rFonts w:ascii="Trebuchet MS"/>
          <w:sz w:val="27"/>
        </w:rPr>
      </w:pPr>
    </w:p>
    <w:p w14:paraId="7EA23D29" w14:textId="77777777" w:rsidR="00AE0598" w:rsidRDefault="0069255A">
      <w:pPr>
        <w:pStyle w:val="Corpodetexto"/>
        <w:spacing w:before="103" w:line="232" w:lineRule="auto"/>
        <w:ind w:left="223" w:right="241"/>
        <w:jc w:val="both"/>
      </w:pPr>
      <w:r>
        <w:rPr>
          <w:color w:val="231F20"/>
        </w:rPr>
        <w:t>than in the previous two decades, e.g. –10% to –12% in Canada, t</w:t>
      </w:r>
      <w:r>
        <w:rPr>
          <w:color w:val="231F20"/>
        </w:rPr>
        <w:t xml:space="preserve">he </w:t>
      </w:r>
      <w:r>
        <w:rPr>
          <w:color w:val="231F20"/>
          <w:w w:val="95"/>
        </w:rPr>
        <w:t xml:space="preserve">United States and Austria (Dawson </w:t>
      </w:r>
      <w:r>
        <w:rPr>
          <w:i/>
          <w:color w:val="231F20"/>
          <w:w w:val="95"/>
        </w:rPr>
        <w:t>et al</w:t>
      </w:r>
      <w:r>
        <w:rPr>
          <w:color w:val="231F20"/>
          <w:w w:val="95"/>
        </w:rPr>
        <w:t xml:space="preserve">., 2009; Rutty </w:t>
      </w:r>
      <w:r>
        <w:rPr>
          <w:i/>
          <w:color w:val="231F20"/>
          <w:w w:val="95"/>
        </w:rPr>
        <w:t>et al</w:t>
      </w:r>
      <w:r>
        <w:rPr>
          <w:color w:val="231F20"/>
          <w:w w:val="95"/>
        </w:rPr>
        <w:t xml:space="preserve">., 2017; Scott, </w:t>
      </w:r>
      <w:r>
        <w:rPr>
          <w:color w:val="231F20"/>
        </w:rPr>
        <w:t>2006a, b; Steiger, 2011b).</w:t>
      </w:r>
    </w:p>
    <w:p w14:paraId="31115B83" w14:textId="77777777" w:rsidR="00AE0598" w:rsidRDefault="0069255A">
      <w:pPr>
        <w:pStyle w:val="Corpodetexto"/>
        <w:spacing w:before="3" w:line="232" w:lineRule="auto"/>
        <w:ind w:left="223" w:right="237" w:firstLine="320"/>
        <w:jc w:val="both"/>
      </w:pPr>
      <w:r>
        <w:rPr>
          <w:color w:val="231F20"/>
          <w:w w:val="95"/>
        </w:rPr>
        <w:t>Nowadays,</w:t>
      </w:r>
      <w:r>
        <w:rPr>
          <w:color w:val="231F20"/>
          <w:spacing w:val="-8"/>
          <w:w w:val="95"/>
        </w:rPr>
        <w:t xml:space="preserve"> </w:t>
      </w:r>
      <w:r>
        <w:rPr>
          <w:color w:val="231F20"/>
          <w:w w:val="95"/>
        </w:rPr>
        <w:t>snow-making</w:t>
      </w:r>
      <w:r>
        <w:rPr>
          <w:color w:val="231F20"/>
          <w:spacing w:val="-8"/>
          <w:w w:val="95"/>
        </w:rPr>
        <w:t xml:space="preserve"> </w:t>
      </w:r>
      <w:r>
        <w:rPr>
          <w:color w:val="231F20"/>
          <w:w w:val="95"/>
        </w:rPr>
        <w:t>is</w:t>
      </w:r>
      <w:r>
        <w:rPr>
          <w:color w:val="231F20"/>
          <w:spacing w:val="-8"/>
          <w:w w:val="95"/>
        </w:rPr>
        <w:t xml:space="preserve"> </w:t>
      </w:r>
      <w:r>
        <w:rPr>
          <w:color w:val="231F20"/>
          <w:w w:val="95"/>
        </w:rPr>
        <w:t>the</w:t>
      </w:r>
      <w:r>
        <w:rPr>
          <w:color w:val="231F20"/>
          <w:spacing w:val="-8"/>
          <w:w w:val="95"/>
        </w:rPr>
        <w:t xml:space="preserve"> </w:t>
      </w:r>
      <w:r>
        <w:rPr>
          <w:color w:val="231F20"/>
          <w:w w:val="95"/>
        </w:rPr>
        <w:t>most</w:t>
      </w:r>
      <w:r>
        <w:rPr>
          <w:color w:val="231F20"/>
          <w:spacing w:val="-8"/>
          <w:w w:val="95"/>
        </w:rPr>
        <w:t xml:space="preserve"> </w:t>
      </w:r>
      <w:r>
        <w:rPr>
          <w:color w:val="231F20"/>
          <w:w w:val="95"/>
        </w:rPr>
        <w:t>used</w:t>
      </w:r>
      <w:r>
        <w:rPr>
          <w:color w:val="231F20"/>
          <w:spacing w:val="-8"/>
          <w:w w:val="95"/>
        </w:rPr>
        <w:t xml:space="preserve"> </w:t>
      </w:r>
      <w:r>
        <w:rPr>
          <w:color w:val="231F20"/>
          <w:w w:val="95"/>
        </w:rPr>
        <w:t>measure</w:t>
      </w:r>
      <w:r>
        <w:rPr>
          <w:color w:val="231F20"/>
          <w:spacing w:val="-8"/>
          <w:w w:val="95"/>
        </w:rPr>
        <w:t xml:space="preserve"> </w:t>
      </w:r>
      <w:r>
        <w:rPr>
          <w:color w:val="231F20"/>
          <w:w w:val="95"/>
        </w:rPr>
        <w:t>to</w:t>
      </w:r>
      <w:r>
        <w:rPr>
          <w:color w:val="231F20"/>
          <w:spacing w:val="-8"/>
          <w:w w:val="95"/>
        </w:rPr>
        <w:t xml:space="preserve"> </w:t>
      </w:r>
      <w:r>
        <w:rPr>
          <w:color w:val="231F20"/>
          <w:w w:val="95"/>
        </w:rPr>
        <w:t>adapt</w:t>
      </w:r>
      <w:r>
        <w:rPr>
          <w:color w:val="231F20"/>
          <w:spacing w:val="-8"/>
          <w:w w:val="95"/>
        </w:rPr>
        <w:t xml:space="preserve"> </w:t>
      </w:r>
      <w:r>
        <w:rPr>
          <w:color w:val="231F20"/>
          <w:w w:val="95"/>
        </w:rPr>
        <w:t>to</w:t>
      </w:r>
      <w:r>
        <w:rPr>
          <w:color w:val="231F20"/>
          <w:spacing w:val="-8"/>
          <w:w w:val="95"/>
        </w:rPr>
        <w:t xml:space="preserve"> </w:t>
      </w:r>
      <w:r>
        <w:rPr>
          <w:color w:val="231F20"/>
          <w:w w:val="95"/>
        </w:rPr>
        <w:t>climate variability</w:t>
      </w:r>
      <w:r>
        <w:rPr>
          <w:color w:val="231F20"/>
          <w:spacing w:val="-4"/>
          <w:w w:val="95"/>
        </w:rPr>
        <w:t xml:space="preserve"> </w:t>
      </w:r>
      <w:r>
        <w:rPr>
          <w:color w:val="231F20"/>
          <w:w w:val="95"/>
        </w:rPr>
        <w:t>and</w:t>
      </w:r>
      <w:r>
        <w:rPr>
          <w:color w:val="231F20"/>
          <w:spacing w:val="-4"/>
          <w:w w:val="95"/>
        </w:rPr>
        <w:t xml:space="preserve"> </w:t>
      </w:r>
      <w:r>
        <w:rPr>
          <w:color w:val="231F20"/>
          <w:w w:val="95"/>
        </w:rPr>
        <w:t>climatic</w:t>
      </w:r>
      <w:r>
        <w:rPr>
          <w:color w:val="231F20"/>
          <w:spacing w:val="-4"/>
          <w:w w:val="95"/>
        </w:rPr>
        <w:t xml:space="preserve"> </w:t>
      </w:r>
      <w:r>
        <w:rPr>
          <w:color w:val="231F20"/>
          <w:w w:val="95"/>
        </w:rPr>
        <w:t>changes.</w:t>
      </w:r>
      <w:r>
        <w:rPr>
          <w:color w:val="231F20"/>
          <w:spacing w:val="-4"/>
          <w:w w:val="95"/>
        </w:rPr>
        <w:t xml:space="preserve"> </w:t>
      </w:r>
      <w:r>
        <w:rPr>
          <w:color w:val="231F20"/>
          <w:w w:val="95"/>
        </w:rPr>
        <w:t>But,</w:t>
      </w:r>
      <w:r>
        <w:rPr>
          <w:color w:val="231F20"/>
          <w:spacing w:val="-4"/>
          <w:w w:val="95"/>
        </w:rPr>
        <w:t xml:space="preserve"> </w:t>
      </w:r>
      <w:r>
        <w:rPr>
          <w:color w:val="231F20"/>
          <w:w w:val="95"/>
        </w:rPr>
        <w:t>several</w:t>
      </w:r>
      <w:r>
        <w:rPr>
          <w:color w:val="231F20"/>
          <w:spacing w:val="-4"/>
          <w:w w:val="95"/>
        </w:rPr>
        <w:t xml:space="preserve"> </w:t>
      </w:r>
      <w:r>
        <w:rPr>
          <w:color w:val="231F20"/>
          <w:w w:val="95"/>
        </w:rPr>
        <w:t>other</w:t>
      </w:r>
      <w:r>
        <w:rPr>
          <w:color w:val="231F20"/>
          <w:spacing w:val="-4"/>
          <w:w w:val="95"/>
        </w:rPr>
        <w:t xml:space="preserve"> </w:t>
      </w:r>
      <w:r>
        <w:rPr>
          <w:color w:val="231F20"/>
          <w:w w:val="95"/>
        </w:rPr>
        <w:t>adaptations</w:t>
      </w:r>
      <w:r>
        <w:rPr>
          <w:color w:val="231F20"/>
          <w:spacing w:val="-4"/>
          <w:w w:val="95"/>
        </w:rPr>
        <w:t xml:space="preserve"> </w:t>
      </w:r>
      <w:r>
        <w:rPr>
          <w:color w:val="231F20"/>
          <w:w w:val="95"/>
        </w:rPr>
        <w:t>have</w:t>
      </w:r>
      <w:r>
        <w:rPr>
          <w:color w:val="231F20"/>
          <w:spacing w:val="-4"/>
          <w:w w:val="95"/>
        </w:rPr>
        <w:t xml:space="preserve"> </w:t>
      </w:r>
      <w:r>
        <w:rPr>
          <w:color w:val="231F20"/>
          <w:w w:val="95"/>
        </w:rPr>
        <w:t xml:space="preserve">been used in winter destinations over time. The Olympic Winter Games is an exemplary case. Rutty </w:t>
      </w:r>
      <w:r>
        <w:rPr>
          <w:i/>
          <w:color w:val="231F20"/>
          <w:w w:val="95"/>
        </w:rPr>
        <w:t>et al</w:t>
      </w:r>
      <w:r>
        <w:rPr>
          <w:color w:val="231F20"/>
          <w:w w:val="95"/>
        </w:rPr>
        <w:t xml:space="preserve">. (2014) identified three climatic adaptation eras: emergent adaptation (1924–1956), technological transition (1960– </w:t>
      </w:r>
      <w:r>
        <w:rPr>
          <w:color w:val="231F20"/>
        </w:rPr>
        <w:t xml:space="preserve">1984) and advanced adaptation (since </w:t>
      </w:r>
      <w:r>
        <w:rPr>
          <w:color w:val="231F20"/>
        </w:rPr>
        <w:t xml:space="preserve">1988). At the beginning of the emergent adaptation era, all sporting events were held outdoors and were dependent on natural snow and ice. Hockey and figure skating </w:t>
      </w:r>
      <w:r>
        <w:rPr>
          <w:color w:val="231F20"/>
          <w:w w:val="95"/>
        </w:rPr>
        <w:t xml:space="preserve">were the first events to be moved indoors during that era. Other weather </w:t>
      </w:r>
      <w:r>
        <w:rPr>
          <w:color w:val="231F20"/>
        </w:rPr>
        <w:t>risk</w:t>
      </w:r>
      <w:r>
        <w:rPr>
          <w:color w:val="231F20"/>
          <w:spacing w:val="-2"/>
        </w:rPr>
        <w:t xml:space="preserve"> </w:t>
      </w:r>
      <w:r>
        <w:rPr>
          <w:color w:val="231F20"/>
        </w:rPr>
        <w:t>adaptations</w:t>
      </w:r>
      <w:r>
        <w:rPr>
          <w:color w:val="231F20"/>
          <w:spacing w:val="-2"/>
        </w:rPr>
        <w:t xml:space="preserve"> </w:t>
      </w:r>
      <w:r>
        <w:rPr>
          <w:color w:val="231F20"/>
        </w:rPr>
        <w:t>w</w:t>
      </w:r>
      <w:r>
        <w:rPr>
          <w:color w:val="231F20"/>
        </w:rPr>
        <w:t>ere</w:t>
      </w:r>
      <w:r>
        <w:rPr>
          <w:color w:val="231F20"/>
          <w:spacing w:val="-2"/>
        </w:rPr>
        <w:t xml:space="preserve"> </w:t>
      </w:r>
      <w:r>
        <w:rPr>
          <w:color w:val="231F20"/>
        </w:rPr>
        <w:t>large-scale</w:t>
      </w:r>
      <w:r>
        <w:rPr>
          <w:color w:val="231F20"/>
          <w:spacing w:val="-2"/>
        </w:rPr>
        <w:t xml:space="preserve"> </w:t>
      </w:r>
      <w:r>
        <w:rPr>
          <w:color w:val="231F20"/>
        </w:rPr>
        <w:t>snow</w:t>
      </w:r>
      <w:r>
        <w:rPr>
          <w:color w:val="231F20"/>
          <w:spacing w:val="-2"/>
        </w:rPr>
        <w:t xml:space="preserve"> </w:t>
      </w:r>
      <w:r>
        <w:rPr>
          <w:color w:val="231F20"/>
        </w:rPr>
        <w:t>transfers</w:t>
      </w:r>
      <w:r>
        <w:rPr>
          <w:color w:val="231F20"/>
          <w:spacing w:val="-2"/>
        </w:rPr>
        <w:t xml:space="preserve"> </w:t>
      </w:r>
      <w:r>
        <w:rPr>
          <w:color w:val="231F20"/>
        </w:rPr>
        <w:t>from</w:t>
      </w:r>
      <w:r>
        <w:rPr>
          <w:color w:val="231F20"/>
          <w:spacing w:val="-2"/>
        </w:rPr>
        <w:t xml:space="preserve"> </w:t>
      </w:r>
      <w:r>
        <w:rPr>
          <w:color w:val="231F20"/>
        </w:rPr>
        <w:t>snow</w:t>
      </w:r>
      <w:r>
        <w:rPr>
          <w:color w:val="231F20"/>
          <w:spacing w:val="-2"/>
        </w:rPr>
        <w:t xml:space="preserve"> </w:t>
      </w:r>
      <w:r>
        <w:rPr>
          <w:color w:val="231F20"/>
        </w:rPr>
        <w:t xml:space="preserve">stockpile </w:t>
      </w:r>
      <w:r>
        <w:rPr>
          <w:color w:val="231F20"/>
          <w:w w:val="95"/>
        </w:rPr>
        <w:t xml:space="preserve">sites to the event locations, often supported by the army, and systematic use of climate data and weather insurance. The technological transition </w:t>
      </w:r>
      <w:r>
        <w:rPr>
          <w:color w:val="231F20"/>
        </w:rPr>
        <w:t>era is characterised by the increased use of mechanised wea</w:t>
      </w:r>
      <w:r>
        <w:rPr>
          <w:color w:val="231F20"/>
        </w:rPr>
        <w:t xml:space="preserve">ther risk </w:t>
      </w:r>
      <w:r>
        <w:rPr>
          <w:color w:val="231F20"/>
          <w:w w:val="95"/>
        </w:rPr>
        <w:t xml:space="preserve">management technologies. These include mechanical snow compaction, refrigerated indoor ice surfaces for speed skating and concrete bobsled and luge tracks with built-in refrigeration systems. Indoor competition </w:t>
      </w:r>
      <w:r>
        <w:rPr>
          <w:color w:val="231F20"/>
        </w:rPr>
        <w:t>venues for ice hockey and figure sk</w:t>
      </w:r>
      <w:r>
        <w:rPr>
          <w:color w:val="231F20"/>
        </w:rPr>
        <w:t>ating became standard during this era. The 1980s Winter Olympic Games in Lake Placid (USA) were the first</w:t>
      </w:r>
      <w:r>
        <w:rPr>
          <w:color w:val="231F20"/>
          <w:spacing w:val="-10"/>
        </w:rPr>
        <w:t xml:space="preserve"> </w:t>
      </w:r>
      <w:r>
        <w:rPr>
          <w:color w:val="231F20"/>
        </w:rPr>
        <w:t>to</w:t>
      </w:r>
      <w:r>
        <w:rPr>
          <w:color w:val="231F20"/>
          <w:spacing w:val="-10"/>
        </w:rPr>
        <w:t xml:space="preserve"> </w:t>
      </w:r>
      <w:r>
        <w:rPr>
          <w:color w:val="231F20"/>
        </w:rPr>
        <w:t>use</w:t>
      </w:r>
      <w:r>
        <w:rPr>
          <w:color w:val="231F20"/>
          <w:spacing w:val="-10"/>
        </w:rPr>
        <w:t xml:space="preserve"> </w:t>
      </w:r>
      <w:r>
        <w:rPr>
          <w:color w:val="231F20"/>
        </w:rPr>
        <w:t>snow-making</w:t>
      </w:r>
      <w:r>
        <w:rPr>
          <w:color w:val="231F20"/>
          <w:spacing w:val="-10"/>
        </w:rPr>
        <w:t xml:space="preserve"> </w:t>
      </w:r>
      <w:r>
        <w:rPr>
          <w:color w:val="231F20"/>
        </w:rPr>
        <w:t>for</w:t>
      </w:r>
      <w:r>
        <w:rPr>
          <w:color w:val="231F20"/>
          <w:spacing w:val="-10"/>
        </w:rPr>
        <w:t xml:space="preserve"> </w:t>
      </w:r>
      <w:r>
        <w:rPr>
          <w:color w:val="231F20"/>
        </w:rPr>
        <w:t>alpine</w:t>
      </w:r>
      <w:r>
        <w:rPr>
          <w:color w:val="231F20"/>
          <w:spacing w:val="-10"/>
        </w:rPr>
        <w:t xml:space="preserve"> </w:t>
      </w:r>
      <w:r>
        <w:rPr>
          <w:color w:val="231F20"/>
        </w:rPr>
        <w:t>and</w:t>
      </w:r>
      <w:r>
        <w:rPr>
          <w:color w:val="231F20"/>
          <w:spacing w:val="-10"/>
        </w:rPr>
        <w:t xml:space="preserve"> </w:t>
      </w:r>
      <w:r>
        <w:rPr>
          <w:color w:val="231F20"/>
        </w:rPr>
        <w:t>Nordic</w:t>
      </w:r>
      <w:r>
        <w:rPr>
          <w:color w:val="231F20"/>
          <w:spacing w:val="-10"/>
        </w:rPr>
        <w:t xml:space="preserve"> </w:t>
      </w:r>
      <w:r>
        <w:rPr>
          <w:color w:val="231F20"/>
        </w:rPr>
        <w:t>events.</w:t>
      </w:r>
      <w:r>
        <w:rPr>
          <w:color w:val="231F20"/>
          <w:spacing w:val="-10"/>
        </w:rPr>
        <w:t xml:space="preserve"> </w:t>
      </w:r>
      <w:r>
        <w:rPr>
          <w:color w:val="231F20"/>
        </w:rPr>
        <w:t>In</w:t>
      </w:r>
      <w:r>
        <w:rPr>
          <w:color w:val="231F20"/>
          <w:spacing w:val="-10"/>
        </w:rPr>
        <w:t xml:space="preserve"> </w:t>
      </w:r>
      <w:r>
        <w:rPr>
          <w:color w:val="231F20"/>
        </w:rPr>
        <w:t>the</w:t>
      </w:r>
      <w:r>
        <w:rPr>
          <w:color w:val="231F20"/>
          <w:spacing w:val="-10"/>
        </w:rPr>
        <w:t xml:space="preserve"> </w:t>
      </w:r>
      <w:r>
        <w:rPr>
          <w:color w:val="231F20"/>
        </w:rPr>
        <w:t>advanced adaptation</w:t>
      </w:r>
      <w:r>
        <w:rPr>
          <w:color w:val="231F20"/>
          <w:spacing w:val="-12"/>
        </w:rPr>
        <w:t xml:space="preserve"> </w:t>
      </w:r>
      <w:r>
        <w:rPr>
          <w:color w:val="231F20"/>
        </w:rPr>
        <w:t>era,</w:t>
      </w:r>
      <w:r>
        <w:rPr>
          <w:color w:val="231F20"/>
          <w:spacing w:val="-12"/>
        </w:rPr>
        <w:t xml:space="preserve"> </w:t>
      </w:r>
      <w:r>
        <w:rPr>
          <w:color w:val="231F20"/>
        </w:rPr>
        <w:t>major</w:t>
      </w:r>
      <w:r>
        <w:rPr>
          <w:color w:val="231F20"/>
          <w:spacing w:val="-11"/>
        </w:rPr>
        <w:t xml:space="preserve"> </w:t>
      </w:r>
      <w:r>
        <w:rPr>
          <w:color w:val="231F20"/>
        </w:rPr>
        <w:t>technological</w:t>
      </w:r>
      <w:r>
        <w:rPr>
          <w:color w:val="231F20"/>
          <w:spacing w:val="-12"/>
        </w:rPr>
        <w:t xml:space="preserve"> </w:t>
      </w:r>
      <w:r>
        <w:rPr>
          <w:color w:val="231F20"/>
        </w:rPr>
        <w:t>adaptations</w:t>
      </w:r>
      <w:r>
        <w:rPr>
          <w:color w:val="231F20"/>
          <w:spacing w:val="-11"/>
        </w:rPr>
        <w:t xml:space="preserve"> </w:t>
      </w:r>
      <w:r>
        <w:rPr>
          <w:color w:val="231F20"/>
        </w:rPr>
        <w:t>developed</w:t>
      </w:r>
      <w:r>
        <w:rPr>
          <w:color w:val="231F20"/>
          <w:spacing w:val="-12"/>
        </w:rPr>
        <w:t xml:space="preserve"> </w:t>
      </w:r>
      <w:r>
        <w:rPr>
          <w:color w:val="231F20"/>
        </w:rPr>
        <w:t>in</w:t>
      </w:r>
      <w:r>
        <w:rPr>
          <w:color w:val="231F20"/>
          <w:spacing w:val="-11"/>
        </w:rPr>
        <w:t xml:space="preserve"> </w:t>
      </w:r>
      <w:r>
        <w:rPr>
          <w:color w:val="231F20"/>
        </w:rPr>
        <w:t xml:space="preserve">previous Games were standardised and expanded. Snow-making was used not only to cover 100% of alpine and Nordic slopes, but also to stockpile </w:t>
      </w:r>
      <w:r>
        <w:rPr>
          <w:color w:val="231F20"/>
          <w:w w:val="95"/>
        </w:rPr>
        <w:t xml:space="preserve">snow several months before the Games. For the Sochi Games 2014, snow </w:t>
      </w:r>
      <w:r>
        <w:rPr>
          <w:color w:val="231F20"/>
        </w:rPr>
        <w:t>was produced and stockpiled in the previous w</w:t>
      </w:r>
      <w:r>
        <w:rPr>
          <w:color w:val="231F20"/>
        </w:rPr>
        <w:t xml:space="preserve">inter season and even </w:t>
      </w:r>
      <w:r>
        <w:rPr>
          <w:color w:val="231F20"/>
          <w:w w:val="95"/>
        </w:rPr>
        <w:t>stored over summer. Refrigeration systems are also increasingly utilised,</w:t>
      </w:r>
    </w:p>
    <w:p w14:paraId="01F06FC2" w14:textId="77777777" w:rsidR="00AE0598" w:rsidRDefault="0069255A">
      <w:pPr>
        <w:pStyle w:val="Corpodetexto"/>
        <w:spacing w:before="30" w:line="232" w:lineRule="auto"/>
        <w:ind w:left="223" w:right="238"/>
        <w:jc w:val="both"/>
      </w:pPr>
      <w:r>
        <w:rPr>
          <w:color w:val="231F20"/>
        </w:rPr>
        <w:t>e.g.</w:t>
      </w:r>
      <w:r>
        <w:rPr>
          <w:color w:val="231F20"/>
          <w:spacing w:val="-12"/>
        </w:rPr>
        <w:t xml:space="preserve"> </w:t>
      </w:r>
      <w:r>
        <w:rPr>
          <w:color w:val="231F20"/>
        </w:rPr>
        <w:t>to</w:t>
      </w:r>
      <w:r>
        <w:rPr>
          <w:color w:val="231F20"/>
          <w:spacing w:val="-12"/>
        </w:rPr>
        <w:t xml:space="preserve"> </w:t>
      </w:r>
      <w:r>
        <w:rPr>
          <w:color w:val="231F20"/>
        </w:rPr>
        <w:t>cool</w:t>
      </w:r>
      <w:r>
        <w:rPr>
          <w:color w:val="231F20"/>
          <w:spacing w:val="-11"/>
        </w:rPr>
        <w:t xml:space="preserve"> </w:t>
      </w:r>
      <w:r>
        <w:rPr>
          <w:color w:val="231F20"/>
        </w:rPr>
        <w:t>the</w:t>
      </w:r>
      <w:r>
        <w:rPr>
          <w:color w:val="231F20"/>
          <w:spacing w:val="-12"/>
        </w:rPr>
        <w:t xml:space="preserve"> </w:t>
      </w:r>
      <w:r>
        <w:rPr>
          <w:color w:val="231F20"/>
        </w:rPr>
        <w:t>ski</w:t>
      </w:r>
      <w:r>
        <w:rPr>
          <w:color w:val="231F20"/>
          <w:spacing w:val="-11"/>
        </w:rPr>
        <w:t xml:space="preserve"> </w:t>
      </w:r>
      <w:r>
        <w:rPr>
          <w:color w:val="231F20"/>
        </w:rPr>
        <w:t>jump</w:t>
      </w:r>
      <w:r>
        <w:rPr>
          <w:color w:val="231F20"/>
          <w:spacing w:val="-12"/>
        </w:rPr>
        <w:t xml:space="preserve"> </w:t>
      </w:r>
      <w:r>
        <w:rPr>
          <w:color w:val="231F20"/>
        </w:rPr>
        <w:t>track</w:t>
      </w:r>
      <w:r>
        <w:rPr>
          <w:color w:val="231F20"/>
          <w:spacing w:val="-11"/>
        </w:rPr>
        <w:t xml:space="preserve"> </w:t>
      </w:r>
      <w:r>
        <w:rPr>
          <w:color w:val="231F20"/>
        </w:rPr>
        <w:t>(since</w:t>
      </w:r>
      <w:r>
        <w:rPr>
          <w:color w:val="231F20"/>
          <w:spacing w:val="-12"/>
        </w:rPr>
        <w:t xml:space="preserve"> </w:t>
      </w:r>
      <w:r>
        <w:rPr>
          <w:color w:val="231F20"/>
        </w:rPr>
        <w:t>2010).</w:t>
      </w:r>
      <w:r>
        <w:rPr>
          <w:color w:val="231F20"/>
          <w:spacing w:val="-12"/>
        </w:rPr>
        <w:t xml:space="preserve"> </w:t>
      </w:r>
      <w:r>
        <w:rPr>
          <w:color w:val="231F20"/>
        </w:rPr>
        <w:t>More</w:t>
      </w:r>
      <w:r>
        <w:rPr>
          <w:color w:val="231F20"/>
          <w:spacing w:val="-11"/>
        </w:rPr>
        <w:t xml:space="preserve"> </w:t>
      </w:r>
      <w:r>
        <w:rPr>
          <w:color w:val="231F20"/>
        </w:rPr>
        <w:t>events</w:t>
      </w:r>
      <w:r>
        <w:rPr>
          <w:color w:val="231F20"/>
          <w:spacing w:val="-12"/>
        </w:rPr>
        <w:t xml:space="preserve"> </w:t>
      </w:r>
      <w:r>
        <w:rPr>
          <w:color w:val="231F20"/>
        </w:rPr>
        <w:t>moved</w:t>
      </w:r>
      <w:r>
        <w:rPr>
          <w:color w:val="231F20"/>
          <w:spacing w:val="-11"/>
        </w:rPr>
        <w:t xml:space="preserve"> </w:t>
      </w:r>
      <w:r>
        <w:rPr>
          <w:color w:val="231F20"/>
        </w:rPr>
        <w:t xml:space="preserve">indoors </w:t>
      </w:r>
      <w:r>
        <w:rPr>
          <w:color w:val="231F20"/>
          <w:w w:val="95"/>
        </w:rPr>
        <w:t xml:space="preserve">(speed skating, curling) and the use of weather services has intensified </w:t>
      </w:r>
      <w:r>
        <w:rPr>
          <w:color w:val="231F20"/>
        </w:rPr>
        <w:t>through</w:t>
      </w:r>
      <w:r>
        <w:rPr>
          <w:color w:val="231F20"/>
          <w:spacing w:val="-3"/>
        </w:rPr>
        <w:t xml:space="preserve"> </w:t>
      </w:r>
      <w:r>
        <w:rPr>
          <w:color w:val="231F20"/>
        </w:rPr>
        <w:t>an</w:t>
      </w:r>
      <w:r>
        <w:rPr>
          <w:color w:val="231F20"/>
          <w:spacing w:val="-3"/>
        </w:rPr>
        <w:t xml:space="preserve"> </w:t>
      </w:r>
      <w:r>
        <w:rPr>
          <w:color w:val="231F20"/>
        </w:rPr>
        <w:t>incr</w:t>
      </w:r>
      <w:r>
        <w:rPr>
          <w:color w:val="231F20"/>
        </w:rPr>
        <w:t>easing</w:t>
      </w:r>
      <w:r>
        <w:rPr>
          <w:color w:val="231F20"/>
          <w:spacing w:val="-3"/>
        </w:rPr>
        <w:t xml:space="preserve"> </w:t>
      </w:r>
      <w:r>
        <w:rPr>
          <w:color w:val="231F20"/>
        </w:rPr>
        <w:t>number</w:t>
      </w:r>
      <w:r>
        <w:rPr>
          <w:color w:val="231F20"/>
          <w:spacing w:val="-3"/>
        </w:rPr>
        <w:t xml:space="preserve"> </w:t>
      </w:r>
      <w:r>
        <w:rPr>
          <w:color w:val="231F20"/>
        </w:rPr>
        <w:t>of</w:t>
      </w:r>
      <w:r>
        <w:rPr>
          <w:color w:val="231F20"/>
          <w:spacing w:val="-3"/>
        </w:rPr>
        <w:t xml:space="preserve"> </w:t>
      </w:r>
      <w:r>
        <w:rPr>
          <w:color w:val="231F20"/>
        </w:rPr>
        <w:t>installed</w:t>
      </w:r>
      <w:r>
        <w:rPr>
          <w:color w:val="231F20"/>
          <w:spacing w:val="-3"/>
        </w:rPr>
        <w:t xml:space="preserve"> </w:t>
      </w:r>
      <w:r>
        <w:rPr>
          <w:color w:val="231F20"/>
        </w:rPr>
        <w:t>weather</w:t>
      </w:r>
      <w:r>
        <w:rPr>
          <w:color w:val="231F20"/>
          <w:spacing w:val="-3"/>
        </w:rPr>
        <w:t xml:space="preserve"> </w:t>
      </w:r>
      <w:r>
        <w:rPr>
          <w:color w:val="231F20"/>
        </w:rPr>
        <w:t>stations</w:t>
      </w:r>
      <w:r>
        <w:rPr>
          <w:color w:val="231F20"/>
          <w:spacing w:val="-3"/>
        </w:rPr>
        <w:t xml:space="preserve"> </w:t>
      </w:r>
      <w:r>
        <w:rPr>
          <w:color w:val="231F20"/>
        </w:rPr>
        <w:t>providing site-specific hourly weather data and forecasts.</w:t>
      </w:r>
    </w:p>
    <w:p w14:paraId="7FFC1DAB" w14:textId="77777777" w:rsidR="00AE0598" w:rsidRDefault="0069255A">
      <w:pPr>
        <w:pStyle w:val="Corpodetexto"/>
        <w:spacing w:before="5" w:line="232" w:lineRule="auto"/>
        <w:ind w:left="223" w:right="240" w:firstLine="320"/>
        <w:jc w:val="both"/>
      </w:pPr>
      <w:r>
        <w:rPr>
          <w:color w:val="231F20"/>
        </w:rPr>
        <w:t>The main reason for all these adaptations is to reduce the risk of cancellations</w:t>
      </w:r>
      <w:r>
        <w:rPr>
          <w:color w:val="231F20"/>
          <w:spacing w:val="-10"/>
        </w:rPr>
        <w:t xml:space="preserve"> </w:t>
      </w:r>
      <w:r>
        <w:rPr>
          <w:color w:val="231F20"/>
        </w:rPr>
        <w:t>which</w:t>
      </w:r>
      <w:r>
        <w:rPr>
          <w:color w:val="231F20"/>
          <w:spacing w:val="-10"/>
        </w:rPr>
        <w:t xml:space="preserve"> </w:t>
      </w:r>
      <w:r>
        <w:rPr>
          <w:color w:val="231F20"/>
        </w:rPr>
        <w:t>was</w:t>
      </w:r>
      <w:r>
        <w:rPr>
          <w:color w:val="231F20"/>
          <w:spacing w:val="-10"/>
        </w:rPr>
        <w:t xml:space="preserve"> </w:t>
      </w:r>
      <w:r>
        <w:rPr>
          <w:color w:val="231F20"/>
        </w:rPr>
        <w:t>becoming</w:t>
      </w:r>
      <w:r>
        <w:rPr>
          <w:color w:val="231F20"/>
          <w:spacing w:val="-10"/>
        </w:rPr>
        <w:t xml:space="preserve"> </w:t>
      </w:r>
      <w:r>
        <w:rPr>
          <w:color w:val="231F20"/>
        </w:rPr>
        <w:t>more</w:t>
      </w:r>
      <w:r>
        <w:rPr>
          <w:color w:val="231F20"/>
          <w:spacing w:val="-10"/>
        </w:rPr>
        <w:t xml:space="preserve"> </w:t>
      </w:r>
      <w:r>
        <w:rPr>
          <w:color w:val="231F20"/>
        </w:rPr>
        <w:t>important</w:t>
      </w:r>
      <w:r>
        <w:rPr>
          <w:color w:val="231F20"/>
          <w:spacing w:val="-10"/>
        </w:rPr>
        <w:t xml:space="preserve"> </w:t>
      </w:r>
      <w:r>
        <w:rPr>
          <w:color w:val="231F20"/>
        </w:rPr>
        <w:t>as</w:t>
      </w:r>
      <w:r>
        <w:rPr>
          <w:color w:val="231F20"/>
          <w:spacing w:val="-10"/>
        </w:rPr>
        <w:t xml:space="preserve"> </w:t>
      </w:r>
      <w:r>
        <w:rPr>
          <w:color w:val="231F20"/>
        </w:rPr>
        <w:t>visitor</w:t>
      </w:r>
      <w:r>
        <w:rPr>
          <w:color w:val="231F20"/>
          <w:spacing w:val="-10"/>
        </w:rPr>
        <w:t xml:space="preserve"> </w:t>
      </w:r>
      <w:r>
        <w:rPr>
          <w:color w:val="231F20"/>
        </w:rPr>
        <w:t>numbers and broadcast reven</w:t>
      </w:r>
      <w:r>
        <w:rPr>
          <w:color w:val="231F20"/>
        </w:rPr>
        <w:t xml:space="preserve">ues increased from US$0.5 million in 1960 to US$1.2 billion in 2010 (Rutty </w:t>
      </w:r>
      <w:r>
        <w:rPr>
          <w:i/>
          <w:color w:val="231F20"/>
        </w:rPr>
        <w:t>et al</w:t>
      </w:r>
      <w:r>
        <w:rPr>
          <w:color w:val="231F20"/>
        </w:rPr>
        <w:t xml:space="preserve">., 2014). But, the technological adaptations also enabled warmer cities to host the Games. During the </w:t>
      </w:r>
      <w:r>
        <w:rPr>
          <w:color w:val="231F20"/>
          <w:w w:val="95"/>
        </w:rPr>
        <w:t xml:space="preserve">era of technological transition, average temperatures of the host city in </w:t>
      </w:r>
      <w:r>
        <w:rPr>
          <w:color w:val="231F20"/>
          <w:w w:val="95"/>
        </w:rPr>
        <w:t xml:space="preserve">February were 3.1°C higher than in the emergent adaptation era. In the advanced adaptation era, average February temperatures in the host city </w:t>
      </w:r>
      <w:r>
        <w:rPr>
          <w:color w:val="231F20"/>
        </w:rPr>
        <w:t>were</w:t>
      </w:r>
      <w:r>
        <w:rPr>
          <w:color w:val="231F20"/>
          <w:spacing w:val="8"/>
        </w:rPr>
        <w:t xml:space="preserve"> </w:t>
      </w:r>
      <w:r>
        <w:rPr>
          <w:color w:val="231F20"/>
        </w:rPr>
        <w:t>7.8°C</w:t>
      </w:r>
      <w:r>
        <w:rPr>
          <w:color w:val="231F20"/>
          <w:spacing w:val="8"/>
        </w:rPr>
        <w:t xml:space="preserve"> </w:t>
      </w:r>
      <w:r>
        <w:rPr>
          <w:color w:val="231F20"/>
        </w:rPr>
        <w:t>higher</w:t>
      </w:r>
      <w:r>
        <w:rPr>
          <w:color w:val="231F20"/>
          <w:spacing w:val="8"/>
        </w:rPr>
        <w:t xml:space="preserve"> </w:t>
      </w:r>
      <w:r>
        <w:rPr>
          <w:color w:val="231F20"/>
        </w:rPr>
        <w:t>than</w:t>
      </w:r>
      <w:r>
        <w:rPr>
          <w:color w:val="231F20"/>
          <w:spacing w:val="8"/>
        </w:rPr>
        <w:t xml:space="preserve"> </w:t>
      </w:r>
      <w:r>
        <w:rPr>
          <w:color w:val="231F20"/>
        </w:rPr>
        <w:t>in</w:t>
      </w:r>
      <w:r>
        <w:rPr>
          <w:color w:val="231F20"/>
          <w:spacing w:val="8"/>
        </w:rPr>
        <w:t xml:space="preserve"> </w:t>
      </w:r>
      <w:r>
        <w:rPr>
          <w:color w:val="231F20"/>
        </w:rPr>
        <w:t>the</w:t>
      </w:r>
      <w:r>
        <w:rPr>
          <w:color w:val="231F20"/>
          <w:spacing w:val="8"/>
        </w:rPr>
        <w:t xml:space="preserve"> </w:t>
      </w:r>
      <w:r>
        <w:rPr>
          <w:color w:val="231F20"/>
        </w:rPr>
        <w:t>first</w:t>
      </w:r>
      <w:r>
        <w:rPr>
          <w:color w:val="231F20"/>
          <w:spacing w:val="8"/>
        </w:rPr>
        <w:t xml:space="preserve"> </w:t>
      </w:r>
      <w:r>
        <w:rPr>
          <w:color w:val="231F20"/>
        </w:rPr>
        <w:t>era,</w:t>
      </w:r>
      <w:r>
        <w:rPr>
          <w:color w:val="231F20"/>
          <w:spacing w:val="8"/>
        </w:rPr>
        <w:t xml:space="preserve"> </w:t>
      </w:r>
      <w:r>
        <w:rPr>
          <w:color w:val="231F20"/>
        </w:rPr>
        <w:t>with</w:t>
      </w:r>
      <w:r>
        <w:rPr>
          <w:color w:val="231F20"/>
          <w:spacing w:val="8"/>
        </w:rPr>
        <w:t xml:space="preserve"> </w:t>
      </w:r>
      <w:r>
        <w:rPr>
          <w:color w:val="231F20"/>
        </w:rPr>
        <w:t>Sochi</w:t>
      </w:r>
      <w:r>
        <w:rPr>
          <w:color w:val="231F20"/>
          <w:spacing w:val="8"/>
        </w:rPr>
        <w:t xml:space="preserve"> </w:t>
      </w:r>
      <w:r>
        <w:rPr>
          <w:color w:val="231F20"/>
        </w:rPr>
        <w:t>being</w:t>
      </w:r>
      <w:r>
        <w:rPr>
          <w:color w:val="231F20"/>
          <w:spacing w:val="8"/>
        </w:rPr>
        <w:t xml:space="preserve"> </w:t>
      </w:r>
      <w:r>
        <w:rPr>
          <w:color w:val="231F20"/>
        </w:rPr>
        <w:t>the</w:t>
      </w:r>
      <w:r>
        <w:rPr>
          <w:color w:val="231F20"/>
          <w:spacing w:val="8"/>
        </w:rPr>
        <w:t xml:space="preserve"> </w:t>
      </w:r>
      <w:r>
        <w:rPr>
          <w:color w:val="231F20"/>
        </w:rPr>
        <w:t>warmest</w:t>
      </w:r>
    </w:p>
    <w:p w14:paraId="060B322C" w14:textId="77777777" w:rsidR="00AE0598" w:rsidRDefault="00AE0598">
      <w:pPr>
        <w:pStyle w:val="Corpodetexto"/>
        <w:rPr>
          <w:sz w:val="22"/>
        </w:rPr>
      </w:pPr>
    </w:p>
    <w:p w14:paraId="76906E90" w14:textId="77777777" w:rsidR="00AE0598" w:rsidRDefault="0069255A">
      <w:pPr>
        <w:ind w:left="110" w:right="241"/>
        <w:jc w:val="right"/>
        <w:rPr>
          <w:rFonts w:ascii="Trebuchet MS"/>
          <w:i/>
          <w:sz w:val="18"/>
        </w:rPr>
      </w:pPr>
      <w:r>
        <w:rPr>
          <w:rFonts w:ascii="Trebuchet MS"/>
          <w:i/>
          <w:color w:val="231F20"/>
          <w:spacing w:val="-2"/>
          <w:sz w:val="18"/>
        </w:rPr>
        <w:t>(Continued)</w:t>
      </w:r>
    </w:p>
    <w:p w14:paraId="1DEE8D70" w14:textId="77777777" w:rsidR="00AE0598" w:rsidRDefault="00AE0598">
      <w:pPr>
        <w:jc w:val="right"/>
        <w:rPr>
          <w:rFonts w:ascii="Trebuchet MS"/>
          <w:sz w:val="18"/>
        </w:rPr>
        <w:sectPr w:rsidR="00AE0598">
          <w:pgSz w:w="8850" w:h="13270"/>
          <w:pgMar w:top="720" w:right="1060" w:bottom="280" w:left="1080" w:header="720" w:footer="720" w:gutter="0"/>
          <w:cols w:space="720"/>
        </w:sectPr>
      </w:pPr>
    </w:p>
    <w:p w14:paraId="63B4D6BB" w14:textId="098917DC" w:rsidR="00AE0598" w:rsidRDefault="0069255A">
      <w:pPr>
        <w:spacing w:before="87"/>
        <w:ind w:left="108"/>
        <w:rPr>
          <w:rFonts w:ascii="Trebuchet MS"/>
          <w:sz w:val="14"/>
        </w:rPr>
      </w:pPr>
      <w:r>
        <w:rPr>
          <w:noProof/>
        </w:rPr>
        <w:lastRenderedPageBreak/>
        <mc:AlternateContent>
          <mc:Choice Requires="wps">
            <w:drawing>
              <wp:anchor distT="0" distB="0" distL="114300" distR="114300" simplePos="0" relativeHeight="483745792" behindDoc="1" locked="0" layoutInCell="1" allowOverlap="1" wp14:anchorId="084F18C8" wp14:editId="3B0D552B">
                <wp:simplePos x="0" y="0"/>
                <wp:positionH relativeFrom="page">
                  <wp:posOffset>755650</wp:posOffset>
                </wp:positionH>
                <wp:positionV relativeFrom="page">
                  <wp:posOffset>838200</wp:posOffset>
                </wp:positionV>
                <wp:extent cx="4104005" cy="6645910"/>
                <wp:effectExtent l="0" t="0" r="0" b="0"/>
                <wp:wrapNone/>
                <wp:docPr id="79" name="docshape2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04005" cy="6645910"/>
                        </a:xfrm>
                        <a:prstGeom prst="rect">
                          <a:avLst/>
                        </a:prstGeom>
                        <a:solidFill>
                          <a:srgbClr val="DCDDD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3DD76B" id="docshape279" o:spid="_x0000_s1026" style="position:absolute;margin-left:59.5pt;margin-top:66pt;width:323.15pt;height:523.3pt;z-index:-195706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" fillcolor="#dcddde" stroked="f">
                <w10:wrap anchorx="page" anchory="page"/>
              </v:rect>
            </w:pict>
          </mc:Fallback>
        </mc:AlternateContent>
      </w:r>
      <w:r>
        <w:rPr>
          <w:rFonts w:ascii="Trebuchet MS"/>
          <w:color w:val="231F20"/>
          <w:w w:val="105"/>
          <w:sz w:val="14"/>
        </w:rPr>
        <w:t>190</w:t>
      </w:r>
      <w:r>
        <w:rPr>
          <w:rFonts w:ascii="Trebuchet MS"/>
          <w:color w:val="231F20"/>
          <w:spacing w:val="66"/>
          <w:w w:val="150"/>
          <w:sz w:val="14"/>
        </w:rPr>
        <w:t xml:space="preserve"> </w:t>
      </w:r>
      <w:r>
        <w:rPr>
          <w:rFonts w:ascii="Trebuchet MS"/>
          <w:color w:val="231F20"/>
          <w:w w:val="105"/>
          <w:sz w:val="14"/>
        </w:rPr>
        <w:t>Part</w:t>
      </w:r>
      <w:r>
        <w:rPr>
          <w:rFonts w:ascii="Trebuchet MS"/>
          <w:color w:val="231F20"/>
          <w:spacing w:val="-9"/>
          <w:w w:val="105"/>
          <w:sz w:val="14"/>
        </w:rPr>
        <w:t xml:space="preserve"> </w:t>
      </w:r>
      <w:r>
        <w:rPr>
          <w:rFonts w:ascii="Trebuchet MS"/>
          <w:color w:val="231F20"/>
          <w:w w:val="105"/>
          <w:sz w:val="14"/>
        </w:rPr>
        <w:t>4:</w:t>
      </w:r>
      <w:r>
        <w:rPr>
          <w:rFonts w:ascii="Trebuchet MS"/>
          <w:color w:val="231F20"/>
          <w:spacing w:val="-8"/>
          <w:w w:val="105"/>
          <w:sz w:val="14"/>
        </w:rPr>
        <w:t xml:space="preserve"> </w:t>
      </w:r>
      <w:r>
        <w:rPr>
          <w:rFonts w:ascii="Trebuchet MS"/>
          <w:color w:val="231F20"/>
          <w:w w:val="105"/>
          <w:sz w:val="14"/>
        </w:rPr>
        <w:t>Sport</w:t>
      </w:r>
      <w:r>
        <w:rPr>
          <w:rFonts w:ascii="Trebuchet MS"/>
          <w:color w:val="231F20"/>
          <w:spacing w:val="-9"/>
          <w:w w:val="105"/>
          <w:sz w:val="14"/>
        </w:rPr>
        <w:t xml:space="preserve"> </w:t>
      </w:r>
      <w:r>
        <w:rPr>
          <w:rFonts w:ascii="Trebuchet MS"/>
          <w:color w:val="231F20"/>
          <w:w w:val="105"/>
          <w:sz w:val="14"/>
        </w:rPr>
        <w:t>Tourism</w:t>
      </w:r>
      <w:r>
        <w:rPr>
          <w:rFonts w:ascii="Trebuchet MS"/>
          <w:color w:val="231F20"/>
          <w:spacing w:val="-9"/>
          <w:w w:val="105"/>
          <w:sz w:val="14"/>
        </w:rPr>
        <w:t xml:space="preserve"> </w:t>
      </w:r>
      <w:r>
        <w:rPr>
          <w:rFonts w:ascii="Trebuchet MS"/>
          <w:color w:val="231F20"/>
          <w:w w:val="105"/>
          <w:sz w:val="14"/>
        </w:rPr>
        <w:t>Development</w:t>
      </w:r>
      <w:r>
        <w:rPr>
          <w:rFonts w:ascii="Trebuchet MS"/>
          <w:color w:val="231F20"/>
          <w:spacing w:val="-9"/>
          <w:w w:val="105"/>
          <w:sz w:val="14"/>
        </w:rPr>
        <w:t xml:space="preserve"> </w:t>
      </w:r>
      <w:r>
        <w:rPr>
          <w:rFonts w:ascii="Trebuchet MS"/>
          <w:color w:val="231F20"/>
          <w:w w:val="105"/>
          <w:sz w:val="14"/>
        </w:rPr>
        <w:t>and</w:t>
      </w:r>
      <w:r>
        <w:rPr>
          <w:rFonts w:ascii="Trebuchet MS"/>
          <w:color w:val="231F20"/>
          <w:spacing w:val="-8"/>
          <w:w w:val="105"/>
          <w:sz w:val="14"/>
        </w:rPr>
        <w:t xml:space="preserve"> </w:t>
      </w:r>
      <w:r>
        <w:rPr>
          <w:rFonts w:ascii="Trebuchet MS"/>
          <w:color w:val="231F20"/>
          <w:spacing w:val="-4"/>
          <w:w w:val="105"/>
          <w:sz w:val="14"/>
        </w:rPr>
        <w:t>Time</w:t>
      </w:r>
    </w:p>
    <w:p w14:paraId="2B9EA3FE" w14:textId="77777777" w:rsidR="00AE0598" w:rsidRDefault="00AE0598">
      <w:pPr>
        <w:pStyle w:val="Corpodetexto"/>
        <w:spacing w:before="10"/>
        <w:rPr>
          <w:rFonts w:ascii="Trebuchet MS"/>
          <w:sz w:val="27"/>
        </w:rPr>
      </w:pPr>
    </w:p>
    <w:p w14:paraId="00061BDF" w14:textId="77777777" w:rsidR="00AE0598" w:rsidRDefault="0069255A">
      <w:pPr>
        <w:spacing w:before="100"/>
        <w:ind w:left="223"/>
        <w:jc w:val="both"/>
        <w:rPr>
          <w:rFonts w:ascii="Trebuchet MS"/>
          <w:sz w:val="18"/>
        </w:rPr>
      </w:pPr>
      <w:r>
        <w:rPr>
          <w:rFonts w:ascii="Trebuchet MS"/>
          <w:color w:val="231F20"/>
          <w:sz w:val="18"/>
        </w:rPr>
        <w:t>Case</w:t>
      </w:r>
      <w:r>
        <w:rPr>
          <w:rFonts w:ascii="Trebuchet MS"/>
          <w:color w:val="231F20"/>
          <w:spacing w:val="-8"/>
          <w:sz w:val="18"/>
        </w:rPr>
        <w:t xml:space="preserve"> </w:t>
      </w:r>
      <w:r>
        <w:rPr>
          <w:rFonts w:ascii="Trebuchet MS"/>
          <w:color w:val="231F20"/>
          <w:sz w:val="18"/>
        </w:rPr>
        <w:t>Study</w:t>
      </w:r>
      <w:r>
        <w:rPr>
          <w:rFonts w:ascii="Trebuchet MS"/>
          <w:color w:val="231F20"/>
          <w:spacing w:val="-8"/>
          <w:sz w:val="18"/>
        </w:rPr>
        <w:t xml:space="preserve"> </w:t>
      </w:r>
      <w:r>
        <w:rPr>
          <w:rFonts w:ascii="Trebuchet MS"/>
          <w:color w:val="231F20"/>
          <w:sz w:val="18"/>
        </w:rPr>
        <w:t>9.1:</w:t>
      </w:r>
      <w:r>
        <w:rPr>
          <w:rFonts w:ascii="Trebuchet MS"/>
          <w:color w:val="231F20"/>
          <w:spacing w:val="-8"/>
          <w:sz w:val="18"/>
        </w:rPr>
        <w:t xml:space="preserve"> </w:t>
      </w:r>
      <w:r>
        <w:rPr>
          <w:rFonts w:ascii="Trebuchet MS"/>
          <w:color w:val="231F20"/>
          <w:spacing w:val="-2"/>
          <w:sz w:val="18"/>
        </w:rPr>
        <w:t>(Continued)</w:t>
      </w:r>
    </w:p>
    <w:p w14:paraId="0567F044" w14:textId="77777777" w:rsidR="00AE0598" w:rsidRDefault="00AE0598">
      <w:pPr>
        <w:pStyle w:val="Corpodetexto"/>
        <w:spacing w:before="9"/>
        <w:rPr>
          <w:rFonts w:ascii="Trebuchet MS"/>
          <w:sz w:val="16"/>
        </w:rPr>
      </w:pPr>
    </w:p>
    <w:p w14:paraId="7F79014B" w14:textId="77777777" w:rsidR="00AE0598" w:rsidRDefault="0069255A">
      <w:pPr>
        <w:pStyle w:val="Corpodetexto"/>
        <w:spacing w:before="1" w:line="232" w:lineRule="auto"/>
        <w:ind w:left="223" w:right="241"/>
        <w:jc w:val="both"/>
      </w:pPr>
      <w:r>
        <w:rPr>
          <w:color w:val="231F20"/>
        </w:rPr>
        <w:t xml:space="preserve">city that ever hosted the Olympic Winter Games in 2014, considering both the city and the locations of the events (Rutty </w:t>
      </w:r>
      <w:r>
        <w:rPr>
          <w:i/>
          <w:color w:val="231F20"/>
        </w:rPr>
        <w:t>et al</w:t>
      </w:r>
      <w:r>
        <w:rPr>
          <w:color w:val="231F20"/>
        </w:rPr>
        <w:t>., 2014).</w:t>
      </w:r>
    </w:p>
    <w:p w14:paraId="6033A8A0" w14:textId="77777777" w:rsidR="00AE0598" w:rsidRDefault="0069255A">
      <w:pPr>
        <w:pStyle w:val="Corpodetexto"/>
        <w:spacing w:before="2" w:line="232" w:lineRule="auto"/>
        <w:ind w:left="223" w:right="238" w:firstLine="320"/>
        <w:jc w:val="both"/>
      </w:pPr>
      <w:r>
        <w:rPr>
          <w:color w:val="231F20"/>
          <w:w w:val="95"/>
        </w:rPr>
        <w:t>Consequently,</w:t>
      </w:r>
      <w:r>
        <w:rPr>
          <w:color w:val="231F20"/>
          <w:spacing w:val="-10"/>
          <w:w w:val="95"/>
        </w:rPr>
        <w:t xml:space="preserve"> </w:t>
      </w:r>
      <w:r>
        <w:rPr>
          <w:color w:val="231F20"/>
          <w:w w:val="95"/>
        </w:rPr>
        <w:t>important</w:t>
      </w:r>
      <w:r>
        <w:rPr>
          <w:color w:val="231F20"/>
          <w:spacing w:val="-9"/>
          <w:w w:val="95"/>
        </w:rPr>
        <w:t xml:space="preserve"> </w:t>
      </w:r>
      <w:r>
        <w:rPr>
          <w:color w:val="231F20"/>
          <w:w w:val="95"/>
        </w:rPr>
        <w:t>questions</w:t>
      </w:r>
      <w:r>
        <w:rPr>
          <w:color w:val="231F20"/>
          <w:spacing w:val="-9"/>
          <w:w w:val="95"/>
        </w:rPr>
        <w:t xml:space="preserve"> </w:t>
      </w:r>
      <w:r>
        <w:rPr>
          <w:color w:val="231F20"/>
          <w:w w:val="95"/>
        </w:rPr>
        <w:t>are</w:t>
      </w:r>
      <w:r>
        <w:rPr>
          <w:color w:val="231F20"/>
          <w:spacing w:val="-9"/>
          <w:w w:val="95"/>
        </w:rPr>
        <w:t xml:space="preserve"> </w:t>
      </w:r>
      <w:r>
        <w:rPr>
          <w:color w:val="231F20"/>
          <w:w w:val="95"/>
        </w:rPr>
        <w:t>if</w:t>
      </w:r>
      <w:r>
        <w:rPr>
          <w:color w:val="231F20"/>
          <w:spacing w:val="-10"/>
          <w:w w:val="95"/>
        </w:rPr>
        <w:t xml:space="preserve"> </w:t>
      </w:r>
      <w:r>
        <w:rPr>
          <w:color w:val="231F20"/>
          <w:w w:val="95"/>
        </w:rPr>
        <w:t>and</w:t>
      </w:r>
      <w:r>
        <w:rPr>
          <w:color w:val="231F20"/>
          <w:spacing w:val="-9"/>
          <w:w w:val="95"/>
        </w:rPr>
        <w:t xml:space="preserve"> </w:t>
      </w:r>
      <w:r>
        <w:rPr>
          <w:color w:val="231F20"/>
          <w:w w:val="95"/>
        </w:rPr>
        <w:t>where</w:t>
      </w:r>
      <w:r>
        <w:rPr>
          <w:color w:val="231F20"/>
          <w:spacing w:val="-9"/>
          <w:w w:val="95"/>
        </w:rPr>
        <w:t xml:space="preserve"> </w:t>
      </w:r>
      <w:r>
        <w:rPr>
          <w:color w:val="231F20"/>
          <w:w w:val="95"/>
        </w:rPr>
        <w:t>these</w:t>
      </w:r>
      <w:r>
        <w:rPr>
          <w:color w:val="231F20"/>
          <w:spacing w:val="-9"/>
          <w:w w:val="95"/>
        </w:rPr>
        <w:t xml:space="preserve"> </w:t>
      </w:r>
      <w:r>
        <w:rPr>
          <w:color w:val="231F20"/>
          <w:w w:val="95"/>
        </w:rPr>
        <w:t xml:space="preserve">adaptations can cope with climate change. Scott </w:t>
      </w:r>
      <w:r>
        <w:rPr>
          <w:i/>
          <w:color w:val="231F20"/>
          <w:w w:val="95"/>
        </w:rPr>
        <w:t>et al</w:t>
      </w:r>
      <w:r>
        <w:rPr>
          <w:color w:val="231F20"/>
          <w:w w:val="95"/>
        </w:rPr>
        <w:t>. (2014) i</w:t>
      </w:r>
      <w:r>
        <w:rPr>
          <w:color w:val="231F20"/>
          <w:w w:val="95"/>
        </w:rPr>
        <w:t xml:space="preserve">nvestigated the ability </w:t>
      </w:r>
      <w:r>
        <w:rPr>
          <w:color w:val="231F20"/>
        </w:rPr>
        <w:t>of the 19 previous host regions to provide suitable conditions in the future. The number of reliable regions decreases to 11 (low emission scenario) and 10 (high emission scenario) in the 2050s, with recent host locations and unsucc</w:t>
      </w:r>
      <w:r>
        <w:rPr>
          <w:color w:val="231F20"/>
        </w:rPr>
        <w:t xml:space="preserve">essful bidders of the recent Games being at high risk (Oslo, Vancouver) or unreliable </w:t>
      </w:r>
      <w:r>
        <w:rPr>
          <w:color w:val="231F20"/>
          <w:spacing w:val="-4"/>
          <w:w w:val="86"/>
        </w:rPr>
        <w:t>(</w:t>
      </w:r>
      <w:r>
        <w:rPr>
          <w:color w:val="231F20"/>
          <w:spacing w:val="-1"/>
          <w:w w:val="124"/>
        </w:rPr>
        <w:t>G</w:t>
      </w:r>
      <w:r>
        <w:rPr>
          <w:color w:val="231F20"/>
        </w:rPr>
        <w:t>a</w:t>
      </w:r>
      <w:r>
        <w:rPr>
          <w:color w:val="231F20"/>
          <w:spacing w:val="-1"/>
          <w:w w:val="92"/>
        </w:rPr>
        <w:t>r</w:t>
      </w:r>
      <w:r>
        <w:rPr>
          <w:color w:val="231F20"/>
          <w:spacing w:val="1"/>
          <w:w w:val="98"/>
        </w:rPr>
        <w:t>m</w:t>
      </w:r>
      <w:r>
        <w:rPr>
          <w:color w:val="231F20"/>
          <w:spacing w:val="-2"/>
          <w:w w:val="99"/>
        </w:rPr>
        <w:t>i</w:t>
      </w:r>
      <w:r>
        <w:rPr>
          <w:color w:val="231F20"/>
          <w:spacing w:val="-1"/>
          <w:w w:val="89"/>
        </w:rPr>
        <w:t>s</w:t>
      </w:r>
      <w:r>
        <w:rPr>
          <w:color w:val="231F20"/>
          <w:spacing w:val="-2"/>
          <w:w w:val="98"/>
        </w:rPr>
        <w:t>c</w:t>
      </w:r>
      <w:r>
        <w:rPr>
          <w:color w:val="231F20"/>
          <w:spacing w:val="6"/>
          <w:w w:val="98"/>
        </w:rPr>
        <w:t>h</w:t>
      </w:r>
      <w:r>
        <w:rPr>
          <w:color w:val="231F20"/>
          <w:w w:val="59"/>
        </w:rPr>
        <w:t>/</w:t>
      </w:r>
      <w:r>
        <w:rPr>
          <w:color w:val="231F20"/>
          <w:spacing w:val="-4"/>
          <w:w w:val="119"/>
        </w:rPr>
        <w:t>M</w:t>
      </w:r>
      <w:r>
        <w:rPr>
          <w:color w:val="231F20"/>
          <w:spacing w:val="1"/>
          <w:w w:val="98"/>
        </w:rPr>
        <w:t>u</w:t>
      </w:r>
      <w:r>
        <w:rPr>
          <w:color w:val="231F20"/>
          <w:spacing w:val="1"/>
          <w:w w:val="97"/>
        </w:rPr>
        <w:t>n</w:t>
      </w:r>
      <w:r>
        <w:rPr>
          <w:color w:val="231F20"/>
          <w:spacing w:val="-4"/>
          <w:w w:val="99"/>
        </w:rPr>
        <w:t>i</w:t>
      </w:r>
      <w:r>
        <w:rPr>
          <w:color w:val="231F20"/>
          <w:spacing w:val="-2"/>
          <w:w w:val="98"/>
        </w:rPr>
        <w:t>c</w:t>
      </w:r>
      <w:r>
        <w:rPr>
          <w:color w:val="231F20"/>
          <w:spacing w:val="-1"/>
          <w:w w:val="98"/>
        </w:rPr>
        <w:t>h</w:t>
      </w:r>
      <w:r>
        <w:rPr>
          <w:color w:val="231F20"/>
          <w:spacing w:val="-3"/>
          <w:w w:val="134"/>
        </w:rPr>
        <w:t>,</w:t>
      </w:r>
      <w:r>
        <w:rPr>
          <w:color w:val="231F20"/>
          <w:spacing w:val="-1"/>
          <w:w w:val="99"/>
        </w:rPr>
        <w:t xml:space="preserve"> </w:t>
      </w:r>
      <w:r>
        <w:rPr>
          <w:color w:val="231F20"/>
        </w:rPr>
        <w:t>Sochi). In the 2080s low emission scenario, 10 of the former locations would still</w:t>
      </w:r>
      <w:r>
        <w:rPr>
          <w:color w:val="231F20"/>
          <w:spacing w:val="-8"/>
        </w:rPr>
        <w:t xml:space="preserve"> </w:t>
      </w:r>
      <w:r>
        <w:rPr>
          <w:color w:val="231F20"/>
        </w:rPr>
        <w:t>be</w:t>
      </w:r>
      <w:r>
        <w:rPr>
          <w:color w:val="231F20"/>
          <w:spacing w:val="-8"/>
        </w:rPr>
        <w:t xml:space="preserve"> </w:t>
      </w:r>
      <w:r>
        <w:rPr>
          <w:color w:val="231F20"/>
        </w:rPr>
        <w:t>reliable,</w:t>
      </w:r>
      <w:r>
        <w:rPr>
          <w:color w:val="231F20"/>
          <w:spacing w:val="-8"/>
        </w:rPr>
        <w:t xml:space="preserve"> </w:t>
      </w:r>
      <w:r>
        <w:rPr>
          <w:color w:val="231F20"/>
        </w:rPr>
        <w:t>whereas</w:t>
      </w:r>
      <w:r>
        <w:rPr>
          <w:color w:val="231F20"/>
          <w:spacing w:val="-8"/>
        </w:rPr>
        <w:t xml:space="preserve"> </w:t>
      </w:r>
      <w:r>
        <w:rPr>
          <w:color w:val="231F20"/>
        </w:rPr>
        <w:t>in</w:t>
      </w:r>
      <w:r>
        <w:rPr>
          <w:color w:val="231F20"/>
          <w:spacing w:val="-8"/>
        </w:rPr>
        <w:t xml:space="preserve"> </w:t>
      </w:r>
      <w:r>
        <w:rPr>
          <w:color w:val="231F20"/>
        </w:rPr>
        <w:t>the</w:t>
      </w:r>
      <w:r>
        <w:rPr>
          <w:color w:val="231F20"/>
          <w:spacing w:val="-8"/>
        </w:rPr>
        <w:t xml:space="preserve"> </w:t>
      </w:r>
      <w:r>
        <w:rPr>
          <w:color w:val="231F20"/>
        </w:rPr>
        <w:t>high</w:t>
      </w:r>
      <w:r>
        <w:rPr>
          <w:color w:val="231F20"/>
          <w:spacing w:val="-8"/>
        </w:rPr>
        <w:t xml:space="preserve"> </w:t>
      </w:r>
      <w:r>
        <w:rPr>
          <w:color w:val="231F20"/>
        </w:rPr>
        <w:t>emission</w:t>
      </w:r>
      <w:r>
        <w:rPr>
          <w:color w:val="231F20"/>
          <w:spacing w:val="-8"/>
        </w:rPr>
        <w:t xml:space="preserve"> </w:t>
      </w:r>
      <w:r>
        <w:rPr>
          <w:color w:val="231F20"/>
        </w:rPr>
        <w:t>scenario</w:t>
      </w:r>
      <w:r>
        <w:rPr>
          <w:color w:val="231F20"/>
          <w:spacing w:val="-8"/>
        </w:rPr>
        <w:t xml:space="preserve"> </w:t>
      </w:r>
      <w:r>
        <w:rPr>
          <w:color w:val="231F20"/>
        </w:rPr>
        <w:t>only</w:t>
      </w:r>
      <w:r>
        <w:rPr>
          <w:color w:val="231F20"/>
          <w:spacing w:val="-8"/>
        </w:rPr>
        <w:t xml:space="preserve"> </w:t>
      </w:r>
      <w:r>
        <w:rPr>
          <w:color w:val="231F20"/>
        </w:rPr>
        <w:t>six</w:t>
      </w:r>
      <w:r>
        <w:rPr>
          <w:color w:val="231F20"/>
          <w:spacing w:val="-8"/>
        </w:rPr>
        <w:t xml:space="preserve"> </w:t>
      </w:r>
      <w:r>
        <w:rPr>
          <w:color w:val="231F20"/>
        </w:rPr>
        <w:t xml:space="preserve">reliable </w:t>
      </w:r>
      <w:r>
        <w:rPr>
          <w:color w:val="231F20"/>
          <w:w w:val="95"/>
        </w:rPr>
        <w:t>destinations</w:t>
      </w:r>
      <w:r>
        <w:rPr>
          <w:color w:val="231F20"/>
          <w:spacing w:val="-6"/>
          <w:w w:val="95"/>
        </w:rPr>
        <w:t xml:space="preserve"> </w:t>
      </w:r>
      <w:r>
        <w:rPr>
          <w:color w:val="231F20"/>
          <w:w w:val="95"/>
        </w:rPr>
        <w:t>would</w:t>
      </w:r>
      <w:r>
        <w:rPr>
          <w:color w:val="231F20"/>
          <w:spacing w:val="-6"/>
          <w:w w:val="95"/>
        </w:rPr>
        <w:t xml:space="preserve"> </w:t>
      </w:r>
      <w:r>
        <w:rPr>
          <w:color w:val="231F20"/>
          <w:w w:val="95"/>
        </w:rPr>
        <w:t>remain</w:t>
      </w:r>
      <w:r>
        <w:rPr>
          <w:color w:val="231F20"/>
          <w:spacing w:val="-6"/>
          <w:w w:val="95"/>
        </w:rPr>
        <w:t xml:space="preserve"> </w:t>
      </w:r>
      <w:r>
        <w:rPr>
          <w:color w:val="231F20"/>
          <w:w w:val="95"/>
        </w:rPr>
        <w:t>viable.</w:t>
      </w:r>
      <w:r>
        <w:rPr>
          <w:color w:val="231F20"/>
          <w:spacing w:val="-6"/>
          <w:w w:val="95"/>
        </w:rPr>
        <w:t xml:space="preserve"> </w:t>
      </w:r>
      <w:r>
        <w:rPr>
          <w:color w:val="231F20"/>
          <w:w w:val="95"/>
        </w:rPr>
        <w:t>These</w:t>
      </w:r>
      <w:r>
        <w:rPr>
          <w:color w:val="231F20"/>
          <w:spacing w:val="-6"/>
          <w:w w:val="95"/>
        </w:rPr>
        <w:t xml:space="preserve"> </w:t>
      </w:r>
      <w:r>
        <w:rPr>
          <w:color w:val="231F20"/>
          <w:w w:val="95"/>
        </w:rPr>
        <w:t>results</w:t>
      </w:r>
      <w:r>
        <w:rPr>
          <w:color w:val="231F20"/>
          <w:spacing w:val="-6"/>
          <w:w w:val="95"/>
        </w:rPr>
        <w:t xml:space="preserve"> </w:t>
      </w:r>
      <w:r>
        <w:rPr>
          <w:color w:val="231F20"/>
          <w:w w:val="95"/>
        </w:rPr>
        <w:t>suggest</w:t>
      </w:r>
      <w:r>
        <w:rPr>
          <w:color w:val="231F20"/>
          <w:spacing w:val="-6"/>
          <w:w w:val="95"/>
        </w:rPr>
        <w:t xml:space="preserve"> </w:t>
      </w:r>
      <w:r>
        <w:rPr>
          <w:color w:val="231F20"/>
          <w:w w:val="95"/>
        </w:rPr>
        <w:t>that</w:t>
      </w:r>
      <w:r>
        <w:rPr>
          <w:color w:val="231F20"/>
          <w:spacing w:val="-6"/>
          <w:w w:val="95"/>
        </w:rPr>
        <w:t xml:space="preserve"> </w:t>
      </w:r>
      <w:r>
        <w:rPr>
          <w:color w:val="231F20"/>
          <w:w w:val="95"/>
        </w:rPr>
        <w:t>more</w:t>
      </w:r>
      <w:r>
        <w:rPr>
          <w:color w:val="231F20"/>
          <w:spacing w:val="-6"/>
          <w:w w:val="95"/>
        </w:rPr>
        <w:t xml:space="preserve"> </w:t>
      </w:r>
      <w:r>
        <w:rPr>
          <w:color w:val="231F20"/>
          <w:w w:val="95"/>
        </w:rPr>
        <w:t xml:space="preserve">weight </w:t>
      </w:r>
      <w:r>
        <w:rPr>
          <w:color w:val="231F20"/>
        </w:rPr>
        <w:t>should be given to the climatic suitability of potential future locations to</w:t>
      </w:r>
      <w:r>
        <w:rPr>
          <w:color w:val="231F20"/>
          <w:spacing w:val="-8"/>
        </w:rPr>
        <w:t xml:space="preserve"> </w:t>
      </w:r>
      <w:r>
        <w:rPr>
          <w:color w:val="231F20"/>
        </w:rPr>
        <w:t>host</w:t>
      </w:r>
      <w:r>
        <w:rPr>
          <w:color w:val="231F20"/>
          <w:spacing w:val="-8"/>
        </w:rPr>
        <w:t xml:space="preserve"> </w:t>
      </w:r>
      <w:r>
        <w:rPr>
          <w:color w:val="231F20"/>
        </w:rPr>
        <w:t>the</w:t>
      </w:r>
      <w:r>
        <w:rPr>
          <w:color w:val="231F20"/>
          <w:spacing w:val="-8"/>
        </w:rPr>
        <w:t xml:space="preserve"> </w:t>
      </w:r>
      <w:r>
        <w:rPr>
          <w:color w:val="231F20"/>
        </w:rPr>
        <w:t>Winter</w:t>
      </w:r>
      <w:r>
        <w:rPr>
          <w:color w:val="231F20"/>
          <w:spacing w:val="-8"/>
        </w:rPr>
        <w:t xml:space="preserve"> </w:t>
      </w:r>
      <w:r>
        <w:rPr>
          <w:color w:val="231F20"/>
        </w:rPr>
        <w:t>Olympic</w:t>
      </w:r>
      <w:r>
        <w:rPr>
          <w:color w:val="231F20"/>
          <w:spacing w:val="-8"/>
        </w:rPr>
        <w:t xml:space="preserve"> </w:t>
      </w:r>
      <w:r>
        <w:rPr>
          <w:color w:val="231F20"/>
        </w:rPr>
        <w:t>Games</w:t>
      </w:r>
      <w:r>
        <w:rPr>
          <w:color w:val="231F20"/>
          <w:spacing w:val="-8"/>
        </w:rPr>
        <w:t xml:space="preserve"> </w:t>
      </w:r>
      <w:r>
        <w:rPr>
          <w:color w:val="231F20"/>
        </w:rPr>
        <w:t>and</w:t>
      </w:r>
      <w:r>
        <w:rPr>
          <w:color w:val="231F20"/>
          <w:spacing w:val="-8"/>
        </w:rPr>
        <w:t xml:space="preserve"> </w:t>
      </w:r>
      <w:r>
        <w:rPr>
          <w:color w:val="231F20"/>
        </w:rPr>
        <w:t>that</w:t>
      </w:r>
      <w:r>
        <w:rPr>
          <w:color w:val="231F20"/>
          <w:spacing w:val="-8"/>
        </w:rPr>
        <w:t xml:space="preserve"> </w:t>
      </w:r>
      <w:r>
        <w:rPr>
          <w:color w:val="231F20"/>
        </w:rPr>
        <w:t>climate</w:t>
      </w:r>
      <w:r>
        <w:rPr>
          <w:color w:val="231F20"/>
          <w:spacing w:val="-8"/>
        </w:rPr>
        <w:t xml:space="preserve"> </w:t>
      </w:r>
      <w:r>
        <w:rPr>
          <w:color w:val="231F20"/>
        </w:rPr>
        <w:t>change</w:t>
      </w:r>
      <w:r>
        <w:rPr>
          <w:color w:val="231F20"/>
          <w:spacing w:val="-8"/>
        </w:rPr>
        <w:t xml:space="preserve"> </w:t>
      </w:r>
      <w:r>
        <w:rPr>
          <w:color w:val="231F20"/>
        </w:rPr>
        <w:t>needs</w:t>
      </w:r>
      <w:r>
        <w:rPr>
          <w:color w:val="231F20"/>
          <w:spacing w:val="-8"/>
        </w:rPr>
        <w:t xml:space="preserve"> </w:t>
      </w:r>
      <w:r>
        <w:rPr>
          <w:color w:val="231F20"/>
        </w:rPr>
        <w:t>to</w:t>
      </w:r>
      <w:r>
        <w:rPr>
          <w:color w:val="231F20"/>
          <w:spacing w:val="-8"/>
        </w:rPr>
        <w:t xml:space="preserve"> </w:t>
      </w:r>
      <w:r>
        <w:rPr>
          <w:color w:val="231F20"/>
        </w:rPr>
        <w:t>be taken into account, especially as almost a decade lies between the bid process</w:t>
      </w:r>
      <w:r>
        <w:rPr>
          <w:color w:val="231F20"/>
          <w:spacing w:val="-3"/>
        </w:rPr>
        <w:t xml:space="preserve"> </w:t>
      </w:r>
      <w:r>
        <w:rPr>
          <w:color w:val="231F20"/>
        </w:rPr>
        <w:t>and</w:t>
      </w:r>
      <w:r>
        <w:rPr>
          <w:color w:val="231F20"/>
          <w:spacing w:val="-3"/>
        </w:rPr>
        <w:t xml:space="preserve"> </w:t>
      </w:r>
      <w:r>
        <w:rPr>
          <w:color w:val="231F20"/>
        </w:rPr>
        <w:t>the</w:t>
      </w:r>
      <w:r>
        <w:rPr>
          <w:color w:val="231F20"/>
          <w:spacing w:val="-3"/>
        </w:rPr>
        <w:t xml:space="preserve"> </w:t>
      </w:r>
      <w:r>
        <w:rPr>
          <w:color w:val="231F20"/>
        </w:rPr>
        <w:t>actual</w:t>
      </w:r>
      <w:r>
        <w:rPr>
          <w:color w:val="231F20"/>
          <w:spacing w:val="-3"/>
        </w:rPr>
        <w:t xml:space="preserve"> </w:t>
      </w:r>
      <w:r>
        <w:rPr>
          <w:color w:val="231F20"/>
        </w:rPr>
        <w:t>hosting</w:t>
      </w:r>
      <w:r>
        <w:rPr>
          <w:color w:val="231F20"/>
          <w:spacing w:val="-3"/>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rPr>
        <w:t>even</w:t>
      </w:r>
      <w:r>
        <w:rPr>
          <w:color w:val="231F20"/>
        </w:rPr>
        <w:t>t,</w:t>
      </w:r>
      <w:r>
        <w:rPr>
          <w:color w:val="231F20"/>
          <w:spacing w:val="-3"/>
        </w:rPr>
        <w:t xml:space="preserve"> </w:t>
      </w:r>
      <w:r>
        <w:rPr>
          <w:color w:val="231F20"/>
        </w:rPr>
        <w:t>during</w:t>
      </w:r>
      <w:r>
        <w:rPr>
          <w:color w:val="231F20"/>
          <w:spacing w:val="-3"/>
        </w:rPr>
        <w:t xml:space="preserve"> </w:t>
      </w:r>
      <w:r>
        <w:rPr>
          <w:color w:val="231F20"/>
        </w:rPr>
        <w:t>which</w:t>
      </w:r>
      <w:r>
        <w:rPr>
          <w:color w:val="231F20"/>
          <w:spacing w:val="-3"/>
        </w:rPr>
        <w:t xml:space="preserve"> </w:t>
      </w:r>
      <w:r>
        <w:rPr>
          <w:color w:val="231F20"/>
        </w:rPr>
        <w:t>time</w:t>
      </w:r>
      <w:r>
        <w:rPr>
          <w:color w:val="231F20"/>
          <w:spacing w:val="-3"/>
        </w:rPr>
        <w:t xml:space="preserve"> </w:t>
      </w:r>
      <w:r>
        <w:rPr>
          <w:color w:val="231F20"/>
        </w:rPr>
        <w:t>further climatic changes will inevitably accelerate and advance.</w:t>
      </w:r>
    </w:p>
    <w:p w14:paraId="38D8FF08" w14:textId="77777777" w:rsidR="00AE0598" w:rsidRDefault="0069255A">
      <w:pPr>
        <w:pStyle w:val="Corpodetexto"/>
        <w:spacing w:before="18" w:line="232" w:lineRule="auto"/>
        <w:ind w:left="223" w:right="240" w:firstLine="320"/>
        <w:jc w:val="both"/>
      </w:pPr>
      <w:r>
        <w:rPr>
          <w:color w:val="231F20"/>
          <w:w w:val="95"/>
        </w:rPr>
        <w:t>Adaptations</w:t>
      </w:r>
      <w:r>
        <w:rPr>
          <w:color w:val="231F20"/>
          <w:spacing w:val="-2"/>
          <w:w w:val="95"/>
        </w:rPr>
        <w:t xml:space="preserve"> </w:t>
      </w:r>
      <w:r>
        <w:rPr>
          <w:color w:val="231F20"/>
          <w:w w:val="95"/>
        </w:rPr>
        <w:t>to</w:t>
      </w:r>
      <w:r>
        <w:rPr>
          <w:color w:val="231F20"/>
          <w:spacing w:val="-2"/>
          <w:w w:val="95"/>
        </w:rPr>
        <w:t xml:space="preserve"> </w:t>
      </w:r>
      <w:r>
        <w:rPr>
          <w:color w:val="231F20"/>
          <w:w w:val="95"/>
        </w:rPr>
        <w:t>weather</w:t>
      </w:r>
      <w:r>
        <w:rPr>
          <w:color w:val="231F20"/>
          <w:spacing w:val="-2"/>
          <w:w w:val="95"/>
        </w:rPr>
        <w:t xml:space="preserve"> </w:t>
      </w:r>
      <w:r>
        <w:rPr>
          <w:color w:val="231F20"/>
          <w:w w:val="95"/>
        </w:rPr>
        <w:t>and</w:t>
      </w:r>
      <w:r>
        <w:rPr>
          <w:color w:val="231F20"/>
          <w:spacing w:val="-2"/>
          <w:w w:val="95"/>
        </w:rPr>
        <w:t xml:space="preserve"> </w:t>
      </w:r>
      <w:r>
        <w:rPr>
          <w:color w:val="231F20"/>
          <w:w w:val="95"/>
        </w:rPr>
        <w:t>climate</w:t>
      </w:r>
      <w:r>
        <w:rPr>
          <w:color w:val="231F20"/>
          <w:spacing w:val="-2"/>
          <w:w w:val="95"/>
        </w:rPr>
        <w:t xml:space="preserve"> </w:t>
      </w:r>
      <w:r>
        <w:rPr>
          <w:color w:val="231F20"/>
          <w:w w:val="95"/>
        </w:rPr>
        <w:t>risks</w:t>
      </w:r>
      <w:r>
        <w:rPr>
          <w:color w:val="231F20"/>
          <w:spacing w:val="-2"/>
          <w:w w:val="95"/>
        </w:rPr>
        <w:t xml:space="preserve"> </w:t>
      </w:r>
      <w:r>
        <w:rPr>
          <w:color w:val="231F20"/>
          <w:w w:val="95"/>
        </w:rPr>
        <w:t>carried</w:t>
      </w:r>
      <w:r>
        <w:rPr>
          <w:color w:val="231F20"/>
          <w:spacing w:val="-2"/>
          <w:w w:val="95"/>
        </w:rPr>
        <w:t xml:space="preserve"> </w:t>
      </w:r>
      <w:r>
        <w:rPr>
          <w:color w:val="231F20"/>
          <w:w w:val="95"/>
        </w:rPr>
        <w:t>out</w:t>
      </w:r>
      <w:r>
        <w:rPr>
          <w:color w:val="231F20"/>
          <w:spacing w:val="-2"/>
          <w:w w:val="95"/>
        </w:rPr>
        <w:t xml:space="preserve"> </w:t>
      </w:r>
      <w:r>
        <w:rPr>
          <w:color w:val="231F20"/>
          <w:w w:val="95"/>
        </w:rPr>
        <w:t>for</w:t>
      </w:r>
      <w:r>
        <w:rPr>
          <w:color w:val="231F20"/>
          <w:spacing w:val="-2"/>
          <w:w w:val="95"/>
        </w:rPr>
        <w:t xml:space="preserve"> </w:t>
      </w:r>
      <w:r>
        <w:rPr>
          <w:color w:val="231F20"/>
          <w:w w:val="95"/>
        </w:rPr>
        <w:t>mega-events like</w:t>
      </w:r>
      <w:r>
        <w:rPr>
          <w:color w:val="231F20"/>
          <w:spacing w:val="-5"/>
          <w:w w:val="95"/>
        </w:rPr>
        <w:t xml:space="preserve"> </w:t>
      </w:r>
      <w:r>
        <w:rPr>
          <w:color w:val="231F20"/>
          <w:w w:val="95"/>
        </w:rPr>
        <w:t>the</w:t>
      </w:r>
      <w:r>
        <w:rPr>
          <w:color w:val="231F20"/>
          <w:spacing w:val="-5"/>
          <w:w w:val="95"/>
        </w:rPr>
        <w:t xml:space="preserve"> </w:t>
      </w:r>
      <w:r>
        <w:rPr>
          <w:color w:val="231F20"/>
          <w:w w:val="95"/>
        </w:rPr>
        <w:t>Winter</w:t>
      </w:r>
      <w:r>
        <w:rPr>
          <w:color w:val="231F20"/>
          <w:spacing w:val="-5"/>
          <w:w w:val="95"/>
        </w:rPr>
        <w:t xml:space="preserve"> </w:t>
      </w:r>
      <w:r>
        <w:rPr>
          <w:color w:val="231F20"/>
          <w:w w:val="95"/>
        </w:rPr>
        <w:t>Olympic</w:t>
      </w:r>
      <w:r>
        <w:rPr>
          <w:color w:val="231F20"/>
          <w:spacing w:val="-5"/>
          <w:w w:val="95"/>
        </w:rPr>
        <w:t xml:space="preserve"> </w:t>
      </w:r>
      <w:r>
        <w:rPr>
          <w:color w:val="231F20"/>
          <w:w w:val="95"/>
        </w:rPr>
        <w:t>Games</w:t>
      </w:r>
      <w:r>
        <w:rPr>
          <w:color w:val="231F20"/>
          <w:spacing w:val="-5"/>
          <w:w w:val="95"/>
        </w:rPr>
        <w:t xml:space="preserve"> </w:t>
      </w:r>
      <w:r>
        <w:rPr>
          <w:color w:val="231F20"/>
          <w:w w:val="95"/>
        </w:rPr>
        <w:t>represent</w:t>
      </w:r>
      <w:r>
        <w:rPr>
          <w:color w:val="231F20"/>
          <w:spacing w:val="-5"/>
          <w:w w:val="95"/>
        </w:rPr>
        <w:t xml:space="preserve"> </w:t>
      </w:r>
      <w:r>
        <w:rPr>
          <w:color w:val="231F20"/>
          <w:w w:val="95"/>
        </w:rPr>
        <w:t>the</w:t>
      </w:r>
      <w:r>
        <w:rPr>
          <w:color w:val="231F20"/>
          <w:spacing w:val="-5"/>
          <w:w w:val="95"/>
        </w:rPr>
        <w:t xml:space="preserve"> </w:t>
      </w:r>
      <w:r>
        <w:rPr>
          <w:color w:val="231F20"/>
          <w:w w:val="95"/>
        </w:rPr>
        <w:t>technical</w:t>
      </w:r>
      <w:r>
        <w:rPr>
          <w:color w:val="231F20"/>
          <w:spacing w:val="-5"/>
          <w:w w:val="95"/>
        </w:rPr>
        <w:t xml:space="preserve"> </w:t>
      </w:r>
      <w:r>
        <w:rPr>
          <w:color w:val="231F20"/>
          <w:w w:val="95"/>
        </w:rPr>
        <w:t>possibilities</w:t>
      </w:r>
      <w:r>
        <w:rPr>
          <w:color w:val="231F20"/>
          <w:spacing w:val="-5"/>
          <w:w w:val="95"/>
        </w:rPr>
        <w:t xml:space="preserve"> </w:t>
      </w:r>
      <w:r>
        <w:rPr>
          <w:color w:val="231F20"/>
          <w:w w:val="95"/>
        </w:rPr>
        <w:t>of</w:t>
      </w:r>
      <w:r>
        <w:rPr>
          <w:color w:val="231F20"/>
        </w:rPr>
        <w:t xml:space="preserve"> </w:t>
      </w:r>
      <w:r>
        <w:rPr>
          <w:color w:val="231F20"/>
          <w:w w:val="95"/>
        </w:rPr>
        <w:t xml:space="preserve">the </w:t>
      </w:r>
      <w:r>
        <w:rPr>
          <w:color w:val="231F20"/>
          <w:spacing w:val="-2"/>
          <w:w w:val="95"/>
        </w:rPr>
        <w:t>snow-based</w:t>
      </w:r>
      <w:r>
        <w:rPr>
          <w:color w:val="231F20"/>
          <w:spacing w:val="-8"/>
          <w:w w:val="95"/>
        </w:rPr>
        <w:t xml:space="preserve"> </w:t>
      </w:r>
      <w:r>
        <w:rPr>
          <w:color w:val="231F20"/>
          <w:spacing w:val="-2"/>
          <w:w w:val="95"/>
        </w:rPr>
        <w:t>winter</w:t>
      </w:r>
      <w:r>
        <w:rPr>
          <w:color w:val="231F20"/>
          <w:spacing w:val="-7"/>
          <w:w w:val="95"/>
        </w:rPr>
        <w:t xml:space="preserve"> </w:t>
      </w:r>
      <w:r>
        <w:rPr>
          <w:color w:val="231F20"/>
          <w:spacing w:val="-2"/>
          <w:w w:val="95"/>
        </w:rPr>
        <w:t>tourism</w:t>
      </w:r>
      <w:r>
        <w:rPr>
          <w:color w:val="231F20"/>
          <w:spacing w:val="-7"/>
          <w:w w:val="95"/>
        </w:rPr>
        <w:t xml:space="preserve"> </w:t>
      </w:r>
      <w:r>
        <w:rPr>
          <w:color w:val="231F20"/>
          <w:spacing w:val="-2"/>
          <w:w w:val="95"/>
        </w:rPr>
        <w:t>industry.</w:t>
      </w:r>
      <w:r>
        <w:rPr>
          <w:color w:val="231F20"/>
          <w:spacing w:val="-7"/>
          <w:w w:val="95"/>
        </w:rPr>
        <w:t xml:space="preserve"> </w:t>
      </w:r>
      <w:r>
        <w:rPr>
          <w:color w:val="231F20"/>
          <w:spacing w:val="-2"/>
          <w:w w:val="95"/>
        </w:rPr>
        <w:t>Some</w:t>
      </w:r>
      <w:r>
        <w:rPr>
          <w:color w:val="231F20"/>
          <w:spacing w:val="-8"/>
          <w:w w:val="95"/>
        </w:rPr>
        <w:t xml:space="preserve"> </w:t>
      </w:r>
      <w:r>
        <w:rPr>
          <w:color w:val="231F20"/>
          <w:spacing w:val="-2"/>
          <w:w w:val="95"/>
        </w:rPr>
        <w:t>of</w:t>
      </w:r>
      <w:r>
        <w:rPr>
          <w:color w:val="231F20"/>
          <w:spacing w:val="1"/>
        </w:rPr>
        <w:t xml:space="preserve"> </w:t>
      </w:r>
      <w:r>
        <w:rPr>
          <w:color w:val="231F20"/>
          <w:spacing w:val="-2"/>
          <w:w w:val="95"/>
        </w:rPr>
        <w:t>these</w:t>
      </w:r>
      <w:r>
        <w:rPr>
          <w:color w:val="231F20"/>
          <w:spacing w:val="-7"/>
          <w:w w:val="95"/>
        </w:rPr>
        <w:t xml:space="preserve"> </w:t>
      </w:r>
      <w:r>
        <w:rPr>
          <w:color w:val="231F20"/>
          <w:spacing w:val="-2"/>
          <w:w w:val="95"/>
        </w:rPr>
        <w:t>measures</w:t>
      </w:r>
      <w:r>
        <w:rPr>
          <w:color w:val="231F20"/>
          <w:spacing w:val="-8"/>
          <w:w w:val="95"/>
        </w:rPr>
        <w:t xml:space="preserve"> </w:t>
      </w:r>
      <w:r>
        <w:rPr>
          <w:color w:val="231F20"/>
          <w:spacing w:val="-2"/>
          <w:w w:val="95"/>
        </w:rPr>
        <w:t>have</w:t>
      </w:r>
      <w:r>
        <w:rPr>
          <w:color w:val="231F20"/>
          <w:spacing w:val="-7"/>
          <w:w w:val="95"/>
        </w:rPr>
        <w:t xml:space="preserve"> </w:t>
      </w:r>
      <w:r>
        <w:rPr>
          <w:color w:val="231F20"/>
          <w:spacing w:val="-2"/>
          <w:w w:val="95"/>
        </w:rPr>
        <w:t xml:space="preserve">already </w:t>
      </w:r>
      <w:r>
        <w:rPr>
          <w:color w:val="231F20"/>
        </w:rPr>
        <w:t>been</w:t>
      </w:r>
      <w:r>
        <w:rPr>
          <w:color w:val="231F20"/>
          <w:spacing w:val="-12"/>
        </w:rPr>
        <w:t xml:space="preserve"> </w:t>
      </w:r>
      <w:r>
        <w:rPr>
          <w:color w:val="231F20"/>
        </w:rPr>
        <w:t>adapted</w:t>
      </w:r>
      <w:r>
        <w:rPr>
          <w:color w:val="231F20"/>
          <w:spacing w:val="-12"/>
        </w:rPr>
        <w:t xml:space="preserve"> </w:t>
      </w:r>
      <w:r>
        <w:rPr>
          <w:color w:val="231F20"/>
        </w:rPr>
        <w:t>for</w:t>
      </w:r>
      <w:r>
        <w:rPr>
          <w:color w:val="231F20"/>
          <w:spacing w:val="-11"/>
        </w:rPr>
        <w:t xml:space="preserve"> </w:t>
      </w:r>
      <w:r>
        <w:rPr>
          <w:color w:val="231F20"/>
        </w:rPr>
        <w:t>use</w:t>
      </w:r>
      <w:r>
        <w:rPr>
          <w:color w:val="231F20"/>
          <w:spacing w:val="-12"/>
        </w:rPr>
        <w:t xml:space="preserve"> </w:t>
      </w:r>
      <w:r>
        <w:rPr>
          <w:color w:val="231F20"/>
        </w:rPr>
        <w:t>in</w:t>
      </w:r>
      <w:r>
        <w:rPr>
          <w:color w:val="231F20"/>
          <w:spacing w:val="-11"/>
        </w:rPr>
        <w:t xml:space="preserve"> </w:t>
      </w:r>
      <w:r>
        <w:rPr>
          <w:color w:val="231F20"/>
        </w:rPr>
        <w:t>mass</w:t>
      </w:r>
      <w:r>
        <w:rPr>
          <w:color w:val="231F20"/>
          <w:spacing w:val="-12"/>
        </w:rPr>
        <w:t xml:space="preserve"> </w:t>
      </w:r>
      <w:r>
        <w:rPr>
          <w:color w:val="231F20"/>
        </w:rPr>
        <w:t>tourism</w:t>
      </w:r>
      <w:r>
        <w:rPr>
          <w:color w:val="231F20"/>
          <w:spacing w:val="-11"/>
        </w:rPr>
        <w:t xml:space="preserve"> </w:t>
      </w:r>
      <w:r>
        <w:rPr>
          <w:color w:val="231F20"/>
        </w:rPr>
        <w:t>winter</w:t>
      </w:r>
      <w:r>
        <w:rPr>
          <w:color w:val="231F20"/>
          <w:spacing w:val="-12"/>
        </w:rPr>
        <w:t xml:space="preserve"> </w:t>
      </w:r>
      <w:r>
        <w:rPr>
          <w:color w:val="231F20"/>
        </w:rPr>
        <w:t>destinations</w:t>
      </w:r>
      <w:r>
        <w:rPr>
          <w:color w:val="231F20"/>
          <w:spacing w:val="-12"/>
        </w:rPr>
        <w:t xml:space="preserve"> </w:t>
      </w:r>
      <w:r>
        <w:rPr>
          <w:color w:val="231F20"/>
        </w:rPr>
        <w:t>to</w:t>
      </w:r>
      <w:r>
        <w:rPr>
          <w:color w:val="231F20"/>
          <w:spacing w:val="-11"/>
        </w:rPr>
        <w:t xml:space="preserve"> </w:t>
      </w:r>
      <w:r>
        <w:rPr>
          <w:color w:val="231F20"/>
        </w:rPr>
        <w:t>buffer</w:t>
      </w:r>
      <w:r>
        <w:rPr>
          <w:color w:val="231F20"/>
          <w:spacing w:val="-12"/>
        </w:rPr>
        <w:t xml:space="preserve"> </w:t>
      </w:r>
      <w:r>
        <w:rPr>
          <w:color w:val="231F20"/>
        </w:rPr>
        <w:t xml:space="preserve">and </w:t>
      </w:r>
      <w:r>
        <w:rPr>
          <w:color w:val="231F20"/>
          <w:w w:val="95"/>
        </w:rPr>
        <w:t>ameliorate</w:t>
      </w:r>
      <w:r>
        <w:rPr>
          <w:color w:val="231F20"/>
          <w:spacing w:val="-7"/>
          <w:w w:val="95"/>
        </w:rPr>
        <w:t xml:space="preserve"> </w:t>
      </w:r>
      <w:r>
        <w:rPr>
          <w:color w:val="231F20"/>
          <w:w w:val="95"/>
        </w:rPr>
        <w:t>changes</w:t>
      </w:r>
      <w:r>
        <w:rPr>
          <w:color w:val="231F20"/>
          <w:spacing w:val="-7"/>
          <w:w w:val="95"/>
        </w:rPr>
        <w:t xml:space="preserve"> </w:t>
      </w:r>
      <w:r>
        <w:rPr>
          <w:color w:val="231F20"/>
          <w:w w:val="95"/>
        </w:rPr>
        <w:t>in</w:t>
      </w:r>
      <w:r>
        <w:rPr>
          <w:color w:val="231F20"/>
          <w:spacing w:val="-7"/>
          <w:w w:val="95"/>
        </w:rPr>
        <w:t xml:space="preserve"> </w:t>
      </w:r>
      <w:r>
        <w:rPr>
          <w:color w:val="231F20"/>
          <w:w w:val="95"/>
        </w:rPr>
        <w:t>the</w:t>
      </w:r>
      <w:r>
        <w:rPr>
          <w:color w:val="231F20"/>
          <w:spacing w:val="-7"/>
          <w:w w:val="95"/>
        </w:rPr>
        <w:t xml:space="preserve"> </w:t>
      </w:r>
      <w:r>
        <w:rPr>
          <w:color w:val="231F20"/>
          <w:w w:val="95"/>
        </w:rPr>
        <w:t>seasonal</w:t>
      </w:r>
      <w:r>
        <w:rPr>
          <w:color w:val="231F20"/>
          <w:spacing w:val="-7"/>
          <w:w w:val="95"/>
        </w:rPr>
        <w:t xml:space="preserve"> </w:t>
      </w:r>
      <w:r>
        <w:rPr>
          <w:color w:val="231F20"/>
          <w:w w:val="95"/>
        </w:rPr>
        <w:t>availability</w:t>
      </w:r>
      <w:r>
        <w:rPr>
          <w:color w:val="231F20"/>
          <w:spacing w:val="-7"/>
          <w:w w:val="95"/>
        </w:rPr>
        <w:t xml:space="preserve"> </w:t>
      </w:r>
      <w:r>
        <w:rPr>
          <w:color w:val="231F20"/>
          <w:w w:val="95"/>
        </w:rPr>
        <w:t>of snow.</w:t>
      </w:r>
      <w:r>
        <w:rPr>
          <w:color w:val="231F20"/>
          <w:spacing w:val="-7"/>
          <w:w w:val="95"/>
        </w:rPr>
        <w:t xml:space="preserve"> </w:t>
      </w:r>
      <w:r>
        <w:rPr>
          <w:color w:val="231F20"/>
          <w:w w:val="95"/>
        </w:rPr>
        <w:t>Snow-making</w:t>
      </w:r>
      <w:r>
        <w:rPr>
          <w:color w:val="231F20"/>
          <w:spacing w:val="-7"/>
          <w:w w:val="95"/>
        </w:rPr>
        <w:t xml:space="preserve"> </w:t>
      </w:r>
      <w:r>
        <w:rPr>
          <w:color w:val="231F20"/>
          <w:w w:val="95"/>
        </w:rPr>
        <w:t xml:space="preserve">has </w:t>
      </w:r>
      <w:r>
        <w:rPr>
          <w:color w:val="231F20"/>
          <w:spacing w:val="-2"/>
        </w:rPr>
        <w:t>become</w:t>
      </w:r>
      <w:r>
        <w:rPr>
          <w:color w:val="231F20"/>
          <w:spacing w:val="-10"/>
        </w:rPr>
        <w:t xml:space="preserve"> </w:t>
      </w:r>
      <w:r>
        <w:rPr>
          <w:color w:val="231F20"/>
          <w:spacing w:val="-2"/>
        </w:rPr>
        <w:t>standard</w:t>
      </w:r>
      <w:r>
        <w:rPr>
          <w:color w:val="231F20"/>
          <w:spacing w:val="-10"/>
        </w:rPr>
        <w:t xml:space="preserve"> </w:t>
      </w:r>
      <w:r>
        <w:rPr>
          <w:color w:val="231F20"/>
          <w:spacing w:val="-2"/>
        </w:rPr>
        <w:t>practice</w:t>
      </w:r>
      <w:r>
        <w:rPr>
          <w:color w:val="231F20"/>
          <w:spacing w:val="-9"/>
        </w:rPr>
        <w:t xml:space="preserve"> </w:t>
      </w:r>
      <w:r>
        <w:rPr>
          <w:color w:val="231F20"/>
          <w:spacing w:val="-2"/>
        </w:rPr>
        <w:t>of</w:t>
      </w:r>
      <w:r>
        <w:rPr>
          <w:color w:val="231F20"/>
          <w:spacing w:val="-10"/>
        </w:rPr>
        <w:t xml:space="preserve"> </w:t>
      </w:r>
      <w:r>
        <w:rPr>
          <w:color w:val="231F20"/>
          <w:spacing w:val="-2"/>
        </w:rPr>
        <w:t>ski</w:t>
      </w:r>
      <w:r>
        <w:rPr>
          <w:color w:val="231F20"/>
          <w:spacing w:val="-9"/>
        </w:rPr>
        <w:t xml:space="preserve"> </w:t>
      </w:r>
      <w:r>
        <w:rPr>
          <w:color w:val="231F20"/>
          <w:spacing w:val="-2"/>
        </w:rPr>
        <w:t>areas</w:t>
      </w:r>
      <w:r>
        <w:rPr>
          <w:color w:val="231F20"/>
          <w:spacing w:val="-10"/>
        </w:rPr>
        <w:t xml:space="preserve"> </w:t>
      </w:r>
      <w:r>
        <w:rPr>
          <w:color w:val="231F20"/>
          <w:spacing w:val="-2"/>
        </w:rPr>
        <w:t>throughout</w:t>
      </w:r>
      <w:r>
        <w:rPr>
          <w:color w:val="231F20"/>
          <w:spacing w:val="-9"/>
        </w:rPr>
        <w:t xml:space="preserve"> </w:t>
      </w:r>
      <w:r>
        <w:rPr>
          <w:color w:val="231F20"/>
          <w:spacing w:val="-2"/>
        </w:rPr>
        <w:t>the</w:t>
      </w:r>
      <w:r>
        <w:rPr>
          <w:color w:val="231F20"/>
          <w:spacing w:val="-10"/>
        </w:rPr>
        <w:t xml:space="preserve"> </w:t>
      </w:r>
      <w:r>
        <w:rPr>
          <w:color w:val="231F20"/>
          <w:spacing w:val="-2"/>
        </w:rPr>
        <w:t>world.</w:t>
      </w:r>
      <w:r>
        <w:rPr>
          <w:color w:val="231F20"/>
          <w:spacing w:val="-10"/>
        </w:rPr>
        <w:t xml:space="preserve"> </w:t>
      </w:r>
      <w:r>
        <w:rPr>
          <w:color w:val="231F20"/>
          <w:spacing w:val="-2"/>
        </w:rPr>
        <w:t xml:space="preserve">Stockpiling </w:t>
      </w:r>
      <w:r>
        <w:rPr>
          <w:color w:val="231F20"/>
        </w:rPr>
        <w:t>snow</w:t>
      </w:r>
      <w:r>
        <w:rPr>
          <w:color w:val="231F20"/>
          <w:spacing w:val="-12"/>
        </w:rPr>
        <w:t xml:space="preserve"> </w:t>
      </w:r>
      <w:r>
        <w:rPr>
          <w:color w:val="231F20"/>
        </w:rPr>
        <w:t>and</w:t>
      </w:r>
      <w:r>
        <w:rPr>
          <w:color w:val="231F20"/>
          <w:spacing w:val="-11"/>
        </w:rPr>
        <w:t xml:space="preserve"> </w:t>
      </w:r>
      <w:r>
        <w:rPr>
          <w:color w:val="231F20"/>
        </w:rPr>
        <w:t>storing</w:t>
      </w:r>
      <w:r>
        <w:rPr>
          <w:color w:val="231F20"/>
          <w:spacing w:val="-12"/>
        </w:rPr>
        <w:t xml:space="preserve"> </w:t>
      </w:r>
      <w:r>
        <w:rPr>
          <w:color w:val="231F20"/>
        </w:rPr>
        <w:t>it</w:t>
      </w:r>
      <w:r>
        <w:rPr>
          <w:color w:val="231F20"/>
          <w:spacing w:val="-11"/>
        </w:rPr>
        <w:t xml:space="preserve"> </w:t>
      </w:r>
      <w:r>
        <w:rPr>
          <w:color w:val="231F20"/>
        </w:rPr>
        <w:t>over</w:t>
      </w:r>
      <w:r>
        <w:rPr>
          <w:color w:val="231F20"/>
          <w:spacing w:val="-12"/>
        </w:rPr>
        <w:t xml:space="preserve"> </w:t>
      </w:r>
      <w:r>
        <w:rPr>
          <w:color w:val="231F20"/>
        </w:rPr>
        <w:t>the</w:t>
      </w:r>
      <w:r>
        <w:rPr>
          <w:color w:val="231F20"/>
          <w:spacing w:val="-11"/>
        </w:rPr>
        <w:t xml:space="preserve"> </w:t>
      </w:r>
      <w:r>
        <w:rPr>
          <w:color w:val="231F20"/>
        </w:rPr>
        <w:t>summer</w:t>
      </w:r>
      <w:r>
        <w:rPr>
          <w:color w:val="231F20"/>
          <w:spacing w:val="-12"/>
        </w:rPr>
        <w:t xml:space="preserve"> </w:t>
      </w:r>
      <w:r>
        <w:rPr>
          <w:color w:val="231F20"/>
        </w:rPr>
        <w:t>season</w:t>
      </w:r>
      <w:r>
        <w:rPr>
          <w:color w:val="231F20"/>
          <w:spacing w:val="-11"/>
        </w:rPr>
        <w:t xml:space="preserve"> </w:t>
      </w:r>
      <w:r>
        <w:rPr>
          <w:color w:val="231F20"/>
        </w:rPr>
        <w:t>is</w:t>
      </w:r>
      <w:r>
        <w:rPr>
          <w:color w:val="231F20"/>
          <w:spacing w:val="-12"/>
        </w:rPr>
        <w:t xml:space="preserve"> </w:t>
      </w:r>
      <w:r>
        <w:rPr>
          <w:color w:val="231F20"/>
        </w:rPr>
        <w:t>an</w:t>
      </w:r>
      <w:r>
        <w:rPr>
          <w:color w:val="231F20"/>
          <w:spacing w:val="-11"/>
        </w:rPr>
        <w:t xml:space="preserve"> </w:t>
      </w:r>
      <w:r>
        <w:rPr>
          <w:color w:val="231F20"/>
        </w:rPr>
        <w:t>emergent</w:t>
      </w:r>
      <w:r>
        <w:rPr>
          <w:color w:val="231F20"/>
          <w:spacing w:val="-12"/>
        </w:rPr>
        <w:t xml:space="preserve"> </w:t>
      </w:r>
      <w:r>
        <w:rPr>
          <w:color w:val="231F20"/>
        </w:rPr>
        <w:t>strategy</w:t>
      </w:r>
      <w:r>
        <w:rPr>
          <w:color w:val="231F20"/>
          <w:spacing w:val="-11"/>
        </w:rPr>
        <w:t xml:space="preserve"> </w:t>
      </w:r>
      <w:r>
        <w:rPr>
          <w:color w:val="231F20"/>
        </w:rPr>
        <w:t xml:space="preserve">to secure an early season start for Nordic and alpine skiing. Kitzbühel in </w:t>
      </w:r>
      <w:r>
        <w:rPr>
          <w:color w:val="231F20"/>
          <w:w w:val="95"/>
        </w:rPr>
        <w:t>Austria</w:t>
      </w:r>
      <w:r>
        <w:rPr>
          <w:color w:val="231F20"/>
          <w:spacing w:val="-10"/>
          <w:w w:val="95"/>
        </w:rPr>
        <w:t xml:space="preserve"> </w:t>
      </w:r>
      <w:r>
        <w:rPr>
          <w:color w:val="231F20"/>
          <w:w w:val="95"/>
        </w:rPr>
        <w:t>for</w:t>
      </w:r>
      <w:r>
        <w:rPr>
          <w:color w:val="231F20"/>
          <w:spacing w:val="-9"/>
          <w:w w:val="95"/>
        </w:rPr>
        <w:t xml:space="preserve"> </w:t>
      </w:r>
      <w:r>
        <w:rPr>
          <w:color w:val="231F20"/>
          <w:w w:val="95"/>
        </w:rPr>
        <w:t>example,</w:t>
      </w:r>
      <w:r>
        <w:rPr>
          <w:color w:val="231F20"/>
          <w:spacing w:val="-9"/>
          <w:w w:val="95"/>
        </w:rPr>
        <w:t xml:space="preserve"> </w:t>
      </w:r>
      <w:r>
        <w:rPr>
          <w:color w:val="231F20"/>
          <w:w w:val="95"/>
        </w:rPr>
        <w:t>a</w:t>
      </w:r>
      <w:r>
        <w:rPr>
          <w:color w:val="231F20"/>
          <w:spacing w:val="-9"/>
          <w:w w:val="95"/>
        </w:rPr>
        <w:t xml:space="preserve"> </w:t>
      </w:r>
      <w:r>
        <w:rPr>
          <w:color w:val="231F20"/>
          <w:w w:val="95"/>
        </w:rPr>
        <w:t>prominent</w:t>
      </w:r>
      <w:r>
        <w:rPr>
          <w:color w:val="231F20"/>
          <w:spacing w:val="-10"/>
          <w:w w:val="95"/>
        </w:rPr>
        <w:t xml:space="preserve"> </w:t>
      </w:r>
      <w:r>
        <w:rPr>
          <w:color w:val="231F20"/>
          <w:w w:val="95"/>
        </w:rPr>
        <w:t>potential</w:t>
      </w:r>
      <w:r>
        <w:rPr>
          <w:color w:val="231F20"/>
          <w:spacing w:val="-9"/>
          <w:w w:val="95"/>
        </w:rPr>
        <w:t xml:space="preserve"> </w:t>
      </w:r>
      <w:r>
        <w:rPr>
          <w:color w:val="231F20"/>
          <w:w w:val="95"/>
        </w:rPr>
        <w:t>victim</w:t>
      </w:r>
      <w:r>
        <w:rPr>
          <w:color w:val="231F20"/>
          <w:spacing w:val="-9"/>
          <w:w w:val="95"/>
        </w:rPr>
        <w:t xml:space="preserve"> </w:t>
      </w:r>
      <w:r>
        <w:rPr>
          <w:color w:val="231F20"/>
          <w:w w:val="95"/>
        </w:rPr>
        <w:t>of</w:t>
      </w:r>
      <w:r>
        <w:rPr>
          <w:color w:val="231F20"/>
          <w:spacing w:val="-9"/>
          <w:w w:val="95"/>
        </w:rPr>
        <w:t xml:space="preserve"> </w:t>
      </w:r>
      <w:r>
        <w:rPr>
          <w:color w:val="231F20"/>
          <w:w w:val="95"/>
        </w:rPr>
        <w:t>climate</w:t>
      </w:r>
      <w:r>
        <w:rPr>
          <w:color w:val="231F20"/>
          <w:spacing w:val="-9"/>
          <w:w w:val="95"/>
        </w:rPr>
        <w:t xml:space="preserve"> </w:t>
      </w:r>
      <w:r>
        <w:rPr>
          <w:color w:val="231F20"/>
          <w:w w:val="95"/>
        </w:rPr>
        <w:t>change</w:t>
      </w:r>
      <w:r>
        <w:rPr>
          <w:color w:val="231F20"/>
          <w:spacing w:val="-9"/>
          <w:w w:val="95"/>
        </w:rPr>
        <w:t xml:space="preserve"> </w:t>
      </w:r>
      <w:r>
        <w:rPr>
          <w:color w:val="231F20"/>
          <w:w w:val="95"/>
        </w:rPr>
        <w:t>due</w:t>
      </w:r>
      <w:r>
        <w:rPr>
          <w:color w:val="231F20"/>
          <w:spacing w:val="-10"/>
          <w:w w:val="95"/>
        </w:rPr>
        <w:t xml:space="preserve"> </w:t>
      </w:r>
      <w:r>
        <w:rPr>
          <w:color w:val="231F20"/>
          <w:w w:val="95"/>
        </w:rPr>
        <w:t xml:space="preserve">to </w:t>
      </w:r>
      <w:r>
        <w:rPr>
          <w:color w:val="231F20"/>
          <w:spacing w:val="-2"/>
          <w:w w:val="95"/>
        </w:rPr>
        <w:t>its</w:t>
      </w:r>
      <w:r>
        <w:rPr>
          <w:color w:val="231F20"/>
          <w:spacing w:val="-6"/>
          <w:w w:val="95"/>
        </w:rPr>
        <w:t xml:space="preserve"> </w:t>
      </w:r>
      <w:r>
        <w:rPr>
          <w:color w:val="231F20"/>
          <w:spacing w:val="-2"/>
          <w:w w:val="95"/>
        </w:rPr>
        <w:t>low</w:t>
      </w:r>
      <w:r>
        <w:rPr>
          <w:color w:val="231F20"/>
          <w:spacing w:val="-6"/>
          <w:w w:val="95"/>
        </w:rPr>
        <w:t xml:space="preserve"> </w:t>
      </w:r>
      <w:r>
        <w:rPr>
          <w:color w:val="231F20"/>
          <w:spacing w:val="-2"/>
          <w:w w:val="95"/>
        </w:rPr>
        <w:t>elevation,</w:t>
      </w:r>
      <w:r>
        <w:rPr>
          <w:color w:val="231F20"/>
          <w:spacing w:val="-6"/>
          <w:w w:val="95"/>
        </w:rPr>
        <w:t xml:space="preserve"> </w:t>
      </w:r>
      <w:r>
        <w:rPr>
          <w:color w:val="231F20"/>
          <w:spacing w:val="-2"/>
          <w:w w:val="95"/>
        </w:rPr>
        <w:t>uses</w:t>
      </w:r>
      <w:r>
        <w:rPr>
          <w:color w:val="231F20"/>
          <w:spacing w:val="-6"/>
          <w:w w:val="95"/>
        </w:rPr>
        <w:t xml:space="preserve"> </w:t>
      </w:r>
      <w:r>
        <w:rPr>
          <w:color w:val="231F20"/>
          <w:spacing w:val="-2"/>
          <w:w w:val="95"/>
        </w:rPr>
        <w:t>several</w:t>
      </w:r>
      <w:r>
        <w:rPr>
          <w:color w:val="231F20"/>
          <w:spacing w:val="-6"/>
          <w:w w:val="95"/>
        </w:rPr>
        <w:t xml:space="preserve"> </w:t>
      </w:r>
      <w:r>
        <w:rPr>
          <w:color w:val="231F20"/>
          <w:spacing w:val="-2"/>
          <w:w w:val="95"/>
        </w:rPr>
        <w:t>snow</w:t>
      </w:r>
      <w:r>
        <w:rPr>
          <w:color w:val="231F20"/>
          <w:spacing w:val="-6"/>
          <w:w w:val="95"/>
        </w:rPr>
        <w:t xml:space="preserve"> </w:t>
      </w:r>
      <w:r>
        <w:rPr>
          <w:color w:val="231F20"/>
          <w:spacing w:val="-2"/>
          <w:w w:val="95"/>
        </w:rPr>
        <w:t>depots</w:t>
      </w:r>
      <w:r>
        <w:rPr>
          <w:color w:val="231F20"/>
          <w:spacing w:val="-6"/>
          <w:w w:val="95"/>
        </w:rPr>
        <w:t xml:space="preserve"> </w:t>
      </w:r>
      <w:r>
        <w:rPr>
          <w:color w:val="231F20"/>
          <w:spacing w:val="-2"/>
          <w:w w:val="95"/>
        </w:rPr>
        <w:t>to</w:t>
      </w:r>
      <w:r>
        <w:rPr>
          <w:color w:val="231F20"/>
          <w:spacing w:val="-6"/>
          <w:w w:val="95"/>
        </w:rPr>
        <w:t xml:space="preserve"> </w:t>
      </w:r>
      <w:r>
        <w:rPr>
          <w:color w:val="231F20"/>
          <w:spacing w:val="-2"/>
          <w:w w:val="95"/>
        </w:rPr>
        <w:t>be</w:t>
      </w:r>
      <w:r>
        <w:rPr>
          <w:color w:val="231F20"/>
          <w:spacing w:val="-6"/>
          <w:w w:val="95"/>
        </w:rPr>
        <w:t xml:space="preserve"> </w:t>
      </w:r>
      <w:r>
        <w:rPr>
          <w:color w:val="231F20"/>
          <w:spacing w:val="-2"/>
          <w:w w:val="95"/>
        </w:rPr>
        <w:t>able</w:t>
      </w:r>
      <w:r>
        <w:rPr>
          <w:color w:val="231F20"/>
          <w:spacing w:val="-6"/>
          <w:w w:val="95"/>
        </w:rPr>
        <w:t xml:space="preserve"> </w:t>
      </w:r>
      <w:r>
        <w:rPr>
          <w:color w:val="231F20"/>
          <w:spacing w:val="-2"/>
          <w:w w:val="95"/>
        </w:rPr>
        <w:t>to</w:t>
      </w:r>
      <w:r>
        <w:rPr>
          <w:color w:val="231F20"/>
          <w:spacing w:val="-6"/>
          <w:w w:val="95"/>
        </w:rPr>
        <w:t xml:space="preserve"> </w:t>
      </w:r>
      <w:r>
        <w:rPr>
          <w:color w:val="231F20"/>
          <w:spacing w:val="-2"/>
          <w:w w:val="95"/>
        </w:rPr>
        <w:t>start</w:t>
      </w:r>
      <w:r>
        <w:rPr>
          <w:color w:val="231F20"/>
          <w:spacing w:val="-6"/>
          <w:w w:val="95"/>
        </w:rPr>
        <w:t xml:space="preserve"> </w:t>
      </w:r>
      <w:r>
        <w:rPr>
          <w:color w:val="231F20"/>
          <w:spacing w:val="-2"/>
          <w:w w:val="95"/>
        </w:rPr>
        <w:t>the</w:t>
      </w:r>
      <w:r>
        <w:rPr>
          <w:color w:val="231F20"/>
          <w:spacing w:val="-6"/>
          <w:w w:val="95"/>
        </w:rPr>
        <w:t xml:space="preserve"> </w:t>
      </w:r>
      <w:r>
        <w:rPr>
          <w:color w:val="231F20"/>
          <w:spacing w:val="-2"/>
          <w:w w:val="95"/>
        </w:rPr>
        <w:t>ski</w:t>
      </w:r>
      <w:r>
        <w:rPr>
          <w:color w:val="231F20"/>
          <w:spacing w:val="-6"/>
          <w:w w:val="95"/>
        </w:rPr>
        <w:t xml:space="preserve"> </w:t>
      </w:r>
      <w:r>
        <w:rPr>
          <w:color w:val="231F20"/>
          <w:spacing w:val="-2"/>
          <w:w w:val="95"/>
        </w:rPr>
        <w:t xml:space="preserve">season </w:t>
      </w:r>
      <w:r>
        <w:rPr>
          <w:color w:val="231F20"/>
          <w:w w:val="95"/>
        </w:rPr>
        <w:t>between</w:t>
      </w:r>
      <w:r>
        <w:rPr>
          <w:color w:val="231F20"/>
          <w:spacing w:val="-8"/>
          <w:w w:val="95"/>
        </w:rPr>
        <w:t xml:space="preserve"> </w:t>
      </w:r>
      <w:r>
        <w:rPr>
          <w:color w:val="231F20"/>
          <w:w w:val="95"/>
        </w:rPr>
        <w:t>mid</w:t>
      </w:r>
      <w:r>
        <w:rPr>
          <w:color w:val="231F20"/>
          <w:spacing w:val="-8"/>
          <w:w w:val="95"/>
        </w:rPr>
        <w:t xml:space="preserve"> </w:t>
      </w:r>
      <w:r>
        <w:rPr>
          <w:color w:val="231F20"/>
          <w:w w:val="95"/>
        </w:rPr>
        <w:t>and</w:t>
      </w:r>
      <w:r>
        <w:rPr>
          <w:color w:val="231F20"/>
          <w:spacing w:val="-8"/>
          <w:w w:val="95"/>
        </w:rPr>
        <w:t xml:space="preserve"> </w:t>
      </w:r>
      <w:r>
        <w:rPr>
          <w:color w:val="231F20"/>
          <w:w w:val="95"/>
        </w:rPr>
        <w:t>late</w:t>
      </w:r>
      <w:r>
        <w:rPr>
          <w:color w:val="231F20"/>
          <w:spacing w:val="-8"/>
          <w:w w:val="95"/>
        </w:rPr>
        <w:t xml:space="preserve"> </w:t>
      </w:r>
      <w:r>
        <w:rPr>
          <w:color w:val="231F20"/>
          <w:w w:val="95"/>
        </w:rPr>
        <w:t>October.</w:t>
      </w:r>
      <w:r>
        <w:rPr>
          <w:color w:val="231F20"/>
          <w:spacing w:val="-8"/>
          <w:w w:val="95"/>
        </w:rPr>
        <w:t xml:space="preserve"> </w:t>
      </w:r>
      <w:r>
        <w:rPr>
          <w:color w:val="231F20"/>
          <w:w w:val="95"/>
        </w:rPr>
        <w:t>In</w:t>
      </w:r>
      <w:r>
        <w:rPr>
          <w:color w:val="231F20"/>
          <w:spacing w:val="-8"/>
          <w:w w:val="95"/>
        </w:rPr>
        <w:t xml:space="preserve"> </w:t>
      </w:r>
      <w:r>
        <w:rPr>
          <w:color w:val="231F20"/>
          <w:w w:val="95"/>
        </w:rPr>
        <w:t>the</w:t>
      </w:r>
      <w:r>
        <w:rPr>
          <w:color w:val="231F20"/>
          <w:spacing w:val="-8"/>
          <w:w w:val="95"/>
        </w:rPr>
        <w:t xml:space="preserve"> </w:t>
      </w:r>
      <w:r>
        <w:rPr>
          <w:color w:val="231F20"/>
          <w:w w:val="95"/>
        </w:rPr>
        <w:t>2016/2017</w:t>
      </w:r>
      <w:r>
        <w:rPr>
          <w:color w:val="231F20"/>
          <w:spacing w:val="-8"/>
          <w:w w:val="95"/>
        </w:rPr>
        <w:t xml:space="preserve"> </w:t>
      </w:r>
      <w:r>
        <w:rPr>
          <w:color w:val="231F20"/>
          <w:w w:val="95"/>
        </w:rPr>
        <w:t>winter</w:t>
      </w:r>
      <w:r>
        <w:rPr>
          <w:color w:val="231F20"/>
          <w:spacing w:val="-8"/>
          <w:w w:val="95"/>
        </w:rPr>
        <w:t xml:space="preserve"> </w:t>
      </w:r>
      <w:r>
        <w:rPr>
          <w:color w:val="231F20"/>
          <w:w w:val="95"/>
        </w:rPr>
        <w:t>season,</w:t>
      </w:r>
      <w:r>
        <w:rPr>
          <w:color w:val="231F20"/>
          <w:spacing w:val="-8"/>
          <w:w w:val="95"/>
        </w:rPr>
        <w:t xml:space="preserve"> </w:t>
      </w:r>
      <w:r>
        <w:rPr>
          <w:color w:val="231F20"/>
          <w:w w:val="95"/>
        </w:rPr>
        <w:t>it</w:t>
      </w:r>
      <w:r>
        <w:rPr>
          <w:color w:val="231F20"/>
          <w:spacing w:val="-8"/>
          <w:w w:val="95"/>
        </w:rPr>
        <w:t xml:space="preserve"> </w:t>
      </w:r>
      <w:r>
        <w:rPr>
          <w:color w:val="231F20"/>
          <w:w w:val="95"/>
        </w:rPr>
        <w:t>had</w:t>
      </w:r>
      <w:r>
        <w:rPr>
          <w:color w:val="231F20"/>
          <w:spacing w:val="-8"/>
          <w:w w:val="95"/>
        </w:rPr>
        <w:t xml:space="preserve"> </w:t>
      </w:r>
      <w:r>
        <w:rPr>
          <w:color w:val="231F20"/>
          <w:w w:val="95"/>
        </w:rPr>
        <w:t>the longest non-glacier ski season in Austria. This trend of</w:t>
      </w:r>
      <w:r>
        <w:rPr>
          <w:color w:val="231F20"/>
        </w:rPr>
        <w:t xml:space="preserve"> </w:t>
      </w:r>
      <w:r>
        <w:rPr>
          <w:color w:val="231F20"/>
          <w:w w:val="95"/>
        </w:rPr>
        <w:t xml:space="preserve">early ski openings </w:t>
      </w:r>
      <w:r>
        <w:rPr>
          <w:color w:val="231F20"/>
          <w:spacing w:val="-2"/>
        </w:rPr>
        <w:t>has</w:t>
      </w:r>
      <w:r>
        <w:rPr>
          <w:color w:val="231F20"/>
          <w:spacing w:val="-8"/>
        </w:rPr>
        <w:t xml:space="preserve"> </w:t>
      </w:r>
      <w:r>
        <w:rPr>
          <w:color w:val="231F20"/>
          <w:spacing w:val="-2"/>
        </w:rPr>
        <w:t>led</w:t>
      </w:r>
      <w:r>
        <w:rPr>
          <w:color w:val="231F20"/>
          <w:spacing w:val="-8"/>
        </w:rPr>
        <w:t xml:space="preserve"> </w:t>
      </w:r>
      <w:r>
        <w:rPr>
          <w:color w:val="231F20"/>
          <w:spacing w:val="-2"/>
        </w:rPr>
        <w:t>to</w:t>
      </w:r>
      <w:r>
        <w:rPr>
          <w:color w:val="231F20"/>
          <w:spacing w:val="-8"/>
        </w:rPr>
        <w:t xml:space="preserve"> </w:t>
      </w:r>
      <w:r>
        <w:rPr>
          <w:color w:val="231F20"/>
          <w:spacing w:val="-2"/>
        </w:rPr>
        <w:t>a</w:t>
      </w:r>
      <w:r>
        <w:rPr>
          <w:color w:val="231F20"/>
          <w:spacing w:val="-8"/>
        </w:rPr>
        <w:t xml:space="preserve"> </w:t>
      </w:r>
      <w:r>
        <w:rPr>
          <w:color w:val="231F20"/>
          <w:spacing w:val="-2"/>
        </w:rPr>
        <w:t>paradoxical</w:t>
      </w:r>
      <w:r>
        <w:rPr>
          <w:color w:val="231F20"/>
          <w:spacing w:val="-8"/>
        </w:rPr>
        <w:t xml:space="preserve"> </w:t>
      </w:r>
      <w:r>
        <w:rPr>
          <w:color w:val="231F20"/>
          <w:spacing w:val="-2"/>
        </w:rPr>
        <w:t>situation:</w:t>
      </w:r>
      <w:r>
        <w:rPr>
          <w:color w:val="231F20"/>
          <w:spacing w:val="-8"/>
        </w:rPr>
        <w:t xml:space="preserve"> </w:t>
      </w:r>
      <w:r>
        <w:rPr>
          <w:color w:val="231F20"/>
          <w:spacing w:val="-2"/>
        </w:rPr>
        <w:t>the</w:t>
      </w:r>
      <w:r>
        <w:rPr>
          <w:color w:val="231F20"/>
          <w:spacing w:val="-8"/>
        </w:rPr>
        <w:t xml:space="preserve"> </w:t>
      </w:r>
      <w:r>
        <w:rPr>
          <w:color w:val="231F20"/>
          <w:spacing w:val="-2"/>
        </w:rPr>
        <w:t>seasonal</w:t>
      </w:r>
      <w:r>
        <w:rPr>
          <w:color w:val="231F20"/>
          <w:spacing w:val="-8"/>
        </w:rPr>
        <w:t xml:space="preserve"> </w:t>
      </w:r>
      <w:r>
        <w:rPr>
          <w:color w:val="231F20"/>
          <w:spacing w:val="-2"/>
        </w:rPr>
        <w:t>evolution</w:t>
      </w:r>
      <w:r>
        <w:rPr>
          <w:color w:val="231F20"/>
          <w:spacing w:val="-8"/>
        </w:rPr>
        <w:t xml:space="preserve"> </w:t>
      </w:r>
      <w:r>
        <w:rPr>
          <w:color w:val="231F20"/>
          <w:spacing w:val="-2"/>
        </w:rPr>
        <w:t>of</w:t>
      </w:r>
      <w:r>
        <w:rPr>
          <w:color w:val="231F20"/>
        </w:rPr>
        <w:t xml:space="preserve"> </w:t>
      </w:r>
      <w:r>
        <w:rPr>
          <w:color w:val="231F20"/>
          <w:spacing w:val="-2"/>
        </w:rPr>
        <w:t>demand</w:t>
      </w:r>
      <w:r>
        <w:rPr>
          <w:color w:val="231F20"/>
          <w:spacing w:val="-8"/>
        </w:rPr>
        <w:t xml:space="preserve"> </w:t>
      </w:r>
      <w:r>
        <w:rPr>
          <w:color w:val="231F20"/>
          <w:spacing w:val="-2"/>
        </w:rPr>
        <w:t xml:space="preserve">has </w:t>
      </w:r>
      <w:r>
        <w:rPr>
          <w:color w:val="231F20"/>
          <w:spacing w:val="-4"/>
          <w:w w:val="95"/>
        </w:rPr>
        <w:t>decoupled from seasonal snow availability. On the northern hemisphere, the</w:t>
      </w:r>
      <w:r>
        <w:rPr>
          <w:color w:val="231F20"/>
          <w:spacing w:val="-2"/>
          <w:w w:val="95"/>
        </w:rPr>
        <w:t xml:space="preserve"> demand</w:t>
      </w:r>
      <w:r>
        <w:rPr>
          <w:color w:val="231F20"/>
          <w:spacing w:val="-5"/>
          <w:w w:val="95"/>
        </w:rPr>
        <w:t xml:space="preserve"> </w:t>
      </w:r>
      <w:r>
        <w:rPr>
          <w:color w:val="231F20"/>
          <w:spacing w:val="-2"/>
          <w:w w:val="95"/>
        </w:rPr>
        <w:t>peaks</w:t>
      </w:r>
      <w:r>
        <w:rPr>
          <w:color w:val="231F20"/>
          <w:spacing w:val="-5"/>
          <w:w w:val="95"/>
        </w:rPr>
        <w:t xml:space="preserve"> </w:t>
      </w:r>
      <w:r>
        <w:rPr>
          <w:color w:val="231F20"/>
          <w:spacing w:val="-2"/>
          <w:w w:val="95"/>
        </w:rPr>
        <w:t>are</w:t>
      </w:r>
      <w:r>
        <w:rPr>
          <w:color w:val="231F20"/>
          <w:spacing w:val="-5"/>
          <w:w w:val="95"/>
        </w:rPr>
        <w:t xml:space="preserve"> </w:t>
      </w:r>
      <w:r>
        <w:rPr>
          <w:color w:val="231F20"/>
          <w:spacing w:val="-2"/>
          <w:w w:val="95"/>
        </w:rPr>
        <w:t>during</w:t>
      </w:r>
      <w:r>
        <w:rPr>
          <w:color w:val="231F20"/>
          <w:spacing w:val="-5"/>
          <w:w w:val="95"/>
        </w:rPr>
        <w:t xml:space="preserve"> </w:t>
      </w:r>
      <w:r>
        <w:rPr>
          <w:color w:val="231F20"/>
          <w:spacing w:val="-2"/>
          <w:w w:val="95"/>
        </w:rPr>
        <w:t>the</w:t>
      </w:r>
      <w:r>
        <w:rPr>
          <w:color w:val="231F20"/>
          <w:spacing w:val="-5"/>
          <w:w w:val="95"/>
        </w:rPr>
        <w:t xml:space="preserve"> </w:t>
      </w:r>
      <w:r>
        <w:rPr>
          <w:color w:val="231F20"/>
          <w:spacing w:val="-2"/>
          <w:w w:val="95"/>
        </w:rPr>
        <w:t>Christmas–New</w:t>
      </w:r>
      <w:r>
        <w:rPr>
          <w:color w:val="231F20"/>
          <w:spacing w:val="-5"/>
          <w:w w:val="95"/>
        </w:rPr>
        <w:t xml:space="preserve"> </w:t>
      </w:r>
      <w:r>
        <w:rPr>
          <w:color w:val="231F20"/>
          <w:spacing w:val="-2"/>
          <w:w w:val="95"/>
        </w:rPr>
        <w:t>Year</w:t>
      </w:r>
      <w:r>
        <w:rPr>
          <w:color w:val="231F20"/>
          <w:spacing w:val="-5"/>
          <w:w w:val="95"/>
        </w:rPr>
        <w:t xml:space="preserve"> </w:t>
      </w:r>
      <w:r>
        <w:rPr>
          <w:color w:val="231F20"/>
          <w:spacing w:val="-2"/>
          <w:w w:val="95"/>
        </w:rPr>
        <w:t>holidays</w:t>
      </w:r>
      <w:r>
        <w:rPr>
          <w:color w:val="231F20"/>
          <w:spacing w:val="-5"/>
          <w:w w:val="95"/>
        </w:rPr>
        <w:t xml:space="preserve"> </w:t>
      </w:r>
      <w:r>
        <w:rPr>
          <w:color w:val="231F20"/>
          <w:spacing w:val="-2"/>
          <w:w w:val="95"/>
        </w:rPr>
        <w:t>and</w:t>
      </w:r>
      <w:r>
        <w:rPr>
          <w:color w:val="231F20"/>
          <w:spacing w:val="-5"/>
          <w:w w:val="95"/>
        </w:rPr>
        <w:t xml:space="preserve"> </w:t>
      </w:r>
      <w:r>
        <w:rPr>
          <w:color w:val="231F20"/>
          <w:spacing w:val="-2"/>
          <w:w w:val="95"/>
        </w:rPr>
        <w:t xml:space="preserve">semester/ </w:t>
      </w:r>
      <w:r>
        <w:rPr>
          <w:color w:val="231F20"/>
          <w:w w:val="95"/>
        </w:rPr>
        <w:t>winter</w:t>
      </w:r>
      <w:r>
        <w:rPr>
          <w:color w:val="231F20"/>
          <w:spacing w:val="-9"/>
          <w:w w:val="95"/>
        </w:rPr>
        <w:t xml:space="preserve"> </w:t>
      </w:r>
      <w:r>
        <w:rPr>
          <w:color w:val="231F20"/>
          <w:w w:val="95"/>
        </w:rPr>
        <w:t>break</w:t>
      </w:r>
      <w:r>
        <w:rPr>
          <w:color w:val="231F20"/>
          <w:spacing w:val="-9"/>
          <w:w w:val="95"/>
        </w:rPr>
        <w:t xml:space="preserve"> </w:t>
      </w:r>
      <w:r>
        <w:rPr>
          <w:color w:val="231F20"/>
          <w:w w:val="95"/>
        </w:rPr>
        <w:t>(typically</w:t>
      </w:r>
      <w:r>
        <w:rPr>
          <w:color w:val="231F20"/>
          <w:spacing w:val="-9"/>
          <w:w w:val="95"/>
        </w:rPr>
        <w:t xml:space="preserve"> </w:t>
      </w:r>
      <w:r>
        <w:rPr>
          <w:color w:val="231F20"/>
          <w:w w:val="95"/>
        </w:rPr>
        <w:t>in</w:t>
      </w:r>
      <w:r>
        <w:rPr>
          <w:color w:val="231F20"/>
          <w:spacing w:val="-9"/>
          <w:w w:val="95"/>
        </w:rPr>
        <w:t xml:space="preserve"> </w:t>
      </w:r>
      <w:r>
        <w:rPr>
          <w:color w:val="231F20"/>
          <w:w w:val="95"/>
        </w:rPr>
        <w:t>February).</w:t>
      </w:r>
      <w:r>
        <w:rPr>
          <w:color w:val="231F20"/>
          <w:spacing w:val="-9"/>
          <w:w w:val="95"/>
        </w:rPr>
        <w:t xml:space="preserve"> </w:t>
      </w:r>
      <w:r>
        <w:rPr>
          <w:color w:val="231F20"/>
          <w:w w:val="95"/>
        </w:rPr>
        <w:t>But</w:t>
      </w:r>
      <w:r>
        <w:rPr>
          <w:color w:val="231F20"/>
          <w:spacing w:val="-9"/>
          <w:w w:val="95"/>
        </w:rPr>
        <w:t xml:space="preserve"> </w:t>
      </w:r>
      <w:r>
        <w:rPr>
          <w:color w:val="231F20"/>
          <w:w w:val="95"/>
        </w:rPr>
        <w:t>the</w:t>
      </w:r>
      <w:r>
        <w:rPr>
          <w:color w:val="231F20"/>
          <w:spacing w:val="-9"/>
          <w:w w:val="95"/>
        </w:rPr>
        <w:t xml:space="preserve"> </w:t>
      </w:r>
      <w:r>
        <w:rPr>
          <w:color w:val="231F20"/>
          <w:w w:val="95"/>
        </w:rPr>
        <w:t>snow</w:t>
      </w:r>
      <w:r>
        <w:rPr>
          <w:color w:val="231F20"/>
          <w:spacing w:val="-9"/>
          <w:w w:val="95"/>
        </w:rPr>
        <w:t xml:space="preserve"> </w:t>
      </w:r>
      <w:r>
        <w:rPr>
          <w:color w:val="231F20"/>
          <w:w w:val="95"/>
        </w:rPr>
        <w:t>depth</w:t>
      </w:r>
      <w:r>
        <w:rPr>
          <w:color w:val="231F20"/>
          <w:spacing w:val="-9"/>
          <w:w w:val="95"/>
        </w:rPr>
        <w:t xml:space="preserve"> </w:t>
      </w:r>
      <w:r>
        <w:rPr>
          <w:color w:val="231F20"/>
          <w:w w:val="95"/>
        </w:rPr>
        <w:t>maximum</w:t>
      </w:r>
      <w:r>
        <w:rPr>
          <w:color w:val="231F20"/>
          <w:spacing w:val="-9"/>
          <w:w w:val="95"/>
        </w:rPr>
        <w:t xml:space="preserve"> </w:t>
      </w:r>
      <w:r>
        <w:rPr>
          <w:color w:val="231F20"/>
          <w:w w:val="95"/>
        </w:rPr>
        <w:t>on</w:t>
      </w:r>
      <w:r>
        <w:rPr>
          <w:color w:val="231F20"/>
          <w:spacing w:val="-9"/>
          <w:w w:val="95"/>
        </w:rPr>
        <w:t xml:space="preserve"> </w:t>
      </w:r>
      <w:r>
        <w:rPr>
          <w:color w:val="231F20"/>
          <w:w w:val="95"/>
        </w:rPr>
        <w:t>the mountain</w:t>
      </w:r>
      <w:r>
        <w:rPr>
          <w:color w:val="231F20"/>
          <w:spacing w:val="-10"/>
          <w:w w:val="95"/>
        </w:rPr>
        <w:t xml:space="preserve"> </w:t>
      </w:r>
      <w:r>
        <w:rPr>
          <w:color w:val="231F20"/>
          <w:w w:val="95"/>
        </w:rPr>
        <w:t>is</w:t>
      </w:r>
      <w:r>
        <w:rPr>
          <w:color w:val="231F20"/>
          <w:spacing w:val="-9"/>
          <w:w w:val="95"/>
        </w:rPr>
        <w:t xml:space="preserve"> </w:t>
      </w:r>
      <w:r>
        <w:rPr>
          <w:color w:val="231F20"/>
          <w:w w:val="95"/>
        </w:rPr>
        <w:t>reached</w:t>
      </w:r>
      <w:r>
        <w:rPr>
          <w:color w:val="231F20"/>
          <w:spacing w:val="-9"/>
          <w:w w:val="95"/>
        </w:rPr>
        <w:t xml:space="preserve"> </w:t>
      </w:r>
      <w:r>
        <w:rPr>
          <w:color w:val="231F20"/>
          <w:w w:val="95"/>
        </w:rPr>
        <w:t>between</w:t>
      </w:r>
      <w:r>
        <w:rPr>
          <w:color w:val="231F20"/>
          <w:spacing w:val="-9"/>
          <w:w w:val="95"/>
        </w:rPr>
        <w:t xml:space="preserve"> </w:t>
      </w:r>
      <w:r>
        <w:rPr>
          <w:color w:val="231F20"/>
          <w:w w:val="95"/>
        </w:rPr>
        <w:t>March</w:t>
      </w:r>
      <w:r>
        <w:rPr>
          <w:color w:val="231F20"/>
          <w:spacing w:val="-10"/>
          <w:w w:val="95"/>
        </w:rPr>
        <w:t xml:space="preserve"> </w:t>
      </w:r>
      <w:r>
        <w:rPr>
          <w:color w:val="231F20"/>
          <w:w w:val="95"/>
        </w:rPr>
        <w:t>and</w:t>
      </w:r>
      <w:r>
        <w:rPr>
          <w:color w:val="231F20"/>
          <w:spacing w:val="-9"/>
          <w:w w:val="95"/>
        </w:rPr>
        <w:t xml:space="preserve"> </w:t>
      </w:r>
      <w:r>
        <w:rPr>
          <w:color w:val="231F20"/>
          <w:w w:val="95"/>
        </w:rPr>
        <w:t>May,</w:t>
      </w:r>
      <w:r>
        <w:rPr>
          <w:color w:val="231F20"/>
          <w:spacing w:val="-9"/>
          <w:w w:val="95"/>
        </w:rPr>
        <w:t xml:space="preserve"> </w:t>
      </w:r>
      <w:r>
        <w:rPr>
          <w:color w:val="231F20"/>
          <w:w w:val="95"/>
        </w:rPr>
        <w:t>depending</w:t>
      </w:r>
      <w:r>
        <w:rPr>
          <w:color w:val="231F20"/>
          <w:spacing w:val="-9"/>
          <w:w w:val="95"/>
        </w:rPr>
        <w:t xml:space="preserve"> </w:t>
      </w:r>
      <w:r>
        <w:rPr>
          <w:color w:val="231F20"/>
          <w:w w:val="95"/>
        </w:rPr>
        <w:t>on</w:t>
      </w:r>
      <w:r>
        <w:rPr>
          <w:color w:val="231F20"/>
          <w:spacing w:val="-10"/>
          <w:w w:val="95"/>
        </w:rPr>
        <w:t xml:space="preserve"> </w:t>
      </w:r>
      <w:r>
        <w:rPr>
          <w:color w:val="231F20"/>
          <w:w w:val="95"/>
        </w:rPr>
        <w:t>elevation</w:t>
      </w:r>
      <w:r>
        <w:rPr>
          <w:color w:val="231F20"/>
          <w:spacing w:val="-9"/>
          <w:w w:val="95"/>
        </w:rPr>
        <w:t xml:space="preserve"> </w:t>
      </w:r>
      <w:r>
        <w:rPr>
          <w:color w:val="231F20"/>
          <w:w w:val="95"/>
        </w:rPr>
        <w:t>and latitude.</w:t>
      </w:r>
      <w:r>
        <w:rPr>
          <w:color w:val="231F20"/>
          <w:spacing w:val="-8"/>
          <w:w w:val="95"/>
        </w:rPr>
        <w:t xml:space="preserve"> </w:t>
      </w:r>
      <w:r>
        <w:rPr>
          <w:color w:val="231F20"/>
          <w:w w:val="95"/>
        </w:rPr>
        <w:t>It</w:t>
      </w:r>
      <w:r>
        <w:rPr>
          <w:color w:val="231F20"/>
          <w:spacing w:val="-8"/>
          <w:w w:val="95"/>
        </w:rPr>
        <w:t xml:space="preserve"> </w:t>
      </w:r>
      <w:r>
        <w:rPr>
          <w:color w:val="231F20"/>
          <w:w w:val="95"/>
        </w:rPr>
        <w:t>is</w:t>
      </w:r>
      <w:r>
        <w:rPr>
          <w:color w:val="231F20"/>
          <w:spacing w:val="-8"/>
          <w:w w:val="95"/>
        </w:rPr>
        <w:t xml:space="preserve"> </w:t>
      </w:r>
      <w:r>
        <w:rPr>
          <w:color w:val="231F20"/>
          <w:w w:val="95"/>
        </w:rPr>
        <w:t>evident</w:t>
      </w:r>
      <w:r>
        <w:rPr>
          <w:color w:val="231F20"/>
          <w:spacing w:val="-8"/>
          <w:w w:val="95"/>
        </w:rPr>
        <w:t xml:space="preserve"> </w:t>
      </w:r>
      <w:r>
        <w:rPr>
          <w:color w:val="231F20"/>
          <w:w w:val="95"/>
        </w:rPr>
        <w:t>that</w:t>
      </w:r>
      <w:r>
        <w:rPr>
          <w:color w:val="231F20"/>
          <w:spacing w:val="-8"/>
          <w:w w:val="95"/>
        </w:rPr>
        <w:t xml:space="preserve"> </w:t>
      </w:r>
      <w:r>
        <w:rPr>
          <w:color w:val="231F20"/>
          <w:w w:val="95"/>
        </w:rPr>
        <w:t>further</w:t>
      </w:r>
      <w:r>
        <w:rPr>
          <w:color w:val="231F20"/>
          <w:spacing w:val="-8"/>
          <w:w w:val="95"/>
        </w:rPr>
        <w:t xml:space="preserve"> </w:t>
      </w:r>
      <w:r>
        <w:rPr>
          <w:color w:val="231F20"/>
          <w:w w:val="95"/>
        </w:rPr>
        <w:t>technical</w:t>
      </w:r>
      <w:r>
        <w:rPr>
          <w:color w:val="231F20"/>
          <w:spacing w:val="-8"/>
          <w:w w:val="95"/>
        </w:rPr>
        <w:t xml:space="preserve"> </w:t>
      </w:r>
      <w:r>
        <w:rPr>
          <w:color w:val="231F20"/>
          <w:w w:val="95"/>
        </w:rPr>
        <w:t>adaptations</w:t>
      </w:r>
      <w:r>
        <w:rPr>
          <w:color w:val="231F20"/>
          <w:spacing w:val="-8"/>
          <w:w w:val="95"/>
        </w:rPr>
        <w:t xml:space="preserve"> </w:t>
      </w:r>
      <w:r>
        <w:rPr>
          <w:color w:val="231F20"/>
          <w:w w:val="95"/>
        </w:rPr>
        <w:t>to</w:t>
      </w:r>
      <w:r>
        <w:rPr>
          <w:color w:val="231F20"/>
          <w:spacing w:val="-8"/>
          <w:w w:val="95"/>
        </w:rPr>
        <w:t xml:space="preserve"> </w:t>
      </w:r>
      <w:r>
        <w:rPr>
          <w:color w:val="231F20"/>
          <w:w w:val="95"/>
        </w:rPr>
        <w:t>secure</w:t>
      </w:r>
      <w:r>
        <w:rPr>
          <w:color w:val="231F20"/>
          <w:spacing w:val="-8"/>
          <w:w w:val="95"/>
        </w:rPr>
        <w:t xml:space="preserve"> </w:t>
      </w:r>
      <w:r>
        <w:rPr>
          <w:color w:val="231F20"/>
          <w:w w:val="95"/>
        </w:rPr>
        <w:t>the</w:t>
      </w:r>
      <w:r>
        <w:rPr>
          <w:color w:val="231F20"/>
          <w:spacing w:val="-8"/>
          <w:w w:val="95"/>
        </w:rPr>
        <w:t xml:space="preserve"> </w:t>
      </w:r>
      <w:r>
        <w:rPr>
          <w:color w:val="231F20"/>
          <w:w w:val="95"/>
        </w:rPr>
        <w:t xml:space="preserve">snow </w:t>
      </w:r>
      <w:r>
        <w:rPr>
          <w:color w:val="231F20"/>
          <w:spacing w:val="-2"/>
        </w:rPr>
        <w:t>product</w:t>
      </w:r>
      <w:r>
        <w:rPr>
          <w:color w:val="231F20"/>
          <w:spacing w:val="-3"/>
        </w:rPr>
        <w:t xml:space="preserve"> </w:t>
      </w:r>
      <w:r>
        <w:rPr>
          <w:color w:val="231F20"/>
          <w:spacing w:val="-2"/>
        </w:rPr>
        <w:t>require</w:t>
      </w:r>
      <w:r>
        <w:rPr>
          <w:color w:val="231F20"/>
          <w:spacing w:val="-3"/>
        </w:rPr>
        <w:t xml:space="preserve"> </w:t>
      </w:r>
      <w:r>
        <w:rPr>
          <w:color w:val="231F20"/>
          <w:spacing w:val="-2"/>
        </w:rPr>
        <w:t>greater</w:t>
      </w:r>
      <w:r>
        <w:rPr>
          <w:color w:val="231F20"/>
          <w:spacing w:val="-3"/>
        </w:rPr>
        <w:t xml:space="preserve"> </w:t>
      </w:r>
      <w:r>
        <w:rPr>
          <w:color w:val="231F20"/>
          <w:spacing w:val="-2"/>
        </w:rPr>
        <w:t>financial</w:t>
      </w:r>
      <w:r>
        <w:rPr>
          <w:color w:val="231F20"/>
          <w:spacing w:val="-3"/>
        </w:rPr>
        <w:t xml:space="preserve"> </w:t>
      </w:r>
      <w:r>
        <w:rPr>
          <w:color w:val="231F20"/>
          <w:spacing w:val="-2"/>
        </w:rPr>
        <w:t>capacity.</w:t>
      </w:r>
      <w:r>
        <w:rPr>
          <w:color w:val="231F20"/>
          <w:spacing w:val="-3"/>
        </w:rPr>
        <w:t xml:space="preserve"> </w:t>
      </w:r>
      <w:r>
        <w:rPr>
          <w:color w:val="231F20"/>
          <w:spacing w:val="-2"/>
        </w:rPr>
        <w:t>Climate</w:t>
      </w:r>
      <w:r>
        <w:rPr>
          <w:color w:val="231F20"/>
          <w:spacing w:val="-3"/>
        </w:rPr>
        <w:t xml:space="preserve"> </w:t>
      </w:r>
      <w:r>
        <w:rPr>
          <w:color w:val="231F20"/>
          <w:spacing w:val="-2"/>
        </w:rPr>
        <w:t>change</w:t>
      </w:r>
      <w:r>
        <w:rPr>
          <w:color w:val="231F20"/>
          <w:spacing w:val="-3"/>
        </w:rPr>
        <w:t xml:space="preserve"> </w:t>
      </w:r>
      <w:r>
        <w:rPr>
          <w:color w:val="231F20"/>
          <w:spacing w:val="-2"/>
        </w:rPr>
        <w:t>is</w:t>
      </w:r>
      <w:r>
        <w:rPr>
          <w:color w:val="231F20"/>
          <w:spacing w:val="-3"/>
        </w:rPr>
        <w:t xml:space="preserve"> </w:t>
      </w:r>
      <w:r>
        <w:rPr>
          <w:color w:val="231F20"/>
          <w:spacing w:val="-2"/>
        </w:rPr>
        <w:t>thus</w:t>
      </w:r>
      <w:r>
        <w:rPr>
          <w:color w:val="231F20"/>
          <w:spacing w:val="-3"/>
        </w:rPr>
        <w:t xml:space="preserve"> </w:t>
      </w:r>
      <w:r>
        <w:rPr>
          <w:color w:val="231F20"/>
          <w:spacing w:val="-2"/>
        </w:rPr>
        <w:t>likely to</w:t>
      </w:r>
      <w:r>
        <w:rPr>
          <w:color w:val="231F20"/>
          <w:spacing w:val="-10"/>
        </w:rPr>
        <w:t xml:space="preserve"> </w:t>
      </w:r>
      <w:r>
        <w:rPr>
          <w:color w:val="231F20"/>
          <w:spacing w:val="-2"/>
        </w:rPr>
        <w:t>intensify</w:t>
      </w:r>
      <w:r>
        <w:rPr>
          <w:color w:val="231F20"/>
          <w:spacing w:val="-10"/>
        </w:rPr>
        <w:t xml:space="preserve"> </w:t>
      </w:r>
      <w:r>
        <w:rPr>
          <w:color w:val="231F20"/>
          <w:spacing w:val="-2"/>
        </w:rPr>
        <w:t>competition</w:t>
      </w:r>
      <w:r>
        <w:rPr>
          <w:color w:val="231F20"/>
          <w:spacing w:val="-9"/>
        </w:rPr>
        <w:t xml:space="preserve"> </w:t>
      </w:r>
      <w:r>
        <w:rPr>
          <w:color w:val="231F20"/>
          <w:spacing w:val="-2"/>
        </w:rPr>
        <w:t>among</w:t>
      </w:r>
      <w:r>
        <w:rPr>
          <w:color w:val="231F20"/>
          <w:spacing w:val="-10"/>
        </w:rPr>
        <w:t xml:space="preserve"> </w:t>
      </w:r>
      <w:r>
        <w:rPr>
          <w:color w:val="231F20"/>
          <w:spacing w:val="-2"/>
        </w:rPr>
        <w:t>ski</w:t>
      </w:r>
      <w:r>
        <w:rPr>
          <w:color w:val="231F20"/>
          <w:spacing w:val="-9"/>
        </w:rPr>
        <w:t xml:space="preserve"> </w:t>
      </w:r>
      <w:r>
        <w:rPr>
          <w:color w:val="231F20"/>
          <w:spacing w:val="-2"/>
        </w:rPr>
        <w:t>areas</w:t>
      </w:r>
      <w:r>
        <w:rPr>
          <w:color w:val="231F20"/>
          <w:spacing w:val="-10"/>
        </w:rPr>
        <w:t xml:space="preserve"> </w:t>
      </w:r>
      <w:r>
        <w:rPr>
          <w:color w:val="231F20"/>
          <w:spacing w:val="-2"/>
        </w:rPr>
        <w:t>with</w:t>
      </w:r>
      <w:r>
        <w:rPr>
          <w:color w:val="231F20"/>
          <w:spacing w:val="-9"/>
        </w:rPr>
        <w:t xml:space="preserve"> </w:t>
      </w:r>
      <w:r>
        <w:rPr>
          <w:color w:val="231F20"/>
          <w:spacing w:val="-2"/>
        </w:rPr>
        <w:t>likely</w:t>
      </w:r>
      <w:r>
        <w:rPr>
          <w:color w:val="231F20"/>
          <w:spacing w:val="-10"/>
        </w:rPr>
        <w:t xml:space="preserve"> </w:t>
      </w:r>
      <w:r>
        <w:rPr>
          <w:color w:val="231F20"/>
          <w:spacing w:val="-2"/>
        </w:rPr>
        <w:t>market</w:t>
      </w:r>
      <w:r>
        <w:rPr>
          <w:color w:val="231F20"/>
          <w:spacing w:val="-10"/>
        </w:rPr>
        <w:t xml:space="preserve"> </w:t>
      </w:r>
      <w:r>
        <w:rPr>
          <w:color w:val="231F20"/>
          <w:spacing w:val="-2"/>
        </w:rPr>
        <w:t xml:space="preserve">contraction, </w:t>
      </w:r>
      <w:r>
        <w:rPr>
          <w:color w:val="231F20"/>
          <w:w w:val="95"/>
        </w:rPr>
        <w:t>resulting</w:t>
      </w:r>
      <w:r>
        <w:rPr>
          <w:color w:val="231F20"/>
          <w:spacing w:val="-1"/>
          <w:w w:val="95"/>
        </w:rPr>
        <w:t xml:space="preserve"> </w:t>
      </w:r>
      <w:r>
        <w:rPr>
          <w:color w:val="231F20"/>
          <w:w w:val="95"/>
        </w:rPr>
        <w:t>in</w:t>
      </w:r>
      <w:r>
        <w:rPr>
          <w:color w:val="231F20"/>
          <w:spacing w:val="-1"/>
          <w:w w:val="95"/>
        </w:rPr>
        <w:t xml:space="preserve"> </w:t>
      </w:r>
      <w:r>
        <w:rPr>
          <w:color w:val="231F20"/>
          <w:w w:val="95"/>
        </w:rPr>
        <w:t>potential</w:t>
      </w:r>
      <w:r>
        <w:rPr>
          <w:color w:val="231F20"/>
          <w:spacing w:val="-1"/>
          <w:w w:val="95"/>
        </w:rPr>
        <w:t xml:space="preserve"> </w:t>
      </w:r>
      <w:r>
        <w:rPr>
          <w:color w:val="231F20"/>
          <w:w w:val="95"/>
        </w:rPr>
        <w:t>winners</w:t>
      </w:r>
      <w:r>
        <w:rPr>
          <w:color w:val="231F20"/>
          <w:spacing w:val="-1"/>
          <w:w w:val="95"/>
        </w:rPr>
        <w:t xml:space="preserve"> </w:t>
      </w:r>
      <w:r>
        <w:rPr>
          <w:color w:val="231F20"/>
          <w:w w:val="95"/>
        </w:rPr>
        <w:t>and</w:t>
      </w:r>
      <w:r>
        <w:rPr>
          <w:color w:val="231F20"/>
          <w:spacing w:val="-1"/>
          <w:w w:val="95"/>
        </w:rPr>
        <w:t xml:space="preserve"> </w:t>
      </w:r>
      <w:r>
        <w:rPr>
          <w:color w:val="231F20"/>
          <w:w w:val="95"/>
        </w:rPr>
        <w:t>losers</w:t>
      </w:r>
      <w:r>
        <w:rPr>
          <w:color w:val="231F20"/>
          <w:spacing w:val="-1"/>
          <w:w w:val="95"/>
        </w:rPr>
        <w:t xml:space="preserve"> </w:t>
      </w:r>
      <w:r>
        <w:rPr>
          <w:color w:val="231F20"/>
          <w:w w:val="95"/>
        </w:rPr>
        <w:t>in</w:t>
      </w:r>
      <w:r>
        <w:rPr>
          <w:color w:val="231F20"/>
          <w:spacing w:val="-1"/>
          <w:w w:val="95"/>
        </w:rPr>
        <w:t xml:space="preserve"> </w:t>
      </w:r>
      <w:r>
        <w:rPr>
          <w:color w:val="231F20"/>
          <w:w w:val="95"/>
        </w:rPr>
        <w:t>the</w:t>
      </w:r>
      <w:r>
        <w:rPr>
          <w:color w:val="231F20"/>
          <w:spacing w:val="-1"/>
          <w:w w:val="95"/>
        </w:rPr>
        <w:t xml:space="preserve"> </w:t>
      </w:r>
      <w:r>
        <w:rPr>
          <w:color w:val="231F20"/>
          <w:w w:val="95"/>
        </w:rPr>
        <w:t>fight</w:t>
      </w:r>
      <w:r>
        <w:rPr>
          <w:color w:val="231F20"/>
          <w:spacing w:val="-1"/>
          <w:w w:val="95"/>
        </w:rPr>
        <w:t xml:space="preserve"> </w:t>
      </w:r>
      <w:r>
        <w:rPr>
          <w:color w:val="231F20"/>
          <w:w w:val="95"/>
        </w:rPr>
        <w:t>to</w:t>
      </w:r>
      <w:r>
        <w:rPr>
          <w:color w:val="231F20"/>
          <w:spacing w:val="-1"/>
          <w:w w:val="95"/>
        </w:rPr>
        <w:t xml:space="preserve"> </w:t>
      </w:r>
      <w:r>
        <w:rPr>
          <w:color w:val="231F20"/>
          <w:w w:val="95"/>
        </w:rPr>
        <w:t>remain</w:t>
      </w:r>
      <w:r>
        <w:rPr>
          <w:color w:val="231F20"/>
          <w:spacing w:val="-1"/>
          <w:w w:val="95"/>
        </w:rPr>
        <w:t xml:space="preserve"> </w:t>
      </w:r>
      <w:r>
        <w:rPr>
          <w:color w:val="231F20"/>
          <w:w w:val="95"/>
        </w:rPr>
        <w:t xml:space="preserve">seasonally </w:t>
      </w:r>
      <w:r>
        <w:rPr>
          <w:color w:val="231F20"/>
          <w:spacing w:val="-2"/>
        </w:rPr>
        <w:t>viable</w:t>
      </w:r>
      <w:r>
        <w:rPr>
          <w:color w:val="231F20"/>
          <w:spacing w:val="-10"/>
        </w:rPr>
        <w:t xml:space="preserve"> </w:t>
      </w:r>
      <w:r>
        <w:rPr>
          <w:color w:val="231F20"/>
          <w:spacing w:val="-2"/>
        </w:rPr>
        <w:t>in</w:t>
      </w:r>
      <w:r>
        <w:rPr>
          <w:color w:val="231F20"/>
          <w:spacing w:val="-10"/>
        </w:rPr>
        <w:t xml:space="preserve"> </w:t>
      </w:r>
      <w:r>
        <w:rPr>
          <w:color w:val="231F20"/>
          <w:spacing w:val="-2"/>
        </w:rPr>
        <w:t>increasingly</w:t>
      </w:r>
      <w:r>
        <w:rPr>
          <w:color w:val="231F20"/>
          <w:spacing w:val="-9"/>
        </w:rPr>
        <w:t xml:space="preserve"> </w:t>
      </w:r>
      <w:r>
        <w:rPr>
          <w:color w:val="231F20"/>
          <w:spacing w:val="-2"/>
        </w:rPr>
        <w:t>challenging</w:t>
      </w:r>
      <w:r>
        <w:rPr>
          <w:color w:val="231F20"/>
          <w:spacing w:val="-10"/>
        </w:rPr>
        <w:t xml:space="preserve"> </w:t>
      </w:r>
      <w:r>
        <w:rPr>
          <w:color w:val="231F20"/>
          <w:spacing w:val="-2"/>
        </w:rPr>
        <w:t>climatic</w:t>
      </w:r>
      <w:r>
        <w:rPr>
          <w:color w:val="231F20"/>
          <w:spacing w:val="-9"/>
        </w:rPr>
        <w:t xml:space="preserve"> </w:t>
      </w:r>
      <w:r>
        <w:rPr>
          <w:color w:val="231F20"/>
          <w:spacing w:val="-2"/>
        </w:rPr>
        <w:t>circumstances.</w:t>
      </w:r>
    </w:p>
    <w:p w14:paraId="77BCA7E0" w14:textId="77777777" w:rsidR="00AE0598" w:rsidRDefault="0069255A">
      <w:pPr>
        <w:pStyle w:val="Corpodetexto"/>
        <w:spacing w:before="26" w:line="232" w:lineRule="auto"/>
        <w:ind w:left="223" w:right="239" w:firstLine="320"/>
        <w:jc w:val="both"/>
      </w:pPr>
      <w:r>
        <w:rPr>
          <w:color w:val="231F20"/>
        </w:rPr>
        <w:t xml:space="preserve">Climate change also potentially increases seasonality, as from an </w:t>
      </w:r>
      <w:r>
        <w:rPr>
          <w:color w:val="231F20"/>
          <w:w w:val="95"/>
        </w:rPr>
        <w:t>operational</w:t>
      </w:r>
      <w:r>
        <w:rPr>
          <w:color w:val="231F20"/>
          <w:spacing w:val="30"/>
        </w:rPr>
        <w:t xml:space="preserve"> </w:t>
      </w:r>
      <w:r>
        <w:rPr>
          <w:color w:val="231F20"/>
          <w:w w:val="95"/>
        </w:rPr>
        <w:t>perspective</w:t>
      </w:r>
      <w:r>
        <w:rPr>
          <w:color w:val="231F20"/>
          <w:spacing w:val="30"/>
        </w:rPr>
        <w:t xml:space="preserve"> </w:t>
      </w:r>
      <w:r>
        <w:rPr>
          <w:color w:val="231F20"/>
          <w:w w:val="95"/>
        </w:rPr>
        <w:t>in</w:t>
      </w:r>
      <w:r>
        <w:rPr>
          <w:color w:val="231F20"/>
          <w:spacing w:val="31"/>
        </w:rPr>
        <w:t xml:space="preserve"> </w:t>
      </w:r>
      <w:r>
        <w:rPr>
          <w:color w:val="231F20"/>
          <w:w w:val="95"/>
        </w:rPr>
        <w:t>order</w:t>
      </w:r>
      <w:r>
        <w:rPr>
          <w:color w:val="231F20"/>
          <w:spacing w:val="30"/>
        </w:rPr>
        <w:t xml:space="preserve"> </w:t>
      </w:r>
      <w:r>
        <w:rPr>
          <w:color w:val="231F20"/>
          <w:w w:val="95"/>
        </w:rPr>
        <w:t>to</w:t>
      </w:r>
      <w:r>
        <w:rPr>
          <w:color w:val="231F20"/>
          <w:spacing w:val="31"/>
        </w:rPr>
        <w:t xml:space="preserve"> </w:t>
      </w:r>
      <w:r>
        <w:rPr>
          <w:color w:val="231F20"/>
          <w:w w:val="95"/>
        </w:rPr>
        <w:t>prevent</w:t>
      </w:r>
      <w:r>
        <w:rPr>
          <w:color w:val="231F20"/>
          <w:spacing w:val="30"/>
        </w:rPr>
        <w:t xml:space="preserve"> </w:t>
      </w:r>
      <w:r>
        <w:rPr>
          <w:color w:val="231F20"/>
          <w:w w:val="95"/>
        </w:rPr>
        <w:t>losses,</w:t>
      </w:r>
      <w:r>
        <w:rPr>
          <w:color w:val="231F20"/>
          <w:spacing w:val="31"/>
        </w:rPr>
        <w:t xml:space="preserve"> </w:t>
      </w:r>
      <w:r>
        <w:rPr>
          <w:color w:val="231F20"/>
          <w:w w:val="95"/>
        </w:rPr>
        <w:t>the</w:t>
      </w:r>
      <w:r>
        <w:rPr>
          <w:color w:val="231F20"/>
          <w:spacing w:val="30"/>
        </w:rPr>
        <w:t xml:space="preserve"> </w:t>
      </w:r>
      <w:r>
        <w:rPr>
          <w:color w:val="231F20"/>
          <w:w w:val="95"/>
        </w:rPr>
        <w:t>same</w:t>
      </w:r>
      <w:r>
        <w:rPr>
          <w:color w:val="231F20"/>
          <w:spacing w:val="31"/>
        </w:rPr>
        <w:t xml:space="preserve"> </w:t>
      </w:r>
      <w:r>
        <w:rPr>
          <w:color w:val="231F20"/>
          <w:spacing w:val="-2"/>
          <w:w w:val="95"/>
        </w:rPr>
        <w:t>turnover</w:t>
      </w:r>
    </w:p>
    <w:p w14:paraId="1B8131A4" w14:textId="77777777" w:rsidR="00AE0598" w:rsidRDefault="00AE0598">
      <w:pPr>
        <w:spacing w:line="232" w:lineRule="auto"/>
        <w:jc w:val="both"/>
        <w:sectPr w:rsidR="00AE0598">
          <w:pgSz w:w="8850" w:h="13270"/>
          <w:pgMar w:top="720" w:right="1060" w:bottom="280" w:left="1080" w:header="720" w:footer="720" w:gutter="0"/>
          <w:cols w:space="720"/>
        </w:sectPr>
      </w:pPr>
    </w:p>
    <w:p w14:paraId="465A1E65" w14:textId="77777777" w:rsidR="00AE0598" w:rsidRDefault="0069255A">
      <w:pPr>
        <w:spacing w:before="87"/>
        <w:ind w:left="4213"/>
        <w:rPr>
          <w:rFonts w:ascii="Trebuchet MS"/>
          <w:sz w:val="14"/>
        </w:rPr>
      </w:pPr>
      <w:r>
        <w:rPr>
          <w:rFonts w:ascii="Trebuchet MS"/>
          <w:color w:val="231F20"/>
          <w:w w:val="105"/>
          <w:sz w:val="14"/>
        </w:rPr>
        <w:lastRenderedPageBreak/>
        <w:t>Seasonality,</w:t>
      </w:r>
      <w:r>
        <w:rPr>
          <w:rFonts w:ascii="Trebuchet MS"/>
          <w:color w:val="231F20"/>
          <w:spacing w:val="-12"/>
          <w:w w:val="105"/>
          <w:sz w:val="14"/>
        </w:rPr>
        <w:t xml:space="preserve"> </w:t>
      </w:r>
      <w:r>
        <w:rPr>
          <w:rFonts w:ascii="Trebuchet MS"/>
          <w:color w:val="231F20"/>
          <w:w w:val="105"/>
          <w:sz w:val="14"/>
        </w:rPr>
        <w:t>Sport</w:t>
      </w:r>
      <w:r>
        <w:rPr>
          <w:rFonts w:ascii="Trebuchet MS"/>
          <w:color w:val="231F20"/>
          <w:spacing w:val="-11"/>
          <w:w w:val="105"/>
          <w:sz w:val="14"/>
        </w:rPr>
        <w:t xml:space="preserve"> </w:t>
      </w:r>
      <w:r>
        <w:rPr>
          <w:rFonts w:ascii="Trebuchet MS"/>
          <w:color w:val="231F20"/>
          <w:w w:val="105"/>
          <w:sz w:val="14"/>
        </w:rPr>
        <w:t>and</w:t>
      </w:r>
      <w:r>
        <w:rPr>
          <w:rFonts w:ascii="Trebuchet MS"/>
          <w:color w:val="231F20"/>
          <w:spacing w:val="-11"/>
          <w:w w:val="105"/>
          <w:sz w:val="14"/>
        </w:rPr>
        <w:t xml:space="preserve"> </w:t>
      </w:r>
      <w:r>
        <w:rPr>
          <w:rFonts w:ascii="Trebuchet MS"/>
          <w:color w:val="231F20"/>
          <w:w w:val="105"/>
          <w:sz w:val="14"/>
        </w:rPr>
        <w:t>Tourism</w:t>
      </w:r>
      <w:r>
        <w:rPr>
          <w:rFonts w:ascii="Trebuchet MS"/>
          <w:color w:val="231F20"/>
          <w:spacing w:val="60"/>
          <w:w w:val="105"/>
          <w:sz w:val="14"/>
        </w:rPr>
        <w:t xml:space="preserve"> </w:t>
      </w:r>
      <w:r>
        <w:rPr>
          <w:rFonts w:ascii="Trebuchet MS"/>
          <w:color w:val="231F20"/>
          <w:spacing w:val="-5"/>
          <w:w w:val="105"/>
          <w:sz w:val="14"/>
        </w:rPr>
        <w:t>191</w:t>
      </w:r>
    </w:p>
    <w:p w14:paraId="0A4CDCEA" w14:textId="0EB09FB3" w:rsidR="00AE0598" w:rsidRDefault="0069255A">
      <w:pPr>
        <w:pStyle w:val="Corpodetexto"/>
        <w:spacing w:before="6"/>
        <w:rPr>
          <w:rFonts w:ascii="Trebuchet MS"/>
          <w:sz w:val="27"/>
        </w:rPr>
      </w:pPr>
      <w:r>
        <w:rPr>
          <w:noProof/>
        </w:rPr>
        <mc:AlternateContent>
          <mc:Choice Requires="wps">
            <w:drawing>
              <wp:anchor distT="0" distB="0" distL="0" distR="0" simplePos="0" relativeHeight="487681536" behindDoc="1" locked="0" layoutInCell="1" allowOverlap="1" wp14:anchorId="5D766328" wp14:editId="2675C26D">
                <wp:simplePos x="0" y="0"/>
                <wp:positionH relativeFrom="page">
                  <wp:posOffset>755650</wp:posOffset>
                </wp:positionH>
                <wp:positionV relativeFrom="paragraph">
                  <wp:posOffset>218440</wp:posOffset>
                </wp:positionV>
                <wp:extent cx="4104005" cy="3325495"/>
                <wp:effectExtent l="0" t="0" r="0" b="0"/>
                <wp:wrapTopAndBottom/>
                <wp:docPr id="78" name="docshape2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04005" cy="3325495"/>
                        </a:xfrm>
                        <a:prstGeom prst="rect">
                          <a:avLst/>
                        </a:prstGeom>
                        <a:solidFill>
                          <a:srgbClr val="DCDDD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5EF5CE6" w14:textId="77777777" w:rsidR="00AE0598" w:rsidRDefault="0069255A">
                            <w:pPr>
                              <w:pStyle w:val="Corpodetexto"/>
                              <w:spacing w:before="73" w:line="232" w:lineRule="auto"/>
                              <w:ind w:left="113" w:right="109"/>
                              <w:jc w:val="both"/>
                              <w:rPr>
                                <w:color w:val="000000"/>
                              </w:rPr>
                            </w:pPr>
                            <w:r>
                              <w:rPr>
                                <w:color w:val="231F20"/>
                                <w:w w:val="95"/>
                              </w:rPr>
                              <w:t xml:space="preserve">must be generated in a shortening ski season, leading to higher demand </w:t>
                            </w:r>
                            <w:r>
                              <w:rPr>
                                <w:color w:val="231F20"/>
                              </w:rPr>
                              <w:t xml:space="preserve">peaks. This is even more problematic for destinations that are almost </w:t>
                            </w:r>
                            <w:r>
                              <w:rPr>
                                <w:color w:val="231F20"/>
                                <w:w w:val="95"/>
                              </w:rPr>
                              <w:t xml:space="preserve">entirely dependent on the winter months. Therefore, winter destinations have started to vitalise the summer season </w:t>
                            </w:r>
                            <w:r>
                              <w:rPr>
                                <w:color w:val="231F20"/>
                                <w:w w:val="95"/>
                              </w:rPr>
                              <w:t xml:space="preserve">by introducing new products </w:t>
                            </w:r>
                            <w:r>
                              <w:rPr>
                                <w:color w:val="231F20"/>
                              </w:rPr>
                              <w:t>(e.g.</w:t>
                            </w:r>
                            <w:r>
                              <w:rPr>
                                <w:color w:val="231F20"/>
                                <w:spacing w:val="-6"/>
                              </w:rPr>
                              <w:t xml:space="preserve"> </w:t>
                            </w:r>
                            <w:r>
                              <w:rPr>
                                <w:color w:val="231F20"/>
                              </w:rPr>
                              <w:t>mountain</w:t>
                            </w:r>
                            <w:r>
                              <w:rPr>
                                <w:color w:val="231F20"/>
                                <w:spacing w:val="-6"/>
                              </w:rPr>
                              <w:t xml:space="preserve"> </w:t>
                            </w:r>
                            <w:r>
                              <w:rPr>
                                <w:color w:val="231F20"/>
                              </w:rPr>
                              <w:t>biking,</w:t>
                            </w:r>
                            <w:r>
                              <w:rPr>
                                <w:color w:val="231F20"/>
                                <w:spacing w:val="-6"/>
                              </w:rPr>
                              <w:t xml:space="preserve"> </w:t>
                            </w:r>
                            <w:r>
                              <w:rPr>
                                <w:color w:val="231F20"/>
                              </w:rPr>
                              <w:t>family</w:t>
                            </w:r>
                            <w:r>
                              <w:rPr>
                                <w:color w:val="231F20"/>
                                <w:spacing w:val="-6"/>
                              </w:rPr>
                              <w:t xml:space="preserve"> </w:t>
                            </w:r>
                            <w:r>
                              <w:rPr>
                                <w:color w:val="231F20"/>
                              </w:rPr>
                              <w:t>fun</w:t>
                            </w:r>
                            <w:r>
                              <w:rPr>
                                <w:color w:val="231F20"/>
                                <w:spacing w:val="-6"/>
                              </w:rPr>
                              <w:t xml:space="preserve"> </w:t>
                            </w:r>
                            <w:r>
                              <w:rPr>
                                <w:color w:val="231F20"/>
                              </w:rPr>
                              <w:t>parks</w:t>
                            </w:r>
                            <w:r>
                              <w:rPr>
                                <w:color w:val="231F20"/>
                                <w:spacing w:val="-6"/>
                              </w:rPr>
                              <w:t xml:space="preserve"> </w:t>
                            </w:r>
                            <w:r>
                              <w:rPr>
                                <w:color w:val="231F20"/>
                              </w:rPr>
                              <w:t>on</w:t>
                            </w:r>
                            <w:r>
                              <w:rPr>
                                <w:color w:val="231F20"/>
                                <w:spacing w:val="-6"/>
                              </w:rPr>
                              <w:t xml:space="preserve"> </w:t>
                            </w:r>
                            <w:r>
                              <w:rPr>
                                <w:color w:val="231F20"/>
                              </w:rPr>
                              <w:t>the</w:t>
                            </w:r>
                            <w:r>
                              <w:rPr>
                                <w:color w:val="231F20"/>
                                <w:spacing w:val="-6"/>
                              </w:rPr>
                              <w:t xml:space="preserve"> </w:t>
                            </w:r>
                            <w:r>
                              <w:rPr>
                                <w:color w:val="231F20"/>
                              </w:rPr>
                              <w:t>mountain,</w:t>
                            </w:r>
                            <w:r>
                              <w:rPr>
                                <w:color w:val="231F20"/>
                                <w:spacing w:val="-6"/>
                              </w:rPr>
                              <w:t xml:space="preserve"> </w:t>
                            </w:r>
                            <w:r>
                              <w:rPr>
                                <w:color w:val="231F20"/>
                              </w:rPr>
                              <w:t>staged</w:t>
                            </w:r>
                            <w:r>
                              <w:rPr>
                                <w:color w:val="231F20"/>
                                <w:spacing w:val="-6"/>
                              </w:rPr>
                              <w:t xml:space="preserve"> </w:t>
                            </w:r>
                            <w:r>
                              <w:rPr>
                                <w:color w:val="231F20"/>
                              </w:rPr>
                              <w:t>theme hiking</w:t>
                            </w:r>
                            <w:r>
                              <w:rPr>
                                <w:color w:val="231F20"/>
                                <w:spacing w:val="-3"/>
                              </w:rPr>
                              <w:t xml:space="preserve"> </w:t>
                            </w:r>
                            <w:r>
                              <w:rPr>
                                <w:color w:val="231F20"/>
                              </w:rPr>
                              <w:t>trails)</w:t>
                            </w:r>
                            <w:r>
                              <w:rPr>
                                <w:color w:val="231F20"/>
                                <w:spacing w:val="-3"/>
                              </w:rPr>
                              <w:t xml:space="preserve"> </w:t>
                            </w:r>
                            <w:r>
                              <w:rPr>
                                <w:color w:val="231F20"/>
                              </w:rPr>
                              <w:t>to</w:t>
                            </w:r>
                            <w:r>
                              <w:rPr>
                                <w:color w:val="231F20"/>
                                <w:spacing w:val="-3"/>
                              </w:rPr>
                              <w:t xml:space="preserve"> </w:t>
                            </w:r>
                            <w:r>
                              <w:rPr>
                                <w:color w:val="231F20"/>
                              </w:rPr>
                              <w:t>attract</w:t>
                            </w:r>
                            <w:r>
                              <w:rPr>
                                <w:color w:val="231F20"/>
                                <w:spacing w:val="-3"/>
                              </w:rPr>
                              <w:t xml:space="preserve"> </w:t>
                            </w:r>
                            <w:r>
                              <w:rPr>
                                <w:color w:val="231F20"/>
                              </w:rPr>
                              <w:t>customers</w:t>
                            </w:r>
                            <w:r>
                              <w:rPr>
                                <w:color w:val="231F20"/>
                                <w:spacing w:val="-3"/>
                              </w:rPr>
                              <w:t xml:space="preserve"> </w:t>
                            </w:r>
                            <w:r>
                              <w:rPr>
                                <w:color w:val="231F20"/>
                              </w:rPr>
                              <w:t>in</w:t>
                            </w:r>
                            <w:r>
                              <w:rPr>
                                <w:color w:val="231F20"/>
                                <w:spacing w:val="-3"/>
                              </w:rPr>
                              <w:t xml:space="preserve"> </w:t>
                            </w:r>
                            <w:r>
                              <w:rPr>
                                <w:color w:val="231F20"/>
                              </w:rPr>
                              <w:t>the</w:t>
                            </w:r>
                            <w:r>
                              <w:rPr>
                                <w:color w:val="231F20"/>
                                <w:spacing w:val="-3"/>
                              </w:rPr>
                              <w:t xml:space="preserve"> </w:t>
                            </w:r>
                            <w:r>
                              <w:rPr>
                                <w:color w:val="231F20"/>
                              </w:rPr>
                              <w:t>summer</w:t>
                            </w:r>
                            <w:r>
                              <w:rPr>
                                <w:color w:val="231F20"/>
                                <w:spacing w:val="-3"/>
                              </w:rPr>
                              <w:t xml:space="preserve"> </w:t>
                            </w:r>
                            <w:r>
                              <w:rPr>
                                <w:color w:val="231F20"/>
                              </w:rPr>
                              <w:t>season.</w:t>
                            </w:r>
                            <w:r>
                              <w:rPr>
                                <w:color w:val="231F20"/>
                                <w:spacing w:val="-3"/>
                              </w:rPr>
                              <w:t xml:space="preserve"> </w:t>
                            </w:r>
                            <w:r>
                              <w:rPr>
                                <w:color w:val="231F20"/>
                              </w:rPr>
                              <w:t>But,</w:t>
                            </w:r>
                            <w:r>
                              <w:rPr>
                                <w:color w:val="231F20"/>
                                <w:spacing w:val="-3"/>
                              </w:rPr>
                              <w:t xml:space="preserve"> </w:t>
                            </w:r>
                            <w:r>
                              <w:rPr>
                                <w:color w:val="231F20"/>
                              </w:rPr>
                              <w:t>positive effects on the economic viability of businesses in these resorts and</w:t>
                            </w:r>
                            <w:r>
                              <w:rPr>
                                <w:color w:val="231F20"/>
                                <w:spacing w:val="80"/>
                              </w:rPr>
                              <w:t xml:space="preserve"> </w:t>
                            </w:r>
                            <w:r>
                              <w:rPr>
                                <w:color w:val="231F20"/>
                              </w:rPr>
                              <w:t xml:space="preserve">on social aspects (e.g. year-round jobs instead of seasonal jobs) are </w:t>
                            </w:r>
                            <w:r>
                              <w:rPr>
                                <w:color w:val="231F20"/>
                                <w:w w:val="95"/>
                              </w:rPr>
                              <w:t>accompanied with negative environmental effects, as more tourists in a sensitive mountain environment increa</w:t>
                            </w:r>
                            <w:r>
                              <w:rPr>
                                <w:color w:val="231F20"/>
                                <w:w w:val="95"/>
                              </w:rPr>
                              <w:t>se disturbances in the ecosystem.</w:t>
                            </w:r>
                          </w:p>
                          <w:p w14:paraId="0ACBB694" w14:textId="77777777" w:rsidR="00AE0598" w:rsidRDefault="00AE0598">
                            <w:pPr>
                              <w:pStyle w:val="Corpodetexto"/>
                              <w:spacing w:before="11"/>
                              <w:rPr>
                                <w:color w:val="000000"/>
                              </w:rPr>
                            </w:pPr>
                          </w:p>
                          <w:p w14:paraId="44280922" w14:textId="77777777" w:rsidR="00AE0598" w:rsidRDefault="0069255A">
                            <w:pPr>
                              <w:ind w:left="113"/>
                              <w:jc w:val="both"/>
                              <w:rPr>
                                <w:rFonts w:ascii="Trebuchet MS"/>
                                <w:color w:val="000000"/>
                                <w:sz w:val="20"/>
                              </w:rPr>
                            </w:pPr>
                            <w:r>
                              <w:rPr>
                                <w:rFonts w:ascii="Trebuchet MS"/>
                                <w:color w:val="231F20"/>
                                <w:w w:val="105"/>
                                <w:sz w:val="20"/>
                              </w:rPr>
                              <w:t>Key</w:t>
                            </w:r>
                            <w:r>
                              <w:rPr>
                                <w:rFonts w:ascii="Trebuchet MS"/>
                                <w:color w:val="231F20"/>
                                <w:spacing w:val="-11"/>
                                <w:w w:val="105"/>
                                <w:sz w:val="20"/>
                              </w:rPr>
                              <w:t xml:space="preserve"> </w:t>
                            </w:r>
                            <w:r>
                              <w:rPr>
                                <w:rFonts w:ascii="Trebuchet MS"/>
                                <w:color w:val="231F20"/>
                                <w:spacing w:val="-2"/>
                                <w:w w:val="105"/>
                                <w:sz w:val="20"/>
                              </w:rPr>
                              <w:t>Reading</w:t>
                            </w:r>
                          </w:p>
                          <w:p w14:paraId="4EF32E20" w14:textId="77777777" w:rsidR="00AE0598" w:rsidRDefault="0069255A">
                            <w:pPr>
                              <w:pStyle w:val="Corpodetexto"/>
                              <w:spacing w:before="122" w:line="232" w:lineRule="auto"/>
                              <w:ind w:left="113" w:right="111"/>
                              <w:jc w:val="both"/>
                              <w:rPr>
                                <w:color w:val="000000"/>
                              </w:rPr>
                            </w:pPr>
                            <w:r>
                              <w:rPr>
                                <w:color w:val="231F20"/>
                              </w:rPr>
                              <w:t>Scott,</w:t>
                            </w:r>
                            <w:r>
                              <w:rPr>
                                <w:color w:val="231F20"/>
                                <w:spacing w:val="-2"/>
                              </w:rPr>
                              <w:t xml:space="preserve"> </w:t>
                            </w:r>
                            <w:r>
                              <w:rPr>
                                <w:color w:val="231F20"/>
                              </w:rPr>
                              <w:t>D.,</w:t>
                            </w:r>
                            <w:r>
                              <w:rPr>
                                <w:color w:val="231F20"/>
                                <w:spacing w:val="-2"/>
                              </w:rPr>
                              <w:t xml:space="preserve"> </w:t>
                            </w:r>
                            <w:r>
                              <w:rPr>
                                <w:color w:val="231F20"/>
                              </w:rPr>
                              <w:t>Steiger,</w:t>
                            </w:r>
                            <w:r>
                              <w:rPr>
                                <w:color w:val="231F20"/>
                                <w:spacing w:val="-2"/>
                              </w:rPr>
                              <w:t xml:space="preserve"> </w:t>
                            </w:r>
                            <w:r>
                              <w:rPr>
                                <w:color w:val="231F20"/>
                              </w:rPr>
                              <w:t>R.,</w:t>
                            </w:r>
                            <w:r>
                              <w:rPr>
                                <w:color w:val="231F20"/>
                                <w:spacing w:val="-2"/>
                              </w:rPr>
                              <w:t xml:space="preserve"> </w:t>
                            </w:r>
                            <w:r>
                              <w:rPr>
                                <w:color w:val="231F20"/>
                              </w:rPr>
                              <w:t>Rutty,</w:t>
                            </w:r>
                            <w:r>
                              <w:rPr>
                                <w:color w:val="231F20"/>
                                <w:spacing w:val="-2"/>
                              </w:rPr>
                              <w:t xml:space="preserve"> </w:t>
                            </w:r>
                            <w:r>
                              <w:rPr>
                                <w:color w:val="231F20"/>
                              </w:rPr>
                              <w:t>M.</w:t>
                            </w:r>
                            <w:r>
                              <w:rPr>
                                <w:color w:val="231F20"/>
                                <w:spacing w:val="-2"/>
                              </w:rPr>
                              <w:t xml:space="preserve"> </w:t>
                            </w:r>
                            <w:r>
                              <w:rPr>
                                <w:color w:val="231F20"/>
                              </w:rPr>
                              <w:t>and</w:t>
                            </w:r>
                            <w:r>
                              <w:rPr>
                                <w:color w:val="231F20"/>
                                <w:spacing w:val="-2"/>
                              </w:rPr>
                              <w:t xml:space="preserve"> </w:t>
                            </w:r>
                            <w:r>
                              <w:rPr>
                                <w:color w:val="231F20"/>
                              </w:rPr>
                              <w:t>Johnson,</w:t>
                            </w:r>
                            <w:r>
                              <w:rPr>
                                <w:color w:val="231F20"/>
                                <w:spacing w:val="-2"/>
                              </w:rPr>
                              <w:t xml:space="preserve"> </w:t>
                            </w:r>
                            <w:r>
                              <w:rPr>
                                <w:color w:val="231F20"/>
                              </w:rPr>
                              <w:t>P.</w:t>
                            </w:r>
                            <w:r>
                              <w:rPr>
                                <w:color w:val="231F20"/>
                                <w:spacing w:val="-2"/>
                              </w:rPr>
                              <w:t xml:space="preserve"> </w:t>
                            </w:r>
                            <w:r>
                              <w:rPr>
                                <w:color w:val="231F20"/>
                              </w:rPr>
                              <w:t>(2014)</w:t>
                            </w:r>
                            <w:r>
                              <w:rPr>
                                <w:color w:val="231F20"/>
                                <w:spacing w:val="-2"/>
                              </w:rPr>
                              <w:t xml:space="preserve"> </w:t>
                            </w:r>
                            <w:r>
                              <w:rPr>
                                <w:color w:val="231F20"/>
                              </w:rPr>
                              <w:t>The</w:t>
                            </w:r>
                            <w:r>
                              <w:rPr>
                                <w:color w:val="231F20"/>
                                <w:spacing w:val="-2"/>
                              </w:rPr>
                              <w:t xml:space="preserve"> </w:t>
                            </w:r>
                            <w:r>
                              <w:rPr>
                                <w:color w:val="231F20"/>
                              </w:rPr>
                              <w:t>future</w:t>
                            </w:r>
                            <w:r>
                              <w:rPr>
                                <w:color w:val="231F20"/>
                                <w:spacing w:val="-2"/>
                              </w:rPr>
                              <w:t xml:space="preserve"> </w:t>
                            </w:r>
                            <w:r>
                              <w:rPr>
                                <w:color w:val="231F20"/>
                              </w:rPr>
                              <w:t>of</w:t>
                            </w:r>
                            <w:r>
                              <w:rPr>
                                <w:color w:val="231F20"/>
                                <w:spacing w:val="-2"/>
                              </w:rPr>
                              <w:t xml:space="preserve"> </w:t>
                            </w:r>
                            <w:r>
                              <w:rPr>
                                <w:color w:val="231F20"/>
                              </w:rPr>
                              <w:t xml:space="preserve">the Olympic Winter Games in an era of climate change. </w:t>
                            </w:r>
                            <w:r>
                              <w:rPr>
                                <w:i/>
                                <w:color w:val="231F20"/>
                              </w:rPr>
                              <w:t xml:space="preserve">Current Issues in Tourism </w:t>
                            </w:r>
                            <w:r>
                              <w:rPr>
                                <w:color w:val="231F20"/>
                              </w:rPr>
                              <w:t>18 (10), 913–930.</w:t>
                            </w:r>
                          </w:p>
                          <w:p w14:paraId="623D541F" w14:textId="77777777" w:rsidR="00AE0598" w:rsidRDefault="0069255A">
                            <w:pPr>
                              <w:pStyle w:val="Corpodetexto"/>
                              <w:spacing w:before="124" w:line="232" w:lineRule="auto"/>
                              <w:ind w:left="113" w:right="111"/>
                              <w:jc w:val="both"/>
                              <w:rPr>
                                <w:color w:val="000000"/>
                              </w:rPr>
                            </w:pPr>
                            <w:r>
                              <w:rPr>
                                <w:color w:val="231F20"/>
                              </w:rPr>
                              <w:t xml:space="preserve">Steiger, R. (2011b) The impact of snow scarcity on ski tourism. An </w:t>
                            </w:r>
                            <w:r>
                              <w:rPr>
                                <w:color w:val="231F20"/>
                                <w:w w:val="95"/>
                              </w:rPr>
                              <w:t xml:space="preserve">analysis of the record warm season 2006/07 in Tyrol (Austria). </w:t>
                            </w:r>
                            <w:r>
                              <w:rPr>
                                <w:i/>
                                <w:color w:val="231F20"/>
                                <w:w w:val="95"/>
                              </w:rPr>
                              <w:t xml:space="preserve">Tourism </w:t>
                            </w:r>
                            <w:r>
                              <w:rPr>
                                <w:i/>
                                <w:color w:val="231F20"/>
                              </w:rPr>
                              <w:t xml:space="preserve">Review </w:t>
                            </w:r>
                            <w:r>
                              <w:rPr>
                                <w:color w:val="231F20"/>
                              </w:rPr>
                              <w:t>66 (3), 4–15.</w:t>
                            </w:r>
                          </w:p>
                          <w:p w14:paraId="65D10293" w14:textId="77777777" w:rsidR="00AE0598" w:rsidRDefault="0069255A">
                            <w:pPr>
                              <w:spacing w:before="3" w:line="232" w:lineRule="auto"/>
                              <w:ind w:left="113" w:right="111" w:firstLine="320"/>
                              <w:jc w:val="both"/>
                              <w:rPr>
                                <w:i/>
                                <w:color w:val="000000"/>
                                <w:sz w:val="21"/>
                              </w:rPr>
                            </w:pPr>
                            <w:r>
                              <w:rPr>
                                <w:i/>
                                <w:color w:val="231F20"/>
                                <w:sz w:val="21"/>
                              </w:rPr>
                              <w:t>Additional references cited in this case study are included in the reference list.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766328" id="docshape280" o:spid="_x0000_s1113" type="#_x0000_t202" style="position:absolute;margin-left:59.5pt;margin-top:17.2pt;width:323.15pt;height:261.85pt;z-index:-156349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" fillcolor="#dcddde" stroked="f">
                <v:textbox inset="0,0,0,0">
                  <w:txbxContent>
                    <w:p w14:paraId="45EF5CE6" w14:textId="77777777" w:rsidR="00AE0598" w:rsidRDefault="0069255A">
                      <w:pPr>
                        <w:pStyle w:val="Corpodetexto"/>
                        <w:spacing w:before="73" w:line="232" w:lineRule="auto"/>
                        <w:ind w:left="113" w:right="109"/>
                        <w:jc w:val="both"/>
                        <w:rPr>
                          <w:color w:val="000000"/>
                        </w:rPr>
                      </w:pPr>
                      <w:r>
                        <w:rPr>
                          <w:color w:val="231F20"/>
                          <w:w w:val="95"/>
                        </w:rPr>
                        <w:t xml:space="preserve">must be generated in a shortening ski season, leading to higher demand </w:t>
                      </w:r>
                      <w:r>
                        <w:rPr>
                          <w:color w:val="231F20"/>
                        </w:rPr>
                        <w:t xml:space="preserve">peaks. This is even more problematic for destinations that are almost </w:t>
                      </w:r>
                      <w:r>
                        <w:rPr>
                          <w:color w:val="231F20"/>
                          <w:w w:val="95"/>
                        </w:rPr>
                        <w:t xml:space="preserve">entirely dependent on the winter months. Therefore, winter destinations have started to vitalise the summer season </w:t>
                      </w:r>
                      <w:r>
                        <w:rPr>
                          <w:color w:val="231F20"/>
                          <w:w w:val="95"/>
                        </w:rPr>
                        <w:t xml:space="preserve">by introducing new products </w:t>
                      </w:r>
                      <w:r>
                        <w:rPr>
                          <w:color w:val="231F20"/>
                        </w:rPr>
                        <w:t>(e.g.</w:t>
                      </w:r>
                      <w:r>
                        <w:rPr>
                          <w:color w:val="231F20"/>
                          <w:spacing w:val="-6"/>
                        </w:rPr>
                        <w:t xml:space="preserve"> </w:t>
                      </w:r>
                      <w:r>
                        <w:rPr>
                          <w:color w:val="231F20"/>
                        </w:rPr>
                        <w:t>mountain</w:t>
                      </w:r>
                      <w:r>
                        <w:rPr>
                          <w:color w:val="231F20"/>
                          <w:spacing w:val="-6"/>
                        </w:rPr>
                        <w:t xml:space="preserve"> </w:t>
                      </w:r>
                      <w:r>
                        <w:rPr>
                          <w:color w:val="231F20"/>
                        </w:rPr>
                        <w:t>biking,</w:t>
                      </w:r>
                      <w:r>
                        <w:rPr>
                          <w:color w:val="231F20"/>
                          <w:spacing w:val="-6"/>
                        </w:rPr>
                        <w:t xml:space="preserve"> </w:t>
                      </w:r>
                      <w:r>
                        <w:rPr>
                          <w:color w:val="231F20"/>
                        </w:rPr>
                        <w:t>family</w:t>
                      </w:r>
                      <w:r>
                        <w:rPr>
                          <w:color w:val="231F20"/>
                          <w:spacing w:val="-6"/>
                        </w:rPr>
                        <w:t xml:space="preserve"> </w:t>
                      </w:r>
                      <w:r>
                        <w:rPr>
                          <w:color w:val="231F20"/>
                        </w:rPr>
                        <w:t>fun</w:t>
                      </w:r>
                      <w:r>
                        <w:rPr>
                          <w:color w:val="231F20"/>
                          <w:spacing w:val="-6"/>
                        </w:rPr>
                        <w:t xml:space="preserve"> </w:t>
                      </w:r>
                      <w:r>
                        <w:rPr>
                          <w:color w:val="231F20"/>
                        </w:rPr>
                        <w:t>parks</w:t>
                      </w:r>
                      <w:r>
                        <w:rPr>
                          <w:color w:val="231F20"/>
                          <w:spacing w:val="-6"/>
                        </w:rPr>
                        <w:t xml:space="preserve"> </w:t>
                      </w:r>
                      <w:r>
                        <w:rPr>
                          <w:color w:val="231F20"/>
                        </w:rPr>
                        <w:t>on</w:t>
                      </w:r>
                      <w:r>
                        <w:rPr>
                          <w:color w:val="231F20"/>
                          <w:spacing w:val="-6"/>
                        </w:rPr>
                        <w:t xml:space="preserve"> </w:t>
                      </w:r>
                      <w:r>
                        <w:rPr>
                          <w:color w:val="231F20"/>
                        </w:rPr>
                        <w:t>the</w:t>
                      </w:r>
                      <w:r>
                        <w:rPr>
                          <w:color w:val="231F20"/>
                          <w:spacing w:val="-6"/>
                        </w:rPr>
                        <w:t xml:space="preserve"> </w:t>
                      </w:r>
                      <w:r>
                        <w:rPr>
                          <w:color w:val="231F20"/>
                        </w:rPr>
                        <w:t>mountain,</w:t>
                      </w:r>
                      <w:r>
                        <w:rPr>
                          <w:color w:val="231F20"/>
                          <w:spacing w:val="-6"/>
                        </w:rPr>
                        <w:t xml:space="preserve"> </w:t>
                      </w:r>
                      <w:r>
                        <w:rPr>
                          <w:color w:val="231F20"/>
                        </w:rPr>
                        <w:t>staged</w:t>
                      </w:r>
                      <w:r>
                        <w:rPr>
                          <w:color w:val="231F20"/>
                          <w:spacing w:val="-6"/>
                        </w:rPr>
                        <w:t xml:space="preserve"> </w:t>
                      </w:r>
                      <w:r>
                        <w:rPr>
                          <w:color w:val="231F20"/>
                        </w:rPr>
                        <w:t>theme hiking</w:t>
                      </w:r>
                      <w:r>
                        <w:rPr>
                          <w:color w:val="231F20"/>
                          <w:spacing w:val="-3"/>
                        </w:rPr>
                        <w:t xml:space="preserve"> </w:t>
                      </w:r>
                      <w:r>
                        <w:rPr>
                          <w:color w:val="231F20"/>
                        </w:rPr>
                        <w:t>trails)</w:t>
                      </w:r>
                      <w:r>
                        <w:rPr>
                          <w:color w:val="231F20"/>
                          <w:spacing w:val="-3"/>
                        </w:rPr>
                        <w:t xml:space="preserve"> </w:t>
                      </w:r>
                      <w:r>
                        <w:rPr>
                          <w:color w:val="231F20"/>
                        </w:rPr>
                        <w:t>to</w:t>
                      </w:r>
                      <w:r>
                        <w:rPr>
                          <w:color w:val="231F20"/>
                          <w:spacing w:val="-3"/>
                        </w:rPr>
                        <w:t xml:space="preserve"> </w:t>
                      </w:r>
                      <w:r>
                        <w:rPr>
                          <w:color w:val="231F20"/>
                        </w:rPr>
                        <w:t>attract</w:t>
                      </w:r>
                      <w:r>
                        <w:rPr>
                          <w:color w:val="231F20"/>
                          <w:spacing w:val="-3"/>
                        </w:rPr>
                        <w:t xml:space="preserve"> </w:t>
                      </w:r>
                      <w:r>
                        <w:rPr>
                          <w:color w:val="231F20"/>
                        </w:rPr>
                        <w:t>customers</w:t>
                      </w:r>
                      <w:r>
                        <w:rPr>
                          <w:color w:val="231F20"/>
                          <w:spacing w:val="-3"/>
                        </w:rPr>
                        <w:t xml:space="preserve"> </w:t>
                      </w:r>
                      <w:r>
                        <w:rPr>
                          <w:color w:val="231F20"/>
                        </w:rPr>
                        <w:t>in</w:t>
                      </w:r>
                      <w:r>
                        <w:rPr>
                          <w:color w:val="231F20"/>
                          <w:spacing w:val="-3"/>
                        </w:rPr>
                        <w:t xml:space="preserve"> </w:t>
                      </w:r>
                      <w:r>
                        <w:rPr>
                          <w:color w:val="231F20"/>
                        </w:rPr>
                        <w:t>the</w:t>
                      </w:r>
                      <w:r>
                        <w:rPr>
                          <w:color w:val="231F20"/>
                          <w:spacing w:val="-3"/>
                        </w:rPr>
                        <w:t xml:space="preserve"> </w:t>
                      </w:r>
                      <w:r>
                        <w:rPr>
                          <w:color w:val="231F20"/>
                        </w:rPr>
                        <w:t>summer</w:t>
                      </w:r>
                      <w:r>
                        <w:rPr>
                          <w:color w:val="231F20"/>
                          <w:spacing w:val="-3"/>
                        </w:rPr>
                        <w:t xml:space="preserve"> </w:t>
                      </w:r>
                      <w:r>
                        <w:rPr>
                          <w:color w:val="231F20"/>
                        </w:rPr>
                        <w:t>season.</w:t>
                      </w:r>
                      <w:r>
                        <w:rPr>
                          <w:color w:val="231F20"/>
                          <w:spacing w:val="-3"/>
                        </w:rPr>
                        <w:t xml:space="preserve"> </w:t>
                      </w:r>
                      <w:r>
                        <w:rPr>
                          <w:color w:val="231F20"/>
                        </w:rPr>
                        <w:t>But,</w:t>
                      </w:r>
                      <w:r>
                        <w:rPr>
                          <w:color w:val="231F20"/>
                          <w:spacing w:val="-3"/>
                        </w:rPr>
                        <w:t xml:space="preserve"> </w:t>
                      </w:r>
                      <w:r>
                        <w:rPr>
                          <w:color w:val="231F20"/>
                        </w:rPr>
                        <w:t>positive effects on the economic viability of businesses in these resorts and</w:t>
                      </w:r>
                      <w:r>
                        <w:rPr>
                          <w:color w:val="231F20"/>
                          <w:spacing w:val="80"/>
                        </w:rPr>
                        <w:t xml:space="preserve"> </w:t>
                      </w:r>
                      <w:r>
                        <w:rPr>
                          <w:color w:val="231F20"/>
                        </w:rPr>
                        <w:t xml:space="preserve">on social aspects (e.g. year-round jobs instead of seasonal jobs) are </w:t>
                      </w:r>
                      <w:r>
                        <w:rPr>
                          <w:color w:val="231F20"/>
                          <w:w w:val="95"/>
                        </w:rPr>
                        <w:t>accompanied with negative environmental effects, as more tourists in a sensitive mountain environment increa</w:t>
                      </w:r>
                      <w:r>
                        <w:rPr>
                          <w:color w:val="231F20"/>
                          <w:w w:val="95"/>
                        </w:rPr>
                        <w:t>se disturbances in the ecosystem.</w:t>
                      </w:r>
                    </w:p>
                    <w:p w14:paraId="0ACBB694" w14:textId="77777777" w:rsidR="00AE0598" w:rsidRDefault="00AE0598">
                      <w:pPr>
                        <w:pStyle w:val="Corpodetexto"/>
                        <w:spacing w:before="11"/>
                        <w:rPr>
                          <w:color w:val="000000"/>
                        </w:rPr>
                      </w:pPr>
                    </w:p>
                    <w:p w14:paraId="44280922" w14:textId="77777777" w:rsidR="00AE0598" w:rsidRDefault="0069255A">
                      <w:pPr>
                        <w:ind w:left="113"/>
                        <w:jc w:val="both"/>
                        <w:rPr>
                          <w:rFonts w:ascii="Trebuchet MS"/>
                          <w:color w:val="000000"/>
                          <w:sz w:val="20"/>
                        </w:rPr>
                      </w:pPr>
                      <w:r>
                        <w:rPr>
                          <w:rFonts w:ascii="Trebuchet MS"/>
                          <w:color w:val="231F20"/>
                          <w:w w:val="105"/>
                          <w:sz w:val="20"/>
                        </w:rPr>
                        <w:t>Key</w:t>
                      </w:r>
                      <w:r>
                        <w:rPr>
                          <w:rFonts w:ascii="Trebuchet MS"/>
                          <w:color w:val="231F20"/>
                          <w:spacing w:val="-11"/>
                          <w:w w:val="105"/>
                          <w:sz w:val="20"/>
                        </w:rPr>
                        <w:t xml:space="preserve"> </w:t>
                      </w:r>
                      <w:r>
                        <w:rPr>
                          <w:rFonts w:ascii="Trebuchet MS"/>
                          <w:color w:val="231F20"/>
                          <w:spacing w:val="-2"/>
                          <w:w w:val="105"/>
                          <w:sz w:val="20"/>
                        </w:rPr>
                        <w:t>Reading</w:t>
                      </w:r>
                    </w:p>
                    <w:p w14:paraId="4EF32E20" w14:textId="77777777" w:rsidR="00AE0598" w:rsidRDefault="0069255A">
                      <w:pPr>
                        <w:pStyle w:val="Corpodetexto"/>
                        <w:spacing w:before="122" w:line="232" w:lineRule="auto"/>
                        <w:ind w:left="113" w:right="111"/>
                        <w:jc w:val="both"/>
                        <w:rPr>
                          <w:color w:val="000000"/>
                        </w:rPr>
                      </w:pPr>
                      <w:r>
                        <w:rPr>
                          <w:color w:val="231F20"/>
                        </w:rPr>
                        <w:t>Scott,</w:t>
                      </w:r>
                      <w:r>
                        <w:rPr>
                          <w:color w:val="231F20"/>
                          <w:spacing w:val="-2"/>
                        </w:rPr>
                        <w:t xml:space="preserve"> </w:t>
                      </w:r>
                      <w:r>
                        <w:rPr>
                          <w:color w:val="231F20"/>
                        </w:rPr>
                        <w:t>D.,</w:t>
                      </w:r>
                      <w:r>
                        <w:rPr>
                          <w:color w:val="231F20"/>
                          <w:spacing w:val="-2"/>
                        </w:rPr>
                        <w:t xml:space="preserve"> </w:t>
                      </w:r>
                      <w:r>
                        <w:rPr>
                          <w:color w:val="231F20"/>
                        </w:rPr>
                        <w:t>Steiger,</w:t>
                      </w:r>
                      <w:r>
                        <w:rPr>
                          <w:color w:val="231F20"/>
                          <w:spacing w:val="-2"/>
                        </w:rPr>
                        <w:t xml:space="preserve"> </w:t>
                      </w:r>
                      <w:r>
                        <w:rPr>
                          <w:color w:val="231F20"/>
                        </w:rPr>
                        <w:t>R.,</w:t>
                      </w:r>
                      <w:r>
                        <w:rPr>
                          <w:color w:val="231F20"/>
                          <w:spacing w:val="-2"/>
                        </w:rPr>
                        <w:t xml:space="preserve"> </w:t>
                      </w:r>
                      <w:r>
                        <w:rPr>
                          <w:color w:val="231F20"/>
                        </w:rPr>
                        <w:t>Rutty,</w:t>
                      </w:r>
                      <w:r>
                        <w:rPr>
                          <w:color w:val="231F20"/>
                          <w:spacing w:val="-2"/>
                        </w:rPr>
                        <w:t xml:space="preserve"> </w:t>
                      </w:r>
                      <w:r>
                        <w:rPr>
                          <w:color w:val="231F20"/>
                        </w:rPr>
                        <w:t>M.</w:t>
                      </w:r>
                      <w:r>
                        <w:rPr>
                          <w:color w:val="231F20"/>
                          <w:spacing w:val="-2"/>
                        </w:rPr>
                        <w:t xml:space="preserve"> </w:t>
                      </w:r>
                      <w:r>
                        <w:rPr>
                          <w:color w:val="231F20"/>
                        </w:rPr>
                        <w:t>and</w:t>
                      </w:r>
                      <w:r>
                        <w:rPr>
                          <w:color w:val="231F20"/>
                          <w:spacing w:val="-2"/>
                        </w:rPr>
                        <w:t xml:space="preserve"> </w:t>
                      </w:r>
                      <w:r>
                        <w:rPr>
                          <w:color w:val="231F20"/>
                        </w:rPr>
                        <w:t>Johnson,</w:t>
                      </w:r>
                      <w:r>
                        <w:rPr>
                          <w:color w:val="231F20"/>
                          <w:spacing w:val="-2"/>
                        </w:rPr>
                        <w:t xml:space="preserve"> </w:t>
                      </w:r>
                      <w:r>
                        <w:rPr>
                          <w:color w:val="231F20"/>
                        </w:rPr>
                        <w:t>P.</w:t>
                      </w:r>
                      <w:r>
                        <w:rPr>
                          <w:color w:val="231F20"/>
                          <w:spacing w:val="-2"/>
                        </w:rPr>
                        <w:t xml:space="preserve"> </w:t>
                      </w:r>
                      <w:r>
                        <w:rPr>
                          <w:color w:val="231F20"/>
                        </w:rPr>
                        <w:t>(2014)</w:t>
                      </w:r>
                      <w:r>
                        <w:rPr>
                          <w:color w:val="231F20"/>
                          <w:spacing w:val="-2"/>
                        </w:rPr>
                        <w:t xml:space="preserve"> </w:t>
                      </w:r>
                      <w:r>
                        <w:rPr>
                          <w:color w:val="231F20"/>
                        </w:rPr>
                        <w:t>The</w:t>
                      </w:r>
                      <w:r>
                        <w:rPr>
                          <w:color w:val="231F20"/>
                          <w:spacing w:val="-2"/>
                        </w:rPr>
                        <w:t xml:space="preserve"> </w:t>
                      </w:r>
                      <w:r>
                        <w:rPr>
                          <w:color w:val="231F20"/>
                        </w:rPr>
                        <w:t>future</w:t>
                      </w:r>
                      <w:r>
                        <w:rPr>
                          <w:color w:val="231F20"/>
                          <w:spacing w:val="-2"/>
                        </w:rPr>
                        <w:t xml:space="preserve"> </w:t>
                      </w:r>
                      <w:r>
                        <w:rPr>
                          <w:color w:val="231F20"/>
                        </w:rPr>
                        <w:t>of</w:t>
                      </w:r>
                      <w:r>
                        <w:rPr>
                          <w:color w:val="231F20"/>
                          <w:spacing w:val="-2"/>
                        </w:rPr>
                        <w:t xml:space="preserve"> </w:t>
                      </w:r>
                      <w:r>
                        <w:rPr>
                          <w:color w:val="231F20"/>
                        </w:rPr>
                        <w:t xml:space="preserve">the Olympic Winter Games in an era of climate change. </w:t>
                      </w:r>
                      <w:r>
                        <w:rPr>
                          <w:i/>
                          <w:color w:val="231F20"/>
                        </w:rPr>
                        <w:t xml:space="preserve">Current Issues in Tourism </w:t>
                      </w:r>
                      <w:r>
                        <w:rPr>
                          <w:color w:val="231F20"/>
                        </w:rPr>
                        <w:t>18 (10), 913–930.</w:t>
                      </w:r>
                    </w:p>
                    <w:p w14:paraId="623D541F" w14:textId="77777777" w:rsidR="00AE0598" w:rsidRDefault="0069255A">
                      <w:pPr>
                        <w:pStyle w:val="Corpodetexto"/>
                        <w:spacing w:before="124" w:line="232" w:lineRule="auto"/>
                        <w:ind w:left="113" w:right="111"/>
                        <w:jc w:val="both"/>
                        <w:rPr>
                          <w:color w:val="000000"/>
                        </w:rPr>
                      </w:pPr>
                      <w:r>
                        <w:rPr>
                          <w:color w:val="231F20"/>
                        </w:rPr>
                        <w:t xml:space="preserve">Steiger, R. (2011b) The impact of snow scarcity on ski tourism. An </w:t>
                      </w:r>
                      <w:r>
                        <w:rPr>
                          <w:color w:val="231F20"/>
                          <w:w w:val="95"/>
                        </w:rPr>
                        <w:t xml:space="preserve">analysis of the record warm season 2006/07 in Tyrol (Austria). </w:t>
                      </w:r>
                      <w:r>
                        <w:rPr>
                          <w:i/>
                          <w:color w:val="231F20"/>
                          <w:w w:val="95"/>
                        </w:rPr>
                        <w:t xml:space="preserve">Tourism </w:t>
                      </w:r>
                      <w:r>
                        <w:rPr>
                          <w:i/>
                          <w:color w:val="231F20"/>
                        </w:rPr>
                        <w:t xml:space="preserve">Review </w:t>
                      </w:r>
                      <w:r>
                        <w:rPr>
                          <w:color w:val="231F20"/>
                        </w:rPr>
                        <w:t>66 (3), 4–15.</w:t>
                      </w:r>
                    </w:p>
                    <w:p w14:paraId="65D10293" w14:textId="77777777" w:rsidR="00AE0598" w:rsidRDefault="0069255A">
                      <w:pPr>
                        <w:spacing w:before="3" w:line="232" w:lineRule="auto"/>
                        <w:ind w:left="113" w:right="111" w:firstLine="320"/>
                        <w:jc w:val="both"/>
                        <w:rPr>
                          <w:i/>
                          <w:color w:val="000000"/>
                          <w:sz w:val="21"/>
                        </w:rPr>
                      </w:pPr>
                      <w:r>
                        <w:rPr>
                          <w:i/>
                          <w:color w:val="231F20"/>
                          <w:sz w:val="21"/>
                        </w:rPr>
                        <w:t>Additional references cited in this case study are included in the reference list.</w:t>
                      </w:r>
                    </w:p>
                  </w:txbxContent>
                </v:textbox>
                <w10:wrap type="topAndBottom" anchorx="page"/>
              </v:shape>
            </w:pict>
          </mc:Fallback>
        </mc:AlternateContent>
      </w:r>
    </w:p>
    <w:p w14:paraId="41C3B6C7" w14:textId="77777777" w:rsidR="00AE0598" w:rsidRDefault="0069255A">
      <w:pPr>
        <w:spacing w:before="92"/>
        <w:ind w:left="110"/>
        <w:rPr>
          <w:rFonts w:ascii="Trebuchet MS"/>
          <w:b/>
          <w:sz w:val="20"/>
        </w:rPr>
      </w:pPr>
      <w:r>
        <w:rPr>
          <w:rFonts w:ascii="Trebuchet MS"/>
          <w:b/>
          <w:color w:val="231F20"/>
          <w:sz w:val="20"/>
        </w:rPr>
        <w:t>Strategic</w:t>
      </w:r>
      <w:r>
        <w:rPr>
          <w:rFonts w:ascii="Trebuchet MS"/>
          <w:b/>
          <w:color w:val="231F20"/>
          <w:spacing w:val="-7"/>
          <w:sz w:val="20"/>
        </w:rPr>
        <w:t xml:space="preserve"> </w:t>
      </w:r>
      <w:r>
        <w:rPr>
          <w:rFonts w:ascii="Trebuchet MS"/>
          <w:b/>
          <w:color w:val="231F20"/>
          <w:spacing w:val="-2"/>
          <w:sz w:val="20"/>
        </w:rPr>
        <w:t>Res</w:t>
      </w:r>
      <w:r>
        <w:rPr>
          <w:rFonts w:ascii="Trebuchet MS"/>
          <w:b/>
          <w:color w:val="231F20"/>
          <w:spacing w:val="-2"/>
          <w:sz w:val="20"/>
        </w:rPr>
        <w:t>ponses</w:t>
      </w:r>
    </w:p>
    <w:p w14:paraId="0C47CBDC" w14:textId="77777777" w:rsidR="00AE0598" w:rsidRDefault="0069255A">
      <w:pPr>
        <w:pStyle w:val="Corpodetexto"/>
        <w:spacing w:before="122" w:line="232" w:lineRule="auto"/>
        <w:ind w:left="110" w:right="126" w:firstLine="320"/>
        <w:jc w:val="both"/>
      </w:pPr>
      <w:r>
        <w:rPr>
          <w:color w:val="231F20"/>
          <w:w w:val="90"/>
        </w:rPr>
        <w:t xml:space="preserve">Tourism managers, planners and policymakers have addressed seasonality </w:t>
      </w:r>
      <w:r>
        <w:rPr>
          <w:color w:val="231F20"/>
          <w:w w:val="95"/>
        </w:rPr>
        <w:t>issues</w:t>
      </w:r>
      <w:r>
        <w:rPr>
          <w:color w:val="231F20"/>
          <w:spacing w:val="-5"/>
          <w:w w:val="95"/>
        </w:rPr>
        <w:t xml:space="preserve"> </w:t>
      </w:r>
      <w:r>
        <w:rPr>
          <w:color w:val="231F20"/>
          <w:w w:val="95"/>
        </w:rPr>
        <w:t>in</w:t>
      </w:r>
      <w:r>
        <w:rPr>
          <w:color w:val="231F20"/>
          <w:spacing w:val="-5"/>
          <w:w w:val="95"/>
        </w:rPr>
        <w:t xml:space="preserve"> </w:t>
      </w:r>
      <w:r>
        <w:rPr>
          <w:color w:val="231F20"/>
          <w:w w:val="95"/>
        </w:rPr>
        <w:t>numerous</w:t>
      </w:r>
      <w:r>
        <w:rPr>
          <w:color w:val="231F20"/>
          <w:spacing w:val="-5"/>
          <w:w w:val="95"/>
        </w:rPr>
        <w:t xml:space="preserve"> </w:t>
      </w:r>
      <w:r>
        <w:rPr>
          <w:color w:val="231F20"/>
          <w:w w:val="95"/>
        </w:rPr>
        <w:t>ways.</w:t>
      </w:r>
      <w:r>
        <w:rPr>
          <w:color w:val="231F20"/>
          <w:spacing w:val="-5"/>
          <w:w w:val="95"/>
        </w:rPr>
        <w:t xml:space="preserve"> </w:t>
      </w:r>
      <w:r>
        <w:rPr>
          <w:color w:val="231F20"/>
          <w:w w:val="95"/>
        </w:rPr>
        <w:t>Responses</w:t>
      </w:r>
      <w:r>
        <w:rPr>
          <w:color w:val="231F20"/>
          <w:spacing w:val="-5"/>
          <w:w w:val="95"/>
        </w:rPr>
        <w:t xml:space="preserve"> </w:t>
      </w:r>
      <w:r>
        <w:rPr>
          <w:color w:val="231F20"/>
          <w:w w:val="95"/>
        </w:rPr>
        <w:t>have</w:t>
      </w:r>
      <w:r>
        <w:rPr>
          <w:color w:val="231F20"/>
          <w:spacing w:val="-5"/>
          <w:w w:val="95"/>
        </w:rPr>
        <w:t xml:space="preserve"> </w:t>
      </w:r>
      <w:r>
        <w:rPr>
          <w:color w:val="231F20"/>
          <w:w w:val="95"/>
        </w:rPr>
        <w:t>included</w:t>
      </w:r>
      <w:r>
        <w:rPr>
          <w:color w:val="231F20"/>
          <w:spacing w:val="-5"/>
          <w:w w:val="95"/>
        </w:rPr>
        <w:t xml:space="preserve"> </w:t>
      </w:r>
      <w:r>
        <w:rPr>
          <w:color w:val="231F20"/>
          <w:w w:val="95"/>
        </w:rPr>
        <w:t>attempts</w:t>
      </w:r>
      <w:r>
        <w:rPr>
          <w:color w:val="231F20"/>
          <w:spacing w:val="-5"/>
          <w:w w:val="95"/>
        </w:rPr>
        <w:t xml:space="preserve"> </w:t>
      </w:r>
      <w:r>
        <w:rPr>
          <w:color w:val="231F20"/>
          <w:w w:val="95"/>
        </w:rPr>
        <w:t>to</w:t>
      </w:r>
      <w:r>
        <w:rPr>
          <w:color w:val="231F20"/>
          <w:spacing w:val="-5"/>
          <w:w w:val="95"/>
        </w:rPr>
        <w:t xml:space="preserve"> </w:t>
      </w:r>
      <w:r>
        <w:rPr>
          <w:color w:val="231F20"/>
          <w:w w:val="95"/>
        </w:rPr>
        <w:t>lengthen</w:t>
      </w:r>
      <w:r>
        <w:rPr>
          <w:color w:val="231F20"/>
          <w:spacing w:val="-5"/>
          <w:w w:val="95"/>
        </w:rPr>
        <w:t xml:space="preserve"> </w:t>
      </w:r>
      <w:r>
        <w:rPr>
          <w:color w:val="231F20"/>
          <w:w w:val="95"/>
        </w:rPr>
        <w:t xml:space="preserve">the </w:t>
      </w:r>
      <w:r>
        <w:rPr>
          <w:color w:val="231F20"/>
          <w:spacing w:val="-2"/>
        </w:rPr>
        <w:t xml:space="preserve">main season and/or establish additional seasons by diversifying markets, </w:t>
      </w:r>
      <w:r>
        <w:rPr>
          <w:color w:val="231F20"/>
          <w:w w:val="95"/>
        </w:rPr>
        <w:t>providing</w:t>
      </w:r>
      <w:r>
        <w:rPr>
          <w:color w:val="231F20"/>
          <w:spacing w:val="-10"/>
          <w:w w:val="95"/>
        </w:rPr>
        <w:t xml:space="preserve"> </w:t>
      </w:r>
      <w:r>
        <w:rPr>
          <w:color w:val="231F20"/>
          <w:w w:val="95"/>
        </w:rPr>
        <w:t>tax</w:t>
      </w:r>
      <w:r>
        <w:rPr>
          <w:color w:val="231F20"/>
          <w:spacing w:val="-9"/>
          <w:w w:val="95"/>
        </w:rPr>
        <w:t xml:space="preserve"> </w:t>
      </w:r>
      <w:r>
        <w:rPr>
          <w:color w:val="231F20"/>
          <w:w w:val="95"/>
        </w:rPr>
        <w:t>incentives</w:t>
      </w:r>
      <w:r>
        <w:rPr>
          <w:color w:val="231F20"/>
          <w:spacing w:val="-9"/>
          <w:w w:val="95"/>
        </w:rPr>
        <w:t xml:space="preserve"> </w:t>
      </w:r>
      <w:r>
        <w:rPr>
          <w:color w:val="231F20"/>
          <w:w w:val="95"/>
        </w:rPr>
        <w:t>to</w:t>
      </w:r>
      <w:r>
        <w:rPr>
          <w:color w:val="231F20"/>
          <w:spacing w:val="-9"/>
          <w:w w:val="95"/>
        </w:rPr>
        <w:t xml:space="preserve"> </w:t>
      </w:r>
      <w:r>
        <w:rPr>
          <w:color w:val="231F20"/>
          <w:w w:val="95"/>
        </w:rPr>
        <w:t>suppliers</w:t>
      </w:r>
      <w:r>
        <w:rPr>
          <w:color w:val="231F20"/>
          <w:spacing w:val="-10"/>
          <w:w w:val="95"/>
        </w:rPr>
        <w:t xml:space="preserve"> </w:t>
      </w:r>
      <w:r>
        <w:rPr>
          <w:color w:val="231F20"/>
          <w:w w:val="95"/>
        </w:rPr>
        <w:t>at</w:t>
      </w:r>
      <w:r>
        <w:rPr>
          <w:color w:val="231F20"/>
          <w:spacing w:val="-9"/>
          <w:w w:val="95"/>
        </w:rPr>
        <w:t xml:space="preserve"> </w:t>
      </w:r>
      <w:r>
        <w:rPr>
          <w:color w:val="231F20"/>
          <w:w w:val="95"/>
        </w:rPr>
        <w:t>targeted</w:t>
      </w:r>
      <w:r>
        <w:rPr>
          <w:color w:val="231F20"/>
          <w:spacing w:val="-9"/>
          <w:w w:val="95"/>
        </w:rPr>
        <w:t xml:space="preserve"> </w:t>
      </w:r>
      <w:r>
        <w:rPr>
          <w:color w:val="231F20"/>
          <w:w w:val="95"/>
        </w:rPr>
        <w:t>times</w:t>
      </w:r>
      <w:r>
        <w:rPr>
          <w:color w:val="231F20"/>
          <w:spacing w:val="-9"/>
          <w:w w:val="95"/>
        </w:rPr>
        <w:t xml:space="preserve"> </w:t>
      </w:r>
      <w:r>
        <w:rPr>
          <w:color w:val="231F20"/>
          <w:w w:val="95"/>
        </w:rPr>
        <w:t>of</w:t>
      </w:r>
      <w:r>
        <w:rPr>
          <w:color w:val="231F20"/>
          <w:spacing w:val="-10"/>
          <w:w w:val="95"/>
        </w:rPr>
        <w:t xml:space="preserve"> </w:t>
      </w:r>
      <w:r>
        <w:rPr>
          <w:color w:val="231F20"/>
          <w:w w:val="95"/>
        </w:rPr>
        <w:t>the</w:t>
      </w:r>
      <w:r>
        <w:rPr>
          <w:color w:val="231F20"/>
          <w:spacing w:val="-9"/>
          <w:w w:val="95"/>
        </w:rPr>
        <w:t xml:space="preserve"> </w:t>
      </w:r>
      <w:r>
        <w:rPr>
          <w:color w:val="231F20"/>
          <w:w w:val="95"/>
        </w:rPr>
        <w:t>year,</w:t>
      </w:r>
      <w:r>
        <w:rPr>
          <w:color w:val="231F20"/>
          <w:spacing w:val="-9"/>
          <w:w w:val="95"/>
        </w:rPr>
        <w:t xml:space="preserve"> </w:t>
      </w:r>
      <w:r>
        <w:rPr>
          <w:color w:val="231F20"/>
          <w:w w:val="95"/>
        </w:rPr>
        <w:t xml:space="preserve">scheduling staggered school holidays, encouraging distinct domestic and international </w:t>
      </w:r>
      <w:r>
        <w:rPr>
          <w:color w:val="231F20"/>
        </w:rPr>
        <w:t xml:space="preserve">seasons, introducing differential pricing at different times of the year, </w:t>
      </w:r>
      <w:r>
        <w:rPr>
          <w:color w:val="231F20"/>
          <w:w w:val="95"/>
        </w:rPr>
        <w:t>adjusting supply inventories and introduc</w:t>
      </w:r>
      <w:r>
        <w:rPr>
          <w:color w:val="231F20"/>
          <w:w w:val="95"/>
        </w:rPr>
        <w:t xml:space="preserve">ing new festivals and conferences during periods that traditionally experience low visitation (Baum &amp; Hagen, 1999; Butler, 2001; Parrilla </w:t>
      </w:r>
      <w:r>
        <w:rPr>
          <w:i/>
          <w:color w:val="231F20"/>
          <w:w w:val="95"/>
        </w:rPr>
        <w:t>et al</w:t>
      </w:r>
      <w:r>
        <w:rPr>
          <w:color w:val="231F20"/>
          <w:w w:val="95"/>
        </w:rPr>
        <w:t xml:space="preserve">., 2007; Koenig-Lewis &amp; Bischoff, 2005; Lee </w:t>
      </w:r>
      <w:r>
        <w:rPr>
          <w:i/>
          <w:color w:val="231F20"/>
          <w:w w:val="95"/>
        </w:rPr>
        <w:t>et</w:t>
      </w:r>
      <w:r>
        <w:rPr>
          <w:i/>
          <w:color w:val="231F20"/>
          <w:spacing w:val="-9"/>
          <w:w w:val="95"/>
        </w:rPr>
        <w:t xml:space="preserve"> </w:t>
      </w:r>
      <w:r>
        <w:rPr>
          <w:i/>
          <w:color w:val="231F20"/>
          <w:w w:val="95"/>
        </w:rPr>
        <w:t>al</w:t>
      </w:r>
      <w:r>
        <w:rPr>
          <w:color w:val="231F20"/>
          <w:w w:val="95"/>
        </w:rPr>
        <w:t>.,</w:t>
      </w:r>
      <w:r>
        <w:rPr>
          <w:color w:val="231F20"/>
          <w:spacing w:val="-9"/>
          <w:w w:val="95"/>
        </w:rPr>
        <w:t xml:space="preserve"> </w:t>
      </w:r>
      <w:r>
        <w:rPr>
          <w:color w:val="231F20"/>
          <w:w w:val="95"/>
        </w:rPr>
        <w:t>2008).</w:t>
      </w:r>
      <w:r>
        <w:rPr>
          <w:color w:val="231F20"/>
          <w:spacing w:val="-9"/>
          <w:w w:val="95"/>
        </w:rPr>
        <w:t xml:space="preserve"> </w:t>
      </w:r>
      <w:r>
        <w:rPr>
          <w:color w:val="231F20"/>
          <w:w w:val="95"/>
        </w:rPr>
        <w:t>These</w:t>
      </w:r>
      <w:r>
        <w:rPr>
          <w:color w:val="231F20"/>
          <w:spacing w:val="-9"/>
          <w:w w:val="95"/>
        </w:rPr>
        <w:t xml:space="preserve"> </w:t>
      </w:r>
      <w:r>
        <w:rPr>
          <w:color w:val="231F20"/>
          <w:w w:val="95"/>
        </w:rPr>
        <w:t>strategies</w:t>
      </w:r>
      <w:r>
        <w:rPr>
          <w:color w:val="231F20"/>
          <w:spacing w:val="-9"/>
          <w:w w:val="95"/>
        </w:rPr>
        <w:t xml:space="preserve"> </w:t>
      </w:r>
      <w:r>
        <w:rPr>
          <w:color w:val="231F20"/>
          <w:w w:val="95"/>
        </w:rPr>
        <w:t>have</w:t>
      </w:r>
      <w:r>
        <w:rPr>
          <w:color w:val="231F20"/>
          <w:spacing w:val="-9"/>
          <w:w w:val="95"/>
        </w:rPr>
        <w:t xml:space="preserve"> </w:t>
      </w:r>
      <w:r>
        <w:rPr>
          <w:color w:val="231F20"/>
          <w:w w:val="95"/>
        </w:rPr>
        <w:t>been</w:t>
      </w:r>
      <w:r>
        <w:rPr>
          <w:color w:val="231F20"/>
          <w:spacing w:val="-9"/>
          <w:w w:val="95"/>
        </w:rPr>
        <w:t xml:space="preserve"> </w:t>
      </w:r>
      <w:r>
        <w:rPr>
          <w:color w:val="231F20"/>
          <w:w w:val="95"/>
        </w:rPr>
        <w:t>hampered</w:t>
      </w:r>
      <w:r>
        <w:rPr>
          <w:color w:val="231F20"/>
          <w:spacing w:val="-9"/>
          <w:w w:val="95"/>
        </w:rPr>
        <w:t xml:space="preserve"> </w:t>
      </w:r>
      <w:r>
        <w:rPr>
          <w:color w:val="231F20"/>
          <w:w w:val="95"/>
        </w:rPr>
        <w:t>by</w:t>
      </w:r>
      <w:r>
        <w:rPr>
          <w:color w:val="231F20"/>
          <w:spacing w:val="-9"/>
          <w:w w:val="95"/>
        </w:rPr>
        <w:t xml:space="preserve"> </w:t>
      </w:r>
      <w:r>
        <w:rPr>
          <w:color w:val="231F20"/>
          <w:w w:val="95"/>
        </w:rPr>
        <w:t>the</w:t>
      </w:r>
      <w:r>
        <w:rPr>
          <w:color w:val="231F20"/>
          <w:spacing w:val="-9"/>
          <w:w w:val="95"/>
        </w:rPr>
        <w:t xml:space="preserve"> </w:t>
      </w:r>
      <w:r>
        <w:rPr>
          <w:color w:val="231F20"/>
          <w:w w:val="95"/>
        </w:rPr>
        <w:t>relatively</w:t>
      </w:r>
      <w:r>
        <w:rPr>
          <w:color w:val="231F20"/>
          <w:spacing w:val="-9"/>
          <w:w w:val="95"/>
        </w:rPr>
        <w:t xml:space="preserve"> </w:t>
      </w:r>
      <w:r>
        <w:rPr>
          <w:color w:val="231F20"/>
          <w:w w:val="95"/>
        </w:rPr>
        <w:t>low</w:t>
      </w:r>
      <w:r>
        <w:rPr>
          <w:color w:val="231F20"/>
          <w:spacing w:val="-9"/>
          <w:w w:val="95"/>
        </w:rPr>
        <w:t xml:space="preserve"> </w:t>
      </w:r>
      <w:r>
        <w:rPr>
          <w:color w:val="231F20"/>
          <w:w w:val="95"/>
        </w:rPr>
        <w:t xml:space="preserve">level of understanding of the complex interactions that contribute to seasonality </w:t>
      </w:r>
      <w:r>
        <w:rPr>
          <w:color w:val="231F20"/>
        </w:rPr>
        <w:t>and</w:t>
      </w:r>
      <w:r>
        <w:rPr>
          <w:color w:val="231F20"/>
          <w:spacing w:val="-2"/>
        </w:rPr>
        <w:t xml:space="preserve"> </w:t>
      </w:r>
      <w:r>
        <w:rPr>
          <w:color w:val="231F20"/>
        </w:rPr>
        <w:t>the</w:t>
      </w:r>
      <w:r>
        <w:rPr>
          <w:color w:val="231F20"/>
          <w:spacing w:val="-2"/>
        </w:rPr>
        <w:t xml:space="preserve"> </w:t>
      </w:r>
      <w:r>
        <w:rPr>
          <w:color w:val="231F20"/>
        </w:rPr>
        <w:t>lack</w:t>
      </w:r>
      <w:r>
        <w:rPr>
          <w:color w:val="231F20"/>
          <w:spacing w:val="-2"/>
        </w:rPr>
        <w:t xml:space="preserve"> </w:t>
      </w:r>
      <w:r>
        <w:rPr>
          <w:color w:val="231F20"/>
        </w:rPr>
        <w:t>of a</w:t>
      </w:r>
      <w:r>
        <w:rPr>
          <w:color w:val="231F20"/>
          <w:spacing w:val="-2"/>
        </w:rPr>
        <w:t xml:space="preserve"> </w:t>
      </w:r>
      <w:r>
        <w:rPr>
          <w:color w:val="231F20"/>
        </w:rPr>
        <w:t>sound</w:t>
      </w:r>
      <w:r>
        <w:rPr>
          <w:color w:val="231F20"/>
          <w:spacing w:val="-2"/>
        </w:rPr>
        <w:t xml:space="preserve"> </w:t>
      </w:r>
      <w:r>
        <w:rPr>
          <w:color w:val="231F20"/>
        </w:rPr>
        <w:t>theoretical</w:t>
      </w:r>
      <w:r>
        <w:rPr>
          <w:color w:val="231F20"/>
          <w:spacing w:val="-2"/>
        </w:rPr>
        <w:t xml:space="preserve"> </w:t>
      </w:r>
      <w:r>
        <w:rPr>
          <w:color w:val="231F20"/>
        </w:rPr>
        <w:t>understanding</w:t>
      </w:r>
      <w:r>
        <w:rPr>
          <w:color w:val="231F20"/>
          <w:spacing w:val="-2"/>
        </w:rPr>
        <w:t xml:space="preserve"> </w:t>
      </w:r>
      <w:r>
        <w:rPr>
          <w:color w:val="231F20"/>
        </w:rPr>
        <w:t>(Amelung</w:t>
      </w:r>
      <w:r>
        <w:rPr>
          <w:color w:val="231F20"/>
          <w:spacing w:val="-2"/>
        </w:rPr>
        <w:t xml:space="preserve"> </w:t>
      </w:r>
      <w:r>
        <w:rPr>
          <w:i/>
          <w:color w:val="231F20"/>
        </w:rPr>
        <w:t>et</w:t>
      </w:r>
      <w:r>
        <w:rPr>
          <w:i/>
          <w:color w:val="231F20"/>
          <w:spacing w:val="-2"/>
        </w:rPr>
        <w:t xml:space="preserve"> </w:t>
      </w:r>
      <w:r>
        <w:rPr>
          <w:i/>
          <w:color w:val="231F20"/>
        </w:rPr>
        <w:t>al</w:t>
      </w:r>
      <w:r>
        <w:rPr>
          <w:color w:val="231F20"/>
        </w:rPr>
        <w:t>.,</w:t>
      </w:r>
      <w:r>
        <w:rPr>
          <w:color w:val="231F20"/>
          <w:spacing w:val="-2"/>
        </w:rPr>
        <w:t xml:space="preserve"> </w:t>
      </w:r>
      <w:r>
        <w:rPr>
          <w:color w:val="231F20"/>
        </w:rPr>
        <w:t>2007; Koenig-Lewis</w:t>
      </w:r>
      <w:r>
        <w:rPr>
          <w:color w:val="231F20"/>
          <w:spacing w:val="-3"/>
        </w:rPr>
        <w:t xml:space="preserve"> </w:t>
      </w:r>
      <w:r>
        <w:rPr>
          <w:color w:val="231F20"/>
        </w:rPr>
        <w:t>&amp;</w:t>
      </w:r>
      <w:r>
        <w:rPr>
          <w:color w:val="231F20"/>
          <w:spacing w:val="-3"/>
        </w:rPr>
        <w:t xml:space="preserve"> </w:t>
      </w:r>
      <w:r>
        <w:rPr>
          <w:color w:val="231F20"/>
        </w:rPr>
        <w:t>Bischoff,</w:t>
      </w:r>
      <w:r>
        <w:rPr>
          <w:color w:val="231F20"/>
          <w:spacing w:val="-3"/>
        </w:rPr>
        <w:t xml:space="preserve"> </w:t>
      </w:r>
      <w:r>
        <w:rPr>
          <w:color w:val="231F20"/>
        </w:rPr>
        <w:t>2005).</w:t>
      </w:r>
      <w:r>
        <w:rPr>
          <w:color w:val="231F20"/>
          <w:spacing w:val="-3"/>
        </w:rPr>
        <w:t xml:space="preserve"> </w:t>
      </w:r>
      <w:r>
        <w:rPr>
          <w:color w:val="231F20"/>
        </w:rPr>
        <w:t>This</w:t>
      </w:r>
      <w:r>
        <w:rPr>
          <w:color w:val="231F20"/>
          <w:spacing w:val="-3"/>
        </w:rPr>
        <w:t xml:space="preserve"> </w:t>
      </w:r>
      <w:r>
        <w:rPr>
          <w:color w:val="231F20"/>
        </w:rPr>
        <w:t>limitation</w:t>
      </w:r>
      <w:r>
        <w:rPr>
          <w:color w:val="231F20"/>
          <w:spacing w:val="-3"/>
        </w:rPr>
        <w:t xml:space="preserve"> </w:t>
      </w:r>
      <w:r>
        <w:rPr>
          <w:color w:val="231F20"/>
        </w:rPr>
        <w:t>can</w:t>
      </w:r>
      <w:r>
        <w:rPr>
          <w:color w:val="231F20"/>
          <w:spacing w:val="-3"/>
        </w:rPr>
        <w:t xml:space="preserve"> </w:t>
      </w:r>
      <w:r>
        <w:rPr>
          <w:color w:val="231F20"/>
        </w:rPr>
        <w:t>be</w:t>
      </w:r>
      <w:r>
        <w:rPr>
          <w:color w:val="231F20"/>
          <w:spacing w:val="-3"/>
        </w:rPr>
        <w:t xml:space="preserve"> </w:t>
      </w:r>
      <w:r>
        <w:rPr>
          <w:color w:val="231F20"/>
        </w:rPr>
        <w:t>addressed</w:t>
      </w:r>
      <w:r>
        <w:rPr>
          <w:color w:val="231F20"/>
          <w:spacing w:val="-3"/>
        </w:rPr>
        <w:t xml:space="preserve"> </w:t>
      </w:r>
      <w:r>
        <w:rPr>
          <w:color w:val="231F20"/>
        </w:rPr>
        <w:t>in</w:t>
      </w:r>
      <w:r>
        <w:rPr>
          <w:color w:val="231F20"/>
          <w:spacing w:val="-3"/>
        </w:rPr>
        <w:t xml:space="preserve"> </w:t>
      </w:r>
      <w:r>
        <w:rPr>
          <w:color w:val="231F20"/>
        </w:rPr>
        <w:t xml:space="preserve">part </w:t>
      </w:r>
      <w:r>
        <w:rPr>
          <w:color w:val="231F20"/>
          <w:spacing w:val="-4"/>
        </w:rPr>
        <w:t>by adopting Weaver and Lawton’s (2002) typology of</w:t>
      </w:r>
      <w:r>
        <w:rPr>
          <w:color w:val="231F20"/>
          <w:spacing w:val="9"/>
        </w:rPr>
        <w:t xml:space="preserve"> </w:t>
      </w:r>
      <w:r>
        <w:rPr>
          <w:color w:val="231F20"/>
          <w:spacing w:val="-4"/>
        </w:rPr>
        <w:t xml:space="preserve">strategic approaches </w:t>
      </w:r>
      <w:r>
        <w:rPr>
          <w:color w:val="231F20"/>
        </w:rPr>
        <w:t>to</w:t>
      </w:r>
      <w:r>
        <w:rPr>
          <w:color w:val="231F20"/>
          <w:spacing w:val="-10"/>
        </w:rPr>
        <w:t xml:space="preserve"> </w:t>
      </w:r>
      <w:r>
        <w:rPr>
          <w:color w:val="231F20"/>
        </w:rPr>
        <w:t>addressing</w:t>
      </w:r>
      <w:r>
        <w:rPr>
          <w:color w:val="231F20"/>
          <w:spacing w:val="-10"/>
        </w:rPr>
        <w:t xml:space="preserve"> </w:t>
      </w:r>
      <w:r>
        <w:rPr>
          <w:color w:val="231F20"/>
        </w:rPr>
        <w:t>tourism</w:t>
      </w:r>
      <w:r>
        <w:rPr>
          <w:color w:val="231F20"/>
          <w:spacing w:val="-10"/>
        </w:rPr>
        <w:t xml:space="preserve"> </w:t>
      </w:r>
      <w:r>
        <w:rPr>
          <w:color w:val="231F20"/>
        </w:rPr>
        <w:t>seasonality</w:t>
      </w:r>
      <w:r>
        <w:rPr>
          <w:color w:val="231F20"/>
          <w:spacing w:val="-10"/>
        </w:rPr>
        <w:t xml:space="preserve"> </w:t>
      </w:r>
      <w:r>
        <w:rPr>
          <w:color w:val="231F20"/>
        </w:rPr>
        <w:t>along</w:t>
      </w:r>
      <w:r>
        <w:rPr>
          <w:color w:val="231F20"/>
          <w:spacing w:val="-10"/>
        </w:rPr>
        <w:t xml:space="preserve"> </w:t>
      </w:r>
      <w:r>
        <w:rPr>
          <w:color w:val="231F20"/>
        </w:rPr>
        <w:t>with</w:t>
      </w:r>
      <w:r>
        <w:rPr>
          <w:color w:val="231F20"/>
          <w:spacing w:val="-10"/>
        </w:rPr>
        <w:t xml:space="preserve"> </w:t>
      </w:r>
      <w:r>
        <w:rPr>
          <w:color w:val="231F20"/>
        </w:rPr>
        <w:t>Hinch</w:t>
      </w:r>
      <w:r>
        <w:rPr>
          <w:color w:val="231F20"/>
          <w:spacing w:val="-10"/>
        </w:rPr>
        <w:t xml:space="preserve"> </w:t>
      </w:r>
      <w:r>
        <w:rPr>
          <w:color w:val="231F20"/>
        </w:rPr>
        <w:t>and</w:t>
      </w:r>
      <w:r>
        <w:rPr>
          <w:color w:val="231F20"/>
          <w:spacing w:val="-10"/>
        </w:rPr>
        <w:t xml:space="preserve"> </w:t>
      </w:r>
      <w:r>
        <w:rPr>
          <w:color w:val="231F20"/>
        </w:rPr>
        <w:t>Jackson’s</w:t>
      </w:r>
      <w:r>
        <w:rPr>
          <w:color w:val="231F20"/>
          <w:spacing w:val="-10"/>
        </w:rPr>
        <w:t xml:space="preserve"> </w:t>
      </w:r>
      <w:r>
        <w:rPr>
          <w:color w:val="231F20"/>
        </w:rPr>
        <w:t xml:space="preserve">(2000) </w:t>
      </w:r>
      <w:r>
        <w:rPr>
          <w:color w:val="231F20"/>
          <w:spacing w:val="-2"/>
        </w:rPr>
        <w:t>application</w:t>
      </w:r>
      <w:r>
        <w:rPr>
          <w:color w:val="231F20"/>
          <w:spacing w:val="-7"/>
        </w:rPr>
        <w:t xml:space="preserve"> </w:t>
      </w:r>
      <w:r>
        <w:rPr>
          <w:color w:val="231F20"/>
          <w:spacing w:val="-2"/>
        </w:rPr>
        <w:t>of</w:t>
      </w:r>
      <w:r>
        <w:rPr>
          <w:color w:val="231F20"/>
          <w:spacing w:val="6"/>
        </w:rPr>
        <w:t xml:space="preserve"> </w:t>
      </w:r>
      <w:r>
        <w:rPr>
          <w:color w:val="231F20"/>
          <w:spacing w:val="-2"/>
        </w:rPr>
        <w:t>leisure</w:t>
      </w:r>
      <w:r>
        <w:rPr>
          <w:color w:val="231F20"/>
          <w:spacing w:val="-7"/>
        </w:rPr>
        <w:t xml:space="preserve"> </w:t>
      </w:r>
      <w:r>
        <w:rPr>
          <w:color w:val="231F20"/>
          <w:spacing w:val="-2"/>
        </w:rPr>
        <w:t>constraints</w:t>
      </w:r>
      <w:r>
        <w:rPr>
          <w:color w:val="231F20"/>
          <w:spacing w:val="-7"/>
        </w:rPr>
        <w:t xml:space="preserve"> </w:t>
      </w:r>
      <w:r>
        <w:rPr>
          <w:color w:val="231F20"/>
          <w:spacing w:val="-2"/>
        </w:rPr>
        <w:t>theory</w:t>
      </w:r>
      <w:r>
        <w:rPr>
          <w:color w:val="231F20"/>
          <w:spacing w:val="-7"/>
        </w:rPr>
        <w:t xml:space="preserve"> </w:t>
      </w:r>
      <w:r>
        <w:rPr>
          <w:color w:val="231F20"/>
          <w:spacing w:val="-2"/>
        </w:rPr>
        <w:t>to</w:t>
      </w:r>
      <w:r>
        <w:rPr>
          <w:color w:val="231F20"/>
          <w:spacing w:val="-7"/>
        </w:rPr>
        <w:t xml:space="preserve"> </w:t>
      </w:r>
      <w:r>
        <w:rPr>
          <w:color w:val="231F20"/>
          <w:spacing w:val="-2"/>
        </w:rPr>
        <w:t>tourism</w:t>
      </w:r>
      <w:r>
        <w:rPr>
          <w:color w:val="231F20"/>
          <w:spacing w:val="-7"/>
        </w:rPr>
        <w:t xml:space="preserve"> </w:t>
      </w:r>
      <w:r>
        <w:rPr>
          <w:color w:val="231F20"/>
          <w:spacing w:val="-2"/>
        </w:rPr>
        <w:t>seasonality.</w:t>
      </w:r>
    </w:p>
    <w:p w14:paraId="3964690D" w14:textId="77777777" w:rsidR="00AE0598" w:rsidRDefault="00AE0598">
      <w:pPr>
        <w:pStyle w:val="Corpodetexto"/>
        <w:spacing w:before="7"/>
        <w:rPr>
          <w:sz w:val="22"/>
        </w:rPr>
      </w:pPr>
    </w:p>
    <w:p w14:paraId="5C1EDF0E" w14:textId="77777777" w:rsidR="00AE0598" w:rsidRDefault="0069255A">
      <w:pPr>
        <w:ind w:left="110"/>
        <w:rPr>
          <w:rFonts w:ascii="Trebuchet MS"/>
          <w:sz w:val="20"/>
        </w:rPr>
      </w:pPr>
      <w:r>
        <w:rPr>
          <w:rFonts w:ascii="Trebuchet MS"/>
          <w:color w:val="231F20"/>
          <w:w w:val="105"/>
          <w:sz w:val="20"/>
        </w:rPr>
        <w:t>A</w:t>
      </w:r>
      <w:r>
        <w:rPr>
          <w:rFonts w:ascii="Trebuchet MS"/>
          <w:color w:val="231F20"/>
          <w:spacing w:val="-14"/>
          <w:w w:val="105"/>
          <w:sz w:val="20"/>
        </w:rPr>
        <w:t xml:space="preserve"> </w:t>
      </w:r>
      <w:r>
        <w:rPr>
          <w:rFonts w:ascii="Trebuchet MS"/>
          <w:color w:val="231F20"/>
          <w:w w:val="105"/>
          <w:sz w:val="20"/>
        </w:rPr>
        <w:t>strategic</w:t>
      </w:r>
      <w:r>
        <w:rPr>
          <w:rFonts w:ascii="Trebuchet MS"/>
          <w:color w:val="231F20"/>
          <w:spacing w:val="-14"/>
          <w:w w:val="105"/>
          <w:sz w:val="20"/>
        </w:rPr>
        <w:t xml:space="preserve"> </w:t>
      </w:r>
      <w:r>
        <w:rPr>
          <w:rFonts w:ascii="Trebuchet MS"/>
          <w:color w:val="231F20"/>
          <w:spacing w:val="-2"/>
          <w:w w:val="105"/>
          <w:sz w:val="20"/>
        </w:rPr>
        <w:t>typology</w:t>
      </w:r>
    </w:p>
    <w:p w14:paraId="275FF2EE" w14:textId="77777777" w:rsidR="00AE0598" w:rsidRDefault="0069255A">
      <w:pPr>
        <w:pStyle w:val="Corpodetexto"/>
        <w:spacing w:before="122" w:line="232" w:lineRule="auto"/>
        <w:ind w:left="110" w:right="128" w:firstLine="320"/>
        <w:jc w:val="both"/>
      </w:pPr>
      <w:r>
        <w:rPr>
          <w:color w:val="231F20"/>
        </w:rPr>
        <w:t>Weaver</w:t>
      </w:r>
      <w:r>
        <w:rPr>
          <w:color w:val="231F20"/>
          <w:spacing w:val="-9"/>
        </w:rPr>
        <w:t xml:space="preserve"> </w:t>
      </w:r>
      <w:r>
        <w:rPr>
          <w:color w:val="231F20"/>
        </w:rPr>
        <w:t>and</w:t>
      </w:r>
      <w:r>
        <w:rPr>
          <w:color w:val="231F20"/>
          <w:spacing w:val="-9"/>
        </w:rPr>
        <w:t xml:space="preserve"> </w:t>
      </w:r>
      <w:r>
        <w:rPr>
          <w:color w:val="231F20"/>
        </w:rPr>
        <w:t>Lawton</w:t>
      </w:r>
      <w:r>
        <w:rPr>
          <w:color w:val="231F20"/>
          <w:spacing w:val="-9"/>
        </w:rPr>
        <w:t xml:space="preserve"> </w:t>
      </w:r>
      <w:r>
        <w:rPr>
          <w:color w:val="231F20"/>
        </w:rPr>
        <w:t>(2002)</w:t>
      </w:r>
      <w:r>
        <w:rPr>
          <w:color w:val="231F20"/>
          <w:spacing w:val="-9"/>
        </w:rPr>
        <w:t xml:space="preserve"> </w:t>
      </w:r>
      <w:r>
        <w:rPr>
          <w:color w:val="231F20"/>
        </w:rPr>
        <w:t>identified</w:t>
      </w:r>
      <w:r>
        <w:rPr>
          <w:color w:val="231F20"/>
          <w:spacing w:val="-9"/>
        </w:rPr>
        <w:t xml:space="preserve"> </w:t>
      </w:r>
      <w:r>
        <w:rPr>
          <w:color w:val="231F20"/>
        </w:rPr>
        <w:t>six</w:t>
      </w:r>
      <w:r>
        <w:rPr>
          <w:color w:val="231F20"/>
          <w:spacing w:val="-9"/>
        </w:rPr>
        <w:t xml:space="preserve"> </w:t>
      </w:r>
      <w:r>
        <w:rPr>
          <w:color w:val="231F20"/>
        </w:rPr>
        <w:t>basic</w:t>
      </w:r>
      <w:r>
        <w:rPr>
          <w:color w:val="231F20"/>
          <w:spacing w:val="-9"/>
        </w:rPr>
        <w:t xml:space="preserve"> </w:t>
      </w:r>
      <w:r>
        <w:rPr>
          <w:color w:val="231F20"/>
        </w:rPr>
        <w:t>strategic</w:t>
      </w:r>
      <w:r>
        <w:rPr>
          <w:color w:val="231F20"/>
          <w:spacing w:val="-9"/>
        </w:rPr>
        <w:t xml:space="preserve"> </w:t>
      </w:r>
      <w:r>
        <w:rPr>
          <w:color w:val="231F20"/>
        </w:rPr>
        <w:t>responses</w:t>
      </w:r>
      <w:r>
        <w:rPr>
          <w:color w:val="231F20"/>
          <w:spacing w:val="-9"/>
        </w:rPr>
        <w:t xml:space="preserve"> </w:t>
      </w:r>
      <w:r>
        <w:rPr>
          <w:color w:val="231F20"/>
        </w:rPr>
        <w:t xml:space="preserve">to </w:t>
      </w:r>
      <w:r>
        <w:rPr>
          <w:color w:val="231F20"/>
          <w:w w:val="95"/>
        </w:rPr>
        <w:t>seasonality</w:t>
      </w:r>
      <w:r>
        <w:rPr>
          <w:color w:val="231F20"/>
          <w:spacing w:val="37"/>
        </w:rPr>
        <w:t xml:space="preserve"> </w:t>
      </w:r>
      <w:r>
        <w:rPr>
          <w:color w:val="231F20"/>
          <w:w w:val="95"/>
        </w:rPr>
        <w:t>that</w:t>
      </w:r>
      <w:r>
        <w:rPr>
          <w:color w:val="231F20"/>
          <w:spacing w:val="37"/>
        </w:rPr>
        <w:t xml:space="preserve"> </w:t>
      </w:r>
      <w:r>
        <w:rPr>
          <w:color w:val="231F20"/>
          <w:w w:val="95"/>
        </w:rPr>
        <w:t>have</w:t>
      </w:r>
      <w:r>
        <w:rPr>
          <w:color w:val="231F20"/>
          <w:spacing w:val="38"/>
        </w:rPr>
        <w:t xml:space="preserve"> </w:t>
      </w:r>
      <w:r>
        <w:rPr>
          <w:color w:val="231F20"/>
          <w:w w:val="95"/>
        </w:rPr>
        <w:t>been</w:t>
      </w:r>
      <w:r>
        <w:rPr>
          <w:color w:val="231F20"/>
          <w:spacing w:val="37"/>
        </w:rPr>
        <w:t xml:space="preserve"> </w:t>
      </w:r>
      <w:r>
        <w:rPr>
          <w:color w:val="231F20"/>
          <w:w w:val="95"/>
        </w:rPr>
        <w:t>adopted</w:t>
      </w:r>
      <w:r>
        <w:rPr>
          <w:color w:val="231F20"/>
          <w:spacing w:val="37"/>
        </w:rPr>
        <w:t xml:space="preserve"> </w:t>
      </w:r>
      <w:r>
        <w:rPr>
          <w:color w:val="231F20"/>
          <w:w w:val="95"/>
        </w:rPr>
        <w:t>by</w:t>
      </w:r>
      <w:r>
        <w:rPr>
          <w:color w:val="231F20"/>
          <w:spacing w:val="38"/>
        </w:rPr>
        <w:t xml:space="preserve"> </w:t>
      </w:r>
      <w:r>
        <w:rPr>
          <w:color w:val="231F20"/>
          <w:w w:val="95"/>
        </w:rPr>
        <w:t>several</w:t>
      </w:r>
      <w:r>
        <w:rPr>
          <w:color w:val="231F20"/>
          <w:spacing w:val="37"/>
        </w:rPr>
        <w:t xml:space="preserve"> </w:t>
      </w:r>
      <w:r>
        <w:rPr>
          <w:color w:val="231F20"/>
          <w:w w:val="95"/>
        </w:rPr>
        <w:t>other</w:t>
      </w:r>
      <w:r>
        <w:rPr>
          <w:color w:val="231F20"/>
          <w:spacing w:val="38"/>
        </w:rPr>
        <w:t xml:space="preserve"> </w:t>
      </w:r>
      <w:r>
        <w:rPr>
          <w:color w:val="231F20"/>
          <w:w w:val="95"/>
        </w:rPr>
        <w:t>researchers</w:t>
      </w:r>
      <w:r>
        <w:rPr>
          <w:color w:val="231F20"/>
          <w:spacing w:val="37"/>
        </w:rPr>
        <w:t xml:space="preserve"> </w:t>
      </w:r>
      <w:r>
        <w:rPr>
          <w:color w:val="231F20"/>
          <w:spacing w:val="-2"/>
          <w:w w:val="95"/>
        </w:rPr>
        <w:t>(Jang,</w:t>
      </w:r>
    </w:p>
    <w:p w14:paraId="26F75BF2" w14:textId="77777777" w:rsidR="00AE0598" w:rsidRDefault="00AE0598">
      <w:pPr>
        <w:spacing w:line="232" w:lineRule="auto"/>
        <w:jc w:val="both"/>
        <w:sectPr w:rsidR="00AE0598">
          <w:pgSz w:w="8850" w:h="13270"/>
          <w:pgMar w:top="720" w:right="1060" w:bottom="280" w:left="1080" w:header="720" w:footer="720" w:gutter="0"/>
          <w:cols w:space="720"/>
        </w:sectPr>
      </w:pPr>
    </w:p>
    <w:p w14:paraId="7A8F1153" w14:textId="77777777" w:rsidR="00AE0598" w:rsidRDefault="0069255A">
      <w:pPr>
        <w:spacing w:before="87"/>
        <w:ind w:left="108"/>
        <w:rPr>
          <w:rFonts w:ascii="Trebuchet MS"/>
          <w:sz w:val="14"/>
        </w:rPr>
      </w:pPr>
      <w:r>
        <w:rPr>
          <w:rFonts w:ascii="Trebuchet MS"/>
          <w:color w:val="231F20"/>
          <w:w w:val="105"/>
          <w:sz w:val="14"/>
        </w:rPr>
        <w:lastRenderedPageBreak/>
        <w:t>192</w:t>
      </w:r>
      <w:r>
        <w:rPr>
          <w:rFonts w:ascii="Trebuchet MS"/>
          <w:color w:val="231F20"/>
          <w:spacing w:val="66"/>
          <w:w w:val="150"/>
          <w:sz w:val="14"/>
        </w:rPr>
        <w:t xml:space="preserve"> </w:t>
      </w:r>
      <w:r>
        <w:rPr>
          <w:rFonts w:ascii="Trebuchet MS"/>
          <w:color w:val="231F20"/>
          <w:w w:val="105"/>
          <w:sz w:val="14"/>
        </w:rPr>
        <w:t>Part</w:t>
      </w:r>
      <w:r>
        <w:rPr>
          <w:rFonts w:ascii="Trebuchet MS"/>
          <w:color w:val="231F20"/>
          <w:spacing w:val="-9"/>
          <w:w w:val="105"/>
          <w:sz w:val="14"/>
        </w:rPr>
        <w:t xml:space="preserve"> </w:t>
      </w:r>
      <w:r>
        <w:rPr>
          <w:rFonts w:ascii="Trebuchet MS"/>
          <w:color w:val="231F20"/>
          <w:w w:val="105"/>
          <w:sz w:val="14"/>
        </w:rPr>
        <w:t>4:</w:t>
      </w:r>
      <w:r>
        <w:rPr>
          <w:rFonts w:ascii="Trebuchet MS"/>
          <w:color w:val="231F20"/>
          <w:spacing w:val="-8"/>
          <w:w w:val="105"/>
          <w:sz w:val="14"/>
        </w:rPr>
        <w:t xml:space="preserve"> </w:t>
      </w:r>
      <w:r>
        <w:rPr>
          <w:rFonts w:ascii="Trebuchet MS"/>
          <w:color w:val="231F20"/>
          <w:w w:val="105"/>
          <w:sz w:val="14"/>
        </w:rPr>
        <w:t>Sport</w:t>
      </w:r>
      <w:r>
        <w:rPr>
          <w:rFonts w:ascii="Trebuchet MS"/>
          <w:color w:val="231F20"/>
          <w:spacing w:val="-9"/>
          <w:w w:val="105"/>
          <w:sz w:val="14"/>
        </w:rPr>
        <w:t xml:space="preserve"> </w:t>
      </w:r>
      <w:r>
        <w:rPr>
          <w:rFonts w:ascii="Trebuchet MS"/>
          <w:color w:val="231F20"/>
          <w:w w:val="105"/>
          <w:sz w:val="14"/>
        </w:rPr>
        <w:t>Tourism</w:t>
      </w:r>
      <w:r>
        <w:rPr>
          <w:rFonts w:ascii="Trebuchet MS"/>
          <w:color w:val="231F20"/>
          <w:spacing w:val="-9"/>
          <w:w w:val="105"/>
          <w:sz w:val="14"/>
        </w:rPr>
        <w:t xml:space="preserve"> </w:t>
      </w:r>
      <w:r>
        <w:rPr>
          <w:rFonts w:ascii="Trebuchet MS"/>
          <w:color w:val="231F20"/>
          <w:w w:val="105"/>
          <w:sz w:val="14"/>
        </w:rPr>
        <w:t>Development</w:t>
      </w:r>
      <w:r>
        <w:rPr>
          <w:rFonts w:ascii="Trebuchet MS"/>
          <w:color w:val="231F20"/>
          <w:spacing w:val="-9"/>
          <w:w w:val="105"/>
          <w:sz w:val="14"/>
        </w:rPr>
        <w:t xml:space="preserve"> </w:t>
      </w:r>
      <w:r>
        <w:rPr>
          <w:rFonts w:ascii="Trebuchet MS"/>
          <w:color w:val="231F20"/>
          <w:w w:val="105"/>
          <w:sz w:val="14"/>
        </w:rPr>
        <w:t>and</w:t>
      </w:r>
      <w:r>
        <w:rPr>
          <w:rFonts w:ascii="Trebuchet MS"/>
          <w:color w:val="231F20"/>
          <w:spacing w:val="-8"/>
          <w:w w:val="105"/>
          <w:sz w:val="14"/>
        </w:rPr>
        <w:t xml:space="preserve"> </w:t>
      </w:r>
      <w:r>
        <w:rPr>
          <w:rFonts w:ascii="Trebuchet MS"/>
          <w:color w:val="231F20"/>
          <w:spacing w:val="-4"/>
          <w:w w:val="105"/>
          <w:sz w:val="14"/>
        </w:rPr>
        <w:t>Time</w:t>
      </w:r>
    </w:p>
    <w:p w14:paraId="5D98A91E" w14:textId="77777777" w:rsidR="00AE0598" w:rsidRDefault="00AE0598">
      <w:pPr>
        <w:pStyle w:val="Corpodetexto"/>
        <w:rPr>
          <w:rFonts w:ascii="Trebuchet MS"/>
          <w:sz w:val="16"/>
        </w:rPr>
      </w:pPr>
    </w:p>
    <w:p w14:paraId="449CC96D" w14:textId="77777777" w:rsidR="00AE0598" w:rsidRDefault="0069255A">
      <w:pPr>
        <w:pStyle w:val="Corpodetexto"/>
        <w:spacing w:before="118" w:line="232" w:lineRule="auto"/>
        <w:ind w:left="110" w:right="128"/>
        <w:jc w:val="both"/>
      </w:pPr>
      <w:r>
        <w:rPr>
          <w:color w:val="231F20"/>
        </w:rPr>
        <w:t xml:space="preserve">2004; Koenig-Lewis &amp; Bischoff, 2006). These strategies are divided into </w:t>
      </w:r>
      <w:r>
        <w:rPr>
          <w:color w:val="231F20"/>
          <w:w w:val="90"/>
        </w:rPr>
        <w:t xml:space="preserve">three demand-based approaches (increase, reduce or redistribute) and three </w:t>
      </w:r>
      <w:r>
        <w:rPr>
          <w:color w:val="231F20"/>
          <w:w w:val="95"/>
        </w:rPr>
        <w:t>supply-based approaches (increase, reduce and redistribute). In practice, demand and supply approaches are cl</w:t>
      </w:r>
      <w:r>
        <w:rPr>
          <w:color w:val="231F20"/>
          <w:w w:val="95"/>
        </w:rPr>
        <w:t xml:space="preserve">osely related (Cannas, 2012) and are </w:t>
      </w:r>
      <w:r>
        <w:rPr>
          <w:color w:val="231F20"/>
        </w:rPr>
        <w:t>combined in the following discussion.</w:t>
      </w:r>
    </w:p>
    <w:p w14:paraId="4DE83928" w14:textId="77777777" w:rsidR="00AE0598" w:rsidRDefault="0069255A">
      <w:pPr>
        <w:pStyle w:val="Corpodetexto"/>
        <w:spacing w:before="6" w:line="232" w:lineRule="auto"/>
        <w:ind w:left="110" w:right="127" w:firstLine="320"/>
        <w:jc w:val="both"/>
      </w:pPr>
      <w:r>
        <w:rPr>
          <w:color w:val="231F20"/>
        </w:rPr>
        <w:t>The</w:t>
      </w:r>
      <w:r>
        <w:rPr>
          <w:color w:val="231F20"/>
          <w:spacing w:val="-2"/>
        </w:rPr>
        <w:t xml:space="preserve"> </w:t>
      </w:r>
      <w:r>
        <w:rPr>
          <w:color w:val="231F20"/>
        </w:rPr>
        <w:t>first</w:t>
      </w:r>
      <w:r>
        <w:rPr>
          <w:color w:val="231F20"/>
          <w:spacing w:val="-2"/>
        </w:rPr>
        <w:t xml:space="preserve"> </w:t>
      </w:r>
      <w:r>
        <w:rPr>
          <w:color w:val="231F20"/>
        </w:rPr>
        <w:t>set</w:t>
      </w:r>
      <w:r>
        <w:rPr>
          <w:color w:val="231F20"/>
          <w:spacing w:val="-2"/>
        </w:rPr>
        <w:t xml:space="preserve"> </w:t>
      </w:r>
      <w:r>
        <w:rPr>
          <w:color w:val="231F20"/>
        </w:rPr>
        <w:t>of strategies</w:t>
      </w:r>
      <w:r>
        <w:rPr>
          <w:color w:val="231F20"/>
          <w:spacing w:val="-2"/>
        </w:rPr>
        <w:t xml:space="preserve"> </w:t>
      </w:r>
      <w:r>
        <w:rPr>
          <w:color w:val="231F20"/>
        </w:rPr>
        <w:t>focuses</w:t>
      </w:r>
      <w:r>
        <w:rPr>
          <w:color w:val="231F20"/>
          <w:spacing w:val="-2"/>
        </w:rPr>
        <w:t xml:space="preserve"> </w:t>
      </w:r>
      <w:r>
        <w:rPr>
          <w:color w:val="231F20"/>
        </w:rPr>
        <w:t>on</w:t>
      </w:r>
      <w:r>
        <w:rPr>
          <w:color w:val="231F20"/>
          <w:spacing w:val="-2"/>
        </w:rPr>
        <w:t xml:space="preserve"> </w:t>
      </w:r>
      <w:r>
        <w:rPr>
          <w:color w:val="231F20"/>
        </w:rPr>
        <w:t>increasing</w:t>
      </w:r>
      <w:r>
        <w:rPr>
          <w:color w:val="231F20"/>
          <w:spacing w:val="-2"/>
        </w:rPr>
        <w:t xml:space="preserve"> </w:t>
      </w:r>
      <w:r>
        <w:rPr>
          <w:color w:val="231F20"/>
        </w:rPr>
        <w:t>visitation</w:t>
      </w:r>
      <w:r>
        <w:rPr>
          <w:color w:val="231F20"/>
          <w:spacing w:val="-2"/>
        </w:rPr>
        <w:t xml:space="preserve"> </w:t>
      </w:r>
      <w:r>
        <w:rPr>
          <w:color w:val="231F20"/>
        </w:rPr>
        <w:t>outside</w:t>
      </w:r>
      <w:r>
        <w:rPr>
          <w:color w:val="231F20"/>
          <w:spacing w:val="-2"/>
        </w:rPr>
        <w:t xml:space="preserve"> </w:t>
      </w:r>
      <w:r>
        <w:rPr>
          <w:color w:val="231F20"/>
        </w:rPr>
        <w:t xml:space="preserve">the </w:t>
      </w:r>
      <w:r>
        <w:rPr>
          <w:color w:val="231F20"/>
          <w:w w:val="95"/>
        </w:rPr>
        <w:t>peak</w:t>
      </w:r>
      <w:r>
        <w:rPr>
          <w:color w:val="231F20"/>
          <w:spacing w:val="-4"/>
          <w:w w:val="95"/>
        </w:rPr>
        <w:t xml:space="preserve"> </w:t>
      </w:r>
      <w:r>
        <w:rPr>
          <w:color w:val="231F20"/>
          <w:w w:val="95"/>
        </w:rPr>
        <w:t>season.</w:t>
      </w:r>
      <w:r>
        <w:rPr>
          <w:color w:val="231F20"/>
          <w:spacing w:val="-4"/>
          <w:w w:val="95"/>
        </w:rPr>
        <w:t xml:space="preserve"> </w:t>
      </w:r>
      <w:r>
        <w:rPr>
          <w:color w:val="231F20"/>
          <w:w w:val="95"/>
        </w:rPr>
        <w:t>This</w:t>
      </w:r>
      <w:r>
        <w:rPr>
          <w:color w:val="231F20"/>
          <w:spacing w:val="-4"/>
          <w:w w:val="95"/>
        </w:rPr>
        <w:t xml:space="preserve"> </w:t>
      </w:r>
      <w:r>
        <w:rPr>
          <w:color w:val="231F20"/>
          <w:w w:val="95"/>
        </w:rPr>
        <w:t>strategic</w:t>
      </w:r>
      <w:r>
        <w:rPr>
          <w:color w:val="231F20"/>
          <w:spacing w:val="-4"/>
          <w:w w:val="95"/>
        </w:rPr>
        <w:t xml:space="preserve"> </w:t>
      </w:r>
      <w:r>
        <w:rPr>
          <w:color w:val="231F20"/>
          <w:w w:val="95"/>
        </w:rPr>
        <w:t>approach</w:t>
      </w:r>
      <w:r>
        <w:rPr>
          <w:color w:val="231F20"/>
          <w:spacing w:val="-4"/>
          <w:w w:val="95"/>
        </w:rPr>
        <w:t xml:space="preserve"> </w:t>
      </w:r>
      <w:r>
        <w:rPr>
          <w:color w:val="231F20"/>
          <w:w w:val="95"/>
        </w:rPr>
        <w:t>favours</w:t>
      </w:r>
      <w:r>
        <w:rPr>
          <w:color w:val="231F20"/>
          <w:spacing w:val="-4"/>
          <w:w w:val="95"/>
        </w:rPr>
        <w:t xml:space="preserve"> </w:t>
      </w:r>
      <w:r>
        <w:rPr>
          <w:color w:val="231F20"/>
          <w:w w:val="95"/>
        </w:rPr>
        <w:t>urban</w:t>
      </w:r>
      <w:r>
        <w:rPr>
          <w:color w:val="231F20"/>
          <w:spacing w:val="-4"/>
          <w:w w:val="95"/>
        </w:rPr>
        <w:t xml:space="preserve"> </w:t>
      </w:r>
      <w:r>
        <w:rPr>
          <w:color w:val="231F20"/>
          <w:w w:val="95"/>
        </w:rPr>
        <w:t>over</w:t>
      </w:r>
      <w:r>
        <w:rPr>
          <w:color w:val="231F20"/>
          <w:spacing w:val="-4"/>
          <w:w w:val="95"/>
        </w:rPr>
        <w:t xml:space="preserve"> </w:t>
      </w:r>
      <w:r>
        <w:rPr>
          <w:color w:val="231F20"/>
          <w:w w:val="95"/>
        </w:rPr>
        <w:t>peripheral</w:t>
      </w:r>
      <w:r>
        <w:rPr>
          <w:color w:val="231F20"/>
          <w:spacing w:val="-4"/>
          <w:w w:val="95"/>
        </w:rPr>
        <w:t xml:space="preserve"> </w:t>
      </w:r>
      <w:r>
        <w:rPr>
          <w:color w:val="231F20"/>
          <w:w w:val="95"/>
        </w:rPr>
        <w:t>areas</w:t>
      </w:r>
      <w:r>
        <w:rPr>
          <w:color w:val="231F20"/>
          <w:spacing w:val="-4"/>
          <w:w w:val="95"/>
        </w:rPr>
        <w:t xml:space="preserve"> </w:t>
      </w:r>
      <w:r>
        <w:rPr>
          <w:color w:val="231F20"/>
          <w:w w:val="95"/>
        </w:rPr>
        <w:t>as it</w:t>
      </w:r>
      <w:r>
        <w:rPr>
          <w:color w:val="231F20"/>
          <w:spacing w:val="-1"/>
          <w:w w:val="95"/>
        </w:rPr>
        <w:t xml:space="preserve"> </w:t>
      </w:r>
      <w:r>
        <w:rPr>
          <w:color w:val="231F20"/>
          <w:w w:val="95"/>
        </w:rPr>
        <w:t>seeks</w:t>
      </w:r>
      <w:r>
        <w:rPr>
          <w:color w:val="231F20"/>
          <w:spacing w:val="-1"/>
          <w:w w:val="95"/>
        </w:rPr>
        <w:t xml:space="preserve"> </w:t>
      </w:r>
      <w:r>
        <w:rPr>
          <w:color w:val="231F20"/>
          <w:w w:val="95"/>
        </w:rPr>
        <w:t>to</w:t>
      </w:r>
      <w:r>
        <w:rPr>
          <w:color w:val="231F20"/>
          <w:spacing w:val="-1"/>
          <w:w w:val="95"/>
        </w:rPr>
        <w:t xml:space="preserve"> </w:t>
      </w:r>
      <w:r>
        <w:rPr>
          <w:color w:val="231F20"/>
          <w:w w:val="95"/>
        </w:rPr>
        <w:t>establish</w:t>
      </w:r>
      <w:r>
        <w:rPr>
          <w:color w:val="231F20"/>
          <w:spacing w:val="-1"/>
          <w:w w:val="95"/>
        </w:rPr>
        <w:t xml:space="preserve"> </w:t>
      </w:r>
      <w:r>
        <w:rPr>
          <w:color w:val="231F20"/>
          <w:w w:val="95"/>
        </w:rPr>
        <w:t>a</w:t>
      </w:r>
      <w:r>
        <w:rPr>
          <w:color w:val="231F20"/>
          <w:spacing w:val="-1"/>
          <w:w w:val="95"/>
        </w:rPr>
        <w:t xml:space="preserve"> </w:t>
      </w:r>
      <w:r>
        <w:rPr>
          <w:color w:val="231F20"/>
          <w:w w:val="95"/>
        </w:rPr>
        <w:t>critical</w:t>
      </w:r>
      <w:r>
        <w:rPr>
          <w:color w:val="231F20"/>
          <w:spacing w:val="-1"/>
          <w:w w:val="95"/>
        </w:rPr>
        <w:t xml:space="preserve"> </w:t>
      </w:r>
      <w:r>
        <w:rPr>
          <w:color w:val="231F20"/>
          <w:w w:val="95"/>
        </w:rPr>
        <w:t>mass</w:t>
      </w:r>
      <w:r>
        <w:rPr>
          <w:color w:val="231F20"/>
          <w:spacing w:val="-1"/>
          <w:w w:val="95"/>
        </w:rPr>
        <w:t xml:space="preserve"> </w:t>
      </w:r>
      <w:r>
        <w:rPr>
          <w:color w:val="231F20"/>
          <w:w w:val="95"/>
        </w:rPr>
        <w:t>of</w:t>
      </w:r>
      <w:r>
        <w:rPr>
          <w:color w:val="231F20"/>
        </w:rPr>
        <w:t xml:space="preserve"> </w:t>
      </w:r>
      <w:r>
        <w:rPr>
          <w:color w:val="231F20"/>
          <w:w w:val="95"/>
        </w:rPr>
        <w:t>attractions</w:t>
      </w:r>
      <w:r>
        <w:rPr>
          <w:color w:val="231F20"/>
          <w:spacing w:val="-1"/>
          <w:w w:val="95"/>
        </w:rPr>
        <w:t xml:space="preserve"> </w:t>
      </w:r>
      <w:r>
        <w:rPr>
          <w:color w:val="231F20"/>
          <w:w w:val="95"/>
        </w:rPr>
        <w:t>across</w:t>
      </w:r>
      <w:r>
        <w:rPr>
          <w:color w:val="231F20"/>
          <w:spacing w:val="-1"/>
          <w:w w:val="95"/>
        </w:rPr>
        <w:t xml:space="preserve"> </w:t>
      </w:r>
      <w:r>
        <w:rPr>
          <w:color w:val="231F20"/>
          <w:w w:val="95"/>
        </w:rPr>
        <w:t>all</w:t>
      </w:r>
      <w:r>
        <w:rPr>
          <w:color w:val="231F20"/>
          <w:spacing w:val="-1"/>
          <w:w w:val="95"/>
        </w:rPr>
        <w:t xml:space="preserve"> </w:t>
      </w:r>
      <w:r>
        <w:rPr>
          <w:color w:val="231F20"/>
          <w:w w:val="95"/>
        </w:rPr>
        <w:t>seasons</w:t>
      </w:r>
      <w:r>
        <w:rPr>
          <w:color w:val="231F20"/>
          <w:spacing w:val="-1"/>
          <w:w w:val="95"/>
        </w:rPr>
        <w:t xml:space="preserve"> </w:t>
      </w:r>
      <w:r>
        <w:rPr>
          <w:color w:val="231F20"/>
          <w:w w:val="95"/>
        </w:rPr>
        <w:t xml:space="preserve">(Koenig- </w:t>
      </w:r>
      <w:r>
        <w:rPr>
          <w:color w:val="231F20"/>
          <w:spacing w:val="-2"/>
          <w:w w:val="95"/>
        </w:rPr>
        <w:t xml:space="preserve">Lewis &amp; Bischoff, 2005). Product/market development and diversification lie </w:t>
      </w:r>
      <w:r>
        <w:rPr>
          <w:color w:val="231F20"/>
          <w:w w:val="95"/>
        </w:rPr>
        <w:t>at</w:t>
      </w:r>
      <w:r>
        <w:rPr>
          <w:color w:val="231F20"/>
          <w:spacing w:val="-9"/>
          <w:w w:val="95"/>
        </w:rPr>
        <w:t xml:space="preserve"> </w:t>
      </w:r>
      <w:r>
        <w:rPr>
          <w:color w:val="231F20"/>
          <w:w w:val="95"/>
        </w:rPr>
        <w:t>the</w:t>
      </w:r>
      <w:r>
        <w:rPr>
          <w:color w:val="231F20"/>
          <w:spacing w:val="-9"/>
          <w:w w:val="95"/>
        </w:rPr>
        <w:t xml:space="preserve"> </w:t>
      </w:r>
      <w:r>
        <w:rPr>
          <w:color w:val="231F20"/>
          <w:w w:val="95"/>
        </w:rPr>
        <w:t>heart</w:t>
      </w:r>
      <w:r>
        <w:rPr>
          <w:color w:val="231F20"/>
          <w:spacing w:val="-9"/>
          <w:w w:val="95"/>
        </w:rPr>
        <w:t xml:space="preserve"> </w:t>
      </w:r>
      <w:r>
        <w:rPr>
          <w:color w:val="231F20"/>
          <w:w w:val="95"/>
        </w:rPr>
        <w:t>of</w:t>
      </w:r>
      <w:r>
        <w:rPr>
          <w:color w:val="231F20"/>
        </w:rPr>
        <w:t xml:space="preserve"> </w:t>
      </w:r>
      <w:r>
        <w:rPr>
          <w:color w:val="231F20"/>
          <w:w w:val="95"/>
        </w:rPr>
        <w:t>this</w:t>
      </w:r>
      <w:r>
        <w:rPr>
          <w:color w:val="231F20"/>
          <w:spacing w:val="-9"/>
          <w:w w:val="95"/>
        </w:rPr>
        <w:t xml:space="preserve"> </w:t>
      </w:r>
      <w:r>
        <w:rPr>
          <w:color w:val="231F20"/>
          <w:w w:val="95"/>
        </w:rPr>
        <w:t>approach</w:t>
      </w:r>
      <w:r>
        <w:rPr>
          <w:color w:val="231F20"/>
          <w:spacing w:val="-9"/>
          <w:w w:val="95"/>
        </w:rPr>
        <w:t xml:space="preserve"> </w:t>
      </w:r>
      <w:r>
        <w:rPr>
          <w:color w:val="231F20"/>
          <w:w w:val="95"/>
        </w:rPr>
        <w:t>with</w:t>
      </w:r>
      <w:r>
        <w:rPr>
          <w:color w:val="231F20"/>
          <w:spacing w:val="-9"/>
          <w:w w:val="95"/>
        </w:rPr>
        <w:t xml:space="preserve"> </w:t>
      </w:r>
      <w:r>
        <w:rPr>
          <w:color w:val="231F20"/>
          <w:w w:val="95"/>
        </w:rPr>
        <w:t>the</w:t>
      </w:r>
      <w:r>
        <w:rPr>
          <w:color w:val="231F20"/>
          <w:spacing w:val="-9"/>
          <w:w w:val="95"/>
        </w:rPr>
        <w:t xml:space="preserve"> </w:t>
      </w:r>
      <w:r>
        <w:rPr>
          <w:color w:val="231F20"/>
          <w:w w:val="95"/>
        </w:rPr>
        <w:t>hosting</w:t>
      </w:r>
      <w:r>
        <w:rPr>
          <w:color w:val="231F20"/>
          <w:spacing w:val="-9"/>
          <w:w w:val="95"/>
        </w:rPr>
        <w:t xml:space="preserve"> </w:t>
      </w:r>
      <w:r>
        <w:rPr>
          <w:color w:val="231F20"/>
          <w:w w:val="95"/>
        </w:rPr>
        <w:t>of</w:t>
      </w:r>
      <w:r>
        <w:rPr>
          <w:color w:val="231F20"/>
        </w:rPr>
        <w:t xml:space="preserve"> </w:t>
      </w:r>
      <w:r>
        <w:rPr>
          <w:color w:val="231F20"/>
          <w:w w:val="95"/>
        </w:rPr>
        <w:t>sporting</w:t>
      </w:r>
      <w:r>
        <w:rPr>
          <w:color w:val="231F20"/>
          <w:spacing w:val="-9"/>
          <w:w w:val="95"/>
        </w:rPr>
        <w:t xml:space="preserve"> </w:t>
      </w:r>
      <w:r>
        <w:rPr>
          <w:color w:val="231F20"/>
          <w:w w:val="95"/>
        </w:rPr>
        <w:t>events</w:t>
      </w:r>
      <w:r>
        <w:rPr>
          <w:color w:val="231F20"/>
          <w:spacing w:val="-9"/>
          <w:w w:val="95"/>
        </w:rPr>
        <w:t xml:space="preserve"> </w:t>
      </w:r>
      <w:r>
        <w:rPr>
          <w:color w:val="231F20"/>
          <w:w w:val="95"/>
        </w:rPr>
        <w:t>and</w:t>
      </w:r>
      <w:r>
        <w:rPr>
          <w:color w:val="231F20"/>
          <w:spacing w:val="-9"/>
          <w:w w:val="95"/>
        </w:rPr>
        <w:t xml:space="preserve"> </w:t>
      </w:r>
      <w:r>
        <w:rPr>
          <w:color w:val="231F20"/>
          <w:w w:val="95"/>
        </w:rPr>
        <w:t xml:space="preserve">festivals </w:t>
      </w:r>
      <w:r>
        <w:rPr>
          <w:color w:val="231F20"/>
        </w:rPr>
        <w:t>being</w:t>
      </w:r>
      <w:r>
        <w:rPr>
          <w:color w:val="231F20"/>
          <w:spacing w:val="-7"/>
        </w:rPr>
        <w:t xml:space="preserve"> </w:t>
      </w:r>
      <w:r>
        <w:rPr>
          <w:color w:val="231F20"/>
        </w:rPr>
        <w:t>one</w:t>
      </w:r>
      <w:r>
        <w:rPr>
          <w:color w:val="231F20"/>
          <w:spacing w:val="-7"/>
        </w:rPr>
        <w:t xml:space="preserve"> </w:t>
      </w:r>
      <w:r>
        <w:rPr>
          <w:color w:val="231F20"/>
        </w:rPr>
        <w:t>of the</w:t>
      </w:r>
      <w:r>
        <w:rPr>
          <w:color w:val="231F20"/>
          <w:spacing w:val="-7"/>
        </w:rPr>
        <w:t xml:space="preserve"> </w:t>
      </w:r>
      <w:r>
        <w:rPr>
          <w:color w:val="231F20"/>
        </w:rPr>
        <w:t>most</w:t>
      </w:r>
      <w:r>
        <w:rPr>
          <w:color w:val="231F20"/>
          <w:spacing w:val="-7"/>
        </w:rPr>
        <w:t xml:space="preserve"> </w:t>
      </w:r>
      <w:r>
        <w:rPr>
          <w:color w:val="231F20"/>
        </w:rPr>
        <w:t>popular</w:t>
      </w:r>
      <w:r>
        <w:rPr>
          <w:color w:val="231F20"/>
          <w:spacing w:val="-7"/>
        </w:rPr>
        <w:t xml:space="preserve"> </w:t>
      </w:r>
      <w:r>
        <w:rPr>
          <w:color w:val="231F20"/>
        </w:rPr>
        <w:t>strategies</w:t>
      </w:r>
      <w:r>
        <w:rPr>
          <w:color w:val="231F20"/>
          <w:spacing w:val="-7"/>
        </w:rPr>
        <w:t xml:space="preserve"> </w:t>
      </w:r>
      <w:r>
        <w:rPr>
          <w:color w:val="231F20"/>
        </w:rPr>
        <w:t>(G</w:t>
      </w:r>
      <w:r>
        <w:rPr>
          <w:color w:val="231F20"/>
        </w:rPr>
        <w:t>etz,</w:t>
      </w:r>
      <w:r>
        <w:rPr>
          <w:color w:val="231F20"/>
          <w:spacing w:val="-7"/>
        </w:rPr>
        <w:t xml:space="preserve"> </w:t>
      </w:r>
      <w:r>
        <w:rPr>
          <w:color w:val="231F20"/>
        </w:rPr>
        <w:t>2008).</w:t>
      </w:r>
      <w:r>
        <w:rPr>
          <w:color w:val="231F20"/>
          <w:spacing w:val="-7"/>
        </w:rPr>
        <w:t xml:space="preserve"> </w:t>
      </w:r>
      <w:r>
        <w:rPr>
          <w:color w:val="231F20"/>
        </w:rPr>
        <w:t>A</w:t>
      </w:r>
      <w:r>
        <w:rPr>
          <w:color w:val="231F20"/>
          <w:spacing w:val="-7"/>
        </w:rPr>
        <w:t xml:space="preserve"> </w:t>
      </w:r>
      <w:r>
        <w:rPr>
          <w:color w:val="231F20"/>
        </w:rPr>
        <w:t>good</w:t>
      </w:r>
      <w:r>
        <w:rPr>
          <w:color w:val="231F20"/>
          <w:spacing w:val="-7"/>
        </w:rPr>
        <w:t xml:space="preserve"> </w:t>
      </w:r>
      <w:r>
        <w:rPr>
          <w:color w:val="231F20"/>
        </w:rPr>
        <w:t>example</w:t>
      </w:r>
      <w:r>
        <w:rPr>
          <w:color w:val="231F20"/>
          <w:spacing w:val="-7"/>
        </w:rPr>
        <w:t xml:space="preserve"> </w:t>
      </w:r>
      <w:r>
        <w:rPr>
          <w:color w:val="231F20"/>
        </w:rPr>
        <w:t xml:space="preserve">of </w:t>
      </w:r>
      <w:r>
        <w:rPr>
          <w:color w:val="231F20"/>
          <w:w w:val="95"/>
        </w:rPr>
        <w:t xml:space="preserve">product/market diversification through the introduction of sporting events </w:t>
      </w:r>
      <w:r>
        <w:rPr>
          <w:color w:val="231F20"/>
        </w:rPr>
        <w:t>is</w:t>
      </w:r>
      <w:r>
        <w:rPr>
          <w:color w:val="231F20"/>
          <w:spacing w:val="-9"/>
        </w:rPr>
        <w:t xml:space="preserve"> </w:t>
      </w:r>
      <w:r>
        <w:rPr>
          <w:color w:val="231F20"/>
        </w:rPr>
        <w:t>provided</w:t>
      </w:r>
      <w:r>
        <w:rPr>
          <w:color w:val="231F20"/>
          <w:spacing w:val="-9"/>
        </w:rPr>
        <w:t xml:space="preserve"> </w:t>
      </w:r>
      <w:r>
        <w:rPr>
          <w:color w:val="231F20"/>
        </w:rPr>
        <w:t>by</w:t>
      </w:r>
      <w:r>
        <w:rPr>
          <w:color w:val="231F20"/>
          <w:spacing w:val="-9"/>
        </w:rPr>
        <w:t xml:space="preserve"> </w:t>
      </w:r>
      <w:r>
        <w:rPr>
          <w:color w:val="231F20"/>
        </w:rPr>
        <w:t>the</w:t>
      </w:r>
      <w:r>
        <w:rPr>
          <w:color w:val="231F20"/>
          <w:spacing w:val="-9"/>
        </w:rPr>
        <w:t xml:space="preserve"> </w:t>
      </w:r>
      <w:r>
        <w:rPr>
          <w:color w:val="231F20"/>
        </w:rPr>
        <w:t>Isle</w:t>
      </w:r>
      <w:r>
        <w:rPr>
          <w:color w:val="231F20"/>
          <w:spacing w:val="-9"/>
        </w:rPr>
        <w:t xml:space="preserve"> </w:t>
      </w:r>
      <w:r>
        <w:rPr>
          <w:color w:val="231F20"/>
        </w:rPr>
        <w:t>of Man</w:t>
      </w:r>
      <w:r>
        <w:rPr>
          <w:color w:val="231F20"/>
          <w:spacing w:val="-9"/>
        </w:rPr>
        <w:t xml:space="preserve"> </w:t>
      </w:r>
      <w:r>
        <w:rPr>
          <w:color w:val="231F20"/>
        </w:rPr>
        <w:t>(Baum</w:t>
      </w:r>
      <w:r>
        <w:rPr>
          <w:color w:val="231F20"/>
          <w:spacing w:val="-9"/>
        </w:rPr>
        <w:t xml:space="preserve"> </w:t>
      </w:r>
      <w:r>
        <w:rPr>
          <w:color w:val="231F20"/>
        </w:rPr>
        <w:t>&amp;</w:t>
      </w:r>
      <w:r>
        <w:rPr>
          <w:color w:val="231F20"/>
          <w:spacing w:val="-9"/>
        </w:rPr>
        <w:t xml:space="preserve"> </w:t>
      </w:r>
      <w:r>
        <w:rPr>
          <w:color w:val="231F20"/>
        </w:rPr>
        <w:t>Hagen,</w:t>
      </w:r>
      <w:r>
        <w:rPr>
          <w:color w:val="231F20"/>
          <w:spacing w:val="-9"/>
        </w:rPr>
        <w:t xml:space="preserve"> </w:t>
      </w:r>
      <w:r>
        <w:rPr>
          <w:color w:val="231F20"/>
        </w:rPr>
        <w:t>1999).</w:t>
      </w:r>
      <w:r>
        <w:rPr>
          <w:color w:val="231F20"/>
          <w:spacing w:val="-9"/>
        </w:rPr>
        <w:t xml:space="preserve"> </w:t>
      </w:r>
      <w:r>
        <w:rPr>
          <w:color w:val="231F20"/>
        </w:rPr>
        <w:t>The</w:t>
      </w:r>
      <w:r>
        <w:rPr>
          <w:color w:val="231F20"/>
          <w:spacing w:val="-9"/>
        </w:rPr>
        <w:t xml:space="preserve"> </w:t>
      </w:r>
      <w:r>
        <w:rPr>
          <w:color w:val="231F20"/>
        </w:rPr>
        <w:t>Isle</w:t>
      </w:r>
      <w:r>
        <w:rPr>
          <w:color w:val="231F20"/>
          <w:spacing w:val="-9"/>
        </w:rPr>
        <w:t xml:space="preserve"> </w:t>
      </w:r>
      <w:r>
        <w:rPr>
          <w:color w:val="231F20"/>
        </w:rPr>
        <w:t>of Man</w:t>
      </w:r>
      <w:r>
        <w:rPr>
          <w:color w:val="231F20"/>
          <w:spacing w:val="-9"/>
        </w:rPr>
        <w:t xml:space="preserve"> </w:t>
      </w:r>
      <w:r>
        <w:rPr>
          <w:color w:val="231F20"/>
        </w:rPr>
        <w:t>has traditionally been a popular summer tourist destination in the UK, but a sharp</w:t>
      </w:r>
      <w:r>
        <w:rPr>
          <w:color w:val="231F20"/>
          <w:spacing w:val="-12"/>
        </w:rPr>
        <w:t xml:space="preserve"> </w:t>
      </w:r>
      <w:r>
        <w:rPr>
          <w:color w:val="231F20"/>
        </w:rPr>
        <w:t>decline</w:t>
      </w:r>
      <w:r>
        <w:rPr>
          <w:color w:val="231F20"/>
          <w:spacing w:val="-12"/>
        </w:rPr>
        <w:t xml:space="preserve"> </w:t>
      </w:r>
      <w:r>
        <w:rPr>
          <w:color w:val="231F20"/>
        </w:rPr>
        <w:t>in</w:t>
      </w:r>
      <w:r>
        <w:rPr>
          <w:color w:val="231F20"/>
          <w:spacing w:val="-11"/>
        </w:rPr>
        <w:t xml:space="preserve"> </w:t>
      </w:r>
      <w:r>
        <w:rPr>
          <w:color w:val="231F20"/>
        </w:rPr>
        <w:t>the</w:t>
      </w:r>
      <w:r>
        <w:rPr>
          <w:color w:val="231F20"/>
          <w:spacing w:val="-12"/>
        </w:rPr>
        <w:t xml:space="preserve"> </w:t>
      </w:r>
      <w:r>
        <w:rPr>
          <w:color w:val="231F20"/>
        </w:rPr>
        <w:t>‘sun</w:t>
      </w:r>
      <w:r>
        <w:rPr>
          <w:color w:val="231F20"/>
          <w:spacing w:val="-11"/>
        </w:rPr>
        <w:t xml:space="preserve"> </w:t>
      </w:r>
      <w:r>
        <w:rPr>
          <w:color w:val="231F20"/>
        </w:rPr>
        <w:t>seeker’</w:t>
      </w:r>
      <w:r>
        <w:rPr>
          <w:color w:val="231F20"/>
          <w:spacing w:val="-12"/>
        </w:rPr>
        <w:t xml:space="preserve"> </w:t>
      </w:r>
      <w:r>
        <w:rPr>
          <w:color w:val="231F20"/>
        </w:rPr>
        <w:t>markets</w:t>
      </w:r>
      <w:r>
        <w:rPr>
          <w:color w:val="231F20"/>
          <w:spacing w:val="-11"/>
        </w:rPr>
        <w:t xml:space="preserve"> </w:t>
      </w:r>
      <w:r>
        <w:rPr>
          <w:color w:val="231F20"/>
        </w:rPr>
        <w:t>in</w:t>
      </w:r>
      <w:r>
        <w:rPr>
          <w:color w:val="231F20"/>
          <w:spacing w:val="-12"/>
        </w:rPr>
        <w:t xml:space="preserve"> </w:t>
      </w:r>
      <w:r>
        <w:rPr>
          <w:color w:val="231F20"/>
        </w:rPr>
        <w:t>the</w:t>
      </w:r>
      <w:r>
        <w:rPr>
          <w:color w:val="231F20"/>
          <w:spacing w:val="-12"/>
        </w:rPr>
        <w:t xml:space="preserve"> </w:t>
      </w:r>
      <w:r>
        <w:rPr>
          <w:color w:val="231F20"/>
        </w:rPr>
        <w:t>early</w:t>
      </w:r>
      <w:r>
        <w:rPr>
          <w:color w:val="231F20"/>
          <w:spacing w:val="-11"/>
        </w:rPr>
        <w:t xml:space="preserve"> </w:t>
      </w:r>
      <w:r>
        <w:rPr>
          <w:color w:val="231F20"/>
        </w:rPr>
        <w:t>1980s</w:t>
      </w:r>
      <w:r>
        <w:rPr>
          <w:color w:val="231F20"/>
          <w:spacing w:val="-12"/>
        </w:rPr>
        <w:t xml:space="preserve"> </w:t>
      </w:r>
      <w:r>
        <w:rPr>
          <w:color w:val="231F20"/>
        </w:rPr>
        <w:t>prompted</w:t>
      </w:r>
      <w:r>
        <w:rPr>
          <w:color w:val="231F20"/>
          <w:spacing w:val="-11"/>
        </w:rPr>
        <w:t xml:space="preserve"> </w:t>
      </w:r>
      <w:r>
        <w:rPr>
          <w:color w:val="231F20"/>
        </w:rPr>
        <w:t xml:space="preserve">the </w:t>
      </w:r>
      <w:r>
        <w:rPr>
          <w:color w:val="231F20"/>
          <w:w w:val="95"/>
        </w:rPr>
        <w:t>development</w:t>
      </w:r>
      <w:r>
        <w:rPr>
          <w:color w:val="231F20"/>
          <w:spacing w:val="-8"/>
          <w:w w:val="95"/>
        </w:rPr>
        <w:t xml:space="preserve"> </w:t>
      </w:r>
      <w:r>
        <w:rPr>
          <w:color w:val="231F20"/>
          <w:w w:val="95"/>
        </w:rPr>
        <w:t>of</w:t>
      </w:r>
      <w:r>
        <w:rPr>
          <w:color w:val="231F20"/>
        </w:rPr>
        <w:t xml:space="preserve"> </w:t>
      </w:r>
      <w:r>
        <w:rPr>
          <w:color w:val="231F20"/>
          <w:w w:val="95"/>
        </w:rPr>
        <w:t>a</w:t>
      </w:r>
      <w:r>
        <w:rPr>
          <w:color w:val="231F20"/>
          <w:spacing w:val="-8"/>
          <w:w w:val="95"/>
        </w:rPr>
        <w:t xml:space="preserve"> </w:t>
      </w:r>
      <w:r>
        <w:rPr>
          <w:color w:val="231F20"/>
          <w:w w:val="95"/>
        </w:rPr>
        <w:t>product</w:t>
      </w:r>
      <w:r>
        <w:rPr>
          <w:color w:val="231F20"/>
          <w:spacing w:val="-8"/>
          <w:w w:val="95"/>
        </w:rPr>
        <w:t xml:space="preserve"> </w:t>
      </w:r>
      <w:r>
        <w:rPr>
          <w:color w:val="231F20"/>
          <w:w w:val="95"/>
        </w:rPr>
        <w:t>diversification</w:t>
      </w:r>
      <w:r>
        <w:rPr>
          <w:color w:val="231F20"/>
          <w:spacing w:val="-8"/>
          <w:w w:val="95"/>
        </w:rPr>
        <w:t xml:space="preserve"> </w:t>
      </w:r>
      <w:r>
        <w:rPr>
          <w:color w:val="231F20"/>
          <w:w w:val="95"/>
        </w:rPr>
        <w:t>strategy</w:t>
      </w:r>
      <w:r>
        <w:rPr>
          <w:color w:val="231F20"/>
          <w:spacing w:val="-8"/>
          <w:w w:val="95"/>
        </w:rPr>
        <w:t xml:space="preserve"> </w:t>
      </w:r>
      <w:r>
        <w:rPr>
          <w:color w:val="231F20"/>
          <w:w w:val="95"/>
        </w:rPr>
        <w:t>designed</w:t>
      </w:r>
      <w:r>
        <w:rPr>
          <w:color w:val="231F20"/>
          <w:spacing w:val="-8"/>
          <w:w w:val="95"/>
        </w:rPr>
        <w:t xml:space="preserve"> </w:t>
      </w:r>
      <w:r>
        <w:rPr>
          <w:color w:val="231F20"/>
          <w:w w:val="95"/>
        </w:rPr>
        <w:t>to</w:t>
      </w:r>
      <w:r>
        <w:rPr>
          <w:color w:val="231F20"/>
          <w:spacing w:val="-8"/>
          <w:w w:val="95"/>
        </w:rPr>
        <w:t xml:space="preserve"> </w:t>
      </w:r>
      <w:r>
        <w:rPr>
          <w:color w:val="231F20"/>
          <w:w w:val="95"/>
        </w:rPr>
        <w:t>increase</w:t>
      </w:r>
      <w:r>
        <w:rPr>
          <w:color w:val="231F20"/>
          <w:spacing w:val="-8"/>
          <w:w w:val="95"/>
        </w:rPr>
        <w:t xml:space="preserve"> </w:t>
      </w:r>
      <w:r>
        <w:rPr>
          <w:color w:val="231F20"/>
          <w:w w:val="95"/>
        </w:rPr>
        <w:t>sport tourism in the shoulder seas</w:t>
      </w:r>
      <w:r>
        <w:rPr>
          <w:color w:val="231F20"/>
          <w:w w:val="95"/>
        </w:rPr>
        <w:t>ons. Existing sporting events such as the Manx TT road race scheduled during the shoulder tourism period of</w:t>
      </w:r>
      <w:r>
        <w:rPr>
          <w:color w:val="231F20"/>
        </w:rPr>
        <w:t xml:space="preserve"> </w:t>
      </w:r>
      <w:r>
        <w:rPr>
          <w:color w:val="231F20"/>
          <w:w w:val="95"/>
        </w:rPr>
        <w:t>late May and early</w:t>
      </w:r>
      <w:r>
        <w:rPr>
          <w:color w:val="231F20"/>
          <w:spacing w:val="-6"/>
          <w:w w:val="95"/>
        </w:rPr>
        <w:t xml:space="preserve"> </w:t>
      </w:r>
      <w:r>
        <w:rPr>
          <w:color w:val="231F20"/>
          <w:w w:val="95"/>
        </w:rPr>
        <w:t>June</w:t>
      </w:r>
      <w:r>
        <w:rPr>
          <w:color w:val="231F20"/>
          <w:spacing w:val="-6"/>
          <w:w w:val="95"/>
        </w:rPr>
        <w:t xml:space="preserve"> </w:t>
      </w:r>
      <w:r>
        <w:rPr>
          <w:color w:val="231F20"/>
          <w:w w:val="95"/>
        </w:rPr>
        <w:t>served</w:t>
      </w:r>
      <w:r>
        <w:rPr>
          <w:color w:val="231F20"/>
          <w:spacing w:val="-6"/>
          <w:w w:val="95"/>
        </w:rPr>
        <w:t xml:space="preserve"> </w:t>
      </w:r>
      <w:r>
        <w:rPr>
          <w:color w:val="231F20"/>
          <w:w w:val="95"/>
        </w:rPr>
        <w:t>as</w:t>
      </w:r>
      <w:r>
        <w:rPr>
          <w:color w:val="231F20"/>
          <w:spacing w:val="-6"/>
          <w:w w:val="95"/>
        </w:rPr>
        <w:t xml:space="preserve"> </w:t>
      </w:r>
      <w:r>
        <w:rPr>
          <w:color w:val="231F20"/>
          <w:w w:val="95"/>
        </w:rPr>
        <w:t>the</w:t>
      </w:r>
      <w:r>
        <w:rPr>
          <w:color w:val="231F20"/>
          <w:spacing w:val="-6"/>
          <w:w w:val="95"/>
        </w:rPr>
        <w:t xml:space="preserve"> </w:t>
      </w:r>
      <w:r>
        <w:rPr>
          <w:color w:val="231F20"/>
          <w:w w:val="95"/>
        </w:rPr>
        <w:t>anchors</w:t>
      </w:r>
      <w:r>
        <w:rPr>
          <w:color w:val="231F20"/>
          <w:spacing w:val="-6"/>
          <w:w w:val="95"/>
        </w:rPr>
        <w:t xml:space="preserve"> </w:t>
      </w:r>
      <w:r>
        <w:rPr>
          <w:color w:val="231F20"/>
          <w:w w:val="95"/>
        </w:rPr>
        <w:t>for</w:t>
      </w:r>
      <w:r>
        <w:rPr>
          <w:color w:val="231F20"/>
          <w:spacing w:val="-6"/>
          <w:w w:val="95"/>
        </w:rPr>
        <w:t xml:space="preserve"> </w:t>
      </w:r>
      <w:r>
        <w:rPr>
          <w:color w:val="231F20"/>
          <w:w w:val="95"/>
        </w:rPr>
        <w:t>the</w:t>
      </w:r>
      <w:r>
        <w:rPr>
          <w:color w:val="231F20"/>
          <w:spacing w:val="-6"/>
          <w:w w:val="95"/>
        </w:rPr>
        <w:t xml:space="preserve"> </w:t>
      </w:r>
      <w:r>
        <w:rPr>
          <w:color w:val="231F20"/>
          <w:w w:val="95"/>
        </w:rPr>
        <w:t>introduction</w:t>
      </w:r>
      <w:r>
        <w:rPr>
          <w:color w:val="231F20"/>
          <w:spacing w:val="-6"/>
          <w:w w:val="95"/>
        </w:rPr>
        <w:t xml:space="preserve"> </w:t>
      </w:r>
      <w:r>
        <w:rPr>
          <w:color w:val="231F20"/>
          <w:w w:val="95"/>
        </w:rPr>
        <w:t>of</w:t>
      </w:r>
      <w:r>
        <w:rPr>
          <w:color w:val="231F20"/>
        </w:rPr>
        <w:t xml:space="preserve"> </w:t>
      </w:r>
      <w:r>
        <w:rPr>
          <w:color w:val="231F20"/>
          <w:w w:val="95"/>
        </w:rPr>
        <w:t>other</w:t>
      </w:r>
      <w:r>
        <w:rPr>
          <w:color w:val="231F20"/>
          <w:spacing w:val="-6"/>
          <w:w w:val="95"/>
        </w:rPr>
        <w:t xml:space="preserve"> </w:t>
      </w:r>
      <w:r>
        <w:rPr>
          <w:color w:val="231F20"/>
          <w:w w:val="95"/>
        </w:rPr>
        <w:t>related</w:t>
      </w:r>
      <w:r>
        <w:rPr>
          <w:color w:val="231F20"/>
          <w:spacing w:val="-6"/>
          <w:w w:val="95"/>
        </w:rPr>
        <w:t xml:space="preserve"> </w:t>
      </w:r>
      <w:r>
        <w:rPr>
          <w:color w:val="231F20"/>
          <w:w w:val="95"/>
        </w:rPr>
        <w:t xml:space="preserve">events. </w:t>
      </w:r>
      <w:r>
        <w:rPr>
          <w:color w:val="231F20"/>
        </w:rPr>
        <w:t xml:space="preserve">Assessments of the Manx TT show that it attracts approximately 37,000 </w:t>
      </w:r>
      <w:r>
        <w:rPr>
          <w:color w:val="231F20"/>
          <w:w w:val="95"/>
        </w:rPr>
        <w:t>visitors per year who spend in excess of</w:t>
      </w:r>
      <w:r>
        <w:rPr>
          <w:color w:val="231F20"/>
        </w:rPr>
        <w:t xml:space="preserve"> </w:t>
      </w:r>
      <w:r>
        <w:rPr>
          <w:color w:val="231F20"/>
          <w:w w:val="95"/>
        </w:rPr>
        <w:t>£15 million at the destination. This major</w:t>
      </w:r>
      <w:r>
        <w:rPr>
          <w:color w:val="231F20"/>
          <w:spacing w:val="-5"/>
          <w:w w:val="95"/>
        </w:rPr>
        <w:t xml:space="preserve"> </w:t>
      </w:r>
      <w:r>
        <w:rPr>
          <w:color w:val="231F20"/>
          <w:w w:val="95"/>
        </w:rPr>
        <w:t>event</w:t>
      </w:r>
      <w:r>
        <w:rPr>
          <w:color w:val="231F20"/>
          <w:spacing w:val="-5"/>
          <w:w w:val="95"/>
        </w:rPr>
        <w:t xml:space="preserve"> </w:t>
      </w:r>
      <w:r>
        <w:rPr>
          <w:color w:val="231F20"/>
          <w:w w:val="95"/>
        </w:rPr>
        <w:t>is</w:t>
      </w:r>
      <w:r>
        <w:rPr>
          <w:color w:val="231F20"/>
          <w:spacing w:val="-5"/>
          <w:w w:val="95"/>
        </w:rPr>
        <w:t xml:space="preserve"> </w:t>
      </w:r>
      <w:r>
        <w:rPr>
          <w:color w:val="231F20"/>
          <w:w w:val="95"/>
        </w:rPr>
        <w:t>supported</w:t>
      </w:r>
      <w:r>
        <w:rPr>
          <w:color w:val="231F20"/>
          <w:spacing w:val="-5"/>
          <w:w w:val="95"/>
        </w:rPr>
        <w:t xml:space="preserve"> </w:t>
      </w:r>
      <w:r>
        <w:rPr>
          <w:color w:val="231F20"/>
          <w:w w:val="95"/>
        </w:rPr>
        <w:t>by</w:t>
      </w:r>
      <w:r>
        <w:rPr>
          <w:color w:val="231F20"/>
          <w:spacing w:val="-5"/>
          <w:w w:val="95"/>
        </w:rPr>
        <w:t xml:space="preserve"> </w:t>
      </w:r>
      <w:r>
        <w:rPr>
          <w:color w:val="231F20"/>
          <w:w w:val="95"/>
        </w:rPr>
        <w:t>a</w:t>
      </w:r>
      <w:r>
        <w:rPr>
          <w:color w:val="231F20"/>
          <w:spacing w:val="-5"/>
          <w:w w:val="95"/>
        </w:rPr>
        <w:t xml:space="preserve"> </w:t>
      </w:r>
      <w:r>
        <w:rPr>
          <w:color w:val="231F20"/>
          <w:w w:val="95"/>
        </w:rPr>
        <w:t>series</w:t>
      </w:r>
      <w:r>
        <w:rPr>
          <w:color w:val="231F20"/>
          <w:spacing w:val="-5"/>
          <w:w w:val="95"/>
        </w:rPr>
        <w:t xml:space="preserve"> </w:t>
      </w:r>
      <w:r>
        <w:rPr>
          <w:color w:val="231F20"/>
          <w:w w:val="95"/>
        </w:rPr>
        <w:t>of</w:t>
      </w:r>
      <w:r>
        <w:rPr>
          <w:color w:val="231F20"/>
        </w:rPr>
        <w:t xml:space="preserve"> </w:t>
      </w:r>
      <w:r>
        <w:rPr>
          <w:color w:val="231F20"/>
          <w:w w:val="95"/>
        </w:rPr>
        <w:t>other</w:t>
      </w:r>
      <w:r>
        <w:rPr>
          <w:color w:val="231F20"/>
          <w:spacing w:val="-5"/>
          <w:w w:val="95"/>
        </w:rPr>
        <w:t xml:space="preserve"> </w:t>
      </w:r>
      <w:r>
        <w:rPr>
          <w:color w:val="231F20"/>
          <w:w w:val="95"/>
        </w:rPr>
        <w:t>motor</w:t>
      </w:r>
      <w:r>
        <w:rPr>
          <w:color w:val="231F20"/>
          <w:spacing w:val="-5"/>
          <w:w w:val="95"/>
        </w:rPr>
        <w:t xml:space="preserve"> </w:t>
      </w:r>
      <w:r>
        <w:rPr>
          <w:color w:val="231F20"/>
          <w:w w:val="95"/>
        </w:rPr>
        <w:t>sport</w:t>
      </w:r>
      <w:r>
        <w:rPr>
          <w:color w:val="231F20"/>
          <w:spacing w:val="-5"/>
          <w:w w:val="95"/>
        </w:rPr>
        <w:t xml:space="preserve"> </w:t>
      </w:r>
      <w:r>
        <w:rPr>
          <w:color w:val="231F20"/>
          <w:w w:val="95"/>
        </w:rPr>
        <w:t>events</w:t>
      </w:r>
      <w:r>
        <w:rPr>
          <w:color w:val="231F20"/>
          <w:spacing w:val="-5"/>
          <w:w w:val="95"/>
        </w:rPr>
        <w:t xml:space="preserve"> </w:t>
      </w:r>
      <w:r>
        <w:rPr>
          <w:color w:val="231F20"/>
          <w:w w:val="95"/>
        </w:rPr>
        <w:t>throughout the</w:t>
      </w:r>
      <w:r>
        <w:rPr>
          <w:color w:val="231F20"/>
          <w:spacing w:val="-4"/>
          <w:w w:val="95"/>
        </w:rPr>
        <w:t xml:space="preserve"> </w:t>
      </w:r>
      <w:r>
        <w:rPr>
          <w:color w:val="231F20"/>
          <w:w w:val="95"/>
        </w:rPr>
        <w:t>year</w:t>
      </w:r>
      <w:r>
        <w:rPr>
          <w:color w:val="231F20"/>
          <w:spacing w:val="-4"/>
          <w:w w:val="95"/>
        </w:rPr>
        <w:t xml:space="preserve"> </w:t>
      </w:r>
      <w:r>
        <w:rPr>
          <w:color w:val="231F20"/>
          <w:w w:val="95"/>
        </w:rPr>
        <w:t>that</w:t>
      </w:r>
      <w:r>
        <w:rPr>
          <w:color w:val="231F20"/>
          <w:spacing w:val="-4"/>
          <w:w w:val="95"/>
        </w:rPr>
        <w:t xml:space="preserve"> </w:t>
      </w:r>
      <w:r>
        <w:rPr>
          <w:color w:val="231F20"/>
          <w:w w:val="95"/>
        </w:rPr>
        <w:t>each</w:t>
      </w:r>
      <w:r>
        <w:rPr>
          <w:color w:val="231F20"/>
          <w:spacing w:val="-4"/>
          <w:w w:val="95"/>
        </w:rPr>
        <w:t xml:space="preserve"> </w:t>
      </w:r>
      <w:r>
        <w:rPr>
          <w:color w:val="231F20"/>
          <w:w w:val="95"/>
        </w:rPr>
        <w:t>attract</w:t>
      </w:r>
      <w:r>
        <w:rPr>
          <w:color w:val="231F20"/>
          <w:spacing w:val="-4"/>
          <w:w w:val="95"/>
        </w:rPr>
        <w:t xml:space="preserve"> </w:t>
      </w:r>
      <w:r>
        <w:rPr>
          <w:color w:val="231F20"/>
          <w:w w:val="95"/>
        </w:rPr>
        <w:t>betwe</w:t>
      </w:r>
      <w:r>
        <w:rPr>
          <w:color w:val="231F20"/>
          <w:w w:val="95"/>
        </w:rPr>
        <w:t>en</w:t>
      </w:r>
      <w:r>
        <w:rPr>
          <w:color w:val="231F20"/>
          <w:spacing w:val="-4"/>
          <w:w w:val="95"/>
        </w:rPr>
        <w:t xml:space="preserve"> </w:t>
      </w:r>
      <w:r>
        <w:rPr>
          <w:color w:val="231F20"/>
          <w:w w:val="95"/>
        </w:rPr>
        <w:t>3000</w:t>
      </w:r>
      <w:r>
        <w:rPr>
          <w:color w:val="231F20"/>
          <w:spacing w:val="-4"/>
          <w:w w:val="95"/>
        </w:rPr>
        <w:t xml:space="preserve"> </w:t>
      </w:r>
      <w:r>
        <w:rPr>
          <w:color w:val="231F20"/>
          <w:w w:val="95"/>
        </w:rPr>
        <w:t>and</w:t>
      </w:r>
      <w:r>
        <w:rPr>
          <w:color w:val="231F20"/>
          <w:spacing w:val="-4"/>
          <w:w w:val="95"/>
        </w:rPr>
        <w:t xml:space="preserve"> </w:t>
      </w:r>
      <w:r>
        <w:rPr>
          <w:color w:val="231F20"/>
          <w:w w:val="95"/>
        </w:rPr>
        <w:t>6000</w:t>
      </w:r>
      <w:r>
        <w:rPr>
          <w:color w:val="231F20"/>
          <w:spacing w:val="-4"/>
          <w:w w:val="95"/>
        </w:rPr>
        <w:t xml:space="preserve"> </w:t>
      </w:r>
      <w:r>
        <w:rPr>
          <w:color w:val="231F20"/>
          <w:w w:val="95"/>
        </w:rPr>
        <w:t>visitors.</w:t>
      </w:r>
      <w:r>
        <w:rPr>
          <w:color w:val="231F20"/>
          <w:spacing w:val="-4"/>
          <w:w w:val="95"/>
        </w:rPr>
        <w:t xml:space="preserve"> </w:t>
      </w:r>
      <w:r>
        <w:rPr>
          <w:color w:val="231F20"/>
          <w:w w:val="95"/>
        </w:rPr>
        <w:t>Another</w:t>
      </w:r>
      <w:r>
        <w:rPr>
          <w:color w:val="231F20"/>
          <w:spacing w:val="-4"/>
          <w:w w:val="95"/>
        </w:rPr>
        <w:t xml:space="preserve"> </w:t>
      </w:r>
      <w:r>
        <w:rPr>
          <w:color w:val="231F20"/>
          <w:w w:val="95"/>
        </w:rPr>
        <w:t xml:space="preserve">example </w:t>
      </w:r>
      <w:r>
        <w:rPr>
          <w:color w:val="231F20"/>
        </w:rPr>
        <w:t>of</w:t>
      </w:r>
      <w:r>
        <w:rPr>
          <w:color w:val="231F20"/>
          <w:spacing w:val="-2"/>
        </w:rPr>
        <w:t xml:space="preserve"> </w:t>
      </w:r>
      <w:r>
        <w:rPr>
          <w:color w:val="231F20"/>
        </w:rPr>
        <w:t>a</w:t>
      </w:r>
      <w:r>
        <w:rPr>
          <w:color w:val="231F20"/>
          <w:spacing w:val="-10"/>
        </w:rPr>
        <w:t xml:space="preserve"> </w:t>
      </w:r>
      <w:r>
        <w:rPr>
          <w:color w:val="231F20"/>
        </w:rPr>
        <w:t>sport-based</w:t>
      </w:r>
      <w:r>
        <w:rPr>
          <w:color w:val="231F20"/>
          <w:spacing w:val="-10"/>
        </w:rPr>
        <w:t xml:space="preserve"> </w:t>
      </w:r>
      <w:r>
        <w:rPr>
          <w:color w:val="231F20"/>
        </w:rPr>
        <w:t>strategy</w:t>
      </w:r>
      <w:r>
        <w:rPr>
          <w:color w:val="231F20"/>
          <w:spacing w:val="-10"/>
        </w:rPr>
        <w:t xml:space="preserve"> </w:t>
      </w:r>
      <w:r>
        <w:rPr>
          <w:color w:val="231F20"/>
        </w:rPr>
        <w:t>designed</w:t>
      </w:r>
      <w:r>
        <w:rPr>
          <w:color w:val="231F20"/>
          <w:spacing w:val="-10"/>
        </w:rPr>
        <w:t xml:space="preserve"> </w:t>
      </w:r>
      <w:r>
        <w:rPr>
          <w:color w:val="231F20"/>
        </w:rPr>
        <w:t>to</w:t>
      </w:r>
      <w:r>
        <w:rPr>
          <w:color w:val="231F20"/>
          <w:spacing w:val="-10"/>
        </w:rPr>
        <w:t xml:space="preserve"> </w:t>
      </w:r>
      <w:r>
        <w:rPr>
          <w:color w:val="231F20"/>
        </w:rPr>
        <w:t>increase</w:t>
      </w:r>
      <w:r>
        <w:rPr>
          <w:color w:val="231F20"/>
          <w:spacing w:val="-10"/>
        </w:rPr>
        <w:t xml:space="preserve"> </w:t>
      </w:r>
      <w:r>
        <w:rPr>
          <w:color w:val="231F20"/>
        </w:rPr>
        <w:t>visitation</w:t>
      </w:r>
      <w:r>
        <w:rPr>
          <w:color w:val="231F20"/>
          <w:spacing w:val="-10"/>
        </w:rPr>
        <w:t xml:space="preserve"> </w:t>
      </w:r>
      <w:r>
        <w:rPr>
          <w:color w:val="231F20"/>
        </w:rPr>
        <w:t>outside</w:t>
      </w:r>
      <w:r>
        <w:rPr>
          <w:color w:val="231F20"/>
          <w:spacing w:val="-10"/>
        </w:rPr>
        <w:t xml:space="preserve"> </w:t>
      </w:r>
      <w:r>
        <w:rPr>
          <w:color w:val="231F20"/>
        </w:rPr>
        <w:t>the</w:t>
      </w:r>
      <w:r>
        <w:rPr>
          <w:color w:val="231F20"/>
          <w:spacing w:val="-10"/>
        </w:rPr>
        <w:t xml:space="preserve"> </w:t>
      </w:r>
      <w:r>
        <w:rPr>
          <w:color w:val="231F20"/>
        </w:rPr>
        <w:t>peak period is the provision of additional indoor sport facilities such as spas, swimming pools and climbing walls.</w:t>
      </w:r>
    </w:p>
    <w:p w14:paraId="60E59636" w14:textId="77777777" w:rsidR="00AE0598" w:rsidRDefault="0069255A">
      <w:pPr>
        <w:pStyle w:val="Corpodetexto"/>
        <w:spacing w:before="25" w:line="232" w:lineRule="auto"/>
        <w:ind w:left="110" w:right="127" w:firstLine="320"/>
        <w:jc w:val="both"/>
      </w:pPr>
      <w:r>
        <w:rPr>
          <w:color w:val="231F20"/>
          <w:w w:val="95"/>
        </w:rPr>
        <w:t>Conversely,</w:t>
      </w:r>
      <w:r>
        <w:rPr>
          <w:color w:val="231F20"/>
          <w:spacing w:val="-7"/>
          <w:w w:val="95"/>
        </w:rPr>
        <w:t xml:space="preserve"> </w:t>
      </w:r>
      <w:r>
        <w:rPr>
          <w:color w:val="231F20"/>
          <w:w w:val="95"/>
        </w:rPr>
        <w:t>in</w:t>
      </w:r>
      <w:r>
        <w:rPr>
          <w:color w:val="231F20"/>
          <w:spacing w:val="-7"/>
          <w:w w:val="95"/>
        </w:rPr>
        <w:t xml:space="preserve"> </w:t>
      </w:r>
      <w:r>
        <w:rPr>
          <w:color w:val="231F20"/>
          <w:w w:val="95"/>
        </w:rPr>
        <w:t>response</w:t>
      </w:r>
      <w:r>
        <w:rPr>
          <w:color w:val="231F20"/>
          <w:spacing w:val="-7"/>
          <w:w w:val="95"/>
        </w:rPr>
        <w:t xml:space="preserve"> </w:t>
      </w:r>
      <w:r>
        <w:rPr>
          <w:color w:val="231F20"/>
          <w:w w:val="95"/>
        </w:rPr>
        <w:t>to</w:t>
      </w:r>
      <w:r>
        <w:rPr>
          <w:color w:val="231F20"/>
          <w:spacing w:val="-7"/>
          <w:w w:val="95"/>
        </w:rPr>
        <w:t xml:space="preserve"> </w:t>
      </w:r>
      <w:r>
        <w:rPr>
          <w:color w:val="231F20"/>
          <w:w w:val="95"/>
        </w:rPr>
        <w:t>the</w:t>
      </w:r>
      <w:r>
        <w:rPr>
          <w:color w:val="231F20"/>
          <w:spacing w:val="-7"/>
          <w:w w:val="95"/>
        </w:rPr>
        <w:t xml:space="preserve"> </w:t>
      </w:r>
      <w:r>
        <w:rPr>
          <w:color w:val="231F20"/>
          <w:w w:val="95"/>
        </w:rPr>
        <w:t>prospects</w:t>
      </w:r>
      <w:r>
        <w:rPr>
          <w:color w:val="231F20"/>
          <w:spacing w:val="-7"/>
          <w:w w:val="95"/>
        </w:rPr>
        <w:t xml:space="preserve"> </w:t>
      </w:r>
      <w:r>
        <w:rPr>
          <w:color w:val="231F20"/>
          <w:w w:val="95"/>
        </w:rPr>
        <w:t>of</w:t>
      </w:r>
      <w:r>
        <w:rPr>
          <w:color w:val="231F20"/>
        </w:rPr>
        <w:t xml:space="preserve"> </w:t>
      </w:r>
      <w:r>
        <w:rPr>
          <w:color w:val="231F20"/>
          <w:w w:val="95"/>
        </w:rPr>
        <w:t>shorter</w:t>
      </w:r>
      <w:r>
        <w:rPr>
          <w:color w:val="231F20"/>
          <w:spacing w:val="-7"/>
          <w:w w:val="95"/>
        </w:rPr>
        <w:t xml:space="preserve"> </w:t>
      </w:r>
      <w:r>
        <w:rPr>
          <w:color w:val="231F20"/>
          <w:w w:val="95"/>
        </w:rPr>
        <w:t>ski</w:t>
      </w:r>
      <w:r>
        <w:rPr>
          <w:color w:val="231F20"/>
          <w:spacing w:val="-7"/>
          <w:w w:val="95"/>
        </w:rPr>
        <w:t xml:space="preserve"> </w:t>
      </w:r>
      <w:r>
        <w:rPr>
          <w:color w:val="231F20"/>
          <w:w w:val="95"/>
        </w:rPr>
        <w:t>seasons,</w:t>
      </w:r>
      <w:r>
        <w:rPr>
          <w:color w:val="231F20"/>
          <w:spacing w:val="-7"/>
          <w:w w:val="95"/>
        </w:rPr>
        <w:t xml:space="preserve"> </w:t>
      </w:r>
      <w:r>
        <w:rPr>
          <w:color w:val="231F20"/>
          <w:w w:val="95"/>
        </w:rPr>
        <w:t>downhill ski resorts have developed golf</w:t>
      </w:r>
      <w:r>
        <w:rPr>
          <w:color w:val="231F20"/>
        </w:rPr>
        <w:t xml:space="preserve"> </w:t>
      </w:r>
      <w:r>
        <w:rPr>
          <w:color w:val="231F20"/>
          <w:w w:val="95"/>
        </w:rPr>
        <w:t>courses and mountain biking trails as a way of</w:t>
      </w:r>
      <w:r>
        <w:rPr>
          <w:color w:val="231F20"/>
        </w:rPr>
        <w:t xml:space="preserve"> </w:t>
      </w:r>
      <w:r>
        <w:rPr>
          <w:color w:val="231F20"/>
          <w:w w:val="95"/>
        </w:rPr>
        <w:t xml:space="preserve">attracting more visitors during the summer months (Hudson &amp; Hudson, </w:t>
      </w:r>
      <w:r>
        <w:rPr>
          <w:color w:val="231F20"/>
        </w:rPr>
        <w:t>2016) (Focus Point 9.1). In the face of falling vi</w:t>
      </w:r>
      <w:r>
        <w:rPr>
          <w:color w:val="231F20"/>
        </w:rPr>
        <w:t>sitation in the 1980s, ski resorts</w:t>
      </w:r>
      <w:r>
        <w:rPr>
          <w:color w:val="231F20"/>
          <w:spacing w:val="-8"/>
        </w:rPr>
        <w:t xml:space="preserve"> </w:t>
      </w:r>
      <w:r>
        <w:rPr>
          <w:color w:val="231F20"/>
        </w:rPr>
        <w:t>in</w:t>
      </w:r>
      <w:r>
        <w:rPr>
          <w:color w:val="231F20"/>
          <w:spacing w:val="-8"/>
        </w:rPr>
        <w:t xml:space="preserve"> </w:t>
      </w:r>
      <w:r>
        <w:rPr>
          <w:color w:val="231F20"/>
        </w:rPr>
        <w:t>North</w:t>
      </w:r>
      <w:r>
        <w:rPr>
          <w:color w:val="231F20"/>
          <w:spacing w:val="-8"/>
        </w:rPr>
        <w:t xml:space="preserve"> </w:t>
      </w:r>
      <w:r>
        <w:rPr>
          <w:color w:val="231F20"/>
        </w:rPr>
        <w:t>America</w:t>
      </w:r>
      <w:r>
        <w:rPr>
          <w:color w:val="231F20"/>
          <w:spacing w:val="-8"/>
        </w:rPr>
        <w:t xml:space="preserve"> </w:t>
      </w:r>
      <w:r>
        <w:rPr>
          <w:color w:val="231F20"/>
        </w:rPr>
        <w:t>and</w:t>
      </w:r>
      <w:r>
        <w:rPr>
          <w:color w:val="231F20"/>
          <w:spacing w:val="-8"/>
        </w:rPr>
        <w:t xml:space="preserve"> </w:t>
      </w:r>
      <w:r>
        <w:rPr>
          <w:color w:val="231F20"/>
        </w:rPr>
        <w:t>Europe</w:t>
      </w:r>
      <w:r>
        <w:rPr>
          <w:color w:val="231F20"/>
          <w:spacing w:val="-8"/>
        </w:rPr>
        <w:t xml:space="preserve"> </w:t>
      </w:r>
      <w:r>
        <w:rPr>
          <w:color w:val="231F20"/>
        </w:rPr>
        <w:t>made</w:t>
      </w:r>
      <w:r>
        <w:rPr>
          <w:color w:val="231F20"/>
          <w:spacing w:val="-8"/>
        </w:rPr>
        <w:t xml:space="preserve"> </w:t>
      </w:r>
      <w:r>
        <w:rPr>
          <w:color w:val="231F20"/>
        </w:rPr>
        <w:t>a</w:t>
      </w:r>
      <w:r>
        <w:rPr>
          <w:color w:val="231F20"/>
          <w:spacing w:val="-8"/>
        </w:rPr>
        <w:t xml:space="preserve"> </w:t>
      </w:r>
      <w:r>
        <w:rPr>
          <w:color w:val="231F20"/>
        </w:rPr>
        <w:t>concerted</w:t>
      </w:r>
      <w:r>
        <w:rPr>
          <w:color w:val="231F20"/>
          <w:spacing w:val="-8"/>
        </w:rPr>
        <w:t xml:space="preserve"> </w:t>
      </w:r>
      <w:r>
        <w:rPr>
          <w:color w:val="231F20"/>
        </w:rPr>
        <w:t>effort</w:t>
      </w:r>
      <w:r>
        <w:rPr>
          <w:color w:val="231F20"/>
          <w:spacing w:val="-8"/>
        </w:rPr>
        <w:t xml:space="preserve"> </w:t>
      </w:r>
      <w:r>
        <w:rPr>
          <w:color w:val="231F20"/>
        </w:rPr>
        <w:t>to</w:t>
      </w:r>
      <w:r>
        <w:rPr>
          <w:color w:val="231F20"/>
          <w:spacing w:val="-8"/>
        </w:rPr>
        <w:t xml:space="preserve"> </w:t>
      </w:r>
      <w:r>
        <w:rPr>
          <w:color w:val="231F20"/>
        </w:rPr>
        <w:t xml:space="preserve">improve </w:t>
      </w:r>
      <w:r>
        <w:rPr>
          <w:color w:val="231F20"/>
          <w:spacing w:val="-2"/>
        </w:rPr>
        <w:t>and</w:t>
      </w:r>
      <w:r>
        <w:rPr>
          <w:color w:val="231F20"/>
          <w:spacing w:val="-5"/>
        </w:rPr>
        <w:t xml:space="preserve"> </w:t>
      </w:r>
      <w:r>
        <w:rPr>
          <w:color w:val="231F20"/>
          <w:spacing w:val="-2"/>
        </w:rPr>
        <w:t>diversify</w:t>
      </w:r>
      <w:r>
        <w:rPr>
          <w:color w:val="231F20"/>
          <w:spacing w:val="-5"/>
        </w:rPr>
        <w:t xml:space="preserve"> </w:t>
      </w:r>
      <w:r>
        <w:rPr>
          <w:color w:val="231F20"/>
          <w:spacing w:val="-2"/>
        </w:rPr>
        <w:t>their</w:t>
      </w:r>
      <w:r>
        <w:rPr>
          <w:color w:val="231F20"/>
          <w:spacing w:val="-5"/>
        </w:rPr>
        <w:t xml:space="preserve"> </w:t>
      </w:r>
      <w:r>
        <w:rPr>
          <w:color w:val="231F20"/>
          <w:spacing w:val="-2"/>
        </w:rPr>
        <w:t>product</w:t>
      </w:r>
      <w:r>
        <w:rPr>
          <w:color w:val="231F20"/>
          <w:spacing w:val="-5"/>
        </w:rPr>
        <w:t xml:space="preserve"> </w:t>
      </w:r>
      <w:r>
        <w:rPr>
          <w:color w:val="231F20"/>
          <w:spacing w:val="-2"/>
        </w:rPr>
        <w:t>(Tuppen,</w:t>
      </w:r>
      <w:r>
        <w:rPr>
          <w:color w:val="231F20"/>
          <w:spacing w:val="-5"/>
        </w:rPr>
        <w:t xml:space="preserve"> </w:t>
      </w:r>
      <w:r>
        <w:rPr>
          <w:color w:val="231F20"/>
          <w:spacing w:val="-2"/>
        </w:rPr>
        <w:t>2000).</w:t>
      </w:r>
      <w:r>
        <w:rPr>
          <w:color w:val="231F20"/>
          <w:spacing w:val="-5"/>
        </w:rPr>
        <w:t xml:space="preserve"> </w:t>
      </w:r>
      <w:r>
        <w:rPr>
          <w:color w:val="231F20"/>
          <w:spacing w:val="-2"/>
        </w:rPr>
        <w:t>One</w:t>
      </w:r>
      <w:r>
        <w:rPr>
          <w:color w:val="231F20"/>
          <w:spacing w:val="-5"/>
        </w:rPr>
        <w:t xml:space="preserve"> </w:t>
      </w:r>
      <w:r>
        <w:rPr>
          <w:color w:val="231F20"/>
          <w:spacing w:val="-2"/>
        </w:rPr>
        <w:t>of the</w:t>
      </w:r>
      <w:r>
        <w:rPr>
          <w:color w:val="231F20"/>
          <w:spacing w:val="-5"/>
        </w:rPr>
        <w:t xml:space="preserve"> </w:t>
      </w:r>
      <w:r>
        <w:rPr>
          <w:color w:val="231F20"/>
          <w:spacing w:val="-2"/>
        </w:rPr>
        <w:t>key</w:t>
      </w:r>
      <w:r>
        <w:rPr>
          <w:color w:val="231F20"/>
          <w:spacing w:val="-5"/>
        </w:rPr>
        <w:t xml:space="preserve"> </w:t>
      </w:r>
      <w:r>
        <w:rPr>
          <w:color w:val="231F20"/>
          <w:spacing w:val="-2"/>
        </w:rPr>
        <w:t>improvements was</w:t>
      </w:r>
      <w:r>
        <w:rPr>
          <w:color w:val="231F20"/>
          <w:spacing w:val="-5"/>
        </w:rPr>
        <w:t xml:space="preserve"> </w:t>
      </w:r>
      <w:r>
        <w:rPr>
          <w:color w:val="231F20"/>
          <w:spacing w:val="-2"/>
        </w:rPr>
        <w:t>a</w:t>
      </w:r>
      <w:r>
        <w:rPr>
          <w:color w:val="231F20"/>
          <w:spacing w:val="-5"/>
        </w:rPr>
        <w:t xml:space="preserve"> </w:t>
      </w:r>
      <w:r>
        <w:rPr>
          <w:color w:val="231F20"/>
          <w:spacing w:val="-2"/>
        </w:rPr>
        <w:t>major</w:t>
      </w:r>
      <w:r>
        <w:rPr>
          <w:color w:val="231F20"/>
          <w:spacing w:val="-5"/>
        </w:rPr>
        <w:t xml:space="preserve"> </w:t>
      </w:r>
      <w:r>
        <w:rPr>
          <w:color w:val="231F20"/>
          <w:spacing w:val="-2"/>
        </w:rPr>
        <w:t>expansion</w:t>
      </w:r>
      <w:r>
        <w:rPr>
          <w:color w:val="231F20"/>
          <w:spacing w:val="-5"/>
        </w:rPr>
        <w:t xml:space="preserve"> </w:t>
      </w:r>
      <w:r>
        <w:rPr>
          <w:color w:val="231F20"/>
          <w:spacing w:val="-2"/>
        </w:rPr>
        <w:t>in</w:t>
      </w:r>
      <w:r>
        <w:rPr>
          <w:color w:val="231F20"/>
          <w:spacing w:val="-5"/>
        </w:rPr>
        <w:t xml:space="preserve"> </w:t>
      </w:r>
      <w:r>
        <w:rPr>
          <w:color w:val="231F20"/>
          <w:spacing w:val="-2"/>
        </w:rPr>
        <w:t>snow-making</w:t>
      </w:r>
      <w:r>
        <w:rPr>
          <w:color w:val="231F20"/>
          <w:spacing w:val="-5"/>
        </w:rPr>
        <w:t xml:space="preserve"> </w:t>
      </w:r>
      <w:r>
        <w:rPr>
          <w:color w:val="231F20"/>
          <w:spacing w:val="-2"/>
        </w:rPr>
        <w:t>equipment</w:t>
      </w:r>
      <w:r>
        <w:rPr>
          <w:color w:val="231F20"/>
          <w:spacing w:val="-5"/>
        </w:rPr>
        <w:t xml:space="preserve"> </w:t>
      </w:r>
      <w:r>
        <w:rPr>
          <w:color w:val="231F20"/>
          <w:spacing w:val="-2"/>
        </w:rPr>
        <w:t>which</w:t>
      </w:r>
      <w:r>
        <w:rPr>
          <w:color w:val="231F20"/>
          <w:spacing w:val="-5"/>
        </w:rPr>
        <w:t xml:space="preserve"> </w:t>
      </w:r>
      <w:r>
        <w:rPr>
          <w:color w:val="231F20"/>
          <w:spacing w:val="-2"/>
        </w:rPr>
        <w:t>allowed</w:t>
      </w:r>
      <w:r>
        <w:rPr>
          <w:color w:val="231F20"/>
          <w:spacing w:val="-5"/>
        </w:rPr>
        <w:t xml:space="preserve"> </w:t>
      </w:r>
      <w:r>
        <w:rPr>
          <w:color w:val="231F20"/>
          <w:spacing w:val="-2"/>
        </w:rPr>
        <w:t xml:space="preserve">heavily </w:t>
      </w:r>
      <w:r>
        <w:rPr>
          <w:color w:val="231F20"/>
          <w:spacing w:val="-2"/>
          <w:w w:val="95"/>
        </w:rPr>
        <w:t>used</w:t>
      </w:r>
      <w:r>
        <w:rPr>
          <w:color w:val="231F20"/>
          <w:spacing w:val="-5"/>
          <w:w w:val="95"/>
        </w:rPr>
        <w:t xml:space="preserve"> </w:t>
      </w:r>
      <w:r>
        <w:rPr>
          <w:color w:val="231F20"/>
          <w:spacing w:val="-2"/>
          <w:w w:val="95"/>
        </w:rPr>
        <w:t>runs</w:t>
      </w:r>
      <w:r>
        <w:rPr>
          <w:color w:val="231F20"/>
          <w:spacing w:val="-5"/>
          <w:w w:val="95"/>
        </w:rPr>
        <w:t xml:space="preserve"> </w:t>
      </w:r>
      <w:r>
        <w:rPr>
          <w:color w:val="231F20"/>
          <w:spacing w:val="-2"/>
          <w:w w:val="95"/>
        </w:rPr>
        <w:t>between</w:t>
      </w:r>
      <w:r>
        <w:rPr>
          <w:color w:val="231F20"/>
          <w:spacing w:val="-5"/>
          <w:w w:val="95"/>
        </w:rPr>
        <w:t xml:space="preserve"> </w:t>
      </w:r>
      <w:r>
        <w:rPr>
          <w:color w:val="231F20"/>
          <w:spacing w:val="-2"/>
          <w:w w:val="95"/>
        </w:rPr>
        <w:t>the</w:t>
      </w:r>
      <w:r>
        <w:rPr>
          <w:color w:val="231F20"/>
          <w:spacing w:val="-5"/>
          <w:w w:val="95"/>
        </w:rPr>
        <w:t xml:space="preserve"> </w:t>
      </w:r>
      <w:r>
        <w:rPr>
          <w:color w:val="231F20"/>
          <w:spacing w:val="-2"/>
          <w:w w:val="95"/>
        </w:rPr>
        <w:t>upper</w:t>
      </w:r>
      <w:r>
        <w:rPr>
          <w:color w:val="231F20"/>
          <w:spacing w:val="-5"/>
          <w:w w:val="95"/>
        </w:rPr>
        <w:t xml:space="preserve"> </w:t>
      </w:r>
      <w:r>
        <w:rPr>
          <w:color w:val="231F20"/>
          <w:spacing w:val="-2"/>
          <w:w w:val="95"/>
        </w:rPr>
        <w:t>slopes</w:t>
      </w:r>
      <w:r>
        <w:rPr>
          <w:color w:val="231F20"/>
          <w:spacing w:val="-5"/>
          <w:w w:val="95"/>
        </w:rPr>
        <w:t xml:space="preserve"> </w:t>
      </w:r>
      <w:r>
        <w:rPr>
          <w:color w:val="231F20"/>
          <w:spacing w:val="-2"/>
          <w:w w:val="95"/>
        </w:rPr>
        <w:t>and</w:t>
      </w:r>
      <w:r>
        <w:rPr>
          <w:color w:val="231F20"/>
          <w:spacing w:val="-5"/>
          <w:w w:val="95"/>
        </w:rPr>
        <w:t xml:space="preserve"> </w:t>
      </w:r>
      <w:r>
        <w:rPr>
          <w:color w:val="231F20"/>
          <w:spacing w:val="-2"/>
          <w:w w:val="95"/>
        </w:rPr>
        <w:t>the</w:t>
      </w:r>
      <w:r>
        <w:rPr>
          <w:color w:val="231F20"/>
          <w:spacing w:val="-5"/>
          <w:w w:val="95"/>
        </w:rPr>
        <w:t xml:space="preserve"> </w:t>
      </w:r>
      <w:r>
        <w:rPr>
          <w:color w:val="231F20"/>
          <w:spacing w:val="-2"/>
          <w:w w:val="95"/>
        </w:rPr>
        <w:t>base</w:t>
      </w:r>
      <w:r>
        <w:rPr>
          <w:color w:val="231F20"/>
          <w:spacing w:val="-5"/>
          <w:w w:val="95"/>
        </w:rPr>
        <w:t xml:space="preserve"> </w:t>
      </w:r>
      <w:r>
        <w:rPr>
          <w:color w:val="231F20"/>
          <w:spacing w:val="-2"/>
          <w:w w:val="95"/>
        </w:rPr>
        <w:t>of</w:t>
      </w:r>
      <w:r>
        <w:rPr>
          <w:color w:val="231F20"/>
          <w:spacing w:val="9"/>
        </w:rPr>
        <w:t xml:space="preserve"> </w:t>
      </w:r>
      <w:r>
        <w:rPr>
          <w:color w:val="231F20"/>
          <w:spacing w:val="-2"/>
          <w:w w:val="95"/>
        </w:rPr>
        <w:t>the</w:t>
      </w:r>
      <w:r>
        <w:rPr>
          <w:color w:val="231F20"/>
          <w:spacing w:val="-5"/>
          <w:w w:val="95"/>
        </w:rPr>
        <w:t xml:space="preserve"> </w:t>
      </w:r>
      <w:r>
        <w:rPr>
          <w:color w:val="231F20"/>
          <w:spacing w:val="-2"/>
          <w:w w:val="95"/>
        </w:rPr>
        <w:t>resort</w:t>
      </w:r>
      <w:r>
        <w:rPr>
          <w:color w:val="231F20"/>
          <w:spacing w:val="-5"/>
          <w:w w:val="95"/>
        </w:rPr>
        <w:t xml:space="preserve"> </w:t>
      </w:r>
      <w:r>
        <w:rPr>
          <w:color w:val="231F20"/>
          <w:spacing w:val="-2"/>
          <w:w w:val="95"/>
        </w:rPr>
        <w:t>to</w:t>
      </w:r>
      <w:r>
        <w:rPr>
          <w:color w:val="231F20"/>
          <w:spacing w:val="-5"/>
          <w:w w:val="95"/>
        </w:rPr>
        <w:t xml:space="preserve"> </w:t>
      </w:r>
      <w:r>
        <w:rPr>
          <w:color w:val="231F20"/>
          <w:spacing w:val="-2"/>
          <w:w w:val="95"/>
        </w:rPr>
        <w:t>open</w:t>
      </w:r>
      <w:r>
        <w:rPr>
          <w:color w:val="231F20"/>
          <w:spacing w:val="-5"/>
          <w:w w:val="95"/>
        </w:rPr>
        <w:t xml:space="preserve"> </w:t>
      </w:r>
      <w:r>
        <w:rPr>
          <w:color w:val="231F20"/>
          <w:spacing w:val="-2"/>
          <w:w w:val="95"/>
        </w:rPr>
        <w:t xml:space="preserve">sooner </w:t>
      </w:r>
      <w:r>
        <w:rPr>
          <w:color w:val="231F20"/>
        </w:rPr>
        <w:t>and</w:t>
      </w:r>
      <w:r>
        <w:rPr>
          <w:color w:val="231F20"/>
          <w:spacing w:val="-12"/>
        </w:rPr>
        <w:t xml:space="preserve"> </w:t>
      </w:r>
      <w:r>
        <w:rPr>
          <w:color w:val="231F20"/>
        </w:rPr>
        <w:t>close</w:t>
      </w:r>
      <w:r>
        <w:rPr>
          <w:color w:val="231F20"/>
          <w:spacing w:val="-11"/>
        </w:rPr>
        <w:t xml:space="preserve"> </w:t>
      </w:r>
      <w:r>
        <w:rPr>
          <w:color w:val="231F20"/>
        </w:rPr>
        <w:t>later</w:t>
      </w:r>
      <w:r>
        <w:rPr>
          <w:color w:val="231F20"/>
          <w:spacing w:val="-12"/>
        </w:rPr>
        <w:t xml:space="preserve"> </w:t>
      </w:r>
      <w:r>
        <w:rPr>
          <w:color w:val="231F20"/>
        </w:rPr>
        <w:t>in</w:t>
      </w:r>
      <w:r>
        <w:rPr>
          <w:color w:val="231F20"/>
          <w:spacing w:val="-11"/>
        </w:rPr>
        <w:t xml:space="preserve"> </w:t>
      </w:r>
      <w:r>
        <w:rPr>
          <w:color w:val="231F20"/>
        </w:rPr>
        <w:t>the</w:t>
      </w:r>
      <w:r>
        <w:rPr>
          <w:color w:val="231F20"/>
          <w:spacing w:val="-12"/>
        </w:rPr>
        <w:t xml:space="preserve"> </w:t>
      </w:r>
      <w:r>
        <w:rPr>
          <w:color w:val="231F20"/>
        </w:rPr>
        <w:t>year,</w:t>
      </w:r>
      <w:r>
        <w:rPr>
          <w:color w:val="231F20"/>
          <w:spacing w:val="-11"/>
        </w:rPr>
        <w:t xml:space="preserve"> </w:t>
      </w:r>
      <w:r>
        <w:rPr>
          <w:color w:val="231F20"/>
        </w:rPr>
        <w:t>thereby</w:t>
      </w:r>
      <w:r>
        <w:rPr>
          <w:color w:val="231F20"/>
          <w:spacing w:val="-12"/>
        </w:rPr>
        <w:t xml:space="preserve"> </w:t>
      </w:r>
      <w:r>
        <w:rPr>
          <w:color w:val="231F20"/>
        </w:rPr>
        <w:t>facilitating</w:t>
      </w:r>
      <w:r>
        <w:rPr>
          <w:color w:val="231F20"/>
          <w:spacing w:val="-11"/>
        </w:rPr>
        <w:t xml:space="preserve"> </w:t>
      </w:r>
      <w:r>
        <w:rPr>
          <w:color w:val="231F20"/>
        </w:rPr>
        <w:t>an</w:t>
      </w:r>
      <w:r>
        <w:rPr>
          <w:color w:val="231F20"/>
          <w:spacing w:val="-12"/>
        </w:rPr>
        <w:t xml:space="preserve"> </w:t>
      </w:r>
      <w:r>
        <w:rPr>
          <w:color w:val="231F20"/>
        </w:rPr>
        <w:t>extended</w:t>
      </w:r>
      <w:r>
        <w:rPr>
          <w:color w:val="231F20"/>
          <w:spacing w:val="-11"/>
        </w:rPr>
        <w:t xml:space="preserve"> </w:t>
      </w:r>
      <w:r>
        <w:rPr>
          <w:color w:val="231F20"/>
        </w:rPr>
        <w:t>season.</w:t>
      </w:r>
      <w:r>
        <w:rPr>
          <w:color w:val="231F20"/>
          <w:spacing w:val="-12"/>
        </w:rPr>
        <w:t xml:space="preserve"> </w:t>
      </w:r>
      <w:r>
        <w:rPr>
          <w:color w:val="231F20"/>
        </w:rPr>
        <w:t>Just</w:t>
      </w:r>
      <w:r>
        <w:rPr>
          <w:color w:val="231F20"/>
          <w:spacing w:val="-11"/>
        </w:rPr>
        <w:t xml:space="preserve"> </w:t>
      </w:r>
      <w:r>
        <w:rPr>
          <w:color w:val="231F20"/>
        </w:rPr>
        <w:t xml:space="preserve">as </w:t>
      </w:r>
      <w:r>
        <w:rPr>
          <w:color w:val="231F20"/>
          <w:w w:val="90"/>
        </w:rPr>
        <w:t xml:space="preserve">importantly, it built consumer confidence within active sport tourism markets </w:t>
      </w:r>
      <w:r>
        <w:rPr>
          <w:color w:val="231F20"/>
        </w:rPr>
        <w:t>that</w:t>
      </w:r>
      <w:r>
        <w:rPr>
          <w:color w:val="231F20"/>
          <w:spacing w:val="-9"/>
        </w:rPr>
        <w:t xml:space="preserve"> </w:t>
      </w:r>
      <w:r>
        <w:rPr>
          <w:color w:val="231F20"/>
        </w:rPr>
        <w:t>there</w:t>
      </w:r>
      <w:r>
        <w:rPr>
          <w:color w:val="231F20"/>
          <w:spacing w:val="-9"/>
        </w:rPr>
        <w:t xml:space="preserve"> </w:t>
      </w:r>
      <w:r>
        <w:rPr>
          <w:color w:val="231F20"/>
        </w:rPr>
        <w:t>would</w:t>
      </w:r>
      <w:r>
        <w:rPr>
          <w:color w:val="231F20"/>
          <w:spacing w:val="-9"/>
        </w:rPr>
        <w:t xml:space="preserve"> </w:t>
      </w:r>
      <w:r>
        <w:rPr>
          <w:color w:val="231F20"/>
        </w:rPr>
        <w:t>be</w:t>
      </w:r>
      <w:r>
        <w:rPr>
          <w:color w:val="231F20"/>
          <w:spacing w:val="-9"/>
        </w:rPr>
        <w:t xml:space="preserve"> </w:t>
      </w:r>
      <w:r>
        <w:rPr>
          <w:color w:val="231F20"/>
        </w:rPr>
        <w:t>snow</w:t>
      </w:r>
      <w:r>
        <w:rPr>
          <w:color w:val="231F20"/>
          <w:spacing w:val="-9"/>
        </w:rPr>
        <w:t xml:space="preserve"> </w:t>
      </w:r>
      <w:r>
        <w:rPr>
          <w:color w:val="231F20"/>
        </w:rPr>
        <w:t>at</w:t>
      </w:r>
      <w:r>
        <w:rPr>
          <w:color w:val="231F20"/>
          <w:spacing w:val="-9"/>
        </w:rPr>
        <w:t xml:space="preserve"> </w:t>
      </w:r>
      <w:r>
        <w:rPr>
          <w:color w:val="231F20"/>
        </w:rPr>
        <w:t>the</w:t>
      </w:r>
      <w:r>
        <w:rPr>
          <w:color w:val="231F20"/>
          <w:spacing w:val="-9"/>
        </w:rPr>
        <w:t xml:space="preserve"> </w:t>
      </w:r>
      <w:r>
        <w:rPr>
          <w:color w:val="231F20"/>
        </w:rPr>
        <w:t>resorts</w:t>
      </w:r>
      <w:r>
        <w:rPr>
          <w:color w:val="231F20"/>
          <w:spacing w:val="-9"/>
        </w:rPr>
        <w:t xml:space="preserve"> </w:t>
      </w:r>
      <w:r>
        <w:rPr>
          <w:color w:val="231F20"/>
        </w:rPr>
        <w:t>during</w:t>
      </w:r>
      <w:r>
        <w:rPr>
          <w:color w:val="231F20"/>
          <w:spacing w:val="-9"/>
        </w:rPr>
        <w:t xml:space="preserve"> </w:t>
      </w:r>
      <w:r>
        <w:rPr>
          <w:color w:val="231F20"/>
        </w:rPr>
        <w:t>what</w:t>
      </w:r>
      <w:r>
        <w:rPr>
          <w:color w:val="231F20"/>
          <w:spacing w:val="-9"/>
        </w:rPr>
        <w:t xml:space="preserve"> </w:t>
      </w:r>
      <w:r>
        <w:rPr>
          <w:color w:val="231F20"/>
        </w:rPr>
        <w:t>had</w:t>
      </w:r>
      <w:r>
        <w:rPr>
          <w:color w:val="231F20"/>
          <w:spacing w:val="-9"/>
        </w:rPr>
        <w:t xml:space="preserve"> </w:t>
      </w:r>
      <w:r>
        <w:rPr>
          <w:color w:val="231F20"/>
        </w:rPr>
        <w:t>previously</w:t>
      </w:r>
      <w:r>
        <w:rPr>
          <w:color w:val="231F20"/>
          <w:spacing w:val="-9"/>
        </w:rPr>
        <w:t xml:space="preserve"> </w:t>
      </w:r>
      <w:r>
        <w:rPr>
          <w:color w:val="231F20"/>
        </w:rPr>
        <w:t>been considered</w:t>
      </w:r>
      <w:r>
        <w:rPr>
          <w:color w:val="231F20"/>
          <w:spacing w:val="-12"/>
        </w:rPr>
        <w:t xml:space="preserve"> </w:t>
      </w:r>
      <w:r>
        <w:rPr>
          <w:color w:val="231F20"/>
        </w:rPr>
        <w:t>a</w:t>
      </w:r>
      <w:r>
        <w:rPr>
          <w:color w:val="231F20"/>
          <w:spacing w:val="-12"/>
        </w:rPr>
        <w:t xml:space="preserve"> </w:t>
      </w:r>
      <w:r>
        <w:rPr>
          <w:color w:val="231F20"/>
        </w:rPr>
        <w:t>very</w:t>
      </w:r>
      <w:r>
        <w:rPr>
          <w:color w:val="231F20"/>
          <w:spacing w:val="-11"/>
        </w:rPr>
        <w:t xml:space="preserve"> </w:t>
      </w:r>
      <w:r>
        <w:rPr>
          <w:color w:val="231F20"/>
        </w:rPr>
        <w:t>marginal</w:t>
      </w:r>
      <w:r>
        <w:rPr>
          <w:color w:val="231F20"/>
          <w:spacing w:val="-12"/>
        </w:rPr>
        <w:t xml:space="preserve"> </w:t>
      </w:r>
      <w:r>
        <w:rPr>
          <w:color w:val="231F20"/>
        </w:rPr>
        <w:t>period.</w:t>
      </w:r>
      <w:r>
        <w:rPr>
          <w:color w:val="231F20"/>
          <w:spacing w:val="-11"/>
        </w:rPr>
        <w:t xml:space="preserve"> </w:t>
      </w:r>
      <w:r>
        <w:rPr>
          <w:color w:val="231F20"/>
        </w:rPr>
        <w:t>Many</w:t>
      </w:r>
      <w:r>
        <w:rPr>
          <w:color w:val="231F20"/>
          <w:spacing w:val="-12"/>
        </w:rPr>
        <w:t xml:space="preserve"> </w:t>
      </w:r>
      <w:r>
        <w:rPr>
          <w:color w:val="231F20"/>
        </w:rPr>
        <w:t>resorts</w:t>
      </w:r>
      <w:r>
        <w:rPr>
          <w:color w:val="231F20"/>
          <w:spacing w:val="-11"/>
        </w:rPr>
        <w:t xml:space="preserve"> </w:t>
      </w:r>
      <w:r>
        <w:rPr>
          <w:color w:val="231F20"/>
        </w:rPr>
        <w:t>also</w:t>
      </w:r>
      <w:r>
        <w:rPr>
          <w:color w:val="231F20"/>
          <w:spacing w:val="-12"/>
        </w:rPr>
        <w:t xml:space="preserve"> </w:t>
      </w:r>
      <w:r>
        <w:rPr>
          <w:color w:val="231F20"/>
        </w:rPr>
        <w:t>expanded</w:t>
      </w:r>
      <w:r>
        <w:rPr>
          <w:color w:val="231F20"/>
          <w:spacing w:val="-12"/>
        </w:rPr>
        <w:t xml:space="preserve"> </w:t>
      </w:r>
      <w:r>
        <w:rPr>
          <w:color w:val="231F20"/>
        </w:rPr>
        <w:t>the</w:t>
      </w:r>
      <w:r>
        <w:rPr>
          <w:color w:val="231F20"/>
          <w:spacing w:val="-11"/>
        </w:rPr>
        <w:t xml:space="preserve"> </w:t>
      </w:r>
      <w:r>
        <w:rPr>
          <w:color w:val="231F20"/>
        </w:rPr>
        <w:t xml:space="preserve">range </w:t>
      </w:r>
      <w:r>
        <w:rPr>
          <w:color w:val="231F20"/>
          <w:w w:val="95"/>
        </w:rPr>
        <w:t>of</w:t>
      </w:r>
      <w:r>
        <w:rPr>
          <w:color w:val="231F20"/>
        </w:rPr>
        <w:t xml:space="preserve"> </w:t>
      </w:r>
      <w:r>
        <w:rPr>
          <w:color w:val="231F20"/>
          <w:w w:val="95"/>
        </w:rPr>
        <w:t>winter-based activities that visitors can partake in through the provision of indoor sports and fitness centres, and facilities for other</w:t>
      </w:r>
      <w:r>
        <w:rPr>
          <w:color w:val="231F20"/>
          <w:w w:val="95"/>
        </w:rPr>
        <w:t xml:space="preserve"> types of winter sports such as snowboarding, cross-country skiing and snowshoeing. Large </w:t>
      </w:r>
      <w:r>
        <w:rPr>
          <w:color w:val="231F20"/>
        </w:rPr>
        <w:t>resorts</w:t>
      </w:r>
      <w:r>
        <w:rPr>
          <w:color w:val="231F20"/>
          <w:spacing w:val="-12"/>
        </w:rPr>
        <w:t xml:space="preserve"> </w:t>
      </w:r>
      <w:r>
        <w:rPr>
          <w:color w:val="231F20"/>
        </w:rPr>
        <w:t>like</w:t>
      </w:r>
      <w:r>
        <w:rPr>
          <w:color w:val="231F20"/>
          <w:spacing w:val="-11"/>
        </w:rPr>
        <w:t xml:space="preserve"> </w:t>
      </w:r>
      <w:r>
        <w:rPr>
          <w:color w:val="231F20"/>
        </w:rPr>
        <w:t>those</w:t>
      </w:r>
      <w:r>
        <w:rPr>
          <w:color w:val="231F20"/>
          <w:spacing w:val="-12"/>
        </w:rPr>
        <w:t xml:space="preserve"> </w:t>
      </w:r>
      <w:r>
        <w:rPr>
          <w:color w:val="231F20"/>
        </w:rPr>
        <w:t>found</w:t>
      </w:r>
      <w:r>
        <w:rPr>
          <w:color w:val="231F20"/>
          <w:spacing w:val="-11"/>
        </w:rPr>
        <w:t xml:space="preserve"> </w:t>
      </w:r>
      <w:r>
        <w:rPr>
          <w:color w:val="231F20"/>
        </w:rPr>
        <w:t>in</w:t>
      </w:r>
      <w:r>
        <w:rPr>
          <w:color w:val="231F20"/>
          <w:spacing w:val="-12"/>
        </w:rPr>
        <w:t xml:space="preserve"> </w:t>
      </w:r>
      <w:r>
        <w:rPr>
          <w:color w:val="231F20"/>
        </w:rPr>
        <w:t>Whistler,</w:t>
      </w:r>
      <w:r>
        <w:rPr>
          <w:color w:val="231F20"/>
          <w:spacing w:val="-11"/>
        </w:rPr>
        <w:t xml:space="preserve"> </w:t>
      </w:r>
      <w:r>
        <w:rPr>
          <w:color w:val="231F20"/>
        </w:rPr>
        <w:t>British</w:t>
      </w:r>
      <w:r>
        <w:rPr>
          <w:color w:val="231F20"/>
          <w:spacing w:val="-12"/>
        </w:rPr>
        <w:t xml:space="preserve"> </w:t>
      </w:r>
      <w:r>
        <w:rPr>
          <w:color w:val="231F20"/>
        </w:rPr>
        <w:t>Columbia,</w:t>
      </w:r>
      <w:r>
        <w:rPr>
          <w:color w:val="231F20"/>
          <w:spacing w:val="-11"/>
        </w:rPr>
        <w:t xml:space="preserve"> </w:t>
      </w:r>
      <w:r>
        <w:rPr>
          <w:color w:val="231F20"/>
        </w:rPr>
        <w:t>Canada,</w:t>
      </w:r>
      <w:r>
        <w:rPr>
          <w:color w:val="231F20"/>
          <w:spacing w:val="-12"/>
        </w:rPr>
        <w:t xml:space="preserve"> </w:t>
      </w:r>
      <w:r>
        <w:rPr>
          <w:color w:val="231F20"/>
        </w:rPr>
        <w:t>developed summer attractions like golf courses to become all-season destinations (Hudson &amp; Hudson, 201</w:t>
      </w:r>
      <w:r>
        <w:rPr>
          <w:color w:val="231F20"/>
        </w:rPr>
        <w:t>6).</w:t>
      </w:r>
    </w:p>
    <w:p w14:paraId="62C077EC" w14:textId="77777777" w:rsidR="00AE0598" w:rsidRDefault="00AE0598">
      <w:pPr>
        <w:spacing w:line="232" w:lineRule="auto"/>
        <w:jc w:val="both"/>
        <w:sectPr w:rsidR="00AE0598">
          <w:pgSz w:w="8850" w:h="13270"/>
          <w:pgMar w:top="720" w:right="1060" w:bottom="280" w:left="1080" w:header="720" w:footer="720" w:gutter="0"/>
          <w:cols w:space="720"/>
        </w:sectPr>
      </w:pPr>
    </w:p>
    <w:p w14:paraId="0CC57E91" w14:textId="77777777" w:rsidR="00AE0598" w:rsidRDefault="0069255A">
      <w:pPr>
        <w:spacing w:before="87"/>
        <w:ind w:left="4213"/>
        <w:rPr>
          <w:rFonts w:ascii="Trebuchet MS"/>
          <w:sz w:val="14"/>
        </w:rPr>
      </w:pPr>
      <w:r>
        <w:rPr>
          <w:rFonts w:ascii="Trebuchet MS"/>
          <w:color w:val="231F20"/>
          <w:w w:val="105"/>
          <w:sz w:val="14"/>
        </w:rPr>
        <w:lastRenderedPageBreak/>
        <w:t>Seasonality,</w:t>
      </w:r>
      <w:r>
        <w:rPr>
          <w:rFonts w:ascii="Trebuchet MS"/>
          <w:color w:val="231F20"/>
          <w:spacing w:val="-12"/>
          <w:w w:val="105"/>
          <w:sz w:val="14"/>
        </w:rPr>
        <w:t xml:space="preserve"> </w:t>
      </w:r>
      <w:r>
        <w:rPr>
          <w:rFonts w:ascii="Trebuchet MS"/>
          <w:color w:val="231F20"/>
          <w:w w:val="105"/>
          <w:sz w:val="14"/>
        </w:rPr>
        <w:t>Sport</w:t>
      </w:r>
      <w:r>
        <w:rPr>
          <w:rFonts w:ascii="Trebuchet MS"/>
          <w:color w:val="231F20"/>
          <w:spacing w:val="-11"/>
          <w:w w:val="105"/>
          <w:sz w:val="14"/>
        </w:rPr>
        <w:t xml:space="preserve"> </w:t>
      </w:r>
      <w:r>
        <w:rPr>
          <w:rFonts w:ascii="Trebuchet MS"/>
          <w:color w:val="231F20"/>
          <w:w w:val="105"/>
          <w:sz w:val="14"/>
        </w:rPr>
        <w:t>and</w:t>
      </w:r>
      <w:r>
        <w:rPr>
          <w:rFonts w:ascii="Trebuchet MS"/>
          <w:color w:val="231F20"/>
          <w:spacing w:val="-11"/>
          <w:w w:val="105"/>
          <w:sz w:val="14"/>
        </w:rPr>
        <w:t xml:space="preserve"> </w:t>
      </w:r>
      <w:r>
        <w:rPr>
          <w:rFonts w:ascii="Trebuchet MS"/>
          <w:color w:val="231F20"/>
          <w:w w:val="105"/>
          <w:sz w:val="14"/>
        </w:rPr>
        <w:t>Tourism</w:t>
      </w:r>
      <w:r>
        <w:rPr>
          <w:rFonts w:ascii="Trebuchet MS"/>
          <w:color w:val="231F20"/>
          <w:spacing w:val="60"/>
          <w:w w:val="105"/>
          <w:sz w:val="14"/>
        </w:rPr>
        <w:t xml:space="preserve"> </w:t>
      </w:r>
      <w:r>
        <w:rPr>
          <w:rFonts w:ascii="Trebuchet MS"/>
          <w:color w:val="231F20"/>
          <w:spacing w:val="-5"/>
          <w:w w:val="105"/>
          <w:sz w:val="14"/>
        </w:rPr>
        <w:t>193</w:t>
      </w:r>
    </w:p>
    <w:p w14:paraId="0F952E63" w14:textId="77777777" w:rsidR="00AE0598" w:rsidRDefault="00AE0598">
      <w:pPr>
        <w:pStyle w:val="Corpodetexto"/>
        <w:spacing w:before="7"/>
        <w:rPr>
          <w:rFonts w:ascii="Trebuchet MS"/>
          <w:sz w:val="27"/>
        </w:rPr>
      </w:pPr>
    </w:p>
    <w:p w14:paraId="692137CC" w14:textId="26CEDBD3" w:rsidR="00AE0598" w:rsidRDefault="0069255A">
      <w:pPr>
        <w:spacing w:before="99"/>
        <w:ind w:left="232"/>
        <w:jc w:val="both"/>
        <w:rPr>
          <w:rFonts w:ascii="Trebuchet MS"/>
          <w:sz w:val="20"/>
        </w:rPr>
      </w:pPr>
      <w:r>
        <w:rPr>
          <w:noProof/>
        </w:rPr>
        <mc:AlternateContent>
          <mc:Choice Requires="wps">
            <w:drawing>
              <wp:anchor distT="0" distB="0" distL="114300" distR="114300" simplePos="0" relativeHeight="483746816" behindDoc="1" locked="0" layoutInCell="1" allowOverlap="1" wp14:anchorId="21C6DFB5" wp14:editId="6CE1A048">
                <wp:simplePos x="0" y="0"/>
                <wp:positionH relativeFrom="page">
                  <wp:posOffset>761365</wp:posOffset>
                </wp:positionH>
                <wp:positionV relativeFrom="paragraph">
                  <wp:posOffset>14605</wp:posOffset>
                </wp:positionV>
                <wp:extent cx="4098290" cy="6356350"/>
                <wp:effectExtent l="0" t="0" r="0" b="0"/>
                <wp:wrapNone/>
                <wp:docPr id="77" name="docshape2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98290" cy="6356350"/>
                        </a:xfrm>
                        <a:prstGeom prst="rect">
                          <a:avLst/>
                        </a:prstGeom>
                        <a:solidFill>
                          <a:srgbClr val="DCDDD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02DC8E1" id="docshape281" o:spid="_x0000_s1026" style="position:absolute;margin-left:59.95pt;margin-top:1.15pt;width:322.7pt;height:500.5pt;z-index:-195696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" fillcolor="#dcddde" stroked="f">
                <w10:wrap anchorx="page"/>
              </v:rect>
            </w:pict>
          </mc:Fallback>
        </mc:AlternateContent>
      </w:r>
      <w:r>
        <w:rPr>
          <w:rFonts w:ascii="Trebuchet MS"/>
          <w:color w:val="231F20"/>
          <w:sz w:val="20"/>
        </w:rPr>
        <w:t>Focus</w:t>
      </w:r>
      <w:r>
        <w:rPr>
          <w:rFonts w:ascii="Trebuchet MS"/>
          <w:color w:val="231F20"/>
          <w:spacing w:val="6"/>
          <w:sz w:val="20"/>
        </w:rPr>
        <w:t xml:space="preserve"> </w:t>
      </w:r>
      <w:r>
        <w:rPr>
          <w:rFonts w:ascii="Trebuchet MS"/>
          <w:color w:val="231F20"/>
          <w:sz w:val="20"/>
        </w:rPr>
        <w:t>Point</w:t>
      </w:r>
      <w:r>
        <w:rPr>
          <w:rFonts w:ascii="Trebuchet MS"/>
          <w:color w:val="231F20"/>
          <w:spacing w:val="6"/>
          <w:sz w:val="20"/>
        </w:rPr>
        <w:t xml:space="preserve"> </w:t>
      </w:r>
      <w:r>
        <w:rPr>
          <w:rFonts w:ascii="Trebuchet MS"/>
          <w:color w:val="231F20"/>
          <w:sz w:val="20"/>
        </w:rPr>
        <w:t>9.1:</w:t>
      </w:r>
      <w:r>
        <w:rPr>
          <w:rFonts w:ascii="Trebuchet MS"/>
          <w:color w:val="231F20"/>
          <w:spacing w:val="7"/>
          <w:sz w:val="20"/>
        </w:rPr>
        <w:t xml:space="preserve"> </w:t>
      </w:r>
      <w:r>
        <w:rPr>
          <w:rFonts w:ascii="Trebuchet MS"/>
          <w:color w:val="231F20"/>
          <w:sz w:val="20"/>
        </w:rPr>
        <w:t>All-Season</w:t>
      </w:r>
      <w:r>
        <w:rPr>
          <w:rFonts w:ascii="Trebuchet MS"/>
          <w:color w:val="231F20"/>
          <w:spacing w:val="6"/>
          <w:sz w:val="20"/>
        </w:rPr>
        <w:t xml:space="preserve"> </w:t>
      </w:r>
      <w:r>
        <w:rPr>
          <w:rFonts w:ascii="Trebuchet MS"/>
          <w:color w:val="231F20"/>
          <w:sz w:val="20"/>
        </w:rPr>
        <w:t>Ski</w:t>
      </w:r>
      <w:r>
        <w:rPr>
          <w:rFonts w:ascii="Trebuchet MS"/>
          <w:color w:val="231F20"/>
          <w:spacing w:val="6"/>
          <w:sz w:val="20"/>
        </w:rPr>
        <w:t xml:space="preserve"> </w:t>
      </w:r>
      <w:r>
        <w:rPr>
          <w:rFonts w:ascii="Trebuchet MS"/>
          <w:color w:val="231F20"/>
          <w:sz w:val="20"/>
        </w:rPr>
        <w:t>Resorts</w:t>
      </w:r>
      <w:r>
        <w:rPr>
          <w:rFonts w:ascii="Trebuchet MS"/>
          <w:color w:val="231F20"/>
          <w:spacing w:val="7"/>
          <w:sz w:val="20"/>
        </w:rPr>
        <w:t xml:space="preserve"> </w:t>
      </w:r>
      <w:r>
        <w:rPr>
          <w:rFonts w:ascii="Trebuchet MS"/>
          <w:color w:val="231F20"/>
          <w:sz w:val="20"/>
        </w:rPr>
        <w:t>in</w:t>
      </w:r>
      <w:r>
        <w:rPr>
          <w:rFonts w:ascii="Trebuchet MS"/>
          <w:color w:val="231F20"/>
          <w:spacing w:val="6"/>
          <w:sz w:val="20"/>
        </w:rPr>
        <w:t xml:space="preserve"> </w:t>
      </w:r>
      <w:r>
        <w:rPr>
          <w:rFonts w:ascii="Trebuchet MS"/>
          <w:color w:val="231F20"/>
          <w:sz w:val="20"/>
        </w:rPr>
        <w:t>British</w:t>
      </w:r>
      <w:r>
        <w:rPr>
          <w:rFonts w:ascii="Trebuchet MS"/>
          <w:color w:val="231F20"/>
          <w:spacing w:val="7"/>
          <w:sz w:val="20"/>
        </w:rPr>
        <w:t xml:space="preserve"> </w:t>
      </w:r>
      <w:r>
        <w:rPr>
          <w:rFonts w:ascii="Trebuchet MS"/>
          <w:color w:val="231F20"/>
          <w:spacing w:val="-2"/>
          <w:sz w:val="20"/>
        </w:rPr>
        <w:t>Columbia</w:t>
      </w:r>
    </w:p>
    <w:p w14:paraId="3A6670EA" w14:textId="77777777" w:rsidR="00AE0598" w:rsidRDefault="0069255A">
      <w:pPr>
        <w:pStyle w:val="Corpodetexto"/>
        <w:spacing w:before="122" w:line="232" w:lineRule="auto"/>
        <w:ind w:left="232" w:right="239"/>
        <w:jc w:val="both"/>
      </w:pPr>
      <w:r>
        <w:rPr>
          <w:color w:val="231F20"/>
        </w:rPr>
        <w:t>All-season resorts have become a common strategy to combat seasonality in the ski industry. British Columbia, Canada, is home to some of the best examples of these types of strategies. One of these is Panorama resort located two hours to the west of Banff.</w:t>
      </w:r>
      <w:r>
        <w:rPr>
          <w:color w:val="231F20"/>
        </w:rPr>
        <w:t xml:space="preserve"> Strategies to increase visitation outside of the ski season have included the spring, </w:t>
      </w:r>
      <w:r>
        <w:rPr>
          <w:color w:val="231F20"/>
          <w:w w:val="95"/>
        </w:rPr>
        <w:t xml:space="preserve">summer and fall scheduling of events like the ‘1000 Peaks Triathlon, the </w:t>
      </w:r>
      <w:r>
        <w:rPr>
          <w:color w:val="231F20"/>
        </w:rPr>
        <w:t>Mad</w:t>
      </w:r>
      <w:r>
        <w:rPr>
          <w:color w:val="231F20"/>
          <w:spacing w:val="-2"/>
        </w:rPr>
        <w:t xml:space="preserve"> </w:t>
      </w:r>
      <w:r>
        <w:rPr>
          <w:color w:val="231F20"/>
        </w:rPr>
        <w:t>Trapper</w:t>
      </w:r>
      <w:r>
        <w:rPr>
          <w:color w:val="231F20"/>
          <w:spacing w:val="-2"/>
        </w:rPr>
        <w:t xml:space="preserve"> </w:t>
      </w:r>
      <w:r>
        <w:rPr>
          <w:color w:val="231F20"/>
        </w:rPr>
        <w:t>BC</w:t>
      </w:r>
      <w:r>
        <w:rPr>
          <w:color w:val="231F20"/>
          <w:spacing w:val="-2"/>
        </w:rPr>
        <w:t xml:space="preserve"> </w:t>
      </w:r>
      <w:r>
        <w:rPr>
          <w:color w:val="231F20"/>
        </w:rPr>
        <w:t>Cup</w:t>
      </w:r>
      <w:r>
        <w:rPr>
          <w:color w:val="231F20"/>
          <w:spacing w:val="-2"/>
        </w:rPr>
        <w:t xml:space="preserve"> </w:t>
      </w:r>
      <w:r>
        <w:rPr>
          <w:color w:val="231F20"/>
        </w:rPr>
        <w:t>Mountain</w:t>
      </w:r>
      <w:r>
        <w:rPr>
          <w:color w:val="231F20"/>
          <w:spacing w:val="-2"/>
        </w:rPr>
        <w:t xml:space="preserve"> </w:t>
      </w:r>
      <w:r>
        <w:rPr>
          <w:color w:val="231F20"/>
        </w:rPr>
        <w:t>Bike</w:t>
      </w:r>
      <w:r>
        <w:rPr>
          <w:color w:val="231F20"/>
          <w:spacing w:val="-2"/>
        </w:rPr>
        <w:t xml:space="preserve"> </w:t>
      </w:r>
      <w:r>
        <w:rPr>
          <w:color w:val="231F20"/>
        </w:rPr>
        <w:t>race,</w:t>
      </w:r>
      <w:r>
        <w:rPr>
          <w:color w:val="231F20"/>
          <w:spacing w:val="-2"/>
        </w:rPr>
        <w:t xml:space="preserve"> </w:t>
      </w:r>
      <w:r>
        <w:rPr>
          <w:color w:val="231F20"/>
        </w:rPr>
        <w:t>the</w:t>
      </w:r>
      <w:r>
        <w:rPr>
          <w:color w:val="231F20"/>
          <w:spacing w:val="-2"/>
        </w:rPr>
        <w:t xml:space="preserve"> </w:t>
      </w:r>
      <w:r>
        <w:rPr>
          <w:color w:val="231F20"/>
        </w:rPr>
        <w:t>SEA2Summit</w:t>
      </w:r>
      <w:r>
        <w:rPr>
          <w:color w:val="231F20"/>
          <w:spacing w:val="-2"/>
        </w:rPr>
        <w:t xml:space="preserve"> </w:t>
      </w:r>
      <w:r>
        <w:rPr>
          <w:color w:val="231F20"/>
        </w:rPr>
        <w:t>adventure race, and the Shimano Dirt Serie</w:t>
      </w:r>
      <w:r>
        <w:rPr>
          <w:color w:val="231F20"/>
        </w:rPr>
        <w:t>s Women’s Skill Camp’ (Hudson &amp; Cross,</w:t>
      </w:r>
      <w:r>
        <w:rPr>
          <w:color w:val="231F20"/>
          <w:spacing w:val="-7"/>
        </w:rPr>
        <w:t xml:space="preserve"> </w:t>
      </w:r>
      <w:r>
        <w:rPr>
          <w:color w:val="231F20"/>
        </w:rPr>
        <w:t>2005:</w:t>
      </w:r>
      <w:r>
        <w:rPr>
          <w:color w:val="231F20"/>
          <w:spacing w:val="-8"/>
        </w:rPr>
        <w:t xml:space="preserve"> </w:t>
      </w:r>
      <w:r>
        <w:rPr>
          <w:color w:val="231F20"/>
        </w:rPr>
        <w:t>198).</w:t>
      </w:r>
      <w:r>
        <w:rPr>
          <w:color w:val="231F20"/>
          <w:spacing w:val="-8"/>
        </w:rPr>
        <w:t xml:space="preserve"> </w:t>
      </w:r>
      <w:r>
        <w:rPr>
          <w:color w:val="231F20"/>
        </w:rPr>
        <w:t>To</w:t>
      </w:r>
      <w:r>
        <w:rPr>
          <w:color w:val="231F20"/>
          <w:spacing w:val="-7"/>
        </w:rPr>
        <w:t xml:space="preserve"> </w:t>
      </w:r>
      <w:r>
        <w:rPr>
          <w:color w:val="231F20"/>
        </w:rPr>
        <w:t>the</w:t>
      </w:r>
      <w:r>
        <w:rPr>
          <w:color w:val="231F20"/>
          <w:spacing w:val="-8"/>
        </w:rPr>
        <w:t xml:space="preserve"> </w:t>
      </w:r>
      <w:r>
        <w:rPr>
          <w:color w:val="231F20"/>
        </w:rPr>
        <w:t>north</w:t>
      </w:r>
      <w:r>
        <w:rPr>
          <w:color w:val="231F20"/>
          <w:spacing w:val="-8"/>
        </w:rPr>
        <w:t xml:space="preserve"> </w:t>
      </w:r>
      <w:r>
        <w:rPr>
          <w:color w:val="231F20"/>
        </w:rPr>
        <w:t>–</w:t>
      </w:r>
      <w:r>
        <w:rPr>
          <w:color w:val="231F20"/>
          <w:spacing w:val="-8"/>
        </w:rPr>
        <w:t xml:space="preserve"> </w:t>
      </w:r>
      <w:r>
        <w:rPr>
          <w:color w:val="231F20"/>
        </w:rPr>
        <w:t>just</w:t>
      </w:r>
      <w:r>
        <w:rPr>
          <w:color w:val="231F20"/>
          <w:spacing w:val="-8"/>
        </w:rPr>
        <w:t xml:space="preserve"> </w:t>
      </w:r>
      <w:r>
        <w:rPr>
          <w:color w:val="231F20"/>
        </w:rPr>
        <w:t>outside</w:t>
      </w:r>
      <w:r>
        <w:rPr>
          <w:color w:val="231F20"/>
          <w:spacing w:val="-8"/>
        </w:rPr>
        <w:t xml:space="preserve"> </w:t>
      </w:r>
      <w:r>
        <w:rPr>
          <w:color w:val="231F20"/>
        </w:rPr>
        <w:t>of</w:t>
      </w:r>
      <w:r>
        <w:rPr>
          <w:color w:val="231F20"/>
          <w:spacing w:val="-7"/>
        </w:rPr>
        <w:t xml:space="preserve"> </w:t>
      </w:r>
      <w:r>
        <w:rPr>
          <w:color w:val="231F20"/>
        </w:rPr>
        <w:t>Jasper</w:t>
      </w:r>
      <w:r>
        <w:rPr>
          <w:color w:val="231F20"/>
          <w:spacing w:val="-8"/>
        </w:rPr>
        <w:t xml:space="preserve"> </w:t>
      </w:r>
      <w:r>
        <w:rPr>
          <w:color w:val="231F20"/>
        </w:rPr>
        <w:t>National</w:t>
      </w:r>
      <w:r>
        <w:rPr>
          <w:color w:val="231F20"/>
          <w:spacing w:val="-7"/>
        </w:rPr>
        <w:t xml:space="preserve"> </w:t>
      </w:r>
      <w:r>
        <w:rPr>
          <w:color w:val="231F20"/>
        </w:rPr>
        <w:t>Park</w:t>
      </w:r>
      <w:r>
        <w:rPr>
          <w:color w:val="231F20"/>
          <w:spacing w:val="-7"/>
        </w:rPr>
        <w:t xml:space="preserve"> </w:t>
      </w:r>
      <w:r>
        <w:rPr>
          <w:color w:val="231F20"/>
        </w:rPr>
        <w:t>– the proposed Valemount Glacier Destination is also being touted as</w:t>
      </w:r>
      <w:r>
        <w:rPr>
          <w:color w:val="231F20"/>
          <w:spacing w:val="40"/>
        </w:rPr>
        <w:t xml:space="preserve"> </w:t>
      </w:r>
      <w:r>
        <w:rPr>
          <w:color w:val="231F20"/>
        </w:rPr>
        <w:t>an all-season ski resort but one with a difference. At Valemount, the resort will be located so that it provides access to year-round skiing on</w:t>
      </w:r>
      <w:r>
        <w:rPr>
          <w:color w:val="231F20"/>
          <w:spacing w:val="32"/>
        </w:rPr>
        <w:t xml:space="preserve"> </w:t>
      </w:r>
      <w:r>
        <w:rPr>
          <w:color w:val="231F20"/>
        </w:rPr>
        <w:t>a glacier (Oberti Resort</w:t>
      </w:r>
      <w:r>
        <w:rPr>
          <w:color w:val="231F20"/>
          <w:spacing w:val="32"/>
        </w:rPr>
        <w:t xml:space="preserve"> </w:t>
      </w:r>
      <w:r>
        <w:rPr>
          <w:color w:val="231F20"/>
        </w:rPr>
        <w:t>Design, 2016).</w:t>
      </w:r>
      <w:r>
        <w:rPr>
          <w:color w:val="231F20"/>
          <w:spacing w:val="32"/>
        </w:rPr>
        <w:t xml:space="preserve"> </w:t>
      </w:r>
      <w:r>
        <w:rPr>
          <w:color w:val="231F20"/>
        </w:rPr>
        <w:t>But the best example of</w:t>
      </w:r>
      <w:r>
        <w:rPr>
          <w:color w:val="231F20"/>
          <w:spacing w:val="40"/>
        </w:rPr>
        <w:t xml:space="preserve"> </w:t>
      </w:r>
      <w:r>
        <w:rPr>
          <w:color w:val="231F20"/>
        </w:rPr>
        <w:t>the transformation of a ski resort into an all-s</w:t>
      </w:r>
      <w:r>
        <w:rPr>
          <w:color w:val="231F20"/>
        </w:rPr>
        <w:t>eason resort in BC is Whistler</w:t>
      </w:r>
      <w:r>
        <w:rPr>
          <w:color w:val="231F20"/>
          <w:spacing w:val="-5"/>
        </w:rPr>
        <w:t xml:space="preserve"> </w:t>
      </w:r>
      <w:r>
        <w:rPr>
          <w:color w:val="231F20"/>
        </w:rPr>
        <w:t>Blackcomb</w:t>
      </w:r>
      <w:r>
        <w:rPr>
          <w:color w:val="231F20"/>
          <w:spacing w:val="-5"/>
        </w:rPr>
        <w:t xml:space="preserve"> </w:t>
      </w:r>
      <w:r>
        <w:rPr>
          <w:color w:val="231F20"/>
        </w:rPr>
        <w:t>in</w:t>
      </w:r>
      <w:r>
        <w:rPr>
          <w:color w:val="231F20"/>
          <w:spacing w:val="-5"/>
        </w:rPr>
        <w:t xml:space="preserve"> </w:t>
      </w:r>
      <w:r>
        <w:rPr>
          <w:color w:val="231F20"/>
        </w:rPr>
        <w:t>the</w:t>
      </w:r>
      <w:r>
        <w:rPr>
          <w:color w:val="231F20"/>
          <w:spacing w:val="-5"/>
        </w:rPr>
        <w:t xml:space="preserve"> </w:t>
      </w:r>
      <w:r>
        <w:rPr>
          <w:color w:val="231F20"/>
        </w:rPr>
        <w:t>coastal</w:t>
      </w:r>
      <w:r>
        <w:rPr>
          <w:color w:val="231F20"/>
          <w:spacing w:val="-5"/>
        </w:rPr>
        <w:t xml:space="preserve"> </w:t>
      </w:r>
      <w:r>
        <w:rPr>
          <w:color w:val="231F20"/>
        </w:rPr>
        <w:t>mountains</w:t>
      </w:r>
      <w:r>
        <w:rPr>
          <w:color w:val="231F20"/>
          <w:spacing w:val="-5"/>
        </w:rPr>
        <w:t xml:space="preserve"> </w:t>
      </w:r>
      <w:r>
        <w:rPr>
          <w:color w:val="231F20"/>
        </w:rPr>
        <w:t>just</w:t>
      </w:r>
      <w:r>
        <w:rPr>
          <w:color w:val="231F20"/>
          <w:spacing w:val="-5"/>
        </w:rPr>
        <w:t xml:space="preserve"> </w:t>
      </w:r>
      <w:r>
        <w:rPr>
          <w:color w:val="231F20"/>
        </w:rPr>
        <w:t>north</w:t>
      </w:r>
      <w:r>
        <w:rPr>
          <w:color w:val="231F20"/>
          <w:spacing w:val="-5"/>
        </w:rPr>
        <w:t xml:space="preserve"> </w:t>
      </w:r>
      <w:r>
        <w:rPr>
          <w:color w:val="231F20"/>
        </w:rPr>
        <w:t>of</w:t>
      </w:r>
      <w:r>
        <w:rPr>
          <w:color w:val="231F20"/>
          <w:spacing w:val="-5"/>
        </w:rPr>
        <w:t xml:space="preserve"> </w:t>
      </w:r>
      <w:r>
        <w:rPr>
          <w:color w:val="231F20"/>
        </w:rPr>
        <w:t>Vancouver. In</w:t>
      </w:r>
      <w:r>
        <w:rPr>
          <w:color w:val="231F20"/>
          <w:spacing w:val="-11"/>
        </w:rPr>
        <w:t xml:space="preserve"> </w:t>
      </w:r>
      <w:r>
        <w:rPr>
          <w:color w:val="231F20"/>
        </w:rPr>
        <w:t>addition</w:t>
      </w:r>
      <w:r>
        <w:rPr>
          <w:color w:val="231F20"/>
          <w:spacing w:val="-11"/>
        </w:rPr>
        <w:t xml:space="preserve"> </w:t>
      </w:r>
      <w:r>
        <w:rPr>
          <w:color w:val="231F20"/>
        </w:rPr>
        <w:t>to</w:t>
      </w:r>
      <w:r>
        <w:rPr>
          <w:color w:val="231F20"/>
          <w:spacing w:val="-11"/>
        </w:rPr>
        <w:t xml:space="preserve"> </w:t>
      </w:r>
      <w:r>
        <w:rPr>
          <w:color w:val="231F20"/>
        </w:rPr>
        <w:t>being</w:t>
      </w:r>
      <w:r>
        <w:rPr>
          <w:color w:val="231F20"/>
          <w:spacing w:val="-11"/>
        </w:rPr>
        <w:t xml:space="preserve"> </w:t>
      </w:r>
      <w:r>
        <w:rPr>
          <w:color w:val="231F20"/>
        </w:rPr>
        <w:t>one</w:t>
      </w:r>
      <w:r>
        <w:rPr>
          <w:color w:val="231F20"/>
          <w:spacing w:val="-11"/>
        </w:rPr>
        <w:t xml:space="preserve"> </w:t>
      </w:r>
      <w:r>
        <w:rPr>
          <w:color w:val="231F20"/>
        </w:rPr>
        <w:t>of</w:t>
      </w:r>
      <w:r>
        <w:rPr>
          <w:color w:val="231F20"/>
          <w:spacing w:val="-11"/>
        </w:rPr>
        <w:t xml:space="preserve"> </w:t>
      </w:r>
      <w:r>
        <w:rPr>
          <w:color w:val="231F20"/>
        </w:rPr>
        <w:t>the</w:t>
      </w:r>
      <w:r>
        <w:rPr>
          <w:color w:val="231F20"/>
          <w:spacing w:val="-11"/>
        </w:rPr>
        <w:t xml:space="preserve"> </w:t>
      </w:r>
      <w:r>
        <w:rPr>
          <w:color w:val="231F20"/>
        </w:rPr>
        <w:t>world’s</w:t>
      </w:r>
      <w:r>
        <w:rPr>
          <w:color w:val="231F20"/>
          <w:spacing w:val="-11"/>
        </w:rPr>
        <w:t xml:space="preserve"> </w:t>
      </w:r>
      <w:r>
        <w:rPr>
          <w:color w:val="231F20"/>
        </w:rPr>
        <w:t>premium</w:t>
      </w:r>
      <w:r>
        <w:rPr>
          <w:color w:val="231F20"/>
          <w:spacing w:val="-11"/>
        </w:rPr>
        <w:t xml:space="preserve"> </w:t>
      </w:r>
      <w:r>
        <w:rPr>
          <w:color w:val="231F20"/>
        </w:rPr>
        <w:t>ski</w:t>
      </w:r>
      <w:r>
        <w:rPr>
          <w:color w:val="231F20"/>
          <w:spacing w:val="-11"/>
        </w:rPr>
        <w:t xml:space="preserve"> </w:t>
      </w:r>
      <w:r>
        <w:rPr>
          <w:color w:val="231F20"/>
        </w:rPr>
        <w:t>and</w:t>
      </w:r>
      <w:r>
        <w:rPr>
          <w:color w:val="231F20"/>
          <w:spacing w:val="-11"/>
        </w:rPr>
        <w:t xml:space="preserve"> </w:t>
      </w:r>
      <w:r>
        <w:rPr>
          <w:color w:val="231F20"/>
        </w:rPr>
        <w:t xml:space="preserve">snowboarding </w:t>
      </w:r>
      <w:r>
        <w:rPr>
          <w:color w:val="231F20"/>
          <w:w w:val="95"/>
        </w:rPr>
        <w:t>destinations, the area has become a popular destination during the rest</w:t>
      </w:r>
      <w:r>
        <w:rPr>
          <w:color w:val="231F20"/>
          <w:spacing w:val="40"/>
        </w:rPr>
        <w:t xml:space="preserve"> </w:t>
      </w:r>
      <w:r>
        <w:rPr>
          <w:color w:val="231F20"/>
          <w:w w:val="95"/>
        </w:rPr>
        <w:t>of the year. While resor</w:t>
      </w:r>
      <w:r>
        <w:rPr>
          <w:color w:val="231F20"/>
          <w:w w:val="95"/>
        </w:rPr>
        <w:t xml:space="preserve">t operators invested in snow-making technology to extend the ski seasons into the late fall and early spring, they not only </w:t>
      </w:r>
      <w:r>
        <w:rPr>
          <w:color w:val="231F20"/>
        </w:rPr>
        <w:t>faced technical limitations associated with warm daily temperatures but they also had to deal with institutional constraints inclusi</w:t>
      </w:r>
      <w:r>
        <w:rPr>
          <w:color w:val="231F20"/>
        </w:rPr>
        <w:t>ve of societal</w:t>
      </w:r>
      <w:r>
        <w:rPr>
          <w:color w:val="231F20"/>
          <w:spacing w:val="-1"/>
        </w:rPr>
        <w:t xml:space="preserve"> </w:t>
      </w:r>
      <w:r>
        <w:rPr>
          <w:color w:val="231F20"/>
        </w:rPr>
        <w:t>traditions</w:t>
      </w:r>
      <w:r>
        <w:rPr>
          <w:color w:val="231F20"/>
          <w:spacing w:val="-1"/>
        </w:rPr>
        <w:t xml:space="preserve"> </w:t>
      </w:r>
      <w:r>
        <w:rPr>
          <w:color w:val="231F20"/>
        </w:rPr>
        <w:t>that</w:t>
      </w:r>
      <w:r>
        <w:rPr>
          <w:color w:val="231F20"/>
          <w:spacing w:val="-1"/>
        </w:rPr>
        <w:t xml:space="preserve"> </w:t>
      </w:r>
      <w:r>
        <w:rPr>
          <w:color w:val="231F20"/>
        </w:rPr>
        <w:t>see</w:t>
      </w:r>
      <w:r>
        <w:rPr>
          <w:color w:val="231F20"/>
          <w:spacing w:val="-1"/>
        </w:rPr>
        <w:t xml:space="preserve"> </w:t>
      </w:r>
      <w:r>
        <w:rPr>
          <w:color w:val="231F20"/>
        </w:rPr>
        <w:t>Canadians</w:t>
      </w:r>
      <w:r>
        <w:rPr>
          <w:color w:val="231F20"/>
          <w:spacing w:val="-1"/>
        </w:rPr>
        <w:t xml:space="preserve"> </w:t>
      </w:r>
      <w:r>
        <w:rPr>
          <w:color w:val="231F20"/>
        </w:rPr>
        <w:t>shift</w:t>
      </w:r>
      <w:r>
        <w:rPr>
          <w:color w:val="231F20"/>
          <w:spacing w:val="-1"/>
        </w:rPr>
        <w:t xml:space="preserve"> </w:t>
      </w:r>
      <w:r>
        <w:rPr>
          <w:color w:val="231F20"/>
        </w:rPr>
        <w:t>to</w:t>
      </w:r>
      <w:r>
        <w:rPr>
          <w:color w:val="231F20"/>
          <w:spacing w:val="-1"/>
        </w:rPr>
        <w:t xml:space="preserve"> </w:t>
      </w:r>
      <w:r>
        <w:rPr>
          <w:color w:val="231F20"/>
        </w:rPr>
        <w:t>summer</w:t>
      </w:r>
      <w:r>
        <w:rPr>
          <w:color w:val="231F20"/>
          <w:spacing w:val="-1"/>
        </w:rPr>
        <w:t xml:space="preserve"> </w:t>
      </w:r>
      <w:r>
        <w:rPr>
          <w:color w:val="231F20"/>
        </w:rPr>
        <w:t>activities</w:t>
      </w:r>
      <w:r>
        <w:rPr>
          <w:color w:val="231F20"/>
          <w:spacing w:val="-1"/>
        </w:rPr>
        <w:t xml:space="preserve"> </w:t>
      </w:r>
      <w:r>
        <w:rPr>
          <w:color w:val="231F20"/>
        </w:rPr>
        <w:t xml:space="preserve">when </w:t>
      </w:r>
      <w:r>
        <w:rPr>
          <w:color w:val="231F20"/>
          <w:w w:val="95"/>
        </w:rPr>
        <w:t xml:space="preserve">the temperatures in their home areas are warm. Notwithstanding good </w:t>
      </w:r>
      <w:r>
        <w:rPr>
          <w:color w:val="231F20"/>
        </w:rPr>
        <w:t>ski conditions in the early to late spring at Whistler, the Vancouver market</w:t>
      </w:r>
      <w:r>
        <w:rPr>
          <w:color w:val="231F20"/>
          <w:spacing w:val="-9"/>
        </w:rPr>
        <w:t xml:space="preserve"> </w:t>
      </w:r>
      <w:r>
        <w:rPr>
          <w:color w:val="231F20"/>
        </w:rPr>
        <w:t>was</w:t>
      </w:r>
      <w:r>
        <w:rPr>
          <w:color w:val="231F20"/>
          <w:spacing w:val="-9"/>
        </w:rPr>
        <w:t xml:space="preserve"> </w:t>
      </w:r>
      <w:r>
        <w:rPr>
          <w:color w:val="231F20"/>
        </w:rPr>
        <w:t>interested</w:t>
      </w:r>
      <w:r>
        <w:rPr>
          <w:color w:val="231F20"/>
          <w:spacing w:val="-9"/>
        </w:rPr>
        <w:t xml:space="preserve"> </w:t>
      </w:r>
      <w:r>
        <w:rPr>
          <w:color w:val="231F20"/>
        </w:rPr>
        <w:t>in</w:t>
      </w:r>
      <w:r>
        <w:rPr>
          <w:color w:val="231F20"/>
          <w:spacing w:val="-9"/>
        </w:rPr>
        <w:t xml:space="preserve"> </w:t>
      </w:r>
      <w:r>
        <w:rPr>
          <w:color w:val="231F20"/>
        </w:rPr>
        <w:t>summer</w:t>
      </w:r>
      <w:r>
        <w:rPr>
          <w:color w:val="231F20"/>
          <w:spacing w:val="-9"/>
        </w:rPr>
        <w:t xml:space="preserve"> </w:t>
      </w:r>
      <w:r>
        <w:rPr>
          <w:color w:val="231F20"/>
        </w:rPr>
        <w:t>activities.</w:t>
      </w:r>
      <w:r>
        <w:rPr>
          <w:color w:val="231F20"/>
          <w:spacing w:val="-9"/>
        </w:rPr>
        <w:t xml:space="preserve"> </w:t>
      </w:r>
      <w:r>
        <w:rPr>
          <w:color w:val="231F20"/>
        </w:rPr>
        <w:t>Adopting</w:t>
      </w:r>
      <w:r>
        <w:rPr>
          <w:color w:val="231F20"/>
          <w:spacing w:val="-9"/>
        </w:rPr>
        <w:t xml:space="preserve"> </w:t>
      </w:r>
      <w:r>
        <w:rPr>
          <w:color w:val="231F20"/>
        </w:rPr>
        <w:t>the</w:t>
      </w:r>
      <w:r>
        <w:rPr>
          <w:color w:val="231F20"/>
          <w:spacing w:val="-9"/>
        </w:rPr>
        <w:t xml:space="preserve"> </w:t>
      </w:r>
      <w:r>
        <w:rPr>
          <w:color w:val="231F20"/>
        </w:rPr>
        <w:t>adage</w:t>
      </w:r>
      <w:r>
        <w:rPr>
          <w:color w:val="231F20"/>
          <w:spacing w:val="-9"/>
        </w:rPr>
        <w:t xml:space="preserve"> </w:t>
      </w:r>
      <w:r>
        <w:rPr>
          <w:color w:val="231F20"/>
        </w:rPr>
        <w:t>that</w:t>
      </w:r>
      <w:r>
        <w:rPr>
          <w:color w:val="231F20"/>
          <w:spacing w:val="-9"/>
        </w:rPr>
        <w:t xml:space="preserve"> </w:t>
      </w:r>
      <w:r>
        <w:rPr>
          <w:color w:val="231F20"/>
        </w:rPr>
        <w:t xml:space="preserve">if </w:t>
      </w:r>
      <w:r>
        <w:rPr>
          <w:color w:val="231F20"/>
          <w:w w:val="95"/>
        </w:rPr>
        <w:t xml:space="preserve">you ‘can’t beat them then join them’, Whistler Blackcomb began hosting </w:t>
      </w:r>
      <w:r>
        <w:rPr>
          <w:color w:val="231F20"/>
        </w:rPr>
        <w:t>regular festivals throughout the summer, dev</w:t>
      </w:r>
      <w:r>
        <w:rPr>
          <w:color w:val="231F20"/>
        </w:rPr>
        <w:t xml:space="preserve">eloping world-class golf </w:t>
      </w:r>
      <w:r>
        <w:rPr>
          <w:color w:val="231F20"/>
          <w:w w:val="95"/>
        </w:rPr>
        <w:t xml:space="preserve">courses and building extensive cycling networks that took advantage of </w:t>
      </w:r>
      <w:r>
        <w:rPr>
          <w:color w:val="231F20"/>
        </w:rPr>
        <w:t>the</w:t>
      </w:r>
      <w:r>
        <w:rPr>
          <w:color w:val="231F20"/>
          <w:spacing w:val="-1"/>
        </w:rPr>
        <w:t xml:space="preserve"> </w:t>
      </w:r>
      <w:r>
        <w:rPr>
          <w:color w:val="231F20"/>
        </w:rPr>
        <w:t>beautiful</w:t>
      </w:r>
      <w:r>
        <w:rPr>
          <w:color w:val="231F20"/>
          <w:spacing w:val="-1"/>
        </w:rPr>
        <w:t xml:space="preserve"> </w:t>
      </w:r>
      <w:r>
        <w:rPr>
          <w:color w:val="231F20"/>
        </w:rPr>
        <w:t>mountain</w:t>
      </w:r>
      <w:r>
        <w:rPr>
          <w:color w:val="231F20"/>
          <w:spacing w:val="-1"/>
        </w:rPr>
        <w:t xml:space="preserve"> </w:t>
      </w:r>
      <w:r>
        <w:rPr>
          <w:color w:val="231F20"/>
        </w:rPr>
        <w:t>landscapes.</w:t>
      </w:r>
      <w:r>
        <w:rPr>
          <w:color w:val="231F20"/>
          <w:spacing w:val="-1"/>
        </w:rPr>
        <w:t xml:space="preserve"> </w:t>
      </w:r>
      <w:r>
        <w:rPr>
          <w:color w:val="231F20"/>
        </w:rPr>
        <w:t>The</w:t>
      </w:r>
      <w:r>
        <w:rPr>
          <w:color w:val="231F20"/>
          <w:spacing w:val="-1"/>
        </w:rPr>
        <w:t xml:space="preserve"> </w:t>
      </w:r>
      <w:r>
        <w:rPr>
          <w:color w:val="231F20"/>
        </w:rPr>
        <w:t>downhill</w:t>
      </w:r>
      <w:r>
        <w:rPr>
          <w:color w:val="231F20"/>
          <w:spacing w:val="-1"/>
        </w:rPr>
        <w:t xml:space="preserve"> </w:t>
      </w:r>
      <w:r>
        <w:rPr>
          <w:color w:val="231F20"/>
        </w:rPr>
        <w:t>cycle</w:t>
      </w:r>
      <w:r>
        <w:rPr>
          <w:color w:val="231F20"/>
          <w:spacing w:val="-1"/>
        </w:rPr>
        <w:t xml:space="preserve"> </w:t>
      </w:r>
      <w:r>
        <w:rPr>
          <w:color w:val="231F20"/>
        </w:rPr>
        <w:t>trails</w:t>
      </w:r>
      <w:r>
        <w:rPr>
          <w:color w:val="231F20"/>
          <w:spacing w:val="-1"/>
        </w:rPr>
        <w:t xml:space="preserve"> </w:t>
      </w:r>
      <w:r>
        <w:rPr>
          <w:color w:val="231F20"/>
        </w:rPr>
        <w:t>even</w:t>
      </w:r>
      <w:r>
        <w:rPr>
          <w:color w:val="231F20"/>
          <w:spacing w:val="-1"/>
        </w:rPr>
        <w:t xml:space="preserve"> </w:t>
      </w:r>
      <w:r>
        <w:rPr>
          <w:color w:val="231F20"/>
        </w:rPr>
        <w:t xml:space="preserve">use </w:t>
      </w:r>
      <w:r>
        <w:rPr>
          <w:color w:val="231F20"/>
          <w:w w:val="95"/>
        </w:rPr>
        <w:t xml:space="preserve">existing ski lift infrastructure and have made a major contribution to the </w:t>
      </w:r>
      <w:r>
        <w:rPr>
          <w:color w:val="231F20"/>
        </w:rPr>
        <w:t>area,</w:t>
      </w:r>
      <w:r>
        <w:rPr>
          <w:color w:val="231F20"/>
          <w:spacing w:val="-9"/>
        </w:rPr>
        <w:t xml:space="preserve"> </w:t>
      </w:r>
      <w:r>
        <w:rPr>
          <w:color w:val="231F20"/>
        </w:rPr>
        <w:t>becoming</w:t>
      </w:r>
      <w:r>
        <w:rPr>
          <w:color w:val="231F20"/>
          <w:spacing w:val="-9"/>
        </w:rPr>
        <w:t xml:space="preserve"> </w:t>
      </w:r>
      <w:r>
        <w:rPr>
          <w:color w:val="231F20"/>
        </w:rPr>
        <w:t>a</w:t>
      </w:r>
      <w:r>
        <w:rPr>
          <w:color w:val="231F20"/>
          <w:spacing w:val="-9"/>
        </w:rPr>
        <w:t xml:space="preserve"> </w:t>
      </w:r>
      <w:r>
        <w:rPr>
          <w:color w:val="231F20"/>
        </w:rPr>
        <w:t>mecca</w:t>
      </w:r>
      <w:r>
        <w:rPr>
          <w:color w:val="231F20"/>
          <w:spacing w:val="-9"/>
        </w:rPr>
        <w:t xml:space="preserve"> </w:t>
      </w:r>
      <w:r>
        <w:rPr>
          <w:color w:val="231F20"/>
        </w:rPr>
        <w:t>for</w:t>
      </w:r>
      <w:r>
        <w:rPr>
          <w:color w:val="231F20"/>
          <w:spacing w:val="-9"/>
        </w:rPr>
        <w:t xml:space="preserve"> </w:t>
      </w:r>
      <w:r>
        <w:rPr>
          <w:color w:val="231F20"/>
        </w:rPr>
        <w:t>warm</w:t>
      </w:r>
      <w:r>
        <w:rPr>
          <w:color w:val="231F20"/>
          <w:spacing w:val="-9"/>
        </w:rPr>
        <w:t xml:space="preserve"> </w:t>
      </w:r>
      <w:r>
        <w:rPr>
          <w:color w:val="231F20"/>
        </w:rPr>
        <w:t>weather</w:t>
      </w:r>
      <w:r>
        <w:rPr>
          <w:color w:val="231F20"/>
          <w:spacing w:val="-9"/>
        </w:rPr>
        <w:t xml:space="preserve"> </w:t>
      </w:r>
      <w:r>
        <w:rPr>
          <w:color w:val="231F20"/>
        </w:rPr>
        <w:t>adventure</w:t>
      </w:r>
      <w:r>
        <w:rPr>
          <w:color w:val="231F20"/>
          <w:spacing w:val="-9"/>
        </w:rPr>
        <w:t xml:space="preserve"> </w:t>
      </w:r>
      <w:r>
        <w:rPr>
          <w:color w:val="231F20"/>
        </w:rPr>
        <w:t>sports</w:t>
      </w:r>
      <w:r>
        <w:rPr>
          <w:color w:val="231F20"/>
          <w:spacing w:val="-9"/>
        </w:rPr>
        <w:t xml:space="preserve"> </w:t>
      </w:r>
      <w:r>
        <w:rPr>
          <w:color w:val="231F20"/>
        </w:rPr>
        <w:t>(Whistler Blackcomb, 2017).</w:t>
      </w:r>
    </w:p>
    <w:p w14:paraId="070698C1" w14:textId="77777777" w:rsidR="00AE0598" w:rsidRDefault="00AE0598">
      <w:pPr>
        <w:pStyle w:val="Corpodetexto"/>
        <w:spacing w:before="2"/>
        <w:rPr>
          <w:sz w:val="24"/>
        </w:rPr>
      </w:pPr>
    </w:p>
    <w:p w14:paraId="231ECC21" w14:textId="77777777" w:rsidR="00AE0598" w:rsidRDefault="0069255A">
      <w:pPr>
        <w:spacing w:before="1"/>
        <w:ind w:left="232"/>
        <w:jc w:val="both"/>
        <w:rPr>
          <w:rFonts w:ascii="Trebuchet MS"/>
          <w:sz w:val="20"/>
        </w:rPr>
      </w:pPr>
      <w:r>
        <w:rPr>
          <w:rFonts w:ascii="Trebuchet MS"/>
          <w:color w:val="231F20"/>
          <w:w w:val="105"/>
          <w:sz w:val="20"/>
        </w:rPr>
        <w:t>Key</w:t>
      </w:r>
      <w:r>
        <w:rPr>
          <w:rFonts w:ascii="Trebuchet MS"/>
          <w:color w:val="231F20"/>
          <w:spacing w:val="-11"/>
          <w:w w:val="105"/>
          <w:sz w:val="20"/>
        </w:rPr>
        <w:t xml:space="preserve"> </w:t>
      </w:r>
      <w:r>
        <w:rPr>
          <w:rFonts w:ascii="Trebuchet MS"/>
          <w:color w:val="231F20"/>
          <w:spacing w:val="-2"/>
          <w:w w:val="105"/>
          <w:sz w:val="20"/>
        </w:rPr>
        <w:t>Reading</w:t>
      </w:r>
    </w:p>
    <w:p w14:paraId="6F89C150" w14:textId="77777777" w:rsidR="00AE0598" w:rsidRDefault="0069255A">
      <w:pPr>
        <w:pStyle w:val="Corpodetexto"/>
        <w:spacing w:before="122" w:line="232" w:lineRule="auto"/>
        <w:ind w:left="232" w:right="241"/>
        <w:jc w:val="both"/>
      </w:pPr>
      <w:r>
        <w:rPr>
          <w:color w:val="231F20"/>
        </w:rPr>
        <w:t xml:space="preserve">Hudson, S. and Cross, P. (2005) Winter sports tourism destinations: </w:t>
      </w:r>
      <w:r>
        <w:rPr>
          <w:color w:val="231F20"/>
          <w:w w:val="95"/>
        </w:rPr>
        <w:t xml:space="preserve">Dealing with seasonality. In J. Higham (ed.) </w:t>
      </w:r>
      <w:r>
        <w:rPr>
          <w:i/>
          <w:color w:val="231F20"/>
          <w:w w:val="95"/>
        </w:rPr>
        <w:t xml:space="preserve">Sport Tourism Destinations </w:t>
      </w:r>
      <w:r>
        <w:rPr>
          <w:color w:val="231F20"/>
        </w:rPr>
        <w:t>(pp. 233–247). London: Elsevier Butterworth Heinemann.</w:t>
      </w:r>
    </w:p>
    <w:p w14:paraId="12CA042A" w14:textId="77777777" w:rsidR="00AE0598" w:rsidRDefault="0069255A">
      <w:pPr>
        <w:spacing w:before="3" w:line="232" w:lineRule="auto"/>
        <w:ind w:left="232" w:right="241" w:firstLine="320"/>
        <w:jc w:val="both"/>
        <w:rPr>
          <w:i/>
          <w:sz w:val="21"/>
        </w:rPr>
      </w:pPr>
      <w:r>
        <w:rPr>
          <w:i/>
          <w:color w:val="231F20"/>
          <w:sz w:val="21"/>
        </w:rPr>
        <w:t>Additional references cited in this case study are included in the reference list.</w:t>
      </w:r>
    </w:p>
    <w:p w14:paraId="6B0E7A86" w14:textId="77777777" w:rsidR="00AE0598" w:rsidRDefault="00AE0598">
      <w:pPr>
        <w:spacing w:line="232" w:lineRule="auto"/>
        <w:jc w:val="both"/>
        <w:rPr>
          <w:sz w:val="21"/>
        </w:rPr>
        <w:sectPr w:rsidR="00AE0598">
          <w:pgSz w:w="8850" w:h="13270"/>
          <w:pgMar w:top="720" w:right="1060" w:bottom="280" w:left="1080" w:header="720" w:footer="720" w:gutter="0"/>
          <w:cols w:space="720"/>
        </w:sectPr>
      </w:pPr>
    </w:p>
    <w:p w14:paraId="257F5A85" w14:textId="77777777" w:rsidR="00AE0598" w:rsidRDefault="0069255A">
      <w:pPr>
        <w:spacing w:before="87"/>
        <w:ind w:left="108"/>
        <w:rPr>
          <w:rFonts w:ascii="Trebuchet MS"/>
          <w:sz w:val="14"/>
        </w:rPr>
      </w:pPr>
      <w:r>
        <w:rPr>
          <w:rFonts w:ascii="Trebuchet MS"/>
          <w:color w:val="231F20"/>
          <w:w w:val="105"/>
          <w:sz w:val="14"/>
        </w:rPr>
        <w:lastRenderedPageBreak/>
        <w:t>194</w:t>
      </w:r>
      <w:r>
        <w:rPr>
          <w:rFonts w:ascii="Trebuchet MS"/>
          <w:color w:val="231F20"/>
          <w:spacing w:val="66"/>
          <w:w w:val="150"/>
          <w:sz w:val="14"/>
        </w:rPr>
        <w:t xml:space="preserve"> </w:t>
      </w:r>
      <w:r>
        <w:rPr>
          <w:rFonts w:ascii="Trebuchet MS"/>
          <w:color w:val="231F20"/>
          <w:w w:val="105"/>
          <w:sz w:val="14"/>
        </w:rPr>
        <w:t>Part</w:t>
      </w:r>
      <w:r>
        <w:rPr>
          <w:rFonts w:ascii="Trebuchet MS"/>
          <w:color w:val="231F20"/>
          <w:spacing w:val="-9"/>
          <w:w w:val="105"/>
          <w:sz w:val="14"/>
        </w:rPr>
        <w:t xml:space="preserve"> </w:t>
      </w:r>
      <w:r>
        <w:rPr>
          <w:rFonts w:ascii="Trebuchet MS"/>
          <w:color w:val="231F20"/>
          <w:w w:val="105"/>
          <w:sz w:val="14"/>
        </w:rPr>
        <w:t>4:</w:t>
      </w:r>
      <w:r>
        <w:rPr>
          <w:rFonts w:ascii="Trebuchet MS"/>
          <w:color w:val="231F20"/>
          <w:spacing w:val="-8"/>
          <w:w w:val="105"/>
          <w:sz w:val="14"/>
        </w:rPr>
        <w:t xml:space="preserve"> </w:t>
      </w:r>
      <w:r>
        <w:rPr>
          <w:rFonts w:ascii="Trebuchet MS"/>
          <w:color w:val="231F20"/>
          <w:w w:val="105"/>
          <w:sz w:val="14"/>
        </w:rPr>
        <w:t>Sport</w:t>
      </w:r>
      <w:r>
        <w:rPr>
          <w:rFonts w:ascii="Trebuchet MS"/>
          <w:color w:val="231F20"/>
          <w:spacing w:val="-9"/>
          <w:w w:val="105"/>
          <w:sz w:val="14"/>
        </w:rPr>
        <w:t xml:space="preserve"> </w:t>
      </w:r>
      <w:r>
        <w:rPr>
          <w:rFonts w:ascii="Trebuchet MS"/>
          <w:color w:val="231F20"/>
          <w:w w:val="105"/>
          <w:sz w:val="14"/>
        </w:rPr>
        <w:t>Tourism</w:t>
      </w:r>
      <w:r>
        <w:rPr>
          <w:rFonts w:ascii="Trebuchet MS"/>
          <w:color w:val="231F20"/>
          <w:spacing w:val="-9"/>
          <w:w w:val="105"/>
          <w:sz w:val="14"/>
        </w:rPr>
        <w:t xml:space="preserve"> </w:t>
      </w:r>
      <w:r>
        <w:rPr>
          <w:rFonts w:ascii="Trebuchet MS"/>
          <w:color w:val="231F20"/>
          <w:w w:val="105"/>
          <w:sz w:val="14"/>
        </w:rPr>
        <w:t>Development</w:t>
      </w:r>
      <w:r>
        <w:rPr>
          <w:rFonts w:ascii="Trebuchet MS"/>
          <w:color w:val="231F20"/>
          <w:spacing w:val="-9"/>
          <w:w w:val="105"/>
          <w:sz w:val="14"/>
        </w:rPr>
        <w:t xml:space="preserve"> </w:t>
      </w:r>
      <w:r>
        <w:rPr>
          <w:rFonts w:ascii="Trebuchet MS"/>
          <w:color w:val="231F20"/>
          <w:w w:val="105"/>
          <w:sz w:val="14"/>
        </w:rPr>
        <w:t>and</w:t>
      </w:r>
      <w:r>
        <w:rPr>
          <w:rFonts w:ascii="Trebuchet MS"/>
          <w:color w:val="231F20"/>
          <w:spacing w:val="-8"/>
          <w:w w:val="105"/>
          <w:sz w:val="14"/>
        </w:rPr>
        <w:t xml:space="preserve"> </w:t>
      </w:r>
      <w:r>
        <w:rPr>
          <w:rFonts w:ascii="Trebuchet MS"/>
          <w:color w:val="231F20"/>
          <w:spacing w:val="-4"/>
          <w:w w:val="105"/>
          <w:sz w:val="14"/>
        </w:rPr>
        <w:t>Time</w:t>
      </w:r>
    </w:p>
    <w:p w14:paraId="21C07344" w14:textId="77777777" w:rsidR="00AE0598" w:rsidRDefault="00AE0598">
      <w:pPr>
        <w:pStyle w:val="Corpodetexto"/>
        <w:rPr>
          <w:rFonts w:ascii="Trebuchet MS"/>
          <w:sz w:val="16"/>
        </w:rPr>
      </w:pPr>
    </w:p>
    <w:p w14:paraId="6F12AE19" w14:textId="77777777" w:rsidR="00AE0598" w:rsidRDefault="0069255A">
      <w:pPr>
        <w:pStyle w:val="Corpodetexto"/>
        <w:spacing w:before="118" w:line="232" w:lineRule="auto"/>
        <w:ind w:left="110" w:right="126" w:firstLine="320"/>
        <w:jc w:val="both"/>
      </w:pPr>
      <w:r>
        <w:rPr>
          <w:color w:val="231F20"/>
        </w:rPr>
        <w:t>Golf</w:t>
      </w:r>
      <w:r>
        <w:rPr>
          <w:color w:val="231F20"/>
          <w:spacing w:val="-11"/>
        </w:rPr>
        <w:t xml:space="preserve"> </w:t>
      </w:r>
      <w:r>
        <w:rPr>
          <w:color w:val="231F20"/>
        </w:rPr>
        <w:t>developments</w:t>
      </w:r>
      <w:r>
        <w:rPr>
          <w:color w:val="231F20"/>
          <w:spacing w:val="-11"/>
        </w:rPr>
        <w:t xml:space="preserve"> </w:t>
      </w:r>
      <w:r>
        <w:rPr>
          <w:color w:val="231F20"/>
        </w:rPr>
        <w:t>have</w:t>
      </w:r>
      <w:r>
        <w:rPr>
          <w:color w:val="231F20"/>
          <w:spacing w:val="-11"/>
        </w:rPr>
        <w:t xml:space="preserve"> </w:t>
      </w:r>
      <w:r>
        <w:rPr>
          <w:color w:val="231F20"/>
        </w:rPr>
        <w:t>also</w:t>
      </w:r>
      <w:r>
        <w:rPr>
          <w:color w:val="231F20"/>
          <w:spacing w:val="-11"/>
        </w:rPr>
        <w:t xml:space="preserve"> </w:t>
      </w:r>
      <w:r>
        <w:rPr>
          <w:color w:val="231F20"/>
        </w:rPr>
        <w:t>been</w:t>
      </w:r>
      <w:r>
        <w:rPr>
          <w:color w:val="231F20"/>
          <w:spacing w:val="-11"/>
        </w:rPr>
        <w:t xml:space="preserve"> </w:t>
      </w:r>
      <w:r>
        <w:rPr>
          <w:color w:val="231F20"/>
        </w:rPr>
        <w:t>used</w:t>
      </w:r>
      <w:r>
        <w:rPr>
          <w:color w:val="231F20"/>
          <w:spacing w:val="-11"/>
        </w:rPr>
        <w:t xml:space="preserve"> </w:t>
      </w:r>
      <w:r>
        <w:rPr>
          <w:color w:val="231F20"/>
        </w:rPr>
        <w:t>effectively</w:t>
      </w:r>
      <w:r>
        <w:rPr>
          <w:color w:val="231F20"/>
          <w:spacing w:val="-11"/>
        </w:rPr>
        <w:t xml:space="preserve"> </w:t>
      </w:r>
      <w:r>
        <w:rPr>
          <w:color w:val="231F20"/>
        </w:rPr>
        <w:t>to</w:t>
      </w:r>
      <w:r>
        <w:rPr>
          <w:color w:val="231F20"/>
          <w:spacing w:val="-11"/>
        </w:rPr>
        <w:t xml:space="preserve"> </w:t>
      </w:r>
      <w:r>
        <w:rPr>
          <w:color w:val="231F20"/>
        </w:rPr>
        <w:t>modify</w:t>
      </w:r>
      <w:r>
        <w:rPr>
          <w:color w:val="231F20"/>
          <w:spacing w:val="-11"/>
        </w:rPr>
        <w:t xml:space="preserve"> </w:t>
      </w:r>
      <w:r>
        <w:rPr>
          <w:color w:val="231F20"/>
        </w:rPr>
        <w:t xml:space="preserve">seasonal </w:t>
      </w:r>
      <w:r>
        <w:rPr>
          <w:color w:val="231F20"/>
          <w:w w:val="95"/>
        </w:rPr>
        <w:t xml:space="preserve">visitation in other tourism contexts. For example, Baum and Hagen (1999: 309) reported that Prince Edward Island, Canada, successfully developed </w:t>
      </w:r>
      <w:r>
        <w:rPr>
          <w:color w:val="231F20"/>
        </w:rPr>
        <w:t>golf tourism as a way to encourage visitation during the spring and fall. This w</w:t>
      </w:r>
      <w:r>
        <w:rPr>
          <w:color w:val="231F20"/>
        </w:rPr>
        <w:t>as done through a planned strategy that featured public and private</w:t>
      </w:r>
      <w:r>
        <w:rPr>
          <w:color w:val="231F20"/>
          <w:spacing w:val="-5"/>
        </w:rPr>
        <w:t xml:space="preserve"> </w:t>
      </w:r>
      <w:r>
        <w:rPr>
          <w:color w:val="231F20"/>
        </w:rPr>
        <w:t>sector</w:t>
      </w:r>
      <w:r>
        <w:rPr>
          <w:color w:val="231F20"/>
          <w:spacing w:val="-5"/>
        </w:rPr>
        <w:t xml:space="preserve"> </w:t>
      </w:r>
      <w:r>
        <w:rPr>
          <w:color w:val="231F20"/>
        </w:rPr>
        <w:t>investment</w:t>
      </w:r>
      <w:r>
        <w:rPr>
          <w:color w:val="231F20"/>
          <w:spacing w:val="-5"/>
        </w:rPr>
        <w:t xml:space="preserve"> </w:t>
      </w:r>
      <w:r>
        <w:rPr>
          <w:color w:val="231F20"/>
        </w:rPr>
        <w:t>and</w:t>
      </w:r>
      <w:r>
        <w:rPr>
          <w:color w:val="231F20"/>
          <w:spacing w:val="-5"/>
        </w:rPr>
        <w:t xml:space="preserve"> </w:t>
      </w:r>
      <w:r>
        <w:rPr>
          <w:color w:val="231F20"/>
        </w:rPr>
        <w:t>targeted</w:t>
      </w:r>
      <w:r>
        <w:rPr>
          <w:color w:val="231F20"/>
          <w:spacing w:val="-5"/>
        </w:rPr>
        <w:t xml:space="preserve"> </w:t>
      </w:r>
      <w:r>
        <w:rPr>
          <w:color w:val="231F20"/>
        </w:rPr>
        <w:t>promotions</w:t>
      </w:r>
      <w:r>
        <w:rPr>
          <w:color w:val="231F20"/>
          <w:spacing w:val="-5"/>
        </w:rPr>
        <w:t xml:space="preserve"> </w:t>
      </w:r>
      <w:r>
        <w:rPr>
          <w:color w:val="231F20"/>
        </w:rPr>
        <w:t>to</w:t>
      </w:r>
      <w:r>
        <w:rPr>
          <w:color w:val="231F20"/>
          <w:spacing w:val="-5"/>
        </w:rPr>
        <w:t xml:space="preserve"> </w:t>
      </w:r>
      <w:r>
        <w:rPr>
          <w:color w:val="231F20"/>
        </w:rPr>
        <w:t>senior</w:t>
      </w:r>
      <w:r>
        <w:rPr>
          <w:color w:val="231F20"/>
          <w:spacing w:val="-5"/>
        </w:rPr>
        <w:t xml:space="preserve"> </w:t>
      </w:r>
      <w:r>
        <w:rPr>
          <w:color w:val="231F20"/>
        </w:rPr>
        <w:t>and</w:t>
      </w:r>
      <w:r>
        <w:rPr>
          <w:color w:val="231F20"/>
          <w:spacing w:val="-5"/>
        </w:rPr>
        <w:t xml:space="preserve"> </w:t>
      </w:r>
      <w:r>
        <w:rPr>
          <w:color w:val="231F20"/>
        </w:rPr>
        <w:t xml:space="preserve">retired </w:t>
      </w:r>
      <w:r>
        <w:rPr>
          <w:color w:val="231F20"/>
          <w:w w:val="95"/>
        </w:rPr>
        <w:t>markets interested and able to visit during the shoulder seasons. On a more cautionary note, Garau-Vadell and Borja-Sole (20</w:t>
      </w:r>
      <w:r>
        <w:rPr>
          <w:color w:val="231F20"/>
          <w:w w:val="95"/>
        </w:rPr>
        <w:t xml:space="preserve">08) described the success </w:t>
      </w:r>
      <w:r>
        <w:rPr>
          <w:color w:val="231F20"/>
        </w:rPr>
        <w:t>of</w:t>
      </w:r>
      <w:r>
        <w:rPr>
          <w:color w:val="231F20"/>
          <w:spacing w:val="-9"/>
        </w:rPr>
        <w:t xml:space="preserve"> </w:t>
      </w:r>
      <w:r>
        <w:rPr>
          <w:color w:val="231F20"/>
        </w:rPr>
        <w:t>a</w:t>
      </w:r>
      <w:r>
        <w:rPr>
          <w:color w:val="231F20"/>
          <w:spacing w:val="-9"/>
        </w:rPr>
        <w:t xml:space="preserve"> </w:t>
      </w:r>
      <w:r>
        <w:rPr>
          <w:color w:val="231F20"/>
        </w:rPr>
        <w:t>similar</w:t>
      </w:r>
      <w:r>
        <w:rPr>
          <w:color w:val="231F20"/>
          <w:spacing w:val="-9"/>
        </w:rPr>
        <w:t xml:space="preserve"> </w:t>
      </w:r>
      <w:r>
        <w:rPr>
          <w:color w:val="231F20"/>
        </w:rPr>
        <w:t>strategy</w:t>
      </w:r>
      <w:r>
        <w:rPr>
          <w:color w:val="231F20"/>
          <w:spacing w:val="-9"/>
        </w:rPr>
        <w:t xml:space="preserve"> </w:t>
      </w:r>
      <w:r>
        <w:rPr>
          <w:color w:val="231F20"/>
        </w:rPr>
        <w:t>in</w:t>
      </w:r>
      <w:r>
        <w:rPr>
          <w:color w:val="231F20"/>
          <w:spacing w:val="-9"/>
        </w:rPr>
        <w:t xml:space="preserve"> </w:t>
      </w:r>
      <w:r>
        <w:rPr>
          <w:color w:val="231F20"/>
        </w:rPr>
        <w:t>Mallorca,</w:t>
      </w:r>
      <w:r>
        <w:rPr>
          <w:color w:val="231F20"/>
          <w:spacing w:val="-9"/>
        </w:rPr>
        <w:t xml:space="preserve"> </w:t>
      </w:r>
      <w:r>
        <w:rPr>
          <w:color w:val="231F20"/>
        </w:rPr>
        <w:t>Spain.</w:t>
      </w:r>
      <w:r>
        <w:rPr>
          <w:color w:val="231F20"/>
          <w:spacing w:val="-9"/>
        </w:rPr>
        <w:t xml:space="preserve"> </w:t>
      </w:r>
      <w:r>
        <w:rPr>
          <w:color w:val="231F20"/>
        </w:rPr>
        <w:t>However,</w:t>
      </w:r>
      <w:r>
        <w:rPr>
          <w:color w:val="231F20"/>
          <w:spacing w:val="-9"/>
        </w:rPr>
        <w:t xml:space="preserve"> </w:t>
      </w:r>
      <w:r>
        <w:rPr>
          <w:color w:val="231F20"/>
        </w:rPr>
        <w:t>their</w:t>
      </w:r>
      <w:r>
        <w:rPr>
          <w:color w:val="231F20"/>
          <w:spacing w:val="-9"/>
        </w:rPr>
        <w:t xml:space="preserve"> </w:t>
      </w:r>
      <w:r>
        <w:rPr>
          <w:color w:val="231F20"/>
        </w:rPr>
        <w:t>longitudinal</w:t>
      </w:r>
      <w:r>
        <w:rPr>
          <w:color w:val="231F20"/>
          <w:spacing w:val="-9"/>
        </w:rPr>
        <w:t xml:space="preserve"> </w:t>
      </w:r>
      <w:r>
        <w:rPr>
          <w:color w:val="231F20"/>
        </w:rPr>
        <w:t xml:space="preserve">study found that the growth rate for golf has slowed, the use of tour packages inclusive of hotel bookings has declined and marketing channels have </w:t>
      </w:r>
      <w:r>
        <w:rPr>
          <w:color w:val="231F20"/>
          <w:w w:val="95"/>
        </w:rPr>
        <w:t>shifted from</w:t>
      </w:r>
      <w:r>
        <w:rPr>
          <w:color w:val="231F20"/>
          <w:w w:val="95"/>
        </w:rPr>
        <w:t xml:space="preserve"> traditional sources to internet-based practices. Their findings </w:t>
      </w:r>
      <w:r>
        <w:rPr>
          <w:color w:val="231F20"/>
        </w:rPr>
        <w:t xml:space="preserve">highlight the fact that individual sports are dynamic and may fall in and out of popularity (see Chapter 10). This dynamic suggests that careful </w:t>
      </w:r>
      <w:r>
        <w:rPr>
          <w:color w:val="231F20"/>
          <w:w w:val="95"/>
        </w:rPr>
        <w:t>assessment of a sport facility diversification</w:t>
      </w:r>
      <w:r>
        <w:rPr>
          <w:color w:val="231F20"/>
          <w:w w:val="95"/>
        </w:rPr>
        <w:t xml:space="preserve"> strategy is required, especially </w:t>
      </w:r>
      <w:r>
        <w:rPr>
          <w:color w:val="231F20"/>
        </w:rPr>
        <w:t xml:space="preserve">in the case of peripheral destinations, to verify that an adequate return </w:t>
      </w:r>
      <w:r>
        <w:rPr>
          <w:color w:val="231F20"/>
          <w:w w:val="95"/>
        </w:rPr>
        <w:t>on investment will be achieved. The lower costs of product diversification through a new events strategy explain the popularity of this approach ove</w:t>
      </w:r>
      <w:r>
        <w:rPr>
          <w:color w:val="231F20"/>
          <w:w w:val="95"/>
        </w:rPr>
        <w:t>r more capital-intensive redevelopment strategies.</w:t>
      </w:r>
    </w:p>
    <w:p w14:paraId="3AADF057" w14:textId="77777777" w:rsidR="00AE0598" w:rsidRDefault="0069255A">
      <w:pPr>
        <w:pStyle w:val="Corpodetexto"/>
        <w:spacing w:before="23" w:line="232" w:lineRule="auto"/>
        <w:ind w:left="110" w:right="126" w:firstLine="320"/>
        <w:jc w:val="both"/>
      </w:pPr>
      <w:r>
        <w:rPr>
          <w:color w:val="231F20"/>
        </w:rPr>
        <w:t>The demand side of these strategies includes accessing new but complementary market segments (Cannas, 2012; Koenig-Lewis &amp; Bischoff,</w:t>
      </w:r>
      <w:r>
        <w:rPr>
          <w:color w:val="231F20"/>
          <w:spacing w:val="31"/>
        </w:rPr>
        <w:t xml:space="preserve"> </w:t>
      </w:r>
      <w:r>
        <w:rPr>
          <w:color w:val="231F20"/>
        </w:rPr>
        <w:t>2005).</w:t>
      </w:r>
      <w:r>
        <w:rPr>
          <w:color w:val="231F20"/>
          <w:spacing w:val="31"/>
        </w:rPr>
        <w:t xml:space="preserve"> </w:t>
      </w:r>
      <w:r>
        <w:rPr>
          <w:color w:val="231F20"/>
        </w:rPr>
        <w:t>In</w:t>
      </w:r>
      <w:r>
        <w:rPr>
          <w:color w:val="231F20"/>
          <w:spacing w:val="31"/>
        </w:rPr>
        <w:t xml:space="preserve"> </w:t>
      </w:r>
      <w:r>
        <w:rPr>
          <w:color w:val="231F20"/>
        </w:rPr>
        <w:t>a</w:t>
      </w:r>
      <w:r>
        <w:rPr>
          <w:color w:val="231F20"/>
          <w:spacing w:val="31"/>
        </w:rPr>
        <w:t xml:space="preserve"> </w:t>
      </w:r>
      <w:r>
        <w:rPr>
          <w:color w:val="231F20"/>
        </w:rPr>
        <w:t>tourism</w:t>
      </w:r>
      <w:r>
        <w:rPr>
          <w:color w:val="231F20"/>
          <w:spacing w:val="31"/>
        </w:rPr>
        <w:t xml:space="preserve"> </w:t>
      </w:r>
      <w:r>
        <w:rPr>
          <w:color w:val="231F20"/>
        </w:rPr>
        <w:t>seasonality</w:t>
      </w:r>
      <w:r>
        <w:rPr>
          <w:color w:val="231F20"/>
          <w:spacing w:val="31"/>
        </w:rPr>
        <w:t xml:space="preserve"> </w:t>
      </w:r>
      <w:r>
        <w:rPr>
          <w:color w:val="231F20"/>
        </w:rPr>
        <w:t>context,</w:t>
      </w:r>
      <w:r>
        <w:rPr>
          <w:color w:val="231F20"/>
          <w:spacing w:val="31"/>
        </w:rPr>
        <w:t xml:space="preserve"> </w:t>
      </w:r>
      <w:r>
        <w:rPr>
          <w:color w:val="231F20"/>
        </w:rPr>
        <w:t>there</w:t>
      </w:r>
      <w:r>
        <w:rPr>
          <w:color w:val="231F20"/>
          <w:spacing w:val="31"/>
        </w:rPr>
        <w:t xml:space="preserve"> </w:t>
      </w:r>
      <w:r>
        <w:rPr>
          <w:color w:val="231F20"/>
        </w:rPr>
        <w:t>are</w:t>
      </w:r>
      <w:r>
        <w:rPr>
          <w:color w:val="231F20"/>
          <w:spacing w:val="31"/>
        </w:rPr>
        <w:t xml:space="preserve"> </w:t>
      </w:r>
      <w:r>
        <w:rPr>
          <w:color w:val="231F20"/>
        </w:rPr>
        <w:t>a</w:t>
      </w:r>
      <w:r>
        <w:rPr>
          <w:color w:val="231F20"/>
          <w:spacing w:val="31"/>
        </w:rPr>
        <w:t xml:space="preserve"> </w:t>
      </w:r>
      <w:r>
        <w:rPr>
          <w:color w:val="231F20"/>
        </w:rPr>
        <w:t>number of market se</w:t>
      </w:r>
      <w:r>
        <w:rPr>
          <w:color w:val="231F20"/>
        </w:rPr>
        <w:t xml:space="preserve">gments that are traditionally recognised as having fewer constraints relating to the timing of travel. These groups include senior </w:t>
      </w:r>
      <w:r>
        <w:rPr>
          <w:color w:val="231F20"/>
          <w:w w:val="95"/>
        </w:rPr>
        <w:t>citizens, conference delegates, incentive travellers, empty nesters, affinity groups and special interest tourists (Baum &amp; Hagen, 1999). Another form</w:t>
      </w:r>
      <w:r>
        <w:rPr>
          <w:color w:val="231F20"/>
          <w:spacing w:val="80"/>
        </w:rPr>
        <w:t xml:space="preserve"> </w:t>
      </w:r>
      <w:r>
        <w:rPr>
          <w:color w:val="231F20"/>
          <w:w w:val="95"/>
        </w:rPr>
        <w:t xml:space="preserve">of market diversification addresses the institutional constraints that sport </w:t>
      </w:r>
      <w:r>
        <w:rPr>
          <w:color w:val="231F20"/>
        </w:rPr>
        <w:t>markets</w:t>
      </w:r>
      <w:r>
        <w:rPr>
          <w:color w:val="231F20"/>
          <w:spacing w:val="-6"/>
        </w:rPr>
        <w:t xml:space="preserve"> </w:t>
      </w:r>
      <w:r>
        <w:rPr>
          <w:color w:val="231F20"/>
        </w:rPr>
        <w:t>face</w:t>
      </w:r>
      <w:r>
        <w:rPr>
          <w:color w:val="231F20"/>
          <w:spacing w:val="-6"/>
        </w:rPr>
        <w:t xml:space="preserve"> </w:t>
      </w:r>
      <w:r>
        <w:rPr>
          <w:color w:val="231F20"/>
        </w:rPr>
        <w:t>at</w:t>
      </w:r>
      <w:r>
        <w:rPr>
          <w:color w:val="231F20"/>
          <w:spacing w:val="-6"/>
        </w:rPr>
        <w:t xml:space="preserve"> </w:t>
      </w:r>
      <w:r>
        <w:rPr>
          <w:color w:val="231F20"/>
        </w:rPr>
        <w:t>different</w:t>
      </w:r>
      <w:r>
        <w:rPr>
          <w:color w:val="231F20"/>
          <w:spacing w:val="-6"/>
        </w:rPr>
        <w:t xml:space="preserve"> </w:t>
      </w:r>
      <w:r>
        <w:rPr>
          <w:color w:val="231F20"/>
        </w:rPr>
        <w:t>tim</w:t>
      </w:r>
      <w:r>
        <w:rPr>
          <w:color w:val="231F20"/>
        </w:rPr>
        <w:t>es</w:t>
      </w:r>
      <w:r>
        <w:rPr>
          <w:color w:val="231F20"/>
          <w:spacing w:val="-6"/>
        </w:rPr>
        <w:t xml:space="preserve"> </w:t>
      </w:r>
      <w:r>
        <w:rPr>
          <w:color w:val="231F20"/>
        </w:rPr>
        <w:t>of</w:t>
      </w:r>
      <w:r>
        <w:rPr>
          <w:color w:val="231F20"/>
          <w:spacing w:val="-6"/>
        </w:rPr>
        <w:t xml:space="preserve"> </w:t>
      </w:r>
      <w:r>
        <w:rPr>
          <w:color w:val="231F20"/>
        </w:rPr>
        <w:t>the</w:t>
      </w:r>
      <w:r>
        <w:rPr>
          <w:color w:val="231F20"/>
          <w:spacing w:val="-6"/>
        </w:rPr>
        <w:t xml:space="preserve"> </w:t>
      </w:r>
      <w:r>
        <w:rPr>
          <w:color w:val="231F20"/>
        </w:rPr>
        <w:t>year.</w:t>
      </w:r>
      <w:r>
        <w:rPr>
          <w:color w:val="231F20"/>
          <w:spacing w:val="-6"/>
        </w:rPr>
        <w:t xml:space="preserve"> </w:t>
      </w:r>
      <w:r>
        <w:rPr>
          <w:color w:val="231F20"/>
        </w:rPr>
        <w:t>A</w:t>
      </w:r>
      <w:r>
        <w:rPr>
          <w:color w:val="231F20"/>
          <w:spacing w:val="-6"/>
        </w:rPr>
        <w:t xml:space="preserve"> </w:t>
      </w:r>
      <w:r>
        <w:rPr>
          <w:color w:val="231F20"/>
        </w:rPr>
        <w:t>good</w:t>
      </w:r>
      <w:r>
        <w:rPr>
          <w:color w:val="231F20"/>
          <w:spacing w:val="-6"/>
        </w:rPr>
        <w:t xml:space="preserve"> </w:t>
      </w:r>
      <w:r>
        <w:rPr>
          <w:color w:val="231F20"/>
        </w:rPr>
        <w:t>example</w:t>
      </w:r>
      <w:r>
        <w:rPr>
          <w:color w:val="231F20"/>
          <w:spacing w:val="-6"/>
        </w:rPr>
        <w:t xml:space="preserve"> </w:t>
      </w:r>
      <w:r>
        <w:rPr>
          <w:color w:val="231F20"/>
        </w:rPr>
        <w:t>of</w:t>
      </w:r>
      <w:r>
        <w:rPr>
          <w:color w:val="231F20"/>
          <w:spacing w:val="-6"/>
        </w:rPr>
        <w:t xml:space="preserve"> </w:t>
      </w:r>
      <w:r>
        <w:rPr>
          <w:color w:val="231F20"/>
        </w:rPr>
        <w:t>this</w:t>
      </w:r>
      <w:r>
        <w:rPr>
          <w:color w:val="231F20"/>
          <w:spacing w:val="-6"/>
        </w:rPr>
        <w:t xml:space="preserve"> </w:t>
      </w:r>
      <w:r>
        <w:rPr>
          <w:color w:val="231F20"/>
        </w:rPr>
        <w:t>type</w:t>
      </w:r>
      <w:r>
        <w:rPr>
          <w:color w:val="231F20"/>
          <w:spacing w:val="-6"/>
        </w:rPr>
        <w:t xml:space="preserve"> </w:t>
      </w:r>
      <w:r>
        <w:rPr>
          <w:color w:val="231F20"/>
        </w:rPr>
        <w:t>of approach</w:t>
      </w:r>
      <w:r>
        <w:rPr>
          <w:color w:val="231F20"/>
          <w:spacing w:val="-1"/>
        </w:rPr>
        <w:t xml:space="preserve"> </w:t>
      </w:r>
      <w:r>
        <w:rPr>
          <w:color w:val="231F20"/>
        </w:rPr>
        <w:t>to</w:t>
      </w:r>
      <w:r>
        <w:rPr>
          <w:color w:val="231F20"/>
          <w:spacing w:val="-1"/>
        </w:rPr>
        <w:t xml:space="preserve"> </w:t>
      </w:r>
      <w:r>
        <w:rPr>
          <w:color w:val="231F20"/>
        </w:rPr>
        <w:t>the</w:t>
      </w:r>
      <w:r>
        <w:rPr>
          <w:color w:val="231F20"/>
          <w:spacing w:val="-1"/>
        </w:rPr>
        <w:t xml:space="preserve"> </w:t>
      </w:r>
      <w:r>
        <w:rPr>
          <w:color w:val="231F20"/>
        </w:rPr>
        <w:t>resolution</w:t>
      </w:r>
      <w:r>
        <w:rPr>
          <w:color w:val="231F20"/>
          <w:spacing w:val="-1"/>
        </w:rPr>
        <w:t xml:space="preserve"> </w:t>
      </w:r>
      <w:r>
        <w:rPr>
          <w:color w:val="231F20"/>
        </w:rPr>
        <w:t>of</w:t>
      </w:r>
      <w:r>
        <w:rPr>
          <w:color w:val="231F20"/>
          <w:spacing w:val="-1"/>
        </w:rPr>
        <w:t xml:space="preserve"> </w:t>
      </w:r>
      <w:r>
        <w:rPr>
          <w:color w:val="231F20"/>
        </w:rPr>
        <w:t>a</w:t>
      </w:r>
      <w:r>
        <w:rPr>
          <w:color w:val="231F20"/>
          <w:spacing w:val="-1"/>
        </w:rPr>
        <w:t xml:space="preserve"> </w:t>
      </w:r>
      <w:r>
        <w:rPr>
          <w:color w:val="231F20"/>
        </w:rPr>
        <w:t>seasonal</w:t>
      </w:r>
      <w:r>
        <w:rPr>
          <w:color w:val="231F20"/>
          <w:spacing w:val="-1"/>
        </w:rPr>
        <w:t xml:space="preserve"> </w:t>
      </w:r>
      <w:r>
        <w:rPr>
          <w:color w:val="231F20"/>
        </w:rPr>
        <w:t>visitation</w:t>
      </w:r>
      <w:r>
        <w:rPr>
          <w:color w:val="231F20"/>
          <w:spacing w:val="-1"/>
        </w:rPr>
        <w:t xml:space="preserve"> </w:t>
      </w:r>
      <w:r>
        <w:rPr>
          <w:color w:val="231F20"/>
        </w:rPr>
        <w:t>problem</w:t>
      </w:r>
      <w:r>
        <w:rPr>
          <w:color w:val="231F20"/>
          <w:spacing w:val="-1"/>
        </w:rPr>
        <w:t xml:space="preserve"> </w:t>
      </w:r>
      <w:r>
        <w:rPr>
          <w:color w:val="231F20"/>
        </w:rPr>
        <w:t>is</w:t>
      </w:r>
      <w:r>
        <w:rPr>
          <w:color w:val="231F20"/>
          <w:spacing w:val="-1"/>
        </w:rPr>
        <w:t xml:space="preserve"> </w:t>
      </w:r>
      <w:r>
        <w:rPr>
          <w:color w:val="231F20"/>
        </w:rPr>
        <w:t>illustrated by</w:t>
      </w:r>
      <w:r>
        <w:rPr>
          <w:color w:val="231F20"/>
          <w:spacing w:val="-9"/>
        </w:rPr>
        <w:t xml:space="preserve"> </w:t>
      </w:r>
      <w:r>
        <w:rPr>
          <w:color w:val="231F20"/>
        </w:rPr>
        <w:t>Eurocamp’s</w:t>
      </w:r>
      <w:r>
        <w:rPr>
          <w:color w:val="231F20"/>
          <w:spacing w:val="-9"/>
        </w:rPr>
        <w:t xml:space="preserve"> </w:t>
      </w:r>
      <w:r>
        <w:rPr>
          <w:color w:val="231F20"/>
        </w:rPr>
        <w:t>use</w:t>
      </w:r>
      <w:r>
        <w:rPr>
          <w:color w:val="231F20"/>
          <w:spacing w:val="-9"/>
        </w:rPr>
        <w:t xml:space="preserve"> </w:t>
      </w:r>
      <w:r>
        <w:rPr>
          <w:color w:val="231F20"/>
        </w:rPr>
        <w:t>of</w:t>
      </w:r>
      <w:r>
        <w:rPr>
          <w:color w:val="231F20"/>
          <w:spacing w:val="-9"/>
        </w:rPr>
        <w:t xml:space="preserve"> </w:t>
      </w:r>
      <w:r>
        <w:rPr>
          <w:color w:val="231F20"/>
        </w:rPr>
        <w:t>geographic</w:t>
      </w:r>
      <w:r>
        <w:rPr>
          <w:color w:val="231F20"/>
          <w:spacing w:val="-9"/>
        </w:rPr>
        <w:t xml:space="preserve"> </w:t>
      </w:r>
      <w:r>
        <w:rPr>
          <w:color w:val="231F20"/>
        </w:rPr>
        <w:t>market</w:t>
      </w:r>
      <w:r>
        <w:rPr>
          <w:color w:val="231F20"/>
          <w:spacing w:val="-9"/>
        </w:rPr>
        <w:t xml:space="preserve"> </w:t>
      </w:r>
      <w:r>
        <w:rPr>
          <w:color w:val="231F20"/>
        </w:rPr>
        <w:t>segmentation</w:t>
      </w:r>
      <w:r>
        <w:rPr>
          <w:color w:val="231F20"/>
          <w:spacing w:val="-9"/>
        </w:rPr>
        <w:t xml:space="preserve"> </w:t>
      </w:r>
      <w:r>
        <w:rPr>
          <w:color w:val="231F20"/>
        </w:rPr>
        <w:t>(Klemm</w:t>
      </w:r>
      <w:r>
        <w:rPr>
          <w:color w:val="231F20"/>
          <w:spacing w:val="-9"/>
        </w:rPr>
        <w:t xml:space="preserve"> </w:t>
      </w:r>
      <w:r>
        <w:rPr>
          <w:color w:val="231F20"/>
        </w:rPr>
        <w:t>&amp;</w:t>
      </w:r>
      <w:r>
        <w:rPr>
          <w:color w:val="231F20"/>
          <w:spacing w:val="-9"/>
        </w:rPr>
        <w:t xml:space="preserve"> </w:t>
      </w:r>
      <w:r>
        <w:rPr>
          <w:color w:val="231F20"/>
        </w:rPr>
        <w:t>Rawel, 2001).</w:t>
      </w:r>
      <w:r>
        <w:rPr>
          <w:color w:val="231F20"/>
          <w:spacing w:val="-9"/>
        </w:rPr>
        <w:t xml:space="preserve"> </w:t>
      </w:r>
      <w:r>
        <w:rPr>
          <w:color w:val="231F20"/>
        </w:rPr>
        <w:t>Eurocamp</w:t>
      </w:r>
      <w:r>
        <w:rPr>
          <w:color w:val="231F20"/>
          <w:spacing w:val="-9"/>
        </w:rPr>
        <w:t xml:space="preserve"> </w:t>
      </w:r>
      <w:r>
        <w:rPr>
          <w:color w:val="231F20"/>
        </w:rPr>
        <w:t>specialises</w:t>
      </w:r>
      <w:r>
        <w:rPr>
          <w:color w:val="231F20"/>
          <w:spacing w:val="-9"/>
        </w:rPr>
        <w:t xml:space="preserve"> </w:t>
      </w:r>
      <w:r>
        <w:rPr>
          <w:color w:val="231F20"/>
        </w:rPr>
        <w:t>in</w:t>
      </w:r>
      <w:r>
        <w:rPr>
          <w:color w:val="231F20"/>
          <w:spacing w:val="-9"/>
        </w:rPr>
        <w:t xml:space="preserve"> </w:t>
      </w:r>
      <w:r>
        <w:rPr>
          <w:color w:val="231F20"/>
        </w:rPr>
        <w:t>self-drive</w:t>
      </w:r>
      <w:r>
        <w:rPr>
          <w:color w:val="231F20"/>
          <w:spacing w:val="-9"/>
        </w:rPr>
        <w:t xml:space="preserve"> </w:t>
      </w:r>
      <w:r>
        <w:rPr>
          <w:color w:val="231F20"/>
        </w:rPr>
        <w:t>holidays</w:t>
      </w:r>
      <w:r>
        <w:rPr>
          <w:color w:val="231F20"/>
          <w:spacing w:val="-9"/>
        </w:rPr>
        <w:t xml:space="preserve"> </w:t>
      </w:r>
      <w:r>
        <w:rPr>
          <w:color w:val="231F20"/>
        </w:rPr>
        <w:t>in</w:t>
      </w:r>
      <w:r>
        <w:rPr>
          <w:color w:val="231F20"/>
          <w:spacing w:val="-9"/>
        </w:rPr>
        <w:t xml:space="preserve"> </w:t>
      </w:r>
      <w:r>
        <w:rPr>
          <w:color w:val="231F20"/>
        </w:rPr>
        <w:t>Europe</w:t>
      </w:r>
      <w:r>
        <w:rPr>
          <w:color w:val="231F20"/>
          <w:spacing w:val="-9"/>
        </w:rPr>
        <w:t xml:space="preserve"> </w:t>
      </w:r>
      <w:r>
        <w:rPr>
          <w:color w:val="231F20"/>
        </w:rPr>
        <w:t>that</w:t>
      </w:r>
      <w:r>
        <w:rPr>
          <w:color w:val="231F20"/>
          <w:spacing w:val="-9"/>
        </w:rPr>
        <w:t xml:space="preserve"> </w:t>
      </w:r>
      <w:r>
        <w:rPr>
          <w:color w:val="231F20"/>
        </w:rPr>
        <w:t xml:space="preserve">feature </w:t>
      </w:r>
      <w:r>
        <w:rPr>
          <w:color w:val="231F20"/>
          <w:w w:val="95"/>
        </w:rPr>
        <w:t xml:space="preserve">active sporting amenities at campgrounds en route. Initially, the company </w:t>
      </w:r>
      <w:r>
        <w:rPr>
          <w:color w:val="231F20"/>
        </w:rPr>
        <w:t>targeted British families but due to the institutional constraint of school holidays, bookings were concentrated in August. A conscious strategy</w:t>
      </w:r>
      <w:r>
        <w:rPr>
          <w:color w:val="231F20"/>
          <w:spacing w:val="80"/>
        </w:rPr>
        <w:t xml:space="preserve"> </w:t>
      </w:r>
      <w:r>
        <w:rPr>
          <w:color w:val="231F20"/>
        </w:rPr>
        <w:t xml:space="preserve">to promote their product to </w:t>
      </w:r>
      <w:r>
        <w:rPr>
          <w:color w:val="231F20"/>
        </w:rPr>
        <w:t>other European countries that had different school holiday periods was successfully pursued over a 15-year period. The outcome of the market diversification strategy was consistent, with stable visitor flows from May to September rather than the single hig</w:t>
      </w:r>
      <w:r>
        <w:rPr>
          <w:color w:val="231F20"/>
        </w:rPr>
        <w:t xml:space="preserve">h season month of August. Jang (2004) proposed a variation of a market diversification strategy through the application of financial portfolio </w:t>
      </w:r>
      <w:r>
        <w:rPr>
          <w:color w:val="231F20"/>
          <w:w w:val="95"/>
        </w:rPr>
        <w:t xml:space="preserve">theory. He argued that marketers should select a mix of tourism segments </w:t>
      </w:r>
      <w:r>
        <w:rPr>
          <w:color w:val="231F20"/>
        </w:rPr>
        <w:t>that</w:t>
      </w:r>
      <w:r>
        <w:rPr>
          <w:color w:val="231F20"/>
          <w:spacing w:val="-7"/>
        </w:rPr>
        <w:t xml:space="preserve"> </w:t>
      </w:r>
      <w:r>
        <w:rPr>
          <w:color w:val="231F20"/>
        </w:rPr>
        <w:t>fall</w:t>
      </w:r>
      <w:r>
        <w:rPr>
          <w:color w:val="231F20"/>
          <w:spacing w:val="-7"/>
        </w:rPr>
        <w:t xml:space="preserve"> </w:t>
      </w:r>
      <w:r>
        <w:rPr>
          <w:color w:val="231F20"/>
        </w:rPr>
        <w:t>along</w:t>
      </w:r>
      <w:r>
        <w:rPr>
          <w:color w:val="231F20"/>
          <w:spacing w:val="-7"/>
        </w:rPr>
        <w:t xml:space="preserve"> </w:t>
      </w:r>
      <w:r>
        <w:rPr>
          <w:color w:val="231F20"/>
        </w:rPr>
        <w:t>a</w:t>
      </w:r>
      <w:r>
        <w:rPr>
          <w:color w:val="231F20"/>
          <w:spacing w:val="-7"/>
        </w:rPr>
        <w:t xml:space="preserve"> </w:t>
      </w:r>
      <w:r>
        <w:rPr>
          <w:color w:val="231F20"/>
        </w:rPr>
        <w:t>Seasonal</w:t>
      </w:r>
      <w:r>
        <w:rPr>
          <w:color w:val="231F20"/>
          <w:spacing w:val="-7"/>
        </w:rPr>
        <w:t xml:space="preserve"> </w:t>
      </w:r>
      <w:r>
        <w:rPr>
          <w:color w:val="231F20"/>
        </w:rPr>
        <w:t>Demand</w:t>
      </w:r>
      <w:r>
        <w:rPr>
          <w:color w:val="231F20"/>
          <w:spacing w:val="-7"/>
        </w:rPr>
        <w:t xml:space="preserve"> </w:t>
      </w:r>
      <w:r>
        <w:rPr>
          <w:color w:val="231F20"/>
        </w:rPr>
        <w:t>Effici</w:t>
      </w:r>
      <w:r>
        <w:rPr>
          <w:color w:val="231F20"/>
        </w:rPr>
        <w:t>ent</w:t>
      </w:r>
      <w:r>
        <w:rPr>
          <w:color w:val="231F20"/>
          <w:spacing w:val="-7"/>
        </w:rPr>
        <w:t xml:space="preserve"> </w:t>
      </w:r>
      <w:r>
        <w:rPr>
          <w:color w:val="231F20"/>
        </w:rPr>
        <w:t>Frontier</w:t>
      </w:r>
      <w:r>
        <w:rPr>
          <w:color w:val="231F20"/>
          <w:spacing w:val="-7"/>
        </w:rPr>
        <w:t xml:space="preserve"> </w:t>
      </w:r>
      <w:r>
        <w:rPr>
          <w:color w:val="231F20"/>
        </w:rPr>
        <w:t>given</w:t>
      </w:r>
      <w:r>
        <w:rPr>
          <w:color w:val="231F20"/>
          <w:spacing w:val="-7"/>
        </w:rPr>
        <w:t xml:space="preserve"> </w:t>
      </w:r>
      <w:r>
        <w:rPr>
          <w:color w:val="231F20"/>
        </w:rPr>
        <w:t>a</w:t>
      </w:r>
      <w:r>
        <w:rPr>
          <w:color w:val="231F20"/>
          <w:spacing w:val="-7"/>
        </w:rPr>
        <w:t xml:space="preserve"> </w:t>
      </w:r>
      <w:r>
        <w:rPr>
          <w:color w:val="231F20"/>
        </w:rPr>
        <w:t xml:space="preserve">demand–risk </w:t>
      </w:r>
      <w:r>
        <w:rPr>
          <w:color w:val="231F20"/>
          <w:w w:val="95"/>
        </w:rPr>
        <w:t xml:space="preserve">target. At the very least, destination marketers should identify the strategic </w:t>
      </w:r>
      <w:r>
        <w:rPr>
          <w:color w:val="231F20"/>
        </w:rPr>
        <w:t>priorities in terms of these segments.</w:t>
      </w:r>
    </w:p>
    <w:p w14:paraId="3DEA0BCD" w14:textId="77777777" w:rsidR="00AE0598" w:rsidRDefault="00AE0598">
      <w:pPr>
        <w:spacing w:line="232" w:lineRule="auto"/>
        <w:jc w:val="both"/>
        <w:sectPr w:rsidR="00AE0598">
          <w:pgSz w:w="8850" w:h="13270"/>
          <w:pgMar w:top="720" w:right="1060" w:bottom="280" w:left="1080" w:header="720" w:footer="720" w:gutter="0"/>
          <w:cols w:space="720"/>
        </w:sectPr>
      </w:pPr>
    </w:p>
    <w:p w14:paraId="56D39B47" w14:textId="77777777" w:rsidR="00AE0598" w:rsidRDefault="0069255A">
      <w:pPr>
        <w:spacing w:before="87"/>
        <w:ind w:left="4213"/>
        <w:rPr>
          <w:rFonts w:ascii="Trebuchet MS"/>
          <w:sz w:val="14"/>
        </w:rPr>
      </w:pPr>
      <w:r>
        <w:rPr>
          <w:rFonts w:ascii="Trebuchet MS"/>
          <w:color w:val="231F20"/>
          <w:w w:val="105"/>
          <w:sz w:val="14"/>
        </w:rPr>
        <w:lastRenderedPageBreak/>
        <w:t>Seasonality,</w:t>
      </w:r>
      <w:r>
        <w:rPr>
          <w:rFonts w:ascii="Trebuchet MS"/>
          <w:color w:val="231F20"/>
          <w:spacing w:val="-12"/>
          <w:w w:val="105"/>
          <w:sz w:val="14"/>
        </w:rPr>
        <w:t xml:space="preserve"> </w:t>
      </w:r>
      <w:r>
        <w:rPr>
          <w:rFonts w:ascii="Trebuchet MS"/>
          <w:color w:val="231F20"/>
          <w:w w:val="105"/>
          <w:sz w:val="14"/>
        </w:rPr>
        <w:t>Sport</w:t>
      </w:r>
      <w:r>
        <w:rPr>
          <w:rFonts w:ascii="Trebuchet MS"/>
          <w:color w:val="231F20"/>
          <w:spacing w:val="-11"/>
          <w:w w:val="105"/>
          <w:sz w:val="14"/>
        </w:rPr>
        <w:t xml:space="preserve"> </w:t>
      </w:r>
      <w:r>
        <w:rPr>
          <w:rFonts w:ascii="Trebuchet MS"/>
          <w:color w:val="231F20"/>
          <w:w w:val="105"/>
          <w:sz w:val="14"/>
        </w:rPr>
        <w:t>and</w:t>
      </w:r>
      <w:r>
        <w:rPr>
          <w:rFonts w:ascii="Trebuchet MS"/>
          <w:color w:val="231F20"/>
          <w:spacing w:val="-11"/>
          <w:w w:val="105"/>
          <w:sz w:val="14"/>
        </w:rPr>
        <w:t xml:space="preserve"> </w:t>
      </w:r>
      <w:r>
        <w:rPr>
          <w:rFonts w:ascii="Trebuchet MS"/>
          <w:color w:val="231F20"/>
          <w:w w:val="105"/>
          <w:sz w:val="14"/>
        </w:rPr>
        <w:t>Tourism</w:t>
      </w:r>
      <w:r>
        <w:rPr>
          <w:rFonts w:ascii="Trebuchet MS"/>
          <w:color w:val="231F20"/>
          <w:spacing w:val="60"/>
          <w:w w:val="105"/>
          <w:sz w:val="14"/>
        </w:rPr>
        <w:t xml:space="preserve"> </w:t>
      </w:r>
      <w:r>
        <w:rPr>
          <w:rFonts w:ascii="Trebuchet MS"/>
          <w:color w:val="231F20"/>
          <w:spacing w:val="-5"/>
          <w:w w:val="105"/>
          <w:sz w:val="14"/>
        </w:rPr>
        <w:t>195</w:t>
      </w:r>
    </w:p>
    <w:p w14:paraId="0EF8CA8A" w14:textId="77777777" w:rsidR="00AE0598" w:rsidRDefault="00AE0598">
      <w:pPr>
        <w:pStyle w:val="Corpodetexto"/>
        <w:rPr>
          <w:rFonts w:ascii="Trebuchet MS"/>
          <w:sz w:val="16"/>
        </w:rPr>
      </w:pPr>
    </w:p>
    <w:p w14:paraId="797EB824" w14:textId="77777777" w:rsidR="00AE0598" w:rsidRDefault="0069255A">
      <w:pPr>
        <w:pStyle w:val="Corpodetexto"/>
        <w:spacing w:before="118" w:line="232" w:lineRule="auto"/>
        <w:ind w:left="110" w:right="123" w:firstLine="320"/>
        <w:jc w:val="both"/>
      </w:pPr>
      <w:r>
        <w:rPr>
          <w:color w:val="231F20"/>
        </w:rPr>
        <w:t>The second set of strategies for addressing the challen</w:t>
      </w:r>
      <w:r>
        <w:rPr>
          <w:color w:val="231F20"/>
        </w:rPr>
        <w:t>ges of tourism seasonality</w:t>
      </w:r>
      <w:r>
        <w:rPr>
          <w:color w:val="231F20"/>
          <w:spacing w:val="40"/>
        </w:rPr>
        <w:t xml:space="preserve"> </w:t>
      </w:r>
      <w:r>
        <w:rPr>
          <w:color w:val="231F20"/>
        </w:rPr>
        <w:t>aim</w:t>
      </w:r>
      <w:r>
        <w:rPr>
          <w:color w:val="231F20"/>
          <w:spacing w:val="40"/>
        </w:rPr>
        <w:t xml:space="preserve"> </w:t>
      </w:r>
      <w:r>
        <w:rPr>
          <w:color w:val="231F20"/>
        </w:rPr>
        <w:t>to</w:t>
      </w:r>
      <w:r>
        <w:rPr>
          <w:color w:val="231F20"/>
          <w:spacing w:val="40"/>
        </w:rPr>
        <w:t xml:space="preserve"> </w:t>
      </w:r>
      <w:r>
        <w:rPr>
          <w:i/>
          <w:color w:val="231F20"/>
        </w:rPr>
        <w:t>reduce</w:t>
      </w:r>
      <w:r>
        <w:rPr>
          <w:i/>
          <w:color w:val="231F20"/>
          <w:spacing w:val="40"/>
        </w:rPr>
        <w:t xml:space="preserve"> </w:t>
      </w:r>
      <w:r>
        <w:rPr>
          <w:i/>
          <w:color w:val="231F20"/>
        </w:rPr>
        <w:t>visitation</w:t>
      </w:r>
      <w:r>
        <w:rPr>
          <w:i/>
          <w:color w:val="231F20"/>
          <w:spacing w:val="40"/>
        </w:rPr>
        <w:t xml:space="preserve"> </w:t>
      </w:r>
      <w:r>
        <w:rPr>
          <w:i/>
          <w:color w:val="231F20"/>
        </w:rPr>
        <w:t>during</w:t>
      </w:r>
      <w:r>
        <w:rPr>
          <w:i/>
          <w:color w:val="231F20"/>
          <w:spacing w:val="40"/>
        </w:rPr>
        <w:t xml:space="preserve"> </w:t>
      </w:r>
      <w:r>
        <w:rPr>
          <w:i/>
          <w:color w:val="231F20"/>
        </w:rPr>
        <w:t>the</w:t>
      </w:r>
      <w:r>
        <w:rPr>
          <w:i/>
          <w:color w:val="231F20"/>
          <w:spacing w:val="40"/>
        </w:rPr>
        <w:t xml:space="preserve"> </w:t>
      </w:r>
      <w:r>
        <w:rPr>
          <w:i/>
          <w:color w:val="231F20"/>
        </w:rPr>
        <w:t>peak</w:t>
      </w:r>
      <w:r>
        <w:rPr>
          <w:i/>
          <w:color w:val="231F20"/>
          <w:spacing w:val="40"/>
        </w:rPr>
        <w:t xml:space="preserve"> </w:t>
      </w:r>
      <w:r>
        <w:rPr>
          <w:i/>
          <w:color w:val="231F20"/>
        </w:rPr>
        <w:t>season</w:t>
      </w:r>
      <w:r>
        <w:rPr>
          <w:i/>
          <w:color w:val="231F20"/>
          <w:spacing w:val="40"/>
        </w:rPr>
        <w:t xml:space="preserve"> </w:t>
      </w:r>
      <w:r>
        <w:rPr>
          <w:color w:val="231F20"/>
        </w:rPr>
        <w:t>and</w:t>
      </w:r>
      <w:r>
        <w:rPr>
          <w:color w:val="231F20"/>
          <w:spacing w:val="40"/>
        </w:rPr>
        <w:t xml:space="preserve"> </w:t>
      </w:r>
      <w:r>
        <w:rPr>
          <w:color w:val="231F20"/>
        </w:rPr>
        <w:t xml:space="preserve">can be as simple as increasing prices or restricting access to publicly owned attractions (Cannas, 2012; Koenig-Lewis &amp; Bischoff, 2005). To a large </w:t>
      </w:r>
      <w:r>
        <w:rPr>
          <w:color w:val="231F20"/>
          <w:w w:val="95"/>
        </w:rPr>
        <w:t>extent, the market will respond to excess demand in the short term with an increase in prices. In destinatio</w:t>
      </w:r>
      <w:r>
        <w:rPr>
          <w:color w:val="231F20"/>
          <w:w w:val="95"/>
        </w:rPr>
        <w:t xml:space="preserve">ns where local carrying capacities are being exceeded during the peak season, it is important that development controls are in place to limit the entry of new suppliers. This has been accomplished </w:t>
      </w:r>
      <w:r>
        <w:rPr>
          <w:color w:val="231F20"/>
        </w:rPr>
        <w:t>in Canadian Rocky Mountain National Parks by strictly contr</w:t>
      </w:r>
      <w:r>
        <w:rPr>
          <w:color w:val="231F20"/>
        </w:rPr>
        <w:t xml:space="preserve">olling the </w:t>
      </w:r>
      <w:r>
        <w:rPr>
          <w:color w:val="231F20"/>
          <w:w w:val="95"/>
        </w:rPr>
        <w:t xml:space="preserve">capacity of accommodation stock and services that are available to tourists (Ritchie, 1999). From a sport perspective, an active policy to not host major sporting events during peak visitation periods and to limit access to sport infrastructure </w:t>
      </w:r>
      <w:r>
        <w:rPr>
          <w:color w:val="231F20"/>
          <w:w w:val="95"/>
        </w:rPr>
        <w:t xml:space="preserve">such as secured recreational areas during the peak season </w:t>
      </w:r>
      <w:r>
        <w:rPr>
          <w:color w:val="231F20"/>
        </w:rPr>
        <w:t>will contribute to this strategy. The modification of institutional factors such</w:t>
      </w:r>
      <w:r>
        <w:rPr>
          <w:color w:val="231F20"/>
          <w:spacing w:val="-12"/>
        </w:rPr>
        <w:t xml:space="preserve"> </w:t>
      </w:r>
      <w:r>
        <w:rPr>
          <w:color w:val="231F20"/>
        </w:rPr>
        <w:t>as</w:t>
      </w:r>
      <w:r>
        <w:rPr>
          <w:color w:val="231F20"/>
          <w:spacing w:val="-12"/>
        </w:rPr>
        <w:t xml:space="preserve"> </w:t>
      </w:r>
      <w:r>
        <w:rPr>
          <w:color w:val="231F20"/>
        </w:rPr>
        <w:t>distributing</w:t>
      </w:r>
      <w:r>
        <w:rPr>
          <w:color w:val="231F20"/>
          <w:spacing w:val="-11"/>
        </w:rPr>
        <w:t xml:space="preserve"> </w:t>
      </w:r>
      <w:r>
        <w:rPr>
          <w:color w:val="231F20"/>
        </w:rPr>
        <w:t>school</w:t>
      </w:r>
      <w:r>
        <w:rPr>
          <w:color w:val="231F20"/>
          <w:spacing w:val="-12"/>
        </w:rPr>
        <w:t xml:space="preserve"> </w:t>
      </w:r>
      <w:r>
        <w:rPr>
          <w:color w:val="231F20"/>
        </w:rPr>
        <w:t>holidays</w:t>
      </w:r>
      <w:r>
        <w:rPr>
          <w:color w:val="231F20"/>
          <w:spacing w:val="-11"/>
        </w:rPr>
        <w:t xml:space="preserve"> </w:t>
      </w:r>
      <w:r>
        <w:rPr>
          <w:color w:val="231F20"/>
        </w:rPr>
        <w:t>more</w:t>
      </w:r>
      <w:r>
        <w:rPr>
          <w:color w:val="231F20"/>
          <w:spacing w:val="-12"/>
        </w:rPr>
        <w:t xml:space="preserve"> </w:t>
      </w:r>
      <w:r>
        <w:rPr>
          <w:color w:val="231F20"/>
        </w:rPr>
        <w:t>evenly</w:t>
      </w:r>
      <w:r>
        <w:rPr>
          <w:color w:val="231F20"/>
          <w:spacing w:val="-11"/>
        </w:rPr>
        <w:t xml:space="preserve"> </w:t>
      </w:r>
      <w:r>
        <w:rPr>
          <w:color w:val="231F20"/>
        </w:rPr>
        <w:t>throughout</w:t>
      </w:r>
      <w:r>
        <w:rPr>
          <w:color w:val="231F20"/>
          <w:spacing w:val="-12"/>
        </w:rPr>
        <w:t xml:space="preserve"> </w:t>
      </w:r>
      <w:r>
        <w:rPr>
          <w:color w:val="231F20"/>
        </w:rPr>
        <w:t>the</w:t>
      </w:r>
      <w:r>
        <w:rPr>
          <w:color w:val="231F20"/>
          <w:spacing w:val="-12"/>
        </w:rPr>
        <w:t xml:space="preserve"> </w:t>
      </w:r>
      <w:r>
        <w:rPr>
          <w:color w:val="231F20"/>
        </w:rPr>
        <w:t>year</w:t>
      </w:r>
      <w:r>
        <w:rPr>
          <w:color w:val="231F20"/>
          <w:spacing w:val="-11"/>
        </w:rPr>
        <w:t xml:space="preserve"> </w:t>
      </w:r>
      <w:r>
        <w:rPr>
          <w:color w:val="231F20"/>
        </w:rPr>
        <w:t xml:space="preserve">can </w:t>
      </w:r>
      <w:r>
        <w:rPr>
          <w:color w:val="231F20"/>
          <w:w w:val="95"/>
        </w:rPr>
        <w:t>also be pursued (Cannas, 2012). Similarly, tradit</w:t>
      </w:r>
      <w:r>
        <w:rPr>
          <w:color w:val="231F20"/>
          <w:w w:val="95"/>
        </w:rPr>
        <w:t xml:space="preserve">ional sport seasons can be </w:t>
      </w:r>
      <w:r>
        <w:rPr>
          <w:color w:val="231F20"/>
        </w:rPr>
        <w:t>adjusted.</w:t>
      </w:r>
      <w:r>
        <w:rPr>
          <w:color w:val="231F20"/>
          <w:spacing w:val="-7"/>
        </w:rPr>
        <w:t xml:space="preserve"> </w:t>
      </w:r>
      <w:r>
        <w:rPr>
          <w:color w:val="231F20"/>
        </w:rPr>
        <w:t>While</w:t>
      </w:r>
      <w:r>
        <w:rPr>
          <w:color w:val="231F20"/>
          <w:spacing w:val="-7"/>
        </w:rPr>
        <w:t xml:space="preserve"> </w:t>
      </w:r>
      <w:r>
        <w:rPr>
          <w:color w:val="231F20"/>
        </w:rPr>
        <w:t>many</w:t>
      </w:r>
      <w:r>
        <w:rPr>
          <w:color w:val="231F20"/>
          <w:spacing w:val="-7"/>
        </w:rPr>
        <w:t xml:space="preserve"> </w:t>
      </w:r>
      <w:r>
        <w:rPr>
          <w:color w:val="231F20"/>
        </w:rPr>
        <w:t>of</w:t>
      </w:r>
      <w:r>
        <w:rPr>
          <w:color w:val="231F20"/>
          <w:spacing w:val="-7"/>
        </w:rPr>
        <w:t xml:space="preserve"> </w:t>
      </w:r>
      <w:r>
        <w:rPr>
          <w:color w:val="231F20"/>
        </w:rPr>
        <w:t>these</w:t>
      </w:r>
      <w:r>
        <w:rPr>
          <w:color w:val="231F20"/>
          <w:spacing w:val="-7"/>
        </w:rPr>
        <w:t xml:space="preserve"> </w:t>
      </w:r>
      <w:r>
        <w:rPr>
          <w:color w:val="231F20"/>
        </w:rPr>
        <w:t>types</w:t>
      </w:r>
      <w:r>
        <w:rPr>
          <w:color w:val="231F20"/>
          <w:spacing w:val="-7"/>
        </w:rPr>
        <w:t xml:space="preserve"> </w:t>
      </w:r>
      <w:r>
        <w:rPr>
          <w:color w:val="231F20"/>
        </w:rPr>
        <w:t>of</w:t>
      </w:r>
      <w:r>
        <w:rPr>
          <w:color w:val="231F20"/>
          <w:spacing w:val="-7"/>
        </w:rPr>
        <w:t xml:space="preserve"> </w:t>
      </w:r>
      <w:r>
        <w:rPr>
          <w:color w:val="231F20"/>
        </w:rPr>
        <w:t>adjustments</w:t>
      </w:r>
      <w:r>
        <w:rPr>
          <w:color w:val="231F20"/>
          <w:spacing w:val="-7"/>
        </w:rPr>
        <w:t xml:space="preserve"> </w:t>
      </w:r>
      <w:r>
        <w:rPr>
          <w:color w:val="231F20"/>
        </w:rPr>
        <w:t>must</w:t>
      </w:r>
      <w:r>
        <w:rPr>
          <w:color w:val="231F20"/>
          <w:spacing w:val="-7"/>
        </w:rPr>
        <w:t xml:space="preserve"> </w:t>
      </w:r>
      <w:r>
        <w:rPr>
          <w:color w:val="231F20"/>
        </w:rPr>
        <w:t>come</w:t>
      </w:r>
      <w:r>
        <w:rPr>
          <w:color w:val="231F20"/>
          <w:spacing w:val="-7"/>
        </w:rPr>
        <w:t xml:space="preserve"> </w:t>
      </w:r>
      <w:r>
        <w:rPr>
          <w:color w:val="231F20"/>
        </w:rPr>
        <w:t>at</w:t>
      </w:r>
      <w:r>
        <w:rPr>
          <w:color w:val="231F20"/>
          <w:spacing w:val="-7"/>
        </w:rPr>
        <w:t xml:space="preserve"> </w:t>
      </w:r>
      <w:r>
        <w:rPr>
          <w:color w:val="231F20"/>
        </w:rPr>
        <w:t>a</w:t>
      </w:r>
      <w:r>
        <w:rPr>
          <w:color w:val="231F20"/>
          <w:spacing w:val="-7"/>
        </w:rPr>
        <w:t xml:space="preserve"> </w:t>
      </w:r>
      <w:r>
        <w:rPr>
          <w:color w:val="231F20"/>
        </w:rPr>
        <w:t>state, national</w:t>
      </w:r>
      <w:r>
        <w:rPr>
          <w:color w:val="231F20"/>
          <w:spacing w:val="-3"/>
        </w:rPr>
        <w:t xml:space="preserve"> </w:t>
      </w:r>
      <w:r>
        <w:rPr>
          <w:color w:val="231F20"/>
        </w:rPr>
        <w:t>or</w:t>
      </w:r>
      <w:r>
        <w:rPr>
          <w:color w:val="231F20"/>
          <w:spacing w:val="-3"/>
        </w:rPr>
        <w:t xml:space="preserve"> </w:t>
      </w:r>
      <w:r>
        <w:rPr>
          <w:color w:val="231F20"/>
        </w:rPr>
        <w:t>even</w:t>
      </w:r>
      <w:r>
        <w:rPr>
          <w:color w:val="231F20"/>
          <w:spacing w:val="-3"/>
        </w:rPr>
        <w:t xml:space="preserve"> </w:t>
      </w:r>
      <w:r>
        <w:rPr>
          <w:color w:val="231F20"/>
        </w:rPr>
        <w:t>international</w:t>
      </w:r>
      <w:r>
        <w:rPr>
          <w:color w:val="231F20"/>
          <w:spacing w:val="-3"/>
        </w:rPr>
        <w:t xml:space="preserve"> </w:t>
      </w:r>
      <w:r>
        <w:rPr>
          <w:color w:val="231F20"/>
        </w:rPr>
        <w:t>level</w:t>
      </w:r>
      <w:r>
        <w:rPr>
          <w:color w:val="231F20"/>
          <w:spacing w:val="-3"/>
        </w:rPr>
        <w:t xml:space="preserve"> </w:t>
      </w:r>
      <w:r>
        <w:rPr>
          <w:color w:val="231F20"/>
        </w:rPr>
        <w:t>that</w:t>
      </w:r>
      <w:r>
        <w:rPr>
          <w:color w:val="231F20"/>
          <w:spacing w:val="-3"/>
        </w:rPr>
        <w:t xml:space="preserve"> </w:t>
      </w:r>
      <w:r>
        <w:rPr>
          <w:color w:val="231F20"/>
        </w:rPr>
        <w:t>is</w:t>
      </w:r>
      <w:r>
        <w:rPr>
          <w:color w:val="231F20"/>
          <w:spacing w:val="-3"/>
        </w:rPr>
        <w:t xml:space="preserve"> </w:t>
      </w:r>
      <w:r>
        <w:rPr>
          <w:color w:val="231F20"/>
        </w:rPr>
        <w:t>beyond</w:t>
      </w:r>
      <w:r>
        <w:rPr>
          <w:color w:val="231F20"/>
          <w:spacing w:val="-3"/>
        </w:rPr>
        <w:t xml:space="preserve"> </w:t>
      </w:r>
      <w:r>
        <w:rPr>
          <w:color w:val="231F20"/>
        </w:rPr>
        <w:t>the</w:t>
      </w:r>
      <w:r>
        <w:rPr>
          <w:color w:val="231F20"/>
          <w:spacing w:val="-3"/>
        </w:rPr>
        <w:t xml:space="preserve"> </w:t>
      </w:r>
      <w:r>
        <w:rPr>
          <w:color w:val="231F20"/>
        </w:rPr>
        <w:t>direct</w:t>
      </w:r>
      <w:r>
        <w:rPr>
          <w:color w:val="231F20"/>
          <w:spacing w:val="-3"/>
        </w:rPr>
        <w:t xml:space="preserve"> </w:t>
      </w:r>
      <w:r>
        <w:rPr>
          <w:color w:val="231F20"/>
        </w:rPr>
        <w:t>influence</w:t>
      </w:r>
      <w:r>
        <w:rPr>
          <w:color w:val="231F20"/>
          <w:spacing w:val="-3"/>
        </w:rPr>
        <w:t xml:space="preserve"> </w:t>
      </w:r>
      <w:r>
        <w:rPr>
          <w:color w:val="231F20"/>
        </w:rPr>
        <w:t>of destination managers, other strategies can be pursued at a local level. For example, the local destination can position itself as a training site</w:t>
      </w:r>
      <w:r>
        <w:rPr>
          <w:color w:val="231F20"/>
          <w:spacing w:val="40"/>
        </w:rPr>
        <w:t xml:space="preserve"> </w:t>
      </w:r>
      <w:r>
        <w:rPr>
          <w:color w:val="231F20"/>
        </w:rPr>
        <w:t>for</w:t>
      </w:r>
      <w:r>
        <w:rPr>
          <w:color w:val="231F20"/>
          <w:spacing w:val="-5"/>
        </w:rPr>
        <w:t xml:space="preserve"> </w:t>
      </w:r>
      <w:r>
        <w:rPr>
          <w:color w:val="231F20"/>
        </w:rPr>
        <w:t>selected</w:t>
      </w:r>
      <w:r>
        <w:rPr>
          <w:color w:val="231F20"/>
          <w:spacing w:val="-5"/>
        </w:rPr>
        <w:t xml:space="preserve"> </w:t>
      </w:r>
      <w:r>
        <w:rPr>
          <w:color w:val="231F20"/>
        </w:rPr>
        <w:t>sports</w:t>
      </w:r>
      <w:r>
        <w:rPr>
          <w:color w:val="231F20"/>
          <w:spacing w:val="-5"/>
        </w:rPr>
        <w:t xml:space="preserve"> </w:t>
      </w:r>
      <w:r>
        <w:rPr>
          <w:color w:val="231F20"/>
        </w:rPr>
        <w:t>outside</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normal</w:t>
      </w:r>
      <w:r>
        <w:rPr>
          <w:color w:val="231F20"/>
          <w:spacing w:val="-5"/>
        </w:rPr>
        <w:t xml:space="preserve"> </w:t>
      </w:r>
      <w:r>
        <w:rPr>
          <w:color w:val="231F20"/>
        </w:rPr>
        <w:t>tourist</w:t>
      </w:r>
      <w:r>
        <w:rPr>
          <w:color w:val="231F20"/>
          <w:spacing w:val="-5"/>
        </w:rPr>
        <w:t xml:space="preserve"> </w:t>
      </w:r>
      <w:r>
        <w:rPr>
          <w:color w:val="231F20"/>
        </w:rPr>
        <w:t>high</w:t>
      </w:r>
      <w:r>
        <w:rPr>
          <w:color w:val="231F20"/>
          <w:spacing w:val="-5"/>
        </w:rPr>
        <w:t xml:space="preserve"> </w:t>
      </w:r>
      <w:r>
        <w:rPr>
          <w:color w:val="231F20"/>
        </w:rPr>
        <w:t>season</w:t>
      </w:r>
      <w:r>
        <w:rPr>
          <w:color w:val="231F20"/>
          <w:spacing w:val="-5"/>
        </w:rPr>
        <w:t xml:space="preserve"> </w:t>
      </w:r>
      <w:r>
        <w:rPr>
          <w:color w:val="231F20"/>
        </w:rPr>
        <w:t xml:space="preserve">(Yamaguchi </w:t>
      </w:r>
      <w:r>
        <w:rPr>
          <w:i/>
          <w:color w:val="231F20"/>
        </w:rPr>
        <w:t>et al</w:t>
      </w:r>
      <w:r>
        <w:rPr>
          <w:color w:val="231F20"/>
        </w:rPr>
        <w:t>., 2015).</w:t>
      </w:r>
    </w:p>
    <w:p w14:paraId="0D6B3D22" w14:textId="77777777" w:rsidR="00AE0598" w:rsidRDefault="0069255A">
      <w:pPr>
        <w:pStyle w:val="Corpodetexto"/>
        <w:spacing w:before="26" w:line="232" w:lineRule="auto"/>
        <w:ind w:left="110" w:right="127" w:firstLine="320"/>
        <w:jc w:val="both"/>
      </w:pPr>
      <w:r>
        <w:rPr>
          <w:color w:val="231F20"/>
        </w:rPr>
        <w:t>Finally,</w:t>
      </w:r>
      <w:r>
        <w:rPr>
          <w:color w:val="231F20"/>
          <w:spacing w:val="-10"/>
        </w:rPr>
        <w:t xml:space="preserve"> </w:t>
      </w:r>
      <w:r>
        <w:rPr>
          <w:color w:val="231F20"/>
        </w:rPr>
        <w:t>the</w:t>
      </w:r>
      <w:r>
        <w:rPr>
          <w:color w:val="231F20"/>
          <w:spacing w:val="-10"/>
        </w:rPr>
        <w:t xml:space="preserve"> </w:t>
      </w:r>
      <w:r>
        <w:rPr>
          <w:color w:val="231F20"/>
        </w:rPr>
        <w:t>third</w:t>
      </w:r>
      <w:r>
        <w:rPr>
          <w:color w:val="231F20"/>
          <w:spacing w:val="-10"/>
        </w:rPr>
        <w:t xml:space="preserve"> </w:t>
      </w:r>
      <w:r>
        <w:rPr>
          <w:color w:val="231F20"/>
        </w:rPr>
        <w:t>set</w:t>
      </w:r>
      <w:r>
        <w:rPr>
          <w:color w:val="231F20"/>
          <w:spacing w:val="-10"/>
        </w:rPr>
        <w:t xml:space="preserve"> </w:t>
      </w:r>
      <w:r>
        <w:rPr>
          <w:color w:val="231F20"/>
        </w:rPr>
        <w:t>of</w:t>
      </w:r>
      <w:r>
        <w:rPr>
          <w:color w:val="231F20"/>
          <w:spacing w:val="-10"/>
        </w:rPr>
        <w:t xml:space="preserve"> </w:t>
      </w:r>
      <w:r>
        <w:rPr>
          <w:color w:val="231F20"/>
        </w:rPr>
        <w:t>strategies</w:t>
      </w:r>
      <w:r>
        <w:rPr>
          <w:color w:val="231F20"/>
          <w:spacing w:val="-10"/>
        </w:rPr>
        <w:t xml:space="preserve"> </w:t>
      </w:r>
      <w:r>
        <w:rPr>
          <w:color w:val="231F20"/>
        </w:rPr>
        <w:t>to</w:t>
      </w:r>
      <w:r>
        <w:rPr>
          <w:color w:val="231F20"/>
          <w:spacing w:val="-10"/>
        </w:rPr>
        <w:t xml:space="preserve"> </w:t>
      </w:r>
      <w:r>
        <w:rPr>
          <w:color w:val="231F20"/>
        </w:rPr>
        <w:t>address</w:t>
      </w:r>
      <w:r>
        <w:rPr>
          <w:color w:val="231F20"/>
          <w:spacing w:val="-10"/>
        </w:rPr>
        <w:t xml:space="preserve"> </w:t>
      </w:r>
      <w:r>
        <w:rPr>
          <w:color w:val="231F20"/>
        </w:rPr>
        <w:t>the</w:t>
      </w:r>
      <w:r>
        <w:rPr>
          <w:color w:val="231F20"/>
          <w:spacing w:val="-10"/>
        </w:rPr>
        <w:t xml:space="preserve"> </w:t>
      </w:r>
      <w:r>
        <w:rPr>
          <w:color w:val="231F20"/>
        </w:rPr>
        <w:t>challenges</w:t>
      </w:r>
      <w:r>
        <w:rPr>
          <w:color w:val="231F20"/>
          <w:spacing w:val="-10"/>
        </w:rPr>
        <w:t xml:space="preserve"> </w:t>
      </w:r>
      <w:r>
        <w:rPr>
          <w:color w:val="231F20"/>
        </w:rPr>
        <w:t>of</w:t>
      </w:r>
      <w:r>
        <w:rPr>
          <w:color w:val="231F20"/>
          <w:spacing w:val="-10"/>
        </w:rPr>
        <w:t xml:space="preserve"> </w:t>
      </w:r>
      <w:r>
        <w:rPr>
          <w:color w:val="231F20"/>
        </w:rPr>
        <w:t xml:space="preserve">tourism seasonality is to </w:t>
      </w:r>
      <w:r>
        <w:rPr>
          <w:i/>
          <w:color w:val="231F20"/>
        </w:rPr>
        <w:t xml:space="preserve">redistribute existing visitation </w:t>
      </w:r>
      <w:r>
        <w:rPr>
          <w:color w:val="231F20"/>
        </w:rPr>
        <w:t xml:space="preserve">more evenly throughout the year. By rescheduling sport events and by capitalising on the unique </w:t>
      </w:r>
      <w:r>
        <w:rPr>
          <w:color w:val="231F20"/>
          <w:w w:val="95"/>
        </w:rPr>
        <w:t>seasonal patterns of individual sports, it is po</w:t>
      </w:r>
      <w:r>
        <w:rPr>
          <w:color w:val="231F20"/>
          <w:w w:val="95"/>
        </w:rPr>
        <w:t xml:space="preserve">ssible to manipulate seasonal </w:t>
      </w:r>
      <w:r>
        <w:rPr>
          <w:color w:val="231F20"/>
        </w:rPr>
        <w:t xml:space="preserve">distributions of tourism visitation in a destination. These approaches can be combined with differential pricing and target marketing such as </w:t>
      </w:r>
      <w:r>
        <w:rPr>
          <w:color w:val="231F20"/>
          <w:w w:val="95"/>
        </w:rPr>
        <w:t xml:space="preserve">promotions designed to shift visitors from the high season to other seasons </w:t>
      </w:r>
      <w:r>
        <w:rPr>
          <w:color w:val="231F20"/>
        </w:rPr>
        <w:t>(Koenig-</w:t>
      </w:r>
      <w:r>
        <w:rPr>
          <w:color w:val="231F20"/>
        </w:rPr>
        <w:t>Lewis &amp; Bischoff, 2005). In publicly managed recreational areas,</w:t>
      </w:r>
      <w:r>
        <w:rPr>
          <w:color w:val="231F20"/>
          <w:spacing w:val="-6"/>
        </w:rPr>
        <w:t xml:space="preserve"> </w:t>
      </w:r>
      <w:r>
        <w:rPr>
          <w:color w:val="231F20"/>
        </w:rPr>
        <w:t>a</w:t>
      </w:r>
      <w:r>
        <w:rPr>
          <w:color w:val="231F20"/>
          <w:spacing w:val="-6"/>
        </w:rPr>
        <w:t xml:space="preserve"> </w:t>
      </w:r>
      <w:r>
        <w:rPr>
          <w:color w:val="231F20"/>
        </w:rPr>
        <w:t>temporal</w:t>
      </w:r>
      <w:r>
        <w:rPr>
          <w:color w:val="231F20"/>
          <w:spacing w:val="-6"/>
        </w:rPr>
        <w:t xml:space="preserve"> </w:t>
      </w:r>
      <w:r>
        <w:rPr>
          <w:color w:val="231F20"/>
        </w:rPr>
        <w:t>variation</w:t>
      </w:r>
      <w:r>
        <w:rPr>
          <w:color w:val="231F20"/>
          <w:spacing w:val="-6"/>
        </w:rPr>
        <w:t xml:space="preserve"> </w:t>
      </w:r>
      <w:r>
        <w:rPr>
          <w:color w:val="231F20"/>
        </w:rPr>
        <w:t>of</w:t>
      </w:r>
      <w:r>
        <w:rPr>
          <w:color w:val="231F20"/>
          <w:spacing w:val="-6"/>
        </w:rPr>
        <w:t xml:space="preserve"> </w:t>
      </w:r>
      <w:r>
        <w:rPr>
          <w:color w:val="231F20"/>
        </w:rPr>
        <w:t>the</w:t>
      </w:r>
      <w:r>
        <w:rPr>
          <w:color w:val="231F20"/>
          <w:spacing w:val="-6"/>
        </w:rPr>
        <w:t xml:space="preserve"> </w:t>
      </w:r>
      <w:r>
        <w:rPr>
          <w:color w:val="231F20"/>
        </w:rPr>
        <w:t>popular</w:t>
      </w:r>
      <w:r>
        <w:rPr>
          <w:color w:val="231F20"/>
          <w:spacing w:val="-6"/>
        </w:rPr>
        <w:t xml:space="preserve"> </w:t>
      </w:r>
      <w:r>
        <w:rPr>
          <w:color w:val="231F20"/>
        </w:rPr>
        <w:t>spatial</w:t>
      </w:r>
      <w:r>
        <w:rPr>
          <w:color w:val="231F20"/>
          <w:spacing w:val="-6"/>
        </w:rPr>
        <w:t xml:space="preserve"> </w:t>
      </w:r>
      <w:r>
        <w:rPr>
          <w:color w:val="231F20"/>
        </w:rPr>
        <w:t>zoning</w:t>
      </w:r>
      <w:r>
        <w:rPr>
          <w:color w:val="231F20"/>
          <w:spacing w:val="-6"/>
        </w:rPr>
        <w:t xml:space="preserve"> </w:t>
      </w:r>
      <w:r>
        <w:rPr>
          <w:color w:val="231F20"/>
        </w:rPr>
        <w:t>practices</w:t>
      </w:r>
      <w:r>
        <w:rPr>
          <w:color w:val="231F20"/>
          <w:spacing w:val="-6"/>
        </w:rPr>
        <w:t xml:space="preserve"> </w:t>
      </w:r>
      <w:r>
        <w:rPr>
          <w:color w:val="231F20"/>
        </w:rPr>
        <w:t>can</w:t>
      </w:r>
      <w:r>
        <w:rPr>
          <w:color w:val="231F20"/>
          <w:spacing w:val="-6"/>
        </w:rPr>
        <w:t xml:space="preserve"> </w:t>
      </w:r>
      <w:r>
        <w:rPr>
          <w:color w:val="231F20"/>
        </w:rPr>
        <w:t xml:space="preserve">be </w:t>
      </w:r>
      <w:r>
        <w:rPr>
          <w:color w:val="231F20"/>
          <w:w w:val="95"/>
        </w:rPr>
        <w:t xml:space="preserve">implemented. Under this approach, access restrictions can shift as required </w:t>
      </w:r>
      <w:r>
        <w:rPr>
          <w:color w:val="231F20"/>
        </w:rPr>
        <w:t>on a temporal as well as a spatial basis.</w:t>
      </w:r>
    </w:p>
    <w:p w14:paraId="66150529" w14:textId="77777777" w:rsidR="00AE0598" w:rsidRDefault="00AE0598">
      <w:pPr>
        <w:pStyle w:val="Corpodetexto"/>
        <w:spacing w:before="7"/>
        <w:rPr>
          <w:sz w:val="30"/>
        </w:rPr>
      </w:pPr>
    </w:p>
    <w:p w14:paraId="4F73DE7E" w14:textId="77777777" w:rsidR="00AE0598" w:rsidRDefault="0069255A">
      <w:pPr>
        <w:ind w:left="110"/>
        <w:rPr>
          <w:rFonts w:ascii="Trebuchet MS"/>
          <w:sz w:val="20"/>
        </w:rPr>
      </w:pPr>
      <w:r>
        <w:rPr>
          <w:rFonts w:ascii="Trebuchet MS"/>
          <w:color w:val="231F20"/>
          <w:sz w:val="20"/>
        </w:rPr>
        <w:t>Leisure</w:t>
      </w:r>
      <w:r>
        <w:rPr>
          <w:rFonts w:ascii="Trebuchet MS"/>
          <w:color w:val="231F20"/>
          <w:spacing w:val="10"/>
          <w:sz w:val="20"/>
        </w:rPr>
        <w:t xml:space="preserve"> </w:t>
      </w:r>
      <w:r>
        <w:rPr>
          <w:rFonts w:ascii="Trebuchet MS"/>
          <w:color w:val="231F20"/>
          <w:sz w:val="20"/>
        </w:rPr>
        <w:t>constraints</w:t>
      </w:r>
      <w:r>
        <w:rPr>
          <w:rFonts w:ascii="Trebuchet MS"/>
          <w:color w:val="231F20"/>
          <w:spacing w:val="10"/>
          <w:sz w:val="20"/>
        </w:rPr>
        <w:t xml:space="preserve"> </w:t>
      </w:r>
      <w:r>
        <w:rPr>
          <w:rFonts w:ascii="Trebuchet MS"/>
          <w:color w:val="231F20"/>
          <w:spacing w:val="-2"/>
          <w:sz w:val="20"/>
        </w:rPr>
        <w:t>theory</w:t>
      </w:r>
    </w:p>
    <w:p w14:paraId="2B2B777E" w14:textId="77777777" w:rsidR="00AE0598" w:rsidRDefault="0069255A">
      <w:pPr>
        <w:pStyle w:val="Corpodetexto"/>
        <w:spacing w:before="122" w:line="232" w:lineRule="auto"/>
        <w:ind w:left="110" w:right="125" w:firstLine="320"/>
        <w:jc w:val="both"/>
      </w:pPr>
      <w:r>
        <w:rPr>
          <w:color w:val="231F20"/>
          <w:w w:val="95"/>
        </w:rPr>
        <w:t xml:space="preserve">Notwithstanding the successes reported above, seasonal variations in </w:t>
      </w:r>
      <w:r>
        <w:rPr>
          <w:color w:val="231F20"/>
        </w:rPr>
        <w:t>tourism remain a prominent feature of the</w:t>
      </w:r>
      <w:r>
        <w:rPr>
          <w:color w:val="231F20"/>
        </w:rPr>
        <w:t xml:space="preserve"> industry. The ‘stubbornness’ of these patterns suggests that a stronger theoretical understanding of seasonality is needed (Amelung </w:t>
      </w:r>
      <w:r>
        <w:rPr>
          <w:i/>
          <w:color w:val="231F20"/>
        </w:rPr>
        <w:t>et al</w:t>
      </w:r>
      <w:r>
        <w:rPr>
          <w:color w:val="231F20"/>
        </w:rPr>
        <w:t>., 2007). Leisure constraints theory represents</w:t>
      </w:r>
      <w:r>
        <w:rPr>
          <w:color w:val="231F20"/>
          <w:spacing w:val="-5"/>
        </w:rPr>
        <w:t xml:space="preserve"> </w:t>
      </w:r>
      <w:r>
        <w:rPr>
          <w:color w:val="231F20"/>
        </w:rPr>
        <w:t>one</w:t>
      </w:r>
      <w:r>
        <w:rPr>
          <w:color w:val="231F20"/>
          <w:spacing w:val="-5"/>
        </w:rPr>
        <w:t xml:space="preserve"> </w:t>
      </w:r>
      <w:r>
        <w:rPr>
          <w:color w:val="231F20"/>
        </w:rPr>
        <w:t>framework</w:t>
      </w:r>
      <w:r>
        <w:rPr>
          <w:color w:val="231F20"/>
          <w:spacing w:val="-5"/>
        </w:rPr>
        <w:t xml:space="preserve"> </w:t>
      </w:r>
      <w:r>
        <w:rPr>
          <w:color w:val="231F20"/>
        </w:rPr>
        <w:t>that</w:t>
      </w:r>
      <w:r>
        <w:rPr>
          <w:color w:val="231F20"/>
          <w:spacing w:val="-5"/>
        </w:rPr>
        <w:t xml:space="preserve"> </w:t>
      </w:r>
      <w:r>
        <w:rPr>
          <w:color w:val="231F20"/>
        </w:rPr>
        <w:t>provides</w:t>
      </w:r>
      <w:r>
        <w:rPr>
          <w:color w:val="231F20"/>
          <w:spacing w:val="-5"/>
        </w:rPr>
        <w:t xml:space="preserve"> </w:t>
      </w:r>
      <w:r>
        <w:rPr>
          <w:color w:val="231F20"/>
        </w:rPr>
        <w:t>additional</w:t>
      </w:r>
      <w:r>
        <w:rPr>
          <w:color w:val="231F20"/>
          <w:spacing w:val="-5"/>
        </w:rPr>
        <w:t xml:space="preserve"> </w:t>
      </w:r>
      <w:r>
        <w:rPr>
          <w:color w:val="231F20"/>
        </w:rPr>
        <w:t>insight</w:t>
      </w:r>
      <w:r>
        <w:rPr>
          <w:color w:val="231F20"/>
          <w:spacing w:val="-5"/>
        </w:rPr>
        <w:t xml:space="preserve"> </w:t>
      </w:r>
      <w:r>
        <w:rPr>
          <w:color w:val="231F20"/>
        </w:rPr>
        <w:t>into</w:t>
      </w:r>
      <w:r>
        <w:rPr>
          <w:color w:val="231F20"/>
          <w:spacing w:val="-5"/>
        </w:rPr>
        <w:t xml:space="preserve"> </w:t>
      </w:r>
      <w:r>
        <w:rPr>
          <w:color w:val="231F20"/>
        </w:rPr>
        <w:t>this</w:t>
      </w:r>
      <w:r>
        <w:rPr>
          <w:color w:val="231F20"/>
          <w:spacing w:val="-5"/>
        </w:rPr>
        <w:t xml:space="preserve"> </w:t>
      </w:r>
      <w:r>
        <w:rPr>
          <w:color w:val="231F20"/>
        </w:rPr>
        <w:t>area (Hinch</w:t>
      </w:r>
      <w:r>
        <w:rPr>
          <w:color w:val="231F20"/>
          <w:spacing w:val="40"/>
        </w:rPr>
        <w:t xml:space="preserve"> </w:t>
      </w:r>
      <w:r>
        <w:rPr>
          <w:color w:val="231F20"/>
        </w:rPr>
        <w:t>&amp;</w:t>
      </w:r>
      <w:r>
        <w:rPr>
          <w:color w:val="231F20"/>
          <w:spacing w:val="40"/>
        </w:rPr>
        <w:t xml:space="preserve"> </w:t>
      </w:r>
      <w:r>
        <w:rPr>
          <w:color w:val="231F20"/>
        </w:rPr>
        <w:t>Jackson,</w:t>
      </w:r>
      <w:r>
        <w:rPr>
          <w:color w:val="231F20"/>
          <w:spacing w:val="40"/>
        </w:rPr>
        <w:t xml:space="preserve"> </w:t>
      </w:r>
      <w:r>
        <w:rPr>
          <w:color w:val="231F20"/>
        </w:rPr>
        <w:t>2000;</w:t>
      </w:r>
      <w:r>
        <w:rPr>
          <w:color w:val="231F20"/>
          <w:spacing w:val="40"/>
        </w:rPr>
        <w:t xml:space="preserve"> </w:t>
      </w:r>
      <w:r>
        <w:rPr>
          <w:color w:val="231F20"/>
        </w:rPr>
        <w:t>Hinch</w:t>
      </w:r>
      <w:r>
        <w:rPr>
          <w:color w:val="231F20"/>
          <w:spacing w:val="40"/>
        </w:rPr>
        <w:t xml:space="preserve"> </w:t>
      </w:r>
      <w:r>
        <w:rPr>
          <w:i/>
          <w:color w:val="231F20"/>
        </w:rPr>
        <w:t>et</w:t>
      </w:r>
      <w:r>
        <w:rPr>
          <w:i/>
          <w:color w:val="231F20"/>
          <w:spacing w:val="40"/>
        </w:rPr>
        <w:t xml:space="preserve"> </w:t>
      </w:r>
      <w:r>
        <w:rPr>
          <w:i/>
          <w:color w:val="231F20"/>
        </w:rPr>
        <w:t>al</w:t>
      </w:r>
      <w:r>
        <w:rPr>
          <w:color w:val="231F20"/>
        </w:rPr>
        <w:t>.,</w:t>
      </w:r>
      <w:r>
        <w:rPr>
          <w:color w:val="231F20"/>
          <w:spacing w:val="40"/>
        </w:rPr>
        <w:t xml:space="preserve"> </w:t>
      </w:r>
      <w:r>
        <w:rPr>
          <w:color w:val="231F20"/>
        </w:rPr>
        <w:t>2001).</w:t>
      </w:r>
      <w:r>
        <w:rPr>
          <w:color w:val="231F20"/>
          <w:spacing w:val="40"/>
        </w:rPr>
        <w:t xml:space="preserve"> </w:t>
      </w:r>
      <w:r>
        <w:rPr>
          <w:color w:val="231F20"/>
        </w:rPr>
        <w:t>This</w:t>
      </w:r>
      <w:r>
        <w:rPr>
          <w:color w:val="231F20"/>
          <w:spacing w:val="40"/>
        </w:rPr>
        <w:t xml:space="preserve"> </w:t>
      </w:r>
      <w:r>
        <w:rPr>
          <w:color w:val="231F20"/>
        </w:rPr>
        <w:t>theory</w:t>
      </w:r>
      <w:r>
        <w:rPr>
          <w:color w:val="231F20"/>
          <w:spacing w:val="40"/>
        </w:rPr>
        <w:t xml:space="preserve"> </w:t>
      </w:r>
      <w:r>
        <w:rPr>
          <w:color w:val="231F20"/>
        </w:rPr>
        <w:t>considers the barriers that prevent non-participants from taking part in leisure pursuits</w:t>
      </w:r>
      <w:r>
        <w:rPr>
          <w:color w:val="231F20"/>
          <w:spacing w:val="-1"/>
        </w:rPr>
        <w:t xml:space="preserve"> </w:t>
      </w:r>
      <w:r>
        <w:rPr>
          <w:color w:val="231F20"/>
        </w:rPr>
        <w:t>as</w:t>
      </w:r>
      <w:r>
        <w:rPr>
          <w:color w:val="231F20"/>
          <w:spacing w:val="-1"/>
        </w:rPr>
        <w:t xml:space="preserve"> </w:t>
      </w:r>
      <w:r>
        <w:rPr>
          <w:color w:val="231F20"/>
        </w:rPr>
        <w:t>frequently as</w:t>
      </w:r>
      <w:r>
        <w:rPr>
          <w:color w:val="231F20"/>
          <w:spacing w:val="-1"/>
        </w:rPr>
        <w:t xml:space="preserve"> </w:t>
      </w:r>
      <w:r>
        <w:rPr>
          <w:color w:val="231F20"/>
        </w:rPr>
        <w:t>they</w:t>
      </w:r>
      <w:r>
        <w:rPr>
          <w:color w:val="231F20"/>
          <w:spacing w:val="-1"/>
        </w:rPr>
        <w:t xml:space="preserve"> </w:t>
      </w:r>
      <w:r>
        <w:rPr>
          <w:color w:val="231F20"/>
        </w:rPr>
        <w:t>would like.</w:t>
      </w:r>
      <w:r>
        <w:rPr>
          <w:color w:val="231F20"/>
          <w:spacing w:val="-1"/>
        </w:rPr>
        <w:t xml:space="preserve"> </w:t>
      </w:r>
      <w:r>
        <w:rPr>
          <w:color w:val="231F20"/>
        </w:rPr>
        <w:t>In</w:t>
      </w:r>
      <w:r>
        <w:rPr>
          <w:color w:val="231F20"/>
          <w:spacing w:val="-1"/>
        </w:rPr>
        <w:t xml:space="preserve"> </w:t>
      </w:r>
      <w:r>
        <w:rPr>
          <w:color w:val="231F20"/>
        </w:rPr>
        <w:t>the context</w:t>
      </w:r>
      <w:r>
        <w:rPr>
          <w:color w:val="231F20"/>
          <w:spacing w:val="-1"/>
        </w:rPr>
        <w:t xml:space="preserve"> </w:t>
      </w:r>
      <w:r>
        <w:rPr>
          <w:color w:val="231F20"/>
        </w:rPr>
        <w:t>of</w:t>
      </w:r>
      <w:r>
        <w:rPr>
          <w:color w:val="231F20"/>
          <w:spacing w:val="-1"/>
        </w:rPr>
        <w:t xml:space="preserve"> </w:t>
      </w:r>
      <w:r>
        <w:rPr>
          <w:color w:val="231F20"/>
        </w:rPr>
        <w:t xml:space="preserve">sport </w:t>
      </w:r>
      <w:r>
        <w:rPr>
          <w:color w:val="231F20"/>
          <w:spacing w:val="-2"/>
        </w:rPr>
        <w:t>tourism</w:t>
      </w:r>
    </w:p>
    <w:p w14:paraId="3D93EFF2" w14:textId="77777777" w:rsidR="00AE0598" w:rsidRDefault="00AE0598">
      <w:pPr>
        <w:spacing w:line="232" w:lineRule="auto"/>
        <w:jc w:val="both"/>
        <w:sectPr w:rsidR="00AE0598">
          <w:pgSz w:w="8850" w:h="13270"/>
          <w:pgMar w:top="720" w:right="1060" w:bottom="280" w:left="1080" w:header="720" w:footer="720" w:gutter="0"/>
          <w:cols w:space="720"/>
        </w:sectPr>
      </w:pPr>
    </w:p>
    <w:p w14:paraId="6F68E237" w14:textId="77777777" w:rsidR="00AE0598" w:rsidRDefault="0069255A">
      <w:pPr>
        <w:spacing w:before="87"/>
        <w:ind w:left="108"/>
        <w:rPr>
          <w:rFonts w:ascii="Trebuchet MS"/>
          <w:sz w:val="14"/>
        </w:rPr>
      </w:pPr>
      <w:r>
        <w:rPr>
          <w:rFonts w:ascii="Trebuchet MS"/>
          <w:color w:val="231F20"/>
          <w:w w:val="105"/>
          <w:sz w:val="14"/>
        </w:rPr>
        <w:lastRenderedPageBreak/>
        <w:t>196</w:t>
      </w:r>
      <w:r>
        <w:rPr>
          <w:rFonts w:ascii="Trebuchet MS"/>
          <w:color w:val="231F20"/>
          <w:spacing w:val="66"/>
          <w:w w:val="150"/>
          <w:sz w:val="14"/>
        </w:rPr>
        <w:t xml:space="preserve"> </w:t>
      </w:r>
      <w:r>
        <w:rPr>
          <w:rFonts w:ascii="Trebuchet MS"/>
          <w:color w:val="231F20"/>
          <w:w w:val="105"/>
          <w:sz w:val="14"/>
        </w:rPr>
        <w:t>Part</w:t>
      </w:r>
      <w:r>
        <w:rPr>
          <w:rFonts w:ascii="Trebuchet MS"/>
          <w:color w:val="231F20"/>
          <w:spacing w:val="-9"/>
          <w:w w:val="105"/>
          <w:sz w:val="14"/>
        </w:rPr>
        <w:t xml:space="preserve"> </w:t>
      </w:r>
      <w:r>
        <w:rPr>
          <w:rFonts w:ascii="Trebuchet MS"/>
          <w:color w:val="231F20"/>
          <w:w w:val="105"/>
          <w:sz w:val="14"/>
        </w:rPr>
        <w:t>4:</w:t>
      </w:r>
      <w:r>
        <w:rPr>
          <w:rFonts w:ascii="Trebuchet MS"/>
          <w:color w:val="231F20"/>
          <w:spacing w:val="-8"/>
          <w:w w:val="105"/>
          <w:sz w:val="14"/>
        </w:rPr>
        <w:t xml:space="preserve"> </w:t>
      </w:r>
      <w:r>
        <w:rPr>
          <w:rFonts w:ascii="Trebuchet MS"/>
          <w:color w:val="231F20"/>
          <w:w w:val="105"/>
          <w:sz w:val="14"/>
        </w:rPr>
        <w:t>Sport</w:t>
      </w:r>
      <w:r>
        <w:rPr>
          <w:rFonts w:ascii="Trebuchet MS"/>
          <w:color w:val="231F20"/>
          <w:spacing w:val="-9"/>
          <w:w w:val="105"/>
          <w:sz w:val="14"/>
        </w:rPr>
        <w:t xml:space="preserve"> </w:t>
      </w:r>
      <w:r>
        <w:rPr>
          <w:rFonts w:ascii="Trebuchet MS"/>
          <w:color w:val="231F20"/>
          <w:w w:val="105"/>
          <w:sz w:val="14"/>
        </w:rPr>
        <w:t>Tourism</w:t>
      </w:r>
      <w:r>
        <w:rPr>
          <w:rFonts w:ascii="Trebuchet MS"/>
          <w:color w:val="231F20"/>
          <w:spacing w:val="-9"/>
          <w:w w:val="105"/>
          <w:sz w:val="14"/>
        </w:rPr>
        <w:t xml:space="preserve"> </w:t>
      </w:r>
      <w:r>
        <w:rPr>
          <w:rFonts w:ascii="Trebuchet MS"/>
          <w:color w:val="231F20"/>
          <w:w w:val="105"/>
          <w:sz w:val="14"/>
        </w:rPr>
        <w:t>Development</w:t>
      </w:r>
      <w:r>
        <w:rPr>
          <w:rFonts w:ascii="Trebuchet MS"/>
          <w:color w:val="231F20"/>
          <w:spacing w:val="-9"/>
          <w:w w:val="105"/>
          <w:sz w:val="14"/>
        </w:rPr>
        <w:t xml:space="preserve"> </w:t>
      </w:r>
      <w:r>
        <w:rPr>
          <w:rFonts w:ascii="Trebuchet MS"/>
          <w:color w:val="231F20"/>
          <w:w w:val="105"/>
          <w:sz w:val="14"/>
        </w:rPr>
        <w:t>and</w:t>
      </w:r>
      <w:r>
        <w:rPr>
          <w:rFonts w:ascii="Trebuchet MS"/>
          <w:color w:val="231F20"/>
          <w:spacing w:val="-8"/>
          <w:w w:val="105"/>
          <w:sz w:val="14"/>
        </w:rPr>
        <w:t xml:space="preserve"> </w:t>
      </w:r>
      <w:r>
        <w:rPr>
          <w:rFonts w:ascii="Trebuchet MS"/>
          <w:color w:val="231F20"/>
          <w:spacing w:val="-4"/>
          <w:w w:val="105"/>
          <w:sz w:val="14"/>
        </w:rPr>
        <w:t>Time</w:t>
      </w:r>
    </w:p>
    <w:p w14:paraId="25BB46E0" w14:textId="77777777" w:rsidR="00AE0598" w:rsidRDefault="00AE0598">
      <w:pPr>
        <w:pStyle w:val="Corpodetexto"/>
        <w:rPr>
          <w:rFonts w:ascii="Trebuchet MS"/>
          <w:sz w:val="16"/>
        </w:rPr>
      </w:pPr>
    </w:p>
    <w:p w14:paraId="1C9AD29F" w14:textId="77777777" w:rsidR="00AE0598" w:rsidRDefault="0069255A">
      <w:pPr>
        <w:pStyle w:val="Corpodetexto"/>
        <w:spacing w:before="118" w:line="232" w:lineRule="auto"/>
        <w:ind w:left="110" w:right="127"/>
        <w:jc w:val="both"/>
      </w:pPr>
      <w:r>
        <w:rPr>
          <w:color w:val="231F20"/>
          <w:w w:val="95"/>
        </w:rPr>
        <w:t xml:space="preserve">seasonality, leisure constraints theory raises the question, ‘What is it that </w:t>
      </w:r>
      <w:r>
        <w:rPr>
          <w:color w:val="231F20"/>
        </w:rPr>
        <w:t>inhibits</w:t>
      </w:r>
      <w:r>
        <w:rPr>
          <w:color w:val="231F20"/>
          <w:spacing w:val="-12"/>
        </w:rPr>
        <w:t xml:space="preserve"> </w:t>
      </w:r>
      <w:r>
        <w:rPr>
          <w:color w:val="231F20"/>
        </w:rPr>
        <w:t>people</w:t>
      </w:r>
      <w:r>
        <w:rPr>
          <w:color w:val="231F20"/>
          <w:spacing w:val="-11"/>
        </w:rPr>
        <w:t xml:space="preserve"> </w:t>
      </w:r>
      <w:r>
        <w:rPr>
          <w:color w:val="231F20"/>
        </w:rPr>
        <w:t>from</w:t>
      </w:r>
      <w:r>
        <w:rPr>
          <w:color w:val="231F20"/>
          <w:spacing w:val="-12"/>
        </w:rPr>
        <w:t xml:space="preserve"> </w:t>
      </w:r>
      <w:r>
        <w:rPr>
          <w:color w:val="231F20"/>
        </w:rPr>
        <w:t>travelling</w:t>
      </w:r>
      <w:r>
        <w:rPr>
          <w:color w:val="231F20"/>
          <w:spacing w:val="-11"/>
        </w:rPr>
        <w:t xml:space="preserve"> </w:t>
      </w:r>
      <w:r>
        <w:rPr>
          <w:color w:val="231F20"/>
        </w:rPr>
        <w:t>for</w:t>
      </w:r>
      <w:r>
        <w:rPr>
          <w:color w:val="231F20"/>
          <w:spacing w:val="-12"/>
        </w:rPr>
        <w:t xml:space="preserve"> </w:t>
      </w:r>
      <w:r>
        <w:rPr>
          <w:color w:val="231F20"/>
        </w:rPr>
        <w:t>sport</w:t>
      </w:r>
      <w:r>
        <w:rPr>
          <w:color w:val="231F20"/>
          <w:spacing w:val="-11"/>
        </w:rPr>
        <w:t xml:space="preserve"> </w:t>
      </w:r>
      <w:r>
        <w:rPr>
          <w:color w:val="231F20"/>
        </w:rPr>
        <w:t>at</w:t>
      </w:r>
      <w:r>
        <w:rPr>
          <w:color w:val="231F20"/>
          <w:spacing w:val="-12"/>
        </w:rPr>
        <w:t xml:space="preserve"> </w:t>
      </w:r>
      <w:r>
        <w:rPr>
          <w:color w:val="231F20"/>
        </w:rPr>
        <w:t>certain</w:t>
      </w:r>
      <w:r>
        <w:rPr>
          <w:color w:val="231F20"/>
          <w:spacing w:val="-11"/>
        </w:rPr>
        <w:t xml:space="preserve"> </w:t>
      </w:r>
      <w:r>
        <w:rPr>
          <w:color w:val="231F20"/>
        </w:rPr>
        <w:t>times</w:t>
      </w:r>
      <w:r>
        <w:rPr>
          <w:color w:val="231F20"/>
          <w:spacing w:val="-12"/>
        </w:rPr>
        <w:t xml:space="preserve"> </w:t>
      </w:r>
      <w:r>
        <w:rPr>
          <w:color w:val="231F20"/>
        </w:rPr>
        <w:t>of</w:t>
      </w:r>
      <w:r>
        <w:rPr>
          <w:color w:val="231F20"/>
          <w:spacing w:val="-11"/>
        </w:rPr>
        <w:t xml:space="preserve"> </w:t>
      </w:r>
      <w:r>
        <w:rPr>
          <w:color w:val="231F20"/>
        </w:rPr>
        <w:t>the</w:t>
      </w:r>
      <w:r>
        <w:rPr>
          <w:color w:val="231F20"/>
          <w:spacing w:val="-12"/>
        </w:rPr>
        <w:t xml:space="preserve"> </w:t>
      </w:r>
      <w:r>
        <w:rPr>
          <w:color w:val="231F20"/>
        </w:rPr>
        <w:t>year?’.</w:t>
      </w:r>
      <w:r>
        <w:rPr>
          <w:color w:val="231F20"/>
          <w:spacing w:val="-11"/>
        </w:rPr>
        <w:t xml:space="preserve"> </w:t>
      </w:r>
      <w:r>
        <w:rPr>
          <w:color w:val="231F20"/>
        </w:rPr>
        <w:t>The answers</w:t>
      </w:r>
      <w:r>
        <w:rPr>
          <w:color w:val="231F20"/>
          <w:spacing w:val="-1"/>
        </w:rPr>
        <w:t xml:space="preserve"> </w:t>
      </w:r>
      <w:r>
        <w:rPr>
          <w:color w:val="231F20"/>
        </w:rPr>
        <w:t>to</w:t>
      </w:r>
      <w:r>
        <w:rPr>
          <w:color w:val="231F20"/>
          <w:spacing w:val="-1"/>
        </w:rPr>
        <w:t xml:space="preserve"> </w:t>
      </w:r>
      <w:r>
        <w:rPr>
          <w:color w:val="231F20"/>
        </w:rPr>
        <w:t>this</w:t>
      </w:r>
      <w:r>
        <w:rPr>
          <w:color w:val="231F20"/>
          <w:spacing w:val="-1"/>
        </w:rPr>
        <w:t xml:space="preserve"> </w:t>
      </w:r>
      <w:r>
        <w:rPr>
          <w:color w:val="231F20"/>
        </w:rPr>
        <w:t>question</w:t>
      </w:r>
      <w:r>
        <w:rPr>
          <w:color w:val="231F20"/>
          <w:spacing w:val="-1"/>
        </w:rPr>
        <w:t xml:space="preserve"> </w:t>
      </w:r>
      <w:r>
        <w:rPr>
          <w:color w:val="231F20"/>
        </w:rPr>
        <w:t>provide</w:t>
      </w:r>
      <w:r>
        <w:rPr>
          <w:color w:val="231F20"/>
          <w:spacing w:val="-1"/>
        </w:rPr>
        <w:t xml:space="preserve"> </w:t>
      </w:r>
      <w:r>
        <w:rPr>
          <w:color w:val="231F20"/>
        </w:rPr>
        <w:t>a</w:t>
      </w:r>
      <w:r>
        <w:rPr>
          <w:color w:val="231F20"/>
          <w:spacing w:val="-1"/>
        </w:rPr>
        <w:t xml:space="preserve"> </w:t>
      </w:r>
      <w:r>
        <w:rPr>
          <w:color w:val="231F20"/>
        </w:rPr>
        <w:t>better</w:t>
      </w:r>
      <w:r>
        <w:rPr>
          <w:color w:val="231F20"/>
          <w:spacing w:val="-1"/>
        </w:rPr>
        <w:t xml:space="preserve"> </w:t>
      </w:r>
      <w:r>
        <w:rPr>
          <w:color w:val="231F20"/>
        </w:rPr>
        <w:t>understanding</w:t>
      </w:r>
      <w:r>
        <w:rPr>
          <w:color w:val="231F20"/>
          <w:spacing w:val="-1"/>
        </w:rPr>
        <w:t xml:space="preserve"> </w:t>
      </w:r>
      <w:r>
        <w:rPr>
          <w:color w:val="231F20"/>
        </w:rPr>
        <w:t>of</w:t>
      </w:r>
      <w:r>
        <w:rPr>
          <w:color w:val="231F20"/>
          <w:spacing w:val="-1"/>
        </w:rPr>
        <w:t xml:space="preserve"> </w:t>
      </w:r>
      <w:r>
        <w:rPr>
          <w:color w:val="231F20"/>
        </w:rPr>
        <w:t>sport</w:t>
      </w:r>
      <w:r>
        <w:rPr>
          <w:color w:val="231F20"/>
          <w:spacing w:val="-1"/>
        </w:rPr>
        <w:t xml:space="preserve"> </w:t>
      </w:r>
      <w:r>
        <w:rPr>
          <w:color w:val="231F20"/>
        </w:rPr>
        <w:t xml:space="preserve">tourist </w:t>
      </w:r>
      <w:r>
        <w:rPr>
          <w:color w:val="231F20"/>
          <w:w w:val="95"/>
        </w:rPr>
        <w:t xml:space="preserve">seasonal behaviour and would identify constraints that can be targeted by </w:t>
      </w:r>
      <w:r>
        <w:rPr>
          <w:color w:val="231F20"/>
          <w:spacing w:val="-2"/>
        </w:rPr>
        <w:t>managers.</w:t>
      </w:r>
    </w:p>
    <w:p w14:paraId="7A8EF008" w14:textId="77777777" w:rsidR="00AE0598" w:rsidRDefault="0069255A">
      <w:pPr>
        <w:pStyle w:val="Corpodetexto"/>
        <w:spacing w:before="6" w:line="232" w:lineRule="auto"/>
        <w:ind w:left="110" w:right="127" w:firstLine="320"/>
        <w:jc w:val="both"/>
      </w:pPr>
      <w:r>
        <w:rPr>
          <w:color w:val="231F20"/>
          <w:w w:val="95"/>
        </w:rPr>
        <w:t xml:space="preserve">Hudson </w:t>
      </w:r>
      <w:r>
        <w:rPr>
          <w:i/>
          <w:color w:val="231F20"/>
          <w:w w:val="95"/>
        </w:rPr>
        <w:t>et al</w:t>
      </w:r>
      <w:r>
        <w:rPr>
          <w:color w:val="231F20"/>
          <w:w w:val="95"/>
        </w:rPr>
        <w:t xml:space="preserve">. (2010) used a leisure constraints framework to examine </w:t>
      </w:r>
      <w:r>
        <w:rPr>
          <w:color w:val="231F20"/>
        </w:rPr>
        <w:t xml:space="preserve">the barriers to snowboarding and skiing in Canada. Their framework is </w:t>
      </w:r>
      <w:r>
        <w:rPr>
          <w:color w:val="231F20"/>
          <w:w w:val="95"/>
        </w:rPr>
        <w:t>positioned in a tourism c</w:t>
      </w:r>
      <w:r>
        <w:rPr>
          <w:color w:val="231F20"/>
          <w:w w:val="95"/>
        </w:rPr>
        <w:t xml:space="preserve">ontext and operationalises the hierarchical model </w:t>
      </w:r>
      <w:r>
        <w:rPr>
          <w:color w:val="231F20"/>
        </w:rPr>
        <w:t>of</w:t>
      </w:r>
      <w:r>
        <w:rPr>
          <w:color w:val="231F20"/>
          <w:spacing w:val="30"/>
        </w:rPr>
        <w:t xml:space="preserve"> </w:t>
      </w:r>
      <w:r>
        <w:rPr>
          <w:color w:val="231F20"/>
        </w:rPr>
        <w:t>leisure</w:t>
      </w:r>
      <w:r>
        <w:rPr>
          <w:color w:val="231F20"/>
          <w:spacing w:val="30"/>
        </w:rPr>
        <w:t xml:space="preserve"> </w:t>
      </w:r>
      <w:r>
        <w:rPr>
          <w:color w:val="231F20"/>
        </w:rPr>
        <w:t>constraints</w:t>
      </w:r>
      <w:r>
        <w:rPr>
          <w:color w:val="231F20"/>
          <w:spacing w:val="30"/>
        </w:rPr>
        <w:t xml:space="preserve"> </w:t>
      </w:r>
      <w:r>
        <w:rPr>
          <w:color w:val="231F20"/>
        </w:rPr>
        <w:t>(Crawford</w:t>
      </w:r>
      <w:r>
        <w:rPr>
          <w:color w:val="231F20"/>
          <w:spacing w:val="30"/>
        </w:rPr>
        <w:t xml:space="preserve"> </w:t>
      </w:r>
      <w:r>
        <w:rPr>
          <w:i/>
          <w:color w:val="231F20"/>
        </w:rPr>
        <w:t>et</w:t>
      </w:r>
      <w:r>
        <w:rPr>
          <w:i/>
          <w:color w:val="231F20"/>
          <w:spacing w:val="30"/>
        </w:rPr>
        <w:t xml:space="preserve"> </w:t>
      </w:r>
      <w:r>
        <w:rPr>
          <w:i/>
          <w:color w:val="231F20"/>
        </w:rPr>
        <w:t>al</w:t>
      </w:r>
      <w:r>
        <w:rPr>
          <w:color w:val="231F20"/>
        </w:rPr>
        <w:t>.,</w:t>
      </w:r>
      <w:r>
        <w:rPr>
          <w:color w:val="231F20"/>
          <w:spacing w:val="30"/>
        </w:rPr>
        <w:t xml:space="preserve"> </w:t>
      </w:r>
      <w:r>
        <w:rPr>
          <w:color w:val="231F20"/>
        </w:rPr>
        <w:t>1991;</w:t>
      </w:r>
      <w:r>
        <w:rPr>
          <w:color w:val="231F20"/>
          <w:spacing w:val="30"/>
        </w:rPr>
        <w:t xml:space="preserve"> </w:t>
      </w:r>
      <w:r>
        <w:rPr>
          <w:color w:val="231F20"/>
        </w:rPr>
        <w:t>Walker</w:t>
      </w:r>
      <w:r>
        <w:rPr>
          <w:color w:val="231F20"/>
          <w:spacing w:val="30"/>
        </w:rPr>
        <w:t xml:space="preserve"> </w:t>
      </w:r>
      <w:r>
        <w:rPr>
          <w:color w:val="231F20"/>
        </w:rPr>
        <w:t>&amp;</w:t>
      </w:r>
      <w:r>
        <w:rPr>
          <w:color w:val="231F20"/>
          <w:spacing w:val="30"/>
        </w:rPr>
        <w:t xml:space="preserve"> </w:t>
      </w:r>
      <w:r>
        <w:rPr>
          <w:color w:val="231F20"/>
        </w:rPr>
        <w:t>Virden,</w:t>
      </w:r>
      <w:r>
        <w:rPr>
          <w:color w:val="231F20"/>
          <w:spacing w:val="30"/>
        </w:rPr>
        <w:t xml:space="preserve"> </w:t>
      </w:r>
      <w:r>
        <w:rPr>
          <w:color w:val="231F20"/>
        </w:rPr>
        <w:t>2005) to identify management options designed to increase participation in downhill</w:t>
      </w:r>
      <w:r>
        <w:rPr>
          <w:color w:val="231F20"/>
          <w:spacing w:val="-1"/>
        </w:rPr>
        <w:t xml:space="preserve"> </w:t>
      </w:r>
      <w:r>
        <w:rPr>
          <w:color w:val="231F20"/>
        </w:rPr>
        <w:t>skiing.</w:t>
      </w:r>
      <w:r>
        <w:rPr>
          <w:color w:val="231F20"/>
          <w:spacing w:val="-1"/>
        </w:rPr>
        <w:t xml:space="preserve"> </w:t>
      </w:r>
      <w:r>
        <w:rPr>
          <w:color w:val="231F20"/>
        </w:rPr>
        <w:t>For</w:t>
      </w:r>
      <w:r>
        <w:rPr>
          <w:color w:val="231F20"/>
          <w:spacing w:val="-1"/>
        </w:rPr>
        <w:t xml:space="preserve"> </w:t>
      </w:r>
      <w:r>
        <w:rPr>
          <w:color w:val="231F20"/>
        </w:rPr>
        <w:t>example,</w:t>
      </w:r>
      <w:r>
        <w:rPr>
          <w:color w:val="231F20"/>
          <w:spacing w:val="-1"/>
        </w:rPr>
        <w:t xml:space="preserve"> </w:t>
      </w:r>
      <w:r>
        <w:rPr>
          <w:color w:val="231F20"/>
        </w:rPr>
        <w:t>one</w:t>
      </w:r>
      <w:r>
        <w:rPr>
          <w:color w:val="231F20"/>
          <w:spacing w:val="-1"/>
        </w:rPr>
        <w:t xml:space="preserve"> </w:t>
      </w:r>
      <w:r>
        <w:rPr>
          <w:color w:val="231F20"/>
        </w:rPr>
        <w:t>of</w:t>
      </w:r>
      <w:r>
        <w:rPr>
          <w:color w:val="231F20"/>
          <w:spacing w:val="-1"/>
        </w:rPr>
        <w:t xml:space="preserve"> </w:t>
      </w:r>
      <w:r>
        <w:rPr>
          <w:color w:val="231F20"/>
        </w:rPr>
        <w:t>the</w:t>
      </w:r>
      <w:r>
        <w:rPr>
          <w:color w:val="231F20"/>
          <w:spacing w:val="-1"/>
        </w:rPr>
        <w:t xml:space="preserve"> </w:t>
      </w:r>
      <w:r>
        <w:rPr>
          <w:color w:val="231F20"/>
        </w:rPr>
        <w:t>constraints</w:t>
      </w:r>
      <w:r>
        <w:rPr>
          <w:color w:val="231F20"/>
          <w:spacing w:val="-1"/>
        </w:rPr>
        <w:t xml:space="preserve"> </w:t>
      </w:r>
      <w:r>
        <w:rPr>
          <w:color w:val="231F20"/>
        </w:rPr>
        <w:t>that</w:t>
      </w:r>
      <w:r>
        <w:rPr>
          <w:color w:val="231F20"/>
          <w:spacing w:val="-1"/>
        </w:rPr>
        <w:t xml:space="preserve"> </w:t>
      </w:r>
      <w:r>
        <w:rPr>
          <w:color w:val="231F20"/>
        </w:rPr>
        <w:t>they</w:t>
      </w:r>
      <w:r>
        <w:rPr>
          <w:color w:val="231F20"/>
          <w:spacing w:val="-1"/>
        </w:rPr>
        <w:t xml:space="preserve"> </w:t>
      </w:r>
      <w:r>
        <w:rPr>
          <w:color w:val="231F20"/>
        </w:rPr>
        <w:t>found</w:t>
      </w:r>
      <w:r>
        <w:rPr>
          <w:color w:val="231F20"/>
          <w:spacing w:val="-1"/>
        </w:rPr>
        <w:t xml:space="preserve"> </w:t>
      </w:r>
      <w:r>
        <w:rPr>
          <w:color w:val="231F20"/>
        </w:rPr>
        <w:t xml:space="preserve">was that non-skiers were afraid that they would be cold and uncomfortable </w:t>
      </w:r>
      <w:r>
        <w:rPr>
          <w:color w:val="231F20"/>
          <w:w w:val="95"/>
        </w:rPr>
        <w:t xml:space="preserve">on the slopes. A logical management response to this is to raise consumer awareness of technological advances in the manufacture of winter clothing </w:t>
      </w:r>
      <w:r>
        <w:rPr>
          <w:color w:val="231F20"/>
        </w:rPr>
        <w:t>that will allow enhanced ski</w:t>
      </w:r>
      <w:r>
        <w:rPr>
          <w:color w:val="231F20"/>
        </w:rPr>
        <w:t xml:space="preserve"> comfort. Figure 9.3 has been modified from the hierarchical model of leisure constraints (Jackson </w:t>
      </w:r>
      <w:r>
        <w:rPr>
          <w:i/>
          <w:color w:val="231F20"/>
        </w:rPr>
        <w:t>et al</w:t>
      </w:r>
      <w:r>
        <w:rPr>
          <w:color w:val="231F20"/>
        </w:rPr>
        <w:t>., 1993) to emphasise</w:t>
      </w:r>
      <w:r>
        <w:rPr>
          <w:color w:val="231F20"/>
          <w:spacing w:val="-8"/>
        </w:rPr>
        <w:t xml:space="preserve"> </w:t>
      </w:r>
      <w:r>
        <w:rPr>
          <w:color w:val="231F20"/>
        </w:rPr>
        <w:t>its</w:t>
      </w:r>
      <w:r>
        <w:rPr>
          <w:color w:val="231F20"/>
          <w:spacing w:val="-8"/>
        </w:rPr>
        <w:t xml:space="preserve"> </w:t>
      </w:r>
      <w:r>
        <w:rPr>
          <w:color w:val="231F20"/>
        </w:rPr>
        <w:t>relevance</w:t>
      </w:r>
      <w:r>
        <w:rPr>
          <w:color w:val="231F20"/>
          <w:spacing w:val="-8"/>
        </w:rPr>
        <w:t xml:space="preserve"> </w:t>
      </w:r>
      <w:r>
        <w:rPr>
          <w:color w:val="231F20"/>
        </w:rPr>
        <w:t>in</w:t>
      </w:r>
      <w:r>
        <w:rPr>
          <w:color w:val="231F20"/>
          <w:spacing w:val="-8"/>
        </w:rPr>
        <w:t xml:space="preserve"> </w:t>
      </w:r>
      <w:r>
        <w:rPr>
          <w:color w:val="231F20"/>
        </w:rPr>
        <w:t>the</w:t>
      </w:r>
      <w:r>
        <w:rPr>
          <w:color w:val="231F20"/>
          <w:spacing w:val="-8"/>
        </w:rPr>
        <w:t xml:space="preserve"> </w:t>
      </w:r>
      <w:r>
        <w:rPr>
          <w:color w:val="231F20"/>
        </w:rPr>
        <w:t>study</w:t>
      </w:r>
      <w:r>
        <w:rPr>
          <w:color w:val="231F20"/>
          <w:spacing w:val="-8"/>
        </w:rPr>
        <w:t xml:space="preserve"> </w:t>
      </w:r>
      <w:r>
        <w:rPr>
          <w:color w:val="231F20"/>
        </w:rPr>
        <w:t>of</w:t>
      </w:r>
      <w:r>
        <w:rPr>
          <w:color w:val="231F20"/>
          <w:spacing w:val="-8"/>
        </w:rPr>
        <w:t xml:space="preserve"> </w:t>
      </w:r>
      <w:r>
        <w:rPr>
          <w:color w:val="231F20"/>
        </w:rPr>
        <w:t>sport</w:t>
      </w:r>
      <w:r>
        <w:rPr>
          <w:color w:val="231F20"/>
          <w:spacing w:val="-8"/>
        </w:rPr>
        <w:t xml:space="preserve"> </w:t>
      </w:r>
      <w:r>
        <w:rPr>
          <w:color w:val="231F20"/>
        </w:rPr>
        <w:t>tourism</w:t>
      </w:r>
      <w:r>
        <w:rPr>
          <w:color w:val="231F20"/>
          <w:spacing w:val="-8"/>
        </w:rPr>
        <w:t xml:space="preserve"> </w:t>
      </w:r>
      <w:r>
        <w:rPr>
          <w:color w:val="231F20"/>
        </w:rPr>
        <w:t>seasonality.</w:t>
      </w:r>
    </w:p>
    <w:p w14:paraId="589B4DAE" w14:textId="77777777" w:rsidR="00AE0598" w:rsidRDefault="0069255A">
      <w:pPr>
        <w:pStyle w:val="Corpodetexto"/>
        <w:spacing w:before="14" w:line="232" w:lineRule="auto"/>
        <w:ind w:left="110" w:right="126" w:firstLine="320"/>
        <w:jc w:val="both"/>
      </w:pPr>
      <w:r>
        <w:rPr>
          <w:color w:val="231F20"/>
        </w:rPr>
        <w:t xml:space="preserve">One of the key characteristics of this model is the order in which </w:t>
      </w:r>
      <w:r>
        <w:rPr>
          <w:color w:val="231F20"/>
          <w:w w:val="95"/>
        </w:rPr>
        <w:t>season</w:t>
      </w:r>
      <w:r>
        <w:rPr>
          <w:color w:val="231F20"/>
          <w:w w:val="95"/>
        </w:rPr>
        <w:t>al</w:t>
      </w:r>
      <w:r>
        <w:rPr>
          <w:color w:val="231F20"/>
          <w:spacing w:val="-3"/>
          <w:w w:val="95"/>
        </w:rPr>
        <w:t xml:space="preserve"> </w:t>
      </w:r>
      <w:r>
        <w:rPr>
          <w:color w:val="231F20"/>
          <w:w w:val="95"/>
        </w:rPr>
        <w:t>constraints</w:t>
      </w:r>
      <w:r>
        <w:rPr>
          <w:color w:val="231F20"/>
          <w:spacing w:val="-3"/>
          <w:w w:val="95"/>
        </w:rPr>
        <w:t xml:space="preserve"> </w:t>
      </w:r>
      <w:r>
        <w:rPr>
          <w:color w:val="231F20"/>
          <w:w w:val="95"/>
        </w:rPr>
        <w:t>are</w:t>
      </w:r>
      <w:r>
        <w:rPr>
          <w:color w:val="231F20"/>
          <w:spacing w:val="-3"/>
          <w:w w:val="95"/>
        </w:rPr>
        <w:t xml:space="preserve"> </w:t>
      </w:r>
      <w:r>
        <w:rPr>
          <w:color w:val="231F20"/>
          <w:w w:val="95"/>
        </w:rPr>
        <w:t>encountered</w:t>
      </w:r>
      <w:r>
        <w:rPr>
          <w:color w:val="231F20"/>
          <w:spacing w:val="-3"/>
          <w:w w:val="95"/>
        </w:rPr>
        <w:t xml:space="preserve"> </w:t>
      </w:r>
      <w:r>
        <w:rPr>
          <w:color w:val="231F20"/>
          <w:w w:val="95"/>
        </w:rPr>
        <w:t>and</w:t>
      </w:r>
      <w:r>
        <w:rPr>
          <w:color w:val="231F20"/>
          <w:spacing w:val="-3"/>
          <w:w w:val="95"/>
        </w:rPr>
        <w:t xml:space="preserve"> </w:t>
      </w:r>
      <w:r>
        <w:rPr>
          <w:color w:val="231F20"/>
          <w:w w:val="95"/>
        </w:rPr>
        <w:t>negotiated.</w:t>
      </w:r>
      <w:r>
        <w:rPr>
          <w:color w:val="231F20"/>
          <w:spacing w:val="-3"/>
          <w:w w:val="95"/>
        </w:rPr>
        <w:t xml:space="preserve"> </w:t>
      </w:r>
      <w:r>
        <w:rPr>
          <w:color w:val="231F20"/>
          <w:w w:val="95"/>
        </w:rPr>
        <w:t>In</w:t>
      </w:r>
      <w:r>
        <w:rPr>
          <w:color w:val="231F20"/>
          <w:spacing w:val="-3"/>
          <w:w w:val="95"/>
        </w:rPr>
        <w:t xml:space="preserve"> </w:t>
      </w:r>
      <w:r>
        <w:rPr>
          <w:color w:val="231F20"/>
          <w:w w:val="95"/>
        </w:rPr>
        <w:t>the</w:t>
      </w:r>
      <w:r>
        <w:rPr>
          <w:color w:val="231F20"/>
          <w:spacing w:val="-3"/>
          <w:w w:val="95"/>
        </w:rPr>
        <w:t xml:space="preserve"> </w:t>
      </w:r>
      <w:r>
        <w:rPr>
          <w:color w:val="231F20"/>
          <w:w w:val="95"/>
        </w:rPr>
        <w:t>context</w:t>
      </w:r>
      <w:r>
        <w:rPr>
          <w:color w:val="231F20"/>
          <w:spacing w:val="-3"/>
          <w:w w:val="95"/>
        </w:rPr>
        <w:t xml:space="preserve"> </w:t>
      </w:r>
      <w:r>
        <w:rPr>
          <w:color w:val="231F20"/>
          <w:w w:val="95"/>
        </w:rPr>
        <w:t>of</w:t>
      </w:r>
      <w:r>
        <w:rPr>
          <w:color w:val="231F20"/>
          <w:spacing w:val="-3"/>
          <w:w w:val="95"/>
        </w:rPr>
        <w:t xml:space="preserve"> </w:t>
      </w:r>
      <w:r>
        <w:rPr>
          <w:color w:val="231F20"/>
          <w:w w:val="95"/>
        </w:rPr>
        <w:t xml:space="preserve">sport </w:t>
      </w:r>
      <w:r>
        <w:rPr>
          <w:color w:val="231F20"/>
        </w:rPr>
        <w:t>tourism</w:t>
      </w:r>
      <w:r>
        <w:rPr>
          <w:color w:val="231F20"/>
          <w:spacing w:val="-3"/>
        </w:rPr>
        <w:t xml:space="preserve"> </w:t>
      </w:r>
      <w:r>
        <w:rPr>
          <w:color w:val="231F20"/>
        </w:rPr>
        <w:t>seasonality,</w:t>
      </w:r>
      <w:r>
        <w:rPr>
          <w:color w:val="231F20"/>
          <w:spacing w:val="-3"/>
        </w:rPr>
        <w:t xml:space="preserve"> </w:t>
      </w:r>
      <w:r>
        <w:rPr>
          <w:color w:val="231F20"/>
        </w:rPr>
        <w:t>sporting</w:t>
      </w:r>
      <w:r>
        <w:rPr>
          <w:color w:val="231F20"/>
          <w:spacing w:val="-3"/>
        </w:rPr>
        <w:t xml:space="preserve"> </w:t>
      </w:r>
      <w:r>
        <w:rPr>
          <w:color w:val="231F20"/>
        </w:rPr>
        <w:t>preferences</w:t>
      </w:r>
      <w:r>
        <w:rPr>
          <w:color w:val="231F20"/>
          <w:spacing w:val="-3"/>
        </w:rPr>
        <w:t xml:space="preserve"> </w:t>
      </w:r>
      <w:r>
        <w:rPr>
          <w:color w:val="231F20"/>
        </w:rPr>
        <w:t>are</w:t>
      </w:r>
      <w:r>
        <w:rPr>
          <w:color w:val="231F20"/>
          <w:spacing w:val="-3"/>
        </w:rPr>
        <w:t xml:space="preserve"> </w:t>
      </w:r>
      <w:r>
        <w:rPr>
          <w:color w:val="231F20"/>
        </w:rPr>
        <w:t>the</w:t>
      </w:r>
      <w:r>
        <w:rPr>
          <w:color w:val="231F20"/>
          <w:spacing w:val="-3"/>
        </w:rPr>
        <w:t xml:space="preserve"> </w:t>
      </w:r>
      <w:r>
        <w:rPr>
          <w:color w:val="231F20"/>
        </w:rPr>
        <w:t>starting</w:t>
      </w:r>
      <w:r>
        <w:rPr>
          <w:color w:val="231F20"/>
          <w:spacing w:val="-3"/>
        </w:rPr>
        <w:t xml:space="preserve"> </w:t>
      </w:r>
      <w:r>
        <w:rPr>
          <w:color w:val="231F20"/>
        </w:rPr>
        <w:t>point.</w:t>
      </w:r>
      <w:r>
        <w:rPr>
          <w:color w:val="231F20"/>
          <w:spacing w:val="-3"/>
        </w:rPr>
        <w:t xml:space="preserve"> </w:t>
      </w:r>
      <w:r>
        <w:rPr>
          <w:color w:val="231F20"/>
        </w:rPr>
        <w:t>A</w:t>
      </w:r>
      <w:r>
        <w:rPr>
          <w:color w:val="231F20"/>
          <w:spacing w:val="-3"/>
        </w:rPr>
        <w:t xml:space="preserve"> </w:t>
      </w:r>
      <w:r>
        <w:rPr>
          <w:color w:val="231F20"/>
        </w:rPr>
        <w:t>major consideration at this stage is the centrality of seasonal factors in terms of</w:t>
      </w:r>
      <w:r>
        <w:rPr>
          <w:color w:val="231F20"/>
          <w:spacing w:val="-5"/>
        </w:rPr>
        <w:t xml:space="preserve"> </w:t>
      </w:r>
      <w:r>
        <w:rPr>
          <w:color w:val="231F20"/>
        </w:rPr>
        <w:t>the</w:t>
      </w:r>
      <w:r>
        <w:rPr>
          <w:color w:val="231F20"/>
          <w:spacing w:val="-5"/>
        </w:rPr>
        <w:t xml:space="preserve"> </w:t>
      </w:r>
      <w:r>
        <w:rPr>
          <w:color w:val="231F20"/>
        </w:rPr>
        <w:t>motivations</w:t>
      </w:r>
      <w:r>
        <w:rPr>
          <w:color w:val="231F20"/>
          <w:spacing w:val="-5"/>
        </w:rPr>
        <w:t xml:space="preserve"> </w:t>
      </w:r>
      <w:r>
        <w:rPr>
          <w:color w:val="231F20"/>
        </w:rPr>
        <w:t>for</w:t>
      </w:r>
      <w:r>
        <w:rPr>
          <w:color w:val="231F20"/>
          <w:spacing w:val="-5"/>
        </w:rPr>
        <w:t xml:space="preserve"> </w:t>
      </w:r>
      <w:r>
        <w:rPr>
          <w:color w:val="231F20"/>
        </w:rPr>
        <w:t>travel.</w:t>
      </w:r>
      <w:r>
        <w:rPr>
          <w:color w:val="231F20"/>
          <w:spacing w:val="-5"/>
        </w:rPr>
        <w:t xml:space="preserve"> </w:t>
      </w:r>
      <w:r>
        <w:rPr>
          <w:color w:val="231F20"/>
        </w:rPr>
        <w:t>In</w:t>
      </w:r>
      <w:r>
        <w:rPr>
          <w:color w:val="231F20"/>
          <w:spacing w:val="-5"/>
        </w:rPr>
        <w:t xml:space="preserve"> </w:t>
      </w:r>
      <w:r>
        <w:rPr>
          <w:color w:val="231F20"/>
        </w:rPr>
        <w:t>cases</w:t>
      </w:r>
      <w:r>
        <w:rPr>
          <w:color w:val="231F20"/>
          <w:spacing w:val="-5"/>
        </w:rPr>
        <w:t xml:space="preserve"> </w:t>
      </w:r>
      <w:r>
        <w:rPr>
          <w:color w:val="231F20"/>
        </w:rPr>
        <w:t>where</w:t>
      </w:r>
      <w:r>
        <w:rPr>
          <w:color w:val="231F20"/>
          <w:spacing w:val="-5"/>
        </w:rPr>
        <w:t xml:space="preserve"> </w:t>
      </w:r>
      <w:r>
        <w:rPr>
          <w:color w:val="231F20"/>
        </w:rPr>
        <w:t>natural</w:t>
      </w:r>
      <w:r>
        <w:rPr>
          <w:color w:val="231F20"/>
          <w:spacing w:val="-5"/>
        </w:rPr>
        <w:t xml:space="preserve"> </w:t>
      </w:r>
      <w:r>
        <w:rPr>
          <w:color w:val="231F20"/>
        </w:rPr>
        <w:t>seasonal</w:t>
      </w:r>
      <w:r>
        <w:rPr>
          <w:color w:val="231F20"/>
          <w:spacing w:val="-5"/>
        </w:rPr>
        <w:t xml:space="preserve"> </w:t>
      </w:r>
      <w:r>
        <w:rPr>
          <w:color w:val="231F20"/>
        </w:rPr>
        <w:t>factors</w:t>
      </w:r>
      <w:r>
        <w:rPr>
          <w:color w:val="231F20"/>
          <w:spacing w:val="-5"/>
        </w:rPr>
        <w:t xml:space="preserve"> </w:t>
      </w:r>
      <w:r>
        <w:rPr>
          <w:color w:val="231F20"/>
        </w:rPr>
        <w:t>like climatic</w:t>
      </w:r>
      <w:r>
        <w:rPr>
          <w:color w:val="231F20"/>
          <w:spacing w:val="-9"/>
        </w:rPr>
        <w:t xml:space="preserve"> </w:t>
      </w:r>
      <w:r>
        <w:rPr>
          <w:color w:val="231F20"/>
        </w:rPr>
        <w:t>conditions</w:t>
      </w:r>
      <w:r>
        <w:rPr>
          <w:color w:val="231F20"/>
          <w:spacing w:val="-9"/>
        </w:rPr>
        <w:t xml:space="preserve"> </w:t>
      </w:r>
      <w:r>
        <w:rPr>
          <w:color w:val="231F20"/>
        </w:rPr>
        <w:t>are</w:t>
      </w:r>
      <w:r>
        <w:rPr>
          <w:color w:val="231F20"/>
          <w:spacing w:val="-9"/>
        </w:rPr>
        <w:t xml:space="preserve"> </w:t>
      </w:r>
      <w:r>
        <w:rPr>
          <w:color w:val="231F20"/>
        </w:rPr>
        <w:t>the</w:t>
      </w:r>
      <w:r>
        <w:rPr>
          <w:color w:val="231F20"/>
          <w:spacing w:val="-9"/>
        </w:rPr>
        <w:t xml:space="preserve"> </w:t>
      </w:r>
      <w:r>
        <w:rPr>
          <w:color w:val="231F20"/>
        </w:rPr>
        <w:t>primary</w:t>
      </w:r>
      <w:r>
        <w:rPr>
          <w:color w:val="231F20"/>
          <w:spacing w:val="-9"/>
        </w:rPr>
        <w:t xml:space="preserve"> </w:t>
      </w:r>
      <w:r>
        <w:rPr>
          <w:color w:val="231F20"/>
        </w:rPr>
        <w:t>attraction</w:t>
      </w:r>
      <w:r>
        <w:rPr>
          <w:color w:val="231F20"/>
          <w:spacing w:val="-9"/>
        </w:rPr>
        <w:t xml:space="preserve"> </w:t>
      </w:r>
      <w:r>
        <w:rPr>
          <w:color w:val="231F20"/>
        </w:rPr>
        <w:t>or</w:t>
      </w:r>
      <w:r>
        <w:rPr>
          <w:color w:val="231F20"/>
          <w:spacing w:val="-9"/>
        </w:rPr>
        <w:t xml:space="preserve"> </w:t>
      </w:r>
      <w:r>
        <w:rPr>
          <w:color w:val="231F20"/>
        </w:rPr>
        <w:t>motivation</w:t>
      </w:r>
      <w:r>
        <w:rPr>
          <w:color w:val="231F20"/>
          <w:spacing w:val="-9"/>
        </w:rPr>
        <w:t xml:space="preserve"> </w:t>
      </w:r>
      <w:r>
        <w:rPr>
          <w:color w:val="231F20"/>
        </w:rPr>
        <w:t>for</w:t>
      </w:r>
      <w:r>
        <w:rPr>
          <w:color w:val="231F20"/>
          <w:spacing w:val="-9"/>
        </w:rPr>
        <w:t xml:space="preserve"> </w:t>
      </w:r>
      <w:r>
        <w:rPr>
          <w:color w:val="231F20"/>
        </w:rPr>
        <w:t>the</w:t>
      </w:r>
      <w:r>
        <w:rPr>
          <w:color w:val="231F20"/>
          <w:spacing w:val="-9"/>
        </w:rPr>
        <w:t xml:space="preserve"> </w:t>
      </w:r>
      <w:r>
        <w:rPr>
          <w:color w:val="231F20"/>
        </w:rPr>
        <w:t>sport tourists</w:t>
      </w:r>
      <w:r>
        <w:rPr>
          <w:color w:val="231F20"/>
          <w:spacing w:val="-8"/>
        </w:rPr>
        <w:t xml:space="preserve"> </w:t>
      </w:r>
      <w:r>
        <w:rPr>
          <w:color w:val="231F20"/>
        </w:rPr>
        <w:t>(e.g.</w:t>
      </w:r>
      <w:r>
        <w:rPr>
          <w:color w:val="231F20"/>
          <w:spacing w:val="-8"/>
        </w:rPr>
        <w:t xml:space="preserve"> </w:t>
      </w:r>
      <w:r>
        <w:rPr>
          <w:color w:val="231F20"/>
        </w:rPr>
        <w:t>sunny</w:t>
      </w:r>
      <w:r>
        <w:rPr>
          <w:color w:val="231F20"/>
          <w:spacing w:val="-8"/>
        </w:rPr>
        <w:t xml:space="preserve"> </w:t>
      </w:r>
      <w:r>
        <w:rPr>
          <w:color w:val="231F20"/>
        </w:rPr>
        <w:t>warm</w:t>
      </w:r>
      <w:r>
        <w:rPr>
          <w:color w:val="231F20"/>
          <w:spacing w:val="-8"/>
        </w:rPr>
        <w:t xml:space="preserve"> </w:t>
      </w:r>
      <w:r>
        <w:rPr>
          <w:color w:val="231F20"/>
        </w:rPr>
        <w:t>conditions</w:t>
      </w:r>
      <w:r>
        <w:rPr>
          <w:color w:val="231F20"/>
          <w:spacing w:val="-8"/>
        </w:rPr>
        <w:t xml:space="preserve"> </w:t>
      </w:r>
      <w:r>
        <w:rPr>
          <w:color w:val="231F20"/>
        </w:rPr>
        <w:t>for</w:t>
      </w:r>
      <w:r>
        <w:rPr>
          <w:color w:val="231F20"/>
          <w:spacing w:val="-8"/>
        </w:rPr>
        <w:t xml:space="preserve"> </w:t>
      </w:r>
      <w:r>
        <w:rPr>
          <w:color w:val="231F20"/>
        </w:rPr>
        <w:t>casual</w:t>
      </w:r>
      <w:r>
        <w:rPr>
          <w:color w:val="231F20"/>
          <w:spacing w:val="-8"/>
        </w:rPr>
        <w:t xml:space="preserve"> </w:t>
      </w:r>
      <w:r>
        <w:rPr>
          <w:color w:val="231F20"/>
        </w:rPr>
        <w:t>sport</w:t>
      </w:r>
      <w:r>
        <w:rPr>
          <w:color w:val="231F20"/>
          <w:spacing w:val="-8"/>
        </w:rPr>
        <w:t xml:space="preserve"> </w:t>
      </w:r>
      <w:r>
        <w:rPr>
          <w:color w:val="231F20"/>
        </w:rPr>
        <w:t>tourists,</w:t>
      </w:r>
      <w:r>
        <w:rPr>
          <w:color w:val="231F20"/>
          <w:spacing w:val="-8"/>
        </w:rPr>
        <w:t xml:space="preserve"> </w:t>
      </w:r>
      <w:r>
        <w:rPr>
          <w:color w:val="231F20"/>
        </w:rPr>
        <w:t xml:space="preserve">favourable </w:t>
      </w:r>
      <w:r>
        <w:rPr>
          <w:color w:val="231F20"/>
          <w:w w:val="95"/>
        </w:rPr>
        <w:t>snow conditions for serious snowboarders), their abse</w:t>
      </w:r>
      <w:r>
        <w:rPr>
          <w:color w:val="231F20"/>
          <w:w w:val="95"/>
        </w:rPr>
        <w:t xml:space="preserve">nce in a destination during a given time of the year will be a major and perhaps insurmountable </w:t>
      </w:r>
      <w:r>
        <w:rPr>
          <w:color w:val="231F20"/>
        </w:rPr>
        <w:t>constraint.</w:t>
      </w:r>
      <w:r>
        <w:rPr>
          <w:color w:val="231F20"/>
          <w:spacing w:val="42"/>
        </w:rPr>
        <w:t xml:space="preserve"> </w:t>
      </w:r>
      <w:r>
        <w:rPr>
          <w:color w:val="231F20"/>
        </w:rPr>
        <w:t>Jackson</w:t>
      </w:r>
      <w:r>
        <w:rPr>
          <w:color w:val="231F20"/>
          <w:spacing w:val="42"/>
        </w:rPr>
        <w:t xml:space="preserve"> </w:t>
      </w:r>
      <w:r>
        <w:rPr>
          <w:i/>
          <w:color w:val="231F20"/>
        </w:rPr>
        <w:t>et</w:t>
      </w:r>
      <w:r>
        <w:rPr>
          <w:i/>
          <w:color w:val="231F20"/>
          <w:spacing w:val="42"/>
        </w:rPr>
        <w:t xml:space="preserve"> </w:t>
      </w:r>
      <w:r>
        <w:rPr>
          <w:i/>
          <w:color w:val="231F20"/>
        </w:rPr>
        <w:t>al.</w:t>
      </w:r>
      <w:r>
        <w:rPr>
          <w:i/>
          <w:color w:val="231F20"/>
          <w:spacing w:val="42"/>
        </w:rPr>
        <w:t xml:space="preserve"> </w:t>
      </w:r>
      <w:r>
        <w:rPr>
          <w:color w:val="231F20"/>
        </w:rPr>
        <w:t>(1993)</w:t>
      </w:r>
      <w:r>
        <w:rPr>
          <w:color w:val="231F20"/>
          <w:spacing w:val="43"/>
        </w:rPr>
        <w:t xml:space="preserve"> </w:t>
      </w:r>
      <w:r>
        <w:rPr>
          <w:color w:val="231F20"/>
        </w:rPr>
        <w:t>have</w:t>
      </w:r>
      <w:r>
        <w:rPr>
          <w:color w:val="231F20"/>
          <w:spacing w:val="42"/>
        </w:rPr>
        <w:t xml:space="preserve"> </w:t>
      </w:r>
      <w:r>
        <w:rPr>
          <w:color w:val="231F20"/>
        </w:rPr>
        <w:t>labelled</w:t>
      </w:r>
      <w:r>
        <w:rPr>
          <w:color w:val="231F20"/>
          <w:spacing w:val="42"/>
        </w:rPr>
        <w:t xml:space="preserve"> </w:t>
      </w:r>
      <w:r>
        <w:rPr>
          <w:color w:val="231F20"/>
        </w:rPr>
        <w:t>these</w:t>
      </w:r>
      <w:r>
        <w:rPr>
          <w:color w:val="231F20"/>
          <w:spacing w:val="42"/>
        </w:rPr>
        <w:t xml:space="preserve"> </w:t>
      </w:r>
      <w:r>
        <w:rPr>
          <w:color w:val="231F20"/>
        </w:rPr>
        <w:t>as</w:t>
      </w:r>
      <w:r>
        <w:rPr>
          <w:color w:val="231F20"/>
          <w:spacing w:val="42"/>
        </w:rPr>
        <w:t xml:space="preserve"> </w:t>
      </w:r>
      <w:r>
        <w:rPr>
          <w:color w:val="231F20"/>
          <w:spacing w:val="-2"/>
          <w:w w:val="95"/>
        </w:rPr>
        <w:t>intrapersonal</w:t>
      </w:r>
    </w:p>
    <w:p w14:paraId="58FFDFE8" w14:textId="77777777" w:rsidR="00AE0598" w:rsidRDefault="00AE0598">
      <w:pPr>
        <w:pStyle w:val="Corpodetexto"/>
        <w:rPr>
          <w:sz w:val="20"/>
        </w:rPr>
      </w:pPr>
    </w:p>
    <w:p w14:paraId="6B3D9CFF" w14:textId="77777777" w:rsidR="00AE0598" w:rsidRDefault="00AE0598">
      <w:pPr>
        <w:pStyle w:val="Corpodetexto"/>
        <w:rPr>
          <w:sz w:val="20"/>
        </w:rPr>
      </w:pPr>
    </w:p>
    <w:p w14:paraId="35BCDB0C" w14:textId="77777777" w:rsidR="00AE0598" w:rsidRDefault="00AE0598">
      <w:pPr>
        <w:pStyle w:val="Corpodetexto"/>
        <w:spacing w:before="4"/>
        <w:rPr>
          <w:sz w:val="22"/>
        </w:rPr>
      </w:pPr>
    </w:p>
    <w:p w14:paraId="292C314E" w14:textId="181A84C9" w:rsidR="00AE0598" w:rsidRDefault="0069255A">
      <w:pPr>
        <w:spacing w:line="247" w:lineRule="auto"/>
        <w:ind w:left="2465" w:right="3231" w:hanging="1"/>
        <w:jc w:val="center"/>
        <w:rPr>
          <w:i/>
          <w:sz w:val="13"/>
        </w:rPr>
      </w:pPr>
      <w:r>
        <w:rPr>
          <w:noProof/>
        </w:rPr>
        <mc:AlternateContent>
          <mc:Choice Requires="wpg">
            <w:drawing>
              <wp:anchor distT="0" distB="0" distL="114300" distR="114300" simplePos="0" relativeHeight="483747328" behindDoc="1" locked="0" layoutInCell="1" allowOverlap="1" wp14:anchorId="6580E4FD" wp14:editId="460A66E7">
                <wp:simplePos x="0" y="0"/>
                <wp:positionH relativeFrom="page">
                  <wp:posOffset>826135</wp:posOffset>
                </wp:positionH>
                <wp:positionV relativeFrom="paragraph">
                  <wp:posOffset>-95885</wp:posOffset>
                </wp:positionV>
                <wp:extent cx="1131570" cy="1271270"/>
                <wp:effectExtent l="0" t="0" r="0" b="0"/>
                <wp:wrapNone/>
                <wp:docPr id="71" name="docshapegroup2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31570" cy="1271270"/>
                          <a:chOff x="1301" y="-151"/>
                          <a:chExt cx="1782" cy="2002"/>
                        </a:xfrm>
                      </wpg:grpSpPr>
                      <wps:wsp>
                        <wps:cNvPr id="72" name="Line 77"/>
                        <wps:cNvCnPr>
                          <a:cxnSpLocks noChangeShapeType="1"/>
                        </wps:cNvCnPr>
                        <wps:spPr bwMode="auto">
                          <a:xfrm>
                            <a:off x="2168" y="674"/>
                            <a:ext cx="0" cy="587"/>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73" name="docshape283"/>
                        <wps:cNvSpPr>
                          <a:spLocks/>
                        </wps:cNvSpPr>
                        <wps:spPr bwMode="auto">
                          <a:xfrm>
                            <a:off x="2128" y="1247"/>
                            <a:ext cx="79" cy="79"/>
                          </a:xfrm>
                          <a:custGeom>
                            <a:avLst/>
                            <a:gdLst>
                              <a:gd name="T0" fmla="+- 0 2207 2129"/>
                              <a:gd name="T1" fmla="*/ T0 w 79"/>
                              <a:gd name="T2" fmla="+- 0 1248 1248"/>
                              <a:gd name="T3" fmla="*/ 1248 h 79"/>
                              <a:gd name="T4" fmla="+- 0 2129 2129"/>
                              <a:gd name="T5" fmla="*/ T4 w 79"/>
                              <a:gd name="T6" fmla="+- 0 1248 1248"/>
                              <a:gd name="T7" fmla="*/ 1248 h 79"/>
                              <a:gd name="T8" fmla="+- 0 2169 2129"/>
                              <a:gd name="T9" fmla="*/ T8 w 79"/>
                              <a:gd name="T10" fmla="+- 0 1326 1248"/>
                              <a:gd name="T11" fmla="*/ 1326 h 79"/>
                              <a:gd name="T12" fmla="+- 0 2207 2129"/>
                              <a:gd name="T13" fmla="*/ T12 w 79"/>
                              <a:gd name="T14" fmla="+- 0 1248 1248"/>
                              <a:gd name="T15" fmla="*/ 1248 h 79"/>
                            </a:gdLst>
                            <a:ahLst/>
                            <a:cxnLst>
                              <a:cxn ang="0">
                                <a:pos x="T1" y="T3"/>
                              </a:cxn>
                              <a:cxn ang="0">
                                <a:pos x="T5" y="T7"/>
                              </a:cxn>
                              <a:cxn ang="0">
                                <a:pos x="T9" y="T11"/>
                              </a:cxn>
                              <a:cxn ang="0">
                                <a:pos x="T13" y="T15"/>
                              </a:cxn>
                            </a:cxnLst>
                            <a:rect l="0" t="0" r="r" b="b"/>
                            <a:pathLst>
                              <a:path w="79" h="79">
                                <a:moveTo>
                                  <a:pt x="78" y="0"/>
                                </a:moveTo>
                                <a:lnTo>
                                  <a:pt x="0" y="0"/>
                                </a:lnTo>
                                <a:lnTo>
                                  <a:pt x="40" y="78"/>
                                </a:lnTo>
                                <a:lnTo>
                                  <a:pt x="78" y="0"/>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4" name="docshape284"/>
                        <wps:cNvSpPr>
                          <a:spLocks/>
                        </wps:cNvSpPr>
                        <wps:spPr bwMode="auto">
                          <a:xfrm>
                            <a:off x="1305" y="-146"/>
                            <a:ext cx="1772" cy="820"/>
                          </a:xfrm>
                          <a:custGeom>
                            <a:avLst/>
                            <a:gdLst>
                              <a:gd name="T0" fmla="+- 0 1306 1306"/>
                              <a:gd name="T1" fmla="*/ T0 w 1772"/>
                              <a:gd name="T2" fmla="+- 0 264 -146"/>
                              <a:gd name="T3" fmla="*/ 264 h 820"/>
                              <a:gd name="T4" fmla="+- 0 1329 1306"/>
                              <a:gd name="T5" fmla="*/ T4 w 1772"/>
                              <a:gd name="T6" fmla="+- 0 170 -146"/>
                              <a:gd name="T7" fmla="*/ 170 h 820"/>
                              <a:gd name="T8" fmla="+- 0 1396 1306"/>
                              <a:gd name="T9" fmla="*/ T8 w 1772"/>
                              <a:gd name="T10" fmla="+- 0 84 -146"/>
                              <a:gd name="T11" fmla="*/ 84 h 820"/>
                              <a:gd name="T12" fmla="+- 0 1444 1306"/>
                              <a:gd name="T13" fmla="*/ T12 w 1772"/>
                              <a:gd name="T14" fmla="+- 0 44 -146"/>
                              <a:gd name="T15" fmla="*/ 44 h 820"/>
                              <a:gd name="T16" fmla="+- 0 1500 1306"/>
                              <a:gd name="T17" fmla="*/ T16 w 1772"/>
                              <a:gd name="T18" fmla="+- 0 8 -146"/>
                              <a:gd name="T19" fmla="*/ 8 h 820"/>
                              <a:gd name="T20" fmla="+- 0 1565 1306"/>
                              <a:gd name="T21" fmla="*/ T20 w 1772"/>
                              <a:gd name="T22" fmla="+- 0 -26 -146"/>
                              <a:gd name="T23" fmla="*/ -26 h 820"/>
                              <a:gd name="T24" fmla="+- 0 1638 1306"/>
                              <a:gd name="T25" fmla="*/ T24 w 1772"/>
                              <a:gd name="T26" fmla="+- 0 -56 -146"/>
                              <a:gd name="T27" fmla="*/ -56 h 820"/>
                              <a:gd name="T28" fmla="+- 0 1717 1306"/>
                              <a:gd name="T29" fmla="*/ T28 w 1772"/>
                              <a:gd name="T30" fmla="+- 0 -82 -146"/>
                              <a:gd name="T31" fmla="*/ -82 h 820"/>
                              <a:gd name="T32" fmla="+- 0 1802 1306"/>
                              <a:gd name="T33" fmla="*/ T32 w 1772"/>
                              <a:gd name="T34" fmla="+- 0 -104 -146"/>
                              <a:gd name="T35" fmla="*/ -104 h 820"/>
                              <a:gd name="T36" fmla="+- 0 1893 1306"/>
                              <a:gd name="T37" fmla="*/ T36 w 1772"/>
                              <a:gd name="T38" fmla="+- 0 -122 -146"/>
                              <a:gd name="T39" fmla="*/ -122 h 820"/>
                              <a:gd name="T40" fmla="+- 0 1988 1306"/>
                              <a:gd name="T41" fmla="*/ T40 w 1772"/>
                              <a:gd name="T42" fmla="+- 0 -135 -146"/>
                              <a:gd name="T43" fmla="*/ -135 h 820"/>
                              <a:gd name="T44" fmla="+- 0 2088 1306"/>
                              <a:gd name="T45" fmla="*/ T44 w 1772"/>
                              <a:gd name="T46" fmla="+- 0 -143 -146"/>
                              <a:gd name="T47" fmla="*/ -143 h 820"/>
                              <a:gd name="T48" fmla="+- 0 2192 1306"/>
                              <a:gd name="T49" fmla="*/ T48 w 1772"/>
                              <a:gd name="T50" fmla="+- 0 -146 -146"/>
                              <a:gd name="T51" fmla="*/ -146 h 820"/>
                              <a:gd name="T52" fmla="+- 0 2295 1306"/>
                              <a:gd name="T53" fmla="*/ T52 w 1772"/>
                              <a:gd name="T54" fmla="+- 0 -143 -146"/>
                              <a:gd name="T55" fmla="*/ -143 h 820"/>
                              <a:gd name="T56" fmla="+- 0 2395 1306"/>
                              <a:gd name="T57" fmla="*/ T56 w 1772"/>
                              <a:gd name="T58" fmla="+- 0 -135 -146"/>
                              <a:gd name="T59" fmla="*/ -135 h 820"/>
                              <a:gd name="T60" fmla="+- 0 2490 1306"/>
                              <a:gd name="T61" fmla="*/ T60 w 1772"/>
                              <a:gd name="T62" fmla="+- 0 -122 -146"/>
                              <a:gd name="T63" fmla="*/ -122 h 820"/>
                              <a:gd name="T64" fmla="+- 0 2581 1306"/>
                              <a:gd name="T65" fmla="*/ T64 w 1772"/>
                              <a:gd name="T66" fmla="+- 0 -104 -146"/>
                              <a:gd name="T67" fmla="*/ -104 h 820"/>
                              <a:gd name="T68" fmla="+- 0 2667 1306"/>
                              <a:gd name="T69" fmla="*/ T68 w 1772"/>
                              <a:gd name="T70" fmla="+- 0 -82 -146"/>
                              <a:gd name="T71" fmla="*/ -82 h 820"/>
                              <a:gd name="T72" fmla="+- 0 2746 1306"/>
                              <a:gd name="T73" fmla="*/ T72 w 1772"/>
                              <a:gd name="T74" fmla="+- 0 -56 -146"/>
                              <a:gd name="T75" fmla="*/ -56 h 820"/>
                              <a:gd name="T76" fmla="+- 0 2818 1306"/>
                              <a:gd name="T77" fmla="*/ T76 w 1772"/>
                              <a:gd name="T78" fmla="+- 0 -26 -146"/>
                              <a:gd name="T79" fmla="*/ -26 h 820"/>
                              <a:gd name="T80" fmla="+- 0 2883 1306"/>
                              <a:gd name="T81" fmla="*/ T80 w 1772"/>
                              <a:gd name="T82" fmla="+- 0 8 -146"/>
                              <a:gd name="T83" fmla="*/ 8 h 820"/>
                              <a:gd name="T84" fmla="+- 0 2940 1306"/>
                              <a:gd name="T85" fmla="*/ T84 w 1772"/>
                              <a:gd name="T86" fmla="+- 0 44 -146"/>
                              <a:gd name="T87" fmla="*/ 44 h 820"/>
                              <a:gd name="T88" fmla="+- 0 2988 1306"/>
                              <a:gd name="T89" fmla="*/ T88 w 1772"/>
                              <a:gd name="T90" fmla="+- 0 84 -146"/>
                              <a:gd name="T91" fmla="*/ 84 h 820"/>
                              <a:gd name="T92" fmla="+- 0 3054 1306"/>
                              <a:gd name="T93" fmla="*/ T92 w 1772"/>
                              <a:gd name="T94" fmla="+- 0 170 -146"/>
                              <a:gd name="T95" fmla="*/ 170 h 820"/>
                              <a:gd name="T96" fmla="+- 0 3078 1306"/>
                              <a:gd name="T97" fmla="*/ T96 w 1772"/>
                              <a:gd name="T98" fmla="+- 0 264 -146"/>
                              <a:gd name="T99" fmla="*/ 264 h 820"/>
                              <a:gd name="T100" fmla="+- 0 3072 1306"/>
                              <a:gd name="T101" fmla="*/ T100 w 1772"/>
                              <a:gd name="T102" fmla="+- 0 312 -146"/>
                              <a:gd name="T103" fmla="*/ 312 h 820"/>
                              <a:gd name="T104" fmla="+- 0 3026 1306"/>
                              <a:gd name="T105" fmla="*/ T104 w 1772"/>
                              <a:gd name="T106" fmla="+- 0 402 -146"/>
                              <a:gd name="T107" fmla="*/ 402 h 820"/>
                              <a:gd name="T108" fmla="+- 0 2940 1306"/>
                              <a:gd name="T109" fmla="*/ T108 w 1772"/>
                              <a:gd name="T110" fmla="+- 0 484 -146"/>
                              <a:gd name="T111" fmla="*/ 484 h 820"/>
                              <a:gd name="T112" fmla="+- 0 2883 1306"/>
                              <a:gd name="T113" fmla="*/ T112 w 1772"/>
                              <a:gd name="T114" fmla="+- 0 520 -146"/>
                              <a:gd name="T115" fmla="*/ 520 h 820"/>
                              <a:gd name="T116" fmla="+- 0 2818 1306"/>
                              <a:gd name="T117" fmla="*/ T116 w 1772"/>
                              <a:gd name="T118" fmla="+- 0 554 -146"/>
                              <a:gd name="T119" fmla="*/ 554 h 820"/>
                              <a:gd name="T120" fmla="+- 0 2746 1306"/>
                              <a:gd name="T121" fmla="*/ T120 w 1772"/>
                              <a:gd name="T122" fmla="+- 0 584 -146"/>
                              <a:gd name="T123" fmla="*/ 584 h 820"/>
                              <a:gd name="T124" fmla="+- 0 2667 1306"/>
                              <a:gd name="T125" fmla="*/ T124 w 1772"/>
                              <a:gd name="T126" fmla="+- 0 610 -146"/>
                              <a:gd name="T127" fmla="*/ 610 h 820"/>
                              <a:gd name="T128" fmla="+- 0 2581 1306"/>
                              <a:gd name="T129" fmla="*/ T128 w 1772"/>
                              <a:gd name="T130" fmla="+- 0 632 -146"/>
                              <a:gd name="T131" fmla="*/ 632 h 820"/>
                              <a:gd name="T132" fmla="+- 0 2490 1306"/>
                              <a:gd name="T133" fmla="*/ T132 w 1772"/>
                              <a:gd name="T134" fmla="+- 0 650 -146"/>
                              <a:gd name="T135" fmla="*/ 650 h 820"/>
                              <a:gd name="T136" fmla="+- 0 2395 1306"/>
                              <a:gd name="T137" fmla="*/ T136 w 1772"/>
                              <a:gd name="T138" fmla="+- 0 663 -146"/>
                              <a:gd name="T139" fmla="*/ 663 h 820"/>
                              <a:gd name="T140" fmla="+- 0 2295 1306"/>
                              <a:gd name="T141" fmla="*/ T140 w 1772"/>
                              <a:gd name="T142" fmla="+- 0 671 -146"/>
                              <a:gd name="T143" fmla="*/ 671 h 820"/>
                              <a:gd name="T144" fmla="+- 0 2192 1306"/>
                              <a:gd name="T145" fmla="*/ T144 w 1772"/>
                              <a:gd name="T146" fmla="+- 0 674 -146"/>
                              <a:gd name="T147" fmla="*/ 674 h 820"/>
                              <a:gd name="T148" fmla="+- 0 2088 1306"/>
                              <a:gd name="T149" fmla="*/ T148 w 1772"/>
                              <a:gd name="T150" fmla="+- 0 671 -146"/>
                              <a:gd name="T151" fmla="*/ 671 h 820"/>
                              <a:gd name="T152" fmla="+- 0 1988 1306"/>
                              <a:gd name="T153" fmla="*/ T152 w 1772"/>
                              <a:gd name="T154" fmla="+- 0 663 -146"/>
                              <a:gd name="T155" fmla="*/ 663 h 820"/>
                              <a:gd name="T156" fmla="+- 0 1893 1306"/>
                              <a:gd name="T157" fmla="*/ T156 w 1772"/>
                              <a:gd name="T158" fmla="+- 0 650 -146"/>
                              <a:gd name="T159" fmla="*/ 650 h 820"/>
                              <a:gd name="T160" fmla="+- 0 1802 1306"/>
                              <a:gd name="T161" fmla="*/ T160 w 1772"/>
                              <a:gd name="T162" fmla="+- 0 632 -146"/>
                              <a:gd name="T163" fmla="*/ 632 h 820"/>
                              <a:gd name="T164" fmla="+- 0 1717 1306"/>
                              <a:gd name="T165" fmla="*/ T164 w 1772"/>
                              <a:gd name="T166" fmla="+- 0 610 -146"/>
                              <a:gd name="T167" fmla="*/ 610 h 820"/>
                              <a:gd name="T168" fmla="+- 0 1638 1306"/>
                              <a:gd name="T169" fmla="*/ T168 w 1772"/>
                              <a:gd name="T170" fmla="+- 0 584 -146"/>
                              <a:gd name="T171" fmla="*/ 584 h 820"/>
                              <a:gd name="T172" fmla="+- 0 1565 1306"/>
                              <a:gd name="T173" fmla="*/ T172 w 1772"/>
                              <a:gd name="T174" fmla="+- 0 554 -146"/>
                              <a:gd name="T175" fmla="*/ 554 h 820"/>
                              <a:gd name="T176" fmla="+- 0 1500 1306"/>
                              <a:gd name="T177" fmla="*/ T176 w 1772"/>
                              <a:gd name="T178" fmla="+- 0 520 -146"/>
                              <a:gd name="T179" fmla="*/ 520 h 820"/>
                              <a:gd name="T180" fmla="+- 0 1444 1306"/>
                              <a:gd name="T181" fmla="*/ T180 w 1772"/>
                              <a:gd name="T182" fmla="+- 0 484 -146"/>
                              <a:gd name="T183" fmla="*/ 484 h 820"/>
                              <a:gd name="T184" fmla="+- 0 1396 1306"/>
                              <a:gd name="T185" fmla="*/ T184 w 1772"/>
                              <a:gd name="T186" fmla="+- 0 444 -146"/>
                              <a:gd name="T187" fmla="*/ 444 h 820"/>
                              <a:gd name="T188" fmla="+- 0 1329 1306"/>
                              <a:gd name="T189" fmla="*/ T188 w 1772"/>
                              <a:gd name="T190" fmla="+- 0 358 -146"/>
                              <a:gd name="T191" fmla="*/ 358 h 820"/>
                              <a:gd name="T192" fmla="+- 0 1306 1306"/>
                              <a:gd name="T193" fmla="*/ T192 w 1772"/>
                              <a:gd name="T194" fmla="+- 0 264 -146"/>
                              <a:gd name="T195" fmla="*/ 264 h 82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Lst>
                            <a:rect l="0" t="0" r="r" b="b"/>
                            <a:pathLst>
                              <a:path w="1772" h="820">
                                <a:moveTo>
                                  <a:pt x="0" y="410"/>
                                </a:moveTo>
                                <a:lnTo>
                                  <a:pt x="23" y="316"/>
                                </a:lnTo>
                                <a:lnTo>
                                  <a:pt x="90" y="230"/>
                                </a:lnTo>
                                <a:lnTo>
                                  <a:pt x="138" y="190"/>
                                </a:lnTo>
                                <a:lnTo>
                                  <a:pt x="194" y="154"/>
                                </a:lnTo>
                                <a:lnTo>
                                  <a:pt x="259" y="120"/>
                                </a:lnTo>
                                <a:lnTo>
                                  <a:pt x="332" y="90"/>
                                </a:lnTo>
                                <a:lnTo>
                                  <a:pt x="411" y="64"/>
                                </a:lnTo>
                                <a:lnTo>
                                  <a:pt x="496" y="42"/>
                                </a:lnTo>
                                <a:lnTo>
                                  <a:pt x="587" y="24"/>
                                </a:lnTo>
                                <a:lnTo>
                                  <a:pt x="682" y="11"/>
                                </a:lnTo>
                                <a:lnTo>
                                  <a:pt x="782" y="3"/>
                                </a:lnTo>
                                <a:lnTo>
                                  <a:pt x="886" y="0"/>
                                </a:lnTo>
                                <a:lnTo>
                                  <a:pt x="989" y="3"/>
                                </a:lnTo>
                                <a:lnTo>
                                  <a:pt x="1089" y="11"/>
                                </a:lnTo>
                                <a:lnTo>
                                  <a:pt x="1184" y="24"/>
                                </a:lnTo>
                                <a:lnTo>
                                  <a:pt x="1275" y="42"/>
                                </a:lnTo>
                                <a:lnTo>
                                  <a:pt x="1361" y="64"/>
                                </a:lnTo>
                                <a:lnTo>
                                  <a:pt x="1440" y="90"/>
                                </a:lnTo>
                                <a:lnTo>
                                  <a:pt x="1512" y="120"/>
                                </a:lnTo>
                                <a:lnTo>
                                  <a:pt x="1577" y="154"/>
                                </a:lnTo>
                                <a:lnTo>
                                  <a:pt x="1634" y="190"/>
                                </a:lnTo>
                                <a:lnTo>
                                  <a:pt x="1682" y="230"/>
                                </a:lnTo>
                                <a:lnTo>
                                  <a:pt x="1748" y="316"/>
                                </a:lnTo>
                                <a:lnTo>
                                  <a:pt x="1772" y="410"/>
                                </a:lnTo>
                                <a:lnTo>
                                  <a:pt x="1766" y="458"/>
                                </a:lnTo>
                                <a:lnTo>
                                  <a:pt x="1720" y="548"/>
                                </a:lnTo>
                                <a:lnTo>
                                  <a:pt x="1634" y="630"/>
                                </a:lnTo>
                                <a:lnTo>
                                  <a:pt x="1577" y="666"/>
                                </a:lnTo>
                                <a:lnTo>
                                  <a:pt x="1512" y="700"/>
                                </a:lnTo>
                                <a:lnTo>
                                  <a:pt x="1440" y="730"/>
                                </a:lnTo>
                                <a:lnTo>
                                  <a:pt x="1361" y="756"/>
                                </a:lnTo>
                                <a:lnTo>
                                  <a:pt x="1275" y="778"/>
                                </a:lnTo>
                                <a:lnTo>
                                  <a:pt x="1184" y="796"/>
                                </a:lnTo>
                                <a:lnTo>
                                  <a:pt x="1089" y="809"/>
                                </a:lnTo>
                                <a:lnTo>
                                  <a:pt x="989" y="817"/>
                                </a:lnTo>
                                <a:lnTo>
                                  <a:pt x="886" y="820"/>
                                </a:lnTo>
                                <a:lnTo>
                                  <a:pt x="782" y="817"/>
                                </a:lnTo>
                                <a:lnTo>
                                  <a:pt x="682" y="809"/>
                                </a:lnTo>
                                <a:lnTo>
                                  <a:pt x="587" y="796"/>
                                </a:lnTo>
                                <a:lnTo>
                                  <a:pt x="496" y="778"/>
                                </a:lnTo>
                                <a:lnTo>
                                  <a:pt x="411" y="756"/>
                                </a:lnTo>
                                <a:lnTo>
                                  <a:pt x="332" y="730"/>
                                </a:lnTo>
                                <a:lnTo>
                                  <a:pt x="259" y="700"/>
                                </a:lnTo>
                                <a:lnTo>
                                  <a:pt x="194" y="666"/>
                                </a:lnTo>
                                <a:lnTo>
                                  <a:pt x="138" y="630"/>
                                </a:lnTo>
                                <a:lnTo>
                                  <a:pt x="90" y="590"/>
                                </a:lnTo>
                                <a:lnTo>
                                  <a:pt x="23" y="504"/>
                                </a:lnTo>
                                <a:lnTo>
                                  <a:pt x="0" y="410"/>
                                </a:lnTo>
                                <a:close/>
                              </a:path>
                            </a:pathLst>
                          </a:custGeom>
                          <a:noFill/>
                          <a:ln w="6350">
                            <a:solidFill>
                              <a:srgbClr val="231F2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5" name="docshape285"/>
                        <wps:cNvSpPr txBox="1">
                          <a:spLocks noChangeArrowheads="1"/>
                        </wps:cNvSpPr>
                        <wps:spPr bwMode="auto">
                          <a:xfrm>
                            <a:off x="1300" y="-151"/>
                            <a:ext cx="1782" cy="14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B3490D" w14:textId="77777777" w:rsidR="00AE0598" w:rsidRDefault="00AE0598">
                              <w:pPr>
                                <w:spacing w:before="10"/>
                                <w:rPr>
                                  <w:rFonts w:ascii="Trebuchet MS"/>
                                  <w:sz w:val="14"/>
                                </w:rPr>
                              </w:pPr>
                            </w:p>
                            <w:p w14:paraId="4D0669B0" w14:textId="77777777" w:rsidR="00AE0598" w:rsidRDefault="0069255A">
                              <w:pPr>
                                <w:spacing w:line="247" w:lineRule="auto"/>
                                <w:ind w:left="388" w:right="386" w:hanging="1"/>
                                <w:jc w:val="center"/>
                                <w:rPr>
                                  <w:i/>
                                  <w:sz w:val="13"/>
                                </w:rPr>
                              </w:pPr>
                              <w:r>
                                <w:rPr>
                                  <w:i/>
                                  <w:color w:val="231F20"/>
                                  <w:spacing w:val="-2"/>
                                  <w:sz w:val="13"/>
                                </w:rPr>
                                <w:t>Intrapersonal</w:t>
                              </w:r>
                              <w:r>
                                <w:rPr>
                                  <w:i/>
                                  <w:color w:val="231F20"/>
                                  <w:spacing w:val="40"/>
                                  <w:sz w:val="13"/>
                                </w:rPr>
                                <w:t xml:space="preserve"> </w:t>
                              </w:r>
                              <w:r>
                                <w:rPr>
                                  <w:i/>
                                  <w:color w:val="231F20"/>
                                  <w:spacing w:val="-2"/>
                                  <w:sz w:val="13"/>
                                </w:rPr>
                                <w:t>constraints</w:t>
                              </w:r>
                              <w:r>
                                <w:rPr>
                                  <w:i/>
                                  <w:color w:val="231F20"/>
                                  <w:spacing w:val="40"/>
                                  <w:sz w:val="13"/>
                                </w:rPr>
                                <w:t xml:space="preserve"> </w:t>
                              </w:r>
                              <w:r>
                                <w:rPr>
                                  <w:i/>
                                  <w:color w:val="231F20"/>
                                  <w:spacing w:val="-2"/>
                                  <w:w w:val="95"/>
                                  <w:sz w:val="13"/>
                                </w:rPr>
                                <w:t>throughout</w:t>
                              </w:r>
                              <w:r>
                                <w:rPr>
                                  <w:i/>
                                  <w:color w:val="231F20"/>
                                  <w:spacing w:val="-4"/>
                                  <w:w w:val="95"/>
                                  <w:sz w:val="13"/>
                                </w:rPr>
                                <w:t xml:space="preserve"> </w:t>
                              </w:r>
                              <w:r>
                                <w:rPr>
                                  <w:i/>
                                  <w:color w:val="231F20"/>
                                  <w:spacing w:val="-2"/>
                                  <w:w w:val="95"/>
                                  <w:sz w:val="13"/>
                                </w:rPr>
                                <w:t>the</w:t>
                              </w:r>
                              <w:r>
                                <w:rPr>
                                  <w:i/>
                                  <w:color w:val="231F20"/>
                                  <w:spacing w:val="-4"/>
                                  <w:w w:val="95"/>
                                  <w:sz w:val="13"/>
                                </w:rPr>
                                <w:t xml:space="preserve"> </w:t>
                              </w:r>
                              <w:r>
                                <w:rPr>
                                  <w:i/>
                                  <w:color w:val="231F20"/>
                                  <w:spacing w:val="-2"/>
                                  <w:w w:val="95"/>
                                  <w:sz w:val="13"/>
                                </w:rPr>
                                <w:t>year</w:t>
                              </w:r>
                            </w:p>
                          </w:txbxContent>
                        </wps:txbx>
                        <wps:bodyPr rot="0" vert="horz" wrap="square" lIns="0" tIns="0" rIns="0" bIns="0" anchor="t" anchorCtr="0" upright="1">
                          <a:noAutofit/>
                        </wps:bodyPr>
                      </wps:wsp>
                      <wps:wsp>
                        <wps:cNvPr id="76" name="docshape286"/>
                        <wps:cNvSpPr txBox="1">
                          <a:spLocks noChangeArrowheads="1"/>
                        </wps:cNvSpPr>
                        <wps:spPr bwMode="auto">
                          <a:xfrm>
                            <a:off x="1549" y="1326"/>
                            <a:ext cx="1154" cy="520"/>
                          </a:xfrm>
                          <a:prstGeom prst="rect">
                            <a:avLst/>
                          </a:prstGeom>
                          <a:noFill/>
                          <a:ln w="6350">
                            <a:solidFill>
                              <a:srgbClr val="231F2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590317BB" w14:textId="77777777" w:rsidR="00AE0598" w:rsidRDefault="0069255A">
                              <w:pPr>
                                <w:spacing w:before="87" w:line="218" w:lineRule="auto"/>
                                <w:ind w:left="255" w:hanging="100"/>
                                <w:rPr>
                                  <w:rFonts w:ascii="Segoe UI Symbol"/>
                                  <w:sz w:val="13"/>
                                </w:rPr>
                              </w:pPr>
                              <w:r>
                                <w:rPr>
                                  <w:rFonts w:ascii="Segoe UI Symbol"/>
                                  <w:color w:val="231F20"/>
                                  <w:sz w:val="13"/>
                                </w:rPr>
                                <w:t>Sport</w:t>
                              </w:r>
                              <w:r>
                                <w:rPr>
                                  <w:rFonts w:ascii="Segoe UI Symbol"/>
                                  <w:color w:val="231F20"/>
                                  <w:spacing w:val="-9"/>
                                  <w:sz w:val="13"/>
                                </w:rPr>
                                <w:t xml:space="preserve"> </w:t>
                              </w:r>
                              <w:r>
                                <w:rPr>
                                  <w:rFonts w:ascii="Segoe UI Symbol"/>
                                  <w:color w:val="231F20"/>
                                  <w:sz w:val="13"/>
                                </w:rPr>
                                <w:t>Tourism</w:t>
                              </w:r>
                              <w:r>
                                <w:rPr>
                                  <w:rFonts w:ascii="Segoe UI Symbol"/>
                                  <w:color w:val="231F20"/>
                                  <w:spacing w:val="40"/>
                                  <w:sz w:val="13"/>
                                </w:rPr>
                                <w:t xml:space="preserve"> </w:t>
                              </w:r>
                              <w:r>
                                <w:rPr>
                                  <w:rFonts w:ascii="Segoe UI Symbol"/>
                                  <w:color w:val="231F20"/>
                                  <w:spacing w:val="-2"/>
                                  <w:sz w:val="13"/>
                                </w:rPr>
                                <w:t>Preferences</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580E4FD" id="docshapegroup282" o:spid="_x0000_s1114" style="position:absolute;left:0;text-align:left;margin-left:65.05pt;margin-top:-7.55pt;width:89.1pt;height:100.1pt;z-index:-19569152;mso-position-horizontal-relative:page;mso-position-vertical-relative:text" coordorigin="1301,-151" coordsize="1782,20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">
                <v:line id="Line 77" o:spid="_x0000_s1115" style="position:absolute;visibility:visible;mso-wrap-style:square" from="2168,674" to="2168,12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" strokecolor="#231f20" strokeweight=".5pt"/>
                <v:shape id="docshape283" o:spid="_x0000_s1116" style="position:absolute;left:2128;top:1247;width:79;height:79;visibility:visible;mso-wrap-style:square;v-text-anchor:top" coordsize="79,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" path="m78,l,,40,78,78,xe" fillcolor="#231f20" stroked="f">
                  <v:path arrowok="t" o:connecttype="custom" o:connectlocs="78,1248;0,1248;40,1326;78,1248" o:connectangles="0,0,0,0"/>
                </v:shape>
                <v:shape id="docshape284" o:spid="_x0000_s1117" style="position:absolute;left:1305;top:-146;width:1772;height:820;visibility:visible;mso-wrap-style:square;v-text-anchor:top" coordsize="1772,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" path="m,410l23,316,90,230r48,-40l194,154r65,-34l332,90,411,64,496,42,587,24,682,11,782,3,886,,989,3r100,8l1184,24r91,18l1361,64r79,26l1512,120r65,34l1634,190r48,40l1748,316r24,94l1766,458r-46,90l1634,630r-57,36l1512,700r-72,30l1361,756r-86,22l1184,796r-95,13l989,817r-103,3l782,817,682,809,587,796,496,778,411,756,332,730,259,700,194,666,138,630,90,590,23,504,,410xe" filled="f" strokecolor="#231f20" strokeweight=".5pt">
                  <v:path arrowok="t" o:connecttype="custom" o:connectlocs="0,264;23,170;90,84;138,44;194,8;259,-26;332,-56;411,-82;496,-104;587,-122;682,-135;782,-143;886,-146;989,-143;1089,-135;1184,-122;1275,-104;1361,-82;1440,-56;1512,-26;1577,8;1634,44;1682,84;1748,170;1772,264;1766,312;1720,402;1634,484;1577,520;1512,554;1440,584;1361,610;1275,632;1184,650;1089,663;989,671;886,674;782,671;682,663;587,650;496,632;411,610;332,584;259,554;194,520;138,484;90,444;23,358;0,264" o:connectangles="0,0,0,0,0,0,0,0,0,0,0,0,0,0,0,0,0,0,0,0,0,0,0,0,0,0,0,0,0,0,0,0,0,0,0,0,0,0,0,0,0,0,0,0,0,0,0,0,0"/>
                </v:shape>
                <v:shape id="docshape285" o:spid="_x0000_s1118" type="#_x0000_t202" style="position:absolute;left:1300;top:-151;width:1782;height:14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eSPxQAAANsAAAAPAAAAZHJzL2Rvd25yZXYueG1sRI9Ba8JA&#10;FITvQv/D8gredFNB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DYkeSPxQAAANsAAAAP&#10;AAAAAAAAAAAAAAAAAAcCAABkcnMvZG93bnJldi54bWxQSwUGAAAAAAMAAwC3AAAA+QIAAAAA&#10;" filled="f" stroked="f">
                  <v:textbox inset="0,0,0,0">
                    <w:txbxContent>
                      <w:p w14:paraId="64B3490D" w14:textId="77777777" w:rsidR="00AE0598" w:rsidRDefault="00AE0598">
                        <w:pPr>
                          <w:spacing w:before="10"/>
                          <w:rPr>
                            <w:rFonts w:ascii="Trebuchet MS"/>
                            <w:sz w:val="14"/>
                          </w:rPr>
                        </w:pPr>
                      </w:p>
                      <w:p w14:paraId="4D0669B0" w14:textId="77777777" w:rsidR="00AE0598" w:rsidRDefault="0069255A">
                        <w:pPr>
                          <w:spacing w:line="247" w:lineRule="auto"/>
                          <w:ind w:left="388" w:right="386" w:hanging="1"/>
                          <w:jc w:val="center"/>
                          <w:rPr>
                            <w:i/>
                            <w:sz w:val="13"/>
                          </w:rPr>
                        </w:pPr>
                        <w:r>
                          <w:rPr>
                            <w:i/>
                            <w:color w:val="231F20"/>
                            <w:spacing w:val="-2"/>
                            <w:sz w:val="13"/>
                          </w:rPr>
                          <w:t>Intrapersonal</w:t>
                        </w:r>
                        <w:r>
                          <w:rPr>
                            <w:i/>
                            <w:color w:val="231F20"/>
                            <w:spacing w:val="40"/>
                            <w:sz w:val="13"/>
                          </w:rPr>
                          <w:t xml:space="preserve"> </w:t>
                        </w:r>
                        <w:r>
                          <w:rPr>
                            <w:i/>
                            <w:color w:val="231F20"/>
                            <w:spacing w:val="-2"/>
                            <w:sz w:val="13"/>
                          </w:rPr>
                          <w:t>constraints</w:t>
                        </w:r>
                        <w:r>
                          <w:rPr>
                            <w:i/>
                            <w:color w:val="231F20"/>
                            <w:spacing w:val="40"/>
                            <w:sz w:val="13"/>
                          </w:rPr>
                          <w:t xml:space="preserve"> </w:t>
                        </w:r>
                        <w:r>
                          <w:rPr>
                            <w:i/>
                            <w:color w:val="231F20"/>
                            <w:spacing w:val="-2"/>
                            <w:w w:val="95"/>
                            <w:sz w:val="13"/>
                          </w:rPr>
                          <w:t>throughout</w:t>
                        </w:r>
                        <w:r>
                          <w:rPr>
                            <w:i/>
                            <w:color w:val="231F20"/>
                            <w:spacing w:val="-4"/>
                            <w:w w:val="95"/>
                            <w:sz w:val="13"/>
                          </w:rPr>
                          <w:t xml:space="preserve"> </w:t>
                        </w:r>
                        <w:r>
                          <w:rPr>
                            <w:i/>
                            <w:color w:val="231F20"/>
                            <w:spacing w:val="-2"/>
                            <w:w w:val="95"/>
                            <w:sz w:val="13"/>
                          </w:rPr>
                          <w:t>the</w:t>
                        </w:r>
                        <w:r>
                          <w:rPr>
                            <w:i/>
                            <w:color w:val="231F20"/>
                            <w:spacing w:val="-4"/>
                            <w:w w:val="95"/>
                            <w:sz w:val="13"/>
                          </w:rPr>
                          <w:t xml:space="preserve"> </w:t>
                        </w:r>
                        <w:r>
                          <w:rPr>
                            <w:i/>
                            <w:color w:val="231F20"/>
                            <w:spacing w:val="-2"/>
                            <w:w w:val="95"/>
                            <w:sz w:val="13"/>
                          </w:rPr>
                          <w:t>year</w:t>
                        </w:r>
                      </w:p>
                    </w:txbxContent>
                  </v:textbox>
                </v:shape>
                <v:shape id="docshape286" o:spid="_x0000_s1119" type="#_x0000_t202" style="position:absolute;left:1549;top:1326;width:1154;height: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" filled="f" strokecolor="#231f20" strokeweight=".5pt">
                  <v:textbox inset="0,0,0,0">
                    <w:txbxContent>
                      <w:p w14:paraId="590317BB" w14:textId="77777777" w:rsidR="00AE0598" w:rsidRDefault="0069255A">
                        <w:pPr>
                          <w:spacing w:before="87" w:line="218" w:lineRule="auto"/>
                          <w:ind w:left="255" w:hanging="100"/>
                          <w:rPr>
                            <w:rFonts w:ascii="Segoe UI Symbol"/>
                            <w:sz w:val="13"/>
                          </w:rPr>
                        </w:pPr>
                        <w:r>
                          <w:rPr>
                            <w:rFonts w:ascii="Segoe UI Symbol"/>
                            <w:color w:val="231F20"/>
                            <w:sz w:val="13"/>
                          </w:rPr>
                          <w:t>Sport</w:t>
                        </w:r>
                        <w:r>
                          <w:rPr>
                            <w:rFonts w:ascii="Segoe UI Symbol"/>
                            <w:color w:val="231F20"/>
                            <w:spacing w:val="-9"/>
                            <w:sz w:val="13"/>
                          </w:rPr>
                          <w:t xml:space="preserve"> </w:t>
                        </w:r>
                        <w:r>
                          <w:rPr>
                            <w:rFonts w:ascii="Segoe UI Symbol"/>
                            <w:color w:val="231F20"/>
                            <w:sz w:val="13"/>
                          </w:rPr>
                          <w:t>Tourism</w:t>
                        </w:r>
                        <w:r>
                          <w:rPr>
                            <w:rFonts w:ascii="Segoe UI Symbol"/>
                            <w:color w:val="231F20"/>
                            <w:spacing w:val="40"/>
                            <w:sz w:val="13"/>
                          </w:rPr>
                          <w:t xml:space="preserve"> </w:t>
                        </w:r>
                        <w:r>
                          <w:rPr>
                            <w:rFonts w:ascii="Segoe UI Symbol"/>
                            <w:color w:val="231F20"/>
                            <w:spacing w:val="-2"/>
                            <w:sz w:val="13"/>
                          </w:rPr>
                          <w:t>Preferences</w:t>
                        </w:r>
                      </w:p>
                    </w:txbxContent>
                  </v:textbox>
                </v:shape>
                <w10:wrap anchorx="page"/>
              </v:group>
            </w:pict>
          </mc:Fallback>
        </mc:AlternateContent>
      </w:r>
      <w:r>
        <w:rPr>
          <w:noProof/>
        </w:rPr>
        <mc:AlternateContent>
          <mc:Choice Requires="wpg">
            <w:drawing>
              <wp:anchor distT="0" distB="0" distL="114300" distR="114300" simplePos="0" relativeHeight="483747840" behindDoc="1" locked="0" layoutInCell="1" allowOverlap="1" wp14:anchorId="1CDDADA1" wp14:editId="2BAA1F0E">
                <wp:simplePos x="0" y="0"/>
                <wp:positionH relativeFrom="page">
                  <wp:posOffset>826135</wp:posOffset>
                </wp:positionH>
                <wp:positionV relativeFrom="paragraph">
                  <wp:posOffset>-109855</wp:posOffset>
                </wp:positionV>
                <wp:extent cx="2310130" cy="1880235"/>
                <wp:effectExtent l="0" t="0" r="0" b="0"/>
                <wp:wrapNone/>
                <wp:docPr id="61" name="docshapegroup2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310130" cy="1880235"/>
                          <a:chOff x="1301" y="-173"/>
                          <a:chExt cx="3638" cy="2961"/>
                        </a:xfrm>
                      </wpg:grpSpPr>
                      <wps:wsp>
                        <wps:cNvPr id="62" name="Line 71"/>
                        <wps:cNvCnPr>
                          <a:cxnSpLocks noChangeShapeType="1"/>
                        </wps:cNvCnPr>
                        <wps:spPr bwMode="auto">
                          <a:xfrm>
                            <a:off x="2702" y="1586"/>
                            <a:ext cx="1558"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63" name="docshape288"/>
                        <wps:cNvSpPr>
                          <a:spLocks/>
                        </wps:cNvSpPr>
                        <wps:spPr bwMode="auto">
                          <a:xfrm>
                            <a:off x="4260" y="1546"/>
                            <a:ext cx="79" cy="79"/>
                          </a:xfrm>
                          <a:custGeom>
                            <a:avLst/>
                            <a:gdLst>
                              <a:gd name="T0" fmla="+- 0 4260 4260"/>
                              <a:gd name="T1" fmla="*/ T0 w 79"/>
                              <a:gd name="T2" fmla="+- 0 1547 1547"/>
                              <a:gd name="T3" fmla="*/ 1547 h 79"/>
                              <a:gd name="T4" fmla="+- 0 4260 4260"/>
                              <a:gd name="T5" fmla="*/ T4 w 79"/>
                              <a:gd name="T6" fmla="+- 0 1625 1547"/>
                              <a:gd name="T7" fmla="*/ 1625 h 79"/>
                              <a:gd name="T8" fmla="+- 0 4339 4260"/>
                              <a:gd name="T9" fmla="*/ T8 w 79"/>
                              <a:gd name="T10" fmla="+- 0 1586 1547"/>
                              <a:gd name="T11" fmla="*/ 1586 h 79"/>
                              <a:gd name="T12" fmla="+- 0 4260 4260"/>
                              <a:gd name="T13" fmla="*/ T12 w 79"/>
                              <a:gd name="T14" fmla="+- 0 1547 1547"/>
                              <a:gd name="T15" fmla="*/ 1547 h 79"/>
                            </a:gdLst>
                            <a:ahLst/>
                            <a:cxnLst>
                              <a:cxn ang="0">
                                <a:pos x="T1" y="T3"/>
                              </a:cxn>
                              <a:cxn ang="0">
                                <a:pos x="T5" y="T7"/>
                              </a:cxn>
                              <a:cxn ang="0">
                                <a:pos x="T9" y="T11"/>
                              </a:cxn>
                              <a:cxn ang="0">
                                <a:pos x="T13" y="T15"/>
                              </a:cxn>
                            </a:cxnLst>
                            <a:rect l="0" t="0" r="r" b="b"/>
                            <a:pathLst>
                              <a:path w="79" h="79">
                                <a:moveTo>
                                  <a:pt x="0" y="0"/>
                                </a:moveTo>
                                <a:lnTo>
                                  <a:pt x="0" y="78"/>
                                </a:lnTo>
                                <a:lnTo>
                                  <a:pt x="79" y="39"/>
                                </a:lnTo>
                                <a:lnTo>
                                  <a:pt x="0" y="0"/>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4" name="docshape289"/>
                        <wps:cNvSpPr>
                          <a:spLocks/>
                        </wps:cNvSpPr>
                        <wps:spPr bwMode="auto">
                          <a:xfrm>
                            <a:off x="3161" y="-169"/>
                            <a:ext cx="1772" cy="1670"/>
                          </a:xfrm>
                          <a:custGeom>
                            <a:avLst/>
                            <a:gdLst>
                              <a:gd name="T0" fmla="+- 0 3162 3162"/>
                              <a:gd name="T1" fmla="*/ T0 w 1772"/>
                              <a:gd name="T2" fmla="+- 0 242 -168"/>
                              <a:gd name="T3" fmla="*/ 242 h 1670"/>
                              <a:gd name="T4" fmla="+- 0 3168 3162"/>
                              <a:gd name="T5" fmla="*/ T4 w 1772"/>
                              <a:gd name="T6" fmla="+- 0 194 -168"/>
                              <a:gd name="T7" fmla="*/ 194 h 1670"/>
                              <a:gd name="T8" fmla="+- 0 3185 3162"/>
                              <a:gd name="T9" fmla="*/ T8 w 1772"/>
                              <a:gd name="T10" fmla="+- 0 148 -168"/>
                              <a:gd name="T11" fmla="*/ 148 h 1670"/>
                              <a:gd name="T12" fmla="+- 0 3213 3162"/>
                              <a:gd name="T13" fmla="*/ T12 w 1772"/>
                              <a:gd name="T14" fmla="+- 0 104 -168"/>
                              <a:gd name="T15" fmla="*/ 104 h 1670"/>
                              <a:gd name="T16" fmla="+- 0 3252 3162"/>
                              <a:gd name="T17" fmla="*/ T16 w 1772"/>
                              <a:gd name="T18" fmla="+- 0 62 -168"/>
                              <a:gd name="T19" fmla="*/ 62 h 1670"/>
                              <a:gd name="T20" fmla="+- 0 3299 3162"/>
                              <a:gd name="T21" fmla="*/ T20 w 1772"/>
                              <a:gd name="T22" fmla="+- 0 22 -168"/>
                              <a:gd name="T23" fmla="*/ 22 h 1670"/>
                              <a:gd name="T24" fmla="+- 0 3356 3162"/>
                              <a:gd name="T25" fmla="*/ T24 w 1772"/>
                              <a:gd name="T26" fmla="+- 0 -15 -168"/>
                              <a:gd name="T27" fmla="*/ -15 h 1670"/>
                              <a:gd name="T28" fmla="+- 0 3421 3162"/>
                              <a:gd name="T29" fmla="*/ T28 w 1772"/>
                              <a:gd name="T30" fmla="+- 0 -48 -168"/>
                              <a:gd name="T31" fmla="*/ -48 h 1670"/>
                              <a:gd name="T32" fmla="+- 0 3493 3162"/>
                              <a:gd name="T33" fmla="*/ T32 w 1772"/>
                              <a:gd name="T34" fmla="+- 0 -78 -168"/>
                              <a:gd name="T35" fmla="*/ -78 h 1670"/>
                              <a:gd name="T36" fmla="+- 0 3573 3162"/>
                              <a:gd name="T37" fmla="*/ T36 w 1772"/>
                              <a:gd name="T38" fmla="+- 0 -104 -168"/>
                              <a:gd name="T39" fmla="*/ -104 h 1670"/>
                              <a:gd name="T40" fmla="+- 0 3658 3162"/>
                              <a:gd name="T41" fmla="*/ T40 w 1772"/>
                              <a:gd name="T42" fmla="+- 0 -126 -168"/>
                              <a:gd name="T43" fmla="*/ -126 h 1670"/>
                              <a:gd name="T44" fmla="+- 0 3749 3162"/>
                              <a:gd name="T45" fmla="*/ T44 w 1772"/>
                              <a:gd name="T46" fmla="+- 0 -144 -168"/>
                              <a:gd name="T47" fmla="*/ -144 h 1670"/>
                              <a:gd name="T48" fmla="+- 0 3844 3162"/>
                              <a:gd name="T49" fmla="*/ T48 w 1772"/>
                              <a:gd name="T50" fmla="+- 0 -157 -168"/>
                              <a:gd name="T51" fmla="*/ -157 h 1670"/>
                              <a:gd name="T52" fmla="+- 0 3944 3162"/>
                              <a:gd name="T53" fmla="*/ T52 w 1772"/>
                              <a:gd name="T54" fmla="+- 0 -165 -168"/>
                              <a:gd name="T55" fmla="*/ -165 h 1670"/>
                              <a:gd name="T56" fmla="+- 0 4047 3162"/>
                              <a:gd name="T57" fmla="*/ T56 w 1772"/>
                              <a:gd name="T58" fmla="+- 0 -168 -168"/>
                              <a:gd name="T59" fmla="*/ -168 h 1670"/>
                              <a:gd name="T60" fmla="+- 0 4151 3162"/>
                              <a:gd name="T61" fmla="*/ T60 w 1772"/>
                              <a:gd name="T62" fmla="+- 0 -165 -168"/>
                              <a:gd name="T63" fmla="*/ -165 h 1670"/>
                              <a:gd name="T64" fmla="+- 0 4251 3162"/>
                              <a:gd name="T65" fmla="*/ T64 w 1772"/>
                              <a:gd name="T66" fmla="+- 0 -157 -168"/>
                              <a:gd name="T67" fmla="*/ -157 h 1670"/>
                              <a:gd name="T68" fmla="+- 0 4346 3162"/>
                              <a:gd name="T69" fmla="*/ T68 w 1772"/>
                              <a:gd name="T70" fmla="+- 0 -144 -168"/>
                              <a:gd name="T71" fmla="*/ -144 h 1670"/>
                              <a:gd name="T72" fmla="+- 0 4437 3162"/>
                              <a:gd name="T73" fmla="*/ T72 w 1772"/>
                              <a:gd name="T74" fmla="+- 0 -126 -168"/>
                              <a:gd name="T75" fmla="*/ -126 h 1670"/>
                              <a:gd name="T76" fmla="+- 0 4522 3162"/>
                              <a:gd name="T77" fmla="*/ T76 w 1772"/>
                              <a:gd name="T78" fmla="+- 0 -104 -168"/>
                              <a:gd name="T79" fmla="*/ -104 h 1670"/>
                              <a:gd name="T80" fmla="+- 0 4602 3162"/>
                              <a:gd name="T81" fmla="*/ T80 w 1772"/>
                              <a:gd name="T82" fmla="+- 0 -78 -168"/>
                              <a:gd name="T83" fmla="*/ -78 h 1670"/>
                              <a:gd name="T84" fmla="+- 0 4674 3162"/>
                              <a:gd name="T85" fmla="*/ T84 w 1772"/>
                              <a:gd name="T86" fmla="+- 0 -48 -168"/>
                              <a:gd name="T87" fmla="*/ -48 h 1670"/>
                              <a:gd name="T88" fmla="+- 0 4739 3162"/>
                              <a:gd name="T89" fmla="*/ T88 w 1772"/>
                              <a:gd name="T90" fmla="+- 0 -15 -168"/>
                              <a:gd name="T91" fmla="*/ -15 h 1670"/>
                              <a:gd name="T92" fmla="+- 0 4796 3162"/>
                              <a:gd name="T93" fmla="*/ T92 w 1772"/>
                              <a:gd name="T94" fmla="+- 0 22 -168"/>
                              <a:gd name="T95" fmla="*/ 22 h 1670"/>
                              <a:gd name="T96" fmla="+- 0 4843 3162"/>
                              <a:gd name="T97" fmla="*/ T96 w 1772"/>
                              <a:gd name="T98" fmla="+- 0 62 -168"/>
                              <a:gd name="T99" fmla="*/ 62 h 1670"/>
                              <a:gd name="T100" fmla="+- 0 4882 3162"/>
                              <a:gd name="T101" fmla="*/ T100 w 1772"/>
                              <a:gd name="T102" fmla="+- 0 104 -168"/>
                              <a:gd name="T103" fmla="*/ 104 h 1670"/>
                              <a:gd name="T104" fmla="+- 0 4910 3162"/>
                              <a:gd name="T105" fmla="*/ T104 w 1772"/>
                              <a:gd name="T106" fmla="+- 0 148 -168"/>
                              <a:gd name="T107" fmla="*/ 148 h 1670"/>
                              <a:gd name="T108" fmla="+- 0 4927 3162"/>
                              <a:gd name="T109" fmla="*/ T108 w 1772"/>
                              <a:gd name="T110" fmla="+- 0 194 -168"/>
                              <a:gd name="T111" fmla="*/ 194 h 1670"/>
                              <a:gd name="T112" fmla="+- 0 4933 3162"/>
                              <a:gd name="T113" fmla="*/ T112 w 1772"/>
                              <a:gd name="T114" fmla="+- 0 242 -168"/>
                              <a:gd name="T115" fmla="*/ 242 h 1670"/>
                              <a:gd name="T116" fmla="+- 0 4927 3162"/>
                              <a:gd name="T117" fmla="*/ T116 w 1772"/>
                              <a:gd name="T118" fmla="+- 0 290 -168"/>
                              <a:gd name="T119" fmla="*/ 290 h 1670"/>
                              <a:gd name="T120" fmla="+- 0 4910 3162"/>
                              <a:gd name="T121" fmla="*/ T120 w 1772"/>
                              <a:gd name="T122" fmla="+- 0 336 -168"/>
                              <a:gd name="T123" fmla="*/ 336 h 1670"/>
                              <a:gd name="T124" fmla="+- 0 4882 3162"/>
                              <a:gd name="T125" fmla="*/ T124 w 1772"/>
                              <a:gd name="T126" fmla="+- 0 380 -168"/>
                              <a:gd name="T127" fmla="*/ 380 h 1670"/>
                              <a:gd name="T128" fmla="+- 0 4843 3162"/>
                              <a:gd name="T129" fmla="*/ T128 w 1772"/>
                              <a:gd name="T130" fmla="+- 0 422 -168"/>
                              <a:gd name="T131" fmla="*/ 422 h 1670"/>
                              <a:gd name="T132" fmla="+- 0 4796 3162"/>
                              <a:gd name="T133" fmla="*/ T132 w 1772"/>
                              <a:gd name="T134" fmla="+- 0 462 -168"/>
                              <a:gd name="T135" fmla="*/ 462 h 1670"/>
                              <a:gd name="T136" fmla="+- 0 4739 3162"/>
                              <a:gd name="T137" fmla="*/ T136 w 1772"/>
                              <a:gd name="T138" fmla="+- 0 498 -168"/>
                              <a:gd name="T139" fmla="*/ 498 h 1670"/>
                              <a:gd name="T140" fmla="+- 0 4674 3162"/>
                              <a:gd name="T141" fmla="*/ T140 w 1772"/>
                              <a:gd name="T142" fmla="+- 0 532 -168"/>
                              <a:gd name="T143" fmla="*/ 532 h 1670"/>
                              <a:gd name="T144" fmla="+- 0 4602 3162"/>
                              <a:gd name="T145" fmla="*/ T144 w 1772"/>
                              <a:gd name="T146" fmla="+- 0 562 -168"/>
                              <a:gd name="T147" fmla="*/ 562 h 1670"/>
                              <a:gd name="T148" fmla="+- 0 4522 3162"/>
                              <a:gd name="T149" fmla="*/ T148 w 1772"/>
                              <a:gd name="T150" fmla="+- 0 588 -168"/>
                              <a:gd name="T151" fmla="*/ 588 h 1670"/>
                              <a:gd name="T152" fmla="+- 0 4437 3162"/>
                              <a:gd name="T153" fmla="*/ T152 w 1772"/>
                              <a:gd name="T154" fmla="+- 0 610 -168"/>
                              <a:gd name="T155" fmla="*/ 610 h 1670"/>
                              <a:gd name="T156" fmla="+- 0 4346 3162"/>
                              <a:gd name="T157" fmla="*/ T156 w 1772"/>
                              <a:gd name="T158" fmla="+- 0 628 -168"/>
                              <a:gd name="T159" fmla="*/ 628 h 1670"/>
                              <a:gd name="T160" fmla="+- 0 4251 3162"/>
                              <a:gd name="T161" fmla="*/ T160 w 1772"/>
                              <a:gd name="T162" fmla="+- 0 641 -168"/>
                              <a:gd name="T163" fmla="*/ 641 h 1670"/>
                              <a:gd name="T164" fmla="+- 0 4151 3162"/>
                              <a:gd name="T165" fmla="*/ T164 w 1772"/>
                              <a:gd name="T166" fmla="+- 0 649 -168"/>
                              <a:gd name="T167" fmla="*/ 649 h 1670"/>
                              <a:gd name="T168" fmla="+- 0 4047 3162"/>
                              <a:gd name="T169" fmla="*/ T168 w 1772"/>
                              <a:gd name="T170" fmla="+- 0 652 -168"/>
                              <a:gd name="T171" fmla="*/ 652 h 1670"/>
                              <a:gd name="T172" fmla="+- 0 3944 3162"/>
                              <a:gd name="T173" fmla="*/ T172 w 1772"/>
                              <a:gd name="T174" fmla="+- 0 649 -168"/>
                              <a:gd name="T175" fmla="*/ 649 h 1670"/>
                              <a:gd name="T176" fmla="+- 0 3844 3162"/>
                              <a:gd name="T177" fmla="*/ T176 w 1772"/>
                              <a:gd name="T178" fmla="+- 0 641 -168"/>
                              <a:gd name="T179" fmla="*/ 641 h 1670"/>
                              <a:gd name="T180" fmla="+- 0 3749 3162"/>
                              <a:gd name="T181" fmla="*/ T180 w 1772"/>
                              <a:gd name="T182" fmla="+- 0 628 -168"/>
                              <a:gd name="T183" fmla="*/ 628 h 1670"/>
                              <a:gd name="T184" fmla="+- 0 3658 3162"/>
                              <a:gd name="T185" fmla="*/ T184 w 1772"/>
                              <a:gd name="T186" fmla="+- 0 610 -168"/>
                              <a:gd name="T187" fmla="*/ 610 h 1670"/>
                              <a:gd name="T188" fmla="+- 0 3573 3162"/>
                              <a:gd name="T189" fmla="*/ T188 w 1772"/>
                              <a:gd name="T190" fmla="+- 0 588 -168"/>
                              <a:gd name="T191" fmla="*/ 588 h 1670"/>
                              <a:gd name="T192" fmla="+- 0 3493 3162"/>
                              <a:gd name="T193" fmla="*/ T192 w 1772"/>
                              <a:gd name="T194" fmla="+- 0 562 -168"/>
                              <a:gd name="T195" fmla="*/ 562 h 1670"/>
                              <a:gd name="T196" fmla="+- 0 3421 3162"/>
                              <a:gd name="T197" fmla="*/ T196 w 1772"/>
                              <a:gd name="T198" fmla="+- 0 532 -168"/>
                              <a:gd name="T199" fmla="*/ 532 h 1670"/>
                              <a:gd name="T200" fmla="+- 0 3356 3162"/>
                              <a:gd name="T201" fmla="*/ T200 w 1772"/>
                              <a:gd name="T202" fmla="+- 0 498 -168"/>
                              <a:gd name="T203" fmla="*/ 498 h 1670"/>
                              <a:gd name="T204" fmla="+- 0 3299 3162"/>
                              <a:gd name="T205" fmla="*/ T204 w 1772"/>
                              <a:gd name="T206" fmla="+- 0 462 -168"/>
                              <a:gd name="T207" fmla="*/ 462 h 1670"/>
                              <a:gd name="T208" fmla="+- 0 3252 3162"/>
                              <a:gd name="T209" fmla="*/ T208 w 1772"/>
                              <a:gd name="T210" fmla="+- 0 422 -168"/>
                              <a:gd name="T211" fmla="*/ 422 h 1670"/>
                              <a:gd name="T212" fmla="+- 0 3213 3162"/>
                              <a:gd name="T213" fmla="*/ T212 w 1772"/>
                              <a:gd name="T214" fmla="+- 0 380 -168"/>
                              <a:gd name="T215" fmla="*/ 380 h 1670"/>
                              <a:gd name="T216" fmla="+- 0 3185 3162"/>
                              <a:gd name="T217" fmla="*/ T216 w 1772"/>
                              <a:gd name="T218" fmla="+- 0 336 -168"/>
                              <a:gd name="T219" fmla="*/ 336 h 1670"/>
                              <a:gd name="T220" fmla="+- 0 3168 3162"/>
                              <a:gd name="T221" fmla="*/ T220 w 1772"/>
                              <a:gd name="T222" fmla="+- 0 290 -168"/>
                              <a:gd name="T223" fmla="*/ 290 h 1670"/>
                              <a:gd name="T224" fmla="+- 0 3162 3162"/>
                              <a:gd name="T225" fmla="*/ T224 w 1772"/>
                              <a:gd name="T226" fmla="+- 0 242 -168"/>
                              <a:gd name="T227" fmla="*/ 242 h 1670"/>
                              <a:gd name="T228" fmla="+- 0 4023 3162"/>
                              <a:gd name="T229" fmla="*/ T228 w 1772"/>
                              <a:gd name="T230" fmla="+- 0 652 -168"/>
                              <a:gd name="T231" fmla="*/ 652 h 1670"/>
                              <a:gd name="T232" fmla="+- 0 4023 3162"/>
                              <a:gd name="T233" fmla="*/ T232 w 1772"/>
                              <a:gd name="T234" fmla="+- 0 1501 -168"/>
                              <a:gd name="T235" fmla="*/ 1501 h 167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Lst>
                            <a:rect l="0" t="0" r="r" b="b"/>
                            <a:pathLst>
                              <a:path w="1772" h="1670">
                                <a:moveTo>
                                  <a:pt x="0" y="410"/>
                                </a:moveTo>
                                <a:lnTo>
                                  <a:pt x="6" y="362"/>
                                </a:lnTo>
                                <a:lnTo>
                                  <a:pt x="23" y="316"/>
                                </a:lnTo>
                                <a:lnTo>
                                  <a:pt x="51" y="272"/>
                                </a:lnTo>
                                <a:lnTo>
                                  <a:pt x="90" y="230"/>
                                </a:lnTo>
                                <a:lnTo>
                                  <a:pt x="137" y="190"/>
                                </a:lnTo>
                                <a:lnTo>
                                  <a:pt x="194" y="153"/>
                                </a:lnTo>
                                <a:lnTo>
                                  <a:pt x="259" y="120"/>
                                </a:lnTo>
                                <a:lnTo>
                                  <a:pt x="331" y="90"/>
                                </a:lnTo>
                                <a:lnTo>
                                  <a:pt x="411" y="64"/>
                                </a:lnTo>
                                <a:lnTo>
                                  <a:pt x="496" y="42"/>
                                </a:lnTo>
                                <a:lnTo>
                                  <a:pt x="587" y="24"/>
                                </a:lnTo>
                                <a:lnTo>
                                  <a:pt x="682" y="11"/>
                                </a:lnTo>
                                <a:lnTo>
                                  <a:pt x="782" y="3"/>
                                </a:lnTo>
                                <a:lnTo>
                                  <a:pt x="885" y="0"/>
                                </a:lnTo>
                                <a:lnTo>
                                  <a:pt x="989" y="3"/>
                                </a:lnTo>
                                <a:lnTo>
                                  <a:pt x="1089" y="11"/>
                                </a:lnTo>
                                <a:lnTo>
                                  <a:pt x="1184" y="24"/>
                                </a:lnTo>
                                <a:lnTo>
                                  <a:pt x="1275" y="42"/>
                                </a:lnTo>
                                <a:lnTo>
                                  <a:pt x="1360" y="64"/>
                                </a:lnTo>
                                <a:lnTo>
                                  <a:pt x="1440" y="90"/>
                                </a:lnTo>
                                <a:lnTo>
                                  <a:pt x="1512" y="120"/>
                                </a:lnTo>
                                <a:lnTo>
                                  <a:pt x="1577" y="153"/>
                                </a:lnTo>
                                <a:lnTo>
                                  <a:pt x="1634" y="190"/>
                                </a:lnTo>
                                <a:lnTo>
                                  <a:pt x="1681" y="230"/>
                                </a:lnTo>
                                <a:lnTo>
                                  <a:pt x="1720" y="272"/>
                                </a:lnTo>
                                <a:lnTo>
                                  <a:pt x="1748" y="316"/>
                                </a:lnTo>
                                <a:lnTo>
                                  <a:pt x="1765" y="362"/>
                                </a:lnTo>
                                <a:lnTo>
                                  <a:pt x="1771" y="410"/>
                                </a:lnTo>
                                <a:lnTo>
                                  <a:pt x="1765" y="458"/>
                                </a:lnTo>
                                <a:lnTo>
                                  <a:pt x="1748" y="504"/>
                                </a:lnTo>
                                <a:lnTo>
                                  <a:pt x="1720" y="548"/>
                                </a:lnTo>
                                <a:lnTo>
                                  <a:pt x="1681" y="590"/>
                                </a:lnTo>
                                <a:lnTo>
                                  <a:pt x="1634" y="630"/>
                                </a:lnTo>
                                <a:lnTo>
                                  <a:pt x="1577" y="666"/>
                                </a:lnTo>
                                <a:lnTo>
                                  <a:pt x="1512" y="700"/>
                                </a:lnTo>
                                <a:lnTo>
                                  <a:pt x="1440" y="730"/>
                                </a:lnTo>
                                <a:lnTo>
                                  <a:pt x="1360" y="756"/>
                                </a:lnTo>
                                <a:lnTo>
                                  <a:pt x="1275" y="778"/>
                                </a:lnTo>
                                <a:lnTo>
                                  <a:pt x="1184" y="796"/>
                                </a:lnTo>
                                <a:lnTo>
                                  <a:pt x="1089" y="809"/>
                                </a:lnTo>
                                <a:lnTo>
                                  <a:pt x="989" y="817"/>
                                </a:lnTo>
                                <a:lnTo>
                                  <a:pt x="885" y="820"/>
                                </a:lnTo>
                                <a:lnTo>
                                  <a:pt x="782" y="817"/>
                                </a:lnTo>
                                <a:lnTo>
                                  <a:pt x="682" y="809"/>
                                </a:lnTo>
                                <a:lnTo>
                                  <a:pt x="587" y="796"/>
                                </a:lnTo>
                                <a:lnTo>
                                  <a:pt x="496" y="778"/>
                                </a:lnTo>
                                <a:lnTo>
                                  <a:pt x="411" y="756"/>
                                </a:lnTo>
                                <a:lnTo>
                                  <a:pt x="331" y="730"/>
                                </a:lnTo>
                                <a:lnTo>
                                  <a:pt x="259" y="700"/>
                                </a:lnTo>
                                <a:lnTo>
                                  <a:pt x="194" y="666"/>
                                </a:lnTo>
                                <a:lnTo>
                                  <a:pt x="137" y="630"/>
                                </a:lnTo>
                                <a:lnTo>
                                  <a:pt x="90" y="590"/>
                                </a:lnTo>
                                <a:lnTo>
                                  <a:pt x="51" y="548"/>
                                </a:lnTo>
                                <a:lnTo>
                                  <a:pt x="23" y="504"/>
                                </a:lnTo>
                                <a:lnTo>
                                  <a:pt x="6" y="458"/>
                                </a:lnTo>
                                <a:lnTo>
                                  <a:pt x="0" y="410"/>
                                </a:lnTo>
                                <a:close/>
                                <a:moveTo>
                                  <a:pt x="861" y="820"/>
                                </a:moveTo>
                                <a:lnTo>
                                  <a:pt x="861" y="1669"/>
                                </a:lnTo>
                              </a:path>
                            </a:pathLst>
                          </a:custGeom>
                          <a:noFill/>
                          <a:ln w="6350">
                            <a:solidFill>
                              <a:srgbClr val="231F2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 name="docshape290"/>
                        <wps:cNvSpPr>
                          <a:spLocks/>
                        </wps:cNvSpPr>
                        <wps:spPr bwMode="auto">
                          <a:xfrm>
                            <a:off x="3983" y="1500"/>
                            <a:ext cx="79" cy="79"/>
                          </a:xfrm>
                          <a:custGeom>
                            <a:avLst/>
                            <a:gdLst>
                              <a:gd name="T0" fmla="+- 0 4062 3983"/>
                              <a:gd name="T1" fmla="*/ T0 w 79"/>
                              <a:gd name="T2" fmla="+- 0 1501 1501"/>
                              <a:gd name="T3" fmla="*/ 1501 h 79"/>
                              <a:gd name="T4" fmla="+- 0 3983 3983"/>
                              <a:gd name="T5" fmla="*/ T4 w 79"/>
                              <a:gd name="T6" fmla="+- 0 1501 1501"/>
                              <a:gd name="T7" fmla="*/ 1501 h 79"/>
                              <a:gd name="T8" fmla="+- 0 4023 3983"/>
                              <a:gd name="T9" fmla="*/ T8 w 79"/>
                              <a:gd name="T10" fmla="+- 0 1579 1501"/>
                              <a:gd name="T11" fmla="*/ 1579 h 79"/>
                              <a:gd name="T12" fmla="+- 0 4062 3983"/>
                              <a:gd name="T13" fmla="*/ T12 w 79"/>
                              <a:gd name="T14" fmla="+- 0 1501 1501"/>
                              <a:gd name="T15" fmla="*/ 1501 h 79"/>
                            </a:gdLst>
                            <a:ahLst/>
                            <a:cxnLst>
                              <a:cxn ang="0">
                                <a:pos x="T1" y="T3"/>
                              </a:cxn>
                              <a:cxn ang="0">
                                <a:pos x="T5" y="T7"/>
                              </a:cxn>
                              <a:cxn ang="0">
                                <a:pos x="T9" y="T11"/>
                              </a:cxn>
                              <a:cxn ang="0">
                                <a:pos x="T13" y="T15"/>
                              </a:cxn>
                            </a:cxnLst>
                            <a:rect l="0" t="0" r="r" b="b"/>
                            <a:pathLst>
                              <a:path w="79" h="79">
                                <a:moveTo>
                                  <a:pt x="79" y="0"/>
                                </a:moveTo>
                                <a:lnTo>
                                  <a:pt x="0" y="0"/>
                                </a:lnTo>
                                <a:lnTo>
                                  <a:pt x="40" y="78"/>
                                </a:lnTo>
                                <a:lnTo>
                                  <a:pt x="79" y="0"/>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6" name="docshape291"/>
                        <wps:cNvSpPr>
                          <a:spLocks/>
                        </wps:cNvSpPr>
                        <wps:spPr bwMode="auto">
                          <a:xfrm>
                            <a:off x="3056" y="1654"/>
                            <a:ext cx="966" cy="844"/>
                          </a:xfrm>
                          <a:custGeom>
                            <a:avLst/>
                            <a:gdLst>
                              <a:gd name="T0" fmla="+- 0 4023 3057"/>
                              <a:gd name="T1" fmla="*/ T0 w 966"/>
                              <a:gd name="T2" fmla="+- 0 1654 1654"/>
                              <a:gd name="T3" fmla="*/ 1654 h 844"/>
                              <a:gd name="T4" fmla="+- 0 4023 3057"/>
                              <a:gd name="T5" fmla="*/ T4 w 966"/>
                              <a:gd name="T6" fmla="+- 0 2498 1654"/>
                              <a:gd name="T7" fmla="*/ 2498 h 844"/>
                              <a:gd name="T8" fmla="+- 0 3057 3057"/>
                              <a:gd name="T9" fmla="*/ T8 w 966"/>
                              <a:gd name="T10" fmla="+- 0 2498 1654"/>
                              <a:gd name="T11" fmla="*/ 2498 h 844"/>
                            </a:gdLst>
                            <a:ahLst/>
                            <a:cxnLst>
                              <a:cxn ang="0">
                                <a:pos x="T1" y="T3"/>
                              </a:cxn>
                              <a:cxn ang="0">
                                <a:pos x="T5" y="T7"/>
                              </a:cxn>
                              <a:cxn ang="0">
                                <a:pos x="T9" y="T11"/>
                              </a:cxn>
                            </a:cxnLst>
                            <a:rect l="0" t="0" r="r" b="b"/>
                            <a:pathLst>
                              <a:path w="966" h="844">
                                <a:moveTo>
                                  <a:pt x="966" y="0"/>
                                </a:moveTo>
                                <a:lnTo>
                                  <a:pt x="966" y="844"/>
                                </a:lnTo>
                                <a:lnTo>
                                  <a:pt x="0" y="844"/>
                                </a:lnTo>
                              </a:path>
                            </a:pathLst>
                          </a:custGeom>
                          <a:noFill/>
                          <a:ln w="6350">
                            <a:solidFill>
                              <a:srgbClr val="231F2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 name="docshape292"/>
                        <wps:cNvSpPr>
                          <a:spLocks/>
                        </wps:cNvSpPr>
                        <wps:spPr bwMode="auto">
                          <a:xfrm>
                            <a:off x="3983" y="1585"/>
                            <a:ext cx="79" cy="79"/>
                          </a:xfrm>
                          <a:custGeom>
                            <a:avLst/>
                            <a:gdLst>
                              <a:gd name="T0" fmla="+- 0 4023 3983"/>
                              <a:gd name="T1" fmla="*/ T0 w 79"/>
                              <a:gd name="T2" fmla="+- 0 1586 1586"/>
                              <a:gd name="T3" fmla="*/ 1586 h 79"/>
                              <a:gd name="T4" fmla="+- 0 3983 3983"/>
                              <a:gd name="T5" fmla="*/ T4 w 79"/>
                              <a:gd name="T6" fmla="+- 0 1664 1586"/>
                              <a:gd name="T7" fmla="*/ 1664 h 79"/>
                              <a:gd name="T8" fmla="+- 0 4062 3983"/>
                              <a:gd name="T9" fmla="*/ T8 w 79"/>
                              <a:gd name="T10" fmla="+- 0 1664 1586"/>
                              <a:gd name="T11" fmla="*/ 1664 h 79"/>
                              <a:gd name="T12" fmla="+- 0 4023 3983"/>
                              <a:gd name="T13" fmla="*/ T12 w 79"/>
                              <a:gd name="T14" fmla="+- 0 1586 1586"/>
                              <a:gd name="T15" fmla="*/ 1586 h 79"/>
                            </a:gdLst>
                            <a:ahLst/>
                            <a:cxnLst>
                              <a:cxn ang="0">
                                <a:pos x="T1" y="T3"/>
                              </a:cxn>
                              <a:cxn ang="0">
                                <a:pos x="T5" y="T7"/>
                              </a:cxn>
                              <a:cxn ang="0">
                                <a:pos x="T9" y="T11"/>
                              </a:cxn>
                              <a:cxn ang="0">
                                <a:pos x="T13" y="T15"/>
                              </a:cxn>
                            </a:cxnLst>
                            <a:rect l="0" t="0" r="r" b="b"/>
                            <a:pathLst>
                              <a:path w="79" h="79">
                                <a:moveTo>
                                  <a:pt x="40" y="0"/>
                                </a:moveTo>
                                <a:lnTo>
                                  <a:pt x="0" y="78"/>
                                </a:lnTo>
                                <a:lnTo>
                                  <a:pt x="79" y="78"/>
                                </a:lnTo>
                                <a:lnTo>
                                  <a:pt x="40" y="0"/>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8" name="Line 65"/>
                        <wps:cNvCnPr>
                          <a:cxnSpLocks noChangeShapeType="1"/>
                        </wps:cNvCnPr>
                        <wps:spPr bwMode="auto">
                          <a:xfrm>
                            <a:off x="2168" y="2314"/>
                            <a:ext cx="0"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69" name="docshape293"/>
                        <wps:cNvSpPr>
                          <a:spLocks/>
                        </wps:cNvSpPr>
                        <wps:spPr bwMode="auto">
                          <a:xfrm>
                            <a:off x="2128" y="1845"/>
                            <a:ext cx="79" cy="79"/>
                          </a:xfrm>
                          <a:custGeom>
                            <a:avLst/>
                            <a:gdLst>
                              <a:gd name="T0" fmla="+- 0 2168 2129"/>
                              <a:gd name="T1" fmla="*/ T0 w 79"/>
                              <a:gd name="T2" fmla="+- 0 1845 1845"/>
                              <a:gd name="T3" fmla="*/ 1845 h 79"/>
                              <a:gd name="T4" fmla="+- 0 2129 2129"/>
                              <a:gd name="T5" fmla="*/ T4 w 79"/>
                              <a:gd name="T6" fmla="+- 0 1923 1845"/>
                              <a:gd name="T7" fmla="*/ 1923 h 79"/>
                              <a:gd name="T8" fmla="+- 0 2207 2129"/>
                              <a:gd name="T9" fmla="*/ T8 w 79"/>
                              <a:gd name="T10" fmla="+- 0 1923 1845"/>
                              <a:gd name="T11" fmla="*/ 1923 h 79"/>
                              <a:gd name="T12" fmla="+- 0 2168 2129"/>
                              <a:gd name="T13" fmla="*/ T12 w 79"/>
                              <a:gd name="T14" fmla="+- 0 1845 1845"/>
                              <a:gd name="T15" fmla="*/ 1845 h 79"/>
                            </a:gdLst>
                            <a:ahLst/>
                            <a:cxnLst>
                              <a:cxn ang="0">
                                <a:pos x="T1" y="T3"/>
                              </a:cxn>
                              <a:cxn ang="0">
                                <a:pos x="T5" y="T7"/>
                              </a:cxn>
                              <a:cxn ang="0">
                                <a:pos x="T9" y="T11"/>
                              </a:cxn>
                              <a:cxn ang="0">
                                <a:pos x="T13" y="T15"/>
                              </a:cxn>
                            </a:cxnLst>
                            <a:rect l="0" t="0" r="r" b="b"/>
                            <a:pathLst>
                              <a:path w="79" h="79">
                                <a:moveTo>
                                  <a:pt x="39" y="0"/>
                                </a:moveTo>
                                <a:lnTo>
                                  <a:pt x="0" y="78"/>
                                </a:lnTo>
                                <a:lnTo>
                                  <a:pt x="78" y="78"/>
                                </a:lnTo>
                                <a:lnTo>
                                  <a:pt x="39" y="0"/>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0" name="docshape294"/>
                        <wps:cNvSpPr>
                          <a:spLocks/>
                        </wps:cNvSpPr>
                        <wps:spPr bwMode="auto">
                          <a:xfrm>
                            <a:off x="1305" y="2313"/>
                            <a:ext cx="1772" cy="469"/>
                          </a:xfrm>
                          <a:custGeom>
                            <a:avLst/>
                            <a:gdLst>
                              <a:gd name="T0" fmla="+- 0 1306 1306"/>
                              <a:gd name="T1" fmla="*/ T0 w 1772"/>
                              <a:gd name="T2" fmla="+- 0 2548 2314"/>
                              <a:gd name="T3" fmla="*/ 2548 h 469"/>
                              <a:gd name="T4" fmla="+- 0 1333 1306"/>
                              <a:gd name="T5" fmla="*/ T4 w 1772"/>
                              <a:gd name="T6" fmla="+- 0 2491 2314"/>
                              <a:gd name="T7" fmla="*/ 2491 h 469"/>
                              <a:gd name="T8" fmla="+- 0 1409 1306"/>
                              <a:gd name="T9" fmla="*/ T8 w 1772"/>
                              <a:gd name="T10" fmla="+- 0 2438 2314"/>
                              <a:gd name="T11" fmla="*/ 2438 h 469"/>
                              <a:gd name="T12" fmla="+- 0 1529 1306"/>
                              <a:gd name="T13" fmla="*/ T12 w 1772"/>
                              <a:gd name="T14" fmla="+- 0 2393 2314"/>
                              <a:gd name="T15" fmla="*/ 2393 h 469"/>
                              <a:gd name="T16" fmla="+- 0 1603 1306"/>
                              <a:gd name="T17" fmla="*/ T16 w 1772"/>
                              <a:gd name="T18" fmla="+- 0 2373 2314"/>
                              <a:gd name="T19" fmla="*/ 2373 h 469"/>
                              <a:gd name="T20" fmla="+- 0 1685 1306"/>
                              <a:gd name="T21" fmla="*/ T20 w 1772"/>
                              <a:gd name="T22" fmla="+- 0 2356 2314"/>
                              <a:gd name="T23" fmla="*/ 2356 h 469"/>
                              <a:gd name="T24" fmla="+- 0 1775 1306"/>
                              <a:gd name="T25" fmla="*/ T24 w 1772"/>
                              <a:gd name="T26" fmla="+- 0 2341 2314"/>
                              <a:gd name="T27" fmla="*/ 2341 h 469"/>
                              <a:gd name="T28" fmla="+- 0 1871 1306"/>
                              <a:gd name="T29" fmla="*/ T28 w 1772"/>
                              <a:gd name="T30" fmla="+- 0 2330 2314"/>
                              <a:gd name="T31" fmla="*/ 2330 h 469"/>
                              <a:gd name="T32" fmla="+- 0 1973 1306"/>
                              <a:gd name="T33" fmla="*/ T32 w 1772"/>
                              <a:gd name="T34" fmla="+- 0 2321 2314"/>
                              <a:gd name="T35" fmla="*/ 2321 h 469"/>
                              <a:gd name="T36" fmla="+- 0 2081 1306"/>
                              <a:gd name="T37" fmla="*/ T36 w 1772"/>
                              <a:gd name="T38" fmla="+- 0 2316 2314"/>
                              <a:gd name="T39" fmla="*/ 2316 h 469"/>
                              <a:gd name="T40" fmla="+- 0 2192 1306"/>
                              <a:gd name="T41" fmla="*/ T40 w 1772"/>
                              <a:gd name="T42" fmla="+- 0 2314 2314"/>
                              <a:gd name="T43" fmla="*/ 2314 h 469"/>
                              <a:gd name="T44" fmla="+- 0 2303 1306"/>
                              <a:gd name="T45" fmla="*/ T44 w 1772"/>
                              <a:gd name="T46" fmla="+- 0 2316 2314"/>
                              <a:gd name="T47" fmla="*/ 2316 h 469"/>
                              <a:gd name="T48" fmla="+- 0 2410 1306"/>
                              <a:gd name="T49" fmla="*/ T48 w 1772"/>
                              <a:gd name="T50" fmla="+- 0 2321 2314"/>
                              <a:gd name="T51" fmla="*/ 2321 h 469"/>
                              <a:gd name="T52" fmla="+- 0 2512 1306"/>
                              <a:gd name="T53" fmla="*/ T52 w 1772"/>
                              <a:gd name="T54" fmla="+- 0 2330 2314"/>
                              <a:gd name="T55" fmla="*/ 2330 h 469"/>
                              <a:gd name="T56" fmla="+- 0 2608 1306"/>
                              <a:gd name="T57" fmla="*/ T56 w 1772"/>
                              <a:gd name="T58" fmla="+- 0 2341 2314"/>
                              <a:gd name="T59" fmla="*/ 2341 h 469"/>
                              <a:gd name="T60" fmla="+- 0 2698 1306"/>
                              <a:gd name="T61" fmla="*/ T60 w 1772"/>
                              <a:gd name="T62" fmla="+- 0 2356 2314"/>
                              <a:gd name="T63" fmla="*/ 2356 h 469"/>
                              <a:gd name="T64" fmla="+- 0 2780 1306"/>
                              <a:gd name="T65" fmla="*/ T64 w 1772"/>
                              <a:gd name="T66" fmla="+- 0 2373 2314"/>
                              <a:gd name="T67" fmla="*/ 2373 h 469"/>
                              <a:gd name="T68" fmla="+- 0 2854 1306"/>
                              <a:gd name="T69" fmla="*/ T68 w 1772"/>
                              <a:gd name="T70" fmla="+- 0 2393 2314"/>
                              <a:gd name="T71" fmla="*/ 2393 h 469"/>
                              <a:gd name="T72" fmla="+- 0 2919 1306"/>
                              <a:gd name="T73" fmla="*/ T72 w 1772"/>
                              <a:gd name="T74" fmla="+- 0 2414 2314"/>
                              <a:gd name="T75" fmla="*/ 2414 h 469"/>
                              <a:gd name="T76" fmla="+- 0 3018 1306"/>
                              <a:gd name="T77" fmla="*/ T76 w 1772"/>
                              <a:gd name="T78" fmla="+- 0 2464 2314"/>
                              <a:gd name="T79" fmla="*/ 2464 h 469"/>
                              <a:gd name="T80" fmla="+- 0 3071 1306"/>
                              <a:gd name="T81" fmla="*/ T80 w 1772"/>
                              <a:gd name="T82" fmla="+- 0 2519 2314"/>
                              <a:gd name="T83" fmla="*/ 2519 h 469"/>
                              <a:gd name="T84" fmla="+- 0 3078 1306"/>
                              <a:gd name="T85" fmla="*/ T84 w 1772"/>
                              <a:gd name="T86" fmla="+- 0 2548 2314"/>
                              <a:gd name="T87" fmla="*/ 2548 h 469"/>
                              <a:gd name="T88" fmla="+- 0 3071 1306"/>
                              <a:gd name="T89" fmla="*/ T88 w 1772"/>
                              <a:gd name="T90" fmla="+- 0 2578 2314"/>
                              <a:gd name="T91" fmla="*/ 2578 h 469"/>
                              <a:gd name="T92" fmla="+- 0 3018 1306"/>
                              <a:gd name="T93" fmla="*/ T92 w 1772"/>
                              <a:gd name="T94" fmla="+- 0 2633 2314"/>
                              <a:gd name="T95" fmla="*/ 2633 h 469"/>
                              <a:gd name="T96" fmla="+- 0 2919 1306"/>
                              <a:gd name="T97" fmla="*/ T96 w 1772"/>
                              <a:gd name="T98" fmla="+- 0 2682 2314"/>
                              <a:gd name="T99" fmla="*/ 2682 h 469"/>
                              <a:gd name="T100" fmla="+- 0 2854 1306"/>
                              <a:gd name="T101" fmla="*/ T100 w 1772"/>
                              <a:gd name="T102" fmla="+- 0 2704 2314"/>
                              <a:gd name="T103" fmla="*/ 2704 h 469"/>
                              <a:gd name="T104" fmla="+- 0 2780 1306"/>
                              <a:gd name="T105" fmla="*/ T104 w 1772"/>
                              <a:gd name="T106" fmla="+- 0 2723 2314"/>
                              <a:gd name="T107" fmla="*/ 2723 h 469"/>
                              <a:gd name="T108" fmla="+- 0 2698 1306"/>
                              <a:gd name="T109" fmla="*/ T108 w 1772"/>
                              <a:gd name="T110" fmla="+- 0 2741 2314"/>
                              <a:gd name="T111" fmla="*/ 2741 h 469"/>
                              <a:gd name="T112" fmla="+- 0 2608 1306"/>
                              <a:gd name="T113" fmla="*/ T112 w 1772"/>
                              <a:gd name="T114" fmla="+- 0 2755 2314"/>
                              <a:gd name="T115" fmla="*/ 2755 h 469"/>
                              <a:gd name="T116" fmla="+- 0 2512 1306"/>
                              <a:gd name="T117" fmla="*/ T116 w 1772"/>
                              <a:gd name="T118" fmla="+- 0 2767 2314"/>
                              <a:gd name="T119" fmla="*/ 2767 h 469"/>
                              <a:gd name="T120" fmla="+- 0 2410 1306"/>
                              <a:gd name="T121" fmla="*/ T120 w 1772"/>
                              <a:gd name="T122" fmla="+- 0 2775 2314"/>
                              <a:gd name="T123" fmla="*/ 2775 h 469"/>
                              <a:gd name="T124" fmla="+- 0 2303 1306"/>
                              <a:gd name="T125" fmla="*/ T124 w 1772"/>
                              <a:gd name="T126" fmla="+- 0 2781 2314"/>
                              <a:gd name="T127" fmla="*/ 2781 h 469"/>
                              <a:gd name="T128" fmla="+- 0 2192 1306"/>
                              <a:gd name="T129" fmla="*/ T128 w 1772"/>
                              <a:gd name="T130" fmla="+- 0 2783 2314"/>
                              <a:gd name="T131" fmla="*/ 2783 h 469"/>
                              <a:gd name="T132" fmla="+- 0 2081 1306"/>
                              <a:gd name="T133" fmla="*/ T132 w 1772"/>
                              <a:gd name="T134" fmla="+- 0 2781 2314"/>
                              <a:gd name="T135" fmla="*/ 2781 h 469"/>
                              <a:gd name="T136" fmla="+- 0 1973 1306"/>
                              <a:gd name="T137" fmla="*/ T136 w 1772"/>
                              <a:gd name="T138" fmla="+- 0 2775 2314"/>
                              <a:gd name="T139" fmla="*/ 2775 h 469"/>
                              <a:gd name="T140" fmla="+- 0 1871 1306"/>
                              <a:gd name="T141" fmla="*/ T140 w 1772"/>
                              <a:gd name="T142" fmla="+- 0 2767 2314"/>
                              <a:gd name="T143" fmla="*/ 2767 h 469"/>
                              <a:gd name="T144" fmla="+- 0 1775 1306"/>
                              <a:gd name="T145" fmla="*/ T144 w 1772"/>
                              <a:gd name="T146" fmla="+- 0 2755 2314"/>
                              <a:gd name="T147" fmla="*/ 2755 h 469"/>
                              <a:gd name="T148" fmla="+- 0 1685 1306"/>
                              <a:gd name="T149" fmla="*/ T148 w 1772"/>
                              <a:gd name="T150" fmla="+- 0 2741 2314"/>
                              <a:gd name="T151" fmla="*/ 2741 h 469"/>
                              <a:gd name="T152" fmla="+- 0 1603 1306"/>
                              <a:gd name="T153" fmla="*/ T152 w 1772"/>
                              <a:gd name="T154" fmla="+- 0 2723 2314"/>
                              <a:gd name="T155" fmla="*/ 2723 h 469"/>
                              <a:gd name="T156" fmla="+- 0 1529 1306"/>
                              <a:gd name="T157" fmla="*/ T156 w 1772"/>
                              <a:gd name="T158" fmla="+- 0 2704 2314"/>
                              <a:gd name="T159" fmla="*/ 2704 h 469"/>
                              <a:gd name="T160" fmla="+- 0 1464 1306"/>
                              <a:gd name="T161" fmla="*/ T160 w 1772"/>
                              <a:gd name="T162" fmla="+- 0 2682 2314"/>
                              <a:gd name="T163" fmla="*/ 2682 h 469"/>
                              <a:gd name="T164" fmla="+- 0 1365 1306"/>
                              <a:gd name="T165" fmla="*/ T164 w 1772"/>
                              <a:gd name="T166" fmla="+- 0 2633 2314"/>
                              <a:gd name="T167" fmla="*/ 2633 h 469"/>
                              <a:gd name="T168" fmla="+- 0 1313 1306"/>
                              <a:gd name="T169" fmla="*/ T168 w 1772"/>
                              <a:gd name="T170" fmla="+- 0 2578 2314"/>
                              <a:gd name="T171" fmla="*/ 2578 h 469"/>
                              <a:gd name="T172" fmla="+- 0 1306 1306"/>
                              <a:gd name="T173" fmla="*/ T172 w 1772"/>
                              <a:gd name="T174" fmla="+- 0 2548 2314"/>
                              <a:gd name="T175" fmla="*/ 2548 h 46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Lst>
                            <a:rect l="0" t="0" r="r" b="b"/>
                            <a:pathLst>
                              <a:path w="1772" h="469">
                                <a:moveTo>
                                  <a:pt x="0" y="234"/>
                                </a:moveTo>
                                <a:lnTo>
                                  <a:pt x="27" y="177"/>
                                </a:lnTo>
                                <a:lnTo>
                                  <a:pt x="103" y="124"/>
                                </a:lnTo>
                                <a:lnTo>
                                  <a:pt x="223" y="79"/>
                                </a:lnTo>
                                <a:lnTo>
                                  <a:pt x="297" y="59"/>
                                </a:lnTo>
                                <a:lnTo>
                                  <a:pt x="379" y="42"/>
                                </a:lnTo>
                                <a:lnTo>
                                  <a:pt x="469" y="27"/>
                                </a:lnTo>
                                <a:lnTo>
                                  <a:pt x="565" y="16"/>
                                </a:lnTo>
                                <a:lnTo>
                                  <a:pt x="667" y="7"/>
                                </a:lnTo>
                                <a:lnTo>
                                  <a:pt x="775" y="2"/>
                                </a:lnTo>
                                <a:lnTo>
                                  <a:pt x="886" y="0"/>
                                </a:lnTo>
                                <a:lnTo>
                                  <a:pt x="997" y="2"/>
                                </a:lnTo>
                                <a:lnTo>
                                  <a:pt x="1104" y="7"/>
                                </a:lnTo>
                                <a:lnTo>
                                  <a:pt x="1206" y="16"/>
                                </a:lnTo>
                                <a:lnTo>
                                  <a:pt x="1302" y="27"/>
                                </a:lnTo>
                                <a:lnTo>
                                  <a:pt x="1392" y="42"/>
                                </a:lnTo>
                                <a:lnTo>
                                  <a:pt x="1474" y="59"/>
                                </a:lnTo>
                                <a:lnTo>
                                  <a:pt x="1548" y="79"/>
                                </a:lnTo>
                                <a:lnTo>
                                  <a:pt x="1613" y="100"/>
                                </a:lnTo>
                                <a:lnTo>
                                  <a:pt x="1712" y="150"/>
                                </a:lnTo>
                                <a:lnTo>
                                  <a:pt x="1765" y="205"/>
                                </a:lnTo>
                                <a:lnTo>
                                  <a:pt x="1772" y="234"/>
                                </a:lnTo>
                                <a:lnTo>
                                  <a:pt x="1765" y="264"/>
                                </a:lnTo>
                                <a:lnTo>
                                  <a:pt x="1712" y="319"/>
                                </a:lnTo>
                                <a:lnTo>
                                  <a:pt x="1613" y="368"/>
                                </a:lnTo>
                                <a:lnTo>
                                  <a:pt x="1548" y="390"/>
                                </a:lnTo>
                                <a:lnTo>
                                  <a:pt x="1474" y="409"/>
                                </a:lnTo>
                                <a:lnTo>
                                  <a:pt x="1392" y="427"/>
                                </a:lnTo>
                                <a:lnTo>
                                  <a:pt x="1302" y="441"/>
                                </a:lnTo>
                                <a:lnTo>
                                  <a:pt x="1206" y="453"/>
                                </a:lnTo>
                                <a:lnTo>
                                  <a:pt x="1104" y="461"/>
                                </a:lnTo>
                                <a:lnTo>
                                  <a:pt x="997" y="467"/>
                                </a:lnTo>
                                <a:lnTo>
                                  <a:pt x="886" y="469"/>
                                </a:lnTo>
                                <a:lnTo>
                                  <a:pt x="775" y="467"/>
                                </a:lnTo>
                                <a:lnTo>
                                  <a:pt x="667" y="461"/>
                                </a:lnTo>
                                <a:lnTo>
                                  <a:pt x="565" y="453"/>
                                </a:lnTo>
                                <a:lnTo>
                                  <a:pt x="469" y="441"/>
                                </a:lnTo>
                                <a:lnTo>
                                  <a:pt x="379" y="427"/>
                                </a:lnTo>
                                <a:lnTo>
                                  <a:pt x="297" y="409"/>
                                </a:lnTo>
                                <a:lnTo>
                                  <a:pt x="223" y="390"/>
                                </a:lnTo>
                                <a:lnTo>
                                  <a:pt x="158" y="368"/>
                                </a:lnTo>
                                <a:lnTo>
                                  <a:pt x="59" y="319"/>
                                </a:lnTo>
                                <a:lnTo>
                                  <a:pt x="7" y="264"/>
                                </a:lnTo>
                                <a:lnTo>
                                  <a:pt x="0" y="234"/>
                                </a:lnTo>
                                <a:close/>
                              </a:path>
                            </a:pathLst>
                          </a:custGeom>
                          <a:noFill/>
                          <a:ln w="6350">
                            <a:solidFill>
                              <a:srgbClr val="231F2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EFD7F0B" id="docshapegroup287" o:spid="_x0000_s1026" style="position:absolute;margin-left:65.05pt;margin-top:-8.65pt;width:181.9pt;height:148.05pt;z-index:-19568640;mso-position-horizontal-relative:page" coordorigin="1301,-173" coordsize="3638,29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">
                <v:line id="Line 71" o:spid="_x0000_s1027" style="position:absolute;visibility:visible;mso-wrap-style:square" from="2702,1586" to="4260,15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" strokecolor="#231f20" strokeweight=".5pt"/>
                <v:shape id="docshape288" o:spid="_x0000_s1028" style="position:absolute;left:4260;top:1546;width:79;height:79;visibility:visible;mso-wrap-style:square;v-text-anchor:top" coordsize="79,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" path="m,l,78,79,39,,xe" fillcolor="#231f20" stroked="f">
                  <v:path arrowok="t" o:connecttype="custom" o:connectlocs="0,1547;0,1625;79,1586;0,1547" o:connectangles="0,0,0,0"/>
                </v:shape>
                <v:shape id="docshape289" o:spid="_x0000_s1029" style="position:absolute;left:3161;top:-169;width:1772;height:1670;visibility:visible;mso-wrap-style:square;v-text-anchor:top" coordsize="1772,1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" path="m,410l6,362,23,316,51,272,90,230r47,-40l194,153r65,-33l331,90,411,64,496,42,587,24,682,11,782,3,885,,989,3r100,8l1184,24r91,18l1360,64r80,26l1512,120r65,33l1634,190r47,40l1720,272r28,44l1765,362r6,48l1765,458r-17,46l1720,548r-39,42l1634,630r-57,36l1512,700r-72,30l1360,756r-85,22l1184,796r-95,13l989,817r-104,3l782,817,682,809,587,796,496,778,411,756,331,730,259,700,194,666,137,630,90,590,51,548,23,504,6,458,,410xm861,820r,849e" filled="f" strokecolor="#231f20" strokeweight=".5pt">
                  <v:path arrowok="t" o:connecttype="custom" o:connectlocs="0,242;6,194;23,148;51,104;90,62;137,22;194,-15;259,-48;331,-78;411,-104;496,-126;587,-144;682,-157;782,-165;885,-168;989,-165;1089,-157;1184,-144;1275,-126;1360,-104;1440,-78;1512,-48;1577,-15;1634,22;1681,62;1720,104;1748,148;1765,194;1771,242;1765,290;1748,336;1720,380;1681,422;1634,462;1577,498;1512,532;1440,562;1360,588;1275,610;1184,628;1089,641;989,649;885,652;782,649;682,641;587,628;496,610;411,588;331,562;259,532;194,498;137,462;90,422;51,380;23,336;6,290;0,242;861,652;861,1501" o:connectangles="0,0,0,0,0,0,0,0,0,0,0,0,0,0,0,0,0,0,0,0,0,0,0,0,0,0,0,0,0,0,0,0,0,0,0,0,0,0,0,0,0,0,0,0,0,0,0,0,0,0,0,0,0,0,0,0,0,0,0"/>
                </v:shape>
                <v:shape id="docshape290" o:spid="_x0000_s1030" style="position:absolute;left:3983;top:1500;width:79;height:79;visibility:visible;mso-wrap-style:square;v-text-anchor:top" coordsize="79,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" path="m79,l,,40,78,79,xe" fillcolor="#231f20" stroked="f">
                  <v:path arrowok="t" o:connecttype="custom" o:connectlocs="79,1501;0,1501;40,1579;79,1501" o:connectangles="0,0,0,0"/>
                </v:shape>
                <v:shape id="docshape291" o:spid="_x0000_s1031" style="position:absolute;left:3056;top:1654;width:966;height:844;visibility:visible;mso-wrap-style:square;v-text-anchor:top" coordsize="966,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" path="m966,r,844l,844e" filled="f" strokecolor="#231f20" strokeweight=".5pt">
                  <v:path arrowok="t" o:connecttype="custom" o:connectlocs="966,1654;966,2498;0,2498" o:connectangles="0,0,0"/>
                </v:shape>
                <v:shape id="docshape292" o:spid="_x0000_s1032" style="position:absolute;left:3983;top:1585;width:79;height:79;visibility:visible;mso-wrap-style:square;v-text-anchor:top" coordsize="79,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" path="m40,l,78r79,l40,xe" fillcolor="#231f20" stroked="f">
                  <v:path arrowok="t" o:connecttype="custom" o:connectlocs="40,1586;0,1664;79,1664;40,1586" o:connectangles="0,0,0,0"/>
                </v:shape>
                <v:line id="Line 65" o:spid="_x0000_s1033" style="position:absolute;visibility:visible;mso-wrap-style:square" from="2168,2314" to="2168,23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" strokecolor="#231f20" strokeweight=".5pt"/>
                <v:shape id="docshape293" o:spid="_x0000_s1034" style="position:absolute;left:2128;top:1845;width:79;height:79;visibility:visible;mso-wrap-style:square;v-text-anchor:top" coordsize="79,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" path="m39,l,78r78,l39,xe" fillcolor="#231f20" stroked="f">
                  <v:path arrowok="t" o:connecttype="custom" o:connectlocs="39,1845;0,1923;78,1923;39,1845" o:connectangles="0,0,0,0"/>
                </v:shape>
                <v:shape id="docshape294" o:spid="_x0000_s1035" style="position:absolute;left:1305;top:2313;width:1772;height:469;visibility:visible;mso-wrap-style:square;v-text-anchor:top" coordsize="1772,4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" path="m,234l27,177r76,-53l223,79,297,59,379,42,469,27,565,16,667,7,775,2,886,,997,2r107,5l1206,16r96,11l1392,42r82,17l1548,79r65,21l1712,150r53,55l1772,234r-7,30l1712,319r-99,49l1548,390r-74,19l1392,427r-90,14l1206,453r-102,8l997,467r-111,2l775,467,667,461,565,453,469,441,379,427,297,409,223,390,158,368,59,319,7,264,,234xe" filled="f" strokecolor="#231f20" strokeweight=".5pt">
                  <v:path arrowok="t" o:connecttype="custom" o:connectlocs="0,2548;27,2491;103,2438;223,2393;297,2373;379,2356;469,2341;565,2330;667,2321;775,2316;886,2314;997,2316;1104,2321;1206,2330;1302,2341;1392,2356;1474,2373;1548,2393;1613,2414;1712,2464;1765,2519;1772,2548;1765,2578;1712,2633;1613,2682;1548,2704;1474,2723;1392,2741;1302,2755;1206,2767;1104,2775;997,2781;886,2783;775,2781;667,2775;565,2767;469,2755;379,2741;297,2723;223,2704;158,2682;59,2633;7,2578;0,2548" o:connectangles="0,0,0,0,0,0,0,0,0,0,0,0,0,0,0,0,0,0,0,0,0,0,0,0,0,0,0,0,0,0,0,0,0,0,0,0,0,0,0,0,0,0,0,0"/>
                </v:shape>
                <w10:wrap anchorx="page"/>
              </v:group>
            </w:pict>
          </mc:Fallback>
        </mc:AlternateContent>
      </w:r>
      <w:r>
        <w:rPr>
          <w:noProof/>
        </w:rPr>
        <mc:AlternateContent>
          <mc:Choice Requires="wpg">
            <w:drawing>
              <wp:anchor distT="0" distB="0" distL="114300" distR="114300" simplePos="0" relativeHeight="483748352" behindDoc="1" locked="0" layoutInCell="1" allowOverlap="1" wp14:anchorId="7F5ACCA8" wp14:editId="50E51F52">
                <wp:simplePos x="0" y="0"/>
                <wp:positionH relativeFrom="page">
                  <wp:posOffset>2754630</wp:posOffset>
                </wp:positionH>
                <wp:positionV relativeFrom="paragraph">
                  <wp:posOffset>-105410</wp:posOffset>
                </wp:positionV>
                <wp:extent cx="2034540" cy="1289685"/>
                <wp:effectExtent l="0" t="0" r="0" b="0"/>
                <wp:wrapNone/>
                <wp:docPr id="52" name="docshapegroup2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34540" cy="1289685"/>
                          <a:chOff x="4338" y="-166"/>
                          <a:chExt cx="3204" cy="2031"/>
                        </a:xfrm>
                      </wpg:grpSpPr>
                      <wps:wsp>
                        <wps:cNvPr id="53" name="Line 61"/>
                        <wps:cNvCnPr>
                          <a:cxnSpLocks noChangeShapeType="1"/>
                        </wps:cNvCnPr>
                        <wps:spPr bwMode="auto">
                          <a:xfrm>
                            <a:off x="5505" y="1586"/>
                            <a:ext cx="741" cy="0"/>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54" name="docshape296"/>
                        <wps:cNvSpPr>
                          <a:spLocks/>
                        </wps:cNvSpPr>
                        <wps:spPr bwMode="auto">
                          <a:xfrm>
                            <a:off x="6241" y="1546"/>
                            <a:ext cx="79" cy="79"/>
                          </a:xfrm>
                          <a:custGeom>
                            <a:avLst/>
                            <a:gdLst>
                              <a:gd name="T0" fmla="+- 0 6242 6241"/>
                              <a:gd name="T1" fmla="*/ T0 w 79"/>
                              <a:gd name="T2" fmla="+- 0 1547 1547"/>
                              <a:gd name="T3" fmla="*/ 1547 h 79"/>
                              <a:gd name="T4" fmla="+- 0 6241 6241"/>
                              <a:gd name="T5" fmla="*/ T4 w 79"/>
                              <a:gd name="T6" fmla="+- 0 1625 1547"/>
                              <a:gd name="T7" fmla="*/ 1625 h 79"/>
                              <a:gd name="T8" fmla="+- 0 6320 6241"/>
                              <a:gd name="T9" fmla="*/ T8 w 79"/>
                              <a:gd name="T10" fmla="+- 0 1586 1547"/>
                              <a:gd name="T11" fmla="*/ 1586 h 79"/>
                              <a:gd name="T12" fmla="+- 0 6242 6241"/>
                              <a:gd name="T13" fmla="*/ T12 w 79"/>
                              <a:gd name="T14" fmla="+- 0 1547 1547"/>
                              <a:gd name="T15" fmla="*/ 1547 h 79"/>
                            </a:gdLst>
                            <a:ahLst/>
                            <a:cxnLst>
                              <a:cxn ang="0">
                                <a:pos x="T1" y="T3"/>
                              </a:cxn>
                              <a:cxn ang="0">
                                <a:pos x="T5" y="T7"/>
                              </a:cxn>
                              <a:cxn ang="0">
                                <a:pos x="T9" y="T11"/>
                              </a:cxn>
                              <a:cxn ang="0">
                                <a:pos x="T13" y="T15"/>
                              </a:cxn>
                            </a:cxnLst>
                            <a:rect l="0" t="0" r="r" b="b"/>
                            <a:pathLst>
                              <a:path w="79" h="79">
                                <a:moveTo>
                                  <a:pt x="1" y="0"/>
                                </a:moveTo>
                                <a:lnTo>
                                  <a:pt x="0" y="78"/>
                                </a:lnTo>
                                <a:lnTo>
                                  <a:pt x="79" y="39"/>
                                </a:lnTo>
                                <a:lnTo>
                                  <a:pt x="1" y="0"/>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 name="docshape297"/>
                        <wps:cNvSpPr>
                          <a:spLocks/>
                        </wps:cNvSpPr>
                        <wps:spPr bwMode="auto">
                          <a:xfrm>
                            <a:off x="5058" y="-161"/>
                            <a:ext cx="1772" cy="820"/>
                          </a:xfrm>
                          <a:custGeom>
                            <a:avLst/>
                            <a:gdLst>
                              <a:gd name="T0" fmla="+- 0 5058 5058"/>
                              <a:gd name="T1" fmla="*/ T0 w 1772"/>
                              <a:gd name="T2" fmla="+- 0 249 -161"/>
                              <a:gd name="T3" fmla="*/ 249 h 820"/>
                              <a:gd name="T4" fmla="+- 0 5082 5058"/>
                              <a:gd name="T5" fmla="*/ T4 w 1772"/>
                              <a:gd name="T6" fmla="+- 0 155 -161"/>
                              <a:gd name="T7" fmla="*/ 155 h 820"/>
                              <a:gd name="T8" fmla="+- 0 5148 5058"/>
                              <a:gd name="T9" fmla="*/ T8 w 1772"/>
                              <a:gd name="T10" fmla="+- 0 69 -161"/>
                              <a:gd name="T11" fmla="*/ 69 h 820"/>
                              <a:gd name="T12" fmla="+- 0 5196 5058"/>
                              <a:gd name="T13" fmla="*/ T12 w 1772"/>
                              <a:gd name="T14" fmla="+- 0 29 -161"/>
                              <a:gd name="T15" fmla="*/ 29 h 820"/>
                              <a:gd name="T16" fmla="+- 0 5253 5058"/>
                              <a:gd name="T17" fmla="*/ T16 w 1772"/>
                              <a:gd name="T18" fmla="+- 0 -7 -161"/>
                              <a:gd name="T19" fmla="*/ -7 h 820"/>
                              <a:gd name="T20" fmla="+- 0 5318 5058"/>
                              <a:gd name="T21" fmla="*/ T20 w 1772"/>
                              <a:gd name="T22" fmla="+- 0 -41 -161"/>
                              <a:gd name="T23" fmla="*/ -41 h 820"/>
                              <a:gd name="T24" fmla="+- 0 5390 5058"/>
                              <a:gd name="T25" fmla="*/ T24 w 1772"/>
                              <a:gd name="T26" fmla="+- 0 -71 -161"/>
                              <a:gd name="T27" fmla="*/ -71 h 820"/>
                              <a:gd name="T28" fmla="+- 0 5469 5058"/>
                              <a:gd name="T29" fmla="*/ T28 w 1772"/>
                              <a:gd name="T30" fmla="+- 0 -97 -161"/>
                              <a:gd name="T31" fmla="*/ -97 h 820"/>
                              <a:gd name="T32" fmla="+- 0 5554 5058"/>
                              <a:gd name="T33" fmla="*/ T32 w 1772"/>
                              <a:gd name="T34" fmla="+- 0 -119 -161"/>
                              <a:gd name="T35" fmla="*/ -119 h 820"/>
                              <a:gd name="T36" fmla="+- 0 5645 5058"/>
                              <a:gd name="T37" fmla="*/ T36 w 1772"/>
                              <a:gd name="T38" fmla="+- 0 -137 -161"/>
                              <a:gd name="T39" fmla="*/ -137 h 820"/>
                              <a:gd name="T40" fmla="+- 0 5741 5058"/>
                              <a:gd name="T41" fmla="*/ T40 w 1772"/>
                              <a:gd name="T42" fmla="+- 0 -150 -161"/>
                              <a:gd name="T43" fmla="*/ -150 h 820"/>
                              <a:gd name="T44" fmla="+- 0 5841 5058"/>
                              <a:gd name="T45" fmla="*/ T44 w 1772"/>
                              <a:gd name="T46" fmla="+- 0 -158 -161"/>
                              <a:gd name="T47" fmla="*/ -158 h 820"/>
                              <a:gd name="T48" fmla="+- 0 5944 5058"/>
                              <a:gd name="T49" fmla="*/ T48 w 1772"/>
                              <a:gd name="T50" fmla="+- 0 -161 -161"/>
                              <a:gd name="T51" fmla="*/ -161 h 820"/>
                              <a:gd name="T52" fmla="+- 0 6047 5058"/>
                              <a:gd name="T53" fmla="*/ T52 w 1772"/>
                              <a:gd name="T54" fmla="+- 0 -158 -161"/>
                              <a:gd name="T55" fmla="*/ -158 h 820"/>
                              <a:gd name="T56" fmla="+- 0 6147 5058"/>
                              <a:gd name="T57" fmla="*/ T56 w 1772"/>
                              <a:gd name="T58" fmla="+- 0 -150 -161"/>
                              <a:gd name="T59" fmla="*/ -150 h 820"/>
                              <a:gd name="T60" fmla="+- 0 6243 5058"/>
                              <a:gd name="T61" fmla="*/ T60 w 1772"/>
                              <a:gd name="T62" fmla="+- 0 -137 -161"/>
                              <a:gd name="T63" fmla="*/ -137 h 820"/>
                              <a:gd name="T64" fmla="+- 0 6334 5058"/>
                              <a:gd name="T65" fmla="*/ T64 w 1772"/>
                              <a:gd name="T66" fmla="+- 0 -119 -161"/>
                              <a:gd name="T67" fmla="*/ -119 h 820"/>
                              <a:gd name="T68" fmla="+- 0 6419 5058"/>
                              <a:gd name="T69" fmla="*/ T68 w 1772"/>
                              <a:gd name="T70" fmla="+- 0 -97 -161"/>
                              <a:gd name="T71" fmla="*/ -97 h 820"/>
                              <a:gd name="T72" fmla="+- 0 6498 5058"/>
                              <a:gd name="T73" fmla="*/ T72 w 1772"/>
                              <a:gd name="T74" fmla="+- 0 -71 -161"/>
                              <a:gd name="T75" fmla="*/ -71 h 820"/>
                              <a:gd name="T76" fmla="+- 0 6571 5058"/>
                              <a:gd name="T77" fmla="*/ T76 w 1772"/>
                              <a:gd name="T78" fmla="+- 0 -41 -161"/>
                              <a:gd name="T79" fmla="*/ -41 h 820"/>
                              <a:gd name="T80" fmla="+- 0 6635 5058"/>
                              <a:gd name="T81" fmla="*/ T80 w 1772"/>
                              <a:gd name="T82" fmla="+- 0 -7 -161"/>
                              <a:gd name="T83" fmla="*/ -7 h 820"/>
                              <a:gd name="T84" fmla="+- 0 6692 5058"/>
                              <a:gd name="T85" fmla="*/ T84 w 1772"/>
                              <a:gd name="T86" fmla="+- 0 29 -161"/>
                              <a:gd name="T87" fmla="*/ 29 h 820"/>
                              <a:gd name="T88" fmla="+- 0 6740 5058"/>
                              <a:gd name="T89" fmla="*/ T88 w 1772"/>
                              <a:gd name="T90" fmla="+- 0 69 -161"/>
                              <a:gd name="T91" fmla="*/ 69 h 820"/>
                              <a:gd name="T92" fmla="+- 0 6807 5058"/>
                              <a:gd name="T93" fmla="*/ T92 w 1772"/>
                              <a:gd name="T94" fmla="+- 0 155 -161"/>
                              <a:gd name="T95" fmla="*/ 155 h 820"/>
                              <a:gd name="T96" fmla="+- 0 6830 5058"/>
                              <a:gd name="T97" fmla="*/ T96 w 1772"/>
                              <a:gd name="T98" fmla="+- 0 249 -161"/>
                              <a:gd name="T99" fmla="*/ 249 h 820"/>
                              <a:gd name="T100" fmla="+- 0 6824 5058"/>
                              <a:gd name="T101" fmla="*/ T100 w 1772"/>
                              <a:gd name="T102" fmla="+- 0 297 -161"/>
                              <a:gd name="T103" fmla="*/ 297 h 820"/>
                              <a:gd name="T104" fmla="+- 0 6778 5058"/>
                              <a:gd name="T105" fmla="*/ T104 w 1772"/>
                              <a:gd name="T106" fmla="+- 0 387 -161"/>
                              <a:gd name="T107" fmla="*/ 387 h 820"/>
                              <a:gd name="T108" fmla="+- 0 6692 5058"/>
                              <a:gd name="T109" fmla="*/ T108 w 1772"/>
                              <a:gd name="T110" fmla="+- 0 469 -161"/>
                              <a:gd name="T111" fmla="*/ 469 h 820"/>
                              <a:gd name="T112" fmla="+- 0 6635 5058"/>
                              <a:gd name="T113" fmla="*/ T112 w 1772"/>
                              <a:gd name="T114" fmla="+- 0 505 -161"/>
                              <a:gd name="T115" fmla="*/ 505 h 820"/>
                              <a:gd name="T116" fmla="+- 0 6571 5058"/>
                              <a:gd name="T117" fmla="*/ T116 w 1772"/>
                              <a:gd name="T118" fmla="+- 0 539 -161"/>
                              <a:gd name="T119" fmla="*/ 539 h 820"/>
                              <a:gd name="T120" fmla="+- 0 6498 5058"/>
                              <a:gd name="T121" fmla="*/ T120 w 1772"/>
                              <a:gd name="T122" fmla="+- 0 569 -161"/>
                              <a:gd name="T123" fmla="*/ 569 h 820"/>
                              <a:gd name="T124" fmla="+- 0 6419 5058"/>
                              <a:gd name="T125" fmla="*/ T124 w 1772"/>
                              <a:gd name="T126" fmla="+- 0 595 -161"/>
                              <a:gd name="T127" fmla="*/ 595 h 820"/>
                              <a:gd name="T128" fmla="+- 0 6334 5058"/>
                              <a:gd name="T129" fmla="*/ T128 w 1772"/>
                              <a:gd name="T130" fmla="+- 0 617 -161"/>
                              <a:gd name="T131" fmla="*/ 617 h 820"/>
                              <a:gd name="T132" fmla="+- 0 6243 5058"/>
                              <a:gd name="T133" fmla="*/ T132 w 1772"/>
                              <a:gd name="T134" fmla="+- 0 635 -161"/>
                              <a:gd name="T135" fmla="*/ 635 h 820"/>
                              <a:gd name="T136" fmla="+- 0 6147 5058"/>
                              <a:gd name="T137" fmla="*/ T136 w 1772"/>
                              <a:gd name="T138" fmla="+- 0 648 -161"/>
                              <a:gd name="T139" fmla="*/ 648 h 820"/>
                              <a:gd name="T140" fmla="+- 0 6047 5058"/>
                              <a:gd name="T141" fmla="*/ T140 w 1772"/>
                              <a:gd name="T142" fmla="+- 0 656 -161"/>
                              <a:gd name="T143" fmla="*/ 656 h 820"/>
                              <a:gd name="T144" fmla="+- 0 5944 5058"/>
                              <a:gd name="T145" fmla="*/ T144 w 1772"/>
                              <a:gd name="T146" fmla="+- 0 659 -161"/>
                              <a:gd name="T147" fmla="*/ 659 h 820"/>
                              <a:gd name="T148" fmla="+- 0 5841 5058"/>
                              <a:gd name="T149" fmla="*/ T148 w 1772"/>
                              <a:gd name="T150" fmla="+- 0 656 -161"/>
                              <a:gd name="T151" fmla="*/ 656 h 820"/>
                              <a:gd name="T152" fmla="+- 0 5741 5058"/>
                              <a:gd name="T153" fmla="*/ T152 w 1772"/>
                              <a:gd name="T154" fmla="+- 0 648 -161"/>
                              <a:gd name="T155" fmla="*/ 648 h 820"/>
                              <a:gd name="T156" fmla="+- 0 5645 5058"/>
                              <a:gd name="T157" fmla="*/ T156 w 1772"/>
                              <a:gd name="T158" fmla="+- 0 635 -161"/>
                              <a:gd name="T159" fmla="*/ 635 h 820"/>
                              <a:gd name="T160" fmla="+- 0 5554 5058"/>
                              <a:gd name="T161" fmla="*/ T160 w 1772"/>
                              <a:gd name="T162" fmla="+- 0 617 -161"/>
                              <a:gd name="T163" fmla="*/ 617 h 820"/>
                              <a:gd name="T164" fmla="+- 0 5469 5058"/>
                              <a:gd name="T165" fmla="*/ T164 w 1772"/>
                              <a:gd name="T166" fmla="+- 0 595 -161"/>
                              <a:gd name="T167" fmla="*/ 595 h 820"/>
                              <a:gd name="T168" fmla="+- 0 5390 5058"/>
                              <a:gd name="T169" fmla="*/ T168 w 1772"/>
                              <a:gd name="T170" fmla="+- 0 569 -161"/>
                              <a:gd name="T171" fmla="*/ 569 h 820"/>
                              <a:gd name="T172" fmla="+- 0 5318 5058"/>
                              <a:gd name="T173" fmla="*/ T172 w 1772"/>
                              <a:gd name="T174" fmla="+- 0 539 -161"/>
                              <a:gd name="T175" fmla="*/ 539 h 820"/>
                              <a:gd name="T176" fmla="+- 0 5253 5058"/>
                              <a:gd name="T177" fmla="*/ T176 w 1772"/>
                              <a:gd name="T178" fmla="+- 0 505 -161"/>
                              <a:gd name="T179" fmla="*/ 505 h 820"/>
                              <a:gd name="T180" fmla="+- 0 5196 5058"/>
                              <a:gd name="T181" fmla="*/ T180 w 1772"/>
                              <a:gd name="T182" fmla="+- 0 469 -161"/>
                              <a:gd name="T183" fmla="*/ 469 h 820"/>
                              <a:gd name="T184" fmla="+- 0 5148 5058"/>
                              <a:gd name="T185" fmla="*/ T184 w 1772"/>
                              <a:gd name="T186" fmla="+- 0 429 -161"/>
                              <a:gd name="T187" fmla="*/ 429 h 820"/>
                              <a:gd name="T188" fmla="+- 0 5082 5058"/>
                              <a:gd name="T189" fmla="*/ T188 w 1772"/>
                              <a:gd name="T190" fmla="+- 0 343 -161"/>
                              <a:gd name="T191" fmla="*/ 343 h 820"/>
                              <a:gd name="T192" fmla="+- 0 5058 5058"/>
                              <a:gd name="T193" fmla="*/ T192 w 1772"/>
                              <a:gd name="T194" fmla="+- 0 249 -161"/>
                              <a:gd name="T195" fmla="*/ 249 h 82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Lst>
                            <a:rect l="0" t="0" r="r" b="b"/>
                            <a:pathLst>
                              <a:path w="1772" h="820">
                                <a:moveTo>
                                  <a:pt x="0" y="410"/>
                                </a:moveTo>
                                <a:lnTo>
                                  <a:pt x="24" y="316"/>
                                </a:lnTo>
                                <a:lnTo>
                                  <a:pt x="90" y="230"/>
                                </a:lnTo>
                                <a:lnTo>
                                  <a:pt x="138" y="190"/>
                                </a:lnTo>
                                <a:lnTo>
                                  <a:pt x="195" y="154"/>
                                </a:lnTo>
                                <a:lnTo>
                                  <a:pt x="260" y="120"/>
                                </a:lnTo>
                                <a:lnTo>
                                  <a:pt x="332" y="90"/>
                                </a:lnTo>
                                <a:lnTo>
                                  <a:pt x="411" y="64"/>
                                </a:lnTo>
                                <a:lnTo>
                                  <a:pt x="496" y="42"/>
                                </a:lnTo>
                                <a:lnTo>
                                  <a:pt x="587" y="24"/>
                                </a:lnTo>
                                <a:lnTo>
                                  <a:pt x="683" y="11"/>
                                </a:lnTo>
                                <a:lnTo>
                                  <a:pt x="783" y="3"/>
                                </a:lnTo>
                                <a:lnTo>
                                  <a:pt x="886" y="0"/>
                                </a:lnTo>
                                <a:lnTo>
                                  <a:pt x="989" y="3"/>
                                </a:lnTo>
                                <a:lnTo>
                                  <a:pt x="1089" y="11"/>
                                </a:lnTo>
                                <a:lnTo>
                                  <a:pt x="1185" y="24"/>
                                </a:lnTo>
                                <a:lnTo>
                                  <a:pt x="1276" y="42"/>
                                </a:lnTo>
                                <a:lnTo>
                                  <a:pt x="1361" y="64"/>
                                </a:lnTo>
                                <a:lnTo>
                                  <a:pt x="1440" y="90"/>
                                </a:lnTo>
                                <a:lnTo>
                                  <a:pt x="1513" y="120"/>
                                </a:lnTo>
                                <a:lnTo>
                                  <a:pt x="1577" y="154"/>
                                </a:lnTo>
                                <a:lnTo>
                                  <a:pt x="1634" y="190"/>
                                </a:lnTo>
                                <a:lnTo>
                                  <a:pt x="1682" y="230"/>
                                </a:lnTo>
                                <a:lnTo>
                                  <a:pt x="1749" y="316"/>
                                </a:lnTo>
                                <a:lnTo>
                                  <a:pt x="1772" y="410"/>
                                </a:lnTo>
                                <a:lnTo>
                                  <a:pt x="1766" y="458"/>
                                </a:lnTo>
                                <a:lnTo>
                                  <a:pt x="1720" y="548"/>
                                </a:lnTo>
                                <a:lnTo>
                                  <a:pt x="1634" y="630"/>
                                </a:lnTo>
                                <a:lnTo>
                                  <a:pt x="1577" y="666"/>
                                </a:lnTo>
                                <a:lnTo>
                                  <a:pt x="1513" y="700"/>
                                </a:lnTo>
                                <a:lnTo>
                                  <a:pt x="1440" y="730"/>
                                </a:lnTo>
                                <a:lnTo>
                                  <a:pt x="1361" y="756"/>
                                </a:lnTo>
                                <a:lnTo>
                                  <a:pt x="1276" y="778"/>
                                </a:lnTo>
                                <a:lnTo>
                                  <a:pt x="1185" y="796"/>
                                </a:lnTo>
                                <a:lnTo>
                                  <a:pt x="1089" y="809"/>
                                </a:lnTo>
                                <a:lnTo>
                                  <a:pt x="989" y="817"/>
                                </a:lnTo>
                                <a:lnTo>
                                  <a:pt x="886" y="820"/>
                                </a:lnTo>
                                <a:lnTo>
                                  <a:pt x="783" y="817"/>
                                </a:lnTo>
                                <a:lnTo>
                                  <a:pt x="683" y="809"/>
                                </a:lnTo>
                                <a:lnTo>
                                  <a:pt x="587" y="796"/>
                                </a:lnTo>
                                <a:lnTo>
                                  <a:pt x="496" y="778"/>
                                </a:lnTo>
                                <a:lnTo>
                                  <a:pt x="411" y="756"/>
                                </a:lnTo>
                                <a:lnTo>
                                  <a:pt x="332" y="730"/>
                                </a:lnTo>
                                <a:lnTo>
                                  <a:pt x="260" y="700"/>
                                </a:lnTo>
                                <a:lnTo>
                                  <a:pt x="195" y="666"/>
                                </a:lnTo>
                                <a:lnTo>
                                  <a:pt x="138" y="630"/>
                                </a:lnTo>
                                <a:lnTo>
                                  <a:pt x="90" y="590"/>
                                </a:lnTo>
                                <a:lnTo>
                                  <a:pt x="24" y="504"/>
                                </a:lnTo>
                                <a:lnTo>
                                  <a:pt x="0" y="410"/>
                                </a:lnTo>
                                <a:close/>
                              </a:path>
                            </a:pathLst>
                          </a:custGeom>
                          <a:noFill/>
                          <a:ln w="6350">
                            <a:solidFill>
                              <a:srgbClr val="231F2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6" name="Line 58"/>
                        <wps:cNvCnPr>
                          <a:cxnSpLocks noChangeShapeType="1"/>
                        </wps:cNvCnPr>
                        <wps:spPr bwMode="auto">
                          <a:xfrm>
                            <a:off x="5963" y="659"/>
                            <a:ext cx="0" cy="842"/>
                          </a:xfrm>
                          <a:prstGeom prst="line">
                            <a:avLst/>
                          </a:prstGeom>
                          <a:noFill/>
                          <a:ln w="635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57" name="docshape298"/>
                        <wps:cNvSpPr>
                          <a:spLocks/>
                        </wps:cNvSpPr>
                        <wps:spPr bwMode="auto">
                          <a:xfrm>
                            <a:off x="5924" y="1501"/>
                            <a:ext cx="79" cy="163"/>
                          </a:xfrm>
                          <a:custGeom>
                            <a:avLst/>
                            <a:gdLst>
                              <a:gd name="T0" fmla="+- 0 6003 5924"/>
                              <a:gd name="T1" fmla="*/ T0 w 79"/>
                              <a:gd name="T2" fmla="+- 0 1664 1501"/>
                              <a:gd name="T3" fmla="*/ 1664 h 163"/>
                              <a:gd name="T4" fmla="+- 0 5963 5924"/>
                              <a:gd name="T5" fmla="*/ T4 w 79"/>
                              <a:gd name="T6" fmla="+- 0 1586 1501"/>
                              <a:gd name="T7" fmla="*/ 1586 h 163"/>
                              <a:gd name="T8" fmla="+- 0 5924 5924"/>
                              <a:gd name="T9" fmla="*/ T8 w 79"/>
                              <a:gd name="T10" fmla="+- 0 1664 1501"/>
                              <a:gd name="T11" fmla="*/ 1664 h 163"/>
                              <a:gd name="T12" fmla="+- 0 6003 5924"/>
                              <a:gd name="T13" fmla="*/ T12 w 79"/>
                              <a:gd name="T14" fmla="+- 0 1664 1501"/>
                              <a:gd name="T15" fmla="*/ 1664 h 163"/>
                              <a:gd name="T16" fmla="+- 0 6003 5924"/>
                              <a:gd name="T17" fmla="*/ T16 w 79"/>
                              <a:gd name="T18" fmla="+- 0 1501 1501"/>
                              <a:gd name="T19" fmla="*/ 1501 h 163"/>
                              <a:gd name="T20" fmla="+- 0 5924 5924"/>
                              <a:gd name="T21" fmla="*/ T20 w 79"/>
                              <a:gd name="T22" fmla="+- 0 1501 1501"/>
                              <a:gd name="T23" fmla="*/ 1501 h 163"/>
                              <a:gd name="T24" fmla="+- 0 5963 5924"/>
                              <a:gd name="T25" fmla="*/ T24 w 79"/>
                              <a:gd name="T26" fmla="+- 0 1579 1501"/>
                              <a:gd name="T27" fmla="*/ 1579 h 163"/>
                              <a:gd name="T28" fmla="+- 0 6003 5924"/>
                              <a:gd name="T29" fmla="*/ T28 w 79"/>
                              <a:gd name="T30" fmla="+- 0 1501 1501"/>
                              <a:gd name="T31" fmla="*/ 1501 h 163"/>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79" h="163">
                                <a:moveTo>
                                  <a:pt x="79" y="163"/>
                                </a:moveTo>
                                <a:lnTo>
                                  <a:pt x="39" y="85"/>
                                </a:lnTo>
                                <a:lnTo>
                                  <a:pt x="0" y="163"/>
                                </a:lnTo>
                                <a:lnTo>
                                  <a:pt x="79" y="163"/>
                                </a:lnTo>
                                <a:close/>
                                <a:moveTo>
                                  <a:pt x="79" y="0"/>
                                </a:moveTo>
                                <a:lnTo>
                                  <a:pt x="0" y="0"/>
                                </a:lnTo>
                                <a:lnTo>
                                  <a:pt x="39" y="78"/>
                                </a:lnTo>
                                <a:lnTo>
                                  <a:pt x="79" y="0"/>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 name="docshape299"/>
                        <wps:cNvSpPr txBox="1">
                          <a:spLocks noChangeArrowheads="1"/>
                        </wps:cNvSpPr>
                        <wps:spPr bwMode="auto">
                          <a:xfrm>
                            <a:off x="5053" y="-166"/>
                            <a:ext cx="1782" cy="18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9CBA13" w14:textId="77777777" w:rsidR="00AE0598" w:rsidRDefault="00AE0598">
                              <w:pPr>
                                <w:spacing w:before="10"/>
                                <w:rPr>
                                  <w:rFonts w:ascii="Trebuchet MS"/>
                                  <w:sz w:val="14"/>
                                </w:rPr>
                              </w:pPr>
                            </w:p>
                            <w:p w14:paraId="609B5F30" w14:textId="77777777" w:rsidR="00AE0598" w:rsidRDefault="0069255A">
                              <w:pPr>
                                <w:spacing w:line="247" w:lineRule="auto"/>
                                <w:ind w:left="388" w:right="386" w:hanging="1"/>
                                <w:jc w:val="center"/>
                                <w:rPr>
                                  <w:i/>
                                  <w:sz w:val="13"/>
                                </w:rPr>
                              </w:pPr>
                              <w:r>
                                <w:rPr>
                                  <w:i/>
                                  <w:color w:val="231F20"/>
                                  <w:spacing w:val="-2"/>
                                  <w:sz w:val="13"/>
                                </w:rPr>
                                <w:t>Structural</w:t>
                              </w:r>
                              <w:r>
                                <w:rPr>
                                  <w:i/>
                                  <w:color w:val="231F20"/>
                                  <w:spacing w:val="40"/>
                                  <w:sz w:val="13"/>
                                </w:rPr>
                                <w:t xml:space="preserve"> </w:t>
                              </w:r>
                              <w:r>
                                <w:rPr>
                                  <w:i/>
                                  <w:color w:val="231F20"/>
                                  <w:spacing w:val="-2"/>
                                  <w:sz w:val="13"/>
                                </w:rPr>
                                <w:t>constraints</w:t>
                              </w:r>
                              <w:r>
                                <w:rPr>
                                  <w:i/>
                                  <w:color w:val="231F20"/>
                                  <w:spacing w:val="40"/>
                                  <w:sz w:val="13"/>
                                </w:rPr>
                                <w:t xml:space="preserve"> </w:t>
                              </w:r>
                              <w:r>
                                <w:rPr>
                                  <w:i/>
                                  <w:color w:val="231F20"/>
                                  <w:spacing w:val="-2"/>
                                  <w:w w:val="95"/>
                                  <w:sz w:val="13"/>
                                </w:rPr>
                                <w:t>throughout</w:t>
                              </w:r>
                              <w:r>
                                <w:rPr>
                                  <w:i/>
                                  <w:color w:val="231F20"/>
                                  <w:spacing w:val="-4"/>
                                  <w:w w:val="95"/>
                                  <w:sz w:val="13"/>
                                </w:rPr>
                                <w:t xml:space="preserve"> </w:t>
                              </w:r>
                              <w:r>
                                <w:rPr>
                                  <w:i/>
                                  <w:color w:val="231F20"/>
                                  <w:spacing w:val="-2"/>
                                  <w:w w:val="95"/>
                                  <w:sz w:val="13"/>
                                </w:rPr>
                                <w:t>the</w:t>
                              </w:r>
                              <w:r>
                                <w:rPr>
                                  <w:i/>
                                  <w:color w:val="231F20"/>
                                  <w:spacing w:val="-4"/>
                                  <w:w w:val="95"/>
                                  <w:sz w:val="13"/>
                                </w:rPr>
                                <w:t xml:space="preserve"> </w:t>
                              </w:r>
                              <w:r>
                                <w:rPr>
                                  <w:i/>
                                  <w:color w:val="231F20"/>
                                  <w:spacing w:val="-2"/>
                                  <w:w w:val="95"/>
                                  <w:sz w:val="13"/>
                                </w:rPr>
                                <w:t>year</w:t>
                              </w:r>
                            </w:p>
                          </w:txbxContent>
                        </wps:txbx>
                        <wps:bodyPr rot="0" vert="horz" wrap="square" lIns="0" tIns="0" rIns="0" bIns="0" anchor="t" anchorCtr="0" upright="1">
                          <a:noAutofit/>
                        </wps:bodyPr>
                      </wps:wsp>
                      <wps:wsp>
                        <wps:cNvPr id="59" name="docshape300"/>
                        <wps:cNvSpPr txBox="1">
                          <a:spLocks noChangeArrowheads="1"/>
                        </wps:cNvSpPr>
                        <wps:spPr bwMode="auto">
                          <a:xfrm>
                            <a:off x="6320" y="1339"/>
                            <a:ext cx="1218" cy="487"/>
                          </a:xfrm>
                          <a:prstGeom prst="rect">
                            <a:avLst/>
                          </a:prstGeom>
                          <a:noFill/>
                          <a:ln w="6350">
                            <a:solidFill>
                              <a:srgbClr val="231F2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6057CF75" w14:textId="77777777" w:rsidR="00AE0598" w:rsidRDefault="0069255A">
                              <w:pPr>
                                <w:spacing w:before="88" w:line="230" w:lineRule="auto"/>
                                <w:ind w:left="131" w:firstLine="253"/>
                                <w:rPr>
                                  <w:rFonts w:ascii="Segoe UI Symbol"/>
                                  <w:sz w:val="11"/>
                                </w:rPr>
                              </w:pPr>
                              <w:r>
                                <w:rPr>
                                  <w:rFonts w:ascii="Segoe UI Symbol"/>
                                  <w:color w:val="231F20"/>
                                  <w:spacing w:val="-2"/>
                                  <w:w w:val="105"/>
                                  <w:sz w:val="11"/>
                                </w:rPr>
                                <w:t>Seasonal</w:t>
                              </w:r>
                              <w:r>
                                <w:rPr>
                                  <w:rFonts w:ascii="Segoe UI Symbol"/>
                                  <w:color w:val="231F20"/>
                                  <w:spacing w:val="40"/>
                                  <w:w w:val="105"/>
                                  <w:sz w:val="11"/>
                                </w:rPr>
                                <w:t xml:space="preserve"> </w:t>
                              </w:r>
                              <w:r>
                                <w:rPr>
                                  <w:rFonts w:ascii="Segoe UI Symbol"/>
                                  <w:color w:val="231F20"/>
                                  <w:w w:val="105"/>
                                  <w:sz w:val="11"/>
                                </w:rPr>
                                <w:t>Participation</w:t>
                              </w:r>
                              <w:r>
                                <w:rPr>
                                  <w:rFonts w:ascii="Segoe UI Symbol"/>
                                  <w:color w:val="231F20"/>
                                  <w:spacing w:val="-8"/>
                                  <w:w w:val="105"/>
                                  <w:sz w:val="11"/>
                                </w:rPr>
                                <w:t xml:space="preserve"> </w:t>
                              </w:r>
                              <w:r>
                                <w:rPr>
                                  <w:rFonts w:ascii="Segoe UI Symbol"/>
                                  <w:color w:val="231F20"/>
                                  <w:w w:val="105"/>
                                  <w:sz w:val="11"/>
                                </w:rPr>
                                <w:t>Level</w:t>
                              </w:r>
                            </w:p>
                          </w:txbxContent>
                        </wps:txbx>
                        <wps:bodyPr rot="0" vert="horz" wrap="square" lIns="0" tIns="0" rIns="0" bIns="0" anchor="t" anchorCtr="0" upright="1">
                          <a:noAutofit/>
                        </wps:bodyPr>
                      </wps:wsp>
                      <wps:wsp>
                        <wps:cNvPr id="60" name="docshape301"/>
                        <wps:cNvSpPr txBox="1">
                          <a:spLocks noChangeArrowheads="1"/>
                        </wps:cNvSpPr>
                        <wps:spPr bwMode="auto">
                          <a:xfrm>
                            <a:off x="4343" y="1355"/>
                            <a:ext cx="1162" cy="504"/>
                          </a:xfrm>
                          <a:prstGeom prst="rect">
                            <a:avLst/>
                          </a:prstGeom>
                          <a:noFill/>
                          <a:ln w="6350">
                            <a:solidFill>
                              <a:srgbClr val="231F2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6248D912" w14:textId="77777777" w:rsidR="00AE0598" w:rsidRDefault="0069255A">
                              <w:pPr>
                                <w:spacing w:before="79" w:line="218" w:lineRule="auto"/>
                                <w:ind w:left="195" w:firstLine="2"/>
                                <w:rPr>
                                  <w:rFonts w:ascii="Segoe UI Symbol"/>
                                  <w:sz w:val="13"/>
                                </w:rPr>
                              </w:pPr>
                              <w:r>
                                <w:rPr>
                                  <w:rFonts w:ascii="Segoe UI Symbol"/>
                                  <w:color w:val="231F20"/>
                                  <w:spacing w:val="-2"/>
                                  <w:sz w:val="13"/>
                                </w:rPr>
                                <w:t>Interpersonal</w:t>
                              </w:r>
                              <w:r>
                                <w:rPr>
                                  <w:rFonts w:ascii="Segoe UI Symbol"/>
                                  <w:color w:val="231F20"/>
                                  <w:spacing w:val="40"/>
                                  <w:sz w:val="13"/>
                                </w:rPr>
                                <w:t xml:space="preserve"> </w:t>
                              </w:r>
                              <w:r>
                                <w:rPr>
                                  <w:rFonts w:ascii="Segoe UI Symbol"/>
                                  <w:color w:val="231F20"/>
                                  <w:spacing w:val="-2"/>
                                  <w:sz w:val="13"/>
                                </w:rPr>
                                <w:t>Coordination</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F5ACCA8" id="docshapegroup295" o:spid="_x0000_s1120" style="position:absolute;left:0;text-align:left;margin-left:216.9pt;margin-top:-8.3pt;width:160.2pt;height:101.55pt;z-index:-19568128;mso-position-horizontal-relative:page;mso-position-vertical-relative:text" coordorigin="4338,-166" coordsize="3204,20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">
                <v:line id="Line 61" o:spid="_x0000_s1121" style="position:absolute;visibility:visible;mso-wrap-style:square" from="5505,1586" to="6246,15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" strokecolor="#231f20" strokeweight=".5pt"/>
                <v:shape id="docshape296" o:spid="_x0000_s1122" style="position:absolute;left:6241;top:1546;width:79;height:79;visibility:visible;mso-wrap-style:square;v-text-anchor:top" coordsize="79,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" path="m1,l,78,79,39,1,xe" fillcolor="#231f20" stroked="f">
                  <v:path arrowok="t" o:connecttype="custom" o:connectlocs="1,1547;0,1625;79,1586;1,1547" o:connectangles="0,0,0,0"/>
                </v:shape>
                <v:shape id="docshape297" o:spid="_x0000_s1123" style="position:absolute;left:5058;top:-161;width:1772;height:820;visibility:visible;mso-wrap-style:square;v-text-anchor:top" coordsize="1772,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" path="m,410l24,316,90,230r48,-40l195,154r65,-34l332,90,411,64,496,42,587,24,683,11,783,3,886,,989,3r100,8l1185,24r91,18l1361,64r79,26l1513,120r64,34l1634,190r48,40l1749,316r23,94l1766,458r-46,90l1634,630r-57,36l1513,700r-73,30l1361,756r-85,22l1185,796r-96,13l989,817r-103,3l783,817,683,809,587,796,496,778,411,756,332,730,260,700,195,666,138,630,90,590,24,504,,410xe" filled="f" strokecolor="#231f20" strokeweight=".5pt">
                  <v:path arrowok="t" o:connecttype="custom" o:connectlocs="0,249;24,155;90,69;138,29;195,-7;260,-41;332,-71;411,-97;496,-119;587,-137;683,-150;783,-158;886,-161;989,-158;1089,-150;1185,-137;1276,-119;1361,-97;1440,-71;1513,-41;1577,-7;1634,29;1682,69;1749,155;1772,249;1766,297;1720,387;1634,469;1577,505;1513,539;1440,569;1361,595;1276,617;1185,635;1089,648;989,656;886,659;783,656;683,648;587,635;496,617;411,595;332,569;260,539;195,505;138,469;90,429;24,343;0,249" o:connectangles="0,0,0,0,0,0,0,0,0,0,0,0,0,0,0,0,0,0,0,0,0,0,0,0,0,0,0,0,0,0,0,0,0,0,0,0,0,0,0,0,0,0,0,0,0,0,0,0,0"/>
                </v:shape>
                <v:line id="Line 58" o:spid="_x0000_s1124" style="position:absolute;visibility:visible;mso-wrap-style:square" from="5963,659" to="5963,15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" strokecolor="#231f20" strokeweight=".5pt"/>
                <v:shape id="docshape298" o:spid="_x0000_s1125" style="position:absolute;left:5924;top:1501;width:79;height:163;visibility:visible;mso-wrap-style:square;v-text-anchor:top" coordsize="79,1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" path="m79,163l39,85,,163r79,xm79,l,,39,78,79,xe" fillcolor="#231f20" stroked="f">
                  <v:path arrowok="t" o:connecttype="custom" o:connectlocs="79,1664;39,1586;0,1664;79,1664;79,1501;0,1501;39,1579;79,1501" o:connectangles="0,0,0,0,0,0,0,0"/>
                </v:shape>
                <v:shape id="docshape299" o:spid="_x0000_s1126" type="#_x0000_t202" style="position:absolute;left:5053;top:-166;width:1782;height:18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RdxwAAAANsAAAAPAAAAZHJzL2Rvd25yZXYueG1sRE9Ni8Iw&#10;EL0v+B/CCN7W1AVl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fSUXccAAAADbAAAADwAAAAAA&#10;AAAAAAAAAAAHAgAAZHJzL2Rvd25yZXYueG1sUEsFBgAAAAADAAMAtwAAAPQCAAAAAA==&#10;" filled="f" stroked="f">
                  <v:textbox inset="0,0,0,0">
                    <w:txbxContent>
                      <w:p w14:paraId="5D9CBA13" w14:textId="77777777" w:rsidR="00AE0598" w:rsidRDefault="00AE0598">
                        <w:pPr>
                          <w:spacing w:before="10"/>
                          <w:rPr>
                            <w:rFonts w:ascii="Trebuchet MS"/>
                            <w:sz w:val="14"/>
                          </w:rPr>
                        </w:pPr>
                      </w:p>
                      <w:p w14:paraId="609B5F30" w14:textId="77777777" w:rsidR="00AE0598" w:rsidRDefault="0069255A">
                        <w:pPr>
                          <w:spacing w:line="247" w:lineRule="auto"/>
                          <w:ind w:left="388" w:right="386" w:hanging="1"/>
                          <w:jc w:val="center"/>
                          <w:rPr>
                            <w:i/>
                            <w:sz w:val="13"/>
                          </w:rPr>
                        </w:pPr>
                        <w:r>
                          <w:rPr>
                            <w:i/>
                            <w:color w:val="231F20"/>
                            <w:spacing w:val="-2"/>
                            <w:sz w:val="13"/>
                          </w:rPr>
                          <w:t>Structural</w:t>
                        </w:r>
                        <w:r>
                          <w:rPr>
                            <w:i/>
                            <w:color w:val="231F20"/>
                            <w:spacing w:val="40"/>
                            <w:sz w:val="13"/>
                          </w:rPr>
                          <w:t xml:space="preserve"> </w:t>
                        </w:r>
                        <w:r>
                          <w:rPr>
                            <w:i/>
                            <w:color w:val="231F20"/>
                            <w:spacing w:val="-2"/>
                            <w:sz w:val="13"/>
                          </w:rPr>
                          <w:t>constraints</w:t>
                        </w:r>
                        <w:r>
                          <w:rPr>
                            <w:i/>
                            <w:color w:val="231F20"/>
                            <w:spacing w:val="40"/>
                            <w:sz w:val="13"/>
                          </w:rPr>
                          <w:t xml:space="preserve"> </w:t>
                        </w:r>
                        <w:r>
                          <w:rPr>
                            <w:i/>
                            <w:color w:val="231F20"/>
                            <w:spacing w:val="-2"/>
                            <w:w w:val="95"/>
                            <w:sz w:val="13"/>
                          </w:rPr>
                          <w:t>throughout</w:t>
                        </w:r>
                        <w:r>
                          <w:rPr>
                            <w:i/>
                            <w:color w:val="231F20"/>
                            <w:spacing w:val="-4"/>
                            <w:w w:val="95"/>
                            <w:sz w:val="13"/>
                          </w:rPr>
                          <w:t xml:space="preserve"> </w:t>
                        </w:r>
                        <w:r>
                          <w:rPr>
                            <w:i/>
                            <w:color w:val="231F20"/>
                            <w:spacing w:val="-2"/>
                            <w:w w:val="95"/>
                            <w:sz w:val="13"/>
                          </w:rPr>
                          <w:t>the</w:t>
                        </w:r>
                        <w:r>
                          <w:rPr>
                            <w:i/>
                            <w:color w:val="231F20"/>
                            <w:spacing w:val="-4"/>
                            <w:w w:val="95"/>
                            <w:sz w:val="13"/>
                          </w:rPr>
                          <w:t xml:space="preserve"> </w:t>
                        </w:r>
                        <w:r>
                          <w:rPr>
                            <w:i/>
                            <w:color w:val="231F20"/>
                            <w:spacing w:val="-2"/>
                            <w:w w:val="95"/>
                            <w:sz w:val="13"/>
                          </w:rPr>
                          <w:t>year</w:t>
                        </w:r>
                      </w:p>
                    </w:txbxContent>
                  </v:textbox>
                </v:shape>
                <v:shape id="docshape300" o:spid="_x0000_s1127" type="#_x0000_t202" style="position:absolute;left:6320;top:1339;width:1218;height:4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" filled="f" strokecolor="#231f20" strokeweight=".5pt">
                  <v:textbox inset="0,0,0,0">
                    <w:txbxContent>
                      <w:p w14:paraId="6057CF75" w14:textId="77777777" w:rsidR="00AE0598" w:rsidRDefault="0069255A">
                        <w:pPr>
                          <w:spacing w:before="88" w:line="230" w:lineRule="auto"/>
                          <w:ind w:left="131" w:firstLine="253"/>
                          <w:rPr>
                            <w:rFonts w:ascii="Segoe UI Symbol"/>
                            <w:sz w:val="11"/>
                          </w:rPr>
                        </w:pPr>
                        <w:r>
                          <w:rPr>
                            <w:rFonts w:ascii="Segoe UI Symbol"/>
                            <w:color w:val="231F20"/>
                            <w:spacing w:val="-2"/>
                            <w:w w:val="105"/>
                            <w:sz w:val="11"/>
                          </w:rPr>
                          <w:t>Seasonal</w:t>
                        </w:r>
                        <w:r>
                          <w:rPr>
                            <w:rFonts w:ascii="Segoe UI Symbol"/>
                            <w:color w:val="231F20"/>
                            <w:spacing w:val="40"/>
                            <w:w w:val="105"/>
                            <w:sz w:val="11"/>
                          </w:rPr>
                          <w:t xml:space="preserve"> </w:t>
                        </w:r>
                        <w:r>
                          <w:rPr>
                            <w:rFonts w:ascii="Segoe UI Symbol"/>
                            <w:color w:val="231F20"/>
                            <w:w w:val="105"/>
                            <w:sz w:val="11"/>
                          </w:rPr>
                          <w:t>Participation</w:t>
                        </w:r>
                        <w:r>
                          <w:rPr>
                            <w:rFonts w:ascii="Segoe UI Symbol"/>
                            <w:color w:val="231F20"/>
                            <w:spacing w:val="-8"/>
                            <w:w w:val="105"/>
                            <w:sz w:val="11"/>
                          </w:rPr>
                          <w:t xml:space="preserve"> </w:t>
                        </w:r>
                        <w:r>
                          <w:rPr>
                            <w:rFonts w:ascii="Segoe UI Symbol"/>
                            <w:color w:val="231F20"/>
                            <w:w w:val="105"/>
                            <w:sz w:val="11"/>
                          </w:rPr>
                          <w:t>Level</w:t>
                        </w:r>
                      </w:p>
                    </w:txbxContent>
                  </v:textbox>
                </v:shape>
                <v:shape id="docshape301" o:spid="_x0000_s1128" type="#_x0000_t202" style="position:absolute;left:4343;top:1355;width:1162;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" filled="f" strokecolor="#231f20" strokeweight=".5pt">
                  <v:textbox inset="0,0,0,0">
                    <w:txbxContent>
                      <w:p w14:paraId="6248D912" w14:textId="77777777" w:rsidR="00AE0598" w:rsidRDefault="0069255A">
                        <w:pPr>
                          <w:spacing w:before="79" w:line="218" w:lineRule="auto"/>
                          <w:ind w:left="195" w:firstLine="2"/>
                          <w:rPr>
                            <w:rFonts w:ascii="Segoe UI Symbol"/>
                            <w:sz w:val="13"/>
                          </w:rPr>
                        </w:pPr>
                        <w:r>
                          <w:rPr>
                            <w:rFonts w:ascii="Segoe UI Symbol"/>
                            <w:color w:val="231F20"/>
                            <w:spacing w:val="-2"/>
                            <w:sz w:val="13"/>
                          </w:rPr>
                          <w:t>Interpersonal</w:t>
                        </w:r>
                        <w:r>
                          <w:rPr>
                            <w:rFonts w:ascii="Segoe UI Symbol"/>
                            <w:color w:val="231F20"/>
                            <w:spacing w:val="40"/>
                            <w:sz w:val="13"/>
                          </w:rPr>
                          <w:t xml:space="preserve"> </w:t>
                        </w:r>
                        <w:r>
                          <w:rPr>
                            <w:rFonts w:ascii="Segoe UI Symbol"/>
                            <w:color w:val="231F20"/>
                            <w:spacing w:val="-2"/>
                            <w:sz w:val="13"/>
                          </w:rPr>
                          <w:t>Coordination</w:t>
                        </w:r>
                      </w:p>
                    </w:txbxContent>
                  </v:textbox>
                </v:shape>
                <w10:wrap anchorx="page"/>
              </v:group>
            </w:pict>
          </mc:Fallback>
        </mc:AlternateContent>
      </w:r>
      <w:r>
        <w:rPr>
          <w:i/>
          <w:color w:val="231F20"/>
          <w:spacing w:val="-2"/>
          <w:sz w:val="13"/>
        </w:rPr>
        <w:t>Interpersonal</w:t>
      </w:r>
      <w:r>
        <w:rPr>
          <w:i/>
          <w:color w:val="231F20"/>
          <w:spacing w:val="40"/>
          <w:sz w:val="13"/>
        </w:rPr>
        <w:t xml:space="preserve"> </w:t>
      </w:r>
      <w:r>
        <w:rPr>
          <w:i/>
          <w:color w:val="231F20"/>
          <w:spacing w:val="-2"/>
          <w:sz w:val="13"/>
        </w:rPr>
        <w:t>constraints</w:t>
      </w:r>
      <w:r>
        <w:rPr>
          <w:i/>
          <w:color w:val="231F20"/>
          <w:spacing w:val="40"/>
          <w:sz w:val="13"/>
        </w:rPr>
        <w:t xml:space="preserve"> </w:t>
      </w:r>
      <w:r>
        <w:rPr>
          <w:i/>
          <w:color w:val="231F20"/>
          <w:spacing w:val="-2"/>
          <w:w w:val="95"/>
          <w:sz w:val="13"/>
        </w:rPr>
        <w:t>throughout</w:t>
      </w:r>
      <w:r>
        <w:rPr>
          <w:i/>
          <w:color w:val="231F20"/>
          <w:spacing w:val="-4"/>
          <w:w w:val="95"/>
          <w:sz w:val="13"/>
        </w:rPr>
        <w:t xml:space="preserve"> </w:t>
      </w:r>
      <w:r>
        <w:rPr>
          <w:i/>
          <w:color w:val="231F20"/>
          <w:spacing w:val="-2"/>
          <w:w w:val="95"/>
          <w:sz w:val="13"/>
        </w:rPr>
        <w:t>the</w:t>
      </w:r>
      <w:r>
        <w:rPr>
          <w:i/>
          <w:color w:val="231F20"/>
          <w:spacing w:val="-4"/>
          <w:w w:val="95"/>
          <w:sz w:val="13"/>
        </w:rPr>
        <w:t xml:space="preserve"> </w:t>
      </w:r>
      <w:r>
        <w:rPr>
          <w:i/>
          <w:color w:val="231F20"/>
          <w:spacing w:val="-2"/>
          <w:w w:val="95"/>
          <w:sz w:val="13"/>
        </w:rPr>
        <w:t>year</w:t>
      </w:r>
    </w:p>
    <w:p w14:paraId="1F6C3DED" w14:textId="77777777" w:rsidR="00AE0598" w:rsidRDefault="00AE0598">
      <w:pPr>
        <w:pStyle w:val="Corpodetexto"/>
        <w:rPr>
          <w:i/>
          <w:sz w:val="20"/>
        </w:rPr>
      </w:pPr>
    </w:p>
    <w:p w14:paraId="1690769B" w14:textId="77777777" w:rsidR="00AE0598" w:rsidRDefault="00AE0598">
      <w:pPr>
        <w:pStyle w:val="Corpodetexto"/>
        <w:rPr>
          <w:i/>
          <w:sz w:val="20"/>
        </w:rPr>
      </w:pPr>
    </w:p>
    <w:p w14:paraId="3F22D30E" w14:textId="77777777" w:rsidR="00AE0598" w:rsidRDefault="00AE0598">
      <w:pPr>
        <w:pStyle w:val="Corpodetexto"/>
        <w:rPr>
          <w:i/>
          <w:sz w:val="20"/>
        </w:rPr>
      </w:pPr>
    </w:p>
    <w:p w14:paraId="36078326" w14:textId="77777777" w:rsidR="00AE0598" w:rsidRDefault="00AE0598">
      <w:pPr>
        <w:pStyle w:val="Corpodetexto"/>
        <w:rPr>
          <w:i/>
          <w:sz w:val="20"/>
        </w:rPr>
      </w:pPr>
    </w:p>
    <w:p w14:paraId="593F1215" w14:textId="77777777" w:rsidR="00AE0598" w:rsidRDefault="00AE0598">
      <w:pPr>
        <w:pStyle w:val="Corpodetexto"/>
        <w:rPr>
          <w:i/>
          <w:sz w:val="20"/>
        </w:rPr>
      </w:pPr>
    </w:p>
    <w:p w14:paraId="63A5A231" w14:textId="77777777" w:rsidR="00AE0598" w:rsidRDefault="00AE0598">
      <w:pPr>
        <w:pStyle w:val="Corpodetexto"/>
        <w:rPr>
          <w:i/>
          <w:sz w:val="20"/>
        </w:rPr>
      </w:pPr>
    </w:p>
    <w:p w14:paraId="644C2796" w14:textId="77777777" w:rsidR="00AE0598" w:rsidRDefault="00AE0598">
      <w:pPr>
        <w:pStyle w:val="Corpodetexto"/>
        <w:rPr>
          <w:i/>
          <w:sz w:val="20"/>
        </w:rPr>
      </w:pPr>
    </w:p>
    <w:p w14:paraId="58979403" w14:textId="77777777" w:rsidR="00AE0598" w:rsidRDefault="00AE0598">
      <w:pPr>
        <w:pStyle w:val="Corpodetexto"/>
        <w:spacing w:before="2"/>
        <w:rPr>
          <w:i/>
        </w:rPr>
      </w:pPr>
    </w:p>
    <w:p w14:paraId="4A160DDB" w14:textId="77777777" w:rsidR="00AE0598" w:rsidRDefault="0069255A">
      <w:pPr>
        <w:tabs>
          <w:tab w:val="left" w:pos="1936"/>
          <w:tab w:val="left" w:pos="4883"/>
        </w:tabs>
        <w:spacing w:before="86"/>
        <w:ind w:left="788"/>
        <w:rPr>
          <w:rFonts w:ascii="Segoe UI Symbol"/>
          <w:sz w:val="13"/>
        </w:rPr>
      </w:pPr>
      <w:r>
        <w:rPr>
          <w:rFonts w:ascii="Segoe UI Symbol"/>
          <w:color w:val="231F20"/>
          <w:spacing w:val="-2"/>
          <w:w w:val="105"/>
          <w:sz w:val="13"/>
        </w:rPr>
        <w:t>Motivation</w:t>
      </w:r>
      <w:r>
        <w:rPr>
          <w:rFonts w:ascii="Segoe UI Symbol"/>
          <w:color w:val="231F20"/>
          <w:sz w:val="13"/>
        </w:rPr>
        <w:tab/>
      </w:r>
      <w:r>
        <w:rPr>
          <w:rFonts w:ascii="Segoe UI Symbol"/>
          <w:color w:val="231F20"/>
          <w:sz w:val="13"/>
          <w:u w:val="single" w:color="231F20"/>
        </w:rPr>
        <w:tab/>
      </w:r>
    </w:p>
    <w:p w14:paraId="4B1E716F" w14:textId="77777777" w:rsidR="00AE0598" w:rsidRDefault="00AE0598">
      <w:pPr>
        <w:pStyle w:val="Corpodetexto"/>
        <w:spacing w:before="10"/>
        <w:rPr>
          <w:rFonts w:ascii="Segoe UI Symbol"/>
          <w:sz w:val="24"/>
        </w:rPr>
      </w:pPr>
    </w:p>
    <w:p w14:paraId="69F29839" w14:textId="77777777" w:rsidR="00AE0598" w:rsidRDefault="0069255A">
      <w:pPr>
        <w:spacing w:before="100"/>
        <w:ind w:left="110"/>
        <w:rPr>
          <w:rFonts w:ascii="Trebuchet MS"/>
          <w:sz w:val="14"/>
        </w:rPr>
      </w:pPr>
      <w:r>
        <w:rPr>
          <w:rFonts w:ascii="Trebuchet MS"/>
          <w:b/>
          <w:color w:val="231F20"/>
          <w:sz w:val="14"/>
        </w:rPr>
        <w:t>Figure</w:t>
      </w:r>
      <w:r>
        <w:rPr>
          <w:rFonts w:ascii="Trebuchet MS"/>
          <w:b/>
          <w:color w:val="231F20"/>
          <w:spacing w:val="32"/>
          <w:sz w:val="14"/>
        </w:rPr>
        <w:t xml:space="preserve"> </w:t>
      </w:r>
      <w:r>
        <w:rPr>
          <w:rFonts w:ascii="Trebuchet MS"/>
          <w:b/>
          <w:color w:val="231F20"/>
          <w:sz w:val="14"/>
        </w:rPr>
        <w:t>9.3</w:t>
      </w:r>
      <w:r>
        <w:rPr>
          <w:rFonts w:ascii="Trebuchet MS"/>
          <w:b/>
          <w:color w:val="231F20"/>
          <w:spacing w:val="64"/>
          <w:sz w:val="14"/>
        </w:rPr>
        <w:t xml:space="preserve"> </w:t>
      </w:r>
      <w:r>
        <w:rPr>
          <w:rFonts w:ascii="Trebuchet MS"/>
          <w:color w:val="231F20"/>
          <w:sz w:val="14"/>
        </w:rPr>
        <w:t>Hierarchical</w:t>
      </w:r>
      <w:r>
        <w:rPr>
          <w:rFonts w:ascii="Trebuchet MS"/>
          <w:color w:val="231F20"/>
          <w:spacing w:val="32"/>
          <w:sz w:val="14"/>
        </w:rPr>
        <w:t xml:space="preserve"> </w:t>
      </w:r>
      <w:r>
        <w:rPr>
          <w:rFonts w:ascii="Trebuchet MS"/>
          <w:color w:val="231F20"/>
          <w:sz w:val="14"/>
        </w:rPr>
        <w:t>model</w:t>
      </w:r>
      <w:r>
        <w:rPr>
          <w:rFonts w:ascii="Trebuchet MS"/>
          <w:color w:val="231F20"/>
          <w:spacing w:val="33"/>
          <w:sz w:val="14"/>
        </w:rPr>
        <w:t xml:space="preserve"> </w:t>
      </w:r>
      <w:r>
        <w:rPr>
          <w:rFonts w:ascii="Trebuchet MS"/>
          <w:color w:val="231F20"/>
          <w:sz w:val="14"/>
        </w:rPr>
        <w:t>of</w:t>
      </w:r>
      <w:r>
        <w:rPr>
          <w:rFonts w:ascii="Trebuchet MS"/>
          <w:color w:val="231F20"/>
          <w:spacing w:val="32"/>
          <w:sz w:val="14"/>
        </w:rPr>
        <w:t xml:space="preserve"> </w:t>
      </w:r>
      <w:r>
        <w:rPr>
          <w:rFonts w:ascii="Trebuchet MS"/>
          <w:color w:val="231F20"/>
          <w:sz w:val="14"/>
        </w:rPr>
        <w:t>seasonal</w:t>
      </w:r>
      <w:r>
        <w:rPr>
          <w:rFonts w:ascii="Trebuchet MS"/>
          <w:color w:val="231F20"/>
          <w:spacing w:val="32"/>
          <w:sz w:val="14"/>
        </w:rPr>
        <w:t xml:space="preserve"> </w:t>
      </w:r>
      <w:r>
        <w:rPr>
          <w:rFonts w:ascii="Trebuchet MS"/>
          <w:color w:val="231F20"/>
          <w:sz w:val="14"/>
        </w:rPr>
        <w:t>sport</w:t>
      </w:r>
      <w:r>
        <w:rPr>
          <w:rFonts w:ascii="Trebuchet MS"/>
          <w:color w:val="231F20"/>
          <w:spacing w:val="32"/>
          <w:sz w:val="14"/>
        </w:rPr>
        <w:t xml:space="preserve"> </w:t>
      </w:r>
      <w:r>
        <w:rPr>
          <w:rFonts w:ascii="Trebuchet MS"/>
          <w:color w:val="231F20"/>
          <w:sz w:val="14"/>
        </w:rPr>
        <w:t>tourism</w:t>
      </w:r>
      <w:r>
        <w:rPr>
          <w:rFonts w:ascii="Trebuchet MS"/>
          <w:color w:val="231F20"/>
          <w:spacing w:val="33"/>
          <w:sz w:val="14"/>
        </w:rPr>
        <w:t xml:space="preserve"> </w:t>
      </w:r>
      <w:r>
        <w:rPr>
          <w:rFonts w:ascii="Trebuchet MS"/>
          <w:color w:val="231F20"/>
          <w:sz w:val="14"/>
        </w:rPr>
        <w:t>constraints</w:t>
      </w:r>
      <w:r>
        <w:rPr>
          <w:rFonts w:ascii="Trebuchet MS"/>
          <w:color w:val="231F20"/>
          <w:spacing w:val="32"/>
          <w:sz w:val="14"/>
        </w:rPr>
        <w:t xml:space="preserve"> </w:t>
      </w:r>
      <w:r>
        <w:rPr>
          <w:rFonts w:ascii="Trebuchet MS"/>
          <w:color w:val="231F20"/>
          <w:sz w:val="14"/>
        </w:rPr>
        <w:t>(Source:</w:t>
      </w:r>
      <w:r>
        <w:rPr>
          <w:rFonts w:ascii="Trebuchet MS"/>
          <w:color w:val="231F20"/>
          <w:spacing w:val="32"/>
          <w:sz w:val="14"/>
        </w:rPr>
        <w:t xml:space="preserve"> </w:t>
      </w:r>
      <w:r>
        <w:rPr>
          <w:rFonts w:ascii="Trebuchet MS"/>
          <w:color w:val="231F20"/>
          <w:sz w:val="14"/>
        </w:rPr>
        <w:t>Based</w:t>
      </w:r>
      <w:r>
        <w:rPr>
          <w:rFonts w:ascii="Trebuchet MS"/>
          <w:color w:val="231F20"/>
          <w:spacing w:val="33"/>
          <w:sz w:val="14"/>
        </w:rPr>
        <w:t xml:space="preserve"> </w:t>
      </w:r>
      <w:r>
        <w:rPr>
          <w:rFonts w:ascii="Trebuchet MS"/>
          <w:color w:val="231F20"/>
          <w:sz w:val="14"/>
        </w:rPr>
        <w:t>on</w:t>
      </w:r>
      <w:r>
        <w:rPr>
          <w:rFonts w:ascii="Trebuchet MS"/>
          <w:color w:val="231F20"/>
          <w:spacing w:val="32"/>
          <w:sz w:val="14"/>
        </w:rPr>
        <w:t xml:space="preserve"> </w:t>
      </w:r>
      <w:r>
        <w:rPr>
          <w:rFonts w:ascii="Trebuchet MS"/>
          <w:color w:val="231F20"/>
          <w:spacing w:val="-2"/>
          <w:sz w:val="14"/>
        </w:rPr>
        <w:t>Jackson</w:t>
      </w:r>
    </w:p>
    <w:p w14:paraId="1AC6A7F0" w14:textId="77777777" w:rsidR="00AE0598" w:rsidRDefault="0069255A">
      <w:pPr>
        <w:spacing w:before="17"/>
        <w:ind w:left="110"/>
        <w:rPr>
          <w:rFonts w:ascii="Trebuchet MS"/>
          <w:sz w:val="14"/>
        </w:rPr>
      </w:pPr>
      <w:r>
        <w:rPr>
          <w:rFonts w:ascii="Trebuchet MS"/>
          <w:i/>
          <w:color w:val="231F20"/>
          <w:w w:val="90"/>
          <w:sz w:val="14"/>
        </w:rPr>
        <w:t>et</w:t>
      </w:r>
      <w:r>
        <w:rPr>
          <w:rFonts w:ascii="Trebuchet MS"/>
          <w:i/>
          <w:color w:val="231F20"/>
          <w:spacing w:val="-2"/>
          <w:sz w:val="14"/>
        </w:rPr>
        <w:t xml:space="preserve"> </w:t>
      </w:r>
      <w:r>
        <w:rPr>
          <w:rFonts w:ascii="Trebuchet MS"/>
          <w:i/>
          <w:color w:val="231F20"/>
          <w:w w:val="90"/>
          <w:sz w:val="14"/>
        </w:rPr>
        <w:t>al</w:t>
      </w:r>
      <w:r>
        <w:rPr>
          <w:rFonts w:ascii="Trebuchet MS"/>
          <w:color w:val="231F20"/>
          <w:w w:val="90"/>
          <w:sz w:val="14"/>
        </w:rPr>
        <w:t>.,</w:t>
      </w:r>
      <w:r>
        <w:rPr>
          <w:rFonts w:ascii="Trebuchet MS"/>
          <w:color w:val="231F20"/>
          <w:spacing w:val="-1"/>
          <w:sz w:val="14"/>
        </w:rPr>
        <w:t xml:space="preserve"> </w:t>
      </w:r>
      <w:r>
        <w:rPr>
          <w:rFonts w:ascii="Trebuchet MS"/>
          <w:color w:val="231F20"/>
          <w:spacing w:val="-4"/>
          <w:w w:val="90"/>
          <w:sz w:val="14"/>
        </w:rPr>
        <w:t>1993)</w:t>
      </w:r>
    </w:p>
    <w:p w14:paraId="522564DF" w14:textId="77777777" w:rsidR="00AE0598" w:rsidRDefault="00AE0598">
      <w:pPr>
        <w:rPr>
          <w:rFonts w:ascii="Trebuchet MS"/>
          <w:sz w:val="14"/>
        </w:rPr>
        <w:sectPr w:rsidR="00AE0598">
          <w:pgSz w:w="8850" w:h="13270"/>
          <w:pgMar w:top="720" w:right="1060" w:bottom="280" w:left="1080" w:header="720" w:footer="720" w:gutter="0"/>
          <w:cols w:space="720"/>
        </w:sectPr>
      </w:pPr>
    </w:p>
    <w:p w14:paraId="7F9BB22C" w14:textId="77777777" w:rsidR="00AE0598" w:rsidRDefault="0069255A">
      <w:pPr>
        <w:spacing w:before="87"/>
        <w:ind w:left="4213"/>
        <w:rPr>
          <w:rFonts w:ascii="Trebuchet MS"/>
          <w:sz w:val="14"/>
        </w:rPr>
      </w:pPr>
      <w:r>
        <w:rPr>
          <w:rFonts w:ascii="Trebuchet MS"/>
          <w:color w:val="231F20"/>
          <w:w w:val="105"/>
          <w:sz w:val="14"/>
        </w:rPr>
        <w:lastRenderedPageBreak/>
        <w:t>Seasonality,</w:t>
      </w:r>
      <w:r>
        <w:rPr>
          <w:rFonts w:ascii="Trebuchet MS"/>
          <w:color w:val="231F20"/>
          <w:spacing w:val="-12"/>
          <w:w w:val="105"/>
          <w:sz w:val="14"/>
        </w:rPr>
        <w:t xml:space="preserve"> </w:t>
      </w:r>
      <w:r>
        <w:rPr>
          <w:rFonts w:ascii="Trebuchet MS"/>
          <w:color w:val="231F20"/>
          <w:w w:val="105"/>
          <w:sz w:val="14"/>
        </w:rPr>
        <w:t>Sport</w:t>
      </w:r>
      <w:r>
        <w:rPr>
          <w:rFonts w:ascii="Trebuchet MS"/>
          <w:color w:val="231F20"/>
          <w:spacing w:val="-11"/>
          <w:w w:val="105"/>
          <w:sz w:val="14"/>
        </w:rPr>
        <w:t xml:space="preserve"> </w:t>
      </w:r>
      <w:r>
        <w:rPr>
          <w:rFonts w:ascii="Trebuchet MS"/>
          <w:color w:val="231F20"/>
          <w:w w:val="105"/>
          <w:sz w:val="14"/>
        </w:rPr>
        <w:t>and</w:t>
      </w:r>
      <w:r>
        <w:rPr>
          <w:rFonts w:ascii="Trebuchet MS"/>
          <w:color w:val="231F20"/>
          <w:spacing w:val="-11"/>
          <w:w w:val="105"/>
          <w:sz w:val="14"/>
        </w:rPr>
        <w:t xml:space="preserve"> </w:t>
      </w:r>
      <w:r>
        <w:rPr>
          <w:rFonts w:ascii="Trebuchet MS"/>
          <w:color w:val="231F20"/>
          <w:w w:val="105"/>
          <w:sz w:val="14"/>
        </w:rPr>
        <w:t>Tourism</w:t>
      </w:r>
      <w:r>
        <w:rPr>
          <w:rFonts w:ascii="Trebuchet MS"/>
          <w:color w:val="231F20"/>
          <w:spacing w:val="60"/>
          <w:w w:val="105"/>
          <w:sz w:val="14"/>
        </w:rPr>
        <w:t xml:space="preserve"> </w:t>
      </w:r>
      <w:r>
        <w:rPr>
          <w:rFonts w:ascii="Trebuchet MS"/>
          <w:color w:val="231F20"/>
          <w:spacing w:val="-5"/>
          <w:w w:val="105"/>
          <w:sz w:val="14"/>
        </w:rPr>
        <w:t>197</w:t>
      </w:r>
    </w:p>
    <w:p w14:paraId="130F4928" w14:textId="77777777" w:rsidR="00AE0598" w:rsidRDefault="00AE0598">
      <w:pPr>
        <w:pStyle w:val="Corpodetexto"/>
        <w:rPr>
          <w:rFonts w:ascii="Trebuchet MS"/>
          <w:sz w:val="16"/>
        </w:rPr>
      </w:pPr>
    </w:p>
    <w:p w14:paraId="4C765115" w14:textId="77777777" w:rsidR="00AE0598" w:rsidRDefault="0069255A">
      <w:pPr>
        <w:pStyle w:val="Corpodetexto"/>
        <w:spacing w:before="118" w:line="232" w:lineRule="auto"/>
        <w:ind w:left="110" w:right="124"/>
        <w:jc w:val="both"/>
      </w:pPr>
      <w:r>
        <w:rPr>
          <w:color w:val="231F20"/>
          <w:w w:val="95"/>
        </w:rPr>
        <w:t xml:space="preserve">constraints. Where these constraints do not exist, sport tourists proceed to the interpersonal constraint level. Team sports, or those that are enhanced by fellow participants, require the potential sport tourist to coordinate his or her travel plans with </w:t>
      </w:r>
      <w:r>
        <w:rPr>
          <w:color w:val="231F20"/>
          <w:w w:val="95"/>
        </w:rPr>
        <w:t xml:space="preserve">others. Potential sport tourists who seek travel and </w:t>
      </w:r>
      <w:r>
        <w:rPr>
          <w:color w:val="231F20"/>
        </w:rPr>
        <w:t xml:space="preserve">sport companions but cannot find them will likely not participate even though they have the initial motivation. Finally, structural constraints </w:t>
      </w:r>
      <w:r>
        <w:rPr>
          <w:color w:val="231F20"/>
          <w:w w:val="95"/>
        </w:rPr>
        <w:t>consist</w:t>
      </w:r>
      <w:r>
        <w:rPr>
          <w:color w:val="231F20"/>
          <w:spacing w:val="-5"/>
          <w:w w:val="95"/>
        </w:rPr>
        <w:t xml:space="preserve"> </w:t>
      </w:r>
      <w:r>
        <w:rPr>
          <w:color w:val="231F20"/>
          <w:w w:val="95"/>
        </w:rPr>
        <w:t>of</w:t>
      </w:r>
      <w:r>
        <w:rPr>
          <w:color w:val="231F20"/>
          <w:spacing w:val="-5"/>
          <w:w w:val="95"/>
        </w:rPr>
        <w:t xml:space="preserve"> </w:t>
      </w:r>
      <w:r>
        <w:rPr>
          <w:color w:val="231F20"/>
          <w:w w:val="95"/>
        </w:rPr>
        <w:t>things</w:t>
      </w:r>
      <w:r>
        <w:rPr>
          <w:color w:val="231F20"/>
          <w:spacing w:val="-5"/>
          <w:w w:val="95"/>
        </w:rPr>
        <w:t xml:space="preserve"> </w:t>
      </w:r>
      <w:r>
        <w:rPr>
          <w:color w:val="231F20"/>
          <w:w w:val="95"/>
        </w:rPr>
        <w:t>such</w:t>
      </w:r>
      <w:r>
        <w:rPr>
          <w:color w:val="231F20"/>
          <w:spacing w:val="-5"/>
          <w:w w:val="95"/>
        </w:rPr>
        <w:t xml:space="preserve"> </w:t>
      </w:r>
      <w:r>
        <w:rPr>
          <w:color w:val="231F20"/>
          <w:w w:val="95"/>
        </w:rPr>
        <w:t>as</w:t>
      </w:r>
      <w:r>
        <w:rPr>
          <w:color w:val="231F20"/>
          <w:spacing w:val="-5"/>
          <w:w w:val="95"/>
        </w:rPr>
        <w:t xml:space="preserve"> </w:t>
      </w:r>
      <w:r>
        <w:rPr>
          <w:color w:val="231F20"/>
          <w:w w:val="95"/>
        </w:rPr>
        <w:t>high</w:t>
      </w:r>
      <w:r>
        <w:rPr>
          <w:color w:val="231F20"/>
          <w:spacing w:val="-5"/>
          <w:w w:val="95"/>
        </w:rPr>
        <w:t xml:space="preserve"> </w:t>
      </w:r>
      <w:r>
        <w:rPr>
          <w:color w:val="231F20"/>
          <w:w w:val="95"/>
        </w:rPr>
        <w:t>travel</w:t>
      </w:r>
      <w:r>
        <w:rPr>
          <w:color w:val="231F20"/>
          <w:spacing w:val="-5"/>
          <w:w w:val="95"/>
        </w:rPr>
        <w:t xml:space="preserve"> </w:t>
      </w:r>
      <w:r>
        <w:rPr>
          <w:color w:val="231F20"/>
          <w:w w:val="95"/>
        </w:rPr>
        <w:t>costs,</w:t>
      </w:r>
      <w:r>
        <w:rPr>
          <w:color w:val="231F20"/>
          <w:spacing w:val="-5"/>
          <w:w w:val="95"/>
        </w:rPr>
        <w:t xml:space="preserve"> </w:t>
      </w:r>
      <w:r>
        <w:rPr>
          <w:color w:val="231F20"/>
          <w:w w:val="95"/>
        </w:rPr>
        <w:t>lack</w:t>
      </w:r>
      <w:r>
        <w:rPr>
          <w:color w:val="231F20"/>
          <w:spacing w:val="-5"/>
          <w:w w:val="95"/>
        </w:rPr>
        <w:t xml:space="preserve"> </w:t>
      </w:r>
      <w:r>
        <w:rPr>
          <w:color w:val="231F20"/>
          <w:w w:val="95"/>
        </w:rPr>
        <w:t>of</w:t>
      </w:r>
      <w:r>
        <w:rPr>
          <w:color w:val="231F20"/>
          <w:spacing w:val="-5"/>
          <w:w w:val="95"/>
        </w:rPr>
        <w:t xml:space="preserve"> </w:t>
      </w:r>
      <w:r>
        <w:rPr>
          <w:color w:val="231F20"/>
          <w:w w:val="95"/>
        </w:rPr>
        <w:t>accomm</w:t>
      </w:r>
      <w:r>
        <w:rPr>
          <w:color w:val="231F20"/>
          <w:w w:val="95"/>
        </w:rPr>
        <w:t>odation</w:t>
      </w:r>
      <w:r>
        <w:rPr>
          <w:color w:val="231F20"/>
          <w:spacing w:val="-5"/>
          <w:w w:val="95"/>
        </w:rPr>
        <w:t xml:space="preserve"> </w:t>
      </w:r>
      <w:r>
        <w:rPr>
          <w:color w:val="231F20"/>
          <w:w w:val="95"/>
        </w:rPr>
        <w:t>and</w:t>
      </w:r>
      <w:r>
        <w:rPr>
          <w:color w:val="231F20"/>
          <w:spacing w:val="-5"/>
          <w:w w:val="95"/>
        </w:rPr>
        <w:t xml:space="preserve"> </w:t>
      </w:r>
      <w:r>
        <w:rPr>
          <w:color w:val="231F20"/>
          <w:w w:val="95"/>
        </w:rPr>
        <w:t xml:space="preserve">school </w:t>
      </w:r>
      <w:r>
        <w:rPr>
          <w:color w:val="231F20"/>
        </w:rPr>
        <w:t>or</w:t>
      </w:r>
      <w:r>
        <w:rPr>
          <w:color w:val="231F20"/>
          <w:spacing w:val="-3"/>
        </w:rPr>
        <w:t xml:space="preserve"> </w:t>
      </w:r>
      <w:r>
        <w:rPr>
          <w:color w:val="231F20"/>
        </w:rPr>
        <w:t>work</w:t>
      </w:r>
      <w:r>
        <w:rPr>
          <w:color w:val="231F20"/>
          <w:spacing w:val="-3"/>
        </w:rPr>
        <w:t xml:space="preserve"> </w:t>
      </w:r>
      <w:r>
        <w:rPr>
          <w:color w:val="231F20"/>
        </w:rPr>
        <w:t>commitments.</w:t>
      </w:r>
      <w:r>
        <w:rPr>
          <w:color w:val="231F20"/>
          <w:spacing w:val="-3"/>
        </w:rPr>
        <w:t xml:space="preserve"> </w:t>
      </w:r>
      <w:r>
        <w:rPr>
          <w:color w:val="231F20"/>
        </w:rPr>
        <w:t>Ways</w:t>
      </w:r>
      <w:r>
        <w:rPr>
          <w:color w:val="231F20"/>
          <w:spacing w:val="-3"/>
        </w:rPr>
        <w:t xml:space="preserve"> </w:t>
      </w:r>
      <w:r>
        <w:rPr>
          <w:color w:val="231F20"/>
        </w:rPr>
        <w:t>around</w:t>
      </w:r>
      <w:r>
        <w:rPr>
          <w:color w:val="231F20"/>
          <w:spacing w:val="-3"/>
        </w:rPr>
        <w:t xml:space="preserve"> </w:t>
      </w:r>
      <w:r>
        <w:rPr>
          <w:color w:val="231F20"/>
        </w:rPr>
        <w:t>this</w:t>
      </w:r>
      <w:r>
        <w:rPr>
          <w:color w:val="231F20"/>
          <w:spacing w:val="-3"/>
        </w:rPr>
        <w:t xml:space="preserve"> </w:t>
      </w:r>
      <w:r>
        <w:rPr>
          <w:color w:val="231F20"/>
        </w:rPr>
        <w:t>last</w:t>
      </w:r>
      <w:r>
        <w:rPr>
          <w:color w:val="231F20"/>
          <w:spacing w:val="-3"/>
        </w:rPr>
        <w:t xml:space="preserve"> </w:t>
      </w:r>
      <w:r>
        <w:rPr>
          <w:color w:val="231F20"/>
        </w:rPr>
        <w:t>level</w:t>
      </w:r>
      <w:r>
        <w:rPr>
          <w:color w:val="231F20"/>
          <w:spacing w:val="-3"/>
        </w:rPr>
        <w:t xml:space="preserve"> </w:t>
      </w:r>
      <w:r>
        <w:rPr>
          <w:color w:val="231F20"/>
        </w:rPr>
        <w:t>of</w:t>
      </w:r>
      <w:r>
        <w:rPr>
          <w:color w:val="231F20"/>
          <w:spacing w:val="-3"/>
        </w:rPr>
        <w:t xml:space="preserve"> </w:t>
      </w:r>
      <w:r>
        <w:rPr>
          <w:color w:val="231F20"/>
        </w:rPr>
        <w:t>constraints</w:t>
      </w:r>
      <w:r>
        <w:rPr>
          <w:color w:val="231F20"/>
          <w:spacing w:val="-3"/>
        </w:rPr>
        <w:t xml:space="preserve"> </w:t>
      </w:r>
      <w:r>
        <w:rPr>
          <w:color w:val="231F20"/>
        </w:rPr>
        <w:t>may</w:t>
      </w:r>
      <w:r>
        <w:rPr>
          <w:color w:val="231F20"/>
          <w:spacing w:val="-3"/>
        </w:rPr>
        <w:t xml:space="preserve"> </w:t>
      </w:r>
      <w:r>
        <w:rPr>
          <w:color w:val="231F20"/>
        </w:rPr>
        <w:t xml:space="preserve">be </w:t>
      </w:r>
      <w:r>
        <w:rPr>
          <w:color w:val="231F20"/>
          <w:w w:val="95"/>
        </w:rPr>
        <w:t>negotiated by the potential sport tourist, although they too may prove to be insurmountable. Innovative packaging by the host destination can facilitate this negotiation process throughout the year. By understanding this leisure constraints framework, spor</w:t>
      </w:r>
      <w:r>
        <w:rPr>
          <w:color w:val="231F20"/>
          <w:w w:val="95"/>
        </w:rPr>
        <w:t xml:space="preserve">t tourism destinations can identify appropriate </w:t>
      </w:r>
      <w:r>
        <w:rPr>
          <w:color w:val="231F20"/>
          <w:w w:val="90"/>
        </w:rPr>
        <w:t xml:space="preserve">seasonal target markets and help them to negotiate the particular constraints </w:t>
      </w:r>
      <w:r>
        <w:rPr>
          <w:color w:val="231F20"/>
        </w:rPr>
        <w:t>that they face at various times of the year.</w:t>
      </w:r>
    </w:p>
    <w:p w14:paraId="72116C64" w14:textId="77777777" w:rsidR="00AE0598" w:rsidRDefault="00AE0598">
      <w:pPr>
        <w:pStyle w:val="Corpodetexto"/>
        <w:spacing w:before="4"/>
        <w:rPr>
          <w:sz w:val="22"/>
        </w:rPr>
      </w:pPr>
    </w:p>
    <w:p w14:paraId="21782966" w14:textId="77777777" w:rsidR="00AE0598" w:rsidRDefault="0069255A">
      <w:pPr>
        <w:ind w:left="110"/>
        <w:rPr>
          <w:rFonts w:ascii="Trebuchet MS"/>
          <w:b/>
          <w:sz w:val="20"/>
        </w:rPr>
      </w:pPr>
      <w:r>
        <w:rPr>
          <w:rFonts w:ascii="Trebuchet MS"/>
          <w:b/>
          <w:color w:val="231F20"/>
          <w:spacing w:val="-2"/>
          <w:sz w:val="20"/>
        </w:rPr>
        <w:t>Conclusion</w:t>
      </w:r>
    </w:p>
    <w:p w14:paraId="19D8E548" w14:textId="77777777" w:rsidR="00AE0598" w:rsidRDefault="0069255A">
      <w:pPr>
        <w:pStyle w:val="Corpodetexto"/>
        <w:spacing w:before="122" w:line="232" w:lineRule="auto"/>
        <w:ind w:left="110" w:right="127" w:firstLine="320"/>
        <w:jc w:val="both"/>
      </w:pPr>
      <w:r>
        <w:rPr>
          <w:color w:val="231F20"/>
          <w:w w:val="95"/>
        </w:rPr>
        <w:t xml:space="preserve">Both tourism and sport are characterised by seasonal variations during </w:t>
      </w:r>
      <w:r>
        <w:rPr>
          <w:color w:val="231F20"/>
          <w:w w:val="90"/>
        </w:rPr>
        <w:t>the</w:t>
      </w:r>
      <w:r>
        <w:rPr>
          <w:color w:val="231F20"/>
          <w:spacing w:val="-2"/>
          <w:w w:val="90"/>
        </w:rPr>
        <w:t xml:space="preserve"> </w:t>
      </w:r>
      <w:r>
        <w:rPr>
          <w:color w:val="231F20"/>
          <w:w w:val="90"/>
        </w:rPr>
        <w:t>course</w:t>
      </w:r>
      <w:r>
        <w:rPr>
          <w:color w:val="231F20"/>
          <w:spacing w:val="-2"/>
          <w:w w:val="90"/>
        </w:rPr>
        <w:t xml:space="preserve"> </w:t>
      </w:r>
      <w:r>
        <w:rPr>
          <w:color w:val="231F20"/>
          <w:w w:val="90"/>
        </w:rPr>
        <w:t>of</w:t>
      </w:r>
      <w:r>
        <w:rPr>
          <w:color w:val="231F20"/>
          <w:spacing w:val="18"/>
        </w:rPr>
        <w:t xml:space="preserve"> </w:t>
      </w:r>
      <w:r>
        <w:rPr>
          <w:color w:val="231F20"/>
          <w:w w:val="90"/>
        </w:rPr>
        <w:t>a</w:t>
      </w:r>
      <w:r>
        <w:rPr>
          <w:color w:val="231F20"/>
          <w:spacing w:val="-2"/>
          <w:w w:val="90"/>
        </w:rPr>
        <w:t xml:space="preserve"> </w:t>
      </w:r>
      <w:r>
        <w:rPr>
          <w:color w:val="231F20"/>
          <w:w w:val="90"/>
        </w:rPr>
        <w:t>year.</w:t>
      </w:r>
      <w:r>
        <w:rPr>
          <w:color w:val="231F20"/>
          <w:spacing w:val="-2"/>
          <w:w w:val="90"/>
        </w:rPr>
        <w:t xml:space="preserve"> </w:t>
      </w:r>
      <w:r>
        <w:rPr>
          <w:color w:val="231F20"/>
          <w:w w:val="90"/>
        </w:rPr>
        <w:t>Whereas</w:t>
      </w:r>
      <w:r>
        <w:rPr>
          <w:color w:val="231F20"/>
          <w:spacing w:val="-2"/>
          <w:w w:val="90"/>
        </w:rPr>
        <w:t xml:space="preserve"> </w:t>
      </w:r>
      <w:r>
        <w:rPr>
          <w:color w:val="231F20"/>
          <w:w w:val="90"/>
        </w:rPr>
        <w:t>these</w:t>
      </w:r>
      <w:r>
        <w:rPr>
          <w:color w:val="231F20"/>
          <w:spacing w:val="-2"/>
          <w:w w:val="90"/>
        </w:rPr>
        <w:t xml:space="preserve"> </w:t>
      </w:r>
      <w:r>
        <w:rPr>
          <w:color w:val="231F20"/>
          <w:w w:val="90"/>
        </w:rPr>
        <w:t>variations</w:t>
      </w:r>
      <w:r>
        <w:rPr>
          <w:color w:val="231F20"/>
          <w:spacing w:val="-2"/>
          <w:w w:val="90"/>
        </w:rPr>
        <w:t xml:space="preserve"> </w:t>
      </w:r>
      <w:r>
        <w:rPr>
          <w:color w:val="231F20"/>
          <w:w w:val="90"/>
        </w:rPr>
        <w:t>are</w:t>
      </w:r>
      <w:r>
        <w:rPr>
          <w:color w:val="231F20"/>
          <w:spacing w:val="-2"/>
          <w:w w:val="90"/>
        </w:rPr>
        <w:t xml:space="preserve"> </w:t>
      </w:r>
      <w:r>
        <w:rPr>
          <w:color w:val="231F20"/>
          <w:w w:val="90"/>
        </w:rPr>
        <w:t>generally</w:t>
      </w:r>
      <w:r>
        <w:rPr>
          <w:color w:val="231F20"/>
          <w:spacing w:val="-2"/>
          <w:w w:val="90"/>
        </w:rPr>
        <w:t xml:space="preserve"> </w:t>
      </w:r>
      <w:r>
        <w:rPr>
          <w:color w:val="231F20"/>
          <w:w w:val="90"/>
        </w:rPr>
        <w:t>seen</w:t>
      </w:r>
      <w:r>
        <w:rPr>
          <w:color w:val="231F20"/>
          <w:spacing w:val="-2"/>
          <w:w w:val="90"/>
        </w:rPr>
        <w:t xml:space="preserve"> </w:t>
      </w:r>
      <w:r>
        <w:rPr>
          <w:color w:val="231F20"/>
          <w:w w:val="90"/>
        </w:rPr>
        <w:t>as</w:t>
      </w:r>
      <w:r>
        <w:rPr>
          <w:color w:val="231F20"/>
          <w:spacing w:val="-2"/>
          <w:w w:val="90"/>
        </w:rPr>
        <w:t xml:space="preserve"> </w:t>
      </w:r>
      <w:r>
        <w:rPr>
          <w:color w:val="231F20"/>
          <w:w w:val="90"/>
        </w:rPr>
        <w:t xml:space="preserve">undesirable </w:t>
      </w:r>
      <w:r>
        <w:rPr>
          <w:color w:val="231F20"/>
          <w:w w:val="95"/>
        </w:rPr>
        <w:t>in a tourism context, there has been relatively little concern about seasonal variation in a sporting co</w:t>
      </w:r>
      <w:r>
        <w:rPr>
          <w:color w:val="231F20"/>
          <w:w w:val="95"/>
        </w:rPr>
        <w:t>ntext. Somewhat paradoxically, seasonal patterns of</w:t>
      </w:r>
      <w:r>
        <w:rPr>
          <w:color w:val="231F20"/>
        </w:rPr>
        <w:t xml:space="preserve"> </w:t>
      </w:r>
      <w:r>
        <w:rPr>
          <w:color w:val="231F20"/>
          <w:w w:val="95"/>
        </w:rPr>
        <w:t>tourism</w:t>
      </w:r>
      <w:r>
        <w:rPr>
          <w:color w:val="231F20"/>
          <w:spacing w:val="-3"/>
          <w:w w:val="95"/>
        </w:rPr>
        <w:t xml:space="preserve"> </w:t>
      </w:r>
      <w:r>
        <w:rPr>
          <w:color w:val="231F20"/>
          <w:w w:val="95"/>
        </w:rPr>
        <w:t>tend</w:t>
      </w:r>
      <w:r>
        <w:rPr>
          <w:color w:val="231F20"/>
          <w:spacing w:val="-3"/>
          <w:w w:val="95"/>
        </w:rPr>
        <w:t xml:space="preserve"> </w:t>
      </w:r>
      <w:r>
        <w:rPr>
          <w:color w:val="231F20"/>
          <w:w w:val="95"/>
        </w:rPr>
        <w:t>to</w:t>
      </w:r>
      <w:r>
        <w:rPr>
          <w:color w:val="231F20"/>
          <w:spacing w:val="-3"/>
          <w:w w:val="95"/>
        </w:rPr>
        <w:t xml:space="preserve"> </w:t>
      </w:r>
      <w:r>
        <w:rPr>
          <w:color w:val="231F20"/>
          <w:w w:val="95"/>
        </w:rPr>
        <w:t>be</w:t>
      </w:r>
      <w:r>
        <w:rPr>
          <w:color w:val="231F20"/>
          <w:spacing w:val="-3"/>
          <w:w w:val="95"/>
        </w:rPr>
        <w:t xml:space="preserve"> </w:t>
      </w:r>
      <w:r>
        <w:rPr>
          <w:color w:val="231F20"/>
          <w:w w:val="95"/>
        </w:rPr>
        <w:t>stable</w:t>
      </w:r>
      <w:r>
        <w:rPr>
          <w:color w:val="231F20"/>
          <w:spacing w:val="-3"/>
          <w:w w:val="95"/>
        </w:rPr>
        <w:t xml:space="preserve"> </w:t>
      </w:r>
      <w:r>
        <w:rPr>
          <w:color w:val="231F20"/>
          <w:w w:val="95"/>
        </w:rPr>
        <w:t>despite</w:t>
      </w:r>
      <w:r>
        <w:rPr>
          <w:color w:val="231F20"/>
          <w:spacing w:val="-3"/>
          <w:w w:val="95"/>
        </w:rPr>
        <w:t xml:space="preserve"> </w:t>
      </w:r>
      <w:r>
        <w:rPr>
          <w:color w:val="231F20"/>
          <w:w w:val="95"/>
        </w:rPr>
        <w:t>ongoing</w:t>
      </w:r>
      <w:r>
        <w:rPr>
          <w:color w:val="231F20"/>
          <w:spacing w:val="-3"/>
          <w:w w:val="95"/>
        </w:rPr>
        <w:t xml:space="preserve"> </w:t>
      </w:r>
      <w:r>
        <w:rPr>
          <w:color w:val="231F20"/>
          <w:w w:val="95"/>
        </w:rPr>
        <w:t>attempts</w:t>
      </w:r>
      <w:r>
        <w:rPr>
          <w:color w:val="231F20"/>
          <w:spacing w:val="-3"/>
          <w:w w:val="95"/>
        </w:rPr>
        <w:t xml:space="preserve"> </w:t>
      </w:r>
      <w:r>
        <w:rPr>
          <w:color w:val="231F20"/>
          <w:w w:val="95"/>
        </w:rPr>
        <w:t>to</w:t>
      </w:r>
      <w:r>
        <w:rPr>
          <w:color w:val="231F20"/>
          <w:spacing w:val="-3"/>
          <w:w w:val="95"/>
        </w:rPr>
        <w:t xml:space="preserve"> </w:t>
      </w:r>
      <w:r>
        <w:rPr>
          <w:color w:val="231F20"/>
          <w:w w:val="95"/>
        </w:rPr>
        <w:t>modify</w:t>
      </w:r>
      <w:r>
        <w:rPr>
          <w:color w:val="231F20"/>
          <w:spacing w:val="-3"/>
          <w:w w:val="95"/>
        </w:rPr>
        <w:t xml:space="preserve"> </w:t>
      </w:r>
      <w:r>
        <w:rPr>
          <w:color w:val="231F20"/>
          <w:w w:val="95"/>
        </w:rPr>
        <w:t>them,</w:t>
      </w:r>
      <w:r>
        <w:rPr>
          <w:color w:val="231F20"/>
          <w:spacing w:val="-3"/>
          <w:w w:val="95"/>
        </w:rPr>
        <w:t xml:space="preserve"> </w:t>
      </w:r>
      <w:r>
        <w:rPr>
          <w:color w:val="231F20"/>
          <w:w w:val="95"/>
        </w:rPr>
        <w:t>while sporting seasons have undergone considerable change – especially in terms of</w:t>
      </w:r>
      <w:r>
        <w:rPr>
          <w:color w:val="231F20"/>
        </w:rPr>
        <w:t xml:space="preserve"> </w:t>
      </w:r>
      <w:r>
        <w:rPr>
          <w:color w:val="231F20"/>
          <w:w w:val="95"/>
        </w:rPr>
        <w:t>their</w:t>
      </w:r>
      <w:r>
        <w:rPr>
          <w:color w:val="231F20"/>
          <w:spacing w:val="-3"/>
          <w:w w:val="95"/>
        </w:rPr>
        <w:t xml:space="preserve"> </w:t>
      </w:r>
      <w:r>
        <w:rPr>
          <w:color w:val="231F20"/>
          <w:w w:val="95"/>
        </w:rPr>
        <w:t>extension</w:t>
      </w:r>
      <w:r>
        <w:rPr>
          <w:color w:val="231F20"/>
          <w:spacing w:val="-3"/>
          <w:w w:val="95"/>
        </w:rPr>
        <w:t xml:space="preserve"> </w:t>
      </w:r>
      <w:r>
        <w:rPr>
          <w:color w:val="231F20"/>
          <w:w w:val="95"/>
        </w:rPr>
        <w:t>throughout</w:t>
      </w:r>
      <w:r>
        <w:rPr>
          <w:color w:val="231F20"/>
          <w:spacing w:val="-3"/>
          <w:w w:val="95"/>
        </w:rPr>
        <w:t xml:space="preserve"> </w:t>
      </w:r>
      <w:r>
        <w:rPr>
          <w:color w:val="231F20"/>
          <w:w w:val="95"/>
        </w:rPr>
        <w:t>the</w:t>
      </w:r>
      <w:r>
        <w:rPr>
          <w:color w:val="231F20"/>
          <w:spacing w:val="-3"/>
          <w:w w:val="95"/>
        </w:rPr>
        <w:t xml:space="preserve"> </w:t>
      </w:r>
      <w:r>
        <w:rPr>
          <w:color w:val="231F20"/>
          <w:w w:val="95"/>
        </w:rPr>
        <w:t>year.</w:t>
      </w:r>
      <w:r>
        <w:rPr>
          <w:color w:val="231F20"/>
          <w:spacing w:val="-3"/>
          <w:w w:val="95"/>
        </w:rPr>
        <w:t xml:space="preserve"> </w:t>
      </w:r>
      <w:r>
        <w:rPr>
          <w:color w:val="231F20"/>
          <w:w w:val="95"/>
        </w:rPr>
        <w:t>A</w:t>
      </w:r>
      <w:r>
        <w:rPr>
          <w:color w:val="231F20"/>
          <w:spacing w:val="-3"/>
          <w:w w:val="95"/>
        </w:rPr>
        <w:t xml:space="preserve"> </w:t>
      </w:r>
      <w:r>
        <w:rPr>
          <w:color w:val="231F20"/>
          <w:w w:val="95"/>
        </w:rPr>
        <w:t>variety</w:t>
      </w:r>
      <w:r>
        <w:rPr>
          <w:color w:val="231F20"/>
          <w:spacing w:val="-3"/>
          <w:w w:val="95"/>
        </w:rPr>
        <w:t xml:space="preserve"> </w:t>
      </w:r>
      <w:r>
        <w:rPr>
          <w:color w:val="231F20"/>
          <w:w w:val="95"/>
        </w:rPr>
        <w:t>of</w:t>
      </w:r>
      <w:r>
        <w:rPr>
          <w:color w:val="231F20"/>
        </w:rPr>
        <w:t xml:space="preserve"> </w:t>
      </w:r>
      <w:r>
        <w:rPr>
          <w:color w:val="231F20"/>
          <w:w w:val="95"/>
        </w:rPr>
        <w:t>natural</w:t>
      </w:r>
      <w:r>
        <w:rPr>
          <w:color w:val="231F20"/>
          <w:spacing w:val="-3"/>
          <w:w w:val="95"/>
        </w:rPr>
        <w:t xml:space="preserve"> </w:t>
      </w:r>
      <w:r>
        <w:rPr>
          <w:color w:val="231F20"/>
          <w:w w:val="95"/>
        </w:rPr>
        <w:t>and</w:t>
      </w:r>
      <w:r>
        <w:rPr>
          <w:color w:val="231F20"/>
          <w:spacing w:val="-3"/>
          <w:w w:val="95"/>
        </w:rPr>
        <w:t xml:space="preserve"> </w:t>
      </w:r>
      <w:r>
        <w:rPr>
          <w:color w:val="231F20"/>
          <w:w w:val="95"/>
        </w:rPr>
        <w:t xml:space="preserve">institutional </w:t>
      </w:r>
      <w:r>
        <w:rPr>
          <w:color w:val="231F20"/>
        </w:rPr>
        <w:t>factors</w:t>
      </w:r>
      <w:r>
        <w:rPr>
          <w:color w:val="231F20"/>
          <w:spacing w:val="-12"/>
        </w:rPr>
        <w:t xml:space="preserve"> </w:t>
      </w:r>
      <w:r>
        <w:rPr>
          <w:color w:val="231F20"/>
        </w:rPr>
        <w:t>influence</w:t>
      </w:r>
      <w:r>
        <w:rPr>
          <w:color w:val="231F20"/>
          <w:spacing w:val="-12"/>
        </w:rPr>
        <w:t xml:space="preserve"> </w:t>
      </w:r>
      <w:r>
        <w:rPr>
          <w:color w:val="231F20"/>
        </w:rPr>
        <w:t>seasonality</w:t>
      </w:r>
      <w:r>
        <w:rPr>
          <w:color w:val="231F20"/>
          <w:spacing w:val="-11"/>
        </w:rPr>
        <w:t xml:space="preserve"> </w:t>
      </w:r>
      <w:r>
        <w:rPr>
          <w:color w:val="231F20"/>
        </w:rPr>
        <w:t>in</w:t>
      </w:r>
      <w:r>
        <w:rPr>
          <w:color w:val="231F20"/>
          <w:spacing w:val="-12"/>
        </w:rPr>
        <w:t xml:space="preserve"> </w:t>
      </w:r>
      <w:r>
        <w:rPr>
          <w:color w:val="231F20"/>
        </w:rPr>
        <w:t>both</w:t>
      </w:r>
      <w:r>
        <w:rPr>
          <w:color w:val="231F20"/>
          <w:spacing w:val="-11"/>
        </w:rPr>
        <w:t xml:space="preserve"> </w:t>
      </w:r>
      <w:r>
        <w:rPr>
          <w:color w:val="231F20"/>
        </w:rPr>
        <w:t>of</w:t>
      </w:r>
      <w:r>
        <w:rPr>
          <w:color w:val="231F20"/>
          <w:spacing w:val="-12"/>
        </w:rPr>
        <w:t xml:space="preserve"> </w:t>
      </w:r>
      <w:r>
        <w:rPr>
          <w:color w:val="231F20"/>
        </w:rPr>
        <w:t>these</w:t>
      </w:r>
      <w:r>
        <w:rPr>
          <w:color w:val="231F20"/>
          <w:spacing w:val="-11"/>
        </w:rPr>
        <w:t xml:space="preserve"> </w:t>
      </w:r>
      <w:r>
        <w:rPr>
          <w:color w:val="231F20"/>
        </w:rPr>
        <w:t>realms,</w:t>
      </w:r>
      <w:r>
        <w:rPr>
          <w:color w:val="231F20"/>
          <w:spacing w:val="-12"/>
        </w:rPr>
        <w:t xml:space="preserve"> </w:t>
      </w:r>
      <w:r>
        <w:rPr>
          <w:color w:val="231F20"/>
        </w:rPr>
        <w:t>and</w:t>
      </w:r>
      <w:r>
        <w:rPr>
          <w:color w:val="231F20"/>
          <w:spacing w:val="-12"/>
        </w:rPr>
        <w:t xml:space="preserve"> </w:t>
      </w:r>
      <w:r>
        <w:rPr>
          <w:color w:val="231F20"/>
        </w:rPr>
        <w:t>it</w:t>
      </w:r>
      <w:r>
        <w:rPr>
          <w:color w:val="231F20"/>
          <w:spacing w:val="-11"/>
        </w:rPr>
        <w:t xml:space="preserve"> </w:t>
      </w:r>
      <w:r>
        <w:rPr>
          <w:color w:val="231F20"/>
        </w:rPr>
        <w:t>is</w:t>
      </w:r>
      <w:r>
        <w:rPr>
          <w:color w:val="231F20"/>
          <w:spacing w:val="-12"/>
        </w:rPr>
        <w:t xml:space="preserve"> </w:t>
      </w:r>
      <w:r>
        <w:rPr>
          <w:color w:val="231F20"/>
        </w:rPr>
        <w:t xml:space="preserve">increasingly </w:t>
      </w:r>
      <w:r>
        <w:rPr>
          <w:color w:val="231F20"/>
          <w:w w:val="95"/>
        </w:rPr>
        <w:t>recognised that cli</w:t>
      </w:r>
      <w:r>
        <w:rPr>
          <w:color w:val="231F20"/>
          <w:w w:val="95"/>
        </w:rPr>
        <w:t xml:space="preserve">mate change is having an impact on tourism seasonality. </w:t>
      </w:r>
      <w:r>
        <w:rPr>
          <w:color w:val="231F20"/>
        </w:rPr>
        <w:t>This chapter addressed the role of sport in seasonality and its potential to</w:t>
      </w:r>
      <w:r>
        <w:rPr>
          <w:color w:val="231F20"/>
          <w:spacing w:val="-12"/>
        </w:rPr>
        <w:t xml:space="preserve"> </w:t>
      </w:r>
      <w:r>
        <w:rPr>
          <w:color w:val="231F20"/>
        </w:rPr>
        <w:t>address</w:t>
      </w:r>
      <w:r>
        <w:rPr>
          <w:color w:val="231F20"/>
          <w:spacing w:val="-12"/>
        </w:rPr>
        <w:t xml:space="preserve"> </w:t>
      </w:r>
      <w:r>
        <w:rPr>
          <w:color w:val="231F20"/>
        </w:rPr>
        <w:t>the</w:t>
      </w:r>
      <w:r>
        <w:rPr>
          <w:color w:val="231F20"/>
          <w:spacing w:val="-11"/>
        </w:rPr>
        <w:t xml:space="preserve"> </w:t>
      </w:r>
      <w:r>
        <w:rPr>
          <w:color w:val="231F20"/>
        </w:rPr>
        <w:t>challenges</w:t>
      </w:r>
      <w:r>
        <w:rPr>
          <w:color w:val="231F20"/>
          <w:spacing w:val="-12"/>
        </w:rPr>
        <w:t xml:space="preserve"> </w:t>
      </w:r>
      <w:r>
        <w:rPr>
          <w:color w:val="231F20"/>
        </w:rPr>
        <w:t>of</w:t>
      </w:r>
      <w:r>
        <w:rPr>
          <w:color w:val="231F20"/>
          <w:spacing w:val="-11"/>
        </w:rPr>
        <w:t xml:space="preserve"> </w:t>
      </w:r>
      <w:r>
        <w:rPr>
          <w:color w:val="231F20"/>
        </w:rPr>
        <w:t>climate</w:t>
      </w:r>
      <w:r>
        <w:rPr>
          <w:color w:val="231F20"/>
          <w:spacing w:val="-12"/>
        </w:rPr>
        <w:t xml:space="preserve"> </w:t>
      </w:r>
      <w:r>
        <w:rPr>
          <w:color w:val="231F20"/>
        </w:rPr>
        <w:t>change</w:t>
      </w:r>
      <w:r>
        <w:rPr>
          <w:color w:val="231F20"/>
          <w:spacing w:val="-11"/>
        </w:rPr>
        <w:t xml:space="preserve"> </w:t>
      </w:r>
      <w:r>
        <w:rPr>
          <w:color w:val="231F20"/>
        </w:rPr>
        <w:t>and</w:t>
      </w:r>
      <w:r>
        <w:rPr>
          <w:color w:val="231F20"/>
          <w:spacing w:val="-12"/>
        </w:rPr>
        <w:t xml:space="preserve"> </w:t>
      </w:r>
      <w:r>
        <w:rPr>
          <w:color w:val="231F20"/>
        </w:rPr>
        <w:t>tourism</w:t>
      </w:r>
      <w:r>
        <w:rPr>
          <w:color w:val="231F20"/>
          <w:spacing w:val="-12"/>
        </w:rPr>
        <w:t xml:space="preserve"> </w:t>
      </w:r>
      <w:r>
        <w:rPr>
          <w:color w:val="231F20"/>
        </w:rPr>
        <w:t>seasonality</w:t>
      </w:r>
      <w:r>
        <w:rPr>
          <w:color w:val="231F20"/>
          <w:spacing w:val="-11"/>
        </w:rPr>
        <w:t xml:space="preserve"> </w:t>
      </w:r>
      <w:r>
        <w:rPr>
          <w:color w:val="231F20"/>
        </w:rPr>
        <w:t xml:space="preserve">more </w:t>
      </w:r>
      <w:r>
        <w:rPr>
          <w:color w:val="231F20"/>
          <w:spacing w:val="-2"/>
        </w:rPr>
        <w:t>strategically.</w:t>
      </w:r>
    </w:p>
    <w:p w14:paraId="30E0A99D" w14:textId="77777777" w:rsidR="00AE0598" w:rsidRDefault="0069255A">
      <w:pPr>
        <w:pStyle w:val="Corpodetexto"/>
        <w:spacing w:before="15" w:line="232" w:lineRule="auto"/>
        <w:ind w:left="110" w:right="126" w:firstLine="320"/>
        <w:jc w:val="both"/>
      </w:pPr>
      <w:r>
        <w:rPr>
          <w:color w:val="231F20"/>
        </w:rPr>
        <w:t>It</w:t>
      </w:r>
      <w:r>
        <w:rPr>
          <w:color w:val="231F20"/>
          <w:spacing w:val="-9"/>
        </w:rPr>
        <w:t xml:space="preserve"> </w:t>
      </w:r>
      <w:r>
        <w:rPr>
          <w:color w:val="231F20"/>
        </w:rPr>
        <w:t>is</w:t>
      </w:r>
      <w:r>
        <w:rPr>
          <w:color w:val="231F20"/>
          <w:spacing w:val="-9"/>
        </w:rPr>
        <w:t xml:space="preserve"> </w:t>
      </w:r>
      <w:r>
        <w:rPr>
          <w:color w:val="231F20"/>
        </w:rPr>
        <w:t>clear</w:t>
      </w:r>
      <w:r>
        <w:rPr>
          <w:color w:val="231F20"/>
          <w:spacing w:val="-9"/>
        </w:rPr>
        <w:t xml:space="preserve"> </w:t>
      </w:r>
      <w:r>
        <w:rPr>
          <w:color w:val="231F20"/>
        </w:rPr>
        <w:t>that</w:t>
      </w:r>
      <w:r>
        <w:rPr>
          <w:color w:val="231F20"/>
          <w:spacing w:val="-9"/>
        </w:rPr>
        <w:t xml:space="preserve"> </w:t>
      </w:r>
      <w:r>
        <w:rPr>
          <w:color w:val="231F20"/>
        </w:rPr>
        <w:t>sport</w:t>
      </w:r>
      <w:r>
        <w:rPr>
          <w:color w:val="231F20"/>
          <w:spacing w:val="-9"/>
        </w:rPr>
        <w:t xml:space="preserve"> </w:t>
      </w:r>
      <w:r>
        <w:rPr>
          <w:color w:val="231F20"/>
        </w:rPr>
        <w:t>is</w:t>
      </w:r>
      <w:r>
        <w:rPr>
          <w:color w:val="231F20"/>
          <w:spacing w:val="-9"/>
        </w:rPr>
        <w:t xml:space="preserve"> </w:t>
      </w:r>
      <w:r>
        <w:rPr>
          <w:color w:val="231F20"/>
        </w:rPr>
        <w:t>not</w:t>
      </w:r>
      <w:r>
        <w:rPr>
          <w:color w:val="231F20"/>
          <w:spacing w:val="-9"/>
        </w:rPr>
        <w:t xml:space="preserve"> </w:t>
      </w:r>
      <w:r>
        <w:rPr>
          <w:color w:val="231F20"/>
        </w:rPr>
        <w:t>only</w:t>
      </w:r>
      <w:r>
        <w:rPr>
          <w:color w:val="231F20"/>
          <w:spacing w:val="-9"/>
        </w:rPr>
        <w:t xml:space="preserve"> </w:t>
      </w:r>
      <w:r>
        <w:rPr>
          <w:color w:val="231F20"/>
        </w:rPr>
        <w:t>a</w:t>
      </w:r>
      <w:r>
        <w:rPr>
          <w:color w:val="231F20"/>
          <w:spacing w:val="-9"/>
        </w:rPr>
        <w:t xml:space="preserve"> </w:t>
      </w:r>
      <w:r>
        <w:rPr>
          <w:color w:val="231F20"/>
        </w:rPr>
        <w:t>factor</w:t>
      </w:r>
      <w:r>
        <w:rPr>
          <w:color w:val="231F20"/>
          <w:spacing w:val="-9"/>
        </w:rPr>
        <w:t xml:space="preserve"> </w:t>
      </w:r>
      <w:r>
        <w:rPr>
          <w:color w:val="231F20"/>
        </w:rPr>
        <w:t>in</w:t>
      </w:r>
      <w:r>
        <w:rPr>
          <w:color w:val="231F20"/>
          <w:spacing w:val="-9"/>
        </w:rPr>
        <w:t xml:space="preserve"> </w:t>
      </w:r>
      <w:r>
        <w:rPr>
          <w:color w:val="231F20"/>
        </w:rPr>
        <w:t>tourism</w:t>
      </w:r>
      <w:r>
        <w:rPr>
          <w:color w:val="231F20"/>
          <w:spacing w:val="-9"/>
        </w:rPr>
        <w:t xml:space="preserve"> </w:t>
      </w:r>
      <w:r>
        <w:rPr>
          <w:color w:val="231F20"/>
        </w:rPr>
        <w:t>seasonality</w:t>
      </w:r>
      <w:r>
        <w:rPr>
          <w:color w:val="231F20"/>
          <w:spacing w:val="-9"/>
        </w:rPr>
        <w:t xml:space="preserve"> </w:t>
      </w:r>
      <w:r>
        <w:rPr>
          <w:color w:val="231F20"/>
        </w:rPr>
        <w:t>but</w:t>
      </w:r>
      <w:r>
        <w:rPr>
          <w:color w:val="231F20"/>
          <w:spacing w:val="-9"/>
        </w:rPr>
        <w:t xml:space="preserve"> </w:t>
      </w:r>
      <w:r>
        <w:rPr>
          <w:color w:val="231F20"/>
        </w:rPr>
        <w:t xml:space="preserve">that it can potentially be harnessed as a means to modify tourist visitation patterns over the course of a year. Lengthening competition seasons for spectator sports and scheduling sport events during tourism shoulder </w:t>
      </w:r>
      <w:r>
        <w:rPr>
          <w:color w:val="231F20"/>
          <w:w w:val="95"/>
        </w:rPr>
        <w:t>seas</w:t>
      </w:r>
      <w:r>
        <w:rPr>
          <w:color w:val="231F20"/>
          <w:w w:val="95"/>
        </w:rPr>
        <w:t>ons</w:t>
      </w:r>
      <w:r>
        <w:rPr>
          <w:color w:val="231F20"/>
          <w:spacing w:val="-5"/>
          <w:w w:val="95"/>
        </w:rPr>
        <w:t xml:space="preserve"> </w:t>
      </w:r>
      <w:r>
        <w:rPr>
          <w:color w:val="231F20"/>
          <w:w w:val="95"/>
        </w:rPr>
        <w:t>are</w:t>
      </w:r>
      <w:r>
        <w:rPr>
          <w:color w:val="231F20"/>
          <w:spacing w:val="-5"/>
          <w:w w:val="95"/>
        </w:rPr>
        <w:t xml:space="preserve"> </w:t>
      </w:r>
      <w:r>
        <w:rPr>
          <w:color w:val="231F20"/>
          <w:w w:val="95"/>
        </w:rPr>
        <w:t>direct</w:t>
      </w:r>
      <w:r>
        <w:rPr>
          <w:color w:val="231F20"/>
          <w:spacing w:val="-5"/>
          <w:w w:val="95"/>
        </w:rPr>
        <w:t xml:space="preserve"> </w:t>
      </w:r>
      <w:r>
        <w:rPr>
          <w:color w:val="231F20"/>
          <w:w w:val="95"/>
        </w:rPr>
        <w:t>ways</w:t>
      </w:r>
      <w:r>
        <w:rPr>
          <w:color w:val="231F20"/>
          <w:spacing w:val="-5"/>
          <w:w w:val="95"/>
        </w:rPr>
        <w:t xml:space="preserve"> </w:t>
      </w:r>
      <w:r>
        <w:rPr>
          <w:color w:val="231F20"/>
          <w:w w:val="95"/>
        </w:rPr>
        <w:t>of</w:t>
      </w:r>
      <w:r>
        <w:rPr>
          <w:color w:val="231F20"/>
          <w:spacing w:val="-5"/>
          <w:w w:val="95"/>
        </w:rPr>
        <w:t xml:space="preserve"> </w:t>
      </w:r>
      <w:r>
        <w:rPr>
          <w:color w:val="231F20"/>
          <w:w w:val="95"/>
        </w:rPr>
        <w:t>increasing</w:t>
      </w:r>
      <w:r>
        <w:rPr>
          <w:color w:val="231F20"/>
          <w:spacing w:val="-5"/>
          <w:w w:val="95"/>
        </w:rPr>
        <w:t xml:space="preserve"> </w:t>
      </w:r>
      <w:r>
        <w:rPr>
          <w:color w:val="231F20"/>
          <w:w w:val="95"/>
        </w:rPr>
        <w:t>visitation</w:t>
      </w:r>
      <w:r>
        <w:rPr>
          <w:color w:val="231F20"/>
          <w:spacing w:val="-5"/>
          <w:w w:val="95"/>
        </w:rPr>
        <w:t xml:space="preserve"> </w:t>
      </w:r>
      <w:r>
        <w:rPr>
          <w:color w:val="231F20"/>
          <w:w w:val="95"/>
        </w:rPr>
        <w:t>to</w:t>
      </w:r>
      <w:r>
        <w:rPr>
          <w:color w:val="231F20"/>
          <w:spacing w:val="-5"/>
          <w:w w:val="95"/>
        </w:rPr>
        <w:t xml:space="preserve"> </w:t>
      </w:r>
      <w:r>
        <w:rPr>
          <w:color w:val="231F20"/>
          <w:w w:val="95"/>
        </w:rPr>
        <w:t>a</w:t>
      </w:r>
      <w:r>
        <w:rPr>
          <w:color w:val="231F20"/>
          <w:spacing w:val="-5"/>
          <w:w w:val="95"/>
        </w:rPr>
        <w:t xml:space="preserve"> </w:t>
      </w:r>
      <w:r>
        <w:rPr>
          <w:color w:val="231F20"/>
          <w:w w:val="95"/>
        </w:rPr>
        <w:t>destination</w:t>
      </w:r>
      <w:r>
        <w:rPr>
          <w:color w:val="231F20"/>
          <w:spacing w:val="-5"/>
          <w:w w:val="95"/>
        </w:rPr>
        <w:t xml:space="preserve"> </w:t>
      </w:r>
      <w:r>
        <w:rPr>
          <w:color w:val="231F20"/>
          <w:w w:val="95"/>
        </w:rPr>
        <w:t>during</w:t>
      </w:r>
      <w:r>
        <w:rPr>
          <w:color w:val="231F20"/>
          <w:spacing w:val="-5"/>
          <w:w w:val="95"/>
        </w:rPr>
        <w:t xml:space="preserve"> </w:t>
      </w:r>
      <w:r>
        <w:rPr>
          <w:color w:val="231F20"/>
          <w:w w:val="95"/>
        </w:rPr>
        <w:t xml:space="preserve">these periods. Active sport tourism also represents an opportunity to consciously </w:t>
      </w:r>
      <w:r>
        <w:rPr>
          <w:color w:val="231F20"/>
        </w:rPr>
        <w:t>influence tourism seasonality in a destination. This is especially true for sport tourists who are highly</w:t>
      </w:r>
      <w:r>
        <w:rPr>
          <w:color w:val="231F20"/>
        </w:rPr>
        <w:t xml:space="preserve"> motivated members of sport subculture groups. Destinations should consider the resources that they have in their region during the tourism shoulder seasons that may be attractive to these groups. Destinations that offer a unique blend of attributes can </w:t>
      </w:r>
      <w:r>
        <w:rPr>
          <w:color w:val="231F20"/>
          <w:w w:val="95"/>
        </w:rPr>
        <w:t>ad</w:t>
      </w:r>
      <w:r>
        <w:rPr>
          <w:color w:val="231F20"/>
          <w:w w:val="95"/>
        </w:rPr>
        <w:t xml:space="preserve">opt a niche marketing strategy that effectively attracts a geographically </w:t>
      </w:r>
      <w:r>
        <w:rPr>
          <w:color w:val="231F20"/>
        </w:rPr>
        <w:t xml:space="preserve">dispersed but passionate group of visitors during non-peak times of the year. Finally, while nostalgia sport tourists have not been discussed in </w:t>
      </w:r>
      <w:r>
        <w:rPr>
          <w:color w:val="231F20"/>
          <w:w w:val="95"/>
        </w:rPr>
        <w:t>depth</w:t>
      </w:r>
      <w:r>
        <w:rPr>
          <w:color w:val="231F20"/>
          <w:spacing w:val="28"/>
        </w:rPr>
        <w:t xml:space="preserve"> </w:t>
      </w:r>
      <w:r>
        <w:rPr>
          <w:color w:val="231F20"/>
          <w:w w:val="95"/>
        </w:rPr>
        <w:t>in</w:t>
      </w:r>
      <w:r>
        <w:rPr>
          <w:color w:val="231F20"/>
          <w:spacing w:val="28"/>
        </w:rPr>
        <w:t xml:space="preserve"> </w:t>
      </w:r>
      <w:r>
        <w:rPr>
          <w:color w:val="231F20"/>
          <w:w w:val="95"/>
        </w:rPr>
        <w:t>the</w:t>
      </w:r>
      <w:r>
        <w:rPr>
          <w:color w:val="231F20"/>
          <w:spacing w:val="28"/>
        </w:rPr>
        <w:t xml:space="preserve"> </w:t>
      </w:r>
      <w:r>
        <w:rPr>
          <w:color w:val="231F20"/>
          <w:w w:val="95"/>
        </w:rPr>
        <w:t>chapter,</w:t>
      </w:r>
      <w:r>
        <w:rPr>
          <w:color w:val="231F20"/>
          <w:spacing w:val="28"/>
        </w:rPr>
        <w:t xml:space="preserve"> </w:t>
      </w:r>
      <w:r>
        <w:rPr>
          <w:color w:val="231F20"/>
          <w:w w:val="95"/>
        </w:rPr>
        <w:t>the</w:t>
      </w:r>
      <w:r>
        <w:rPr>
          <w:color w:val="231F20"/>
          <w:spacing w:val="28"/>
        </w:rPr>
        <w:t xml:space="preserve"> </w:t>
      </w:r>
      <w:r>
        <w:rPr>
          <w:color w:val="231F20"/>
          <w:w w:val="95"/>
        </w:rPr>
        <w:t>tourism</w:t>
      </w:r>
      <w:r>
        <w:rPr>
          <w:color w:val="231F20"/>
          <w:spacing w:val="28"/>
        </w:rPr>
        <w:t xml:space="preserve"> </w:t>
      </w:r>
      <w:r>
        <w:rPr>
          <w:color w:val="231F20"/>
          <w:w w:val="95"/>
        </w:rPr>
        <w:t>lit</w:t>
      </w:r>
      <w:r>
        <w:rPr>
          <w:color w:val="231F20"/>
          <w:w w:val="95"/>
        </w:rPr>
        <w:t>erature</w:t>
      </w:r>
      <w:r>
        <w:rPr>
          <w:color w:val="231F20"/>
          <w:spacing w:val="28"/>
        </w:rPr>
        <w:t xml:space="preserve"> </w:t>
      </w:r>
      <w:r>
        <w:rPr>
          <w:color w:val="231F20"/>
          <w:w w:val="95"/>
        </w:rPr>
        <w:t>on</w:t>
      </w:r>
      <w:r>
        <w:rPr>
          <w:color w:val="231F20"/>
          <w:spacing w:val="28"/>
        </w:rPr>
        <w:t xml:space="preserve"> </w:t>
      </w:r>
      <w:r>
        <w:rPr>
          <w:color w:val="231F20"/>
          <w:w w:val="95"/>
        </w:rPr>
        <w:t>seasonality</w:t>
      </w:r>
      <w:r>
        <w:rPr>
          <w:color w:val="231F20"/>
          <w:spacing w:val="28"/>
        </w:rPr>
        <w:t xml:space="preserve"> </w:t>
      </w:r>
      <w:r>
        <w:rPr>
          <w:color w:val="231F20"/>
          <w:w w:val="95"/>
        </w:rPr>
        <w:t>highlights</w:t>
      </w:r>
      <w:r>
        <w:rPr>
          <w:color w:val="231F20"/>
          <w:spacing w:val="28"/>
        </w:rPr>
        <w:t xml:space="preserve"> </w:t>
      </w:r>
      <w:r>
        <w:rPr>
          <w:color w:val="231F20"/>
          <w:w w:val="95"/>
        </w:rPr>
        <w:t>the</w:t>
      </w:r>
    </w:p>
    <w:p w14:paraId="35D7B730" w14:textId="77777777" w:rsidR="00AE0598" w:rsidRDefault="00AE0598">
      <w:pPr>
        <w:spacing w:line="232" w:lineRule="auto"/>
        <w:jc w:val="both"/>
        <w:sectPr w:rsidR="00AE0598">
          <w:pgSz w:w="8850" w:h="13270"/>
          <w:pgMar w:top="720" w:right="1060" w:bottom="280" w:left="1080" w:header="720" w:footer="720" w:gutter="0"/>
          <w:cols w:space="720"/>
        </w:sectPr>
      </w:pPr>
    </w:p>
    <w:p w14:paraId="2F9B8D65" w14:textId="77777777" w:rsidR="00AE0598" w:rsidRDefault="0069255A">
      <w:pPr>
        <w:spacing w:before="87"/>
        <w:ind w:left="108"/>
        <w:rPr>
          <w:rFonts w:ascii="Trebuchet MS"/>
          <w:sz w:val="14"/>
        </w:rPr>
      </w:pPr>
      <w:r>
        <w:rPr>
          <w:rFonts w:ascii="Trebuchet MS"/>
          <w:color w:val="231F20"/>
          <w:w w:val="105"/>
          <w:sz w:val="14"/>
        </w:rPr>
        <w:lastRenderedPageBreak/>
        <w:t>198</w:t>
      </w:r>
      <w:r>
        <w:rPr>
          <w:rFonts w:ascii="Trebuchet MS"/>
          <w:color w:val="231F20"/>
          <w:spacing w:val="66"/>
          <w:w w:val="150"/>
          <w:sz w:val="14"/>
        </w:rPr>
        <w:t xml:space="preserve"> </w:t>
      </w:r>
      <w:r>
        <w:rPr>
          <w:rFonts w:ascii="Trebuchet MS"/>
          <w:color w:val="231F20"/>
          <w:w w:val="105"/>
          <w:sz w:val="14"/>
        </w:rPr>
        <w:t>Part</w:t>
      </w:r>
      <w:r>
        <w:rPr>
          <w:rFonts w:ascii="Trebuchet MS"/>
          <w:color w:val="231F20"/>
          <w:spacing w:val="-9"/>
          <w:w w:val="105"/>
          <w:sz w:val="14"/>
        </w:rPr>
        <w:t xml:space="preserve"> </w:t>
      </w:r>
      <w:r>
        <w:rPr>
          <w:rFonts w:ascii="Trebuchet MS"/>
          <w:color w:val="231F20"/>
          <w:w w:val="105"/>
          <w:sz w:val="14"/>
        </w:rPr>
        <w:t>4:</w:t>
      </w:r>
      <w:r>
        <w:rPr>
          <w:rFonts w:ascii="Trebuchet MS"/>
          <w:color w:val="231F20"/>
          <w:spacing w:val="-8"/>
          <w:w w:val="105"/>
          <w:sz w:val="14"/>
        </w:rPr>
        <w:t xml:space="preserve"> </w:t>
      </w:r>
      <w:r>
        <w:rPr>
          <w:rFonts w:ascii="Trebuchet MS"/>
          <w:color w:val="231F20"/>
          <w:w w:val="105"/>
          <w:sz w:val="14"/>
        </w:rPr>
        <w:t>Sport</w:t>
      </w:r>
      <w:r>
        <w:rPr>
          <w:rFonts w:ascii="Trebuchet MS"/>
          <w:color w:val="231F20"/>
          <w:spacing w:val="-9"/>
          <w:w w:val="105"/>
          <w:sz w:val="14"/>
        </w:rPr>
        <w:t xml:space="preserve"> </w:t>
      </w:r>
      <w:r>
        <w:rPr>
          <w:rFonts w:ascii="Trebuchet MS"/>
          <w:color w:val="231F20"/>
          <w:w w:val="105"/>
          <w:sz w:val="14"/>
        </w:rPr>
        <w:t>Tourism</w:t>
      </w:r>
      <w:r>
        <w:rPr>
          <w:rFonts w:ascii="Trebuchet MS"/>
          <w:color w:val="231F20"/>
          <w:spacing w:val="-9"/>
          <w:w w:val="105"/>
          <w:sz w:val="14"/>
        </w:rPr>
        <w:t xml:space="preserve"> </w:t>
      </w:r>
      <w:r>
        <w:rPr>
          <w:rFonts w:ascii="Trebuchet MS"/>
          <w:color w:val="231F20"/>
          <w:w w:val="105"/>
          <w:sz w:val="14"/>
        </w:rPr>
        <w:t>Development</w:t>
      </w:r>
      <w:r>
        <w:rPr>
          <w:rFonts w:ascii="Trebuchet MS"/>
          <w:color w:val="231F20"/>
          <w:spacing w:val="-9"/>
          <w:w w:val="105"/>
          <w:sz w:val="14"/>
        </w:rPr>
        <w:t xml:space="preserve"> </w:t>
      </w:r>
      <w:r>
        <w:rPr>
          <w:rFonts w:ascii="Trebuchet MS"/>
          <w:color w:val="231F20"/>
          <w:w w:val="105"/>
          <w:sz w:val="14"/>
        </w:rPr>
        <w:t>and</w:t>
      </w:r>
      <w:r>
        <w:rPr>
          <w:rFonts w:ascii="Trebuchet MS"/>
          <w:color w:val="231F20"/>
          <w:spacing w:val="-8"/>
          <w:w w:val="105"/>
          <w:sz w:val="14"/>
        </w:rPr>
        <w:t xml:space="preserve"> </w:t>
      </w:r>
      <w:r>
        <w:rPr>
          <w:rFonts w:ascii="Trebuchet MS"/>
          <w:color w:val="231F20"/>
          <w:spacing w:val="-4"/>
          <w:w w:val="105"/>
          <w:sz w:val="14"/>
        </w:rPr>
        <w:t>Time</w:t>
      </w:r>
    </w:p>
    <w:p w14:paraId="7D8C372D" w14:textId="77777777" w:rsidR="00AE0598" w:rsidRDefault="00AE0598">
      <w:pPr>
        <w:pStyle w:val="Corpodetexto"/>
        <w:rPr>
          <w:rFonts w:ascii="Trebuchet MS"/>
          <w:sz w:val="16"/>
        </w:rPr>
      </w:pPr>
    </w:p>
    <w:p w14:paraId="072DB13D" w14:textId="77777777" w:rsidR="00AE0598" w:rsidRDefault="0069255A">
      <w:pPr>
        <w:pStyle w:val="Corpodetexto"/>
        <w:spacing w:before="118" w:line="232" w:lineRule="auto"/>
        <w:ind w:left="110" w:right="128"/>
        <w:jc w:val="both"/>
      </w:pPr>
      <w:r>
        <w:rPr>
          <w:color w:val="231F20"/>
        </w:rPr>
        <w:t>potential for museums and similar types of facilities to attract visitors outside</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summer</w:t>
      </w:r>
      <w:r>
        <w:rPr>
          <w:color w:val="231F20"/>
          <w:spacing w:val="-5"/>
        </w:rPr>
        <w:t xml:space="preserve"> </w:t>
      </w:r>
      <w:r>
        <w:rPr>
          <w:color w:val="231F20"/>
        </w:rPr>
        <w:t>months</w:t>
      </w:r>
      <w:r>
        <w:rPr>
          <w:color w:val="231F20"/>
          <w:spacing w:val="-5"/>
        </w:rPr>
        <w:t xml:space="preserve"> </w:t>
      </w:r>
      <w:r>
        <w:rPr>
          <w:color w:val="231F20"/>
        </w:rPr>
        <w:t>(Stevens,</w:t>
      </w:r>
      <w:r>
        <w:rPr>
          <w:color w:val="231F20"/>
          <w:spacing w:val="-5"/>
        </w:rPr>
        <w:t xml:space="preserve"> </w:t>
      </w:r>
      <w:r>
        <w:rPr>
          <w:color w:val="231F20"/>
        </w:rPr>
        <w:t>2001).</w:t>
      </w:r>
    </w:p>
    <w:p w14:paraId="7EF5163F" w14:textId="77777777" w:rsidR="00AE0598" w:rsidRDefault="0069255A">
      <w:pPr>
        <w:pStyle w:val="Corpodetexto"/>
        <w:spacing w:before="2" w:line="232" w:lineRule="auto"/>
        <w:ind w:left="110" w:right="125" w:firstLine="320"/>
        <w:jc w:val="both"/>
      </w:pPr>
      <w:r>
        <w:rPr>
          <w:color w:val="231F20"/>
        </w:rPr>
        <w:t>While tourism managers have long pursued the economic benefits</w:t>
      </w:r>
      <w:r>
        <w:rPr>
          <w:color w:val="231F20"/>
          <w:spacing w:val="80"/>
        </w:rPr>
        <w:t xml:space="preserve"> </w:t>
      </w:r>
      <w:r>
        <w:rPr>
          <w:color w:val="231F20"/>
        </w:rPr>
        <w:t>of modifying seasonality, sport managers are increasingly adopting a simi</w:t>
      </w:r>
      <w:r>
        <w:rPr>
          <w:color w:val="231F20"/>
        </w:rPr>
        <w:t>lar approach. There are financial benefits for sports that attract visiting participants at non-traditional times of the year. While some of these</w:t>
      </w:r>
      <w:r>
        <w:rPr>
          <w:color w:val="231F20"/>
          <w:spacing w:val="-6"/>
        </w:rPr>
        <w:t xml:space="preserve"> </w:t>
      </w:r>
      <w:r>
        <w:rPr>
          <w:color w:val="231F20"/>
        </w:rPr>
        <w:t>benefits</w:t>
      </w:r>
      <w:r>
        <w:rPr>
          <w:color w:val="231F20"/>
          <w:spacing w:val="-6"/>
        </w:rPr>
        <w:t xml:space="preserve"> </w:t>
      </w:r>
      <w:r>
        <w:rPr>
          <w:color w:val="231F20"/>
        </w:rPr>
        <w:t>may</w:t>
      </w:r>
      <w:r>
        <w:rPr>
          <w:color w:val="231F20"/>
          <w:spacing w:val="-6"/>
        </w:rPr>
        <w:t xml:space="preserve"> </w:t>
      </w:r>
      <w:r>
        <w:rPr>
          <w:color w:val="231F20"/>
        </w:rPr>
        <w:t>be</w:t>
      </w:r>
      <w:r>
        <w:rPr>
          <w:color w:val="231F20"/>
          <w:spacing w:val="-6"/>
        </w:rPr>
        <w:t xml:space="preserve"> </w:t>
      </w:r>
      <w:r>
        <w:rPr>
          <w:color w:val="231F20"/>
        </w:rPr>
        <w:t>collected</w:t>
      </w:r>
      <w:r>
        <w:rPr>
          <w:color w:val="231F20"/>
          <w:spacing w:val="-6"/>
        </w:rPr>
        <w:t xml:space="preserve"> </w:t>
      </w:r>
      <w:r>
        <w:rPr>
          <w:color w:val="231F20"/>
        </w:rPr>
        <w:t>directly</w:t>
      </w:r>
      <w:r>
        <w:rPr>
          <w:color w:val="231F20"/>
          <w:spacing w:val="-6"/>
        </w:rPr>
        <w:t xml:space="preserve"> </w:t>
      </w:r>
      <w:r>
        <w:rPr>
          <w:color w:val="231F20"/>
        </w:rPr>
        <w:t>at</w:t>
      </w:r>
      <w:r>
        <w:rPr>
          <w:color w:val="231F20"/>
          <w:spacing w:val="-6"/>
        </w:rPr>
        <w:t xml:space="preserve"> </w:t>
      </w:r>
      <w:r>
        <w:rPr>
          <w:color w:val="231F20"/>
        </w:rPr>
        <w:t>the</w:t>
      </w:r>
      <w:r>
        <w:rPr>
          <w:color w:val="231F20"/>
          <w:spacing w:val="-6"/>
        </w:rPr>
        <w:t xml:space="preserve"> </w:t>
      </w:r>
      <w:r>
        <w:rPr>
          <w:color w:val="231F20"/>
        </w:rPr>
        <w:t>gate</w:t>
      </w:r>
      <w:r>
        <w:rPr>
          <w:color w:val="231F20"/>
          <w:spacing w:val="-6"/>
        </w:rPr>
        <w:t xml:space="preserve"> </w:t>
      </w:r>
      <w:r>
        <w:rPr>
          <w:color w:val="231F20"/>
        </w:rPr>
        <w:t>of</w:t>
      </w:r>
      <w:r>
        <w:rPr>
          <w:color w:val="231F20"/>
          <w:spacing w:val="-6"/>
        </w:rPr>
        <w:t xml:space="preserve"> </w:t>
      </w:r>
      <w:r>
        <w:rPr>
          <w:color w:val="231F20"/>
        </w:rPr>
        <w:t>the</w:t>
      </w:r>
      <w:r>
        <w:rPr>
          <w:color w:val="231F20"/>
          <w:spacing w:val="-6"/>
        </w:rPr>
        <w:t xml:space="preserve"> </w:t>
      </w:r>
      <w:r>
        <w:rPr>
          <w:color w:val="231F20"/>
        </w:rPr>
        <w:t>sporting</w:t>
      </w:r>
      <w:r>
        <w:rPr>
          <w:color w:val="231F20"/>
          <w:spacing w:val="-6"/>
        </w:rPr>
        <w:t xml:space="preserve"> </w:t>
      </w:r>
      <w:r>
        <w:rPr>
          <w:color w:val="231F20"/>
        </w:rPr>
        <w:t>venue, others can be leveraged through the tou</w:t>
      </w:r>
      <w:r>
        <w:rPr>
          <w:color w:val="231F20"/>
        </w:rPr>
        <w:t>rism industry. For example, sport tourists travelling during the off-season are likely to enjoy lower rates</w:t>
      </w:r>
      <w:r>
        <w:rPr>
          <w:color w:val="231F20"/>
          <w:spacing w:val="-7"/>
        </w:rPr>
        <w:t xml:space="preserve"> </w:t>
      </w:r>
      <w:r>
        <w:rPr>
          <w:color w:val="231F20"/>
        </w:rPr>
        <w:t>for</w:t>
      </w:r>
      <w:r>
        <w:rPr>
          <w:color w:val="231F20"/>
          <w:spacing w:val="-7"/>
        </w:rPr>
        <w:t xml:space="preserve"> </w:t>
      </w:r>
      <w:r>
        <w:rPr>
          <w:color w:val="231F20"/>
        </w:rPr>
        <w:t>accommodation</w:t>
      </w:r>
      <w:r>
        <w:rPr>
          <w:color w:val="231F20"/>
          <w:spacing w:val="-7"/>
        </w:rPr>
        <w:t xml:space="preserve"> </w:t>
      </w:r>
      <w:r>
        <w:rPr>
          <w:color w:val="231F20"/>
        </w:rPr>
        <w:t>due</w:t>
      </w:r>
      <w:r>
        <w:rPr>
          <w:color w:val="231F20"/>
          <w:spacing w:val="-7"/>
        </w:rPr>
        <w:t xml:space="preserve"> </w:t>
      </w:r>
      <w:r>
        <w:rPr>
          <w:color w:val="231F20"/>
        </w:rPr>
        <w:t>to</w:t>
      </w:r>
      <w:r>
        <w:rPr>
          <w:color w:val="231F20"/>
          <w:spacing w:val="-7"/>
        </w:rPr>
        <w:t xml:space="preserve"> </w:t>
      </w:r>
      <w:r>
        <w:rPr>
          <w:color w:val="231F20"/>
        </w:rPr>
        <w:t>higher</w:t>
      </w:r>
      <w:r>
        <w:rPr>
          <w:color w:val="231F20"/>
          <w:spacing w:val="-7"/>
        </w:rPr>
        <w:t xml:space="preserve"> </w:t>
      </w:r>
      <w:r>
        <w:rPr>
          <w:color w:val="231F20"/>
        </w:rPr>
        <w:t>vacancy</w:t>
      </w:r>
      <w:r>
        <w:rPr>
          <w:color w:val="231F20"/>
          <w:spacing w:val="-7"/>
        </w:rPr>
        <w:t xml:space="preserve"> </w:t>
      </w:r>
      <w:r>
        <w:rPr>
          <w:color w:val="231F20"/>
        </w:rPr>
        <w:t>rates.</w:t>
      </w:r>
      <w:r>
        <w:rPr>
          <w:color w:val="231F20"/>
          <w:spacing w:val="-7"/>
        </w:rPr>
        <w:t xml:space="preserve"> </w:t>
      </w:r>
      <w:r>
        <w:rPr>
          <w:color w:val="231F20"/>
        </w:rPr>
        <w:t>These</w:t>
      </w:r>
      <w:r>
        <w:rPr>
          <w:color w:val="231F20"/>
          <w:spacing w:val="-7"/>
        </w:rPr>
        <w:t xml:space="preserve"> </w:t>
      </w:r>
      <w:r>
        <w:rPr>
          <w:color w:val="231F20"/>
        </w:rPr>
        <w:t>benefits</w:t>
      </w:r>
      <w:r>
        <w:rPr>
          <w:color w:val="231F20"/>
          <w:spacing w:val="-7"/>
        </w:rPr>
        <w:t xml:space="preserve"> </w:t>
      </w:r>
      <w:r>
        <w:rPr>
          <w:color w:val="231F20"/>
        </w:rPr>
        <w:t>can be maximised if collective action on the part of a particular sport can demonstrate</w:t>
      </w:r>
      <w:r>
        <w:rPr>
          <w:color w:val="231F20"/>
          <w:spacing w:val="-11"/>
        </w:rPr>
        <w:t xml:space="preserve"> </w:t>
      </w:r>
      <w:r>
        <w:rPr>
          <w:color w:val="231F20"/>
        </w:rPr>
        <w:t>that</w:t>
      </w:r>
      <w:r>
        <w:rPr>
          <w:color w:val="231F20"/>
          <w:spacing w:val="-11"/>
        </w:rPr>
        <w:t xml:space="preserve"> </w:t>
      </w:r>
      <w:r>
        <w:rPr>
          <w:color w:val="231F20"/>
        </w:rPr>
        <w:t>there</w:t>
      </w:r>
      <w:r>
        <w:rPr>
          <w:color w:val="231F20"/>
          <w:spacing w:val="-11"/>
        </w:rPr>
        <w:t xml:space="preserve"> </w:t>
      </w:r>
      <w:r>
        <w:rPr>
          <w:color w:val="231F20"/>
        </w:rPr>
        <w:t>are</w:t>
      </w:r>
      <w:r>
        <w:rPr>
          <w:color w:val="231F20"/>
          <w:spacing w:val="-11"/>
        </w:rPr>
        <w:t xml:space="preserve"> </w:t>
      </w:r>
      <w:r>
        <w:rPr>
          <w:color w:val="231F20"/>
        </w:rPr>
        <w:t>a</w:t>
      </w:r>
      <w:r>
        <w:rPr>
          <w:color w:val="231F20"/>
          <w:spacing w:val="-11"/>
        </w:rPr>
        <w:t xml:space="preserve"> </w:t>
      </w:r>
      <w:r>
        <w:rPr>
          <w:color w:val="231F20"/>
        </w:rPr>
        <w:t>substantial</w:t>
      </w:r>
      <w:r>
        <w:rPr>
          <w:color w:val="231F20"/>
          <w:spacing w:val="-11"/>
        </w:rPr>
        <w:t xml:space="preserve"> </w:t>
      </w:r>
      <w:r>
        <w:rPr>
          <w:color w:val="231F20"/>
        </w:rPr>
        <w:t>number</w:t>
      </w:r>
      <w:r>
        <w:rPr>
          <w:color w:val="231F20"/>
          <w:spacing w:val="-11"/>
        </w:rPr>
        <w:t xml:space="preserve"> </w:t>
      </w:r>
      <w:r>
        <w:rPr>
          <w:color w:val="231F20"/>
        </w:rPr>
        <w:t>of</w:t>
      </w:r>
      <w:r>
        <w:rPr>
          <w:color w:val="231F20"/>
          <w:spacing w:val="-11"/>
        </w:rPr>
        <w:t xml:space="preserve"> </w:t>
      </w:r>
      <w:r>
        <w:rPr>
          <w:color w:val="231F20"/>
        </w:rPr>
        <w:t>sport-related</w:t>
      </w:r>
      <w:r>
        <w:rPr>
          <w:color w:val="231F20"/>
          <w:spacing w:val="-11"/>
        </w:rPr>
        <w:t xml:space="preserve"> </w:t>
      </w:r>
      <w:r>
        <w:rPr>
          <w:color w:val="231F20"/>
        </w:rPr>
        <w:t xml:space="preserve">visitors </w:t>
      </w:r>
      <w:r>
        <w:rPr>
          <w:color w:val="231F20"/>
          <w:w w:val="95"/>
        </w:rPr>
        <w:t xml:space="preserve">arriving during this period. Group rates and adjoining travel packages can </w:t>
      </w:r>
      <w:r>
        <w:rPr>
          <w:color w:val="231F20"/>
        </w:rPr>
        <w:t>then be negotiated.</w:t>
      </w:r>
    </w:p>
    <w:p w14:paraId="1B636BB8" w14:textId="77777777" w:rsidR="00AE0598" w:rsidRDefault="0069255A">
      <w:pPr>
        <w:pStyle w:val="Corpodetexto"/>
        <w:spacing w:before="15" w:line="232" w:lineRule="auto"/>
        <w:ind w:left="110" w:right="126" w:firstLine="320"/>
        <w:jc w:val="both"/>
      </w:pPr>
      <w:r>
        <w:rPr>
          <w:color w:val="231F20"/>
        </w:rPr>
        <w:t>The positiv</w:t>
      </w:r>
      <w:r>
        <w:rPr>
          <w:color w:val="231F20"/>
        </w:rPr>
        <w:t>e side of tourism seasonality mentioned at the beginning of</w:t>
      </w:r>
      <w:r>
        <w:rPr>
          <w:color w:val="231F20"/>
          <w:spacing w:val="25"/>
        </w:rPr>
        <w:t xml:space="preserve"> </w:t>
      </w:r>
      <w:r>
        <w:rPr>
          <w:color w:val="231F20"/>
        </w:rPr>
        <w:t>this</w:t>
      </w:r>
      <w:r>
        <w:rPr>
          <w:color w:val="231F20"/>
          <w:spacing w:val="25"/>
        </w:rPr>
        <w:t xml:space="preserve"> </w:t>
      </w:r>
      <w:r>
        <w:rPr>
          <w:color w:val="231F20"/>
        </w:rPr>
        <w:t>chapter</w:t>
      </w:r>
      <w:r>
        <w:rPr>
          <w:color w:val="231F20"/>
          <w:spacing w:val="25"/>
        </w:rPr>
        <w:t xml:space="preserve"> </w:t>
      </w:r>
      <w:r>
        <w:rPr>
          <w:color w:val="231F20"/>
        </w:rPr>
        <w:t>should</w:t>
      </w:r>
      <w:r>
        <w:rPr>
          <w:color w:val="231F20"/>
          <w:spacing w:val="25"/>
        </w:rPr>
        <w:t xml:space="preserve"> </w:t>
      </w:r>
      <w:r>
        <w:rPr>
          <w:color w:val="231F20"/>
        </w:rPr>
        <w:t>not</w:t>
      </w:r>
      <w:r>
        <w:rPr>
          <w:color w:val="231F20"/>
          <w:spacing w:val="25"/>
        </w:rPr>
        <w:t xml:space="preserve"> </w:t>
      </w:r>
      <w:r>
        <w:rPr>
          <w:color w:val="231F20"/>
        </w:rPr>
        <w:t>be</w:t>
      </w:r>
      <w:r>
        <w:rPr>
          <w:color w:val="231F20"/>
          <w:spacing w:val="25"/>
        </w:rPr>
        <w:t xml:space="preserve"> </w:t>
      </w:r>
      <w:r>
        <w:rPr>
          <w:color w:val="231F20"/>
        </w:rPr>
        <w:t>lost</w:t>
      </w:r>
      <w:r>
        <w:rPr>
          <w:color w:val="231F20"/>
          <w:spacing w:val="25"/>
        </w:rPr>
        <w:t xml:space="preserve"> </w:t>
      </w:r>
      <w:r>
        <w:rPr>
          <w:color w:val="231F20"/>
        </w:rPr>
        <w:t>in</w:t>
      </w:r>
      <w:r>
        <w:rPr>
          <w:color w:val="231F20"/>
          <w:spacing w:val="25"/>
        </w:rPr>
        <w:t xml:space="preserve"> </w:t>
      </w:r>
      <w:r>
        <w:rPr>
          <w:color w:val="231F20"/>
        </w:rPr>
        <w:t>the</w:t>
      </w:r>
      <w:r>
        <w:rPr>
          <w:color w:val="231F20"/>
          <w:spacing w:val="25"/>
        </w:rPr>
        <w:t xml:space="preserve"> </w:t>
      </w:r>
      <w:r>
        <w:rPr>
          <w:color w:val="231F20"/>
        </w:rPr>
        <w:t>search</w:t>
      </w:r>
      <w:r>
        <w:rPr>
          <w:color w:val="231F20"/>
          <w:spacing w:val="25"/>
        </w:rPr>
        <w:t xml:space="preserve"> </w:t>
      </w:r>
      <w:r>
        <w:rPr>
          <w:color w:val="231F20"/>
        </w:rPr>
        <w:t>to</w:t>
      </w:r>
      <w:r>
        <w:rPr>
          <w:color w:val="231F20"/>
          <w:spacing w:val="25"/>
        </w:rPr>
        <w:t xml:space="preserve"> </w:t>
      </w:r>
      <w:r>
        <w:rPr>
          <w:color w:val="231F20"/>
        </w:rPr>
        <w:t>solve</w:t>
      </w:r>
      <w:r>
        <w:rPr>
          <w:color w:val="231F20"/>
          <w:spacing w:val="25"/>
        </w:rPr>
        <w:t xml:space="preserve"> </w:t>
      </w:r>
      <w:r>
        <w:rPr>
          <w:color w:val="231F20"/>
        </w:rPr>
        <w:t>the</w:t>
      </w:r>
      <w:r>
        <w:rPr>
          <w:color w:val="231F20"/>
          <w:spacing w:val="25"/>
        </w:rPr>
        <w:t xml:space="preserve"> </w:t>
      </w:r>
      <w:r>
        <w:rPr>
          <w:color w:val="231F20"/>
        </w:rPr>
        <w:t>‘problem’ of seasonality. Sport tourism destinations can benefit from a ‘fallow period’</w:t>
      </w:r>
      <w:r>
        <w:rPr>
          <w:color w:val="231F20"/>
          <w:spacing w:val="-4"/>
        </w:rPr>
        <w:t xml:space="preserve"> </w:t>
      </w:r>
      <w:r>
        <w:rPr>
          <w:color w:val="231F20"/>
        </w:rPr>
        <w:t>that</w:t>
      </w:r>
      <w:r>
        <w:rPr>
          <w:color w:val="231F20"/>
          <w:spacing w:val="-4"/>
        </w:rPr>
        <w:t xml:space="preserve"> </w:t>
      </w:r>
      <w:r>
        <w:rPr>
          <w:color w:val="231F20"/>
        </w:rPr>
        <w:t>allows</w:t>
      </w:r>
      <w:r>
        <w:rPr>
          <w:color w:val="231F20"/>
          <w:spacing w:val="-4"/>
        </w:rPr>
        <w:t xml:space="preserve"> </w:t>
      </w:r>
      <w:r>
        <w:rPr>
          <w:color w:val="231F20"/>
        </w:rPr>
        <w:t>for</w:t>
      </w:r>
      <w:r>
        <w:rPr>
          <w:color w:val="231F20"/>
          <w:spacing w:val="-4"/>
        </w:rPr>
        <w:t xml:space="preserve"> </w:t>
      </w:r>
      <w:r>
        <w:rPr>
          <w:color w:val="231F20"/>
        </w:rPr>
        <w:t>the</w:t>
      </w:r>
      <w:r>
        <w:rPr>
          <w:color w:val="231F20"/>
          <w:spacing w:val="-4"/>
        </w:rPr>
        <w:t xml:space="preserve"> </w:t>
      </w:r>
      <w:r>
        <w:rPr>
          <w:color w:val="231F20"/>
        </w:rPr>
        <w:t>regeneration</w:t>
      </w:r>
      <w:r>
        <w:rPr>
          <w:color w:val="231F20"/>
          <w:spacing w:val="-4"/>
        </w:rPr>
        <w:t xml:space="preserve"> </w:t>
      </w:r>
      <w:r>
        <w:rPr>
          <w:color w:val="231F20"/>
        </w:rPr>
        <w:t>of</w:t>
      </w:r>
      <w:r>
        <w:rPr>
          <w:color w:val="231F20"/>
          <w:spacing w:val="-4"/>
        </w:rPr>
        <w:t xml:space="preserve"> </w:t>
      </w:r>
      <w:r>
        <w:rPr>
          <w:color w:val="231F20"/>
        </w:rPr>
        <w:t>natural</w:t>
      </w:r>
      <w:r>
        <w:rPr>
          <w:color w:val="231F20"/>
          <w:spacing w:val="-4"/>
        </w:rPr>
        <w:t xml:space="preserve"> </w:t>
      </w:r>
      <w:r>
        <w:rPr>
          <w:color w:val="231F20"/>
        </w:rPr>
        <w:t>and</w:t>
      </w:r>
      <w:r>
        <w:rPr>
          <w:color w:val="231F20"/>
          <w:spacing w:val="-4"/>
        </w:rPr>
        <w:t xml:space="preserve"> </w:t>
      </w:r>
      <w:r>
        <w:rPr>
          <w:color w:val="231F20"/>
        </w:rPr>
        <w:t>human</w:t>
      </w:r>
      <w:r>
        <w:rPr>
          <w:color w:val="231F20"/>
          <w:spacing w:val="-4"/>
        </w:rPr>
        <w:t xml:space="preserve"> </w:t>
      </w:r>
      <w:r>
        <w:rPr>
          <w:color w:val="231F20"/>
        </w:rPr>
        <w:t xml:space="preserve">resources. </w:t>
      </w:r>
      <w:r>
        <w:rPr>
          <w:color w:val="231F20"/>
          <w:w w:val="95"/>
        </w:rPr>
        <w:t>Notwithstanding the tendency for many sport seasons to expand schedules to</w:t>
      </w:r>
      <w:r>
        <w:rPr>
          <w:color w:val="231F20"/>
          <w:spacing w:val="-8"/>
          <w:w w:val="95"/>
        </w:rPr>
        <w:t xml:space="preserve"> </w:t>
      </w:r>
      <w:r>
        <w:rPr>
          <w:color w:val="231F20"/>
          <w:w w:val="95"/>
        </w:rPr>
        <w:t>the</w:t>
      </w:r>
      <w:r>
        <w:rPr>
          <w:color w:val="231F20"/>
          <w:spacing w:val="-8"/>
          <w:w w:val="95"/>
        </w:rPr>
        <w:t xml:space="preserve"> </w:t>
      </w:r>
      <w:r>
        <w:rPr>
          <w:color w:val="231F20"/>
          <w:w w:val="95"/>
        </w:rPr>
        <w:t>point</w:t>
      </w:r>
      <w:r>
        <w:rPr>
          <w:color w:val="231F20"/>
          <w:spacing w:val="-8"/>
          <w:w w:val="95"/>
        </w:rPr>
        <w:t xml:space="preserve"> </w:t>
      </w:r>
      <w:r>
        <w:rPr>
          <w:color w:val="231F20"/>
          <w:w w:val="95"/>
        </w:rPr>
        <w:t>where</w:t>
      </w:r>
      <w:r>
        <w:rPr>
          <w:color w:val="231F20"/>
          <w:spacing w:val="-8"/>
          <w:w w:val="95"/>
        </w:rPr>
        <w:t xml:space="preserve"> </w:t>
      </w:r>
      <w:r>
        <w:rPr>
          <w:color w:val="231F20"/>
          <w:w w:val="95"/>
        </w:rPr>
        <w:t>they</w:t>
      </w:r>
      <w:r>
        <w:rPr>
          <w:color w:val="231F20"/>
          <w:spacing w:val="-8"/>
          <w:w w:val="95"/>
        </w:rPr>
        <w:t xml:space="preserve"> </w:t>
      </w:r>
      <w:r>
        <w:rPr>
          <w:color w:val="231F20"/>
          <w:w w:val="95"/>
        </w:rPr>
        <w:t>are</w:t>
      </w:r>
      <w:r>
        <w:rPr>
          <w:color w:val="231F20"/>
          <w:spacing w:val="-8"/>
          <w:w w:val="95"/>
        </w:rPr>
        <w:t xml:space="preserve"> </w:t>
      </w:r>
      <w:r>
        <w:rPr>
          <w:color w:val="231F20"/>
          <w:w w:val="95"/>
        </w:rPr>
        <w:t>almost</w:t>
      </w:r>
      <w:r>
        <w:rPr>
          <w:color w:val="231F20"/>
          <w:spacing w:val="-8"/>
          <w:w w:val="95"/>
        </w:rPr>
        <w:t xml:space="preserve"> </w:t>
      </w:r>
      <w:r>
        <w:rPr>
          <w:color w:val="231F20"/>
          <w:w w:val="95"/>
        </w:rPr>
        <w:t>year-round</w:t>
      </w:r>
      <w:r>
        <w:rPr>
          <w:color w:val="231F20"/>
          <w:spacing w:val="-8"/>
          <w:w w:val="95"/>
        </w:rPr>
        <w:t xml:space="preserve"> </w:t>
      </w:r>
      <w:r>
        <w:rPr>
          <w:color w:val="231F20"/>
          <w:w w:val="95"/>
        </w:rPr>
        <w:t>pursuits,</w:t>
      </w:r>
      <w:r>
        <w:rPr>
          <w:color w:val="231F20"/>
          <w:spacing w:val="-8"/>
          <w:w w:val="95"/>
        </w:rPr>
        <w:t xml:space="preserve"> </w:t>
      </w:r>
      <w:r>
        <w:rPr>
          <w:color w:val="231F20"/>
          <w:w w:val="95"/>
        </w:rPr>
        <w:t>there</w:t>
      </w:r>
      <w:r>
        <w:rPr>
          <w:color w:val="231F20"/>
          <w:spacing w:val="-8"/>
          <w:w w:val="95"/>
        </w:rPr>
        <w:t xml:space="preserve"> </w:t>
      </w:r>
      <w:r>
        <w:rPr>
          <w:color w:val="231F20"/>
          <w:w w:val="95"/>
        </w:rPr>
        <w:t>are</w:t>
      </w:r>
      <w:r>
        <w:rPr>
          <w:color w:val="231F20"/>
          <w:spacing w:val="-8"/>
          <w:w w:val="95"/>
        </w:rPr>
        <w:t xml:space="preserve"> </w:t>
      </w:r>
      <w:r>
        <w:rPr>
          <w:color w:val="231F20"/>
          <w:w w:val="95"/>
        </w:rPr>
        <w:t>downsides to this. Spectators and athletes may burn out if they do not have a chance to re-energise d</w:t>
      </w:r>
      <w:r>
        <w:rPr>
          <w:color w:val="231F20"/>
          <w:w w:val="95"/>
        </w:rPr>
        <w:t xml:space="preserve">uring an off-season. Sports offer their most powerful function </w:t>
      </w:r>
      <w:r>
        <w:rPr>
          <w:color w:val="231F20"/>
        </w:rPr>
        <w:t>as</w:t>
      </w:r>
      <w:r>
        <w:rPr>
          <w:color w:val="231F20"/>
          <w:spacing w:val="-5"/>
        </w:rPr>
        <w:t xml:space="preserve"> </w:t>
      </w:r>
      <w:r>
        <w:rPr>
          <w:color w:val="231F20"/>
        </w:rPr>
        <w:t>tourist</w:t>
      </w:r>
      <w:r>
        <w:rPr>
          <w:color w:val="231F20"/>
          <w:spacing w:val="-5"/>
        </w:rPr>
        <w:t xml:space="preserve"> </w:t>
      </w:r>
      <w:r>
        <w:rPr>
          <w:color w:val="231F20"/>
        </w:rPr>
        <w:t>attractions</w:t>
      </w:r>
      <w:r>
        <w:rPr>
          <w:color w:val="231F20"/>
          <w:spacing w:val="-5"/>
        </w:rPr>
        <w:t xml:space="preserve"> </w:t>
      </w:r>
      <w:r>
        <w:rPr>
          <w:color w:val="231F20"/>
        </w:rPr>
        <w:t>when</w:t>
      </w:r>
      <w:r>
        <w:rPr>
          <w:color w:val="231F20"/>
          <w:spacing w:val="-5"/>
        </w:rPr>
        <w:t xml:space="preserve"> </w:t>
      </w:r>
      <w:r>
        <w:rPr>
          <w:color w:val="231F20"/>
        </w:rPr>
        <w:t>the</w:t>
      </w:r>
      <w:r>
        <w:rPr>
          <w:color w:val="231F20"/>
          <w:spacing w:val="-5"/>
        </w:rPr>
        <w:t xml:space="preserve"> </w:t>
      </w:r>
      <w:r>
        <w:rPr>
          <w:color w:val="231F20"/>
        </w:rPr>
        <w:t>enthusiasm</w:t>
      </w:r>
      <w:r>
        <w:rPr>
          <w:color w:val="231F20"/>
          <w:spacing w:val="-5"/>
        </w:rPr>
        <w:t xml:space="preserve"> </w:t>
      </w:r>
      <w:r>
        <w:rPr>
          <w:color w:val="231F20"/>
        </w:rPr>
        <w:t>of</w:t>
      </w:r>
      <w:r>
        <w:rPr>
          <w:color w:val="231F20"/>
          <w:spacing w:val="-5"/>
        </w:rPr>
        <w:t xml:space="preserve"> </w:t>
      </w:r>
      <w:r>
        <w:rPr>
          <w:color w:val="231F20"/>
        </w:rPr>
        <w:t>participants</w:t>
      </w:r>
      <w:r>
        <w:rPr>
          <w:color w:val="231F20"/>
          <w:spacing w:val="-5"/>
        </w:rPr>
        <w:t xml:space="preserve"> </w:t>
      </w:r>
      <w:r>
        <w:rPr>
          <w:color w:val="231F20"/>
        </w:rPr>
        <w:t>is</w:t>
      </w:r>
      <w:r>
        <w:rPr>
          <w:color w:val="231F20"/>
          <w:spacing w:val="-5"/>
        </w:rPr>
        <w:t xml:space="preserve"> </w:t>
      </w:r>
      <w:r>
        <w:rPr>
          <w:color w:val="231F20"/>
        </w:rPr>
        <w:t>at</w:t>
      </w:r>
      <w:r>
        <w:rPr>
          <w:color w:val="231F20"/>
          <w:spacing w:val="-5"/>
        </w:rPr>
        <w:t xml:space="preserve"> </w:t>
      </w:r>
      <w:r>
        <w:rPr>
          <w:color w:val="231F20"/>
        </w:rPr>
        <w:t>its</w:t>
      </w:r>
      <w:r>
        <w:rPr>
          <w:color w:val="231F20"/>
          <w:spacing w:val="-5"/>
        </w:rPr>
        <w:t xml:space="preserve"> </w:t>
      </w:r>
      <w:r>
        <w:rPr>
          <w:color w:val="231F20"/>
        </w:rPr>
        <w:t>peak</w:t>
      </w:r>
      <w:r>
        <w:rPr>
          <w:color w:val="231F20"/>
          <w:spacing w:val="-5"/>
        </w:rPr>
        <w:t xml:space="preserve"> </w:t>
      </w:r>
      <w:r>
        <w:rPr>
          <w:color w:val="231F20"/>
        </w:rPr>
        <w:t xml:space="preserve">– </w:t>
      </w:r>
      <w:r>
        <w:rPr>
          <w:color w:val="231F20"/>
          <w:w w:val="95"/>
        </w:rPr>
        <w:t>yet this peak cannot be prolonged or sustained indefinitely. In the interest</w:t>
      </w:r>
      <w:r>
        <w:rPr>
          <w:color w:val="231F20"/>
          <w:spacing w:val="40"/>
        </w:rPr>
        <w:t xml:space="preserve"> </w:t>
      </w:r>
      <w:r>
        <w:rPr>
          <w:color w:val="231F20"/>
          <w:w w:val="95"/>
        </w:rPr>
        <w:t>of the sustainability of the sport, spor</w:t>
      </w:r>
      <w:r>
        <w:rPr>
          <w:color w:val="231F20"/>
          <w:w w:val="95"/>
        </w:rPr>
        <w:t xml:space="preserve">t tourism and the destinations where </w:t>
      </w:r>
      <w:r>
        <w:rPr>
          <w:color w:val="231F20"/>
        </w:rPr>
        <w:t>this</w:t>
      </w:r>
      <w:r>
        <w:rPr>
          <w:color w:val="231F20"/>
          <w:spacing w:val="-8"/>
        </w:rPr>
        <w:t xml:space="preserve"> </w:t>
      </w:r>
      <w:r>
        <w:rPr>
          <w:color w:val="231F20"/>
        </w:rPr>
        <w:t>activity</w:t>
      </w:r>
      <w:r>
        <w:rPr>
          <w:color w:val="231F20"/>
          <w:spacing w:val="-9"/>
        </w:rPr>
        <w:t xml:space="preserve"> </w:t>
      </w:r>
      <w:r>
        <w:rPr>
          <w:color w:val="231F20"/>
        </w:rPr>
        <w:t>takes</w:t>
      </w:r>
      <w:r>
        <w:rPr>
          <w:color w:val="231F20"/>
          <w:spacing w:val="-8"/>
        </w:rPr>
        <w:t xml:space="preserve"> </w:t>
      </w:r>
      <w:r>
        <w:rPr>
          <w:color w:val="231F20"/>
        </w:rPr>
        <w:t>place,</w:t>
      </w:r>
      <w:r>
        <w:rPr>
          <w:color w:val="231F20"/>
          <w:spacing w:val="-9"/>
        </w:rPr>
        <w:t xml:space="preserve"> </w:t>
      </w:r>
      <w:r>
        <w:rPr>
          <w:color w:val="231F20"/>
        </w:rPr>
        <w:t>it</w:t>
      </w:r>
      <w:r>
        <w:rPr>
          <w:color w:val="231F20"/>
          <w:spacing w:val="-8"/>
        </w:rPr>
        <w:t xml:space="preserve"> </w:t>
      </w:r>
      <w:r>
        <w:rPr>
          <w:color w:val="231F20"/>
        </w:rPr>
        <w:t>may</w:t>
      </w:r>
      <w:r>
        <w:rPr>
          <w:color w:val="231F20"/>
          <w:spacing w:val="-9"/>
        </w:rPr>
        <w:t xml:space="preserve"> </w:t>
      </w:r>
      <w:r>
        <w:rPr>
          <w:color w:val="231F20"/>
        </w:rPr>
        <w:t>be</w:t>
      </w:r>
      <w:r>
        <w:rPr>
          <w:color w:val="231F20"/>
          <w:spacing w:val="-8"/>
        </w:rPr>
        <w:t xml:space="preserve"> </w:t>
      </w:r>
      <w:r>
        <w:rPr>
          <w:color w:val="231F20"/>
        </w:rPr>
        <w:t>strategically</w:t>
      </w:r>
      <w:r>
        <w:rPr>
          <w:color w:val="231F20"/>
          <w:spacing w:val="-9"/>
        </w:rPr>
        <w:t xml:space="preserve"> </w:t>
      </w:r>
      <w:r>
        <w:rPr>
          <w:color w:val="231F20"/>
        </w:rPr>
        <w:t>prudent</w:t>
      </w:r>
      <w:r>
        <w:rPr>
          <w:color w:val="231F20"/>
          <w:spacing w:val="-8"/>
        </w:rPr>
        <w:t xml:space="preserve"> </w:t>
      </w:r>
      <w:r>
        <w:rPr>
          <w:color w:val="231F20"/>
        </w:rPr>
        <w:t>to</w:t>
      </w:r>
      <w:r>
        <w:rPr>
          <w:color w:val="231F20"/>
          <w:spacing w:val="-9"/>
        </w:rPr>
        <w:t xml:space="preserve"> </w:t>
      </w:r>
      <w:r>
        <w:rPr>
          <w:color w:val="231F20"/>
        </w:rPr>
        <w:t>maintain</w:t>
      </w:r>
      <w:r>
        <w:rPr>
          <w:color w:val="231F20"/>
          <w:spacing w:val="-8"/>
        </w:rPr>
        <w:t xml:space="preserve"> </w:t>
      </w:r>
      <w:r>
        <w:rPr>
          <w:color w:val="231F20"/>
        </w:rPr>
        <w:t>some form of seasonal variation over the course of a year.</w:t>
      </w:r>
    </w:p>
    <w:p w14:paraId="50283CFF" w14:textId="77777777" w:rsidR="00AE0598" w:rsidRDefault="00AE0598">
      <w:pPr>
        <w:spacing w:line="232" w:lineRule="auto"/>
        <w:jc w:val="both"/>
        <w:sectPr w:rsidR="00AE0598">
          <w:pgSz w:w="8850" w:h="13270"/>
          <w:pgMar w:top="720" w:right="1060" w:bottom="280" w:left="1080" w:header="720" w:footer="720" w:gutter="0"/>
          <w:cols w:space="720"/>
        </w:sectPr>
      </w:pPr>
    </w:p>
    <w:p w14:paraId="32B8E398" w14:textId="77777777" w:rsidR="00AE0598" w:rsidRDefault="0069255A">
      <w:pPr>
        <w:pStyle w:val="Ttulo1"/>
        <w:spacing w:line="252" w:lineRule="auto"/>
        <w:ind w:left="832" w:right="286" w:hanging="723"/>
      </w:pPr>
      <w:bookmarkStart w:id="18" w:name="_TOC_250003"/>
      <w:r>
        <w:rPr>
          <w:color w:val="231F20"/>
          <w:spacing w:val="-2"/>
          <w:w w:val="105"/>
        </w:rPr>
        <w:lastRenderedPageBreak/>
        <w:t>10</w:t>
      </w:r>
      <w:r>
        <w:rPr>
          <w:color w:val="231F20"/>
          <w:spacing w:val="5"/>
          <w:w w:val="105"/>
        </w:rPr>
        <w:t xml:space="preserve"> </w:t>
      </w:r>
      <w:r>
        <w:rPr>
          <w:color w:val="231F20"/>
          <w:spacing w:val="-2"/>
          <w:w w:val="105"/>
        </w:rPr>
        <w:t>Evolutionary</w:t>
      </w:r>
      <w:r>
        <w:rPr>
          <w:color w:val="231F20"/>
          <w:spacing w:val="-34"/>
          <w:w w:val="105"/>
        </w:rPr>
        <w:t xml:space="preserve"> </w:t>
      </w:r>
      <w:r>
        <w:rPr>
          <w:color w:val="231F20"/>
          <w:spacing w:val="-2"/>
          <w:w w:val="105"/>
        </w:rPr>
        <w:t>Trends</w:t>
      </w:r>
      <w:r>
        <w:rPr>
          <w:color w:val="231F20"/>
          <w:spacing w:val="-34"/>
          <w:w w:val="105"/>
        </w:rPr>
        <w:t xml:space="preserve"> </w:t>
      </w:r>
      <w:r>
        <w:rPr>
          <w:color w:val="231F20"/>
          <w:spacing w:val="-2"/>
          <w:w w:val="105"/>
        </w:rPr>
        <w:t xml:space="preserve">in </w:t>
      </w:r>
      <w:bookmarkEnd w:id="18"/>
      <w:r>
        <w:rPr>
          <w:color w:val="231F20"/>
          <w:w w:val="105"/>
        </w:rPr>
        <w:t>Sport Tourism</w:t>
      </w:r>
    </w:p>
    <w:p w14:paraId="7A0019B4" w14:textId="77777777" w:rsidR="00AE0598" w:rsidRDefault="00AE0598">
      <w:pPr>
        <w:pStyle w:val="Corpodetexto"/>
        <w:spacing w:before="2"/>
        <w:rPr>
          <w:rFonts w:ascii="Trebuchet MS"/>
          <w:sz w:val="78"/>
        </w:rPr>
      </w:pPr>
    </w:p>
    <w:p w14:paraId="70E70646" w14:textId="77777777" w:rsidR="00AE0598" w:rsidRDefault="0069255A">
      <w:pPr>
        <w:spacing w:line="228" w:lineRule="auto"/>
        <w:ind w:left="805" w:right="127" w:hanging="354"/>
        <w:jc w:val="right"/>
        <w:rPr>
          <w:i/>
          <w:sz w:val="18"/>
        </w:rPr>
      </w:pPr>
      <w:r>
        <w:rPr>
          <w:i/>
          <w:color w:val="231F20"/>
          <w:sz w:val="18"/>
        </w:rPr>
        <w:t>In some respects, it was tourists [to France] who thus passed on mountaineering</w:t>
      </w:r>
      <w:r>
        <w:rPr>
          <w:i/>
          <w:color w:val="231F20"/>
          <w:spacing w:val="40"/>
          <w:sz w:val="18"/>
        </w:rPr>
        <w:t xml:space="preserve"> </w:t>
      </w:r>
      <w:r>
        <w:rPr>
          <w:i/>
          <w:color w:val="231F20"/>
          <w:sz w:val="18"/>
        </w:rPr>
        <w:t>to sports enthusiasts in the 18th and 19th centuries, before the latter, the</w:t>
      </w:r>
      <w:r>
        <w:rPr>
          <w:i/>
          <w:color w:val="231F20"/>
          <w:spacing w:val="40"/>
          <w:sz w:val="18"/>
        </w:rPr>
        <w:t xml:space="preserve"> </w:t>
      </w:r>
      <w:r>
        <w:rPr>
          <w:i/>
          <w:color w:val="231F20"/>
          <w:sz w:val="18"/>
        </w:rPr>
        <w:t>mountaineers,</w:t>
      </w:r>
      <w:r>
        <w:rPr>
          <w:i/>
          <w:color w:val="231F20"/>
          <w:spacing w:val="8"/>
          <w:sz w:val="18"/>
        </w:rPr>
        <w:t xml:space="preserve"> </w:t>
      </w:r>
      <w:r>
        <w:rPr>
          <w:i/>
          <w:color w:val="231F20"/>
          <w:sz w:val="18"/>
        </w:rPr>
        <w:t>then</w:t>
      </w:r>
      <w:r>
        <w:rPr>
          <w:i/>
          <w:color w:val="231F20"/>
          <w:spacing w:val="9"/>
          <w:sz w:val="18"/>
        </w:rPr>
        <w:t xml:space="preserve"> </w:t>
      </w:r>
      <w:r>
        <w:rPr>
          <w:i/>
          <w:color w:val="231F20"/>
          <w:sz w:val="18"/>
        </w:rPr>
        <w:t>offered</w:t>
      </w:r>
      <w:r>
        <w:rPr>
          <w:i/>
          <w:color w:val="231F20"/>
          <w:spacing w:val="9"/>
          <w:sz w:val="18"/>
        </w:rPr>
        <w:t xml:space="preserve"> </w:t>
      </w:r>
      <w:r>
        <w:rPr>
          <w:i/>
          <w:color w:val="231F20"/>
          <w:sz w:val="18"/>
        </w:rPr>
        <w:t>tourist</w:t>
      </w:r>
      <w:r>
        <w:rPr>
          <w:i/>
          <w:color w:val="231F20"/>
          <w:spacing w:val="8"/>
          <w:sz w:val="18"/>
        </w:rPr>
        <w:t xml:space="preserve"> </w:t>
      </w:r>
      <w:r>
        <w:rPr>
          <w:i/>
          <w:color w:val="231F20"/>
          <w:sz w:val="18"/>
        </w:rPr>
        <w:t>skiing</w:t>
      </w:r>
      <w:r>
        <w:rPr>
          <w:i/>
          <w:color w:val="231F20"/>
          <w:spacing w:val="9"/>
          <w:sz w:val="18"/>
        </w:rPr>
        <w:t xml:space="preserve"> </w:t>
      </w:r>
      <w:r>
        <w:rPr>
          <w:i/>
          <w:color w:val="231F20"/>
          <w:sz w:val="18"/>
        </w:rPr>
        <w:t>in</w:t>
      </w:r>
      <w:r>
        <w:rPr>
          <w:i/>
          <w:color w:val="231F20"/>
          <w:spacing w:val="9"/>
          <w:sz w:val="18"/>
        </w:rPr>
        <w:t xml:space="preserve"> </w:t>
      </w:r>
      <w:r>
        <w:rPr>
          <w:i/>
          <w:color w:val="231F20"/>
          <w:sz w:val="18"/>
        </w:rPr>
        <w:t>return</w:t>
      </w:r>
      <w:r>
        <w:rPr>
          <w:i/>
          <w:color w:val="231F20"/>
          <w:spacing w:val="9"/>
          <w:sz w:val="18"/>
        </w:rPr>
        <w:t xml:space="preserve"> </w:t>
      </w:r>
      <w:r>
        <w:rPr>
          <w:i/>
          <w:color w:val="231F20"/>
          <w:sz w:val="18"/>
        </w:rPr>
        <w:t>during</w:t>
      </w:r>
      <w:r>
        <w:rPr>
          <w:i/>
          <w:color w:val="231F20"/>
          <w:spacing w:val="8"/>
          <w:sz w:val="18"/>
        </w:rPr>
        <w:t xml:space="preserve"> </w:t>
      </w:r>
      <w:r>
        <w:rPr>
          <w:i/>
          <w:color w:val="231F20"/>
          <w:sz w:val="18"/>
        </w:rPr>
        <w:t>the</w:t>
      </w:r>
      <w:r>
        <w:rPr>
          <w:i/>
          <w:color w:val="231F20"/>
          <w:spacing w:val="9"/>
          <w:sz w:val="18"/>
        </w:rPr>
        <w:t xml:space="preserve"> </w:t>
      </w:r>
      <w:r>
        <w:rPr>
          <w:i/>
          <w:color w:val="231F20"/>
          <w:sz w:val="18"/>
        </w:rPr>
        <w:t>20th</w:t>
      </w:r>
      <w:r>
        <w:rPr>
          <w:i/>
          <w:color w:val="231F20"/>
          <w:spacing w:val="9"/>
          <w:sz w:val="18"/>
        </w:rPr>
        <w:t xml:space="preserve"> </w:t>
      </w:r>
      <w:r>
        <w:rPr>
          <w:i/>
          <w:color w:val="231F20"/>
          <w:spacing w:val="-2"/>
          <w:sz w:val="18"/>
        </w:rPr>
        <w:t>century.</w:t>
      </w:r>
    </w:p>
    <w:p w14:paraId="69E89D3E" w14:textId="77777777" w:rsidR="00AE0598" w:rsidRDefault="0069255A">
      <w:pPr>
        <w:spacing w:line="201" w:lineRule="exact"/>
        <w:ind w:left="110" w:right="128"/>
        <w:jc w:val="right"/>
        <w:rPr>
          <w:sz w:val="18"/>
        </w:rPr>
      </w:pPr>
      <w:r>
        <w:rPr>
          <w:color w:val="231F20"/>
          <w:w w:val="95"/>
          <w:sz w:val="18"/>
        </w:rPr>
        <w:t>Bourdeau</w:t>
      </w:r>
      <w:r>
        <w:rPr>
          <w:color w:val="231F20"/>
          <w:spacing w:val="14"/>
          <w:sz w:val="18"/>
        </w:rPr>
        <w:t xml:space="preserve"> </w:t>
      </w:r>
      <w:r>
        <w:rPr>
          <w:i/>
          <w:color w:val="231F20"/>
          <w:w w:val="95"/>
          <w:sz w:val="18"/>
        </w:rPr>
        <w:t>et</w:t>
      </w:r>
      <w:r>
        <w:rPr>
          <w:i/>
          <w:color w:val="231F20"/>
          <w:spacing w:val="14"/>
          <w:sz w:val="18"/>
        </w:rPr>
        <w:t xml:space="preserve"> </w:t>
      </w:r>
      <w:r>
        <w:rPr>
          <w:i/>
          <w:color w:val="231F20"/>
          <w:w w:val="95"/>
          <w:sz w:val="18"/>
        </w:rPr>
        <w:t>al</w:t>
      </w:r>
      <w:r>
        <w:rPr>
          <w:color w:val="231F20"/>
          <w:w w:val="95"/>
          <w:sz w:val="18"/>
        </w:rPr>
        <w:t>.,</w:t>
      </w:r>
      <w:r>
        <w:rPr>
          <w:color w:val="231F20"/>
          <w:spacing w:val="15"/>
          <w:sz w:val="18"/>
        </w:rPr>
        <w:t xml:space="preserve"> </w:t>
      </w:r>
      <w:r>
        <w:rPr>
          <w:color w:val="231F20"/>
          <w:w w:val="95"/>
          <w:sz w:val="18"/>
        </w:rPr>
        <w:t>2002:</w:t>
      </w:r>
      <w:r>
        <w:rPr>
          <w:color w:val="231F20"/>
          <w:spacing w:val="14"/>
          <w:sz w:val="18"/>
        </w:rPr>
        <w:t xml:space="preserve"> </w:t>
      </w:r>
      <w:r>
        <w:rPr>
          <w:color w:val="231F20"/>
          <w:spacing w:val="-5"/>
          <w:w w:val="95"/>
          <w:sz w:val="18"/>
        </w:rPr>
        <w:t>23</w:t>
      </w:r>
    </w:p>
    <w:p w14:paraId="1BE5506E" w14:textId="77777777" w:rsidR="00AE0598" w:rsidRDefault="00AE0598">
      <w:pPr>
        <w:pStyle w:val="Corpodetexto"/>
        <w:spacing w:before="11"/>
        <w:rPr>
          <w:sz w:val="24"/>
        </w:rPr>
      </w:pPr>
    </w:p>
    <w:p w14:paraId="474B5DEF" w14:textId="77777777" w:rsidR="00AE0598" w:rsidRDefault="0069255A">
      <w:pPr>
        <w:ind w:left="110"/>
        <w:rPr>
          <w:rFonts w:ascii="Trebuchet MS"/>
          <w:b/>
          <w:sz w:val="20"/>
        </w:rPr>
      </w:pPr>
      <w:r>
        <w:rPr>
          <w:rFonts w:ascii="Trebuchet MS"/>
          <w:b/>
          <w:color w:val="231F20"/>
          <w:spacing w:val="-2"/>
          <w:sz w:val="20"/>
        </w:rPr>
        <w:t>Introduction</w:t>
      </w:r>
    </w:p>
    <w:p w14:paraId="315F68BA" w14:textId="77777777" w:rsidR="00AE0598" w:rsidRDefault="0069255A">
      <w:pPr>
        <w:pStyle w:val="Corpodetexto"/>
        <w:spacing w:before="122" w:line="232" w:lineRule="auto"/>
        <w:ind w:left="110" w:right="127" w:firstLine="320"/>
        <w:jc w:val="both"/>
      </w:pPr>
      <w:r>
        <w:rPr>
          <w:color w:val="231F20"/>
          <w:w w:val="95"/>
        </w:rPr>
        <w:t>This</w:t>
      </w:r>
      <w:r>
        <w:rPr>
          <w:color w:val="231F20"/>
          <w:spacing w:val="-7"/>
          <w:w w:val="95"/>
        </w:rPr>
        <w:t xml:space="preserve"> </w:t>
      </w:r>
      <w:r>
        <w:rPr>
          <w:color w:val="231F20"/>
          <w:w w:val="95"/>
        </w:rPr>
        <w:t>chapter</w:t>
      </w:r>
      <w:r>
        <w:rPr>
          <w:color w:val="231F20"/>
          <w:spacing w:val="-7"/>
          <w:w w:val="95"/>
        </w:rPr>
        <w:t xml:space="preserve"> </w:t>
      </w:r>
      <w:r>
        <w:rPr>
          <w:color w:val="231F20"/>
          <w:w w:val="95"/>
        </w:rPr>
        <w:t>examines</w:t>
      </w:r>
      <w:r>
        <w:rPr>
          <w:color w:val="231F20"/>
          <w:spacing w:val="-7"/>
          <w:w w:val="95"/>
        </w:rPr>
        <w:t xml:space="preserve"> </w:t>
      </w:r>
      <w:r>
        <w:rPr>
          <w:color w:val="231F20"/>
          <w:w w:val="95"/>
        </w:rPr>
        <w:t>the</w:t>
      </w:r>
      <w:r>
        <w:rPr>
          <w:color w:val="231F20"/>
          <w:spacing w:val="-7"/>
          <w:w w:val="95"/>
        </w:rPr>
        <w:t xml:space="preserve"> </w:t>
      </w:r>
      <w:r>
        <w:rPr>
          <w:color w:val="231F20"/>
          <w:w w:val="95"/>
        </w:rPr>
        <w:t>dynamics</w:t>
      </w:r>
      <w:r>
        <w:rPr>
          <w:color w:val="231F20"/>
          <w:spacing w:val="-7"/>
          <w:w w:val="95"/>
        </w:rPr>
        <w:t xml:space="preserve"> </w:t>
      </w:r>
      <w:r>
        <w:rPr>
          <w:color w:val="231F20"/>
          <w:w w:val="95"/>
        </w:rPr>
        <w:t>of</w:t>
      </w:r>
      <w:r>
        <w:rPr>
          <w:color w:val="231F20"/>
          <w:spacing w:val="-7"/>
          <w:w w:val="95"/>
        </w:rPr>
        <w:t xml:space="preserve"> </w:t>
      </w:r>
      <w:r>
        <w:rPr>
          <w:color w:val="231F20"/>
          <w:w w:val="95"/>
        </w:rPr>
        <w:t>sport</w:t>
      </w:r>
      <w:r>
        <w:rPr>
          <w:color w:val="231F20"/>
          <w:spacing w:val="-7"/>
          <w:w w:val="95"/>
        </w:rPr>
        <w:t xml:space="preserve"> </w:t>
      </w:r>
      <w:r>
        <w:rPr>
          <w:color w:val="231F20"/>
          <w:w w:val="95"/>
        </w:rPr>
        <w:t>tourism</w:t>
      </w:r>
      <w:r>
        <w:rPr>
          <w:color w:val="231F20"/>
          <w:spacing w:val="-7"/>
          <w:w w:val="95"/>
        </w:rPr>
        <w:t xml:space="preserve"> </w:t>
      </w:r>
      <w:r>
        <w:rPr>
          <w:color w:val="231F20"/>
          <w:w w:val="95"/>
        </w:rPr>
        <w:t>over</w:t>
      </w:r>
      <w:r>
        <w:rPr>
          <w:color w:val="231F20"/>
          <w:spacing w:val="-7"/>
          <w:w w:val="95"/>
        </w:rPr>
        <w:t xml:space="preserve"> </w:t>
      </w:r>
      <w:r>
        <w:rPr>
          <w:color w:val="231F20"/>
          <w:w w:val="95"/>
        </w:rPr>
        <w:t>the</w:t>
      </w:r>
      <w:r>
        <w:rPr>
          <w:color w:val="231F20"/>
          <w:spacing w:val="-7"/>
          <w:w w:val="95"/>
        </w:rPr>
        <w:t xml:space="preserve"> </w:t>
      </w:r>
      <w:r>
        <w:rPr>
          <w:color w:val="231F20"/>
          <w:w w:val="95"/>
        </w:rPr>
        <w:t>long</w:t>
      </w:r>
      <w:r>
        <w:rPr>
          <w:color w:val="231F20"/>
          <w:spacing w:val="-7"/>
          <w:w w:val="95"/>
        </w:rPr>
        <w:t xml:space="preserve"> </w:t>
      </w:r>
      <w:r>
        <w:rPr>
          <w:color w:val="231F20"/>
          <w:w w:val="95"/>
        </w:rPr>
        <w:t xml:space="preserve">term. It opens with a discussion of tourism and sport life cycles. Adam Doering’s case study of the evolution of surfing and its implications on travel patterns </w:t>
      </w:r>
      <w:r>
        <w:rPr>
          <w:color w:val="231F20"/>
        </w:rPr>
        <w:t>highli</w:t>
      </w:r>
      <w:r>
        <w:rPr>
          <w:color w:val="231F20"/>
        </w:rPr>
        <w:t>ghts the interrelationship of these life cycles (Case Study 10.1). Next,</w:t>
      </w:r>
      <w:r>
        <w:rPr>
          <w:color w:val="231F20"/>
          <w:spacing w:val="-12"/>
        </w:rPr>
        <w:t xml:space="preserve"> </w:t>
      </w:r>
      <w:r>
        <w:rPr>
          <w:color w:val="231F20"/>
        </w:rPr>
        <w:t>we</w:t>
      </w:r>
      <w:r>
        <w:rPr>
          <w:color w:val="231F20"/>
          <w:spacing w:val="-12"/>
        </w:rPr>
        <w:t xml:space="preserve"> </w:t>
      </w:r>
      <w:r>
        <w:rPr>
          <w:color w:val="231F20"/>
        </w:rPr>
        <w:t>consider</w:t>
      </w:r>
      <w:r>
        <w:rPr>
          <w:color w:val="231F20"/>
          <w:spacing w:val="-11"/>
        </w:rPr>
        <w:t xml:space="preserve"> </w:t>
      </w:r>
      <w:r>
        <w:rPr>
          <w:color w:val="231F20"/>
        </w:rPr>
        <w:t>heritage-based</w:t>
      </w:r>
      <w:r>
        <w:rPr>
          <w:color w:val="231F20"/>
          <w:spacing w:val="-12"/>
        </w:rPr>
        <w:t xml:space="preserve"> </w:t>
      </w:r>
      <w:r>
        <w:rPr>
          <w:color w:val="231F20"/>
        </w:rPr>
        <w:t>sport</w:t>
      </w:r>
      <w:r>
        <w:rPr>
          <w:color w:val="231F20"/>
          <w:spacing w:val="-11"/>
        </w:rPr>
        <w:t xml:space="preserve"> </w:t>
      </w:r>
      <w:r>
        <w:rPr>
          <w:color w:val="231F20"/>
        </w:rPr>
        <w:t>travel,</w:t>
      </w:r>
      <w:r>
        <w:rPr>
          <w:color w:val="231F20"/>
          <w:spacing w:val="-12"/>
        </w:rPr>
        <w:t xml:space="preserve"> </w:t>
      </w:r>
      <w:r>
        <w:rPr>
          <w:color w:val="231F20"/>
        </w:rPr>
        <w:t>which</w:t>
      </w:r>
      <w:r>
        <w:rPr>
          <w:color w:val="231F20"/>
          <w:spacing w:val="-11"/>
        </w:rPr>
        <w:t xml:space="preserve"> </w:t>
      </w:r>
      <w:r>
        <w:rPr>
          <w:color w:val="231F20"/>
        </w:rPr>
        <w:t>represents</w:t>
      </w:r>
      <w:r>
        <w:rPr>
          <w:color w:val="231F20"/>
          <w:spacing w:val="-12"/>
        </w:rPr>
        <w:t xml:space="preserve"> </w:t>
      </w:r>
      <w:r>
        <w:rPr>
          <w:color w:val="231F20"/>
        </w:rPr>
        <w:t>a</w:t>
      </w:r>
      <w:r>
        <w:rPr>
          <w:color w:val="231F20"/>
          <w:spacing w:val="-12"/>
        </w:rPr>
        <w:t xml:space="preserve"> </w:t>
      </w:r>
      <w:r>
        <w:rPr>
          <w:color w:val="231F20"/>
        </w:rPr>
        <w:t xml:space="preserve">special </w:t>
      </w:r>
      <w:r>
        <w:rPr>
          <w:color w:val="231F20"/>
          <w:w w:val="95"/>
        </w:rPr>
        <w:t>type of interaction in which sport heritage and nostalgia serve as a tourist attraction. Examples include travel to visit sport halls of fame, sites of past sporting</w:t>
      </w:r>
      <w:r>
        <w:rPr>
          <w:color w:val="231F20"/>
          <w:spacing w:val="-1"/>
          <w:w w:val="95"/>
        </w:rPr>
        <w:t xml:space="preserve"> </w:t>
      </w:r>
      <w:r>
        <w:rPr>
          <w:color w:val="231F20"/>
          <w:w w:val="95"/>
        </w:rPr>
        <w:t>events</w:t>
      </w:r>
      <w:r>
        <w:rPr>
          <w:color w:val="231F20"/>
          <w:spacing w:val="-1"/>
          <w:w w:val="95"/>
        </w:rPr>
        <w:t xml:space="preserve"> </w:t>
      </w:r>
      <w:r>
        <w:rPr>
          <w:color w:val="231F20"/>
          <w:w w:val="95"/>
        </w:rPr>
        <w:t>and</w:t>
      </w:r>
      <w:r>
        <w:rPr>
          <w:color w:val="231F20"/>
          <w:spacing w:val="-1"/>
          <w:w w:val="95"/>
        </w:rPr>
        <w:t xml:space="preserve"> </w:t>
      </w:r>
      <w:r>
        <w:rPr>
          <w:color w:val="231F20"/>
          <w:w w:val="95"/>
        </w:rPr>
        <w:t>imagined</w:t>
      </w:r>
      <w:r>
        <w:rPr>
          <w:color w:val="231F20"/>
          <w:spacing w:val="-1"/>
          <w:w w:val="95"/>
        </w:rPr>
        <w:t xml:space="preserve"> </w:t>
      </w:r>
      <w:r>
        <w:rPr>
          <w:color w:val="231F20"/>
          <w:w w:val="95"/>
        </w:rPr>
        <w:t>pasts</w:t>
      </w:r>
      <w:r>
        <w:rPr>
          <w:color w:val="231F20"/>
          <w:spacing w:val="-1"/>
          <w:w w:val="95"/>
        </w:rPr>
        <w:t xml:space="preserve"> </w:t>
      </w:r>
      <w:r>
        <w:rPr>
          <w:color w:val="231F20"/>
          <w:w w:val="95"/>
        </w:rPr>
        <w:t>played</w:t>
      </w:r>
      <w:r>
        <w:rPr>
          <w:color w:val="231F20"/>
          <w:spacing w:val="-1"/>
          <w:w w:val="95"/>
        </w:rPr>
        <w:t xml:space="preserve"> </w:t>
      </w:r>
      <w:r>
        <w:rPr>
          <w:color w:val="231F20"/>
          <w:w w:val="95"/>
        </w:rPr>
        <w:t>out</w:t>
      </w:r>
      <w:r>
        <w:rPr>
          <w:color w:val="231F20"/>
          <w:spacing w:val="-1"/>
          <w:w w:val="95"/>
        </w:rPr>
        <w:t xml:space="preserve"> </w:t>
      </w:r>
      <w:r>
        <w:rPr>
          <w:color w:val="231F20"/>
          <w:w w:val="95"/>
        </w:rPr>
        <w:t>through</w:t>
      </w:r>
      <w:r>
        <w:rPr>
          <w:color w:val="231F20"/>
          <w:spacing w:val="-1"/>
          <w:w w:val="95"/>
        </w:rPr>
        <w:t xml:space="preserve"> </w:t>
      </w:r>
      <w:r>
        <w:rPr>
          <w:color w:val="231F20"/>
          <w:w w:val="95"/>
        </w:rPr>
        <w:t>fantasy</w:t>
      </w:r>
      <w:r>
        <w:rPr>
          <w:color w:val="231F20"/>
          <w:spacing w:val="-1"/>
          <w:w w:val="95"/>
        </w:rPr>
        <w:t xml:space="preserve"> </w:t>
      </w:r>
      <w:r>
        <w:rPr>
          <w:color w:val="231F20"/>
          <w:w w:val="95"/>
        </w:rPr>
        <w:t>sport</w:t>
      </w:r>
      <w:r>
        <w:rPr>
          <w:color w:val="231F20"/>
          <w:spacing w:val="-1"/>
          <w:w w:val="95"/>
        </w:rPr>
        <w:t xml:space="preserve"> </w:t>
      </w:r>
      <w:r>
        <w:rPr>
          <w:color w:val="231F20"/>
          <w:w w:val="95"/>
        </w:rPr>
        <w:t>camps and programmes. Neither t</w:t>
      </w:r>
      <w:r>
        <w:rPr>
          <w:color w:val="231F20"/>
          <w:w w:val="95"/>
        </w:rPr>
        <w:t>he interaction between life cycles nor heritage sport</w:t>
      </w:r>
      <w:r>
        <w:rPr>
          <w:color w:val="231F20"/>
          <w:spacing w:val="-4"/>
          <w:w w:val="95"/>
        </w:rPr>
        <w:t xml:space="preserve"> </w:t>
      </w:r>
      <w:r>
        <w:rPr>
          <w:color w:val="231F20"/>
          <w:w w:val="95"/>
        </w:rPr>
        <w:t>tourism</w:t>
      </w:r>
      <w:r>
        <w:rPr>
          <w:color w:val="231F20"/>
          <w:spacing w:val="-4"/>
          <w:w w:val="95"/>
        </w:rPr>
        <w:t xml:space="preserve"> </w:t>
      </w:r>
      <w:r>
        <w:rPr>
          <w:color w:val="231F20"/>
          <w:w w:val="95"/>
        </w:rPr>
        <w:t>occurs</w:t>
      </w:r>
      <w:r>
        <w:rPr>
          <w:color w:val="231F20"/>
          <w:spacing w:val="-4"/>
          <w:w w:val="95"/>
        </w:rPr>
        <w:t xml:space="preserve"> </w:t>
      </w:r>
      <w:r>
        <w:rPr>
          <w:color w:val="231F20"/>
          <w:w w:val="95"/>
        </w:rPr>
        <w:t>independently</w:t>
      </w:r>
      <w:r>
        <w:rPr>
          <w:color w:val="231F20"/>
          <w:spacing w:val="-4"/>
          <w:w w:val="95"/>
        </w:rPr>
        <w:t xml:space="preserve"> </w:t>
      </w:r>
      <w:r>
        <w:rPr>
          <w:color w:val="231F20"/>
          <w:w w:val="95"/>
        </w:rPr>
        <w:t>of</w:t>
      </w:r>
      <w:r>
        <w:rPr>
          <w:color w:val="231F20"/>
          <w:spacing w:val="-4"/>
          <w:w w:val="95"/>
        </w:rPr>
        <w:t xml:space="preserve"> </w:t>
      </w:r>
      <w:r>
        <w:rPr>
          <w:color w:val="231F20"/>
          <w:w w:val="95"/>
        </w:rPr>
        <w:t>other</w:t>
      </w:r>
      <w:r>
        <w:rPr>
          <w:color w:val="231F20"/>
          <w:spacing w:val="-4"/>
          <w:w w:val="95"/>
        </w:rPr>
        <w:t xml:space="preserve"> </w:t>
      </w:r>
      <w:r>
        <w:rPr>
          <w:color w:val="231F20"/>
          <w:w w:val="95"/>
        </w:rPr>
        <w:t>forces</w:t>
      </w:r>
      <w:r>
        <w:rPr>
          <w:color w:val="231F20"/>
          <w:spacing w:val="-4"/>
          <w:w w:val="95"/>
        </w:rPr>
        <w:t xml:space="preserve"> </w:t>
      </w:r>
      <w:r>
        <w:rPr>
          <w:color w:val="231F20"/>
          <w:w w:val="95"/>
        </w:rPr>
        <w:t>operating</w:t>
      </w:r>
      <w:r>
        <w:rPr>
          <w:color w:val="231F20"/>
          <w:spacing w:val="-4"/>
          <w:w w:val="95"/>
        </w:rPr>
        <w:t xml:space="preserve"> </w:t>
      </w:r>
      <w:r>
        <w:rPr>
          <w:color w:val="231F20"/>
          <w:w w:val="95"/>
        </w:rPr>
        <w:t>in</w:t>
      </w:r>
      <w:r>
        <w:rPr>
          <w:color w:val="231F20"/>
          <w:spacing w:val="-4"/>
          <w:w w:val="95"/>
        </w:rPr>
        <w:t xml:space="preserve"> </w:t>
      </w:r>
      <w:r>
        <w:rPr>
          <w:color w:val="231F20"/>
          <w:w w:val="95"/>
        </w:rPr>
        <w:t>the</w:t>
      </w:r>
      <w:r>
        <w:rPr>
          <w:color w:val="231F20"/>
          <w:spacing w:val="-4"/>
          <w:w w:val="95"/>
        </w:rPr>
        <w:t xml:space="preserve"> </w:t>
      </w:r>
      <w:r>
        <w:rPr>
          <w:color w:val="231F20"/>
          <w:w w:val="95"/>
        </w:rPr>
        <w:t>broader environment.</w:t>
      </w:r>
      <w:r>
        <w:rPr>
          <w:color w:val="231F20"/>
          <w:spacing w:val="-2"/>
          <w:w w:val="95"/>
        </w:rPr>
        <w:t xml:space="preserve"> </w:t>
      </w:r>
      <w:r>
        <w:rPr>
          <w:color w:val="231F20"/>
          <w:w w:val="95"/>
        </w:rPr>
        <w:t>The</w:t>
      </w:r>
      <w:r>
        <w:rPr>
          <w:color w:val="231F20"/>
          <w:spacing w:val="-2"/>
          <w:w w:val="95"/>
        </w:rPr>
        <w:t xml:space="preserve"> </w:t>
      </w:r>
      <w:r>
        <w:rPr>
          <w:color w:val="231F20"/>
          <w:w w:val="95"/>
        </w:rPr>
        <w:t>chapter</w:t>
      </w:r>
      <w:r>
        <w:rPr>
          <w:color w:val="231F20"/>
          <w:spacing w:val="-2"/>
          <w:w w:val="95"/>
        </w:rPr>
        <w:t xml:space="preserve"> </w:t>
      </w:r>
      <w:r>
        <w:rPr>
          <w:color w:val="231F20"/>
          <w:w w:val="95"/>
        </w:rPr>
        <w:t>therefore</w:t>
      </w:r>
      <w:r>
        <w:rPr>
          <w:color w:val="231F20"/>
          <w:spacing w:val="-2"/>
          <w:w w:val="95"/>
        </w:rPr>
        <w:t xml:space="preserve"> </w:t>
      </w:r>
      <w:r>
        <w:rPr>
          <w:color w:val="231F20"/>
          <w:w w:val="95"/>
        </w:rPr>
        <w:t>closes</w:t>
      </w:r>
      <w:r>
        <w:rPr>
          <w:color w:val="231F20"/>
          <w:spacing w:val="-2"/>
          <w:w w:val="95"/>
        </w:rPr>
        <w:t xml:space="preserve"> </w:t>
      </w:r>
      <w:r>
        <w:rPr>
          <w:color w:val="231F20"/>
          <w:w w:val="95"/>
        </w:rPr>
        <w:t>with</w:t>
      </w:r>
      <w:r>
        <w:rPr>
          <w:color w:val="231F20"/>
          <w:spacing w:val="-2"/>
          <w:w w:val="95"/>
        </w:rPr>
        <w:t xml:space="preserve"> </w:t>
      </w:r>
      <w:r>
        <w:rPr>
          <w:color w:val="231F20"/>
          <w:w w:val="95"/>
        </w:rPr>
        <w:t>a</w:t>
      </w:r>
      <w:r>
        <w:rPr>
          <w:color w:val="231F20"/>
          <w:spacing w:val="-2"/>
          <w:w w:val="95"/>
        </w:rPr>
        <w:t xml:space="preserve"> </w:t>
      </w:r>
      <w:r>
        <w:rPr>
          <w:color w:val="231F20"/>
          <w:w w:val="95"/>
        </w:rPr>
        <w:t>focus</w:t>
      </w:r>
      <w:r>
        <w:rPr>
          <w:color w:val="231F20"/>
          <w:spacing w:val="-2"/>
          <w:w w:val="95"/>
        </w:rPr>
        <w:t xml:space="preserve"> </w:t>
      </w:r>
      <w:r>
        <w:rPr>
          <w:color w:val="231F20"/>
          <w:w w:val="95"/>
        </w:rPr>
        <w:t>on</w:t>
      </w:r>
      <w:r>
        <w:rPr>
          <w:color w:val="231F20"/>
          <w:spacing w:val="-2"/>
          <w:w w:val="95"/>
        </w:rPr>
        <w:t xml:space="preserve"> </w:t>
      </w:r>
      <w:r>
        <w:rPr>
          <w:color w:val="231F20"/>
          <w:w w:val="95"/>
        </w:rPr>
        <w:t>the</w:t>
      </w:r>
      <w:r>
        <w:rPr>
          <w:color w:val="231F20"/>
          <w:spacing w:val="-2"/>
          <w:w w:val="95"/>
        </w:rPr>
        <w:t xml:space="preserve"> </w:t>
      </w:r>
      <w:r>
        <w:rPr>
          <w:color w:val="231F20"/>
          <w:w w:val="95"/>
        </w:rPr>
        <w:t>web</w:t>
      </w:r>
      <w:r>
        <w:rPr>
          <w:color w:val="231F20"/>
          <w:spacing w:val="-2"/>
          <w:w w:val="95"/>
        </w:rPr>
        <w:t xml:space="preserve"> </w:t>
      </w:r>
      <w:r>
        <w:rPr>
          <w:color w:val="231F20"/>
          <w:w w:val="95"/>
        </w:rPr>
        <w:t>of</w:t>
      </w:r>
      <w:r>
        <w:rPr>
          <w:color w:val="231F20"/>
          <w:spacing w:val="-2"/>
          <w:w w:val="95"/>
        </w:rPr>
        <w:t xml:space="preserve"> </w:t>
      </w:r>
      <w:r>
        <w:rPr>
          <w:color w:val="231F20"/>
          <w:w w:val="95"/>
        </w:rPr>
        <w:t xml:space="preserve">global </w:t>
      </w:r>
      <w:r>
        <w:rPr>
          <w:color w:val="231F20"/>
        </w:rPr>
        <w:t>trends</w:t>
      </w:r>
      <w:r>
        <w:rPr>
          <w:color w:val="231F20"/>
          <w:spacing w:val="-2"/>
        </w:rPr>
        <w:t xml:space="preserve"> </w:t>
      </w:r>
      <w:r>
        <w:rPr>
          <w:color w:val="231F20"/>
        </w:rPr>
        <w:t>that</w:t>
      </w:r>
      <w:r>
        <w:rPr>
          <w:color w:val="231F20"/>
          <w:spacing w:val="-2"/>
        </w:rPr>
        <w:t xml:space="preserve"> </w:t>
      </w:r>
      <w:r>
        <w:rPr>
          <w:color w:val="231F20"/>
        </w:rPr>
        <w:t>are</w:t>
      </w:r>
      <w:r>
        <w:rPr>
          <w:color w:val="231F20"/>
          <w:spacing w:val="-2"/>
        </w:rPr>
        <w:t xml:space="preserve"> </w:t>
      </w:r>
      <w:r>
        <w:rPr>
          <w:color w:val="231F20"/>
        </w:rPr>
        <w:t>likely</w:t>
      </w:r>
      <w:r>
        <w:rPr>
          <w:color w:val="231F20"/>
          <w:spacing w:val="-2"/>
        </w:rPr>
        <w:t xml:space="preserve"> </w:t>
      </w:r>
      <w:r>
        <w:rPr>
          <w:color w:val="231F20"/>
        </w:rPr>
        <w:t>to</w:t>
      </w:r>
      <w:r>
        <w:rPr>
          <w:color w:val="231F20"/>
          <w:spacing w:val="-2"/>
        </w:rPr>
        <w:t xml:space="preserve"> </w:t>
      </w:r>
      <w:r>
        <w:rPr>
          <w:color w:val="231F20"/>
        </w:rPr>
        <w:t>influence</w:t>
      </w:r>
      <w:r>
        <w:rPr>
          <w:color w:val="231F20"/>
          <w:spacing w:val="-3"/>
        </w:rPr>
        <w:t xml:space="preserve"> </w:t>
      </w:r>
      <w:r>
        <w:rPr>
          <w:color w:val="231F20"/>
        </w:rPr>
        <w:t>the</w:t>
      </w:r>
      <w:r>
        <w:rPr>
          <w:color w:val="231F20"/>
          <w:spacing w:val="-3"/>
        </w:rPr>
        <w:t xml:space="preserve"> </w:t>
      </w:r>
      <w:r>
        <w:rPr>
          <w:color w:val="231F20"/>
        </w:rPr>
        <w:t>future</w:t>
      </w:r>
      <w:r>
        <w:rPr>
          <w:color w:val="231F20"/>
          <w:spacing w:val="-3"/>
        </w:rPr>
        <w:t xml:space="preserve"> </w:t>
      </w:r>
      <w:r>
        <w:rPr>
          <w:color w:val="231F20"/>
        </w:rPr>
        <w:t>of</w:t>
      </w:r>
      <w:r>
        <w:rPr>
          <w:color w:val="231F20"/>
          <w:spacing w:val="-2"/>
        </w:rPr>
        <w:t xml:space="preserve"> </w:t>
      </w:r>
      <w:r>
        <w:rPr>
          <w:color w:val="231F20"/>
        </w:rPr>
        <w:t>sport</w:t>
      </w:r>
      <w:r>
        <w:rPr>
          <w:color w:val="231F20"/>
          <w:spacing w:val="-3"/>
        </w:rPr>
        <w:t xml:space="preserve"> </w:t>
      </w:r>
      <w:r>
        <w:rPr>
          <w:color w:val="231F20"/>
        </w:rPr>
        <w:t>tourism.</w:t>
      </w:r>
    </w:p>
    <w:p w14:paraId="34416550" w14:textId="77777777" w:rsidR="00AE0598" w:rsidRDefault="00AE0598">
      <w:pPr>
        <w:pStyle w:val="Corpodetexto"/>
        <w:spacing w:before="2"/>
        <w:rPr>
          <w:sz w:val="22"/>
        </w:rPr>
      </w:pPr>
    </w:p>
    <w:p w14:paraId="4BD87B50" w14:textId="77777777" w:rsidR="00AE0598" w:rsidRDefault="0069255A">
      <w:pPr>
        <w:ind w:left="110"/>
        <w:rPr>
          <w:rFonts w:ascii="Trebuchet MS"/>
          <w:b/>
          <w:sz w:val="20"/>
        </w:rPr>
      </w:pPr>
      <w:r>
        <w:rPr>
          <w:rFonts w:ascii="Trebuchet MS"/>
          <w:b/>
          <w:color w:val="231F20"/>
          <w:sz w:val="20"/>
        </w:rPr>
        <w:t>Intersecting</w:t>
      </w:r>
      <w:r>
        <w:rPr>
          <w:rFonts w:ascii="Trebuchet MS"/>
          <w:b/>
          <w:color w:val="231F20"/>
          <w:spacing w:val="-4"/>
          <w:sz w:val="20"/>
        </w:rPr>
        <w:t xml:space="preserve"> </w:t>
      </w:r>
      <w:r>
        <w:rPr>
          <w:rFonts w:ascii="Trebuchet MS"/>
          <w:b/>
          <w:color w:val="231F20"/>
          <w:sz w:val="20"/>
        </w:rPr>
        <w:t>Life</w:t>
      </w:r>
      <w:r>
        <w:rPr>
          <w:rFonts w:ascii="Trebuchet MS"/>
          <w:b/>
          <w:color w:val="231F20"/>
          <w:spacing w:val="-4"/>
          <w:sz w:val="20"/>
        </w:rPr>
        <w:t xml:space="preserve"> </w:t>
      </w:r>
      <w:r>
        <w:rPr>
          <w:rFonts w:ascii="Trebuchet MS"/>
          <w:b/>
          <w:color w:val="231F20"/>
          <w:sz w:val="20"/>
        </w:rPr>
        <w:t>Cycles</w:t>
      </w:r>
      <w:r>
        <w:rPr>
          <w:rFonts w:ascii="Trebuchet MS"/>
          <w:b/>
          <w:color w:val="231F20"/>
          <w:spacing w:val="-4"/>
          <w:sz w:val="20"/>
        </w:rPr>
        <w:t xml:space="preserve"> </w:t>
      </w:r>
      <w:r>
        <w:rPr>
          <w:rFonts w:ascii="Trebuchet MS"/>
          <w:b/>
          <w:color w:val="231F20"/>
          <w:sz w:val="20"/>
        </w:rPr>
        <w:t>in</w:t>
      </w:r>
      <w:r>
        <w:rPr>
          <w:rFonts w:ascii="Trebuchet MS"/>
          <w:b/>
          <w:color w:val="231F20"/>
          <w:spacing w:val="-4"/>
          <w:sz w:val="20"/>
        </w:rPr>
        <w:t xml:space="preserve"> </w:t>
      </w:r>
      <w:r>
        <w:rPr>
          <w:rFonts w:ascii="Trebuchet MS"/>
          <w:b/>
          <w:color w:val="231F20"/>
          <w:sz w:val="20"/>
        </w:rPr>
        <w:t>Sport</w:t>
      </w:r>
      <w:r>
        <w:rPr>
          <w:rFonts w:ascii="Trebuchet MS"/>
          <w:b/>
          <w:color w:val="231F20"/>
          <w:spacing w:val="-4"/>
          <w:sz w:val="20"/>
        </w:rPr>
        <w:t xml:space="preserve"> </w:t>
      </w:r>
      <w:r>
        <w:rPr>
          <w:rFonts w:ascii="Trebuchet MS"/>
          <w:b/>
          <w:color w:val="231F20"/>
          <w:sz w:val="20"/>
        </w:rPr>
        <w:t>and</w:t>
      </w:r>
      <w:r>
        <w:rPr>
          <w:rFonts w:ascii="Trebuchet MS"/>
          <w:b/>
          <w:color w:val="231F20"/>
          <w:spacing w:val="-4"/>
          <w:sz w:val="20"/>
        </w:rPr>
        <w:t xml:space="preserve"> </w:t>
      </w:r>
      <w:r>
        <w:rPr>
          <w:rFonts w:ascii="Trebuchet MS"/>
          <w:b/>
          <w:color w:val="231F20"/>
          <w:spacing w:val="-2"/>
          <w:sz w:val="20"/>
        </w:rPr>
        <w:t>Tourism</w:t>
      </w:r>
    </w:p>
    <w:p w14:paraId="4AFF9051" w14:textId="77777777" w:rsidR="00AE0598" w:rsidRDefault="0069255A">
      <w:pPr>
        <w:pStyle w:val="Corpodetexto"/>
        <w:spacing w:before="122" w:line="232" w:lineRule="auto"/>
        <w:ind w:left="110" w:right="126" w:firstLine="320"/>
        <w:jc w:val="both"/>
      </w:pPr>
      <w:r>
        <w:rPr>
          <w:color w:val="231F20"/>
        </w:rPr>
        <w:t xml:space="preserve">Destination and product life cycles are dominant features of tourism (Butler, 2006; Chapman &amp; Light, 2016). Butler’s (1980) tourist area life </w:t>
      </w:r>
      <w:r>
        <w:rPr>
          <w:color w:val="231F20"/>
          <w:w w:val="95"/>
        </w:rPr>
        <w:t>cycle model epitomises this idea with six stages: ex</w:t>
      </w:r>
      <w:r>
        <w:rPr>
          <w:color w:val="231F20"/>
          <w:w w:val="95"/>
        </w:rPr>
        <w:t xml:space="preserve">ploration, involvement, development, consolidation, stagnation and either rejuvenation or decline. </w:t>
      </w:r>
      <w:r>
        <w:rPr>
          <w:color w:val="231F20"/>
        </w:rPr>
        <w:t xml:space="preserve">In revisiting Butler’s model, Johnston (2001a) suggested that the early part of this cycle could be classified as the pre-tourism era in that some </w:t>
      </w:r>
      <w:r>
        <w:rPr>
          <w:color w:val="231F20"/>
          <w:w w:val="95"/>
        </w:rPr>
        <w:t>other inst</w:t>
      </w:r>
      <w:r>
        <w:rPr>
          <w:color w:val="231F20"/>
          <w:w w:val="95"/>
        </w:rPr>
        <w:t>itutional framework besides tourism dominates the destination while the latter stages of stagnation and decline can be described as a post- tourism</w:t>
      </w:r>
      <w:r>
        <w:rPr>
          <w:color w:val="231F20"/>
          <w:spacing w:val="-5"/>
          <w:w w:val="95"/>
        </w:rPr>
        <w:t xml:space="preserve"> </w:t>
      </w:r>
      <w:r>
        <w:rPr>
          <w:color w:val="231F20"/>
          <w:w w:val="95"/>
        </w:rPr>
        <w:t>era.</w:t>
      </w:r>
      <w:r>
        <w:rPr>
          <w:color w:val="231F20"/>
          <w:spacing w:val="-5"/>
          <w:w w:val="95"/>
        </w:rPr>
        <w:t xml:space="preserve"> </w:t>
      </w:r>
      <w:r>
        <w:rPr>
          <w:color w:val="231F20"/>
          <w:w w:val="95"/>
        </w:rPr>
        <w:t>In</w:t>
      </w:r>
      <w:r>
        <w:rPr>
          <w:color w:val="231F20"/>
          <w:spacing w:val="-5"/>
          <w:w w:val="95"/>
        </w:rPr>
        <w:t xml:space="preserve"> </w:t>
      </w:r>
      <w:r>
        <w:rPr>
          <w:color w:val="231F20"/>
          <w:w w:val="95"/>
        </w:rPr>
        <w:t>between</w:t>
      </w:r>
      <w:r>
        <w:rPr>
          <w:color w:val="231F20"/>
          <w:spacing w:val="-5"/>
          <w:w w:val="95"/>
        </w:rPr>
        <w:t xml:space="preserve"> </w:t>
      </w:r>
      <w:r>
        <w:rPr>
          <w:color w:val="231F20"/>
          <w:w w:val="95"/>
        </w:rPr>
        <w:t>these</w:t>
      </w:r>
      <w:r>
        <w:rPr>
          <w:color w:val="231F20"/>
          <w:spacing w:val="-5"/>
          <w:w w:val="95"/>
        </w:rPr>
        <w:t xml:space="preserve"> </w:t>
      </w:r>
      <w:r>
        <w:rPr>
          <w:color w:val="231F20"/>
          <w:w w:val="95"/>
        </w:rPr>
        <w:t>points,</w:t>
      </w:r>
      <w:r>
        <w:rPr>
          <w:color w:val="231F20"/>
          <w:spacing w:val="-5"/>
          <w:w w:val="95"/>
        </w:rPr>
        <w:t xml:space="preserve"> </w:t>
      </w:r>
      <w:r>
        <w:rPr>
          <w:color w:val="231F20"/>
          <w:w w:val="95"/>
        </w:rPr>
        <w:t>a</w:t>
      </w:r>
      <w:r>
        <w:rPr>
          <w:color w:val="231F20"/>
          <w:spacing w:val="-5"/>
          <w:w w:val="95"/>
        </w:rPr>
        <w:t xml:space="preserve"> </w:t>
      </w:r>
      <w:r>
        <w:rPr>
          <w:color w:val="231F20"/>
          <w:w w:val="95"/>
        </w:rPr>
        <w:t>series</w:t>
      </w:r>
      <w:r>
        <w:rPr>
          <w:color w:val="231F20"/>
          <w:spacing w:val="-5"/>
          <w:w w:val="95"/>
        </w:rPr>
        <w:t xml:space="preserve"> </w:t>
      </w:r>
      <w:r>
        <w:rPr>
          <w:color w:val="231F20"/>
          <w:w w:val="95"/>
        </w:rPr>
        <w:t>of</w:t>
      </w:r>
      <w:r>
        <w:rPr>
          <w:color w:val="231F20"/>
          <w:spacing w:val="-5"/>
          <w:w w:val="95"/>
        </w:rPr>
        <w:t xml:space="preserve"> </w:t>
      </w:r>
      <w:r>
        <w:rPr>
          <w:color w:val="231F20"/>
          <w:w w:val="95"/>
        </w:rPr>
        <w:t>mini</w:t>
      </w:r>
      <w:r>
        <w:rPr>
          <w:color w:val="231F20"/>
          <w:spacing w:val="-5"/>
          <w:w w:val="95"/>
        </w:rPr>
        <w:t xml:space="preserve"> </w:t>
      </w:r>
      <w:r>
        <w:rPr>
          <w:color w:val="231F20"/>
          <w:w w:val="95"/>
        </w:rPr>
        <w:t>tourism</w:t>
      </w:r>
      <w:r>
        <w:rPr>
          <w:color w:val="231F20"/>
          <w:spacing w:val="-5"/>
          <w:w w:val="95"/>
        </w:rPr>
        <w:t xml:space="preserve"> </w:t>
      </w:r>
      <w:r>
        <w:rPr>
          <w:color w:val="231F20"/>
          <w:w w:val="95"/>
        </w:rPr>
        <w:t>product</w:t>
      </w:r>
      <w:r>
        <w:rPr>
          <w:color w:val="231F20"/>
          <w:spacing w:val="-5"/>
          <w:w w:val="95"/>
        </w:rPr>
        <w:t xml:space="preserve"> </w:t>
      </w:r>
      <w:r>
        <w:rPr>
          <w:color w:val="231F20"/>
          <w:w w:val="95"/>
        </w:rPr>
        <w:t xml:space="preserve">cycles </w:t>
      </w:r>
      <w:r>
        <w:rPr>
          <w:color w:val="231F20"/>
        </w:rPr>
        <w:t>can</w:t>
      </w:r>
      <w:r>
        <w:rPr>
          <w:color w:val="231F20"/>
          <w:spacing w:val="-3"/>
        </w:rPr>
        <w:t xml:space="preserve"> </w:t>
      </w:r>
      <w:r>
        <w:rPr>
          <w:color w:val="231F20"/>
        </w:rPr>
        <w:t>occur</w:t>
      </w:r>
      <w:r>
        <w:rPr>
          <w:color w:val="231F20"/>
          <w:spacing w:val="-3"/>
        </w:rPr>
        <w:t xml:space="preserve"> </w:t>
      </w:r>
      <w:r>
        <w:rPr>
          <w:color w:val="231F20"/>
        </w:rPr>
        <w:t>in</w:t>
      </w:r>
      <w:r>
        <w:rPr>
          <w:color w:val="231F20"/>
          <w:spacing w:val="-3"/>
        </w:rPr>
        <w:t xml:space="preserve"> </w:t>
      </w:r>
      <w:r>
        <w:rPr>
          <w:color w:val="231F20"/>
        </w:rPr>
        <w:t>the</w:t>
      </w:r>
      <w:r>
        <w:rPr>
          <w:color w:val="231F20"/>
          <w:spacing w:val="-3"/>
        </w:rPr>
        <w:t xml:space="preserve"> </w:t>
      </w:r>
      <w:r>
        <w:rPr>
          <w:color w:val="231F20"/>
        </w:rPr>
        <w:t>destination.</w:t>
      </w:r>
      <w:r>
        <w:rPr>
          <w:color w:val="231F20"/>
          <w:spacing w:val="-3"/>
        </w:rPr>
        <w:t xml:space="preserve"> </w:t>
      </w:r>
      <w:r>
        <w:rPr>
          <w:color w:val="231F20"/>
        </w:rPr>
        <w:t>The</w:t>
      </w:r>
      <w:r>
        <w:rPr>
          <w:color w:val="231F20"/>
          <w:spacing w:val="-3"/>
        </w:rPr>
        <w:t xml:space="preserve"> </w:t>
      </w:r>
      <w:r>
        <w:rPr>
          <w:color w:val="231F20"/>
        </w:rPr>
        <w:t>general</w:t>
      </w:r>
      <w:r>
        <w:rPr>
          <w:color w:val="231F20"/>
          <w:spacing w:val="-3"/>
        </w:rPr>
        <w:t xml:space="preserve"> </w:t>
      </w:r>
      <w:r>
        <w:rPr>
          <w:color w:val="231F20"/>
        </w:rPr>
        <w:t>pattern</w:t>
      </w:r>
      <w:r>
        <w:rPr>
          <w:color w:val="231F20"/>
          <w:spacing w:val="-3"/>
        </w:rPr>
        <w:t xml:space="preserve"> </w:t>
      </w:r>
      <w:r>
        <w:rPr>
          <w:color w:val="231F20"/>
        </w:rPr>
        <w:t>of</w:t>
      </w:r>
      <w:r>
        <w:rPr>
          <w:color w:val="231F20"/>
          <w:spacing w:val="-3"/>
        </w:rPr>
        <w:t xml:space="preserve"> </w:t>
      </w:r>
      <w:r>
        <w:rPr>
          <w:color w:val="231F20"/>
        </w:rPr>
        <w:t>these</w:t>
      </w:r>
      <w:r>
        <w:rPr>
          <w:color w:val="231F20"/>
          <w:spacing w:val="-3"/>
        </w:rPr>
        <w:t xml:space="preserve"> </w:t>
      </w:r>
      <w:r>
        <w:rPr>
          <w:color w:val="231F20"/>
        </w:rPr>
        <w:t>cycles</w:t>
      </w:r>
      <w:r>
        <w:rPr>
          <w:color w:val="231F20"/>
          <w:spacing w:val="-3"/>
        </w:rPr>
        <w:t xml:space="preserve"> </w:t>
      </w:r>
      <w:r>
        <w:rPr>
          <w:color w:val="231F20"/>
        </w:rPr>
        <w:t>is</w:t>
      </w:r>
      <w:r>
        <w:rPr>
          <w:color w:val="231F20"/>
          <w:spacing w:val="-3"/>
        </w:rPr>
        <w:t xml:space="preserve"> </w:t>
      </w:r>
      <w:r>
        <w:rPr>
          <w:color w:val="231F20"/>
        </w:rPr>
        <w:t>one</w:t>
      </w:r>
      <w:r>
        <w:rPr>
          <w:color w:val="231F20"/>
          <w:spacing w:val="-3"/>
        </w:rPr>
        <w:t xml:space="preserve"> </w:t>
      </w:r>
      <w:r>
        <w:rPr>
          <w:color w:val="231F20"/>
        </w:rPr>
        <w:t xml:space="preserve">of </w:t>
      </w:r>
      <w:r>
        <w:rPr>
          <w:color w:val="231F20"/>
          <w:w w:val="95"/>
        </w:rPr>
        <w:t xml:space="preserve">increasing visitation until the destination’s resources are adversely affected </w:t>
      </w:r>
      <w:r>
        <w:rPr>
          <w:color w:val="231F20"/>
        </w:rPr>
        <w:t>or</w:t>
      </w:r>
      <w:r>
        <w:rPr>
          <w:color w:val="231F20"/>
          <w:spacing w:val="-12"/>
        </w:rPr>
        <w:t xml:space="preserve"> </w:t>
      </w:r>
      <w:r>
        <w:rPr>
          <w:color w:val="231F20"/>
        </w:rPr>
        <w:t>the</w:t>
      </w:r>
      <w:r>
        <w:rPr>
          <w:color w:val="231F20"/>
          <w:spacing w:val="-12"/>
        </w:rPr>
        <w:t xml:space="preserve"> </w:t>
      </w:r>
      <w:r>
        <w:rPr>
          <w:color w:val="231F20"/>
        </w:rPr>
        <w:t>attraction</w:t>
      </w:r>
      <w:r>
        <w:rPr>
          <w:color w:val="231F20"/>
          <w:spacing w:val="-11"/>
        </w:rPr>
        <w:t xml:space="preserve"> </w:t>
      </w:r>
      <w:r>
        <w:rPr>
          <w:color w:val="231F20"/>
        </w:rPr>
        <w:t>simply</w:t>
      </w:r>
      <w:r>
        <w:rPr>
          <w:color w:val="231F20"/>
          <w:spacing w:val="-12"/>
        </w:rPr>
        <w:t xml:space="preserve"> </w:t>
      </w:r>
      <w:r>
        <w:rPr>
          <w:color w:val="231F20"/>
        </w:rPr>
        <w:t>falls</w:t>
      </w:r>
      <w:r>
        <w:rPr>
          <w:color w:val="231F20"/>
          <w:spacing w:val="-11"/>
        </w:rPr>
        <w:t xml:space="preserve"> </w:t>
      </w:r>
      <w:r>
        <w:rPr>
          <w:color w:val="231F20"/>
        </w:rPr>
        <w:t>out</w:t>
      </w:r>
      <w:r>
        <w:rPr>
          <w:color w:val="231F20"/>
          <w:spacing w:val="-12"/>
        </w:rPr>
        <w:t xml:space="preserve"> </w:t>
      </w:r>
      <w:r>
        <w:rPr>
          <w:color w:val="231F20"/>
        </w:rPr>
        <w:t>of</w:t>
      </w:r>
      <w:r>
        <w:rPr>
          <w:color w:val="231F20"/>
          <w:spacing w:val="-11"/>
        </w:rPr>
        <w:t xml:space="preserve"> </w:t>
      </w:r>
      <w:r>
        <w:rPr>
          <w:color w:val="231F20"/>
        </w:rPr>
        <w:t>favour,</w:t>
      </w:r>
      <w:r>
        <w:rPr>
          <w:color w:val="231F20"/>
          <w:spacing w:val="-12"/>
        </w:rPr>
        <w:t xml:space="preserve"> </w:t>
      </w:r>
      <w:r>
        <w:rPr>
          <w:color w:val="231F20"/>
        </w:rPr>
        <w:t>at</w:t>
      </w:r>
      <w:r>
        <w:rPr>
          <w:color w:val="231F20"/>
          <w:spacing w:val="-12"/>
        </w:rPr>
        <w:t xml:space="preserve"> </w:t>
      </w:r>
      <w:r>
        <w:rPr>
          <w:color w:val="231F20"/>
        </w:rPr>
        <w:t>which</w:t>
      </w:r>
      <w:r>
        <w:rPr>
          <w:color w:val="231F20"/>
          <w:spacing w:val="-11"/>
        </w:rPr>
        <w:t xml:space="preserve"> </w:t>
      </w:r>
      <w:r>
        <w:rPr>
          <w:color w:val="231F20"/>
        </w:rPr>
        <w:t>point</w:t>
      </w:r>
      <w:r>
        <w:rPr>
          <w:color w:val="231F20"/>
          <w:spacing w:val="-12"/>
        </w:rPr>
        <w:t xml:space="preserve"> </w:t>
      </w:r>
      <w:r>
        <w:rPr>
          <w:color w:val="231F20"/>
        </w:rPr>
        <w:t>visitor</w:t>
      </w:r>
      <w:r>
        <w:rPr>
          <w:color w:val="231F20"/>
          <w:spacing w:val="-11"/>
        </w:rPr>
        <w:t xml:space="preserve"> </w:t>
      </w:r>
      <w:r>
        <w:rPr>
          <w:color w:val="231F20"/>
        </w:rPr>
        <w:t>numbers begin</w:t>
      </w:r>
      <w:r>
        <w:rPr>
          <w:color w:val="231F20"/>
          <w:spacing w:val="-7"/>
        </w:rPr>
        <w:t xml:space="preserve"> </w:t>
      </w:r>
      <w:r>
        <w:rPr>
          <w:color w:val="231F20"/>
        </w:rPr>
        <w:t>to</w:t>
      </w:r>
      <w:r>
        <w:rPr>
          <w:color w:val="231F20"/>
          <w:spacing w:val="-7"/>
        </w:rPr>
        <w:t xml:space="preserve"> </w:t>
      </w:r>
      <w:r>
        <w:rPr>
          <w:color w:val="231F20"/>
        </w:rPr>
        <w:t>decline</w:t>
      </w:r>
      <w:r>
        <w:rPr>
          <w:color w:val="231F20"/>
          <w:spacing w:val="-7"/>
        </w:rPr>
        <w:t xml:space="preserve"> </w:t>
      </w:r>
      <w:r>
        <w:rPr>
          <w:color w:val="231F20"/>
        </w:rPr>
        <w:t>(Chapter</w:t>
      </w:r>
      <w:r>
        <w:rPr>
          <w:color w:val="231F20"/>
          <w:spacing w:val="-7"/>
        </w:rPr>
        <w:t xml:space="preserve"> </w:t>
      </w:r>
      <w:r>
        <w:rPr>
          <w:color w:val="231F20"/>
        </w:rPr>
        <w:t>4).</w:t>
      </w:r>
      <w:r>
        <w:rPr>
          <w:color w:val="231F20"/>
          <w:spacing w:val="-7"/>
        </w:rPr>
        <w:t xml:space="preserve"> </w:t>
      </w:r>
      <w:r>
        <w:rPr>
          <w:color w:val="231F20"/>
        </w:rPr>
        <w:t>A</w:t>
      </w:r>
      <w:r>
        <w:rPr>
          <w:color w:val="231F20"/>
          <w:spacing w:val="-7"/>
        </w:rPr>
        <w:t xml:space="preserve"> </w:t>
      </w:r>
      <w:r>
        <w:rPr>
          <w:color w:val="231F20"/>
        </w:rPr>
        <w:t>variety</w:t>
      </w:r>
      <w:r>
        <w:rPr>
          <w:color w:val="231F20"/>
          <w:spacing w:val="-7"/>
        </w:rPr>
        <w:t xml:space="preserve"> </w:t>
      </w:r>
      <w:r>
        <w:rPr>
          <w:color w:val="231F20"/>
        </w:rPr>
        <w:t>of</w:t>
      </w:r>
      <w:r>
        <w:rPr>
          <w:color w:val="231F20"/>
          <w:spacing w:val="-7"/>
        </w:rPr>
        <w:t xml:space="preserve"> </w:t>
      </w:r>
      <w:r>
        <w:rPr>
          <w:color w:val="231F20"/>
        </w:rPr>
        <w:t>implications</w:t>
      </w:r>
      <w:r>
        <w:rPr>
          <w:color w:val="231F20"/>
          <w:spacing w:val="-7"/>
        </w:rPr>
        <w:t xml:space="preserve"> </w:t>
      </w:r>
      <w:r>
        <w:rPr>
          <w:color w:val="231F20"/>
        </w:rPr>
        <w:t>em</w:t>
      </w:r>
      <w:r>
        <w:rPr>
          <w:color w:val="231F20"/>
        </w:rPr>
        <w:t>erge</w:t>
      </w:r>
      <w:r>
        <w:rPr>
          <w:color w:val="231F20"/>
          <w:spacing w:val="-7"/>
        </w:rPr>
        <w:t xml:space="preserve"> </w:t>
      </w:r>
      <w:r>
        <w:rPr>
          <w:color w:val="231F20"/>
        </w:rPr>
        <w:t>from</w:t>
      </w:r>
      <w:r>
        <w:rPr>
          <w:color w:val="231F20"/>
          <w:spacing w:val="-7"/>
        </w:rPr>
        <w:t xml:space="preserve"> </w:t>
      </w:r>
      <w:r>
        <w:rPr>
          <w:color w:val="231F20"/>
        </w:rPr>
        <w:t>these cycles with the most important being that management intervention is needed</w:t>
      </w:r>
      <w:r>
        <w:rPr>
          <w:color w:val="231F20"/>
          <w:spacing w:val="-2"/>
        </w:rPr>
        <w:t xml:space="preserve"> </w:t>
      </w:r>
      <w:r>
        <w:rPr>
          <w:color w:val="231F20"/>
        </w:rPr>
        <w:t>to</w:t>
      </w:r>
      <w:r>
        <w:rPr>
          <w:color w:val="231F20"/>
          <w:spacing w:val="-2"/>
        </w:rPr>
        <w:t xml:space="preserve"> </w:t>
      </w:r>
      <w:r>
        <w:rPr>
          <w:color w:val="231F20"/>
        </w:rPr>
        <w:t>sustain</w:t>
      </w:r>
      <w:r>
        <w:rPr>
          <w:color w:val="231F20"/>
          <w:spacing w:val="-2"/>
        </w:rPr>
        <w:t xml:space="preserve"> </w:t>
      </w:r>
      <w:r>
        <w:rPr>
          <w:color w:val="231F20"/>
        </w:rPr>
        <w:t>tourism</w:t>
      </w:r>
      <w:r>
        <w:rPr>
          <w:color w:val="231F20"/>
          <w:spacing w:val="-2"/>
        </w:rPr>
        <w:t xml:space="preserve"> </w:t>
      </w:r>
      <w:r>
        <w:rPr>
          <w:color w:val="231F20"/>
        </w:rPr>
        <w:t>resources</w:t>
      </w:r>
      <w:r>
        <w:rPr>
          <w:color w:val="231F20"/>
          <w:spacing w:val="-2"/>
        </w:rPr>
        <w:t xml:space="preserve"> </w:t>
      </w:r>
      <w:r>
        <w:rPr>
          <w:color w:val="231F20"/>
        </w:rPr>
        <w:t>if</w:t>
      </w:r>
      <w:r>
        <w:rPr>
          <w:color w:val="231F20"/>
          <w:spacing w:val="-2"/>
        </w:rPr>
        <w:t xml:space="preserve"> </w:t>
      </w:r>
      <w:r>
        <w:rPr>
          <w:color w:val="231F20"/>
        </w:rPr>
        <w:t>the</w:t>
      </w:r>
      <w:r>
        <w:rPr>
          <w:color w:val="231F20"/>
          <w:spacing w:val="-2"/>
        </w:rPr>
        <w:t xml:space="preserve"> </w:t>
      </w:r>
      <w:r>
        <w:rPr>
          <w:color w:val="231F20"/>
        </w:rPr>
        <w:t>destination’s</w:t>
      </w:r>
      <w:r>
        <w:rPr>
          <w:color w:val="231F20"/>
          <w:spacing w:val="-2"/>
        </w:rPr>
        <w:t xml:space="preserve"> </w:t>
      </w:r>
      <w:r>
        <w:rPr>
          <w:color w:val="231F20"/>
        </w:rPr>
        <w:t>life</w:t>
      </w:r>
      <w:r>
        <w:rPr>
          <w:color w:val="231F20"/>
          <w:spacing w:val="-2"/>
        </w:rPr>
        <w:t xml:space="preserve"> </w:t>
      </w:r>
      <w:r>
        <w:rPr>
          <w:color w:val="231F20"/>
        </w:rPr>
        <w:t>span</w:t>
      </w:r>
      <w:r>
        <w:rPr>
          <w:color w:val="231F20"/>
          <w:spacing w:val="-2"/>
        </w:rPr>
        <w:t xml:space="preserve"> </w:t>
      </w:r>
      <w:r>
        <w:rPr>
          <w:color w:val="231F20"/>
        </w:rPr>
        <w:t>is</w:t>
      </w:r>
      <w:r>
        <w:rPr>
          <w:color w:val="231F20"/>
          <w:spacing w:val="-2"/>
        </w:rPr>
        <w:t xml:space="preserve"> </w:t>
      </w:r>
      <w:r>
        <w:rPr>
          <w:color w:val="231F20"/>
        </w:rPr>
        <w:t>to</w:t>
      </w:r>
      <w:r>
        <w:rPr>
          <w:color w:val="231F20"/>
          <w:spacing w:val="-2"/>
        </w:rPr>
        <w:t xml:space="preserve"> </w:t>
      </w:r>
      <w:r>
        <w:rPr>
          <w:color w:val="231F20"/>
        </w:rPr>
        <w:t xml:space="preserve">be </w:t>
      </w:r>
      <w:r>
        <w:rPr>
          <w:color w:val="231F20"/>
          <w:spacing w:val="-2"/>
        </w:rPr>
        <w:t>extended.</w:t>
      </w:r>
    </w:p>
    <w:p w14:paraId="49504E9D" w14:textId="77777777" w:rsidR="00AE0598" w:rsidRDefault="00AE0598">
      <w:pPr>
        <w:pStyle w:val="Corpodetexto"/>
        <w:spacing w:before="4"/>
        <w:rPr>
          <w:sz w:val="25"/>
        </w:rPr>
      </w:pPr>
    </w:p>
    <w:p w14:paraId="28E4B90D" w14:textId="77777777" w:rsidR="00AE0598" w:rsidRDefault="0069255A">
      <w:pPr>
        <w:spacing w:before="100"/>
        <w:ind w:left="384" w:right="409"/>
        <w:jc w:val="center"/>
        <w:rPr>
          <w:rFonts w:ascii="Trebuchet MS"/>
          <w:sz w:val="16"/>
        </w:rPr>
      </w:pPr>
      <w:r>
        <w:rPr>
          <w:rFonts w:ascii="Trebuchet MS"/>
          <w:color w:val="231F20"/>
          <w:spacing w:val="-5"/>
          <w:w w:val="105"/>
          <w:sz w:val="16"/>
        </w:rPr>
        <w:t>199</w:t>
      </w:r>
    </w:p>
    <w:p w14:paraId="699BDD4B" w14:textId="77777777" w:rsidR="00AE0598" w:rsidRDefault="00AE0598">
      <w:pPr>
        <w:jc w:val="center"/>
        <w:rPr>
          <w:rFonts w:ascii="Trebuchet MS"/>
          <w:sz w:val="16"/>
        </w:rPr>
        <w:sectPr w:rsidR="00AE0598">
          <w:pgSz w:w="8850" w:h="13270"/>
          <w:pgMar w:top="1020" w:right="1060" w:bottom="280" w:left="1080" w:header="720" w:footer="720" w:gutter="0"/>
          <w:cols w:space="720"/>
        </w:sectPr>
      </w:pPr>
    </w:p>
    <w:p w14:paraId="1B858195" w14:textId="77777777" w:rsidR="00AE0598" w:rsidRDefault="0069255A">
      <w:pPr>
        <w:spacing w:before="87"/>
        <w:ind w:left="108"/>
        <w:rPr>
          <w:rFonts w:ascii="Trebuchet MS"/>
          <w:sz w:val="14"/>
        </w:rPr>
      </w:pPr>
      <w:r>
        <w:rPr>
          <w:rFonts w:ascii="Trebuchet MS"/>
          <w:color w:val="231F20"/>
          <w:w w:val="105"/>
          <w:sz w:val="14"/>
        </w:rPr>
        <w:lastRenderedPageBreak/>
        <w:t>200</w:t>
      </w:r>
      <w:r>
        <w:rPr>
          <w:rFonts w:ascii="Trebuchet MS"/>
          <w:color w:val="231F20"/>
          <w:spacing w:val="66"/>
          <w:w w:val="150"/>
          <w:sz w:val="14"/>
        </w:rPr>
        <w:t xml:space="preserve"> </w:t>
      </w:r>
      <w:r>
        <w:rPr>
          <w:rFonts w:ascii="Trebuchet MS"/>
          <w:color w:val="231F20"/>
          <w:w w:val="105"/>
          <w:sz w:val="14"/>
        </w:rPr>
        <w:t>Part</w:t>
      </w:r>
      <w:r>
        <w:rPr>
          <w:rFonts w:ascii="Trebuchet MS"/>
          <w:color w:val="231F20"/>
          <w:spacing w:val="-9"/>
          <w:w w:val="105"/>
          <w:sz w:val="14"/>
        </w:rPr>
        <w:t xml:space="preserve"> </w:t>
      </w:r>
      <w:r>
        <w:rPr>
          <w:rFonts w:ascii="Trebuchet MS"/>
          <w:color w:val="231F20"/>
          <w:w w:val="105"/>
          <w:sz w:val="14"/>
        </w:rPr>
        <w:t>4:</w:t>
      </w:r>
      <w:r>
        <w:rPr>
          <w:rFonts w:ascii="Trebuchet MS"/>
          <w:color w:val="231F20"/>
          <w:spacing w:val="-8"/>
          <w:w w:val="105"/>
          <w:sz w:val="14"/>
        </w:rPr>
        <w:t xml:space="preserve"> </w:t>
      </w:r>
      <w:r>
        <w:rPr>
          <w:rFonts w:ascii="Trebuchet MS"/>
          <w:color w:val="231F20"/>
          <w:w w:val="105"/>
          <w:sz w:val="14"/>
        </w:rPr>
        <w:t>Sport</w:t>
      </w:r>
      <w:r>
        <w:rPr>
          <w:rFonts w:ascii="Trebuchet MS"/>
          <w:color w:val="231F20"/>
          <w:spacing w:val="-9"/>
          <w:w w:val="105"/>
          <w:sz w:val="14"/>
        </w:rPr>
        <w:t xml:space="preserve"> </w:t>
      </w:r>
      <w:r>
        <w:rPr>
          <w:rFonts w:ascii="Trebuchet MS"/>
          <w:color w:val="231F20"/>
          <w:w w:val="105"/>
          <w:sz w:val="14"/>
        </w:rPr>
        <w:t>Tourism</w:t>
      </w:r>
      <w:r>
        <w:rPr>
          <w:rFonts w:ascii="Trebuchet MS"/>
          <w:color w:val="231F20"/>
          <w:spacing w:val="-9"/>
          <w:w w:val="105"/>
          <w:sz w:val="14"/>
        </w:rPr>
        <w:t xml:space="preserve"> </w:t>
      </w:r>
      <w:r>
        <w:rPr>
          <w:rFonts w:ascii="Trebuchet MS"/>
          <w:color w:val="231F20"/>
          <w:w w:val="105"/>
          <w:sz w:val="14"/>
        </w:rPr>
        <w:t>Development</w:t>
      </w:r>
      <w:r>
        <w:rPr>
          <w:rFonts w:ascii="Trebuchet MS"/>
          <w:color w:val="231F20"/>
          <w:spacing w:val="-9"/>
          <w:w w:val="105"/>
          <w:sz w:val="14"/>
        </w:rPr>
        <w:t xml:space="preserve"> </w:t>
      </w:r>
      <w:r>
        <w:rPr>
          <w:rFonts w:ascii="Trebuchet MS"/>
          <w:color w:val="231F20"/>
          <w:w w:val="105"/>
          <w:sz w:val="14"/>
        </w:rPr>
        <w:t>and</w:t>
      </w:r>
      <w:r>
        <w:rPr>
          <w:rFonts w:ascii="Trebuchet MS"/>
          <w:color w:val="231F20"/>
          <w:spacing w:val="-8"/>
          <w:w w:val="105"/>
          <w:sz w:val="14"/>
        </w:rPr>
        <w:t xml:space="preserve"> </w:t>
      </w:r>
      <w:r>
        <w:rPr>
          <w:rFonts w:ascii="Trebuchet MS"/>
          <w:color w:val="231F20"/>
          <w:spacing w:val="-4"/>
          <w:w w:val="105"/>
          <w:sz w:val="14"/>
        </w:rPr>
        <w:t>Time</w:t>
      </w:r>
    </w:p>
    <w:p w14:paraId="6BC8E3DA" w14:textId="77777777" w:rsidR="00AE0598" w:rsidRDefault="00AE0598">
      <w:pPr>
        <w:pStyle w:val="Corpodetexto"/>
        <w:rPr>
          <w:rFonts w:ascii="Trebuchet MS"/>
          <w:sz w:val="16"/>
        </w:rPr>
      </w:pPr>
    </w:p>
    <w:p w14:paraId="14DA2147" w14:textId="77777777" w:rsidR="00AE0598" w:rsidRDefault="0069255A">
      <w:pPr>
        <w:pStyle w:val="Corpodetexto"/>
        <w:spacing w:before="118" w:line="232" w:lineRule="auto"/>
        <w:ind w:left="110" w:right="126" w:firstLine="320"/>
        <w:jc w:val="both"/>
      </w:pPr>
      <w:r>
        <w:rPr>
          <w:color w:val="231F20"/>
        </w:rPr>
        <w:t>Sport attractions play a significant role in the life cycles of many destinations. For example, in his detailed analysis of the destination life cycle</w:t>
      </w:r>
      <w:r>
        <w:rPr>
          <w:color w:val="231F20"/>
          <w:spacing w:val="-9"/>
        </w:rPr>
        <w:t xml:space="preserve"> </w:t>
      </w:r>
      <w:r>
        <w:rPr>
          <w:color w:val="231F20"/>
        </w:rPr>
        <w:t>of</w:t>
      </w:r>
      <w:r>
        <w:rPr>
          <w:color w:val="231F20"/>
          <w:spacing w:val="-9"/>
        </w:rPr>
        <w:t xml:space="preserve"> </w:t>
      </w:r>
      <w:r>
        <w:rPr>
          <w:color w:val="231F20"/>
        </w:rPr>
        <w:t>Kona,</w:t>
      </w:r>
      <w:r>
        <w:rPr>
          <w:color w:val="231F20"/>
          <w:spacing w:val="-9"/>
        </w:rPr>
        <w:t xml:space="preserve"> </w:t>
      </w:r>
      <w:r>
        <w:rPr>
          <w:color w:val="231F20"/>
        </w:rPr>
        <w:t>Hawai’i,</w:t>
      </w:r>
      <w:r>
        <w:rPr>
          <w:color w:val="231F20"/>
          <w:spacing w:val="-9"/>
        </w:rPr>
        <w:t xml:space="preserve"> </w:t>
      </w:r>
      <w:r>
        <w:rPr>
          <w:color w:val="231F20"/>
        </w:rPr>
        <w:t>Johnson</w:t>
      </w:r>
      <w:r>
        <w:rPr>
          <w:color w:val="231F20"/>
          <w:spacing w:val="-9"/>
        </w:rPr>
        <w:t xml:space="preserve"> </w:t>
      </w:r>
      <w:r>
        <w:rPr>
          <w:color w:val="231F20"/>
        </w:rPr>
        <w:t>(2001b)</w:t>
      </w:r>
      <w:r>
        <w:rPr>
          <w:color w:val="231F20"/>
          <w:spacing w:val="-9"/>
        </w:rPr>
        <w:t xml:space="preserve"> </w:t>
      </w:r>
      <w:r>
        <w:rPr>
          <w:color w:val="231F20"/>
        </w:rPr>
        <w:t>noted</w:t>
      </w:r>
      <w:r>
        <w:rPr>
          <w:color w:val="231F20"/>
          <w:spacing w:val="-9"/>
        </w:rPr>
        <w:t xml:space="preserve"> </w:t>
      </w:r>
      <w:r>
        <w:rPr>
          <w:color w:val="231F20"/>
        </w:rPr>
        <w:t>that</w:t>
      </w:r>
      <w:r>
        <w:rPr>
          <w:color w:val="231F20"/>
          <w:spacing w:val="-9"/>
        </w:rPr>
        <w:t xml:space="preserve"> </w:t>
      </w:r>
      <w:r>
        <w:rPr>
          <w:color w:val="231F20"/>
        </w:rPr>
        <w:t>the</w:t>
      </w:r>
      <w:r>
        <w:rPr>
          <w:color w:val="231F20"/>
          <w:spacing w:val="-9"/>
        </w:rPr>
        <w:t xml:space="preserve"> </w:t>
      </w:r>
      <w:r>
        <w:rPr>
          <w:color w:val="231F20"/>
        </w:rPr>
        <w:t>original</w:t>
      </w:r>
      <w:r>
        <w:rPr>
          <w:color w:val="231F20"/>
          <w:spacing w:val="-9"/>
        </w:rPr>
        <w:t xml:space="preserve"> </w:t>
      </w:r>
      <w:r>
        <w:rPr>
          <w:color w:val="231F20"/>
        </w:rPr>
        <w:t>‘Ironman’ race</w:t>
      </w:r>
      <w:r>
        <w:rPr>
          <w:color w:val="231F20"/>
          <w:spacing w:val="-9"/>
        </w:rPr>
        <w:t xml:space="preserve"> </w:t>
      </w:r>
      <w:r>
        <w:rPr>
          <w:color w:val="231F20"/>
        </w:rPr>
        <w:t>was</w:t>
      </w:r>
      <w:r>
        <w:rPr>
          <w:color w:val="231F20"/>
          <w:spacing w:val="-9"/>
        </w:rPr>
        <w:t xml:space="preserve"> </w:t>
      </w:r>
      <w:r>
        <w:rPr>
          <w:color w:val="231F20"/>
        </w:rPr>
        <w:t>transferred</w:t>
      </w:r>
      <w:r>
        <w:rPr>
          <w:color w:val="231F20"/>
          <w:spacing w:val="-9"/>
        </w:rPr>
        <w:t xml:space="preserve"> </w:t>
      </w:r>
      <w:r>
        <w:rPr>
          <w:color w:val="231F20"/>
        </w:rPr>
        <w:t>from</w:t>
      </w:r>
      <w:r>
        <w:rPr>
          <w:color w:val="231F20"/>
          <w:spacing w:val="-9"/>
        </w:rPr>
        <w:t xml:space="preserve"> </w:t>
      </w:r>
      <w:r>
        <w:rPr>
          <w:color w:val="231F20"/>
        </w:rPr>
        <w:t>Honolulu</w:t>
      </w:r>
      <w:r>
        <w:rPr>
          <w:color w:val="231F20"/>
          <w:spacing w:val="-9"/>
        </w:rPr>
        <w:t xml:space="preserve"> </w:t>
      </w:r>
      <w:r>
        <w:rPr>
          <w:color w:val="231F20"/>
        </w:rPr>
        <w:t>to</w:t>
      </w:r>
      <w:r>
        <w:rPr>
          <w:color w:val="231F20"/>
          <w:spacing w:val="-9"/>
        </w:rPr>
        <w:t xml:space="preserve"> </w:t>
      </w:r>
      <w:r>
        <w:rPr>
          <w:color w:val="231F20"/>
        </w:rPr>
        <w:t>Kona</w:t>
      </w:r>
      <w:r>
        <w:rPr>
          <w:color w:val="231F20"/>
          <w:spacing w:val="-9"/>
        </w:rPr>
        <w:t xml:space="preserve"> </w:t>
      </w:r>
      <w:r>
        <w:rPr>
          <w:color w:val="231F20"/>
        </w:rPr>
        <w:t>in</w:t>
      </w:r>
      <w:r>
        <w:rPr>
          <w:color w:val="231F20"/>
          <w:spacing w:val="-9"/>
        </w:rPr>
        <w:t xml:space="preserve"> </w:t>
      </w:r>
      <w:r>
        <w:rPr>
          <w:color w:val="231F20"/>
        </w:rPr>
        <w:t>the</w:t>
      </w:r>
      <w:r>
        <w:rPr>
          <w:color w:val="231F20"/>
          <w:spacing w:val="-9"/>
        </w:rPr>
        <w:t xml:space="preserve"> </w:t>
      </w:r>
      <w:r>
        <w:rPr>
          <w:color w:val="231F20"/>
        </w:rPr>
        <w:t>early</w:t>
      </w:r>
      <w:r>
        <w:rPr>
          <w:color w:val="231F20"/>
          <w:spacing w:val="-9"/>
        </w:rPr>
        <w:t xml:space="preserve"> </w:t>
      </w:r>
      <w:r>
        <w:rPr>
          <w:color w:val="231F20"/>
        </w:rPr>
        <w:t>1980s.</w:t>
      </w:r>
      <w:r>
        <w:rPr>
          <w:color w:val="231F20"/>
          <w:spacing w:val="-9"/>
        </w:rPr>
        <w:t xml:space="preserve"> </w:t>
      </w:r>
      <w:r>
        <w:rPr>
          <w:color w:val="231F20"/>
        </w:rPr>
        <w:t>This</w:t>
      </w:r>
      <w:r>
        <w:rPr>
          <w:color w:val="231F20"/>
          <w:spacing w:val="-9"/>
        </w:rPr>
        <w:t xml:space="preserve"> </w:t>
      </w:r>
      <w:r>
        <w:rPr>
          <w:color w:val="231F20"/>
        </w:rPr>
        <w:t>shift corresponded</w:t>
      </w:r>
      <w:r>
        <w:rPr>
          <w:color w:val="231F20"/>
          <w:spacing w:val="-9"/>
        </w:rPr>
        <w:t xml:space="preserve"> </w:t>
      </w:r>
      <w:r>
        <w:rPr>
          <w:color w:val="231F20"/>
        </w:rPr>
        <w:t>to</w:t>
      </w:r>
      <w:r>
        <w:rPr>
          <w:color w:val="231F20"/>
          <w:spacing w:val="-9"/>
        </w:rPr>
        <w:t xml:space="preserve"> </w:t>
      </w:r>
      <w:r>
        <w:rPr>
          <w:color w:val="231F20"/>
        </w:rPr>
        <w:t>the</w:t>
      </w:r>
      <w:r>
        <w:rPr>
          <w:color w:val="231F20"/>
          <w:spacing w:val="-9"/>
        </w:rPr>
        <w:t xml:space="preserve"> </w:t>
      </w:r>
      <w:r>
        <w:rPr>
          <w:color w:val="231F20"/>
        </w:rPr>
        <w:t>last</w:t>
      </w:r>
      <w:r>
        <w:rPr>
          <w:color w:val="231F20"/>
          <w:spacing w:val="-9"/>
        </w:rPr>
        <w:t xml:space="preserve"> </w:t>
      </w:r>
      <w:r>
        <w:rPr>
          <w:color w:val="231F20"/>
        </w:rPr>
        <w:t>period</w:t>
      </w:r>
      <w:r>
        <w:rPr>
          <w:color w:val="231F20"/>
          <w:spacing w:val="-9"/>
        </w:rPr>
        <w:t xml:space="preserve"> </w:t>
      </w:r>
      <w:r>
        <w:rPr>
          <w:color w:val="231F20"/>
        </w:rPr>
        <w:t>of</w:t>
      </w:r>
      <w:r>
        <w:rPr>
          <w:color w:val="231F20"/>
          <w:spacing w:val="-9"/>
        </w:rPr>
        <w:t xml:space="preserve"> </w:t>
      </w:r>
      <w:r>
        <w:rPr>
          <w:color w:val="231F20"/>
        </w:rPr>
        <w:t>Kona’s</w:t>
      </w:r>
      <w:r>
        <w:rPr>
          <w:color w:val="231F20"/>
          <w:spacing w:val="-9"/>
        </w:rPr>
        <w:t xml:space="preserve"> </w:t>
      </w:r>
      <w:r>
        <w:rPr>
          <w:color w:val="231F20"/>
        </w:rPr>
        <w:t>development</w:t>
      </w:r>
      <w:r>
        <w:rPr>
          <w:color w:val="231F20"/>
          <w:spacing w:val="-9"/>
        </w:rPr>
        <w:t xml:space="preserve"> </w:t>
      </w:r>
      <w:r>
        <w:rPr>
          <w:color w:val="231F20"/>
        </w:rPr>
        <w:t>phase</w:t>
      </w:r>
      <w:r>
        <w:rPr>
          <w:color w:val="231F20"/>
          <w:spacing w:val="-9"/>
        </w:rPr>
        <w:t xml:space="preserve"> </w:t>
      </w:r>
      <w:r>
        <w:rPr>
          <w:color w:val="231F20"/>
        </w:rPr>
        <w:t>and</w:t>
      </w:r>
      <w:r>
        <w:rPr>
          <w:color w:val="231F20"/>
          <w:spacing w:val="-9"/>
        </w:rPr>
        <w:t xml:space="preserve"> </w:t>
      </w:r>
      <w:r>
        <w:rPr>
          <w:color w:val="231F20"/>
        </w:rPr>
        <w:t>served as an image-maker for the destination. It marked a critical point in the development</w:t>
      </w:r>
      <w:r>
        <w:rPr>
          <w:color w:val="231F20"/>
          <w:spacing w:val="-12"/>
        </w:rPr>
        <w:t xml:space="preserve"> </w:t>
      </w:r>
      <w:r>
        <w:rPr>
          <w:color w:val="231F20"/>
        </w:rPr>
        <w:t>of</w:t>
      </w:r>
      <w:r>
        <w:rPr>
          <w:color w:val="231F20"/>
          <w:spacing w:val="-11"/>
        </w:rPr>
        <w:t xml:space="preserve"> </w:t>
      </w:r>
      <w:r>
        <w:rPr>
          <w:color w:val="231F20"/>
        </w:rPr>
        <w:t>Kona</w:t>
      </w:r>
      <w:r>
        <w:rPr>
          <w:color w:val="231F20"/>
          <w:spacing w:val="-12"/>
        </w:rPr>
        <w:t xml:space="preserve"> </w:t>
      </w:r>
      <w:r>
        <w:rPr>
          <w:color w:val="231F20"/>
        </w:rPr>
        <w:t>by</w:t>
      </w:r>
      <w:r>
        <w:rPr>
          <w:color w:val="231F20"/>
          <w:spacing w:val="-11"/>
        </w:rPr>
        <w:t xml:space="preserve"> </w:t>
      </w:r>
      <w:r>
        <w:rPr>
          <w:color w:val="231F20"/>
        </w:rPr>
        <w:t>replacing</w:t>
      </w:r>
      <w:r>
        <w:rPr>
          <w:color w:val="231F20"/>
          <w:spacing w:val="-12"/>
        </w:rPr>
        <w:t xml:space="preserve"> </w:t>
      </w:r>
      <w:r>
        <w:rPr>
          <w:color w:val="231F20"/>
        </w:rPr>
        <w:t>the</w:t>
      </w:r>
      <w:r>
        <w:rPr>
          <w:color w:val="231F20"/>
          <w:spacing w:val="-11"/>
        </w:rPr>
        <w:t xml:space="preserve"> </w:t>
      </w:r>
      <w:r>
        <w:rPr>
          <w:color w:val="231F20"/>
        </w:rPr>
        <w:t>‘way</w:t>
      </w:r>
      <w:r>
        <w:rPr>
          <w:color w:val="231F20"/>
          <w:spacing w:val="-12"/>
        </w:rPr>
        <w:t xml:space="preserve"> </w:t>
      </w:r>
      <w:r>
        <w:rPr>
          <w:color w:val="231F20"/>
        </w:rPr>
        <w:t>of</w:t>
      </w:r>
      <w:r>
        <w:rPr>
          <w:color w:val="231F20"/>
          <w:spacing w:val="-11"/>
        </w:rPr>
        <w:t xml:space="preserve"> </w:t>
      </w:r>
      <w:r>
        <w:rPr>
          <w:color w:val="231F20"/>
        </w:rPr>
        <w:t>life’</w:t>
      </w:r>
      <w:r>
        <w:rPr>
          <w:color w:val="231F20"/>
          <w:spacing w:val="-12"/>
        </w:rPr>
        <w:t xml:space="preserve"> </w:t>
      </w:r>
      <w:r>
        <w:rPr>
          <w:color w:val="231F20"/>
        </w:rPr>
        <w:t>destination</w:t>
      </w:r>
      <w:r>
        <w:rPr>
          <w:color w:val="231F20"/>
          <w:spacing w:val="-11"/>
        </w:rPr>
        <w:t xml:space="preserve"> </w:t>
      </w:r>
      <w:r>
        <w:rPr>
          <w:color w:val="231F20"/>
        </w:rPr>
        <w:t>i</w:t>
      </w:r>
      <w:r>
        <w:rPr>
          <w:color w:val="231F20"/>
        </w:rPr>
        <w:t>mage</w:t>
      </w:r>
      <w:r>
        <w:rPr>
          <w:color w:val="231F20"/>
          <w:spacing w:val="-12"/>
        </w:rPr>
        <w:t xml:space="preserve"> </w:t>
      </w:r>
      <w:r>
        <w:rPr>
          <w:color w:val="231F20"/>
        </w:rPr>
        <w:t>with an ‘active sports’ image. Similarly, surfing in the Miyazaki Prefecture played a major role in revitalising a local tourism industry in this part</w:t>
      </w:r>
      <w:r>
        <w:rPr>
          <w:color w:val="231F20"/>
          <w:spacing w:val="80"/>
        </w:rPr>
        <w:t xml:space="preserve"> </w:t>
      </w:r>
      <w:r>
        <w:rPr>
          <w:color w:val="231F20"/>
        </w:rPr>
        <w:t>of Japan (Doering, 2017). Successfully positioned as a ‘southern tropical paradise’ from the 1930s t</w:t>
      </w:r>
      <w:r>
        <w:rPr>
          <w:color w:val="231F20"/>
        </w:rPr>
        <w:t xml:space="preserve">hrough to the 1950s, Miyazaki transitioned </w:t>
      </w:r>
      <w:r>
        <w:rPr>
          <w:color w:val="231F20"/>
          <w:w w:val="95"/>
        </w:rPr>
        <w:t>into a honeymoon resort in the 1960s and 1970s. Surfing was introduced</w:t>
      </w:r>
      <w:r>
        <w:rPr>
          <w:color w:val="231F20"/>
          <w:spacing w:val="80"/>
          <w:w w:val="150"/>
        </w:rPr>
        <w:t xml:space="preserve"> </w:t>
      </w:r>
      <w:r>
        <w:rPr>
          <w:color w:val="231F20"/>
        </w:rPr>
        <w:t xml:space="preserve">in the 1960s and slowly gained momentum throughout the next four </w:t>
      </w:r>
      <w:r>
        <w:rPr>
          <w:color w:val="231F20"/>
          <w:w w:val="95"/>
        </w:rPr>
        <w:t xml:space="preserve">decades. By the end of the 1970s, honeymoon tourism had shifted to other </w:t>
      </w:r>
      <w:r>
        <w:rPr>
          <w:color w:val="231F20"/>
        </w:rPr>
        <w:t>dest</w:t>
      </w:r>
      <w:r>
        <w:rPr>
          <w:color w:val="231F20"/>
        </w:rPr>
        <w:t>inations. Over the next three decades, the surf culture in Miyazaki evolved</w:t>
      </w:r>
      <w:r>
        <w:rPr>
          <w:color w:val="231F20"/>
          <w:spacing w:val="-3"/>
        </w:rPr>
        <w:t xml:space="preserve"> </w:t>
      </w:r>
      <w:r>
        <w:rPr>
          <w:color w:val="231F20"/>
        </w:rPr>
        <w:t>organically</w:t>
      </w:r>
      <w:r>
        <w:rPr>
          <w:color w:val="231F20"/>
          <w:spacing w:val="-3"/>
        </w:rPr>
        <w:t xml:space="preserve"> </w:t>
      </w:r>
      <w:r>
        <w:rPr>
          <w:color w:val="231F20"/>
        </w:rPr>
        <w:t>and</w:t>
      </w:r>
      <w:r>
        <w:rPr>
          <w:color w:val="231F20"/>
          <w:spacing w:val="-3"/>
        </w:rPr>
        <w:t xml:space="preserve"> </w:t>
      </w:r>
      <w:r>
        <w:rPr>
          <w:color w:val="231F20"/>
        </w:rPr>
        <w:t>by</w:t>
      </w:r>
      <w:r>
        <w:rPr>
          <w:color w:val="231F20"/>
          <w:spacing w:val="-3"/>
        </w:rPr>
        <w:t xml:space="preserve"> </w:t>
      </w:r>
      <w:r>
        <w:rPr>
          <w:color w:val="231F20"/>
        </w:rPr>
        <w:t>2010</w:t>
      </w:r>
      <w:r>
        <w:rPr>
          <w:color w:val="231F20"/>
          <w:spacing w:val="-3"/>
        </w:rPr>
        <w:t xml:space="preserve"> </w:t>
      </w:r>
      <w:r>
        <w:rPr>
          <w:color w:val="231F20"/>
        </w:rPr>
        <w:t>there</w:t>
      </w:r>
      <w:r>
        <w:rPr>
          <w:color w:val="231F20"/>
          <w:spacing w:val="-3"/>
        </w:rPr>
        <w:t xml:space="preserve"> </w:t>
      </w:r>
      <w:r>
        <w:rPr>
          <w:color w:val="231F20"/>
        </w:rPr>
        <w:t>was</w:t>
      </w:r>
      <w:r>
        <w:rPr>
          <w:color w:val="231F20"/>
          <w:spacing w:val="-3"/>
        </w:rPr>
        <w:t xml:space="preserve"> </w:t>
      </w:r>
      <w:r>
        <w:rPr>
          <w:color w:val="231F20"/>
        </w:rPr>
        <w:t>a</w:t>
      </w:r>
      <w:r>
        <w:rPr>
          <w:color w:val="231F20"/>
          <w:spacing w:val="-3"/>
        </w:rPr>
        <w:t xml:space="preserve"> </w:t>
      </w:r>
      <w:r>
        <w:rPr>
          <w:color w:val="231F20"/>
        </w:rPr>
        <w:t>demonstrable</w:t>
      </w:r>
      <w:r>
        <w:rPr>
          <w:color w:val="231F20"/>
          <w:spacing w:val="-3"/>
        </w:rPr>
        <w:t xml:space="preserve"> </w:t>
      </w:r>
      <w:r>
        <w:rPr>
          <w:color w:val="231F20"/>
        </w:rPr>
        <w:t xml:space="preserve">convergence of surf culture and tourism that positioned Miyazaki as the pre-eminent </w:t>
      </w:r>
      <w:r>
        <w:rPr>
          <w:color w:val="231F20"/>
          <w:w w:val="95"/>
        </w:rPr>
        <w:t xml:space="preserve">surf destination in Japan. With the inclusion of surfing as a demonstration </w:t>
      </w:r>
      <w:r>
        <w:rPr>
          <w:color w:val="231F20"/>
        </w:rPr>
        <w:t>sport</w:t>
      </w:r>
      <w:r>
        <w:rPr>
          <w:color w:val="231F20"/>
          <w:spacing w:val="-7"/>
        </w:rPr>
        <w:t xml:space="preserve"> </w:t>
      </w:r>
      <w:r>
        <w:rPr>
          <w:color w:val="231F20"/>
        </w:rPr>
        <w:t>in</w:t>
      </w:r>
      <w:r>
        <w:rPr>
          <w:color w:val="231F20"/>
          <w:spacing w:val="-7"/>
        </w:rPr>
        <w:t xml:space="preserve"> </w:t>
      </w:r>
      <w:r>
        <w:rPr>
          <w:color w:val="231F20"/>
        </w:rPr>
        <w:t>the</w:t>
      </w:r>
      <w:r>
        <w:rPr>
          <w:color w:val="231F20"/>
          <w:spacing w:val="-7"/>
        </w:rPr>
        <w:t xml:space="preserve"> </w:t>
      </w:r>
      <w:r>
        <w:rPr>
          <w:color w:val="231F20"/>
        </w:rPr>
        <w:t>2020</w:t>
      </w:r>
      <w:r>
        <w:rPr>
          <w:color w:val="231F20"/>
          <w:spacing w:val="-7"/>
        </w:rPr>
        <w:t xml:space="preserve"> </w:t>
      </w:r>
      <w:r>
        <w:rPr>
          <w:color w:val="231F20"/>
        </w:rPr>
        <w:t>Tokyo</w:t>
      </w:r>
      <w:r>
        <w:rPr>
          <w:color w:val="231F20"/>
          <w:spacing w:val="-7"/>
        </w:rPr>
        <w:t xml:space="preserve"> </w:t>
      </w:r>
      <w:r>
        <w:rPr>
          <w:color w:val="231F20"/>
        </w:rPr>
        <w:t>Olympics,</w:t>
      </w:r>
      <w:r>
        <w:rPr>
          <w:color w:val="231F20"/>
          <w:spacing w:val="-7"/>
        </w:rPr>
        <w:t xml:space="preserve"> </w:t>
      </w:r>
      <w:r>
        <w:rPr>
          <w:color w:val="231F20"/>
        </w:rPr>
        <w:t>Miyazaki’s</w:t>
      </w:r>
      <w:r>
        <w:rPr>
          <w:color w:val="231F20"/>
          <w:spacing w:val="-7"/>
        </w:rPr>
        <w:t xml:space="preserve"> </w:t>
      </w:r>
      <w:r>
        <w:rPr>
          <w:color w:val="231F20"/>
        </w:rPr>
        <w:t>status</w:t>
      </w:r>
      <w:r>
        <w:rPr>
          <w:color w:val="231F20"/>
          <w:spacing w:val="-7"/>
        </w:rPr>
        <w:t xml:space="preserve"> </w:t>
      </w:r>
      <w:r>
        <w:rPr>
          <w:color w:val="231F20"/>
        </w:rPr>
        <w:t>as</w:t>
      </w:r>
      <w:r>
        <w:rPr>
          <w:color w:val="231F20"/>
          <w:spacing w:val="-7"/>
        </w:rPr>
        <w:t xml:space="preserve"> </w:t>
      </w:r>
      <w:r>
        <w:rPr>
          <w:color w:val="231F20"/>
        </w:rPr>
        <w:t>a</w:t>
      </w:r>
      <w:r>
        <w:rPr>
          <w:color w:val="231F20"/>
          <w:spacing w:val="-7"/>
        </w:rPr>
        <w:t xml:space="preserve"> </w:t>
      </w:r>
      <w:r>
        <w:rPr>
          <w:color w:val="231F20"/>
        </w:rPr>
        <w:t>surf</w:t>
      </w:r>
      <w:r>
        <w:rPr>
          <w:color w:val="231F20"/>
          <w:spacing w:val="-7"/>
        </w:rPr>
        <w:t xml:space="preserve"> </w:t>
      </w:r>
      <w:r>
        <w:rPr>
          <w:color w:val="231F20"/>
        </w:rPr>
        <w:t>destination will</w:t>
      </w:r>
      <w:r>
        <w:rPr>
          <w:color w:val="231F20"/>
          <w:spacing w:val="-5"/>
        </w:rPr>
        <w:t xml:space="preserve"> </w:t>
      </w:r>
      <w:r>
        <w:rPr>
          <w:color w:val="231F20"/>
        </w:rPr>
        <w:t>continue</w:t>
      </w:r>
      <w:r>
        <w:rPr>
          <w:color w:val="231F20"/>
          <w:spacing w:val="-5"/>
        </w:rPr>
        <w:t xml:space="preserve"> </w:t>
      </w:r>
      <w:r>
        <w:rPr>
          <w:color w:val="231F20"/>
        </w:rPr>
        <w:t>to</w:t>
      </w:r>
      <w:r>
        <w:rPr>
          <w:color w:val="231F20"/>
          <w:spacing w:val="-5"/>
        </w:rPr>
        <w:t xml:space="preserve"> </w:t>
      </w:r>
      <w:r>
        <w:rPr>
          <w:color w:val="231F20"/>
        </w:rPr>
        <w:t>devel</w:t>
      </w:r>
      <w:r>
        <w:rPr>
          <w:color w:val="231F20"/>
        </w:rPr>
        <w:t>op</w:t>
      </w:r>
      <w:r>
        <w:rPr>
          <w:color w:val="231F20"/>
          <w:spacing w:val="-5"/>
        </w:rPr>
        <w:t xml:space="preserve"> </w:t>
      </w:r>
      <w:r>
        <w:rPr>
          <w:color w:val="231F20"/>
        </w:rPr>
        <w:t>and</w:t>
      </w:r>
      <w:r>
        <w:rPr>
          <w:color w:val="231F20"/>
          <w:spacing w:val="-5"/>
        </w:rPr>
        <w:t xml:space="preserve"> </w:t>
      </w:r>
      <w:r>
        <w:rPr>
          <w:color w:val="231F20"/>
        </w:rPr>
        <w:t>evolve</w:t>
      </w:r>
      <w:r>
        <w:rPr>
          <w:color w:val="231F20"/>
          <w:spacing w:val="-5"/>
        </w:rPr>
        <w:t xml:space="preserve"> </w:t>
      </w:r>
      <w:r>
        <w:rPr>
          <w:color w:val="231F20"/>
        </w:rPr>
        <w:t>over</w:t>
      </w:r>
      <w:r>
        <w:rPr>
          <w:color w:val="231F20"/>
          <w:spacing w:val="-5"/>
        </w:rPr>
        <w:t xml:space="preserve"> </w:t>
      </w:r>
      <w:r>
        <w:rPr>
          <w:color w:val="231F20"/>
        </w:rPr>
        <w:t>time</w:t>
      </w:r>
      <w:r>
        <w:rPr>
          <w:color w:val="231F20"/>
          <w:spacing w:val="-5"/>
        </w:rPr>
        <w:t xml:space="preserve"> </w:t>
      </w:r>
      <w:r>
        <w:rPr>
          <w:color w:val="231F20"/>
        </w:rPr>
        <w:t>(Case</w:t>
      </w:r>
      <w:r>
        <w:rPr>
          <w:color w:val="231F20"/>
          <w:spacing w:val="-5"/>
        </w:rPr>
        <w:t xml:space="preserve"> </w:t>
      </w:r>
      <w:r>
        <w:rPr>
          <w:color w:val="231F20"/>
        </w:rPr>
        <w:t>Study</w:t>
      </w:r>
      <w:r>
        <w:rPr>
          <w:color w:val="231F20"/>
          <w:spacing w:val="-5"/>
        </w:rPr>
        <w:t xml:space="preserve"> </w:t>
      </w:r>
      <w:r>
        <w:rPr>
          <w:color w:val="231F20"/>
        </w:rPr>
        <w:t>10.1).</w:t>
      </w:r>
    </w:p>
    <w:p w14:paraId="0F3B56AB" w14:textId="77777777" w:rsidR="00AE0598" w:rsidRDefault="00AE0598">
      <w:pPr>
        <w:pStyle w:val="Corpodetexto"/>
        <w:rPr>
          <w:sz w:val="20"/>
        </w:rPr>
      </w:pPr>
    </w:p>
    <w:p w14:paraId="7278A899" w14:textId="77777777" w:rsidR="00AE0598" w:rsidRDefault="00AE0598">
      <w:pPr>
        <w:pStyle w:val="Corpodetexto"/>
        <w:rPr>
          <w:sz w:val="22"/>
        </w:rPr>
      </w:pPr>
    </w:p>
    <w:p w14:paraId="19E8E48E" w14:textId="4CA85110" w:rsidR="00AE0598" w:rsidRDefault="0069255A">
      <w:pPr>
        <w:spacing w:line="247" w:lineRule="auto"/>
        <w:ind w:left="229" w:right="476"/>
        <w:jc w:val="both"/>
        <w:rPr>
          <w:rFonts w:ascii="Trebuchet MS" w:hAnsi="Trebuchet MS"/>
          <w:sz w:val="20"/>
        </w:rPr>
      </w:pPr>
      <w:r>
        <w:rPr>
          <w:noProof/>
        </w:rPr>
        <mc:AlternateContent>
          <mc:Choice Requires="wps">
            <w:drawing>
              <wp:anchor distT="0" distB="0" distL="114300" distR="114300" simplePos="0" relativeHeight="483748864" behindDoc="1" locked="0" layoutInCell="1" allowOverlap="1" wp14:anchorId="596A3AB2" wp14:editId="4AC397EE">
                <wp:simplePos x="0" y="0"/>
                <wp:positionH relativeFrom="page">
                  <wp:posOffset>759460</wp:posOffset>
                </wp:positionH>
                <wp:positionV relativeFrom="paragraph">
                  <wp:posOffset>-48260</wp:posOffset>
                </wp:positionV>
                <wp:extent cx="4104005" cy="3463290"/>
                <wp:effectExtent l="0" t="0" r="0" b="0"/>
                <wp:wrapNone/>
                <wp:docPr id="51" name="docshape3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04005" cy="3463290"/>
                        </a:xfrm>
                        <a:prstGeom prst="rect">
                          <a:avLst/>
                        </a:prstGeom>
                        <a:solidFill>
                          <a:srgbClr val="DCDDD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5AD412" id="docshape302" o:spid="_x0000_s1026" style="position:absolute;margin-left:59.8pt;margin-top:-3.8pt;width:323.15pt;height:272.7pt;z-index:-195676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" fillcolor="#dcddde" stroked="f">
                <w10:wrap anchorx="page"/>
              </v:rect>
            </w:pict>
          </mc:Fallback>
        </mc:AlternateContent>
      </w:r>
      <w:r>
        <w:rPr>
          <w:rFonts w:ascii="Trebuchet MS" w:hAnsi="Trebuchet MS"/>
          <w:color w:val="231F20"/>
          <w:w w:val="105"/>
          <w:sz w:val="20"/>
        </w:rPr>
        <w:t>Case</w:t>
      </w:r>
      <w:r>
        <w:rPr>
          <w:rFonts w:ascii="Trebuchet MS" w:hAnsi="Trebuchet MS"/>
          <w:color w:val="231F20"/>
          <w:spacing w:val="-13"/>
          <w:w w:val="105"/>
          <w:sz w:val="20"/>
        </w:rPr>
        <w:t xml:space="preserve"> </w:t>
      </w:r>
      <w:r>
        <w:rPr>
          <w:rFonts w:ascii="Trebuchet MS" w:hAnsi="Trebuchet MS"/>
          <w:color w:val="231F20"/>
          <w:w w:val="105"/>
          <w:sz w:val="20"/>
        </w:rPr>
        <w:t>Study</w:t>
      </w:r>
      <w:r>
        <w:rPr>
          <w:rFonts w:ascii="Trebuchet MS" w:hAnsi="Trebuchet MS"/>
          <w:color w:val="231F20"/>
          <w:spacing w:val="-13"/>
          <w:w w:val="105"/>
          <w:sz w:val="20"/>
        </w:rPr>
        <w:t xml:space="preserve"> </w:t>
      </w:r>
      <w:r>
        <w:rPr>
          <w:rFonts w:ascii="Trebuchet MS" w:hAnsi="Trebuchet MS"/>
          <w:color w:val="231F20"/>
          <w:w w:val="105"/>
          <w:sz w:val="20"/>
        </w:rPr>
        <w:t>10.1:</w:t>
      </w:r>
      <w:r>
        <w:rPr>
          <w:rFonts w:ascii="Trebuchet MS" w:hAnsi="Trebuchet MS"/>
          <w:color w:val="231F20"/>
          <w:spacing w:val="-13"/>
          <w:w w:val="105"/>
          <w:sz w:val="20"/>
        </w:rPr>
        <w:t xml:space="preserve"> </w:t>
      </w:r>
      <w:r>
        <w:rPr>
          <w:rFonts w:ascii="Trebuchet MS" w:hAnsi="Trebuchet MS"/>
          <w:color w:val="231F20"/>
          <w:w w:val="105"/>
          <w:sz w:val="20"/>
        </w:rPr>
        <w:t>From</w:t>
      </w:r>
      <w:r>
        <w:rPr>
          <w:rFonts w:ascii="Trebuchet MS" w:hAnsi="Trebuchet MS"/>
          <w:color w:val="231F20"/>
          <w:spacing w:val="-13"/>
          <w:w w:val="105"/>
          <w:sz w:val="20"/>
        </w:rPr>
        <w:t xml:space="preserve"> </w:t>
      </w:r>
      <w:r>
        <w:rPr>
          <w:rFonts w:ascii="Trebuchet MS" w:hAnsi="Trebuchet MS"/>
          <w:i/>
          <w:color w:val="231F20"/>
          <w:w w:val="105"/>
          <w:sz w:val="20"/>
        </w:rPr>
        <w:t>He’e</w:t>
      </w:r>
      <w:r>
        <w:rPr>
          <w:rFonts w:ascii="Trebuchet MS" w:hAnsi="Trebuchet MS"/>
          <w:i/>
          <w:color w:val="231F20"/>
          <w:spacing w:val="-13"/>
          <w:w w:val="105"/>
          <w:sz w:val="20"/>
        </w:rPr>
        <w:t xml:space="preserve"> </w:t>
      </w:r>
      <w:r>
        <w:rPr>
          <w:rFonts w:ascii="Trebuchet MS" w:hAnsi="Trebuchet MS"/>
          <w:i/>
          <w:color w:val="231F20"/>
          <w:w w:val="105"/>
          <w:sz w:val="20"/>
        </w:rPr>
        <w:t>nalu</w:t>
      </w:r>
      <w:r>
        <w:rPr>
          <w:rFonts w:ascii="Trebuchet MS" w:hAnsi="Trebuchet MS"/>
          <w:i/>
          <w:color w:val="231F20"/>
          <w:spacing w:val="-13"/>
          <w:w w:val="105"/>
          <w:sz w:val="20"/>
        </w:rPr>
        <w:t xml:space="preserve"> </w:t>
      </w:r>
      <w:r>
        <w:rPr>
          <w:rFonts w:ascii="Trebuchet MS" w:hAnsi="Trebuchet MS"/>
          <w:color w:val="231F20"/>
          <w:w w:val="105"/>
          <w:sz w:val="20"/>
        </w:rPr>
        <w:t>to</w:t>
      </w:r>
      <w:r>
        <w:rPr>
          <w:rFonts w:ascii="Trebuchet MS" w:hAnsi="Trebuchet MS"/>
          <w:color w:val="231F20"/>
          <w:spacing w:val="-13"/>
          <w:w w:val="105"/>
          <w:sz w:val="20"/>
        </w:rPr>
        <w:t xml:space="preserve"> </w:t>
      </w:r>
      <w:r>
        <w:rPr>
          <w:rFonts w:ascii="Trebuchet MS" w:hAnsi="Trebuchet MS"/>
          <w:color w:val="231F20"/>
          <w:w w:val="105"/>
          <w:sz w:val="20"/>
        </w:rPr>
        <w:t>Olympic</w:t>
      </w:r>
      <w:r>
        <w:rPr>
          <w:rFonts w:ascii="Trebuchet MS" w:hAnsi="Trebuchet MS"/>
          <w:color w:val="231F20"/>
          <w:spacing w:val="-13"/>
          <w:w w:val="105"/>
          <w:sz w:val="20"/>
        </w:rPr>
        <w:t xml:space="preserve"> </w:t>
      </w:r>
      <w:r>
        <w:rPr>
          <w:rFonts w:ascii="Trebuchet MS" w:hAnsi="Trebuchet MS"/>
          <w:color w:val="231F20"/>
          <w:w w:val="105"/>
          <w:sz w:val="20"/>
        </w:rPr>
        <w:t>Sport</w:t>
      </w:r>
      <w:r>
        <w:rPr>
          <w:rFonts w:ascii="Trebuchet MS" w:hAnsi="Trebuchet MS"/>
          <w:color w:val="231F20"/>
          <w:spacing w:val="-13"/>
          <w:w w:val="105"/>
          <w:sz w:val="20"/>
        </w:rPr>
        <w:t xml:space="preserve"> </w:t>
      </w:r>
      <w:r>
        <w:rPr>
          <w:rFonts w:ascii="Trebuchet MS" w:hAnsi="Trebuchet MS"/>
          <w:color w:val="231F20"/>
          <w:w w:val="105"/>
          <w:sz w:val="20"/>
        </w:rPr>
        <w:t>–</w:t>
      </w:r>
      <w:r>
        <w:rPr>
          <w:rFonts w:ascii="Trebuchet MS" w:hAnsi="Trebuchet MS"/>
          <w:color w:val="231F20"/>
          <w:spacing w:val="-13"/>
          <w:w w:val="105"/>
          <w:sz w:val="20"/>
        </w:rPr>
        <w:t xml:space="preserve"> </w:t>
      </w:r>
      <w:r>
        <w:rPr>
          <w:rFonts w:ascii="Trebuchet MS" w:hAnsi="Trebuchet MS"/>
          <w:color w:val="231F20"/>
          <w:w w:val="105"/>
          <w:sz w:val="20"/>
        </w:rPr>
        <w:t>A</w:t>
      </w:r>
      <w:r>
        <w:rPr>
          <w:rFonts w:ascii="Trebuchet MS" w:hAnsi="Trebuchet MS"/>
          <w:color w:val="231F20"/>
          <w:spacing w:val="-13"/>
          <w:w w:val="105"/>
          <w:sz w:val="20"/>
        </w:rPr>
        <w:t xml:space="preserve"> </w:t>
      </w:r>
      <w:r>
        <w:rPr>
          <w:rFonts w:ascii="Trebuchet MS" w:hAnsi="Trebuchet MS"/>
          <w:color w:val="231F20"/>
          <w:w w:val="105"/>
          <w:sz w:val="20"/>
        </w:rPr>
        <w:t>Century</w:t>
      </w:r>
      <w:r>
        <w:rPr>
          <w:rFonts w:ascii="Trebuchet MS" w:hAnsi="Trebuchet MS"/>
          <w:color w:val="231F20"/>
          <w:spacing w:val="-13"/>
          <w:w w:val="105"/>
          <w:sz w:val="20"/>
        </w:rPr>
        <w:t xml:space="preserve"> </w:t>
      </w:r>
      <w:r>
        <w:rPr>
          <w:rFonts w:ascii="Trebuchet MS" w:hAnsi="Trebuchet MS"/>
          <w:color w:val="231F20"/>
          <w:w w:val="105"/>
          <w:sz w:val="20"/>
        </w:rPr>
        <w:t xml:space="preserve">of </w:t>
      </w:r>
      <w:r>
        <w:rPr>
          <w:rFonts w:ascii="Trebuchet MS" w:hAnsi="Trebuchet MS"/>
          <w:color w:val="231F20"/>
          <w:w w:val="110"/>
          <w:sz w:val="20"/>
        </w:rPr>
        <w:t>Surfing Evolution</w:t>
      </w:r>
    </w:p>
    <w:p w14:paraId="1694CF84" w14:textId="77777777" w:rsidR="00AE0598" w:rsidRDefault="0069255A">
      <w:pPr>
        <w:pStyle w:val="Corpodetexto"/>
        <w:spacing w:before="110"/>
        <w:ind w:left="229"/>
        <w:jc w:val="both"/>
      </w:pPr>
      <w:r>
        <w:rPr>
          <w:color w:val="231F20"/>
        </w:rPr>
        <w:t>Adam</w:t>
      </w:r>
      <w:r>
        <w:rPr>
          <w:color w:val="231F20"/>
          <w:spacing w:val="3"/>
        </w:rPr>
        <w:t xml:space="preserve"> </w:t>
      </w:r>
      <w:r>
        <w:rPr>
          <w:color w:val="231F20"/>
        </w:rPr>
        <w:t>Doering,</w:t>
      </w:r>
      <w:r>
        <w:rPr>
          <w:color w:val="231F20"/>
          <w:spacing w:val="3"/>
        </w:rPr>
        <w:t xml:space="preserve"> </w:t>
      </w:r>
      <w:r>
        <w:rPr>
          <w:color w:val="231F20"/>
        </w:rPr>
        <w:t>Wakayama</w:t>
      </w:r>
      <w:r>
        <w:rPr>
          <w:color w:val="231F20"/>
          <w:spacing w:val="3"/>
        </w:rPr>
        <w:t xml:space="preserve"> </w:t>
      </w:r>
      <w:r>
        <w:rPr>
          <w:color w:val="231F20"/>
          <w:spacing w:val="-2"/>
        </w:rPr>
        <w:t>University</w:t>
      </w:r>
    </w:p>
    <w:p w14:paraId="65E9A9B5" w14:textId="77777777" w:rsidR="00AE0598" w:rsidRDefault="0069255A">
      <w:pPr>
        <w:pStyle w:val="Corpodetexto"/>
        <w:spacing w:before="120" w:line="232" w:lineRule="auto"/>
        <w:ind w:left="229" w:right="234" w:firstLine="320"/>
        <w:jc w:val="both"/>
      </w:pPr>
      <w:r>
        <w:rPr>
          <w:color w:val="231F20"/>
        </w:rPr>
        <w:t xml:space="preserve">On 3 August 2016, the International Olympic Committee’s (IOC) </w:t>
      </w:r>
      <w:r>
        <w:rPr>
          <w:color w:val="231F20"/>
          <w:w w:val="95"/>
        </w:rPr>
        <w:t xml:space="preserve">unanimously voted to introduce surfing as a demonstration sport in the </w:t>
      </w:r>
      <w:r>
        <w:rPr>
          <w:color w:val="231F20"/>
        </w:rPr>
        <w:t>Tokyo</w:t>
      </w:r>
      <w:r>
        <w:rPr>
          <w:color w:val="231F20"/>
          <w:spacing w:val="-11"/>
        </w:rPr>
        <w:t xml:space="preserve"> </w:t>
      </w:r>
      <w:r>
        <w:rPr>
          <w:color w:val="231F20"/>
        </w:rPr>
        <w:t>2020</w:t>
      </w:r>
      <w:r>
        <w:rPr>
          <w:color w:val="231F20"/>
          <w:spacing w:val="-11"/>
        </w:rPr>
        <w:t xml:space="preserve"> </w:t>
      </w:r>
      <w:r>
        <w:rPr>
          <w:color w:val="231F20"/>
        </w:rPr>
        <w:t>Games.</w:t>
      </w:r>
      <w:r>
        <w:rPr>
          <w:color w:val="231F20"/>
          <w:spacing w:val="-11"/>
        </w:rPr>
        <w:t xml:space="preserve"> </w:t>
      </w:r>
      <w:r>
        <w:rPr>
          <w:color w:val="231F20"/>
        </w:rPr>
        <w:t>For</w:t>
      </w:r>
      <w:r>
        <w:rPr>
          <w:color w:val="231F20"/>
          <w:spacing w:val="-11"/>
        </w:rPr>
        <w:t xml:space="preserve"> </w:t>
      </w:r>
      <w:r>
        <w:rPr>
          <w:color w:val="231F20"/>
        </w:rPr>
        <w:t>the</w:t>
      </w:r>
      <w:r>
        <w:rPr>
          <w:color w:val="231F20"/>
          <w:spacing w:val="-11"/>
        </w:rPr>
        <w:t xml:space="preserve"> </w:t>
      </w:r>
      <w:r>
        <w:rPr>
          <w:color w:val="231F20"/>
        </w:rPr>
        <w:t>first</w:t>
      </w:r>
      <w:r>
        <w:rPr>
          <w:color w:val="231F20"/>
          <w:spacing w:val="-11"/>
        </w:rPr>
        <w:t xml:space="preserve"> </w:t>
      </w:r>
      <w:r>
        <w:rPr>
          <w:color w:val="231F20"/>
        </w:rPr>
        <w:t>time</w:t>
      </w:r>
      <w:r>
        <w:rPr>
          <w:color w:val="231F20"/>
          <w:spacing w:val="-11"/>
        </w:rPr>
        <w:t xml:space="preserve"> </w:t>
      </w:r>
      <w:r>
        <w:rPr>
          <w:color w:val="231F20"/>
        </w:rPr>
        <w:t>in</w:t>
      </w:r>
      <w:r>
        <w:rPr>
          <w:color w:val="231F20"/>
          <w:spacing w:val="-11"/>
        </w:rPr>
        <w:t xml:space="preserve"> </w:t>
      </w:r>
      <w:r>
        <w:rPr>
          <w:color w:val="231F20"/>
        </w:rPr>
        <w:t>history,</w:t>
      </w:r>
      <w:r>
        <w:rPr>
          <w:color w:val="231F20"/>
          <w:spacing w:val="-11"/>
        </w:rPr>
        <w:t xml:space="preserve"> </w:t>
      </w:r>
      <w:r>
        <w:rPr>
          <w:color w:val="231F20"/>
        </w:rPr>
        <w:t>20</w:t>
      </w:r>
      <w:r>
        <w:rPr>
          <w:color w:val="231F20"/>
          <w:spacing w:val="-11"/>
        </w:rPr>
        <w:t xml:space="preserve"> </w:t>
      </w:r>
      <w:r>
        <w:rPr>
          <w:color w:val="231F20"/>
        </w:rPr>
        <w:t>female</w:t>
      </w:r>
      <w:r>
        <w:rPr>
          <w:color w:val="231F20"/>
          <w:spacing w:val="-11"/>
        </w:rPr>
        <w:t xml:space="preserve"> </w:t>
      </w:r>
      <w:r>
        <w:rPr>
          <w:color w:val="231F20"/>
        </w:rPr>
        <w:t>and</w:t>
      </w:r>
      <w:r>
        <w:rPr>
          <w:color w:val="231F20"/>
          <w:spacing w:val="-11"/>
        </w:rPr>
        <w:t xml:space="preserve"> </w:t>
      </w:r>
      <w:r>
        <w:rPr>
          <w:color w:val="231F20"/>
        </w:rPr>
        <w:t>20</w:t>
      </w:r>
      <w:r>
        <w:rPr>
          <w:color w:val="231F20"/>
          <w:spacing w:val="-11"/>
        </w:rPr>
        <w:t xml:space="preserve"> </w:t>
      </w:r>
      <w:r>
        <w:rPr>
          <w:color w:val="231F20"/>
        </w:rPr>
        <w:t>male surfers</w:t>
      </w:r>
      <w:r>
        <w:rPr>
          <w:color w:val="231F20"/>
          <w:spacing w:val="-4"/>
        </w:rPr>
        <w:t xml:space="preserve"> </w:t>
      </w:r>
      <w:r>
        <w:rPr>
          <w:color w:val="231F20"/>
        </w:rPr>
        <w:t>will</w:t>
      </w:r>
      <w:r>
        <w:rPr>
          <w:color w:val="231F20"/>
          <w:spacing w:val="-4"/>
        </w:rPr>
        <w:t xml:space="preserve"> </w:t>
      </w:r>
      <w:r>
        <w:rPr>
          <w:color w:val="231F20"/>
        </w:rPr>
        <w:t>compete</w:t>
      </w:r>
      <w:r>
        <w:rPr>
          <w:color w:val="231F20"/>
          <w:spacing w:val="-4"/>
        </w:rPr>
        <w:t xml:space="preserve"> </w:t>
      </w:r>
      <w:r>
        <w:rPr>
          <w:color w:val="231F20"/>
        </w:rPr>
        <w:t>for</w:t>
      </w:r>
      <w:r>
        <w:rPr>
          <w:color w:val="231F20"/>
          <w:spacing w:val="-4"/>
        </w:rPr>
        <w:t xml:space="preserve"> </w:t>
      </w:r>
      <w:r>
        <w:rPr>
          <w:color w:val="231F20"/>
        </w:rPr>
        <w:t>medals</w:t>
      </w:r>
      <w:r>
        <w:rPr>
          <w:color w:val="231F20"/>
          <w:spacing w:val="-4"/>
        </w:rPr>
        <w:t xml:space="preserve"> </w:t>
      </w:r>
      <w:r>
        <w:rPr>
          <w:color w:val="231F20"/>
        </w:rPr>
        <w:t>in</w:t>
      </w:r>
      <w:r>
        <w:rPr>
          <w:color w:val="231F20"/>
          <w:spacing w:val="-4"/>
        </w:rPr>
        <w:t xml:space="preserve"> </w:t>
      </w:r>
      <w:r>
        <w:rPr>
          <w:color w:val="231F20"/>
        </w:rPr>
        <w:t>Chiba,</w:t>
      </w:r>
      <w:r>
        <w:rPr>
          <w:color w:val="231F20"/>
          <w:spacing w:val="-4"/>
        </w:rPr>
        <w:t xml:space="preserve"> </w:t>
      </w:r>
      <w:r>
        <w:rPr>
          <w:color w:val="231F20"/>
        </w:rPr>
        <w:t>Japan,</w:t>
      </w:r>
      <w:r>
        <w:rPr>
          <w:color w:val="231F20"/>
          <w:spacing w:val="-4"/>
        </w:rPr>
        <w:t xml:space="preserve"> </w:t>
      </w:r>
      <w:r>
        <w:rPr>
          <w:color w:val="231F20"/>
        </w:rPr>
        <w:t>as</w:t>
      </w:r>
      <w:r>
        <w:rPr>
          <w:color w:val="231F20"/>
          <w:spacing w:val="-4"/>
        </w:rPr>
        <w:t xml:space="preserve"> </w:t>
      </w:r>
      <w:r>
        <w:rPr>
          <w:color w:val="231F20"/>
        </w:rPr>
        <w:t>part</w:t>
      </w:r>
      <w:r>
        <w:rPr>
          <w:color w:val="231F20"/>
          <w:spacing w:val="-4"/>
        </w:rPr>
        <w:t xml:space="preserve"> </w:t>
      </w:r>
      <w:r>
        <w:rPr>
          <w:color w:val="231F20"/>
        </w:rPr>
        <w:t>of</w:t>
      </w:r>
      <w:r>
        <w:rPr>
          <w:color w:val="231F20"/>
          <w:spacing w:val="-4"/>
        </w:rPr>
        <w:t xml:space="preserve"> </w:t>
      </w:r>
      <w:r>
        <w:rPr>
          <w:color w:val="231F20"/>
        </w:rPr>
        <w:t>the</w:t>
      </w:r>
      <w:r>
        <w:rPr>
          <w:color w:val="231F20"/>
          <w:spacing w:val="-4"/>
        </w:rPr>
        <w:t xml:space="preserve"> </w:t>
      </w:r>
      <w:r>
        <w:rPr>
          <w:color w:val="231F20"/>
        </w:rPr>
        <w:t xml:space="preserve">Olympic </w:t>
      </w:r>
      <w:r>
        <w:rPr>
          <w:color w:val="231F20"/>
          <w:w w:val="95"/>
        </w:rPr>
        <w:t xml:space="preserve">competition. The inclusion of surfing in the Games was anticipated over </w:t>
      </w:r>
      <w:r>
        <w:rPr>
          <w:color w:val="231F20"/>
        </w:rPr>
        <w:t>100 years earlier as Olympic swimming gold medallist and father of modern</w:t>
      </w:r>
      <w:r>
        <w:rPr>
          <w:color w:val="231F20"/>
          <w:spacing w:val="-2"/>
        </w:rPr>
        <w:t xml:space="preserve"> </w:t>
      </w:r>
      <w:r>
        <w:rPr>
          <w:color w:val="231F20"/>
        </w:rPr>
        <w:t>surfing,</w:t>
      </w:r>
      <w:r>
        <w:rPr>
          <w:color w:val="231F20"/>
          <w:spacing w:val="-3"/>
        </w:rPr>
        <w:t xml:space="preserve"> </w:t>
      </w:r>
      <w:r>
        <w:rPr>
          <w:color w:val="231F20"/>
        </w:rPr>
        <w:t>Hawaiian</w:t>
      </w:r>
      <w:r>
        <w:rPr>
          <w:color w:val="231F20"/>
          <w:spacing w:val="-2"/>
        </w:rPr>
        <w:t xml:space="preserve"> </w:t>
      </w:r>
      <w:r>
        <w:rPr>
          <w:color w:val="231F20"/>
        </w:rPr>
        <w:t>Duke</w:t>
      </w:r>
      <w:r>
        <w:rPr>
          <w:color w:val="231F20"/>
          <w:spacing w:val="-2"/>
        </w:rPr>
        <w:t xml:space="preserve"> </w:t>
      </w:r>
      <w:r>
        <w:rPr>
          <w:color w:val="231F20"/>
        </w:rPr>
        <w:t>Kahanamoku,</w:t>
      </w:r>
      <w:r>
        <w:rPr>
          <w:color w:val="231F20"/>
          <w:spacing w:val="-3"/>
        </w:rPr>
        <w:t xml:space="preserve"> </w:t>
      </w:r>
      <w:r>
        <w:rPr>
          <w:color w:val="231F20"/>
        </w:rPr>
        <w:t>noted</w:t>
      </w:r>
      <w:r>
        <w:rPr>
          <w:color w:val="231F20"/>
          <w:spacing w:val="-3"/>
        </w:rPr>
        <w:t xml:space="preserve"> </w:t>
      </w:r>
      <w:r>
        <w:rPr>
          <w:color w:val="231F20"/>
        </w:rPr>
        <w:t>in</w:t>
      </w:r>
      <w:r>
        <w:rPr>
          <w:color w:val="231F20"/>
          <w:spacing w:val="-2"/>
        </w:rPr>
        <w:t xml:space="preserve"> </w:t>
      </w:r>
      <w:r>
        <w:rPr>
          <w:color w:val="231F20"/>
        </w:rPr>
        <w:t>his</w:t>
      </w:r>
      <w:r>
        <w:rPr>
          <w:color w:val="231F20"/>
          <w:spacing w:val="-3"/>
        </w:rPr>
        <w:t xml:space="preserve"> </w:t>
      </w:r>
      <w:r>
        <w:rPr>
          <w:color w:val="231F20"/>
        </w:rPr>
        <w:t>biography, ‘Even</w:t>
      </w:r>
      <w:r>
        <w:rPr>
          <w:color w:val="231F20"/>
          <w:spacing w:val="-4"/>
        </w:rPr>
        <w:t xml:space="preserve"> </w:t>
      </w:r>
      <w:r>
        <w:rPr>
          <w:color w:val="231F20"/>
        </w:rPr>
        <w:t>as</w:t>
      </w:r>
      <w:r>
        <w:rPr>
          <w:color w:val="231F20"/>
          <w:spacing w:val="-4"/>
        </w:rPr>
        <w:t xml:space="preserve"> </w:t>
      </w:r>
      <w:r>
        <w:rPr>
          <w:color w:val="231F20"/>
        </w:rPr>
        <w:t>early</w:t>
      </w:r>
      <w:r>
        <w:rPr>
          <w:color w:val="231F20"/>
          <w:spacing w:val="-4"/>
        </w:rPr>
        <w:t xml:space="preserve"> </w:t>
      </w:r>
      <w:r>
        <w:rPr>
          <w:color w:val="231F20"/>
        </w:rPr>
        <w:t>as…(19</w:t>
      </w:r>
      <w:r>
        <w:rPr>
          <w:color w:val="231F20"/>
        </w:rPr>
        <w:t>18),</w:t>
      </w:r>
      <w:r>
        <w:rPr>
          <w:color w:val="231F20"/>
          <w:spacing w:val="-4"/>
        </w:rPr>
        <w:t xml:space="preserve"> </w:t>
      </w:r>
      <w:r>
        <w:rPr>
          <w:color w:val="231F20"/>
        </w:rPr>
        <w:t>I</w:t>
      </w:r>
      <w:r>
        <w:rPr>
          <w:color w:val="231F20"/>
          <w:spacing w:val="-4"/>
        </w:rPr>
        <w:t xml:space="preserve"> </w:t>
      </w:r>
      <w:r>
        <w:rPr>
          <w:color w:val="231F20"/>
        </w:rPr>
        <w:t>was</w:t>
      </w:r>
      <w:r>
        <w:rPr>
          <w:color w:val="231F20"/>
          <w:spacing w:val="-4"/>
        </w:rPr>
        <w:t xml:space="preserve"> </w:t>
      </w:r>
      <w:r>
        <w:rPr>
          <w:color w:val="231F20"/>
        </w:rPr>
        <w:t>already</w:t>
      </w:r>
      <w:r>
        <w:rPr>
          <w:color w:val="231F20"/>
          <w:spacing w:val="-4"/>
        </w:rPr>
        <w:t xml:space="preserve"> </w:t>
      </w:r>
      <w:r>
        <w:rPr>
          <w:color w:val="231F20"/>
        </w:rPr>
        <w:t>thinking</w:t>
      </w:r>
      <w:r>
        <w:rPr>
          <w:color w:val="231F20"/>
          <w:spacing w:val="-4"/>
        </w:rPr>
        <w:t xml:space="preserve"> </w:t>
      </w:r>
      <w:r>
        <w:rPr>
          <w:color w:val="231F20"/>
        </w:rPr>
        <w:t>of</w:t>
      </w:r>
      <w:r>
        <w:rPr>
          <w:color w:val="231F20"/>
          <w:spacing w:val="-4"/>
        </w:rPr>
        <w:t xml:space="preserve"> </w:t>
      </w:r>
      <w:r>
        <w:rPr>
          <w:color w:val="231F20"/>
        </w:rPr>
        <w:t>surfing</w:t>
      </w:r>
      <w:r>
        <w:rPr>
          <w:color w:val="231F20"/>
          <w:spacing w:val="-4"/>
        </w:rPr>
        <w:t xml:space="preserve"> </w:t>
      </w:r>
      <w:r>
        <w:rPr>
          <w:color w:val="231F20"/>
        </w:rPr>
        <w:t>in</w:t>
      </w:r>
      <w:r>
        <w:rPr>
          <w:color w:val="231F20"/>
          <w:spacing w:val="-4"/>
        </w:rPr>
        <w:t xml:space="preserve"> </w:t>
      </w:r>
      <w:r>
        <w:rPr>
          <w:color w:val="231F20"/>
        </w:rPr>
        <w:t>terms</w:t>
      </w:r>
      <w:r>
        <w:rPr>
          <w:color w:val="231F20"/>
          <w:spacing w:val="-4"/>
        </w:rPr>
        <w:t xml:space="preserve"> </w:t>
      </w:r>
      <w:r>
        <w:rPr>
          <w:color w:val="231F20"/>
        </w:rPr>
        <w:t>of how</w:t>
      </w:r>
      <w:r>
        <w:rPr>
          <w:color w:val="231F20"/>
          <w:spacing w:val="-9"/>
        </w:rPr>
        <w:t xml:space="preserve"> </w:t>
      </w:r>
      <w:r>
        <w:rPr>
          <w:color w:val="231F20"/>
        </w:rPr>
        <w:t>it</w:t>
      </w:r>
      <w:r>
        <w:rPr>
          <w:color w:val="231F20"/>
          <w:spacing w:val="-9"/>
        </w:rPr>
        <w:t xml:space="preserve"> </w:t>
      </w:r>
      <w:r>
        <w:rPr>
          <w:color w:val="231F20"/>
        </w:rPr>
        <w:t>could</w:t>
      </w:r>
      <w:r>
        <w:rPr>
          <w:color w:val="231F20"/>
          <w:spacing w:val="-9"/>
        </w:rPr>
        <w:t xml:space="preserve"> </w:t>
      </w:r>
      <w:r>
        <w:rPr>
          <w:color w:val="231F20"/>
        </w:rPr>
        <w:t>someday</w:t>
      </w:r>
      <w:r>
        <w:rPr>
          <w:color w:val="231F20"/>
          <w:spacing w:val="-9"/>
        </w:rPr>
        <w:t xml:space="preserve"> </w:t>
      </w:r>
      <w:r>
        <w:rPr>
          <w:color w:val="231F20"/>
        </w:rPr>
        <w:t>become</w:t>
      </w:r>
      <w:r>
        <w:rPr>
          <w:color w:val="231F20"/>
          <w:spacing w:val="-9"/>
        </w:rPr>
        <w:t xml:space="preserve"> </w:t>
      </w:r>
      <w:r>
        <w:rPr>
          <w:color w:val="231F20"/>
        </w:rPr>
        <w:t>one</w:t>
      </w:r>
      <w:r>
        <w:rPr>
          <w:color w:val="231F20"/>
          <w:spacing w:val="-9"/>
        </w:rPr>
        <w:t xml:space="preserve"> </w:t>
      </w:r>
      <w:r>
        <w:rPr>
          <w:color w:val="231F20"/>
        </w:rPr>
        <w:t>of</w:t>
      </w:r>
      <w:r>
        <w:rPr>
          <w:color w:val="231F20"/>
          <w:spacing w:val="-9"/>
        </w:rPr>
        <w:t xml:space="preserve"> </w:t>
      </w:r>
      <w:r>
        <w:rPr>
          <w:color w:val="231F20"/>
        </w:rPr>
        <w:t>the</w:t>
      </w:r>
      <w:r>
        <w:rPr>
          <w:color w:val="231F20"/>
          <w:spacing w:val="-9"/>
        </w:rPr>
        <w:t xml:space="preserve"> </w:t>
      </w:r>
      <w:r>
        <w:rPr>
          <w:color w:val="231F20"/>
        </w:rPr>
        <w:t>events</w:t>
      </w:r>
      <w:r>
        <w:rPr>
          <w:color w:val="231F20"/>
          <w:spacing w:val="-9"/>
        </w:rPr>
        <w:t xml:space="preserve"> </w:t>
      </w:r>
      <w:r>
        <w:rPr>
          <w:color w:val="231F20"/>
        </w:rPr>
        <w:t>in</w:t>
      </w:r>
      <w:r>
        <w:rPr>
          <w:color w:val="231F20"/>
          <w:spacing w:val="-9"/>
        </w:rPr>
        <w:t xml:space="preserve"> </w:t>
      </w:r>
      <w:r>
        <w:rPr>
          <w:color w:val="231F20"/>
        </w:rPr>
        <w:t>the</w:t>
      </w:r>
      <w:r>
        <w:rPr>
          <w:color w:val="231F20"/>
          <w:spacing w:val="-9"/>
        </w:rPr>
        <w:t xml:space="preserve"> </w:t>
      </w:r>
      <w:r>
        <w:rPr>
          <w:color w:val="231F20"/>
        </w:rPr>
        <w:t>Olympic</w:t>
      </w:r>
      <w:r>
        <w:rPr>
          <w:color w:val="231F20"/>
          <w:spacing w:val="-9"/>
        </w:rPr>
        <w:t xml:space="preserve"> </w:t>
      </w:r>
      <w:r>
        <w:rPr>
          <w:color w:val="231F20"/>
        </w:rPr>
        <w:t xml:space="preserve">Games. Why not?’ (Kahanamoku &amp; Brennan, 1968: 37). A century later, the </w:t>
      </w:r>
      <w:r>
        <w:rPr>
          <w:color w:val="231F20"/>
          <w:w w:val="95"/>
        </w:rPr>
        <w:t xml:space="preserve">more pertinent questions may be: Why now? Why Japan? What political, </w:t>
      </w:r>
      <w:r>
        <w:rPr>
          <w:color w:val="231F20"/>
        </w:rPr>
        <w:t>social</w:t>
      </w:r>
      <w:r>
        <w:rPr>
          <w:color w:val="231F20"/>
          <w:spacing w:val="-1"/>
        </w:rPr>
        <w:t xml:space="preserve"> </w:t>
      </w:r>
      <w:r>
        <w:rPr>
          <w:color w:val="231F20"/>
        </w:rPr>
        <w:t>and</w:t>
      </w:r>
      <w:r>
        <w:rPr>
          <w:color w:val="231F20"/>
          <w:spacing w:val="-1"/>
        </w:rPr>
        <w:t xml:space="preserve"> </w:t>
      </w:r>
      <w:r>
        <w:rPr>
          <w:color w:val="231F20"/>
        </w:rPr>
        <w:t>economic</w:t>
      </w:r>
      <w:r>
        <w:rPr>
          <w:color w:val="231F20"/>
          <w:spacing w:val="-1"/>
        </w:rPr>
        <w:t xml:space="preserve"> </w:t>
      </w:r>
      <w:r>
        <w:rPr>
          <w:color w:val="231F20"/>
        </w:rPr>
        <w:t>factors</w:t>
      </w:r>
      <w:r>
        <w:rPr>
          <w:color w:val="231F20"/>
          <w:spacing w:val="-1"/>
        </w:rPr>
        <w:t xml:space="preserve"> </w:t>
      </w:r>
      <w:r>
        <w:rPr>
          <w:color w:val="231F20"/>
        </w:rPr>
        <w:t>enabled</w:t>
      </w:r>
      <w:r>
        <w:rPr>
          <w:color w:val="231F20"/>
          <w:spacing w:val="-1"/>
        </w:rPr>
        <w:t xml:space="preserve"> </w:t>
      </w:r>
      <w:r>
        <w:rPr>
          <w:color w:val="231F20"/>
        </w:rPr>
        <w:t>this</w:t>
      </w:r>
      <w:r>
        <w:rPr>
          <w:color w:val="231F20"/>
          <w:spacing w:val="-1"/>
        </w:rPr>
        <w:t xml:space="preserve"> </w:t>
      </w:r>
      <w:r>
        <w:rPr>
          <w:color w:val="231F20"/>
        </w:rPr>
        <w:t>dream</w:t>
      </w:r>
      <w:r>
        <w:rPr>
          <w:color w:val="231F20"/>
          <w:spacing w:val="-1"/>
        </w:rPr>
        <w:t xml:space="preserve"> </w:t>
      </w:r>
      <w:r>
        <w:rPr>
          <w:color w:val="231F20"/>
        </w:rPr>
        <w:t>to</w:t>
      </w:r>
      <w:r>
        <w:rPr>
          <w:color w:val="231F20"/>
          <w:spacing w:val="-1"/>
        </w:rPr>
        <w:t xml:space="preserve"> </w:t>
      </w:r>
      <w:r>
        <w:rPr>
          <w:color w:val="231F20"/>
        </w:rPr>
        <w:t>become</w:t>
      </w:r>
      <w:r>
        <w:rPr>
          <w:color w:val="231F20"/>
          <w:spacing w:val="-1"/>
        </w:rPr>
        <w:t xml:space="preserve"> </w:t>
      </w:r>
      <w:r>
        <w:rPr>
          <w:color w:val="231F20"/>
        </w:rPr>
        <w:t>a</w:t>
      </w:r>
      <w:r>
        <w:rPr>
          <w:color w:val="231F20"/>
          <w:spacing w:val="-1"/>
        </w:rPr>
        <w:t xml:space="preserve"> </w:t>
      </w:r>
      <w:r>
        <w:rPr>
          <w:color w:val="231F20"/>
        </w:rPr>
        <w:t>reality</w:t>
      </w:r>
      <w:r>
        <w:rPr>
          <w:color w:val="231F20"/>
          <w:spacing w:val="-1"/>
        </w:rPr>
        <w:t xml:space="preserve"> </w:t>
      </w:r>
      <w:r>
        <w:rPr>
          <w:color w:val="231F20"/>
        </w:rPr>
        <w:t>at this particular point in history? To address these questions, this case study traces the evolution of surfing and its</w:t>
      </w:r>
      <w:r>
        <w:rPr>
          <w:color w:val="231F20"/>
        </w:rPr>
        <w:t xml:space="preserve"> interrelationship with </w:t>
      </w:r>
      <w:r>
        <w:rPr>
          <w:color w:val="231F20"/>
          <w:w w:val="95"/>
        </w:rPr>
        <w:t xml:space="preserve">tourism over time before reflecting on the possible future that surfing’s </w:t>
      </w:r>
      <w:r>
        <w:rPr>
          <w:color w:val="231F20"/>
        </w:rPr>
        <w:t>inclusion in the Olympic Games invites.</w:t>
      </w:r>
    </w:p>
    <w:p w14:paraId="50206BC8" w14:textId="77777777" w:rsidR="00AE0598" w:rsidRDefault="0069255A">
      <w:pPr>
        <w:pStyle w:val="Corpodetexto"/>
        <w:spacing w:before="19" w:line="232" w:lineRule="auto"/>
        <w:ind w:left="229" w:right="235" w:firstLine="320"/>
        <w:jc w:val="both"/>
        <w:rPr>
          <w:i/>
        </w:rPr>
      </w:pPr>
      <w:r>
        <w:rPr>
          <w:color w:val="231F20"/>
          <w:spacing w:val="-2"/>
          <w:w w:val="95"/>
        </w:rPr>
        <w:t xml:space="preserve">Surfing has its roots in pre-colonial Hawaiian and Pacific Island history </w:t>
      </w:r>
      <w:r>
        <w:rPr>
          <w:color w:val="231F20"/>
          <w:w w:val="95"/>
        </w:rPr>
        <w:t>(Ingersoll,</w:t>
      </w:r>
      <w:r>
        <w:rPr>
          <w:color w:val="231F20"/>
          <w:spacing w:val="3"/>
        </w:rPr>
        <w:t xml:space="preserve"> </w:t>
      </w:r>
      <w:r>
        <w:rPr>
          <w:color w:val="231F20"/>
          <w:w w:val="95"/>
        </w:rPr>
        <w:t>2016).</w:t>
      </w:r>
      <w:r>
        <w:rPr>
          <w:color w:val="231F20"/>
          <w:spacing w:val="3"/>
        </w:rPr>
        <w:t xml:space="preserve"> </w:t>
      </w:r>
      <w:r>
        <w:rPr>
          <w:color w:val="231F20"/>
          <w:w w:val="95"/>
        </w:rPr>
        <w:t>In</w:t>
      </w:r>
      <w:r>
        <w:rPr>
          <w:color w:val="231F20"/>
          <w:spacing w:val="3"/>
        </w:rPr>
        <w:t xml:space="preserve"> </w:t>
      </w:r>
      <w:r>
        <w:rPr>
          <w:color w:val="231F20"/>
          <w:w w:val="95"/>
        </w:rPr>
        <w:t>the</w:t>
      </w:r>
      <w:r>
        <w:rPr>
          <w:color w:val="231F20"/>
          <w:spacing w:val="3"/>
        </w:rPr>
        <w:t xml:space="preserve"> </w:t>
      </w:r>
      <w:r>
        <w:rPr>
          <w:color w:val="231F20"/>
          <w:w w:val="95"/>
        </w:rPr>
        <w:t>Hawaiian</w:t>
      </w:r>
      <w:r>
        <w:rPr>
          <w:color w:val="231F20"/>
          <w:spacing w:val="3"/>
        </w:rPr>
        <w:t xml:space="preserve"> </w:t>
      </w:r>
      <w:r>
        <w:rPr>
          <w:color w:val="231F20"/>
          <w:w w:val="95"/>
        </w:rPr>
        <w:t>language,</w:t>
      </w:r>
      <w:r>
        <w:rPr>
          <w:color w:val="231F20"/>
          <w:spacing w:val="4"/>
        </w:rPr>
        <w:t xml:space="preserve"> </w:t>
      </w:r>
      <w:r>
        <w:rPr>
          <w:color w:val="231F20"/>
          <w:w w:val="95"/>
        </w:rPr>
        <w:t>surfing</w:t>
      </w:r>
      <w:r>
        <w:rPr>
          <w:color w:val="231F20"/>
          <w:spacing w:val="3"/>
        </w:rPr>
        <w:t xml:space="preserve"> </w:t>
      </w:r>
      <w:r>
        <w:rPr>
          <w:color w:val="231F20"/>
          <w:w w:val="95"/>
        </w:rPr>
        <w:t>is</w:t>
      </w:r>
      <w:r>
        <w:rPr>
          <w:color w:val="231F20"/>
          <w:spacing w:val="3"/>
        </w:rPr>
        <w:t xml:space="preserve"> </w:t>
      </w:r>
      <w:r>
        <w:rPr>
          <w:color w:val="231F20"/>
          <w:w w:val="95"/>
        </w:rPr>
        <w:t>referred</w:t>
      </w:r>
      <w:r>
        <w:rPr>
          <w:color w:val="231F20"/>
          <w:spacing w:val="3"/>
        </w:rPr>
        <w:t xml:space="preserve"> </w:t>
      </w:r>
      <w:r>
        <w:rPr>
          <w:color w:val="231F20"/>
          <w:w w:val="95"/>
        </w:rPr>
        <w:t>to</w:t>
      </w:r>
      <w:r>
        <w:rPr>
          <w:color w:val="231F20"/>
          <w:spacing w:val="3"/>
        </w:rPr>
        <w:t xml:space="preserve"> </w:t>
      </w:r>
      <w:r>
        <w:rPr>
          <w:color w:val="231F20"/>
          <w:w w:val="95"/>
        </w:rPr>
        <w:t>as</w:t>
      </w:r>
      <w:r>
        <w:rPr>
          <w:color w:val="231F20"/>
          <w:spacing w:val="4"/>
        </w:rPr>
        <w:t xml:space="preserve"> </w:t>
      </w:r>
      <w:r>
        <w:rPr>
          <w:i/>
          <w:color w:val="231F20"/>
          <w:spacing w:val="-4"/>
          <w:w w:val="95"/>
        </w:rPr>
        <w:t>he’e</w:t>
      </w:r>
    </w:p>
    <w:p w14:paraId="06D3A822" w14:textId="77777777" w:rsidR="00AE0598" w:rsidRDefault="00AE0598">
      <w:pPr>
        <w:spacing w:line="232" w:lineRule="auto"/>
        <w:jc w:val="both"/>
        <w:sectPr w:rsidR="00AE0598">
          <w:pgSz w:w="8850" w:h="13270"/>
          <w:pgMar w:top="720" w:right="1060" w:bottom="280" w:left="1080" w:header="720" w:footer="720" w:gutter="0"/>
          <w:cols w:space="720"/>
        </w:sectPr>
      </w:pPr>
    </w:p>
    <w:p w14:paraId="00E5D6FA" w14:textId="4DA72700" w:rsidR="00AE0598" w:rsidRDefault="0069255A">
      <w:pPr>
        <w:spacing w:before="87"/>
        <w:ind w:left="3808"/>
        <w:rPr>
          <w:rFonts w:ascii="Trebuchet MS"/>
          <w:sz w:val="14"/>
        </w:rPr>
      </w:pPr>
      <w:r>
        <w:rPr>
          <w:noProof/>
        </w:rPr>
        <w:lastRenderedPageBreak/>
        <mc:AlternateContent>
          <mc:Choice Requires="wps">
            <w:drawing>
              <wp:anchor distT="0" distB="0" distL="114300" distR="114300" simplePos="0" relativeHeight="483749376" behindDoc="1" locked="0" layoutInCell="1" allowOverlap="1" wp14:anchorId="5B5AADA2" wp14:editId="411E9782">
                <wp:simplePos x="0" y="0"/>
                <wp:positionH relativeFrom="page">
                  <wp:posOffset>755650</wp:posOffset>
                </wp:positionH>
                <wp:positionV relativeFrom="page">
                  <wp:posOffset>838200</wp:posOffset>
                </wp:positionV>
                <wp:extent cx="4104005" cy="6645910"/>
                <wp:effectExtent l="0" t="0" r="0" b="0"/>
                <wp:wrapNone/>
                <wp:docPr id="50" name="docshape3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04005" cy="6645910"/>
                        </a:xfrm>
                        <a:prstGeom prst="rect">
                          <a:avLst/>
                        </a:prstGeom>
                        <a:solidFill>
                          <a:srgbClr val="DCDDD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1FA31D" id="docshape303" o:spid="_x0000_s1026" style="position:absolute;margin-left:59.5pt;margin-top:66pt;width:323.15pt;height:523.3pt;z-index:-195671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" fillcolor="#dcddde" stroked="f">
                <w10:wrap anchorx="page" anchory="page"/>
              </v:rect>
            </w:pict>
          </mc:Fallback>
        </mc:AlternateContent>
      </w:r>
      <w:r>
        <w:rPr>
          <w:rFonts w:ascii="Trebuchet MS"/>
          <w:color w:val="231F20"/>
          <w:w w:val="105"/>
          <w:sz w:val="14"/>
        </w:rPr>
        <w:t>Evolutionary</w:t>
      </w:r>
      <w:r>
        <w:rPr>
          <w:rFonts w:ascii="Trebuchet MS"/>
          <w:color w:val="231F20"/>
          <w:spacing w:val="-12"/>
          <w:w w:val="105"/>
          <w:sz w:val="14"/>
        </w:rPr>
        <w:t xml:space="preserve"> </w:t>
      </w:r>
      <w:r>
        <w:rPr>
          <w:rFonts w:ascii="Trebuchet MS"/>
          <w:color w:val="231F20"/>
          <w:w w:val="105"/>
          <w:sz w:val="14"/>
        </w:rPr>
        <w:t>Trends</w:t>
      </w:r>
      <w:r>
        <w:rPr>
          <w:rFonts w:ascii="Trebuchet MS"/>
          <w:color w:val="231F20"/>
          <w:spacing w:val="-11"/>
          <w:w w:val="105"/>
          <w:sz w:val="14"/>
        </w:rPr>
        <w:t xml:space="preserve"> </w:t>
      </w:r>
      <w:r>
        <w:rPr>
          <w:rFonts w:ascii="Trebuchet MS"/>
          <w:color w:val="231F20"/>
          <w:w w:val="105"/>
          <w:sz w:val="14"/>
        </w:rPr>
        <w:t>in</w:t>
      </w:r>
      <w:r>
        <w:rPr>
          <w:rFonts w:ascii="Trebuchet MS"/>
          <w:color w:val="231F20"/>
          <w:spacing w:val="-11"/>
          <w:w w:val="105"/>
          <w:sz w:val="14"/>
        </w:rPr>
        <w:t xml:space="preserve"> </w:t>
      </w:r>
      <w:r>
        <w:rPr>
          <w:rFonts w:ascii="Trebuchet MS"/>
          <w:color w:val="231F20"/>
          <w:w w:val="105"/>
          <w:sz w:val="14"/>
        </w:rPr>
        <w:t>Sport</w:t>
      </w:r>
      <w:r>
        <w:rPr>
          <w:rFonts w:ascii="Trebuchet MS"/>
          <w:color w:val="231F20"/>
          <w:spacing w:val="-11"/>
          <w:w w:val="105"/>
          <w:sz w:val="14"/>
        </w:rPr>
        <w:t xml:space="preserve"> </w:t>
      </w:r>
      <w:r>
        <w:rPr>
          <w:rFonts w:ascii="Trebuchet MS"/>
          <w:color w:val="231F20"/>
          <w:w w:val="105"/>
          <w:sz w:val="14"/>
        </w:rPr>
        <w:t>Tourism</w:t>
      </w:r>
      <w:r>
        <w:rPr>
          <w:rFonts w:ascii="Trebuchet MS"/>
          <w:color w:val="231F20"/>
          <w:spacing w:val="74"/>
          <w:w w:val="105"/>
          <w:sz w:val="14"/>
        </w:rPr>
        <w:t xml:space="preserve"> </w:t>
      </w:r>
      <w:r>
        <w:rPr>
          <w:rFonts w:ascii="Trebuchet MS"/>
          <w:color w:val="231F20"/>
          <w:spacing w:val="-5"/>
          <w:w w:val="105"/>
          <w:sz w:val="14"/>
        </w:rPr>
        <w:t>201</w:t>
      </w:r>
    </w:p>
    <w:p w14:paraId="0C74F842" w14:textId="77777777" w:rsidR="00AE0598" w:rsidRDefault="00AE0598">
      <w:pPr>
        <w:pStyle w:val="Corpodetexto"/>
        <w:spacing w:before="1"/>
        <w:rPr>
          <w:rFonts w:ascii="Trebuchet MS"/>
          <w:sz w:val="27"/>
        </w:rPr>
      </w:pPr>
    </w:p>
    <w:p w14:paraId="7E64C1BC" w14:textId="77777777" w:rsidR="00AE0598" w:rsidRDefault="0069255A">
      <w:pPr>
        <w:pStyle w:val="Corpodetexto"/>
        <w:spacing w:before="103" w:line="232" w:lineRule="auto"/>
        <w:ind w:left="223" w:right="241"/>
        <w:jc w:val="both"/>
      </w:pPr>
      <w:r>
        <w:rPr>
          <w:i/>
          <w:color w:val="231F20"/>
          <w:w w:val="95"/>
        </w:rPr>
        <w:t>nalu</w:t>
      </w:r>
      <w:r>
        <w:rPr>
          <w:color w:val="231F20"/>
          <w:w w:val="95"/>
        </w:rPr>
        <w:t xml:space="preserve">, meaning ‘wave sliding’ (Ingersoll, 2016). With the earliest recorded history dating back to the mid-1700s, </w:t>
      </w:r>
      <w:r>
        <w:rPr>
          <w:i/>
          <w:color w:val="231F20"/>
          <w:w w:val="95"/>
        </w:rPr>
        <w:t xml:space="preserve">he’e nalu </w:t>
      </w:r>
      <w:r>
        <w:rPr>
          <w:color w:val="231F20"/>
          <w:w w:val="95"/>
        </w:rPr>
        <w:t xml:space="preserve">was a widespread social, </w:t>
      </w:r>
      <w:r>
        <w:rPr>
          <w:color w:val="231F20"/>
        </w:rPr>
        <w:t>political and spiritual activity, replete with surf chants, boardmaking rituals</w:t>
      </w:r>
      <w:r>
        <w:rPr>
          <w:color w:val="231F20"/>
          <w:spacing w:val="-8"/>
        </w:rPr>
        <w:t xml:space="preserve"> </w:t>
      </w:r>
      <w:r>
        <w:rPr>
          <w:color w:val="231F20"/>
        </w:rPr>
        <w:t>and</w:t>
      </w:r>
      <w:r>
        <w:rPr>
          <w:color w:val="231F20"/>
          <w:spacing w:val="-8"/>
        </w:rPr>
        <w:t xml:space="preserve"> </w:t>
      </w:r>
      <w:r>
        <w:rPr>
          <w:color w:val="231F20"/>
        </w:rPr>
        <w:t>other</w:t>
      </w:r>
      <w:r>
        <w:rPr>
          <w:color w:val="231F20"/>
          <w:spacing w:val="-8"/>
        </w:rPr>
        <w:t xml:space="preserve"> </w:t>
      </w:r>
      <w:r>
        <w:rPr>
          <w:color w:val="231F20"/>
        </w:rPr>
        <w:t>sacred</w:t>
      </w:r>
      <w:r>
        <w:rPr>
          <w:color w:val="231F20"/>
          <w:spacing w:val="-8"/>
        </w:rPr>
        <w:t xml:space="preserve"> </w:t>
      </w:r>
      <w:r>
        <w:rPr>
          <w:color w:val="231F20"/>
        </w:rPr>
        <w:t>elements</w:t>
      </w:r>
      <w:r>
        <w:rPr>
          <w:color w:val="231F20"/>
          <w:spacing w:val="-8"/>
        </w:rPr>
        <w:t xml:space="preserve"> </w:t>
      </w:r>
      <w:r>
        <w:rPr>
          <w:color w:val="231F20"/>
        </w:rPr>
        <w:t>embedd</w:t>
      </w:r>
      <w:r>
        <w:rPr>
          <w:color w:val="231F20"/>
        </w:rPr>
        <w:t>ed</w:t>
      </w:r>
      <w:r>
        <w:rPr>
          <w:color w:val="231F20"/>
          <w:spacing w:val="-8"/>
        </w:rPr>
        <w:t xml:space="preserve"> </w:t>
      </w:r>
      <w:r>
        <w:rPr>
          <w:color w:val="231F20"/>
        </w:rPr>
        <w:t>within</w:t>
      </w:r>
      <w:r>
        <w:rPr>
          <w:color w:val="231F20"/>
          <w:spacing w:val="-8"/>
        </w:rPr>
        <w:t xml:space="preserve"> </w:t>
      </w:r>
      <w:r>
        <w:rPr>
          <w:color w:val="231F20"/>
        </w:rPr>
        <w:t>everyday</w:t>
      </w:r>
      <w:r>
        <w:rPr>
          <w:color w:val="231F20"/>
          <w:spacing w:val="-8"/>
        </w:rPr>
        <w:t xml:space="preserve"> </w:t>
      </w:r>
      <w:r>
        <w:rPr>
          <w:color w:val="231F20"/>
        </w:rPr>
        <w:t xml:space="preserve">practice (Ingersoll, 2016). </w:t>
      </w:r>
      <w:r>
        <w:rPr>
          <w:i/>
          <w:color w:val="231F20"/>
        </w:rPr>
        <w:t xml:space="preserve">He’e nalu </w:t>
      </w:r>
      <w:r>
        <w:rPr>
          <w:color w:val="231F20"/>
        </w:rPr>
        <w:t xml:space="preserve">was, and still is, a form of ocean literacy, </w:t>
      </w:r>
      <w:r>
        <w:rPr>
          <w:color w:val="231F20"/>
          <w:w w:val="95"/>
        </w:rPr>
        <w:t>connecting Hawaiians to the rhythms of</w:t>
      </w:r>
      <w:r>
        <w:rPr>
          <w:color w:val="231F20"/>
        </w:rPr>
        <w:t xml:space="preserve"> </w:t>
      </w:r>
      <w:r>
        <w:rPr>
          <w:color w:val="231F20"/>
          <w:w w:val="95"/>
        </w:rPr>
        <w:t xml:space="preserve">the tides and currents as well as </w:t>
      </w:r>
      <w:r>
        <w:rPr>
          <w:color w:val="231F20"/>
        </w:rPr>
        <w:t>helping</w:t>
      </w:r>
      <w:r>
        <w:rPr>
          <w:color w:val="231F20"/>
          <w:spacing w:val="-7"/>
        </w:rPr>
        <w:t xml:space="preserve"> </w:t>
      </w:r>
      <w:r>
        <w:rPr>
          <w:color w:val="231F20"/>
        </w:rPr>
        <w:t>to</w:t>
      </w:r>
      <w:r>
        <w:rPr>
          <w:color w:val="231F20"/>
          <w:spacing w:val="-7"/>
        </w:rPr>
        <w:t xml:space="preserve"> </w:t>
      </w:r>
      <w:r>
        <w:rPr>
          <w:color w:val="231F20"/>
        </w:rPr>
        <w:t>navigate</w:t>
      </w:r>
      <w:r>
        <w:rPr>
          <w:color w:val="231F20"/>
          <w:spacing w:val="-7"/>
        </w:rPr>
        <w:t xml:space="preserve"> </w:t>
      </w:r>
      <w:r>
        <w:rPr>
          <w:color w:val="231F20"/>
        </w:rPr>
        <w:t>the</w:t>
      </w:r>
      <w:r>
        <w:rPr>
          <w:color w:val="231F20"/>
          <w:spacing w:val="-7"/>
        </w:rPr>
        <w:t xml:space="preserve"> </w:t>
      </w:r>
      <w:r>
        <w:rPr>
          <w:color w:val="231F20"/>
        </w:rPr>
        <w:t>seafaring</w:t>
      </w:r>
      <w:r>
        <w:rPr>
          <w:color w:val="231F20"/>
          <w:spacing w:val="-7"/>
        </w:rPr>
        <w:t xml:space="preserve"> </w:t>
      </w:r>
      <w:r>
        <w:rPr>
          <w:color w:val="231F20"/>
        </w:rPr>
        <w:t>histories</w:t>
      </w:r>
      <w:r>
        <w:rPr>
          <w:color w:val="231F20"/>
          <w:spacing w:val="-7"/>
        </w:rPr>
        <w:t xml:space="preserve"> </w:t>
      </w:r>
      <w:r>
        <w:rPr>
          <w:color w:val="231F20"/>
        </w:rPr>
        <w:t>that</w:t>
      </w:r>
      <w:r>
        <w:rPr>
          <w:color w:val="231F20"/>
          <w:spacing w:val="-7"/>
        </w:rPr>
        <w:t xml:space="preserve"> </w:t>
      </w:r>
      <w:r>
        <w:rPr>
          <w:color w:val="231F20"/>
        </w:rPr>
        <w:t>comprise</w:t>
      </w:r>
      <w:r>
        <w:rPr>
          <w:color w:val="231F20"/>
          <w:spacing w:val="-7"/>
        </w:rPr>
        <w:t xml:space="preserve"> </w:t>
      </w:r>
      <w:r>
        <w:rPr>
          <w:color w:val="231F20"/>
        </w:rPr>
        <w:t>the</w:t>
      </w:r>
      <w:r>
        <w:rPr>
          <w:color w:val="231F20"/>
          <w:spacing w:val="-7"/>
        </w:rPr>
        <w:t xml:space="preserve"> </w:t>
      </w:r>
      <w:r>
        <w:rPr>
          <w:color w:val="231F20"/>
        </w:rPr>
        <w:t>Hawaiian Islands</w:t>
      </w:r>
      <w:r>
        <w:rPr>
          <w:color w:val="231F20"/>
          <w:spacing w:val="-3"/>
        </w:rPr>
        <w:t xml:space="preserve"> </w:t>
      </w:r>
      <w:r>
        <w:rPr>
          <w:color w:val="231F20"/>
        </w:rPr>
        <w:t>and</w:t>
      </w:r>
      <w:r>
        <w:rPr>
          <w:color w:val="231F20"/>
          <w:spacing w:val="-3"/>
        </w:rPr>
        <w:t xml:space="preserve"> </w:t>
      </w:r>
      <w:r>
        <w:rPr>
          <w:color w:val="231F20"/>
        </w:rPr>
        <w:t>its</w:t>
      </w:r>
      <w:r>
        <w:rPr>
          <w:color w:val="231F20"/>
          <w:spacing w:val="-3"/>
        </w:rPr>
        <w:t xml:space="preserve"> </w:t>
      </w:r>
      <w:r>
        <w:rPr>
          <w:color w:val="231F20"/>
        </w:rPr>
        <w:t>people</w:t>
      </w:r>
      <w:r>
        <w:rPr>
          <w:color w:val="231F20"/>
          <w:spacing w:val="-3"/>
        </w:rPr>
        <w:t xml:space="preserve"> </w:t>
      </w:r>
      <w:r>
        <w:rPr>
          <w:color w:val="231F20"/>
        </w:rPr>
        <w:t>(Ingersoll,</w:t>
      </w:r>
      <w:r>
        <w:rPr>
          <w:color w:val="231F20"/>
          <w:spacing w:val="-3"/>
        </w:rPr>
        <w:t xml:space="preserve"> </w:t>
      </w:r>
      <w:r>
        <w:rPr>
          <w:color w:val="231F20"/>
        </w:rPr>
        <w:t>2016).</w:t>
      </w:r>
      <w:r>
        <w:rPr>
          <w:color w:val="231F20"/>
          <w:spacing w:val="-3"/>
        </w:rPr>
        <w:t xml:space="preserve"> </w:t>
      </w:r>
      <w:r>
        <w:rPr>
          <w:color w:val="231F20"/>
        </w:rPr>
        <w:t>As</w:t>
      </w:r>
      <w:r>
        <w:rPr>
          <w:color w:val="231F20"/>
          <w:spacing w:val="-3"/>
        </w:rPr>
        <w:t xml:space="preserve"> </w:t>
      </w:r>
      <w:r>
        <w:rPr>
          <w:color w:val="231F20"/>
        </w:rPr>
        <w:t>an</w:t>
      </w:r>
      <w:r>
        <w:rPr>
          <w:color w:val="231F20"/>
          <w:spacing w:val="-3"/>
        </w:rPr>
        <w:t xml:space="preserve"> </w:t>
      </w:r>
      <w:r>
        <w:rPr>
          <w:color w:val="231F20"/>
        </w:rPr>
        <w:t>integral</w:t>
      </w:r>
      <w:r>
        <w:rPr>
          <w:color w:val="231F20"/>
          <w:spacing w:val="-3"/>
        </w:rPr>
        <w:t xml:space="preserve"> </w:t>
      </w:r>
      <w:r>
        <w:rPr>
          <w:color w:val="231F20"/>
        </w:rPr>
        <w:t>part</w:t>
      </w:r>
      <w:r>
        <w:rPr>
          <w:color w:val="231F20"/>
          <w:spacing w:val="-3"/>
        </w:rPr>
        <w:t xml:space="preserve"> </w:t>
      </w:r>
      <w:r>
        <w:rPr>
          <w:color w:val="231F20"/>
        </w:rPr>
        <w:t>of the</w:t>
      </w:r>
      <w:r>
        <w:rPr>
          <w:color w:val="231F20"/>
          <w:spacing w:val="-3"/>
        </w:rPr>
        <w:t xml:space="preserve"> </w:t>
      </w:r>
      <w:r>
        <w:rPr>
          <w:color w:val="231F20"/>
        </w:rPr>
        <w:t>pre- colonial</w:t>
      </w:r>
      <w:r>
        <w:rPr>
          <w:color w:val="231F20"/>
          <w:spacing w:val="-12"/>
        </w:rPr>
        <w:t xml:space="preserve"> </w:t>
      </w:r>
      <w:r>
        <w:rPr>
          <w:color w:val="231F20"/>
        </w:rPr>
        <w:t>Hawaiian</w:t>
      </w:r>
      <w:r>
        <w:rPr>
          <w:color w:val="231F20"/>
          <w:spacing w:val="-12"/>
        </w:rPr>
        <w:t xml:space="preserve"> </w:t>
      </w:r>
      <w:r>
        <w:rPr>
          <w:color w:val="231F20"/>
        </w:rPr>
        <w:t>every</w:t>
      </w:r>
      <w:r>
        <w:rPr>
          <w:color w:val="231F20"/>
          <w:spacing w:val="-11"/>
        </w:rPr>
        <w:t xml:space="preserve"> </w:t>
      </w:r>
      <w:r>
        <w:rPr>
          <w:color w:val="231F20"/>
        </w:rPr>
        <w:t>day,</w:t>
      </w:r>
      <w:r>
        <w:rPr>
          <w:color w:val="231F20"/>
          <w:spacing w:val="-12"/>
        </w:rPr>
        <w:t xml:space="preserve"> </w:t>
      </w:r>
      <w:r>
        <w:rPr>
          <w:i/>
          <w:color w:val="231F20"/>
        </w:rPr>
        <w:t>he’e</w:t>
      </w:r>
      <w:r>
        <w:rPr>
          <w:i/>
          <w:color w:val="231F20"/>
          <w:spacing w:val="-11"/>
        </w:rPr>
        <w:t xml:space="preserve"> </w:t>
      </w:r>
      <w:r>
        <w:rPr>
          <w:i/>
          <w:color w:val="231F20"/>
        </w:rPr>
        <w:t>nalu</w:t>
      </w:r>
      <w:r>
        <w:rPr>
          <w:i/>
          <w:color w:val="231F20"/>
          <w:spacing w:val="-12"/>
        </w:rPr>
        <w:t xml:space="preserve"> </w:t>
      </w:r>
      <w:r>
        <w:rPr>
          <w:color w:val="231F20"/>
        </w:rPr>
        <w:t>was</w:t>
      </w:r>
      <w:r>
        <w:rPr>
          <w:color w:val="231F20"/>
          <w:spacing w:val="-11"/>
        </w:rPr>
        <w:t xml:space="preserve"> </w:t>
      </w:r>
      <w:r>
        <w:rPr>
          <w:color w:val="231F20"/>
        </w:rPr>
        <w:t>a</w:t>
      </w:r>
      <w:r>
        <w:rPr>
          <w:color w:val="231F20"/>
          <w:spacing w:val="-12"/>
        </w:rPr>
        <w:t xml:space="preserve"> </w:t>
      </w:r>
      <w:r>
        <w:rPr>
          <w:color w:val="231F20"/>
        </w:rPr>
        <w:t>way</w:t>
      </w:r>
      <w:r>
        <w:rPr>
          <w:color w:val="231F20"/>
          <w:spacing w:val="-12"/>
        </w:rPr>
        <w:t xml:space="preserve"> </w:t>
      </w:r>
      <w:r>
        <w:rPr>
          <w:color w:val="231F20"/>
        </w:rPr>
        <w:t>of</w:t>
      </w:r>
      <w:r>
        <w:rPr>
          <w:color w:val="231F20"/>
          <w:spacing w:val="-6"/>
        </w:rPr>
        <w:t xml:space="preserve"> </w:t>
      </w:r>
      <w:r>
        <w:rPr>
          <w:color w:val="231F20"/>
        </w:rPr>
        <w:t>knowing</w:t>
      </w:r>
      <w:r>
        <w:rPr>
          <w:color w:val="231F20"/>
          <w:spacing w:val="-11"/>
        </w:rPr>
        <w:t xml:space="preserve"> </w:t>
      </w:r>
      <w:r>
        <w:rPr>
          <w:color w:val="231F20"/>
        </w:rPr>
        <w:t>and</w:t>
      </w:r>
      <w:r>
        <w:rPr>
          <w:color w:val="231F20"/>
          <w:spacing w:val="-12"/>
        </w:rPr>
        <w:t xml:space="preserve"> </w:t>
      </w:r>
      <w:r>
        <w:rPr>
          <w:color w:val="231F20"/>
        </w:rPr>
        <w:t>being in</w:t>
      </w:r>
      <w:r>
        <w:rPr>
          <w:color w:val="231F20"/>
          <w:spacing w:val="-7"/>
        </w:rPr>
        <w:t xml:space="preserve"> </w:t>
      </w:r>
      <w:r>
        <w:rPr>
          <w:color w:val="231F20"/>
        </w:rPr>
        <w:t>the</w:t>
      </w:r>
      <w:r>
        <w:rPr>
          <w:color w:val="231F20"/>
          <w:spacing w:val="-7"/>
        </w:rPr>
        <w:t xml:space="preserve"> </w:t>
      </w:r>
      <w:r>
        <w:rPr>
          <w:color w:val="231F20"/>
        </w:rPr>
        <w:t>world</w:t>
      </w:r>
      <w:r>
        <w:rPr>
          <w:color w:val="231F20"/>
          <w:spacing w:val="-7"/>
        </w:rPr>
        <w:t xml:space="preserve"> </w:t>
      </w:r>
      <w:r>
        <w:rPr>
          <w:color w:val="231F20"/>
        </w:rPr>
        <w:t>defined</w:t>
      </w:r>
      <w:r>
        <w:rPr>
          <w:color w:val="231F20"/>
          <w:spacing w:val="-7"/>
        </w:rPr>
        <w:t xml:space="preserve"> </w:t>
      </w:r>
      <w:r>
        <w:rPr>
          <w:color w:val="231F20"/>
        </w:rPr>
        <w:t>by</w:t>
      </w:r>
      <w:r>
        <w:rPr>
          <w:color w:val="231F20"/>
          <w:spacing w:val="-7"/>
        </w:rPr>
        <w:t xml:space="preserve"> </w:t>
      </w:r>
      <w:r>
        <w:rPr>
          <w:color w:val="231F20"/>
        </w:rPr>
        <w:t>a</w:t>
      </w:r>
      <w:r>
        <w:rPr>
          <w:color w:val="231F20"/>
          <w:spacing w:val="-7"/>
        </w:rPr>
        <w:t xml:space="preserve"> </w:t>
      </w:r>
      <w:r>
        <w:rPr>
          <w:color w:val="231F20"/>
        </w:rPr>
        <w:t>dynamic</w:t>
      </w:r>
      <w:r>
        <w:rPr>
          <w:color w:val="231F20"/>
          <w:spacing w:val="-7"/>
        </w:rPr>
        <w:t xml:space="preserve"> </w:t>
      </w:r>
      <w:r>
        <w:rPr>
          <w:color w:val="231F20"/>
        </w:rPr>
        <w:t>relationship</w:t>
      </w:r>
      <w:r>
        <w:rPr>
          <w:color w:val="231F20"/>
          <w:spacing w:val="-7"/>
        </w:rPr>
        <w:t xml:space="preserve"> </w:t>
      </w:r>
      <w:r>
        <w:rPr>
          <w:color w:val="231F20"/>
        </w:rPr>
        <w:t>with</w:t>
      </w:r>
      <w:r>
        <w:rPr>
          <w:color w:val="231F20"/>
          <w:spacing w:val="-7"/>
        </w:rPr>
        <w:t xml:space="preserve"> </w:t>
      </w:r>
      <w:r>
        <w:rPr>
          <w:color w:val="231F20"/>
        </w:rPr>
        <w:t>the</w:t>
      </w:r>
      <w:r>
        <w:rPr>
          <w:color w:val="231F20"/>
          <w:spacing w:val="-7"/>
        </w:rPr>
        <w:t xml:space="preserve"> </w:t>
      </w:r>
      <w:r>
        <w:rPr>
          <w:color w:val="231F20"/>
        </w:rPr>
        <w:t>sea.</w:t>
      </w:r>
    </w:p>
    <w:p w14:paraId="7A6932C1" w14:textId="77777777" w:rsidR="00AE0598" w:rsidRDefault="0069255A">
      <w:pPr>
        <w:pStyle w:val="Corpodetexto"/>
        <w:spacing w:before="12" w:line="232" w:lineRule="auto"/>
        <w:ind w:left="223" w:right="238" w:firstLine="320"/>
        <w:jc w:val="both"/>
      </w:pPr>
      <w:r>
        <w:rPr>
          <w:color w:val="231F20"/>
        </w:rPr>
        <w:t xml:space="preserve">By the end of the 19th century, Western colonisation of the Hawaiian Islands introduced a combination of disease and Christian morality that would almost eliminate </w:t>
      </w:r>
      <w:r>
        <w:rPr>
          <w:i/>
          <w:color w:val="231F20"/>
        </w:rPr>
        <w:t>he’e nalu</w:t>
      </w:r>
      <w:r>
        <w:rPr>
          <w:color w:val="231F20"/>
        </w:rPr>
        <w:t xml:space="preserve">. The precarious (re) </w:t>
      </w:r>
      <w:r>
        <w:rPr>
          <w:color w:val="231F20"/>
          <w:w w:val="95"/>
        </w:rPr>
        <w:t>birth of modern surfing in the early 20th century was directl</w:t>
      </w:r>
      <w:r>
        <w:rPr>
          <w:color w:val="231F20"/>
          <w:w w:val="95"/>
        </w:rPr>
        <w:t xml:space="preserve">y related to </w:t>
      </w:r>
      <w:r>
        <w:rPr>
          <w:color w:val="231F20"/>
        </w:rPr>
        <w:t>the</w:t>
      </w:r>
      <w:r>
        <w:rPr>
          <w:color w:val="231F20"/>
          <w:spacing w:val="-12"/>
        </w:rPr>
        <w:t xml:space="preserve"> </w:t>
      </w:r>
      <w:r>
        <w:rPr>
          <w:color w:val="231F20"/>
        </w:rPr>
        <w:t>colonisation</w:t>
      </w:r>
      <w:r>
        <w:rPr>
          <w:color w:val="231F20"/>
          <w:spacing w:val="-12"/>
        </w:rPr>
        <w:t xml:space="preserve"> </w:t>
      </w:r>
      <w:r>
        <w:rPr>
          <w:color w:val="231F20"/>
        </w:rPr>
        <w:t>of</w:t>
      </w:r>
      <w:r>
        <w:rPr>
          <w:color w:val="231F20"/>
          <w:spacing w:val="-11"/>
        </w:rPr>
        <w:t xml:space="preserve"> </w:t>
      </w:r>
      <w:r>
        <w:rPr>
          <w:color w:val="231F20"/>
        </w:rPr>
        <w:t>Hawai’i</w:t>
      </w:r>
      <w:r>
        <w:rPr>
          <w:color w:val="231F20"/>
          <w:spacing w:val="-12"/>
        </w:rPr>
        <w:t xml:space="preserve"> </w:t>
      </w:r>
      <w:r>
        <w:rPr>
          <w:color w:val="231F20"/>
        </w:rPr>
        <w:t>when,</w:t>
      </w:r>
      <w:r>
        <w:rPr>
          <w:color w:val="231F20"/>
          <w:spacing w:val="-11"/>
        </w:rPr>
        <w:t xml:space="preserve"> </w:t>
      </w:r>
      <w:r>
        <w:rPr>
          <w:color w:val="231F20"/>
        </w:rPr>
        <w:t>in</w:t>
      </w:r>
      <w:r>
        <w:rPr>
          <w:color w:val="231F20"/>
          <w:spacing w:val="-12"/>
        </w:rPr>
        <w:t xml:space="preserve"> </w:t>
      </w:r>
      <w:r>
        <w:rPr>
          <w:color w:val="231F20"/>
        </w:rPr>
        <w:t>1898,</w:t>
      </w:r>
      <w:r>
        <w:rPr>
          <w:color w:val="231F20"/>
          <w:spacing w:val="-11"/>
        </w:rPr>
        <w:t xml:space="preserve"> </w:t>
      </w:r>
      <w:r>
        <w:rPr>
          <w:color w:val="231F20"/>
        </w:rPr>
        <w:t>American</w:t>
      </w:r>
      <w:r>
        <w:rPr>
          <w:color w:val="231F20"/>
          <w:spacing w:val="-12"/>
        </w:rPr>
        <w:t xml:space="preserve"> </w:t>
      </w:r>
      <w:r>
        <w:rPr>
          <w:color w:val="231F20"/>
        </w:rPr>
        <w:t>business</w:t>
      </w:r>
      <w:r>
        <w:rPr>
          <w:color w:val="231F20"/>
          <w:spacing w:val="-12"/>
        </w:rPr>
        <w:t xml:space="preserve"> </w:t>
      </w:r>
      <w:r>
        <w:rPr>
          <w:color w:val="231F20"/>
        </w:rPr>
        <w:t xml:space="preserve">interests </w:t>
      </w:r>
      <w:r>
        <w:rPr>
          <w:color w:val="231F20"/>
          <w:w w:val="95"/>
        </w:rPr>
        <w:t xml:space="preserve">annexed the islands. In an effort to attract investment and boost tourism </w:t>
      </w:r>
      <w:r>
        <w:rPr>
          <w:color w:val="231F20"/>
        </w:rPr>
        <w:t>in</w:t>
      </w:r>
      <w:r>
        <w:rPr>
          <w:color w:val="231F20"/>
          <w:spacing w:val="-6"/>
        </w:rPr>
        <w:t xml:space="preserve"> </w:t>
      </w:r>
      <w:r>
        <w:rPr>
          <w:color w:val="231F20"/>
        </w:rPr>
        <w:t>Hawai’i,</w:t>
      </w:r>
      <w:r>
        <w:rPr>
          <w:color w:val="231F20"/>
          <w:spacing w:val="-6"/>
        </w:rPr>
        <w:t xml:space="preserve"> </w:t>
      </w:r>
      <w:r>
        <w:rPr>
          <w:i/>
          <w:color w:val="231F20"/>
        </w:rPr>
        <w:t>he’e</w:t>
      </w:r>
      <w:r>
        <w:rPr>
          <w:i/>
          <w:color w:val="231F20"/>
          <w:spacing w:val="-6"/>
        </w:rPr>
        <w:t xml:space="preserve"> </w:t>
      </w:r>
      <w:r>
        <w:rPr>
          <w:i/>
          <w:color w:val="231F20"/>
        </w:rPr>
        <w:t>nalu</w:t>
      </w:r>
      <w:r>
        <w:rPr>
          <w:i/>
          <w:color w:val="231F20"/>
          <w:spacing w:val="-6"/>
        </w:rPr>
        <w:t xml:space="preserve"> </w:t>
      </w:r>
      <w:r>
        <w:rPr>
          <w:color w:val="231F20"/>
        </w:rPr>
        <w:t>was</w:t>
      </w:r>
      <w:r>
        <w:rPr>
          <w:color w:val="231F20"/>
          <w:spacing w:val="-6"/>
        </w:rPr>
        <w:t xml:space="preserve"> </w:t>
      </w:r>
      <w:r>
        <w:rPr>
          <w:color w:val="231F20"/>
        </w:rPr>
        <w:t>commodified</w:t>
      </w:r>
      <w:r>
        <w:rPr>
          <w:color w:val="231F20"/>
          <w:spacing w:val="-6"/>
        </w:rPr>
        <w:t xml:space="preserve"> </w:t>
      </w:r>
      <w:r>
        <w:rPr>
          <w:color w:val="231F20"/>
        </w:rPr>
        <w:t>and</w:t>
      </w:r>
      <w:r>
        <w:rPr>
          <w:color w:val="231F20"/>
          <w:spacing w:val="-6"/>
        </w:rPr>
        <w:t xml:space="preserve"> </w:t>
      </w:r>
      <w:r>
        <w:rPr>
          <w:color w:val="231F20"/>
        </w:rPr>
        <w:t>repackaged</w:t>
      </w:r>
      <w:r>
        <w:rPr>
          <w:color w:val="231F20"/>
          <w:spacing w:val="-6"/>
        </w:rPr>
        <w:t xml:space="preserve"> </w:t>
      </w:r>
      <w:r>
        <w:rPr>
          <w:color w:val="231F20"/>
        </w:rPr>
        <w:t>as</w:t>
      </w:r>
      <w:r>
        <w:rPr>
          <w:color w:val="231F20"/>
          <w:spacing w:val="-6"/>
        </w:rPr>
        <w:t xml:space="preserve"> </w:t>
      </w:r>
      <w:r>
        <w:rPr>
          <w:color w:val="231F20"/>
        </w:rPr>
        <w:t>an</w:t>
      </w:r>
      <w:r>
        <w:rPr>
          <w:color w:val="231F20"/>
          <w:spacing w:val="-6"/>
        </w:rPr>
        <w:t xml:space="preserve"> </w:t>
      </w:r>
      <w:r>
        <w:rPr>
          <w:color w:val="231F20"/>
        </w:rPr>
        <w:t xml:space="preserve">idealised, </w:t>
      </w:r>
      <w:r>
        <w:rPr>
          <w:color w:val="231F20"/>
          <w:w w:val="95"/>
        </w:rPr>
        <w:t xml:space="preserve">tropical island fantasy fit </w:t>
      </w:r>
      <w:r>
        <w:rPr>
          <w:color w:val="231F20"/>
          <w:w w:val="95"/>
        </w:rPr>
        <w:t xml:space="preserve">for visitor consumption. </w:t>
      </w:r>
      <w:r>
        <w:rPr>
          <w:i/>
          <w:color w:val="231F20"/>
          <w:w w:val="95"/>
        </w:rPr>
        <w:t xml:space="preserve">He’e nalu </w:t>
      </w:r>
      <w:r>
        <w:rPr>
          <w:color w:val="231F20"/>
          <w:w w:val="95"/>
        </w:rPr>
        <w:t xml:space="preserve">turned into </w:t>
      </w:r>
      <w:r>
        <w:rPr>
          <w:color w:val="231F20"/>
        </w:rPr>
        <w:t xml:space="preserve">surfing and had become a tool for tourism development. The Waikiki Beachboys, including Duke Kahanamoku, played a critical role in the </w:t>
      </w:r>
      <w:r>
        <w:rPr>
          <w:color w:val="231F20"/>
          <w:w w:val="95"/>
        </w:rPr>
        <w:t>early emergence of surf tourism development, not only teaching tourists to</w:t>
      </w:r>
      <w:r>
        <w:rPr>
          <w:color w:val="231F20"/>
          <w:w w:val="95"/>
        </w:rPr>
        <w:t xml:space="preserve"> surf in the slow rolling Waikiki waves, but also reviving the traditions </w:t>
      </w:r>
      <w:r>
        <w:rPr>
          <w:color w:val="231F20"/>
        </w:rPr>
        <w:t xml:space="preserve">of </w:t>
      </w:r>
      <w:r>
        <w:rPr>
          <w:i/>
          <w:color w:val="231F20"/>
        </w:rPr>
        <w:t xml:space="preserve">he’e nalu </w:t>
      </w:r>
      <w:r>
        <w:rPr>
          <w:color w:val="231F20"/>
        </w:rPr>
        <w:t xml:space="preserve">in the more heavy breaks of the North Shore of Oahu (Ingersoll, 2016). The tradition of </w:t>
      </w:r>
      <w:r>
        <w:rPr>
          <w:i/>
          <w:color w:val="231F20"/>
        </w:rPr>
        <w:t xml:space="preserve">he’e nalu </w:t>
      </w:r>
      <w:r>
        <w:rPr>
          <w:color w:val="231F20"/>
        </w:rPr>
        <w:t>was preserved, but a new mode of surf tourism had also emerged.</w:t>
      </w:r>
    </w:p>
    <w:p w14:paraId="30CD1C76" w14:textId="77777777" w:rsidR="00AE0598" w:rsidRDefault="0069255A">
      <w:pPr>
        <w:pStyle w:val="Corpodetexto"/>
        <w:spacing w:before="18" w:line="232" w:lineRule="auto"/>
        <w:ind w:left="223" w:right="238" w:firstLine="320"/>
        <w:jc w:val="both"/>
      </w:pPr>
      <w:r>
        <w:rPr>
          <w:color w:val="231F20"/>
        </w:rPr>
        <w:t>Surfing</w:t>
      </w:r>
      <w:r>
        <w:rPr>
          <w:color w:val="231F20"/>
        </w:rPr>
        <w:t xml:space="preserve"> eventually departed Hawai’i, arriving on the California coast in 1907 and Australia in 1915 (Warshaw, 2010). In 1907, a surfing demonstration was held by Hawaiian-born George Freeth in Redondo Beach, California (Moore, 2011). The surf demonstration was de</w:t>
      </w:r>
      <w:r>
        <w:rPr>
          <w:color w:val="231F20"/>
        </w:rPr>
        <w:t>signed to promote a new beach culture and encourage real- estate</w:t>
      </w:r>
      <w:r>
        <w:rPr>
          <w:color w:val="231F20"/>
          <w:spacing w:val="-3"/>
        </w:rPr>
        <w:t xml:space="preserve"> </w:t>
      </w:r>
      <w:r>
        <w:rPr>
          <w:color w:val="231F20"/>
        </w:rPr>
        <w:t>development</w:t>
      </w:r>
      <w:r>
        <w:rPr>
          <w:color w:val="231F20"/>
          <w:spacing w:val="-3"/>
        </w:rPr>
        <w:t xml:space="preserve"> </w:t>
      </w:r>
      <w:r>
        <w:rPr>
          <w:color w:val="231F20"/>
        </w:rPr>
        <w:t>along</w:t>
      </w:r>
      <w:r>
        <w:rPr>
          <w:color w:val="231F20"/>
          <w:spacing w:val="-3"/>
        </w:rPr>
        <w:t xml:space="preserve"> </w:t>
      </w:r>
      <w:r>
        <w:rPr>
          <w:color w:val="231F20"/>
        </w:rPr>
        <w:t>the</w:t>
      </w:r>
      <w:r>
        <w:rPr>
          <w:color w:val="231F20"/>
          <w:spacing w:val="-3"/>
        </w:rPr>
        <w:t xml:space="preserve"> </w:t>
      </w:r>
      <w:r>
        <w:rPr>
          <w:color w:val="231F20"/>
        </w:rPr>
        <w:t>California</w:t>
      </w:r>
      <w:r>
        <w:rPr>
          <w:color w:val="231F20"/>
          <w:spacing w:val="-3"/>
        </w:rPr>
        <w:t xml:space="preserve"> </w:t>
      </w:r>
      <w:r>
        <w:rPr>
          <w:color w:val="231F20"/>
        </w:rPr>
        <w:t>coast.</w:t>
      </w:r>
      <w:r>
        <w:rPr>
          <w:color w:val="231F20"/>
          <w:spacing w:val="-3"/>
        </w:rPr>
        <w:t xml:space="preserve"> </w:t>
      </w:r>
      <w:r>
        <w:rPr>
          <w:color w:val="231F20"/>
        </w:rPr>
        <w:t>A</w:t>
      </w:r>
      <w:r>
        <w:rPr>
          <w:color w:val="231F20"/>
          <w:spacing w:val="-3"/>
        </w:rPr>
        <w:t xml:space="preserve"> </w:t>
      </w:r>
      <w:r>
        <w:rPr>
          <w:color w:val="231F20"/>
        </w:rPr>
        <w:t>core</w:t>
      </w:r>
      <w:r>
        <w:rPr>
          <w:color w:val="231F20"/>
          <w:spacing w:val="-3"/>
        </w:rPr>
        <w:t xml:space="preserve"> </w:t>
      </w:r>
      <w:r>
        <w:rPr>
          <w:color w:val="231F20"/>
        </w:rPr>
        <w:t>group</w:t>
      </w:r>
      <w:r>
        <w:rPr>
          <w:color w:val="231F20"/>
          <w:spacing w:val="-3"/>
        </w:rPr>
        <w:t xml:space="preserve"> </w:t>
      </w:r>
      <w:r>
        <w:rPr>
          <w:color w:val="231F20"/>
        </w:rPr>
        <w:t xml:space="preserve">of surfers soon picked up the sport and began experimenting with new board </w:t>
      </w:r>
      <w:r>
        <w:rPr>
          <w:color w:val="231F20"/>
          <w:w w:val="95"/>
        </w:rPr>
        <w:t xml:space="preserve">designs and materials. By 1950, polystyrene began being used to make </w:t>
      </w:r>
      <w:r>
        <w:rPr>
          <w:color w:val="231F20"/>
        </w:rPr>
        <w:t>the longboards lighter to transport and easier to ride, making surfing more accessible. The release of the Holly</w:t>
      </w:r>
      <w:r>
        <w:rPr>
          <w:color w:val="231F20"/>
        </w:rPr>
        <w:t xml:space="preserve">wood blockbuster </w:t>
      </w:r>
      <w:r>
        <w:rPr>
          <w:i/>
          <w:color w:val="231F20"/>
        </w:rPr>
        <w:t xml:space="preserve">Gidget </w:t>
      </w:r>
      <w:r>
        <w:rPr>
          <w:color w:val="231F20"/>
          <w:w w:val="95"/>
        </w:rPr>
        <w:t xml:space="preserve">(1959) introduced surfing’s subculture to the general public, inspiring a whole new generation to head down to the beach (Warshaw, 2010). It is estimated that prior to the release of the film there were roughly 5000 surfers, but by </w:t>
      </w:r>
      <w:r>
        <w:rPr>
          <w:color w:val="231F20"/>
          <w:w w:val="95"/>
        </w:rPr>
        <w:t xml:space="preserve">1963 estimates of the number of surfers ranged between </w:t>
      </w:r>
      <w:r>
        <w:rPr>
          <w:color w:val="231F20"/>
        </w:rPr>
        <w:t>150,000 (Finney &amp; Houston, 1996) and 2 or 3 million (Moore, 2011). Surfing had become mainstream.</w:t>
      </w:r>
    </w:p>
    <w:p w14:paraId="47C9A891" w14:textId="77777777" w:rsidR="00AE0598" w:rsidRDefault="00AE0598">
      <w:pPr>
        <w:pStyle w:val="Corpodetexto"/>
        <w:spacing w:before="8"/>
        <w:rPr>
          <w:sz w:val="22"/>
        </w:rPr>
      </w:pPr>
    </w:p>
    <w:p w14:paraId="1E54AA61" w14:textId="77777777" w:rsidR="00AE0598" w:rsidRDefault="0069255A">
      <w:pPr>
        <w:ind w:left="110" w:right="241"/>
        <w:jc w:val="right"/>
        <w:rPr>
          <w:rFonts w:ascii="Trebuchet MS"/>
          <w:i/>
          <w:sz w:val="18"/>
        </w:rPr>
      </w:pPr>
      <w:r>
        <w:rPr>
          <w:rFonts w:ascii="Trebuchet MS"/>
          <w:i/>
          <w:color w:val="231F20"/>
          <w:spacing w:val="-2"/>
          <w:sz w:val="18"/>
        </w:rPr>
        <w:t>(Continued)</w:t>
      </w:r>
    </w:p>
    <w:p w14:paraId="31190DB3" w14:textId="77777777" w:rsidR="00AE0598" w:rsidRDefault="00AE0598">
      <w:pPr>
        <w:jc w:val="right"/>
        <w:rPr>
          <w:rFonts w:ascii="Trebuchet MS"/>
          <w:sz w:val="18"/>
        </w:rPr>
        <w:sectPr w:rsidR="00AE0598">
          <w:pgSz w:w="8850" w:h="13270"/>
          <w:pgMar w:top="720" w:right="1060" w:bottom="280" w:left="1080" w:header="720" w:footer="720" w:gutter="0"/>
          <w:cols w:space="720"/>
        </w:sectPr>
      </w:pPr>
    </w:p>
    <w:p w14:paraId="292F6A4A" w14:textId="7248A610" w:rsidR="00AE0598" w:rsidRDefault="0069255A">
      <w:pPr>
        <w:spacing w:before="87"/>
        <w:ind w:left="108"/>
        <w:rPr>
          <w:rFonts w:ascii="Trebuchet MS"/>
          <w:sz w:val="14"/>
        </w:rPr>
      </w:pPr>
      <w:r>
        <w:rPr>
          <w:noProof/>
        </w:rPr>
        <w:lastRenderedPageBreak/>
        <mc:AlternateContent>
          <mc:Choice Requires="wps">
            <w:drawing>
              <wp:anchor distT="0" distB="0" distL="114300" distR="114300" simplePos="0" relativeHeight="483749888" behindDoc="1" locked="0" layoutInCell="1" allowOverlap="1" wp14:anchorId="40C3FA11" wp14:editId="722E38DF">
                <wp:simplePos x="0" y="0"/>
                <wp:positionH relativeFrom="page">
                  <wp:posOffset>755650</wp:posOffset>
                </wp:positionH>
                <wp:positionV relativeFrom="page">
                  <wp:posOffset>838200</wp:posOffset>
                </wp:positionV>
                <wp:extent cx="4104005" cy="6646545"/>
                <wp:effectExtent l="0" t="0" r="0" b="0"/>
                <wp:wrapNone/>
                <wp:docPr id="49" name="docshape3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04005" cy="6646545"/>
                        </a:xfrm>
                        <a:prstGeom prst="rect">
                          <a:avLst/>
                        </a:prstGeom>
                        <a:solidFill>
                          <a:srgbClr val="DCDDD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401D6B" id="docshape304" o:spid="_x0000_s1026" style="position:absolute;margin-left:59.5pt;margin-top:66pt;width:323.15pt;height:523.35pt;z-index:-195665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" fillcolor="#dcddde" stroked="f">
                <w10:wrap anchorx="page" anchory="page"/>
              </v:rect>
            </w:pict>
          </mc:Fallback>
        </mc:AlternateContent>
      </w:r>
      <w:r>
        <w:rPr>
          <w:rFonts w:ascii="Trebuchet MS"/>
          <w:color w:val="231F20"/>
          <w:w w:val="105"/>
          <w:sz w:val="14"/>
        </w:rPr>
        <w:t>202</w:t>
      </w:r>
      <w:r>
        <w:rPr>
          <w:rFonts w:ascii="Trebuchet MS"/>
          <w:color w:val="231F20"/>
          <w:spacing w:val="66"/>
          <w:w w:val="150"/>
          <w:sz w:val="14"/>
        </w:rPr>
        <w:t xml:space="preserve"> </w:t>
      </w:r>
      <w:r>
        <w:rPr>
          <w:rFonts w:ascii="Trebuchet MS"/>
          <w:color w:val="231F20"/>
          <w:w w:val="105"/>
          <w:sz w:val="14"/>
        </w:rPr>
        <w:t>Part</w:t>
      </w:r>
      <w:r>
        <w:rPr>
          <w:rFonts w:ascii="Trebuchet MS"/>
          <w:color w:val="231F20"/>
          <w:spacing w:val="-9"/>
          <w:w w:val="105"/>
          <w:sz w:val="14"/>
        </w:rPr>
        <w:t xml:space="preserve"> </w:t>
      </w:r>
      <w:r>
        <w:rPr>
          <w:rFonts w:ascii="Trebuchet MS"/>
          <w:color w:val="231F20"/>
          <w:w w:val="105"/>
          <w:sz w:val="14"/>
        </w:rPr>
        <w:t>4:</w:t>
      </w:r>
      <w:r>
        <w:rPr>
          <w:rFonts w:ascii="Trebuchet MS"/>
          <w:color w:val="231F20"/>
          <w:spacing w:val="-8"/>
          <w:w w:val="105"/>
          <w:sz w:val="14"/>
        </w:rPr>
        <w:t xml:space="preserve"> </w:t>
      </w:r>
      <w:r>
        <w:rPr>
          <w:rFonts w:ascii="Trebuchet MS"/>
          <w:color w:val="231F20"/>
          <w:w w:val="105"/>
          <w:sz w:val="14"/>
        </w:rPr>
        <w:t>Sport</w:t>
      </w:r>
      <w:r>
        <w:rPr>
          <w:rFonts w:ascii="Trebuchet MS"/>
          <w:color w:val="231F20"/>
          <w:spacing w:val="-9"/>
          <w:w w:val="105"/>
          <w:sz w:val="14"/>
        </w:rPr>
        <w:t xml:space="preserve"> </w:t>
      </w:r>
      <w:r>
        <w:rPr>
          <w:rFonts w:ascii="Trebuchet MS"/>
          <w:color w:val="231F20"/>
          <w:w w:val="105"/>
          <w:sz w:val="14"/>
        </w:rPr>
        <w:t>Tourism</w:t>
      </w:r>
      <w:r>
        <w:rPr>
          <w:rFonts w:ascii="Trebuchet MS"/>
          <w:color w:val="231F20"/>
          <w:spacing w:val="-9"/>
          <w:w w:val="105"/>
          <w:sz w:val="14"/>
        </w:rPr>
        <w:t xml:space="preserve"> </w:t>
      </w:r>
      <w:r>
        <w:rPr>
          <w:rFonts w:ascii="Trebuchet MS"/>
          <w:color w:val="231F20"/>
          <w:w w:val="105"/>
          <w:sz w:val="14"/>
        </w:rPr>
        <w:t>Development</w:t>
      </w:r>
      <w:r>
        <w:rPr>
          <w:rFonts w:ascii="Trebuchet MS"/>
          <w:color w:val="231F20"/>
          <w:spacing w:val="-9"/>
          <w:w w:val="105"/>
          <w:sz w:val="14"/>
        </w:rPr>
        <w:t xml:space="preserve"> </w:t>
      </w:r>
      <w:r>
        <w:rPr>
          <w:rFonts w:ascii="Trebuchet MS"/>
          <w:color w:val="231F20"/>
          <w:w w:val="105"/>
          <w:sz w:val="14"/>
        </w:rPr>
        <w:t>and</w:t>
      </w:r>
      <w:r>
        <w:rPr>
          <w:rFonts w:ascii="Trebuchet MS"/>
          <w:color w:val="231F20"/>
          <w:spacing w:val="-8"/>
          <w:w w:val="105"/>
          <w:sz w:val="14"/>
        </w:rPr>
        <w:t xml:space="preserve"> </w:t>
      </w:r>
      <w:r>
        <w:rPr>
          <w:rFonts w:ascii="Trebuchet MS"/>
          <w:color w:val="231F20"/>
          <w:spacing w:val="-4"/>
          <w:w w:val="105"/>
          <w:sz w:val="14"/>
        </w:rPr>
        <w:t>Time</w:t>
      </w:r>
    </w:p>
    <w:p w14:paraId="1B0D5FB1" w14:textId="77777777" w:rsidR="00AE0598" w:rsidRDefault="00AE0598">
      <w:pPr>
        <w:pStyle w:val="Corpodetexto"/>
        <w:spacing w:before="10"/>
        <w:rPr>
          <w:rFonts w:ascii="Trebuchet MS"/>
          <w:sz w:val="27"/>
        </w:rPr>
      </w:pPr>
    </w:p>
    <w:p w14:paraId="6B1CD5BA" w14:textId="77777777" w:rsidR="00AE0598" w:rsidRDefault="0069255A">
      <w:pPr>
        <w:spacing w:before="100"/>
        <w:ind w:left="223"/>
        <w:rPr>
          <w:rFonts w:ascii="Trebuchet MS"/>
          <w:sz w:val="18"/>
        </w:rPr>
      </w:pPr>
      <w:r>
        <w:rPr>
          <w:rFonts w:ascii="Trebuchet MS"/>
          <w:color w:val="231F20"/>
          <w:sz w:val="18"/>
        </w:rPr>
        <w:t>Case</w:t>
      </w:r>
      <w:r>
        <w:rPr>
          <w:rFonts w:ascii="Trebuchet MS"/>
          <w:color w:val="231F20"/>
          <w:spacing w:val="-7"/>
          <w:sz w:val="18"/>
        </w:rPr>
        <w:t xml:space="preserve"> </w:t>
      </w:r>
      <w:r>
        <w:rPr>
          <w:rFonts w:ascii="Trebuchet MS"/>
          <w:color w:val="231F20"/>
          <w:sz w:val="18"/>
        </w:rPr>
        <w:t>Study</w:t>
      </w:r>
      <w:r>
        <w:rPr>
          <w:rFonts w:ascii="Trebuchet MS"/>
          <w:color w:val="231F20"/>
          <w:spacing w:val="-6"/>
          <w:sz w:val="18"/>
        </w:rPr>
        <w:t xml:space="preserve"> </w:t>
      </w:r>
      <w:r>
        <w:rPr>
          <w:rFonts w:ascii="Trebuchet MS"/>
          <w:color w:val="231F20"/>
          <w:sz w:val="18"/>
        </w:rPr>
        <w:t>10.1:</w:t>
      </w:r>
      <w:r>
        <w:rPr>
          <w:rFonts w:ascii="Trebuchet MS"/>
          <w:color w:val="231F20"/>
          <w:spacing w:val="-7"/>
          <w:sz w:val="18"/>
        </w:rPr>
        <w:t xml:space="preserve"> </w:t>
      </w:r>
      <w:r>
        <w:rPr>
          <w:rFonts w:ascii="Trebuchet MS"/>
          <w:color w:val="231F20"/>
          <w:spacing w:val="-2"/>
          <w:sz w:val="18"/>
        </w:rPr>
        <w:t>(Continued)</w:t>
      </w:r>
    </w:p>
    <w:p w14:paraId="4C4024E6" w14:textId="77777777" w:rsidR="00AE0598" w:rsidRDefault="00AE0598">
      <w:pPr>
        <w:pStyle w:val="Corpodetexto"/>
        <w:spacing w:before="9"/>
        <w:rPr>
          <w:rFonts w:ascii="Trebuchet MS"/>
          <w:sz w:val="16"/>
        </w:rPr>
      </w:pPr>
    </w:p>
    <w:p w14:paraId="53D46DC9" w14:textId="77777777" w:rsidR="00AE0598" w:rsidRDefault="0069255A">
      <w:pPr>
        <w:pStyle w:val="Corpodetexto"/>
        <w:spacing w:before="1" w:line="232" w:lineRule="auto"/>
        <w:ind w:left="223" w:right="241" w:firstLine="320"/>
        <w:jc w:val="both"/>
      </w:pPr>
      <w:r>
        <w:rPr>
          <w:color w:val="231F20"/>
        </w:rPr>
        <w:t xml:space="preserve">Surf films continued to play an important role in reshaping the </w:t>
      </w:r>
      <w:r>
        <w:rPr>
          <w:color w:val="231F20"/>
          <w:spacing w:val="-2"/>
        </w:rPr>
        <w:t>sport</w:t>
      </w:r>
      <w:r>
        <w:rPr>
          <w:color w:val="231F20"/>
          <w:spacing w:val="-8"/>
        </w:rPr>
        <w:t xml:space="preserve"> </w:t>
      </w:r>
      <w:r>
        <w:rPr>
          <w:color w:val="231F20"/>
          <w:spacing w:val="-2"/>
        </w:rPr>
        <w:t>as</w:t>
      </w:r>
      <w:r>
        <w:rPr>
          <w:color w:val="231F20"/>
          <w:spacing w:val="-8"/>
        </w:rPr>
        <w:t xml:space="preserve"> </w:t>
      </w:r>
      <w:r>
        <w:rPr>
          <w:color w:val="231F20"/>
          <w:spacing w:val="-2"/>
        </w:rPr>
        <w:t>it</w:t>
      </w:r>
      <w:r>
        <w:rPr>
          <w:color w:val="231F20"/>
          <w:spacing w:val="-8"/>
        </w:rPr>
        <w:t xml:space="preserve"> </w:t>
      </w:r>
      <w:r>
        <w:rPr>
          <w:color w:val="231F20"/>
          <w:spacing w:val="-2"/>
        </w:rPr>
        <w:t>expanded.</w:t>
      </w:r>
      <w:r>
        <w:rPr>
          <w:color w:val="231F20"/>
          <w:spacing w:val="-8"/>
        </w:rPr>
        <w:t xml:space="preserve"> </w:t>
      </w:r>
      <w:r>
        <w:rPr>
          <w:color w:val="231F20"/>
          <w:spacing w:val="-2"/>
        </w:rPr>
        <w:t>As</w:t>
      </w:r>
      <w:r>
        <w:rPr>
          <w:color w:val="231F20"/>
          <w:spacing w:val="-8"/>
        </w:rPr>
        <w:t xml:space="preserve"> </w:t>
      </w:r>
      <w:r>
        <w:rPr>
          <w:color w:val="231F20"/>
          <w:spacing w:val="-2"/>
        </w:rPr>
        <w:t>the</w:t>
      </w:r>
      <w:r>
        <w:rPr>
          <w:color w:val="231F20"/>
          <w:spacing w:val="-8"/>
        </w:rPr>
        <w:t xml:space="preserve"> </w:t>
      </w:r>
      <w:r>
        <w:rPr>
          <w:color w:val="231F20"/>
          <w:spacing w:val="-2"/>
        </w:rPr>
        <w:t>popularity</w:t>
      </w:r>
      <w:r>
        <w:rPr>
          <w:color w:val="231F20"/>
          <w:spacing w:val="-8"/>
        </w:rPr>
        <w:t xml:space="preserve"> </w:t>
      </w:r>
      <w:r>
        <w:rPr>
          <w:color w:val="231F20"/>
          <w:spacing w:val="-2"/>
        </w:rPr>
        <w:t>of</w:t>
      </w:r>
      <w:r>
        <w:rPr>
          <w:color w:val="231F20"/>
        </w:rPr>
        <w:t xml:space="preserve"> </w:t>
      </w:r>
      <w:r>
        <w:rPr>
          <w:color w:val="231F20"/>
          <w:spacing w:val="-2"/>
        </w:rPr>
        <w:t>surfing</w:t>
      </w:r>
      <w:r>
        <w:rPr>
          <w:color w:val="231F20"/>
          <w:spacing w:val="-8"/>
        </w:rPr>
        <w:t xml:space="preserve"> </w:t>
      </w:r>
      <w:r>
        <w:rPr>
          <w:color w:val="231F20"/>
          <w:spacing w:val="-2"/>
        </w:rPr>
        <w:t>grew,</w:t>
      </w:r>
      <w:r>
        <w:rPr>
          <w:color w:val="231F20"/>
          <w:spacing w:val="-8"/>
        </w:rPr>
        <w:t xml:space="preserve"> </w:t>
      </w:r>
      <w:r>
        <w:rPr>
          <w:color w:val="231F20"/>
          <w:spacing w:val="-2"/>
        </w:rPr>
        <w:t>beaches</w:t>
      </w:r>
      <w:r>
        <w:rPr>
          <w:color w:val="231F20"/>
          <w:spacing w:val="-8"/>
        </w:rPr>
        <w:t xml:space="preserve"> </w:t>
      </w:r>
      <w:r>
        <w:rPr>
          <w:color w:val="231F20"/>
          <w:spacing w:val="-2"/>
        </w:rPr>
        <w:t>became overcrowded</w:t>
      </w:r>
      <w:r>
        <w:rPr>
          <w:color w:val="231F20"/>
          <w:spacing w:val="-9"/>
        </w:rPr>
        <w:t xml:space="preserve"> </w:t>
      </w:r>
      <w:r>
        <w:rPr>
          <w:color w:val="231F20"/>
          <w:spacing w:val="-2"/>
        </w:rPr>
        <w:t>and</w:t>
      </w:r>
      <w:r>
        <w:rPr>
          <w:color w:val="231F20"/>
          <w:spacing w:val="-9"/>
        </w:rPr>
        <w:t xml:space="preserve"> </w:t>
      </w:r>
      <w:r>
        <w:rPr>
          <w:color w:val="231F20"/>
          <w:spacing w:val="-2"/>
        </w:rPr>
        <w:t>another</w:t>
      </w:r>
      <w:r>
        <w:rPr>
          <w:color w:val="231F20"/>
          <w:spacing w:val="-9"/>
        </w:rPr>
        <w:t xml:space="preserve"> </w:t>
      </w:r>
      <w:r>
        <w:rPr>
          <w:color w:val="231F20"/>
          <w:spacing w:val="-2"/>
        </w:rPr>
        <w:t>surf</w:t>
      </w:r>
      <w:r>
        <w:rPr>
          <w:color w:val="231F20"/>
        </w:rPr>
        <w:t xml:space="preserve"> </w:t>
      </w:r>
      <w:r>
        <w:rPr>
          <w:color w:val="231F20"/>
          <w:spacing w:val="-2"/>
        </w:rPr>
        <w:t>ideal</w:t>
      </w:r>
      <w:r>
        <w:rPr>
          <w:color w:val="231F20"/>
          <w:spacing w:val="-9"/>
        </w:rPr>
        <w:t xml:space="preserve"> </w:t>
      </w:r>
      <w:r>
        <w:rPr>
          <w:color w:val="231F20"/>
          <w:spacing w:val="-2"/>
        </w:rPr>
        <w:t>began</w:t>
      </w:r>
      <w:r>
        <w:rPr>
          <w:color w:val="231F20"/>
          <w:spacing w:val="-9"/>
        </w:rPr>
        <w:t xml:space="preserve"> </w:t>
      </w:r>
      <w:r>
        <w:rPr>
          <w:color w:val="231F20"/>
          <w:spacing w:val="-2"/>
        </w:rPr>
        <w:t>to</w:t>
      </w:r>
      <w:r>
        <w:rPr>
          <w:color w:val="231F20"/>
          <w:spacing w:val="-9"/>
        </w:rPr>
        <w:t xml:space="preserve"> </w:t>
      </w:r>
      <w:r>
        <w:rPr>
          <w:color w:val="231F20"/>
          <w:spacing w:val="-2"/>
        </w:rPr>
        <w:t>surface:</w:t>
      </w:r>
      <w:r>
        <w:rPr>
          <w:color w:val="231F20"/>
          <w:spacing w:val="-9"/>
        </w:rPr>
        <w:t xml:space="preserve"> </w:t>
      </w:r>
      <w:r>
        <w:rPr>
          <w:color w:val="231F20"/>
          <w:spacing w:val="-2"/>
        </w:rPr>
        <w:t>the</w:t>
      </w:r>
      <w:r>
        <w:rPr>
          <w:color w:val="231F20"/>
          <w:spacing w:val="-9"/>
        </w:rPr>
        <w:t xml:space="preserve"> </w:t>
      </w:r>
      <w:r>
        <w:rPr>
          <w:color w:val="231F20"/>
          <w:spacing w:val="-2"/>
        </w:rPr>
        <w:t>search</w:t>
      </w:r>
      <w:r>
        <w:rPr>
          <w:color w:val="231F20"/>
          <w:spacing w:val="-9"/>
        </w:rPr>
        <w:t xml:space="preserve"> </w:t>
      </w:r>
      <w:r>
        <w:rPr>
          <w:color w:val="231F20"/>
          <w:spacing w:val="-2"/>
        </w:rPr>
        <w:t>for</w:t>
      </w:r>
      <w:r>
        <w:rPr>
          <w:color w:val="231F20"/>
          <w:spacing w:val="-9"/>
        </w:rPr>
        <w:t xml:space="preserve"> </w:t>
      </w:r>
      <w:r>
        <w:rPr>
          <w:color w:val="231F20"/>
          <w:spacing w:val="-2"/>
        </w:rPr>
        <w:t xml:space="preserve">the </w:t>
      </w:r>
      <w:r>
        <w:rPr>
          <w:color w:val="231F20"/>
          <w:w w:val="95"/>
        </w:rPr>
        <w:t>perfect</w:t>
      </w:r>
      <w:r>
        <w:rPr>
          <w:color w:val="231F20"/>
          <w:spacing w:val="-5"/>
          <w:w w:val="95"/>
        </w:rPr>
        <w:t xml:space="preserve"> </w:t>
      </w:r>
      <w:r>
        <w:rPr>
          <w:color w:val="231F20"/>
          <w:w w:val="95"/>
        </w:rPr>
        <w:t>wave.</w:t>
      </w:r>
      <w:r>
        <w:rPr>
          <w:color w:val="231F20"/>
          <w:spacing w:val="-5"/>
          <w:w w:val="95"/>
        </w:rPr>
        <w:t xml:space="preserve"> </w:t>
      </w:r>
      <w:r>
        <w:rPr>
          <w:i/>
          <w:color w:val="231F20"/>
          <w:w w:val="95"/>
        </w:rPr>
        <w:t>The</w:t>
      </w:r>
      <w:r>
        <w:rPr>
          <w:i/>
          <w:color w:val="231F20"/>
          <w:spacing w:val="-5"/>
          <w:w w:val="95"/>
        </w:rPr>
        <w:t xml:space="preserve"> </w:t>
      </w:r>
      <w:r>
        <w:rPr>
          <w:i/>
          <w:color w:val="231F20"/>
          <w:w w:val="95"/>
        </w:rPr>
        <w:t>Endless</w:t>
      </w:r>
      <w:r>
        <w:rPr>
          <w:i/>
          <w:color w:val="231F20"/>
          <w:spacing w:val="-5"/>
          <w:w w:val="95"/>
        </w:rPr>
        <w:t xml:space="preserve"> </w:t>
      </w:r>
      <w:r>
        <w:rPr>
          <w:i/>
          <w:color w:val="231F20"/>
          <w:w w:val="95"/>
        </w:rPr>
        <w:t>Summer</w:t>
      </w:r>
      <w:r>
        <w:rPr>
          <w:i/>
          <w:color w:val="231F20"/>
          <w:spacing w:val="-5"/>
          <w:w w:val="95"/>
        </w:rPr>
        <w:t xml:space="preserve"> </w:t>
      </w:r>
      <w:r>
        <w:rPr>
          <w:color w:val="231F20"/>
          <w:w w:val="95"/>
        </w:rPr>
        <w:t>(1964),</w:t>
      </w:r>
      <w:r>
        <w:rPr>
          <w:color w:val="231F20"/>
          <w:spacing w:val="-5"/>
          <w:w w:val="95"/>
        </w:rPr>
        <w:t xml:space="preserve"> </w:t>
      </w:r>
      <w:r>
        <w:rPr>
          <w:color w:val="231F20"/>
          <w:w w:val="95"/>
        </w:rPr>
        <w:t>a</w:t>
      </w:r>
      <w:r>
        <w:rPr>
          <w:color w:val="231F20"/>
          <w:spacing w:val="-5"/>
          <w:w w:val="95"/>
        </w:rPr>
        <w:t xml:space="preserve"> </w:t>
      </w:r>
      <w:r>
        <w:rPr>
          <w:color w:val="231F20"/>
          <w:w w:val="95"/>
        </w:rPr>
        <w:t>film</w:t>
      </w:r>
      <w:r>
        <w:rPr>
          <w:color w:val="231F20"/>
          <w:spacing w:val="-5"/>
          <w:w w:val="95"/>
        </w:rPr>
        <w:t xml:space="preserve"> </w:t>
      </w:r>
      <w:r>
        <w:rPr>
          <w:color w:val="231F20"/>
          <w:w w:val="95"/>
        </w:rPr>
        <w:t>about</w:t>
      </w:r>
      <w:r>
        <w:rPr>
          <w:color w:val="231F20"/>
          <w:spacing w:val="-5"/>
          <w:w w:val="95"/>
        </w:rPr>
        <w:t xml:space="preserve"> </w:t>
      </w:r>
      <w:r>
        <w:rPr>
          <w:color w:val="231F20"/>
          <w:w w:val="95"/>
        </w:rPr>
        <w:t>two</w:t>
      </w:r>
      <w:r>
        <w:rPr>
          <w:color w:val="231F20"/>
          <w:spacing w:val="-5"/>
          <w:w w:val="95"/>
        </w:rPr>
        <w:t xml:space="preserve"> </w:t>
      </w:r>
      <w:r>
        <w:rPr>
          <w:color w:val="231F20"/>
          <w:w w:val="95"/>
        </w:rPr>
        <w:t>quirky</w:t>
      </w:r>
      <w:r>
        <w:rPr>
          <w:color w:val="231F20"/>
          <w:spacing w:val="-5"/>
          <w:w w:val="95"/>
        </w:rPr>
        <w:t xml:space="preserve"> </w:t>
      </w:r>
      <w:r>
        <w:rPr>
          <w:color w:val="231F20"/>
          <w:w w:val="95"/>
        </w:rPr>
        <w:t xml:space="preserve">surfers </w:t>
      </w:r>
      <w:r>
        <w:rPr>
          <w:color w:val="231F20"/>
          <w:spacing w:val="-2"/>
          <w:w w:val="95"/>
        </w:rPr>
        <w:t>travelling</w:t>
      </w:r>
      <w:r>
        <w:rPr>
          <w:color w:val="231F20"/>
          <w:spacing w:val="-4"/>
          <w:w w:val="95"/>
        </w:rPr>
        <w:t xml:space="preserve"> </w:t>
      </w:r>
      <w:r>
        <w:rPr>
          <w:color w:val="231F20"/>
          <w:spacing w:val="-2"/>
          <w:w w:val="95"/>
        </w:rPr>
        <w:t>the</w:t>
      </w:r>
      <w:r>
        <w:rPr>
          <w:color w:val="231F20"/>
          <w:spacing w:val="-4"/>
          <w:w w:val="95"/>
        </w:rPr>
        <w:t xml:space="preserve"> </w:t>
      </w:r>
      <w:r>
        <w:rPr>
          <w:color w:val="231F20"/>
          <w:spacing w:val="-2"/>
          <w:w w:val="95"/>
        </w:rPr>
        <w:t>globe</w:t>
      </w:r>
      <w:r>
        <w:rPr>
          <w:color w:val="231F20"/>
          <w:spacing w:val="-4"/>
          <w:w w:val="95"/>
        </w:rPr>
        <w:t xml:space="preserve"> </w:t>
      </w:r>
      <w:r>
        <w:rPr>
          <w:color w:val="231F20"/>
          <w:spacing w:val="-2"/>
          <w:w w:val="95"/>
        </w:rPr>
        <w:t>in</w:t>
      </w:r>
      <w:r>
        <w:rPr>
          <w:color w:val="231F20"/>
          <w:spacing w:val="-4"/>
          <w:w w:val="95"/>
        </w:rPr>
        <w:t xml:space="preserve"> </w:t>
      </w:r>
      <w:r>
        <w:rPr>
          <w:color w:val="231F20"/>
          <w:spacing w:val="-2"/>
          <w:w w:val="95"/>
        </w:rPr>
        <w:t>search</w:t>
      </w:r>
      <w:r>
        <w:rPr>
          <w:color w:val="231F20"/>
          <w:spacing w:val="-4"/>
          <w:w w:val="95"/>
        </w:rPr>
        <w:t xml:space="preserve"> </w:t>
      </w:r>
      <w:r>
        <w:rPr>
          <w:color w:val="231F20"/>
          <w:spacing w:val="-2"/>
          <w:w w:val="95"/>
        </w:rPr>
        <w:t>of</w:t>
      </w:r>
      <w:r>
        <w:rPr>
          <w:color w:val="231F20"/>
          <w:spacing w:val="8"/>
        </w:rPr>
        <w:t xml:space="preserve"> </w:t>
      </w:r>
      <w:r>
        <w:rPr>
          <w:color w:val="231F20"/>
          <w:spacing w:val="-2"/>
          <w:w w:val="95"/>
        </w:rPr>
        <w:t>the</w:t>
      </w:r>
      <w:r>
        <w:rPr>
          <w:color w:val="231F20"/>
          <w:spacing w:val="-4"/>
          <w:w w:val="95"/>
        </w:rPr>
        <w:t xml:space="preserve"> </w:t>
      </w:r>
      <w:r>
        <w:rPr>
          <w:color w:val="231F20"/>
          <w:spacing w:val="-2"/>
          <w:w w:val="95"/>
        </w:rPr>
        <w:t>world’s</w:t>
      </w:r>
      <w:r>
        <w:rPr>
          <w:color w:val="231F20"/>
          <w:spacing w:val="-4"/>
          <w:w w:val="95"/>
        </w:rPr>
        <w:t xml:space="preserve"> </w:t>
      </w:r>
      <w:r>
        <w:rPr>
          <w:color w:val="231F20"/>
          <w:spacing w:val="-2"/>
          <w:w w:val="95"/>
        </w:rPr>
        <w:t>best</w:t>
      </w:r>
      <w:r>
        <w:rPr>
          <w:color w:val="231F20"/>
          <w:spacing w:val="-4"/>
          <w:w w:val="95"/>
        </w:rPr>
        <w:t xml:space="preserve"> </w:t>
      </w:r>
      <w:r>
        <w:rPr>
          <w:color w:val="231F20"/>
          <w:spacing w:val="-2"/>
          <w:w w:val="95"/>
        </w:rPr>
        <w:t>waves,</w:t>
      </w:r>
      <w:r>
        <w:rPr>
          <w:color w:val="231F20"/>
          <w:spacing w:val="-4"/>
          <w:w w:val="95"/>
        </w:rPr>
        <w:t xml:space="preserve"> </w:t>
      </w:r>
      <w:r>
        <w:rPr>
          <w:color w:val="231F20"/>
          <w:spacing w:val="-2"/>
          <w:w w:val="95"/>
        </w:rPr>
        <w:t>embedded</w:t>
      </w:r>
      <w:r>
        <w:rPr>
          <w:color w:val="231F20"/>
          <w:spacing w:val="-4"/>
          <w:w w:val="95"/>
        </w:rPr>
        <w:t xml:space="preserve"> </w:t>
      </w:r>
      <w:r>
        <w:rPr>
          <w:color w:val="231F20"/>
          <w:spacing w:val="-2"/>
          <w:w w:val="95"/>
        </w:rPr>
        <w:t>the</w:t>
      </w:r>
      <w:r>
        <w:rPr>
          <w:color w:val="231F20"/>
          <w:spacing w:val="-4"/>
          <w:w w:val="95"/>
        </w:rPr>
        <w:t xml:space="preserve"> </w:t>
      </w:r>
      <w:r>
        <w:rPr>
          <w:color w:val="231F20"/>
          <w:spacing w:val="-2"/>
          <w:w w:val="95"/>
        </w:rPr>
        <w:t xml:space="preserve">idea </w:t>
      </w:r>
      <w:r>
        <w:rPr>
          <w:color w:val="231F20"/>
          <w:spacing w:val="-2"/>
        </w:rPr>
        <w:t>of</w:t>
      </w:r>
      <w:r>
        <w:rPr>
          <w:color w:val="231F20"/>
          <w:spacing w:val="-10"/>
        </w:rPr>
        <w:t xml:space="preserve"> </w:t>
      </w:r>
      <w:r>
        <w:rPr>
          <w:color w:val="231F20"/>
          <w:spacing w:val="-2"/>
        </w:rPr>
        <w:t>surf</w:t>
      </w:r>
      <w:r>
        <w:rPr>
          <w:color w:val="231F20"/>
          <w:spacing w:val="-10"/>
        </w:rPr>
        <w:t xml:space="preserve"> </w:t>
      </w:r>
      <w:r>
        <w:rPr>
          <w:color w:val="231F20"/>
          <w:spacing w:val="-2"/>
        </w:rPr>
        <w:t>travel</w:t>
      </w:r>
      <w:r>
        <w:rPr>
          <w:color w:val="231F20"/>
          <w:spacing w:val="-9"/>
        </w:rPr>
        <w:t xml:space="preserve"> </w:t>
      </w:r>
      <w:r>
        <w:rPr>
          <w:color w:val="231F20"/>
          <w:spacing w:val="-2"/>
        </w:rPr>
        <w:t>into</w:t>
      </w:r>
      <w:r>
        <w:rPr>
          <w:color w:val="231F20"/>
          <w:spacing w:val="-10"/>
        </w:rPr>
        <w:t xml:space="preserve"> </w:t>
      </w:r>
      <w:r>
        <w:rPr>
          <w:color w:val="231F20"/>
          <w:spacing w:val="-2"/>
        </w:rPr>
        <w:t>the</w:t>
      </w:r>
      <w:r>
        <w:rPr>
          <w:color w:val="231F20"/>
          <w:spacing w:val="-9"/>
        </w:rPr>
        <w:t xml:space="preserve"> </w:t>
      </w:r>
      <w:r>
        <w:rPr>
          <w:color w:val="231F20"/>
          <w:spacing w:val="-2"/>
        </w:rPr>
        <w:t>mainstream</w:t>
      </w:r>
      <w:r>
        <w:rPr>
          <w:color w:val="231F20"/>
          <w:spacing w:val="-10"/>
        </w:rPr>
        <w:t xml:space="preserve"> </w:t>
      </w:r>
      <w:r>
        <w:rPr>
          <w:color w:val="231F20"/>
          <w:spacing w:val="-2"/>
        </w:rPr>
        <w:t>discourse.</w:t>
      </w:r>
      <w:r>
        <w:rPr>
          <w:color w:val="231F20"/>
          <w:spacing w:val="-9"/>
        </w:rPr>
        <w:t xml:space="preserve"> </w:t>
      </w:r>
      <w:r>
        <w:rPr>
          <w:color w:val="231F20"/>
          <w:spacing w:val="-2"/>
        </w:rPr>
        <w:t>Travelling</w:t>
      </w:r>
      <w:r>
        <w:rPr>
          <w:color w:val="231F20"/>
          <w:spacing w:val="-10"/>
        </w:rPr>
        <w:t xml:space="preserve"> </w:t>
      </w:r>
      <w:r>
        <w:rPr>
          <w:color w:val="231F20"/>
          <w:spacing w:val="-2"/>
        </w:rPr>
        <w:t>surfers</w:t>
      </w:r>
      <w:r>
        <w:rPr>
          <w:color w:val="231F20"/>
          <w:spacing w:val="-10"/>
        </w:rPr>
        <w:t xml:space="preserve"> </w:t>
      </w:r>
      <w:r>
        <w:rPr>
          <w:color w:val="231F20"/>
          <w:spacing w:val="-2"/>
        </w:rPr>
        <w:t>began</w:t>
      </w:r>
      <w:r>
        <w:rPr>
          <w:color w:val="231F20"/>
          <w:spacing w:val="-9"/>
        </w:rPr>
        <w:t xml:space="preserve"> </w:t>
      </w:r>
      <w:r>
        <w:rPr>
          <w:color w:val="231F20"/>
          <w:spacing w:val="-2"/>
        </w:rPr>
        <w:t xml:space="preserve">to </w:t>
      </w:r>
      <w:r>
        <w:rPr>
          <w:color w:val="231F20"/>
          <w:w w:val="95"/>
        </w:rPr>
        <w:t>identify as ‘free surfers’ or ‘soul surfers’ as they sought</w:t>
      </w:r>
      <w:r>
        <w:rPr>
          <w:color w:val="231F20"/>
          <w:w w:val="95"/>
        </w:rPr>
        <w:t xml:space="preserve"> out waves to ride in</w:t>
      </w:r>
      <w:r>
        <w:rPr>
          <w:color w:val="231F20"/>
          <w:spacing w:val="-7"/>
          <w:w w:val="95"/>
        </w:rPr>
        <w:t xml:space="preserve"> </w:t>
      </w:r>
      <w:r>
        <w:rPr>
          <w:color w:val="231F20"/>
          <w:w w:val="95"/>
        </w:rPr>
        <w:t>remote</w:t>
      </w:r>
      <w:r>
        <w:rPr>
          <w:color w:val="231F20"/>
          <w:spacing w:val="-7"/>
          <w:w w:val="95"/>
        </w:rPr>
        <w:t xml:space="preserve"> </w:t>
      </w:r>
      <w:r>
        <w:rPr>
          <w:color w:val="231F20"/>
          <w:w w:val="95"/>
        </w:rPr>
        <w:t>areas</w:t>
      </w:r>
      <w:r>
        <w:rPr>
          <w:color w:val="231F20"/>
          <w:spacing w:val="-7"/>
          <w:w w:val="95"/>
        </w:rPr>
        <w:t xml:space="preserve"> </w:t>
      </w:r>
      <w:r>
        <w:rPr>
          <w:color w:val="231F20"/>
          <w:w w:val="95"/>
        </w:rPr>
        <w:t>of</w:t>
      </w:r>
      <w:r>
        <w:rPr>
          <w:color w:val="231F20"/>
        </w:rPr>
        <w:t xml:space="preserve"> </w:t>
      </w:r>
      <w:r>
        <w:rPr>
          <w:color w:val="231F20"/>
          <w:w w:val="95"/>
        </w:rPr>
        <w:t>Indonesia</w:t>
      </w:r>
      <w:r>
        <w:rPr>
          <w:color w:val="231F20"/>
          <w:spacing w:val="-7"/>
          <w:w w:val="95"/>
        </w:rPr>
        <w:t xml:space="preserve"> </w:t>
      </w:r>
      <w:r>
        <w:rPr>
          <w:color w:val="231F20"/>
          <w:w w:val="95"/>
        </w:rPr>
        <w:t>and</w:t>
      </w:r>
      <w:r>
        <w:rPr>
          <w:color w:val="231F20"/>
          <w:spacing w:val="-7"/>
          <w:w w:val="95"/>
        </w:rPr>
        <w:t xml:space="preserve"> </w:t>
      </w:r>
      <w:r>
        <w:rPr>
          <w:color w:val="231F20"/>
          <w:w w:val="95"/>
        </w:rPr>
        <w:t>the</w:t>
      </w:r>
      <w:r>
        <w:rPr>
          <w:color w:val="231F20"/>
          <w:spacing w:val="-7"/>
          <w:w w:val="95"/>
        </w:rPr>
        <w:t xml:space="preserve"> </w:t>
      </w:r>
      <w:r>
        <w:rPr>
          <w:color w:val="231F20"/>
          <w:w w:val="95"/>
        </w:rPr>
        <w:t>Pacific.</w:t>
      </w:r>
      <w:r>
        <w:rPr>
          <w:color w:val="231F20"/>
          <w:spacing w:val="-7"/>
          <w:w w:val="95"/>
        </w:rPr>
        <w:t xml:space="preserve"> </w:t>
      </w:r>
      <w:r>
        <w:rPr>
          <w:color w:val="231F20"/>
          <w:w w:val="95"/>
        </w:rPr>
        <w:t>Finding</w:t>
      </w:r>
      <w:r>
        <w:rPr>
          <w:color w:val="231F20"/>
          <w:spacing w:val="-7"/>
          <w:w w:val="95"/>
        </w:rPr>
        <w:t xml:space="preserve"> </w:t>
      </w:r>
      <w:r>
        <w:rPr>
          <w:color w:val="231F20"/>
          <w:w w:val="95"/>
        </w:rPr>
        <w:t>the</w:t>
      </w:r>
      <w:r>
        <w:rPr>
          <w:color w:val="231F20"/>
          <w:spacing w:val="-7"/>
          <w:w w:val="95"/>
        </w:rPr>
        <w:t xml:space="preserve"> </w:t>
      </w:r>
      <w:r>
        <w:rPr>
          <w:color w:val="231F20"/>
          <w:w w:val="95"/>
        </w:rPr>
        <w:t>perfect</w:t>
      </w:r>
      <w:r>
        <w:rPr>
          <w:color w:val="231F20"/>
          <w:spacing w:val="-7"/>
          <w:w w:val="95"/>
        </w:rPr>
        <w:t xml:space="preserve"> </w:t>
      </w:r>
      <w:r>
        <w:rPr>
          <w:color w:val="231F20"/>
          <w:w w:val="95"/>
        </w:rPr>
        <w:t>wave</w:t>
      </w:r>
      <w:r>
        <w:rPr>
          <w:color w:val="231F20"/>
          <w:spacing w:val="-7"/>
          <w:w w:val="95"/>
        </w:rPr>
        <w:t xml:space="preserve"> </w:t>
      </w:r>
      <w:r>
        <w:rPr>
          <w:color w:val="231F20"/>
          <w:w w:val="95"/>
        </w:rPr>
        <w:t xml:space="preserve">and </w:t>
      </w:r>
      <w:r>
        <w:rPr>
          <w:color w:val="231F20"/>
          <w:spacing w:val="-2"/>
        </w:rPr>
        <w:t>surfing</w:t>
      </w:r>
      <w:r>
        <w:rPr>
          <w:color w:val="231F20"/>
          <w:spacing w:val="-6"/>
        </w:rPr>
        <w:t xml:space="preserve"> </w:t>
      </w:r>
      <w:r>
        <w:rPr>
          <w:color w:val="231F20"/>
          <w:spacing w:val="-2"/>
        </w:rPr>
        <w:t>it</w:t>
      </w:r>
      <w:r>
        <w:rPr>
          <w:color w:val="231F20"/>
          <w:spacing w:val="-6"/>
        </w:rPr>
        <w:t xml:space="preserve"> </w:t>
      </w:r>
      <w:r>
        <w:rPr>
          <w:color w:val="231F20"/>
          <w:spacing w:val="-2"/>
        </w:rPr>
        <w:t>expanded</w:t>
      </w:r>
      <w:r>
        <w:rPr>
          <w:color w:val="231F20"/>
          <w:spacing w:val="-6"/>
        </w:rPr>
        <w:t xml:space="preserve"> </w:t>
      </w:r>
      <w:r>
        <w:rPr>
          <w:color w:val="231F20"/>
          <w:spacing w:val="-2"/>
        </w:rPr>
        <w:t>the</w:t>
      </w:r>
      <w:r>
        <w:rPr>
          <w:color w:val="231F20"/>
          <w:spacing w:val="-6"/>
        </w:rPr>
        <w:t xml:space="preserve"> </w:t>
      </w:r>
      <w:r>
        <w:rPr>
          <w:color w:val="231F20"/>
          <w:spacing w:val="-2"/>
        </w:rPr>
        <w:t>sport</w:t>
      </w:r>
      <w:r>
        <w:rPr>
          <w:color w:val="231F20"/>
          <w:spacing w:val="-6"/>
        </w:rPr>
        <w:t xml:space="preserve"> </w:t>
      </w:r>
      <w:r>
        <w:rPr>
          <w:color w:val="231F20"/>
          <w:spacing w:val="-2"/>
        </w:rPr>
        <w:t>into</w:t>
      </w:r>
      <w:r>
        <w:rPr>
          <w:color w:val="231F20"/>
          <w:spacing w:val="-6"/>
        </w:rPr>
        <w:t xml:space="preserve"> </w:t>
      </w:r>
      <w:r>
        <w:rPr>
          <w:color w:val="231F20"/>
          <w:spacing w:val="-2"/>
        </w:rPr>
        <w:t>new</w:t>
      </w:r>
      <w:r>
        <w:rPr>
          <w:color w:val="231F20"/>
          <w:spacing w:val="-6"/>
        </w:rPr>
        <w:t xml:space="preserve"> </w:t>
      </w:r>
      <w:r>
        <w:rPr>
          <w:color w:val="231F20"/>
          <w:spacing w:val="-2"/>
        </w:rPr>
        <w:t>locations</w:t>
      </w:r>
      <w:r>
        <w:rPr>
          <w:color w:val="231F20"/>
          <w:spacing w:val="-6"/>
        </w:rPr>
        <w:t xml:space="preserve"> </w:t>
      </w:r>
      <w:r>
        <w:rPr>
          <w:color w:val="231F20"/>
          <w:spacing w:val="-2"/>
        </w:rPr>
        <w:t>and</w:t>
      </w:r>
      <w:r>
        <w:rPr>
          <w:color w:val="231F20"/>
          <w:spacing w:val="-6"/>
        </w:rPr>
        <w:t xml:space="preserve"> </w:t>
      </w:r>
      <w:r>
        <w:rPr>
          <w:color w:val="231F20"/>
          <w:spacing w:val="-2"/>
        </w:rPr>
        <w:t>by</w:t>
      </w:r>
      <w:r>
        <w:rPr>
          <w:color w:val="231F20"/>
          <w:spacing w:val="-6"/>
        </w:rPr>
        <w:t xml:space="preserve"> </w:t>
      </w:r>
      <w:r>
        <w:rPr>
          <w:color w:val="231F20"/>
          <w:spacing w:val="-2"/>
        </w:rPr>
        <w:t>the</w:t>
      </w:r>
      <w:r>
        <w:rPr>
          <w:color w:val="231F20"/>
          <w:spacing w:val="-6"/>
        </w:rPr>
        <w:t xml:space="preserve"> </w:t>
      </w:r>
      <w:r>
        <w:rPr>
          <w:color w:val="231F20"/>
          <w:spacing w:val="-2"/>
        </w:rPr>
        <w:t>late</w:t>
      </w:r>
      <w:r>
        <w:rPr>
          <w:color w:val="231F20"/>
          <w:spacing w:val="-6"/>
        </w:rPr>
        <w:t xml:space="preserve"> </w:t>
      </w:r>
      <w:r>
        <w:rPr>
          <w:color w:val="231F20"/>
          <w:spacing w:val="-2"/>
        </w:rPr>
        <w:t>1970s</w:t>
      </w:r>
      <w:r>
        <w:rPr>
          <w:color w:val="231F20"/>
          <w:spacing w:val="-6"/>
        </w:rPr>
        <w:t xml:space="preserve"> </w:t>
      </w:r>
      <w:r>
        <w:rPr>
          <w:color w:val="231F20"/>
          <w:spacing w:val="-2"/>
        </w:rPr>
        <w:t xml:space="preserve">a </w:t>
      </w:r>
      <w:r>
        <w:rPr>
          <w:color w:val="231F20"/>
        </w:rPr>
        <w:t>global</w:t>
      </w:r>
      <w:r>
        <w:rPr>
          <w:color w:val="231F20"/>
          <w:spacing w:val="-12"/>
        </w:rPr>
        <w:t xml:space="preserve"> </w:t>
      </w:r>
      <w:r>
        <w:rPr>
          <w:color w:val="231F20"/>
        </w:rPr>
        <w:t>commercialised</w:t>
      </w:r>
      <w:r>
        <w:rPr>
          <w:color w:val="231F20"/>
          <w:spacing w:val="-12"/>
        </w:rPr>
        <w:t xml:space="preserve"> </w:t>
      </w:r>
      <w:r>
        <w:rPr>
          <w:color w:val="231F20"/>
        </w:rPr>
        <w:t>surf</w:t>
      </w:r>
      <w:r>
        <w:rPr>
          <w:color w:val="231F20"/>
          <w:spacing w:val="-3"/>
        </w:rPr>
        <w:t xml:space="preserve"> </w:t>
      </w:r>
      <w:r>
        <w:rPr>
          <w:color w:val="231F20"/>
        </w:rPr>
        <w:t>tourism</w:t>
      </w:r>
      <w:r>
        <w:rPr>
          <w:color w:val="231F20"/>
          <w:spacing w:val="-11"/>
        </w:rPr>
        <w:t xml:space="preserve"> </w:t>
      </w:r>
      <w:r>
        <w:rPr>
          <w:color w:val="231F20"/>
        </w:rPr>
        <w:t>industry</w:t>
      </w:r>
      <w:r>
        <w:rPr>
          <w:color w:val="231F20"/>
          <w:spacing w:val="-12"/>
        </w:rPr>
        <w:t xml:space="preserve"> </w:t>
      </w:r>
      <w:r>
        <w:rPr>
          <w:color w:val="231F20"/>
        </w:rPr>
        <w:t>had</w:t>
      </w:r>
      <w:r>
        <w:rPr>
          <w:color w:val="231F20"/>
          <w:spacing w:val="-11"/>
        </w:rPr>
        <w:t xml:space="preserve"> </w:t>
      </w:r>
      <w:r>
        <w:rPr>
          <w:color w:val="231F20"/>
        </w:rPr>
        <w:t>been</w:t>
      </w:r>
      <w:r>
        <w:rPr>
          <w:color w:val="231F20"/>
          <w:spacing w:val="-12"/>
        </w:rPr>
        <w:t xml:space="preserve"> </w:t>
      </w:r>
      <w:r>
        <w:rPr>
          <w:color w:val="231F20"/>
        </w:rPr>
        <w:t>established.</w:t>
      </w:r>
    </w:p>
    <w:p w14:paraId="178496E2" w14:textId="77777777" w:rsidR="00AE0598" w:rsidRDefault="0069255A">
      <w:pPr>
        <w:pStyle w:val="Corpodetexto"/>
        <w:spacing w:before="12" w:line="232" w:lineRule="auto"/>
        <w:ind w:left="223" w:right="241" w:firstLine="320"/>
        <w:jc w:val="both"/>
      </w:pPr>
      <w:r>
        <w:rPr>
          <w:color w:val="231F20"/>
        </w:rPr>
        <w:t xml:space="preserve">Decade by decade the sport grew and slowly transformed. In the 1970s, Australia’s surf culture started to leave its mark, playing an </w:t>
      </w:r>
      <w:r>
        <w:rPr>
          <w:color w:val="231F20"/>
          <w:w w:val="95"/>
        </w:rPr>
        <w:t>important role in professionalising, commercialising and transforming surfing</w:t>
      </w:r>
      <w:r>
        <w:rPr>
          <w:color w:val="231F20"/>
          <w:spacing w:val="-4"/>
          <w:w w:val="95"/>
        </w:rPr>
        <w:t xml:space="preserve"> </w:t>
      </w:r>
      <w:r>
        <w:rPr>
          <w:color w:val="231F20"/>
          <w:w w:val="95"/>
        </w:rPr>
        <w:t>into</w:t>
      </w:r>
      <w:r>
        <w:rPr>
          <w:color w:val="231F20"/>
          <w:spacing w:val="-4"/>
          <w:w w:val="95"/>
        </w:rPr>
        <w:t xml:space="preserve"> </w:t>
      </w:r>
      <w:r>
        <w:rPr>
          <w:color w:val="231F20"/>
          <w:w w:val="95"/>
        </w:rPr>
        <w:t>a</w:t>
      </w:r>
      <w:r>
        <w:rPr>
          <w:color w:val="231F20"/>
          <w:spacing w:val="-2"/>
          <w:w w:val="95"/>
        </w:rPr>
        <w:t xml:space="preserve"> </w:t>
      </w:r>
      <w:r>
        <w:rPr>
          <w:color w:val="231F20"/>
          <w:w w:val="95"/>
        </w:rPr>
        <w:t>competitive</w:t>
      </w:r>
      <w:r>
        <w:rPr>
          <w:color w:val="231F20"/>
          <w:spacing w:val="-2"/>
          <w:w w:val="95"/>
        </w:rPr>
        <w:t xml:space="preserve"> </w:t>
      </w:r>
      <w:r>
        <w:rPr>
          <w:color w:val="231F20"/>
          <w:w w:val="95"/>
        </w:rPr>
        <w:t>sport.</w:t>
      </w:r>
      <w:r>
        <w:rPr>
          <w:color w:val="231F20"/>
          <w:spacing w:val="-4"/>
          <w:w w:val="95"/>
        </w:rPr>
        <w:t xml:space="preserve"> </w:t>
      </w:r>
      <w:r>
        <w:rPr>
          <w:color w:val="231F20"/>
          <w:w w:val="95"/>
        </w:rPr>
        <w:t>Competitive</w:t>
      </w:r>
      <w:r>
        <w:rPr>
          <w:color w:val="231F20"/>
          <w:spacing w:val="-2"/>
          <w:w w:val="95"/>
        </w:rPr>
        <w:t xml:space="preserve"> </w:t>
      </w:r>
      <w:r>
        <w:rPr>
          <w:color w:val="231F20"/>
          <w:w w:val="95"/>
        </w:rPr>
        <w:t>surfing</w:t>
      </w:r>
      <w:r>
        <w:rPr>
          <w:color w:val="231F20"/>
          <w:spacing w:val="-4"/>
          <w:w w:val="95"/>
        </w:rPr>
        <w:t xml:space="preserve"> </w:t>
      </w:r>
      <w:r>
        <w:rPr>
          <w:color w:val="231F20"/>
          <w:w w:val="95"/>
        </w:rPr>
        <w:t>flourished</w:t>
      </w:r>
      <w:r>
        <w:rPr>
          <w:color w:val="231F20"/>
          <w:spacing w:val="-4"/>
          <w:w w:val="95"/>
        </w:rPr>
        <w:t xml:space="preserve"> </w:t>
      </w:r>
      <w:r>
        <w:rPr>
          <w:color w:val="231F20"/>
          <w:w w:val="95"/>
        </w:rPr>
        <w:t xml:space="preserve">alongside </w:t>
      </w:r>
      <w:r>
        <w:rPr>
          <w:color w:val="231F20"/>
        </w:rPr>
        <w:t>the</w:t>
      </w:r>
      <w:r>
        <w:rPr>
          <w:color w:val="231F20"/>
          <w:spacing w:val="-12"/>
        </w:rPr>
        <w:t xml:space="preserve"> </w:t>
      </w:r>
      <w:r>
        <w:rPr>
          <w:color w:val="231F20"/>
        </w:rPr>
        <w:t>sport’s</w:t>
      </w:r>
      <w:r>
        <w:rPr>
          <w:color w:val="231F20"/>
          <w:spacing w:val="-12"/>
        </w:rPr>
        <w:t xml:space="preserve"> </w:t>
      </w:r>
      <w:r>
        <w:rPr>
          <w:color w:val="231F20"/>
        </w:rPr>
        <w:t>global</w:t>
      </w:r>
      <w:r>
        <w:rPr>
          <w:color w:val="231F20"/>
          <w:spacing w:val="-11"/>
        </w:rPr>
        <w:t xml:space="preserve"> </w:t>
      </w:r>
      <w:r>
        <w:rPr>
          <w:color w:val="231F20"/>
        </w:rPr>
        <w:t>incorporation,</w:t>
      </w:r>
      <w:r>
        <w:rPr>
          <w:color w:val="231F20"/>
          <w:spacing w:val="-12"/>
        </w:rPr>
        <w:t xml:space="preserve"> </w:t>
      </w:r>
      <w:r>
        <w:rPr>
          <w:color w:val="231F20"/>
        </w:rPr>
        <w:t>which</w:t>
      </w:r>
      <w:r>
        <w:rPr>
          <w:color w:val="231F20"/>
          <w:spacing w:val="-11"/>
        </w:rPr>
        <w:t xml:space="preserve"> </w:t>
      </w:r>
      <w:r>
        <w:rPr>
          <w:color w:val="231F20"/>
        </w:rPr>
        <w:t>led</w:t>
      </w:r>
      <w:r>
        <w:rPr>
          <w:color w:val="231F20"/>
          <w:spacing w:val="-12"/>
        </w:rPr>
        <w:t xml:space="preserve"> </w:t>
      </w:r>
      <w:r>
        <w:rPr>
          <w:color w:val="231F20"/>
        </w:rPr>
        <w:t>to</w:t>
      </w:r>
      <w:r>
        <w:rPr>
          <w:color w:val="231F20"/>
          <w:spacing w:val="-11"/>
        </w:rPr>
        <w:t xml:space="preserve"> </w:t>
      </w:r>
      <w:r>
        <w:rPr>
          <w:color w:val="231F20"/>
        </w:rPr>
        <w:t>the</w:t>
      </w:r>
      <w:r>
        <w:rPr>
          <w:color w:val="231F20"/>
          <w:spacing w:val="-12"/>
        </w:rPr>
        <w:t xml:space="preserve"> </w:t>
      </w:r>
      <w:r>
        <w:rPr>
          <w:color w:val="231F20"/>
        </w:rPr>
        <w:t>development</w:t>
      </w:r>
      <w:r>
        <w:rPr>
          <w:color w:val="231F20"/>
          <w:spacing w:val="-12"/>
        </w:rPr>
        <w:t xml:space="preserve"> </w:t>
      </w:r>
      <w:r>
        <w:rPr>
          <w:color w:val="231F20"/>
        </w:rPr>
        <w:t>of</w:t>
      </w:r>
      <w:r>
        <w:rPr>
          <w:color w:val="231F20"/>
          <w:spacing w:val="-11"/>
        </w:rPr>
        <w:t xml:space="preserve"> </w:t>
      </w:r>
      <w:r>
        <w:rPr>
          <w:color w:val="231F20"/>
        </w:rPr>
        <w:t xml:space="preserve">some of surfing’s biggest Australian brands – Quiksilver, Billabong and Rip </w:t>
      </w:r>
      <w:r>
        <w:rPr>
          <w:color w:val="231F20"/>
          <w:w w:val="95"/>
        </w:rPr>
        <w:t>Curl (Stranger, 2010). In turn, competitive surfing inspired technologica</w:t>
      </w:r>
      <w:r>
        <w:rPr>
          <w:color w:val="231F20"/>
          <w:w w:val="95"/>
        </w:rPr>
        <w:t xml:space="preserve">l </w:t>
      </w:r>
      <w:r>
        <w:rPr>
          <w:color w:val="231F20"/>
        </w:rPr>
        <w:t>innovation</w:t>
      </w:r>
      <w:r>
        <w:rPr>
          <w:color w:val="231F20"/>
          <w:spacing w:val="-12"/>
        </w:rPr>
        <w:t xml:space="preserve"> </w:t>
      </w:r>
      <w:r>
        <w:rPr>
          <w:color w:val="231F20"/>
        </w:rPr>
        <w:t>as</w:t>
      </w:r>
      <w:r>
        <w:rPr>
          <w:color w:val="231F20"/>
          <w:spacing w:val="-12"/>
        </w:rPr>
        <w:t xml:space="preserve"> </w:t>
      </w:r>
      <w:r>
        <w:rPr>
          <w:color w:val="231F20"/>
        </w:rPr>
        <w:t>competitors</w:t>
      </w:r>
      <w:r>
        <w:rPr>
          <w:color w:val="231F20"/>
          <w:spacing w:val="-11"/>
        </w:rPr>
        <w:t xml:space="preserve"> </w:t>
      </w:r>
      <w:r>
        <w:rPr>
          <w:color w:val="231F20"/>
        </w:rPr>
        <w:t>sought</w:t>
      </w:r>
      <w:r>
        <w:rPr>
          <w:color w:val="231F20"/>
          <w:spacing w:val="-12"/>
        </w:rPr>
        <w:t xml:space="preserve"> </w:t>
      </w:r>
      <w:r>
        <w:rPr>
          <w:color w:val="231F20"/>
        </w:rPr>
        <w:t>to</w:t>
      </w:r>
      <w:r>
        <w:rPr>
          <w:color w:val="231F20"/>
          <w:spacing w:val="-11"/>
        </w:rPr>
        <w:t xml:space="preserve"> </w:t>
      </w:r>
      <w:r>
        <w:rPr>
          <w:color w:val="231F20"/>
        </w:rPr>
        <w:t>gain</w:t>
      </w:r>
      <w:r>
        <w:rPr>
          <w:color w:val="231F20"/>
          <w:spacing w:val="-12"/>
        </w:rPr>
        <w:t xml:space="preserve"> </w:t>
      </w:r>
      <w:r>
        <w:rPr>
          <w:color w:val="231F20"/>
        </w:rPr>
        <w:t>advantage</w:t>
      </w:r>
      <w:r>
        <w:rPr>
          <w:color w:val="231F20"/>
          <w:spacing w:val="-11"/>
        </w:rPr>
        <w:t xml:space="preserve"> </w:t>
      </w:r>
      <w:r>
        <w:rPr>
          <w:color w:val="231F20"/>
        </w:rPr>
        <w:t>through</w:t>
      </w:r>
      <w:r>
        <w:rPr>
          <w:color w:val="231F20"/>
          <w:spacing w:val="-12"/>
        </w:rPr>
        <w:t xml:space="preserve"> </w:t>
      </w:r>
      <w:r>
        <w:rPr>
          <w:color w:val="231F20"/>
        </w:rPr>
        <w:t xml:space="preserve">improved board design. The shortboard revolution in the late 1960s and the manufacturing of the three-fin ‘thruster’ boards in the 1980s allowed </w:t>
      </w:r>
      <w:r>
        <w:rPr>
          <w:color w:val="231F20"/>
          <w:w w:val="95"/>
        </w:rPr>
        <w:t>for sharper turns, greater acceleration and a more</w:t>
      </w:r>
      <w:r>
        <w:rPr>
          <w:color w:val="231F20"/>
          <w:w w:val="95"/>
        </w:rPr>
        <w:t xml:space="preserve"> aggressive surf style</w:t>
      </w:r>
      <w:r>
        <w:rPr>
          <w:color w:val="231F20"/>
          <w:spacing w:val="40"/>
        </w:rPr>
        <w:t xml:space="preserve"> </w:t>
      </w:r>
      <w:r>
        <w:rPr>
          <w:color w:val="231F20"/>
        </w:rPr>
        <w:t>to</w:t>
      </w:r>
      <w:r>
        <w:rPr>
          <w:color w:val="231F20"/>
          <w:spacing w:val="-6"/>
        </w:rPr>
        <w:t xml:space="preserve"> </w:t>
      </w:r>
      <w:r>
        <w:rPr>
          <w:color w:val="231F20"/>
        </w:rPr>
        <w:t>emerge.</w:t>
      </w:r>
      <w:r>
        <w:rPr>
          <w:color w:val="231F20"/>
          <w:spacing w:val="-6"/>
        </w:rPr>
        <w:t xml:space="preserve"> </w:t>
      </w:r>
      <w:r>
        <w:rPr>
          <w:color w:val="231F20"/>
        </w:rPr>
        <w:t>These</w:t>
      </w:r>
      <w:r>
        <w:rPr>
          <w:color w:val="231F20"/>
          <w:spacing w:val="-6"/>
        </w:rPr>
        <w:t xml:space="preserve"> </w:t>
      </w:r>
      <w:r>
        <w:rPr>
          <w:color w:val="231F20"/>
        </w:rPr>
        <w:t>key</w:t>
      </w:r>
      <w:r>
        <w:rPr>
          <w:color w:val="231F20"/>
          <w:spacing w:val="-6"/>
        </w:rPr>
        <w:t xml:space="preserve"> </w:t>
      </w:r>
      <w:r>
        <w:rPr>
          <w:color w:val="231F20"/>
        </w:rPr>
        <w:t>innovations</w:t>
      </w:r>
      <w:r>
        <w:rPr>
          <w:color w:val="231F20"/>
          <w:spacing w:val="-6"/>
        </w:rPr>
        <w:t xml:space="preserve"> </w:t>
      </w:r>
      <w:r>
        <w:rPr>
          <w:color w:val="231F20"/>
        </w:rPr>
        <w:t>enabled</w:t>
      </w:r>
      <w:r>
        <w:rPr>
          <w:color w:val="231F20"/>
          <w:spacing w:val="-6"/>
        </w:rPr>
        <w:t xml:space="preserve"> </w:t>
      </w:r>
      <w:r>
        <w:rPr>
          <w:color w:val="231F20"/>
        </w:rPr>
        <w:t>surfing</w:t>
      </w:r>
      <w:r>
        <w:rPr>
          <w:color w:val="231F20"/>
          <w:spacing w:val="-6"/>
        </w:rPr>
        <w:t xml:space="preserve"> </w:t>
      </w:r>
      <w:r>
        <w:rPr>
          <w:color w:val="231F20"/>
        </w:rPr>
        <w:t>to</w:t>
      </w:r>
      <w:r>
        <w:rPr>
          <w:color w:val="231F20"/>
          <w:spacing w:val="-6"/>
        </w:rPr>
        <w:t xml:space="preserve"> </w:t>
      </w:r>
      <w:r>
        <w:rPr>
          <w:color w:val="231F20"/>
        </w:rPr>
        <w:t>become</w:t>
      </w:r>
      <w:r>
        <w:rPr>
          <w:color w:val="231F20"/>
          <w:spacing w:val="-6"/>
        </w:rPr>
        <w:t xml:space="preserve"> </w:t>
      </w:r>
      <w:r>
        <w:rPr>
          <w:color w:val="231F20"/>
        </w:rPr>
        <w:t>the</w:t>
      </w:r>
      <w:r>
        <w:rPr>
          <w:color w:val="231F20"/>
          <w:spacing w:val="-6"/>
        </w:rPr>
        <w:t xml:space="preserve"> </w:t>
      </w:r>
      <w:r>
        <w:rPr>
          <w:color w:val="231F20"/>
        </w:rPr>
        <w:t>high- performance competitive sport known today.</w:t>
      </w:r>
    </w:p>
    <w:p w14:paraId="549D0DEE" w14:textId="77777777" w:rsidR="00AE0598" w:rsidRDefault="0069255A">
      <w:pPr>
        <w:pStyle w:val="Corpodetexto"/>
        <w:spacing w:before="15" w:line="232" w:lineRule="auto"/>
        <w:ind w:left="223" w:right="240" w:firstLine="320"/>
        <w:jc w:val="both"/>
      </w:pPr>
      <w:r>
        <w:rPr>
          <w:color w:val="231F20"/>
        </w:rPr>
        <w:t>Surf corporations began promoting major competitions all over the</w:t>
      </w:r>
      <w:r>
        <w:rPr>
          <w:color w:val="231F20"/>
          <w:spacing w:val="-4"/>
        </w:rPr>
        <w:t xml:space="preserve"> </w:t>
      </w:r>
      <w:r>
        <w:rPr>
          <w:color w:val="231F20"/>
        </w:rPr>
        <w:t>world</w:t>
      </w:r>
      <w:r>
        <w:rPr>
          <w:color w:val="231F20"/>
          <w:spacing w:val="-4"/>
        </w:rPr>
        <w:t xml:space="preserve"> </w:t>
      </w:r>
      <w:r>
        <w:rPr>
          <w:color w:val="231F20"/>
        </w:rPr>
        <w:t>and</w:t>
      </w:r>
      <w:r>
        <w:rPr>
          <w:color w:val="231F20"/>
          <w:spacing w:val="-4"/>
        </w:rPr>
        <w:t xml:space="preserve"> </w:t>
      </w:r>
      <w:r>
        <w:rPr>
          <w:color w:val="231F20"/>
        </w:rPr>
        <w:t>sponsored</w:t>
      </w:r>
      <w:r>
        <w:rPr>
          <w:color w:val="231F20"/>
          <w:spacing w:val="-4"/>
        </w:rPr>
        <w:t xml:space="preserve"> </w:t>
      </w:r>
      <w:r>
        <w:rPr>
          <w:color w:val="231F20"/>
        </w:rPr>
        <w:t>the</w:t>
      </w:r>
      <w:r>
        <w:rPr>
          <w:color w:val="231F20"/>
          <w:spacing w:val="-4"/>
        </w:rPr>
        <w:t xml:space="preserve"> </w:t>
      </w:r>
      <w:r>
        <w:rPr>
          <w:color w:val="231F20"/>
        </w:rPr>
        <w:t>sport’s</w:t>
      </w:r>
      <w:r>
        <w:rPr>
          <w:color w:val="231F20"/>
          <w:spacing w:val="-4"/>
        </w:rPr>
        <w:t xml:space="preserve"> </w:t>
      </w:r>
      <w:r>
        <w:rPr>
          <w:color w:val="231F20"/>
        </w:rPr>
        <w:t>top</w:t>
      </w:r>
      <w:r>
        <w:rPr>
          <w:color w:val="231F20"/>
          <w:spacing w:val="-4"/>
        </w:rPr>
        <w:t xml:space="preserve"> </w:t>
      </w:r>
      <w:r>
        <w:rPr>
          <w:color w:val="231F20"/>
        </w:rPr>
        <w:t>competitors.</w:t>
      </w:r>
      <w:r>
        <w:rPr>
          <w:color w:val="231F20"/>
          <w:spacing w:val="-4"/>
        </w:rPr>
        <w:t xml:space="preserve"> </w:t>
      </w:r>
      <w:r>
        <w:rPr>
          <w:color w:val="231F20"/>
        </w:rPr>
        <w:t>Simultaneously, the same surf corporations began sponsoring other highly talented ‘free surfers’ living the alternative travelling lifestyle. The free surfer marketing, with professionals travelling to exotic locations to surf in sponsored vid</w:t>
      </w:r>
      <w:r>
        <w:rPr>
          <w:color w:val="231F20"/>
        </w:rPr>
        <w:t>eos and feature in corporate promotions, encouraged the further commercialisation of the surf travel lifestyle established</w:t>
      </w:r>
      <w:r>
        <w:rPr>
          <w:color w:val="231F20"/>
          <w:spacing w:val="40"/>
        </w:rPr>
        <w:t xml:space="preserve"> </w:t>
      </w:r>
      <w:r>
        <w:rPr>
          <w:color w:val="231F20"/>
        </w:rPr>
        <w:t xml:space="preserve">in the 1960s (Stranger, 2010). With the arrival of globalisation, surf culture, surf tourism and the corresponding surf economy have </w:t>
      </w:r>
      <w:r>
        <w:rPr>
          <w:color w:val="231F20"/>
        </w:rPr>
        <w:t xml:space="preserve">now </w:t>
      </w:r>
      <w:r>
        <w:rPr>
          <w:color w:val="231F20"/>
          <w:w w:val="95"/>
        </w:rPr>
        <w:t xml:space="preserve">breached the shores of even the most isolated waves. Transnational surf </w:t>
      </w:r>
      <w:r>
        <w:rPr>
          <w:color w:val="231F20"/>
        </w:rPr>
        <w:t>corporations</w:t>
      </w:r>
      <w:r>
        <w:rPr>
          <w:color w:val="231F20"/>
          <w:spacing w:val="-6"/>
        </w:rPr>
        <w:t xml:space="preserve"> </w:t>
      </w:r>
      <w:r>
        <w:rPr>
          <w:color w:val="231F20"/>
        </w:rPr>
        <w:t>are</w:t>
      </w:r>
      <w:r>
        <w:rPr>
          <w:color w:val="231F20"/>
          <w:spacing w:val="-6"/>
        </w:rPr>
        <w:t xml:space="preserve"> </w:t>
      </w:r>
      <w:r>
        <w:rPr>
          <w:color w:val="231F20"/>
        </w:rPr>
        <w:t>worth</w:t>
      </w:r>
      <w:r>
        <w:rPr>
          <w:color w:val="231F20"/>
          <w:spacing w:val="-6"/>
        </w:rPr>
        <w:t xml:space="preserve"> </w:t>
      </w:r>
      <w:r>
        <w:rPr>
          <w:color w:val="231F20"/>
        </w:rPr>
        <w:t>billions</w:t>
      </w:r>
      <w:r>
        <w:rPr>
          <w:color w:val="231F20"/>
          <w:spacing w:val="-6"/>
        </w:rPr>
        <w:t xml:space="preserve"> </w:t>
      </w:r>
      <w:r>
        <w:rPr>
          <w:color w:val="231F20"/>
        </w:rPr>
        <w:t>of</w:t>
      </w:r>
      <w:r>
        <w:rPr>
          <w:color w:val="231F20"/>
          <w:spacing w:val="-7"/>
        </w:rPr>
        <w:t xml:space="preserve"> </w:t>
      </w:r>
      <w:r>
        <w:rPr>
          <w:color w:val="231F20"/>
        </w:rPr>
        <w:t>dollars.</w:t>
      </w:r>
      <w:r>
        <w:rPr>
          <w:color w:val="231F20"/>
          <w:spacing w:val="-7"/>
        </w:rPr>
        <w:t xml:space="preserve"> </w:t>
      </w:r>
      <w:r>
        <w:rPr>
          <w:color w:val="231F20"/>
        </w:rPr>
        <w:t>Today’s</w:t>
      </w:r>
      <w:r>
        <w:rPr>
          <w:color w:val="231F20"/>
          <w:spacing w:val="-6"/>
        </w:rPr>
        <w:t xml:space="preserve"> </w:t>
      </w:r>
      <w:r>
        <w:rPr>
          <w:color w:val="231F20"/>
        </w:rPr>
        <w:t>surfing</w:t>
      </w:r>
      <w:r>
        <w:rPr>
          <w:color w:val="231F20"/>
          <w:spacing w:val="-7"/>
        </w:rPr>
        <w:t xml:space="preserve"> </w:t>
      </w:r>
      <w:r>
        <w:rPr>
          <w:color w:val="231F20"/>
        </w:rPr>
        <w:t>has</w:t>
      </w:r>
      <w:r>
        <w:rPr>
          <w:color w:val="231F20"/>
          <w:spacing w:val="-6"/>
        </w:rPr>
        <w:t xml:space="preserve"> </w:t>
      </w:r>
      <w:r>
        <w:rPr>
          <w:color w:val="231F20"/>
        </w:rPr>
        <w:t>become fully incorporated into the consumer capitalism regime.</w:t>
      </w:r>
    </w:p>
    <w:p w14:paraId="282C3549" w14:textId="77777777" w:rsidR="00AE0598" w:rsidRDefault="0069255A">
      <w:pPr>
        <w:pStyle w:val="Corpodetexto"/>
        <w:spacing w:before="15" w:line="232" w:lineRule="auto"/>
        <w:ind w:left="223" w:right="237" w:firstLine="320"/>
        <w:jc w:val="both"/>
      </w:pPr>
      <w:r>
        <w:rPr>
          <w:color w:val="231F20"/>
        </w:rPr>
        <w:t>Over the past century, surfing has multiplied and mut</w:t>
      </w:r>
      <w:r>
        <w:rPr>
          <w:color w:val="231F20"/>
        </w:rPr>
        <w:t>ated into a broad range of meanings and practices. Surfers are riding waves in German rivers, constructing wave pools in Texas and sliding across stormy</w:t>
      </w:r>
      <w:r>
        <w:rPr>
          <w:color w:val="231F20"/>
          <w:spacing w:val="-11"/>
        </w:rPr>
        <w:t xml:space="preserve"> </w:t>
      </w:r>
      <w:r>
        <w:rPr>
          <w:color w:val="231F20"/>
        </w:rPr>
        <w:t>swells</w:t>
      </w:r>
      <w:r>
        <w:rPr>
          <w:color w:val="231F20"/>
          <w:spacing w:val="-12"/>
        </w:rPr>
        <w:t xml:space="preserve"> </w:t>
      </w:r>
      <w:r>
        <w:rPr>
          <w:color w:val="231F20"/>
        </w:rPr>
        <w:t>of</w:t>
      </w:r>
      <w:r>
        <w:rPr>
          <w:color w:val="231F20"/>
          <w:spacing w:val="-11"/>
        </w:rPr>
        <w:t xml:space="preserve"> </w:t>
      </w:r>
      <w:r>
        <w:rPr>
          <w:color w:val="231F20"/>
        </w:rPr>
        <w:t>Lake</w:t>
      </w:r>
      <w:r>
        <w:rPr>
          <w:color w:val="231F20"/>
          <w:spacing w:val="-11"/>
        </w:rPr>
        <w:t xml:space="preserve"> </w:t>
      </w:r>
      <w:r>
        <w:rPr>
          <w:color w:val="231F20"/>
        </w:rPr>
        <w:t>Superior.</w:t>
      </w:r>
      <w:r>
        <w:rPr>
          <w:color w:val="231F20"/>
          <w:spacing w:val="-12"/>
        </w:rPr>
        <w:t xml:space="preserve"> </w:t>
      </w:r>
      <w:r>
        <w:rPr>
          <w:color w:val="231F20"/>
        </w:rPr>
        <w:t>Surfers</w:t>
      </w:r>
      <w:r>
        <w:rPr>
          <w:color w:val="231F20"/>
          <w:spacing w:val="-11"/>
        </w:rPr>
        <w:t xml:space="preserve"> </w:t>
      </w:r>
      <w:r>
        <w:rPr>
          <w:color w:val="231F20"/>
        </w:rPr>
        <w:t>are</w:t>
      </w:r>
      <w:r>
        <w:rPr>
          <w:color w:val="231F20"/>
          <w:spacing w:val="-12"/>
        </w:rPr>
        <w:t xml:space="preserve"> </w:t>
      </w:r>
      <w:r>
        <w:rPr>
          <w:color w:val="231F20"/>
        </w:rPr>
        <w:t>riding</w:t>
      </w:r>
      <w:r>
        <w:rPr>
          <w:color w:val="231F20"/>
          <w:spacing w:val="-11"/>
        </w:rPr>
        <w:t xml:space="preserve"> </w:t>
      </w:r>
      <w:r>
        <w:rPr>
          <w:color w:val="231F20"/>
        </w:rPr>
        <w:t>longboards,</w:t>
      </w:r>
      <w:r>
        <w:rPr>
          <w:color w:val="231F20"/>
          <w:spacing w:val="-12"/>
        </w:rPr>
        <w:t xml:space="preserve"> </w:t>
      </w:r>
      <w:r>
        <w:rPr>
          <w:color w:val="231F20"/>
        </w:rPr>
        <w:t>tandem, skimboards, hydrofoil boards and standu</w:t>
      </w:r>
      <w:r>
        <w:rPr>
          <w:color w:val="231F20"/>
        </w:rPr>
        <w:t xml:space="preserve">p paddleboards. There are </w:t>
      </w:r>
      <w:r>
        <w:rPr>
          <w:color w:val="231F20"/>
          <w:w w:val="95"/>
        </w:rPr>
        <w:t>lifestyle</w:t>
      </w:r>
      <w:r>
        <w:rPr>
          <w:color w:val="231F20"/>
          <w:spacing w:val="29"/>
        </w:rPr>
        <w:t xml:space="preserve"> </w:t>
      </w:r>
      <w:r>
        <w:rPr>
          <w:color w:val="231F20"/>
          <w:w w:val="95"/>
        </w:rPr>
        <w:t>surfers,</w:t>
      </w:r>
      <w:r>
        <w:rPr>
          <w:color w:val="231F20"/>
          <w:spacing w:val="29"/>
        </w:rPr>
        <w:t xml:space="preserve"> </w:t>
      </w:r>
      <w:r>
        <w:rPr>
          <w:color w:val="231F20"/>
          <w:w w:val="95"/>
        </w:rPr>
        <w:t>recreational</w:t>
      </w:r>
      <w:r>
        <w:rPr>
          <w:color w:val="231F20"/>
          <w:spacing w:val="29"/>
        </w:rPr>
        <w:t xml:space="preserve"> </w:t>
      </w:r>
      <w:r>
        <w:rPr>
          <w:color w:val="231F20"/>
          <w:w w:val="95"/>
        </w:rPr>
        <w:t>surfers,</w:t>
      </w:r>
      <w:r>
        <w:rPr>
          <w:color w:val="231F20"/>
          <w:spacing w:val="29"/>
        </w:rPr>
        <w:t xml:space="preserve"> </w:t>
      </w:r>
      <w:r>
        <w:rPr>
          <w:color w:val="231F20"/>
          <w:w w:val="95"/>
        </w:rPr>
        <w:t>competition</w:t>
      </w:r>
      <w:r>
        <w:rPr>
          <w:color w:val="231F20"/>
          <w:spacing w:val="29"/>
        </w:rPr>
        <w:t xml:space="preserve"> </w:t>
      </w:r>
      <w:r>
        <w:rPr>
          <w:color w:val="231F20"/>
          <w:w w:val="95"/>
        </w:rPr>
        <w:t>surfers,</w:t>
      </w:r>
      <w:r>
        <w:rPr>
          <w:color w:val="231F20"/>
          <w:spacing w:val="29"/>
        </w:rPr>
        <w:t xml:space="preserve"> </w:t>
      </w:r>
      <w:r>
        <w:rPr>
          <w:color w:val="231F20"/>
          <w:w w:val="95"/>
        </w:rPr>
        <w:t>soul</w:t>
      </w:r>
      <w:r>
        <w:rPr>
          <w:color w:val="231F20"/>
          <w:spacing w:val="29"/>
        </w:rPr>
        <w:t xml:space="preserve"> </w:t>
      </w:r>
      <w:r>
        <w:rPr>
          <w:color w:val="231F20"/>
          <w:w w:val="95"/>
        </w:rPr>
        <w:t>surfers,</w:t>
      </w:r>
    </w:p>
    <w:p w14:paraId="4304F27C" w14:textId="77777777" w:rsidR="00AE0598" w:rsidRDefault="00AE0598">
      <w:pPr>
        <w:spacing w:line="232" w:lineRule="auto"/>
        <w:jc w:val="both"/>
        <w:sectPr w:rsidR="00AE0598">
          <w:pgSz w:w="8850" w:h="13270"/>
          <w:pgMar w:top="720" w:right="1060" w:bottom="280" w:left="1080" w:header="720" w:footer="720" w:gutter="0"/>
          <w:cols w:space="720"/>
        </w:sectPr>
      </w:pPr>
    </w:p>
    <w:p w14:paraId="2FD74508" w14:textId="77777777" w:rsidR="00AE0598" w:rsidRDefault="0069255A">
      <w:pPr>
        <w:spacing w:before="87"/>
        <w:ind w:left="3808"/>
        <w:rPr>
          <w:rFonts w:ascii="Trebuchet MS"/>
          <w:sz w:val="14"/>
        </w:rPr>
      </w:pPr>
      <w:r>
        <w:rPr>
          <w:rFonts w:ascii="Trebuchet MS"/>
          <w:color w:val="231F20"/>
          <w:w w:val="105"/>
          <w:sz w:val="14"/>
        </w:rPr>
        <w:lastRenderedPageBreak/>
        <w:t>Evolutionary</w:t>
      </w:r>
      <w:r>
        <w:rPr>
          <w:rFonts w:ascii="Trebuchet MS"/>
          <w:color w:val="231F20"/>
          <w:spacing w:val="-12"/>
          <w:w w:val="105"/>
          <w:sz w:val="14"/>
        </w:rPr>
        <w:t xml:space="preserve"> </w:t>
      </w:r>
      <w:r>
        <w:rPr>
          <w:rFonts w:ascii="Trebuchet MS"/>
          <w:color w:val="231F20"/>
          <w:w w:val="105"/>
          <w:sz w:val="14"/>
        </w:rPr>
        <w:t>Trends</w:t>
      </w:r>
      <w:r>
        <w:rPr>
          <w:rFonts w:ascii="Trebuchet MS"/>
          <w:color w:val="231F20"/>
          <w:spacing w:val="-11"/>
          <w:w w:val="105"/>
          <w:sz w:val="14"/>
        </w:rPr>
        <w:t xml:space="preserve"> </w:t>
      </w:r>
      <w:r>
        <w:rPr>
          <w:rFonts w:ascii="Trebuchet MS"/>
          <w:color w:val="231F20"/>
          <w:w w:val="105"/>
          <w:sz w:val="14"/>
        </w:rPr>
        <w:t>in</w:t>
      </w:r>
      <w:r>
        <w:rPr>
          <w:rFonts w:ascii="Trebuchet MS"/>
          <w:color w:val="231F20"/>
          <w:spacing w:val="-11"/>
          <w:w w:val="105"/>
          <w:sz w:val="14"/>
        </w:rPr>
        <w:t xml:space="preserve"> </w:t>
      </w:r>
      <w:r>
        <w:rPr>
          <w:rFonts w:ascii="Trebuchet MS"/>
          <w:color w:val="231F20"/>
          <w:w w:val="105"/>
          <w:sz w:val="14"/>
        </w:rPr>
        <w:t>Sport</w:t>
      </w:r>
      <w:r>
        <w:rPr>
          <w:rFonts w:ascii="Trebuchet MS"/>
          <w:color w:val="231F20"/>
          <w:spacing w:val="-11"/>
          <w:w w:val="105"/>
          <w:sz w:val="14"/>
        </w:rPr>
        <w:t xml:space="preserve"> </w:t>
      </w:r>
      <w:r>
        <w:rPr>
          <w:rFonts w:ascii="Trebuchet MS"/>
          <w:color w:val="231F20"/>
          <w:w w:val="105"/>
          <w:sz w:val="14"/>
        </w:rPr>
        <w:t>Tourism</w:t>
      </w:r>
      <w:r>
        <w:rPr>
          <w:rFonts w:ascii="Trebuchet MS"/>
          <w:color w:val="231F20"/>
          <w:spacing w:val="74"/>
          <w:w w:val="105"/>
          <w:sz w:val="14"/>
        </w:rPr>
        <w:t xml:space="preserve"> </w:t>
      </w:r>
      <w:r>
        <w:rPr>
          <w:rFonts w:ascii="Trebuchet MS"/>
          <w:color w:val="231F20"/>
          <w:spacing w:val="-5"/>
          <w:w w:val="105"/>
          <w:sz w:val="14"/>
        </w:rPr>
        <w:t>203</w:t>
      </w:r>
    </w:p>
    <w:p w14:paraId="70801068" w14:textId="77777777" w:rsidR="00AE0598" w:rsidRDefault="00AE0598">
      <w:pPr>
        <w:pStyle w:val="Corpodetexto"/>
        <w:spacing w:before="1"/>
        <w:rPr>
          <w:rFonts w:ascii="Trebuchet MS"/>
          <w:sz w:val="27"/>
        </w:rPr>
      </w:pPr>
    </w:p>
    <w:p w14:paraId="7C025113" w14:textId="53BFD42F" w:rsidR="00AE0598" w:rsidRDefault="0069255A">
      <w:pPr>
        <w:pStyle w:val="Corpodetexto"/>
        <w:spacing w:before="103" w:line="232" w:lineRule="auto"/>
        <w:ind w:left="223" w:right="240"/>
        <w:jc w:val="both"/>
      </w:pPr>
      <w:r>
        <w:rPr>
          <w:noProof/>
        </w:rPr>
        <mc:AlternateContent>
          <mc:Choice Requires="wps">
            <w:drawing>
              <wp:anchor distT="0" distB="0" distL="114300" distR="114300" simplePos="0" relativeHeight="483750400" behindDoc="1" locked="0" layoutInCell="1" allowOverlap="1" wp14:anchorId="395D2C54" wp14:editId="16A5050F">
                <wp:simplePos x="0" y="0"/>
                <wp:positionH relativeFrom="page">
                  <wp:posOffset>755650</wp:posOffset>
                </wp:positionH>
                <wp:positionV relativeFrom="paragraph">
                  <wp:posOffset>19050</wp:posOffset>
                </wp:positionV>
                <wp:extent cx="4104005" cy="5436235"/>
                <wp:effectExtent l="0" t="0" r="0" b="0"/>
                <wp:wrapNone/>
                <wp:docPr id="48" name="docshape3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04005" cy="5436235"/>
                        </a:xfrm>
                        <a:prstGeom prst="rect">
                          <a:avLst/>
                        </a:prstGeom>
                        <a:solidFill>
                          <a:srgbClr val="DCDDD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2D0334B" id="docshape305" o:spid="_x0000_s1026" style="position:absolute;margin-left:59.5pt;margin-top:1.5pt;width:323.15pt;height:428.05pt;z-index:-195660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" fillcolor="#dcddde" stroked="f">
                <w10:wrap anchorx="page"/>
              </v:rect>
            </w:pict>
          </mc:Fallback>
        </mc:AlternateContent>
      </w:r>
      <w:r>
        <w:rPr>
          <w:color w:val="231F20"/>
          <w:w w:val="95"/>
        </w:rPr>
        <w:t>drifters,</w:t>
      </w:r>
      <w:r>
        <w:rPr>
          <w:color w:val="231F20"/>
          <w:spacing w:val="-4"/>
          <w:w w:val="95"/>
        </w:rPr>
        <w:t xml:space="preserve"> </w:t>
      </w:r>
      <w:r>
        <w:rPr>
          <w:color w:val="231F20"/>
          <w:w w:val="95"/>
        </w:rPr>
        <w:t>organic</w:t>
      </w:r>
      <w:r>
        <w:rPr>
          <w:color w:val="231F20"/>
          <w:spacing w:val="-4"/>
          <w:w w:val="95"/>
        </w:rPr>
        <w:t xml:space="preserve"> </w:t>
      </w:r>
      <w:r>
        <w:rPr>
          <w:color w:val="231F20"/>
          <w:w w:val="95"/>
        </w:rPr>
        <w:t>yoga</w:t>
      </w:r>
      <w:r>
        <w:rPr>
          <w:color w:val="231F20"/>
          <w:spacing w:val="-4"/>
          <w:w w:val="95"/>
        </w:rPr>
        <w:t xml:space="preserve"> </w:t>
      </w:r>
      <w:r>
        <w:rPr>
          <w:color w:val="231F20"/>
          <w:w w:val="95"/>
        </w:rPr>
        <w:t>surfers,</w:t>
      </w:r>
      <w:r>
        <w:rPr>
          <w:color w:val="231F20"/>
          <w:spacing w:val="-4"/>
          <w:w w:val="95"/>
        </w:rPr>
        <w:t xml:space="preserve"> </w:t>
      </w:r>
      <w:r>
        <w:rPr>
          <w:color w:val="231F20"/>
          <w:w w:val="95"/>
        </w:rPr>
        <w:t>big</w:t>
      </w:r>
      <w:r>
        <w:rPr>
          <w:color w:val="231F20"/>
          <w:spacing w:val="-4"/>
          <w:w w:val="95"/>
        </w:rPr>
        <w:t xml:space="preserve"> </w:t>
      </w:r>
      <w:r>
        <w:rPr>
          <w:color w:val="231F20"/>
          <w:w w:val="95"/>
        </w:rPr>
        <w:t>wave</w:t>
      </w:r>
      <w:r>
        <w:rPr>
          <w:color w:val="231F20"/>
          <w:spacing w:val="-4"/>
          <w:w w:val="95"/>
        </w:rPr>
        <w:t xml:space="preserve"> </w:t>
      </w:r>
      <w:r>
        <w:rPr>
          <w:color w:val="231F20"/>
          <w:w w:val="95"/>
        </w:rPr>
        <w:t>surfers,</w:t>
      </w:r>
      <w:r>
        <w:rPr>
          <w:color w:val="231F20"/>
          <w:spacing w:val="-4"/>
          <w:w w:val="95"/>
        </w:rPr>
        <w:t xml:space="preserve"> </w:t>
      </w:r>
      <w:r>
        <w:rPr>
          <w:color w:val="231F20"/>
          <w:w w:val="95"/>
        </w:rPr>
        <w:t>surfers</w:t>
      </w:r>
      <w:r>
        <w:rPr>
          <w:color w:val="231F20"/>
          <w:spacing w:val="-4"/>
          <w:w w:val="95"/>
        </w:rPr>
        <w:t xml:space="preserve"> </w:t>
      </w:r>
      <w:r>
        <w:rPr>
          <w:color w:val="231F20"/>
          <w:w w:val="95"/>
        </w:rPr>
        <w:t>who</w:t>
      </w:r>
      <w:r>
        <w:rPr>
          <w:color w:val="231F20"/>
          <w:spacing w:val="-4"/>
          <w:w w:val="95"/>
        </w:rPr>
        <w:t xml:space="preserve"> </w:t>
      </w:r>
      <w:r>
        <w:rPr>
          <w:color w:val="231F20"/>
          <w:w w:val="95"/>
        </w:rPr>
        <w:t>avoid</w:t>
      </w:r>
      <w:r>
        <w:rPr>
          <w:color w:val="231F20"/>
          <w:spacing w:val="-4"/>
          <w:w w:val="95"/>
        </w:rPr>
        <w:t xml:space="preserve"> </w:t>
      </w:r>
      <w:r>
        <w:rPr>
          <w:color w:val="231F20"/>
          <w:w w:val="95"/>
        </w:rPr>
        <w:t xml:space="preserve">crowds and surfers who feed off the energy of a crowd. More women are surfing </w:t>
      </w:r>
      <w:r>
        <w:rPr>
          <w:color w:val="231F20"/>
        </w:rPr>
        <w:t>than ever before and the waves are filling up with teenagers training to</w:t>
      </w:r>
      <w:r>
        <w:rPr>
          <w:color w:val="231F20"/>
          <w:spacing w:val="-1"/>
        </w:rPr>
        <w:t xml:space="preserve"> </w:t>
      </w:r>
      <w:r>
        <w:rPr>
          <w:color w:val="231F20"/>
        </w:rPr>
        <w:t>improve</w:t>
      </w:r>
      <w:r>
        <w:rPr>
          <w:color w:val="231F20"/>
          <w:spacing w:val="-1"/>
        </w:rPr>
        <w:t xml:space="preserve"> </w:t>
      </w:r>
      <w:r>
        <w:rPr>
          <w:color w:val="231F20"/>
        </w:rPr>
        <w:t>their</w:t>
      </w:r>
      <w:r>
        <w:rPr>
          <w:color w:val="231F20"/>
          <w:spacing w:val="-1"/>
        </w:rPr>
        <w:t xml:space="preserve"> </w:t>
      </w:r>
      <w:r>
        <w:rPr>
          <w:color w:val="231F20"/>
        </w:rPr>
        <w:t>surf</w:t>
      </w:r>
      <w:r>
        <w:rPr>
          <w:color w:val="231F20"/>
          <w:spacing w:val="-1"/>
        </w:rPr>
        <w:t xml:space="preserve"> </w:t>
      </w:r>
      <w:r>
        <w:rPr>
          <w:color w:val="231F20"/>
        </w:rPr>
        <w:t>performance</w:t>
      </w:r>
      <w:r>
        <w:rPr>
          <w:color w:val="231F20"/>
          <w:spacing w:val="-1"/>
        </w:rPr>
        <w:t xml:space="preserve"> </w:t>
      </w:r>
      <w:r>
        <w:rPr>
          <w:color w:val="231F20"/>
        </w:rPr>
        <w:t>levels.</w:t>
      </w:r>
      <w:r>
        <w:rPr>
          <w:color w:val="231F20"/>
          <w:spacing w:val="-1"/>
        </w:rPr>
        <w:t xml:space="preserve"> </w:t>
      </w:r>
      <w:r>
        <w:rPr>
          <w:color w:val="231F20"/>
        </w:rPr>
        <w:t>Importantly,</w:t>
      </w:r>
      <w:r>
        <w:rPr>
          <w:color w:val="231F20"/>
          <w:spacing w:val="-1"/>
        </w:rPr>
        <w:t xml:space="preserve"> </w:t>
      </w:r>
      <w:r>
        <w:rPr>
          <w:color w:val="231F20"/>
        </w:rPr>
        <w:t>local</w:t>
      </w:r>
      <w:r>
        <w:rPr>
          <w:color w:val="231F20"/>
          <w:spacing w:val="-1"/>
        </w:rPr>
        <w:t xml:space="preserve"> </w:t>
      </w:r>
      <w:r>
        <w:rPr>
          <w:color w:val="231F20"/>
        </w:rPr>
        <w:t xml:space="preserve">Hawaiian </w:t>
      </w:r>
      <w:r>
        <w:rPr>
          <w:color w:val="231F20"/>
          <w:w w:val="95"/>
        </w:rPr>
        <w:t xml:space="preserve">surfers continue to engage with </w:t>
      </w:r>
      <w:r>
        <w:rPr>
          <w:i/>
          <w:color w:val="231F20"/>
          <w:w w:val="95"/>
        </w:rPr>
        <w:t xml:space="preserve">he’e nalu </w:t>
      </w:r>
      <w:r>
        <w:rPr>
          <w:color w:val="231F20"/>
          <w:w w:val="95"/>
        </w:rPr>
        <w:t xml:space="preserve">as part of the ongoing struggle </w:t>
      </w:r>
      <w:r>
        <w:rPr>
          <w:color w:val="231F20"/>
        </w:rPr>
        <w:t>for</w:t>
      </w:r>
      <w:r>
        <w:rPr>
          <w:color w:val="231F20"/>
          <w:spacing w:val="-8"/>
        </w:rPr>
        <w:t xml:space="preserve"> </w:t>
      </w:r>
      <w:r>
        <w:rPr>
          <w:color w:val="231F20"/>
        </w:rPr>
        <w:t>autonomy</w:t>
      </w:r>
      <w:r>
        <w:rPr>
          <w:color w:val="231F20"/>
          <w:spacing w:val="-8"/>
        </w:rPr>
        <w:t xml:space="preserve"> </w:t>
      </w:r>
      <w:r>
        <w:rPr>
          <w:color w:val="231F20"/>
        </w:rPr>
        <w:t>within</w:t>
      </w:r>
      <w:r>
        <w:rPr>
          <w:color w:val="231F20"/>
          <w:spacing w:val="-8"/>
        </w:rPr>
        <w:t xml:space="preserve"> </w:t>
      </w:r>
      <w:r>
        <w:rPr>
          <w:color w:val="231F20"/>
        </w:rPr>
        <w:t>a</w:t>
      </w:r>
      <w:r>
        <w:rPr>
          <w:color w:val="231F20"/>
          <w:spacing w:val="-8"/>
        </w:rPr>
        <w:t xml:space="preserve"> </w:t>
      </w:r>
      <w:r>
        <w:rPr>
          <w:color w:val="231F20"/>
        </w:rPr>
        <w:t>neocolonial</w:t>
      </w:r>
      <w:r>
        <w:rPr>
          <w:color w:val="231F20"/>
          <w:spacing w:val="-8"/>
        </w:rPr>
        <w:t xml:space="preserve"> </w:t>
      </w:r>
      <w:r>
        <w:rPr>
          <w:color w:val="231F20"/>
        </w:rPr>
        <w:t>surf</w:t>
      </w:r>
      <w:r>
        <w:rPr>
          <w:color w:val="231F20"/>
          <w:spacing w:val="-8"/>
        </w:rPr>
        <w:t xml:space="preserve"> </w:t>
      </w:r>
      <w:r>
        <w:rPr>
          <w:color w:val="231F20"/>
        </w:rPr>
        <w:t>tourism</w:t>
      </w:r>
      <w:r>
        <w:rPr>
          <w:color w:val="231F20"/>
          <w:spacing w:val="-8"/>
        </w:rPr>
        <w:t xml:space="preserve"> </w:t>
      </w:r>
      <w:r>
        <w:rPr>
          <w:color w:val="231F20"/>
        </w:rPr>
        <w:t>destination</w:t>
      </w:r>
      <w:r>
        <w:rPr>
          <w:color w:val="231F20"/>
          <w:spacing w:val="-8"/>
        </w:rPr>
        <w:t xml:space="preserve"> </w:t>
      </w:r>
      <w:r>
        <w:rPr>
          <w:color w:val="231F20"/>
        </w:rPr>
        <w:t>(Ingersoll, 216). All of this is surfing in the new millennium.</w:t>
      </w:r>
    </w:p>
    <w:p w14:paraId="7FED4A4C" w14:textId="77777777" w:rsidR="00AE0598" w:rsidRDefault="0069255A">
      <w:pPr>
        <w:pStyle w:val="Corpodetexto"/>
        <w:spacing w:before="8" w:line="232" w:lineRule="auto"/>
        <w:ind w:left="223" w:right="241" w:firstLine="320"/>
        <w:jc w:val="both"/>
      </w:pPr>
      <w:r>
        <w:rPr>
          <w:color w:val="231F20"/>
        </w:rPr>
        <w:t>Despite this diversity, the dominating framing of surfing’s future centres on the sport’s i</w:t>
      </w:r>
      <w:r>
        <w:rPr>
          <w:color w:val="231F20"/>
        </w:rPr>
        <w:t>nclusion in the Olympics. As with its modern genesis in Hawai’i a century ago, the incorporation of surfing into the Olympics could be understood as another attempt to capitalise on</w:t>
      </w:r>
      <w:r>
        <w:rPr>
          <w:color w:val="231F20"/>
          <w:spacing w:val="40"/>
        </w:rPr>
        <w:t xml:space="preserve"> </w:t>
      </w:r>
      <w:r>
        <w:rPr>
          <w:color w:val="231F20"/>
        </w:rPr>
        <w:t>surf</w:t>
      </w:r>
      <w:r>
        <w:rPr>
          <w:color w:val="231F20"/>
          <w:spacing w:val="-5"/>
        </w:rPr>
        <w:t xml:space="preserve"> </w:t>
      </w:r>
      <w:r>
        <w:rPr>
          <w:color w:val="231F20"/>
        </w:rPr>
        <w:t>culture</w:t>
      </w:r>
      <w:r>
        <w:rPr>
          <w:color w:val="231F20"/>
          <w:spacing w:val="-12"/>
        </w:rPr>
        <w:t xml:space="preserve"> </w:t>
      </w:r>
      <w:r>
        <w:rPr>
          <w:color w:val="231F20"/>
        </w:rPr>
        <w:t>in</w:t>
      </w:r>
      <w:r>
        <w:rPr>
          <w:color w:val="231F20"/>
          <w:spacing w:val="-11"/>
        </w:rPr>
        <w:t xml:space="preserve"> </w:t>
      </w:r>
      <w:r>
        <w:rPr>
          <w:color w:val="231F20"/>
        </w:rPr>
        <w:t>an</w:t>
      </w:r>
      <w:r>
        <w:rPr>
          <w:color w:val="231F20"/>
          <w:spacing w:val="-12"/>
        </w:rPr>
        <w:t xml:space="preserve"> </w:t>
      </w:r>
      <w:r>
        <w:rPr>
          <w:color w:val="231F20"/>
        </w:rPr>
        <w:t>effort</w:t>
      </w:r>
      <w:r>
        <w:rPr>
          <w:color w:val="231F20"/>
          <w:spacing w:val="-11"/>
        </w:rPr>
        <w:t xml:space="preserve"> </w:t>
      </w:r>
      <w:r>
        <w:rPr>
          <w:color w:val="231F20"/>
        </w:rPr>
        <w:t>to</w:t>
      </w:r>
      <w:r>
        <w:rPr>
          <w:color w:val="231F20"/>
          <w:spacing w:val="-12"/>
        </w:rPr>
        <w:t xml:space="preserve"> </w:t>
      </w:r>
      <w:r>
        <w:rPr>
          <w:color w:val="231F20"/>
        </w:rPr>
        <w:t>develop</w:t>
      </w:r>
      <w:r>
        <w:rPr>
          <w:color w:val="231F20"/>
          <w:spacing w:val="-11"/>
        </w:rPr>
        <w:t xml:space="preserve"> </w:t>
      </w:r>
      <w:r>
        <w:rPr>
          <w:color w:val="231F20"/>
        </w:rPr>
        <w:t>broader</w:t>
      </w:r>
      <w:r>
        <w:rPr>
          <w:color w:val="231F20"/>
          <w:spacing w:val="-12"/>
        </w:rPr>
        <w:t xml:space="preserve"> </w:t>
      </w:r>
      <w:r>
        <w:rPr>
          <w:color w:val="231F20"/>
        </w:rPr>
        <w:t>commercial</w:t>
      </w:r>
      <w:r>
        <w:rPr>
          <w:color w:val="231F20"/>
          <w:spacing w:val="-12"/>
        </w:rPr>
        <w:t xml:space="preserve"> </w:t>
      </w:r>
      <w:r>
        <w:rPr>
          <w:color w:val="231F20"/>
        </w:rPr>
        <w:t>interests</w:t>
      </w:r>
      <w:r>
        <w:rPr>
          <w:color w:val="231F20"/>
          <w:spacing w:val="-11"/>
        </w:rPr>
        <w:t xml:space="preserve"> </w:t>
      </w:r>
      <w:r>
        <w:rPr>
          <w:color w:val="231F20"/>
        </w:rPr>
        <w:t>in</w:t>
      </w:r>
      <w:r>
        <w:rPr>
          <w:color w:val="231F20"/>
          <w:spacing w:val="-12"/>
        </w:rPr>
        <w:t xml:space="preserve"> </w:t>
      </w:r>
      <w:r>
        <w:rPr>
          <w:color w:val="231F20"/>
        </w:rPr>
        <w:t xml:space="preserve">the </w:t>
      </w:r>
      <w:r>
        <w:rPr>
          <w:color w:val="231F20"/>
          <w:w w:val="95"/>
        </w:rPr>
        <w:t>e</w:t>
      </w:r>
      <w:r>
        <w:rPr>
          <w:color w:val="231F20"/>
          <w:w w:val="95"/>
        </w:rPr>
        <w:t>merging</w:t>
      </w:r>
      <w:r>
        <w:rPr>
          <w:color w:val="231F20"/>
          <w:spacing w:val="-6"/>
          <w:w w:val="95"/>
        </w:rPr>
        <w:t xml:space="preserve"> </w:t>
      </w:r>
      <w:r>
        <w:rPr>
          <w:color w:val="231F20"/>
          <w:w w:val="95"/>
        </w:rPr>
        <w:t>markets</w:t>
      </w:r>
      <w:r>
        <w:rPr>
          <w:color w:val="231F20"/>
          <w:spacing w:val="-6"/>
          <w:w w:val="95"/>
        </w:rPr>
        <w:t xml:space="preserve"> </w:t>
      </w:r>
      <w:r>
        <w:rPr>
          <w:color w:val="231F20"/>
          <w:w w:val="95"/>
        </w:rPr>
        <w:t>of</w:t>
      </w:r>
      <w:r>
        <w:rPr>
          <w:color w:val="231F20"/>
        </w:rPr>
        <w:t xml:space="preserve"> </w:t>
      </w:r>
      <w:r>
        <w:rPr>
          <w:color w:val="231F20"/>
          <w:w w:val="95"/>
        </w:rPr>
        <w:t>Asia</w:t>
      </w:r>
      <w:r>
        <w:rPr>
          <w:color w:val="231F20"/>
          <w:spacing w:val="-6"/>
          <w:w w:val="95"/>
        </w:rPr>
        <w:t xml:space="preserve"> </w:t>
      </w:r>
      <w:r>
        <w:rPr>
          <w:color w:val="231F20"/>
          <w:w w:val="95"/>
        </w:rPr>
        <w:t>and</w:t>
      </w:r>
      <w:r>
        <w:rPr>
          <w:color w:val="231F20"/>
          <w:spacing w:val="-6"/>
          <w:w w:val="95"/>
        </w:rPr>
        <w:t xml:space="preserve"> </w:t>
      </w:r>
      <w:r>
        <w:rPr>
          <w:color w:val="231F20"/>
          <w:w w:val="95"/>
        </w:rPr>
        <w:t>beyond.</w:t>
      </w:r>
      <w:r>
        <w:rPr>
          <w:color w:val="231F20"/>
          <w:spacing w:val="-6"/>
          <w:w w:val="95"/>
        </w:rPr>
        <w:t xml:space="preserve"> </w:t>
      </w:r>
      <w:r>
        <w:rPr>
          <w:color w:val="231F20"/>
          <w:w w:val="95"/>
        </w:rPr>
        <w:t>Japanese</w:t>
      </w:r>
      <w:r>
        <w:rPr>
          <w:color w:val="231F20"/>
          <w:spacing w:val="-6"/>
          <w:w w:val="95"/>
        </w:rPr>
        <w:t xml:space="preserve"> </w:t>
      </w:r>
      <w:r>
        <w:rPr>
          <w:color w:val="231F20"/>
          <w:w w:val="95"/>
        </w:rPr>
        <w:t>authorities</w:t>
      </w:r>
      <w:r>
        <w:rPr>
          <w:color w:val="231F20"/>
          <w:spacing w:val="-6"/>
          <w:w w:val="95"/>
        </w:rPr>
        <w:t xml:space="preserve"> </w:t>
      </w:r>
      <w:r>
        <w:rPr>
          <w:color w:val="231F20"/>
          <w:w w:val="95"/>
        </w:rPr>
        <w:t>have</w:t>
      </w:r>
      <w:r>
        <w:rPr>
          <w:color w:val="231F20"/>
          <w:spacing w:val="-6"/>
          <w:w w:val="95"/>
        </w:rPr>
        <w:t xml:space="preserve"> </w:t>
      </w:r>
      <w:r>
        <w:rPr>
          <w:color w:val="231F20"/>
          <w:w w:val="95"/>
        </w:rPr>
        <w:t xml:space="preserve">stressed </w:t>
      </w:r>
      <w:r>
        <w:rPr>
          <w:color w:val="231F20"/>
        </w:rPr>
        <w:t>that</w:t>
      </w:r>
      <w:r>
        <w:rPr>
          <w:color w:val="231F20"/>
          <w:spacing w:val="-11"/>
        </w:rPr>
        <w:t xml:space="preserve"> </w:t>
      </w:r>
      <w:r>
        <w:rPr>
          <w:color w:val="231F20"/>
        </w:rPr>
        <w:t>the</w:t>
      </w:r>
      <w:r>
        <w:rPr>
          <w:color w:val="231F20"/>
          <w:spacing w:val="-11"/>
        </w:rPr>
        <w:t xml:space="preserve"> </w:t>
      </w:r>
      <w:r>
        <w:rPr>
          <w:color w:val="231F20"/>
        </w:rPr>
        <w:t>Olympic</w:t>
      </w:r>
      <w:r>
        <w:rPr>
          <w:color w:val="231F20"/>
          <w:spacing w:val="-11"/>
        </w:rPr>
        <w:t xml:space="preserve"> </w:t>
      </w:r>
      <w:r>
        <w:rPr>
          <w:color w:val="231F20"/>
        </w:rPr>
        <w:t>competition</w:t>
      </w:r>
      <w:r>
        <w:rPr>
          <w:color w:val="231F20"/>
          <w:spacing w:val="-11"/>
        </w:rPr>
        <w:t xml:space="preserve"> </w:t>
      </w:r>
      <w:r>
        <w:rPr>
          <w:color w:val="231F20"/>
        </w:rPr>
        <w:t>will</w:t>
      </w:r>
      <w:r>
        <w:rPr>
          <w:color w:val="231F20"/>
          <w:spacing w:val="-11"/>
        </w:rPr>
        <w:t xml:space="preserve"> </w:t>
      </w:r>
      <w:r>
        <w:rPr>
          <w:color w:val="231F20"/>
        </w:rPr>
        <w:t>be</w:t>
      </w:r>
      <w:r>
        <w:rPr>
          <w:color w:val="231F20"/>
          <w:spacing w:val="-11"/>
        </w:rPr>
        <w:t xml:space="preserve"> </w:t>
      </w:r>
      <w:r>
        <w:rPr>
          <w:color w:val="231F20"/>
        </w:rPr>
        <w:t>held</w:t>
      </w:r>
      <w:r>
        <w:rPr>
          <w:color w:val="231F20"/>
          <w:spacing w:val="-11"/>
        </w:rPr>
        <w:t xml:space="preserve"> </w:t>
      </w:r>
      <w:r>
        <w:rPr>
          <w:color w:val="231F20"/>
        </w:rPr>
        <w:t>in</w:t>
      </w:r>
      <w:r>
        <w:rPr>
          <w:color w:val="231F20"/>
          <w:spacing w:val="-11"/>
        </w:rPr>
        <w:t xml:space="preserve"> </w:t>
      </w:r>
      <w:r>
        <w:rPr>
          <w:color w:val="231F20"/>
        </w:rPr>
        <w:t>the</w:t>
      </w:r>
      <w:r>
        <w:rPr>
          <w:color w:val="231F20"/>
          <w:spacing w:val="-11"/>
        </w:rPr>
        <w:t xml:space="preserve"> </w:t>
      </w:r>
      <w:r>
        <w:rPr>
          <w:color w:val="231F20"/>
        </w:rPr>
        <w:t>sea</w:t>
      </w:r>
      <w:r>
        <w:rPr>
          <w:color w:val="231F20"/>
          <w:spacing w:val="-11"/>
        </w:rPr>
        <w:t xml:space="preserve"> </w:t>
      </w:r>
      <w:r>
        <w:rPr>
          <w:color w:val="231F20"/>
        </w:rPr>
        <w:t>to</w:t>
      </w:r>
      <w:r>
        <w:rPr>
          <w:color w:val="231F20"/>
          <w:spacing w:val="-11"/>
        </w:rPr>
        <w:t xml:space="preserve"> </w:t>
      </w:r>
      <w:r>
        <w:rPr>
          <w:color w:val="231F20"/>
        </w:rPr>
        <w:t>promote</w:t>
      </w:r>
      <w:r>
        <w:rPr>
          <w:color w:val="231F20"/>
          <w:spacing w:val="-11"/>
        </w:rPr>
        <w:t xml:space="preserve"> </w:t>
      </w:r>
      <w:r>
        <w:rPr>
          <w:color w:val="231F20"/>
        </w:rPr>
        <w:t xml:space="preserve">marine </w:t>
      </w:r>
      <w:r>
        <w:rPr>
          <w:color w:val="231F20"/>
          <w:w w:val="95"/>
        </w:rPr>
        <w:t>sport</w:t>
      </w:r>
      <w:r>
        <w:rPr>
          <w:color w:val="231F20"/>
          <w:spacing w:val="-7"/>
          <w:w w:val="95"/>
        </w:rPr>
        <w:t xml:space="preserve"> </w:t>
      </w:r>
      <w:r>
        <w:rPr>
          <w:color w:val="231F20"/>
          <w:w w:val="95"/>
        </w:rPr>
        <w:t>tourism.</w:t>
      </w:r>
      <w:r>
        <w:rPr>
          <w:color w:val="231F20"/>
          <w:spacing w:val="-7"/>
          <w:w w:val="95"/>
        </w:rPr>
        <w:t xml:space="preserve"> </w:t>
      </w:r>
      <w:r>
        <w:rPr>
          <w:color w:val="231F20"/>
          <w:w w:val="95"/>
        </w:rPr>
        <w:t>Japanese</w:t>
      </w:r>
      <w:r>
        <w:rPr>
          <w:color w:val="231F20"/>
          <w:spacing w:val="-7"/>
          <w:w w:val="95"/>
        </w:rPr>
        <w:t xml:space="preserve"> </w:t>
      </w:r>
      <w:r>
        <w:rPr>
          <w:color w:val="231F20"/>
          <w:w w:val="95"/>
        </w:rPr>
        <w:t>surfers</w:t>
      </w:r>
      <w:r>
        <w:rPr>
          <w:color w:val="231F20"/>
          <w:spacing w:val="-7"/>
          <w:w w:val="95"/>
        </w:rPr>
        <w:t xml:space="preserve"> </w:t>
      </w:r>
      <w:r>
        <w:rPr>
          <w:color w:val="231F20"/>
          <w:w w:val="95"/>
        </w:rPr>
        <w:t>likewise</w:t>
      </w:r>
      <w:r>
        <w:rPr>
          <w:color w:val="231F20"/>
          <w:spacing w:val="-7"/>
          <w:w w:val="95"/>
        </w:rPr>
        <w:t xml:space="preserve"> </w:t>
      </w:r>
      <w:r>
        <w:rPr>
          <w:color w:val="231F20"/>
          <w:w w:val="95"/>
        </w:rPr>
        <w:t>hope</w:t>
      </w:r>
      <w:r>
        <w:rPr>
          <w:color w:val="231F20"/>
          <w:spacing w:val="-7"/>
          <w:w w:val="95"/>
        </w:rPr>
        <w:t xml:space="preserve"> </w:t>
      </w:r>
      <w:r>
        <w:rPr>
          <w:color w:val="231F20"/>
          <w:w w:val="95"/>
        </w:rPr>
        <w:t>that</w:t>
      </w:r>
      <w:r>
        <w:rPr>
          <w:color w:val="231F20"/>
          <w:spacing w:val="-7"/>
          <w:w w:val="95"/>
        </w:rPr>
        <w:t xml:space="preserve"> </w:t>
      </w:r>
      <w:r>
        <w:rPr>
          <w:color w:val="231F20"/>
          <w:w w:val="95"/>
        </w:rPr>
        <w:t>the</w:t>
      </w:r>
      <w:r>
        <w:rPr>
          <w:color w:val="231F20"/>
          <w:spacing w:val="-7"/>
          <w:w w:val="95"/>
        </w:rPr>
        <w:t xml:space="preserve"> </w:t>
      </w:r>
      <w:r>
        <w:rPr>
          <w:color w:val="231F20"/>
          <w:w w:val="95"/>
        </w:rPr>
        <w:t xml:space="preserve">professionalisation </w:t>
      </w:r>
      <w:r>
        <w:rPr>
          <w:color w:val="231F20"/>
          <w:spacing w:val="-2"/>
        </w:rPr>
        <w:t>of</w:t>
      </w:r>
      <w:r>
        <w:rPr>
          <w:color w:val="231F20"/>
        </w:rPr>
        <w:t xml:space="preserve"> </w:t>
      </w:r>
      <w:r>
        <w:rPr>
          <w:color w:val="231F20"/>
          <w:spacing w:val="-2"/>
        </w:rPr>
        <w:t>surfing</w:t>
      </w:r>
      <w:r>
        <w:rPr>
          <w:color w:val="231F20"/>
          <w:spacing w:val="-4"/>
        </w:rPr>
        <w:t xml:space="preserve"> </w:t>
      </w:r>
      <w:r>
        <w:rPr>
          <w:color w:val="231F20"/>
          <w:spacing w:val="-2"/>
        </w:rPr>
        <w:t>will</w:t>
      </w:r>
      <w:r>
        <w:rPr>
          <w:color w:val="231F20"/>
          <w:spacing w:val="-4"/>
        </w:rPr>
        <w:t xml:space="preserve"> </w:t>
      </w:r>
      <w:r>
        <w:rPr>
          <w:color w:val="231F20"/>
          <w:spacing w:val="-2"/>
        </w:rPr>
        <w:t>provide</w:t>
      </w:r>
      <w:r>
        <w:rPr>
          <w:color w:val="231F20"/>
          <w:spacing w:val="-4"/>
        </w:rPr>
        <w:t xml:space="preserve"> </w:t>
      </w:r>
      <w:r>
        <w:rPr>
          <w:color w:val="231F20"/>
          <w:spacing w:val="-2"/>
        </w:rPr>
        <w:t>an</w:t>
      </w:r>
      <w:r>
        <w:rPr>
          <w:color w:val="231F20"/>
          <w:spacing w:val="-4"/>
        </w:rPr>
        <w:t xml:space="preserve"> </w:t>
      </w:r>
      <w:r>
        <w:rPr>
          <w:color w:val="231F20"/>
          <w:spacing w:val="-2"/>
        </w:rPr>
        <w:t>opportunity</w:t>
      </w:r>
      <w:r>
        <w:rPr>
          <w:color w:val="231F20"/>
          <w:spacing w:val="-4"/>
        </w:rPr>
        <w:t xml:space="preserve"> </w:t>
      </w:r>
      <w:r>
        <w:rPr>
          <w:color w:val="231F20"/>
          <w:spacing w:val="-2"/>
        </w:rPr>
        <w:t>to</w:t>
      </w:r>
      <w:r>
        <w:rPr>
          <w:color w:val="231F20"/>
          <w:spacing w:val="-4"/>
        </w:rPr>
        <w:t xml:space="preserve"> </w:t>
      </w:r>
      <w:r>
        <w:rPr>
          <w:color w:val="231F20"/>
          <w:spacing w:val="-2"/>
        </w:rPr>
        <w:t>gain</w:t>
      </w:r>
      <w:r>
        <w:rPr>
          <w:color w:val="231F20"/>
          <w:spacing w:val="-4"/>
        </w:rPr>
        <w:t xml:space="preserve"> </w:t>
      </w:r>
      <w:r>
        <w:rPr>
          <w:color w:val="231F20"/>
          <w:spacing w:val="-2"/>
        </w:rPr>
        <w:t>respect</w:t>
      </w:r>
      <w:r>
        <w:rPr>
          <w:color w:val="231F20"/>
          <w:spacing w:val="-4"/>
        </w:rPr>
        <w:t xml:space="preserve"> </w:t>
      </w:r>
      <w:r>
        <w:rPr>
          <w:color w:val="231F20"/>
          <w:spacing w:val="-2"/>
        </w:rPr>
        <w:t>from</w:t>
      </w:r>
      <w:r>
        <w:rPr>
          <w:color w:val="231F20"/>
          <w:spacing w:val="-4"/>
        </w:rPr>
        <w:t xml:space="preserve"> </w:t>
      </w:r>
      <w:r>
        <w:rPr>
          <w:color w:val="231F20"/>
          <w:spacing w:val="-2"/>
        </w:rPr>
        <w:t xml:space="preserve">mainstream </w:t>
      </w:r>
      <w:r>
        <w:rPr>
          <w:color w:val="231F20"/>
        </w:rPr>
        <w:t>Japanese society, but are also concerned that the increased exposure will</w:t>
      </w:r>
      <w:r>
        <w:rPr>
          <w:color w:val="231F20"/>
          <w:spacing w:val="-8"/>
        </w:rPr>
        <w:t xml:space="preserve"> </w:t>
      </w:r>
      <w:r>
        <w:rPr>
          <w:color w:val="231F20"/>
        </w:rPr>
        <w:t>overwhelm</w:t>
      </w:r>
      <w:r>
        <w:rPr>
          <w:color w:val="231F20"/>
          <w:spacing w:val="-8"/>
        </w:rPr>
        <w:t xml:space="preserve"> </w:t>
      </w:r>
      <w:r>
        <w:rPr>
          <w:color w:val="231F20"/>
        </w:rPr>
        <w:t>the</w:t>
      </w:r>
      <w:r>
        <w:rPr>
          <w:color w:val="231F20"/>
          <w:spacing w:val="-8"/>
        </w:rPr>
        <w:t xml:space="preserve"> </w:t>
      </w:r>
      <w:r>
        <w:rPr>
          <w:color w:val="231F20"/>
        </w:rPr>
        <w:t>already</w:t>
      </w:r>
      <w:r>
        <w:rPr>
          <w:color w:val="231F20"/>
          <w:spacing w:val="-8"/>
        </w:rPr>
        <w:t xml:space="preserve"> </w:t>
      </w:r>
      <w:r>
        <w:rPr>
          <w:color w:val="231F20"/>
        </w:rPr>
        <w:t>overcrowded</w:t>
      </w:r>
      <w:r>
        <w:rPr>
          <w:color w:val="231F20"/>
          <w:spacing w:val="-8"/>
        </w:rPr>
        <w:t xml:space="preserve"> </w:t>
      </w:r>
      <w:r>
        <w:rPr>
          <w:color w:val="231F20"/>
        </w:rPr>
        <w:t>breaks</w:t>
      </w:r>
      <w:r>
        <w:rPr>
          <w:color w:val="231F20"/>
          <w:spacing w:val="-8"/>
        </w:rPr>
        <w:t xml:space="preserve"> </w:t>
      </w:r>
      <w:r>
        <w:rPr>
          <w:color w:val="231F20"/>
        </w:rPr>
        <w:t>(Doering,</w:t>
      </w:r>
      <w:r>
        <w:rPr>
          <w:color w:val="231F20"/>
          <w:spacing w:val="-8"/>
        </w:rPr>
        <w:t xml:space="preserve"> </w:t>
      </w:r>
      <w:r>
        <w:rPr>
          <w:color w:val="231F20"/>
        </w:rPr>
        <w:t>2018).</w:t>
      </w:r>
      <w:r>
        <w:rPr>
          <w:color w:val="231F20"/>
          <w:spacing w:val="-8"/>
        </w:rPr>
        <w:t xml:space="preserve"> </w:t>
      </w:r>
      <w:r>
        <w:rPr>
          <w:color w:val="231F20"/>
        </w:rPr>
        <w:t>The inclusion of</w:t>
      </w:r>
      <w:r>
        <w:rPr>
          <w:color w:val="231F20"/>
          <w:spacing w:val="21"/>
        </w:rPr>
        <w:t xml:space="preserve"> </w:t>
      </w:r>
      <w:r>
        <w:rPr>
          <w:color w:val="231F20"/>
        </w:rPr>
        <w:t>surfing in the Tokyo 2020 Olympics consequently offers</w:t>
      </w:r>
      <w:r>
        <w:rPr>
          <w:color w:val="231F20"/>
          <w:spacing w:val="40"/>
        </w:rPr>
        <w:t xml:space="preserve"> </w:t>
      </w:r>
      <w:r>
        <w:rPr>
          <w:color w:val="231F20"/>
        </w:rPr>
        <w:t>a glimps</w:t>
      </w:r>
      <w:r>
        <w:rPr>
          <w:color w:val="231F20"/>
        </w:rPr>
        <w:t xml:space="preserve">e into the near future of the sport: global expansionism, surf </w:t>
      </w:r>
      <w:r>
        <w:rPr>
          <w:color w:val="231F20"/>
          <w:w w:val="95"/>
        </w:rPr>
        <w:t>tourism</w:t>
      </w:r>
      <w:r>
        <w:rPr>
          <w:color w:val="231F20"/>
          <w:spacing w:val="-3"/>
          <w:w w:val="95"/>
        </w:rPr>
        <w:t xml:space="preserve"> </w:t>
      </w:r>
      <w:r>
        <w:rPr>
          <w:color w:val="231F20"/>
          <w:w w:val="95"/>
        </w:rPr>
        <w:t>destination</w:t>
      </w:r>
      <w:r>
        <w:rPr>
          <w:color w:val="231F20"/>
          <w:spacing w:val="-3"/>
          <w:w w:val="95"/>
        </w:rPr>
        <w:t xml:space="preserve"> </w:t>
      </w:r>
      <w:r>
        <w:rPr>
          <w:color w:val="231F20"/>
          <w:w w:val="95"/>
        </w:rPr>
        <w:t>development,</w:t>
      </w:r>
      <w:r>
        <w:rPr>
          <w:color w:val="231F20"/>
          <w:spacing w:val="-3"/>
          <w:w w:val="95"/>
        </w:rPr>
        <w:t xml:space="preserve"> </w:t>
      </w:r>
      <w:r>
        <w:rPr>
          <w:color w:val="231F20"/>
          <w:w w:val="95"/>
        </w:rPr>
        <w:t>overcrowding,</w:t>
      </w:r>
      <w:r>
        <w:rPr>
          <w:color w:val="231F20"/>
          <w:spacing w:val="-3"/>
          <w:w w:val="95"/>
        </w:rPr>
        <w:t xml:space="preserve"> </w:t>
      </w:r>
      <w:r>
        <w:rPr>
          <w:color w:val="231F20"/>
          <w:w w:val="95"/>
        </w:rPr>
        <w:t>high</w:t>
      </w:r>
      <w:r>
        <w:rPr>
          <w:color w:val="231F20"/>
          <w:spacing w:val="-3"/>
          <w:w w:val="95"/>
        </w:rPr>
        <w:t xml:space="preserve"> </w:t>
      </w:r>
      <w:r>
        <w:rPr>
          <w:color w:val="231F20"/>
          <w:w w:val="95"/>
        </w:rPr>
        <w:t>performance</w:t>
      </w:r>
      <w:r>
        <w:rPr>
          <w:color w:val="231F20"/>
          <w:spacing w:val="-3"/>
          <w:w w:val="95"/>
        </w:rPr>
        <w:t xml:space="preserve"> </w:t>
      </w:r>
      <w:r>
        <w:rPr>
          <w:color w:val="231F20"/>
          <w:w w:val="95"/>
        </w:rPr>
        <w:t>sport progression,</w:t>
      </w:r>
      <w:r>
        <w:rPr>
          <w:color w:val="231F20"/>
          <w:spacing w:val="-1"/>
          <w:w w:val="95"/>
        </w:rPr>
        <w:t xml:space="preserve"> </w:t>
      </w:r>
      <w:r>
        <w:rPr>
          <w:color w:val="231F20"/>
          <w:w w:val="95"/>
        </w:rPr>
        <w:t>and</w:t>
      </w:r>
      <w:r>
        <w:rPr>
          <w:color w:val="231F20"/>
          <w:spacing w:val="-1"/>
          <w:w w:val="95"/>
        </w:rPr>
        <w:t xml:space="preserve"> </w:t>
      </w:r>
      <w:r>
        <w:rPr>
          <w:color w:val="231F20"/>
          <w:w w:val="95"/>
        </w:rPr>
        <w:t>the</w:t>
      </w:r>
      <w:r>
        <w:rPr>
          <w:color w:val="231F20"/>
          <w:spacing w:val="-1"/>
          <w:w w:val="95"/>
        </w:rPr>
        <w:t xml:space="preserve"> </w:t>
      </w:r>
      <w:r>
        <w:rPr>
          <w:color w:val="231F20"/>
          <w:w w:val="95"/>
        </w:rPr>
        <w:t>advancement</w:t>
      </w:r>
      <w:r>
        <w:rPr>
          <w:color w:val="231F20"/>
          <w:spacing w:val="-1"/>
          <w:w w:val="95"/>
        </w:rPr>
        <w:t xml:space="preserve"> </w:t>
      </w:r>
      <w:r>
        <w:rPr>
          <w:color w:val="231F20"/>
          <w:w w:val="95"/>
        </w:rPr>
        <w:t>of</w:t>
      </w:r>
      <w:r>
        <w:rPr>
          <w:color w:val="231F20"/>
        </w:rPr>
        <w:t xml:space="preserve"> </w:t>
      </w:r>
      <w:r>
        <w:rPr>
          <w:color w:val="231F20"/>
          <w:w w:val="95"/>
        </w:rPr>
        <w:t>surfing</w:t>
      </w:r>
      <w:r>
        <w:rPr>
          <w:color w:val="231F20"/>
          <w:spacing w:val="-1"/>
          <w:w w:val="95"/>
        </w:rPr>
        <w:t xml:space="preserve"> </w:t>
      </w:r>
      <w:r>
        <w:rPr>
          <w:color w:val="231F20"/>
          <w:w w:val="95"/>
        </w:rPr>
        <w:t>as</w:t>
      </w:r>
      <w:r>
        <w:rPr>
          <w:color w:val="231F20"/>
          <w:spacing w:val="-1"/>
          <w:w w:val="95"/>
        </w:rPr>
        <w:t xml:space="preserve"> </w:t>
      </w:r>
      <w:r>
        <w:rPr>
          <w:color w:val="231F20"/>
          <w:w w:val="95"/>
        </w:rPr>
        <w:t>a</w:t>
      </w:r>
      <w:r>
        <w:rPr>
          <w:color w:val="231F20"/>
          <w:spacing w:val="-1"/>
          <w:w w:val="95"/>
        </w:rPr>
        <w:t xml:space="preserve"> </w:t>
      </w:r>
      <w:r>
        <w:rPr>
          <w:color w:val="231F20"/>
          <w:w w:val="95"/>
        </w:rPr>
        <w:t>spectator</w:t>
      </w:r>
      <w:r>
        <w:rPr>
          <w:color w:val="231F20"/>
          <w:spacing w:val="-1"/>
          <w:w w:val="95"/>
        </w:rPr>
        <w:t xml:space="preserve"> </w:t>
      </w:r>
      <w:r>
        <w:rPr>
          <w:color w:val="231F20"/>
          <w:w w:val="95"/>
        </w:rPr>
        <w:t>sport.</w:t>
      </w:r>
      <w:r>
        <w:rPr>
          <w:color w:val="231F20"/>
          <w:spacing w:val="-1"/>
          <w:w w:val="95"/>
        </w:rPr>
        <w:t xml:space="preserve"> </w:t>
      </w:r>
      <w:r>
        <w:rPr>
          <w:color w:val="231F20"/>
          <w:w w:val="95"/>
        </w:rPr>
        <w:t>The</w:t>
      </w:r>
      <w:r>
        <w:rPr>
          <w:color w:val="231F20"/>
          <w:spacing w:val="-1"/>
          <w:w w:val="95"/>
        </w:rPr>
        <w:t xml:space="preserve"> </w:t>
      </w:r>
      <w:r>
        <w:rPr>
          <w:color w:val="231F20"/>
          <w:w w:val="95"/>
        </w:rPr>
        <w:t>far future</w:t>
      </w:r>
      <w:r>
        <w:rPr>
          <w:color w:val="231F20"/>
          <w:spacing w:val="-10"/>
          <w:w w:val="95"/>
        </w:rPr>
        <w:t xml:space="preserve"> </w:t>
      </w:r>
      <w:r>
        <w:rPr>
          <w:color w:val="231F20"/>
          <w:w w:val="95"/>
        </w:rPr>
        <w:t>of</w:t>
      </w:r>
      <w:r>
        <w:rPr>
          <w:color w:val="231F20"/>
          <w:spacing w:val="-9"/>
          <w:w w:val="95"/>
        </w:rPr>
        <w:t xml:space="preserve"> </w:t>
      </w:r>
      <w:r>
        <w:rPr>
          <w:color w:val="231F20"/>
          <w:w w:val="95"/>
        </w:rPr>
        <w:t>surfing,</w:t>
      </w:r>
      <w:r>
        <w:rPr>
          <w:color w:val="231F20"/>
          <w:spacing w:val="-9"/>
          <w:w w:val="95"/>
        </w:rPr>
        <w:t xml:space="preserve"> </w:t>
      </w:r>
      <w:r>
        <w:rPr>
          <w:color w:val="231F20"/>
          <w:w w:val="95"/>
        </w:rPr>
        <w:t>however,</w:t>
      </w:r>
      <w:r>
        <w:rPr>
          <w:color w:val="231F20"/>
          <w:spacing w:val="-9"/>
          <w:w w:val="95"/>
        </w:rPr>
        <w:t xml:space="preserve"> </w:t>
      </w:r>
      <w:r>
        <w:rPr>
          <w:color w:val="231F20"/>
          <w:w w:val="95"/>
        </w:rPr>
        <w:t>will</w:t>
      </w:r>
      <w:r>
        <w:rPr>
          <w:color w:val="231F20"/>
          <w:spacing w:val="-10"/>
          <w:w w:val="95"/>
        </w:rPr>
        <w:t xml:space="preserve"> </w:t>
      </w:r>
      <w:r>
        <w:rPr>
          <w:color w:val="231F20"/>
          <w:w w:val="95"/>
        </w:rPr>
        <w:t>no</w:t>
      </w:r>
      <w:r>
        <w:rPr>
          <w:color w:val="231F20"/>
          <w:spacing w:val="-9"/>
          <w:w w:val="95"/>
        </w:rPr>
        <w:t xml:space="preserve"> </w:t>
      </w:r>
      <w:r>
        <w:rPr>
          <w:color w:val="231F20"/>
          <w:w w:val="95"/>
        </w:rPr>
        <w:t>doubt</w:t>
      </w:r>
      <w:r>
        <w:rPr>
          <w:color w:val="231F20"/>
          <w:spacing w:val="-9"/>
          <w:w w:val="95"/>
        </w:rPr>
        <w:t xml:space="preserve"> </w:t>
      </w:r>
      <w:r>
        <w:rPr>
          <w:color w:val="231F20"/>
          <w:w w:val="95"/>
        </w:rPr>
        <w:t>emerge</w:t>
      </w:r>
      <w:r>
        <w:rPr>
          <w:color w:val="231F20"/>
          <w:spacing w:val="-9"/>
          <w:w w:val="95"/>
        </w:rPr>
        <w:t xml:space="preserve"> </w:t>
      </w:r>
      <w:r>
        <w:rPr>
          <w:color w:val="231F20"/>
          <w:w w:val="95"/>
        </w:rPr>
        <w:t>from</w:t>
      </w:r>
      <w:r>
        <w:rPr>
          <w:color w:val="231F20"/>
          <w:spacing w:val="-10"/>
          <w:w w:val="95"/>
        </w:rPr>
        <w:t xml:space="preserve"> </w:t>
      </w:r>
      <w:r>
        <w:rPr>
          <w:color w:val="231F20"/>
          <w:w w:val="95"/>
        </w:rPr>
        <w:t>the</w:t>
      </w:r>
      <w:r>
        <w:rPr>
          <w:color w:val="231F20"/>
          <w:spacing w:val="-9"/>
          <w:w w:val="95"/>
        </w:rPr>
        <w:t xml:space="preserve"> </w:t>
      </w:r>
      <w:r>
        <w:rPr>
          <w:color w:val="231F20"/>
          <w:w w:val="95"/>
        </w:rPr>
        <w:t>growing</w:t>
      </w:r>
      <w:r>
        <w:rPr>
          <w:color w:val="231F20"/>
          <w:spacing w:val="-9"/>
          <w:w w:val="95"/>
        </w:rPr>
        <w:t xml:space="preserve"> </w:t>
      </w:r>
      <w:r>
        <w:rPr>
          <w:color w:val="231F20"/>
          <w:w w:val="95"/>
        </w:rPr>
        <w:t>tension between</w:t>
      </w:r>
      <w:r>
        <w:rPr>
          <w:color w:val="231F20"/>
          <w:spacing w:val="-8"/>
          <w:w w:val="95"/>
        </w:rPr>
        <w:t xml:space="preserve"> </w:t>
      </w:r>
      <w:r>
        <w:rPr>
          <w:color w:val="231F20"/>
          <w:w w:val="95"/>
        </w:rPr>
        <w:t>its</w:t>
      </w:r>
      <w:r>
        <w:rPr>
          <w:color w:val="231F20"/>
          <w:spacing w:val="-8"/>
          <w:w w:val="95"/>
        </w:rPr>
        <w:t xml:space="preserve"> </w:t>
      </w:r>
      <w:r>
        <w:rPr>
          <w:color w:val="231F20"/>
          <w:w w:val="95"/>
        </w:rPr>
        <w:t>increasing</w:t>
      </w:r>
      <w:r>
        <w:rPr>
          <w:color w:val="231F20"/>
          <w:spacing w:val="-8"/>
          <w:w w:val="95"/>
        </w:rPr>
        <w:t xml:space="preserve"> </w:t>
      </w:r>
      <w:r>
        <w:rPr>
          <w:color w:val="231F20"/>
          <w:w w:val="95"/>
        </w:rPr>
        <w:t>diversity</w:t>
      </w:r>
      <w:r>
        <w:rPr>
          <w:color w:val="231F20"/>
          <w:spacing w:val="-8"/>
          <w:w w:val="95"/>
        </w:rPr>
        <w:t xml:space="preserve"> </w:t>
      </w:r>
      <w:r>
        <w:rPr>
          <w:color w:val="231F20"/>
          <w:w w:val="95"/>
        </w:rPr>
        <w:t>and</w:t>
      </w:r>
      <w:r>
        <w:rPr>
          <w:color w:val="231F20"/>
          <w:spacing w:val="-8"/>
          <w:w w:val="95"/>
        </w:rPr>
        <w:t xml:space="preserve"> </w:t>
      </w:r>
      <w:r>
        <w:rPr>
          <w:color w:val="231F20"/>
          <w:w w:val="95"/>
        </w:rPr>
        <w:t>ambitious</w:t>
      </w:r>
      <w:r>
        <w:rPr>
          <w:color w:val="231F20"/>
          <w:spacing w:val="-8"/>
          <w:w w:val="95"/>
        </w:rPr>
        <w:t xml:space="preserve"> </w:t>
      </w:r>
      <w:r>
        <w:rPr>
          <w:color w:val="231F20"/>
          <w:w w:val="95"/>
        </w:rPr>
        <w:t>plans</w:t>
      </w:r>
      <w:r>
        <w:rPr>
          <w:color w:val="231F20"/>
          <w:spacing w:val="-8"/>
          <w:w w:val="95"/>
        </w:rPr>
        <w:t xml:space="preserve"> </w:t>
      </w:r>
      <w:r>
        <w:rPr>
          <w:color w:val="231F20"/>
          <w:w w:val="95"/>
        </w:rPr>
        <w:t>to</w:t>
      </w:r>
      <w:r>
        <w:rPr>
          <w:color w:val="231F20"/>
          <w:spacing w:val="-8"/>
          <w:w w:val="95"/>
        </w:rPr>
        <w:t xml:space="preserve"> </w:t>
      </w:r>
      <w:r>
        <w:rPr>
          <w:color w:val="231F20"/>
          <w:w w:val="95"/>
        </w:rPr>
        <w:t>turn</w:t>
      </w:r>
      <w:r>
        <w:rPr>
          <w:color w:val="231F20"/>
          <w:spacing w:val="-8"/>
          <w:w w:val="95"/>
        </w:rPr>
        <w:t xml:space="preserve"> </w:t>
      </w:r>
      <w:r>
        <w:rPr>
          <w:color w:val="231F20"/>
          <w:w w:val="95"/>
        </w:rPr>
        <w:t>surfing</w:t>
      </w:r>
      <w:r>
        <w:rPr>
          <w:color w:val="231F20"/>
          <w:spacing w:val="-8"/>
          <w:w w:val="95"/>
        </w:rPr>
        <w:t xml:space="preserve"> </w:t>
      </w:r>
      <w:r>
        <w:rPr>
          <w:color w:val="231F20"/>
          <w:w w:val="95"/>
        </w:rPr>
        <w:t>into</w:t>
      </w:r>
      <w:r>
        <w:rPr>
          <w:color w:val="231F20"/>
          <w:spacing w:val="-8"/>
          <w:w w:val="95"/>
        </w:rPr>
        <w:t xml:space="preserve"> </w:t>
      </w:r>
      <w:r>
        <w:rPr>
          <w:color w:val="231F20"/>
          <w:w w:val="95"/>
        </w:rPr>
        <w:t xml:space="preserve">a </w:t>
      </w:r>
      <w:r>
        <w:rPr>
          <w:color w:val="231F20"/>
        </w:rPr>
        <w:t>universal,</w:t>
      </w:r>
      <w:r>
        <w:rPr>
          <w:color w:val="231F20"/>
          <w:spacing w:val="-6"/>
        </w:rPr>
        <w:t xml:space="preserve"> </w:t>
      </w:r>
      <w:r>
        <w:rPr>
          <w:color w:val="231F20"/>
        </w:rPr>
        <w:t>lucrative</w:t>
      </w:r>
      <w:r>
        <w:rPr>
          <w:color w:val="231F20"/>
          <w:spacing w:val="-6"/>
        </w:rPr>
        <w:t xml:space="preserve"> </w:t>
      </w:r>
      <w:r>
        <w:rPr>
          <w:color w:val="231F20"/>
        </w:rPr>
        <w:t>sporting</w:t>
      </w:r>
      <w:r>
        <w:rPr>
          <w:color w:val="231F20"/>
          <w:spacing w:val="-6"/>
        </w:rPr>
        <w:t xml:space="preserve"> </w:t>
      </w:r>
      <w:r>
        <w:rPr>
          <w:color w:val="231F20"/>
        </w:rPr>
        <w:t>phenomenon.</w:t>
      </w:r>
    </w:p>
    <w:p w14:paraId="4D484450" w14:textId="77777777" w:rsidR="00AE0598" w:rsidRDefault="00AE0598">
      <w:pPr>
        <w:pStyle w:val="Corpodetexto"/>
        <w:spacing w:before="9"/>
        <w:rPr>
          <w:sz w:val="22"/>
        </w:rPr>
      </w:pPr>
    </w:p>
    <w:p w14:paraId="687190E5" w14:textId="77777777" w:rsidR="00AE0598" w:rsidRDefault="0069255A">
      <w:pPr>
        <w:ind w:left="223"/>
        <w:jc w:val="both"/>
        <w:rPr>
          <w:rFonts w:ascii="Trebuchet MS"/>
          <w:sz w:val="20"/>
        </w:rPr>
      </w:pPr>
      <w:r>
        <w:rPr>
          <w:rFonts w:ascii="Trebuchet MS"/>
          <w:color w:val="231F20"/>
          <w:w w:val="105"/>
          <w:sz w:val="20"/>
        </w:rPr>
        <w:t>Key</w:t>
      </w:r>
      <w:r>
        <w:rPr>
          <w:rFonts w:ascii="Trebuchet MS"/>
          <w:color w:val="231F20"/>
          <w:spacing w:val="-11"/>
          <w:w w:val="105"/>
          <w:sz w:val="20"/>
        </w:rPr>
        <w:t xml:space="preserve"> </w:t>
      </w:r>
      <w:r>
        <w:rPr>
          <w:rFonts w:ascii="Trebuchet MS"/>
          <w:color w:val="231F20"/>
          <w:spacing w:val="-2"/>
          <w:w w:val="105"/>
          <w:sz w:val="20"/>
        </w:rPr>
        <w:t>Reading</w:t>
      </w:r>
    </w:p>
    <w:p w14:paraId="67D0873E" w14:textId="77777777" w:rsidR="00AE0598" w:rsidRDefault="0069255A">
      <w:pPr>
        <w:spacing w:before="122" w:line="232" w:lineRule="auto"/>
        <w:ind w:left="223" w:right="241"/>
        <w:jc w:val="both"/>
        <w:rPr>
          <w:sz w:val="21"/>
        </w:rPr>
      </w:pPr>
      <w:r>
        <w:rPr>
          <w:color w:val="231F20"/>
          <w:sz w:val="21"/>
        </w:rPr>
        <w:t>Doering, A. (2018) Mobilising stoke: A genealogy of surf tourism development</w:t>
      </w:r>
      <w:r>
        <w:rPr>
          <w:color w:val="231F20"/>
          <w:spacing w:val="40"/>
          <w:sz w:val="21"/>
        </w:rPr>
        <w:t xml:space="preserve"> </w:t>
      </w:r>
      <w:r>
        <w:rPr>
          <w:color w:val="231F20"/>
          <w:sz w:val="21"/>
        </w:rPr>
        <w:t>in</w:t>
      </w:r>
      <w:r>
        <w:rPr>
          <w:color w:val="231F20"/>
          <w:spacing w:val="40"/>
          <w:sz w:val="21"/>
        </w:rPr>
        <w:t xml:space="preserve"> </w:t>
      </w:r>
      <w:r>
        <w:rPr>
          <w:color w:val="231F20"/>
          <w:sz w:val="21"/>
        </w:rPr>
        <w:t>Miyazaki,</w:t>
      </w:r>
      <w:r>
        <w:rPr>
          <w:color w:val="231F20"/>
          <w:spacing w:val="40"/>
          <w:sz w:val="21"/>
        </w:rPr>
        <w:t xml:space="preserve"> </w:t>
      </w:r>
      <w:r>
        <w:rPr>
          <w:color w:val="231F20"/>
          <w:sz w:val="21"/>
        </w:rPr>
        <w:t>Japan.</w:t>
      </w:r>
      <w:r>
        <w:rPr>
          <w:color w:val="231F20"/>
          <w:spacing w:val="40"/>
          <w:sz w:val="21"/>
        </w:rPr>
        <w:t xml:space="preserve"> </w:t>
      </w:r>
      <w:r>
        <w:rPr>
          <w:i/>
          <w:color w:val="231F20"/>
          <w:sz w:val="21"/>
        </w:rPr>
        <w:t>Tourism</w:t>
      </w:r>
      <w:r>
        <w:rPr>
          <w:i/>
          <w:color w:val="231F20"/>
          <w:spacing w:val="40"/>
          <w:sz w:val="21"/>
        </w:rPr>
        <w:t xml:space="preserve"> </w:t>
      </w:r>
      <w:r>
        <w:rPr>
          <w:i/>
          <w:color w:val="231F20"/>
          <w:sz w:val="21"/>
        </w:rPr>
        <w:t>Planning</w:t>
      </w:r>
      <w:r>
        <w:rPr>
          <w:i/>
          <w:color w:val="231F20"/>
          <w:w w:val="110"/>
          <w:sz w:val="21"/>
        </w:rPr>
        <w:t xml:space="preserve"> &amp; </w:t>
      </w:r>
      <w:r>
        <w:rPr>
          <w:i/>
          <w:color w:val="231F20"/>
          <w:sz w:val="21"/>
        </w:rPr>
        <w:t xml:space="preserve">Development </w:t>
      </w:r>
      <w:r>
        <w:rPr>
          <w:color w:val="231F20"/>
          <w:sz w:val="21"/>
        </w:rPr>
        <w:t>15 (1), 68–81.</w:t>
      </w:r>
    </w:p>
    <w:p w14:paraId="45E13E7F" w14:textId="77777777" w:rsidR="00AE0598" w:rsidRDefault="0069255A">
      <w:pPr>
        <w:pStyle w:val="Corpodetexto"/>
        <w:spacing w:before="124" w:line="232" w:lineRule="auto"/>
        <w:ind w:left="223" w:right="241"/>
        <w:jc w:val="both"/>
      </w:pPr>
      <w:r>
        <w:rPr>
          <w:color w:val="231F20"/>
        </w:rPr>
        <w:t>Stranger, M. (2010) Surface and substructure: Beneath surfing’s commodified</w:t>
      </w:r>
      <w:r>
        <w:rPr>
          <w:color w:val="231F20"/>
          <w:spacing w:val="-2"/>
        </w:rPr>
        <w:t xml:space="preserve"> </w:t>
      </w:r>
      <w:r>
        <w:rPr>
          <w:color w:val="231F20"/>
        </w:rPr>
        <w:t>surface.</w:t>
      </w:r>
      <w:r>
        <w:rPr>
          <w:color w:val="231F20"/>
          <w:spacing w:val="-2"/>
        </w:rPr>
        <w:t xml:space="preserve"> </w:t>
      </w:r>
      <w:r>
        <w:rPr>
          <w:i/>
          <w:color w:val="231F20"/>
        </w:rPr>
        <w:t>Sport</w:t>
      </w:r>
      <w:r>
        <w:rPr>
          <w:i/>
          <w:color w:val="231F20"/>
          <w:spacing w:val="-2"/>
        </w:rPr>
        <w:t xml:space="preserve"> </w:t>
      </w:r>
      <w:r>
        <w:rPr>
          <w:i/>
          <w:color w:val="231F20"/>
        </w:rPr>
        <w:t>in</w:t>
      </w:r>
      <w:r>
        <w:rPr>
          <w:i/>
          <w:color w:val="231F20"/>
          <w:spacing w:val="-2"/>
        </w:rPr>
        <w:t xml:space="preserve"> </w:t>
      </w:r>
      <w:r>
        <w:rPr>
          <w:i/>
          <w:color w:val="231F20"/>
        </w:rPr>
        <w:t>Society</w:t>
      </w:r>
      <w:r>
        <w:rPr>
          <w:i/>
          <w:color w:val="231F20"/>
          <w:spacing w:val="-2"/>
        </w:rPr>
        <w:t xml:space="preserve"> </w:t>
      </w:r>
      <w:r>
        <w:rPr>
          <w:color w:val="231F20"/>
        </w:rPr>
        <w:t>13</w:t>
      </w:r>
      <w:r>
        <w:rPr>
          <w:color w:val="231F20"/>
          <w:spacing w:val="-2"/>
        </w:rPr>
        <w:t xml:space="preserve"> </w:t>
      </w:r>
      <w:r>
        <w:rPr>
          <w:color w:val="231F20"/>
        </w:rPr>
        <w:t>(7–8),</w:t>
      </w:r>
      <w:r>
        <w:rPr>
          <w:color w:val="231F20"/>
          <w:spacing w:val="-2"/>
        </w:rPr>
        <w:t xml:space="preserve"> </w:t>
      </w:r>
      <w:r>
        <w:rPr>
          <w:color w:val="231F20"/>
        </w:rPr>
        <w:t>1117–1134.</w:t>
      </w:r>
    </w:p>
    <w:p w14:paraId="6D277A55" w14:textId="77777777" w:rsidR="00AE0598" w:rsidRDefault="0069255A">
      <w:pPr>
        <w:spacing w:before="2" w:line="232" w:lineRule="auto"/>
        <w:ind w:left="223" w:right="241" w:firstLine="320"/>
        <w:jc w:val="both"/>
        <w:rPr>
          <w:i/>
          <w:sz w:val="21"/>
        </w:rPr>
      </w:pPr>
      <w:r>
        <w:rPr>
          <w:i/>
          <w:color w:val="231F20"/>
          <w:sz w:val="21"/>
        </w:rPr>
        <w:t>Additional references cited in this case study are included in the reference list.</w:t>
      </w:r>
    </w:p>
    <w:p w14:paraId="1E8CF3CF" w14:textId="77777777" w:rsidR="00AE0598" w:rsidRDefault="00AE0598">
      <w:pPr>
        <w:pStyle w:val="Corpodetexto"/>
        <w:spacing w:before="8"/>
        <w:rPr>
          <w:i/>
          <w:sz w:val="20"/>
        </w:rPr>
      </w:pPr>
    </w:p>
    <w:p w14:paraId="20721974" w14:textId="77777777" w:rsidR="00AE0598" w:rsidRDefault="0069255A">
      <w:pPr>
        <w:ind w:left="110"/>
        <w:jc w:val="both"/>
        <w:rPr>
          <w:rFonts w:ascii="Trebuchet MS"/>
          <w:sz w:val="20"/>
        </w:rPr>
      </w:pPr>
      <w:r>
        <w:rPr>
          <w:rFonts w:ascii="Trebuchet MS"/>
          <w:color w:val="231F20"/>
          <w:w w:val="105"/>
          <w:sz w:val="20"/>
        </w:rPr>
        <w:t>The</w:t>
      </w:r>
      <w:r>
        <w:rPr>
          <w:rFonts w:ascii="Trebuchet MS"/>
          <w:color w:val="231F20"/>
          <w:spacing w:val="-12"/>
          <w:w w:val="105"/>
          <w:sz w:val="20"/>
        </w:rPr>
        <w:t xml:space="preserve"> </w:t>
      </w:r>
      <w:r>
        <w:rPr>
          <w:rFonts w:ascii="Trebuchet MS"/>
          <w:color w:val="231F20"/>
          <w:w w:val="105"/>
          <w:sz w:val="20"/>
        </w:rPr>
        <w:t>evolutionary</w:t>
      </w:r>
      <w:r>
        <w:rPr>
          <w:rFonts w:ascii="Trebuchet MS"/>
          <w:color w:val="231F20"/>
          <w:spacing w:val="-11"/>
          <w:w w:val="105"/>
          <w:sz w:val="20"/>
        </w:rPr>
        <w:t xml:space="preserve"> </w:t>
      </w:r>
      <w:r>
        <w:rPr>
          <w:rFonts w:ascii="Trebuchet MS"/>
          <w:color w:val="231F20"/>
          <w:w w:val="105"/>
          <w:sz w:val="20"/>
        </w:rPr>
        <w:t>dynamics</w:t>
      </w:r>
      <w:r>
        <w:rPr>
          <w:rFonts w:ascii="Trebuchet MS"/>
          <w:color w:val="231F20"/>
          <w:spacing w:val="-11"/>
          <w:w w:val="105"/>
          <w:sz w:val="20"/>
        </w:rPr>
        <w:t xml:space="preserve"> </w:t>
      </w:r>
      <w:r>
        <w:rPr>
          <w:rFonts w:ascii="Trebuchet MS"/>
          <w:color w:val="231F20"/>
          <w:w w:val="105"/>
          <w:sz w:val="20"/>
        </w:rPr>
        <w:t>of</w:t>
      </w:r>
      <w:r>
        <w:rPr>
          <w:rFonts w:ascii="Trebuchet MS"/>
          <w:color w:val="231F20"/>
          <w:spacing w:val="-11"/>
          <w:w w:val="105"/>
          <w:sz w:val="20"/>
        </w:rPr>
        <w:t xml:space="preserve"> </w:t>
      </w:r>
      <w:r>
        <w:rPr>
          <w:rFonts w:ascii="Trebuchet MS"/>
          <w:color w:val="231F20"/>
          <w:spacing w:val="-4"/>
          <w:w w:val="105"/>
          <w:sz w:val="20"/>
        </w:rPr>
        <w:t>sport</w:t>
      </w:r>
    </w:p>
    <w:p w14:paraId="54473508" w14:textId="77777777" w:rsidR="00AE0598" w:rsidRDefault="0069255A">
      <w:pPr>
        <w:pStyle w:val="Corpodetexto"/>
        <w:spacing w:before="122" w:line="232" w:lineRule="auto"/>
        <w:ind w:left="110" w:right="128" w:firstLine="320"/>
        <w:jc w:val="both"/>
      </w:pPr>
      <w:r>
        <w:rPr>
          <w:color w:val="231F20"/>
        </w:rPr>
        <w:t>If sports are to be used as a mechanism to rejuvenate tourism destinations, it is important to understand how they typically evolve.</w:t>
      </w:r>
    </w:p>
    <w:p w14:paraId="4ACA4F18" w14:textId="77777777" w:rsidR="00AE0598" w:rsidRDefault="00AE0598">
      <w:pPr>
        <w:pStyle w:val="Corpodetexto"/>
      </w:pPr>
    </w:p>
    <w:p w14:paraId="4E4927BB" w14:textId="77777777" w:rsidR="00AE0598" w:rsidRDefault="0069255A">
      <w:pPr>
        <w:spacing w:line="244" w:lineRule="auto"/>
        <w:ind w:left="430" w:right="127"/>
        <w:jc w:val="both"/>
        <w:rPr>
          <w:sz w:val="20"/>
        </w:rPr>
      </w:pPr>
      <w:r>
        <w:rPr>
          <w:color w:val="231F20"/>
          <w:sz w:val="20"/>
        </w:rPr>
        <w:t>Like tourism products, individual sports, sports disciplines and sport events have their own life cycles. They too go ‘out</w:t>
      </w:r>
      <w:r>
        <w:rPr>
          <w:color w:val="231F20"/>
          <w:sz w:val="20"/>
        </w:rPr>
        <w:t xml:space="preserve"> of fashion’. And they increasingly</w:t>
      </w:r>
      <w:r>
        <w:rPr>
          <w:color w:val="231F20"/>
          <w:spacing w:val="33"/>
          <w:sz w:val="20"/>
        </w:rPr>
        <w:t xml:space="preserve"> </w:t>
      </w:r>
      <w:r>
        <w:rPr>
          <w:color w:val="231F20"/>
          <w:sz w:val="20"/>
        </w:rPr>
        <w:t>find</w:t>
      </w:r>
      <w:r>
        <w:rPr>
          <w:color w:val="231F20"/>
          <w:spacing w:val="33"/>
          <w:sz w:val="20"/>
        </w:rPr>
        <w:t xml:space="preserve"> </w:t>
      </w:r>
      <w:r>
        <w:rPr>
          <w:color w:val="231F20"/>
          <w:sz w:val="20"/>
        </w:rPr>
        <w:t>themselves</w:t>
      </w:r>
      <w:r>
        <w:rPr>
          <w:color w:val="231F20"/>
          <w:spacing w:val="33"/>
          <w:sz w:val="20"/>
        </w:rPr>
        <w:t xml:space="preserve"> </w:t>
      </w:r>
      <w:r>
        <w:rPr>
          <w:color w:val="231F20"/>
          <w:sz w:val="20"/>
        </w:rPr>
        <w:t>having</w:t>
      </w:r>
      <w:r>
        <w:rPr>
          <w:color w:val="231F20"/>
          <w:spacing w:val="33"/>
          <w:sz w:val="20"/>
        </w:rPr>
        <w:t xml:space="preserve"> </w:t>
      </w:r>
      <w:r>
        <w:rPr>
          <w:color w:val="231F20"/>
          <w:sz w:val="20"/>
        </w:rPr>
        <w:t>to</w:t>
      </w:r>
      <w:r>
        <w:rPr>
          <w:color w:val="231F20"/>
          <w:spacing w:val="33"/>
          <w:sz w:val="20"/>
        </w:rPr>
        <w:t xml:space="preserve"> </w:t>
      </w:r>
      <w:r>
        <w:rPr>
          <w:color w:val="231F20"/>
          <w:sz w:val="20"/>
        </w:rPr>
        <w:t>compete</w:t>
      </w:r>
      <w:r>
        <w:rPr>
          <w:color w:val="231F20"/>
          <w:spacing w:val="33"/>
          <w:sz w:val="20"/>
        </w:rPr>
        <w:t xml:space="preserve"> </w:t>
      </w:r>
      <w:r>
        <w:rPr>
          <w:color w:val="231F20"/>
          <w:sz w:val="20"/>
        </w:rPr>
        <w:t>against</w:t>
      </w:r>
      <w:r>
        <w:rPr>
          <w:color w:val="231F20"/>
          <w:spacing w:val="33"/>
          <w:sz w:val="20"/>
        </w:rPr>
        <w:t xml:space="preserve"> </w:t>
      </w:r>
      <w:r>
        <w:rPr>
          <w:color w:val="231F20"/>
          <w:sz w:val="20"/>
        </w:rPr>
        <w:t>other</w:t>
      </w:r>
      <w:r>
        <w:rPr>
          <w:color w:val="231F20"/>
          <w:spacing w:val="33"/>
          <w:sz w:val="20"/>
        </w:rPr>
        <w:t xml:space="preserve"> </w:t>
      </w:r>
      <w:r>
        <w:rPr>
          <w:color w:val="231F20"/>
          <w:sz w:val="20"/>
        </w:rPr>
        <w:t>leisure</w:t>
      </w:r>
    </w:p>
    <w:p w14:paraId="67860CDE" w14:textId="77777777" w:rsidR="00AE0598" w:rsidRDefault="00AE0598">
      <w:pPr>
        <w:spacing w:line="244" w:lineRule="auto"/>
        <w:jc w:val="both"/>
        <w:rPr>
          <w:sz w:val="20"/>
        </w:rPr>
        <w:sectPr w:rsidR="00AE0598">
          <w:pgSz w:w="8850" w:h="13270"/>
          <w:pgMar w:top="720" w:right="1060" w:bottom="280" w:left="1080" w:header="720" w:footer="720" w:gutter="0"/>
          <w:cols w:space="720"/>
        </w:sectPr>
      </w:pPr>
    </w:p>
    <w:p w14:paraId="1CA89BFC" w14:textId="77777777" w:rsidR="00AE0598" w:rsidRDefault="0069255A">
      <w:pPr>
        <w:spacing w:before="87"/>
        <w:ind w:left="108"/>
        <w:rPr>
          <w:rFonts w:ascii="Trebuchet MS"/>
          <w:sz w:val="14"/>
        </w:rPr>
      </w:pPr>
      <w:r>
        <w:rPr>
          <w:rFonts w:ascii="Trebuchet MS"/>
          <w:color w:val="231F20"/>
          <w:w w:val="105"/>
          <w:sz w:val="14"/>
        </w:rPr>
        <w:lastRenderedPageBreak/>
        <w:t>204</w:t>
      </w:r>
      <w:r>
        <w:rPr>
          <w:rFonts w:ascii="Trebuchet MS"/>
          <w:color w:val="231F20"/>
          <w:spacing w:val="66"/>
          <w:w w:val="150"/>
          <w:sz w:val="14"/>
        </w:rPr>
        <w:t xml:space="preserve"> </w:t>
      </w:r>
      <w:r>
        <w:rPr>
          <w:rFonts w:ascii="Trebuchet MS"/>
          <w:color w:val="231F20"/>
          <w:w w:val="105"/>
          <w:sz w:val="14"/>
        </w:rPr>
        <w:t>Part</w:t>
      </w:r>
      <w:r>
        <w:rPr>
          <w:rFonts w:ascii="Trebuchet MS"/>
          <w:color w:val="231F20"/>
          <w:spacing w:val="-9"/>
          <w:w w:val="105"/>
          <w:sz w:val="14"/>
        </w:rPr>
        <w:t xml:space="preserve"> </w:t>
      </w:r>
      <w:r>
        <w:rPr>
          <w:rFonts w:ascii="Trebuchet MS"/>
          <w:color w:val="231F20"/>
          <w:w w:val="105"/>
          <w:sz w:val="14"/>
        </w:rPr>
        <w:t>4:</w:t>
      </w:r>
      <w:r>
        <w:rPr>
          <w:rFonts w:ascii="Trebuchet MS"/>
          <w:color w:val="231F20"/>
          <w:spacing w:val="-8"/>
          <w:w w:val="105"/>
          <w:sz w:val="14"/>
        </w:rPr>
        <w:t xml:space="preserve"> </w:t>
      </w:r>
      <w:r>
        <w:rPr>
          <w:rFonts w:ascii="Trebuchet MS"/>
          <w:color w:val="231F20"/>
          <w:w w:val="105"/>
          <w:sz w:val="14"/>
        </w:rPr>
        <w:t>Sport</w:t>
      </w:r>
      <w:r>
        <w:rPr>
          <w:rFonts w:ascii="Trebuchet MS"/>
          <w:color w:val="231F20"/>
          <w:spacing w:val="-9"/>
          <w:w w:val="105"/>
          <w:sz w:val="14"/>
        </w:rPr>
        <w:t xml:space="preserve"> </w:t>
      </w:r>
      <w:r>
        <w:rPr>
          <w:rFonts w:ascii="Trebuchet MS"/>
          <w:color w:val="231F20"/>
          <w:w w:val="105"/>
          <w:sz w:val="14"/>
        </w:rPr>
        <w:t>Tourism</w:t>
      </w:r>
      <w:r>
        <w:rPr>
          <w:rFonts w:ascii="Trebuchet MS"/>
          <w:color w:val="231F20"/>
          <w:spacing w:val="-9"/>
          <w:w w:val="105"/>
          <w:sz w:val="14"/>
        </w:rPr>
        <w:t xml:space="preserve"> </w:t>
      </w:r>
      <w:r>
        <w:rPr>
          <w:rFonts w:ascii="Trebuchet MS"/>
          <w:color w:val="231F20"/>
          <w:w w:val="105"/>
          <w:sz w:val="14"/>
        </w:rPr>
        <w:t>Development</w:t>
      </w:r>
      <w:r>
        <w:rPr>
          <w:rFonts w:ascii="Trebuchet MS"/>
          <w:color w:val="231F20"/>
          <w:spacing w:val="-9"/>
          <w:w w:val="105"/>
          <w:sz w:val="14"/>
        </w:rPr>
        <w:t xml:space="preserve"> </w:t>
      </w:r>
      <w:r>
        <w:rPr>
          <w:rFonts w:ascii="Trebuchet MS"/>
          <w:color w:val="231F20"/>
          <w:w w:val="105"/>
          <w:sz w:val="14"/>
        </w:rPr>
        <w:t>and</w:t>
      </w:r>
      <w:r>
        <w:rPr>
          <w:rFonts w:ascii="Trebuchet MS"/>
          <w:color w:val="231F20"/>
          <w:spacing w:val="-8"/>
          <w:w w:val="105"/>
          <w:sz w:val="14"/>
        </w:rPr>
        <w:t xml:space="preserve"> </w:t>
      </w:r>
      <w:r>
        <w:rPr>
          <w:rFonts w:ascii="Trebuchet MS"/>
          <w:color w:val="231F20"/>
          <w:spacing w:val="-4"/>
          <w:w w:val="105"/>
          <w:sz w:val="14"/>
        </w:rPr>
        <w:t>Time</w:t>
      </w:r>
    </w:p>
    <w:p w14:paraId="0B74C547" w14:textId="77777777" w:rsidR="00AE0598" w:rsidRDefault="00AE0598">
      <w:pPr>
        <w:pStyle w:val="Corpodetexto"/>
        <w:rPr>
          <w:rFonts w:ascii="Trebuchet MS"/>
          <w:sz w:val="16"/>
        </w:rPr>
      </w:pPr>
    </w:p>
    <w:p w14:paraId="19C0E726" w14:textId="77777777" w:rsidR="00AE0598" w:rsidRDefault="0069255A">
      <w:pPr>
        <w:spacing w:before="114" w:line="244" w:lineRule="auto"/>
        <w:ind w:left="430" w:right="127"/>
        <w:jc w:val="both"/>
        <w:rPr>
          <w:sz w:val="20"/>
        </w:rPr>
      </w:pPr>
      <w:r>
        <w:rPr>
          <w:color w:val="231F20"/>
          <w:sz w:val="20"/>
        </w:rPr>
        <w:t>activities and events… In sport too there is a constant need for the adaptation</w:t>
      </w:r>
      <w:r>
        <w:rPr>
          <w:color w:val="231F20"/>
          <w:spacing w:val="-6"/>
          <w:sz w:val="20"/>
        </w:rPr>
        <w:t xml:space="preserve"> </w:t>
      </w:r>
      <w:r>
        <w:rPr>
          <w:color w:val="231F20"/>
          <w:sz w:val="20"/>
        </w:rPr>
        <w:t>of</w:t>
      </w:r>
      <w:r>
        <w:rPr>
          <w:color w:val="231F20"/>
          <w:spacing w:val="-6"/>
          <w:sz w:val="20"/>
        </w:rPr>
        <w:t xml:space="preserve"> </w:t>
      </w:r>
      <w:r>
        <w:rPr>
          <w:color w:val="231F20"/>
          <w:sz w:val="20"/>
        </w:rPr>
        <w:t>individual</w:t>
      </w:r>
      <w:r>
        <w:rPr>
          <w:color w:val="231F20"/>
          <w:spacing w:val="-6"/>
          <w:sz w:val="20"/>
        </w:rPr>
        <w:t xml:space="preserve"> </w:t>
      </w:r>
      <w:r>
        <w:rPr>
          <w:color w:val="231F20"/>
          <w:sz w:val="20"/>
        </w:rPr>
        <w:t>sports</w:t>
      </w:r>
      <w:r>
        <w:rPr>
          <w:color w:val="231F20"/>
          <w:spacing w:val="-6"/>
          <w:sz w:val="20"/>
        </w:rPr>
        <w:t xml:space="preserve"> </w:t>
      </w:r>
      <w:r>
        <w:rPr>
          <w:color w:val="231F20"/>
          <w:sz w:val="20"/>
        </w:rPr>
        <w:t>and</w:t>
      </w:r>
      <w:r>
        <w:rPr>
          <w:color w:val="231F20"/>
          <w:spacing w:val="-6"/>
          <w:sz w:val="20"/>
        </w:rPr>
        <w:t xml:space="preserve"> </w:t>
      </w:r>
      <w:r>
        <w:rPr>
          <w:color w:val="231F20"/>
          <w:sz w:val="20"/>
        </w:rPr>
        <w:t>events</w:t>
      </w:r>
      <w:r>
        <w:rPr>
          <w:color w:val="231F20"/>
          <w:spacing w:val="-6"/>
          <w:sz w:val="20"/>
        </w:rPr>
        <w:t xml:space="preserve"> </w:t>
      </w:r>
      <w:r>
        <w:rPr>
          <w:color w:val="231F20"/>
          <w:sz w:val="20"/>
        </w:rPr>
        <w:t>to</w:t>
      </w:r>
      <w:r>
        <w:rPr>
          <w:color w:val="231F20"/>
          <w:spacing w:val="-6"/>
          <w:sz w:val="20"/>
        </w:rPr>
        <w:t xml:space="preserve"> </w:t>
      </w:r>
      <w:r>
        <w:rPr>
          <w:color w:val="231F20"/>
          <w:sz w:val="20"/>
        </w:rPr>
        <w:t>the</w:t>
      </w:r>
      <w:r>
        <w:rPr>
          <w:color w:val="231F20"/>
          <w:spacing w:val="-6"/>
          <w:sz w:val="20"/>
        </w:rPr>
        <w:t xml:space="preserve"> </w:t>
      </w:r>
      <w:r>
        <w:rPr>
          <w:color w:val="231F20"/>
          <w:sz w:val="20"/>
        </w:rPr>
        <w:t>changing</w:t>
      </w:r>
      <w:r>
        <w:rPr>
          <w:color w:val="231F20"/>
          <w:spacing w:val="-6"/>
          <w:sz w:val="20"/>
        </w:rPr>
        <w:t xml:space="preserve"> </w:t>
      </w:r>
      <w:r>
        <w:rPr>
          <w:color w:val="231F20"/>
          <w:sz w:val="20"/>
        </w:rPr>
        <w:t xml:space="preserve">requirements </w:t>
      </w:r>
      <w:r>
        <w:rPr>
          <w:color w:val="231F20"/>
          <w:w w:val="95"/>
          <w:sz w:val="20"/>
        </w:rPr>
        <w:t>of sportsmen and sportswomen, as well as spectators. (Keller, 2001: 4, 5)</w:t>
      </w:r>
    </w:p>
    <w:p w14:paraId="187052AE" w14:textId="77777777" w:rsidR="00AE0598" w:rsidRDefault="00AE0598">
      <w:pPr>
        <w:pStyle w:val="Corpodetexto"/>
        <w:spacing w:before="5"/>
        <w:rPr>
          <w:sz w:val="20"/>
        </w:rPr>
      </w:pPr>
    </w:p>
    <w:p w14:paraId="2820A7B1" w14:textId="77777777" w:rsidR="00AE0598" w:rsidRDefault="0069255A">
      <w:pPr>
        <w:pStyle w:val="Corpodetexto"/>
        <w:spacing w:line="232" w:lineRule="auto"/>
        <w:ind w:left="110" w:right="126"/>
        <w:jc w:val="both"/>
      </w:pPr>
      <w:r>
        <w:rPr>
          <w:color w:val="231F20"/>
        </w:rPr>
        <w:t>Just as a primary measure of the tourism</w:t>
      </w:r>
      <w:r>
        <w:rPr>
          <w:color w:val="231F20"/>
        </w:rPr>
        <w:t xml:space="preserve"> destination life cycle is the </w:t>
      </w:r>
      <w:r>
        <w:rPr>
          <w:color w:val="231F20"/>
          <w:w w:val="95"/>
        </w:rPr>
        <w:t>number of visitors to a destination, a primary indicator of sport life cycles</w:t>
      </w:r>
      <w:r>
        <w:rPr>
          <w:color w:val="231F20"/>
          <w:spacing w:val="80"/>
        </w:rPr>
        <w:t xml:space="preserve"> </w:t>
      </w:r>
      <w:r>
        <w:rPr>
          <w:color w:val="231F20"/>
        </w:rPr>
        <w:t>is</w:t>
      </w:r>
      <w:r>
        <w:rPr>
          <w:color w:val="231F20"/>
          <w:spacing w:val="-9"/>
        </w:rPr>
        <w:t xml:space="preserve"> </w:t>
      </w:r>
      <w:r>
        <w:rPr>
          <w:color w:val="231F20"/>
        </w:rPr>
        <w:t>the</w:t>
      </w:r>
      <w:r>
        <w:rPr>
          <w:color w:val="231F20"/>
          <w:spacing w:val="-9"/>
        </w:rPr>
        <w:t xml:space="preserve"> </w:t>
      </w:r>
      <w:r>
        <w:rPr>
          <w:color w:val="231F20"/>
        </w:rPr>
        <w:t>number</w:t>
      </w:r>
      <w:r>
        <w:rPr>
          <w:color w:val="231F20"/>
          <w:spacing w:val="-9"/>
        </w:rPr>
        <w:t xml:space="preserve"> </w:t>
      </w:r>
      <w:r>
        <w:rPr>
          <w:color w:val="231F20"/>
        </w:rPr>
        <w:t>of</w:t>
      </w:r>
      <w:r>
        <w:rPr>
          <w:color w:val="231F20"/>
          <w:spacing w:val="-9"/>
        </w:rPr>
        <w:t xml:space="preserve"> </w:t>
      </w:r>
      <w:r>
        <w:rPr>
          <w:color w:val="231F20"/>
        </w:rPr>
        <w:t>participants</w:t>
      </w:r>
      <w:r>
        <w:rPr>
          <w:color w:val="231F20"/>
          <w:spacing w:val="-9"/>
        </w:rPr>
        <w:t xml:space="preserve"> </w:t>
      </w:r>
      <w:r>
        <w:rPr>
          <w:color w:val="231F20"/>
        </w:rPr>
        <w:t>and</w:t>
      </w:r>
      <w:r>
        <w:rPr>
          <w:color w:val="231F20"/>
          <w:spacing w:val="-9"/>
        </w:rPr>
        <w:t xml:space="preserve"> </w:t>
      </w:r>
      <w:r>
        <w:rPr>
          <w:color w:val="231F20"/>
        </w:rPr>
        <w:t>spectators</w:t>
      </w:r>
      <w:r>
        <w:rPr>
          <w:color w:val="231F20"/>
          <w:spacing w:val="-9"/>
        </w:rPr>
        <w:t xml:space="preserve"> </w:t>
      </w:r>
      <w:r>
        <w:rPr>
          <w:color w:val="231F20"/>
        </w:rPr>
        <w:t>involved.</w:t>
      </w:r>
      <w:r>
        <w:rPr>
          <w:color w:val="231F20"/>
          <w:spacing w:val="-9"/>
        </w:rPr>
        <w:t xml:space="preserve"> </w:t>
      </w:r>
      <w:r>
        <w:rPr>
          <w:color w:val="231F20"/>
        </w:rPr>
        <w:t>Other</w:t>
      </w:r>
      <w:r>
        <w:rPr>
          <w:color w:val="231F20"/>
          <w:spacing w:val="-9"/>
        </w:rPr>
        <w:t xml:space="preserve"> </w:t>
      </w:r>
      <w:r>
        <w:rPr>
          <w:color w:val="231F20"/>
        </w:rPr>
        <w:t>measures</w:t>
      </w:r>
      <w:r>
        <w:rPr>
          <w:color w:val="231F20"/>
          <w:spacing w:val="-9"/>
        </w:rPr>
        <w:t xml:space="preserve"> </w:t>
      </w:r>
      <w:r>
        <w:rPr>
          <w:color w:val="231F20"/>
        </w:rPr>
        <w:t>of the</w:t>
      </w:r>
      <w:r>
        <w:rPr>
          <w:color w:val="231F20"/>
          <w:spacing w:val="-3"/>
        </w:rPr>
        <w:t xml:space="preserve"> </w:t>
      </w:r>
      <w:r>
        <w:rPr>
          <w:color w:val="231F20"/>
        </w:rPr>
        <w:t>status</w:t>
      </w:r>
      <w:r>
        <w:rPr>
          <w:color w:val="231F20"/>
          <w:spacing w:val="-3"/>
        </w:rPr>
        <w:t xml:space="preserve"> </w:t>
      </w:r>
      <w:r>
        <w:rPr>
          <w:color w:val="231F20"/>
        </w:rPr>
        <w:t>of</w:t>
      </w:r>
      <w:r>
        <w:rPr>
          <w:color w:val="231F20"/>
          <w:spacing w:val="-3"/>
        </w:rPr>
        <w:t xml:space="preserve"> </w:t>
      </w:r>
      <w:r>
        <w:rPr>
          <w:color w:val="231F20"/>
        </w:rPr>
        <w:t>a</w:t>
      </w:r>
      <w:r>
        <w:rPr>
          <w:color w:val="231F20"/>
          <w:spacing w:val="-3"/>
        </w:rPr>
        <w:t xml:space="preserve"> </w:t>
      </w:r>
      <w:r>
        <w:rPr>
          <w:color w:val="231F20"/>
        </w:rPr>
        <w:t>sport</w:t>
      </w:r>
      <w:r>
        <w:rPr>
          <w:color w:val="231F20"/>
          <w:spacing w:val="-3"/>
        </w:rPr>
        <w:t xml:space="preserve"> </w:t>
      </w:r>
      <w:r>
        <w:rPr>
          <w:color w:val="231F20"/>
        </w:rPr>
        <w:t>within</w:t>
      </w:r>
      <w:r>
        <w:rPr>
          <w:color w:val="231F20"/>
          <w:spacing w:val="-3"/>
        </w:rPr>
        <w:t xml:space="preserve"> </w:t>
      </w:r>
      <w:r>
        <w:rPr>
          <w:color w:val="231F20"/>
        </w:rPr>
        <w:t>its</w:t>
      </w:r>
      <w:r>
        <w:rPr>
          <w:color w:val="231F20"/>
          <w:spacing w:val="-3"/>
        </w:rPr>
        <w:t xml:space="preserve"> </w:t>
      </w:r>
      <w:r>
        <w:rPr>
          <w:color w:val="231F20"/>
        </w:rPr>
        <w:t>life</w:t>
      </w:r>
      <w:r>
        <w:rPr>
          <w:color w:val="231F20"/>
          <w:spacing w:val="-3"/>
        </w:rPr>
        <w:t xml:space="preserve"> </w:t>
      </w:r>
      <w:r>
        <w:rPr>
          <w:color w:val="231F20"/>
        </w:rPr>
        <w:t>cycle</w:t>
      </w:r>
      <w:r>
        <w:rPr>
          <w:color w:val="231F20"/>
          <w:spacing w:val="-3"/>
        </w:rPr>
        <w:t xml:space="preserve"> </w:t>
      </w:r>
      <w:r>
        <w:rPr>
          <w:color w:val="231F20"/>
        </w:rPr>
        <w:t>include</w:t>
      </w:r>
      <w:r>
        <w:rPr>
          <w:color w:val="231F20"/>
          <w:spacing w:val="-3"/>
        </w:rPr>
        <w:t xml:space="preserve"> </w:t>
      </w:r>
      <w:r>
        <w:rPr>
          <w:color w:val="231F20"/>
        </w:rPr>
        <w:t>the</w:t>
      </w:r>
      <w:r>
        <w:rPr>
          <w:color w:val="231F20"/>
          <w:spacing w:val="-3"/>
        </w:rPr>
        <w:t xml:space="preserve"> </w:t>
      </w:r>
      <w:r>
        <w:rPr>
          <w:color w:val="231F20"/>
        </w:rPr>
        <w:t>sophistication</w:t>
      </w:r>
      <w:r>
        <w:rPr>
          <w:color w:val="231F20"/>
          <w:spacing w:val="-3"/>
        </w:rPr>
        <w:t xml:space="preserve"> </w:t>
      </w:r>
      <w:r>
        <w:rPr>
          <w:color w:val="231F20"/>
        </w:rPr>
        <w:t>of</w:t>
      </w:r>
      <w:r>
        <w:rPr>
          <w:color w:val="231F20"/>
          <w:spacing w:val="-3"/>
        </w:rPr>
        <w:t xml:space="preserve"> </w:t>
      </w:r>
      <w:r>
        <w:rPr>
          <w:color w:val="231F20"/>
        </w:rPr>
        <w:t>rule structures,</w:t>
      </w:r>
      <w:r>
        <w:rPr>
          <w:color w:val="231F20"/>
          <w:spacing w:val="-1"/>
        </w:rPr>
        <w:t xml:space="preserve"> </w:t>
      </w:r>
      <w:r>
        <w:rPr>
          <w:color w:val="231F20"/>
        </w:rPr>
        <w:t>the</w:t>
      </w:r>
      <w:r>
        <w:rPr>
          <w:color w:val="231F20"/>
          <w:spacing w:val="-1"/>
        </w:rPr>
        <w:t xml:space="preserve"> </w:t>
      </w:r>
      <w:r>
        <w:rPr>
          <w:color w:val="231F20"/>
        </w:rPr>
        <w:t>level</w:t>
      </w:r>
      <w:r>
        <w:rPr>
          <w:color w:val="231F20"/>
          <w:spacing w:val="-1"/>
        </w:rPr>
        <w:t xml:space="preserve"> </w:t>
      </w:r>
      <w:r>
        <w:rPr>
          <w:color w:val="231F20"/>
        </w:rPr>
        <w:t>of</w:t>
      </w:r>
      <w:r>
        <w:rPr>
          <w:color w:val="231F20"/>
          <w:spacing w:val="-1"/>
        </w:rPr>
        <w:t xml:space="preserve"> </w:t>
      </w:r>
      <w:r>
        <w:rPr>
          <w:color w:val="231F20"/>
        </w:rPr>
        <w:t>skill</w:t>
      </w:r>
      <w:r>
        <w:rPr>
          <w:color w:val="231F20"/>
          <w:spacing w:val="-1"/>
        </w:rPr>
        <w:t xml:space="preserve"> </w:t>
      </w:r>
      <w:r>
        <w:rPr>
          <w:color w:val="231F20"/>
        </w:rPr>
        <w:t>development</w:t>
      </w:r>
      <w:r>
        <w:rPr>
          <w:color w:val="231F20"/>
          <w:spacing w:val="-1"/>
        </w:rPr>
        <w:t xml:space="preserve"> </w:t>
      </w:r>
      <w:r>
        <w:rPr>
          <w:color w:val="231F20"/>
        </w:rPr>
        <w:t>and</w:t>
      </w:r>
      <w:r>
        <w:rPr>
          <w:color w:val="231F20"/>
          <w:spacing w:val="-1"/>
        </w:rPr>
        <w:t xml:space="preserve"> </w:t>
      </w:r>
      <w:r>
        <w:rPr>
          <w:color w:val="231F20"/>
        </w:rPr>
        <w:t>physical</w:t>
      </w:r>
      <w:r>
        <w:rPr>
          <w:color w:val="231F20"/>
          <w:spacing w:val="-1"/>
        </w:rPr>
        <w:t xml:space="preserve"> </w:t>
      </w:r>
      <w:r>
        <w:rPr>
          <w:color w:val="231F20"/>
        </w:rPr>
        <w:t>performance</w:t>
      </w:r>
      <w:r>
        <w:rPr>
          <w:color w:val="231F20"/>
          <w:spacing w:val="-1"/>
        </w:rPr>
        <w:t xml:space="preserve"> </w:t>
      </w:r>
      <w:r>
        <w:rPr>
          <w:color w:val="231F20"/>
        </w:rPr>
        <w:t>and, increasingly, the extent of commodification and professionalisation.</w:t>
      </w:r>
    </w:p>
    <w:p w14:paraId="07CDF9E9" w14:textId="77777777" w:rsidR="00AE0598" w:rsidRDefault="0069255A">
      <w:pPr>
        <w:pStyle w:val="Corpodetexto"/>
        <w:spacing w:before="7" w:line="232" w:lineRule="auto"/>
        <w:ind w:left="110" w:right="126" w:firstLine="320"/>
        <w:jc w:val="both"/>
      </w:pPr>
      <w:r>
        <w:rPr>
          <w:color w:val="231F20"/>
        </w:rPr>
        <w:t>The</w:t>
      </w:r>
      <w:r>
        <w:rPr>
          <w:color w:val="231F20"/>
          <w:spacing w:val="-10"/>
        </w:rPr>
        <w:t xml:space="preserve"> </w:t>
      </w:r>
      <w:r>
        <w:rPr>
          <w:color w:val="231F20"/>
        </w:rPr>
        <w:t>dynamics</w:t>
      </w:r>
      <w:r>
        <w:rPr>
          <w:color w:val="231F20"/>
          <w:spacing w:val="-10"/>
        </w:rPr>
        <w:t xml:space="preserve"> </w:t>
      </w:r>
      <w:r>
        <w:rPr>
          <w:color w:val="231F20"/>
        </w:rPr>
        <w:t>of</w:t>
      </w:r>
      <w:r>
        <w:rPr>
          <w:color w:val="231F20"/>
          <w:spacing w:val="-10"/>
        </w:rPr>
        <w:t xml:space="preserve"> </w:t>
      </w:r>
      <w:r>
        <w:rPr>
          <w:color w:val="231F20"/>
        </w:rPr>
        <w:t>sport</w:t>
      </w:r>
      <w:r>
        <w:rPr>
          <w:color w:val="231F20"/>
          <w:spacing w:val="-10"/>
        </w:rPr>
        <w:t xml:space="preserve"> </w:t>
      </w:r>
      <w:r>
        <w:rPr>
          <w:color w:val="231F20"/>
        </w:rPr>
        <w:t>have</w:t>
      </w:r>
      <w:r>
        <w:rPr>
          <w:color w:val="231F20"/>
          <w:spacing w:val="-10"/>
        </w:rPr>
        <w:t xml:space="preserve"> </w:t>
      </w:r>
      <w:r>
        <w:rPr>
          <w:color w:val="231F20"/>
        </w:rPr>
        <w:t>been</w:t>
      </w:r>
      <w:r>
        <w:rPr>
          <w:color w:val="231F20"/>
          <w:spacing w:val="-10"/>
        </w:rPr>
        <w:t xml:space="preserve"> </w:t>
      </w:r>
      <w:r>
        <w:rPr>
          <w:color w:val="231F20"/>
        </w:rPr>
        <w:t>clearly</w:t>
      </w:r>
      <w:r>
        <w:rPr>
          <w:color w:val="231F20"/>
          <w:spacing w:val="-10"/>
        </w:rPr>
        <w:t xml:space="preserve"> </w:t>
      </w:r>
      <w:r>
        <w:rPr>
          <w:color w:val="231F20"/>
        </w:rPr>
        <w:t>illustrated</w:t>
      </w:r>
      <w:r>
        <w:rPr>
          <w:color w:val="231F20"/>
          <w:spacing w:val="-10"/>
        </w:rPr>
        <w:t xml:space="preserve"> </w:t>
      </w:r>
      <w:r>
        <w:rPr>
          <w:color w:val="231F20"/>
        </w:rPr>
        <w:t>in</w:t>
      </w:r>
      <w:r>
        <w:rPr>
          <w:color w:val="231F20"/>
          <w:spacing w:val="-10"/>
        </w:rPr>
        <w:t xml:space="preserve"> </w:t>
      </w:r>
      <w:r>
        <w:rPr>
          <w:color w:val="231F20"/>
        </w:rPr>
        <w:t>recent</w:t>
      </w:r>
      <w:r>
        <w:rPr>
          <w:color w:val="231F20"/>
          <w:spacing w:val="-10"/>
        </w:rPr>
        <w:t xml:space="preserve"> </w:t>
      </w:r>
      <w:r>
        <w:rPr>
          <w:color w:val="231F20"/>
        </w:rPr>
        <w:t>years</w:t>
      </w:r>
      <w:r>
        <w:rPr>
          <w:color w:val="231F20"/>
          <w:spacing w:val="-10"/>
        </w:rPr>
        <w:t xml:space="preserve"> </w:t>
      </w:r>
      <w:r>
        <w:rPr>
          <w:color w:val="231F20"/>
        </w:rPr>
        <w:t xml:space="preserve">by </w:t>
      </w:r>
      <w:r>
        <w:rPr>
          <w:color w:val="231F20"/>
          <w:w w:val="95"/>
        </w:rPr>
        <w:t>the slower growth of</w:t>
      </w:r>
      <w:r>
        <w:rPr>
          <w:color w:val="231F20"/>
          <w:w w:val="95"/>
        </w:rPr>
        <w:t xml:space="preserve"> many highly structured competitive team sports and </w:t>
      </w:r>
      <w:r>
        <w:rPr>
          <w:color w:val="231F20"/>
        </w:rPr>
        <w:t xml:space="preserve">the ascent of individualised and extreme sports (Breivik, 2010; Gilchrist &amp; Wheaton, 2016; Klostermann &amp; Nagel, 2014; Wheaton, 2004). This </w:t>
      </w:r>
      <w:r>
        <w:rPr>
          <w:color w:val="231F20"/>
          <w:w w:val="95"/>
        </w:rPr>
        <w:t xml:space="preserve">evolution began in earnest at the beginning of this millennium with Keller </w:t>
      </w:r>
      <w:r>
        <w:rPr>
          <w:color w:val="231F20"/>
        </w:rPr>
        <w:t>(2001) pointing out that at that time:</w:t>
      </w:r>
    </w:p>
    <w:p w14:paraId="03F91380" w14:textId="77777777" w:rsidR="00AE0598" w:rsidRDefault="00AE0598">
      <w:pPr>
        <w:pStyle w:val="Corpodetexto"/>
        <w:spacing w:before="4"/>
      </w:pPr>
    </w:p>
    <w:p w14:paraId="056DBD4A" w14:textId="77777777" w:rsidR="00AE0598" w:rsidRDefault="0069255A">
      <w:pPr>
        <w:spacing w:line="244" w:lineRule="auto"/>
        <w:ind w:left="430" w:right="127"/>
        <w:jc w:val="both"/>
        <w:rPr>
          <w:sz w:val="20"/>
        </w:rPr>
      </w:pPr>
      <w:r>
        <w:rPr>
          <w:color w:val="231F20"/>
          <w:sz w:val="20"/>
        </w:rPr>
        <w:t>The</w:t>
      </w:r>
      <w:r>
        <w:rPr>
          <w:color w:val="231F20"/>
          <w:spacing w:val="-8"/>
          <w:sz w:val="20"/>
        </w:rPr>
        <w:t xml:space="preserve"> </w:t>
      </w:r>
      <w:r>
        <w:rPr>
          <w:color w:val="231F20"/>
          <w:sz w:val="20"/>
        </w:rPr>
        <w:t>membership</w:t>
      </w:r>
      <w:r>
        <w:rPr>
          <w:color w:val="231F20"/>
          <w:spacing w:val="-8"/>
          <w:sz w:val="20"/>
        </w:rPr>
        <w:t xml:space="preserve"> </w:t>
      </w:r>
      <w:r>
        <w:rPr>
          <w:color w:val="231F20"/>
          <w:sz w:val="20"/>
        </w:rPr>
        <w:t>for</w:t>
      </w:r>
      <w:r>
        <w:rPr>
          <w:color w:val="231F20"/>
          <w:spacing w:val="-8"/>
          <w:sz w:val="20"/>
        </w:rPr>
        <w:t xml:space="preserve"> </w:t>
      </w:r>
      <w:r>
        <w:rPr>
          <w:color w:val="231F20"/>
          <w:sz w:val="20"/>
        </w:rPr>
        <w:t>organized</w:t>
      </w:r>
      <w:r>
        <w:rPr>
          <w:color w:val="231F20"/>
          <w:spacing w:val="-8"/>
          <w:sz w:val="20"/>
        </w:rPr>
        <w:t xml:space="preserve"> </w:t>
      </w:r>
      <w:r>
        <w:rPr>
          <w:color w:val="231F20"/>
          <w:sz w:val="20"/>
        </w:rPr>
        <w:t>types</w:t>
      </w:r>
      <w:r>
        <w:rPr>
          <w:color w:val="231F20"/>
          <w:spacing w:val="-8"/>
          <w:sz w:val="20"/>
        </w:rPr>
        <w:t xml:space="preserve"> </w:t>
      </w:r>
      <w:r>
        <w:rPr>
          <w:color w:val="231F20"/>
          <w:sz w:val="20"/>
        </w:rPr>
        <w:t>of sport</w:t>
      </w:r>
      <w:r>
        <w:rPr>
          <w:color w:val="231F20"/>
          <w:spacing w:val="-8"/>
          <w:sz w:val="20"/>
        </w:rPr>
        <w:t xml:space="preserve"> </w:t>
      </w:r>
      <w:r>
        <w:rPr>
          <w:color w:val="231F20"/>
          <w:sz w:val="20"/>
        </w:rPr>
        <w:t>is</w:t>
      </w:r>
      <w:r>
        <w:rPr>
          <w:color w:val="231F20"/>
          <w:spacing w:val="-8"/>
          <w:sz w:val="20"/>
        </w:rPr>
        <w:t xml:space="preserve"> </w:t>
      </w:r>
      <w:r>
        <w:rPr>
          <w:color w:val="231F20"/>
          <w:sz w:val="20"/>
        </w:rPr>
        <w:t>on</w:t>
      </w:r>
      <w:r>
        <w:rPr>
          <w:color w:val="231F20"/>
          <w:spacing w:val="-8"/>
          <w:sz w:val="20"/>
        </w:rPr>
        <w:t xml:space="preserve"> </w:t>
      </w:r>
      <w:r>
        <w:rPr>
          <w:color w:val="231F20"/>
          <w:sz w:val="20"/>
        </w:rPr>
        <w:t>the</w:t>
      </w:r>
      <w:r>
        <w:rPr>
          <w:color w:val="231F20"/>
          <w:spacing w:val="-8"/>
          <w:sz w:val="20"/>
        </w:rPr>
        <w:t xml:space="preserve"> </w:t>
      </w:r>
      <w:r>
        <w:rPr>
          <w:color w:val="231F20"/>
          <w:sz w:val="20"/>
        </w:rPr>
        <w:t>decline,</w:t>
      </w:r>
      <w:r>
        <w:rPr>
          <w:color w:val="231F20"/>
          <w:spacing w:val="-8"/>
          <w:sz w:val="20"/>
        </w:rPr>
        <w:t xml:space="preserve"> </w:t>
      </w:r>
      <w:r>
        <w:rPr>
          <w:color w:val="231F20"/>
          <w:sz w:val="20"/>
        </w:rPr>
        <w:t>as</w:t>
      </w:r>
      <w:r>
        <w:rPr>
          <w:color w:val="231F20"/>
          <w:spacing w:val="-8"/>
          <w:sz w:val="20"/>
        </w:rPr>
        <w:t xml:space="preserve"> </w:t>
      </w:r>
      <w:r>
        <w:rPr>
          <w:color w:val="231F20"/>
          <w:sz w:val="20"/>
        </w:rPr>
        <w:t>are</w:t>
      </w:r>
      <w:r>
        <w:rPr>
          <w:color w:val="231F20"/>
          <w:spacing w:val="-8"/>
          <w:sz w:val="20"/>
        </w:rPr>
        <w:t xml:space="preserve"> </w:t>
      </w:r>
      <w:r>
        <w:rPr>
          <w:color w:val="231F20"/>
          <w:sz w:val="20"/>
        </w:rPr>
        <w:t xml:space="preserve">the </w:t>
      </w:r>
      <w:r>
        <w:rPr>
          <w:color w:val="231F20"/>
          <w:w w:val="95"/>
          <w:sz w:val="20"/>
        </w:rPr>
        <w:t xml:space="preserve">proving grounds from which top-level sports traditionally draw new </w:t>
      </w:r>
      <w:r>
        <w:rPr>
          <w:color w:val="231F20"/>
          <w:w w:val="95"/>
          <w:sz w:val="20"/>
        </w:rPr>
        <w:t>blood. The new generation is a sliding, gliding and rolling generation. Their sports are freestyle events like inline skating, street basketball and snowboarding, which</w:t>
      </w:r>
      <w:r>
        <w:rPr>
          <w:color w:val="231F20"/>
          <w:spacing w:val="-7"/>
          <w:w w:val="95"/>
          <w:sz w:val="20"/>
        </w:rPr>
        <w:t xml:space="preserve"> </w:t>
      </w:r>
      <w:r>
        <w:rPr>
          <w:color w:val="231F20"/>
          <w:w w:val="95"/>
          <w:sz w:val="20"/>
        </w:rPr>
        <w:t>in</w:t>
      </w:r>
      <w:r>
        <w:rPr>
          <w:color w:val="231F20"/>
          <w:spacing w:val="-7"/>
          <w:w w:val="95"/>
          <w:sz w:val="20"/>
        </w:rPr>
        <w:t xml:space="preserve"> </w:t>
      </w:r>
      <w:r>
        <w:rPr>
          <w:color w:val="231F20"/>
          <w:w w:val="95"/>
          <w:sz w:val="20"/>
        </w:rPr>
        <w:t>many</w:t>
      </w:r>
      <w:r>
        <w:rPr>
          <w:color w:val="231F20"/>
          <w:spacing w:val="-7"/>
          <w:w w:val="95"/>
          <w:sz w:val="20"/>
        </w:rPr>
        <w:t xml:space="preserve"> </w:t>
      </w:r>
      <w:r>
        <w:rPr>
          <w:color w:val="231F20"/>
          <w:w w:val="95"/>
          <w:sz w:val="20"/>
        </w:rPr>
        <w:t>cases</w:t>
      </w:r>
      <w:r>
        <w:rPr>
          <w:color w:val="231F20"/>
          <w:spacing w:val="-7"/>
          <w:w w:val="95"/>
          <w:sz w:val="20"/>
        </w:rPr>
        <w:t xml:space="preserve"> </w:t>
      </w:r>
      <w:r>
        <w:rPr>
          <w:color w:val="231F20"/>
          <w:w w:val="95"/>
          <w:sz w:val="20"/>
        </w:rPr>
        <w:t>are</w:t>
      </w:r>
      <w:r>
        <w:rPr>
          <w:color w:val="231F20"/>
          <w:spacing w:val="-7"/>
          <w:w w:val="95"/>
          <w:sz w:val="20"/>
        </w:rPr>
        <w:t xml:space="preserve"> </w:t>
      </w:r>
      <w:r>
        <w:rPr>
          <w:color w:val="231F20"/>
          <w:w w:val="95"/>
          <w:sz w:val="20"/>
        </w:rPr>
        <w:t>associated</w:t>
      </w:r>
      <w:r>
        <w:rPr>
          <w:color w:val="231F20"/>
          <w:spacing w:val="-7"/>
          <w:w w:val="95"/>
          <w:sz w:val="20"/>
        </w:rPr>
        <w:t xml:space="preserve"> </w:t>
      </w:r>
      <w:r>
        <w:rPr>
          <w:color w:val="231F20"/>
          <w:w w:val="95"/>
          <w:sz w:val="20"/>
        </w:rPr>
        <w:t>with</w:t>
      </w:r>
      <w:r>
        <w:rPr>
          <w:color w:val="231F20"/>
          <w:spacing w:val="-7"/>
          <w:w w:val="95"/>
          <w:sz w:val="20"/>
        </w:rPr>
        <w:t xml:space="preserve"> </w:t>
      </w:r>
      <w:r>
        <w:rPr>
          <w:color w:val="231F20"/>
          <w:w w:val="95"/>
          <w:sz w:val="20"/>
        </w:rPr>
        <w:t>a</w:t>
      </w:r>
      <w:r>
        <w:rPr>
          <w:color w:val="231F20"/>
          <w:spacing w:val="-7"/>
          <w:w w:val="95"/>
          <w:sz w:val="20"/>
        </w:rPr>
        <w:t xml:space="preserve"> </w:t>
      </w:r>
      <w:r>
        <w:rPr>
          <w:color w:val="231F20"/>
          <w:w w:val="95"/>
          <w:sz w:val="20"/>
        </w:rPr>
        <w:t>youthful</w:t>
      </w:r>
      <w:r>
        <w:rPr>
          <w:color w:val="231F20"/>
          <w:spacing w:val="-7"/>
          <w:w w:val="95"/>
          <w:sz w:val="20"/>
        </w:rPr>
        <w:t xml:space="preserve"> </w:t>
      </w:r>
      <w:r>
        <w:rPr>
          <w:color w:val="231F20"/>
          <w:w w:val="95"/>
          <w:sz w:val="20"/>
        </w:rPr>
        <w:t>subculture.</w:t>
      </w:r>
      <w:r>
        <w:rPr>
          <w:color w:val="231F20"/>
          <w:spacing w:val="-7"/>
          <w:w w:val="95"/>
          <w:sz w:val="20"/>
        </w:rPr>
        <w:t xml:space="preserve"> </w:t>
      </w:r>
      <w:r>
        <w:rPr>
          <w:color w:val="231F20"/>
          <w:w w:val="95"/>
          <w:sz w:val="20"/>
        </w:rPr>
        <w:t xml:space="preserve">Performance </w:t>
      </w:r>
      <w:r>
        <w:rPr>
          <w:color w:val="231F20"/>
          <w:sz w:val="20"/>
        </w:rPr>
        <w:t>and</w:t>
      </w:r>
      <w:r>
        <w:rPr>
          <w:color w:val="231F20"/>
          <w:spacing w:val="-11"/>
          <w:sz w:val="20"/>
        </w:rPr>
        <w:t xml:space="preserve"> </w:t>
      </w:r>
      <w:r>
        <w:rPr>
          <w:color w:val="231F20"/>
          <w:sz w:val="20"/>
        </w:rPr>
        <w:t>rankings</w:t>
      </w:r>
      <w:r>
        <w:rPr>
          <w:color w:val="231F20"/>
          <w:spacing w:val="-11"/>
          <w:sz w:val="20"/>
        </w:rPr>
        <w:t xml:space="preserve"> </w:t>
      </w:r>
      <w:r>
        <w:rPr>
          <w:color w:val="231F20"/>
          <w:sz w:val="20"/>
        </w:rPr>
        <w:t>no</w:t>
      </w:r>
      <w:r>
        <w:rPr>
          <w:color w:val="231F20"/>
          <w:spacing w:val="-11"/>
          <w:sz w:val="20"/>
        </w:rPr>
        <w:t xml:space="preserve"> </w:t>
      </w:r>
      <w:r>
        <w:rPr>
          <w:color w:val="231F20"/>
          <w:sz w:val="20"/>
        </w:rPr>
        <w:t>lo</w:t>
      </w:r>
      <w:r>
        <w:rPr>
          <w:color w:val="231F20"/>
          <w:sz w:val="20"/>
        </w:rPr>
        <w:t>nger</w:t>
      </w:r>
      <w:r>
        <w:rPr>
          <w:color w:val="231F20"/>
          <w:spacing w:val="-11"/>
          <w:sz w:val="20"/>
        </w:rPr>
        <w:t xml:space="preserve"> </w:t>
      </w:r>
      <w:r>
        <w:rPr>
          <w:color w:val="231F20"/>
          <w:sz w:val="20"/>
        </w:rPr>
        <w:t>play</w:t>
      </w:r>
      <w:r>
        <w:rPr>
          <w:color w:val="231F20"/>
          <w:spacing w:val="-11"/>
          <w:sz w:val="20"/>
        </w:rPr>
        <w:t xml:space="preserve"> </w:t>
      </w:r>
      <w:r>
        <w:rPr>
          <w:color w:val="231F20"/>
          <w:sz w:val="20"/>
        </w:rPr>
        <w:t>any</w:t>
      </w:r>
      <w:r>
        <w:rPr>
          <w:color w:val="231F20"/>
          <w:spacing w:val="-11"/>
          <w:sz w:val="20"/>
        </w:rPr>
        <w:t xml:space="preserve"> </w:t>
      </w:r>
      <w:r>
        <w:rPr>
          <w:color w:val="231F20"/>
          <w:sz w:val="20"/>
        </w:rPr>
        <w:t>role.</w:t>
      </w:r>
      <w:r>
        <w:rPr>
          <w:color w:val="231F20"/>
          <w:spacing w:val="-11"/>
          <w:sz w:val="20"/>
        </w:rPr>
        <w:t xml:space="preserve"> </w:t>
      </w:r>
      <w:r>
        <w:rPr>
          <w:color w:val="231F20"/>
          <w:sz w:val="20"/>
        </w:rPr>
        <w:t>What</w:t>
      </w:r>
      <w:r>
        <w:rPr>
          <w:color w:val="231F20"/>
          <w:spacing w:val="-11"/>
          <w:sz w:val="20"/>
        </w:rPr>
        <w:t xml:space="preserve"> </w:t>
      </w:r>
      <w:r>
        <w:rPr>
          <w:color w:val="231F20"/>
          <w:sz w:val="20"/>
        </w:rPr>
        <w:t>counts</w:t>
      </w:r>
      <w:r>
        <w:rPr>
          <w:color w:val="231F20"/>
          <w:spacing w:val="-11"/>
          <w:sz w:val="20"/>
        </w:rPr>
        <w:t xml:space="preserve"> </w:t>
      </w:r>
      <w:r>
        <w:rPr>
          <w:color w:val="231F20"/>
          <w:sz w:val="20"/>
        </w:rPr>
        <w:t>are</w:t>
      </w:r>
      <w:r>
        <w:rPr>
          <w:color w:val="231F20"/>
          <w:spacing w:val="-11"/>
          <w:sz w:val="20"/>
        </w:rPr>
        <w:t xml:space="preserve"> </w:t>
      </w:r>
      <w:r>
        <w:rPr>
          <w:color w:val="231F20"/>
          <w:sz w:val="20"/>
        </w:rPr>
        <w:t>the</w:t>
      </w:r>
      <w:r>
        <w:rPr>
          <w:color w:val="231F20"/>
          <w:spacing w:val="-11"/>
          <w:sz w:val="20"/>
        </w:rPr>
        <w:t xml:space="preserve"> </w:t>
      </w:r>
      <w:r>
        <w:rPr>
          <w:color w:val="231F20"/>
          <w:sz w:val="20"/>
        </w:rPr>
        <w:t>aesthetic,</w:t>
      </w:r>
      <w:r>
        <w:rPr>
          <w:color w:val="231F20"/>
          <w:spacing w:val="-11"/>
          <w:sz w:val="20"/>
        </w:rPr>
        <w:t xml:space="preserve"> </w:t>
      </w:r>
      <w:r>
        <w:rPr>
          <w:color w:val="231F20"/>
          <w:sz w:val="20"/>
        </w:rPr>
        <w:t>‘feel- good’,</w:t>
      </w:r>
      <w:r>
        <w:rPr>
          <w:color w:val="231F20"/>
          <w:spacing w:val="-9"/>
          <w:sz w:val="20"/>
        </w:rPr>
        <w:t xml:space="preserve"> </w:t>
      </w:r>
      <w:r>
        <w:rPr>
          <w:color w:val="231F20"/>
          <w:sz w:val="20"/>
        </w:rPr>
        <w:t>atmospheric</w:t>
      </w:r>
      <w:r>
        <w:rPr>
          <w:color w:val="231F20"/>
          <w:spacing w:val="-9"/>
          <w:sz w:val="20"/>
        </w:rPr>
        <w:t xml:space="preserve"> </w:t>
      </w:r>
      <w:r>
        <w:rPr>
          <w:color w:val="231F20"/>
          <w:sz w:val="20"/>
        </w:rPr>
        <w:t>effects.</w:t>
      </w:r>
      <w:r>
        <w:rPr>
          <w:color w:val="231F20"/>
          <w:spacing w:val="-9"/>
          <w:sz w:val="20"/>
        </w:rPr>
        <w:t xml:space="preserve"> </w:t>
      </w:r>
      <w:r>
        <w:rPr>
          <w:color w:val="231F20"/>
          <w:sz w:val="20"/>
        </w:rPr>
        <w:t>(Keller,</w:t>
      </w:r>
      <w:r>
        <w:rPr>
          <w:color w:val="231F20"/>
          <w:spacing w:val="-9"/>
          <w:sz w:val="20"/>
        </w:rPr>
        <w:t xml:space="preserve"> </w:t>
      </w:r>
      <w:r>
        <w:rPr>
          <w:color w:val="231F20"/>
          <w:sz w:val="20"/>
        </w:rPr>
        <w:t>2001:</w:t>
      </w:r>
      <w:r>
        <w:rPr>
          <w:color w:val="231F20"/>
          <w:spacing w:val="-9"/>
          <w:sz w:val="20"/>
        </w:rPr>
        <w:t xml:space="preserve"> </w:t>
      </w:r>
      <w:r>
        <w:rPr>
          <w:color w:val="231F20"/>
          <w:sz w:val="20"/>
        </w:rPr>
        <w:t>13,</w:t>
      </w:r>
      <w:r>
        <w:rPr>
          <w:color w:val="231F20"/>
          <w:spacing w:val="-9"/>
          <w:sz w:val="20"/>
        </w:rPr>
        <w:t xml:space="preserve"> </w:t>
      </w:r>
      <w:r>
        <w:rPr>
          <w:color w:val="231F20"/>
          <w:sz w:val="20"/>
        </w:rPr>
        <w:t>14)</w:t>
      </w:r>
    </w:p>
    <w:p w14:paraId="5E0384AA" w14:textId="77777777" w:rsidR="00AE0598" w:rsidRDefault="00AE0598">
      <w:pPr>
        <w:pStyle w:val="Corpodetexto"/>
        <w:spacing w:before="8"/>
        <w:rPr>
          <w:sz w:val="20"/>
        </w:rPr>
      </w:pPr>
    </w:p>
    <w:p w14:paraId="48056438" w14:textId="77777777" w:rsidR="00AE0598" w:rsidRDefault="0069255A">
      <w:pPr>
        <w:pStyle w:val="Corpodetexto"/>
        <w:spacing w:line="232" w:lineRule="auto"/>
        <w:ind w:left="110" w:right="128"/>
        <w:jc w:val="both"/>
      </w:pPr>
      <w:r>
        <w:rPr>
          <w:color w:val="231F20"/>
          <w:spacing w:val="-2"/>
          <w:w w:val="90"/>
        </w:rPr>
        <w:t>Breivik (2010) characterises these emerging sports in terms of</w:t>
      </w:r>
      <w:r>
        <w:rPr>
          <w:color w:val="231F20"/>
          <w:spacing w:val="25"/>
        </w:rPr>
        <w:t xml:space="preserve"> </w:t>
      </w:r>
      <w:r>
        <w:rPr>
          <w:color w:val="231F20"/>
          <w:spacing w:val="-2"/>
          <w:w w:val="90"/>
        </w:rPr>
        <w:t>risk, participation</w:t>
      </w:r>
      <w:r>
        <w:rPr>
          <w:color w:val="231F20"/>
          <w:spacing w:val="-2"/>
        </w:rPr>
        <w:t xml:space="preserve"> sites</w:t>
      </w:r>
      <w:r>
        <w:rPr>
          <w:color w:val="231F20"/>
          <w:spacing w:val="-6"/>
        </w:rPr>
        <w:t xml:space="preserve"> </w:t>
      </w:r>
      <w:r>
        <w:rPr>
          <w:color w:val="231F20"/>
          <w:spacing w:val="-2"/>
        </w:rPr>
        <w:t>inclusive</w:t>
      </w:r>
      <w:r>
        <w:rPr>
          <w:color w:val="231F20"/>
          <w:spacing w:val="-6"/>
        </w:rPr>
        <w:t xml:space="preserve"> </w:t>
      </w:r>
      <w:r>
        <w:rPr>
          <w:color w:val="231F20"/>
          <w:spacing w:val="-2"/>
        </w:rPr>
        <w:t>of demanding</w:t>
      </w:r>
      <w:r>
        <w:rPr>
          <w:color w:val="231F20"/>
          <w:spacing w:val="-6"/>
        </w:rPr>
        <w:t xml:space="preserve"> </w:t>
      </w:r>
      <w:r>
        <w:rPr>
          <w:color w:val="231F20"/>
          <w:spacing w:val="-2"/>
        </w:rPr>
        <w:t>natural</w:t>
      </w:r>
      <w:r>
        <w:rPr>
          <w:color w:val="231F20"/>
          <w:spacing w:val="-6"/>
        </w:rPr>
        <w:t xml:space="preserve"> </w:t>
      </w:r>
      <w:r>
        <w:rPr>
          <w:color w:val="231F20"/>
          <w:spacing w:val="-2"/>
        </w:rPr>
        <w:t>and</w:t>
      </w:r>
      <w:r>
        <w:rPr>
          <w:color w:val="231F20"/>
          <w:spacing w:val="-6"/>
        </w:rPr>
        <w:t xml:space="preserve"> </w:t>
      </w:r>
      <w:r>
        <w:rPr>
          <w:color w:val="231F20"/>
          <w:spacing w:val="-2"/>
        </w:rPr>
        <w:t>constructed</w:t>
      </w:r>
      <w:r>
        <w:rPr>
          <w:color w:val="231F20"/>
          <w:spacing w:val="-6"/>
        </w:rPr>
        <w:t xml:space="preserve"> </w:t>
      </w:r>
      <w:r>
        <w:rPr>
          <w:color w:val="231F20"/>
          <w:spacing w:val="-2"/>
        </w:rPr>
        <w:t>environments,</w:t>
      </w:r>
      <w:r>
        <w:rPr>
          <w:color w:val="231F20"/>
          <w:spacing w:val="-6"/>
        </w:rPr>
        <w:t xml:space="preserve"> </w:t>
      </w:r>
      <w:r>
        <w:rPr>
          <w:color w:val="231F20"/>
          <w:spacing w:val="-2"/>
        </w:rPr>
        <w:t xml:space="preserve">loose </w:t>
      </w:r>
      <w:r>
        <w:rPr>
          <w:color w:val="231F20"/>
        </w:rPr>
        <w:t xml:space="preserve">organisation, distance from the dominant sport culture and individual </w:t>
      </w:r>
      <w:r>
        <w:rPr>
          <w:color w:val="231F20"/>
          <w:spacing w:val="-2"/>
        </w:rPr>
        <w:t>participation</w:t>
      </w:r>
      <w:r>
        <w:rPr>
          <w:color w:val="231F20"/>
          <w:spacing w:val="-7"/>
        </w:rPr>
        <w:t xml:space="preserve"> </w:t>
      </w:r>
      <w:r>
        <w:rPr>
          <w:color w:val="231F20"/>
          <w:spacing w:val="-2"/>
        </w:rPr>
        <w:t>within</w:t>
      </w:r>
      <w:r>
        <w:rPr>
          <w:color w:val="231F20"/>
          <w:spacing w:val="-7"/>
        </w:rPr>
        <w:t xml:space="preserve"> </w:t>
      </w:r>
      <w:r>
        <w:rPr>
          <w:color w:val="231F20"/>
          <w:spacing w:val="-2"/>
        </w:rPr>
        <w:t>developing</w:t>
      </w:r>
      <w:r>
        <w:rPr>
          <w:color w:val="231F20"/>
          <w:spacing w:val="-7"/>
        </w:rPr>
        <w:t xml:space="preserve"> </w:t>
      </w:r>
      <w:r>
        <w:rPr>
          <w:color w:val="231F20"/>
          <w:spacing w:val="-2"/>
        </w:rPr>
        <w:t>subcultures.</w:t>
      </w:r>
      <w:r>
        <w:rPr>
          <w:color w:val="231F20"/>
          <w:spacing w:val="-7"/>
        </w:rPr>
        <w:t xml:space="preserve"> </w:t>
      </w:r>
      <w:r>
        <w:rPr>
          <w:color w:val="231F20"/>
          <w:spacing w:val="-2"/>
        </w:rPr>
        <w:t>Such</w:t>
      </w:r>
      <w:r>
        <w:rPr>
          <w:color w:val="231F20"/>
          <w:spacing w:val="-7"/>
        </w:rPr>
        <w:t xml:space="preserve"> </w:t>
      </w:r>
      <w:r>
        <w:rPr>
          <w:color w:val="231F20"/>
          <w:spacing w:val="-2"/>
        </w:rPr>
        <w:t>sport</w:t>
      </w:r>
      <w:r>
        <w:rPr>
          <w:color w:val="231F20"/>
          <w:spacing w:val="-7"/>
        </w:rPr>
        <w:t xml:space="preserve"> </w:t>
      </w:r>
      <w:r>
        <w:rPr>
          <w:color w:val="231F20"/>
          <w:spacing w:val="-2"/>
        </w:rPr>
        <w:t>is</w:t>
      </w:r>
      <w:r>
        <w:rPr>
          <w:color w:val="231F20"/>
          <w:spacing w:val="-7"/>
        </w:rPr>
        <w:t xml:space="preserve"> </w:t>
      </w:r>
      <w:r>
        <w:rPr>
          <w:color w:val="231F20"/>
          <w:spacing w:val="-2"/>
        </w:rPr>
        <w:t>also</w:t>
      </w:r>
      <w:r>
        <w:rPr>
          <w:color w:val="231F20"/>
          <w:spacing w:val="-7"/>
        </w:rPr>
        <w:t xml:space="preserve"> </w:t>
      </w:r>
      <w:r>
        <w:rPr>
          <w:color w:val="231F20"/>
          <w:spacing w:val="-2"/>
        </w:rPr>
        <w:t>manifest</w:t>
      </w:r>
      <w:r>
        <w:rPr>
          <w:color w:val="231F20"/>
          <w:spacing w:val="-7"/>
        </w:rPr>
        <w:t xml:space="preserve"> </w:t>
      </w:r>
      <w:r>
        <w:rPr>
          <w:color w:val="231F20"/>
          <w:spacing w:val="-2"/>
        </w:rPr>
        <w:t xml:space="preserve">in </w:t>
      </w:r>
      <w:r>
        <w:rPr>
          <w:color w:val="231F20"/>
          <w:spacing w:val="-2"/>
          <w:w w:val="95"/>
        </w:rPr>
        <w:t>the</w:t>
      </w:r>
      <w:r>
        <w:rPr>
          <w:color w:val="231F20"/>
          <w:spacing w:val="-3"/>
          <w:w w:val="95"/>
        </w:rPr>
        <w:t xml:space="preserve"> </w:t>
      </w:r>
      <w:r>
        <w:rPr>
          <w:color w:val="231F20"/>
          <w:spacing w:val="-2"/>
          <w:w w:val="95"/>
        </w:rPr>
        <w:t>growing</w:t>
      </w:r>
      <w:r>
        <w:rPr>
          <w:color w:val="231F20"/>
          <w:spacing w:val="-3"/>
          <w:w w:val="95"/>
        </w:rPr>
        <w:t xml:space="preserve"> </w:t>
      </w:r>
      <w:r>
        <w:rPr>
          <w:color w:val="231F20"/>
          <w:spacing w:val="-2"/>
          <w:w w:val="95"/>
        </w:rPr>
        <w:t>differentiation</w:t>
      </w:r>
      <w:r>
        <w:rPr>
          <w:color w:val="231F20"/>
          <w:spacing w:val="-3"/>
          <w:w w:val="95"/>
        </w:rPr>
        <w:t xml:space="preserve"> </w:t>
      </w:r>
      <w:r>
        <w:rPr>
          <w:color w:val="231F20"/>
          <w:spacing w:val="-2"/>
          <w:w w:val="95"/>
        </w:rPr>
        <w:t>found</w:t>
      </w:r>
      <w:r>
        <w:rPr>
          <w:color w:val="231F20"/>
          <w:spacing w:val="-3"/>
          <w:w w:val="95"/>
        </w:rPr>
        <w:t xml:space="preserve"> </w:t>
      </w:r>
      <w:r>
        <w:rPr>
          <w:color w:val="231F20"/>
          <w:spacing w:val="-2"/>
          <w:w w:val="95"/>
        </w:rPr>
        <w:t>in</w:t>
      </w:r>
      <w:r>
        <w:rPr>
          <w:color w:val="231F20"/>
          <w:spacing w:val="-3"/>
          <w:w w:val="95"/>
        </w:rPr>
        <w:t xml:space="preserve"> </w:t>
      </w:r>
      <w:r>
        <w:rPr>
          <w:color w:val="231F20"/>
          <w:spacing w:val="-2"/>
          <w:w w:val="95"/>
        </w:rPr>
        <w:t>traditional</w:t>
      </w:r>
      <w:r>
        <w:rPr>
          <w:color w:val="231F20"/>
          <w:spacing w:val="-3"/>
          <w:w w:val="95"/>
        </w:rPr>
        <w:t xml:space="preserve"> </w:t>
      </w:r>
      <w:r>
        <w:rPr>
          <w:color w:val="231F20"/>
          <w:spacing w:val="-2"/>
          <w:w w:val="95"/>
        </w:rPr>
        <w:t>sports</w:t>
      </w:r>
      <w:r>
        <w:rPr>
          <w:color w:val="231F20"/>
          <w:spacing w:val="-3"/>
          <w:w w:val="95"/>
        </w:rPr>
        <w:t xml:space="preserve"> </w:t>
      </w:r>
      <w:r>
        <w:rPr>
          <w:color w:val="231F20"/>
          <w:spacing w:val="-2"/>
          <w:w w:val="95"/>
        </w:rPr>
        <w:t>like</w:t>
      </w:r>
      <w:r>
        <w:rPr>
          <w:color w:val="231F20"/>
          <w:spacing w:val="-3"/>
          <w:w w:val="95"/>
        </w:rPr>
        <w:t xml:space="preserve"> </w:t>
      </w:r>
      <w:r>
        <w:rPr>
          <w:color w:val="231F20"/>
          <w:spacing w:val="-2"/>
          <w:w w:val="95"/>
        </w:rPr>
        <w:t>mountain</w:t>
      </w:r>
      <w:r>
        <w:rPr>
          <w:color w:val="231F20"/>
          <w:spacing w:val="-3"/>
          <w:w w:val="95"/>
        </w:rPr>
        <w:t xml:space="preserve"> </w:t>
      </w:r>
      <w:r>
        <w:rPr>
          <w:color w:val="231F20"/>
          <w:spacing w:val="-2"/>
          <w:w w:val="95"/>
        </w:rPr>
        <w:t xml:space="preserve">climbing </w:t>
      </w:r>
      <w:r>
        <w:rPr>
          <w:color w:val="231F20"/>
        </w:rPr>
        <w:t>(e.g.</w:t>
      </w:r>
      <w:r>
        <w:rPr>
          <w:color w:val="231F20"/>
          <w:spacing w:val="-5"/>
        </w:rPr>
        <w:t xml:space="preserve"> </w:t>
      </w:r>
      <w:r>
        <w:rPr>
          <w:color w:val="231F20"/>
        </w:rPr>
        <w:t>indoor</w:t>
      </w:r>
      <w:r>
        <w:rPr>
          <w:color w:val="231F20"/>
          <w:spacing w:val="-5"/>
        </w:rPr>
        <w:t xml:space="preserve"> </w:t>
      </w:r>
      <w:r>
        <w:rPr>
          <w:color w:val="231F20"/>
        </w:rPr>
        <w:t>climbing,</w:t>
      </w:r>
      <w:r>
        <w:rPr>
          <w:color w:val="231F20"/>
          <w:spacing w:val="-5"/>
        </w:rPr>
        <w:t xml:space="preserve"> </w:t>
      </w:r>
      <w:r>
        <w:rPr>
          <w:color w:val="231F20"/>
        </w:rPr>
        <w:t>bouldering,</w:t>
      </w:r>
      <w:r>
        <w:rPr>
          <w:color w:val="231F20"/>
          <w:spacing w:val="-5"/>
        </w:rPr>
        <w:t xml:space="preserve"> </w:t>
      </w:r>
      <w:r>
        <w:rPr>
          <w:color w:val="231F20"/>
        </w:rPr>
        <w:t>sport</w:t>
      </w:r>
      <w:r>
        <w:rPr>
          <w:color w:val="231F20"/>
          <w:spacing w:val="-5"/>
        </w:rPr>
        <w:t xml:space="preserve"> </w:t>
      </w:r>
      <w:r>
        <w:rPr>
          <w:color w:val="231F20"/>
        </w:rPr>
        <w:t>climbing)</w:t>
      </w:r>
      <w:r>
        <w:rPr>
          <w:color w:val="231F20"/>
          <w:spacing w:val="-5"/>
        </w:rPr>
        <w:t xml:space="preserve"> </w:t>
      </w:r>
      <w:r>
        <w:rPr>
          <w:color w:val="231F20"/>
        </w:rPr>
        <w:t>(Focus</w:t>
      </w:r>
      <w:r>
        <w:rPr>
          <w:color w:val="231F20"/>
          <w:spacing w:val="-5"/>
        </w:rPr>
        <w:t xml:space="preserve"> </w:t>
      </w:r>
      <w:r>
        <w:rPr>
          <w:color w:val="231F20"/>
        </w:rPr>
        <w:t>Point</w:t>
      </w:r>
      <w:r>
        <w:rPr>
          <w:color w:val="231F20"/>
          <w:spacing w:val="-5"/>
        </w:rPr>
        <w:t xml:space="preserve"> </w:t>
      </w:r>
      <w:r>
        <w:rPr>
          <w:color w:val="231F20"/>
        </w:rPr>
        <w:t>10.1);</w:t>
      </w:r>
      <w:r>
        <w:rPr>
          <w:color w:val="231F20"/>
          <w:spacing w:val="-5"/>
        </w:rPr>
        <w:t xml:space="preserve"> </w:t>
      </w:r>
      <w:r>
        <w:rPr>
          <w:color w:val="231F20"/>
        </w:rPr>
        <w:t>the emergence</w:t>
      </w:r>
      <w:r>
        <w:rPr>
          <w:color w:val="231F20"/>
          <w:spacing w:val="-12"/>
        </w:rPr>
        <w:t xml:space="preserve"> </w:t>
      </w:r>
      <w:r>
        <w:rPr>
          <w:color w:val="231F20"/>
        </w:rPr>
        <w:t>of</w:t>
      </w:r>
      <w:r>
        <w:rPr>
          <w:color w:val="231F20"/>
          <w:spacing w:val="-12"/>
        </w:rPr>
        <w:t xml:space="preserve"> </w:t>
      </w:r>
      <w:r>
        <w:rPr>
          <w:color w:val="231F20"/>
        </w:rPr>
        <w:t>air</w:t>
      </w:r>
      <w:r>
        <w:rPr>
          <w:color w:val="231F20"/>
          <w:spacing w:val="-11"/>
        </w:rPr>
        <w:t xml:space="preserve"> </w:t>
      </w:r>
      <w:r>
        <w:rPr>
          <w:color w:val="231F20"/>
        </w:rPr>
        <w:t>sports</w:t>
      </w:r>
      <w:r>
        <w:rPr>
          <w:color w:val="231F20"/>
          <w:spacing w:val="-12"/>
        </w:rPr>
        <w:t xml:space="preserve"> </w:t>
      </w:r>
      <w:r>
        <w:rPr>
          <w:color w:val="231F20"/>
        </w:rPr>
        <w:t>(paragliding,</w:t>
      </w:r>
      <w:r>
        <w:rPr>
          <w:color w:val="231F20"/>
          <w:spacing w:val="-11"/>
        </w:rPr>
        <w:t xml:space="preserve"> </w:t>
      </w:r>
      <w:r>
        <w:rPr>
          <w:color w:val="231F20"/>
        </w:rPr>
        <w:t>hang</w:t>
      </w:r>
      <w:r>
        <w:rPr>
          <w:color w:val="231F20"/>
          <w:spacing w:val="-12"/>
        </w:rPr>
        <w:t xml:space="preserve"> </w:t>
      </w:r>
      <w:r>
        <w:rPr>
          <w:color w:val="231F20"/>
        </w:rPr>
        <w:t>gliding</w:t>
      </w:r>
      <w:r>
        <w:rPr>
          <w:color w:val="231F20"/>
          <w:spacing w:val="-11"/>
        </w:rPr>
        <w:t xml:space="preserve"> </w:t>
      </w:r>
      <w:r>
        <w:rPr>
          <w:color w:val="231F20"/>
        </w:rPr>
        <w:t>and</w:t>
      </w:r>
      <w:r>
        <w:rPr>
          <w:color w:val="231F20"/>
          <w:spacing w:val="-12"/>
        </w:rPr>
        <w:t xml:space="preserve"> </w:t>
      </w:r>
      <w:r>
        <w:rPr>
          <w:color w:val="231F20"/>
        </w:rPr>
        <w:t>sky</w:t>
      </w:r>
      <w:r>
        <w:rPr>
          <w:color w:val="231F20"/>
          <w:spacing w:val="-12"/>
        </w:rPr>
        <w:t xml:space="preserve"> </w:t>
      </w:r>
      <w:r>
        <w:rPr>
          <w:color w:val="231F20"/>
        </w:rPr>
        <w:t>diving</w:t>
      </w:r>
      <w:r>
        <w:rPr>
          <w:color w:val="231F20"/>
          <w:spacing w:val="-11"/>
        </w:rPr>
        <w:t xml:space="preserve"> </w:t>
      </w:r>
      <w:r>
        <w:rPr>
          <w:color w:val="231F20"/>
        </w:rPr>
        <w:t>through to</w:t>
      </w:r>
      <w:r>
        <w:rPr>
          <w:color w:val="231F20"/>
          <w:spacing w:val="-8"/>
        </w:rPr>
        <w:t xml:space="preserve"> </w:t>
      </w:r>
      <w:r>
        <w:rPr>
          <w:color w:val="231F20"/>
        </w:rPr>
        <w:t>base</w:t>
      </w:r>
      <w:r>
        <w:rPr>
          <w:color w:val="231F20"/>
          <w:spacing w:val="-8"/>
        </w:rPr>
        <w:t xml:space="preserve"> </w:t>
      </w:r>
      <w:r>
        <w:rPr>
          <w:color w:val="231F20"/>
        </w:rPr>
        <w:t>jumping,</w:t>
      </w:r>
      <w:r>
        <w:rPr>
          <w:color w:val="231F20"/>
          <w:spacing w:val="-8"/>
        </w:rPr>
        <w:t xml:space="preserve"> </w:t>
      </w:r>
      <w:r>
        <w:rPr>
          <w:color w:val="231F20"/>
        </w:rPr>
        <w:t>sky</w:t>
      </w:r>
      <w:r>
        <w:rPr>
          <w:color w:val="231F20"/>
          <w:spacing w:val="-8"/>
        </w:rPr>
        <w:t xml:space="preserve"> </w:t>
      </w:r>
      <w:r>
        <w:rPr>
          <w:color w:val="231F20"/>
        </w:rPr>
        <w:t>boarding</w:t>
      </w:r>
      <w:r>
        <w:rPr>
          <w:color w:val="231F20"/>
          <w:spacing w:val="-8"/>
        </w:rPr>
        <w:t xml:space="preserve"> </w:t>
      </w:r>
      <w:r>
        <w:rPr>
          <w:color w:val="231F20"/>
        </w:rPr>
        <w:t>and</w:t>
      </w:r>
      <w:r>
        <w:rPr>
          <w:color w:val="231F20"/>
          <w:spacing w:val="-8"/>
        </w:rPr>
        <w:t xml:space="preserve"> </w:t>
      </w:r>
      <w:r>
        <w:rPr>
          <w:color w:val="231F20"/>
        </w:rPr>
        <w:t>acrobatics);</w:t>
      </w:r>
      <w:r>
        <w:rPr>
          <w:color w:val="231F20"/>
          <w:spacing w:val="-8"/>
        </w:rPr>
        <w:t xml:space="preserve"> </w:t>
      </w:r>
      <w:r>
        <w:rPr>
          <w:color w:val="231F20"/>
        </w:rPr>
        <w:t>new</w:t>
      </w:r>
      <w:r>
        <w:rPr>
          <w:color w:val="231F20"/>
          <w:spacing w:val="-8"/>
        </w:rPr>
        <w:t xml:space="preserve"> </w:t>
      </w:r>
      <w:r>
        <w:rPr>
          <w:color w:val="231F20"/>
        </w:rPr>
        <w:t>board</w:t>
      </w:r>
      <w:r>
        <w:rPr>
          <w:color w:val="231F20"/>
          <w:spacing w:val="-8"/>
        </w:rPr>
        <w:t xml:space="preserve"> </w:t>
      </w:r>
      <w:r>
        <w:rPr>
          <w:color w:val="231F20"/>
        </w:rPr>
        <w:t>sports</w:t>
      </w:r>
      <w:r>
        <w:rPr>
          <w:color w:val="231F20"/>
          <w:spacing w:val="-8"/>
        </w:rPr>
        <w:t xml:space="preserve"> </w:t>
      </w:r>
      <w:r>
        <w:rPr>
          <w:color w:val="231F20"/>
        </w:rPr>
        <w:t xml:space="preserve">(snow-, </w:t>
      </w:r>
      <w:r>
        <w:rPr>
          <w:color w:val="231F20"/>
          <w:spacing w:val="-2"/>
        </w:rPr>
        <w:t>skate-,</w:t>
      </w:r>
      <w:r>
        <w:rPr>
          <w:color w:val="231F20"/>
          <w:spacing w:val="-6"/>
        </w:rPr>
        <w:t xml:space="preserve"> </w:t>
      </w:r>
      <w:r>
        <w:rPr>
          <w:color w:val="231F20"/>
          <w:spacing w:val="-2"/>
        </w:rPr>
        <w:t>wakeboarding);</w:t>
      </w:r>
      <w:r>
        <w:rPr>
          <w:color w:val="231F20"/>
          <w:spacing w:val="-6"/>
        </w:rPr>
        <w:t xml:space="preserve"> </w:t>
      </w:r>
      <w:r>
        <w:rPr>
          <w:color w:val="231F20"/>
          <w:spacing w:val="-2"/>
        </w:rPr>
        <w:t>and</w:t>
      </w:r>
      <w:r>
        <w:rPr>
          <w:color w:val="231F20"/>
          <w:spacing w:val="-6"/>
        </w:rPr>
        <w:t xml:space="preserve"> </w:t>
      </w:r>
      <w:r>
        <w:rPr>
          <w:color w:val="231F20"/>
          <w:spacing w:val="-2"/>
        </w:rPr>
        <w:t>variations</w:t>
      </w:r>
      <w:r>
        <w:rPr>
          <w:color w:val="231F20"/>
          <w:spacing w:val="-6"/>
        </w:rPr>
        <w:t xml:space="preserve"> </w:t>
      </w:r>
      <w:r>
        <w:rPr>
          <w:color w:val="231F20"/>
          <w:spacing w:val="-2"/>
        </w:rPr>
        <w:t>of</w:t>
      </w:r>
      <w:r>
        <w:rPr>
          <w:color w:val="231F20"/>
        </w:rPr>
        <w:t xml:space="preserve"> </w:t>
      </w:r>
      <w:r>
        <w:rPr>
          <w:color w:val="231F20"/>
          <w:spacing w:val="-2"/>
        </w:rPr>
        <w:t>bicycling</w:t>
      </w:r>
      <w:r>
        <w:rPr>
          <w:color w:val="231F20"/>
          <w:spacing w:val="-6"/>
        </w:rPr>
        <w:t xml:space="preserve"> </w:t>
      </w:r>
      <w:r>
        <w:rPr>
          <w:color w:val="231F20"/>
          <w:spacing w:val="-2"/>
        </w:rPr>
        <w:t>(trick,</w:t>
      </w:r>
      <w:r>
        <w:rPr>
          <w:color w:val="231F20"/>
          <w:spacing w:val="-6"/>
        </w:rPr>
        <w:t xml:space="preserve"> </w:t>
      </w:r>
      <w:r>
        <w:rPr>
          <w:color w:val="231F20"/>
          <w:spacing w:val="-2"/>
        </w:rPr>
        <w:t>mountain,</w:t>
      </w:r>
      <w:r>
        <w:rPr>
          <w:color w:val="231F20"/>
          <w:spacing w:val="-6"/>
        </w:rPr>
        <w:t xml:space="preserve"> </w:t>
      </w:r>
      <w:r>
        <w:rPr>
          <w:color w:val="231F20"/>
          <w:spacing w:val="-2"/>
        </w:rPr>
        <w:t xml:space="preserve">BMX), </w:t>
      </w:r>
      <w:r>
        <w:rPr>
          <w:color w:val="231F20"/>
        </w:rPr>
        <w:t>skating</w:t>
      </w:r>
      <w:r>
        <w:rPr>
          <w:color w:val="231F20"/>
          <w:spacing w:val="-12"/>
        </w:rPr>
        <w:t xml:space="preserve"> </w:t>
      </w:r>
      <w:r>
        <w:rPr>
          <w:color w:val="231F20"/>
        </w:rPr>
        <w:t>(in-line)</w:t>
      </w:r>
      <w:r>
        <w:rPr>
          <w:color w:val="231F20"/>
          <w:spacing w:val="-12"/>
        </w:rPr>
        <w:t xml:space="preserve"> </w:t>
      </w:r>
      <w:r>
        <w:rPr>
          <w:color w:val="231F20"/>
        </w:rPr>
        <w:t>and</w:t>
      </w:r>
      <w:r>
        <w:rPr>
          <w:color w:val="231F20"/>
          <w:spacing w:val="-11"/>
        </w:rPr>
        <w:t xml:space="preserve"> </w:t>
      </w:r>
      <w:r>
        <w:rPr>
          <w:color w:val="231F20"/>
        </w:rPr>
        <w:t>luge</w:t>
      </w:r>
      <w:r>
        <w:rPr>
          <w:color w:val="231F20"/>
          <w:spacing w:val="-12"/>
        </w:rPr>
        <w:t xml:space="preserve"> </w:t>
      </w:r>
      <w:r>
        <w:rPr>
          <w:color w:val="231F20"/>
        </w:rPr>
        <w:t>(street</w:t>
      </w:r>
      <w:r>
        <w:rPr>
          <w:color w:val="231F20"/>
          <w:spacing w:val="-11"/>
        </w:rPr>
        <w:t xml:space="preserve"> </w:t>
      </w:r>
      <w:r>
        <w:rPr>
          <w:color w:val="231F20"/>
        </w:rPr>
        <w:t>luge).</w:t>
      </w:r>
      <w:r>
        <w:rPr>
          <w:color w:val="231F20"/>
          <w:spacing w:val="-12"/>
        </w:rPr>
        <w:t xml:space="preserve"> </w:t>
      </w:r>
      <w:r>
        <w:rPr>
          <w:color w:val="231F20"/>
        </w:rPr>
        <w:t>It</w:t>
      </w:r>
      <w:r>
        <w:rPr>
          <w:color w:val="231F20"/>
          <w:spacing w:val="-11"/>
        </w:rPr>
        <w:t xml:space="preserve"> </w:t>
      </w:r>
      <w:r>
        <w:rPr>
          <w:color w:val="231F20"/>
        </w:rPr>
        <w:t>is</w:t>
      </w:r>
      <w:r>
        <w:rPr>
          <w:color w:val="231F20"/>
          <w:spacing w:val="-12"/>
        </w:rPr>
        <w:t xml:space="preserve"> </w:t>
      </w:r>
      <w:r>
        <w:rPr>
          <w:color w:val="231F20"/>
        </w:rPr>
        <w:t>safe</w:t>
      </w:r>
      <w:r>
        <w:rPr>
          <w:color w:val="231F20"/>
          <w:spacing w:val="-12"/>
        </w:rPr>
        <w:t xml:space="preserve"> </w:t>
      </w:r>
      <w:r>
        <w:rPr>
          <w:color w:val="231F20"/>
        </w:rPr>
        <w:t>to</w:t>
      </w:r>
      <w:r>
        <w:rPr>
          <w:color w:val="231F20"/>
          <w:spacing w:val="-11"/>
        </w:rPr>
        <w:t xml:space="preserve"> </w:t>
      </w:r>
      <w:r>
        <w:rPr>
          <w:color w:val="231F20"/>
        </w:rPr>
        <w:t>assume</w:t>
      </w:r>
      <w:r>
        <w:rPr>
          <w:color w:val="231F20"/>
          <w:spacing w:val="-12"/>
        </w:rPr>
        <w:t xml:space="preserve"> </w:t>
      </w:r>
      <w:r>
        <w:rPr>
          <w:color w:val="231F20"/>
        </w:rPr>
        <w:t>that</w:t>
      </w:r>
      <w:r>
        <w:rPr>
          <w:color w:val="231F20"/>
          <w:spacing w:val="-11"/>
        </w:rPr>
        <w:t xml:space="preserve"> </w:t>
      </w:r>
      <w:r>
        <w:rPr>
          <w:color w:val="231F20"/>
        </w:rPr>
        <w:t>innovative forms</w:t>
      </w:r>
      <w:r>
        <w:rPr>
          <w:color w:val="231F20"/>
          <w:spacing w:val="-12"/>
        </w:rPr>
        <w:t xml:space="preserve"> </w:t>
      </w:r>
      <w:r>
        <w:rPr>
          <w:color w:val="231F20"/>
        </w:rPr>
        <w:t>of</w:t>
      </w:r>
      <w:r>
        <w:rPr>
          <w:color w:val="231F20"/>
          <w:spacing w:val="-12"/>
        </w:rPr>
        <w:t xml:space="preserve"> </w:t>
      </w:r>
      <w:r>
        <w:rPr>
          <w:color w:val="231F20"/>
        </w:rPr>
        <w:t>sport</w:t>
      </w:r>
      <w:r>
        <w:rPr>
          <w:color w:val="231F20"/>
          <w:spacing w:val="-11"/>
        </w:rPr>
        <w:t xml:space="preserve"> </w:t>
      </w:r>
      <w:r>
        <w:rPr>
          <w:color w:val="231F20"/>
        </w:rPr>
        <w:t>will</w:t>
      </w:r>
      <w:r>
        <w:rPr>
          <w:color w:val="231F20"/>
          <w:spacing w:val="-12"/>
        </w:rPr>
        <w:t xml:space="preserve"> </w:t>
      </w:r>
      <w:r>
        <w:rPr>
          <w:color w:val="231F20"/>
        </w:rPr>
        <w:t>continue</w:t>
      </w:r>
      <w:r>
        <w:rPr>
          <w:color w:val="231F20"/>
          <w:spacing w:val="-11"/>
        </w:rPr>
        <w:t xml:space="preserve"> </w:t>
      </w:r>
      <w:r>
        <w:rPr>
          <w:color w:val="231F20"/>
        </w:rPr>
        <w:t>to</w:t>
      </w:r>
      <w:r>
        <w:rPr>
          <w:color w:val="231F20"/>
          <w:spacing w:val="-12"/>
        </w:rPr>
        <w:t xml:space="preserve"> </w:t>
      </w:r>
      <w:r>
        <w:rPr>
          <w:color w:val="231F20"/>
        </w:rPr>
        <w:t>emerge</w:t>
      </w:r>
      <w:r>
        <w:rPr>
          <w:color w:val="231F20"/>
          <w:spacing w:val="-11"/>
        </w:rPr>
        <w:t xml:space="preserve"> </w:t>
      </w:r>
      <w:r>
        <w:rPr>
          <w:color w:val="231F20"/>
        </w:rPr>
        <w:t>although</w:t>
      </w:r>
      <w:r>
        <w:rPr>
          <w:color w:val="231F20"/>
          <w:spacing w:val="-12"/>
        </w:rPr>
        <w:t xml:space="preserve"> </w:t>
      </w:r>
      <w:r>
        <w:rPr>
          <w:color w:val="231F20"/>
        </w:rPr>
        <w:t>the</w:t>
      </w:r>
      <w:r>
        <w:rPr>
          <w:color w:val="231F20"/>
          <w:spacing w:val="-12"/>
        </w:rPr>
        <w:t xml:space="preserve"> </w:t>
      </w:r>
      <w:r>
        <w:rPr>
          <w:color w:val="231F20"/>
        </w:rPr>
        <w:t>individual</w:t>
      </w:r>
      <w:r>
        <w:rPr>
          <w:color w:val="231F20"/>
          <w:spacing w:val="-11"/>
        </w:rPr>
        <w:t xml:space="preserve"> </w:t>
      </w:r>
      <w:r>
        <w:rPr>
          <w:color w:val="231F20"/>
        </w:rPr>
        <w:t xml:space="preserve">popularity </w:t>
      </w:r>
      <w:r>
        <w:rPr>
          <w:color w:val="231F20"/>
          <w:spacing w:val="-2"/>
        </w:rPr>
        <w:t>and</w:t>
      </w:r>
      <w:r>
        <w:rPr>
          <w:color w:val="231F20"/>
          <w:spacing w:val="-10"/>
        </w:rPr>
        <w:t xml:space="preserve"> </w:t>
      </w:r>
      <w:r>
        <w:rPr>
          <w:color w:val="231F20"/>
          <w:spacing w:val="-2"/>
        </w:rPr>
        <w:t>longevity</w:t>
      </w:r>
      <w:r>
        <w:rPr>
          <w:color w:val="231F20"/>
          <w:spacing w:val="-10"/>
        </w:rPr>
        <w:t xml:space="preserve"> </w:t>
      </w:r>
      <w:r>
        <w:rPr>
          <w:color w:val="231F20"/>
          <w:spacing w:val="-2"/>
        </w:rPr>
        <w:t>of each</w:t>
      </w:r>
      <w:r>
        <w:rPr>
          <w:color w:val="231F20"/>
          <w:spacing w:val="-9"/>
        </w:rPr>
        <w:t xml:space="preserve"> </w:t>
      </w:r>
      <w:r>
        <w:rPr>
          <w:color w:val="231F20"/>
          <w:spacing w:val="-2"/>
        </w:rPr>
        <w:t>of</w:t>
      </w:r>
      <w:r>
        <w:rPr>
          <w:color w:val="231F20"/>
          <w:spacing w:val="2"/>
        </w:rPr>
        <w:t xml:space="preserve"> </w:t>
      </w:r>
      <w:r>
        <w:rPr>
          <w:color w:val="231F20"/>
          <w:spacing w:val="-2"/>
        </w:rPr>
        <w:t>these</w:t>
      </w:r>
      <w:r>
        <w:rPr>
          <w:color w:val="231F20"/>
          <w:spacing w:val="-10"/>
        </w:rPr>
        <w:t xml:space="preserve"> </w:t>
      </w:r>
      <w:r>
        <w:rPr>
          <w:color w:val="231F20"/>
          <w:spacing w:val="-2"/>
        </w:rPr>
        <w:t>sports</w:t>
      </w:r>
      <w:r>
        <w:rPr>
          <w:color w:val="231F20"/>
          <w:spacing w:val="-10"/>
        </w:rPr>
        <w:t xml:space="preserve"> </w:t>
      </w:r>
      <w:r>
        <w:rPr>
          <w:color w:val="231F20"/>
          <w:spacing w:val="-2"/>
        </w:rPr>
        <w:t>is</w:t>
      </w:r>
      <w:r>
        <w:rPr>
          <w:color w:val="231F20"/>
          <w:spacing w:val="-9"/>
        </w:rPr>
        <w:t xml:space="preserve"> </w:t>
      </w:r>
      <w:r>
        <w:rPr>
          <w:color w:val="231F20"/>
          <w:spacing w:val="-2"/>
        </w:rPr>
        <w:t>more</w:t>
      </w:r>
      <w:r>
        <w:rPr>
          <w:color w:val="231F20"/>
          <w:spacing w:val="-10"/>
        </w:rPr>
        <w:t xml:space="preserve"> </w:t>
      </w:r>
      <w:r>
        <w:rPr>
          <w:color w:val="231F20"/>
          <w:spacing w:val="-2"/>
        </w:rPr>
        <w:t>difficult</w:t>
      </w:r>
      <w:r>
        <w:rPr>
          <w:color w:val="231F20"/>
          <w:spacing w:val="-9"/>
        </w:rPr>
        <w:t xml:space="preserve"> </w:t>
      </w:r>
      <w:r>
        <w:rPr>
          <w:color w:val="231F20"/>
          <w:spacing w:val="-2"/>
        </w:rPr>
        <w:t>to</w:t>
      </w:r>
      <w:r>
        <w:rPr>
          <w:color w:val="231F20"/>
          <w:spacing w:val="-10"/>
        </w:rPr>
        <w:t xml:space="preserve"> </w:t>
      </w:r>
      <w:r>
        <w:rPr>
          <w:color w:val="231F20"/>
          <w:spacing w:val="-2"/>
        </w:rPr>
        <w:t>predict</w:t>
      </w:r>
      <w:r>
        <w:rPr>
          <w:color w:val="231F20"/>
          <w:spacing w:val="-2"/>
        </w:rPr>
        <w:t>.</w:t>
      </w:r>
    </w:p>
    <w:p w14:paraId="11E298DB" w14:textId="6BD85C3B" w:rsidR="00AE0598" w:rsidRDefault="0069255A">
      <w:pPr>
        <w:pStyle w:val="Corpodetexto"/>
        <w:rPr>
          <w:sz w:val="28"/>
        </w:rPr>
      </w:pPr>
      <w:r>
        <w:rPr>
          <w:noProof/>
        </w:rPr>
        <mc:AlternateContent>
          <mc:Choice Requires="wps">
            <w:drawing>
              <wp:anchor distT="0" distB="0" distL="0" distR="0" simplePos="0" relativeHeight="487686144" behindDoc="1" locked="0" layoutInCell="1" allowOverlap="1" wp14:anchorId="467A574D" wp14:editId="48AB39E2">
                <wp:simplePos x="0" y="0"/>
                <wp:positionH relativeFrom="page">
                  <wp:posOffset>759460</wp:posOffset>
                </wp:positionH>
                <wp:positionV relativeFrom="paragraph">
                  <wp:posOffset>223520</wp:posOffset>
                </wp:positionV>
                <wp:extent cx="4104005" cy="1006475"/>
                <wp:effectExtent l="0" t="0" r="0" b="0"/>
                <wp:wrapTopAndBottom/>
                <wp:docPr id="47" name="docshape3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04005" cy="1006475"/>
                        </a:xfrm>
                        <a:prstGeom prst="rect">
                          <a:avLst/>
                        </a:prstGeom>
                        <a:solidFill>
                          <a:srgbClr val="DCDDD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92A1554" w14:textId="77777777" w:rsidR="00AE0598" w:rsidRDefault="0069255A">
                            <w:pPr>
                              <w:spacing w:before="75"/>
                              <w:ind w:left="113"/>
                              <w:jc w:val="both"/>
                              <w:rPr>
                                <w:rFonts w:ascii="Trebuchet MS" w:hAnsi="Trebuchet MS"/>
                                <w:color w:val="000000"/>
                                <w:sz w:val="20"/>
                              </w:rPr>
                            </w:pPr>
                            <w:r>
                              <w:rPr>
                                <w:rFonts w:ascii="Trebuchet MS" w:hAnsi="Trebuchet MS"/>
                                <w:color w:val="231F20"/>
                                <w:w w:val="105"/>
                                <w:sz w:val="20"/>
                              </w:rPr>
                              <w:t>Focus</w:t>
                            </w:r>
                            <w:r>
                              <w:rPr>
                                <w:rFonts w:ascii="Trebuchet MS" w:hAnsi="Trebuchet MS"/>
                                <w:color w:val="231F20"/>
                                <w:spacing w:val="-13"/>
                                <w:w w:val="105"/>
                                <w:sz w:val="20"/>
                              </w:rPr>
                              <w:t xml:space="preserve"> </w:t>
                            </w:r>
                            <w:r>
                              <w:rPr>
                                <w:rFonts w:ascii="Trebuchet MS" w:hAnsi="Trebuchet MS"/>
                                <w:color w:val="231F20"/>
                                <w:w w:val="105"/>
                                <w:sz w:val="20"/>
                              </w:rPr>
                              <w:t>Point</w:t>
                            </w:r>
                            <w:r>
                              <w:rPr>
                                <w:rFonts w:ascii="Trebuchet MS" w:hAnsi="Trebuchet MS"/>
                                <w:color w:val="231F20"/>
                                <w:spacing w:val="-13"/>
                                <w:w w:val="105"/>
                                <w:sz w:val="20"/>
                              </w:rPr>
                              <w:t xml:space="preserve"> </w:t>
                            </w:r>
                            <w:r>
                              <w:rPr>
                                <w:rFonts w:ascii="Trebuchet MS" w:hAnsi="Trebuchet MS"/>
                                <w:color w:val="231F20"/>
                                <w:w w:val="105"/>
                                <w:sz w:val="20"/>
                              </w:rPr>
                              <w:t>10.1:</w:t>
                            </w:r>
                            <w:r>
                              <w:rPr>
                                <w:rFonts w:ascii="Trebuchet MS" w:hAnsi="Trebuchet MS"/>
                                <w:color w:val="231F20"/>
                                <w:spacing w:val="-13"/>
                                <w:w w:val="105"/>
                                <w:sz w:val="20"/>
                              </w:rPr>
                              <w:t xml:space="preserve"> </w:t>
                            </w:r>
                            <w:r>
                              <w:rPr>
                                <w:rFonts w:ascii="Trebuchet MS" w:hAnsi="Trebuchet MS"/>
                                <w:color w:val="231F20"/>
                                <w:w w:val="105"/>
                                <w:sz w:val="20"/>
                              </w:rPr>
                              <w:t>Climbing</w:t>
                            </w:r>
                            <w:r>
                              <w:rPr>
                                <w:rFonts w:ascii="Trebuchet MS" w:hAnsi="Trebuchet MS"/>
                                <w:color w:val="231F20"/>
                                <w:spacing w:val="-12"/>
                                <w:w w:val="105"/>
                                <w:sz w:val="20"/>
                              </w:rPr>
                              <w:t xml:space="preserve"> </w:t>
                            </w:r>
                            <w:r>
                              <w:rPr>
                                <w:rFonts w:ascii="Trebuchet MS" w:hAnsi="Trebuchet MS"/>
                                <w:color w:val="231F20"/>
                                <w:w w:val="105"/>
                                <w:sz w:val="20"/>
                              </w:rPr>
                              <w:t>–</w:t>
                            </w:r>
                            <w:r>
                              <w:rPr>
                                <w:rFonts w:ascii="Trebuchet MS" w:hAnsi="Trebuchet MS"/>
                                <w:color w:val="231F20"/>
                                <w:spacing w:val="-13"/>
                                <w:w w:val="105"/>
                                <w:sz w:val="20"/>
                              </w:rPr>
                              <w:t xml:space="preserve"> </w:t>
                            </w:r>
                            <w:r>
                              <w:rPr>
                                <w:rFonts w:ascii="Trebuchet MS" w:hAnsi="Trebuchet MS"/>
                                <w:color w:val="231F20"/>
                                <w:w w:val="105"/>
                                <w:sz w:val="20"/>
                              </w:rPr>
                              <w:t>Growing</w:t>
                            </w:r>
                            <w:r>
                              <w:rPr>
                                <w:rFonts w:ascii="Trebuchet MS" w:hAnsi="Trebuchet MS"/>
                                <w:color w:val="231F20"/>
                                <w:spacing w:val="-12"/>
                                <w:w w:val="105"/>
                                <w:sz w:val="20"/>
                              </w:rPr>
                              <w:t xml:space="preserve"> </w:t>
                            </w:r>
                            <w:r>
                              <w:rPr>
                                <w:rFonts w:ascii="Trebuchet MS" w:hAnsi="Trebuchet MS"/>
                                <w:color w:val="231F20"/>
                                <w:spacing w:val="-2"/>
                                <w:w w:val="105"/>
                                <w:sz w:val="20"/>
                              </w:rPr>
                              <w:t>Differentiation</w:t>
                            </w:r>
                          </w:p>
                          <w:p w14:paraId="7E80E4D8" w14:textId="77777777" w:rsidR="00AE0598" w:rsidRDefault="0069255A">
                            <w:pPr>
                              <w:pStyle w:val="Corpodetexto"/>
                              <w:spacing w:before="116"/>
                              <w:ind w:left="113"/>
                              <w:jc w:val="both"/>
                              <w:rPr>
                                <w:color w:val="000000"/>
                              </w:rPr>
                            </w:pPr>
                            <w:r>
                              <w:rPr>
                                <w:color w:val="231F20"/>
                              </w:rPr>
                              <w:t>Cory</w:t>
                            </w:r>
                            <w:r>
                              <w:rPr>
                                <w:color w:val="231F20"/>
                                <w:spacing w:val="4"/>
                              </w:rPr>
                              <w:t xml:space="preserve"> </w:t>
                            </w:r>
                            <w:r>
                              <w:rPr>
                                <w:color w:val="231F20"/>
                              </w:rPr>
                              <w:t>Kulczycki,</w:t>
                            </w:r>
                            <w:r>
                              <w:rPr>
                                <w:color w:val="231F20"/>
                                <w:spacing w:val="4"/>
                              </w:rPr>
                              <w:t xml:space="preserve"> </w:t>
                            </w:r>
                            <w:r>
                              <w:rPr>
                                <w:color w:val="231F20"/>
                              </w:rPr>
                              <w:t>University</w:t>
                            </w:r>
                            <w:r>
                              <w:rPr>
                                <w:color w:val="231F20"/>
                                <w:spacing w:val="4"/>
                              </w:rPr>
                              <w:t xml:space="preserve"> </w:t>
                            </w:r>
                            <w:r>
                              <w:rPr>
                                <w:color w:val="231F20"/>
                              </w:rPr>
                              <w:t>of</w:t>
                            </w:r>
                            <w:r>
                              <w:rPr>
                                <w:color w:val="231F20"/>
                                <w:spacing w:val="4"/>
                              </w:rPr>
                              <w:t xml:space="preserve"> </w:t>
                            </w:r>
                            <w:r>
                              <w:rPr>
                                <w:color w:val="231F20"/>
                                <w:spacing w:val="-2"/>
                              </w:rPr>
                              <w:t>Regina</w:t>
                            </w:r>
                          </w:p>
                          <w:p w14:paraId="31D82E8D" w14:textId="77777777" w:rsidR="00AE0598" w:rsidRDefault="0069255A">
                            <w:pPr>
                              <w:pStyle w:val="Corpodetexto"/>
                              <w:spacing w:before="120" w:line="232" w:lineRule="auto"/>
                              <w:ind w:left="113" w:right="111" w:firstLine="320"/>
                              <w:jc w:val="both"/>
                              <w:rPr>
                                <w:color w:val="000000"/>
                              </w:rPr>
                            </w:pPr>
                            <w:r>
                              <w:rPr>
                                <w:color w:val="231F20"/>
                              </w:rPr>
                              <w:t>Rock climbing began as one of the elements of the sport of mountaineering</w:t>
                            </w:r>
                            <w:r>
                              <w:rPr>
                                <w:color w:val="231F20"/>
                                <w:spacing w:val="40"/>
                              </w:rPr>
                              <w:t xml:space="preserve"> </w:t>
                            </w:r>
                            <w:r>
                              <w:rPr>
                                <w:color w:val="231F20"/>
                              </w:rPr>
                              <w:t>(Nettlefold</w:t>
                            </w:r>
                            <w:r>
                              <w:rPr>
                                <w:color w:val="231F20"/>
                                <w:spacing w:val="40"/>
                              </w:rPr>
                              <w:t xml:space="preserve"> </w:t>
                            </w:r>
                            <w:r>
                              <w:rPr>
                                <w:color w:val="231F20"/>
                              </w:rPr>
                              <w:t>&amp;</w:t>
                            </w:r>
                            <w:r>
                              <w:rPr>
                                <w:color w:val="231F20"/>
                                <w:spacing w:val="40"/>
                              </w:rPr>
                              <w:t xml:space="preserve"> </w:t>
                            </w:r>
                            <w:r>
                              <w:rPr>
                                <w:color w:val="231F20"/>
                              </w:rPr>
                              <w:t>Stratford,</w:t>
                            </w:r>
                            <w:r>
                              <w:rPr>
                                <w:color w:val="231F20"/>
                                <w:spacing w:val="40"/>
                              </w:rPr>
                              <w:t xml:space="preserve"> </w:t>
                            </w:r>
                            <w:r>
                              <w:rPr>
                                <w:color w:val="231F20"/>
                              </w:rPr>
                              <w:t>1999).</w:t>
                            </w:r>
                            <w:r>
                              <w:rPr>
                                <w:color w:val="231F20"/>
                                <w:spacing w:val="40"/>
                              </w:rPr>
                              <w:t xml:space="preserve"> </w:t>
                            </w:r>
                            <w:r>
                              <w:rPr>
                                <w:color w:val="231F20"/>
                              </w:rPr>
                              <w:t>Since</w:t>
                            </w:r>
                            <w:r>
                              <w:rPr>
                                <w:color w:val="231F20"/>
                                <w:spacing w:val="40"/>
                              </w:rPr>
                              <w:t xml:space="preserve"> </w:t>
                            </w:r>
                            <w:r>
                              <w:rPr>
                                <w:color w:val="231F20"/>
                              </w:rPr>
                              <w:t>its</w:t>
                            </w:r>
                            <w:r>
                              <w:rPr>
                                <w:color w:val="231F20"/>
                                <w:spacing w:val="40"/>
                              </w:rPr>
                              <w:t xml:space="preserve"> </w:t>
                            </w:r>
                            <w:r>
                              <w:rPr>
                                <w:color w:val="231F20"/>
                              </w:rPr>
                              <w:t>birth</w:t>
                            </w:r>
                            <w:r>
                              <w:rPr>
                                <w:color w:val="231F20"/>
                                <w:spacing w:val="40"/>
                              </w:rPr>
                              <w:t xml:space="preserve"> </w:t>
                            </w:r>
                            <w:r>
                              <w:rPr>
                                <w:color w:val="231F20"/>
                              </w:rPr>
                              <w:t>as an</w:t>
                            </w:r>
                            <w:r>
                              <w:rPr>
                                <w:color w:val="231F20"/>
                                <w:spacing w:val="35"/>
                              </w:rPr>
                              <w:t xml:space="preserve"> </w:t>
                            </w:r>
                            <w:r>
                              <w:rPr>
                                <w:color w:val="231F20"/>
                              </w:rPr>
                              <w:t>independent</w:t>
                            </w:r>
                            <w:r>
                              <w:rPr>
                                <w:color w:val="231F20"/>
                                <w:spacing w:val="35"/>
                              </w:rPr>
                              <w:t xml:space="preserve"> </w:t>
                            </w:r>
                            <w:r>
                              <w:rPr>
                                <w:color w:val="231F20"/>
                              </w:rPr>
                              <w:t>activity,</w:t>
                            </w:r>
                            <w:r>
                              <w:rPr>
                                <w:color w:val="231F20"/>
                                <w:spacing w:val="36"/>
                              </w:rPr>
                              <w:t xml:space="preserve"> </w:t>
                            </w:r>
                            <w:r>
                              <w:rPr>
                                <w:color w:val="231F20"/>
                              </w:rPr>
                              <w:t>it</w:t>
                            </w:r>
                            <w:r>
                              <w:rPr>
                                <w:color w:val="231F20"/>
                                <w:spacing w:val="35"/>
                              </w:rPr>
                              <w:t xml:space="preserve"> </w:t>
                            </w:r>
                            <w:r>
                              <w:rPr>
                                <w:color w:val="231F20"/>
                              </w:rPr>
                              <w:t>has</w:t>
                            </w:r>
                            <w:r>
                              <w:rPr>
                                <w:color w:val="231F20"/>
                                <w:spacing w:val="36"/>
                              </w:rPr>
                              <w:t xml:space="preserve"> </w:t>
                            </w:r>
                            <w:r>
                              <w:rPr>
                                <w:color w:val="231F20"/>
                              </w:rPr>
                              <w:t>continued</w:t>
                            </w:r>
                            <w:r>
                              <w:rPr>
                                <w:color w:val="231F20"/>
                                <w:spacing w:val="35"/>
                              </w:rPr>
                              <w:t xml:space="preserve"> </w:t>
                            </w:r>
                            <w:r>
                              <w:rPr>
                                <w:color w:val="231F20"/>
                              </w:rPr>
                              <w:t>to</w:t>
                            </w:r>
                            <w:r>
                              <w:rPr>
                                <w:color w:val="231F20"/>
                                <w:spacing w:val="36"/>
                              </w:rPr>
                              <w:t xml:space="preserve"> </w:t>
                            </w:r>
                            <w:r>
                              <w:rPr>
                                <w:color w:val="231F20"/>
                              </w:rPr>
                              <w:t>grow</w:t>
                            </w:r>
                            <w:r>
                              <w:rPr>
                                <w:color w:val="231F20"/>
                                <w:spacing w:val="35"/>
                              </w:rPr>
                              <w:t xml:space="preserve"> </w:t>
                            </w:r>
                            <w:r>
                              <w:rPr>
                                <w:color w:val="231F20"/>
                              </w:rPr>
                              <w:t>and</w:t>
                            </w:r>
                            <w:r>
                              <w:rPr>
                                <w:color w:val="231F20"/>
                                <w:spacing w:val="36"/>
                              </w:rPr>
                              <w:t xml:space="preserve"> </w:t>
                            </w:r>
                            <w:r>
                              <w:rPr>
                                <w:color w:val="231F20"/>
                              </w:rPr>
                              <w:t>evolve</w:t>
                            </w:r>
                            <w:r>
                              <w:rPr>
                                <w:color w:val="231F20"/>
                                <w:spacing w:val="35"/>
                              </w:rPr>
                              <w:t xml:space="preserve"> </w:t>
                            </w:r>
                            <w:r>
                              <w:rPr>
                                <w:color w:val="231F20"/>
                                <w:spacing w:val="-4"/>
                              </w:rPr>
                              <w:t>with</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7A574D" id="docshape306" o:spid="_x0000_s1129" type="#_x0000_t202" style="position:absolute;margin-left:59.8pt;margin-top:17.6pt;width:323.15pt;height:79.25pt;z-index:-156303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" fillcolor="#dcddde" stroked="f">
                <v:textbox inset="0,0,0,0">
                  <w:txbxContent>
                    <w:p w14:paraId="192A1554" w14:textId="77777777" w:rsidR="00AE0598" w:rsidRDefault="0069255A">
                      <w:pPr>
                        <w:spacing w:before="75"/>
                        <w:ind w:left="113"/>
                        <w:jc w:val="both"/>
                        <w:rPr>
                          <w:rFonts w:ascii="Trebuchet MS" w:hAnsi="Trebuchet MS"/>
                          <w:color w:val="000000"/>
                          <w:sz w:val="20"/>
                        </w:rPr>
                      </w:pPr>
                      <w:r>
                        <w:rPr>
                          <w:rFonts w:ascii="Trebuchet MS" w:hAnsi="Trebuchet MS"/>
                          <w:color w:val="231F20"/>
                          <w:w w:val="105"/>
                          <w:sz w:val="20"/>
                        </w:rPr>
                        <w:t>Focus</w:t>
                      </w:r>
                      <w:r>
                        <w:rPr>
                          <w:rFonts w:ascii="Trebuchet MS" w:hAnsi="Trebuchet MS"/>
                          <w:color w:val="231F20"/>
                          <w:spacing w:val="-13"/>
                          <w:w w:val="105"/>
                          <w:sz w:val="20"/>
                        </w:rPr>
                        <w:t xml:space="preserve"> </w:t>
                      </w:r>
                      <w:r>
                        <w:rPr>
                          <w:rFonts w:ascii="Trebuchet MS" w:hAnsi="Trebuchet MS"/>
                          <w:color w:val="231F20"/>
                          <w:w w:val="105"/>
                          <w:sz w:val="20"/>
                        </w:rPr>
                        <w:t>Point</w:t>
                      </w:r>
                      <w:r>
                        <w:rPr>
                          <w:rFonts w:ascii="Trebuchet MS" w:hAnsi="Trebuchet MS"/>
                          <w:color w:val="231F20"/>
                          <w:spacing w:val="-13"/>
                          <w:w w:val="105"/>
                          <w:sz w:val="20"/>
                        </w:rPr>
                        <w:t xml:space="preserve"> </w:t>
                      </w:r>
                      <w:r>
                        <w:rPr>
                          <w:rFonts w:ascii="Trebuchet MS" w:hAnsi="Trebuchet MS"/>
                          <w:color w:val="231F20"/>
                          <w:w w:val="105"/>
                          <w:sz w:val="20"/>
                        </w:rPr>
                        <w:t>10.1:</w:t>
                      </w:r>
                      <w:r>
                        <w:rPr>
                          <w:rFonts w:ascii="Trebuchet MS" w:hAnsi="Trebuchet MS"/>
                          <w:color w:val="231F20"/>
                          <w:spacing w:val="-13"/>
                          <w:w w:val="105"/>
                          <w:sz w:val="20"/>
                        </w:rPr>
                        <w:t xml:space="preserve"> </w:t>
                      </w:r>
                      <w:r>
                        <w:rPr>
                          <w:rFonts w:ascii="Trebuchet MS" w:hAnsi="Trebuchet MS"/>
                          <w:color w:val="231F20"/>
                          <w:w w:val="105"/>
                          <w:sz w:val="20"/>
                        </w:rPr>
                        <w:t>Climbing</w:t>
                      </w:r>
                      <w:r>
                        <w:rPr>
                          <w:rFonts w:ascii="Trebuchet MS" w:hAnsi="Trebuchet MS"/>
                          <w:color w:val="231F20"/>
                          <w:spacing w:val="-12"/>
                          <w:w w:val="105"/>
                          <w:sz w:val="20"/>
                        </w:rPr>
                        <w:t xml:space="preserve"> </w:t>
                      </w:r>
                      <w:r>
                        <w:rPr>
                          <w:rFonts w:ascii="Trebuchet MS" w:hAnsi="Trebuchet MS"/>
                          <w:color w:val="231F20"/>
                          <w:w w:val="105"/>
                          <w:sz w:val="20"/>
                        </w:rPr>
                        <w:t>–</w:t>
                      </w:r>
                      <w:r>
                        <w:rPr>
                          <w:rFonts w:ascii="Trebuchet MS" w:hAnsi="Trebuchet MS"/>
                          <w:color w:val="231F20"/>
                          <w:spacing w:val="-13"/>
                          <w:w w:val="105"/>
                          <w:sz w:val="20"/>
                        </w:rPr>
                        <w:t xml:space="preserve"> </w:t>
                      </w:r>
                      <w:r>
                        <w:rPr>
                          <w:rFonts w:ascii="Trebuchet MS" w:hAnsi="Trebuchet MS"/>
                          <w:color w:val="231F20"/>
                          <w:w w:val="105"/>
                          <w:sz w:val="20"/>
                        </w:rPr>
                        <w:t>Growing</w:t>
                      </w:r>
                      <w:r>
                        <w:rPr>
                          <w:rFonts w:ascii="Trebuchet MS" w:hAnsi="Trebuchet MS"/>
                          <w:color w:val="231F20"/>
                          <w:spacing w:val="-12"/>
                          <w:w w:val="105"/>
                          <w:sz w:val="20"/>
                        </w:rPr>
                        <w:t xml:space="preserve"> </w:t>
                      </w:r>
                      <w:r>
                        <w:rPr>
                          <w:rFonts w:ascii="Trebuchet MS" w:hAnsi="Trebuchet MS"/>
                          <w:color w:val="231F20"/>
                          <w:spacing w:val="-2"/>
                          <w:w w:val="105"/>
                          <w:sz w:val="20"/>
                        </w:rPr>
                        <w:t>Differentiation</w:t>
                      </w:r>
                    </w:p>
                    <w:p w14:paraId="7E80E4D8" w14:textId="77777777" w:rsidR="00AE0598" w:rsidRDefault="0069255A">
                      <w:pPr>
                        <w:pStyle w:val="Corpodetexto"/>
                        <w:spacing w:before="116"/>
                        <w:ind w:left="113"/>
                        <w:jc w:val="both"/>
                        <w:rPr>
                          <w:color w:val="000000"/>
                        </w:rPr>
                      </w:pPr>
                      <w:r>
                        <w:rPr>
                          <w:color w:val="231F20"/>
                        </w:rPr>
                        <w:t>Cory</w:t>
                      </w:r>
                      <w:r>
                        <w:rPr>
                          <w:color w:val="231F20"/>
                          <w:spacing w:val="4"/>
                        </w:rPr>
                        <w:t xml:space="preserve"> </w:t>
                      </w:r>
                      <w:r>
                        <w:rPr>
                          <w:color w:val="231F20"/>
                        </w:rPr>
                        <w:t>Kulczycki,</w:t>
                      </w:r>
                      <w:r>
                        <w:rPr>
                          <w:color w:val="231F20"/>
                          <w:spacing w:val="4"/>
                        </w:rPr>
                        <w:t xml:space="preserve"> </w:t>
                      </w:r>
                      <w:r>
                        <w:rPr>
                          <w:color w:val="231F20"/>
                        </w:rPr>
                        <w:t>University</w:t>
                      </w:r>
                      <w:r>
                        <w:rPr>
                          <w:color w:val="231F20"/>
                          <w:spacing w:val="4"/>
                        </w:rPr>
                        <w:t xml:space="preserve"> </w:t>
                      </w:r>
                      <w:r>
                        <w:rPr>
                          <w:color w:val="231F20"/>
                        </w:rPr>
                        <w:t>of</w:t>
                      </w:r>
                      <w:r>
                        <w:rPr>
                          <w:color w:val="231F20"/>
                          <w:spacing w:val="4"/>
                        </w:rPr>
                        <w:t xml:space="preserve"> </w:t>
                      </w:r>
                      <w:r>
                        <w:rPr>
                          <w:color w:val="231F20"/>
                          <w:spacing w:val="-2"/>
                        </w:rPr>
                        <w:t>Regina</w:t>
                      </w:r>
                    </w:p>
                    <w:p w14:paraId="31D82E8D" w14:textId="77777777" w:rsidR="00AE0598" w:rsidRDefault="0069255A">
                      <w:pPr>
                        <w:pStyle w:val="Corpodetexto"/>
                        <w:spacing w:before="120" w:line="232" w:lineRule="auto"/>
                        <w:ind w:left="113" w:right="111" w:firstLine="320"/>
                        <w:jc w:val="both"/>
                        <w:rPr>
                          <w:color w:val="000000"/>
                        </w:rPr>
                      </w:pPr>
                      <w:r>
                        <w:rPr>
                          <w:color w:val="231F20"/>
                        </w:rPr>
                        <w:t>Rock climbing began as one of the elements of the sport of mountaineering</w:t>
                      </w:r>
                      <w:r>
                        <w:rPr>
                          <w:color w:val="231F20"/>
                          <w:spacing w:val="40"/>
                        </w:rPr>
                        <w:t xml:space="preserve"> </w:t>
                      </w:r>
                      <w:r>
                        <w:rPr>
                          <w:color w:val="231F20"/>
                        </w:rPr>
                        <w:t>(Nettlefold</w:t>
                      </w:r>
                      <w:r>
                        <w:rPr>
                          <w:color w:val="231F20"/>
                          <w:spacing w:val="40"/>
                        </w:rPr>
                        <w:t xml:space="preserve"> </w:t>
                      </w:r>
                      <w:r>
                        <w:rPr>
                          <w:color w:val="231F20"/>
                        </w:rPr>
                        <w:t>&amp;</w:t>
                      </w:r>
                      <w:r>
                        <w:rPr>
                          <w:color w:val="231F20"/>
                          <w:spacing w:val="40"/>
                        </w:rPr>
                        <w:t xml:space="preserve"> </w:t>
                      </w:r>
                      <w:r>
                        <w:rPr>
                          <w:color w:val="231F20"/>
                        </w:rPr>
                        <w:t>Stratford,</w:t>
                      </w:r>
                      <w:r>
                        <w:rPr>
                          <w:color w:val="231F20"/>
                          <w:spacing w:val="40"/>
                        </w:rPr>
                        <w:t xml:space="preserve"> </w:t>
                      </w:r>
                      <w:r>
                        <w:rPr>
                          <w:color w:val="231F20"/>
                        </w:rPr>
                        <w:t>1999).</w:t>
                      </w:r>
                      <w:r>
                        <w:rPr>
                          <w:color w:val="231F20"/>
                          <w:spacing w:val="40"/>
                        </w:rPr>
                        <w:t xml:space="preserve"> </w:t>
                      </w:r>
                      <w:r>
                        <w:rPr>
                          <w:color w:val="231F20"/>
                        </w:rPr>
                        <w:t>Since</w:t>
                      </w:r>
                      <w:r>
                        <w:rPr>
                          <w:color w:val="231F20"/>
                          <w:spacing w:val="40"/>
                        </w:rPr>
                        <w:t xml:space="preserve"> </w:t>
                      </w:r>
                      <w:r>
                        <w:rPr>
                          <w:color w:val="231F20"/>
                        </w:rPr>
                        <w:t>its</w:t>
                      </w:r>
                      <w:r>
                        <w:rPr>
                          <w:color w:val="231F20"/>
                          <w:spacing w:val="40"/>
                        </w:rPr>
                        <w:t xml:space="preserve"> </w:t>
                      </w:r>
                      <w:r>
                        <w:rPr>
                          <w:color w:val="231F20"/>
                        </w:rPr>
                        <w:t>birth</w:t>
                      </w:r>
                      <w:r>
                        <w:rPr>
                          <w:color w:val="231F20"/>
                          <w:spacing w:val="40"/>
                        </w:rPr>
                        <w:t xml:space="preserve"> </w:t>
                      </w:r>
                      <w:r>
                        <w:rPr>
                          <w:color w:val="231F20"/>
                        </w:rPr>
                        <w:t>as an</w:t>
                      </w:r>
                      <w:r>
                        <w:rPr>
                          <w:color w:val="231F20"/>
                          <w:spacing w:val="35"/>
                        </w:rPr>
                        <w:t xml:space="preserve"> </w:t>
                      </w:r>
                      <w:r>
                        <w:rPr>
                          <w:color w:val="231F20"/>
                        </w:rPr>
                        <w:t>independent</w:t>
                      </w:r>
                      <w:r>
                        <w:rPr>
                          <w:color w:val="231F20"/>
                          <w:spacing w:val="35"/>
                        </w:rPr>
                        <w:t xml:space="preserve"> </w:t>
                      </w:r>
                      <w:r>
                        <w:rPr>
                          <w:color w:val="231F20"/>
                        </w:rPr>
                        <w:t>activity,</w:t>
                      </w:r>
                      <w:r>
                        <w:rPr>
                          <w:color w:val="231F20"/>
                          <w:spacing w:val="36"/>
                        </w:rPr>
                        <w:t xml:space="preserve"> </w:t>
                      </w:r>
                      <w:r>
                        <w:rPr>
                          <w:color w:val="231F20"/>
                        </w:rPr>
                        <w:t>it</w:t>
                      </w:r>
                      <w:r>
                        <w:rPr>
                          <w:color w:val="231F20"/>
                          <w:spacing w:val="35"/>
                        </w:rPr>
                        <w:t xml:space="preserve"> </w:t>
                      </w:r>
                      <w:r>
                        <w:rPr>
                          <w:color w:val="231F20"/>
                        </w:rPr>
                        <w:t>has</w:t>
                      </w:r>
                      <w:r>
                        <w:rPr>
                          <w:color w:val="231F20"/>
                          <w:spacing w:val="36"/>
                        </w:rPr>
                        <w:t xml:space="preserve"> </w:t>
                      </w:r>
                      <w:r>
                        <w:rPr>
                          <w:color w:val="231F20"/>
                        </w:rPr>
                        <w:t>continued</w:t>
                      </w:r>
                      <w:r>
                        <w:rPr>
                          <w:color w:val="231F20"/>
                          <w:spacing w:val="35"/>
                        </w:rPr>
                        <w:t xml:space="preserve"> </w:t>
                      </w:r>
                      <w:r>
                        <w:rPr>
                          <w:color w:val="231F20"/>
                        </w:rPr>
                        <w:t>to</w:t>
                      </w:r>
                      <w:r>
                        <w:rPr>
                          <w:color w:val="231F20"/>
                          <w:spacing w:val="36"/>
                        </w:rPr>
                        <w:t xml:space="preserve"> </w:t>
                      </w:r>
                      <w:r>
                        <w:rPr>
                          <w:color w:val="231F20"/>
                        </w:rPr>
                        <w:t>grow</w:t>
                      </w:r>
                      <w:r>
                        <w:rPr>
                          <w:color w:val="231F20"/>
                          <w:spacing w:val="35"/>
                        </w:rPr>
                        <w:t xml:space="preserve"> </w:t>
                      </w:r>
                      <w:r>
                        <w:rPr>
                          <w:color w:val="231F20"/>
                        </w:rPr>
                        <w:t>and</w:t>
                      </w:r>
                      <w:r>
                        <w:rPr>
                          <w:color w:val="231F20"/>
                          <w:spacing w:val="36"/>
                        </w:rPr>
                        <w:t xml:space="preserve"> </w:t>
                      </w:r>
                      <w:r>
                        <w:rPr>
                          <w:color w:val="231F20"/>
                        </w:rPr>
                        <w:t>evolve</w:t>
                      </w:r>
                      <w:r>
                        <w:rPr>
                          <w:color w:val="231F20"/>
                          <w:spacing w:val="35"/>
                        </w:rPr>
                        <w:t xml:space="preserve"> </w:t>
                      </w:r>
                      <w:r>
                        <w:rPr>
                          <w:color w:val="231F20"/>
                          <w:spacing w:val="-4"/>
                        </w:rPr>
                        <w:t>with</w:t>
                      </w:r>
                    </w:p>
                  </w:txbxContent>
                </v:textbox>
                <w10:wrap type="topAndBottom" anchorx="page"/>
              </v:shape>
            </w:pict>
          </mc:Fallback>
        </mc:AlternateContent>
      </w:r>
    </w:p>
    <w:p w14:paraId="3D0EBB3D" w14:textId="77777777" w:rsidR="00AE0598" w:rsidRDefault="00AE0598">
      <w:pPr>
        <w:rPr>
          <w:sz w:val="28"/>
        </w:rPr>
        <w:sectPr w:rsidR="00AE0598">
          <w:pgSz w:w="8850" w:h="13270"/>
          <w:pgMar w:top="720" w:right="1060" w:bottom="280" w:left="1080" w:header="720" w:footer="720" w:gutter="0"/>
          <w:cols w:space="720"/>
        </w:sectPr>
      </w:pPr>
    </w:p>
    <w:p w14:paraId="7931D70B" w14:textId="77777777" w:rsidR="00AE0598" w:rsidRDefault="0069255A">
      <w:pPr>
        <w:spacing w:before="87"/>
        <w:ind w:left="3808"/>
        <w:rPr>
          <w:rFonts w:ascii="Trebuchet MS"/>
          <w:sz w:val="14"/>
        </w:rPr>
      </w:pPr>
      <w:r>
        <w:rPr>
          <w:rFonts w:ascii="Trebuchet MS"/>
          <w:color w:val="231F20"/>
          <w:w w:val="105"/>
          <w:sz w:val="14"/>
        </w:rPr>
        <w:lastRenderedPageBreak/>
        <w:t>Evolutionary</w:t>
      </w:r>
      <w:r>
        <w:rPr>
          <w:rFonts w:ascii="Trebuchet MS"/>
          <w:color w:val="231F20"/>
          <w:spacing w:val="-12"/>
          <w:w w:val="105"/>
          <w:sz w:val="14"/>
        </w:rPr>
        <w:t xml:space="preserve"> </w:t>
      </w:r>
      <w:r>
        <w:rPr>
          <w:rFonts w:ascii="Trebuchet MS"/>
          <w:color w:val="231F20"/>
          <w:w w:val="105"/>
          <w:sz w:val="14"/>
        </w:rPr>
        <w:t>Trends</w:t>
      </w:r>
      <w:r>
        <w:rPr>
          <w:rFonts w:ascii="Trebuchet MS"/>
          <w:color w:val="231F20"/>
          <w:spacing w:val="-11"/>
          <w:w w:val="105"/>
          <w:sz w:val="14"/>
        </w:rPr>
        <w:t xml:space="preserve"> </w:t>
      </w:r>
      <w:r>
        <w:rPr>
          <w:rFonts w:ascii="Trebuchet MS"/>
          <w:color w:val="231F20"/>
          <w:w w:val="105"/>
          <w:sz w:val="14"/>
        </w:rPr>
        <w:t>in</w:t>
      </w:r>
      <w:r>
        <w:rPr>
          <w:rFonts w:ascii="Trebuchet MS"/>
          <w:color w:val="231F20"/>
          <w:spacing w:val="-11"/>
          <w:w w:val="105"/>
          <w:sz w:val="14"/>
        </w:rPr>
        <w:t xml:space="preserve"> </w:t>
      </w:r>
      <w:r>
        <w:rPr>
          <w:rFonts w:ascii="Trebuchet MS"/>
          <w:color w:val="231F20"/>
          <w:w w:val="105"/>
          <w:sz w:val="14"/>
        </w:rPr>
        <w:t>Sport</w:t>
      </w:r>
      <w:r>
        <w:rPr>
          <w:rFonts w:ascii="Trebuchet MS"/>
          <w:color w:val="231F20"/>
          <w:spacing w:val="-11"/>
          <w:w w:val="105"/>
          <w:sz w:val="14"/>
        </w:rPr>
        <w:t xml:space="preserve"> </w:t>
      </w:r>
      <w:r>
        <w:rPr>
          <w:rFonts w:ascii="Trebuchet MS"/>
          <w:color w:val="231F20"/>
          <w:w w:val="105"/>
          <w:sz w:val="14"/>
        </w:rPr>
        <w:t>Tourism</w:t>
      </w:r>
      <w:r>
        <w:rPr>
          <w:rFonts w:ascii="Trebuchet MS"/>
          <w:color w:val="231F20"/>
          <w:spacing w:val="74"/>
          <w:w w:val="105"/>
          <w:sz w:val="14"/>
        </w:rPr>
        <w:t xml:space="preserve"> </w:t>
      </w:r>
      <w:r>
        <w:rPr>
          <w:rFonts w:ascii="Trebuchet MS"/>
          <w:color w:val="231F20"/>
          <w:spacing w:val="-5"/>
          <w:w w:val="105"/>
          <w:sz w:val="14"/>
        </w:rPr>
        <w:t>205</w:t>
      </w:r>
    </w:p>
    <w:p w14:paraId="0813B091" w14:textId="77777777" w:rsidR="00AE0598" w:rsidRDefault="00AE0598">
      <w:pPr>
        <w:pStyle w:val="Corpodetexto"/>
        <w:spacing w:before="1"/>
        <w:rPr>
          <w:rFonts w:ascii="Trebuchet MS"/>
          <w:sz w:val="27"/>
        </w:rPr>
      </w:pPr>
    </w:p>
    <w:p w14:paraId="76696FFB" w14:textId="6B5CB309" w:rsidR="00AE0598" w:rsidRDefault="0069255A">
      <w:pPr>
        <w:pStyle w:val="Corpodetexto"/>
        <w:spacing w:before="103" w:line="232" w:lineRule="auto"/>
        <w:ind w:left="223" w:right="239"/>
        <w:jc w:val="both"/>
      </w:pPr>
      <w:r>
        <w:rPr>
          <w:noProof/>
        </w:rPr>
        <mc:AlternateContent>
          <mc:Choice Requires="wps">
            <w:drawing>
              <wp:anchor distT="0" distB="0" distL="114300" distR="114300" simplePos="0" relativeHeight="483751424" behindDoc="1" locked="0" layoutInCell="1" allowOverlap="1" wp14:anchorId="5E73F512" wp14:editId="75236EC0">
                <wp:simplePos x="0" y="0"/>
                <wp:positionH relativeFrom="page">
                  <wp:posOffset>755650</wp:posOffset>
                </wp:positionH>
                <wp:positionV relativeFrom="paragraph">
                  <wp:posOffset>19050</wp:posOffset>
                </wp:positionV>
                <wp:extent cx="4104005" cy="6248400"/>
                <wp:effectExtent l="0" t="0" r="0" b="0"/>
                <wp:wrapNone/>
                <wp:docPr id="46" name="docshape3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04005" cy="6248400"/>
                        </a:xfrm>
                        <a:prstGeom prst="rect">
                          <a:avLst/>
                        </a:prstGeom>
                        <a:solidFill>
                          <a:srgbClr val="DCDDD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B6BB89" id="docshape307" o:spid="_x0000_s1026" style="position:absolute;margin-left:59.5pt;margin-top:1.5pt;width:323.15pt;height:492pt;z-index:-195650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" fillcolor="#dcddde" stroked="f">
                <w10:wrap anchorx="page"/>
              </v:rect>
            </w:pict>
          </mc:Fallback>
        </mc:AlternateContent>
      </w:r>
      <w:r>
        <w:rPr>
          <w:color w:val="231F20"/>
        </w:rPr>
        <w:t>diversification and specialisation being the norm rather than the exception. Variations in rules and practices now distinguish several different</w:t>
      </w:r>
      <w:r>
        <w:rPr>
          <w:color w:val="231F20"/>
          <w:spacing w:val="-9"/>
        </w:rPr>
        <w:t xml:space="preserve"> </w:t>
      </w:r>
      <w:r>
        <w:rPr>
          <w:color w:val="231F20"/>
        </w:rPr>
        <w:t>types</w:t>
      </w:r>
      <w:r>
        <w:rPr>
          <w:color w:val="231F20"/>
          <w:spacing w:val="-9"/>
        </w:rPr>
        <w:t xml:space="preserve"> </w:t>
      </w:r>
      <w:r>
        <w:rPr>
          <w:color w:val="231F20"/>
        </w:rPr>
        <w:t>of</w:t>
      </w:r>
      <w:r>
        <w:rPr>
          <w:color w:val="231F20"/>
          <w:spacing w:val="-9"/>
        </w:rPr>
        <w:t xml:space="preserve"> </w:t>
      </w:r>
      <w:r>
        <w:rPr>
          <w:color w:val="231F20"/>
        </w:rPr>
        <w:t>rock</w:t>
      </w:r>
      <w:r>
        <w:rPr>
          <w:color w:val="231F20"/>
          <w:spacing w:val="-9"/>
        </w:rPr>
        <w:t xml:space="preserve"> </w:t>
      </w:r>
      <w:r>
        <w:rPr>
          <w:color w:val="231F20"/>
        </w:rPr>
        <w:t>climb</w:t>
      </w:r>
      <w:r>
        <w:rPr>
          <w:color w:val="231F20"/>
        </w:rPr>
        <w:t>ing</w:t>
      </w:r>
      <w:r>
        <w:rPr>
          <w:color w:val="231F20"/>
          <w:spacing w:val="-9"/>
        </w:rPr>
        <w:t xml:space="preserve"> </w:t>
      </w:r>
      <w:r>
        <w:rPr>
          <w:color w:val="231F20"/>
        </w:rPr>
        <w:t>including</w:t>
      </w:r>
      <w:r>
        <w:rPr>
          <w:color w:val="231F20"/>
          <w:spacing w:val="-9"/>
        </w:rPr>
        <w:t xml:space="preserve"> </w:t>
      </w:r>
      <w:r>
        <w:rPr>
          <w:color w:val="231F20"/>
        </w:rPr>
        <w:t>but</w:t>
      </w:r>
      <w:r>
        <w:rPr>
          <w:color w:val="231F20"/>
          <w:spacing w:val="-9"/>
        </w:rPr>
        <w:t xml:space="preserve"> </w:t>
      </w:r>
      <w:r>
        <w:rPr>
          <w:color w:val="231F20"/>
        </w:rPr>
        <w:t>not</w:t>
      </w:r>
      <w:r>
        <w:rPr>
          <w:color w:val="231F20"/>
          <w:spacing w:val="-9"/>
        </w:rPr>
        <w:t xml:space="preserve"> </w:t>
      </w:r>
      <w:r>
        <w:rPr>
          <w:color w:val="231F20"/>
        </w:rPr>
        <w:t>limited</w:t>
      </w:r>
      <w:r>
        <w:rPr>
          <w:color w:val="231F20"/>
          <w:spacing w:val="-9"/>
        </w:rPr>
        <w:t xml:space="preserve"> </w:t>
      </w:r>
      <w:r>
        <w:rPr>
          <w:color w:val="231F20"/>
        </w:rPr>
        <w:t>to</w:t>
      </w:r>
      <w:r>
        <w:rPr>
          <w:color w:val="231F20"/>
          <w:spacing w:val="-9"/>
        </w:rPr>
        <w:t xml:space="preserve"> </w:t>
      </w:r>
      <w:r>
        <w:rPr>
          <w:color w:val="231F20"/>
        </w:rPr>
        <w:t xml:space="preserve">traditional climbing, sport climbing, aid climbing, top roping and bouldering </w:t>
      </w:r>
      <w:r>
        <w:rPr>
          <w:color w:val="231F20"/>
          <w:w w:val="95"/>
        </w:rPr>
        <w:t xml:space="preserve">(Levey, 2010). In traditional climbing, the climber places anchors (nuts </w:t>
      </w:r>
      <w:r>
        <w:rPr>
          <w:color w:val="231F20"/>
        </w:rPr>
        <w:t xml:space="preserve">and cams) into cracks in the rock, which connect to a rope thereby providing protection from falls; this protection is removed when the </w:t>
      </w:r>
      <w:r>
        <w:rPr>
          <w:color w:val="231F20"/>
          <w:w w:val="95"/>
        </w:rPr>
        <w:t>climb is completed (Steele, 2006). Sport climbi</w:t>
      </w:r>
      <w:r>
        <w:rPr>
          <w:color w:val="231F20"/>
          <w:w w:val="95"/>
        </w:rPr>
        <w:t xml:space="preserve">ng emphasises speedier gymnastic-style movements and uses bolts that are permanently placed </w:t>
      </w:r>
      <w:r>
        <w:rPr>
          <w:color w:val="231F20"/>
        </w:rPr>
        <w:t xml:space="preserve">within the rock (Schuster </w:t>
      </w:r>
      <w:r>
        <w:rPr>
          <w:i/>
          <w:color w:val="231F20"/>
        </w:rPr>
        <w:t>et al</w:t>
      </w:r>
      <w:r>
        <w:rPr>
          <w:color w:val="231F20"/>
        </w:rPr>
        <w:t>., 2001). The aid climber is assisted by various</w:t>
      </w:r>
      <w:r>
        <w:rPr>
          <w:color w:val="231F20"/>
          <w:spacing w:val="-12"/>
        </w:rPr>
        <w:t xml:space="preserve"> </w:t>
      </w:r>
      <w:r>
        <w:rPr>
          <w:color w:val="231F20"/>
        </w:rPr>
        <w:t>tools</w:t>
      </w:r>
      <w:r>
        <w:rPr>
          <w:color w:val="231F20"/>
          <w:spacing w:val="-11"/>
        </w:rPr>
        <w:t xml:space="preserve"> </w:t>
      </w:r>
      <w:r>
        <w:rPr>
          <w:color w:val="231F20"/>
        </w:rPr>
        <w:t>while</w:t>
      </w:r>
      <w:r>
        <w:rPr>
          <w:color w:val="231F20"/>
          <w:spacing w:val="-12"/>
        </w:rPr>
        <w:t xml:space="preserve"> </w:t>
      </w:r>
      <w:r>
        <w:rPr>
          <w:color w:val="231F20"/>
        </w:rPr>
        <w:t>climbing</w:t>
      </w:r>
      <w:r>
        <w:rPr>
          <w:color w:val="231F20"/>
          <w:spacing w:val="-11"/>
        </w:rPr>
        <w:t xml:space="preserve"> </w:t>
      </w:r>
      <w:r>
        <w:rPr>
          <w:color w:val="231F20"/>
        </w:rPr>
        <w:t>(Abramson</w:t>
      </w:r>
      <w:r>
        <w:rPr>
          <w:color w:val="231F20"/>
          <w:spacing w:val="-12"/>
        </w:rPr>
        <w:t xml:space="preserve"> </w:t>
      </w:r>
      <w:r>
        <w:rPr>
          <w:color w:val="231F20"/>
        </w:rPr>
        <w:t>&amp;</w:t>
      </w:r>
      <w:r>
        <w:rPr>
          <w:color w:val="231F20"/>
          <w:spacing w:val="-11"/>
        </w:rPr>
        <w:t xml:space="preserve"> </w:t>
      </w:r>
      <w:r>
        <w:rPr>
          <w:color w:val="231F20"/>
        </w:rPr>
        <w:t>Fletcher,</w:t>
      </w:r>
      <w:r>
        <w:rPr>
          <w:color w:val="231F20"/>
          <w:spacing w:val="-12"/>
        </w:rPr>
        <w:t xml:space="preserve"> </w:t>
      </w:r>
      <w:r>
        <w:rPr>
          <w:color w:val="231F20"/>
        </w:rPr>
        <w:t>2007).</w:t>
      </w:r>
      <w:r>
        <w:rPr>
          <w:color w:val="231F20"/>
          <w:spacing w:val="-11"/>
        </w:rPr>
        <w:t xml:space="preserve"> </w:t>
      </w:r>
      <w:r>
        <w:rPr>
          <w:color w:val="231F20"/>
        </w:rPr>
        <w:t>Top-roping uses anchors at the top</w:t>
      </w:r>
      <w:r>
        <w:rPr>
          <w:color w:val="231F20"/>
        </w:rPr>
        <w:t xml:space="preserve"> of the climb through which the rope passes to </w:t>
      </w:r>
      <w:r>
        <w:rPr>
          <w:color w:val="231F20"/>
          <w:w w:val="95"/>
        </w:rPr>
        <w:t xml:space="preserve">the climber and partner (i.e. the belayer). Bouldering involves climbing </w:t>
      </w:r>
      <w:r>
        <w:rPr>
          <w:color w:val="231F20"/>
        </w:rPr>
        <w:t>short routes/problems on a cliff or large boulder without the use of ropes, harnesses or other climbing equipment (Levey, 2010). These s</w:t>
      </w:r>
      <w:r>
        <w:rPr>
          <w:color w:val="231F20"/>
        </w:rPr>
        <w:t xml:space="preserve">tyles of climbing differ based on how climbers approach the activity, their behaviours and their perceptions of authenticity (Kiewa, 2002). </w:t>
      </w:r>
      <w:r>
        <w:rPr>
          <w:color w:val="231F20"/>
          <w:w w:val="95"/>
        </w:rPr>
        <w:t>Climbing styles, sites, social interactions, past experiences and cultures</w:t>
      </w:r>
      <w:r>
        <w:rPr>
          <w:color w:val="231F20"/>
        </w:rPr>
        <w:t xml:space="preserve"> all influence the travel decisions of out</w:t>
      </w:r>
      <w:r>
        <w:rPr>
          <w:color w:val="231F20"/>
        </w:rPr>
        <w:t xml:space="preserve">door climbers with sites like </w:t>
      </w:r>
      <w:r>
        <w:rPr>
          <w:color w:val="231F20"/>
          <w:w w:val="95"/>
        </w:rPr>
        <w:t xml:space="preserve">Squamish, British Columbia, having a particularly strong reputation for </w:t>
      </w:r>
      <w:r>
        <w:rPr>
          <w:color w:val="231F20"/>
        </w:rPr>
        <w:t>bouldering (Kulczycki, 2014).</w:t>
      </w:r>
    </w:p>
    <w:p w14:paraId="45F9F10F" w14:textId="77777777" w:rsidR="00AE0598" w:rsidRDefault="0069255A">
      <w:pPr>
        <w:pStyle w:val="Corpodetexto"/>
        <w:spacing w:before="25" w:line="232" w:lineRule="auto"/>
        <w:ind w:left="223" w:right="240" w:firstLine="320"/>
        <w:jc w:val="both"/>
      </w:pPr>
      <w:r>
        <w:rPr>
          <w:color w:val="231F20"/>
          <w:w w:val="95"/>
        </w:rPr>
        <w:t>Recently,</w:t>
      </w:r>
      <w:r>
        <w:rPr>
          <w:color w:val="231F20"/>
          <w:spacing w:val="-4"/>
          <w:w w:val="95"/>
        </w:rPr>
        <w:t xml:space="preserve"> </w:t>
      </w:r>
      <w:r>
        <w:rPr>
          <w:color w:val="231F20"/>
          <w:w w:val="95"/>
        </w:rPr>
        <w:t>there</w:t>
      </w:r>
      <w:r>
        <w:rPr>
          <w:color w:val="231F20"/>
          <w:spacing w:val="-4"/>
          <w:w w:val="95"/>
        </w:rPr>
        <w:t xml:space="preserve"> </w:t>
      </w:r>
      <w:r>
        <w:rPr>
          <w:color w:val="231F20"/>
          <w:w w:val="95"/>
        </w:rPr>
        <w:t>has</w:t>
      </w:r>
      <w:r>
        <w:rPr>
          <w:color w:val="231F20"/>
          <w:spacing w:val="-4"/>
          <w:w w:val="95"/>
        </w:rPr>
        <w:t xml:space="preserve"> </w:t>
      </w:r>
      <w:r>
        <w:rPr>
          <w:color w:val="231F20"/>
          <w:w w:val="95"/>
        </w:rPr>
        <w:t>been</w:t>
      </w:r>
      <w:r>
        <w:rPr>
          <w:color w:val="231F20"/>
          <w:spacing w:val="-4"/>
          <w:w w:val="95"/>
        </w:rPr>
        <w:t xml:space="preserve"> </w:t>
      </w:r>
      <w:r>
        <w:rPr>
          <w:color w:val="231F20"/>
          <w:w w:val="95"/>
        </w:rPr>
        <w:t>an</w:t>
      </w:r>
      <w:r>
        <w:rPr>
          <w:color w:val="231F20"/>
          <w:spacing w:val="-4"/>
          <w:w w:val="95"/>
        </w:rPr>
        <w:t xml:space="preserve"> </w:t>
      </w:r>
      <w:r>
        <w:rPr>
          <w:color w:val="231F20"/>
          <w:w w:val="95"/>
        </w:rPr>
        <w:t>upsurge</w:t>
      </w:r>
      <w:r>
        <w:rPr>
          <w:color w:val="231F20"/>
          <w:spacing w:val="-4"/>
          <w:w w:val="95"/>
        </w:rPr>
        <w:t xml:space="preserve"> </w:t>
      </w:r>
      <w:r>
        <w:rPr>
          <w:color w:val="231F20"/>
          <w:w w:val="95"/>
        </w:rPr>
        <w:t>in</w:t>
      </w:r>
      <w:r>
        <w:rPr>
          <w:color w:val="231F20"/>
          <w:spacing w:val="-4"/>
          <w:w w:val="95"/>
        </w:rPr>
        <w:t xml:space="preserve"> </w:t>
      </w:r>
      <w:r>
        <w:rPr>
          <w:color w:val="231F20"/>
          <w:w w:val="95"/>
        </w:rPr>
        <w:t>the</w:t>
      </w:r>
      <w:r>
        <w:rPr>
          <w:color w:val="231F20"/>
          <w:spacing w:val="-4"/>
          <w:w w:val="95"/>
        </w:rPr>
        <w:t xml:space="preserve"> </w:t>
      </w:r>
      <w:r>
        <w:rPr>
          <w:color w:val="231F20"/>
          <w:w w:val="95"/>
        </w:rPr>
        <w:t>number</w:t>
      </w:r>
      <w:r>
        <w:rPr>
          <w:color w:val="231F20"/>
          <w:spacing w:val="-4"/>
          <w:w w:val="95"/>
        </w:rPr>
        <w:t xml:space="preserve"> </w:t>
      </w:r>
      <w:r>
        <w:rPr>
          <w:color w:val="231F20"/>
          <w:w w:val="95"/>
        </w:rPr>
        <w:t>of</w:t>
      </w:r>
      <w:r>
        <w:rPr>
          <w:color w:val="231F20"/>
          <w:spacing w:val="-4"/>
          <w:w w:val="95"/>
        </w:rPr>
        <w:t xml:space="preserve"> </w:t>
      </w:r>
      <w:r>
        <w:rPr>
          <w:color w:val="231F20"/>
          <w:w w:val="95"/>
        </w:rPr>
        <w:t>indoor</w:t>
      </w:r>
      <w:r>
        <w:rPr>
          <w:color w:val="231F20"/>
          <w:spacing w:val="-4"/>
          <w:w w:val="95"/>
        </w:rPr>
        <w:t xml:space="preserve"> </w:t>
      </w:r>
      <w:r>
        <w:rPr>
          <w:color w:val="231F20"/>
          <w:w w:val="95"/>
        </w:rPr>
        <w:t>climbing facilities designed to mimic or deviate in appearance a</w:t>
      </w:r>
      <w:r>
        <w:rPr>
          <w:color w:val="231F20"/>
          <w:w w:val="95"/>
        </w:rPr>
        <w:t xml:space="preserve">nd function from traditional outdoor spaces. These facilities are proving to be popular for training, socialisation and fitness in urban areas (Eden &amp; Barratt, 2010). The increasing popularity of these facilities fosters different experiences </w:t>
      </w:r>
      <w:r>
        <w:rPr>
          <w:color w:val="231F20"/>
        </w:rPr>
        <w:t>and skill set</w:t>
      </w:r>
      <w:r>
        <w:rPr>
          <w:color w:val="231F20"/>
        </w:rPr>
        <w:t xml:space="preserve">s and has led to passionate debates among the climbing </w:t>
      </w:r>
      <w:r>
        <w:rPr>
          <w:color w:val="231F20"/>
          <w:w w:val="95"/>
        </w:rPr>
        <w:t xml:space="preserve">community about authenticity and place meaning (Eden &amp; Barratt, 2010; </w:t>
      </w:r>
      <w:r>
        <w:rPr>
          <w:color w:val="231F20"/>
        </w:rPr>
        <w:t xml:space="preserve">Kulczycki &amp; Hinch, 2015). One of the most important questions in a </w:t>
      </w:r>
      <w:r>
        <w:rPr>
          <w:color w:val="231F20"/>
          <w:w w:val="95"/>
        </w:rPr>
        <w:t>sport tourism context is whether the built facilities will becom</w:t>
      </w:r>
      <w:r>
        <w:rPr>
          <w:color w:val="231F20"/>
          <w:w w:val="95"/>
        </w:rPr>
        <w:t>e popular travel destinations just as their outdoor counterparts have proven to be?</w:t>
      </w:r>
    </w:p>
    <w:p w14:paraId="20A1B67A" w14:textId="77777777" w:rsidR="00AE0598" w:rsidRDefault="00AE0598">
      <w:pPr>
        <w:pStyle w:val="Corpodetexto"/>
        <w:spacing w:before="11"/>
      </w:pPr>
    </w:p>
    <w:p w14:paraId="76E21A9E" w14:textId="77777777" w:rsidR="00AE0598" w:rsidRDefault="0069255A">
      <w:pPr>
        <w:ind w:left="223"/>
        <w:jc w:val="both"/>
        <w:rPr>
          <w:rFonts w:ascii="Trebuchet MS"/>
          <w:sz w:val="20"/>
        </w:rPr>
      </w:pPr>
      <w:r>
        <w:rPr>
          <w:rFonts w:ascii="Trebuchet MS"/>
          <w:color w:val="231F20"/>
          <w:w w:val="105"/>
          <w:sz w:val="20"/>
        </w:rPr>
        <w:t>Key</w:t>
      </w:r>
      <w:r>
        <w:rPr>
          <w:rFonts w:ascii="Trebuchet MS"/>
          <w:color w:val="231F20"/>
          <w:spacing w:val="-11"/>
          <w:w w:val="105"/>
          <w:sz w:val="20"/>
        </w:rPr>
        <w:t xml:space="preserve"> </w:t>
      </w:r>
      <w:r>
        <w:rPr>
          <w:rFonts w:ascii="Trebuchet MS"/>
          <w:color w:val="231F20"/>
          <w:spacing w:val="-2"/>
          <w:w w:val="105"/>
          <w:sz w:val="20"/>
        </w:rPr>
        <w:t>Reading</w:t>
      </w:r>
    </w:p>
    <w:p w14:paraId="5B24175B" w14:textId="77777777" w:rsidR="00AE0598" w:rsidRDefault="0069255A">
      <w:pPr>
        <w:spacing w:before="122" w:line="232" w:lineRule="auto"/>
        <w:ind w:left="223" w:right="241"/>
        <w:jc w:val="both"/>
        <w:rPr>
          <w:sz w:val="21"/>
        </w:rPr>
      </w:pPr>
      <w:r>
        <w:rPr>
          <w:color w:val="231F20"/>
          <w:sz w:val="21"/>
        </w:rPr>
        <w:t xml:space="preserve">Kulczycki, C. (2014) Place meanings and rock climbing in outdoor settings. </w:t>
      </w:r>
      <w:r>
        <w:rPr>
          <w:i/>
          <w:color w:val="231F20"/>
          <w:sz w:val="21"/>
        </w:rPr>
        <w:t xml:space="preserve">Journal of Outdoor Recreation and Tourism </w:t>
      </w:r>
      <w:r>
        <w:rPr>
          <w:color w:val="231F20"/>
          <w:sz w:val="21"/>
        </w:rPr>
        <w:t>7–8, 8–15.</w:t>
      </w:r>
    </w:p>
    <w:p w14:paraId="12A0F6EC" w14:textId="77777777" w:rsidR="00AE0598" w:rsidRDefault="0069255A">
      <w:pPr>
        <w:pStyle w:val="Corpodetexto"/>
        <w:spacing w:before="122" w:line="232" w:lineRule="auto"/>
        <w:ind w:left="223" w:right="241"/>
        <w:jc w:val="both"/>
      </w:pPr>
      <w:r>
        <w:rPr>
          <w:color w:val="231F20"/>
          <w:w w:val="95"/>
        </w:rPr>
        <w:t>Kulczycki, C. and Hinch, T. (2015) ‘It’s a place to climb’: Place meanings</w:t>
      </w:r>
      <w:r>
        <w:rPr>
          <w:color w:val="231F20"/>
          <w:spacing w:val="80"/>
        </w:rPr>
        <w:t xml:space="preserve"> </w:t>
      </w:r>
      <w:r>
        <w:rPr>
          <w:color w:val="231F20"/>
        </w:rPr>
        <w:t xml:space="preserve">of indoor rock climbing facilities. </w:t>
      </w:r>
      <w:r>
        <w:rPr>
          <w:i/>
          <w:color w:val="231F20"/>
        </w:rPr>
        <w:t xml:space="preserve">Leisure/Loisir </w:t>
      </w:r>
      <w:r>
        <w:rPr>
          <w:color w:val="231F20"/>
        </w:rPr>
        <w:t>38 (3–4), 271–293.</w:t>
      </w:r>
    </w:p>
    <w:p w14:paraId="442D6EB0" w14:textId="77777777" w:rsidR="00AE0598" w:rsidRDefault="0069255A">
      <w:pPr>
        <w:spacing w:before="3" w:line="232" w:lineRule="auto"/>
        <w:ind w:left="223" w:right="242" w:firstLine="320"/>
        <w:jc w:val="both"/>
        <w:rPr>
          <w:i/>
          <w:sz w:val="21"/>
        </w:rPr>
      </w:pPr>
      <w:r>
        <w:rPr>
          <w:i/>
          <w:color w:val="231F20"/>
          <w:sz w:val="21"/>
        </w:rPr>
        <w:t>Additional references cited in this focus point are included in the reference list.</w:t>
      </w:r>
    </w:p>
    <w:p w14:paraId="1DFC1D32" w14:textId="77777777" w:rsidR="00AE0598" w:rsidRDefault="00AE0598">
      <w:pPr>
        <w:pStyle w:val="Corpodetexto"/>
        <w:spacing w:before="5"/>
        <w:rPr>
          <w:i/>
          <w:sz w:val="22"/>
        </w:rPr>
      </w:pPr>
    </w:p>
    <w:p w14:paraId="6BF8D709" w14:textId="77777777" w:rsidR="00AE0598" w:rsidRDefault="0069255A">
      <w:pPr>
        <w:pStyle w:val="Corpodetexto"/>
        <w:spacing w:before="1" w:line="232" w:lineRule="auto"/>
        <w:ind w:left="110" w:right="127" w:firstLine="320"/>
        <w:jc w:val="both"/>
      </w:pPr>
      <w:r>
        <w:rPr>
          <w:color w:val="231F20"/>
        </w:rPr>
        <w:t>The</w:t>
      </w:r>
      <w:r>
        <w:rPr>
          <w:color w:val="231F20"/>
          <w:spacing w:val="-3"/>
        </w:rPr>
        <w:t xml:space="preserve"> </w:t>
      </w:r>
      <w:r>
        <w:rPr>
          <w:color w:val="231F20"/>
        </w:rPr>
        <w:t>reasons</w:t>
      </w:r>
      <w:r>
        <w:rPr>
          <w:color w:val="231F20"/>
          <w:spacing w:val="-3"/>
        </w:rPr>
        <w:t xml:space="preserve"> </w:t>
      </w:r>
      <w:r>
        <w:rPr>
          <w:color w:val="231F20"/>
        </w:rPr>
        <w:t>for</w:t>
      </w:r>
      <w:r>
        <w:rPr>
          <w:color w:val="231F20"/>
          <w:spacing w:val="-3"/>
        </w:rPr>
        <w:t xml:space="preserve"> </w:t>
      </w:r>
      <w:r>
        <w:rPr>
          <w:color w:val="231F20"/>
        </w:rPr>
        <w:t>the</w:t>
      </w:r>
      <w:r>
        <w:rPr>
          <w:color w:val="231F20"/>
          <w:spacing w:val="-3"/>
        </w:rPr>
        <w:t xml:space="preserve"> </w:t>
      </w:r>
      <w:r>
        <w:rPr>
          <w:color w:val="231F20"/>
        </w:rPr>
        <w:t>shift</w:t>
      </w:r>
      <w:r>
        <w:rPr>
          <w:color w:val="231F20"/>
          <w:spacing w:val="-3"/>
        </w:rPr>
        <w:t xml:space="preserve"> </w:t>
      </w:r>
      <w:r>
        <w:rPr>
          <w:color w:val="231F20"/>
        </w:rPr>
        <w:t>to</w:t>
      </w:r>
      <w:r>
        <w:rPr>
          <w:color w:val="231F20"/>
          <w:spacing w:val="-3"/>
        </w:rPr>
        <w:t xml:space="preserve"> </w:t>
      </w:r>
      <w:r>
        <w:rPr>
          <w:color w:val="231F20"/>
        </w:rPr>
        <w:t>individualised</w:t>
      </w:r>
      <w:r>
        <w:rPr>
          <w:color w:val="231F20"/>
          <w:spacing w:val="-3"/>
        </w:rPr>
        <w:t xml:space="preserve"> </w:t>
      </w:r>
      <w:r>
        <w:rPr>
          <w:color w:val="231F20"/>
        </w:rPr>
        <w:t>and</w:t>
      </w:r>
      <w:r>
        <w:rPr>
          <w:color w:val="231F20"/>
          <w:spacing w:val="-3"/>
        </w:rPr>
        <w:t xml:space="preserve"> </w:t>
      </w:r>
      <w:r>
        <w:rPr>
          <w:color w:val="231F20"/>
        </w:rPr>
        <w:t>more</w:t>
      </w:r>
      <w:r>
        <w:rPr>
          <w:color w:val="231F20"/>
          <w:spacing w:val="-3"/>
        </w:rPr>
        <w:t xml:space="preserve"> </w:t>
      </w:r>
      <w:r>
        <w:rPr>
          <w:color w:val="231F20"/>
        </w:rPr>
        <w:t>hedonistic</w:t>
      </w:r>
      <w:r>
        <w:rPr>
          <w:color w:val="231F20"/>
          <w:spacing w:val="-3"/>
        </w:rPr>
        <w:t xml:space="preserve"> </w:t>
      </w:r>
      <w:r>
        <w:rPr>
          <w:color w:val="231F20"/>
        </w:rPr>
        <w:t xml:space="preserve">sport are manifold. In their study of changes in German sport participation, </w:t>
      </w:r>
      <w:r>
        <w:rPr>
          <w:color w:val="231F20"/>
          <w:w w:val="95"/>
        </w:rPr>
        <w:t>Klostermann</w:t>
      </w:r>
      <w:r>
        <w:rPr>
          <w:color w:val="231F20"/>
          <w:spacing w:val="24"/>
        </w:rPr>
        <w:t xml:space="preserve"> </w:t>
      </w:r>
      <w:r>
        <w:rPr>
          <w:color w:val="231F20"/>
          <w:w w:val="95"/>
        </w:rPr>
        <w:t>and</w:t>
      </w:r>
      <w:r>
        <w:rPr>
          <w:color w:val="231F20"/>
          <w:spacing w:val="25"/>
        </w:rPr>
        <w:t xml:space="preserve"> </w:t>
      </w:r>
      <w:r>
        <w:rPr>
          <w:color w:val="231F20"/>
          <w:w w:val="95"/>
        </w:rPr>
        <w:t>Nagel</w:t>
      </w:r>
      <w:r>
        <w:rPr>
          <w:color w:val="231F20"/>
          <w:spacing w:val="25"/>
        </w:rPr>
        <w:t xml:space="preserve"> </w:t>
      </w:r>
      <w:r>
        <w:rPr>
          <w:color w:val="231F20"/>
          <w:w w:val="95"/>
        </w:rPr>
        <w:t>(2014)</w:t>
      </w:r>
      <w:r>
        <w:rPr>
          <w:color w:val="231F20"/>
          <w:spacing w:val="24"/>
        </w:rPr>
        <w:t xml:space="preserve"> </w:t>
      </w:r>
      <w:r>
        <w:rPr>
          <w:color w:val="231F20"/>
          <w:w w:val="95"/>
        </w:rPr>
        <w:t>suggest</w:t>
      </w:r>
      <w:r>
        <w:rPr>
          <w:color w:val="231F20"/>
          <w:spacing w:val="25"/>
        </w:rPr>
        <w:t xml:space="preserve"> </w:t>
      </w:r>
      <w:r>
        <w:rPr>
          <w:color w:val="231F20"/>
          <w:w w:val="95"/>
        </w:rPr>
        <w:t>that</w:t>
      </w:r>
      <w:r>
        <w:rPr>
          <w:color w:val="231F20"/>
          <w:spacing w:val="25"/>
        </w:rPr>
        <w:t xml:space="preserve"> </w:t>
      </w:r>
      <w:r>
        <w:rPr>
          <w:color w:val="231F20"/>
          <w:w w:val="95"/>
        </w:rPr>
        <w:t>societal</w:t>
      </w:r>
      <w:r>
        <w:rPr>
          <w:color w:val="231F20"/>
          <w:spacing w:val="25"/>
        </w:rPr>
        <w:t xml:space="preserve"> </w:t>
      </w:r>
      <w:r>
        <w:rPr>
          <w:color w:val="231F20"/>
          <w:w w:val="95"/>
        </w:rPr>
        <w:t>shifts</w:t>
      </w:r>
      <w:r>
        <w:rPr>
          <w:color w:val="231F20"/>
          <w:spacing w:val="24"/>
        </w:rPr>
        <w:t xml:space="preserve"> </w:t>
      </w:r>
      <w:r>
        <w:rPr>
          <w:color w:val="231F20"/>
          <w:w w:val="95"/>
        </w:rPr>
        <w:t>in</w:t>
      </w:r>
      <w:r>
        <w:rPr>
          <w:color w:val="231F20"/>
          <w:spacing w:val="25"/>
        </w:rPr>
        <w:t xml:space="preserve"> </w:t>
      </w:r>
      <w:r>
        <w:rPr>
          <w:color w:val="231F20"/>
          <w:w w:val="95"/>
        </w:rPr>
        <w:t>values</w:t>
      </w:r>
      <w:r>
        <w:rPr>
          <w:color w:val="231F20"/>
          <w:spacing w:val="25"/>
        </w:rPr>
        <w:t xml:space="preserve"> </w:t>
      </w:r>
      <w:r>
        <w:rPr>
          <w:color w:val="231F20"/>
          <w:spacing w:val="-4"/>
          <w:w w:val="95"/>
        </w:rPr>
        <w:t>such</w:t>
      </w:r>
    </w:p>
    <w:p w14:paraId="445E663C" w14:textId="77777777" w:rsidR="00AE0598" w:rsidRDefault="00AE0598">
      <w:pPr>
        <w:spacing w:line="232" w:lineRule="auto"/>
        <w:jc w:val="both"/>
        <w:sectPr w:rsidR="00AE0598">
          <w:pgSz w:w="8850" w:h="13270"/>
          <w:pgMar w:top="720" w:right="1060" w:bottom="280" w:left="1080" w:header="720" w:footer="720" w:gutter="0"/>
          <w:cols w:space="720"/>
        </w:sectPr>
      </w:pPr>
    </w:p>
    <w:p w14:paraId="7484F046" w14:textId="77777777" w:rsidR="00AE0598" w:rsidRDefault="0069255A">
      <w:pPr>
        <w:spacing w:before="87"/>
        <w:ind w:left="108"/>
        <w:rPr>
          <w:rFonts w:ascii="Trebuchet MS"/>
          <w:sz w:val="14"/>
        </w:rPr>
      </w:pPr>
      <w:r>
        <w:rPr>
          <w:rFonts w:ascii="Trebuchet MS"/>
          <w:color w:val="231F20"/>
          <w:w w:val="105"/>
          <w:sz w:val="14"/>
        </w:rPr>
        <w:lastRenderedPageBreak/>
        <w:t>206</w:t>
      </w:r>
      <w:r>
        <w:rPr>
          <w:rFonts w:ascii="Trebuchet MS"/>
          <w:color w:val="231F20"/>
          <w:spacing w:val="66"/>
          <w:w w:val="150"/>
          <w:sz w:val="14"/>
        </w:rPr>
        <w:t xml:space="preserve"> </w:t>
      </w:r>
      <w:r>
        <w:rPr>
          <w:rFonts w:ascii="Trebuchet MS"/>
          <w:color w:val="231F20"/>
          <w:w w:val="105"/>
          <w:sz w:val="14"/>
        </w:rPr>
        <w:t>Part</w:t>
      </w:r>
      <w:r>
        <w:rPr>
          <w:rFonts w:ascii="Trebuchet MS"/>
          <w:color w:val="231F20"/>
          <w:spacing w:val="-9"/>
          <w:w w:val="105"/>
          <w:sz w:val="14"/>
        </w:rPr>
        <w:t xml:space="preserve"> </w:t>
      </w:r>
      <w:r>
        <w:rPr>
          <w:rFonts w:ascii="Trebuchet MS"/>
          <w:color w:val="231F20"/>
          <w:w w:val="105"/>
          <w:sz w:val="14"/>
        </w:rPr>
        <w:t>4:</w:t>
      </w:r>
      <w:r>
        <w:rPr>
          <w:rFonts w:ascii="Trebuchet MS"/>
          <w:color w:val="231F20"/>
          <w:spacing w:val="-8"/>
          <w:w w:val="105"/>
          <w:sz w:val="14"/>
        </w:rPr>
        <w:t xml:space="preserve"> </w:t>
      </w:r>
      <w:r>
        <w:rPr>
          <w:rFonts w:ascii="Trebuchet MS"/>
          <w:color w:val="231F20"/>
          <w:w w:val="105"/>
          <w:sz w:val="14"/>
        </w:rPr>
        <w:t>Sport</w:t>
      </w:r>
      <w:r>
        <w:rPr>
          <w:rFonts w:ascii="Trebuchet MS"/>
          <w:color w:val="231F20"/>
          <w:spacing w:val="-9"/>
          <w:w w:val="105"/>
          <w:sz w:val="14"/>
        </w:rPr>
        <w:t xml:space="preserve"> </w:t>
      </w:r>
      <w:r>
        <w:rPr>
          <w:rFonts w:ascii="Trebuchet MS"/>
          <w:color w:val="231F20"/>
          <w:w w:val="105"/>
          <w:sz w:val="14"/>
        </w:rPr>
        <w:t>Tourism</w:t>
      </w:r>
      <w:r>
        <w:rPr>
          <w:rFonts w:ascii="Trebuchet MS"/>
          <w:color w:val="231F20"/>
          <w:spacing w:val="-9"/>
          <w:w w:val="105"/>
          <w:sz w:val="14"/>
        </w:rPr>
        <w:t xml:space="preserve"> </w:t>
      </w:r>
      <w:r>
        <w:rPr>
          <w:rFonts w:ascii="Trebuchet MS"/>
          <w:color w:val="231F20"/>
          <w:w w:val="105"/>
          <w:sz w:val="14"/>
        </w:rPr>
        <w:t>Development</w:t>
      </w:r>
      <w:r>
        <w:rPr>
          <w:rFonts w:ascii="Trebuchet MS"/>
          <w:color w:val="231F20"/>
          <w:spacing w:val="-9"/>
          <w:w w:val="105"/>
          <w:sz w:val="14"/>
        </w:rPr>
        <w:t xml:space="preserve"> </w:t>
      </w:r>
      <w:r>
        <w:rPr>
          <w:rFonts w:ascii="Trebuchet MS"/>
          <w:color w:val="231F20"/>
          <w:w w:val="105"/>
          <w:sz w:val="14"/>
        </w:rPr>
        <w:t>and</w:t>
      </w:r>
      <w:r>
        <w:rPr>
          <w:rFonts w:ascii="Trebuchet MS"/>
          <w:color w:val="231F20"/>
          <w:spacing w:val="-8"/>
          <w:w w:val="105"/>
          <w:sz w:val="14"/>
        </w:rPr>
        <w:t xml:space="preserve"> </w:t>
      </w:r>
      <w:r>
        <w:rPr>
          <w:rFonts w:ascii="Trebuchet MS"/>
          <w:color w:val="231F20"/>
          <w:spacing w:val="-4"/>
          <w:w w:val="105"/>
          <w:sz w:val="14"/>
        </w:rPr>
        <w:t>Time</w:t>
      </w:r>
    </w:p>
    <w:p w14:paraId="2B029D86" w14:textId="77777777" w:rsidR="00AE0598" w:rsidRDefault="00AE0598">
      <w:pPr>
        <w:pStyle w:val="Corpodetexto"/>
        <w:rPr>
          <w:rFonts w:ascii="Trebuchet MS"/>
          <w:sz w:val="16"/>
        </w:rPr>
      </w:pPr>
    </w:p>
    <w:p w14:paraId="1E61ED55" w14:textId="77777777" w:rsidR="00AE0598" w:rsidRDefault="0069255A">
      <w:pPr>
        <w:pStyle w:val="Corpodetexto"/>
        <w:spacing w:before="118" w:line="232" w:lineRule="auto"/>
        <w:ind w:left="110" w:right="127"/>
        <w:jc w:val="both"/>
      </w:pPr>
      <w:r>
        <w:rPr>
          <w:color w:val="231F20"/>
        </w:rPr>
        <w:t>as a move towards individualism and a growing interest in health and body culture have led to the growth of individual sports. Breivik (2010) articulated three other possibilities with the first being ‘compensation’. As some societies become more controlle</w:t>
      </w:r>
      <w:r>
        <w:rPr>
          <w:color w:val="231F20"/>
        </w:rPr>
        <w:t>d and safety-oriented, some individuals</w:t>
      </w:r>
      <w:r>
        <w:rPr>
          <w:color w:val="231F20"/>
          <w:spacing w:val="-2"/>
        </w:rPr>
        <w:t xml:space="preserve"> </w:t>
      </w:r>
      <w:r>
        <w:rPr>
          <w:color w:val="231F20"/>
        </w:rPr>
        <w:t>–</w:t>
      </w:r>
      <w:r>
        <w:rPr>
          <w:color w:val="231F20"/>
          <w:spacing w:val="-2"/>
        </w:rPr>
        <w:t xml:space="preserve"> </w:t>
      </w:r>
      <w:r>
        <w:rPr>
          <w:color w:val="231F20"/>
        </w:rPr>
        <w:t>especially</w:t>
      </w:r>
      <w:r>
        <w:rPr>
          <w:color w:val="231F20"/>
          <w:spacing w:val="-2"/>
        </w:rPr>
        <w:t xml:space="preserve"> </w:t>
      </w:r>
      <w:r>
        <w:rPr>
          <w:color w:val="231F20"/>
        </w:rPr>
        <w:t>youth</w:t>
      </w:r>
      <w:r>
        <w:rPr>
          <w:color w:val="231F20"/>
          <w:spacing w:val="-2"/>
        </w:rPr>
        <w:t xml:space="preserve"> </w:t>
      </w:r>
      <w:r>
        <w:rPr>
          <w:color w:val="231F20"/>
        </w:rPr>
        <w:t>–</w:t>
      </w:r>
      <w:r>
        <w:rPr>
          <w:color w:val="231F20"/>
          <w:spacing w:val="-2"/>
        </w:rPr>
        <w:t xml:space="preserve"> </w:t>
      </w:r>
      <w:r>
        <w:rPr>
          <w:color w:val="231F20"/>
        </w:rPr>
        <w:t>will</w:t>
      </w:r>
      <w:r>
        <w:rPr>
          <w:color w:val="231F20"/>
          <w:spacing w:val="-2"/>
        </w:rPr>
        <w:t xml:space="preserve"> </w:t>
      </w:r>
      <w:r>
        <w:rPr>
          <w:color w:val="231F20"/>
        </w:rPr>
        <w:t>look</w:t>
      </w:r>
      <w:r>
        <w:rPr>
          <w:color w:val="231F20"/>
          <w:spacing w:val="-2"/>
        </w:rPr>
        <w:t xml:space="preserve"> </w:t>
      </w:r>
      <w:r>
        <w:rPr>
          <w:color w:val="231F20"/>
        </w:rPr>
        <w:t>to</w:t>
      </w:r>
      <w:r>
        <w:rPr>
          <w:color w:val="231F20"/>
          <w:spacing w:val="-2"/>
        </w:rPr>
        <w:t xml:space="preserve"> </w:t>
      </w:r>
      <w:r>
        <w:rPr>
          <w:color w:val="231F20"/>
        </w:rPr>
        <w:t>extreme</w:t>
      </w:r>
      <w:r>
        <w:rPr>
          <w:color w:val="231F20"/>
          <w:spacing w:val="-2"/>
        </w:rPr>
        <w:t xml:space="preserve"> </w:t>
      </w:r>
      <w:r>
        <w:rPr>
          <w:color w:val="231F20"/>
        </w:rPr>
        <w:t>sport</w:t>
      </w:r>
      <w:r>
        <w:rPr>
          <w:color w:val="231F20"/>
          <w:spacing w:val="-2"/>
        </w:rPr>
        <w:t xml:space="preserve"> </w:t>
      </w:r>
      <w:r>
        <w:rPr>
          <w:color w:val="231F20"/>
        </w:rPr>
        <w:t>as</w:t>
      </w:r>
      <w:r>
        <w:rPr>
          <w:color w:val="231F20"/>
          <w:spacing w:val="-2"/>
        </w:rPr>
        <w:t xml:space="preserve"> </w:t>
      </w:r>
      <w:r>
        <w:rPr>
          <w:color w:val="231F20"/>
        </w:rPr>
        <w:t>an</w:t>
      </w:r>
      <w:r>
        <w:rPr>
          <w:color w:val="231F20"/>
          <w:spacing w:val="-2"/>
        </w:rPr>
        <w:t xml:space="preserve"> </w:t>
      </w:r>
      <w:r>
        <w:rPr>
          <w:color w:val="231F20"/>
        </w:rPr>
        <w:t>antidote or</w:t>
      </w:r>
      <w:r>
        <w:rPr>
          <w:color w:val="231F20"/>
          <w:spacing w:val="-4"/>
        </w:rPr>
        <w:t xml:space="preserve"> </w:t>
      </w:r>
      <w:r>
        <w:rPr>
          <w:color w:val="231F20"/>
        </w:rPr>
        <w:t>a</w:t>
      </w:r>
      <w:r>
        <w:rPr>
          <w:color w:val="231F20"/>
          <w:spacing w:val="-5"/>
        </w:rPr>
        <w:t xml:space="preserve"> </w:t>
      </w:r>
      <w:r>
        <w:rPr>
          <w:color w:val="231F20"/>
        </w:rPr>
        <w:t>countermeasure</w:t>
      </w:r>
      <w:r>
        <w:rPr>
          <w:color w:val="231F20"/>
          <w:spacing w:val="-5"/>
        </w:rPr>
        <w:t xml:space="preserve"> </w:t>
      </w:r>
      <w:r>
        <w:rPr>
          <w:color w:val="231F20"/>
        </w:rPr>
        <w:t>to</w:t>
      </w:r>
      <w:r>
        <w:rPr>
          <w:color w:val="231F20"/>
          <w:spacing w:val="-4"/>
        </w:rPr>
        <w:t xml:space="preserve"> </w:t>
      </w:r>
      <w:r>
        <w:rPr>
          <w:color w:val="231F20"/>
        </w:rPr>
        <w:t>boredom.</w:t>
      </w:r>
      <w:r>
        <w:rPr>
          <w:color w:val="231F20"/>
          <w:spacing w:val="-4"/>
        </w:rPr>
        <w:t xml:space="preserve"> </w:t>
      </w:r>
      <w:r>
        <w:rPr>
          <w:color w:val="231F20"/>
        </w:rPr>
        <w:t>Alternatively,</w:t>
      </w:r>
      <w:r>
        <w:rPr>
          <w:color w:val="231F20"/>
          <w:spacing w:val="-4"/>
        </w:rPr>
        <w:t xml:space="preserve"> </w:t>
      </w:r>
      <w:r>
        <w:rPr>
          <w:color w:val="231F20"/>
        </w:rPr>
        <w:t>this</w:t>
      </w:r>
      <w:r>
        <w:rPr>
          <w:color w:val="231F20"/>
          <w:spacing w:val="-5"/>
        </w:rPr>
        <w:t xml:space="preserve"> </w:t>
      </w:r>
      <w:r>
        <w:rPr>
          <w:color w:val="231F20"/>
        </w:rPr>
        <w:t>shift</w:t>
      </w:r>
      <w:r>
        <w:rPr>
          <w:color w:val="231F20"/>
          <w:spacing w:val="-5"/>
        </w:rPr>
        <w:t xml:space="preserve"> </w:t>
      </w:r>
      <w:r>
        <w:rPr>
          <w:color w:val="231F20"/>
        </w:rPr>
        <w:t>may</w:t>
      </w:r>
      <w:r>
        <w:rPr>
          <w:color w:val="231F20"/>
          <w:spacing w:val="-5"/>
        </w:rPr>
        <w:t xml:space="preserve"> </w:t>
      </w:r>
      <w:r>
        <w:rPr>
          <w:color w:val="231F20"/>
        </w:rPr>
        <w:t>be</w:t>
      </w:r>
      <w:r>
        <w:rPr>
          <w:color w:val="231F20"/>
          <w:spacing w:val="-4"/>
        </w:rPr>
        <w:t xml:space="preserve"> </w:t>
      </w:r>
      <w:r>
        <w:rPr>
          <w:color w:val="231F20"/>
        </w:rPr>
        <w:t>seen</w:t>
      </w:r>
      <w:r>
        <w:rPr>
          <w:color w:val="231F20"/>
          <w:spacing w:val="-4"/>
        </w:rPr>
        <w:t xml:space="preserve"> </w:t>
      </w:r>
      <w:r>
        <w:rPr>
          <w:color w:val="231F20"/>
        </w:rPr>
        <w:t xml:space="preserve">as an extension or ‘adaptation’ of a modern life that features more sensory </w:t>
      </w:r>
      <w:r>
        <w:rPr>
          <w:color w:val="231F20"/>
          <w:w w:val="95"/>
        </w:rPr>
        <w:t xml:space="preserve">stimulation as manifest in areas such as entertainment, cuisine and travel. </w:t>
      </w:r>
      <w:r>
        <w:rPr>
          <w:color w:val="231F20"/>
        </w:rPr>
        <w:t>Seeking variation in sport may be a simple extension of the variation sought in these other areas of lif</w:t>
      </w:r>
      <w:r>
        <w:rPr>
          <w:color w:val="231F20"/>
        </w:rPr>
        <w:t>e. Finally, a third possible explanation</w:t>
      </w:r>
      <w:r>
        <w:rPr>
          <w:color w:val="231F20"/>
          <w:spacing w:val="80"/>
        </w:rPr>
        <w:t xml:space="preserve"> </w:t>
      </w:r>
      <w:r>
        <w:rPr>
          <w:color w:val="231F20"/>
        </w:rPr>
        <w:t xml:space="preserve">is that the variation in modern and post-modern society may be seen as </w:t>
      </w:r>
      <w:r>
        <w:rPr>
          <w:color w:val="231F20"/>
          <w:w w:val="95"/>
        </w:rPr>
        <w:t>superficial and often virtual (e.g. computer gaming). In response, extreme sport provides participants with the opportunity to express themselve</w:t>
      </w:r>
      <w:r>
        <w:rPr>
          <w:color w:val="231F20"/>
          <w:w w:val="95"/>
        </w:rPr>
        <w:t>s in</w:t>
      </w:r>
      <w:r>
        <w:rPr>
          <w:color w:val="231F20"/>
          <w:spacing w:val="80"/>
          <w:w w:val="150"/>
        </w:rPr>
        <w:t xml:space="preserve"> </w:t>
      </w:r>
      <w:r>
        <w:rPr>
          <w:color w:val="231F20"/>
        </w:rPr>
        <w:t>a real way though their bodies – not just their minds.</w:t>
      </w:r>
    </w:p>
    <w:p w14:paraId="2DDA8C94" w14:textId="77777777" w:rsidR="00AE0598" w:rsidRDefault="0069255A">
      <w:pPr>
        <w:pStyle w:val="Corpodetexto"/>
        <w:spacing w:before="17" w:line="232" w:lineRule="auto"/>
        <w:ind w:left="110" w:right="127" w:firstLine="320"/>
        <w:jc w:val="both"/>
      </w:pPr>
      <w:r>
        <w:rPr>
          <w:color w:val="231F20"/>
          <w:spacing w:val="-2"/>
        </w:rPr>
        <w:t>One</w:t>
      </w:r>
      <w:r>
        <w:rPr>
          <w:color w:val="231F20"/>
          <w:spacing w:val="-5"/>
        </w:rPr>
        <w:t xml:space="preserve"> </w:t>
      </w:r>
      <w:r>
        <w:rPr>
          <w:color w:val="231F20"/>
          <w:spacing w:val="-2"/>
        </w:rPr>
        <w:t>of</w:t>
      </w:r>
      <w:r>
        <w:rPr>
          <w:color w:val="231F20"/>
        </w:rPr>
        <w:t xml:space="preserve"> </w:t>
      </w:r>
      <w:r>
        <w:rPr>
          <w:color w:val="231F20"/>
          <w:spacing w:val="-2"/>
        </w:rPr>
        <w:t>the</w:t>
      </w:r>
      <w:r>
        <w:rPr>
          <w:color w:val="231F20"/>
          <w:spacing w:val="-5"/>
        </w:rPr>
        <w:t xml:space="preserve"> </w:t>
      </w:r>
      <w:r>
        <w:rPr>
          <w:color w:val="231F20"/>
          <w:spacing w:val="-2"/>
        </w:rPr>
        <w:t>dilemmas</w:t>
      </w:r>
      <w:r>
        <w:rPr>
          <w:color w:val="231F20"/>
          <w:spacing w:val="-5"/>
        </w:rPr>
        <w:t xml:space="preserve"> </w:t>
      </w:r>
      <w:r>
        <w:rPr>
          <w:color w:val="231F20"/>
          <w:spacing w:val="-2"/>
        </w:rPr>
        <w:t>facing</w:t>
      </w:r>
      <w:r>
        <w:rPr>
          <w:color w:val="231F20"/>
          <w:spacing w:val="-5"/>
        </w:rPr>
        <w:t xml:space="preserve"> </w:t>
      </w:r>
      <w:r>
        <w:rPr>
          <w:color w:val="231F20"/>
          <w:spacing w:val="-2"/>
        </w:rPr>
        <w:t>extreme</w:t>
      </w:r>
      <w:r>
        <w:rPr>
          <w:color w:val="231F20"/>
          <w:spacing w:val="-5"/>
        </w:rPr>
        <w:t xml:space="preserve"> </w:t>
      </w:r>
      <w:r>
        <w:rPr>
          <w:color w:val="231F20"/>
          <w:spacing w:val="-2"/>
        </w:rPr>
        <w:t>sport</w:t>
      </w:r>
      <w:r>
        <w:rPr>
          <w:color w:val="231F20"/>
          <w:spacing w:val="-5"/>
        </w:rPr>
        <w:t xml:space="preserve"> </w:t>
      </w:r>
      <w:r>
        <w:rPr>
          <w:color w:val="231F20"/>
          <w:spacing w:val="-2"/>
        </w:rPr>
        <w:t>participants</w:t>
      </w:r>
      <w:r>
        <w:rPr>
          <w:color w:val="231F20"/>
          <w:spacing w:val="-5"/>
        </w:rPr>
        <w:t xml:space="preserve"> </w:t>
      </w:r>
      <w:r>
        <w:rPr>
          <w:color w:val="231F20"/>
          <w:spacing w:val="-2"/>
        </w:rPr>
        <w:t>is</w:t>
      </w:r>
      <w:r>
        <w:rPr>
          <w:color w:val="231F20"/>
          <w:spacing w:val="-5"/>
        </w:rPr>
        <w:t xml:space="preserve"> </w:t>
      </w:r>
      <w:r>
        <w:rPr>
          <w:color w:val="231F20"/>
          <w:spacing w:val="-2"/>
        </w:rPr>
        <w:t>the</w:t>
      </w:r>
      <w:r>
        <w:rPr>
          <w:color w:val="231F20"/>
          <w:spacing w:val="-5"/>
        </w:rPr>
        <w:t xml:space="preserve"> </w:t>
      </w:r>
      <w:r>
        <w:rPr>
          <w:color w:val="231F20"/>
          <w:spacing w:val="-2"/>
        </w:rPr>
        <w:t xml:space="preserve">tendency </w:t>
      </w:r>
      <w:r>
        <w:rPr>
          <w:color w:val="231F20"/>
        </w:rPr>
        <w:t>for such sports to evolve from counterculture to mainstream activities. Typically, these sports have emerged for people who wi</w:t>
      </w:r>
      <w:r>
        <w:rPr>
          <w:color w:val="231F20"/>
        </w:rPr>
        <w:t>sh to get away from</w:t>
      </w:r>
      <w:r>
        <w:rPr>
          <w:color w:val="231F20"/>
          <w:spacing w:val="-7"/>
        </w:rPr>
        <w:t xml:space="preserve"> </w:t>
      </w:r>
      <w:r>
        <w:rPr>
          <w:color w:val="231F20"/>
        </w:rPr>
        <w:t>‘someone</w:t>
      </w:r>
      <w:r>
        <w:rPr>
          <w:color w:val="231F20"/>
          <w:spacing w:val="-7"/>
        </w:rPr>
        <w:t xml:space="preserve"> </w:t>
      </w:r>
      <w:r>
        <w:rPr>
          <w:color w:val="231F20"/>
        </w:rPr>
        <w:t>else’s’</w:t>
      </w:r>
      <w:r>
        <w:rPr>
          <w:color w:val="231F20"/>
          <w:spacing w:val="-7"/>
        </w:rPr>
        <w:t xml:space="preserve"> </w:t>
      </w:r>
      <w:r>
        <w:rPr>
          <w:color w:val="231F20"/>
        </w:rPr>
        <w:t>rules</w:t>
      </w:r>
      <w:r>
        <w:rPr>
          <w:color w:val="231F20"/>
          <w:spacing w:val="-7"/>
        </w:rPr>
        <w:t xml:space="preserve"> </w:t>
      </w:r>
      <w:r>
        <w:rPr>
          <w:color w:val="231F20"/>
        </w:rPr>
        <w:t>and</w:t>
      </w:r>
      <w:r>
        <w:rPr>
          <w:color w:val="231F20"/>
          <w:spacing w:val="-7"/>
        </w:rPr>
        <w:t xml:space="preserve"> </w:t>
      </w:r>
      <w:r>
        <w:rPr>
          <w:color w:val="231F20"/>
        </w:rPr>
        <w:t>regulations,</w:t>
      </w:r>
      <w:r>
        <w:rPr>
          <w:color w:val="231F20"/>
          <w:spacing w:val="-7"/>
        </w:rPr>
        <w:t xml:space="preserve"> </w:t>
      </w:r>
      <w:r>
        <w:rPr>
          <w:color w:val="231F20"/>
        </w:rPr>
        <w:t>and</w:t>
      </w:r>
      <w:r>
        <w:rPr>
          <w:color w:val="231F20"/>
          <w:spacing w:val="-7"/>
        </w:rPr>
        <w:t xml:space="preserve"> </w:t>
      </w:r>
      <w:r>
        <w:rPr>
          <w:color w:val="231F20"/>
        </w:rPr>
        <w:t>set</w:t>
      </w:r>
      <w:r>
        <w:rPr>
          <w:color w:val="231F20"/>
          <w:spacing w:val="-7"/>
        </w:rPr>
        <w:t xml:space="preserve"> </w:t>
      </w:r>
      <w:r>
        <w:rPr>
          <w:color w:val="231F20"/>
        </w:rPr>
        <w:t>up</w:t>
      </w:r>
      <w:r>
        <w:rPr>
          <w:color w:val="231F20"/>
          <w:spacing w:val="-7"/>
        </w:rPr>
        <w:t xml:space="preserve"> </w:t>
      </w:r>
      <w:r>
        <w:rPr>
          <w:color w:val="231F20"/>
        </w:rPr>
        <w:t>or</w:t>
      </w:r>
      <w:r>
        <w:rPr>
          <w:color w:val="231F20"/>
          <w:spacing w:val="-7"/>
        </w:rPr>
        <w:t xml:space="preserve"> </w:t>
      </w:r>
      <w:r>
        <w:rPr>
          <w:color w:val="231F20"/>
        </w:rPr>
        <w:t>be</w:t>
      </w:r>
      <w:r>
        <w:rPr>
          <w:color w:val="231F20"/>
          <w:spacing w:val="-7"/>
        </w:rPr>
        <w:t xml:space="preserve"> </w:t>
      </w:r>
      <w:r>
        <w:rPr>
          <w:color w:val="231F20"/>
        </w:rPr>
        <w:t>part</w:t>
      </w:r>
      <w:r>
        <w:rPr>
          <w:color w:val="231F20"/>
          <w:spacing w:val="-7"/>
        </w:rPr>
        <w:t xml:space="preserve"> </w:t>
      </w:r>
      <w:r>
        <w:rPr>
          <w:color w:val="231F20"/>
        </w:rPr>
        <w:t>of their own</w:t>
      </w:r>
      <w:r>
        <w:rPr>
          <w:color w:val="231F20"/>
          <w:spacing w:val="-8"/>
        </w:rPr>
        <w:t xml:space="preserve"> </w:t>
      </w:r>
      <w:r>
        <w:rPr>
          <w:color w:val="231F20"/>
        </w:rPr>
        <w:t>autonomous</w:t>
      </w:r>
      <w:r>
        <w:rPr>
          <w:color w:val="231F20"/>
          <w:spacing w:val="-8"/>
        </w:rPr>
        <w:t xml:space="preserve"> </w:t>
      </w:r>
      <w:r>
        <w:rPr>
          <w:color w:val="231F20"/>
        </w:rPr>
        <w:t>renegade</w:t>
      </w:r>
      <w:r>
        <w:rPr>
          <w:color w:val="231F20"/>
          <w:spacing w:val="-8"/>
        </w:rPr>
        <w:t xml:space="preserve"> </w:t>
      </w:r>
      <w:r>
        <w:rPr>
          <w:color w:val="231F20"/>
        </w:rPr>
        <w:t>groups.</w:t>
      </w:r>
      <w:r>
        <w:rPr>
          <w:color w:val="231F20"/>
          <w:spacing w:val="-8"/>
        </w:rPr>
        <w:t xml:space="preserve"> </w:t>
      </w:r>
      <w:r>
        <w:rPr>
          <w:color w:val="231F20"/>
        </w:rPr>
        <w:t>Yet,</w:t>
      </w:r>
      <w:r>
        <w:rPr>
          <w:color w:val="231F20"/>
          <w:spacing w:val="-8"/>
        </w:rPr>
        <w:t xml:space="preserve"> </w:t>
      </w:r>
      <w:r>
        <w:rPr>
          <w:color w:val="231F20"/>
        </w:rPr>
        <w:t>these</w:t>
      </w:r>
      <w:r>
        <w:rPr>
          <w:color w:val="231F20"/>
          <w:spacing w:val="-8"/>
        </w:rPr>
        <w:t xml:space="preserve"> </w:t>
      </w:r>
      <w:r>
        <w:rPr>
          <w:color w:val="231F20"/>
        </w:rPr>
        <w:t>sports</w:t>
      </w:r>
      <w:r>
        <w:rPr>
          <w:color w:val="231F20"/>
          <w:spacing w:val="-8"/>
        </w:rPr>
        <w:t xml:space="preserve"> </w:t>
      </w:r>
      <w:r>
        <w:rPr>
          <w:color w:val="231F20"/>
        </w:rPr>
        <w:t>are</w:t>
      </w:r>
      <w:r>
        <w:rPr>
          <w:color w:val="231F20"/>
          <w:spacing w:val="-8"/>
        </w:rPr>
        <w:t xml:space="preserve"> </w:t>
      </w:r>
      <w:r>
        <w:rPr>
          <w:color w:val="231F20"/>
        </w:rPr>
        <w:t>themselves</w:t>
      </w:r>
      <w:r>
        <w:rPr>
          <w:color w:val="231F20"/>
          <w:spacing w:val="-8"/>
        </w:rPr>
        <w:t xml:space="preserve"> </w:t>
      </w:r>
      <w:r>
        <w:rPr>
          <w:color w:val="231F20"/>
        </w:rPr>
        <w:t xml:space="preserve">part of evolutionary processes. As sports institutions, media, equipment and </w:t>
      </w:r>
      <w:r>
        <w:rPr>
          <w:color w:val="231F20"/>
          <w:spacing w:val="-2"/>
        </w:rPr>
        <w:t>clothing manufacturers and the tourism industry interact, extreme sports tend</w:t>
      </w:r>
      <w:r>
        <w:rPr>
          <w:color w:val="231F20"/>
          <w:spacing w:val="-6"/>
        </w:rPr>
        <w:t xml:space="preserve"> </w:t>
      </w:r>
      <w:r>
        <w:rPr>
          <w:color w:val="231F20"/>
          <w:spacing w:val="-2"/>
        </w:rPr>
        <w:t>to</w:t>
      </w:r>
      <w:r>
        <w:rPr>
          <w:color w:val="231F20"/>
          <w:spacing w:val="-6"/>
        </w:rPr>
        <w:t xml:space="preserve"> </w:t>
      </w:r>
      <w:r>
        <w:rPr>
          <w:color w:val="231F20"/>
          <w:spacing w:val="-2"/>
        </w:rPr>
        <w:t>shift</w:t>
      </w:r>
      <w:r>
        <w:rPr>
          <w:color w:val="231F20"/>
          <w:spacing w:val="-6"/>
        </w:rPr>
        <w:t xml:space="preserve"> </w:t>
      </w:r>
      <w:r>
        <w:rPr>
          <w:color w:val="231F20"/>
          <w:spacing w:val="-2"/>
        </w:rPr>
        <w:t>from</w:t>
      </w:r>
      <w:r>
        <w:rPr>
          <w:color w:val="231F20"/>
          <w:spacing w:val="-6"/>
        </w:rPr>
        <w:t xml:space="preserve"> </w:t>
      </w:r>
      <w:r>
        <w:rPr>
          <w:color w:val="231F20"/>
          <w:spacing w:val="-2"/>
        </w:rPr>
        <w:t>subculture</w:t>
      </w:r>
      <w:r>
        <w:rPr>
          <w:color w:val="231F20"/>
          <w:spacing w:val="-6"/>
        </w:rPr>
        <w:t xml:space="preserve"> </w:t>
      </w:r>
      <w:r>
        <w:rPr>
          <w:color w:val="231F20"/>
          <w:spacing w:val="-2"/>
        </w:rPr>
        <w:t>to</w:t>
      </w:r>
      <w:r>
        <w:rPr>
          <w:color w:val="231F20"/>
          <w:spacing w:val="-6"/>
        </w:rPr>
        <w:t xml:space="preserve"> </w:t>
      </w:r>
      <w:r>
        <w:rPr>
          <w:color w:val="231F20"/>
          <w:spacing w:val="-2"/>
        </w:rPr>
        <w:t>mainstream</w:t>
      </w:r>
      <w:r>
        <w:rPr>
          <w:color w:val="231F20"/>
          <w:spacing w:val="-6"/>
        </w:rPr>
        <w:t xml:space="preserve"> </w:t>
      </w:r>
      <w:r>
        <w:rPr>
          <w:color w:val="231F20"/>
          <w:spacing w:val="-2"/>
        </w:rPr>
        <w:t>(Breivik,</w:t>
      </w:r>
      <w:r>
        <w:rPr>
          <w:color w:val="231F20"/>
          <w:spacing w:val="-6"/>
        </w:rPr>
        <w:t xml:space="preserve"> </w:t>
      </w:r>
      <w:r>
        <w:rPr>
          <w:color w:val="231F20"/>
          <w:spacing w:val="-2"/>
        </w:rPr>
        <w:t>2010;</w:t>
      </w:r>
      <w:r>
        <w:rPr>
          <w:color w:val="231F20"/>
          <w:spacing w:val="-6"/>
        </w:rPr>
        <w:t xml:space="preserve"> </w:t>
      </w:r>
      <w:r>
        <w:rPr>
          <w:color w:val="231F20"/>
          <w:spacing w:val="-2"/>
        </w:rPr>
        <w:t>Hoffer,</w:t>
      </w:r>
      <w:r>
        <w:rPr>
          <w:color w:val="231F20"/>
          <w:spacing w:val="-6"/>
        </w:rPr>
        <w:t xml:space="preserve"> </w:t>
      </w:r>
      <w:r>
        <w:rPr>
          <w:color w:val="231F20"/>
          <w:spacing w:val="-2"/>
        </w:rPr>
        <w:t xml:space="preserve">1995). </w:t>
      </w:r>
      <w:r>
        <w:rPr>
          <w:color w:val="231F20"/>
          <w:w w:val="95"/>
        </w:rPr>
        <w:t>This evolution introduces struc</w:t>
      </w:r>
      <w:r>
        <w:rPr>
          <w:color w:val="231F20"/>
          <w:w w:val="95"/>
        </w:rPr>
        <w:t xml:space="preserve">tures and rules that serve to ensure that the </w:t>
      </w:r>
      <w:r>
        <w:rPr>
          <w:color w:val="231F20"/>
        </w:rPr>
        <w:t>activity is managed in a way that facilitates commodification (Wheaton, 2013)</w:t>
      </w:r>
      <w:r>
        <w:rPr>
          <w:color w:val="231F20"/>
          <w:spacing w:val="-9"/>
        </w:rPr>
        <w:t xml:space="preserve"> </w:t>
      </w:r>
      <w:r>
        <w:rPr>
          <w:color w:val="231F20"/>
        </w:rPr>
        <w:t>until</w:t>
      </w:r>
      <w:r>
        <w:rPr>
          <w:color w:val="231F20"/>
          <w:spacing w:val="-9"/>
        </w:rPr>
        <w:t xml:space="preserve"> </w:t>
      </w:r>
      <w:r>
        <w:rPr>
          <w:color w:val="231F20"/>
        </w:rPr>
        <w:t>some</w:t>
      </w:r>
      <w:r>
        <w:rPr>
          <w:color w:val="231F20"/>
          <w:spacing w:val="-9"/>
        </w:rPr>
        <w:t xml:space="preserve"> </w:t>
      </w:r>
      <w:r>
        <w:rPr>
          <w:color w:val="231F20"/>
        </w:rPr>
        <w:t>group</w:t>
      </w:r>
      <w:r>
        <w:rPr>
          <w:color w:val="231F20"/>
          <w:spacing w:val="-9"/>
        </w:rPr>
        <w:t xml:space="preserve"> </w:t>
      </w:r>
      <w:r>
        <w:rPr>
          <w:color w:val="231F20"/>
        </w:rPr>
        <w:t>once</w:t>
      </w:r>
      <w:r>
        <w:rPr>
          <w:color w:val="231F20"/>
          <w:spacing w:val="-9"/>
        </w:rPr>
        <w:t xml:space="preserve"> </w:t>
      </w:r>
      <w:r>
        <w:rPr>
          <w:color w:val="231F20"/>
        </w:rPr>
        <w:t>again</w:t>
      </w:r>
      <w:r>
        <w:rPr>
          <w:color w:val="231F20"/>
          <w:spacing w:val="-9"/>
        </w:rPr>
        <w:t xml:space="preserve"> </w:t>
      </w:r>
      <w:r>
        <w:rPr>
          <w:color w:val="231F20"/>
        </w:rPr>
        <w:t>breaks</w:t>
      </w:r>
      <w:r>
        <w:rPr>
          <w:color w:val="231F20"/>
          <w:spacing w:val="-9"/>
        </w:rPr>
        <w:t xml:space="preserve"> </w:t>
      </w:r>
      <w:r>
        <w:rPr>
          <w:color w:val="231F20"/>
        </w:rPr>
        <w:t>away</w:t>
      </w:r>
      <w:r>
        <w:rPr>
          <w:color w:val="231F20"/>
          <w:spacing w:val="-9"/>
        </w:rPr>
        <w:t xml:space="preserve"> </w:t>
      </w:r>
      <w:r>
        <w:rPr>
          <w:color w:val="231F20"/>
        </w:rPr>
        <w:t>to</w:t>
      </w:r>
      <w:r>
        <w:rPr>
          <w:color w:val="231F20"/>
          <w:spacing w:val="-9"/>
        </w:rPr>
        <w:t xml:space="preserve"> </w:t>
      </w:r>
      <w:r>
        <w:rPr>
          <w:color w:val="231F20"/>
        </w:rPr>
        <w:t>begin</w:t>
      </w:r>
      <w:r>
        <w:rPr>
          <w:color w:val="231F20"/>
          <w:spacing w:val="-9"/>
        </w:rPr>
        <w:t xml:space="preserve"> </w:t>
      </w:r>
      <w:r>
        <w:rPr>
          <w:color w:val="231F20"/>
        </w:rPr>
        <w:t>something</w:t>
      </w:r>
      <w:r>
        <w:rPr>
          <w:color w:val="231F20"/>
          <w:spacing w:val="-9"/>
        </w:rPr>
        <w:t xml:space="preserve"> </w:t>
      </w:r>
      <w:r>
        <w:rPr>
          <w:color w:val="231F20"/>
        </w:rPr>
        <w:t>new. Although they recognise this pattern, Gilchrist and Wheaton (2016: 2</w:t>
      </w:r>
      <w:r>
        <w:rPr>
          <w:color w:val="231F20"/>
        </w:rPr>
        <w:t>5) point</w:t>
      </w:r>
      <w:r>
        <w:rPr>
          <w:color w:val="231F20"/>
          <w:spacing w:val="-1"/>
        </w:rPr>
        <w:t xml:space="preserve"> </w:t>
      </w:r>
      <w:r>
        <w:rPr>
          <w:color w:val="231F20"/>
        </w:rPr>
        <w:t>out</w:t>
      </w:r>
      <w:r>
        <w:rPr>
          <w:color w:val="231F20"/>
          <w:spacing w:val="-1"/>
        </w:rPr>
        <w:t xml:space="preserve"> </w:t>
      </w:r>
      <w:r>
        <w:rPr>
          <w:color w:val="231F20"/>
        </w:rPr>
        <w:t>that</w:t>
      </w:r>
      <w:r>
        <w:rPr>
          <w:color w:val="231F20"/>
          <w:spacing w:val="-1"/>
        </w:rPr>
        <w:t xml:space="preserve"> </w:t>
      </w:r>
      <w:r>
        <w:rPr>
          <w:color w:val="231F20"/>
        </w:rPr>
        <w:t>young</w:t>
      </w:r>
      <w:r>
        <w:rPr>
          <w:color w:val="231F20"/>
          <w:spacing w:val="-1"/>
        </w:rPr>
        <w:t xml:space="preserve"> </w:t>
      </w:r>
      <w:r>
        <w:rPr>
          <w:color w:val="231F20"/>
        </w:rPr>
        <w:t>lifestyle</w:t>
      </w:r>
      <w:r>
        <w:rPr>
          <w:color w:val="231F20"/>
          <w:spacing w:val="-1"/>
        </w:rPr>
        <w:t xml:space="preserve"> </w:t>
      </w:r>
      <w:r>
        <w:rPr>
          <w:color w:val="231F20"/>
        </w:rPr>
        <w:t>sport</w:t>
      </w:r>
      <w:r>
        <w:rPr>
          <w:color w:val="231F20"/>
          <w:spacing w:val="-1"/>
        </w:rPr>
        <w:t xml:space="preserve"> </w:t>
      </w:r>
      <w:r>
        <w:rPr>
          <w:color w:val="231F20"/>
        </w:rPr>
        <w:t>participants</w:t>
      </w:r>
      <w:r>
        <w:rPr>
          <w:color w:val="231F20"/>
          <w:spacing w:val="-1"/>
        </w:rPr>
        <w:t xml:space="preserve"> </w:t>
      </w:r>
      <w:r>
        <w:rPr>
          <w:color w:val="231F20"/>
        </w:rPr>
        <w:t>are</w:t>
      </w:r>
      <w:r>
        <w:rPr>
          <w:color w:val="231F20"/>
          <w:spacing w:val="-1"/>
        </w:rPr>
        <w:t xml:space="preserve"> </w:t>
      </w:r>
      <w:r>
        <w:rPr>
          <w:color w:val="231F20"/>
        </w:rPr>
        <w:t>both</w:t>
      </w:r>
      <w:r>
        <w:rPr>
          <w:color w:val="231F20"/>
          <w:spacing w:val="-1"/>
        </w:rPr>
        <w:t xml:space="preserve"> </w:t>
      </w:r>
      <w:r>
        <w:rPr>
          <w:color w:val="231F20"/>
        </w:rPr>
        <w:t>consumers</w:t>
      </w:r>
      <w:r>
        <w:rPr>
          <w:color w:val="231F20"/>
          <w:spacing w:val="-1"/>
        </w:rPr>
        <w:t xml:space="preserve"> </w:t>
      </w:r>
      <w:r>
        <w:rPr>
          <w:color w:val="231F20"/>
        </w:rPr>
        <w:t>and producers of sports. As such, they have considerable ability to ‘fashion their</w:t>
      </w:r>
      <w:r>
        <w:rPr>
          <w:color w:val="231F20"/>
          <w:spacing w:val="-12"/>
        </w:rPr>
        <w:t xml:space="preserve"> </w:t>
      </w:r>
      <w:r>
        <w:rPr>
          <w:color w:val="231F20"/>
        </w:rPr>
        <w:t>own</w:t>
      </w:r>
      <w:r>
        <w:rPr>
          <w:color w:val="231F20"/>
          <w:spacing w:val="-12"/>
        </w:rPr>
        <w:t xml:space="preserve"> </w:t>
      </w:r>
      <w:r>
        <w:rPr>
          <w:color w:val="231F20"/>
        </w:rPr>
        <w:t>cultures,</w:t>
      </w:r>
      <w:r>
        <w:rPr>
          <w:color w:val="231F20"/>
          <w:spacing w:val="-11"/>
        </w:rPr>
        <w:t xml:space="preserve"> </w:t>
      </w:r>
      <w:r>
        <w:rPr>
          <w:color w:val="231F20"/>
        </w:rPr>
        <w:t>identities</w:t>
      </w:r>
      <w:r>
        <w:rPr>
          <w:color w:val="231F20"/>
          <w:spacing w:val="-12"/>
        </w:rPr>
        <w:t xml:space="preserve"> </w:t>
      </w:r>
      <w:r>
        <w:rPr>
          <w:color w:val="231F20"/>
        </w:rPr>
        <w:t>and</w:t>
      </w:r>
      <w:r>
        <w:rPr>
          <w:color w:val="231F20"/>
          <w:spacing w:val="-11"/>
        </w:rPr>
        <w:t xml:space="preserve"> </w:t>
      </w:r>
      <w:r>
        <w:rPr>
          <w:color w:val="231F20"/>
        </w:rPr>
        <w:t>experiences</w:t>
      </w:r>
      <w:r>
        <w:rPr>
          <w:color w:val="231F20"/>
          <w:spacing w:val="-12"/>
        </w:rPr>
        <w:t xml:space="preserve"> </w:t>
      </w:r>
      <w:r>
        <w:rPr>
          <w:color w:val="231F20"/>
        </w:rPr>
        <w:t>in</w:t>
      </w:r>
      <w:r>
        <w:rPr>
          <w:color w:val="231F20"/>
          <w:spacing w:val="-11"/>
        </w:rPr>
        <w:t xml:space="preserve"> </w:t>
      </w:r>
      <w:r>
        <w:rPr>
          <w:color w:val="231F20"/>
        </w:rPr>
        <w:t>ways</w:t>
      </w:r>
      <w:r>
        <w:rPr>
          <w:color w:val="231F20"/>
          <w:spacing w:val="-12"/>
        </w:rPr>
        <w:t xml:space="preserve"> </w:t>
      </w:r>
      <w:r>
        <w:rPr>
          <w:color w:val="231F20"/>
        </w:rPr>
        <w:t>that</w:t>
      </w:r>
      <w:r>
        <w:rPr>
          <w:color w:val="231F20"/>
          <w:spacing w:val="-12"/>
        </w:rPr>
        <w:t xml:space="preserve"> </w:t>
      </w:r>
      <w:r>
        <w:rPr>
          <w:color w:val="231F20"/>
        </w:rPr>
        <w:t>are</w:t>
      </w:r>
      <w:r>
        <w:rPr>
          <w:color w:val="231F20"/>
          <w:spacing w:val="-11"/>
        </w:rPr>
        <w:t xml:space="preserve"> </w:t>
      </w:r>
      <w:r>
        <w:rPr>
          <w:color w:val="231F20"/>
        </w:rPr>
        <w:t>never</w:t>
      </w:r>
      <w:r>
        <w:rPr>
          <w:color w:val="231F20"/>
          <w:spacing w:val="-12"/>
        </w:rPr>
        <w:t xml:space="preserve"> </w:t>
      </w:r>
      <w:r>
        <w:rPr>
          <w:color w:val="231F20"/>
        </w:rPr>
        <w:t>fully determined by adults, public authorities, corporate interests, or socio- cultural norms’.</w:t>
      </w:r>
    </w:p>
    <w:p w14:paraId="344FD42C" w14:textId="77777777" w:rsidR="00AE0598" w:rsidRDefault="0069255A">
      <w:pPr>
        <w:pStyle w:val="Corpodetexto"/>
        <w:spacing w:before="20" w:line="232" w:lineRule="auto"/>
        <w:ind w:left="110" w:right="127" w:firstLine="320"/>
        <w:jc w:val="both"/>
      </w:pPr>
      <w:r>
        <w:rPr>
          <w:color w:val="231F20"/>
          <w:w w:val="95"/>
        </w:rPr>
        <w:t>Snowboarding</w:t>
      </w:r>
      <w:r>
        <w:rPr>
          <w:color w:val="231F20"/>
          <w:spacing w:val="-5"/>
          <w:w w:val="95"/>
        </w:rPr>
        <w:t xml:space="preserve"> </w:t>
      </w:r>
      <w:r>
        <w:rPr>
          <w:color w:val="231F20"/>
          <w:w w:val="95"/>
        </w:rPr>
        <w:t>provides</w:t>
      </w:r>
      <w:r>
        <w:rPr>
          <w:color w:val="231F20"/>
          <w:spacing w:val="-5"/>
          <w:w w:val="95"/>
        </w:rPr>
        <w:t xml:space="preserve"> </w:t>
      </w:r>
      <w:r>
        <w:rPr>
          <w:color w:val="231F20"/>
          <w:w w:val="95"/>
        </w:rPr>
        <w:t>a</w:t>
      </w:r>
      <w:r>
        <w:rPr>
          <w:color w:val="231F20"/>
          <w:spacing w:val="-5"/>
          <w:w w:val="95"/>
        </w:rPr>
        <w:t xml:space="preserve"> </w:t>
      </w:r>
      <w:r>
        <w:rPr>
          <w:color w:val="231F20"/>
          <w:w w:val="95"/>
        </w:rPr>
        <w:t>good</w:t>
      </w:r>
      <w:r>
        <w:rPr>
          <w:color w:val="231F20"/>
          <w:spacing w:val="-5"/>
          <w:w w:val="95"/>
        </w:rPr>
        <w:t xml:space="preserve"> </w:t>
      </w:r>
      <w:r>
        <w:rPr>
          <w:color w:val="231F20"/>
          <w:w w:val="95"/>
        </w:rPr>
        <w:t>illustration</w:t>
      </w:r>
      <w:r>
        <w:rPr>
          <w:color w:val="231F20"/>
          <w:spacing w:val="-5"/>
          <w:w w:val="95"/>
        </w:rPr>
        <w:t xml:space="preserve"> </w:t>
      </w:r>
      <w:r>
        <w:rPr>
          <w:color w:val="231F20"/>
          <w:w w:val="95"/>
        </w:rPr>
        <w:t>of</w:t>
      </w:r>
      <w:r>
        <w:rPr>
          <w:color w:val="231F20"/>
        </w:rPr>
        <w:t xml:space="preserve"> </w:t>
      </w:r>
      <w:r>
        <w:rPr>
          <w:color w:val="231F20"/>
          <w:w w:val="95"/>
        </w:rPr>
        <w:t>this</w:t>
      </w:r>
      <w:r>
        <w:rPr>
          <w:color w:val="231F20"/>
          <w:spacing w:val="-5"/>
          <w:w w:val="95"/>
        </w:rPr>
        <w:t xml:space="preserve"> </w:t>
      </w:r>
      <w:r>
        <w:rPr>
          <w:color w:val="231F20"/>
          <w:w w:val="95"/>
        </w:rPr>
        <w:t>process.</w:t>
      </w:r>
      <w:r>
        <w:rPr>
          <w:color w:val="231F20"/>
          <w:spacing w:val="-5"/>
          <w:w w:val="95"/>
        </w:rPr>
        <w:t xml:space="preserve"> </w:t>
      </w:r>
      <w:r>
        <w:rPr>
          <w:color w:val="231F20"/>
          <w:w w:val="95"/>
        </w:rPr>
        <w:t>It</w:t>
      </w:r>
      <w:r>
        <w:rPr>
          <w:color w:val="231F20"/>
          <w:spacing w:val="-5"/>
          <w:w w:val="95"/>
        </w:rPr>
        <w:t xml:space="preserve"> </w:t>
      </w:r>
      <w:r>
        <w:rPr>
          <w:color w:val="231F20"/>
          <w:w w:val="95"/>
        </w:rPr>
        <w:t>emerged</w:t>
      </w:r>
      <w:r>
        <w:rPr>
          <w:color w:val="231F20"/>
          <w:spacing w:val="-5"/>
          <w:w w:val="95"/>
        </w:rPr>
        <w:t xml:space="preserve"> </w:t>
      </w:r>
      <w:r>
        <w:rPr>
          <w:color w:val="231F20"/>
          <w:w w:val="95"/>
        </w:rPr>
        <w:t xml:space="preserve">as </w:t>
      </w:r>
      <w:r>
        <w:rPr>
          <w:color w:val="231F20"/>
        </w:rPr>
        <w:t>a</w:t>
      </w:r>
      <w:r>
        <w:rPr>
          <w:color w:val="231F20"/>
          <w:spacing w:val="-12"/>
        </w:rPr>
        <w:t xml:space="preserve"> </w:t>
      </w:r>
      <w:r>
        <w:rPr>
          <w:color w:val="231F20"/>
        </w:rPr>
        <w:t>subculture</w:t>
      </w:r>
      <w:r>
        <w:rPr>
          <w:color w:val="231F20"/>
          <w:spacing w:val="-12"/>
        </w:rPr>
        <w:t xml:space="preserve"> </w:t>
      </w:r>
      <w:r>
        <w:rPr>
          <w:color w:val="231F20"/>
        </w:rPr>
        <w:t>activity</w:t>
      </w:r>
      <w:r>
        <w:rPr>
          <w:color w:val="231F20"/>
          <w:spacing w:val="-11"/>
        </w:rPr>
        <w:t xml:space="preserve"> </w:t>
      </w:r>
      <w:r>
        <w:rPr>
          <w:color w:val="231F20"/>
        </w:rPr>
        <w:t>in</w:t>
      </w:r>
      <w:r>
        <w:rPr>
          <w:color w:val="231F20"/>
          <w:spacing w:val="-12"/>
        </w:rPr>
        <w:t xml:space="preserve"> </w:t>
      </w:r>
      <w:r>
        <w:rPr>
          <w:color w:val="231F20"/>
        </w:rPr>
        <w:t>resistance</w:t>
      </w:r>
      <w:r>
        <w:rPr>
          <w:color w:val="231F20"/>
          <w:spacing w:val="-11"/>
        </w:rPr>
        <w:t xml:space="preserve"> </w:t>
      </w:r>
      <w:r>
        <w:rPr>
          <w:color w:val="231F20"/>
        </w:rPr>
        <w:t>to</w:t>
      </w:r>
      <w:r>
        <w:rPr>
          <w:color w:val="231F20"/>
          <w:spacing w:val="-12"/>
        </w:rPr>
        <w:t xml:space="preserve"> </w:t>
      </w:r>
      <w:r>
        <w:rPr>
          <w:color w:val="231F20"/>
        </w:rPr>
        <w:t>the</w:t>
      </w:r>
      <w:r>
        <w:rPr>
          <w:color w:val="231F20"/>
          <w:spacing w:val="-11"/>
        </w:rPr>
        <w:t xml:space="preserve"> </w:t>
      </w:r>
      <w:r>
        <w:rPr>
          <w:color w:val="231F20"/>
        </w:rPr>
        <w:t>dominant</w:t>
      </w:r>
      <w:r>
        <w:rPr>
          <w:color w:val="231F20"/>
          <w:spacing w:val="-12"/>
        </w:rPr>
        <w:t xml:space="preserve"> </w:t>
      </w:r>
      <w:r>
        <w:rPr>
          <w:color w:val="231F20"/>
        </w:rPr>
        <w:t>culture</w:t>
      </w:r>
      <w:r>
        <w:rPr>
          <w:color w:val="231F20"/>
          <w:spacing w:val="-12"/>
        </w:rPr>
        <w:t xml:space="preserve"> </w:t>
      </w:r>
      <w:r>
        <w:rPr>
          <w:color w:val="231F20"/>
        </w:rPr>
        <w:t>of</w:t>
      </w:r>
      <w:r>
        <w:rPr>
          <w:color w:val="231F20"/>
          <w:spacing w:val="-11"/>
        </w:rPr>
        <w:t xml:space="preserve"> </w:t>
      </w:r>
      <w:r>
        <w:rPr>
          <w:color w:val="231F20"/>
        </w:rPr>
        <w:t>alpine</w:t>
      </w:r>
      <w:r>
        <w:rPr>
          <w:color w:val="231F20"/>
          <w:spacing w:val="-12"/>
        </w:rPr>
        <w:t xml:space="preserve"> </w:t>
      </w:r>
      <w:r>
        <w:rPr>
          <w:color w:val="231F20"/>
        </w:rPr>
        <w:t xml:space="preserve">skiing </w:t>
      </w:r>
      <w:r>
        <w:rPr>
          <w:color w:val="231F20"/>
          <w:w w:val="95"/>
        </w:rPr>
        <w:t>which</w:t>
      </w:r>
      <w:r>
        <w:rPr>
          <w:color w:val="231F20"/>
          <w:spacing w:val="-1"/>
          <w:w w:val="95"/>
        </w:rPr>
        <w:t xml:space="preserve"> </w:t>
      </w:r>
      <w:r>
        <w:rPr>
          <w:color w:val="231F20"/>
          <w:w w:val="95"/>
        </w:rPr>
        <w:t>had</w:t>
      </w:r>
      <w:r>
        <w:rPr>
          <w:color w:val="231F20"/>
          <w:spacing w:val="-1"/>
          <w:w w:val="95"/>
        </w:rPr>
        <w:t xml:space="preserve"> </w:t>
      </w:r>
      <w:r>
        <w:rPr>
          <w:color w:val="231F20"/>
          <w:w w:val="95"/>
        </w:rPr>
        <w:t>become</w:t>
      </w:r>
      <w:r>
        <w:rPr>
          <w:color w:val="231F20"/>
          <w:spacing w:val="-1"/>
          <w:w w:val="95"/>
        </w:rPr>
        <w:t xml:space="preserve"> </w:t>
      </w:r>
      <w:r>
        <w:rPr>
          <w:color w:val="231F20"/>
          <w:w w:val="95"/>
        </w:rPr>
        <w:t>mainstream</w:t>
      </w:r>
      <w:r>
        <w:rPr>
          <w:color w:val="231F20"/>
          <w:spacing w:val="-1"/>
          <w:w w:val="95"/>
        </w:rPr>
        <w:t xml:space="preserve"> </w:t>
      </w:r>
      <w:r>
        <w:rPr>
          <w:color w:val="231F20"/>
          <w:w w:val="95"/>
        </w:rPr>
        <w:t>by</w:t>
      </w:r>
      <w:r>
        <w:rPr>
          <w:color w:val="231F20"/>
          <w:spacing w:val="-1"/>
          <w:w w:val="95"/>
        </w:rPr>
        <w:t xml:space="preserve"> </w:t>
      </w:r>
      <w:r>
        <w:rPr>
          <w:color w:val="231F20"/>
          <w:w w:val="95"/>
        </w:rPr>
        <w:t>the</w:t>
      </w:r>
      <w:r>
        <w:rPr>
          <w:color w:val="231F20"/>
          <w:spacing w:val="-1"/>
          <w:w w:val="95"/>
        </w:rPr>
        <w:t xml:space="preserve"> </w:t>
      </w:r>
      <w:r>
        <w:rPr>
          <w:color w:val="231F20"/>
          <w:w w:val="95"/>
        </w:rPr>
        <w:t>1980s.</w:t>
      </w:r>
      <w:r>
        <w:rPr>
          <w:color w:val="231F20"/>
          <w:spacing w:val="-1"/>
          <w:w w:val="95"/>
        </w:rPr>
        <w:t xml:space="preserve"> </w:t>
      </w:r>
      <w:r>
        <w:rPr>
          <w:color w:val="231F20"/>
          <w:w w:val="95"/>
        </w:rPr>
        <w:t>It</w:t>
      </w:r>
      <w:r>
        <w:rPr>
          <w:color w:val="231F20"/>
          <w:spacing w:val="-1"/>
          <w:w w:val="95"/>
        </w:rPr>
        <w:t xml:space="preserve"> </w:t>
      </w:r>
      <w:r>
        <w:rPr>
          <w:color w:val="231F20"/>
          <w:w w:val="95"/>
        </w:rPr>
        <w:t>was</w:t>
      </w:r>
      <w:r>
        <w:rPr>
          <w:color w:val="231F20"/>
          <w:spacing w:val="-1"/>
          <w:w w:val="95"/>
        </w:rPr>
        <w:t xml:space="preserve"> </w:t>
      </w:r>
      <w:r>
        <w:rPr>
          <w:color w:val="231F20"/>
          <w:w w:val="95"/>
        </w:rPr>
        <w:t>characterised</w:t>
      </w:r>
      <w:r>
        <w:rPr>
          <w:color w:val="231F20"/>
          <w:spacing w:val="-1"/>
          <w:w w:val="95"/>
        </w:rPr>
        <w:t xml:space="preserve"> </w:t>
      </w:r>
      <w:r>
        <w:rPr>
          <w:color w:val="231F20"/>
          <w:w w:val="95"/>
        </w:rPr>
        <w:t>by</w:t>
      </w:r>
      <w:r>
        <w:rPr>
          <w:color w:val="231F20"/>
          <w:spacing w:val="-1"/>
          <w:w w:val="95"/>
        </w:rPr>
        <w:t xml:space="preserve"> </w:t>
      </w:r>
      <w:r>
        <w:rPr>
          <w:color w:val="231F20"/>
          <w:w w:val="95"/>
        </w:rPr>
        <w:t>a</w:t>
      </w:r>
      <w:r>
        <w:rPr>
          <w:color w:val="231F20"/>
          <w:spacing w:val="-1"/>
          <w:w w:val="95"/>
        </w:rPr>
        <w:t xml:space="preserve"> </w:t>
      </w:r>
      <w:r>
        <w:rPr>
          <w:color w:val="231F20"/>
          <w:w w:val="95"/>
        </w:rPr>
        <w:t xml:space="preserve">non- </w:t>
      </w:r>
      <w:r>
        <w:rPr>
          <w:color w:val="231F20"/>
        </w:rPr>
        <w:t>traditional view of sport. Yet, the initial radical nature of snowboarding has</w:t>
      </w:r>
      <w:r>
        <w:rPr>
          <w:color w:val="231F20"/>
          <w:spacing w:val="-1"/>
        </w:rPr>
        <w:t xml:space="preserve"> </w:t>
      </w:r>
      <w:r>
        <w:rPr>
          <w:color w:val="231F20"/>
        </w:rPr>
        <w:t>been</w:t>
      </w:r>
      <w:r>
        <w:rPr>
          <w:color w:val="231F20"/>
          <w:spacing w:val="-1"/>
        </w:rPr>
        <w:t xml:space="preserve"> </w:t>
      </w:r>
      <w:r>
        <w:rPr>
          <w:color w:val="231F20"/>
        </w:rPr>
        <w:t>steadily</w:t>
      </w:r>
      <w:r>
        <w:rPr>
          <w:color w:val="231F20"/>
          <w:spacing w:val="-1"/>
        </w:rPr>
        <w:t xml:space="preserve"> </w:t>
      </w:r>
      <w:r>
        <w:rPr>
          <w:color w:val="231F20"/>
        </w:rPr>
        <w:t>moderated</w:t>
      </w:r>
      <w:r>
        <w:rPr>
          <w:color w:val="231F20"/>
          <w:spacing w:val="-1"/>
        </w:rPr>
        <w:t xml:space="preserve"> </w:t>
      </w:r>
      <w:r>
        <w:rPr>
          <w:color w:val="231F20"/>
        </w:rPr>
        <w:t>through</w:t>
      </w:r>
      <w:r>
        <w:rPr>
          <w:color w:val="231F20"/>
          <w:spacing w:val="-1"/>
        </w:rPr>
        <w:t xml:space="preserve"> </w:t>
      </w:r>
      <w:r>
        <w:rPr>
          <w:color w:val="231F20"/>
        </w:rPr>
        <w:t>the</w:t>
      </w:r>
      <w:r>
        <w:rPr>
          <w:color w:val="231F20"/>
          <w:spacing w:val="-1"/>
        </w:rPr>
        <w:t xml:space="preserve"> </w:t>
      </w:r>
      <w:r>
        <w:rPr>
          <w:color w:val="231F20"/>
        </w:rPr>
        <w:t>pressures</w:t>
      </w:r>
      <w:r>
        <w:rPr>
          <w:color w:val="231F20"/>
          <w:spacing w:val="-1"/>
        </w:rPr>
        <w:t xml:space="preserve"> </w:t>
      </w:r>
      <w:r>
        <w:rPr>
          <w:color w:val="231F20"/>
        </w:rPr>
        <w:t>of commodification. The development of snowboarding as a commercial television product by ESPN illustrates this point. Another benchmark in the evolution of snowboarding</w:t>
      </w:r>
      <w:r>
        <w:rPr>
          <w:color w:val="231F20"/>
          <w:spacing w:val="-12"/>
        </w:rPr>
        <w:t xml:space="preserve"> </w:t>
      </w:r>
      <w:r>
        <w:rPr>
          <w:color w:val="231F20"/>
        </w:rPr>
        <w:t>from</w:t>
      </w:r>
      <w:r>
        <w:rPr>
          <w:color w:val="231F20"/>
          <w:spacing w:val="-12"/>
        </w:rPr>
        <w:t xml:space="preserve"> </w:t>
      </w:r>
      <w:r>
        <w:rPr>
          <w:color w:val="231F20"/>
        </w:rPr>
        <w:t>a</w:t>
      </w:r>
      <w:r>
        <w:rPr>
          <w:color w:val="231F20"/>
          <w:spacing w:val="-11"/>
        </w:rPr>
        <w:t xml:space="preserve"> </w:t>
      </w:r>
      <w:r>
        <w:rPr>
          <w:color w:val="231F20"/>
        </w:rPr>
        <w:t>subculture</w:t>
      </w:r>
      <w:r>
        <w:rPr>
          <w:color w:val="231F20"/>
          <w:spacing w:val="-12"/>
        </w:rPr>
        <w:t xml:space="preserve"> </w:t>
      </w:r>
      <w:r>
        <w:rPr>
          <w:color w:val="231F20"/>
        </w:rPr>
        <w:t>to</w:t>
      </w:r>
      <w:r>
        <w:rPr>
          <w:color w:val="231F20"/>
          <w:spacing w:val="-11"/>
        </w:rPr>
        <w:t xml:space="preserve"> </w:t>
      </w:r>
      <w:r>
        <w:rPr>
          <w:color w:val="231F20"/>
        </w:rPr>
        <w:t>a</w:t>
      </w:r>
      <w:r>
        <w:rPr>
          <w:color w:val="231F20"/>
          <w:spacing w:val="-12"/>
        </w:rPr>
        <w:t xml:space="preserve"> </w:t>
      </w:r>
      <w:r>
        <w:rPr>
          <w:color w:val="231F20"/>
        </w:rPr>
        <w:t>mainstream</w:t>
      </w:r>
      <w:r>
        <w:rPr>
          <w:color w:val="231F20"/>
          <w:spacing w:val="-11"/>
        </w:rPr>
        <w:t xml:space="preserve"> </w:t>
      </w:r>
      <w:r>
        <w:rPr>
          <w:color w:val="231F20"/>
        </w:rPr>
        <w:t>sport</w:t>
      </w:r>
      <w:r>
        <w:rPr>
          <w:color w:val="231F20"/>
          <w:spacing w:val="-12"/>
        </w:rPr>
        <w:t xml:space="preserve"> </w:t>
      </w:r>
      <w:r>
        <w:rPr>
          <w:color w:val="231F20"/>
        </w:rPr>
        <w:t>was</w:t>
      </w:r>
      <w:r>
        <w:rPr>
          <w:color w:val="231F20"/>
          <w:spacing w:val="-12"/>
        </w:rPr>
        <w:t xml:space="preserve"> </w:t>
      </w:r>
      <w:r>
        <w:rPr>
          <w:color w:val="231F20"/>
        </w:rPr>
        <w:t>the</w:t>
      </w:r>
      <w:r>
        <w:rPr>
          <w:color w:val="231F20"/>
          <w:spacing w:val="-11"/>
        </w:rPr>
        <w:t xml:space="preserve"> </w:t>
      </w:r>
      <w:r>
        <w:rPr>
          <w:color w:val="231F20"/>
        </w:rPr>
        <w:t xml:space="preserve">inclusion of snowboarding in the 1998 </w:t>
      </w:r>
      <w:r>
        <w:rPr>
          <w:color w:val="231F20"/>
        </w:rPr>
        <w:t>Winter Olympic Games. Other emerging issues</w:t>
      </w:r>
      <w:r>
        <w:rPr>
          <w:color w:val="231F20"/>
          <w:spacing w:val="-12"/>
        </w:rPr>
        <w:t xml:space="preserve"> </w:t>
      </w:r>
      <w:r>
        <w:rPr>
          <w:color w:val="231F20"/>
        </w:rPr>
        <w:t>involve</w:t>
      </w:r>
      <w:r>
        <w:rPr>
          <w:color w:val="231F20"/>
          <w:spacing w:val="-12"/>
        </w:rPr>
        <w:t xml:space="preserve"> </w:t>
      </w:r>
      <w:r>
        <w:rPr>
          <w:color w:val="231F20"/>
        </w:rPr>
        <w:t>the</w:t>
      </w:r>
      <w:r>
        <w:rPr>
          <w:color w:val="231F20"/>
          <w:spacing w:val="-11"/>
        </w:rPr>
        <w:t xml:space="preserve"> </w:t>
      </w:r>
      <w:r>
        <w:rPr>
          <w:color w:val="231F20"/>
        </w:rPr>
        <w:t>relationship</w:t>
      </w:r>
      <w:r>
        <w:rPr>
          <w:color w:val="231F20"/>
          <w:spacing w:val="-12"/>
        </w:rPr>
        <w:t xml:space="preserve"> </w:t>
      </w:r>
      <w:r>
        <w:rPr>
          <w:color w:val="231F20"/>
        </w:rPr>
        <w:t>of</w:t>
      </w:r>
      <w:r>
        <w:rPr>
          <w:color w:val="231F20"/>
          <w:spacing w:val="-11"/>
        </w:rPr>
        <w:t xml:space="preserve"> </w:t>
      </w:r>
      <w:r>
        <w:rPr>
          <w:color w:val="231F20"/>
        </w:rPr>
        <w:t>these</w:t>
      </w:r>
      <w:r>
        <w:rPr>
          <w:color w:val="231F20"/>
          <w:spacing w:val="-11"/>
        </w:rPr>
        <w:t xml:space="preserve"> </w:t>
      </w:r>
      <w:r>
        <w:rPr>
          <w:color w:val="231F20"/>
        </w:rPr>
        <w:t>activities</w:t>
      </w:r>
      <w:r>
        <w:rPr>
          <w:color w:val="231F20"/>
          <w:spacing w:val="-12"/>
        </w:rPr>
        <w:t xml:space="preserve"> </w:t>
      </w:r>
      <w:r>
        <w:rPr>
          <w:color w:val="231F20"/>
        </w:rPr>
        <w:t>to</w:t>
      </w:r>
      <w:r>
        <w:rPr>
          <w:color w:val="231F20"/>
          <w:spacing w:val="-11"/>
        </w:rPr>
        <w:t xml:space="preserve"> </w:t>
      </w:r>
      <w:r>
        <w:rPr>
          <w:color w:val="231F20"/>
        </w:rPr>
        <w:t>nature.</w:t>
      </w:r>
      <w:r>
        <w:rPr>
          <w:color w:val="231F20"/>
          <w:spacing w:val="-12"/>
        </w:rPr>
        <w:t xml:space="preserve"> </w:t>
      </w:r>
      <w:r>
        <w:rPr>
          <w:color w:val="231F20"/>
        </w:rPr>
        <w:t>While</w:t>
      </w:r>
      <w:r>
        <w:rPr>
          <w:color w:val="231F20"/>
          <w:spacing w:val="-12"/>
        </w:rPr>
        <w:t xml:space="preserve"> </w:t>
      </w:r>
      <w:r>
        <w:rPr>
          <w:color w:val="231F20"/>
        </w:rPr>
        <w:t xml:space="preserve">initially </w:t>
      </w:r>
      <w:r>
        <w:rPr>
          <w:color w:val="231F20"/>
          <w:w w:val="95"/>
        </w:rPr>
        <w:t xml:space="preserve">seen as eco-friendly, increasing extreme sport participation in remote areas </w:t>
      </w:r>
      <w:r>
        <w:rPr>
          <w:color w:val="231F20"/>
        </w:rPr>
        <w:t>is causing environmental stress. At the same time that remote n</w:t>
      </w:r>
      <w:r>
        <w:rPr>
          <w:color w:val="231F20"/>
        </w:rPr>
        <w:t xml:space="preserve">atural </w:t>
      </w:r>
      <w:r>
        <w:rPr>
          <w:color w:val="231F20"/>
          <w:w w:val="95"/>
        </w:rPr>
        <w:t>areas</w:t>
      </w:r>
      <w:r>
        <w:rPr>
          <w:color w:val="231F20"/>
          <w:spacing w:val="-1"/>
          <w:w w:val="95"/>
        </w:rPr>
        <w:t xml:space="preserve"> </w:t>
      </w:r>
      <w:r>
        <w:rPr>
          <w:color w:val="231F20"/>
          <w:w w:val="95"/>
        </w:rPr>
        <w:t>are</w:t>
      </w:r>
      <w:r>
        <w:rPr>
          <w:color w:val="231F20"/>
          <w:spacing w:val="-3"/>
        </w:rPr>
        <w:t xml:space="preserve"> </w:t>
      </w:r>
      <w:r>
        <w:rPr>
          <w:color w:val="231F20"/>
          <w:w w:val="95"/>
        </w:rPr>
        <w:t>under</w:t>
      </w:r>
      <w:r>
        <w:rPr>
          <w:color w:val="231F20"/>
          <w:spacing w:val="-3"/>
        </w:rPr>
        <w:t xml:space="preserve"> </w:t>
      </w:r>
      <w:r>
        <w:rPr>
          <w:color w:val="231F20"/>
          <w:w w:val="95"/>
        </w:rPr>
        <w:t>pressure,</w:t>
      </w:r>
      <w:r>
        <w:rPr>
          <w:color w:val="231F20"/>
          <w:spacing w:val="-2"/>
        </w:rPr>
        <w:t xml:space="preserve"> </w:t>
      </w:r>
      <w:r>
        <w:rPr>
          <w:color w:val="231F20"/>
          <w:w w:val="95"/>
        </w:rPr>
        <w:t>new</w:t>
      </w:r>
      <w:r>
        <w:rPr>
          <w:color w:val="231F20"/>
          <w:spacing w:val="-1"/>
          <w:w w:val="95"/>
        </w:rPr>
        <w:t xml:space="preserve"> </w:t>
      </w:r>
      <w:r>
        <w:rPr>
          <w:color w:val="231F20"/>
          <w:w w:val="95"/>
        </w:rPr>
        <w:t>urban-based</w:t>
      </w:r>
      <w:r>
        <w:rPr>
          <w:color w:val="231F20"/>
          <w:spacing w:val="-3"/>
        </w:rPr>
        <w:t xml:space="preserve"> </w:t>
      </w:r>
      <w:r>
        <w:rPr>
          <w:color w:val="231F20"/>
          <w:w w:val="95"/>
        </w:rPr>
        <w:t>extreme</w:t>
      </w:r>
      <w:r>
        <w:rPr>
          <w:color w:val="231F20"/>
          <w:spacing w:val="-2"/>
        </w:rPr>
        <w:t xml:space="preserve"> </w:t>
      </w:r>
      <w:r>
        <w:rPr>
          <w:color w:val="231F20"/>
          <w:w w:val="95"/>
        </w:rPr>
        <w:t>sports</w:t>
      </w:r>
      <w:r>
        <w:rPr>
          <w:color w:val="231F20"/>
          <w:spacing w:val="-1"/>
          <w:w w:val="95"/>
        </w:rPr>
        <w:t xml:space="preserve"> </w:t>
      </w:r>
      <w:r>
        <w:rPr>
          <w:color w:val="231F20"/>
          <w:w w:val="95"/>
        </w:rPr>
        <w:t>such</w:t>
      </w:r>
      <w:r>
        <w:rPr>
          <w:color w:val="231F20"/>
          <w:spacing w:val="-3"/>
        </w:rPr>
        <w:t xml:space="preserve"> </w:t>
      </w:r>
      <w:r>
        <w:rPr>
          <w:color w:val="231F20"/>
          <w:w w:val="95"/>
        </w:rPr>
        <w:t>as</w:t>
      </w:r>
      <w:r>
        <w:rPr>
          <w:color w:val="231F20"/>
          <w:spacing w:val="-3"/>
        </w:rPr>
        <w:t xml:space="preserve"> </w:t>
      </w:r>
      <w:r>
        <w:rPr>
          <w:color w:val="231F20"/>
          <w:spacing w:val="-2"/>
          <w:w w:val="95"/>
        </w:rPr>
        <w:t>parkour</w:t>
      </w:r>
    </w:p>
    <w:p w14:paraId="758B5D9E" w14:textId="77777777" w:rsidR="00AE0598" w:rsidRDefault="00AE0598">
      <w:pPr>
        <w:spacing w:line="232" w:lineRule="auto"/>
        <w:jc w:val="both"/>
        <w:sectPr w:rsidR="00AE0598">
          <w:pgSz w:w="8850" w:h="13270"/>
          <w:pgMar w:top="720" w:right="1060" w:bottom="280" w:left="1080" w:header="720" w:footer="720" w:gutter="0"/>
          <w:cols w:space="720"/>
        </w:sectPr>
      </w:pPr>
    </w:p>
    <w:p w14:paraId="7E937B18" w14:textId="77777777" w:rsidR="00AE0598" w:rsidRDefault="0069255A">
      <w:pPr>
        <w:spacing w:before="87"/>
        <w:ind w:left="3808"/>
        <w:rPr>
          <w:rFonts w:ascii="Trebuchet MS"/>
          <w:sz w:val="14"/>
        </w:rPr>
      </w:pPr>
      <w:r>
        <w:rPr>
          <w:rFonts w:ascii="Trebuchet MS"/>
          <w:color w:val="231F20"/>
          <w:w w:val="105"/>
          <w:sz w:val="14"/>
        </w:rPr>
        <w:lastRenderedPageBreak/>
        <w:t>Evolutionary</w:t>
      </w:r>
      <w:r>
        <w:rPr>
          <w:rFonts w:ascii="Trebuchet MS"/>
          <w:color w:val="231F20"/>
          <w:spacing w:val="-12"/>
          <w:w w:val="105"/>
          <w:sz w:val="14"/>
        </w:rPr>
        <w:t xml:space="preserve"> </w:t>
      </w:r>
      <w:r>
        <w:rPr>
          <w:rFonts w:ascii="Trebuchet MS"/>
          <w:color w:val="231F20"/>
          <w:w w:val="105"/>
          <w:sz w:val="14"/>
        </w:rPr>
        <w:t>Trends</w:t>
      </w:r>
      <w:r>
        <w:rPr>
          <w:rFonts w:ascii="Trebuchet MS"/>
          <w:color w:val="231F20"/>
          <w:spacing w:val="-11"/>
          <w:w w:val="105"/>
          <w:sz w:val="14"/>
        </w:rPr>
        <w:t xml:space="preserve"> </w:t>
      </w:r>
      <w:r>
        <w:rPr>
          <w:rFonts w:ascii="Trebuchet MS"/>
          <w:color w:val="231F20"/>
          <w:w w:val="105"/>
          <w:sz w:val="14"/>
        </w:rPr>
        <w:t>in</w:t>
      </w:r>
      <w:r>
        <w:rPr>
          <w:rFonts w:ascii="Trebuchet MS"/>
          <w:color w:val="231F20"/>
          <w:spacing w:val="-11"/>
          <w:w w:val="105"/>
          <w:sz w:val="14"/>
        </w:rPr>
        <w:t xml:space="preserve"> </w:t>
      </w:r>
      <w:r>
        <w:rPr>
          <w:rFonts w:ascii="Trebuchet MS"/>
          <w:color w:val="231F20"/>
          <w:w w:val="105"/>
          <w:sz w:val="14"/>
        </w:rPr>
        <w:t>Sport</w:t>
      </w:r>
      <w:r>
        <w:rPr>
          <w:rFonts w:ascii="Trebuchet MS"/>
          <w:color w:val="231F20"/>
          <w:spacing w:val="-11"/>
          <w:w w:val="105"/>
          <w:sz w:val="14"/>
        </w:rPr>
        <w:t xml:space="preserve"> </w:t>
      </w:r>
      <w:r>
        <w:rPr>
          <w:rFonts w:ascii="Trebuchet MS"/>
          <w:color w:val="231F20"/>
          <w:w w:val="105"/>
          <w:sz w:val="14"/>
        </w:rPr>
        <w:t>Tourism</w:t>
      </w:r>
      <w:r>
        <w:rPr>
          <w:rFonts w:ascii="Trebuchet MS"/>
          <w:color w:val="231F20"/>
          <w:spacing w:val="74"/>
          <w:w w:val="105"/>
          <w:sz w:val="14"/>
        </w:rPr>
        <w:t xml:space="preserve"> </w:t>
      </w:r>
      <w:r>
        <w:rPr>
          <w:rFonts w:ascii="Trebuchet MS"/>
          <w:color w:val="231F20"/>
          <w:spacing w:val="-5"/>
          <w:w w:val="105"/>
          <w:sz w:val="14"/>
        </w:rPr>
        <w:t>207</w:t>
      </w:r>
    </w:p>
    <w:p w14:paraId="7AE63BEE" w14:textId="77777777" w:rsidR="00AE0598" w:rsidRDefault="00AE0598">
      <w:pPr>
        <w:pStyle w:val="Corpodetexto"/>
        <w:rPr>
          <w:rFonts w:ascii="Trebuchet MS"/>
          <w:sz w:val="16"/>
        </w:rPr>
      </w:pPr>
    </w:p>
    <w:p w14:paraId="6D960F2C" w14:textId="77777777" w:rsidR="00AE0598" w:rsidRDefault="0069255A">
      <w:pPr>
        <w:pStyle w:val="Corpodetexto"/>
        <w:spacing w:before="118" w:line="232" w:lineRule="auto"/>
        <w:ind w:left="110" w:right="127"/>
        <w:jc w:val="both"/>
      </w:pPr>
      <w:r>
        <w:rPr>
          <w:color w:val="231F20"/>
          <w:w w:val="95"/>
        </w:rPr>
        <w:t xml:space="preserve">(the physical practice of traversing urban elements) are becoming popular. </w:t>
      </w:r>
      <w:r>
        <w:rPr>
          <w:color w:val="231F20"/>
        </w:rPr>
        <w:t xml:space="preserve">More generally, extreme sports tend to be dominated by Western male </w:t>
      </w:r>
      <w:r>
        <w:rPr>
          <w:color w:val="231F20"/>
          <w:spacing w:val="-2"/>
        </w:rPr>
        <w:t>youth</w:t>
      </w:r>
      <w:r>
        <w:rPr>
          <w:color w:val="231F20"/>
          <w:spacing w:val="-7"/>
        </w:rPr>
        <w:t xml:space="preserve"> </w:t>
      </w:r>
      <w:r>
        <w:rPr>
          <w:color w:val="231F20"/>
          <w:spacing w:val="-2"/>
        </w:rPr>
        <w:t>and</w:t>
      </w:r>
      <w:r>
        <w:rPr>
          <w:color w:val="231F20"/>
          <w:spacing w:val="-7"/>
        </w:rPr>
        <w:t xml:space="preserve"> </w:t>
      </w:r>
      <w:r>
        <w:rPr>
          <w:color w:val="231F20"/>
          <w:spacing w:val="-2"/>
        </w:rPr>
        <w:t>it</w:t>
      </w:r>
      <w:r>
        <w:rPr>
          <w:color w:val="231F20"/>
          <w:spacing w:val="-7"/>
        </w:rPr>
        <w:t xml:space="preserve"> </w:t>
      </w:r>
      <w:r>
        <w:rPr>
          <w:color w:val="231F20"/>
          <w:spacing w:val="-2"/>
        </w:rPr>
        <w:t>will</w:t>
      </w:r>
      <w:r>
        <w:rPr>
          <w:color w:val="231F20"/>
          <w:spacing w:val="-7"/>
        </w:rPr>
        <w:t xml:space="preserve"> </w:t>
      </w:r>
      <w:r>
        <w:rPr>
          <w:color w:val="231F20"/>
          <w:spacing w:val="-2"/>
        </w:rPr>
        <w:t>be</w:t>
      </w:r>
      <w:r>
        <w:rPr>
          <w:color w:val="231F20"/>
          <w:spacing w:val="-7"/>
        </w:rPr>
        <w:t xml:space="preserve"> </w:t>
      </w:r>
      <w:r>
        <w:rPr>
          <w:color w:val="231F20"/>
          <w:spacing w:val="-2"/>
        </w:rPr>
        <w:t>interesting</w:t>
      </w:r>
      <w:r>
        <w:rPr>
          <w:color w:val="231F20"/>
          <w:spacing w:val="-7"/>
        </w:rPr>
        <w:t xml:space="preserve"> </w:t>
      </w:r>
      <w:r>
        <w:rPr>
          <w:color w:val="231F20"/>
          <w:spacing w:val="-2"/>
        </w:rPr>
        <w:t>to</w:t>
      </w:r>
      <w:r>
        <w:rPr>
          <w:color w:val="231F20"/>
          <w:spacing w:val="-7"/>
        </w:rPr>
        <w:t xml:space="preserve"> </w:t>
      </w:r>
      <w:r>
        <w:rPr>
          <w:color w:val="231F20"/>
          <w:spacing w:val="-2"/>
        </w:rPr>
        <w:t>see</w:t>
      </w:r>
      <w:r>
        <w:rPr>
          <w:color w:val="231F20"/>
          <w:spacing w:val="-7"/>
        </w:rPr>
        <w:t xml:space="preserve"> </w:t>
      </w:r>
      <w:r>
        <w:rPr>
          <w:color w:val="231F20"/>
          <w:spacing w:val="-2"/>
        </w:rPr>
        <w:t>whether</w:t>
      </w:r>
      <w:r>
        <w:rPr>
          <w:color w:val="231F20"/>
          <w:spacing w:val="-7"/>
        </w:rPr>
        <w:t xml:space="preserve"> </w:t>
      </w:r>
      <w:r>
        <w:rPr>
          <w:color w:val="231F20"/>
          <w:spacing w:val="-2"/>
        </w:rPr>
        <w:t>this</w:t>
      </w:r>
      <w:r>
        <w:rPr>
          <w:color w:val="231F20"/>
          <w:spacing w:val="-7"/>
        </w:rPr>
        <w:t xml:space="preserve"> </w:t>
      </w:r>
      <w:r>
        <w:rPr>
          <w:color w:val="231F20"/>
          <w:spacing w:val="-2"/>
        </w:rPr>
        <w:t>changes</w:t>
      </w:r>
      <w:r>
        <w:rPr>
          <w:color w:val="231F20"/>
          <w:spacing w:val="-7"/>
        </w:rPr>
        <w:t xml:space="preserve"> </w:t>
      </w:r>
      <w:r>
        <w:rPr>
          <w:color w:val="231F20"/>
          <w:spacing w:val="-2"/>
        </w:rPr>
        <w:t>significantly</w:t>
      </w:r>
      <w:r>
        <w:rPr>
          <w:color w:val="231F20"/>
          <w:spacing w:val="-7"/>
        </w:rPr>
        <w:t xml:space="preserve"> </w:t>
      </w:r>
      <w:r>
        <w:rPr>
          <w:color w:val="231F20"/>
          <w:spacing w:val="-2"/>
        </w:rPr>
        <w:t xml:space="preserve">in </w:t>
      </w:r>
      <w:r>
        <w:rPr>
          <w:color w:val="231F20"/>
        </w:rPr>
        <w:t>the</w:t>
      </w:r>
      <w:r>
        <w:rPr>
          <w:color w:val="231F20"/>
          <w:spacing w:val="-1"/>
        </w:rPr>
        <w:t xml:space="preserve"> </w:t>
      </w:r>
      <w:r>
        <w:rPr>
          <w:color w:val="231F20"/>
        </w:rPr>
        <w:t>future.</w:t>
      </w:r>
      <w:r>
        <w:rPr>
          <w:color w:val="231F20"/>
          <w:spacing w:val="-1"/>
        </w:rPr>
        <w:t xml:space="preserve"> </w:t>
      </w:r>
      <w:r>
        <w:rPr>
          <w:color w:val="231F20"/>
        </w:rPr>
        <w:t>It</w:t>
      </w:r>
      <w:r>
        <w:rPr>
          <w:color w:val="231F20"/>
          <w:spacing w:val="-1"/>
        </w:rPr>
        <w:t xml:space="preserve"> </w:t>
      </w:r>
      <w:r>
        <w:rPr>
          <w:color w:val="231F20"/>
        </w:rPr>
        <w:t>should</w:t>
      </w:r>
      <w:r>
        <w:rPr>
          <w:color w:val="231F20"/>
          <w:spacing w:val="-1"/>
        </w:rPr>
        <w:t xml:space="preserve"> </w:t>
      </w:r>
      <w:r>
        <w:rPr>
          <w:color w:val="231F20"/>
        </w:rPr>
        <w:t>also</w:t>
      </w:r>
      <w:r>
        <w:rPr>
          <w:color w:val="231F20"/>
          <w:spacing w:val="-1"/>
        </w:rPr>
        <w:t xml:space="preserve"> </w:t>
      </w:r>
      <w:r>
        <w:rPr>
          <w:color w:val="231F20"/>
        </w:rPr>
        <w:t>be</w:t>
      </w:r>
      <w:r>
        <w:rPr>
          <w:color w:val="231F20"/>
          <w:spacing w:val="-1"/>
        </w:rPr>
        <w:t xml:space="preserve"> </w:t>
      </w:r>
      <w:r>
        <w:rPr>
          <w:color w:val="231F20"/>
        </w:rPr>
        <w:t>noted</w:t>
      </w:r>
      <w:r>
        <w:rPr>
          <w:color w:val="231F20"/>
          <w:spacing w:val="-1"/>
        </w:rPr>
        <w:t xml:space="preserve"> </w:t>
      </w:r>
      <w:r>
        <w:rPr>
          <w:color w:val="231F20"/>
        </w:rPr>
        <w:t>that</w:t>
      </w:r>
      <w:r>
        <w:rPr>
          <w:color w:val="231F20"/>
          <w:spacing w:val="-1"/>
        </w:rPr>
        <w:t xml:space="preserve"> </w:t>
      </w:r>
      <w:r>
        <w:rPr>
          <w:color w:val="231F20"/>
        </w:rPr>
        <w:t>an</w:t>
      </w:r>
      <w:r>
        <w:rPr>
          <w:color w:val="231F20"/>
          <w:spacing w:val="-1"/>
        </w:rPr>
        <w:t xml:space="preserve"> </w:t>
      </w:r>
      <w:r>
        <w:rPr>
          <w:color w:val="231F20"/>
        </w:rPr>
        <w:t>increasing</w:t>
      </w:r>
      <w:r>
        <w:rPr>
          <w:color w:val="231F20"/>
          <w:spacing w:val="-1"/>
        </w:rPr>
        <w:t xml:space="preserve"> </w:t>
      </w:r>
      <w:r>
        <w:rPr>
          <w:color w:val="231F20"/>
        </w:rPr>
        <w:t>number</w:t>
      </w:r>
      <w:r>
        <w:rPr>
          <w:color w:val="231F20"/>
          <w:spacing w:val="-1"/>
        </w:rPr>
        <w:t xml:space="preserve"> </w:t>
      </w:r>
      <w:r>
        <w:rPr>
          <w:color w:val="231F20"/>
        </w:rPr>
        <w:t xml:space="preserve">of extreme </w:t>
      </w:r>
      <w:r>
        <w:rPr>
          <w:color w:val="231F20"/>
          <w:w w:val="95"/>
        </w:rPr>
        <w:t>sports are being invented</w:t>
      </w:r>
      <w:r>
        <w:rPr>
          <w:color w:val="231F20"/>
          <w:w w:val="95"/>
        </w:rPr>
        <w:t xml:space="preserve"> and/or sponsored by corporate entities like Red </w:t>
      </w:r>
      <w:r>
        <w:rPr>
          <w:color w:val="231F20"/>
        </w:rPr>
        <w:t xml:space="preserve">Bull. While the participants in many of these sports can be considered a </w:t>
      </w:r>
      <w:r>
        <w:rPr>
          <w:color w:val="231F20"/>
          <w:w w:val="95"/>
        </w:rPr>
        <w:t xml:space="preserve">sporting subculture, they are subcultures that build the brand and markets </w:t>
      </w:r>
      <w:r>
        <w:rPr>
          <w:color w:val="231F20"/>
        </w:rPr>
        <w:t>for</w:t>
      </w:r>
      <w:r>
        <w:rPr>
          <w:color w:val="231F20"/>
          <w:spacing w:val="-12"/>
        </w:rPr>
        <w:t xml:space="preserve"> </w:t>
      </w:r>
      <w:r>
        <w:rPr>
          <w:color w:val="231F20"/>
        </w:rPr>
        <w:t>these</w:t>
      </w:r>
      <w:r>
        <w:rPr>
          <w:color w:val="231F20"/>
          <w:spacing w:val="-12"/>
        </w:rPr>
        <w:t xml:space="preserve"> </w:t>
      </w:r>
      <w:r>
        <w:rPr>
          <w:color w:val="231F20"/>
        </w:rPr>
        <w:t>aggressive</w:t>
      </w:r>
      <w:r>
        <w:rPr>
          <w:color w:val="231F20"/>
          <w:spacing w:val="-11"/>
        </w:rPr>
        <w:t xml:space="preserve"> </w:t>
      </w:r>
      <w:r>
        <w:rPr>
          <w:color w:val="231F20"/>
        </w:rPr>
        <w:t>corporate</w:t>
      </w:r>
      <w:r>
        <w:rPr>
          <w:color w:val="231F20"/>
          <w:spacing w:val="-12"/>
        </w:rPr>
        <w:t xml:space="preserve"> </w:t>
      </w:r>
      <w:r>
        <w:rPr>
          <w:color w:val="231F20"/>
        </w:rPr>
        <w:t>entities</w:t>
      </w:r>
      <w:r>
        <w:rPr>
          <w:color w:val="231F20"/>
          <w:spacing w:val="-11"/>
        </w:rPr>
        <w:t xml:space="preserve"> </w:t>
      </w:r>
      <w:r>
        <w:rPr>
          <w:color w:val="231F20"/>
        </w:rPr>
        <w:t>(Gorse</w:t>
      </w:r>
      <w:r>
        <w:rPr>
          <w:color w:val="231F20"/>
          <w:spacing w:val="-12"/>
        </w:rPr>
        <w:t xml:space="preserve"> </w:t>
      </w:r>
      <w:r>
        <w:rPr>
          <w:i/>
          <w:color w:val="231F20"/>
        </w:rPr>
        <w:t>et</w:t>
      </w:r>
      <w:r>
        <w:rPr>
          <w:i/>
          <w:color w:val="231F20"/>
          <w:spacing w:val="-11"/>
        </w:rPr>
        <w:t xml:space="preserve"> </w:t>
      </w:r>
      <w:r>
        <w:rPr>
          <w:i/>
          <w:color w:val="231F20"/>
        </w:rPr>
        <w:t>al</w:t>
      </w:r>
      <w:r>
        <w:rPr>
          <w:color w:val="231F20"/>
        </w:rPr>
        <w:t>.,</w:t>
      </w:r>
      <w:r>
        <w:rPr>
          <w:color w:val="231F20"/>
          <w:spacing w:val="-12"/>
        </w:rPr>
        <w:t xml:space="preserve"> </w:t>
      </w:r>
      <w:r>
        <w:rPr>
          <w:color w:val="231F20"/>
        </w:rPr>
        <w:t>2010</w:t>
      </w:r>
      <w:r>
        <w:rPr>
          <w:color w:val="231F20"/>
        </w:rPr>
        <w:t>).</w:t>
      </w:r>
    </w:p>
    <w:p w14:paraId="30D0F29D" w14:textId="77777777" w:rsidR="00AE0598" w:rsidRDefault="00AE0598">
      <w:pPr>
        <w:pStyle w:val="Corpodetexto"/>
        <w:spacing w:before="3"/>
        <w:rPr>
          <w:sz w:val="30"/>
        </w:rPr>
      </w:pPr>
    </w:p>
    <w:p w14:paraId="5AF82C9A" w14:textId="77777777" w:rsidR="00AE0598" w:rsidRDefault="0069255A">
      <w:pPr>
        <w:spacing w:before="1"/>
        <w:ind w:left="110"/>
        <w:jc w:val="both"/>
        <w:rPr>
          <w:rFonts w:ascii="Trebuchet MS"/>
          <w:sz w:val="20"/>
        </w:rPr>
      </w:pPr>
      <w:r>
        <w:rPr>
          <w:rFonts w:ascii="Trebuchet MS"/>
          <w:color w:val="231F20"/>
          <w:w w:val="105"/>
          <w:sz w:val="20"/>
        </w:rPr>
        <w:t>The</w:t>
      </w:r>
      <w:r>
        <w:rPr>
          <w:rFonts w:ascii="Trebuchet MS"/>
          <w:color w:val="231F20"/>
          <w:spacing w:val="-12"/>
          <w:w w:val="105"/>
          <w:sz w:val="20"/>
        </w:rPr>
        <w:t xml:space="preserve"> </w:t>
      </w:r>
      <w:r>
        <w:rPr>
          <w:rFonts w:ascii="Trebuchet MS"/>
          <w:color w:val="231F20"/>
          <w:w w:val="105"/>
          <w:sz w:val="20"/>
        </w:rPr>
        <w:t>evolutionary</w:t>
      </w:r>
      <w:r>
        <w:rPr>
          <w:rFonts w:ascii="Trebuchet MS"/>
          <w:color w:val="231F20"/>
          <w:spacing w:val="-11"/>
          <w:w w:val="105"/>
          <w:sz w:val="20"/>
        </w:rPr>
        <w:t xml:space="preserve"> </w:t>
      </w:r>
      <w:r>
        <w:rPr>
          <w:rFonts w:ascii="Trebuchet MS"/>
          <w:color w:val="231F20"/>
          <w:w w:val="105"/>
          <w:sz w:val="20"/>
        </w:rPr>
        <w:t>dynamics</w:t>
      </w:r>
      <w:r>
        <w:rPr>
          <w:rFonts w:ascii="Trebuchet MS"/>
          <w:color w:val="231F20"/>
          <w:spacing w:val="-11"/>
          <w:w w:val="105"/>
          <w:sz w:val="20"/>
        </w:rPr>
        <w:t xml:space="preserve"> </w:t>
      </w:r>
      <w:r>
        <w:rPr>
          <w:rFonts w:ascii="Trebuchet MS"/>
          <w:color w:val="231F20"/>
          <w:w w:val="105"/>
          <w:sz w:val="20"/>
        </w:rPr>
        <w:t>of</w:t>
      </w:r>
      <w:r>
        <w:rPr>
          <w:rFonts w:ascii="Trebuchet MS"/>
          <w:color w:val="231F20"/>
          <w:spacing w:val="-11"/>
          <w:w w:val="105"/>
          <w:sz w:val="20"/>
        </w:rPr>
        <w:t xml:space="preserve"> </w:t>
      </w:r>
      <w:r>
        <w:rPr>
          <w:rFonts w:ascii="Trebuchet MS"/>
          <w:color w:val="231F20"/>
          <w:spacing w:val="-2"/>
          <w:w w:val="105"/>
          <w:sz w:val="20"/>
        </w:rPr>
        <w:t>tourism</w:t>
      </w:r>
    </w:p>
    <w:p w14:paraId="7DD3F94B" w14:textId="77777777" w:rsidR="00AE0598" w:rsidRDefault="0069255A">
      <w:pPr>
        <w:pStyle w:val="Corpodetexto"/>
        <w:spacing w:before="122" w:line="232" w:lineRule="auto"/>
        <w:ind w:left="110" w:right="126" w:firstLine="320"/>
        <w:jc w:val="both"/>
      </w:pPr>
      <w:r>
        <w:rPr>
          <w:color w:val="231F20"/>
          <w:w w:val="90"/>
        </w:rPr>
        <w:t xml:space="preserve">At a global level, tourism is relatively unique in that it has demonstrated </w:t>
      </w:r>
      <w:r>
        <w:rPr>
          <w:color w:val="231F20"/>
        </w:rPr>
        <w:t xml:space="preserve">consistent growth with the interplay of domestic and international travel. Butler (2006) has characterised this growth in terms of cycles </w:t>
      </w:r>
      <w:r>
        <w:rPr>
          <w:color w:val="231F20"/>
          <w:w w:val="95"/>
        </w:rPr>
        <w:t>(e.g. life), waves (e.g. successive cycles) and wheels (cycles within waves)</w:t>
      </w:r>
      <w:r>
        <w:rPr>
          <w:color w:val="231F20"/>
          <w:spacing w:val="80"/>
        </w:rPr>
        <w:t xml:space="preserve"> </w:t>
      </w:r>
      <w:r>
        <w:rPr>
          <w:color w:val="231F20"/>
        </w:rPr>
        <w:t>at a destination level. While he cautions</w:t>
      </w:r>
      <w:r>
        <w:rPr>
          <w:color w:val="231F20"/>
        </w:rPr>
        <w:t xml:space="preserve"> that chaos theory suggests that prediction</w:t>
      </w:r>
      <w:r>
        <w:rPr>
          <w:color w:val="231F20"/>
          <w:spacing w:val="40"/>
        </w:rPr>
        <w:t xml:space="preserve"> </w:t>
      </w:r>
      <w:r>
        <w:rPr>
          <w:color w:val="231F20"/>
        </w:rPr>
        <w:t>is</w:t>
      </w:r>
      <w:r>
        <w:rPr>
          <w:color w:val="231F20"/>
          <w:spacing w:val="40"/>
        </w:rPr>
        <w:t xml:space="preserve"> </w:t>
      </w:r>
      <w:r>
        <w:rPr>
          <w:color w:val="231F20"/>
        </w:rPr>
        <w:t>difficult,</w:t>
      </w:r>
      <w:r>
        <w:rPr>
          <w:color w:val="231F20"/>
          <w:spacing w:val="40"/>
        </w:rPr>
        <w:t xml:space="preserve"> </w:t>
      </w:r>
      <w:r>
        <w:rPr>
          <w:color w:val="231F20"/>
        </w:rPr>
        <w:t>he</w:t>
      </w:r>
      <w:r>
        <w:rPr>
          <w:color w:val="231F20"/>
          <w:spacing w:val="40"/>
        </w:rPr>
        <w:t xml:space="preserve"> </w:t>
      </w:r>
      <w:r>
        <w:rPr>
          <w:color w:val="231F20"/>
        </w:rPr>
        <w:t>also</w:t>
      </w:r>
      <w:r>
        <w:rPr>
          <w:color w:val="231F20"/>
          <w:spacing w:val="40"/>
        </w:rPr>
        <w:t xml:space="preserve"> </w:t>
      </w:r>
      <w:r>
        <w:rPr>
          <w:color w:val="231F20"/>
        </w:rPr>
        <w:t>points</w:t>
      </w:r>
      <w:r>
        <w:rPr>
          <w:color w:val="231F20"/>
          <w:spacing w:val="40"/>
        </w:rPr>
        <w:t xml:space="preserve"> </w:t>
      </w:r>
      <w:r>
        <w:rPr>
          <w:color w:val="231F20"/>
        </w:rPr>
        <w:t>out</w:t>
      </w:r>
      <w:r>
        <w:rPr>
          <w:color w:val="231F20"/>
          <w:spacing w:val="40"/>
        </w:rPr>
        <w:t xml:space="preserve"> </w:t>
      </w:r>
      <w:r>
        <w:rPr>
          <w:color w:val="231F20"/>
        </w:rPr>
        <w:t>that</w:t>
      </w:r>
      <w:r>
        <w:rPr>
          <w:color w:val="231F20"/>
          <w:spacing w:val="40"/>
        </w:rPr>
        <w:t xml:space="preserve"> </w:t>
      </w:r>
      <w:r>
        <w:rPr>
          <w:color w:val="231F20"/>
        </w:rPr>
        <w:t>tourism</w:t>
      </w:r>
      <w:r>
        <w:rPr>
          <w:color w:val="231F20"/>
          <w:spacing w:val="40"/>
        </w:rPr>
        <w:t xml:space="preserve"> </w:t>
      </w:r>
      <w:r>
        <w:rPr>
          <w:color w:val="231F20"/>
        </w:rPr>
        <w:t>has</w:t>
      </w:r>
      <w:r>
        <w:rPr>
          <w:color w:val="231F20"/>
          <w:spacing w:val="40"/>
        </w:rPr>
        <w:t xml:space="preserve"> </w:t>
      </w:r>
      <w:r>
        <w:rPr>
          <w:color w:val="231F20"/>
        </w:rPr>
        <w:t>continued to grow despite major disruptions like global economic downturns, terrorist attacks and natural disasters. This resilience appears to be rooted in the h</w:t>
      </w:r>
      <w:r>
        <w:rPr>
          <w:color w:val="231F20"/>
        </w:rPr>
        <w:t xml:space="preserve">igh value that people place on leisure in their personal </w:t>
      </w:r>
      <w:r>
        <w:rPr>
          <w:color w:val="231F20"/>
          <w:w w:val="95"/>
        </w:rPr>
        <w:t xml:space="preserve">lives and in the diversity of destinations and activities that populate the </w:t>
      </w:r>
      <w:r>
        <w:rPr>
          <w:color w:val="231F20"/>
        </w:rPr>
        <w:t>tourism system.</w:t>
      </w:r>
    </w:p>
    <w:p w14:paraId="480F9AEC" w14:textId="77777777" w:rsidR="00AE0598" w:rsidRDefault="0069255A">
      <w:pPr>
        <w:pStyle w:val="Corpodetexto"/>
        <w:spacing w:before="13" w:line="232" w:lineRule="auto"/>
        <w:ind w:left="110" w:right="126" w:firstLine="320"/>
        <w:jc w:val="both"/>
      </w:pPr>
      <w:r>
        <w:rPr>
          <w:color w:val="231F20"/>
          <w:w w:val="95"/>
        </w:rPr>
        <w:t>In the context of this consistent growth, tourism cycles and waves have</w:t>
      </w:r>
      <w:r>
        <w:rPr>
          <w:color w:val="231F20"/>
          <w:spacing w:val="40"/>
        </w:rPr>
        <w:t xml:space="preserve"> </w:t>
      </w:r>
      <w:r>
        <w:rPr>
          <w:color w:val="231F20"/>
        </w:rPr>
        <w:t>a significant influence on the deve</w:t>
      </w:r>
      <w:r>
        <w:rPr>
          <w:color w:val="231F20"/>
        </w:rPr>
        <w:t>lopment of sport. For example, over the past two decades, golf has been introduced to many warm climate destinations as a tourism development strategy (Garau-Vadell &amp; de Borja-Sole,</w:t>
      </w:r>
      <w:r>
        <w:rPr>
          <w:color w:val="231F20"/>
          <w:spacing w:val="-7"/>
        </w:rPr>
        <w:t xml:space="preserve"> </w:t>
      </w:r>
      <w:r>
        <w:rPr>
          <w:color w:val="231F20"/>
        </w:rPr>
        <w:t>2008;</w:t>
      </w:r>
      <w:r>
        <w:rPr>
          <w:color w:val="231F20"/>
          <w:spacing w:val="-7"/>
        </w:rPr>
        <w:t xml:space="preserve"> </w:t>
      </w:r>
      <w:r>
        <w:rPr>
          <w:color w:val="231F20"/>
        </w:rPr>
        <w:t>Humphreys,</w:t>
      </w:r>
      <w:r>
        <w:rPr>
          <w:color w:val="231F20"/>
          <w:spacing w:val="-7"/>
        </w:rPr>
        <w:t xml:space="preserve"> </w:t>
      </w:r>
      <w:r>
        <w:rPr>
          <w:color w:val="231F20"/>
        </w:rPr>
        <w:t>2014).</w:t>
      </w:r>
      <w:r>
        <w:rPr>
          <w:color w:val="231F20"/>
          <w:spacing w:val="-7"/>
        </w:rPr>
        <w:t xml:space="preserve"> </w:t>
      </w:r>
      <w:r>
        <w:rPr>
          <w:color w:val="231F20"/>
        </w:rPr>
        <w:t>In</w:t>
      </w:r>
      <w:r>
        <w:rPr>
          <w:color w:val="231F20"/>
          <w:spacing w:val="-7"/>
        </w:rPr>
        <w:t xml:space="preserve"> </w:t>
      </w:r>
      <w:r>
        <w:rPr>
          <w:color w:val="231F20"/>
        </w:rPr>
        <w:t>the</w:t>
      </w:r>
      <w:r>
        <w:rPr>
          <w:color w:val="231F20"/>
          <w:spacing w:val="-7"/>
        </w:rPr>
        <w:t xml:space="preserve"> </w:t>
      </w:r>
      <w:r>
        <w:rPr>
          <w:color w:val="231F20"/>
        </w:rPr>
        <w:t>process</w:t>
      </w:r>
      <w:r>
        <w:rPr>
          <w:color w:val="231F20"/>
          <w:spacing w:val="-7"/>
        </w:rPr>
        <w:t xml:space="preserve"> </w:t>
      </w:r>
      <w:r>
        <w:rPr>
          <w:color w:val="231F20"/>
        </w:rPr>
        <w:t>of</w:t>
      </w:r>
      <w:r>
        <w:rPr>
          <w:color w:val="231F20"/>
          <w:spacing w:val="-7"/>
        </w:rPr>
        <w:t xml:space="preserve"> </w:t>
      </w:r>
      <w:r>
        <w:rPr>
          <w:color w:val="231F20"/>
        </w:rPr>
        <w:t>this</w:t>
      </w:r>
      <w:r>
        <w:rPr>
          <w:color w:val="231F20"/>
          <w:spacing w:val="-7"/>
        </w:rPr>
        <w:t xml:space="preserve"> </w:t>
      </w:r>
      <w:r>
        <w:rPr>
          <w:color w:val="231F20"/>
        </w:rPr>
        <w:t xml:space="preserve">development, </w:t>
      </w:r>
      <w:r>
        <w:rPr>
          <w:color w:val="231F20"/>
          <w:w w:val="95"/>
        </w:rPr>
        <w:t xml:space="preserve">opportunities </w:t>
      </w:r>
      <w:r>
        <w:rPr>
          <w:color w:val="231F20"/>
          <w:w w:val="95"/>
        </w:rPr>
        <w:t xml:space="preserve">to participate in the sport of golf have been extended to and </w:t>
      </w:r>
      <w:r>
        <w:rPr>
          <w:color w:val="231F20"/>
        </w:rPr>
        <w:t>taken up by local residents. A reciprocal relationship also exists in that tourism provides</w:t>
      </w:r>
    </w:p>
    <w:p w14:paraId="19B72023" w14:textId="77777777" w:rsidR="00AE0598" w:rsidRDefault="00AE0598">
      <w:pPr>
        <w:pStyle w:val="Corpodetexto"/>
        <w:spacing w:before="6"/>
      </w:pPr>
    </w:p>
    <w:p w14:paraId="21588E5F" w14:textId="77777777" w:rsidR="00AE0598" w:rsidRDefault="0069255A">
      <w:pPr>
        <w:spacing w:line="244" w:lineRule="auto"/>
        <w:ind w:left="430" w:right="128"/>
        <w:jc w:val="both"/>
        <w:rPr>
          <w:sz w:val="20"/>
        </w:rPr>
      </w:pPr>
      <w:r>
        <w:rPr>
          <w:color w:val="231F20"/>
          <w:sz w:val="20"/>
        </w:rPr>
        <w:t xml:space="preserve">an opportunity for leisure activities to be popularised. With increased </w:t>
      </w:r>
      <w:r>
        <w:rPr>
          <w:color w:val="231F20"/>
          <w:w w:val="95"/>
          <w:sz w:val="20"/>
        </w:rPr>
        <w:t>popularity they have develope</w:t>
      </w:r>
      <w:r>
        <w:rPr>
          <w:color w:val="231F20"/>
          <w:w w:val="95"/>
          <w:sz w:val="20"/>
        </w:rPr>
        <w:t xml:space="preserve">d into formally organized sporting activities. Some even progressed from leisure activities to Olympic disciplines. Beach </w:t>
      </w:r>
      <w:r>
        <w:rPr>
          <w:color w:val="231F20"/>
          <w:sz w:val="20"/>
        </w:rPr>
        <w:t>volleyball and snowboarding are two good examples of this. (de Villers, 2001: 13)</w:t>
      </w:r>
    </w:p>
    <w:p w14:paraId="5D5A9A11" w14:textId="77777777" w:rsidR="00AE0598" w:rsidRDefault="00AE0598">
      <w:pPr>
        <w:pStyle w:val="Corpodetexto"/>
        <w:spacing w:before="6"/>
        <w:rPr>
          <w:sz w:val="20"/>
        </w:rPr>
      </w:pPr>
    </w:p>
    <w:p w14:paraId="77D569EB" w14:textId="77777777" w:rsidR="00AE0598" w:rsidRDefault="0069255A">
      <w:pPr>
        <w:pStyle w:val="Corpodetexto"/>
        <w:spacing w:before="1" w:line="232" w:lineRule="auto"/>
        <w:ind w:left="110" w:right="127" w:firstLine="320"/>
        <w:jc w:val="both"/>
      </w:pPr>
      <w:r>
        <w:rPr>
          <w:color w:val="231F20"/>
        </w:rPr>
        <w:t xml:space="preserve">Tourism not only introduces sport to new locations, it also fosters innovation within sport. Figure 10.1 illustrates that change in sport occurs in recreational and competitive settings, the former being more </w:t>
      </w:r>
      <w:r>
        <w:rPr>
          <w:color w:val="231F20"/>
          <w:w w:val="95"/>
        </w:rPr>
        <w:t xml:space="preserve">conducive to major innovation than the latter. </w:t>
      </w:r>
      <w:r>
        <w:rPr>
          <w:color w:val="231F20"/>
          <w:w w:val="95"/>
        </w:rPr>
        <w:t xml:space="preserve">Both settings are influenced </w:t>
      </w:r>
      <w:r>
        <w:rPr>
          <w:color w:val="231F20"/>
        </w:rPr>
        <w:t>by external trends associated with the economy, environment, politics, society</w:t>
      </w:r>
      <w:r>
        <w:rPr>
          <w:color w:val="231F20"/>
          <w:spacing w:val="40"/>
        </w:rPr>
        <w:t xml:space="preserve"> </w:t>
      </w:r>
      <w:r>
        <w:rPr>
          <w:color w:val="231F20"/>
        </w:rPr>
        <w:t>and</w:t>
      </w:r>
      <w:r>
        <w:rPr>
          <w:color w:val="231F20"/>
          <w:spacing w:val="40"/>
        </w:rPr>
        <w:t xml:space="preserve"> </w:t>
      </w:r>
      <w:r>
        <w:rPr>
          <w:color w:val="231F20"/>
        </w:rPr>
        <w:t>technology.</w:t>
      </w:r>
      <w:r>
        <w:rPr>
          <w:color w:val="231F20"/>
          <w:spacing w:val="40"/>
        </w:rPr>
        <w:t xml:space="preserve"> </w:t>
      </w:r>
      <w:r>
        <w:rPr>
          <w:color w:val="231F20"/>
        </w:rPr>
        <w:t>Sport</w:t>
      </w:r>
      <w:r>
        <w:rPr>
          <w:color w:val="231F20"/>
          <w:spacing w:val="40"/>
        </w:rPr>
        <w:t xml:space="preserve"> </w:t>
      </w:r>
      <w:r>
        <w:rPr>
          <w:color w:val="231F20"/>
        </w:rPr>
        <w:t>innovations</w:t>
      </w:r>
      <w:r>
        <w:rPr>
          <w:color w:val="231F20"/>
          <w:spacing w:val="40"/>
        </w:rPr>
        <w:t xml:space="preserve"> </w:t>
      </w:r>
      <w:r>
        <w:rPr>
          <w:color w:val="231F20"/>
        </w:rPr>
        <w:t>often</w:t>
      </w:r>
      <w:r>
        <w:rPr>
          <w:color w:val="231F20"/>
          <w:spacing w:val="40"/>
        </w:rPr>
        <w:t xml:space="preserve"> </w:t>
      </w:r>
      <w:r>
        <w:rPr>
          <w:color w:val="231F20"/>
        </w:rPr>
        <w:t>originate</w:t>
      </w:r>
      <w:r>
        <w:rPr>
          <w:color w:val="231F20"/>
          <w:spacing w:val="40"/>
        </w:rPr>
        <w:t xml:space="preserve"> </w:t>
      </w:r>
      <w:r>
        <w:rPr>
          <w:color w:val="231F20"/>
        </w:rPr>
        <w:t>outside</w:t>
      </w:r>
      <w:r>
        <w:rPr>
          <w:color w:val="231F20"/>
          <w:spacing w:val="40"/>
        </w:rPr>
        <w:t xml:space="preserve"> </w:t>
      </w:r>
      <w:r>
        <w:rPr>
          <w:color w:val="231F20"/>
        </w:rPr>
        <w:t>of the</w:t>
      </w:r>
      <w:r>
        <w:rPr>
          <w:color w:val="231F20"/>
          <w:spacing w:val="5"/>
        </w:rPr>
        <w:t xml:space="preserve"> </w:t>
      </w:r>
      <w:r>
        <w:rPr>
          <w:color w:val="231F20"/>
        </w:rPr>
        <w:t>home</w:t>
      </w:r>
      <w:r>
        <w:rPr>
          <w:color w:val="231F20"/>
          <w:spacing w:val="6"/>
        </w:rPr>
        <w:t xml:space="preserve"> </w:t>
      </w:r>
      <w:r>
        <w:rPr>
          <w:color w:val="231F20"/>
        </w:rPr>
        <w:t>environments.</w:t>
      </w:r>
      <w:r>
        <w:rPr>
          <w:color w:val="231F20"/>
          <w:spacing w:val="6"/>
        </w:rPr>
        <w:t xml:space="preserve"> </w:t>
      </w:r>
      <w:r>
        <w:rPr>
          <w:color w:val="231F20"/>
        </w:rPr>
        <w:t>Recreational</w:t>
      </w:r>
      <w:r>
        <w:rPr>
          <w:color w:val="231F20"/>
          <w:spacing w:val="6"/>
        </w:rPr>
        <w:t xml:space="preserve"> </w:t>
      </w:r>
      <w:r>
        <w:rPr>
          <w:color w:val="231F20"/>
        </w:rPr>
        <w:t>sport</w:t>
      </w:r>
      <w:r>
        <w:rPr>
          <w:color w:val="231F20"/>
          <w:spacing w:val="6"/>
        </w:rPr>
        <w:t xml:space="preserve"> </w:t>
      </w:r>
      <w:r>
        <w:rPr>
          <w:color w:val="231F20"/>
        </w:rPr>
        <w:t>tends</w:t>
      </w:r>
      <w:r>
        <w:rPr>
          <w:color w:val="231F20"/>
          <w:spacing w:val="6"/>
        </w:rPr>
        <w:t xml:space="preserve"> </w:t>
      </w:r>
      <w:r>
        <w:rPr>
          <w:color w:val="231F20"/>
        </w:rPr>
        <w:t>to</w:t>
      </w:r>
      <w:r>
        <w:rPr>
          <w:color w:val="231F20"/>
          <w:spacing w:val="6"/>
        </w:rPr>
        <w:t xml:space="preserve"> </w:t>
      </w:r>
      <w:r>
        <w:rPr>
          <w:color w:val="231F20"/>
        </w:rPr>
        <w:t>be</w:t>
      </w:r>
      <w:r>
        <w:rPr>
          <w:color w:val="231F20"/>
          <w:spacing w:val="6"/>
        </w:rPr>
        <w:t xml:space="preserve"> </w:t>
      </w:r>
      <w:r>
        <w:rPr>
          <w:color w:val="231F20"/>
        </w:rPr>
        <w:t>more</w:t>
      </w:r>
      <w:r>
        <w:rPr>
          <w:color w:val="231F20"/>
          <w:spacing w:val="6"/>
        </w:rPr>
        <w:t xml:space="preserve"> </w:t>
      </w:r>
      <w:r>
        <w:rPr>
          <w:color w:val="231F20"/>
        </w:rPr>
        <w:t>conducive</w:t>
      </w:r>
    </w:p>
    <w:p w14:paraId="514D6437" w14:textId="77777777" w:rsidR="00AE0598" w:rsidRDefault="00AE0598">
      <w:pPr>
        <w:spacing w:line="232" w:lineRule="auto"/>
        <w:jc w:val="both"/>
        <w:sectPr w:rsidR="00AE0598">
          <w:pgSz w:w="8850" w:h="13270"/>
          <w:pgMar w:top="720" w:right="1060" w:bottom="280" w:left="1080" w:header="720" w:footer="720" w:gutter="0"/>
          <w:cols w:space="720"/>
        </w:sectPr>
      </w:pPr>
    </w:p>
    <w:p w14:paraId="210A77F6" w14:textId="2C14FE26" w:rsidR="00AE0598" w:rsidRDefault="0069255A">
      <w:pPr>
        <w:spacing w:before="87"/>
        <w:ind w:left="108"/>
        <w:rPr>
          <w:rFonts w:ascii="Trebuchet MS"/>
          <w:sz w:val="14"/>
        </w:rPr>
      </w:pPr>
      <w:r>
        <w:rPr>
          <w:noProof/>
        </w:rPr>
        <w:lastRenderedPageBreak/>
        <mc:AlternateContent>
          <mc:Choice Requires="wpg">
            <w:drawing>
              <wp:anchor distT="0" distB="0" distL="114300" distR="114300" simplePos="0" relativeHeight="483755520" behindDoc="1" locked="0" layoutInCell="1" allowOverlap="1" wp14:anchorId="218D940D" wp14:editId="473A8BE0">
                <wp:simplePos x="0" y="0"/>
                <wp:positionH relativeFrom="page">
                  <wp:posOffset>3299460</wp:posOffset>
                </wp:positionH>
                <wp:positionV relativeFrom="paragraph">
                  <wp:posOffset>994410</wp:posOffset>
                </wp:positionV>
                <wp:extent cx="478155" cy="54610"/>
                <wp:effectExtent l="0" t="0" r="0" b="0"/>
                <wp:wrapNone/>
                <wp:docPr id="43" name="docshapegroup3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78155" cy="54610"/>
                          <a:chOff x="5196" y="1566"/>
                          <a:chExt cx="753" cy="86"/>
                        </a:xfrm>
                      </wpg:grpSpPr>
                      <wps:wsp>
                        <wps:cNvPr id="44" name="Line 46"/>
                        <wps:cNvCnPr>
                          <a:cxnSpLocks noChangeShapeType="1"/>
                        </wps:cNvCnPr>
                        <wps:spPr bwMode="auto">
                          <a:xfrm>
                            <a:off x="5196" y="1609"/>
                            <a:ext cx="667" cy="0"/>
                          </a:xfrm>
                          <a:prstGeom prst="line">
                            <a:avLst/>
                          </a:prstGeom>
                          <a:noFill/>
                          <a:ln w="9525">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45" name="docshape309"/>
                        <wps:cNvSpPr>
                          <a:spLocks/>
                        </wps:cNvSpPr>
                        <wps:spPr bwMode="auto">
                          <a:xfrm>
                            <a:off x="5862" y="1566"/>
                            <a:ext cx="86" cy="86"/>
                          </a:xfrm>
                          <a:custGeom>
                            <a:avLst/>
                            <a:gdLst>
                              <a:gd name="T0" fmla="+- 0 5863 5863"/>
                              <a:gd name="T1" fmla="*/ T0 w 86"/>
                              <a:gd name="T2" fmla="+- 0 1566 1566"/>
                              <a:gd name="T3" fmla="*/ 1566 h 86"/>
                              <a:gd name="T4" fmla="+- 0 5863 5863"/>
                              <a:gd name="T5" fmla="*/ T4 w 86"/>
                              <a:gd name="T6" fmla="+- 0 1652 1566"/>
                              <a:gd name="T7" fmla="*/ 1652 h 86"/>
                              <a:gd name="T8" fmla="+- 0 5948 5863"/>
                              <a:gd name="T9" fmla="*/ T8 w 86"/>
                              <a:gd name="T10" fmla="+- 0 1609 1566"/>
                              <a:gd name="T11" fmla="*/ 1609 h 86"/>
                              <a:gd name="T12" fmla="+- 0 5863 5863"/>
                              <a:gd name="T13" fmla="*/ T12 w 86"/>
                              <a:gd name="T14" fmla="+- 0 1566 1566"/>
                              <a:gd name="T15" fmla="*/ 1566 h 86"/>
                            </a:gdLst>
                            <a:ahLst/>
                            <a:cxnLst>
                              <a:cxn ang="0">
                                <a:pos x="T1" y="T3"/>
                              </a:cxn>
                              <a:cxn ang="0">
                                <a:pos x="T5" y="T7"/>
                              </a:cxn>
                              <a:cxn ang="0">
                                <a:pos x="T9" y="T11"/>
                              </a:cxn>
                              <a:cxn ang="0">
                                <a:pos x="T13" y="T15"/>
                              </a:cxn>
                            </a:cxnLst>
                            <a:rect l="0" t="0" r="r" b="b"/>
                            <a:pathLst>
                              <a:path w="86" h="86">
                                <a:moveTo>
                                  <a:pt x="0" y="0"/>
                                </a:moveTo>
                                <a:lnTo>
                                  <a:pt x="0" y="86"/>
                                </a:lnTo>
                                <a:lnTo>
                                  <a:pt x="85" y="43"/>
                                </a:lnTo>
                                <a:lnTo>
                                  <a:pt x="0" y="0"/>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418DA5E" id="docshapegroup308" o:spid="_x0000_s1026" style="position:absolute;margin-left:259.8pt;margin-top:78.3pt;width:37.65pt;height:4.3pt;z-index:-19560960;mso-position-horizontal-relative:page" coordorigin="5196,1566" coordsize="753,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">
                <v:line id="Line 46" o:spid="_x0000_s1027" style="position:absolute;visibility:visible;mso-wrap-style:square" from="5196,1609" to="5863,16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" strokecolor="#231f20"/>
                <v:shape id="docshape309" o:spid="_x0000_s1028" style="position:absolute;left:5862;top:1566;width:86;height:86;visibility:visible;mso-wrap-style:square;v-text-anchor:top" coordsize="86,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" path="m,l,86,85,43,,xe" fillcolor="#231f20" stroked="f">
                  <v:path arrowok="t" o:connecttype="custom" o:connectlocs="0,1566;0,1652;85,1609;0,1566" o:connectangles="0,0,0,0"/>
                </v:shape>
                <w10:wrap anchorx="page"/>
              </v:group>
            </w:pict>
          </mc:Fallback>
        </mc:AlternateContent>
      </w:r>
      <w:r>
        <w:rPr>
          <w:noProof/>
        </w:rPr>
        <mc:AlternateContent>
          <mc:Choice Requires="wpg">
            <w:drawing>
              <wp:anchor distT="0" distB="0" distL="114300" distR="114300" simplePos="0" relativeHeight="483756032" behindDoc="1" locked="0" layoutInCell="1" allowOverlap="1" wp14:anchorId="4F756866" wp14:editId="370E62E6">
                <wp:simplePos x="0" y="0"/>
                <wp:positionH relativeFrom="page">
                  <wp:posOffset>3299460</wp:posOffset>
                </wp:positionH>
                <wp:positionV relativeFrom="paragraph">
                  <wp:posOffset>1360170</wp:posOffset>
                </wp:positionV>
                <wp:extent cx="478155" cy="54610"/>
                <wp:effectExtent l="0" t="0" r="0" b="0"/>
                <wp:wrapNone/>
                <wp:docPr id="40" name="docshapegroup3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78155" cy="54610"/>
                          <a:chOff x="5196" y="2142"/>
                          <a:chExt cx="753" cy="86"/>
                        </a:xfrm>
                      </wpg:grpSpPr>
                      <wps:wsp>
                        <wps:cNvPr id="41" name="Line 43"/>
                        <wps:cNvCnPr>
                          <a:cxnSpLocks noChangeShapeType="1"/>
                        </wps:cNvCnPr>
                        <wps:spPr bwMode="auto">
                          <a:xfrm>
                            <a:off x="5196" y="2185"/>
                            <a:ext cx="667" cy="0"/>
                          </a:xfrm>
                          <a:prstGeom prst="line">
                            <a:avLst/>
                          </a:prstGeom>
                          <a:noFill/>
                          <a:ln w="9525">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42" name="docshape311"/>
                        <wps:cNvSpPr>
                          <a:spLocks/>
                        </wps:cNvSpPr>
                        <wps:spPr bwMode="auto">
                          <a:xfrm>
                            <a:off x="5863" y="2142"/>
                            <a:ext cx="86" cy="86"/>
                          </a:xfrm>
                          <a:custGeom>
                            <a:avLst/>
                            <a:gdLst>
                              <a:gd name="T0" fmla="+- 0 5863 5863"/>
                              <a:gd name="T1" fmla="*/ T0 w 86"/>
                              <a:gd name="T2" fmla="+- 0 2142 2142"/>
                              <a:gd name="T3" fmla="*/ 2142 h 86"/>
                              <a:gd name="T4" fmla="+- 0 5863 5863"/>
                              <a:gd name="T5" fmla="*/ T4 w 86"/>
                              <a:gd name="T6" fmla="+- 0 2228 2142"/>
                              <a:gd name="T7" fmla="*/ 2228 h 86"/>
                              <a:gd name="T8" fmla="+- 0 5948 5863"/>
                              <a:gd name="T9" fmla="*/ T8 w 86"/>
                              <a:gd name="T10" fmla="+- 0 2185 2142"/>
                              <a:gd name="T11" fmla="*/ 2185 h 86"/>
                              <a:gd name="T12" fmla="+- 0 5863 5863"/>
                              <a:gd name="T13" fmla="*/ T12 w 86"/>
                              <a:gd name="T14" fmla="+- 0 2142 2142"/>
                              <a:gd name="T15" fmla="*/ 2142 h 86"/>
                            </a:gdLst>
                            <a:ahLst/>
                            <a:cxnLst>
                              <a:cxn ang="0">
                                <a:pos x="T1" y="T3"/>
                              </a:cxn>
                              <a:cxn ang="0">
                                <a:pos x="T5" y="T7"/>
                              </a:cxn>
                              <a:cxn ang="0">
                                <a:pos x="T9" y="T11"/>
                              </a:cxn>
                              <a:cxn ang="0">
                                <a:pos x="T13" y="T15"/>
                              </a:cxn>
                            </a:cxnLst>
                            <a:rect l="0" t="0" r="r" b="b"/>
                            <a:pathLst>
                              <a:path w="86" h="86">
                                <a:moveTo>
                                  <a:pt x="0" y="0"/>
                                </a:moveTo>
                                <a:lnTo>
                                  <a:pt x="0" y="86"/>
                                </a:lnTo>
                                <a:lnTo>
                                  <a:pt x="85" y="43"/>
                                </a:lnTo>
                                <a:lnTo>
                                  <a:pt x="0" y="0"/>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815148B" id="docshapegroup310" o:spid="_x0000_s1026" style="position:absolute;margin-left:259.8pt;margin-top:107.1pt;width:37.65pt;height:4.3pt;z-index:-19560448;mso-position-horizontal-relative:page" coordorigin="5196,2142" coordsize="753,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">
                <v:line id="Line 43" o:spid="_x0000_s1027" style="position:absolute;visibility:visible;mso-wrap-style:square" from="5196,2185" to="5863,21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" strokecolor="#231f20"/>
                <v:shape id="docshape311" o:spid="_x0000_s1028" style="position:absolute;left:5863;top:2142;width:86;height:86;visibility:visible;mso-wrap-style:square;v-text-anchor:top" coordsize="86,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" path="m,l,86,85,43,,xe" fillcolor="#231f20" stroked="f">
                  <v:path arrowok="t" o:connecttype="custom" o:connectlocs="0,2142;0,2228;85,2185;0,2142" o:connectangles="0,0,0,0"/>
                </v:shape>
                <w10:wrap anchorx="page"/>
              </v:group>
            </w:pict>
          </mc:Fallback>
        </mc:AlternateContent>
      </w:r>
      <w:r>
        <w:rPr>
          <w:noProof/>
        </w:rPr>
        <mc:AlternateContent>
          <mc:Choice Requires="wpg">
            <w:drawing>
              <wp:anchor distT="0" distB="0" distL="114300" distR="114300" simplePos="0" relativeHeight="483756544" behindDoc="1" locked="0" layoutInCell="1" allowOverlap="1" wp14:anchorId="6632FB4D" wp14:editId="77B1E8B9">
                <wp:simplePos x="0" y="0"/>
                <wp:positionH relativeFrom="page">
                  <wp:posOffset>1833880</wp:posOffset>
                </wp:positionH>
                <wp:positionV relativeFrom="paragraph">
                  <wp:posOffset>1003300</wp:posOffset>
                </wp:positionV>
                <wp:extent cx="490220" cy="54610"/>
                <wp:effectExtent l="0" t="0" r="0" b="0"/>
                <wp:wrapNone/>
                <wp:docPr id="37" name="docshapegroup3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90220" cy="54610"/>
                          <a:chOff x="2888" y="1580"/>
                          <a:chExt cx="772" cy="86"/>
                        </a:xfrm>
                      </wpg:grpSpPr>
                      <wps:wsp>
                        <wps:cNvPr id="38" name="Line 40"/>
                        <wps:cNvCnPr>
                          <a:cxnSpLocks noChangeShapeType="1"/>
                        </wps:cNvCnPr>
                        <wps:spPr bwMode="auto">
                          <a:xfrm>
                            <a:off x="3660" y="1622"/>
                            <a:ext cx="0" cy="0"/>
                          </a:xfrm>
                          <a:prstGeom prst="line">
                            <a:avLst/>
                          </a:prstGeom>
                          <a:noFill/>
                          <a:ln w="9525">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39" name="docshape313"/>
                        <wps:cNvSpPr>
                          <a:spLocks/>
                        </wps:cNvSpPr>
                        <wps:spPr bwMode="auto">
                          <a:xfrm>
                            <a:off x="2888" y="1579"/>
                            <a:ext cx="86" cy="86"/>
                          </a:xfrm>
                          <a:custGeom>
                            <a:avLst/>
                            <a:gdLst>
                              <a:gd name="T0" fmla="+- 0 2974 2888"/>
                              <a:gd name="T1" fmla="*/ T0 w 86"/>
                              <a:gd name="T2" fmla="+- 0 1580 1580"/>
                              <a:gd name="T3" fmla="*/ 1580 h 86"/>
                              <a:gd name="T4" fmla="+- 0 2888 2888"/>
                              <a:gd name="T5" fmla="*/ T4 w 86"/>
                              <a:gd name="T6" fmla="+- 0 1622 1580"/>
                              <a:gd name="T7" fmla="*/ 1622 h 86"/>
                              <a:gd name="T8" fmla="+- 0 2974 2888"/>
                              <a:gd name="T9" fmla="*/ T8 w 86"/>
                              <a:gd name="T10" fmla="+- 0 1665 1580"/>
                              <a:gd name="T11" fmla="*/ 1665 h 86"/>
                              <a:gd name="T12" fmla="+- 0 2974 2888"/>
                              <a:gd name="T13" fmla="*/ T12 w 86"/>
                              <a:gd name="T14" fmla="+- 0 1580 1580"/>
                              <a:gd name="T15" fmla="*/ 1580 h 86"/>
                            </a:gdLst>
                            <a:ahLst/>
                            <a:cxnLst>
                              <a:cxn ang="0">
                                <a:pos x="T1" y="T3"/>
                              </a:cxn>
                              <a:cxn ang="0">
                                <a:pos x="T5" y="T7"/>
                              </a:cxn>
                              <a:cxn ang="0">
                                <a:pos x="T9" y="T11"/>
                              </a:cxn>
                              <a:cxn ang="0">
                                <a:pos x="T13" y="T15"/>
                              </a:cxn>
                            </a:cxnLst>
                            <a:rect l="0" t="0" r="r" b="b"/>
                            <a:pathLst>
                              <a:path w="86" h="86">
                                <a:moveTo>
                                  <a:pt x="86" y="0"/>
                                </a:moveTo>
                                <a:lnTo>
                                  <a:pt x="0" y="42"/>
                                </a:lnTo>
                                <a:lnTo>
                                  <a:pt x="86" y="85"/>
                                </a:lnTo>
                                <a:lnTo>
                                  <a:pt x="86" y="0"/>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94552FF" id="docshapegroup312" o:spid="_x0000_s1026" style="position:absolute;margin-left:144.4pt;margin-top:79pt;width:38.6pt;height:4.3pt;z-index:-19559936;mso-position-horizontal-relative:page" coordorigin="2888,1580" coordsize="77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">
                <v:line id="Line 40" o:spid="_x0000_s1027" style="position:absolute;visibility:visible;mso-wrap-style:square" from="3660,1622" to="3660,16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" strokecolor="#231f20"/>
                <v:shape id="docshape313" o:spid="_x0000_s1028" style="position:absolute;left:2888;top:1579;width:86;height:86;visibility:visible;mso-wrap-style:square;v-text-anchor:top" coordsize="86,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" path="m86,l,42,86,85,86,xe" fillcolor="#231f20" stroked="f">
                  <v:path arrowok="t" o:connecttype="custom" o:connectlocs="86,1580;0,1622;86,1665;86,1580" o:connectangles="0,0,0,0"/>
                </v:shape>
                <w10:wrap anchorx="page"/>
              </v:group>
            </w:pict>
          </mc:Fallback>
        </mc:AlternateContent>
      </w:r>
      <w:r>
        <w:rPr>
          <w:noProof/>
        </w:rPr>
        <mc:AlternateContent>
          <mc:Choice Requires="wpg">
            <w:drawing>
              <wp:anchor distT="0" distB="0" distL="114300" distR="114300" simplePos="0" relativeHeight="483757056" behindDoc="1" locked="0" layoutInCell="1" allowOverlap="1" wp14:anchorId="4CDFA88A" wp14:editId="0C396370">
                <wp:simplePos x="0" y="0"/>
                <wp:positionH relativeFrom="page">
                  <wp:posOffset>1833880</wp:posOffset>
                </wp:positionH>
                <wp:positionV relativeFrom="paragraph">
                  <wp:posOffset>1346835</wp:posOffset>
                </wp:positionV>
                <wp:extent cx="490220" cy="54610"/>
                <wp:effectExtent l="0" t="0" r="0" b="0"/>
                <wp:wrapNone/>
                <wp:docPr id="34" name="docshapegroup3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90220" cy="54610"/>
                          <a:chOff x="2888" y="2121"/>
                          <a:chExt cx="772" cy="86"/>
                        </a:xfrm>
                      </wpg:grpSpPr>
                      <wps:wsp>
                        <wps:cNvPr id="35" name="Line 37"/>
                        <wps:cNvCnPr>
                          <a:cxnSpLocks noChangeShapeType="1"/>
                        </wps:cNvCnPr>
                        <wps:spPr bwMode="auto">
                          <a:xfrm>
                            <a:off x="3660" y="2164"/>
                            <a:ext cx="0" cy="0"/>
                          </a:xfrm>
                          <a:prstGeom prst="line">
                            <a:avLst/>
                          </a:prstGeom>
                          <a:noFill/>
                          <a:ln w="9525">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36" name="docshape315"/>
                        <wps:cNvSpPr>
                          <a:spLocks/>
                        </wps:cNvSpPr>
                        <wps:spPr bwMode="auto">
                          <a:xfrm>
                            <a:off x="2888" y="2120"/>
                            <a:ext cx="86" cy="86"/>
                          </a:xfrm>
                          <a:custGeom>
                            <a:avLst/>
                            <a:gdLst>
                              <a:gd name="T0" fmla="+- 0 2974 2888"/>
                              <a:gd name="T1" fmla="*/ T0 w 86"/>
                              <a:gd name="T2" fmla="+- 0 2121 2121"/>
                              <a:gd name="T3" fmla="*/ 2121 h 86"/>
                              <a:gd name="T4" fmla="+- 0 2888 2888"/>
                              <a:gd name="T5" fmla="*/ T4 w 86"/>
                              <a:gd name="T6" fmla="+- 0 2164 2121"/>
                              <a:gd name="T7" fmla="*/ 2164 h 86"/>
                              <a:gd name="T8" fmla="+- 0 2974 2888"/>
                              <a:gd name="T9" fmla="*/ T8 w 86"/>
                              <a:gd name="T10" fmla="+- 0 2206 2121"/>
                              <a:gd name="T11" fmla="*/ 2206 h 86"/>
                              <a:gd name="T12" fmla="+- 0 2974 2888"/>
                              <a:gd name="T13" fmla="*/ T12 w 86"/>
                              <a:gd name="T14" fmla="+- 0 2121 2121"/>
                              <a:gd name="T15" fmla="*/ 2121 h 86"/>
                            </a:gdLst>
                            <a:ahLst/>
                            <a:cxnLst>
                              <a:cxn ang="0">
                                <a:pos x="T1" y="T3"/>
                              </a:cxn>
                              <a:cxn ang="0">
                                <a:pos x="T5" y="T7"/>
                              </a:cxn>
                              <a:cxn ang="0">
                                <a:pos x="T9" y="T11"/>
                              </a:cxn>
                              <a:cxn ang="0">
                                <a:pos x="T13" y="T15"/>
                              </a:cxn>
                            </a:cxnLst>
                            <a:rect l="0" t="0" r="r" b="b"/>
                            <a:pathLst>
                              <a:path w="86" h="86">
                                <a:moveTo>
                                  <a:pt x="86" y="0"/>
                                </a:moveTo>
                                <a:lnTo>
                                  <a:pt x="0" y="43"/>
                                </a:lnTo>
                                <a:lnTo>
                                  <a:pt x="86" y="85"/>
                                </a:lnTo>
                                <a:lnTo>
                                  <a:pt x="86" y="0"/>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D728EB6" id="docshapegroup314" o:spid="_x0000_s1026" style="position:absolute;margin-left:144.4pt;margin-top:106.05pt;width:38.6pt;height:4.3pt;z-index:-19559424;mso-position-horizontal-relative:page" coordorigin="2888,2121" coordsize="77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">
                <v:line id="Line 37" o:spid="_x0000_s1027" style="position:absolute;visibility:visible;mso-wrap-style:square" from="3660,2164" to="3660,21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" strokecolor="#231f20"/>
                <v:shape id="docshape315" o:spid="_x0000_s1028" style="position:absolute;left:2888;top:2120;width:86;height:86;visibility:visible;mso-wrap-style:square;v-text-anchor:top" coordsize="86,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" path="m86,l,43,86,85,86,xe" fillcolor="#231f20" stroked="f">
                  <v:path arrowok="t" o:connecttype="custom" o:connectlocs="86,2121;0,2164;86,2206;86,2121" o:connectangles="0,0,0,0"/>
                </v:shape>
                <w10:wrap anchorx="page"/>
              </v:group>
            </w:pict>
          </mc:Fallback>
        </mc:AlternateContent>
      </w:r>
      <w:r>
        <w:rPr>
          <w:noProof/>
        </w:rPr>
        <mc:AlternateContent>
          <mc:Choice Requires="wpg">
            <w:drawing>
              <wp:anchor distT="0" distB="0" distL="114300" distR="114300" simplePos="0" relativeHeight="483757568" behindDoc="1" locked="0" layoutInCell="1" allowOverlap="1" wp14:anchorId="3B51A1BB" wp14:editId="61164077">
                <wp:simplePos x="0" y="0"/>
                <wp:positionH relativeFrom="page">
                  <wp:posOffset>4257675</wp:posOffset>
                </wp:positionH>
                <wp:positionV relativeFrom="page">
                  <wp:posOffset>1982470</wp:posOffset>
                </wp:positionV>
                <wp:extent cx="54610" cy="361315"/>
                <wp:effectExtent l="0" t="0" r="0" b="0"/>
                <wp:wrapNone/>
                <wp:docPr id="31" name="docshapegroup3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610" cy="361315"/>
                          <a:chOff x="6705" y="3122"/>
                          <a:chExt cx="86" cy="569"/>
                        </a:xfrm>
                      </wpg:grpSpPr>
                      <wps:wsp>
                        <wps:cNvPr id="32" name="Line 34"/>
                        <wps:cNvCnPr>
                          <a:cxnSpLocks noChangeShapeType="1"/>
                        </wps:cNvCnPr>
                        <wps:spPr bwMode="auto">
                          <a:xfrm>
                            <a:off x="6748" y="3207"/>
                            <a:ext cx="0" cy="397"/>
                          </a:xfrm>
                          <a:prstGeom prst="line">
                            <a:avLst/>
                          </a:prstGeom>
                          <a:noFill/>
                          <a:ln w="9525">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33" name="docshape317"/>
                        <wps:cNvSpPr>
                          <a:spLocks/>
                        </wps:cNvSpPr>
                        <wps:spPr bwMode="auto">
                          <a:xfrm>
                            <a:off x="6705" y="3121"/>
                            <a:ext cx="86" cy="569"/>
                          </a:xfrm>
                          <a:custGeom>
                            <a:avLst/>
                            <a:gdLst>
                              <a:gd name="T0" fmla="+- 0 6791 6705"/>
                              <a:gd name="T1" fmla="*/ T0 w 86"/>
                              <a:gd name="T2" fmla="+- 0 3604 3122"/>
                              <a:gd name="T3" fmla="*/ 3604 h 569"/>
                              <a:gd name="T4" fmla="+- 0 6705 6705"/>
                              <a:gd name="T5" fmla="*/ T4 w 86"/>
                              <a:gd name="T6" fmla="+- 0 3604 3122"/>
                              <a:gd name="T7" fmla="*/ 3604 h 569"/>
                              <a:gd name="T8" fmla="+- 0 6748 6705"/>
                              <a:gd name="T9" fmla="*/ T8 w 86"/>
                              <a:gd name="T10" fmla="+- 0 3690 3122"/>
                              <a:gd name="T11" fmla="*/ 3690 h 569"/>
                              <a:gd name="T12" fmla="+- 0 6791 6705"/>
                              <a:gd name="T13" fmla="*/ T12 w 86"/>
                              <a:gd name="T14" fmla="+- 0 3604 3122"/>
                              <a:gd name="T15" fmla="*/ 3604 h 569"/>
                              <a:gd name="T16" fmla="+- 0 6791 6705"/>
                              <a:gd name="T17" fmla="*/ T16 w 86"/>
                              <a:gd name="T18" fmla="+- 0 3207 3122"/>
                              <a:gd name="T19" fmla="*/ 3207 h 569"/>
                              <a:gd name="T20" fmla="+- 0 6748 6705"/>
                              <a:gd name="T21" fmla="*/ T20 w 86"/>
                              <a:gd name="T22" fmla="+- 0 3122 3122"/>
                              <a:gd name="T23" fmla="*/ 3122 h 569"/>
                              <a:gd name="T24" fmla="+- 0 6705 6705"/>
                              <a:gd name="T25" fmla="*/ T24 w 86"/>
                              <a:gd name="T26" fmla="+- 0 3207 3122"/>
                              <a:gd name="T27" fmla="*/ 3207 h 569"/>
                              <a:gd name="T28" fmla="+- 0 6791 6705"/>
                              <a:gd name="T29" fmla="*/ T28 w 86"/>
                              <a:gd name="T30" fmla="+- 0 3207 3122"/>
                              <a:gd name="T31" fmla="*/ 3207 h 569"/>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86" h="569">
                                <a:moveTo>
                                  <a:pt x="86" y="482"/>
                                </a:moveTo>
                                <a:lnTo>
                                  <a:pt x="0" y="482"/>
                                </a:lnTo>
                                <a:lnTo>
                                  <a:pt x="43" y="568"/>
                                </a:lnTo>
                                <a:lnTo>
                                  <a:pt x="86" y="482"/>
                                </a:lnTo>
                                <a:close/>
                                <a:moveTo>
                                  <a:pt x="86" y="85"/>
                                </a:moveTo>
                                <a:lnTo>
                                  <a:pt x="43" y="0"/>
                                </a:lnTo>
                                <a:lnTo>
                                  <a:pt x="0" y="85"/>
                                </a:lnTo>
                                <a:lnTo>
                                  <a:pt x="86" y="85"/>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CB5190B" id="docshapegroup316" o:spid="_x0000_s1026" style="position:absolute;margin-left:335.25pt;margin-top:156.1pt;width:4.3pt;height:28.45pt;z-index:-19558912;mso-position-horizontal-relative:page;mso-position-vertical-relative:page" coordorigin="6705,3122" coordsize="86,5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">
                <v:line id="Line 34" o:spid="_x0000_s1027" style="position:absolute;visibility:visible;mso-wrap-style:square" from="6748,3207" to="6748,36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" strokecolor="#231f20"/>
                <v:shape id="docshape317" o:spid="_x0000_s1028" style="position:absolute;left:6705;top:3121;width:86;height:569;visibility:visible;mso-wrap-style:square;v-text-anchor:top" coordsize="86,5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" path="m86,482l,482r43,86l86,482xm86,85l43,,,85r86,xe" fillcolor="#231f20" stroked="f">
                  <v:path arrowok="t" o:connecttype="custom" o:connectlocs="86,3604;0,3604;43,3690;86,3604;86,3207;43,3122;0,3207;86,3207" o:connectangles="0,0,0,0,0,0,0,0"/>
                </v:shape>
                <w10:wrap anchorx="page" anchory="page"/>
              </v:group>
            </w:pict>
          </mc:Fallback>
        </mc:AlternateContent>
      </w:r>
      <w:r>
        <w:rPr>
          <w:noProof/>
        </w:rPr>
        <mc:AlternateContent>
          <mc:Choice Requires="wpg">
            <w:drawing>
              <wp:anchor distT="0" distB="0" distL="114300" distR="114300" simplePos="0" relativeHeight="15834112" behindDoc="0" locked="0" layoutInCell="1" allowOverlap="1" wp14:anchorId="45B6567B" wp14:editId="7D13A03E">
                <wp:simplePos x="0" y="0"/>
                <wp:positionH relativeFrom="page">
                  <wp:posOffset>2768600</wp:posOffset>
                </wp:positionH>
                <wp:positionV relativeFrom="page">
                  <wp:posOffset>2141220</wp:posOffset>
                </wp:positionV>
                <wp:extent cx="54610" cy="309245"/>
                <wp:effectExtent l="0" t="0" r="0" b="0"/>
                <wp:wrapNone/>
                <wp:docPr id="28" name="docshapegroup3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610" cy="309245"/>
                          <a:chOff x="4360" y="3372"/>
                          <a:chExt cx="86" cy="487"/>
                        </a:xfrm>
                      </wpg:grpSpPr>
                      <wps:wsp>
                        <wps:cNvPr id="29" name="Line 31"/>
                        <wps:cNvCnPr>
                          <a:cxnSpLocks noChangeShapeType="1"/>
                        </wps:cNvCnPr>
                        <wps:spPr bwMode="auto">
                          <a:xfrm>
                            <a:off x="4402" y="3372"/>
                            <a:ext cx="0" cy="402"/>
                          </a:xfrm>
                          <a:prstGeom prst="line">
                            <a:avLst/>
                          </a:prstGeom>
                          <a:noFill/>
                          <a:ln w="9525">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30" name="docshape319"/>
                        <wps:cNvSpPr>
                          <a:spLocks/>
                        </wps:cNvSpPr>
                        <wps:spPr bwMode="auto">
                          <a:xfrm>
                            <a:off x="4359" y="3773"/>
                            <a:ext cx="86" cy="86"/>
                          </a:xfrm>
                          <a:custGeom>
                            <a:avLst/>
                            <a:gdLst>
                              <a:gd name="T0" fmla="+- 0 4445 4360"/>
                              <a:gd name="T1" fmla="*/ T0 w 86"/>
                              <a:gd name="T2" fmla="+- 0 3774 3774"/>
                              <a:gd name="T3" fmla="*/ 3774 h 86"/>
                              <a:gd name="T4" fmla="+- 0 4360 4360"/>
                              <a:gd name="T5" fmla="*/ T4 w 86"/>
                              <a:gd name="T6" fmla="+- 0 3774 3774"/>
                              <a:gd name="T7" fmla="*/ 3774 h 86"/>
                              <a:gd name="T8" fmla="+- 0 4402 4360"/>
                              <a:gd name="T9" fmla="*/ T8 w 86"/>
                              <a:gd name="T10" fmla="+- 0 3859 3774"/>
                              <a:gd name="T11" fmla="*/ 3859 h 86"/>
                              <a:gd name="T12" fmla="+- 0 4445 4360"/>
                              <a:gd name="T13" fmla="*/ T12 w 86"/>
                              <a:gd name="T14" fmla="+- 0 3774 3774"/>
                              <a:gd name="T15" fmla="*/ 3774 h 86"/>
                            </a:gdLst>
                            <a:ahLst/>
                            <a:cxnLst>
                              <a:cxn ang="0">
                                <a:pos x="T1" y="T3"/>
                              </a:cxn>
                              <a:cxn ang="0">
                                <a:pos x="T5" y="T7"/>
                              </a:cxn>
                              <a:cxn ang="0">
                                <a:pos x="T9" y="T11"/>
                              </a:cxn>
                              <a:cxn ang="0">
                                <a:pos x="T13" y="T15"/>
                              </a:cxn>
                            </a:cxnLst>
                            <a:rect l="0" t="0" r="r" b="b"/>
                            <a:pathLst>
                              <a:path w="86" h="86">
                                <a:moveTo>
                                  <a:pt x="85" y="0"/>
                                </a:moveTo>
                                <a:lnTo>
                                  <a:pt x="0" y="0"/>
                                </a:lnTo>
                                <a:lnTo>
                                  <a:pt x="42" y="85"/>
                                </a:lnTo>
                                <a:lnTo>
                                  <a:pt x="85" y="0"/>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D6AF24E" id="docshapegroup318" o:spid="_x0000_s1026" style="position:absolute;margin-left:218pt;margin-top:168.6pt;width:4.3pt;height:24.35pt;z-index:15834112;mso-position-horizontal-relative:page;mso-position-vertical-relative:page" coordorigin="4360,3372" coordsize="86,4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">
                <v:line id="Line 31" o:spid="_x0000_s1027" style="position:absolute;visibility:visible;mso-wrap-style:square" from="4402,3372" to="4402,37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" strokecolor="#231f20"/>
                <v:shape id="docshape319" o:spid="_x0000_s1028" style="position:absolute;left:4359;top:3773;width:86;height:86;visibility:visible;mso-wrap-style:square;v-text-anchor:top" coordsize="86,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" path="m85,l,,42,85,85,xe" fillcolor="#231f20" stroked="f">
                  <v:path arrowok="t" o:connecttype="custom" o:connectlocs="85,3774;0,3774;42,3859;85,3774" o:connectangles="0,0,0,0"/>
                </v:shape>
                <w10:wrap anchorx="page" anchory="page"/>
              </v:group>
            </w:pict>
          </mc:Fallback>
        </mc:AlternateContent>
      </w:r>
      <w:r>
        <w:rPr>
          <w:noProof/>
        </w:rPr>
        <mc:AlternateContent>
          <mc:Choice Requires="wpg">
            <w:drawing>
              <wp:anchor distT="0" distB="0" distL="114300" distR="114300" simplePos="0" relativeHeight="483758592" behindDoc="1" locked="0" layoutInCell="1" allowOverlap="1" wp14:anchorId="7F207476" wp14:editId="6C141AC3">
                <wp:simplePos x="0" y="0"/>
                <wp:positionH relativeFrom="page">
                  <wp:posOffset>1304925</wp:posOffset>
                </wp:positionH>
                <wp:positionV relativeFrom="page">
                  <wp:posOffset>1963420</wp:posOffset>
                </wp:positionV>
                <wp:extent cx="54610" cy="352425"/>
                <wp:effectExtent l="0" t="0" r="0" b="0"/>
                <wp:wrapNone/>
                <wp:docPr id="25" name="docshapegroup3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610" cy="352425"/>
                          <a:chOff x="2055" y="3092"/>
                          <a:chExt cx="86" cy="555"/>
                        </a:xfrm>
                      </wpg:grpSpPr>
                      <wps:wsp>
                        <wps:cNvPr id="26" name="Line 28"/>
                        <wps:cNvCnPr>
                          <a:cxnSpLocks noChangeShapeType="1"/>
                        </wps:cNvCnPr>
                        <wps:spPr bwMode="auto">
                          <a:xfrm>
                            <a:off x="2097" y="3178"/>
                            <a:ext cx="0" cy="397"/>
                          </a:xfrm>
                          <a:prstGeom prst="line">
                            <a:avLst/>
                          </a:prstGeom>
                          <a:noFill/>
                          <a:ln w="9525">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27" name="docshape321"/>
                        <wps:cNvSpPr>
                          <a:spLocks/>
                        </wps:cNvSpPr>
                        <wps:spPr bwMode="auto">
                          <a:xfrm>
                            <a:off x="2054" y="3092"/>
                            <a:ext cx="86" cy="555"/>
                          </a:xfrm>
                          <a:custGeom>
                            <a:avLst/>
                            <a:gdLst>
                              <a:gd name="T0" fmla="+- 0 2140 2055"/>
                              <a:gd name="T1" fmla="*/ T0 w 86"/>
                              <a:gd name="T2" fmla="+- 0 3562 3092"/>
                              <a:gd name="T3" fmla="*/ 3562 h 555"/>
                              <a:gd name="T4" fmla="+- 0 2055 2055"/>
                              <a:gd name="T5" fmla="*/ T4 w 86"/>
                              <a:gd name="T6" fmla="+- 0 3562 3092"/>
                              <a:gd name="T7" fmla="*/ 3562 h 555"/>
                              <a:gd name="T8" fmla="+- 0 2097 2055"/>
                              <a:gd name="T9" fmla="*/ T8 w 86"/>
                              <a:gd name="T10" fmla="+- 0 3647 3092"/>
                              <a:gd name="T11" fmla="*/ 3647 h 555"/>
                              <a:gd name="T12" fmla="+- 0 2140 2055"/>
                              <a:gd name="T13" fmla="*/ T12 w 86"/>
                              <a:gd name="T14" fmla="+- 0 3562 3092"/>
                              <a:gd name="T15" fmla="*/ 3562 h 555"/>
                              <a:gd name="T16" fmla="+- 0 2140 2055"/>
                              <a:gd name="T17" fmla="*/ T16 w 86"/>
                              <a:gd name="T18" fmla="+- 0 3178 3092"/>
                              <a:gd name="T19" fmla="*/ 3178 h 555"/>
                              <a:gd name="T20" fmla="+- 0 2097 2055"/>
                              <a:gd name="T21" fmla="*/ T20 w 86"/>
                              <a:gd name="T22" fmla="+- 0 3092 3092"/>
                              <a:gd name="T23" fmla="*/ 3092 h 555"/>
                              <a:gd name="T24" fmla="+- 0 2055 2055"/>
                              <a:gd name="T25" fmla="*/ T24 w 86"/>
                              <a:gd name="T26" fmla="+- 0 3178 3092"/>
                              <a:gd name="T27" fmla="*/ 3178 h 555"/>
                              <a:gd name="T28" fmla="+- 0 2140 2055"/>
                              <a:gd name="T29" fmla="*/ T28 w 86"/>
                              <a:gd name="T30" fmla="+- 0 3178 3092"/>
                              <a:gd name="T31" fmla="*/ 3178 h 555"/>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86" h="555">
                                <a:moveTo>
                                  <a:pt x="85" y="470"/>
                                </a:moveTo>
                                <a:lnTo>
                                  <a:pt x="0" y="470"/>
                                </a:lnTo>
                                <a:lnTo>
                                  <a:pt x="42" y="555"/>
                                </a:lnTo>
                                <a:lnTo>
                                  <a:pt x="85" y="470"/>
                                </a:lnTo>
                                <a:close/>
                                <a:moveTo>
                                  <a:pt x="85" y="86"/>
                                </a:moveTo>
                                <a:lnTo>
                                  <a:pt x="42" y="0"/>
                                </a:lnTo>
                                <a:lnTo>
                                  <a:pt x="0" y="86"/>
                                </a:lnTo>
                                <a:lnTo>
                                  <a:pt x="85" y="86"/>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06F2A44" id="docshapegroup320" o:spid="_x0000_s1026" style="position:absolute;margin-left:102.75pt;margin-top:154.6pt;width:4.3pt;height:27.75pt;z-index:-19557888;mso-position-horizontal-relative:page;mso-position-vertical-relative:page" coordorigin="2055,3092" coordsize="86,5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">
                <v:line id="Line 28" o:spid="_x0000_s1027" style="position:absolute;visibility:visible;mso-wrap-style:square" from="2097,3178" to="2097,35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" strokecolor="#231f20"/>
                <v:shape id="docshape321" o:spid="_x0000_s1028" style="position:absolute;left:2054;top:3092;width:86;height:555;visibility:visible;mso-wrap-style:square;v-text-anchor:top" coordsize="86,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" path="m85,470l,470r42,85l85,470xm85,86l42,,,86r85,xe" fillcolor="#231f20" stroked="f">
                  <v:path arrowok="t" o:connecttype="custom" o:connectlocs="85,3562;0,3562;42,3647;85,3562;85,3178;42,3092;0,3178;85,3178" o:connectangles="0,0,0,0,0,0,0,0"/>
                </v:shape>
                <w10:wrap anchorx="page" anchory="page"/>
              </v:group>
            </w:pict>
          </mc:Fallback>
        </mc:AlternateContent>
      </w:r>
      <w:r>
        <w:rPr>
          <w:rFonts w:ascii="Trebuchet MS"/>
          <w:color w:val="231F20"/>
          <w:w w:val="105"/>
          <w:sz w:val="14"/>
        </w:rPr>
        <w:t>208</w:t>
      </w:r>
      <w:r>
        <w:rPr>
          <w:rFonts w:ascii="Trebuchet MS"/>
          <w:color w:val="231F20"/>
          <w:spacing w:val="66"/>
          <w:w w:val="150"/>
          <w:sz w:val="14"/>
        </w:rPr>
        <w:t xml:space="preserve"> </w:t>
      </w:r>
      <w:r>
        <w:rPr>
          <w:rFonts w:ascii="Trebuchet MS"/>
          <w:color w:val="231F20"/>
          <w:w w:val="105"/>
          <w:sz w:val="14"/>
        </w:rPr>
        <w:t>Part</w:t>
      </w:r>
      <w:r>
        <w:rPr>
          <w:rFonts w:ascii="Trebuchet MS"/>
          <w:color w:val="231F20"/>
          <w:spacing w:val="-9"/>
          <w:w w:val="105"/>
          <w:sz w:val="14"/>
        </w:rPr>
        <w:t xml:space="preserve"> </w:t>
      </w:r>
      <w:r>
        <w:rPr>
          <w:rFonts w:ascii="Trebuchet MS"/>
          <w:color w:val="231F20"/>
          <w:w w:val="105"/>
          <w:sz w:val="14"/>
        </w:rPr>
        <w:t>4:</w:t>
      </w:r>
      <w:r>
        <w:rPr>
          <w:rFonts w:ascii="Trebuchet MS"/>
          <w:color w:val="231F20"/>
          <w:spacing w:val="-8"/>
          <w:w w:val="105"/>
          <w:sz w:val="14"/>
        </w:rPr>
        <w:t xml:space="preserve"> </w:t>
      </w:r>
      <w:r>
        <w:rPr>
          <w:rFonts w:ascii="Trebuchet MS"/>
          <w:color w:val="231F20"/>
          <w:w w:val="105"/>
          <w:sz w:val="14"/>
        </w:rPr>
        <w:t>Sport</w:t>
      </w:r>
      <w:r>
        <w:rPr>
          <w:rFonts w:ascii="Trebuchet MS"/>
          <w:color w:val="231F20"/>
          <w:spacing w:val="-9"/>
          <w:w w:val="105"/>
          <w:sz w:val="14"/>
        </w:rPr>
        <w:t xml:space="preserve"> </w:t>
      </w:r>
      <w:r>
        <w:rPr>
          <w:rFonts w:ascii="Trebuchet MS"/>
          <w:color w:val="231F20"/>
          <w:w w:val="105"/>
          <w:sz w:val="14"/>
        </w:rPr>
        <w:t>Tourism</w:t>
      </w:r>
      <w:r>
        <w:rPr>
          <w:rFonts w:ascii="Trebuchet MS"/>
          <w:color w:val="231F20"/>
          <w:spacing w:val="-9"/>
          <w:w w:val="105"/>
          <w:sz w:val="14"/>
        </w:rPr>
        <w:t xml:space="preserve"> </w:t>
      </w:r>
      <w:r>
        <w:rPr>
          <w:rFonts w:ascii="Trebuchet MS"/>
          <w:color w:val="231F20"/>
          <w:w w:val="105"/>
          <w:sz w:val="14"/>
        </w:rPr>
        <w:t>Development</w:t>
      </w:r>
      <w:r>
        <w:rPr>
          <w:rFonts w:ascii="Trebuchet MS"/>
          <w:color w:val="231F20"/>
          <w:spacing w:val="-9"/>
          <w:w w:val="105"/>
          <w:sz w:val="14"/>
        </w:rPr>
        <w:t xml:space="preserve"> </w:t>
      </w:r>
      <w:r>
        <w:rPr>
          <w:rFonts w:ascii="Trebuchet MS"/>
          <w:color w:val="231F20"/>
          <w:w w:val="105"/>
          <w:sz w:val="14"/>
        </w:rPr>
        <w:t>and</w:t>
      </w:r>
      <w:r>
        <w:rPr>
          <w:rFonts w:ascii="Trebuchet MS"/>
          <w:color w:val="231F20"/>
          <w:spacing w:val="-8"/>
          <w:w w:val="105"/>
          <w:sz w:val="14"/>
        </w:rPr>
        <w:t xml:space="preserve"> </w:t>
      </w:r>
      <w:r>
        <w:rPr>
          <w:rFonts w:ascii="Trebuchet MS"/>
          <w:color w:val="231F20"/>
          <w:spacing w:val="-4"/>
          <w:w w:val="105"/>
          <w:sz w:val="14"/>
        </w:rPr>
        <w:t>Time</w:t>
      </w:r>
    </w:p>
    <w:p w14:paraId="29A8D403" w14:textId="51AFC378" w:rsidR="00AE0598" w:rsidRDefault="0069255A">
      <w:pPr>
        <w:pStyle w:val="Corpodetexto"/>
        <w:spacing w:before="6"/>
        <w:rPr>
          <w:rFonts w:ascii="Trebuchet MS"/>
          <w:sz w:val="27"/>
        </w:rPr>
      </w:pPr>
      <w:r>
        <w:rPr>
          <w:noProof/>
        </w:rPr>
        <mc:AlternateContent>
          <mc:Choice Requires="wps">
            <w:drawing>
              <wp:anchor distT="0" distB="0" distL="0" distR="0" simplePos="0" relativeHeight="487687168" behindDoc="1" locked="0" layoutInCell="1" allowOverlap="1" wp14:anchorId="1B20D386" wp14:editId="7B2B92E8">
                <wp:simplePos x="0" y="0"/>
                <wp:positionH relativeFrom="page">
                  <wp:posOffset>861695</wp:posOffset>
                </wp:positionH>
                <wp:positionV relativeFrom="paragraph">
                  <wp:posOffset>221615</wp:posOffset>
                </wp:positionV>
                <wp:extent cx="975360" cy="325120"/>
                <wp:effectExtent l="0" t="0" r="0" b="0"/>
                <wp:wrapTopAndBottom/>
                <wp:docPr id="24" name="docshape3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5360" cy="325120"/>
                        </a:xfrm>
                        <a:prstGeom prst="rect">
                          <a:avLst/>
                        </a:prstGeom>
                        <a:noFill/>
                        <a:ln w="6350">
                          <a:solidFill>
                            <a:srgbClr val="231F2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0F3091F0" w14:textId="77777777" w:rsidR="00AE0598" w:rsidRDefault="0069255A">
                            <w:pPr>
                              <w:spacing w:before="59" w:line="244" w:lineRule="auto"/>
                              <w:ind w:left="575" w:right="98" w:hanging="223"/>
                              <w:rPr>
                                <w:i/>
                                <w:sz w:val="16"/>
                              </w:rPr>
                            </w:pPr>
                            <w:r>
                              <w:rPr>
                                <w:i/>
                                <w:color w:val="231F20"/>
                                <w:spacing w:val="-2"/>
                                <w:w w:val="90"/>
                                <w:sz w:val="16"/>
                              </w:rPr>
                              <w:t>Recreational</w:t>
                            </w:r>
                            <w:r>
                              <w:rPr>
                                <w:i/>
                                <w:color w:val="231F20"/>
                                <w:spacing w:val="40"/>
                                <w:sz w:val="16"/>
                              </w:rPr>
                              <w:t xml:space="preserve"> </w:t>
                            </w:r>
                            <w:r>
                              <w:rPr>
                                <w:i/>
                                <w:color w:val="231F20"/>
                                <w:spacing w:val="-2"/>
                                <w:sz w:val="16"/>
                              </w:rPr>
                              <w:t>Sport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20D386" id="docshape322" o:spid="_x0000_s1130" type="#_x0000_t202" style="position:absolute;margin-left:67.85pt;margin-top:17.45pt;width:76.8pt;height:25.6pt;z-index:-156293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" filled="f" strokecolor="#231f20" strokeweight=".5pt">
                <v:textbox inset="0,0,0,0">
                  <w:txbxContent>
                    <w:p w14:paraId="0F3091F0" w14:textId="77777777" w:rsidR="00AE0598" w:rsidRDefault="0069255A">
                      <w:pPr>
                        <w:spacing w:before="59" w:line="244" w:lineRule="auto"/>
                        <w:ind w:left="575" w:right="98" w:hanging="223"/>
                        <w:rPr>
                          <w:i/>
                          <w:sz w:val="16"/>
                        </w:rPr>
                      </w:pPr>
                      <w:r>
                        <w:rPr>
                          <w:i/>
                          <w:color w:val="231F20"/>
                          <w:spacing w:val="-2"/>
                          <w:w w:val="90"/>
                          <w:sz w:val="16"/>
                        </w:rPr>
                        <w:t>Recreational</w:t>
                      </w:r>
                      <w:r>
                        <w:rPr>
                          <w:i/>
                          <w:color w:val="231F20"/>
                          <w:spacing w:val="40"/>
                          <w:sz w:val="16"/>
                        </w:rPr>
                        <w:t xml:space="preserve"> </w:t>
                      </w:r>
                      <w:r>
                        <w:rPr>
                          <w:i/>
                          <w:color w:val="231F20"/>
                          <w:spacing w:val="-2"/>
                          <w:sz w:val="16"/>
                        </w:rPr>
                        <w:t>Sport</w:t>
                      </w:r>
                    </w:p>
                  </w:txbxContent>
                </v:textbox>
                <w10:wrap type="topAndBottom" anchorx="page"/>
              </v:shape>
            </w:pict>
          </mc:Fallback>
        </mc:AlternateContent>
      </w:r>
      <w:r>
        <w:rPr>
          <w:noProof/>
        </w:rPr>
        <mc:AlternateContent>
          <mc:Choice Requires="wps">
            <w:drawing>
              <wp:anchor distT="0" distB="0" distL="0" distR="0" simplePos="0" relativeHeight="487687680" behindDoc="1" locked="0" layoutInCell="1" allowOverlap="1" wp14:anchorId="555F6A82" wp14:editId="45E0BFD9">
                <wp:simplePos x="0" y="0"/>
                <wp:positionH relativeFrom="page">
                  <wp:posOffset>3786505</wp:posOffset>
                </wp:positionH>
                <wp:positionV relativeFrom="paragraph">
                  <wp:posOffset>221615</wp:posOffset>
                </wp:positionV>
                <wp:extent cx="975360" cy="325120"/>
                <wp:effectExtent l="0" t="0" r="0" b="0"/>
                <wp:wrapTopAndBottom/>
                <wp:docPr id="23" name="docshape3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5360" cy="325120"/>
                        </a:xfrm>
                        <a:prstGeom prst="rect">
                          <a:avLst/>
                        </a:prstGeom>
                        <a:noFill/>
                        <a:ln w="6350">
                          <a:solidFill>
                            <a:srgbClr val="231F2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2D2A9BD4" w14:textId="77777777" w:rsidR="00AE0598" w:rsidRDefault="0069255A">
                            <w:pPr>
                              <w:spacing w:before="59" w:line="244" w:lineRule="auto"/>
                              <w:ind w:left="581" w:right="83" w:hanging="206"/>
                              <w:rPr>
                                <w:i/>
                                <w:sz w:val="16"/>
                              </w:rPr>
                            </w:pPr>
                            <w:r>
                              <w:rPr>
                                <w:i/>
                                <w:color w:val="231F20"/>
                                <w:spacing w:val="-2"/>
                                <w:w w:val="95"/>
                                <w:sz w:val="16"/>
                              </w:rPr>
                              <w:t>Competitive</w:t>
                            </w:r>
                            <w:r>
                              <w:rPr>
                                <w:i/>
                                <w:color w:val="231F20"/>
                                <w:spacing w:val="40"/>
                                <w:sz w:val="16"/>
                              </w:rPr>
                              <w:t xml:space="preserve"> </w:t>
                            </w:r>
                            <w:r>
                              <w:rPr>
                                <w:i/>
                                <w:color w:val="231F20"/>
                                <w:spacing w:val="-2"/>
                                <w:sz w:val="16"/>
                              </w:rPr>
                              <w:t>Sport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5F6A82" id="docshape323" o:spid="_x0000_s1131" type="#_x0000_t202" style="position:absolute;margin-left:298.15pt;margin-top:17.45pt;width:76.8pt;height:25.6pt;z-index:-156288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" filled="f" strokecolor="#231f20" strokeweight=".5pt">
                <v:textbox inset="0,0,0,0">
                  <w:txbxContent>
                    <w:p w14:paraId="2D2A9BD4" w14:textId="77777777" w:rsidR="00AE0598" w:rsidRDefault="0069255A">
                      <w:pPr>
                        <w:spacing w:before="59" w:line="244" w:lineRule="auto"/>
                        <w:ind w:left="581" w:right="83" w:hanging="206"/>
                        <w:rPr>
                          <w:i/>
                          <w:sz w:val="16"/>
                        </w:rPr>
                      </w:pPr>
                      <w:r>
                        <w:rPr>
                          <w:i/>
                          <w:color w:val="231F20"/>
                          <w:spacing w:val="-2"/>
                          <w:w w:val="95"/>
                          <w:sz w:val="16"/>
                        </w:rPr>
                        <w:t>Competitive</w:t>
                      </w:r>
                      <w:r>
                        <w:rPr>
                          <w:i/>
                          <w:color w:val="231F20"/>
                          <w:spacing w:val="40"/>
                          <w:sz w:val="16"/>
                        </w:rPr>
                        <w:t xml:space="preserve"> </w:t>
                      </w:r>
                      <w:r>
                        <w:rPr>
                          <w:i/>
                          <w:color w:val="231F20"/>
                          <w:spacing w:val="-2"/>
                          <w:sz w:val="16"/>
                        </w:rPr>
                        <w:t>Sport</w:t>
                      </w:r>
                    </w:p>
                  </w:txbxContent>
                </v:textbox>
                <w10:wrap type="topAndBottom" anchorx="page"/>
              </v:shape>
            </w:pict>
          </mc:Fallback>
        </mc:AlternateContent>
      </w:r>
    </w:p>
    <w:p w14:paraId="4CDA410B" w14:textId="3A6A43D5" w:rsidR="00AE0598" w:rsidRDefault="0069255A">
      <w:pPr>
        <w:tabs>
          <w:tab w:val="left" w:pos="2575"/>
          <w:tab w:val="left" w:pos="4863"/>
        </w:tabs>
        <w:ind w:left="272"/>
        <w:rPr>
          <w:rFonts w:ascii="Trebuchet MS"/>
          <w:sz w:val="20"/>
        </w:rPr>
      </w:pPr>
      <w:r>
        <w:rPr>
          <w:rFonts w:ascii="Trebuchet MS"/>
          <w:noProof/>
          <w:position w:val="28"/>
          <w:sz w:val="20"/>
        </w:rPr>
        <mc:AlternateContent>
          <mc:Choice Requires="wps">
            <w:drawing>
              <wp:inline distT="0" distB="0" distL="0" distR="0" wp14:anchorId="4885EB39" wp14:editId="18CAE2C4">
                <wp:extent cx="972185" cy="635000"/>
                <wp:effectExtent l="10795" t="13335" r="7620" b="8890"/>
                <wp:docPr id="22" name="docshape3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2185" cy="635000"/>
                        </a:xfrm>
                        <a:prstGeom prst="rect">
                          <a:avLst/>
                        </a:prstGeom>
                        <a:noFill/>
                        <a:ln w="6350">
                          <a:solidFill>
                            <a:srgbClr val="231F2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2502728D" w14:textId="77777777" w:rsidR="00AE0598" w:rsidRDefault="00AE0598">
                            <w:pPr>
                              <w:pStyle w:val="Corpodetexto"/>
                              <w:spacing w:before="8"/>
                              <w:rPr>
                                <w:rFonts w:ascii="Trebuchet MS"/>
                                <w:sz w:val="16"/>
                              </w:rPr>
                            </w:pPr>
                          </w:p>
                          <w:p w14:paraId="69F142BE" w14:textId="77777777" w:rsidR="00AE0598" w:rsidRDefault="0069255A">
                            <w:pPr>
                              <w:spacing w:line="216" w:lineRule="auto"/>
                              <w:ind w:left="376" w:hanging="162"/>
                              <w:rPr>
                                <w:rFonts w:ascii="Segoe UI Symbol"/>
                                <w:sz w:val="16"/>
                              </w:rPr>
                            </w:pPr>
                            <w:r>
                              <w:rPr>
                                <w:rFonts w:ascii="Segoe UI Symbol"/>
                                <w:color w:val="231F20"/>
                                <w:spacing w:val="-2"/>
                                <w:sz w:val="16"/>
                              </w:rPr>
                              <w:t>Leisure</w:t>
                            </w:r>
                            <w:r>
                              <w:rPr>
                                <w:rFonts w:ascii="Segoe UI Symbol"/>
                                <w:color w:val="231F20"/>
                                <w:spacing w:val="-9"/>
                                <w:sz w:val="16"/>
                              </w:rPr>
                              <w:t xml:space="preserve"> </w:t>
                            </w:r>
                            <w:r>
                              <w:rPr>
                                <w:rFonts w:ascii="Segoe UI Symbol"/>
                                <w:color w:val="231F20"/>
                                <w:spacing w:val="-2"/>
                                <w:sz w:val="16"/>
                              </w:rPr>
                              <w:t>Focus</w:t>
                            </w:r>
                            <w:r>
                              <w:rPr>
                                <w:rFonts w:ascii="Segoe UI Symbol"/>
                                <w:color w:val="231F20"/>
                                <w:spacing w:val="-9"/>
                                <w:sz w:val="16"/>
                              </w:rPr>
                              <w:t xml:space="preserve"> </w:t>
                            </w:r>
                            <w:r>
                              <w:rPr>
                                <w:rFonts w:ascii="Segoe UI Symbol"/>
                                <w:color w:val="231F20"/>
                                <w:spacing w:val="-2"/>
                                <w:sz w:val="16"/>
                              </w:rPr>
                              <w:t>&amp; Innovation</w:t>
                            </w:r>
                          </w:p>
                        </w:txbxContent>
                      </wps:txbx>
                      <wps:bodyPr rot="0" vert="horz" wrap="square" lIns="0" tIns="0" rIns="0" bIns="0" anchor="t" anchorCtr="0" upright="1">
                        <a:noAutofit/>
                      </wps:bodyPr>
                    </wps:wsp>
                  </a:graphicData>
                </a:graphic>
              </wp:inline>
            </w:drawing>
          </mc:Choice>
          <mc:Fallback>
            <w:pict>
              <v:shape w14:anchorId="4885EB39" id="docshape324" o:spid="_x0000_s1132" type="#_x0000_t202" style="width:76.55pt;height:5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" filled="f" strokecolor="#231f20" strokeweight=".5pt">
                <v:textbox inset="0,0,0,0">
                  <w:txbxContent>
                    <w:p w14:paraId="2502728D" w14:textId="77777777" w:rsidR="00AE0598" w:rsidRDefault="00AE0598">
                      <w:pPr>
                        <w:pStyle w:val="Corpodetexto"/>
                        <w:spacing w:before="8"/>
                        <w:rPr>
                          <w:rFonts w:ascii="Trebuchet MS"/>
                          <w:sz w:val="16"/>
                        </w:rPr>
                      </w:pPr>
                    </w:p>
                    <w:p w14:paraId="69F142BE" w14:textId="77777777" w:rsidR="00AE0598" w:rsidRDefault="0069255A">
                      <w:pPr>
                        <w:spacing w:line="216" w:lineRule="auto"/>
                        <w:ind w:left="376" w:hanging="162"/>
                        <w:rPr>
                          <w:rFonts w:ascii="Segoe UI Symbol"/>
                          <w:sz w:val="16"/>
                        </w:rPr>
                      </w:pPr>
                      <w:r>
                        <w:rPr>
                          <w:rFonts w:ascii="Segoe UI Symbol"/>
                          <w:color w:val="231F20"/>
                          <w:spacing w:val="-2"/>
                          <w:sz w:val="16"/>
                        </w:rPr>
                        <w:t>Leisure</w:t>
                      </w:r>
                      <w:r>
                        <w:rPr>
                          <w:rFonts w:ascii="Segoe UI Symbol"/>
                          <w:color w:val="231F20"/>
                          <w:spacing w:val="-9"/>
                          <w:sz w:val="16"/>
                        </w:rPr>
                        <w:t xml:space="preserve"> </w:t>
                      </w:r>
                      <w:r>
                        <w:rPr>
                          <w:rFonts w:ascii="Segoe UI Symbol"/>
                          <w:color w:val="231F20"/>
                          <w:spacing w:val="-2"/>
                          <w:sz w:val="16"/>
                        </w:rPr>
                        <w:t>Focus</w:t>
                      </w:r>
                      <w:r>
                        <w:rPr>
                          <w:rFonts w:ascii="Segoe UI Symbol"/>
                          <w:color w:val="231F20"/>
                          <w:spacing w:val="-9"/>
                          <w:sz w:val="16"/>
                        </w:rPr>
                        <w:t xml:space="preserve"> </w:t>
                      </w:r>
                      <w:r>
                        <w:rPr>
                          <w:rFonts w:ascii="Segoe UI Symbol"/>
                          <w:color w:val="231F20"/>
                          <w:spacing w:val="-2"/>
                          <w:sz w:val="16"/>
                        </w:rPr>
                        <w:t>&amp; Innovation</w:t>
                      </w:r>
                    </w:p>
                  </w:txbxContent>
                </v:textbox>
                <w10:anchorlock/>
              </v:shape>
            </w:pict>
          </mc:Fallback>
        </mc:AlternateContent>
      </w:r>
      <w:r>
        <w:rPr>
          <w:rFonts w:ascii="Trebuchet MS"/>
          <w:position w:val="28"/>
          <w:sz w:val="20"/>
        </w:rPr>
        <w:tab/>
      </w:r>
      <w:r>
        <w:rPr>
          <w:rFonts w:ascii="Trebuchet MS"/>
          <w:noProof/>
          <w:sz w:val="20"/>
        </w:rPr>
        <mc:AlternateContent>
          <mc:Choice Requires="wps">
            <w:drawing>
              <wp:inline distT="0" distB="0" distL="0" distR="0" wp14:anchorId="415E3ACF" wp14:editId="2EE7457E">
                <wp:extent cx="975360" cy="975360"/>
                <wp:effectExtent l="6350" t="10160" r="8890" b="5080"/>
                <wp:docPr id="21" name="docshape3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5360" cy="975360"/>
                        </a:xfrm>
                        <a:prstGeom prst="rect">
                          <a:avLst/>
                        </a:prstGeom>
                        <a:noFill/>
                        <a:ln w="6350">
                          <a:solidFill>
                            <a:srgbClr val="231F2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28F04484" w14:textId="77777777" w:rsidR="00AE0598" w:rsidRDefault="0069255A">
                            <w:pPr>
                              <w:spacing w:before="59"/>
                              <w:ind w:left="246" w:right="246"/>
                              <w:jc w:val="center"/>
                              <w:rPr>
                                <w:i/>
                                <w:sz w:val="16"/>
                              </w:rPr>
                            </w:pPr>
                            <w:r>
                              <w:rPr>
                                <w:i/>
                                <w:color w:val="231F20"/>
                                <w:w w:val="90"/>
                                <w:sz w:val="16"/>
                              </w:rPr>
                              <w:t>External</w:t>
                            </w:r>
                            <w:r>
                              <w:rPr>
                                <w:i/>
                                <w:color w:val="231F20"/>
                                <w:spacing w:val="20"/>
                                <w:sz w:val="16"/>
                              </w:rPr>
                              <w:t xml:space="preserve"> </w:t>
                            </w:r>
                            <w:r>
                              <w:rPr>
                                <w:i/>
                                <w:color w:val="231F20"/>
                                <w:spacing w:val="-2"/>
                                <w:w w:val="95"/>
                                <w:sz w:val="16"/>
                              </w:rPr>
                              <w:t>Trends</w:t>
                            </w:r>
                          </w:p>
                          <w:p w14:paraId="2481380C" w14:textId="77777777" w:rsidR="00AE0598" w:rsidRDefault="00AE0598">
                            <w:pPr>
                              <w:pStyle w:val="Corpodetexto"/>
                              <w:spacing w:before="10"/>
                              <w:rPr>
                                <w:i/>
                                <w:sz w:val="17"/>
                              </w:rPr>
                            </w:pPr>
                          </w:p>
                          <w:p w14:paraId="0C4FF1C4" w14:textId="77777777" w:rsidR="00AE0598" w:rsidRDefault="0069255A">
                            <w:pPr>
                              <w:spacing w:line="244" w:lineRule="auto"/>
                              <w:ind w:left="307" w:right="300"/>
                              <w:jc w:val="center"/>
                              <w:rPr>
                                <w:i/>
                                <w:sz w:val="16"/>
                              </w:rPr>
                            </w:pPr>
                            <w:r>
                              <w:rPr>
                                <w:i/>
                                <w:color w:val="231F20"/>
                                <w:spacing w:val="-2"/>
                                <w:sz w:val="16"/>
                              </w:rPr>
                              <w:t>Economic</w:t>
                            </w:r>
                            <w:r>
                              <w:rPr>
                                <w:i/>
                                <w:color w:val="231F20"/>
                                <w:spacing w:val="40"/>
                                <w:sz w:val="16"/>
                              </w:rPr>
                              <w:t xml:space="preserve"> </w:t>
                            </w:r>
                            <w:r>
                              <w:rPr>
                                <w:i/>
                                <w:color w:val="231F20"/>
                                <w:spacing w:val="-2"/>
                                <w:sz w:val="16"/>
                              </w:rPr>
                              <w:t>Political</w:t>
                            </w:r>
                            <w:r>
                              <w:rPr>
                                <w:i/>
                                <w:color w:val="231F20"/>
                                <w:spacing w:val="40"/>
                                <w:sz w:val="16"/>
                              </w:rPr>
                              <w:t xml:space="preserve"> </w:t>
                            </w:r>
                            <w:r>
                              <w:rPr>
                                <w:i/>
                                <w:color w:val="231F20"/>
                                <w:spacing w:val="-2"/>
                                <w:sz w:val="16"/>
                              </w:rPr>
                              <w:t>Social</w:t>
                            </w:r>
                            <w:r>
                              <w:rPr>
                                <w:i/>
                                <w:color w:val="231F20"/>
                                <w:spacing w:val="40"/>
                                <w:sz w:val="16"/>
                              </w:rPr>
                              <w:t xml:space="preserve"> </w:t>
                            </w:r>
                            <w:r>
                              <w:rPr>
                                <w:i/>
                                <w:color w:val="231F20"/>
                                <w:spacing w:val="-2"/>
                                <w:sz w:val="16"/>
                              </w:rPr>
                              <w:t>Technical</w:t>
                            </w:r>
                            <w:r>
                              <w:rPr>
                                <w:i/>
                                <w:color w:val="231F20"/>
                                <w:spacing w:val="40"/>
                                <w:sz w:val="16"/>
                              </w:rPr>
                              <w:t xml:space="preserve"> </w:t>
                            </w:r>
                            <w:r>
                              <w:rPr>
                                <w:i/>
                                <w:color w:val="231F20"/>
                                <w:spacing w:val="-4"/>
                                <w:w w:val="95"/>
                                <w:sz w:val="16"/>
                              </w:rPr>
                              <w:t>Environmental</w:t>
                            </w:r>
                          </w:p>
                        </w:txbxContent>
                      </wps:txbx>
                      <wps:bodyPr rot="0" vert="horz" wrap="square" lIns="0" tIns="0" rIns="0" bIns="0" anchor="t" anchorCtr="0" upright="1">
                        <a:noAutofit/>
                      </wps:bodyPr>
                    </wps:wsp>
                  </a:graphicData>
                </a:graphic>
              </wp:inline>
            </w:drawing>
          </mc:Choice>
          <mc:Fallback>
            <w:pict>
              <v:shape w14:anchorId="415E3ACF" id="docshape325" o:spid="_x0000_s1133" type="#_x0000_t202" style="width:76.8pt;height:76.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" filled="f" strokecolor="#231f20" strokeweight=".5pt">
                <v:textbox inset="0,0,0,0">
                  <w:txbxContent>
                    <w:p w14:paraId="28F04484" w14:textId="77777777" w:rsidR="00AE0598" w:rsidRDefault="0069255A">
                      <w:pPr>
                        <w:spacing w:before="59"/>
                        <w:ind w:left="246" w:right="246"/>
                        <w:jc w:val="center"/>
                        <w:rPr>
                          <w:i/>
                          <w:sz w:val="16"/>
                        </w:rPr>
                      </w:pPr>
                      <w:r>
                        <w:rPr>
                          <w:i/>
                          <w:color w:val="231F20"/>
                          <w:w w:val="90"/>
                          <w:sz w:val="16"/>
                        </w:rPr>
                        <w:t>External</w:t>
                      </w:r>
                      <w:r>
                        <w:rPr>
                          <w:i/>
                          <w:color w:val="231F20"/>
                          <w:spacing w:val="20"/>
                          <w:sz w:val="16"/>
                        </w:rPr>
                        <w:t xml:space="preserve"> </w:t>
                      </w:r>
                      <w:r>
                        <w:rPr>
                          <w:i/>
                          <w:color w:val="231F20"/>
                          <w:spacing w:val="-2"/>
                          <w:w w:val="95"/>
                          <w:sz w:val="16"/>
                        </w:rPr>
                        <w:t>Trends</w:t>
                      </w:r>
                    </w:p>
                    <w:p w14:paraId="2481380C" w14:textId="77777777" w:rsidR="00AE0598" w:rsidRDefault="00AE0598">
                      <w:pPr>
                        <w:pStyle w:val="Corpodetexto"/>
                        <w:spacing w:before="10"/>
                        <w:rPr>
                          <w:i/>
                          <w:sz w:val="17"/>
                        </w:rPr>
                      </w:pPr>
                    </w:p>
                    <w:p w14:paraId="0C4FF1C4" w14:textId="77777777" w:rsidR="00AE0598" w:rsidRDefault="0069255A">
                      <w:pPr>
                        <w:spacing w:line="244" w:lineRule="auto"/>
                        <w:ind w:left="307" w:right="300"/>
                        <w:jc w:val="center"/>
                        <w:rPr>
                          <w:i/>
                          <w:sz w:val="16"/>
                        </w:rPr>
                      </w:pPr>
                      <w:r>
                        <w:rPr>
                          <w:i/>
                          <w:color w:val="231F20"/>
                          <w:spacing w:val="-2"/>
                          <w:sz w:val="16"/>
                        </w:rPr>
                        <w:t>Economic</w:t>
                      </w:r>
                      <w:r>
                        <w:rPr>
                          <w:i/>
                          <w:color w:val="231F20"/>
                          <w:spacing w:val="40"/>
                          <w:sz w:val="16"/>
                        </w:rPr>
                        <w:t xml:space="preserve"> </w:t>
                      </w:r>
                      <w:r>
                        <w:rPr>
                          <w:i/>
                          <w:color w:val="231F20"/>
                          <w:spacing w:val="-2"/>
                          <w:sz w:val="16"/>
                        </w:rPr>
                        <w:t>Political</w:t>
                      </w:r>
                      <w:r>
                        <w:rPr>
                          <w:i/>
                          <w:color w:val="231F20"/>
                          <w:spacing w:val="40"/>
                          <w:sz w:val="16"/>
                        </w:rPr>
                        <w:t xml:space="preserve"> </w:t>
                      </w:r>
                      <w:r>
                        <w:rPr>
                          <w:i/>
                          <w:color w:val="231F20"/>
                          <w:spacing w:val="-2"/>
                          <w:sz w:val="16"/>
                        </w:rPr>
                        <w:t>Social</w:t>
                      </w:r>
                      <w:r>
                        <w:rPr>
                          <w:i/>
                          <w:color w:val="231F20"/>
                          <w:spacing w:val="40"/>
                          <w:sz w:val="16"/>
                        </w:rPr>
                        <w:t xml:space="preserve"> </w:t>
                      </w:r>
                      <w:r>
                        <w:rPr>
                          <w:i/>
                          <w:color w:val="231F20"/>
                          <w:spacing w:val="-2"/>
                          <w:sz w:val="16"/>
                        </w:rPr>
                        <w:t>Technical</w:t>
                      </w:r>
                      <w:r>
                        <w:rPr>
                          <w:i/>
                          <w:color w:val="231F20"/>
                          <w:spacing w:val="40"/>
                          <w:sz w:val="16"/>
                        </w:rPr>
                        <w:t xml:space="preserve"> </w:t>
                      </w:r>
                      <w:r>
                        <w:rPr>
                          <w:i/>
                          <w:color w:val="231F20"/>
                          <w:spacing w:val="-4"/>
                          <w:w w:val="95"/>
                          <w:sz w:val="16"/>
                        </w:rPr>
                        <w:t>Environmental</w:t>
                      </w:r>
                    </w:p>
                  </w:txbxContent>
                </v:textbox>
                <w10:anchorlock/>
              </v:shape>
            </w:pict>
          </mc:Fallback>
        </mc:AlternateContent>
      </w:r>
      <w:r>
        <w:rPr>
          <w:rFonts w:ascii="Trebuchet MS"/>
          <w:sz w:val="20"/>
        </w:rPr>
        <w:tab/>
      </w:r>
      <w:r>
        <w:rPr>
          <w:rFonts w:ascii="Trebuchet MS"/>
          <w:noProof/>
          <w:position w:val="25"/>
          <w:sz w:val="20"/>
        </w:rPr>
        <mc:AlternateContent>
          <mc:Choice Requires="wps">
            <w:drawing>
              <wp:inline distT="0" distB="0" distL="0" distR="0" wp14:anchorId="28C308D7" wp14:editId="756C0450">
                <wp:extent cx="972185" cy="635000"/>
                <wp:effectExtent l="11430" t="13335" r="6985" b="8890"/>
                <wp:docPr id="20" name="docshape3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2185" cy="635000"/>
                        </a:xfrm>
                        <a:prstGeom prst="rect">
                          <a:avLst/>
                        </a:prstGeom>
                        <a:noFill/>
                        <a:ln w="6350">
                          <a:solidFill>
                            <a:srgbClr val="231F2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34B32011" w14:textId="77777777" w:rsidR="00AE0598" w:rsidRDefault="0069255A">
                            <w:pPr>
                              <w:spacing w:before="98" w:line="216" w:lineRule="auto"/>
                              <w:ind w:left="310" w:right="308"/>
                              <w:jc w:val="center"/>
                              <w:rPr>
                                <w:rFonts w:ascii="Segoe UI Symbol"/>
                                <w:sz w:val="16"/>
                              </w:rPr>
                            </w:pPr>
                            <w:r>
                              <w:rPr>
                                <w:rFonts w:ascii="Segoe UI Symbol"/>
                                <w:color w:val="231F20"/>
                                <w:spacing w:val="-2"/>
                                <w:w w:val="95"/>
                                <w:sz w:val="16"/>
                              </w:rPr>
                              <w:t>Performance</w:t>
                            </w:r>
                            <w:r>
                              <w:rPr>
                                <w:rFonts w:ascii="Segoe UI Symbol"/>
                                <w:color w:val="231F20"/>
                                <w:w w:val="95"/>
                                <w:sz w:val="16"/>
                              </w:rPr>
                              <w:t xml:space="preserve"> </w:t>
                            </w:r>
                            <w:r>
                              <w:rPr>
                                <w:rFonts w:ascii="Segoe UI Symbol"/>
                                <w:color w:val="231F20"/>
                                <w:sz w:val="16"/>
                              </w:rPr>
                              <w:t>Focus</w:t>
                            </w:r>
                            <w:r>
                              <w:rPr>
                                <w:rFonts w:ascii="Segoe UI Symbol"/>
                                <w:color w:val="231F20"/>
                                <w:spacing w:val="-3"/>
                                <w:sz w:val="16"/>
                              </w:rPr>
                              <w:t xml:space="preserve"> </w:t>
                            </w:r>
                            <w:r>
                              <w:rPr>
                                <w:rFonts w:ascii="Segoe UI Symbol"/>
                                <w:color w:val="231F20"/>
                                <w:sz w:val="16"/>
                              </w:rPr>
                              <w:t xml:space="preserve">&amp; </w:t>
                            </w:r>
                            <w:r>
                              <w:rPr>
                                <w:rFonts w:ascii="Segoe UI Symbol"/>
                                <w:color w:val="231F20"/>
                                <w:spacing w:val="-2"/>
                                <w:sz w:val="16"/>
                              </w:rPr>
                              <w:t>Incremental Change</w:t>
                            </w:r>
                          </w:p>
                        </w:txbxContent>
                      </wps:txbx>
                      <wps:bodyPr rot="0" vert="horz" wrap="square" lIns="0" tIns="0" rIns="0" bIns="0" anchor="t" anchorCtr="0" upright="1">
                        <a:noAutofit/>
                      </wps:bodyPr>
                    </wps:wsp>
                  </a:graphicData>
                </a:graphic>
              </wp:inline>
            </w:drawing>
          </mc:Choice>
          <mc:Fallback>
            <w:pict>
              <v:shape w14:anchorId="28C308D7" id="docshape326" o:spid="_x0000_s1134" type="#_x0000_t202" style="width:76.55pt;height:5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" filled="f" strokecolor="#231f20" strokeweight=".5pt">
                <v:textbox inset="0,0,0,0">
                  <w:txbxContent>
                    <w:p w14:paraId="34B32011" w14:textId="77777777" w:rsidR="00AE0598" w:rsidRDefault="0069255A">
                      <w:pPr>
                        <w:spacing w:before="98" w:line="216" w:lineRule="auto"/>
                        <w:ind w:left="310" w:right="308"/>
                        <w:jc w:val="center"/>
                        <w:rPr>
                          <w:rFonts w:ascii="Segoe UI Symbol"/>
                          <w:sz w:val="16"/>
                        </w:rPr>
                      </w:pPr>
                      <w:r>
                        <w:rPr>
                          <w:rFonts w:ascii="Segoe UI Symbol"/>
                          <w:color w:val="231F20"/>
                          <w:spacing w:val="-2"/>
                          <w:w w:val="95"/>
                          <w:sz w:val="16"/>
                        </w:rPr>
                        <w:t>Performance</w:t>
                      </w:r>
                      <w:r>
                        <w:rPr>
                          <w:rFonts w:ascii="Segoe UI Symbol"/>
                          <w:color w:val="231F20"/>
                          <w:w w:val="95"/>
                          <w:sz w:val="16"/>
                        </w:rPr>
                        <w:t xml:space="preserve"> </w:t>
                      </w:r>
                      <w:r>
                        <w:rPr>
                          <w:rFonts w:ascii="Segoe UI Symbol"/>
                          <w:color w:val="231F20"/>
                          <w:sz w:val="16"/>
                        </w:rPr>
                        <w:t>Focus</w:t>
                      </w:r>
                      <w:r>
                        <w:rPr>
                          <w:rFonts w:ascii="Segoe UI Symbol"/>
                          <w:color w:val="231F20"/>
                          <w:spacing w:val="-3"/>
                          <w:sz w:val="16"/>
                        </w:rPr>
                        <w:t xml:space="preserve"> </w:t>
                      </w:r>
                      <w:r>
                        <w:rPr>
                          <w:rFonts w:ascii="Segoe UI Symbol"/>
                          <w:color w:val="231F20"/>
                          <w:sz w:val="16"/>
                        </w:rPr>
                        <w:t xml:space="preserve">&amp; </w:t>
                      </w:r>
                      <w:r>
                        <w:rPr>
                          <w:rFonts w:ascii="Segoe UI Symbol"/>
                          <w:color w:val="231F20"/>
                          <w:spacing w:val="-2"/>
                          <w:sz w:val="16"/>
                        </w:rPr>
                        <w:t>Incremental Change</w:t>
                      </w:r>
                    </w:p>
                  </w:txbxContent>
                </v:textbox>
                <w10:anchorlock/>
              </v:shape>
            </w:pict>
          </mc:Fallback>
        </mc:AlternateContent>
      </w:r>
    </w:p>
    <w:p w14:paraId="6BFE278C" w14:textId="6DF9BF24" w:rsidR="00AE0598" w:rsidRDefault="0069255A">
      <w:pPr>
        <w:pStyle w:val="Corpodetexto"/>
        <w:spacing w:before="10"/>
        <w:rPr>
          <w:rFonts w:ascii="Trebuchet MS"/>
          <w:sz w:val="16"/>
        </w:rPr>
      </w:pPr>
      <w:r>
        <w:rPr>
          <w:noProof/>
        </w:rPr>
        <mc:AlternateContent>
          <mc:Choice Requires="wps">
            <w:drawing>
              <wp:anchor distT="0" distB="0" distL="0" distR="0" simplePos="0" relativeHeight="487689728" behindDoc="1" locked="0" layoutInCell="1" allowOverlap="1" wp14:anchorId="1C45C275" wp14:editId="52ADBB5D">
                <wp:simplePos x="0" y="0"/>
                <wp:positionH relativeFrom="page">
                  <wp:posOffset>845820</wp:posOffset>
                </wp:positionH>
                <wp:positionV relativeFrom="paragraph">
                  <wp:posOffset>142875</wp:posOffset>
                </wp:positionV>
                <wp:extent cx="972185" cy="635000"/>
                <wp:effectExtent l="0" t="0" r="0" b="0"/>
                <wp:wrapTopAndBottom/>
                <wp:docPr id="19" name="docshape3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2185" cy="635000"/>
                        </a:xfrm>
                        <a:prstGeom prst="rect">
                          <a:avLst/>
                        </a:prstGeom>
                        <a:noFill/>
                        <a:ln w="6350">
                          <a:solidFill>
                            <a:srgbClr val="231F2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388093F4" w14:textId="77777777" w:rsidR="00AE0598" w:rsidRDefault="00AE0598">
                            <w:pPr>
                              <w:pStyle w:val="Corpodetexto"/>
                              <w:spacing w:before="8"/>
                              <w:rPr>
                                <w:rFonts w:ascii="Trebuchet MS"/>
                                <w:sz w:val="16"/>
                              </w:rPr>
                            </w:pPr>
                          </w:p>
                          <w:p w14:paraId="37B8C5A4" w14:textId="77777777" w:rsidR="00AE0598" w:rsidRDefault="0069255A">
                            <w:pPr>
                              <w:spacing w:line="216" w:lineRule="auto"/>
                              <w:ind w:left="310" w:right="308"/>
                              <w:jc w:val="center"/>
                              <w:rPr>
                                <w:rFonts w:ascii="Segoe UI Symbol"/>
                                <w:sz w:val="16"/>
                              </w:rPr>
                            </w:pPr>
                            <w:r>
                              <w:rPr>
                                <w:rFonts w:ascii="Segoe UI Symbol"/>
                                <w:color w:val="231F20"/>
                                <w:spacing w:val="-2"/>
                                <w:w w:val="95"/>
                                <w:sz w:val="16"/>
                              </w:rPr>
                              <w:t>Geographical</w:t>
                            </w:r>
                            <w:r>
                              <w:rPr>
                                <w:rFonts w:ascii="Segoe UI Symbol"/>
                                <w:color w:val="231F20"/>
                                <w:w w:val="95"/>
                                <w:sz w:val="16"/>
                              </w:rPr>
                              <w:t xml:space="preserve"> </w:t>
                            </w:r>
                            <w:r>
                              <w:rPr>
                                <w:rFonts w:ascii="Segoe UI Symbol"/>
                                <w:color w:val="231F20"/>
                                <w:sz w:val="16"/>
                              </w:rPr>
                              <w:t>Origin</w:t>
                            </w:r>
                            <w:r>
                              <w:rPr>
                                <w:rFonts w:ascii="Segoe UI Symbol"/>
                                <w:color w:val="231F20"/>
                                <w:spacing w:val="-3"/>
                                <w:sz w:val="16"/>
                              </w:rPr>
                              <w:t xml:space="preserve"> </w:t>
                            </w:r>
                            <w:r>
                              <w:rPr>
                                <w:rFonts w:ascii="Segoe UI Symbol"/>
                                <w:color w:val="231F20"/>
                                <w:sz w:val="16"/>
                              </w:rPr>
                              <w:t>&amp; Social</w:t>
                            </w:r>
                            <w:r>
                              <w:rPr>
                                <w:rFonts w:ascii="Segoe UI Symbol"/>
                                <w:color w:val="231F20"/>
                                <w:spacing w:val="-11"/>
                                <w:sz w:val="16"/>
                              </w:rPr>
                              <w:t xml:space="preserve"> </w:t>
                            </w:r>
                            <w:r>
                              <w:rPr>
                                <w:rFonts w:ascii="Segoe UI Symbol"/>
                                <w:color w:val="231F20"/>
                                <w:sz w:val="16"/>
                              </w:rPr>
                              <w:t>Media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45C275" id="docshape327" o:spid="_x0000_s1135" type="#_x0000_t202" style="position:absolute;margin-left:66.6pt;margin-top:11.25pt;width:76.55pt;height:50pt;z-index:-156267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" filled="f" strokecolor="#231f20" strokeweight=".5pt">
                <v:textbox inset="0,0,0,0">
                  <w:txbxContent>
                    <w:p w14:paraId="388093F4" w14:textId="77777777" w:rsidR="00AE0598" w:rsidRDefault="00AE0598">
                      <w:pPr>
                        <w:pStyle w:val="Corpodetexto"/>
                        <w:spacing w:before="8"/>
                        <w:rPr>
                          <w:rFonts w:ascii="Trebuchet MS"/>
                          <w:sz w:val="16"/>
                        </w:rPr>
                      </w:pPr>
                    </w:p>
                    <w:p w14:paraId="37B8C5A4" w14:textId="77777777" w:rsidR="00AE0598" w:rsidRDefault="0069255A">
                      <w:pPr>
                        <w:spacing w:line="216" w:lineRule="auto"/>
                        <w:ind w:left="310" w:right="308"/>
                        <w:jc w:val="center"/>
                        <w:rPr>
                          <w:rFonts w:ascii="Segoe UI Symbol"/>
                          <w:sz w:val="16"/>
                        </w:rPr>
                      </w:pPr>
                      <w:r>
                        <w:rPr>
                          <w:rFonts w:ascii="Segoe UI Symbol"/>
                          <w:color w:val="231F20"/>
                          <w:spacing w:val="-2"/>
                          <w:w w:val="95"/>
                          <w:sz w:val="16"/>
                        </w:rPr>
                        <w:t>Geographical</w:t>
                      </w:r>
                      <w:r>
                        <w:rPr>
                          <w:rFonts w:ascii="Segoe UI Symbol"/>
                          <w:color w:val="231F20"/>
                          <w:w w:val="95"/>
                          <w:sz w:val="16"/>
                        </w:rPr>
                        <w:t xml:space="preserve"> </w:t>
                      </w:r>
                      <w:r>
                        <w:rPr>
                          <w:rFonts w:ascii="Segoe UI Symbol"/>
                          <w:color w:val="231F20"/>
                          <w:sz w:val="16"/>
                        </w:rPr>
                        <w:t>Origin</w:t>
                      </w:r>
                      <w:r>
                        <w:rPr>
                          <w:rFonts w:ascii="Segoe UI Symbol"/>
                          <w:color w:val="231F20"/>
                          <w:spacing w:val="-3"/>
                          <w:sz w:val="16"/>
                        </w:rPr>
                        <w:t xml:space="preserve"> </w:t>
                      </w:r>
                      <w:r>
                        <w:rPr>
                          <w:rFonts w:ascii="Segoe UI Symbol"/>
                          <w:color w:val="231F20"/>
                          <w:sz w:val="16"/>
                        </w:rPr>
                        <w:t>&amp; Social</w:t>
                      </w:r>
                      <w:r>
                        <w:rPr>
                          <w:rFonts w:ascii="Segoe UI Symbol"/>
                          <w:color w:val="231F20"/>
                          <w:spacing w:val="-11"/>
                          <w:sz w:val="16"/>
                        </w:rPr>
                        <w:t xml:space="preserve"> </w:t>
                      </w:r>
                      <w:r>
                        <w:rPr>
                          <w:rFonts w:ascii="Segoe UI Symbol"/>
                          <w:color w:val="231F20"/>
                          <w:sz w:val="16"/>
                        </w:rPr>
                        <w:t>Media</w:t>
                      </w:r>
                    </w:p>
                  </w:txbxContent>
                </v:textbox>
                <w10:wrap type="topAndBottom" anchorx="page"/>
              </v:shape>
            </w:pict>
          </mc:Fallback>
        </mc:AlternateContent>
      </w:r>
      <w:r>
        <w:rPr>
          <w:noProof/>
        </w:rPr>
        <mc:AlternateContent>
          <mc:Choice Requires="wpg">
            <w:drawing>
              <wp:anchor distT="0" distB="0" distL="0" distR="0" simplePos="0" relativeHeight="487690240" behindDoc="1" locked="0" layoutInCell="1" allowOverlap="1" wp14:anchorId="3B41C51E" wp14:editId="52EB46C8">
                <wp:simplePos x="0" y="0"/>
                <wp:positionH relativeFrom="page">
                  <wp:posOffset>2257425</wp:posOffset>
                </wp:positionH>
                <wp:positionV relativeFrom="paragraph">
                  <wp:posOffset>167005</wp:posOffset>
                </wp:positionV>
                <wp:extent cx="2515870" cy="1249045"/>
                <wp:effectExtent l="0" t="0" r="0" b="0"/>
                <wp:wrapTopAndBottom/>
                <wp:docPr id="13" name="docshapegroup3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15870" cy="1249045"/>
                          <a:chOff x="3555" y="263"/>
                          <a:chExt cx="3962" cy="1967"/>
                        </a:xfrm>
                      </wpg:grpSpPr>
                      <wps:wsp>
                        <wps:cNvPr id="14" name="docshape329"/>
                        <wps:cNvSpPr>
                          <a:spLocks/>
                        </wps:cNvSpPr>
                        <wps:spPr bwMode="auto">
                          <a:xfrm>
                            <a:off x="5297" y="1353"/>
                            <a:ext cx="1359" cy="697"/>
                          </a:xfrm>
                          <a:custGeom>
                            <a:avLst/>
                            <a:gdLst>
                              <a:gd name="T0" fmla="+- 0 5298 5298"/>
                              <a:gd name="T1" fmla="*/ T0 w 1359"/>
                              <a:gd name="T2" fmla="+- 0 2050 1353"/>
                              <a:gd name="T3" fmla="*/ 2050 h 697"/>
                              <a:gd name="T4" fmla="+- 0 5394 5298"/>
                              <a:gd name="T5" fmla="*/ T4 w 1359"/>
                              <a:gd name="T6" fmla="+- 0 2048 1353"/>
                              <a:gd name="T7" fmla="*/ 2048 h 697"/>
                              <a:gd name="T8" fmla="+- 0 5488 5298"/>
                              <a:gd name="T9" fmla="*/ T8 w 1359"/>
                              <a:gd name="T10" fmla="+- 0 2042 1353"/>
                              <a:gd name="T11" fmla="*/ 2042 h 697"/>
                              <a:gd name="T12" fmla="+- 0 5581 5298"/>
                              <a:gd name="T13" fmla="*/ T12 w 1359"/>
                              <a:gd name="T14" fmla="+- 0 2033 1353"/>
                              <a:gd name="T15" fmla="*/ 2033 h 697"/>
                              <a:gd name="T16" fmla="+- 0 5671 5298"/>
                              <a:gd name="T17" fmla="*/ T16 w 1359"/>
                              <a:gd name="T18" fmla="+- 0 2021 1353"/>
                              <a:gd name="T19" fmla="*/ 2021 h 697"/>
                              <a:gd name="T20" fmla="+- 0 5758 5298"/>
                              <a:gd name="T21" fmla="*/ T20 w 1359"/>
                              <a:gd name="T22" fmla="+- 0 2005 1353"/>
                              <a:gd name="T23" fmla="*/ 2005 h 697"/>
                              <a:gd name="T24" fmla="+- 0 5843 5298"/>
                              <a:gd name="T25" fmla="*/ T24 w 1359"/>
                              <a:gd name="T26" fmla="+- 0 1986 1353"/>
                              <a:gd name="T27" fmla="*/ 1986 h 697"/>
                              <a:gd name="T28" fmla="+- 0 5925 5298"/>
                              <a:gd name="T29" fmla="*/ T28 w 1359"/>
                              <a:gd name="T30" fmla="+- 0 1964 1353"/>
                              <a:gd name="T31" fmla="*/ 1964 h 697"/>
                              <a:gd name="T32" fmla="+- 0 6004 5298"/>
                              <a:gd name="T33" fmla="*/ T32 w 1359"/>
                              <a:gd name="T34" fmla="+- 0 1939 1353"/>
                              <a:gd name="T35" fmla="*/ 1939 h 697"/>
                              <a:gd name="T36" fmla="+- 0 6080 5298"/>
                              <a:gd name="T37" fmla="*/ T36 w 1359"/>
                              <a:gd name="T38" fmla="+- 0 1911 1353"/>
                              <a:gd name="T39" fmla="*/ 1911 h 697"/>
                              <a:gd name="T40" fmla="+- 0 6152 5298"/>
                              <a:gd name="T41" fmla="*/ T40 w 1359"/>
                              <a:gd name="T42" fmla="+- 0 1881 1353"/>
                              <a:gd name="T43" fmla="*/ 1881 h 697"/>
                              <a:gd name="T44" fmla="+- 0 6220 5298"/>
                              <a:gd name="T45" fmla="*/ T44 w 1359"/>
                              <a:gd name="T46" fmla="+- 0 1848 1353"/>
                              <a:gd name="T47" fmla="*/ 1848 h 697"/>
                              <a:gd name="T48" fmla="+- 0 6284 5298"/>
                              <a:gd name="T49" fmla="*/ T48 w 1359"/>
                              <a:gd name="T50" fmla="+- 0 1812 1353"/>
                              <a:gd name="T51" fmla="*/ 1812 h 697"/>
                              <a:gd name="T52" fmla="+- 0 6344 5298"/>
                              <a:gd name="T53" fmla="*/ T52 w 1359"/>
                              <a:gd name="T54" fmla="+- 0 1775 1353"/>
                              <a:gd name="T55" fmla="*/ 1775 h 697"/>
                              <a:gd name="T56" fmla="+- 0 6399 5298"/>
                              <a:gd name="T57" fmla="*/ T56 w 1359"/>
                              <a:gd name="T58" fmla="+- 0 1735 1353"/>
                              <a:gd name="T59" fmla="*/ 1735 h 697"/>
                              <a:gd name="T60" fmla="+- 0 6450 5298"/>
                              <a:gd name="T61" fmla="*/ T60 w 1359"/>
                              <a:gd name="T62" fmla="+- 0 1693 1353"/>
                              <a:gd name="T63" fmla="*/ 1693 h 697"/>
                              <a:gd name="T64" fmla="+- 0 6496 5298"/>
                              <a:gd name="T65" fmla="*/ T64 w 1359"/>
                              <a:gd name="T66" fmla="+- 0 1649 1353"/>
                              <a:gd name="T67" fmla="*/ 1649 h 697"/>
                              <a:gd name="T68" fmla="+- 0 6537 5298"/>
                              <a:gd name="T69" fmla="*/ T68 w 1359"/>
                              <a:gd name="T70" fmla="+- 0 1604 1353"/>
                              <a:gd name="T71" fmla="*/ 1604 h 697"/>
                              <a:gd name="T72" fmla="+- 0 6602 5298"/>
                              <a:gd name="T73" fmla="*/ T72 w 1359"/>
                              <a:gd name="T74" fmla="+- 0 1508 1353"/>
                              <a:gd name="T75" fmla="*/ 1508 h 697"/>
                              <a:gd name="T76" fmla="+- 0 6645 5298"/>
                              <a:gd name="T77" fmla="*/ T76 w 1359"/>
                              <a:gd name="T78" fmla="+- 0 1406 1353"/>
                              <a:gd name="T79" fmla="*/ 1406 h 697"/>
                              <a:gd name="T80" fmla="+- 0 6657 5298"/>
                              <a:gd name="T81" fmla="*/ T80 w 1359"/>
                              <a:gd name="T82" fmla="+- 0 1353 1353"/>
                              <a:gd name="T83" fmla="*/ 1353 h 69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1359" h="697">
                                <a:moveTo>
                                  <a:pt x="0" y="697"/>
                                </a:moveTo>
                                <a:lnTo>
                                  <a:pt x="96" y="695"/>
                                </a:lnTo>
                                <a:lnTo>
                                  <a:pt x="190" y="689"/>
                                </a:lnTo>
                                <a:lnTo>
                                  <a:pt x="283" y="680"/>
                                </a:lnTo>
                                <a:lnTo>
                                  <a:pt x="373" y="668"/>
                                </a:lnTo>
                                <a:lnTo>
                                  <a:pt x="460" y="652"/>
                                </a:lnTo>
                                <a:lnTo>
                                  <a:pt x="545" y="633"/>
                                </a:lnTo>
                                <a:lnTo>
                                  <a:pt x="627" y="611"/>
                                </a:lnTo>
                                <a:lnTo>
                                  <a:pt x="706" y="586"/>
                                </a:lnTo>
                                <a:lnTo>
                                  <a:pt x="782" y="558"/>
                                </a:lnTo>
                                <a:lnTo>
                                  <a:pt x="854" y="528"/>
                                </a:lnTo>
                                <a:lnTo>
                                  <a:pt x="922" y="495"/>
                                </a:lnTo>
                                <a:lnTo>
                                  <a:pt x="986" y="459"/>
                                </a:lnTo>
                                <a:lnTo>
                                  <a:pt x="1046" y="422"/>
                                </a:lnTo>
                                <a:lnTo>
                                  <a:pt x="1101" y="382"/>
                                </a:lnTo>
                                <a:lnTo>
                                  <a:pt x="1152" y="340"/>
                                </a:lnTo>
                                <a:lnTo>
                                  <a:pt x="1198" y="296"/>
                                </a:lnTo>
                                <a:lnTo>
                                  <a:pt x="1239" y="251"/>
                                </a:lnTo>
                                <a:lnTo>
                                  <a:pt x="1304" y="155"/>
                                </a:lnTo>
                                <a:lnTo>
                                  <a:pt x="1347" y="53"/>
                                </a:lnTo>
                                <a:lnTo>
                                  <a:pt x="1359" y="0"/>
                                </a:lnTo>
                              </a:path>
                            </a:pathLst>
                          </a:custGeom>
                          <a:noFill/>
                          <a:ln w="9525">
                            <a:solidFill>
                              <a:srgbClr val="231F2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 name="docshape330"/>
                        <wps:cNvSpPr>
                          <a:spLocks/>
                        </wps:cNvSpPr>
                        <wps:spPr bwMode="auto">
                          <a:xfrm>
                            <a:off x="6613" y="1281"/>
                            <a:ext cx="86" cy="89"/>
                          </a:xfrm>
                          <a:custGeom>
                            <a:avLst/>
                            <a:gdLst>
                              <a:gd name="T0" fmla="+- 0 6663 6613"/>
                              <a:gd name="T1" fmla="*/ T0 w 86"/>
                              <a:gd name="T2" fmla="+- 0 1281 1281"/>
                              <a:gd name="T3" fmla="*/ 1281 h 89"/>
                              <a:gd name="T4" fmla="+- 0 6613 6613"/>
                              <a:gd name="T5" fmla="*/ T4 w 86"/>
                              <a:gd name="T6" fmla="+- 0 1363 1281"/>
                              <a:gd name="T7" fmla="*/ 1363 h 89"/>
                              <a:gd name="T8" fmla="+- 0 6698 6613"/>
                              <a:gd name="T9" fmla="*/ T8 w 86"/>
                              <a:gd name="T10" fmla="+- 0 1370 1281"/>
                              <a:gd name="T11" fmla="*/ 1370 h 89"/>
                              <a:gd name="T12" fmla="+- 0 6663 6613"/>
                              <a:gd name="T13" fmla="*/ T12 w 86"/>
                              <a:gd name="T14" fmla="+- 0 1281 1281"/>
                              <a:gd name="T15" fmla="*/ 1281 h 89"/>
                            </a:gdLst>
                            <a:ahLst/>
                            <a:cxnLst>
                              <a:cxn ang="0">
                                <a:pos x="T1" y="T3"/>
                              </a:cxn>
                              <a:cxn ang="0">
                                <a:pos x="T5" y="T7"/>
                              </a:cxn>
                              <a:cxn ang="0">
                                <a:pos x="T9" y="T11"/>
                              </a:cxn>
                              <a:cxn ang="0">
                                <a:pos x="T13" y="T15"/>
                              </a:cxn>
                            </a:cxnLst>
                            <a:rect l="0" t="0" r="r" b="b"/>
                            <a:pathLst>
                              <a:path w="86" h="89">
                                <a:moveTo>
                                  <a:pt x="50" y="0"/>
                                </a:moveTo>
                                <a:lnTo>
                                  <a:pt x="0" y="82"/>
                                </a:lnTo>
                                <a:lnTo>
                                  <a:pt x="85" y="89"/>
                                </a:lnTo>
                                <a:lnTo>
                                  <a:pt x="50" y="0"/>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 name="docshape331"/>
                        <wps:cNvSpPr txBox="1">
                          <a:spLocks noChangeArrowheads="1"/>
                        </wps:cNvSpPr>
                        <wps:spPr bwMode="auto">
                          <a:xfrm>
                            <a:off x="3560" y="1484"/>
                            <a:ext cx="1740" cy="741"/>
                          </a:xfrm>
                          <a:prstGeom prst="rect">
                            <a:avLst/>
                          </a:prstGeom>
                          <a:noFill/>
                          <a:ln w="6350">
                            <a:solidFill>
                              <a:srgbClr val="231F2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2AE87ABA" w14:textId="77777777" w:rsidR="00AE0598" w:rsidRDefault="0069255A">
                              <w:pPr>
                                <w:spacing w:before="145" w:line="216" w:lineRule="auto"/>
                                <w:ind w:left="332" w:hanging="64"/>
                                <w:rPr>
                                  <w:rFonts w:ascii="Segoe UI Symbol"/>
                                  <w:sz w:val="16"/>
                                </w:rPr>
                              </w:pPr>
                              <w:r>
                                <w:rPr>
                                  <w:rFonts w:ascii="Segoe UI Symbol"/>
                                  <w:color w:val="231F20"/>
                                  <w:sz w:val="16"/>
                                </w:rPr>
                                <w:t>Tourism,</w:t>
                              </w:r>
                              <w:r>
                                <w:rPr>
                                  <w:rFonts w:ascii="Segoe UI Symbol"/>
                                  <w:color w:val="231F20"/>
                                  <w:spacing w:val="-10"/>
                                  <w:sz w:val="16"/>
                                </w:rPr>
                                <w:t xml:space="preserve"> </w:t>
                              </w:r>
                              <w:r>
                                <w:rPr>
                                  <w:rFonts w:ascii="Segoe UI Symbol"/>
                                  <w:color w:val="231F20"/>
                                  <w:sz w:val="16"/>
                                </w:rPr>
                                <w:t xml:space="preserve">Media, </w:t>
                              </w:r>
                              <w:r>
                                <w:rPr>
                                  <w:rFonts w:ascii="Segoe UI Symbol"/>
                                  <w:color w:val="231F20"/>
                                  <w:spacing w:val="-2"/>
                                  <w:sz w:val="16"/>
                                </w:rPr>
                                <w:t>Manufacturers</w:t>
                              </w:r>
                            </w:p>
                          </w:txbxContent>
                        </wps:txbx>
                        <wps:bodyPr rot="0" vert="horz" wrap="square" lIns="0" tIns="0" rIns="0" bIns="0" anchor="t" anchorCtr="0" upright="1">
                          <a:noAutofit/>
                        </wps:bodyPr>
                      </wps:wsp>
                      <wps:wsp>
                        <wps:cNvPr id="17" name="docshape332"/>
                        <wps:cNvSpPr txBox="1">
                          <a:spLocks noChangeArrowheads="1"/>
                        </wps:cNvSpPr>
                        <wps:spPr bwMode="auto">
                          <a:xfrm>
                            <a:off x="3560" y="438"/>
                            <a:ext cx="1740" cy="1046"/>
                          </a:xfrm>
                          <a:prstGeom prst="rect">
                            <a:avLst/>
                          </a:prstGeom>
                          <a:noFill/>
                          <a:ln w="6350">
                            <a:solidFill>
                              <a:srgbClr val="231F2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581AE4D0" w14:textId="77777777" w:rsidR="00AE0598" w:rsidRDefault="00AE0598">
                              <w:pPr>
                                <w:spacing w:before="9"/>
                                <w:rPr>
                                  <w:rFonts w:ascii="Trebuchet MS"/>
                                  <w:sz w:val="18"/>
                                </w:rPr>
                              </w:pPr>
                            </w:p>
                            <w:p w14:paraId="1AC8ECA9" w14:textId="77777777" w:rsidR="00AE0598" w:rsidRDefault="0069255A">
                              <w:pPr>
                                <w:spacing w:line="216" w:lineRule="auto"/>
                                <w:ind w:left="341" w:right="381" w:firstLine="117"/>
                                <w:jc w:val="both"/>
                                <w:rPr>
                                  <w:rFonts w:ascii="Segoe UI Symbol"/>
                                  <w:sz w:val="16"/>
                                </w:rPr>
                              </w:pPr>
                              <w:r>
                                <w:rPr>
                                  <w:rFonts w:ascii="Segoe UI Symbol"/>
                                  <w:color w:val="231F20"/>
                                  <w:sz w:val="16"/>
                                </w:rPr>
                                <w:t>Spatial</w:t>
                              </w:r>
                              <w:r>
                                <w:rPr>
                                  <w:rFonts w:ascii="Segoe UI Symbol"/>
                                  <w:color w:val="231F20"/>
                                  <w:spacing w:val="-3"/>
                                  <w:sz w:val="16"/>
                                </w:rPr>
                                <w:t xml:space="preserve"> </w:t>
                              </w:r>
                              <w:r>
                                <w:rPr>
                                  <w:rFonts w:ascii="Segoe UI Symbol"/>
                                  <w:color w:val="231F20"/>
                                  <w:sz w:val="16"/>
                                </w:rPr>
                                <w:t xml:space="preserve">and </w:t>
                              </w:r>
                              <w:r>
                                <w:rPr>
                                  <w:rFonts w:ascii="Segoe UI Symbol"/>
                                  <w:color w:val="231F20"/>
                                  <w:spacing w:val="-2"/>
                                  <w:sz w:val="16"/>
                                </w:rPr>
                                <w:t>Institutional Dissemination</w:t>
                              </w:r>
                            </w:p>
                          </w:txbxContent>
                        </wps:txbx>
                        <wps:bodyPr rot="0" vert="horz" wrap="square" lIns="0" tIns="0" rIns="0" bIns="0" anchor="t" anchorCtr="0" upright="1">
                          <a:noAutofit/>
                        </wps:bodyPr>
                      </wps:wsp>
                      <wps:wsp>
                        <wps:cNvPr id="18" name="docshape333"/>
                        <wps:cNvSpPr txBox="1">
                          <a:spLocks noChangeArrowheads="1"/>
                        </wps:cNvSpPr>
                        <wps:spPr bwMode="auto">
                          <a:xfrm>
                            <a:off x="5980" y="268"/>
                            <a:ext cx="1531" cy="1000"/>
                          </a:xfrm>
                          <a:prstGeom prst="rect">
                            <a:avLst/>
                          </a:prstGeom>
                          <a:noFill/>
                          <a:ln w="6350">
                            <a:solidFill>
                              <a:srgbClr val="231F2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119197A6" w14:textId="77777777" w:rsidR="00AE0598" w:rsidRDefault="00AE0598">
                              <w:pPr>
                                <w:rPr>
                                  <w:rFonts w:ascii="Trebuchet MS"/>
                                  <w:sz w:val="25"/>
                                </w:rPr>
                              </w:pPr>
                            </w:p>
                            <w:p w14:paraId="197376BA" w14:textId="77777777" w:rsidR="00AE0598" w:rsidRDefault="0069255A">
                              <w:pPr>
                                <w:spacing w:line="216" w:lineRule="auto"/>
                                <w:ind w:left="350" w:firstLine="112"/>
                                <w:rPr>
                                  <w:rFonts w:ascii="Segoe UI Symbol"/>
                                  <w:sz w:val="16"/>
                                </w:rPr>
                              </w:pPr>
                              <w:r>
                                <w:rPr>
                                  <w:rFonts w:ascii="Segoe UI Symbol"/>
                                  <w:color w:val="231F20"/>
                                  <w:spacing w:val="-2"/>
                                  <w:sz w:val="16"/>
                                </w:rPr>
                                <w:t>Sporting Institutions</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B41C51E" id="docshapegroup328" o:spid="_x0000_s1136" style="position:absolute;margin-left:177.75pt;margin-top:13.15pt;width:198.1pt;height:98.35pt;z-index:-15626240;mso-wrap-distance-left:0;mso-wrap-distance-right:0;mso-position-horizontal-relative:page;mso-position-vertical-relative:text" coordorigin="3555,263" coordsize="3962,19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">
                <v:shape id="docshape329" o:spid="_x0000_s1137" style="position:absolute;left:5297;top:1353;width:1359;height:697;visibility:visible;mso-wrap-style:square;v-text-anchor:top" coordsize="1359,6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" path="m,697r96,-2l190,689r93,-9l373,668r87,-16l545,633r82,-22l706,586r76,-28l854,528r68,-33l986,459r60,-37l1101,382r51,-42l1198,296r41,-45l1304,155,1347,53,1359,e" filled="f" strokecolor="#231f20">
                  <v:path arrowok="t" o:connecttype="custom" o:connectlocs="0,2050;96,2048;190,2042;283,2033;373,2021;460,2005;545,1986;627,1964;706,1939;782,1911;854,1881;922,1848;986,1812;1046,1775;1101,1735;1152,1693;1198,1649;1239,1604;1304,1508;1347,1406;1359,1353" o:connectangles="0,0,0,0,0,0,0,0,0,0,0,0,0,0,0,0,0,0,0,0,0"/>
                </v:shape>
                <v:shape id="docshape330" o:spid="_x0000_s1138" style="position:absolute;left:6613;top:1281;width:86;height:89;visibility:visible;mso-wrap-style:square;v-text-anchor:top" coordsize="86,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" path="m50,l,82r85,7l50,xe" fillcolor="#231f20" stroked="f">
                  <v:path arrowok="t" o:connecttype="custom" o:connectlocs="50,1281;0,1363;85,1370;50,1281" o:connectangles="0,0,0,0"/>
                </v:shape>
                <v:shape id="docshape331" o:spid="_x0000_s1139" type="#_x0000_t202" style="position:absolute;left:3560;top:1484;width:1740;height:7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" filled="f" strokecolor="#231f20" strokeweight=".5pt">
                  <v:textbox inset="0,0,0,0">
                    <w:txbxContent>
                      <w:p w14:paraId="2AE87ABA" w14:textId="77777777" w:rsidR="00AE0598" w:rsidRDefault="0069255A">
                        <w:pPr>
                          <w:spacing w:before="145" w:line="216" w:lineRule="auto"/>
                          <w:ind w:left="332" w:hanging="64"/>
                          <w:rPr>
                            <w:rFonts w:ascii="Segoe UI Symbol"/>
                            <w:sz w:val="16"/>
                          </w:rPr>
                        </w:pPr>
                        <w:r>
                          <w:rPr>
                            <w:rFonts w:ascii="Segoe UI Symbol"/>
                            <w:color w:val="231F20"/>
                            <w:sz w:val="16"/>
                          </w:rPr>
                          <w:t>Tourism,</w:t>
                        </w:r>
                        <w:r>
                          <w:rPr>
                            <w:rFonts w:ascii="Segoe UI Symbol"/>
                            <w:color w:val="231F20"/>
                            <w:spacing w:val="-10"/>
                            <w:sz w:val="16"/>
                          </w:rPr>
                          <w:t xml:space="preserve"> </w:t>
                        </w:r>
                        <w:r>
                          <w:rPr>
                            <w:rFonts w:ascii="Segoe UI Symbol"/>
                            <w:color w:val="231F20"/>
                            <w:sz w:val="16"/>
                          </w:rPr>
                          <w:t xml:space="preserve">Media, </w:t>
                        </w:r>
                        <w:r>
                          <w:rPr>
                            <w:rFonts w:ascii="Segoe UI Symbol"/>
                            <w:color w:val="231F20"/>
                            <w:spacing w:val="-2"/>
                            <w:sz w:val="16"/>
                          </w:rPr>
                          <w:t>Manufacturers</w:t>
                        </w:r>
                      </w:p>
                    </w:txbxContent>
                  </v:textbox>
                </v:shape>
                <v:shape id="docshape332" o:spid="_x0000_s1140" type="#_x0000_t202" style="position:absolute;left:3560;top:438;width:1740;height:10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" filled="f" strokecolor="#231f20" strokeweight=".5pt">
                  <v:textbox inset="0,0,0,0">
                    <w:txbxContent>
                      <w:p w14:paraId="581AE4D0" w14:textId="77777777" w:rsidR="00AE0598" w:rsidRDefault="00AE0598">
                        <w:pPr>
                          <w:spacing w:before="9"/>
                          <w:rPr>
                            <w:rFonts w:ascii="Trebuchet MS"/>
                            <w:sz w:val="18"/>
                          </w:rPr>
                        </w:pPr>
                      </w:p>
                      <w:p w14:paraId="1AC8ECA9" w14:textId="77777777" w:rsidR="00AE0598" w:rsidRDefault="0069255A">
                        <w:pPr>
                          <w:spacing w:line="216" w:lineRule="auto"/>
                          <w:ind w:left="341" w:right="381" w:firstLine="117"/>
                          <w:jc w:val="both"/>
                          <w:rPr>
                            <w:rFonts w:ascii="Segoe UI Symbol"/>
                            <w:sz w:val="16"/>
                          </w:rPr>
                        </w:pPr>
                        <w:r>
                          <w:rPr>
                            <w:rFonts w:ascii="Segoe UI Symbol"/>
                            <w:color w:val="231F20"/>
                            <w:sz w:val="16"/>
                          </w:rPr>
                          <w:t>Spatial</w:t>
                        </w:r>
                        <w:r>
                          <w:rPr>
                            <w:rFonts w:ascii="Segoe UI Symbol"/>
                            <w:color w:val="231F20"/>
                            <w:spacing w:val="-3"/>
                            <w:sz w:val="16"/>
                          </w:rPr>
                          <w:t xml:space="preserve"> </w:t>
                        </w:r>
                        <w:r>
                          <w:rPr>
                            <w:rFonts w:ascii="Segoe UI Symbol"/>
                            <w:color w:val="231F20"/>
                            <w:sz w:val="16"/>
                          </w:rPr>
                          <w:t xml:space="preserve">and </w:t>
                        </w:r>
                        <w:r>
                          <w:rPr>
                            <w:rFonts w:ascii="Segoe UI Symbol"/>
                            <w:color w:val="231F20"/>
                            <w:spacing w:val="-2"/>
                            <w:sz w:val="16"/>
                          </w:rPr>
                          <w:t>Institutional Dissemination</w:t>
                        </w:r>
                      </w:p>
                    </w:txbxContent>
                  </v:textbox>
                </v:shape>
                <v:shape id="docshape333" o:spid="_x0000_s1141" type="#_x0000_t202" style="position:absolute;left:5980;top:268;width:1531;height:1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" filled="f" strokecolor="#231f20" strokeweight=".5pt">
                  <v:textbox inset="0,0,0,0">
                    <w:txbxContent>
                      <w:p w14:paraId="119197A6" w14:textId="77777777" w:rsidR="00AE0598" w:rsidRDefault="00AE0598">
                        <w:pPr>
                          <w:rPr>
                            <w:rFonts w:ascii="Trebuchet MS"/>
                            <w:sz w:val="25"/>
                          </w:rPr>
                        </w:pPr>
                      </w:p>
                      <w:p w14:paraId="197376BA" w14:textId="77777777" w:rsidR="00AE0598" w:rsidRDefault="0069255A">
                        <w:pPr>
                          <w:spacing w:line="216" w:lineRule="auto"/>
                          <w:ind w:left="350" w:firstLine="112"/>
                          <w:rPr>
                            <w:rFonts w:ascii="Segoe UI Symbol"/>
                            <w:sz w:val="16"/>
                          </w:rPr>
                        </w:pPr>
                        <w:r>
                          <w:rPr>
                            <w:rFonts w:ascii="Segoe UI Symbol"/>
                            <w:color w:val="231F20"/>
                            <w:spacing w:val="-2"/>
                            <w:sz w:val="16"/>
                          </w:rPr>
                          <w:t>Sporting Institutions</w:t>
                        </w:r>
                      </w:p>
                    </w:txbxContent>
                  </v:textbox>
                </v:shape>
                <w10:wrap type="topAndBottom" anchorx="page"/>
              </v:group>
            </w:pict>
          </mc:Fallback>
        </mc:AlternateContent>
      </w:r>
    </w:p>
    <w:p w14:paraId="10401CEC" w14:textId="77777777" w:rsidR="00AE0598" w:rsidRDefault="00AE0598">
      <w:pPr>
        <w:pStyle w:val="Corpodetexto"/>
        <w:spacing w:before="9"/>
        <w:rPr>
          <w:rFonts w:ascii="Trebuchet MS"/>
          <w:sz w:val="11"/>
        </w:rPr>
      </w:pPr>
    </w:p>
    <w:p w14:paraId="06A25557" w14:textId="02C85C5A" w:rsidR="00AE0598" w:rsidRDefault="0069255A">
      <w:pPr>
        <w:spacing w:before="100"/>
        <w:ind w:left="110"/>
        <w:jc w:val="both"/>
        <w:rPr>
          <w:rFonts w:ascii="Trebuchet MS"/>
          <w:sz w:val="14"/>
        </w:rPr>
      </w:pPr>
      <w:r>
        <w:rPr>
          <w:noProof/>
        </w:rPr>
        <mc:AlternateContent>
          <mc:Choice Requires="wpg">
            <w:drawing>
              <wp:anchor distT="0" distB="0" distL="114300" distR="114300" simplePos="0" relativeHeight="15835136" behindDoc="0" locked="0" layoutInCell="1" allowOverlap="1" wp14:anchorId="6533D5BB" wp14:editId="0A51E4EF">
                <wp:simplePos x="0" y="0"/>
                <wp:positionH relativeFrom="page">
                  <wp:posOffset>1193165</wp:posOffset>
                </wp:positionH>
                <wp:positionV relativeFrom="paragraph">
                  <wp:posOffset>-720725</wp:posOffset>
                </wp:positionV>
                <wp:extent cx="1068070" cy="519430"/>
                <wp:effectExtent l="0" t="0" r="0" b="0"/>
                <wp:wrapNone/>
                <wp:docPr id="10" name="docshapegroup3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68070" cy="519430"/>
                          <a:chOff x="1879" y="-1135"/>
                          <a:chExt cx="1682" cy="818"/>
                        </a:xfrm>
                      </wpg:grpSpPr>
                      <wps:wsp>
                        <wps:cNvPr id="11" name="docshape335"/>
                        <wps:cNvSpPr>
                          <a:spLocks/>
                        </wps:cNvSpPr>
                        <wps:spPr bwMode="auto">
                          <a:xfrm>
                            <a:off x="1886" y="-1128"/>
                            <a:ext cx="1589" cy="768"/>
                          </a:xfrm>
                          <a:custGeom>
                            <a:avLst/>
                            <a:gdLst>
                              <a:gd name="T0" fmla="+- 0 3475 1886"/>
                              <a:gd name="T1" fmla="*/ T0 w 1589"/>
                              <a:gd name="T2" fmla="+- 0 -361 -1128"/>
                              <a:gd name="T3" fmla="*/ -361 h 768"/>
                              <a:gd name="T4" fmla="+- 0 3332 1886"/>
                              <a:gd name="T5" fmla="*/ T4 w 1589"/>
                              <a:gd name="T6" fmla="+- 0 -364 -1128"/>
                              <a:gd name="T7" fmla="*/ -364 h 768"/>
                              <a:gd name="T8" fmla="+- 0 3232 1886"/>
                              <a:gd name="T9" fmla="*/ T8 w 1589"/>
                              <a:gd name="T10" fmla="+- 0 -371 -1128"/>
                              <a:gd name="T11" fmla="*/ -371 h 768"/>
                              <a:gd name="T12" fmla="+- 0 3133 1886"/>
                              <a:gd name="T13" fmla="*/ T12 w 1589"/>
                              <a:gd name="T14" fmla="+- 0 -380 -1128"/>
                              <a:gd name="T15" fmla="*/ -380 h 768"/>
                              <a:gd name="T16" fmla="+- 0 3037 1886"/>
                              <a:gd name="T17" fmla="*/ T16 w 1589"/>
                              <a:gd name="T18" fmla="+- 0 -393 -1128"/>
                              <a:gd name="T19" fmla="*/ -393 h 768"/>
                              <a:gd name="T20" fmla="+- 0 2943 1886"/>
                              <a:gd name="T21" fmla="*/ T20 w 1589"/>
                              <a:gd name="T22" fmla="+- 0 -408 -1128"/>
                              <a:gd name="T23" fmla="*/ -408 h 768"/>
                              <a:gd name="T24" fmla="+- 0 2852 1886"/>
                              <a:gd name="T25" fmla="*/ T24 w 1589"/>
                              <a:gd name="T26" fmla="+- 0 -425 -1128"/>
                              <a:gd name="T27" fmla="*/ -425 h 768"/>
                              <a:gd name="T28" fmla="+- 0 2763 1886"/>
                              <a:gd name="T29" fmla="*/ T28 w 1589"/>
                              <a:gd name="T30" fmla="+- 0 -445 -1128"/>
                              <a:gd name="T31" fmla="*/ -445 h 768"/>
                              <a:gd name="T32" fmla="+- 0 2678 1886"/>
                              <a:gd name="T33" fmla="*/ T32 w 1589"/>
                              <a:gd name="T34" fmla="+- 0 -468 -1128"/>
                              <a:gd name="T35" fmla="*/ -468 h 768"/>
                              <a:gd name="T36" fmla="+- 0 2596 1886"/>
                              <a:gd name="T37" fmla="*/ T36 w 1589"/>
                              <a:gd name="T38" fmla="+- 0 -493 -1128"/>
                              <a:gd name="T39" fmla="*/ -493 h 768"/>
                              <a:gd name="T40" fmla="+- 0 2517 1886"/>
                              <a:gd name="T41" fmla="*/ T40 w 1589"/>
                              <a:gd name="T42" fmla="+- 0 -520 -1128"/>
                              <a:gd name="T43" fmla="*/ -520 h 768"/>
                              <a:gd name="T44" fmla="+- 0 2443 1886"/>
                              <a:gd name="T45" fmla="*/ T44 w 1589"/>
                              <a:gd name="T46" fmla="+- 0 -549 -1128"/>
                              <a:gd name="T47" fmla="*/ -549 h 768"/>
                              <a:gd name="T48" fmla="+- 0 2371 1886"/>
                              <a:gd name="T49" fmla="*/ T48 w 1589"/>
                              <a:gd name="T50" fmla="+- 0 -580 -1128"/>
                              <a:gd name="T51" fmla="*/ -580 h 768"/>
                              <a:gd name="T52" fmla="+- 0 2304 1886"/>
                              <a:gd name="T53" fmla="*/ T52 w 1589"/>
                              <a:gd name="T54" fmla="+- 0 -613 -1128"/>
                              <a:gd name="T55" fmla="*/ -613 h 768"/>
                              <a:gd name="T56" fmla="+- 0 2242 1886"/>
                              <a:gd name="T57" fmla="*/ T56 w 1589"/>
                              <a:gd name="T58" fmla="+- 0 -648 -1128"/>
                              <a:gd name="T59" fmla="*/ -648 h 768"/>
                              <a:gd name="T60" fmla="+- 0 2183 1886"/>
                              <a:gd name="T61" fmla="*/ T60 w 1589"/>
                              <a:gd name="T62" fmla="+- 0 -685 -1128"/>
                              <a:gd name="T63" fmla="*/ -685 h 768"/>
                              <a:gd name="T64" fmla="+- 0 2129 1886"/>
                              <a:gd name="T65" fmla="*/ T64 w 1589"/>
                              <a:gd name="T66" fmla="+- 0 -723 -1128"/>
                              <a:gd name="T67" fmla="*/ -723 h 768"/>
                              <a:gd name="T68" fmla="+- 0 2081 1886"/>
                              <a:gd name="T69" fmla="*/ T68 w 1589"/>
                              <a:gd name="T70" fmla="+- 0 -763 -1128"/>
                              <a:gd name="T71" fmla="*/ -763 h 768"/>
                              <a:gd name="T72" fmla="+- 0 2037 1886"/>
                              <a:gd name="T73" fmla="*/ T72 w 1589"/>
                              <a:gd name="T74" fmla="+- 0 -804 -1128"/>
                              <a:gd name="T75" fmla="*/ -804 h 768"/>
                              <a:gd name="T76" fmla="+- 0 1965 1886"/>
                              <a:gd name="T77" fmla="*/ T76 w 1589"/>
                              <a:gd name="T78" fmla="+- 0 -891 -1128"/>
                              <a:gd name="T79" fmla="*/ -891 h 768"/>
                              <a:gd name="T80" fmla="+- 0 1915 1886"/>
                              <a:gd name="T81" fmla="*/ T80 w 1589"/>
                              <a:gd name="T82" fmla="+- 0 -983 -1128"/>
                              <a:gd name="T83" fmla="*/ -983 h 768"/>
                              <a:gd name="T84" fmla="+- 0 1890 1886"/>
                              <a:gd name="T85" fmla="*/ T84 w 1589"/>
                              <a:gd name="T86" fmla="+- 0 -1079 -1128"/>
                              <a:gd name="T87" fmla="*/ -1079 h 768"/>
                              <a:gd name="T88" fmla="+- 0 1886 1886"/>
                              <a:gd name="T89" fmla="*/ T88 w 1589"/>
                              <a:gd name="T90" fmla="+- 0 -1128 -1128"/>
                              <a:gd name="T91" fmla="*/ -1128 h 76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Lst>
                            <a:rect l="0" t="0" r="r" b="b"/>
                            <a:pathLst>
                              <a:path w="1589" h="768">
                                <a:moveTo>
                                  <a:pt x="1589" y="767"/>
                                </a:moveTo>
                                <a:lnTo>
                                  <a:pt x="1446" y="764"/>
                                </a:lnTo>
                                <a:lnTo>
                                  <a:pt x="1346" y="757"/>
                                </a:lnTo>
                                <a:lnTo>
                                  <a:pt x="1247" y="748"/>
                                </a:lnTo>
                                <a:lnTo>
                                  <a:pt x="1151" y="735"/>
                                </a:lnTo>
                                <a:lnTo>
                                  <a:pt x="1057" y="720"/>
                                </a:lnTo>
                                <a:lnTo>
                                  <a:pt x="966" y="703"/>
                                </a:lnTo>
                                <a:lnTo>
                                  <a:pt x="877" y="683"/>
                                </a:lnTo>
                                <a:lnTo>
                                  <a:pt x="792" y="660"/>
                                </a:lnTo>
                                <a:lnTo>
                                  <a:pt x="710" y="635"/>
                                </a:lnTo>
                                <a:lnTo>
                                  <a:pt x="631" y="608"/>
                                </a:lnTo>
                                <a:lnTo>
                                  <a:pt x="557" y="579"/>
                                </a:lnTo>
                                <a:lnTo>
                                  <a:pt x="485" y="548"/>
                                </a:lnTo>
                                <a:lnTo>
                                  <a:pt x="418" y="515"/>
                                </a:lnTo>
                                <a:lnTo>
                                  <a:pt x="356" y="480"/>
                                </a:lnTo>
                                <a:lnTo>
                                  <a:pt x="297" y="443"/>
                                </a:lnTo>
                                <a:lnTo>
                                  <a:pt x="243" y="405"/>
                                </a:lnTo>
                                <a:lnTo>
                                  <a:pt x="195" y="365"/>
                                </a:lnTo>
                                <a:lnTo>
                                  <a:pt x="151" y="324"/>
                                </a:lnTo>
                                <a:lnTo>
                                  <a:pt x="79" y="237"/>
                                </a:lnTo>
                                <a:lnTo>
                                  <a:pt x="29" y="145"/>
                                </a:lnTo>
                                <a:lnTo>
                                  <a:pt x="4" y="49"/>
                                </a:lnTo>
                                <a:lnTo>
                                  <a:pt x="0" y="0"/>
                                </a:lnTo>
                              </a:path>
                            </a:pathLst>
                          </a:custGeom>
                          <a:noFill/>
                          <a:ln w="9525">
                            <a:solidFill>
                              <a:srgbClr val="231F2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 name="docshape336"/>
                        <wps:cNvSpPr>
                          <a:spLocks/>
                        </wps:cNvSpPr>
                        <wps:spPr bwMode="auto">
                          <a:xfrm>
                            <a:off x="3474" y="-404"/>
                            <a:ext cx="86" cy="86"/>
                          </a:xfrm>
                          <a:custGeom>
                            <a:avLst/>
                            <a:gdLst>
                              <a:gd name="T0" fmla="+- 0 3475 3474"/>
                              <a:gd name="T1" fmla="*/ T0 w 86"/>
                              <a:gd name="T2" fmla="+- 0 -403 -403"/>
                              <a:gd name="T3" fmla="*/ -403 h 86"/>
                              <a:gd name="T4" fmla="+- 0 3474 3474"/>
                              <a:gd name="T5" fmla="*/ T4 w 86"/>
                              <a:gd name="T6" fmla="+- 0 -318 -403"/>
                              <a:gd name="T7" fmla="*/ -318 h 86"/>
                              <a:gd name="T8" fmla="+- 0 3560 3474"/>
                              <a:gd name="T9" fmla="*/ T8 w 86"/>
                              <a:gd name="T10" fmla="+- 0 -360 -403"/>
                              <a:gd name="T11" fmla="*/ -360 h 86"/>
                              <a:gd name="T12" fmla="+- 0 3475 3474"/>
                              <a:gd name="T13" fmla="*/ T12 w 86"/>
                              <a:gd name="T14" fmla="+- 0 -403 -403"/>
                              <a:gd name="T15" fmla="*/ -403 h 86"/>
                            </a:gdLst>
                            <a:ahLst/>
                            <a:cxnLst>
                              <a:cxn ang="0">
                                <a:pos x="T1" y="T3"/>
                              </a:cxn>
                              <a:cxn ang="0">
                                <a:pos x="T5" y="T7"/>
                              </a:cxn>
                              <a:cxn ang="0">
                                <a:pos x="T9" y="T11"/>
                              </a:cxn>
                              <a:cxn ang="0">
                                <a:pos x="T13" y="T15"/>
                              </a:cxn>
                            </a:cxnLst>
                            <a:rect l="0" t="0" r="r" b="b"/>
                            <a:pathLst>
                              <a:path w="86" h="86">
                                <a:moveTo>
                                  <a:pt x="1" y="0"/>
                                </a:moveTo>
                                <a:lnTo>
                                  <a:pt x="0" y="85"/>
                                </a:lnTo>
                                <a:lnTo>
                                  <a:pt x="86" y="43"/>
                                </a:lnTo>
                                <a:lnTo>
                                  <a:pt x="1" y="0"/>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455418E" id="docshapegroup334" o:spid="_x0000_s1026" style="position:absolute;margin-left:93.95pt;margin-top:-56.75pt;width:84.1pt;height:40.9pt;z-index:15835136;mso-position-horizontal-relative:page" coordorigin="1879,-1135" coordsize="1682,8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">
                <v:shape id="docshape335" o:spid="_x0000_s1027" style="position:absolute;left:1886;top:-1128;width:1589;height:768;visibility:visible;mso-wrap-style:square;v-text-anchor:top" coordsize="1589,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" path="m1589,767r-143,-3l1346,757r-99,-9l1151,735r-94,-15l966,703,877,683,792,660,710,635,631,608,557,579,485,548,418,515,356,480,297,443,243,405,195,365,151,324,79,237,29,145,4,49,,e" filled="f" strokecolor="#231f20">
                  <v:path arrowok="t" o:connecttype="custom" o:connectlocs="1589,-361;1446,-364;1346,-371;1247,-380;1151,-393;1057,-408;966,-425;877,-445;792,-468;710,-493;631,-520;557,-549;485,-580;418,-613;356,-648;297,-685;243,-723;195,-763;151,-804;79,-891;29,-983;4,-1079;0,-1128" o:connectangles="0,0,0,0,0,0,0,0,0,0,0,0,0,0,0,0,0,0,0,0,0,0,0"/>
                </v:shape>
                <v:shape id="docshape336" o:spid="_x0000_s1028" style="position:absolute;left:3474;top:-404;width:86;height:86;visibility:visible;mso-wrap-style:square;v-text-anchor:top" coordsize="86,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" path="m1,l,85,86,43,1,xe" fillcolor="#231f20" stroked="f">
                  <v:path arrowok="t" o:connecttype="custom" o:connectlocs="1,-403;0,-318;86,-360;1,-403" o:connectangles="0,0,0,0"/>
                </v:shape>
                <w10:wrap anchorx="page"/>
              </v:group>
            </w:pict>
          </mc:Fallback>
        </mc:AlternateContent>
      </w:r>
      <w:r>
        <w:rPr>
          <w:noProof/>
        </w:rPr>
        <mc:AlternateContent>
          <mc:Choice Requires="wpg">
            <w:drawing>
              <wp:anchor distT="0" distB="0" distL="114300" distR="114300" simplePos="0" relativeHeight="15835648" behindDoc="0" locked="0" layoutInCell="1" allowOverlap="1" wp14:anchorId="109B4BDD" wp14:editId="6CF009FF">
                <wp:simplePos x="0" y="0"/>
                <wp:positionH relativeFrom="page">
                  <wp:posOffset>1818005</wp:posOffset>
                </wp:positionH>
                <wp:positionV relativeFrom="paragraph">
                  <wp:posOffset>-1050925</wp:posOffset>
                </wp:positionV>
                <wp:extent cx="430530" cy="76200"/>
                <wp:effectExtent l="0" t="0" r="0" b="0"/>
                <wp:wrapNone/>
                <wp:docPr id="7" name="docshapegroup3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0530" cy="76200"/>
                          <a:chOff x="2863" y="-1655"/>
                          <a:chExt cx="678" cy="120"/>
                        </a:xfrm>
                      </wpg:grpSpPr>
                      <wps:wsp>
                        <wps:cNvPr id="8" name="docshape338"/>
                        <wps:cNvSpPr>
                          <a:spLocks/>
                        </wps:cNvSpPr>
                        <wps:spPr bwMode="auto">
                          <a:xfrm>
                            <a:off x="2927" y="-1648"/>
                            <a:ext cx="605" cy="57"/>
                          </a:xfrm>
                          <a:custGeom>
                            <a:avLst/>
                            <a:gdLst>
                              <a:gd name="T0" fmla="+- 0 3532 2928"/>
                              <a:gd name="T1" fmla="*/ T0 w 605"/>
                              <a:gd name="T2" fmla="+- 0 -1648 -1648"/>
                              <a:gd name="T3" fmla="*/ -1648 h 57"/>
                              <a:gd name="T4" fmla="+- 0 3429 2928"/>
                              <a:gd name="T5" fmla="*/ T4 w 605"/>
                              <a:gd name="T6" fmla="+- 0 -1647 -1648"/>
                              <a:gd name="T7" fmla="*/ -1647 h 57"/>
                              <a:gd name="T8" fmla="+- 0 3333 2928"/>
                              <a:gd name="T9" fmla="*/ T8 w 605"/>
                              <a:gd name="T10" fmla="+- 0 -1645 -1648"/>
                              <a:gd name="T11" fmla="*/ -1645 h 57"/>
                              <a:gd name="T12" fmla="+- 0 3243 2928"/>
                              <a:gd name="T13" fmla="*/ T12 w 605"/>
                              <a:gd name="T14" fmla="+- 0 -1642 -1648"/>
                              <a:gd name="T15" fmla="*/ -1642 h 57"/>
                              <a:gd name="T16" fmla="+- 0 3162 2928"/>
                              <a:gd name="T17" fmla="*/ T16 w 605"/>
                              <a:gd name="T18" fmla="+- 0 -1637 -1648"/>
                              <a:gd name="T19" fmla="*/ -1637 h 57"/>
                              <a:gd name="T20" fmla="+- 0 3089 2928"/>
                              <a:gd name="T21" fmla="*/ T20 w 605"/>
                              <a:gd name="T22" fmla="+- 0 -1630 -1648"/>
                              <a:gd name="T23" fmla="*/ -1630 h 57"/>
                              <a:gd name="T24" fmla="+- 0 3026 2928"/>
                              <a:gd name="T25" fmla="*/ T24 w 605"/>
                              <a:gd name="T26" fmla="+- 0 -1620 -1648"/>
                              <a:gd name="T27" fmla="*/ -1620 h 57"/>
                              <a:gd name="T28" fmla="+- 0 2972 2928"/>
                              <a:gd name="T29" fmla="*/ T28 w 605"/>
                              <a:gd name="T30" fmla="+- 0 -1607 -1648"/>
                              <a:gd name="T31" fmla="*/ -1607 h 57"/>
                              <a:gd name="T32" fmla="+- 0 2928 2928"/>
                              <a:gd name="T33" fmla="*/ T32 w 605"/>
                              <a:gd name="T34" fmla="+- 0 -1591 -1648"/>
                              <a:gd name="T35" fmla="*/ -1591 h 5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605" h="57">
                                <a:moveTo>
                                  <a:pt x="604" y="0"/>
                                </a:moveTo>
                                <a:lnTo>
                                  <a:pt x="501" y="1"/>
                                </a:lnTo>
                                <a:lnTo>
                                  <a:pt x="405" y="3"/>
                                </a:lnTo>
                                <a:lnTo>
                                  <a:pt x="315" y="6"/>
                                </a:lnTo>
                                <a:lnTo>
                                  <a:pt x="234" y="11"/>
                                </a:lnTo>
                                <a:lnTo>
                                  <a:pt x="161" y="18"/>
                                </a:lnTo>
                                <a:lnTo>
                                  <a:pt x="98" y="28"/>
                                </a:lnTo>
                                <a:lnTo>
                                  <a:pt x="44" y="41"/>
                                </a:lnTo>
                                <a:lnTo>
                                  <a:pt x="0" y="57"/>
                                </a:lnTo>
                              </a:path>
                            </a:pathLst>
                          </a:custGeom>
                          <a:noFill/>
                          <a:ln w="9525">
                            <a:solidFill>
                              <a:srgbClr val="231F20"/>
                            </a:solidFill>
                            <a:prstDash val="sys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 name="docshape339"/>
                        <wps:cNvSpPr>
                          <a:spLocks/>
                        </wps:cNvSpPr>
                        <wps:spPr bwMode="auto">
                          <a:xfrm>
                            <a:off x="2862" y="-1626"/>
                            <a:ext cx="92" cy="90"/>
                          </a:xfrm>
                          <a:custGeom>
                            <a:avLst/>
                            <a:gdLst>
                              <a:gd name="T0" fmla="+- 0 2896 2863"/>
                              <a:gd name="T1" fmla="*/ T0 w 92"/>
                              <a:gd name="T2" fmla="+- 0 -1626 -1626"/>
                              <a:gd name="T3" fmla="*/ -1626 h 90"/>
                              <a:gd name="T4" fmla="+- 0 2863 2863"/>
                              <a:gd name="T5" fmla="*/ T4 w 92"/>
                              <a:gd name="T6" fmla="+- 0 -1536 -1626"/>
                              <a:gd name="T7" fmla="*/ -1536 h 90"/>
                              <a:gd name="T8" fmla="+- 0 2954 2863"/>
                              <a:gd name="T9" fmla="*/ T8 w 92"/>
                              <a:gd name="T10" fmla="+- 0 -1564 -1626"/>
                              <a:gd name="T11" fmla="*/ -1564 h 90"/>
                              <a:gd name="T12" fmla="+- 0 2896 2863"/>
                              <a:gd name="T13" fmla="*/ T12 w 92"/>
                              <a:gd name="T14" fmla="+- 0 -1626 -1626"/>
                              <a:gd name="T15" fmla="*/ -1626 h 90"/>
                            </a:gdLst>
                            <a:ahLst/>
                            <a:cxnLst>
                              <a:cxn ang="0">
                                <a:pos x="T1" y="T3"/>
                              </a:cxn>
                              <a:cxn ang="0">
                                <a:pos x="T5" y="T7"/>
                              </a:cxn>
                              <a:cxn ang="0">
                                <a:pos x="T9" y="T11"/>
                              </a:cxn>
                              <a:cxn ang="0">
                                <a:pos x="T13" y="T15"/>
                              </a:cxn>
                            </a:cxnLst>
                            <a:rect l="0" t="0" r="r" b="b"/>
                            <a:pathLst>
                              <a:path w="92" h="90">
                                <a:moveTo>
                                  <a:pt x="33" y="0"/>
                                </a:moveTo>
                                <a:lnTo>
                                  <a:pt x="0" y="90"/>
                                </a:lnTo>
                                <a:lnTo>
                                  <a:pt x="91" y="62"/>
                                </a:lnTo>
                                <a:lnTo>
                                  <a:pt x="33" y="0"/>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6AA672E" id="docshapegroup337" o:spid="_x0000_s1026" style="position:absolute;margin-left:143.15pt;margin-top:-82.75pt;width:33.9pt;height:6pt;z-index:15835648;mso-position-horizontal-relative:page" coordorigin="2863,-1655" coordsize="678,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">
                <v:shape id="docshape338" o:spid="_x0000_s1027" style="position:absolute;left:2927;top:-1648;width:605;height:57;visibility:visible;mso-wrap-style:square;v-text-anchor:top" coordsize="605,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" path="m604,l501,1,405,3,315,6r-81,5l161,18,98,28,44,41,,57e" filled="f" strokecolor="#231f20">
                  <v:stroke dashstyle="3 1"/>
                  <v:path arrowok="t" o:connecttype="custom" o:connectlocs="604,-1648;501,-1647;405,-1645;315,-1642;234,-1637;161,-1630;98,-1620;44,-1607;0,-1591" o:connectangles="0,0,0,0,0,0,0,0,0"/>
                </v:shape>
                <v:shape id="docshape339" o:spid="_x0000_s1028" style="position:absolute;left:2862;top:-1626;width:92;height:90;visibility:visible;mso-wrap-style:square;v-text-anchor:top" coordsize="9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" path="m33,l,90,91,62,33,xe" fillcolor="#231f20" stroked="f">
                  <v:path arrowok="t" o:connecttype="custom" o:connectlocs="33,-1626;0,-1536;91,-1564;33,-1626" o:connectangles="0,0,0,0"/>
                </v:shape>
                <w10:wrap anchorx="page"/>
              </v:group>
            </w:pict>
          </mc:Fallback>
        </mc:AlternateContent>
      </w:r>
      <w:r>
        <w:rPr>
          <w:noProof/>
        </w:rPr>
        <mc:AlternateContent>
          <mc:Choice Requires="wpg">
            <w:drawing>
              <wp:anchor distT="0" distB="0" distL="114300" distR="114300" simplePos="0" relativeHeight="15836160" behindDoc="0" locked="0" layoutInCell="1" allowOverlap="1" wp14:anchorId="30BA2A76" wp14:editId="4EDEF219">
                <wp:simplePos x="0" y="0"/>
                <wp:positionH relativeFrom="page">
                  <wp:posOffset>3365500</wp:posOffset>
                </wp:positionH>
                <wp:positionV relativeFrom="paragraph">
                  <wp:posOffset>-1073150</wp:posOffset>
                </wp:positionV>
                <wp:extent cx="437515" cy="91440"/>
                <wp:effectExtent l="0" t="0" r="0" b="0"/>
                <wp:wrapNone/>
                <wp:docPr id="4" name="docshapegroup3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7515" cy="91440"/>
                          <a:chOff x="5300" y="-1690"/>
                          <a:chExt cx="689" cy="144"/>
                        </a:xfrm>
                      </wpg:grpSpPr>
                      <wps:wsp>
                        <wps:cNvPr id="5" name="docshape341"/>
                        <wps:cNvSpPr>
                          <a:spLocks/>
                        </wps:cNvSpPr>
                        <wps:spPr bwMode="auto">
                          <a:xfrm>
                            <a:off x="5385" y="-1648"/>
                            <a:ext cx="596" cy="94"/>
                          </a:xfrm>
                          <a:custGeom>
                            <a:avLst/>
                            <a:gdLst>
                              <a:gd name="T0" fmla="+- 0 5386 5386"/>
                              <a:gd name="T1" fmla="*/ T0 w 596"/>
                              <a:gd name="T2" fmla="+- 0 -1648 -1648"/>
                              <a:gd name="T3" fmla="*/ -1648 h 94"/>
                              <a:gd name="T4" fmla="+- 0 5489 5386"/>
                              <a:gd name="T5" fmla="*/ T4 w 596"/>
                              <a:gd name="T6" fmla="+- 0 -1644 -1648"/>
                              <a:gd name="T7" fmla="*/ -1644 h 94"/>
                              <a:gd name="T8" fmla="+- 0 5587 5386"/>
                              <a:gd name="T9" fmla="*/ T8 w 596"/>
                              <a:gd name="T10" fmla="+- 0 -1638 -1648"/>
                              <a:gd name="T11" fmla="*/ -1638 h 94"/>
                              <a:gd name="T12" fmla="+- 0 5679 5386"/>
                              <a:gd name="T13" fmla="*/ T12 w 596"/>
                              <a:gd name="T14" fmla="+- 0 -1629 -1648"/>
                              <a:gd name="T15" fmla="*/ -1629 h 94"/>
                              <a:gd name="T16" fmla="+- 0 5761 5386"/>
                              <a:gd name="T17" fmla="*/ T16 w 596"/>
                              <a:gd name="T18" fmla="+- 0 -1617 -1648"/>
                              <a:gd name="T19" fmla="*/ -1617 h 94"/>
                              <a:gd name="T20" fmla="+- 0 5835 5386"/>
                              <a:gd name="T21" fmla="*/ T20 w 596"/>
                              <a:gd name="T22" fmla="+- 0 -1604 -1648"/>
                              <a:gd name="T23" fmla="*/ -1604 h 94"/>
                              <a:gd name="T24" fmla="+- 0 5897 5386"/>
                              <a:gd name="T25" fmla="*/ T24 w 596"/>
                              <a:gd name="T26" fmla="+- 0 -1589 -1648"/>
                              <a:gd name="T27" fmla="*/ -1589 h 94"/>
                              <a:gd name="T28" fmla="+- 0 5946 5386"/>
                              <a:gd name="T29" fmla="*/ T28 w 596"/>
                              <a:gd name="T30" fmla="+- 0 -1572 -1648"/>
                              <a:gd name="T31" fmla="*/ -1572 h 94"/>
                              <a:gd name="T32" fmla="+- 0 5981 5386"/>
                              <a:gd name="T33" fmla="*/ T32 w 596"/>
                              <a:gd name="T34" fmla="+- 0 -1554 -1648"/>
                              <a:gd name="T35" fmla="*/ -1554 h 9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596" h="94">
                                <a:moveTo>
                                  <a:pt x="0" y="0"/>
                                </a:moveTo>
                                <a:lnTo>
                                  <a:pt x="103" y="4"/>
                                </a:lnTo>
                                <a:lnTo>
                                  <a:pt x="201" y="10"/>
                                </a:lnTo>
                                <a:lnTo>
                                  <a:pt x="293" y="19"/>
                                </a:lnTo>
                                <a:lnTo>
                                  <a:pt x="375" y="31"/>
                                </a:lnTo>
                                <a:lnTo>
                                  <a:pt x="449" y="44"/>
                                </a:lnTo>
                                <a:lnTo>
                                  <a:pt x="511" y="59"/>
                                </a:lnTo>
                                <a:lnTo>
                                  <a:pt x="560" y="76"/>
                                </a:lnTo>
                                <a:lnTo>
                                  <a:pt x="595" y="94"/>
                                </a:lnTo>
                              </a:path>
                            </a:pathLst>
                          </a:custGeom>
                          <a:noFill/>
                          <a:ln w="9525">
                            <a:solidFill>
                              <a:srgbClr val="231F20"/>
                            </a:solidFill>
                            <a:prstDash val="sys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 name="docshape342"/>
                        <wps:cNvSpPr>
                          <a:spLocks/>
                        </wps:cNvSpPr>
                        <wps:spPr bwMode="auto">
                          <a:xfrm>
                            <a:off x="5300" y="-1690"/>
                            <a:ext cx="86" cy="86"/>
                          </a:xfrm>
                          <a:custGeom>
                            <a:avLst/>
                            <a:gdLst>
                              <a:gd name="T0" fmla="+- 0 5386 5300"/>
                              <a:gd name="T1" fmla="*/ T0 w 86"/>
                              <a:gd name="T2" fmla="+- 0 -1690 -1690"/>
                              <a:gd name="T3" fmla="*/ -1690 h 86"/>
                              <a:gd name="T4" fmla="+- 0 5300 5300"/>
                              <a:gd name="T5" fmla="*/ T4 w 86"/>
                              <a:gd name="T6" fmla="+- 0 -1648 -1690"/>
                              <a:gd name="T7" fmla="*/ -1648 h 86"/>
                              <a:gd name="T8" fmla="+- 0 5385 5300"/>
                              <a:gd name="T9" fmla="*/ T8 w 86"/>
                              <a:gd name="T10" fmla="+- 0 -1604 -1690"/>
                              <a:gd name="T11" fmla="*/ -1604 h 86"/>
                              <a:gd name="T12" fmla="+- 0 5386 5300"/>
                              <a:gd name="T13" fmla="*/ T12 w 86"/>
                              <a:gd name="T14" fmla="+- 0 -1690 -1690"/>
                              <a:gd name="T15" fmla="*/ -1690 h 86"/>
                            </a:gdLst>
                            <a:ahLst/>
                            <a:cxnLst>
                              <a:cxn ang="0">
                                <a:pos x="T1" y="T3"/>
                              </a:cxn>
                              <a:cxn ang="0">
                                <a:pos x="T5" y="T7"/>
                              </a:cxn>
                              <a:cxn ang="0">
                                <a:pos x="T9" y="T11"/>
                              </a:cxn>
                              <a:cxn ang="0">
                                <a:pos x="T13" y="T15"/>
                              </a:cxn>
                            </a:cxnLst>
                            <a:rect l="0" t="0" r="r" b="b"/>
                            <a:pathLst>
                              <a:path w="86" h="86">
                                <a:moveTo>
                                  <a:pt x="86" y="0"/>
                                </a:moveTo>
                                <a:lnTo>
                                  <a:pt x="0" y="42"/>
                                </a:lnTo>
                                <a:lnTo>
                                  <a:pt x="85" y="86"/>
                                </a:lnTo>
                                <a:lnTo>
                                  <a:pt x="86" y="0"/>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AF94790" id="docshapegroup340" o:spid="_x0000_s1026" style="position:absolute;margin-left:265pt;margin-top:-84.5pt;width:34.45pt;height:7.2pt;z-index:15836160;mso-position-horizontal-relative:page" coordorigin="5300,-1690" coordsize="689,1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">
                <v:shape id="docshape341" o:spid="_x0000_s1027" style="position:absolute;left:5385;top:-1648;width:596;height:94;visibility:visible;mso-wrap-style:square;v-text-anchor:top" coordsize="596,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" path="m,l103,4r98,6l293,19r82,12l449,44r62,15l560,76r35,18e" filled="f" strokecolor="#231f20">
                  <v:stroke dashstyle="3 1"/>
                  <v:path arrowok="t" o:connecttype="custom" o:connectlocs="0,-1648;103,-1644;201,-1638;293,-1629;375,-1617;449,-1604;511,-1589;560,-1572;595,-1554" o:connectangles="0,0,0,0,0,0,0,0,0"/>
                </v:shape>
                <v:shape id="docshape342" o:spid="_x0000_s1028" style="position:absolute;left:5300;top:-1690;width:86;height:86;visibility:visible;mso-wrap-style:square;v-text-anchor:top" coordsize="86,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" path="m86,l,42,85,86,86,xe" fillcolor="#231f20" stroked="f">
                  <v:path arrowok="t" o:connecttype="custom" o:connectlocs="86,-1690;0,-1648;85,-1604;86,-1690" o:connectangles="0,0,0,0"/>
                </v:shape>
                <w10:wrap anchorx="page"/>
              </v:group>
            </w:pict>
          </mc:Fallback>
        </mc:AlternateContent>
      </w:r>
      <w:r>
        <w:rPr>
          <w:rFonts w:ascii="Trebuchet MS"/>
          <w:b/>
          <w:color w:val="231F20"/>
          <w:sz w:val="14"/>
        </w:rPr>
        <w:t>Figure</w:t>
      </w:r>
      <w:r>
        <w:rPr>
          <w:rFonts w:ascii="Trebuchet MS"/>
          <w:b/>
          <w:color w:val="231F20"/>
          <w:spacing w:val="11"/>
          <w:sz w:val="14"/>
        </w:rPr>
        <w:t xml:space="preserve"> </w:t>
      </w:r>
      <w:r>
        <w:rPr>
          <w:rFonts w:ascii="Trebuchet MS"/>
          <w:b/>
          <w:color w:val="231F20"/>
          <w:sz w:val="14"/>
        </w:rPr>
        <w:t>10.1</w:t>
      </w:r>
      <w:r>
        <w:rPr>
          <w:rFonts w:ascii="Trebuchet MS"/>
          <w:b/>
          <w:color w:val="231F20"/>
          <w:spacing w:val="54"/>
          <w:sz w:val="14"/>
        </w:rPr>
        <w:t xml:space="preserve"> </w:t>
      </w:r>
      <w:r>
        <w:rPr>
          <w:rFonts w:ascii="Trebuchet MS"/>
          <w:color w:val="231F20"/>
          <w:sz w:val="14"/>
        </w:rPr>
        <w:t>Innovation</w:t>
      </w:r>
      <w:r>
        <w:rPr>
          <w:rFonts w:ascii="Trebuchet MS"/>
          <w:color w:val="231F20"/>
          <w:spacing w:val="11"/>
          <w:sz w:val="14"/>
        </w:rPr>
        <w:t xml:space="preserve"> </w:t>
      </w:r>
      <w:r>
        <w:rPr>
          <w:rFonts w:ascii="Trebuchet MS"/>
          <w:color w:val="231F20"/>
          <w:sz w:val="14"/>
        </w:rPr>
        <w:t>in</w:t>
      </w:r>
      <w:r>
        <w:rPr>
          <w:rFonts w:ascii="Trebuchet MS"/>
          <w:color w:val="231F20"/>
          <w:spacing w:val="11"/>
          <w:sz w:val="14"/>
        </w:rPr>
        <w:t xml:space="preserve"> </w:t>
      </w:r>
      <w:r>
        <w:rPr>
          <w:rFonts w:ascii="Trebuchet MS"/>
          <w:color w:val="231F20"/>
          <w:sz w:val="14"/>
        </w:rPr>
        <w:t>sport</w:t>
      </w:r>
      <w:r>
        <w:rPr>
          <w:rFonts w:ascii="Trebuchet MS"/>
          <w:color w:val="231F20"/>
          <w:spacing w:val="11"/>
          <w:sz w:val="14"/>
        </w:rPr>
        <w:t xml:space="preserve"> </w:t>
      </w:r>
      <w:r>
        <w:rPr>
          <w:rFonts w:ascii="Trebuchet MS"/>
          <w:color w:val="231F20"/>
          <w:sz w:val="14"/>
        </w:rPr>
        <w:t>(Adapted</w:t>
      </w:r>
      <w:r>
        <w:rPr>
          <w:rFonts w:ascii="Trebuchet MS"/>
          <w:color w:val="231F20"/>
          <w:spacing w:val="11"/>
          <w:sz w:val="14"/>
        </w:rPr>
        <w:t xml:space="preserve"> </w:t>
      </w:r>
      <w:r>
        <w:rPr>
          <w:rFonts w:ascii="Trebuchet MS"/>
          <w:color w:val="231F20"/>
          <w:sz w:val="14"/>
        </w:rPr>
        <w:t>from</w:t>
      </w:r>
      <w:r>
        <w:rPr>
          <w:rFonts w:ascii="Trebuchet MS"/>
          <w:color w:val="231F20"/>
          <w:spacing w:val="11"/>
          <w:sz w:val="14"/>
        </w:rPr>
        <w:t xml:space="preserve"> </w:t>
      </w:r>
      <w:r>
        <w:rPr>
          <w:rFonts w:ascii="Trebuchet MS"/>
          <w:color w:val="231F20"/>
          <w:sz w:val="14"/>
        </w:rPr>
        <w:t>Keller,</w:t>
      </w:r>
      <w:r>
        <w:rPr>
          <w:rFonts w:ascii="Trebuchet MS"/>
          <w:color w:val="231F20"/>
          <w:spacing w:val="11"/>
          <w:sz w:val="14"/>
        </w:rPr>
        <w:t xml:space="preserve"> </w:t>
      </w:r>
      <w:r>
        <w:rPr>
          <w:rFonts w:ascii="Trebuchet MS"/>
          <w:color w:val="231F20"/>
          <w:spacing w:val="-4"/>
          <w:sz w:val="14"/>
        </w:rPr>
        <w:t>2001)</w:t>
      </w:r>
    </w:p>
    <w:p w14:paraId="1CB0A8A6" w14:textId="77777777" w:rsidR="00AE0598" w:rsidRDefault="00AE0598">
      <w:pPr>
        <w:pStyle w:val="Corpodetexto"/>
        <w:spacing w:before="6"/>
        <w:rPr>
          <w:rFonts w:ascii="Trebuchet MS"/>
          <w:sz w:val="16"/>
        </w:rPr>
      </w:pPr>
    </w:p>
    <w:p w14:paraId="4042AB11" w14:textId="77777777" w:rsidR="00AE0598" w:rsidRDefault="0069255A">
      <w:pPr>
        <w:pStyle w:val="Corpodetexto"/>
        <w:spacing w:line="232" w:lineRule="auto"/>
        <w:ind w:left="110" w:right="126"/>
        <w:jc w:val="both"/>
      </w:pPr>
      <w:r>
        <w:rPr>
          <w:color w:val="231F20"/>
        </w:rPr>
        <w:t xml:space="preserve">to innovation than institutionalised sport because experimentation is </w:t>
      </w:r>
      <w:r>
        <w:rPr>
          <w:color w:val="231F20"/>
          <w:w w:val="95"/>
        </w:rPr>
        <w:t>encouraged</w:t>
      </w:r>
      <w:r>
        <w:rPr>
          <w:color w:val="231F20"/>
          <w:spacing w:val="-3"/>
          <w:w w:val="95"/>
        </w:rPr>
        <w:t xml:space="preserve"> </w:t>
      </w:r>
      <w:r>
        <w:rPr>
          <w:color w:val="231F20"/>
          <w:w w:val="95"/>
        </w:rPr>
        <w:t>in</w:t>
      </w:r>
      <w:r>
        <w:rPr>
          <w:color w:val="231F20"/>
          <w:spacing w:val="-3"/>
          <w:w w:val="95"/>
        </w:rPr>
        <w:t xml:space="preserve"> </w:t>
      </w:r>
      <w:r>
        <w:rPr>
          <w:color w:val="231F20"/>
          <w:w w:val="95"/>
        </w:rPr>
        <w:t>most</w:t>
      </w:r>
      <w:r>
        <w:rPr>
          <w:color w:val="231F20"/>
          <w:spacing w:val="-3"/>
          <w:w w:val="95"/>
        </w:rPr>
        <w:t xml:space="preserve"> </w:t>
      </w:r>
      <w:r>
        <w:rPr>
          <w:color w:val="231F20"/>
          <w:w w:val="95"/>
        </w:rPr>
        <w:t>leisure</w:t>
      </w:r>
      <w:r>
        <w:rPr>
          <w:color w:val="231F20"/>
          <w:spacing w:val="-3"/>
          <w:w w:val="95"/>
        </w:rPr>
        <w:t xml:space="preserve"> </w:t>
      </w:r>
      <w:r>
        <w:rPr>
          <w:color w:val="231F20"/>
          <w:w w:val="95"/>
        </w:rPr>
        <w:t>and</w:t>
      </w:r>
      <w:r>
        <w:rPr>
          <w:color w:val="231F20"/>
          <w:spacing w:val="-3"/>
          <w:w w:val="95"/>
        </w:rPr>
        <w:t xml:space="preserve"> </w:t>
      </w:r>
      <w:r>
        <w:rPr>
          <w:color w:val="231F20"/>
          <w:w w:val="95"/>
        </w:rPr>
        <w:t>tourism</w:t>
      </w:r>
      <w:r>
        <w:rPr>
          <w:color w:val="231F20"/>
          <w:spacing w:val="-3"/>
          <w:w w:val="95"/>
        </w:rPr>
        <w:t xml:space="preserve"> </w:t>
      </w:r>
      <w:r>
        <w:rPr>
          <w:color w:val="231F20"/>
          <w:w w:val="95"/>
        </w:rPr>
        <w:t>settings.</w:t>
      </w:r>
      <w:r>
        <w:rPr>
          <w:color w:val="231F20"/>
          <w:spacing w:val="-3"/>
          <w:w w:val="95"/>
        </w:rPr>
        <w:t xml:space="preserve"> </w:t>
      </w:r>
      <w:r>
        <w:rPr>
          <w:color w:val="231F20"/>
          <w:w w:val="95"/>
        </w:rPr>
        <w:t>Keller</w:t>
      </w:r>
      <w:r>
        <w:rPr>
          <w:color w:val="231F20"/>
          <w:spacing w:val="-3"/>
          <w:w w:val="95"/>
        </w:rPr>
        <w:t xml:space="preserve"> </w:t>
      </w:r>
      <w:r>
        <w:rPr>
          <w:color w:val="231F20"/>
          <w:w w:val="95"/>
        </w:rPr>
        <w:t>(2001)</w:t>
      </w:r>
      <w:r>
        <w:rPr>
          <w:color w:val="231F20"/>
          <w:spacing w:val="-3"/>
          <w:w w:val="95"/>
        </w:rPr>
        <w:t xml:space="preserve"> </w:t>
      </w:r>
      <w:r>
        <w:rPr>
          <w:color w:val="231F20"/>
          <w:w w:val="95"/>
        </w:rPr>
        <w:t xml:space="preserve">convincingly argues that the change in location and uninterrupted free time that tourists </w:t>
      </w:r>
      <w:r>
        <w:rPr>
          <w:color w:val="231F20"/>
        </w:rPr>
        <w:t>enjoy</w:t>
      </w:r>
      <w:r>
        <w:rPr>
          <w:color w:val="231F20"/>
          <w:spacing w:val="-1"/>
        </w:rPr>
        <w:t xml:space="preserve"> </w:t>
      </w:r>
      <w:r>
        <w:rPr>
          <w:color w:val="231F20"/>
        </w:rPr>
        <w:t>while</w:t>
      </w:r>
      <w:r>
        <w:rPr>
          <w:color w:val="231F20"/>
          <w:spacing w:val="-1"/>
        </w:rPr>
        <w:t xml:space="preserve"> </w:t>
      </w:r>
      <w:r>
        <w:rPr>
          <w:color w:val="231F20"/>
        </w:rPr>
        <w:t>on</w:t>
      </w:r>
      <w:r>
        <w:rPr>
          <w:color w:val="231F20"/>
          <w:spacing w:val="-1"/>
        </w:rPr>
        <w:t xml:space="preserve"> </w:t>
      </w:r>
      <w:r>
        <w:rPr>
          <w:color w:val="231F20"/>
        </w:rPr>
        <w:t>holiday</w:t>
      </w:r>
      <w:r>
        <w:rPr>
          <w:color w:val="231F20"/>
          <w:spacing w:val="-1"/>
        </w:rPr>
        <w:t xml:space="preserve"> </w:t>
      </w:r>
      <w:r>
        <w:rPr>
          <w:color w:val="231F20"/>
        </w:rPr>
        <w:t>is</w:t>
      </w:r>
      <w:r>
        <w:rPr>
          <w:color w:val="231F20"/>
          <w:spacing w:val="-1"/>
        </w:rPr>
        <w:t xml:space="preserve"> </w:t>
      </w:r>
      <w:r>
        <w:rPr>
          <w:color w:val="231F20"/>
        </w:rPr>
        <w:t>conducive</w:t>
      </w:r>
      <w:r>
        <w:rPr>
          <w:color w:val="231F20"/>
          <w:spacing w:val="-1"/>
        </w:rPr>
        <w:t xml:space="preserve"> </w:t>
      </w:r>
      <w:r>
        <w:rPr>
          <w:color w:val="231F20"/>
        </w:rPr>
        <w:t>to</w:t>
      </w:r>
      <w:r>
        <w:rPr>
          <w:color w:val="231F20"/>
          <w:spacing w:val="-1"/>
        </w:rPr>
        <w:t xml:space="preserve"> </w:t>
      </w:r>
      <w:r>
        <w:rPr>
          <w:color w:val="231F20"/>
        </w:rPr>
        <w:t>innovation</w:t>
      </w:r>
      <w:r>
        <w:rPr>
          <w:color w:val="231F20"/>
          <w:spacing w:val="-1"/>
        </w:rPr>
        <w:t xml:space="preserve"> </w:t>
      </w:r>
      <w:r>
        <w:rPr>
          <w:color w:val="231F20"/>
        </w:rPr>
        <w:t>in</w:t>
      </w:r>
      <w:r>
        <w:rPr>
          <w:color w:val="231F20"/>
          <w:spacing w:val="-1"/>
        </w:rPr>
        <w:t xml:space="preserve"> </w:t>
      </w:r>
      <w:r>
        <w:rPr>
          <w:color w:val="231F20"/>
        </w:rPr>
        <w:t>sport</w:t>
      </w:r>
      <w:r>
        <w:rPr>
          <w:color w:val="231F20"/>
          <w:spacing w:val="-1"/>
        </w:rPr>
        <w:t xml:space="preserve"> </w:t>
      </w:r>
      <w:r>
        <w:rPr>
          <w:color w:val="231F20"/>
        </w:rPr>
        <w:t>pursuits.</w:t>
      </w:r>
    </w:p>
    <w:p w14:paraId="58A97EF2" w14:textId="77777777" w:rsidR="00AE0598" w:rsidRDefault="0069255A">
      <w:pPr>
        <w:pStyle w:val="Corpodetexto"/>
        <w:spacing w:before="5" w:line="232" w:lineRule="auto"/>
        <w:ind w:left="110" w:right="127" w:firstLine="320"/>
        <w:jc w:val="both"/>
      </w:pPr>
      <w:r>
        <w:rPr>
          <w:color w:val="231F20"/>
        </w:rPr>
        <w:t xml:space="preserve">In competitive settings, the focus is on performance in terms of </w:t>
      </w:r>
      <w:r>
        <w:rPr>
          <w:color w:val="231F20"/>
          <w:w w:val="95"/>
        </w:rPr>
        <w:t>recognised physical skills and s</w:t>
      </w:r>
      <w:r>
        <w:rPr>
          <w:color w:val="231F20"/>
          <w:w w:val="95"/>
        </w:rPr>
        <w:t xml:space="preserve">trategies. Rules and practices are structured </w:t>
      </w:r>
      <w:r>
        <w:rPr>
          <w:color w:val="231F20"/>
        </w:rPr>
        <w:t>in</w:t>
      </w:r>
      <w:r>
        <w:rPr>
          <w:color w:val="231F20"/>
          <w:spacing w:val="-6"/>
        </w:rPr>
        <w:t xml:space="preserve"> </w:t>
      </w:r>
      <w:r>
        <w:rPr>
          <w:color w:val="231F20"/>
        </w:rPr>
        <w:t>ways</w:t>
      </w:r>
      <w:r>
        <w:rPr>
          <w:color w:val="231F20"/>
          <w:spacing w:val="-6"/>
        </w:rPr>
        <w:t xml:space="preserve"> </w:t>
      </w:r>
      <w:r>
        <w:rPr>
          <w:color w:val="231F20"/>
        </w:rPr>
        <w:t>that</w:t>
      </w:r>
      <w:r>
        <w:rPr>
          <w:color w:val="231F20"/>
          <w:spacing w:val="-6"/>
        </w:rPr>
        <w:t xml:space="preserve"> </w:t>
      </w:r>
      <w:r>
        <w:rPr>
          <w:color w:val="231F20"/>
        </w:rPr>
        <w:t>discourage</w:t>
      </w:r>
      <w:r>
        <w:rPr>
          <w:color w:val="231F20"/>
          <w:spacing w:val="-6"/>
        </w:rPr>
        <w:t xml:space="preserve"> </w:t>
      </w:r>
      <w:r>
        <w:rPr>
          <w:color w:val="231F20"/>
        </w:rPr>
        <w:t>radical</w:t>
      </w:r>
      <w:r>
        <w:rPr>
          <w:color w:val="231F20"/>
          <w:spacing w:val="-6"/>
        </w:rPr>
        <w:t xml:space="preserve"> </w:t>
      </w:r>
      <w:r>
        <w:rPr>
          <w:color w:val="231F20"/>
        </w:rPr>
        <w:t>change</w:t>
      </w:r>
      <w:r>
        <w:rPr>
          <w:color w:val="231F20"/>
          <w:spacing w:val="-6"/>
        </w:rPr>
        <w:t xml:space="preserve"> </w:t>
      </w:r>
      <w:r>
        <w:rPr>
          <w:color w:val="231F20"/>
        </w:rPr>
        <w:t>and</w:t>
      </w:r>
      <w:r>
        <w:rPr>
          <w:color w:val="231F20"/>
          <w:spacing w:val="-6"/>
        </w:rPr>
        <w:t xml:space="preserve"> </w:t>
      </w:r>
      <w:r>
        <w:rPr>
          <w:color w:val="231F20"/>
        </w:rPr>
        <w:t>encourage</w:t>
      </w:r>
      <w:r>
        <w:rPr>
          <w:color w:val="231F20"/>
          <w:spacing w:val="-6"/>
        </w:rPr>
        <w:t xml:space="preserve"> </w:t>
      </w:r>
      <w:r>
        <w:rPr>
          <w:color w:val="231F20"/>
        </w:rPr>
        <w:t>conformity.</w:t>
      </w:r>
      <w:r>
        <w:rPr>
          <w:color w:val="231F20"/>
          <w:spacing w:val="-6"/>
        </w:rPr>
        <w:t xml:space="preserve"> </w:t>
      </w:r>
      <w:r>
        <w:rPr>
          <w:color w:val="231F20"/>
        </w:rPr>
        <w:t xml:space="preserve">Major </w:t>
      </w:r>
      <w:r>
        <w:rPr>
          <w:color w:val="231F20"/>
          <w:w w:val="95"/>
        </w:rPr>
        <w:t>innovations</w:t>
      </w:r>
      <w:r>
        <w:rPr>
          <w:color w:val="231F20"/>
          <w:spacing w:val="-9"/>
          <w:w w:val="95"/>
        </w:rPr>
        <w:t xml:space="preserve"> </w:t>
      </w:r>
      <w:r>
        <w:rPr>
          <w:color w:val="231F20"/>
          <w:w w:val="95"/>
        </w:rPr>
        <w:t>in</w:t>
      </w:r>
      <w:r>
        <w:rPr>
          <w:color w:val="231F20"/>
          <w:spacing w:val="-9"/>
          <w:w w:val="95"/>
        </w:rPr>
        <w:t xml:space="preserve"> </w:t>
      </w:r>
      <w:r>
        <w:rPr>
          <w:color w:val="231F20"/>
          <w:w w:val="95"/>
        </w:rPr>
        <w:t>recreational</w:t>
      </w:r>
      <w:r>
        <w:rPr>
          <w:color w:val="231F20"/>
          <w:spacing w:val="-9"/>
          <w:w w:val="95"/>
        </w:rPr>
        <w:t xml:space="preserve"> </w:t>
      </w:r>
      <w:r>
        <w:rPr>
          <w:color w:val="231F20"/>
          <w:w w:val="95"/>
        </w:rPr>
        <w:t>sport</w:t>
      </w:r>
      <w:r>
        <w:rPr>
          <w:color w:val="231F20"/>
          <w:spacing w:val="-9"/>
          <w:w w:val="95"/>
        </w:rPr>
        <w:t xml:space="preserve"> </w:t>
      </w:r>
      <w:r>
        <w:rPr>
          <w:color w:val="231F20"/>
          <w:w w:val="95"/>
        </w:rPr>
        <w:t>settings</w:t>
      </w:r>
      <w:r>
        <w:rPr>
          <w:color w:val="231F20"/>
          <w:spacing w:val="-9"/>
          <w:w w:val="95"/>
        </w:rPr>
        <w:t xml:space="preserve"> </w:t>
      </w:r>
      <w:r>
        <w:rPr>
          <w:color w:val="231F20"/>
          <w:w w:val="95"/>
        </w:rPr>
        <w:t>are</w:t>
      </w:r>
      <w:r>
        <w:rPr>
          <w:color w:val="231F20"/>
          <w:spacing w:val="-9"/>
          <w:w w:val="95"/>
        </w:rPr>
        <w:t xml:space="preserve"> </w:t>
      </w:r>
      <w:r>
        <w:rPr>
          <w:color w:val="231F20"/>
          <w:w w:val="95"/>
        </w:rPr>
        <w:t>shaped</w:t>
      </w:r>
      <w:r>
        <w:rPr>
          <w:color w:val="231F20"/>
          <w:spacing w:val="-9"/>
          <w:w w:val="95"/>
        </w:rPr>
        <w:t xml:space="preserve"> </w:t>
      </w:r>
      <w:r>
        <w:rPr>
          <w:color w:val="231F20"/>
          <w:w w:val="95"/>
        </w:rPr>
        <w:t>by</w:t>
      </w:r>
      <w:r>
        <w:rPr>
          <w:color w:val="231F20"/>
          <w:spacing w:val="-9"/>
          <w:w w:val="95"/>
        </w:rPr>
        <w:t xml:space="preserve"> </w:t>
      </w:r>
      <w:r>
        <w:rPr>
          <w:color w:val="231F20"/>
          <w:w w:val="95"/>
        </w:rPr>
        <w:t>leisure</w:t>
      </w:r>
      <w:r>
        <w:rPr>
          <w:color w:val="231F20"/>
          <w:spacing w:val="-9"/>
          <w:w w:val="95"/>
        </w:rPr>
        <w:t xml:space="preserve"> </w:t>
      </w:r>
      <w:r>
        <w:rPr>
          <w:color w:val="231F20"/>
          <w:w w:val="95"/>
        </w:rPr>
        <w:t>patterns</w:t>
      </w:r>
      <w:r>
        <w:rPr>
          <w:color w:val="231F20"/>
          <w:spacing w:val="-9"/>
          <w:w w:val="95"/>
        </w:rPr>
        <w:t xml:space="preserve"> </w:t>
      </w:r>
      <w:r>
        <w:rPr>
          <w:color w:val="231F20"/>
          <w:w w:val="95"/>
        </w:rPr>
        <w:t>that may</w:t>
      </w:r>
      <w:r>
        <w:rPr>
          <w:color w:val="231F20"/>
          <w:spacing w:val="-9"/>
          <w:w w:val="95"/>
        </w:rPr>
        <w:t xml:space="preserve"> </w:t>
      </w:r>
      <w:r>
        <w:rPr>
          <w:color w:val="231F20"/>
          <w:w w:val="95"/>
        </w:rPr>
        <w:t>be</w:t>
      </w:r>
      <w:r>
        <w:rPr>
          <w:color w:val="231F20"/>
          <w:spacing w:val="-9"/>
          <w:w w:val="95"/>
        </w:rPr>
        <w:t xml:space="preserve"> </w:t>
      </w:r>
      <w:r>
        <w:rPr>
          <w:color w:val="231F20"/>
          <w:w w:val="95"/>
        </w:rPr>
        <w:t>unique</w:t>
      </w:r>
      <w:r>
        <w:rPr>
          <w:color w:val="231F20"/>
          <w:spacing w:val="-9"/>
          <w:w w:val="95"/>
        </w:rPr>
        <w:t xml:space="preserve"> </w:t>
      </w:r>
      <w:r>
        <w:rPr>
          <w:color w:val="231F20"/>
          <w:w w:val="95"/>
        </w:rPr>
        <w:t>to</w:t>
      </w:r>
      <w:r>
        <w:rPr>
          <w:color w:val="231F20"/>
          <w:spacing w:val="-9"/>
          <w:w w:val="95"/>
        </w:rPr>
        <w:t xml:space="preserve"> </w:t>
      </w:r>
      <w:r>
        <w:rPr>
          <w:color w:val="231F20"/>
          <w:w w:val="95"/>
        </w:rPr>
        <w:t>specific</w:t>
      </w:r>
      <w:r>
        <w:rPr>
          <w:color w:val="231F20"/>
          <w:spacing w:val="-9"/>
          <w:w w:val="95"/>
        </w:rPr>
        <w:t xml:space="preserve"> </w:t>
      </w:r>
      <w:r>
        <w:rPr>
          <w:color w:val="231F20"/>
          <w:w w:val="95"/>
        </w:rPr>
        <w:t>geographic</w:t>
      </w:r>
      <w:r>
        <w:rPr>
          <w:color w:val="231F20"/>
          <w:spacing w:val="-9"/>
          <w:w w:val="95"/>
        </w:rPr>
        <w:t xml:space="preserve"> </w:t>
      </w:r>
      <w:r>
        <w:rPr>
          <w:color w:val="231F20"/>
          <w:w w:val="95"/>
        </w:rPr>
        <w:t>regions</w:t>
      </w:r>
      <w:r>
        <w:rPr>
          <w:color w:val="231F20"/>
          <w:spacing w:val="-9"/>
          <w:w w:val="95"/>
        </w:rPr>
        <w:t xml:space="preserve"> </w:t>
      </w:r>
      <w:r>
        <w:rPr>
          <w:color w:val="231F20"/>
          <w:w w:val="95"/>
        </w:rPr>
        <w:t>and</w:t>
      </w:r>
      <w:r>
        <w:rPr>
          <w:color w:val="231F20"/>
          <w:spacing w:val="-9"/>
          <w:w w:val="95"/>
        </w:rPr>
        <w:t xml:space="preserve"> </w:t>
      </w:r>
      <w:r>
        <w:rPr>
          <w:color w:val="231F20"/>
          <w:w w:val="95"/>
        </w:rPr>
        <w:t>which</w:t>
      </w:r>
      <w:r>
        <w:rPr>
          <w:color w:val="231F20"/>
          <w:spacing w:val="-9"/>
          <w:w w:val="95"/>
        </w:rPr>
        <w:t xml:space="preserve"> </w:t>
      </w:r>
      <w:r>
        <w:rPr>
          <w:color w:val="231F20"/>
          <w:w w:val="95"/>
        </w:rPr>
        <w:t>are</w:t>
      </w:r>
      <w:r>
        <w:rPr>
          <w:color w:val="231F20"/>
          <w:spacing w:val="-9"/>
          <w:w w:val="95"/>
        </w:rPr>
        <w:t xml:space="preserve"> </w:t>
      </w:r>
      <w:r>
        <w:rPr>
          <w:color w:val="231F20"/>
          <w:w w:val="95"/>
        </w:rPr>
        <w:t>characterised</w:t>
      </w:r>
      <w:r>
        <w:rPr>
          <w:color w:val="231F20"/>
          <w:spacing w:val="-9"/>
          <w:w w:val="95"/>
        </w:rPr>
        <w:t xml:space="preserve"> </w:t>
      </w:r>
      <w:r>
        <w:rPr>
          <w:color w:val="231F20"/>
          <w:w w:val="95"/>
        </w:rPr>
        <w:t>by spontaneity</w:t>
      </w:r>
      <w:r>
        <w:rPr>
          <w:color w:val="231F20"/>
          <w:spacing w:val="-10"/>
          <w:w w:val="95"/>
        </w:rPr>
        <w:t xml:space="preserve"> </w:t>
      </w:r>
      <w:r>
        <w:rPr>
          <w:color w:val="231F20"/>
          <w:w w:val="95"/>
        </w:rPr>
        <w:t>and</w:t>
      </w:r>
      <w:r>
        <w:rPr>
          <w:color w:val="231F20"/>
          <w:spacing w:val="-9"/>
          <w:w w:val="95"/>
        </w:rPr>
        <w:t xml:space="preserve"> </w:t>
      </w:r>
      <w:r>
        <w:rPr>
          <w:color w:val="231F20"/>
          <w:w w:val="95"/>
        </w:rPr>
        <w:t>freedom.</w:t>
      </w:r>
      <w:r>
        <w:rPr>
          <w:color w:val="231F20"/>
          <w:spacing w:val="-9"/>
          <w:w w:val="95"/>
        </w:rPr>
        <w:t xml:space="preserve"> </w:t>
      </w:r>
      <w:r>
        <w:rPr>
          <w:color w:val="231F20"/>
          <w:w w:val="95"/>
        </w:rPr>
        <w:t>In</w:t>
      </w:r>
      <w:r>
        <w:rPr>
          <w:color w:val="231F20"/>
          <w:spacing w:val="-9"/>
          <w:w w:val="95"/>
        </w:rPr>
        <w:t xml:space="preserve"> </w:t>
      </w:r>
      <w:r>
        <w:rPr>
          <w:color w:val="231F20"/>
          <w:w w:val="95"/>
        </w:rPr>
        <w:t>contrast</w:t>
      </w:r>
      <w:r>
        <w:rPr>
          <w:color w:val="231F20"/>
          <w:spacing w:val="-10"/>
          <w:w w:val="95"/>
        </w:rPr>
        <w:t xml:space="preserve"> </w:t>
      </w:r>
      <w:r>
        <w:rPr>
          <w:color w:val="231F20"/>
          <w:w w:val="95"/>
        </w:rPr>
        <w:t>to</w:t>
      </w:r>
      <w:r>
        <w:rPr>
          <w:color w:val="231F20"/>
          <w:spacing w:val="-9"/>
          <w:w w:val="95"/>
        </w:rPr>
        <w:t xml:space="preserve"> </w:t>
      </w:r>
      <w:r>
        <w:rPr>
          <w:color w:val="231F20"/>
          <w:w w:val="95"/>
        </w:rPr>
        <w:t>the</w:t>
      </w:r>
      <w:r>
        <w:rPr>
          <w:color w:val="231F20"/>
          <w:spacing w:val="-9"/>
          <w:w w:val="95"/>
        </w:rPr>
        <w:t xml:space="preserve"> </w:t>
      </w:r>
      <w:r>
        <w:rPr>
          <w:color w:val="231F20"/>
          <w:w w:val="95"/>
        </w:rPr>
        <w:t>relatively</w:t>
      </w:r>
      <w:r>
        <w:rPr>
          <w:color w:val="231F20"/>
          <w:spacing w:val="-9"/>
          <w:w w:val="95"/>
        </w:rPr>
        <w:t xml:space="preserve"> </w:t>
      </w:r>
      <w:r>
        <w:rPr>
          <w:color w:val="231F20"/>
          <w:w w:val="95"/>
        </w:rPr>
        <w:t>unconstrained</w:t>
      </w:r>
      <w:r>
        <w:rPr>
          <w:color w:val="231F20"/>
          <w:spacing w:val="-10"/>
          <w:w w:val="95"/>
        </w:rPr>
        <w:t xml:space="preserve"> </w:t>
      </w:r>
      <w:r>
        <w:rPr>
          <w:color w:val="231F20"/>
          <w:w w:val="95"/>
        </w:rPr>
        <w:t xml:space="preserve">settings </w:t>
      </w:r>
      <w:r>
        <w:rPr>
          <w:color w:val="231F20"/>
        </w:rPr>
        <w:t>in</w:t>
      </w:r>
      <w:r>
        <w:rPr>
          <w:color w:val="231F20"/>
          <w:spacing w:val="-11"/>
        </w:rPr>
        <w:t xml:space="preserve"> </w:t>
      </w:r>
      <w:r>
        <w:rPr>
          <w:color w:val="231F20"/>
        </w:rPr>
        <w:t>a</w:t>
      </w:r>
      <w:r>
        <w:rPr>
          <w:color w:val="231F20"/>
          <w:spacing w:val="-11"/>
        </w:rPr>
        <w:t xml:space="preserve"> </w:t>
      </w:r>
      <w:r>
        <w:rPr>
          <w:color w:val="231F20"/>
        </w:rPr>
        <w:t>recreational</w:t>
      </w:r>
      <w:r>
        <w:rPr>
          <w:color w:val="231F20"/>
          <w:spacing w:val="-11"/>
        </w:rPr>
        <w:t xml:space="preserve"> </w:t>
      </w:r>
      <w:r>
        <w:rPr>
          <w:color w:val="231F20"/>
        </w:rPr>
        <w:t>context,</w:t>
      </w:r>
      <w:r>
        <w:rPr>
          <w:color w:val="231F20"/>
          <w:spacing w:val="-11"/>
        </w:rPr>
        <w:t xml:space="preserve"> </w:t>
      </w:r>
      <w:r>
        <w:rPr>
          <w:color w:val="231F20"/>
        </w:rPr>
        <w:t>a</w:t>
      </w:r>
      <w:r>
        <w:rPr>
          <w:color w:val="231F20"/>
          <w:spacing w:val="-11"/>
        </w:rPr>
        <w:t xml:space="preserve"> </w:t>
      </w:r>
      <w:r>
        <w:rPr>
          <w:color w:val="231F20"/>
        </w:rPr>
        <w:t>variety</w:t>
      </w:r>
      <w:r>
        <w:rPr>
          <w:color w:val="231F20"/>
          <w:spacing w:val="-11"/>
        </w:rPr>
        <w:t xml:space="preserve"> </w:t>
      </w:r>
      <w:r>
        <w:rPr>
          <w:color w:val="231F20"/>
        </w:rPr>
        <w:t>of</w:t>
      </w:r>
      <w:r>
        <w:rPr>
          <w:color w:val="231F20"/>
          <w:spacing w:val="-2"/>
        </w:rPr>
        <w:t xml:space="preserve"> </w:t>
      </w:r>
      <w:r>
        <w:rPr>
          <w:color w:val="231F20"/>
        </w:rPr>
        <w:t>formal</w:t>
      </w:r>
      <w:r>
        <w:rPr>
          <w:color w:val="231F20"/>
          <w:spacing w:val="-11"/>
        </w:rPr>
        <w:t xml:space="preserve"> </w:t>
      </w:r>
      <w:r>
        <w:rPr>
          <w:color w:val="231F20"/>
        </w:rPr>
        <w:t>sporting</w:t>
      </w:r>
      <w:r>
        <w:rPr>
          <w:color w:val="231F20"/>
          <w:spacing w:val="-11"/>
        </w:rPr>
        <w:t xml:space="preserve"> </w:t>
      </w:r>
      <w:r>
        <w:rPr>
          <w:color w:val="231F20"/>
        </w:rPr>
        <w:t>institutions</w:t>
      </w:r>
      <w:r>
        <w:rPr>
          <w:color w:val="231F20"/>
          <w:spacing w:val="-11"/>
        </w:rPr>
        <w:t xml:space="preserve"> </w:t>
      </w:r>
      <w:r>
        <w:rPr>
          <w:color w:val="231F20"/>
        </w:rPr>
        <w:t xml:space="preserve">actively </w:t>
      </w:r>
      <w:r>
        <w:rPr>
          <w:color w:val="231F20"/>
          <w:w w:val="95"/>
        </w:rPr>
        <w:t xml:space="preserve">inhibit variation and change in competitive sport environments. The spatial </w:t>
      </w:r>
      <w:r>
        <w:rPr>
          <w:color w:val="231F20"/>
        </w:rPr>
        <w:t>and</w:t>
      </w:r>
      <w:r>
        <w:rPr>
          <w:color w:val="231F20"/>
        </w:rPr>
        <w:t xml:space="preserve"> institutional dissemination of major innovations and incremental change in sports occurs through social media, the traditional media and by the marketing efforts of sporting goods manufacturers. Tourists also act</w:t>
      </w:r>
      <w:r>
        <w:rPr>
          <w:color w:val="231F20"/>
          <w:spacing w:val="-10"/>
        </w:rPr>
        <w:t xml:space="preserve"> </w:t>
      </w:r>
      <w:r>
        <w:rPr>
          <w:color w:val="231F20"/>
        </w:rPr>
        <w:t>as</w:t>
      </w:r>
      <w:r>
        <w:rPr>
          <w:color w:val="231F20"/>
          <w:spacing w:val="-10"/>
        </w:rPr>
        <w:t xml:space="preserve"> </w:t>
      </w:r>
      <w:r>
        <w:rPr>
          <w:color w:val="231F20"/>
        </w:rPr>
        <w:t>significant</w:t>
      </w:r>
      <w:r>
        <w:rPr>
          <w:color w:val="231F20"/>
          <w:spacing w:val="-10"/>
        </w:rPr>
        <w:t xml:space="preserve"> </w:t>
      </w:r>
      <w:r>
        <w:rPr>
          <w:color w:val="231F20"/>
        </w:rPr>
        <w:t>agents</w:t>
      </w:r>
      <w:r>
        <w:rPr>
          <w:color w:val="231F20"/>
          <w:spacing w:val="-10"/>
        </w:rPr>
        <w:t xml:space="preserve"> </w:t>
      </w:r>
      <w:r>
        <w:rPr>
          <w:color w:val="231F20"/>
        </w:rPr>
        <w:t>of</w:t>
      </w:r>
      <w:r>
        <w:rPr>
          <w:color w:val="231F20"/>
          <w:spacing w:val="-2"/>
        </w:rPr>
        <w:t xml:space="preserve"> </w:t>
      </w:r>
      <w:r>
        <w:rPr>
          <w:color w:val="231F20"/>
        </w:rPr>
        <w:t>innovation</w:t>
      </w:r>
      <w:r>
        <w:rPr>
          <w:color w:val="231F20"/>
          <w:spacing w:val="-10"/>
        </w:rPr>
        <w:t xml:space="preserve"> </w:t>
      </w:r>
      <w:r>
        <w:rPr>
          <w:color w:val="231F20"/>
        </w:rPr>
        <w:t>and</w:t>
      </w:r>
      <w:r>
        <w:rPr>
          <w:color w:val="231F20"/>
          <w:spacing w:val="-10"/>
        </w:rPr>
        <w:t xml:space="preserve"> </w:t>
      </w:r>
      <w:r>
        <w:rPr>
          <w:color w:val="231F20"/>
        </w:rPr>
        <w:t>di</w:t>
      </w:r>
      <w:r>
        <w:rPr>
          <w:color w:val="231F20"/>
        </w:rPr>
        <w:t>ssemination.</w:t>
      </w:r>
      <w:r>
        <w:rPr>
          <w:color w:val="231F20"/>
          <w:spacing w:val="-10"/>
        </w:rPr>
        <w:t xml:space="preserve"> </w:t>
      </w:r>
      <w:r>
        <w:rPr>
          <w:color w:val="231F20"/>
        </w:rPr>
        <w:t>They</w:t>
      </w:r>
      <w:r>
        <w:rPr>
          <w:color w:val="231F20"/>
          <w:spacing w:val="-10"/>
        </w:rPr>
        <w:t xml:space="preserve"> </w:t>
      </w:r>
      <w:r>
        <w:rPr>
          <w:color w:val="231F20"/>
        </w:rPr>
        <w:t xml:space="preserve">introduce </w:t>
      </w:r>
      <w:r>
        <w:rPr>
          <w:color w:val="231F20"/>
          <w:w w:val="95"/>
        </w:rPr>
        <w:t xml:space="preserve">new sporting interests to tourist destinations and may, in turn, bring home </w:t>
      </w:r>
      <w:r>
        <w:rPr>
          <w:color w:val="231F20"/>
          <w:spacing w:val="-2"/>
        </w:rPr>
        <w:t>insights</w:t>
      </w:r>
      <w:r>
        <w:rPr>
          <w:color w:val="231F20"/>
          <w:spacing w:val="-4"/>
        </w:rPr>
        <w:t xml:space="preserve"> </w:t>
      </w:r>
      <w:r>
        <w:rPr>
          <w:color w:val="231F20"/>
          <w:spacing w:val="-2"/>
        </w:rPr>
        <w:t>into</w:t>
      </w:r>
      <w:r>
        <w:rPr>
          <w:color w:val="231F20"/>
          <w:spacing w:val="-4"/>
        </w:rPr>
        <w:t xml:space="preserve"> </w:t>
      </w:r>
      <w:r>
        <w:rPr>
          <w:color w:val="231F20"/>
          <w:spacing w:val="-2"/>
        </w:rPr>
        <w:t>new</w:t>
      </w:r>
      <w:r>
        <w:rPr>
          <w:color w:val="231F20"/>
          <w:spacing w:val="-4"/>
        </w:rPr>
        <w:t xml:space="preserve"> </w:t>
      </w:r>
      <w:r>
        <w:rPr>
          <w:color w:val="231F20"/>
          <w:spacing w:val="-2"/>
        </w:rPr>
        <w:t>sports</w:t>
      </w:r>
      <w:r>
        <w:rPr>
          <w:color w:val="231F20"/>
          <w:spacing w:val="-4"/>
        </w:rPr>
        <w:t xml:space="preserve"> </w:t>
      </w:r>
      <w:r>
        <w:rPr>
          <w:color w:val="231F20"/>
          <w:spacing w:val="-2"/>
        </w:rPr>
        <w:t>that</w:t>
      </w:r>
      <w:r>
        <w:rPr>
          <w:color w:val="231F20"/>
          <w:spacing w:val="-4"/>
        </w:rPr>
        <w:t xml:space="preserve"> </w:t>
      </w:r>
      <w:r>
        <w:rPr>
          <w:color w:val="231F20"/>
          <w:spacing w:val="-2"/>
        </w:rPr>
        <w:t>they</w:t>
      </w:r>
      <w:r>
        <w:rPr>
          <w:color w:val="231F20"/>
          <w:spacing w:val="-4"/>
        </w:rPr>
        <w:t xml:space="preserve"> </w:t>
      </w:r>
      <w:r>
        <w:rPr>
          <w:color w:val="231F20"/>
          <w:spacing w:val="-2"/>
        </w:rPr>
        <w:t>were</w:t>
      </w:r>
      <w:r>
        <w:rPr>
          <w:color w:val="231F20"/>
          <w:spacing w:val="-4"/>
        </w:rPr>
        <w:t xml:space="preserve"> </w:t>
      </w:r>
      <w:r>
        <w:rPr>
          <w:color w:val="231F20"/>
          <w:spacing w:val="-2"/>
        </w:rPr>
        <w:t>exposed</w:t>
      </w:r>
      <w:r>
        <w:rPr>
          <w:color w:val="231F20"/>
          <w:spacing w:val="-4"/>
        </w:rPr>
        <w:t xml:space="preserve"> </w:t>
      </w:r>
      <w:r>
        <w:rPr>
          <w:color w:val="231F20"/>
          <w:spacing w:val="-2"/>
        </w:rPr>
        <w:t>to</w:t>
      </w:r>
      <w:r>
        <w:rPr>
          <w:color w:val="231F20"/>
          <w:spacing w:val="-4"/>
        </w:rPr>
        <w:t xml:space="preserve"> </w:t>
      </w:r>
      <w:r>
        <w:rPr>
          <w:color w:val="231F20"/>
          <w:spacing w:val="-2"/>
        </w:rPr>
        <w:t>while</w:t>
      </w:r>
      <w:r>
        <w:rPr>
          <w:color w:val="231F20"/>
          <w:spacing w:val="-4"/>
        </w:rPr>
        <w:t xml:space="preserve"> </w:t>
      </w:r>
      <w:r>
        <w:rPr>
          <w:color w:val="231F20"/>
          <w:spacing w:val="-2"/>
        </w:rPr>
        <w:t>travelling.</w:t>
      </w:r>
    </w:p>
    <w:p w14:paraId="7977E699" w14:textId="77777777" w:rsidR="00AE0598" w:rsidRDefault="00AE0598">
      <w:pPr>
        <w:pStyle w:val="Corpodetexto"/>
        <w:spacing w:before="4"/>
        <w:rPr>
          <w:sz w:val="22"/>
        </w:rPr>
      </w:pPr>
    </w:p>
    <w:p w14:paraId="07D66FE0" w14:textId="77777777" w:rsidR="00AE0598" w:rsidRDefault="0069255A">
      <w:pPr>
        <w:spacing w:before="1"/>
        <w:ind w:left="110"/>
        <w:jc w:val="both"/>
        <w:rPr>
          <w:rFonts w:ascii="Trebuchet MS"/>
          <w:b/>
          <w:sz w:val="20"/>
        </w:rPr>
      </w:pPr>
      <w:r>
        <w:rPr>
          <w:rFonts w:ascii="Trebuchet MS"/>
          <w:b/>
          <w:color w:val="231F20"/>
          <w:sz w:val="20"/>
        </w:rPr>
        <w:t>Heritage</w:t>
      </w:r>
      <w:r>
        <w:rPr>
          <w:rFonts w:ascii="Trebuchet MS"/>
          <w:b/>
          <w:color w:val="231F20"/>
          <w:spacing w:val="13"/>
          <w:sz w:val="20"/>
        </w:rPr>
        <w:t xml:space="preserve"> </w:t>
      </w:r>
      <w:r>
        <w:rPr>
          <w:rFonts w:ascii="Trebuchet MS"/>
          <w:b/>
          <w:color w:val="231F20"/>
          <w:sz w:val="20"/>
        </w:rPr>
        <w:t>Sport</w:t>
      </w:r>
      <w:r>
        <w:rPr>
          <w:rFonts w:ascii="Trebuchet MS"/>
          <w:b/>
          <w:color w:val="231F20"/>
          <w:spacing w:val="13"/>
          <w:sz w:val="20"/>
        </w:rPr>
        <w:t xml:space="preserve"> </w:t>
      </w:r>
      <w:r>
        <w:rPr>
          <w:rFonts w:ascii="Trebuchet MS"/>
          <w:b/>
          <w:color w:val="231F20"/>
          <w:spacing w:val="-2"/>
          <w:sz w:val="20"/>
        </w:rPr>
        <w:t>Tourism</w:t>
      </w:r>
    </w:p>
    <w:p w14:paraId="488E9441" w14:textId="77777777" w:rsidR="00AE0598" w:rsidRDefault="0069255A">
      <w:pPr>
        <w:pStyle w:val="Corpodetexto"/>
        <w:spacing w:before="122" w:line="232" w:lineRule="auto"/>
        <w:ind w:left="110" w:right="127" w:firstLine="320"/>
        <w:jc w:val="both"/>
      </w:pPr>
      <w:r>
        <w:rPr>
          <w:color w:val="231F20"/>
        </w:rPr>
        <w:t>Like sport tourism, heritage tourism is recognised as a major category of tourism activity as well as an important realm of academic</w:t>
      </w:r>
    </w:p>
    <w:p w14:paraId="20DA5E14" w14:textId="77777777" w:rsidR="00AE0598" w:rsidRDefault="00AE0598">
      <w:pPr>
        <w:spacing w:line="232" w:lineRule="auto"/>
        <w:jc w:val="both"/>
        <w:sectPr w:rsidR="00AE0598">
          <w:pgSz w:w="8850" w:h="13270"/>
          <w:pgMar w:top="720" w:right="1060" w:bottom="280" w:left="1080" w:header="720" w:footer="720" w:gutter="0"/>
          <w:cols w:space="720"/>
        </w:sectPr>
      </w:pPr>
    </w:p>
    <w:p w14:paraId="7457DE48" w14:textId="77777777" w:rsidR="00AE0598" w:rsidRDefault="0069255A">
      <w:pPr>
        <w:spacing w:before="87"/>
        <w:ind w:left="3808"/>
        <w:rPr>
          <w:rFonts w:ascii="Trebuchet MS"/>
          <w:sz w:val="14"/>
        </w:rPr>
      </w:pPr>
      <w:r>
        <w:rPr>
          <w:rFonts w:ascii="Trebuchet MS"/>
          <w:color w:val="231F20"/>
          <w:w w:val="105"/>
          <w:sz w:val="14"/>
        </w:rPr>
        <w:lastRenderedPageBreak/>
        <w:t>Evolutionary</w:t>
      </w:r>
      <w:r>
        <w:rPr>
          <w:rFonts w:ascii="Trebuchet MS"/>
          <w:color w:val="231F20"/>
          <w:spacing w:val="-12"/>
          <w:w w:val="105"/>
          <w:sz w:val="14"/>
        </w:rPr>
        <w:t xml:space="preserve"> </w:t>
      </w:r>
      <w:r>
        <w:rPr>
          <w:rFonts w:ascii="Trebuchet MS"/>
          <w:color w:val="231F20"/>
          <w:w w:val="105"/>
          <w:sz w:val="14"/>
        </w:rPr>
        <w:t>Trends</w:t>
      </w:r>
      <w:r>
        <w:rPr>
          <w:rFonts w:ascii="Trebuchet MS"/>
          <w:color w:val="231F20"/>
          <w:spacing w:val="-11"/>
          <w:w w:val="105"/>
          <w:sz w:val="14"/>
        </w:rPr>
        <w:t xml:space="preserve"> </w:t>
      </w:r>
      <w:r>
        <w:rPr>
          <w:rFonts w:ascii="Trebuchet MS"/>
          <w:color w:val="231F20"/>
          <w:w w:val="105"/>
          <w:sz w:val="14"/>
        </w:rPr>
        <w:t>in</w:t>
      </w:r>
      <w:r>
        <w:rPr>
          <w:rFonts w:ascii="Trebuchet MS"/>
          <w:color w:val="231F20"/>
          <w:spacing w:val="-11"/>
          <w:w w:val="105"/>
          <w:sz w:val="14"/>
        </w:rPr>
        <w:t xml:space="preserve"> </w:t>
      </w:r>
      <w:r>
        <w:rPr>
          <w:rFonts w:ascii="Trebuchet MS"/>
          <w:color w:val="231F20"/>
          <w:w w:val="105"/>
          <w:sz w:val="14"/>
        </w:rPr>
        <w:t>Sport</w:t>
      </w:r>
      <w:r>
        <w:rPr>
          <w:rFonts w:ascii="Trebuchet MS"/>
          <w:color w:val="231F20"/>
          <w:spacing w:val="-11"/>
          <w:w w:val="105"/>
          <w:sz w:val="14"/>
        </w:rPr>
        <w:t xml:space="preserve"> </w:t>
      </w:r>
      <w:r>
        <w:rPr>
          <w:rFonts w:ascii="Trebuchet MS"/>
          <w:color w:val="231F20"/>
          <w:w w:val="105"/>
          <w:sz w:val="14"/>
        </w:rPr>
        <w:t>Tourism</w:t>
      </w:r>
      <w:r>
        <w:rPr>
          <w:rFonts w:ascii="Trebuchet MS"/>
          <w:color w:val="231F20"/>
          <w:spacing w:val="74"/>
          <w:w w:val="105"/>
          <w:sz w:val="14"/>
        </w:rPr>
        <w:t xml:space="preserve"> </w:t>
      </w:r>
      <w:r>
        <w:rPr>
          <w:rFonts w:ascii="Trebuchet MS"/>
          <w:color w:val="231F20"/>
          <w:spacing w:val="-5"/>
          <w:w w:val="105"/>
          <w:sz w:val="14"/>
        </w:rPr>
        <w:t>209</w:t>
      </w:r>
    </w:p>
    <w:p w14:paraId="69F7791F" w14:textId="77777777" w:rsidR="00AE0598" w:rsidRDefault="00AE0598">
      <w:pPr>
        <w:pStyle w:val="Corpodetexto"/>
        <w:rPr>
          <w:rFonts w:ascii="Trebuchet MS"/>
          <w:sz w:val="16"/>
        </w:rPr>
      </w:pPr>
    </w:p>
    <w:p w14:paraId="55EE9BF6" w14:textId="77777777" w:rsidR="00AE0598" w:rsidRDefault="0069255A">
      <w:pPr>
        <w:pStyle w:val="Corpodetexto"/>
        <w:spacing w:before="118" w:line="232" w:lineRule="auto"/>
        <w:ind w:left="110" w:right="127"/>
        <w:jc w:val="both"/>
      </w:pPr>
      <w:r>
        <w:rPr>
          <w:color w:val="231F20"/>
        </w:rPr>
        <w:t>endeavour (Timothy &amp; Boyd, 2006). Ramshaw and Gammon (2007, 2016) suggest that at the nexus of these realms is the phenomenon of heritage sport tourism. Other authors such as Gibson (1998a–c) have used the intriguing although somewhat narrower concept of n</w:t>
      </w:r>
      <w:r>
        <w:rPr>
          <w:color w:val="231F20"/>
        </w:rPr>
        <w:t>ostalgia- based sport tourism.</w:t>
      </w:r>
    </w:p>
    <w:p w14:paraId="3DE21651" w14:textId="77777777" w:rsidR="00AE0598" w:rsidRDefault="0069255A">
      <w:pPr>
        <w:pStyle w:val="Corpodetexto"/>
        <w:spacing w:before="6" w:line="232" w:lineRule="auto"/>
        <w:ind w:left="110" w:right="127" w:firstLine="320"/>
        <w:jc w:val="both"/>
      </w:pPr>
      <w:r>
        <w:rPr>
          <w:color w:val="231F20"/>
          <w:w w:val="95"/>
        </w:rPr>
        <w:t xml:space="preserve">Nostalgia sport tourism positions sport heritage as a tourist attraction </w:t>
      </w:r>
      <w:r>
        <w:rPr>
          <w:color w:val="231F20"/>
        </w:rPr>
        <w:t>(Focus</w:t>
      </w:r>
      <w:r>
        <w:rPr>
          <w:color w:val="231F20"/>
          <w:spacing w:val="-11"/>
        </w:rPr>
        <w:t xml:space="preserve"> </w:t>
      </w:r>
      <w:r>
        <w:rPr>
          <w:color w:val="231F20"/>
        </w:rPr>
        <w:t>Point</w:t>
      </w:r>
      <w:r>
        <w:rPr>
          <w:color w:val="231F20"/>
          <w:spacing w:val="-11"/>
        </w:rPr>
        <w:t xml:space="preserve"> </w:t>
      </w:r>
      <w:r>
        <w:rPr>
          <w:color w:val="231F20"/>
        </w:rPr>
        <w:t>10.2).</w:t>
      </w:r>
      <w:r>
        <w:rPr>
          <w:color w:val="231F20"/>
          <w:spacing w:val="-11"/>
        </w:rPr>
        <w:t xml:space="preserve"> </w:t>
      </w:r>
      <w:r>
        <w:rPr>
          <w:color w:val="231F20"/>
        </w:rPr>
        <w:t>It</w:t>
      </w:r>
      <w:r>
        <w:rPr>
          <w:color w:val="231F20"/>
          <w:spacing w:val="-11"/>
        </w:rPr>
        <w:t xml:space="preserve"> </w:t>
      </w:r>
      <w:r>
        <w:rPr>
          <w:color w:val="231F20"/>
        </w:rPr>
        <w:t>provides</w:t>
      </w:r>
      <w:r>
        <w:rPr>
          <w:color w:val="231F20"/>
          <w:spacing w:val="-11"/>
        </w:rPr>
        <w:t xml:space="preserve"> </w:t>
      </w:r>
      <w:r>
        <w:rPr>
          <w:color w:val="231F20"/>
        </w:rPr>
        <w:t>tangible</w:t>
      </w:r>
      <w:r>
        <w:rPr>
          <w:color w:val="231F20"/>
          <w:spacing w:val="-11"/>
        </w:rPr>
        <w:t xml:space="preserve"> </w:t>
      </w:r>
      <w:r>
        <w:rPr>
          <w:color w:val="231F20"/>
        </w:rPr>
        <w:t>evidence</w:t>
      </w:r>
      <w:r>
        <w:rPr>
          <w:color w:val="231F20"/>
          <w:spacing w:val="-11"/>
        </w:rPr>
        <w:t xml:space="preserve"> </w:t>
      </w:r>
      <w:r>
        <w:rPr>
          <w:color w:val="231F20"/>
        </w:rPr>
        <w:t>of</w:t>
      </w:r>
      <w:r>
        <w:rPr>
          <w:color w:val="231F20"/>
          <w:spacing w:val="-11"/>
        </w:rPr>
        <w:t xml:space="preserve"> </w:t>
      </w:r>
      <w:r>
        <w:rPr>
          <w:color w:val="231F20"/>
        </w:rPr>
        <w:t>the</w:t>
      </w:r>
      <w:r>
        <w:rPr>
          <w:color w:val="231F20"/>
          <w:spacing w:val="-11"/>
        </w:rPr>
        <w:t xml:space="preserve"> </w:t>
      </w:r>
      <w:r>
        <w:rPr>
          <w:color w:val="231F20"/>
        </w:rPr>
        <w:t>way</w:t>
      </w:r>
      <w:r>
        <w:rPr>
          <w:color w:val="231F20"/>
          <w:spacing w:val="-11"/>
        </w:rPr>
        <w:t xml:space="preserve"> </w:t>
      </w:r>
      <w:r>
        <w:rPr>
          <w:color w:val="231F20"/>
        </w:rPr>
        <w:t>that</w:t>
      </w:r>
      <w:r>
        <w:rPr>
          <w:color w:val="231F20"/>
          <w:spacing w:val="-11"/>
        </w:rPr>
        <w:t xml:space="preserve"> </w:t>
      </w:r>
      <w:r>
        <w:rPr>
          <w:color w:val="231F20"/>
        </w:rPr>
        <w:t>sport</w:t>
      </w:r>
      <w:r>
        <w:rPr>
          <w:color w:val="231F20"/>
          <w:spacing w:val="-11"/>
        </w:rPr>
        <w:t xml:space="preserve"> </w:t>
      </w:r>
      <w:r>
        <w:rPr>
          <w:color w:val="231F20"/>
        </w:rPr>
        <w:t>life cycles can have a direct impact on tourism in the form of sports halls of f</w:t>
      </w:r>
      <w:r>
        <w:rPr>
          <w:color w:val="231F20"/>
        </w:rPr>
        <w:t>ame</w:t>
      </w:r>
      <w:r>
        <w:rPr>
          <w:color w:val="231F20"/>
          <w:spacing w:val="-6"/>
        </w:rPr>
        <w:t xml:space="preserve"> </w:t>
      </w:r>
      <w:r>
        <w:rPr>
          <w:color w:val="231F20"/>
        </w:rPr>
        <w:t>and</w:t>
      </w:r>
      <w:r>
        <w:rPr>
          <w:color w:val="231F20"/>
          <w:spacing w:val="-6"/>
        </w:rPr>
        <w:t xml:space="preserve"> </w:t>
      </w:r>
      <w:r>
        <w:rPr>
          <w:color w:val="231F20"/>
        </w:rPr>
        <w:t>museums,</w:t>
      </w:r>
      <w:r>
        <w:rPr>
          <w:color w:val="231F20"/>
          <w:spacing w:val="-6"/>
        </w:rPr>
        <w:t xml:space="preserve"> </w:t>
      </w:r>
      <w:r>
        <w:rPr>
          <w:color w:val="231F20"/>
        </w:rPr>
        <w:t>high</w:t>
      </w:r>
      <w:r>
        <w:rPr>
          <w:color w:val="231F20"/>
          <w:spacing w:val="-6"/>
        </w:rPr>
        <w:t xml:space="preserve"> </w:t>
      </w:r>
      <w:r>
        <w:rPr>
          <w:color w:val="231F20"/>
        </w:rPr>
        <w:t>profile</w:t>
      </w:r>
      <w:r>
        <w:rPr>
          <w:color w:val="231F20"/>
          <w:spacing w:val="-6"/>
        </w:rPr>
        <w:t xml:space="preserve"> </w:t>
      </w:r>
      <w:r>
        <w:rPr>
          <w:color w:val="231F20"/>
        </w:rPr>
        <w:t>sporting</w:t>
      </w:r>
      <w:r>
        <w:rPr>
          <w:color w:val="231F20"/>
          <w:spacing w:val="-6"/>
        </w:rPr>
        <w:t xml:space="preserve"> </w:t>
      </w:r>
      <w:r>
        <w:rPr>
          <w:color w:val="231F20"/>
        </w:rPr>
        <w:t>venues</w:t>
      </w:r>
      <w:r>
        <w:rPr>
          <w:color w:val="231F20"/>
          <w:spacing w:val="-6"/>
        </w:rPr>
        <w:t xml:space="preserve"> </w:t>
      </w:r>
      <w:r>
        <w:rPr>
          <w:color w:val="231F20"/>
        </w:rPr>
        <w:t>and</w:t>
      </w:r>
      <w:r>
        <w:rPr>
          <w:color w:val="231F20"/>
          <w:spacing w:val="-6"/>
        </w:rPr>
        <w:t xml:space="preserve"> </w:t>
      </w:r>
      <w:r>
        <w:rPr>
          <w:color w:val="231F20"/>
        </w:rPr>
        <w:t>a</w:t>
      </w:r>
      <w:r>
        <w:rPr>
          <w:color w:val="231F20"/>
          <w:spacing w:val="-6"/>
        </w:rPr>
        <w:t xml:space="preserve"> </w:t>
      </w:r>
      <w:r>
        <w:rPr>
          <w:color w:val="231F20"/>
        </w:rPr>
        <w:t>range</w:t>
      </w:r>
      <w:r>
        <w:rPr>
          <w:color w:val="231F20"/>
          <w:spacing w:val="-6"/>
        </w:rPr>
        <w:t xml:space="preserve"> </w:t>
      </w:r>
      <w:r>
        <w:rPr>
          <w:color w:val="231F20"/>
        </w:rPr>
        <w:t>of</w:t>
      </w:r>
      <w:r>
        <w:rPr>
          <w:color w:val="231F20"/>
          <w:spacing w:val="-6"/>
        </w:rPr>
        <w:t xml:space="preserve"> </w:t>
      </w:r>
      <w:r>
        <w:rPr>
          <w:color w:val="231F20"/>
        </w:rPr>
        <w:t xml:space="preserve">thematic programmes, all of which take on the mantra of tourist attractions in </w:t>
      </w:r>
      <w:r>
        <w:rPr>
          <w:color w:val="231F20"/>
          <w:w w:val="95"/>
        </w:rPr>
        <w:t>their own right (Delpy, 1998). Fundamentally, nostalgia ‘…is a bittersweet emotion that involves the desire to go ba</w:t>
      </w:r>
      <w:r>
        <w:rPr>
          <w:color w:val="231F20"/>
          <w:w w:val="95"/>
        </w:rPr>
        <w:t xml:space="preserve">ck to the past…’ (Cho </w:t>
      </w:r>
      <w:r>
        <w:rPr>
          <w:i/>
          <w:color w:val="231F20"/>
          <w:w w:val="95"/>
        </w:rPr>
        <w:t>et al</w:t>
      </w:r>
      <w:r>
        <w:rPr>
          <w:color w:val="231F20"/>
          <w:w w:val="95"/>
        </w:rPr>
        <w:t xml:space="preserve">., 2014). </w:t>
      </w:r>
      <w:r>
        <w:rPr>
          <w:color w:val="231F20"/>
        </w:rPr>
        <w:t>As</w:t>
      </w:r>
      <w:r>
        <w:rPr>
          <w:color w:val="231F20"/>
          <w:spacing w:val="-11"/>
        </w:rPr>
        <w:t xml:space="preserve"> </w:t>
      </w:r>
      <w:r>
        <w:rPr>
          <w:color w:val="231F20"/>
        </w:rPr>
        <w:t>such,</w:t>
      </w:r>
      <w:r>
        <w:rPr>
          <w:color w:val="231F20"/>
          <w:spacing w:val="-11"/>
        </w:rPr>
        <w:t xml:space="preserve"> </w:t>
      </w:r>
      <w:r>
        <w:rPr>
          <w:color w:val="231F20"/>
        </w:rPr>
        <w:t>sport</w:t>
      </w:r>
      <w:r>
        <w:rPr>
          <w:color w:val="231F20"/>
          <w:spacing w:val="-11"/>
        </w:rPr>
        <w:t xml:space="preserve"> </w:t>
      </w:r>
      <w:r>
        <w:rPr>
          <w:color w:val="231F20"/>
        </w:rPr>
        <w:t>has</w:t>
      </w:r>
      <w:r>
        <w:rPr>
          <w:color w:val="231F20"/>
          <w:spacing w:val="-11"/>
        </w:rPr>
        <w:t xml:space="preserve"> </w:t>
      </w:r>
      <w:r>
        <w:rPr>
          <w:color w:val="231F20"/>
        </w:rPr>
        <w:t>always</w:t>
      </w:r>
      <w:r>
        <w:rPr>
          <w:color w:val="231F20"/>
          <w:spacing w:val="-11"/>
        </w:rPr>
        <w:t xml:space="preserve"> </w:t>
      </w:r>
      <w:r>
        <w:rPr>
          <w:color w:val="231F20"/>
        </w:rPr>
        <w:t>been</w:t>
      </w:r>
      <w:r>
        <w:rPr>
          <w:color w:val="231F20"/>
          <w:spacing w:val="-11"/>
        </w:rPr>
        <w:t xml:space="preserve"> </w:t>
      </w:r>
      <w:r>
        <w:rPr>
          <w:color w:val="231F20"/>
        </w:rPr>
        <w:t>closely</w:t>
      </w:r>
      <w:r>
        <w:rPr>
          <w:color w:val="231F20"/>
          <w:spacing w:val="-11"/>
        </w:rPr>
        <w:t xml:space="preserve"> </w:t>
      </w:r>
      <w:r>
        <w:rPr>
          <w:color w:val="231F20"/>
        </w:rPr>
        <w:t>associated</w:t>
      </w:r>
      <w:r>
        <w:rPr>
          <w:color w:val="231F20"/>
          <w:spacing w:val="-11"/>
        </w:rPr>
        <w:t xml:space="preserve"> </w:t>
      </w:r>
      <w:r>
        <w:rPr>
          <w:color w:val="231F20"/>
        </w:rPr>
        <w:t>with</w:t>
      </w:r>
      <w:r>
        <w:rPr>
          <w:color w:val="231F20"/>
          <w:spacing w:val="-11"/>
        </w:rPr>
        <w:t xml:space="preserve"> </w:t>
      </w:r>
      <w:r>
        <w:rPr>
          <w:color w:val="231F20"/>
        </w:rPr>
        <w:t>nostalgia,</w:t>
      </w:r>
      <w:r>
        <w:rPr>
          <w:color w:val="231F20"/>
          <w:spacing w:val="-11"/>
        </w:rPr>
        <w:t xml:space="preserve"> </w:t>
      </w:r>
      <w:r>
        <w:rPr>
          <w:color w:val="231F20"/>
        </w:rPr>
        <w:t xml:space="preserve">perhaps because it reconnects people to their youth when they were typically </w:t>
      </w:r>
      <w:r>
        <w:rPr>
          <w:color w:val="231F20"/>
          <w:w w:val="95"/>
        </w:rPr>
        <w:t xml:space="preserve">more active (Gammon, 2002). Snyder (1991) suggests that sport nostalgia </w:t>
      </w:r>
      <w:r>
        <w:rPr>
          <w:color w:val="231F20"/>
        </w:rPr>
        <w:t>can trigger reflections on our own mortality, which often results in an idealisation of the past.</w:t>
      </w:r>
    </w:p>
    <w:p w14:paraId="257EF51F" w14:textId="77777777" w:rsidR="00AE0598" w:rsidRDefault="00AE0598">
      <w:pPr>
        <w:pStyle w:val="Corpodetexto"/>
        <w:rPr>
          <w:sz w:val="22"/>
        </w:rPr>
      </w:pPr>
    </w:p>
    <w:p w14:paraId="128E7BFC" w14:textId="77777777" w:rsidR="00AE0598" w:rsidRDefault="0069255A">
      <w:pPr>
        <w:spacing w:line="244" w:lineRule="auto"/>
        <w:ind w:left="430" w:right="127"/>
        <w:jc w:val="both"/>
        <w:rPr>
          <w:sz w:val="20"/>
        </w:rPr>
      </w:pPr>
      <w:r>
        <w:rPr>
          <w:color w:val="231F20"/>
          <w:w w:val="95"/>
          <w:sz w:val="20"/>
        </w:rPr>
        <w:t xml:space="preserve">On the surface it appears that halls and museums attract people because of their fascination with sport, including the idolized figures and memorabilia </w:t>
      </w:r>
      <w:r>
        <w:rPr>
          <w:color w:val="231F20"/>
          <w:sz w:val="20"/>
        </w:rPr>
        <w:t>from</w:t>
      </w:r>
      <w:r>
        <w:rPr>
          <w:color w:val="231F20"/>
          <w:spacing w:val="-3"/>
          <w:sz w:val="20"/>
        </w:rPr>
        <w:t xml:space="preserve"> </w:t>
      </w:r>
      <w:r>
        <w:rPr>
          <w:color w:val="231F20"/>
          <w:sz w:val="20"/>
        </w:rPr>
        <w:t>the</w:t>
      </w:r>
      <w:r>
        <w:rPr>
          <w:color w:val="231F20"/>
          <w:spacing w:val="-3"/>
          <w:sz w:val="20"/>
        </w:rPr>
        <w:t xml:space="preserve"> </w:t>
      </w:r>
      <w:r>
        <w:rPr>
          <w:color w:val="231F20"/>
          <w:sz w:val="20"/>
        </w:rPr>
        <w:t>past.</w:t>
      </w:r>
      <w:r>
        <w:rPr>
          <w:color w:val="231F20"/>
          <w:spacing w:val="-3"/>
          <w:sz w:val="20"/>
        </w:rPr>
        <w:t xml:space="preserve"> </w:t>
      </w:r>
      <w:r>
        <w:rPr>
          <w:color w:val="231F20"/>
          <w:sz w:val="20"/>
        </w:rPr>
        <w:t>But</w:t>
      </w:r>
      <w:r>
        <w:rPr>
          <w:color w:val="231F20"/>
          <w:spacing w:val="-3"/>
          <w:sz w:val="20"/>
        </w:rPr>
        <w:t xml:space="preserve"> </w:t>
      </w:r>
      <w:r>
        <w:rPr>
          <w:color w:val="231F20"/>
          <w:sz w:val="20"/>
        </w:rPr>
        <w:t>this</w:t>
      </w:r>
      <w:r>
        <w:rPr>
          <w:color w:val="231F20"/>
          <w:spacing w:val="-3"/>
          <w:sz w:val="20"/>
        </w:rPr>
        <w:t xml:space="preserve"> </w:t>
      </w:r>
      <w:r>
        <w:rPr>
          <w:color w:val="231F20"/>
          <w:sz w:val="20"/>
        </w:rPr>
        <w:t>is</w:t>
      </w:r>
      <w:r>
        <w:rPr>
          <w:color w:val="231F20"/>
          <w:spacing w:val="-3"/>
          <w:sz w:val="20"/>
        </w:rPr>
        <w:t xml:space="preserve"> </w:t>
      </w:r>
      <w:r>
        <w:rPr>
          <w:color w:val="231F20"/>
          <w:sz w:val="20"/>
        </w:rPr>
        <w:t>only</w:t>
      </w:r>
      <w:r>
        <w:rPr>
          <w:color w:val="231F20"/>
          <w:spacing w:val="-3"/>
          <w:sz w:val="20"/>
        </w:rPr>
        <w:t xml:space="preserve"> </w:t>
      </w:r>
      <w:r>
        <w:rPr>
          <w:color w:val="231F20"/>
          <w:sz w:val="20"/>
        </w:rPr>
        <w:t>part</w:t>
      </w:r>
      <w:r>
        <w:rPr>
          <w:color w:val="231F20"/>
          <w:spacing w:val="-3"/>
          <w:sz w:val="20"/>
        </w:rPr>
        <w:t xml:space="preserve"> </w:t>
      </w:r>
      <w:r>
        <w:rPr>
          <w:color w:val="231F20"/>
          <w:sz w:val="20"/>
        </w:rPr>
        <w:t>of</w:t>
      </w:r>
      <w:r>
        <w:rPr>
          <w:color w:val="231F20"/>
          <w:spacing w:val="-3"/>
          <w:sz w:val="20"/>
        </w:rPr>
        <w:t xml:space="preserve"> </w:t>
      </w:r>
      <w:r>
        <w:rPr>
          <w:color w:val="231F20"/>
          <w:sz w:val="20"/>
        </w:rPr>
        <w:t>the</w:t>
      </w:r>
      <w:r>
        <w:rPr>
          <w:color w:val="231F20"/>
          <w:spacing w:val="-3"/>
          <w:sz w:val="20"/>
        </w:rPr>
        <w:t xml:space="preserve"> </w:t>
      </w:r>
      <w:r>
        <w:rPr>
          <w:color w:val="231F20"/>
          <w:sz w:val="20"/>
        </w:rPr>
        <w:t>explanation;</w:t>
      </w:r>
      <w:r>
        <w:rPr>
          <w:color w:val="231F20"/>
          <w:spacing w:val="-3"/>
          <w:sz w:val="20"/>
        </w:rPr>
        <w:t xml:space="preserve"> </w:t>
      </w:r>
      <w:r>
        <w:rPr>
          <w:color w:val="231F20"/>
          <w:sz w:val="20"/>
        </w:rPr>
        <w:t>the</w:t>
      </w:r>
      <w:r>
        <w:rPr>
          <w:color w:val="231F20"/>
          <w:spacing w:val="-3"/>
          <w:sz w:val="20"/>
        </w:rPr>
        <w:t xml:space="preserve"> </w:t>
      </w:r>
      <w:r>
        <w:rPr>
          <w:color w:val="231F20"/>
          <w:sz w:val="20"/>
        </w:rPr>
        <w:t>attraction</w:t>
      </w:r>
      <w:r>
        <w:rPr>
          <w:color w:val="231F20"/>
          <w:spacing w:val="-3"/>
          <w:sz w:val="20"/>
        </w:rPr>
        <w:t xml:space="preserve"> </w:t>
      </w:r>
      <w:r>
        <w:rPr>
          <w:color w:val="231F20"/>
          <w:sz w:val="20"/>
        </w:rPr>
        <w:t>may also be based on the contrasts in incongruity between past and present. This juxtaposition of the past with the present creates the context for feelings of nostalgia. (Snyder, 1991: 229</w:t>
      </w:r>
      <w:r>
        <w:rPr>
          <w:color w:val="231F20"/>
          <w:sz w:val="20"/>
        </w:rPr>
        <w:t>)</w:t>
      </w:r>
    </w:p>
    <w:p w14:paraId="7F371E3A" w14:textId="77777777" w:rsidR="00AE0598" w:rsidRDefault="00AE0598">
      <w:pPr>
        <w:pStyle w:val="Corpodetexto"/>
        <w:spacing w:before="7"/>
        <w:rPr>
          <w:sz w:val="20"/>
        </w:rPr>
      </w:pPr>
    </w:p>
    <w:p w14:paraId="008F934E" w14:textId="77777777" w:rsidR="00AE0598" w:rsidRDefault="0069255A">
      <w:pPr>
        <w:pStyle w:val="Corpodetexto"/>
        <w:spacing w:line="232" w:lineRule="auto"/>
        <w:ind w:left="110" w:right="123"/>
        <w:jc w:val="both"/>
      </w:pPr>
      <w:r>
        <w:rPr>
          <w:color w:val="231F20"/>
          <w:w w:val="95"/>
        </w:rPr>
        <w:t xml:space="preserve">Past sporting experiences may become reference points from which sport- </w:t>
      </w:r>
      <w:r>
        <w:rPr>
          <w:color w:val="231F20"/>
        </w:rPr>
        <w:t>oriented people derive life meaning. This meaning results from both collective and individualised views of the past. In the case of the former, popular</w:t>
      </w:r>
      <w:r>
        <w:rPr>
          <w:color w:val="231F20"/>
          <w:spacing w:val="-8"/>
        </w:rPr>
        <w:t xml:space="preserve"> </w:t>
      </w:r>
      <w:r>
        <w:rPr>
          <w:color w:val="231F20"/>
        </w:rPr>
        <w:t>media</w:t>
      </w:r>
      <w:r>
        <w:rPr>
          <w:color w:val="231F20"/>
          <w:spacing w:val="-8"/>
        </w:rPr>
        <w:t xml:space="preserve"> </w:t>
      </w:r>
      <w:r>
        <w:rPr>
          <w:color w:val="231F20"/>
        </w:rPr>
        <w:t>and</w:t>
      </w:r>
      <w:r>
        <w:rPr>
          <w:color w:val="231F20"/>
          <w:spacing w:val="-8"/>
        </w:rPr>
        <w:t xml:space="preserve"> </w:t>
      </w:r>
      <w:r>
        <w:rPr>
          <w:color w:val="231F20"/>
        </w:rPr>
        <w:t>various</w:t>
      </w:r>
      <w:r>
        <w:rPr>
          <w:color w:val="231F20"/>
          <w:spacing w:val="-8"/>
        </w:rPr>
        <w:t xml:space="preserve"> </w:t>
      </w:r>
      <w:r>
        <w:rPr>
          <w:color w:val="231F20"/>
        </w:rPr>
        <w:t>sporting</w:t>
      </w:r>
      <w:r>
        <w:rPr>
          <w:color w:val="231F20"/>
          <w:spacing w:val="-8"/>
        </w:rPr>
        <w:t xml:space="preserve"> </w:t>
      </w:r>
      <w:r>
        <w:rPr>
          <w:color w:val="231F20"/>
        </w:rPr>
        <w:t>in</w:t>
      </w:r>
      <w:r>
        <w:rPr>
          <w:color w:val="231F20"/>
        </w:rPr>
        <w:t>stitutions</w:t>
      </w:r>
      <w:r>
        <w:rPr>
          <w:color w:val="231F20"/>
          <w:spacing w:val="-8"/>
        </w:rPr>
        <w:t xml:space="preserve"> </w:t>
      </w:r>
      <w:r>
        <w:rPr>
          <w:color w:val="231F20"/>
        </w:rPr>
        <w:t>celebrate</w:t>
      </w:r>
      <w:r>
        <w:rPr>
          <w:color w:val="231F20"/>
          <w:spacing w:val="-8"/>
        </w:rPr>
        <w:t xml:space="preserve"> </w:t>
      </w:r>
      <w:r>
        <w:rPr>
          <w:color w:val="231F20"/>
        </w:rPr>
        <w:t>an</w:t>
      </w:r>
      <w:r>
        <w:rPr>
          <w:color w:val="231F20"/>
          <w:spacing w:val="-8"/>
        </w:rPr>
        <w:t xml:space="preserve"> </w:t>
      </w:r>
      <w:r>
        <w:rPr>
          <w:color w:val="231F20"/>
        </w:rPr>
        <w:t xml:space="preserve">assortment </w:t>
      </w:r>
      <w:r>
        <w:rPr>
          <w:color w:val="231F20"/>
          <w:w w:val="95"/>
        </w:rPr>
        <w:t xml:space="preserve">of sporting victories, events and personalities in a way that impresses them upon the popular consciousness. In the latter case, sport nostalgia is linked </w:t>
      </w:r>
      <w:r>
        <w:rPr>
          <w:color w:val="231F20"/>
        </w:rPr>
        <w:t>to the benchmarks of an individual’s sport involvement and identit</w:t>
      </w:r>
      <w:r>
        <w:rPr>
          <w:color w:val="231F20"/>
        </w:rPr>
        <w:t>y at different</w:t>
      </w:r>
      <w:r>
        <w:rPr>
          <w:color w:val="231F20"/>
          <w:spacing w:val="-4"/>
        </w:rPr>
        <w:t xml:space="preserve"> </w:t>
      </w:r>
      <w:r>
        <w:rPr>
          <w:color w:val="231F20"/>
        </w:rPr>
        <w:t>points</w:t>
      </w:r>
      <w:r>
        <w:rPr>
          <w:color w:val="231F20"/>
          <w:spacing w:val="-4"/>
        </w:rPr>
        <w:t xml:space="preserve"> </w:t>
      </w:r>
      <w:r>
        <w:rPr>
          <w:color w:val="231F20"/>
        </w:rPr>
        <w:t>in</w:t>
      </w:r>
      <w:r>
        <w:rPr>
          <w:color w:val="231F20"/>
          <w:spacing w:val="-4"/>
        </w:rPr>
        <w:t xml:space="preserve"> </w:t>
      </w:r>
      <w:r>
        <w:rPr>
          <w:color w:val="231F20"/>
        </w:rPr>
        <w:t>his</w:t>
      </w:r>
      <w:r>
        <w:rPr>
          <w:color w:val="231F20"/>
          <w:spacing w:val="-4"/>
        </w:rPr>
        <w:t xml:space="preserve"> </w:t>
      </w:r>
      <w:r>
        <w:rPr>
          <w:color w:val="231F20"/>
        </w:rPr>
        <w:t>or</w:t>
      </w:r>
      <w:r>
        <w:rPr>
          <w:color w:val="231F20"/>
          <w:spacing w:val="-4"/>
        </w:rPr>
        <w:t xml:space="preserve"> </w:t>
      </w:r>
      <w:r>
        <w:rPr>
          <w:color w:val="231F20"/>
        </w:rPr>
        <w:t>her</w:t>
      </w:r>
      <w:r>
        <w:rPr>
          <w:color w:val="231F20"/>
          <w:spacing w:val="-4"/>
        </w:rPr>
        <w:t xml:space="preserve"> </w:t>
      </w:r>
      <w:r>
        <w:rPr>
          <w:color w:val="231F20"/>
        </w:rPr>
        <w:t>life.</w:t>
      </w:r>
      <w:r>
        <w:rPr>
          <w:color w:val="231F20"/>
          <w:spacing w:val="-4"/>
        </w:rPr>
        <w:t xml:space="preserve"> </w:t>
      </w:r>
      <w:r>
        <w:rPr>
          <w:color w:val="231F20"/>
        </w:rPr>
        <w:t>It</w:t>
      </w:r>
      <w:r>
        <w:rPr>
          <w:color w:val="231F20"/>
          <w:spacing w:val="-4"/>
        </w:rPr>
        <w:t xml:space="preserve"> </w:t>
      </w:r>
      <w:r>
        <w:rPr>
          <w:color w:val="231F20"/>
        </w:rPr>
        <w:t>often</w:t>
      </w:r>
      <w:r>
        <w:rPr>
          <w:color w:val="231F20"/>
          <w:spacing w:val="-4"/>
        </w:rPr>
        <w:t xml:space="preserve"> </w:t>
      </w:r>
      <w:r>
        <w:rPr>
          <w:color w:val="231F20"/>
        </w:rPr>
        <w:t>is</w:t>
      </w:r>
      <w:r>
        <w:rPr>
          <w:color w:val="231F20"/>
          <w:spacing w:val="-4"/>
        </w:rPr>
        <w:t xml:space="preserve"> </w:t>
      </w:r>
      <w:r>
        <w:rPr>
          <w:color w:val="231F20"/>
        </w:rPr>
        <w:t>reflected</w:t>
      </w:r>
      <w:r>
        <w:rPr>
          <w:color w:val="231F20"/>
          <w:spacing w:val="-4"/>
        </w:rPr>
        <w:t xml:space="preserve"> </w:t>
      </w:r>
      <w:r>
        <w:rPr>
          <w:color w:val="231F20"/>
        </w:rPr>
        <w:t>in</w:t>
      </w:r>
      <w:r>
        <w:rPr>
          <w:color w:val="231F20"/>
          <w:spacing w:val="-4"/>
        </w:rPr>
        <w:t xml:space="preserve"> </w:t>
      </w:r>
      <w:r>
        <w:rPr>
          <w:color w:val="231F20"/>
        </w:rPr>
        <w:t>their</w:t>
      </w:r>
      <w:r>
        <w:rPr>
          <w:color w:val="231F20"/>
          <w:spacing w:val="-4"/>
        </w:rPr>
        <w:t xml:space="preserve"> </w:t>
      </w:r>
      <w:r>
        <w:rPr>
          <w:color w:val="231F20"/>
        </w:rPr>
        <w:t>social</w:t>
      </w:r>
      <w:r>
        <w:rPr>
          <w:color w:val="231F20"/>
          <w:spacing w:val="-4"/>
        </w:rPr>
        <w:t xml:space="preserve"> </w:t>
      </w:r>
      <w:r>
        <w:rPr>
          <w:color w:val="231F20"/>
        </w:rPr>
        <w:t>media practices.</w:t>
      </w:r>
      <w:r>
        <w:rPr>
          <w:color w:val="231F20"/>
          <w:spacing w:val="-6"/>
        </w:rPr>
        <w:t xml:space="preserve"> </w:t>
      </w:r>
      <w:r>
        <w:rPr>
          <w:color w:val="231F20"/>
        </w:rPr>
        <w:t>Fairley</w:t>
      </w:r>
      <w:r>
        <w:rPr>
          <w:color w:val="231F20"/>
          <w:spacing w:val="-6"/>
        </w:rPr>
        <w:t xml:space="preserve"> </w:t>
      </w:r>
      <w:r>
        <w:rPr>
          <w:color w:val="231F20"/>
        </w:rPr>
        <w:t>and</w:t>
      </w:r>
      <w:r>
        <w:rPr>
          <w:color w:val="231F20"/>
          <w:spacing w:val="-6"/>
        </w:rPr>
        <w:t xml:space="preserve"> </w:t>
      </w:r>
      <w:r>
        <w:rPr>
          <w:color w:val="231F20"/>
        </w:rPr>
        <w:t>Gammon</w:t>
      </w:r>
      <w:r>
        <w:rPr>
          <w:color w:val="231F20"/>
          <w:spacing w:val="-6"/>
        </w:rPr>
        <w:t xml:space="preserve"> </w:t>
      </w:r>
      <w:r>
        <w:rPr>
          <w:color w:val="231F20"/>
        </w:rPr>
        <w:t>(2005)</w:t>
      </w:r>
      <w:r>
        <w:rPr>
          <w:color w:val="231F20"/>
          <w:spacing w:val="-6"/>
        </w:rPr>
        <w:t xml:space="preserve"> </w:t>
      </w:r>
      <w:r>
        <w:rPr>
          <w:color w:val="231F20"/>
        </w:rPr>
        <w:t>point</w:t>
      </w:r>
      <w:r>
        <w:rPr>
          <w:color w:val="231F20"/>
          <w:spacing w:val="-6"/>
        </w:rPr>
        <w:t xml:space="preserve"> </w:t>
      </w:r>
      <w:r>
        <w:rPr>
          <w:color w:val="231F20"/>
        </w:rPr>
        <w:t>out</w:t>
      </w:r>
      <w:r>
        <w:rPr>
          <w:color w:val="231F20"/>
          <w:spacing w:val="-6"/>
        </w:rPr>
        <w:t xml:space="preserve"> </w:t>
      </w:r>
      <w:r>
        <w:rPr>
          <w:color w:val="231F20"/>
        </w:rPr>
        <w:t>that</w:t>
      </w:r>
      <w:r>
        <w:rPr>
          <w:color w:val="231F20"/>
          <w:spacing w:val="-6"/>
        </w:rPr>
        <w:t xml:space="preserve"> </w:t>
      </w:r>
      <w:r>
        <w:rPr>
          <w:color w:val="231F20"/>
        </w:rPr>
        <w:t>this</w:t>
      </w:r>
      <w:r>
        <w:rPr>
          <w:color w:val="231F20"/>
          <w:spacing w:val="-6"/>
        </w:rPr>
        <w:t xml:space="preserve"> </w:t>
      </w:r>
      <w:r>
        <w:rPr>
          <w:color w:val="231F20"/>
        </w:rPr>
        <w:t>nostalgia</w:t>
      </w:r>
      <w:r>
        <w:rPr>
          <w:color w:val="231F20"/>
          <w:spacing w:val="-6"/>
        </w:rPr>
        <w:t xml:space="preserve"> </w:t>
      </w:r>
      <w:r>
        <w:rPr>
          <w:color w:val="231F20"/>
        </w:rPr>
        <w:t>is</w:t>
      </w:r>
      <w:r>
        <w:rPr>
          <w:color w:val="231F20"/>
          <w:spacing w:val="-6"/>
        </w:rPr>
        <w:t xml:space="preserve"> </w:t>
      </w:r>
      <w:r>
        <w:rPr>
          <w:color w:val="231F20"/>
        </w:rPr>
        <w:t xml:space="preserve">not just focused on sport memorabilia or other tangible manifestations of </w:t>
      </w:r>
      <w:r>
        <w:rPr>
          <w:color w:val="231F20"/>
          <w:w w:val="95"/>
        </w:rPr>
        <w:t xml:space="preserve">sport heritage but is, in part, due to the desire to relive a social experience </w:t>
      </w:r>
      <w:r>
        <w:rPr>
          <w:color w:val="231F20"/>
        </w:rPr>
        <w:t>that</w:t>
      </w:r>
      <w:r>
        <w:rPr>
          <w:color w:val="231F20"/>
          <w:spacing w:val="-11"/>
        </w:rPr>
        <w:t xml:space="preserve"> </w:t>
      </w:r>
      <w:r>
        <w:rPr>
          <w:color w:val="231F20"/>
        </w:rPr>
        <w:t>one</w:t>
      </w:r>
      <w:r>
        <w:rPr>
          <w:color w:val="231F20"/>
          <w:spacing w:val="-11"/>
        </w:rPr>
        <w:t xml:space="preserve"> </w:t>
      </w:r>
      <w:r>
        <w:rPr>
          <w:color w:val="231F20"/>
        </w:rPr>
        <w:t>may</w:t>
      </w:r>
      <w:r>
        <w:rPr>
          <w:color w:val="231F20"/>
          <w:spacing w:val="-11"/>
        </w:rPr>
        <w:t xml:space="preserve"> </w:t>
      </w:r>
      <w:r>
        <w:rPr>
          <w:color w:val="231F20"/>
        </w:rPr>
        <w:t>have</w:t>
      </w:r>
      <w:r>
        <w:rPr>
          <w:color w:val="231F20"/>
          <w:spacing w:val="-11"/>
        </w:rPr>
        <w:t xml:space="preserve"> </w:t>
      </w:r>
      <w:r>
        <w:rPr>
          <w:color w:val="231F20"/>
        </w:rPr>
        <w:t>had</w:t>
      </w:r>
      <w:r>
        <w:rPr>
          <w:color w:val="231F20"/>
          <w:spacing w:val="-11"/>
        </w:rPr>
        <w:t xml:space="preserve"> </w:t>
      </w:r>
      <w:r>
        <w:rPr>
          <w:color w:val="231F20"/>
        </w:rPr>
        <w:t>related</w:t>
      </w:r>
      <w:r>
        <w:rPr>
          <w:color w:val="231F20"/>
          <w:spacing w:val="-11"/>
        </w:rPr>
        <w:t xml:space="preserve"> </w:t>
      </w:r>
      <w:r>
        <w:rPr>
          <w:color w:val="231F20"/>
        </w:rPr>
        <w:t>to</w:t>
      </w:r>
      <w:r>
        <w:rPr>
          <w:color w:val="231F20"/>
          <w:spacing w:val="-11"/>
        </w:rPr>
        <w:t xml:space="preserve"> </w:t>
      </w:r>
      <w:r>
        <w:rPr>
          <w:color w:val="231F20"/>
        </w:rPr>
        <w:t>sport.</w:t>
      </w:r>
      <w:r>
        <w:rPr>
          <w:color w:val="231F20"/>
          <w:spacing w:val="-11"/>
        </w:rPr>
        <w:t xml:space="preserve"> </w:t>
      </w:r>
      <w:r>
        <w:rPr>
          <w:color w:val="231F20"/>
        </w:rPr>
        <w:t>The</w:t>
      </w:r>
      <w:r>
        <w:rPr>
          <w:color w:val="231F20"/>
          <w:spacing w:val="-11"/>
        </w:rPr>
        <w:t xml:space="preserve"> </w:t>
      </w:r>
      <w:r>
        <w:rPr>
          <w:color w:val="231F20"/>
        </w:rPr>
        <w:t>combination</w:t>
      </w:r>
      <w:r>
        <w:rPr>
          <w:color w:val="231F20"/>
          <w:spacing w:val="-11"/>
        </w:rPr>
        <w:t xml:space="preserve"> </w:t>
      </w:r>
      <w:r>
        <w:rPr>
          <w:color w:val="231F20"/>
        </w:rPr>
        <w:t>of</w:t>
      </w:r>
      <w:r>
        <w:rPr>
          <w:color w:val="231F20"/>
          <w:spacing w:val="-11"/>
        </w:rPr>
        <w:t xml:space="preserve"> </w:t>
      </w:r>
      <w:r>
        <w:rPr>
          <w:color w:val="231F20"/>
        </w:rPr>
        <w:t>collective</w:t>
      </w:r>
      <w:r>
        <w:rPr>
          <w:color w:val="231F20"/>
          <w:spacing w:val="-11"/>
        </w:rPr>
        <w:t xml:space="preserve"> </w:t>
      </w:r>
      <w:r>
        <w:rPr>
          <w:color w:val="231F20"/>
        </w:rPr>
        <w:t xml:space="preserve">and </w:t>
      </w:r>
      <w:r>
        <w:rPr>
          <w:color w:val="231F20"/>
          <w:w w:val="95"/>
        </w:rPr>
        <w:t>individualised nostalgia cre</w:t>
      </w:r>
      <w:r>
        <w:rPr>
          <w:color w:val="231F20"/>
          <w:w w:val="95"/>
        </w:rPr>
        <w:t xml:space="preserve">ates a powerful force that is increasingly being </w:t>
      </w:r>
      <w:r>
        <w:rPr>
          <w:color w:val="231F20"/>
        </w:rPr>
        <w:t>mined</w:t>
      </w:r>
      <w:r>
        <w:rPr>
          <w:color w:val="231F20"/>
          <w:spacing w:val="-5"/>
        </w:rPr>
        <w:t xml:space="preserve"> </w:t>
      </w:r>
      <w:r>
        <w:rPr>
          <w:color w:val="231F20"/>
        </w:rPr>
        <w:t>by</w:t>
      </w:r>
      <w:r>
        <w:rPr>
          <w:color w:val="231F20"/>
          <w:spacing w:val="-5"/>
        </w:rPr>
        <w:t xml:space="preserve"> </w:t>
      </w:r>
      <w:r>
        <w:rPr>
          <w:color w:val="231F20"/>
        </w:rPr>
        <w:t>the</w:t>
      </w:r>
      <w:r>
        <w:rPr>
          <w:color w:val="231F20"/>
          <w:spacing w:val="-5"/>
        </w:rPr>
        <w:t xml:space="preserve"> </w:t>
      </w:r>
      <w:r>
        <w:rPr>
          <w:color w:val="231F20"/>
        </w:rPr>
        <w:t>sport</w:t>
      </w:r>
      <w:r>
        <w:rPr>
          <w:color w:val="231F20"/>
          <w:spacing w:val="-5"/>
        </w:rPr>
        <w:t xml:space="preserve"> </w:t>
      </w:r>
      <w:r>
        <w:rPr>
          <w:color w:val="231F20"/>
        </w:rPr>
        <w:t>and</w:t>
      </w:r>
      <w:r>
        <w:rPr>
          <w:color w:val="231F20"/>
          <w:spacing w:val="-5"/>
        </w:rPr>
        <w:t xml:space="preserve"> </w:t>
      </w:r>
      <w:r>
        <w:rPr>
          <w:color w:val="231F20"/>
        </w:rPr>
        <w:t>tourism</w:t>
      </w:r>
      <w:r>
        <w:rPr>
          <w:color w:val="231F20"/>
          <w:spacing w:val="-5"/>
        </w:rPr>
        <w:t xml:space="preserve"> </w:t>
      </w:r>
      <w:r>
        <w:rPr>
          <w:color w:val="231F20"/>
        </w:rPr>
        <w:t>industries</w:t>
      </w:r>
      <w:r>
        <w:rPr>
          <w:color w:val="231F20"/>
          <w:spacing w:val="-5"/>
        </w:rPr>
        <w:t xml:space="preserve"> </w:t>
      </w:r>
      <w:r>
        <w:rPr>
          <w:color w:val="231F20"/>
        </w:rPr>
        <w:t>in</w:t>
      </w:r>
      <w:r>
        <w:rPr>
          <w:color w:val="231F20"/>
          <w:spacing w:val="-5"/>
        </w:rPr>
        <w:t xml:space="preserve"> </w:t>
      </w:r>
      <w:r>
        <w:rPr>
          <w:color w:val="231F20"/>
        </w:rPr>
        <w:t>order</w:t>
      </w:r>
      <w:r>
        <w:rPr>
          <w:color w:val="231F20"/>
          <w:spacing w:val="-5"/>
        </w:rPr>
        <w:t xml:space="preserve"> </w:t>
      </w:r>
      <w:r>
        <w:rPr>
          <w:color w:val="231F20"/>
        </w:rPr>
        <w:t>to</w:t>
      </w:r>
      <w:r>
        <w:rPr>
          <w:color w:val="231F20"/>
          <w:spacing w:val="-5"/>
        </w:rPr>
        <w:t xml:space="preserve"> </w:t>
      </w:r>
      <w:r>
        <w:rPr>
          <w:color w:val="231F20"/>
        </w:rPr>
        <w:t>create</w:t>
      </w:r>
      <w:r>
        <w:rPr>
          <w:color w:val="231F20"/>
          <w:spacing w:val="-5"/>
        </w:rPr>
        <w:t xml:space="preserve"> </w:t>
      </w:r>
      <w:r>
        <w:rPr>
          <w:color w:val="231F20"/>
        </w:rPr>
        <w:t>commercial development opportunities.</w:t>
      </w:r>
    </w:p>
    <w:p w14:paraId="1F12D11C" w14:textId="77777777" w:rsidR="00AE0598" w:rsidRDefault="00AE0598">
      <w:pPr>
        <w:spacing w:line="232" w:lineRule="auto"/>
        <w:jc w:val="both"/>
        <w:sectPr w:rsidR="00AE0598">
          <w:pgSz w:w="8850" w:h="13270"/>
          <w:pgMar w:top="720" w:right="1060" w:bottom="280" w:left="1080" w:header="720" w:footer="720" w:gutter="0"/>
          <w:cols w:space="720"/>
        </w:sectPr>
      </w:pPr>
    </w:p>
    <w:p w14:paraId="2FECD460" w14:textId="53F545B4" w:rsidR="00AE0598" w:rsidRDefault="0069255A">
      <w:pPr>
        <w:spacing w:before="87"/>
        <w:ind w:left="108"/>
        <w:rPr>
          <w:rFonts w:ascii="Trebuchet MS"/>
          <w:sz w:val="14"/>
        </w:rPr>
      </w:pPr>
      <w:r>
        <w:rPr>
          <w:noProof/>
        </w:rPr>
        <w:lastRenderedPageBreak/>
        <mc:AlternateContent>
          <mc:Choice Requires="wps">
            <w:drawing>
              <wp:anchor distT="0" distB="0" distL="114300" distR="114300" simplePos="0" relativeHeight="483760640" behindDoc="1" locked="0" layoutInCell="1" allowOverlap="1" wp14:anchorId="70FBCE26" wp14:editId="34203DF2">
                <wp:simplePos x="0" y="0"/>
                <wp:positionH relativeFrom="page">
                  <wp:posOffset>755650</wp:posOffset>
                </wp:positionH>
                <wp:positionV relativeFrom="page">
                  <wp:posOffset>838200</wp:posOffset>
                </wp:positionV>
                <wp:extent cx="4104005" cy="6645910"/>
                <wp:effectExtent l="0" t="0" r="0" b="0"/>
                <wp:wrapNone/>
                <wp:docPr id="3" name="docshape3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04005" cy="6645910"/>
                        </a:xfrm>
                        <a:prstGeom prst="rect">
                          <a:avLst/>
                        </a:prstGeom>
                        <a:solidFill>
                          <a:srgbClr val="DCDDD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5E4A73" id="docshape343" o:spid="_x0000_s1026" style="position:absolute;margin-left:59.5pt;margin-top:66pt;width:323.15pt;height:523.3pt;z-index:-195558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" fillcolor="#dcddde" stroked="f">
                <w10:wrap anchorx="page" anchory="page"/>
              </v:rect>
            </w:pict>
          </mc:Fallback>
        </mc:AlternateContent>
      </w:r>
      <w:r>
        <w:rPr>
          <w:rFonts w:ascii="Trebuchet MS"/>
          <w:color w:val="231F20"/>
          <w:w w:val="105"/>
          <w:sz w:val="14"/>
        </w:rPr>
        <w:t>210</w:t>
      </w:r>
      <w:r>
        <w:rPr>
          <w:rFonts w:ascii="Trebuchet MS"/>
          <w:color w:val="231F20"/>
          <w:spacing w:val="66"/>
          <w:w w:val="150"/>
          <w:sz w:val="14"/>
        </w:rPr>
        <w:t xml:space="preserve"> </w:t>
      </w:r>
      <w:r>
        <w:rPr>
          <w:rFonts w:ascii="Trebuchet MS"/>
          <w:color w:val="231F20"/>
          <w:w w:val="105"/>
          <w:sz w:val="14"/>
        </w:rPr>
        <w:t>Part</w:t>
      </w:r>
      <w:r>
        <w:rPr>
          <w:rFonts w:ascii="Trebuchet MS"/>
          <w:color w:val="231F20"/>
          <w:spacing w:val="-9"/>
          <w:w w:val="105"/>
          <w:sz w:val="14"/>
        </w:rPr>
        <w:t xml:space="preserve"> </w:t>
      </w:r>
      <w:r>
        <w:rPr>
          <w:rFonts w:ascii="Trebuchet MS"/>
          <w:color w:val="231F20"/>
          <w:w w:val="105"/>
          <w:sz w:val="14"/>
        </w:rPr>
        <w:t>4:</w:t>
      </w:r>
      <w:r>
        <w:rPr>
          <w:rFonts w:ascii="Trebuchet MS"/>
          <w:color w:val="231F20"/>
          <w:spacing w:val="-8"/>
          <w:w w:val="105"/>
          <w:sz w:val="14"/>
        </w:rPr>
        <w:t xml:space="preserve"> </w:t>
      </w:r>
      <w:r>
        <w:rPr>
          <w:rFonts w:ascii="Trebuchet MS"/>
          <w:color w:val="231F20"/>
          <w:w w:val="105"/>
          <w:sz w:val="14"/>
        </w:rPr>
        <w:t>Sport</w:t>
      </w:r>
      <w:r>
        <w:rPr>
          <w:rFonts w:ascii="Trebuchet MS"/>
          <w:color w:val="231F20"/>
          <w:spacing w:val="-9"/>
          <w:w w:val="105"/>
          <w:sz w:val="14"/>
        </w:rPr>
        <w:t xml:space="preserve"> </w:t>
      </w:r>
      <w:r>
        <w:rPr>
          <w:rFonts w:ascii="Trebuchet MS"/>
          <w:color w:val="231F20"/>
          <w:w w:val="105"/>
          <w:sz w:val="14"/>
        </w:rPr>
        <w:t>Tourism</w:t>
      </w:r>
      <w:r>
        <w:rPr>
          <w:rFonts w:ascii="Trebuchet MS"/>
          <w:color w:val="231F20"/>
          <w:spacing w:val="-9"/>
          <w:w w:val="105"/>
          <w:sz w:val="14"/>
        </w:rPr>
        <w:t xml:space="preserve"> </w:t>
      </w:r>
      <w:r>
        <w:rPr>
          <w:rFonts w:ascii="Trebuchet MS"/>
          <w:color w:val="231F20"/>
          <w:w w:val="105"/>
          <w:sz w:val="14"/>
        </w:rPr>
        <w:t>Development</w:t>
      </w:r>
      <w:r>
        <w:rPr>
          <w:rFonts w:ascii="Trebuchet MS"/>
          <w:color w:val="231F20"/>
          <w:spacing w:val="-9"/>
          <w:w w:val="105"/>
          <w:sz w:val="14"/>
        </w:rPr>
        <w:t xml:space="preserve"> </w:t>
      </w:r>
      <w:r>
        <w:rPr>
          <w:rFonts w:ascii="Trebuchet MS"/>
          <w:color w:val="231F20"/>
          <w:w w:val="105"/>
          <w:sz w:val="14"/>
        </w:rPr>
        <w:t>and</w:t>
      </w:r>
      <w:r>
        <w:rPr>
          <w:rFonts w:ascii="Trebuchet MS"/>
          <w:color w:val="231F20"/>
          <w:spacing w:val="-8"/>
          <w:w w:val="105"/>
          <w:sz w:val="14"/>
        </w:rPr>
        <w:t xml:space="preserve"> </w:t>
      </w:r>
      <w:r>
        <w:rPr>
          <w:rFonts w:ascii="Trebuchet MS"/>
          <w:color w:val="231F20"/>
          <w:spacing w:val="-4"/>
          <w:w w:val="105"/>
          <w:sz w:val="14"/>
        </w:rPr>
        <w:t>Time</w:t>
      </w:r>
    </w:p>
    <w:p w14:paraId="2B9C2481" w14:textId="77777777" w:rsidR="00AE0598" w:rsidRDefault="00AE0598">
      <w:pPr>
        <w:pStyle w:val="Corpodetexto"/>
        <w:spacing w:before="7"/>
        <w:rPr>
          <w:rFonts w:ascii="Trebuchet MS"/>
          <w:sz w:val="27"/>
        </w:rPr>
      </w:pPr>
    </w:p>
    <w:p w14:paraId="20313ED9" w14:textId="77777777" w:rsidR="00AE0598" w:rsidRDefault="0069255A">
      <w:pPr>
        <w:spacing w:before="99"/>
        <w:ind w:left="223"/>
        <w:jc w:val="both"/>
        <w:rPr>
          <w:rFonts w:ascii="Trebuchet MS"/>
          <w:sz w:val="20"/>
        </w:rPr>
      </w:pPr>
      <w:r>
        <w:rPr>
          <w:rFonts w:ascii="Trebuchet MS"/>
          <w:color w:val="231F20"/>
          <w:sz w:val="20"/>
        </w:rPr>
        <w:t>Focus</w:t>
      </w:r>
      <w:r>
        <w:rPr>
          <w:rFonts w:ascii="Trebuchet MS"/>
          <w:color w:val="231F20"/>
          <w:spacing w:val="17"/>
          <w:sz w:val="20"/>
        </w:rPr>
        <w:t xml:space="preserve"> </w:t>
      </w:r>
      <w:r>
        <w:rPr>
          <w:rFonts w:ascii="Trebuchet MS"/>
          <w:color w:val="231F20"/>
          <w:sz w:val="20"/>
        </w:rPr>
        <w:t>Point</w:t>
      </w:r>
      <w:r>
        <w:rPr>
          <w:rFonts w:ascii="Trebuchet MS"/>
          <w:color w:val="231F20"/>
          <w:spacing w:val="17"/>
          <w:sz w:val="20"/>
        </w:rPr>
        <w:t xml:space="preserve"> </w:t>
      </w:r>
      <w:r>
        <w:rPr>
          <w:rFonts w:ascii="Trebuchet MS"/>
          <w:color w:val="231F20"/>
          <w:sz w:val="20"/>
        </w:rPr>
        <w:t>10.2:</w:t>
      </w:r>
      <w:r>
        <w:rPr>
          <w:rFonts w:ascii="Trebuchet MS"/>
          <w:color w:val="231F20"/>
          <w:spacing w:val="18"/>
          <w:sz w:val="20"/>
        </w:rPr>
        <w:t xml:space="preserve"> </w:t>
      </w:r>
      <w:r>
        <w:rPr>
          <w:rFonts w:ascii="Trebuchet MS"/>
          <w:color w:val="231F20"/>
          <w:sz w:val="20"/>
        </w:rPr>
        <w:t>Heritage,</w:t>
      </w:r>
      <w:r>
        <w:rPr>
          <w:rFonts w:ascii="Trebuchet MS"/>
          <w:color w:val="231F20"/>
          <w:spacing w:val="17"/>
          <w:sz w:val="20"/>
        </w:rPr>
        <w:t xml:space="preserve"> </w:t>
      </w:r>
      <w:r>
        <w:rPr>
          <w:rFonts w:ascii="Trebuchet MS"/>
          <w:color w:val="231F20"/>
          <w:sz w:val="20"/>
        </w:rPr>
        <w:t>Nostalgia</w:t>
      </w:r>
      <w:r>
        <w:rPr>
          <w:rFonts w:ascii="Trebuchet MS"/>
          <w:color w:val="231F20"/>
          <w:spacing w:val="17"/>
          <w:sz w:val="20"/>
        </w:rPr>
        <w:t xml:space="preserve"> </w:t>
      </w:r>
      <w:r>
        <w:rPr>
          <w:rFonts w:ascii="Trebuchet MS"/>
          <w:color w:val="231F20"/>
          <w:sz w:val="20"/>
        </w:rPr>
        <w:t>and</w:t>
      </w:r>
      <w:r>
        <w:rPr>
          <w:rFonts w:ascii="Trebuchet MS"/>
          <w:color w:val="231F20"/>
          <w:spacing w:val="18"/>
          <w:sz w:val="20"/>
        </w:rPr>
        <w:t xml:space="preserve"> </w:t>
      </w:r>
      <w:r>
        <w:rPr>
          <w:rFonts w:ascii="Trebuchet MS"/>
          <w:color w:val="231F20"/>
          <w:sz w:val="20"/>
        </w:rPr>
        <w:t>Outdoor</w:t>
      </w:r>
      <w:r>
        <w:rPr>
          <w:rFonts w:ascii="Trebuchet MS"/>
          <w:color w:val="231F20"/>
          <w:spacing w:val="17"/>
          <w:sz w:val="20"/>
        </w:rPr>
        <w:t xml:space="preserve"> </w:t>
      </w:r>
      <w:r>
        <w:rPr>
          <w:rFonts w:ascii="Trebuchet MS"/>
          <w:color w:val="231F20"/>
          <w:sz w:val="20"/>
        </w:rPr>
        <w:t>Ice</w:t>
      </w:r>
      <w:r>
        <w:rPr>
          <w:rFonts w:ascii="Trebuchet MS"/>
          <w:color w:val="231F20"/>
          <w:spacing w:val="17"/>
          <w:sz w:val="20"/>
        </w:rPr>
        <w:t xml:space="preserve"> </w:t>
      </w:r>
      <w:r>
        <w:rPr>
          <w:rFonts w:ascii="Trebuchet MS"/>
          <w:color w:val="231F20"/>
          <w:spacing w:val="-2"/>
          <w:sz w:val="20"/>
        </w:rPr>
        <w:t>Hockey</w:t>
      </w:r>
    </w:p>
    <w:p w14:paraId="1C44BBBA" w14:textId="77777777" w:rsidR="00AE0598" w:rsidRDefault="0069255A">
      <w:pPr>
        <w:pStyle w:val="Corpodetexto"/>
        <w:spacing w:before="116"/>
        <w:ind w:left="223"/>
        <w:jc w:val="both"/>
      </w:pPr>
      <w:r>
        <w:rPr>
          <w:color w:val="231F20"/>
        </w:rPr>
        <w:t>Gregory</w:t>
      </w:r>
      <w:r>
        <w:rPr>
          <w:color w:val="231F20"/>
          <w:spacing w:val="3"/>
        </w:rPr>
        <w:t xml:space="preserve"> </w:t>
      </w:r>
      <w:r>
        <w:rPr>
          <w:color w:val="231F20"/>
        </w:rPr>
        <w:t>Ramshaw,</w:t>
      </w:r>
      <w:r>
        <w:rPr>
          <w:color w:val="231F20"/>
          <w:spacing w:val="4"/>
        </w:rPr>
        <w:t xml:space="preserve"> </w:t>
      </w:r>
      <w:r>
        <w:rPr>
          <w:color w:val="231F20"/>
        </w:rPr>
        <w:t>Clemson,</w:t>
      </w:r>
      <w:r>
        <w:rPr>
          <w:color w:val="231F20"/>
          <w:spacing w:val="4"/>
        </w:rPr>
        <w:t xml:space="preserve"> </w:t>
      </w:r>
      <w:r>
        <w:rPr>
          <w:color w:val="231F20"/>
          <w:spacing w:val="-2"/>
        </w:rPr>
        <w:t>University</w:t>
      </w:r>
    </w:p>
    <w:p w14:paraId="13E282D6" w14:textId="77777777" w:rsidR="00AE0598" w:rsidRDefault="0069255A">
      <w:pPr>
        <w:pStyle w:val="Corpodetexto"/>
        <w:spacing w:before="120" w:line="232" w:lineRule="auto"/>
        <w:ind w:left="223" w:right="239" w:firstLine="320"/>
        <w:jc w:val="both"/>
      </w:pPr>
      <w:r>
        <w:rPr>
          <w:color w:val="231F20"/>
          <w:w w:val="95"/>
        </w:rPr>
        <w:t>Falla (2000: 54) argues that outdoor ice hockey represents a ‘facet of northern</w:t>
      </w:r>
      <w:r>
        <w:rPr>
          <w:color w:val="231F20"/>
          <w:spacing w:val="-10"/>
          <w:w w:val="95"/>
        </w:rPr>
        <w:t xml:space="preserve"> </w:t>
      </w:r>
      <w:r>
        <w:rPr>
          <w:color w:val="231F20"/>
          <w:w w:val="95"/>
        </w:rPr>
        <w:t>recreational</w:t>
      </w:r>
      <w:r>
        <w:rPr>
          <w:color w:val="231F20"/>
          <w:spacing w:val="-9"/>
          <w:w w:val="95"/>
        </w:rPr>
        <w:t xml:space="preserve"> </w:t>
      </w:r>
      <w:r>
        <w:rPr>
          <w:color w:val="231F20"/>
          <w:w w:val="95"/>
        </w:rPr>
        <w:t>heritage’.</w:t>
      </w:r>
      <w:r>
        <w:rPr>
          <w:color w:val="231F20"/>
          <w:spacing w:val="-9"/>
          <w:w w:val="95"/>
        </w:rPr>
        <w:t xml:space="preserve"> </w:t>
      </w:r>
      <w:r>
        <w:rPr>
          <w:color w:val="231F20"/>
          <w:w w:val="95"/>
        </w:rPr>
        <w:t>Outdoor</w:t>
      </w:r>
      <w:r>
        <w:rPr>
          <w:color w:val="231F20"/>
          <w:spacing w:val="-9"/>
          <w:w w:val="95"/>
        </w:rPr>
        <w:t xml:space="preserve"> </w:t>
      </w:r>
      <w:r>
        <w:rPr>
          <w:color w:val="231F20"/>
          <w:w w:val="95"/>
        </w:rPr>
        <w:t>rinks,</w:t>
      </w:r>
      <w:r>
        <w:rPr>
          <w:color w:val="231F20"/>
          <w:spacing w:val="-10"/>
          <w:w w:val="95"/>
        </w:rPr>
        <w:t xml:space="preserve"> </w:t>
      </w:r>
      <w:r>
        <w:rPr>
          <w:color w:val="231F20"/>
          <w:w w:val="95"/>
        </w:rPr>
        <w:t>in</w:t>
      </w:r>
      <w:r>
        <w:rPr>
          <w:color w:val="231F20"/>
          <w:spacing w:val="-9"/>
          <w:w w:val="95"/>
        </w:rPr>
        <w:t xml:space="preserve"> </w:t>
      </w:r>
      <w:r>
        <w:rPr>
          <w:color w:val="231F20"/>
          <w:w w:val="95"/>
        </w:rPr>
        <w:t>particular,</w:t>
      </w:r>
      <w:r>
        <w:rPr>
          <w:color w:val="231F20"/>
          <w:spacing w:val="-9"/>
          <w:w w:val="95"/>
        </w:rPr>
        <w:t xml:space="preserve"> </w:t>
      </w:r>
      <w:r>
        <w:rPr>
          <w:color w:val="231F20"/>
          <w:w w:val="95"/>
        </w:rPr>
        <w:t>take</w:t>
      </w:r>
      <w:r>
        <w:rPr>
          <w:color w:val="231F20"/>
          <w:spacing w:val="-9"/>
          <w:w w:val="95"/>
        </w:rPr>
        <w:t xml:space="preserve"> </w:t>
      </w:r>
      <w:r>
        <w:rPr>
          <w:color w:val="231F20"/>
          <w:w w:val="95"/>
        </w:rPr>
        <w:t>on</w:t>
      </w:r>
      <w:r>
        <w:rPr>
          <w:color w:val="231F20"/>
          <w:spacing w:val="-10"/>
          <w:w w:val="95"/>
        </w:rPr>
        <w:t xml:space="preserve"> </w:t>
      </w:r>
      <w:r>
        <w:rPr>
          <w:color w:val="231F20"/>
          <w:w w:val="95"/>
        </w:rPr>
        <w:t>many forms,</w:t>
      </w:r>
      <w:r>
        <w:rPr>
          <w:color w:val="231F20"/>
          <w:spacing w:val="-2"/>
          <w:w w:val="95"/>
        </w:rPr>
        <w:t xml:space="preserve"> </w:t>
      </w:r>
      <w:r>
        <w:rPr>
          <w:color w:val="231F20"/>
          <w:w w:val="95"/>
        </w:rPr>
        <w:t>such</w:t>
      </w:r>
      <w:r>
        <w:rPr>
          <w:color w:val="231F20"/>
          <w:spacing w:val="-2"/>
          <w:w w:val="95"/>
        </w:rPr>
        <w:t xml:space="preserve"> </w:t>
      </w:r>
      <w:r>
        <w:rPr>
          <w:color w:val="231F20"/>
          <w:w w:val="95"/>
        </w:rPr>
        <w:t>as</w:t>
      </w:r>
      <w:r>
        <w:rPr>
          <w:color w:val="231F20"/>
          <w:spacing w:val="-2"/>
          <w:w w:val="95"/>
        </w:rPr>
        <w:t xml:space="preserve"> </w:t>
      </w:r>
      <w:r>
        <w:rPr>
          <w:color w:val="231F20"/>
          <w:w w:val="95"/>
        </w:rPr>
        <w:t>the</w:t>
      </w:r>
      <w:r>
        <w:rPr>
          <w:color w:val="231F20"/>
          <w:spacing w:val="-2"/>
          <w:w w:val="95"/>
        </w:rPr>
        <w:t xml:space="preserve"> </w:t>
      </w:r>
      <w:r>
        <w:rPr>
          <w:color w:val="231F20"/>
          <w:w w:val="95"/>
        </w:rPr>
        <w:t>backyard</w:t>
      </w:r>
      <w:r>
        <w:rPr>
          <w:color w:val="231F20"/>
          <w:spacing w:val="-2"/>
          <w:w w:val="95"/>
        </w:rPr>
        <w:t xml:space="preserve"> </w:t>
      </w:r>
      <w:r>
        <w:rPr>
          <w:color w:val="231F20"/>
          <w:w w:val="95"/>
        </w:rPr>
        <w:t>rink,</w:t>
      </w:r>
      <w:r>
        <w:rPr>
          <w:color w:val="231F20"/>
          <w:spacing w:val="-2"/>
          <w:w w:val="95"/>
        </w:rPr>
        <w:t xml:space="preserve"> </w:t>
      </w:r>
      <w:r>
        <w:rPr>
          <w:color w:val="231F20"/>
          <w:w w:val="95"/>
        </w:rPr>
        <w:t>the</w:t>
      </w:r>
      <w:r>
        <w:rPr>
          <w:color w:val="231F20"/>
          <w:spacing w:val="-2"/>
          <w:w w:val="95"/>
        </w:rPr>
        <w:t xml:space="preserve"> </w:t>
      </w:r>
      <w:r>
        <w:rPr>
          <w:color w:val="231F20"/>
          <w:w w:val="95"/>
        </w:rPr>
        <w:t>rural,</w:t>
      </w:r>
      <w:r>
        <w:rPr>
          <w:color w:val="231F20"/>
          <w:spacing w:val="-2"/>
          <w:w w:val="95"/>
        </w:rPr>
        <w:t xml:space="preserve"> </w:t>
      </w:r>
      <w:r>
        <w:rPr>
          <w:color w:val="231F20"/>
          <w:w w:val="95"/>
        </w:rPr>
        <w:t>farmyard</w:t>
      </w:r>
      <w:r>
        <w:rPr>
          <w:color w:val="231F20"/>
          <w:spacing w:val="-2"/>
          <w:w w:val="95"/>
        </w:rPr>
        <w:t xml:space="preserve"> </w:t>
      </w:r>
      <w:r>
        <w:rPr>
          <w:color w:val="231F20"/>
          <w:w w:val="95"/>
        </w:rPr>
        <w:t>pond</w:t>
      </w:r>
      <w:r>
        <w:rPr>
          <w:color w:val="231F20"/>
          <w:spacing w:val="-2"/>
          <w:w w:val="95"/>
        </w:rPr>
        <w:t xml:space="preserve"> </w:t>
      </w:r>
      <w:r>
        <w:rPr>
          <w:color w:val="231F20"/>
          <w:w w:val="95"/>
        </w:rPr>
        <w:t>and</w:t>
      </w:r>
      <w:r>
        <w:rPr>
          <w:color w:val="231F20"/>
          <w:spacing w:val="-2"/>
          <w:w w:val="95"/>
        </w:rPr>
        <w:t xml:space="preserve"> </w:t>
      </w:r>
      <w:r>
        <w:rPr>
          <w:color w:val="231F20"/>
          <w:w w:val="95"/>
        </w:rPr>
        <w:t>the</w:t>
      </w:r>
      <w:r>
        <w:rPr>
          <w:color w:val="231F20"/>
          <w:spacing w:val="-2"/>
          <w:w w:val="95"/>
        </w:rPr>
        <w:t xml:space="preserve"> </w:t>
      </w:r>
      <w:r>
        <w:rPr>
          <w:color w:val="231F20"/>
          <w:w w:val="95"/>
        </w:rPr>
        <w:t xml:space="preserve">urban, </w:t>
      </w:r>
      <w:r>
        <w:rPr>
          <w:color w:val="231F20"/>
        </w:rPr>
        <w:t>community rink. In many parts of North America, outdoor rinks have been</w:t>
      </w:r>
      <w:r>
        <w:rPr>
          <w:color w:val="231F20"/>
          <w:spacing w:val="-12"/>
        </w:rPr>
        <w:t xml:space="preserve"> </w:t>
      </w:r>
      <w:r>
        <w:rPr>
          <w:color w:val="231F20"/>
        </w:rPr>
        <w:t>ascribed</w:t>
      </w:r>
      <w:r>
        <w:rPr>
          <w:color w:val="231F20"/>
          <w:spacing w:val="-12"/>
        </w:rPr>
        <w:t xml:space="preserve"> </w:t>
      </w:r>
      <w:r>
        <w:rPr>
          <w:color w:val="231F20"/>
        </w:rPr>
        <w:t>mythical</w:t>
      </w:r>
      <w:r>
        <w:rPr>
          <w:color w:val="231F20"/>
          <w:spacing w:val="-11"/>
        </w:rPr>
        <w:t xml:space="preserve"> </w:t>
      </w:r>
      <w:r>
        <w:rPr>
          <w:color w:val="231F20"/>
        </w:rPr>
        <w:t>and</w:t>
      </w:r>
      <w:r>
        <w:rPr>
          <w:color w:val="231F20"/>
          <w:spacing w:val="-12"/>
        </w:rPr>
        <w:t xml:space="preserve"> </w:t>
      </w:r>
      <w:r>
        <w:rPr>
          <w:color w:val="231F20"/>
        </w:rPr>
        <w:t>symbolic</w:t>
      </w:r>
      <w:r>
        <w:rPr>
          <w:color w:val="231F20"/>
          <w:spacing w:val="-11"/>
        </w:rPr>
        <w:t xml:space="preserve"> </w:t>
      </w:r>
      <w:r>
        <w:rPr>
          <w:color w:val="231F20"/>
        </w:rPr>
        <w:t>qualities.</w:t>
      </w:r>
      <w:r>
        <w:rPr>
          <w:color w:val="231F20"/>
          <w:spacing w:val="-12"/>
        </w:rPr>
        <w:t xml:space="preserve"> </w:t>
      </w:r>
      <w:r>
        <w:rPr>
          <w:color w:val="231F20"/>
        </w:rPr>
        <w:t>As</w:t>
      </w:r>
      <w:r>
        <w:rPr>
          <w:color w:val="231F20"/>
          <w:spacing w:val="-11"/>
        </w:rPr>
        <w:t xml:space="preserve"> </w:t>
      </w:r>
      <w:r>
        <w:rPr>
          <w:color w:val="231F20"/>
        </w:rPr>
        <w:t>Ramshaw</w:t>
      </w:r>
      <w:r>
        <w:rPr>
          <w:color w:val="231F20"/>
          <w:spacing w:val="-12"/>
        </w:rPr>
        <w:t xml:space="preserve"> </w:t>
      </w:r>
      <w:r>
        <w:rPr>
          <w:color w:val="231F20"/>
        </w:rPr>
        <w:t>and</w:t>
      </w:r>
      <w:r>
        <w:rPr>
          <w:color w:val="231F20"/>
          <w:spacing w:val="-12"/>
        </w:rPr>
        <w:t xml:space="preserve"> </w:t>
      </w:r>
      <w:r>
        <w:rPr>
          <w:color w:val="231F20"/>
        </w:rPr>
        <w:t xml:space="preserve">Hinch </w:t>
      </w:r>
      <w:r>
        <w:rPr>
          <w:color w:val="231F20"/>
          <w:w w:val="90"/>
        </w:rPr>
        <w:t xml:space="preserve">(2006) argue, rinks are the places that take us back to our childhood, where </w:t>
      </w:r>
      <w:r>
        <w:rPr>
          <w:color w:val="231F20"/>
          <w:w w:val="95"/>
        </w:rPr>
        <w:t>unencumbered</w:t>
      </w:r>
      <w:r>
        <w:rPr>
          <w:color w:val="231F20"/>
          <w:spacing w:val="-7"/>
          <w:w w:val="95"/>
        </w:rPr>
        <w:t xml:space="preserve"> </w:t>
      </w:r>
      <w:r>
        <w:rPr>
          <w:color w:val="231F20"/>
          <w:w w:val="95"/>
        </w:rPr>
        <w:t>play</w:t>
      </w:r>
      <w:r>
        <w:rPr>
          <w:color w:val="231F20"/>
          <w:spacing w:val="-7"/>
          <w:w w:val="95"/>
        </w:rPr>
        <w:t xml:space="preserve"> </w:t>
      </w:r>
      <w:r>
        <w:rPr>
          <w:color w:val="231F20"/>
          <w:w w:val="95"/>
        </w:rPr>
        <w:t>was</w:t>
      </w:r>
      <w:r>
        <w:rPr>
          <w:color w:val="231F20"/>
          <w:spacing w:val="-7"/>
          <w:w w:val="95"/>
        </w:rPr>
        <w:t xml:space="preserve"> </w:t>
      </w:r>
      <w:r>
        <w:rPr>
          <w:color w:val="231F20"/>
          <w:w w:val="95"/>
        </w:rPr>
        <w:t>more</w:t>
      </w:r>
      <w:r>
        <w:rPr>
          <w:color w:val="231F20"/>
          <w:spacing w:val="-7"/>
          <w:w w:val="95"/>
        </w:rPr>
        <w:t xml:space="preserve"> </w:t>
      </w:r>
      <w:r>
        <w:rPr>
          <w:color w:val="231F20"/>
          <w:w w:val="95"/>
        </w:rPr>
        <w:t>important</w:t>
      </w:r>
      <w:r>
        <w:rPr>
          <w:color w:val="231F20"/>
          <w:spacing w:val="-7"/>
          <w:w w:val="95"/>
        </w:rPr>
        <w:t xml:space="preserve"> </w:t>
      </w:r>
      <w:r>
        <w:rPr>
          <w:color w:val="231F20"/>
          <w:w w:val="95"/>
        </w:rPr>
        <w:t>than</w:t>
      </w:r>
      <w:r>
        <w:rPr>
          <w:color w:val="231F20"/>
          <w:spacing w:val="-7"/>
          <w:w w:val="95"/>
        </w:rPr>
        <w:t xml:space="preserve"> </w:t>
      </w:r>
      <w:r>
        <w:rPr>
          <w:color w:val="231F20"/>
          <w:w w:val="95"/>
        </w:rPr>
        <w:t>rigid,</w:t>
      </w:r>
      <w:r>
        <w:rPr>
          <w:color w:val="231F20"/>
          <w:spacing w:val="-7"/>
          <w:w w:val="95"/>
        </w:rPr>
        <w:t xml:space="preserve"> </w:t>
      </w:r>
      <w:r>
        <w:rPr>
          <w:color w:val="231F20"/>
          <w:w w:val="95"/>
        </w:rPr>
        <w:t>codified</w:t>
      </w:r>
      <w:r>
        <w:rPr>
          <w:color w:val="231F20"/>
          <w:spacing w:val="-7"/>
          <w:w w:val="95"/>
        </w:rPr>
        <w:t xml:space="preserve"> </w:t>
      </w:r>
      <w:r>
        <w:rPr>
          <w:color w:val="231F20"/>
          <w:w w:val="95"/>
        </w:rPr>
        <w:t>sport;</w:t>
      </w:r>
      <w:r>
        <w:rPr>
          <w:color w:val="231F20"/>
          <w:spacing w:val="-7"/>
          <w:w w:val="95"/>
        </w:rPr>
        <w:t xml:space="preserve"> </w:t>
      </w:r>
      <w:r>
        <w:rPr>
          <w:color w:val="231F20"/>
          <w:w w:val="95"/>
        </w:rPr>
        <w:t>where expressions</w:t>
      </w:r>
      <w:r>
        <w:rPr>
          <w:color w:val="231F20"/>
          <w:spacing w:val="-6"/>
          <w:w w:val="95"/>
        </w:rPr>
        <w:t xml:space="preserve"> </w:t>
      </w:r>
      <w:r>
        <w:rPr>
          <w:color w:val="231F20"/>
          <w:w w:val="95"/>
        </w:rPr>
        <w:t>of</w:t>
      </w:r>
      <w:r>
        <w:rPr>
          <w:color w:val="231F20"/>
          <w:spacing w:val="-6"/>
          <w:w w:val="95"/>
        </w:rPr>
        <w:t xml:space="preserve"> </w:t>
      </w:r>
      <w:r>
        <w:rPr>
          <w:color w:val="231F20"/>
          <w:w w:val="95"/>
        </w:rPr>
        <w:t>nationalism</w:t>
      </w:r>
      <w:r>
        <w:rPr>
          <w:color w:val="231F20"/>
          <w:spacing w:val="-6"/>
          <w:w w:val="95"/>
        </w:rPr>
        <w:t xml:space="preserve"> </w:t>
      </w:r>
      <w:r>
        <w:rPr>
          <w:color w:val="231F20"/>
          <w:w w:val="95"/>
        </w:rPr>
        <w:t>–</w:t>
      </w:r>
      <w:r>
        <w:rPr>
          <w:color w:val="231F20"/>
          <w:spacing w:val="-6"/>
          <w:w w:val="95"/>
        </w:rPr>
        <w:t xml:space="preserve"> </w:t>
      </w:r>
      <w:r>
        <w:rPr>
          <w:color w:val="231F20"/>
          <w:w w:val="95"/>
        </w:rPr>
        <w:t>particularly</w:t>
      </w:r>
      <w:r>
        <w:rPr>
          <w:color w:val="231F20"/>
          <w:spacing w:val="-6"/>
          <w:w w:val="95"/>
        </w:rPr>
        <w:t xml:space="preserve"> </w:t>
      </w:r>
      <w:r>
        <w:rPr>
          <w:color w:val="231F20"/>
          <w:w w:val="95"/>
        </w:rPr>
        <w:t>in</w:t>
      </w:r>
      <w:r>
        <w:rPr>
          <w:color w:val="231F20"/>
          <w:spacing w:val="-6"/>
          <w:w w:val="95"/>
        </w:rPr>
        <w:t xml:space="preserve"> </w:t>
      </w:r>
      <w:r>
        <w:rPr>
          <w:color w:val="231F20"/>
          <w:w w:val="95"/>
        </w:rPr>
        <w:t>Canada</w:t>
      </w:r>
      <w:r>
        <w:rPr>
          <w:color w:val="231F20"/>
          <w:spacing w:val="-6"/>
          <w:w w:val="95"/>
        </w:rPr>
        <w:t xml:space="preserve"> </w:t>
      </w:r>
      <w:r>
        <w:rPr>
          <w:color w:val="231F20"/>
          <w:w w:val="95"/>
        </w:rPr>
        <w:t>–</w:t>
      </w:r>
      <w:r>
        <w:rPr>
          <w:color w:val="231F20"/>
          <w:spacing w:val="-6"/>
          <w:w w:val="95"/>
        </w:rPr>
        <w:t xml:space="preserve"> </w:t>
      </w:r>
      <w:r>
        <w:rPr>
          <w:color w:val="231F20"/>
          <w:w w:val="95"/>
        </w:rPr>
        <w:t>could</w:t>
      </w:r>
      <w:r>
        <w:rPr>
          <w:color w:val="231F20"/>
          <w:spacing w:val="-6"/>
          <w:w w:val="95"/>
        </w:rPr>
        <w:t xml:space="preserve"> </w:t>
      </w:r>
      <w:r>
        <w:rPr>
          <w:color w:val="231F20"/>
          <w:w w:val="95"/>
        </w:rPr>
        <w:t>be</w:t>
      </w:r>
      <w:r>
        <w:rPr>
          <w:color w:val="231F20"/>
          <w:spacing w:val="-6"/>
          <w:w w:val="95"/>
        </w:rPr>
        <w:t xml:space="preserve"> </w:t>
      </w:r>
      <w:r>
        <w:rPr>
          <w:color w:val="231F20"/>
          <w:w w:val="95"/>
        </w:rPr>
        <w:t xml:space="preserve">performed; </w:t>
      </w:r>
      <w:r>
        <w:rPr>
          <w:color w:val="231F20"/>
        </w:rPr>
        <w:t xml:space="preserve">and where the winter was not something to be feared, but embraced. </w:t>
      </w:r>
      <w:r>
        <w:rPr>
          <w:color w:val="231F20"/>
          <w:spacing w:val="-2"/>
        </w:rPr>
        <w:t>Similarly,</w:t>
      </w:r>
      <w:r>
        <w:rPr>
          <w:color w:val="231F20"/>
          <w:spacing w:val="-10"/>
        </w:rPr>
        <w:t xml:space="preserve"> </w:t>
      </w:r>
      <w:r>
        <w:rPr>
          <w:color w:val="231F20"/>
          <w:spacing w:val="-2"/>
        </w:rPr>
        <w:t>the</w:t>
      </w:r>
      <w:r>
        <w:rPr>
          <w:color w:val="231F20"/>
          <w:spacing w:val="-10"/>
        </w:rPr>
        <w:t xml:space="preserve"> </w:t>
      </w:r>
      <w:r>
        <w:rPr>
          <w:color w:val="231F20"/>
          <w:spacing w:val="-2"/>
        </w:rPr>
        <w:t>outdoor</w:t>
      </w:r>
      <w:r>
        <w:rPr>
          <w:color w:val="231F20"/>
          <w:spacing w:val="-9"/>
        </w:rPr>
        <w:t xml:space="preserve"> </w:t>
      </w:r>
      <w:r>
        <w:rPr>
          <w:color w:val="231F20"/>
          <w:spacing w:val="-2"/>
        </w:rPr>
        <w:t>rink</w:t>
      </w:r>
      <w:r>
        <w:rPr>
          <w:color w:val="231F20"/>
          <w:spacing w:val="-10"/>
        </w:rPr>
        <w:t xml:space="preserve"> </w:t>
      </w:r>
      <w:r>
        <w:rPr>
          <w:color w:val="231F20"/>
          <w:spacing w:val="-2"/>
        </w:rPr>
        <w:t>became</w:t>
      </w:r>
      <w:r>
        <w:rPr>
          <w:color w:val="231F20"/>
          <w:spacing w:val="-9"/>
        </w:rPr>
        <w:t xml:space="preserve"> </w:t>
      </w:r>
      <w:r>
        <w:rPr>
          <w:color w:val="231F20"/>
          <w:spacing w:val="-2"/>
        </w:rPr>
        <w:t>a</w:t>
      </w:r>
      <w:r>
        <w:rPr>
          <w:color w:val="231F20"/>
          <w:spacing w:val="-10"/>
        </w:rPr>
        <w:t xml:space="preserve"> </w:t>
      </w:r>
      <w:r>
        <w:rPr>
          <w:color w:val="231F20"/>
          <w:spacing w:val="-2"/>
        </w:rPr>
        <w:t>reactio</w:t>
      </w:r>
      <w:r>
        <w:rPr>
          <w:color w:val="231F20"/>
          <w:spacing w:val="-2"/>
        </w:rPr>
        <w:t>nary</w:t>
      </w:r>
      <w:r>
        <w:rPr>
          <w:color w:val="231F20"/>
          <w:spacing w:val="-9"/>
        </w:rPr>
        <w:t xml:space="preserve"> </w:t>
      </w:r>
      <w:r>
        <w:rPr>
          <w:color w:val="231F20"/>
          <w:spacing w:val="-2"/>
        </w:rPr>
        <w:t>nostalgic</w:t>
      </w:r>
      <w:r>
        <w:rPr>
          <w:color w:val="231F20"/>
          <w:spacing w:val="-10"/>
        </w:rPr>
        <w:t xml:space="preserve"> </w:t>
      </w:r>
      <w:r>
        <w:rPr>
          <w:color w:val="231F20"/>
          <w:spacing w:val="-2"/>
        </w:rPr>
        <w:t>symbol</w:t>
      </w:r>
      <w:r>
        <w:rPr>
          <w:color w:val="231F20"/>
          <w:spacing w:val="-10"/>
        </w:rPr>
        <w:t xml:space="preserve"> </w:t>
      </w:r>
      <w:r>
        <w:rPr>
          <w:color w:val="231F20"/>
          <w:spacing w:val="-2"/>
        </w:rPr>
        <w:t>to</w:t>
      </w:r>
      <w:r>
        <w:rPr>
          <w:color w:val="231F20"/>
          <w:spacing w:val="-9"/>
        </w:rPr>
        <w:t xml:space="preserve"> </w:t>
      </w:r>
      <w:r>
        <w:rPr>
          <w:color w:val="231F20"/>
          <w:spacing w:val="-2"/>
        </w:rPr>
        <w:t xml:space="preserve">the </w:t>
      </w:r>
      <w:r>
        <w:rPr>
          <w:color w:val="231F20"/>
          <w:w w:val="95"/>
        </w:rPr>
        <w:t>highly</w:t>
      </w:r>
      <w:r>
        <w:rPr>
          <w:color w:val="231F20"/>
          <w:spacing w:val="-7"/>
          <w:w w:val="95"/>
        </w:rPr>
        <w:t xml:space="preserve"> </w:t>
      </w:r>
      <w:r>
        <w:rPr>
          <w:color w:val="231F20"/>
          <w:w w:val="95"/>
        </w:rPr>
        <w:t>competitive</w:t>
      </w:r>
      <w:r>
        <w:rPr>
          <w:color w:val="231F20"/>
          <w:spacing w:val="-7"/>
          <w:w w:val="95"/>
        </w:rPr>
        <w:t xml:space="preserve"> </w:t>
      </w:r>
      <w:r>
        <w:rPr>
          <w:color w:val="231F20"/>
          <w:w w:val="95"/>
        </w:rPr>
        <w:t>state</w:t>
      </w:r>
      <w:r>
        <w:rPr>
          <w:color w:val="231F20"/>
          <w:spacing w:val="-7"/>
          <w:w w:val="95"/>
        </w:rPr>
        <w:t xml:space="preserve"> </w:t>
      </w:r>
      <w:r>
        <w:rPr>
          <w:color w:val="231F20"/>
          <w:w w:val="95"/>
        </w:rPr>
        <w:t>of</w:t>
      </w:r>
      <w:r>
        <w:rPr>
          <w:color w:val="231F20"/>
          <w:spacing w:val="-7"/>
          <w:w w:val="95"/>
        </w:rPr>
        <w:t xml:space="preserve"> </w:t>
      </w:r>
      <w:r>
        <w:rPr>
          <w:color w:val="231F20"/>
          <w:w w:val="95"/>
        </w:rPr>
        <w:t>amateur</w:t>
      </w:r>
      <w:r>
        <w:rPr>
          <w:color w:val="231F20"/>
          <w:spacing w:val="-7"/>
          <w:w w:val="95"/>
        </w:rPr>
        <w:t xml:space="preserve"> </w:t>
      </w:r>
      <w:r>
        <w:rPr>
          <w:color w:val="231F20"/>
          <w:w w:val="95"/>
        </w:rPr>
        <w:t>ice</w:t>
      </w:r>
      <w:r>
        <w:rPr>
          <w:color w:val="231F20"/>
          <w:spacing w:val="-7"/>
          <w:w w:val="95"/>
        </w:rPr>
        <w:t xml:space="preserve"> </w:t>
      </w:r>
      <w:r>
        <w:rPr>
          <w:color w:val="231F20"/>
          <w:w w:val="95"/>
        </w:rPr>
        <w:t>hockey,</w:t>
      </w:r>
      <w:r>
        <w:rPr>
          <w:color w:val="231F20"/>
          <w:spacing w:val="-7"/>
          <w:w w:val="95"/>
        </w:rPr>
        <w:t xml:space="preserve"> </w:t>
      </w:r>
      <w:r>
        <w:rPr>
          <w:color w:val="231F20"/>
          <w:w w:val="95"/>
        </w:rPr>
        <w:t>as</w:t>
      </w:r>
      <w:r>
        <w:rPr>
          <w:color w:val="231F20"/>
          <w:spacing w:val="-7"/>
          <w:w w:val="95"/>
        </w:rPr>
        <w:t xml:space="preserve"> </w:t>
      </w:r>
      <w:r>
        <w:rPr>
          <w:color w:val="231F20"/>
          <w:w w:val="95"/>
        </w:rPr>
        <w:t>it</w:t>
      </w:r>
      <w:r>
        <w:rPr>
          <w:color w:val="231F20"/>
          <w:spacing w:val="-7"/>
          <w:w w:val="95"/>
        </w:rPr>
        <w:t xml:space="preserve"> </w:t>
      </w:r>
      <w:r>
        <w:rPr>
          <w:color w:val="231F20"/>
          <w:w w:val="95"/>
        </w:rPr>
        <w:t>became</w:t>
      </w:r>
      <w:r>
        <w:rPr>
          <w:color w:val="231F20"/>
          <w:spacing w:val="-7"/>
          <w:w w:val="95"/>
        </w:rPr>
        <w:t xml:space="preserve"> </w:t>
      </w:r>
      <w:r>
        <w:rPr>
          <w:color w:val="231F20"/>
          <w:w w:val="95"/>
        </w:rPr>
        <w:t>an</w:t>
      </w:r>
      <w:r>
        <w:rPr>
          <w:color w:val="231F20"/>
          <w:spacing w:val="-7"/>
          <w:w w:val="95"/>
        </w:rPr>
        <w:t xml:space="preserve"> </w:t>
      </w:r>
      <w:r>
        <w:rPr>
          <w:color w:val="231F20"/>
          <w:w w:val="95"/>
        </w:rPr>
        <w:t>emblem</w:t>
      </w:r>
      <w:r>
        <w:rPr>
          <w:color w:val="231F20"/>
          <w:spacing w:val="-7"/>
          <w:w w:val="95"/>
        </w:rPr>
        <w:t xml:space="preserve"> </w:t>
      </w:r>
      <w:r>
        <w:rPr>
          <w:color w:val="231F20"/>
          <w:w w:val="95"/>
        </w:rPr>
        <w:t xml:space="preserve">of </w:t>
      </w:r>
      <w:r>
        <w:rPr>
          <w:color w:val="231F20"/>
          <w:spacing w:val="-2"/>
        </w:rPr>
        <w:t>an</w:t>
      </w:r>
      <w:r>
        <w:rPr>
          <w:color w:val="231F20"/>
          <w:spacing w:val="-9"/>
        </w:rPr>
        <w:t xml:space="preserve"> </w:t>
      </w:r>
      <w:r>
        <w:rPr>
          <w:color w:val="231F20"/>
          <w:spacing w:val="-2"/>
        </w:rPr>
        <w:t>egalitarian</w:t>
      </w:r>
      <w:r>
        <w:rPr>
          <w:color w:val="231F20"/>
          <w:spacing w:val="-9"/>
        </w:rPr>
        <w:t xml:space="preserve"> </w:t>
      </w:r>
      <w:r>
        <w:rPr>
          <w:color w:val="231F20"/>
          <w:spacing w:val="-2"/>
        </w:rPr>
        <w:t>past</w:t>
      </w:r>
      <w:r>
        <w:rPr>
          <w:color w:val="231F20"/>
          <w:spacing w:val="-9"/>
        </w:rPr>
        <w:t xml:space="preserve"> </w:t>
      </w:r>
      <w:r>
        <w:rPr>
          <w:color w:val="231F20"/>
          <w:spacing w:val="-2"/>
        </w:rPr>
        <w:t>where</w:t>
      </w:r>
      <w:r>
        <w:rPr>
          <w:color w:val="231F20"/>
          <w:spacing w:val="-9"/>
        </w:rPr>
        <w:t xml:space="preserve"> </w:t>
      </w:r>
      <w:r>
        <w:rPr>
          <w:color w:val="231F20"/>
          <w:spacing w:val="-2"/>
        </w:rPr>
        <w:t>age,</w:t>
      </w:r>
      <w:r>
        <w:rPr>
          <w:color w:val="231F20"/>
          <w:spacing w:val="-9"/>
        </w:rPr>
        <w:t xml:space="preserve"> </w:t>
      </w:r>
      <w:r>
        <w:rPr>
          <w:color w:val="231F20"/>
          <w:spacing w:val="-2"/>
        </w:rPr>
        <w:t>ability</w:t>
      </w:r>
      <w:r>
        <w:rPr>
          <w:color w:val="231F20"/>
          <w:spacing w:val="-9"/>
        </w:rPr>
        <w:t xml:space="preserve"> </w:t>
      </w:r>
      <w:r>
        <w:rPr>
          <w:color w:val="231F20"/>
          <w:spacing w:val="-2"/>
        </w:rPr>
        <w:t>and</w:t>
      </w:r>
      <w:r>
        <w:rPr>
          <w:color w:val="231F20"/>
          <w:spacing w:val="-9"/>
        </w:rPr>
        <w:t xml:space="preserve"> </w:t>
      </w:r>
      <w:r>
        <w:rPr>
          <w:color w:val="231F20"/>
          <w:spacing w:val="-2"/>
        </w:rPr>
        <w:t>economic</w:t>
      </w:r>
      <w:r>
        <w:rPr>
          <w:color w:val="231F20"/>
          <w:spacing w:val="-9"/>
        </w:rPr>
        <w:t xml:space="preserve"> </w:t>
      </w:r>
      <w:r>
        <w:rPr>
          <w:color w:val="231F20"/>
          <w:spacing w:val="-2"/>
        </w:rPr>
        <w:t>circumstances</w:t>
      </w:r>
      <w:r>
        <w:rPr>
          <w:color w:val="231F20"/>
          <w:spacing w:val="-9"/>
        </w:rPr>
        <w:t xml:space="preserve"> </w:t>
      </w:r>
      <w:r>
        <w:rPr>
          <w:color w:val="231F20"/>
          <w:spacing w:val="-2"/>
        </w:rPr>
        <w:t xml:space="preserve">were </w:t>
      </w:r>
      <w:r>
        <w:rPr>
          <w:color w:val="231F20"/>
        </w:rPr>
        <w:t>seemingly</w:t>
      </w:r>
      <w:r>
        <w:rPr>
          <w:color w:val="231F20"/>
          <w:spacing w:val="-3"/>
        </w:rPr>
        <w:t xml:space="preserve"> </w:t>
      </w:r>
      <w:r>
        <w:rPr>
          <w:color w:val="231F20"/>
        </w:rPr>
        <w:t>erased</w:t>
      </w:r>
      <w:r>
        <w:rPr>
          <w:color w:val="231F20"/>
          <w:spacing w:val="-3"/>
        </w:rPr>
        <w:t xml:space="preserve"> </w:t>
      </w:r>
      <w:r>
        <w:rPr>
          <w:color w:val="231F20"/>
        </w:rPr>
        <w:t>–</w:t>
      </w:r>
      <w:r>
        <w:rPr>
          <w:color w:val="231F20"/>
          <w:spacing w:val="-3"/>
        </w:rPr>
        <w:t xml:space="preserve"> </w:t>
      </w:r>
      <w:r>
        <w:rPr>
          <w:color w:val="231F20"/>
        </w:rPr>
        <w:t>although,</w:t>
      </w:r>
      <w:r>
        <w:rPr>
          <w:color w:val="231F20"/>
          <w:spacing w:val="-3"/>
        </w:rPr>
        <w:t xml:space="preserve"> </w:t>
      </w:r>
      <w:r>
        <w:rPr>
          <w:color w:val="231F20"/>
        </w:rPr>
        <w:t>as</w:t>
      </w:r>
      <w:r>
        <w:rPr>
          <w:color w:val="231F20"/>
          <w:spacing w:val="-3"/>
        </w:rPr>
        <w:t xml:space="preserve"> </w:t>
      </w:r>
      <w:r>
        <w:rPr>
          <w:color w:val="231F20"/>
        </w:rPr>
        <w:t>Ramshaw</w:t>
      </w:r>
      <w:r>
        <w:rPr>
          <w:color w:val="231F20"/>
          <w:spacing w:val="-3"/>
        </w:rPr>
        <w:t xml:space="preserve"> </w:t>
      </w:r>
      <w:r>
        <w:rPr>
          <w:color w:val="231F20"/>
        </w:rPr>
        <w:t>(2010a,</w:t>
      </w:r>
      <w:r>
        <w:rPr>
          <w:color w:val="231F20"/>
          <w:spacing w:val="-3"/>
        </w:rPr>
        <w:t xml:space="preserve"> </w:t>
      </w:r>
      <w:r>
        <w:rPr>
          <w:color w:val="231F20"/>
        </w:rPr>
        <w:t>2010b)</w:t>
      </w:r>
      <w:r>
        <w:rPr>
          <w:color w:val="231F20"/>
          <w:spacing w:val="-3"/>
        </w:rPr>
        <w:t xml:space="preserve"> </w:t>
      </w:r>
      <w:r>
        <w:rPr>
          <w:color w:val="231F20"/>
        </w:rPr>
        <w:t>argues,</w:t>
      </w:r>
      <w:r>
        <w:rPr>
          <w:color w:val="231F20"/>
          <w:spacing w:val="-3"/>
        </w:rPr>
        <w:t xml:space="preserve"> </w:t>
      </w:r>
      <w:r>
        <w:rPr>
          <w:color w:val="231F20"/>
        </w:rPr>
        <w:t xml:space="preserve">the </w:t>
      </w:r>
      <w:r>
        <w:rPr>
          <w:color w:val="231F20"/>
          <w:w w:val="95"/>
        </w:rPr>
        <w:t>historic reality of outdoor rinks was not particularly equal, specifically in terms</w:t>
      </w:r>
      <w:r>
        <w:rPr>
          <w:color w:val="231F20"/>
          <w:spacing w:val="-6"/>
          <w:w w:val="95"/>
        </w:rPr>
        <w:t xml:space="preserve"> </w:t>
      </w:r>
      <w:r>
        <w:rPr>
          <w:color w:val="231F20"/>
          <w:w w:val="95"/>
        </w:rPr>
        <w:t>of</w:t>
      </w:r>
      <w:r>
        <w:rPr>
          <w:color w:val="231F20"/>
          <w:spacing w:val="-6"/>
          <w:w w:val="95"/>
        </w:rPr>
        <w:t xml:space="preserve"> </w:t>
      </w:r>
      <w:r>
        <w:rPr>
          <w:color w:val="231F20"/>
          <w:w w:val="95"/>
        </w:rPr>
        <w:t>gender.</w:t>
      </w:r>
      <w:r>
        <w:rPr>
          <w:color w:val="231F20"/>
          <w:spacing w:val="-6"/>
          <w:w w:val="95"/>
        </w:rPr>
        <w:t xml:space="preserve"> </w:t>
      </w:r>
      <w:r>
        <w:rPr>
          <w:color w:val="231F20"/>
          <w:w w:val="95"/>
        </w:rPr>
        <w:t>Given</w:t>
      </w:r>
      <w:r>
        <w:rPr>
          <w:color w:val="231F20"/>
          <w:spacing w:val="-6"/>
          <w:w w:val="95"/>
        </w:rPr>
        <w:t xml:space="preserve"> </w:t>
      </w:r>
      <w:r>
        <w:rPr>
          <w:color w:val="231F20"/>
          <w:w w:val="95"/>
        </w:rPr>
        <w:t>strong</w:t>
      </w:r>
      <w:r>
        <w:rPr>
          <w:color w:val="231F20"/>
          <w:spacing w:val="-6"/>
          <w:w w:val="95"/>
        </w:rPr>
        <w:t xml:space="preserve"> </w:t>
      </w:r>
      <w:r>
        <w:rPr>
          <w:color w:val="231F20"/>
          <w:w w:val="95"/>
        </w:rPr>
        <w:t>ties</w:t>
      </w:r>
      <w:r>
        <w:rPr>
          <w:color w:val="231F20"/>
          <w:spacing w:val="-6"/>
          <w:w w:val="95"/>
        </w:rPr>
        <w:t xml:space="preserve"> </w:t>
      </w:r>
      <w:r>
        <w:rPr>
          <w:color w:val="231F20"/>
          <w:w w:val="95"/>
        </w:rPr>
        <w:t>to</w:t>
      </w:r>
      <w:r>
        <w:rPr>
          <w:color w:val="231F20"/>
          <w:spacing w:val="-6"/>
          <w:w w:val="95"/>
        </w:rPr>
        <w:t xml:space="preserve"> </w:t>
      </w:r>
      <w:r>
        <w:rPr>
          <w:color w:val="231F20"/>
          <w:w w:val="95"/>
        </w:rPr>
        <w:t>nostalgic</w:t>
      </w:r>
      <w:r>
        <w:rPr>
          <w:color w:val="231F20"/>
          <w:spacing w:val="-6"/>
          <w:w w:val="95"/>
        </w:rPr>
        <w:t xml:space="preserve"> </w:t>
      </w:r>
      <w:r>
        <w:rPr>
          <w:color w:val="231F20"/>
          <w:w w:val="95"/>
        </w:rPr>
        <w:t>and</w:t>
      </w:r>
      <w:r>
        <w:rPr>
          <w:color w:val="231F20"/>
          <w:spacing w:val="-6"/>
          <w:w w:val="95"/>
        </w:rPr>
        <w:t xml:space="preserve"> </w:t>
      </w:r>
      <w:r>
        <w:rPr>
          <w:color w:val="231F20"/>
          <w:w w:val="95"/>
        </w:rPr>
        <w:t>heritage</w:t>
      </w:r>
      <w:r>
        <w:rPr>
          <w:color w:val="231F20"/>
          <w:spacing w:val="-6"/>
          <w:w w:val="95"/>
        </w:rPr>
        <w:t xml:space="preserve"> </w:t>
      </w:r>
      <w:r>
        <w:rPr>
          <w:color w:val="231F20"/>
          <w:w w:val="95"/>
        </w:rPr>
        <w:t>pasts</w:t>
      </w:r>
      <w:r>
        <w:rPr>
          <w:color w:val="231F20"/>
          <w:spacing w:val="-6"/>
          <w:w w:val="95"/>
        </w:rPr>
        <w:t xml:space="preserve"> </w:t>
      </w:r>
      <w:r>
        <w:rPr>
          <w:color w:val="231F20"/>
          <w:w w:val="95"/>
        </w:rPr>
        <w:t xml:space="preserve">ascribed </w:t>
      </w:r>
      <w:r>
        <w:rPr>
          <w:color w:val="231F20"/>
        </w:rPr>
        <w:t>to</w:t>
      </w:r>
      <w:r>
        <w:rPr>
          <w:color w:val="231F20"/>
          <w:spacing w:val="-12"/>
        </w:rPr>
        <w:t xml:space="preserve"> </w:t>
      </w:r>
      <w:r>
        <w:rPr>
          <w:color w:val="231F20"/>
        </w:rPr>
        <w:t>outdoor</w:t>
      </w:r>
      <w:r>
        <w:rPr>
          <w:color w:val="231F20"/>
          <w:spacing w:val="-12"/>
        </w:rPr>
        <w:t xml:space="preserve"> </w:t>
      </w:r>
      <w:r>
        <w:rPr>
          <w:color w:val="231F20"/>
        </w:rPr>
        <w:t>rinks,</w:t>
      </w:r>
      <w:r>
        <w:rPr>
          <w:color w:val="231F20"/>
          <w:spacing w:val="-11"/>
        </w:rPr>
        <w:t xml:space="preserve"> </w:t>
      </w:r>
      <w:r>
        <w:rPr>
          <w:color w:val="231F20"/>
        </w:rPr>
        <w:t>they</w:t>
      </w:r>
      <w:r>
        <w:rPr>
          <w:color w:val="231F20"/>
          <w:spacing w:val="-12"/>
        </w:rPr>
        <w:t xml:space="preserve"> </w:t>
      </w:r>
      <w:r>
        <w:rPr>
          <w:color w:val="231F20"/>
        </w:rPr>
        <w:t>are</w:t>
      </w:r>
      <w:r>
        <w:rPr>
          <w:color w:val="231F20"/>
          <w:spacing w:val="-11"/>
        </w:rPr>
        <w:t xml:space="preserve"> </w:t>
      </w:r>
      <w:r>
        <w:rPr>
          <w:color w:val="231F20"/>
        </w:rPr>
        <w:t>now</w:t>
      </w:r>
      <w:r>
        <w:rPr>
          <w:color w:val="231F20"/>
          <w:spacing w:val="-12"/>
        </w:rPr>
        <w:t xml:space="preserve"> </w:t>
      </w:r>
      <w:r>
        <w:rPr>
          <w:color w:val="231F20"/>
        </w:rPr>
        <w:t>reproduced</w:t>
      </w:r>
      <w:r>
        <w:rPr>
          <w:color w:val="231F20"/>
          <w:spacing w:val="-11"/>
        </w:rPr>
        <w:t xml:space="preserve"> </w:t>
      </w:r>
      <w:r>
        <w:rPr>
          <w:color w:val="231F20"/>
        </w:rPr>
        <w:t>in</w:t>
      </w:r>
      <w:r>
        <w:rPr>
          <w:color w:val="231F20"/>
          <w:spacing w:val="-12"/>
        </w:rPr>
        <w:t xml:space="preserve"> </w:t>
      </w:r>
      <w:r>
        <w:rPr>
          <w:color w:val="231F20"/>
        </w:rPr>
        <w:t>many</w:t>
      </w:r>
      <w:r>
        <w:rPr>
          <w:color w:val="231F20"/>
          <w:spacing w:val="-12"/>
        </w:rPr>
        <w:t xml:space="preserve"> </w:t>
      </w:r>
      <w:r>
        <w:rPr>
          <w:color w:val="231F20"/>
        </w:rPr>
        <w:t>ways:</w:t>
      </w:r>
      <w:r>
        <w:rPr>
          <w:color w:val="231F20"/>
          <w:spacing w:val="-11"/>
        </w:rPr>
        <w:t xml:space="preserve"> </w:t>
      </w:r>
      <w:r>
        <w:rPr>
          <w:color w:val="231F20"/>
        </w:rPr>
        <w:t>in</w:t>
      </w:r>
      <w:r>
        <w:rPr>
          <w:color w:val="231F20"/>
          <w:spacing w:val="-12"/>
        </w:rPr>
        <w:t xml:space="preserve"> </w:t>
      </w:r>
      <w:r>
        <w:rPr>
          <w:color w:val="231F20"/>
        </w:rPr>
        <w:t>marketing campaigns and commercials, in artwork and memorabilia, in large spectator</w:t>
      </w:r>
      <w:r>
        <w:rPr>
          <w:color w:val="231F20"/>
          <w:spacing w:val="-11"/>
        </w:rPr>
        <w:t xml:space="preserve"> </w:t>
      </w:r>
      <w:r>
        <w:rPr>
          <w:color w:val="231F20"/>
        </w:rPr>
        <w:t>events</w:t>
      </w:r>
      <w:r>
        <w:rPr>
          <w:color w:val="231F20"/>
          <w:spacing w:val="-11"/>
        </w:rPr>
        <w:t xml:space="preserve"> </w:t>
      </w:r>
      <w:r>
        <w:rPr>
          <w:color w:val="231F20"/>
        </w:rPr>
        <w:t>and</w:t>
      </w:r>
      <w:r>
        <w:rPr>
          <w:color w:val="231F20"/>
          <w:spacing w:val="-11"/>
        </w:rPr>
        <w:t xml:space="preserve"> </w:t>
      </w:r>
      <w:r>
        <w:rPr>
          <w:color w:val="231F20"/>
        </w:rPr>
        <w:t>in</w:t>
      </w:r>
      <w:r>
        <w:rPr>
          <w:color w:val="231F20"/>
          <w:spacing w:val="-11"/>
        </w:rPr>
        <w:t xml:space="preserve"> </w:t>
      </w:r>
      <w:r>
        <w:rPr>
          <w:color w:val="231F20"/>
        </w:rPr>
        <w:t>participation</w:t>
      </w:r>
      <w:r>
        <w:rPr>
          <w:color w:val="231F20"/>
          <w:spacing w:val="-11"/>
        </w:rPr>
        <w:t xml:space="preserve"> </w:t>
      </w:r>
      <w:r>
        <w:rPr>
          <w:color w:val="231F20"/>
        </w:rPr>
        <w:t>events.</w:t>
      </w:r>
      <w:r>
        <w:rPr>
          <w:color w:val="231F20"/>
          <w:spacing w:val="-11"/>
        </w:rPr>
        <w:t xml:space="preserve"> </w:t>
      </w:r>
      <w:r>
        <w:rPr>
          <w:color w:val="231F20"/>
        </w:rPr>
        <w:t>Most</w:t>
      </w:r>
      <w:r>
        <w:rPr>
          <w:color w:val="231F20"/>
          <w:spacing w:val="-11"/>
        </w:rPr>
        <w:t xml:space="preserve"> </w:t>
      </w:r>
      <w:r>
        <w:rPr>
          <w:color w:val="231F20"/>
        </w:rPr>
        <w:t>notably,</w:t>
      </w:r>
      <w:r>
        <w:rPr>
          <w:color w:val="231F20"/>
          <w:spacing w:val="-11"/>
        </w:rPr>
        <w:t xml:space="preserve"> </w:t>
      </w:r>
      <w:r>
        <w:rPr>
          <w:color w:val="231F20"/>
        </w:rPr>
        <w:t>outdoor</w:t>
      </w:r>
      <w:r>
        <w:rPr>
          <w:color w:val="231F20"/>
          <w:spacing w:val="-11"/>
        </w:rPr>
        <w:t xml:space="preserve"> </w:t>
      </w:r>
      <w:r>
        <w:rPr>
          <w:color w:val="231F20"/>
        </w:rPr>
        <w:t xml:space="preserve">ice </w:t>
      </w:r>
      <w:r>
        <w:rPr>
          <w:color w:val="231F20"/>
          <w:w w:val="95"/>
        </w:rPr>
        <w:t>hockey</w:t>
      </w:r>
      <w:r>
        <w:rPr>
          <w:color w:val="231F20"/>
          <w:spacing w:val="-1"/>
          <w:w w:val="95"/>
        </w:rPr>
        <w:t xml:space="preserve"> </w:t>
      </w:r>
      <w:r>
        <w:rPr>
          <w:color w:val="231F20"/>
          <w:w w:val="95"/>
        </w:rPr>
        <w:t>events</w:t>
      </w:r>
      <w:r>
        <w:rPr>
          <w:color w:val="231F20"/>
          <w:spacing w:val="-1"/>
          <w:w w:val="95"/>
        </w:rPr>
        <w:t xml:space="preserve"> </w:t>
      </w:r>
      <w:r>
        <w:rPr>
          <w:color w:val="231F20"/>
          <w:w w:val="95"/>
        </w:rPr>
        <w:t>have</w:t>
      </w:r>
      <w:r>
        <w:rPr>
          <w:color w:val="231F20"/>
          <w:spacing w:val="-1"/>
          <w:w w:val="95"/>
        </w:rPr>
        <w:t xml:space="preserve"> </w:t>
      </w:r>
      <w:r>
        <w:rPr>
          <w:color w:val="231F20"/>
          <w:w w:val="95"/>
        </w:rPr>
        <w:t>become</w:t>
      </w:r>
      <w:r>
        <w:rPr>
          <w:color w:val="231F20"/>
          <w:spacing w:val="-1"/>
          <w:w w:val="95"/>
        </w:rPr>
        <w:t xml:space="preserve"> </w:t>
      </w:r>
      <w:r>
        <w:rPr>
          <w:color w:val="231F20"/>
          <w:w w:val="95"/>
        </w:rPr>
        <w:t>staples</w:t>
      </w:r>
      <w:r>
        <w:rPr>
          <w:color w:val="231F20"/>
          <w:spacing w:val="-1"/>
          <w:w w:val="95"/>
        </w:rPr>
        <w:t xml:space="preserve"> </w:t>
      </w:r>
      <w:r>
        <w:rPr>
          <w:color w:val="231F20"/>
          <w:w w:val="95"/>
        </w:rPr>
        <w:t>of</w:t>
      </w:r>
      <w:r>
        <w:rPr>
          <w:color w:val="231F20"/>
          <w:spacing w:val="-1"/>
          <w:w w:val="95"/>
        </w:rPr>
        <w:t xml:space="preserve"> </w:t>
      </w:r>
      <w:r>
        <w:rPr>
          <w:color w:val="231F20"/>
          <w:w w:val="95"/>
        </w:rPr>
        <w:t>the</w:t>
      </w:r>
      <w:r>
        <w:rPr>
          <w:color w:val="231F20"/>
          <w:spacing w:val="-1"/>
          <w:w w:val="95"/>
        </w:rPr>
        <w:t xml:space="preserve"> </w:t>
      </w:r>
      <w:r>
        <w:rPr>
          <w:color w:val="231F20"/>
          <w:w w:val="95"/>
        </w:rPr>
        <w:t>National</w:t>
      </w:r>
      <w:r>
        <w:rPr>
          <w:color w:val="231F20"/>
          <w:spacing w:val="-1"/>
          <w:w w:val="95"/>
        </w:rPr>
        <w:t xml:space="preserve"> </w:t>
      </w:r>
      <w:r>
        <w:rPr>
          <w:color w:val="231F20"/>
          <w:w w:val="95"/>
        </w:rPr>
        <w:t>Hockey</w:t>
      </w:r>
      <w:r>
        <w:rPr>
          <w:color w:val="231F20"/>
          <w:spacing w:val="-1"/>
          <w:w w:val="95"/>
        </w:rPr>
        <w:t xml:space="preserve"> </w:t>
      </w:r>
      <w:r>
        <w:rPr>
          <w:color w:val="231F20"/>
          <w:w w:val="95"/>
        </w:rPr>
        <w:t>League</w:t>
      </w:r>
      <w:r>
        <w:rPr>
          <w:color w:val="231F20"/>
          <w:spacing w:val="-1"/>
          <w:w w:val="95"/>
        </w:rPr>
        <w:t xml:space="preserve"> </w:t>
      </w:r>
      <w:r>
        <w:rPr>
          <w:color w:val="231F20"/>
          <w:w w:val="95"/>
        </w:rPr>
        <w:t>(NHL) annual</w:t>
      </w:r>
      <w:r>
        <w:rPr>
          <w:color w:val="231F20"/>
          <w:spacing w:val="-4"/>
          <w:w w:val="95"/>
        </w:rPr>
        <w:t xml:space="preserve"> </w:t>
      </w:r>
      <w:r>
        <w:rPr>
          <w:color w:val="231F20"/>
          <w:w w:val="95"/>
        </w:rPr>
        <w:t>schedule.</w:t>
      </w:r>
      <w:r>
        <w:rPr>
          <w:color w:val="231F20"/>
          <w:spacing w:val="-4"/>
          <w:w w:val="95"/>
        </w:rPr>
        <w:t xml:space="preserve"> </w:t>
      </w:r>
      <w:r>
        <w:rPr>
          <w:color w:val="231F20"/>
          <w:w w:val="95"/>
        </w:rPr>
        <w:t>These</w:t>
      </w:r>
      <w:r>
        <w:rPr>
          <w:color w:val="231F20"/>
          <w:spacing w:val="-4"/>
          <w:w w:val="95"/>
        </w:rPr>
        <w:t xml:space="preserve"> </w:t>
      </w:r>
      <w:r>
        <w:rPr>
          <w:color w:val="231F20"/>
          <w:w w:val="95"/>
        </w:rPr>
        <w:t>events</w:t>
      </w:r>
      <w:r>
        <w:rPr>
          <w:color w:val="231F20"/>
          <w:spacing w:val="-4"/>
          <w:w w:val="95"/>
        </w:rPr>
        <w:t xml:space="preserve"> </w:t>
      </w:r>
      <w:r>
        <w:rPr>
          <w:color w:val="231F20"/>
          <w:w w:val="95"/>
        </w:rPr>
        <w:t>are</w:t>
      </w:r>
      <w:r>
        <w:rPr>
          <w:color w:val="231F20"/>
          <w:spacing w:val="-4"/>
          <w:w w:val="95"/>
        </w:rPr>
        <w:t xml:space="preserve"> </w:t>
      </w:r>
      <w:r>
        <w:rPr>
          <w:color w:val="231F20"/>
          <w:w w:val="95"/>
        </w:rPr>
        <w:t>typica</w:t>
      </w:r>
      <w:r>
        <w:rPr>
          <w:color w:val="231F20"/>
          <w:w w:val="95"/>
        </w:rPr>
        <w:t>lly</w:t>
      </w:r>
      <w:r>
        <w:rPr>
          <w:color w:val="231F20"/>
          <w:spacing w:val="-4"/>
          <w:w w:val="95"/>
        </w:rPr>
        <w:t xml:space="preserve"> </w:t>
      </w:r>
      <w:r>
        <w:rPr>
          <w:color w:val="231F20"/>
          <w:w w:val="95"/>
        </w:rPr>
        <w:t>played</w:t>
      </w:r>
      <w:r>
        <w:rPr>
          <w:color w:val="231F20"/>
          <w:spacing w:val="-4"/>
          <w:w w:val="95"/>
        </w:rPr>
        <w:t xml:space="preserve"> </w:t>
      </w:r>
      <w:r>
        <w:rPr>
          <w:color w:val="231F20"/>
          <w:w w:val="95"/>
        </w:rPr>
        <w:t>on</w:t>
      </w:r>
      <w:r>
        <w:rPr>
          <w:color w:val="231F20"/>
          <w:spacing w:val="-4"/>
          <w:w w:val="95"/>
        </w:rPr>
        <w:t xml:space="preserve"> </w:t>
      </w:r>
      <w:r>
        <w:rPr>
          <w:color w:val="231F20"/>
          <w:w w:val="95"/>
        </w:rPr>
        <w:t>artificial</w:t>
      </w:r>
      <w:r>
        <w:rPr>
          <w:color w:val="231F20"/>
          <w:spacing w:val="-4"/>
          <w:w w:val="95"/>
        </w:rPr>
        <w:t xml:space="preserve"> </w:t>
      </w:r>
      <w:r>
        <w:rPr>
          <w:color w:val="231F20"/>
          <w:w w:val="95"/>
        </w:rPr>
        <w:t>ice</w:t>
      </w:r>
      <w:r>
        <w:rPr>
          <w:color w:val="231F20"/>
          <w:spacing w:val="-4"/>
          <w:w w:val="95"/>
        </w:rPr>
        <w:t xml:space="preserve"> </w:t>
      </w:r>
      <w:r>
        <w:rPr>
          <w:color w:val="231F20"/>
          <w:w w:val="95"/>
        </w:rPr>
        <w:t xml:space="preserve">hockey </w:t>
      </w:r>
      <w:r>
        <w:rPr>
          <w:color w:val="231F20"/>
          <w:spacing w:val="-2"/>
          <w:w w:val="95"/>
        </w:rPr>
        <w:t>rinks</w:t>
      </w:r>
      <w:r>
        <w:rPr>
          <w:color w:val="231F20"/>
          <w:spacing w:val="-7"/>
          <w:w w:val="95"/>
        </w:rPr>
        <w:t xml:space="preserve"> </w:t>
      </w:r>
      <w:r>
        <w:rPr>
          <w:color w:val="231F20"/>
          <w:spacing w:val="-2"/>
          <w:w w:val="95"/>
        </w:rPr>
        <w:t>in</w:t>
      </w:r>
      <w:r>
        <w:rPr>
          <w:color w:val="231F20"/>
          <w:spacing w:val="-7"/>
          <w:w w:val="95"/>
        </w:rPr>
        <w:t xml:space="preserve"> </w:t>
      </w:r>
      <w:r>
        <w:rPr>
          <w:color w:val="231F20"/>
          <w:spacing w:val="-2"/>
          <w:w w:val="95"/>
        </w:rPr>
        <w:t>large</w:t>
      </w:r>
      <w:r>
        <w:rPr>
          <w:color w:val="231F20"/>
          <w:spacing w:val="-7"/>
          <w:w w:val="95"/>
        </w:rPr>
        <w:t xml:space="preserve"> </w:t>
      </w:r>
      <w:r>
        <w:rPr>
          <w:color w:val="231F20"/>
          <w:spacing w:val="-2"/>
          <w:w w:val="95"/>
        </w:rPr>
        <w:t>outdoor</w:t>
      </w:r>
      <w:r>
        <w:rPr>
          <w:color w:val="231F20"/>
          <w:spacing w:val="-7"/>
          <w:w w:val="95"/>
        </w:rPr>
        <w:t xml:space="preserve"> </w:t>
      </w:r>
      <w:r>
        <w:rPr>
          <w:color w:val="231F20"/>
          <w:spacing w:val="-2"/>
          <w:w w:val="95"/>
        </w:rPr>
        <w:t>baseball</w:t>
      </w:r>
      <w:r>
        <w:rPr>
          <w:color w:val="231F20"/>
          <w:spacing w:val="-7"/>
          <w:w w:val="95"/>
        </w:rPr>
        <w:t xml:space="preserve"> </w:t>
      </w:r>
      <w:r>
        <w:rPr>
          <w:color w:val="231F20"/>
          <w:spacing w:val="-2"/>
          <w:w w:val="95"/>
        </w:rPr>
        <w:t>and</w:t>
      </w:r>
      <w:r>
        <w:rPr>
          <w:color w:val="231F20"/>
          <w:spacing w:val="-7"/>
          <w:w w:val="95"/>
        </w:rPr>
        <w:t xml:space="preserve"> </w:t>
      </w:r>
      <w:r>
        <w:rPr>
          <w:color w:val="231F20"/>
          <w:spacing w:val="-2"/>
          <w:w w:val="95"/>
        </w:rPr>
        <w:t>football</w:t>
      </w:r>
      <w:r>
        <w:rPr>
          <w:color w:val="231F20"/>
          <w:spacing w:val="-7"/>
          <w:w w:val="95"/>
        </w:rPr>
        <w:t xml:space="preserve"> </w:t>
      </w:r>
      <w:r>
        <w:rPr>
          <w:color w:val="231F20"/>
          <w:spacing w:val="-2"/>
          <w:w w:val="95"/>
        </w:rPr>
        <w:t>stadiums</w:t>
      </w:r>
      <w:r>
        <w:rPr>
          <w:color w:val="231F20"/>
          <w:spacing w:val="-7"/>
          <w:w w:val="95"/>
        </w:rPr>
        <w:t xml:space="preserve"> </w:t>
      </w:r>
      <w:r>
        <w:rPr>
          <w:color w:val="231F20"/>
          <w:spacing w:val="-2"/>
          <w:w w:val="95"/>
        </w:rPr>
        <w:t>inclusive</w:t>
      </w:r>
      <w:r>
        <w:rPr>
          <w:color w:val="231F20"/>
          <w:spacing w:val="-7"/>
          <w:w w:val="95"/>
        </w:rPr>
        <w:t xml:space="preserve"> </w:t>
      </w:r>
      <w:r>
        <w:rPr>
          <w:color w:val="231F20"/>
          <w:spacing w:val="-2"/>
          <w:w w:val="95"/>
        </w:rPr>
        <w:t>of</w:t>
      </w:r>
      <w:r>
        <w:rPr>
          <w:color w:val="231F20"/>
          <w:spacing w:val="-7"/>
          <w:w w:val="95"/>
        </w:rPr>
        <w:t xml:space="preserve"> </w:t>
      </w:r>
      <w:r>
        <w:rPr>
          <w:color w:val="231F20"/>
          <w:spacing w:val="-2"/>
          <w:w w:val="95"/>
        </w:rPr>
        <w:t>props</w:t>
      </w:r>
      <w:r>
        <w:rPr>
          <w:color w:val="231F20"/>
          <w:spacing w:val="-7"/>
          <w:w w:val="95"/>
        </w:rPr>
        <w:t xml:space="preserve"> </w:t>
      </w:r>
      <w:r>
        <w:rPr>
          <w:color w:val="231F20"/>
          <w:spacing w:val="-2"/>
          <w:w w:val="95"/>
        </w:rPr>
        <w:t>and staging</w:t>
      </w:r>
      <w:r>
        <w:rPr>
          <w:color w:val="231F20"/>
          <w:spacing w:val="-7"/>
          <w:w w:val="95"/>
        </w:rPr>
        <w:t xml:space="preserve"> </w:t>
      </w:r>
      <w:r>
        <w:rPr>
          <w:color w:val="231F20"/>
          <w:spacing w:val="-2"/>
          <w:w w:val="95"/>
        </w:rPr>
        <w:t>such</w:t>
      </w:r>
      <w:r>
        <w:rPr>
          <w:color w:val="231F20"/>
          <w:spacing w:val="-7"/>
          <w:w w:val="95"/>
        </w:rPr>
        <w:t xml:space="preserve"> </w:t>
      </w:r>
      <w:r>
        <w:rPr>
          <w:color w:val="231F20"/>
          <w:spacing w:val="-2"/>
          <w:w w:val="95"/>
        </w:rPr>
        <w:t>as</w:t>
      </w:r>
      <w:r>
        <w:rPr>
          <w:color w:val="231F20"/>
          <w:spacing w:val="-7"/>
          <w:w w:val="95"/>
        </w:rPr>
        <w:t xml:space="preserve"> </w:t>
      </w:r>
      <w:r>
        <w:rPr>
          <w:color w:val="231F20"/>
          <w:spacing w:val="-2"/>
          <w:w w:val="95"/>
        </w:rPr>
        <w:t>old-fashioned</w:t>
      </w:r>
      <w:r>
        <w:rPr>
          <w:color w:val="231F20"/>
          <w:spacing w:val="-7"/>
          <w:w w:val="95"/>
        </w:rPr>
        <w:t xml:space="preserve"> </w:t>
      </w:r>
      <w:r>
        <w:rPr>
          <w:color w:val="231F20"/>
          <w:spacing w:val="-2"/>
          <w:w w:val="95"/>
        </w:rPr>
        <w:t>jerseys</w:t>
      </w:r>
      <w:r>
        <w:rPr>
          <w:color w:val="231F20"/>
          <w:spacing w:val="-7"/>
          <w:w w:val="95"/>
        </w:rPr>
        <w:t xml:space="preserve"> </w:t>
      </w:r>
      <w:r>
        <w:rPr>
          <w:color w:val="231F20"/>
          <w:spacing w:val="-2"/>
          <w:w w:val="95"/>
        </w:rPr>
        <w:t>and</w:t>
      </w:r>
      <w:r>
        <w:rPr>
          <w:color w:val="231F20"/>
          <w:spacing w:val="-7"/>
          <w:w w:val="95"/>
        </w:rPr>
        <w:t xml:space="preserve"> </w:t>
      </w:r>
      <w:r>
        <w:rPr>
          <w:color w:val="231F20"/>
          <w:spacing w:val="-2"/>
          <w:w w:val="95"/>
        </w:rPr>
        <w:t>snow-covered</w:t>
      </w:r>
      <w:r>
        <w:rPr>
          <w:color w:val="231F20"/>
          <w:spacing w:val="-7"/>
          <w:w w:val="95"/>
        </w:rPr>
        <w:t xml:space="preserve"> </w:t>
      </w:r>
      <w:r>
        <w:rPr>
          <w:color w:val="231F20"/>
          <w:spacing w:val="-2"/>
          <w:w w:val="95"/>
        </w:rPr>
        <w:t>winter</w:t>
      </w:r>
      <w:r>
        <w:rPr>
          <w:color w:val="231F20"/>
          <w:spacing w:val="-7"/>
          <w:w w:val="95"/>
        </w:rPr>
        <w:t xml:space="preserve"> </w:t>
      </w:r>
      <w:r>
        <w:rPr>
          <w:color w:val="231F20"/>
          <w:spacing w:val="-2"/>
          <w:w w:val="95"/>
        </w:rPr>
        <w:t xml:space="preserve">landscapes. </w:t>
      </w:r>
      <w:r>
        <w:rPr>
          <w:color w:val="231F20"/>
        </w:rPr>
        <w:t>Between 2003 and 2018, 25 NHL outdoor hockey games were played at stadiums across Canada and the United States, with the attendance ranging</w:t>
      </w:r>
      <w:r>
        <w:rPr>
          <w:color w:val="231F20"/>
          <w:spacing w:val="-10"/>
        </w:rPr>
        <w:t xml:space="preserve"> </w:t>
      </w:r>
      <w:r>
        <w:rPr>
          <w:color w:val="231F20"/>
        </w:rPr>
        <w:t>from</w:t>
      </w:r>
      <w:r>
        <w:rPr>
          <w:color w:val="231F20"/>
          <w:spacing w:val="-10"/>
        </w:rPr>
        <w:t xml:space="preserve"> </w:t>
      </w:r>
      <w:r>
        <w:rPr>
          <w:color w:val="231F20"/>
        </w:rPr>
        <w:t>around</w:t>
      </w:r>
      <w:r>
        <w:rPr>
          <w:color w:val="231F20"/>
          <w:spacing w:val="-10"/>
        </w:rPr>
        <w:t xml:space="preserve"> </w:t>
      </w:r>
      <w:r>
        <w:rPr>
          <w:color w:val="231F20"/>
        </w:rPr>
        <w:t>30,000</w:t>
      </w:r>
      <w:r>
        <w:rPr>
          <w:color w:val="231F20"/>
          <w:spacing w:val="-10"/>
        </w:rPr>
        <w:t xml:space="preserve"> </w:t>
      </w:r>
      <w:r>
        <w:rPr>
          <w:color w:val="231F20"/>
        </w:rPr>
        <w:t>(Winnipeg</w:t>
      </w:r>
      <w:r>
        <w:rPr>
          <w:color w:val="231F20"/>
          <w:spacing w:val="-10"/>
        </w:rPr>
        <w:t xml:space="preserve"> </w:t>
      </w:r>
      <w:r>
        <w:rPr>
          <w:color w:val="231F20"/>
        </w:rPr>
        <w:t>in</w:t>
      </w:r>
      <w:r>
        <w:rPr>
          <w:color w:val="231F20"/>
          <w:spacing w:val="-10"/>
        </w:rPr>
        <w:t xml:space="preserve"> </w:t>
      </w:r>
      <w:r>
        <w:rPr>
          <w:color w:val="231F20"/>
        </w:rPr>
        <w:t>2016)</w:t>
      </w:r>
      <w:r>
        <w:rPr>
          <w:color w:val="231F20"/>
          <w:spacing w:val="-10"/>
        </w:rPr>
        <w:t xml:space="preserve"> </w:t>
      </w:r>
      <w:r>
        <w:rPr>
          <w:color w:val="231F20"/>
        </w:rPr>
        <w:t>to</w:t>
      </w:r>
      <w:r>
        <w:rPr>
          <w:color w:val="231F20"/>
          <w:spacing w:val="-10"/>
        </w:rPr>
        <w:t xml:space="preserve"> </w:t>
      </w:r>
      <w:r>
        <w:rPr>
          <w:color w:val="231F20"/>
        </w:rPr>
        <w:t>over</w:t>
      </w:r>
      <w:r>
        <w:rPr>
          <w:color w:val="231F20"/>
          <w:spacing w:val="-10"/>
        </w:rPr>
        <w:t xml:space="preserve"> </w:t>
      </w:r>
      <w:r>
        <w:rPr>
          <w:color w:val="231F20"/>
        </w:rPr>
        <w:t>100,000</w:t>
      </w:r>
      <w:r>
        <w:rPr>
          <w:color w:val="231F20"/>
          <w:spacing w:val="-10"/>
        </w:rPr>
        <w:t xml:space="preserve"> </w:t>
      </w:r>
      <w:r>
        <w:rPr>
          <w:color w:val="231F20"/>
        </w:rPr>
        <w:t>(Ann Arbor,</w:t>
      </w:r>
      <w:r>
        <w:rPr>
          <w:color w:val="231F20"/>
          <w:spacing w:val="-12"/>
        </w:rPr>
        <w:t xml:space="preserve"> </w:t>
      </w:r>
      <w:r>
        <w:rPr>
          <w:color w:val="231F20"/>
        </w:rPr>
        <w:t>Michigan,</w:t>
      </w:r>
      <w:r>
        <w:rPr>
          <w:color w:val="231F20"/>
          <w:spacing w:val="-12"/>
        </w:rPr>
        <w:t xml:space="preserve"> </w:t>
      </w:r>
      <w:r>
        <w:rPr>
          <w:color w:val="231F20"/>
        </w:rPr>
        <w:t>in</w:t>
      </w:r>
      <w:r>
        <w:rPr>
          <w:color w:val="231F20"/>
          <w:spacing w:val="-11"/>
        </w:rPr>
        <w:t xml:space="preserve"> </w:t>
      </w:r>
      <w:r>
        <w:rPr>
          <w:color w:val="231F20"/>
        </w:rPr>
        <w:t>2014).</w:t>
      </w:r>
      <w:r>
        <w:rPr>
          <w:color w:val="231F20"/>
          <w:spacing w:val="-12"/>
        </w:rPr>
        <w:t xml:space="preserve"> </w:t>
      </w:r>
      <w:r>
        <w:rPr>
          <w:color w:val="231F20"/>
        </w:rPr>
        <w:t>Moreover,</w:t>
      </w:r>
      <w:r>
        <w:rPr>
          <w:color w:val="231F20"/>
          <w:spacing w:val="-11"/>
        </w:rPr>
        <w:t xml:space="preserve"> </w:t>
      </w:r>
      <w:r>
        <w:rPr>
          <w:color w:val="231F20"/>
        </w:rPr>
        <w:t>during</w:t>
      </w:r>
      <w:r>
        <w:rPr>
          <w:color w:val="231F20"/>
          <w:spacing w:val="-12"/>
        </w:rPr>
        <w:t xml:space="preserve"> </w:t>
      </w:r>
      <w:r>
        <w:rPr>
          <w:color w:val="231F20"/>
        </w:rPr>
        <w:t>the</w:t>
      </w:r>
      <w:r>
        <w:rPr>
          <w:color w:val="231F20"/>
          <w:spacing w:val="-11"/>
        </w:rPr>
        <w:t xml:space="preserve"> </w:t>
      </w:r>
      <w:r>
        <w:rPr>
          <w:color w:val="231F20"/>
        </w:rPr>
        <w:t>past</w:t>
      </w:r>
      <w:r>
        <w:rPr>
          <w:color w:val="231F20"/>
          <w:spacing w:val="-12"/>
        </w:rPr>
        <w:t xml:space="preserve"> </w:t>
      </w:r>
      <w:r>
        <w:rPr>
          <w:color w:val="231F20"/>
        </w:rPr>
        <w:t>15</w:t>
      </w:r>
      <w:r>
        <w:rPr>
          <w:color w:val="231F20"/>
          <w:spacing w:val="-12"/>
        </w:rPr>
        <w:t xml:space="preserve"> </w:t>
      </w:r>
      <w:r>
        <w:rPr>
          <w:color w:val="231F20"/>
        </w:rPr>
        <w:t>y</w:t>
      </w:r>
      <w:r>
        <w:rPr>
          <w:color w:val="231F20"/>
        </w:rPr>
        <w:t>ears,</w:t>
      </w:r>
      <w:r>
        <w:rPr>
          <w:color w:val="231F20"/>
          <w:spacing w:val="-11"/>
        </w:rPr>
        <w:t xml:space="preserve"> </w:t>
      </w:r>
      <w:r>
        <w:rPr>
          <w:color w:val="231F20"/>
        </w:rPr>
        <w:t>outdoor ice</w:t>
      </w:r>
      <w:r>
        <w:rPr>
          <w:color w:val="231F20"/>
          <w:spacing w:val="-6"/>
        </w:rPr>
        <w:t xml:space="preserve"> </w:t>
      </w:r>
      <w:r>
        <w:rPr>
          <w:color w:val="231F20"/>
        </w:rPr>
        <w:t>hockey</w:t>
      </w:r>
      <w:r>
        <w:rPr>
          <w:color w:val="231F20"/>
          <w:spacing w:val="-6"/>
        </w:rPr>
        <w:t xml:space="preserve"> </w:t>
      </w:r>
      <w:r>
        <w:rPr>
          <w:color w:val="231F20"/>
        </w:rPr>
        <w:t>spectator</w:t>
      </w:r>
      <w:r>
        <w:rPr>
          <w:color w:val="231F20"/>
          <w:spacing w:val="-6"/>
        </w:rPr>
        <w:t xml:space="preserve"> </w:t>
      </w:r>
      <w:r>
        <w:rPr>
          <w:color w:val="231F20"/>
        </w:rPr>
        <w:t>events</w:t>
      </w:r>
      <w:r>
        <w:rPr>
          <w:color w:val="231F20"/>
          <w:spacing w:val="-6"/>
        </w:rPr>
        <w:t xml:space="preserve"> </w:t>
      </w:r>
      <w:r>
        <w:rPr>
          <w:color w:val="231F20"/>
        </w:rPr>
        <w:t>have</w:t>
      </w:r>
      <w:r>
        <w:rPr>
          <w:color w:val="231F20"/>
          <w:spacing w:val="-6"/>
        </w:rPr>
        <w:t xml:space="preserve"> </w:t>
      </w:r>
      <w:r>
        <w:rPr>
          <w:color w:val="231F20"/>
        </w:rPr>
        <w:t>also</w:t>
      </w:r>
      <w:r>
        <w:rPr>
          <w:color w:val="231F20"/>
          <w:spacing w:val="-6"/>
        </w:rPr>
        <w:t xml:space="preserve"> </w:t>
      </w:r>
      <w:r>
        <w:rPr>
          <w:color w:val="231F20"/>
        </w:rPr>
        <w:t>been</w:t>
      </w:r>
      <w:r>
        <w:rPr>
          <w:color w:val="231F20"/>
          <w:spacing w:val="-6"/>
        </w:rPr>
        <w:t xml:space="preserve"> </w:t>
      </w:r>
      <w:r>
        <w:rPr>
          <w:color w:val="231F20"/>
        </w:rPr>
        <w:t>embraced</w:t>
      </w:r>
      <w:r>
        <w:rPr>
          <w:color w:val="231F20"/>
          <w:spacing w:val="-6"/>
        </w:rPr>
        <w:t xml:space="preserve"> </w:t>
      </w:r>
      <w:r>
        <w:rPr>
          <w:color w:val="231F20"/>
        </w:rPr>
        <w:t>by</w:t>
      </w:r>
      <w:r>
        <w:rPr>
          <w:color w:val="231F20"/>
          <w:spacing w:val="-6"/>
        </w:rPr>
        <w:t xml:space="preserve"> </w:t>
      </w:r>
      <w:r>
        <w:rPr>
          <w:color w:val="231F20"/>
        </w:rPr>
        <w:t>minor</w:t>
      </w:r>
      <w:r>
        <w:rPr>
          <w:color w:val="231F20"/>
          <w:spacing w:val="-6"/>
        </w:rPr>
        <w:t xml:space="preserve"> </w:t>
      </w:r>
      <w:r>
        <w:rPr>
          <w:color w:val="231F20"/>
        </w:rPr>
        <w:t>league hockey</w:t>
      </w:r>
      <w:r>
        <w:rPr>
          <w:color w:val="231F20"/>
          <w:spacing w:val="-3"/>
        </w:rPr>
        <w:t xml:space="preserve"> </w:t>
      </w:r>
      <w:r>
        <w:rPr>
          <w:color w:val="231F20"/>
        </w:rPr>
        <w:t>leagues,</w:t>
      </w:r>
      <w:r>
        <w:rPr>
          <w:color w:val="231F20"/>
          <w:spacing w:val="-3"/>
        </w:rPr>
        <w:t xml:space="preserve"> </w:t>
      </w:r>
      <w:r>
        <w:rPr>
          <w:color w:val="231F20"/>
        </w:rPr>
        <w:t>college</w:t>
      </w:r>
      <w:r>
        <w:rPr>
          <w:color w:val="231F20"/>
          <w:spacing w:val="-3"/>
        </w:rPr>
        <w:t xml:space="preserve"> </w:t>
      </w:r>
      <w:r>
        <w:rPr>
          <w:color w:val="231F20"/>
        </w:rPr>
        <w:t>hockey</w:t>
      </w:r>
      <w:r>
        <w:rPr>
          <w:color w:val="231F20"/>
          <w:spacing w:val="-3"/>
        </w:rPr>
        <w:t xml:space="preserve"> </w:t>
      </w:r>
      <w:r>
        <w:rPr>
          <w:color w:val="231F20"/>
        </w:rPr>
        <w:t>leagues</w:t>
      </w:r>
      <w:r>
        <w:rPr>
          <w:color w:val="231F20"/>
          <w:spacing w:val="-3"/>
        </w:rPr>
        <w:t xml:space="preserve"> </w:t>
      </w:r>
      <w:r>
        <w:rPr>
          <w:color w:val="231F20"/>
        </w:rPr>
        <w:t>and</w:t>
      </w:r>
      <w:r>
        <w:rPr>
          <w:color w:val="231F20"/>
          <w:spacing w:val="-3"/>
        </w:rPr>
        <w:t xml:space="preserve"> </w:t>
      </w:r>
      <w:r>
        <w:rPr>
          <w:color w:val="231F20"/>
        </w:rPr>
        <w:t>European</w:t>
      </w:r>
      <w:r>
        <w:rPr>
          <w:color w:val="231F20"/>
          <w:spacing w:val="-3"/>
        </w:rPr>
        <w:t xml:space="preserve"> </w:t>
      </w:r>
      <w:r>
        <w:rPr>
          <w:color w:val="231F20"/>
        </w:rPr>
        <w:t>hockey</w:t>
      </w:r>
      <w:r>
        <w:rPr>
          <w:color w:val="231F20"/>
          <w:spacing w:val="-3"/>
        </w:rPr>
        <w:t xml:space="preserve"> </w:t>
      </w:r>
      <w:r>
        <w:rPr>
          <w:color w:val="231F20"/>
        </w:rPr>
        <w:t xml:space="preserve">leagues. </w:t>
      </w:r>
      <w:r>
        <w:rPr>
          <w:color w:val="231F20"/>
          <w:w w:val="95"/>
        </w:rPr>
        <w:t>Well</w:t>
      </w:r>
      <w:r>
        <w:rPr>
          <w:color w:val="231F20"/>
          <w:spacing w:val="-2"/>
          <w:w w:val="95"/>
        </w:rPr>
        <w:t xml:space="preserve"> </w:t>
      </w:r>
      <w:r>
        <w:rPr>
          <w:color w:val="231F20"/>
          <w:w w:val="95"/>
        </w:rPr>
        <w:t>over</w:t>
      </w:r>
      <w:r>
        <w:rPr>
          <w:color w:val="231F20"/>
          <w:spacing w:val="-2"/>
          <w:w w:val="95"/>
        </w:rPr>
        <w:t xml:space="preserve"> </w:t>
      </w:r>
      <w:r>
        <w:rPr>
          <w:color w:val="231F20"/>
          <w:w w:val="95"/>
        </w:rPr>
        <w:t>100</w:t>
      </w:r>
      <w:r>
        <w:rPr>
          <w:color w:val="231F20"/>
          <w:spacing w:val="-2"/>
          <w:w w:val="95"/>
        </w:rPr>
        <w:t xml:space="preserve"> </w:t>
      </w:r>
      <w:r>
        <w:rPr>
          <w:color w:val="231F20"/>
          <w:w w:val="95"/>
        </w:rPr>
        <w:t>non-NHL</w:t>
      </w:r>
      <w:r>
        <w:rPr>
          <w:color w:val="231F20"/>
          <w:spacing w:val="-2"/>
          <w:w w:val="95"/>
        </w:rPr>
        <w:t xml:space="preserve"> </w:t>
      </w:r>
      <w:r>
        <w:rPr>
          <w:color w:val="231F20"/>
          <w:w w:val="95"/>
        </w:rPr>
        <w:t>outdoor</w:t>
      </w:r>
      <w:r>
        <w:rPr>
          <w:color w:val="231F20"/>
          <w:spacing w:val="-2"/>
          <w:w w:val="95"/>
        </w:rPr>
        <w:t xml:space="preserve"> </w:t>
      </w:r>
      <w:r>
        <w:rPr>
          <w:color w:val="231F20"/>
          <w:w w:val="95"/>
        </w:rPr>
        <w:t>games</w:t>
      </w:r>
      <w:r>
        <w:rPr>
          <w:color w:val="231F20"/>
          <w:spacing w:val="-2"/>
          <w:w w:val="95"/>
        </w:rPr>
        <w:t xml:space="preserve"> </w:t>
      </w:r>
      <w:r>
        <w:rPr>
          <w:color w:val="231F20"/>
          <w:w w:val="95"/>
        </w:rPr>
        <w:t>have</w:t>
      </w:r>
      <w:r>
        <w:rPr>
          <w:color w:val="231F20"/>
          <w:spacing w:val="-2"/>
          <w:w w:val="95"/>
        </w:rPr>
        <w:t xml:space="preserve"> </w:t>
      </w:r>
      <w:r>
        <w:rPr>
          <w:color w:val="231F20"/>
          <w:w w:val="95"/>
        </w:rPr>
        <w:t>been</w:t>
      </w:r>
      <w:r>
        <w:rPr>
          <w:color w:val="231F20"/>
          <w:spacing w:val="-2"/>
          <w:w w:val="95"/>
        </w:rPr>
        <w:t xml:space="preserve"> </w:t>
      </w:r>
      <w:r>
        <w:rPr>
          <w:color w:val="231F20"/>
          <w:w w:val="95"/>
        </w:rPr>
        <w:t>played</w:t>
      </w:r>
      <w:r>
        <w:rPr>
          <w:color w:val="231F20"/>
          <w:spacing w:val="-2"/>
          <w:w w:val="95"/>
        </w:rPr>
        <w:t xml:space="preserve"> </w:t>
      </w:r>
      <w:r>
        <w:rPr>
          <w:color w:val="231F20"/>
          <w:w w:val="95"/>
        </w:rPr>
        <w:t>in</w:t>
      </w:r>
      <w:r>
        <w:rPr>
          <w:color w:val="231F20"/>
          <w:spacing w:val="-2"/>
          <w:w w:val="95"/>
        </w:rPr>
        <w:t xml:space="preserve"> </w:t>
      </w:r>
      <w:r>
        <w:rPr>
          <w:color w:val="231F20"/>
          <w:w w:val="95"/>
        </w:rPr>
        <w:t>venues</w:t>
      </w:r>
      <w:r>
        <w:rPr>
          <w:color w:val="231F20"/>
          <w:spacing w:val="-2"/>
          <w:w w:val="95"/>
        </w:rPr>
        <w:t xml:space="preserve"> </w:t>
      </w:r>
      <w:r>
        <w:rPr>
          <w:color w:val="231F20"/>
          <w:w w:val="95"/>
        </w:rPr>
        <w:t>as</w:t>
      </w:r>
      <w:r>
        <w:rPr>
          <w:color w:val="231F20"/>
          <w:spacing w:val="-2"/>
          <w:w w:val="95"/>
        </w:rPr>
        <w:t xml:space="preserve"> </w:t>
      </w:r>
      <w:r>
        <w:rPr>
          <w:color w:val="231F20"/>
          <w:w w:val="95"/>
        </w:rPr>
        <w:t xml:space="preserve">far </w:t>
      </w:r>
      <w:r>
        <w:rPr>
          <w:color w:val="231F20"/>
        </w:rPr>
        <w:t xml:space="preserve">reaching as Red Square in Moscow to the Pula Arena, a 2000 year-old </w:t>
      </w:r>
      <w:r>
        <w:rPr>
          <w:color w:val="231F20"/>
          <w:w w:val="95"/>
        </w:rPr>
        <w:t>Roman</w:t>
      </w:r>
      <w:r>
        <w:rPr>
          <w:color w:val="231F20"/>
          <w:spacing w:val="-1"/>
          <w:w w:val="95"/>
        </w:rPr>
        <w:t xml:space="preserve"> </w:t>
      </w:r>
      <w:r>
        <w:rPr>
          <w:color w:val="231F20"/>
          <w:w w:val="95"/>
        </w:rPr>
        <w:t>amphitheatre,</w:t>
      </w:r>
      <w:r>
        <w:rPr>
          <w:color w:val="231F20"/>
          <w:spacing w:val="-1"/>
          <w:w w:val="95"/>
        </w:rPr>
        <w:t xml:space="preserve"> </w:t>
      </w:r>
      <w:r>
        <w:rPr>
          <w:color w:val="231F20"/>
          <w:w w:val="95"/>
        </w:rPr>
        <w:t>in</w:t>
      </w:r>
      <w:r>
        <w:rPr>
          <w:color w:val="231F20"/>
          <w:spacing w:val="-1"/>
          <w:w w:val="95"/>
        </w:rPr>
        <w:t xml:space="preserve"> </w:t>
      </w:r>
      <w:r>
        <w:rPr>
          <w:color w:val="231F20"/>
          <w:w w:val="95"/>
        </w:rPr>
        <w:t>Croatia.</w:t>
      </w:r>
      <w:r>
        <w:rPr>
          <w:color w:val="231F20"/>
          <w:spacing w:val="-1"/>
          <w:w w:val="95"/>
        </w:rPr>
        <w:t xml:space="preserve"> </w:t>
      </w:r>
      <w:r>
        <w:rPr>
          <w:color w:val="231F20"/>
          <w:w w:val="95"/>
        </w:rPr>
        <w:t>As</w:t>
      </w:r>
      <w:r>
        <w:rPr>
          <w:color w:val="231F20"/>
          <w:spacing w:val="-1"/>
          <w:w w:val="95"/>
        </w:rPr>
        <w:t xml:space="preserve"> </w:t>
      </w:r>
      <w:r>
        <w:rPr>
          <w:color w:val="231F20"/>
          <w:w w:val="95"/>
        </w:rPr>
        <w:t>such,</w:t>
      </w:r>
      <w:r>
        <w:rPr>
          <w:color w:val="231F20"/>
          <w:spacing w:val="-1"/>
          <w:w w:val="95"/>
        </w:rPr>
        <w:t xml:space="preserve"> </w:t>
      </w:r>
      <w:r>
        <w:rPr>
          <w:color w:val="231F20"/>
          <w:w w:val="95"/>
        </w:rPr>
        <w:t>the</w:t>
      </w:r>
      <w:r>
        <w:rPr>
          <w:color w:val="231F20"/>
          <w:spacing w:val="-1"/>
          <w:w w:val="95"/>
        </w:rPr>
        <w:t xml:space="preserve"> </w:t>
      </w:r>
      <w:r>
        <w:rPr>
          <w:color w:val="231F20"/>
          <w:w w:val="95"/>
        </w:rPr>
        <w:t>frequency</w:t>
      </w:r>
      <w:r>
        <w:rPr>
          <w:color w:val="231F20"/>
          <w:spacing w:val="-1"/>
          <w:w w:val="95"/>
        </w:rPr>
        <w:t xml:space="preserve"> </w:t>
      </w:r>
      <w:r>
        <w:rPr>
          <w:color w:val="231F20"/>
          <w:w w:val="95"/>
        </w:rPr>
        <w:t>and</w:t>
      </w:r>
      <w:r>
        <w:rPr>
          <w:color w:val="231F20"/>
          <w:spacing w:val="-1"/>
          <w:w w:val="95"/>
        </w:rPr>
        <w:t xml:space="preserve"> </w:t>
      </w:r>
      <w:r>
        <w:rPr>
          <w:color w:val="231F20"/>
          <w:w w:val="95"/>
        </w:rPr>
        <w:t xml:space="preserve">proliferation </w:t>
      </w:r>
      <w:r>
        <w:rPr>
          <w:color w:val="231F20"/>
        </w:rPr>
        <w:t>of</w:t>
      </w:r>
      <w:r>
        <w:rPr>
          <w:color w:val="231F20"/>
          <w:spacing w:val="-12"/>
        </w:rPr>
        <w:t xml:space="preserve"> </w:t>
      </w:r>
      <w:r>
        <w:rPr>
          <w:color w:val="231F20"/>
        </w:rPr>
        <w:t>spectator-based</w:t>
      </w:r>
      <w:r>
        <w:rPr>
          <w:color w:val="231F20"/>
          <w:spacing w:val="-12"/>
        </w:rPr>
        <w:t xml:space="preserve"> </w:t>
      </w:r>
      <w:r>
        <w:rPr>
          <w:color w:val="231F20"/>
        </w:rPr>
        <w:t>outdoor</w:t>
      </w:r>
      <w:r>
        <w:rPr>
          <w:color w:val="231F20"/>
          <w:spacing w:val="-11"/>
        </w:rPr>
        <w:t xml:space="preserve"> </w:t>
      </w:r>
      <w:r>
        <w:rPr>
          <w:color w:val="231F20"/>
        </w:rPr>
        <w:t>hockey</w:t>
      </w:r>
      <w:r>
        <w:rPr>
          <w:color w:val="231F20"/>
          <w:spacing w:val="-12"/>
        </w:rPr>
        <w:t xml:space="preserve"> </w:t>
      </w:r>
      <w:r>
        <w:rPr>
          <w:color w:val="231F20"/>
        </w:rPr>
        <w:t>events</w:t>
      </w:r>
      <w:r>
        <w:rPr>
          <w:color w:val="231F20"/>
          <w:spacing w:val="-11"/>
        </w:rPr>
        <w:t xml:space="preserve"> </w:t>
      </w:r>
      <w:r>
        <w:rPr>
          <w:color w:val="231F20"/>
        </w:rPr>
        <w:t>have</w:t>
      </w:r>
      <w:r>
        <w:rPr>
          <w:color w:val="231F20"/>
          <w:spacing w:val="-12"/>
        </w:rPr>
        <w:t xml:space="preserve"> </w:t>
      </w:r>
      <w:r>
        <w:rPr>
          <w:color w:val="231F20"/>
        </w:rPr>
        <w:t>likely</w:t>
      </w:r>
      <w:r>
        <w:rPr>
          <w:color w:val="231F20"/>
          <w:spacing w:val="-11"/>
        </w:rPr>
        <w:t xml:space="preserve"> </w:t>
      </w:r>
      <w:r>
        <w:rPr>
          <w:color w:val="231F20"/>
        </w:rPr>
        <w:t>reduced</w:t>
      </w:r>
      <w:r>
        <w:rPr>
          <w:color w:val="231F20"/>
          <w:spacing w:val="-12"/>
        </w:rPr>
        <w:t xml:space="preserve"> </w:t>
      </w:r>
      <w:r>
        <w:rPr>
          <w:color w:val="231F20"/>
        </w:rPr>
        <w:t>both</w:t>
      </w:r>
      <w:r>
        <w:rPr>
          <w:color w:val="231F20"/>
          <w:spacing w:val="-12"/>
        </w:rPr>
        <w:t xml:space="preserve"> </w:t>
      </w:r>
      <w:r>
        <w:rPr>
          <w:color w:val="231F20"/>
        </w:rPr>
        <w:t>the media</w:t>
      </w:r>
      <w:r>
        <w:rPr>
          <w:color w:val="231F20"/>
          <w:spacing w:val="-12"/>
        </w:rPr>
        <w:t xml:space="preserve"> </w:t>
      </w:r>
      <w:r>
        <w:rPr>
          <w:color w:val="231F20"/>
        </w:rPr>
        <w:t>and</w:t>
      </w:r>
      <w:r>
        <w:rPr>
          <w:color w:val="231F20"/>
          <w:spacing w:val="-11"/>
        </w:rPr>
        <w:t xml:space="preserve"> </w:t>
      </w:r>
      <w:r>
        <w:rPr>
          <w:color w:val="231F20"/>
        </w:rPr>
        <w:t>touristic</w:t>
      </w:r>
      <w:r>
        <w:rPr>
          <w:color w:val="231F20"/>
          <w:spacing w:val="-12"/>
        </w:rPr>
        <w:t xml:space="preserve"> </w:t>
      </w:r>
      <w:r>
        <w:rPr>
          <w:color w:val="231F20"/>
        </w:rPr>
        <w:t>appeal</w:t>
      </w:r>
      <w:r>
        <w:rPr>
          <w:color w:val="231F20"/>
          <w:spacing w:val="-11"/>
        </w:rPr>
        <w:t xml:space="preserve"> </w:t>
      </w:r>
      <w:r>
        <w:rPr>
          <w:color w:val="231F20"/>
        </w:rPr>
        <w:t>beyond</w:t>
      </w:r>
      <w:r>
        <w:rPr>
          <w:color w:val="231F20"/>
          <w:spacing w:val="-12"/>
        </w:rPr>
        <w:t xml:space="preserve"> </w:t>
      </w:r>
      <w:r>
        <w:rPr>
          <w:color w:val="231F20"/>
        </w:rPr>
        <w:t>local</w:t>
      </w:r>
      <w:r>
        <w:rPr>
          <w:color w:val="231F20"/>
          <w:spacing w:val="-11"/>
        </w:rPr>
        <w:t xml:space="preserve"> </w:t>
      </w:r>
      <w:r>
        <w:rPr>
          <w:color w:val="231F20"/>
        </w:rPr>
        <w:t>regions,</w:t>
      </w:r>
      <w:r>
        <w:rPr>
          <w:color w:val="231F20"/>
          <w:spacing w:val="-12"/>
        </w:rPr>
        <w:t xml:space="preserve"> </w:t>
      </w:r>
      <w:r>
        <w:rPr>
          <w:color w:val="231F20"/>
        </w:rPr>
        <w:t>as</w:t>
      </w:r>
      <w:r>
        <w:rPr>
          <w:color w:val="231F20"/>
          <w:spacing w:val="-11"/>
        </w:rPr>
        <w:t xml:space="preserve"> </w:t>
      </w:r>
      <w:r>
        <w:rPr>
          <w:color w:val="231F20"/>
        </w:rPr>
        <w:t>these</w:t>
      </w:r>
      <w:r>
        <w:rPr>
          <w:color w:val="231F20"/>
          <w:spacing w:val="-12"/>
        </w:rPr>
        <w:t xml:space="preserve"> </w:t>
      </w:r>
      <w:r>
        <w:rPr>
          <w:color w:val="231F20"/>
        </w:rPr>
        <w:t>are</w:t>
      </w:r>
      <w:r>
        <w:rPr>
          <w:color w:val="231F20"/>
          <w:spacing w:val="-11"/>
        </w:rPr>
        <w:t xml:space="preserve"> </w:t>
      </w:r>
      <w:r>
        <w:rPr>
          <w:color w:val="231F20"/>
        </w:rPr>
        <w:t>no</w:t>
      </w:r>
      <w:r>
        <w:rPr>
          <w:color w:val="231F20"/>
          <w:spacing w:val="-12"/>
        </w:rPr>
        <w:t xml:space="preserve"> </w:t>
      </w:r>
      <w:r>
        <w:rPr>
          <w:color w:val="231F20"/>
        </w:rPr>
        <w:t>longer ‘once</w:t>
      </w:r>
      <w:r>
        <w:rPr>
          <w:color w:val="231F20"/>
          <w:spacing w:val="-12"/>
        </w:rPr>
        <w:t xml:space="preserve"> </w:t>
      </w:r>
      <w:r>
        <w:rPr>
          <w:color w:val="231F20"/>
        </w:rPr>
        <w:t>in</w:t>
      </w:r>
      <w:r>
        <w:rPr>
          <w:color w:val="231F20"/>
          <w:spacing w:val="-12"/>
        </w:rPr>
        <w:t xml:space="preserve"> </w:t>
      </w:r>
      <w:r>
        <w:rPr>
          <w:color w:val="231F20"/>
        </w:rPr>
        <w:t>a</w:t>
      </w:r>
      <w:r>
        <w:rPr>
          <w:color w:val="231F20"/>
          <w:spacing w:val="-11"/>
        </w:rPr>
        <w:t xml:space="preserve"> </w:t>
      </w:r>
      <w:r>
        <w:rPr>
          <w:color w:val="231F20"/>
        </w:rPr>
        <w:t>lifetime’</w:t>
      </w:r>
      <w:r>
        <w:rPr>
          <w:color w:val="231F20"/>
          <w:spacing w:val="-12"/>
        </w:rPr>
        <w:t xml:space="preserve"> </w:t>
      </w:r>
      <w:r>
        <w:rPr>
          <w:color w:val="231F20"/>
        </w:rPr>
        <w:t>and</w:t>
      </w:r>
      <w:r>
        <w:rPr>
          <w:color w:val="231F20"/>
          <w:spacing w:val="-11"/>
        </w:rPr>
        <w:t xml:space="preserve"> </w:t>
      </w:r>
      <w:r>
        <w:rPr>
          <w:color w:val="231F20"/>
        </w:rPr>
        <w:t>‘must</w:t>
      </w:r>
      <w:r>
        <w:rPr>
          <w:color w:val="231F20"/>
          <w:spacing w:val="-12"/>
        </w:rPr>
        <w:t xml:space="preserve"> </w:t>
      </w:r>
      <w:r>
        <w:rPr>
          <w:color w:val="231F20"/>
        </w:rPr>
        <w:t>see’</w:t>
      </w:r>
      <w:r>
        <w:rPr>
          <w:color w:val="231F20"/>
          <w:spacing w:val="-11"/>
        </w:rPr>
        <w:t xml:space="preserve"> </w:t>
      </w:r>
      <w:r>
        <w:rPr>
          <w:color w:val="231F20"/>
        </w:rPr>
        <w:t>spectacles</w:t>
      </w:r>
      <w:r>
        <w:rPr>
          <w:color w:val="231F20"/>
          <w:spacing w:val="-12"/>
        </w:rPr>
        <w:t xml:space="preserve"> </w:t>
      </w:r>
      <w:r>
        <w:rPr>
          <w:color w:val="231F20"/>
        </w:rPr>
        <w:t>(Ramshaw,</w:t>
      </w:r>
      <w:r>
        <w:rPr>
          <w:color w:val="231F20"/>
          <w:spacing w:val="-12"/>
        </w:rPr>
        <w:t xml:space="preserve"> </w:t>
      </w:r>
      <w:r>
        <w:rPr>
          <w:color w:val="231F20"/>
        </w:rPr>
        <w:t>2014b).</w:t>
      </w:r>
      <w:r>
        <w:rPr>
          <w:color w:val="231F20"/>
          <w:spacing w:val="-11"/>
        </w:rPr>
        <w:t xml:space="preserve"> </w:t>
      </w:r>
      <w:r>
        <w:rPr>
          <w:color w:val="231F20"/>
        </w:rPr>
        <w:t>On</w:t>
      </w:r>
      <w:r>
        <w:rPr>
          <w:color w:val="231F20"/>
          <w:spacing w:val="-12"/>
        </w:rPr>
        <w:t xml:space="preserve"> </w:t>
      </w:r>
      <w:r>
        <w:rPr>
          <w:color w:val="231F20"/>
        </w:rPr>
        <w:t xml:space="preserve">the </w:t>
      </w:r>
      <w:r>
        <w:rPr>
          <w:color w:val="231F20"/>
          <w:w w:val="95"/>
        </w:rPr>
        <w:t xml:space="preserve">other hand, the significant growth of regional and national ‘pond hockey’ </w:t>
      </w:r>
      <w:r>
        <w:rPr>
          <w:color w:val="231F20"/>
          <w:spacing w:val="-2"/>
        </w:rPr>
        <w:t>tournaments</w:t>
      </w:r>
      <w:r>
        <w:rPr>
          <w:color w:val="231F20"/>
          <w:spacing w:val="-5"/>
        </w:rPr>
        <w:t xml:space="preserve"> </w:t>
      </w:r>
      <w:r>
        <w:rPr>
          <w:color w:val="231F20"/>
          <w:spacing w:val="-2"/>
        </w:rPr>
        <w:t>such</w:t>
      </w:r>
      <w:r>
        <w:rPr>
          <w:color w:val="231F20"/>
          <w:spacing w:val="-5"/>
        </w:rPr>
        <w:t xml:space="preserve"> </w:t>
      </w:r>
      <w:r>
        <w:rPr>
          <w:color w:val="231F20"/>
          <w:spacing w:val="-2"/>
        </w:rPr>
        <w:t>as</w:t>
      </w:r>
      <w:r>
        <w:rPr>
          <w:color w:val="231F20"/>
          <w:spacing w:val="-5"/>
        </w:rPr>
        <w:t xml:space="preserve"> </w:t>
      </w:r>
      <w:r>
        <w:rPr>
          <w:color w:val="231F20"/>
          <w:spacing w:val="-2"/>
        </w:rPr>
        <w:t>the</w:t>
      </w:r>
      <w:r>
        <w:rPr>
          <w:color w:val="231F20"/>
          <w:spacing w:val="-5"/>
        </w:rPr>
        <w:t xml:space="preserve"> </w:t>
      </w:r>
      <w:r>
        <w:rPr>
          <w:color w:val="231F20"/>
          <w:spacing w:val="-2"/>
        </w:rPr>
        <w:t>World</w:t>
      </w:r>
      <w:r>
        <w:rPr>
          <w:color w:val="231F20"/>
          <w:spacing w:val="-5"/>
        </w:rPr>
        <w:t xml:space="preserve"> </w:t>
      </w:r>
      <w:r>
        <w:rPr>
          <w:color w:val="231F20"/>
          <w:spacing w:val="-2"/>
        </w:rPr>
        <w:t>Pond</w:t>
      </w:r>
      <w:r>
        <w:rPr>
          <w:color w:val="231F20"/>
          <w:spacing w:val="-5"/>
        </w:rPr>
        <w:t xml:space="preserve"> </w:t>
      </w:r>
      <w:r>
        <w:rPr>
          <w:color w:val="231F20"/>
          <w:spacing w:val="-2"/>
        </w:rPr>
        <w:t>Hockey</w:t>
      </w:r>
      <w:r>
        <w:rPr>
          <w:color w:val="231F20"/>
          <w:spacing w:val="-5"/>
        </w:rPr>
        <w:t xml:space="preserve"> </w:t>
      </w:r>
      <w:r>
        <w:rPr>
          <w:color w:val="231F20"/>
          <w:spacing w:val="-2"/>
        </w:rPr>
        <w:t>Championships</w:t>
      </w:r>
      <w:r>
        <w:rPr>
          <w:color w:val="231F20"/>
          <w:spacing w:val="-5"/>
        </w:rPr>
        <w:t xml:space="preserve"> </w:t>
      </w:r>
      <w:r>
        <w:rPr>
          <w:color w:val="231F20"/>
          <w:spacing w:val="-2"/>
        </w:rPr>
        <w:t>(Lowes</w:t>
      </w:r>
      <w:r>
        <w:rPr>
          <w:color w:val="231F20"/>
          <w:spacing w:val="-5"/>
        </w:rPr>
        <w:t xml:space="preserve"> </w:t>
      </w:r>
      <w:r>
        <w:rPr>
          <w:color w:val="231F20"/>
          <w:spacing w:val="-2"/>
        </w:rPr>
        <w:t xml:space="preserve">&amp; </w:t>
      </w:r>
      <w:r>
        <w:rPr>
          <w:color w:val="231F20"/>
        </w:rPr>
        <w:t>Awde,</w:t>
      </w:r>
      <w:r>
        <w:rPr>
          <w:color w:val="231F20"/>
          <w:spacing w:val="-5"/>
        </w:rPr>
        <w:t xml:space="preserve"> </w:t>
      </w:r>
      <w:r>
        <w:rPr>
          <w:color w:val="231F20"/>
        </w:rPr>
        <w:t>2015),</w:t>
      </w:r>
      <w:r>
        <w:rPr>
          <w:color w:val="231F20"/>
          <w:spacing w:val="-5"/>
        </w:rPr>
        <w:t xml:space="preserve"> </w:t>
      </w:r>
      <w:r>
        <w:rPr>
          <w:color w:val="231F20"/>
        </w:rPr>
        <w:t>which</w:t>
      </w:r>
      <w:r>
        <w:rPr>
          <w:color w:val="231F20"/>
          <w:spacing w:val="-5"/>
        </w:rPr>
        <w:t xml:space="preserve"> </w:t>
      </w:r>
      <w:r>
        <w:rPr>
          <w:color w:val="231F20"/>
        </w:rPr>
        <w:t>are</w:t>
      </w:r>
      <w:r>
        <w:rPr>
          <w:color w:val="231F20"/>
          <w:spacing w:val="-5"/>
        </w:rPr>
        <w:t xml:space="preserve"> </w:t>
      </w:r>
      <w:r>
        <w:rPr>
          <w:color w:val="231F20"/>
        </w:rPr>
        <w:t>played</w:t>
      </w:r>
      <w:r>
        <w:rPr>
          <w:color w:val="231F20"/>
          <w:spacing w:val="-5"/>
        </w:rPr>
        <w:t xml:space="preserve"> </w:t>
      </w:r>
      <w:r>
        <w:rPr>
          <w:color w:val="231F20"/>
        </w:rPr>
        <w:t>on</w:t>
      </w:r>
      <w:r>
        <w:rPr>
          <w:color w:val="231F20"/>
          <w:spacing w:val="-5"/>
        </w:rPr>
        <w:t xml:space="preserve"> </w:t>
      </w:r>
      <w:r>
        <w:rPr>
          <w:color w:val="231F20"/>
        </w:rPr>
        <w:t>natural</w:t>
      </w:r>
      <w:r>
        <w:rPr>
          <w:color w:val="231F20"/>
          <w:spacing w:val="-5"/>
        </w:rPr>
        <w:t xml:space="preserve"> </w:t>
      </w:r>
      <w:r>
        <w:rPr>
          <w:color w:val="231F20"/>
        </w:rPr>
        <w:t>frozen</w:t>
      </w:r>
      <w:r>
        <w:rPr>
          <w:color w:val="231F20"/>
          <w:spacing w:val="-5"/>
        </w:rPr>
        <w:t xml:space="preserve"> </w:t>
      </w:r>
      <w:r>
        <w:rPr>
          <w:color w:val="231F20"/>
        </w:rPr>
        <w:t>bodies</w:t>
      </w:r>
      <w:r>
        <w:rPr>
          <w:color w:val="231F20"/>
          <w:spacing w:val="-5"/>
        </w:rPr>
        <w:t xml:space="preserve"> </w:t>
      </w:r>
      <w:r>
        <w:rPr>
          <w:color w:val="231F20"/>
        </w:rPr>
        <w:t>of</w:t>
      </w:r>
      <w:r>
        <w:rPr>
          <w:color w:val="231F20"/>
          <w:spacing w:val="-5"/>
        </w:rPr>
        <w:t xml:space="preserve"> </w:t>
      </w:r>
      <w:r>
        <w:rPr>
          <w:color w:val="231F20"/>
        </w:rPr>
        <w:t>water</w:t>
      </w:r>
      <w:r>
        <w:rPr>
          <w:color w:val="231F20"/>
          <w:spacing w:val="-5"/>
        </w:rPr>
        <w:t xml:space="preserve"> </w:t>
      </w:r>
      <w:r>
        <w:rPr>
          <w:color w:val="231F20"/>
        </w:rPr>
        <w:t>such as</w:t>
      </w:r>
      <w:r>
        <w:rPr>
          <w:color w:val="231F20"/>
          <w:spacing w:val="-3"/>
        </w:rPr>
        <w:t xml:space="preserve"> </w:t>
      </w:r>
      <w:r>
        <w:rPr>
          <w:color w:val="231F20"/>
        </w:rPr>
        <w:t>lakes</w:t>
      </w:r>
      <w:r>
        <w:rPr>
          <w:color w:val="231F20"/>
          <w:spacing w:val="-3"/>
        </w:rPr>
        <w:t xml:space="preserve"> </w:t>
      </w:r>
      <w:r>
        <w:rPr>
          <w:color w:val="231F20"/>
        </w:rPr>
        <w:t>and</w:t>
      </w:r>
      <w:r>
        <w:rPr>
          <w:color w:val="231F20"/>
          <w:spacing w:val="-3"/>
        </w:rPr>
        <w:t xml:space="preserve"> </w:t>
      </w:r>
      <w:r>
        <w:rPr>
          <w:color w:val="231F20"/>
        </w:rPr>
        <w:t>ponds</w:t>
      </w:r>
      <w:r>
        <w:rPr>
          <w:color w:val="231F20"/>
          <w:spacing w:val="-3"/>
        </w:rPr>
        <w:t xml:space="preserve"> </w:t>
      </w:r>
      <w:r>
        <w:rPr>
          <w:color w:val="231F20"/>
        </w:rPr>
        <w:t>and</w:t>
      </w:r>
      <w:r>
        <w:rPr>
          <w:color w:val="231F20"/>
          <w:spacing w:val="-3"/>
        </w:rPr>
        <w:t xml:space="preserve"> </w:t>
      </w:r>
      <w:r>
        <w:rPr>
          <w:color w:val="231F20"/>
        </w:rPr>
        <w:t>feature</w:t>
      </w:r>
      <w:r>
        <w:rPr>
          <w:color w:val="231F20"/>
          <w:spacing w:val="-3"/>
        </w:rPr>
        <w:t xml:space="preserve"> </w:t>
      </w:r>
      <w:r>
        <w:rPr>
          <w:color w:val="231F20"/>
        </w:rPr>
        <w:t>a</w:t>
      </w:r>
      <w:r>
        <w:rPr>
          <w:color w:val="231F20"/>
          <w:spacing w:val="-3"/>
        </w:rPr>
        <w:t xml:space="preserve"> </w:t>
      </w:r>
      <w:r>
        <w:rPr>
          <w:color w:val="231F20"/>
        </w:rPr>
        <w:t>far-less</w:t>
      </w:r>
      <w:r>
        <w:rPr>
          <w:color w:val="231F20"/>
          <w:spacing w:val="-3"/>
        </w:rPr>
        <w:t xml:space="preserve"> </w:t>
      </w:r>
      <w:r>
        <w:rPr>
          <w:color w:val="231F20"/>
        </w:rPr>
        <w:t>codified</w:t>
      </w:r>
      <w:r>
        <w:rPr>
          <w:color w:val="231F20"/>
          <w:spacing w:val="-3"/>
        </w:rPr>
        <w:t xml:space="preserve"> </w:t>
      </w:r>
      <w:r>
        <w:rPr>
          <w:color w:val="231F20"/>
        </w:rPr>
        <w:t>and</w:t>
      </w:r>
      <w:r>
        <w:rPr>
          <w:color w:val="231F20"/>
          <w:spacing w:val="-3"/>
        </w:rPr>
        <w:t xml:space="preserve"> </w:t>
      </w:r>
      <w:r>
        <w:rPr>
          <w:color w:val="231F20"/>
        </w:rPr>
        <w:t>structured</w:t>
      </w:r>
      <w:r>
        <w:rPr>
          <w:color w:val="231F20"/>
          <w:spacing w:val="-3"/>
        </w:rPr>
        <w:t xml:space="preserve"> </w:t>
      </w:r>
      <w:r>
        <w:rPr>
          <w:color w:val="231F20"/>
        </w:rPr>
        <w:t>form of</w:t>
      </w:r>
      <w:r>
        <w:rPr>
          <w:color w:val="231F20"/>
          <w:spacing w:val="-3"/>
        </w:rPr>
        <w:t xml:space="preserve"> </w:t>
      </w:r>
      <w:r>
        <w:rPr>
          <w:color w:val="231F20"/>
        </w:rPr>
        <w:t>the</w:t>
      </w:r>
      <w:r>
        <w:rPr>
          <w:color w:val="231F20"/>
          <w:spacing w:val="-3"/>
        </w:rPr>
        <w:t xml:space="preserve"> </w:t>
      </w:r>
      <w:r>
        <w:rPr>
          <w:color w:val="231F20"/>
        </w:rPr>
        <w:t>sport</w:t>
      </w:r>
      <w:r>
        <w:rPr>
          <w:color w:val="231F20"/>
          <w:spacing w:val="-3"/>
        </w:rPr>
        <w:t xml:space="preserve"> </w:t>
      </w:r>
      <w:r>
        <w:rPr>
          <w:color w:val="231F20"/>
        </w:rPr>
        <w:t>commonly</w:t>
      </w:r>
      <w:r>
        <w:rPr>
          <w:color w:val="231F20"/>
          <w:spacing w:val="-3"/>
        </w:rPr>
        <w:t xml:space="preserve"> </w:t>
      </w:r>
      <w:r>
        <w:rPr>
          <w:color w:val="231F20"/>
        </w:rPr>
        <w:t>referred</w:t>
      </w:r>
      <w:r>
        <w:rPr>
          <w:color w:val="231F20"/>
          <w:spacing w:val="-3"/>
        </w:rPr>
        <w:t xml:space="preserve"> </w:t>
      </w:r>
      <w:r>
        <w:rPr>
          <w:color w:val="231F20"/>
        </w:rPr>
        <w:t>to</w:t>
      </w:r>
      <w:r>
        <w:rPr>
          <w:color w:val="231F20"/>
          <w:spacing w:val="-3"/>
        </w:rPr>
        <w:t xml:space="preserve"> </w:t>
      </w:r>
      <w:r>
        <w:rPr>
          <w:color w:val="231F20"/>
        </w:rPr>
        <w:t>as</w:t>
      </w:r>
      <w:r>
        <w:rPr>
          <w:color w:val="231F20"/>
          <w:spacing w:val="-3"/>
        </w:rPr>
        <w:t xml:space="preserve"> </w:t>
      </w:r>
      <w:r>
        <w:rPr>
          <w:color w:val="231F20"/>
        </w:rPr>
        <w:t>‘shinny’,</w:t>
      </w:r>
      <w:r>
        <w:rPr>
          <w:color w:val="231F20"/>
          <w:spacing w:val="-3"/>
        </w:rPr>
        <w:t xml:space="preserve"> </w:t>
      </w:r>
      <w:r>
        <w:rPr>
          <w:color w:val="231F20"/>
        </w:rPr>
        <w:t>speaks</w:t>
      </w:r>
      <w:r>
        <w:rPr>
          <w:color w:val="231F20"/>
          <w:spacing w:val="-3"/>
        </w:rPr>
        <w:t xml:space="preserve"> </w:t>
      </w:r>
      <w:r>
        <w:rPr>
          <w:color w:val="231F20"/>
        </w:rPr>
        <w:t>to</w:t>
      </w:r>
      <w:r>
        <w:rPr>
          <w:color w:val="231F20"/>
          <w:spacing w:val="-3"/>
        </w:rPr>
        <w:t xml:space="preserve"> </w:t>
      </w:r>
      <w:r>
        <w:rPr>
          <w:color w:val="231F20"/>
        </w:rPr>
        <w:t>another</w:t>
      </w:r>
      <w:r>
        <w:rPr>
          <w:color w:val="231F20"/>
          <w:spacing w:val="-3"/>
        </w:rPr>
        <w:t xml:space="preserve"> </w:t>
      </w:r>
      <w:r>
        <w:rPr>
          <w:color w:val="231F20"/>
        </w:rPr>
        <w:t xml:space="preserve">sport </w:t>
      </w:r>
      <w:r>
        <w:rPr>
          <w:color w:val="231F20"/>
          <w:w w:val="95"/>
        </w:rPr>
        <w:t>tourism</w:t>
      </w:r>
      <w:r>
        <w:rPr>
          <w:color w:val="231F20"/>
          <w:spacing w:val="-5"/>
          <w:w w:val="95"/>
        </w:rPr>
        <w:t xml:space="preserve"> </w:t>
      </w:r>
      <w:r>
        <w:rPr>
          <w:color w:val="231F20"/>
          <w:w w:val="95"/>
        </w:rPr>
        <w:t>dimension.</w:t>
      </w:r>
      <w:r>
        <w:rPr>
          <w:color w:val="231F20"/>
          <w:spacing w:val="-5"/>
          <w:w w:val="95"/>
        </w:rPr>
        <w:t xml:space="preserve"> </w:t>
      </w:r>
      <w:r>
        <w:rPr>
          <w:color w:val="231F20"/>
          <w:w w:val="95"/>
        </w:rPr>
        <w:t>This</w:t>
      </w:r>
      <w:r>
        <w:rPr>
          <w:color w:val="231F20"/>
          <w:spacing w:val="-5"/>
          <w:w w:val="95"/>
        </w:rPr>
        <w:t xml:space="preserve"> </w:t>
      </w:r>
      <w:r>
        <w:rPr>
          <w:color w:val="231F20"/>
          <w:w w:val="95"/>
        </w:rPr>
        <w:t>form</w:t>
      </w:r>
      <w:r>
        <w:rPr>
          <w:color w:val="231F20"/>
          <w:spacing w:val="-4"/>
          <w:w w:val="95"/>
        </w:rPr>
        <w:t xml:space="preserve"> </w:t>
      </w:r>
      <w:r>
        <w:rPr>
          <w:color w:val="231F20"/>
          <w:w w:val="95"/>
        </w:rPr>
        <w:t>of</w:t>
      </w:r>
      <w:r>
        <w:rPr>
          <w:color w:val="231F20"/>
          <w:spacing w:val="-5"/>
          <w:w w:val="95"/>
        </w:rPr>
        <w:t xml:space="preserve"> </w:t>
      </w:r>
      <w:r>
        <w:rPr>
          <w:color w:val="231F20"/>
          <w:w w:val="95"/>
        </w:rPr>
        <w:t>outdoor</w:t>
      </w:r>
      <w:r>
        <w:rPr>
          <w:color w:val="231F20"/>
          <w:spacing w:val="-5"/>
          <w:w w:val="95"/>
        </w:rPr>
        <w:t xml:space="preserve"> </w:t>
      </w:r>
      <w:r>
        <w:rPr>
          <w:color w:val="231F20"/>
          <w:w w:val="95"/>
        </w:rPr>
        <w:t>ice</w:t>
      </w:r>
      <w:r>
        <w:rPr>
          <w:color w:val="231F20"/>
          <w:spacing w:val="-4"/>
          <w:w w:val="95"/>
        </w:rPr>
        <w:t xml:space="preserve"> </w:t>
      </w:r>
      <w:r>
        <w:rPr>
          <w:color w:val="231F20"/>
          <w:w w:val="95"/>
        </w:rPr>
        <w:t>hockey</w:t>
      </w:r>
      <w:r>
        <w:rPr>
          <w:color w:val="231F20"/>
          <w:spacing w:val="-5"/>
          <w:w w:val="95"/>
        </w:rPr>
        <w:t xml:space="preserve"> </w:t>
      </w:r>
      <w:r>
        <w:rPr>
          <w:color w:val="231F20"/>
          <w:w w:val="95"/>
        </w:rPr>
        <w:t>can</w:t>
      </w:r>
      <w:r>
        <w:rPr>
          <w:color w:val="231F20"/>
          <w:spacing w:val="-5"/>
          <w:w w:val="95"/>
        </w:rPr>
        <w:t xml:space="preserve"> </w:t>
      </w:r>
      <w:r>
        <w:rPr>
          <w:color w:val="231F20"/>
          <w:w w:val="95"/>
        </w:rPr>
        <w:t>be</w:t>
      </w:r>
      <w:r>
        <w:rPr>
          <w:color w:val="231F20"/>
          <w:spacing w:val="-5"/>
          <w:w w:val="95"/>
        </w:rPr>
        <w:t xml:space="preserve"> </w:t>
      </w:r>
      <w:r>
        <w:rPr>
          <w:color w:val="231F20"/>
          <w:w w:val="95"/>
        </w:rPr>
        <w:t>categorised</w:t>
      </w:r>
      <w:r>
        <w:rPr>
          <w:color w:val="231F20"/>
          <w:spacing w:val="-4"/>
          <w:w w:val="95"/>
        </w:rPr>
        <w:t xml:space="preserve"> </w:t>
      </w:r>
      <w:r>
        <w:rPr>
          <w:color w:val="231F20"/>
          <w:spacing w:val="-5"/>
          <w:w w:val="95"/>
        </w:rPr>
        <w:t>as</w:t>
      </w:r>
    </w:p>
    <w:p w14:paraId="73C206AC" w14:textId="77777777" w:rsidR="00AE0598" w:rsidRDefault="00AE0598">
      <w:pPr>
        <w:spacing w:line="232" w:lineRule="auto"/>
        <w:jc w:val="both"/>
        <w:sectPr w:rsidR="00AE0598">
          <w:pgSz w:w="8850" w:h="13270"/>
          <w:pgMar w:top="720" w:right="1060" w:bottom="280" w:left="1080" w:header="720" w:footer="720" w:gutter="0"/>
          <w:cols w:space="720"/>
        </w:sectPr>
      </w:pPr>
    </w:p>
    <w:p w14:paraId="7586DC25" w14:textId="77777777" w:rsidR="00AE0598" w:rsidRDefault="0069255A">
      <w:pPr>
        <w:spacing w:before="87"/>
        <w:ind w:left="3808"/>
        <w:rPr>
          <w:rFonts w:ascii="Trebuchet MS"/>
          <w:sz w:val="14"/>
        </w:rPr>
      </w:pPr>
      <w:r>
        <w:rPr>
          <w:rFonts w:ascii="Trebuchet MS"/>
          <w:color w:val="231F20"/>
          <w:w w:val="105"/>
          <w:sz w:val="14"/>
        </w:rPr>
        <w:lastRenderedPageBreak/>
        <w:t>Evolutionary</w:t>
      </w:r>
      <w:r>
        <w:rPr>
          <w:rFonts w:ascii="Trebuchet MS"/>
          <w:color w:val="231F20"/>
          <w:spacing w:val="-12"/>
          <w:w w:val="105"/>
          <w:sz w:val="14"/>
        </w:rPr>
        <w:t xml:space="preserve"> </w:t>
      </w:r>
      <w:r>
        <w:rPr>
          <w:rFonts w:ascii="Trebuchet MS"/>
          <w:color w:val="231F20"/>
          <w:w w:val="105"/>
          <w:sz w:val="14"/>
        </w:rPr>
        <w:t>Trends</w:t>
      </w:r>
      <w:r>
        <w:rPr>
          <w:rFonts w:ascii="Trebuchet MS"/>
          <w:color w:val="231F20"/>
          <w:spacing w:val="-11"/>
          <w:w w:val="105"/>
          <w:sz w:val="14"/>
        </w:rPr>
        <w:t xml:space="preserve"> </w:t>
      </w:r>
      <w:r>
        <w:rPr>
          <w:rFonts w:ascii="Trebuchet MS"/>
          <w:color w:val="231F20"/>
          <w:w w:val="105"/>
          <w:sz w:val="14"/>
        </w:rPr>
        <w:t>in</w:t>
      </w:r>
      <w:r>
        <w:rPr>
          <w:rFonts w:ascii="Trebuchet MS"/>
          <w:color w:val="231F20"/>
          <w:spacing w:val="-11"/>
          <w:w w:val="105"/>
          <w:sz w:val="14"/>
        </w:rPr>
        <w:t xml:space="preserve"> </w:t>
      </w:r>
      <w:r>
        <w:rPr>
          <w:rFonts w:ascii="Trebuchet MS"/>
          <w:color w:val="231F20"/>
          <w:w w:val="105"/>
          <w:sz w:val="14"/>
        </w:rPr>
        <w:t>Sport</w:t>
      </w:r>
      <w:r>
        <w:rPr>
          <w:rFonts w:ascii="Trebuchet MS"/>
          <w:color w:val="231F20"/>
          <w:spacing w:val="-11"/>
          <w:w w:val="105"/>
          <w:sz w:val="14"/>
        </w:rPr>
        <w:t xml:space="preserve"> </w:t>
      </w:r>
      <w:r>
        <w:rPr>
          <w:rFonts w:ascii="Trebuchet MS"/>
          <w:color w:val="231F20"/>
          <w:w w:val="105"/>
          <w:sz w:val="14"/>
        </w:rPr>
        <w:t>Tourism</w:t>
      </w:r>
      <w:r>
        <w:rPr>
          <w:rFonts w:ascii="Trebuchet MS"/>
          <w:color w:val="231F20"/>
          <w:spacing w:val="74"/>
          <w:w w:val="105"/>
          <w:sz w:val="14"/>
        </w:rPr>
        <w:t xml:space="preserve"> </w:t>
      </w:r>
      <w:r>
        <w:rPr>
          <w:rFonts w:ascii="Trebuchet MS"/>
          <w:color w:val="231F20"/>
          <w:spacing w:val="-5"/>
          <w:w w:val="105"/>
          <w:sz w:val="14"/>
        </w:rPr>
        <w:t>211</w:t>
      </w:r>
    </w:p>
    <w:p w14:paraId="51B87000" w14:textId="3933D87E" w:rsidR="00AE0598" w:rsidRDefault="0069255A">
      <w:pPr>
        <w:pStyle w:val="Corpodetexto"/>
        <w:spacing w:before="6"/>
        <w:rPr>
          <w:rFonts w:ascii="Trebuchet MS"/>
          <w:sz w:val="27"/>
        </w:rPr>
      </w:pPr>
      <w:r>
        <w:rPr>
          <w:noProof/>
        </w:rPr>
        <mc:AlternateContent>
          <mc:Choice Requires="wps">
            <w:drawing>
              <wp:anchor distT="0" distB="0" distL="0" distR="0" simplePos="0" relativeHeight="487696384" behindDoc="1" locked="0" layoutInCell="1" allowOverlap="1" wp14:anchorId="07208D7B" wp14:editId="619F595B">
                <wp:simplePos x="0" y="0"/>
                <wp:positionH relativeFrom="page">
                  <wp:posOffset>755650</wp:posOffset>
                </wp:positionH>
                <wp:positionV relativeFrom="paragraph">
                  <wp:posOffset>218440</wp:posOffset>
                </wp:positionV>
                <wp:extent cx="4104005" cy="1458595"/>
                <wp:effectExtent l="0" t="0" r="0" b="0"/>
                <wp:wrapTopAndBottom/>
                <wp:docPr id="2" name="docshape3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04005" cy="1458595"/>
                        </a:xfrm>
                        <a:prstGeom prst="rect">
                          <a:avLst/>
                        </a:prstGeom>
                        <a:solidFill>
                          <a:srgbClr val="DCDDD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2A00851" w14:textId="77777777" w:rsidR="00AE0598" w:rsidRDefault="0069255A">
                            <w:pPr>
                              <w:pStyle w:val="Corpodetexto"/>
                              <w:spacing w:before="73" w:line="232" w:lineRule="auto"/>
                              <w:ind w:left="113"/>
                              <w:rPr>
                                <w:color w:val="000000"/>
                              </w:rPr>
                            </w:pPr>
                            <w:r>
                              <w:rPr>
                                <w:color w:val="231F20"/>
                                <w:spacing w:val="-2"/>
                                <w:w w:val="95"/>
                              </w:rPr>
                              <w:t xml:space="preserve">‘participation-based events’ at which personal and collective heritages and </w:t>
                            </w:r>
                            <w:r>
                              <w:rPr>
                                <w:color w:val="231F20"/>
                                <w:w w:val="95"/>
                              </w:rPr>
                              <w:t>nostalgia are kinaesthetically embodied and performed by sport tourists.</w:t>
                            </w:r>
                          </w:p>
                          <w:p w14:paraId="106BDB14" w14:textId="77777777" w:rsidR="00AE0598" w:rsidRDefault="00AE0598">
                            <w:pPr>
                              <w:pStyle w:val="Corpodetexto"/>
                              <w:spacing w:before="2"/>
                              <w:rPr>
                                <w:color w:val="000000"/>
                              </w:rPr>
                            </w:pPr>
                          </w:p>
                          <w:p w14:paraId="14C044F7" w14:textId="77777777" w:rsidR="00AE0598" w:rsidRDefault="0069255A">
                            <w:pPr>
                              <w:ind w:left="113"/>
                              <w:rPr>
                                <w:rFonts w:ascii="Trebuchet MS"/>
                                <w:color w:val="000000"/>
                                <w:sz w:val="20"/>
                              </w:rPr>
                            </w:pPr>
                            <w:r>
                              <w:rPr>
                                <w:rFonts w:ascii="Trebuchet MS"/>
                                <w:color w:val="231F20"/>
                                <w:w w:val="105"/>
                                <w:sz w:val="20"/>
                              </w:rPr>
                              <w:t>Key</w:t>
                            </w:r>
                            <w:r>
                              <w:rPr>
                                <w:rFonts w:ascii="Trebuchet MS"/>
                                <w:color w:val="231F20"/>
                                <w:spacing w:val="-11"/>
                                <w:w w:val="105"/>
                                <w:sz w:val="20"/>
                              </w:rPr>
                              <w:t xml:space="preserve"> </w:t>
                            </w:r>
                            <w:r>
                              <w:rPr>
                                <w:rFonts w:ascii="Trebuchet MS"/>
                                <w:color w:val="231F20"/>
                                <w:spacing w:val="-2"/>
                                <w:w w:val="105"/>
                                <w:sz w:val="20"/>
                              </w:rPr>
                              <w:t>Reading</w:t>
                            </w:r>
                          </w:p>
                          <w:p w14:paraId="2F228223" w14:textId="77777777" w:rsidR="00AE0598" w:rsidRDefault="0069255A">
                            <w:pPr>
                              <w:pStyle w:val="Corpodetexto"/>
                              <w:spacing w:before="122" w:line="232" w:lineRule="auto"/>
                              <w:ind w:left="113"/>
                              <w:rPr>
                                <w:color w:val="000000"/>
                              </w:rPr>
                            </w:pPr>
                            <w:r>
                              <w:rPr>
                                <w:color w:val="231F20"/>
                                <w:w w:val="95"/>
                              </w:rPr>
                              <w:t>Ramshaw, G. (2014b) T</w:t>
                            </w:r>
                            <w:r>
                              <w:rPr>
                                <w:color w:val="231F20"/>
                                <w:w w:val="95"/>
                              </w:rPr>
                              <w:t xml:space="preserve">oo much nostalgia? A decennial reflection on the </w:t>
                            </w:r>
                            <w:r>
                              <w:rPr>
                                <w:color w:val="231F20"/>
                              </w:rPr>
                              <w:t>heritage</w:t>
                            </w:r>
                            <w:r>
                              <w:rPr>
                                <w:color w:val="231F20"/>
                                <w:spacing w:val="-3"/>
                              </w:rPr>
                              <w:t xml:space="preserve"> </w:t>
                            </w:r>
                            <w:r>
                              <w:rPr>
                                <w:color w:val="231F20"/>
                              </w:rPr>
                              <w:t>classic</w:t>
                            </w:r>
                            <w:r>
                              <w:rPr>
                                <w:color w:val="231F20"/>
                                <w:spacing w:val="-3"/>
                              </w:rPr>
                              <w:t xml:space="preserve"> </w:t>
                            </w:r>
                            <w:r>
                              <w:rPr>
                                <w:color w:val="231F20"/>
                              </w:rPr>
                              <w:t>ice</w:t>
                            </w:r>
                            <w:r>
                              <w:rPr>
                                <w:color w:val="231F20"/>
                                <w:spacing w:val="-3"/>
                              </w:rPr>
                              <w:t xml:space="preserve"> </w:t>
                            </w:r>
                            <w:r>
                              <w:rPr>
                                <w:color w:val="231F20"/>
                              </w:rPr>
                              <w:t>hockey</w:t>
                            </w:r>
                            <w:r>
                              <w:rPr>
                                <w:color w:val="231F20"/>
                                <w:spacing w:val="-3"/>
                              </w:rPr>
                              <w:t xml:space="preserve"> </w:t>
                            </w:r>
                            <w:r>
                              <w:rPr>
                                <w:color w:val="231F20"/>
                              </w:rPr>
                              <w:t>event.</w:t>
                            </w:r>
                            <w:r>
                              <w:rPr>
                                <w:color w:val="231F20"/>
                                <w:spacing w:val="-4"/>
                              </w:rPr>
                              <w:t xml:space="preserve"> </w:t>
                            </w:r>
                            <w:r>
                              <w:rPr>
                                <w:i/>
                                <w:color w:val="231F20"/>
                              </w:rPr>
                              <w:t>Event</w:t>
                            </w:r>
                            <w:r>
                              <w:rPr>
                                <w:i/>
                                <w:color w:val="231F20"/>
                                <w:spacing w:val="-3"/>
                              </w:rPr>
                              <w:t xml:space="preserve"> </w:t>
                            </w:r>
                            <w:r>
                              <w:rPr>
                                <w:i/>
                                <w:color w:val="231F20"/>
                              </w:rPr>
                              <w:t>Management</w:t>
                            </w:r>
                            <w:r>
                              <w:rPr>
                                <w:i/>
                                <w:color w:val="231F20"/>
                                <w:spacing w:val="-3"/>
                              </w:rPr>
                              <w:t xml:space="preserve"> </w:t>
                            </w:r>
                            <w:r>
                              <w:rPr>
                                <w:color w:val="231F20"/>
                              </w:rPr>
                              <w:t>18</w:t>
                            </w:r>
                            <w:r>
                              <w:rPr>
                                <w:color w:val="231F20"/>
                                <w:spacing w:val="-3"/>
                              </w:rPr>
                              <w:t xml:space="preserve"> </w:t>
                            </w:r>
                            <w:r>
                              <w:rPr>
                                <w:color w:val="231F20"/>
                              </w:rPr>
                              <w:t>(4),</w:t>
                            </w:r>
                            <w:r>
                              <w:rPr>
                                <w:color w:val="231F20"/>
                                <w:spacing w:val="-3"/>
                              </w:rPr>
                              <w:t xml:space="preserve"> </w:t>
                            </w:r>
                            <w:r>
                              <w:rPr>
                                <w:color w:val="231F20"/>
                              </w:rPr>
                              <w:t>473–478.</w:t>
                            </w:r>
                          </w:p>
                          <w:p w14:paraId="59E73A5A" w14:textId="77777777" w:rsidR="00AE0598" w:rsidRDefault="0069255A">
                            <w:pPr>
                              <w:spacing w:before="2" w:line="232" w:lineRule="auto"/>
                              <w:ind w:left="113" w:firstLine="320"/>
                              <w:rPr>
                                <w:i/>
                                <w:color w:val="000000"/>
                                <w:sz w:val="21"/>
                              </w:rPr>
                            </w:pPr>
                            <w:r>
                              <w:rPr>
                                <w:i/>
                                <w:color w:val="231F20"/>
                                <w:sz w:val="21"/>
                              </w:rPr>
                              <w:t>Additional</w:t>
                            </w:r>
                            <w:r>
                              <w:rPr>
                                <w:i/>
                                <w:color w:val="231F20"/>
                                <w:spacing w:val="34"/>
                                <w:sz w:val="21"/>
                              </w:rPr>
                              <w:t xml:space="preserve"> </w:t>
                            </w:r>
                            <w:r>
                              <w:rPr>
                                <w:i/>
                                <w:color w:val="231F20"/>
                                <w:sz w:val="21"/>
                              </w:rPr>
                              <w:t>references</w:t>
                            </w:r>
                            <w:r>
                              <w:rPr>
                                <w:i/>
                                <w:color w:val="231F20"/>
                                <w:spacing w:val="34"/>
                                <w:sz w:val="21"/>
                              </w:rPr>
                              <w:t xml:space="preserve"> </w:t>
                            </w:r>
                            <w:r>
                              <w:rPr>
                                <w:i/>
                                <w:color w:val="231F20"/>
                                <w:sz w:val="21"/>
                              </w:rPr>
                              <w:t>cited</w:t>
                            </w:r>
                            <w:r>
                              <w:rPr>
                                <w:i/>
                                <w:color w:val="231F20"/>
                                <w:spacing w:val="34"/>
                                <w:sz w:val="21"/>
                              </w:rPr>
                              <w:t xml:space="preserve"> </w:t>
                            </w:r>
                            <w:r>
                              <w:rPr>
                                <w:i/>
                                <w:color w:val="231F20"/>
                                <w:sz w:val="21"/>
                              </w:rPr>
                              <w:t>in</w:t>
                            </w:r>
                            <w:r>
                              <w:rPr>
                                <w:i/>
                                <w:color w:val="231F20"/>
                                <w:spacing w:val="34"/>
                                <w:sz w:val="21"/>
                              </w:rPr>
                              <w:t xml:space="preserve"> </w:t>
                            </w:r>
                            <w:r>
                              <w:rPr>
                                <w:i/>
                                <w:color w:val="231F20"/>
                                <w:sz w:val="21"/>
                              </w:rPr>
                              <w:t>this</w:t>
                            </w:r>
                            <w:r>
                              <w:rPr>
                                <w:i/>
                                <w:color w:val="231F20"/>
                                <w:spacing w:val="34"/>
                                <w:sz w:val="21"/>
                              </w:rPr>
                              <w:t xml:space="preserve"> </w:t>
                            </w:r>
                            <w:r>
                              <w:rPr>
                                <w:i/>
                                <w:color w:val="231F20"/>
                                <w:sz w:val="21"/>
                              </w:rPr>
                              <w:t>case</w:t>
                            </w:r>
                            <w:r>
                              <w:rPr>
                                <w:i/>
                                <w:color w:val="231F20"/>
                                <w:spacing w:val="34"/>
                                <w:sz w:val="21"/>
                              </w:rPr>
                              <w:t xml:space="preserve"> </w:t>
                            </w:r>
                            <w:r>
                              <w:rPr>
                                <w:i/>
                                <w:color w:val="231F20"/>
                                <w:sz w:val="21"/>
                              </w:rPr>
                              <w:t>study</w:t>
                            </w:r>
                            <w:r>
                              <w:rPr>
                                <w:i/>
                                <w:color w:val="231F20"/>
                                <w:spacing w:val="34"/>
                                <w:sz w:val="21"/>
                              </w:rPr>
                              <w:t xml:space="preserve"> </w:t>
                            </w:r>
                            <w:r>
                              <w:rPr>
                                <w:i/>
                                <w:color w:val="231F20"/>
                                <w:sz w:val="21"/>
                              </w:rPr>
                              <w:t>are</w:t>
                            </w:r>
                            <w:r>
                              <w:rPr>
                                <w:i/>
                                <w:color w:val="231F20"/>
                                <w:spacing w:val="34"/>
                                <w:sz w:val="21"/>
                              </w:rPr>
                              <w:t xml:space="preserve"> </w:t>
                            </w:r>
                            <w:r>
                              <w:rPr>
                                <w:i/>
                                <w:color w:val="231F20"/>
                                <w:sz w:val="21"/>
                              </w:rPr>
                              <w:t>included</w:t>
                            </w:r>
                            <w:r>
                              <w:rPr>
                                <w:i/>
                                <w:color w:val="231F20"/>
                                <w:spacing w:val="34"/>
                                <w:sz w:val="21"/>
                              </w:rPr>
                              <w:t xml:space="preserve"> </w:t>
                            </w:r>
                            <w:r>
                              <w:rPr>
                                <w:i/>
                                <w:color w:val="231F20"/>
                                <w:sz w:val="21"/>
                              </w:rPr>
                              <w:t>in</w:t>
                            </w:r>
                            <w:r>
                              <w:rPr>
                                <w:i/>
                                <w:color w:val="231F20"/>
                                <w:spacing w:val="34"/>
                                <w:sz w:val="21"/>
                              </w:rPr>
                              <w:t xml:space="preserve"> </w:t>
                            </w:r>
                            <w:r>
                              <w:rPr>
                                <w:i/>
                                <w:color w:val="231F20"/>
                                <w:sz w:val="21"/>
                              </w:rPr>
                              <w:t>the reference list.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208D7B" id="docshape344" o:spid="_x0000_s1142" type="#_x0000_t202" style="position:absolute;margin-left:59.5pt;margin-top:17.2pt;width:323.15pt;height:114.85pt;z-index:-156200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" fillcolor="#dcddde" stroked="f">
                <v:textbox inset="0,0,0,0">
                  <w:txbxContent>
                    <w:p w14:paraId="42A00851" w14:textId="77777777" w:rsidR="00AE0598" w:rsidRDefault="0069255A">
                      <w:pPr>
                        <w:pStyle w:val="Corpodetexto"/>
                        <w:spacing w:before="73" w:line="232" w:lineRule="auto"/>
                        <w:ind w:left="113"/>
                        <w:rPr>
                          <w:color w:val="000000"/>
                        </w:rPr>
                      </w:pPr>
                      <w:r>
                        <w:rPr>
                          <w:color w:val="231F20"/>
                          <w:spacing w:val="-2"/>
                          <w:w w:val="95"/>
                        </w:rPr>
                        <w:t xml:space="preserve">‘participation-based events’ at which personal and collective heritages and </w:t>
                      </w:r>
                      <w:r>
                        <w:rPr>
                          <w:color w:val="231F20"/>
                          <w:w w:val="95"/>
                        </w:rPr>
                        <w:t>nostalgia are kinaesthetically embodied and performed by sport tourists.</w:t>
                      </w:r>
                    </w:p>
                    <w:p w14:paraId="106BDB14" w14:textId="77777777" w:rsidR="00AE0598" w:rsidRDefault="00AE0598">
                      <w:pPr>
                        <w:pStyle w:val="Corpodetexto"/>
                        <w:spacing w:before="2"/>
                        <w:rPr>
                          <w:color w:val="000000"/>
                        </w:rPr>
                      </w:pPr>
                    </w:p>
                    <w:p w14:paraId="14C044F7" w14:textId="77777777" w:rsidR="00AE0598" w:rsidRDefault="0069255A">
                      <w:pPr>
                        <w:ind w:left="113"/>
                        <w:rPr>
                          <w:rFonts w:ascii="Trebuchet MS"/>
                          <w:color w:val="000000"/>
                          <w:sz w:val="20"/>
                        </w:rPr>
                      </w:pPr>
                      <w:r>
                        <w:rPr>
                          <w:rFonts w:ascii="Trebuchet MS"/>
                          <w:color w:val="231F20"/>
                          <w:w w:val="105"/>
                          <w:sz w:val="20"/>
                        </w:rPr>
                        <w:t>Key</w:t>
                      </w:r>
                      <w:r>
                        <w:rPr>
                          <w:rFonts w:ascii="Trebuchet MS"/>
                          <w:color w:val="231F20"/>
                          <w:spacing w:val="-11"/>
                          <w:w w:val="105"/>
                          <w:sz w:val="20"/>
                        </w:rPr>
                        <w:t xml:space="preserve"> </w:t>
                      </w:r>
                      <w:r>
                        <w:rPr>
                          <w:rFonts w:ascii="Trebuchet MS"/>
                          <w:color w:val="231F20"/>
                          <w:spacing w:val="-2"/>
                          <w:w w:val="105"/>
                          <w:sz w:val="20"/>
                        </w:rPr>
                        <w:t>Reading</w:t>
                      </w:r>
                    </w:p>
                    <w:p w14:paraId="2F228223" w14:textId="77777777" w:rsidR="00AE0598" w:rsidRDefault="0069255A">
                      <w:pPr>
                        <w:pStyle w:val="Corpodetexto"/>
                        <w:spacing w:before="122" w:line="232" w:lineRule="auto"/>
                        <w:ind w:left="113"/>
                        <w:rPr>
                          <w:color w:val="000000"/>
                        </w:rPr>
                      </w:pPr>
                      <w:r>
                        <w:rPr>
                          <w:color w:val="231F20"/>
                          <w:w w:val="95"/>
                        </w:rPr>
                        <w:t>Ramshaw, G. (2014b) T</w:t>
                      </w:r>
                      <w:r>
                        <w:rPr>
                          <w:color w:val="231F20"/>
                          <w:w w:val="95"/>
                        </w:rPr>
                        <w:t xml:space="preserve">oo much nostalgia? A decennial reflection on the </w:t>
                      </w:r>
                      <w:r>
                        <w:rPr>
                          <w:color w:val="231F20"/>
                        </w:rPr>
                        <w:t>heritage</w:t>
                      </w:r>
                      <w:r>
                        <w:rPr>
                          <w:color w:val="231F20"/>
                          <w:spacing w:val="-3"/>
                        </w:rPr>
                        <w:t xml:space="preserve"> </w:t>
                      </w:r>
                      <w:r>
                        <w:rPr>
                          <w:color w:val="231F20"/>
                        </w:rPr>
                        <w:t>classic</w:t>
                      </w:r>
                      <w:r>
                        <w:rPr>
                          <w:color w:val="231F20"/>
                          <w:spacing w:val="-3"/>
                        </w:rPr>
                        <w:t xml:space="preserve"> </w:t>
                      </w:r>
                      <w:r>
                        <w:rPr>
                          <w:color w:val="231F20"/>
                        </w:rPr>
                        <w:t>ice</w:t>
                      </w:r>
                      <w:r>
                        <w:rPr>
                          <w:color w:val="231F20"/>
                          <w:spacing w:val="-3"/>
                        </w:rPr>
                        <w:t xml:space="preserve"> </w:t>
                      </w:r>
                      <w:r>
                        <w:rPr>
                          <w:color w:val="231F20"/>
                        </w:rPr>
                        <w:t>hockey</w:t>
                      </w:r>
                      <w:r>
                        <w:rPr>
                          <w:color w:val="231F20"/>
                          <w:spacing w:val="-3"/>
                        </w:rPr>
                        <w:t xml:space="preserve"> </w:t>
                      </w:r>
                      <w:r>
                        <w:rPr>
                          <w:color w:val="231F20"/>
                        </w:rPr>
                        <w:t>event.</w:t>
                      </w:r>
                      <w:r>
                        <w:rPr>
                          <w:color w:val="231F20"/>
                          <w:spacing w:val="-4"/>
                        </w:rPr>
                        <w:t xml:space="preserve"> </w:t>
                      </w:r>
                      <w:r>
                        <w:rPr>
                          <w:i/>
                          <w:color w:val="231F20"/>
                        </w:rPr>
                        <w:t>Event</w:t>
                      </w:r>
                      <w:r>
                        <w:rPr>
                          <w:i/>
                          <w:color w:val="231F20"/>
                          <w:spacing w:val="-3"/>
                        </w:rPr>
                        <w:t xml:space="preserve"> </w:t>
                      </w:r>
                      <w:r>
                        <w:rPr>
                          <w:i/>
                          <w:color w:val="231F20"/>
                        </w:rPr>
                        <w:t>Management</w:t>
                      </w:r>
                      <w:r>
                        <w:rPr>
                          <w:i/>
                          <w:color w:val="231F20"/>
                          <w:spacing w:val="-3"/>
                        </w:rPr>
                        <w:t xml:space="preserve"> </w:t>
                      </w:r>
                      <w:r>
                        <w:rPr>
                          <w:color w:val="231F20"/>
                        </w:rPr>
                        <w:t>18</w:t>
                      </w:r>
                      <w:r>
                        <w:rPr>
                          <w:color w:val="231F20"/>
                          <w:spacing w:val="-3"/>
                        </w:rPr>
                        <w:t xml:space="preserve"> </w:t>
                      </w:r>
                      <w:r>
                        <w:rPr>
                          <w:color w:val="231F20"/>
                        </w:rPr>
                        <w:t>(4),</w:t>
                      </w:r>
                      <w:r>
                        <w:rPr>
                          <w:color w:val="231F20"/>
                          <w:spacing w:val="-3"/>
                        </w:rPr>
                        <w:t xml:space="preserve"> </w:t>
                      </w:r>
                      <w:r>
                        <w:rPr>
                          <w:color w:val="231F20"/>
                        </w:rPr>
                        <w:t>473–478.</w:t>
                      </w:r>
                    </w:p>
                    <w:p w14:paraId="59E73A5A" w14:textId="77777777" w:rsidR="00AE0598" w:rsidRDefault="0069255A">
                      <w:pPr>
                        <w:spacing w:before="2" w:line="232" w:lineRule="auto"/>
                        <w:ind w:left="113" w:firstLine="320"/>
                        <w:rPr>
                          <w:i/>
                          <w:color w:val="000000"/>
                          <w:sz w:val="21"/>
                        </w:rPr>
                      </w:pPr>
                      <w:r>
                        <w:rPr>
                          <w:i/>
                          <w:color w:val="231F20"/>
                          <w:sz w:val="21"/>
                        </w:rPr>
                        <w:t>Additional</w:t>
                      </w:r>
                      <w:r>
                        <w:rPr>
                          <w:i/>
                          <w:color w:val="231F20"/>
                          <w:spacing w:val="34"/>
                          <w:sz w:val="21"/>
                        </w:rPr>
                        <w:t xml:space="preserve"> </w:t>
                      </w:r>
                      <w:r>
                        <w:rPr>
                          <w:i/>
                          <w:color w:val="231F20"/>
                          <w:sz w:val="21"/>
                        </w:rPr>
                        <w:t>references</w:t>
                      </w:r>
                      <w:r>
                        <w:rPr>
                          <w:i/>
                          <w:color w:val="231F20"/>
                          <w:spacing w:val="34"/>
                          <w:sz w:val="21"/>
                        </w:rPr>
                        <w:t xml:space="preserve"> </w:t>
                      </w:r>
                      <w:r>
                        <w:rPr>
                          <w:i/>
                          <w:color w:val="231F20"/>
                          <w:sz w:val="21"/>
                        </w:rPr>
                        <w:t>cited</w:t>
                      </w:r>
                      <w:r>
                        <w:rPr>
                          <w:i/>
                          <w:color w:val="231F20"/>
                          <w:spacing w:val="34"/>
                          <w:sz w:val="21"/>
                        </w:rPr>
                        <w:t xml:space="preserve"> </w:t>
                      </w:r>
                      <w:r>
                        <w:rPr>
                          <w:i/>
                          <w:color w:val="231F20"/>
                          <w:sz w:val="21"/>
                        </w:rPr>
                        <w:t>in</w:t>
                      </w:r>
                      <w:r>
                        <w:rPr>
                          <w:i/>
                          <w:color w:val="231F20"/>
                          <w:spacing w:val="34"/>
                          <w:sz w:val="21"/>
                        </w:rPr>
                        <w:t xml:space="preserve"> </w:t>
                      </w:r>
                      <w:r>
                        <w:rPr>
                          <w:i/>
                          <w:color w:val="231F20"/>
                          <w:sz w:val="21"/>
                        </w:rPr>
                        <w:t>this</w:t>
                      </w:r>
                      <w:r>
                        <w:rPr>
                          <w:i/>
                          <w:color w:val="231F20"/>
                          <w:spacing w:val="34"/>
                          <w:sz w:val="21"/>
                        </w:rPr>
                        <w:t xml:space="preserve"> </w:t>
                      </w:r>
                      <w:r>
                        <w:rPr>
                          <w:i/>
                          <w:color w:val="231F20"/>
                          <w:sz w:val="21"/>
                        </w:rPr>
                        <w:t>case</w:t>
                      </w:r>
                      <w:r>
                        <w:rPr>
                          <w:i/>
                          <w:color w:val="231F20"/>
                          <w:spacing w:val="34"/>
                          <w:sz w:val="21"/>
                        </w:rPr>
                        <w:t xml:space="preserve"> </w:t>
                      </w:r>
                      <w:r>
                        <w:rPr>
                          <w:i/>
                          <w:color w:val="231F20"/>
                          <w:sz w:val="21"/>
                        </w:rPr>
                        <w:t>study</w:t>
                      </w:r>
                      <w:r>
                        <w:rPr>
                          <w:i/>
                          <w:color w:val="231F20"/>
                          <w:spacing w:val="34"/>
                          <w:sz w:val="21"/>
                        </w:rPr>
                        <w:t xml:space="preserve"> </w:t>
                      </w:r>
                      <w:r>
                        <w:rPr>
                          <w:i/>
                          <w:color w:val="231F20"/>
                          <w:sz w:val="21"/>
                        </w:rPr>
                        <w:t>are</w:t>
                      </w:r>
                      <w:r>
                        <w:rPr>
                          <w:i/>
                          <w:color w:val="231F20"/>
                          <w:spacing w:val="34"/>
                          <w:sz w:val="21"/>
                        </w:rPr>
                        <w:t xml:space="preserve"> </w:t>
                      </w:r>
                      <w:r>
                        <w:rPr>
                          <w:i/>
                          <w:color w:val="231F20"/>
                          <w:sz w:val="21"/>
                        </w:rPr>
                        <w:t>included</w:t>
                      </w:r>
                      <w:r>
                        <w:rPr>
                          <w:i/>
                          <w:color w:val="231F20"/>
                          <w:spacing w:val="34"/>
                          <w:sz w:val="21"/>
                        </w:rPr>
                        <w:t xml:space="preserve"> </w:t>
                      </w:r>
                      <w:r>
                        <w:rPr>
                          <w:i/>
                          <w:color w:val="231F20"/>
                          <w:sz w:val="21"/>
                        </w:rPr>
                        <w:t>in</w:t>
                      </w:r>
                      <w:r>
                        <w:rPr>
                          <w:i/>
                          <w:color w:val="231F20"/>
                          <w:spacing w:val="34"/>
                          <w:sz w:val="21"/>
                        </w:rPr>
                        <w:t xml:space="preserve"> </w:t>
                      </w:r>
                      <w:r>
                        <w:rPr>
                          <w:i/>
                          <w:color w:val="231F20"/>
                          <w:sz w:val="21"/>
                        </w:rPr>
                        <w:t>the reference list.</w:t>
                      </w:r>
                    </w:p>
                  </w:txbxContent>
                </v:textbox>
                <w10:wrap type="topAndBottom" anchorx="page"/>
              </v:shape>
            </w:pict>
          </mc:Fallback>
        </mc:AlternateContent>
      </w:r>
    </w:p>
    <w:p w14:paraId="2BAD93E2" w14:textId="77777777" w:rsidR="00AE0598" w:rsidRDefault="00AE0598">
      <w:pPr>
        <w:pStyle w:val="Corpodetexto"/>
        <w:spacing w:before="9"/>
        <w:rPr>
          <w:rFonts w:ascii="Trebuchet MS"/>
          <w:sz w:val="11"/>
        </w:rPr>
      </w:pPr>
    </w:p>
    <w:p w14:paraId="3D0EFD73" w14:textId="77777777" w:rsidR="00AE0598" w:rsidRDefault="0069255A">
      <w:pPr>
        <w:pStyle w:val="Corpodetexto"/>
        <w:spacing w:before="103" w:line="232" w:lineRule="auto"/>
        <w:ind w:left="110" w:right="123" w:firstLine="320"/>
        <w:jc w:val="both"/>
      </w:pPr>
      <w:r>
        <w:rPr>
          <w:color w:val="231F20"/>
        </w:rPr>
        <w:t>As could be expected, people of middle age or older are often seen</w:t>
      </w:r>
      <w:r>
        <w:rPr>
          <w:color w:val="231F20"/>
          <w:spacing w:val="80"/>
        </w:rPr>
        <w:t xml:space="preserve"> </w:t>
      </w:r>
      <w:r>
        <w:rPr>
          <w:color w:val="231F20"/>
        </w:rPr>
        <w:t>as the primary cohorts for nostalgia-based tourism. Snyder (1991) suggested that</w:t>
      </w:r>
    </w:p>
    <w:p w14:paraId="031DEF09" w14:textId="77777777" w:rsidR="00AE0598" w:rsidRDefault="00AE0598">
      <w:pPr>
        <w:pStyle w:val="Corpodetexto"/>
      </w:pPr>
    </w:p>
    <w:p w14:paraId="2E67DFF9" w14:textId="77777777" w:rsidR="00AE0598" w:rsidRDefault="0069255A">
      <w:pPr>
        <w:spacing w:before="1" w:line="244" w:lineRule="auto"/>
        <w:ind w:left="430" w:right="124"/>
        <w:jc w:val="both"/>
        <w:rPr>
          <w:sz w:val="20"/>
        </w:rPr>
      </w:pPr>
      <w:r>
        <w:rPr>
          <w:color w:val="231F20"/>
          <w:sz w:val="20"/>
        </w:rPr>
        <w:t xml:space="preserve">…for many people sport triggers feelings of longing for the past when they had pleasant experiences associated with sport. This reflection is </w:t>
      </w:r>
      <w:r>
        <w:rPr>
          <w:color w:val="231F20"/>
          <w:w w:val="95"/>
          <w:sz w:val="20"/>
        </w:rPr>
        <w:t xml:space="preserve">most evident for the middle-aged and elderly, which have had more sport </w:t>
      </w:r>
      <w:r>
        <w:rPr>
          <w:color w:val="231F20"/>
          <w:sz w:val="20"/>
        </w:rPr>
        <w:t>experiences, but perhaps more important, t</w:t>
      </w:r>
      <w:r>
        <w:rPr>
          <w:color w:val="231F20"/>
          <w:sz w:val="20"/>
        </w:rPr>
        <w:t xml:space="preserve">his is a period of their lives </w:t>
      </w:r>
      <w:r>
        <w:rPr>
          <w:color w:val="231F20"/>
          <w:w w:val="95"/>
          <w:sz w:val="20"/>
        </w:rPr>
        <w:t>when concern about their own mortality is salient in their self-reflections. Consequently, for those involved in sport, nostalgia may provide a source</w:t>
      </w:r>
      <w:r>
        <w:rPr>
          <w:color w:val="231F20"/>
          <w:spacing w:val="80"/>
          <w:sz w:val="20"/>
        </w:rPr>
        <w:t xml:space="preserve"> </w:t>
      </w:r>
      <w:r>
        <w:rPr>
          <w:color w:val="231F20"/>
          <w:sz w:val="20"/>
        </w:rPr>
        <w:t>of consolation and a means of adjustment to the uncertainties of their lives. (Snyder, 1991: 238)</w:t>
      </w:r>
    </w:p>
    <w:p w14:paraId="620813AC" w14:textId="77777777" w:rsidR="00AE0598" w:rsidRDefault="00AE0598">
      <w:pPr>
        <w:pStyle w:val="Corpodetexto"/>
        <w:spacing w:before="8"/>
        <w:rPr>
          <w:sz w:val="20"/>
        </w:rPr>
      </w:pPr>
    </w:p>
    <w:p w14:paraId="6AE79183" w14:textId="77777777" w:rsidR="00AE0598" w:rsidRDefault="0069255A">
      <w:pPr>
        <w:pStyle w:val="Corpodetexto"/>
        <w:spacing w:line="232" w:lineRule="auto"/>
        <w:ind w:left="110" w:right="127"/>
        <w:jc w:val="both"/>
      </w:pPr>
      <w:r>
        <w:rPr>
          <w:color w:val="231F20"/>
        </w:rPr>
        <w:t>Gammon (2002) counters this point by arguing that nostalgia is also of interest to youth as part of a popular culture that draws on the past as a way of esta</w:t>
      </w:r>
      <w:r>
        <w:rPr>
          <w:color w:val="231F20"/>
        </w:rPr>
        <w:t>blishing ‘new’ trends. Sport museums and halls of fame are the primary manifestation of nostalgia sport tourism (Ramshaw, 2010a, 2010b).</w:t>
      </w:r>
      <w:r>
        <w:rPr>
          <w:color w:val="231F20"/>
          <w:spacing w:val="-11"/>
        </w:rPr>
        <w:t xml:space="preserve"> </w:t>
      </w:r>
      <w:r>
        <w:rPr>
          <w:color w:val="231F20"/>
        </w:rPr>
        <w:t>The</w:t>
      </w:r>
      <w:r>
        <w:rPr>
          <w:color w:val="231F20"/>
          <w:spacing w:val="-11"/>
        </w:rPr>
        <w:t xml:space="preserve"> </w:t>
      </w:r>
      <w:r>
        <w:rPr>
          <w:color w:val="231F20"/>
        </w:rPr>
        <w:t>National</w:t>
      </w:r>
      <w:r>
        <w:rPr>
          <w:color w:val="231F20"/>
          <w:spacing w:val="-11"/>
        </w:rPr>
        <w:t xml:space="preserve"> </w:t>
      </w:r>
      <w:r>
        <w:rPr>
          <w:color w:val="231F20"/>
        </w:rPr>
        <w:t>Baseball</w:t>
      </w:r>
      <w:r>
        <w:rPr>
          <w:color w:val="231F20"/>
          <w:spacing w:val="-11"/>
        </w:rPr>
        <w:t xml:space="preserve"> </w:t>
      </w:r>
      <w:r>
        <w:rPr>
          <w:color w:val="231F20"/>
        </w:rPr>
        <w:t>Hall</w:t>
      </w:r>
      <w:r>
        <w:rPr>
          <w:color w:val="231F20"/>
          <w:spacing w:val="-11"/>
        </w:rPr>
        <w:t xml:space="preserve"> </w:t>
      </w:r>
      <w:r>
        <w:rPr>
          <w:color w:val="231F20"/>
        </w:rPr>
        <w:t>of</w:t>
      </w:r>
      <w:r>
        <w:rPr>
          <w:color w:val="231F20"/>
          <w:spacing w:val="-11"/>
        </w:rPr>
        <w:t xml:space="preserve"> </w:t>
      </w:r>
      <w:r>
        <w:rPr>
          <w:color w:val="231F20"/>
        </w:rPr>
        <w:t>Fame</w:t>
      </w:r>
      <w:r>
        <w:rPr>
          <w:color w:val="231F20"/>
          <w:spacing w:val="-11"/>
        </w:rPr>
        <w:t xml:space="preserve"> </w:t>
      </w:r>
      <w:r>
        <w:rPr>
          <w:color w:val="231F20"/>
        </w:rPr>
        <w:t>located</w:t>
      </w:r>
      <w:r>
        <w:rPr>
          <w:color w:val="231F20"/>
          <w:spacing w:val="-11"/>
        </w:rPr>
        <w:t xml:space="preserve"> </w:t>
      </w:r>
      <w:r>
        <w:rPr>
          <w:color w:val="231F20"/>
        </w:rPr>
        <w:t>in</w:t>
      </w:r>
      <w:r>
        <w:rPr>
          <w:color w:val="231F20"/>
          <w:spacing w:val="-11"/>
        </w:rPr>
        <w:t xml:space="preserve"> </w:t>
      </w:r>
      <w:r>
        <w:rPr>
          <w:color w:val="231F20"/>
        </w:rPr>
        <w:t>Cooperstown,</w:t>
      </w:r>
      <w:r>
        <w:rPr>
          <w:color w:val="231F20"/>
          <w:spacing w:val="-11"/>
        </w:rPr>
        <w:t xml:space="preserve"> </w:t>
      </w:r>
      <w:r>
        <w:rPr>
          <w:color w:val="231F20"/>
        </w:rPr>
        <w:t xml:space="preserve">New </w:t>
      </w:r>
      <w:r>
        <w:rPr>
          <w:color w:val="231F20"/>
          <w:w w:val="95"/>
        </w:rPr>
        <w:t>York, is a good example. It was opened in 1939 and attra</w:t>
      </w:r>
      <w:r>
        <w:rPr>
          <w:color w:val="231F20"/>
          <w:w w:val="95"/>
        </w:rPr>
        <w:t xml:space="preserve">cts approximately </w:t>
      </w:r>
      <w:r>
        <w:rPr>
          <w:color w:val="231F20"/>
        </w:rPr>
        <w:t>400,000 visitors per year (Gammon, 2002) with a running total that has surpassed 14 million visitors. The induction of new members is a high profile annual media event in the United States.</w:t>
      </w:r>
    </w:p>
    <w:p w14:paraId="50C63B3C" w14:textId="77777777" w:rsidR="00AE0598" w:rsidRDefault="0069255A">
      <w:pPr>
        <w:pStyle w:val="Corpodetexto"/>
        <w:spacing w:before="11" w:line="232" w:lineRule="auto"/>
        <w:ind w:left="110" w:right="127" w:firstLine="320"/>
        <w:jc w:val="both"/>
      </w:pPr>
      <w:r>
        <w:rPr>
          <w:color w:val="231F20"/>
        </w:rPr>
        <w:t>Past,</w:t>
      </w:r>
      <w:r>
        <w:rPr>
          <w:color w:val="231F20"/>
          <w:spacing w:val="-8"/>
        </w:rPr>
        <w:t xml:space="preserve"> </w:t>
      </w:r>
      <w:r>
        <w:rPr>
          <w:color w:val="231F20"/>
        </w:rPr>
        <w:t>current</w:t>
      </w:r>
      <w:r>
        <w:rPr>
          <w:color w:val="231F20"/>
          <w:spacing w:val="-8"/>
        </w:rPr>
        <w:t xml:space="preserve"> </w:t>
      </w:r>
      <w:r>
        <w:rPr>
          <w:color w:val="231F20"/>
        </w:rPr>
        <w:t>and,</w:t>
      </w:r>
      <w:r>
        <w:rPr>
          <w:color w:val="231F20"/>
          <w:spacing w:val="-7"/>
        </w:rPr>
        <w:t xml:space="preserve"> </w:t>
      </w:r>
      <w:r>
        <w:rPr>
          <w:color w:val="231F20"/>
        </w:rPr>
        <w:t>in</w:t>
      </w:r>
      <w:r>
        <w:rPr>
          <w:color w:val="231F20"/>
          <w:spacing w:val="-7"/>
        </w:rPr>
        <w:t xml:space="preserve"> </w:t>
      </w:r>
      <w:r>
        <w:rPr>
          <w:color w:val="231F20"/>
        </w:rPr>
        <w:t>some</w:t>
      </w:r>
      <w:r>
        <w:rPr>
          <w:color w:val="231F20"/>
          <w:spacing w:val="-8"/>
        </w:rPr>
        <w:t xml:space="preserve"> </w:t>
      </w:r>
      <w:r>
        <w:rPr>
          <w:color w:val="231F20"/>
        </w:rPr>
        <w:t>cases,</w:t>
      </w:r>
      <w:r>
        <w:rPr>
          <w:color w:val="231F20"/>
          <w:spacing w:val="-7"/>
        </w:rPr>
        <w:t xml:space="preserve"> </w:t>
      </w:r>
      <w:r>
        <w:rPr>
          <w:color w:val="231F20"/>
        </w:rPr>
        <w:t>future</w:t>
      </w:r>
      <w:r>
        <w:rPr>
          <w:color w:val="231F20"/>
          <w:spacing w:val="-8"/>
        </w:rPr>
        <w:t xml:space="preserve"> </w:t>
      </w:r>
      <w:r>
        <w:rPr>
          <w:color w:val="231F20"/>
        </w:rPr>
        <w:t>sites</w:t>
      </w:r>
      <w:r>
        <w:rPr>
          <w:color w:val="231F20"/>
          <w:spacing w:val="-8"/>
        </w:rPr>
        <w:t xml:space="preserve"> </w:t>
      </w:r>
      <w:r>
        <w:rPr>
          <w:color w:val="231F20"/>
        </w:rPr>
        <w:t>(</w:t>
      </w:r>
      <w:r>
        <w:rPr>
          <w:color w:val="231F20"/>
        </w:rPr>
        <w:t>e.g.</w:t>
      </w:r>
      <w:r>
        <w:rPr>
          <w:color w:val="231F20"/>
          <w:spacing w:val="-8"/>
        </w:rPr>
        <w:t xml:space="preserve"> </w:t>
      </w:r>
      <w:r>
        <w:rPr>
          <w:color w:val="231F20"/>
        </w:rPr>
        <w:t>designated</w:t>
      </w:r>
      <w:r>
        <w:rPr>
          <w:color w:val="231F20"/>
          <w:spacing w:val="-7"/>
        </w:rPr>
        <w:t xml:space="preserve"> </w:t>
      </w:r>
      <w:r>
        <w:rPr>
          <w:color w:val="231F20"/>
        </w:rPr>
        <w:t xml:space="preserve">Olympic </w:t>
      </w:r>
      <w:r>
        <w:rPr>
          <w:color w:val="231F20"/>
          <w:w w:val="95"/>
        </w:rPr>
        <w:t xml:space="preserve">sites) of sporting events and activities are a second major type of nostalgia sport tourism attraction (Ramshaw &amp; Gammon, 2010). These sites have an </w:t>
      </w:r>
      <w:r>
        <w:rPr>
          <w:color w:val="231F20"/>
          <w:w w:val="90"/>
        </w:rPr>
        <w:t xml:space="preserve">inherent appeal as special places where heroes played and legends were made </w:t>
      </w:r>
      <w:r>
        <w:rPr>
          <w:color w:val="231F20"/>
        </w:rPr>
        <w:t>(Steven</w:t>
      </w:r>
      <w:r>
        <w:rPr>
          <w:color w:val="231F20"/>
        </w:rPr>
        <w:t>s,</w:t>
      </w:r>
      <w:r>
        <w:rPr>
          <w:color w:val="231F20"/>
          <w:spacing w:val="-2"/>
        </w:rPr>
        <w:t xml:space="preserve"> </w:t>
      </w:r>
      <w:r>
        <w:rPr>
          <w:color w:val="231F20"/>
        </w:rPr>
        <w:t>2001).</w:t>
      </w:r>
      <w:r>
        <w:rPr>
          <w:color w:val="231F20"/>
          <w:spacing w:val="-2"/>
        </w:rPr>
        <w:t xml:space="preserve"> </w:t>
      </w:r>
      <w:r>
        <w:rPr>
          <w:color w:val="231F20"/>
        </w:rPr>
        <w:t>Such</w:t>
      </w:r>
      <w:r>
        <w:rPr>
          <w:color w:val="231F20"/>
          <w:spacing w:val="-2"/>
        </w:rPr>
        <w:t xml:space="preserve"> </w:t>
      </w:r>
      <w:r>
        <w:rPr>
          <w:color w:val="231F20"/>
        </w:rPr>
        <w:t>an</w:t>
      </w:r>
      <w:r>
        <w:rPr>
          <w:color w:val="231F20"/>
          <w:spacing w:val="-2"/>
        </w:rPr>
        <w:t xml:space="preserve"> </w:t>
      </w:r>
      <w:r>
        <w:rPr>
          <w:color w:val="231F20"/>
        </w:rPr>
        <w:t>aura</w:t>
      </w:r>
      <w:r>
        <w:rPr>
          <w:color w:val="231F20"/>
          <w:spacing w:val="-2"/>
        </w:rPr>
        <w:t xml:space="preserve"> </w:t>
      </w:r>
      <w:r>
        <w:rPr>
          <w:color w:val="231F20"/>
        </w:rPr>
        <w:t>fosters</w:t>
      </w:r>
      <w:r>
        <w:rPr>
          <w:color w:val="231F20"/>
          <w:spacing w:val="-2"/>
        </w:rPr>
        <w:t xml:space="preserve"> </w:t>
      </w:r>
      <w:r>
        <w:rPr>
          <w:color w:val="231F20"/>
        </w:rPr>
        <w:t>an</w:t>
      </w:r>
      <w:r>
        <w:rPr>
          <w:color w:val="231F20"/>
          <w:spacing w:val="-2"/>
        </w:rPr>
        <w:t xml:space="preserve"> </w:t>
      </w:r>
      <w:r>
        <w:rPr>
          <w:color w:val="231F20"/>
        </w:rPr>
        <w:t>emotional</w:t>
      </w:r>
      <w:r>
        <w:rPr>
          <w:color w:val="231F20"/>
          <w:spacing w:val="-2"/>
        </w:rPr>
        <w:t xml:space="preserve"> </w:t>
      </w:r>
      <w:r>
        <w:rPr>
          <w:color w:val="231F20"/>
        </w:rPr>
        <w:t>nostalgic</w:t>
      </w:r>
      <w:r>
        <w:rPr>
          <w:color w:val="231F20"/>
          <w:spacing w:val="-2"/>
        </w:rPr>
        <w:t xml:space="preserve"> </w:t>
      </w:r>
      <w:r>
        <w:rPr>
          <w:color w:val="231F20"/>
        </w:rPr>
        <w:t xml:space="preserve">experience, </w:t>
      </w:r>
      <w:r>
        <w:rPr>
          <w:color w:val="231F20"/>
          <w:w w:val="95"/>
        </w:rPr>
        <w:t xml:space="preserve">which focuses on the connection between place and sporting performance. </w:t>
      </w:r>
      <w:r>
        <w:rPr>
          <w:color w:val="231F20"/>
        </w:rPr>
        <w:t>However, tensions between heritage and modernity are common. While modern</w:t>
      </w:r>
      <w:r>
        <w:rPr>
          <w:color w:val="231F20"/>
          <w:spacing w:val="-8"/>
        </w:rPr>
        <w:t xml:space="preserve"> </w:t>
      </w:r>
      <w:r>
        <w:rPr>
          <w:color w:val="231F20"/>
        </w:rPr>
        <w:t>facilities</w:t>
      </w:r>
      <w:r>
        <w:rPr>
          <w:color w:val="231F20"/>
          <w:spacing w:val="-8"/>
        </w:rPr>
        <w:t xml:space="preserve"> </w:t>
      </w:r>
      <w:r>
        <w:rPr>
          <w:color w:val="231F20"/>
        </w:rPr>
        <w:t>that</w:t>
      </w:r>
      <w:r>
        <w:rPr>
          <w:color w:val="231F20"/>
          <w:spacing w:val="-8"/>
        </w:rPr>
        <w:t xml:space="preserve"> </w:t>
      </w:r>
      <w:r>
        <w:rPr>
          <w:color w:val="231F20"/>
        </w:rPr>
        <w:t>enhance</w:t>
      </w:r>
      <w:r>
        <w:rPr>
          <w:color w:val="231F20"/>
          <w:spacing w:val="-8"/>
        </w:rPr>
        <w:t xml:space="preserve"> </w:t>
      </w:r>
      <w:r>
        <w:rPr>
          <w:color w:val="231F20"/>
        </w:rPr>
        <w:t>the</w:t>
      </w:r>
      <w:r>
        <w:rPr>
          <w:color w:val="231F20"/>
          <w:spacing w:val="-8"/>
        </w:rPr>
        <w:t xml:space="preserve"> </w:t>
      </w:r>
      <w:r>
        <w:rPr>
          <w:color w:val="231F20"/>
        </w:rPr>
        <w:t>performance</w:t>
      </w:r>
      <w:r>
        <w:rPr>
          <w:color w:val="231F20"/>
          <w:spacing w:val="-8"/>
        </w:rPr>
        <w:t xml:space="preserve"> </w:t>
      </w:r>
      <w:r>
        <w:rPr>
          <w:color w:val="231F20"/>
        </w:rPr>
        <w:t>of</w:t>
      </w:r>
      <w:r>
        <w:rPr>
          <w:color w:val="231F20"/>
          <w:spacing w:val="-8"/>
        </w:rPr>
        <w:t xml:space="preserve"> </w:t>
      </w:r>
      <w:r>
        <w:rPr>
          <w:color w:val="231F20"/>
        </w:rPr>
        <w:t>athletes,</w:t>
      </w:r>
      <w:r>
        <w:rPr>
          <w:color w:val="231F20"/>
          <w:spacing w:val="-8"/>
        </w:rPr>
        <w:t xml:space="preserve"> </w:t>
      </w:r>
      <w:r>
        <w:rPr>
          <w:color w:val="231F20"/>
        </w:rPr>
        <w:t>the</w:t>
      </w:r>
      <w:r>
        <w:rPr>
          <w:color w:val="231F20"/>
          <w:spacing w:val="-8"/>
        </w:rPr>
        <w:t xml:space="preserve"> </w:t>
      </w:r>
      <w:r>
        <w:rPr>
          <w:color w:val="231F20"/>
        </w:rPr>
        <w:t xml:space="preserve">spectator </w:t>
      </w:r>
      <w:r>
        <w:rPr>
          <w:color w:val="231F20"/>
          <w:w w:val="95"/>
        </w:rPr>
        <w:t xml:space="preserve">experience and revenue opportunities are sought through the development </w:t>
      </w:r>
      <w:r>
        <w:rPr>
          <w:color w:val="231F20"/>
        </w:rPr>
        <w:t>of new facilities, the loss of sporting pla</w:t>
      </w:r>
      <w:r>
        <w:rPr>
          <w:color w:val="231F20"/>
        </w:rPr>
        <w:t>ce identity is recognised as a high</w:t>
      </w:r>
      <w:r>
        <w:rPr>
          <w:color w:val="231F20"/>
          <w:spacing w:val="9"/>
        </w:rPr>
        <w:t xml:space="preserve"> </w:t>
      </w:r>
      <w:r>
        <w:rPr>
          <w:color w:val="231F20"/>
        </w:rPr>
        <w:t>price</w:t>
      </w:r>
      <w:r>
        <w:rPr>
          <w:color w:val="231F20"/>
          <w:spacing w:val="9"/>
        </w:rPr>
        <w:t xml:space="preserve"> </w:t>
      </w:r>
      <w:r>
        <w:rPr>
          <w:color w:val="231F20"/>
        </w:rPr>
        <w:t>to</w:t>
      </w:r>
      <w:r>
        <w:rPr>
          <w:color w:val="231F20"/>
          <w:spacing w:val="9"/>
        </w:rPr>
        <w:t xml:space="preserve"> </w:t>
      </w:r>
      <w:r>
        <w:rPr>
          <w:color w:val="231F20"/>
        </w:rPr>
        <w:t>pay.</w:t>
      </w:r>
      <w:r>
        <w:rPr>
          <w:color w:val="231F20"/>
          <w:spacing w:val="9"/>
        </w:rPr>
        <w:t xml:space="preserve"> </w:t>
      </w:r>
      <w:r>
        <w:rPr>
          <w:color w:val="231F20"/>
        </w:rPr>
        <w:t>Elaborate</w:t>
      </w:r>
      <w:r>
        <w:rPr>
          <w:color w:val="231F20"/>
          <w:spacing w:val="9"/>
        </w:rPr>
        <w:t xml:space="preserve"> </w:t>
      </w:r>
      <w:r>
        <w:rPr>
          <w:color w:val="231F20"/>
        </w:rPr>
        <w:t>strategies</w:t>
      </w:r>
      <w:r>
        <w:rPr>
          <w:color w:val="231F20"/>
          <w:spacing w:val="9"/>
        </w:rPr>
        <w:t xml:space="preserve"> </w:t>
      </w:r>
      <w:r>
        <w:rPr>
          <w:color w:val="231F20"/>
        </w:rPr>
        <w:t>designed</w:t>
      </w:r>
      <w:r>
        <w:rPr>
          <w:color w:val="231F20"/>
          <w:spacing w:val="9"/>
        </w:rPr>
        <w:t xml:space="preserve"> </w:t>
      </w:r>
      <w:r>
        <w:rPr>
          <w:color w:val="231F20"/>
        </w:rPr>
        <w:t>to</w:t>
      </w:r>
      <w:r>
        <w:rPr>
          <w:color w:val="231F20"/>
          <w:spacing w:val="9"/>
        </w:rPr>
        <w:t xml:space="preserve"> </w:t>
      </w:r>
      <w:r>
        <w:rPr>
          <w:color w:val="231F20"/>
        </w:rPr>
        <w:t>inject</w:t>
      </w:r>
      <w:r>
        <w:rPr>
          <w:color w:val="231F20"/>
          <w:spacing w:val="9"/>
        </w:rPr>
        <w:t xml:space="preserve"> </w:t>
      </w:r>
      <w:r>
        <w:rPr>
          <w:color w:val="231F20"/>
        </w:rPr>
        <w:t>the</w:t>
      </w:r>
      <w:r>
        <w:rPr>
          <w:color w:val="231F20"/>
          <w:spacing w:val="9"/>
        </w:rPr>
        <w:t xml:space="preserve"> </w:t>
      </w:r>
      <w:r>
        <w:rPr>
          <w:color w:val="231F20"/>
        </w:rPr>
        <w:t>soul</w:t>
      </w:r>
      <w:r>
        <w:rPr>
          <w:color w:val="231F20"/>
          <w:spacing w:val="9"/>
        </w:rPr>
        <w:t xml:space="preserve"> </w:t>
      </w:r>
      <w:r>
        <w:rPr>
          <w:color w:val="231F20"/>
        </w:rPr>
        <w:t>of</w:t>
      </w:r>
      <w:r>
        <w:rPr>
          <w:color w:val="231F20"/>
          <w:spacing w:val="9"/>
        </w:rPr>
        <w:t xml:space="preserve"> </w:t>
      </w:r>
      <w:r>
        <w:rPr>
          <w:color w:val="231F20"/>
        </w:rPr>
        <w:t>the</w:t>
      </w:r>
    </w:p>
    <w:p w14:paraId="5FDB5552" w14:textId="77777777" w:rsidR="00AE0598" w:rsidRDefault="00AE0598">
      <w:pPr>
        <w:spacing w:line="232" w:lineRule="auto"/>
        <w:jc w:val="both"/>
        <w:sectPr w:rsidR="00AE0598">
          <w:pgSz w:w="8850" w:h="13270"/>
          <w:pgMar w:top="720" w:right="1060" w:bottom="280" w:left="1080" w:header="720" w:footer="720" w:gutter="0"/>
          <w:cols w:space="720"/>
        </w:sectPr>
      </w:pPr>
    </w:p>
    <w:p w14:paraId="7C651389" w14:textId="77777777" w:rsidR="00AE0598" w:rsidRDefault="0069255A">
      <w:pPr>
        <w:spacing w:before="87"/>
        <w:ind w:left="108"/>
        <w:rPr>
          <w:rFonts w:ascii="Trebuchet MS"/>
          <w:sz w:val="14"/>
        </w:rPr>
      </w:pPr>
      <w:r>
        <w:rPr>
          <w:rFonts w:ascii="Trebuchet MS"/>
          <w:color w:val="231F20"/>
          <w:w w:val="105"/>
          <w:sz w:val="14"/>
        </w:rPr>
        <w:lastRenderedPageBreak/>
        <w:t>212</w:t>
      </w:r>
      <w:r>
        <w:rPr>
          <w:rFonts w:ascii="Trebuchet MS"/>
          <w:color w:val="231F20"/>
          <w:spacing w:val="66"/>
          <w:w w:val="150"/>
          <w:sz w:val="14"/>
        </w:rPr>
        <w:t xml:space="preserve"> </w:t>
      </w:r>
      <w:r>
        <w:rPr>
          <w:rFonts w:ascii="Trebuchet MS"/>
          <w:color w:val="231F20"/>
          <w:w w:val="105"/>
          <w:sz w:val="14"/>
        </w:rPr>
        <w:t>Part</w:t>
      </w:r>
      <w:r>
        <w:rPr>
          <w:rFonts w:ascii="Trebuchet MS"/>
          <w:color w:val="231F20"/>
          <w:spacing w:val="-9"/>
          <w:w w:val="105"/>
          <w:sz w:val="14"/>
        </w:rPr>
        <w:t xml:space="preserve"> </w:t>
      </w:r>
      <w:r>
        <w:rPr>
          <w:rFonts w:ascii="Trebuchet MS"/>
          <w:color w:val="231F20"/>
          <w:w w:val="105"/>
          <w:sz w:val="14"/>
        </w:rPr>
        <w:t>4:</w:t>
      </w:r>
      <w:r>
        <w:rPr>
          <w:rFonts w:ascii="Trebuchet MS"/>
          <w:color w:val="231F20"/>
          <w:spacing w:val="-8"/>
          <w:w w:val="105"/>
          <w:sz w:val="14"/>
        </w:rPr>
        <w:t xml:space="preserve"> </w:t>
      </w:r>
      <w:r>
        <w:rPr>
          <w:rFonts w:ascii="Trebuchet MS"/>
          <w:color w:val="231F20"/>
          <w:w w:val="105"/>
          <w:sz w:val="14"/>
        </w:rPr>
        <w:t>Sport</w:t>
      </w:r>
      <w:r>
        <w:rPr>
          <w:rFonts w:ascii="Trebuchet MS"/>
          <w:color w:val="231F20"/>
          <w:spacing w:val="-9"/>
          <w:w w:val="105"/>
          <w:sz w:val="14"/>
        </w:rPr>
        <w:t xml:space="preserve"> </w:t>
      </w:r>
      <w:r>
        <w:rPr>
          <w:rFonts w:ascii="Trebuchet MS"/>
          <w:color w:val="231F20"/>
          <w:w w:val="105"/>
          <w:sz w:val="14"/>
        </w:rPr>
        <w:t>Tourism</w:t>
      </w:r>
      <w:r>
        <w:rPr>
          <w:rFonts w:ascii="Trebuchet MS"/>
          <w:color w:val="231F20"/>
          <w:spacing w:val="-9"/>
          <w:w w:val="105"/>
          <w:sz w:val="14"/>
        </w:rPr>
        <w:t xml:space="preserve"> </w:t>
      </w:r>
      <w:r>
        <w:rPr>
          <w:rFonts w:ascii="Trebuchet MS"/>
          <w:color w:val="231F20"/>
          <w:w w:val="105"/>
          <w:sz w:val="14"/>
        </w:rPr>
        <w:t>Development</w:t>
      </w:r>
      <w:r>
        <w:rPr>
          <w:rFonts w:ascii="Trebuchet MS"/>
          <w:color w:val="231F20"/>
          <w:spacing w:val="-9"/>
          <w:w w:val="105"/>
          <w:sz w:val="14"/>
        </w:rPr>
        <w:t xml:space="preserve"> </w:t>
      </w:r>
      <w:r>
        <w:rPr>
          <w:rFonts w:ascii="Trebuchet MS"/>
          <w:color w:val="231F20"/>
          <w:w w:val="105"/>
          <w:sz w:val="14"/>
        </w:rPr>
        <w:t>and</w:t>
      </w:r>
      <w:r>
        <w:rPr>
          <w:rFonts w:ascii="Trebuchet MS"/>
          <w:color w:val="231F20"/>
          <w:spacing w:val="-8"/>
          <w:w w:val="105"/>
          <w:sz w:val="14"/>
        </w:rPr>
        <w:t xml:space="preserve"> </w:t>
      </w:r>
      <w:r>
        <w:rPr>
          <w:rFonts w:ascii="Trebuchet MS"/>
          <w:color w:val="231F20"/>
          <w:spacing w:val="-4"/>
          <w:w w:val="105"/>
          <w:sz w:val="14"/>
        </w:rPr>
        <w:t>Time</w:t>
      </w:r>
    </w:p>
    <w:p w14:paraId="4CAB6C6D" w14:textId="77777777" w:rsidR="00AE0598" w:rsidRDefault="00AE0598">
      <w:pPr>
        <w:pStyle w:val="Corpodetexto"/>
        <w:rPr>
          <w:rFonts w:ascii="Trebuchet MS"/>
          <w:sz w:val="16"/>
        </w:rPr>
      </w:pPr>
    </w:p>
    <w:p w14:paraId="676B5C99" w14:textId="77777777" w:rsidR="00AE0598" w:rsidRDefault="0069255A">
      <w:pPr>
        <w:pStyle w:val="Corpodetexto"/>
        <w:spacing w:before="118" w:line="232" w:lineRule="auto"/>
        <w:ind w:left="110" w:right="127"/>
        <w:jc w:val="both"/>
      </w:pPr>
      <w:r>
        <w:rPr>
          <w:color w:val="231F20"/>
          <w:w w:val="95"/>
        </w:rPr>
        <w:t xml:space="preserve">old facility into its replacement include orchestrated ceremonies involving </w:t>
      </w:r>
      <w:r>
        <w:rPr>
          <w:color w:val="231F20"/>
        </w:rPr>
        <w:t>former athletes who starred in the old facility, figuratively or literally passing</w:t>
      </w:r>
      <w:r>
        <w:rPr>
          <w:color w:val="231F20"/>
          <w:spacing w:val="-3"/>
        </w:rPr>
        <w:t xml:space="preserve"> </w:t>
      </w:r>
      <w:r>
        <w:rPr>
          <w:color w:val="231F20"/>
        </w:rPr>
        <w:t>the</w:t>
      </w:r>
      <w:r>
        <w:rPr>
          <w:color w:val="231F20"/>
          <w:spacing w:val="-3"/>
        </w:rPr>
        <w:t xml:space="preserve"> </w:t>
      </w:r>
      <w:r>
        <w:rPr>
          <w:color w:val="231F20"/>
        </w:rPr>
        <w:t>torch</w:t>
      </w:r>
      <w:r>
        <w:rPr>
          <w:color w:val="231F20"/>
          <w:spacing w:val="-3"/>
        </w:rPr>
        <w:t xml:space="preserve"> </w:t>
      </w:r>
      <w:r>
        <w:rPr>
          <w:color w:val="231F20"/>
        </w:rPr>
        <w:t>to</w:t>
      </w:r>
      <w:r>
        <w:rPr>
          <w:color w:val="231F20"/>
          <w:spacing w:val="-3"/>
        </w:rPr>
        <w:t xml:space="preserve"> </w:t>
      </w:r>
      <w:r>
        <w:rPr>
          <w:color w:val="231F20"/>
        </w:rPr>
        <w:t>the</w:t>
      </w:r>
      <w:r>
        <w:rPr>
          <w:color w:val="231F20"/>
          <w:spacing w:val="-3"/>
        </w:rPr>
        <w:t xml:space="preserve"> </w:t>
      </w:r>
      <w:r>
        <w:rPr>
          <w:color w:val="231F20"/>
        </w:rPr>
        <w:t>current</w:t>
      </w:r>
      <w:r>
        <w:rPr>
          <w:color w:val="231F20"/>
          <w:spacing w:val="-3"/>
        </w:rPr>
        <w:t xml:space="preserve"> </w:t>
      </w:r>
      <w:r>
        <w:rPr>
          <w:color w:val="231F20"/>
        </w:rPr>
        <w:t>generation</w:t>
      </w:r>
      <w:r>
        <w:rPr>
          <w:color w:val="231F20"/>
          <w:spacing w:val="-3"/>
        </w:rPr>
        <w:t xml:space="preserve"> </w:t>
      </w:r>
      <w:r>
        <w:rPr>
          <w:color w:val="231F20"/>
        </w:rPr>
        <w:t>of</w:t>
      </w:r>
      <w:r>
        <w:rPr>
          <w:color w:val="231F20"/>
          <w:spacing w:val="-3"/>
        </w:rPr>
        <w:t xml:space="preserve"> </w:t>
      </w:r>
      <w:r>
        <w:rPr>
          <w:color w:val="231F20"/>
        </w:rPr>
        <w:t>athletes</w:t>
      </w:r>
      <w:r>
        <w:rPr>
          <w:color w:val="231F20"/>
          <w:spacing w:val="-3"/>
        </w:rPr>
        <w:t xml:space="preserve"> </w:t>
      </w:r>
      <w:r>
        <w:rPr>
          <w:color w:val="231F20"/>
        </w:rPr>
        <w:t>in</w:t>
      </w:r>
      <w:r>
        <w:rPr>
          <w:color w:val="231F20"/>
          <w:spacing w:val="-3"/>
        </w:rPr>
        <w:t xml:space="preserve"> </w:t>
      </w:r>
      <w:r>
        <w:rPr>
          <w:color w:val="231F20"/>
        </w:rPr>
        <w:t>the</w:t>
      </w:r>
      <w:r>
        <w:rPr>
          <w:color w:val="231F20"/>
          <w:spacing w:val="-3"/>
        </w:rPr>
        <w:t xml:space="preserve"> </w:t>
      </w:r>
      <w:r>
        <w:rPr>
          <w:color w:val="231F20"/>
        </w:rPr>
        <w:t>new</w:t>
      </w:r>
      <w:r>
        <w:rPr>
          <w:color w:val="231F20"/>
          <w:spacing w:val="-3"/>
        </w:rPr>
        <w:t xml:space="preserve"> </w:t>
      </w:r>
      <w:r>
        <w:rPr>
          <w:color w:val="231F20"/>
        </w:rPr>
        <w:t xml:space="preserve">facility </w:t>
      </w:r>
      <w:r>
        <w:rPr>
          <w:color w:val="231F20"/>
          <w:w w:val="95"/>
        </w:rPr>
        <w:t>(Belanger, 2000). Another app</w:t>
      </w:r>
      <w:r>
        <w:rPr>
          <w:color w:val="231F20"/>
          <w:w w:val="95"/>
        </w:rPr>
        <w:t xml:space="preserve">roach to capturing nostalgia is the inclusion </w:t>
      </w:r>
      <w:r>
        <w:rPr>
          <w:color w:val="231F20"/>
        </w:rPr>
        <w:t>of sport museums and halls of fame in new facilities. For example, the sport</w:t>
      </w:r>
      <w:r>
        <w:rPr>
          <w:color w:val="231F20"/>
          <w:spacing w:val="-12"/>
        </w:rPr>
        <w:t xml:space="preserve"> </w:t>
      </w:r>
      <w:r>
        <w:rPr>
          <w:color w:val="231F20"/>
        </w:rPr>
        <w:t>museum</w:t>
      </w:r>
      <w:r>
        <w:rPr>
          <w:color w:val="231F20"/>
          <w:spacing w:val="-12"/>
        </w:rPr>
        <w:t xml:space="preserve"> </w:t>
      </w:r>
      <w:r>
        <w:rPr>
          <w:color w:val="231F20"/>
        </w:rPr>
        <w:t>at</w:t>
      </w:r>
      <w:r>
        <w:rPr>
          <w:color w:val="231F20"/>
          <w:spacing w:val="-11"/>
        </w:rPr>
        <w:t xml:space="preserve"> </w:t>
      </w:r>
      <w:r>
        <w:rPr>
          <w:color w:val="231F20"/>
        </w:rPr>
        <w:t>Camp</w:t>
      </w:r>
      <w:r>
        <w:rPr>
          <w:color w:val="231F20"/>
          <w:spacing w:val="-12"/>
        </w:rPr>
        <w:t xml:space="preserve"> </w:t>
      </w:r>
      <w:r>
        <w:rPr>
          <w:color w:val="231F20"/>
        </w:rPr>
        <w:t>Nou</w:t>
      </w:r>
      <w:r>
        <w:rPr>
          <w:color w:val="231F20"/>
          <w:spacing w:val="-11"/>
        </w:rPr>
        <w:t xml:space="preserve"> </w:t>
      </w:r>
      <w:r>
        <w:rPr>
          <w:color w:val="231F20"/>
        </w:rPr>
        <w:t>(FC</w:t>
      </w:r>
      <w:r>
        <w:rPr>
          <w:color w:val="231F20"/>
          <w:spacing w:val="-12"/>
        </w:rPr>
        <w:t xml:space="preserve"> </w:t>
      </w:r>
      <w:r>
        <w:rPr>
          <w:color w:val="231F20"/>
        </w:rPr>
        <w:t>Barcelona</w:t>
      </w:r>
      <w:r>
        <w:rPr>
          <w:color w:val="231F20"/>
          <w:spacing w:val="-11"/>
        </w:rPr>
        <w:t xml:space="preserve"> </w:t>
      </w:r>
      <w:r>
        <w:rPr>
          <w:color w:val="231F20"/>
        </w:rPr>
        <w:t>–</w:t>
      </w:r>
      <w:r>
        <w:rPr>
          <w:color w:val="231F20"/>
          <w:spacing w:val="-12"/>
        </w:rPr>
        <w:t xml:space="preserve"> </w:t>
      </w:r>
      <w:r>
        <w:rPr>
          <w:color w:val="231F20"/>
        </w:rPr>
        <w:t>football</w:t>
      </w:r>
      <w:r>
        <w:rPr>
          <w:color w:val="231F20"/>
          <w:spacing w:val="-12"/>
        </w:rPr>
        <w:t xml:space="preserve"> </w:t>
      </w:r>
      <w:r>
        <w:rPr>
          <w:color w:val="231F20"/>
        </w:rPr>
        <w:t>stadium),</w:t>
      </w:r>
      <w:r>
        <w:rPr>
          <w:color w:val="231F20"/>
          <w:spacing w:val="-11"/>
        </w:rPr>
        <w:t xml:space="preserve"> </w:t>
      </w:r>
      <w:r>
        <w:rPr>
          <w:color w:val="231F20"/>
        </w:rPr>
        <w:t>which</w:t>
      </w:r>
      <w:r>
        <w:rPr>
          <w:color w:val="231F20"/>
          <w:spacing w:val="-12"/>
        </w:rPr>
        <w:t xml:space="preserve"> </w:t>
      </w:r>
      <w:r>
        <w:rPr>
          <w:color w:val="231F20"/>
        </w:rPr>
        <w:t>was opened to the public in 1984, hosted its 30 millionth visitor in 2016</w:t>
      </w:r>
      <w:r>
        <w:rPr>
          <w:color w:val="231F20"/>
        </w:rPr>
        <w:t xml:space="preserve"> (FC Barcelona, 2016).</w:t>
      </w:r>
    </w:p>
    <w:p w14:paraId="1CCC52F8" w14:textId="77777777" w:rsidR="00AE0598" w:rsidRDefault="0069255A">
      <w:pPr>
        <w:pStyle w:val="Corpodetexto"/>
        <w:spacing w:before="10" w:line="232" w:lineRule="auto"/>
        <w:ind w:left="110" w:right="127" w:firstLine="320"/>
        <w:jc w:val="both"/>
      </w:pPr>
      <w:r>
        <w:rPr>
          <w:color w:val="231F20"/>
        </w:rPr>
        <w:t>Fantasy sport programmes are a third and particularly intriguing variation</w:t>
      </w:r>
      <w:r>
        <w:rPr>
          <w:color w:val="231F20"/>
          <w:spacing w:val="40"/>
        </w:rPr>
        <w:t xml:space="preserve"> </w:t>
      </w:r>
      <w:r>
        <w:rPr>
          <w:color w:val="231F20"/>
        </w:rPr>
        <w:t>of</w:t>
      </w:r>
      <w:r>
        <w:rPr>
          <w:color w:val="231F20"/>
          <w:spacing w:val="40"/>
        </w:rPr>
        <w:t xml:space="preserve"> </w:t>
      </w:r>
      <w:r>
        <w:rPr>
          <w:color w:val="231F20"/>
        </w:rPr>
        <w:t>nostalgia</w:t>
      </w:r>
      <w:r>
        <w:rPr>
          <w:color w:val="231F20"/>
          <w:spacing w:val="40"/>
        </w:rPr>
        <w:t xml:space="preserve"> </w:t>
      </w:r>
      <w:r>
        <w:rPr>
          <w:color w:val="231F20"/>
        </w:rPr>
        <w:t>sport</w:t>
      </w:r>
      <w:r>
        <w:rPr>
          <w:color w:val="231F20"/>
          <w:spacing w:val="40"/>
        </w:rPr>
        <w:t xml:space="preserve"> </w:t>
      </w:r>
      <w:r>
        <w:rPr>
          <w:color w:val="231F20"/>
        </w:rPr>
        <w:t>tourism</w:t>
      </w:r>
      <w:r>
        <w:rPr>
          <w:color w:val="231F20"/>
          <w:spacing w:val="40"/>
        </w:rPr>
        <w:t xml:space="preserve"> </w:t>
      </w:r>
      <w:r>
        <w:rPr>
          <w:color w:val="231F20"/>
        </w:rPr>
        <w:t>(Gammon</w:t>
      </w:r>
      <w:r>
        <w:rPr>
          <w:color w:val="231F20"/>
          <w:spacing w:val="40"/>
        </w:rPr>
        <w:t xml:space="preserve"> </w:t>
      </w:r>
      <w:r>
        <w:rPr>
          <w:color w:val="231F20"/>
        </w:rPr>
        <w:t>&amp;</w:t>
      </w:r>
      <w:r>
        <w:rPr>
          <w:color w:val="231F20"/>
          <w:spacing w:val="40"/>
        </w:rPr>
        <w:t xml:space="preserve"> </w:t>
      </w:r>
      <w:r>
        <w:rPr>
          <w:color w:val="231F20"/>
        </w:rPr>
        <w:t>Ramshaw,</w:t>
      </w:r>
      <w:r>
        <w:rPr>
          <w:color w:val="231F20"/>
          <w:spacing w:val="40"/>
        </w:rPr>
        <w:t xml:space="preserve"> </w:t>
      </w:r>
      <w:r>
        <w:rPr>
          <w:color w:val="231F20"/>
        </w:rPr>
        <w:t>2007). They range from mock training camps to themed cruises, restaurants and bars. Gammon (2002) suggests that there are five main motivations to travel to fantasy sport camps: (1) the desire to be associated with a famous event; (2) the opportunity to tr</w:t>
      </w:r>
      <w:r>
        <w:rPr>
          <w:color w:val="231F20"/>
        </w:rPr>
        <w:t>ain in a famous or meaningful facility; (3) to increase identification with a particular team or club; (4) to</w:t>
      </w:r>
      <w:r>
        <w:rPr>
          <w:color w:val="231F20"/>
          <w:spacing w:val="-2"/>
        </w:rPr>
        <w:t xml:space="preserve"> </w:t>
      </w:r>
      <w:r>
        <w:rPr>
          <w:color w:val="231F20"/>
        </w:rPr>
        <w:t>be</w:t>
      </w:r>
      <w:r>
        <w:rPr>
          <w:color w:val="231F20"/>
          <w:spacing w:val="-2"/>
        </w:rPr>
        <w:t xml:space="preserve"> </w:t>
      </w:r>
      <w:r>
        <w:rPr>
          <w:color w:val="231F20"/>
        </w:rPr>
        <w:t>closely</w:t>
      </w:r>
      <w:r>
        <w:rPr>
          <w:color w:val="231F20"/>
          <w:spacing w:val="-2"/>
        </w:rPr>
        <w:t xml:space="preserve"> </w:t>
      </w:r>
      <w:r>
        <w:rPr>
          <w:color w:val="231F20"/>
        </w:rPr>
        <w:t>associated</w:t>
      </w:r>
      <w:r>
        <w:rPr>
          <w:color w:val="231F20"/>
          <w:spacing w:val="-2"/>
        </w:rPr>
        <w:t xml:space="preserve"> </w:t>
      </w:r>
      <w:r>
        <w:rPr>
          <w:color w:val="231F20"/>
        </w:rPr>
        <w:t>with</w:t>
      </w:r>
      <w:r>
        <w:rPr>
          <w:color w:val="231F20"/>
          <w:spacing w:val="-2"/>
        </w:rPr>
        <w:t xml:space="preserve"> </w:t>
      </w:r>
      <w:r>
        <w:rPr>
          <w:color w:val="231F20"/>
        </w:rPr>
        <w:t>sporting</w:t>
      </w:r>
      <w:r>
        <w:rPr>
          <w:color w:val="231F20"/>
          <w:spacing w:val="-2"/>
        </w:rPr>
        <w:t xml:space="preserve"> </w:t>
      </w:r>
      <w:r>
        <w:rPr>
          <w:color w:val="231F20"/>
        </w:rPr>
        <w:t>heroes;</w:t>
      </w:r>
      <w:r>
        <w:rPr>
          <w:color w:val="231F20"/>
          <w:spacing w:val="-2"/>
        </w:rPr>
        <w:t xml:space="preserve"> </w:t>
      </w:r>
      <w:r>
        <w:rPr>
          <w:color w:val="231F20"/>
        </w:rPr>
        <w:t>and</w:t>
      </w:r>
      <w:r>
        <w:rPr>
          <w:color w:val="231F20"/>
          <w:spacing w:val="-2"/>
        </w:rPr>
        <w:t xml:space="preserve"> </w:t>
      </w:r>
      <w:r>
        <w:rPr>
          <w:color w:val="231F20"/>
        </w:rPr>
        <w:t>(5)</w:t>
      </w:r>
      <w:r>
        <w:rPr>
          <w:color w:val="231F20"/>
          <w:spacing w:val="-2"/>
        </w:rPr>
        <w:t xml:space="preserve"> </w:t>
      </w:r>
      <w:r>
        <w:rPr>
          <w:color w:val="231F20"/>
        </w:rPr>
        <w:t>general</w:t>
      </w:r>
      <w:r>
        <w:rPr>
          <w:color w:val="231F20"/>
          <w:spacing w:val="-2"/>
        </w:rPr>
        <w:t xml:space="preserve"> </w:t>
      </w:r>
      <w:r>
        <w:rPr>
          <w:color w:val="231F20"/>
        </w:rPr>
        <w:t>interest</w:t>
      </w:r>
      <w:r>
        <w:rPr>
          <w:color w:val="231F20"/>
          <w:spacing w:val="-2"/>
        </w:rPr>
        <w:t xml:space="preserve"> </w:t>
      </w:r>
      <w:r>
        <w:rPr>
          <w:color w:val="231F20"/>
        </w:rPr>
        <w:t>in the sport and in skill development. For the nostalgia sport tourist, these</w:t>
      </w:r>
      <w:r>
        <w:rPr>
          <w:color w:val="231F20"/>
        </w:rPr>
        <w:t xml:space="preserve"> camps</w:t>
      </w:r>
      <w:r>
        <w:rPr>
          <w:color w:val="231F20"/>
          <w:spacing w:val="-5"/>
        </w:rPr>
        <w:t xml:space="preserve"> </w:t>
      </w:r>
      <w:r>
        <w:rPr>
          <w:color w:val="231F20"/>
        </w:rPr>
        <w:t>enable</w:t>
      </w:r>
      <w:r>
        <w:rPr>
          <w:color w:val="231F20"/>
          <w:spacing w:val="-5"/>
        </w:rPr>
        <w:t xml:space="preserve"> </w:t>
      </w:r>
      <w:r>
        <w:rPr>
          <w:color w:val="231F20"/>
        </w:rPr>
        <w:t>participants</w:t>
      </w:r>
      <w:r>
        <w:rPr>
          <w:color w:val="231F20"/>
          <w:spacing w:val="-5"/>
        </w:rPr>
        <w:t xml:space="preserve"> </w:t>
      </w:r>
      <w:r>
        <w:rPr>
          <w:color w:val="231F20"/>
        </w:rPr>
        <w:t>to</w:t>
      </w:r>
      <w:r>
        <w:rPr>
          <w:color w:val="231F20"/>
          <w:spacing w:val="-5"/>
        </w:rPr>
        <w:t xml:space="preserve"> </w:t>
      </w:r>
      <w:r>
        <w:rPr>
          <w:color w:val="231F20"/>
        </w:rPr>
        <w:t>escape</w:t>
      </w:r>
      <w:r>
        <w:rPr>
          <w:color w:val="231F20"/>
          <w:spacing w:val="-5"/>
        </w:rPr>
        <w:t xml:space="preserve"> </w:t>
      </w:r>
      <w:r>
        <w:rPr>
          <w:color w:val="231F20"/>
        </w:rPr>
        <w:t>from</w:t>
      </w:r>
      <w:r>
        <w:rPr>
          <w:color w:val="231F20"/>
          <w:spacing w:val="-5"/>
        </w:rPr>
        <w:t xml:space="preserve"> </w:t>
      </w:r>
      <w:r>
        <w:rPr>
          <w:color w:val="231F20"/>
        </w:rPr>
        <w:t>the</w:t>
      </w:r>
      <w:r>
        <w:rPr>
          <w:color w:val="231F20"/>
          <w:spacing w:val="-5"/>
        </w:rPr>
        <w:t xml:space="preserve"> </w:t>
      </w:r>
      <w:r>
        <w:rPr>
          <w:color w:val="231F20"/>
        </w:rPr>
        <w:t>routine</w:t>
      </w:r>
      <w:r>
        <w:rPr>
          <w:color w:val="231F20"/>
          <w:spacing w:val="-5"/>
        </w:rPr>
        <w:t xml:space="preserve"> </w:t>
      </w:r>
      <w:r>
        <w:rPr>
          <w:color w:val="231F20"/>
        </w:rPr>
        <w:t>of</w:t>
      </w:r>
      <w:r>
        <w:rPr>
          <w:color w:val="231F20"/>
          <w:spacing w:val="-5"/>
        </w:rPr>
        <w:t xml:space="preserve"> </w:t>
      </w:r>
      <w:r>
        <w:rPr>
          <w:color w:val="231F20"/>
        </w:rPr>
        <w:t>their</w:t>
      </w:r>
      <w:r>
        <w:rPr>
          <w:color w:val="231F20"/>
          <w:spacing w:val="-5"/>
        </w:rPr>
        <w:t xml:space="preserve"> </w:t>
      </w:r>
      <w:r>
        <w:rPr>
          <w:color w:val="231F20"/>
        </w:rPr>
        <w:t>day-to-day existence. They provide nostalgia sport tourists with the opportunity to relive</w:t>
      </w:r>
      <w:r>
        <w:rPr>
          <w:color w:val="231F20"/>
          <w:spacing w:val="-9"/>
        </w:rPr>
        <w:t xml:space="preserve"> </w:t>
      </w:r>
      <w:r>
        <w:rPr>
          <w:color w:val="231F20"/>
        </w:rPr>
        <w:t>experiences</w:t>
      </w:r>
      <w:r>
        <w:rPr>
          <w:color w:val="231F20"/>
          <w:spacing w:val="-9"/>
        </w:rPr>
        <w:t xml:space="preserve"> </w:t>
      </w:r>
      <w:r>
        <w:rPr>
          <w:color w:val="231F20"/>
        </w:rPr>
        <w:t>from</w:t>
      </w:r>
      <w:r>
        <w:rPr>
          <w:color w:val="231F20"/>
          <w:spacing w:val="-9"/>
        </w:rPr>
        <w:t xml:space="preserve"> </w:t>
      </w:r>
      <w:r>
        <w:rPr>
          <w:color w:val="231F20"/>
        </w:rPr>
        <w:t>their</w:t>
      </w:r>
      <w:r>
        <w:rPr>
          <w:color w:val="231F20"/>
          <w:spacing w:val="-9"/>
        </w:rPr>
        <w:t xml:space="preserve"> </w:t>
      </w:r>
      <w:r>
        <w:rPr>
          <w:color w:val="231F20"/>
        </w:rPr>
        <w:t>youth</w:t>
      </w:r>
      <w:r>
        <w:rPr>
          <w:color w:val="231F20"/>
          <w:spacing w:val="-9"/>
        </w:rPr>
        <w:t xml:space="preserve"> </w:t>
      </w:r>
      <w:r>
        <w:rPr>
          <w:color w:val="231F20"/>
        </w:rPr>
        <w:t>or</w:t>
      </w:r>
      <w:r>
        <w:rPr>
          <w:color w:val="231F20"/>
          <w:spacing w:val="-9"/>
        </w:rPr>
        <w:t xml:space="preserve"> </w:t>
      </w:r>
      <w:r>
        <w:rPr>
          <w:color w:val="231F20"/>
        </w:rPr>
        <w:t>to</w:t>
      </w:r>
      <w:r>
        <w:rPr>
          <w:color w:val="231F20"/>
          <w:spacing w:val="-9"/>
        </w:rPr>
        <w:t xml:space="preserve"> </w:t>
      </w:r>
      <w:r>
        <w:rPr>
          <w:color w:val="231F20"/>
        </w:rPr>
        <w:t>reconstruct</w:t>
      </w:r>
      <w:r>
        <w:rPr>
          <w:color w:val="231F20"/>
          <w:spacing w:val="-9"/>
        </w:rPr>
        <w:t xml:space="preserve"> </w:t>
      </w:r>
      <w:r>
        <w:rPr>
          <w:color w:val="231F20"/>
        </w:rPr>
        <w:t>them</w:t>
      </w:r>
      <w:r>
        <w:rPr>
          <w:color w:val="231F20"/>
          <w:spacing w:val="-9"/>
        </w:rPr>
        <w:t xml:space="preserve"> </w:t>
      </w:r>
      <w:r>
        <w:rPr>
          <w:color w:val="231F20"/>
        </w:rPr>
        <w:t>by</w:t>
      </w:r>
      <w:r>
        <w:rPr>
          <w:color w:val="231F20"/>
          <w:spacing w:val="-9"/>
        </w:rPr>
        <w:t xml:space="preserve"> </w:t>
      </w:r>
      <w:r>
        <w:rPr>
          <w:color w:val="231F20"/>
        </w:rPr>
        <w:t>living</w:t>
      </w:r>
      <w:r>
        <w:rPr>
          <w:color w:val="231F20"/>
          <w:spacing w:val="-9"/>
        </w:rPr>
        <w:t xml:space="preserve"> </w:t>
      </w:r>
      <w:r>
        <w:rPr>
          <w:color w:val="231F20"/>
        </w:rPr>
        <w:t xml:space="preserve">their </w:t>
      </w:r>
      <w:r>
        <w:rPr>
          <w:color w:val="231F20"/>
          <w:w w:val="95"/>
        </w:rPr>
        <w:t>sporting dreams rather than revisi</w:t>
      </w:r>
      <w:r>
        <w:rPr>
          <w:color w:val="231F20"/>
          <w:w w:val="95"/>
        </w:rPr>
        <w:t xml:space="preserve">ting past realities. While these selected </w:t>
      </w:r>
      <w:r>
        <w:rPr>
          <w:color w:val="231F20"/>
        </w:rPr>
        <w:t>manifestations of nostalgia-based sport tourism are prominent, a wide range</w:t>
      </w:r>
      <w:r>
        <w:rPr>
          <w:color w:val="231F20"/>
          <w:spacing w:val="-11"/>
        </w:rPr>
        <w:t xml:space="preserve"> </w:t>
      </w:r>
      <w:r>
        <w:rPr>
          <w:color w:val="231F20"/>
        </w:rPr>
        <w:t>of</w:t>
      </w:r>
      <w:r>
        <w:rPr>
          <w:color w:val="231F20"/>
          <w:spacing w:val="-11"/>
        </w:rPr>
        <w:t xml:space="preserve"> </w:t>
      </w:r>
      <w:r>
        <w:rPr>
          <w:color w:val="231F20"/>
        </w:rPr>
        <w:t>variations</w:t>
      </w:r>
      <w:r>
        <w:rPr>
          <w:color w:val="231F20"/>
          <w:spacing w:val="-11"/>
        </w:rPr>
        <w:t xml:space="preserve"> </w:t>
      </w:r>
      <w:r>
        <w:rPr>
          <w:color w:val="231F20"/>
        </w:rPr>
        <w:t>exists.</w:t>
      </w:r>
      <w:r>
        <w:rPr>
          <w:color w:val="231F20"/>
          <w:spacing w:val="-11"/>
        </w:rPr>
        <w:t xml:space="preserve"> </w:t>
      </w:r>
      <w:r>
        <w:rPr>
          <w:color w:val="231F20"/>
        </w:rPr>
        <w:t>Cho</w:t>
      </w:r>
      <w:r>
        <w:rPr>
          <w:color w:val="231F20"/>
          <w:spacing w:val="-11"/>
        </w:rPr>
        <w:t xml:space="preserve"> </w:t>
      </w:r>
      <w:r>
        <w:rPr>
          <w:i/>
          <w:color w:val="231F20"/>
        </w:rPr>
        <w:t>et</w:t>
      </w:r>
      <w:r>
        <w:rPr>
          <w:i/>
          <w:color w:val="231F20"/>
          <w:spacing w:val="-11"/>
        </w:rPr>
        <w:t xml:space="preserve"> </w:t>
      </w:r>
      <w:r>
        <w:rPr>
          <w:i/>
          <w:color w:val="231F20"/>
        </w:rPr>
        <w:t>al</w:t>
      </w:r>
      <w:r>
        <w:rPr>
          <w:color w:val="231F20"/>
        </w:rPr>
        <w:t>.</w:t>
      </w:r>
      <w:r>
        <w:rPr>
          <w:color w:val="231F20"/>
          <w:spacing w:val="-11"/>
        </w:rPr>
        <w:t xml:space="preserve"> </w:t>
      </w:r>
      <w:r>
        <w:rPr>
          <w:color w:val="231F20"/>
        </w:rPr>
        <w:t>(2014)</w:t>
      </w:r>
      <w:r>
        <w:rPr>
          <w:color w:val="231F20"/>
          <w:spacing w:val="-11"/>
        </w:rPr>
        <w:t xml:space="preserve"> </w:t>
      </w:r>
      <w:r>
        <w:rPr>
          <w:color w:val="231F20"/>
        </w:rPr>
        <w:t>present</w:t>
      </w:r>
      <w:r>
        <w:rPr>
          <w:color w:val="231F20"/>
          <w:spacing w:val="-11"/>
        </w:rPr>
        <w:t xml:space="preserve"> </w:t>
      </w:r>
      <w:r>
        <w:rPr>
          <w:color w:val="231F20"/>
        </w:rPr>
        <w:t>a</w:t>
      </w:r>
      <w:r>
        <w:rPr>
          <w:color w:val="231F20"/>
          <w:spacing w:val="-11"/>
        </w:rPr>
        <w:t xml:space="preserve"> </w:t>
      </w:r>
      <w:r>
        <w:rPr>
          <w:color w:val="231F20"/>
        </w:rPr>
        <w:t>conceptual</w:t>
      </w:r>
      <w:r>
        <w:rPr>
          <w:color w:val="231F20"/>
          <w:spacing w:val="-11"/>
        </w:rPr>
        <w:t xml:space="preserve"> </w:t>
      </w:r>
      <w:r>
        <w:rPr>
          <w:color w:val="231F20"/>
        </w:rPr>
        <w:t>model</w:t>
      </w:r>
      <w:r>
        <w:rPr>
          <w:color w:val="231F20"/>
          <w:spacing w:val="-11"/>
        </w:rPr>
        <w:t xml:space="preserve"> </w:t>
      </w:r>
      <w:r>
        <w:rPr>
          <w:color w:val="231F20"/>
        </w:rPr>
        <w:t xml:space="preserve">of nostalgia in the context of sport tourism to provide further insights into </w:t>
      </w:r>
      <w:r>
        <w:rPr>
          <w:color w:val="231F20"/>
          <w:w w:val="95"/>
        </w:rPr>
        <w:t>these variations. Their model highlights four types of nostalgia: nostalgia</w:t>
      </w:r>
      <w:r>
        <w:rPr>
          <w:color w:val="231F20"/>
          <w:spacing w:val="80"/>
          <w:w w:val="150"/>
        </w:rPr>
        <w:t xml:space="preserve"> </w:t>
      </w:r>
      <w:r>
        <w:rPr>
          <w:color w:val="231F20"/>
        </w:rPr>
        <w:t xml:space="preserve">as past personal experience which may be induced by </w:t>
      </w:r>
      <w:r>
        <w:rPr>
          <w:i/>
          <w:color w:val="231F20"/>
        </w:rPr>
        <w:t xml:space="preserve">sport objects </w:t>
      </w:r>
      <w:r>
        <w:rPr>
          <w:color w:val="231F20"/>
        </w:rPr>
        <w:t>such as stadiums; nostalgia as socia</w:t>
      </w:r>
      <w:r>
        <w:rPr>
          <w:color w:val="231F20"/>
        </w:rPr>
        <w:t xml:space="preserve">lisation in which an individual constructs </w:t>
      </w:r>
      <w:r>
        <w:rPr>
          <w:color w:val="231F20"/>
          <w:w w:val="95"/>
        </w:rPr>
        <w:t xml:space="preserve">identity through nostalgia-based </w:t>
      </w:r>
      <w:r>
        <w:rPr>
          <w:i/>
          <w:color w:val="231F20"/>
          <w:w w:val="95"/>
        </w:rPr>
        <w:t>social interactions</w:t>
      </w:r>
      <w:r>
        <w:rPr>
          <w:color w:val="231F20"/>
          <w:w w:val="95"/>
        </w:rPr>
        <w:t xml:space="preserve">; sport nostalgia that is consciously used to build self-identity; and sport nostalgia used to establish </w:t>
      </w:r>
      <w:r>
        <w:rPr>
          <w:color w:val="231F20"/>
        </w:rPr>
        <w:t>group membership and a sense of belonging.</w:t>
      </w:r>
    </w:p>
    <w:p w14:paraId="6597B175" w14:textId="77777777" w:rsidR="00AE0598" w:rsidRDefault="0069255A">
      <w:pPr>
        <w:pStyle w:val="Corpodetexto"/>
        <w:spacing w:before="26" w:line="232" w:lineRule="auto"/>
        <w:ind w:left="110" w:right="124" w:firstLine="320"/>
        <w:jc w:val="both"/>
      </w:pPr>
      <w:r>
        <w:rPr>
          <w:color w:val="231F20"/>
        </w:rPr>
        <w:t>Heritage spor</w:t>
      </w:r>
      <w:r>
        <w:rPr>
          <w:color w:val="231F20"/>
        </w:rPr>
        <w:t>t tourism adopts a more critical perspective of sport heritage by recognising that sport has featured negative practices that, while</w:t>
      </w:r>
      <w:r>
        <w:rPr>
          <w:color w:val="231F20"/>
          <w:spacing w:val="-4"/>
        </w:rPr>
        <w:t xml:space="preserve"> </w:t>
      </w:r>
      <w:r>
        <w:rPr>
          <w:color w:val="231F20"/>
        </w:rPr>
        <w:t>insightful,</w:t>
      </w:r>
      <w:r>
        <w:rPr>
          <w:color w:val="231F20"/>
          <w:spacing w:val="-4"/>
        </w:rPr>
        <w:t xml:space="preserve"> </w:t>
      </w:r>
      <w:r>
        <w:rPr>
          <w:color w:val="231F20"/>
        </w:rPr>
        <w:t>are</w:t>
      </w:r>
      <w:r>
        <w:rPr>
          <w:color w:val="231F20"/>
          <w:spacing w:val="-4"/>
        </w:rPr>
        <w:t xml:space="preserve"> </w:t>
      </w:r>
      <w:r>
        <w:rPr>
          <w:color w:val="231F20"/>
        </w:rPr>
        <w:t>not</w:t>
      </w:r>
      <w:r>
        <w:rPr>
          <w:color w:val="231F20"/>
          <w:spacing w:val="-4"/>
        </w:rPr>
        <w:t xml:space="preserve"> </w:t>
      </w:r>
      <w:r>
        <w:rPr>
          <w:color w:val="231F20"/>
        </w:rPr>
        <w:t>worthy</w:t>
      </w:r>
      <w:r>
        <w:rPr>
          <w:color w:val="231F20"/>
          <w:spacing w:val="-3"/>
        </w:rPr>
        <w:t xml:space="preserve"> </w:t>
      </w:r>
      <w:r>
        <w:rPr>
          <w:color w:val="231F20"/>
        </w:rPr>
        <w:t>of</w:t>
      </w:r>
      <w:r>
        <w:rPr>
          <w:color w:val="231F20"/>
          <w:spacing w:val="-3"/>
        </w:rPr>
        <w:t xml:space="preserve"> </w:t>
      </w:r>
      <w:r>
        <w:rPr>
          <w:color w:val="231F20"/>
        </w:rPr>
        <w:t>celebration</w:t>
      </w:r>
      <w:r>
        <w:rPr>
          <w:color w:val="231F20"/>
          <w:spacing w:val="-4"/>
        </w:rPr>
        <w:t xml:space="preserve"> </w:t>
      </w:r>
      <w:r>
        <w:rPr>
          <w:color w:val="231F20"/>
        </w:rPr>
        <w:t>in</w:t>
      </w:r>
      <w:r>
        <w:rPr>
          <w:color w:val="231F20"/>
          <w:spacing w:val="-3"/>
        </w:rPr>
        <w:t xml:space="preserve"> </w:t>
      </w:r>
      <w:r>
        <w:rPr>
          <w:color w:val="231F20"/>
        </w:rPr>
        <w:t>the</w:t>
      </w:r>
      <w:r>
        <w:rPr>
          <w:color w:val="231F20"/>
          <w:spacing w:val="-4"/>
        </w:rPr>
        <w:t xml:space="preserve"> </w:t>
      </w:r>
      <w:r>
        <w:rPr>
          <w:color w:val="231F20"/>
        </w:rPr>
        <w:t>same</w:t>
      </w:r>
      <w:r>
        <w:rPr>
          <w:color w:val="231F20"/>
          <w:spacing w:val="-4"/>
        </w:rPr>
        <w:t xml:space="preserve"> </w:t>
      </w:r>
      <w:r>
        <w:rPr>
          <w:color w:val="231F20"/>
        </w:rPr>
        <w:t>sense</w:t>
      </w:r>
      <w:r>
        <w:rPr>
          <w:color w:val="231F20"/>
          <w:spacing w:val="-4"/>
        </w:rPr>
        <w:t xml:space="preserve"> </w:t>
      </w:r>
      <w:r>
        <w:rPr>
          <w:color w:val="231F20"/>
        </w:rPr>
        <w:t>that</w:t>
      </w:r>
      <w:r>
        <w:rPr>
          <w:color w:val="231F20"/>
          <w:spacing w:val="-3"/>
        </w:rPr>
        <w:t xml:space="preserve"> </w:t>
      </w:r>
      <w:r>
        <w:rPr>
          <w:color w:val="231F20"/>
        </w:rPr>
        <w:t>the nostalgia dimension of sport has been. Beyond nostalgi</w:t>
      </w:r>
      <w:r>
        <w:rPr>
          <w:color w:val="231F20"/>
        </w:rPr>
        <w:t xml:space="preserve">a, scholarship on </w:t>
      </w:r>
      <w:r>
        <w:rPr>
          <w:color w:val="231F20"/>
          <w:w w:val="95"/>
        </w:rPr>
        <w:t xml:space="preserve">sport heritage tourism has been used to provide insight into memorialising </w:t>
      </w:r>
      <w:r>
        <w:rPr>
          <w:color w:val="231F20"/>
        </w:rPr>
        <w:t>conflict, marginalising people and illustrating the dissonance between sport</w:t>
      </w:r>
      <w:r>
        <w:rPr>
          <w:color w:val="231F20"/>
          <w:spacing w:val="-1"/>
        </w:rPr>
        <w:t xml:space="preserve"> </w:t>
      </w:r>
      <w:r>
        <w:rPr>
          <w:color w:val="231F20"/>
        </w:rPr>
        <w:t>heritage</w:t>
      </w:r>
      <w:r>
        <w:rPr>
          <w:color w:val="231F20"/>
          <w:spacing w:val="-1"/>
        </w:rPr>
        <w:t xml:space="preserve"> </w:t>
      </w:r>
      <w:r>
        <w:rPr>
          <w:color w:val="231F20"/>
        </w:rPr>
        <w:t>and</w:t>
      </w:r>
      <w:r>
        <w:rPr>
          <w:color w:val="231F20"/>
          <w:spacing w:val="-1"/>
        </w:rPr>
        <w:t xml:space="preserve"> </w:t>
      </w:r>
      <w:r>
        <w:rPr>
          <w:color w:val="231F20"/>
        </w:rPr>
        <w:t>contemporary</w:t>
      </w:r>
      <w:r>
        <w:rPr>
          <w:color w:val="231F20"/>
          <w:spacing w:val="-1"/>
        </w:rPr>
        <w:t xml:space="preserve"> </w:t>
      </w:r>
      <w:r>
        <w:rPr>
          <w:color w:val="231F20"/>
        </w:rPr>
        <w:t>tourism</w:t>
      </w:r>
      <w:r>
        <w:rPr>
          <w:color w:val="231F20"/>
          <w:spacing w:val="-1"/>
        </w:rPr>
        <w:t xml:space="preserve"> </w:t>
      </w:r>
      <w:r>
        <w:rPr>
          <w:color w:val="231F20"/>
        </w:rPr>
        <w:t>promotion</w:t>
      </w:r>
      <w:r>
        <w:rPr>
          <w:color w:val="231F20"/>
          <w:spacing w:val="-1"/>
        </w:rPr>
        <w:t xml:space="preserve"> </w:t>
      </w:r>
      <w:r>
        <w:rPr>
          <w:color w:val="231F20"/>
        </w:rPr>
        <w:t>(Ramshaw,</w:t>
      </w:r>
      <w:r>
        <w:rPr>
          <w:color w:val="231F20"/>
          <w:spacing w:val="-1"/>
        </w:rPr>
        <w:t xml:space="preserve"> </w:t>
      </w:r>
      <w:r>
        <w:rPr>
          <w:color w:val="231F20"/>
        </w:rPr>
        <w:t>2014a, 2014b). More broadly, Ram</w:t>
      </w:r>
      <w:r>
        <w:rPr>
          <w:color w:val="231F20"/>
        </w:rPr>
        <w:t xml:space="preserve">shaw and Gammon (2016) have identified </w:t>
      </w:r>
      <w:r>
        <w:rPr>
          <w:i/>
          <w:color w:val="231F20"/>
        </w:rPr>
        <w:t xml:space="preserve">heritage of sport </w:t>
      </w:r>
      <w:r>
        <w:rPr>
          <w:color w:val="231F20"/>
        </w:rPr>
        <w:t xml:space="preserve">as distinct from </w:t>
      </w:r>
      <w:r>
        <w:rPr>
          <w:i/>
          <w:color w:val="231F20"/>
        </w:rPr>
        <w:t>heritage as sport</w:t>
      </w:r>
      <w:r>
        <w:rPr>
          <w:color w:val="231F20"/>
        </w:rPr>
        <w:t xml:space="preserve">. In the former, the sport attraction draws on the celebration of achievements and events </w:t>
      </w:r>
      <w:r>
        <w:rPr>
          <w:color w:val="231F20"/>
          <w:w w:val="95"/>
        </w:rPr>
        <w:t xml:space="preserve">within the sport itself while in the latter, sport is recognised as a reflection </w:t>
      </w:r>
      <w:r>
        <w:rPr>
          <w:color w:val="231F20"/>
        </w:rPr>
        <w:t>of</w:t>
      </w:r>
      <w:r>
        <w:rPr>
          <w:color w:val="231F20"/>
          <w:spacing w:val="-11"/>
        </w:rPr>
        <w:t xml:space="preserve"> </w:t>
      </w:r>
      <w:r>
        <w:rPr>
          <w:color w:val="231F20"/>
        </w:rPr>
        <w:t>the</w:t>
      </w:r>
      <w:r>
        <w:rPr>
          <w:color w:val="231F20"/>
          <w:spacing w:val="-11"/>
        </w:rPr>
        <w:t xml:space="preserve"> </w:t>
      </w:r>
      <w:r>
        <w:rPr>
          <w:color w:val="231F20"/>
        </w:rPr>
        <w:t>collective</w:t>
      </w:r>
      <w:r>
        <w:rPr>
          <w:color w:val="231F20"/>
          <w:spacing w:val="-11"/>
        </w:rPr>
        <w:t xml:space="preserve"> </w:t>
      </w:r>
      <w:r>
        <w:rPr>
          <w:color w:val="231F20"/>
        </w:rPr>
        <w:t>identity</w:t>
      </w:r>
      <w:r>
        <w:rPr>
          <w:color w:val="231F20"/>
          <w:spacing w:val="-11"/>
        </w:rPr>
        <w:t xml:space="preserve"> </w:t>
      </w:r>
      <w:r>
        <w:rPr>
          <w:color w:val="231F20"/>
        </w:rPr>
        <w:t>of</w:t>
      </w:r>
      <w:r>
        <w:rPr>
          <w:color w:val="231F20"/>
          <w:spacing w:val="-11"/>
        </w:rPr>
        <w:t xml:space="preserve"> </w:t>
      </w:r>
      <w:r>
        <w:rPr>
          <w:color w:val="231F20"/>
        </w:rPr>
        <w:t>the</w:t>
      </w:r>
      <w:r>
        <w:rPr>
          <w:color w:val="231F20"/>
          <w:spacing w:val="-11"/>
        </w:rPr>
        <w:t xml:space="preserve"> </w:t>
      </w:r>
      <w:r>
        <w:rPr>
          <w:color w:val="231F20"/>
        </w:rPr>
        <w:t>people</w:t>
      </w:r>
      <w:r>
        <w:rPr>
          <w:color w:val="231F20"/>
          <w:spacing w:val="-11"/>
        </w:rPr>
        <w:t xml:space="preserve"> </w:t>
      </w:r>
      <w:r>
        <w:rPr>
          <w:color w:val="231F20"/>
        </w:rPr>
        <w:t>who</w:t>
      </w:r>
      <w:r>
        <w:rPr>
          <w:color w:val="231F20"/>
          <w:spacing w:val="-11"/>
        </w:rPr>
        <w:t xml:space="preserve"> </w:t>
      </w:r>
      <w:r>
        <w:rPr>
          <w:color w:val="231F20"/>
        </w:rPr>
        <w:t>reside</w:t>
      </w:r>
      <w:r>
        <w:rPr>
          <w:color w:val="231F20"/>
          <w:spacing w:val="-11"/>
        </w:rPr>
        <w:t xml:space="preserve"> </w:t>
      </w:r>
      <w:r>
        <w:rPr>
          <w:color w:val="231F20"/>
        </w:rPr>
        <w:t>in</w:t>
      </w:r>
      <w:r>
        <w:rPr>
          <w:color w:val="231F20"/>
          <w:spacing w:val="-11"/>
        </w:rPr>
        <w:t xml:space="preserve"> </w:t>
      </w:r>
      <w:r>
        <w:rPr>
          <w:color w:val="231F20"/>
        </w:rPr>
        <w:t>a</w:t>
      </w:r>
      <w:r>
        <w:rPr>
          <w:color w:val="231F20"/>
          <w:spacing w:val="-11"/>
        </w:rPr>
        <w:t xml:space="preserve"> </w:t>
      </w:r>
      <w:r>
        <w:rPr>
          <w:color w:val="231F20"/>
        </w:rPr>
        <w:t>destination.</w:t>
      </w:r>
      <w:r>
        <w:rPr>
          <w:color w:val="231F20"/>
          <w:spacing w:val="-11"/>
        </w:rPr>
        <w:t xml:space="preserve"> </w:t>
      </w:r>
      <w:r>
        <w:rPr>
          <w:color w:val="231F20"/>
        </w:rPr>
        <w:t>Both</w:t>
      </w:r>
      <w:r>
        <w:rPr>
          <w:color w:val="231F20"/>
          <w:spacing w:val="-11"/>
        </w:rPr>
        <w:t xml:space="preserve"> </w:t>
      </w:r>
      <w:r>
        <w:rPr>
          <w:color w:val="231F20"/>
        </w:rPr>
        <w:t xml:space="preserve">of </w:t>
      </w:r>
      <w:r>
        <w:rPr>
          <w:color w:val="231F20"/>
          <w:w w:val="95"/>
        </w:rPr>
        <w:t xml:space="preserve">these perspectives reflect a long-term temporal dimension in sport tourism </w:t>
      </w:r>
      <w:r>
        <w:rPr>
          <w:color w:val="231F20"/>
        </w:rPr>
        <w:t>that goes beyond the l</w:t>
      </w:r>
      <w:r>
        <w:rPr>
          <w:color w:val="231F20"/>
        </w:rPr>
        <w:t>imitations of nostalgia.</w:t>
      </w:r>
    </w:p>
    <w:p w14:paraId="077FCCA5" w14:textId="77777777" w:rsidR="00AE0598" w:rsidRDefault="00AE0598">
      <w:pPr>
        <w:spacing w:line="232" w:lineRule="auto"/>
        <w:jc w:val="both"/>
        <w:sectPr w:rsidR="00AE0598">
          <w:pgSz w:w="8850" w:h="13270"/>
          <w:pgMar w:top="720" w:right="1060" w:bottom="280" w:left="1080" w:header="720" w:footer="720" w:gutter="0"/>
          <w:cols w:space="720"/>
        </w:sectPr>
      </w:pPr>
    </w:p>
    <w:p w14:paraId="4CDA8213" w14:textId="77777777" w:rsidR="00AE0598" w:rsidRDefault="0069255A">
      <w:pPr>
        <w:spacing w:before="87"/>
        <w:ind w:left="3808"/>
        <w:rPr>
          <w:rFonts w:ascii="Trebuchet MS"/>
          <w:sz w:val="14"/>
        </w:rPr>
      </w:pPr>
      <w:r>
        <w:rPr>
          <w:rFonts w:ascii="Trebuchet MS"/>
          <w:color w:val="231F20"/>
          <w:w w:val="105"/>
          <w:sz w:val="14"/>
        </w:rPr>
        <w:lastRenderedPageBreak/>
        <w:t>Evolutionary</w:t>
      </w:r>
      <w:r>
        <w:rPr>
          <w:rFonts w:ascii="Trebuchet MS"/>
          <w:color w:val="231F20"/>
          <w:spacing w:val="-12"/>
          <w:w w:val="105"/>
          <w:sz w:val="14"/>
        </w:rPr>
        <w:t xml:space="preserve"> </w:t>
      </w:r>
      <w:r>
        <w:rPr>
          <w:rFonts w:ascii="Trebuchet MS"/>
          <w:color w:val="231F20"/>
          <w:w w:val="105"/>
          <w:sz w:val="14"/>
        </w:rPr>
        <w:t>Trends</w:t>
      </w:r>
      <w:r>
        <w:rPr>
          <w:rFonts w:ascii="Trebuchet MS"/>
          <w:color w:val="231F20"/>
          <w:spacing w:val="-11"/>
          <w:w w:val="105"/>
          <w:sz w:val="14"/>
        </w:rPr>
        <w:t xml:space="preserve"> </w:t>
      </w:r>
      <w:r>
        <w:rPr>
          <w:rFonts w:ascii="Trebuchet MS"/>
          <w:color w:val="231F20"/>
          <w:w w:val="105"/>
          <w:sz w:val="14"/>
        </w:rPr>
        <w:t>in</w:t>
      </w:r>
      <w:r>
        <w:rPr>
          <w:rFonts w:ascii="Trebuchet MS"/>
          <w:color w:val="231F20"/>
          <w:spacing w:val="-11"/>
          <w:w w:val="105"/>
          <w:sz w:val="14"/>
        </w:rPr>
        <w:t xml:space="preserve"> </w:t>
      </w:r>
      <w:r>
        <w:rPr>
          <w:rFonts w:ascii="Trebuchet MS"/>
          <w:color w:val="231F20"/>
          <w:w w:val="105"/>
          <w:sz w:val="14"/>
        </w:rPr>
        <w:t>Sport</w:t>
      </w:r>
      <w:r>
        <w:rPr>
          <w:rFonts w:ascii="Trebuchet MS"/>
          <w:color w:val="231F20"/>
          <w:spacing w:val="-11"/>
          <w:w w:val="105"/>
          <w:sz w:val="14"/>
        </w:rPr>
        <w:t xml:space="preserve"> </w:t>
      </w:r>
      <w:r>
        <w:rPr>
          <w:rFonts w:ascii="Trebuchet MS"/>
          <w:color w:val="231F20"/>
          <w:w w:val="105"/>
          <w:sz w:val="14"/>
        </w:rPr>
        <w:t>Tourism</w:t>
      </w:r>
      <w:r>
        <w:rPr>
          <w:rFonts w:ascii="Trebuchet MS"/>
          <w:color w:val="231F20"/>
          <w:spacing w:val="74"/>
          <w:w w:val="105"/>
          <w:sz w:val="14"/>
        </w:rPr>
        <w:t xml:space="preserve"> </w:t>
      </w:r>
      <w:r>
        <w:rPr>
          <w:rFonts w:ascii="Trebuchet MS"/>
          <w:color w:val="231F20"/>
          <w:spacing w:val="-5"/>
          <w:w w:val="105"/>
          <w:sz w:val="14"/>
        </w:rPr>
        <w:t>213</w:t>
      </w:r>
    </w:p>
    <w:p w14:paraId="75BCEC37" w14:textId="77777777" w:rsidR="00AE0598" w:rsidRDefault="00AE0598">
      <w:pPr>
        <w:pStyle w:val="Corpodetexto"/>
        <w:rPr>
          <w:rFonts w:ascii="Trebuchet MS"/>
          <w:sz w:val="16"/>
        </w:rPr>
      </w:pPr>
    </w:p>
    <w:p w14:paraId="6BBEE799" w14:textId="77777777" w:rsidR="00AE0598" w:rsidRDefault="0069255A">
      <w:pPr>
        <w:spacing w:before="120"/>
        <w:ind w:left="110"/>
        <w:rPr>
          <w:rFonts w:ascii="Trebuchet MS"/>
          <w:b/>
          <w:sz w:val="20"/>
        </w:rPr>
      </w:pPr>
      <w:r>
        <w:rPr>
          <w:rFonts w:ascii="Trebuchet MS"/>
          <w:b/>
          <w:color w:val="231F20"/>
          <w:sz w:val="20"/>
        </w:rPr>
        <w:t>Major</w:t>
      </w:r>
      <w:r>
        <w:rPr>
          <w:rFonts w:ascii="Trebuchet MS"/>
          <w:b/>
          <w:color w:val="231F20"/>
          <w:spacing w:val="9"/>
          <w:sz w:val="20"/>
        </w:rPr>
        <w:t xml:space="preserve"> </w:t>
      </w:r>
      <w:r>
        <w:rPr>
          <w:rFonts w:ascii="Trebuchet MS"/>
          <w:b/>
          <w:color w:val="231F20"/>
          <w:sz w:val="20"/>
        </w:rPr>
        <w:t>Trends</w:t>
      </w:r>
      <w:r>
        <w:rPr>
          <w:rFonts w:ascii="Trebuchet MS"/>
          <w:b/>
          <w:color w:val="231F20"/>
          <w:spacing w:val="10"/>
          <w:sz w:val="20"/>
        </w:rPr>
        <w:t xml:space="preserve"> </w:t>
      </w:r>
      <w:r>
        <w:rPr>
          <w:rFonts w:ascii="Trebuchet MS"/>
          <w:b/>
          <w:color w:val="231F20"/>
          <w:sz w:val="20"/>
        </w:rPr>
        <w:t>Affecting</w:t>
      </w:r>
      <w:r>
        <w:rPr>
          <w:rFonts w:ascii="Trebuchet MS"/>
          <w:b/>
          <w:color w:val="231F20"/>
          <w:spacing w:val="9"/>
          <w:sz w:val="20"/>
        </w:rPr>
        <w:t xml:space="preserve"> </w:t>
      </w:r>
      <w:r>
        <w:rPr>
          <w:rFonts w:ascii="Trebuchet MS"/>
          <w:b/>
          <w:color w:val="231F20"/>
          <w:sz w:val="20"/>
        </w:rPr>
        <w:t>Sport</w:t>
      </w:r>
      <w:r>
        <w:rPr>
          <w:rFonts w:ascii="Trebuchet MS"/>
          <w:b/>
          <w:color w:val="231F20"/>
          <w:spacing w:val="10"/>
          <w:sz w:val="20"/>
        </w:rPr>
        <w:t xml:space="preserve"> </w:t>
      </w:r>
      <w:r>
        <w:rPr>
          <w:rFonts w:ascii="Trebuchet MS"/>
          <w:b/>
          <w:color w:val="231F20"/>
          <w:spacing w:val="-2"/>
          <w:sz w:val="20"/>
        </w:rPr>
        <w:t>Tourism</w:t>
      </w:r>
    </w:p>
    <w:p w14:paraId="15C7CEE6" w14:textId="77777777" w:rsidR="00AE0598" w:rsidRDefault="0069255A">
      <w:pPr>
        <w:pStyle w:val="Corpodetexto"/>
        <w:spacing w:before="122" w:line="232" w:lineRule="auto"/>
        <w:ind w:left="110" w:right="125" w:firstLine="320"/>
        <w:jc w:val="both"/>
      </w:pPr>
      <w:r>
        <w:rPr>
          <w:color w:val="231F20"/>
        </w:rPr>
        <w:t xml:space="preserve">The discretionary nature of sport and tourism makes predictions about the future difficult as they must be made within a broad and complex environment. Trend analysis does, however, provide insights </w:t>
      </w:r>
      <w:r>
        <w:rPr>
          <w:color w:val="231F20"/>
          <w:w w:val="95"/>
        </w:rPr>
        <w:t>into the likely directions that sport tourism will move t</w:t>
      </w:r>
      <w:r>
        <w:rPr>
          <w:color w:val="231F20"/>
          <w:w w:val="95"/>
        </w:rPr>
        <w:t xml:space="preserve">oward. Continued </w:t>
      </w:r>
      <w:r>
        <w:rPr>
          <w:color w:val="231F20"/>
        </w:rPr>
        <w:t>growth is projected in the realm of sport tourism events (Getz &amp; Page, 2016)</w:t>
      </w:r>
      <w:r>
        <w:rPr>
          <w:color w:val="231F20"/>
          <w:spacing w:val="-3"/>
        </w:rPr>
        <w:t xml:space="preserve"> </w:t>
      </w:r>
      <w:r>
        <w:rPr>
          <w:color w:val="231F20"/>
        </w:rPr>
        <w:t>and</w:t>
      </w:r>
      <w:r>
        <w:rPr>
          <w:color w:val="231F20"/>
          <w:spacing w:val="-3"/>
        </w:rPr>
        <w:t xml:space="preserve"> </w:t>
      </w:r>
      <w:r>
        <w:rPr>
          <w:color w:val="231F20"/>
        </w:rPr>
        <w:t>sport</w:t>
      </w:r>
      <w:r>
        <w:rPr>
          <w:color w:val="231F20"/>
          <w:spacing w:val="-3"/>
        </w:rPr>
        <w:t xml:space="preserve"> </w:t>
      </w:r>
      <w:r>
        <w:rPr>
          <w:color w:val="231F20"/>
        </w:rPr>
        <w:t>tourism</w:t>
      </w:r>
      <w:r>
        <w:rPr>
          <w:color w:val="231F20"/>
          <w:spacing w:val="-3"/>
        </w:rPr>
        <w:t xml:space="preserve"> </w:t>
      </w:r>
      <w:r>
        <w:rPr>
          <w:color w:val="231F20"/>
        </w:rPr>
        <w:t>more</w:t>
      </w:r>
      <w:r>
        <w:rPr>
          <w:color w:val="231F20"/>
          <w:spacing w:val="-3"/>
        </w:rPr>
        <w:t xml:space="preserve"> </w:t>
      </w:r>
      <w:r>
        <w:rPr>
          <w:color w:val="231F20"/>
        </w:rPr>
        <w:t>broadly.</w:t>
      </w:r>
      <w:r>
        <w:rPr>
          <w:color w:val="231F20"/>
          <w:spacing w:val="-3"/>
        </w:rPr>
        <w:t xml:space="preserve"> </w:t>
      </w:r>
      <w:r>
        <w:rPr>
          <w:color w:val="231F20"/>
        </w:rPr>
        <w:t>However,</w:t>
      </w:r>
      <w:r>
        <w:rPr>
          <w:color w:val="231F20"/>
          <w:spacing w:val="-3"/>
        </w:rPr>
        <w:t xml:space="preserve"> </w:t>
      </w:r>
      <w:r>
        <w:rPr>
          <w:color w:val="231F20"/>
        </w:rPr>
        <w:t>this</w:t>
      </w:r>
      <w:r>
        <w:rPr>
          <w:color w:val="231F20"/>
          <w:spacing w:val="-3"/>
        </w:rPr>
        <w:t xml:space="preserve"> </w:t>
      </w:r>
      <w:r>
        <w:rPr>
          <w:color w:val="231F20"/>
        </w:rPr>
        <w:t>growth</w:t>
      </w:r>
      <w:r>
        <w:rPr>
          <w:color w:val="231F20"/>
          <w:spacing w:val="-3"/>
        </w:rPr>
        <w:t xml:space="preserve"> </w:t>
      </w:r>
      <w:r>
        <w:rPr>
          <w:color w:val="231F20"/>
        </w:rPr>
        <w:t>is</w:t>
      </w:r>
      <w:r>
        <w:rPr>
          <w:color w:val="231F20"/>
          <w:spacing w:val="-3"/>
        </w:rPr>
        <w:t xml:space="preserve"> </w:t>
      </w:r>
      <w:r>
        <w:rPr>
          <w:color w:val="231F20"/>
        </w:rPr>
        <w:t>unlikely to take the form of a simple linear extension of existing sport tourist participation patterns. W</w:t>
      </w:r>
      <w:r>
        <w:rPr>
          <w:color w:val="231F20"/>
        </w:rPr>
        <w:t>hile tourism will face an assortment of major challenges and opportunities, the complexity of the tourism system and the</w:t>
      </w:r>
      <w:r>
        <w:rPr>
          <w:color w:val="231F20"/>
          <w:spacing w:val="-3"/>
        </w:rPr>
        <w:t xml:space="preserve"> </w:t>
      </w:r>
      <w:r>
        <w:rPr>
          <w:color w:val="231F20"/>
        </w:rPr>
        <w:t>environments</w:t>
      </w:r>
      <w:r>
        <w:rPr>
          <w:color w:val="231F20"/>
          <w:spacing w:val="-3"/>
        </w:rPr>
        <w:t xml:space="preserve"> </w:t>
      </w:r>
      <w:r>
        <w:rPr>
          <w:color w:val="231F20"/>
        </w:rPr>
        <w:t>in</w:t>
      </w:r>
      <w:r>
        <w:rPr>
          <w:color w:val="231F20"/>
          <w:spacing w:val="-3"/>
        </w:rPr>
        <w:t xml:space="preserve"> </w:t>
      </w:r>
      <w:r>
        <w:rPr>
          <w:color w:val="231F20"/>
        </w:rPr>
        <w:t>which</w:t>
      </w:r>
      <w:r>
        <w:rPr>
          <w:color w:val="231F20"/>
          <w:spacing w:val="-3"/>
        </w:rPr>
        <w:t xml:space="preserve"> </w:t>
      </w:r>
      <w:r>
        <w:rPr>
          <w:color w:val="231F20"/>
        </w:rPr>
        <w:t>it</w:t>
      </w:r>
      <w:r>
        <w:rPr>
          <w:color w:val="231F20"/>
          <w:spacing w:val="-3"/>
        </w:rPr>
        <w:t xml:space="preserve"> </w:t>
      </w:r>
      <w:r>
        <w:rPr>
          <w:color w:val="231F20"/>
        </w:rPr>
        <w:t>operates</w:t>
      </w:r>
      <w:r>
        <w:rPr>
          <w:color w:val="231F20"/>
          <w:spacing w:val="-3"/>
        </w:rPr>
        <w:t xml:space="preserve"> </w:t>
      </w:r>
      <w:r>
        <w:rPr>
          <w:color w:val="231F20"/>
        </w:rPr>
        <w:t>ensure</w:t>
      </w:r>
      <w:r>
        <w:rPr>
          <w:color w:val="231F20"/>
          <w:spacing w:val="-3"/>
        </w:rPr>
        <w:t xml:space="preserve"> </w:t>
      </w:r>
      <w:r>
        <w:rPr>
          <w:color w:val="231F20"/>
        </w:rPr>
        <w:t>that</w:t>
      </w:r>
      <w:r>
        <w:rPr>
          <w:color w:val="231F20"/>
          <w:spacing w:val="-3"/>
        </w:rPr>
        <w:t xml:space="preserve"> </w:t>
      </w:r>
      <w:r>
        <w:rPr>
          <w:color w:val="231F20"/>
        </w:rPr>
        <w:t>tourism</w:t>
      </w:r>
      <w:r>
        <w:rPr>
          <w:color w:val="231F20"/>
          <w:spacing w:val="-3"/>
        </w:rPr>
        <w:t xml:space="preserve"> </w:t>
      </w:r>
      <w:r>
        <w:rPr>
          <w:color w:val="231F20"/>
        </w:rPr>
        <w:t xml:space="preserve">development will be anything but linear (Buckley </w:t>
      </w:r>
      <w:r>
        <w:rPr>
          <w:i/>
          <w:color w:val="231F20"/>
        </w:rPr>
        <w:t>et al</w:t>
      </w:r>
      <w:r>
        <w:rPr>
          <w:color w:val="231F20"/>
        </w:rPr>
        <w:t>., 2015) For example, while</w:t>
      </w:r>
      <w:r>
        <w:rPr>
          <w:color w:val="231F20"/>
        </w:rPr>
        <w:t xml:space="preserve"> environmental challenges have been identified as a major constraint to future tourism development, the trend towards an experience-based </w:t>
      </w:r>
      <w:r>
        <w:rPr>
          <w:color w:val="231F20"/>
          <w:w w:val="95"/>
        </w:rPr>
        <w:t xml:space="preserve">economy and activity-oriented travel may mitigate the negative impact of </w:t>
      </w:r>
      <w:r>
        <w:rPr>
          <w:color w:val="231F20"/>
        </w:rPr>
        <w:t xml:space="preserve">the former (Tolkach </w:t>
      </w:r>
      <w:r>
        <w:rPr>
          <w:i/>
          <w:color w:val="231F20"/>
        </w:rPr>
        <w:t>et al</w:t>
      </w:r>
      <w:r>
        <w:rPr>
          <w:color w:val="231F20"/>
        </w:rPr>
        <w:t>., 2016).</w:t>
      </w:r>
    </w:p>
    <w:p w14:paraId="2D58F9D7" w14:textId="77777777" w:rsidR="00AE0598" w:rsidRDefault="0069255A">
      <w:pPr>
        <w:pStyle w:val="Corpodetexto"/>
        <w:spacing w:before="18" w:line="232" w:lineRule="auto"/>
        <w:ind w:left="110" w:right="126" w:firstLine="320"/>
        <w:jc w:val="both"/>
      </w:pPr>
      <w:r>
        <w:rPr>
          <w:color w:val="231F20"/>
        </w:rPr>
        <w:t>As discuss</w:t>
      </w:r>
      <w:r>
        <w:rPr>
          <w:color w:val="231F20"/>
        </w:rPr>
        <w:t xml:space="preserve">ed earlier in this chapter, sport participation has been characterised by a shift from competitive teams sports to individualised and adventure sports (Bourdeau </w:t>
      </w:r>
      <w:r>
        <w:rPr>
          <w:i/>
          <w:color w:val="231F20"/>
        </w:rPr>
        <w:t>et al</w:t>
      </w:r>
      <w:r>
        <w:rPr>
          <w:color w:val="231F20"/>
        </w:rPr>
        <w:t>., 2002; Breivik, 2010; Gilchrist &amp; Wheaton, 2016; Klostermann &amp; Nagel, 2014; Wheaton, 200</w:t>
      </w:r>
      <w:r>
        <w:rPr>
          <w:color w:val="231F20"/>
        </w:rPr>
        <w:t>4). There</w:t>
      </w:r>
      <w:r>
        <w:rPr>
          <w:color w:val="231F20"/>
          <w:spacing w:val="80"/>
        </w:rPr>
        <w:t xml:space="preserve"> </w:t>
      </w:r>
      <w:r>
        <w:rPr>
          <w:color w:val="231F20"/>
        </w:rPr>
        <w:t>are increasing variations within sport (e.g. surfing: short boarding, long boarding,</w:t>
      </w:r>
      <w:r>
        <w:rPr>
          <w:color w:val="231F20"/>
          <w:spacing w:val="-1"/>
        </w:rPr>
        <w:t xml:space="preserve"> </w:t>
      </w:r>
      <w:r>
        <w:rPr>
          <w:color w:val="231F20"/>
        </w:rPr>
        <w:t>paddle</w:t>
      </w:r>
      <w:r>
        <w:rPr>
          <w:color w:val="231F20"/>
          <w:spacing w:val="-1"/>
        </w:rPr>
        <w:t xml:space="preserve"> </w:t>
      </w:r>
      <w:r>
        <w:rPr>
          <w:color w:val="231F20"/>
        </w:rPr>
        <w:t>boarding,</w:t>
      </w:r>
      <w:r>
        <w:rPr>
          <w:color w:val="231F20"/>
          <w:spacing w:val="-1"/>
        </w:rPr>
        <w:t xml:space="preserve"> </w:t>
      </w:r>
      <w:r>
        <w:rPr>
          <w:color w:val="231F20"/>
        </w:rPr>
        <w:t>body</w:t>
      </w:r>
      <w:r>
        <w:rPr>
          <w:color w:val="231F20"/>
          <w:spacing w:val="-1"/>
        </w:rPr>
        <w:t xml:space="preserve"> </w:t>
      </w:r>
      <w:r>
        <w:rPr>
          <w:color w:val="231F20"/>
        </w:rPr>
        <w:t>surfing)</w:t>
      </w:r>
      <w:r>
        <w:rPr>
          <w:color w:val="231F20"/>
          <w:spacing w:val="-1"/>
        </w:rPr>
        <w:t xml:space="preserve"> </w:t>
      </w:r>
      <w:r>
        <w:rPr>
          <w:color w:val="231F20"/>
        </w:rPr>
        <w:t>and</w:t>
      </w:r>
      <w:r>
        <w:rPr>
          <w:color w:val="231F20"/>
          <w:spacing w:val="-1"/>
        </w:rPr>
        <w:t xml:space="preserve"> </w:t>
      </w:r>
      <w:r>
        <w:rPr>
          <w:color w:val="231F20"/>
        </w:rPr>
        <w:t>increasingly</w:t>
      </w:r>
      <w:r>
        <w:rPr>
          <w:color w:val="231F20"/>
          <w:spacing w:val="-1"/>
        </w:rPr>
        <w:t xml:space="preserve"> </w:t>
      </w:r>
      <w:r>
        <w:rPr>
          <w:color w:val="231F20"/>
        </w:rPr>
        <w:t xml:space="preserve">sophisticated </w:t>
      </w:r>
      <w:r>
        <w:rPr>
          <w:color w:val="231F20"/>
          <w:w w:val="95"/>
        </w:rPr>
        <w:t xml:space="preserve">sport careers that include changing travel patterns as one progresses along </w:t>
      </w:r>
      <w:r>
        <w:rPr>
          <w:color w:val="231F20"/>
        </w:rPr>
        <w:t>a sporting career path (Getz &amp; McConnell, 2014). The reasons for these shifts</w:t>
      </w:r>
      <w:r>
        <w:rPr>
          <w:color w:val="231F20"/>
          <w:spacing w:val="-1"/>
        </w:rPr>
        <w:t xml:space="preserve"> </w:t>
      </w:r>
      <w:r>
        <w:rPr>
          <w:color w:val="231F20"/>
        </w:rPr>
        <w:t>are</w:t>
      </w:r>
      <w:r>
        <w:rPr>
          <w:color w:val="231F20"/>
          <w:spacing w:val="-1"/>
        </w:rPr>
        <w:t xml:space="preserve"> </w:t>
      </w:r>
      <w:r>
        <w:rPr>
          <w:color w:val="231F20"/>
        </w:rPr>
        <w:t>to</w:t>
      </w:r>
      <w:r>
        <w:rPr>
          <w:color w:val="231F20"/>
          <w:spacing w:val="-1"/>
        </w:rPr>
        <w:t xml:space="preserve"> </w:t>
      </w:r>
      <w:r>
        <w:rPr>
          <w:color w:val="231F20"/>
        </w:rPr>
        <w:t>a</w:t>
      </w:r>
      <w:r>
        <w:rPr>
          <w:color w:val="231F20"/>
          <w:spacing w:val="-1"/>
        </w:rPr>
        <w:t xml:space="preserve"> </w:t>
      </w:r>
      <w:r>
        <w:rPr>
          <w:color w:val="231F20"/>
        </w:rPr>
        <w:t>large</w:t>
      </w:r>
      <w:r>
        <w:rPr>
          <w:color w:val="231F20"/>
          <w:spacing w:val="-1"/>
        </w:rPr>
        <w:t xml:space="preserve"> </w:t>
      </w:r>
      <w:r>
        <w:rPr>
          <w:color w:val="231F20"/>
        </w:rPr>
        <w:t>extent</w:t>
      </w:r>
      <w:r>
        <w:rPr>
          <w:color w:val="231F20"/>
          <w:spacing w:val="-1"/>
        </w:rPr>
        <w:t xml:space="preserve"> </w:t>
      </w:r>
      <w:r>
        <w:rPr>
          <w:color w:val="231F20"/>
        </w:rPr>
        <w:t>either</w:t>
      </w:r>
      <w:r>
        <w:rPr>
          <w:color w:val="231F20"/>
          <w:spacing w:val="-1"/>
        </w:rPr>
        <w:t xml:space="preserve"> </w:t>
      </w:r>
      <w:r>
        <w:rPr>
          <w:color w:val="231F20"/>
        </w:rPr>
        <w:t>an</w:t>
      </w:r>
      <w:r>
        <w:rPr>
          <w:color w:val="231F20"/>
          <w:spacing w:val="-1"/>
        </w:rPr>
        <w:t xml:space="preserve"> </w:t>
      </w:r>
      <w:r>
        <w:rPr>
          <w:color w:val="231F20"/>
        </w:rPr>
        <w:t>extension</w:t>
      </w:r>
      <w:r>
        <w:rPr>
          <w:color w:val="231F20"/>
          <w:spacing w:val="-1"/>
        </w:rPr>
        <w:t xml:space="preserve"> </w:t>
      </w:r>
      <w:r>
        <w:rPr>
          <w:color w:val="231F20"/>
        </w:rPr>
        <w:t>of</w:t>
      </w:r>
      <w:r>
        <w:rPr>
          <w:color w:val="231F20"/>
          <w:spacing w:val="-1"/>
        </w:rPr>
        <w:t xml:space="preserve"> </w:t>
      </w:r>
      <w:r>
        <w:rPr>
          <w:color w:val="231F20"/>
        </w:rPr>
        <w:t>broader</w:t>
      </w:r>
      <w:r>
        <w:rPr>
          <w:color w:val="231F20"/>
          <w:spacing w:val="-1"/>
        </w:rPr>
        <w:t xml:space="preserve"> </w:t>
      </w:r>
      <w:r>
        <w:rPr>
          <w:color w:val="231F20"/>
        </w:rPr>
        <w:t>societal</w:t>
      </w:r>
      <w:r>
        <w:rPr>
          <w:color w:val="231F20"/>
          <w:spacing w:val="-1"/>
        </w:rPr>
        <w:t xml:space="preserve"> </w:t>
      </w:r>
      <w:r>
        <w:rPr>
          <w:color w:val="231F20"/>
        </w:rPr>
        <w:t xml:space="preserve">trends </w:t>
      </w:r>
      <w:r>
        <w:rPr>
          <w:color w:val="231F20"/>
          <w:w w:val="95"/>
        </w:rPr>
        <w:t xml:space="preserve">(increased mobility, post-modern </w:t>
      </w:r>
      <w:r>
        <w:rPr>
          <w:color w:val="231F20"/>
          <w:w w:val="95"/>
        </w:rPr>
        <w:t>production and consumption practices)</w:t>
      </w:r>
      <w:r>
        <w:rPr>
          <w:color w:val="231F20"/>
          <w:spacing w:val="40"/>
        </w:rPr>
        <w:t xml:space="preserve"> </w:t>
      </w:r>
      <w:r>
        <w:rPr>
          <w:color w:val="231F20"/>
          <w:w w:val="95"/>
        </w:rPr>
        <w:t>or a counter-reaction to them (e.g. embodied experiences and exposure to risk) (Breivik, 2010). New sporting opportunities will continue to emerge</w:t>
      </w:r>
      <w:r>
        <w:rPr>
          <w:color w:val="231F20"/>
          <w:spacing w:val="80"/>
        </w:rPr>
        <w:t xml:space="preserve"> </w:t>
      </w:r>
      <w:r>
        <w:rPr>
          <w:color w:val="231F20"/>
        </w:rPr>
        <w:t>in</w:t>
      </w:r>
      <w:r>
        <w:rPr>
          <w:color w:val="231F20"/>
          <w:spacing w:val="-4"/>
        </w:rPr>
        <w:t xml:space="preserve"> </w:t>
      </w:r>
      <w:r>
        <w:rPr>
          <w:color w:val="231F20"/>
        </w:rPr>
        <w:t>urban</w:t>
      </w:r>
      <w:r>
        <w:rPr>
          <w:color w:val="231F20"/>
          <w:spacing w:val="-4"/>
        </w:rPr>
        <w:t xml:space="preserve"> </w:t>
      </w:r>
      <w:r>
        <w:rPr>
          <w:color w:val="231F20"/>
        </w:rPr>
        <w:t>settings</w:t>
      </w:r>
      <w:r>
        <w:rPr>
          <w:color w:val="231F20"/>
          <w:spacing w:val="-4"/>
        </w:rPr>
        <w:t xml:space="preserve"> </w:t>
      </w:r>
      <w:r>
        <w:rPr>
          <w:color w:val="231F20"/>
        </w:rPr>
        <w:t>based</w:t>
      </w:r>
      <w:r>
        <w:rPr>
          <w:color w:val="231F20"/>
          <w:spacing w:val="-4"/>
        </w:rPr>
        <w:t xml:space="preserve"> </w:t>
      </w:r>
      <w:r>
        <w:rPr>
          <w:color w:val="231F20"/>
        </w:rPr>
        <w:t>on</w:t>
      </w:r>
      <w:r>
        <w:rPr>
          <w:color w:val="231F20"/>
          <w:spacing w:val="-4"/>
        </w:rPr>
        <w:t xml:space="preserve"> </w:t>
      </w:r>
      <w:r>
        <w:rPr>
          <w:color w:val="231F20"/>
        </w:rPr>
        <w:t>demand</w:t>
      </w:r>
      <w:r>
        <w:rPr>
          <w:color w:val="231F20"/>
          <w:spacing w:val="-4"/>
        </w:rPr>
        <w:t xml:space="preserve"> </w:t>
      </w:r>
      <w:r>
        <w:rPr>
          <w:color w:val="231F20"/>
        </w:rPr>
        <w:t>and</w:t>
      </w:r>
      <w:r>
        <w:rPr>
          <w:color w:val="231F20"/>
          <w:spacing w:val="-4"/>
        </w:rPr>
        <w:t xml:space="preserve"> </w:t>
      </w:r>
      <w:r>
        <w:rPr>
          <w:color w:val="231F20"/>
        </w:rPr>
        <w:t>technology,</w:t>
      </w:r>
      <w:r>
        <w:rPr>
          <w:color w:val="231F20"/>
          <w:spacing w:val="-4"/>
        </w:rPr>
        <w:t xml:space="preserve"> </w:t>
      </w:r>
      <w:r>
        <w:rPr>
          <w:color w:val="231F20"/>
        </w:rPr>
        <w:t>but</w:t>
      </w:r>
      <w:r>
        <w:rPr>
          <w:color w:val="231F20"/>
          <w:spacing w:val="-4"/>
        </w:rPr>
        <w:t xml:space="preserve"> </w:t>
      </w:r>
      <w:r>
        <w:rPr>
          <w:color w:val="231F20"/>
        </w:rPr>
        <w:t>peripheral</w:t>
      </w:r>
      <w:r>
        <w:rPr>
          <w:color w:val="231F20"/>
          <w:spacing w:val="-4"/>
        </w:rPr>
        <w:t xml:space="preserve"> </w:t>
      </w:r>
      <w:r>
        <w:rPr>
          <w:color w:val="231F20"/>
        </w:rPr>
        <w:t xml:space="preserve">areas </w:t>
      </w:r>
      <w:r>
        <w:rPr>
          <w:color w:val="231F20"/>
        </w:rPr>
        <w:t>will also grow in stature as sport places of uncertainty and risk. These trends are themselves rooted in the broader context in which sport and tourism exist.</w:t>
      </w:r>
    </w:p>
    <w:p w14:paraId="49756DFE" w14:textId="77777777" w:rsidR="00AE0598" w:rsidRDefault="00AE0598">
      <w:pPr>
        <w:pStyle w:val="Corpodetexto"/>
        <w:spacing w:before="7"/>
        <w:rPr>
          <w:sz w:val="22"/>
        </w:rPr>
      </w:pPr>
    </w:p>
    <w:p w14:paraId="39098EA7" w14:textId="77777777" w:rsidR="00AE0598" w:rsidRDefault="0069255A">
      <w:pPr>
        <w:ind w:left="110"/>
        <w:rPr>
          <w:rFonts w:ascii="Trebuchet MS"/>
          <w:sz w:val="20"/>
        </w:rPr>
      </w:pPr>
      <w:r>
        <w:rPr>
          <w:rFonts w:ascii="Trebuchet MS"/>
          <w:color w:val="231F20"/>
          <w:sz w:val="20"/>
        </w:rPr>
        <w:t>Economic</w:t>
      </w:r>
      <w:r>
        <w:rPr>
          <w:rFonts w:ascii="Trebuchet MS"/>
          <w:color w:val="231F20"/>
          <w:spacing w:val="22"/>
          <w:w w:val="105"/>
          <w:sz w:val="20"/>
        </w:rPr>
        <w:t xml:space="preserve"> </w:t>
      </w:r>
      <w:r>
        <w:rPr>
          <w:rFonts w:ascii="Trebuchet MS"/>
          <w:color w:val="231F20"/>
          <w:spacing w:val="-2"/>
          <w:w w:val="105"/>
          <w:sz w:val="20"/>
        </w:rPr>
        <w:t>trends</w:t>
      </w:r>
    </w:p>
    <w:p w14:paraId="3EB26D4B" w14:textId="77777777" w:rsidR="00AE0598" w:rsidRDefault="0069255A">
      <w:pPr>
        <w:pStyle w:val="Corpodetexto"/>
        <w:spacing w:before="122" w:line="232" w:lineRule="auto"/>
        <w:ind w:left="110" w:right="125" w:firstLine="320"/>
        <w:jc w:val="both"/>
      </w:pPr>
      <w:r>
        <w:rPr>
          <w:color w:val="231F20"/>
          <w:w w:val="95"/>
        </w:rPr>
        <w:t xml:space="preserve">Rising income is the greatest driver of tourism demand and conversely </w:t>
      </w:r>
      <w:r>
        <w:rPr>
          <w:color w:val="231F20"/>
        </w:rPr>
        <w:t xml:space="preserve">falling incomes and decreasing income security in times of economic uncertainty are powerful determinants of changing tourism flows (Dwyer </w:t>
      </w:r>
      <w:r>
        <w:rPr>
          <w:i/>
          <w:color w:val="231F20"/>
        </w:rPr>
        <w:t>et al</w:t>
      </w:r>
      <w:r>
        <w:rPr>
          <w:color w:val="231F20"/>
        </w:rPr>
        <w:t>., 2008). Economic surges and downturns wi</w:t>
      </w:r>
      <w:r>
        <w:rPr>
          <w:color w:val="231F20"/>
        </w:rPr>
        <w:t>ll be reflected</w:t>
      </w:r>
      <w:r>
        <w:rPr>
          <w:color w:val="231F20"/>
          <w:spacing w:val="40"/>
        </w:rPr>
        <w:t xml:space="preserve"> </w:t>
      </w:r>
      <w:r>
        <w:rPr>
          <w:color w:val="231F20"/>
        </w:rPr>
        <w:t>in sport tourism activity. Positive economic factors for tourism include deregulation, increased trade, improved information technology and dynamic</w:t>
      </w:r>
      <w:r>
        <w:rPr>
          <w:color w:val="231F20"/>
          <w:spacing w:val="-12"/>
        </w:rPr>
        <w:t xml:space="preserve"> </w:t>
      </w:r>
      <w:r>
        <w:rPr>
          <w:color w:val="231F20"/>
        </w:rPr>
        <w:t>private</w:t>
      </w:r>
      <w:r>
        <w:rPr>
          <w:color w:val="231F20"/>
          <w:spacing w:val="-12"/>
        </w:rPr>
        <w:t xml:space="preserve"> </w:t>
      </w:r>
      <w:r>
        <w:rPr>
          <w:color w:val="231F20"/>
        </w:rPr>
        <w:t>sectors,</w:t>
      </w:r>
      <w:r>
        <w:rPr>
          <w:color w:val="231F20"/>
          <w:spacing w:val="-11"/>
        </w:rPr>
        <w:t xml:space="preserve"> </w:t>
      </w:r>
      <w:r>
        <w:rPr>
          <w:color w:val="231F20"/>
        </w:rPr>
        <w:t>while</w:t>
      </w:r>
      <w:r>
        <w:rPr>
          <w:color w:val="231F20"/>
          <w:spacing w:val="-12"/>
        </w:rPr>
        <w:t xml:space="preserve"> </w:t>
      </w:r>
      <w:r>
        <w:rPr>
          <w:color w:val="231F20"/>
        </w:rPr>
        <w:t>negative</w:t>
      </w:r>
      <w:r>
        <w:rPr>
          <w:color w:val="231F20"/>
          <w:spacing w:val="-11"/>
        </w:rPr>
        <w:t xml:space="preserve"> </w:t>
      </w:r>
      <w:r>
        <w:rPr>
          <w:color w:val="231F20"/>
        </w:rPr>
        <w:t>factors</w:t>
      </w:r>
      <w:r>
        <w:rPr>
          <w:color w:val="231F20"/>
          <w:spacing w:val="-12"/>
        </w:rPr>
        <w:t xml:space="preserve"> </w:t>
      </w:r>
      <w:r>
        <w:rPr>
          <w:color w:val="231F20"/>
        </w:rPr>
        <w:t>include</w:t>
      </w:r>
      <w:r>
        <w:rPr>
          <w:color w:val="231F20"/>
          <w:spacing w:val="-11"/>
        </w:rPr>
        <w:t xml:space="preserve"> </w:t>
      </w:r>
      <w:r>
        <w:rPr>
          <w:color w:val="231F20"/>
        </w:rPr>
        <w:t>cyclical</w:t>
      </w:r>
      <w:r>
        <w:rPr>
          <w:color w:val="231F20"/>
          <w:spacing w:val="-12"/>
        </w:rPr>
        <w:t xml:space="preserve"> </w:t>
      </w:r>
      <w:r>
        <w:rPr>
          <w:color w:val="231F20"/>
        </w:rPr>
        <w:t xml:space="preserve">economic </w:t>
      </w:r>
      <w:r>
        <w:rPr>
          <w:color w:val="231F20"/>
          <w:w w:val="95"/>
        </w:rPr>
        <w:t>downturns, protectionist t</w:t>
      </w:r>
      <w:r>
        <w:rPr>
          <w:color w:val="231F20"/>
          <w:w w:val="95"/>
        </w:rPr>
        <w:t xml:space="preserve">rading practices and large disparities in growth </w:t>
      </w:r>
      <w:r>
        <w:rPr>
          <w:color w:val="231F20"/>
        </w:rPr>
        <w:t>and</w:t>
      </w:r>
      <w:r>
        <w:rPr>
          <w:color w:val="231F20"/>
          <w:spacing w:val="-2"/>
        </w:rPr>
        <w:t xml:space="preserve"> </w:t>
      </w:r>
      <w:r>
        <w:rPr>
          <w:color w:val="231F20"/>
        </w:rPr>
        <w:t>development</w:t>
      </w:r>
      <w:r>
        <w:rPr>
          <w:color w:val="231F20"/>
          <w:spacing w:val="-2"/>
        </w:rPr>
        <w:t xml:space="preserve"> </w:t>
      </w:r>
      <w:r>
        <w:rPr>
          <w:color w:val="231F20"/>
        </w:rPr>
        <w:t>between</w:t>
      </w:r>
      <w:r>
        <w:rPr>
          <w:color w:val="231F20"/>
          <w:spacing w:val="-2"/>
        </w:rPr>
        <w:t xml:space="preserve"> </w:t>
      </w:r>
      <w:r>
        <w:rPr>
          <w:color w:val="231F20"/>
        </w:rPr>
        <w:t>countries</w:t>
      </w:r>
      <w:r>
        <w:rPr>
          <w:color w:val="231F20"/>
          <w:spacing w:val="-2"/>
        </w:rPr>
        <w:t xml:space="preserve"> </w:t>
      </w:r>
      <w:r>
        <w:rPr>
          <w:color w:val="231F20"/>
        </w:rPr>
        <w:t>and</w:t>
      </w:r>
      <w:r>
        <w:rPr>
          <w:color w:val="231F20"/>
          <w:spacing w:val="-2"/>
        </w:rPr>
        <w:t xml:space="preserve"> </w:t>
      </w:r>
      <w:r>
        <w:rPr>
          <w:color w:val="231F20"/>
        </w:rPr>
        <w:t>regions.</w:t>
      </w:r>
    </w:p>
    <w:p w14:paraId="5E179ACE" w14:textId="77777777" w:rsidR="00AE0598" w:rsidRDefault="00AE0598">
      <w:pPr>
        <w:spacing w:line="232" w:lineRule="auto"/>
        <w:jc w:val="both"/>
        <w:sectPr w:rsidR="00AE0598">
          <w:pgSz w:w="8850" w:h="13270"/>
          <w:pgMar w:top="720" w:right="1060" w:bottom="280" w:left="1080" w:header="720" w:footer="720" w:gutter="0"/>
          <w:cols w:space="720"/>
        </w:sectPr>
      </w:pPr>
    </w:p>
    <w:p w14:paraId="4A9AB264" w14:textId="77777777" w:rsidR="00AE0598" w:rsidRDefault="0069255A">
      <w:pPr>
        <w:spacing w:before="87"/>
        <w:ind w:left="108"/>
        <w:rPr>
          <w:rFonts w:ascii="Trebuchet MS"/>
          <w:sz w:val="14"/>
        </w:rPr>
      </w:pPr>
      <w:r>
        <w:rPr>
          <w:rFonts w:ascii="Trebuchet MS"/>
          <w:color w:val="231F20"/>
          <w:w w:val="105"/>
          <w:sz w:val="14"/>
        </w:rPr>
        <w:lastRenderedPageBreak/>
        <w:t>214</w:t>
      </w:r>
      <w:r>
        <w:rPr>
          <w:rFonts w:ascii="Trebuchet MS"/>
          <w:color w:val="231F20"/>
          <w:spacing w:val="66"/>
          <w:w w:val="150"/>
          <w:sz w:val="14"/>
        </w:rPr>
        <w:t xml:space="preserve"> </w:t>
      </w:r>
      <w:r>
        <w:rPr>
          <w:rFonts w:ascii="Trebuchet MS"/>
          <w:color w:val="231F20"/>
          <w:w w:val="105"/>
          <w:sz w:val="14"/>
        </w:rPr>
        <w:t>Part</w:t>
      </w:r>
      <w:r>
        <w:rPr>
          <w:rFonts w:ascii="Trebuchet MS"/>
          <w:color w:val="231F20"/>
          <w:spacing w:val="-9"/>
          <w:w w:val="105"/>
          <w:sz w:val="14"/>
        </w:rPr>
        <w:t xml:space="preserve"> </w:t>
      </w:r>
      <w:r>
        <w:rPr>
          <w:rFonts w:ascii="Trebuchet MS"/>
          <w:color w:val="231F20"/>
          <w:w w:val="105"/>
          <w:sz w:val="14"/>
        </w:rPr>
        <w:t>4:</w:t>
      </w:r>
      <w:r>
        <w:rPr>
          <w:rFonts w:ascii="Trebuchet MS"/>
          <w:color w:val="231F20"/>
          <w:spacing w:val="-8"/>
          <w:w w:val="105"/>
          <w:sz w:val="14"/>
        </w:rPr>
        <w:t xml:space="preserve"> </w:t>
      </w:r>
      <w:r>
        <w:rPr>
          <w:rFonts w:ascii="Trebuchet MS"/>
          <w:color w:val="231F20"/>
          <w:w w:val="105"/>
          <w:sz w:val="14"/>
        </w:rPr>
        <w:t>Sport</w:t>
      </w:r>
      <w:r>
        <w:rPr>
          <w:rFonts w:ascii="Trebuchet MS"/>
          <w:color w:val="231F20"/>
          <w:spacing w:val="-9"/>
          <w:w w:val="105"/>
          <w:sz w:val="14"/>
        </w:rPr>
        <w:t xml:space="preserve"> </w:t>
      </w:r>
      <w:r>
        <w:rPr>
          <w:rFonts w:ascii="Trebuchet MS"/>
          <w:color w:val="231F20"/>
          <w:w w:val="105"/>
          <w:sz w:val="14"/>
        </w:rPr>
        <w:t>Tourism</w:t>
      </w:r>
      <w:r>
        <w:rPr>
          <w:rFonts w:ascii="Trebuchet MS"/>
          <w:color w:val="231F20"/>
          <w:spacing w:val="-9"/>
          <w:w w:val="105"/>
          <w:sz w:val="14"/>
        </w:rPr>
        <w:t xml:space="preserve"> </w:t>
      </w:r>
      <w:r>
        <w:rPr>
          <w:rFonts w:ascii="Trebuchet MS"/>
          <w:color w:val="231F20"/>
          <w:w w:val="105"/>
          <w:sz w:val="14"/>
        </w:rPr>
        <w:t>Development</w:t>
      </w:r>
      <w:r>
        <w:rPr>
          <w:rFonts w:ascii="Trebuchet MS"/>
          <w:color w:val="231F20"/>
          <w:spacing w:val="-9"/>
          <w:w w:val="105"/>
          <w:sz w:val="14"/>
        </w:rPr>
        <w:t xml:space="preserve"> </w:t>
      </w:r>
      <w:r>
        <w:rPr>
          <w:rFonts w:ascii="Trebuchet MS"/>
          <w:color w:val="231F20"/>
          <w:w w:val="105"/>
          <w:sz w:val="14"/>
        </w:rPr>
        <w:t>and</w:t>
      </w:r>
      <w:r>
        <w:rPr>
          <w:rFonts w:ascii="Trebuchet MS"/>
          <w:color w:val="231F20"/>
          <w:spacing w:val="-8"/>
          <w:w w:val="105"/>
          <w:sz w:val="14"/>
        </w:rPr>
        <w:t xml:space="preserve"> </w:t>
      </w:r>
      <w:r>
        <w:rPr>
          <w:rFonts w:ascii="Trebuchet MS"/>
          <w:color w:val="231F20"/>
          <w:spacing w:val="-4"/>
          <w:w w:val="105"/>
          <w:sz w:val="14"/>
        </w:rPr>
        <w:t>Time</w:t>
      </w:r>
    </w:p>
    <w:p w14:paraId="2BBA9333" w14:textId="77777777" w:rsidR="00AE0598" w:rsidRDefault="00AE0598">
      <w:pPr>
        <w:pStyle w:val="Corpodetexto"/>
        <w:rPr>
          <w:rFonts w:ascii="Trebuchet MS"/>
          <w:sz w:val="16"/>
        </w:rPr>
      </w:pPr>
    </w:p>
    <w:p w14:paraId="2FADE272" w14:textId="77777777" w:rsidR="00AE0598" w:rsidRDefault="0069255A">
      <w:pPr>
        <w:pStyle w:val="Corpodetexto"/>
        <w:spacing w:before="118" w:line="232" w:lineRule="auto"/>
        <w:ind w:left="110" w:right="127" w:firstLine="320"/>
        <w:jc w:val="both"/>
      </w:pPr>
      <w:r>
        <w:rPr>
          <w:color w:val="231F20"/>
        </w:rPr>
        <w:t xml:space="preserve">Globalisation is perhaps the most dominant economic trend that has emerged from the latter part of the 20th century (Chapter 4; Higham &amp; </w:t>
      </w:r>
      <w:r>
        <w:rPr>
          <w:color w:val="231F20"/>
          <w:w w:val="95"/>
        </w:rPr>
        <w:t xml:space="preserve">Hinch, 2009). It has exerted increased pressure for the commodification of </w:t>
      </w:r>
      <w:r>
        <w:rPr>
          <w:color w:val="231F20"/>
        </w:rPr>
        <w:t>sport</w:t>
      </w:r>
      <w:r>
        <w:rPr>
          <w:color w:val="231F20"/>
          <w:spacing w:val="-5"/>
        </w:rPr>
        <w:t xml:space="preserve"> </w:t>
      </w:r>
      <w:r>
        <w:rPr>
          <w:color w:val="231F20"/>
        </w:rPr>
        <w:t>and</w:t>
      </w:r>
      <w:r>
        <w:rPr>
          <w:color w:val="231F20"/>
          <w:spacing w:val="-5"/>
        </w:rPr>
        <w:t xml:space="preserve"> </w:t>
      </w:r>
      <w:r>
        <w:rPr>
          <w:color w:val="231F20"/>
        </w:rPr>
        <w:t>tourism.</w:t>
      </w:r>
      <w:r>
        <w:rPr>
          <w:color w:val="231F20"/>
          <w:spacing w:val="-5"/>
        </w:rPr>
        <w:t xml:space="preserve"> </w:t>
      </w:r>
      <w:r>
        <w:rPr>
          <w:color w:val="231F20"/>
        </w:rPr>
        <w:t>Of particular</w:t>
      </w:r>
      <w:r>
        <w:rPr>
          <w:color w:val="231F20"/>
          <w:spacing w:val="-5"/>
        </w:rPr>
        <w:t xml:space="preserve"> </w:t>
      </w:r>
      <w:r>
        <w:rPr>
          <w:color w:val="231F20"/>
        </w:rPr>
        <w:t>significanc</w:t>
      </w:r>
      <w:r>
        <w:rPr>
          <w:color w:val="231F20"/>
        </w:rPr>
        <w:t>e</w:t>
      </w:r>
      <w:r>
        <w:rPr>
          <w:color w:val="231F20"/>
          <w:spacing w:val="-5"/>
        </w:rPr>
        <w:t xml:space="preserve"> </w:t>
      </w:r>
      <w:r>
        <w:rPr>
          <w:color w:val="231F20"/>
        </w:rPr>
        <w:t>is</w:t>
      </w:r>
      <w:r>
        <w:rPr>
          <w:color w:val="231F20"/>
          <w:spacing w:val="-5"/>
        </w:rPr>
        <w:t xml:space="preserve"> </w:t>
      </w:r>
      <w:r>
        <w:rPr>
          <w:color w:val="231F20"/>
        </w:rPr>
        <w:t>the</w:t>
      </w:r>
      <w:r>
        <w:rPr>
          <w:color w:val="231F20"/>
          <w:spacing w:val="-5"/>
        </w:rPr>
        <w:t xml:space="preserve"> </w:t>
      </w:r>
      <w:r>
        <w:rPr>
          <w:color w:val="231F20"/>
        </w:rPr>
        <w:t>tendency</w:t>
      </w:r>
      <w:r>
        <w:rPr>
          <w:color w:val="231F20"/>
          <w:spacing w:val="-5"/>
        </w:rPr>
        <w:t xml:space="preserve"> </w:t>
      </w:r>
      <w:r>
        <w:rPr>
          <w:color w:val="231F20"/>
        </w:rPr>
        <w:t>towards</w:t>
      </w:r>
      <w:r>
        <w:rPr>
          <w:color w:val="231F20"/>
          <w:spacing w:val="-5"/>
        </w:rPr>
        <w:t xml:space="preserve"> </w:t>
      </w:r>
      <w:r>
        <w:rPr>
          <w:color w:val="231F20"/>
        </w:rPr>
        <w:t xml:space="preserve">the </w:t>
      </w:r>
      <w:r>
        <w:rPr>
          <w:color w:val="231F20"/>
          <w:w w:val="95"/>
        </w:rPr>
        <w:t xml:space="preserve">convergence of tourism, leisure, sport and entertainment. This is especially </w:t>
      </w:r>
      <w:r>
        <w:rPr>
          <w:color w:val="231F20"/>
          <w:spacing w:val="-2"/>
        </w:rPr>
        <w:t>true</w:t>
      </w:r>
      <w:r>
        <w:rPr>
          <w:color w:val="231F20"/>
          <w:spacing w:val="-9"/>
        </w:rPr>
        <w:t xml:space="preserve"> </w:t>
      </w:r>
      <w:r>
        <w:rPr>
          <w:color w:val="231F20"/>
          <w:spacing w:val="-2"/>
        </w:rPr>
        <w:t>of</w:t>
      </w:r>
      <w:r>
        <w:rPr>
          <w:color w:val="231F20"/>
        </w:rPr>
        <w:t xml:space="preserve"> </w:t>
      </w:r>
      <w:r>
        <w:rPr>
          <w:color w:val="231F20"/>
          <w:spacing w:val="-2"/>
        </w:rPr>
        <w:t>elite</w:t>
      </w:r>
      <w:r>
        <w:rPr>
          <w:color w:val="231F20"/>
          <w:spacing w:val="-9"/>
        </w:rPr>
        <w:t xml:space="preserve"> </w:t>
      </w:r>
      <w:r>
        <w:rPr>
          <w:color w:val="231F20"/>
          <w:spacing w:val="-2"/>
        </w:rPr>
        <w:t>organised</w:t>
      </w:r>
      <w:r>
        <w:rPr>
          <w:color w:val="231F20"/>
          <w:spacing w:val="-9"/>
        </w:rPr>
        <w:t xml:space="preserve"> </w:t>
      </w:r>
      <w:r>
        <w:rPr>
          <w:color w:val="231F20"/>
          <w:spacing w:val="-2"/>
        </w:rPr>
        <w:t>sport</w:t>
      </w:r>
      <w:r>
        <w:rPr>
          <w:color w:val="231F20"/>
          <w:spacing w:val="-9"/>
        </w:rPr>
        <w:t xml:space="preserve"> </w:t>
      </w:r>
      <w:r>
        <w:rPr>
          <w:color w:val="231F20"/>
          <w:spacing w:val="-2"/>
        </w:rPr>
        <w:t>where</w:t>
      </w:r>
      <w:r>
        <w:rPr>
          <w:color w:val="231F20"/>
          <w:spacing w:val="-9"/>
        </w:rPr>
        <w:t xml:space="preserve"> </w:t>
      </w:r>
      <w:r>
        <w:rPr>
          <w:color w:val="231F20"/>
          <w:spacing w:val="-2"/>
        </w:rPr>
        <w:t>the</w:t>
      </w:r>
      <w:r>
        <w:rPr>
          <w:color w:val="231F20"/>
          <w:spacing w:val="-9"/>
        </w:rPr>
        <w:t xml:space="preserve"> </w:t>
      </w:r>
      <w:r>
        <w:rPr>
          <w:color w:val="231F20"/>
          <w:spacing w:val="-2"/>
        </w:rPr>
        <w:t>trend</w:t>
      </w:r>
      <w:r>
        <w:rPr>
          <w:color w:val="231F20"/>
          <w:spacing w:val="-9"/>
        </w:rPr>
        <w:t xml:space="preserve"> </w:t>
      </w:r>
      <w:r>
        <w:rPr>
          <w:color w:val="231F20"/>
          <w:spacing w:val="-2"/>
        </w:rPr>
        <w:t>towards</w:t>
      </w:r>
      <w:r>
        <w:rPr>
          <w:color w:val="231F20"/>
          <w:spacing w:val="-9"/>
        </w:rPr>
        <w:t xml:space="preserve"> </w:t>
      </w:r>
      <w:r>
        <w:rPr>
          <w:color w:val="231F20"/>
          <w:spacing w:val="-2"/>
        </w:rPr>
        <w:t>professionalism</w:t>
      </w:r>
      <w:r>
        <w:rPr>
          <w:color w:val="231F20"/>
          <w:spacing w:val="-9"/>
        </w:rPr>
        <w:t xml:space="preserve"> </w:t>
      </w:r>
      <w:r>
        <w:rPr>
          <w:color w:val="231F20"/>
          <w:spacing w:val="-2"/>
        </w:rPr>
        <w:t xml:space="preserve">and </w:t>
      </w:r>
      <w:r>
        <w:rPr>
          <w:color w:val="231F20"/>
          <w:w w:val="95"/>
        </w:rPr>
        <w:t>‘show</w:t>
      </w:r>
      <w:r>
        <w:rPr>
          <w:color w:val="231F20"/>
          <w:spacing w:val="-5"/>
          <w:w w:val="95"/>
        </w:rPr>
        <w:t xml:space="preserve"> </w:t>
      </w:r>
      <w:r>
        <w:rPr>
          <w:color w:val="231F20"/>
          <w:w w:val="95"/>
        </w:rPr>
        <w:t>business’</w:t>
      </w:r>
      <w:r>
        <w:rPr>
          <w:color w:val="231F20"/>
          <w:spacing w:val="-5"/>
          <w:w w:val="95"/>
        </w:rPr>
        <w:t xml:space="preserve"> </w:t>
      </w:r>
      <w:r>
        <w:rPr>
          <w:color w:val="231F20"/>
          <w:w w:val="95"/>
        </w:rPr>
        <w:t>is</w:t>
      </w:r>
      <w:r>
        <w:rPr>
          <w:color w:val="231F20"/>
          <w:spacing w:val="-5"/>
          <w:w w:val="95"/>
        </w:rPr>
        <w:t xml:space="preserve"> </w:t>
      </w:r>
      <w:r>
        <w:rPr>
          <w:color w:val="231F20"/>
          <w:w w:val="95"/>
        </w:rPr>
        <w:t>evident</w:t>
      </w:r>
      <w:r>
        <w:rPr>
          <w:color w:val="231F20"/>
          <w:spacing w:val="-5"/>
          <w:w w:val="95"/>
        </w:rPr>
        <w:t xml:space="preserve"> </w:t>
      </w:r>
      <w:r>
        <w:rPr>
          <w:color w:val="231F20"/>
          <w:w w:val="95"/>
        </w:rPr>
        <w:t>(de</w:t>
      </w:r>
      <w:r>
        <w:rPr>
          <w:color w:val="231F20"/>
          <w:spacing w:val="-5"/>
          <w:w w:val="95"/>
        </w:rPr>
        <w:t xml:space="preserve"> </w:t>
      </w:r>
      <w:r>
        <w:rPr>
          <w:color w:val="231F20"/>
          <w:w w:val="95"/>
        </w:rPr>
        <w:t>Villers,</w:t>
      </w:r>
      <w:r>
        <w:rPr>
          <w:color w:val="231F20"/>
          <w:spacing w:val="-5"/>
          <w:w w:val="95"/>
        </w:rPr>
        <w:t xml:space="preserve"> </w:t>
      </w:r>
      <w:r>
        <w:rPr>
          <w:color w:val="231F20"/>
          <w:w w:val="95"/>
        </w:rPr>
        <w:t>2001;</w:t>
      </w:r>
      <w:r>
        <w:rPr>
          <w:color w:val="231F20"/>
          <w:spacing w:val="-5"/>
          <w:w w:val="95"/>
        </w:rPr>
        <w:t xml:space="preserve"> </w:t>
      </w:r>
      <w:r>
        <w:rPr>
          <w:color w:val="231F20"/>
          <w:w w:val="95"/>
        </w:rPr>
        <w:t>Keller,</w:t>
      </w:r>
      <w:r>
        <w:rPr>
          <w:color w:val="231F20"/>
          <w:spacing w:val="-5"/>
          <w:w w:val="95"/>
        </w:rPr>
        <w:t xml:space="preserve"> </w:t>
      </w:r>
      <w:r>
        <w:rPr>
          <w:color w:val="231F20"/>
          <w:w w:val="95"/>
        </w:rPr>
        <w:t>2001).</w:t>
      </w:r>
      <w:r>
        <w:rPr>
          <w:color w:val="231F20"/>
          <w:spacing w:val="-5"/>
          <w:w w:val="95"/>
        </w:rPr>
        <w:t xml:space="preserve"> </w:t>
      </w:r>
      <w:r>
        <w:rPr>
          <w:color w:val="231F20"/>
          <w:w w:val="95"/>
        </w:rPr>
        <w:t>Another</w:t>
      </w:r>
      <w:r>
        <w:rPr>
          <w:color w:val="231F20"/>
          <w:spacing w:val="-5"/>
          <w:w w:val="95"/>
        </w:rPr>
        <w:t xml:space="preserve"> </w:t>
      </w:r>
      <w:r>
        <w:rPr>
          <w:color w:val="231F20"/>
          <w:w w:val="95"/>
        </w:rPr>
        <w:t>impact</w:t>
      </w:r>
      <w:r>
        <w:rPr>
          <w:color w:val="231F20"/>
          <w:spacing w:val="-5"/>
          <w:w w:val="95"/>
        </w:rPr>
        <w:t xml:space="preserve"> </w:t>
      </w:r>
      <w:r>
        <w:rPr>
          <w:color w:val="231F20"/>
          <w:w w:val="95"/>
        </w:rPr>
        <w:t>of globalisation</w:t>
      </w:r>
      <w:r>
        <w:rPr>
          <w:color w:val="231F20"/>
          <w:spacing w:val="-4"/>
          <w:w w:val="95"/>
        </w:rPr>
        <w:t xml:space="preserve"> </w:t>
      </w:r>
      <w:r>
        <w:rPr>
          <w:color w:val="231F20"/>
          <w:w w:val="95"/>
        </w:rPr>
        <w:t>has</w:t>
      </w:r>
      <w:r>
        <w:rPr>
          <w:color w:val="231F20"/>
          <w:spacing w:val="-4"/>
          <w:w w:val="95"/>
        </w:rPr>
        <w:t xml:space="preserve"> </w:t>
      </w:r>
      <w:r>
        <w:rPr>
          <w:color w:val="231F20"/>
          <w:w w:val="95"/>
        </w:rPr>
        <w:t>been</w:t>
      </w:r>
      <w:r>
        <w:rPr>
          <w:color w:val="231F20"/>
          <w:spacing w:val="-4"/>
          <w:w w:val="95"/>
        </w:rPr>
        <w:t xml:space="preserve"> </w:t>
      </w:r>
      <w:r>
        <w:rPr>
          <w:color w:val="231F20"/>
          <w:w w:val="95"/>
        </w:rPr>
        <w:t>the</w:t>
      </w:r>
      <w:r>
        <w:rPr>
          <w:color w:val="231F20"/>
          <w:spacing w:val="-4"/>
          <w:w w:val="95"/>
        </w:rPr>
        <w:t xml:space="preserve"> </w:t>
      </w:r>
      <w:r>
        <w:rPr>
          <w:color w:val="231F20"/>
          <w:w w:val="95"/>
        </w:rPr>
        <w:t>emergence</w:t>
      </w:r>
      <w:r>
        <w:rPr>
          <w:color w:val="231F20"/>
          <w:spacing w:val="-4"/>
          <w:w w:val="95"/>
        </w:rPr>
        <w:t xml:space="preserve"> </w:t>
      </w:r>
      <w:r>
        <w:rPr>
          <w:color w:val="231F20"/>
          <w:w w:val="95"/>
        </w:rPr>
        <w:t>of</w:t>
      </w:r>
      <w:r>
        <w:rPr>
          <w:color w:val="231F20"/>
        </w:rPr>
        <w:t xml:space="preserve"> </w:t>
      </w:r>
      <w:r>
        <w:rPr>
          <w:color w:val="231F20"/>
          <w:w w:val="95"/>
        </w:rPr>
        <w:t>the</w:t>
      </w:r>
      <w:r>
        <w:rPr>
          <w:color w:val="231F20"/>
          <w:spacing w:val="-4"/>
          <w:w w:val="95"/>
        </w:rPr>
        <w:t xml:space="preserve"> </w:t>
      </w:r>
      <w:r>
        <w:rPr>
          <w:color w:val="231F20"/>
          <w:w w:val="95"/>
        </w:rPr>
        <w:t>experience</w:t>
      </w:r>
      <w:r>
        <w:rPr>
          <w:color w:val="231F20"/>
          <w:spacing w:val="-4"/>
          <w:w w:val="95"/>
        </w:rPr>
        <w:t xml:space="preserve"> </w:t>
      </w:r>
      <w:r>
        <w:rPr>
          <w:color w:val="231F20"/>
          <w:w w:val="95"/>
        </w:rPr>
        <w:t>economy,</w:t>
      </w:r>
      <w:r>
        <w:rPr>
          <w:color w:val="231F20"/>
          <w:spacing w:val="-4"/>
          <w:w w:val="95"/>
        </w:rPr>
        <w:t xml:space="preserve"> </w:t>
      </w:r>
      <w:r>
        <w:rPr>
          <w:color w:val="231F20"/>
          <w:w w:val="95"/>
        </w:rPr>
        <w:t>which</w:t>
      </w:r>
      <w:r>
        <w:rPr>
          <w:color w:val="231F20"/>
          <w:spacing w:val="-4"/>
          <w:w w:val="95"/>
        </w:rPr>
        <w:t xml:space="preserve"> </w:t>
      </w:r>
      <w:r>
        <w:rPr>
          <w:color w:val="231F20"/>
          <w:w w:val="95"/>
        </w:rPr>
        <w:t xml:space="preserve">has </w:t>
      </w:r>
      <w:r>
        <w:rPr>
          <w:color w:val="231F20"/>
          <w:spacing w:val="-2"/>
        </w:rPr>
        <w:t>resulted</w:t>
      </w:r>
      <w:r>
        <w:rPr>
          <w:color w:val="231F20"/>
          <w:spacing w:val="-8"/>
        </w:rPr>
        <w:t xml:space="preserve"> </w:t>
      </w:r>
      <w:r>
        <w:rPr>
          <w:color w:val="231F20"/>
          <w:spacing w:val="-2"/>
        </w:rPr>
        <w:t>in</w:t>
      </w:r>
      <w:r>
        <w:rPr>
          <w:color w:val="231F20"/>
          <w:spacing w:val="-8"/>
        </w:rPr>
        <w:t xml:space="preserve"> </w:t>
      </w:r>
      <w:r>
        <w:rPr>
          <w:color w:val="231F20"/>
          <w:spacing w:val="-2"/>
        </w:rPr>
        <w:t>a</w:t>
      </w:r>
      <w:r>
        <w:rPr>
          <w:color w:val="231F20"/>
          <w:spacing w:val="-8"/>
        </w:rPr>
        <w:t xml:space="preserve"> </w:t>
      </w:r>
      <w:r>
        <w:rPr>
          <w:color w:val="231F20"/>
          <w:spacing w:val="-2"/>
        </w:rPr>
        <w:t>search</w:t>
      </w:r>
      <w:r>
        <w:rPr>
          <w:color w:val="231F20"/>
          <w:spacing w:val="-8"/>
        </w:rPr>
        <w:t xml:space="preserve"> </w:t>
      </w:r>
      <w:r>
        <w:rPr>
          <w:color w:val="231F20"/>
          <w:spacing w:val="-2"/>
        </w:rPr>
        <w:t>for</w:t>
      </w:r>
      <w:r>
        <w:rPr>
          <w:color w:val="231F20"/>
          <w:spacing w:val="-8"/>
        </w:rPr>
        <w:t xml:space="preserve"> </w:t>
      </w:r>
      <w:r>
        <w:rPr>
          <w:color w:val="231F20"/>
          <w:spacing w:val="-2"/>
        </w:rPr>
        <w:t>active</w:t>
      </w:r>
      <w:r>
        <w:rPr>
          <w:color w:val="231F20"/>
          <w:spacing w:val="-8"/>
        </w:rPr>
        <w:t xml:space="preserve"> </w:t>
      </w:r>
      <w:r>
        <w:rPr>
          <w:color w:val="231F20"/>
          <w:spacing w:val="-2"/>
        </w:rPr>
        <w:t>experiences</w:t>
      </w:r>
      <w:r>
        <w:rPr>
          <w:color w:val="231F20"/>
          <w:spacing w:val="-8"/>
        </w:rPr>
        <w:t xml:space="preserve"> </w:t>
      </w:r>
      <w:r>
        <w:rPr>
          <w:color w:val="231F20"/>
          <w:spacing w:val="-2"/>
        </w:rPr>
        <w:t>in</w:t>
      </w:r>
      <w:r>
        <w:rPr>
          <w:color w:val="231F20"/>
          <w:spacing w:val="-8"/>
        </w:rPr>
        <w:t xml:space="preserve"> </w:t>
      </w:r>
      <w:r>
        <w:rPr>
          <w:color w:val="231F20"/>
          <w:spacing w:val="-2"/>
        </w:rPr>
        <w:t>a</w:t>
      </w:r>
      <w:r>
        <w:rPr>
          <w:color w:val="231F20"/>
          <w:spacing w:val="-8"/>
        </w:rPr>
        <w:t xml:space="preserve"> </w:t>
      </w:r>
      <w:r>
        <w:rPr>
          <w:color w:val="231F20"/>
          <w:spacing w:val="-2"/>
        </w:rPr>
        <w:t>tourism</w:t>
      </w:r>
      <w:r>
        <w:rPr>
          <w:color w:val="231F20"/>
          <w:spacing w:val="-8"/>
        </w:rPr>
        <w:t xml:space="preserve"> </w:t>
      </w:r>
      <w:r>
        <w:rPr>
          <w:color w:val="231F20"/>
          <w:spacing w:val="-2"/>
        </w:rPr>
        <w:t>context</w:t>
      </w:r>
      <w:r>
        <w:rPr>
          <w:color w:val="231F20"/>
          <w:spacing w:val="-8"/>
        </w:rPr>
        <w:t xml:space="preserve"> </w:t>
      </w:r>
      <w:r>
        <w:rPr>
          <w:color w:val="231F20"/>
          <w:spacing w:val="-2"/>
        </w:rPr>
        <w:t>(Tolkach</w:t>
      </w:r>
      <w:r>
        <w:rPr>
          <w:color w:val="231F20"/>
          <w:spacing w:val="-8"/>
        </w:rPr>
        <w:t xml:space="preserve"> </w:t>
      </w:r>
      <w:r>
        <w:rPr>
          <w:i/>
          <w:color w:val="231F20"/>
          <w:spacing w:val="-2"/>
        </w:rPr>
        <w:t xml:space="preserve">et </w:t>
      </w:r>
      <w:r>
        <w:rPr>
          <w:i/>
          <w:color w:val="231F20"/>
          <w:w w:val="95"/>
        </w:rPr>
        <w:t>al</w:t>
      </w:r>
      <w:r>
        <w:rPr>
          <w:color w:val="231F20"/>
          <w:w w:val="95"/>
        </w:rPr>
        <w:t>., 2016). The growth of</w:t>
      </w:r>
      <w:r>
        <w:rPr>
          <w:color w:val="231F20"/>
          <w:w w:val="95"/>
        </w:rPr>
        <w:t xml:space="preserve"> active sport tourism reflects these trends, as does the</w:t>
      </w:r>
      <w:r>
        <w:rPr>
          <w:color w:val="231F20"/>
          <w:spacing w:val="-9"/>
          <w:w w:val="95"/>
        </w:rPr>
        <w:t xml:space="preserve"> </w:t>
      </w:r>
      <w:r>
        <w:rPr>
          <w:color w:val="231F20"/>
          <w:w w:val="95"/>
        </w:rPr>
        <w:t>development</w:t>
      </w:r>
      <w:r>
        <w:rPr>
          <w:color w:val="231F20"/>
          <w:spacing w:val="-9"/>
          <w:w w:val="95"/>
        </w:rPr>
        <w:t xml:space="preserve"> </w:t>
      </w:r>
      <w:r>
        <w:rPr>
          <w:color w:val="231F20"/>
          <w:w w:val="95"/>
        </w:rPr>
        <w:t>of</w:t>
      </w:r>
      <w:r>
        <w:rPr>
          <w:color w:val="231F20"/>
        </w:rPr>
        <w:t xml:space="preserve"> </w:t>
      </w:r>
      <w:r>
        <w:rPr>
          <w:color w:val="231F20"/>
          <w:w w:val="95"/>
        </w:rPr>
        <w:t>sport</w:t>
      </w:r>
      <w:r>
        <w:rPr>
          <w:color w:val="231F20"/>
          <w:spacing w:val="-9"/>
          <w:w w:val="95"/>
        </w:rPr>
        <w:t xml:space="preserve"> </w:t>
      </w:r>
      <w:r>
        <w:rPr>
          <w:color w:val="231F20"/>
          <w:w w:val="95"/>
        </w:rPr>
        <w:t>events</w:t>
      </w:r>
      <w:r>
        <w:rPr>
          <w:color w:val="231F20"/>
          <w:spacing w:val="-9"/>
          <w:w w:val="95"/>
        </w:rPr>
        <w:t xml:space="preserve"> </w:t>
      </w:r>
      <w:r>
        <w:rPr>
          <w:color w:val="231F20"/>
          <w:w w:val="95"/>
        </w:rPr>
        <w:t>that</w:t>
      </w:r>
      <w:r>
        <w:rPr>
          <w:color w:val="231F20"/>
          <w:spacing w:val="-9"/>
          <w:w w:val="95"/>
        </w:rPr>
        <w:t xml:space="preserve"> </w:t>
      </w:r>
      <w:r>
        <w:rPr>
          <w:color w:val="231F20"/>
          <w:w w:val="95"/>
        </w:rPr>
        <w:t>include</w:t>
      </w:r>
      <w:r>
        <w:rPr>
          <w:color w:val="231F20"/>
          <w:spacing w:val="-9"/>
          <w:w w:val="95"/>
        </w:rPr>
        <w:t xml:space="preserve"> </w:t>
      </w:r>
      <w:r>
        <w:rPr>
          <w:color w:val="231F20"/>
          <w:w w:val="95"/>
        </w:rPr>
        <w:t>active</w:t>
      </w:r>
      <w:r>
        <w:rPr>
          <w:color w:val="231F20"/>
          <w:spacing w:val="-9"/>
          <w:w w:val="95"/>
        </w:rPr>
        <w:t xml:space="preserve"> </w:t>
      </w:r>
      <w:r>
        <w:rPr>
          <w:color w:val="231F20"/>
          <w:w w:val="95"/>
        </w:rPr>
        <w:t>engagement,</w:t>
      </w:r>
      <w:r>
        <w:rPr>
          <w:color w:val="231F20"/>
          <w:spacing w:val="-9"/>
          <w:w w:val="95"/>
        </w:rPr>
        <w:t xml:space="preserve"> </w:t>
      </w:r>
      <w:r>
        <w:rPr>
          <w:color w:val="231F20"/>
          <w:w w:val="95"/>
        </w:rPr>
        <w:t xml:space="preserve">celebration </w:t>
      </w:r>
      <w:r>
        <w:rPr>
          <w:color w:val="231F20"/>
        </w:rPr>
        <w:t>and communitas (Chalip, 2006).</w:t>
      </w:r>
    </w:p>
    <w:p w14:paraId="3CD4FDDD" w14:textId="77777777" w:rsidR="00AE0598" w:rsidRDefault="0069255A">
      <w:pPr>
        <w:pStyle w:val="Corpodetexto"/>
        <w:spacing w:before="14" w:line="232" w:lineRule="auto"/>
        <w:ind w:left="110" w:right="126" w:firstLine="320"/>
        <w:jc w:val="both"/>
      </w:pPr>
      <w:r>
        <w:rPr>
          <w:color w:val="231F20"/>
          <w:spacing w:val="-2"/>
          <w:w w:val="90"/>
        </w:rPr>
        <w:t>Whiletherehavebeenseveralrecentpopularmovementsdesignedtopush</w:t>
      </w:r>
      <w:r>
        <w:rPr>
          <w:color w:val="231F20"/>
          <w:spacing w:val="80"/>
        </w:rPr>
        <w:t xml:space="preserve">  </w:t>
      </w:r>
      <w:r>
        <w:rPr>
          <w:color w:val="231F20"/>
        </w:rPr>
        <w:t>back</w:t>
      </w:r>
      <w:r>
        <w:rPr>
          <w:color w:val="231F20"/>
          <w:spacing w:val="-7"/>
        </w:rPr>
        <w:t xml:space="preserve"> </w:t>
      </w:r>
      <w:r>
        <w:rPr>
          <w:color w:val="231F20"/>
        </w:rPr>
        <w:t>against</w:t>
      </w:r>
      <w:r>
        <w:rPr>
          <w:color w:val="231F20"/>
          <w:spacing w:val="-7"/>
        </w:rPr>
        <w:t xml:space="preserve"> </w:t>
      </w:r>
      <w:r>
        <w:rPr>
          <w:color w:val="231F20"/>
        </w:rPr>
        <w:t>globalisation</w:t>
      </w:r>
      <w:r>
        <w:rPr>
          <w:color w:val="231F20"/>
          <w:spacing w:val="-7"/>
        </w:rPr>
        <w:t xml:space="preserve"> </w:t>
      </w:r>
      <w:r>
        <w:rPr>
          <w:color w:val="231F20"/>
        </w:rPr>
        <w:t>such</w:t>
      </w:r>
      <w:r>
        <w:rPr>
          <w:color w:val="231F20"/>
          <w:spacing w:val="-7"/>
        </w:rPr>
        <w:t xml:space="preserve"> </w:t>
      </w:r>
      <w:r>
        <w:rPr>
          <w:color w:val="231F20"/>
        </w:rPr>
        <w:t>as</w:t>
      </w:r>
      <w:r>
        <w:rPr>
          <w:color w:val="231F20"/>
          <w:spacing w:val="-7"/>
        </w:rPr>
        <w:t xml:space="preserve"> </w:t>
      </w:r>
      <w:r>
        <w:rPr>
          <w:color w:val="231F20"/>
        </w:rPr>
        <w:t>the</w:t>
      </w:r>
      <w:r>
        <w:rPr>
          <w:color w:val="231F20"/>
          <w:spacing w:val="-7"/>
        </w:rPr>
        <w:t xml:space="preserve"> </w:t>
      </w:r>
      <w:r>
        <w:rPr>
          <w:color w:val="231F20"/>
        </w:rPr>
        <w:t>vote</w:t>
      </w:r>
      <w:r>
        <w:rPr>
          <w:color w:val="231F20"/>
          <w:spacing w:val="-7"/>
        </w:rPr>
        <w:t xml:space="preserve"> </w:t>
      </w:r>
      <w:r>
        <w:rPr>
          <w:color w:val="231F20"/>
        </w:rPr>
        <w:t>in</w:t>
      </w:r>
      <w:r>
        <w:rPr>
          <w:color w:val="231F20"/>
          <w:spacing w:val="-7"/>
        </w:rPr>
        <w:t xml:space="preserve"> </w:t>
      </w:r>
      <w:r>
        <w:rPr>
          <w:color w:val="231F20"/>
        </w:rPr>
        <w:t>the</w:t>
      </w:r>
      <w:r>
        <w:rPr>
          <w:color w:val="231F20"/>
          <w:spacing w:val="-7"/>
        </w:rPr>
        <w:t xml:space="preserve"> </w:t>
      </w:r>
      <w:r>
        <w:rPr>
          <w:color w:val="231F20"/>
        </w:rPr>
        <w:t>UK</w:t>
      </w:r>
      <w:r>
        <w:rPr>
          <w:color w:val="231F20"/>
          <w:spacing w:val="-7"/>
        </w:rPr>
        <w:t xml:space="preserve"> </w:t>
      </w:r>
      <w:r>
        <w:rPr>
          <w:color w:val="231F20"/>
        </w:rPr>
        <w:t>to</w:t>
      </w:r>
      <w:r>
        <w:rPr>
          <w:color w:val="231F20"/>
          <w:spacing w:val="-7"/>
        </w:rPr>
        <w:t xml:space="preserve"> </w:t>
      </w:r>
      <w:r>
        <w:rPr>
          <w:color w:val="231F20"/>
        </w:rPr>
        <w:t>exit</w:t>
      </w:r>
      <w:r>
        <w:rPr>
          <w:color w:val="231F20"/>
          <w:spacing w:val="-7"/>
        </w:rPr>
        <w:t xml:space="preserve"> </w:t>
      </w:r>
      <w:r>
        <w:rPr>
          <w:color w:val="231F20"/>
        </w:rPr>
        <w:t>the</w:t>
      </w:r>
      <w:r>
        <w:rPr>
          <w:color w:val="231F20"/>
          <w:spacing w:val="-7"/>
        </w:rPr>
        <w:t xml:space="preserve"> </w:t>
      </w:r>
      <w:r>
        <w:rPr>
          <w:color w:val="231F20"/>
        </w:rPr>
        <w:t xml:space="preserve">European </w:t>
      </w:r>
      <w:r>
        <w:rPr>
          <w:color w:val="231F20"/>
          <w:w w:val="95"/>
        </w:rPr>
        <w:t xml:space="preserve">Union and the election of a US president who espouses protectionist trade </w:t>
      </w:r>
      <w:r>
        <w:rPr>
          <w:color w:val="231F20"/>
        </w:rPr>
        <w:t>and</w:t>
      </w:r>
      <w:r>
        <w:rPr>
          <w:color w:val="231F20"/>
          <w:spacing w:val="-8"/>
        </w:rPr>
        <w:t xml:space="preserve"> </w:t>
      </w:r>
      <w:r>
        <w:rPr>
          <w:color w:val="231F20"/>
        </w:rPr>
        <w:t>immigration</w:t>
      </w:r>
      <w:r>
        <w:rPr>
          <w:color w:val="231F20"/>
          <w:spacing w:val="-8"/>
        </w:rPr>
        <w:t xml:space="preserve"> </w:t>
      </w:r>
      <w:r>
        <w:rPr>
          <w:color w:val="231F20"/>
        </w:rPr>
        <w:t>policies,</w:t>
      </w:r>
      <w:r>
        <w:rPr>
          <w:color w:val="231F20"/>
          <w:spacing w:val="-8"/>
        </w:rPr>
        <w:t xml:space="preserve"> </w:t>
      </w:r>
      <w:r>
        <w:rPr>
          <w:color w:val="231F20"/>
        </w:rPr>
        <w:t>it</w:t>
      </w:r>
      <w:r>
        <w:rPr>
          <w:color w:val="231F20"/>
          <w:spacing w:val="-8"/>
        </w:rPr>
        <w:t xml:space="preserve"> </w:t>
      </w:r>
      <w:r>
        <w:rPr>
          <w:color w:val="231F20"/>
        </w:rPr>
        <w:t>is</w:t>
      </w:r>
      <w:r>
        <w:rPr>
          <w:color w:val="231F20"/>
          <w:spacing w:val="-8"/>
        </w:rPr>
        <w:t xml:space="preserve"> </w:t>
      </w:r>
      <w:r>
        <w:rPr>
          <w:color w:val="231F20"/>
        </w:rPr>
        <w:t>unlikely</w:t>
      </w:r>
      <w:r>
        <w:rPr>
          <w:color w:val="231F20"/>
          <w:spacing w:val="-8"/>
        </w:rPr>
        <w:t xml:space="preserve"> </w:t>
      </w:r>
      <w:r>
        <w:rPr>
          <w:color w:val="231F20"/>
        </w:rPr>
        <w:t>that</w:t>
      </w:r>
      <w:r>
        <w:rPr>
          <w:color w:val="231F20"/>
          <w:spacing w:val="-8"/>
        </w:rPr>
        <w:t xml:space="preserve"> </w:t>
      </w:r>
      <w:r>
        <w:rPr>
          <w:color w:val="231F20"/>
        </w:rPr>
        <w:t>the</w:t>
      </w:r>
      <w:r>
        <w:rPr>
          <w:color w:val="231F20"/>
          <w:spacing w:val="-8"/>
        </w:rPr>
        <w:t xml:space="preserve"> </w:t>
      </w:r>
      <w:r>
        <w:rPr>
          <w:color w:val="231F20"/>
        </w:rPr>
        <w:t>processes</w:t>
      </w:r>
      <w:r>
        <w:rPr>
          <w:color w:val="231F20"/>
          <w:spacing w:val="-8"/>
        </w:rPr>
        <w:t xml:space="preserve"> </w:t>
      </w:r>
      <w:r>
        <w:rPr>
          <w:color w:val="231F20"/>
        </w:rPr>
        <w:t>of</w:t>
      </w:r>
      <w:r>
        <w:rPr>
          <w:color w:val="231F20"/>
          <w:spacing w:val="-8"/>
        </w:rPr>
        <w:t xml:space="preserve"> </w:t>
      </w:r>
      <w:r>
        <w:rPr>
          <w:color w:val="231F20"/>
        </w:rPr>
        <w:t>globalisation will</w:t>
      </w:r>
      <w:r>
        <w:rPr>
          <w:color w:val="231F20"/>
          <w:spacing w:val="-5"/>
        </w:rPr>
        <w:t xml:space="preserve"> </w:t>
      </w:r>
      <w:r>
        <w:rPr>
          <w:color w:val="231F20"/>
        </w:rPr>
        <w:t>be</w:t>
      </w:r>
      <w:r>
        <w:rPr>
          <w:color w:val="231F20"/>
          <w:spacing w:val="-5"/>
        </w:rPr>
        <w:t xml:space="preserve"> </w:t>
      </w:r>
      <w:r>
        <w:rPr>
          <w:color w:val="231F20"/>
        </w:rPr>
        <w:t>reversed.</w:t>
      </w:r>
      <w:r>
        <w:rPr>
          <w:color w:val="231F20"/>
          <w:spacing w:val="-5"/>
        </w:rPr>
        <w:t xml:space="preserve"> </w:t>
      </w:r>
      <w:r>
        <w:rPr>
          <w:color w:val="231F20"/>
        </w:rPr>
        <w:t>In</w:t>
      </w:r>
      <w:r>
        <w:rPr>
          <w:color w:val="231F20"/>
          <w:spacing w:val="-5"/>
        </w:rPr>
        <w:t xml:space="preserve"> </w:t>
      </w:r>
      <w:r>
        <w:rPr>
          <w:color w:val="231F20"/>
        </w:rPr>
        <w:t>fact,</w:t>
      </w:r>
      <w:r>
        <w:rPr>
          <w:color w:val="231F20"/>
          <w:spacing w:val="-5"/>
        </w:rPr>
        <w:t xml:space="preserve"> </w:t>
      </w:r>
      <w:r>
        <w:rPr>
          <w:color w:val="231F20"/>
        </w:rPr>
        <w:t>the</w:t>
      </w:r>
      <w:r>
        <w:rPr>
          <w:color w:val="231F20"/>
          <w:spacing w:val="-5"/>
        </w:rPr>
        <w:t xml:space="preserve"> </w:t>
      </w:r>
      <w:r>
        <w:rPr>
          <w:color w:val="231F20"/>
        </w:rPr>
        <w:t>growth</w:t>
      </w:r>
      <w:r>
        <w:rPr>
          <w:color w:val="231F20"/>
          <w:spacing w:val="-5"/>
        </w:rPr>
        <w:t xml:space="preserve"> </w:t>
      </w:r>
      <w:r>
        <w:rPr>
          <w:color w:val="231F20"/>
        </w:rPr>
        <w:t>of</w:t>
      </w:r>
      <w:r>
        <w:rPr>
          <w:color w:val="231F20"/>
          <w:spacing w:val="-5"/>
        </w:rPr>
        <w:t xml:space="preserve"> </w:t>
      </w:r>
      <w:r>
        <w:rPr>
          <w:color w:val="231F20"/>
        </w:rPr>
        <w:t>th</w:t>
      </w:r>
      <w:r>
        <w:rPr>
          <w:color w:val="231F20"/>
        </w:rPr>
        <w:t>e</w:t>
      </w:r>
      <w:r>
        <w:rPr>
          <w:color w:val="231F20"/>
          <w:spacing w:val="-5"/>
        </w:rPr>
        <w:t xml:space="preserve"> </w:t>
      </w:r>
      <w:r>
        <w:rPr>
          <w:color w:val="231F20"/>
        </w:rPr>
        <w:t>Chinese</w:t>
      </w:r>
      <w:r>
        <w:rPr>
          <w:color w:val="231F20"/>
          <w:spacing w:val="-5"/>
        </w:rPr>
        <w:t xml:space="preserve"> </w:t>
      </w:r>
      <w:r>
        <w:rPr>
          <w:color w:val="231F20"/>
        </w:rPr>
        <w:t>and</w:t>
      </w:r>
      <w:r>
        <w:rPr>
          <w:color w:val="231F20"/>
          <w:spacing w:val="-5"/>
        </w:rPr>
        <w:t xml:space="preserve"> </w:t>
      </w:r>
      <w:r>
        <w:rPr>
          <w:color w:val="231F20"/>
        </w:rPr>
        <w:t>Indian</w:t>
      </w:r>
      <w:r>
        <w:rPr>
          <w:color w:val="231F20"/>
          <w:spacing w:val="-5"/>
        </w:rPr>
        <w:t xml:space="preserve"> </w:t>
      </w:r>
      <w:r>
        <w:rPr>
          <w:color w:val="231F20"/>
        </w:rPr>
        <w:t xml:space="preserve">economies </w:t>
      </w:r>
      <w:r>
        <w:rPr>
          <w:color w:val="231F20"/>
          <w:w w:val="95"/>
        </w:rPr>
        <w:t xml:space="preserve">through globalisation processes has made them influential players on the </w:t>
      </w:r>
      <w:r>
        <w:rPr>
          <w:color w:val="231F20"/>
        </w:rPr>
        <w:t>demand</w:t>
      </w:r>
      <w:r>
        <w:rPr>
          <w:color w:val="231F20"/>
          <w:spacing w:val="-4"/>
        </w:rPr>
        <w:t xml:space="preserve"> </w:t>
      </w:r>
      <w:r>
        <w:rPr>
          <w:color w:val="231F20"/>
        </w:rPr>
        <w:t>side</w:t>
      </w:r>
      <w:r>
        <w:rPr>
          <w:color w:val="231F20"/>
          <w:spacing w:val="-4"/>
        </w:rPr>
        <w:t xml:space="preserve"> </w:t>
      </w:r>
      <w:r>
        <w:rPr>
          <w:color w:val="231F20"/>
        </w:rPr>
        <w:t>of</w:t>
      </w:r>
      <w:r>
        <w:rPr>
          <w:color w:val="231F20"/>
          <w:spacing w:val="-4"/>
        </w:rPr>
        <w:t xml:space="preserve"> </w:t>
      </w:r>
      <w:r>
        <w:rPr>
          <w:color w:val="231F20"/>
        </w:rPr>
        <w:t>tourism</w:t>
      </w:r>
      <w:r>
        <w:rPr>
          <w:color w:val="231F20"/>
          <w:spacing w:val="-4"/>
        </w:rPr>
        <w:t xml:space="preserve"> </w:t>
      </w:r>
      <w:r>
        <w:rPr>
          <w:color w:val="231F20"/>
        </w:rPr>
        <w:t>(Buckley</w:t>
      </w:r>
      <w:r>
        <w:rPr>
          <w:color w:val="231F20"/>
          <w:spacing w:val="-4"/>
        </w:rPr>
        <w:t xml:space="preserve"> </w:t>
      </w:r>
      <w:r>
        <w:rPr>
          <w:i/>
          <w:color w:val="231F20"/>
        </w:rPr>
        <w:t>et</w:t>
      </w:r>
      <w:r>
        <w:rPr>
          <w:i/>
          <w:color w:val="231F20"/>
          <w:spacing w:val="-4"/>
        </w:rPr>
        <w:t xml:space="preserve"> </w:t>
      </w:r>
      <w:r>
        <w:rPr>
          <w:i/>
          <w:color w:val="231F20"/>
        </w:rPr>
        <w:t>al</w:t>
      </w:r>
      <w:r>
        <w:rPr>
          <w:color w:val="231F20"/>
        </w:rPr>
        <w:t>.,</w:t>
      </w:r>
      <w:r>
        <w:rPr>
          <w:color w:val="231F20"/>
          <w:spacing w:val="-4"/>
        </w:rPr>
        <w:t xml:space="preserve"> </w:t>
      </w:r>
      <w:r>
        <w:rPr>
          <w:color w:val="231F20"/>
        </w:rPr>
        <w:t>2015;</w:t>
      </w:r>
      <w:r>
        <w:rPr>
          <w:color w:val="231F20"/>
          <w:spacing w:val="-4"/>
        </w:rPr>
        <w:t xml:space="preserve"> </w:t>
      </w:r>
      <w:r>
        <w:rPr>
          <w:color w:val="231F20"/>
        </w:rPr>
        <w:t>Tolkach</w:t>
      </w:r>
      <w:r>
        <w:rPr>
          <w:color w:val="231F20"/>
          <w:spacing w:val="-5"/>
        </w:rPr>
        <w:t xml:space="preserve"> </w:t>
      </w:r>
      <w:r>
        <w:rPr>
          <w:i/>
          <w:color w:val="231F20"/>
        </w:rPr>
        <w:t>et</w:t>
      </w:r>
      <w:r>
        <w:rPr>
          <w:i/>
          <w:color w:val="231F20"/>
          <w:spacing w:val="-4"/>
        </w:rPr>
        <w:t xml:space="preserve"> </w:t>
      </w:r>
      <w:r>
        <w:rPr>
          <w:i/>
          <w:color w:val="231F20"/>
        </w:rPr>
        <w:t>al</w:t>
      </w:r>
      <w:r>
        <w:rPr>
          <w:color w:val="231F20"/>
        </w:rPr>
        <w:t>.,</w:t>
      </w:r>
      <w:r>
        <w:rPr>
          <w:color w:val="231F20"/>
          <w:spacing w:val="-4"/>
        </w:rPr>
        <w:t xml:space="preserve"> </w:t>
      </w:r>
      <w:r>
        <w:rPr>
          <w:color w:val="231F20"/>
        </w:rPr>
        <w:t>2016).</w:t>
      </w:r>
      <w:r>
        <w:rPr>
          <w:color w:val="231F20"/>
          <w:spacing w:val="-4"/>
        </w:rPr>
        <w:t xml:space="preserve"> </w:t>
      </w:r>
      <w:r>
        <w:rPr>
          <w:color w:val="231F20"/>
        </w:rPr>
        <w:t>From a</w:t>
      </w:r>
      <w:r>
        <w:rPr>
          <w:color w:val="231F20"/>
          <w:spacing w:val="-5"/>
        </w:rPr>
        <w:t xml:space="preserve"> </w:t>
      </w:r>
      <w:r>
        <w:rPr>
          <w:color w:val="231F20"/>
        </w:rPr>
        <w:t>sport</w:t>
      </w:r>
      <w:r>
        <w:rPr>
          <w:color w:val="231F20"/>
          <w:spacing w:val="-5"/>
        </w:rPr>
        <w:t xml:space="preserve"> </w:t>
      </w:r>
      <w:r>
        <w:rPr>
          <w:color w:val="231F20"/>
        </w:rPr>
        <w:t>tourism</w:t>
      </w:r>
      <w:r>
        <w:rPr>
          <w:color w:val="231F20"/>
          <w:spacing w:val="-5"/>
        </w:rPr>
        <w:t xml:space="preserve"> </w:t>
      </w:r>
      <w:r>
        <w:rPr>
          <w:color w:val="231F20"/>
        </w:rPr>
        <w:t>perspective,</w:t>
      </w:r>
      <w:r>
        <w:rPr>
          <w:color w:val="231F20"/>
          <w:spacing w:val="-5"/>
        </w:rPr>
        <w:t xml:space="preserve"> </w:t>
      </w:r>
      <w:r>
        <w:rPr>
          <w:color w:val="231F20"/>
        </w:rPr>
        <w:t>this</w:t>
      </w:r>
      <w:r>
        <w:rPr>
          <w:color w:val="231F20"/>
          <w:spacing w:val="-5"/>
        </w:rPr>
        <w:t xml:space="preserve"> </w:t>
      </w:r>
      <w:r>
        <w:rPr>
          <w:color w:val="231F20"/>
        </w:rPr>
        <w:t>means</w:t>
      </w:r>
      <w:r>
        <w:rPr>
          <w:color w:val="231F20"/>
          <w:spacing w:val="-5"/>
        </w:rPr>
        <w:t xml:space="preserve"> </w:t>
      </w:r>
      <w:r>
        <w:rPr>
          <w:color w:val="231F20"/>
        </w:rPr>
        <w:t>that</w:t>
      </w:r>
      <w:r>
        <w:rPr>
          <w:color w:val="231F20"/>
          <w:spacing w:val="-5"/>
        </w:rPr>
        <w:t xml:space="preserve"> </w:t>
      </w:r>
      <w:r>
        <w:rPr>
          <w:color w:val="231F20"/>
        </w:rPr>
        <w:t>the</w:t>
      </w:r>
      <w:r>
        <w:rPr>
          <w:color w:val="231F20"/>
          <w:spacing w:val="-5"/>
        </w:rPr>
        <w:t xml:space="preserve"> </w:t>
      </w:r>
      <w:r>
        <w:rPr>
          <w:color w:val="231F20"/>
        </w:rPr>
        <w:t>cultural</w:t>
      </w:r>
      <w:r>
        <w:rPr>
          <w:color w:val="231F20"/>
          <w:spacing w:val="-5"/>
        </w:rPr>
        <w:t xml:space="preserve"> </w:t>
      </w:r>
      <w:r>
        <w:rPr>
          <w:color w:val="231F20"/>
        </w:rPr>
        <w:t xml:space="preserve">understandings </w:t>
      </w:r>
      <w:r>
        <w:rPr>
          <w:color w:val="231F20"/>
          <w:w w:val="95"/>
        </w:rPr>
        <w:t xml:space="preserve">and motivations for sport that characterise the residents of these countries </w:t>
      </w:r>
      <w:r>
        <w:rPr>
          <w:color w:val="231F20"/>
        </w:rPr>
        <w:t>will have a substantial impact on the distribution and activities of sport tourists.</w:t>
      </w:r>
      <w:r>
        <w:rPr>
          <w:color w:val="231F20"/>
          <w:spacing w:val="-1"/>
        </w:rPr>
        <w:t xml:space="preserve"> </w:t>
      </w:r>
      <w:r>
        <w:rPr>
          <w:color w:val="231F20"/>
        </w:rPr>
        <w:t>Globalisation has also played</w:t>
      </w:r>
      <w:r>
        <w:rPr>
          <w:color w:val="231F20"/>
          <w:spacing w:val="-1"/>
        </w:rPr>
        <w:t xml:space="preserve"> </w:t>
      </w:r>
      <w:r>
        <w:rPr>
          <w:color w:val="231F20"/>
        </w:rPr>
        <w:t>a major role in</w:t>
      </w:r>
      <w:r>
        <w:rPr>
          <w:color w:val="231F20"/>
          <w:spacing w:val="-1"/>
        </w:rPr>
        <w:t xml:space="preserve"> </w:t>
      </w:r>
      <w:r>
        <w:rPr>
          <w:color w:val="231F20"/>
        </w:rPr>
        <w:t>the environmental crises that are</w:t>
      </w:r>
      <w:r>
        <w:rPr>
          <w:color w:val="231F20"/>
        </w:rPr>
        <w:t xml:space="preserve"> outlined shortly, but such impacts also have economic consequences.</w:t>
      </w:r>
      <w:r>
        <w:rPr>
          <w:color w:val="231F20"/>
          <w:spacing w:val="-8"/>
        </w:rPr>
        <w:t xml:space="preserve"> </w:t>
      </w:r>
      <w:r>
        <w:rPr>
          <w:color w:val="231F20"/>
        </w:rPr>
        <w:t>Buckley</w:t>
      </w:r>
      <w:r>
        <w:rPr>
          <w:color w:val="231F20"/>
          <w:spacing w:val="-8"/>
        </w:rPr>
        <w:t xml:space="preserve"> </w:t>
      </w:r>
      <w:r>
        <w:rPr>
          <w:i/>
          <w:color w:val="231F20"/>
        </w:rPr>
        <w:t>et</w:t>
      </w:r>
      <w:r>
        <w:rPr>
          <w:i/>
          <w:color w:val="231F20"/>
          <w:spacing w:val="-9"/>
        </w:rPr>
        <w:t xml:space="preserve"> </w:t>
      </w:r>
      <w:r>
        <w:rPr>
          <w:i/>
          <w:color w:val="231F20"/>
        </w:rPr>
        <w:t>al</w:t>
      </w:r>
      <w:r>
        <w:rPr>
          <w:color w:val="231F20"/>
        </w:rPr>
        <w:t>.</w:t>
      </w:r>
      <w:r>
        <w:rPr>
          <w:color w:val="231F20"/>
          <w:spacing w:val="-8"/>
        </w:rPr>
        <w:t xml:space="preserve"> </w:t>
      </w:r>
      <w:r>
        <w:rPr>
          <w:color w:val="231F20"/>
        </w:rPr>
        <w:t>(2015)</w:t>
      </w:r>
      <w:r>
        <w:rPr>
          <w:color w:val="231F20"/>
          <w:spacing w:val="-9"/>
        </w:rPr>
        <w:t xml:space="preserve"> </w:t>
      </w:r>
      <w:r>
        <w:rPr>
          <w:color w:val="231F20"/>
        </w:rPr>
        <w:t>point</w:t>
      </w:r>
      <w:r>
        <w:rPr>
          <w:color w:val="231F20"/>
          <w:spacing w:val="-8"/>
        </w:rPr>
        <w:t xml:space="preserve"> </w:t>
      </w:r>
      <w:r>
        <w:rPr>
          <w:color w:val="231F20"/>
        </w:rPr>
        <w:t>out</w:t>
      </w:r>
      <w:r>
        <w:rPr>
          <w:color w:val="231F20"/>
          <w:spacing w:val="-8"/>
        </w:rPr>
        <w:t xml:space="preserve"> </w:t>
      </w:r>
      <w:r>
        <w:rPr>
          <w:color w:val="231F20"/>
        </w:rPr>
        <w:t>that</w:t>
      </w:r>
      <w:r>
        <w:rPr>
          <w:color w:val="231F20"/>
          <w:spacing w:val="-9"/>
        </w:rPr>
        <w:t xml:space="preserve"> </w:t>
      </w:r>
      <w:r>
        <w:rPr>
          <w:color w:val="231F20"/>
        </w:rPr>
        <w:t>one</w:t>
      </w:r>
      <w:r>
        <w:rPr>
          <w:color w:val="231F20"/>
          <w:spacing w:val="-8"/>
        </w:rPr>
        <w:t xml:space="preserve"> </w:t>
      </w:r>
      <w:r>
        <w:rPr>
          <w:color w:val="231F20"/>
        </w:rPr>
        <w:t>such</w:t>
      </w:r>
      <w:r>
        <w:rPr>
          <w:color w:val="231F20"/>
          <w:spacing w:val="-8"/>
        </w:rPr>
        <w:t xml:space="preserve"> </w:t>
      </w:r>
      <w:r>
        <w:rPr>
          <w:color w:val="231F20"/>
        </w:rPr>
        <w:t xml:space="preserve">consequence </w:t>
      </w:r>
      <w:r>
        <w:rPr>
          <w:color w:val="231F20"/>
          <w:w w:val="95"/>
        </w:rPr>
        <w:t xml:space="preserve">will be increased oil prices which will translate into fewer long-haul tourist trips as these flights become increasingly costly </w:t>
      </w:r>
      <w:r>
        <w:rPr>
          <w:color w:val="231F20"/>
          <w:w w:val="95"/>
        </w:rPr>
        <w:t xml:space="preserve">and less socially acceptable </w:t>
      </w:r>
      <w:r>
        <w:rPr>
          <w:color w:val="231F20"/>
        </w:rPr>
        <w:t xml:space="preserve">(also see Higham </w:t>
      </w:r>
      <w:r>
        <w:rPr>
          <w:i/>
          <w:color w:val="231F20"/>
        </w:rPr>
        <w:t>et al</w:t>
      </w:r>
      <w:r>
        <w:rPr>
          <w:color w:val="231F20"/>
        </w:rPr>
        <w:t>., 2016).</w:t>
      </w:r>
    </w:p>
    <w:p w14:paraId="521BE7F1" w14:textId="77777777" w:rsidR="00AE0598" w:rsidRDefault="0069255A">
      <w:pPr>
        <w:pStyle w:val="Corpodetexto"/>
        <w:spacing w:before="20" w:line="232" w:lineRule="auto"/>
        <w:ind w:left="110" w:right="128" w:firstLine="320"/>
        <w:jc w:val="both"/>
      </w:pPr>
      <w:r>
        <w:rPr>
          <w:color w:val="231F20"/>
        </w:rPr>
        <w:t>The</w:t>
      </w:r>
      <w:r>
        <w:rPr>
          <w:color w:val="231F20"/>
          <w:spacing w:val="-7"/>
        </w:rPr>
        <w:t xml:space="preserve"> </w:t>
      </w:r>
      <w:r>
        <w:rPr>
          <w:color w:val="231F20"/>
        </w:rPr>
        <w:t>media</w:t>
      </w:r>
      <w:r>
        <w:rPr>
          <w:color w:val="231F20"/>
          <w:spacing w:val="-7"/>
        </w:rPr>
        <w:t xml:space="preserve"> </w:t>
      </w:r>
      <w:r>
        <w:rPr>
          <w:color w:val="231F20"/>
        </w:rPr>
        <w:t>plays</w:t>
      </w:r>
      <w:r>
        <w:rPr>
          <w:color w:val="231F20"/>
          <w:spacing w:val="-7"/>
        </w:rPr>
        <w:t xml:space="preserve"> </w:t>
      </w:r>
      <w:r>
        <w:rPr>
          <w:color w:val="231F20"/>
        </w:rPr>
        <w:t>an</w:t>
      </w:r>
      <w:r>
        <w:rPr>
          <w:color w:val="231F20"/>
          <w:spacing w:val="-7"/>
        </w:rPr>
        <w:t xml:space="preserve"> </w:t>
      </w:r>
      <w:r>
        <w:rPr>
          <w:color w:val="231F20"/>
        </w:rPr>
        <w:t>important</w:t>
      </w:r>
      <w:r>
        <w:rPr>
          <w:color w:val="231F20"/>
          <w:spacing w:val="-7"/>
        </w:rPr>
        <w:t xml:space="preserve"> </w:t>
      </w:r>
      <w:r>
        <w:rPr>
          <w:color w:val="231F20"/>
        </w:rPr>
        <w:t>role</w:t>
      </w:r>
      <w:r>
        <w:rPr>
          <w:color w:val="231F20"/>
          <w:spacing w:val="-7"/>
        </w:rPr>
        <w:t xml:space="preserve"> </w:t>
      </w:r>
      <w:r>
        <w:rPr>
          <w:color w:val="231F20"/>
        </w:rPr>
        <w:t>in</w:t>
      </w:r>
      <w:r>
        <w:rPr>
          <w:color w:val="231F20"/>
          <w:spacing w:val="-7"/>
        </w:rPr>
        <w:t xml:space="preserve"> </w:t>
      </w:r>
      <w:r>
        <w:rPr>
          <w:color w:val="231F20"/>
        </w:rPr>
        <w:t>this</w:t>
      </w:r>
      <w:r>
        <w:rPr>
          <w:color w:val="231F20"/>
          <w:spacing w:val="-7"/>
        </w:rPr>
        <w:t xml:space="preserve"> </w:t>
      </w:r>
      <w:r>
        <w:rPr>
          <w:color w:val="231F20"/>
        </w:rPr>
        <w:t>process.</w:t>
      </w:r>
      <w:r>
        <w:rPr>
          <w:color w:val="231F20"/>
          <w:spacing w:val="-7"/>
        </w:rPr>
        <w:t xml:space="preserve"> </w:t>
      </w:r>
      <w:r>
        <w:rPr>
          <w:color w:val="231F20"/>
        </w:rPr>
        <w:t>Popular</w:t>
      </w:r>
      <w:r>
        <w:rPr>
          <w:color w:val="231F20"/>
          <w:spacing w:val="-7"/>
        </w:rPr>
        <w:t xml:space="preserve"> </w:t>
      </w:r>
      <w:r>
        <w:rPr>
          <w:color w:val="231F20"/>
        </w:rPr>
        <w:t>media</w:t>
      </w:r>
      <w:r>
        <w:rPr>
          <w:color w:val="231F20"/>
          <w:spacing w:val="-7"/>
        </w:rPr>
        <w:t xml:space="preserve"> </w:t>
      </w:r>
      <w:r>
        <w:rPr>
          <w:color w:val="231F20"/>
        </w:rPr>
        <w:t xml:space="preserve">has </w:t>
      </w:r>
      <w:r>
        <w:rPr>
          <w:color w:val="231F20"/>
          <w:w w:val="95"/>
        </w:rPr>
        <w:t xml:space="preserve">had a long association with sport inclusive of the golden age of newspapers, </w:t>
      </w:r>
      <w:r>
        <w:rPr>
          <w:color w:val="231F20"/>
        </w:rPr>
        <w:t>radio and television. It is the last of these forms of media, however, that is perceived as having the greatest impact on elite sport (McKay &amp; Kirk, 1992). From the outset, the te</w:t>
      </w:r>
      <w:r>
        <w:rPr>
          <w:color w:val="231F20"/>
        </w:rPr>
        <w:t>levision broadcasting of sport generated concern</w:t>
      </w:r>
      <w:r>
        <w:rPr>
          <w:color w:val="231F20"/>
          <w:spacing w:val="-6"/>
        </w:rPr>
        <w:t xml:space="preserve"> </w:t>
      </w:r>
      <w:r>
        <w:rPr>
          <w:color w:val="231F20"/>
        </w:rPr>
        <w:t>that</w:t>
      </w:r>
      <w:r>
        <w:rPr>
          <w:color w:val="231F20"/>
          <w:spacing w:val="-6"/>
        </w:rPr>
        <w:t xml:space="preserve"> </w:t>
      </w:r>
      <w:r>
        <w:rPr>
          <w:color w:val="231F20"/>
        </w:rPr>
        <w:t>fans</w:t>
      </w:r>
      <w:r>
        <w:rPr>
          <w:color w:val="231F20"/>
          <w:spacing w:val="-6"/>
        </w:rPr>
        <w:t xml:space="preserve"> </w:t>
      </w:r>
      <w:r>
        <w:rPr>
          <w:color w:val="231F20"/>
        </w:rPr>
        <w:t>would</w:t>
      </w:r>
      <w:r>
        <w:rPr>
          <w:color w:val="231F20"/>
          <w:spacing w:val="-6"/>
        </w:rPr>
        <w:t xml:space="preserve"> </w:t>
      </w:r>
      <w:r>
        <w:rPr>
          <w:color w:val="231F20"/>
        </w:rPr>
        <w:t>stop</w:t>
      </w:r>
      <w:r>
        <w:rPr>
          <w:color w:val="231F20"/>
          <w:spacing w:val="-6"/>
        </w:rPr>
        <w:t xml:space="preserve"> </w:t>
      </w:r>
      <w:r>
        <w:rPr>
          <w:color w:val="231F20"/>
        </w:rPr>
        <w:t>going</w:t>
      </w:r>
      <w:r>
        <w:rPr>
          <w:color w:val="231F20"/>
          <w:spacing w:val="-6"/>
        </w:rPr>
        <w:t xml:space="preserve"> </w:t>
      </w:r>
      <w:r>
        <w:rPr>
          <w:color w:val="231F20"/>
        </w:rPr>
        <w:t>to</w:t>
      </w:r>
      <w:r>
        <w:rPr>
          <w:color w:val="231F20"/>
          <w:spacing w:val="-6"/>
        </w:rPr>
        <w:t xml:space="preserve"> </w:t>
      </w:r>
      <w:r>
        <w:rPr>
          <w:color w:val="231F20"/>
        </w:rPr>
        <w:t>the</w:t>
      </w:r>
      <w:r>
        <w:rPr>
          <w:color w:val="231F20"/>
          <w:spacing w:val="-6"/>
        </w:rPr>
        <w:t xml:space="preserve"> </w:t>
      </w:r>
      <w:r>
        <w:rPr>
          <w:color w:val="231F20"/>
        </w:rPr>
        <w:t>actual</w:t>
      </w:r>
      <w:r>
        <w:rPr>
          <w:color w:val="231F20"/>
          <w:spacing w:val="-6"/>
        </w:rPr>
        <w:t xml:space="preserve"> </w:t>
      </w:r>
      <w:r>
        <w:rPr>
          <w:color w:val="231F20"/>
        </w:rPr>
        <w:t>competition</w:t>
      </w:r>
      <w:r>
        <w:rPr>
          <w:color w:val="231F20"/>
          <w:spacing w:val="-6"/>
        </w:rPr>
        <w:t xml:space="preserve"> </w:t>
      </w:r>
      <w:r>
        <w:rPr>
          <w:color w:val="231F20"/>
        </w:rPr>
        <w:t>in</w:t>
      </w:r>
      <w:r>
        <w:rPr>
          <w:color w:val="231F20"/>
          <w:spacing w:val="-6"/>
        </w:rPr>
        <w:t xml:space="preserve"> </w:t>
      </w:r>
      <w:r>
        <w:rPr>
          <w:color w:val="231F20"/>
        </w:rPr>
        <w:t>favour</w:t>
      </w:r>
      <w:r>
        <w:rPr>
          <w:color w:val="231F20"/>
          <w:spacing w:val="-6"/>
        </w:rPr>
        <w:t xml:space="preserve"> </w:t>
      </w:r>
      <w:r>
        <w:rPr>
          <w:color w:val="231F20"/>
        </w:rPr>
        <w:t xml:space="preserve">of </w:t>
      </w:r>
      <w:r>
        <w:rPr>
          <w:color w:val="231F20"/>
          <w:w w:val="95"/>
        </w:rPr>
        <w:t xml:space="preserve">viewing sports from the comfort of their homes. At the root of this concern </w:t>
      </w:r>
      <w:r>
        <w:rPr>
          <w:color w:val="231F20"/>
        </w:rPr>
        <w:t>was the belief that sport revenues would shift from traditional s</w:t>
      </w:r>
      <w:r>
        <w:rPr>
          <w:color w:val="231F20"/>
        </w:rPr>
        <w:t>porting institutions to the broadcasters.</w:t>
      </w:r>
    </w:p>
    <w:p w14:paraId="139DEE88" w14:textId="77777777" w:rsidR="00AE0598" w:rsidRDefault="00AE0598">
      <w:pPr>
        <w:pStyle w:val="Corpodetexto"/>
        <w:spacing w:before="7"/>
      </w:pPr>
    </w:p>
    <w:p w14:paraId="2CD4930D" w14:textId="77777777" w:rsidR="00AE0598" w:rsidRDefault="0069255A">
      <w:pPr>
        <w:spacing w:line="244" w:lineRule="auto"/>
        <w:ind w:left="430" w:right="123"/>
        <w:jc w:val="both"/>
        <w:rPr>
          <w:sz w:val="20"/>
        </w:rPr>
      </w:pPr>
      <w:r>
        <w:rPr>
          <w:color w:val="231F20"/>
          <w:sz w:val="20"/>
        </w:rPr>
        <w:t xml:space="preserve">The economics of sport were founded on the principle of persuading large numbers of people to leave their homes, to travel to enclosed sporting venues and to pay for entry in order to view professional </w:t>
      </w:r>
      <w:r>
        <w:rPr>
          <w:color w:val="231F20"/>
          <w:w w:val="95"/>
          <w:sz w:val="20"/>
        </w:rPr>
        <w:t xml:space="preserve">performers </w:t>
      </w:r>
      <w:r>
        <w:rPr>
          <w:color w:val="231F20"/>
          <w:w w:val="95"/>
          <w:sz w:val="20"/>
        </w:rPr>
        <w:t xml:space="preserve">engage in various forms of structured, physical competition. </w:t>
      </w:r>
      <w:r>
        <w:rPr>
          <w:color w:val="231F20"/>
          <w:sz w:val="20"/>
        </w:rPr>
        <w:t>(Rowe, 1996: 569)</w:t>
      </w:r>
    </w:p>
    <w:p w14:paraId="721A23AD" w14:textId="77777777" w:rsidR="00AE0598" w:rsidRDefault="00AE0598">
      <w:pPr>
        <w:spacing w:line="244" w:lineRule="auto"/>
        <w:jc w:val="both"/>
        <w:rPr>
          <w:sz w:val="20"/>
        </w:rPr>
        <w:sectPr w:rsidR="00AE0598">
          <w:pgSz w:w="8850" w:h="13270"/>
          <w:pgMar w:top="720" w:right="1060" w:bottom="280" w:left="1080" w:header="720" w:footer="720" w:gutter="0"/>
          <w:cols w:space="720"/>
        </w:sectPr>
      </w:pPr>
    </w:p>
    <w:p w14:paraId="6FD78866" w14:textId="77777777" w:rsidR="00AE0598" w:rsidRDefault="0069255A">
      <w:pPr>
        <w:spacing w:before="87"/>
        <w:ind w:left="3808"/>
        <w:rPr>
          <w:rFonts w:ascii="Trebuchet MS"/>
          <w:sz w:val="14"/>
        </w:rPr>
      </w:pPr>
      <w:r>
        <w:rPr>
          <w:rFonts w:ascii="Trebuchet MS"/>
          <w:color w:val="231F20"/>
          <w:w w:val="105"/>
          <w:sz w:val="14"/>
        </w:rPr>
        <w:lastRenderedPageBreak/>
        <w:t>Evolutionary</w:t>
      </w:r>
      <w:r>
        <w:rPr>
          <w:rFonts w:ascii="Trebuchet MS"/>
          <w:color w:val="231F20"/>
          <w:spacing w:val="-12"/>
          <w:w w:val="105"/>
          <w:sz w:val="14"/>
        </w:rPr>
        <w:t xml:space="preserve"> </w:t>
      </w:r>
      <w:r>
        <w:rPr>
          <w:rFonts w:ascii="Trebuchet MS"/>
          <w:color w:val="231F20"/>
          <w:w w:val="105"/>
          <w:sz w:val="14"/>
        </w:rPr>
        <w:t>Trends</w:t>
      </w:r>
      <w:r>
        <w:rPr>
          <w:rFonts w:ascii="Trebuchet MS"/>
          <w:color w:val="231F20"/>
          <w:spacing w:val="-11"/>
          <w:w w:val="105"/>
          <w:sz w:val="14"/>
        </w:rPr>
        <w:t xml:space="preserve"> </w:t>
      </w:r>
      <w:r>
        <w:rPr>
          <w:rFonts w:ascii="Trebuchet MS"/>
          <w:color w:val="231F20"/>
          <w:w w:val="105"/>
          <w:sz w:val="14"/>
        </w:rPr>
        <w:t>in</w:t>
      </w:r>
      <w:r>
        <w:rPr>
          <w:rFonts w:ascii="Trebuchet MS"/>
          <w:color w:val="231F20"/>
          <w:spacing w:val="-11"/>
          <w:w w:val="105"/>
          <w:sz w:val="14"/>
        </w:rPr>
        <w:t xml:space="preserve"> </w:t>
      </w:r>
      <w:r>
        <w:rPr>
          <w:rFonts w:ascii="Trebuchet MS"/>
          <w:color w:val="231F20"/>
          <w:w w:val="105"/>
          <w:sz w:val="14"/>
        </w:rPr>
        <w:t>Sport</w:t>
      </w:r>
      <w:r>
        <w:rPr>
          <w:rFonts w:ascii="Trebuchet MS"/>
          <w:color w:val="231F20"/>
          <w:spacing w:val="-11"/>
          <w:w w:val="105"/>
          <w:sz w:val="14"/>
        </w:rPr>
        <w:t xml:space="preserve"> </w:t>
      </w:r>
      <w:r>
        <w:rPr>
          <w:rFonts w:ascii="Trebuchet MS"/>
          <w:color w:val="231F20"/>
          <w:w w:val="105"/>
          <w:sz w:val="14"/>
        </w:rPr>
        <w:t>Tourism</w:t>
      </w:r>
      <w:r>
        <w:rPr>
          <w:rFonts w:ascii="Trebuchet MS"/>
          <w:color w:val="231F20"/>
          <w:spacing w:val="74"/>
          <w:w w:val="105"/>
          <w:sz w:val="14"/>
        </w:rPr>
        <w:t xml:space="preserve"> </w:t>
      </w:r>
      <w:r>
        <w:rPr>
          <w:rFonts w:ascii="Trebuchet MS"/>
          <w:color w:val="231F20"/>
          <w:spacing w:val="-5"/>
          <w:w w:val="105"/>
          <w:sz w:val="14"/>
        </w:rPr>
        <w:t>215</w:t>
      </w:r>
    </w:p>
    <w:p w14:paraId="3A98A844" w14:textId="77777777" w:rsidR="00AE0598" w:rsidRDefault="00AE0598">
      <w:pPr>
        <w:pStyle w:val="Corpodetexto"/>
        <w:rPr>
          <w:rFonts w:ascii="Trebuchet MS"/>
          <w:sz w:val="16"/>
        </w:rPr>
      </w:pPr>
    </w:p>
    <w:p w14:paraId="0D7C123F" w14:textId="77777777" w:rsidR="00AE0598" w:rsidRDefault="0069255A">
      <w:pPr>
        <w:pStyle w:val="Corpodetexto"/>
        <w:spacing w:before="118" w:line="232" w:lineRule="auto"/>
        <w:ind w:left="110" w:right="125"/>
        <w:jc w:val="both"/>
      </w:pPr>
      <w:r>
        <w:rPr>
          <w:color w:val="231F20"/>
        </w:rPr>
        <w:t xml:space="preserve">History has shown that broadcasters have indeed enjoyed substantial </w:t>
      </w:r>
      <w:r>
        <w:rPr>
          <w:color w:val="231F20"/>
          <w:w w:val="95"/>
        </w:rPr>
        <w:t xml:space="preserve">financial rewards but they have also generated significant financial benefits </w:t>
      </w:r>
      <w:r>
        <w:rPr>
          <w:color w:val="231F20"/>
          <w:w w:val="90"/>
        </w:rPr>
        <w:t xml:space="preserve">for owners and administrators of televised sports, as well as the destinations </w:t>
      </w:r>
      <w:r>
        <w:rPr>
          <w:color w:val="231F20"/>
        </w:rPr>
        <w:t>where</w:t>
      </w:r>
      <w:r>
        <w:rPr>
          <w:color w:val="231F20"/>
          <w:spacing w:val="-11"/>
        </w:rPr>
        <w:t xml:space="preserve"> </w:t>
      </w:r>
      <w:r>
        <w:rPr>
          <w:color w:val="231F20"/>
        </w:rPr>
        <w:t>these</w:t>
      </w:r>
      <w:r>
        <w:rPr>
          <w:color w:val="231F20"/>
          <w:spacing w:val="-11"/>
        </w:rPr>
        <w:t xml:space="preserve"> </w:t>
      </w:r>
      <w:r>
        <w:rPr>
          <w:color w:val="231F20"/>
        </w:rPr>
        <w:t>sports</w:t>
      </w:r>
      <w:r>
        <w:rPr>
          <w:color w:val="231F20"/>
          <w:spacing w:val="-11"/>
        </w:rPr>
        <w:t xml:space="preserve"> </w:t>
      </w:r>
      <w:r>
        <w:rPr>
          <w:color w:val="231F20"/>
        </w:rPr>
        <w:t>take</w:t>
      </w:r>
      <w:r>
        <w:rPr>
          <w:color w:val="231F20"/>
          <w:spacing w:val="-11"/>
        </w:rPr>
        <w:t xml:space="preserve"> </w:t>
      </w:r>
      <w:r>
        <w:rPr>
          <w:color w:val="231F20"/>
        </w:rPr>
        <w:t>place.</w:t>
      </w:r>
      <w:r>
        <w:rPr>
          <w:color w:val="231F20"/>
          <w:spacing w:val="-11"/>
        </w:rPr>
        <w:t xml:space="preserve"> </w:t>
      </w:r>
      <w:r>
        <w:rPr>
          <w:color w:val="231F20"/>
        </w:rPr>
        <w:t>Television</w:t>
      </w:r>
      <w:r>
        <w:rPr>
          <w:color w:val="231F20"/>
          <w:spacing w:val="-11"/>
        </w:rPr>
        <w:t xml:space="preserve"> </w:t>
      </w:r>
      <w:r>
        <w:rPr>
          <w:color w:val="231F20"/>
        </w:rPr>
        <w:t>revenues</w:t>
      </w:r>
      <w:r>
        <w:rPr>
          <w:color w:val="231F20"/>
          <w:spacing w:val="-11"/>
        </w:rPr>
        <w:t xml:space="preserve"> </w:t>
      </w:r>
      <w:r>
        <w:rPr>
          <w:color w:val="231F20"/>
        </w:rPr>
        <w:t>for</w:t>
      </w:r>
      <w:r>
        <w:rPr>
          <w:color w:val="231F20"/>
          <w:spacing w:val="-11"/>
        </w:rPr>
        <w:t xml:space="preserve"> </w:t>
      </w:r>
      <w:r>
        <w:rPr>
          <w:color w:val="231F20"/>
        </w:rPr>
        <w:t>professional</w:t>
      </w:r>
      <w:r>
        <w:rPr>
          <w:color w:val="231F20"/>
          <w:spacing w:val="-11"/>
        </w:rPr>
        <w:t xml:space="preserve"> </w:t>
      </w:r>
      <w:r>
        <w:rPr>
          <w:color w:val="231F20"/>
        </w:rPr>
        <w:t>sport now far exceed gate revenues. Despite this changing economic context, there are still concerns that the media has subverted sport for its own purposes</w:t>
      </w:r>
      <w:r>
        <w:rPr>
          <w:color w:val="231F20"/>
          <w:spacing w:val="-2"/>
        </w:rPr>
        <w:t xml:space="preserve"> </w:t>
      </w:r>
      <w:r>
        <w:rPr>
          <w:color w:val="231F20"/>
        </w:rPr>
        <w:t>and</w:t>
      </w:r>
      <w:r>
        <w:rPr>
          <w:color w:val="231F20"/>
          <w:spacing w:val="-2"/>
        </w:rPr>
        <w:t xml:space="preserve"> </w:t>
      </w:r>
      <w:r>
        <w:rPr>
          <w:color w:val="231F20"/>
        </w:rPr>
        <w:t>by</w:t>
      </w:r>
      <w:r>
        <w:rPr>
          <w:color w:val="231F20"/>
          <w:spacing w:val="-2"/>
        </w:rPr>
        <w:t xml:space="preserve"> </w:t>
      </w:r>
      <w:r>
        <w:rPr>
          <w:color w:val="231F20"/>
        </w:rPr>
        <w:t>doing</w:t>
      </w:r>
      <w:r>
        <w:rPr>
          <w:color w:val="231F20"/>
          <w:spacing w:val="-2"/>
        </w:rPr>
        <w:t xml:space="preserve"> </w:t>
      </w:r>
      <w:r>
        <w:rPr>
          <w:color w:val="231F20"/>
        </w:rPr>
        <w:t>so,</w:t>
      </w:r>
      <w:r>
        <w:rPr>
          <w:color w:val="231F20"/>
          <w:spacing w:val="-2"/>
        </w:rPr>
        <w:t xml:space="preserve"> </w:t>
      </w:r>
      <w:r>
        <w:rPr>
          <w:color w:val="231F20"/>
        </w:rPr>
        <w:t>it</w:t>
      </w:r>
      <w:r>
        <w:rPr>
          <w:color w:val="231F20"/>
          <w:spacing w:val="-2"/>
        </w:rPr>
        <w:t xml:space="preserve"> </w:t>
      </w:r>
      <w:r>
        <w:rPr>
          <w:color w:val="231F20"/>
        </w:rPr>
        <w:t>has</w:t>
      </w:r>
      <w:r>
        <w:rPr>
          <w:color w:val="231F20"/>
          <w:spacing w:val="-2"/>
        </w:rPr>
        <w:t xml:space="preserve"> </w:t>
      </w:r>
      <w:r>
        <w:rPr>
          <w:color w:val="231F20"/>
        </w:rPr>
        <w:t>eroded</w:t>
      </w:r>
      <w:r>
        <w:rPr>
          <w:color w:val="231F20"/>
          <w:spacing w:val="-2"/>
        </w:rPr>
        <w:t xml:space="preserve"> </w:t>
      </w:r>
      <w:r>
        <w:rPr>
          <w:color w:val="231F20"/>
        </w:rPr>
        <w:t>the</w:t>
      </w:r>
      <w:r>
        <w:rPr>
          <w:color w:val="231F20"/>
          <w:spacing w:val="-2"/>
        </w:rPr>
        <w:t xml:space="preserve"> </w:t>
      </w:r>
      <w:r>
        <w:rPr>
          <w:color w:val="231F20"/>
        </w:rPr>
        <w:t>integrity</w:t>
      </w:r>
      <w:r>
        <w:rPr>
          <w:color w:val="231F20"/>
          <w:spacing w:val="-2"/>
        </w:rPr>
        <w:t xml:space="preserve"> </w:t>
      </w:r>
      <w:r>
        <w:rPr>
          <w:color w:val="231F20"/>
        </w:rPr>
        <w:t>of</w:t>
      </w:r>
      <w:r>
        <w:rPr>
          <w:color w:val="231F20"/>
          <w:spacing w:val="-2"/>
        </w:rPr>
        <w:t xml:space="preserve"> </w:t>
      </w:r>
      <w:r>
        <w:rPr>
          <w:color w:val="231F20"/>
        </w:rPr>
        <w:t>these</w:t>
      </w:r>
      <w:r>
        <w:rPr>
          <w:color w:val="231F20"/>
          <w:spacing w:val="-2"/>
        </w:rPr>
        <w:t xml:space="preserve"> </w:t>
      </w:r>
      <w:r>
        <w:rPr>
          <w:color w:val="231F20"/>
        </w:rPr>
        <w:t>sports.</w:t>
      </w:r>
      <w:r>
        <w:rPr>
          <w:color w:val="231F20"/>
          <w:spacing w:val="-2"/>
        </w:rPr>
        <w:t xml:space="preserve"> </w:t>
      </w:r>
      <w:r>
        <w:rPr>
          <w:color w:val="231F20"/>
        </w:rPr>
        <w:t>For example, Rowe (1996) noted that</w:t>
      </w:r>
    </w:p>
    <w:p w14:paraId="6BD4B0AF" w14:textId="77777777" w:rsidR="00AE0598" w:rsidRDefault="00AE0598">
      <w:pPr>
        <w:pStyle w:val="Corpodetexto"/>
        <w:spacing w:before="7"/>
      </w:pPr>
    </w:p>
    <w:p w14:paraId="598B1372" w14:textId="77777777" w:rsidR="00AE0598" w:rsidRDefault="0069255A">
      <w:pPr>
        <w:spacing w:line="244" w:lineRule="auto"/>
        <w:ind w:left="430" w:right="127"/>
        <w:jc w:val="both"/>
        <w:rPr>
          <w:sz w:val="20"/>
        </w:rPr>
      </w:pPr>
      <w:r>
        <w:rPr>
          <w:color w:val="231F20"/>
          <w:spacing w:val="-2"/>
          <w:w w:val="95"/>
          <w:sz w:val="20"/>
        </w:rPr>
        <w:t>Television has progressively exerted pressure on sports to be played at times</w:t>
      </w:r>
      <w:r>
        <w:rPr>
          <w:color w:val="231F20"/>
          <w:w w:val="95"/>
          <w:sz w:val="20"/>
        </w:rPr>
        <w:t xml:space="preserve"> convenient</w:t>
      </w:r>
      <w:r>
        <w:rPr>
          <w:color w:val="231F20"/>
          <w:spacing w:val="-6"/>
          <w:w w:val="95"/>
          <w:sz w:val="20"/>
        </w:rPr>
        <w:t xml:space="preserve"> </w:t>
      </w:r>
      <w:r>
        <w:rPr>
          <w:color w:val="231F20"/>
          <w:w w:val="95"/>
          <w:sz w:val="20"/>
        </w:rPr>
        <w:t>to</w:t>
      </w:r>
      <w:r>
        <w:rPr>
          <w:color w:val="231F20"/>
          <w:spacing w:val="-6"/>
          <w:w w:val="95"/>
          <w:sz w:val="20"/>
        </w:rPr>
        <w:t xml:space="preserve"> </w:t>
      </w:r>
      <w:r>
        <w:rPr>
          <w:color w:val="231F20"/>
          <w:w w:val="95"/>
          <w:sz w:val="20"/>
        </w:rPr>
        <w:t>broadcast</w:t>
      </w:r>
      <w:r>
        <w:rPr>
          <w:color w:val="231F20"/>
          <w:spacing w:val="-6"/>
          <w:w w:val="95"/>
          <w:sz w:val="20"/>
        </w:rPr>
        <w:t xml:space="preserve"> </w:t>
      </w:r>
      <w:r>
        <w:rPr>
          <w:color w:val="231F20"/>
          <w:w w:val="95"/>
          <w:sz w:val="20"/>
        </w:rPr>
        <w:t>schedules</w:t>
      </w:r>
      <w:r>
        <w:rPr>
          <w:color w:val="231F20"/>
          <w:spacing w:val="-6"/>
          <w:w w:val="95"/>
          <w:sz w:val="20"/>
        </w:rPr>
        <w:t xml:space="preserve"> </w:t>
      </w:r>
      <w:r>
        <w:rPr>
          <w:color w:val="231F20"/>
          <w:w w:val="95"/>
          <w:sz w:val="20"/>
        </w:rPr>
        <w:t>and</w:t>
      </w:r>
      <w:r>
        <w:rPr>
          <w:color w:val="231F20"/>
          <w:spacing w:val="-6"/>
          <w:w w:val="95"/>
          <w:sz w:val="20"/>
        </w:rPr>
        <w:t xml:space="preserve"> </w:t>
      </w:r>
      <w:r>
        <w:rPr>
          <w:color w:val="231F20"/>
          <w:w w:val="95"/>
          <w:sz w:val="20"/>
        </w:rPr>
        <w:t>to</w:t>
      </w:r>
      <w:r>
        <w:rPr>
          <w:color w:val="231F20"/>
          <w:spacing w:val="-6"/>
          <w:w w:val="95"/>
          <w:sz w:val="20"/>
        </w:rPr>
        <w:t xml:space="preserve"> </w:t>
      </w:r>
      <w:r>
        <w:rPr>
          <w:color w:val="231F20"/>
          <w:w w:val="95"/>
          <w:sz w:val="20"/>
        </w:rPr>
        <w:t>modify</w:t>
      </w:r>
      <w:r>
        <w:rPr>
          <w:color w:val="231F20"/>
          <w:spacing w:val="-6"/>
          <w:w w:val="95"/>
          <w:sz w:val="20"/>
        </w:rPr>
        <w:t xml:space="preserve"> </w:t>
      </w:r>
      <w:r>
        <w:rPr>
          <w:color w:val="231F20"/>
          <w:w w:val="95"/>
          <w:sz w:val="20"/>
        </w:rPr>
        <w:t>rules</w:t>
      </w:r>
      <w:r>
        <w:rPr>
          <w:color w:val="231F20"/>
          <w:spacing w:val="-6"/>
          <w:w w:val="95"/>
          <w:sz w:val="20"/>
        </w:rPr>
        <w:t xml:space="preserve"> </w:t>
      </w:r>
      <w:r>
        <w:rPr>
          <w:color w:val="231F20"/>
          <w:w w:val="95"/>
          <w:sz w:val="20"/>
        </w:rPr>
        <w:t>in</w:t>
      </w:r>
      <w:r>
        <w:rPr>
          <w:color w:val="231F20"/>
          <w:spacing w:val="-6"/>
          <w:w w:val="95"/>
          <w:sz w:val="20"/>
        </w:rPr>
        <w:t xml:space="preserve"> </w:t>
      </w:r>
      <w:r>
        <w:rPr>
          <w:color w:val="231F20"/>
          <w:w w:val="95"/>
          <w:sz w:val="20"/>
        </w:rPr>
        <w:t>order</w:t>
      </w:r>
      <w:r>
        <w:rPr>
          <w:color w:val="231F20"/>
          <w:spacing w:val="-6"/>
          <w:w w:val="95"/>
          <w:sz w:val="20"/>
        </w:rPr>
        <w:t xml:space="preserve"> </w:t>
      </w:r>
      <w:r>
        <w:rPr>
          <w:color w:val="231F20"/>
          <w:w w:val="95"/>
          <w:sz w:val="20"/>
        </w:rPr>
        <w:t>to</w:t>
      </w:r>
      <w:r>
        <w:rPr>
          <w:color w:val="231F20"/>
          <w:spacing w:val="-6"/>
          <w:w w:val="95"/>
          <w:sz w:val="20"/>
        </w:rPr>
        <w:t xml:space="preserve"> </w:t>
      </w:r>
      <w:r>
        <w:rPr>
          <w:color w:val="231F20"/>
          <w:w w:val="95"/>
          <w:sz w:val="20"/>
        </w:rPr>
        <w:t>guarantee results,</w:t>
      </w:r>
      <w:r>
        <w:rPr>
          <w:color w:val="231F20"/>
          <w:spacing w:val="-4"/>
          <w:w w:val="95"/>
          <w:sz w:val="20"/>
        </w:rPr>
        <w:t xml:space="preserve"> </w:t>
      </w:r>
      <w:r>
        <w:rPr>
          <w:color w:val="231F20"/>
          <w:w w:val="95"/>
          <w:sz w:val="20"/>
        </w:rPr>
        <w:t>to</w:t>
      </w:r>
      <w:r>
        <w:rPr>
          <w:color w:val="231F20"/>
          <w:spacing w:val="-4"/>
          <w:w w:val="95"/>
          <w:sz w:val="20"/>
        </w:rPr>
        <w:t xml:space="preserve"> </w:t>
      </w:r>
      <w:r>
        <w:rPr>
          <w:color w:val="231F20"/>
          <w:w w:val="95"/>
          <w:sz w:val="20"/>
        </w:rPr>
        <w:t>prevent</w:t>
      </w:r>
      <w:r>
        <w:rPr>
          <w:color w:val="231F20"/>
          <w:spacing w:val="-4"/>
          <w:w w:val="95"/>
          <w:sz w:val="20"/>
        </w:rPr>
        <w:t xml:space="preserve"> </w:t>
      </w:r>
      <w:r>
        <w:rPr>
          <w:color w:val="231F20"/>
          <w:w w:val="95"/>
          <w:sz w:val="20"/>
        </w:rPr>
        <w:t>events</w:t>
      </w:r>
      <w:r>
        <w:rPr>
          <w:color w:val="231F20"/>
          <w:spacing w:val="-4"/>
          <w:w w:val="95"/>
          <w:sz w:val="20"/>
        </w:rPr>
        <w:t xml:space="preserve"> </w:t>
      </w:r>
      <w:r>
        <w:rPr>
          <w:color w:val="231F20"/>
          <w:w w:val="95"/>
          <w:sz w:val="20"/>
        </w:rPr>
        <w:t>going</w:t>
      </w:r>
      <w:r>
        <w:rPr>
          <w:color w:val="231F20"/>
          <w:spacing w:val="-4"/>
          <w:w w:val="95"/>
          <w:sz w:val="20"/>
        </w:rPr>
        <w:t xml:space="preserve"> </w:t>
      </w:r>
      <w:r>
        <w:rPr>
          <w:color w:val="231F20"/>
          <w:w w:val="95"/>
          <w:sz w:val="20"/>
        </w:rPr>
        <w:t>too</w:t>
      </w:r>
      <w:r>
        <w:rPr>
          <w:color w:val="231F20"/>
          <w:spacing w:val="-4"/>
          <w:w w:val="95"/>
          <w:sz w:val="20"/>
        </w:rPr>
        <w:t xml:space="preserve"> </w:t>
      </w:r>
      <w:r>
        <w:rPr>
          <w:color w:val="231F20"/>
          <w:w w:val="95"/>
          <w:sz w:val="20"/>
        </w:rPr>
        <w:t>far</w:t>
      </w:r>
      <w:r>
        <w:rPr>
          <w:color w:val="231F20"/>
          <w:spacing w:val="-4"/>
          <w:w w:val="95"/>
          <w:sz w:val="20"/>
        </w:rPr>
        <w:t xml:space="preserve"> </w:t>
      </w:r>
      <w:r>
        <w:rPr>
          <w:color w:val="231F20"/>
          <w:w w:val="95"/>
          <w:sz w:val="20"/>
        </w:rPr>
        <w:t>‘over</w:t>
      </w:r>
      <w:r>
        <w:rPr>
          <w:color w:val="231F20"/>
          <w:spacing w:val="-4"/>
          <w:w w:val="95"/>
          <w:sz w:val="20"/>
        </w:rPr>
        <w:t xml:space="preserve"> </w:t>
      </w:r>
      <w:r>
        <w:rPr>
          <w:color w:val="231F20"/>
          <w:w w:val="95"/>
          <w:sz w:val="20"/>
        </w:rPr>
        <w:t>time’,</w:t>
      </w:r>
      <w:r>
        <w:rPr>
          <w:color w:val="231F20"/>
          <w:spacing w:val="-4"/>
          <w:w w:val="95"/>
          <w:sz w:val="20"/>
        </w:rPr>
        <w:t xml:space="preserve"> </w:t>
      </w:r>
      <w:r>
        <w:rPr>
          <w:color w:val="231F20"/>
          <w:w w:val="95"/>
          <w:sz w:val="20"/>
        </w:rPr>
        <w:t>and</w:t>
      </w:r>
      <w:r>
        <w:rPr>
          <w:color w:val="231F20"/>
          <w:spacing w:val="-4"/>
          <w:w w:val="95"/>
          <w:sz w:val="20"/>
        </w:rPr>
        <w:t xml:space="preserve"> </w:t>
      </w:r>
      <w:r>
        <w:rPr>
          <w:color w:val="231F20"/>
          <w:w w:val="95"/>
          <w:sz w:val="20"/>
        </w:rPr>
        <w:t>to</w:t>
      </w:r>
      <w:r>
        <w:rPr>
          <w:color w:val="231F20"/>
          <w:spacing w:val="-4"/>
          <w:w w:val="95"/>
          <w:sz w:val="20"/>
        </w:rPr>
        <w:t xml:space="preserve"> </w:t>
      </w:r>
      <w:r>
        <w:rPr>
          <w:color w:val="231F20"/>
          <w:w w:val="95"/>
          <w:sz w:val="20"/>
        </w:rPr>
        <w:t>overcome</w:t>
      </w:r>
      <w:r>
        <w:rPr>
          <w:color w:val="231F20"/>
          <w:spacing w:val="-4"/>
          <w:w w:val="95"/>
          <w:sz w:val="20"/>
        </w:rPr>
        <w:t xml:space="preserve"> </w:t>
      </w:r>
      <w:r>
        <w:rPr>
          <w:color w:val="231F20"/>
          <w:w w:val="95"/>
          <w:sz w:val="20"/>
        </w:rPr>
        <w:t>any</w:t>
      </w:r>
      <w:r>
        <w:rPr>
          <w:color w:val="231F20"/>
          <w:spacing w:val="-4"/>
          <w:w w:val="95"/>
          <w:sz w:val="20"/>
        </w:rPr>
        <w:t xml:space="preserve"> </w:t>
      </w:r>
      <w:r>
        <w:rPr>
          <w:color w:val="231F20"/>
          <w:w w:val="95"/>
          <w:sz w:val="20"/>
        </w:rPr>
        <w:t xml:space="preserve">dull </w:t>
      </w:r>
      <w:r>
        <w:rPr>
          <w:color w:val="231F20"/>
          <w:sz w:val="20"/>
        </w:rPr>
        <w:t>passages</w:t>
      </w:r>
      <w:r>
        <w:rPr>
          <w:color w:val="231F20"/>
          <w:spacing w:val="-6"/>
          <w:sz w:val="20"/>
        </w:rPr>
        <w:t xml:space="preserve"> </w:t>
      </w:r>
      <w:r>
        <w:rPr>
          <w:color w:val="231F20"/>
          <w:sz w:val="20"/>
        </w:rPr>
        <w:t>that</w:t>
      </w:r>
      <w:r>
        <w:rPr>
          <w:color w:val="231F20"/>
          <w:spacing w:val="-6"/>
          <w:sz w:val="20"/>
        </w:rPr>
        <w:t xml:space="preserve"> </w:t>
      </w:r>
      <w:r>
        <w:rPr>
          <w:color w:val="231F20"/>
          <w:sz w:val="20"/>
        </w:rPr>
        <w:t>might</w:t>
      </w:r>
      <w:r>
        <w:rPr>
          <w:color w:val="231F20"/>
          <w:spacing w:val="-6"/>
          <w:sz w:val="20"/>
        </w:rPr>
        <w:t xml:space="preserve"> </w:t>
      </w:r>
      <w:r>
        <w:rPr>
          <w:color w:val="231F20"/>
          <w:sz w:val="20"/>
        </w:rPr>
        <w:t>tempt</w:t>
      </w:r>
      <w:r>
        <w:rPr>
          <w:color w:val="231F20"/>
          <w:spacing w:val="-6"/>
          <w:sz w:val="20"/>
        </w:rPr>
        <w:t xml:space="preserve"> </w:t>
      </w:r>
      <w:r>
        <w:rPr>
          <w:color w:val="231F20"/>
          <w:sz w:val="20"/>
        </w:rPr>
        <w:t>viewers</w:t>
      </w:r>
      <w:r>
        <w:rPr>
          <w:color w:val="231F20"/>
          <w:spacing w:val="-6"/>
          <w:sz w:val="20"/>
        </w:rPr>
        <w:t xml:space="preserve"> </w:t>
      </w:r>
      <w:r>
        <w:rPr>
          <w:color w:val="231F20"/>
          <w:sz w:val="20"/>
        </w:rPr>
        <w:t>to</w:t>
      </w:r>
      <w:r>
        <w:rPr>
          <w:color w:val="231F20"/>
          <w:spacing w:val="-6"/>
          <w:sz w:val="20"/>
        </w:rPr>
        <w:t xml:space="preserve"> </w:t>
      </w:r>
      <w:r>
        <w:rPr>
          <w:color w:val="231F20"/>
          <w:sz w:val="20"/>
        </w:rPr>
        <w:t>reach</w:t>
      </w:r>
      <w:r>
        <w:rPr>
          <w:color w:val="231F20"/>
          <w:spacing w:val="-6"/>
          <w:sz w:val="20"/>
        </w:rPr>
        <w:t xml:space="preserve"> </w:t>
      </w:r>
      <w:r>
        <w:rPr>
          <w:color w:val="231F20"/>
          <w:sz w:val="20"/>
        </w:rPr>
        <w:t>for</w:t>
      </w:r>
      <w:r>
        <w:rPr>
          <w:color w:val="231F20"/>
          <w:spacing w:val="-6"/>
          <w:sz w:val="20"/>
        </w:rPr>
        <w:t xml:space="preserve"> </w:t>
      </w:r>
      <w:r>
        <w:rPr>
          <w:color w:val="231F20"/>
          <w:sz w:val="20"/>
        </w:rPr>
        <w:t>the</w:t>
      </w:r>
      <w:r>
        <w:rPr>
          <w:color w:val="231F20"/>
          <w:spacing w:val="-6"/>
          <w:sz w:val="20"/>
        </w:rPr>
        <w:t xml:space="preserve"> </w:t>
      </w:r>
      <w:r>
        <w:rPr>
          <w:color w:val="231F20"/>
          <w:sz w:val="20"/>
        </w:rPr>
        <w:t>dial</w:t>
      </w:r>
      <w:r>
        <w:rPr>
          <w:color w:val="231F20"/>
          <w:spacing w:val="-6"/>
          <w:sz w:val="20"/>
        </w:rPr>
        <w:t xml:space="preserve"> </w:t>
      </w:r>
      <w:r>
        <w:rPr>
          <w:color w:val="231F20"/>
          <w:sz w:val="20"/>
        </w:rPr>
        <w:t>(later</w:t>
      </w:r>
      <w:r>
        <w:rPr>
          <w:color w:val="231F20"/>
          <w:spacing w:val="-6"/>
          <w:sz w:val="20"/>
        </w:rPr>
        <w:t xml:space="preserve"> </w:t>
      </w:r>
      <w:r>
        <w:rPr>
          <w:color w:val="231F20"/>
          <w:sz w:val="20"/>
        </w:rPr>
        <w:t>the</w:t>
      </w:r>
      <w:r>
        <w:rPr>
          <w:color w:val="231F20"/>
          <w:spacing w:val="-6"/>
          <w:sz w:val="20"/>
        </w:rPr>
        <w:t xml:space="preserve"> </w:t>
      </w:r>
      <w:r>
        <w:rPr>
          <w:color w:val="231F20"/>
          <w:sz w:val="20"/>
        </w:rPr>
        <w:t xml:space="preserve">remote </w:t>
      </w:r>
      <w:r>
        <w:rPr>
          <w:color w:val="231F20"/>
          <w:spacing w:val="-2"/>
          <w:sz w:val="20"/>
        </w:rPr>
        <w:t>control).</w:t>
      </w:r>
      <w:r>
        <w:rPr>
          <w:color w:val="231F20"/>
          <w:spacing w:val="-4"/>
          <w:sz w:val="20"/>
        </w:rPr>
        <w:t xml:space="preserve"> </w:t>
      </w:r>
      <w:r>
        <w:rPr>
          <w:color w:val="231F20"/>
          <w:spacing w:val="-2"/>
          <w:sz w:val="20"/>
        </w:rPr>
        <w:t>The</w:t>
      </w:r>
      <w:r>
        <w:rPr>
          <w:color w:val="231F20"/>
          <w:spacing w:val="-4"/>
          <w:sz w:val="20"/>
        </w:rPr>
        <w:t xml:space="preserve"> </w:t>
      </w:r>
      <w:r>
        <w:rPr>
          <w:color w:val="231F20"/>
          <w:spacing w:val="-2"/>
          <w:sz w:val="20"/>
        </w:rPr>
        <w:t>global</w:t>
      </w:r>
      <w:r>
        <w:rPr>
          <w:color w:val="231F20"/>
          <w:spacing w:val="-4"/>
          <w:sz w:val="20"/>
        </w:rPr>
        <w:t xml:space="preserve"> </w:t>
      </w:r>
      <w:r>
        <w:rPr>
          <w:color w:val="231F20"/>
          <w:spacing w:val="-2"/>
          <w:sz w:val="20"/>
        </w:rPr>
        <w:t>spread</w:t>
      </w:r>
      <w:r>
        <w:rPr>
          <w:color w:val="231F20"/>
          <w:spacing w:val="-4"/>
          <w:sz w:val="20"/>
        </w:rPr>
        <w:t xml:space="preserve"> </w:t>
      </w:r>
      <w:r>
        <w:rPr>
          <w:color w:val="231F20"/>
          <w:spacing w:val="-2"/>
          <w:sz w:val="20"/>
        </w:rPr>
        <w:t>of</w:t>
      </w:r>
      <w:r>
        <w:rPr>
          <w:color w:val="231F20"/>
          <w:sz w:val="20"/>
        </w:rPr>
        <w:t xml:space="preserve"> </w:t>
      </w:r>
      <w:r>
        <w:rPr>
          <w:color w:val="231F20"/>
          <w:spacing w:val="-2"/>
          <w:sz w:val="20"/>
        </w:rPr>
        <w:t>sports</w:t>
      </w:r>
      <w:r>
        <w:rPr>
          <w:color w:val="231F20"/>
          <w:spacing w:val="-4"/>
          <w:sz w:val="20"/>
        </w:rPr>
        <w:t xml:space="preserve"> </w:t>
      </w:r>
      <w:r>
        <w:rPr>
          <w:color w:val="231F20"/>
          <w:spacing w:val="-2"/>
          <w:sz w:val="20"/>
        </w:rPr>
        <w:t>television</w:t>
      </w:r>
      <w:r>
        <w:rPr>
          <w:color w:val="231F20"/>
          <w:spacing w:val="-4"/>
          <w:sz w:val="20"/>
        </w:rPr>
        <w:t xml:space="preserve"> </w:t>
      </w:r>
      <w:r>
        <w:rPr>
          <w:color w:val="231F20"/>
          <w:spacing w:val="-2"/>
          <w:sz w:val="20"/>
        </w:rPr>
        <w:t>has</w:t>
      </w:r>
      <w:r>
        <w:rPr>
          <w:color w:val="231F20"/>
          <w:spacing w:val="-4"/>
          <w:sz w:val="20"/>
        </w:rPr>
        <w:t xml:space="preserve"> </w:t>
      </w:r>
      <w:r>
        <w:rPr>
          <w:color w:val="231F20"/>
          <w:spacing w:val="-2"/>
          <w:sz w:val="20"/>
        </w:rPr>
        <w:t>created</w:t>
      </w:r>
      <w:r>
        <w:rPr>
          <w:color w:val="231F20"/>
          <w:spacing w:val="-4"/>
          <w:sz w:val="20"/>
        </w:rPr>
        <w:t xml:space="preserve"> </w:t>
      </w:r>
      <w:r>
        <w:rPr>
          <w:color w:val="231F20"/>
          <w:spacing w:val="-2"/>
          <w:sz w:val="20"/>
        </w:rPr>
        <w:t>its</w:t>
      </w:r>
      <w:r>
        <w:rPr>
          <w:color w:val="231F20"/>
          <w:spacing w:val="-4"/>
          <w:sz w:val="20"/>
        </w:rPr>
        <w:t xml:space="preserve"> </w:t>
      </w:r>
      <w:r>
        <w:rPr>
          <w:color w:val="231F20"/>
          <w:spacing w:val="-2"/>
          <w:sz w:val="20"/>
        </w:rPr>
        <w:t>own</w:t>
      </w:r>
      <w:r>
        <w:rPr>
          <w:color w:val="231F20"/>
          <w:spacing w:val="-4"/>
          <w:sz w:val="20"/>
        </w:rPr>
        <w:t xml:space="preserve"> </w:t>
      </w:r>
      <w:r>
        <w:rPr>
          <w:color w:val="231F20"/>
          <w:spacing w:val="-2"/>
          <w:sz w:val="20"/>
        </w:rPr>
        <w:t xml:space="preserve">severe </w:t>
      </w:r>
      <w:r>
        <w:rPr>
          <w:color w:val="231F20"/>
          <w:w w:val="95"/>
          <w:sz w:val="20"/>
        </w:rPr>
        <w:t>pressures</w:t>
      </w:r>
      <w:r>
        <w:rPr>
          <w:color w:val="231F20"/>
          <w:spacing w:val="-2"/>
          <w:w w:val="95"/>
          <w:sz w:val="20"/>
        </w:rPr>
        <w:t xml:space="preserve"> </w:t>
      </w:r>
      <w:r>
        <w:rPr>
          <w:color w:val="231F20"/>
          <w:w w:val="95"/>
          <w:sz w:val="20"/>
        </w:rPr>
        <w:t>on</w:t>
      </w:r>
      <w:r>
        <w:rPr>
          <w:color w:val="231F20"/>
          <w:spacing w:val="-2"/>
          <w:w w:val="95"/>
          <w:sz w:val="20"/>
        </w:rPr>
        <w:t xml:space="preserve"> </w:t>
      </w:r>
      <w:r>
        <w:rPr>
          <w:color w:val="231F20"/>
          <w:w w:val="95"/>
          <w:sz w:val="20"/>
        </w:rPr>
        <w:t>sport</w:t>
      </w:r>
      <w:r>
        <w:rPr>
          <w:color w:val="231F20"/>
          <w:spacing w:val="-2"/>
          <w:w w:val="95"/>
          <w:sz w:val="20"/>
        </w:rPr>
        <w:t xml:space="preserve"> </w:t>
      </w:r>
      <w:r>
        <w:rPr>
          <w:color w:val="231F20"/>
          <w:w w:val="95"/>
          <w:sz w:val="20"/>
        </w:rPr>
        <w:t>by,</w:t>
      </w:r>
      <w:r>
        <w:rPr>
          <w:color w:val="231F20"/>
          <w:spacing w:val="-2"/>
          <w:w w:val="95"/>
          <w:sz w:val="20"/>
        </w:rPr>
        <w:t xml:space="preserve"> </w:t>
      </w:r>
      <w:r>
        <w:rPr>
          <w:color w:val="231F20"/>
          <w:w w:val="95"/>
          <w:sz w:val="20"/>
        </w:rPr>
        <w:t>for</w:t>
      </w:r>
      <w:r>
        <w:rPr>
          <w:color w:val="231F20"/>
          <w:spacing w:val="-2"/>
          <w:w w:val="95"/>
          <w:sz w:val="20"/>
        </w:rPr>
        <w:t xml:space="preserve"> </w:t>
      </w:r>
      <w:r>
        <w:rPr>
          <w:color w:val="231F20"/>
          <w:w w:val="95"/>
          <w:sz w:val="20"/>
        </w:rPr>
        <w:t>example,</w:t>
      </w:r>
      <w:r>
        <w:rPr>
          <w:color w:val="231F20"/>
          <w:spacing w:val="-2"/>
          <w:w w:val="95"/>
          <w:sz w:val="20"/>
        </w:rPr>
        <w:t xml:space="preserve"> </w:t>
      </w:r>
      <w:r>
        <w:rPr>
          <w:color w:val="231F20"/>
          <w:w w:val="95"/>
          <w:sz w:val="20"/>
        </w:rPr>
        <w:t>demanding</w:t>
      </w:r>
      <w:r>
        <w:rPr>
          <w:color w:val="231F20"/>
          <w:spacing w:val="-2"/>
          <w:w w:val="95"/>
          <w:sz w:val="20"/>
        </w:rPr>
        <w:t xml:space="preserve"> </w:t>
      </w:r>
      <w:r>
        <w:rPr>
          <w:color w:val="231F20"/>
          <w:w w:val="95"/>
          <w:sz w:val="20"/>
        </w:rPr>
        <w:t>that</w:t>
      </w:r>
      <w:r>
        <w:rPr>
          <w:color w:val="231F20"/>
          <w:spacing w:val="-2"/>
          <w:w w:val="95"/>
          <w:sz w:val="20"/>
        </w:rPr>
        <w:t xml:space="preserve"> </w:t>
      </w:r>
      <w:r>
        <w:rPr>
          <w:color w:val="231F20"/>
          <w:w w:val="95"/>
          <w:sz w:val="20"/>
        </w:rPr>
        <w:t>wherever</w:t>
      </w:r>
      <w:r>
        <w:rPr>
          <w:color w:val="231F20"/>
          <w:spacing w:val="-2"/>
          <w:w w:val="95"/>
          <w:sz w:val="20"/>
        </w:rPr>
        <w:t xml:space="preserve"> </w:t>
      </w:r>
      <w:r>
        <w:rPr>
          <w:color w:val="231F20"/>
          <w:w w:val="95"/>
          <w:sz w:val="20"/>
        </w:rPr>
        <w:t>possible</w:t>
      </w:r>
      <w:r>
        <w:rPr>
          <w:color w:val="231F20"/>
          <w:spacing w:val="-2"/>
          <w:w w:val="95"/>
          <w:sz w:val="20"/>
        </w:rPr>
        <w:t xml:space="preserve"> </w:t>
      </w:r>
      <w:r>
        <w:rPr>
          <w:color w:val="231F20"/>
          <w:w w:val="95"/>
          <w:sz w:val="20"/>
        </w:rPr>
        <w:t xml:space="preserve">‘live’ sports should be transmitted at a time convenient for the largest and most </w:t>
      </w:r>
      <w:r>
        <w:rPr>
          <w:color w:val="231F20"/>
          <w:sz w:val="20"/>
        </w:rPr>
        <w:t>lucrative</w:t>
      </w:r>
      <w:r>
        <w:rPr>
          <w:color w:val="231F20"/>
          <w:spacing w:val="-8"/>
          <w:sz w:val="20"/>
        </w:rPr>
        <w:t xml:space="preserve"> </w:t>
      </w:r>
      <w:r>
        <w:rPr>
          <w:color w:val="231F20"/>
          <w:sz w:val="20"/>
        </w:rPr>
        <w:t>TV</w:t>
      </w:r>
      <w:r>
        <w:rPr>
          <w:color w:val="231F20"/>
          <w:spacing w:val="-8"/>
          <w:sz w:val="20"/>
        </w:rPr>
        <w:t xml:space="preserve"> </w:t>
      </w:r>
      <w:r>
        <w:rPr>
          <w:color w:val="231F20"/>
          <w:sz w:val="20"/>
        </w:rPr>
        <w:t>markets.</w:t>
      </w:r>
      <w:r>
        <w:rPr>
          <w:color w:val="231F20"/>
          <w:spacing w:val="-8"/>
          <w:sz w:val="20"/>
        </w:rPr>
        <w:t xml:space="preserve"> </w:t>
      </w:r>
      <w:r>
        <w:rPr>
          <w:color w:val="231F20"/>
          <w:sz w:val="20"/>
        </w:rPr>
        <w:t>(Rowe,</w:t>
      </w:r>
      <w:r>
        <w:rPr>
          <w:color w:val="231F20"/>
          <w:spacing w:val="-8"/>
          <w:sz w:val="20"/>
        </w:rPr>
        <w:t xml:space="preserve"> </w:t>
      </w:r>
      <w:r>
        <w:rPr>
          <w:color w:val="231F20"/>
          <w:sz w:val="20"/>
        </w:rPr>
        <w:t>1996:</w:t>
      </w:r>
      <w:r>
        <w:rPr>
          <w:color w:val="231F20"/>
          <w:spacing w:val="-8"/>
          <w:sz w:val="20"/>
        </w:rPr>
        <w:t xml:space="preserve"> </w:t>
      </w:r>
      <w:r>
        <w:rPr>
          <w:color w:val="231F20"/>
          <w:sz w:val="20"/>
        </w:rPr>
        <w:t>573)</w:t>
      </w:r>
    </w:p>
    <w:p w14:paraId="4775EF94" w14:textId="77777777" w:rsidR="00AE0598" w:rsidRDefault="00AE0598">
      <w:pPr>
        <w:pStyle w:val="Corpodetexto"/>
        <w:spacing w:before="8"/>
        <w:rPr>
          <w:sz w:val="20"/>
        </w:rPr>
      </w:pPr>
    </w:p>
    <w:p w14:paraId="1274E193" w14:textId="77777777" w:rsidR="00AE0598" w:rsidRDefault="0069255A">
      <w:pPr>
        <w:pStyle w:val="Corpodetexto"/>
        <w:spacing w:before="1" w:line="232" w:lineRule="auto"/>
        <w:ind w:left="110" w:right="127"/>
        <w:jc w:val="both"/>
      </w:pPr>
      <w:r>
        <w:rPr>
          <w:color w:val="231F20"/>
        </w:rPr>
        <w:t>Interactive technology in the form of pay-per-view television, online streaming,</w:t>
      </w:r>
      <w:r>
        <w:rPr>
          <w:color w:val="231F20"/>
          <w:spacing w:val="-9"/>
        </w:rPr>
        <w:t xml:space="preserve"> </w:t>
      </w:r>
      <w:r>
        <w:rPr>
          <w:color w:val="231F20"/>
        </w:rPr>
        <w:t>social</w:t>
      </w:r>
      <w:r>
        <w:rPr>
          <w:color w:val="231F20"/>
          <w:spacing w:val="-9"/>
        </w:rPr>
        <w:t xml:space="preserve"> </w:t>
      </w:r>
      <w:r>
        <w:rPr>
          <w:color w:val="231F20"/>
        </w:rPr>
        <w:t>media</w:t>
      </w:r>
      <w:r>
        <w:rPr>
          <w:color w:val="231F20"/>
          <w:spacing w:val="-9"/>
        </w:rPr>
        <w:t xml:space="preserve"> </w:t>
      </w:r>
      <w:r>
        <w:rPr>
          <w:color w:val="231F20"/>
        </w:rPr>
        <w:t>and</w:t>
      </w:r>
      <w:r>
        <w:rPr>
          <w:color w:val="231F20"/>
          <w:spacing w:val="-9"/>
        </w:rPr>
        <w:t xml:space="preserve"> </w:t>
      </w:r>
      <w:r>
        <w:rPr>
          <w:color w:val="231F20"/>
        </w:rPr>
        <w:t>video</w:t>
      </w:r>
      <w:r>
        <w:rPr>
          <w:color w:val="231F20"/>
          <w:spacing w:val="-9"/>
        </w:rPr>
        <w:t xml:space="preserve"> </w:t>
      </w:r>
      <w:r>
        <w:rPr>
          <w:color w:val="231F20"/>
        </w:rPr>
        <w:t>games</w:t>
      </w:r>
      <w:r>
        <w:rPr>
          <w:color w:val="231F20"/>
          <w:spacing w:val="-9"/>
        </w:rPr>
        <w:t xml:space="preserve"> </w:t>
      </w:r>
      <w:r>
        <w:rPr>
          <w:color w:val="231F20"/>
        </w:rPr>
        <w:t>presents</w:t>
      </w:r>
      <w:r>
        <w:rPr>
          <w:color w:val="231F20"/>
          <w:spacing w:val="-9"/>
        </w:rPr>
        <w:t xml:space="preserve"> </w:t>
      </w:r>
      <w:r>
        <w:rPr>
          <w:color w:val="231F20"/>
        </w:rPr>
        <w:t>substantial</w:t>
      </w:r>
      <w:r>
        <w:rPr>
          <w:color w:val="231F20"/>
          <w:spacing w:val="-9"/>
        </w:rPr>
        <w:t xml:space="preserve"> </w:t>
      </w:r>
      <w:r>
        <w:rPr>
          <w:color w:val="231F20"/>
        </w:rPr>
        <w:t>challenges for</w:t>
      </w:r>
      <w:r>
        <w:rPr>
          <w:color w:val="231F20"/>
          <w:spacing w:val="-5"/>
        </w:rPr>
        <w:t xml:space="preserve"> </w:t>
      </w:r>
      <w:r>
        <w:rPr>
          <w:color w:val="231F20"/>
        </w:rPr>
        <w:t>sport</w:t>
      </w:r>
      <w:r>
        <w:rPr>
          <w:color w:val="231F20"/>
          <w:spacing w:val="-5"/>
        </w:rPr>
        <w:t xml:space="preserve"> </w:t>
      </w:r>
      <w:r>
        <w:rPr>
          <w:color w:val="231F20"/>
        </w:rPr>
        <w:t>tourism.</w:t>
      </w:r>
      <w:r>
        <w:rPr>
          <w:color w:val="231F20"/>
          <w:spacing w:val="-5"/>
        </w:rPr>
        <w:t xml:space="preserve"> </w:t>
      </w:r>
      <w:r>
        <w:rPr>
          <w:color w:val="231F20"/>
        </w:rPr>
        <w:t>Over</w:t>
      </w:r>
      <w:r>
        <w:rPr>
          <w:color w:val="231F20"/>
          <w:spacing w:val="-5"/>
        </w:rPr>
        <w:t xml:space="preserve"> </w:t>
      </w:r>
      <w:r>
        <w:rPr>
          <w:color w:val="231F20"/>
        </w:rPr>
        <w:t>25</w:t>
      </w:r>
      <w:r>
        <w:rPr>
          <w:color w:val="231F20"/>
          <w:spacing w:val="-5"/>
        </w:rPr>
        <w:t xml:space="preserve"> </w:t>
      </w:r>
      <w:r>
        <w:rPr>
          <w:color w:val="231F20"/>
        </w:rPr>
        <w:t>years</w:t>
      </w:r>
      <w:r>
        <w:rPr>
          <w:color w:val="231F20"/>
          <w:spacing w:val="-5"/>
        </w:rPr>
        <w:t xml:space="preserve"> </w:t>
      </w:r>
      <w:r>
        <w:rPr>
          <w:color w:val="231F20"/>
        </w:rPr>
        <w:t>ago,</w:t>
      </w:r>
      <w:r>
        <w:rPr>
          <w:color w:val="231F20"/>
          <w:spacing w:val="-5"/>
        </w:rPr>
        <w:t xml:space="preserve"> </w:t>
      </w:r>
      <w:r>
        <w:rPr>
          <w:color w:val="231F20"/>
        </w:rPr>
        <w:t>Johnson</w:t>
      </w:r>
      <w:r>
        <w:rPr>
          <w:color w:val="231F20"/>
          <w:spacing w:val="-5"/>
        </w:rPr>
        <w:t xml:space="preserve"> </w:t>
      </w:r>
      <w:r>
        <w:rPr>
          <w:color w:val="231F20"/>
        </w:rPr>
        <w:t>(1991)</w:t>
      </w:r>
      <w:r>
        <w:rPr>
          <w:color w:val="231F20"/>
          <w:spacing w:val="-5"/>
        </w:rPr>
        <w:t xml:space="preserve"> </w:t>
      </w:r>
      <w:r>
        <w:rPr>
          <w:color w:val="231F20"/>
        </w:rPr>
        <w:t>speculated</w:t>
      </w:r>
      <w:r>
        <w:rPr>
          <w:color w:val="231F20"/>
          <w:spacing w:val="-5"/>
        </w:rPr>
        <w:t xml:space="preserve"> </w:t>
      </w:r>
      <w:r>
        <w:rPr>
          <w:color w:val="231F20"/>
        </w:rPr>
        <w:t>that</w:t>
      </w:r>
      <w:r>
        <w:rPr>
          <w:color w:val="231F20"/>
          <w:spacing w:val="-5"/>
        </w:rPr>
        <w:t xml:space="preserve"> </w:t>
      </w:r>
      <w:r>
        <w:rPr>
          <w:color w:val="231F20"/>
        </w:rPr>
        <w:t>the increasingly</w:t>
      </w:r>
      <w:r>
        <w:rPr>
          <w:color w:val="231F20"/>
          <w:spacing w:val="-12"/>
        </w:rPr>
        <w:t xml:space="preserve"> </w:t>
      </w:r>
      <w:r>
        <w:rPr>
          <w:color w:val="231F20"/>
        </w:rPr>
        <w:t>interactive</w:t>
      </w:r>
      <w:r>
        <w:rPr>
          <w:color w:val="231F20"/>
          <w:spacing w:val="-12"/>
        </w:rPr>
        <w:t xml:space="preserve"> </w:t>
      </w:r>
      <w:r>
        <w:rPr>
          <w:color w:val="231F20"/>
        </w:rPr>
        <w:t>experience</w:t>
      </w:r>
      <w:r>
        <w:rPr>
          <w:color w:val="231F20"/>
          <w:spacing w:val="-11"/>
        </w:rPr>
        <w:t xml:space="preserve"> </w:t>
      </w:r>
      <w:r>
        <w:rPr>
          <w:color w:val="231F20"/>
        </w:rPr>
        <w:t>of</w:t>
      </w:r>
      <w:r>
        <w:rPr>
          <w:color w:val="231F20"/>
          <w:spacing w:val="-12"/>
        </w:rPr>
        <w:t xml:space="preserve"> </w:t>
      </w:r>
      <w:r>
        <w:rPr>
          <w:color w:val="231F20"/>
        </w:rPr>
        <w:t>watching</w:t>
      </w:r>
      <w:r>
        <w:rPr>
          <w:color w:val="231F20"/>
          <w:spacing w:val="-11"/>
        </w:rPr>
        <w:t xml:space="preserve"> </w:t>
      </w:r>
      <w:r>
        <w:rPr>
          <w:color w:val="231F20"/>
        </w:rPr>
        <w:t>sport</w:t>
      </w:r>
      <w:r>
        <w:rPr>
          <w:color w:val="231F20"/>
          <w:spacing w:val="-12"/>
        </w:rPr>
        <w:t xml:space="preserve"> </w:t>
      </w:r>
      <w:r>
        <w:rPr>
          <w:color w:val="231F20"/>
        </w:rPr>
        <w:t>from</w:t>
      </w:r>
      <w:r>
        <w:rPr>
          <w:color w:val="231F20"/>
          <w:spacing w:val="-11"/>
        </w:rPr>
        <w:t xml:space="preserve"> </w:t>
      </w:r>
      <w:r>
        <w:rPr>
          <w:color w:val="231F20"/>
        </w:rPr>
        <w:t>the</w:t>
      </w:r>
      <w:r>
        <w:rPr>
          <w:color w:val="231F20"/>
          <w:spacing w:val="-12"/>
        </w:rPr>
        <w:t xml:space="preserve"> </w:t>
      </w:r>
      <w:r>
        <w:rPr>
          <w:color w:val="231F20"/>
        </w:rPr>
        <w:t>comfort</w:t>
      </w:r>
      <w:r>
        <w:rPr>
          <w:color w:val="231F20"/>
          <w:spacing w:val="-12"/>
        </w:rPr>
        <w:t xml:space="preserve"> </w:t>
      </w:r>
      <w:r>
        <w:rPr>
          <w:color w:val="231F20"/>
        </w:rPr>
        <w:t xml:space="preserve">of </w:t>
      </w:r>
      <w:r>
        <w:rPr>
          <w:color w:val="231F20"/>
          <w:w w:val="95"/>
        </w:rPr>
        <w:t>home</w:t>
      </w:r>
      <w:r>
        <w:rPr>
          <w:color w:val="231F20"/>
          <w:spacing w:val="-4"/>
          <w:w w:val="95"/>
        </w:rPr>
        <w:t xml:space="preserve"> </w:t>
      </w:r>
      <w:r>
        <w:rPr>
          <w:color w:val="231F20"/>
          <w:w w:val="95"/>
        </w:rPr>
        <w:t>may</w:t>
      </w:r>
      <w:r>
        <w:rPr>
          <w:color w:val="231F20"/>
          <w:spacing w:val="-4"/>
          <w:w w:val="95"/>
        </w:rPr>
        <w:t xml:space="preserve"> </w:t>
      </w:r>
      <w:r>
        <w:rPr>
          <w:color w:val="231F20"/>
          <w:w w:val="95"/>
        </w:rPr>
        <w:t>eventually</w:t>
      </w:r>
      <w:r>
        <w:rPr>
          <w:color w:val="231F20"/>
          <w:spacing w:val="-4"/>
          <w:w w:val="95"/>
        </w:rPr>
        <w:t xml:space="preserve"> </w:t>
      </w:r>
      <w:r>
        <w:rPr>
          <w:color w:val="231F20"/>
          <w:w w:val="95"/>
        </w:rPr>
        <w:t>result</w:t>
      </w:r>
      <w:r>
        <w:rPr>
          <w:color w:val="231F20"/>
          <w:spacing w:val="-4"/>
          <w:w w:val="95"/>
        </w:rPr>
        <w:t xml:space="preserve"> </w:t>
      </w:r>
      <w:r>
        <w:rPr>
          <w:color w:val="231F20"/>
          <w:w w:val="95"/>
        </w:rPr>
        <w:t>in</w:t>
      </w:r>
      <w:r>
        <w:rPr>
          <w:color w:val="231F20"/>
          <w:spacing w:val="-4"/>
          <w:w w:val="95"/>
        </w:rPr>
        <w:t xml:space="preserve"> </w:t>
      </w:r>
      <w:r>
        <w:rPr>
          <w:color w:val="231F20"/>
          <w:w w:val="95"/>
        </w:rPr>
        <w:t>the</w:t>
      </w:r>
      <w:r>
        <w:rPr>
          <w:color w:val="231F20"/>
          <w:spacing w:val="-4"/>
          <w:w w:val="95"/>
        </w:rPr>
        <w:t xml:space="preserve"> </w:t>
      </w:r>
      <w:r>
        <w:rPr>
          <w:color w:val="231F20"/>
          <w:w w:val="95"/>
        </w:rPr>
        <w:t>need</w:t>
      </w:r>
      <w:r>
        <w:rPr>
          <w:color w:val="231F20"/>
          <w:spacing w:val="-4"/>
          <w:w w:val="95"/>
        </w:rPr>
        <w:t xml:space="preserve"> </w:t>
      </w:r>
      <w:r>
        <w:rPr>
          <w:color w:val="231F20"/>
          <w:w w:val="95"/>
        </w:rPr>
        <w:t>to</w:t>
      </w:r>
      <w:r>
        <w:rPr>
          <w:color w:val="231F20"/>
          <w:spacing w:val="-4"/>
          <w:w w:val="95"/>
        </w:rPr>
        <w:t xml:space="preserve"> </w:t>
      </w:r>
      <w:r>
        <w:rPr>
          <w:color w:val="231F20"/>
          <w:w w:val="95"/>
        </w:rPr>
        <w:t>pay</w:t>
      </w:r>
      <w:r>
        <w:rPr>
          <w:color w:val="231F20"/>
          <w:spacing w:val="-4"/>
          <w:w w:val="95"/>
        </w:rPr>
        <w:t xml:space="preserve"> </w:t>
      </w:r>
      <w:r>
        <w:rPr>
          <w:color w:val="231F20"/>
          <w:w w:val="95"/>
        </w:rPr>
        <w:t>spectators</w:t>
      </w:r>
      <w:r>
        <w:rPr>
          <w:color w:val="231F20"/>
          <w:spacing w:val="-4"/>
          <w:w w:val="95"/>
        </w:rPr>
        <w:t xml:space="preserve"> </w:t>
      </w:r>
      <w:r>
        <w:rPr>
          <w:color w:val="231F20"/>
          <w:w w:val="95"/>
        </w:rPr>
        <w:t>to</w:t>
      </w:r>
      <w:r>
        <w:rPr>
          <w:color w:val="231F20"/>
          <w:spacing w:val="-4"/>
          <w:w w:val="95"/>
        </w:rPr>
        <w:t xml:space="preserve"> </w:t>
      </w:r>
      <w:r>
        <w:rPr>
          <w:color w:val="231F20"/>
          <w:w w:val="95"/>
        </w:rPr>
        <w:t>attend</w:t>
      </w:r>
      <w:r>
        <w:rPr>
          <w:color w:val="231F20"/>
          <w:spacing w:val="-4"/>
          <w:w w:val="95"/>
        </w:rPr>
        <w:t xml:space="preserve"> </w:t>
      </w:r>
      <w:r>
        <w:rPr>
          <w:color w:val="231F20"/>
          <w:w w:val="95"/>
        </w:rPr>
        <w:t>televised games</w:t>
      </w:r>
      <w:r>
        <w:rPr>
          <w:color w:val="231F20"/>
          <w:spacing w:val="-9"/>
          <w:w w:val="95"/>
        </w:rPr>
        <w:t xml:space="preserve"> </w:t>
      </w:r>
      <w:r>
        <w:rPr>
          <w:color w:val="231F20"/>
          <w:w w:val="95"/>
        </w:rPr>
        <w:t>in</w:t>
      </w:r>
      <w:r>
        <w:rPr>
          <w:color w:val="231F20"/>
          <w:spacing w:val="-9"/>
          <w:w w:val="95"/>
        </w:rPr>
        <w:t xml:space="preserve"> </w:t>
      </w:r>
      <w:r>
        <w:rPr>
          <w:color w:val="231F20"/>
          <w:w w:val="95"/>
        </w:rPr>
        <w:t>order</w:t>
      </w:r>
      <w:r>
        <w:rPr>
          <w:color w:val="231F20"/>
          <w:spacing w:val="-9"/>
          <w:w w:val="95"/>
        </w:rPr>
        <w:t xml:space="preserve"> </w:t>
      </w:r>
      <w:r>
        <w:rPr>
          <w:color w:val="231F20"/>
          <w:w w:val="95"/>
        </w:rPr>
        <w:t>to</w:t>
      </w:r>
      <w:r>
        <w:rPr>
          <w:color w:val="231F20"/>
          <w:spacing w:val="-9"/>
          <w:w w:val="95"/>
        </w:rPr>
        <w:t xml:space="preserve"> </w:t>
      </w:r>
      <w:r>
        <w:rPr>
          <w:color w:val="231F20"/>
          <w:w w:val="95"/>
        </w:rPr>
        <w:t>cre</w:t>
      </w:r>
      <w:r>
        <w:rPr>
          <w:color w:val="231F20"/>
          <w:w w:val="95"/>
        </w:rPr>
        <w:t>ate</w:t>
      </w:r>
      <w:r>
        <w:rPr>
          <w:color w:val="231F20"/>
          <w:spacing w:val="-9"/>
          <w:w w:val="95"/>
        </w:rPr>
        <w:t xml:space="preserve"> </w:t>
      </w:r>
      <w:r>
        <w:rPr>
          <w:color w:val="231F20"/>
          <w:w w:val="95"/>
        </w:rPr>
        <w:t>an</w:t>
      </w:r>
      <w:r>
        <w:rPr>
          <w:color w:val="231F20"/>
          <w:spacing w:val="-9"/>
          <w:w w:val="95"/>
        </w:rPr>
        <w:t xml:space="preserve"> </w:t>
      </w:r>
      <w:r>
        <w:rPr>
          <w:color w:val="231F20"/>
          <w:w w:val="95"/>
        </w:rPr>
        <w:t>exciting</w:t>
      </w:r>
      <w:r>
        <w:rPr>
          <w:color w:val="231F20"/>
          <w:spacing w:val="-9"/>
          <w:w w:val="95"/>
        </w:rPr>
        <w:t xml:space="preserve"> </w:t>
      </w:r>
      <w:r>
        <w:rPr>
          <w:color w:val="231F20"/>
          <w:w w:val="95"/>
        </w:rPr>
        <w:t>atmosphere</w:t>
      </w:r>
      <w:r>
        <w:rPr>
          <w:color w:val="231F20"/>
          <w:spacing w:val="-9"/>
          <w:w w:val="95"/>
        </w:rPr>
        <w:t xml:space="preserve"> </w:t>
      </w:r>
      <w:r>
        <w:rPr>
          <w:color w:val="231F20"/>
          <w:w w:val="95"/>
        </w:rPr>
        <w:t>in</w:t>
      </w:r>
      <w:r>
        <w:rPr>
          <w:color w:val="231F20"/>
          <w:spacing w:val="-9"/>
          <w:w w:val="95"/>
        </w:rPr>
        <w:t xml:space="preserve"> </w:t>
      </w:r>
      <w:r>
        <w:rPr>
          <w:color w:val="231F20"/>
          <w:w w:val="95"/>
        </w:rPr>
        <w:t>the</w:t>
      </w:r>
      <w:r>
        <w:rPr>
          <w:color w:val="231F20"/>
          <w:spacing w:val="-9"/>
          <w:w w:val="95"/>
        </w:rPr>
        <w:t xml:space="preserve"> </w:t>
      </w:r>
      <w:r>
        <w:rPr>
          <w:color w:val="231F20"/>
          <w:w w:val="95"/>
        </w:rPr>
        <w:t>sporting</w:t>
      </w:r>
      <w:r>
        <w:rPr>
          <w:color w:val="231F20"/>
          <w:spacing w:val="-9"/>
          <w:w w:val="95"/>
        </w:rPr>
        <w:t xml:space="preserve"> </w:t>
      </w:r>
      <w:r>
        <w:rPr>
          <w:color w:val="231F20"/>
          <w:w w:val="95"/>
        </w:rPr>
        <w:t>venue.</w:t>
      </w:r>
      <w:r>
        <w:rPr>
          <w:color w:val="231F20"/>
          <w:spacing w:val="-9"/>
          <w:w w:val="95"/>
        </w:rPr>
        <w:t xml:space="preserve"> </w:t>
      </w:r>
      <w:r>
        <w:rPr>
          <w:color w:val="231F20"/>
          <w:w w:val="95"/>
        </w:rPr>
        <w:t xml:space="preserve">While </w:t>
      </w:r>
      <w:r>
        <w:rPr>
          <w:color w:val="231F20"/>
        </w:rPr>
        <w:t xml:space="preserve">this prediction has not yet become a common reality, the distribution of </w:t>
      </w:r>
      <w:r>
        <w:rPr>
          <w:color w:val="231F20"/>
          <w:spacing w:val="-2"/>
          <w:w w:val="95"/>
        </w:rPr>
        <w:t xml:space="preserve">complementary tickets to increase crowd size and atmosphere at events with </w:t>
      </w:r>
      <w:r>
        <w:rPr>
          <w:color w:val="231F20"/>
        </w:rPr>
        <w:t>poor</w:t>
      </w:r>
      <w:r>
        <w:rPr>
          <w:color w:val="231F20"/>
          <w:spacing w:val="-12"/>
        </w:rPr>
        <w:t xml:space="preserve"> </w:t>
      </w:r>
      <w:r>
        <w:rPr>
          <w:color w:val="231F20"/>
        </w:rPr>
        <w:t>advanced</w:t>
      </w:r>
      <w:r>
        <w:rPr>
          <w:color w:val="231F20"/>
          <w:spacing w:val="-12"/>
        </w:rPr>
        <w:t xml:space="preserve"> </w:t>
      </w:r>
      <w:r>
        <w:rPr>
          <w:color w:val="231F20"/>
        </w:rPr>
        <w:t>ticket</w:t>
      </w:r>
      <w:r>
        <w:rPr>
          <w:color w:val="231F20"/>
          <w:spacing w:val="-11"/>
        </w:rPr>
        <w:t xml:space="preserve"> </w:t>
      </w:r>
      <w:r>
        <w:rPr>
          <w:color w:val="231F20"/>
        </w:rPr>
        <w:t>sales</w:t>
      </w:r>
      <w:r>
        <w:rPr>
          <w:color w:val="231F20"/>
          <w:spacing w:val="-12"/>
        </w:rPr>
        <w:t xml:space="preserve"> </w:t>
      </w:r>
      <w:r>
        <w:rPr>
          <w:color w:val="231F20"/>
        </w:rPr>
        <w:t>is</w:t>
      </w:r>
      <w:r>
        <w:rPr>
          <w:color w:val="231F20"/>
          <w:spacing w:val="-11"/>
        </w:rPr>
        <w:t xml:space="preserve"> </w:t>
      </w:r>
      <w:r>
        <w:rPr>
          <w:color w:val="231F20"/>
        </w:rPr>
        <w:t>a</w:t>
      </w:r>
      <w:r>
        <w:rPr>
          <w:color w:val="231F20"/>
          <w:spacing w:val="-12"/>
        </w:rPr>
        <w:t xml:space="preserve"> </w:t>
      </w:r>
      <w:r>
        <w:rPr>
          <w:color w:val="231F20"/>
        </w:rPr>
        <w:t>common</w:t>
      </w:r>
      <w:r>
        <w:rPr>
          <w:color w:val="231F20"/>
          <w:spacing w:val="-11"/>
        </w:rPr>
        <w:t xml:space="preserve"> </w:t>
      </w:r>
      <w:r>
        <w:rPr>
          <w:color w:val="231F20"/>
        </w:rPr>
        <w:t>practice</w:t>
      </w:r>
      <w:r>
        <w:rPr>
          <w:color w:val="231F20"/>
          <w:spacing w:val="-12"/>
        </w:rPr>
        <w:t xml:space="preserve"> </w:t>
      </w:r>
      <w:r>
        <w:rPr>
          <w:color w:val="231F20"/>
        </w:rPr>
        <w:t>–</w:t>
      </w:r>
      <w:r>
        <w:rPr>
          <w:color w:val="231F20"/>
          <w:spacing w:val="-12"/>
        </w:rPr>
        <w:t xml:space="preserve"> </w:t>
      </w:r>
      <w:r>
        <w:rPr>
          <w:color w:val="231F20"/>
        </w:rPr>
        <w:t>especially</w:t>
      </w:r>
      <w:r>
        <w:rPr>
          <w:color w:val="231F20"/>
          <w:spacing w:val="-11"/>
        </w:rPr>
        <w:t xml:space="preserve"> </w:t>
      </w:r>
      <w:r>
        <w:rPr>
          <w:color w:val="231F20"/>
        </w:rPr>
        <w:t>when</w:t>
      </w:r>
      <w:r>
        <w:rPr>
          <w:color w:val="231F20"/>
          <w:spacing w:val="-12"/>
        </w:rPr>
        <w:t xml:space="preserve"> </w:t>
      </w:r>
      <w:r>
        <w:rPr>
          <w:color w:val="231F20"/>
        </w:rPr>
        <w:t>a</w:t>
      </w:r>
      <w:r>
        <w:rPr>
          <w:color w:val="231F20"/>
          <w:spacing w:val="-11"/>
        </w:rPr>
        <w:t xml:space="preserve"> </w:t>
      </w:r>
      <w:r>
        <w:rPr>
          <w:color w:val="231F20"/>
        </w:rPr>
        <w:t xml:space="preserve">large broadcast audience is anticipated. For sport tourists, the benefits of the </w:t>
      </w:r>
      <w:r>
        <w:rPr>
          <w:color w:val="231F20"/>
          <w:w w:val="95"/>
        </w:rPr>
        <w:t xml:space="preserve">on-site experience must clearly </w:t>
      </w:r>
      <w:r>
        <w:rPr>
          <w:color w:val="231F20"/>
          <w:w w:val="95"/>
        </w:rPr>
        <w:t xml:space="preserve">exceed the costs associated with the trip. It </w:t>
      </w:r>
      <w:r>
        <w:rPr>
          <w:color w:val="231F20"/>
        </w:rPr>
        <w:t>is</w:t>
      </w:r>
      <w:r>
        <w:rPr>
          <w:color w:val="231F20"/>
          <w:spacing w:val="-11"/>
        </w:rPr>
        <w:t xml:space="preserve"> </w:t>
      </w:r>
      <w:r>
        <w:rPr>
          <w:color w:val="231F20"/>
        </w:rPr>
        <w:t>also</w:t>
      </w:r>
      <w:r>
        <w:rPr>
          <w:color w:val="231F20"/>
          <w:spacing w:val="-11"/>
        </w:rPr>
        <w:t xml:space="preserve"> </w:t>
      </w:r>
      <w:r>
        <w:rPr>
          <w:color w:val="231F20"/>
        </w:rPr>
        <w:t>important</w:t>
      </w:r>
      <w:r>
        <w:rPr>
          <w:color w:val="231F20"/>
          <w:spacing w:val="-11"/>
        </w:rPr>
        <w:t xml:space="preserve"> </w:t>
      </w:r>
      <w:r>
        <w:rPr>
          <w:color w:val="231F20"/>
        </w:rPr>
        <w:t>for</w:t>
      </w:r>
      <w:r>
        <w:rPr>
          <w:color w:val="231F20"/>
          <w:spacing w:val="-11"/>
        </w:rPr>
        <w:t xml:space="preserve"> </w:t>
      </w:r>
      <w:r>
        <w:rPr>
          <w:color w:val="231F20"/>
        </w:rPr>
        <w:t>sport</w:t>
      </w:r>
      <w:r>
        <w:rPr>
          <w:color w:val="231F20"/>
          <w:spacing w:val="-11"/>
        </w:rPr>
        <w:t xml:space="preserve"> </w:t>
      </w:r>
      <w:r>
        <w:rPr>
          <w:color w:val="231F20"/>
        </w:rPr>
        <w:t>tourism</w:t>
      </w:r>
      <w:r>
        <w:rPr>
          <w:color w:val="231F20"/>
          <w:spacing w:val="-11"/>
        </w:rPr>
        <w:t xml:space="preserve"> </w:t>
      </w:r>
      <w:r>
        <w:rPr>
          <w:color w:val="231F20"/>
        </w:rPr>
        <w:t>managers</w:t>
      </w:r>
      <w:r>
        <w:rPr>
          <w:color w:val="231F20"/>
          <w:spacing w:val="-11"/>
        </w:rPr>
        <w:t xml:space="preserve"> </w:t>
      </w:r>
      <w:r>
        <w:rPr>
          <w:color w:val="231F20"/>
        </w:rPr>
        <w:t>to</w:t>
      </w:r>
      <w:r>
        <w:rPr>
          <w:color w:val="231F20"/>
          <w:spacing w:val="-11"/>
        </w:rPr>
        <w:t xml:space="preserve"> </w:t>
      </w:r>
      <w:r>
        <w:rPr>
          <w:color w:val="231F20"/>
        </w:rPr>
        <w:t>advocate</w:t>
      </w:r>
      <w:r>
        <w:rPr>
          <w:color w:val="231F20"/>
          <w:spacing w:val="-11"/>
        </w:rPr>
        <w:t xml:space="preserve"> </w:t>
      </w:r>
      <w:r>
        <w:rPr>
          <w:color w:val="231F20"/>
        </w:rPr>
        <w:t>the</w:t>
      </w:r>
      <w:r>
        <w:rPr>
          <w:color w:val="231F20"/>
          <w:spacing w:val="-11"/>
        </w:rPr>
        <w:t xml:space="preserve"> </w:t>
      </w:r>
      <w:r>
        <w:rPr>
          <w:color w:val="231F20"/>
        </w:rPr>
        <w:t>retention</w:t>
      </w:r>
      <w:r>
        <w:rPr>
          <w:color w:val="231F20"/>
          <w:spacing w:val="-11"/>
        </w:rPr>
        <w:t xml:space="preserve"> </w:t>
      </w:r>
      <w:r>
        <w:rPr>
          <w:color w:val="231F20"/>
        </w:rPr>
        <w:t>of the</w:t>
      </w:r>
      <w:r>
        <w:rPr>
          <w:color w:val="231F20"/>
          <w:spacing w:val="-5"/>
        </w:rPr>
        <w:t xml:space="preserve"> </w:t>
      </w:r>
      <w:r>
        <w:rPr>
          <w:color w:val="231F20"/>
        </w:rPr>
        <w:t>things</w:t>
      </w:r>
      <w:r>
        <w:rPr>
          <w:color w:val="231F20"/>
          <w:spacing w:val="-5"/>
        </w:rPr>
        <w:t xml:space="preserve"> </w:t>
      </w:r>
      <w:r>
        <w:rPr>
          <w:color w:val="231F20"/>
        </w:rPr>
        <w:t>that</w:t>
      </w:r>
      <w:r>
        <w:rPr>
          <w:color w:val="231F20"/>
          <w:spacing w:val="-5"/>
        </w:rPr>
        <w:t xml:space="preserve"> </w:t>
      </w:r>
      <w:r>
        <w:rPr>
          <w:color w:val="231F20"/>
        </w:rPr>
        <w:t>make</w:t>
      </w:r>
      <w:r>
        <w:rPr>
          <w:color w:val="231F20"/>
          <w:spacing w:val="-5"/>
        </w:rPr>
        <w:t xml:space="preserve"> </w:t>
      </w:r>
      <w:r>
        <w:rPr>
          <w:color w:val="231F20"/>
        </w:rPr>
        <w:t>sport</w:t>
      </w:r>
      <w:r>
        <w:rPr>
          <w:color w:val="231F20"/>
          <w:spacing w:val="-5"/>
        </w:rPr>
        <w:t xml:space="preserve"> </w:t>
      </w:r>
      <w:r>
        <w:rPr>
          <w:color w:val="231F20"/>
        </w:rPr>
        <w:t>distinctive.</w:t>
      </w:r>
      <w:r>
        <w:rPr>
          <w:color w:val="231F20"/>
          <w:spacing w:val="-5"/>
        </w:rPr>
        <w:t xml:space="preserve"> </w:t>
      </w:r>
      <w:r>
        <w:rPr>
          <w:color w:val="231F20"/>
        </w:rPr>
        <w:t>The</w:t>
      </w:r>
      <w:r>
        <w:rPr>
          <w:color w:val="231F20"/>
          <w:spacing w:val="-5"/>
        </w:rPr>
        <w:t xml:space="preserve"> </w:t>
      </w:r>
      <w:r>
        <w:rPr>
          <w:color w:val="231F20"/>
        </w:rPr>
        <w:t>inherent</w:t>
      </w:r>
      <w:r>
        <w:rPr>
          <w:color w:val="231F20"/>
          <w:spacing w:val="-5"/>
        </w:rPr>
        <w:t xml:space="preserve"> </w:t>
      </w:r>
      <w:r>
        <w:rPr>
          <w:color w:val="231F20"/>
        </w:rPr>
        <w:t>authenticity</w:t>
      </w:r>
      <w:r>
        <w:rPr>
          <w:color w:val="231F20"/>
          <w:spacing w:val="-5"/>
        </w:rPr>
        <w:t xml:space="preserve"> </w:t>
      </w:r>
      <w:r>
        <w:rPr>
          <w:color w:val="231F20"/>
        </w:rPr>
        <w:t xml:space="preserve">of sport </w:t>
      </w:r>
      <w:r>
        <w:rPr>
          <w:color w:val="231F20"/>
          <w:w w:val="95"/>
        </w:rPr>
        <w:t>(Hinch</w:t>
      </w:r>
      <w:r>
        <w:rPr>
          <w:color w:val="231F20"/>
          <w:spacing w:val="-1"/>
          <w:w w:val="95"/>
        </w:rPr>
        <w:t xml:space="preserve"> </w:t>
      </w:r>
      <w:r>
        <w:rPr>
          <w:color w:val="231F20"/>
          <w:w w:val="95"/>
        </w:rPr>
        <w:t>&amp;</w:t>
      </w:r>
      <w:r>
        <w:rPr>
          <w:color w:val="231F20"/>
          <w:spacing w:val="-1"/>
          <w:w w:val="95"/>
        </w:rPr>
        <w:t xml:space="preserve"> </w:t>
      </w:r>
      <w:r>
        <w:rPr>
          <w:color w:val="231F20"/>
          <w:w w:val="95"/>
        </w:rPr>
        <w:t>Higham,</w:t>
      </w:r>
      <w:r>
        <w:rPr>
          <w:color w:val="231F20"/>
          <w:spacing w:val="-1"/>
          <w:w w:val="95"/>
        </w:rPr>
        <w:t xml:space="preserve"> </w:t>
      </w:r>
      <w:r>
        <w:rPr>
          <w:color w:val="231F20"/>
          <w:w w:val="95"/>
        </w:rPr>
        <w:t>2005)</w:t>
      </w:r>
      <w:r>
        <w:rPr>
          <w:color w:val="231F20"/>
          <w:spacing w:val="-1"/>
          <w:w w:val="95"/>
        </w:rPr>
        <w:t xml:space="preserve"> </w:t>
      </w:r>
      <w:r>
        <w:rPr>
          <w:color w:val="231F20"/>
          <w:w w:val="95"/>
        </w:rPr>
        <w:t>provides</w:t>
      </w:r>
      <w:r>
        <w:rPr>
          <w:color w:val="231F20"/>
          <w:spacing w:val="-1"/>
          <w:w w:val="95"/>
        </w:rPr>
        <w:t xml:space="preserve"> </w:t>
      </w:r>
      <w:r>
        <w:rPr>
          <w:color w:val="231F20"/>
          <w:w w:val="95"/>
        </w:rPr>
        <w:t>a</w:t>
      </w:r>
      <w:r>
        <w:rPr>
          <w:color w:val="231F20"/>
          <w:spacing w:val="-1"/>
          <w:w w:val="95"/>
        </w:rPr>
        <w:t xml:space="preserve"> </w:t>
      </w:r>
      <w:r>
        <w:rPr>
          <w:color w:val="231F20"/>
          <w:w w:val="95"/>
        </w:rPr>
        <w:t>competitive</w:t>
      </w:r>
      <w:r>
        <w:rPr>
          <w:color w:val="231F20"/>
          <w:spacing w:val="-1"/>
          <w:w w:val="95"/>
        </w:rPr>
        <w:t xml:space="preserve"> </w:t>
      </w:r>
      <w:r>
        <w:rPr>
          <w:color w:val="231F20"/>
          <w:w w:val="95"/>
        </w:rPr>
        <w:t>advantage</w:t>
      </w:r>
      <w:r>
        <w:rPr>
          <w:color w:val="231F20"/>
          <w:spacing w:val="-1"/>
          <w:w w:val="95"/>
        </w:rPr>
        <w:t xml:space="preserve"> </w:t>
      </w:r>
      <w:r>
        <w:rPr>
          <w:color w:val="231F20"/>
          <w:w w:val="95"/>
        </w:rPr>
        <w:t>to</w:t>
      </w:r>
      <w:r>
        <w:rPr>
          <w:color w:val="231F20"/>
          <w:spacing w:val="-1"/>
          <w:w w:val="95"/>
        </w:rPr>
        <w:t xml:space="preserve"> </w:t>
      </w:r>
      <w:r>
        <w:rPr>
          <w:color w:val="231F20"/>
          <w:w w:val="95"/>
        </w:rPr>
        <w:t>many</w:t>
      </w:r>
      <w:r>
        <w:rPr>
          <w:color w:val="231F20"/>
          <w:spacing w:val="-1"/>
          <w:w w:val="95"/>
        </w:rPr>
        <w:t xml:space="preserve"> </w:t>
      </w:r>
      <w:r>
        <w:rPr>
          <w:color w:val="231F20"/>
          <w:w w:val="95"/>
        </w:rPr>
        <w:t xml:space="preserve">tourism </w:t>
      </w:r>
      <w:r>
        <w:rPr>
          <w:color w:val="231F20"/>
        </w:rPr>
        <w:t xml:space="preserve">destinations that may be lost if the nature of the activity shifts to staged </w:t>
      </w:r>
      <w:r>
        <w:rPr>
          <w:color w:val="231F20"/>
          <w:spacing w:val="-2"/>
        </w:rPr>
        <w:t>entertainment.</w:t>
      </w:r>
    </w:p>
    <w:p w14:paraId="28FE91F4" w14:textId="77777777" w:rsidR="00AE0598" w:rsidRDefault="0069255A">
      <w:pPr>
        <w:pStyle w:val="Corpodetexto"/>
        <w:spacing w:before="19" w:line="232" w:lineRule="auto"/>
        <w:ind w:left="110" w:right="125" w:firstLine="320"/>
        <w:jc w:val="both"/>
      </w:pPr>
      <w:r>
        <w:rPr>
          <w:color w:val="231F20"/>
        </w:rPr>
        <w:t>The influential role of the media is not limited to mainstream sports. Subculture sports can also be closely tied to the media. In today’s</w:t>
      </w:r>
      <w:r>
        <w:rPr>
          <w:color w:val="231F20"/>
        </w:rPr>
        <w:t xml:space="preserve"> post- modern</w:t>
      </w:r>
      <w:r>
        <w:rPr>
          <w:color w:val="231F20"/>
          <w:spacing w:val="40"/>
        </w:rPr>
        <w:t xml:space="preserve"> </w:t>
      </w:r>
      <w:r>
        <w:rPr>
          <w:color w:val="231F20"/>
        </w:rPr>
        <w:t>society</w:t>
      </w:r>
      <w:r>
        <w:rPr>
          <w:color w:val="231F20"/>
          <w:spacing w:val="40"/>
        </w:rPr>
        <w:t xml:space="preserve"> </w:t>
      </w:r>
      <w:r>
        <w:rPr>
          <w:color w:val="231F20"/>
        </w:rPr>
        <w:t>‘…the</w:t>
      </w:r>
      <w:r>
        <w:rPr>
          <w:color w:val="231F20"/>
          <w:spacing w:val="40"/>
        </w:rPr>
        <w:t xml:space="preserve"> </w:t>
      </w:r>
      <w:r>
        <w:rPr>
          <w:color w:val="231F20"/>
        </w:rPr>
        <w:t>specialized</w:t>
      </w:r>
      <w:r>
        <w:rPr>
          <w:color w:val="231F20"/>
          <w:spacing w:val="40"/>
        </w:rPr>
        <w:t xml:space="preserve"> </w:t>
      </w:r>
      <w:r>
        <w:rPr>
          <w:color w:val="231F20"/>
        </w:rPr>
        <w:t>press</w:t>
      </w:r>
      <w:r>
        <w:rPr>
          <w:color w:val="231F20"/>
          <w:spacing w:val="40"/>
          <w:w w:val="105"/>
        </w:rPr>
        <w:t xml:space="preserve"> </w:t>
      </w:r>
      <w:r>
        <w:rPr>
          <w:color w:val="231F20"/>
          <w:w w:val="105"/>
        </w:rPr>
        <w:t>…</w:t>
      </w:r>
      <w:r>
        <w:rPr>
          <w:color w:val="231F20"/>
          <w:spacing w:val="40"/>
          <w:w w:val="105"/>
        </w:rPr>
        <w:t xml:space="preserve"> </w:t>
      </w:r>
      <w:r>
        <w:rPr>
          <w:color w:val="231F20"/>
        </w:rPr>
        <w:t>plays</w:t>
      </w:r>
      <w:r>
        <w:rPr>
          <w:color w:val="231F20"/>
          <w:spacing w:val="40"/>
        </w:rPr>
        <w:t xml:space="preserve"> </w:t>
      </w:r>
      <w:r>
        <w:rPr>
          <w:color w:val="231F20"/>
        </w:rPr>
        <w:t>a</w:t>
      </w:r>
      <w:r>
        <w:rPr>
          <w:color w:val="231F20"/>
          <w:spacing w:val="40"/>
        </w:rPr>
        <w:t xml:space="preserve"> </w:t>
      </w:r>
      <w:r>
        <w:rPr>
          <w:color w:val="231F20"/>
        </w:rPr>
        <w:t>fundamental</w:t>
      </w:r>
      <w:r>
        <w:rPr>
          <w:color w:val="231F20"/>
          <w:spacing w:val="40"/>
        </w:rPr>
        <w:t xml:space="preserve"> </w:t>
      </w:r>
      <w:r>
        <w:rPr>
          <w:color w:val="231F20"/>
        </w:rPr>
        <w:t xml:space="preserve">role in initiating participants to techniques, equipment, cultural codes and </w:t>
      </w:r>
      <w:r>
        <w:rPr>
          <w:color w:val="231F20"/>
          <w:w w:val="95"/>
        </w:rPr>
        <w:t xml:space="preserve">languages which lay the foundations for the identity of the sports “tribes”’ (Bourdeau </w:t>
      </w:r>
      <w:r>
        <w:rPr>
          <w:i/>
          <w:color w:val="231F20"/>
          <w:w w:val="95"/>
        </w:rPr>
        <w:t>et al.</w:t>
      </w:r>
      <w:r>
        <w:rPr>
          <w:color w:val="231F20"/>
          <w:w w:val="95"/>
        </w:rPr>
        <w:t xml:space="preserve">, 2002: 27). This </w:t>
      </w:r>
      <w:r>
        <w:rPr>
          <w:color w:val="231F20"/>
          <w:w w:val="95"/>
        </w:rPr>
        <w:t>media is, therefore, of particular interest</w:t>
      </w:r>
      <w:r>
        <w:rPr>
          <w:color w:val="231F20"/>
          <w:spacing w:val="80"/>
        </w:rPr>
        <w:t xml:space="preserve"> </w:t>
      </w:r>
      <w:r>
        <w:rPr>
          <w:color w:val="231F20"/>
          <w:w w:val="95"/>
        </w:rPr>
        <w:t>to</w:t>
      </w:r>
      <w:r>
        <w:rPr>
          <w:color w:val="231F20"/>
          <w:spacing w:val="-3"/>
          <w:w w:val="95"/>
        </w:rPr>
        <w:t xml:space="preserve"> </w:t>
      </w:r>
      <w:r>
        <w:rPr>
          <w:color w:val="231F20"/>
          <w:w w:val="95"/>
        </w:rPr>
        <w:t>sport</w:t>
      </w:r>
      <w:r>
        <w:rPr>
          <w:color w:val="231F20"/>
          <w:spacing w:val="-3"/>
          <w:w w:val="95"/>
        </w:rPr>
        <w:t xml:space="preserve"> </w:t>
      </w:r>
      <w:r>
        <w:rPr>
          <w:color w:val="231F20"/>
          <w:w w:val="95"/>
        </w:rPr>
        <w:t>tourism</w:t>
      </w:r>
      <w:r>
        <w:rPr>
          <w:color w:val="231F20"/>
          <w:spacing w:val="-3"/>
          <w:w w:val="95"/>
        </w:rPr>
        <w:t xml:space="preserve"> </w:t>
      </w:r>
      <w:r>
        <w:rPr>
          <w:color w:val="231F20"/>
          <w:w w:val="95"/>
        </w:rPr>
        <w:t>managers</w:t>
      </w:r>
      <w:r>
        <w:rPr>
          <w:color w:val="231F20"/>
          <w:spacing w:val="-3"/>
          <w:w w:val="95"/>
        </w:rPr>
        <w:t xml:space="preserve"> </w:t>
      </w:r>
      <w:r>
        <w:rPr>
          <w:color w:val="231F20"/>
          <w:w w:val="95"/>
        </w:rPr>
        <w:t>as</w:t>
      </w:r>
      <w:r>
        <w:rPr>
          <w:color w:val="231F20"/>
          <w:spacing w:val="-3"/>
          <w:w w:val="95"/>
        </w:rPr>
        <w:t xml:space="preserve"> </w:t>
      </w:r>
      <w:r>
        <w:rPr>
          <w:color w:val="231F20"/>
          <w:w w:val="95"/>
        </w:rPr>
        <w:t>it</w:t>
      </w:r>
      <w:r>
        <w:rPr>
          <w:color w:val="231F20"/>
          <w:spacing w:val="-3"/>
          <w:w w:val="95"/>
        </w:rPr>
        <w:t xml:space="preserve"> </w:t>
      </w:r>
      <w:r>
        <w:rPr>
          <w:color w:val="231F20"/>
          <w:w w:val="95"/>
        </w:rPr>
        <w:t>influences</w:t>
      </w:r>
      <w:r>
        <w:rPr>
          <w:color w:val="231F20"/>
          <w:spacing w:val="-3"/>
          <w:w w:val="95"/>
        </w:rPr>
        <w:t xml:space="preserve"> </w:t>
      </w:r>
      <w:r>
        <w:rPr>
          <w:color w:val="231F20"/>
          <w:w w:val="95"/>
        </w:rPr>
        <w:t>where</w:t>
      </w:r>
      <w:r>
        <w:rPr>
          <w:color w:val="231F20"/>
          <w:spacing w:val="-3"/>
          <w:w w:val="95"/>
        </w:rPr>
        <w:t xml:space="preserve"> </w:t>
      </w:r>
      <w:r>
        <w:rPr>
          <w:color w:val="231F20"/>
          <w:w w:val="95"/>
        </w:rPr>
        <w:t>sport</w:t>
      </w:r>
      <w:r>
        <w:rPr>
          <w:color w:val="231F20"/>
          <w:spacing w:val="-3"/>
          <w:w w:val="95"/>
        </w:rPr>
        <w:t xml:space="preserve"> </w:t>
      </w:r>
      <w:r>
        <w:rPr>
          <w:color w:val="231F20"/>
          <w:w w:val="95"/>
        </w:rPr>
        <w:t>subcultures</w:t>
      </w:r>
      <w:r>
        <w:rPr>
          <w:color w:val="231F20"/>
          <w:spacing w:val="-3"/>
          <w:w w:val="95"/>
        </w:rPr>
        <w:t xml:space="preserve"> </w:t>
      </w:r>
      <w:r>
        <w:rPr>
          <w:color w:val="231F20"/>
          <w:w w:val="95"/>
        </w:rPr>
        <w:t>travel</w:t>
      </w:r>
      <w:r>
        <w:rPr>
          <w:color w:val="231F20"/>
          <w:spacing w:val="-3"/>
          <w:w w:val="95"/>
        </w:rPr>
        <w:t xml:space="preserve"> </w:t>
      </w:r>
      <w:r>
        <w:rPr>
          <w:color w:val="231F20"/>
          <w:w w:val="95"/>
        </w:rPr>
        <w:t xml:space="preserve">in </w:t>
      </w:r>
      <w:r>
        <w:rPr>
          <w:color w:val="231F20"/>
        </w:rPr>
        <w:t>pursuit of their sporting passions.</w:t>
      </w:r>
    </w:p>
    <w:p w14:paraId="49321768" w14:textId="77777777" w:rsidR="00AE0598" w:rsidRDefault="00AE0598">
      <w:pPr>
        <w:spacing w:line="232" w:lineRule="auto"/>
        <w:jc w:val="both"/>
        <w:sectPr w:rsidR="00AE0598">
          <w:pgSz w:w="8850" w:h="13270"/>
          <w:pgMar w:top="720" w:right="1060" w:bottom="280" w:left="1080" w:header="720" w:footer="720" w:gutter="0"/>
          <w:cols w:space="720"/>
        </w:sectPr>
      </w:pPr>
    </w:p>
    <w:p w14:paraId="21B8BB7D" w14:textId="77777777" w:rsidR="00AE0598" w:rsidRDefault="0069255A">
      <w:pPr>
        <w:spacing w:before="87"/>
        <w:ind w:left="108"/>
        <w:jc w:val="both"/>
        <w:rPr>
          <w:rFonts w:ascii="Trebuchet MS"/>
          <w:sz w:val="14"/>
        </w:rPr>
      </w:pPr>
      <w:r>
        <w:rPr>
          <w:rFonts w:ascii="Trebuchet MS"/>
          <w:color w:val="231F20"/>
          <w:w w:val="105"/>
          <w:sz w:val="14"/>
        </w:rPr>
        <w:lastRenderedPageBreak/>
        <w:t>216</w:t>
      </w:r>
      <w:r>
        <w:rPr>
          <w:rFonts w:ascii="Trebuchet MS"/>
          <w:color w:val="231F20"/>
          <w:spacing w:val="66"/>
          <w:w w:val="150"/>
          <w:sz w:val="14"/>
        </w:rPr>
        <w:t xml:space="preserve"> </w:t>
      </w:r>
      <w:r>
        <w:rPr>
          <w:rFonts w:ascii="Trebuchet MS"/>
          <w:color w:val="231F20"/>
          <w:w w:val="105"/>
          <w:sz w:val="14"/>
        </w:rPr>
        <w:t>Part</w:t>
      </w:r>
      <w:r>
        <w:rPr>
          <w:rFonts w:ascii="Trebuchet MS"/>
          <w:color w:val="231F20"/>
          <w:spacing w:val="-9"/>
          <w:w w:val="105"/>
          <w:sz w:val="14"/>
        </w:rPr>
        <w:t xml:space="preserve"> </w:t>
      </w:r>
      <w:r>
        <w:rPr>
          <w:rFonts w:ascii="Trebuchet MS"/>
          <w:color w:val="231F20"/>
          <w:w w:val="105"/>
          <w:sz w:val="14"/>
        </w:rPr>
        <w:t>4:</w:t>
      </w:r>
      <w:r>
        <w:rPr>
          <w:rFonts w:ascii="Trebuchet MS"/>
          <w:color w:val="231F20"/>
          <w:spacing w:val="-8"/>
          <w:w w:val="105"/>
          <w:sz w:val="14"/>
        </w:rPr>
        <w:t xml:space="preserve"> </w:t>
      </w:r>
      <w:r>
        <w:rPr>
          <w:rFonts w:ascii="Trebuchet MS"/>
          <w:color w:val="231F20"/>
          <w:w w:val="105"/>
          <w:sz w:val="14"/>
        </w:rPr>
        <w:t>Sport</w:t>
      </w:r>
      <w:r>
        <w:rPr>
          <w:rFonts w:ascii="Trebuchet MS"/>
          <w:color w:val="231F20"/>
          <w:spacing w:val="-9"/>
          <w:w w:val="105"/>
          <w:sz w:val="14"/>
        </w:rPr>
        <w:t xml:space="preserve"> </w:t>
      </w:r>
      <w:r>
        <w:rPr>
          <w:rFonts w:ascii="Trebuchet MS"/>
          <w:color w:val="231F20"/>
          <w:w w:val="105"/>
          <w:sz w:val="14"/>
        </w:rPr>
        <w:t>Tourism</w:t>
      </w:r>
      <w:r>
        <w:rPr>
          <w:rFonts w:ascii="Trebuchet MS"/>
          <w:color w:val="231F20"/>
          <w:spacing w:val="-9"/>
          <w:w w:val="105"/>
          <w:sz w:val="14"/>
        </w:rPr>
        <w:t xml:space="preserve"> </w:t>
      </w:r>
      <w:r>
        <w:rPr>
          <w:rFonts w:ascii="Trebuchet MS"/>
          <w:color w:val="231F20"/>
          <w:w w:val="105"/>
          <w:sz w:val="14"/>
        </w:rPr>
        <w:t>Development</w:t>
      </w:r>
      <w:r>
        <w:rPr>
          <w:rFonts w:ascii="Trebuchet MS"/>
          <w:color w:val="231F20"/>
          <w:spacing w:val="-9"/>
          <w:w w:val="105"/>
          <w:sz w:val="14"/>
        </w:rPr>
        <w:t xml:space="preserve"> </w:t>
      </w:r>
      <w:r>
        <w:rPr>
          <w:rFonts w:ascii="Trebuchet MS"/>
          <w:color w:val="231F20"/>
          <w:w w:val="105"/>
          <w:sz w:val="14"/>
        </w:rPr>
        <w:t>and</w:t>
      </w:r>
      <w:r>
        <w:rPr>
          <w:rFonts w:ascii="Trebuchet MS"/>
          <w:color w:val="231F20"/>
          <w:spacing w:val="-8"/>
          <w:w w:val="105"/>
          <w:sz w:val="14"/>
        </w:rPr>
        <w:t xml:space="preserve"> </w:t>
      </w:r>
      <w:r>
        <w:rPr>
          <w:rFonts w:ascii="Trebuchet MS"/>
          <w:color w:val="231F20"/>
          <w:spacing w:val="-4"/>
          <w:w w:val="105"/>
          <w:sz w:val="14"/>
        </w:rPr>
        <w:t>Time</w:t>
      </w:r>
    </w:p>
    <w:p w14:paraId="46FD618F" w14:textId="77777777" w:rsidR="00AE0598" w:rsidRDefault="00AE0598">
      <w:pPr>
        <w:pStyle w:val="Corpodetexto"/>
        <w:rPr>
          <w:rFonts w:ascii="Trebuchet MS"/>
          <w:sz w:val="16"/>
        </w:rPr>
      </w:pPr>
    </w:p>
    <w:p w14:paraId="019478CE" w14:textId="77777777" w:rsidR="00AE0598" w:rsidRDefault="0069255A">
      <w:pPr>
        <w:spacing w:before="120"/>
        <w:ind w:left="110"/>
        <w:rPr>
          <w:rFonts w:ascii="Trebuchet MS"/>
          <w:sz w:val="20"/>
        </w:rPr>
      </w:pPr>
      <w:r>
        <w:rPr>
          <w:rFonts w:ascii="Trebuchet MS"/>
          <w:color w:val="231F20"/>
          <w:w w:val="105"/>
          <w:sz w:val="20"/>
        </w:rPr>
        <w:t>Environmental</w:t>
      </w:r>
      <w:r>
        <w:rPr>
          <w:rFonts w:ascii="Trebuchet MS"/>
          <w:color w:val="231F20"/>
          <w:spacing w:val="-5"/>
          <w:w w:val="105"/>
          <w:sz w:val="20"/>
        </w:rPr>
        <w:t xml:space="preserve"> </w:t>
      </w:r>
      <w:r>
        <w:rPr>
          <w:rFonts w:ascii="Trebuchet MS"/>
          <w:color w:val="231F20"/>
          <w:spacing w:val="-2"/>
          <w:w w:val="105"/>
          <w:sz w:val="20"/>
        </w:rPr>
        <w:t>trends</w:t>
      </w:r>
    </w:p>
    <w:p w14:paraId="37EB1FBF" w14:textId="77777777" w:rsidR="00AE0598" w:rsidRDefault="0069255A">
      <w:pPr>
        <w:pStyle w:val="Corpodetexto"/>
        <w:spacing w:before="122" w:line="232" w:lineRule="auto"/>
        <w:ind w:left="110" w:right="125" w:firstLine="320"/>
        <w:jc w:val="both"/>
      </w:pPr>
      <w:r>
        <w:rPr>
          <w:color w:val="231F20"/>
        </w:rPr>
        <w:t>Over the long term, the interaction of sport and tourism will be strongly influenced by environmental trends (see Chapters 7 and 9). There</w:t>
      </w:r>
      <w:r>
        <w:rPr>
          <w:color w:val="231F20"/>
          <w:spacing w:val="-6"/>
        </w:rPr>
        <w:t xml:space="preserve"> </w:t>
      </w:r>
      <w:r>
        <w:rPr>
          <w:color w:val="231F20"/>
        </w:rPr>
        <w:t>are</w:t>
      </w:r>
      <w:r>
        <w:rPr>
          <w:color w:val="231F20"/>
          <w:spacing w:val="-6"/>
        </w:rPr>
        <w:t xml:space="preserve"> </w:t>
      </w:r>
      <w:r>
        <w:rPr>
          <w:color w:val="231F20"/>
        </w:rPr>
        <w:t>many</w:t>
      </w:r>
      <w:r>
        <w:rPr>
          <w:color w:val="231F20"/>
          <w:spacing w:val="-5"/>
        </w:rPr>
        <w:t xml:space="preserve"> </w:t>
      </w:r>
      <w:r>
        <w:rPr>
          <w:color w:val="231F20"/>
        </w:rPr>
        <w:t>environmental</w:t>
      </w:r>
      <w:r>
        <w:rPr>
          <w:color w:val="231F20"/>
          <w:spacing w:val="-6"/>
        </w:rPr>
        <w:t xml:space="preserve"> </w:t>
      </w:r>
      <w:r>
        <w:rPr>
          <w:color w:val="231F20"/>
        </w:rPr>
        <w:t>trends</w:t>
      </w:r>
      <w:r>
        <w:rPr>
          <w:color w:val="231F20"/>
          <w:spacing w:val="-5"/>
        </w:rPr>
        <w:t xml:space="preserve"> </w:t>
      </w:r>
      <w:r>
        <w:rPr>
          <w:color w:val="231F20"/>
        </w:rPr>
        <w:t>of</w:t>
      </w:r>
      <w:r>
        <w:rPr>
          <w:color w:val="231F20"/>
          <w:spacing w:val="-5"/>
        </w:rPr>
        <w:t xml:space="preserve"> </w:t>
      </w:r>
      <w:r>
        <w:rPr>
          <w:color w:val="231F20"/>
        </w:rPr>
        <w:t>relevance</w:t>
      </w:r>
      <w:r>
        <w:rPr>
          <w:color w:val="231F20"/>
          <w:spacing w:val="-6"/>
        </w:rPr>
        <w:t xml:space="preserve"> </w:t>
      </w:r>
      <w:r>
        <w:rPr>
          <w:color w:val="231F20"/>
        </w:rPr>
        <w:t>but</w:t>
      </w:r>
      <w:r>
        <w:rPr>
          <w:color w:val="231F20"/>
          <w:spacing w:val="-6"/>
        </w:rPr>
        <w:t xml:space="preserve"> </w:t>
      </w:r>
      <w:r>
        <w:rPr>
          <w:color w:val="231F20"/>
        </w:rPr>
        <w:t>climate</w:t>
      </w:r>
      <w:r>
        <w:rPr>
          <w:color w:val="231F20"/>
          <w:spacing w:val="-6"/>
        </w:rPr>
        <w:t xml:space="preserve"> </w:t>
      </w:r>
      <w:r>
        <w:rPr>
          <w:color w:val="231F20"/>
        </w:rPr>
        <w:t>change</w:t>
      </w:r>
      <w:r>
        <w:rPr>
          <w:color w:val="231F20"/>
          <w:spacing w:val="-6"/>
        </w:rPr>
        <w:t xml:space="preserve"> </w:t>
      </w:r>
      <w:r>
        <w:rPr>
          <w:color w:val="231F20"/>
        </w:rPr>
        <w:t xml:space="preserve">is </w:t>
      </w:r>
      <w:r>
        <w:rPr>
          <w:color w:val="231F20"/>
          <w:w w:val="95"/>
        </w:rPr>
        <w:t xml:space="preserve">especially important (Buckley </w:t>
      </w:r>
      <w:r>
        <w:rPr>
          <w:i/>
          <w:color w:val="231F20"/>
          <w:w w:val="95"/>
        </w:rPr>
        <w:t>et al</w:t>
      </w:r>
      <w:r>
        <w:rPr>
          <w:color w:val="231F20"/>
          <w:w w:val="95"/>
        </w:rPr>
        <w:t xml:space="preserve">., 2015). Although there remains much </w:t>
      </w:r>
      <w:r>
        <w:rPr>
          <w:color w:val="231F20"/>
        </w:rPr>
        <w:t>political</w:t>
      </w:r>
      <w:r>
        <w:rPr>
          <w:color w:val="231F20"/>
          <w:spacing w:val="-5"/>
        </w:rPr>
        <w:t xml:space="preserve"> </w:t>
      </w:r>
      <w:r>
        <w:rPr>
          <w:color w:val="231F20"/>
        </w:rPr>
        <w:t>debate</w:t>
      </w:r>
      <w:r>
        <w:rPr>
          <w:color w:val="231F20"/>
          <w:spacing w:val="-5"/>
        </w:rPr>
        <w:t xml:space="preserve"> </w:t>
      </w:r>
      <w:r>
        <w:rPr>
          <w:color w:val="231F20"/>
        </w:rPr>
        <w:t>about</w:t>
      </w:r>
      <w:r>
        <w:rPr>
          <w:color w:val="231F20"/>
          <w:spacing w:val="-5"/>
        </w:rPr>
        <w:t xml:space="preserve"> </w:t>
      </w:r>
      <w:r>
        <w:rPr>
          <w:color w:val="231F20"/>
        </w:rPr>
        <w:t>its</w:t>
      </w:r>
      <w:r>
        <w:rPr>
          <w:color w:val="231F20"/>
          <w:spacing w:val="-5"/>
        </w:rPr>
        <w:t xml:space="preserve"> </w:t>
      </w:r>
      <w:r>
        <w:rPr>
          <w:color w:val="231F20"/>
        </w:rPr>
        <w:t>measurement,</w:t>
      </w:r>
      <w:r>
        <w:rPr>
          <w:color w:val="231F20"/>
          <w:spacing w:val="-5"/>
        </w:rPr>
        <w:t xml:space="preserve"> </w:t>
      </w:r>
      <w:r>
        <w:rPr>
          <w:color w:val="231F20"/>
        </w:rPr>
        <w:t>causes</w:t>
      </w:r>
      <w:r>
        <w:rPr>
          <w:color w:val="231F20"/>
          <w:spacing w:val="-5"/>
        </w:rPr>
        <w:t xml:space="preserve"> </w:t>
      </w:r>
      <w:r>
        <w:rPr>
          <w:color w:val="231F20"/>
        </w:rPr>
        <w:t>and</w:t>
      </w:r>
      <w:r>
        <w:rPr>
          <w:color w:val="231F20"/>
          <w:spacing w:val="-5"/>
        </w:rPr>
        <w:t xml:space="preserve"> </w:t>
      </w:r>
      <w:r>
        <w:rPr>
          <w:color w:val="231F20"/>
        </w:rPr>
        <w:t>implications,</w:t>
      </w:r>
      <w:r>
        <w:rPr>
          <w:color w:val="231F20"/>
          <w:spacing w:val="-5"/>
        </w:rPr>
        <w:t xml:space="preserve"> </w:t>
      </w:r>
      <w:r>
        <w:rPr>
          <w:color w:val="231F20"/>
        </w:rPr>
        <w:t>there</w:t>
      </w:r>
      <w:r>
        <w:rPr>
          <w:color w:val="231F20"/>
          <w:spacing w:val="-5"/>
        </w:rPr>
        <w:t xml:space="preserve"> </w:t>
      </w:r>
      <w:r>
        <w:rPr>
          <w:color w:val="231F20"/>
        </w:rPr>
        <w:t>is widespread recognition of its existence and concern for its implications for tourism and sport (Hall &amp; Higham</w:t>
      </w:r>
      <w:r>
        <w:rPr>
          <w:color w:val="231F20"/>
        </w:rPr>
        <w:t xml:space="preserve">, 2005). The focus of most of the research in this area is on visitor flows and the distribution of impacts, </w:t>
      </w:r>
      <w:r>
        <w:rPr>
          <w:color w:val="231F20"/>
          <w:w w:val="95"/>
        </w:rPr>
        <w:t xml:space="preserve">although more recently, consideration has been given to the role of tourism </w:t>
      </w:r>
      <w:r>
        <w:rPr>
          <w:color w:val="231F20"/>
        </w:rPr>
        <w:t>as a causal factor in the process of this change.</w:t>
      </w:r>
    </w:p>
    <w:p w14:paraId="522DC2F8" w14:textId="77777777" w:rsidR="00AE0598" w:rsidRDefault="0069255A">
      <w:pPr>
        <w:pStyle w:val="Corpodetexto"/>
        <w:spacing w:before="12" w:line="232" w:lineRule="auto"/>
        <w:ind w:left="110" w:right="126" w:firstLine="320"/>
        <w:jc w:val="both"/>
      </w:pPr>
      <w:r>
        <w:rPr>
          <w:color w:val="231F20"/>
        </w:rPr>
        <w:t>Studies of the impact</w:t>
      </w:r>
      <w:r>
        <w:rPr>
          <w:color w:val="231F20"/>
        </w:rPr>
        <w:t xml:space="preserve"> of climate change on the level and distribution of tourist arrivals and expenditures are generally based on modelling. Projections are made about changing climatic conditions and then </w:t>
      </w:r>
      <w:r>
        <w:rPr>
          <w:color w:val="231F20"/>
          <w:w w:val="95"/>
        </w:rPr>
        <w:t>translated into maps of shifting distributions of tourist arrivals as t</w:t>
      </w:r>
      <w:r>
        <w:rPr>
          <w:color w:val="231F20"/>
          <w:w w:val="95"/>
        </w:rPr>
        <w:t xml:space="preserve">ourists </w:t>
      </w:r>
      <w:r>
        <w:rPr>
          <w:color w:val="231F20"/>
        </w:rPr>
        <w:t>seek</w:t>
      </w:r>
      <w:r>
        <w:rPr>
          <w:color w:val="231F20"/>
          <w:spacing w:val="-2"/>
        </w:rPr>
        <w:t xml:space="preserve"> </w:t>
      </w:r>
      <w:r>
        <w:rPr>
          <w:color w:val="231F20"/>
        </w:rPr>
        <w:t>out</w:t>
      </w:r>
      <w:r>
        <w:rPr>
          <w:color w:val="231F20"/>
          <w:spacing w:val="-2"/>
        </w:rPr>
        <w:t xml:space="preserve"> </w:t>
      </w:r>
      <w:r>
        <w:rPr>
          <w:color w:val="231F20"/>
        </w:rPr>
        <w:t>their</w:t>
      </w:r>
      <w:r>
        <w:rPr>
          <w:color w:val="231F20"/>
          <w:spacing w:val="-2"/>
        </w:rPr>
        <w:t xml:space="preserve"> </w:t>
      </w:r>
      <w:r>
        <w:rPr>
          <w:color w:val="231F20"/>
        </w:rPr>
        <w:t>preferred</w:t>
      </w:r>
      <w:r>
        <w:rPr>
          <w:color w:val="231F20"/>
          <w:spacing w:val="-2"/>
        </w:rPr>
        <w:t xml:space="preserve"> </w:t>
      </w:r>
      <w:r>
        <w:rPr>
          <w:color w:val="231F20"/>
        </w:rPr>
        <w:t>climatic</w:t>
      </w:r>
      <w:r>
        <w:rPr>
          <w:color w:val="231F20"/>
          <w:spacing w:val="-2"/>
        </w:rPr>
        <w:t xml:space="preserve"> </w:t>
      </w:r>
      <w:r>
        <w:rPr>
          <w:color w:val="231F20"/>
        </w:rPr>
        <w:t>conditions.</w:t>
      </w:r>
      <w:r>
        <w:rPr>
          <w:color w:val="231F20"/>
          <w:spacing w:val="-2"/>
        </w:rPr>
        <w:t xml:space="preserve"> </w:t>
      </w:r>
      <w:r>
        <w:rPr>
          <w:color w:val="231F20"/>
        </w:rPr>
        <w:t>It</w:t>
      </w:r>
      <w:r>
        <w:rPr>
          <w:color w:val="231F20"/>
          <w:spacing w:val="-2"/>
        </w:rPr>
        <w:t xml:space="preserve"> </w:t>
      </w:r>
      <w:r>
        <w:rPr>
          <w:color w:val="231F20"/>
        </w:rPr>
        <w:t>has</w:t>
      </w:r>
      <w:r>
        <w:rPr>
          <w:color w:val="231F20"/>
          <w:spacing w:val="-2"/>
        </w:rPr>
        <w:t xml:space="preserve"> </w:t>
      </w:r>
      <w:r>
        <w:rPr>
          <w:color w:val="231F20"/>
        </w:rPr>
        <w:t>been</w:t>
      </w:r>
      <w:r>
        <w:rPr>
          <w:color w:val="231F20"/>
          <w:spacing w:val="-2"/>
        </w:rPr>
        <w:t xml:space="preserve"> </w:t>
      </w:r>
      <w:r>
        <w:rPr>
          <w:color w:val="231F20"/>
        </w:rPr>
        <w:t>noted</w:t>
      </w:r>
      <w:r>
        <w:rPr>
          <w:color w:val="231F20"/>
          <w:spacing w:val="-2"/>
        </w:rPr>
        <w:t xml:space="preserve"> </w:t>
      </w:r>
      <w:r>
        <w:rPr>
          <w:color w:val="231F20"/>
        </w:rPr>
        <w:t>that</w:t>
      </w:r>
      <w:r>
        <w:rPr>
          <w:color w:val="231F20"/>
          <w:spacing w:val="-2"/>
        </w:rPr>
        <w:t xml:space="preserve"> </w:t>
      </w:r>
      <w:r>
        <w:rPr>
          <w:color w:val="231F20"/>
        </w:rPr>
        <w:t xml:space="preserve">there will be both winners and losers as a result of this redistribution given that in some locations conditions will improve while in others they will be less attractive (Hein </w:t>
      </w:r>
      <w:r>
        <w:rPr>
          <w:i/>
          <w:color w:val="231F20"/>
        </w:rPr>
        <w:t>et</w:t>
      </w:r>
      <w:r>
        <w:rPr>
          <w:i/>
          <w:color w:val="231F20"/>
        </w:rPr>
        <w:t xml:space="preserve"> al</w:t>
      </w:r>
      <w:r>
        <w:rPr>
          <w:color w:val="231F20"/>
        </w:rPr>
        <w:t xml:space="preserve">., 2009; Iordache &amp; Cebuc, 2009). While tourism in general is subject to these shifts, tourism related to winter- and summer-based sporting activities is seen as being particularly sensitive to these changes (Dodds &amp; Graci, 2009). This is certainly the </w:t>
      </w:r>
      <w:r>
        <w:rPr>
          <w:color w:val="231F20"/>
        </w:rPr>
        <w:t>case in terms of the ski industry with its dependence on snow (see Case Study 9.1). Moen and Fredman (2007) predict a decrease in the number and expenditures of skiers to existing ski resorts in Sweden as snow accumulations decrease. Scott and McBoyle (200</w:t>
      </w:r>
      <w:r>
        <w:rPr>
          <w:color w:val="231F20"/>
        </w:rPr>
        <w:t>7) recognise similar challenges facing the ski industry elsewhere but note that these impacts can</w:t>
      </w:r>
      <w:r>
        <w:rPr>
          <w:color w:val="231F20"/>
          <w:spacing w:val="-8"/>
        </w:rPr>
        <w:t xml:space="preserve"> </w:t>
      </w:r>
      <w:r>
        <w:rPr>
          <w:color w:val="231F20"/>
        </w:rPr>
        <w:t>be</w:t>
      </w:r>
      <w:r>
        <w:rPr>
          <w:color w:val="231F20"/>
          <w:spacing w:val="-8"/>
        </w:rPr>
        <w:t xml:space="preserve"> </w:t>
      </w:r>
      <w:r>
        <w:rPr>
          <w:color w:val="231F20"/>
        </w:rPr>
        <w:t>moderated</w:t>
      </w:r>
      <w:r>
        <w:rPr>
          <w:color w:val="231F20"/>
          <w:spacing w:val="-8"/>
        </w:rPr>
        <w:t xml:space="preserve"> </w:t>
      </w:r>
      <w:r>
        <w:rPr>
          <w:color w:val="231F20"/>
        </w:rPr>
        <w:t>by</w:t>
      </w:r>
      <w:r>
        <w:rPr>
          <w:color w:val="231F20"/>
          <w:spacing w:val="-8"/>
        </w:rPr>
        <w:t xml:space="preserve"> </w:t>
      </w:r>
      <w:r>
        <w:rPr>
          <w:color w:val="231F20"/>
        </w:rPr>
        <w:t>strategic</w:t>
      </w:r>
      <w:r>
        <w:rPr>
          <w:color w:val="231F20"/>
          <w:spacing w:val="-8"/>
        </w:rPr>
        <w:t xml:space="preserve"> </w:t>
      </w:r>
      <w:r>
        <w:rPr>
          <w:color w:val="231F20"/>
        </w:rPr>
        <w:t>responses</w:t>
      </w:r>
      <w:r>
        <w:rPr>
          <w:color w:val="231F20"/>
          <w:spacing w:val="-8"/>
        </w:rPr>
        <w:t xml:space="preserve"> </w:t>
      </w:r>
      <w:r>
        <w:rPr>
          <w:color w:val="231F20"/>
        </w:rPr>
        <w:t>in</w:t>
      </w:r>
      <w:r>
        <w:rPr>
          <w:color w:val="231F20"/>
          <w:spacing w:val="-8"/>
        </w:rPr>
        <w:t xml:space="preserve"> </w:t>
      </w:r>
      <w:r>
        <w:rPr>
          <w:color w:val="231F20"/>
        </w:rPr>
        <w:t>terms</w:t>
      </w:r>
      <w:r>
        <w:rPr>
          <w:color w:val="231F20"/>
          <w:spacing w:val="-8"/>
        </w:rPr>
        <w:t xml:space="preserve"> </w:t>
      </w:r>
      <w:r>
        <w:rPr>
          <w:color w:val="231F20"/>
        </w:rPr>
        <w:t>of</w:t>
      </w:r>
      <w:r>
        <w:rPr>
          <w:color w:val="231F20"/>
          <w:spacing w:val="-8"/>
        </w:rPr>
        <w:t xml:space="preserve"> </w:t>
      </w:r>
      <w:r>
        <w:rPr>
          <w:color w:val="231F20"/>
        </w:rPr>
        <w:t>demand</w:t>
      </w:r>
      <w:r>
        <w:rPr>
          <w:color w:val="231F20"/>
          <w:spacing w:val="-8"/>
        </w:rPr>
        <w:t xml:space="preserve"> </w:t>
      </w:r>
      <w:r>
        <w:rPr>
          <w:color w:val="231F20"/>
        </w:rPr>
        <w:t>and</w:t>
      </w:r>
      <w:r>
        <w:rPr>
          <w:color w:val="231F20"/>
          <w:spacing w:val="-8"/>
        </w:rPr>
        <w:t xml:space="preserve"> </w:t>
      </w:r>
      <w:r>
        <w:rPr>
          <w:color w:val="231F20"/>
        </w:rPr>
        <w:t>supply. On the demand side, the response to changing climate conditions can</w:t>
      </w:r>
      <w:r>
        <w:rPr>
          <w:color w:val="231F20"/>
          <w:spacing w:val="80"/>
          <w:w w:val="150"/>
        </w:rPr>
        <w:t xml:space="preserve"> </w:t>
      </w:r>
      <w:r>
        <w:rPr>
          <w:color w:val="231F20"/>
        </w:rPr>
        <w:t>be moderated by improved weather forecasting and reporting along with an assortment of constraint negotiation strategies that skiers can implement (e.g. altering the timing of thei</w:t>
      </w:r>
      <w:r>
        <w:rPr>
          <w:color w:val="231F20"/>
        </w:rPr>
        <w:t>r ski vacations). On the supply side, a suite of technological practices can also be used to moderate the impact of changing natural snow conditions. These include: (1) the use of snow-making equipment, (2) improved ski slope landscaping and operational pr</w:t>
      </w:r>
      <w:r>
        <w:rPr>
          <w:color w:val="231F20"/>
        </w:rPr>
        <w:t xml:space="preserve">actices and (3) cloud seeding. Business strategies include </w:t>
      </w:r>
      <w:r>
        <w:rPr>
          <w:color w:val="231F20"/>
          <w:w w:val="95"/>
        </w:rPr>
        <w:t>the development of (1) ski conglomerates, (2) revenue diversification and</w:t>
      </w:r>
    </w:p>
    <w:p w14:paraId="409D8E91" w14:textId="77777777" w:rsidR="00AE0598" w:rsidRDefault="0069255A">
      <w:pPr>
        <w:pStyle w:val="PargrafodaLista"/>
        <w:numPr>
          <w:ilvl w:val="0"/>
          <w:numId w:val="4"/>
        </w:numPr>
        <w:tabs>
          <w:tab w:val="left" w:pos="442"/>
        </w:tabs>
        <w:spacing w:before="32" w:line="232" w:lineRule="auto"/>
        <w:ind w:right="127" w:firstLine="0"/>
        <w:jc w:val="both"/>
        <w:rPr>
          <w:rFonts w:ascii="Cambria"/>
          <w:sz w:val="21"/>
        </w:rPr>
      </w:pPr>
      <w:r>
        <w:rPr>
          <w:rFonts w:ascii="Cambria"/>
          <w:color w:val="231F20"/>
          <w:sz w:val="21"/>
        </w:rPr>
        <w:t>modified marketing practices. A more radical but already existing alternative is the development of indoor ski areas.</w:t>
      </w:r>
    </w:p>
    <w:p w14:paraId="77732EC8" w14:textId="77777777" w:rsidR="00AE0598" w:rsidRDefault="0069255A">
      <w:pPr>
        <w:pStyle w:val="Corpodetexto"/>
        <w:spacing w:before="2" w:line="232" w:lineRule="auto"/>
        <w:ind w:left="110" w:right="127" w:firstLine="320"/>
        <w:jc w:val="both"/>
      </w:pPr>
      <w:r>
        <w:rPr>
          <w:color w:val="231F20"/>
          <w:w w:val="95"/>
        </w:rPr>
        <w:t>Touri</w:t>
      </w:r>
      <w:r>
        <w:rPr>
          <w:color w:val="231F20"/>
          <w:w w:val="95"/>
        </w:rPr>
        <w:t xml:space="preserve">sm is increasingly being recognised as a significant contributing </w:t>
      </w:r>
      <w:r>
        <w:rPr>
          <w:color w:val="231F20"/>
        </w:rPr>
        <w:t>factor</w:t>
      </w:r>
      <w:r>
        <w:rPr>
          <w:color w:val="231F20"/>
          <w:spacing w:val="-4"/>
        </w:rPr>
        <w:t xml:space="preserve"> </w:t>
      </w:r>
      <w:r>
        <w:rPr>
          <w:color w:val="231F20"/>
        </w:rPr>
        <w:t>to</w:t>
      </w:r>
      <w:r>
        <w:rPr>
          <w:color w:val="231F20"/>
          <w:spacing w:val="-4"/>
        </w:rPr>
        <w:t xml:space="preserve"> </w:t>
      </w:r>
      <w:r>
        <w:rPr>
          <w:color w:val="231F20"/>
        </w:rPr>
        <w:t>climate</w:t>
      </w:r>
      <w:r>
        <w:rPr>
          <w:color w:val="231F20"/>
          <w:spacing w:val="-4"/>
        </w:rPr>
        <w:t xml:space="preserve"> </w:t>
      </w:r>
      <w:r>
        <w:rPr>
          <w:color w:val="231F20"/>
        </w:rPr>
        <w:t>change</w:t>
      </w:r>
      <w:r>
        <w:rPr>
          <w:color w:val="231F20"/>
          <w:spacing w:val="-4"/>
        </w:rPr>
        <w:t xml:space="preserve"> </w:t>
      </w:r>
      <w:r>
        <w:rPr>
          <w:color w:val="231F20"/>
        </w:rPr>
        <w:t>with</w:t>
      </w:r>
      <w:r>
        <w:rPr>
          <w:color w:val="231F20"/>
          <w:spacing w:val="-4"/>
        </w:rPr>
        <w:t xml:space="preserve"> </w:t>
      </w:r>
      <w:r>
        <w:rPr>
          <w:color w:val="231F20"/>
        </w:rPr>
        <w:t>approximately</w:t>
      </w:r>
      <w:r>
        <w:rPr>
          <w:color w:val="231F20"/>
          <w:spacing w:val="-4"/>
        </w:rPr>
        <w:t xml:space="preserve"> </w:t>
      </w:r>
      <w:r>
        <w:rPr>
          <w:color w:val="231F20"/>
        </w:rPr>
        <w:t>4%–6%</w:t>
      </w:r>
      <w:r>
        <w:rPr>
          <w:color w:val="231F20"/>
          <w:spacing w:val="-4"/>
        </w:rPr>
        <w:t xml:space="preserve"> </w:t>
      </w:r>
      <w:r>
        <w:rPr>
          <w:color w:val="231F20"/>
        </w:rPr>
        <w:t>of</w:t>
      </w:r>
      <w:r>
        <w:rPr>
          <w:color w:val="231F20"/>
          <w:spacing w:val="-4"/>
        </w:rPr>
        <w:t xml:space="preserve"> </w:t>
      </w:r>
      <w:r>
        <w:rPr>
          <w:color w:val="231F20"/>
        </w:rPr>
        <w:t>all</w:t>
      </w:r>
      <w:r>
        <w:rPr>
          <w:color w:val="231F20"/>
          <w:spacing w:val="-4"/>
        </w:rPr>
        <w:t xml:space="preserve"> </w:t>
      </w:r>
      <w:r>
        <w:rPr>
          <w:color w:val="231F20"/>
        </w:rPr>
        <w:t>of</w:t>
      </w:r>
      <w:r>
        <w:rPr>
          <w:color w:val="231F20"/>
          <w:spacing w:val="-4"/>
        </w:rPr>
        <w:t xml:space="preserve"> </w:t>
      </w:r>
      <w:r>
        <w:rPr>
          <w:color w:val="231F20"/>
        </w:rPr>
        <w:t>the</w:t>
      </w:r>
      <w:r>
        <w:rPr>
          <w:color w:val="231F20"/>
          <w:spacing w:val="-4"/>
        </w:rPr>
        <w:t xml:space="preserve"> </w:t>
      </w:r>
      <w:r>
        <w:rPr>
          <w:color w:val="231F20"/>
        </w:rPr>
        <w:t xml:space="preserve">world’s carbon dioxide emissions estimated to accrue from tourism activities </w:t>
      </w:r>
      <w:r>
        <w:rPr>
          <w:color w:val="231F20"/>
          <w:w w:val="95"/>
        </w:rPr>
        <w:t>(Dodds</w:t>
      </w:r>
      <w:r>
        <w:rPr>
          <w:color w:val="231F20"/>
          <w:spacing w:val="8"/>
        </w:rPr>
        <w:t xml:space="preserve"> </w:t>
      </w:r>
      <w:r>
        <w:rPr>
          <w:color w:val="231F20"/>
          <w:w w:val="95"/>
        </w:rPr>
        <w:t>&amp;</w:t>
      </w:r>
      <w:r>
        <w:rPr>
          <w:color w:val="231F20"/>
          <w:spacing w:val="9"/>
        </w:rPr>
        <w:t xml:space="preserve"> </w:t>
      </w:r>
      <w:r>
        <w:rPr>
          <w:color w:val="231F20"/>
          <w:w w:val="95"/>
        </w:rPr>
        <w:t>Graci,</w:t>
      </w:r>
      <w:r>
        <w:rPr>
          <w:color w:val="231F20"/>
          <w:spacing w:val="9"/>
        </w:rPr>
        <w:t xml:space="preserve"> </w:t>
      </w:r>
      <w:r>
        <w:rPr>
          <w:color w:val="231F20"/>
          <w:w w:val="95"/>
        </w:rPr>
        <w:t>2009).</w:t>
      </w:r>
      <w:r>
        <w:rPr>
          <w:color w:val="231F20"/>
          <w:spacing w:val="9"/>
        </w:rPr>
        <w:t xml:space="preserve"> </w:t>
      </w:r>
      <w:r>
        <w:rPr>
          <w:color w:val="231F20"/>
          <w:w w:val="95"/>
        </w:rPr>
        <w:t>Approximately</w:t>
      </w:r>
      <w:r>
        <w:rPr>
          <w:color w:val="231F20"/>
          <w:spacing w:val="9"/>
        </w:rPr>
        <w:t xml:space="preserve"> </w:t>
      </w:r>
      <w:r>
        <w:rPr>
          <w:color w:val="231F20"/>
          <w:w w:val="95"/>
        </w:rPr>
        <w:t>70%–75%</w:t>
      </w:r>
      <w:r>
        <w:rPr>
          <w:color w:val="231F20"/>
          <w:spacing w:val="9"/>
        </w:rPr>
        <w:t xml:space="preserve"> </w:t>
      </w:r>
      <w:r>
        <w:rPr>
          <w:color w:val="231F20"/>
          <w:w w:val="95"/>
        </w:rPr>
        <w:t>of</w:t>
      </w:r>
      <w:r>
        <w:rPr>
          <w:color w:val="231F20"/>
          <w:spacing w:val="9"/>
        </w:rPr>
        <w:t xml:space="preserve"> </w:t>
      </w:r>
      <w:r>
        <w:rPr>
          <w:color w:val="231F20"/>
          <w:w w:val="95"/>
        </w:rPr>
        <w:t>t</w:t>
      </w:r>
      <w:r>
        <w:rPr>
          <w:color w:val="231F20"/>
          <w:w w:val="95"/>
        </w:rPr>
        <w:t>his</w:t>
      </w:r>
      <w:r>
        <w:rPr>
          <w:color w:val="231F20"/>
          <w:spacing w:val="9"/>
        </w:rPr>
        <w:t xml:space="preserve"> </w:t>
      </w:r>
      <w:r>
        <w:rPr>
          <w:color w:val="231F20"/>
          <w:w w:val="95"/>
        </w:rPr>
        <w:t>total</w:t>
      </w:r>
      <w:r>
        <w:rPr>
          <w:color w:val="231F20"/>
          <w:spacing w:val="9"/>
        </w:rPr>
        <w:t xml:space="preserve"> </w:t>
      </w:r>
      <w:r>
        <w:rPr>
          <w:color w:val="231F20"/>
          <w:w w:val="95"/>
        </w:rPr>
        <w:t>is</w:t>
      </w:r>
      <w:r>
        <w:rPr>
          <w:color w:val="231F20"/>
          <w:spacing w:val="9"/>
        </w:rPr>
        <w:t xml:space="preserve"> </w:t>
      </w:r>
      <w:r>
        <w:rPr>
          <w:color w:val="231F20"/>
          <w:spacing w:val="-2"/>
          <w:w w:val="95"/>
        </w:rPr>
        <w:t>attributed</w:t>
      </w:r>
    </w:p>
    <w:p w14:paraId="18D6B442" w14:textId="77777777" w:rsidR="00AE0598" w:rsidRDefault="00AE0598">
      <w:pPr>
        <w:spacing w:line="232" w:lineRule="auto"/>
        <w:jc w:val="both"/>
        <w:sectPr w:rsidR="00AE0598">
          <w:pgSz w:w="8850" w:h="13270"/>
          <w:pgMar w:top="720" w:right="1060" w:bottom="280" w:left="1080" w:header="720" w:footer="720" w:gutter="0"/>
          <w:cols w:space="720"/>
        </w:sectPr>
      </w:pPr>
    </w:p>
    <w:p w14:paraId="7FCDF65B" w14:textId="77777777" w:rsidR="00AE0598" w:rsidRDefault="0069255A">
      <w:pPr>
        <w:spacing w:before="87"/>
        <w:ind w:left="3808"/>
        <w:rPr>
          <w:rFonts w:ascii="Trebuchet MS"/>
          <w:sz w:val="14"/>
        </w:rPr>
      </w:pPr>
      <w:r>
        <w:rPr>
          <w:rFonts w:ascii="Trebuchet MS"/>
          <w:color w:val="231F20"/>
          <w:w w:val="105"/>
          <w:sz w:val="14"/>
        </w:rPr>
        <w:lastRenderedPageBreak/>
        <w:t>Evolutionary</w:t>
      </w:r>
      <w:r>
        <w:rPr>
          <w:rFonts w:ascii="Trebuchet MS"/>
          <w:color w:val="231F20"/>
          <w:spacing w:val="-12"/>
          <w:w w:val="105"/>
          <w:sz w:val="14"/>
        </w:rPr>
        <w:t xml:space="preserve"> </w:t>
      </w:r>
      <w:r>
        <w:rPr>
          <w:rFonts w:ascii="Trebuchet MS"/>
          <w:color w:val="231F20"/>
          <w:w w:val="105"/>
          <w:sz w:val="14"/>
        </w:rPr>
        <w:t>Trends</w:t>
      </w:r>
      <w:r>
        <w:rPr>
          <w:rFonts w:ascii="Trebuchet MS"/>
          <w:color w:val="231F20"/>
          <w:spacing w:val="-11"/>
          <w:w w:val="105"/>
          <w:sz w:val="14"/>
        </w:rPr>
        <w:t xml:space="preserve"> </w:t>
      </w:r>
      <w:r>
        <w:rPr>
          <w:rFonts w:ascii="Trebuchet MS"/>
          <w:color w:val="231F20"/>
          <w:w w:val="105"/>
          <w:sz w:val="14"/>
        </w:rPr>
        <w:t>in</w:t>
      </w:r>
      <w:r>
        <w:rPr>
          <w:rFonts w:ascii="Trebuchet MS"/>
          <w:color w:val="231F20"/>
          <w:spacing w:val="-11"/>
          <w:w w:val="105"/>
          <w:sz w:val="14"/>
        </w:rPr>
        <w:t xml:space="preserve"> </w:t>
      </w:r>
      <w:r>
        <w:rPr>
          <w:rFonts w:ascii="Trebuchet MS"/>
          <w:color w:val="231F20"/>
          <w:w w:val="105"/>
          <w:sz w:val="14"/>
        </w:rPr>
        <w:t>Sport</w:t>
      </w:r>
      <w:r>
        <w:rPr>
          <w:rFonts w:ascii="Trebuchet MS"/>
          <w:color w:val="231F20"/>
          <w:spacing w:val="-11"/>
          <w:w w:val="105"/>
          <w:sz w:val="14"/>
        </w:rPr>
        <w:t xml:space="preserve"> </w:t>
      </w:r>
      <w:r>
        <w:rPr>
          <w:rFonts w:ascii="Trebuchet MS"/>
          <w:color w:val="231F20"/>
          <w:w w:val="105"/>
          <w:sz w:val="14"/>
        </w:rPr>
        <w:t>Tourism</w:t>
      </w:r>
      <w:r>
        <w:rPr>
          <w:rFonts w:ascii="Trebuchet MS"/>
          <w:color w:val="231F20"/>
          <w:spacing w:val="74"/>
          <w:w w:val="105"/>
          <w:sz w:val="14"/>
        </w:rPr>
        <w:t xml:space="preserve"> </w:t>
      </w:r>
      <w:r>
        <w:rPr>
          <w:rFonts w:ascii="Trebuchet MS"/>
          <w:color w:val="231F20"/>
          <w:spacing w:val="-5"/>
          <w:w w:val="105"/>
          <w:sz w:val="14"/>
        </w:rPr>
        <w:t>217</w:t>
      </w:r>
    </w:p>
    <w:p w14:paraId="1B70EB9C" w14:textId="77777777" w:rsidR="00AE0598" w:rsidRDefault="00AE0598">
      <w:pPr>
        <w:pStyle w:val="Corpodetexto"/>
        <w:rPr>
          <w:rFonts w:ascii="Trebuchet MS"/>
          <w:sz w:val="16"/>
        </w:rPr>
      </w:pPr>
    </w:p>
    <w:p w14:paraId="560B7E89" w14:textId="77777777" w:rsidR="00AE0598" w:rsidRDefault="0069255A">
      <w:pPr>
        <w:pStyle w:val="Corpodetexto"/>
        <w:spacing w:before="118" w:line="232" w:lineRule="auto"/>
        <w:ind w:left="110" w:right="127"/>
        <w:jc w:val="both"/>
      </w:pPr>
      <w:r>
        <w:rPr>
          <w:color w:val="231F20"/>
          <w:w w:val="95"/>
        </w:rPr>
        <w:t xml:space="preserve">to the transport sector with the balance coming from the accommodation, </w:t>
      </w:r>
      <w:r>
        <w:rPr>
          <w:color w:val="231F20"/>
        </w:rPr>
        <w:t xml:space="preserve">food and beverage and the attraction sectors (Iordache &amp; Cebuc, 2009). The tourism industry is therefore in a position to reduce carbon dioxide </w:t>
      </w:r>
      <w:r>
        <w:rPr>
          <w:color w:val="231F20"/>
          <w:w w:val="95"/>
        </w:rPr>
        <w:t>emissions proactively or be targeted by regulatory agencies. Unfortunately, the</w:t>
      </w:r>
      <w:r>
        <w:rPr>
          <w:color w:val="231F20"/>
          <w:spacing w:val="-5"/>
          <w:w w:val="95"/>
        </w:rPr>
        <w:t xml:space="preserve"> </w:t>
      </w:r>
      <w:r>
        <w:rPr>
          <w:color w:val="231F20"/>
          <w:w w:val="95"/>
        </w:rPr>
        <w:t>tourism</w:t>
      </w:r>
      <w:r>
        <w:rPr>
          <w:color w:val="231F20"/>
          <w:spacing w:val="-5"/>
          <w:w w:val="95"/>
        </w:rPr>
        <w:t xml:space="preserve"> </w:t>
      </w:r>
      <w:r>
        <w:rPr>
          <w:color w:val="231F20"/>
          <w:w w:val="95"/>
        </w:rPr>
        <w:t>industry</w:t>
      </w:r>
      <w:r>
        <w:rPr>
          <w:color w:val="231F20"/>
          <w:spacing w:val="-5"/>
          <w:w w:val="95"/>
        </w:rPr>
        <w:t xml:space="preserve"> </w:t>
      </w:r>
      <w:r>
        <w:rPr>
          <w:color w:val="231F20"/>
          <w:w w:val="95"/>
        </w:rPr>
        <w:t>has</w:t>
      </w:r>
      <w:r>
        <w:rPr>
          <w:color w:val="231F20"/>
          <w:spacing w:val="-5"/>
          <w:w w:val="95"/>
        </w:rPr>
        <w:t xml:space="preserve"> </w:t>
      </w:r>
      <w:r>
        <w:rPr>
          <w:color w:val="231F20"/>
          <w:w w:val="95"/>
        </w:rPr>
        <w:t>been</w:t>
      </w:r>
      <w:r>
        <w:rPr>
          <w:color w:val="231F20"/>
          <w:spacing w:val="-5"/>
          <w:w w:val="95"/>
        </w:rPr>
        <w:t xml:space="preserve"> </w:t>
      </w:r>
      <w:r>
        <w:rPr>
          <w:color w:val="231F20"/>
          <w:w w:val="95"/>
        </w:rPr>
        <w:t>slow</w:t>
      </w:r>
      <w:r>
        <w:rPr>
          <w:color w:val="231F20"/>
          <w:spacing w:val="-5"/>
          <w:w w:val="95"/>
        </w:rPr>
        <w:t xml:space="preserve"> </w:t>
      </w:r>
      <w:r>
        <w:rPr>
          <w:color w:val="231F20"/>
          <w:w w:val="95"/>
        </w:rPr>
        <w:t>t</w:t>
      </w:r>
      <w:r>
        <w:rPr>
          <w:color w:val="231F20"/>
          <w:w w:val="95"/>
        </w:rPr>
        <w:t>o</w:t>
      </w:r>
      <w:r>
        <w:rPr>
          <w:color w:val="231F20"/>
          <w:spacing w:val="-5"/>
          <w:w w:val="95"/>
        </w:rPr>
        <w:t xml:space="preserve"> </w:t>
      </w:r>
      <w:r>
        <w:rPr>
          <w:color w:val="231F20"/>
          <w:w w:val="95"/>
        </w:rPr>
        <w:t>appreciate</w:t>
      </w:r>
      <w:r>
        <w:rPr>
          <w:color w:val="231F20"/>
          <w:spacing w:val="-5"/>
          <w:w w:val="95"/>
        </w:rPr>
        <w:t xml:space="preserve"> </w:t>
      </w:r>
      <w:r>
        <w:rPr>
          <w:color w:val="231F20"/>
          <w:w w:val="95"/>
        </w:rPr>
        <w:t>the</w:t>
      </w:r>
      <w:r>
        <w:rPr>
          <w:color w:val="231F20"/>
          <w:spacing w:val="-5"/>
          <w:w w:val="95"/>
        </w:rPr>
        <w:t xml:space="preserve"> </w:t>
      </w:r>
      <w:r>
        <w:rPr>
          <w:color w:val="231F20"/>
          <w:w w:val="95"/>
        </w:rPr>
        <w:t>long-term</w:t>
      </w:r>
      <w:r>
        <w:rPr>
          <w:color w:val="231F20"/>
          <w:spacing w:val="-5"/>
          <w:w w:val="95"/>
        </w:rPr>
        <w:t xml:space="preserve"> </w:t>
      </w:r>
      <w:r>
        <w:rPr>
          <w:color w:val="231F20"/>
          <w:w w:val="95"/>
        </w:rPr>
        <w:t xml:space="preserve">implications </w:t>
      </w:r>
      <w:r>
        <w:rPr>
          <w:color w:val="231F20"/>
        </w:rPr>
        <w:t>of</w:t>
      </w:r>
      <w:r>
        <w:rPr>
          <w:color w:val="231F20"/>
          <w:spacing w:val="-10"/>
        </w:rPr>
        <w:t xml:space="preserve"> </w:t>
      </w:r>
      <w:r>
        <w:rPr>
          <w:color w:val="231F20"/>
        </w:rPr>
        <w:t>climate</w:t>
      </w:r>
      <w:r>
        <w:rPr>
          <w:color w:val="231F20"/>
          <w:spacing w:val="-10"/>
        </w:rPr>
        <w:t xml:space="preserve"> </w:t>
      </w:r>
      <w:r>
        <w:rPr>
          <w:color w:val="231F20"/>
        </w:rPr>
        <w:t>change</w:t>
      </w:r>
      <w:r>
        <w:rPr>
          <w:color w:val="231F20"/>
          <w:spacing w:val="-10"/>
        </w:rPr>
        <w:t xml:space="preserve"> </w:t>
      </w:r>
      <w:r>
        <w:rPr>
          <w:color w:val="231F20"/>
        </w:rPr>
        <w:t>and</w:t>
      </w:r>
      <w:r>
        <w:rPr>
          <w:color w:val="231F20"/>
          <w:spacing w:val="-10"/>
        </w:rPr>
        <w:t xml:space="preserve"> </w:t>
      </w:r>
      <w:r>
        <w:rPr>
          <w:color w:val="231F20"/>
        </w:rPr>
        <w:t>a</w:t>
      </w:r>
      <w:r>
        <w:rPr>
          <w:color w:val="231F20"/>
          <w:spacing w:val="-10"/>
        </w:rPr>
        <w:t xml:space="preserve"> </w:t>
      </w:r>
      <w:r>
        <w:rPr>
          <w:color w:val="231F20"/>
        </w:rPr>
        <w:t>deteriorating</w:t>
      </w:r>
      <w:r>
        <w:rPr>
          <w:color w:val="231F20"/>
          <w:spacing w:val="-10"/>
        </w:rPr>
        <w:t xml:space="preserve"> </w:t>
      </w:r>
      <w:r>
        <w:rPr>
          <w:color w:val="231F20"/>
        </w:rPr>
        <w:t>environment</w:t>
      </w:r>
      <w:r>
        <w:rPr>
          <w:color w:val="231F20"/>
          <w:spacing w:val="-10"/>
        </w:rPr>
        <w:t xml:space="preserve"> </w:t>
      </w:r>
      <w:r>
        <w:rPr>
          <w:color w:val="231F20"/>
        </w:rPr>
        <w:t>(Tolkach</w:t>
      </w:r>
      <w:r>
        <w:rPr>
          <w:color w:val="231F20"/>
          <w:spacing w:val="-10"/>
        </w:rPr>
        <w:t xml:space="preserve"> </w:t>
      </w:r>
      <w:r>
        <w:rPr>
          <w:i/>
          <w:color w:val="231F20"/>
        </w:rPr>
        <w:t>et</w:t>
      </w:r>
      <w:r>
        <w:rPr>
          <w:i/>
          <w:color w:val="231F20"/>
          <w:spacing w:val="-10"/>
        </w:rPr>
        <w:t xml:space="preserve"> </w:t>
      </w:r>
      <w:r>
        <w:rPr>
          <w:i/>
          <w:color w:val="231F20"/>
        </w:rPr>
        <w:t>al</w:t>
      </w:r>
      <w:r>
        <w:rPr>
          <w:color w:val="231F20"/>
        </w:rPr>
        <w:t>.,</w:t>
      </w:r>
      <w:r>
        <w:rPr>
          <w:color w:val="231F20"/>
          <w:spacing w:val="-10"/>
        </w:rPr>
        <w:t xml:space="preserve"> </w:t>
      </w:r>
      <w:r>
        <w:rPr>
          <w:color w:val="231F20"/>
        </w:rPr>
        <w:t xml:space="preserve">2016). However, in their exploratory study of the 2010 FIFA World Cup, Otto and Heath (2009) found that hosting a mega-event such as the World Cup increased the level of awareness of tourism and sport stakeholders </w:t>
      </w:r>
      <w:r>
        <w:rPr>
          <w:color w:val="231F20"/>
          <w:w w:val="95"/>
        </w:rPr>
        <w:t>on the impact of their activities on clima</w:t>
      </w:r>
      <w:r>
        <w:rPr>
          <w:color w:val="231F20"/>
          <w:w w:val="95"/>
        </w:rPr>
        <w:t>te change. This consciousness led</w:t>
      </w:r>
      <w:r>
        <w:rPr>
          <w:color w:val="231F20"/>
          <w:spacing w:val="80"/>
        </w:rPr>
        <w:t xml:space="preserve"> </w:t>
      </w:r>
      <w:r>
        <w:rPr>
          <w:color w:val="231F20"/>
        </w:rPr>
        <w:t>to concrete strategies and initiatives designed to reduce CO2 emissions during the event and in subsequent activities.</w:t>
      </w:r>
    </w:p>
    <w:p w14:paraId="120236D2" w14:textId="77777777" w:rsidR="00AE0598" w:rsidRDefault="00AE0598">
      <w:pPr>
        <w:pStyle w:val="Corpodetexto"/>
        <w:spacing w:before="2"/>
        <w:rPr>
          <w:sz w:val="22"/>
        </w:rPr>
      </w:pPr>
    </w:p>
    <w:p w14:paraId="79FDE316" w14:textId="77777777" w:rsidR="00AE0598" w:rsidRDefault="0069255A">
      <w:pPr>
        <w:ind w:left="110"/>
        <w:jc w:val="both"/>
        <w:rPr>
          <w:rFonts w:ascii="Trebuchet MS"/>
          <w:sz w:val="20"/>
        </w:rPr>
      </w:pPr>
      <w:r>
        <w:rPr>
          <w:rFonts w:ascii="Trebuchet MS"/>
          <w:color w:val="231F20"/>
          <w:sz w:val="20"/>
        </w:rPr>
        <w:t>Political</w:t>
      </w:r>
      <w:r>
        <w:rPr>
          <w:rFonts w:ascii="Trebuchet MS"/>
          <w:color w:val="231F20"/>
          <w:spacing w:val="-14"/>
          <w:sz w:val="20"/>
        </w:rPr>
        <w:t xml:space="preserve"> </w:t>
      </w:r>
      <w:r>
        <w:rPr>
          <w:rFonts w:ascii="Trebuchet MS"/>
          <w:color w:val="231F20"/>
          <w:spacing w:val="-2"/>
          <w:sz w:val="20"/>
        </w:rPr>
        <w:t>trends</w:t>
      </w:r>
    </w:p>
    <w:p w14:paraId="1BFDCA2A" w14:textId="77777777" w:rsidR="00AE0598" w:rsidRDefault="0069255A">
      <w:pPr>
        <w:pStyle w:val="Corpodetexto"/>
        <w:spacing w:before="122" w:line="232" w:lineRule="auto"/>
        <w:ind w:left="110" w:right="126" w:firstLine="320"/>
        <w:jc w:val="both"/>
      </w:pPr>
      <w:r>
        <w:rPr>
          <w:color w:val="231F20"/>
        </w:rPr>
        <w:t>Political stability is a precondition of tourism development (Dwyer</w:t>
      </w:r>
      <w:r>
        <w:rPr>
          <w:color w:val="231F20"/>
          <w:spacing w:val="40"/>
        </w:rPr>
        <w:t xml:space="preserve"> </w:t>
      </w:r>
      <w:r>
        <w:rPr>
          <w:i/>
          <w:color w:val="231F20"/>
        </w:rPr>
        <w:t>et</w:t>
      </w:r>
      <w:r>
        <w:rPr>
          <w:i/>
          <w:color w:val="231F20"/>
          <w:spacing w:val="-8"/>
        </w:rPr>
        <w:t xml:space="preserve"> </w:t>
      </w:r>
      <w:r>
        <w:rPr>
          <w:i/>
          <w:color w:val="231F20"/>
        </w:rPr>
        <w:t>al</w:t>
      </w:r>
      <w:r>
        <w:rPr>
          <w:color w:val="231F20"/>
        </w:rPr>
        <w:t>.,</w:t>
      </w:r>
      <w:r>
        <w:rPr>
          <w:color w:val="231F20"/>
          <w:spacing w:val="-8"/>
        </w:rPr>
        <w:t xml:space="preserve"> </w:t>
      </w:r>
      <w:r>
        <w:rPr>
          <w:color w:val="231F20"/>
        </w:rPr>
        <w:t>2008;</w:t>
      </w:r>
      <w:r>
        <w:rPr>
          <w:color w:val="231F20"/>
          <w:spacing w:val="-8"/>
        </w:rPr>
        <w:t xml:space="preserve"> </w:t>
      </w:r>
      <w:r>
        <w:rPr>
          <w:color w:val="231F20"/>
        </w:rPr>
        <w:t>Tolkach</w:t>
      </w:r>
      <w:r>
        <w:rPr>
          <w:color w:val="231F20"/>
          <w:spacing w:val="-8"/>
        </w:rPr>
        <w:t xml:space="preserve"> </w:t>
      </w:r>
      <w:r>
        <w:rPr>
          <w:i/>
          <w:color w:val="231F20"/>
        </w:rPr>
        <w:t>et</w:t>
      </w:r>
      <w:r>
        <w:rPr>
          <w:i/>
          <w:color w:val="231F20"/>
          <w:spacing w:val="-8"/>
        </w:rPr>
        <w:t xml:space="preserve"> </w:t>
      </w:r>
      <w:r>
        <w:rPr>
          <w:i/>
          <w:color w:val="231F20"/>
        </w:rPr>
        <w:t>al</w:t>
      </w:r>
      <w:r>
        <w:rPr>
          <w:color w:val="231F20"/>
        </w:rPr>
        <w:t>.,</w:t>
      </w:r>
      <w:r>
        <w:rPr>
          <w:color w:val="231F20"/>
          <w:spacing w:val="-8"/>
        </w:rPr>
        <w:t xml:space="preserve"> </w:t>
      </w:r>
      <w:r>
        <w:rPr>
          <w:color w:val="231F20"/>
        </w:rPr>
        <w:t>2016).</w:t>
      </w:r>
      <w:r>
        <w:rPr>
          <w:color w:val="231F20"/>
          <w:spacing w:val="-8"/>
        </w:rPr>
        <w:t xml:space="preserve"> </w:t>
      </w:r>
      <w:r>
        <w:rPr>
          <w:color w:val="231F20"/>
        </w:rPr>
        <w:t>The</w:t>
      </w:r>
      <w:r>
        <w:rPr>
          <w:color w:val="231F20"/>
          <w:spacing w:val="-8"/>
        </w:rPr>
        <w:t xml:space="preserve"> </w:t>
      </w:r>
      <w:r>
        <w:rPr>
          <w:color w:val="231F20"/>
        </w:rPr>
        <w:t>United</w:t>
      </w:r>
      <w:r>
        <w:rPr>
          <w:color w:val="231F20"/>
          <w:spacing w:val="-8"/>
        </w:rPr>
        <w:t xml:space="preserve"> </w:t>
      </w:r>
      <w:r>
        <w:rPr>
          <w:color w:val="231F20"/>
        </w:rPr>
        <w:t>States</w:t>
      </w:r>
      <w:r>
        <w:rPr>
          <w:color w:val="231F20"/>
          <w:spacing w:val="-8"/>
        </w:rPr>
        <w:t xml:space="preserve"> </w:t>
      </w:r>
      <w:r>
        <w:rPr>
          <w:color w:val="231F20"/>
        </w:rPr>
        <w:t>and</w:t>
      </w:r>
      <w:r>
        <w:rPr>
          <w:color w:val="231F20"/>
          <w:spacing w:val="-8"/>
        </w:rPr>
        <w:t xml:space="preserve"> </w:t>
      </w:r>
      <w:r>
        <w:rPr>
          <w:color w:val="231F20"/>
        </w:rPr>
        <w:t>Europe</w:t>
      </w:r>
      <w:r>
        <w:rPr>
          <w:color w:val="231F20"/>
          <w:spacing w:val="-8"/>
        </w:rPr>
        <w:t xml:space="preserve"> </w:t>
      </w:r>
      <w:r>
        <w:rPr>
          <w:color w:val="231F20"/>
        </w:rPr>
        <w:t>are</w:t>
      </w:r>
      <w:r>
        <w:rPr>
          <w:color w:val="231F20"/>
          <w:spacing w:val="-8"/>
        </w:rPr>
        <w:t xml:space="preserve"> </w:t>
      </w:r>
      <w:r>
        <w:rPr>
          <w:color w:val="231F20"/>
        </w:rPr>
        <w:t>likely to</w:t>
      </w:r>
      <w:r>
        <w:rPr>
          <w:color w:val="231F20"/>
          <w:spacing w:val="-5"/>
        </w:rPr>
        <w:t xml:space="preserve"> </w:t>
      </w:r>
      <w:r>
        <w:rPr>
          <w:color w:val="231F20"/>
        </w:rPr>
        <w:t>remain</w:t>
      </w:r>
      <w:r>
        <w:rPr>
          <w:color w:val="231F20"/>
          <w:spacing w:val="-5"/>
        </w:rPr>
        <w:t xml:space="preserve"> </w:t>
      </w:r>
      <w:r>
        <w:rPr>
          <w:color w:val="231F20"/>
        </w:rPr>
        <w:t>very</w:t>
      </w:r>
      <w:r>
        <w:rPr>
          <w:color w:val="231F20"/>
          <w:spacing w:val="-5"/>
        </w:rPr>
        <w:t xml:space="preserve"> </w:t>
      </w:r>
      <w:r>
        <w:rPr>
          <w:color w:val="231F20"/>
        </w:rPr>
        <w:t>influential</w:t>
      </w:r>
      <w:r>
        <w:rPr>
          <w:color w:val="231F20"/>
          <w:spacing w:val="-5"/>
        </w:rPr>
        <w:t xml:space="preserve"> </w:t>
      </w:r>
      <w:r>
        <w:rPr>
          <w:color w:val="231F20"/>
        </w:rPr>
        <w:t>in</w:t>
      </w:r>
      <w:r>
        <w:rPr>
          <w:color w:val="231F20"/>
          <w:spacing w:val="-5"/>
        </w:rPr>
        <w:t xml:space="preserve"> </w:t>
      </w:r>
      <w:r>
        <w:rPr>
          <w:color w:val="231F20"/>
        </w:rPr>
        <w:t>global</w:t>
      </w:r>
      <w:r>
        <w:rPr>
          <w:color w:val="231F20"/>
          <w:spacing w:val="-5"/>
        </w:rPr>
        <w:t xml:space="preserve"> </w:t>
      </w:r>
      <w:r>
        <w:rPr>
          <w:color w:val="231F20"/>
        </w:rPr>
        <w:t>politics</w:t>
      </w:r>
      <w:r>
        <w:rPr>
          <w:color w:val="231F20"/>
          <w:spacing w:val="-5"/>
        </w:rPr>
        <w:t xml:space="preserve"> </w:t>
      </w:r>
      <w:r>
        <w:rPr>
          <w:color w:val="231F20"/>
        </w:rPr>
        <w:t>but</w:t>
      </w:r>
      <w:r>
        <w:rPr>
          <w:color w:val="231F20"/>
          <w:spacing w:val="-5"/>
        </w:rPr>
        <w:t xml:space="preserve"> </w:t>
      </w:r>
      <w:r>
        <w:rPr>
          <w:color w:val="231F20"/>
        </w:rPr>
        <w:t>face</w:t>
      </w:r>
      <w:r>
        <w:rPr>
          <w:color w:val="231F20"/>
          <w:spacing w:val="-5"/>
        </w:rPr>
        <w:t xml:space="preserve"> </w:t>
      </w:r>
      <w:r>
        <w:rPr>
          <w:color w:val="231F20"/>
        </w:rPr>
        <w:t>growing</w:t>
      </w:r>
      <w:r>
        <w:rPr>
          <w:color w:val="231F20"/>
          <w:spacing w:val="-5"/>
        </w:rPr>
        <w:t xml:space="preserve"> </w:t>
      </w:r>
      <w:r>
        <w:rPr>
          <w:color w:val="231F20"/>
        </w:rPr>
        <w:t>competition from China, India and Russia as these economies grow. Non-state actors (e.g.</w:t>
      </w:r>
      <w:r>
        <w:rPr>
          <w:color w:val="231F20"/>
          <w:spacing w:val="-2"/>
        </w:rPr>
        <w:t xml:space="preserve"> </w:t>
      </w:r>
      <w:r>
        <w:rPr>
          <w:color w:val="231F20"/>
        </w:rPr>
        <w:t>ethnic,</w:t>
      </w:r>
      <w:r>
        <w:rPr>
          <w:color w:val="231F20"/>
          <w:spacing w:val="-2"/>
        </w:rPr>
        <w:t xml:space="preserve"> </w:t>
      </w:r>
      <w:r>
        <w:rPr>
          <w:color w:val="231F20"/>
        </w:rPr>
        <w:t>cultural,</w:t>
      </w:r>
      <w:r>
        <w:rPr>
          <w:color w:val="231F20"/>
          <w:spacing w:val="-2"/>
        </w:rPr>
        <w:t xml:space="preserve"> </w:t>
      </w:r>
      <w:r>
        <w:rPr>
          <w:color w:val="231F20"/>
        </w:rPr>
        <w:t>indigenous</w:t>
      </w:r>
      <w:r>
        <w:rPr>
          <w:color w:val="231F20"/>
          <w:spacing w:val="-2"/>
        </w:rPr>
        <w:t xml:space="preserve"> </w:t>
      </w:r>
      <w:r>
        <w:rPr>
          <w:color w:val="231F20"/>
        </w:rPr>
        <w:t>and</w:t>
      </w:r>
      <w:r>
        <w:rPr>
          <w:color w:val="231F20"/>
          <w:spacing w:val="-2"/>
        </w:rPr>
        <w:t xml:space="preserve"> </w:t>
      </w:r>
      <w:r>
        <w:rPr>
          <w:color w:val="231F20"/>
        </w:rPr>
        <w:t>religious</w:t>
      </w:r>
      <w:r>
        <w:rPr>
          <w:color w:val="231F20"/>
          <w:spacing w:val="-2"/>
        </w:rPr>
        <w:t xml:space="preserve"> </w:t>
      </w:r>
      <w:r>
        <w:rPr>
          <w:color w:val="231F20"/>
        </w:rPr>
        <w:t>perspectives)</w:t>
      </w:r>
      <w:r>
        <w:rPr>
          <w:color w:val="231F20"/>
          <w:spacing w:val="-2"/>
        </w:rPr>
        <w:t xml:space="preserve"> </w:t>
      </w:r>
      <w:r>
        <w:rPr>
          <w:color w:val="231F20"/>
        </w:rPr>
        <w:t>will</w:t>
      </w:r>
      <w:r>
        <w:rPr>
          <w:color w:val="231F20"/>
          <w:spacing w:val="-2"/>
        </w:rPr>
        <w:t xml:space="preserve"> </w:t>
      </w:r>
      <w:r>
        <w:rPr>
          <w:color w:val="231F20"/>
        </w:rPr>
        <w:t>become increasingly engaged, perhaps reshaping spatial and temporal elements of sport tourism. Increasing</w:t>
      </w:r>
      <w:r>
        <w:rPr>
          <w:color w:val="231F20"/>
        </w:rPr>
        <w:t xml:space="preserve"> income disparities within and between developing</w:t>
      </w:r>
      <w:r>
        <w:rPr>
          <w:color w:val="231F20"/>
          <w:spacing w:val="-8"/>
        </w:rPr>
        <w:t xml:space="preserve"> </w:t>
      </w:r>
      <w:r>
        <w:rPr>
          <w:color w:val="231F20"/>
        </w:rPr>
        <w:t>and</w:t>
      </w:r>
      <w:r>
        <w:rPr>
          <w:color w:val="231F20"/>
          <w:spacing w:val="-8"/>
        </w:rPr>
        <w:t xml:space="preserve"> </w:t>
      </w:r>
      <w:r>
        <w:rPr>
          <w:color w:val="231F20"/>
        </w:rPr>
        <w:t>developed</w:t>
      </w:r>
      <w:r>
        <w:rPr>
          <w:color w:val="231F20"/>
          <w:spacing w:val="-8"/>
        </w:rPr>
        <w:t xml:space="preserve"> </w:t>
      </w:r>
      <w:r>
        <w:rPr>
          <w:color w:val="231F20"/>
        </w:rPr>
        <w:t>countries</w:t>
      </w:r>
      <w:r>
        <w:rPr>
          <w:color w:val="231F20"/>
          <w:spacing w:val="-8"/>
        </w:rPr>
        <w:t xml:space="preserve"> </w:t>
      </w:r>
      <w:r>
        <w:rPr>
          <w:color w:val="231F20"/>
        </w:rPr>
        <w:t>will</w:t>
      </w:r>
      <w:r>
        <w:rPr>
          <w:color w:val="231F20"/>
          <w:spacing w:val="-8"/>
        </w:rPr>
        <w:t xml:space="preserve"> </w:t>
      </w:r>
      <w:r>
        <w:rPr>
          <w:color w:val="231F20"/>
        </w:rPr>
        <w:t>continue</w:t>
      </w:r>
      <w:r>
        <w:rPr>
          <w:color w:val="231F20"/>
          <w:spacing w:val="-8"/>
        </w:rPr>
        <w:t xml:space="preserve"> </w:t>
      </w:r>
      <w:r>
        <w:rPr>
          <w:color w:val="231F20"/>
        </w:rPr>
        <w:t>to</w:t>
      </w:r>
      <w:r>
        <w:rPr>
          <w:color w:val="231F20"/>
          <w:spacing w:val="-8"/>
        </w:rPr>
        <w:t xml:space="preserve"> </w:t>
      </w:r>
      <w:r>
        <w:rPr>
          <w:color w:val="231F20"/>
        </w:rPr>
        <w:t>impact</w:t>
      </w:r>
      <w:r>
        <w:rPr>
          <w:color w:val="231F20"/>
          <w:spacing w:val="-8"/>
        </w:rPr>
        <w:t xml:space="preserve"> </w:t>
      </w:r>
      <w:r>
        <w:rPr>
          <w:color w:val="231F20"/>
        </w:rPr>
        <w:t>the</w:t>
      </w:r>
      <w:r>
        <w:rPr>
          <w:color w:val="231F20"/>
          <w:spacing w:val="-8"/>
        </w:rPr>
        <w:t xml:space="preserve"> </w:t>
      </w:r>
      <w:r>
        <w:rPr>
          <w:color w:val="231F20"/>
        </w:rPr>
        <w:t>flow</w:t>
      </w:r>
      <w:r>
        <w:rPr>
          <w:color w:val="231F20"/>
          <w:spacing w:val="-8"/>
        </w:rPr>
        <w:t xml:space="preserve"> </w:t>
      </w:r>
      <w:r>
        <w:rPr>
          <w:color w:val="231F20"/>
        </w:rPr>
        <w:t>and distribution of sport-based tourism. Changing balances of power and influence drive political trends. The continuation of international free trad</w:t>
      </w:r>
      <w:r>
        <w:rPr>
          <w:color w:val="231F20"/>
        </w:rPr>
        <w:t>e agendas, despite the protectionist position recently taken by the United States, highlights changing power configurations throughout the world. However, the economic benefits of free trade are unlikely to be evenly distributed. Hall (2000b) predicts that</w:t>
      </w:r>
      <w:r>
        <w:rPr>
          <w:color w:val="231F20"/>
        </w:rPr>
        <w:t xml:space="preserve"> there will be</w:t>
      </w:r>
    </w:p>
    <w:p w14:paraId="72417ACE" w14:textId="77777777" w:rsidR="00AE0598" w:rsidRDefault="00AE0598">
      <w:pPr>
        <w:pStyle w:val="Corpodetexto"/>
        <w:spacing w:before="2"/>
        <w:rPr>
          <w:sz w:val="22"/>
        </w:rPr>
      </w:pPr>
    </w:p>
    <w:p w14:paraId="551130F6" w14:textId="77777777" w:rsidR="00AE0598" w:rsidRDefault="0069255A">
      <w:pPr>
        <w:spacing w:line="244" w:lineRule="auto"/>
        <w:ind w:left="430" w:right="127"/>
        <w:jc w:val="both"/>
        <w:rPr>
          <w:sz w:val="20"/>
        </w:rPr>
      </w:pPr>
      <w:r>
        <w:rPr>
          <w:color w:val="231F20"/>
          <w:w w:val="95"/>
          <w:sz w:val="20"/>
        </w:rPr>
        <w:t xml:space="preserve">increased conflict between developing and developed countries over global economic development strategies as it becomes apparent to large numbers </w:t>
      </w:r>
      <w:r>
        <w:rPr>
          <w:color w:val="231F20"/>
          <w:sz w:val="20"/>
        </w:rPr>
        <w:t xml:space="preserve">of the population in developing countries that they will never be able to </w:t>
      </w:r>
      <w:r>
        <w:rPr>
          <w:color w:val="231F20"/>
          <w:w w:val="95"/>
          <w:sz w:val="20"/>
        </w:rPr>
        <w:t>have western lifesty</w:t>
      </w:r>
      <w:r>
        <w:rPr>
          <w:color w:val="231F20"/>
          <w:w w:val="95"/>
          <w:sz w:val="20"/>
        </w:rPr>
        <w:t xml:space="preserve">les due to population and resource constraints. (Hall, </w:t>
      </w:r>
      <w:r>
        <w:rPr>
          <w:color w:val="231F20"/>
          <w:sz w:val="20"/>
        </w:rPr>
        <w:t>2000b: 88)</w:t>
      </w:r>
    </w:p>
    <w:p w14:paraId="0F903E96" w14:textId="77777777" w:rsidR="00AE0598" w:rsidRDefault="00AE0598">
      <w:pPr>
        <w:pStyle w:val="Corpodetexto"/>
        <w:spacing w:before="6"/>
        <w:rPr>
          <w:sz w:val="20"/>
        </w:rPr>
      </w:pPr>
    </w:p>
    <w:p w14:paraId="2BBDC594" w14:textId="77777777" w:rsidR="00AE0598" w:rsidRDefault="0069255A">
      <w:pPr>
        <w:pStyle w:val="Corpodetexto"/>
        <w:spacing w:before="1" w:line="232" w:lineRule="auto"/>
        <w:ind w:left="110" w:right="127"/>
        <w:jc w:val="both"/>
      </w:pPr>
      <w:r>
        <w:rPr>
          <w:color w:val="231F20"/>
          <w:w w:val="95"/>
        </w:rPr>
        <w:t xml:space="preserve">Similar disparities have emerged within countries as some regions benefit </w:t>
      </w:r>
      <w:r>
        <w:rPr>
          <w:color w:val="231F20"/>
        </w:rPr>
        <w:t>while others suffer as a result of shifting economies under globalisation. The repercussions of such sentiments and</w:t>
      </w:r>
      <w:r>
        <w:rPr>
          <w:color w:val="231F20"/>
        </w:rPr>
        <w:t xml:space="preserve"> other political grievances are already being felt in terms of protest activities that have direct impacts on tourism and sport. Despite these issues of globalisation, and perhaps because of them, there may be positive impacts on tourism and sport as </w:t>
      </w:r>
      <w:r>
        <w:rPr>
          <w:color w:val="231F20"/>
          <w:w w:val="95"/>
        </w:rPr>
        <w:t xml:space="preserve">they </w:t>
      </w:r>
      <w:r>
        <w:rPr>
          <w:color w:val="231F20"/>
          <w:w w:val="95"/>
        </w:rPr>
        <w:t xml:space="preserve">are used as instruments of geopolitical strategy. Buckley </w:t>
      </w:r>
      <w:r>
        <w:rPr>
          <w:i/>
          <w:color w:val="231F20"/>
          <w:w w:val="95"/>
        </w:rPr>
        <w:t>et al</w:t>
      </w:r>
      <w:r>
        <w:rPr>
          <w:color w:val="231F20"/>
          <w:w w:val="95"/>
        </w:rPr>
        <w:t>. (2015) offer</w:t>
      </w:r>
      <w:r>
        <w:rPr>
          <w:color w:val="231F20"/>
          <w:spacing w:val="24"/>
        </w:rPr>
        <w:t xml:space="preserve"> </w:t>
      </w:r>
      <w:r>
        <w:rPr>
          <w:color w:val="231F20"/>
          <w:w w:val="95"/>
        </w:rPr>
        <w:t>the</w:t>
      </w:r>
      <w:r>
        <w:rPr>
          <w:color w:val="231F20"/>
          <w:spacing w:val="25"/>
        </w:rPr>
        <w:t xml:space="preserve"> </w:t>
      </w:r>
      <w:r>
        <w:rPr>
          <w:color w:val="231F20"/>
          <w:w w:val="95"/>
        </w:rPr>
        <w:t>example</w:t>
      </w:r>
      <w:r>
        <w:rPr>
          <w:color w:val="231F20"/>
          <w:spacing w:val="25"/>
        </w:rPr>
        <w:t xml:space="preserve"> </w:t>
      </w:r>
      <w:r>
        <w:rPr>
          <w:color w:val="231F20"/>
          <w:w w:val="95"/>
        </w:rPr>
        <w:t>of</w:t>
      </w:r>
      <w:r>
        <w:rPr>
          <w:color w:val="231F20"/>
          <w:spacing w:val="25"/>
        </w:rPr>
        <w:t xml:space="preserve"> </w:t>
      </w:r>
      <w:r>
        <w:rPr>
          <w:color w:val="231F20"/>
          <w:w w:val="95"/>
        </w:rPr>
        <w:t>the</w:t>
      </w:r>
      <w:r>
        <w:rPr>
          <w:color w:val="231F20"/>
          <w:spacing w:val="24"/>
        </w:rPr>
        <w:t xml:space="preserve"> </w:t>
      </w:r>
      <w:r>
        <w:rPr>
          <w:color w:val="231F20"/>
          <w:w w:val="95"/>
        </w:rPr>
        <w:t>Commonwealth</w:t>
      </w:r>
      <w:r>
        <w:rPr>
          <w:color w:val="231F20"/>
          <w:spacing w:val="25"/>
        </w:rPr>
        <w:t xml:space="preserve"> </w:t>
      </w:r>
      <w:r>
        <w:rPr>
          <w:color w:val="231F20"/>
          <w:w w:val="95"/>
        </w:rPr>
        <w:t>Games</w:t>
      </w:r>
      <w:r>
        <w:rPr>
          <w:color w:val="231F20"/>
          <w:spacing w:val="25"/>
        </w:rPr>
        <w:t xml:space="preserve"> </w:t>
      </w:r>
      <w:r>
        <w:rPr>
          <w:color w:val="231F20"/>
          <w:w w:val="95"/>
        </w:rPr>
        <w:t>sport</w:t>
      </w:r>
      <w:r>
        <w:rPr>
          <w:color w:val="231F20"/>
          <w:spacing w:val="25"/>
        </w:rPr>
        <w:t xml:space="preserve"> </w:t>
      </w:r>
      <w:r>
        <w:rPr>
          <w:color w:val="231F20"/>
          <w:w w:val="95"/>
        </w:rPr>
        <w:t>competition</w:t>
      </w:r>
      <w:r>
        <w:rPr>
          <w:color w:val="231F20"/>
          <w:spacing w:val="24"/>
        </w:rPr>
        <w:t xml:space="preserve"> </w:t>
      </w:r>
      <w:r>
        <w:rPr>
          <w:color w:val="231F20"/>
          <w:spacing w:val="-2"/>
          <w:w w:val="95"/>
        </w:rPr>
        <w:t>which</w:t>
      </w:r>
    </w:p>
    <w:p w14:paraId="2A518460" w14:textId="77777777" w:rsidR="00AE0598" w:rsidRDefault="00AE0598">
      <w:pPr>
        <w:spacing w:line="232" w:lineRule="auto"/>
        <w:jc w:val="both"/>
        <w:sectPr w:rsidR="00AE0598">
          <w:pgSz w:w="8850" w:h="13270"/>
          <w:pgMar w:top="720" w:right="1060" w:bottom="280" w:left="1080" w:header="720" w:footer="720" w:gutter="0"/>
          <w:cols w:space="720"/>
        </w:sectPr>
      </w:pPr>
    </w:p>
    <w:p w14:paraId="145026E7" w14:textId="77777777" w:rsidR="00AE0598" w:rsidRDefault="0069255A">
      <w:pPr>
        <w:spacing w:before="87"/>
        <w:ind w:left="108"/>
        <w:rPr>
          <w:rFonts w:ascii="Trebuchet MS"/>
          <w:sz w:val="14"/>
        </w:rPr>
      </w:pPr>
      <w:r>
        <w:rPr>
          <w:rFonts w:ascii="Trebuchet MS"/>
          <w:color w:val="231F20"/>
          <w:w w:val="105"/>
          <w:sz w:val="14"/>
        </w:rPr>
        <w:lastRenderedPageBreak/>
        <w:t>218</w:t>
      </w:r>
      <w:r>
        <w:rPr>
          <w:rFonts w:ascii="Trebuchet MS"/>
          <w:color w:val="231F20"/>
          <w:spacing w:val="66"/>
          <w:w w:val="150"/>
          <w:sz w:val="14"/>
        </w:rPr>
        <w:t xml:space="preserve"> </w:t>
      </w:r>
      <w:r>
        <w:rPr>
          <w:rFonts w:ascii="Trebuchet MS"/>
          <w:color w:val="231F20"/>
          <w:w w:val="105"/>
          <w:sz w:val="14"/>
        </w:rPr>
        <w:t>Part</w:t>
      </w:r>
      <w:r>
        <w:rPr>
          <w:rFonts w:ascii="Trebuchet MS"/>
          <w:color w:val="231F20"/>
          <w:spacing w:val="-9"/>
          <w:w w:val="105"/>
          <w:sz w:val="14"/>
        </w:rPr>
        <w:t xml:space="preserve"> </w:t>
      </w:r>
      <w:r>
        <w:rPr>
          <w:rFonts w:ascii="Trebuchet MS"/>
          <w:color w:val="231F20"/>
          <w:w w:val="105"/>
          <w:sz w:val="14"/>
        </w:rPr>
        <w:t>4:</w:t>
      </w:r>
      <w:r>
        <w:rPr>
          <w:rFonts w:ascii="Trebuchet MS"/>
          <w:color w:val="231F20"/>
          <w:spacing w:val="-8"/>
          <w:w w:val="105"/>
          <w:sz w:val="14"/>
        </w:rPr>
        <w:t xml:space="preserve"> </w:t>
      </w:r>
      <w:r>
        <w:rPr>
          <w:rFonts w:ascii="Trebuchet MS"/>
          <w:color w:val="231F20"/>
          <w:w w:val="105"/>
          <w:sz w:val="14"/>
        </w:rPr>
        <w:t>Sport</w:t>
      </w:r>
      <w:r>
        <w:rPr>
          <w:rFonts w:ascii="Trebuchet MS"/>
          <w:color w:val="231F20"/>
          <w:spacing w:val="-9"/>
          <w:w w:val="105"/>
          <w:sz w:val="14"/>
        </w:rPr>
        <w:t xml:space="preserve"> </w:t>
      </w:r>
      <w:r>
        <w:rPr>
          <w:rFonts w:ascii="Trebuchet MS"/>
          <w:color w:val="231F20"/>
          <w:w w:val="105"/>
          <w:sz w:val="14"/>
        </w:rPr>
        <w:t>Tourism</w:t>
      </w:r>
      <w:r>
        <w:rPr>
          <w:rFonts w:ascii="Trebuchet MS"/>
          <w:color w:val="231F20"/>
          <w:spacing w:val="-9"/>
          <w:w w:val="105"/>
          <w:sz w:val="14"/>
        </w:rPr>
        <w:t xml:space="preserve"> </w:t>
      </w:r>
      <w:r>
        <w:rPr>
          <w:rFonts w:ascii="Trebuchet MS"/>
          <w:color w:val="231F20"/>
          <w:w w:val="105"/>
          <w:sz w:val="14"/>
        </w:rPr>
        <w:t>Development</w:t>
      </w:r>
      <w:r>
        <w:rPr>
          <w:rFonts w:ascii="Trebuchet MS"/>
          <w:color w:val="231F20"/>
          <w:spacing w:val="-9"/>
          <w:w w:val="105"/>
          <w:sz w:val="14"/>
        </w:rPr>
        <w:t xml:space="preserve"> </w:t>
      </w:r>
      <w:r>
        <w:rPr>
          <w:rFonts w:ascii="Trebuchet MS"/>
          <w:color w:val="231F20"/>
          <w:w w:val="105"/>
          <w:sz w:val="14"/>
        </w:rPr>
        <w:t>and</w:t>
      </w:r>
      <w:r>
        <w:rPr>
          <w:rFonts w:ascii="Trebuchet MS"/>
          <w:color w:val="231F20"/>
          <w:spacing w:val="-8"/>
          <w:w w:val="105"/>
          <w:sz w:val="14"/>
        </w:rPr>
        <w:t xml:space="preserve"> </w:t>
      </w:r>
      <w:r>
        <w:rPr>
          <w:rFonts w:ascii="Trebuchet MS"/>
          <w:color w:val="231F20"/>
          <w:spacing w:val="-4"/>
          <w:w w:val="105"/>
          <w:sz w:val="14"/>
        </w:rPr>
        <w:t>Time</w:t>
      </w:r>
    </w:p>
    <w:p w14:paraId="61F11F18" w14:textId="77777777" w:rsidR="00AE0598" w:rsidRDefault="00AE0598">
      <w:pPr>
        <w:pStyle w:val="Corpodetexto"/>
        <w:rPr>
          <w:rFonts w:ascii="Trebuchet MS"/>
          <w:sz w:val="16"/>
        </w:rPr>
      </w:pPr>
    </w:p>
    <w:p w14:paraId="7A42B7E1" w14:textId="77777777" w:rsidR="00AE0598" w:rsidRDefault="0069255A">
      <w:pPr>
        <w:pStyle w:val="Corpodetexto"/>
        <w:spacing w:before="118" w:line="232" w:lineRule="auto"/>
        <w:ind w:left="110" w:right="131"/>
        <w:jc w:val="both"/>
      </w:pPr>
      <w:r>
        <w:rPr>
          <w:color w:val="231F20"/>
        </w:rPr>
        <w:t>has</w:t>
      </w:r>
      <w:r>
        <w:rPr>
          <w:color w:val="231F20"/>
          <w:spacing w:val="-1"/>
        </w:rPr>
        <w:t xml:space="preserve"> </w:t>
      </w:r>
      <w:r>
        <w:rPr>
          <w:color w:val="231F20"/>
        </w:rPr>
        <w:t>been</w:t>
      </w:r>
      <w:r>
        <w:rPr>
          <w:color w:val="231F20"/>
          <w:spacing w:val="-1"/>
        </w:rPr>
        <w:t xml:space="preserve"> </w:t>
      </w:r>
      <w:r>
        <w:rPr>
          <w:color w:val="231F20"/>
        </w:rPr>
        <w:t>branded</w:t>
      </w:r>
      <w:r>
        <w:rPr>
          <w:color w:val="231F20"/>
          <w:spacing w:val="-1"/>
        </w:rPr>
        <w:t xml:space="preserve"> </w:t>
      </w:r>
      <w:r>
        <w:rPr>
          <w:color w:val="231F20"/>
        </w:rPr>
        <w:t>as</w:t>
      </w:r>
      <w:r>
        <w:rPr>
          <w:color w:val="231F20"/>
          <w:spacing w:val="-1"/>
        </w:rPr>
        <w:t xml:space="preserve"> </w:t>
      </w:r>
      <w:r>
        <w:rPr>
          <w:color w:val="231F20"/>
        </w:rPr>
        <w:t>the</w:t>
      </w:r>
      <w:r>
        <w:rPr>
          <w:color w:val="231F20"/>
          <w:spacing w:val="-1"/>
        </w:rPr>
        <w:t xml:space="preserve"> </w:t>
      </w:r>
      <w:r>
        <w:rPr>
          <w:color w:val="231F20"/>
        </w:rPr>
        <w:t>‘friendly</w:t>
      </w:r>
      <w:r>
        <w:rPr>
          <w:color w:val="231F20"/>
          <w:spacing w:val="-1"/>
        </w:rPr>
        <w:t xml:space="preserve"> </w:t>
      </w:r>
      <w:r>
        <w:rPr>
          <w:color w:val="231F20"/>
        </w:rPr>
        <w:t>games’</w:t>
      </w:r>
      <w:r>
        <w:rPr>
          <w:color w:val="231F20"/>
          <w:spacing w:val="-1"/>
        </w:rPr>
        <w:t xml:space="preserve"> </w:t>
      </w:r>
      <w:r>
        <w:rPr>
          <w:color w:val="231F20"/>
        </w:rPr>
        <w:t>being</w:t>
      </w:r>
      <w:r>
        <w:rPr>
          <w:color w:val="231F20"/>
          <w:spacing w:val="-1"/>
        </w:rPr>
        <w:t xml:space="preserve"> </w:t>
      </w:r>
      <w:r>
        <w:rPr>
          <w:color w:val="231F20"/>
        </w:rPr>
        <w:t>used</w:t>
      </w:r>
      <w:r>
        <w:rPr>
          <w:color w:val="231F20"/>
          <w:spacing w:val="-1"/>
        </w:rPr>
        <w:t xml:space="preserve"> </w:t>
      </w:r>
      <w:r>
        <w:rPr>
          <w:color w:val="231F20"/>
        </w:rPr>
        <w:t>to</w:t>
      </w:r>
      <w:r>
        <w:rPr>
          <w:color w:val="231F20"/>
          <w:spacing w:val="-1"/>
        </w:rPr>
        <w:t xml:space="preserve"> </w:t>
      </w:r>
      <w:r>
        <w:rPr>
          <w:color w:val="231F20"/>
        </w:rPr>
        <w:t>unite</w:t>
      </w:r>
      <w:r>
        <w:rPr>
          <w:color w:val="231F20"/>
          <w:spacing w:val="-1"/>
        </w:rPr>
        <w:t xml:space="preserve"> </w:t>
      </w:r>
      <w:r>
        <w:rPr>
          <w:color w:val="231F20"/>
        </w:rPr>
        <w:t>a</w:t>
      </w:r>
      <w:r>
        <w:rPr>
          <w:color w:val="231F20"/>
          <w:spacing w:val="-1"/>
        </w:rPr>
        <w:t xml:space="preserve"> </w:t>
      </w:r>
      <w:r>
        <w:rPr>
          <w:color w:val="231F20"/>
        </w:rPr>
        <w:t xml:space="preserve">disparate </w:t>
      </w:r>
      <w:r>
        <w:rPr>
          <w:color w:val="231F20"/>
          <w:spacing w:val="-2"/>
        </w:rPr>
        <w:t>membership.</w:t>
      </w:r>
    </w:p>
    <w:p w14:paraId="6C951C9C" w14:textId="77777777" w:rsidR="00AE0598" w:rsidRDefault="0069255A">
      <w:pPr>
        <w:pStyle w:val="Corpodetexto"/>
        <w:spacing w:before="2" w:line="232" w:lineRule="auto"/>
        <w:ind w:left="110" w:right="126" w:firstLine="320"/>
        <w:jc w:val="both"/>
      </w:pPr>
      <w:r>
        <w:rPr>
          <w:color w:val="231F20"/>
          <w:w w:val="95"/>
        </w:rPr>
        <w:t xml:space="preserve">Terrorism is not a new challenge in tourism (Hall, 2000b; Sonmez </w:t>
      </w:r>
      <w:r>
        <w:rPr>
          <w:i/>
          <w:color w:val="231F20"/>
          <w:w w:val="95"/>
        </w:rPr>
        <w:t>et al</w:t>
      </w:r>
      <w:r>
        <w:rPr>
          <w:color w:val="231F20"/>
          <w:w w:val="95"/>
        </w:rPr>
        <w:t>., 1999) nor is it alien to sport. Perhaps the most notable terrorism incident</w:t>
      </w:r>
      <w:r>
        <w:rPr>
          <w:color w:val="231F20"/>
          <w:spacing w:val="40"/>
        </w:rPr>
        <w:t xml:space="preserve"> </w:t>
      </w:r>
      <w:r>
        <w:rPr>
          <w:color w:val="231F20"/>
        </w:rPr>
        <w:t>in a sport tourism context was the fatal attack on Israeli athletes at the Munich</w:t>
      </w:r>
      <w:r>
        <w:rPr>
          <w:color w:val="231F20"/>
          <w:spacing w:val="-12"/>
        </w:rPr>
        <w:t xml:space="preserve"> </w:t>
      </w:r>
      <w:r>
        <w:rPr>
          <w:color w:val="231F20"/>
        </w:rPr>
        <w:t>(1972)</w:t>
      </w:r>
      <w:r>
        <w:rPr>
          <w:color w:val="231F20"/>
          <w:spacing w:val="-12"/>
        </w:rPr>
        <w:t xml:space="preserve"> </w:t>
      </w:r>
      <w:r>
        <w:rPr>
          <w:color w:val="231F20"/>
        </w:rPr>
        <w:t>Olympic</w:t>
      </w:r>
      <w:r>
        <w:rPr>
          <w:color w:val="231F20"/>
          <w:spacing w:val="-11"/>
        </w:rPr>
        <w:t xml:space="preserve"> </w:t>
      </w:r>
      <w:r>
        <w:rPr>
          <w:color w:val="231F20"/>
        </w:rPr>
        <w:t>Village</w:t>
      </w:r>
      <w:r>
        <w:rPr>
          <w:color w:val="231F20"/>
          <w:spacing w:val="-12"/>
        </w:rPr>
        <w:t xml:space="preserve"> </w:t>
      </w:r>
      <w:r>
        <w:rPr>
          <w:color w:val="231F20"/>
        </w:rPr>
        <w:t>(Wedemeyer,</w:t>
      </w:r>
      <w:r>
        <w:rPr>
          <w:color w:val="231F20"/>
          <w:spacing w:val="-11"/>
        </w:rPr>
        <w:t xml:space="preserve"> </w:t>
      </w:r>
      <w:r>
        <w:rPr>
          <w:color w:val="231F20"/>
        </w:rPr>
        <w:t>1999).</w:t>
      </w:r>
      <w:r>
        <w:rPr>
          <w:color w:val="231F20"/>
          <w:spacing w:val="-12"/>
        </w:rPr>
        <w:t xml:space="preserve"> </w:t>
      </w:r>
      <w:r>
        <w:rPr>
          <w:color w:val="231F20"/>
        </w:rPr>
        <w:t>Yet,</w:t>
      </w:r>
      <w:r>
        <w:rPr>
          <w:color w:val="231F20"/>
          <w:spacing w:val="-11"/>
        </w:rPr>
        <w:t xml:space="preserve"> </w:t>
      </w:r>
      <w:r>
        <w:rPr>
          <w:color w:val="231F20"/>
        </w:rPr>
        <w:t>despite</w:t>
      </w:r>
      <w:r>
        <w:rPr>
          <w:color w:val="231F20"/>
          <w:spacing w:val="-12"/>
        </w:rPr>
        <w:t xml:space="preserve"> </w:t>
      </w:r>
      <w:r>
        <w:rPr>
          <w:color w:val="231F20"/>
        </w:rPr>
        <w:t>the</w:t>
      </w:r>
      <w:r>
        <w:rPr>
          <w:color w:val="231F20"/>
          <w:spacing w:val="-12"/>
        </w:rPr>
        <w:t xml:space="preserve"> </w:t>
      </w:r>
      <w:r>
        <w:rPr>
          <w:color w:val="231F20"/>
        </w:rPr>
        <w:t xml:space="preserve">high </w:t>
      </w:r>
      <w:r>
        <w:rPr>
          <w:color w:val="231F20"/>
          <w:w w:val="95"/>
        </w:rPr>
        <w:t>profile of sporting events as t</w:t>
      </w:r>
      <w:r>
        <w:rPr>
          <w:color w:val="231F20"/>
          <w:w w:val="95"/>
        </w:rPr>
        <w:t xml:space="preserve">errorist targets, there have been surprisingly </w:t>
      </w:r>
      <w:r>
        <w:rPr>
          <w:color w:val="231F20"/>
        </w:rPr>
        <w:t xml:space="preserve">few politically motivated attacks on sport. Indeed, it has been suggested that sport tourism was one of the more resilient types of tourism in the </w:t>
      </w:r>
      <w:r>
        <w:rPr>
          <w:color w:val="231F20"/>
          <w:w w:val="95"/>
        </w:rPr>
        <w:t>aftermath</w:t>
      </w:r>
      <w:r>
        <w:rPr>
          <w:color w:val="231F20"/>
          <w:spacing w:val="-1"/>
          <w:w w:val="95"/>
        </w:rPr>
        <w:t xml:space="preserve"> </w:t>
      </w:r>
      <w:r>
        <w:rPr>
          <w:color w:val="231F20"/>
          <w:w w:val="95"/>
        </w:rPr>
        <w:t>of</w:t>
      </w:r>
      <w:r>
        <w:rPr>
          <w:color w:val="231F20"/>
          <w:spacing w:val="-1"/>
          <w:w w:val="95"/>
        </w:rPr>
        <w:t xml:space="preserve"> </w:t>
      </w:r>
      <w:r>
        <w:rPr>
          <w:color w:val="231F20"/>
          <w:w w:val="95"/>
        </w:rPr>
        <w:t>the</w:t>
      </w:r>
      <w:r>
        <w:rPr>
          <w:color w:val="231F20"/>
          <w:spacing w:val="-1"/>
          <w:w w:val="95"/>
        </w:rPr>
        <w:t xml:space="preserve"> </w:t>
      </w:r>
      <w:r>
        <w:rPr>
          <w:color w:val="231F20"/>
          <w:w w:val="95"/>
        </w:rPr>
        <w:t>terrorist</w:t>
      </w:r>
      <w:r>
        <w:rPr>
          <w:color w:val="231F20"/>
          <w:spacing w:val="-1"/>
          <w:w w:val="95"/>
        </w:rPr>
        <w:t xml:space="preserve"> </w:t>
      </w:r>
      <w:r>
        <w:rPr>
          <w:color w:val="231F20"/>
          <w:w w:val="95"/>
        </w:rPr>
        <w:t>attacks</w:t>
      </w:r>
      <w:r>
        <w:rPr>
          <w:color w:val="231F20"/>
          <w:spacing w:val="-1"/>
          <w:w w:val="95"/>
        </w:rPr>
        <w:t xml:space="preserve"> </w:t>
      </w:r>
      <w:r>
        <w:rPr>
          <w:color w:val="231F20"/>
          <w:w w:val="95"/>
        </w:rPr>
        <w:t>in</w:t>
      </w:r>
      <w:r>
        <w:rPr>
          <w:color w:val="231F20"/>
          <w:spacing w:val="-1"/>
          <w:w w:val="95"/>
        </w:rPr>
        <w:t xml:space="preserve"> </w:t>
      </w:r>
      <w:r>
        <w:rPr>
          <w:color w:val="231F20"/>
          <w:w w:val="95"/>
        </w:rPr>
        <w:t>America</w:t>
      </w:r>
      <w:r>
        <w:rPr>
          <w:color w:val="231F20"/>
          <w:spacing w:val="-1"/>
          <w:w w:val="95"/>
        </w:rPr>
        <w:t xml:space="preserve"> </w:t>
      </w:r>
      <w:r>
        <w:rPr>
          <w:color w:val="231F20"/>
          <w:w w:val="95"/>
        </w:rPr>
        <w:t>on</w:t>
      </w:r>
      <w:r>
        <w:rPr>
          <w:color w:val="231F20"/>
          <w:spacing w:val="-1"/>
          <w:w w:val="95"/>
        </w:rPr>
        <w:t xml:space="preserve"> </w:t>
      </w:r>
      <w:r>
        <w:rPr>
          <w:color w:val="231F20"/>
          <w:w w:val="95"/>
        </w:rPr>
        <w:t>September</w:t>
      </w:r>
      <w:r>
        <w:rPr>
          <w:color w:val="231F20"/>
          <w:spacing w:val="-1"/>
          <w:w w:val="95"/>
        </w:rPr>
        <w:t xml:space="preserve"> </w:t>
      </w:r>
      <w:r>
        <w:rPr>
          <w:color w:val="231F20"/>
          <w:w w:val="95"/>
        </w:rPr>
        <w:t>11,</w:t>
      </w:r>
      <w:r>
        <w:rPr>
          <w:color w:val="231F20"/>
          <w:spacing w:val="-1"/>
          <w:w w:val="95"/>
        </w:rPr>
        <w:t xml:space="preserve"> </w:t>
      </w:r>
      <w:r>
        <w:rPr>
          <w:color w:val="231F20"/>
          <w:w w:val="95"/>
        </w:rPr>
        <w:t>2001</w:t>
      </w:r>
      <w:r>
        <w:rPr>
          <w:color w:val="231F20"/>
          <w:spacing w:val="-1"/>
          <w:w w:val="95"/>
        </w:rPr>
        <w:t xml:space="preserve"> </w:t>
      </w:r>
      <w:r>
        <w:rPr>
          <w:color w:val="231F20"/>
          <w:w w:val="95"/>
        </w:rPr>
        <w:t xml:space="preserve">(World </w:t>
      </w:r>
      <w:r>
        <w:rPr>
          <w:color w:val="231F20"/>
        </w:rPr>
        <w:t xml:space="preserve">Tourism Organisation, 2001). The most obvious implication of terrorist </w:t>
      </w:r>
      <w:r>
        <w:rPr>
          <w:color w:val="231F20"/>
          <w:w w:val="95"/>
        </w:rPr>
        <w:t>threats</w:t>
      </w:r>
      <w:r>
        <w:rPr>
          <w:color w:val="231F20"/>
          <w:spacing w:val="-2"/>
          <w:w w:val="95"/>
        </w:rPr>
        <w:t xml:space="preserve"> </w:t>
      </w:r>
      <w:r>
        <w:rPr>
          <w:color w:val="231F20"/>
          <w:w w:val="95"/>
        </w:rPr>
        <w:t>at</w:t>
      </w:r>
      <w:r>
        <w:rPr>
          <w:color w:val="231F20"/>
          <w:spacing w:val="-2"/>
          <w:w w:val="95"/>
        </w:rPr>
        <w:t xml:space="preserve"> </w:t>
      </w:r>
      <w:r>
        <w:rPr>
          <w:color w:val="231F20"/>
          <w:w w:val="95"/>
        </w:rPr>
        <w:t>major</w:t>
      </w:r>
      <w:r>
        <w:rPr>
          <w:color w:val="231F20"/>
          <w:spacing w:val="-2"/>
          <w:w w:val="95"/>
        </w:rPr>
        <w:t xml:space="preserve"> </w:t>
      </w:r>
      <w:r>
        <w:rPr>
          <w:color w:val="231F20"/>
          <w:w w:val="95"/>
        </w:rPr>
        <w:t>sporting</w:t>
      </w:r>
      <w:r>
        <w:rPr>
          <w:color w:val="231F20"/>
          <w:spacing w:val="-2"/>
          <w:w w:val="95"/>
        </w:rPr>
        <w:t xml:space="preserve"> </w:t>
      </w:r>
      <w:r>
        <w:rPr>
          <w:color w:val="231F20"/>
          <w:w w:val="95"/>
        </w:rPr>
        <w:t>events</w:t>
      </w:r>
      <w:r>
        <w:rPr>
          <w:color w:val="231F20"/>
          <w:spacing w:val="-2"/>
          <w:w w:val="95"/>
        </w:rPr>
        <w:t xml:space="preserve"> </w:t>
      </w:r>
      <w:r>
        <w:rPr>
          <w:color w:val="231F20"/>
          <w:w w:val="95"/>
        </w:rPr>
        <w:t>is</w:t>
      </w:r>
      <w:r>
        <w:rPr>
          <w:color w:val="231F20"/>
          <w:spacing w:val="-2"/>
          <w:w w:val="95"/>
        </w:rPr>
        <w:t xml:space="preserve"> </w:t>
      </w:r>
      <w:r>
        <w:rPr>
          <w:color w:val="231F20"/>
          <w:w w:val="95"/>
        </w:rPr>
        <w:t>increased</w:t>
      </w:r>
      <w:r>
        <w:rPr>
          <w:color w:val="231F20"/>
          <w:spacing w:val="-2"/>
          <w:w w:val="95"/>
        </w:rPr>
        <w:t xml:space="preserve"> </w:t>
      </w:r>
      <w:r>
        <w:rPr>
          <w:color w:val="231F20"/>
          <w:w w:val="95"/>
        </w:rPr>
        <w:t>costs</w:t>
      </w:r>
      <w:r>
        <w:rPr>
          <w:color w:val="231F20"/>
          <w:spacing w:val="-2"/>
          <w:w w:val="95"/>
        </w:rPr>
        <w:t xml:space="preserve"> </w:t>
      </w:r>
      <w:r>
        <w:rPr>
          <w:color w:val="231F20"/>
          <w:w w:val="95"/>
        </w:rPr>
        <w:t>of</w:t>
      </w:r>
      <w:r>
        <w:rPr>
          <w:color w:val="231F20"/>
          <w:spacing w:val="-2"/>
          <w:w w:val="95"/>
        </w:rPr>
        <w:t xml:space="preserve"> </w:t>
      </w:r>
      <w:r>
        <w:rPr>
          <w:color w:val="231F20"/>
          <w:w w:val="95"/>
        </w:rPr>
        <w:t>security</w:t>
      </w:r>
      <w:r>
        <w:rPr>
          <w:color w:val="231F20"/>
          <w:spacing w:val="-2"/>
          <w:w w:val="95"/>
        </w:rPr>
        <w:t xml:space="preserve"> </w:t>
      </w:r>
      <w:r>
        <w:rPr>
          <w:color w:val="231F20"/>
          <w:w w:val="95"/>
        </w:rPr>
        <w:t xml:space="preserve">requirements. </w:t>
      </w:r>
      <w:r>
        <w:rPr>
          <w:color w:val="231F20"/>
        </w:rPr>
        <w:t>To</w:t>
      </w:r>
      <w:r>
        <w:rPr>
          <w:color w:val="231F20"/>
          <w:spacing w:val="-10"/>
        </w:rPr>
        <w:t xml:space="preserve"> </w:t>
      </w:r>
      <w:r>
        <w:rPr>
          <w:color w:val="231F20"/>
        </w:rPr>
        <w:t>illustrate,</w:t>
      </w:r>
      <w:r>
        <w:rPr>
          <w:color w:val="231F20"/>
          <w:spacing w:val="-10"/>
        </w:rPr>
        <w:t xml:space="preserve"> </w:t>
      </w:r>
      <w:r>
        <w:rPr>
          <w:color w:val="231F20"/>
        </w:rPr>
        <w:t>in</w:t>
      </w:r>
      <w:r>
        <w:rPr>
          <w:color w:val="231F20"/>
          <w:spacing w:val="-10"/>
        </w:rPr>
        <w:t xml:space="preserve"> </w:t>
      </w:r>
      <w:r>
        <w:rPr>
          <w:color w:val="231F20"/>
        </w:rPr>
        <w:t>2016</w:t>
      </w:r>
      <w:r>
        <w:rPr>
          <w:color w:val="231F20"/>
          <w:spacing w:val="-10"/>
        </w:rPr>
        <w:t xml:space="preserve"> </w:t>
      </w:r>
      <w:r>
        <w:rPr>
          <w:color w:val="231F20"/>
        </w:rPr>
        <w:t>it</w:t>
      </w:r>
      <w:r>
        <w:rPr>
          <w:color w:val="231F20"/>
          <w:spacing w:val="-10"/>
        </w:rPr>
        <w:t xml:space="preserve"> </w:t>
      </w:r>
      <w:r>
        <w:rPr>
          <w:color w:val="231F20"/>
        </w:rPr>
        <w:t>was</w:t>
      </w:r>
      <w:r>
        <w:rPr>
          <w:color w:val="231F20"/>
          <w:spacing w:val="-10"/>
        </w:rPr>
        <w:t xml:space="preserve"> </w:t>
      </w:r>
      <w:r>
        <w:rPr>
          <w:color w:val="231F20"/>
        </w:rPr>
        <w:t>estimated</w:t>
      </w:r>
      <w:r>
        <w:rPr>
          <w:color w:val="231F20"/>
          <w:spacing w:val="-10"/>
        </w:rPr>
        <w:t xml:space="preserve"> </w:t>
      </w:r>
      <w:r>
        <w:rPr>
          <w:color w:val="231F20"/>
        </w:rPr>
        <w:t>that</w:t>
      </w:r>
      <w:r>
        <w:rPr>
          <w:color w:val="231F20"/>
          <w:spacing w:val="-10"/>
        </w:rPr>
        <w:t xml:space="preserve"> </w:t>
      </w:r>
      <w:r>
        <w:rPr>
          <w:color w:val="231F20"/>
        </w:rPr>
        <w:t>the</w:t>
      </w:r>
      <w:r>
        <w:rPr>
          <w:color w:val="231F20"/>
          <w:spacing w:val="-10"/>
        </w:rPr>
        <w:t xml:space="preserve"> </w:t>
      </w:r>
      <w:r>
        <w:rPr>
          <w:color w:val="231F20"/>
        </w:rPr>
        <w:t>security</w:t>
      </w:r>
      <w:r>
        <w:rPr>
          <w:color w:val="231F20"/>
          <w:spacing w:val="-10"/>
        </w:rPr>
        <w:t xml:space="preserve"> </w:t>
      </w:r>
      <w:r>
        <w:rPr>
          <w:color w:val="231F20"/>
        </w:rPr>
        <w:t>costs</w:t>
      </w:r>
      <w:r>
        <w:rPr>
          <w:color w:val="231F20"/>
          <w:spacing w:val="-10"/>
        </w:rPr>
        <w:t xml:space="preserve"> </w:t>
      </w:r>
      <w:r>
        <w:rPr>
          <w:color w:val="231F20"/>
        </w:rPr>
        <w:t>for</w:t>
      </w:r>
      <w:r>
        <w:rPr>
          <w:color w:val="231F20"/>
          <w:spacing w:val="-10"/>
        </w:rPr>
        <w:t xml:space="preserve"> </w:t>
      </w:r>
      <w:r>
        <w:rPr>
          <w:color w:val="231F20"/>
        </w:rPr>
        <w:t>the</w:t>
      </w:r>
      <w:r>
        <w:rPr>
          <w:color w:val="231F20"/>
          <w:spacing w:val="-10"/>
        </w:rPr>
        <w:t xml:space="preserve"> </w:t>
      </w:r>
      <w:r>
        <w:rPr>
          <w:color w:val="231F20"/>
        </w:rPr>
        <w:t>2020 Tokyo</w:t>
      </w:r>
      <w:r>
        <w:rPr>
          <w:color w:val="231F20"/>
          <w:spacing w:val="-6"/>
        </w:rPr>
        <w:t xml:space="preserve"> </w:t>
      </w:r>
      <w:r>
        <w:rPr>
          <w:color w:val="231F20"/>
        </w:rPr>
        <w:t>Olympics</w:t>
      </w:r>
      <w:r>
        <w:rPr>
          <w:color w:val="231F20"/>
          <w:spacing w:val="-6"/>
        </w:rPr>
        <w:t xml:space="preserve"> </w:t>
      </w:r>
      <w:r>
        <w:rPr>
          <w:color w:val="231F20"/>
        </w:rPr>
        <w:t>would</w:t>
      </w:r>
      <w:r>
        <w:rPr>
          <w:color w:val="231F20"/>
          <w:spacing w:val="-6"/>
        </w:rPr>
        <w:t xml:space="preserve"> </w:t>
      </w:r>
      <w:r>
        <w:rPr>
          <w:color w:val="231F20"/>
        </w:rPr>
        <w:t>be</w:t>
      </w:r>
      <w:r>
        <w:rPr>
          <w:color w:val="231F20"/>
          <w:spacing w:val="-6"/>
        </w:rPr>
        <w:t xml:space="preserve"> </w:t>
      </w:r>
      <w:r>
        <w:rPr>
          <w:color w:val="231F20"/>
        </w:rPr>
        <w:t>US$1.44</w:t>
      </w:r>
      <w:r>
        <w:rPr>
          <w:color w:val="231F20"/>
          <w:spacing w:val="-6"/>
        </w:rPr>
        <w:t xml:space="preserve"> </w:t>
      </w:r>
      <w:r>
        <w:rPr>
          <w:color w:val="231F20"/>
        </w:rPr>
        <w:t>billion</w:t>
      </w:r>
      <w:r>
        <w:rPr>
          <w:color w:val="231F20"/>
          <w:spacing w:val="-6"/>
        </w:rPr>
        <w:t xml:space="preserve"> </w:t>
      </w:r>
      <w:r>
        <w:rPr>
          <w:color w:val="231F20"/>
        </w:rPr>
        <w:t>which</w:t>
      </w:r>
      <w:r>
        <w:rPr>
          <w:color w:val="231F20"/>
          <w:spacing w:val="-6"/>
        </w:rPr>
        <w:t xml:space="preserve"> </w:t>
      </w:r>
      <w:r>
        <w:rPr>
          <w:color w:val="231F20"/>
        </w:rPr>
        <w:t>is</w:t>
      </w:r>
      <w:r>
        <w:rPr>
          <w:color w:val="231F20"/>
          <w:spacing w:val="-6"/>
        </w:rPr>
        <w:t xml:space="preserve"> </w:t>
      </w:r>
      <w:r>
        <w:rPr>
          <w:color w:val="231F20"/>
        </w:rPr>
        <w:t>more</w:t>
      </w:r>
      <w:r>
        <w:rPr>
          <w:color w:val="231F20"/>
          <w:spacing w:val="-6"/>
        </w:rPr>
        <w:t xml:space="preserve"> </w:t>
      </w:r>
      <w:r>
        <w:rPr>
          <w:color w:val="231F20"/>
        </w:rPr>
        <w:t>than</w:t>
      </w:r>
      <w:r>
        <w:rPr>
          <w:color w:val="231F20"/>
          <w:spacing w:val="-6"/>
        </w:rPr>
        <w:t xml:space="preserve"> </w:t>
      </w:r>
      <w:r>
        <w:rPr>
          <w:color w:val="231F20"/>
        </w:rPr>
        <w:t>11%</w:t>
      </w:r>
      <w:r>
        <w:rPr>
          <w:color w:val="231F20"/>
          <w:spacing w:val="-6"/>
        </w:rPr>
        <w:t xml:space="preserve"> </w:t>
      </w:r>
      <w:r>
        <w:rPr>
          <w:color w:val="231F20"/>
        </w:rPr>
        <w:t>of</w:t>
      </w:r>
      <w:r>
        <w:rPr>
          <w:color w:val="231F20"/>
          <w:spacing w:val="-6"/>
        </w:rPr>
        <w:t xml:space="preserve"> </w:t>
      </w:r>
      <w:r>
        <w:rPr>
          <w:color w:val="231F20"/>
        </w:rPr>
        <w:t xml:space="preserve">the </w:t>
      </w:r>
      <w:r>
        <w:rPr>
          <w:color w:val="231F20"/>
          <w:w w:val="95"/>
        </w:rPr>
        <w:t>estimated</w:t>
      </w:r>
      <w:r>
        <w:rPr>
          <w:color w:val="231F20"/>
        </w:rPr>
        <w:t xml:space="preserve"> </w:t>
      </w:r>
      <w:r>
        <w:rPr>
          <w:color w:val="231F20"/>
          <w:w w:val="95"/>
        </w:rPr>
        <w:t>US$12.6</w:t>
      </w:r>
      <w:r>
        <w:rPr>
          <w:color w:val="231F20"/>
        </w:rPr>
        <w:t xml:space="preserve"> </w:t>
      </w:r>
      <w:r>
        <w:rPr>
          <w:color w:val="231F20"/>
          <w:w w:val="95"/>
        </w:rPr>
        <w:t>billion</w:t>
      </w:r>
      <w:r>
        <w:rPr>
          <w:color w:val="231F20"/>
        </w:rPr>
        <w:t xml:space="preserve"> </w:t>
      </w:r>
      <w:r>
        <w:rPr>
          <w:color w:val="231F20"/>
          <w:w w:val="95"/>
        </w:rPr>
        <w:t>for</w:t>
      </w:r>
      <w:r>
        <w:rPr>
          <w:color w:val="231F20"/>
        </w:rPr>
        <w:t xml:space="preserve"> </w:t>
      </w:r>
      <w:r>
        <w:rPr>
          <w:color w:val="231F20"/>
          <w:w w:val="95"/>
        </w:rPr>
        <w:t>the</w:t>
      </w:r>
      <w:r>
        <w:rPr>
          <w:color w:val="231F20"/>
        </w:rPr>
        <w:t xml:space="preserve"> </w:t>
      </w:r>
      <w:r>
        <w:rPr>
          <w:color w:val="231F20"/>
          <w:w w:val="95"/>
        </w:rPr>
        <w:t>total</w:t>
      </w:r>
      <w:r>
        <w:rPr>
          <w:color w:val="231F20"/>
        </w:rPr>
        <w:t xml:space="preserve"> </w:t>
      </w:r>
      <w:r>
        <w:rPr>
          <w:color w:val="231F20"/>
          <w:w w:val="95"/>
        </w:rPr>
        <w:t>Games</w:t>
      </w:r>
      <w:r>
        <w:rPr>
          <w:color w:val="231F20"/>
        </w:rPr>
        <w:t xml:space="preserve"> </w:t>
      </w:r>
      <w:r>
        <w:rPr>
          <w:color w:val="231F20"/>
          <w:w w:val="95"/>
        </w:rPr>
        <w:t>budget.</w:t>
      </w:r>
      <w:r>
        <w:rPr>
          <w:color w:val="231F20"/>
        </w:rPr>
        <w:t xml:space="preserve"> </w:t>
      </w:r>
      <w:r>
        <w:rPr>
          <w:color w:val="231F20"/>
          <w:w w:val="95"/>
        </w:rPr>
        <w:t>Given</w:t>
      </w:r>
      <w:r>
        <w:rPr>
          <w:color w:val="231F20"/>
        </w:rPr>
        <w:t xml:space="preserve"> </w:t>
      </w:r>
      <w:r>
        <w:rPr>
          <w:color w:val="231F20"/>
          <w:w w:val="95"/>
        </w:rPr>
        <w:t>the</w:t>
      </w:r>
      <w:r>
        <w:rPr>
          <w:color w:val="231F20"/>
        </w:rPr>
        <w:t xml:space="preserve"> </w:t>
      </w:r>
      <w:r>
        <w:rPr>
          <w:color w:val="231F20"/>
          <w:w w:val="95"/>
        </w:rPr>
        <w:t>enormity</w:t>
      </w:r>
      <w:r>
        <w:rPr>
          <w:color w:val="231F20"/>
          <w:spacing w:val="80"/>
          <w:w w:val="150"/>
        </w:rPr>
        <w:t xml:space="preserve"> </w:t>
      </w:r>
      <w:r>
        <w:rPr>
          <w:color w:val="231F20"/>
          <w:w w:val="95"/>
        </w:rPr>
        <w:t>of this budget item and given national interests, the Japanese government will help the local Olympic organising commit</w:t>
      </w:r>
      <w:r>
        <w:rPr>
          <w:color w:val="231F20"/>
          <w:w w:val="95"/>
        </w:rPr>
        <w:t>tee to cover these costs (</w:t>
      </w:r>
      <w:r>
        <w:rPr>
          <w:i/>
          <w:color w:val="231F20"/>
          <w:w w:val="95"/>
        </w:rPr>
        <w:t xml:space="preserve">The </w:t>
      </w:r>
      <w:r>
        <w:rPr>
          <w:i/>
          <w:color w:val="231F20"/>
        </w:rPr>
        <w:t>Japan News</w:t>
      </w:r>
      <w:r>
        <w:rPr>
          <w:color w:val="231F20"/>
        </w:rPr>
        <w:t>, 2017). Not only will such high costs make hosting some of these</w:t>
      </w:r>
      <w:r>
        <w:rPr>
          <w:color w:val="231F20"/>
          <w:spacing w:val="-8"/>
        </w:rPr>
        <w:t xml:space="preserve"> </w:t>
      </w:r>
      <w:r>
        <w:rPr>
          <w:color w:val="231F20"/>
        </w:rPr>
        <w:t>events</w:t>
      </w:r>
      <w:r>
        <w:rPr>
          <w:color w:val="231F20"/>
          <w:spacing w:val="-8"/>
        </w:rPr>
        <w:t xml:space="preserve"> </w:t>
      </w:r>
      <w:r>
        <w:rPr>
          <w:color w:val="231F20"/>
        </w:rPr>
        <w:t>prohibitive</w:t>
      </w:r>
      <w:r>
        <w:rPr>
          <w:color w:val="231F20"/>
          <w:spacing w:val="-8"/>
        </w:rPr>
        <w:t xml:space="preserve"> </w:t>
      </w:r>
      <w:r>
        <w:rPr>
          <w:color w:val="231F20"/>
        </w:rPr>
        <w:t>for</w:t>
      </w:r>
      <w:r>
        <w:rPr>
          <w:color w:val="231F20"/>
          <w:spacing w:val="-8"/>
        </w:rPr>
        <w:t xml:space="preserve"> </w:t>
      </w:r>
      <w:r>
        <w:rPr>
          <w:color w:val="231F20"/>
        </w:rPr>
        <w:t>many</w:t>
      </w:r>
      <w:r>
        <w:rPr>
          <w:color w:val="231F20"/>
          <w:spacing w:val="-8"/>
        </w:rPr>
        <w:t xml:space="preserve"> </w:t>
      </w:r>
      <w:r>
        <w:rPr>
          <w:color w:val="231F20"/>
        </w:rPr>
        <w:t>cities,</w:t>
      </w:r>
      <w:r>
        <w:rPr>
          <w:color w:val="231F20"/>
          <w:spacing w:val="-8"/>
        </w:rPr>
        <w:t xml:space="preserve"> </w:t>
      </w:r>
      <w:r>
        <w:rPr>
          <w:color w:val="231F20"/>
        </w:rPr>
        <w:t>it</w:t>
      </w:r>
      <w:r>
        <w:rPr>
          <w:color w:val="231F20"/>
          <w:spacing w:val="-8"/>
        </w:rPr>
        <w:t xml:space="preserve"> </w:t>
      </w:r>
      <w:r>
        <w:rPr>
          <w:color w:val="231F20"/>
        </w:rPr>
        <w:t>may</w:t>
      </w:r>
      <w:r>
        <w:rPr>
          <w:color w:val="231F20"/>
          <w:spacing w:val="-8"/>
        </w:rPr>
        <w:t xml:space="preserve"> </w:t>
      </w:r>
      <w:r>
        <w:rPr>
          <w:color w:val="231F20"/>
        </w:rPr>
        <w:t>also</w:t>
      </w:r>
      <w:r>
        <w:rPr>
          <w:color w:val="231F20"/>
          <w:spacing w:val="-8"/>
        </w:rPr>
        <w:t xml:space="preserve"> </w:t>
      </w:r>
      <w:r>
        <w:rPr>
          <w:color w:val="231F20"/>
        </w:rPr>
        <w:t>lead</w:t>
      </w:r>
      <w:r>
        <w:rPr>
          <w:color w:val="231F20"/>
          <w:spacing w:val="-8"/>
        </w:rPr>
        <w:t xml:space="preserve"> </w:t>
      </w:r>
      <w:r>
        <w:rPr>
          <w:color w:val="231F20"/>
        </w:rPr>
        <w:t>to</w:t>
      </w:r>
      <w:r>
        <w:rPr>
          <w:color w:val="231F20"/>
          <w:spacing w:val="-8"/>
        </w:rPr>
        <w:t xml:space="preserve"> </w:t>
      </w:r>
      <w:r>
        <w:rPr>
          <w:color w:val="231F20"/>
        </w:rPr>
        <w:t>an</w:t>
      </w:r>
      <w:r>
        <w:rPr>
          <w:color w:val="231F20"/>
          <w:spacing w:val="-8"/>
        </w:rPr>
        <w:t xml:space="preserve"> </w:t>
      </w:r>
      <w:r>
        <w:rPr>
          <w:color w:val="231F20"/>
        </w:rPr>
        <w:t>increase</w:t>
      </w:r>
      <w:r>
        <w:rPr>
          <w:color w:val="231F20"/>
          <w:spacing w:val="-8"/>
        </w:rPr>
        <w:t xml:space="preserve"> </w:t>
      </w:r>
      <w:r>
        <w:rPr>
          <w:color w:val="231F20"/>
        </w:rPr>
        <w:t xml:space="preserve">in </w:t>
      </w:r>
      <w:r>
        <w:rPr>
          <w:color w:val="231F20"/>
          <w:w w:val="95"/>
        </w:rPr>
        <w:t xml:space="preserve">preference for off-site spectatorship over on-site consumption if spectators </w:t>
      </w:r>
      <w:r>
        <w:rPr>
          <w:color w:val="231F20"/>
        </w:rPr>
        <w:t xml:space="preserve">feel at risk or become frustrated by the security measures. Active sports </w:t>
      </w:r>
      <w:r>
        <w:rPr>
          <w:color w:val="231F20"/>
          <w:w w:val="95"/>
        </w:rPr>
        <w:t>characterised by dispersed spatial patterns of participation may increase</w:t>
      </w:r>
      <w:r>
        <w:rPr>
          <w:color w:val="231F20"/>
          <w:spacing w:val="80"/>
          <w:w w:val="150"/>
        </w:rPr>
        <w:t xml:space="preserve"> </w:t>
      </w:r>
      <w:r>
        <w:rPr>
          <w:color w:val="231F20"/>
        </w:rPr>
        <w:t>in</w:t>
      </w:r>
      <w:r>
        <w:rPr>
          <w:color w:val="231F20"/>
          <w:spacing w:val="-12"/>
        </w:rPr>
        <w:t xml:space="preserve"> </w:t>
      </w:r>
      <w:r>
        <w:rPr>
          <w:color w:val="231F20"/>
        </w:rPr>
        <w:t>popularity</w:t>
      </w:r>
      <w:r>
        <w:rPr>
          <w:color w:val="231F20"/>
          <w:spacing w:val="-12"/>
        </w:rPr>
        <w:t xml:space="preserve"> </w:t>
      </w:r>
      <w:r>
        <w:rPr>
          <w:color w:val="231F20"/>
        </w:rPr>
        <w:t>relative</w:t>
      </w:r>
      <w:r>
        <w:rPr>
          <w:color w:val="231F20"/>
          <w:spacing w:val="-11"/>
        </w:rPr>
        <w:t xml:space="preserve"> </w:t>
      </w:r>
      <w:r>
        <w:rPr>
          <w:color w:val="231F20"/>
        </w:rPr>
        <w:t>to</w:t>
      </w:r>
      <w:r>
        <w:rPr>
          <w:color w:val="231F20"/>
          <w:spacing w:val="-12"/>
        </w:rPr>
        <w:t xml:space="preserve"> </w:t>
      </w:r>
      <w:r>
        <w:rPr>
          <w:color w:val="231F20"/>
        </w:rPr>
        <w:t>major</w:t>
      </w:r>
      <w:r>
        <w:rPr>
          <w:color w:val="231F20"/>
          <w:spacing w:val="-11"/>
        </w:rPr>
        <w:t xml:space="preserve"> </w:t>
      </w:r>
      <w:r>
        <w:rPr>
          <w:color w:val="231F20"/>
        </w:rPr>
        <w:t>spectator</w:t>
      </w:r>
      <w:r>
        <w:rPr>
          <w:color w:val="231F20"/>
          <w:spacing w:val="-12"/>
        </w:rPr>
        <w:t xml:space="preserve"> </w:t>
      </w:r>
      <w:r>
        <w:rPr>
          <w:color w:val="231F20"/>
        </w:rPr>
        <w:t>or</w:t>
      </w:r>
      <w:r>
        <w:rPr>
          <w:color w:val="231F20"/>
          <w:spacing w:val="-11"/>
        </w:rPr>
        <w:t xml:space="preserve"> </w:t>
      </w:r>
      <w:r>
        <w:rPr>
          <w:color w:val="231F20"/>
        </w:rPr>
        <w:t>participant-based</w:t>
      </w:r>
      <w:r>
        <w:rPr>
          <w:color w:val="231F20"/>
          <w:spacing w:val="-12"/>
        </w:rPr>
        <w:t xml:space="preserve"> </w:t>
      </w:r>
      <w:r>
        <w:rPr>
          <w:color w:val="231F20"/>
        </w:rPr>
        <w:t>event</w:t>
      </w:r>
      <w:r>
        <w:rPr>
          <w:color w:val="231F20"/>
          <w:spacing w:val="-12"/>
        </w:rPr>
        <w:t xml:space="preserve"> </w:t>
      </w:r>
      <w:r>
        <w:rPr>
          <w:color w:val="231F20"/>
        </w:rPr>
        <w:t>sport tourism.</w:t>
      </w:r>
      <w:r>
        <w:rPr>
          <w:color w:val="231F20"/>
          <w:spacing w:val="-12"/>
        </w:rPr>
        <w:t xml:space="preserve"> </w:t>
      </w:r>
      <w:r>
        <w:rPr>
          <w:color w:val="231F20"/>
        </w:rPr>
        <w:t>Similarly,</w:t>
      </w:r>
      <w:r>
        <w:rPr>
          <w:color w:val="231F20"/>
          <w:spacing w:val="-11"/>
        </w:rPr>
        <w:t xml:space="preserve"> </w:t>
      </w:r>
      <w:r>
        <w:rPr>
          <w:color w:val="231F20"/>
        </w:rPr>
        <w:t>nostalgic</w:t>
      </w:r>
      <w:r>
        <w:rPr>
          <w:color w:val="231F20"/>
          <w:spacing w:val="-11"/>
        </w:rPr>
        <w:t xml:space="preserve"> </w:t>
      </w:r>
      <w:r>
        <w:rPr>
          <w:color w:val="231F20"/>
        </w:rPr>
        <w:t>tourism</w:t>
      </w:r>
      <w:r>
        <w:rPr>
          <w:color w:val="231F20"/>
          <w:spacing w:val="-11"/>
        </w:rPr>
        <w:t xml:space="preserve"> </w:t>
      </w:r>
      <w:r>
        <w:rPr>
          <w:color w:val="231F20"/>
        </w:rPr>
        <w:t>may</w:t>
      </w:r>
      <w:r>
        <w:rPr>
          <w:color w:val="231F20"/>
          <w:spacing w:val="-11"/>
        </w:rPr>
        <w:t xml:space="preserve"> </w:t>
      </w:r>
      <w:r>
        <w:rPr>
          <w:color w:val="231F20"/>
        </w:rPr>
        <w:t>increase</w:t>
      </w:r>
      <w:r>
        <w:rPr>
          <w:color w:val="231F20"/>
          <w:spacing w:val="-12"/>
        </w:rPr>
        <w:t xml:space="preserve"> </w:t>
      </w:r>
      <w:r>
        <w:rPr>
          <w:color w:val="231F20"/>
        </w:rPr>
        <w:t>as</w:t>
      </w:r>
      <w:r>
        <w:rPr>
          <w:color w:val="231F20"/>
          <w:spacing w:val="-11"/>
        </w:rPr>
        <w:t xml:space="preserve"> </w:t>
      </w:r>
      <w:r>
        <w:rPr>
          <w:color w:val="231F20"/>
        </w:rPr>
        <w:t>traditional</w:t>
      </w:r>
      <w:r>
        <w:rPr>
          <w:color w:val="231F20"/>
          <w:spacing w:val="-11"/>
        </w:rPr>
        <w:t xml:space="preserve"> </w:t>
      </w:r>
      <w:r>
        <w:rPr>
          <w:color w:val="231F20"/>
        </w:rPr>
        <w:t>patterns of event sport tourism consumption are altered.</w:t>
      </w:r>
    </w:p>
    <w:p w14:paraId="2F777FD7" w14:textId="77777777" w:rsidR="00AE0598" w:rsidRDefault="00AE0598">
      <w:pPr>
        <w:pStyle w:val="Corpodetexto"/>
        <w:spacing w:before="10"/>
        <w:rPr>
          <w:sz w:val="31"/>
        </w:rPr>
      </w:pPr>
    </w:p>
    <w:p w14:paraId="167015A1" w14:textId="77777777" w:rsidR="00AE0598" w:rsidRDefault="0069255A">
      <w:pPr>
        <w:ind w:left="110"/>
        <w:jc w:val="both"/>
        <w:rPr>
          <w:rFonts w:ascii="Trebuchet MS"/>
          <w:sz w:val="20"/>
        </w:rPr>
      </w:pPr>
      <w:r>
        <w:rPr>
          <w:rFonts w:ascii="Trebuchet MS"/>
          <w:color w:val="231F20"/>
          <w:w w:val="105"/>
          <w:sz w:val="20"/>
        </w:rPr>
        <w:t>Social</w:t>
      </w:r>
      <w:r>
        <w:rPr>
          <w:rFonts w:ascii="Trebuchet MS"/>
          <w:color w:val="231F20"/>
          <w:spacing w:val="-5"/>
          <w:w w:val="105"/>
          <w:sz w:val="20"/>
        </w:rPr>
        <w:t xml:space="preserve"> </w:t>
      </w:r>
      <w:r>
        <w:rPr>
          <w:rFonts w:ascii="Trebuchet MS"/>
          <w:color w:val="231F20"/>
          <w:w w:val="105"/>
          <w:sz w:val="20"/>
        </w:rPr>
        <w:t>and</w:t>
      </w:r>
      <w:r>
        <w:rPr>
          <w:rFonts w:ascii="Trebuchet MS"/>
          <w:color w:val="231F20"/>
          <w:spacing w:val="-4"/>
          <w:w w:val="105"/>
          <w:sz w:val="20"/>
        </w:rPr>
        <w:t xml:space="preserve"> </w:t>
      </w:r>
      <w:r>
        <w:rPr>
          <w:rFonts w:ascii="Trebuchet MS"/>
          <w:color w:val="231F20"/>
          <w:w w:val="105"/>
          <w:sz w:val="20"/>
        </w:rPr>
        <w:t>demographic</w:t>
      </w:r>
      <w:r>
        <w:rPr>
          <w:rFonts w:ascii="Trebuchet MS"/>
          <w:color w:val="231F20"/>
          <w:spacing w:val="-4"/>
          <w:w w:val="105"/>
          <w:sz w:val="20"/>
        </w:rPr>
        <w:t xml:space="preserve"> </w:t>
      </w:r>
      <w:r>
        <w:rPr>
          <w:rFonts w:ascii="Trebuchet MS"/>
          <w:color w:val="231F20"/>
          <w:spacing w:val="-2"/>
          <w:w w:val="105"/>
          <w:sz w:val="20"/>
        </w:rPr>
        <w:t>trends</w:t>
      </w:r>
    </w:p>
    <w:p w14:paraId="64FA6FA4" w14:textId="77777777" w:rsidR="00AE0598" w:rsidRDefault="0069255A">
      <w:pPr>
        <w:pStyle w:val="Corpodetexto"/>
        <w:spacing w:before="122" w:line="232" w:lineRule="auto"/>
        <w:ind w:left="110" w:right="124" w:firstLine="320"/>
        <w:jc w:val="both"/>
      </w:pPr>
      <w:r>
        <w:rPr>
          <w:color w:val="231F20"/>
        </w:rPr>
        <w:t xml:space="preserve">Socio-demographic trends are also likely to exert considerable influence over the future of sport tourism (Delpy, 2001). Dwyer </w:t>
      </w:r>
      <w:r>
        <w:rPr>
          <w:i/>
          <w:color w:val="231F20"/>
        </w:rPr>
        <w:t>et al</w:t>
      </w:r>
      <w:r>
        <w:rPr>
          <w:color w:val="231F20"/>
        </w:rPr>
        <w:t xml:space="preserve">. </w:t>
      </w:r>
      <w:r>
        <w:rPr>
          <w:color w:val="231F20"/>
          <w:w w:val="95"/>
        </w:rPr>
        <w:t>(2008:</w:t>
      </w:r>
      <w:r>
        <w:rPr>
          <w:color w:val="231F20"/>
          <w:spacing w:val="-1"/>
          <w:w w:val="95"/>
        </w:rPr>
        <w:t xml:space="preserve"> </w:t>
      </w:r>
      <w:r>
        <w:rPr>
          <w:color w:val="231F20"/>
          <w:w w:val="95"/>
        </w:rPr>
        <w:t>viii)</w:t>
      </w:r>
      <w:r>
        <w:rPr>
          <w:color w:val="231F20"/>
          <w:spacing w:val="-1"/>
          <w:w w:val="95"/>
        </w:rPr>
        <w:t xml:space="preserve"> </w:t>
      </w:r>
      <w:r>
        <w:rPr>
          <w:color w:val="231F20"/>
          <w:w w:val="95"/>
        </w:rPr>
        <w:t>suggest</w:t>
      </w:r>
      <w:r>
        <w:rPr>
          <w:color w:val="231F20"/>
          <w:spacing w:val="-1"/>
          <w:w w:val="95"/>
        </w:rPr>
        <w:t xml:space="preserve"> </w:t>
      </w:r>
      <w:r>
        <w:rPr>
          <w:color w:val="231F20"/>
          <w:w w:val="95"/>
        </w:rPr>
        <w:t>that</w:t>
      </w:r>
      <w:r>
        <w:rPr>
          <w:color w:val="231F20"/>
          <w:spacing w:val="-1"/>
          <w:w w:val="95"/>
        </w:rPr>
        <w:t xml:space="preserve"> </w:t>
      </w:r>
      <w:r>
        <w:rPr>
          <w:color w:val="231F20"/>
          <w:w w:val="95"/>
        </w:rPr>
        <w:t>‘Tourists</w:t>
      </w:r>
      <w:r>
        <w:rPr>
          <w:color w:val="231F20"/>
          <w:spacing w:val="-1"/>
          <w:w w:val="95"/>
        </w:rPr>
        <w:t xml:space="preserve"> </w:t>
      </w:r>
      <w:r>
        <w:rPr>
          <w:color w:val="231F20"/>
          <w:w w:val="95"/>
        </w:rPr>
        <w:t>are</w:t>
      </w:r>
      <w:r>
        <w:rPr>
          <w:color w:val="231F20"/>
          <w:spacing w:val="-1"/>
          <w:w w:val="95"/>
        </w:rPr>
        <w:t xml:space="preserve"> </w:t>
      </w:r>
      <w:r>
        <w:rPr>
          <w:color w:val="231F20"/>
          <w:w w:val="95"/>
        </w:rPr>
        <w:t>increasingly</w:t>
      </w:r>
      <w:r>
        <w:rPr>
          <w:color w:val="231F20"/>
          <w:spacing w:val="-1"/>
          <w:w w:val="95"/>
        </w:rPr>
        <w:t xml:space="preserve"> </w:t>
      </w:r>
      <w:r>
        <w:rPr>
          <w:color w:val="231F20"/>
          <w:w w:val="95"/>
        </w:rPr>
        <w:t>interested</w:t>
      </w:r>
      <w:r>
        <w:rPr>
          <w:color w:val="231F20"/>
          <w:spacing w:val="-1"/>
          <w:w w:val="95"/>
        </w:rPr>
        <w:t xml:space="preserve"> </w:t>
      </w:r>
      <w:r>
        <w:rPr>
          <w:color w:val="231F20"/>
          <w:w w:val="95"/>
        </w:rPr>
        <w:t>in</w:t>
      </w:r>
      <w:r>
        <w:rPr>
          <w:color w:val="231F20"/>
          <w:spacing w:val="-1"/>
          <w:w w:val="95"/>
        </w:rPr>
        <w:t xml:space="preserve"> </w:t>
      </w:r>
      <w:r>
        <w:rPr>
          <w:color w:val="231F20"/>
          <w:w w:val="95"/>
        </w:rPr>
        <w:t xml:space="preserve">discovering, </w:t>
      </w:r>
      <w:r>
        <w:rPr>
          <w:color w:val="231F20"/>
        </w:rPr>
        <w:t>experiencing,</w:t>
      </w:r>
      <w:r>
        <w:rPr>
          <w:color w:val="231F20"/>
          <w:spacing w:val="-1"/>
        </w:rPr>
        <w:t xml:space="preserve"> </w:t>
      </w:r>
      <w:r>
        <w:rPr>
          <w:color w:val="231F20"/>
        </w:rPr>
        <w:t>participating</w:t>
      </w:r>
      <w:r>
        <w:rPr>
          <w:color w:val="231F20"/>
          <w:spacing w:val="-1"/>
        </w:rPr>
        <w:t xml:space="preserve"> </w:t>
      </w:r>
      <w:r>
        <w:rPr>
          <w:color w:val="231F20"/>
        </w:rPr>
        <w:t>in,</w:t>
      </w:r>
      <w:r>
        <w:rPr>
          <w:color w:val="231F20"/>
          <w:spacing w:val="-1"/>
        </w:rPr>
        <w:t xml:space="preserve"> </w:t>
      </w:r>
      <w:r>
        <w:rPr>
          <w:color w:val="231F20"/>
        </w:rPr>
        <w:t>learning</w:t>
      </w:r>
      <w:r>
        <w:rPr>
          <w:color w:val="231F20"/>
          <w:spacing w:val="-1"/>
        </w:rPr>
        <w:t xml:space="preserve"> </w:t>
      </w:r>
      <w:r>
        <w:rPr>
          <w:color w:val="231F20"/>
        </w:rPr>
        <w:t>a</w:t>
      </w:r>
      <w:r>
        <w:rPr>
          <w:color w:val="231F20"/>
        </w:rPr>
        <w:t>bout</w:t>
      </w:r>
      <w:r>
        <w:rPr>
          <w:color w:val="231F20"/>
          <w:spacing w:val="-1"/>
        </w:rPr>
        <w:t xml:space="preserve"> </w:t>
      </w:r>
      <w:r>
        <w:rPr>
          <w:color w:val="231F20"/>
        </w:rPr>
        <w:t>and</w:t>
      </w:r>
      <w:r>
        <w:rPr>
          <w:color w:val="231F20"/>
          <w:spacing w:val="-1"/>
        </w:rPr>
        <w:t xml:space="preserve"> </w:t>
      </w:r>
      <w:r>
        <w:rPr>
          <w:color w:val="231F20"/>
        </w:rPr>
        <w:t>more</w:t>
      </w:r>
      <w:r>
        <w:rPr>
          <w:color w:val="231F20"/>
          <w:spacing w:val="-1"/>
        </w:rPr>
        <w:t xml:space="preserve"> </w:t>
      </w:r>
      <w:r>
        <w:rPr>
          <w:color w:val="231F20"/>
        </w:rPr>
        <w:t>intimately</w:t>
      </w:r>
      <w:r>
        <w:rPr>
          <w:color w:val="231F20"/>
          <w:spacing w:val="-1"/>
        </w:rPr>
        <w:t xml:space="preserve"> </w:t>
      </w:r>
      <w:r>
        <w:rPr>
          <w:color w:val="231F20"/>
        </w:rPr>
        <w:t xml:space="preserve">being </w:t>
      </w:r>
      <w:r>
        <w:rPr>
          <w:color w:val="231F20"/>
          <w:w w:val="95"/>
        </w:rPr>
        <w:t xml:space="preserve">included in the everyday life of the destinations that they visit’. Sport offers </w:t>
      </w:r>
      <w:r>
        <w:rPr>
          <w:color w:val="231F20"/>
        </w:rPr>
        <w:t xml:space="preserve">a mechanism for meeting this desire. In terms of specific demographic </w:t>
      </w:r>
      <w:r>
        <w:rPr>
          <w:color w:val="231F20"/>
          <w:w w:val="95"/>
        </w:rPr>
        <w:t>trends, immigration has resulted in changing sport activity patterns. This</w:t>
      </w:r>
      <w:r>
        <w:rPr>
          <w:color w:val="231F20"/>
          <w:w w:val="95"/>
        </w:rPr>
        <w:t xml:space="preserve"> has</w:t>
      </w:r>
      <w:r>
        <w:rPr>
          <w:color w:val="231F20"/>
          <w:spacing w:val="-4"/>
          <w:w w:val="95"/>
        </w:rPr>
        <w:t xml:space="preserve"> </w:t>
      </w:r>
      <w:r>
        <w:rPr>
          <w:color w:val="231F20"/>
          <w:w w:val="95"/>
        </w:rPr>
        <w:t>presented</w:t>
      </w:r>
      <w:r>
        <w:rPr>
          <w:color w:val="231F20"/>
          <w:spacing w:val="-4"/>
          <w:w w:val="95"/>
        </w:rPr>
        <w:t xml:space="preserve"> </w:t>
      </w:r>
      <w:r>
        <w:rPr>
          <w:color w:val="231F20"/>
          <w:w w:val="95"/>
        </w:rPr>
        <w:t>a</w:t>
      </w:r>
      <w:r>
        <w:rPr>
          <w:color w:val="231F20"/>
          <w:spacing w:val="-4"/>
          <w:w w:val="95"/>
        </w:rPr>
        <w:t xml:space="preserve"> </w:t>
      </w:r>
      <w:r>
        <w:rPr>
          <w:color w:val="231F20"/>
          <w:w w:val="95"/>
        </w:rPr>
        <w:t>challenge</w:t>
      </w:r>
      <w:r>
        <w:rPr>
          <w:color w:val="231F20"/>
          <w:spacing w:val="-4"/>
          <w:w w:val="95"/>
        </w:rPr>
        <w:t xml:space="preserve"> </w:t>
      </w:r>
      <w:r>
        <w:rPr>
          <w:color w:val="231F20"/>
          <w:w w:val="95"/>
        </w:rPr>
        <w:t>to</w:t>
      </w:r>
      <w:r>
        <w:rPr>
          <w:color w:val="231F20"/>
          <w:spacing w:val="-4"/>
          <w:w w:val="95"/>
        </w:rPr>
        <w:t xml:space="preserve"> </w:t>
      </w:r>
      <w:r>
        <w:rPr>
          <w:color w:val="231F20"/>
          <w:w w:val="95"/>
        </w:rPr>
        <w:t>sport</w:t>
      </w:r>
      <w:r>
        <w:rPr>
          <w:color w:val="231F20"/>
          <w:spacing w:val="-4"/>
          <w:w w:val="95"/>
        </w:rPr>
        <w:t xml:space="preserve"> </w:t>
      </w:r>
      <w:r>
        <w:rPr>
          <w:color w:val="231F20"/>
          <w:w w:val="95"/>
        </w:rPr>
        <w:t>tourism</w:t>
      </w:r>
      <w:r>
        <w:rPr>
          <w:color w:val="231F20"/>
          <w:spacing w:val="-4"/>
          <w:w w:val="95"/>
        </w:rPr>
        <w:t xml:space="preserve"> </w:t>
      </w:r>
      <w:r>
        <w:rPr>
          <w:color w:val="231F20"/>
          <w:w w:val="95"/>
        </w:rPr>
        <w:t>activities</w:t>
      </w:r>
      <w:r>
        <w:rPr>
          <w:color w:val="231F20"/>
          <w:spacing w:val="-4"/>
          <w:w w:val="95"/>
        </w:rPr>
        <w:t xml:space="preserve"> </w:t>
      </w:r>
      <w:r>
        <w:rPr>
          <w:color w:val="231F20"/>
          <w:w w:val="95"/>
        </w:rPr>
        <w:t>such</w:t>
      </w:r>
      <w:r>
        <w:rPr>
          <w:color w:val="231F20"/>
          <w:spacing w:val="-4"/>
          <w:w w:val="95"/>
        </w:rPr>
        <w:t xml:space="preserve"> </w:t>
      </w:r>
      <w:r>
        <w:rPr>
          <w:color w:val="231F20"/>
          <w:w w:val="95"/>
        </w:rPr>
        <w:t>as</w:t>
      </w:r>
      <w:r>
        <w:rPr>
          <w:color w:val="231F20"/>
          <w:spacing w:val="-4"/>
          <w:w w:val="95"/>
        </w:rPr>
        <w:t xml:space="preserve"> </w:t>
      </w:r>
      <w:r>
        <w:rPr>
          <w:color w:val="231F20"/>
          <w:w w:val="95"/>
        </w:rPr>
        <w:t>the</w:t>
      </w:r>
      <w:r>
        <w:rPr>
          <w:color w:val="231F20"/>
          <w:spacing w:val="-4"/>
          <w:w w:val="95"/>
        </w:rPr>
        <w:t xml:space="preserve"> </w:t>
      </w:r>
      <w:r>
        <w:rPr>
          <w:color w:val="231F20"/>
          <w:w w:val="95"/>
        </w:rPr>
        <w:t>ski</w:t>
      </w:r>
      <w:r>
        <w:rPr>
          <w:color w:val="231F20"/>
          <w:spacing w:val="-4"/>
          <w:w w:val="95"/>
        </w:rPr>
        <w:t xml:space="preserve"> </w:t>
      </w:r>
      <w:r>
        <w:rPr>
          <w:color w:val="231F20"/>
          <w:w w:val="95"/>
        </w:rPr>
        <w:t xml:space="preserve">industry </w:t>
      </w:r>
      <w:r>
        <w:rPr>
          <w:color w:val="231F20"/>
        </w:rPr>
        <w:t>in</w:t>
      </w:r>
      <w:r>
        <w:rPr>
          <w:color w:val="231F20"/>
          <w:spacing w:val="37"/>
        </w:rPr>
        <w:t xml:space="preserve"> </w:t>
      </w:r>
      <w:r>
        <w:rPr>
          <w:color w:val="231F20"/>
        </w:rPr>
        <w:t>Canada</w:t>
      </w:r>
      <w:r>
        <w:rPr>
          <w:color w:val="231F20"/>
          <w:spacing w:val="37"/>
        </w:rPr>
        <w:t xml:space="preserve"> </w:t>
      </w:r>
      <w:r>
        <w:rPr>
          <w:color w:val="231F20"/>
        </w:rPr>
        <w:t>where</w:t>
      </w:r>
      <w:r>
        <w:rPr>
          <w:color w:val="231F20"/>
          <w:spacing w:val="37"/>
        </w:rPr>
        <w:t xml:space="preserve"> </w:t>
      </w:r>
      <w:r>
        <w:rPr>
          <w:color w:val="231F20"/>
        </w:rPr>
        <w:t>Asian</w:t>
      </w:r>
      <w:r>
        <w:rPr>
          <w:color w:val="231F20"/>
          <w:spacing w:val="37"/>
        </w:rPr>
        <w:t xml:space="preserve"> </w:t>
      </w:r>
      <w:r>
        <w:rPr>
          <w:color w:val="231F20"/>
        </w:rPr>
        <w:t>immigrants</w:t>
      </w:r>
      <w:r>
        <w:rPr>
          <w:color w:val="231F20"/>
          <w:spacing w:val="37"/>
        </w:rPr>
        <w:t xml:space="preserve"> </w:t>
      </w:r>
      <w:r>
        <w:rPr>
          <w:color w:val="231F20"/>
        </w:rPr>
        <w:t>are</w:t>
      </w:r>
      <w:r>
        <w:rPr>
          <w:color w:val="231F20"/>
          <w:spacing w:val="37"/>
        </w:rPr>
        <w:t xml:space="preserve"> </w:t>
      </w:r>
      <w:r>
        <w:rPr>
          <w:color w:val="231F20"/>
        </w:rPr>
        <w:t>much</w:t>
      </w:r>
      <w:r>
        <w:rPr>
          <w:color w:val="231F20"/>
          <w:spacing w:val="37"/>
        </w:rPr>
        <w:t xml:space="preserve"> </w:t>
      </w:r>
      <w:r>
        <w:rPr>
          <w:color w:val="231F20"/>
        </w:rPr>
        <w:t>less</w:t>
      </w:r>
      <w:r>
        <w:rPr>
          <w:color w:val="231F20"/>
          <w:spacing w:val="37"/>
        </w:rPr>
        <w:t xml:space="preserve"> </w:t>
      </w:r>
      <w:r>
        <w:rPr>
          <w:color w:val="231F20"/>
        </w:rPr>
        <w:t>likely</w:t>
      </w:r>
      <w:r>
        <w:rPr>
          <w:color w:val="231F20"/>
          <w:spacing w:val="37"/>
        </w:rPr>
        <w:t xml:space="preserve"> </w:t>
      </w:r>
      <w:r>
        <w:rPr>
          <w:color w:val="231F20"/>
        </w:rPr>
        <w:t>to</w:t>
      </w:r>
      <w:r>
        <w:rPr>
          <w:color w:val="231F20"/>
          <w:spacing w:val="37"/>
        </w:rPr>
        <w:t xml:space="preserve"> </w:t>
      </w:r>
      <w:r>
        <w:rPr>
          <w:color w:val="231F20"/>
        </w:rPr>
        <w:t xml:space="preserve">patronise ski resorts than residents of Anglo Saxon descent (Hudson </w:t>
      </w:r>
      <w:r>
        <w:rPr>
          <w:i/>
          <w:color w:val="231F20"/>
        </w:rPr>
        <w:t>et al</w:t>
      </w:r>
      <w:r>
        <w:rPr>
          <w:color w:val="231F20"/>
        </w:rPr>
        <w:t>., 2010). Similar challenges exist in terms of aging populations in North America.</w:t>
      </w:r>
    </w:p>
    <w:p w14:paraId="7699E295" w14:textId="77777777" w:rsidR="00AE0598" w:rsidRDefault="00AE0598">
      <w:pPr>
        <w:pStyle w:val="Corpodetexto"/>
        <w:spacing w:before="10"/>
      </w:pPr>
    </w:p>
    <w:p w14:paraId="08965F93" w14:textId="77777777" w:rsidR="00AE0598" w:rsidRDefault="0069255A">
      <w:pPr>
        <w:spacing w:line="244" w:lineRule="auto"/>
        <w:ind w:left="430" w:right="126"/>
        <w:jc w:val="both"/>
        <w:rPr>
          <w:sz w:val="20"/>
        </w:rPr>
      </w:pPr>
      <w:r>
        <w:rPr>
          <w:color w:val="231F20"/>
          <w:w w:val="95"/>
          <w:sz w:val="20"/>
        </w:rPr>
        <w:t xml:space="preserve">People born between 1946 and 1964 make up almost a third of the North </w:t>
      </w:r>
      <w:r>
        <w:rPr>
          <w:color w:val="231F20"/>
          <w:sz w:val="20"/>
        </w:rPr>
        <w:t xml:space="preserve">American population and they </w:t>
      </w:r>
      <w:r>
        <w:rPr>
          <w:color w:val="231F20"/>
          <w:sz w:val="20"/>
        </w:rPr>
        <w:t xml:space="preserve">started switching to more gentle winter </w:t>
      </w:r>
      <w:r>
        <w:rPr>
          <w:color w:val="231F20"/>
          <w:w w:val="95"/>
          <w:sz w:val="20"/>
        </w:rPr>
        <w:t xml:space="preserve">sports such as snowshoeing and cross-country skiing, because their aging </w:t>
      </w:r>
      <w:r>
        <w:rPr>
          <w:color w:val="231F20"/>
          <w:sz w:val="20"/>
        </w:rPr>
        <w:t>bodies</w:t>
      </w:r>
      <w:r>
        <w:rPr>
          <w:color w:val="231F20"/>
          <w:spacing w:val="40"/>
          <w:sz w:val="20"/>
        </w:rPr>
        <w:t xml:space="preserve"> </w:t>
      </w:r>
      <w:r>
        <w:rPr>
          <w:color w:val="231F20"/>
          <w:sz w:val="20"/>
        </w:rPr>
        <w:t>could</w:t>
      </w:r>
      <w:r>
        <w:rPr>
          <w:color w:val="231F20"/>
          <w:spacing w:val="40"/>
          <w:sz w:val="20"/>
        </w:rPr>
        <w:t xml:space="preserve"> </w:t>
      </w:r>
      <w:r>
        <w:rPr>
          <w:color w:val="231F20"/>
          <w:sz w:val="20"/>
        </w:rPr>
        <w:t>no</w:t>
      </w:r>
      <w:r>
        <w:rPr>
          <w:color w:val="231F20"/>
          <w:spacing w:val="40"/>
          <w:sz w:val="20"/>
        </w:rPr>
        <w:t xml:space="preserve"> </w:t>
      </w:r>
      <w:r>
        <w:rPr>
          <w:color w:val="231F20"/>
          <w:sz w:val="20"/>
        </w:rPr>
        <w:t>longer</w:t>
      </w:r>
      <w:r>
        <w:rPr>
          <w:color w:val="231F20"/>
          <w:spacing w:val="40"/>
          <w:sz w:val="20"/>
        </w:rPr>
        <w:t xml:space="preserve"> </w:t>
      </w:r>
      <w:r>
        <w:rPr>
          <w:color w:val="231F20"/>
          <w:sz w:val="20"/>
        </w:rPr>
        <w:t>handle</w:t>
      </w:r>
      <w:r>
        <w:rPr>
          <w:color w:val="231F20"/>
          <w:spacing w:val="40"/>
          <w:sz w:val="20"/>
        </w:rPr>
        <w:t xml:space="preserve"> </w:t>
      </w:r>
      <w:r>
        <w:rPr>
          <w:color w:val="231F20"/>
          <w:sz w:val="20"/>
        </w:rPr>
        <w:t>the</w:t>
      </w:r>
      <w:r>
        <w:rPr>
          <w:color w:val="231F20"/>
          <w:spacing w:val="40"/>
          <w:sz w:val="20"/>
        </w:rPr>
        <w:t xml:space="preserve"> </w:t>
      </w:r>
      <w:r>
        <w:rPr>
          <w:color w:val="231F20"/>
          <w:sz w:val="20"/>
        </w:rPr>
        <w:t>rigours</w:t>
      </w:r>
      <w:r>
        <w:rPr>
          <w:color w:val="231F20"/>
          <w:spacing w:val="40"/>
          <w:sz w:val="20"/>
        </w:rPr>
        <w:t xml:space="preserve"> </w:t>
      </w:r>
      <w:r>
        <w:rPr>
          <w:color w:val="231F20"/>
          <w:sz w:val="20"/>
        </w:rPr>
        <w:t>of</w:t>
      </w:r>
      <w:r>
        <w:rPr>
          <w:color w:val="231F20"/>
          <w:spacing w:val="40"/>
          <w:sz w:val="20"/>
        </w:rPr>
        <w:t xml:space="preserve"> </w:t>
      </w:r>
      <w:r>
        <w:rPr>
          <w:color w:val="231F20"/>
          <w:sz w:val="20"/>
        </w:rPr>
        <w:t>alpine</w:t>
      </w:r>
      <w:r>
        <w:rPr>
          <w:color w:val="231F20"/>
          <w:spacing w:val="40"/>
          <w:sz w:val="20"/>
        </w:rPr>
        <w:t xml:space="preserve"> </w:t>
      </w:r>
      <w:r>
        <w:rPr>
          <w:color w:val="231F20"/>
          <w:sz w:val="20"/>
        </w:rPr>
        <w:t>runs.</w:t>
      </w:r>
      <w:r>
        <w:rPr>
          <w:color w:val="231F20"/>
          <w:spacing w:val="40"/>
          <w:sz w:val="20"/>
        </w:rPr>
        <w:t xml:space="preserve"> </w:t>
      </w:r>
      <w:r>
        <w:rPr>
          <w:color w:val="231F20"/>
          <w:sz w:val="20"/>
        </w:rPr>
        <w:t>High-tech</w:t>
      </w:r>
    </w:p>
    <w:p w14:paraId="0BDD3E2E" w14:textId="77777777" w:rsidR="00AE0598" w:rsidRDefault="00AE0598">
      <w:pPr>
        <w:spacing w:line="244" w:lineRule="auto"/>
        <w:jc w:val="both"/>
        <w:rPr>
          <w:sz w:val="20"/>
        </w:rPr>
        <w:sectPr w:rsidR="00AE0598">
          <w:pgSz w:w="8850" w:h="13270"/>
          <w:pgMar w:top="720" w:right="1060" w:bottom="280" w:left="1080" w:header="720" w:footer="720" w:gutter="0"/>
          <w:cols w:space="720"/>
        </w:sectPr>
      </w:pPr>
    </w:p>
    <w:p w14:paraId="41A731E5" w14:textId="77777777" w:rsidR="00AE0598" w:rsidRDefault="0069255A">
      <w:pPr>
        <w:spacing w:before="87"/>
        <w:ind w:left="3808"/>
        <w:rPr>
          <w:rFonts w:ascii="Trebuchet MS"/>
          <w:sz w:val="14"/>
        </w:rPr>
      </w:pPr>
      <w:r>
        <w:rPr>
          <w:rFonts w:ascii="Trebuchet MS"/>
          <w:color w:val="231F20"/>
          <w:w w:val="105"/>
          <w:sz w:val="14"/>
        </w:rPr>
        <w:lastRenderedPageBreak/>
        <w:t>Evolutionary</w:t>
      </w:r>
      <w:r>
        <w:rPr>
          <w:rFonts w:ascii="Trebuchet MS"/>
          <w:color w:val="231F20"/>
          <w:spacing w:val="-12"/>
          <w:w w:val="105"/>
          <w:sz w:val="14"/>
        </w:rPr>
        <w:t xml:space="preserve"> </w:t>
      </w:r>
      <w:r>
        <w:rPr>
          <w:rFonts w:ascii="Trebuchet MS"/>
          <w:color w:val="231F20"/>
          <w:w w:val="105"/>
          <w:sz w:val="14"/>
        </w:rPr>
        <w:t>Trends</w:t>
      </w:r>
      <w:r>
        <w:rPr>
          <w:rFonts w:ascii="Trebuchet MS"/>
          <w:color w:val="231F20"/>
          <w:spacing w:val="-11"/>
          <w:w w:val="105"/>
          <w:sz w:val="14"/>
        </w:rPr>
        <w:t xml:space="preserve"> </w:t>
      </w:r>
      <w:r>
        <w:rPr>
          <w:rFonts w:ascii="Trebuchet MS"/>
          <w:color w:val="231F20"/>
          <w:w w:val="105"/>
          <w:sz w:val="14"/>
        </w:rPr>
        <w:t>in</w:t>
      </w:r>
      <w:r>
        <w:rPr>
          <w:rFonts w:ascii="Trebuchet MS"/>
          <w:color w:val="231F20"/>
          <w:spacing w:val="-11"/>
          <w:w w:val="105"/>
          <w:sz w:val="14"/>
        </w:rPr>
        <w:t xml:space="preserve"> </w:t>
      </w:r>
      <w:r>
        <w:rPr>
          <w:rFonts w:ascii="Trebuchet MS"/>
          <w:color w:val="231F20"/>
          <w:w w:val="105"/>
          <w:sz w:val="14"/>
        </w:rPr>
        <w:t>Sport</w:t>
      </w:r>
      <w:r>
        <w:rPr>
          <w:rFonts w:ascii="Trebuchet MS"/>
          <w:color w:val="231F20"/>
          <w:spacing w:val="-11"/>
          <w:w w:val="105"/>
          <w:sz w:val="14"/>
        </w:rPr>
        <w:t xml:space="preserve"> </w:t>
      </w:r>
      <w:r>
        <w:rPr>
          <w:rFonts w:ascii="Trebuchet MS"/>
          <w:color w:val="231F20"/>
          <w:w w:val="105"/>
          <w:sz w:val="14"/>
        </w:rPr>
        <w:t>Tourism</w:t>
      </w:r>
      <w:r>
        <w:rPr>
          <w:rFonts w:ascii="Trebuchet MS"/>
          <w:color w:val="231F20"/>
          <w:spacing w:val="74"/>
          <w:w w:val="105"/>
          <w:sz w:val="14"/>
        </w:rPr>
        <w:t xml:space="preserve"> </w:t>
      </w:r>
      <w:r>
        <w:rPr>
          <w:rFonts w:ascii="Trebuchet MS"/>
          <w:color w:val="231F20"/>
          <w:spacing w:val="-5"/>
          <w:w w:val="105"/>
          <w:sz w:val="14"/>
        </w:rPr>
        <w:t>219</w:t>
      </w:r>
    </w:p>
    <w:p w14:paraId="4631E719" w14:textId="77777777" w:rsidR="00AE0598" w:rsidRDefault="00AE0598">
      <w:pPr>
        <w:pStyle w:val="Corpodetexto"/>
        <w:rPr>
          <w:rFonts w:ascii="Trebuchet MS"/>
          <w:sz w:val="16"/>
        </w:rPr>
      </w:pPr>
    </w:p>
    <w:p w14:paraId="037B79CF" w14:textId="77777777" w:rsidR="00AE0598" w:rsidRDefault="0069255A">
      <w:pPr>
        <w:spacing w:before="114" w:line="244" w:lineRule="auto"/>
        <w:ind w:left="430" w:right="126"/>
        <w:jc w:val="both"/>
        <w:rPr>
          <w:sz w:val="20"/>
        </w:rPr>
      </w:pPr>
      <w:r>
        <w:rPr>
          <w:color w:val="231F20"/>
          <w:sz w:val="20"/>
        </w:rPr>
        <w:t xml:space="preserve">computer designed skis and equipment, which make it safer and easier </w:t>
      </w:r>
      <w:r>
        <w:rPr>
          <w:color w:val="231F20"/>
          <w:w w:val="95"/>
          <w:sz w:val="20"/>
        </w:rPr>
        <w:t xml:space="preserve">for even aging outdoor lovers to learn or continue to enjoy the sport, have </w:t>
      </w:r>
      <w:r>
        <w:rPr>
          <w:color w:val="231F20"/>
          <w:sz w:val="20"/>
        </w:rPr>
        <w:t>halted</w:t>
      </w:r>
      <w:r>
        <w:rPr>
          <w:color w:val="231F20"/>
          <w:spacing w:val="-5"/>
          <w:sz w:val="20"/>
        </w:rPr>
        <w:t xml:space="preserve"> </w:t>
      </w:r>
      <w:r>
        <w:rPr>
          <w:color w:val="231F20"/>
          <w:sz w:val="20"/>
        </w:rPr>
        <w:t>that</w:t>
      </w:r>
      <w:r>
        <w:rPr>
          <w:color w:val="231F20"/>
          <w:spacing w:val="-5"/>
          <w:sz w:val="20"/>
        </w:rPr>
        <w:t xml:space="preserve"> </w:t>
      </w:r>
      <w:r>
        <w:rPr>
          <w:color w:val="231F20"/>
          <w:sz w:val="20"/>
        </w:rPr>
        <w:t>trend</w:t>
      </w:r>
      <w:r>
        <w:rPr>
          <w:color w:val="231F20"/>
          <w:spacing w:val="-5"/>
          <w:sz w:val="20"/>
        </w:rPr>
        <w:t xml:space="preserve"> </w:t>
      </w:r>
      <w:r>
        <w:rPr>
          <w:color w:val="231F20"/>
          <w:sz w:val="20"/>
        </w:rPr>
        <w:t>somewhat</w:t>
      </w:r>
      <w:r>
        <w:rPr>
          <w:color w:val="231F20"/>
          <w:spacing w:val="-5"/>
          <w:sz w:val="20"/>
        </w:rPr>
        <w:t xml:space="preserve"> </w:t>
      </w:r>
      <w:r>
        <w:rPr>
          <w:color w:val="231F20"/>
          <w:sz w:val="20"/>
        </w:rPr>
        <w:t>in</w:t>
      </w:r>
      <w:r>
        <w:rPr>
          <w:color w:val="231F20"/>
          <w:spacing w:val="-5"/>
          <w:sz w:val="20"/>
        </w:rPr>
        <w:t xml:space="preserve"> </w:t>
      </w:r>
      <w:r>
        <w:rPr>
          <w:color w:val="231F20"/>
          <w:sz w:val="20"/>
        </w:rPr>
        <w:t>recent</w:t>
      </w:r>
      <w:r>
        <w:rPr>
          <w:color w:val="231F20"/>
          <w:spacing w:val="-5"/>
          <w:sz w:val="20"/>
        </w:rPr>
        <w:t xml:space="preserve"> </w:t>
      </w:r>
      <w:r>
        <w:rPr>
          <w:color w:val="231F20"/>
          <w:sz w:val="20"/>
        </w:rPr>
        <w:t>years.</w:t>
      </w:r>
      <w:r>
        <w:rPr>
          <w:color w:val="231F20"/>
          <w:spacing w:val="-5"/>
          <w:sz w:val="20"/>
        </w:rPr>
        <w:t xml:space="preserve"> </w:t>
      </w:r>
      <w:r>
        <w:rPr>
          <w:color w:val="231F20"/>
          <w:sz w:val="20"/>
        </w:rPr>
        <w:t>(Loverseed,</w:t>
      </w:r>
      <w:r>
        <w:rPr>
          <w:color w:val="231F20"/>
          <w:spacing w:val="-5"/>
          <w:sz w:val="20"/>
        </w:rPr>
        <w:t xml:space="preserve"> </w:t>
      </w:r>
      <w:r>
        <w:rPr>
          <w:color w:val="231F20"/>
          <w:sz w:val="20"/>
        </w:rPr>
        <w:t>2000:</w:t>
      </w:r>
      <w:r>
        <w:rPr>
          <w:color w:val="231F20"/>
          <w:spacing w:val="-5"/>
          <w:sz w:val="20"/>
        </w:rPr>
        <w:t xml:space="preserve"> </w:t>
      </w:r>
      <w:r>
        <w:rPr>
          <w:color w:val="231F20"/>
          <w:sz w:val="20"/>
        </w:rPr>
        <w:t>53)</w:t>
      </w:r>
    </w:p>
    <w:p w14:paraId="32FCB7DE" w14:textId="77777777" w:rsidR="00AE0598" w:rsidRDefault="00AE0598">
      <w:pPr>
        <w:pStyle w:val="Corpodetexto"/>
        <w:spacing w:before="5"/>
        <w:rPr>
          <w:sz w:val="20"/>
        </w:rPr>
      </w:pPr>
    </w:p>
    <w:p w14:paraId="242685EF" w14:textId="77777777" w:rsidR="00AE0598" w:rsidRDefault="0069255A">
      <w:pPr>
        <w:pStyle w:val="Corpodetexto"/>
        <w:spacing w:line="232" w:lineRule="auto"/>
        <w:ind w:left="110" w:right="126"/>
        <w:jc w:val="both"/>
      </w:pPr>
      <w:r>
        <w:rPr>
          <w:color w:val="231F20"/>
        </w:rPr>
        <w:t>In the face of this trend, sport tourism ope</w:t>
      </w:r>
      <w:r>
        <w:rPr>
          <w:color w:val="231F20"/>
        </w:rPr>
        <w:t xml:space="preserve">rators have to adjust their products to match the needs of their markets. This adjustment involves a shift from hard adventure activities to less physically demanding soft </w:t>
      </w:r>
      <w:r>
        <w:rPr>
          <w:color w:val="231F20"/>
          <w:w w:val="95"/>
        </w:rPr>
        <w:t xml:space="preserve">adventure outdoor sport activities. An aging population will likely become </w:t>
      </w:r>
      <w:r>
        <w:rPr>
          <w:color w:val="231F20"/>
        </w:rPr>
        <w:t>more heal</w:t>
      </w:r>
      <w:r>
        <w:rPr>
          <w:color w:val="231F20"/>
        </w:rPr>
        <w:t xml:space="preserve">th conscious and, therefore, seek sport activities that will help </w:t>
      </w:r>
      <w:r>
        <w:rPr>
          <w:color w:val="231F20"/>
          <w:w w:val="95"/>
        </w:rPr>
        <w:t xml:space="preserve">them to retain and perhaps regain their physical and mental health rather </w:t>
      </w:r>
      <w:r>
        <w:rPr>
          <w:color w:val="231F20"/>
        </w:rPr>
        <w:t>than put them at risk.</w:t>
      </w:r>
    </w:p>
    <w:p w14:paraId="74ECE3D5" w14:textId="77777777" w:rsidR="00AE0598" w:rsidRDefault="0069255A">
      <w:pPr>
        <w:pStyle w:val="Corpodetexto"/>
        <w:spacing w:before="8" w:line="232" w:lineRule="auto"/>
        <w:ind w:left="110" w:right="127" w:firstLine="320"/>
        <w:jc w:val="both"/>
      </w:pPr>
      <w:r>
        <w:rPr>
          <w:color w:val="231F20"/>
          <w:spacing w:val="-2"/>
        </w:rPr>
        <w:t>The</w:t>
      </w:r>
      <w:r>
        <w:rPr>
          <w:color w:val="231F20"/>
          <w:spacing w:val="-9"/>
        </w:rPr>
        <w:t xml:space="preserve"> </w:t>
      </w:r>
      <w:r>
        <w:rPr>
          <w:color w:val="231F20"/>
          <w:spacing w:val="-2"/>
        </w:rPr>
        <w:t>shift</w:t>
      </w:r>
      <w:r>
        <w:rPr>
          <w:color w:val="231F20"/>
          <w:spacing w:val="-9"/>
        </w:rPr>
        <w:t xml:space="preserve"> </w:t>
      </w:r>
      <w:r>
        <w:rPr>
          <w:color w:val="231F20"/>
          <w:spacing w:val="-2"/>
        </w:rPr>
        <w:t>from</w:t>
      </w:r>
      <w:r>
        <w:rPr>
          <w:color w:val="231F20"/>
          <w:spacing w:val="-9"/>
        </w:rPr>
        <w:t xml:space="preserve"> </w:t>
      </w:r>
      <w:r>
        <w:rPr>
          <w:color w:val="231F20"/>
          <w:spacing w:val="-2"/>
        </w:rPr>
        <w:t>a</w:t>
      </w:r>
      <w:r>
        <w:rPr>
          <w:color w:val="231F20"/>
          <w:spacing w:val="-9"/>
        </w:rPr>
        <w:t xml:space="preserve"> </w:t>
      </w:r>
      <w:r>
        <w:rPr>
          <w:color w:val="231F20"/>
          <w:spacing w:val="-2"/>
        </w:rPr>
        <w:t>modern</w:t>
      </w:r>
      <w:r>
        <w:rPr>
          <w:color w:val="231F20"/>
          <w:spacing w:val="-9"/>
        </w:rPr>
        <w:t xml:space="preserve"> </w:t>
      </w:r>
      <w:r>
        <w:rPr>
          <w:color w:val="231F20"/>
          <w:spacing w:val="-2"/>
        </w:rPr>
        <w:t>to</w:t>
      </w:r>
      <w:r>
        <w:rPr>
          <w:color w:val="231F20"/>
          <w:spacing w:val="-9"/>
        </w:rPr>
        <w:t xml:space="preserve"> </w:t>
      </w:r>
      <w:r>
        <w:rPr>
          <w:color w:val="231F20"/>
          <w:spacing w:val="-2"/>
        </w:rPr>
        <w:t>a</w:t>
      </w:r>
      <w:r>
        <w:rPr>
          <w:color w:val="231F20"/>
          <w:spacing w:val="-9"/>
        </w:rPr>
        <w:t xml:space="preserve"> </w:t>
      </w:r>
      <w:r>
        <w:rPr>
          <w:color w:val="231F20"/>
          <w:spacing w:val="-2"/>
        </w:rPr>
        <w:t>post-modern</w:t>
      </w:r>
      <w:r>
        <w:rPr>
          <w:color w:val="231F20"/>
          <w:spacing w:val="-9"/>
        </w:rPr>
        <w:t xml:space="preserve"> </w:t>
      </w:r>
      <w:r>
        <w:rPr>
          <w:color w:val="231F20"/>
          <w:spacing w:val="-2"/>
        </w:rPr>
        <w:t>society</w:t>
      </w:r>
      <w:r>
        <w:rPr>
          <w:color w:val="231F20"/>
          <w:spacing w:val="-9"/>
        </w:rPr>
        <w:t xml:space="preserve"> </w:t>
      </w:r>
      <w:r>
        <w:rPr>
          <w:color w:val="231F20"/>
          <w:spacing w:val="-2"/>
        </w:rPr>
        <w:t>is</w:t>
      </w:r>
      <w:r>
        <w:rPr>
          <w:color w:val="231F20"/>
          <w:spacing w:val="-9"/>
        </w:rPr>
        <w:t xml:space="preserve"> </w:t>
      </w:r>
      <w:r>
        <w:rPr>
          <w:color w:val="231F20"/>
          <w:spacing w:val="-2"/>
        </w:rPr>
        <w:t>also</w:t>
      </w:r>
      <w:r>
        <w:rPr>
          <w:color w:val="231F20"/>
          <w:spacing w:val="-9"/>
        </w:rPr>
        <w:t xml:space="preserve"> </w:t>
      </w:r>
      <w:r>
        <w:rPr>
          <w:color w:val="231F20"/>
          <w:spacing w:val="-2"/>
        </w:rPr>
        <w:t>mediating</w:t>
      </w:r>
      <w:r>
        <w:rPr>
          <w:color w:val="231F20"/>
          <w:spacing w:val="-9"/>
        </w:rPr>
        <w:t xml:space="preserve"> </w:t>
      </w:r>
      <w:r>
        <w:rPr>
          <w:color w:val="231F20"/>
          <w:spacing w:val="-2"/>
        </w:rPr>
        <w:t xml:space="preserve">the </w:t>
      </w:r>
      <w:r>
        <w:rPr>
          <w:color w:val="231F20"/>
        </w:rPr>
        <w:t>context</w:t>
      </w:r>
      <w:r>
        <w:rPr>
          <w:color w:val="231F20"/>
          <w:spacing w:val="-1"/>
        </w:rPr>
        <w:t xml:space="preserve"> </w:t>
      </w:r>
      <w:r>
        <w:rPr>
          <w:color w:val="231F20"/>
        </w:rPr>
        <w:t>of</w:t>
      </w:r>
      <w:r>
        <w:rPr>
          <w:color w:val="231F20"/>
          <w:spacing w:val="-1"/>
        </w:rPr>
        <w:t xml:space="preserve"> </w:t>
      </w:r>
      <w:r>
        <w:rPr>
          <w:color w:val="231F20"/>
        </w:rPr>
        <w:t>sport</w:t>
      </w:r>
      <w:r>
        <w:rPr>
          <w:color w:val="231F20"/>
          <w:spacing w:val="-1"/>
        </w:rPr>
        <w:t xml:space="preserve"> </w:t>
      </w:r>
      <w:r>
        <w:rPr>
          <w:color w:val="231F20"/>
        </w:rPr>
        <w:t>tourism.</w:t>
      </w:r>
      <w:r>
        <w:rPr>
          <w:color w:val="231F20"/>
          <w:spacing w:val="-1"/>
        </w:rPr>
        <w:t xml:space="preserve"> </w:t>
      </w:r>
      <w:r>
        <w:rPr>
          <w:color w:val="231F20"/>
        </w:rPr>
        <w:t>At</w:t>
      </w:r>
      <w:r>
        <w:rPr>
          <w:color w:val="231F20"/>
          <w:spacing w:val="-1"/>
        </w:rPr>
        <w:t xml:space="preserve"> </w:t>
      </w:r>
      <w:r>
        <w:rPr>
          <w:color w:val="231F20"/>
        </w:rPr>
        <w:t>one</w:t>
      </w:r>
      <w:r>
        <w:rPr>
          <w:color w:val="231F20"/>
          <w:spacing w:val="-1"/>
        </w:rPr>
        <w:t xml:space="preserve"> </w:t>
      </w:r>
      <w:r>
        <w:rPr>
          <w:color w:val="231F20"/>
        </w:rPr>
        <w:t>level,</w:t>
      </w:r>
      <w:r>
        <w:rPr>
          <w:color w:val="231F20"/>
          <w:spacing w:val="-1"/>
        </w:rPr>
        <w:t xml:space="preserve"> </w:t>
      </w:r>
      <w:r>
        <w:rPr>
          <w:color w:val="231F20"/>
        </w:rPr>
        <w:t>this</w:t>
      </w:r>
      <w:r>
        <w:rPr>
          <w:color w:val="231F20"/>
          <w:spacing w:val="-1"/>
        </w:rPr>
        <w:t xml:space="preserve"> </w:t>
      </w:r>
      <w:r>
        <w:rPr>
          <w:color w:val="231F20"/>
        </w:rPr>
        <w:t>shift</w:t>
      </w:r>
      <w:r>
        <w:rPr>
          <w:color w:val="231F20"/>
          <w:spacing w:val="-1"/>
        </w:rPr>
        <w:t xml:space="preserve"> </w:t>
      </w:r>
      <w:r>
        <w:rPr>
          <w:color w:val="231F20"/>
        </w:rPr>
        <w:t>has</w:t>
      </w:r>
      <w:r>
        <w:rPr>
          <w:color w:val="231F20"/>
          <w:spacing w:val="-1"/>
        </w:rPr>
        <w:t xml:space="preserve"> </w:t>
      </w:r>
      <w:r>
        <w:rPr>
          <w:color w:val="231F20"/>
        </w:rPr>
        <w:t>its</w:t>
      </w:r>
      <w:r>
        <w:rPr>
          <w:color w:val="231F20"/>
          <w:spacing w:val="-1"/>
        </w:rPr>
        <w:t xml:space="preserve"> </w:t>
      </w:r>
      <w:r>
        <w:rPr>
          <w:color w:val="231F20"/>
        </w:rPr>
        <w:t>economic</w:t>
      </w:r>
      <w:r>
        <w:rPr>
          <w:color w:val="231F20"/>
          <w:spacing w:val="-1"/>
        </w:rPr>
        <w:t xml:space="preserve"> </w:t>
      </w:r>
      <w:r>
        <w:rPr>
          <w:color w:val="231F20"/>
        </w:rPr>
        <w:t>roots</w:t>
      </w:r>
      <w:r>
        <w:rPr>
          <w:color w:val="231F20"/>
          <w:spacing w:val="-1"/>
        </w:rPr>
        <w:t xml:space="preserve"> </w:t>
      </w:r>
      <w:r>
        <w:rPr>
          <w:color w:val="231F20"/>
        </w:rPr>
        <w:t xml:space="preserve">in </w:t>
      </w:r>
      <w:r>
        <w:rPr>
          <w:color w:val="231F20"/>
          <w:w w:val="95"/>
        </w:rPr>
        <w:t>the</w:t>
      </w:r>
      <w:r>
        <w:rPr>
          <w:color w:val="231F20"/>
          <w:spacing w:val="-1"/>
          <w:w w:val="95"/>
        </w:rPr>
        <w:t xml:space="preserve"> </w:t>
      </w:r>
      <w:r>
        <w:rPr>
          <w:color w:val="231F20"/>
          <w:w w:val="95"/>
        </w:rPr>
        <w:t>neoliberal</w:t>
      </w:r>
      <w:r>
        <w:rPr>
          <w:color w:val="231F20"/>
          <w:spacing w:val="-1"/>
          <w:w w:val="95"/>
        </w:rPr>
        <w:t xml:space="preserve"> </w:t>
      </w:r>
      <w:r>
        <w:rPr>
          <w:color w:val="231F20"/>
          <w:w w:val="95"/>
        </w:rPr>
        <w:t>rejection</w:t>
      </w:r>
      <w:r>
        <w:rPr>
          <w:color w:val="231F20"/>
          <w:spacing w:val="-1"/>
          <w:w w:val="95"/>
        </w:rPr>
        <w:t xml:space="preserve"> </w:t>
      </w:r>
      <w:r>
        <w:rPr>
          <w:color w:val="231F20"/>
          <w:w w:val="95"/>
        </w:rPr>
        <w:t>of</w:t>
      </w:r>
      <w:r>
        <w:rPr>
          <w:color w:val="231F20"/>
          <w:spacing w:val="-1"/>
          <w:w w:val="95"/>
        </w:rPr>
        <w:t xml:space="preserve"> </w:t>
      </w:r>
      <w:r>
        <w:rPr>
          <w:color w:val="231F20"/>
          <w:w w:val="95"/>
        </w:rPr>
        <w:t>the</w:t>
      </w:r>
      <w:r>
        <w:rPr>
          <w:color w:val="231F20"/>
          <w:spacing w:val="-1"/>
          <w:w w:val="95"/>
        </w:rPr>
        <w:t xml:space="preserve"> </w:t>
      </w:r>
      <w:r>
        <w:rPr>
          <w:color w:val="231F20"/>
          <w:w w:val="95"/>
        </w:rPr>
        <w:t>welfare</w:t>
      </w:r>
      <w:r>
        <w:rPr>
          <w:color w:val="231F20"/>
          <w:spacing w:val="-1"/>
          <w:w w:val="95"/>
        </w:rPr>
        <w:t xml:space="preserve"> </w:t>
      </w:r>
      <w:r>
        <w:rPr>
          <w:color w:val="231F20"/>
          <w:w w:val="95"/>
        </w:rPr>
        <w:t>state</w:t>
      </w:r>
      <w:r>
        <w:rPr>
          <w:color w:val="231F20"/>
          <w:spacing w:val="-1"/>
          <w:w w:val="95"/>
        </w:rPr>
        <w:t xml:space="preserve"> </w:t>
      </w:r>
      <w:r>
        <w:rPr>
          <w:color w:val="231F20"/>
          <w:w w:val="95"/>
        </w:rPr>
        <w:t>and</w:t>
      </w:r>
      <w:r>
        <w:rPr>
          <w:color w:val="231F20"/>
          <w:spacing w:val="-1"/>
          <w:w w:val="95"/>
        </w:rPr>
        <w:t xml:space="preserve"> </w:t>
      </w:r>
      <w:r>
        <w:rPr>
          <w:color w:val="231F20"/>
          <w:w w:val="95"/>
        </w:rPr>
        <w:t>regulated</w:t>
      </w:r>
      <w:r>
        <w:rPr>
          <w:color w:val="231F20"/>
          <w:spacing w:val="-1"/>
          <w:w w:val="95"/>
        </w:rPr>
        <w:t xml:space="preserve"> </w:t>
      </w:r>
      <w:r>
        <w:rPr>
          <w:color w:val="231F20"/>
          <w:w w:val="95"/>
        </w:rPr>
        <w:t>markets</w:t>
      </w:r>
      <w:r>
        <w:rPr>
          <w:color w:val="231F20"/>
          <w:spacing w:val="-1"/>
          <w:w w:val="95"/>
        </w:rPr>
        <w:t xml:space="preserve"> </w:t>
      </w:r>
      <w:r>
        <w:rPr>
          <w:color w:val="231F20"/>
          <w:w w:val="95"/>
        </w:rPr>
        <w:t>in</w:t>
      </w:r>
      <w:r>
        <w:rPr>
          <w:color w:val="231F20"/>
          <w:spacing w:val="-1"/>
          <w:w w:val="95"/>
        </w:rPr>
        <w:t xml:space="preserve"> </w:t>
      </w:r>
      <w:r>
        <w:rPr>
          <w:color w:val="231F20"/>
          <w:w w:val="95"/>
        </w:rPr>
        <w:t xml:space="preserve">favour </w:t>
      </w:r>
      <w:r>
        <w:rPr>
          <w:color w:val="231F20"/>
          <w:spacing w:val="-2"/>
        </w:rPr>
        <w:t>of</w:t>
      </w:r>
      <w:r>
        <w:rPr>
          <w:color w:val="231F20"/>
          <w:spacing w:val="-5"/>
        </w:rPr>
        <w:t xml:space="preserve"> </w:t>
      </w:r>
      <w:r>
        <w:rPr>
          <w:color w:val="231F20"/>
          <w:spacing w:val="-2"/>
        </w:rPr>
        <w:t>competition,</w:t>
      </w:r>
      <w:r>
        <w:rPr>
          <w:color w:val="231F20"/>
          <w:spacing w:val="-4"/>
        </w:rPr>
        <w:t xml:space="preserve"> </w:t>
      </w:r>
      <w:r>
        <w:rPr>
          <w:color w:val="231F20"/>
          <w:spacing w:val="-2"/>
        </w:rPr>
        <w:t>free</w:t>
      </w:r>
      <w:r>
        <w:rPr>
          <w:color w:val="231F20"/>
          <w:spacing w:val="-5"/>
        </w:rPr>
        <w:t xml:space="preserve"> </w:t>
      </w:r>
      <w:r>
        <w:rPr>
          <w:color w:val="231F20"/>
          <w:spacing w:val="-2"/>
        </w:rPr>
        <w:t>trade</w:t>
      </w:r>
      <w:r>
        <w:rPr>
          <w:color w:val="231F20"/>
          <w:spacing w:val="-4"/>
        </w:rPr>
        <w:t xml:space="preserve"> </w:t>
      </w:r>
      <w:r>
        <w:rPr>
          <w:color w:val="231F20"/>
          <w:spacing w:val="-2"/>
        </w:rPr>
        <w:t>and</w:t>
      </w:r>
      <w:r>
        <w:rPr>
          <w:color w:val="231F20"/>
          <w:spacing w:val="-4"/>
        </w:rPr>
        <w:t xml:space="preserve"> </w:t>
      </w:r>
      <w:r>
        <w:rPr>
          <w:color w:val="231F20"/>
          <w:spacing w:val="-2"/>
        </w:rPr>
        <w:t>globalisation</w:t>
      </w:r>
      <w:r>
        <w:rPr>
          <w:color w:val="231F20"/>
          <w:spacing w:val="-4"/>
        </w:rPr>
        <w:t xml:space="preserve"> </w:t>
      </w:r>
      <w:r>
        <w:rPr>
          <w:color w:val="231F20"/>
          <w:spacing w:val="-2"/>
        </w:rPr>
        <w:t>(Dwyer</w:t>
      </w:r>
      <w:r>
        <w:rPr>
          <w:color w:val="231F20"/>
          <w:spacing w:val="-4"/>
        </w:rPr>
        <w:t xml:space="preserve"> </w:t>
      </w:r>
      <w:r>
        <w:rPr>
          <w:i/>
          <w:color w:val="231F20"/>
          <w:spacing w:val="-2"/>
        </w:rPr>
        <w:t>et</w:t>
      </w:r>
      <w:r>
        <w:rPr>
          <w:i/>
          <w:color w:val="231F20"/>
          <w:spacing w:val="-5"/>
        </w:rPr>
        <w:t xml:space="preserve"> </w:t>
      </w:r>
      <w:r>
        <w:rPr>
          <w:i/>
          <w:color w:val="231F20"/>
          <w:spacing w:val="-2"/>
        </w:rPr>
        <w:t>al</w:t>
      </w:r>
      <w:r>
        <w:rPr>
          <w:color w:val="231F20"/>
          <w:spacing w:val="-2"/>
        </w:rPr>
        <w:t>.,</w:t>
      </w:r>
      <w:r>
        <w:rPr>
          <w:color w:val="231F20"/>
          <w:spacing w:val="-5"/>
        </w:rPr>
        <w:t xml:space="preserve"> </w:t>
      </w:r>
      <w:r>
        <w:rPr>
          <w:color w:val="231F20"/>
          <w:spacing w:val="-2"/>
        </w:rPr>
        <w:t>2008;</w:t>
      </w:r>
      <w:r>
        <w:rPr>
          <w:color w:val="231F20"/>
          <w:spacing w:val="-5"/>
        </w:rPr>
        <w:t xml:space="preserve"> </w:t>
      </w:r>
      <w:r>
        <w:rPr>
          <w:color w:val="231F20"/>
          <w:spacing w:val="-2"/>
        </w:rPr>
        <w:t>Stewart</w:t>
      </w:r>
      <w:r>
        <w:rPr>
          <w:color w:val="231F20"/>
          <w:spacing w:val="-5"/>
        </w:rPr>
        <w:t xml:space="preserve"> </w:t>
      </w:r>
      <w:r>
        <w:rPr>
          <w:color w:val="231F20"/>
          <w:spacing w:val="-2"/>
        </w:rPr>
        <w:t xml:space="preserve">&amp; </w:t>
      </w:r>
      <w:r>
        <w:rPr>
          <w:color w:val="231F20"/>
          <w:spacing w:val="-4"/>
        </w:rPr>
        <w:t xml:space="preserve">Smith, 2000). Niche markets, individualism, flexibility, time fragmentation, </w:t>
      </w:r>
      <w:r>
        <w:rPr>
          <w:color w:val="231F20"/>
          <w:spacing w:val="-4"/>
          <w:w w:val="95"/>
        </w:rPr>
        <w:t>new technologies, innovative communication networks and commercialisation</w:t>
      </w:r>
      <w:r>
        <w:rPr>
          <w:color w:val="231F20"/>
          <w:w w:val="95"/>
        </w:rPr>
        <w:t xml:space="preserve"> </w:t>
      </w:r>
      <w:r>
        <w:rPr>
          <w:color w:val="231F20"/>
        </w:rPr>
        <w:t>all</w:t>
      </w:r>
      <w:r>
        <w:rPr>
          <w:color w:val="231F20"/>
          <w:spacing w:val="-3"/>
        </w:rPr>
        <w:t xml:space="preserve"> </w:t>
      </w:r>
      <w:r>
        <w:rPr>
          <w:color w:val="231F20"/>
        </w:rPr>
        <w:t>characterise</w:t>
      </w:r>
      <w:r>
        <w:rPr>
          <w:color w:val="231F20"/>
          <w:spacing w:val="-3"/>
        </w:rPr>
        <w:t xml:space="preserve"> </w:t>
      </w:r>
      <w:r>
        <w:rPr>
          <w:color w:val="231F20"/>
        </w:rPr>
        <w:t>today’s</w:t>
      </w:r>
      <w:r>
        <w:rPr>
          <w:color w:val="231F20"/>
          <w:spacing w:val="-3"/>
        </w:rPr>
        <w:t xml:space="preserve"> </w:t>
      </w:r>
      <w:r>
        <w:rPr>
          <w:color w:val="231F20"/>
        </w:rPr>
        <w:t>society.</w:t>
      </w:r>
      <w:r>
        <w:rPr>
          <w:color w:val="231F20"/>
          <w:spacing w:val="-3"/>
        </w:rPr>
        <w:t xml:space="preserve"> </w:t>
      </w:r>
      <w:r>
        <w:rPr>
          <w:color w:val="231F20"/>
        </w:rPr>
        <w:t>The</w:t>
      </w:r>
      <w:r>
        <w:rPr>
          <w:color w:val="231F20"/>
          <w:spacing w:val="-3"/>
        </w:rPr>
        <w:t xml:space="preserve"> </w:t>
      </w:r>
      <w:r>
        <w:rPr>
          <w:color w:val="231F20"/>
        </w:rPr>
        <w:t>role</w:t>
      </w:r>
      <w:r>
        <w:rPr>
          <w:color w:val="231F20"/>
          <w:spacing w:val="-3"/>
        </w:rPr>
        <w:t xml:space="preserve"> </w:t>
      </w:r>
      <w:r>
        <w:rPr>
          <w:color w:val="231F20"/>
        </w:rPr>
        <w:t>of</w:t>
      </w:r>
      <w:r>
        <w:rPr>
          <w:color w:val="231F20"/>
          <w:spacing w:val="-3"/>
        </w:rPr>
        <w:t xml:space="preserve"> </w:t>
      </w:r>
      <w:r>
        <w:rPr>
          <w:color w:val="231F20"/>
        </w:rPr>
        <w:t>place</w:t>
      </w:r>
      <w:r>
        <w:rPr>
          <w:color w:val="231F20"/>
          <w:spacing w:val="-3"/>
        </w:rPr>
        <w:t xml:space="preserve"> </w:t>
      </w:r>
      <w:r>
        <w:rPr>
          <w:color w:val="231F20"/>
        </w:rPr>
        <w:t>in</w:t>
      </w:r>
      <w:r>
        <w:rPr>
          <w:color w:val="231F20"/>
          <w:spacing w:val="-3"/>
        </w:rPr>
        <w:t xml:space="preserve"> </w:t>
      </w:r>
      <w:r>
        <w:rPr>
          <w:color w:val="231F20"/>
        </w:rPr>
        <w:t>post-modern</w:t>
      </w:r>
      <w:r>
        <w:rPr>
          <w:color w:val="231F20"/>
          <w:spacing w:val="-3"/>
        </w:rPr>
        <w:t xml:space="preserve"> </w:t>
      </w:r>
      <w:r>
        <w:rPr>
          <w:color w:val="231F20"/>
        </w:rPr>
        <w:t>sport</w:t>
      </w:r>
      <w:r>
        <w:rPr>
          <w:color w:val="231F20"/>
          <w:spacing w:val="-3"/>
        </w:rPr>
        <w:t xml:space="preserve"> </w:t>
      </w:r>
      <w:r>
        <w:rPr>
          <w:color w:val="231F20"/>
        </w:rPr>
        <w:t>is also</w:t>
      </w:r>
      <w:r>
        <w:rPr>
          <w:color w:val="231F20"/>
          <w:spacing w:val="-8"/>
        </w:rPr>
        <w:t xml:space="preserve"> </w:t>
      </w:r>
      <w:r>
        <w:rPr>
          <w:color w:val="231F20"/>
        </w:rPr>
        <w:t>changing.</w:t>
      </w:r>
      <w:r>
        <w:rPr>
          <w:color w:val="231F20"/>
          <w:spacing w:val="-8"/>
        </w:rPr>
        <w:t xml:space="preserve"> </w:t>
      </w:r>
      <w:r>
        <w:rPr>
          <w:color w:val="231F20"/>
        </w:rPr>
        <w:t>Local</w:t>
      </w:r>
      <w:r>
        <w:rPr>
          <w:color w:val="231F20"/>
          <w:spacing w:val="-8"/>
        </w:rPr>
        <w:t xml:space="preserve"> </w:t>
      </w:r>
      <w:r>
        <w:rPr>
          <w:color w:val="231F20"/>
        </w:rPr>
        <w:t>tribal</w:t>
      </w:r>
      <w:r>
        <w:rPr>
          <w:color w:val="231F20"/>
          <w:spacing w:val="-8"/>
        </w:rPr>
        <w:t xml:space="preserve"> </w:t>
      </w:r>
      <w:r>
        <w:rPr>
          <w:color w:val="231F20"/>
        </w:rPr>
        <w:t>l</w:t>
      </w:r>
      <w:r>
        <w:rPr>
          <w:color w:val="231F20"/>
        </w:rPr>
        <w:t>oyalties</w:t>
      </w:r>
      <w:r>
        <w:rPr>
          <w:color w:val="231F20"/>
          <w:spacing w:val="-8"/>
        </w:rPr>
        <w:t xml:space="preserve"> </w:t>
      </w:r>
      <w:r>
        <w:rPr>
          <w:color w:val="231F20"/>
        </w:rPr>
        <w:t>based</w:t>
      </w:r>
      <w:r>
        <w:rPr>
          <w:color w:val="231F20"/>
          <w:spacing w:val="-8"/>
        </w:rPr>
        <w:t xml:space="preserve"> </w:t>
      </w:r>
      <w:r>
        <w:rPr>
          <w:color w:val="231F20"/>
        </w:rPr>
        <w:t>on</w:t>
      </w:r>
      <w:r>
        <w:rPr>
          <w:color w:val="231F20"/>
          <w:spacing w:val="-8"/>
        </w:rPr>
        <w:t xml:space="preserve"> </w:t>
      </w:r>
      <w:r>
        <w:rPr>
          <w:color w:val="231F20"/>
        </w:rPr>
        <w:t>the</w:t>
      </w:r>
      <w:r>
        <w:rPr>
          <w:color w:val="231F20"/>
          <w:spacing w:val="-8"/>
        </w:rPr>
        <w:t xml:space="preserve"> </w:t>
      </w:r>
      <w:r>
        <w:rPr>
          <w:color w:val="231F20"/>
        </w:rPr>
        <w:t>‘home</w:t>
      </w:r>
      <w:r>
        <w:rPr>
          <w:color w:val="231F20"/>
          <w:spacing w:val="-8"/>
        </w:rPr>
        <w:t xml:space="preserve"> </w:t>
      </w:r>
      <w:r>
        <w:rPr>
          <w:color w:val="231F20"/>
        </w:rPr>
        <w:t>team’</w:t>
      </w:r>
      <w:r>
        <w:rPr>
          <w:color w:val="231F20"/>
          <w:spacing w:val="-8"/>
        </w:rPr>
        <w:t xml:space="preserve"> </w:t>
      </w:r>
      <w:r>
        <w:rPr>
          <w:color w:val="231F20"/>
        </w:rPr>
        <w:t>are</w:t>
      </w:r>
      <w:r>
        <w:rPr>
          <w:color w:val="231F20"/>
          <w:spacing w:val="-8"/>
        </w:rPr>
        <w:t xml:space="preserve"> </w:t>
      </w:r>
      <w:r>
        <w:rPr>
          <w:color w:val="231F20"/>
        </w:rPr>
        <w:t xml:space="preserve">shifting </w:t>
      </w:r>
      <w:r>
        <w:rPr>
          <w:color w:val="231F20"/>
          <w:w w:val="95"/>
        </w:rPr>
        <w:t>to</w:t>
      </w:r>
      <w:r>
        <w:rPr>
          <w:color w:val="231F20"/>
          <w:spacing w:val="-4"/>
          <w:w w:val="95"/>
        </w:rPr>
        <w:t xml:space="preserve"> </w:t>
      </w:r>
      <w:r>
        <w:rPr>
          <w:color w:val="231F20"/>
          <w:w w:val="95"/>
        </w:rPr>
        <w:t>attachments</w:t>
      </w:r>
      <w:r>
        <w:rPr>
          <w:color w:val="231F20"/>
          <w:spacing w:val="-4"/>
          <w:w w:val="95"/>
        </w:rPr>
        <w:t xml:space="preserve"> </w:t>
      </w:r>
      <w:r>
        <w:rPr>
          <w:color w:val="231F20"/>
          <w:w w:val="95"/>
        </w:rPr>
        <w:t>to</w:t>
      </w:r>
      <w:r>
        <w:rPr>
          <w:color w:val="231F20"/>
          <w:spacing w:val="-4"/>
          <w:w w:val="95"/>
        </w:rPr>
        <w:t xml:space="preserve"> </w:t>
      </w:r>
      <w:r>
        <w:rPr>
          <w:color w:val="231F20"/>
          <w:w w:val="95"/>
        </w:rPr>
        <w:t>corporate</w:t>
      </w:r>
      <w:r>
        <w:rPr>
          <w:color w:val="231F20"/>
          <w:spacing w:val="-4"/>
          <w:w w:val="95"/>
        </w:rPr>
        <w:t xml:space="preserve"> </w:t>
      </w:r>
      <w:r>
        <w:rPr>
          <w:color w:val="231F20"/>
          <w:w w:val="95"/>
        </w:rPr>
        <w:t>identities</w:t>
      </w:r>
      <w:r>
        <w:rPr>
          <w:color w:val="231F20"/>
          <w:spacing w:val="-4"/>
          <w:w w:val="95"/>
        </w:rPr>
        <w:t xml:space="preserve"> </w:t>
      </w:r>
      <w:r>
        <w:rPr>
          <w:color w:val="231F20"/>
          <w:w w:val="95"/>
        </w:rPr>
        <w:t>or</w:t>
      </w:r>
      <w:r>
        <w:rPr>
          <w:color w:val="231F20"/>
          <w:spacing w:val="-4"/>
          <w:w w:val="95"/>
        </w:rPr>
        <w:t xml:space="preserve"> </w:t>
      </w:r>
      <w:r>
        <w:rPr>
          <w:color w:val="231F20"/>
          <w:w w:val="95"/>
        </w:rPr>
        <w:t>brands.</w:t>
      </w:r>
      <w:r>
        <w:rPr>
          <w:color w:val="231F20"/>
          <w:spacing w:val="-4"/>
          <w:w w:val="95"/>
        </w:rPr>
        <w:t xml:space="preserve"> </w:t>
      </w:r>
      <w:r>
        <w:rPr>
          <w:color w:val="231F20"/>
          <w:w w:val="95"/>
        </w:rPr>
        <w:t>Table</w:t>
      </w:r>
      <w:r>
        <w:rPr>
          <w:color w:val="231F20"/>
          <w:spacing w:val="-4"/>
          <w:w w:val="95"/>
        </w:rPr>
        <w:t xml:space="preserve"> </w:t>
      </w:r>
      <w:r>
        <w:rPr>
          <w:color w:val="231F20"/>
          <w:w w:val="95"/>
        </w:rPr>
        <w:t>10.1</w:t>
      </w:r>
      <w:r>
        <w:rPr>
          <w:color w:val="231F20"/>
          <w:spacing w:val="-4"/>
          <w:w w:val="95"/>
        </w:rPr>
        <w:t xml:space="preserve"> </w:t>
      </w:r>
      <w:r>
        <w:rPr>
          <w:color w:val="231F20"/>
          <w:w w:val="95"/>
        </w:rPr>
        <w:t>summarises</w:t>
      </w:r>
      <w:r>
        <w:rPr>
          <w:color w:val="231F20"/>
          <w:spacing w:val="-4"/>
          <w:w w:val="95"/>
        </w:rPr>
        <w:t xml:space="preserve"> </w:t>
      </w:r>
      <w:r>
        <w:rPr>
          <w:color w:val="231F20"/>
          <w:w w:val="95"/>
        </w:rPr>
        <w:t xml:space="preserve">the </w:t>
      </w:r>
      <w:r>
        <w:rPr>
          <w:color w:val="231F20"/>
          <w:spacing w:val="-4"/>
        </w:rPr>
        <w:t>changing face of organised sport from the modern to the post-modern era.</w:t>
      </w:r>
    </w:p>
    <w:p w14:paraId="3EED638E" w14:textId="77777777" w:rsidR="00AE0598" w:rsidRDefault="00AE0598">
      <w:pPr>
        <w:pStyle w:val="Corpodetexto"/>
        <w:spacing w:before="10"/>
        <w:rPr>
          <w:sz w:val="26"/>
        </w:rPr>
      </w:pPr>
    </w:p>
    <w:p w14:paraId="34111E1F" w14:textId="77777777" w:rsidR="00AE0598" w:rsidRDefault="0069255A">
      <w:pPr>
        <w:spacing w:before="1"/>
        <w:ind w:left="110"/>
        <w:jc w:val="both"/>
        <w:rPr>
          <w:rFonts w:ascii="Trebuchet MS"/>
          <w:sz w:val="16"/>
        </w:rPr>
      </w:pPr>
      <w:r>
        <w:rPr>
          <w:rFonts w:ascii="Trebuchet MS"/>
          <w:b/>
          <w:color w:val="231F20"/>
          <w:w w:val="105"/>
          <w:sz w:val="16"/>
        </w:rPr>
        <w:t>Table</w:t>
      </w:r>
      <w:r>
        <w:rPr>
          <w:rFonts w:ascii="Trebuchet MS"/>
          <w:b/>
          <w:color w:val="231F20"/>
          <w:spacing w:val="-6"/>
          <w:w w:val="105"/>
          <w:sz w:val="16"/>
        </w:rPr>
        <w:t xml:space="preserve"> </w:t>
      </w:r>
      <w:r>
        <w:rPr>
          <w:rFonts w:ascii="Trebuchet MS"/>
          <w:b/>
          <w:color w:val="231F20"/>
          <w:w w:val="105"/>
          <w:sz w:val="16"/>
        </w:rPr>
        <w:t>10.1</w:t>
      </w:r>
      <w:r>
        <w:rPr>
          <w:rFonts w:ascii="Trebuchet MS"/>
          <w:b/>
          <w:color w:val="231F20"/>
          <w:spacing w:val="31"/>
          <w:w w:val="105"/>
          <w:sz w:val="16"/>
        </w:rPr>
        <w:t xml:space="preserve"> </w:t>
      </w:r>
      <w:r>
        <w:rPr>
          <w:rFonts w:ascii="Trebuchet MS"/>
          <w:color w:val="231F20"/>
          <w:w w:val="105"/>
          <w:sz w:val="16"/>
        </w:rPr>
        <w:t>A</w:t>
      </w:r>
      <w:r>
        <w:rPr>
          <w:rFonts w:ascii="Trebuchet MS"/>
          <w:color w:val="231F20"/>
          <w:spacing w:val="-5"/>
          <w:w w:val="105"/>
          <w:sz w:val="16"/>
        </w:rPr>
        <w:t xml:space="preserve"> </w:t>
      </w:r>
      <w:r>
        <w:rPr>
          <w:rFonts w:ascii="Trebuchet MS"/>
          <w:color w:val="231F20"/>
          <w:w w:val="105"/>
          <w:sz w:val="16"/>
        </w:rPr>
        <w:t>comparison</w:t>
      </w:r>
      <w:r>
        <w:rPr>
          <w:rFonts w:ascii="Trebuchet MS"/>
          <w:color w:val="231F20"/>
          <w:spacing w:val="-5"/>
          <w:w w:val="105"/>
          <w:sz w:val="16"/>
        </w:rPr>
        <w:t xml:space="preserve"> </w:t>
      </w:r>
      <w:r>
        <w:rPr>
          <w:rFonts w:ascii="Trebuchet MS"/>
          <w:color w:val="231F20"/>
          <w:w w:val="105"/>
          <w:sz w:val="16"/>
        </w:rPr>
        <w:t>of</w:t>
      </w:r>
      <w:r>
        <w:rPr>
          <w:rFonts w:ascii="Trebuchet MS"/>
          <w:color w:val="231F20"/>
          <w:spacing w:val="-5"/>
          <w:w w:val="105"/>
          <w:sz w:val="16"/>
        </w:rPr>
        <w:t xml:space="preserve"> </w:t>
      </w:r>
      <w:r>
        <w:rPr>
          <w:rFonts w:ascii="Trebuchet MS"/>
          <w:color w:val="231F20"/>
          <w:w w:val="105"/>
          <w:sz w:val="16"/>
        </w:rPr>
        <w:t>modern</w:t>
      </w:r>
      <w:r>
        <w:rPr>
          <w:rFonts w:ascii="Trebuchet MS"/>
          <w:color w:val="231F20"/>
          <w:spacing w:val="-4"/>
          <w:w w:val="105"/>
          <w:sz w:val="16"/>
        </w:rPr>
        <w:t xml:space="preserve"> </w:t>
      </w:r>
      <w:r>
        <w:rPr>
          <w:rFonts w:ascii="Trebuchet MS"/>
          <w:color w:val="231F20"/>
          <w:w w:val="105"/>
          <w:sz w:val="16"/>
        </w:rPr>
        <w:t>and</w:t>
      </w:r>
      <w:r>
        <w:rPr>
          <w:rFonts w:ascii="Trebuchet MS"/>
          <w:color w:val="231F20"/>
          <w:spacing w:val="-5"/>
          <w:w w:val="105"/>
          <w:sz w:val="16"/>
        </w:rPr>
        <w:t xml:space="preserve"> </w:t>
      </w:r>
      <w:r>
        <w:rPr>
          <w:rFonts w:ascii="Trebuchet MS"/>
          <w:color w:val="231F20"/>
          <w:w w:val="105"/>
          <w:sz w:val="16"/>
        </w:rPr>
        <w:t>postmodern</w:t>
      </w:r>
      <w:r>
        <w:rPr>
          <w:rFonts w:ascii="Trebuchet MS"/>
          <w:color w:val="231F20"/>
          <w:spacing w:val="-5"/>
          <w:w w:val="105"/>
          <w:sz w:val="16"/>
        </w:rPr>
        <w:t xml:space="preserve"> </w:t>
      </w:r>
      <w:r>
        <w:rPr>
          <w:rFonts w:ascii="Trebuchet MS"/>
          <w:color w:val="231F20"/>
          <w:spacing w:val="-2"/>
          <w:w w:val="105"/>
          <w:sz w:val="16"/>
        </w:rPr>
        <w:t>sport</w:t>
      </w:r>
    </w:p>
    <w:p w14:paraId="0FBD5572" w14:textId="77777777" w:rsidR="00AE0598" w:rsidRDefault="00AE0598">
      <w:pPr>
        <w:pStyle w:val="Corpodetexto"/>
        <w:spacing w:before="5"/>
        <w:rPr>
          <w:rFonts w:ascii="Trebuchet MS"/>
          <w:sz w:val="8"/>
        </w:rPr>
      </w:pPr>
    </w:p>
    <w:tbl>
      <w:tblPr>
        <w:tblStyle w:val="TableNormal"/>
        <w:tblW w:w="0" w:type="auto"/>
        <w:tblInd w:w="117" w:type="dxa"/>
        <w:tblLayout w:type="fixed"/>
        <w:tblLook w:val="01E0" w:firstRow="1" w:lastRow="1" w:firstColumn="1" w:lastColumn="1" w:noHBand="0" w:noVBand="0"/>
      </w:tblPr>
      <w:tblGrid>
        <w:gridCol w:w="2180"/>
        <w:gridCol w:w="2151"/>
        <w:gridCol w:w="2133"/>
      </w:tblGrid>
      <w:tr w:rsidR="00AE0598" w14:paraId="64917AE1" w14:textId="77777777">
        <w:trPr>
          <w:trHeight w:val="208"/>
        </w:trPr>
        <w:tc>
          <w:tcPr>
            <w:tcW w:w="2180" w:type="dxa"/>
            <w:tcBorders>
              <w:bottom w:val="single" w:sz="2" w:space="0" w:color="231F20"/>
            </w:tcBorders>
          </w:tcPr>
          <w:p w14:paraId="6D83A325" w14:textId="77777777" w:rsidR="00AE0598" w:rsidRDefault="0069255A">
            <w:pPr>
              <w:pStyle w:val="TableParagraph"/>
              <w:spacing w:line="162" w:lineRule="exact"/>
              <w:ind w:left="-1"/>
              <w:rPr>
                <w:b/>
                <w:sz w:val="14"/>
              </w:rPr>
            </w:pPr>
            <w:r>
              <w:rPr>
                <w:b/>
                <w:color w:val="231F20"/>
                <w:spacing w:val="-2"/>
                <w:sz w:val="14"/>
              </w:rPr>
              <w:t>Dimension/component</w:t>
            </w:r>
          </w:p>
        </w:tc>
        <w:tc>
          <w:tcPr>
            <w:tcW w:w="2151" w:type="dxa"/>
            <w:tcBorders>
              <w:bottom w:val="single" w:sz="2" w:space="0" w:color="231F20"/>
            </w:tcBorders>
          </w:tcPr>
          <w:p w14:paraId="6E16AD23" w14:textId="77777777" w:rsidR="00AE0598" w:rsidRDefault="0069255A">
            <w:pPr>
              <w:pStyle w:val="TableParagraph"/>
              <w:spacing w:line="162" w:lineRule="exact"/>
              <w:ind w:left="678"/>
              <w:rPr>
                <w:b/>
                <w:sz w:val="14"/>
              </w:rPr>
            </w:pPr>
            <w:r>
              <w:rPr>
                <w:b/>
                <w:color w:val="231F20"/>
                <w:w w:val="105"/>
                <w:sz w:val="14"/>
              </w:rPr>
              <w:t>Modern</w:t>
            </w:r>
            <w:r>
              <w:rPr>
                <w:b/>
                <w:color w:val="231F20"/>
                <w:spacing w:val="13"/>
                <w:w w:val="105"/>
                <w:sz w:val="14"/>
              </w:rPr>
              <w:t xml:space="preserve"> </w:t>
            </w:r>
            <w:r>
              <w:rPr>
                <w:b/>
                <w:color w:val="231F20"/>
                <w:spacing w:val="-2"/>
                <w:w w:val="105"/>
                <w:sz w:val="14"/>
              </w:rPr>
              <w:t>sport</w:t>
            </w:r>
          </w:p>
        </w:tc>
        <w:tc>
          <w:tcPr>
            <w:tcW w:w="2133" w:type="dxa"/>
            <w:tcBorders>
              <w:bottom w:val="single" w:sz="2" w:space="0" w:color="231F20"/>
            </w:tcBorders>
          </w:tcPr>
          <w:p w14:paraId="76FD0ABA" w14:textId="77777777" w:rsidR="00AE0598" w:rsidRDefault="0069255A">
            <w:pPr>
              <w:pStyle w:val="TableParagraph"/>
              <w:spacing w:line="162" w:lineRule="exact"/>
              <w:ind w:left="463"/>
              <w:rPr>
                <w:b/>
                <w:sz w:val="14"/>
              </w:rPr>
            </w:pPr>
            <w:r>
              <w:rPr>
                <w:b/>
                <w:color w:val="231F20"/>
                <w:sz w:val="14"/>
              </w:rPr>
              <w:t>Post-modern</w:t>
            </w:r>
            <w:r>
              <w:rPr>
                <w:b/>
                <w:color w:val="231F20"/>
                <w:spacing w:val="20"/>
                <w:sz w:val="14"/>
              </w:rPr>
              <w:t xml:space="preserve"> </w:t>
            </w:r>
            <w:r>
              <w:rPr>
                <w:b/>
                <w:color w:val="231F20"/>
                <w:spacing w:val="-2"/>
                <w:sz w:val="14"/>
              </w:rPr>
              <w:t>sport</w:t>
            </w:r>
          </w:p>
        </w:tc>
      </w:tr>
      <w:tr w:rsidR="00AE0598" w14:paraId="1394D59B" w14:textId="77777777">
        <w:trPr>
          <w:trHeight w:val="420"/>
        </w:trPr>
        <w:tc>
          <w:tcPr>
            <w:tcW w:w="2180" w:type="dxa"/>
            <w:tcBorders>
              <w:top w:val="single" w:sz="2" w:space="0" w:color="231F20"/>
              <w:bottom w:val="single" w:sz="2" w:space="0" w:color="231F20"/>
            </w:tcBorders>
          </w:tcPr>
          <w:p w14:paraId="3C23E693" w14:textId="77777777" w:rsidR="00AE0598" w:rsidRDefault="0069255A">
            <w:pPr>
              <w:pStyle w:val="TableParagraph"/>
              <w:spacing w:before="51"/>
              <w:ind w:left="-1"/>
              <w:rPr>
                <w:sz w:val="14"/>
              </w:rPr>
            </w:pPr>
            <w:r>
              <w:rPr>
                <w:color w:val="231F20"/>
                <w:w w:val="105"/>
                <w:sz w:val="14"/>
              </w:rPr>
              <w:t>Game</w:t>
            </w:r>
            <w:r>
              <w:rPr>
                <w:color w:val="231F20"/>
                <w:spacing w:val="1"/>
                <w:w w:val="105"/>
                <w:sz w:val="14"/>
              </w:rPr>
              <w:t xml:space="preserve"> </w:t>
            </w:r>
            <w:r>
              <w:rPr>
                <w:color w:val="231F20"/>
                <w:spacing w:val="-2"/>
                <w:w w:val="105"/>
                <w:sz w:val="14"/>
              </w:rPr>
              <w:t>structure</w:t>
            </w:r>
          </w:p>
        </w:tc>
        <w:tc>
          <w:tcPr>
            <w:tcW w:w="2151" w:type="dxa"/>
            <w:tcBorders>
              <w:top w:val="single" w:sz="2" w:space="0" w:color="231F20"/>
              <w:bottom w:val="single" w:sz="2" w:space="0" w:color="231F20"/>
            </w:tcBorders>
          </w:tcPr>
          <w:p w14:paraId="48517144" w14:textId="77777777" w:rsidR="00AE0598" w:rsidRDefault="0069255A">
            <w:pPr>
              <w:pStyle w:val="TableParagraph"/>
              <w:spacing w:before="51"/>
              <w:ind w:left="79"/>
              <w:rPr>
                <w:sz w:val="14"/>
              </w:rPr>
            </w:pPr>
            <w:r>
              <w:rPr>
                <w:color w:val="231F20"/>
                <w:sz w:val="14"/>
              </w:rPr>
              <w:t>Rules</w:t>
            </w:r>
            <w:r>
              <w:rPr>
                <w:color w:val="231F20"/>
                <w:spacing w:val="7"/>
                <w:sz w:val="14"/>
              </w:rPr>
              <w:t xml:space="preserve"> </w:t>
            </w:r>
            <w:r>
              <w:rPr>
                <w:color w:val="231F20"/>
                <w:sz w:val="14"/>
              </w:rPr>
              <w:t>are</w:t>
            </w:r>
            <w:r>
              <w:rPr>
                <w:color w:val="231F20"/>
                <w:spacing w:val="7"/>
                <w:sz w:val="14"/>
              </w:rPr>
              <w:t xml:space="preserve"> </w:t>
            </w:r>
            <w:r>
              <w:rPr>
                <w:color w:val="231F20"/>
                <w:spacing w:val="-2"/>
                <w:sz w:val="14"/>
              </w:rPr>
              <w:t>sacred</w:t>
            </w:r>
          </w:p>
        </w:tc>
        <w:tc>
          <w:tcPr>
            <w:tcW w:w="2133" w:type="dxa"/>
            <w:tcBorders>
              <w:top w:val="single" w:sz="2" w:space="0" w:color="231F20"/>
              <w:bottom w:val="single" w:sz="2" w:space="0" w:color="231F20"/>
            </w:tcBorders>
          </w:tcPr>
          <w:p w14:paraId="77730BB3" w14:textId="77777777" w:rsidR="00AE0598" w:rsidRDefault="0069255A">
            <w:pPr>
              <w:pStyle w:val="TableParagraph"/>
              <w:spacing w:before="53" w:line="235" w:lineRule="auto"/>
              <w:ind w:left="56"/>
              <w:rPr>
                <w:sz w:val="14"/>
              </w:rPr>
            </w:pPr>
            <w:r>
              <w:rPr>
                <w:color w:val="231F20"/>
                <w:w w:val="105"/>
                <w:sz w:val="14"/>
              </w:rPr>
              <w:t>Rule</w:t>
            </w:r>
            <w:r>
              <w:rPr>
                <w:color w:val="231F20"/>
                <w:spacing w:val="-2"/>
                <w:w w:val="105"/>
                <w:sz w:val="14"/>
              </w:rPr>
              <w:t xml:space="preserve"> </w:t>
            </w:r>
            <w:r>
              <w:rPr>
                <w:color w:val="231F20"/>
                <w:w w:val="105"/>
                <w:sz w:val="14"/>
              </w:rPr>
              <w:t>modification</w:t>
            </w:r>
            <w:r>
              <w:rPr>
                <w:color w:val="231F20"/>
                <w:spacing w:val="-2"/>
                <w:w w:val="105"/>
                <w:sz w:val="14"/>
              </w:rPr>
              <w:t xml:space="preserve"> </w:t>
            </w:r>
            <w:r>
              <w:rPr>
                <w:color w:val="231F20"/>
                <w:w w:val="105"/>
                <w:sz w:val="14"/>
              </w:rPr>
              <w:t xml:space="preserve">and </w:t>
            </w:r>
            <w:r>
              <w:rPr>
                <w:color w:val="231F20"/>
                <w:spacing w:val="-2"/>
                <w:w w:val="105"/>
                <w:sz w:val="14"/>
              </w:rPr>
              <w:t>experimentation</w:t>
            </w:r>
          </w:p>
        </w:tc>
      </w:tr>
      <w:tr w:rsidR="00AE0598" w14:paraId="148F898C" w14:textId="77777777">
        <w:trPr>
          <w:trHeight w:val="260"/>
        </w:trPr>
        <w:tc>
          <w:tcPr>
            <w:tcW w:w="2180" w:type="dxa"/>
            <w:tcBorders>
              <w:top w:val="single" w:sz="2" w:space="0" w:color="231F20"/>
              <w:bottom w:val="single" w:sz="2" w:space="0" w:color="231F20"/>
            </w:tcBorders>
          </w:tcPr>
          <w:p w14:paraId="4FD34D49" w14:textId="77777777" w:rsidR="00AE0598" w:rsidRDefault="0069255A">
            <w:pPr>
              <w:pStyle w:val="TableParagraph"/>
              <w:spacing w:before="51"/>
              <w:ind w:left="-1"/>
              <w:rPr>
                <w:sz w:val="14"/>
              </w:rPr>
            </w:pPr>
            <w:r>
              <w:rPr>
                <w:color w:val="231F20"/>
                <w:sz w:val="14"/>
              </w:rPr>
              <w:t xml:space="preserve">Team </w:t>
            </w:r>
            <w:r>
              <w:rPr>
                <w:color w:val="231F20"/>
                <w:spacing w:val="-2"/>
                <w:sz w:val="14"/>
              </w:rPr>
              <w:t>leadership</w:t>
            </w:r>
          </w:p>
        </w:tc>
        <w:tc>
          <w:tcPr>
            <w:tcW w:w="2151" w:type="dxa"/>
            <w:tcBorders>
              <w:top w:val="single" w:sz="2" w:space="0" w:color="231F20"/>
              <w:bottom w:val="single" w:sz="2" w:space="0" w:color="231F20"/>
            </w:tcBorders>
          </w:tcPr>
          <w:p w14:paraId="7848C946" w14:textId="77777777" w:rsidR="00AE0598" w:rsidRDefault="0069255A">
            <w:pPr>
              <w:pStyle w:val="TableParagraph"/>
              <w:spacing w:before="51"/>
              <w:ind w:left="79"/>
              <w:rPr>
                <w:sz w:val="14"/>
              </w:rPr>
            </w:pPr>
            <w:r>
              <w:rPr>
                <w:color w:val="231F20"/>
                <w:spacing w:val="-2"/>
                <w:sz w:val="14"/>
              </w:rPr>
              <w:t>Conservative</w:t>
            </w:r>
          </w:p>
        </w:tc>
        <w:tc>
          <w:tcPr>
            <w:tcW w:w="2133" w:type="dxa"/>
            <w:tcBorders>
              <w:top w:val="single" w:sz="2" w:space="0" w:color="231F20"/>
              <w:bottom w:val="single" w:sz="2" w:space="0" w:color="231F20"/>
            </w:tcBorders>
          </w:tcPr>
          <w:p w14:paraId="1B5E87E1" w14:textId="77777777" w:rsidR="00AE0598" w:rsidRDefault="0069255A">
            <w:pPr>
              <w:pStyle w:val="TableParagraph"/>
              <w:spacing w:before="51"/>
              <w:ind w:left="55"/>
              <w:rPr>
                <w:sz w:val="14"/>
              </w:rPr>
            </w:pPr>
            <w:r>
              <w:rPr>
                <w:color w:val="231F20"/>
                <w:spacing w:val="-2"/>
                <w:w w:val="105"/>
                <w:sz w:val="14"/>
              </w:rPr>
              <w:t>Adventurous</w:t>
            </w:r>
          </w:p>
        </w:tc>
      </w:tr>
      <w:tr w:rsidR="00AE0598" w14:paraId="5A7CFFCD" w14:textId="77777777">
        <w:trPr>
          <w:trHeight w:val="420"/>
        </w:trPr>
        <w:tc>
          <w:tcPr>
            <w:tcW w:w="2180" w:type="dxa"/>
            <w:tcBorders>
              <w:top w:val="single" w:sz="2" w:space="0" w:color="231F20"/>
              <w:bottom w:val="single" w:sz="2" w:space="0" w:color="231F20"/>
            </w:tcBorders>
          </w:tcPr>
          <w:p w14:paraId="619C8C49" w14:textId="77777777" w:rsidR="00AE0598" w:rsidRDefault="0069255A">
            <w:pPr>
              <w:pStyle w:val="TableParagraph"/>
              <w:spacing w:before="51"/>
              <w:ind w:left="-1"/>
              <w:rPr>
                <w:sz w:val="14"/>
              </w:rPr>
            </w:pPr>
            <w:r>
              <w:rPr>
                <w:color w:val="231F20"/>
                <w:w w:val="105"/>
                <w:sz w:val="14"/>
              </w:rPr>
              <w:t>Values</w:t>
            </w:r>
            <w:r>
              <w:rPr>
                <w:color w:val="231F20"/>
                <w:spacing w:val="1"/>
                <w:w w:val="105"/>
                <w:sz w:val="14"/>
              </w:rPr>
              <w:t xml:space="preserve"> </w:t>
            </w:r>
            <w:r>
              <w:rPr>
                <w:color w:val="231F20"/>
                <w:w w:val="105"/>
                <w:sz w:val="14"/>
              </w:rPr>
              <w:t>and</w:t>
            </w:r>
            <w:r>
              <w:rPr>
                <w:color w:val="231F20"/>
                <w:spacing w:val="1"/>
                <w:w w:val="105"/>
                <w:sz w:val="14"/>
              </w:rPr>
              <w:t xml:space="preserve"> </w:t>
            </w:r>
            <w:r>
              <w:rPr>
                <w:color w:val="231F20"/>
                <w:spacing w:val="-2"/>
                <w:w w:val="105"/>
                <w:sz w:val="14"/>
              </w:rPr>
              <w:t>customs</w:t>
            </w:r>
          </w:p>
        </w:tc>
        <w:tc>
          <w:tcPr>
            <w:tcW w:w="2151" w:type="dxa"/>
            <w:tcBorders>
              <w:top w:val="single" w:sz="2" w:space="0" w:color="231F20"/>
              <w:bottom w:val="single" w:sz="2" w:space="0" w:color="231F20"/>
            </w:tcBorders>
          </w:tcPr>
          <w:p w14:paraId="4DBEB0D9" w14:textId="77777777" w:rsidR="00AE0598" w:rsidRDefault="0069255A">
            <w:pPr>
              <w:pStyle w:val="TableParagraph"/>
              <w:spacing w:before="53" w:line="235" w:lineRule="auto"/>
              <w:ind w:left="79"/>
              <w:rPr>
                <w:sz w:val="14"/>
              </w:rPr>
            </w:pPr>
            <w:r>
              <w:rPr>
                <w:color w:val="231F20"/>
                <w:sz w:val="14"/>
              </w:rPr>
              <w:t>Amateurism, respect for authority, character building</w:t>
            </w:r>
          </w:p>
        </w:tc>
        <w:tc>
          <w:tcPr>
            <w:tcW w:w="2133" w:type="dxa"/>
            <w:tcBorders>
              <w:top w:val="single" w:sz="2" w:space="0" w:color="231F20"/>
              <w:bottom w:val="single" w:sz="2" w:space="0" w:color="231F20"/>
            </w:tcBorders>
          </w:tcPr>
          <w:p w14:paraId="279356FD" w14:textId="77777777" w:rsidR="00AE0598" w:rsidRDefault="0069255A">
            <w:pPr>
              <w:pStyle w:val="TableParagraph"/>
              <w:spacing w:before="51"/>
              <w:ind w:left="56"/>
              <w:rPr>
                <w:sz w:val="14"/>
              </w:rPr>
            </w:pPr>
            <w:r>
              <w:rPr>
                <w:color w:val="231F20"/>
                <w:sz w:val="14"/>
              </w:rPr>
              <w:t>Professionalism,</w:t>
            </w:r>
            <w:r>
              <w:rPr>
                <w:color w:val="231F20"/>
                <w:spacing w:val="37"/>
                <w:w w:val="105"/>
                <w:sz w:val="14"/>
              </w:rPr>
              <w:t xml:space="preserve"> </w:t>
            </w:r>
            <w:r>
              <w:rPr>
                <w:color w:val="231F20"/>
                <w:spacing w:val="-2"/>
                <w:w w:val="105"/>
                <w:sz w:val="14"/>
              </w:rPr>
              <w:t>innovation</w:t>
            </w:r>
          </w:p>
        </w:tc>
      </w:tr>
      <w:tr w:rsidR="00AE0598" w14:paraId="37C11CDB" w14:textId="77777777">
        <w:trPr>
          <w:trHeight w:val="260"/>
        </w:trPr>
        <w:tc>
          <w:tcPr>
            <w:tcW w:w="2180" w:type="dxa"/>
            <w:tcBorders>
              <w:top w:val="single" w:sz="2" w:space="0" w:color="231F20"/>
              <w:bottom w:val="single" w:sz="2" w:space="0" w:color="231F20"/>
            </w:tcBorders>
          </w:tcPr>
          <w:p w14:paraId="086E37CA" w14:textId="77777777" w:rsidR="00AE0598" w:rsidRDefault="0069255A">
            <w:pPr>
              <w:pStyle w:val="TableParagraph"/>
              <w:spacing w:before="51"/>
              <w:ind w:left="-1"/>
              <w:rPr>
                <w:sz w:val="14"/>
              </w:rPr>
            </w:pPr>
            <w:r>
              <w:rPr>
                <w:color w:val="231F20"/>
                <w:w w:val="105"/>
                <w:sz w:val="14"/>
              </w:rPr>
              <w:t>Organisation</w:t>
            </w:r>
            <w:r>
              <w:rPr>
                <w:color w:val="231F20"/>
                <w:spacing w:val="18"/>
                <w:w w:val="105"/>
                <w:sz w:val="14"/>
              </w:rPr>
              <w:t xml:space="preserve"> </w:t>
            </w:r>
            <w:r>
              <w:rPr>
                <w:color w:val="231F20"/>
                <w:w w:val="105"/>
                <w:sz w:val="14"/>
              </w:rPr>
              <w:t>and</w:t>
            </w:r>
            <w:r>
              <w:rPr>
                <w:color w:val="231F20"/>
                <w:spacing w:val="19"/>
                <w:w w:val="105"/>
                <w:sz w:val="14"/>
              </w:rPr>
              <w:t xml:space="preserve"> </w:t>
            </w:r>
            <w:r>
              <w:rPr>
                <w:color w:val="231F20"/>
                <w:spacing w:val="-2"/>
                <w:w w:val="105"/>
                <w:sz w:val="14"/>
              </w:rPr>
              <w:t>management</w:t>
            </w:r>
          </w:p>
        </w:tc>
        <w:tc>
          <w:tcPr>
            <w:tcW w:w="2151" w:type="dxa"/>
            <w:tcBorders>
              <w:top w:val="single" w:sz="2" w:space="0" w:color="231F20"/>
              <w:bottom w:val="single" w:sz="2" w:space="0" w:color="231F20"/>
            </w:tcBorders>
          </w:tcPr>
          <w:p w14:paraId="075EEB78" w14:textId="77777777" w:rsidR="00AE0598" w:rsidRDefault="0069255A">
            <w:pPr>
              <w:pStyle w:val="TableParagraph"/>
              <w:spacing w:before="51"/>
              <w:ind w:left="79"/>
              <w:rPr>
                <w:sz w:val="14"/>
              </w:rPr>
            </w:pPr>
            <w:r>
              <w:rPr>
                <w:color w:val="231F20"/>
                <w:sz w:val="14"/>
              </w:rPr>
              <w:t>Central</w:t>
            </w:r>
            <w:r>
              <w:rPr>
                <w:color w:val="231F20"/>
                <w:spacing w:val="15"/>
                <w:sz w:val="14"/>
              </w:rPr>
              <w:t xml:space="preserve"> </w:t>
            </w:r>
            <w:r>
              <w:rPr>
                <w:color w:val="231F20"/>
                <w:spacing w:val="-2"/>
                <w:sz w:val="14"/>
              </w:rPr>
              <w:t>control</w:t>
            </w:r>
          </w:p>
        </w:tc>
        <w:tc>
          <w:tcPr>
            <w:tcW w:w="2133" w:type="dxa"/>
            <w:tcBorders>
              <w:top w:val="single" w:sz="2" w:space="0" w:color="231F20"/>
              <w:bottom w:val="single" w:sz="2" w:space="0" w:color="231F20"/>
            </w:tcBorders>
          </w:tcPr>
          <w:p w14:paraId="5F7C1F14" w14:textId="77777777" w:rsidR="00AE0598" w:rsidRDefault="0069255A">
            <w:pPr>
              <w:pStyle w:val="TableParagraph"/>
              <w:spacing w:before="51"/>
              <w:ind w:left="56"/>
              <w:rPr>
                <w:sz w:val="14"/>
              </w:rPr>
            </w:pPr>
            <w:r>
              <w:rPr>
                <w:color w:val="231F20"/>
                <w:w w:val="105"/>
                <w:sz w:val="14"/>
              </w:rPr>
              <w:t>Diffusion</w:t>
            </w:r>
            <w:r>
              <w:rPr>
                <w:color w:val="231F20"/>
                <w:spacing w:val="13"/>
                <w:w w:val="105"/>
                <w:sz w:val="14"/>
              </w:rPr>
              <w:t xml:space="preserve"> </w:t>
            </w:r>
            <w:r>
              <w:rPr>
                <w:color w:val="231F20"/>
                <w:w w:val="105"/>
                <w:sz w:val="14"/>
              </w:rPr>
              <w:t>of</w:t>
            </w:r>
            <w:r>
              <w:rPr>
                <w:color w:val="231F20"/>
                <w:spacing w:val="13"/>
                <w:w w:val="105"/>
                <w:sz w:val="14"/>
              </w:rPr>
              <w:t xml:space="preserve"> </w:t>
            </w:r>
            <w:r>
              <w:rPr>
                <w:color w:val="231F20"/>
                <w:spacing w:val="-2"/>
                <w:w w:val="105"/>
                <w:sz w:val="14"/>
              </w:rPr>
              <w:t>authority</w:t>
            </w:r>
          </w:p>
        </w:tc>
      </w:tr>
      <w:tr w:rsidR="00AE0598" w14:paraId="32738795" w14:textId="77777777">
        <w:trPr>
          <w:trHeight w:val="420"/>
        </w:trPr>
        <w:tc>
          <w:tcPr>
            <w:tcW w:w="2180" w:type="dxa"/>
            <w:tcBorders>
              <w:top w:val="single" w:sz="2" w:space="0" w:color="231F20"/>
              <w:bottom w:val="single" w:sz="2" w:space="0" w:color="231F20"/>
            </w:tcBorders>
          </w:tcPr>
          <w:p w14:paraId="067CC831" w14:textId="77777777" w:rsidR="00AE0598" w:rsidRDefault="0069255A">
            <w:pPr>
              <w:pStyle w:val="TableParagraph"/>
              <w:spacing w:before="51"/>
              <w:ind w:left="-1"/>
              <w:rPr>
                <w:sz w:val="14"/>
              </w:rPr>
            </w:pPr>
            <w:r>
              <w:rPr>
                <w:color w:val="231F20"/>
                <w:sz w:val="14"/>
              </w:rPr>
              <w:t>Financial</w:t>
            </w:r>
            <w:r>
              <w:rPr>
                <w:color w:val="231F20"/>
                <w:spacing w:val="16"/>
                <w:sz w:val="14"/>
              </w:rPr>
              <w:t xml:space="preserve"> </w:t>
            </w:r>
            <w:r>
              <w:rPr>
                <w:color w:val="231F20"/>
                <w:spacing w:val="-2"/>
                <w:sz w:val="14"/>
              </w:rPr>
              <w:t>structure</w:t>
            </w:r>
          </w:p>
        </w:tc>
        <w:tc>
          <w:tcPr>
            <w:tcW w:w="2151" w:type="dxa"/>
            <w:tcBorders>
              <w:top w:val="single" w:sz="2" w:space="0" w:color="231F20"/>
              <w:bottom w:val="single" w:sz="2" w:space="0" w:color="231F20"/>
            </w:tcBorders>
          </w:tcPr>
          <w:p w14:paraId="7C18AFFA" w14:textId="77777777" w:rsidR="00AE0598" w:rsidRDefault="0069255A">
            <w:pPr>
              <w:pStyle w:val="TableParagraph"/>
              <w:spacing w:before="51"/>
              <w:ind w:left="79"/>
              <w:rPr>
                <w:sz w:val="14"/>
              </w:rPr>
            </w:pPr>
            <w:r>
              <w:rPr>
                <w:color w:val="231F20"/>
                <w:sz w:val="14"/>
              </w:rPr>
              <w:t>Gate</w:t>
            </w:r>
            <w:r>
              <w:rPr>
                <w:color w:val="231F20"/>
                <w:spacing w:val="10"/>
                <w:sz w:val="14"/>
              </w:rPr>
              <w:t xml:space="preserve"> </w:t>
            </w:r>
            <w:r>
              <w:rPr>
                <w:color w:val="231F20"/>
                <w:spacing w:val="-2"/>
                <w:sz w:val="14"/>
              </w:rPr>
              <w:t>receipts</w:t>
            </w:r>
          </w:p>
        </w:tc>
        <w:tc>
          <w:tcPr>
            <w:tcW w:w="2133" w:type="dxa"/>
            <w:tcBorders>
              <w:top w:val="single" w:sz="2" w:space="0" w:color="231F20"/>
              <w:bottom w:val="single" w:sz="2" w:space="0" w:color="231F20"/>
            </w:tcBorders>
          </w:tcPr>
          <w:p w14:paraId="5A240227" w14:textId="77777777" w:rsidR="00AE0598" w:rsidRDefault="0069255A">
            <w:pPr>
              <w:pStyle w:val="TableParagraph"/>
              <w:spacing w:before="53" w:line="235" w:lineRule="auto"/>
              <w:ind w:left="56"/>
              <w:rPr>
                <w:sz w:val="14"/>
              </w:rPr>
            </w:pPr>
            <w:r>
              <w:rPr>
                <w:color w:val="231F20"/>
                <w:sz w:val="14"/>
              </w:rPr>
              <w:t>Sponsorship, television rights, gate receipts, sport as business</w:t>
            </w:r>
          </w:p>
        </w:tc>
      </w:tr>
      <w:tr w:rsidR="00AE0598" w14:paraId="7979E21E" w14:textId="77777777">
        <w:trPr>
          <w:trHeight w:val="420"/>
        </w:trPr>
        <w:tc>
          <w:tcPr>
            <w:tcW w:w="2180" w:type="dxa"/>
            <w:tcBorders>
              <w:top w:val="single" w:sz="2" w:space="0" w:color="231F20"/>
              <w:bottom w:val="single" w:sz="2" w:space="0" w:color="231F20"/>
            </w:tcBorders>
          </w:tcPr>
          <w:p w14:paraId="15252ACF" w14:textId="77777777" w:rsidR="00AE0598" w:rsidRDefault="0069255A">
            <w:pPr>
              <w:pStyle w:val="TableParagraph"/>
              <w:spacing w:before="51"/>
              <w:ind w:left="-1"/>
              <w:rPr>
                <w:sz w:val="14"/>
              </w:rPr>
            </w:pPr>
            <w:r>
              <w:rPr>
                <w:color w:val="231F20"/>
                <w:w w:val="105"/>
                <w:sz w:val="14"/>
              </w:rPr>
              <w:t>Venues</w:t>
            </w:r>
            <w:r>
              <w:rPr>
                <w:color w:val="231F20"/>
                <w:spacing w:val="5"/>
                <w:w w:val="105"/>
                <w:sz w:val="14"/>
              </w:rPr>
              <w:t xml:space="preserve"> </w:t>
            </w:r>
            <w:r>
              <w:rPr>
                <w:color w:val="231F20"/>
                <w:w w:val="105"/>
                <w:sz w:val="14"/>
              </w:rPr>
              <w:t>and</w:t>
            </w:r>
            <w:r>
              <w:rPr>
                <w:color w:val="231F20"/>
                <w:spacing w:val="5"/>
                <w:w w:val="105"/>
                <w:sz w:val="14"/>
              </w:rPr>
              <w:t xml:space="preserve"> </w:t>
            </w:r>
            <w:r>
              <w:rPr>
                <w:color w:val="231F20"/>
                <w:spacing w:val="-2"/>
                <w:w w:val="105"/>
                <w:sz w:val="14"/>
              </w:rPr>
              <w:t>facilities</w:t>
            </w:r>
          </w:p>
        </w:tc>
        <w:tc>
          <w:tcPr>
            <w:tcW w:w="2151" w:type="dxa"/>
            <w:tcBorders>
              <w:top w:val="single" w:sz="2" w:space="0" w:color="231F20"/>
              <w:bottom w:val="single" w:sz="2" w:space="0" w:color="231F20"/>
            </w:tcBorders>
          </w:tcPr>
          <w:p w14:paraId="4DE80C35" w14:textId="77777777" w:rsidR="00AE0598" w:rsidRDefault="0069255A">
            <w:pPr>
              <w:pStyle w:val="TableParagraph"/>
              <w:spacing w:before="51"/>
              <w:ind w:left="79"/>
              <w:rPr>
                <w:sz w:val="14"/>
              </w:rPr>
            </w:pPr>
            <w:r>
              <w:rPr>
                <w:color w:val="231F20"/>
                <w:sz w:val="14"/>
              </w:rPr>
              <w:t>Basic</w:t>
            </w:r>
            <w:r>
              <w:rPr>
                <w:color w:val="231F20"/>
                <w:spacing w:val="10"/>
                <w:sz w:val="14"/>
              </w:rPr>
              <w:t xml:space="preserve"> </w:t>
            </w:r>
            <w:r>
              <w:rPr>
                <w:color w:val="231F20"/>
                <w:sz w:val="14"/>
              </w:rPr>
              <w:t>seating</w:t>
            </w:r>
            <w:r>
              <w:rPr>
                <w:color w:val="231F20"/>
                <w:spacing w:val="11"/>
                <w:sz w:val="14"/>
              </w:rPr>
              <w:t xml:space="preserve"> </w:t>
            </w:r>
            <w:r>
              <w:rPr>
                <w:color w:val="231F20"/>
                <w:sz w:val="14"/>
              </w:rPr>
              <w:t>at</w:t>
            </w:r>
            <w:r>
              <w:rPr>
                <w:color w:val="231F20"/>
                <w:spacing w:val="10"/>
                <w:sz w:val="14"/>
              </w:rPr>
              <w:t xml:space="preserve"> </w:t>
            </w:r>
            <w:r>
              <w:rPr>
                <w:color w:val="231F20"/>
                <w:spacing w:val="-2"/>
                <w:sz w:val="14"/>
              </w:rPr>
              <w:t>stadiums</w:t>
            </w:r>
          </w:p>
        </w:tc>
        <w:tc>
          <w:tcPr>
            <w:tcW w:w="2133" w:type="dxa"/>
            <w:tcBorders>
              <w:top w:val="single" w:sz="2" w:space="0" w:color="231F20"/>
              <w:bottom w:val="single" w:sz="2" w:space="0" w:color="231F20"/>
            </w:tcBorders>
          </w:tcPr>
          <w:p w14:paraId="5A293242" w14:textId="77777777" w:rsidR="00AE0598" w:rsidRDefault="0069255A">
            <w:pPr>
              <w:pStyle w:val="TableParagraph"/>
              <w:spacing w:before="53" w:line="235" w:lineRule="auto"/>
              <w:ind w:left="56"/>
              <w:rPr>
                <w:sz w:val="14"/>
              </w:rPr>
            </w:pPr>
            <w:r>
              <w:rPr>
                <w:color w:val="231F20"/>
                <w:w w:val="105"/>
                <w:sz w:val="14"/>
              </w:rPr>
              <w:t>Customised</w:t>
            </w:r>
            <w:r>
              <w:rPr>
                <w:color w:val="231F20"/>
                <w:spacing w:val="-4"/>
                <w:w w:val="105"/>
                <w:sz w:val="14"/>
              </w:rPr>
              <w:t xml:space="preserve"> </w:t>
            </w:r>
            <w:r>
              <w:rPr>
                <w:color w:val="231F20"/>
                <w:w w:val="105"/>
                <w:sz w:val="14"/>
              </w:rPr>
              <w:t>seating,</w:t>
            </w:r>
            <w:r>
              <w:rPr>
                <w:color w:val="231F20"/>
                <w:spacing w:val="-4"/>
                <w:w w:val="105"/>
                <w:sz w:val="14"/>
              </w:rPr>
              <w:t xml:space="preserve"> </w:t>
            </w:r>
            <w:r>
              <w:rPr>
                <w:color w:val="231F20"/>
                <w:w w:val="105"/>
                <w:sz w:val="14"/>
              </w:rPr>
              <w:t xml:space="preserve">video </w:t>
            </w:r>
            <w:r>
              <w:rPr>
                <w:color w:val="231F20"/>
                <w:spacing w:val="-2"/>
                <w:w w:val="105"/>
                <w:sz w:val="14"/>
              </w:rPr>
              <w:t>support</w:t>
            </w:r>
          </w:p>
        </w:tc>
      </w:tr>
      <w:tr w:rsidR="00AE0598" w14:paraId="388C8B11" w14:textId="77777777">
        <w:trPr>
          <w:trHeight w:val="260"/>
        </w:trPr>
        <w:tc>
          <w:tcPr>
            <w:tcW w:w="2180" w:type="dxa"/>
            <w:tcBorders>
              <w:top w:val="single" w:sz="2" w:space="0" w:color="231F20"/>
              <w:bottom w:val="single" w:sz="2" w:space="0" w:color="231F20"/>
            </w:tcBorders>
          </w:tcPr>
          <w:p w14:paraId="53E4986D" w14:textId="77777777" w:rsidR="00AE0598" w:rsidRDefault="0069255A">
            <w:pPr>
              <w:pStyle w:val="TableParagraph"/>
              <w:spacing w:before="51"/>
              <w:ind w:left="-1"/>
              <w:rPr>
                <w:sz w:val="14"/>
              </w:rPr>
            </w:pPr>
            <w:r>
              <w:rPr>
                <w:color w:val="231F20"/>
                <w:spacing w:val="-2"/>
                <w:w w:val="105"/>
                <w:sz w:val="14"/>
              </w:rPr>
              <w:t>Promotion</w:t>
            </w:r>
          </w:p>
        </w:tc>
        <w:tc>
          <w:tcPr>
            <w:tcW w:w="2151" w:type="dxa"/>
            <w:tcBorders>
              <w:top w:val="single" w:sz="2" w:space="0" w:color="231F20"/>
              <w:bottom w:val="single" w:sz="2" w:space="0" w:color="231F20"/>
            </w:tcBorders>
          </w:tcPr>
          <w:p w14:paraId="03B86D6F" w14:textId="77777777" w:rsidR="00AE0598" w:rsidRDefault="0069255A">
            <w:pPr>
              <w:pStyle w:val="TableParagraph"/>
              <w:spacing w:before="51"/>
              <w:ind w:left="79"/>
              <w:rPr>
                <w:sz w:val="14"/>
              </w:rPr>
            </w:pPr>
            <w:r>
              <w:rPr>
                <w:color w:val="231F20"/>
                <w:spacing w:val="-2"/>
                <w:sz w:val="14"/>
              </w:rPr>
              <w:t>Limited</w:t>
            </w:r>
          </w:p>
        </w:tc>
        <w:tc>
          <w:tcPr>
            <w:tcW w:w="2133" w:type="dxa"/>
            <w:tcBorders>
              <w:top w:val="single" w:sz="2" w:space="0" w:color="231F20"/>
              <w:bottom w:val="single" w:sz="2" w:space="0" w:color="231F20"/>
            </w:tcBorders>
          </w:tcPr>
          <w:p w14:paraId="554AFB03" w14:textId="77777777" w:rsidR="00AE0598" w:rsidRDefault="0069255A">
            <w:pPr>
              <w:pStyle w:val="TableParagraph"/>
              <w:spacing w:before="51"/>
              <w:ind w:left="56"/>
              <w:rPr>
                <w:sz w:val="14"/>
              </w:rPr>
            </w:pPr>
            <w:r>
              <w:rPr>
                <w:color w:val="231F20"/>
                <w:spacing w:val="-2"/>
                <w:sz w:val="14"/>
              </w:rPr>
              <w:t>Extensive</w:t>
            </w:r>
          </w:p>
        </w:tc>
      </w:tr>
      <w:tr w:rsidR="00AE0598" w14:paraId="508C458B" w14:textId="77777777">
        <w:trPr>
          <w:trHeight w:val="420"/>
        </w:trPr>
        <w:tc>
          <w:tcPr>
            <w:tcW w:w="2180" w:type="dxa"/>
            <w:tcBorders>
              <w:top w:val="single" w:sz="2" w:space="0" w:color="231F20"/>
              <w:bottom w:val="single" w:sz="2" w:space="0" w:color="231F20"/>
            </w:tcBorders>
          </w:tcPr>
          <w:p w14:paraId="02BFD103" w14:textId="77777777" w:rsidR="00AE0598" w:rsidRDefault="0069255A">
            <w:pPr>
              <w:pStyle w:val="TableParagraph"/>
              <w:spacing w:before="51"/>
              <w:ind w:left="-1"/>
              <w:rPr>
                <w:sz w:val="14"/>
              </w:rPr>
            </w:pPr>
            <w:r>
              <w:rPr>
                <w:color w:val="231F20"/>
                <w:spacing w:val="-2"/>
                <w:w w:val="105"/>
                <w:sz w:val="14"/>
              </w:rPr>
              <w:t>Viewing</w:t>
            </w:r>
          </w:p>
        </w:tc>
        <w:tc>
          <w:tcPr>
            <w:tcW w:w="2151" w:type="dxa"/>
            <w:tcBorders>
              <w:top w:val="single" w:sz="2" w:space="0" w:color="231F20"/>
              <w:bottom w:val="single" w:sz="2" w:space="0" w:color="231F20"/>
            </w:tcBorders>
          </w:tcPr>
          <w:p w14:paraId="13C21EA8" w14:textId="77777777" w:rsidR="00AE0598" w:rsidRDefault="0069255A">
            <w:pPr>
              <w:pStyle w:val="TableParagraph"/>
              <w:spacing w:before="51"/>
              <w:ind w:left="79"/>
              <w:rPr>
                <w:sz w:val="14"/>
              </w:rPr>
            </w:pPr>
            <w:r>
              <w:rPr>
                <w:color w:val="231F20"/>
                <w:sz w:val="14"/>
              </w:rPr>
              <w:t>Live</w:t>
            </w:r>
            <w:r>
              <w:rPr>
                <w:color w:val="231F20"/>
                <w:spacing w:val="7"/>
                <w:sz w:val="14"/>
              </w:rPr>
              <w:t xml:space="preserve"> </w:t>
            </w:r>
            <w:r>
              <w:rPr>
                <w:color w:val="231F20"/>
                <w:sz w:val="14"/>
              </w:rPr>
              <w:t>match</w:t>
            </w:r>
            <w:r>
              <w:rPr>
                <w:color w:val="231F20"/>
                <w:spacing w:val="7"/>
                <w:sz w:val="14"/>
              </w:rPr>
              <w:t xml:space="preserve"> </w:t>
            </w:r>
            <w:r>
              <w:rPr>
                <w:color w:val="231F20"/>
                <w:spacing w:val="-2"/>
                <w:sz w:val="14"/>
              </w:rPr>
              <w:t>attendance</w:t>
            </w:r>
          </w:p>
        </w:tc>
        <w:tc>
          <w:tcPr>
            <w:tcW w:w="2133" w:type="dxa"/>
            <w:tcBorders>
              <w:top w:val="single" w:sz="2" w:space="0" w:color="231F20"/>
              <w:bottom w:val="single" w:sz="2" w:space="0" w:color="231F20"/>
            </w:tcBorders>
          </w:tcPr>
          <w:p w14:paraId="191EE036" w14:textId="77777777" w:rsidR="00AE0598" w:rsidRDefault="0069255A">
            <w:pPr>
              <w:pStyle w:val="TableParagraph"/>
              <w:spacing w:before="53" w:line="235" w:lineRule="auto"/>
              <w:ind w:left="56"/>
              <w:rPr>
                <w:sz w:val="14"/>
              </w:rPr>
            </w:pPr>
            <w:r>
              <w:rPr>
                <w:color w:val="231F20"/>
                <w:sz w:val="14"/>
              </w:rPr>
              <w:t xml:space="preserve">TV/live streaming audiences </w:t>
            </w:r>
            <w:r>
              <w:rPr>
                <w:color w:val="231F20"/>
                <w:spacing w:val="-2"/>
                <w:w w:val="105"/>
                <w:sz w:val="14"/>
              </w:rPr>
              <w:t>dominate</w:t>
            </w:r>
          </w:p>
        </w:tc>
      </w:tr>
      <w:tr w:rsidR="00AE0598" w14:paraId="1AE31E8D" w14:textId="77777777">
        <w:trPr>
          <w:trHeight w:val="420"/>
        </w:trPr>
        <w:tc>
          <w:tcPr>
            <w:tcW w:w="2180" w:type="dxa"/>
            <w:tcBorders>
              <w:top w:val="single" w:sz="2" w:space="0" w:color="231F20"/>
              <w:bottom w:val="single" w:sz="2" w:space="0" w:color="231F20"/>
            </w:tcBorders>
          </w:tcPr>
          <w:p w14:paraId="3054BBBD" w14:textId="77777777" w:rsidR="00AE0598" w:rsidRDefault="0069255A">
            <w:pPr>
              <w:pStyle w:val="TableParagraph"/>
              <w:spacing w:before="51"/>
              <w:ind w:left="-1"/>
              <w:rPr>
                <w:sz w:val="14"/>
              </w:rPr>
            </w:pPr>
            <w:r>
              <w:rPr>
                <w:color w:val="231F20"/>
                <w:sz w:val="14"/>
              </w:rPr>
              <w:t>Spectator</w:t>
            </w:r>
            <w:r>
              <w:rPr>
                <w:color w:val="231F20"/>
                <w:spacing w:val="31"/>
                <w:sz w:val="14"/>
              </w:rPr>
              <w:t xml:space="preserve"> </w:t>
            </w:r>
            <w:r>
              <w:rPr>
                <w:color w:val="231F20"/>
                <w:spacing w:val="-2"/>
                <w:sz w:val="14"/>
              </w:rPr>
              <w:t>preference</w:t>
            </w:r>
          </w:p>
        </w:tc>
        <w:tc>
          <w:tcPr>
            <w:tcW w:w="2151" w:type="dxa"/>
            <w:tcBorders>
              <w:top w:val="single" w:sz="2" w:space="0" w:color="231F20"/>
              <w:bottom w:val="single" w:sz="2" w:space="0" w:color="231F20"/>
            </w:tcBorders>
          </w:tcPr>
          <w:p w14:paraId="3DB31E1F" w14:textId="77777777" w:rsidR="00AE0598" w:rsidRDefault="0069255A">
            <w:pPr>
              <w:pStyle w:val="TableParagraph"/>
              <w:spacing w:before="51"/>
              <w:ind w:left="79"/>
              <w:rPr>
                <w:sz w:val="14"/>
              </w:rPr>
            </w:pPr>
            <w:r>
              <w:rPr>
                <w:color w:val="231F20"/>
                <w:w w:val="105"/>
                <w:sz w:val="14"/>
              </w:rPr>
              <w:t xml:space="preserve">Display of traditional </w:t>
            </w:r>
            <w:r>
              <w:rPr>
                <w:color w:val="231F20"/>
                <w:spacing w:val="-2"/>
                <w:w w:val="105"/>
                <w:sz w:val="14"/>
              </w:rPr>
              <w:t>craft</w:t>
            </w:r>
          </w:p>
        </w:tc>
        <w:tc>
          <w:tcPr>
            <w:tcW w:w="2133" w:type="dxa"/>
            <w:tcBorders>
              <w:top w:val="single" w:sz="2" w:space="0" w:color="231F20"/>
              <w:bottom w:val="single" w:sz="2" w:space="0" w:color="231F20"/>
            </w:tcBorders>
          </w:tcPr>
          <w:p w14:paraId="1B976AA6" w14:textId="77777777" w:rsidR="00AE0598" w:rsidRDefault="0069255A">
            <w:pPr>
              <w:pStyle w:val="TableParagraph"/>
              <w:spacing w:before="53" w:line="235" w:lineRule="auto"/>
              <w:ind w:left="56" w:right="110"/>
              <w:rPr>
                <w:sz w:val="14"/>
              </w:rPr>
            </w:pPr>
            <w:r>
              <w:rPr>
                <w:color w:val="231F20"/>
                <w:sz w:val="14"/>
              </w:rPr>
              <w:t xml:space="preserve">Eclectic blend of </w:t>
            </w:r>
            <w:r>
              <w:rPr>
                <w:color w:val="231F20"/>
                <w:spacing w:val="-2"/>
                <w:w w:val="105"/>
                <w:sz w:val="14"/>
              </w:rPr>
              <w:t>entertainment</w:t>
            </w:r>
          </w:p>
        </w:tc>
      </w:tr>
      <w:tr w:rsidR="00AE0598" w14:paraId="55FEFD27" w14:textId="77777777">
        <w:trPr>
          <w:trHeight w:val="420"/>
        </w:trPr>
        <w:tc>
          <w:tcPr>
            <w:tcW w:w="2180" w:type="dxa"/>
            <w:tcBorders>
              <w:top w:val="single" w:sz="2" w:space="0" w:color="231F20"/>
              <w:bottom w:val="single" w:sz="2" w:space="0" w:color="231F20"/>
            </w:tcBorders>
          </w:tcPr>
          <w:p w14:paraId="1617BC33" w14:textId="77777777" w:rsidR="00AE0598" w:rsidRDefault="0069255A">
            <w:pPr>
              <w:pStyle w:val="TableParagraph"/>
              <w:spacing w:before="51"/>
              <w:ind w:left="-1"/>
              <w:rPr>
                <w:sz w:val="14"/>
              </w:rPr>
            </w:pPr>
            <w:r>
              <w:rPr>
                <w:color w:val="231F20"/>
                <w:sz w:val="14"/>
              </w:rPr>
              <w:t>Fan</w:t>
            </w:r>
            <w:r>
              <w:rPr>
                <w:color w:val="231F20"/>
                <w:spacing w:val="4"/>
                <w:sz w:val="14"/>
              </w:rPr>
              <w:t xml:space="preserve"> </w:t>
            </w:r>
            <w:r>
              <w:rPr>
                <w:color w:val="231F20"/>
                <w:spacing w:val="-2"/>
                <w:sz w:val="14"/>
              </w:rPr>
              <w:t>loyalties</w:t>
            </w:r>
          </w:p>
        </w:tc>
        <w:tc>
          <w:tcPr>
            <w:tcW w:w="2151" w:type="dxa"/>
            <w:tcBorders>
              <w:top w:val="single" w:sz="2" w:space="0" w:color="231F20"/>
              <w:bottom w:val="single" w:sz="2" w:space="0" w:color="231F20"/>
            </w:tcBorders>
          </w:tcPr>
          <w:p w14:paraId="279BB41D" w14:textId="77777777" w:rsidR="00AE0598" w:rsidRDefault="0069255A">
            <w:pPr>
              <w:pStyle w:val="TableParagraph"/>
              <w:spacing w:before="51"/>
              <w:ind w:left="79"/>
              <w:rPr>
                <w:sz w:val="14"/>
              </w:rPr>
            </w:pPr>
            <w:r>
              <w:rPr>
                <w:color w:val="231F20"/>
                <w:w w:val="105"/>
                <w:sz w:val="14"/>
              </w:rPr>
              <w:t>Singular</w:t>
            </w:r>
            <w:r>
              <w:rPr>
                <w:color w:val="231F20"/>
                <w:spacing w:val="5"/>
                <w:w w:val="105"/>
                <w:sz w:val="14"/>
              </w:rPr>
              <w:t xml:space="preserve"> </w:t>
            </w:r>
            <w:r>
              <w:rPr>
                <w:color w:val="231F20"/>
                <w:w w:val="105"/>
                <w:sz w:val="14"/>
              </w:rPr>
              <w:t>and</w:t>
            </w:r>
            <w:r>
              <w:rPr>
                <w:color w:val="231F20"/>
                <w:spacing w:val="6"/>
                <w:w w:val="105"/>
                <w:sz w:val="14"/>
              </w:rPr>
              <w:t xml:space="preserve"> </w:t>
            </w:r>
            <w:r>
              <w:rPr>
                <w:color w:val="231F20"/>
                <w:w w:val="105"/>
                <w:sz w:val="14"/>
              </w:rPr>
              <w:t>parochial</w:t>
            </w:r>
            <w:r>
              <w:rPr>
                <w:color w:val="231F20"/>
                <w:spacing w:val="6"/>
                <w:w w:val="105"/>
                <w:sz w:val="14"/>
              </w:rPr>
              <w:t xml:space="preserve"> </w:t>
            </w:r>
            <w:r>
              <w:rPr>
                <w:color w:val="231F20"/>
                <w:spacing w:val="-2"/>
                <w:w w:val="105"/>
                <w:sz w:val="14"/>
              </w:rPr>
              <w:t>loyalty</w:t>
            </w:r>
          </w:p>
        </w:tc>
        <w:tc>
          <w:tcPr>
            <w:tcW w:w="2133" w:type="dxa"/>
            <w:tcBorders>
              <w:top w:val="single" w:sz="2" w:space="0" w:color="231F20"/>
              <w:bottom w:val="single" w:sz="2" w:space="0" w:color="231F20"/>
            </w:tcBorders>
          </w:tcPr>
          <w:p w14:paraId="1B59903C" w14:textId="77777777" w:rsidR="00AE0598" w:rsidRDefault="0069255A">
            <w:pPr>
              <w:pStyle w:val="TableParagraph"/>
              <w:spacing w:before="53" w:line="235" w:lineRule="auto"/>
              <w:ind w:left="56" w:hanging="1"/>
              <w:rPr>
                <w:sz w:val="14"/>
              </w:rPr>
            </w:pPr>
            <w:r>
              <w:rPr>
                <w:color w:val="231F20"/>
                <w:w w:val="105"/>
                <w:sz w:val="14"/>
              </w:rPr>
              <w:t>Multiple</w:t>
            </w:r>
            <w:r>
              <w:rPr>
                <w:color w:val="231F20"/>
                <w:spacing w:val="-5"/>
                <w:w w:val="105"/>
                <w:sz w:val="14"/>
              </w:rPr>
              <w:t xml:space="preserve"> </w:t>
            </w:r>
            <w:r>
              <w:rPr>
                <w:color w:val="231F20"/>
                <w:w w:val="105"/>
                <w:sz w:val="14"/>
              </w:rPr>
              <w:t>loyalties</w:t>
            </w:r>
            <w:r>
              <w:rPr>
                <w:color w:val="231F20"/>
                <w:spacing w:val="-5"/>
                <w:w w:val="105"/>
                <w:sz w:val="14"/>
              </w:rPr>
              <w:t xml:space="preserve"> </w:t>
            </w:r>
            <w:r>
              <w:rPr>
                <w:color w:val="231F20"/>
                <w:w w:val="105"/>
                <w:sz w:val="14"/>
              </w:rPr>
              <w:t>–</w:t>
            </w:r>
            <w:r>
              <w:rPr>
                <w:color w:val="231F20"/>
                <w:spacing w:val="-5"/>
                <w:w w:val="105"/>
                <w:sz w:val="14"/>
              </w:rPr>
              <w:t xml:space="preserve"> </w:t>
            </w:r>
            <w:r>
              <w:rPr>
                <w:color w:val="231F20"/>
                <w:w w:val="105"/>
                <w:sz w:val="14"/>
              </w:rPr>
              <w:t>all</w:t>
            </w:r>
            <w:r>
              <w:rPr>
                <w:color w:val="231F20"/>
                <w:spacing w:val="-5"/>
                <w:w w:val="105"/>
                <w:sz w:val="14"/>
              </w:rPr>
              <w:t xml:space="preserve"> </w:t>
            </w:r>
            <w:r>
              <w:rPr>
                <w:color w:val="231F20"/>
                <w:w w:val="105"/>
                <w:sz w:val="14"/>
              </w:rPr>
              <w:t xml:space="preserve">spatial </w:t>
            </w:r>
            <w:r>
              <w:rPr>
                <w:color w:val="231F20"/>
                <w:spacing w:val="-2"/>
                <w:w w:val="105"/>
                <w:sz w:val="14"/>
              </w:rPr>
              <w:t>scales</w:t>
            </w:r>
          </w:p>
        </w:tc>
      </w:tr>
      <w:tr w:rsidR="00AE0598" w14:paraId="5E393D8D" w14:textId="77777777">
        <w:trPr>
          <w:trHeight w:val="260"/>
        </w:trPr>
        <w:tc>
          <w:tcPr>
            <w:tcW w:w="2180" w:type="dxa"/>
            <w:tcBorders>
              <w:top w:val="single" w:sz="2" w:space="0" w:color="231F20"/>
              <w:bottom w:val="single" w:sz="2" w:space="0" w:color="231F20"/>
            </w:tcBorders>
          </w:tcPr>
          <w:p w14:paraId="32429337" w14:textId="77777777" w:rsidR="00AE0598" w:rsidRDefault="0069255A">
            <w:pPr>
              <w:pStyle w:val="TableParagraph"/>
              <w:spacing w:before="51"/>
              <w:ind w:left="-1"/>
              <w:rPr>
                <w:sz w:val="14"/>
              </w:rPr>
            </w:pPr>
            <w:r>
              <w:rPr>
                <w:color w:val="231F20"/>
                <w:sz w:val="14"/>
              </w:rPr>
              <w:t>The</w:t>
            </w:r>
            <w:r>
              <w:rPr>
                <w:color w:val="231F20"/>
                <w:spacing w:val="15"/>
                <w:sz w:val="14"/>
              </w:rPr>
              <w:t xml:space="preserve"> </w:t>
            </w:r>
            <w:r>
              <w:rPr>
                <w:color w:val="231F20"/>
                <w:sz w:val="14"/>
              </w:rPr>
              <w:t>sports</w:t>
            </w:r>
            <w:r>
              <w:rPr>
                <w:color w:val="231F20"/>
                <w:spacing w:val="15"/>
                <w:sz w:val="14"/>
              </w:rPr>
              <w:t xml:space="preserve"> </w:t>
            </w:r>
            <w:r>
              <w:rPr>
                <w:color w:val="231F20"/>
                <w:spacing w:val="-2"/>
                <w:sz w:val="14"/>
              </w:rPr>
              <w:t>market</w:t>
            </w:r>
          </w:p>
        </w:tc>
        <w:tc>
          <w:tcPr>
            <w:tcW w:w="2151" w:type="dxa"/>
            <w:tcBorders>
              <w:top w:val="single" w:sz="2" w:space="0" w:color="231F20"/>
              <w:bottom w:val="single" w:sz="2" w:space="0" w:color="231F20"/>
            </w:tcBorders>
          </w:tcPr>
          <w:p w14:paraId="3F167AD9" w14:textId="77777777" w:rsidR="00AE0598" w:rsidRDefault="0069255A">
            <w:pPr>
              <w:pStyle w:val="TableParagraph"/>
              <w:spacing w:before="51"/>
              <w:ind w:left="78"/>
              <w:rPr>
                <w:sz w:val="14"/>
              </w:rPr>
            </w:pPr>
            <w:r>
              <w:rPr>
                <w:color w:val="231F20"/>
                <w:sz w:val="14"/>
              </w:rPr>
              <w:t>Undifferentiated</w:t>
            </w:r>
            <w:r>
              <w:rPr>
                <w:color w:val="231F20"/>
                <w:spacing w:val="45"/>
                <w:sz w:val="14"/>
              </w:rPr>
              <w:t xml:space="preserve"> </w:t>
            </w:r>
            <w:r>
              <w:rPr>
                <w:color w:val="231F20"/>
                <w:sz w:val="14"/>
              </w:rPr>
              <w:t>mass</w:t>
            </w:r>
            <w:r>
              <w:rPr>
                <w:color w:val="231F20"/>
                <w:spacing w:val="43"/>
                <w:sz w:val="14"/>
              </w:rPr>
              <w:t xml:space="preserve"> </w:t>
            </w:r>
            <w:r>
              <w:rPr>
                <w:color w:val="231F20"/>
                <w:spacing w:val="-2"/>
                <w:sz w:val="14"/>
              </w:rPr>
              <w:t>market</w:t>
            </w:r>
          </w:p>
        </w:tc>
        <w:tc>
          <w:tcPr>
            <w:tcW w:w="2133" w:type="dxa"/>
            <w:tcBorders>
              <w:top w:val="single" w:sz="2" w:space="0" w:color="231F20"/>
              <w:bottom w:val="single" w:sz="2" w:space="0" w:color="231F20"/>
            </w:tcBorders>
          </w:tcPr>
          <w:p w14:paraId="5C73B6D0" w14:textId="77777777" w:rsidR="00AE0598" w:rsidRDefault="0069255A">
            <w:pPr>
              <w:pStyle w:val="TableParagraph"/>
              <w:spacing w:before="51"/>
              <w:ind w:left="56"/>
              <w:rPr>
                <w:sz w:val="14"/>
              </w:rPr>
            </w:pPr>
            <w:r>
              <w:rPr>
                <w:color w:val="231F20"/>
                <w:w w:val="105"/>
                <w:sz w:val="14"/>
              </w:rPr>
              <w:t>Fragmented</w:t>
            </w:r>
            <w:r>
              <w:rPr>
                <w:color w:val="231F20"/>
                <w:spacing w:val="2"/>
                <w:w w:val="105"/>
                <w:sz w:val="14"/>
              </w:rPr>
              <w:t xml:space="preserve"> </w:t>
            </w:r>
            <w:r>
              <w:rPr>
                <w:color w:val="231F20"/>
                <w:w w:val="105"/>
                <w:sz w:val="14"/>
              </w:rPr>
              <w:t>and</w:t>
            </w:r>
            <w:r>
              <w:rPr>
                <w:color w:val="231F20"/>
                <w:spacing w:val="2"/>
                <w:w w:val="105"/>
                <w:sz w:val="14"/>
              </w:rPr>
              <w:t xml:space="preserve"> </w:t>
            </w:r>
            <w:r>
              <w:rPr>
                <w:color w:val="231F20"/>
                <w:w w:val="105"/>
                <w:sz w:val="14"/>
              </w:rPr>
              <w:t>niche</w:t>
            </w:r>
            <w:r>
              <w:rPr>
                <w:color w:val="231F20"/>
                <w:spacing w:val="3"/>
                <w:w w:val="105"/>
                <w:sz w:val="14"/>
              </w:rPr>
              <w:t xml:space="preserve"> </w:t>
            </w:r>
            <w:r>
              <w:rPr>
                <w:color w:val="231F20"/>
                <w:spacing w:val="-2"/>
                <w:w w:val="105"/>
                <w:sz w:val="14"/>
              </w:rPr>
              <w:t>markets</w:t>
            </w:r>
          </w:p>
        </w:tc>
      </w:tr>
      <w:tr w:rsidR="00AE0598" w14:paraId="5BDE4291" w14:textId="77777777">
        <w:trPr>
          <w:trHeight w:val="420"/>
        </w:trPr>
        <w:tc>
          <w:tcPr>
            <w:tcW w:w="2180" w:type="dxa"/>
            <w:tcBorders>
              <w:top w:val="single" w:sz="2" w:space="0" w:color="231F20"/>
              <w:bottom w:val="single" w:sz="2" w:space="0" w:color="231F20"/>
            </w:tcBorders>
          </w:tcPr>
          <w:p w14:paraId="54FB2AF4" w14:textId="77777777" w:rsidR="00AE0598" w:rsidRDefault="0069255A">
            <w:pPr>
              <w:pStyle w:val="TableParagraph"/>
              <w:spacing w:before="51"/>
              <w:ind w:left="-1"/>
              <w:rPr>
                <w:sz w:val="14"/>
              </w:rPr>
            </w:pPr>
            <w:r>
              <w:rPr>
                <w:color w:val="231F20"/>
                <w:w w:val="105"/>
                <w:sz w:val="14"/>
              </w:rPr>
              <w:t>Coaching</w:t>
            </w:r>
            <w:r>
              <w:rPr>
                <w:color w:val="231F20"/>
                <w:spacing w:val="10"/>
                <w:w w:val="105"/>
                <w:sz w:val="14"/>
              </w:rPr>
              <w:t xml:space="preserve"> </w:t>
            </w:r>
            <w:r>
              <w:rPr>
                <w:color w:val="231F20"/>
                <w:w w:val="105"/>
                <w:sz w:val="14"/>
              </w:rPr>
              <w:t>and</w:t>
            </w:r>
            <w:r>
              <w:rPr>
                <w:color w:val="231F20"/>
                <w:spacing w:val="10"/>
                <w:w w:val="105"/>
                <w:sz w:val="14"/>
              </w:rPr>
              <w:t xml:space="preserve"> </w:t>
            </w:r>
            <w:r>
              <w:rPr>
                <w:color w:val="231F20"/>
                <w:spacing w:val="-2"/>
                <w:w w:val="105"/>
                <w:sz w:val="14"/>
              </w:rPr>
              <w:t>training</w:t>
            </w:r>
          </w:p>
        </w:tc>
        <w:tc>
          <w:tcPr>
            <w:tcW w:w="2151" w:type="dxa"/>
            <w:tcBorders>
              <w:top w:val="single" w:sz="2" w:space="0" w:color="231F20"/>
              <w:bottom w:val="single" w:sz="2" w:space="0" w:color="231F20"/>
            </w:tcBorders>
          </w:tcPr>
          <w:p w14:paraId="42ABBF96" w14:textId="77777777" w:rsidR="00AE0598" w:rsidRDefault="0069255A">
            <w:pPr>
              <w:pStyle w:val="TableParagraph"/>
              <w:spacing w:before="51"/>
              <w:ind w:left="79"/>
              <w:rPr>
                <w:sz w:val="14"/>
              </w:rPr>
            </w:pPr>
            <w:r>
              <w:rPr>
                <w:color w:val="231F20"/>
                <w:sz w:val="14"/>
              </w:rPr>
              <w:t>Rigid,</w:t>
            </w:r>
            <w:r>
              <w:rPr>
                <w:color w:val="231F20"/>
                <w:spacing w:val="15"/>
                <w:sz w:val="14"/>
              </w:rPr>
              <w:t xml:space="preserve"> </w:t>
            </w:r>
            <w:r>
              <w:rPr>
                <w:color w:val="231F20"/>
                <w:sz w:val="14"/>
              </w:rPr>
              <w:t>repetitive</w:t>
            </w:r>
            <w:r>
              <w:rPr>
                <w:color w:val="231F20"/>
                <w:spacing w:val="16"/>
                <w:sz w:val="14"/>
              </w:rPr>
              <w:t xml:space="preserve"> </w:t>
            </w:r>
            <w:r>
              <w:rPr>
                <w:color w:val="231F20"/>
                <w:spacing w:val="-2"/>
                <w:sz w:val="14"/>
              </w:rPr>
              <w:t>practices</w:t>
            </w:r>
          </w:p>
        </w:tc>
        <w:tc>
          <w:tcPr>
            <w:tcW w:w="2133" w:type="dxa"/>
            <w:tcBorders>
              <w:top w:val="single" w:sz="2" w:space="0" w:color="231F20"/>
              <w:bottom w:val="single" w:sz="2" w:space="0" w:color="231F20"/>
            </w:tcBorders>
          </w:tcPr>
          <w:p w14:paraId="51E1BB60" w14:textId="77777777" w:rsidR="00AE0598" w:rsidRDefault="0069255A">
            <w:pPr>
              <w:pStyle w:val="TableParagraph"/>
              <w:spacing w:before="53" w:line="235" w:lineRule="auto"/>
              <w:ind w:left="56"/>
              <w:rPr>
                <w:sz w:val="14"/>
              </w:rPr>
            </w:pPr>
            <w:r>
              <w:rPr>
                <w:color w:val="231F20"/>
                <w:w w:val="105"/>
                <w:sz w:val="14"/>
              </w:rPr>
              <w:t>Blend</w:t>
            </w:r>
            <w:r>
              <w:rPr>
                <w:color w:val="231F20"/>
                <w:spacing w:val="-8"/>
                <w:w w:val="105"/>
                <w:sz w:val="14"/>
              </w:rPr>
              <w:t xml:space="preserve"> </w:t>
            </w:r>
            <w:r>
              <w:rPr>
                <w:color w:val="231F20"/>
                <w:w w:val="105"/>
                <w:sz w:val="14"/>
              </w:rPr>
              <w:t>of</w:t>
            </w:r>
            <w:r>
              <w:rPr>
                <w:color w:val="231F20"/>
                <w:spacing w:val="-8"/>
                <w:w w:val="105"/>
                <w:sz w:val="14"/>
              </w:rPr>
              <w:t xml:space="preserve"> </w:t>
            </w:r>
            <w:r>
              <w:rPr>
                <w:color w:val="231F20"/>
                <w:w w:val="105"/>
                <w:sz w:val="14"/>
              </w:rPr>
              <w:t>science</w:t>
            </w:r>
            <w:r>
              <w:rPr>
                <w:color w:val="231F20"/>
                <w:spacing w:val="-8"/>
                <w:w w:val="105"/>
                <w:sz w:val="14"/>
              </w:rPr>
              <w:t xml:space="preserve"> </w:t>
            </w:r>
            <w:r>
              <w:rPr>
                <w:color w:val="231F20"/>
                <w:w w:val="105"/>
                <w:sz w:val="14"/>
              </w:rPr>
              <w:t>and</w:t>
            </w:r>
            <w:r>
              <w:rPr>
                <w:color w:val="231F20"/>
                <w:spacing w:val="-8"/>
                <w:w w:val="105"/>
                <w:sz w:val="14"/>
              </w:rPr>
              <w:t xml:space="preserve"> </w:t>
            </w:r>
            <w:r>
              <w:rPr>
                <w:color w:val="231F20"/>
                <w:w w:val="105"/>
                <w:sz w:val="14"/>
              </w:rPr>
              <w:t>natural- istic practices – variety</w:t>
            </w:r>
          </w:p>
        </w:tc>
      </w:tr>
    </w:tbl>
    <w:p w14:paraId="78AC95B4" w14:textId="77777777" w:rsidR="00AE0598" w:rsidRDefault="0069255A">
      <w:pPr>
        <w:spacing w:before="69"/>
        <w:ind w:left="110"/>
        <w:jc w:val="both"/>
        <w:rPr>
          <w:rFonts w:ascii="Trebuchet MS"/>
          <w:sz w:val="14"/>
        </w:rPr>
      </w:pPr>
      <w:r>
        <w:rPr>
          <w:rFonts w:ascii="Trebuchet MS"/>
          <w:color w:val="231F20"/>
          <w:sz w:val="14"/>
        </w:rPr>
        <w:t>Source:</w:t>
      </w:r>
      <w:r>
        <w:rPr>
          <w:rFonts w:ascii="Trebuchet MS"/>
          <w:color w:val="231F20"/>
          <w:spacing w:val="22"/>
          <w:sz w:val="14"/>
        </w:rPr>
        <w:t xml:space="preserve"> </w:t>
      </w:r>
      <w:r>
        <w:rPr>
          <w:rFonts w:ascii="Trebuchet MS"/>
          <w:color w:val="231F20"/>
          <w:sz w:val="14"/>
        </w:rPr>
        <w:t>Adapted</w:t>
      </w:r>
      <w:r>
        <w:rPr>
          <w:rFonts w:ascii="Trebuchet MS"/>
          <w:color w:val="231F20"/>
          <w:spacing w:val="23"/>
          <w:sz w:val="14"/>
        </w:rPr>
        <w:t xml:space="preserve"> </w:t>
      </w:r>
      <w:r>
        <w:rPr>
          <w:rFonts w:ascii="Trebuchet MS"/>
          <w:color w:val="231F20"/>
          <w:sz w:val="14"/>
        </w:rPr>
        <w:t>from</w:t>
      </w:r>
      <w:r>
        <w:rPr>
          <w:rFonts w:ascii="Trebuchet MS"/>
          <w:color w:val="231F20"/>
          <w:spacing w:val="23"/>
          <w:sz w:val="14"/>
        </w:rPr>
        <w:t xml:space="preserve"> </w:t>
      </w:r>
      <w:r>
        <w:rPr>
          <w:rFonts w:ascii="Trebuchet MS"/>
          <w:color w:val="231F20"/>
          <w:sz w:val="14"/>
        </w:rPr>
        <w:t>Stewart</w:t>
      </w:r>
      <w:r>
        <w:rPr>
          <w:rFonts w:ascii="Trebuchet MS"/>
          <w:color w:val="231F20"/>
          <w:spacing w:val="23"/>
          <w:sz w:val="14"/>
        </w:rPr>
        <w:t xml:space="preserve"> </w:t>
      </w:r>
      <w:r>
        <w:rPr>
          <w:rFonts w:ascii="Trebuchet MS"/>
          <w:color w:val="231F20"/>
          <w:sz w:val="14"/>
        </w:rPr>
        <w:t>and</w:t>
      </w:r>
      <w:r>
        <w:rPr>
          <w:rFonts w:ascii="Trebuchet MS"/>
          <w:color w:val="231F20"/>
          <w:spacing w:val="23"/>
          <w:sz w:val="14"/>
        </w:rPr>
        <w:t xml:space="preserve"> </w:t>
      </w:r>
      <w:r>
        <w:rPr>
          <w:rFonts w:ascii="Trebuchet MS"/>
          <w:color w:val="231F20"/>
          <w:sz w:val="14"/>
        </w:rPr>
        <w:t>Smith</w:t>
      </w:r>
      <w:r>
        <w:rPr>
          <w:rFonts w:ascii="Trebuchet MS"/>
          <w:color w:val="231F20"/>
          <w:spacing w:val="23"/>
          <w:sz w:val="14"/>
        </w:rPr>
        <w:t xml:space="preserve"> </w:t>
      </w:r>
      <w:r>
        <w:rPr>
          <w:rFonts w:ascii="Trebuchet MS"/>
          <w:color w:val="231F20"/>
          <w:spacing w:val="-2"/>
          <w:sz w:val="14"/>
        </w:rPr>
        <w:t>(2000).</w:t>
      </w:r>
    </w:p>
    <w:p w14:paraId="0FF82337" w14:textId="77777777" w:rsidR="00AE0598" w:rsidRDefault="00AE0598">
      <w:pPr>
        <w:jc w:val="both"/>
        <w:rPr>
          <w:rFonts w:ascii="Trebuchet MS"/>
          <w:sz w:val="14"/>
        </w:rPr>
        <w:sectPr w:rsidR="00AE0598">
          <w:pgSz w:w="8850" w:h="13270"/>
          <w:pgMar w:top="720" w:right="1060" w:bottom="280" w:left="1080" w:header="720" w:footer="720" w:gutter="0"/>
          <w:cols w:space="720"/>
        </w:sectPr>
      </w:pPr>
    </w:p>
    <w:p w14:paraId="3D6B9C2B" w14:textId="77777777" w:rsidR="00AE0598" w:rsidRDefault="0069255A">
      <w:pPr>
        <w:spacing w:before="87"/>
        <w:ind w:left="108"/>
        <w:rPr>
          <w:rFonts w:ascii="Trebuchet MS"/>
          <w:sz w:val="14"/>
        </w:rPr>
      </w:pPr>
      <w:r>
        <w:rPr>
          <w:rFonts w:ascii="Trebuchet MS"/>
          <w:color w:val="231F20"/>
          <w:w w:val="105"/>
          <w:sz w:val="14"/>
        </w:rPr>
        <w:lastRenderedPageBreak/>
        <w:t>220</w:t>
      </w:r>
      <w:r>
        <w:rPr>
          <w:rFonts w:ascii="Trebuchet MS"/>
          <w:color w:val="231F20"/>
          <w:spacing w:val="66"/>
          <w:w w:val="150"/>
          <w:sz w:val="14"/>
        </w:rPr>
        <w:t xml:space="preserve"> </w:t>
      </w:r>
      <w:r>
        <w:rPr>
          <w:rFonts w:ascii="Trebuchet MS"/>
          <w:color w:val="231F20"/>
          <w:w w:val="105"/>
          <w:sz w:val="14"/>
        </w:rPr>
        <w:t>Part</w:t>
      </w:r>
      <w:r>
        <w:rPr>
          <w:rFonts w:ascii="Trebuchet MS"/>
          <w:color w:val="231F20"/>
          <w:spacing w:val="-9"/>
          <w:w w:val="105"/>
          <w:sz w:val="14"/>
        </w:rPr>
        <w:t xml:space="preserve"> </w:t>
      </w:r>
      <w:r>
        <w:rPr>
          <w:rFonts w:ascii="Trebuchet MS"/>
          <w:color w:val="231F20"/>
          <w:w w:val="105"/>
          <w:sz w:val="14"/>
        </w:rPr>
        <w:t>4:</w:t>
      </w:r>
      <w:r>
        <w:rPr>
          <w:rFonts w:ascii="Trebuchet MS"/>
          <w:color w:val="231F20"/>
          <w:spacing w:val="-8"/>
          <w:w w:val="105"/>
          <w:sz w:val="14"/>
        </w:rPr>
        <w:t xml:space="preserve"> </w:t>
      </w:r>
      <w:r>
        <w:rPr>
          <w:rFonts w:ascii="Trebuchet MS"/>
          <w:color w:val="231F20"/>
          <w:w w:val="105"/>
          <w:sz w:val="14"/>
        </w:rPr>
        <w:t>Sport</w:t>
      </w:r>
      <w:r>
        <w:rPr>
          <w:rFonts w:ascii="Trebuchet MS"/>
          <w:color w:val="231F20"/>
          <w:spacing w:val="-9"/>
          <w:w w:val="105"/>
          <w:sz w:val="14"/>
        </w:rPr>
        <w:t xml:space="preserve"> </w:t>
      </w:r>
      <w:r>
        <w:rPr>
          <w:rFonts w:ascii="Trebuchet MS"/>
          <w:color w:val="231F20"/>
          <w:w w:val="105"/>
          <w:sz w:val="14"/>
        </w:rPr>
        <w:t>Tourism</w:t>
      </w:r>
      <w:r>
        <w:rPr>
          <w:rFonts w:ascii="Trebuchet MS"/>
          <w:color w:val="231F20"/>
          <w:spacing w:val="-9"/>
          <w:w w:val="105"/>
          <w:sz w:val="14"/>
        </w:rPr>
        <w:t xml:space="preserve"> </w:t>
      </w:r>
      <w:r>
        <w:rPr>
          <w:rFonts w:ascii="Trebuchet MS"/>
          <w:color w:val="231F20"/>
          <w:w w:val="105"/>
          <w:sz w:val="14"/>
        </w:rPr>
        <w:t>Development</w:t>
      </w:r>
      <w:r>
        <w:rPr>
          <w:rFonts w:ascii="Trebuchet MS"/>
          <w:color w:val="231F20"/>
          <w:spacing w:val="-9"/>
          <w:w w:val="105"/>
          <w:sz w:val="14"/>
        </w:rPr>
        <w:t xml:space="preserve"> </w:t>
      </w:r>
      <w:r>
        <w:rPr>
          <w:rFonts w:ascii="Trebuchet MS"/>
          <w:color w:val="231F20"/>
          <w:w w:val="105"/>
          <w:sz w:val="14"/>
        </w:rPr>
        <w:t>and</w:t>
      </w:r>
      <w:r>
        <w:rPr>
          <w:rFonts w:ascii="Trebuchet MS"/>
          <w:color w:val="231F20"/>
          <w:spacing w:val="-8"/>
          <w:w w:val="105"/>
          <w:sz w:val="14"/>
        </w:rPr>
        <w:t xml:space="preserve"> </w:t>
      </w:r>
      <w:r>
        <w:rPr>
          <w:rFonts w:ascii="Trebuchet MS"/>
          <w:color w:val="231F20"/>
          <w:spacing w:val="-4"/>
          <w:w w:val="105"/>
          <w:sz w:val="14"/>
        </w:rPr>
        <w:t>Time</w:t>
      </w:r>
    </w:p>
    <w:p w14:paraId="6452F762" w14:textId="77777777" w:rsidR="00AE0598" w:rsidRDefault="00AE0598">
      <w:pPr>
        <w:pStyle w:val="Corpodetexto"/>
        <w:rPr>
          <w:rFonts w:ascii="Trebuchet MS"/>
          <w:sz w:val="16"/>
        </w:rPr>
      </w:pPr>
    </w:p>
    <w:p w14:paraId="5DE95BAB" w14:textId="77777777" w:rsidR="00AE0598" w:rsidRDefault="0069255A">
      <w:pPr>
        <w:spacing w:before="120"/>
        <w:ind w:left="110"/>
        <w:rPr>
          <w:rFonts w:ascii="Trebuchet MS"/>
          <w:sz w:val="20"/>
        </w:rPr>
      </w:pPr>
      <w:r>
        <w:rPr>
          <w:rFonts w:ascii="Trebuchet MS"/>
          <w:color w:val="231F20"/>
          <w:spacing w:val="-13"/>
          <w:w w:val="92"/>
          <w:sz w:val="20"/>
        </w:rPr>
        <w:t>T</w:t>
      </w:r>
      <w:r>
        <w:rPr>
          <w:rFonts w:ascii="Trebuchet MS"/>
          <w:color w:val="231F20"/>
          <w:spacing w:val="2"/>
          <w:w w:val="98"/>
          <w:sz w:val="20"/>
        </w:rPr>
        <w:t>e</w:t>
      </w:r>
      <w:r>
        <w:rPr>
          <w:rFonts w:ascii="Trebuchet MS"/>
          <w:color w:val="231F20"/>
          <w:w w:val="104"/>
          <w:sz w:val="20"/>
        </w:rPr>
        <w:t>chnol</w:t>
      </w:r>
      <w:r>
        <w:rPr>
          <w:rFonts w:ascii="Trebuchet MS"/>
          <w:color w:val="231F20"/>
          <w:spacing w:val="2"/>
          <w:w w:val="104"/>
          <w:sz w:val="20"/>
        </w:rPr>
        <w:t>o</w:t>
      </w:r>
      <w:r>
        <w:rPr>
          <w:rFonts w:ascii="Trebuchet MS"/>
          <w:color w:val="231F20"/>
          <w:sz w:val="20"/>
        </w:rPr>
        <w:t>gi</w:t>
      </w:r>
      <w:r>
        <w:rPr>
          <w:rFonts w:ascii="Trebuchet MS"/>
          <w:color w:val="231F20"/>
          <w:spacing w:val="2"/>
          <w:sz w:val="20"/>
        </w:rPr>
        <w:t>c</w:t>
      </w:r>
      <w:r>
        <w:rPr>
          <w:rFonts w:ascii="Trebuchet MS"/>
          <w:color w:val="231F20"/>
          <w:spacing w:val="-1"/>
          <w:w w:val="102"/>
          <w:sz w:val="20"/>
        </w:rPr>
        <w:t>a</w:t>
      </w:r>
      <w:r>
        <w:rPr>
          <w:rFonts w:ascii="Trebuchet MS"/>
          <w:color w:val="231F20"/>
          <w:spacing w:val="4"/>
          <w:w w:val="91"/>
          <w:sz w:val="20"/>
        </w:rPr>
        <w:t>l</w:t>
      </w:r>
      <w:r>
        <w:rPr>
          <w:rFonts w:ascii="Trebuchet MS"/>
          <w:color w:val="231F20"/>
          <w:spacing w:val="-3"/>
          <w:w w:val="50"/>
          <w:sz w:val="20"/>
        </w:rPr>
        <w:t>/</w:t>
      </w:r>
      <w:r>
        <w:rPr>
          <w:rFonts w:ascii="Trebuchet MS"/>
          <w:color w:val="231F20"/>
          <w:spacing w:val="-2"/>
          <w:w w:val="86"/>
          <w:sz w:val="20"/>
        </w:rPr>
        <w:t>c</w:t>
      </w:r>
      <w:r>
        <w:rPr>
          <w:rFonts w:ascii="Trebuchet MS"/>
          <w:color w:val="231F20"/>
          <w:spacing w:val="1"/>
          <w:w w:val="110"/>
          <w:sz w:val="20"/>
        </w:rPr>
        <w:t>o</w:t>
      </w:r>
      <w:r>
        <w:rPr>
          <w:rFonts w:ascii="Trebuchet MS"/>
          <w:color w:val="231F20"/>
          <w:w w:val="102"/>
          <w:sz w:val="20"/>
        </w:rPr>
        <w:t>mmuni</w:t>
      </w:r>
      <w:r>
        <w:rPr>
          <w:rFonts w:ascii="Trebuchet MS"/>
          <w:color w:val="231F20"/>
          <w:spacing w:val="2"/>
          <w:w w:val="102"/>
          <w:sz w:val="20"/>
        </w:rPr>
        <w:t>c</w:t>
      </w:r>
      <w:r>
        <w:rPr>
          <w:rFonts w:ascii="Trebuchet MS"/>
          <w:color w:val="231F20"/>
          <w:w w:val="99"/>
          <w:sz w:val="20"/>
        </w:rPr>
        <w:t>a</w:t>
      </w:r>
      <w:r>
        <w:rPr>
          <w:rFonts w:ascii="Trebuchet MS"/>
          <w:color w:val="231F20"/>
          <w:spacing w:val="-2"/>
          <w:w w:val="99"/>
          <w:sz w:val="20"/>
        </w:rPr>
        <w:t>t</w:t>
      </w:r>
      <w:r>
        <w:rPr>
          <w:rFonts w:ascii="Trebuchet MS"/>
          <w:color w:val="231F20"/>
          <w:w w:val="105"/>
          <w:sz w:val="20"/>
        </w:rPr>
        <w:t>i</w:t>
      </w:r>
      <w:r>
        <w:rPr>
          <w:rFonts w:ascii="Trebuchet MS"/>
          <w:color w:val="231F20"/>
          <w:spacing w:val="1"/>
          <w:w w:val="105"/>
          <w:sz w:val="20"/>
        </w:rPr>
        <w:t>o</w:t>
      </w:r>
      <w:r>
        <w:rPr>
          <w:rFonts w:ascii="Trebuchet MS"/>
          <w:color w:val="231F20"/>
          <w:w w:val="108"/>
          <w:sz w:val="20"/>
        </w:rPr>
        <w:t>n</w:t>
      </w:r>
      <w:r>
        <w:rPr>
          <w:rFonts w:ascii="Trebuchet MS"/>
          <w:color w:val="231F20"/>
          <w:spacing w:val="76"/>
          <w:sz w:val="20"/>
        </w:rPr>
        <w:t xml:space="preserve"> </w:t>
      </w:r>
      <w:r>
        <w:rPr>
          <w:rFonts w:ascii="Trebuchet MS"/>
          <w:color w:val="231F20"/>
          <w:spacing w:val="-2"/>
          <w:sz w:val="20"/>
        </w:rPr>
        <w:t>trends</w:t>
      </w:r>
    </w:p>
    <w:p w14:paraId="5C6E8CA1" w14:textId="77777777" w:rsidR="00AE0598" w:rsidRDefault="0069255A">
      <w:pPr>
        <w:pStyle w:val="Corpodetexto"/>
        <w:spacing w:before="122" w:line="232" w:lineRule="auto"/>
        <w:ind w:left="110" w:right="127" w:firstLine="320"/>
        <w:jc w:val="both"/>
      </w:pPr>
      <w:r>
        <w:rPr>
          <w:color w:val="231F20"/>
          <w:spacing w:val="-2"/>
          <w:w w:val="95"/>
        </w:rPr>
        <w:t xml:space="preserve">Technological innovations have irrevocably changed the face of sport and </w:t>
      </w:r>
      <w:r>
        <w:rPr>
          <w:color w:val="231F20"/>
          <w:w w:val="95"/>
        </w:rPr>
        <w:t xml:space="preserve">tourism. They have improved sporting performances and enriched tourism </w:t>
      </w:r>
      <w:r>
        <w:rPr>
          <w:color w:val="231F20"/>
        </w:rPr>
        <w:t xml:space="preserve">experiences. Moreover, technology has further blurred the line between </w:t>
      </w:r>
      <w:r>
        <w:rPr>
          <w:color w:val="231F20"/>
          <w:spacing w:val="-2"/>
        </w:rPr>
        <w:t>sport</w:t>
      </w:r>
      <w:r>
        <w:rPr>
          <w:color w:val="231F20"/>
          <w:spacing w:val="-5"/>
        </w:rPr>
        <w:t xml:space="preserve"> </w:t>
      </w:r>
      <w:r>
        <w:rPr>
          <w:color w:val="231F20"/>
          <w:spacing w:val="-2"/>
        </w:rPr>
        <w:t>and</w:t>
      </w:r>
      <w:r>
        <w:rPr>
          <w:color w:val="231F20"/>
          <w:spacing w:val="-5"/>
        </w:rPr>
        <w:t xml:space="preserve"> </w:t>
      </w:r>
      <w:r>
        <w:rPr>
          <w:color w:val="231F20"/>
          <w:spacing w:val="-2"/>
        </w:rPr>
        <w:t>tourism.</w:t>
      </w:r>
      <w:r>
        <w:rPr>
          <w:color w:val="231F20"/>
          <w:spacing w:val="-5"/>
        </w:rPr>
        <w:t xml:space="preserve"> </w:t>
      </w:r>
      <w:r>
        <w:rPr>
          <w:color w:val="231F20"/>
          <w:spacing w:val="-2"/>
        </w:rPr>
        <w:t>For</w:t>
      </w:r>
      <w:r>
        <w:rPr>
          <w:color w:val="231F20"/>
          <w:spacing w:val="-5"/>
        </w:rPr>
        <w:t xml:space="preserve"> </w:t>
      </w:r>
      <w:r>
        <w:rPr>
          <w:color w:val="231F20"/>
          <w:spacing w:val="-2"/>
        </w:rPr>
        <w:t>example,</w:t>
      </w:r>
      <w:r>
        <w:rPr>
          <w:color w:val="231F20"/>
          <w:spacing w:val="-5"/>
        </w:rPr>
        <w:t xml:space="preserve"> </w:t>
      </w:r>
      <w:r>
        <w:rPr>
          <w:color w:val="231F20"/>
          <w:spacing w:val="-2"/>
        </w:rPr>
        <w:t>advances</w:t>
      </w:r>
      <w:r>
        <w:rPr>
          <w:color w:val="231F20"/>
          <w:spacing w:val="-5"/>
        </w:rPr>
        <w:t xml:space="preserve"> </w:t>
      </w:r>
      <w:r>
        <w:rPr>
          <w:color w:val="231F20"/>
          <w:spacing w:val="-2"/>
        </w:rPr>
        <w:t>in</w:t>
      </w:r>
      <w:r>
        <w:rPr>
          <w:color w:val="231F20"/>
          <w:spacing w:val="-5"/>
        </w:rPr>
        <w:t xml:space="preserve"> </w:t>
      </w:r>
      <w:r>
        <w:rPr>
          <w:color w:val="231F20"/>
          <w:spacing w:val="-2"/>
        </w:rPr>
        <w:t>social</w:t>
      </w:r>
      <w:r>
        <w:rPr>
          <w:color w:val="231F20"/>
          <w:spacing w:val="-5"/>
        </w:rPr>
        <w:t xml:space="preserve"> </w:t>
      </w:r>
      <w:r>
        <w:rPr>
          <w:color w:val="231F20"/>
          <w:spacing w:val="-2"/>
        </w:rPr>
        <w:t>media</w:t>
      </w:r>
      <w:r>
        <w:rPr>
          <w:color w:val="231F20"/>
          <w:spacing w:val="-5"/>
        </w:rPr>
        <w:t xml:space="preserve"> </w:t>
      </w:r>
      <w:r>
        <w:rPr>
          <w:color w:val="231F20"/>
          <w:spacing w:val="-2"/>
        </w:rPr>
        <w:t>have</w:t>
      </w:r>
      <w:r>
        <w:rPr>
          <w:color w:val="231F20"/>
          <w:spacing w:val="-5"/>
        </w:rPr>
        <w:t xml:space="preserve"> </w:t>
      </w:r>
      <w:r>
        <w:rPr>
          <w:color w:val="231F20"/>
          <w:spacing w:val="-2"/>
        </w:rPr>
        <w:t>resulted</w:t>
      </w:r>
      <w:r>
        <w:rPr>
          <w:color w:val="231F20"/>
          <w:spacing w:val="-5"/>
        </w:rPr>
        <w:t xml:space="preserve"> </w:t>
      </w:r>
      <w:r>
        <w:rPr>
          <w:color w:val="231F20"/>
          <w:spacing w:val="-2"/>
        </w:rPr>
        <w:t xml:space="preserve">in </w:t>
      </w:r>
      <w:r>
        <w:rPr>
          <w:color w:val="231F20"/>
          <w:w w:val="95"/>
        </w:rPr>
        <w:t>the</w:t>
      </w:r>
      <w:r>
        <w:rPr>
          <w:color w:val="231F20"/>
          <w:spacing w:val="-3"/>
          <w:w w:val="95"/>
        </w:rPr>
        <w:t xml:space="preserve"> </w:t>
      </w:r>
      <w:r>
        <w:rPr>
          <w:color w:val="231F20"/>
          <w:w w:val="95"/>
        </w:rPr>
        <w:t>evolution</w:t>
      </w:r>
      <w:r>
        <w:rPr>
          <w:color w:val="231F20"/>
          <w:spacing w:val="-3"/>
          <w:w w:val="95"/>
        </w:rPr>
        <w:t xml:space="preserve"> </w:t>
      </w:r>
      <w:r>
        <w:rPr>
          <w:color w:val="231F20"/>
          <w:w w:val="95"/>
        </w:rPr>
        <w:t>of</w:t>
      </w:r>
      <w:r>
        <w:rPr>
          <w:color w:val="231F20"/>
          <w:spacing w:val="-2"/>
          <w:w w:val="95"/>
        </w:rPr>
        <w:t xml:space="preserve"> </w:t>
      </w:r>
      <w:r>
        <w:rPr>
          <w:color w:val="231F20"/>
          <w:w w:val="95"/>
        </w:rPr>
        <w:t>sport-related</w:t>
      </w:r>
      <w:r>
        <w:rPr>
          <w:color w:val="231F20"/>
          <w:spacing w:val="-3"/>
          <w:w w:val="95"/>
        </w:rPr>
        <w:t xml:space="preserve"> </w:t>
      </w:r>
      <w:r>
        <w:rPr>
          <w:color w:val="231F20"/>
          <w:w w:val="95"/>
        </w:rPr>
        <w:t>web</w:t>
      </w:r>
      <w:r>
        <w:rPr>
          <w:color w:val="231F20"/>
          <w:spacing w:val="-3"/>
          <w:w w:val="95"/>
        </w:rPr>
        <w:t xml:space="preserve"> </w:t>
      </w:r>
      <w:r>
        <w:rPr>
          <w:color w:val="231F20"/>
          <w:w w:val="95"/>
        </w:rPr>
        <w:t>sites</w:t>
      </w:r>
      <w:r>
        <w:rPr>
          <w:color w:val="231F20"/>
          <w:spacing w:val="-3"/>
          <w:w w:val="95"/>
        </w:rPr>
        <w:t xml:space="preserve"> </w:t>
      </w:r>
      <w:r>
        <w:rPr>
          <w:color w:val="231F20"/>
          <w:w w:val="95"/>
        </w:rPr>
        <w:t>from</w:t>
      </w:r>
      <w:r>
        <w:rPr>
          <w:color w:val="231F20"/>
          <w:spacing w:val="-2"/>
          <w:w w:val="95"/>
        </w:rPr>
        <w:t xml:space="preserve"> </w:t>
      </w:r>
      <w:r>
        <w:rPr>
          <w:color w:val="231F20"/>
          <w:w w:val="95"/>
        </w:rPr>
        <w:t>static</w:t>
      </w:r>
      <w:r>
        <w:rPr>
          <w:color w:val="231F20"/>
          <w:spacing w:val="-2"/>
          <w:w w:val="95"/>
        </w:rPr>
        <w:t xml:space="preserve"> </w:t>
      </w:r>
      <w:r>
        <w:rPr>
          <w:color w:val="231F20"/>
          <w:w w:val="95"/>
        </w:rPr>
        <w:t>information</w:t>
      </w:r>
      <w:r>
        <w:rPr>
          <w:color w:val="231F20"/>
          <w:spacing w:val="-3"/>
          <w:w w:val="95"/>
        </w:rPr>
        <w:t xml:space="preserve"> </w:t>
      </w:r>
      <w:r>
        <w:rPr>
          <w:color w:val="231F20"/>
          <w:w w:val="95"/>
        </w:rPr>
        <w:t xml:space="preserve">repositories </w:t>
      </w:r>
      <w:r>
        <w:rPr>
          <w:color w:val="231F20"/>
          <w:spacing w:val="-2"/>
          <w:w w:val="95"/>
        </w:rPr>
        <w:t>to</w:t>
      </w:r>
      <w:r>
        <w:rPr>
          <w:color w:val="231F20"/>
          <w:spacing w:val="-5"/>
          <w:w w:val="95"/>
        </w:rPr>
        <w:t xml:space="preserve"> </w:t>
      </w:r>
      <w:r>
        <w:rPr>
          <w:color w:val="231F20"/>
          <w:spacing w:val="-2"/>
          <w:w w:val="95"/>
        </w:rPr>
        <w:t>interactive</w:t>
      </w:r>
      <w:r>
        <w:rPr>
          <w:color w:val="231F20"/>
          <w:spacing w:val="-5"/>
          <w:w w:val="95"/>
        </w:rPr>
        <w:t xml:space="preserve"> </w:t>
      </w:r>
      <w:r>
        <w:rPr>
          <w:color w:val="231F20"/>
          <w:spacing w:val="-2"/>
          <w:w w:val="95"/>
        </w:rPr>
        <w:t>branded</w:t>
      </w:r>
      <w:r>
        <w:rPr>
          <w:color w:val="231F20"/>
          <w:spacing w:val="-5"/>
          <w:w w:val="95"/>
        </w:rPr>
        <w:t xml:space="preserve"> </w:t>
      </w:r>
      <w:r>
        <w:rPr>
          <w:color w:val="231F20"/>
          <w:spacing w:val="-2"/>
          <w:w w:val="95"/>
        </w:rPr>
        <w:t>sites</w:t>
      </w:r>
      <w:r>
        <w:rPr>
          <w:color w:val="231F20"/>
          <w:spacing w:val="-5"/>
          <w:w w:val="95"/>
        </w:rPr>
        <w:t xml:space="preserve"> </w:t>
      </w:r>
      <w:r>
        <w:rPr>
          <w:color w:val="231F20"/>
          <w:spacing w:val="-2"/>
          <w:w w:val="95"/>
        </w:rPr>
        <w:t>that</w:t>
      </w:r>
      <w:r>
        <w:rPr>
          <w:color w:val="231F20"/>
          <w:spacing w:val="-5"/>
          <w:w w:val="95"/>
        </w:rPr>
        <w:t xml:space="preserve"> </w:t>
      </w:r>
      <w:r>
        <w:rPr>
          <w:color w:val="231F20"/>
          <w:spacing w:val="-2"/>
          <w:w w:val="95"/>
        </w:rPr>
        <w:t>often</w:t>
      </w:r>
      <w:r>
        <w:rPr>
          <w:color w:val="231F20"/>
          <w:spacing w:val="-5"/>
          <w:w w:val="95"/>
        </w:rPr>
        <w:t xml:space="preserve"> </w:t>
      </w:r>
      <w:r>
        <w:rPr>
          <w:color w:val="231F20"/>
          <w:spacing w:val="-2"/>
          <w:w w:val="95"/>
        </w:rPr>
        <w:t>form</w:t>
      </w:r>
      <w:r>
        <w:rPr>
          <w:color w:val="231F20"/>
          <w:spacing w:val="-5"/>
          <w:w w:val="95"/>
        </w:rPr>
        <w:t xml:space="preserve"> </w:t>
      </w:r>
      <w:r>
        <w:rPr>
          <w:color w:val="231F20"/>
          <w:spacing w:val="-2"/>
          <w:w w:val="95"/>
        </w:rPr>
        <w:t>the</w:t>
      </w:r>
      <w:r>
        <w:rPr>
          <w:color w:val="231F20"/>
          <w:spacing w:val="-5"/>
          <w:w w:val="95"/>
        </w:rPr>
        <w:t xml:space="preserve"> </w:t>
      </w:r>
      <w:r>
        <w:rPr>
          <w:color w:val="231F20"/>
          <w:spacing w:val="-2"/>
          <w:w w:val="95"/>
        </w:rPr>
        <w:t>basis</w:t>
      </w:r>
      <w:r>
        <w:rPr>
          <w:color w:val="231F20"/>
          <w:spacing w:val="-5"/>
          <w:w w:val="95"/>
        </w:rPr>
        <w:t xml:space="preserve"> </w:t>
      </w:r>
      <w:r>
        <w:rPr>
          <w:color w:val="231F20"/>
          <w:spacing w:val="-2"/>
          <w:w w:val="95"/>
        </w:rPr>
        <w:t>of</w:t>
      </w:r>
      <w:r>
        <w:rPr>
          <w:color w:val="231F20"/>
          <w:spacing w:val="-5"/>
          <w:w w:val="95"/>
        </w:rPr>
        <w:t xml:space="preserve"> </w:t>
      </w:r>
      <w:r>
        <w:rPr>
          <w:color w:val="231F20"/>
          <w:spacing w:val="-2"/>
          <w:w w:val="95"/>
        </w:rPr>
        <w:t>a</w:t>
      </w:r>
      <w:r>
        <w:rPr>
          <w:color w:val="231F20"/>
          <w:spacing w:val="-5"/>
          <w:w w:val="95"/>
        </w:rPr>
        <w:t xml:space="preserve"> </w:t>
      </w:r>
      <w:r>
        <w:rPr>
          <w:color w:val="231F20"/>
          <w:spacing w:val="-2"/>
          <w:w w:val="95"/>
        </w:rPr>
        <w:t>leisure</w:t>
      </w:r>
      <w:r>
        <w:rPr>
          <w:color w:val="231F20"/>
          <w:spacing w:val="-5"/>
          <w:w w:val="95"/>
        </w:rPr>
        <w:t xml:space="preserve"> </w:t>
      </w:r>
      <w:r>
        <w:rPr>
          <w:color w:val="231F20"/>
          <w:spacing w:val="-2"/>
          <w:w w:val="95"/>
        </w:rPr>
        <w:t>experience</w:t>
      </w:r>
      <w:r>
        <w:rPr>
          <w:color w:val="231F20"/>
          <w:spacing w:val="-5"/>
          <w:w w:val="95"/>
        </w:rPr>
        <w:t xml:space="preserve"> </w:t>
      </w:r>
      <w:r>
        <w:rPr>
          <w:color w:val="231F20"/>
          <w:spacing w:val="-2"/>
          <w:w w:val="95"/>
        </w:rPr>
        <w:t xml:space="preserve">in </w:t>
      </w:r>
      <w:r>
        <w:rPr>
          <w:color w:val="231F20"/>
          <w:spacing w:val="-2"/>
        </w:rPr>
        <w:t>their</w:t>
      </w:r>
      <w:r>
        <w:rPr>
          <w:color w:val="231F20"/>
          <w:spacing w:val="-8"/>
        </w:rPr>
        <w:t xml:space="preserve"> </w:t>
      </w:r>
      <w:r>
        <w:rPr>
          <w:color w:val="231F20"/>
          <w:spacing w:val="-2"/>
        </w:rPr>
        <w:t>own</w:t>
      </w:r>
      <w:r>
        <w:rPr>
          <w:color w:val="231F20"/>
          <w:spacing w:val="-8"/>
        </w:rPr>
        <w:t xml:space="preserve"> </w:t>
      </w:r>
      <w:r>
        <w:rPr>
          <w:color w:val="231F20"/>
          <w:spacing w:val="-2"/>
        </w:rPr>
        <w:t>right</w:t>
      </w:r>
      <w:r>
        <w:rPr>
          <w:color w:val="231F20"/>
          <w:spacing w:val="-8"/>
        </w:rPr>
        <w:t xml:space="preserve"> </w:t>
      </w:r>
      <w:r>
        <w:rPr>
          <w:color w:val="231F20"/>
          <w:spacing w:val="-2"/>
        </w:rPr>
        <w:t>(Gilchrist</w:t>
      </w:r>
      <w:r>
        <w:rPr>
          <w:color w:val="231F20"/>
          <w:spacing w:val="-8"/>
        </w:rPr>
        <w:t xml:space="preserve"> </w:t>
      </w:r>
      <w:r>
        <w:rPr>
          <w:color w:val="231F20"/>
          <w:spacing w:val="-2"/>
        </w:rPr>
        <w:t>&amp;</w:t>
      </w:r>
      <w:r>
        <w:rPr>
          <w:color w:val="231F20"/>
          <w:spacing w:val="-8"/>
        </w:rPr>
        <w:t xml:space="preserve"> </w:t>
      </w:r>
      <w:r>
        <w:rPr>
          <w:color w:val="231F20"/>
          <w:spacing w:val="-2"/>
        </w:rPr>
        <w:t>Wheaton,</w:t>
      </w:r>
      <w:r>
        <w:rPr>
          <w:color w:val="231F20"/>
          <w:spacing w:val="-8"/>
        </w:rPr>
        <w:t xml:space="preserve"> </w:t>
      </w:r>
      <w:r>
        <w:rPr>
          <w:color w:val="231F20"/>
          <w:spacing w:val="-2"/>
        </w:rPr>
        <w:t>2016).</w:t>
      </w:r>
      <w:r>
        <w:rPr>
          <w:color w:val="231F20"/>
          <w:spacing w:val="-8"/>
        </w:rPr>
        <w:t xml:space="preserve"> </w:t>
      </w:r>
      <w:r>
        <w:rPr>
          <w:color w:val="231F20"/>
          <w:spacing w:val="-2"/>
        </w:rPr>
        <w:t>These</w:t>
      </w:r>
      <w:r>
        <w:rPr>
          <w:color w:val="231F20"/>
          <w:spacing w:val="-8"/>
        </w:rPr>
        <w:t xml:space="preserve"> </w:t>
      </w:r>
      <w:r>
        <w:rPr>
          <w:color w:val="231F20"/>
          <w:spacing w:val="-2"/>
        </w:rPr>
        <w:t>emerging</w:t>
      </w:r>
      <w:r>
        <w:rPr>
          <w:color w:val="231F20"/>
          <w:spacing w:val="-8"/>
        </w:rPr>
        <w:t xml:space="preserve"> </w:t>
      </w:r>
      <w:r>
        <w:rPr>
          <w:color w:val="231F20"/>
          <w:spacing w:val="-2"/>
        </w:rPr>
        <w:t xml:space="preserve">technologies </w:t>
      </w:r>
      <w:r>
        <w:rPr>
          <w:color w:val="231F20"/>
          <w:spacing w:val="-2"/>
          <w:w w:val="95"/>
        </w:rPr>
        <w:t>are</w:t>
      </w:r>
      <w:r>
        <w:rPr>
          <w:color w:val="231F20"/>
          <w:spacing w:val="-5"/>
          <w:w w:val="95"/>
        </w:rPr>
        <w:t xml:space="preserve"> </w:t>
      </w:r>
      <w:r>
        <w:rPr>
          <w:color w:val="231F20"/>
          <w:spacing w:val="-2"/>
          <w:w w:val="95"/>
        </w:rPr>
        <w:t>breaking</w:t>
      </w:r>
      <w:r>
        <w:rPr>
          <w:color w:val="231F20"/>
          <w:spacing w:val="-5"/>
          <w:w w:val="95"/>
        </w:rPr>
        <w:t xml:space="preserve"> </w:t>
      </w:r>
      <w:r>
        <w:rPr>
          <w:color w:val="231F20"/>
          <w:spacing w:val="-2"/>
          <w:w w:val="95"/>
        </w:rPr>
        <w:t>down</w:t>
      </w:r>
      <w:r>
        <w:rPr>
          <w:color w:val="231F20"/>
          <w:spacing w:val="-5"/>
          <w:w w:val="95"/>
        </w:rPr>
        <w:t xml:space="preserve"> </w:t>
      </w:r>
      <w:r>
        <w:rPr>
          <w:color w:val="231F20"/>
          <w:spacing w:val="-2"/>
          <w:w w:val="95"/>
        </w:rPr>
        <w:t>the</w:t>
      </w:r>
      <w:r>
        <w:rPr>
          <w:color w:val="231F20"/>
          <w:spacing w:val="-5"/>
          <w:w w:val="95"/>
        </w:rPr>
        <w:t xml:space="preserve"> </w:t>
      </w:r>
      <w:r>
        <w:rPr>
          <w:color w:val="231F20"/>
          <w:spacing w:val="-2"/>
          <w:w w:val="95"/>
        </w:rPr>
        <w:t>barriers</w:t>
      </w:r>
      <w:r>
        <w:rPr>
          <w:color w:val="231F20"/>
          <w:spacing w:val="-5"/>
          <w:w w:val="95"/>
        </w:rPr>
        <w:t xml:space="preserve"> </w:t>
      </w:r>
      <w:r>
        <w:rPr>
          <w:color w:val="231F20"/>
          <w:spacing w:val="-2"/>
          <w:w w:val="95"/>
        </w:rPr>
        <w:t>of</w:t>
      </w:r>
      <w:r>
        <w:rPr>
          <w:color w:val="231F20"/>
          <w:spacing w:val="-5"/>
          <w:w w:val="95"/>
        </w:rPr>
        <w:t xml:space="preserve"> </w:t>
      </w:r>
      <w:r>
        <w:rPr>
          <w:color w:val="231F20"/>
          <w:spacing w:val="-2"/>
          <w:w w:val="95"/>
        </w:rPr>
        <w:t>time</w:t>
      </w:r>
      <w:r>
        <w:rPr>
          <w:color w:val="231F20"/>
          <w:spacing w:val="-5"/>
          <w:w w:val="95"/>
        </w:rPr>
        <w:t xml:space="preserve"> </w:t>
      </w:r>
      <w:r>
        <w:rPr>
          <w:color w:val="231F20"/>
          <w:spacing w:val="-2"/>
          <w:w w:val="95"/>
        </w:rPr>
        <w:t>and</w:t>
      </w:r>
      <w:r>
        <w:rPr>
          <w:color w:val="231F20"/>
          <w:spacing w:val="-5"/>
          <w:w w:val="95"/>
        </w:rPr>
        <w:t xml:space="preserve"> </w:t>
      </w:r>
      <w:r>
        <w:rPr>
          <w:color w:val="231F20"/>
          <w:spacing w:val="-2"/>
          <w:w w:val="95"/>
        </w:rPr>
        <w:t>space.</w:t>
      </w:r>
      <w:r>
        <w:rPr>
          <w:color w:val="231F20"/>
          <w:spacing w:val="-5"/>
          <w:w w:val="95"/>
        </w:rPr>
        <w:t xml:space="preserve"> </w:t>
      </w:r>
      <w:r>
        <w:rPr>
          <w:color w:val="231F20"/>
          <w:spacing w:val="-2"/>
          <w:w w:val="95"/>
        </w:rPr>
        <w:t>Dwyer</w:t>
      </w:r>
      <w:r>
        <w:rPr>
          <w:color w:val="231F20"/>
          <w:spacing w:val="-5"/>
          <w:w w:val="95"/>
        </w:rPr>
        <w:t xml:space="preserve"> </w:t>
      </w:r>
      <w:r>
        <w:rPr>
          <w:i/>
          <w:color w:val="231F20"/>
          <w:spacing w:val="-2"/>
          <w:w w:val="95"/>
        </w:rPr>
        <w:t>et</w:t>
      </w:r>
      <w:r>
        <w:rPr>
          <w:i/>
          <w:color w:val="231F20"/>
          <w:spacing w:val="-5"/>
          <w:w w:val="95"/>
        </w:rPr>
        <w:t xml:space="preserve"> </w:t>
      </w:r>
      <w:r>
        <w:rPr>
          <w:i/>
          <w:color w:val="231F20"/>
          <w:spacing w:val="-2"/>
          <w:w w:val="95"/>
        </w:rPr>
        <w:t>al</w:t>
      </w:r>
      <w:r>
        <w:rPr>
          <w:color w:val="231F20"/>
          <w:spacing w:val="-2"/>
          <w:w w:val="95"/>
        </w:rPr>
        <w:t>.</w:t>
      </w:r>
      <w:r>
        <w:rPr>
          <w:color w:val="231F20"/>
          <w:spacing w:val="-5"/>
          <w:w w:val="95"/>
        </w:rPr>
        <w:t xml:space="preserve"> </w:t>
      </w:r>
      <w:r>
        <w:rPr>
          <w:color w:val="231F20"/>
          <w:spacing w:val="-2"/>
          <w:w w:val="95"/>
        </w:rPr>
        <w:t>(2008)</w:t>
      </w:r>
      <w:r>
        <w:rPr>
          <w:color w:val="231F20"/>
          <w:spacing w:val="-5"/>
          <w:w w:val="95"/>
        </w:rPr>
        <w:t xml:space="preserve"> </w:t>
      </w:r>
      <w:r>
        <w:rPr>
          <w:color w:val="231F20"/>
          <w:spacing w:val="-2"/>
          <w:w w:val="95"/>
        </w:rPr>
        <w:t xml:space="preserve">identify </w:t>
      </w:r>
      <w:r>
        <w:rPr>
          <w:color w:val="231F20"/>
          <w:w w:val="95"/>
        </w:rPr>
        <w:t xml:space="preserve">advances in information and communication technology as having the most </w:t>
      </w:r>
      <w:r>
        <w:rPr>
          <w:color w:val="231F20"/>
          <w:spacing w:val="-2"/>
          <w:w w:val="95"/>
        </w:rPr>
        <w:t xml:space="preserve">important implications for tourism. Fundamentally, they argue that advances </w:t>
      </w:r>
      <w:r>
        <w:rPr>
          <w:color w:val="231F20"/>
        </w:rPr>
        <w:t>in this realm ‘provide businesses with the tools to respond to individual preferences</w:t>
      </w:r>
      <w:r>
        <w:rPr>
          <w:color w:val="231F20"/>
          <w:spacing w:val="-12"/>
        </w:rPr>
        <w:t xml:space="preserve"> </w:t>
      </w:r>
      <w:r>
        <w:rPr>
          <w:color w:val="231F20"/>
        </w:rPr>
        <w:t>and</w:t>
      </w:r>
      <w:r>
        <w:rPr>
          <w:color w:val="231F20"/>
          <w:spacing w:val="-12"/>
        </w:rPr>
        <w:t xml:space="preserve"> </w:t>
      </w:r>
      <w:r>
        <w:rPr>
          <w:color w:val="231F20"/>
        </w:rPr>
        <w:t>t</w:t>
      </w:r>
      <w:r>
        <w:rPr>
          <w:color w:val="231F20"/>
        </w:rPr>
        <w:t>o</w:t>
      </w:r>
      <w:r>
        <w:rPr>
          <w:color w:val="231F20"/>
          <w:spacing w:val="-11"/>
        </w:rPr>
        <w:t xml:space="preserve"> </w:t>
      </w:r>
      <w:r>
        <w:rPr>
          <w:color w:val="231F20"/>
        </w:rPr>
        <w:t>stimulate</w:t>
      </w:r>
      <w:r>
        <w:rPr>
          <w:color w:val="231F20"/>
          <w:spacing w:val="-12"/>
        </w:rPr>
        <w:t xml:space="preserve"> </w:t>
      </w:r>
      <w:r>
        <w:rPr>
          <w:color w:val="231F20"/>
        </w:rPr>
        <w:t>tourism</w:t>
      </w:r>
      <w:r>
        <w:rPr>
          <w:color w:val="231F20"/>
          <w:spacing w:val="-11"/>
        </w:rPr>
        <w:t xml:space="preserve"> </w:t>
      </w:r>
      <w:r>
        <w:rPr>
          <w:color w:val="231F20"/>
        </w:rPr>
        <w:t>purchases’</w:t>
      </w:r>
      <w:r>
        <w:rPr>
          <w:color w:val="231F20"/>
          <w:spacing w:val="-12"/>
        </w:rPr>
        <w:t xml:space="preserve"> </w:t>
      </w:r>
      <w:r>
        <w:rPr>
          <w:color w:val="231F20"/>
        </w:rPr>
        <w:t>(Dwyer</w:t>
      </w:r>
      <w:r>
        <w:rPr>
          <w:color w:val="231F20"/>
          <w:spacing w:val="-11"/>
        </w:rPr>
        <w:t xml:space="preserve"> </w:t>
      </w:r>
      <w:r>
        <w:rPr>
          <w:i/>
          <w:color w:val="231F20"/>
        </w:rPr>
        <w:t>et</w:t>
      </w:r>
      <w:r>
        <w:rPr>
          <w:i/>
          <w:color w:val="231F20"/>
          <w:spacing w:val="-12"/>
        </w:rPr>
        <w:t xml:space="preserve"> </w:t>
      </w:r>
      <w:r>
        <w:rPr>
          <w:i/>
          <w:color w:val="231F20"/>
        </w:rPr>
        <w:t>al</w:t>
      </w:r>
      <w:r>
        <w:rPr>
          <w:color w:val="231F20"/>
        </w:rPr>
        <w:t>.,</w:t>
      </w:r>
      <w:r>
        <w:rPr>
          <w:color w:val="231F20"/>
          <w:spacing w:val="-12"/>
        </w:rPr>
        <w:t xml:space="preserve"> </w:t>
      </w:r>
      <w:r>
        <w:rPr>
          <w:color w:val="231F20"/>
        </w:rPr>
        <w:t>2008:</w:t>
      </w:r>
      <w:r>
        <w:rPr>
          <w:color w:val="231F20"/>
          <w:spacing w:val="-11"/>
        </w:rPr>
        <w:t xml:space="preserve"> </w:t>
      </w:r>
      <w:r>
        <w:rPr>
          <w:color w:val="231F20"/>
        </w:rPr>
        <w:t>x).</w:t>
      </w:r>
      <w:r>
        <w:rPr>
          <w:color w:val="231F20"/>
          <w:spacing w:val="-12"/>
        </w:rPr>
        <w:t xml:space="preserve"> </w:t>
      </w:r>
      <w:r>
        <w:rPr>
          <w:color w:val="231F20"/>
        </w:rPr>
        <w:t xml:space="preserve">A </w:t>
      </w:r>
      <w:r>
        <w:rPr>
          <w:color w:val="231F20"/>
          <w:spacing w:val="-2"/>
          <w:w w:val="95"/>
        </w:rPr>
        <w:t>good</w:t>
      </w:r>
      <w:r>
        <w:rPr>
          <w:color w:val="231F20"/>
          <w:spacing w:val="-7"/>
          <w:w w:val="95"/>
        </w:rPr>
        <w:t xml:space="preserve"> </w:t>
      </w:r>
      <w:r>
        <w:rPr>
          <w:color w:val="231F20"/>
          <w:spacing w:val="-2"/>
          <w:w w:val="95"/>
        </w:rPr>
        <w:t>example</w:t>
      </w:r>
      <w:r>
        <w:rPr>
          <w:color w:val="231F20"/>
          <w:spacing w:val="-7"/>
          <w:w w:val="95"/>
        </w:rPr>
        <w:t xml:space="preserve"> </w:t>
      </w:r>
      <w:r>
        <w:rPr>
          <w:color w:val="231F20"/>
          <w:spacing w:val="-2"/>
          <w:w w:val="95"/>
        </w:rPr>
        <w:t>of</w:t>
      </w:r>
      <w:r>
        <w:rPr>
          <w:color w:val="231F20"/>
          <w:spacing w:val="-7"/>
          <w:w w:val="95"/>
        </w:rPr>
        <w:t xml:space="preserve"> </w:t>
      </w:r>
      <w:r>
        <w:rPr>
          <w:color w:val="231F20"/>
          <w:spacing w:val="-2"/>
          <w:w w:val="95"/>
        </w:rPr>
        <w:t>the</w:t>
      </w:r>
      <w:r>
        <w:rPr>
          <w:color w:val="231F20"/>
          <w:spacing w:val="-7"/>
          <w:w w:val="95"/>
        </w:rPr>
        <w:t xml:space="preserve"> </w:t>
      </w:r>
      <w:r>
        <w:rPr>
          <w:color w:val="231F20"/>
          <w:spacing w:val="-2"/>
          <w:w w:val="95"/>
        </w:rPr>
        <w:t>power</w:t>
      </w:r>
      <w:r>
        <w:rPr>
          <w:color w:val="231F20"/>
          <w:spacing w:val="-7"/>
          <w:w w:val="95"/>
        </w:rPr>
        <w:t xml:space="preserve"> </w:t>
      </w:r>
      <w:r>
        <w:rPr>
          <w:color w:val="231F20"/>
          <w:spacing w:val="-2"/>
          <w:w w:val="95"/>
        </w:rPr>
        <w:t>of</w:t>
      </w:r>
      <w:r>
        <w:rPr>
          <w:color w:val="231F20"/>
          <w:spacing w:val="-7"/>
          <w:w w:val="95"/>
        </w:rPr>
        <w:t xml:space="preserve"> </w:t>
      </w:r>
      <w:r>
        <w:rPr>
          <w:color w:val="231F20"/>
          <w:spacing w:val="-2"/>
          <w:w w:val="95"/>
        </w:rPr>
        <w:t>this</w:t>
      </w:r>
      <w:r>
        <w:rPr>
          <w:color w:val="231F20"/>
          <w:spacing w:val="-7"/>
          <w:w w:val="95"/>
        </w:rPr>
        <w:t xml:space="preserve"> </w:t>
      </w:r>
      <w:r>
        <w:rPr>
          <w:color w:val="231F20"/>
          <w:spacing w:val="-2"/>
          <w:w w:val="95"/>
        </w:rPr>
        <w:t>new</w:t>
      </w:r>
      <w:r>
        <w:rPr>
          <w:color w:val="231F20"/>
          <w:spacing w:val="-7"/>
          <w:w w:val="95"/>
        </w:rPr>
        <w:t xml:space="preserve"> </w:t>
      </w:r>
      <w:r>
        <w:rPr>
          <w:color w:val="231F20"/>
          <w:spacing w:val="-2"/>
          <w:w w:val="95"/>
        </w:rPr>
        <w:t>technology</w:t>
      </w:r>
      <w:r>
        <w:rPr>
          <w:color w:val="231F20"/>
          <w:spacing w:val="-7"/>
          <w:w w:val="95"/>
        </w:rPr>
        <w:t xml:space="preserve"> </w:t>
      </w:r>
      <w:r>
        <w:rPr>
          <w:color w:val="231F20"/>
          <w:spacing w:val="-2"/>
          <w:w w:val="95"/>
        </w:rPr>
        <w:t>is</w:t>
      </w:r>
      <w:r>
        <w:rPr>
          <w:color w:val="231F20"/>
          <w:spacing w:val="-7"/>
          <w:w w:val="95"/>
        </w:rPr>
        <w:t xml:space="preserve"> </w:t>
      </w:r>
      <w:r>
        <w:rPr>
          <w:color w:val="231F20"/>
          <w:spacing w:val="-2"/>
          <w:w w:val="95"/>
        </w:rPr>
        <w:t>the</w:t>
      </w:r>
      <w:r>
        <w:rPr>
          <w:color w:val="231F20"/>
          <w:spacing w:val="-7"/>
          <w:w w:val="95"/>
        </w:rPr>
        <w:t xml:space="preserve"> </w:t>
      </w:r>
      <w:r>
        <w:rPr>
          <w:color w:val="231F20"/>
          <w:spacing w:val="-2"/>
          <w:w w:val="95"/>
        </w:rPr>
        <w:t>growing</w:t>
      </w:r>
      <w:r>
        <w:rPr>
          <w:color w:val="231F20"/>
          <w:spacing w:val="-7"/>
          <w:w w:val="95"/>
        </w:rPr>
        <w:t xml:space="preserve"> </w:t>
      </w:r>
      <w:r>
        <w:rPr>
          <w:color w:val="231F20"/>
          <w:spacing w:val="-2"/>
          <w:w w:val="95"/>
        </w:rPr>
        <w:t>role</w:t>
      </w:r>
      <w:r>
        <w:rPr>
          <w:color w:val="231F20"/>
          <w:spacing w:val="-7"/>
          <w:w w:val="95"/>
        </w:rPr>
        <w:t xml:space="preserve"> </w:t>
      </w:r>
      <w:r>
        <w:rPr>
          <w:color w:val="231F20"/>
          <w:spacing w:val="-2"/>
          <w:w w:val="95"/>
        </w:rPr>
        <w:t>of</w:t>
      </w:r>
      <w:r>
        <w:rPr>
          <w:color w:val="231F20"/>
          <w:spacing w:val="-7"/>
          <w:w w:val="95"/>
        </w:rPr>
        <w:t xml:space="preserve"> </w:t>
      </w:r>
      <w:r>
        <w:rPr>
          <w:color w:val="231F20"/>
          <w:spacing w:val="-2"/>
          <w:w w:val="95"/>
        </w:rPr>
        <w:t xml:space="preserve">social </w:t>
      </w:r>
      <w:r>
        <w:rPr>
          <w:color w:val="231F20"/>
        </w:rPr>
        <w:t>networking</w:t>
      </w:r>
      <w:r>
        <w:rPr>
          <w:color w:val="231F20"/>
          <w:spacing w:val="-2"/>
        </w:rPr>
        <w:t xml:space="preserve"> </w:t>
      </w:r>
      <w:r>
        <w:rPr>
          <w:color w:val="231F20"/>
        </w:rPr>
        <w:t>in</w:t>
      </w:r>
      <w:r>
        <w:rPr>
          <w:color w:val="231F20"/>
          <w:spacing w:val="-2"/>
        </w:rPr>
        <w:t xml:space="preserve"> </w:t>
      </w:r>
      <w:r>
        <w:rPr>
          <w:color w:val="231F20"/>
        </w:rPr>
        <w:t>the</w:t>
      </w:r>
      <w:r>
        <w:rPr>
          <w:color w:val="231F20"/>
          <w:spacing w:val="-2"/>
        </w:rPr>
        <w:t xml:space="preserve"> </w:t>
      </w:r>
      <w:r>
        <w:rPr>
          <w:color w:val="231F20"/>
        </w:rPr>
        <w:t>decision-making</w:t>
      </w:r>
      <w:r>
        <w:rPr>
          <w:color w:val="231F20"/>
          <w:spacing w:val="-2"/>
        </w:rPr>
        <w:t xml:space="preserve"> </w:t>
      </w:r>
      <w:r>
        <w:rPr>
          <w:color w:val="231F20"/>
        </w:rPr>
        <w:t>of</w:t>
      </w:r>
      <w:r>
        <w:rPr>
          <w:color w:val="231F20"/>
          <w:spacing w:val="-2"/>
        </w:rPr>
        <w:t xml:space="preserve"> </w:t>
      </w:r>
      <w:r>
        <w:rPr>
          <w:color w:val="231F20"/>
        </w:rPr>
        <w:t>travellers</w:t>
      </w:r>
      <w:r>
        <w:rPr>
          <w:color w:val="231F20"/>
          <w:spacing w:val="-2"/>
        </w:rPr>
        <w:t xml:space="preserve"> </w:t>
      </w:r>
      <w:r>
        <w:rPr>
          <w:color w:val="231F20"/>
        </w:rPr>
        <w:t>(Xiang</w:t>
      </w:r>
      <w:r>
        <w:rPr>
          <w:color w:val="231F20"/>
          <w:spacing w:val="-2"/>
        </w:rPr>
        <w:t xml:space="preserve"> </w:t>
      </w:r>
      <w:r>
        <w:rPr>
          <w:color w:val="231F20"/>
        </w:rPr>
        <w:t>&amp;</w:t>
      </w:r>
      <w:r>
        <w:rPr>
          <w:color w:val="231F20"/>
          <w:spacing w:val="-2"/>
        </w:rPr>
        <w:t xml:space="preserve"> </w:t>
      </w:r>
      <w:r>
        <w:rPr>
          <w:color w:val="231F20"/>
        </w:rPr>
        <w:t>Gretzel,</w:t>
      </w:r>
      <w:r>
        <w:rPr>
          <w:color w:val="231F20"/>
          <w:spacing w:val="-2"/>
        </w:rPr>
        <w:t xml:space="preserve"> </w:t>
      </w:r>
      <w:r>
        <w:rPr>
          <w:color w:val="231F20"/>
        </w:rPr>
        <w:t xml:space="preserve">2010). </w:t>
      </w:r>
      <w:r>
        <w:rPr>
          <w:color w:val="231F20"/>
          <w:w w:val="95"/>
        </w:rPr>
        <w:t xml:space="preserve">Similarly, lifestyle sport participants ‘make sense of their sport through the </w:t>
      </w:r>
      <w:r>
        <w:rPr>
          <w:color w:val="231F20"/>
          <w:spacing w:val="-2"/>
          <w:w w:val="95"/>
        </w:rPr>
        <w:t>sharing</w:t>
      </w:r>
      <w:r>
        <w:rPr>
          <w:color w:val="231F20"/>
          <w:spacing w:val="-8"/>
          <w:w w:val="95"/>
        </w:rPr>
        <w:t xml:space="preserve"> </w:t>
      </w:r>
      <w:r>
        <w:rPr>
          <w:color w:val="231F20"/>
          <w:spacing w:val="-2"/>
          <w:w w:val="95"/>
        </w:rPr>
        <w:t>of</w:t>
      </w:r>
      <w:r>
        <w:rPr>
          <w:color w:val="231F20"/>
          <w:spacing w:val="-7"/>
          <w:w w:val="95"/>
        </w:rPr>
        <w:t xml:space="preserve"> </w:t>
      </w:r>
      <w:r>
        <w:rPr>
          <w:color w:val="231F20"/>
          <w:spacing w:val="-2"/>
          <w:w w:val="95"/>
        </w:rPr>
        <w:t>moves,</w:t>
      </w:r>
      <w:r>
        <w:rPr>
          <w:color w:val="231F20"/>
          <w:spacing w:val="-7"/>
          <w:w w:val="95"/>
        </w:rPr>
        <w:t xml:space="preserve"> </w:t>
      </w:r>
      <w:r>
        <w:rPr>
          <w:color w:val="231F20"/>
          <w:spacing w:val="-2"/>
          <w:w w:val="95"/>
        </w:rPr>
        <w:t>manoeuvres</w:t>
      </w:r>
      <w:r>
        <w:rPr>
          <w:color w:val="231F20"/>
          <w:spacing w:val="-7"/>
          <w:w w:val="95"/>
        </w:rPr>
        <w:t xml:space="preserve"> </w:t>
      </w:r>
      <w:r>
        <w:rPr>
          <w:color w:val="231F20"/>
          <w:spacing w:val="-2"/>
          <w:w w:val="95"/>
        </w:rPr>
        <w:t>and</w:t>
      </w:r>
      <w:r>
        <w:rPr>
          <w:color w:val="231F20"/>
          <w:spacing w:val="-8"/>
          <w:w w:val="95"/>
        </w:rPr>
        <w:t xml:space="preserve"> </w:t>
      </w:r>
      <w:r>
        <w:rPr>
          <w:color w:val="231F20"/>
          <w:spacing w:val="-2"/>
          <w:w w:val="95"/>
        </w:rPr>
        <w:t>styles</w:t>
      </w:r>
      <w:r>
        <w:rPr>
          <w:color w:val="231F20"/>
          <w:spacing w:val="-7"/>
          <w:w w:val="95"/>
        </w:rPr>
        <w:t xml:space="preserve"> </w:t>
      </w:r>
      <w:r>
        <w:rPr>
          <w:color w:val="231F20"/>
          <w:spacing w:val="-2"/>
          <w:w w:val="95"/>
        </w:rPr>
        <w:t>and</w:t>
      </w:r>
      <w:r>
        <w:rPr>
          <w:color w:val="231F20"/>
          <w:spacing w:val="-7"/>
          <w:w w:val="95"/>
        </w:rPr>
        <w:t xml:space="preserve"> </w:t>
      </w:r>
      <w:r>
        <w:rPr>
          <w:color w:val="231F20"/>
          <w:spacing w:val="-2"/>
          <w:w w:val="95"/>
        </w:rPr>
        <w:t>engage</w:t>
      </w:r>
      <w:r>
        <w:rPr>
          <w:color w:val="231F20"/>
          <w:spacing w:val="-7"/>
          <w:w w:val="95"/>
        </w:rPr>
        <w:t xml:space="preserve"> </w:t>
      </w:r>
      <w:r>
        <w:rPr>
          <w:color w:val="231F20"/>
          <w:spacing w:val="-2"/>
          <w:w w:val="95"/>
        </w:rPr>
        <w:t>in</w:t>
      </w:r>
      <w:r>
        <w:rPr>
          <w:color w:val="231F20"/>
          <w:spacing w:val="-8"/>
          <w:w w:val="95"/>
        </w:rPr>
        <w:t xml:space="preserve"> </w:t>
      </w:r>
      <w:r>
        <w:rPr>
          <w:color w:val="231F20"/>
          <w:spacing w:val="-2"/>
          <w:w w:val="95"/>
        </w:rPr>
        <w:t>vibrant</w:t>
      </w:r>
      <w:r>
        <w:rPr>
          <w:color w:val="231F20"/>
          <w:spacing w:val="-7"/>
          <w:w w:val="95"/>
        </w:rPr>
        <w:t xml:space="preserve"> </w:t>
      </w:r>
      <w:r>
        <w:rPr>
          <w:color w:val="231F20"/>
          <w:spacing w:val="-2"/>
          <w:w w:val="95"/>
        </w:rPr>
        <w:t>discussions</w:t>
      </w:r>
      <w:r>
        <w:rPr>
          <w:color w:val="231F20"/>
          <w:spacing w:val="-7"/>
          <w:w w:val="95"/>
        </w:rPr>
        <w:t xml:space="preserve"> </w:t>
      </w:r>
      <w:r>
        <w:rPr>
          <w:color w:val="231F20"/>
          <w:spacing w:val="-2"/>
          <w:w w:val="95"/>
        </w:rPr>
        <w:t xml:space="preserve">on </w:t>
      </w:r>
      <w:r>
        <w:rPr>
          <w:color w:val="231F20"/>
          <w:w w:val="95"/>
        </w:rPr>
        <w:t>web</w:t>
      </w:r>
      <w:r>
        <w:rPr>
          <w:color w:val="231F20"/>
          <w:spacing w:val="-4"/>
          <w:w w:val="95"/>
        </w:rPr>
        <w:t xml:space="preserve"> </w:t>
      </w:r>
      <w:r>
        <w:rPr>
          <w:color w:val="231F20"/>
          <w:w w:val="95"/>
        </w:rPr>
        <w:t>forums</w:t>
      </w:r>
      <w:r>
        <w:rPr>
          <w:color w:val="231F20"/>
          <w:spacing w:val="-4"/>
          <w:w w:val="95"/>
        </w:rPr>
        <w:t xml:space="preserve"> </w:t>
      </w:r>
      <w:r>
        <w:rPr>
          <w:color w:val="231F20"/>
          <w:w w:val="95"/>
        </w:rPr>
        <w:t>about</w:t>
      </w:r>
      <w:r>
        <w:rPr>
          <w:color w:val="231F20"/>
          <w:spacing w:val="-4"/>
          <w:w w:val="95"/>
        </w:rPr>
        <w:t xml:space="preserve"> </w:t>
      </w:r>
      <w:r>
        <w:rPr>
          <w:color w:val="231F20"/>
          <w:w w:val="95"/>
        </w:rPr>
        <w:t>evolving</w:t>
      </w:r>
      <w:r>
        <w:rPr>
          <w:color w:val="231F20"/>
          <w:spacing w:val="-4"/>
          <w:w w:val="95"/>
        </w:rPr>
        <w:t xml:space="preserve"> </w:t>
      </w:r>
      <w:r>
        <w:rPr>
          <w:color w:val="231F20"/>
          <w:w w:val="95"/>
        </w:rPr>
        <w:t>practise</w:t>
      </w:r>
      <w:r>
        <w:rPr>
          <w:color w:val="231F20"/>
          <w:spacing w:val="-4"/>
          <w:w w:val="95"/>
        </w:rPr>
        <w:t xml:space="preserve"> </w:t>
      </w:r>
      <w:r>
        <w:rPr>
          <w:color w:val="231F20"/>
          <w:w w:val="95"/>
        </w:rPr>
        <w:t>and</w:t>
      </w:r>
      <w:r>
        <w:rPr>
          <w:color w:val="231F20"/>
          <w:spacing w:val="-4"/>
          <w:w w:val="95"/>
        </w:rPr>
        <w:t xml:space="preserve"> </w:t>
      </w:r>
      <w:r>
        <w:rPr>
          <w:color w:val="231F20"/>
          <w:w w:val="95"/>
        </w:rPr>
        <w:t>the</w:t>
      </w:r>
      <w:r>
        <w:rPr>
          <w:color w:val="231F20"/>
          <w:spacing w:val="-4"/>
          <w:w w:val="95"/>
        </w:rPr>
        <w:t xml:space="preserve"> </w:t>
      </w:r>
      <w:r>
        <w:rPr>
          <w:color w:val="231F20"/>
          <w:w w:val="95"/>
        </w:rPr>
        <w:t>deeper</w:t>
      </w:r>
      <w:r>
        <w:rPr>
          <w:color w:val="231F20"/>
          <w:spacing w:val="-4"/>
          <w:w w:val="95"/>
        </w:rPr>
        <w:t xml:space="preserve"> </w:t>
      </w:r>
      <w:r>
        <w:rPr>
          <w:color w:val="231F20"/>
          <w:w w:val="95"/>
        </w:rPr>
        <w:t>philosophical</w:t>
      </w:r>
      <w:r>
        <w:rPr>
          <w:color w:val="231F20"/>
          <w:spacing w:val="-4"/>
          <w:w w:val="95"/>
        </w:rPr>
        <w:t xml:space="preserve"> </w:t>
      </w:r>
      <w:r>
        <w:rPr>
          <w:color w:val="231F20"/>
          <w:w w:val="95"/>
        </w:rPr>
        <w:t xml:space="preserve">meanings’ </w:t>
      </w:r>
      <w:r>
        <w:rPr>
          <w:color w:val="231F20"/>
        </w:rPr>
        <w:t>of</w:t>
      </w:r>
      <w:r>
        <w:rPr>
          <w:color w:val="231F20"/>
          <w:spacing w:val="-10"/>
        </w:rPr>
        <w:t xml:space="preserve"> </w:t>
      </w:r>
      <w:r>
        <w:rPr>
          <w:color w:val="231F20"/>
        </w:rPr>
        <w:t>their</w:t>
      </w:r>
      <w:r>
        <w:rPr>
          <w:color w:val="231F20"/>
          <w:spacing w:val="-10"/>
        </w:rPr>
        <w:t xml:space="preserve"> </w:t>
      </w:r>
      <w:r>
        <w:rPr>
          <w:color w:val="231F20"/>
        </w:rPr>
        <w:t>respective</w:t>
      </w:r>
      <w:r>
        <w:rPr>
          <w:color w:val="231F20"/>
          <w:spacing w:val="-10"/>
        </w:rPr>
        <w:t xml:space="preserve"> </w:t>
      </w:r>
      <w:r>
        <w:rPr>
          <w:color w:val="231F20"/>
        </w:rPr>
        <w:t>sports</w:t>
      </w:r>
      <w:r>
        <w:rPr>
          <w:color w:val="231F20"/>
          <w:spacing w:val="-10"/>
        </w:rPr>
        <w:t xml:space="preserve"> </w:t>
      </w:r>
      <w:r>
        <w:rPr>
          <w:color w:val="231F20"/>
        </w:rPr>
        <w:t>(Gilchrist</w:t>
      </w:r>
      <w:r>
        <w:rPr>
          <w:color w:val="231F20"/>
          <w:spacing w:val="-10"/>
        </w:rPr>
        <w:t xml:space="preserve"> </w:t>
      </w:r>
      <w:r>
        <w:rPr>
          <w:color w:val="231F20"/>
        </w:rPr>
        <w:t>&amp;</w:t>
      </w:r>
      <w:r>
        <w:rPr>
          <w:color w:val="231F20"/>
          <w:spacing w:val="-10"/>
        </w:rPr>
        <w:t xml:space="preserve"> </w:t>
      </w:r>
      <w:r>
        <w:rPr>
          <w:color w:val="231F20"/>
        </w:rPr>
        <w:t>Wheaton,</w:t>
      </w:r>
      <w:r>
        <w:rPr>
          <w:color w:val="231F20"/>
          <w:spacing w:val="-10"/>
        </w:rPr>
        <w:t xml:space="preserve"> </w:t>
      </w:r>
      <w:r>
        <w:rPr>
          <w:color w:val="231F20"/>
        </w:rPr>
        <w:t>2016:</w:t>
      </w:r>
      <w:r>
        <w:rPr>
          <w:color w:val="231F20"/>
          <w:spacing w:val="-10"/>
        </w:rPr>
        <w:t xml:space="preserve"> </w:t>
      </w:r>
      <w:r>
        <w:rPr>
          <w:color w:val="231F20"/>
        </w:rPr>
        <w:t>24).</w:t>
      </w:r>
      <w:r>
        <w:rPr>
          <w:color w:val="231F20"/>
          <w:spacing w:val="-10"/>
        </w:rPr>
        <w:t xml:space="preserve"> </w:t>
      </w:r>
      <w:r>
        <w:rPr>
          <w:color w:val="231F20"/>
        </w:rPr>
        <w:t>Such</w:t>
      </w:r>
      <w:r>
        <w:rPr>
          <w:color w:val="231F20"/>
          <w:spacing w:val="-10"/>
        </w:rPr>
        <w:t xml:space="preserve"> </w:t>
      </w:r>
      <w:r>
        <w:rPr>
          <w:color w:val="231F20"/>
        </w:rPr>
        <w:t xml:space="preserve">practices </w:t>
      </w:r>
      <w:r>
        <w:rPr>
          <w:color w:val="231F20"/>
          <w:w w:val="95"/>
        </w:rPr>
        <w:t>have accelerated the dispersion of emerging trends across the globe.</w:t>
      </w:r>
    </w:p>
    <w:p w14:paraId="1815F0B4" w14:textId="77777777" w:rsidR="00AE0598" w:rsidRDefault="0069255A">
      <w:pPr>
        <w:pStyle w:val="Corpodetexto"/>
        <w:spacing w:before="23" w:line="232" w:lineRule="auto"/>
        <w:ind w:left="110" w:right="127" w:firstLine="320"/>
        <w:jc w:val="both"/>
      </w:pPr>
      <w:r>
        <w:rPr>
          <w:color w:val="231F20"/>
          <w:w w:val="95"/>
        </w:rPr>
        <w:t>At a more fundamental level, virtual reality and cyberspace technology</w:t>
      </w:r>
      <w:r>
        <w:rPr>
          <w:color w:val="231F20"/>
          <w:spacing w:val="40"/>
        </w:rPr>
        <w:t xml:space="preserve"> </w:t>
      </w:r>
      <w:r>
        <w:rPr>
          <w:color w:val="231F20"/>
          <w:w w:val="95"/>
        </w:rPr>
        <w:t>is having direct impacts on the way that people ex</w:t>
      </w:r>
      <w:r>
        <w:rPr>
          <w:color w:val="231F20"/>
          <w:w w:val="95"/>
        </w:rPr>
        <w:t xml:space="preserve">perience leisure (Buckley </w:t>
      </w:r>
      <w:r>
        <w:rPr>
          <w:i/>
          <w:color w:val="231F20"/>
          <w:w w:val="95"/>
        </w:rPr>
        <w:t>et al</w:t>
      </w:r>
      <w:r>
        <w:rPr>
          <w:color w:val="231F20"/>
          <w:w w:val="95"/>
        </w:rPr>
        <w:t>., 2015). The extent that sport experiences in cyberspace can substitute for sport experiences in real space remains a matter of</w:t>
      </w:r>
      <w:r>
        <w:rPr>
          <w:color w:val="231F20"/>
        </w:rPr>
        <w:t xml:space="preserve"> </w:t>
      </w:r>
      <w:r>
        <w:rPr>
          <w:color w:val="231F20"/>
          <w:w w:val="95"/>
        </w:rPr>
        <w:t xml:space="preserve">speculation. Current </w:t>
      </w:r>
      <w:r>
        <w:rPr>
          <w:color w:val="231F20"/>
        </w:rPr>
        <w:t>examples of sport experiences that take place in cyberspace include live on</w:t>
      </w:r>
      <w:r>
        <w:rPr>
          <w:color w:val="231F20"/>
        </w:rPr>
        <w:t>line</w:t>
      </w:r>
      <w:r>
        <w:rPr>
          <w:color w:val="231F20"/>
          <w:spacing w:val="-12"/>
        </w:rPr>
        <w:t xml:space="preserve"> </w:t>
      </w:r>
      <w:r>
        <w:rPr>
          <w:color w:val="231F20"/>
        </w:rPr>
        <w:t>sports</w:t>
      </w:r>
      <w:r>
        <w:rPr>
          <w:color w:val="231F20"/>
          <w:spacing w:val="-12"/>
        </w:rPr>
        <w:t xml:space="preserve"> </w:t>
      </w:r>
      <w:r>
        <w:rPr>
          <w:color w:val="231F20"/>
        </w:rPr>
        <w:t>commentaries,</w:t>
      </w:r>
      <w:r>
        <w:rPr>
          <w:color w:val="231F20"/>
          <w:spacing w:val="-11"/>
        </w:rPr>
        <w:t xml:space="preserve"> </w:t>
      </w:r>
      <w:r>
        <w:rPr>
          <w:color w:val="231F20"/>
        </w:rPr>
        <w:t>fantasy</w:t>
      </w:r>
      <w:r>
        <w:rPr>
          <w:color w:val="231F20"/>
          <w:spacing w:val="-12"/>
        </w:rPr>
        <w:t xml:space="preserve"> </w:t>
      </w:r>
      <w:r>
        <w:rPr>
          <w:color w:val="231F20"/>
        </w:rPr>
        <w:t>sport</w:t>
      </w:r>
      <w:r>
        <w:rPr>
          <w:color w:val="231F20"/>
          <w:spacing w:val="-11"/>
        </w:rPr>
        <w:t xml:space="preserve"> </w:t>
      </w:r>
      <w:r>
        <w:rPr>
          <w:color w:val="231F20"/>
        </w:rPr>
        <w:t>leagues,</w:t>
      </w:r>
      <w:r>
        <w:rPr>
          <w:color w:val="231F20"/>
          <w:spacing w:val="-12"/>
        </w:rPr>
        <w:t xml:space="preserve"> </w:t>
      </w:r>
      <w:r>
        <w:rPr>
          <w:color w:val="231F20"/>
        </w:rPr>
        <w:t>online</w:t>
      </w:r>
      <w:r>
        <w:rPr>
          <w:color w:val="231F20"/>
          <w:spacing w:val="-11"/>
        </w:rPr>
        <w:t xml:space="preserve"> </w:t>
      </w:r>
      <w:r>
        <w:rPr>
          <w:color w:val="231F20"/>
        </w:rPr>
        <w:t>gambling,</w:t>
      </w:r>
      <w:r>
        <w:rPr>
          <w:color w:val="231F20"/>
          <w:spacing w:val="-12"/>
        </w:rPr>
        <w:t xml:space="preserve"> </w:t>
      </w:r>
      <w:r>
        <w:rPr>
          <w:color w:val="231F20"/>
        </w:rPr>
        <w:t xml:space="preserve">real- </w:t>
      </w:r>
      <w:r>
        <w:rPr>
          <w:color w:val="231F20"/>
          <w:w w:val="95"/>
        </w:rPr>
        <w:t xml:space="preserve">time viewer surveys during sport broadcasts and instant progress updates </w:t>
      </w:r>
      <w:r>
        <w:rPr>
          <w:color w:val="231F20"/>
        </w:rPr>
        <w:t xml:space="preserve">and live digital video images of sports contests. On another level, many computer games closely conform to definitions of sport (Chapter 2) inclusive of a physical activity component (Focus Point 10.3). While the </w:t>
      </w:r>
      <w:r>
        <w:rPr>
          <w:color w:val="231F20"/>
          <w:w w:val="95"/>
        </w:rPr>
        <w:t>physical activity component of</w:t>
      </w:r>
      <w:r>
        <w:rPr>
          <w:color w:val="231F20"/>
          <w:spacing w:val="22"/>
        </w:rPr>
        <w:t xml:space="preserve"> </w:t>
      </w:r>
      <w:r>
        <w:rPr>
          <w:color w:val="231F20"/>
          <w:w w:val="95"/>
        </w:rPr>
        <w:t xml:space="preserve">these games </w:t>
      </w:r>
      <w:r>
        <w:rPr>
          <w:color w:val="231F20"/>
          <w:w w:val="95"/>
        </w:rPr>
        <w:t>is relatively basic at this point,</w:t>
      </w:r>
      <w:r>
        <w:rPr>
          <w:color w:val="231F20"/>
          <w:spacing w:val="40"/>
        </w:rPr>
        <w:t xml:space="preserve"> </w:t>
      </w:r>
      <w:r>
        <w:rPr>
          <w:color w:val="231F20"/>
        </w:rPr>
        <w:t>it</w:t>
      </w:r>
      <w:r>
        <w:rPr>
          <w:color w:val="231F20"/>
          <w:spacing w:val="-12"/>
        </w:rPr>
        <w:t xml:space="preserve"> </w:t>
      </w:r>
      <w:r>
        <w:rPr>
          <w:color w:val="231F20"/>
        </w:rPr>
        <w:t>is</w:t>
      </w:r>
      <w:r>
        <w:rPr>
          <w:color w:val="231F20"/>
          <w:spacing w:val="-12"/>
        </w:rPr>
        <w:t xml:space="preserve"> </w:t>
      </w:r>
      <w:r>
        <w:rPr>
          <w:color w:val="231F20"/>
        </w:rPr>
        <w:t>likely</w:t>
      </w:r>
      <w:r>
        <w:rPr>
          <w:color w:val="231F20"/>
          <w:spacing w:val="-11"/>
        </w:rPr>
        <w:t xml:space="preserve"> </w:t>
      </w:r>
      <w:r>
        <w:rPr>
          <w:color w:val="231F20"/>
        </w:rPr>
        <w:t>to</w:t>
      </w:r>
      <w:r>
        <w:rPr>
          <w:color w:val="231F20"/>
          <w:spacing w:val="-12"/>
        </w:rPr>
        <w:t xml:space="preserve"> </w:t>
      </w:r>
      <w:r>
        <w:rPr>
          <w:color w:val="231F20"/>
        </w:rPr>
        <w:t>become</w:t>
      </w:r>
      <w:r>
        <w:rPr>
          <w:color w:val="231F20"/>
          <w:spacing w:val="-11"/>
        </w:rPr>
        <w:t xml:space="preserve"> </w:t>
      </w:r>
      <w:r>
        <w:rPr>
          <w:color w:val="231F20"/>
        </w:rPr>
        <w:t>increasingly</w:t>
      </w:r>
      <w:r>
        <w:rPr>
          <w:color w:val="231F20"/>
          <w:spacing w:val="-12"/>
        </w:rPr>
        <w:t xml:space="preserve"> </w:t>
      </w:r>
      <w:r>
        <w:rPr>
          <w:color w:val="231F20"/>
        </w:rPr>
        <w:t>more</w:t>
      </w:r>
      <w:r>
        <w:rPr>
          <w:color w:val="231F20"/>
          <w:spacing w:val="-11"/>
        </w:rPr>
        <w:t xml:space="preserve"> </w:t>
      </w:r>
      <w:r>
        <w:rPr>
          <w:color w:val="231F20"/>
        </w:rPr>
        <w:t>sophisticated</w:t>
      </w:r>
      <w:r>
        <w:rPr>
          <w:color w:val="231F20"/>
          <w:spacing w:val="-12"/>
        </w:rPr>
        <w:t xml:space="preserve"> </w:t>
      </w:r>
      <w:r>
        <w:rPr>
          <w:color w:val="231F20"/>
        </w:rPr>
        <w:t>as</w:t>
      </w:r>
      <w:r>
        <w:rPr>
          <w:color w:val="231F20"/>
          <w:spacing w:val="-12"/>
        </w:rPr>
        <w:t xml:space="preserve"> </w:t>
      </w:r>
      <w:r>
        <w:rPr>
          <w:color w:val="231F20"/>
        </w:rPr>
        <w:t>the</w:t>
      </w:r>
      <w:r>
        <w:rPr>
          <w:color w:val="231F20"/>
          <w:spacing w:val="-11"/>
        </w:rPr>
        <w:t xml:space="preserve"> </w:t>
      </w:r>
      <w:r>
        <w:rPr>
          <w:color w:val="231F20"/>
        </w:rPr>
        <w:t>virtual</w:t>
      </w:r>
      <w:r>
        <w:rPr>
          <w:color w:val="231F20"/>
          <w:spacing w:val="-12"/>
        </w:rPr>
        <w:t xml:space="preserve"> </w:t>
      </w:r>
      <w:r>
        <w:rPr>
          <w:color w:val="231F20"/>
        </w:rPr>
        <w:t xml:space="preserve">reality aspect of computer technology advances. Developments in broadcast </w:t>
      </w:r>
      <w:r>
        <w:rPr>
          <w:color w:val="231F20"/>
          <w:w w:val="95"/>
        </w:rPr>
        <w:t xml:space="preserve">technology have seen the emergence of off-site ‘fan parks’ where big screen </w:t>
      </w:r>
      <w:r>
        <w:rPr>
          <w:color w:val="231F20"/>
        </w:rPr>
        <w:t>b</w:t>
      </w:r>
      <w:r>
        <w:rPr>
          <w:color w:val="231F20"/>
        </w:rPr>
        <w:t>roadcasts</w:t>
      </w:r>
      <w:r>
        <w:rPr>
          <w:color w:val="231F20"/>
          <w:spacing w:val="-12"/>
        </w:rPr>
        <w:t xml:space="preserve"> </w:t>
      </w:r>
      <w:r>
        <w:rPr>
          <w:color w:val="231F20"/>
        </w:rPr>
        <w:t>of</w:t>
      </w:r>
      <w:r>
        <w:rPr>
          <w:color w:val="231F20"/>
          <w:spacing w:val="-12"/>
        </w:rPr>
        <w:t xml:space="preserve"> </w:t>
      </w:r>
      <w:r>
        <w:rPr>
          <w:color w:val="231F20"/>
        </w:rPr>
        <w:t>the</w:t>
      </w:r>
      <w:r>
        <w:rPr>
          <w:color w:val="231F20"/>
          <w:spacing w:val="-11"/>
        </w:rPr>
        <w:t xml:space="preserve"> </w:t>
      </w:r>
      <w:r>
        <w:rPr>
          <w:color w:val="231F20"/>
        </w:rPr>
        <w:t>sporting</w:t>
      </w:r>
      <w:r>
        <w:rPr>
          <w:color w:val="231F20"/>
          <w:spacing w:val="-12"/>
        </w:rPr>
        <w:t xml:space="preserve"> </w:t>
      </w:r>
      <w:r>
        <w:rPr>
          <w:color w:val="231F20"/>
        </w:rPr>
        <w:t>events</w:t>
      </w:r>
      <w:r>
        <w:rPr>
          <w:color w:val="231F20"/>
          <w:spacing w:val="-11"/>
        </w:rPr>
        <w:t xml:space="preserve"> </w:t>
      </w:r>
      <w:r>
        <w:rPr>
          <w:color w:val="231F20"/>
        </w:rPr>
        <w:t>may</w:t>
      </w:r>
      <w:r>
        <w:rPr>
          <w:color w:val="231F20"/>
          <w:spacing w:val="-12"/>
        </w:rPr>
        <w:t xml:space="preserve"> </w:t>
      </w:r>
      <w:r>
        <w:rPr>
          <w:color w:val="231F20"/>
        </w:rPr>
        <w:t>actually</w:t>
      </w:r>
      <w:r>
        <w:rPr>
          <w:color w:val="231F20"/>
          <w:spacing w:val="-11"/>
        </w:rPr>
        <w:t xml:space="preserve"> </w:t>
      </w:r>
      <w:r>
        <w:rPr>
          <w:color w:val="231F20"/>
        </w:rPr>
        <w:t>rival</w:t>
      </w:r>
      <w:r>
        <w:rPr>
          <w:color w:val="231F20"/>
          <w:spacing w:val="-12"/>
        </w:rPr>
        <w:t xml:space="preserve"> </w:t>
      </w:r>
      <w:r>
        <w:rPr>
          <w:color w:val="231F20"/>
        </w:rPr>
        <w:t>spectator</w:t>
      </w:r>
      <w:r>
        <w:rPr>
          <w:color w:val="231F20"/>
          <w:spacing w:val="-12"/>
        </w:rPr>
        <w:t xml:space="preserve"> </w:t>
      </w:r>
      <w:r>
        <w:rPr>
          <w:color w:val="231F20"/>
        </w:rPr>
        <w:t>numbers</w:t>
      </w:r>
      <w:r>
        <w:rPr>
          <w:color w:val="231F20"/>
          <w:spacing w:val="-11"/>
        </w:rPr>
        <w:t xml:space="preserve"> </w:t>
      </w:r>
      <w:r>
        <w:rPr>
          <w:color w:val="231F20"/>
        </w:rPr>
        <w:t xml:space="preserve">at the site of the competition. This trend has led Weed (2010) to question </w:t>
      </w:r>
      <w:r>
        <w:rPr>
          <w:color w:val="231F20"/>
          <w:w w:val="95"/>
        </w:rPr>
        <w:t>whether</w:t>
      </w:r>
      <w:r>
        <w:rPr>
          <w:color w:val="231F20"/>
          <w:spacing w:val="-8"/>
          <w:w w:val="95"/>
        </w:rPr>
        <w:t xml:space="preserve"> </w:t>
      </w:r>
      <w:r>
        <w:rPr>
          <w:color w:val="231F20"/>
          <w:w w:val="95"/>
        </w:rPr>
        <w:t>basic</w:t>
      </w:r>
      <w:r>
        <w:rPr>
          <w:color w:val="231F20"/>
          <w:spacing w:val="-8"/>
          <w:w w:val="95"/>
        </w:rPr>
        <w:t xml:space="preserve"> </w:t>
      </w:r>
      <w:r>
        <w:rPr>
          <w:color w:val="231F20"/>
          <w:w w:val="95"/>
        </w:rPr>
        <w:t>assumptions</w:t>
      </w:r>
      <w:r>
        <w:rPr>
          <w:color w:val="231F20"/>
          <w:spacing w:val="-8"/>
          <w:w w:val="95"/>
        </w:rPr>
        <w:t xml:space="preserve"> </w:t>
      </w:r>
      <w:r>
        <w:rPr>
          <w:color w:val="231F20"/>
          <w:w w:val="95"/>
        </w:rPr>
        <w:t>that</w:t>
      </w:r>
      <w:r>
        <w:rPr>
          <w:color w:val="231F20"/>
          <w:spacing w:val="-8"/>
          <w:w w:val="95"/>
        </w:rPr>
        <w:t xml:space="preserve"> </w:t>
      </w:r>
      <w:r>
        <w:rPr>
          <w:color w:val="231F20"/>
          <w:w w:val="95"/>
        </w:rPr>
        <w:t>have</w:t>
      </w:r>
      <w:r>
        <w:rPr>
          <w:color w:val="231F20"/>
          <w:spacing w:val="-8"/>
          <w:w w:val="95"/>
        </w:rPr>
        <w:t xml:space="preserve"> </w:t>
      </w:r>
      <w:r>
        <w:rPr>
          <w:color w:val="231F20"/>
          <w:w w:val="95"/>
        </w:rPr>
        <w:t>been</w:t>
      </w:r>
      <w:r>
        <w:rPr>
          <w:color w:val="231F20"/>
          <w:spacing w:val="-8"/>
          <w:w w:val="95"/>
        </w:rPr>
        <w:t xml:space="preserve"> </w:t>
      </w:r>
      <w:r>
        <w:rPr>
          <w:color w:val="231F20"/>
          <w:w w:val="95"/>
        </w:rPr>
        <w:t>traditionally</w:t>
      </w:r>
      <w:r>
        <w:rPr>
          <w:color w:val="231F20"/>
          <w:spacing w:val="-8"/>
          <w:w w:val="95"/>
        </w:rPr>
        <w:t xml:space="preserve"> </w:t>
      </w:r>
      <w:r>
        <w:rPr>
          <w:color w:val="231F20"/>
          <w:w w:val="95"/>
        </w:rPr>
        <w:t>held</w:t>
      </w:r>
      <w:r>
        <w:rPr>
          <w:color w:val="231F20"/>
          <w:spacing w:val="-8"/>
          <w:w w:val="95"/>
        </w:rPr>
        <w:t xml:space="preserve"> </w:t>
      </w:r>
      <w:r>
        <w:rPr>
          <w:color w:val="231F20"/>
          <w:w w:val="95"/>
        </w:rPr>
        <w:t>related</w:t>
      </w:r>
      <w:r>
        <w:rPr>
          <w:color w:val="231F20"/>
          <w:spacing w:val="-8"/>
          <w:w w:val="95"/>
        </w:rPr>
        <w:t xml:space="preserve"> </w:t>
      </w:r>
      <w:r>
        <w:rPr>
          <w:color w:val="231F20"/>
          <w:w w:val="95"/>
        </w:rPr>
        <w:t>to</w:t>
      </w:r>
      <w:r>
        <w:rPr>
          <w:color w:val="231F20"/>
          <w:spacing w:val="-8"/>
          <w:w w:val="95"/>
        </w:rPr>
        <w:t xml:space="preserve"> </w:t>
      </w:r>
      <w:r>
        <w:rPr>
          <w:color w:val="231F20"/>
          <w:w w:val="95"/>
        </w:rPr>
        <w:t xml:space="preserve">sport </w:t>
      </w:r>
      <w:r>
        <w:rPr>
          <w:color w:val="231F20"/>
          <w:spacing w:val="-2"/>
        </w:rPr>
        <w:t>travel</w:t>
      </w:r>
      <w:r>
        <w:rPr>
          <w:color w:val="231F20"/>
          <w:spacing w:val="-6"/>
        </w:rPr>
        <w:t xml:space="preserve"> </w:t>
      </w:r>
      <w:r>
        <w:rPr>
          <w:color w:val="231F20"/>
          <w:spacing w:val="-2"/>
        </w:rPr>
        <w:t>motivations</w:t>
      </w:r>
      <w:r>
        <w:rPr>
          <w:color w:val="231F20"/>
          <w:spacing w:val="-6"/>
        </w:rPr>
        <w:t xml:space="preserve"> </w:t>
      </w:r>
      <w:r>
        <w:rPr>
          <w:color w:val="231F20"/>
          <w:spacing w:val="-2"/>
        </w:rPr>
        <w:t>are</w:t>
      </w:r>
      <w:r>
        <w:rPr>
          <w:color w:val="231F20"/>
          <w:spacing w:val="-6"/>
        </w:rPr>
        <w:t xml:space="preserve"> </w:t>
      </w:r>
      <w:r>
        <w:rPr>
          <w:color w:val="231F20"/>
          <w:spacing w:val="-2"/>
        </w:rPr>
        <w:t>still</w:t>
      </w:r>
      <w:r>
        <w:rPr>
          <w:color w:val="231F20"/>
          <w:spacing w:val="-6"/>
        </w:rPr>
        <w:t xml:space="preserve"> </w:t>
      </w:r>
      <w:r>
        <w:rPr>
          <w:color w:val="231F20"/>
          <w:spacing w:val="-2"/>
        </w:rPr>
        <w:t>valid.</w:t>
      </w:r>
      <w:r>
        <w:rPr>
          <w:color w:val="231F20"/>
          <w:spacing w:val="-6"/>
        </w:rPr>
        <w:t xml:space="preserve"> </w:t>
      </w:r>
      <w:r>
        <w:rPr>
          <w:color w:val="231F20"/>
          <w:spacing w:val="-2"/>
        </w:rPr>
        <w:t>Buckley</w:t>
      </w:r>
      <w:r>
        <w:rPr>
          <w:color w:val="231F20"/>
          <w:spacing w:val="-6"/>
        </w:rPr>
        <w:t xml:space="preserve"> </w:t>
      </w:r>
      <w:r>
        <w:rPr>
          <w:i/>
          <w:color w:val="231F20"/>
          <w:spacing w:val="-2"/>
        </w:rPr>
        <w:t>et</w:t>
      </w:r>
      <w:r>
        <w:rPr>
          <w:i/>
          <w:color w:val="231F20"/>
          <w:spacing w:val="-6"/>
        </w:rPr>
        <w:t xml:space="preserve"> </w:t>
      </w:r>
      <w:r>
        <w:rPr>
          <w:i/>
          <w:color w:val="231F20"/>
          <w:spacing w:val="-2"/>
        </w:rPr>
        <w:t>al</w:t>
      </w:r>
      <w:r>
        <w:rPr>
          <w:color w:val="231F20"/>
          <w:spacing w:val="-2"/>
        </w:rPr>
        <w:t>.</w:t>
      </w:r>
      <w:r>
        <w:rPr>
          <w:color w:val="231F20"/>
          <w:spacing w:val="-6"/>
        </w:rPr>
        <w:t xml:space="preserve"> </w:t>
      </w:r>
      <w:r>
        <w:rPr>
          <w:color w:val="231F20"/>
          <w:spacing w:val="-2"/>
        </w:rPr>
        <w:t>(2015)</w:t>
      </w:r>
      <w:r>
        <w:rPr>
          <w:color w:val="231F20"/>
          <w:spacing w:val="-6"/>
        </w:rPr>
        <w:t xml:space="preserve"> </w:t>
      </w:r>
      <w:r>
        <w:rPr>
          <w:color w:val="231F20"/>
          <w:spacing w:val="-2"/>
        </w:rPr>
        <w:t>predict</w:t>
      </w:r>
      <w:r>
        <w:rPr>
          <w:color w:val="231F20"/>
          <w:spacing w:val="-6"/>
        </w:rPr>
        <w:t xml:space="preserve"> </w:t>
      </w:r>
      <w:r>
        <w:rPr>
          <w:color w:val="231F20"/>
          <w:spacing w:val="-2"/>
        </w:rPr>
        <w:t>that</w:t>
      </w:r>
      <w:r>
        <w:rPr>
          <w:color w:val="231F20"/>
          <w:spacing w:val="-6"/>
        </w:rPr>
        <w:t xml:space="preserve"> </w:t>
      </w:r>
      <w:r>
        <w:rPr>
          <w:color w:val="231F20"/>
          <w:spacing w:val="-2"/>
        </w:rPr>
        <w:t xml:space="preserve">tourists </w:t>
      </w:r>
      <w:r>
        <w:rPr>
          <w:color w:val="231F20"/>
        </w:rPr>
        <w:t>will</w:t>
      </w:r>
      <w:r>
        <w:rPr>
          <w:color w:val="231F20"/>
          <w:spacing w:val="-10"/>
        </w:rPr>
        <w:t xml:space="preserve"> </w:t>
      </w:r>
      <w:r>
        <w:rPr>
          <w:color w:val="231F20"/>
        </w:rPr>
        <w:t>increasingly</w:t>
      </w:r>
      <w:r>
        <w:rPr>
          <w:color w:val="231F20"/>
          <w:spacing w:val="-10"/>
        </w:rPr>
        <w:t xml:space="preserve"> </w:t>
      </w:r>
      <w:r>
        <w:rPr>
          <w:color w:val="231F20"/>
        </w:rPr>
        <w:t>take</w:t>
      </w:r>
      <w:r>
        <w:rPr>
          <w:color w:val="231F20"/>
          <w:spacing w:val="-10"/>
        </w:rPr>
        <w:t xml:space="preserve"> </w:t>
      </w:r>
      <w:r>
        <w:rPr>
          <w:color w:val="231F20"/>
        </w:rPr>
        <w:t>on</w:t>
      </w:r>
      <w:r>
        <w:rPr>
          <w:color w:val="231F20"/>
          <w:spacing w:val="-10"/>
        </w:rPr>
        <w:t xml:space="preserve"> </w:t>
      </w:r>
      <w:r>
        <w:rPr>
          <w:color w:val="231F20"/>
        </w:rPr>
        <w:t>the</w:t>
      </w:r>
      <w:r>
        <w:rPr>
          <w:color w:val="231F20"/>
          <w:spacing w:val="-10"/>
        </w:rPr>
        <w:t xml:space="preserve"> </w:t>
      </w:r>
      <w:r>
        <w:rPr>
          <w:color w:val="231F20"/>
        </w:rPr>
        <w:t>traits</w:t>
      </w:r>
      <w:r>
        <w:rPr>
          <w:color w:val="231F20"/>
          <w:spacing w:val="-10"/>
        </w:rPr>
        <w:t xml:space="preserve"> </w:t>
      </w:r>
      <w:r>
        <w:rPr>
          <w:color w:val="231F20"/>
        </w:rPr>
        <w:t>of cyborgs</w:t>
      </w:r>
      <w:r>
        <w:rPr>
          <w:color w:val="231F20"/>
          <w:spacing w:val="-10"/>
        </w:rPr>
        <w:t xml:space="preserve"> </w:t>
      </w:r>
      <w:r>
        <w:rPr>
          <w:color w:val="231F20"/>
        </w:rPr>
        <w:t>as</w:t>
      </w:r>
      <w:r>
        <w:rPr>
          <w:color w:val="231F20"/>
          <w:spacing w:val="-10"/>
        </w:rPr>
        <w:t xml:space="preserve"> </w:t>
      </w:r>
      <w:r>
        <w:rPr>
          <w:color w:val="231F20"/>
        </w:rPr>
        <w:t>our</w:t>
      </w:r>
      <w:r>
        <w:rPr>
          <w:color w:val="231F20"/>
          <w:spacing w:val="-10"/>
        </w:rPr>
        <w:t xml:space="preserve"> </w:t>
      </w:r>
      <w:r>
        <w:rPr>
          <w:color w:val="231F20"/>
        </w:rPr>
        <w:t>physical</w:t>
      </w:r>
      <w:r>
        <w:rPr>
          <w:color w:val="231F20"/>
          <w:spacing w:val="-10"/>
        </w:rPr>
        <w:t xml:space="preserve"> </w:t>
      </w:r>
      <w:r>
        <w:rPr>
          <w:color w:val="231F20"/>
        </w:rPr>
        <w:t>and</w:t>
      </w:r>
      <w:r>
        <w:rPr>
          <w:color w:val="231F20"/>
          <w:spacing w:val="-10"/>
        </w:rPr>
        <w:t xml:space="preserve"> </w:t>
      </w:r>
      <w:r>
        <w:rPr>
          <w:color w:val="231F20"/>
        </w:rPr>
        <w:t xml:space="preserve">sensory </w:t>
      </w:r>
      <w:r>
        <w:rPr>
          <w:color w:val="231F20"/>
          <w:w w:val="95"/>
        </w:rPr>
        <w:t xml:space="preserve">capabilities are augmented through built devices. This is already happening </w:t>
      </w:r>
      <w:r>
        <w:rPr>
          <w:color w:val="231F20"/>
        </w:rPr>
        <w:t>through</w:t>
      </w:r>
      <w:r>
        <w:rPr>
          <w:color w:val="231F20"/>
          <w:spacing w:val="-11"/>
        </w:rPr>
        <w:t xml:space="preserve"> </w:t>
      </w:r>
      <w:r>
        <w:rPr>
          <w:color w:val="231F20"/>
        </w:rPr>
        <w:t>tourism-related</w:t>
      </w:r>
      <w:r>
        <w:rPr>
          <w:color w:val="231F20"/>
          <w:spacing w:val="-11"/>
        </w:rPr>
        <w:t xml:space="preserve"> </w:t>
      </w:r>
      <w:r>
        <w:rPr>
          <w:color w:val="231F20"/>
        </w:rPr>
        <w:t>smartphone</w:t>
      </w:r>
      <w:r>
        <w:rPr>
          <w:color w:val="231F20"/>
          <w:spacing w:val="-11"/>
        </w:rPr>
        <w:t xml:space="preserve"> </w:t>
      </w:r>
      <w:r>
        <w:rPr>
          <w:color w:val="231F20"/>
        </w:rPr>
        <w:t>applications</w:t>
      </w:r>
      <w:r>
        <w:rPr>
          <w:color w:val="231F20"/>
          <w:spacing w:val="-11"/>
        </w:rPr>
        <w:t xml:space="preserve"> </w:t>
      </w:r>
      <w:r>
        <w:rPr>
          <w:color w:val="231F20"/>
        </w:rPr>
        <w:t>and</w:t>
      </w:r>
      <w:r>
        <w:rPr>
          <w:color w:val="231F20"/>
          <w:spacing w:val="-11"/>
        </w:rPr>
        <w:t xml:space="preserve"> </w:t>
      </w:r>
      <w:r>
        <w:rPr>
          <w:color w:val="231F20"/>
        </w:rPr>
        <w:t>w</w:t>
      </w:r>
      <w:r>
        <w:rPr>
          <w:color w:val="231F20"/>
        </w:rPr>
        <w:t>earable</w:t>
      </w:r>
      <w:r>
        <w:rPr>
          <w:color w:val="231F20"/>
          <w:spacing w:val="-11"/>
        </w:rPr>
        <w:t xml:space="preserve"> </w:t>
      </w:r>
      <w:r>
        <w:rPr>
          <w:color w:val="231F20"/>
        </w:rPr>
        <w:t>aids</w:t>
      </w:r>
      <w:r>
        <w:rPr>
          <w:color w:val="231F20"/>
          <w:spacing w:val="-11"/>
        </w:rPr>
        <w:t xml:space="preserve"> </w:t>
      </w:r>
      <w:r>
        <w:rPr>
          <w:color w:val="231F20"/>
        </w:rPr>
        <w:t>like Google Glass and Samsung Gear headsets that enable viewers to control camera</w:t>
      </w:r>
      <w:r>
        <w:rPr>
          <w:color w:val="231F20"/>
          <w:spacing w:val="-5"/>
        </w:rPr>
        <w:t xml:space="preserve"> </w:t>
      </w:r>
      <w:r>
        <w:rPr>
          <w:color w:val="231F20"/>
        </w:rPr>
        <w:t>angles</w:t>
      </w:r>
      <w:r>
        <w:rPr>
          <w:color w:val="231F20"/>
          <w:spacing w:val="-5"/>
        </w:rPr>
        <w:t xml:space="preserve"> </w:t>
      </w:r>
      <w:r>
        <w:rPr>
          <w:color w:val="231F20"/>
        </w:rPr>
        <w:t>when</w:t>
      </w:r>
      <w:r>
        <w:rPr>
          <w:color w:val="231F20"/>
          <w:spacing w:val="-5"/>
        </w:rPr>
        <w:t xml:space="preserve"> </w:t>
      </w:r>
      <w:r>
        <w:rPr>
          <w:color w:val="231F20"/>
        </w:rPr>
        <w:t>watching</w:t>
      </w:r>
      <w:r>
        <w:rPr>
          <w:color w:val="231F20"/>
          <w:spacing w:val="-5"/>
        </w:rPr>
        <w:t xml:space="preserve"> </w:t>
      </w:r>
      <w:r>
        <w:rPr>
          <w:color w:val="231F20"/>
        </w:rPr>
        <w:t>a</w:t>
      </w:r>
      <w:r>
        <w:rPr>
          <w:color w:val="231F20"/>
          <w:spacing w:val="-5"/>
        </w:rPr>
        <w:t xml:space="preserve"> </w:t>
      </w:r>
      <w:r>
        <w:rPr>
          <w:color w:val="231F20"/>
        </w:rPr>
        <w:t>sport</w:t>
      </w:r>
      <w:r>
        <w:rPr>
          <w:color w:val="231F20"/>
          <w:spacing w:val="-5"/>
        </w:rPr>
        <w:t xml:space="preserve"> </w:t>
      </w:r>
      <w:r>
        <w:rPr>
          <w:color w:val="231F20"/>
        </w:rPr>
        <w:t>broadcast.</w:t>
      </w:r>
    </w:p>
    <w:p w14:paraId="1CBFF8AB" w14:textId="77777777" w:rsidR="00AE0598" w:rsidRDefault="00AE0598">
      <w:pPr>
        <w:spacing w:line="232" w:lineRule="auto"/>
        <w:jc w:val="both"/>
        <w:sectPr w:rsidR="00AE0598">
          <w:pgSz w:w="8850" w:h="13270"/>
          <w:pgMar w:top="720" w:right="1060" w:bottom="280" w:left="1080" w:header="720" w:footer="720" w:gutter="0"/>
          <w:cols w:space="720"/>
        </w:sectPr>
      </w:pPr>
    </w:p>
    <w:p w14:paraId="0BB37258" w14:textId="77777777" w:rsidR="00AE0598" w:rsidRDefault="0069255A">
      <w:pPr>
        <w:spacing w:before="87"/>
        <w:ind w:left="3808"/>
        <w:rPr>
          <w:rFonts w:ascii="Trebuchet MS"/>
          <w:sz w:val="14"/>
        </w:rPr>
      </w:pPr>
      <w:r>
        <w:rPr>
          <w:rFonts w:ascii="Trebuchet MS"/>
          <w:color w:val="231F20"/>
          <w:w w:val="105"/>
          <w:sz w:val="14"/>
        </w:rPr>
        <w:lastRenderedPageBreak/>
        <w:t>Evolutionary</w:t>
      </w:r>
      <w:r>
        <w:rPr>
          <w:rFonts w:ascii="Trebuchet MS"/>
          <w:color w:val="231F20"/>
          <w:spacing w:val="-12"/>
          <w:w w:val="105"/>
          <w:sz w:val="14"/>
        </w:rPr>
        <w:t xml:space="preserve"> </w:t>
      </w:r>
      <w:r>
        <w:rPr>
          <w:rFonts w:ascii="Trebuchet MS"/>
          <w:color w:val="231F20"/>
          <w:w w:val="105"/>
          <w:sz w:val="14"/>
        </w:rPr>
        <w:t>Trends</w:t>
      </w:r>
      <w:r>
        <w:rPr>
          <w:rFonts w:ascii="Trebuchet MS"/>
          <w:color w:val="231F20"/>
          <w:spacing w:val="-11"/>
          <w:w w:val="105"/>
          <w:sz w:val="14"/>
        </w:rPr>
        <w:t xml:space="preserve"> </w:t>
      </w:r>
      <w:r>
        <w:rPr>
          <w:rFonts w:ascii="Trebuchet MS"/>
          <w:color w:val="231F20"/>
          <w:w w:val="105"/>
          <w:sz w:val="14"/>
        </w:rPr>
        <w:t>in</w:t>
      </w:r>
      <w:r>
        <w:rPr>
          <w:rFonts w:ascii="Trebuchet MS"/>
          <w:color w:val="231F20"/>
          <w:spacing w:val="-11"/>
          <w:w w:val="105"/>
          <w:sz w:val="14"/>
        </w:rPr>
        <w:t xml:space="preserve"> </w:t>
      </w:r>
      <w:r>
        <w:rPr>
          <w:rFonts w:ascii="Trebuchet MS"/>
          <w:color w:val="231F20"/>
          <w:w w:val="105"/>
          <w:sz w:val="14"/>
        </w:rPr>
        <w:t>Sport</w:t>
      </w:r>
      <w:r>
        <w:rPr>
          <w:rFonts w:ascii="Trebuchet MS"/>
          <w:color w:val="231F20"/>
          <w:spacing w:val="-11"/>
          <w:w w:val="105"/>
          <w:sz w:val="14"/>
        </w:rPr>
        <w:t xml:space="preserve"> </w:t>
      </w:r>
      <w:r>
        <w:rPr>
          <w:rFonts w:ascii="Trebuchet MS"/>
          <w:color w:val="231F20"/>
          <w:w w:val="105"/>
          <w:sz w:val="14"/>
        </w:rPr>
        <w:t>Tourism</w:t>
      </w:r>
      <w:r>
        <w:rPr>
          <w:rFonts w:ascii="Trebuchet MS"/>
          <w:color w:val="231F20"/>
          <w:spacing w:val="74"/>
          <w:w w:val="105"/>
          <w:sz w:val="14"/>
        </w:rPr>
        <w:t xml:space="preserve"> </w:t>
      </w:r>
      <w:r>
        <w:rPr>
          <w:rFonts w:ascii="Trebuchet MS"/>
          <w:color w:val="231F20"/>
          <w:spacing w:val="-5"/>
          <w:w w:val="105"/>
          <w:sz w:val="14"/>
        </w:rPr>
        <w:t>221</w:t>
      </w:r>
    </w:p>
    <w:p w14:paraId="7E36529C" w14:textId="77777777" w:rsidR="00AE0598" w:rsidRDefault="00AE0598">
      <w:pPr>
        <w:pStyle w:val="Corpodetexto"/>
        <w:spacing w:before="7"/>
        <w:rPr>
          <w:rFonts w:ascii="Trebuchet MS"/>
          <w:sz w:val="27"/>
        </w:rPr>
      </w:pPr>
    </w:p>
    <w:p w14:paraId="050C372B" w14:textId="3ABE76F3" w:rsidR="00AE0598" w:rsidRDefault="0069255A">
      <w:pPr>
        <w:spacing w:before="99"/>
        <w:ind w:left="223"/>
        <w:jc w:val="both"/>
        <w:rPr>
          <w:rFonts w:ascii="Trebuchet MS"/>
          <w:sz w:val="20"/>
        </w:rPr>
      </w:pPr>
      <w:r>
        <w:rPr>
          <w:noProof/>
        </w:rPr>
        <mc:AlternateContent>
          <mc:Choice Requires="wps">
            <w:drawing>
              <wp:anchor distT="0" distB="0" distL="114300" distR="114300" simplePos="0" relativeHeight="483761664" behindDoc="1" locked="0" layoutInCell="1" allowOverlap="1" wp14:anchorId="06E05CF6" wp14:editId="73C3D48F">
                <wp:simplePos x="0" y="0"/>
                <wp:positionH relativeFrom="page">
                  <wp:posOffset>755650</wp:posOffset>
                </wp:positionH>
                <wp:positionV relativeFrom="paragraph">
                  <wp:posOffset>14605</wp:posOffset>
                </wp:positionV>
                <wp:extent cx="4104005" cy="5147310"/>
                <wp:effectExtent l="0" t="0" r="0" b="0"/>
                <wp:wrapNone/>
                <wp:docPr id="1" name="docshape3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04005" cy="5147310"/>
                        </a:xfrm>
                        <a:prstGeom prst="rect">
                          <a:avLst/>
                        </a:prstGeom>
                        <a:solidFill>
                          <a:srgbClr val="DCDDD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A9770C" id="docshape345" o:spid="_x0000_s1026" style="position:absolute;margin-left:59.5pt;margin-top:1.15pt;width:323.15pt;height:405.3pt;z-index:-195548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" fillcolor="#dcddde" stroked="f">
                <w10:wrap anchorx="page"/>
              </v:rect>
            </w:pict>
          </mc:Fallback>
        </mc:AlternateContent>
      </w:r>
      <w:r>
        <w:rPr>
          <w:rFonts w:ascii="Trebuchet MS"/>
          <w:color w:val="231F20"/>
          <w:sz w:val="20"/>
        </w:rPr>
        <w:t>Focus</w:t>
      </w:r>
      <w:r>
        <w:rPr>
          <w:rFonts w:ascii="Trebuchet MS"/>
          <w:color w:val="231F20"/>
          <w:spacing w:val="4"/>
          <w:sz w:val="20"/>
        </w:rPr>
        <w:t xml:space="preserve"> </w:t>
      </w:r>
      <w:r>
        <w:rPr>
          <w:rFonts w:ascii="Trebuchet MS"/>
          <w:color w:val="231F20"/>
          <w:sz w:val="20"/>
        </w:rPr>
        <w:t>Point</w:t>
      </w:r>
      <w:r>
        <w:rPr>
          <w:rFonts w:ascii="Trebuchet MS"/>
          <w:color w:val="231F20"/>
          <w:spacing w:val="4"/>
          <w:sz w:val="20"/>
        </w:rPr>
        <w:t xml:space="preserve"> </w:t>
      </w:r>
      <w:r>
        <w:rPr>
          <w:rFonts w:ascii="Trebuchet MS"/>
          <w:color w:val="231F20"/>
          <w:sz w:val="20"/>
        </w:rPr>
        <w:t>10.3:</w:t>
      </w:r>
      <w:r>
        <w:rPr>
          <w:rFonts w:ascii="Trebuchet MS"/>
          <w:color w:val="231F20"/>
          <w:spacing w:val="5"/>
          <w:sz w:val="20"/>
        </w:rPr>
        <w:t xml:space="preserve"> </w:t>
      </w:r>
      <w:r>
        <w:rPr>
          <w:rFonts w:ascii="Trebuchet MS"/>
          <w:color w:val="231F20"/>
          <w:sz w:val="20"/>
        </w:rPr>
        <w:t>The</w:t>
      </w:r>
      <w:r>
        <w:rPr>
          <w:rFonts w:ascii="Trebuchet MS"/>
          <w:color w:val="231F20"/>
          <w:spacing w:val="4"/>
          <w:sz w:val="20"/>
        </w:rPr>
        <w:t xml:space="preserve"> </w:t>
      </w:r>
      <w:r>
        <w:rPr>
          <w:rFonts w:ascii="Trebuchet MS"/>
          <w:color w:val="231F20"/>
          <w:sz w:val="20"/>
        </w:rPr>
        <w:t>E-Sport</w:t>
      </w:r>
      <w:r>
        <w:rPr>
          <w:rFonts w:ascii="Trebuchet MS"/>
          <w:color w:val="231F20"/>
          <w:spacing w:val="5"/>
          <w:sz w:val="20"/>
        </w:rPr>
        <w:t xml:space="preserve"> </w:t>
      </w:r>
      <w:r>
        <w:rPr>
          <w:rFonts w:ascii="Trebuchet MS"/>
          <w:color w:val="231F20"/>
          <w:spacing w:val="-2"/>
          <w:sz w:val="20"/>
        </w:rPr>
        <w:t>Revolution</w:t>
      </w:r>
    </w:p>
    <w:p w14:paraId="40AD0FEA" w14:textId="77777777" w:rsidR="00AE0598" w:rsidRDefault="0069255A">
      <w:pPr>
        <w:pStyle w:val="Corpodetexto"/>
        <w:spacing w:before="122" w:line="232" w:lineRule="auto"/>
        <w:ind w:left="223" w:right="241"/>
        <w:jc w:val="both"/>
      </w:pPr>
      <w:r>
        <w:rPr>
          <w:color w:val="231F20"/>
        </w:rPr>
        <w:t xml:space="preserve">While the conceptualisation of sport tourism in this book clearly </w:t>
      </w:r>
      <w:r>
        <w:rPr>
          <w:color w:val="231F20"/>
          <w:w w:val="95"/>
        </w:rPr>
        <w:t>identifies</w:t>
      </w:r>
      <w:r>
        <w:rPr>
          <w:color w:val="231F20"/>
          <w:spacing w:val="-10"/>
          <w:w w:val="95"/>
        </w:rPr>
        <w:t xml:space="preserve"> </w:t>
      </w:r>
      <w:r>
        <w:rPr>
          <w:color w:val="231F20"/>
          <w:w w:val="95"/>
        </w:rPr>
        <w:t>gross</w:t>
      </w:r>
      <w:r>
        <w:rPr>
          <w:color w:val="231F20"/>
          <w:spacing w:val="-9"/>
          <w:w w:val="95"/>
        </w:rPr>
        <w:t xml:space="preserve"> </w:t>
      </w:r>
      <w:r>
        <w:rPr>
          <w:color w:val="231F20"/>
          <w:w w:val="95"/>
        </w:rPr>
        <w:t>motor</w:t>
      </w:r>
      <w:r>
        <w:rPr>
          <w:color w:val="231F20"/>
          <w:spacing w:val="-9"/>
          <w:w w:val="95"/>
        </w:rPr>
        <w:t xml:space="preserve"> </w:t>
      </w:r>
      <w:r>
        <w:rPr>
          <w:color w:val="231F20"/>
          <w:w w:val="95"/>
        </w:rPr>
        <w:t>movement</w:t>
      </w:r>
      <w:r>
        <w:rPr>
          <w:color w:val="231F20"/>
          <w:spacing w:val="-9"/>
          <w:w w:val="95"/>
        </w:rPr>
        <w:t xml:space="preserve"> </w:t>
      </w:r>
      <w:r>
        <w:rPr>
          <w:color w:val="231F20"/>
          <w:w w:val="95"/>
        </w:rPr>
        <w:t>as</w:t>
      </w:r>
      <w:r>
        <w:rPr>
          <w:color w:val="231F20"/>
          <w:spacing w:val="-10"/>
          <w:w w:val="95"/>
        </w:rPr>
        <w:t xml:space="preserve"> </w:t>
      </w:r>
      <w:r>
        <w:rPr>
          <w:color w:val="231F20"/>
          <w:w w:val="95"/>
        </w:rPr>
        <w:t>a</w:t>
      </w:r>
      <w:r>
        <w:rPr>
          <w:color w:val="231F20"/>
          <w:spacing w:val="-9"/>
          <w:w w:val="95"/>
        </w:rPr>
        <w:t xml:space="preserve"> </w:t>
      </w:r>
      <w:r>
        <w:rPr>
          <w:color w:val="231F20"/>
          <w:w w:val="95"/>
        </w:rPr>
        <w:t>key</w:t>
      </w:r>
      <w:r>
        <w:rPr>
          <w:color w:val="231F20"/>
          <w:spacing w:val="-9"/>
          <w:w w:val="95"/>
        </w:rPr>
        <w:t xml:space="preserve"> </w:t>
      </w:r>
      <w:r>
        <w:rPr>
          <w:color w:val="231F20"/>
          <w:w w:val="95"/>
        </w:rPr>
        <w:t>characteristic</w:t>
      </w:r>
      <w:r>
        <w:rPr>
          <w:color w:val="231F20"/>
          <w:spacing w:val="-9"/>
          <w:w w:val="95"/>
        </w:rPr>
        <w:t xml:space="preserve"> </w:t>
      </w:r>
      <w:r>
        <w:rPr>
          <w:color w:val="231F20"/>
          <w:w w:val="95"/>
        </w:rPr>
        <w:t>of</w:t>
      </w:r>
      <w:r>
        <w:rPr>
          <w:color w:val="231F20"/>
          <w:spacing w:val="-10"/>
          <w:w w:val="95"/>
        </w:rPr>
        <w:t xml:space="preserve"> </w:t>
      </w:r>
      <w:r>
        <w:rPr>
          <w:color w:val="231F20"/>
          <w:w w:val="95"/>
        </w:rPr>
        <w:t>sport,</w:t>
      </w:r>
      <w:r>
        <w:rPr>
          <w:color w:val="231F20"/>
          <w:spacing w:val="-9"/>
          <w:w w:val="95"/>
        </w:rPr>
        <w:t xml:space="preserve"> </w:t>
      </w:r>
      <w:r>
        <w:rPr>
          <w:color w:val="231F20"/>
          <w:w w:val="95"/>
        </w:rPr>
        <w:t>this</w:t>
      </w:r>
      <w:r>
        <w:rPr>
          <w:color w:val="231F20"/>
          <w:spacing w:val="-9"/>
          <w:w w:val="95"/>
        </w:rPr>
        <w:t xml:space="preserve"> </w:t>
      </w:r>
      <w:r>
        <w:rPr>
          <w:color w:val="231F20"/>
          <w:w w:val="95"/>
        </w:rPr>
        <w:t xml:space="preserve">view is being challenged with the emergence of e-sports. Chen (2017) reports </w:t>
      </w:r>
      <w:r>
        <w:rPr>
          <w:color w:val="231F20"/>
        </w:rPr>
        <w:t>that</w:t>
      </w:r>
      <w:r>
        <w:rPr>
          <w:color w:val="231F20"/>
          <w:spacing w:val="-4"/>
        </w:rPr>
        <w:t xml:space="preserve"> </w:t>
      </w:r>
      <w:r>
        <w:rPr>
          <w:color w:val="231F20"/>
        </w:rPr>
        <w:t>43</w:t>
      </w:r>
      <w:r>
        <w:rPr>
          <w:color w:val="231F20"/>
          <w:spacing w:val="-4"/>
        </w:rPr>
        <w:t xml:space="preserve"> </w:t>
      </w:r>
      <w:r>
        <w:rPr>
          <w:color w:val="231F20"/>
        </w:rPr>
        <w:t>million</w:t>
      </w:r>
      <w:r>
        <w:rPr>
          <w:color w:val="231F20"/>
          <w:spacing w:val="-4"/>
        </w:rPr>
        <w:t xml:space="preserve"> </w:t>
      </w:r>
      <w:r>
        <w:rPr>
          <w:color w:val="231F20"/>
        </w:rPr>
        <w:t>people</w:t>
      </w:r>
      <w:r>
        <w:rPr>
          <w:color w:val="231F20"/>
          <w:spacing w:val="-4"/>
        </w:rPr>
        <w:t xml:space="preserve"> </w:t>
      </w:r>
      <w:r>
        <w:rPr>
          <w:color w:val="231F20"/>
        </w:rPr>
        <w:t>tuned</w:t>
      </w:r>
      <w:r>
        <w:rPr>
          <w:color w:val="231F20"/>
          <w:spacing w:val="-4"/>
        </w:rPr>
        <w:t xml:space="preserve"> </w:t>
      </w:r>
      <w:r>
        <w:rPr>
          <w:color w:val="231F20"/>
        </w:rPr>
        <w:t>into</w:t>
      </w:r>
      <w:r>
        <w:rPr>
          <w:color w:val="231F20"/>
          <w:spacing w:val="-4"/>
        </w:rPr>
        <w:t xml:space="preserve"> </w:t>
      </w:r>
      <w:r>
        <w:rPr>
          <w:color w:val="231F20"/>
        </w:rPr>
        <w:t>a</w:t>
      </w:r>
      <w:r>
        <w:rPr>
          <w:color w:val="231F20"/>
          <w:spacing w:val="-4"/>
        </w:rPr>
        <w:t xml:space="preserve"> </w:t>
      </w:r>
      <w:r>
        <w:rPr>
          <w:color w:val="231F20"/>
        </w:rPr>
        <w:t>multip</w:t>
      </w:r>
      <w:r>
        <w:rPr>
          <w:color w:val="231F20"/>
        </w:rPr>
        <w:t>layer</w:t>
      </w:r>
      <w:r>
        <w:rPr>
          <w:color w:val="231F20"/>
          <w:spacing w:val="-4"/>
        </w:rPr>
        <w:t xml:space="preserve"> </w:t>
      </w:r>
      <w:r>
        <w:rPr>
          <w:color w:val="231F20"/>
        </w:rPr>
        <w:t>competition</w:t>
      </w:r>
      <w:r>
        <w:rPr>
          <w:color w:val="231F20"/>
          <w:spacing w:val="-4"/>
        </w:rPr>
        <w:t xml:space="preserve"> </w:t>
      </w:r>
      <w:r>
        <w:rPr>
          <w:color w:val="231F20"/>
        </w:rPr>
        <w:t xml:space="preserve">of League of Legends that was held in various cities throughout North America </w:t>
      </w:r>
      <w:r>
        <w:rPr>
          <w:color w:val="231F20"/>
          <w:spacing w:val="-2"/>
        </w:rPr>
        <w:t>in</w:t>
      </w:r>
      <w:r>
        <w:rPr>
          <w:color w:val="231F20"/>
          <w:spacing w:val="-10"/>
        </w:rPr>
        <w:t xml:space="preserve"> </w:t>
      </w:r>
      <w:r>
        <w:rPr>
          <w:color w:val="231F20"/>
          <w:spacing w:val="-2"/>
        </w:rPr>
        <w:t>2017.</w:t>
      </w:r>
      <w:r>
        <w:rPr>
          <w:color w:val="231F20"/>
          <w:spacing w:val="-9"/>
        </w:rPr>
        <w:t xml:space="preserve"> </w:t>
      </w:r>
      <w:r>
        <w:rPr>
          <w:color w:val="231F20"/>
          <w:spacing w:val="-2"/>
        </w:rPr>
        <w:t>While</w:t>
      </w:r>
      <w:r>
        <w:rPr>
          <w:color w:val="231F20"/>
          <w:spacing w:val="-10"/>
        </w:rPr>
        <w:t xml:space="preserve"> </w:t>
      </w:r>
      <w:r>
        <w:rPr>
          <w:color w:val="231F20"/>
          <w:spacing w:val="-2"/>
        </w:rPr>
        <w:t>many</w:t>
      </w:r>
      <w:r>
        <w:rPr>
          <w:color w:val="231F20"/>
          <w:spacing w:val="-9"/>
        </w:rPr>
        <w:t xml:space="preserve"> </w:t>
      </w:r>
      <w:r>
        <w:rPr>
          <w:color w:val="231F20"/>
          <w:spacing w:val="-2"/>
        </w:rPr>
        <w:t>of</w:t>
      </w:r>
      <w:r>
        <w:rPr>
          <w:color w:val="231F20"/>
        </w:rPr>
        <w:t xml:space="preserve"> </w:t>
      </w:r>
      <w:r>
        <w:rPr>
          <w:color w:val="231F20"/>
          <w:spacing w:val="-2"/>
        </w:rPr>
        <w:t>these</w:t>
      </w:r>
      <w:r>
        <w:rPr>
          <w:color w:val="231F20"/>
          <w:spacing w:val="-10"/>
        </w:rPr>
        <w:t xml:space="preserve"> </w:t>
      </w:r>
      <w:r>
        <w:rPr>
          <w:color w:val="231F20"/>
          <w:spacing w:val="-2"/>
        </w:rPr>
        <w:t>viewers</w:t>
      </w:r>
      <w:r>
        <w:rPr>
          <w:color w:val="231F20"/>
          <w:spacing w:val="-9"/>
        </w:rPr>
        <w:t xml:space="preserve"> </w:t>
      </w:r>
      <w:r>
        <w:rPr>
          <w:color w:val="231F20"/>
          <w:spacing w:val="-2"/>
        </w:rPr>
        <w:t>watched</w:t>
      </w:r>
      <w:r>
        <w:rPr>
          <w:color w:val="231F20"/>
          <w:spacing w:val="-10"/>
        </w:rPr>
        <w:t xml:space="preserve"> </w:t>
      </w:r>
      <w:r>
        <w:rPr>
          <w:color w:val="231F20"/>
          <w:spacing w:val="-2"/>
        </w:rPr>
        <w:t>from</w:t>
      </w:r>
      <w:r>
        <w:rPr>
          <w:color w:val="231F20"/>
          <w:spacing w:val="-9"/>
        </w:rPr>
        <w:t xml:space="preserve"> </w:t>
      </w:r>
      <w:r>
        <w:rPr>
          <w:color w:val="231F20"/>
          <w:spacing w:val="-2"/>
        </w:rPr>
        <w:t>the</w:t>
      </w:r>
      <w:r>
        <w:rPr>
          <w:color w:val="231F20"/>
          <w:spacing w:val="-10"/>
        </w:rPr>
        <w:t xml:space="preserve"> </w:t>
      </w:r>
      <w:r>
        <w:rPr>
          <w:color w:val="231F20"/>
          <w:spacing w:val="-2"/>
        </w:rPr>
        <w:t>screens</w:t>
      </w:r>
      <w:r>
        <w:rPr>
          <w:color w:val="231F20"/>
          <w:spacing w:val="-9"/>
        </w:rPr>
        <w:t xml:space="preserve"> </w:t>
      </w:r>
      <w:r>
        <w:rPr>
          <w:color w:val="231F20"/>
          <w:spacing w:val="-2"/>
        </w:rPr>
        <w:t>of</w:t>
      </w:r>
      <w:r>
        <w:rPr>
          <w:color w:val="231F20"/>
        </w:rPr>
        <w:t xml:space="preserve"> </w:t>
      </w:r>
      <w:r>
        <w:rPr>
          <w:color w:val="231F20"/>
          <w:spacing w:val="-2"/>
        </w:rPr>
        <w:t xml:space="preserve">their </w:t>
      </w:r>
      <w:r>
        <w:rPr>
          <w:color w:val="231F20"/>
        </w:rPr>
        <w:t>laptops,</w:t>
      </w:r>
      <w:r>
        <w:rPr>
          <w:color w:val="231F20"/>
          <w:spacing w:val="-8"/>
        </w:rPr>
        <w:t xml:space="preserve"> </w:t>
      </w:r>
      <w:r>
        <w:rPr>
          <w:color w:val="231F20"/>
        </w:rPr>
        <w:t>iPads</w:t>
      </w:r>
      <w:r>
        <w:rPr>
          <w:color w:val="231F20"/>
          <w:spacing w:val="-8"/>
        </w:rPr>
        <w:t xml:space="preserve"> </w:t>
      </w:r>
      <w:r>
        <w:rPr>
          <w:color w:val="231F20"/>
        </w:rPr>
        <w:t>or</w:t>
      </w:r>
      <w:r>
        <w:rPr>
          <w:color w:val="231F20"/>
          <w:spacing w:val="-8"/>
        </w:rPr>
        <w:t xml:space="preserve"> </w:t>
      </w:r>
      <w:r>
        <w:rPr>
          <w:color w:val="231F20"/>
        </w:rPr>
        <w:t>smartphones,</w:t>
      </w:r>
      <w:r>
        <w:rPr>
          <w:color w:val="231F20"/>
          <w:spacing w:val="-8"/>
        </w:rPr>
        <w:t xml:space="preserve"> </w:t>
      </w:r>
      <w:r>
        <w:rPr>
          <w:color w:val="231F20"/>
        </w:rPr>
        <w:t>it</w:t>
      </w:r>
      <w:r>
        <w:rPr>
          <w:color w:val="231F20"/>
          <w:spacing w:val="-8"/>
        </w:rPr>
        <w:t xml:space="preserve"> </w:t>
      </w:r>
      <w:r>
        <w:rPr>
          <w:color w:val="231F20"/>
        </w:rPr>
        <w:t>is</w:t>
      </w:r>
      <w:r>
        <w:rPr>
          <w:color w:val="231F20"/>
          <w:spacing w:val="-8"/>
        </w:rPr>
        <w:t xml:space="preserve"> </w:t>
      </w:r>
      <w:r>
        <w:rPr>
          <w:color w:val="231F20"/>
        </w:rPr>
        <w:t>likely</w:t>
      </w:r>
      <w:r>
        <w:rPr>
          <w:color w:val="231F20"/>
          <w:spacing w:val="-8"/>
        </w:rPr>
        <w:t xml:space="preserve"> </w:t>
      </w:r>
      <w:r>
        <w:rPr>
          <w:color w:val="231F20"/>
        </w:rPr>
        <w:t>that</w:t>
      </w:r>
      <w:r>
        <w:rPr>
          <w:color w:val="231F20"/>
          <w:spacing w:val="-8"/>
        </w:rPr>
        <w:t xml:space="preserve"> </w:t>
      </w:r>
      <w:r>
        <w:rPr>
          <w:color w:val="231F20"/>
        </w:rPr>
        <w:t>many</w:t>
      </w:r>
      <w:r>
        <w:rPr>
          <w:color w:val="231F20"/>
          <w:spacing w:val="-8"/>
        </w:rPr>
        <w:t xml:space="preserve"> </w:t>
      </w:r>
      <w:r>
        <w:rPr>
          <w:color w:val="231F20"/>
        </w:rPr>
        <w:t>travelled</w:t>
      </w:r>
      <w:r>
        <w:rPr>
          <w:color w:val="231F20"/>
          <w:spacing w:val="-8"/>
        </w:rPr>
        <w:t xml:space="preserve"> </w:t>
      </w:r>
      <w:r>
        <w:rPr>
          <w:color w:val="231F20"/>
        </w:rPr>
        <w:t>to</w:t>
      </w:r>
      <w:r>
        <w:rPr>
          <w:color w:val="231F20"/>
          <w:spacing w:val="-8"/>
        </w:rPr>
        <w:t xml:space="preserve"> </w:t>
      </w:r>
      <w:r>
        <w:rPr>
          <w:color w:val="231F20"/>
        </w:rPr>
        <w:t>watch or</w:t>
      </w:r>
      <w:r>
        <w:rPr>
          <w:color w:val="231F20"/>
          <w:spacing w:val="-1"/>
        </w:rPr>
        <w:t xml:space="preserve"> </w:t>
      </w:r>
      <w:r>
        <w:rPr>
          <w:color w:val="231F20"/>
        </w:rPr>
        <w:t>participate</w:t>
      </w:r>
      <w:r>
        <w:rPr>
          <w:color w:val="231F20"/>
          <w:spacing w:val="-1"/>
        </w:rPr>
        <w:t xml:space="preserve"> </w:t>
      </w:r>
      <w:r>
        <w:rPr>
          <w:color w:val="231F20"/>
        </w:rPr>
        <w:t>in</w:t>
      </w:r>
      <w:r>
        <w:rPr>
          <w:color w:val="231F20"/>
          <w:spacing w:val="-1"/>
        </w:rPr>
        <w:t xml:space="preserve"> </w:t>
      </w:r>
      <w:r>
        <w:rPr>
          <w:color w:val="231F20"/>
        </w:rPr>
        <w:t>the</w:t>
      </w:r>
      <w:r>
        <w:rPr>
          <w:color w:val="231F20"/>
          <w:spacing w:val="-1"/>
        </w:rPr>
        <w:t xml:space="preserve"> </w:t>
      </w:r>
      <w:r>
        <w:rPr>
          <w:color w:val="231F20"/>
        </w:rPr>
        <w:t>competition</w:t>
      </w:r>
      <w:r>
        <w:rPr>
          <w:color w:val="231F20"/>
          <w:spacing w:val="-1"/>
        </w:rPr>
        <w:t xml:space="preserve"> </w:t>
      </w:r>
      <w:r>
        <w:rPr>
          <w:color w:val="231F20"/>
        </w:rPr>
        <w:t>in</w:t>
      </w:r>
      <w:r>
        <w:rPr>
          <w:color w:val="231F20"/>
          <w:spacing w:val="-1"/>
        </w:rPr>
        <w:t xml:space="preserve"> </w:t>
      </w:r>
      <w:r>
        <w:rPr>
          <w:color w:val="231F20"/>
        </w:rPr>
        <w:t>person.</w:t>
      </w:r>
      <w:r>
        <w:rPr>
          <w:color w:val="231F20"/>
          <w:spacing w:val="-1"/>
        </w:rPr>
        <w:t xml:space="preserve"> </w:t>
      </w:r>
      <w:r>
        <w:rPr>
          <w:color w:val="231F20"/>
        </w:rPr>
        <w:t>Indeed,</w:t>
      </w:r>
      <w:r>
        <w:rPr>
          <w:color w:val="231F20"/>
          <w:spacing w:val="-1"/>
        </w:rPr>
        <w:t xml:space="preserve"> </w:t>
      </w:r>
      <w:r>
        <w:rPr>
          <w:color w:val="231F20"/>
        </w:rPr>
        <w:t>the</w:t>
      </w:r>
      <w:r>
        <w:rPr>
          <w:color w:val="231F20"/>
          <w:spacing w:val="-1"/>
        </w:rPr>
        <w:t xml:space="preserve"> </w:t>
      </w:r>
      <w:r>
        <w:rPr>
          <w:color w:val="231F20"/>
        </w:rPr>
        <w:t>combatants</w:t>
      </w:r>
      <w:r>
        <w:rPr>
          <w:color w:val="231F20"/>
          <w:spacing w:val="-1"/>
        </w:rPr>
        <w:t xml:space="preserve"> </w:t>
      </w:r>
      <w:r>
        <w:rPr>
          <w:color w:val="231F20"/>
        </w:rPr>
        <w:t xml:space="preserve">in these sports can compete with each other (in teams) or against each </w:t>
      </w:r>
      <w:r>
        <w:rPr>
          <w:color w:val="231F20"/>
          <w:spacing w:val="-2"/>
        </w:rPr>
        <w:t>other</w:t>
      </w:r>
      <w:r>
        <w:rPr>
          <w:color w:val="231F20"/>
          <w:spacing w:val="-7"/>
        </w:rPr>
        <w:t xml:space="preserve"> </w:t>
      </w:r>
      <w:r>
        <w:rPr>
          <w:color w:val="231F20"/>
          <w:spacing w:val="-2"/>
        </w:rPr>
        <w:t>(individual</w:t>
      </w:r>
      <w:r>
        <w:rPr>
          <w:color w:val="231F20"/>
          <w:spacing w:val="-7"/>
        </w:rPr>
        <w:t xml:space="preserve"> </w:t>
      </w:r>
      <w:r>
        <w:rPr>
          <w:color w:val="231F20"/>
          <w:spacing w:val="-2"/>
        </w:rPr>
        <w:t>or</w:t>
      </w:r>
      <w:r>
        <w:rPr>
          <w:color w:val="231F20"/>
          <w:spacing w:val="-7"/>
        </w:rPr>
        <w:t xml:space="preserve"> </w:t>
      </w:r>
      <w:r>
        <w:rPr>
          <w:color w:val="231F20"/>
          <w:spacing w:val="-2"/>
        </w:rPr>
        <w:t>team</w:t>
      </w:r>
      <w:r>
        <w:rPr>
          <w:color w:val="231F20"/>
          <w:spacing w:val="-7"/>
        </w:rPr>
        <w:t xml:space="preserve"> </w:t>
      </w:r>
      <w:r>
        <w:rPr>
          <w:color w:val="231F20"/>
          <w:spacing w:val="-2"/>
        </w:rPr>
        <w:t>opponents)</w:t>
      </w:r>
      <w:r>
        <w:rPr>
          <w:color w:val="231F20"/>
          <w:spacing w:val="-7"/>
        </w:rPr>
        <w:t xml:space="preserve"> </w:t>
      </w:r>
      <w:r>
        <w:rPr>
          <w:color w:val="231F20"/>
          <w:spacing w:val="-2"/>
        </w:rPr>
        <w:t>in</w:t>
      </w:r>
      <w:r>
        <w:rPr>
          <w:color w:val="231F20"/>
          <w:spacing w:val="-7"/>
        </w:rPr>
        <w:t xml:space="preserve"> </w:t>
      </w:r>
      <w:r>
        <w:rPr>
          <w:color w:val="231F20"/>
          <w:spacing w:val="-2"/>
        </w:rPr>
        <w:t>real</w:t>
      </w:r>
      <w:r>
        <w:rPr>
          <w:color w:val="231F20"/>
          <w:spacing w:val="-7"/>
        </w:rPr>
        <w:t xml:space="preserve"> </w:t>
      </w:r>
      <w:r>
        <w:rPr>
          <w:color w:val="231F20"/>
          <w:spacing w:val="-2"/>
        </w:rPr>
        <w:t>time</w:t>
      </w:r>
      <w:r>
        <w:rPr>
          <w:color w:val="231F20"/>
          <w:spacing w:val="-7"/>
        </w:rPr>
        <w:t xml:space="preserve"> </w:t>
      </w:r>
      <w:r>
        <w:rPr>
          <w:color w:val="231F20"/>
          <w:spacing w:val="-2"/>
        </w:rPr>
        <w:t>from</w:t>
      </w:r>
      <w:r>
        <w:rPr>
          <w:color w:val="231F20"/>
          <w:spacing w:val="-7"/>
        </w:rPr>
        <w:t xml:space="preserve"> </w:t>
      </w:r>
      <w:r>
        <w:rPr>
          <w:color w:val="231F20"/>
          <w:spacing w:val="-2"/>
        </w:rPr>
        <w:t>anywhere</w:t>
      </w:r>
      <w:r>
        <w:rPr>
          <w:color w:val="231F20"/>
          <w:spacing w:val="-7"/>
        </w:rPr>
        <w:t xml:space="preserve"> </w:t>
      </w:r>
      <w:r>
        <w:rPr>
          <w:color w:val="231F20"/>
          <w:spacing w:val="-2"/>
        </w:rPr>
        <w:t>in</w:t>
      </w:r>
      <w:r>
        <w:rPr>
          <w:color w:val="231F20"/>
          <w:spacing w:val="-7"/>
        </w:rPr>
        <w:t xml:space="preserve"> </w:t>
      </w:r>
      <w:r>
        <w:rPr>
          <w:color w:val="231F20"/>
          <w:spacing w:val="-2"/>
        </w:rPr>
        <w:t xml:space="preserve">the </w:t>
      </w:r>
      <w:r>
        <w:rPr>
          <w:color w:val="231F20"/>
          <w:w w:val="95"/>
        </w:rPr>
        <w:t>world with ultrafast broadband. These types of</w:t>
      </w:r>
      <w:r>
        <w:rPr>
          <w:color w:val="231F20"/>
        </w:rPr>
        <w:t xml:space="preserve"> </w:t>
      </w:r>
      <w:r>
        <w:rPr>
          <w:color w:val="231F20"/>
          <w:w w:val="95"/>
        </w:rPr>
        <w:t>ga</w:t>
      </w:r>
      <w:r>
        <w:rPr>
          <w:color w:val="231F20"/>
          <w:w w:val="95"/>
        </w:rPr>
        <w:t>ming competitions are becoming</w:t>
      </w:r>
      <w:r>
        <w:rPr>
          <w:color w:val="231F20"/>
          <w:spacing w:val="-4"/>
          <w:w w:val="95"/>
        </w:rPr>
        <w:t xml:space="preserve"> </w:t>
      </w:r>
      <w:r>
        <w:rPr>
          <w:color w:val="231F20"/>
          <w:w w:val="95"/>
        </w:rPr>
        <w:t>increasingly</w:t>
      </w:r>
      <w:r>
        <w:rPr>
          <w:color w:val="231F20"/>
          <w:spacing w:val="-4"/>
          <w:w w:val="95"/>
        </w:rPr>
        <w:t xml:space="preserve"> </w:t>
      </w:r>
      <w:r>
        <w:rPr>
          <w:color w:val="231F20"/>
          <w:w w:val="95"/>
        </w:rPr>
        <w:t>popular</w:t>
      </w:r>
      <w:r>
        <w:rPr>
          <w:color w:val="231F20"/>
          <w:spacing w:val="-4"/>
          <w:w w:val="95"/>
        </w:rPr>
        <w:t xml:space="preserve"> </w:t>
      </w:r>
      <w:r>
        <w:rPr>
          <w:color w:val="231F20"/>
          <w:w w:val="95"/>
        </w:rPr>
        <w:t>and</w:t>
      </w:r>
      <w:r>
        <w:rPr>
          <w:color w:val="231F20"/>
          <w:spacing w:val="-4"/>
          <w:w w:val="95"/>
        </w:rPr>
        <w:t xml:space="preserve"> </w:t>
      </w:r>
      <w:r>
        <w:rPr>
          <w:color w:val="231F20"/>
          <w:w w:val="95"/>
        </w:rPr>
        <w:t>offer</w:t>
      </w:r>
      <w:r>
        <w:rPr>
          <w:color w:val="231F20"/>
          <w:spacing w:val="-4"/>
          <w:w w:val="95"/>
        </w:rPr>
        <w:t xml:space="preserve"> </w:t>
      </w:r>
      <w:r>
        <w:rPr>
          <w:color w:val="231F20"/>
          <w:w w:val="95"/>
        </w:rPr>
        <w:t>substantial</w:t>
      </w:r>
      <w:r>
        <w:rPr>
          <w:color w:val="231F20"/>
          <w:spacing w:val="-4"/>
          <w:w w:val="95"/>
        </w:rPr>
        <w:t xml:space="preserve"> </w:t>
      </w:r>
      <w:r>
        <w:rPr>
          <w:color w:val="231F20"/>
          <w:w w:val="95"/>
        </w:rPr>
        <w:t>earning</w:t>
      </w:r>
      <w:r>
        <w:rPr>
          <w:color w:val="231F20"/>
          <w:spacing w:val="-4"/>
          <w:w w:val="95"/>
        </w:rPr>
        <w:t xml:space="preserve"> </w:t>
      </w:r>
      <w:r>
        <w:rPr>
          <w:color w:val="231F20"/>
          <w:w w:val="95"/>
        </w:rPr>
        <w:t>potential</w:t>
      </w:r>
      <w:r>
        <w:rPr>
          <w:color w:val="231F20"/>
          <w:spacing w:val="-4"/>
          <w:w w:val="95"/>
        </w:rPr>
        <w:t xml:space="preserve"> </w:t>
      </w:r>
      <w:r>
        <w:rPr>
          <w:color w:val="231F20"/>
          <w:w w:val="95"/>
        </w:rPr>
        <w:t xml:space="preserve">for </w:t>
      </w:r>
      <w:r>
        <w:rPr>
          <w:color w:val="231F20"/>
          <w:spacing w:val="-2"/>
          <w:w w:val="95"/>
        </w:rPr>
        <w:t>the</w:t>
      </w:r>
      <w:r>
        <w:rPr>
          <w:color w:val="231F20"/>
          <w:spacing w:val="-3"/>
          <w:w w:val="95"/>
        </w:rPr>
        <w:t xml:space="preserve"> </w:t>
      </w:r>
      <w:r>
        <w:rPr>
          <w:color w:val="231F20"/>
          <w:spacing w:val="-2"/>
          <w:w w:val="95"/>
        </w:rPr>
        <w:t>top</w:t>
      </w:r>
      <w:r>
        <w:rPr>
          <w:color w:val="231F20"/>
          <w:spacing w:val="-3"/>
          <w:w w:val="95"/>
        </w:rPr>
        <w:t xml:space="preserve"> </w:t>
      </w:r>
      <w:r>
        <w:rPr>
          <w:color w:val="231F20"/>
          <w:spacing w:val="-2"/>
          <w:w w:val="95"/>
        </w:rPr>
        <w:t>players.</w:t>
      </w:r>
      <w:r>
        <w:rPr>
          <w:color w:val="231F20"/>
          <w:spacing w:val="-3"/>
          <w:w w:val="95"/>
        </w:rPr>
        <w:t xml:space="preserve"> </w:t>
      </w:r>
      <w:r>
        <w:rPr>
          <w:color w:val="231F20"/>
          <w:spacing w:val="-2"/>
          <w:w w:val="95"/>
        </w:rPr>
        <w:t>A</w:t>
      </w:r>
      <w:r>
        <w:rPr>
          <w:color w:val="231F20"/>
          <w:spacing w:val="-3"/>
          <w:w w:val="95"/>
        </w:rPr>
        <w:t xml:space="preserve"> </w:t>
      </w:r>
      <w:r>
        <w:rPr>
          <w:color w:val="231F20"/>
          <w:spacing w:val="-2"/>
          <w:w w:val="95"/>
        </w:rPr>
        <w:t>variety</w:t>
      </w:r>
      <w:r>
        <w:rPr>
          <w:color w:val="231F20"/>
          <w:spacing w:val="-3"/>
          <w:w w:val="95"/>
        </w:rPr>
        <w:t xml:space="preserve"> </w:t>
      </w:r>
      <w:r>
        <w:rPr>
          <w:color w:val="231F20"/>
          <w:spacing w:val="-2"/>
          <w:w w:val="95"/>
        </w:rPr>
        <w:t>of</w:t>
      </w:r>
      <w:r>
        <w:rPr>
          <w:color w:val="231F20"/>
          <w:spacing w:val="13"/>
        </w:rPr>
        <w:t xml:space="preserve"> </w:t>
      </w:r>
      <w:r>
        <w:rPr>
          <w:color w:val="231F20"/>
          <w:spacing w:val="-2"/>
          <w:w w:val="95"/>
        </w:rPr>
        <w:t>gaming</w:t>
      </w:r>
      <w:r>
        <w:rPr>
          <w:color w:val="231F20"/>
          <w:spacing w:val="-3"/>
          <w:w w:val="95"/>
        </w:rPr>
        <w:t xml:space="preserve"> </w:t>
      </w:r>
      <w:r>
        <w:rPr>
          <w:color w:val="231F20"/>
          <w:spacing w:val="-2"/>
          <w:w w:val="95"/>
        </w:rPr>
        <w:t>themes</w:t>
      </w:r>
      <w:r>
        <w:rPr>
          <w:color w:val="231F20"/>
          <w:spacing w:val="-3"/>
          <w:w w:val="95"/>
        </w:rPr>
        <w:t xml:space="preserve"> </w:t>
      </w:r>
      <w:r>
        <w:rPr>
          <w:color w:val="231F20"/>
          <w:spacing w:val="-2"/>
          <w:w w:val="95"/>
        </w:rPr>
        <w:t>have</w:t>
      </w:r>
      <w:r>
        <w:rPr>
          <w:color w:val="231F20"/>
          <w:spacing w:val="-3"/>
          <w:w w:val="95"/>
        </w:rPr>
        <w:t xml:space="preserve"> </w:t>
      </w:r>
      <w:r>
        <w:rPr>
          <w:color w:val="231F20"/>
          <w:spacing w:val="-2"/>
          <w:w w:val="95"/>
        </w:rPr>
        <w:t>emerged</w:t>
      </w:r>
      <w:r>
        <w:rPr>
          <w:color w:val="231F20"/>
          <w:spacing w:val="-3"/>
          <w:w w:val="95"/>
        </w:rPr>
        <w:t xml:space="preserve"> </w:t>
      </w:r>
      <w:r>
        <w:rPr>
          <w:color w:val="231F20"/>
          <w:spacing w:val="-2"/>
          <w:w w:val="95"/>
        </w:rPr>
        <w:t>including</w:t>
      </w:r>
      <w:r>
        <w:rPr>
          <w:color w:val="231F20"/>
          <w:spacing w:val="-3"/>
          <w:w w:val="95"/>
        </w:rPr>
        <w:t xml:space="preserve"> </w:t>
      </w:r>
      <w:r>
        <w:rPr>
          <w:color w:val="231F20"/>
          <w:spacing w:val="-2"/>
          <w:w w:val="95"/>
        </w:rPr>
        <w:t xml:space="preserve">digital </w:t>
      </w:r>
      <w:r>
        <w:rPr>
          <w:color w:val="231F20"/>
        </w:rPr>
        <w:t>versions</w:t>
      </w:r>
      <w:r>
        <w:rPr>
          <w:color w:val="231F20"/>
          <w:spacing w:val="-4"/>
        </w:rPr>
        <w:t xml:space="preserve"> </w:t>
      </w:r>
      <w:r>
        <w:rPr>
          <w:color w:val="231F20"/>
        </w:rPr>
        <w:t>of real-life</w:t>
      </w:r>
      <w:r>
        <w:rPr>
          <w:color w:val="231F20"/>
          <w:spacing w:val="-4"/>
        </w:rPr>
        <w:t xml:space="preserve"> </w:t>
      </w:r>
      <w:r>
        <w:rPr>
          <w:color w:val="231F20"/>
        </w:rPr>
        <w:t>sports</w:t>
      </w:r>
      <w:r>
        <w:rPr>
          <w:color w:val="231F20"/>
          <w:spacing w:val="-4"/>
        </w:rPr>
        <w:t xml:space="preserve"> </w:t>
      </w:r>
      <w:r>
        <w:rPr>
          <w:color w:val="231F20"/>
        </w:rPr>
        <w:t>like</w:t>
      </w:r>
      <w:r>
        <w:rPr>
          <w:color w:val="231F20"/>
          <w:spacing w:val="-4"/>
        </w:rPr>
        <w:t xml:space="preserve"> </w:t>
      </w:r>
      <w:r>
        <w:rPr>
          <w:color w:val="231F20"/>
        </w:rPr>
        <w:t>EPL</w:t>
      </w:r>
      <w:r>
        <w:rPr>
          <w:color w:val="231F20"/>
          <w:spacing w:val="-4"/>
        </w:rPr>
        <w:t xml:space="preserve"> </w:t>
      </w:r>
      <w:r>
        <w:rPr>
          <w:color w:val="231F20"/>
        </w:rPr>
        <w:t>football</w:t>
      </w:r>
      <w:r>
        <w:rPr>
          <w:color w:val="231F20"/>
          <w:spacing w:val="-4"/>
        </w:rPr>
        <w:t xml:space="preserve"> </w:t>
      </w:r>
      <w:r>
        <w:rPr>
          <w:color w:val="231F20"/>
        </w:rPr>
        <w:t>and</w:t>
      </w:r>
      <w:r>
        <w:rPr>
          <w:color w:val="231F20"/>
          <w:spacing w:val="-4"/>
        </w:rPr>
        <w:t xml:space="preserve"> </w:t>
      </w:r>
      <w:r>
        <w:rPr>
          <w:color w:val="231F20"/>
        </w:rPr>
        <w:t>NBA</w:t>
      </w:r>
      <w:r>
        <w:rPr>
          <w:color w:val="231F20"/>
          <w:spacing w:val="-4"/>
        </w:rPr>
        <w:t xml:space="preserve"> </w:t>
      </w:r>
      <w:r>
        <w:rPr>
          <w:color w:val="231F20"/>
        </w:rPr>
        <w:t>basketball.</w:t>
      </w:r>
      <w:r>
        <w:rPr>
          <w:color w:val="231F20"/>
          <w:spacing w:val="-4"/>
        </w:rPr>
        <w:t xml:space="preserve"> </w:t>
      </w:r>
      <w:r>
        <w:rPr>
          <w:color w:val="231F20"/>
        </w:rPr>
        <w:t xml:space="preserve">‘Real’ </w:t>
      </w:r>
      <w:r>
        <w:rPr>
          <w:color w:val="231F20"/>
          <w:spacing w:val="-2"/>
        </w:rPr>
        <w:t>sport</w:t>
      </w:r>
      <w:r>
        <w:rPr>
          <w:color w:val="231F20"/>
          <w:spacing w:val="-7"/>
        </w:rPr>
        <w:t xml:space="preserve"> </w:t>
      </w:r>
      <w:r>
        <w:rPr>
          <w:color w:val="231F20"/>
          <w:spacing w:val="-2"/>
        </w:rPr>
        <w:t>leagues</w:t>
      </w:r>
      <w:r>
        <w:rPr>
          <w:color w:val="231F20"/>
          <w:spacing w:val="-7"/>
        </w:rPr>
        <w:t xml:space="preserve"> </w:t>
      </w:r>
      <w:r>
        <w:rPr>
          <w:color w:val="231F20"/>
          <w:spacing w:val="-2"/>
        </w:rPr>
        <w:t>have</w:t>
      </w:r>
      <w:r>
        <w:rPr>
          <w:color w:val="231F20"/>
          <w:spacing w:val="-7"/>
        </w:rPr>
        <w:t xml:space="preserve"> </w:t>
      </w:r>
      <w:r>
        <w:rPr>
          <w:color w:val="231F20"/>
          <w:spacing w:val="-2"/>
        </w:rPr>
        <w:t>used</w:t>
      </w:r>
      <w:r>
        <w:rPr>
          <w:color w:val="231F20"/>
          <w:spacing w:val="-7"/>
        </w:rPr>
        <w:t xml:space="preserve"> </w:t>
      </w:r>
      <w:r>
        <w:rPr>
          <w:color w:val="231F20"/>
          <w:spacing w:val="-2"/>
        </w:rPr>
        <w:t>these</w:t>
      </w:r>
      <w:r>
        <w:rPr>
          <w:color w:val="231F20"/>
          <w:spacing w:val="-7"/>
        </w:rPr>
        <w:t xml:space="preserve"> </w:t>
      </w:r>
      <w:r>
        <w:rPr>
          <w:color w:val="231F20"/>
          <w:spacing w:val="-2"/>
        </w:rPr>
        <w:t>games</w:t>
      </w:r>
      <w:r>
        <w:rPr>
          <w:color w:val="231F20"/>
          <w:spacing w:val="-7"/>
        </w:rPr>
        <w:t xml:space="preserve"> </w:t>
      </w:r>
      <w:r>
        <w:rPr>
          <w:color w:val="231F20"/>
          <w:spacing w:val="-2"/>
        </w:rPr>
        <w:t>to</w:t>
      </w:r>
      <w:r>
        <w:rPr>
          <w:color w:val="231F20"/>
          <w:spacing w:val="-7"/>
        </w:rPr>
        <w:t xml:space="preserve"> </w:t>
      </w:r>
      <w:r>
        <w:rPr>
          <w:color w:val="231F20"/>
          <w:spacing w:val="-2"/>
        </w:rPr>
        <w:t>promote</w:t>
      </w:r>
      <w:r>
        <w:rPr>
          <w:color w:val="231F20"/>
          <w:spacing w:val="-7"/>
        </w:rPr>
        <w:t xml:space="preserve"> </w:t>
      </w:r>
      <w:r>
        <w:rPr>
          <w:color w:val="231F20"/>
          <w:spacing w:val="-2"/>
        </w:rPr>
        <w:t>their</w:t>
      </w:r>
      <w:r>
        <w:rPr>
          <w:color w:val="231F20"/>
          <w:spacing w:val="-7"/>
        </w:rPr>
        <w:t xml:space="preserve"> </w:t>
      </w:r>
      <w:r>
        <w:rPr>
          <w:color w:val="231F20"/>
          <w:spacing w:val="-2"/>
        </w:rPr>
        <w:t>brand</w:t>
      </w:r>
      <w:r>
        <w:rPr>
          <w:color w:val="231F20"/>
          <w:spacing w:val="-7"/>
        </w:rPr>
        <w:t xml:space="preserve"> </w:t>
      </w:r>
      <w:r>
        <w:rPr>
          <w:color w:val="231F20"/>
          <w:spacing w:val="-2"/>
        </w:rPr>
        <w:t>and</w:t>
      </w:r>
      <w:r>
        <w:rPr>
          <w:color w:val="231F20"/>
          <w:spacing w:val="-7"/>
        </w:rPr>
        <w:t xml:space="preserve"> </w:t>
      </w:r>
      <w:r>
        <w:rPr>
          <w:color w:val="231F20"/>
          <w:spacing w:val="-2"/>
        </w:rPr>
        <w:t>to</w:t>
      </w:r>
      <w:r>
        <w:rPr>
          <w:color w:val="231F20"/>
          <w:spacing w:val="-7"/>
        </w:rPr>
        <w:t xml:space="preserve"> </w:t>
      </w:r>
      <w:r>
        <w:rPr>
          <w:color w:val="231F20"/>
          <w:spacing w:val="-2"/>
        </w:rPr>
        <w:t xml:space="preserve">win </w:t>
      </w:r>
      <w:r>
        <w:rPr>
          <w:color w:val="231F20"/>
        </w:rPr>
        <w:t>new</w:t>
      </w:r>
      <w:r>
        <w:rPr>
          <w:color w:val="231F20"/>
          <w:spacing w:val="-10"/>
        </w:rPr>
        <w:t xml:space="preserve"> </w:t>
      </w:r>
      <w:r>
        <w:rPr>
          <w:color w:val="231F20"/>
        </w:rPr>
        <w:t>or</w:t>
      </w:r>
      <w:r>
        <w:rPr>
          <w:color w:val="231F20"/>
          <w:spacing w:val="-10"/>
        </w:rPr>
        <w:t xml:space="preserve"> </w:t>
      </w:r>
      <w:r>
        <w:rPr>
          <w:color w:val="231F20"/>
        </w:rPr>
        <w:t>retain</w:t>
      </w:r>
      <w:r>
        <w:rPr>
          <w:color w:val="231F20"/>
          <w:spacing w:val="-10"/>
        </w:rPr>
        <w:t xml:space="preserve"> </w:t>
      </w:r>
      <w:r>
        <w:rPr>
          <w:color w:val="231F20"/>
        </w:rPr>
        <w:t>existing</w:t>
      </w:r>
      <w:r>
        <w:rPr>
          <w:color w:val="231F20"/>
          <w:spacing w:val="-10"/>
        </w:rPr>
        <w:t xml:space="preserve"> </w:t>
      </w:r>
      <w:r>
        <w:rPr>
          <w:color w:val="231F20"/>
        </w:rPr>
        <w:t>markets.</w:t>
      </w:r>
      <w:r>
        <w:rPr>
          <w:color w:val="231F20"/>
          <w:spacing w:val="-10"/>
        </w:rPr>
        <w:t xml:space="preserve"> </w:t>
      </w:r>
      <w:r>
        <w:rPr>
          <w:color w:val="231F20"/>
        </w:rPr>
        <w:t>China</w:t>
      </w:r>
      <w:r>
        <w:rPr>
          <w:color w:val="231F20"/>
          <w:spacing w:val="-10"/>
        </w:rPr>
        <w:t xml:space="preserve"> </w:t>
      </w:r>
      <w:r>
        <w:rPr>
          <w:color w:val="231F20"/>
        </w:rPr>
        <w:t>has</w:t>
      </w:r>
      <w:r>
        <w:rPr>
          <w:color w:val="231F20"/>
          <w:spacing w:val="-10"/>
        </w:rPr>
        <w:t xml:space="preserve"> </w:t>
      </w:r>
      <w:r>
        <w:rPr>
          <w:color w:val="231F20"/>
        </w:rPr>
        <w:t>proved</w:t>
      </w:r>
      <w:r>
        <w:rPr>
          <w:color w:val="231F20"/>
          <w:spacing w:val="-10"/>
        </w:rPr>
        <w:t xml:space="preserve"> </w:t>
      </w:r>
      <w:r>
        <w:rPr>
          <w:color w:val="231F20"/>
        </w:rPr>
        <w:t>to</w:t>
      </w:r>
      <w:r>
        <w:rPr>
          <w:color w:val="231F20"/>
          <w:spacing w:val="-10"/>
        </w:rPr>
        <w:t xml:space="preserve"> </w:t>
      </w:r>
      <w:r>
        <w:rPr>
          <w:color w:val="231F20"/>
        </w:rPr>
        <w:t>be</w:t>
      </w:r>
      <w:r>
        <w:rPr>
          <w:color w:val="231F20"/>
          <w:spacing w:val="-10"/>
        </w:rPr>
        <w:t xml:space="preserve"> </w:t>
      </w:r>
      <w:r>
        <w:rPr>
          <w:color w:val="231F20"/>
        </w:rPr>
        <w:t>a</w:t>
      </w:r>
      <w:r>
        <w:rPr>
          <w:color w:val="231F20"/>
          <w:spacing w:val="-10"/>
        </w:rPr>
        <w:t xml:space="preserve"> </w:t>
      </w:r>
      <w:r>
        <w:rPr>
          <w:color w:val="231F20"/>
        </w:rPr>
        <w:t>fertile</w:t>
      </w:r>
      <w:r>
        <w:rPr>
          <w:color w:val="231F20"/>
          <w:spacing w:val="-10"/>
        </w:rPr>
        <w:t xml:space="preserve"> </w:t>
      </w:r>
      <w:r>
        <w:rPr>
          <w:color w:val="231F20"/>
        </w:rPr>
        <w:t>ground for e-sports with the national State General Administration of Sport establishing</w:t>
      </w:r>
      <w:r>
        <w:rPr>
          <w:color w:val="231F20"/>
          <w:spacing w:val="-8"/>
        </w:rPr>
        <w:t xml:space="preserve"> </w:t>
      </w:r>
      <w:r>
        <w:rPr>
          <w:color w:val="231F20"/>
        </w:rPr>
        <w:t>a</w:t>
      </w:r>
      <w:r>
        <w:rPr>
          <w:color w:val="231F20"/>
          <w:spacing w:val="-8"/>
        </w:rPr>
        <w:t xml:space="preserve"> </w:t>
      </w:r>
      <w:r>
        <w:rPr>
          <w:color w:val="231F20"/>
        </w:rPr>
        <w:t>national</w:t>
      </w:r>
      <w:r>
        <w:rPr>
          <w:color w:val="231F20"/>
          <w:spacing w:val="-8"/>
        </w:rPr>
        <w:t xml:space="preserve"> </w:t>
      </w:r>
      <w:r>
        <w:rPr>
          <w:color w:val="231F20"/>
        </w:rPr>
        <w:t>e-sports</w:t>
      </w:r>
      <w:r>
        <w:rPr>
          <w:color w:val="231F20"/>
          <w:spacing w:val="-8"/>
        </w:rPr>
        <w:t xml:space="preserve"> </w:t>
      </w:r>
      <w:r>
        <w:rPr>
          <w:color w:val="231F20"/>
        </w:rPr>
        <w:t>team.</w:t>
      </w:r>
      <w:r>
        <w:rPr>
          <w:color w:val="231F20"/>
          <w:spacing w:val="-8"/>
        </w:rPr>
        <w:t xml:space="preserve"> </w:t>
      </w:r>
      <w:r>
        <w:rPr>
          <w:color w:val="231F20"/>
        </w:rPr>
        <w:t>Further</w:t>
      </w:r>
      <w:r>
        <w:rPr>
          <w:color w:val="231F20"/>
          <w:spacing w:val="-8"/>
        </w:rPr>
        <w:t xml:space="preserve"> </w:t>
      </w:r>
      <w:r>
        <w:rPr>
          <w:color w:val="231F20"/>
        </w:rPr>
        <w:t>evidence</w:t>
      </w:r>
      <w:r>
        <w:rPr>
          <w:color w:val="231F20"/>
          <w:spacing w:val="-8"/>
        </w:rPr>
        <w:t xml:space="preserve"> </w:t>
      </w:r>
      <w:r>
        <w:rPr>
          <w:color w:val="231F20"/>
        </w:rPr>
        <w:t>of the</w:t>
      </w:r>
      <w:r>
        <w:rPr>
          <w:color w:val="231F20"/>
          <w:spacing w:val="-8"/>
        </w:rPr>
        <w:t xml:space="preserve"> </w:t>
      </w:r>
      <w:r>
        <w:rPr>
          <w:color w:val="231F20"/>
        </w:rPr>
        <w:t>growing acceptance</w:t>
      </w:r>
      <w:r>
        <w:rPr>
          <w:color w:val="231F20"/>
          <w:spacing w:val="-12"/>
        </w:rPr>
        <w:t xml:space="preserve"> </w:t>
      </w:r>
      <w:r>
        <w:rPr>
          <w:color w:val="231F20"/>
        </w:rPr>
        <w:t>of</w:t>
      </w:r>
      <w:r>
        <w:rPr>
          <w:color w:val="231F20"/>
          <w:spacing w:val="-12"/>
        </w:rPr>
        <w:t xml:space="preserve"> </w:t>
      </w:r>
      <w:r>
        <w:rPr>
          <w:color w:val="231F20"/>
        </w:rPr>
        <w:t>e-sports</w:t>
      </w:r>
      <w:r>
        <w:rPr>
          <w:color w:val="231F20"/>
          <w:spacing w:val="-11"/>
        </w:rPr>
        <w:t xml:space="preserve"> </w:t>
      </w:r>
      <w:r>
        <w:rPr>
          <w:color w:val="231F20"/>
        </w:rPr>
        <w:t>is</w:t>
      </w:r>
      <w:r>
        <w:rPr>
          <w:color w:val="231F20"/>
          <w:spacing w:val="-12"/>
        </w:rPr>
        <w:t xml:space="preserve"> </w:t>
      </w:r>
      <w:r>
        <w:rPr>
          <w:color w:val="231F20"/>
        </w:rPr>
        <w:t>evident</w:t>
      </w:r>
      <w:r>
        <w:rPr>
          <w:color w:val="231F20"/>
          <w:spacing w:val="-11"/>
        </w:rPr>
        <w:t xml:space="preserve"> </w:t>
      </w:r>
      <w:r>
        <w:rPr>
          <w:color w:val="231F20"/>
        </w:rPr>
        <w:t>in</w:t>
      </w:r>
      <w:r>
        <w:rPr>
          <w:color w:val="231F20"/>
          <w:spacing w:val="-12"/>
        </w:rPr>
        <w:t xml:space="preserve"> </w:t>
      </w:r>
      <w:r>
        <w:rPr>
          <w:color w:val="231F20"/>
        </w:rPr>
        <w:t>the</w:t>
      </w:r>
      <w:r>
        <w:rPr>
          <w:color w:val="231F20"/>
          <w:spacing w:val="-11"/>
        </w:rPr>
        <w:t xml:space="preserve"> </w:t>
      </w:r>
      <w:r>
        <w:rPr>
          <w:color w:val="231F20"/>
        </w:rPr>
        <w:t>fact</w:t>
      </w:r>
      <w:r>
        <w:rPr>
          <w:color w:val="231F20"/>
          <w:spacing w:val="-12"/>
        </w:rPr>
        <w:t xml:space="preserve"> </w:t>
      </w:r>
      <w:r>
        <w:rPr>
          <w:color w:val="231F20"/>
        </w:rPr>
        <w:t>that</w:t>
      </w:r>
      <w:r>
        <w:rPr>
          <w:color w:val="231F20"/>
          <w:spacing w:val="-12"/>
        </w:rPr>
        <w:t xml:space="preserve"> </w:t>
      </w:r>
      <w:r>
        <w:rPr>
          <w:color w:val="231F20"/>
        </w:rPr>
        <w:t>they</w:t>
      </w:r>
      <w:r>
        <w:rPr>
          <w:color w:val="231F20"/>
          <w:spacing w:val="-11"/>
        </w:rPr>
        <w:t xml:space="preserve"> </w:t>
      </w:r>
      <w:r>
        <w:rPr>
          <w:color w:val="231F20"/>
        </w:rPr>
        <w:t>will</w:t>
      </w:r>
      <w:r>
        <w:rPr>
          <w:color w:val="231F20"/>
          <w:spacing w:val="-12"/>
        </w:rPr>
        <w:t xml:space="preserve"> </w:t>
      </w:r>
      <w:r>
        <w:rPr>
          <w:color w:val="231F20"/>
        </w:rPr>
        <w:t>be</w:t>
      </w:r>
      <w:r>
        <w:rPr>
          <w:color w:val="231F20"/>
          <w:spacing w:val="-11"/>
        </w:rPr>
        <w:t xml:space="preserve"> </w:t>
      </w:r>
      <w:r>
        <w:rPr>
          <w:color w:val="231F20"/>
        </w:rPr>
        <w:t>included</w:t>
      </w:r>
      <w:r>
        <w:rPr>
          <w:color w:val="231F20"/>
          <w:spacing w:val="-12"/>
        </w:rPr>
        <w:t xml:space="preserve"> </w:t>
      </w:r>
      <w:r>
        <w:rPr>
          <w:color w:val="231F20"/>
        </w:rPr>
        <w:t>in the</w:t>
      </w:r>
      <w:r>
        <w:rPr>
          <w:color w:val="231F20"/>
          <w:spacing w:val="-8"/>
        </w:rPr>
        <w:t xml:space="preserve"> </w:t>
      </w:r>
      <w:r>
        <w:rPr>
          <w:color w:val="231F20"/>
        </w:rPr>
        <w:t>sporting</w:t>
      </w:r>
      <w:r>
        <w:rPr>
          <w:color w:val="231F20"/>
          <w:spacing w:val="-8"/>
        </w:rPr>
        <w:t xml:space="preserve"> </w:t>
      </w:r>
      <w:r>
        <w:rPr>
          <w:color w:val="231F20"/>
        </w:rPr>
        <w:t>programme</w:t>
      </w:r>
      <w:r>
        <w:rPr>
          <w:color w:val="231F20"/>
          <w:spacing w:val="-8"/>
        </w:rPr>
        <w:t xml:space="preserve"> </w:t>
      </w:r>
      <w:r>
        <w:rPr>
          <w:color w:val="231F20"/>
        </w:rPr>
        <w:t>of the</w:t>
      </w:r>
      <w:r>
        <w:rPr>
          <w:color w:val="231F20"/>
          <w:spacing w:val="-8"/>
        </w:rPr>
        <w:t xml:space="preserve"> </w:t>
      </w:r>
      <w:r>
        <w:rPr>
          <w:color w:val="231F20"/>
        </w:rPr>
        <w:t>202</w:t>
      </w:r>
      <w:r>
        <w:rPr>
          <w:color w:val="231F20"/>
        </w:rPr>
        <w:t>2</w:t>
      </w:r>
      <w:r>
        <w:rPr>
          <w:color w:val="231F20"/>
          <w:spacing w:val="-8"/>
        </w:rPr>
        <w:t xml:space="preserve"> </w:t>
      </w:r>
      <w:r>
        <w:rPr>
          <w:color w:val="231F20"/>
        </w:rPr>
        <w:t>Asian</w:t>
      </w:r>
      <w:r>
        <w:rPr>
          <w:color w:val="231F20"/>
          <w:spacing w:val="-8"/>
        </w:rPr>
        <w:t xml:space="preserve"> </w:t>
      </w:r>
      <w:r>
        <w:rPr>
          <w:color w:val="231F20"/>
        </w:rPr>
        <w:t>Games</w:t>
      </w:r>
      <w:r>
        <w:rPr>
          <w:color w:val="231F20"/>
          <w:spacing w:val="-8"/>
        </w:rPr>
        <w:t xml:space="preserve"> </w:t>
      </w:r>
      <w:r>
        <w:rPr>
          <w:color w:val="231F20"/>
        </w:rPr>
        <w:t>in</w:t>
      </w:r>
      <w:r>
        <w:rPr>
          <w:color w:val="231F20"/>
          <w:spacing w:val="-8"/>
        </w:rPr>
        <w:t xml:space="preserve"> </w:t>
      </w:r>
      <w:r>
        <w:rPr>
          <w:color w:val="231F20"/>
        </w:rPr>
        <w:t>Hangzhou,</w:t>
      </w:r>
      <w:r>
        <w:rPr>
          <w:color w:val="231F20"/>
          <w:spacing w:val="-8"/>
        </w:rPr>
        <w:t xml:space="preserve"> </w:t>
      </w:r>
      <w:r>
        <w:rPr>
          <w:color w:val="231F20"/>
        </w:rPr>
        <w:t>China. Regardless of one’s personal view of whether e-sports classify as real sport</w:t>
      </w:r>
      <w:r>
        <w:rPr>
          <w:color w:val="231F20"/>
          <w:spacing w:val="-11"/>
        </w:rPr>
        <w:t xml:space="preserve"> </w:t>
      </w:r>
      <w:r>
        <w:rPr>
          <w:color w:val="231F20"/>
        </w:rPr>
        <w:t>or</w:t>
      </w:r>
      <w:r>
        <w:rPr>
          <w:color w:val="231F20"/>
          <w:spacing w:val="-11"/>
        </w:rPr>
        <w:t xml:space="preserve"> </w:t>
      </w:r>
      <w:r>
        <w:rPr>
          <w:color w:val="231F20"/>
        </w:rPr>
        <w:t>not,</w:t>
      </w:r>
      <w:r>
        <w:rPr>
          <w:color w:val="231F20"/>
          <w:spacing w:val="-11"/>
        </w:rPr>
        <w:t xml:space="preserve"> </w:t>
      </w:r>
      <w:r>
        <w:rPr>
          <w:color w:val="231F20"/>
        </w:rPr>
        <w:t>it</w:t>
      </w:r>
      <w:r>
        <w:rPr>
          <w:color w:val="231F20"/>
          <w:spacing w:val="-11"/>
        </w:rPr>
        <w:t xml:space="preserve"> </w:t>
      </w:r>
      <w:r>
        <w:rPr>
          <w:color w:val="231F20"/>
        </w:rPr>
        <w:t>is</w:t>
      </w:r>
      <w:r>
        <w:rPr>
          <w:color w:val="231F20"/>
          <w:spacing w:val="-11"/>
        </w:rPr>
        <w:t xml:space="preserve"> </w:t>
      </w:r>
      <w:r>
        <w:rPr>
          <w:color w:val="231F20"/>
        </w:rPr>
        <w:t>clear</w:t>
      </w:r>
      <w:r>
        <w:rPr>
          <w:color w:val="231F20"/>
          <w:spacing w:val="-11"/>
        </w:rPr>
        <w:t xml:space="preserve"> </w:t>
      </w:r>
      <w:r>
        <w:rPr>
          <w:color w:val="231F20"/>
        </w:rPr>
        <w:t>that</w:t>
      </w:r>
      <w:r>
        <w:rPr>
          <w:color w:val="231F20"/>
          <w:spacing w:val="-11"/>
        </w:rPr>
        <w:t xml:space="preserve"> </w:t>
      </w:r>
      <w:r>
        <w:rPr>
          <w:color w:val="231F20"/>
        </w:rPr>
        <w:t>if</w:t>
      </w:r>
      <w:r>
        <w:rPr>
          <w:color w:val="231F20"/>
          <w:spacing w:val="-1"/>
        </w:rPr>
        <w:t xml:space="preserve"> </w:t>
      </w:r>
      <w:r>
        <w:rPr>
          <w:color w:val="231F20"/>
        </w:rPr>
        <w:t>this</w:t>
      </w:r>
      <w:r>
        <w:rPr>
          <w:color w:val="231F20"/>
          <w:spacing w:val="-11"/>
        </w:rPr>
        <w:t xml:space="preserve"> </w:t>
      </w:r>
      <w:r>
        <w:rPr>
          <w:color w:val="231F20"/>
        </w:rPr>
        <w:t>trend</w:t>
      </w:r>
      <w:r>
        <w:rPr>
          <w:color w:val="231F20"/>
          <w:spacing w:val="-11"/>
        </w:rPr>
        <w:t xml:space="preserve"> </w:t>
      </w:r>
      <w:r>
        <w:rPr>
          <w:color w:val="231F20"/>
        </w:rPr>
        <w:t>continues</w:t>
      </w:r>
      <w:r>
        <w:rPr>
          <w:color w:val="231F20"/>
          <w:spacing w:val="-11"/>
        </w:rPr>
        <w:t xml:space="preserve"> </w:t>
      </w:r>
      <w:r>
        <w:rPr>
          <w:color w:val="231F20"/>
        </w:rPr>
        <w:t>it</w:t>
      </w:r>
      <w:r>
        <w:rPr>
          <w:color w:val="231F20"/>
          <w:spacing w:val="-11"/>
        </w:rPr>
        <w:t xml:space="preserve"> </w:t>
      </w:r>
      <w:r>
        <w:rPr>
          <w:color w:val="231F20"/>
        </w:rPr>
        <w:t>will</w:t>
      </w:r>
      <w:r>
        <w:rPr>
          <w:color w:val="231F20"/>
          <w:spacing w:val="-11"/>
        </w:rPr>
        <w:t xml:space="preserve"> </w:t>
      </w:r>
      <w:r>
        <w:rPr>
          <w:color w:val="231F20"/>
        </w:rPr>
        <w:t>have</w:t>
      </w:r>
      <w:r>
        <w:rPr>
          <w:color w:val="231F20"/>
          <w:spacing w:val="-11"/>
        </w:rPr>
        <w:t xml:space="preserve"> </w:t>
      </w:r>
      <w:r>
        <w:rPr>
          <w:color w:val="231F20"/>
        </w:rPr>
        <w:t>a</w:t>
      </w:r>
      <w:r>
        <w:rPr>
          <w:color w:val="231F20"/>
          <w:spacing w:val="-11"/>
        </w:rPr>
        <w:t xml:space="preserve"> </w:t>
      </w:r>
      <w:r>
        <w:rPr>
          <w:color w:val="231F20"/>
        </w:rPr>
        <w:t>growing impact</w:t>
      </w:r>
      <w:r>
        <w:rPr>
          <w:color w:val="231F20"/>
          <w:spacing w:val="-12"/>
        </w:rPr>
        <w:t xml:space="preserve"> </w:t>
      </w:r>
      <w:r>
        <w:rPr>
          <w:color w:val="231F20"/>
        </w:rPr>
        <w:t>on</w:t>
      </w:r>
      <w:r>
        <w:rPr>
          <w:color w:val="231F20"/>
          <w:spacing w:val="-11"/>
        </w:rPr>
        <w:t xml:space="preserve"> </w:t>
      </w:r>
      <w:r>
        <w:rPr>
          <w:color w:val="231F20"/>
        </w:rPr>
        <w:t>sport</w:t>
      </w:r>
      <w:r>
        <w:rPr>
          <w:color w:val="231F20"/>
          <w:spacing w:val="-12"/>
        </w:rPr>
        <w:t xml:space="preserve"> </w:t>
      </w:r>
      <w:r>
        <w:rPr>
          <w:color w:val="231F20"/>
        </w:rPr>
        <w:t>and</w:t>
      </w:r>
      <w:r>
        <w:rPr>
          <w:color w:val="231F20"/>
          <w:spacing w:val="-11"/>
        </w:rPr>
        <w:t xml:space="preserve"> </w:t>
      </w:r>
      <w:r>
        <w:rPr>
          <w:color w:val="231F20"/>
        </w:rPr>
        <w:t>on</w:t>
      </w:r>
      <w:r>
        <w:rPr>
          <w:color w:val="231F20"/>
          <w:spacing w:val="-12"/>
        </w:rPr>
        <w:t xml:space="preserve"> </w:t>
      </w:r>
      <w:r>
        <w:rPr>
          <w:color w:val="231F20"/>
        </w:rPr>
        <w:t>sport</w:t>
      </w:r>
      <w:r>
        <w:rPr>
          <w:color w:val="231F20"/>
          <w:spacing w:val="-11"/>
        </w:rPr>
        <w:t xml:space="preserve"> </w:t>
      </w:r>
      <w:r>
        <w:rPr>
          <w:color w:val="231F20"/>
        </w:rPr>
        <w:t>tourism.</w:t>
      </w:r>
      <w:r>
        <w:rPr>
          <w:color w:val="231F20"/>
          <w:spacing w:val="-12"/>
        </w:rPr>
        <w:t xml:space="preserve"> </w:t>
      </w:r>
      <w:r>
        <w:rPr>
          <w:color w:val="231F20"/>
        </w:rPr>
        <w:t>As</w:t>
      </w:r>
      <w:r>
        <w:rPr>
          <w:color w:val="231F20"/>
          <w:spacing w:val="-11"/>
        </w:rPr>
        <w:t xml:space="preserve"> </w:t>
      </w:r>
      <w:r>
        <w:rPr>
          <w:color w:val="231F20"/>
        </w:rPr>
        <w:t>gaming</w:t>
      </w:r>
      <w:r>
        <w:rPr>
          <w:color w:val="231F20"/>
          <w:spacing w:val="-12"/>
        </w:rPr>
        <w:t xml:space="preserve"> </w:t>
      </w:r>
      <w:r>
        <w:rPr>
          <w:color w:val="231F20"/>
        </w:rPr>
        <w:t>technology</w:t>
      </w:r>
      <w:r>
        <w:rPr>
          <w:color w:val="231F20"/>
          <w:spacing w:val="-11"/>
        </w:rPr>
        <w:t xml:space="preserve"> </w:t>
      </w:r>
      <w:r>
        <w:rPr>
          <w:color w:val="231F20"/>
        </w:rPr>
        <w:t xml:space="preserve">advances, </w:t>
      </w:r>
      <w:r>
        <w:rPr>
          <w:color w:val="231F20"/>
          <w:w w:val="95"/>
        </w:rPr>
        <w:t>the e-sport landscape will continue to evolve rapidly changing the world of</w:t>
      </w:r>
      <w:r>
        <w:rPr>
          <w:color w:val="231F20"/>
          <w:spacing w:val="15"/>
        </w:rPr>
        <w:t xml:space="preserve"> </w:t>
      </w:r>
      <w:r>
        <w:rPr>
          <w:color w:val="231F20"/>
          <w:w w:val="95"/>
        </w:rPr>
        <w:t>sport</w:t>
      </w:r>
      <w:r>
        <w:rPr>
          <w:color w:val="231F20"/>
        </w:rPr>
        <w:t xml:space="preserve"> </w:t>
      </w:r>
      <w:r>
        <w:rPr>
          <w:color w:val="231F20"/>
          <w:w w:val="95"/>
        </w:rPr>
        <w:t>and</w:t>
      </w:r>
      <w:r>
        <w:rPr>
          <w:color w:val="231F20"/>
        </w:rPr>
        <w:t xml:space="preserve"> </w:t>
      </w:r>
      <w:r>
        <w:rPr>
          <w:color w:val="231F20"/>
          <w:w w:val="95"/>
        </w:rPr>
        <w:t>tourism,</w:t>
      </w:r>
      <w:r>
        <w:rPr>
          <w:color w:val="231F20"/>
        </w:rPr>
        <w:t xml:space="preserve"> </w:t>
      </w:r>
      <w:r>
        <w:rPr>
          <w:color w:val="231F20"/>
          <w:w w:val="95"/>
        </w:rPr>
        <w:t>and</w:t>
      </w:r>
      <w:r>
        <w:rPr>
          <w:color w:val="231F20"/>
        </w:rPr>
        <w:t xml:space="preserve"> </w:t>
      </w:r>
      <w:r>
        <w:rPr>
          <w:color w:val="231F20"/>
          <w:w w:val="95"/>
        </w:rPr>
        <w:t>the</w:t>
      </w:r>
      <w:r>
        <w:rPr>
          <w:color w:val="231F20"/>
        </w:rPr>
        <w:t xml:space="preserve"> </w:t>
      </w:r>
      <w:r>
        <w:rPr>
          <w:color w:val="231F20"/>
          <w:w w:val="95"/>
        </w:rPr>
        <w:t>experience</w:t>
      </w:r>
      <w:r>
        <w:rPr>
          <w:color w:val="231F20"/>
        </w:rPr>
        <w:t xml:space="preserve"> </w:t>
      </w:r>
      <w:r>
        <w:rPr>
          <w:color w:val="231F20"/>
          <w:w w:val="95"/>
        </w:rPr>
        <w:t>of</w:t>
      </w:r>
      <w:r>
        <w:rPr>
          <w:color w:val="231F20"/>
          <w:spacing w:val="16"/>
        </w:rPr>
        <w:t xml:space="preserve"> </w:t>
      </w:r>
      <w:r>
        <w:rPr>
          <w:color w:val="231F20"/>
          <w:w w:val="95"/>
        </w:rPr>
        <w:t>sport</w:t>
      </w:r>
      <w:r>
        <w:rPr>
          <w:color w:val="231F20"/>
        </w:rPr>
        <w:t xml:space="preserve"> </w:t>
      </w:r>
      <w:r>
        <w:rPr>
          <w:color w:val="231F20"/>
          <w:w w:val="95"/>
        </w:rPr>
        <w:t>tourism</w:t>
      </w:r>
      <w:r>
        <w:rPr>
          <w:color w:val="231F20"/>
        </w:rPr>
        <w:t xml:space="preserve"> </w:t>
      </w:r>
      <w:r>
        <w:rPr>
          <w:color w:val="231F20"/>
          <w:w w:val="95"/>
        </w:rPr>
        <w:t>as</w:t>
      </w:r>
      <w:r>
        <w:rPr>
          <w:color w:val="231F20"/>
        </w:rPr>
        <w:t xml:space="preserve"> </w:t>
      </w:r>
      <w:r>
        <w:rPr>
          <w:color w:val="231F20"/>
          <w:w w:val="95"/>
        </w:rPr>
        <w:t>we</w:t>
      </w:r>
      <w:r>
        <w:rPr>
          <w:color w:val="231F20"/>
        </w:rPr>
        <w:t xml:space="preserve"> </w:t>
      </w:r>
      <w:r>
        <w:rPr>
          <w:color w:val="231F20"/>
          <w:w w:val="95"/>
        </w:rPr>
        <w:t>know</w:t>
      </w:r>
      <w:r>
        <w:rPr>
          <w:color w:val="231F20"/>
        </w:rPr>
        <w:t xml:space="preserve"> </w:t>
      </w:r>
      <w:r>
        <w:rPr>
          <w:color w:val="231F20"/>
          <w:spacing w:val="-5"/>
          <w:w w:val="95"/>
        </w:rPr>
        <w:t>it.</w:t>
      </w:r>
    </w:p>
    <w:p w14:paraId="4A484CB0" w14:textId="77777777" w:rsidR="00AE0598" w:rsidRDefault="00AE0598">
      <w:pPr>
        <w:pStyle w:val="Corpodetexto"/>
        <w:spacing w:before="6"/>
        <w:rPr>
          <w:sz w:val="23"/>
        </w:rPr>
      </w:pPr>
    </w:p>
    <w:p w14:paraId="52B2DD1E" w14:textId="77777777" w:rsidR="00AE0598" w:rsidRDefault="0069255A">
      <w:pPr>
        <w:ind w:left="223"/>
        <w:jc w:val="both"/>
        <w:rPr>
          <w:rFonts w:ascii="Trebuchet MS"/>
          <w:sz w:val="20"/>
        </w:rPr>
      </w:pPr>
      <w:r>
        <w:rPr>
          <w:rFonts w:ascii="Trebuchet MS"/>
          <w:color w:val="231F20"/>
          <w:w w:val="105"/>
          <w:sz w:val="20"/>
        </w:rPr>
        <w:t>Key</w:t>
      </w:r>
      <w:r>
        <w:rPr>
          <w:rFonts w:ascii="Trebuchet MS"/>
          <w:color w:val="231F20"/>
          <w:spacing w:val="-11"/>
          <w:w w:val="105"/>
          <w:sz w:val="20"/>
        </w:rPr>
        <w:t xml:space="preserve"> </w:t>
      </w:r>
      <w:r>
        <w:rPr>
          <w:rFonts w:ascii="Trebuchet MS"/>
          <w:color w:val="231F20"/>
          <w:spacing w:val="-2"/>
          <w:w w:val="105"/>
          <w:sz w:val="20"/>
        </w:rPr>
        <w:t>Reading</w:t>
      </w:r>
    </w:p>
    <w:p w14:paraId="32D9B84B" w14:textId="77777777" w:rsidR="00AE0598" w:rsidRDefault="0069255A">
      <w:pPr>
        <w:pStyle w:val="Corpodetexto"/>
        <w:spacing w:before="122" w:line="232" w:lineRule="auto"/>
        <w:ind w:left="223" w:right="241"/>
        <w:jc w:val="both"/>
      </w:pPr>
      <w:r>
        <w:rPr>
          <w:color w:val="231F20"/>
          <w:w w:val="95"/>
        </w:rPr>
        <w:t xml:space="preserve">Chen, S. (2017) Big crowds, big bucks: A beginner’s guide to the e-sports </w:t>
      </w:r>
      <w:r>
        <w:rPr>
          <w:color w:val="231F20"/>
        </w:rPr>
        <w:t xml:space="preserve">phenomenon that’s conquering China. </w:t>
      </w:r>
      <w:r>
        <w:rPr>
          <w:i/>
          <w:color w:val="231F20"/>
        </w:rPr>
        <w:t>South China Morning Post</w:t>
      </w:r>
      <w:r>
        <w:rPr>
          <w:color w:val="231F20"/>
        </w:rPr>
        <w:t xml:space="preserve">. See </w:t>
      </w:r>
      <w:hyperlink r:id="rId44">
        <w:r>
          <w:rPr>
            <w:color w:val="231F20"/>
            <w:spacing w:val="-6"/>
            <w:w w:val="95"/>
          </w:rPr>
          <w:t>h</w:t>
        </w:r>
        <w:r>
          <w:rPr>
            <w:color w:val="231F20"/>
            <w:spacing w:val="1"/>
            <w:w w:val="94"/>
          </w:rPr>
          <w:t>t</w:t>
        </w:r>
        <w:r>
          <w:rPr>
            <w:color w:val="231F20"/>
            <w:w w:val="94"/>
          </w:rPr>
          <w:t>t</w:t>
        </w:r>
        <w:r>
          <w:rPr>
            <w:color w:val="231F20"/>
            <w:spacing w:val="-6"/>
            <w:w w:val="94"/>
          </w:rPr>
          <w:t>p</w:t>
        </w:r>
        <w:r>
          <w:rPr>
            <w:color w:val="231F20"/>
            <w:spacing w:val="2"/>
            <w:w w:val="101"/>
          </w:rPr>
          <w:t>:</w:t>
        </w:r>
        <w:r>
          <w:rPr>
            <w:color w:val="231F20"/>
            <w:spacing w:val="-8"/>
            <w:w w:val="56"/>
          </w:rPr>
          <w:t>/</w:t>
        </w:r>
        <w:r>
          <w:rPr>
            <w:color w:val="231F20"/>
            <w:spacing w:val="-5"/>
            <w:w w:val="56"/>
          </w:rPr>
          <w:t>/</w:t>
        </w:r>
        <w:r>
          <w:rPr>
            <w:color w:val="231F20"/>
            <w:w w:val="95"/>
          </w:rPr>
          <w:t>ww</w:t>
        </w:r>
        <w:r>
          <w:rPr>
            <w:color w:val="231F20"/>
            <w:spacing w:val="-15"/>
            <w:w w:val="95"/>
          </w:rPr>
          <w:t>w</w:t>
        </w:r>
        <w:r>
          <w:rPr>
            <w:color w:val="231F20"/>
            <w:spacing w:val="-1"/>
            <w:w w:val="131"/>
          </w:rPr>
          <w:t>.</w:t>
        </w:r>
        <w:r>
          <w:rPr>
            <w:color w:val="231F20"/>
            <w:spacing w:val="-2"/>
            <w:w w:val="86"/>
          </w:rPr>
          <w:t>s</w:t>
        </w:r>
        <w:r>
          <w:rPr>
            <w:color w:val="231F20"/>
            <w:spacing w:val="-3"/>
            <w:w w:val="95"/>
          </w:rPr>
          <w:t>c</w:t>
        </w:r>
        <w:r>
          <w:rPr>
            <w:color w:val="231F20"/>
            <w:spacing w:val="-6"/>
            <w:w w:val="95"/>
          </w:rPr>
          <w:t>m</w:t>
        </w:r>
        <w:r>
          <w:rPr>
            <w:color w:val="231F20"/>
            <w:spacing w:val="-7"/>
            <w:w w:val="94"/>
          </w:rPr>
          <w:t>p</w:t>
        </w:r>
        <w:r>
          <w:rPr>
            <w:color w:val="231F20"/>
            <w:spacing w:val="-4"/>
            <w:w w:val="131"/>
          </w:rPr>
          <w:t>.</w:t>
        </w:r>
        <w:r>
          <w:rPr>
            <w:color w:val="231F20"/>
            <w:spacing w:val="-3"/>
            <w:w w:val="95"/>
          </w:rPr>
          <w:t>c</w:t>
        </w:r>
        <w:r>
          <w:rPr>
            <w:color w:val="231F20"/>
            <w:spacing w:val="-6"/>
            <w:w w:val="99"/>
          </w:rPr>
          <w:t>o</w:t>
        </w:r>
        <w:r>
          <w:rPr>
            <w:color w:val="231F20"/>
            <w:spacing w:val="5"/>
            <w:w w:val="95"/>
          </w:rPr>
          <w:t>m</w:t>
        </w:r>
        <w:r>
          <w:rPr>
            <w:color w:val="231F20"/>
            <w:spacing w:val="-7"/>
            <w:w w:val="56"/>
          </w:rPr>
          <w:t>/</w:t>
        </w:r>
        <w:r>
          <w:rPr>
            <w:color w:val="231F20"/>
            <w:spacing w:val="-4"/>
            <w:w w:val="94"/>
          </w:rPr>
          <w:t>n</w:t>
        </w:r>
        <w:r>
          <w:rPr>
            <w:color w:val="231F20"/>
            <w:spacing w:val="-3"/>
            <w:w w:val="86"/>
          </w:rPr>
          <w:t>e</w:t>
        </w:r>
        <w:r>
          <w:rPr>
            <w:color w:val="231F20"/>
            <w:spacing w:val="-4"/>
            <w:w w:val="95"/>
          </w:rPr>
          <w:t>w</w:t>
        </w:r>
        <w:r>
          <w:rPr>
            <w:color w:val="231F20"/>
            <w:spacing w:val="2"/>
            <w:w w:val="86"/>
          </w:rPr>
          <w:t>s</w:t>
        </w:r>
        <w:r>
          <w:rPr>
            <w:color w:val="231F20"/>
            <w:spacing w:val="-12"/>
            <w:w w:val="56"/>
          </w:rPr>
          <w:t>/</w:t>
        </w:r>
        <w:r>
          <w:rPr>
            <w:color w:val="231F20"/>
            <w:spacing w:val="-3"/>
            <w:w w:val="95"/>
          </w:rPr>
          <w:t>c</w:t>
        </w:r>
        <w:r>
          <w:rPr>
            <w:color w:val="231F20"/>
            <w:w w:val="95"/>
          </w:rPr>
          <w:t>h</w:t>
        </w:r>
        <w:r>
          <w:rPr>
            <w:color w:val="231F20"/>
            <w:spacing w:val="-1"/>
            <w:w w:val="95"/>
          </w:rPr>
          <w:t>i</w:t>
        </w:r>
        <w:r>
          <w:rPr>
            <w:color w:val="231F20"/>
            <w:spacing w:val="-3"/>
            <w:w w:val="94"/>
          </w:rPr>
          <w:t>n</w:t>
        </w:r>
        <w:r>
          <w:rPr>
            <w:color w:val="231F20"/>
            <w:spacing w:val="4"/>
            <w:w w:val="97"/>
          </w:rPr>
          <w:t>a</w:t>
        </w:r>
        <w:r>
          <w:rPr>
            <w:color w:val="231F20"/>
            <w:spacing w:val="-10"/>
            <w:w w:val="56"/>
          </w:rPr>
          <w:t>/</w:t>
        </w:r>
        <w:r>
          <w:rPr>
            <w:color w:val="231F20"/>
            <w:spacing w:val="-3"/>
            <w:w w:val="86"/>
          </w:rPr>
          <w:t>s</w:t>
        </w:r>
        <w:r>
          <w:rPr>
            <w:color w:val="231F20"/>
            <w:spacing w:val="-2"/>
            <w:w w:val="99"/>
          </w:rPr>
          <w:t>o</w:t>
        </w:r>
        <w:r>
          <w:rPr>
            <w:color w:val="231F20"/>
            <w:spacing w:val="-2"/>
            <w:w w:val="95"/>
          </w:rPr>
          <w:t>c</w:t>
        </w:r>
        <w:r>
          <w:rPr>
            <w:color w:val="231F20"/>
            <w:spacing w:val="-5"/>
            <w:w w:val="96"/>
          </w:rPr>
          <w:t>i</w:t>
        </w:r>
        <w:r>
          <w:rPr>
            <w:color w:val="231F20"/>
            <w:spacing w:val="-2"/>
            <w:w w:val="86"/>
          </w:rPr>
          <w:t>e</w:t>
        </w:r>
        <w:r>
          <w:rPr>
            <w:color w:val="231F20"/>
            <w:spacing w:val="2"/>
            <w:w w:val="94"/>
          </w:rPr>
          <w:t>t</w:t>
        </w:r>
        <w:r>
          <w:rPr>
            <w:color w:val="231F20"/>
            <w:spacing w:val="-7"/>
            <w:w w:val="94"/>
          </w:rPr>
          <w:t>y</w:t>
        </w:r>
        <w:r>
          <w:rPr>
            <w:color w:val="231F20"/>
            <w:spacing w:val="-12"/>
            <w:w w:val="56"/>
          </w:rPr>
          <w:t>/</w:t>
        </w:r>
        <w:r>
          <w:rPr>
            <w:color w:val="231F20"/>
            <w:spacing w:val="-1"/>
            <w:w w:val="97"/>
          </w:rPr>
          <w:t>a</w:t>
        </w:r>
        <w:r>
          <w:rPr>
            <w:color w:val="231F20"/>
            <w:spacing w:val="1"/>
            <w:w w:val="89"/>
          </w:rPr>
          <w:t>r</w:t>
        </w:r>
        <w:r>
          <w:rPr>
            <w:color w:val="231F20"/>
            <w:w w:val="95"/>
          </w:rPr>
          <w:t>t</w:t>
        </w:r>
        <w:r>
          <w:rPr>
            <w:color w:val="231F20"/>
            <w:spacing w:val="-6"/>
            <w:w w:val="95"/>
          </w:rPr>
          <w:t>i</w:t>
        </w:r>
        <w:r>
          <w:rPr>
            <w:color w:val="231F20"/>
            <w:spacing w:val="-4"/>
            <w:w w:val="95"/>
          </w:rPr>
          <w:t>c</w:t>
        </w:r>
        <w:r>
          <w:rPr>
            <w:color w:val="231F20"/>
            <w:spacing w:val="-4"/>
            <w:w w:val="98"/>
          </w:rPr>
          <w:t>l</w:t>
        </w:r>
        <w:r>
          <w:rPr>
            <w:color w:val="231F20"/>
            <w:spacing w:val="3"/>
            <w:w w:val="86"/>
          </w:rPr>
          <w:t>e</w:t>
        </w:r>
        <w:r>
          <w:rPr>
            <w:color w:val="231F20"/>
            <w:w w:val="56"/>
          </w:rPr>
          <w:t>/</w:t>
        </w:r>
        <w:r>
          <w:rPr>
            <w:color w:val="231F20"/>
            <w:spacing w:val="-4"/>
            <w:w w:val="85"/>
          </w:rPr>
          <w:t>2</w:t>
        </w:r>
        <w:r>
          <w:rPr>
            <w:color w:val="231F20"/>
            <w:spacing w:val="-5"/>
            <w:w w:val="85"/>
          </w:rPr>
          <w:t>1</w:t>
        </w:r>
        <w:r>
          <w:rPr>
            <w:color w:val="231F20"/>
            <w:spacing w:val="5"/>
            <w:w w:val="85"/>
          </w:rPr>
          <w:t>0</w:t>
        </w:r>
        <w:r>
          <w:rPr>
            <w:color w:val="231F20"/>
            <w:spacing w:val="-2"/>
            <w:w w:val="85"/>
          </w:rPr>
          <w:t>4</w:t>
        </w:r>
        <w:r>
          <w:rPr>
            <w:color w:val="231F20"/>
            <w:spacing w:val="4"/>
            <w:w w:val="85"/>
          </w:rPr>
          <w:t>9</w:t>
        </w:r>
        <w:r>
          <w:rPr>
            <w:color w:val="231F20"/>
            <w:spacing w:val="6"/>
            <w:w w:val="85"/>
          </w:rPr>
          <w:t>7</w:t>
        </w:r>
        <w:r>
          <w:rPr>
            <w:color w:val="231F20"/>
            <w:spacing w:val="-9"/>
            <w:w w:val="85"/>
          </w:rPr>
          <w:t>7</w:t>
        </w:r>
        <w:r>
          <w:rPr>
            <w:color w:val="231F20"/>
            <w:spacing w:val="3"/>
            <w:w w:val="56"/>
          </w:rPr>
          <w:t>/</w:t>
        </w:r>
        <w:r>
          <w:rPr>
            <w:color w:val="231F20"/>
            <w:spacing w:val="-5"/>
            <w:w w:val="96"/>
          </w:rPr>
          <w:t>b</w:t>
        </w:r>
        <w:r>
          <w:rPr>
            <w:color w:val="231F20"/>
            <w:spacing w:val="-6"/>
            <w:w w:val="96"/>
          </w:rPr>
          <w:t>i</w:t>
        </w:r>
        <w:r>
          <w:rPr>
            <w:color w:val="231F20"/>
            <w:spacing w:val="-5"/>
            <w:w w:val="95"/>
          </w:rPr>
          <w:t>g</w:t>
        </w:r>
        <w:r>
          <w:rPr>
            <w:color w:val="231F20"/>
            <w:spacing w:val="2"/>
            <w:w w:val="96"/>
          </w:rPr>
          <w:t>-</w:t>
        </w:r>
        <w:r>
          <w:rPr>
            <w:color w:val="231F20"/>
            <w:spacing w:val="-2"/>
            <w:w w:val="90"/>
          </w:rPr>
          <w:t>crowds-</w:t>
        </w:r>
      </w:hyperlink>
      <w:r>
        <w:rPr>
          <w:color w:val="231F20"/>
          <w:spacing w:val="80"/>
        </w:rPr>
        <w:t xml:space="preserve">  </w:t>
      </w:r>
      <w:r>
        <w:rPr>
          <w:color w:val="231F20"/>
          <w:spacing w:val="-2"/>
          <w:w w:val="95"/>
        </w:rPr>
        <w:t>big-bucks-beginners-guide-e-sports-phenomenon-thats.</w:t>
      </w:r>
    </w:p>
    <w:p w14:paraId="657FDA67" w14:textId="77777777" w:rsidR="00AE0598" w:rsidRDefault="00AE0598">
      <w:pPr>
        <w:pStyle w:val="Corpodetexto"/>
        <w:rPr>
          <w:sz w:val="24"/>
        </w:rPr>
      </w:pPr>
    </w:p>
    <w:p w14:paraId="74EA945B" w14:textId="77777777" w:rsidR="00AE0598" w:rsidRDefault="00AE0598">
      <w:pPr>
        <w:pStyle w:val="Corpodetexto"/>
        <w:spacing w:before="5"/>
        <w:rPr>
          <w:sz w:val="20"/>
        </w:rPr>
      </w:pPr>
    </w:p>
    <w:p w14:paraId="664A5952" w14:textId="77777777" w:rsidR="00AE0598" w:rsidRDefault="0069255A">
      <w:pPr>
        <w:pStyle w:val="Corpodetexto"/>
        <w:spacing w:line="232" w:lineRule="auto"/>
        <w:ind w:left="110" w:right="127" w:firstLine="320"/>
        <w:jc w:val="both"/>
      </w:pPr>
      <w:r>
        <w:rPr>
          <w:color w:val="231F20"/>
          <w:w w:val="95"/>
        </w:rPr>
        <w:t>Past technological advances in transportation have played a key role in tourism development and they are likely to continue to do so. For example, the</w:t>
      </w:r>
      <w:r>
        <w:rPr>
          <w:color w:val="231F20"/>
          <w:spacing w:val="-1"/>
          <w:w w:val="95"/>
        </w:rPr>
        <w:t xml:space="preserve"> </w:t>
      </w:r>
      <w:r>
        <w:rPr>
          <w:color w:val="231F20"/>
          <w:w w:val="95"/>
        </w:rPr>
        <w:t>air</w:t>
      </w:r>
      <w:r>
        <w:rPr>
          <w:color w:val="231F20"/>
          <w:spacing w:val="-1"/>
          <w:w w:val="95"/>
        </w:rPr>
        <w:t xml:space="preserve"> </w:t>
      </w:r>
      <w:r>
        <w:rPr>
          <w:color w:val="231F20"/>
          <w:w w:val="95"/>
        </w:rPr>
        <w:t>transport</w:t>
      </w:r>
      <w:r>
        <w:rPr>
          <w:color w:val="231F20"/>
          <w:spacing w:val="-1"/>
          <w:w w:val="95"/>
        </w:rPr>
        <w:t xml:space="preserve"> </w:t>
      </w:r>
      <w:r>
        <w:rPr>
          <w:color w:val="231F20"/>
          <w:w w:val="95"/>
        </w:rPr>
        <w:t>industry is</w:t>
      </w:r>
      <w:r>
        <w:rPr>
          <w:color w:val="231F20"/>
          <w:spacing w:val="-1"/>
          <w:w w:val="95"/>
        </w:rPr>
        <w:t xml:space="preserve"> </w:t>
      </w:r>
      <w:r>
        <w:rPr>
          <w:color w:val="231F20"/>
          <w:w w:val="95"/>
        </w:rPr>
        <w:t>under</w:t>
      </w:r>
      <w:r>
        <w:rPr>
          <w:color w:val="231F20"/>
          <w:spacing w:val="-1"/>
          <w:w w:val="95"/>
        </w:rPr>
        <w:t xml:space="preserve"> </w:t>
      </w:r>
      <w:r>
        <w:rPr>
          <w:color w:val="231F20"/>
          <w:w w:val="95"/>
        </w:rPr>
        <w:t>substantial</w:t>
      </w:r>
      <w:r>
        <w:rPr>
          <w:color w:val="231F20"/>
          <w:spacing w:val="-1"/>
          <w:w w:val="95"/>
        </w:rPr>
        <w:t xml:space="preserve"> </w:t>
      </w:r>
      <w:r>
        <w:rPr>
          <w:color w:val="231F20"/>
          <w:w w:val="95"/>
        </w:rPr>
        <w:t>pressure</w:t>
      </w:r>
      <w:r>
        <w:rPr>
          <w:color w:val="231F20"/>
          <w:spacing w:val="-1"/>
          <w:w w:val="95"/>
        </w:rPr>
        <w:t xml:space="preserve"> </w:t>
      </w:r>
      <w:r>
        <w:rPr>
          <w:color w:val="231F20"/>
          <w:w w:val="95"/>
        </w:rPr>
        <w:t>to reduce its</w:t>
      </w:r>
      <w:r>
        <w:rPr>
          <w:color w:val="231F20"/>
          <w:spacing w:val="-1"/>
          <w:w w:val="95"/>
        </w:rPr>
        <w:t xml:space="preserve"> </w:t>
      </w:r>
      <w:r>
        <w:rPr>
          <w:color w:val="231F20"/>
          <w:w w:val="95"/>
        </w:rPr>
        <w:t xml:space="preserve">carbon </w:t>
      </w:r>
      <w:r>
        <w:rPr>
          <w:color w:val="231F20"/>
        </w:rPr>
        <w:t>footprint.</w:t>
      </w:r>
      <w:r>
        <w:rPr>
          <w:color w:val="231F20"/>
          <w:spacing w:val="-8"/>
        </w:rPr>
        <w:t xml:space="preserve"> </w:t>
      </w:r>
      <w:r>
        <w:rPr>
          <w:color w:val="231F20"/>
        </w:rPr>
        <w:t>Futurologist</w:t>
      </w:r>
      <w:r>
        <w:rPr>
          <w:color w:val="231F20"/>
          <w:spacing w:val="-8"/>
        </w:rPr>
        <w:t xml:space="preserve"> </w:t>
      </w:r>
      <w:r>
        <w:rPr>
          <w:color w:val="231F20"/>
        </w:rPr>
        <w:t>Robin</w:t>
      </w:r>
      <w:r>
        <w:rPr>
          <w:color w:val="231F20"/>
          <w:spacing w:val="-8"/>
        </w:rPr>
        <w:t xml:space="preserve"> </w:t>
      </w:r>
      <w:r>
        <w:rPr>
          <w:color w:val="231F20"/>
        </w:rPr>
        <w:t>Manning</w:t>
      </w:r>
      <w:r>
        <w:rPr>
          <w:color w:val="231F20"/>
          <w:spacing w:val="-8"/>
        </w:rPr>
        <w:t xml:space="preserve"> </w:t>
      </w:r>
      <w:r>
        <w:rPr>
          <w:color w:val="231F20"/>
        </w:rPr>
        <w:t>notes</w:t>
      </w:r>
      <w:r>
        <w:rPr>
          <w:color w:val="231F20"/>
          <w:spacing w:val="-8"/>
        </w:rPr>
        <w:t xml:space="preserve"> </w:t>
      </w:r>
      <w:r>
        <w:rPr>
          <w:color w:val="231F20"/>
        </w:rPr>
        <w:t>several</w:t>
      </w:r>
      <w:r>
        <w:rPr>
          <w:color w:val="231F20"/>
          <w:spacing w:val="-8"/>
        </w:rPr>
        <w:t xml:space="preserve"> </w:t>
      </w:r>
      <w:r>
        <w:rPr>
          <w:color w:val="231F20"/>
        </w:rPr>
        <w:t>trends</w:t>
      </w:r>
      <w:r>
        <w:rPr>
          <w:color w:val="231F20"/>
          <w:spacing w:val="-8"/>
        </w:rPr>
        <w:t xml:space="preserve"> </w:t>
      </w:r>
      <w:r>
        <w:rPr>
          <w:color w:val="231F20"/>
        </w:rPr>
        <w:t>that</w:t>
      </w:r>
      <w:r>
        <w:rPr>
          <w:color w:val="231F20"/>
          <w:spacing w:val="-8"/>
        </w:rPr>
        <w:t xml:space="preserve"> </w:t>
      </w:r>
      <w:r>
        <w:rPr>
          <w:color w:val="231F20"/>
        </w:rPr>
        <w:t>will</w:t>
      </w:r>
      <w:r>
        <w:rPr>
          <w:color w:val="231F20"/>
          <w:spacing w:val="-8"/>
        </w:rPr>
        <w:t xml:space="preserve"> </w:t>
      </w:r>
      <w:r>
        <w:rPr>
          <w:color w:val="231F20"/>
        </w:rPr>
        <w:t>help the industry to improve in this area:</w:t>
      </w:r>
    </w:p>
    <w:p w14:paraId="4D519F24" w14:textId="77777777" w:rsidR="00AE0598" w:rsidRDefault="00AE0598">
      <w:pPr>
        <w:pStyle w:val="Corpodetexto"/>
        <w:spacing w:before="3"/>
      </w:pPr>
    </w:p>
    <w:p w14:paraId="4F5307B0" w14:textId="77777777" w:rsidR="00AE0598" w:rsidRDefault="0069255A">
      <w:pPr>
        <w:spacing w:line="244" w:lineRule="auto"/>
        <w:ind w:left="430"/>
        <w:rPr>
          <w:sz w:val="20"/>
        </w:rPr>
      </w:pPr>
      <w:r>
        <w:rPr>
          <w:color w:val="231F20"/>
          <w:sz w:val="20"/>
        </w:rPr>
        <w:t>Research</w:t>
      </w:r>
      <w:r>
        <w:rPr>
          <w:color w:val="231F20"/>
          <w:spacing w:val="62"/>
          <w:sz w:val="20"/>
        </w:rPr>
        <w:t xml:space="preserve"> </w:t>
      </w:r>
      <w:r>
        <w:rPr>
          <w:color w:val="231F20"/>
          <w:sz w:val="20"/>
        </w:rPr>
        <w:t>in</w:t>
      </w:r>
      <w:r>
        <w:rPr>
          <w:color w:val="231F20"/>
          <w:spacing w:val="62"/>
          <w:sz w:val="20"/>
        </w:rPr>
        <w:t xml:space="preserve"> </w:t>
      </w:r>
      <w:r>
        <w:rPr>
          <w:color w:val="231F20"/>
          <w:sz w:val="20"/>
        </w:rPr>
        <w:t>nanotechnology,</w:t>
      </w:r>
      <w:r>
        <w:rPr>
          <w:color w:val="231F20"/>
          <w:spacing w:val="62"/>
          <w:sz w:val="20"/>
        </w:rPr>
        <w:t xml:space="preserve"> </w:t>
      </w:r>
      <w:r>
        <w:rPr>
          <w:color w:val="231F20"/>
          <w:sz w:val="20"/>
        </w:rPr>
        <w:t>biotechnology,</w:t>
      </w:r>
      <w:r>
        <w:rPr>
          <w:color w:val="231F20"/>
          <w:spacing w:val="62"/>
          <w:sz w:val="20"/>
        </w:rPr>
        <w:t xml:space="preserve"> </w:t>
      </w:r>
      <w:r>
        <w:rPr>
          <w:color w:val="231F20"/>
          <w:sz w:val="20"/>
        </w:rPr>
        <w:t>information</w:t>
      </w:r>
      <w:r>
        <w:rPr>
          <w:color w:val="231F20"/>
          <w:spacing w:val="62"/>
          <w:sz w:val="20"/>
        </w:rPr>
        <w:t xml:space="preserve"> </w:t>
      </w:r>
      <w:r>
        <w:rPr>
          <w:color w:val="231F20"/>
          <w:sz w:val="20"/>
        </w:rPr>
        <w:t xml:space="preserve">technology </w:t>
      </w:r>
      <w:r>
        <w:rPr>
          <w:color w:val="231F20"/>
          <w:w w:val="95"/>
          <w:sz w:val="20"/>
        </w:rPr>
        <w:t>and</w:t>
      </w:r>
      <w:r>
        <w:rPr>
          <w:color w:val="231F20"/>
          <w:spacing w:val="18"/>
          <w:sz w:val="20"/>
        </w:rPr>
        <w:t xml:space="preserve"> </w:t>
      </w:r>
      <w:r>
        <w:rPr>
          <w:color w:val="231F20"/>
          <w:w w:val="95"/>
          <w:sz w:val="20"/>
        </w:rPr>
        <w:t>cognitive</w:t>
      </w:r>
      <w:r>
        <w:rPr>
          <w:color w:val="231F20"/>
          <w:spacing w:val="18"/>
          <w:sz w:val="20"/>
        </w:rPr>
        <w:t xml:space="preserve"> </w:t>
      </w:r>
      <w:r>
        <w:rPr>
          <w:color w:val="231F20"/>
          <w:w w:val="95"/>
          <w:sz w:val="20"/>
        </w:rPr>
        <w:t>science</w:t>
      </w:r>
      <w:r>
        <w:rPr>
          <w:color w:val="231F20"/>
          <w:spacing w:val="19"/>
          <w:sz w:val="20"/>
        </w:rPr>
        <w:t xml:space="preserve"> </w:t>
      </w:r>
      <w:r>
        <w:rPr>
          <w:color w:val="231F20"/>
          <w:w w:val="95"/>
          <w:sz w:val="20"/>
        </w:rPr>
        <w:t>are</w:t>
      </w:r>
      <w:r>
        <w:rPr>
          <w:color w:val="231F20"/>
          <w:spacing w:val="18"/>
          <w:sz w:val="20"/>
        </w:rPr>
        <w:t xml:space="preserve"> </w:t>
      </w:r>
      <w:r>
        <w:rPr>
          <w:color w:val="231F20"/>
          <w:w w:val="95"/>
          <w:sz w:val="20"/>
        </w:rPr>
        <w:t>providing</w:t>
      </w:r>
      <w:r>
        <w:rPr>
          <w:color w:val="231F20"/>
          <w:spacing w:val="19"/>
          <w:sz w:val="20"/>
        </w:rPr>
        <w:t xml:space="preserve"> </w:t>
      </w:r>
      <w:r>
        <w:rPr>
          <w:color w:val="231F20"/>
          <w:w w:val="95"/>
          <w:sz w:val="20"/>
        </w:rPr>
        <w:t>a</w:t>
      </w:r>
      <w:r>
        <w:rPr>
          <w:color w:val="231F20"/>
          <w:spacing w:val="18"/>
          <w:sz w:val="20"/>
        </w:rPr>
        <w:t xml:space="preserve"> </w:t>
      </w:r>
      <w:r>
        <w:rPr>
          <w:color w:val="231F20"/>
          <w:w w:val="95"/>
          <w:sz w:val="20"/>
        </w:rPr>
        <w:t>growing</w:t>
      </w:r>
      <w:r>
        <w:rPr>
          <w:color w:val="231F20"/>
          <w:spacing w:val="19"/>
          <w:sz w:val="20"/>
        </w:rPr>
        <w:t xml:space="preserve"> </w:t>
      </w:r>
      <w:r>
        <w:rPr>
          <w:color w:val="231F20"/>
          <w:w w:val="95"/>
          <w:sz w:val="20"/>
        </w:rPr>
        <w:t>set</w:t>
      </w:r>
      <w:r>
        <w:rPr>
          <w:color w:val="231F20"/>
          <w:spacing w:val="18"/>
          <w:sz w:val="20"/>
        </w:rPr>
        <w:t xml:space="preserve"> </w:t>
      </w:r>
      <w:r>
        <w:rPr>
          <w:color w:val="231F20"/>
          <w:w w:val="95"/>
          <w:sz w:val="20"/>
        </w:rPr>
        <w:t>of</w:t>
      </w:r>
      <w:r>
        <w:rPr>
          <w:color w:val="231F20"/>
          <w:spacing w:val="19"/>
          <w:sz w:val="20"/>
        </w:rPr>
        <w:t xml:space="preserve"> </w:t>
      </w:r>
      <w:r>
        <w:rPr>
          <w:color w:val="231F20"/>
          <w:w w:val="95"/>
          <w:sz w:val="20"/>
        </w:rPr>
        <w:t>opportunities.</w:t>
      </w:r>
      <w:r>
        <w:rPr>
          <w:color w:val="231F20"/>
          <w:spacing w:val="18"/>
          <w:sz w:val="20"/>
        </w:rPr>
        <w:t xml:space="preserve"> </w:t>
      </w:r>
      <w:r>
        <w:rPr>
          <w:color w:val="231F20"/>
          <w:spacing w:val="-4"/>
          <w:w w:val="95"/>
          <w:sz w:val="20"/>
        </w:rPr>
        <w:t>Some</w:t>
      </w:r>
    </w:p>
    <w:p w14:paraId="3F5ABC16" w14:textId="77777777" w:rsidR="00AE0598" w:rsidRDefault="00AE0598">
      <w:pPr>
        <w:spacing w:line="244" w:lineRule="auto"/>
        <w:rPr>
          <w:sz w:val="20"/>
        </w:rPr>
        <w:sectPr w:rsidR="00AE0598">
          <w:pgSz w:w="8850" w:h="13270"/>
          <w:pgMar w:top="720" w:right="1060" w:bottom="280" w:left="1080" w:header="720" w:footer="720" w:gutter="0"/>
          <w:cols w:space="720"/>
        </w:sectPr>
      </w:pPr>
    </w:p>
    <w:p w14:paraId="16EE66F8" w14:textId="77777777" w:rsidR="00AE0598" w:rsidRDefault="0069255A">
      <w:pPr>
        <w:spacing w:before="87"/>
        <w:ind w:left="108"/>
        <w:rPr>
          <w:rFonts w:ascii="Trebuchet MS"/>
          <w:sz w:val="14"/>
        </w:rPr>
      </w:pPr>
      <w:r>
        <w:rPr>
          <w:rFonts w:ascii="Trebuchet MS"/>
          <w:color w:val="231F20"/>
          <w:w w:val="105"/>
          <w:sz w:val="14"/>
        </w:rPr>
        <w:lastRenderedPageBreak/>
        <w:t>222</w:t>
      </w:r>
      <w:r>
        <w:rPr>
          <w:rFonts w:ascii="Trebuchet MS"/>
          <w:color w:val="231F20"/>
          <w:spacing w:val="66"/>
          <w:w w:val="150"/>
          <w:sz w:val="14"/>
        </w:rPr>
        <w:t xml:space="preserve"> </w:t>
      </w:r>
      <w:r>
        <w:rPr>
          <w:rFonts w:ascii="Trebuchet MS"/>
          <w:color w:val="231F20"/>
          <w:w w:val="105"/>
          <w:sz w:val="14"/>
        </w:rPr>
        <w:t>Part</w:t>
      </w:r>
      <w:r>
        <w:rPr>
          <w:rFonts w:ascii="Trebuchet MS"/>
          <w:color w:val="231F20"/>
          <w:spacing w:val="-9"/>
          <w:w w:val="105"/>
          <w:sz w:val="14"/>
        </w:rPr>
        <w:t xml:space="preserve"> </w:t>
      </w:r>
      <w:r>
        <w:rPr>
          <w:rFonts w:ascii="Trebuchet MS"/>
          <w:color w:val="231F20"/>
          <w:w w:val="105"/>
          <w:sz w:val="14"/>
        </w:rPr>
        <w:t>4:</w:t>
      </w:r>
      <w:r>
        <w:rPr>
          <w:rFonts w:ascii="Trebuchet MS"/>
          <w:color w:val="231F20"/>
          <w:spacing w:val="-8"/>
          <w:w w:val="105"/>
          <w:sz w:val="14"/>
        </w:rPr>
        <w:t xml:space="preserve"> </w:t>
      </w:r>
      <w:r>
        <w:rPr>
          <w:rFonts w:ascii="Trebuchet MS"/>
          <w:color w:val="231F20"/>
          <w:w w:val="105"/>
          <w:sz w:val="14"/>
        </w:rPr>
        <w:t>Sport</w:t>
      </w:r>
      <w:r>
        <w:rPr>
          <w:rFonts w:ascii="Trebuchet MS"/>
          <w:color w:val="231F20"/>
          <w:spacing w:val="-9"/>
          <w:w w:val="105"/>
          <w:sz w:val="14"/>
        </w:rPr>
        <w:t xml:space="preserve"> </w:t>
      </w:r>
      <w:r>
        <w:rPr>
          <w:rFonts w:ascii="Trebuchet MS"/>
          <w:color w:val="231F20"/>
          <w:w w:val="105"/>
          <w:sz w:val="14"/>
        </w:rPr>
        <w:t>Tourism</w:t>
      </w:r>
      <w:r>
        <w:rPr>
          <w:rFonts w:ascii="Trebuchet MS"/>
          <w:color w:val="231F20"/>
          <w:spacing w:val="-9"/>
          <w:w w:val="105"/>
          <w:sz w:val="14"/>
        </w:rPr>
        <w:t xml:space="preserve"> </w:t>
      </w:r>
      <w:r>
        <w:rPr>
          <w:rFonts w:ascii="Trebuchet MS"/>
          <w:color w:val="231F20"/>
          <w:w w:val="105"/>
          <w:sz w:val="14"/>
        </w:rPr>
        <w:t>Development</w:t>
      </w:r>
      <w:r>
        <w:rPr>
          <w:rFonts w:ascii="Trebuchet MS"/>
          <w:color w:val="231F20"/>
          <w:spacing w:val="-9"/>
          <w:w w:val="105"/>
          <w:sz w:val="14"/>
        </w:rPr>
        <w:t xml:space="preserve"> </w:t>
      </w:r>
      <w:r>
        <w:rPr>
          <w:rFonts w:ascii="Trebuchet MS"/>
          <w:color w:val="231F20"/>
          <w:w w:val="105"/>
          <w:sz w:val="14"/>
        </w:rPr>
        <w:t>and</w:t>
      </w:r>
      <w:r>
        <w:rPr>
          <w:rFonts w:ascii="Trebuchet MS"/>
          <w:color w:val="231F20"/>
          <w:spacing w:val="-8"/>
          <w:w w:val="105"/>
          <w:sz w:val="14"/>
        </w:rPr>
        <w:t xml:space="preserve"> </w:t>
      </w:r>
      <w:r>
        <w:rPr>
          <w:rFonts w:ascii="Trebuchet MS"/>
          <w:color w:val="231F20"/>
          <w:spacing w:val="-4"/>
          <w:w w:val="105"/>
          <w:sz w:val="14"/>
        </w:rPr>
        <w:t>Time</w:t>
      </w:r>
    </w:p>
    <w:p w14:paraId="52F0FCCD" w14:textId="77777777" w:rsidR="00AE0598" w:rsidRDefault="00AE0598">
      <w:pPr>
        <w:pStyle w:val="Corpodetexto"/>
        <w:rPr>
          <w:rFonts w:ascii="Trebuchet MS"/>
          <w:sz w:val="16"/>
        </w:rPr>
      </w:pPr>
    </w:p>
    <w:p w14:paraId="021F33F8" w14:textId="77777777" w:rsidR="00AE0598" w:rsidRDefault="0069255A">
      <w:pPr>
        <w:spacing w:before="114" w:line="244" w:lineRule="auto"/>
        <w:ind w:left="430" w:right="127"/>
        <w:jc w:val="both"/>
        <w:rPr>
          <w:sz w:val="20"/>
        </w:rPr>
      </w:pPr>
      <w:r>
        <w:rPr>
          <w:color w:val="231F20"/>
          <w:sz w:val="20"/>
        </w:rPr>
        <w:t>examples include; new light and strong composite materials, electronic plastics, fuels created directly from growing plants (that are effectively scrubbing the atmosphere of unwanted carbon), smarter computer</w:t>
      </w:r>
      <w:r>
        <w:rPr>
          <w:color w:val="231F20"/>
          <w:sz w:val="20"/>
        </w:rPr>
        <w:t xml:space="preserve"> and avionics systems and transport informatics. (Nusca, 2010: np)</w:t>
      </w:r>
    </w:p>
    <w:p w14:paraId="02196F5D" w14:textId="77777777" w:rsidR="00AE0598" w:rsidRDefault="00AE0598">
      <w:pPr>
        <w:pStyle w:val="Corpodetexto"/>
        <w:spacing w:before="5"/>
        <w:rPr>
          <w:sz w:val="20"/>
        </w:rPr>
      </w:pPr>
    </w:p>
    <w:p w14:paraId="24D1F418" w14:textId="77777777" w:rsidR="00AE0598" w:rsidRDefault="0069255A">
      <w:pPr>
        <w:pStyle w:val="Corpodetexto"/>
        <w:spacing w:before="1" w:line="232" w:lineRule="auto"/>
        <w:ind w:left="110" w:right="127"/>
        <w:jc w:val="both"/>
      </w:pPr>
      <w:r>
        <w:rPr>
          <w:color w:val="231F20"/>
        </w:rPr>
        <w:t xml:space="preserve">Above the earth’s atmosphere, continued advances in space travel will </w:t>
      </w:r>
      <w:r>
        <w:rPr>
          <w:color w:val="231F20"/>
          <w:w w:val="95"/>
        </w:rPr>
        <w:t>result in increased access to weightless environments, which may spawn a whole new generation of sport activities. Sim</w:t>
      </w:r>
      <w:r>
        <w:rPr>
          <w:color w:val="231F20"/>
          <w:w w:val="95"/>
        </w:rPr>
        <w:t xml:space="preserve">ilar developments in marine </w:t>
      </w:r>
      <w:r>
        <w:rPr>
          <w:color w:val="231F20"/>
        </w:rPr>
        <w:t>environments</w:t>
      </w:r>
      <w:r>
        <w:rPr>
          <w:color w:val="231F20"/>
          <w:spacing w:val="-5"/>
        </w:rPr>
        <w:t xml:space="preserve"> </w:t>
      </w:r>
      <w:r>
        <w:rPr>
          <w:color w:val="231F20"/>
        </w:rPr>
        <w:t>are</w:t>
      </w:r>
      <w:r>
        <w:rPr>
          <w:color w:val="231F20"/>
          <w:spacing w:val="-5"/>
        </w:rPr>
        <w:t xml:space="preserve"> </w:t>
      </w:r>
      <w:r>
        <w:rPr>
          <w:color w:val="231F20"/>
        </w:rPr>
        <w:t>likely</w:t>
      </w:r>
      <w:r>
        <w:rPr>
          <w:color w:val="231F20"/>
          <w:spacing w:val="-5"/>
        </w:rPr>
        <w:t xml:space="preserve"> </w:t>
      </w:r>
      <w:r>
        <w:rPr>
          <w:color w:val="231F20"/>
        </w:rPr>
        <w:t>to</w:t>
      </w:r>
      <w:r>
        <w:rPr>
          <w:color w:val="231F20"/>
          <w:spacing w:val="-5"/>
        </w:rPr>
        <w:t xml:space="preserve"> </w:t>
      </w:r>
      <w:r>
        <w:rPr>
          <w:color w:val="231F20"/>
        </w:rPr>
        <w:t>present</w:t>
      </w:r>
      <w:r>
        <w:rPr>
          <w:color w:val="231F20"/>
          <w:spacing w:val="-5"/>
        </w:rPr>
        <w:t xml:space="preserve"> </w:t>
      </w:r>
      <w:r>
        <w:rPr>
          <w:color w:val="231F20"/>
        </w:rPr>
        <w:t>dramatic</w:t>
      </w:r>
      <w:r>
        <w:rPr>
          <w:color w:val="231F20"/>
          <w:spacing w:val="-5"/>
        </w:rPr>
        <w:t xml:space="preserve"> </w:t>
      </w:r>
      <w:r>
        <w:rPr>
          <w:color w:val="231F20"/>
        </w:rPr>
        <w:t>new</w:t>
      </w:r>
      <w:r>
        <w:rPr>
          <w:color w:val="231F20"/>
          <w:spacing w:val="-5"/>
        </w:rPr>
        <w:t xml:space="preserve"> </w:t>
      </w:r>
      <w:r>
        <w:rPr>
          <w:color w:val="231F20"/>
        </w:rPr>
        <w:t>opportunities</w:t>
      </w:r>
      <w:r>
        <w:rPr>
          <w:color w:val="231F20"/>
          <w:spacing w:val="-5"/>
        </w:rPr>
        <w:t xml:space="preserve"> </w:t>
      </w:r>
      <w:r>
        <w:rPr>
          <w:color w:val="231F20"/>
        </w:rPr>
        <w:t>for</w:t>
      </w:r>
      <w:r>
        <w:rPr>
          <w:color w:val="231F20"/>
          <w:spacing w:val="-5"/>
        </w:rPr>
        <w:t xml:space="preserve"> </w:t>
      </w:r>
      <w:r>
        <w:rPr>
          <w:color w:val="231F20"/>
        </w:rPr>
        <w:t>sport tourism in that realm.</w:t>
      </w:r>
    </w:p>
    <w:p w14:paraId="258DF4C3" w14:textId="77777777" w:rsidR="00AE0598" w:rsidRDefault="00AE0598">
      <w:pPr>
        <w:pStyle w:val="Corpodetexto"/>
        <w:spacing w:before="5"/>
      </w:pPr>
    </w:p>
    <w:p w14:paraId="51F3A9F1" w14:textId="77777777" w:rsidR="00AE0598" w:rsidRDefault="0069255A">
      <w:pPr>
        <w:ind w:left="110"/>
        <w:rPr>
          <w:rFonts w:ascii="Trebuchet MS"/>
          <w:b/>
          <w:sz w:val="20"/>
        </w:rPr>
      </w:pPr>
      <w:r>
        <w:rPr>
          <w:rFonts w:ascii="Trebuchet MS"/>
          <w:b/>
          <w:color w:val="231F20"/>
          <w:spacing w:val="-2"/>
          <w:sz w:val="20"/>
        </w:rPr>
        <w:t>Conclusion</w:t>
      </w:r>
    </w:p>
    <w:p w14:paraId="0BCB58DF" w14:textId="77777777" w:rsidR="00AE0598" w:rsidRDefault="0069255A">
      <w:pPr>
        <w:pStyle w:val="Corpodetexto"/>
        <w:spacing w:before="122" w:line="232" w:lineRule="auto"/>
        <w:ind w:left="110" w:right="127" w:firstLine="320"/>
        <w:jc w:val="both"/>
      </w:pPr>
      <w:r>
        <w:rPr>
          <w:color w:val="231F20"/>
        </w:rPr>
        <w:t xml:space="preserve">Sport and tourism are each dynamic in and of themselves. While traditional patriot games like the Olympics and the FIFA World Cup and the traditional competitive sports that they represent continue to grow, </w:t>
      </w:r>
      <w:r>
        <w:rPr>
          <w:color w:val="231F20"/>
          <w:w w:val="95"/>
        </w:rPr>
        <w:t>they do so at a slower rate than less competitive</w:t>
      </w:r>
      <w:r>
        <w:rPr>
          <w:color w:val="231F20"/>
          <w:w w:val="95"/>
        </w:rPr>
        <w:t xml:space="preserve"> individual adventure and </w:t>
      </w:r>
      <w:r>
        <w:rPr>
          <w:color w:val="231F20"/>
        </w:rPr>
        <w:t>lifestyle</w:t>
      </w:r>
      <w:r>
        <w:rPr>
          <w:color w:val="231F20"/>
          <w:spacing w:val="-3"/>
        </w:rPr>
        <w:t xml:space="preserve"> </w:t>
      </w:r>
      <w:r>
        <w:rPr>
          <w:color w:val="231F20"/>
        </w:rPr>
        <w:t>sports.</w:t>
      </w:r>
      <w:r>
        <w:rPr>
          <w:color w:val="231F20"/>
          <w:spacing w:val="-3"/>
        </w:rPr>
        <w:t xml:space="preserve"> </w:t>
      </w:r>
      <w:r>
        <w:rPr>
          <w:color w:val="231F20"/>
        </w:rPr>
        <w:t>In</w:t>
      </w:r>
      <w:r>
        <w:rPr>
          <w:color w:val="231F20"/>
          <w:spacing w:val="-4"/>
        </w:rPr>
        <w:t xml:space="preserve"> </w:t>
      </w:r>
      <w:r>
        <w:rPr>
          <w:color w:val="231F20"/>
        </w:rPr>
        <w:t>a</w:t>
      </w:r>
      <w:r>
        <w:rPr>
          <w:color w:val="231F20"/>
          <w:spacing w:val="-3"/>
        </w:rPr>
        <w:t xml:space="preserve"> </w:t>
      </w:r>
      <w:r>
        <w:rPr>
          <w:color w:val="231F20"/>
        </w:rPr>
        <w:t>tourism</w:t>
      </w:r>
      <w:r>
        <w:rPr>
          <w:color w:val="231F20"/>
          <w:spacing w:val="-3"/>
        </w:rPr>
        <w:t xml:space="preserve"> </w:t>
      </w:r>
      <w:r>
        <w:rPr>
          <w:color w:val="231F20"/>
        </w:rPr>
        <w:t>context,</w:t>
      </w:r>
      <w:r>
        <w:rPr>
          <w:color w:val="231F20"/>
          <w:spacing w:val="-4"/>
        </w:rPr>
        <w:t xml:space="preserve"> </w:t>
      </w:r>
      <w:r>
        <w:rPr>
          <w:color w:val="231F20"/>
        </w:rPr>
        <w:t>there</w:t>
      </w:r>
      <w:r>
        <w:rPr>
          <w:color w:val="231F20"/>
          <w:spacing w:val="-3"/>
        </w:rPr>
        <w:t xml:space="preserve"> </w:t>
      </w:r>
      <w:r>
        <w:rPr>
          <w:color w:val="231F20"/>
        </w:rPr>
        <w:t>have</w:t>
      </w:r>
      <w:r>
        <w:rPr>
          <w:color w:val="231F20"/>
          <w:spacing w:val="-4"/>
        </w:rPr>
        <w:t xml:space="preserve"> </w:t>
      </w:r>
      <w:r>
        <w:rPr>
          <w:color w:val="231F20"/>
        </w:rPr>
        <w:t>also</w:t>
      </w:r>
      <w:r>
        <w:rPr>
          <w:color w:val="231F20"/>
          <w:spacing w:val="-3"/>
        </w:rPr>
        <w:t xml:space="preserve"> </w:t>
      </w:r>
      <w:r>
        <w:rPr>
          <w:color w:val="231F20"/>
        </w:rPr>
        <w:t>been</w:t>
      </w:r>
      <w:r>
        <w:rPr>
          <w:color w:val="231F20"/>
          <w:spacing w:val="-3"/>
        </w:rPr>
        <w:t xml:space="preserve"> </w:t>
      </w:r>
      <w:r>
        <w:rPr>
          <w:color w:val="231F20"/>
        </w:rPr>
        <w:t>many</w:t>
      </w:r>
      <w:r>
        <w:rPr>
          <w:color w:val="231F20"/>
          <w:spacing w:val="-4"/>
        </w:rPr>
        <w:t xml:space="preserve"> </w:t>
      </w:r>
      <w:r>
        <w:rPr>
          <w:color w:val="231F20"/>
        </w:rPr>
        <w:t>changes with one of the more substantial ones being a noticeable shift towards an experience-based economy. The interaction of these types of trends across</w:t>
      </w:r>
      <w:r>
        <w:rPr>
          <w:color w:val="231F20"/>
          <w:spacing w:val="-4"/>
        </w:rPr>
        <w:t xml:space="preserve"> </w:t>
      </w:r>
      <w:r>
        <w:rPr>
          <w:color w:val="231F20"/>
        </w:rPr>
        <w:t>both</w:t>
      </w:r>
      <w:r>
        <w:rPr>
          <w:color w:val="231F20"/>
          <w:spacing w:val="-4"/>
        </w:rPr>
        <w:t xml:space="preserve"> </w:t>
      </w:r>
      <w:r>
        <w:rPr>
          <w:color w:val="231F20"/>
        </w:rPr>
        <w:t>rea</w:t>
      </w:r>
      <w:r>
        <w:rPr>
          <w:color w:val="231F20"/>
        </w:rPr>
        <w:t>lms</w:t>
      </w:r>
      <w:r>
        <w:rPr>
          <w:color w:val="231F20"/>
          <w:spacing w:val="-4"/>
        </w:rPr>
        <w:t xml:space="preserve"> </w:t>
      </w:r>
      <w:r>
        <w:rPr>
          <w:color w:val="231F20"/>
        </w:rPr>
        <w:t>has</w:t>
      </w:r>
      <w:r>
        <w:rPr>
          <w:color w:val="231F20"/>
          <w:spacing w:val="-4"/>
        </w:rPr>
        <w:t xml:space="preserve"> </w:t>
      </w:r>
      <w:r>
        <w:rPr>
          <w:color w:val="231F20"/>
        </w:rPr>
        <w:t>made</w:t>
      </w:r>
      <w:r>
        <w:rPr>
          <w:color w:val="231F20"/>
          <w:spacing w:val="-4"/>
        </w:rPr>
        <w:t xml:space="preserve"> </w:t>
      </w:r>
      <w:r>
        <w:rPr>
          <w:color w:val="231F20"/>
        </w:rPr>
        <w:t>sport</w:t>
      </w:r>
      <w:r>
        <w:rPr>
          <w:color w:val="231F20"/>
          <w:spacing w:val="-4"/>
        </w:rPr>
        <w:t xml:space="preserve"> </w:t>
      </w:r>
      <w:r>
        <w:rPr>
          <w:color w:val="231F20"/>
        </w:rPr>
        <w:t>tourism</w:t>
      </w:r>
      <w:r>
        <w:rPr>
          <w:color w:val="231F20"/>
          <w:spacing w:val="-4"/>
        </w:rPr>
        <w:t xml:space="preserve"> </w:t>
      </w:r>
      <w:r>
        <w:rPr>
          <w:color w:val="231F20"/>
        </w:rPr>
        <w:t>an</w:t>
      </w:r>
      <w:r>
        <w:rPr>
          <w:color w:val="231F20"/>
          <w:spacing w:val="-4"/>
        </w:rPr>
        <w:t xml:space="preserve"> </w:t>
      </w:r>
      <w:r>
        <w:rPr>
          <w:color w:val="231F20"/>
        </w:rPr>
        <w:t>extremely</w:t>
      </w:r>
      <w:r>
        <w:rPr>
          <w:color w:val="231F20"/>
          <w:spacing w:val="-4"/>
        </w:rPr>
        <w:t xml:space="preserve"> </w:t>
      </w:r>
      <w:r>
        <w:rPr>
          <w:color w:val="231F20"/>
        </w:rPr>
        <w:t>innovative</w:t>
      </w:r>
      <w:r>
        <w:rPr>
          <w:color w:val="231F20"/>
          <w:spacing w:val="-4"/>
        </w:rPr>
        <w:t xml:space="preserve"> </w:t>
      </w:r>
      <w:r>
        <w:rPr>
          <w:color w:val="231F20"/>
        </w:rPr>
        <w:t>and exciting environment in which to play, work and study. It is evident that sport influences the nature and pace of tourism destination life cycles and that tourism has a similar impact on sport life cyc</w:t>
      </w:r>
      <w:r>
        <w:rPr>
          <w:color w:val="231F20"/>
        </w:rPr>
        <w:t xml:space="preserve">les. The conscious </w:t>
      </w:r>
      <w:r>
        <w:rPr>
          <w:color w:val="231F20"/>
          <w:w w:val="95"/>
        </w:rPr>
        <w:t xml:space="preserve">manipulation of these forces offers a powerful tool for pursuing sustainable </w:t>
      </w:r>
      <w:r>
        <w:rPr>
          <w:color w:val="231F20"/>
        </w:rPr>
        <w:t>development strategies.</w:t>
      </w:r>
    </w:p>
    <w:p w14:paraId="131D2015" w14:textId="77777777" w:rsidR="00AE0598" w:rsidRDefault="0069255A">
      <w:pPr>
        <w:pStyle w:val="Corpodetexto"/>
        <w:spacing w:before="16" w:line="232" w:lineRule="auto"/>
        <w:ind w:left="110" w:right="127" w:firstLine="320"/>
        <w:jc w:val="both"/>
      </w:pPr>
      <w:r>
        <w:rPr>
          <w:color w:val="231F20"/>
        </w:rPr>
        <w:t xml:space="preserve">Heritage sport tourism represents another major dynamic in the </w:t>
      </w:r>
      <w:r>
        <w:rPr>
          <w:color w:val="231F20"/>
          <w:w w:val="95"/>
        </w:rPr>
        <w:t>temporal dimension of sport tourism, which has driven tourists to seek ou</w:t>
      </w:r>
      <w:r>
        <w:rPr>
          <w:color w:val="231F20"/>
          <w:w w:val="95"/>
        </w:rPr>
        <w:t xml:space="preserve">t </w:t>
      </w:r>
      <w:r>
        <w:rPr>
          <w:color w:val="231F20"/>
        </w:rPr>
        <w:t>their</w:t>
      </w:r>
      <w:r>
        <w:rPr>
          <w:color w:val="231F20"/>
          <w:spacing w:val="-8"/>
        </w:rPr>
        <w:t xml:space="preserve"> </w:t>
      </w:r>
      <w:r>
        <w:rPr>
          <w:color w:val="231F20"/>
        </w:rPr>
        <w:t>idealised</w:t>
      </w:r>
      <w:r>
        <w:rPr>
          <w:color w:val="231F20"/>
          <w:spacing w:val="-8"/>
        </w:rPr>
        <w:t xml:space="preserve"> </w:t>
      </w:r>
      <w:r>
        <w:rPr>
          <w:color w:val="231F20"/>
        </w:rPr>
        <w:t>pasts</w:t>
      </w:r>
      <w:r>
        <w:rPr>
          <w:color w:val="231F20"/>
          <w:spacing w:val="-8"/>
        </w:rPr>
        <w:t xml:space="preserve"> </w:t>
      </w:r>
      <w:r>
        <w:rPr>
          <w:color w:val="231F20"/>
        </w:rPr>
        <w:t>by</w:t>
      </w:r>
      <w:r>
        <w:rPr>
          <w:color w:val="231F20"/>
          <w:spacing w:val="-8"/>
        </w:rPr>
        <w:t xml:space="preserve"> </w:t>
      </w:r>
      <w:r>
        <w:rPr>
          <w:color w:val="231F20"/>
        </w:rPr>
        <w:t>visiting</w:t>
      </w:r>
      <w:r>
        <w:rPr>
          <w:color w:val="231F20"/>
          <w:spacing w:val="-8"/>
        </w:rPr>
        <w:t xml:space="preserve"> </w:t>
      </w:r>
      <w:r>
        <w:rPr>
          <w:color w:val="231F20"/>
        </w:rPr>
        <w:t>places</w:t>
      </w:r>
      <w:r>
        <w:rPr>
          <w:color w:val="231F20"/>
          <w:spacing w:val="-8"/>
        </w:rPr>
        <w:t xml:space="preserve"> </w:t>
      </w:r>
      <w:r>
        <w:rPr>
          <w:color w:val="231F20"/>
        </w:rPr>
        <w:t>infused</w:t>
      </w:r>
      <w:r>
        <w:rPr>
          <w:color w:val="231F20"/>
          <w:spacing w:val="-8"/>
        </w:rPr>
        <w:t xml:space="preserve"> </w:t>
      </w:r>
      <w:r>
        <w:rPr>
          <w:color w:val="231F20"/>
        </w:rPr>
        <w:t>with</w:t>
      </w:r>
      <w:r>
        <w:rPr>
          <w:color w:val="231F20"/>
          <w:spacing w:val="-8"/>
        </w:rPr>
        <w:t xml:space="preserve"> </w:t>
      </w:r>
      <w:r>
        <w:rPr>
          <w:color w:val="231F20"/>
        </w:rPr>
        <w:t>sport</w:t>
      </w:r>
      <w:r>
        <w:rPr>
          <w:color w:val="231F20"/>
          <w:spacing w:val="-8"/>
        </w:rPr>
        <w:t xml:space="preserve"> </w:t>
      </w:r>
      <w:r>
        <w:rPr>
          <w:color w:val="231F20"/>
        </w:rPr>
        <w:t>heritage</w:t>
      </w:r>
      <w:r>
        <w:rPr>
          <w:color w:val="231F20"/>
          <w:spacing w:val="-8"/>
        </w:rPr>
        <w:t xml:space="preserve"> </w:t>
      </w:r>
      <w:r>
        <w:rPr>
          <w:color w:val="231F20"/>
        </w:rPr>
        <w:t>and</w:t>
      </w:r>
      <w:r>
        <w:rPr>
          <w:color w:val="231F20"/>
          <w:spacing w:val="-8"/>
        </w:rPr>
        <w:t xml:space="preserve"> </w:t>
      </w:r>
      <w:r>
        <w:rPr>
          <w:color w:val="231F20"/>
        </w:rPr>
        <w:t>by participating</w:t>
      </w:r>
      <w:r>
        <w:rPr>
          <w:color w:val="231F20"/>
          <w:spacing w:val="-10"/>
        </w:rPr>
        <w:t xml:space="preserve"> </w:t>
      </w:r>
      <w:r>
        <w:rPr>
          <w:color w:val="231F20"/>
        </w:rPr>
        <w:t>in</w:t>
      </w:r>
      <w:r>
        <w:rPr>
          <w:color w:val="231F20"/>
          <w:spacing w:val="-10"/>
        </w:rPr>
        <w:t xml:space="preserve"> </w:t>
      </w:r>
      <w:r>
        <w:rPr>
          <w:color w:val="231F20"/>
        </w:rPr>
        <w:t>programmes</w:t>
      </w:r>
      <w:r>
        <w:rPr>
          <w:color w:val="231F20"/>
          <w:spacing w:val="-10"/>
        </w:rPr>
        <w:t xml:space="preserve"> </w:t>
      </w:r>
      <w:r>
        <w:rPr>
          <w:color w:val="231F20"/>
        </w:rPr>
        <w:t>that</w:t>
      </w:r>
      <w:r>
        <w:rPr>
          <w:color w:val="231F20"/>
          <w:spacing w:val="-10"/>
        </w:rPr>
        <w:t xml:space="preserve"> </w:t>
      </w:r>
      <w:r>
        <w:rPr>
          <w:color w:val="231F20"/>
        </w:rPr>
        <w:t>bring</w:t>
      </w:r>
      <w:r>
        <w:rPr>
          <w:color w:val="231F20"/>
          <w:spacing w:val="-10"/>
        </w:rPr>
        <w:t xml:space="preserve"> </w:t>
      </w:r>
      <w:r>
        <w:rPr>
          <w:color w:val="231F20"/>
        </w:rPr>
        <w:t>the</w:t>
      </w:r>
      <w:r>
        <w:rPr>
          <w:color w:val="231F20"/>
          <w:spacing w:val="-10"/>
        </w:rPr>
        <w:t xml:space="preserve"> </w:t>
      </w:r>
      <w:r>
        <w:rPr>
          <w:color w:val="231F20"/>
        </w:rPr>
        <w:t>past</w:t>
      </w:r>
      <w:r>
        <w:rPr>
          <w:color w:val="231F20"/>
          <w:spacing w:val="-10"/>
        </w:rPr>
        <w:t xml:space="preserve"> </w:t>
      </w:r>
      <w:r>
        <w:rPr>
          <w:color w:val="231F20"/>
        </w:rPr>
        <w:t>to</w:t>
      </w:r>
      <w:r>
        <w:rPr>
          <w:color w:val="231F20"/>
          <w:spacing w:val="-10"/>
        </w:rPr>
        <w:t xml:space="preserve"> </w:t>
      </w:r>
      <w:r>
        <w:rPr>
          <w:color w:val="231F20"/>
        </w:rPr>
        <w:t>life.</w:t>
      </w:r>
      <w:r>
        <w:rPr>
          <w:color w:val="231F20"/>
          <w:spacing w:val="-10"/>
        </w:rPr>
        <w:t xml:space="preserve"> </w:t>
      </w:r>
      <w:r>
        <w:rPr>
          <w:color w:val="231F20"/>
        </w:rPr>
        <w:t>The</w:t>
      </w:r>
      <w:r>
        <w:rPr>
          <w:color w:val="231F20"/>
          <w:spacing w:val="-10"/>
        </w:rPr>
        <w:t xml:space="preserve"> </w:t>
      </w:r>
      <w:r>
        <w:rPr>
          <w:color w:val="231F20"/>
        </w:rPr>
        <w:t>sport</w:t>
      </w:r>
      <w:r>
        <w:rPr>
          <w:color w:val="231F20"/>
          <w:spacing w:val="-10"/>
        </w:rPr>
        <w:t xml:space="preserve"> </w:t>
      </w:r>
      <w:r>
        <w:rPr>
          <w:color w:val="231F20"/>
        </w:rPr>
        <w:t>tourism industry has only recently started to appreciate the breadth of products that are of interest to these tourists. Heritage sport tourism offers the opportunity for sport tourists to become time travellers if only in their imaginations. Rather than h</w:t>
      </w:r>
      <w:r>
        <w:rPr>
          <w:color w:val="231F20"/>
        </w:rPr>
        <w:t xml:space="preserve">aving a myopic focus on the geographic </w:t>
      </w:r>
      <w:r>
        <w:rPr>
          <w:color w:val="231F20"/>
          <w:w w:val="95"/>
        </w:rPr>
        <w:t xml:space="preserve">dimension of sport tourism, researchers and managers need to recognise </w:t>
      </w:r>
      <w:r>
        <w:rPr>
          <w:color w:val="231F20"/>
        </w:rPr>
        <w:t>the temporal dimension of sport tourism experiences as it expands the range</w:t>
      </w:r>
      <w:r>
        <w:rPr>
          <w:color w:val="231F20"/>
          <w:spacing w:val="-3"/>
        </w:rPr>
        <w:t xml:space="preserve"> </w:t>
      </w:r>
      <w:r>
        <w:rPr>
          <w:color w:val="231F20"/>
        </w:rPr>
        <w:t>of</w:t>
      </w:r>
      <w:r>
        <w:rPr>
          <w:color w:val="231F20"/>
          <w:spacing w:val="-3"/>
        </w:rPr>
        <w:t xml:space="preserve"> </w:t>
      </w:r>
      <w:r>
        <w:rPr>
          <w:color w:val="231F20"/>
        </w:rPr>
        <w:t>possible</w:t>
      </w:r>
      <w:r>
        <w:rPr>
          <w:color w:val="231F20"/>
          <w:spacing w:val="-3"/>
        </w:rPr>
        <w:t xml:space="preserve"> </w:t>
      </w:r>
      <w:r>
        <w:rPr>
          <w:color w:val="231F20"/>
        </w:rPr>
        <w:t>sport</w:t>
      </w:r>
      <w:r>
        <w:rPr>
          <w:color w:val="231F20"/>
          <w:spacing w:val="-3"/>
        </w:rPr>
        <w:t xml:space="preserve"> </w:t>
      </w:r>
      <w:r>
        <w:rPr>
          <w:color w:val="231F20"/>
        </w:rPr>
        <w:t>tourism</w:t>
      </w:r>
      <w:r>
        <w:rPr>
          <w:color w:val="231F20"/>
          <w:spacing w:val="-3"/>
        </w:rPr>
        <w:t xml:space="preserve"> </w:t>
      </w:r>
      <w:r>
        <w:rPr>
          <w:color w:val="231F20"/>
        </w:rPr>
        <w:t>experiences</w:t>
      </w:r>
      <w:r>
        <w:rPr>
          <w:color w:val="231F20"/>
          <w:spacing w:val="-3"/>
        </w:rPr>
        <w:t xml:space="preserve"> </w:t>
      </w:r>
      <w:r>
        <w:rPr>
          <w:color w:val="231F20"/>
        </w:rPr>
        <w:t>exponentially.</w:t>
      </w:r>
    </w:p>
    <w:p w14:paraId="5F647A87" w14:textId="77777777" w:rsidR="00AE0598" w:rsidRDefault="0069255A">
      <w:pPr>
        <w:pStyle w:val="Corpodetexto"/>
        <w:spacing w:before="13" w:line="232" w:lineRule="auto"/>
        <w:ind w:left="110" w:right="127" w:firstLine="320"/>
        <w:jc w:val="both"/>
      </w:pPr>
      <w:r>
        <w:rPr>
          <w:color w:val="231F20"/>
        </w:rPr>
        <w:t>It</w:t>
      </w:r>
      <w:r>
        <w:rPr>
          <w:color w:val="231F20"/>
          <w:spacing w:val="-8"/>
        </w:rPr>
        <w:t xml:space="preserve"> </w:t>
      </w:r>
      <w:r>
        <w:rPr>
          <w:color w:val="231F20"/>
        </w:rPr>
        <w:t>is</w:t>
      </w:r>
      <w:r>
        <w:rPr>
          <w:color w:val="231F20"/>
          <w:spacing w:val="-8"/>
        </w:rPr>
        <w:t xml:space="preserve"> </w:t>
      </w:r>
      <w:r>
        <w:rPr>
          <w:color w:val="231F20"/>
        </w:rPr>
        <w:t>also</w:t>
      </w:r>
      <w:r>
        <w:rPr>
          <w:color w:val="231F20"/>
          <w:spacing w:val="-8"/>
        </w:rPr>
        <w:t xml:space="preserve"> </w:t>
      </w:r>
      <w:r>
        <w:rPr>
          <w:color w:val="231F20"/>
        </w:rPr>
        <w:t>clear</w:t>
      </w:r>
      <w:r>
        <w:rPr>
          <w:color w:val="231F20"/>
          <w:spacing w:val="-8"/>
        </w:rPr>
        <w:t xml:space="preserve"> </w:t>
      </w:r>
      <w:r>
        <w:rPr>
          <w:color w:val="231F20"/>
        </w:rPr>
        <w:t>that</w:t>
      </w:r>
      <w:r>
        <w:rPr>
          <w:color w:val="231F20"/>
          <w:spacing w:val="-8"/>
        </w:rPr>
        <w:t xml:space="preserve"> </w:t>
      </w:r>
      <w:r>
        <w:rPr>
          <w:color w:val="231F20"/>
        </w:rPr>
        <w:t>sport</w:t>
      </w:r>
      <w:r>
        <w:rPr>
          <w:color w:val="231F20"/>
          <w:spacing w:val="-8"/>
        </w:rPr>
        <w:t xml:space="preserve"> </w:t>
      </w:r>
      <w:r>
        <w:rPr>
          <w:color w:val="231F20"/>
        </w:rPr>
        <w:t>tourism</w:t>
      </w:r>
      <w:r>
        <w:rPr>
          <w:color w:val="231F20"/>
          <w:spacing w:val="-8"/>
        </w:rPr>
        <w:t xml:space="preserve"> </w:t>
      </w:r>
      <w:r>
        <w:rPr>
          <w:color w:val="231F20"/>
        </w:rPr>
        <w:t>does</w:t>
      </w:r>
      <w:r>
        <w:rPr>
          <w:color w:val="231F20"/>
          <w:spacing w:val="-8"/>
        </w:rPr>
        <w:t xml:space="preserve"> </w:t>
      </w:r>
      <w:r>
        <w:rPr>
          <w:color w:val="231F20"/>
        </w:rPr>
        <w:t>not</w:t>
      </w:r>
      <w:r>
        <w:rPr>
          <w:color w:val="231F20"/>
          <w:spacing w:val="-8"/>
        </w:rPr>
        <w:t xml:space="preserve"> </w:t>
      </w:r>
      <w:r>
        <w:rPr>
          <w:color w:val="231F20"/>
        </w:rPr>
        <w:t>operate</w:t>
      </w:r>
      <w:r>
        <w:rPr>
          <w:color w:val="231F20"/>
          <w:spacing w:val="-8"/>
        </w:rPr>
        <w:t xml:space="preserve"> </w:t>
      </w:r>
      <w:r>
        <w:rPr>
          <w:color w:val="231F20"/>
        </w:rPr>
        <w:t>in</w:t>
      </w:r>
      <w:r>
        <w:rPr>
          <w:color w:val="231F20"/>
          <w:spacing w:val="-8"/>
        </w:rPr>
        <w:t xml:space="preserve"> </w:t>
      </w:r>
      <w:r>
        <w:rPr>
          <w:color w:val="231F20"/>
        </w:rPr>
        <w:t>a</w:t>
      </w:r>
      <w:r>
        <w:rPr>
          <w:color w:val="231F20"/>
          <w:spacing w:val="-8"/>
        </w:rPr>
        <w:t xml:space="preserve"> </w:t>
      </w:r>
      <w:r>
        <w:rPr>
          <w:color w:val="231F20"/>
        </w:rPr>
        <w:t>vacuum.</w:t>
      </w:r>
      <w:r>
        <w:rPr>
          <w:color w:val="231F20"/>
          <w:spacing w:val="-8"/>
        </w:rPr>
        <w:t xml:space="preserve"> </w:t>
      </w:r>
      <w:r>
        <w:rPr>
          <w:color w:val="231F20"/>
        </w:rPr>
        <w:t xml:space="preserve">There are a variety of trends in the economic, environmental, political, socio- </w:t>
      </w:r>
      <w:r>
        <w:rPr>
          <w:color w:val="231F20"/>
          <w:w w:val="95"/>
        </w:rPr>
        <w:t>demographic and technological realms that may have a direct and, in some cases, a dramatic influence on sport tourism. Ot</w:t>
      </w:r>
      <w:r>
        <w:rPr>
          <w:color w:val="231F20"/>
          <w:w w:val="95"/>
        </w:rPr>
        <w:t xml:space="preserve">her impacts may be indirect and less dramatic but when aggregated over time they may be substantial </w:t>
      </w:r>
      <w:r>
        <w:rPr>
          <w:color w:val="231F20"/>
        </w:rPr>
        <w:t xml:space="preserve">and game changing. Climate change is a case in point. On a year-to-year </w:t>
      </w:r>
      <w:r>
        <w:rPr>
          <w:color w:val="231F20"/>
          <w:w w:val="90"/>
        </w:rPr>
        <w:t>basis,</w:t>
      </w:r>
      <w:r>
        <w:rPr>
          <w:color w:val="231F20"/>
          <w:spacing w:val="15"/>
        </w:rPr>
        <w:t xml:space="preserve"> </w:t>
      </w:r>
      <w:r>
        <w:rPr>
          <w:color w:val="231F20"/>
          <w:w w:val="90"/>
        </w:rPr>
        <w:t>the</w:t>
      </w:r>
      <w:r>
        <w:rPr>
          <w:color w:val="231F20"/>
          <w:spacing w:val="16"/>
        </w:rPr>
        <w:t xml:space="preserve"> </w:t>
      </w:r>
      <w:r>
        <w:rPr>
          <w:color w:val="231F20"/>
          <w:w w:val="90"/>
        </w:rPr>
        <w:t>incremental</w:t>
      </w:r>
      <w:r>
        <w:rPr>
          <w:color w:val="231F20"/>
          <w:spacing w:val="15"/>
        </w:rPr>
        <w:t xml:space="preserve"> </w:t>
      </w:r>
      <w:r>
        <w:rPr>
          <w:color w:val="231F20"/>
          <w:w w:val="90"/>
        </w:rPr>
        <w:t>impacts</w:t>
      </w:r>
      <w:r>
        <w:rPr>
          <w:color w:val="231F20"/>
          <w:spacing w:val="16"/>
        </w:rPr>
        <w:t xml:space="preserve"> </w:t>
      </w:r>
      <w:r>
        <w:rPr>
          <w:color w:val="231F20"/>
          <w:w w:val="90"/>
        </w:rPr>
        <w:t>of</w:t>
      </w:r>
      <w:r>
        <w:rPr>
          <w:color w:val="231F20"/>
          <w:spacing w:val="15"/>
        </w:rPr>
        <w:t xml:space="preserve"> </w:t>
      </w:r>
      <w:r>
        <w:rPr>
          <w:color w:val="231F20"/>
          <w:w w:val="90"/>
        </w:rPr>
        <w:t>climate</w:t>
      </w:r>
      <w:r>
        <w:rPr>
          <w:color w:val="231F20"/>
          <w:spacing w:val="16"/>
        </w:rPr>
        <w:t xml:space="preserve"> </w:t>
      </w:r>
      <w:r>
        <w:rPr>
          <w:color w:val="231F20"/>
          <w:w w:val="90"/>
        </w:rPr>
        <w:t>change</w:t>
      </w:r>
      <w:r>
        <w:rPr>
          <w:color w:val="231F20"/>
          <w:spacing w:val="16"/>
        </w:rPr>
        <w:t xml:space="preserve"> </w:t>
      </w:r>
      <w:r>
        <w:rPr>
          <w:color w:val="231F20"/>
          <w:w w:val="90"/>
        </w:rPr>
        <w:t>are</w:t>
      </w:r>
      <w:r>
        <w:rPr>
          <w:color w:val="231F20"/>
          <w:spacing w:val="15"/>
        </w:rPr>
        <w:t xml:space="preserve"> </w:t>
      </w:r>
      <w:r>
        <w:rPr>
          <w:color w:val="231F20"/>
          <w:w w:val="90"/>
        </w:rPr>
        <w:t>often</w:t>
      </w:r>
      <w:r>
        <w:rPr>
          <w:color w:val="231F20"/>
          <w:spacing w:val="16"/>
        </w:rPr>
        <w:t xml:space="preserve"> </w:t>
      </w:r>
      <w:r>
        <w:rPr>
          <w:color w:val="231F20"/>
          <w:w w:val="90"/>
        </w:rPr>
        <w:t>lost</w:t>
      </w:r>
      <w:r>
        <w:rPr>
          <w:color w:val="231F20"/>
          <w:spacing w:val="15"/>
        </w:rPr>
        <w:t xml:space="preserve"> </w:t>
      </w:r>
      <w:r>
        <w:rPr>
          <w:color w:val="231F20"/>
          <w:w w:val="90"/>
        </w:rPr>
        <w:t>in</w:t>
      </w:r>
      <w:r>
        <w:rPr>
          <w:color w:val="231F20"/>
          <w:spacing w:val="16"/>
        </w:rPr>
        <w:t xml:space="preserve"> </w:t>
      </w:r>
      <w:r>
        <w:rPr>
          <w:color w:val="231F20"/>
          <w:w w:val="90"/>
        </w:rPr>
        <w:t>the</w:t>
      </w:r>
      <w:r>
        <w:rPr>
          <w:color w:val="231F20"/>
          <w:spacing w:val="16"/>
        </w:rPr>
        <w:t xml:space="preserve"> </w:t>
      </w:r>
      <w:r>
        <w:rPr>
          <w:color w:val="231F20"/>
          <w:spacing w:val="-2"/>
          <w:w w:val="90"/>
        </w:rPr>
        <w:t>normal</w:t>
      </w:r>
    </w:p>
    <w:p w14:paraId="2CBD7006" w14:textId="77777777" w:rsidR="00AE0598" w:rsidRDefault="00AE0598">
      <w:pPr>
        <w:spacing w:line="232" w:lineRule="auto"/>
        <w:jc w:val="both"/>
        <w:sectPr w:rsidR="00AE0598">
          <w:pgSz w:w="8850" w:h="13270"/>
          <w:pgMar w:top="720" w:right="1060" w:bottom="280" w:left="1080" w:header="720" w:footer="720" w:gutter="0"/>
          <w:cols w:space="720"/>
        </w:sectPr>
      </w:pPr>
    </w:p>
    <w:p w14:paraId="7A7F6DFE" w14:textId="77777777" w:rsidR="00AE0598" w:rsidRDefault="0069255A">
      <w:pPr>
        <w:spacing w:before="87"/>
        <w:ind w:left="3808"/>
        <w:rPr>
          <w:rFonts w:ascii="Trebuchet MS"/>
          <w:sz w:val="14"/>
        </w:rPr>
      </w:pPr>
      <w:r>
        <w:rPr>
          <w:rFonts w:ascii="Trebuchet MS"/>
          <w:color w:val="231F20"/>
          <w:w w:val="105"/>
          <w:sz w:val="14"/>
        </w:rPr>
        <w:lastRenderedPageBreak/>
        <w:t>Evolutionary</w:t>
      </w:r>
      <w:r>
        <w:rPr>
          <w:rFonts w:ascii="Trebuchet MS"/>
          <w:color w:val="231F20"/>
          <w:spacing w:val="-12"/>
          <w:w w:val="105"/>
          <w:sz w:val="14"/>
        </w:rPr>
        <w:t xml:space="preserve"> </w:t>
      </w:r>
      <w:r>
        <w:rPr>
          <w:rFonts w:ascii="Trebuchet MS"/>
          <w:color w:val="231F20"/>
          <w:w w:val="105"/>
          <w:sz w:val="14"/>
        </w:rPr>
        <w:t>Trends</w:t>
      </w:r>
      <w:r>
        <w:rPr>
          <w:rFonts w:ascii="Trebuchet MS"/>
          <w:color w:val="231F20"/>
          <w:spacing w:val="-11"/>
          <w:w w:val="105"/>
          <w:sz w:val="14"/>
        </w:rPr>
        <w:t xml:space="preserve"> </w:t>
      </w:r>
      <w:r>
        <w:rPr>
          <w:rFonts w:ascii="Trebuchet MS"/>
          <w:color w:val="231F20"/>
          <w:w w:val="105"/>
          <w:sz w:val="14"/>
        </w:rPr>
        <w:t>in</w:t>
      </w:r>
      <w:r>
        <w:rPr>
          <w:rFonts w:ascii="Trebuchet MS"/>
          <w:color w:val="231F20"/>
          <w:spacing w:val="-11"/>
          <w:w w:val="105"/>
          <w:sz w:val="14"/>
        </w:rPr>
        <w:t xml:space="preserve"> </w:t>
      </w:r>
      <w:r>
        <w:rPr>
          <w:rFonts w:ascii="Trebuchet MS"/>
          <w:color w:val="231F20"/>
          <w:w w:val="105"/>
          <w:sz w:val="14"/>
        </w:rPr>
        <w:t>Sport</w:t>
      </w:r>
      <w:r>
        <w:rPr>
          <w:rFonts w:ascii="Trebuchet MS"/>
          <w:color w:val="231F20"/>
          <w:spacing w:val="-11"/>
          <w:w w:val="105"/>
          <w:sz w:val="14"/>
        </w:rPr>
        <w:t xml:space="preserve"> </w:t>
      </w:r>
      <w:r>
        <w:rPr>
          <w:rFonts w:ascii="Trebuchet MS"/>
          <w:color w:val="231F20"/>
          <w:w w:val="105"/>
          <w:sz w:val="14"/>
        </w:rPr>
        <w:t>Tourism</w:t>
      </w:r>
      <w:r>
        <w:rPr>
          <w:rFonts w:ascii="Trebuchet MS"/>
          <w:color w:val="231F20"/>
          <w:spacing w:val="74"/>
          <w:w w:val="105"/>
          <w:sz w:val="14"/>
        </w:rPr>
        <w:t xml:space="preserve"> </w:t>
      </w:r>
      <w:r>
        <w:rPr>
          <w:rFonts w:ascii="Trebuchet MS"/>
          <w:color w:val="231F20"/>
          <w:spacing w:val="-5"/>
          <w:w w:val="105"/>
          <w:sz w:val="14"/>
        </w:rPr>
        <w:t>223</w:t>
      </w:r>
    </w:p>
    <w:p w14:paraId="05ABA4FC" w14:textId="77777777" w:rsidR="00AE0598" w:rsidRDefault="00AE0598">
      <w:pPr>
        <w:pStyle w:val="Corpodetexto"/>
        <w:rPr>
          <w:rFonts w:ascii="Trebuchet MS"/>
          <w:sz w:val="16"/>
        </w:rPr>
      </w:pPr>
    </w:p>
    <w:p w14:paraId="24E506D4" w14:textId="77777777" w:rsidR="00AE0598" w:rsidRDefault="0069255A">
      <w:pPr>
        <w:pStyle w:val="Corpodetexto"/>
        <w:spacing w:before="118" w:line="232" w:lineRule="auto"/>
        <w:ind w:left="110" w:right="124"/>
        <w:jc w:val="both"/>
      </w:pPr>
      <w:r>
        <w:rPr>
          <w:color w:val="231F20"/>
        </w:rPr>
        <w:t>variations</w:t>
      </w:r>
      <w:r>
        <w:rPr>
          <w:color w:val="231F20"/>
          <w:spacing w:val="-9"/>
        </w:rPr>
        <w:t xml:space="preserve"> </w:t>
      </w:r>
      <w:r>
        <w:rPr>
          <w:color w:val="231F20"/>
        </w:rPr>
        <w:t>of</w:t>
      </w:r>
      <w:r>
        <w:rPr>
          <w:color w:val="231F20"/>
          <w:spacing w:val="-9"/>
        </w:rPr>
        <w:t xml:space="preserve"> </w:t>
      </w:r>
      <w:r>
        <w:rPr>
          <w:color w:val="231F20"/>
        </w:rPr>
        <w:t>seasonality</w:t>
      </w:r>
      <w:r>
        <w:rPr>
          <w:color w:val="231F20"/>
          <w:spacing w:val="-9"/>
        </w:rPr>
        <w:t xml:space="preserve"> </w:t>
      </w:r>
      <w:r>
        <w:rPr>
          <w:color w:val="231F20"/>
        </w:rPr>
        <w:t>and</w:t>
      </w:r>
      <w:r>
        <w:rPr>
          <w:color w:val="231F20"/>
          <w:spacing w:val="-9"/>
        </w:rPr>
        <w:t xml:space="preserve"> </w:t>
      </w:r>
      <w:r>
        <w:rPr>
          <w:color w:val="231F20"/>
        </w:rPr>
        <w:t>weather.</w:t>
      </w:r>
      <w:r>
        <w:rPr>
          <w:color w:val="231F20"/>
          <w:spacing w:val="-9"/>
        </w:rPr>
        <w:t xml:space="preserve"> </w:t>
      </w:r>
      <w:r>
        <w:rPr>
          <w:color w:val="231F20"/>
        </w:rPr>
        <w:t>However,</w:t>
      </w:r>
      <w:r>
        <w:rPr>
          <w:color w:val="231F20"/>
          <w:spacing w:val="-9"/>
        </w:rPr>
        <w:t xml:space="preserve"> </w:t>
      </w:r>
      <w:r>
        <w:rPr>
          <w:color w:val="231F20"/>
        </w:rPr>
        <w:t>in</w:t>
      </w:r>
      <w:r>
        <w:rPr>
          <w:color w:val="231F20"/>
          <w:spacing w:val="-9"/>
        </w:rPr>
        <w:t xml:space="preserve"> </w:t>
      </w:r>
      <w:r>
        <w:rPr>
          <w:color w:val="231F20"/>
        </w:rPr>
        <w:t>the</w:t>
      </w:r>
      <w:r>
        <w:rPr>
          <w:color w:val="231F20"/>
          <w:spacing w:val="-9"/>
        </w:rPr>
        <w:t xml:space="preserve"> </w:t>
      </w:r>
      <w:r>
        <w:rPr>
          <w:color w:val="231F20"/>
        </w:rPr>
        <w:t>long</w:t>
      </w:r>
      <w:r>
        <w:rPr>
          <w:color w:val="231F20"/>
          <w:spacing w:val="-9"/>
        </w:rPr>
        <w:t xml:space="preserve"> </w:t>
      </w:r>
      <w:r>
        <w:rPr>
          <w:color w:val="231F20"/>
        </w:rPr>
        <w:t>term,</w:t>
      </w:r>
      <w:r>
        <w:rPr>
          <w:color w:val="231F20"/>
          <w:spacing w:val="-9"/>
        </w:rPr>
        <w:t xml:space="preserve"> </w:t>
      </w:r>
      <w:r>
        <w:rPr>
          <w:color w:val="231F20"/>
        </w:rPr>
        <w:t>climate change</w:t>
      </w:r>
      <w:r>
        <w:rPr>
          <w:color w:val="231F20"/>
          <w:spacing w:val="-6"/>
        </w:rPr>
        <w:t xml:space="preserve"> </w:t>
      </w:r>
      <w:r>
        <w:rPr>
          <w:color w:val="231F20"/>
        </w:rPr>
        <w:t>will</w:t>
      </w:r>
      <w:r>
        <w:rPr>
          <w:color w:val="231F20"/>
          <w:spacing w:val="-7"/>
        </w:rPr>
        <w:t xml:space="preserve"> </w:t>
      </w:r>
      <w:r>
        <w:rPr>
          <w:color w:val="231F20"/>
        </w:rPr>
        <w:t>have</w:t>
      </w:r>
      <w:r>
        <w:rPr>
          <w:color w:val="231F20"/>
          <w:spacing w:val="-7"/>
        </w:rPr>
        <w:t xml:space="preserve"> </w:t>
      </w:r>
      <w:r>
        <w:rPr>
          <w:color w:val="231F20"/>
        </w:rPr>
        <w:t>a</w:t>
      </w:r>
      <w:r>
        <w:rPr>
          <w:color w:val="231F20"/>
          <w:spacing w:val="-6"/>
        </w:rPr>
        <w:t xml:space="preserve"> </w:t>
      </w:r>
      <w:r>
        <w:rPr>
          <w:color w:val="231F20"/>
        </w:rPr>
        <w:t>major</w:t>
      </w:r>
      <w:r>
        <w:rPr>
          <w:color w:val="231F20"/>
          <w:spacing w:val="-6"/>
        </w:rPr>
        <w:t xml:space="preserve"> </w:t>
      </w:r>
      <w:r>
        <w:rPr>
          <w:color w:val="231F20"/>
        </w:rPr>
        <w:t>impact</w:t>
      </w:r>
      <w:r>
        <w:rPr>
          <w:color w:val="231F20"/>
          <w:spacing w:val="-7"/>
        </w:rPr>
        <w:t xml:space="preserve"> </w:t>
      </w:r>
      <w:r>
        <w:rPr>
          <w:color w:val="231F20"/>
        </w:rPr>
        <w:t>on</w:t>
      </w:r>
      <w:r>
        <w:rPr>
          <w:color w:val="231F20"/>
          <w:spacing w:val="-7"/>
        </w:rPr>
        <w:t xml:space="preserve"> </w:t>
      </w:r>
      <w:r>
        <w:rPr>
          <w:color w:val="231F20"/>
        </w:rPr>
        <w:t>the</w:t>
      </w:r>
      <w:r>
        <w:rPr>
          <w:color w:val="231F20"/>
          <w:spacing w:val="-6"/>
        </w:rPr>
        <w:t xml:space="preserve"> </w:t>
      </w:r>
      <w:r>
        <w:rPr>
          <w:color w:val="231F20"/>
        </w:rPr>
        <w:t>spatial</w:t>
      </w:r>
      <w:r>
        <w:rPr>
          <w:color w:val="231F20"/>
          <w:spacing w:val="-6"/>
        </w:rPr>
        <w:t xml:space="preserve"> </w:t>
      </w:r>
      <w:r>
        <w:rPr>
          <w:color w:val="231F20"/>
        </w:rPr>
        <w:t>and</w:t>
      </w:r>
      <w:r>
        <w:rPr>
          <w:color w:val="231F20"/>
          <w:spacing w:val="-6"/>
        </w:rPr>
        <w:t xml:space="preserve"> </w:t>
      </w:r>
      <w:r>
        <w:rPr>
          <w:color w:val="231F20"/>
        </w:rPr>
        <w:t>temporal</w:t>
      </w:r>
      <w:r>
        <w:rPr>
          <w:color w:val="231F20"/>
          <w:spacing w:val="-7"/>
        </w:rPr>
        <w:t xml:space="preserve"> </w:t>
      </w:r>
      <w:r>
        <w:rPr>
          <w:color w:val="231F20"/>
        </w:rPr>
        <w:t>distribution of</w:t>
      </w:r>
      <w:r>
        <w:rPr>
          <w:color w:val="231F20"/>
          <w:spacing w:val="-5"/>
        </w:rPr>
        <w:t xml:space="preserve"> </w:t>
      </w:r>
      <w:r>
        <w:rPr>
          <w:color w:val="231F20"/>
        </w:rPr>
        <w:t>sport</w:t>
      </w:r>
      <w:r>
        <w:rPr>
          <w:color w:val="231F20"/>
          <w:spacing w:val="-5"/>
        </w:rPr>
        <w:t xml:space="preserve"> </w:t>
      </w:r>
      <w:r>
        <w:rPr>
          <w:color w:val="231F20"/>
        </w:rPr>
        <w:t>and</w:t>
      </w:r>
      <w:r>
        <w:rPr>
          <w:color w:val="231F20"/>
          <w:spacing w:val="-5"/>
        </w:rPr>
        <w:t xml:space="preserve"> </w:t>
      </w:r>
      <w:r>
        <w:rPr>
          <w:color w:val="231F20"/>
        </w:rPr>
        <w:t>tourism</w:t>
      </w:r>
      <w:r>
        <w:rPr>
          <w:color w:val="231F20"/>
          <w:spacing w:val="-5"/>
        </w:rPr>
        <w:t xml:space="preserve"> </w:t>
      </w:r>
      <w:r>
        <w:rPr>
          <w:color w:val="231F20"/>
        </w:rPr>
        <w:t>at</w:t>
      </w:r>
      <w:r>
        <w:rPr>
          <w:color w:val="231F20"/>
          <w:spacing w:val="-5"/>
        </w:rPr>
        <w:t xml:space="preserve"> </w:t>
      </w:r>
      <w:r>
        <w:rPr>
          <w:color w:val="231F20"/>
        </w:rPr>
        <w:t>the</w:t>
      </w:r>
      <w:r>
        <w:rPr>
          <w:color w:val="231F20"/>
          <w:spacing w:val="-5"/>
        </w:rPr>
        <w:t xml:space="preserve"> </w:t>
      </w:r>
      <w:r>
        <w:rPr>
          <w:color w:val="231F20"/>
        </w:rPr>
        <w:t>global</w:t>
      </w:r>
      <w:r>
        <w:rPr>
          <w:color w:val="231F20"/>
          <w:spacing w:val="-5"/>
        </w:rPr>
        <w:t xml:space="preserve"> </w:t>
      </w:r>
      <w:r>
        <w:rPr>
          <w:color w:val="231F20"/>
        </w:rPr>
        <w:t>and</w:t>
      </w:r>
      <w:r>
        <w:rPr>
          <w:color w:val="231F20"/>
          <w:spacing w:val="-5"/>
        </w:rPr>
        <w:t xml:space="preserve"> </w:t>
      </w:r>
      <w:r>
        <w:rPr>
          <w:color w:val="231F20"/>
        </w:rPr>
        <w:t>regional</w:t>
      </w:r>
      <w:r>
        <w:rPr>
          <w:color w:val="231F20"/>
          <w:spacing w:val="-5"/>
        </w:rPr>
        <w:t xml:space="preserve"> </w:t>
      </w:r>
      <w:r>
        <w:rPr>
          <w:color w:val="231F20"/>
        </w:rPr>
        <w:t>levels.</w:t>
      </w:r>
      <w:r>
        <w:rPr>
          <w:color w:val="231F20"/>
          <w:spacing w:val="-5"/>
        </w:rPr>
        <w:t xml:space="preserve"> </w:t>
      </w:r>
      <w:r>
        <w:rPr>
          <w:color w:val="231F20"/>
        </w:rPr>
        <w:t>By</w:t>
      </w:r>
      <w:r>
        <w:rPr>
          <w:color w:val="231F20"/>
          <w:spacing w:val="-5"/>
        </w:rPr>
        <w:t xml:space="preserve"> </w:t>
      </w:r>
      <w:r>
        <w:rPr>
          <w:color w:val="231F20"/>
        </w:rPr>
        <w:t>studying</w:t>
      </w:r>
      <w:r>
        <w:rPr>
          <w:color w:val="231F20"/>
          <w:spacing w:val="-5"/>
        </w:rPr>
        <w:t xml:space="preserve"> </w:t>
      </w:r>
      <w:r>
        <w:rPr>
          <w:color w:val="231F20"/>
        </w:rPr>
        <w:t xml:space="preserve">trends that exist within the external environment, sport tourism managers will </w:t>
      </w:r>
      <w:r>
        <w:rPr>
          <w:color w:val="231F20"/>
          <w:w w:val="95"/>
        </w:rPr>
        <w:t xml:space="preserve">be in a better position to set sustainable sport tourism development goals </w:t>
      </w:r>
      <w:r>
        <w:rPr>
          <w:color w:val="231F20"/>
        </w:rPr>
        <w:t xml:space="preserve">and objectives, and to develop effective plans of action. The pursuit of </w:t>
      </w:r>
      <w:r>
        <w:rPr>
          <w:color w:val="231F20"/>
          <w:w w:val="95"/>
        </w:rPr>
        <w:t xml:space="preserve">sustainable development through sport-related tourism requires that these </w:t>
      </w:r>
      <w:r>
        <w:rPr>
          <w:color w:val="231F20"/>
        </w:rPr>
        <w:t>trends are recognised, understood and acted upon.</w:t>
      </w:r>
    </w:p>
    <w:p w14:paraId="0143BE19" w14:textId="77777777" w:rsidR="00AE0598" w:rsidRDefault="00AE0598">
      <w:pPr>
        <w:spacing w:line="232" w:lineRule="auto"/>
        <w:jc w:val="both"/>
        <w:sectPr w:rsidR="00AE0598">
          <w:pgSz w:w="8850" w:h="13270"/>
          <w:pgMar w:top="720" w:right="1060" w:bottom="280" w:left="1080" w:header="720" w:footer="720" w:gutter="0"/>
          <w:cols w:space="720"/>
        </w:sectPr>
      </w:pPr>
    </w:p>
    <w:p w14:paraId="1EE078B6" w14:textId="77777777" w:rsidR="00AE0598" w:rsidRDefault="00AE0598">
      <w:pPr>
        <w:pStyle w:val="Corpodetexto"/>
        <w:rPr>
          <w:sz w:val="17"/>
        </w:rPr>
      </w:pPr>
    </w:p>
    <w:p w14:paraId="2483975E" w14:textId="77777777" w:rsidR="00AE0598" w:rsidRDefault="00AE0598">
      <w:pPr>
        <w:rPr>
          <w:sz w:val="17"/>
        </w:rPr>
        <w:sectPr w:rsidR="00AE0598">
          <w:pgSz w:w="8850" w:h="13270"/>
          <w:pgMar w:top="1240" w:right="1060" w:bottom="280" w:left="1080" w:header="720" w:footer="720" w:gutter="0"/>
          <w:cols w:space="720"/>
        </w:sectPr>
      </w:pPr>
    </w:p>
    <w:p w14:paraId="6752A76F" w14:textId="77777777" w:rsidR="00AE0598" w:rsidRDefault="0069255A">
      <w:pPr>
        <w:pStyle w:val="Ttulo1"/>
        <w:spacing w:line="252" w:lineRule="auto"/>
        <w:ind w:right="2875"/>
      </w:pPr>
      <w:bookmarkStart w:id="19" w:name="_TOC_250002"/>
      <w:r>
        <w:rPr>
          <w:color w:val="231F20"/>
          <w:w w:val="105"/>
        </w:rPr>
        <w:lastRenderedPageBreak/>
        <w:t xml:space="preserve">Part 5 </w:t>
      </w:r>
      <w:bookmarkEnd w:id="19"/>
      <w:r>
        <w:rPr>
          <w:color w:val="231F20"/>
          <w:spacing w:val="-6"/>
          <w:w w:val="105"/>
        </w:rPr>
        <w:t>Conclusions</w:t>
      </w:r>
    </w:p>
    <w:p w14:paraId="68EE2AF2" w14:textId="77777777" w:rsidR="00AE0598" w:rsidRDefault="00AE0598">
      <w:pPr>
        <w:spacing w:line="252" w:lineRule="auto"/>
        <w:sectPr w:rsidR="00AE0598">
          <w:pgSz w:w="8850" w:h="13270"/>
          <w:pgMar w:top="1020" w:right="1060" w:bottom="280" w:left="1080" w:header="720" w:footer="720" w:gutter="0"/>
          <w:cols w:space="720"/>
        </w:sectPr>
      </w:pPr>
    </w:p>
    <w:p w14:paraId="13F2715D" w14:textId="77777777" w:rsidR="00AE0598" w:rsidRDefault="00AE0598">
      <w:pPr>
        <w:pStyle w:val="Corpodetexto"/>
        <w:spacing w:before="2"/>
        <w:rPr>
          <w:rFonts w:ascii="Trebuchet MS"/>
          <w:sz w:val="17"/>
        </w:rPr>
      </w:pPr>
    </w:p>
    <w:p w14:paraId="56F3C264" w14:textId="77777777" w:rsidR="00AE0598" w:rsidRDefault="00AE0598">
      <w:pPr>
        <w:rPr>
          <w:rFonts w:ascii="Trebuchet MS"/>
          <w:sz w:val="17"/>
        </w:rPr>
        <w:sectPr w:rsidR="00AE0598">
          <w:pgSz w:w="8850" w:h="13270"/>
          <w:pgMar w:top="1240" w:right="1060" w:bottom="280" w:left="1080" w:header="720" w:footer="720" w:gutter="0"/>
          <w:cols w:space="720"/>
        </w:sectPr>
      </w:pPr>
    </w:p>
    <w:p w14:paraId="60756CB7" w14:textId="77777777" w:rsidR="00AE0598" w:rsidRDefault="0069255A">
      <w:pPr>
        <w:spacing w:before="77" w:line="252" w:lineRule="auto"/>
        <w:ind w:left="804" w:right="985" w:hanging="695"/>
        <w:rPr>
          <w:rFonts w:ascii="Trebuchet MS"/>
          <w:sz w:val="46"/>
        </w:rPr>
      </w:pPr>
      <w:bookmarkStart w:id="20" w:name="Part_5:_Conclusions"/>
      <w:bookmarkStart w:id="21" w:name="11._Shifting_Goal_Posts_and_Moving_Targe"/>
      <w:bookmarkEnd w:id="20"/>
      <w:bookmarkEnd w:id="21"/>
      <w:r>
        <w:rPr>
          <w:rFonts w:ascii="Trebuchet MS"/>
          <w:color w:val="231F20"/>
          <w:w w:val="105"/>
          <w:sz w:val="46"/>
        </w:rPr>
        <w:lastRenderedPageBreak/>
        <w:t>11</w:t>
      </w:r>
      <w:r>
        <w:rPr>
          <w:rFonts w:ascii="Trebuchet MS"/>
          <w:color w:val="231F20"/>
          <w:spacing w:val="40"/>
          <w:w w:val="105"/>
          <w:sz w:val="46"/>
        </w:rPr>
        <w:t xml:space="preserve"> </w:t>
      </w:r>
      <w:r>
        <w:rPr>
          <w:rFonts w:ascii="Trebuchet MS"/>
          <w:color w:val="231F20"/>
          <w:w w:val="105"/>
          <w:sz w:val="46"/>
        </w:rPr>
        <w:t>Shifting</w:t>
      </w:r>
      <w:r>
        <w:rPr>
          <w:rFonts w:ascii="Trebuchet MS"/>
          <w:color w:val="231F20"/>
          <w:spacing w:val="-33"/>
          <w:w w:val="105"/>
          <w:sz w:val="46"/>
        </w:rPr>
        <w:t xml:space="preserve"> </w:t>
      </w:r>
      <w:r>
        <w:rPr>
          <w:rFonts w:ascii="Trebuchet MS"/>
          <w:color w:val="231F20"/>
          <w:w w:val="105"/>
          <w:sz w:val="46"/>
        </w:rPr>
        <w:t>Goal</w:t>
      </w:r>
      <w:r>
        <w:rPr>
          <w:rFonts w:ascii="Trebuchet MS"/>
          <w:color w:val="231F20"/>
          <w:spacing w:val="-33"/>
          <w:w w:val="105"/>
          <w:sz w:val="46"/>
        </w:rPr>
        <w:t xml:space="preserve"> </w:t>
      </w:r>
      <w:r>
        <w:rPr>
          <w:rFonts w:ascii="Trebuchet MS"/>
          <w:color w:val="231F20"/>
          <w:w w:val="105"/>
          <w:sz w:val="46"/>
        </w:rPr>
        <w:t>Posts</w:t>
      </w:r>
      <w:r>
        <w:rPr>
          <w:rFonts w:ascii="Trebuchet MS"/>
          <w:color w:val="231F20"/>
          <w:spacing w:val="-33"/>
          <w:w w:val="105"/>
          <w:sz w:val="46"/>
        </w:rPr>
        <w:t xml:space="preserve"> </w:t>
      </w:r>
      <w:r>
        <w:rPr>
          <w:rFonts w:ascii="Trebuchet MS"/>
          <w:color w:val="231F20"/>
          <w:w w:val="105"/>
          <w:sz w:val="46"/>
        </w:rPr>
        <w:t>and Moving Targets: The Ever-Evolving Worlds of Sport and Tourism</w:t>
      </w:r>
    </w:p>
    <w:p w14:paraId="13D88206" w14:textId="77777777" w:rsidR="00AE0598" w:rsidRDefault="00AE0598">
      <w:pPr>
        <w:pStyle w:val="Corpodetexto"/>
        <w:spacing w:before="10"/>
        <w:rPr>
          <w:rFonts w:ascii="Trebuchet MS"/>
          <w:sz w:val="75"/>
        </w:rPr>
      </w:pPr>
    </w:p>
    <w:p w14:paraId="7400D5FA" w14:textId="77777777" w:rsidR="00AE0598" w:rsidRDefault="0069255A">
      <w:pPr>
        <w:ind w:left="110"/>
        <w:rPr>
          <w:rFonts w:ascii="Trebuchet MS"/>
          <w:b/>
          <w:sz w:val="20"/>
        </w:rPr>
      </w:pPr>
      <w:r>
        <w:rPr>
          <w:rFonts w:ascii="Trebuchet MS"/>
          <w:b/>
          <w:color w:val="231F20"/>
          <w:spacing w:val="-2"/>
          <w:sz w:val="20"/>
        </w:rPr>
        <w:t>Introduction</w:t>
      </w:r>
    </w:p>
    <w:p w14:paraId="5F1DC1B1" w14:textId="77777777" w:rsidR="00AE0598" w:rsidRDefault="0069255A">
      <w:pPr>
        <w:pStyle w:val="Corpodetexto"/>
        <w:spacing w:before="122" w:line="232" w:lineRule="auto"/>
        <w:ind w:left="110" w:right="127" w:firstLine="320"/>
        <w:jc w:val="both"/>
      </w:pPr>
      <w:r>
        <w:rPr>
          <w:color w:val="231F20"/>
        </w:rPr>
        <w:t xml:space="preserve">The pervasiveness of sport in society is universal. Indeed, the International Olympic Committee claims sport to be a human right, and the United Nations (2017) considers sport to be a low-cost, high impact </w:t>
      </w:r>
      <w:r>
        <w:rPr>
          <w:color w:val="231F20"/>
          <w:w w:val="95"/>
        </w:rPr>
        <w:t>tool for humanitarianism and human development. It</w:t>
      </w:r>
      <w:r>
        <w:rPr>
          <w:color w:val="231F20"/>
          <w:w w:val="95"/>
        </w:rPr>
        <w:t xml:space="preserve"> might be argued that sport shapes the lives of individuals and the societies in which individuals </w:t>
      </w:r>
      <w:r>
        <w:rPr>
          <w:color w:val="231F20"/>
        </w:rPr>
        <w:t>live,</w:t>
      </w:r>
      <w:r>
        <w:rPr>
          <w:color w:val="231F20"/>
          <w:spacing w:val="-4"/>
        </w:rPr>
        <w:t xml:space="preserve"> </w:t>
      </w:r>
      <w:r>
        <w:rPr>
          <w:color w:val="231F20"/>
        </w:rPr>
        <w:t>but</w:t>
      </w:r>
      <w:r>
        <w:rPr>
          <w:color w:val="231F20"/>
          <w:spacing w:val="-4"/>
        </w:rPr>
        <w:t xml:space="preserve"> </w:t>
      </w:r>
      <w:r>
        <w:rPr>
          <w:color w:val="231F20"/>
        </w:rPr>
        <w:t>it</w:t>
      </w:r>
      <w:r>
        <w:rPr>
          <w:color w:val="231F20"/>
          <w:spacing w:val="-4"/>
        </w:rPr>
        <w:t xml:space="preserve"> </w:t>
      </w:r>
      <w:r>
        <w:rPr>
          <w:color w:val="231F20"/>
        </w:rPr>
        <w:t>is</w:t>
      </w:r>
      <w:r>
        <w:rPr>
          <w:color w:val="231F20"/>
          <w:spacing w:val="-4"/>
        </w:rPr>
        <w:t xml:space="preserve"> </w:t>
      </w:r>
      <w:r>
        <w:rPr>
          <w:color w:val="231F20"/>
        </w:rPr>
        <w:t>equally</w:t>
      </w:r>
      <w:r>
        <w:rPr>
          <w:color w:val="231F20"/>
          <w:spacing w:val="-4"/>
        </w:rPr>
        <w:t xml:space="preserve"> </w:t>
      </w:r>
      <w:r>
        <w:rPr>
          <w:color w:val="231F20"/>
        </w:rPr>
        <w:t>true</w:t>
      </w:r>
      <w:r>
        <w:rPr>
          <w:color w:val="231F20"/>
          <w:spacing w:val="-4"/>
        </w:rPr>
        <w:t xml:space="preserve"> </w:t>
      </w:r>
      <w:r>
        <w:rPr>
          <w:color w:val="231F20"/>
        </w:rPr>
        <w:t>that</w:t>
      </w:r>
      <w:r>
        <w:rPr>
          <w:color w:val="231F20"/>
          <w:spacing w:val="-4"/>
        </w:rPr>
        <w:t xml:space="preserve"> </w:t>
      </w:r>
      <w:r>
        <w:rPr>
          <w:color w:val="231F20"/>
        </w:rPr>
        <w:t>sport</w:t>
      </w:r>
      <w:r>
        <w:rPr>
          <w:color w:val="231F20"/>
          <w:spacing w:val="-4"/>
        </w:rPr>
        <w:t xml:space="preserve"> </w:t>
      </w:r>
      <w:r>
        <w:rPr>
          <w:color w:val="231F20"/>
        </w:rPr>
        <w:t>is</w:t>
      </w:r>
      <w:r>
        <w:rPr>
          <w:color w:val="231F20"/>
          <w:spacing w:val="-4"/>
        </w:rPr>
        <w:t xml:space="preserve"> </w:t>
      </w:r>
      <w:r>
        <w:rPr>
          <w:color w:val="231F20"/>
        </w:rPr>
        <w:t>a</w:t>
      </w:r>
      <w:r>
        <w:rPr>
          <w:color w:val="231F20"/>
          <w:spacing w:val="-4"/>
        </w:rPr>
        <w:t xml:space="preserve"> </w:t>
      </w:r>
      <w:r>
        <w:rPr>
          <w:color w:val="231F20"/>
        </w:rPr>
        <w:t>reflection</w:t>
      </w:r>
      <w:r>
        <w:rPr>
          <w:color w:val="231F20"/>
          <w:spacing w:val="-4"/>
        </w:rPr>
        <w:t xml:space="preserve"> </w:t>
      </w:r>
      <w:r>
        <w:rPr>
          <w:color w:val="231F20"/>
        </w:rPr>
        <w:t>of</w:t>
      </w:r>
      <w:r>
        <w:rPr>
          <w:color w:val="231F20"/>
          <w:spacing w:val="-4"/>
        </w:rPr>
        <w:t xml:space="preserve"> </w:t>
      </w:r>
      <w:r>
        <w:rPr>
          <w:color w:val="231F20"/>
        </w:rPr>
        <w:t>society.</w:t>
      </w:r>
      <w:r>
        <w:rPr>
          <w:color w:val="231F20"/>
          <w:spacing w:val="-4"/>
        </w:rPr>
        <w:t xml:space="preserve"> </w:t>
      </w:r>
      <w:r>
        <w:rPr>
          <w:color w:val="231F20"/>
        </w:rPr>
        <w:t>Sport</w:t>
      </w:r>
      <w:r>
        <w:rPr>
          <w:color w:val="231F20"/>
          <w:spacing w:val="-4"/>
        </w:rPr>
        <w:t xml:space="preserve"> </w:t>
      </w:r>
      <w:r>
        <w:rPr>
          <w:color w:val="231F20"/>
        </w:rPr>
        <w:t>is,</w:t>
      </w:r>
      <w:r>
        <w:rPr>
          <w:color w:val="231F20"/>
          <w:spacing w:val="-4"/>
        </w:rPr>
        <w:t xml:space="preserve"> </w:t>
      </w:r>
      <w:r>
        <w:rPr>
          <w:color w:val="231F20"/>
        </w:rPr>
        <w:t>like tourism,</w:t>
      </w:r>
      <w:r>
        <w:rPr>
          <w:color w:val="231F20"/>
          <w:spacing w:val="-3"/>
        </w:rPr>
        <w:t xml:space="preserve"> </w:t>
      </w:r>
      <w:r>
        <w:rPr>
          <w:color w:val="231F20"/>
        </w:rPr>
        <w:t>a</w:t>
      </w:r>
      <w:r>
        <w:rPr>
          <w:color w:val="231F20"/>
          <w:spacing w:val="-3"/>
        </w:rPr>
        <w:t xml:space="preserve"> </w:t>
      </w:r>
      <w:r>
        <w:rPr>
          <w:color w:val="231F20"/>
        </w:rPr>
        <w:t>socially</w:t>
      </w:r>
      <w:r>
        <w:rPr>
          <w:color w:val="231F20"/>
          <w:spacing w:val="-3"/>
        </w:rPr>
        <w:t xml:space="preserve"> </w:t>
      </w:r>
      <w:r>
        <w:rPr>
          <w:color w:val="231F20"/>
        </w:rPr>
        <w:t>constructed</w:t>
      </w:r>
      <w:r>
        <w:rPr>
          <w:color w:val="231F20"/>
          <w:spacing w:val="-3"/>
        </w:rPr>
        <w:t xml:space="preserve"> </w:t>
      </w:r>
      <w:r>
        <w:rPr>
          <w:color w:val="231F20"/>
        </w:rPr>
        <w:t>phenomenon</w:t>
      </w:r>
      <w:r>
        <w:rPr>
          <w:color w:val="231F20"/>
          <w:spacing w:val="-3"/>
        </w:rPr>
        <w:t xml:space="preserve"> </w:t>
      </w:r>
      <w:r>
        <w:rPr>
          <w:color w:val="231F20"/>
        </w:rPr>
        <w:t>(Andrews,</w:t>
      </w:r>
      <w:r>
        <w:rPr>
          <w:color w:val="231F20"/>
          <w:spacing w:val="-3"/>
        </w:rPr>
        <w:t xml:space="preserve"> </w:t>
      </w:r>
      <w:r>
        <w:rPr>
          <w:color w:val="231F20"/>
        </w:rPr>
        <w:t>2007).</w:t>
      </w:r>
      <w:r>
        <w:rPr>
          <w:color w:val="231F20"/>
          <w:spacing w:val="-3"/>
        </w:rPr>
        <w:t xml:space="preserve"> </w:t>
      </w:r>
      <w:r>
        <w:rPr>
          <w:color w:val="231F20"/>
        </w:rPr>
        <w:t xml:space="preserve">Although </w:t>
      </w:r>
      <w:r>
        <w:rPr>
          <w:color w:val="231F20"/>
          <w:w w:val="95"/>
        </w:rPr>
        <w:t>sport</w:t>
      </w:r>
      <w:r>
        <w:rPr>
          <w:color w:val="231F20"/>
          <w:w w:val="95"/>
        </w:rPr>
        <w:t xml:space="preserve">s can be defined in technical terms, sport phenomena are a reflection </w:t>
      </w:r>
      <w:r>
        <w:rPr>
          <w:color w:val="231F20"/>
        </w:rPr>
        <w:t xml:space="preserve">of their spatio-historical context. The sports that Alexander the Great </w:t>
      </w:r>
      <w:r>
        <w:rPr>
          <w:color w:val="231F20"/>
          <w:w w:val="95"/>
        </w:rPr>
        <w:t>hosted</w:t>
      </w:r>
      <w:r>
        <w:rPr>
          <w:color w:val="231F20"/>
          <w:spacing w:val="-4"/>
          <w:w w:val="95"/>
        </w:rPr>
        <w:t xml:space="preserve"> </w:t>
      </w:r>
      <w:r>
        <w:rPr>
          <w:color w:val="231F20"/>
          <w:w w:val="95"/>
        </w:rPr>
        <w:t>on</w:t>
      </w:r>
      <w:r>
        <w:rPr>
          <w:color w:val="231F20"/>
          <w:spacing w:val="-4"/>
          <w:w w:val="95"/>
        </w:rPr>
        <w:t xml:space="preserve"> </w:t>
      </w:r>
      <w:r>
        <w:rPr>
          <w:color w:val="231F20"/>
          <w:w w:val="95"/>
        </w:rPr>
        <w:t>the</w:t>
      </w:r>
      <w:r>
        <w:rPr>
          <w:color w:val="231F20"/>
          <w:spacing w:val="-4"/>
          <w:w w:val="95"/>
        </w:rPr>
        <w:t xml:space="preserve"> </w:t>
      </w:r>
      <w:r>
        <w:rPr>
          <w:color w:val="231F20"/>
          <w:w w:val="95"/>
        </w:rPr>
        <w:t>eve</w:t>
      </w:r>
      <w:r>
        <w:rPr>
          <w:color w:val="231F20"/>
          <w:spacing w:val="-4"/>
          <w:w w:val="95"/>
        </w:rPr>
        <w:t xml:space="preserve"> </w:t>
      </w:r>
      <w:r>
        <w:rPr>
          <w:color w:val="231F20"/>
          <w:w w:val="95"/>
        </w:rPr>
        <w:t>of</w:t>
      </w:r>
      <w:r>
        <w:rPr>
          <w:color w:val="231F20"/>
          <w:spacing w:val="-4"/>
          <w:w w:val="95"/>
        </w:rPr>
        <w:t xml:space="preserve"> </w:t>
      </w:r>
      <w:r>
        <w:rPr>
          <w:color w:val="231F20"/>
          <w:w w:val="95"/>
        </w:rPr>
        <w:t>his</w:t>
      </w:r>
      <w:r>
        <w:rPr>
          <w:color w:val="231F20"/>
          <w:spacing w:val="-4"/>
          <w:w w:val="95"/>
        </w:rPr>
        <w:t xml:space="preserve"> </w:t>
      </w:r>
      <w:r>
        <w:rPr>
          <w:color w:val="231F20"/>
          <w:w w:val="95"/>
        </w:rPr>
        <w:t>Persian</w:t>
      </w:r>
      <w:r>
        <w:rPr>
          <w:color w:val="231F20"/>
          <w:spacing w:val="-4"/>
          <w:w w:val="95"/>
        </w:rPr>
        <w:t xml:space="preserve"> </w:t>
      </w:r>
      <w:r>
        <w:rPr>
          <w:color w:val="231F20"/>
          <w:w w:val="95"/>
        </w:rPr>
        <w:t>campaign</w:t>
      </w:r>
      <w:r>
        <w:rPr>
          <w:color w:val="231F20"/>
          <w:spacing w:val="-4"/>
          <w:w w:val="95"/>
        </w:rPr>
        <w:t xml:space="preserve"> </w:t>
      </w:r>
      <w:r>
        <w:rPr>
          <w:color w:val="231F20"/>
          <w:w w:val="95"/>
        </w:rPr>
        <w:t>in</w:t>
      </w:r>
      <w:r>
        <w:rPr>
          <w:color w:val="231F20"/>
          <w:spacing w:val="-4"/>
          <w:w w:val="95"/>
        </w:rPr>
        <w:t xml:space="preserve"> </w:t>
      </w:r>
      <w:r>
        <w:rPr>
          <w:color w:val="231F20"/>
          <w:w w:val="95"/>
        </w:rPr>
        <w:t>334</w:t>
      </w:r>
      <w:r>
        <w:rPr>
          <w:color w:val="231F20"/>
          <w:spacing w:val="-4"/>
          <w:w w:val="95"/>
        </w:rPr>
        <w:t xml:space="preserve"> </w:t>
      </w:r>
      <w:r>
        <w:rPr>
          <w:color w:val="231F20"/>
          <w:w w:val="95"/>
        </w:rPr>
        <w:t>BC,</w:t>
      </w:r>
      <w:r>
        <w:rPr>
          <w:color w:val="231F20"/>
          <w:spacing w:val="-4"/>
          <w:w w:val="95"/>
        </w:rPr>
        <w:t xml:space="preserve"> </w:t>
      </w:r>
      <w:r>
        <w:rPr>
          <w:color w:val="231F20"/>
          <w:w w:val="95"/>
        </w:rPr>
        <w:t>and</w:t>
      </w:r>
      <w:r>
        <w:rPr>
          <w:color w:val="231F20"/>
          <w:spacing w:val="-4"/>
          <w:w w:val="95"/>
        </w:rPr>
        <w:t xml:space="preserve"> </w:t>
      </w:r>
      <w:r>
        <w:rPr>
          <w:color w:val="231F20"/>
          <w:w w:val="95"/>
        </w:rPr>
        <w:t>the</w:t>
      </w:r>
      <w:r>
        <w:rPr>
          <w:color w:val="231F20"/>
          <w:spacing w:val="-4"/>
          <w:w w:val="95"/>
        </w:rPr>
        <w:t xml:space="preserve"> </w:t>
      </w:r>
      <w:r>
        <w:rPr>
          <w:color w:val="231F20"/>
          <w:w w:val="95"/>
        </w:rPr>
        <w:t>symbolism</w:t>
      </w:r>
      <w:r>
        <w:rPr>
          <w:color w:val="231F20"/>
          <w:spacing w:val="-4"/>
          <w:w w:val="95"/>
        </w:rPr>
        <w:t xml:space="preserve"> </w:t>
      </w:r>
      <w:r>
        <w:rPr>
          <w:color w:val="231F20"/>
          <w:w w:val="95"/>
        </w:rPr>
        <w:t xml:space="preserve">and </w:t>
      </w:r>
      <w:r>
        <w:rPr>
          <w:color w:val="231F20"/>
        </w:rPr>
        <w:t>imagery</w:t>
      </w:r>
      <w:r>
        <w:rPr>
          <w:color w:val="231F20"/>
          <w:spacing w:val="-6"/>
        </w:rPr>
        <w:t xml:space="preserve"> </w:t>
      </w:r>
      <w:r>
        <w:rPr>
          <w:color w:val="231F20"/>
        </w:rPr>
        <w:t>that</w:t>
      </w:r>
      <w:r>
        <w:rPr>
          <w:color w:val="231F20"/>
          <w:spacing w:val="-6"/>
        </w:rPr>
        <w:t xml:space="preserve"> </w:t>
      </w:r>
      <w:r>
        <w:rPr>
          <w:color w:val="231F20"/>
        </w:rPr>
        <w:t>he</w:t>
      </w:r>
      <w:r>
        <w:rPr>
          <w:color w:val="231F20"/>
          <w:spacing w:val="-6"/>
        </w:rPr>
        <w:t xml:space="preserve"> </w:t>
      </w:r>
      <w:r>
        <w:rPr>
          <w:color w:val="231F20"/>
        </w:rPr>
        <w:t>sought</w:t>
      </w:r>
      <w:r>
        <w:rPr>
          <w:color w:val="231F20"/>
          <w:spacing w:val="-6"/>
        </w:rPr>
        <w:t xml:space="preserve"> </w:t>
      </w:r>
      <w:r>
        <w:rPr>
          <w:color w:val="231F20"/>
        </w:rPr>
        <w:t>to</w:t>
      </w:r>
      <w:r>
        <w:rPr>
          <w:color w:val="231F20"/>
          <w:spacing w:val="-6"/>
        </w:rPr>
        <w:t xml:space="preserve"> </w:t>
      </w:r>
      <w:r>
        <w:rPr>
          <w:color w:val="231F20"/>
        </w:rPr>
        <w:t>embellish</w:t>
      </w:r>
      <w:r>
        <w:rPr>
          <w:color w:val="231F20"/>
          <w:spacing w:val="-6"/>
        </w:rPr>
        <w:t xml:space="preserve"> </w:t>
      </w:r>
      <w:r>
        <w:rPr>
          <w:color w:val="231F20"/>
        </w:rPr>
        <w:t>through</w:t>
      </w:r>
      <w:r>
        <w:rPr>
          <w:color w:val="231F20"/>
          <w:spacing w:val="-6"/>
        </w:rPr>
        <w:t xml:space="preserve"> </w:t>
      </w:r>
      <w:r>
        <w:rPr>
          <w:color w:val="231F20"/>
        </w:rPr>
        <w:t>the</w:t>
      </w:r>
      <w:r>
        <w:rPr>
          <w:color w:val="231F20"/>
          <w:spacing w:val="-6"/>
        </w:rPr>
        <w:t xml:space="preserve"> </w:t>
      </w:r>
      <w:r>
        <w:rPr>
          <w:color w:val="231F20"/>
        </w:rPr>
        <w:t>hosting</w:t>
      </w:r>
      <w:r>
        <w:rPr>
          <w:color w:val="231F20"/>
          <w:spacing w:val="-6"/>
        </w:rPr>
        <w:t xml:space="preserve"> </w:t>
      </w:r>
      <w:r>
        <w:rPr>
          <w:color w:val="231F20"/>
        </w:rPr>
        <w:t>of</w:t>
      </w:r>
      <w:r>
        <w:rPr>
          <w:color w:val="231F20"/>
          <w:spacing w:val="-6"/>
        </w:rPr>
        <w:t xml:space="preserve"> </w:t>
      </w:r>
      <w:r>
        <w:rPr>
          <w:color w:val="231F20"/>
        </w:rPr>
        <w:t>the</w:t>
      </w:r>
      <w:r>
        <w:rPr>
          <w:color w:val="231F20"/>
          <w:spacing w:val="-6"/>
        </w:rPr>
        <w:t xml:space="preserve"> </w:t>
      </w:r>
      <w:r>
        <w:rPr>
          <w:color w:val="231F20"/>
        </w:rPr>
        <w:t xml:space="preserve">Olympian </w:t>
      </w:r>
      <w:r>
        <w:rPr>
          <w:color w:val="231F20"/>
          <w:w w:val="95"/>
        </w:rPr>
        <w:t xml:space="preserve">Games, were unique to those Classical times. Equally, today, contemporary </w:t>
      </w:r>
      <w:r>
        <w:rPr>
          <w:color w:val="231F20"/>
        </w:rPr>
        <w:t>practices</w:t>
      </w:r>
      <w:r>
        <w:rPr>
          <w:color w:val="231F20"/>
          <w:spacing w:val="-6"/>
        </w:rPr>
        <w:t xml:space="preserve"> </w:t>
      </w:r>
      <w:r>
        <w:rPr>
          <w:color w:val="231F20"/>
        </w:rPr>
        <w:t>of</w:t>
      </w:r>
      <w:r>
        <w:rPr>
          <w:color w:val="231F20"/>
          <w:spacing w:val="-6"/>
        </w:rPr>
        <w:t xml:space="preserve"> </w:t>
      </w:r>
      <w:r>
        <w:rPr>
          <w:color w:val="231F20"/>
        </w:rPr>
        <w:t>sport</w:t>
      </w:r>
      <w:r>
        <w:rPr>
          <w:color w:val="231F20"/>
          <w:spacing w:val="-6"/>
        </w:rPr>
        <w:t xml:space="preserve"> </w:t>
      </w:r>
      <w:r>
        <w:rPr>
          <w:color w:val="231F20"/>
        </w:rPr>
        <w:t>as</w:t>
      </w:r>
      <w:r>
        <w:rPr>
          <w:color w:val="231F20"/>
          <w:spacing w:val="-6"/>
        </w:rPr>
        <w:t xml:space="preserve"> </w:t>
      </w:r>
      <w:r>
        <w:rPr>
          <w:color w:val="231F20"/>
        </w:rPr>
        <w:t>they</w:t>
      </w:r>
      <w:r>
        <w:rPr>
          <w:color w:val="231F20"/>
          <w:spacing w:val="-6"/>
        </w:rPr>
        <w:t xml:space="preserve"> </w:t>
      </w:r>
      <w:r>
        <w:rPr>
          <w:color w:val="231F20"/>
        </w:rPr>
        <w:t>relate</w:t>
      </w:r>
      <w:r>
        <w:rPr>
          <w:color w:val="231F20"/>
          <w:spacing w:val="-6"/>
        </w:rPr>
        <w:t xml:space="preserve"> </w:t>
      </w:r>
      <w:r>
        <w:rPr>
          <w:color w:val="231F20"/>
        </w:rPr>
        <w:t>to</w:t>
      </w:r>
      <w:r>
        <w:rPr>
          <w:color w:val="231F20"/>
          <w:spacing w:val="-6"/>
        </w:rPr>
        <w:t xml:space="preserve"> </w:t>
      </w:r>
      <w:r>
        <w:rPr>
          <w:color w:val="231F20"/>
        </w:rPr>
        <w:t>meanings,</w:t>
      </w:r>
      <w:r>
        <w:rPr>
          <w:color w:val="231F20"/>
          <w:spacing w:val="-6"/>
        </w:rPr>
        <w:t xml:space="preserve"> </w:t>
      </w:r>
      <w:r>
        <w:rPr>
          <w:color w:val="231F20"/>
        </w:rPr>
        <w:t>identity</w:t>
      </w:r>
      <w:r>
        <w:rPr>
          <w:color w:val="231F20"/>
          <w:spacing w:val="-6"/>
        </w:rPr>
        <w:t xml:space="preserve"> </w:t>
      </w:r>
      <w:r>
        <w:rPr>
          <w:color w:val="231F20"/>
        </w:rPr>
        <w:t>and</w:t>
      </w:r>
      <w:r>
        <w:rPr>
          <w:color w:val="231F20"/>
          <w:spacing w:val="-6"/>
        </w:rPr>
        <w:t xml:space="preserve"> </w:t>
      </w:r>
      <w:r>
        <w:rPr>
          <w:color w:val="231F20"/>
        </w:rPr>
        <w:t>lifestyles,</w:t>
      </w:r>
      <w:r>
        <w:rPr>
          <w:color w:val="231F20"/>
          <w:spacing w:val="-6"/>
        </w:rPr>
        <w:t xml:space="preserve"> </w:t>
      </w:r>
      <w:r>
        <w:rPr>
          <w:color w:val="231F20"/>
        </w:rPr>
        <w:t>are</w:t>
      </w:r>
      <w:r>
        <w:rPr>
          <w:color w:val="231F20"/>
          <w:spacing w:val="-6"/>
        </w:rPr>
        <w:t xml:space="preserve"> </w:t>
      </w:r>
      <w:r>
        <w:rPr>
          <w:color w:val="231F20"/>
        </w:rPr>
        <w:t>a unique</w:t>
      </w:r>
      <w:r>
        <w:rPr>
          <w:color w:val="231F20"/>
          <w:spacing w:val="-7"/>
        </w:rPr>
        <w:t xml:space="preserve"> </w:t>
      </w:r>
      <w:r>
        <w:rPr>
          <w:color w:val="231F20"/>
        </w:rPr>
        <w:t>and</w:t>
      </w:r>
      <w:r>
        <w:rPr>
          <w:color w:val="231F20"/>
          <w:spacing w:val="-7"/>
        </w:rPr>
        <w:t xml:space="preserve"> </w:t>
      </w:r>
      <w:r>
        <w:rPr>
          <w:color w:val="231F20"/>
        </w:rPr>
        <w:t>diverse</w:t>
      </w:r>
      <w:r>
        <w:rPr>
          <w:color w:val="231F20"/>
          <w:spacing w:val="-7"/>
        </w:rPr>
        <w:t xml:space="preserve"> </w:t>
      </w:r>
      <w:r>
        <w:rPr>
          <w:color w:val="231F20"/>
        </w:rPr>
        <w:t>reflection</w:t>
      </w:r>
      <w:r>
        <w:rPr>
          <w:color w:val="231F20"/>
          <w:spacing w:val="-7"/>
        </w:rPr>
        <w:t xml:space="preserve"> </w:t>
      </w:r>
      <w:r>
        <w:rPr>
          <w:color w:val="231F20"/>
        </w:rPr>
        <w:t>of</w:t>
      </w:r>
      <w:r>
        <w:rPr>
          <w:color w:val="231F20"/>
          <w:spacing w:val="-7"/>
        </w:rPr>
        <w:t xml:space="preserve"> </w:t>
      </w:r>
      <w:r>
        <w:rPr>
          <w:color w:val="231F20"/>
        </w:rPr>
        <w:t>societies</w:t>
      </w:r>
      <w:r>
        <w:rPr>
          <w:color w:val="231F20"/>
          <w:spacing w:val="-7"/>
        </w:rPr>
        <w:t xml:space="preserve"> </w:t>
      </w:r>
      <w:r>
        <w:rPr>
          <w:color w:val="231F20"/>
        </w:rPr>
        <w:t>that</w:t>
      </w:r>
      <w:r>
        <w:rPr>
          <w:color w:val="231F20"/>
          <w:spacing w:val="-7"/>
        </w:rPr>
        <w:t xml:space="preserve"> </w:t>
      </w:r>
      <w:r>
        <w:rPr>
          <w:color w:val="231F20"/>
        </w:rPr>
        <w:t>are</w:t>
      </w:r>
      <w:r>
        <w:rPr>
          <w:color w:val="231F20"/>
          <w:spacing w:val="-7"/>
        </w:rPr>
        <w:t xml:space="preserve"> </w:t>
      </w:r>
      <w:r>
        <w:rPr>
          <w:color w:val="231F20"/>
        </w:rPr>
        <w:t>ever-evolving.</w:t>
      </w:r>
    </w:p>
    <w:p w14:paraId="139C9678" w14:textId="77777777" w:rsidR="00AE0598" w:rsidRDefault="0069255A">
      <w:pPr>
        <w:pStyle w:val="Corpodetexto"/>
        <w:spacing w:before="17" w:line="232" w:lineRule="auto"/>
        <w:ind w:left="110" w:right="123" w:firstLine="320"/>
        <w:jc w:val="both"/>
      </w:pPr>
      <w:r>
        <w:rPr>
          <w:color w:val="231F20"/>
          <w:w w:val="95"/>
        </w:rPr>
        <w:t xml:space="preserve">In this respect, we can reflect upon rapid changes in our own societies </w:t>
      </w:r>
      <w:r>
        <w:rPr>
          <w:color w:val="231F20"/>
        </w:rPr>
        <w:t xml:space="preserve">that have unfolded since the publication of the two previous editions of </w:t>
      </w:r>
      <w:r>
        <w:rPr>
          <w:color w:val="231F20"/>
          <w:w w:val="95"/>
        </w:rPr>
        <w:t xml:space="preserve">this book; the growth in sub-elite engagement in sports events by ‘serious </w:t>
      </w:r>
      <w:r>
        <w:rPr>
          <w:color w:val="231F20"/>
        </w:rPr>
        <w:t>leisure’ competitors,</w:t>
      </w:r>
      <w:r>
        <w:rPr>
          <w:color w:val="231F20"/>
        </w:rPr>
        <w:t xml:space="preserve"> the measurement of personal performance that is self-referenced</w:t>
      </w:r>
      <w:r>
        <w:rPr>
          <w:color w:val="231F20"/>
          <w:spacing w:val="-8"/>
        </w:rPr>
        <w:t xml:space="preserve"> </w:t>
      </w:r>
      <w:r>
        <w:rPr>
          <w:color w:val="231F20"/>
        </w:rPr>
        <w:t>rather</w:t>
      </w:r>
      <w:r>
        <w:rPr>
          <w:color w:val="231F20"/>
          <w:spacing w:val="-8"/>
        </w:rPr>
        <w:t xml:space="preserve"> </w:t>
      </w:r>
      <w:r>
        <w:rPr>
          <w:color w:val="231F20"/>
        </w:rPr>
        <w:t>than</w:t>
      </w:r>
      <w:r>
        <w:rPr>
          <w:color w:val="231F20"/>
          <w:spacing w:val="-8"/>
        </w:rPr>
        <w:t xml:space="preserve"> </w:t>
      </w:r>
      <w:r>
        <w:rPr>
          <w:color w:val="231F20"/>
        </w:rPr>
        <w:t>results</w:t>
      </w:r>
      <w:r>
        <w:rPr>
          <w:color w:val="231F20"/>
          <w:spacing w:val="-8"/>
        </w:rPr>
        <w:t xml:space="preserve"> </w:t>
      </w:r>
      <w:r>
        <w:rPr>
          <w:color w:val="231F20"/>
        </w:rPr>
        <w:t>oriented,</w:t>
      </w:r>
      <w:r>
        <w:rPr>
          <w:color w:val="231F20"/>
          <w:spacing w:val="-8"/>
        </w:rPr>
        <w:t xml:space="preserve"> </w:t>
      </w:r>
      <w:r>
        <w:rPr>
          <w:color w:val="231F20"/>
        </w:rPr>
        <w:t>the</w:t>
      </w:r>
      <w:r>
        <w:rPr>
          <w:color w:val="231F20"/>
          <w:spacing w:val="-8"/>
        </w:rPr>
        <w:t xml:space="preserve"> </w:t>
      </w:r>
      <w:r>
        <w:rPr>
          <w:color w:val="231F20"/>
        </w:rPr>
        <w:t>growth</w:t>
      </w:r>
      <w:r>
        <w:rPr>
          <w:color w:val="231F20"/>
          <w:spacing w:val="-8"/>
        </w:rPr>
        <w:t xml:space="preserve"> </w:t>
      </w:r>
      <w:r>
        <w:rPr>
          <w:color w:val="231F20"/>
        </w:rPr>
        <w:t>of</w:t>
      </w:r>
      <w:r>
        <w:rPr>
          <w:color w:val="231F20"/>
          <w:spacing w:val="-8"/>
        </w:rPr>
        <w:t xml:space="preserve"> </w:t>
      </w:r>
      <w:r>
        <w:rPr>
          <w:color w:val="231F20"/>
        </w:rPr>
        <w:t>online</w:t>
      </w:r>
      <w:r>
        <w:rPr>
          <w:color w:val="231F20"/>
          <w:spacing w:val="-8"/>
        </w:rPr>
        <w:t xml:space="preserve"> </w:t>
      </w:r>
      <w:r>
        <w:rPr>
          <w:color w:val="231F20"/>
        </w:rPr>
        <w:t xml:space="preserve">gaming and virtual sports, the continuing evolution of single sports into hybrid forms and, perhaps most notably, the phenomenal growth and </w:t>
      </w:r>
      <w:r>
        <w:rPr>
          <w:color w:val="231F20"/>
        </w:rPr>
        <w:t xml:space="preserve">diversity </w:t>
      </w:r>
      <w:r>
        <w:rPr>
          <w:color w:val="231F20"/>
          <w:w w:val="95"/>
        </w:rPr>
        <w:t>of individualised, unstructured, freestyle sports (Andrews, 2006; Coakley, 2007). These new generation sports have strong subcultural associations, and offer participants enriching opportunities to build a sense of personal</w:t>
      </w:r>
      <w:r>
        <w:rPr>
          <w:color w:val="231F20"/>
          <w:spacing w:val="40"/>
        </w:rPr>
        <w:t xml:space="preserve"> </w:t>
      </w:r>
      <w:r>
        <w:rPr>
          <w:color w:val="231F20"/>
        </w:rPr>
        <w:t>or collective identity</w:t>
      </w:r>
      <w:r>
        <w:rPr>
          <w:color w:val="231F20"/>
        </w:rPr>
        <w:t xml:space="preserve"> (Hagen &amp; Boyes, 2016), in which performance and results</w:t>
      </w:r>
      <w:r>
        <w:rPr>
          <w:color w:val="231F20"/>
          <w:spacing w:val="-6"/>
        </w:rPr>
        <w:t xml:space="preserve"> </w:t>
      </w:r>
      <w:r>
        <w:rPr>
          <w:color w:val="231F20"/>
        </w:rPr>
        <w:t>may</w:t>
      </w:r>
      <w:r>
        <w:rPr>
          <w:color w:val="231F20"/>
          <w:spacing w:val="-6"/>
        </w:rPr>
        <w:t xml:space="preserve"> </w:t>
      </w:r>
      <w:r>
        <w:rPr>
          <w:color w:val="231F20"/>
        </w:rPr>
        <w:t>be</w:t>
      </w:r>
      <w:r>
        <w:rPr>
          <w:color w:val="231F20"/>
          <w:spacing w:val="-6"/>
        </w:rPr>
        <w:t xml:space="preserve"> </w:t>
      </w:r>
      <w:r>
        <w:rPr>
          <w:color w:val="231F20"/>
        </w:rPr>
        <w:t>completely</w:t>
      </w:r>
      <w:r>
        <w:rPr>
          <w:color w:val="231F20"/>
          <w:spacing w:val="-6"/>
        </w:rPr>
        <w:t xml:space="preserve"> </w:t>
      </w:r>
      <w:r>
        <w:rPr>
          <w:color w:val="231F20"/>
        </w:rPr>
        <w:t>unimportant,</w:t>
      </w:r>
      <w:r>
        <w:rPr>
          <w:color w:val="231F20"/>
          <w:spacing w:val="-6"/>
        </w:rPr>
        <w:t xml:space="preserve"> </w:t>
      </w:r>
      <w:r>
        <w:rPr>
          <w:color w:val="231F20"/>
        </w:rPr>
        <w:t>or</w:t>
      </w:r>
      <w:r>
        <w:rPr>
          <w:color w:val="231F20"/>
          <w:spacing w:val="-6"/>
        </w:rPr>
        <w:t xml:space="preserve"> </w:t>
      </w:r>
      <w:r>
        <w:rPr>
          <w:color w:val="231F20"/>
        </w:rPr>
        <w:t>at</w:t>
      </w:r>
      <w:r>
        <w:rPr>
          <w:color w:val="231F20"/>
          <w:spacing w:val="-6"/>
        </w:rPr>
        <w:t xml:space="preserve"> </w:t>
      </w:r>
      <w:r>
        <w:rPr>
          <w:color w:val="231F20"/>
        </w:rPr>
        <w:t>the</w:t>
      </w:r>
      <w:r>
        <w:rPr>
          <w:color w:val="231F20"/>
          <w:spacing w:val="-6"/>
        </w:rPr>
        <w:t xml:space="preserve"> </w:t>
      </w:r>
      <w:r>
        <w:rPr>
          <w:color w:val="231F20"/>
        </w:rPr>
        <w:t>very</w:t>
      </w:r>
      <w:r>
        <w:rPr>
          <w:color w:val="231F20"/>
          <w:spacing w:val="-6"/>
        </w:rPr>
        <w:t xml:space="preserve"> </w:t>
      </w:r>
      <w:r>
        <w:rPr>
          <w:color w:val="231F20"/>
        </w:rPr>
        <w:t>least</w:t>
      </w:r>
      <w:r>
        <w:rPr>
          <w:color w:val="231F20"/>
          <w:spacing w:val="-6"/>
        </w:rPr>
        <w:t xml:space="preserve"> </w:t>
      </w:r>
      <w:r>
        <w:rPr>
          <w:color w:val="231F20"/>
        </w:rPr>
        <w:t>secondary</w:t>
      </w:r>
      <w:r>
        <w:rPr>
          <w:color w:val="231F20"/>
          <w:spacing w:val="-6"/>
        </w:rPr>
        <w:t xml:space="preserve"> </w:t>
      </w:r>
      <w:r>
        <w:rPr>
          <w:color w:val="231F20"/>
        </w:rPr>
        <w:t xml:space="preserve">to </w:t>
      </w:r>
      <w:r>
        <w:rPr>
          <w:color w:val="231F20"/>
          <w:w w:val="95"/>
        </w:rPr>
        <w:t>aesthetics, style and meaning (Falcous, 2017). These dynamics of sport are</w:t>
      </w:r>
      <w:r>
        <w:rPr>
          <w:color w:val="231F20"/>
          <w:spacing w:val="40"/>
        </w:rPr>
        <w:t xml:space="preserve"> </w:t>
      </w:r>
      <w:r>
        <w:rPr>
          <w:color w:val="231F20"/>
        </w:rPr>
        <w:t>a</w:t>
      </w:r>
      <w:r>
        <w:rPr>
          <w:color w:val="231F20"/>
          <w:spacing w:val="-7"/>
        </w:rPr>
        <w:t xml:space="preserve"> </w:t>
      </w:r>
      <w:r>
        <w:rPr>
          <w:color w:val="231F20"/>
        </w:rPr>
        <w:t>reflection</w:t>
      </w:r>
      <w:r>
        <w:rPr>
          <w:color w:val="231F20"/>
          <w:spacing w:val="-7"/>
        </w:rPr>
        <w:t xml:space="preserve"> </w:t>
      </w:r>
      <w:r>
        <w:rPr>
          <w:color w:val="231F20"/>
        </w:rPr>
        <w:t>of</w:t>
      </w:r>
      <w:r>
        <w:rPr>
          <w:color w:val="231F20"/>
          <w:spacing w:val="-7"/>
        </w:rPr>
        <w:t xml:space="preserve"> </w:t>
      </w:r>
      <w:r>
        <w:rPr>
          <w:color w:val="231F20"/>
        </w:rPr>
        <w:t>individual</w:t>
      </w:r>
      <w:r>
        <w:rPr>
          <w:color w:val="231F20"/>
          <w:spacing w:val="-7"/>
        </w:rPr>
        <w:t xml:space="preserve"> </w:t>
      </w:r>
      <w:r>
        <w:rPr>
          <w:color w:val="231F20"/>
        </w:rPr>
        <w:t>identities</w:t>
      </w:r>
      <w:r>
        <w:rPr>
          <w:color w:val="231F20"/>
          <w:spacing w:val="-7"/>
        </w:rPr>
        <w:t xml:space="preserve"> </w:t>
      </w:r>
      <w:r>
        <w:rPr>
          <w:color w:val="231F20"/>
        </w:rPr>
        <w:t>that</w:t>
      </w:r>
      <w:r>
        <w:rPr>
          <w:color w:val="231F20"/>
          <w:spacing w:val="-7"/>
        </w:rPr>
        <w:t xml:space="preserve"> </w:t>
      </w:r>
      <w:r>
        <w:rPr>
          <w:color w:val="231F20"/>
        </w:rPr>
        <w:t>have</w:t>
      </w:r>
      <w:r>
        <w:rPr>
          <w:color w:val="231F20"/>
          <w:spacing w:val="-7"/>
        </w:rPr>
        <w:t xml:space="preserve"> </w:t>
      </w:r>
      <w:r>
        <w:rPr>
          <w:color w:val="231F20"/>
        </w:rPr>
        <w:t>been</w:t>
      </w:r>
      <w:r>
        <w:rPr>
          <w:color w:val="231F20"/>
          <w:spacing w:val="-7"/>
        </w:rPr>
        <w:t xml:space="preserve"> </w:t>
      </w:r>
      <w:r>
        <w:rPr>
          <w:color w:val="231F20"/>
        </w:rPr>
        <w:t>confus</w:t>
      </w:r>
      <w:r>
        <w:rPr>
          <w:color w:val="231F20"/>
        </w:rPr>
        <w:t>ed,</w:t>
      </w:r>
      <w:r>
        <w:rPr>
          <w:color w:val="231F20"/>
          <w:spacing w:val="-7"/>
        </w:rPr>
        <w:t xml:space="preserve"> </w:t>
      </w:r>
      <w:r>
        <w:rPr>
          <w:color w:val="231F20"/>
        </w:rPr>
        <w:t>and</w:t>
      </w:r>
      <w:r>
        <w:rPr>
          <w:color w:val="231F20"/>
          <w:spacing w:val="-7"/>
        </w:rPr>
        <w:t xml:space="preserve"> </w:t>
      </w:r>
      <w:r>
        <w:rPr>
          <w:color w:val="231F20"/>
        </w:rPr>
        <w:t>national identities</w:t>
      </w:r>
      <w:r>
        <w:rPr>
          <w:color w:val="231F20"/>
          <w:spacing w:val="-9"/>
        </w:rPr>
        <w:t xml:space="preserve"> </w:t>
      </w:r>
      <w:r>
        <w:rPr>
          <w:color w:val="231F20"/>
        </w:rPr>
        <w:t>that</w:t>
      </w:r>
      <w:r>
        <w:rPr>
          <w:color w:val="231F20"/>
          <w:spacing w:val="-9"/>
        </w:rPr>
        <w:t xml:space="preserve"> </w:t>
      </w:r>
      <w:r>
        <w:rPr>
          <w:color w:val="231F20"/>
        </w:rPr>
        <w:t>have</w:t>
      </w:r>
      <w:r>
        <w:rPr>
          <w:color w:val="231F20"/>
          <w:spacing w:val="-9"/>
        </w:rPr>
        <w:t xml:space="preserve"> </w:t>
      </w:r>
      <w:r>
        <w:rPr>
          <w:color w:val="231F20"/>
        </w:rPr>
        <w:t>been</w:t>
      </w:r>
      <w:r>
        <w:rPr>
          <w:color w:val="231F20"/>
          <w:spacing w:val="-9"/>
        </w:rPr>
        <w:t xml:space="preserve"> </w:t>
      </w:r>
      <w:r>
        <w:rPr>
          <w:color w:val="231F20"/>
        </w:rPr>
        <w:t>eroded</w:t>
      </w:r>
      <w:r>
        <w:rPr>
          <w:color w:val="231F20"/>
          <w:spacing w:val="-9"/>
        </w:rPr>
        <w:t xml:space="preserve"> </w:t>
      </w:r>
      <w:r>
        <w:rPr>
          <w:color w:val="231F20"/>
        </w:rPr>
        <w:t>by</w:t>
      </w:r>
      <w:r>
        <w:rPr>
          <w:color w:val="231F20"/>
          <w:spacing w:val="-9"/>
        </w:rPr>
        <w:t xml:space="preserve"> </w:t>
      </w:r>
      <w:r>
        <w:rPr>
          <w:color w:val="231F20"/>
        </w:rPr>
        <w:t>the</w:t>
      </w:r>
      <w:r>
        <w:rPr>
          <w:color w:val="231F20"/>
          <w:spacing w:val="-9"/>
        </w:rPr>
        <w:t xml:space="preserve"> </w:t>
      </w:r>
      <w:r>
        <w:rPr>
          <w:color w:val="231F20"/>
        </w:rPr>
        <w:t>forces</w:t>
      </w:r>
      <w:r>
        <w:rPr>
          <w:color w:val="231F20"/>
          <w:spacing w:val="-9"/>
        </w:rPr>
        <w:t xml:space="preserve"> </w:t>
      </w:r>
      <w:r>
        <w:rPr>
          <w:color w:val="231F20"/>
        </w:rPr>
        <w:t>of</w:t>
      </w:r>
      <w:r>
        <w:rPr>
          <w:color w:val="231F20"/>
          <w:spacing w:val="-9"/>
        </w:rPr>
        <w:t xml:space="preserve"> </w:t>
      </w:r>
      <w:r>
        <w:rPr>
          <w:color w:val="231F20"/>
        </w:rPr>
        <w:t>globalisation</w:t>
      </w:r>
      <w:r>
        <w:rPr>
          <w:color w:val="231F20"/>
          <w:spacing w:val="-9"/>
        </w:rPr>
        <w:t xml:space="preserve"> </w:t>
      </w:r>
      <w:r>
        <w:rPr>
          <w:color w:val="231F20"/>
        </w:rPr>
        <w:t>(Higham</w:t>
      </w:r>
      <w:r>
        <w:rPr>
          <w:color w:val="231F20"/>
          <w:spacing w:val="-9"/>
        </w:rPr>
        <w:t xml:space="preserve"> </w:t>
      </w:r>
      <w:r>
        <w:rPr>
          <w:color w:val="231F20"/>
        </w:rPr>
        <w:t>&amp; Hinch, 2010).</w:t>
      </w:r>
    </w:p>
    <w:p w14:paraId="79453409" w14:textId="77777777" w:rsidR="00AE0598" w:rsidRDefault="00AE0598">
      <w:pPr>
        <w:pStyle w:val="Corpodetexto"/>
        <w:rPr>
          <w:sz w:val="20"/>
        </w:rPr>
      </w:pPr>
    </w:p>
    <w:p w14:paraId="6EEA312E" w14:textId="77777777" w:rsidR="00AE0598" w:rsidRDefault="00AE0598">
      <w:pPr>
        <w:pStyle w:val="Corpodetexto"/>
        <w:spacing w:before="7"/>
        <w:rPr>
          <w:sz w:val="15"/>
        </w:rPr>
      </w:pPr>
    </w:p>
    <w:p w14:paraId="296DB1EA" w14:textId="77777777" w:rsidR="00AE0598" w:rsidRDefault="0069255A">
      <w:pPr>
        <w:spacing w:before="99"/>
        <w:ind w:left="384" w:right="409"/>
        <w:jc w:val="center"/>
        <w:rPr>
          <w:rFonts w:ascii="Trebuchet MS"/>
          <w:sz w:val="16"/>
        </w:rPr>
      </w:pPr>
      <w:r>
        <w:rPr>
          <w:rFonts w:ascii="Trebuchet MS"/>
          <w:color w:val="231F20"/>
          <w:spacing w:val="-5"/>
          <w:w w:val="105"/>
          <w:sz w:val="16"/>
        </w:rPr>
        <w:t>227</w:t>
      </w:r>
    </w:p>
    <w:p w14:paraId="704F2FC1" w14:textId="77777777" w:rsidR="00AE0598" w:rsidRDefault="00AE0598">
      <w:pPr>
        <w:jc w:val="center"/>
        <w:rPr>
          <w:rFonts w:ascii="Trebuchet MS"/>
          <w:sz w:val="16"/>
        </w:rPr>
        <w:sectPr w:rsidR="00AE0598">
          <w:pgSz w:w="8850" w:h="13270"/>
          <w:pgMar w:top="1020" w:right="1060" w:bottom="280" w:left="1080" w:header="720" w:footer="720" w:gutter="0"/>
          <w:cols w:space="720"/>
        </w:sectPr>
      </w:pPr>
    </w:p>
    <w:p w14:paraId="28E7DF79" w14:textId="77777777" w:rsidR="00AE0598" w:rsidRDefault="0069255A">
      <w:pPr>
        <w:spacing w:before="87"/>
        <w:ind w:left="108"/>
        <w:rPr>
          <w:rFonts w:ascii="Trebuchet MS"/>
          <w:sz w:val="14"/>
        </w:rPr>
      </w:pPr>
      <w:r>
        <w:rPr>
          <w:rFonts w:ascii="Trebuchet MS"/>
          <w:color w:val="231F20"/>
          <w:w w:val="105"/>
          <w:sz w:val="14"/>
        </w:rPr>
        <w:lastRenderedPageBreak/>
        <w:t>228</w:t>
      </w:r>
      <w:r>
        <w:rPr>
          <w:rFonts w:ascii="Trebuchet MS"/>
          <w:color w:val="231F20"/>
          <w:spacing w:val="78"/>
          <w:w w:val="150"/>
          <w:sz w:val="14"/>
        </w:rPr>
        <w:t xml:space="preserve"> </w:t>
      </w:r>
      <w:r>
        <w:rPr>
          <w:rFonts w:ascii="Trebuchet MS"/>
          <w:color w:val="231F20"/>
          <w:spacing w:val="-2"/>
          <w:w w:val="105"/>
          <w:sz w:val="14"/>
        </w:rPr>
        <w:t>Conclusion</w:t>
      </w:r>
    </w:p>
    <w:p w14:paraId="6274EF36" w14:textId="77777777" w:rsidR="00AE0598" w:rsidRDefault="00AE0598">
      <w:pPr>
        <w:pStyle w:val="Corpodetexto"/>
        <w:rPr>
          <w:rFonts w:ascii="Trebuchet MS"/>
          <w:sz w:val="16"/>
        </w:rPr>
      </w:pPr>
    </w:p>
    <w:p w14:paraId="3B09C4AE" w14:textId="77777777" w:rsidR="00AE0598" w:rsidRDefault="0069255A">
      <w:pPr>
        <w:pStyle w:val="Corpodetexto"/>
        <w:spacing w:before="118" w:line="232" w:lineRule="auto"/>
        <w:ind w:left="110" w:right="124" w:firstLine="320"/>
        <w:jc w:val="both"/>
      </w:pPr>
      <w:r>
        <w:rPr>
          <w:color w:val="231F20"/>
        </w:rPr>
        <w:t>Within this socially dynamic context, our first contribution in this book is to consider the defining criteria of sport, and how these criteria have</w:t>
      </w:r>
      <w:r>
        <w:rPr>
          <w:color w:val="231F20"/>
          <w:spacing w:val="-6"/>
        </w:rPr>
        <w:t xml:space="preserve"> </w:t>
      </w:r>
      <w:r>
        <w:rPr>
          <w:color w:val="231F20"/>
        </w:rPr>
        <w:t>evolved</w:t>
      </w:r>
      <w:r>
        <w:rPr>
          <w:color w:val="231F20"/>
          <w:spacing w:val="-6"/>
        </w:rPr>
        <w:t xml:space="preserve"> </w:t>
      </w:r>
      <w:r>
        <w:rPr>
          <w:color w:val="231F20"/>
        </w:rPr>
        <w:t>in</w:t>
      </w:r>
      <w:r>
        <w:rPr>
          <w:color w:val="231F20"/>
          <w:spacing w:val="-6"/>
        </w:rPr>
        <w:t xml:space="preserve"> </w:t>
      </w:r>
      <w:r>
        <w:rPr>
          <w:color w:val="231F20"/>
        </w:rPr>
        <w:t>relation</w:t>
      </w:r>
      <w:r>
        <w:rPr>
          <w:color w:val="231F20"/>
          <w:spacing w:val="-6"/>
        </w:rPr>
        <w:t xml:space="preserve"> </w:t>
      </w:r>
      <w:r>
        <w:rPr>
          <w:color w:val="231F20"/>
        </w:rPr>
        <w:t>to</w:t>
      </w:r>
      <w:r>
        <w:rPr>
          <w:color w:val="231F20"/>
          <w:spacing w:val="-6"/>
        </w:rPr>
        <w:t xml:space="preserve"> </w:t>
      </w:r>
      <w:r>
        <w:rPr>
          <w:color w:val="231F20"/>
        </w:rPr>
        <w:t>contemporary</w:t>
      </w:r>
      <w:r>
        <w:rPr>
          <w:color w:val="231F20"/>
          <w:spacing w:val="-6"/>
        </w:rPr>
        <w:t xml:space="preserve"> </w:t>
      </w:r>
      <w:r>
        <w:rPr>
          <w:color w:val="231F20"/>
        </w:rPr>
        <w:t>practices</w:t>
      </w:r>
      <w:r>
        <w:rPr>
          <w:color w:val="231F20"/>
          <w:spacing w:val="-6"/>
        </w:rPr>
        <w:t xml:space="preserve"> </w:t>
      </w:r>
      <w:r>
        <w:rPr>
          <w:color w:val="231F20"/>
        </w:rPr>
        <w:t>of</w:t>
      </w:r>
      <w:r>
        <w:rPr>
          <w:color w:val="231F20"/>
          <w:spacing w:val="-6"/>
        </w:rPr>
        <w:t xml:space="preserve"> </w:t>
      </w:r>
      <w:r>
        <w:rPr>
          <w:color w:val="231F20"/>
        </w:rPr>
        <w:t>sport</w:t>
      </w:r>
      <w:r>
        <w:rPr>
          <w:color w:val="231F20"/>
          <w:spacing w:val="-6"/>
        </w:rPr>
        <w:t xml:space="preserve"> </w:t>
      </w:r>
      <w:r>
        <w:rPr>
          <w:color w:val="231F20"/>
        </w:rPr>
        <w:t>and</w:t>
      </w:r>
      <w:r>
        <w:rPr>
          <w:color w:val="231F20"/>
          <w:spacing w:val="-6"/>
        </w:rPr>
        <w:t xml:space="preserve"> </w:t>
      </w:r>
      <w:r>
        <w:rPr>
          <w:color w:val="231F20"/>
        </w:rPr>
        <w:t xml:space="preserve">tourism. Technical definitions of sport address </w:t>
      </w:r>
      <w:r>
        <w:rPr>
          <w:color w:val="231F20"/>
        </w:rPr>
        <w:t xml:space="preserve">those defining criteria that are universal, beyond dispute and immutable across space and time. In this respect, we have long used the definition of McPherson </w:t>
      </w:r>
      <w:r>
        <w:rPr>
          <w:i/>
          <w:color w:val="231F20"/>
        </w:rPr>
        <w:t>et al</w:t>
      </w:r>
      <w:r>
        <w:rPr>
          <w:color w:val="231F20"/>
        </w:rPr>
        <w:t>. (1989: 15) who</w:t>
      </w:r>
      <w:r>
        <w:rPr>
          <w:color w:val="231F20"/>
          <w:spacing w:val="-3"/>
        </w:rPr>
        <w:t xml:space="preserve"> </w:t>
      </w:r>
      <w:r>
        <w:rPr>
          <w:color w:val="231F20"/>
        </w:rPr>
        <w:t>state</w:t>
      </w:r>
      <w:r>
        <w:rPr>
          <w:color w:val="231F20"/>
          <w:spacing w:val="-3"/>
        </w:rPr>
        <w:t xml:space="preserve"> </w:t>
      </w:r>
      <w:r>
        <w:rPr>
          <w:color w:val="231F20"/>
        </w:rPr>
        <w:t>that</w:t>
      </w:r>
      <w:r>
        <w:rPr>
          <w:color w:val="231F20"/>
          <w:spacing w:val="-3"/>
        </w:rPr>
        <w:t xml:space="preserve"> </w:t>
      </w:r>
      <w:r>
        <w:rPr>
          <w:color w:val="231F20"/>
        </w:rPr>
        <w:t>sport</w:t>
      </w:r>
      <w:r>
        <w:rPr>
          <w:color w:val="231F20"/>
          <w:spacing w:val="-3"/>
        </w:rPr>
        <w:t xml:space="preserve"> </w:t>
      </w:r>
      <w:r>
        <w:rPr>
          <w:color w:val="231F20"/>
        </w:rPr>
        <w:t>is</w:t>
      </w:r>
      <w:r>
        <w:rPr>
          <w:color w:val="231F20"/>
          <w:spacing w:val="-3"/>
        </w:rPr>
        <w:t xml:space="preserve"> </w:t>
      </w:r>
      <w:r>
        <w:rPr>
          <w:color w:val="231F20"/>
        </w:rPr>
        <w:t>‘a</w:t>
      </w:r>
      <w:r>
        <w:rPr>
          <w:color w:val="231F20"/>
          <w:spacing w:val="-3"/>
        </w:rPr>
        <w:t xml:space="preserve"> </w:t>
      </w:r>
      <w:r>
        <w:rPr>
          <w:color w:val="231F20"/>
        </w:rPr>
        <w:t>structured,</w:t>
      </w:r>
      <w:r>
        <w:rPr>
          <w:color w:val="231F20"/>
          <w:spacing w:val="-3"/>
        </w:rPr>
        <w:t xml:space="preserve"> </w:t>
      </w:r>
      <w:r>
        <w:rPr>
          <w:color w:val="231F20"/>
        </w:rPr>
        <w:t>goal-oriented,</w:t>
      </w:r>
      <w:r>
        <w:rPr>
          <w:color w:val="231F20"/>
          <w:spacing w:val="-3"/>
        </w:rPr>
        <w:t xml:space="preserve"> </w:t>
      </w:r>
      <w:r>
        <w:rPr>
          <w:color w:val="231F20"/>
        </w:rPr>
        <w:t>competitive,</w:t>
      </w:r>
      <w:r>
        <w:rPr>
          <w:color w:val="231F20"/>
          <w:spacing w:val="-3"/>
        </w:rPr>
        <w:t xml:space="preserve"> </w:t>
      </w:r>
      <w:r>
        <w:rPr>
          <w:color w:val="231F20"/>
        </w:rPr>
        <w:t>contest- based, ludic physical activity’. Of course, these immutable technical criteria are open to interpretation, and as they are reinterpreted so the vast</w:t>
      </w:r>
      <w:r>
        <w:rPr>
          <w:color w:val="231F20"/>
          <w:spacing w:val="-9"/>
        </w:rPr>
        <w:t xml:space="preserve"> </w:t>
      </w:r>
      <w:r>
        <w:rPr>
          <w:color w:val="231F20"/>
        </w:rPr>
        <w:t>diversity</w:t>
      </w:r>
      <w:r>
        <w:rPr>
          <w:color w:val="231F20"/>
          <w:spacing w:val="-9"/>
        </w:rPr>
        <w:t xml:space="preserve"> </w:t>
      </w:r>
      <w:r>
        <w:rPr>
          <w:color w:val="231F20"/>
        </w:rPr>
        <w:t>of</w:t>
      </w:r>
      <w:r>
        <w:rPr>
          <w:color w:val="231F20"/>
          <w:spacing w:val="-9"/>
        </w:rPr>
        <w:t xml:space="preserve"> </w:t>
      </w:r>
      <w:r>
        <w:rPr>
          <w:color w:val="231F20"/>
        </w:rPr>
        <w:t>sports</w:t>
      </w:r>
      <w:r>
        <w:rPr>
          <w:color w:val="231F20"/>
          <w:spacing w:val="-9"/>
        </w:rPr>
        <w:t xml:space="preserve"> </w:t>
      </w:r>
      <w:r>
        <w:rPr>
          <w:color w:val="231F20"/>
        </w:rPr>
        <w:t>and</w:t>
      </w:r>
      <w:r>
        <w:rPr>
          <w:color w:val="231F20"/>
          <w:spacing w:val="-9"/>
        </w:rPr>
        <w:t xml:space="preserve"> </w:t>
      </w:r>
      <w:r>
        <w:rPr>
          <w:color w:val="231F20"/>
        </w:rPr>
        <w:t>forms</w:t>
      </w:r>
      <w:r>
        <w:rPr>
          <w:color w:val="231F20"/>
          <w:spacing w:val="-9"/>
        </w:rPr>
        <w:t xml:space="preserve"> </w:t>
      </w:r>
      <w:r>
        <w:rPr>
          <w:color w:val="231F20"/>
        </w:rPr>
        <w:t>of</w:t>
      </w:r>
      <w:r>
        <w:rPr>
          <w:color w:val="231F20"/>
          <w:spacing w:val="-9"/>
        </w:rPr>
        <w:t xml:space="preserve"> </w:t>
      </w:r>
      <w:r>
        <w:rPr>
          <w:color w:val="231F20"/>
        </w:rPr>
        <w:t>engagement</w:t>
      </w:r>
      <w:r>
        <w:rPr>
          <w:color w:val="231F20"/>
          <w:spacing w:val="-9"/>
        </w:rPr>
        <w:t xml:space="preserve"> </w:t>
      </w:r>
      <w:r>
        <w:rPr>
          <w:color w:val="231F20"/>
        </w:rPr>
        <w:t>in</w:t>
      </w:r>
      <w:r>
        <w:rPr>
          <w:color w:val="231F20"/>
          <w:spacing w:val="-9"/>
        </w:rPr>
        <w:t xml:space="preserve"> </w:t>
      </w:r>
      <w:r>
        <w:rPr>
          <w:color w:val="231F20"/>
        </w:rPr>
        <w:t>sports</w:t>
      </w:r>
      <w:r>
        <w:rPr>
          <w:color w:val="231F20"/>
          <w:spacing w:val="-9"/>
        </w:rPr>
        <w:t xml:space="preserve"> </w:t>
      </w:r>
      <w:r>
        <w:rPr>
          <w:color w:val="231F20"/>
        </w:rPr>
        <w:t>arise</w:t>
      </w:r>
      <w:r>
        <w:rPr>
          <w:color w:val="231F20"/>
          <w:spacing w:val="-9"/>
        </w:rPr>
        <w:t xml:space="preserve"> </w:t>
      </w:r>
      <w:r>
        <w:rPr>
          <w:color w:val="231F20"/>
        </w:rPr>
        <w:t>(Hinch</w:t>
      </w:r>
      <w:r>
        <w:rPr>
          <w:color w:val="231F20"/>
          <w:spacing w:val="-9"/>
        </w:rPr>
        <w:t xml:space="preserve"> </w:t>
      </w:r>
      <w:r>
        <w:rPr>
          <w:color w:val="231F20"/>
        </w:rPr>
        <w:t>&amp; Higham,</w:t>
      </w:r>
      <w:r>
        <w:rPr>
          <w:color w:val="231F20"/>
          <w:spacing w:val="-2"/>
        </w:rPr>
        <w:t xml:space="preserve"> </w:t>
      </w:r>
      <w:r>
        <w:rPr>
          <w:color w:val="231F20"/>
        </w:rPr>
        <w:t>2004).</w:t>
      </w:r>
      <w:r>
        <w:rPr>
          <w:color w:val="231F20"/>
          <w:spacing w:val="-2"/>
        </w:rPr>
        <w:t xml:space="preserve"> </w:t>
      </w:r>
      <w:r>
        <w:rPr>
          <w:color w:val="231F20"/>
        </w:rPr>
        <w:t>So,</w:t>
      </w:r>
      <w:r>
        <w:rPr>
          <w:color w:val="231F20"/>
          <w:spacing w:val="-2"/>
        </w:rPr>
        <w:t xml:space="preserve"> </w:t>
      </w:r>
      <w:r>
        <w:rPr>
          <w:color w:val="231F20"/>
        </w:rPr>
        <w:t>while</w:t>
      </w:r>
      <w:r>
        <w:rPr>
          <w:color w:val="231F20"/>
          <w:spacing w:val="-2"/>
        </w:rPr>
        <w:t xml:space="preserve"> </w:t>
      </w:r>
      <w:r>
        <w:rPr>
          <w:color w:val="231F20"/>
        </w:rPr>
        <w:t>spor</w:t>
      </w:r>
      <w:r>
        <w:rPr>
          <w:color w:val="231F20"/>
        </w:rPr>
        <w:t>t</w:t>
      </w:r>
      <w:r>
        <w:rPr>
          <w:color w:val="231F20"/>
          <w:spacing w:val="-2"/>
        </w:rPr>
        <w:t xml:space="preserve"> </w:t>
      </w:r>
      <w:r>
        <w:rPr>
          <w:color w:val="231F20"/>
        </w:rPr>
        <w:t>is</w:t>
      </w:r>
      <w:r>
        <w:rPr>
          <w:color w:val="231F20"/>
          <w:spacing w:val="-2"/>
        </w:rPr>
        <w:t xml:space="preserve"> </w:t>
      </w:r>
      <w:r>
        <w:rPr>
          <w:color w:val="231F20"/>
        </w:rPr>
        <w:t>structured</w:t>
      </w:r>
      <w:r>
        <w:rPr>
          <w:color w:val="231F20"/>
          <w:spacing w:val="-2"/>
        </w:rPr>
        <w:t xml:space="preserve"> </w:t>
      </w:r>
      <w:r>
        <w:rPr>
          <w:color w:val="231F20"/>
        </w:rPr>
        <w:t>by</w:t>
      </w:r>
      <w:r>
        <w:rPr>
          <w:color w:val="231F20"/>
          <w:spacing w:val="-2"/>
        </w:rPr>
        <w:t xml:space="preserve"> </w:t>
      </w:r>
      <w:r>
        <w:rPr>
          <w:color w:val="231F20"/>
        </w:rPr>
        <w:t>rules</w:t>
      </w:r>
      <w:r>
        <w:rPr>
          <w:color w:val="231F20"/>
          <w:spacing w:val="-2"/>
        </w:rPr>
        <w:t xml:space="preserve"> </w:t>
      </w:r>
      <w:r>
        <w:rPr>
          <w:color w:val="231F20"/>
        </w:rPr>
        <w:t>of</w:t>
      </w:r>
      <w:r>
        <w:rPr>
          <w:color w:val="231F20"/>
          <w:spacing w:val="-2"/>
        </w:rPr>
        <w:t xml:space="preserve"> </w:t>
      </w:r>
      <w:r>
        <w:rPr>
          <w:color w:val="231F20"/>
        </w:rPr>
        <w:t>engagement,</w:t>
      </w:r>
      <w:r>
        <w:rPr>
          <w:color w:val="231F20"/>
          <w:spacing w:val="-2"/>
        </w:rPr>
        <w:t xml:space="preserve"> </w:t>
      </w:r>
      <w:r>
        <w:rPr>
          <w:color w:val="231F20"/>
        </w:rPr>
        <w:t xml:space="preserve">the </w:t>
      </w:r>
      <w:r>
        <w:rPr>
          <w:color w:val="231F20"/>
          <w:w w:val="95"/>
        </w:rPr>
        <w:t xml:space="preserve">implementation of rules varies from the strictly enforced to the unwritten, </w:t>
      </w:r>
      <w:r>
        <w:rPr>
          <w:color w:val="231F20"/>
        </w:rPr>
        <w:t>unspoken</w:t>
      </w:r>
      <w:r>
        <w:rPr>
          <w:color w:val="231F20"/>
          <w:spacing w:val="-7"/>
        </w:rPr>
        <w:t xml:space="preserve"> </w:t>
      </w:r>
      <w:r>
        <w:rPr>
          <w:color w:val="231F20"/>
        </w:rPr>
        <w:t>or</w:t>
      </w:r>
      <w:r>
        <w:rPr>
          <w:color w:val="231F20"/>
          <w:spacing w:val="-7"/>
        </w:rPr>
        <w:t xml:space="preserve"> </w:t>
      </w:r>
      <w:r>
        <w:rPr>
          <w:color w:val="231F20"/>
        </w:rPr>
        <w:t>deliberately</w:t>
      </w:r>
      <w:r>
        <w:rPr>
          <w:color w:val="231F20"/>
          <w:spacing w:val="-7"/>
        </w:rPr>
        <w:t xml:space="preserve"> </w:t>
      </w:r>
      <w:r>
        <w:rPr>
          <w:color w:val="231F20"/>
        </w:rPr>
        <w:t>ignored</w:t>
      </w:r>
      <w:r>
        <w:rPr>
          <w:color w:val="231F20"/>
          <w:spacing w:val="-7"/>
        </w:rPr>
        <w:t xml:space="preserve"> </w:t>
      </w:r>
      <w:r>
        <w:rPr>
          <w:color w:val="231F20"/>
        </w:rPr>
        <w:t>and</w:t>
      </w:r>
      <w:r>
        <w:rPr>
          <w:color w:val="231F20"/>
          <w:spacing w:val="-7"/>
        </w:rPr>
        <w:t xml:space="preserve"> </w:t>
      </w:r>
      <w:r>
        <w:rPr>
          <w:color w:val="231F20"/>
        </w:rPr>
        <w:t>unenforced.</w:t>
      </w:r>
      <w:r>
        <w:rPr>
          <w:color w:val="231F20"/>
          <w:spacing w:val="-7"/>
        </w:rPr>
        <w:t xml:space="preserve"> </w:t>
      </w:r>
      <w:r>
        <w:rPr>
          <w:color w:val="231F20"/>
        </w:rPr>
        <w:t>Rules</w:t>
      </w:r>
      <w:r>
        <w:rPr>
          <w:color w:val="231F20"/>
          <w:spacing w:val="-7"/>
        </w:rPr>
        <w:t xml:space="preserve"> </w:t>
      </w:r>
      <w:r>
        <w:rPr>
          <w:color w:val="231F20"/>
        </w:rPr>
        <w:t>may</w:t>
      </w:r>
      <w:r>
        <w:rPr>
          <w:color w:val="231F20"/>
          <w:spacing w:val="-7"/>
        </w:rPr>
        <w:t xml:space="preserve"> </w:t>
      </w:r>
      <w:r>
        <w:rPr>
          <w:color w:val="231F20"/>
        </w:rPr>
        <w:t>be</w:t>
      </w:r>
      <w:r>
        <w:rPr>
          <w:color w:val="231F20"/>
          <w:spacing w:val="-7"/>
        </w:rPr>
        <w:t xml:space="preserve"> </w:t>
      </w:r>
      <w:r>
        <w:rPr>
          <w:color w:val="231F20"/>
        </w:rPr>
        <w:t>codified to</w:t>
      </w:r>
      <w:r>
        <w:rPr>
          <w:color w:val="231F20"/>
          <w:spacing w:val="-9"/>
        </w:rPr>
        <w:t xml:space="preserve"> </w:t>
      </w:r>
      <w:r>
        <w:rPr>
          <w:color w:val="231F20"/>
        </w:rPr>
        <w:t>be</w:t>
      </w:r>
      <w:r>
        <w:rPr>
          <w:color w:val="231F20"/>
          <w:spacing w:val="-9"/>
        </w:rPr>
        <w:t xml:space="preserve"> </w:t>
      </w:r>
      <w:r>
        <w:rPr>
          <w:color w:val="231F20"/>
        </w:rPr>
        <w:t>learned</w:t>
      </w:r>
      <w:r>
        <w:rPr>
          <w:color w:val="231F20"/>
          <w:spacing w:val="-9"/>
        </w:rPr>
        <w:t xml:space="preserve"> </w:t>
      </w:r>
      <w:r>
        <w:rPr>
          <w:color w:val="231F20"/>
        </w:rPr>
        <w:t>and</w:t>
      </w:r>
      <w:r>
        <w:rPr>
          <w:color w:val="231F20"/>
          <w:spacing w:val="-9"/>
        </w:rPr>
        <w:t xml:space="preserve"> </w:t>
      </w:r>
      <w:r>
        <w:rPr>
          <w:color w:val="231F20"/>
        </w:rPr>
        <w:t>periodically</w:t>
      </w:r>
      <w:r>
        <w:rPr>
          <w:color w:val="231F20"/>
          <w:spacing w:val="-9"/>
        </w:rPr>
        <w:t xml:space="preserve"> </w:t>
      </w:r>
      <w:r>
        <w:rPr>
          <w:color w:val="231F20"/>
        </w:rPr>
        <w:t>revised;</w:t>
      </w:r>
      <w:r>
        <w:rPr>
          <w:color w:val="231F20"/>
          <w:spacing w:val="-9"/>
        </w:rPr>
        <w:t xml:space="preserve"> </w:t>
      </w:r>
      <w:r>
        <w:rPr>
          <w:color w:val="231F20"/>
        </w:rPr>
        <w:t>or</w:t>
      </w:r>
      <w:r>
        <w:rPr>
          <w:color w:val="231F20"/>
          <w:spacing w:val="-9"/>
        </w:rPr>
        <w:t xml:space="preserve"> </w:t>
      </w:r>
      <w:r>
        <w:rPr>
          <w:color w:val="231F20"/>
        </w:rPr>
        <w:t>may</w:t>
      </w:r>
      <w:r>
        <w:rPr>
          <w:color w:val="231F20"/>
          <w:spacing w:val="-9"/>
        </w:rPr>
        <w:t xml:space="preserve"> </w:t>
      </w:r>
      <w:r>
        <w:rPr>
          <w:color w:val="231F20"/>
        </w:rPr>
        <w:t>be</w:t>
      </w:r>
      <w:r>
        <w:rPr>
          <w:color w:val="231F20"/>
          <w:spacing w:val="-9"/>
        </w:rPr>
        <w:t xml:space="preserve"> </w:t>
      </w:r>
      <w:r>
        <w:rPr>
          <w:color w:val="231F20"/>
        </w:rPr>
        <w:t>unspoken</w:t>
      </w:r>
      <w:r>
        <w:rPr>
          <w:color w:val="231F20"/>
          <w:spacing w:val="-9"/>
        </w:rPr>
        <w:t xml:space="preserve"> </w:t>
      </w:r>
      <w:r>
        <w:rPr>
          <w:color w:val="231F20"/>
        </w:rPr>
        <w:t>and</w:t>
      </w:r>
      <w:r>
        <w:rPr>
          <w:color w:val="231F20"/>
          <w:spacing w:val="-9"/>
        </w:rPr>
        <w:t xml:space="preserve"> </w:t>
      </w:r>
      <w:r>
        <w:rPr>
          <w:color w:val="231F20"/>
        </w:rPr>
        <w:t>available only to members of a sport subculture (Wheaton, 2004).</w:t>
      </w:r>
    </w:p>
    <w:p w14:paraId="00CB2DCB" w14:textId="77777777" w:rsidR="00AE0598" w:rsidRDefault="0069255A">
      <w:pPr>
        <w:pStyle w:val="Corpodetexto"/>
        <w:spacing w:before="18" w:line="232" w:lineRule="auto"/>
        <w:ind w:left="110" w:right="126" w:firstLine="320"/>
        <w:jc w:val="both"/>
      </w:pPr>
      <w:r>
        <w:rPr>
          <w:color w:val="231F20"/>
        </w:rPr>
        <w:t xml:space="preserve">McPherson </w:t>
      </w:r>
      <w:r>
        <w:rPr>
          <w:i/>
          <w:color w:val="231F20"/>
        </w:rPr>
        <w:t>et al</w:t>
      </w:r>
      <w:r>
        <w:rPr>
          <w:color w:val="231F20"/>
        </w:rPr>
        <w:t xml:space="preserve">. (1989) go on to address the goal orientation of </w:t>
      </w:r>
      <w:r>
        <w:rPr>
          <w:color w:val="231F20"/>
          <w:w w:val="95"/>
        </w:rPr>
        <w:t>sport, noting that participants seek to attain certain levels of achievement</w:t>
      </w:r>
      <w:r>
        <w:rPr>
          <w:color w:val="231F20"/>
          <w:spacing w:val="40"/>
        </w:rPr>
        <w:t xml:space="preserve"> </w:t>
      </w:r>
      <w:r>
        <w:rPr>
          <w:color w:val="231F20"/>
        </w:rPr>
        <w:t xml:space="preserve">or competence but, once again, goal </w:t>
      </w:r>
      <w:r>
        <w:rPr>
          <w:color w:val="231F20"/>
        </w:rPr>
        <w:t>orientation is open to subjective interpretation.</w:t>
      </w:r>
      <w:r>
        <w:rPr>
          <w:color w:val="231F20"/>
          <w:spacing w:val="-5"/>
        </w:rPr>
        <w:t xml:space="preserve"> </w:t>
      </w:r>
      <w:r>
        <w:rPr>
          <w:color w:val="231F20"/>
        </w:rPr>
        <w:t>Goal</w:t>
      </w:r>
      <w:r>
        <w:rPr>
          <w:color w:val="231F20"/>
          <w:spacing w:val="-5"/>
        </w:rPr>
        <w:t xml:space="preserve"> </w:t>
      </w:r>
      <w:r>
        <w:rPr>
          <w:color w:val="231F20"/>
        </w:rPr>
        <w:t>orientation</w:t>
      </w:r>
      <w:r>
        <w:rPr>
          <w:color w:val="231F20"/>
          <w:spacing w:val="-5"/>
        </w:rPr>
        <w:t xml:space="preserve"> </w:t>
      </w:r>
      <w:r>
        <w:rPr>
          <w:color w:val="231F20"/>
        </w:rPr>
        <w:t>may</w:t>
      </w:r>
      <w:r>
        <w:rPr>
          <w:color w:val="231F20"/>
          <w:spacing w:val="-5"/>
        </w:rPr>
        <w:t xml:space="preserve"> </w:t>
      </w:r>
      <w:r>
        <w:rPr>
          <w:color w:val="231F20"/>
        </w:rPr>
        <w:t>be</w:t>
      </w:r>
      <w:r>
        <w:rPr>
          <w:color w:val="231F20"/>
          <w:spacing w:val="-5"/>
        </w:rPr>
        <w:t xml:space="preserve"> </w:t>
      </w:r>
      <w:r>
        <w:rPr>
          <w:color w:val="231F20"/>
        </w:rPr>
        <w:t>commonly</w:t>
      </w:r>
      <w:r>
        <w:rPr>
          <w:color w:val="231F20"/>
          <w:spacing w:val="-5"/>
        </w:rPr>
        <w:t xml:space="preserve"> </w:t>
      </w:r>
      <w:r>
        <w:rPr>
          <w:color w:val="231F20"/>
        </w:rPr>
        <w:t>expressed</w:t>
      </w:r>
      <w:r>
        <w:rPr>
          <w:color w:val="231F20"/>
          <w:spacing w:val="-5"/>
        </w:rPr>
        <w:t xml:space="preserve"> </w:t>
      </w:r>
      <w:r>
        <w:rPr>
          <w:color w:val="231F20"/>
        </w:rPr>
        <w:t>in</w:t>
      </w:r>
      <w:r>
        <w:rPr>
          <w:color w:val="231F20"/>
          <w:spacing w:val="-5"/>
        </w:rPr>
        <w:t xml:space="preserve"> </w:t>
      </w:r>
      <w:r>
        <w:rPr>
          <w:color w:val="231F20"/>
        </w:rPr>
        <w:t>terms</w:t>
      </w:r>
      <w:r>
        <w:rPr>
          <w:color w:val="231F20"/>
          <w:spacing w:val="-5"/>
        </w:rPr>
        <w:t xml:space="preserve"> </w:t>
      </w:r>
      <w:r>
        <w:rPr>
          <w:color w:val="231F20"/>
        </w:rPr>
        <w:t xml:space="preserve">of victory over, or defeat at the hands of, an opponent, but this is a view of </w:t>
      </w:r>
      <w:r>
        <w:rPr>
          <w:color w:val="231F20"/>
          <w:w w:val="95"/>
        </w:rPr>
        <w:t>goal orientation that is incomplete without consideration of ego (being the</w:t>
      </w:r>
      <w:r>
        <w:rPr>
          <w:color w:val="231F20"/>
          <w:w w:val="95"/>
        </w:rPr>
        <w:t xml:space="preserve"> </w:t>
      </w:r>
      <w:r>
        <w:rPr>
          <w:color w:val="231F20"/>
        </w:rPr>
        <w:t>best)</w:t>
      </w:r>
      <w:r>
        <w:rPr>
          <w:color w:val="231F20"/>
          <w:spacing w:val="-9"/>
        </w:rPr>
        <w:t xml:space="preserve"> </w:t>
      </w:r>
      <w:r>
        <w:rPr>
          <w:color w:val="231F20"/>
        </w:rPr>
        <w:t>and</w:t>
      </w:r>
      <w:r>
        <w:rPr>
          <w:color w:val="231F20"/>
          <w:spacing w:val="-9"/>
        </w:rPr>
        <w:t xml:space="preserve"> </w:t>
      </w:r>
      <w:r>
        <w:rPr>
          <w:color w:val="231F20"/>
        </w:rPr>
        <w:t>task</w:t>
      </w:r>
      <w:r>
        <w:rPr>
          <w:color w:val="231F20"/>
          <w:spacing w:val="-9"/>
        </w:rPr>
        <w:t xml:space="preserve"> </w:t>
      </w:r>
      <w:r>
        <w:rPr>
          <w:color w:val="231F20"/>
        </w:rPr>
        <w:t>(doing</w:t>
      </w:r>
      <w:r>
        <w:rPr>
          <w:color w:val="231F20"/>
          <w:spacing w:val="-9"/>
        </w:rPr>
        <w:t xml:space="preserve"> </w:t>
      </w:r>
      <w:r>
        <w:rPr>
          <w:color w:val="231F20"/>
        </w:rPr>
        <w:t>my</w:t>
      </w:r>
      <w:r>
        <w:rPr>
          <w:color w:val="231F20"/>
          <w:spacing w:val="-9"/>
        </w:rPr>
        <w:t xml:space="preserve"> </w:t>
      </w:r>
      <w:r>
        <w:rPr>
          <w:color w:val="231F20"/>
        </w:rPr>
        <w:t>best)</w:t>
      </w:r>
      <w:r>
        <w:rPr>
          <w:color w:val="231F20"/>
          <w:spacing w:val="-9"/>
        </w:rPr>
        <w:t xml:space="preserve"> </w:t>
      </w:r>
      <w:r>
        <w:rPr>
          <w:color w:val="231F20"/>
        </w:rPr>
        <w:t>orientations</w:t>
      </w:r>
      <w:r>
        <w:rPr>
          <w:color w:val="231F20"/>
          <w:spacing w:val="-9"/>
        </w:rPr>
        <w:t xml:space="preserve"> </w:t>
      </w:r>
      <w:r>
        <w:rPr>
          <w:color w:val="231F20"/>
        </w:rPr>
        <w:t>(Duda</w:t>
      </w:r>
      <w:r>
        <w:rPr>
          <w:color w:val="231F20"/>
          <w:spacing w:val="-9"/>
        </w:rPr>
        <w:t xml:space="preserve"> </w:t>
      </w:r>
      <w:r>
        <w:rPr>
          <w:color w:val="231F20"/>
        </w:rPr>
        <w:t>&amp;</w:t>
      </w:r>
      <w:r>
        <w:rPr>
          <w:color w:val="231F20"/>
          <w:spacing w:val="-9"/>
        </w:rPr>
        <w:t xml:space="preserve"> </w:t>
      </w:r>
      <w:r>
        <w:rPr>
          <w:color w:val="231F20"/>
        </w:rPr>
        <w:t>Nicholls,</w:t>
      </w:r>
      <w:r>
        <w:rPr>
          <w:color w:val="231F20"/>
          <w:spacing w:val="-9"/>
        </w:rPr>
        <w:t xml:space="preserve"> </w:t>
      </w:r>
      <w:r>
        <w:rPr>
          <w:color w:val="231F20"/>
        </w:rPr>
        <w:t>1992)</w:t>
      </w:r>
      <w:r>
        <w:rPr>
          <w:color w:val="231F20"/>
          <w:spacing w:val="-9"/>
        </w:rPr>
        <w:t xml:space="preserve"> </w:t>
      </w:r>
      <w:r>
        <w:rPr>
          <w:color w:val="231F20"/>
        </w:rPr>
        <w:t>such that goal orientation may be result focused or self-referenced (Falcous, 2017). These are critically important points of distinction in relation to tourism experiences. Competition i</w:t>
      </w:r>
      <w:r>
        <w:rPr>
          <w:color w:val="231F20"/>
        </w:rPr>
        <w:t>s typically measured in performance against an individual opponent or rival team, but extends to competing against personal standards, degrees of difficulty, virtual opponents, the forces of nature or a technically challenging course. The uncertainty of ou</w:t>
      </w:r>
      <w:r>
        <w:rPr>
          <w:color w:val="231F20"/>
        </w:rPr>
        <w:t>tcomes associated with competition ensures that at its best, sport is unrivalled</w:t>
      </w:r>
      <w:r>
        <w:rPr>
          <w:color w:val="231F20"/>
          <w:spacing w:val="-9"/>
        </w:rPr>
        <w:t xml:space="preserve"> </w:t>
      </w:r>
      <w:r>
        <w:rPr>
          <w:color w:val="231F20"/>
        </w:rPr>
        <w:t>in</w:t>
      </w:r>
      <w:r>
        <w:rPr>
          <w:color w:val="231F20"/>
          <w:spacing w:val="-9"/>
        </w:rPr>
        <w:t xml:space="preserve"> </w:t>
      </w:r>
      <w:r>
        <w:rPr>
          <w:color w:val="231F20"/>
        </w:rPr>
        <w:t>terms</w:t>
      </w:r>
      <w:r>
        <w:rPr>
          <w:color w:val="231F20"/>
          <w:spacing w:val="-9"/>
        </w:rPr>
        <w:t xml:space="preserve"> </w:t>
      </w:r>
      <w:r>
        <w:rPr>
          <w:color w:val="231F20"/>
        </w:rPr>
        <w:t>of</w:t>
      </w:r>
      <w:r>
        <w:rPr>
          <w:color w:val="231F20"/>
          <w:spacing w:val="-9"/>
        </w:rPr>
        <w:t xml:space="preserve"> </w:t>
      </w:r>
      <w:r>
        <w:rPr>
          <w:color w:val="231F20"/>
        </w:rPr>
        <w:t>atmosphere,</w:t>
      </w:r>
      <w:r>
        <w:rPr>
          <w:color w:val="231F20"/>
          <w:spacing w:val="-9"/>
        </w:rPr>
        <w:t xml:space="preserve"> </w:t>
      </w:r>
      <w:r>
        <w:rPr>
          <w:color w:val="231F20"/>
        </w:rPr>
        <w:t>the</w:t>
      </w:r>
      <w:r>
        <w:rPr>
          <w:color w:val="231F20"/>
          <w:spacing w:val="-9"/>
        </w:rPr>
        <w:t xml:space="preserve"> </w:t>
      </w:r>
      <w:r>
        <w:rPr>
          <w:color w:val="231F20"/>
        </w:rPr>
        <w:t>potential</w:t>
      </w:r>
      <w:r>
        <w:rPr>
          <w:color w:val="231F20"/>
          <w:spacing w:val="-9"/>
        </w:rPr>
        <w:t xml:space="preserve"> </w:t>
      </w:r>
      <w:r>
        <w:rPr>
          <w:color w:val="231F20"/>
        </w:rPr>
        <w:t>for</w:t>
      </w:r>
      <w:r>
        <w:rPr>
          <w:color w:val="231F20"/>
          <w:spacing w:val="-9"/>
        </w:rPr>
        <w:t xml:space="preserve"> </w:t>
      </w:r>
      <w:r>
        <w:rPr>
          <w:color w:val="231F20"/>
        </w:rPr>
        <w:t>drama</w:t>
      </w:r>
      <w:r>
        <w:rPr>
          <w:color w:val="231F20"/>
          <w:spacing w:val="-9"/>
        </w:rPr>
        <w:t xml:space="preserve"> </w:t>
      </w:r>
      <w:r>
        <w:rPr>
          <w:color w:val="231F20"/>
        </w:rPr>
        <w:t>and</w:t>
      </w:r>
      <w:r>
        <w:rPr>
          <w:color w:val="231F20"/>
          <w:spacing w:val="-9"/>
        </w:rPr>
        <w:t xml:space="preserve"> </w:t>
      </w:r>
      <w:r>
        <w:rPr>
          <w:color w:val="231F20"/>
        </w:rPr>
        <w:t>sustained audience engagement.</w:t>
      </w:r>
    </w:p>
    <w:p w14:paraId="0DA86B6A" w14:textId="77777777" w:rsidR="00AE0598" w:rsidRDefault="0069255A">
      <w:pPr>
        <w:pStyle w:val="Corpodetexto"/>
        <w:spacing w:before="19" w:line="232" w:lineRule="auto"/>
        <w:ind w:left="110" w:right="125" w:firstLine="320"/>
        <w:jc w:val="both"/>
      </w:pPr>
      <w:r>
        <w:rPr>
          <w:color w:val="231F20"/>
          <w:w w:val="95"/>
        </w:rPr>
        <w:t>While movement is a requirement of physical activity, spatial mobility</w:t>
      </w:r>
      <w:r>
        <w:rPr>
          <w:color w:val="231F20"/>
          <w:spacing w:val="80"/>
        </w:rPr>
        <w:t xml:space="preserve"> </w:t>
      </w:r>
      <w:r>
        <w:rPr>
          <w:color w:val="231F20"/>
        </w:rPr>
        <w:t xml:space="preserve">is a requirement of sports as spectators and participants search for </w:t>
      </w:r>
      <w:r>
        <w:rPr>
          <w:color w:val="231F20"/>
          <w:w w:val="95"/>
        </w:rPr>
        <w:t xml:space="preserve">appropriate, desirable or iconic locations and venues of sport engagement </w:t>
      </w:r>
      <w:r>
        <w:rPr>
          <w:color w:val="231F20"/>
        </w:rPr>
        <w:t>and competition. These are defining qualit</w:t>
      </w:r>
      <w:r>
        <w:rPr>
          <w:color w:val="231F20"/>
        </w:rPr>
        <w:t xml:space="preserve">ies of sport (Hinch &amp; Higham, </w:t>
      </w:r>
      <w:r>
        <w:rPr>
          <w:color w:val="231F20"/>
          <w:w w:val="95"/>
        </w:rPr>
        <w:t xml:space="preserve">2004), and the ever-evolving interpretations of technical elements of sport </w:t>
      </w:r>
      <w:r>
        <w:rPr>
          <w:color w:val="231F20"/>
        </w:rPr>
        <w:t>make for a dynamic and fascinating field of research. While we address this</w:t>
      </w:r>
      <w:r>
        <w:rPr>
          <w:color w:val="231F20"/>
          <w:spacing w:val="-10"/>
        </w:rPr>
        <w:t xml:space="preserve"> </w:t>
      </w:r>
      <w:r>
        <w:rPr>
          <w:color w:val="231F20"/>
        </w:rPr>
        <w:t>field</w:t>
      </w:r>
      <w:r>
        <w:rPr>
          <w:color w:val="231F20"/>
          <w:spacing w:val="-10"/>
        </w:rPr>
        <w:t xml:space="preserve"> </w:t>
      </w:r>
      <w:r>
        <w:rPr>
          <w:color w:val="231F20"/>
        </w:rPr>
        <w:t>of</w:t>
      </w:r>
      <w:r>
        <w:rPr>
          <w:color w:val="231F20"/>
          <w:spacing w:val="-10"/>
        </w:rPr>
        <w:t xml:space="preserve"> </w:t>
      </w:r>
      <w:r>
        <w:rPr>
          <w:color w:val="231F20"/>
        </w:rPr>
        <w:t>research</w:t>
      </w:r>
      <w:r>
        <w:rPr>
          <w:color w:val="231F20"/>
          <w:spacing w:val="-10"/>
        </w:rPr>
        <w:t xml:space="preserve"> </w:t>
      </w:r>
      <w:r>
        <w:rPr>
          <w:color w:val="231F20"/>
        </w:rPr>
        <w:t>in</w:t>
      </w:r>
      <w:r>
        <w:rPr>
          <w:color w:val="231F20"/>
          <w:spacing w:val="-10"/>
        </w:rPr>
        <w:t xml:space="preserve"> </w:t>
      </w:r>
      <w:r>
        <w:rPr>
          <w:color w:val="231F20"/>
        </w:rPr>
        <w:t>chapters</w:t>
      </w:r>
      <w:r>
        <w:rPr>
          <w:color w:val="231F20"/>
          <w:spacing w:val="-10"/>
        </w:rPr>
        <w:t xml:space="preserve"> </w:t>
      </w:r>
      <w:r>
        <w:rPr>
          <w:color w:val="231F20"/>
        </w:rPr>
        <w:t>that</w:t>
      </w:r>
      <w:r>
        <w:rPr>
          <w:color w:val="231F20"/>
          <w:spacing w:val="-10"/>
        </w:rPr>
        <w:t xml:space="preserve"> </w:t>
      </w:r>
      <w:r>
        <w:rPr>
          <w:color w:val="231F20"/>
        </w:rPr>
        <w:t>may</w:t>
      </w:r>
      <w:r>
        <w:rPr>
          <w:color w:val="231F20"/>
          <w:spacing w:val="-10"/>
        </w:rPr>
        <w:t xml:space="preserve"> </w:t>
      </w:r>
      <w:r>
        <w:rPr>
          <w:color w:val="231F20"/>
        </w:rPr>
        <w:t>be</w:t>
      </w:r>
      <w:r>
        <w:rPr>
          <w:color w:val="231F20"/>
          <w:spacing w:val="-10"/>
        </w:rPr>
        <w:t xml:space="preserve"> </w:t>
      </w:r>
      <w:r>
        <w:rPr>
          <w:color w:val="231F20"/>
        </w:rPr>
        <w:t>read</w:t>
      </w:r>
      <w:r>
        <w:rPr>
          <w:color w:val="231F20"/>
          <w:spacing w:val="-10"/>
        </w:rPr>
        <w:t xml:space="preserve"> </w:t>
      </w:r>
      <w:r>
        <w:rPr>
          <w:color w:val="231F20"/>
        </w:rPr>
        <w:t>as</w:t>
      </w:r>
      <w:r>
        <w:rPr>
          <w:color w:val="231F20"/>
          <w:spacing w:val="-10"/>
        </w:rPr>
        <w:t xml:space="preserve"> </w:t>
      </w:r>
      <w:r>
        <w:rPr>
          <w:color w:val="231F20"/>
        </w:rPr>
        <w:t>a</w:t>
      </w:r>
      <w:r>
        <w:rPr>
          <w:color w:val="231F20"/>
          <w:spacing w:val="-10"/>
        </w:rPr>
        <w:t xml:space="preserve"> </w:t>
      </w:r>
      <w:r>
        <w:rPr>
          <w:color w:val="231F20"/>
        </w:rPr>
        <w:t>series</w:t>
      </w:r>
      <w:r>
        <w:rPr>
          <w:color w:val="231F20"/>
          <w:spacing w:val="-10"/>
        </w:rPr>
        <w:t xml:space="preserve"> </w:t>
      </w:r>
      <w:r>
        <w:rPr>
          <w:color w:val="231F20"/>
        </w:rPr>
        <w:t>of</w:t>
      </w:r>
      <w:r>
        <w:rPr>
          <w:color w:val="231F20"/>
          <w:spacing w:val="-10"/>
        </w:rPr>
        <w:t xml:space="preserve"> </w:t>
      </w:r>
      <w:r>
        <w:rPr>
          <w:color w:val="231F20"/>
        </w:rPr>
        <w:t xml:space="preserve">individual </w:t>
      </w:r>
      <w:r>
        <w:rPr>
          <w:color w:val="231F20"/>
          <w:w w:val="95"/>
        </w:rPr>
        <w:t>e</w:t>
      </w:r>
      <w:r>
        <w:rPr>
          <w:color w:val="231F20"/>
          <w:w w:val="95"/>
        </w:rPr>
        <w:t xml:space="preserve">ssays on sport-related tourism, collectively the preceding chapters were </w:t>
      </w:r>
      <w:r>
        <w:rPr>
          <w:color w:val="231F20"/>
        </w:rPr>
        <w:t>integrated by a conceptual framework that gives this book its structure. The dynamic spatio-temporal constructions of sport and tourism lead</w:t>
      </w:r>
      <w:r>
        <w:rPr>
          <w:color w:val="231F20"/>
          <w:spacing w:val="40"/>
        </w:rPr>
        <w:t xml:space="preserve"> </w:t>
      </w:r>
      <w:r>
        <w:rPr>
          <w:color w:val="231F20"/>
        </w:rPr>
        <w:t>us</w:t>
      </w:r>
      <w:r>
        <w:rPr>
          <w:color w:val="231F20"/>
          <w:spacing w:val="-9"/>
        </w:rPr>
        <w:t xml:space="preserve"> </w:t>
      </w:r>
      <w:r>
        <w:rPr>
          <w:color w:val="231F20"/>
        </w:rPr>
        <w:t>to</w:t>
      </w:r>
      <w:r>
        <w:rPr>
          <w:color w:val="231F20"/>
          <w:spacing w:val="-9"/>
        </w:rPr>
        <w:t xml:space="preserve"> </w:t>
      </w:r>
      <w:r>
        <w:rPr>
          <w:color w:val="231F20"/>
        </w:rPr>
        <w:t>consider</w:t>
      </w:r>
      <w:r>
        <w:rPr>
          <w:color w:val="231F20"/>
          <w:spacing w:val="-9"/>
        </w:rPr>
        <w:t xml:space="preserve"> </w:t>
      </w:r>
      <w:r>
        <w:rPr>
          <w:color w:val="231F20"/>
        </w:rPr>
        <w:t>contemporary</w:t>
      </w:r>
      <w:r>
        <w:rPr>
          <w:color w:val="231F20"/>
          <w:spacing w:val="-9"/>
        </w:rPr>
        <w:t xml:space="preserve"> </w:t>
      </w:r>
      <w:r>
        <w:rPr>
          <w:color w:val="231F20"/>
        </w:rPr>
        <w:t>practices</w:t>
      </w:r>
      <w:r>
        <w:rPr>
          <w:color w:val="231F20"/>
          <w:spacing w:val="-9"/>
        </w:rPr>
        <w:t xml:space="preserve"> </w:t>
      </w:r>
      <w:r>
        <w:rPr>
          <w:color w:val="231F20"/>
        </w:rPr>
        <w:t>of</w:t>
      </w:r>
      <w:r>
        <w:rPr>
          <w:color w:val="231F20"/>
          <w:spacing w:val="-9"/>
        </w:rPr>
        <w:t xml:space="preserve"> </w:t>
      </w:r>
      <w:r>
        <w:rPr>
          <w:color w:val="231F20"/>
        </w:rPr>
        <w:t>s</w:t>
      </w:r>
      <w:r>
        <w:rPr>
          <w:color w:val="231F20"/>
        </w:rPr>
        <w:t>port</w:t>
      </w:r>
      <w:r>
        <w:rPr>
          <w:color w:val="231F20"/>
          <w:spacing w:val="-9"/>
        </w:rPr>
        <w:t xml:space="preserve"> </w:t>
      </w:r>
      <w:r>
        <w:rPr>
          <w:color w:val="231F20"/>
        </w:rPr>
        <w:t>and</w:t>
      </w:r>
      <w:r>
        <w:rPr>
          <w:color w:val="231F20"/>
          <w:spacing w:val="-9"/>
        </w:rPr>
        <w:t xml:space="preserve"> </w:t>
      </w:r>
      <w:r>
        <w:rPr>
          <w:color w:val="231F20"/>
        </w:rPr>
        <w:t>tourism</w:t>
      </w:r>
      <w:r>
        <w:rPr>
          <w:color w:val="231F20"/>
          <w:spacing w:val="-9"/>
        </w:rPr>
        <w:t xml:space="preserve"> </w:t>
      </w:r>
      <w:r>
        <w:rPr>
          <w:color w:val="231F20"/>
        </w:rPr>
        <w:t>in</w:t>
      </w:r>
      <w:r>
        <w:rPr>
          <w:color w:val="231F20"/>
          <w:spacing w:val="-9"/>
        </w:rPr>
        <w:t xml:space="preserve"> </w:t>
      </w:r>
      <w:r>
        <w:rPr>
          <w:color w:val="231F20"/>
        </w:rPr>
        <w:t>relation</w:t>
      </w:r>
      <w:r>
        <w:rPr>
          <w:color w:val="231F20"/>
          <w:spacing w:val="-9"/>
        </w:rPr>
        <w:t xml:space="preserve"> </w:t>
      </w:r>
      <w:r>
        <w:rPr>
          <w:color w:val="231F20"/>
        </w:rPr>
        <w:t xml:space="preserve">to </w:t>
      </w:r>
      <w:r>
        <w:rPr>
          <w:color w:val="231F20"/>
          <w:w w:val="95"/>
        </w:rPr>
        <w:t>space and time. Following the introduction (Chapter 1), we presented three framing</w:t>
      </w:r>
      <w:r>
        <w:rPr>
          <w:color w:val="231F20"/>
          <w:spacing w:val="35"/>
        </w:rPr>
        <w:t xml:space="preserve"> </w:t>
      </w:r>
      <w:r>
        <w:rPr>
          <w:color w:val="231F20"/>
          <w:w w:val="95"/>
        </w:rPr>
        <w:t>chapters</w:t>
      </w:r>
      <w:r>
        <w:rPr>
          <w:color w:val="231F20"/>
          <w:spacing w:val="35"/>
        </w:rPr>
        <w:t xml:space="preserve"> </w:t>
      </w:r>
      <w:r>
        <w:rPr>
          <w:color w:val="231F20"/>
          <w:w w:val="95"/>
        </w:rPr>
        <w:t>(Chapters</w:t>
      </w:r>
      <w:r>
        <w:rPr>
          <w:color w:val="231F20"/>
          <w:spacing w:val="35"/>
        </w:rPr>
        <w:t xml:space="preserve"> </w:t>
      </w:r>
      <w:r>
        <w:rPr>
          <w:color w:val="231F20"/>
          <w:w w:val="95"/>
        </w:rPr>
        <w:t>2–4)</w:t>
      </w:r>
      <w:r>
        <w:rPr>
          <w:color w:val="231F20"/>
          <w:spacing w:val="35"/>
        </w:rPr>
        <w:t xml:space="preserve"> </w:t>
      </w:r>
      <w:r>
        <w:rPr>
          <w:color w:val="231F20"/>
          <w:w w:val="95"/>
        </w:rPr>
        <w:t>that</w:t>
      </w:r>
      <w:r>
        <w:rPr>
          <w:color w:val="231F20"/>
          <w:spacing w:val="34"/>
        </w:rPr>
        <w:t xml:space="preserve"> </w:t>
      </w:r>
      <w:r>
        <w:rPr>
          <w:color w:val="231F20"/>
          <w:w w:val="95"/>
        </w:rPr>
        <w:t>addressed</w:t>
      </w:r>
      <w:r>
        <w:rPr>
          <w:color w:val="231F20"/>
          <w:spacing w:val="36"/>
        </w:rPr>
        <w:t xml:space="preserve"> </w:t>
      </w:r>
      <w:r>
        <w:rPr>
          <w:color w:val="231F20"/>
          <w:w w:val="95"/>
        </w:rPr>
        <w:t>conceptual</w:t>
      </w:r>
      <w:r>
        <w:rPr>
          <w:color w:val="231F20"/>
          <w:spacing w:val="34"/>
        </w:rPr>
        <w:t xml:space="preserve"> </w:t>
      </w:r>
      <w:r>
        <w:rPr>
          <w:color w:val="231F20"/>
          <w:spacing w:val="-2"/>
          <w:w w:val="95"/>
        </w:rPr>
        <w:t>foundations</w:t>
      </w:r>
    </w:p>
    <w:p w14:paraId="112D6A7F" w14:textId="77777777" w:rsidR="00AE0598" w:rsidRDefault="00AE0598">
      <w:pPr>
        <w:spacing w:line="232" w:lineRule="auto"/>
        <w:jc w:val="both"/>
        <w:sectPr w:rsidR="00AE0598">
          <w:pgSz w:w="8850" w:h="13270"/>
          <w:pgMar w:top="720" w:right="1060" w:bottom="280" w:left="1080" w:header="720" w:footer="720" w:gutter="0"/>
          <w:cols w:space="720"/>
        </w:sectPr>
      </w:pPr>
    </w:p>
    <w:p w14:paraId="165B56D4" w14:textId="77777777" w:rsidR="00AE0598" w:rsidRDefault="0069255A">
      <w:pPr>
        <w:spacing w:before="87"/>
        <w:ind w:left="3642"/>
        <w:rPr>
          <w:rFonts w:ascii="Trebuchet MS"/>
          <w:sz w:val="14"/>
        </w:rPr>
      </w:pPr>
      <w:r>
        <w:rPr>
          <w:rFonts w:ascii="Trebuchet MS"/>
          <w:color w:val="231F20"/>
          <w:w w:val="105"/>
          <w:sz w:val="14"/>
        </w:rPr>
        <w:lastRenderedPageBreak/>
        <w:t>Shifting</w:t>
      </w:r>
      <w:r>
        <w:rPr>
          <w:rFonts w:ascii="Trebuchet MS"/>
          <w:color w:val="231F20"/>
          <w:spacing w:val="-3"/>
          <w:w w:val="105"/>
          <w:sz w:val="14"/>
        </w:rPr>
        <w:t xml:space="preserve"> </w:t>
      </w:r>
      <w:r>
        <w:rPr>
          <w:rFonts w:ascii="Trebuchet MS"/>
          <w:color w:val="231F20"/>
          <w:w w:val="105"/>
          <w:sz w:val="14"/>
        </w:rPr>
        <w:t>Goal</w:t>
      </w:r>
      <w:r>
        <w:rPr>
          <w:rFonts w:ascii="Trebuchet MS"/>
          <w:color w:val="231F20"/>
          <w:spacing w:val="-3"/>
          <w:w w:val="105"/>
          <w:sz w:val="14"/>
        </w:rPr>
        <w:t xml:space="preserve"> </w:t>
      </w:r>
      <w:r>
        <w:rPr>
          <w:rFonts w:ascii="Trebuchet MS"/>
          <w:color w:val="231F20"/>
          <w:w w:val="105"/>
          <w:sz w:val="14"/>
        </w:rPr>
        <w:t>Posts</w:t>
      </w:r>
      <w:r>
        <w:rPr>
          <w:rFonts w:ascii="Trebuchet MS"/>
          <w:color w:val="231F20"/>
          <w:spacing w:val="-3"/>
          <w:w w:val="105"/>
          <w:sz w:val="14"/>
        </w:rPr>
        <w:t xml:space="preserve"> </w:t>
      </w:r>
      <w:r>
        <w:rPr>
          <w:rFonts w:ascii="Trebuchet MS"/>
          <w:color w:val="231F20"/>
          <w:w w:val="105"/>
          <w:sz w:val="14"/>
        </w:rPr>
        <w:t>and</w:t>
      </w:r>
      <w:r>
        <w:rPr>
          <w:rFonts w:ascii="Trebuchet MS"/>
          <w:color w:val="231F20"/>
          <w:spacing w:val="-3"/>
          <w:w w:val="105"/>
          <w:sz w:val="14"/>
        </w:rPr>
        <w:t xml:space="preserve"> </w:t>
      </w:r>
      <w:r>
        <w:rPr>
          <w:rFonts w:ascii="Trebuchet MS"/>
          <w:color w:val="231F20"/>
          <w:w w:val="105"/>
          <w:sz w:val="14"/>
        </w:rPr>
        <w:t>Moving</w:t>
      </w:r>
      <w:r>
        <w:rPr>
          <w:rFonts w:ascii="Trebuchet MS"/>
          <w:color w:val="231F20"/>
          <w:spacing w:val="-2"/>
          <w:w w:val="105"/>
          <w:sz w:val="14"/>
        </w:rPr>
        <w:t xml:space="preserve"> </w:t>
      </w:r>
      <w:r>
        <w:rPr>
          <w:rFonts w:ascii="Trebuchet MS"/>
          <w:color w:val="231F20"/>
          <w:w w:val="105"/>
          <w:sz w:val="14"/>
        </w:rPr>
        <w:t>Targets</w:t>
      </w:r>
      <w:r>
        <w:rPr>
          <w:rFonts w:ascii="Trebuchet MS"/>
          <w:color w:val="231F20"/>
          <w:spacing w:val="31"/>
          <w:w w:val="105"/>
          <w:sz w:val="14"/>
        </w:rPr>
        <w:t xml:space="preserve">  </w:t>
      </w:r>
      <w:r>
        <w:rPr>
          <w:rFonts w:ascii="Trebuchet MS"/>
          <w:color w:val="231F20"/>
          <w:spacing w:val="-5"/>
          <w:w w:val="105"/>
          <w:sz w:val="14"/>
        </w:rPr>
        <w:t>229</w:t>
      </w:r>
    </w:p>
    <w:p w14:paraId="491EC630" w14:textId="77777777" w:rsidR="00AE0598" w:rsidRDefault="00AE0598">
      <w:pPr>
        <w:pStyle w:val="Corpodetexto"/>
        <w:rPr>
          <w:rFonts w:ascii="Trebuchet MS"/>
          <w:sz w:val="16"/>
        </w:rPr>
      </w:pPr>
    </w:p>
    <w:p w14:paraId="3CA6065A" w14:textId="77777777" w:rsidR="00AE0598" w:rsidRDefault="0069255A">
      <w:pPr>
        <w:pStyle w:val="Corpodetexto"/>
        <w:spacing w:before="118" w:line="232" w:lineRule="auto"/>
        <w:ind w:left="110" w:right="125"/>
        <w:jc w:val="both"/>
      </w:pPr>
      <w:r>
        <w:rPr>
          <w:color w:val="231F20"/>
        </w:rPr>
        <w:t xml:space="preserve">for the study of sport and tourism (Chapter 2), sport tourism markets (Chapter 3) and development processes for sustainable sport tourism </w:t>
      </w:r>
      <w:r>
        <w:rPr>
          <w:color w:val="231F20"/>
          <w:w w:val="95"/>
        </w:rPr>
        <w:t>(Chapter</w:t>
      </w:r>
      <w:r>
        <w:rPr>
          <w:color w:val="231F20"/>
          <w:spacing w:val="-1"/>
          <w:w w:val="95"/>
        </w:rPr>
        <w:t xml:space="preserve"> </w:t>
      </w:r>
      <w:r>
        <w:rPr>
          <w:color w:val="231F20"/>
          <w:w w:val="95"/>
        </w:rPr>
        <w:t>4).</w:t>
      </w:r>
      <w:r>
        <w:rPr>
          <w:color w:val="231F20"/>
          <w:spacing w:val="-2"/>
          <w:w w:val="95"/>
        </w:rPr>
        <w:t xml:space="preserve"> </w:t>
      </w:r>
      <w:r>
        <w:rPr>
          <w:color w:val="231F20"/>
          <w:w w:val="95"/>
        </w:rPr>
        <w:t>These</w:t>
      </w:r>
      <w:r>
        <w:rPr>
          <w:color w:val="231F20"/>
          <w:spacing w:val="-1"/>
          <w:w w:val="95"/>
        </w:rPr>
        <w:t xml:space="preserve"> </w:t>
      </w:r>
      <w:r>
        <w:rPr>
          <w:color w:val="231F20"/>
          <w:w w:val="95"/>
        </w:rPr>
        <w:t>framing</w:t>
      </w:r>
      <w:r>
        <w:rPr>
          <w:color w:val="231F20"/>
          <w:spacing w:val="-1"/>
          <w:w w:val="95"/>
        </w:rPr>
        <w:t xml:space="preserve"> </w:t>
      </w:r>
      <w:r>
        <w:rPr>
          <w:color w:val="231F20"/>
          <w:w w:val="95"/>
        </w:rPr>
        <w:t>chapters</w:t>
      </w:r>
      <w:r>
        <w:rPr>
          <w:color w:val="231F20"/>
          <w:spacing w:val="-1"/>
          <w:w w:val="95"/>
        </w:rPr>
        <w:t xml:space="preserve"> </w:t>
      </w:r>
      <w:r>
        <w:rPr>
          <w:color w:val="231F20"/>
          <w:w w:val="95"/>
        </w:rPr>
        <w:t>served</w:t>
      </w:r>
      <w:r>
        <w:rPr>
          <w:color w:val="231F20"/>
          <w:spacing w:val="-2"/>
          <w:w w:val="95"/>
        </w:rPr>
        <w:t xml:space="preserve"> </w:t>
      </w:r>
      <w:r>
        <w:rPr>
          <w:color w:val="231F20"/>
          <w:w w:val="95"/>
        </w:rPr>
        <w:t>as</w:t>
      </w:r>
      <w:r>
        <w:rPr>
          <w:color w:val="231F20"/>
          <w:spacing w:val="-1"/>
          <w:w w:val="95"/>
        </w:rPr>
        <w:t xml:space="preserve"> </w:t>
      </w:r>
      <w:r>
        <w:rPr>
          <w:color w:val="231F20"/>
          <w:w w:val="95"/>
        </w:rPr>
        <w:t>a</w:t>
      </w:r>
      <w:r>
        <w:rPr>
          <w:color w:val="231F20"/>
          <w:spacing w:val="-1"/>
          <w:w w:val="95"/>
        </w:rPr>
        <w:t xml:space="preserve"> </w:t>
      </w:r>
      <w:r>
        <w:rPr>
          <w:color w:val="231F20"/>
          <w:w w:val="95"/>
        </w:rPr>
        <w:t>foundation</w:t>
      </w:r>
      <w:r>
        <w:rPr>
          <w:color w:val="231F20"/>
          <w:spacing w:val="-2"/>
          <w:w w:val="95"/>
        </w:rPr>
        <w:t xml:space="preserve"> </w:t>
      </w:r>
      <w:r>
        <w:rPr>
          <w:color w:val="231F20"/>
          <w:w w:val="95"/>
        </w:rPr>
        <w:t>for</w:t>
      </w:r>
      <w:r>
        <w:rPr>
          <w:color w:val="231F20"/>
          <w:spacing w:val="-1"/>
          <w:w w:val="95"/>
        </w:rPr>
        <w:t xml:space="preserve"> </w:t>
      </w:r>
      <w:r>
        <w:rPr>
          <w:color w:val="231F20"/>
          <w:w w:val="95"/>
        </w:rPr>
        <w:t>the</w:t>
      </w:r>
      <w:r>
        <w:rPr>
          <w:color w:val="231F20"/>
          <w:spacing w:val="-1"/>
          <w:w w:val="95"/>
        </w:rPr>
        <w:t xml:space="preserve"> </w:t>
      </w:r>
      <w:r>
        <w:rPr>
          <w:color w:val="231F20"/>
          <w:w w:val="95"/>
        </w:rPr>
        <w:t xml:space="preserve">chapters </w:t>
      </w:r>
      <w:r>
        <w:rPr>
          <w:color w:val="231F20"/>
        </w:rPr>
        <w:t>that followed which were organised into tw</w:t>
      </w:r>
      <w:r>
        <w:rPr>
          <w:color w:val="231F20"/>
        </w:rPr>
        <w:t xml:space="preserve">o major parts. Chapters 5–7 addressed the spatial dimensions of sport tourism, which included the </w:t>
      </w:r>
      <w:r>
        <w:rPr>
          <w:color w:val="231F20"/>
          <w:w w:val="95"/>
        </w:rPr>
        <w:t xml:space="preserve">geographical concepts of space (location and travel flows), place (sport and culture) and environment (landscape, resources and impacts), respectively. </w:t>
      </w:r>
      <w:r>
        <w:rPr>
          <w:color w:val="231F20"/>
        </w:rPr>
        <w:t>Chapte</w:t>
      </w:r>
      <w:r>
        <w:rPr>
          <w:color w:val="231F20"/>
        </w:rPr>
        <w:t>rs</w:t>
      </w:r>
      <w:r>
        <w:rPr>
          <w:color w:val="231F20"/>
          <w:spacing w:val="-9"/>
        </w:rPr>
        <w:t xml:space="preserve"> </w:t>
      </w:r>
      <w:r>
        <w:rPr>
          <w:color w:val="231F20"/>
        </w:rPr>
        <w:t>8–10</w:t>
      </w:r>
      <w:r>
        <w:rPr>
          <w:color w:val="231F20"/>
          <w:spacing w:val="-9"/>
        </w:rPr>
        <w:t xml:space="preserve"> </w:t>
      </w:r>
      <w:r>
        <w:rPr>
          <w:color w:val="231F20"/>
        </w:rPr>
        <w:t>then</w:t>
      </w:r>
      <w:r>
        <w:rPr>
          <w:color w:val="231F20"/>
          <w:spacing w:val="-9"/>
        </w:rPr>
        <w:t xml:space="preserve"> </w:t>
      </w:r>
      <w:r>
        <w:rPr>
          <w:color w:val="231F20"/>
        </w:rPr>
        <w:t>addressed</w:t>
      </w:r>
      <w:r>
        <w:rPr>
          <w:color w:val="231F20"/>
          <w:spacing w:val="-9"/>
        </w:rPr>
        <w:t xml:space="preserve"> </w:t>
      </w:r>
      <w:r>
        <w:rPr>
          <w:color w:val="231F20"/>
        </w:rPr>
        <w:t>the</w:t>
      </w:r>
      <w:r>
        <w:rPr>
          <w:color w:val="231F20"/>
          <w:spacing w:val="-9"/>
        </w:rPr>
        <w:t xml:space="preserve"> </w:t>
      </w:r>
      <w:r>
        <w:rPr>
          <w:color w:val="231F20"/>
        </w:rPr>
        <w:t>temporal</w:t>
      </w:r>
      <w:r>
        <w:rPr>
          <w:color w:val="231F20"/>
          <w:spacing w:val="-9"/>
        </w:rPr>
        <w:t xml:space="preserve"> </w:t>
      </w:r>
      <w:r>
        <w:rPr>
          <w:color w:val="231F20"/>
        </w:rPr>
        <w:t>dimensions</w:t>
      </w:r>
      <w:r>
        <w:rPr>
          <w:color w:val="231F20"/>
          <w:spacing w:val="-9"/>
        </w:rPr>
        <w:t xml:space="preserve"> </w:t>
      </w:r>
      <w:r>
        <w:rPr>
          <w:color w:val="231F20"/>
        </w:rPr>
        <w:t>of</w:t>
      </w:r>
      <w:r>
        <w:rPr>
          <w:color w:val="231F20"/>
          <w:spacing w:val="-9"/>
        </w:rPr>
        <w:t xml:space="preserve"> </w:t>
      </w:r>
      <w:r>
        <w:rPr>
          <w:color w:val="231F20"/>
        </w:rPr>
        <w:t>sport</w:t>
      </w:r>
      <w:r>
        <w:rPr>
          <w:color w:val="231F20"/>
          <w:spacing w:val="-9"/>
        </w:rPr>
        <w:t xml:space="preserve"> </w:t>
      </w:r>
      <w:r>
        <w:rPr>
          <w:color w:val="231F20"/>
        </w:rPr>
        <w:t xml:space="preserve">tourism </w:t>
      </w:r>
      <w:r>
        <w:rPr>
          <w:color w:val="231F20"/>
          <w:w w:val="95"/>
        </w:rPr>
        <w:t>by considering the short-term (sport and the tourist experience), medium- term (seasonality, sport and tourism) and long-term (evolutionary trends</w:t>
      </w:r>
      <w:r>
        <w:rPr>
          <w:color w:val="231F20"/>
          <w:spacing w:val="80"/>
        </w:rPr>
        <w:t xml:space="preserve"> </w:t>
      </w:r>
      <w:r>
        <w:rPr>
          <w:color w:val="231F20"/>
        </w:rPr>
        <w:t>in</w:t>
      </w:r>
      <w:r>
        <w:rPr>
          <w:color w:val="231F20"/>
          <w:spacing w:val="-2"/>
        </w:rPr>
        <w:t xml:space="preserve"> </w:t>
      </w:r>
      <w:r>
        <w:rPr>
          <w:color w:val="231F20"/>
        </w:rPr>
        <w:t>sport</w:t>
      </w:r>
      <w:r>
        <w:rPr>
          <w:color w:val="231F20"/>
          <w:spacing w:val="-3"/>
        </w:rPr>
        <w:t xml:space="preserve"> </w:t>
      </w:r>
      <w:r>
        <w:rPr>
          <w:color w:val="231F20"/>
        </w:rPr>
        <w:t>tourism)</w:t>
      </w:r>
      <w:r>
        <w:rPr>
          <w:color w:val="231F20"/>
          <w:spacing w:val="-2"/>
        </w:rPr>
        <w:t xml:space="preserve"> </w:t>
      </w:r>
      <w:r>
        <w:rPr>
          <w:color w:val="231F20"/>
        </w:rPr>
        <w:t>temporal</w:t>
      </w:r>
      <w:r>
        <w:rPr>
          <w:color w:val="231F20"/>
          <w:spacing w:val="-2"/>
        </w:rPr>
        <w:t xml:space="preserve"> </w:t>
      </w:r>
      <w:r>
        <w:rPr>
          <w:color w:val="231F20"/>
        </w:rPr>
        <w:t>frames,</w:t>
      </w:r>
      <w:r>
        <w:rPr>
          <w:color w:val="231F20"/>
          <w:spacing w:val="-3"/>
        </w:rPr>
        <w:t xml:space="preserve"> </w:t>
      </w:r>
      <w:r>
        <w:rPr>
          <w:color w:val="231F20"/>
        </w:rPr>
        <w:t>respectively.</w:t>
      </w:r>
    </w:p>
    <w:p w14:paraId="484E83DC" w14:textId="77777777" w:rsidR="00AE0598" w:rsidRDefault="0069255A">
      <w:pPr>
        <w:pStyle w:val="Corpodetexto"/>
        <w:spacing w:before="13" w:line="232" w:lineRule="auto"/>
        <w:ind w:left="110" w:right="124" w:firstLine="320"/>
        <w:jc w:val="both"/>
      </w:pPr>
      <w:r>
        <w:rPr>
          <w:color w:val="231F20"/>
        </w:rPr>
        <w:t>The study of sport tourism development provides varied and i</w:t>
      </w:r>
      <w:r>
        <w:rPr>
          <w:color w:val="231F20"/>
        </w:rPr>
        <w:t>mportant</w:t>
      </w:r>
      <w:r>
        <w:rPr>
          <w:color w:val="231F20"/>
          <w:spacing w:val="-10"/>
        </w:rPr>
        <w:t xml:space="preserve"> </w:t>
      </w:r>
      <w:r>
        <w:rPr>
          <w:color w:val="231F20"/>
        </w:rPr>
        <w:t>insights</w:t>
      </w:r>
      <w:r>
        <w:rPr>
          <w:color w:val="231F20"/>
          <w:spacing w:val="-10"/>
        </w:rPr>
        <w:t xml:space="preserve"> </w:t>
      </w:r>
      <w:r>
        <w:rPr>
          <w:color w:val="231F20"/>
        </w:rPr>
        <w:t>into</w:t>
      </w:r>
      <w:r>
        <w:rPr>
          <w:color w:val="231F20"/>
          <w:spacing w:val="-10"/>
        </w:rPr>
        <w:t xml:space="preserve"> </w:t>
      </w:r>
      <w:r>
        <w:rPr>
          <w:color w:val="231F20"/>
        </w:rPr>
        <w:t>the</w:t>
      </w:r>
      <w:r>
        <w:rPr>
          <w:color w:val="231F20"/>
          <w:spacing w:val="-10"/>
        </w:rPr>
        <w:t xml:space="preserve"> </w:t>
      </w:r>
      <w:r>
        <w:rPr>
          <w:color w:val="231F20"/>
        </w:rPr>
        <w:t>ways</w:t>
      </w:r>
      <w:r>
        <w:rPr>
          <w:color w:val="231F20"/>
          <w:spacing w:val="-10"/>
        </w:rPr>
        <w:t xml:space="preserve"> </w:t>
      </w:r>
      <w:r>
        <w:rPr>
          <w:color w:val="231F20"/>
        </w:rPr>
        <w:t>in</w:t>
      </w:r>
      <w:r>
        <w:rPr>
          <w:color w:val="231F20"/>
          <w:spacing w:val="-10"/>
        </w:rPr>
        <w:t xml:space="preserve"> </w:t>
      </w:r>
      <w:r>
        <w:rPr>
          <w:color w:val="231F20"/>
        </w:rPr>
        <w:t>which</w:t>
      </w:r>
      <w:r>
        <w:rPr>
          <w:color w:val="231F20"/>
          <w:spacing w:val="-10"/>
        </w:rPr>
        <w:t xml:space="preserve"> </w:t>
      </w:r>
      <w:r>
        <w:rPr>
          <w:color w:val="231F20"/>
        </w:rPr>
        <w:t>this</w:t>
      </w:r>
      <w:r>
        <w:rPr>
          <w:color w:val="231F20"/>
          <w:spacing w:val="-10"/>
        </w:rPr>
        <w:t xml:space="preserve"> </w:t>
      </w:r>
      <w:r>
        <w:rPr>
          <w:color w:val="231F20"/>
        </w:rPr>
        <w:t>phenomenon</w:t>
      </w:r>
      <w:r>
        <w:rPr>
          <w:color w:val="231F20"/>
          <w:spacing w:val="-10"/>
        </w:rPr>
        <w:t xml:space="preserve"> </w:t>
      </w:r>
      <w:r>
        <w:rPr>
          <w:color w:val="231F20"/>
        </w:rPr>
        <w:t>has</w:t>
      </w:r>
      <w:r>
        <w:rPr>
          <w:color w:val="231F20"/>
          <w:spacing w:val="-10"/>
        </w:rPr>
        <w:t xml:space="preserve"> </w:t>
      </w:r>
      <w:r>
        <w:rPr>
          <w:color w:val="231F20"/>
        </w:rPr>
        <w:t>changed, and continues to change, across space and time. Chapter 1 raised three fundamental</w:t>
      </w:r>
      <w:r>
        <w:rPr>
          <w:color w:val="231F20"/>
          <w:spacing w:val="-5"/>
        </w:rPr>
        <w:t xml:space="preserve"> </w:t>
      </w:r>
      <w:r>
        <w:rPr>
          <w:color w:val="231F20"/>
        </w:rPr>
        <w:t>questions:</w:t>
      </w:r>
      <w:r>
        <w:rPr>
          <w:color w:val="231F20"/>
          <w:spacing w:val="-5"/>
        </w:rPr>
        <w:t xml:space="preserve"> </w:t>
      </w:r>
      <w:r>
        <w:rPr>
          <w:color w:val="231F20"/>
        </w:rPr>
        <w:t>‘What</w:t>
      </w:r>
      <w:r>
        <w:rPr>
          <w:color w:val="231F20"/>
          <w:spacing w:val="-5"/>
        </w:rPr>
        <w:t xml:space="preserve"> </w:t>
      </w:r>
      <w:r>
        <w:rPr>
          <w:color w:val="231F20"/>
        </w:rPr>
        <w:t>makes</w:t>
      </w:r>
      <w:r>
        <w:rPr>
          <w:color w:val="231F20"/>
          <w:spacing w:val="-5"/>
        </w:rPr>
        <w:t xml:space="preserve"> </w:t>
      </w:r>
      <w:r>
        <w:rPr>
          <w:color w:val="231F20"/>
        </w:rPr>
        <w:t>sport</w:t>
      </w:r>
      <w:r>
        <w:rPr>
          <w:color w:val="231F20"/>
          <w:spacing w:val="-5"/>
        </w:rPr>
        <w:t xml:space="preserve"> </w:t>
      </w:r>
      <w:r>
        <w:rPr>
          <w:color w:val="231F20"/>
        </w:rPr>
        <w:t>unique</w:t>
      </w:r>
      <w:r>
        <w:rPr>
          <w:color w:val="231F20"/>
          <w:spacing w:val="-5"/>
        </w:rPr>
        <w:t xml:space="preserve"> </w:t>
      </w:r>
      <w:r>
        <w:rPr>
          <w:color w:val="231F20"/>
        </w:rPr>
        <w:t>as</w:t>
      </w:r>
      <w:r>
        <w:rPr>
          <w:color w:val="231F20"/>
          <w:spacing w:val="-5"/>
        </w:rPr>
        <w:t xml:space="preserve"> </w:t>
      </w:r>
      <w:r>
        <w:rPr>
          <w:color w:val="231F20"/>
        </w:rPr>
        <w:t>a</w:t>
      </w:r>
      <w:r>
        <w:rPr>
          <w:color w:val="231F20"/>
          <w:spacing w:val="-5"/>
        </w:rPr>
        <w:t xml:space="preserve"> </w:t>
      </w:r>
      <w:r>
        <w:rPr>
          <w:color w:val="231F20"/>
        </w:rPr>
        <w:t>focus</w:t>
      </w:r>
      <w:r>
        <w:rPr>
          <w:color w:val="231F20"/>
          <w:spacing w:val="-5"/>
        </w:rPr>
        <w:t xml:space="preserve"> </w:t>
      </w:r>
      <w:r>
        <w:rPr>
          <w:color w:val="231F20"/>
        </w:rPr>
        <w:t>for</w:t>
      </w:r>
      <w:r>
        <w:rPr>
          <w:color w:val="231F20"/>
          <w:spacing w:val="-5"/>
        </w:rPr>
        <w:t xml:space="preserve"> </w:t>
      </w:r>
      <w:r>
        <w:rPr>
          <w:color w:val="231F20"/>
        </w:rPr>
        <w:t>tourism development?’, ‘How is sport tourism manifes</w:t>
      </w:r>
      <w:r>
        <w:rPr>
          <w:color w:val="231F20"/>
        </w:rPr>
        <w:t xml:space="preserve">t in space?’ and ‘How do </w:t>
      </w:r>
      <w:r>
        <w:rPr>
          <w:color w:val="231F20"/>
          <w:w w:val="95"/>
        </w:rPr>
        <w:t xml:space="preserve">these manifestations change over time?’. In addressing these questions, an objective of this book was to capture and critically analyse the increasingly diverse manifestations of sport tourism development. Expanding personal </w:t>
      </w:r>
      <w:r>
        <w:rPr>
          <w:color w:val="231F20"/>
        </w:rPr>
        <w:t>mobili</w:t>
      </w:r>
      <w:r>
        <w:rPr>
          <w:color w:val="231F20"/>
        </w:rPr>
        <w:t xml:space="preserve">ties and increasingly diverse engagements in sport are such that </w:t>
      </w:r>
      <w:r>
        <w:rPr>
          <w:color w:val="231F20"/>
          <w:w w:val="95"/>
        </w:rPr>
        <w:t>the intersection of the two has become an area of considerable researcher interest (Gibson, 2004; Glyptis, 1982; Maguire, 1993, 1994; Standeven &amp;</w:t>
      </w:r>
      <w:r>
        <w:rPr>
          <w:color w:val="231F20"/>
          <w:spacing w:val="80"/>
          <w:w w:val="150"/>
        </w:rPr>
        <w:t xml:space="preserve"> </w:t>
      </w:r>
      <w:r>
        <w:rPr>
          <w:color w:val="231F20"/>
        </w:rPr>
        <w:t xml:space="preserve">De Knop, 1999; Weed &amp; Bull, 2004). There has </w:t>
      </w:r>
      <w:r>
        <w:rPr>
          <w:color w:val="231F20"/>
        </w:rPr>
        <w:t>been an enduring focus</w:t>
      </w:r>
      <w:r>
        <w:rPr>
          <w:color w:val="231F20"/>
          <w:spacing w:val="40"/>
        </w:rPr>
        <w:t xml:space="preserve"> </w:t>
      </w:r>
      <w:r>
        <w:rPr>
          <w:color w:val="231F20"/>
        </w:rPr>
        <w:t xml:space="preserve">of scholars on sports mega-events (Getz, 1997; Ritchie, 1984), but it has </w:t>
      </w:r>
      <w:r>
        <w:rPr>
          <w:color w:val="231F20"/>
          <w:w w:val="95"/>
        </w:rPr>
        <w:t xml:space="preserve">been our longstanding contention that sport tourism phenomena not only </w:t>
      </w:r>
      <w:r>
        <w:rPr>
          <w:color w:val="231F20"/>
        </w:rPr>
        <w:t>include</w:t>
      </w:r>
      <w:r>
        <w:rPr>
          <w:color w:val="231F20"/>
          <w:spacing w:val="-4"/>
        </w:rPr>
        <w:t xml:space="preserve"> </w:t>
      </w:r>
      <w:r>
        <w:rPr>
          <w:color w:val="231F20"/>
        </w:rPr>
        <w:t>but</w:t>
      </w:r>
      <w:r>
        <w:rPr>
          <w:color w:val="231F20"/>
          <w:spacing w:val="-4"/>
        </w:rPr>
        <w:t xml:space="preserve"> </w:t>
      </w:r>
      <w:r>
        <w:rPr>
          <w:color w:val="231F20"/>
        </w:rPr>
        <w:t>also</w:t>
      </w:r>
      <w:r>
        <w:rPr>
          <w:color w:val="231F20"/>
          <w:spacing w:val="-4"/>
        </w:rPr>
        <w:t xml:space="preserve"> </w:t>
      </w:r>
      <w:r>
        <w:rPr>
          <w:color w:val="231F20"/>
        </w:rPr>
        <w:t>extend</w:t>
      </w:r>
      <w:r>
        <w:rPr>
          <w:color w:val="231F20"/>
          <w:spacing w:val="-4"/>
        </w:rPr>
        <w:t xml:space="preserve"> </w:t>
      </w:r>
      <w:r>
        <w:rPr>
          <w:color w:val="231F20"/>
        </w:rPr>
        <w:t>far</w:t>
      </w:r>
      <w:r>
        <w:rPr>
          <w:color w:val="231F20"/>
          <w:spacing w:val="-4"/>
        </w:rPr>
        <w:t xml:space="preserve"> </w:t>
      </w:r>
      <w:r>
        <w:rPr>
          <w:color w:val="231F20"/>
        </w:rPr>
        <w:t>beyond</w:t>
      </w:r>
      <w:r>
        <w:rPr>
          <w:color w:val="231F20"/>
          <w:spacing w:val="-4"/>
        </w:rPr>
        <w:t xml:space="preserve"> </w:t>
      </w:r>
      <w:r>
        <w:rPr>
          <w:color w:val="231F20"/>
        </w:rPr>
        <w:t>spectator</w:t>
      </w:r>
      <w:r>
        <w:rPr>
          <w:color w:val="231F20"/>
          <w:spacing w:val="-4"/>
        </w:rPr>
        <w:t xml:space="preserve"> </w:t>
      </w:r>
      <w:r>
        <w:rPr>
          <w:color w:val="231F20"/>
        </w:rPr>
        <w:t>events.</w:t>
      </w:r>
      <w:r>
        <w:rPr>
          <w:color w:val="231F20"/>
          <w:spacing w:val="-4"/>
        </w:rPr>
        <w:t xml:space="preserve"> </w:t>
      </w:r>
      <w:r>
        <w:rPr>
          <w:color w:val="231F20"/>
        </w:rPr>
        <w:t>Indeed,</w:t>
      </w:r>
      <w:r>
        <w:rPr>
          <w:color w:val="231F20"/>
          <w:spacing w:val="-4"/>
        </w:rPr>
        <w:t xml:space="preserve"> </w:t>
      </w:r>
      <w:r>
        <w:rPr>
          <w:color w:val="231F20"/>
        </w:rPr>
        <w:t xml:space="preserve">Cornelissen (2004: 40) notes ‘since the vast majority of mega-events are hosted by </w:t>
      </w:r>
      <w:r>
        <w:rPr>
          <w:color w:val="231F20"/>
          <w:w w:val="95"/>
        </w:rPr>
        <w:t xml:space="preserve">industrialized states, discourse and research on the processes and impacts </w:t>
      </w:r>
      <w:r>
        <w:rPr>
          <w:color w:val="231F20"/>
        </w:rPr>
        <w:t xml:space="preserve">of these events tend to be framed around the economic and political </w:t>
      </w:r>
      <w:r>
        <w:rPr>
          <w:color w:val="231F20"/>
          <w:w w:val="95"/>
        </w:rPr>
        <w:t>circumstances characteristic t</w:t>
      </w:r>
      <w:r>
        <w:rPr>
          <w:color w:val="231F20"/>
          <w:w w:val="95"/>
        </w:rPr>
        <w:t xml:space="preserve">o the developed world’. In this book, we draw </w:t>
      </w:r>
      <w:r>
        <w:rPr>
          <w:color w:val="231F20"/>
        </w:rPr>
        <w:t xml:space="preserve">attention to the wider manifestations of sport, and the need for critical </w:t>
      </w:r>
      <w:r>
        <w:rPr>
          <w:color w:val="231F20"/>
          <w:w w:val="95"/>
        </w:rPr>
        <w:t>scholarly work that embraces the broad diversity of sport-related tourism.</w:t>
      </w:r>
    </w:p>
    <w:p w14:paraId="07256E9C" w14:textId="77777777" w:rsidR="00AE0598" w:rsidRDefault="00AE0598">
      <w:pPr>
        <w:pStyle w:val="Corpodetexto"/>
        <w:spacing w:before="7"/>
        <w:rPr>
          <w:sz w:val="31"/>
        </w:rPr>
      </w:pPr>
    </w:p>
    <w:p w14:paraId="4211086D" w14:textId="77777777" w:rsidR="00AE0598" w:rsidRDefault="0069255A">
      <w:pPr>
        <w:ind w:left="110"/>
        <w:jc w:val="both"/>
        <w:rPr>
          <w:rFonts w:ascii="Trebuchet MS"/>
          <w:b/>
          <w:sz w:val="20"/>
        </w:rPr>
      </w:pPr>
      <w:r>
        <w:rPr>
          <w:rFonts w:ascii="Trebuchet MS"/>
          <w:b/>
          <w:color w:val="231F20"/>
          <w:sz w:val="20"/>
        </w:rPr>
        <w:t>Foundations</w:t>
      </w:r>
      <w:r>
        <w:rPr>
          <w:rFonts w:ascii="Trebuchet MS"/>
          <w:b/>
          <w:color w:val="231F20"/>
          <w:spacing w:val="2"/>
          <w:sz w:val="20"/>
        </w:rPr>
        <w:t xml:space="preserve"> </w:t>
      </w:r>
      <w:r>
        <w:rPr>
          <w:rFonts w:ascii="Trebuchet MS"/>
          <w:b/>
          <w:color w:val="231F20"/>
          <w:sz w:val="20"/>
        </w:rPr>
        <w:t>for</w:t>
      </w:r>
      <w:r>
        <w:rPr>
          <w:rFonts w:ascii="Trebuchet MS"/>
          <w:b/>
          <w:color w:val="231F20"/>
          <w:spacing w:val="2"/>
          <w:sz w:val="20"/>
        </w:rPr>
        <w:t xml:space="preserve"> </w:t>
      </w:r>
      <w:r>
        <w:rPr>
          <w:rFonts w:ascii="Trebuchet MS"/>
          <w:b/>
          <w:color w:val="231F20"/>
          <w:sz w:val="20"/>
        </w:rPr>
        <w:t>Sport</w:t>
      </w:r>
      <w:r>
        <w:rPr>
          <w:rFonts w:ascii="Trebuchet MS"/>
          <w:b/>
          <w:color w:val="231F20"/>
          <w:spacing w:val="2"/>
          <w:sz w:val="20"/>
        </w:rPr>
        <w:t xml:space="preserve"> </w:t>
      </w:r>
      <w:r>
        <w:rPr>
          <w:rFonts w:ascii="Trebuchet MS"/>
          <w:b/>
          <w:color w:val="231F20"/>
          <w:sz w:val="20"/>
        </w:rPr>
        <w:t>Tourism</w:t>
      </w:r>
      <w:r>
        <w:rPr>
          <w:rFonts w:ascii="Trebuchet MS"/>
          <w:b/>
          <w:color w:val="231F20"/>
          <w:spacing w:val="2"/>
          <w:sz w:val="20"/>
        </w:rPr>
        <w:t xml:space="preserve"> </w:t>
      </w:r>
      <w:r>
        <w:rPr>
          <w:rFonts w:ascii="Trebuchet MS"/>
          <w:b/>
          <w:color w:val="231F20"/>
          <w:spacing w:val="-2"/>
          <w:sz w:val="20"/>
        </w:rPr>
        <w:t>Development</w:t>
      </w:r>
    </w:p>
    <w:p w14:paraId="227D0874" w14:textId="77777777" w:rsidR="00AE0598" w:rsidRDefault="0069255A">
      <w:pPr>
        <w:pStyle w:val="Corpodetexto"/>
        <w:spacing w:before="122" w:line="232" w:lineRule="auto"/>
        <w:ind w:left="110" w:right="126" w:firstLine="320"/>
        <w:jc w:val="both"/>
      </w:pPr>
      <w:r>
        <w:rPr>
          <w:color w:val="231F20"/>
        </w:rPr>
        <w:t>The study of sport</w:t>
      </w:r>
      <w:r>
        <w:rPr>
          <w:color w:val="231F20"/>
        </w:rPr>
        <w:t xml:space="preserve"> tourism development requires a foundation that </w:t>
      </w:r>
      <w:r>
        <w:rPr>
          <w:color w:val="231F20"/>
          <w:w w:val="95"/>
        </w:rPr>
        <w:t xml:space="preserve">includes an underlying framework highlighting the relationship between </w:t>
      </w:r>
      <w:r>
        <w:rPr>
          <w:color w:val="231F20"/>
        </w:rPr>
        <w:t>sport and tourism, an appreciation of sport tourism markets and an understanding of fundamental development concepts and issues. The open</w:t>
      </w:r>
      <w:r>
        <w:rPr>
          <w:color w:val="231F20"/>
        </w:rPr>
        <w:t>ing chapter of Part 2 of the book conceptualises sport tourism as sport-based travel away from the home environment for a limited time where sport is characterised by unique rule sets, competition related to physical prowess and a playful nature. From this</w:t>
      </w:r>
      <w:r>
        <w:rPr>
          <w:color w:val="231F20"/>
        </w:rPr>
        <w:t xml:space="preserve"> perspective, sport is </w:t>
      </w:r>
      <w:r>
        <w:rPr>
          <w:color w:val="231F20"/>
          <w:w w:val="90"/>
        </w:rPr>
        <w:t>viewed</w:t>
      </w:r>
      <w:r>
        <w:rPr>
          <w:color w:val="231F20"/>
          <w:spacing w:val="13"/>
        </w:rPr>
        <w:t xml:space="preserve"> </w:t>
      </w:r>
      <w:r>
        <w:rPr>
          <w:color w:val="231F20"/>
          <w:w w:val="90"/>
        </w:rPr>
        <w:t>as</w:t>
      </w:r>
      <w:r>
        <w:rPr>
          <w:color w:val="231F20"/>
          <w:spacing w:val="14"/>
        </w:rPr>
        <w:t xml:space="preserve"> </w:t>
      </w:r>
      <w:r>
        <w:rPr>
          <w:color w:val="231F20"/>
          <w:w w:val="90"/>
        </w:rPr>
        <w:t>a</w:t>
      </w:r>
      <w:r>
        <w:rPr>
          <w:color w:val="231F20"/>
          <w:spacing w:val="14"/>
        </w:rPr>
        <w:t xml:space="preserve"> </w:t>
      </w:r>
      <w:r>
        <w:rPr>
          <w:color w:val="231F20"/>
          <w:w w:val="90"/>
        </w:rPr>
        <w:t>tourist</w:t>
      </w:r>
      <w:r>
        <w:rPr>
          <w:color w:val="231F20"/>
          <w:spacing w:val="13"/>
        </w:rPr>
        <w:t xml:space="preserve"> </w:t>
      </w:r>
      <w:r>
        <w:rPr>
          <w:color w:val="231F20"/>
          <w:w w:val="90"/>
        </w:rPr>
        <w:t>attraction</w:t>
      </w:r>
      <w:r>
        <w:rPr>
          <w:color w:val="231F20"/>
          <w:spacing w:val="14"/>
        </w:rPr>
        <w:t xml:space="preserve"> </w:t>
      </w:r>
      <w:r>
        <w:rPr>
          <w:color w:val="231F20"/>
          <w:w w:val="90"/>
        </w:rPr>
        <w:t>based</w:t>
      </w:r>
      <w:r>
        <w:rPr>
          <w:color w:val="231F20"/>
          <w:spacing w:val="14"/>
        </w:rPr>
        <w:t xml:space="preserve"> </w:t>
      </w:r>
      <w:r>
        <w:rPr>
          <w:color w:val="231F20"/>
          <w:w w:val="90"/>
        </w:rPr>
        <w:t>on</w:t>
      </w:r>
      <w:r>
        <w:rPr>
          <w:color w:val="231F20"/>
          <w:spacing w:val="13"/>
        </w:rPr>
        <w:t xml:space="preserve"> </w:t>
      </w:r>
      <w:r>
        <w:rPr>
          <w:color w:val="231F20"/>
          <w:w w:val="90"/>
        </w:rPr>
        <w:t>an</w:t>
      </w:r>
      <w:r>
        <w:rPr>
          <w:color w:val="231F20"/>
          <w:spacing w:val="14"/>
        </w:rPr>
        <w:t xml:space="preserve"> </w:t>
      </w:r>
      <w:r>
        <w:rPr>
          <w:color w:val="231F20"/>
          <w:w w:val="90"/>
        </w:rPr>
        <w:t>updated</w:t>
      </w:r>
      <w:r>
        <w:rPr>
          <w:color w:val="231F20"/>
          <w:spacing w:val="14"/>
        </w:rPr>
        <w:t xml:space="preserve"> </w:t>
      </w:r>
      <w:r>
        <w:rPr>
          <w:color w:val="231F20"/>
          <w:w w:val="90"/>
        </w:rPr>
        <w:t>version</w:t>
      </w:r>
      <w:r>
        <w:rPr>
          <w:color w:val="231F20"/>
          <w:spacing w:val="13"/>
        </w:rPr>
        <w:t xml:space="preserve"> </w:t>
      </w:r>
      <w:r>
        <w:rPr>
          <w:color w:val="231F20"/>
          <w:w w:val="90"/>
        </w:rPr>
        <w:t>of</w:t>
      </w:r>
      <w:r>
        <w:rPr>
          <w:color w:val="231F20"/>
          <w:spacing w:val="14"/>
        </w:rPr>
        <w:t xml:space="preserve"> </w:t>
      </w:r>
      <w:r>
        <w:rPr>
          <w:color w:val="231F20"/>
          <w:w w:val="90"/>
        </w:rPr>
        <w:t>Leiper’s</w:t>
      </w:r>
      <w:r>
        <w:rPr>
          <w:color w:val="231F20"/>
          <w:spacing w:val="14"/>
        </w:rPr>
        <w:t xml:space="preserve"> </w:t>
      </w:r>
      <w:r>
        <w:rPr>
          <w:color w:val="231F20"/>
          <w:spacing w:val="-2"/>
          <w:w w:val="90"/>
        </w:rPr>
        <w:t>(1990)</w:t>
      </w:r>
    </w:p>
    <w:p w14:paraId="31BA0F3A" w14:textId="77777777" w:rsidR="00AE0598" w:rsidRDefault="00AE0598">
      <w:pPr>
        <w:spacing w:line="232" w:lineRule="auto"/>
        <w:jc w:val="both"/>
        <w:sectPr w:rsidR="00AE0598">
          <w:pgSz w:w="8850" w:h="13270"/>
          <w:pgMar w:top="720" w:right="1060" w:bottom="280" w:left="1080" w:header="720" w:footer="720" w:gutter="0"/>
          <w:cols w:space="720"/>
        </w:sectPr>
      </w:pPr>
    </w:p>
    <w:p w14:paraId="49E6E9AE" w14:textId="77777777" w:rsidR="00AE0598" w:rsidRDefault="0069255A">
      <w:pPr>
        <w:spacing w:before="87"/>
        <w:ind w:left="108"/>
        <w:rPr>
          <w:rFonts w:ascii="Trebuchet MS"/>
          <w:sz w:val="14"/>
        </w:rPr>
      </w:pPr>
      <w:r>
        <w:rPr>
          <w:rFonts w:ascii="Trebuchet MS"/>
          <w:color w:val="231F20"/>
          <w:w w:val="105"/>
          <w:sz w:val="14"/>
        </w:rPr>
        <w:lastRenderedPageBreak/>
        <w:t>230</w:t>
      </w:r>
      <w:r>
        <w:rPr>
          <w:rFonts w:ascii="Trebuchet MS"/>
          <w:color w:val="231F20"/>
          <w:spacing w:val="78"/>
          <w:w w:val="150"/>
          <w:sz w:val="14"/>
        </w:rPr>
        <w:t xml:space="preserve"> </w:t>
      </w:r>
      <w:r>
        <w:rPr>
          <w:rFonts w:ascii="Trebuchet MS"/>
          <w:color w:val="231F20"/>
          <w:spacing w:val="-2"/>
          <w:w w:val="105"/>
          <w:sz w:val="14"/>
        </w:rPr>
        <w:t>Conclusion</w:t>
      </w:r>
    </w:p>
    <w:p w14:paraId="3A9F883C" w14:textId="77777777" w:rsidR="00AE0598" w:rsidRDefault="00AE0598">
      <w:pPr>
        <w:pStyle w:val="Corpodetexto"/>
        <w:rPr>
          <w:rFonts w:ascii="Trebuchet MS"/>
          <w:sz w:val="16"/>
        </w:rPr>
      </w:pPr>
    </w:p>
    <w:p w14:paraId="153A3F57" w14:textId="77777777" w:rsidR="00AE0598" w:rsidRDefault="0069255A">
      <w:pPr>
        <w:pStyle w:val="Corpodetexto"/>
        <w:spacing w:before="118" w:line="232" w:lineRule="auto"/>
        <w:ind w:left="110" w:right="126"/>
        <w:jc w:val="both"/>
      </w:pPr>
      <w:r>
        <w:rPr>
          <w:color w:val="231F20"/>
        </w:rPr>
        <w:t xml:space="preserve">tourist attraction system that articulates the major categories of sport </w:t>
      </w:r>
      <w:r>
        <w:rPr>
          <w:color w:val="231F20"/>
          <w:w w:val="95"/>
        </w:rPr>
        <w:t xml:space="preserve">tourists and a fourfold typology of the sport attraction nucleus (spectator </w:t>
      </w:r>
      <w:r>
        <w:rPr>
          <w:color w:val="231F20"/>
        </w:rPr>
        <w:t>events, participant events, active engagement in recreational sport and sport heritage). By consciously tre</w:t>
      </w:r>
      <w:r>
        <w:rPr>
          <w:color w:val="231F20"/>
        </w:rPr>
        <w:t xml:space="preserve">ating sport as a unique type of tourist </w:t>
      </w:r>
      <w:r>
        <w:rPr>
          <w:color w:val="231F20"/>
          <w:w w:val="95"/>
        </w:rPr>
        <w:t>attraction, readers will be in a better position to understand the nature of and to influence patterns of sport tourism development. This perspective,</w:t>
      </w:r>
      <w:r>
        <w:rPr>
          <w:color w:val="231F20"/>
          <w:spacing w:val="40"/>
        </w:rPr>
        <w:t xml:space="preserve"> </w:t>
      </w:r>
      <w:r>
        <w:rPr>
          <w:color w:val="231F20"/>
        </w:rPr>
        <w:t>as</w:t>
      </w:r>
      <w:r>
        <w:rPr>
          <w:color w:val="231F20"/>
          <w:spacing w:val="-9"/>
        </w:rPr>
        <w:t xml:space="preserve"> </w:t>
      </w:r>
      <w:r>
        <w:rPr>
          <w:color w:val="231F20"/>
        </w:rPr>
        <w:t>well</w:t>
      </w:r>
      <w:r>
        <w:rPr>
          <w:color w:val="231F20"/>
          <w:spacing w:val="-10"/>
        </w:rPr>
        <w:t xml:space="preserve"> </w:t>
      </w:r>
      <w:r>
        <w:rPr>
          <w:color w:val="231F20"/>
        </w:rPr>
        <w:t>as</w:t>
      </w:r>
      <w:r>
        <w:rPr>
          <w:color w:val="231F20"/>
          <w:spacing w:val="-9"/>
        </w:rPr>
        <w:t xml:space="preserve"> </w:t>
      </w:r>
      <w:r>
        <w:rPr>
          <w:color w:val="231F20"/>
        </w:rPr>
        <w:t>alternative</w:t>
      </w:r>
      <w:r>
        <w:rPr>
          <w:color w:val="231F20"/>
          <w:spacing w:val="-9"/>
        </w:rPr>
        <w:t xml:space="preserve"> </w:t>
      </w:r>
      <w:r>
        <w:rPr>
          <w:color w:val="231F20"/>
        </w:rPr>
        <w:t>perspectives,</w:t>
      </w:r>
      <w:r>
        <w:rPr>
          <w:color w:val="231F20"/>
          <w:spacing w:val="-9"/>
        </w:rPr>
        <w:t xml:space="preserve"> </w:t>
      </w:r>
      <w:r>
        <w:rPr>
          <w:color w:val="231F20"/>
        </w:rPr>
        <w:t>is</w:t>
      </w:r>
      <w:r>
        <w:rPr>
          <w:color w:val="231F20"/>
          <w:spacing w:val="-9"/>
        </w:rPr>
        <w:t xml:space="preserve"> </w:t>
      </w:r>
      <w:r>
        <w:rPr>
          <w:color w:val="231F20"/>
        </w:rPr>
        <w:t>increasingly</w:t>
      </w:r>
      <w:r>
        <w:rPr>
          <w:color w:val="231F20"/>
          <w:spacing w:val="-10"/>
        </w:rPr>
        <w:t xml:space="preserve"> </w:t>
      </w:r>
      <w:r>
        <w:rPr>
          <w:color w:val="231F20"/>
        </w:rPr>
        <w:t>based</w:t>
      </w:r>
      <w:r>
        <w:rPr>
          <w:color w:val="231F20"/>
          <w:spacing w:val="-9"/>
        </w:rPr>
        <w:t xml:space="preserve"> </w:t>
      </w:r>
      <w:r>
        <w:rPr>
          <w:color w:val="231F20"/>
        </w:rPr>
        <w:t>on</w:t>
      </w:r>
      <w:r>
        <w:rPr>
          <w:color w:val="231F20"/>
          <w:spacing w:val="-10"/>
        </w:rPr>
        <w:t xml:space="preserve"> </w:t>
      </w:r>
      <w:r>
        <w:rPr>
          <w:color w:val="231F20"/>
        </w:rPr>
        <w:t>a</w:t>
      </w:r>
      <w:r>
        <w:rPr>
          <w:color w:val="231F20"/>
          <w:spacing w:val="-9"/>
        </w:rPr>
        <w:t xml:space="preserve"> </w:t>
      </w:r>
      <w:r>
        <w:rPr>
          <w:color w:val="231F20"/>
        </w:rPr>
        <w:t>s</w:t>
      </w:r>
      <w:r>
        <w:rPr>
          <w:color w:val="231F20"/>
        </w:rPr>
        <w:t xml:space="preserve">ubstantive </w:t>
      </w:r>
      <w:r>
        <w:rPr>
          <w:color w:val="231F20"/>
          <w:w w:val="95"/>
        </w:rPr>
        <w:t xml:space="preserve">body of literature and academic offerings (e.g. Gibson, 2006; Weed, 2006, 2009b). Case Study 2.1 (Richard Shipway) illustrated the progress achieved </w:t>
      </w:r>
      <w:r>
        <w:rPr>
          <w:color w:val="231F20"/>
        </w:rPr>
        <w:t>in the study of sport tourism as manifest in Bournemouth University’s sport tourism curriculum a</w:t>
      </w:r>
      <w:r>
        <w:rPr>
          <w:color w:val="231F20"/>
        </w:rPr>
        <w:t>nd its strategy of embedding, enthusing and enhancing employability for students in this field.</w:t>
      </w:r>
    </w:p>
    <w:p w14:paraId="769CA267" w14:textId="77777777" w:rsidR="00AE0598" w:rsidRDefault="0069255A">
      <w:pPr>
        <w:pStyle w:val="Corpodetexto"/>
        <w:spacing w:before="14" w:line="232" w:lineRule="auto"/>
        <w:ind w:left="110" w:right="125" w:firstLine="320"/>
        <w:jc w:val="both"/>
      </w:pPr>
      <w:r>
        <w:rPr>
          <w:color w:val="231F20"/>
        </w:rPr>
        <w:t>A critical appreciation of the nature of sport tourism markets is also of foundational importance to the study of sport tourism development. Sport tourism is no</w:t>
      </w:r>
      <w:r>
        <w:rPr>
          <w:color w:val="231F20"/>
        </w:rPr>
        <w:t>t only a specialised segment of the tourism market, but it is also comprised of multiple niche markets. The nature of these niche markets varies with different forms of engagement in sport, with implications for tourist motivations and experiences. In this</w:t>
      </w:r>
      <w:r>
        <w:rPr>
          <w:color w:val="231F20"/>
        </w:rPr>
        <w:t xml:space="preserve"> book, we move beyond the tripartite classifications of sport-related tourism that </w:t>
      </w:r>
      <w:r>
        <w:rPr>
          <w:color w:val="231F20"/>
          <w:w w:val="95"/>
        </w:rPr>
        <w:t xml:space="preserve">have been previously proposed by Redmond (1990) and Gibson (1998a), who consider sport tourism to exist in the form of sport vacations (active), </w:t>
      </w:r>
      <w:r>
        <w:rPr>
          <w:color w:val="231F20"/>
        </w:rPr>
        <w:t>multisport festivals and wor</w:t>
      </w:r>
      <w:r>
        <w:rPr>
          <w:color w:val="231F20"/>
        </w:rPr>
        <w:t>ld championships (events), and sports halls of</w:t>
      </w:r>
      <w:r>
        <w:rPr>
          <w:color w:val="231F20"/>
          <w:spacing w:val="29"/>
        </w:rPr>
        <w:t xml:space="preserve"> </w:t>
      </w:r>
      <w:r>
        <w:rPr>
          <w:color w:val="231F20"/>
        </w:rPr>
        <w:t>fame</w:t>
      </w:r>
      <w:r>
        <w:rPr>
          <w:color w:val="231F20"/>
          <w:spacing w:val="29"/>
        </w:rPr>
        <w:t xml:space="preserve"> </w:t>
      </w:r>
      <w:r>
        <w:rPr>
          <w:color w:val="231F20"/>
        </w:rPr>
        <w:t>and</w:t>
      </w:r>
      <w:r>
        <w:rPr>
          <w:color w:val="231F20"/>
          <w:spacing w:val="29"/>
        </w:rPr>
        <w:t xml:space="preserve"> </w:t>
      </w:r>
      <w:r>
        <w:rPr>
          <w:color w:val="231F20"/>
        </w:rPr>
        <w:t>museums</w:t>
      </w:r>
      <w:r>
        <w:rPr>
          <w:color w:val="231F20"/>
          <w:spacing w:val="29"/>
        </w:rPr>
        <w:t xml:space="preserve"> </w:t>
      </w:r>
      <w:r>
        <w:rPr>
          <w:color w:val="231F20"/>
        </w:rPr>
        <w:t>(nostalgia).</w:t>
      </w:r>
      <w:r>
        <w:rPr>
          <w:color w:val="231F20"/>
          <w:spacing w:val="29"/>
        </w:rPr>
        <w:t xml:space="preserve"> </w:t>
      </w:r>
      <w:r>
        <w:rPr>
          <w:color w:val="231F20"/>
        </w:rPr>
        <w:t>We</w:t>
      </w:r>
      <w:r>
        <w:rPr>
          <w:color w:val="231F20"/>
          <w:spacing w:val="29"/>
        </w:rPr>
        <w:t xml:space="preserve"> </w:t>
      </w:r>
      <w:r>
        <w:rPr>
          <w:color w:val="231F20"/>
        </w:rPr>
        <w:t>extend</w:t>
      </w:r>
      <w:r>
        <w:rPr>
          <w:color w:val="231F20"/>
          <w:spacing w:val="29"/>
        </w:rPr>
        <w:t xml:space="preserve"> </w:t>
      </w:r>
      <w:r>
        <w:rPr>
          <w:color w:val="231F20"/>
        </w:rPr>
        <w:t>our</w:t>
      </w:r>
      <w:r>
        <w:rPr>
          <w:color w:val="231F20"/>
          <w:spacing w:val="29"/>
        </w:rPr>
        <w:t xml:space="preserve"> </w:t>
      </w:r>
      <w:r>
        <w:rPr>
          <w:color w:val="231F20"/>
        </w:rPr>
        <w:t>discussions</w:t>
      </w:r>
      <w:r>
        <w:rPr>
          <w:color w:val="231F20"/>
          <w:spacing w:val="29"/>
        </w:rPr>
        <w:t xml:space="preserve"> </w:t>
      </w:r>
      <w:r>
        <w:rPr>
          <w:color w:val="231F20"/>
        </w:rPr>
        <w:t>by</w:t>
      </w:r>
      <w:r>
        <w:rPr>
          <w:color w:val="231F20"/>
          <w:spacing w:val="29"/>
        </w:rPr>
        <w:t xml:space="preserve"> </w:t>
      </w:r>
      <w:r>
        <w:rPr>
          <w:color w:val="231F20"/>
        </w:rPr>
        <w:t>way of a fourfold classification of sport tourism that includes spectator events,</w:t>
      </w:r>
      <w:r>
        <w:rPr>
          <w:color w:val="231F20"/>
          <w:spacing w:val="-1"/>
        </w:rPr>
        <w:t xml:space="preserve"> </w:t>
      </w:r>
      <w:r>
        <w:rPr>
          <w:color w:val="231F20"/>
        </w:rPr>
        <w:t>participation</w:t>
      </w:r>
      <w:r>
        <w:rPr>
          <w:color w:val="231F20"/>
          <w:spacing w:val="-1"/>
        </w:rPr>
        <w:t xml:space="preserve"> </w:t>
      </w:r>
      <w:r>
        <w:rPr>
          <w:color w:val="231F20"/>
        </w:rPr>
        <w:t>events,</w:t>
      </w:r>
      <w:r>
        <w:rPr>
          <w:color w:val="231F20"/>
          <w:spacing w:val="-1"/>
        </w:rPr>
        <w:t xml:space="preserve"> </w:t>
      </w:r>
      <w:r>
        <w:rPr>
          <w:color w:val="231F20"/>
        </w:rPr>
        <w:t>active</w:t>
      </w:r>
      <w:r>
        <w:rPr>
          <w:color w:val="231F20"/>
          <w:spacing w:val="-1"/>
        </w:rPr>
        <w:t xml:space="preserve"> </w:t>
      </w:r>
      <w:r>
        <w:rPr>
          <w:color w:val="231F20"/>
        </w:rPr>
        <w:t>engagement</w:t>
      </w:r>
      <w:r>
        <w:rPr>
          <w:color w:val="231F20"/>
          <w:spacing w:val="-1"/>
        </w:rPr>
        <w:t xml:space="preserve"> </w:t>
      </w:r>
      <w:r>
        <w:rPr>
          <w:color w:val="231F20"/>
        </w:rPr>
        <w:t>in</w:t>
      </w:r>
      <w:r>
        <w:rPr>
          <w:color w:val="231F20"/>
          <w:spacing w:val="-1"/>
        </w:rPr>
        <w:t xml:space="preserve"> </w:t>
      </w:r>
      <w:r>
        <w:rPr>
          <w:color w:val="231F20"/>
        </w:rPr>
        <w:t>recreation</w:t>
      </w:r>
      <w:r>
        <w:rPr>
          <w:color w:val="231F20"/>
          <w:spacing w:val="-1"/>
        </w:rPr>
        <w:t xml:space="preserve"> </w:t>
      </w:r>
      <w:r>
        <w:rPr>
          <w:color w:val="231F20"/>
        </w:rPr>
        <w:t>sports</w:t>
      </w:r>
      <w:r>
        <w:rPr>
          <w:color w:val="231F20"/>
          <w:spacing w:val="-1"/>
        </w:rPr>
        <w:t xml:space="preserve"> </w:t>
      </w:r>
      <w:r>
        <w:rPr>
          <w:color w:val="231F20"/>
        </w:rPr>
        <w:t>and sports heritage.</w:t>
      </w:r>
    </w:p>
    <w:p w14:paraId="720F334A" w14:textId="77777777" w:rsidR="00AE0598" w:rsidRDefault="0069255A">
      <w:pPr>
        <w:pStyle w:val="Corpodetexto"/>
        <w:spacing w:before="17" w:line="232" w:lineRule="auto"/>
        <w:ind w:left="110" w:right="127" w:firstLine="320"/>
        <w:jc w:val="both"/>
      </w:pPr>
      <w:r>
        <w:rPr>
          <w:color w:val="231F20"/>
        </w:rPr>
        <w:t>In Chapter 3, we considered leisure sports markets, and in Case Study</w:t>
      </w:r>
      <w:r>
        <w:rPr>
          <w:color w:val="231F20"/>
          <w:spacing w:val="-5"/>
        </w:rPr>
        <w:t xml:space="preserve"> </w:t>
      </w:r>
      <w:r>
        <w:rPr>
          <w:color w:val="231F20"/>
        </w:rPr>
        <w:t>3.1,</w:t>
      </w:r>
      <w:r>
        <w:rPr>
          <w:color w:val="231F20"/>
          <w:spacing w:val="-5"/>
        </w:rPr>
        <w:t xml:space="preserve"> </w:t>
      </w:r>
      <w:r>
        <w:rPr>
          <w:color w:val="231F20"/>
        </w:rPr>
        <w:t>Eiji</w:t>
      </w:r>
      <w:r>
        <w:rPr>
          <w:color w:val="231F20"/>
          <w:spacing w:val="-5"/>
        </w:rPr>
        <w:t xml:space="preserve"> </w:t>
      </w:r>
      <w:r>
        <w:rPr>
          <w:color w:val="231F20"/>
        </w:rPr>
        <w:t>Ito</w:t>
      </w:r>
      <w:r>
        <w:rPr>
          <w:color w:val="231F20"/>
          <w:spacing w:val="-5"/>
        </w:rPr>
        <w:t xml:space="preserve"> </w:t>
      </w:r>
      <w:r>
        <w:rPr>
          <w:color w:val="231F20"/>
        </w:rPr>
        <w:t>examined</w:t>
      </w:r>
      <w:r>
        <w:rPr>
          <w:color w:val="231F20"/>
          <w:spacing w:val="-5"/>
        </w:rPr>
        <w:t xml:space="preserve"> </w:t>
      </w:r>
      <w:r>
        <w:rPr>
          <w:color w:val="231F20"/>
        </w:rPr>
        <w:t>the</w:t>
      </w:r>
      <w:r>
        <w:rPr>
          <w:color w:val="231F20"/>
          <w:spacing w:val="-5"/>
        </w:rPr>
        <w:t xml:space="preserve"> </w:t>
      </w:r>
      <w:r>
        <w:rPr>
          <w:color w:val="231F20"/>
        </w:rPr>
        <w:t>relationship</w:t>
      </w:r>
      <w:r>
        <w:rPr>
          <w:color w:val="231F20"/>
          <w:spacing w:val="-5"/>
        </w:rPr>
        <w:t xml:space="preserve"> </w:t>
      </w:r>
      <w:r>
        <w:rPr>
          <w:color w:val="231F20"/>
        </w:rPr>
        <w:t>between</w:t>
      </w:r>
      <w:r>
        <w:rPr>
          <w:color w:val="231F20"/>
          <w:spacing w:val="-5"/>
        </w:rPr>
        <w:t xml:space="preserve"> </w:t>
      </w:r>
      <w:r>
        <w:rPr>
          <w:color w:val="231F20"/>
        </w:rPr>
        <w:t>culture,</w:t>
      </w:r>
      <w:r>
        <w:rPr>
          <w:color w:val="231F20"/>
          <w:spacing w:val="-5"/>
        </w:rPr>
        <w:t xml:space="preserve"> </w:t>
      </w:r>
      <w:r>
        <w:rPr>
          <w:color w:val="231F20"/>
        </w:rPr>
        <w:t>ideal</w:t>
      </w:r>
      <w:r>
        <w:rPr>
          <w:color w:val="231F20"/>
          <w:spacing w:val="-5"/>
        </w:rPr>
        <w:t xml:space="preserve"> </w:t>
      </w:r>
      <w:r>
        <w:rPr>
          <w:color w:val="231F20"/>
        </w:rPr>
        <w:t>affect and</w:t>
      </w:r>
      <w:r>
        <w:rPr>
          <w:color w:val="231F20"/>
          <w:spacing w:val="-1"/>
        </w:rPr>
        <w:t xml:space="preserve"> </w:t>
      </w:r>
      <w:r>
        <w:rPr>
          <w:color w:val="231F20"/>
        </w:rPr>
        <w:t>sport</w:t>
      </w:r>
      <w:r>
        <w:rPr>
          <w:color w:val="231F20"/>
          <w:spacing w:val="-1"/>
        </w:rPr>
        <w:t xml:space="preserve"> </w:t>
      </w:r>
      <w:r>
        <w:rPr>
          <w:color w:val="231F20"/>
        </w:rPr>
        <w:t>tourist</w:t>
      </w:r>
      <w:r>
        <w:rPr>
          <w:color w:val="231F20"/>
          <w:spacing w:val="-1"/>
        </w:rPr>
        <w:t xml:space="preserve"> </w:t>
      </w:r>
      <w:r>
        <w:rPr>
          <w:color w:val="231F20"/>
        </w:rPr>
        <w:t>motivation.</w:t>
      </w:r>
      <w:r>
        <w:rPr>
          <w:color w:val="231F20"/>
          <w:spacing w:val="-1"/>
        </w:rPr>
        <w:t xml:space="preserve"> </w:t>
      </w:r>
      <w:r>
        <w:rPr>
          <w:color w:val="231F20"/>
        </w:rPr>
        <w:t>Specifically,</w:t>
      </w:r>
      <w:r>
        <w:rPr>
          <w:color w:val="231F20"/>
          <w:spacing w:val="-1"/>
        </w:rPr>
        <w:t xml:space="preserve"> </w:t>
      </w:r>
      <w:r>
        <w:rPr>
          <w:color w:val="231F20"/>
        </w:rPr>
        <w:t>this</w:t>
      </w:r>
      <w:r>
        <w:rPr>
          <w:color w:val="231F20"/>
          <w:spacing w:val="-1"/>
        </w:rPr>
        <w:t xml:space="preserve"> </w:t>
      </w:r>
      <w:r>
        <w:rPr>
          <w:color w:val="231F20"/>
        </w:rPr>
        <w:t>classification</w:t>
      </w:r>
      <w:r>
        <w:rPr>
          <w:color w:val="231F20"/>
          <w:spacing w:val="-1"/>
        </w:rPr>
        <w:t xml:space="preserve"> </w:t>
      </w:r>
      <w:r>
        <w:rPr>
          <w:color w:val="231F20"/>
        </w:rPr>
        <w:t>also</w:t>
      </w:r>
      <w:r>
        <w:rPr>
          <w:color w:val="231F20"/>
          <w:spacing w:val="-1"/>
        </w:rPr>
        <w:t xml:space="preserve"> </w:t>
      </w:r>
      <w:r>
        <w:rPr>
          <w:color w:val="231F20"/>
        </w:rPr>
        <w:t>allowed for separate treatment of spectator and</w:t>
      </w:r>
      <w:r>
        <w:rPr>
          <w:color w:val="231F20"/>
        </w:rPr>
        <w:t xml:space="preserve"> participation events and our justification for this lies in the phenomenal growth in recent years, and the increasing diversity that now exists in participation sports events. We</w:t>
      </w:r>
      <w:r>
        <w:rPr>
          <w:color w:val="231F20"/>
          <w:spacing w:val="35"/>
        </w:rPr>
        <w:t xml:space="preserve"> </w:t>
      </w:r>
      <w:r>
        <w:rPr>
          <w:color w:val="231F20"/>
        </w:rPr>
        <w:t>consider</w:t>
      </w:r>
      <w:r>
        <w:rPr>
          <w:color w:val="231F20"/>
          <w:spacing w:val="35"/>
        </w:rPr>
        <w:t xml:space="preserve"> </w:t>
      </w:r>
      <w:r>
        <w:rPr>
          <w:color w:val="231F20"/>
        </w:rPr>
        <w:t>the</w:t>
      </w:r>
      <w:r>
        <w:rPr>
          <w:color w:val="231F20"/>
          <w:spacing w:val="35"/>
        </w:rPr>
        <w:t xml:space="preserve"> </w:t>
      </w:r>
      <w:r>
        <w:rPr>
          <w:color w:val="231F20"/>
        </w:rPr>
        <w:t>development</w:t>
      </w:r>
      <w:r>
        <w:rPr>
          <w:color w:val="231F20"/>
          <w:spacing w:val="35"/>
        </w:rPr>
        <w:t xml:space="preserve"> </w:t>
      </w:r>
      <w:r>
        <w:rPr>
          <w:color w:val="231F20"/>
        </w:rPr>
        <w:t>of</w:t>
      </w:r>
      <w:r>
        <w:rPr>
          <w:color w:val="231F20"/>
          <w:spacing w:val="35"/>
        </w:rPr>
        <w:t xml:space="preserve"> </w:t>
      </w:r>
      <w:r>
        <w:rPr>
          <w:color w:val="231F20"/>
        </w:rPr>
        <w:t>participation</w:t>
      </w:r>
      <w:r>
        <w:rPr>
          <w:color w:val="231F20"/>
          <w:spacing w:val="35"/>
        </w:rPr>
        <w:t xml:space="preserve"> </w:t>
      </w:r>
      <w:r>
        <w:rPr>
          <w:color w:val="231F20"/>
        </w:rPr>
        <w:t>events</w:t>
      </w:r>
      <w:r>
        <w:rPr>
          <w:color w:val="231F20"/>
          <w:spacing w:val="35"/>
        </w:rPr>
        <w:t xml:space="preserve"> </w:t>
      </w:r>
      <w:r>
        <w:rPr>
          <w:color w:val="231F20"/>
        </w:rPr>
        <w:t>to</w:t>
      </w:r>
      <w:r>
        <w:rPr>
          <w:color w:val="231F20"/>
          <w:spacing w:val="35"/>
        </w:rPr>
        <w:t xml:space="preserve"> </w:t>
      </w:r>
      <w:r>
        <w:rPr>
          <w:color w:val="231F20"/>
        </w:rPr>
        <w:t>be</w:t>
      </w:r>
      <w:r>
        <w:rPr>
          <w:color w:val="231F20"/>
          <w:spacing w:val="35"/>
        </w:rPr>
        <w:t xml:space="preserve"> </w:t>
      </w:r>
      <w:r>
        <w:rPr>
          <w:color w:val="231F20"/>
        </w:rPr>
        <w:t>a</w:t>
      </w:r>
      <w:r>
        <w:rPr>
          <w:color w:val="231F20"/>
          <w:spacing w:val="35"/>
        </w:rPr>
        <w:t xml:space="preserve"> </w:t>
      </w:r>
      <w:r>
        <w:rPr>
          <w:color w:val="231F20"/>
        </w:rPr>
        <w:t xml:space="preserve">feature of the evolution of sport tourism since the publication of the previous edition of this book in 2010. Many such participants engage in serious </w:t>
      </w:r>
      <w:r>
        <w:rPr>
          <w:color w:val="231F20"/>
          <w:w w:val="95"/>
        </w:rPr>
        <w:t xml:space="preserve">training schedules in preparation for their target events, but for most their </w:t>
      </w:r>
      <w:r>
        <w:rPr>
          <w:color w:val="231F20"/>
        </w:rPr>
        <w:t>actual performance is self-</w:t>
      </w:r>
      <w:r>
        <w:rPr>
          <w:color w:val="231F20"/>
        </w:rPr>
        <w:t xml:space="preserve">referenced, as opposed to results orientated (Falcous, 2017). For others, engagement in participation sports events may be considered ‘de-sportified’ in that they are ‘loosely structured, </w:t>
      </w:r>
      <w:r>
        <w:rPr>
          <w:color w:val="231F20"/>
          <w:w w:val="95"/>
        </w:rPr>
        <w:t>non-competitive, and socially connective’ (Falcous, 2017: 1). This s</w:t>
      </w:r>
      <w:r>
        <w:rPr>
          <w:color w:val="231F20"/>
          <w:w w:val="95"/>
        </w:rPr>
        <w:t xml:space="preserve">chema </w:t>
      </w:r>
      <w:r>
        <w:rPr>
          <w:color w:val="231F20"/>
        </w:rPr>
        <w:t>underpins</w:t>
      </w:r>
      <w:r>
        <w:rPr>
          <w:color w:val="231F20"/>
          <w:spacing w:val="-11"/>
        </w:rPr>
        <w:t xml:space="preserve"> </w:t>
      </w:r>
      <w:r>
        <w:rPr>
          <w:color w:val="231F20"/>
        </w:rPr>
        <w:t>our</w:t>
      </w:r>
      <w:r>
        <w:rPr>
          <w:color w:val="231F20"/>
          <w:spacing w:val="-11"/>
        </w:rPr>
        <w:t xml:space="preserve"> </w:t>
      </w:r>
      <w:r>
        <w:rPr>
          <w:color w:val="231F20"/>
        </w:rPr>
        <w:t>discussions</w:t>
      </w:r>
      <w:r>
        <w:rPr>
          <w:color w:val="231F20"/>
          <w:spacing w:val="-11"/>
        </w:rPr>
        <w:t xml:space="preserve"> </w:t>
      </w:r>
      <w:r>
        <w:rPr>
          <w:color w:val="231F20"/>
        </w:rPr>
        <w:t>in</w:t>
      </w:r>
      <w:r>
        <w:rPr>
          <w:color w:val="231F20"/>
          <w:spacing w:val="-10"/>
        </w:rPr>
        <w:t xml:space="preserve"> </w:t>
      </w:r>
      <w:r>
        <w:rPr>
          <w:color w:val="231F20"/>
        </w:rPr>
        <w:t>Chapter</w:t>
      </w:r>
      <w:r>
        <w:rPr>
          <w:color w:val="231F20"/>
          <w:spacing w:val="-11"/>
        </w:rPr>
        <w:t xml:space="preserve"> </w:t>
      </w:r>
      <w:r>
        <w:rPr>
          <w:color w:val="231F20"/>
        </w:rPr>
        <w:t>3:</w:t>
      </w:r>
      <w:r>
        <w:rPr>
          <w:color w:val="231F20"/>
          <w:spacing w:val="-11"/>
        </w:rPr>
        <w:t xml:space="preserve"> </w:t>
      </w:r>
      <w:r>
        <w:rPr>
          <w:color w:val="231F20"/>
        </w:rPr>
        <w:t>Sport</w:t>
      </w:r>
      <w:r>
        <w:rPr>
          <w:color w:val="231F20"/>
          <w:spacing w:val="-11"/>
        </w:rPr>
        <w:t xml:space="preserve"> </w:t>
      </w:r>
      <w:r>
        <w:rPr>
          <w:color w:val="231F20"/>
        </w:rPr>
        <w:t>Tourism</w:t>
      </w:r>
      <w:r>
        <w:rPr>
          <w:color w:val="231F20"/>
          <w:spacing w:val="-11"/>
        </w:rPr>
        <w:t xml:space="preserve"> </w:t>
      </w:r>
      <w:r>
        <w:rPr>
          <w:color w:val="231F20"/>
        </w:rPr>
        <w:t>Markets</w:t>
      </w:r>
      <w:r>
        <w:rPr>
          <w:color w:val="231F20"/>
          <w:spacing w:val="-11"/>
        </w:rPr>
        <w:t xml:space="preserve"> </w:t>
      </w:r>
      <w:r>
        <w:rPr>
          <w:color w:val="231F20"/>
        </w:rPr>
        <w:t>and</w:t>
      </w:r>
      <w:r>
        <w:rPr>
          <w:color w:val="231F20"/>
          <w:spacing w:val="-11"/>
        </w:rPr>
        <w:t xml:space="preserve"> </w:t>
      </w:r>
      <w:r>
        <w:rPr>
          <w:color w:val="231F20"/>
        </w:rPr>
        <w:t>later in Chapter 8: Sport and the Tourist Experience.</w:t>
      </w:r>
    </w:p>
    <w:p w14:paraId="4C2F910C" w14:textId="77777777" w:rsidR="00AE0598" w:rsidRDefault="0069255A">
      <w:pPr>
        <w:pStyle w:val="Corpodetexto"/>
        <w:spacing w:before="19" w:line="232" w:lineRule="auto"/>
        <w:ind w:left="110" w:right="127" w:firstLine="320"/>
        <w:jc w:val="both"/>
      </w:pPr>
      <w:r>
        <w:rPr>
          <w:color w:val="231F20"/>
        </w:rPr>
        <w:t>Sport tourism development implies progress that may be measured in</w:t>
      </w:r>
      <w:r>
        <w:rPr>
          <w:color w:val="231F20"/>
          <w:spacing w:val="60"/>
        </w:rPr>
        <w:t xml:space="preserve"> </w:t>
      </w:r>
      <w:r>
        <w:rPr>
          <w:color w:val="231F20"/>
        </w:rPr>
        <w:t>terms</w:t>
      </w:r>
      <w:r>
        <w:rPr>
          <w:color w:val="231F20"/>
          <w:spacing w:val="60"/>
        </w:rPr>
        <w:t xml:space="preserve"> </w:t>
      </w:r>
      <w:r>
        <w:rPr>
          <w:color w:val="231F20"/>
        </w:rPr>
        <w:t>that</w:t>
      </w:r>
      <w:r>
        <w:rPr>
          <w:color w:val="231F20"/>
          <w:spacing w:val="60"/>
        </w:rPr>
        <w:t xml:space="preserve"> </w:t>
      </w:r>
      <w:r>
        <w:rPr>
          <w:color w:val="231F20"/>
        </w:rPr>
        <w:t>extend</w:t>
      </w:r>
      <w:r>
        <w:rPr>
          <w:color w:val="231F20"/>
          <w:spacing w:val="61"/>
        </w:rPr>
        <w:t xml:space="preserve"> </w:t>
      </w:r>
      <w:r>
        <w:rPr>
          <w:color w:val="231F20"/>
        </w:rPr>
        <w:t>beyond</w:t>
      </w:r>
      <w:r>
        <w:rPr>
          <w:color w:val="231F20"/>
          <w:spacing w:val="60"/>
        </w:rPr>
        <w:t xml:space="preserve"> </w:t>
      </w:r>
      <w:r>
        <w:rPr>
          <w:color w:val="231F20"/>
        </w:rPr>
        <w:t>economic</w:t>
      </w:r>
      <w:r>
        <w:rPr>
          <w:color w:val="231F20"/>
          <w:spacing w:val="60"/>
        </w:rPr>
        <w:t xml:space="preserve"> </w:t>
      </w:r>
      <w:r>
        <w:rPr>
          <w:color w:val="231F20"/>
        </w:rPr>
        <w:t>growth</w:t>
      </w:r>
      <w:r>
        <w:rPr>
          <w:color w:val="231F20"/>
          <w:spacing w:val="60"/>
        </w:rPr>
        <w:t xml:space="preserve"> </w:t>
      </w:r>
      <w:r>
        <w:rPr>
          <w:color w:val="231F20"/>
        </w:rPr>
        <w:t>to</w:t>
      </w:r>
      <w:r>
        <w:rPr>
          <w:color w:val="231F20"/>
          <w:spacing w:val="61"/>
        </w:rPr>
        <w:t xml:space="preserve"> </w:t>
      </w:r>
      <w:r>
        <w:rPr>
          <w:color w:val="231F20"/>
        </w:rPr>
        <w:t>personal</w:t>
      </w:r>
      <w:r>
        <w:rPr>
          <w:color w:val="231F20"/>
          <w:spacing w:val="60"/>
        </w:rPr>
        <w:t xml:space="preserve"> </w:t>
      </w:r>
      <w:r>
        <w:rPr>
          <w:color w:val="231F20"/>
          <w:spacing w:val="-2"/>
        </w:rPr>
        <w:t>growth</w:t>
      </w:r>
    </w:p>
    <w:p w14:paraId="57DC5A3E" w14:textId="77777777" w:rsidR="00AE0598" w:rsidRDefault="00AE0598">
      <w:pPr>
        <w:spacing w:line="232" w:lineRule="auto"/>
        <w:jc w:val="both"/>
        <w:sectPr w:rsidR="00AE0598">
          <w:pgSz w:w="8850" w:h="13270"/>
          <w:pgMar w:top="720" w:right="1060" w:bottom="280" w:left="1080" w:header="720" w:footer="720" w:gutter="0"/>
          <w:cols w:space="720"/>
        </w:sectPr>
      </w:pPr>
    </w:p>
    <w:p w14:paraId="3B7ED10B" w14:textId="77777777" w:rsidR="00AE0598" w:rsidRDefault="0069255A">
      <w:pPr>
        <w:spacing w:before="87"/>
        <w:ind w:left="3642"/>
        <w:rPr>
          <w:rFonts w:ascii="Trebuchet MS"/>
          <w:sz w:val="14"/>
        </w:rPr>
      </w:pPr>
      <w:r>
        <w:rPr>
          <w:rFonts w:ascii="Trebuchet MS"/>
          <w:color w:val="231F20"/>
          <w:w w:val="105"/>
          <w:sz w:val="14"/>
        </w:rPr>
        <w:lastRenderedPageBreak/>
        <w:t>Shifting</w:t>
      </w:r>
      <w:r>
        <w:rPr>
          <w:rFonts w:ascii="Trebuchet MS"/>
          <w:color w:val="231F20"/>
          <w:spacing w:val="-3"/>
          <w:w w:val="105"/>
          <w:sz w:val="14"/>
        </w:rPr>
        <w:t xml:space="preserve"> </w:t>
      </w:r>
      <w:r>
        <w:rPr>
          <w:rFonts w:ascii="Trebuchet MS"/>
          <w:color w:val="231F20"/>
          <w:w w:val="105"/>
          <w:sz w:val="14"/>
        </w:rPr>
        <w:t>Goal</w:t>
      </w:r>
      <w:r>
        <w:rPr>
          <w:rFonts w:ascii="Trebuchet MS"/>
          <w:color w:val="231F20"/>
          <w:spacing w:val="-3"/>
          <w:w w:val="105"/>
          <w:sz w:val="14"/>
        </w:rPr>
        <w:t xml:space="preserve"> </w:t>
      </w:r>
      <w:r>
        <w:rPr>
          <w:rFonts w:ascii="Trebuchet MS"/>
          <w:color w:val="231F20"/>
          <w:w w:val="105"/>
          <w:sz w:val="14"/>
        </w:rPr>
        <w:t>Posts</w:t>
      </w:r>
      <w:r>
        <w:rPr>
          <w:rFonts w:ascii="Trebuchet MS"/>
          <w:color w:val="231F20"/>
          <w:spacing w:val="-3"/>
          <w:w w:val="105"/>
          <w:sz w:val="14"/>
        </w:rPr>
        <w:t xml:space="preserve"> </w:t>
      </w:r>
      <w:r>
        <w:rPr>
          <w:rFonts w:ascii="Trebuchet MS"/>
          <w:color w:val="231F20"/>
          <w:w w:val="105"/>
          <w:sz w:val="14"/>
        </w:rPr>
        <w:t>and</w:t>
      </w:r>
      <w:r>
        <w:rPr>
          <w:rFonts w:ascii="Trebuchet MS"/>
          <w:color w:val="231F20"/>
          <w:spacing w:val="-3"/>
          <w:w w:val="105"/>
          <w:sz w:val="14"/>
        </w:rPr>
        <w:t xml:space="preserve"> </w:t>
      </w:r>
      <w:r>
        <w:rPr>
          <w:rFonts w:ascii="Trebuchet MS"/>
          <w:color w:val="231F20"/>
          <w:w w:val="105"/>
          <w:sz w:val="14"/>
        </w:rPr>
        <w:t>Moving</w:t>
      </w:r>
      <w:r>
        <w:rPr>
          <w:rFonts w:ascii="Trebuchet MS"/>
          <w:color w:val="231F20"/>
          <w:spacing w:val="-2"/>
          <w:w w:val="105"/>
          <w:sz w:val="14"/>
        </w:rPr>
        <w:t xml:space="preserve"> </w:t>
      </w:r>
      <w:r>
        <w:rPr>
          <w:rFonts w:ascii="Trebuchet MS"/>
          <w:color w:val="231F20"/>
          <w:w w:val="105"/>
          <w:sz w:val="14"/>
        </w:rPr>
        <w:t>Targets</w:t>
      </w:r>
      <w:r>
        <w:rPr>
          <w:rFonts w:ascii="Trebuchet MS"/>
          <w:color w:val="231F20"/>
          <w:spacing w:val="31"/>
          <w:w w:val="105"/>
          <w:sz w:val="14"/>
        </w:rPr>
        <w:t xml:space="preserve">  </w:t>
      </w:r>
      <w:r>
        <w:rPr>
          <w:rFonts w:ascii="Trebuchet MS"/>
          <w:color w:val="231F20"/>
          <w:spacing w:val="-5"/>
          <w:w w:val="105"/>
          <w:sz w:val="14"/>
        </w:rPr>
        <w:t>231</w:t>
      </w:r>
    </w:p>
    <w:p w14:paraId="0B2668A5" w14:textId="77777777" w:rsidR="00AE0598" w:rsidRDefault="00AE0598">
      <w:pPr>
        <w:pStyle w:val="Corpodetexto"/>
        <w:rPr>
          <w:rFonts w:ascii="Trebuchet MS"/>
          <w:sz w:val="16"/>
        </w:rPr>
      </w:pPr>
    </w:p>
    <w:p w14:paraId="5B8926A8" w14:textId="77777777" w:rsidR="00AE0598" w:rsidRDefault="0069255A">
      <w:pPr>
        <w:pStyle w:val="Corpodetexto"/>
        <w:spacing w:before="118" w:line="232" w:lineRule="auto"/>
        <w:ind w:left="110" w:right="127"/>
        <w:jc w:val="both"/>
      </w:pPr>
      <w:r>
        <w:rPr>
          <w:color w:val="231F20"/>
        </w:rPr>
        <w:t xml:space="preserve">and fulfilment, improved quality of life and various other indicators of personal and social well-being. Planning is required to guide and direct </w:t>
      </w:r>
      <w:r>
        <w:rPr>
          <w:color w:val="231F20"/>
          <w:w w:val="95"/>
        </w:rPr>
        <w:t>development processes to obtain desired future states. In keeping with the UN’s goals for sustainable developm</w:t>
      </w:r>
      <w:r>
        <w:rPr>
          <w:color w:val="231F20"/>
          <w:w w:val="95"/>
        </w:rPr>
        <w:t xml:space="preserve">ent, long-term perspectives and active interventions are needed if sport tourism development is to be sustainable. Three key development issues were explored in this book. The first relates </w:t>
      </w:r>
      <w:r>
        <w:rPr>
          <w:color w:val="231F20"/>
        </w:rPr>
        <w:t xml:space="preserve">to commodification and authenticity. Although tourism is just one </w:t>
      </w:r>
      <w:r>
        <w:rPr>
          <w:color w:val="231F20"/>
        </w:rPr>
        <w:t>of</w:t>
      </w:r>
      <w:r>
        <w:rPr>
          <w:color w:val="231F20"/>
          <w:spacing w:val="80"/>
          <w:w w:val="150"/>
        </w:rPr>
        <w:t xml:space="preserve"> </w:t>
      </w:r>
      <w:r>
        <w:rPr>
          <w:color w:val="231F20"/>
        </w:rPr>
        <w:t>the forces that is commodifying sport, it is recognised as an important one. A key advantage of sport as a tourist attraction is its propensity for authenticity.</w:t>
      </w:r>
      <w:r>
        <w:rPr>
          <w:color w:val="231F20"/>
          <w:spacing w:val="-5"/>
        </w:rPr>
        <w:t xml:space="preserve"> </w:t>
      </w:r>
      <w:r>
        <w:rPr>
          <w:color w:val="231F20"/>
        </w:rPr>
        <w:t>This</w:t>
      </w:r>
      <w:r>
        <w:rPr>
          <w:color w:val="231F20"/>
          <w:spacing w:val="-5"/>
        </w:rPr>
        <w:t xml:space="preserve"> </w:t>
      </w:r>
      <w:r>
        <w:rPr>
          <w:color w:val="231F20"/>
        </w:rPr>
        <w:t>is</w:t>
      </w:r>
      <w:r>
        <w:rPr>
          <w:color w:val="231F20"/>
          <w:spacing w:val="-5"/>
        </w:rPr>
        <w:t xml:space="preserve"> </w:t>
      </w:r>
      <w:r>
        <w:rPr>
          <w:color w:val="231F20"/>
        </w:rPr>
        <w:t>found</w:t>
      </w:r>
      <w:r>
        <w:rPr>
          <w:color w:val="231F20"/>
          <w:spacing w:val="-5"/>
        </w:rPr>
        <w:t xml:space="preserve"> </w:t>
      </w:r>
      <w:r>
        <w:rPr>
          <w:color w:val="231F20"/>
        </w:rPr>
        <w:t>in</w:t>
      </w:r>
      <w:r>
        <w:rPr>
          <w:color w:val="231F20"/>
          <w:spacing w:val="-5"/>
        </w:rPr>
        <w:t xml:space="preserve"> </w:t>
      </w:r>
      <w:r>
        <w:rPr>
          <w:color w:val="231F20"/>
        </w:rPr>
        <w:t>its</w:t>
      </w:r>
      <w:r>
        <w:rPr>
          <w:color w:val="231F20"/>
          <w:spacing w:val="-5"/>
        </w:rPr>
        <w:t xml:space="preserve"> </w:t>
      </w:r>
      <w:r>
        <w:rPr>
          <w:color w:val="231F20"/>
        </w:rPr>
        <w:t>uncertain</w:t>
      </w:r>
      <w:r>
        <w:rPr>
          <w:color w:val="231F20"/>
          <w:spacing w:val="-5"/>
        </w:rPr>
        <w:t xml:space="preserve"> </w:t>
      </w:r>
      <w:r>
        <w:rPr>
          <w:color w:val="231F20"/>
        </w:rPr>
        <w:t>outcomes,</w:t>
      </w:r>
      <w:r>
        <w:rPr>
          <w:color w:val="231F20"/>
          <w:spacing w:val="-5"/>
        </w:rPr>
        <w:t xml:space="preserve"> </w:t>
      </w:r>
      <w:r>
        <w:rPr>
          <w:color w:val="231F20"/>
        </w:rPr>
        <w:t>displayed</w:t>
      </w:r>
      <w:r>
        <w:rPr>
          <w:color w:val="231F20"/>
          <w:spacing w:val="-5"/>
        </w:rPr>
        <w:t xml:space="preserve"> </w:t>
      </w:r>
      <w:r>
        <w:rPr>
          <w:color w:val="231F20"/>
        </w:rPr>
        <w:t>as</w:t>
      </w:r>
      <w:r>
        <w:rPr>
          <w:color w:val="231F20"/>
          <w:spacing w:val="-5"/>
        </w:rPr>
        <w:t xml:space="preserve"> </w:t>
      </w:r>
      <w:r>
        <w:rPr>
          <w:color w:val="231F20"/>
        </w:rPr>
        <w:t>part</w:t>
      </w:r>
      <w:r>
        <w:rPr>
          <w:color w:val="231F20"/>
          <w:spacing w:val="-5"/>
        </w:rPr>
        <w:t xml:space="preserve"> </w:t>
      </w:r>
      <w:r>
        <w:rPr>
          <w:color w:val="231F20"/>
        </w:rPr>
        <w:t xml:space="preserve">of </w:t>
      </w:r>
      <w:r>
        <w:rPr>
          <w:color w:val="231F20"/>
          <w:w w:val="95"/>
        </w:rPr>
        <w:t>performance; its physical bas</w:t>
      </w:r>
      <w:r>
        <w:rPr>
          <w:color w:val="231F20"/>
          <w:w w:val="95"/>
        </w:rPr>
        <w:t xml:space="preserve">is and all-sensory nature; self-making and the construction of identity; and its ability to foster community. Sport provides </w:t>
      </w:r>
      <w:r>
        <w:rPr>
          <w:color w:val="231F20"/>
        </w:rPr>
        <w:t>visitors</w:t>
      </w:r>
      <w:r>
        <w:rPr>
          <w:color w:val="231F20"/>
          <w:spacing w:val="-7"/>
        </w:rPr>
        <w:t xml:space="preserve"> </w:t>
      </w:r>
      <w:r>
        <w:rPr>
          <w:color w:val="231F20"/>
        </w:rPr>
        <w:t>with</w:t>
      </w:r>
      <w:r>
        <w:rPr>
          <w:color w:val="231F20"/>
          <w:spacing w:val="-7"/>
        </w:rPr>
        <w:t xml:space="preserve"> </w:t>
      </w:r>
      <w:r>
        <w:rPr>
          <w:color w:val="231F20"/>
        </w:rPr>
        <w:t>access</w:t>
      </w:r>
      <w:r>
        <w:rPr>
          <w:color w:val="231F20"/>
          <w:spacing w:val="-7"/>
        </w:rPr>
        <w:t xml:space="preserve"> </w:t>
      </w:r>
      <w:r>
        <w:rPr>
          <w:color w:val="231F20"/>
        </w:rPr>
        <w:t>to</w:t>
      </w:r>
      <w:r>
        <w:rPr>
          <w:color w:val="231F20"/>
          <w:spacing w:val="-7"/>
        </w:rPr>
        <w:t xml:space="preserve"> </w:t>
      </w:r>
      <w:r>
        <w:rPr>
          <w:color w:val="231F20"/>
        </w:rPr>
        <w:t>the</w:t>
      </w:r>
      <w:r>
        <w:rPr>
          <w:color w:val="231F20"/>
          <w:spacing w:val="-7"/>
        </w:rPr>
        <w:t xml:space="preserve"> </w:t>
      </w:r>
      <w:r>
        <w:rPr>
          <w:color w:val="231F20"/>
        </w:rPr>
        <w:t>‘backstage’</w:t>
      </w:r>
      <w:r>
        <w:rPr>
          <w:color w:val="231F20"/>
          <w:spacing w:val="-7"/>
        </w:rPr>
        <w:t xml:space="preserve"> </w:t>
      </w:r>
      <w:r>
        <w:rPr>
          <w:color w:val="231F20"/>
        </w:rPr>
        <w:t>of</w:t>
      </w:r>
      <w:r>
        <w:rPr>
          <w:color w:val="231F20"/>
          <w:spacing w:val="-7"/>
        </w:rPr>
        <w:t xml:space="preserve"> </w:t>
      </w:r>
      <w:r>
        <w:rPr>
          <w:color w:val="231F20"/>
        </w:rPr>
        <w:t>a</w:t>
      </w:r>
      <w:r>
        <w:rPr>
          <w:color w:val="231F20"/>
          <w:spacing w:val="-7"/>
        </w:rPr>
        <w:t xml:space="preserve"> </w:t>
      </w:r>
      <w:r>
        <w:rPr>
          <w:color w:val="231F20"/>
        </w:rPr>
        <w:t>destination</w:t>
      </w:r>
      <w:r>
        <w:rPr>
          <w:color w:val="231F20"/>
          <w:spacing w:val="-7"/>
        </w:rPr>
        <w:t xml:space="preserve"> </w:t>
      </w:r>
      <w:r>
        <w:rPr>
          <w:color w:val="231F20"/>
        </w:rPr>
        <w:t>in</w:t>
      </w:r>
      <w:r>
        <w:rPr>
          <w:color w:val="231F20"/>
          <w:spacing w:val="-7"/>
        </w:rPr>
        <w:t xml:space="preserve"> </w:t>
      </w:r>
      <w:r>
        <w:rPr>
          <w:color w:val="231F20"/>
        </w:rPr>
        <w:t>which</w:t>
      </w:r>
      <w:r>
        <w:rPr>
          <w:color w:val="231F20"/>
          <w:spacing w:val="-7"/>
        </w:rPr>
        <w:t xml:space="preserve"> </w:t>
      </w:r>
      <w:r>
        <w:rPr>
          <w:color w:val="231F20"/>
        </w:rPr>
        <w:t>residents, whether spectators or athletes, cease to perform for t</w:t>
      </w:r>
      <w:r>
        <w:rPr>
          <w:color w:val="231F20"/>
        </w:rPr>
        <w:t>he visitors. In this sense, sport offers a portal into the ‘real’ community.</w:t>
      </w:r>
    </w:p>
    <w:p w14:paraId="379CD505" w14:textId="77777777" w:rsidR="00AE0598" w:rsidRDefault="0069255A">
      <w:pPr>
        <w:pStyle w:val="Corpodetexto"/>
        <w:spacing w:before="18" w:line="232" w:lineRule="auto"/>
        <w:ind w:left="110" w:right="127" w:firstLine="320"/>
        <w:jc w:val="both"/>
      </w:pPr>
      <w:r>
        <w:rPr>
          <w:color w:val="231F20"/>
        </w:rPr>
        <w:t>Globalisation is the second key development issue. Sport is a high profile manifestation of globalisation featuring professional leagues</w:t>
      </w:r>
      <w:r>
        <w:rPr>
          <w:color w:val="231F20"/>
          <w:spacing w:val="80"/>
        </w:rPr>
        <w:t xml:space="preserve"> </w:t>
      </w:r>
      <w:r>
        <w:rPr>
          <w:color w:val="231F20"/>
        </w:rPr>
        <w:t>that increasingly cross borders and recruit players from a global pool. Sports such as football (soccer) are global phenomena yet there remain important</w:t>
      </w:r>
      <w:r>
        <w:rPr>
          <w:color w:val="231F20"/>
          <w:spacing w:val="-4"/>
        </w:rPr>
        <w:t xml:space="preserve"> </w:t>
      </w:r>
      <w:r>
        <w:rPr>
          <w:color w:val="231F20"/>
        </w:rPr>
        <w:t>distinctions</w:t>
      </w:r>
      <w:r>
        <w:rPr>
          <w:color w:val="231F20"/>
          <w:spacing w:val="-4"/>
        </w:rPr>
        <w:t xml:space="preserve"> </w:t>
      </w:r>
      <w:r>
        <w:rPr>
          <w:color w:val="231F20"/>
        </w:rPr>
        <w:t>in</w:t>
      </w:r>
      <w:r>
        <w:rPr>
          <w:color w:val="231F20"/>
          <w:spacing w:val="-4"/>
        </w:rPr>
        <w:t xml:space="preserve"> </w:t>
      </w:r>
      <w:r>
        <w:rPr>
          <w:color w:val="231F20"/>
        </w:rPr>
        <w:t>the</w:t>
      </w:r>
      <w:r>
        <w:rPr>
          <w:color w:val="231F20"/>
          <w:spacing w:val="-4"/>
        </w:rPr>
        <w:t xml:space="preserve"> </w:t>
      </w:r>
      <w:r>
        <w:rPr>
          <w:color w:val="231F20"/>
        </w:rPr>
        <w:t>way</w:t>
      </w:r>
      <w:r>
        <w:rPr>
          <w:color w:val="231F20"/>
          <w:spacing w:val="-4"/>
        </w:rPr>
        <w:t xml:space="preserve"> </w:t>
      </w:r>
      <w:r>
        <w:rPr>
          <w:color w:val="231F20"/>
        </w:rPr>
        <w:t>the</w:t>
      </w:r>
      <w:r>
        <w:rPr>
          <w:color w:val="231F20"/>
          <w:spacing w:val="-4"/>
        </w:rPr>
        <w:t xml:space="preserve"> </w:t>
      </w:r>
      <w:r>
        <w:rPr>
          <w:color w:val="231F20"/>
        </w:rPr>
        <w:t>game</w:t>
      </w:r>
      <w:r>
        <w:rPr>
          <w:color w:val="231F20"/>
          <w:spacing w:val="-4"/>
        </w:rPr>
        <w:t xml:space="preserve"> </w:t>
      </w:r>
      <w:r>
        <w:rPr>
          <w:color w:val="231F20"/>
        </w:rPr>
        <w:t>is</w:t>
      </w:r>
      <w:r>
        <w:rPr>
          <w:color w:val="231F20"/>
          <w:spacing w:val="-4"/>
        </w:rPr>
        <w:t xml:space="preserve"> </w:t>
      </w:r>
      <w:r>
        <w:rPr>
          <w:color w:val="231F20"/>
        </w:rPr>
        <w:t>played</w:t>
      </w:r>
      <w:r>
        <w:rPr>
          <w:color w:val="231F20"/>
          <w:spacing w:val="-4"/>
        </w:rPr>
        <w:t xml:space="preserve"> </w:t>
      </w:r>
      <w:r>
        <w:rPr>
          <w:color w:val="231F20"/>
        </w:rPr>
        <w:t>in</w:t>
      </w:r>
      <w:r>
        <w:rPr>
          <w:color w:val="231F20"/>
          <w:spacing w:val="-4"/>
        </w:rPr>
        <w:t xml:space="preserve"> </w:t>
      </w:r>
      <w:r>
        <w:rPr>
          <w:color w:val="231F20"/>
        </w:rPr>
        <w:t>different</w:t>
      </w:r>
      <w:r>
        <w:rPr>
          <w:color w:val="231F20"/>
          <w:spacing w:val="-4"/>
        </w:rPr>
        <w:t xml:space="preserve"> </w:t>
      </w:r>
      <w:r>
        <w:rPr>
          <w:color w:val="231F20"/>
        </w:rPr>
        <w:t>parts</w:t>
      </w:r>
      <w:r>
        <w:rPr>
          <w:color w:val="231F20"/>
          <w:spacing w:val="-4"/>
        </w:rPr>
        <w:t xml:space="preserve"> </w:t>
      </w:r>
      <w:r>
        <w:rPr>
          <w:color w:val="231F20"/>
        </w:rPr>
        <w:t>of the world. These differences represent</w:t>
      </w:r>
      <w:r>
        <w:rPr>
          <w:color w:val="231F20"/>
        </w:rPr>
        <w:t xml:space="preserve"> opportunities for sport tourism development. In such cases, sport can contribute to the unique regional character</w:t>
      </w:r>
      <w:r>
        <w:rPr>
          <w:color w:val="231F20"/>
          <w:spacing w:val="-1"/>
        </w:rPr>
        <w:t xml:space="preserve"> </w:t>
      </w:r>
      <w:r>
        <w:rPr>
          <w:color w:val="231F20"/>
        </w:rPr>
        <w:t>of</w:t>
      </w:r>
      <w:r>
        <w:rPr>
          <w:color w:val="231F20"/>
          <w:spacing w:val="-1"/>
        </w:rPr>
        <w:t xml:space="preserve"> </w:t>
      </w:r>
      <w:r>
        <w:rPr>
          <w:color w:val="231F20"/>
        </w:rPr>
        <w:t>a</w:t>
      </w:r>
      <w:r>
        <w:rPr>
          <w:color w:val="231F20"/>
          <w:spacing w:val="-1"/>
        </w:rPr>
        <w:t xml:space="preserve"> </w:t>
      </w:r>
      <w:r>
        <w:rPr>
          <w:color w:val="231F20"/>
        </w:rPr>
        <w:t>place</w:t>
      </w:r>
      <w:r>
        <w:rPr>
          <w:color w:val="231F20"/>
          <w:spacing w:val="-1"/>
        </w:rPr>
        <w:t xml:space="preserve"> </w:t>
      </w:r>
      <w:r>
        <w:rPr>
          <w:color w:val="231F20"/>
        </w:rPr>
        <w:t>thereby</w:t>
      </w:r>
      <w:r>
        <w:rPr>
          <w:color w:val="231F20"/>
          <w:spacing w:val="-1"/>
        </w:rPr>
        <w:t xml:space="preserve"> </w:t>
      </w:r>
      <w:r>
        <w:rPr>
          <w:color w:val="231F20"/>
        </w:rPr>
        <w:t>providing</w:t>
      </w:r>
      <w:r>
        <w:rPr>
          <w:color w:val="231F20"/>
          <w:spacing w:val="-1"/>
        </w:rPr>
        <w:t xml:space="preserve"> </w:t>
      </w:r>
      <w:r>
        <w:rPr>
          <w:color w:val="231F20"/>
        </w:rPr>
        <w:t>a</w:t>
      </w:r>
      <w:r>
        <w:rPr>
          <w:color w:val="231F20"/>
          <w:spacing w:val="-1"/>
        </w:rPr>
        <w:t xml:space="preserve"> </w:t>
      </w:r>
      <w:r>
        <w:rPr>
          <w:color w:val="231F20"/>
        </w:rPr>
        <w:t>competitive</w:t>
      </w:r>
      <w:r>
        <w:rPr>
          <w:color w:val="231F20"/>
          <w:spacing w:val="-1"/>
        </w:rPr>
        <w:t xml:space="preserve"> </w:t>
      </w:r>
      <w:r>
        <w:rPr>
          <w:color w:val="231F20"/>
        </w:rPr>
        <w:t>tourism</w:t>
      </w:r>
      <w:r>
        <w:rPr>
          <w:color w:val="231F20"/>
          <w:spacing w:val="-1"/>
        </w:rPr>
        <w:t xml:space="preserve"> </w:t>
      </w:r>
      <w:r>
        <w:rPr>
          <w:color w:val="231F20"/>
        </w:rPr>
        <w:t>advantage. Major</w:t>
      </w:r>
      <w:r>
        <w:rPr>
          <w:color w:val="231F20"/>
          <w:spacing w:val="-10"/>
        </w:rPr>
        <w:t xml:space="preserve"> </w:t>
      </w:r>
      <w:r>
        <w:rPr>
          <w:color w:val="231F20"/>
        </w:rPr>
        <w:t>investments</w:t>
      </w:r>
      <w:r>
        <w:rPr>
          <w:color w:val="231F20"/>
          <w:spacing w:val="-10"/>
        </w:rPr>
        <w:t xml:space="preserve"> </w:t>
      </w:r>
      <w:r>
        <w:rPr>
          <w:color w:val="231F20"/>
        </w:rPr>
        <w:t>in</w:t>
      </w:r>
      <w:r>
        <w:rPr>
          <w:color w:val="231F20"/>
          <w:spacing w:val="-10"/>
        </w:rPr>
        <w:t xml:space="preserve"> </w:t>
      </w:r>
      <w:r>
        <w:rPr>
          <w:color w:val="231F20"/>
        </w:rPr>
        <w:t>sport</w:t>
      </w:r>
      <w:r>
        <w:rPr>
          <w:color w:val="231F20"/>
          <w:spacing w:val="-10"/>
        </w:rPr>
        <w:t xml:space="preserve"> </w:t>
      </w:r>
      <w:r>
        <w:rPr>
          <w:color w:val="231F20"/>
        </w:rPr>
        <w:t>events,</w:t>
      </w:r>
      <w:r>
        <w:rPr>
          <w:color w:val="231F20"/>
          <w:spacing w:val="-10"/>
        </w:rPr>
        <w:t xml:space="preserve"> </w:t>
      </w:r>
      <w:r>
        <w:rPr>
          <w:color w:val="231F20"/>
        </w:rPr>
        <w:t>like</w:t>
      </w:r>
      <w:r>
        <w:rPr>
          <w:color w:val="231F20"/>
          <w:spacing w:val="-10"/>
        </w:rPr>
        <w:t xml:space="preserve"> </w:t>
      </w:r>
      <w:r>
        <w:rPr>
          <w:color w:val="231F20"/>
        </w:rPr>
        <w:t>South</w:t>
      </w:r>
      <w:r>
        <w:rPr>
          <w:color w:val="231F20"/>
          <w:spacing w:val="-10"/>
        </w:rPr>
        <w:t xml:space="preserve"> </w:t>
      </w:r>
      <w:r>
        <w:rPr>
          <w:color w:val="231F20"/>
        </w:rPr>
        <w:t>Africa’s</w:t>
      </w:r>
      <w:r>
        <w:rPr>
          <w:color w:val="231F20"/>
          <w:spacing w:val="-10"/>
        </w:rPr>
        <w:t xml:space="preserve"> </w:t>
      </w:r>
      <w:r>
        <w:rPr>
          <w:color w:val="231F20"/>
        </w:rPr>
        <w:t>hosting</w:t>
      </w:r>
      <w:r>
        <w:rPr>
          <w:color w:val="231F20"/>
          <w:spacing w:val="-10"/>
        </w:rPr>
        <w:t xml:space="preserve"> </w:t>
      </w:r>
      <w:r>
        <w:rPr>
          <w:color w:val="231F20"/>
        </w:rPr>
        <w:t>of</w:t>
      </w:r>
      <w:r>
        <w:rPr>
          <w:color w:val="231F20"/>
          <w:spacing w:val="-10"/>
        </w:rPr>
        <w:t xml:space="preserve"> </w:t>
      </w:r>
      <w:r>
        <w:rPr>
          <w:color w:val="231F20"/>
        </w:rPr>
        <w:t>the</w:t>
      </w:r>
      <w:r>
        <w:rPr>
          <w:color w:val="231F20"/>
          <w:spacing w:val="-10"/>
        </w:rPr>
        <w:t xml:space="preserve"> </w:t>
      </w:r>
      <w:r>
        <w:rPr>
          <w:color w:val="231F20"/>
        </w:rPr>
        <w:t>2010 FIFA</w:t>
      </w:r>
      <w:r>
        <w:rPr>
          <w:color w:val="231F20"/>
          <w:spacing w:val="26"/>
        </w:rPr>
        <w:t xml:space="preserve"> </w:t>
      </w:r>
      <w:r>
        <w:rPr>
          <w:color w:val="231F20"/>
        </w:rPr>
        <w:t>World</w:t>
      </w:r>
      <w:r>
        <w:rPr>
          <w:color w:val="231F20"/>
          <w:spacing w:val="26"/>
        </w:rPr>
        <w:t xml:space="preserve"> </w:t>
      </w:r>
      <w:r>
        <w:rPr>
          <w:color w:val="231F20"/>
        </w:rPr>
        <w:t>Cup,</w:t>
      </w:r>
      <w:r>
        <w:rPr>
          <w:color w:val="231F20"/>
          <w:spacing w:val="26"/>
        </w:rPr>
        <w:t xml:space="preserve"> </w:t>
      </w:r>
      <w:r>
        <w:rPr>
          <w:color w:val="231F20"/>
        </w:rPr>
        <w:t>are</w:t>
      </w:r>
      <w:r>
        <w:rPr>
          <w:color w:val="231F20"/>
          <w:spacing w:val="26"/>
        </w:rPr>
        <w:t xml:space="preserve"> </w:t>
      </w:r>
      <w:r>
        <w:rPr>
          <w:color w:val="231F20"/>
        </w:rPr>
        <w:t>justified</w:t>
      </w:r>
      <w:r>
        <w:rPr>
          <w:color w:val="231F20"/>
          <w:spacing w:val="26"/>
        </w:rPr>
        <w:t xml:space="preserve"> </w:t>
      </w:r>
      <w:r>
        <w:rPr>
          <w:color w:val="231F20"/>
        </w:rPr>
        <w:t>as</w:t>
      </w:r>
      <w:r>
        <w:rPr>
          <w:color w:val="231F20"/>
          <w:spacing w:val="26"/>
        </w:rPr>
        <w:t xml:space="preserve"> </w:t>
      </w:r>
      <w:r>
        <w:rPr>
          <w:color w:val="231F20"/>
        </w:rPr>
        <w:t>ways</w:t>
      </w:r>
      <w:r>
        <w:rPr>
          <w:color w:val="231F20"/>
          <w:spacing w:val="26"/>
        </w:rPr>
        <w:t xml:space="preserve"> </w:t>
      </w:r>
      <w:r>
        <w:rPr>
          <w:color w:val="231F20"/>
        </w:rPr>
        <w:t>to</w:t>
      </w:r>
      <w:r>
        <w:rPr>
          <w:color w:val="231F20"/>
          <w:spacing w:val="26"/>
        </w:rPr>
        <w:t xml:space="preserve"> </w:t>
      </w:r>
      <w:r>
        <w:rPr>
          <w:color w:val="231F20"/>
        </w:rPr>
        <w:t>position</w:t>
      </w:r>
      <w:r>
        <w:rPr>
          <w:color w:val="231F20"/>
          <w:spacing w:val="26"/>
        </w:rPr>
        <w:t xml:space="preserve"> </w:t>
      </w:r>
      <w:r>
        <w:rPr>
          <w:color w:val="231F20"/>
        </w:rPr>
        <w:t>cities</w:t>
      </w:r>
      <w:r>
        <w:rPr>
          <w:color w:val="231F20"/>
          <w:spacing w:val="26"/>
        </w:rPr>
        <w:t xml:space="preserve"> </w:t>
      </w:r>
      <w:r>
        <w:rPr>
          <w:color w:val="231F20"/>
        </w:rPr>
        <w:t>and</w:t>
      </w:r>
      <w:r>
        <w:rPr>
          <w:color w:val="231F20"/>
          <w:spacing w:val="26"/>
        </w:rPr>
        <w:t xml:space="preserve"> </w:t>
      </w:r>
      <w:r>
        <w:rPr>
          <w:color w:val="231F20"/>
        </w:rPr>
        <w:t>countries in the global marketplace (Case Study 4.1, Brendon Knott). The third major</w:t>
      </w:r>
      <w:r>
        <w:rPr>
          <w:color w:val="231F20"/>
          <w:spacing w:val="-11"/>
        </w:rPr>
        <w:t xml:space="preserve"> </w:t>
      </w:r>
      <w:r>
        <w:rPr>
          <w:color w:val="231F20"/>
        </w:rPr>
        <w:t>development</w:t>
      </w:r>
      <w:r>
        <w:rPr>
          <w:color w:val="231F20"/>
          <w:spacing w:val="-11"/>
        </w:rPr>
        <w:t xml:space="preserve"> </w:t>
      </w:r>
      <w:r>
        <w:rPr>
          <w:color w:val="231F20"/>
        </w:rPr>
        <w:t>issue</w:t>
      </w:r>
      <w:r>
        <w:rPr>
          <w:color w:val="231F20"/>
          <w:spacing w:val="-11"/>
        </w:rPr>
        <w:t xml:space="preserve"> </w:t>
      </w:r>
      <w:r>
        <w:rPr>
          <w:color w:val="231F20"/>
        </w:rPr>
        <w:t>highlighted</w:t>
      </w:r>
      <w:r>
        <w:rPr>
          <w:color w:val="231F20"/>
          <w:spacing w:val="-11"/>
        </w:rPr>
        <w:t xml:space="preserve"> </w:t>
      </w:r>
      <w:r>
        <w:rPr>
          <w:color w:val="231F20"/>
        </w:rPr>
        <w:t>was</w:t>
      </w:r>
      <w:r>
        <w:rPr>
          <w:color w:val="231F20"/>
          <w:spacing w:val="-11"/>
        </w:rPr>
        <w:t xml:space="preserve"> </w:t>
      </w:r>
      <w:r>
        <w:rPr>
          <w:color w:val="231F20"/>
        </w:rPr>
        <w:t>the</w:t>
      </w:r>
      <w:r>
        <w:rPr>
          <w:color w:val="231F20"/>
          <w:spacing w:val="-11"/>
        </w:rPr>
        <w:t xml:space="preserve"> </w:t>
      </w:r>
      <w:r>
        <w:rPr>
          <w:color w:val="231F20"/>
        </w:rPr>
        <w:t>challenge</w:t>
      </w:r>
      <w:r>
        <w:rPr>
          <w:color w:val="231F20"/>
          <w:spacing w:val="-11"/>
        </w:rPr>
        <w:t xml:space="preserve"> </w:t>
      </w:r>
      <w:r>
        <w:rPr>
          <w:color w:val="231F20"/>
        </w:rPr>
        <w:t>of</w:t>
      </w:r>
      <w:r>
        <w:rPr>
          <w:color w:val="231F20"/>
          <w:spacing w:val="-11"/>
        </w:rPr>
        <w:t xml:space="preserve"> </w:t>
      </w:r>
      <w:r>
        <w:rPr>
          <w:color w:val="231F20"/>
        </w:rPr>
        <w:t>organisational fragmentation. Attempts to overcome the problem of fragmentation through the creation of sport tourism alliances have been encouraging. Continued</w:t>
      </w:r>
      <w:r>
        <w:rPr>
          <w:color w:val="231F20"/>
          <w:spacing w:val="-4"/>
        </w:rPr>
        <w:t xml:space="preserve"> </w:t>
      </w:r>
      <w:r>
        <w:rPr>
          <w:color w:val="231F20"/>
        </w:rPr>
        <w:t>articulation</w:t>
      </w:r>
      <w:r>
        <w:rPr>
          <w:color w:val="231F20"/>
          <w:spacing w:val="-4"/>
        </w:rPr>
        <w:t xml:space="preserve"> </w:t>
      </w:r>
      <w:r>
        <w:rPr>
          <w:color w:val="231F20"/>
        </w:rPr>
        <w:t>of</w:t>
      </w:r>
      <w:r>
        <w:rPr>
          <w:color w:val="231F20"/>
          <w:spacing w:val="-4"/>
        </w:rPr>
        <w:t xml:space="preserve"> </w:t>
      </w:r>
      <w:r>
        <w:rPr>
          <w:color w:val="231F20"/>
        </w:rPr>
        <w:t>the</w:t>
      </w:r>
      <w:r>
        <w:rPr>
          <w:color w:val="231F20"/>
          <w:spacing w:val="-4"/>
        </w:rPr>
        <w:t xml:space="preserve"> </w:t>
      </w:r>
      <w:r>
        <w:rPr>
          <w:color w:val="231F20"/>
        </w:rPr>
        <w:t>benefits</w:t>
      </w:r>
      <w:r>
        <w:rPr>
          <w:color w:val="231F20"/>
          <w:spacing w:val="-4"/>
        </w:rPr>
        <w:t xml:space="preserve"> </w:t>
      </w:r>
      <w:r>
        <w:rPr>
          <w:color w:val="231F20"/>
        </w:rPr>
        <w:t>of</w:t>
      </w:r>
      <w:r>
        <w:rPr>
          <w:color w:val="231F20"/>
          <w:spacing w:val="-4"/>
        </w:rPr>
        <w:t xml:space="preserve"> </w:t>
      </w:r>
      <w:r>
        <w:rPr>
          <w:color w:val="231F20"/>
        </w:rPr>
        <w:t>cooperation</w:t>
      </w:r>
      <w:r>
        <w:rPr>
          <w:color w:val="231F20"/>
          <w:spacing w:val="-4"/>
        </w:rPr>
        <w:t xml:space="preserve"> </w:t>
      </w:r>
      <w:r>
        <w:rPr>
          <w:color w:val="231F20"/>
        </w:rPr>
        <w:t>is</w:t>
      </w:r>
      <w:r>
        <w:rPr>
          <w:color w:val="231F20"/>
          <w:spacing w:val="-4"/>
        </w:rPr>
        <w:t xml:space="preserve"> </w:t>
      </w:r>
      <w:r>
        <w:rPr>
          <w:color w:val="231F20"/>
        </w:rPr>
        <w:t>required.</w:t>
      </w:r>
      <w:r>
        <w:rPr>
          <w:color w:val="231F20"/>
          <w:spacing w:val="-4"/>
        </w:rPr>
        <w:t xml:space="preserve"> </w:t>
      </w:r>
      <w:r>
        <w:rPr>
          <w:color w:val="231F20"/>
        </w:rPr>
        <w:t>If</w:t>
      </w:r>
      <w:r>
        <w:rPr>
          <w:color w:val="231F20"/>
          <w:spacing w:val="-4"/>
        </w:rPr>
        <w:t xml:space="preserve"> </w:t>
      </w:r>
      <w:r>
        <w:rPr>
          <w:color w:val="231F20"/>
        </w:rPr>
        <w:t xml:space="preserve">these </w:t>
      </w:r>
      <w:r>
        <w:rPr>
          <w:color w:val="231F20"/>
          <w:w w:val="95"/>
        </w:rPr>
        <w:t>benefits</w:t>
      </w:r>
      <w:r>
        <w:rPr>
          <w:color w:val="231F20"/>
          <w:spacing w:val="-3"/>
          <w:w w:val="95"/>
        </w:rPr>
        <w:t xml:space="preserve"> </w:t>
      </w:r>
      <w:r>
        <w:rPr>
          <w:color w:val="231F20"/>
          <w:w w:val="95"/>
        </w:rPr>
        <w:t>cannot</w:t>
      </w:r>
      <w:r>
        <w:rPr>
          <w:color w:val="231F20"/>
          <w:spacing w:val="-3"/>
          <w:w w:val="95"/>
        </w:rPr>
        <w:t xml:space="preserve"> </w:t>
      </w:r>
      <w:r>
        <w:rPr>
          <w:color w:val="231F20"/>
          <w:w w:val="95"/>
        </w:rPr>
        <w:t>be</w:t>
      </w:r>
      <w:r>
        <w:rPr>
          <w:color w:val="231F20"/>
          <w:spacing w:val="-3"/>
          <w:w w:val="95"/>
        </w:rPr>
        <w:t xml:space="preserve"> </w:t>
      </w:r>
      <w:r>
        <w:rPr>
          <w:color w:val="231F20"/>
          <w:w w:val="95"/>
        </w:rPr>
        <w:t>demonstrat</w:t>
      </w:r>
      <w:r>
        <w:rPr>
          <w:color w:val="231F20"/>
          <w:w w:val="95"/>
        </w:rPr>
        <w:t>ed,</w:t>
      </w:r>
      <w:r>
        <w:rPr>
          <w:color w:val="231F20"/>
          <w:spacing w:val="-3"/>
          <w:w w:val="95"/>
        </w:rPr>
        <w:t xml:space="preserve"> </w:t>
      </w:r>
      <w:r>
        <w:rPr>
          <w:color w:val="231F20"/>
          <w:w w:val="95"/>
        </w:rPr>
        <w:t>it</w:t>
      </w:r>
      <w:r>
        <w:rPr>
          <w:color w:val="231F20"/>
          <w:spacing w:val="-3"/>
          <w:w w:val="95"/>
        </w:rPr>
        <w:t xml:space="preserve"> </w:t>
      </w:r>
      <w:r>
        <w:rPr>
          <w:color w:val="231F20"/>
          <w:w w:val="95"/>
        </w:rPr>
        <w:t>is</w:t>
      </w:r>
      <w:r>
        <w:rPr>
          <w:color w:val="231F20"/>
          <w:spacing w:val="-3"/>
          <w:w w:val="95"/>
        </w:rPr>
        <w:t xml:space="preserve"> </w:t>
      </w:r>
      <w:r>
        <w:rPr>
          <w:color w:val="231F20"/>
          <w:w w:val="95"/>
        </w:rPr>
        <w:t>unlikely</w:t>
      </w:r>
      <w:r>
        <w:rPr>
          <w:color w:val="231F20"/>
          <w:spacing w:val="-3"/>
          <w:w w:val="95"/>
        </w:rPr>
        <w:t xml:space="preserve"> </w:t>
      </w:r>
      <w:r>
        <w:rPr>
          <w:color w:val="231F20"/>
          <w:w w:val="95"/>
        </w:rPr>
        <w:t>that</w:t>
      </w:r>
      <w:r>
        <w:rPr>
          <w:color w:val="231F20"/>
          <w:spacing w:val="-3"/>
          <w:w w:val="95"/>
        </w:rPr>
        <w:t xml:space="preserve"> </w:t>
      </w:r>
      <w:r>
        <w:rPr>
          <w:color w:val="231F20"/>
          <w:w w:val="95"/>
        </w:rPr>
        <w:t>the</w:t>
      </w:r>
      <w:r>
        <w:rPr>
          <w:color w:val="231F20"/>
          <w:spacing w:val="-3"/>
          <w:w w:val="95"/>
        </w:rPr>
        <w:t xml:space="preserve"> </w:t>
      </w:r>
      <w:r>
        <w:rPr>
          <w:color w:val="231F20"/>
          <w:w w:val="95"/>
        </w:rPr>
        <w:t>various</w:t>
      </w:r>
      <w:r>
        <w:rPr>
          <w:color w:val="231F20"/>
          <w:spacing w:val="-3"/>
          <w:w w:val="95"/>
        </w:rPr>
        <w:t xml:space="preserve"> </w:t>
      </w:r>
      <w:r>
        <w:rPr>
          <w:color w:val="231F20"/>
          <w:w w:val="95"/>
        </w:rPr>
        <w:t xml:space="preserve">stakeholders in sport tourism, including sports event organisers and promoters, sports </w:t>
      </w:r>
      <w:r>
        <w:rPr>
          <w:color w:val="231F20"/>
        </w:rPr>
        <w:t>associations, managers of sporting venues, destination managers and tourism marketers, will work in a cooperative fashion.</w:t>
      </w:r>
    </w:p>
    <w:p w14:paraId="16A5006E" w14:textId="77777777" w:rsidR="00AE0598" w:rsidRDefault="00AE0598">
      <w:pPr>
        <w:pStyle w:val="Corpodetexto"/>
        <w:spacing w:before="5"/>
        <w:rPr>
          <w:sz w:val="31"/>
        </w:rPr>
      </w:pPr>
    </w:p>
    <w:p w14:paraId="530E26BF" w14:textId="77777777" w:rsidR="00AE0598" w:rsidRDefault="0069255A">
      <w:pPr>
        <w:ind w:left="110"/>
        <w:jc w:val="both"/>
        <w:rPr>
          <w:rFonts w:ascii="Trebuchet MS"/>
          <w:b/>
          <w:sz w:val="20"/>
        </w:rPr>
      </w:pPr>
      <w:r>
        <w:rPr>
          <w:rFonts w:ascii="Trebuchet MS"/>
          <w:b/>
          <w:color w:val="231F20"/>
          <w:sz w:val="20"/>
        </w:rPr>
        <w:t>Sport</w:t>
      </w:r>
      <w:r>
        <w:rPr>
          <w:rFonts w:ascii="Trebuchet MS"/>
          <w:b/>
          <w:color w:val="231F20"/>
          <w:spacing w:val="5"/>
          <w:sz w:val="20"/>
        </w:rPr>
        <w:t xml:space="preserve"> </w:t>
      </w:r>
      <w:r>
        <w:rPr>
          <w:rFonts w:ascii="Trebuchet MS"/>
          <w:b/>
          <w:color w:val="231F20"/>
          <w:sz w:val="20"/>
        </w:rPr>
        <w:t>Tou</w:t>
      </w:r>
      <w:r>
        <w:rPr>
          <w:rFonts w:ascii="Trebuchet MS"/>
          <w:b/>
          <w:color w:val="231F20"/>
          <w:sz w:val="20"/>
        </w:rPr>
        <w:t>rism</w:t>
      </w:r>
      <w:r>
        <w:rPr>
          <w:rFonts w:ascii="Trebuchet MS"/>
          <w:b/>
          <w:color w:val="231F20"/>
          <w:spacing w:val="6"/>
          <w:sz w:val="20"/>
        </w:rPr>
        <w:t xml:space="preserve"> </w:t>
      </w:r>
      <w:r>
        <w:rPr>
          <w:rFonts w:ascii="Trebuchet MS"/>
          <w:b/>
          <w:color w:val="231F20"/>
          <w:sz w:val="20"/>
        </w:rPr>
        <w:t>Development</w:t>
      </w:r>
      <w:r>
        <w:rPr>
          <w:rFonts w:ascii="Trebuchet MS"/>
          <w:b/>
          <w:color w:val="231F20"/>
          <w:spacing w:val="6"/>
          <w:sz w:val="20"/>
        </w:rPr>
        <w:t xml:space="preserve"> </w:t>
      </w:r>
      <w:r>
        <w:rPr>
          <w:rFonts w:ascii="Trebuchet MS"/>
          <w:b/>
          <w:color w:val="231F20"/>
          <w:sz w:val="20"/>
        </w:rPr>
        <w:t>and</w:t>
      </w:r>
      <w:r>
        <w:rPr>
          <w:rFonts w:ascii="Trebuchet MS"/>
          <w:b/>
          <w:color w:val="231F20"/>
          <w:spacing w:val="6"/>
          <w:sz w:val="20"/>
        </w:rPr>
        <w:t xml:space="preserve"> </w:t>
      </w:r>
      <w:r>
        <w:rPr>
          <w:rFonts w:ascii="Trebuchet MS"/>
          <w:b/>
          <w:color w:val="231F20"/>
          <w:spacing w:val="-4"/>
          <w:sz w:val="20"/>
        </w:rPr>
        <w:t>Space</w:t>
      </w:r>
    </w:p>
    <w:p w14:paraId="60F13C5C" w14:textId="77777777" w:rsidR="00AE0598" w:rsidRDefault="0069255A">
      <w:pPr>
        <w:pStyle w:val="Corpodetexto"/>
        <w:spacing w:before="122" w:line="232" w:lineRule="auto"/>
        <w:ind w:left="110" w:right="126" w:firstLine="320"/>
        <w:jc w:val="both"/>
      </w:pPr>
      <w:r>
        <w:rPr>
          <w:color w:val="231F20"/>
        </w:rPr>
        <w:t>Key</w:t>
      </w:r>
      <w:r>
        <w:rPr>
          <w:color w:val="231F20"/>
          <w:spacing w:val="-4"/>
        </w:rPr>
        <w:t xml:space="preserve"> </w:t>
      </w:r>
      <w:r>
        <w:rPr>
          <w:color w:val="231F20"/>
        </w:rPr>
        <w:t>themes</w:t>
      </w:r>
      <w:r>
        <w:rPr>
          <w:color w:val="231F20"/>
          <w:spacing w:val="-4"/>
        </w:rPr>
        <w:t xml:space="preserve"> </w:t>
      </w:r>
      <w:r>
        <w:rPr>
          <w:color w:val="231F20"/>
        </w:rPr>
        <w:t>within</w:t>
      </w:r>
      <w:r>
        <w:rPr>
          <w:color w:val="231F20"/>
          <w:spacing w:val="-4"/>
        </w:rPr>
        <w:t xml:space="preserve"> </w:t>
      </w:r>
      <w:r>
        <w:rPr>
          <w:color w:val="231F20"/>
        </w:rPr>
        <w:t>the</w:t>
      </w:r>
      <w:r>
        <w:rPr>
          <w:color w:val="231F20"/>
          <w:spacing w:val="-4"/>
        </w:rPr>
        <w:t xml:space="preserve"> </w:t>
      </w:r>
      <w:r>
        <w:rPr>
          <w:color w:val="231F20"/>
        </w:rPr>
        <w:t>spatial</w:t>
      </w:r>
      <w:r>
        <w:rPr>
          <w:color w:val="231F20"/>
          <w:spacing w:val="-4"/>
        </w:rPr>
        <w:t xml:space="preserve"> </w:t>
      </w:r>
      <w:r>
        <w:rPr>
          <w:color w:val="231F20"/>
        </w:rPr>
        <w:t>analysis</w:t>
      </w:r>
      <w:r>
        <w:rPr>
          <w:color w:val="231F20"/>
          <w:spacing w:val="-4"/>
        </w:rPr>
        <w:t xml:space="preserve"> </w:t>
      </w:r>
      <w:r>
        <w:rPr>
          <w:color w:val="231F20"/>
        </w:rPr>
        <w:t>of</w:t>
      </w:r>
      <w:r>
        <w:rPr>
          <w:color w:val="231F20"/>
          <w:spacing w:val="-4"/>
        </w:rPr>
        <w:t xml:space="preserve"> </w:t>
      </w:r>
      <w:r>
        <w:rPr>
          <w:color w:val="231F20"/>
        </w:rPr>
        <w:t>sport</w:t>
      </w:r>
      <w:r>
        <w:rPr>
          <w:color w:val="231F20"/>
          <w:spacing w:val="-4"/>
        </w:rPr>
        <w:t xml:space="preserve"> </w:t>
      </w:r>
      <w:r>
        <w:rPr>
          <w:color w:val="231F20"/>
        </w:rPr>
        <w:t>tourism</w:t>
      </w:r>
      <w:r>
        <w:rPr>
          <w:color w:val="231F20"/>
          <w:spacing w:val="-4"/>
        </w:rPr>
        <w:t xml:space="preserve"> </w:t>
      </w:r>
      <w:r>
        <w:rPr>
          <w:color w:val="231F20"/>
        </w:rPr>
        <w:t>development are</w:t>
      </w:r>
      <w:r>
        <w:rPr>
          <w:color w:val="231F20"/>
          <w:spacing w:val="-7"/>
        </w:rPr>
        <w:t xml:space="preserve"> </w:t>
      </w:r>
      <w:r>
        <w:rPr>
          <w:color w:val="231F20"/>
        </w:rPr>
        <w:t>the</w:t>
      </w:r>
      <w:r>
        <w:rPr>
          <w:color w:val="231F20"/>
          <w:spacing w:val="-7"/>
        </w:rPr>
        <w:t xml:space="preserve"> </w:t>
      </w:r>
      <w:r>
        <w:rPr>
          <w:color w:val="231F20"/>
        </w:rPr>
        <w:t>study</w:t>
      </w:r>
      <w:r>
        <w:rPr>
          <w:color w:val="231F20"/>
          <w:spacing w:val="-7"/>
        </w:rPr>
        <w:t xml:space="preserve"> </w:t>
      </w:r>
      <w:r>
        <w:rPr>
          <w:color w:val="231F20"/>
        </w:rPr>
        <w:t>of</w:t>
      </w:r>
      <w:r>
        <w:rPr>
          <w:color w:val="231F20"/>
          <w:spacing w:val="-7"/>
        </w:rPr>
        <w:t xml:space="preserve"> </w:t>
      </w:r>
      <w:r>
        <w:rPr>
          <w:color w:val="231F20"/>
        </w:rPr>
        <w:t>the</w:t>
      </w:r>
      <w:r>
        <w:rPr>
          <w:color w:val="231F20"/>
          <w:spacing w:val="-7"/>
        </w:rPr>
        <w:t xml:space="preserve"> </w:t>
      </w:r>
      <w:r>
        <w:rPr>
          <w:color w:val="231F20"/>
        </w:rPr>
        <w:t>locations</w:t>
      </w:r>
      <w:r>
        <w:rPr>
          <w:color w:val="231F20"/>
          <w:spacing w:val="-7"/>
        </w:rPr>
        <w:t xml:space="preserve"> </w:t>
      </w:r>
      <w:r>
        <w:rPr>
          <w:color w:val="231F20"/>
        </w:rPr>
        <w:t>and</w:t>
      </w:r>
      <w:r>
        <w:rPr>
          <w:color w:val="231F20"/>
          <w:spacing w:val="-7"/>
        </w:rPr>
        <w:t xml:space="preserve"> </w:t>
      </w:r>
      <w:r>
        <w:rPr>
          <w:color w:val="231F20"/>
        </w:rPr>
        <w:t>travel</w:t>
      </w:r>
      <w:r>
        <w:rPr>
          <w:color w:val="231F20"/>
          <w:spacing w:val="-7"/>
        </w:rPr>
        <w:t xml:space="preserve"> </w:t>
      </w:r>
      <w:r>
        <w:rPr>
          <w:color w:val="231F20"/>
        </w:rPr>
        <w:t>flows</w:t>
      </w:r>
      <w:r>
        <w:rPr>
          <w:color w:val="231F20"/>
          <w:spacing w:val="-7"/>
        </w:rPr>
        <w:t xml:space="preserve"> </w:t>
      </w:r>
      <w:r>
        <w:rPr>
          <w:color w:val="231F20"/>
        </w:rPr>
        <w:t>associated</w:t>
      </w:r>
      <w:r>
        <w:rPr>
          <w:color w:val="231F20"/>
          <w:spacing w:val="-7"/>
        </w:rPr>
        <w:t xml:space="preserve"> </w:t>
      </w:r>
      <w:r>
        <w:rPr>
          <w:color w:val="231F20"/>
        </w:rPr>
        <w:t>with</w:t>
      </w:r>
      <w:r>
        <w:rPr>
          <w:color w:val="231F20"/>
          <w:spacing w:val="-7"/>
        </w:rPr>
        <w:t xml:space="preserve"> </w:t>
      </w:r>
      <w:r>
        <w:rPr>
          <w:color w:val="231F20"/>
        </w:rPr>
        <w:t>sports;</w:t>
      </w:r>
      <w:r>
        <w:rPr>
          <w:color w:val="231F20"/>
          <w:spacing w:val="-7"/>
        </w:rPr>
        <w:t xml:space="preserve"> </w:t>
      </w:r>
      <w:r>
        <w:rPr>
          <w:color w:val="231F20"/>
        </w:rPr>
        <w:t xml:space="preserve">the </w:t>
      </w:r>
      <w:r>
        <w:rPr>
          <w:color w:val="231F20"/>
          <w:w w:val="95"/>
        </w:rPr>
        <w:t xml:space="preserve">way that sport infuses space with meaning to create unique tourism places; and the resource requirements and impacts of sport tourism. In Chapter 5, we specifically addressed the spatial parameters of sport tourism, drawing </w:t>
      </w:r>
      <w:r>
        <w:rPr>
          <w:color w:val="231F20"/>
        </w:rPr>
        <w:t xml:space="preserve">on the geographical concepts of </w:t>
      </w:r>
      <w:r>
        <w:rPr>
          <w:color w:val="231F20"/>
        </w:rPr>
        <w:t xml:space="preserve">systems and scale, central place theory, </w:t>
      </w:r>
      <w:r>
        <w:rPr>
          <w:color w:val="231F20"/>
          <w:w w:val="95"/>
        </w:rPr>
        <w:t>location hierarchies, spatial travel flows and centre and periphery. Aspects</w:t>
      </w:r>
    </w:p>
    <w:p w14:paraId="21A5807F" w14:textId="77777777" w:rsidR="00AE0598" w:rsidRDefault="00AE0598">
      <w:pPr>
        <w:spacing w:line="232" w:lineRule="auto"/>
        <w:jc w:val="both"/>
        <w:sectPr w:rsidR="00AE0598">
          <w:pgSz w:w="8850" w:h="13270"/>
          <w:pgMar w:top="720" w:right="1060" w:bottom="280" w:left="1080" w:header="720" w:footer="720" w:gutter="0"/>
          <w:cols w:space="720"/>
        </w:sectPr>
      </w:pPr>
    </w:p>
    <w:p w14:paraId="653F5144" w14:textId="77777777" w:rsidR="00AE0598" w:rsidRDefault="0069255A">
      <w:pPr>
        <w:spacing w:before="87"/>
        <w:ind w:left="108"/>
        <w:rPr>
          <w:rFonts w:ascii="Trebuchet MS"/>
          <w:sz w:val="14"/>
        </w:rPr>
      </w:pPr>
      <w:r>
        <w:rPr>
          <w:rFonts w:ascii="Trebuchet MS"/>
          <w:color w:val="231F20"/>
          <w:w w:val="105"/>
          <w:sz w:val="14"/>
        </w:rPr>
        <w:lastRenderedPageBreak/>
        <w:t>232</w:t>
      </w:r>
      <w:r>
        <w:rPr>
          <w:rFonts w:ascii="Trebuchet MS"/>
          <w:color w:val="231F20"/>
          <w:spacing w:val="78"/>
          <w:w w:val="150"/>
          <w:sz w:val="14"/>
        </w:rPr>
        <w:t xml:space="preserve"> </w:t>
      </w:r>
      <w:r>
        <w:rPr>
          <w:rFonts w:ascii="Trebuchet MS"/>
          <w:color w:val="231F20"/>
          <w:spacing w:val="-2"/>
          <w:w w:val="105"/>
          <w:sz w:val="14"/>
        </w:rPr>
        <w:t>Conclusion</w:t>
      </w:r>
    </w:p>
    <w:p w14:paraId="491D8255" w14:textId="77777777" w:rsidR="00AE0598" w:rsidRDefault="00AE0598">
      <w:pPr>
        <w:pStyle w:val="Corpodetexto"/>
        <w:rPr>
          <w:rFonts w:ascii="Trebuchet MS"/>
          <w:sz w:val="16"/>
        </w:rPr>
      </w:pPr>
    </w:p>
    <w:p w14:paraId="0C1DCE8C" w14:textId="77777777" w:rsidR="00AE0598" w:rsidRDefault="0069255A">
      <w:pPr>
        <w:pStyle w:val="Corpodetexto"/>
        <w:spacing w:before="118" w:line="232" w:lineRule="auto"/>
        <w:ind w:left="110" w:right="127"/>
        <w:jc w:val="both"/>
      </w:pPr>
      <w:r>
        <w:rPr>
          <w:color w:val="231F20"/>
        </w:rPr>
        <w:t>of sport, tourism and space were critically illustrated in Case Study 5.1 (Arianne Reis) in relation to the Rio de Janeiro (Brazil) 2016 Olympic Games</w:t>
      </w:r>
      <w:r>
        <w:rPr>
          <w:color w:val="231F20"/>
          <w:spacing w:val="-1"/>
        </w:rPr>
        <w:t xml:space="preserve"> </w:t>
      </w:r>
      <w:r>
        <w:rPr>
          <w:color w:val="231F20"/>
        </w:rPr>
        <w:t>and</w:t>
      </w:r>
      <w:r>
        <w:rPr>
          <w:color w:val="231F20"/>
          <w:spacing w:val="-1"/>
        </w:rPr>
        <w:t xml:space="preserve"> </w:t>
      </w:r>
      <w:r>
        <w:rPr>
          <w:color w:val="231F20"/>
        </w:rPr>
        <w:t>the</w:t>
      </w:r>
      <w:r>
        <w:rPr>
          <w:color w:val="231F20"/>
          <w:spacing w:val="-1"/>
        </w:rPr>
        <w:t xml:space="preserve"> </w:t>
      </w:r>
      <w:r>
        <w:rPr>
          <w:color w:val="231F20"/>
        </w:rPr>
        <w:t>geographies</w:t>
      </w:r>
      <w:r>
        <w:rPr>
          <w:color w:val="231F20"/>
          <w:spacing w:val="-1"/>
        </w:rPr>
        <w:t xml:space="preserve"> </w:t>
      </w:r>
      <w:r>
        <w:rPr>
          <w:color w:val="231F20"/>
        </w:rPr>
        <w:t>of</w:t>
      </w:r>
      <w:r>
        <w:rPr>
          <w:color w:val="231F20"/>
          <w:spacing w:val="-1"/>
        </w:rPr>
        <w:t xml:space="preserve"> </w:t>
      </w:r>
      <w:r>
        <w:rPr>
          <w:color w:val="231F20"/>
        </w:rPr>
        <w:t>exclusion;</w:t>
      </w:r>
      <w:r>
        <w:rPr>
          <w:color w:val="231F20"/>
          <w:spacing w:val="-1"/>
        </w:rPr>
        <w:t xml:space="preserve"> </w:t>
      </w:r>
      <w:r>
        <w:rPr>
          <w:color w:val="231F20"/>
        </w:rPr>
        <w:t>and</w:t>
      </w:r>
      <w:r>
        <w:rPr>
          <w:color w:val="231F20"/>
          <w:spacing w:val="-1"/>
        </w:rPr>
        <w:t xml:space="preserve"> </w:t>
      </w:r>
      <w:r>
        <w:rPr>
          <w:color w:val="231F20"/>
        </w:rPr>
        <w:t>in</w:t>
      </w:r>
      <w:r>
        <w:rPr>
          <w:color w:val="231F20"/>
          <w:spacing w:val="-1"/>
        </w:rPr>
        <w:t xml:space="preserve"> </w:t>
      </w:r>
      <w:r>
        <w:rPr>
          <w:color w:val="231F20"/>
        </w:rPr>
        <w:t>Focus</w:t>
      </w:r>
      <w:r>
        <w:rPr>
          <w:color w:val="231F20"/>
          <w:spacing w:val="-1"/>
        </w:rPr>
        <w:t xml:space="preserve"> </w:t>
      </w:r>
      <w:r>
        <w:rPr>
          <w:color w:val="231F20"/>
        </w:rPr>
        <w:t>Points</w:t>
      </w:r>
      <w:r>
        <w:rPr>
          <w:color w:val="231F20"/>
          <w:spacing w:val="-1"/>
        </w:rPr>
        <w:t xml:space="preserve"> </w:t>
      </w:r>
      <w:r>
        <w:rPr>
          <w:color w:val="231F20"/>
        </w:rPr>
        <w:t>5.1</w:t>
      </w:r>
      <w:r>
        <w:rPr>
          <w:color w:val="231F20"/>
          <w:spacing w:val="-1"/>
        </w:rPr>
        <w:t xml:space="preserve"> </w:t>
      </w:r>
      <w:r>
        <w:rPr>
          <w:color w:val="231F20"/>
        </w:rPr>
        <w:t>and</w:t>
      </w:r>
      <w:r>
        <w:rPr>
          <w:color w:val="231F20"/>
          <w:spacing w:val="-1"/>
        </w:rPr>
        <w:t xml:space="preserve"> </w:t>
      </w:r>
      <w:r>
        <w:rPr>
          <w:color w:val="231F20"/>
        </w:rPr>
        <w:t>5.2 in relation to stadium location hierarc</w:t>
      </w:r>
      <w:r>
        <w:rPr>
          <w:color w:val="231F20"/>
        </w:rPr>
        <w:t>hy and location flux, respectively. We</w:t>
      </w:r>
      <w:r>
        <w:rPr>
          <w:color w:val="231F20"/>
          <w:spacing w:val="-3"/>
        </w:rPr>
        <w:t xml:space="preserve"> </w:t>
      </w:r>
      <w:r>
        <w:rPr>
          <w:color w:val="231F20"/>
        </w:rPr>
        <w:t>find</w:t>
      </w:r>
      <w:r>
        <w:rPr>
          <w:color w:val="231F20"/>
          <w:spacing w:val="-3"/>
        </w:rPr>
        <w:t xml:space="preserve"> </w:t>
      </w:r>
      <w:r>
        <w:rPr>
          <w:color w:val="231F20"/>
        </w:rPr>
        <w:t>these</w:t>
      </w:r>
      <w:r>
        <w:rPr>
          <w:color w:val="231F20"/>
          <w:spacing w:val="-3"/>
        </w:rPr>
        <w:t xml:space="preserve"> </w:t>
      </w:r>
      <w:r>
        <w:rPr>
          <w:color w:val="231F20"/>
        </w:rPr>
        <w:t>spatial</w:t>
      </w:r>
      <w:r>
        <w:rPr>
          <w:color w:val="231F20"/>
          <w:spacing w:val="-3"/>
        </w:rPr>
        <w:t xml:space="preserve"> </w:t>
      </w:r>
      <w:r>
        <w:rPr>
          <w:color w:val="231F20"/>
        </w:rPr>
        <w:t>geographical</w:t>
      </w:r>
      <w:r>
        <w:rPr>
          <w:color w:val="231F20"/>
          <w:spacing w:val="-3"/>
        </w:rPr>
        <w:t xml:space="preserve"> </w:t>
      </w:r>
      <w:r>
        <w:rPr>
          <w:color w:val="231F20"/>
        </w:rPr>
        <w:t>tools</w:t>
      </w:r>
      <w:r>
        <w:rPr>
          <w:color w:val="231F20"/>
          <w:spacing w:val="-3"/>
        </w:rPr>
        <w:t xml:space="preserve"> </w:t>
      </w:r>
      <w:r>
        <w:rPr>
          <w:color w:val="231F20"/>
        </w:rPr>
        <w:t>particularly</w:t>
      </w:r>
      <w:r>
        <w:rPr>
          <w:color w:val="231F20"/>
          <w:spacing w:val="-3"/>
        </w:rPr>
        <w:t xml:space="preserve"> </w:t>
      </w:r>
      <w:r>
        <w:rPr>
          <w:color w:val="231F20"/>
        </w:rPr>
        <w:t>useful</w:t>
      </w:r>
      <w:r>
        <w:rPr>
          <w:color w:val="231F20"/>
          <w:spacing w:val="-3"/>
        </w:rPr>
        <w:t xml:space="preserve"> </w:t>
      </w:r>
      <w:r>
        <w:rPr>
          <w:color w:val="231F20"/>
        </w:rPr>
        <w:t>in</w:t>
      </w:r>
      <w:r>
        <w:rPr>
          <w:color w:val="231F20"/>
          <w:spacing w:val="-3"/>
        </w:rPr>
        <w:t xml:space="preserve"> </w:t>
      </w:r>
      <w:r>
        <w:rPr>
          <w:color w:val="231F20"/>
        </w:rPr>
        <w:t xml:space="preserve">explaining </w:t>
      </w:r>
      <w:r>
        <w:rPr>
          <w:color w:val="231F20"/>
          <w:w w:val="95"/>
        </w:rPr>
        <w:t xml:space="preserve">the locational tendencies of urban sport facilities, events and professional </w:t>
      </w:r>
      <w:r>
        <w:rPr>
          <w:color w:val="231F20"/>
        </w:rPr>
        <w:t>sport teams. Sport tourism in peripheral areas is characterised by q</w:t>
      </w:r>
      <w:r>
        <w:rPr>
          <w:color w:val="231F20"/>
        </w:rPr>
        <w:t>uite different spatial criteria.</w:t>
      </w:r>
    </w:p>
    <w:p w14:paraId="6E899843" w14:textId="77777777" w:rsidR="00AE0598" w:rsidRDefault="0069255A">
      <w:pPr>
        <w:pStyle w:val="Corpodetexto"/>
        <w:spacing w:before="10" w:line="232" w:lineRule="auto"/>
        <w:ind w:left="110" w:right="127" w:firstLine="320"/>
        <w:jc w:val="both"/>
      </w:pPr>
      <w:r>
        <w:rPr>
          <w:color w:val="231F20"/>
        </w:rPr>
        <w:t xml:space="preserve">Place was described in this book as space infused with meaning. It is </w:t>
      </w:r>
      <w:r>
        <w:rPr>
          <w:color w:val="231F20"/>
          <w:w w:val="95"/>
        </w:rPr>
        <w:t>especially</w:t>
      </w:r>
      <w:r>
        <w:rPr>
          <w:color w:val="231F20"/>
          <w:spacing w:val="-7"/>
          <w:w w:val="95"/>
        </w:rPr>
        <w:t xml:space="preserve"> </w:t>
      </w:r>
      <w:r>
        <w:rPr>
          <w:color w:val="231F20"/>
          <w:w w:val="95"/>
        </w:rPr>
        <w:t>attractive</w:t>
      </w:r>
      <w:r>
        <w:rPr>
          <w:color w:val="231F20"/>
          <w:spacing w:val="-7"/>
          <w:w w:val="95"/>
        </w:rPr>
        <w:t xml:space="preserve"> </w:t>
      </w:r>
      <w:r>
        <w:rPr>
          <w:color w:val="231F20"/>
          <w:w w:val="95"/>
        </w:rPr>
        <w:t>to</w:t>
      </w:r>
      <w:r>
        <w:rPr>
          <w:color w:val="231F20"/>
          <w:spacing w:val="-7"/>
          <w:w w:val="95"/>
        </w:rPr>
        <w:t xml:space="preserve"> </w:t>
      </w:r>
      <w:r>
        <w:rPr>
          <w:color w:val="231F20"/>
          <w:w w:val="95"/>
        </w:rPr>
        <w:t>tourism</w:t>
      </w:r>
      <w:r>
        <w:rPr>
          <w:color w:val="231F20"/>
          <w:spacing w:val="-7"/>
          <w:w w:val="95"/>
        </w:rPr>
        <w:t xml:space="preserve"> </w:t>
      </w:r>
      <w:r>
        <w:rPr>
          <w:color w:val="231F20"/>
          <w:w w:val="95"/>
        </w:rPr>
        <w:t>marketers</w:t>
      </w:r>
      <w:r>
        <w:rPr>
          <w:color w:val="231F20"/>
          <w:spacing w:val="-7"/>
          <w:w w:val="95"/>
        </w:rPr>
        <w:t xml:space="preserve"> </w:t>
      </w:r>
      <w:r>
        <w:rPr>
          <w:color w:val="231F20"/>
          <w:w w:val="95"/>
        </w:rPr>
        <w:t>who</w:t>
      </w:r>
      <w:r>
        <w:rPr>
          <w:color w:val="231F20"/>
          <w:spacing w:val="-7"/>
          <w:w w:val="95"/>
        </w:rPr>
        <w:t xml:space="preserve"> </w:t>
      </w:r>
      <w:r>
        <w:rPr>
          <w:color w:val="231F20"/>
          <w:w w:val="95"/>
        </w:rPr>
        <w:t>use</w:t>
      </w:r>
      <w:r>
        <w:rPr>
          <w:color w:val="231F20"/>
          <w:spacing w:val="-7"/>
          <w:w w:val="95"/>
        </w:rPr>
        <w:t xml:space="preserve"> </w:t>
      </w:r>
      <w:r>
        <w:rPr>
          <w:color w:val="231F20"/>
          <w:w w:val="95"/>
        </w:rPr>
        <w:t>sport</w:t>
      </w:r>
      <w:r>
        <w:rPr>
          <w:color w:val="231F20"/>
          <w:spacing w:val="-7"/>
          <w:w w:val="95"/>
        </w:rPr>
        <w:t xml:space="preserve"> </w:t>
      </w:r>
      <w:r>
        <w:rPr>
          <w:color w:val="231F20"/>
          <w:w w:val="95"/>
        </w:rPr>
        <w:t>to</w:t>
      </w:r>
      <w:r>
        <w:rPr>
          <w:color w:val="231F20"/>
          <w:spacing w:val="-7"/>
          <w:w w:val="95"/>
        </w:rPr>
        <w:t xml:space="preserve"> </w:t>
      </w:r>
      <w:r>
        <w:rPr>
          <w:color w:val="231F20"/>
          <w:w w:val="95"/>
        </w:rPr>
        <w:t>sell</w:t>
      </w:r>
      <w:r>
        <w:rPr>
          <w:color w:val="231F20"/>
          <w:spacing w:val="-7"/>
          <w:w w:val="95"/>
        </w:rPr>
        <w:t xml:space="preserve"> </w:t>
      </w:r>
      <w:r>
        <w:rPr>
          <w:color w:val="231F20"/>
          <w:w w:val="95"/>
        </w:rPr>
        <w:t xml:space="preserve">destinations. </w:t>
      </w:r>
      <w:r>
        <w:rPr>
          <w:color w:val="231F20"/>
          <w:w w:val="90"/>
        </w:rPr>
        <w:t>Hosts and visitors develop attachment to these places based on a combinati</w:t>
      </w:r>
      <w:r>
        <w:rPr>
          <w:color w:val="231F20"/>
          <w:w w:val="90"/>
        </w:rPr>
        <w:t>on</w:t>
      </w:r>
      <w:r>
        <w:rPr>
          <w:color w:val="231F20"/>
          <w:spacing w:val="40"/>
        </w:rPr>
        <w:t xml:space="preserve"> </w:t>
      </w:r>
      <w:r>
        <w:rPr>
          <w:color w:val="231F20"/>
        </w:rPr>
        <w:t>of</w:t>
      </w:r>
      <w:r>
        <w:rPr>
          <w:color w:val="231F20"/>
          <w:spacing w:val="-8"/>
        </w:rPr>
        <w:t xml:space="preserve"> </w:t>
      </w:r>
      <w:r>
        <w:rPr>
          <w:color w:val="231F20"/>
        </w:rPr>
        <w:t>their</w:t>
      </w:r>
      <w:r>
        <w:rPr>
          <w:color w:val="231F20"/>
          <w:spacing w:val="-8"/>
        </w:rPr>
        <w:t xml:space="preserve"> </w:t>
      </w:r>
      <w:r>
        <w:rPr>
          <w:color w:val="231F20"/>
        </w:rPr>
        <w:t>dependence</w:t>
      </w:r>
      <w:r>
        <w:rPr>
          <w:color w:val="231F20"/>
          <w:spacing w:val="-8"/>
        </w:rPr>
        <w:t xml:space="preserve"> </w:t>
      </w:r>
      <w:r>
        <w:rPr>
          <w:color w:val="231F20"/>
        </w:rPr>
        <w:t>on</w:t>
      </w:r>
      <w:r>
        <w:rPr>
          <w:color w:val="231F20"/>
          <w:spacing w:val="-8"/>
        </w:rPr>
        <w:t xml:space="preserve"> </w:t>
      </w:r>
      <w:r>
        <w:rPr>
          <w:color w:val="231F20"/>
        </w:rPr>
        <w:t>the</w:t>
      </w:r>
      <w:r>
        <w:rPr>
          <w:color w:val="231F20"/>
          <w:spacing w:val="-8"/>
        </w:rPr>
        <w:t xml:space="preserve"> </w:t>
      </w:r>
      <w:r>
        <w:rPr>
          <w:color w:val="231F20"/>
        </w:rPr>
        <w:t>attributes</w:t>
      </w:r>
      <w:r>
        <w:rPr>
          <w:color w:val="231F20"/>
          <w:spacing w:val="-8"/>
        </w:rPr>
        <w:t xml:space="preserve"> </w:t>
      </w:r>
      <w:r>
        <w:rPr>
          <w:color w:val="231F20"/>
        </w:rPr>
        <w:t>found</w:t>
      </w:r>
      <w:r>
        <w:rPr>
          <w:color w:val="231F20"/>
          <w:spacing w:val="-8"/>
        </w:rPr>
        <w:t xml:space="preserve"> </w:t>
      </w:r>
      <w:r>
        <w:rPr>
          <w:color w:val="231F20"/>
        </w:rPr>
        <w:t>at</w:t>
      </w:r>
      <w:r>
        <w:rPr>
          <w:color w:val="231F20"/>
          <w:spacing w:val="-8"/>
        </w:rPr>
        <w:t xml:space="preserve"> </w:t>
      </w:r>
      <w:r>
        <w:rPr>
          <w:color w:val="231F20"/>
        </w:rPr>
        <w:t>the</w:t>
      </w:r>
      <w:r>
        <w:rPr>
          <w:color w:val="231F20"/>
          <w:spacing w:val="-8"/>
        </w:rPr>
        <w:t xml:space="preserve"> </w:t>
      </w:r>
      <w:r>
        <w:rPr>
          <w:color w:val="231F20"/>
        </w:rPr>
        <w:t>place</w:t>
      </w:r>
      <w:r>
        <w:rPr>
          <w:color w:val="231F20"/>
          <w:spacing w:val="-8"/>
        </w:rPr>
        <w:t xml:space="preserve"> </w:t>
      </w:r>
      <w:r>
        <w:rPr>
          <w:color w:val="231F20"/>
        </w:rPr>
        <w:t>and</w:t>
      </w:r>
      <w:r>
        <w:rPr>
          <w:color w:val="231F20"/>
          <w:spacing w:val="-8"/>
        </w:rPr>
        <w:t xml:space="preserve"> </w:t>
      </w:r>
      <w:r>
        <w:rPr>
          <w:color w:val="231F20"/>
        </w:rPr>
        <w:t>the</w:t>
      </w:r>
      <w:r>
        <w:rPr>
          <w:color w:val="231F20"/>
          <w:spacing w:val="-8"/>
        </w:rPr>
        <w:t xml:space="preserve"> </w:t>
      </w:r>
      <w:r>
        <w:rPr>
          <w:color w:val="231F20"/>
        </w:rPr>
        <w:t>extent</w:t>
      </w:r>
      <w:r>
        <w:rPr>
          <w:color w:val="231F20"/>
          <w:spacing w:val="-8"/>
        </w:rPr>
        <w:t xml:space="preserve"> </w:t>
      </w:r>
      <w:r>
        <w:rPr>
          <w:color w:val="231F20"/>
        </w:rPr>
        <w:t xml:space="preserve">to </w:t>
      </w:r>
      <w:r>
        <w:rPr>
          <w:color w:val="231F20"/>
          <w:w w:val="95"/>
        </w:rPr>
        <w:t>which the place contributes to their identity. Case Study 6.1 (Daniel Evans) illustrated the tensions that can arise through the interplay of the local with the global. In this case, the place identity of local supporters of Liverpool’s football team was b</w:t>
      </w:r>
      <w:r>
        <w:rPr>
          <w:color w:val="231F20"/>
          <w:w w:val="95"/>
        </w:rPr>
        <w:t xml:space="preserve">eing challenged by the presence of an international fan base. Many of these international fans make the pilgrimage to Liverpool to </w:t>
      </w:r>
      <w:r>
        <w:rPr>
          <w:color w:val="231F20"/>
        </w:rPr>
        <w:t>support</w:t>
      </w:r>
      <w:r>
        <w:rPr>
          <w:color w:val="231F20"/>
          <w:spacing w:val="-9"/>
        </w:rPr>
        <w:t xml:space="preserve"> </w:t>
      </w:r>
      <w:r>
        <w:rPr>
          <w:color w:val="231F20"/>
        </w:rPr>
        <w:t>‘their’</w:t>
      </w:r>
      <w:r>
        <w:rPr>
          <w:color w:val="231F20"/>
          <w:spacing w:val="-9"/>
        </w:rPr>
        <w:t xml:space="preserve"> </w:t>
      </w:r>
      <w:r>
        <w:rPr>
          <w:color w:val="231F20"/>
        </w:rPr>
        <w:t>team</w:t>
      </w:r>
      <w:r>
        <w:rPr>
          <w:color w:val="231F20"/>
          <w:spacing w:val="-9"/>
        </w:rPr>
        <w:t xml:space="preserve"> </w:t>
      </w:r>
      <w:r>
        <w:rPr>
          <w:color w:val="231F20"/>
        </w:rPr>
        <w:t>despite</w:t>
      </w:r>
      <w:r>
        <w:rPr>
          <w:color w:val="231F20"/>
          <w:spacing w:val="-9"/>
        </w:rPr>
        <w:t xml:space="preserve"> </w:t>
      </w:r>
      <w:r>
        <w:rPr>
          <w:color w:val="231F20"/>
        </w:rPr>
        <w:t>their</w:t>
      </w:r>
      <w:r>
        <w:rPr>
          <w:color w:val="231F20"/>
          <w:spacing w:val="-9"/>
        </w:rPr>
        <w:t xml:space="preserve"> </w:t>
      </w:r>
      <w:r>
        <w:rPr>
          <w:color w:val="231F20"/>
        </w:rPr>
        <w:t>lack</w:t>
      </w:r>
      <w:r>
        <w:rPr>
          <w:color w:val="231F20"/>
          <w:spacing w:val="-9"/>
        </w:rPr>
        <w:t xml:space="preserve"> </w:t>
      </w:r>
      <w:r>
        <w:rPr>
          <w:color w:val="231F20"/>
        </w:rPr>
        <w:t>of</w:t>
      </w:r>
      <w:r>
        <w:rPr>
          <w:color w:val="231F20"/>
          <w:spacing w:val="-9"/>
        </w:rPr>
        <w:t xml:space="preserve"> </w:t>
      </w:r>
      <w:r>
        <w:rPr>
          <w:color w:val="231F20"/>
        </w:rPr>
        <w:t>residence</w:t>
      </w:r>
      <w:r>
        <w:rPr>
          <w:color w:val="231F20"/>
          <w:spacing w:val="-9"/>
        </w:rPr>
        <w:t xml:space="preserve"> </w:t>
      </w:r>
      <w:r>
        <w:rPr>
          <w:color w:val="231F20"/>
        </w:rPr>
        <w:t>in</w:t>
      </w:r>
      <w:r>
        <w:rPr>
          <w:color w:val="231F20"/>
          <w:spacing w:val="-9"/>
        </w:rPr>
        <w:t xml:space="preserve"> </w:t>
      </w:r>
      <w:r>
        <w:rPr>
          <w:color w:val="231F20"/>
        </w:rPr>
        <w:t>the</w:t>
      </w:r>
      <w:r>
        <w:rPr>
          <w:color w:val="231F20"/>
          <w:spacing w:val="-9"/>
        </w:rPr>
        <w:t xml:space="preserve"> </w:t>
      </w:r>
      <w:r>
        <w:rPr>
          <w:color w:val="231F20"/>
        </w:rPr>
        <w:t>city.</w:t>
      </w:r>
      <w:r>
        <w:rPr>
          <w:color w:val="231F20"/>
          <w:spacing w:val="-9"/>
        </w:rPr>
        <w:t xml:space="preserve"> </w:t>
      </w:r>
      <w:r>
        <w:rPr>
          <w:color w:val="231F20"/>
        </w:rPr>
        <w:t>In</w:t>
      </w:r>
      <w:r>
        <w:rPr>
          <w:color w:val="231F20"/>
          <w:spacing w:val="-9"/>
        </w:rPr>
        <w:t xml:space="preserve"> </w:t>
      </w:r>
      <w:r>
        <w:rPr>
          <w:color w:val="231F20"/>
        </w:rPr>
        <w:t>a</w:t>
      </w:r>
      <w:r>
        <w:rPr>
          <w:color w:val="231F20"/>
          <w:spacing w:val="-9"/>
        </w:rPr>
        <w:t xml:space="preserve"> </w:t>
      </w:r>
      <w:r>
        <w:rPr>
          <w:color w:val="231F20"/>
        </w:rPr>
        <w:t>similar manner,</w:t>
      </w:r>
      <w:r>
        <w:rPr>
          <w:color w:val="231F20"/>
          <w:spacing w:val="-7"/>
        </w:rPr>
        <w:t xml:space="preserve"> </w:t>
      </w:r>
      <w:r>
        <w:rPr>
          <w:color w:val="231F20"/>
        </w:rPr>
        <w:t>the</w:t>
      </w:r>
      <w:r>
        <w:rPr>
          <w:color w:val="231F20"/>
          <w:spacing w:val="-7"/>
        </w:rPr>
        <w:t xml:space="preserve"> </w:t>
      </w:r>
      <w:r>
        <w:rPr>
          <w:color w:val="231F20"/>
        </w:rPr>
        <w:t>spectre</w:t>
      </w:r>
      <w:r>
        <w:rPr>
          <w:color w:val="231F20"/>
          <w:spacing w:val="-7"/>
        </w:rPr>
        <w:t xml:space="preserve"> </w:t>
      </w:r>
      <w:r>
        <w:rPr>
          <w:color w:val="231F20"/>
        </w:rPr>
        <w:t>of</w:t>
      </w:r>
      <w:r>
        <w:rPr>
          <w:color w:val="231F20"/>
          <w:spacing w:val="-8"/>
        </w:rPr>
        <w:t xml:space="preserve"> </w:t>
      </w:r>
      <w:r>
        <w:rPr>
          <w:color w:val="231F20"/>
        </w:rPr>
        <w:t>homogenised</w:t>
      </w:r>
      <w:r>
        <w:rPr>
          <w:color w:val="231F20"/>
          <w:spacing w:val="-7"/>
        </w:rPr>
        <w:t xml:space="preserve"> </w:t>
      </w:r>
      <w:r>
        <w:rPr>
          <w:color w:val="231F20"/>
        </w:rPr>
        <w:t>sportscapes</w:t>
      </w:r>
      <w:r>
        <w:rPr>
          <w:color w:val="231F20"/>
          <w:spacing w:val="-7"/>
        </w:rPr>
        <w:t xml:space="preserve"> </w:t>
      </w:r>
      <w:r>
        <w:rPr>
          <w:color w:val="231F20"/>
        </w:rPr>
        <w:t>threatens</w:t>
      </w:r>
      <w:r>
        <w:rPr>
          <w:color w:val="231F20"/>
          <w:spacing w:val="-7"/>
        </w:rPr>
        <w:t xml:space="preserve"> </w:t>
      </w:r>
      <w:r>
        <w:rPr>
          <w:color w:val="231F20"/>
        </w:rPr>
        <w:t>tourism,</w:t>
      </w:r>
      <w:r>
        <w:rPr>
          <w:color w:val="231F20"/>
          <w:spacing w:val="-8"/>
        </w:rPr>
        <w:t xml:space="preserve"> </w:t>
      </w:r>
      <w:r>
        <w:rPr>
          <w:color w:val="231F20"/>
        </w:rPr>
        <w:t>as</w:t>
      </w:r>
      <w:r>
        <w:rPr>
          <w:color w:val="231F20"/>
          <w:spacing w:val="-7"/>
        </w:rPr>
        <w:t xml:space="preserve"> </w:t>
      </w:r>
      <w:r>
        <w:rPr>
          <w:color w:val="231F20"/>
        </w:rPr>
        <w:t xml:space="preserve">it </w:t>
      </w:r>
      <w:r>
        <w:rPr>
          <w:color w:val="231F20"/>
          <w:w w:val="95"/>
        </w:rPr>
        <w:t xml:space="preserve">contributes to a breakdown of distinctive regional place meaning based on sport. A challenge therefore exists to retain the unique regional meanings </w:t>
      </w:r>
      <w:r>
        <w:rPr>
          <w:color w:val="231F20"/>
        </w:rPr>
        <w:t xml:space="preserve">and identities associated with sporting facilities and activities while </w:t>
      </w:r>
      <w:r>
        <w:rPr>
          <w:color w:val="231F20"/>
          <w:w w:val="95"/>
        </w:rPr>
        <w:t>participa</w:t>
      </w:r>
      <w:r>
        <w:rPr>
          <w:color w:val="231F20"/>
          <w:w w:val="95"/>
        </w:rPr>
        <w:t xml:space="preserve">ting in the global marketplace. Tourism interests should support </w:t>
      </w:r>
      <w:r>
        <w:rPr>
          <w:color w:val="231F20"/>
        </w:rPr>
        <w:t>the efforts of sport managers who defend the ‘integrity’ of their sports. There should also be consistency between the images used to promote</w:t>
      </w:r>
      <w:r>
        <w:rPr>
          <w:color w:val="231F20"/>
          <w:spacing w:val="80"/>
        </w:rPr>
        <w:t xml:space="preserve"> </w:t>
      </w:r>
      <w:r>
        <w:rPr>
          <w:color w:val="231F20"/>
        </w:rPr>
        <w:t>a sport tourism destination and the ways that res</w:t>
      </w:r>
      <w:r>
        <w:rPr>
          <w:color w:val="231F20"/>
        </w:rPr>
        <w:t xml:space="preserve">idents identify their home. Conflicting views of place may result in conflicting attitudes and </w:t>
      </w:r>
      <w:r>
        <w:rPr>
          <w:color w:val="231F20"/>
          <w:spacing w:val="-2"/>
        </w:rPr>
        <w:t>behaviours.</w:t>
      </w:r>
    </w:p>
    <w:p w14:paraId="2FA34684" w14:textId="77777777" w:rsidR="00AE0598" w:rsidRDefault="0069255A">
      <w:pPr>
        <w:pStyle w:val="Corpodetexto"/>
        <w:spacing w:before="24" w:line="232" w:lineRule="auto"/>
        <w:ind w:left="110" w:right="124" w:firstLine="320"/>
        <w:jc w:val="both"/>
      </w:pPr>
      <w:r>
        <w:rPr>
          <w:color w:val="231F20"/>
        </w:rPr>
        <w:t>The</w:t>
      </w:r>
      <w:r>
        <w:rPr>
          <w:color w:val="231F20"/>
          <w:spacing w:val="40"/>
        </w:rPr>
        <w:t xml:space="preserve"> </w:t>
      </w:r>
      <w:r>
        <w:rPr>
          <w:color w:val="231F20"/>
        </w:rPr>
        <w:t>environment</w:t>
      </w:r>
      <w:r>
        <w:rPr>
          <w:color w:val="231F20"/>
          <w:spacing w:val="40"/>
        </w:rPr>
        <w:t xml:space="preserve"> </w:t>
      </w:r>
      <w:r>
        <w:rPr>
          <w:color w:val="231F20"/>
        </w:rPr>
        <w:t>and,</w:t>
      </w:r>
      <w:r>
        <w:rPr>
          <w:color w:val="231F20"/>
          <w:spacing w:val="40"/>
        </w:rPr>
        <w:t xml:space="preserve"> </w:t>
      </w:r>
      <w:r>
        <w:rPr>
          <w:color w:val="231F20"/>
        </w:rPr>
        <w:t>more</w:t>
      </w:r>
      <w:r>
        <w:rPr>
          <w:color w:val="231F20"/>
          <w:spacing w:val="40"/>
        </w:rPr>
        <w:t xml:space="preserve"> </w:t>
      </w:r>
      <w:r>
        <w:rPr>
          <w:color w:val="231F20"/>
        </w:rPr>
        <w:t>specifically,</w:t>
      </w:r>
      <w:r>
        <w:rPr>
          <w:color w:val="231F20"/>
          <w:spacing w:val="40"/>
        </w:rPr>
        <w:t xml:space="preserve"> </w:t>
      </w:r>
      <w:r>
        <w:rPr>
          <w:color w:val="231F20"/>
        </w:rPr>
        <w:t>landscapes,</w:t>
      </w:r>
      <w:r>
        <w:rPr>
          <w:color w:val="231F20"/>
          <w:spacing w:val="40"/>
        </w:rPr>
        <w:t xml:space="preserve"> </w:t>
      </w:r>
      <w:r>
        <w:rPr>
          <w:color w:val="231F20"/>
        </w:rPr>
        <w:t xml:space="preserve">resources and impacts were the focus of the final chapter under the spatial theme (Chapter 7). Here, we drew upon Bale’s (1989) claim that sports are a </w:t>
      </w:r>
      <w:r>
        <w:rPr>
          <w:color w:val="231F20"/>
          <w:w w:val="90"/>
        </w:rPr>
        <w:t xml:space="preserve">cultural form, and that as such the landscapes of sport are part of the cultural </w:t>
      </w:r>
      <w:r>
        <w:rPr>
          <w:color w:val="231F20"/>
        </w:rPr>
        <w:t>landscape. Thus, sports</w:t>
      </w:r>
      <w:r>
        <w:rPr>
          <w:color w:val="231F20"/>
        </w:rPr>
        <w:t xml:space="preserve"> that utilise elements of the natural environment </w:t>
      </w:r>
      <w:r>
        <w:rPr>
          <w:color w:val="231F20"/>
          <w:w w:val="95"/>
        </w:rPr>
        <w:t>may subject those landscapes to varying degrees of anthropogenic change. In this chapter, we considered the resource base for sport and tourism, and discussed the importance of sustainable management of tho</w:t>
      </w:r>
      <w:r>
        <w:rPr>
          <w:color w:val="231F20"/>
          <w:w w:val="95"/>
        </w:rPr>
        <w:t xml:space="preserve">se resources. </w:t>
      </w:r>
      <w:r>
        <w:rPr>
          <w:color w:val="231F20"/>
        </w:rPr>
        <w:t>The</w:t>
      </w:r>
      <w:r>
        <w:rPr>
          <w:color w:val="231F20"/>
          <w:spacing w:val="40"/>
        </w:rPr>
        <w:t xml:space="preserve"> </w:t>
      </w:r>
      <w:r>
        <w:rPr>
          <w:color w:val="231F20"/>
        </w:rPr>
        <w:t>pressing</w:t>
      </w:r>
      <w:r>
        <w:rPr>
          <w:color w:val="231F20"/>
          <w:spacing w:val="40"/>
        </w:rPr>
        <w:t xml:space="preserve"> </w:t>
      </w:r>
      <w:r>
        <w:rPr>
          <w:color w:val="231F20"/>
        </w:rPr>
        <w:t>challenges</w:t>
      </w:r>
      <w:r>
        <w:rPr>
          <w:color w:val="231F20"/>
          <w:spacing w:val="40"/>
        </w:rPr>
        <w:t xml:space="preserve"> </w:t>
      </w:r>
      <w:r>
        <w:rPr>
          <w:color w:val="231F20"/>
        </w:rPr>
        <w:t>arising</w:t>
      </w:r>
      <w:r>
        <w:rPr>
          <w:color w:val="231F20"/>
          <w:spacing w:val="40"/>
        </w:rPr>
        <w:t xml:space="preserve"> </w:t>
      </w:r>
      <w:r>
        <w:rPr>
          <w:color w:val="231F20"/>
        </w:rPr>
        <w:t>from</w:t>
      </w:r>
      <w:r>
        <w:rPr>
          <w:color w:val="231F20"/>
          <w:spacing w:val="40"/>
        </w:rPr>
        <w:t xml:space="preserve"> </w:t>
      </w:r>
      <w:r>
        <w:rPr>
          <w:color w:val="231F20"/>
        </w:rPr>
        <w:t>the</w:t>
      </w:r>
      <w:r>
        <w:rPr>
          <w:color w:val="231F20"/>
          <w:spacing w:val="40"/>
        </w:rPr>
        <w:t xml:space="preserve"> </w:t>
      </w:r>
      <w:r>
        <w:rPr>
          <w:color w:val="231F20"/>
        </w:rPr>
        <w:t>globally</w:t>
      </w:r>
      <w:r>
        <w:rPr>
          <w:color w:val="231F20"/>
          <w:spacing w:val="40"/>
        </w:rPr>
        <w:t xml:space="preserve"> </w:t>
      </w:r>
      <w:r>
        <w:rPr>
          <w:color w:val="231F20"/>
        </w:rPr>
        <w:t>dispersed</w:t>
      </w:r>
      <w:r>
        <w:rPr>
          <w:color w:val="231F20"/>
          <w:spacing w:val="40"/>
        </w:rPr>
        <w:t xml:space="preserve"> </w:t>
      </w:r>
      <w:r>
        <w:rPr>
          <w:color w:val="231F20"/>
        </w:rPr>
        <w:t>impacts of sport tourism were highlighted. Case Study 7.1 (Debbie Hopkins) specifically considered the environmental ironies that are embodied in the sport-related mobilities associa</w:t>
      </w:r>
      <w:r>
        <w:rPr>
          <w:color w:val="231F20"/>
        </w:rPr>
        <w:t>ted with winter sport destinations and</w:t>
      </w:r>
      <w:r>
        <w:rPr>
          <w:color w:val="231F20"/>
          <w:spacing w:val="-7"/>
        </w:rPr>
        <w:t xml:space="preserve"> </w:t>
      </w:r>
      <w:r>
        <w:rPr>
          <w:color w:val="231F20"/>
        </w:rPr>
        <w:t>the</w:t>
      </w:r>
      <w:r>
        <w:rPr>
          <w:color w:val="231F20"/>
          <w:spacing w:val="-7"/>
        </w:rPr>
        <w:t xml:space="preserve"> </w:t>
      </w:r>
      <w:r>
        <w:rPr>
          <w:color w:val="231F20"/>
        </w:rPr>
        <w:t>decline</w:t>
      </w:r>
      <w:r>
        <w:rPr>
          <w:color w:val="231F20"/>
          <w:spacing w:val="-7"/>
        </w:rPr>
        <w:t xml:space="preserve"> </w:t>
      </w:r>
      <w:r>
        <w:rPr>
          <w:color w:val="231F20"/>
        </w:rPr>
        <w:t>in</w:t>
      </w:r>
      <w:r>
        <w:rPr>
          <w:color w:val="231F20"/>
          <w:spacing w:val="-7"/>
        </w:rPr>
        <w:t xml:space="preserve"> </w:t>
      </w:r>
      <w:r>
        <w:rPr>
          <w:color w:val="231F20"/>
        </w:rPr>
        <w:t>the</w:t>
      </w:r>
      <w:r>
        <w:rPr>
          <w:color w:val="231F20"/>
          <w:spacing w:val="-7"/>
        </w:rPr>
        <w:t xml:space="preserve"> </w:t>
      </w:r>
      <w:r>
        <w:rPr>
          <w:color w:val="231F20"/>
        </w:rPr>
        <w:t>natural</w:t>
      </w:r>
      <w:r>
        <w:rPr>
          <w:color w:val="231F20"/>
          <w:spacing w:val="-7"/>
        </w:rPr>
        <w:t xml:space="preserve"> </w:t>
      </w:r>
      <w:r>
        <w:rPr>
          <w:color w:val="231F20"/>
        </w:rPr>
        <w:t>resources</w:t>
      </w:r>
      <w:r>
        <w:rPr>
          <w:color w:val="231F20"/>
          <w:spacing w:val="-7"/>
        </w:rPr>
        <w:t xml:space="preserve"> </w:t>
      </w:r>
      <w:r>
        <w:rPr>
          <w:color w:val="231F20"/>
        </w:rPr>
        <w:t>–</w:t>
      </w:r>
      <w:r>
        <w:rPr>
          <w:color w:val="231F20"/>
          <w:spacing w:val="-7"/>
        </w:rPr>
        <w:t xml:space="preserve"> </w:t>
      </w:r>
      <w:r>
        <w:rPr>
          <w:color w:val="231F20"/>
        </w:rPr>
        <w:t>specifically</w:t>
      </w:r>
      <w:r>
        <w:rPr>
          <w:color w:val="231F20"/>
          <w:spacing w:val="-8"/>
        </w:rPr>
        <w:t xml:space="preserve"> </w:t>
      </w:r>
      <w:r>
        <w:rPr>
          <w:color w:val="231F20"/>
        </w:rPr>
        <w:t>snow</w:t>
      </w:r>
      <w:r>
        <w:rPr>
          <w:color w:val="231F20"/>
          <w:spacing w:val="-7"/>
        </w:rPr>
        <w:t xml:space="preserve"> </w:t>
      </w:r>
      <w:r>
        <w:rPr>
          <w:color w:val="231F20"/>
        </w:rPr>
        <w:t>–</w:t>
      </w:r>
      <w:r>
        <w:rPr>
          <w:color w:val="231F20"/>
          <w:spacing w:val="-8"/>
        </w:rPr>
        <w:t xml:space="preserve"> </w:t>
      </w:r>
      <w:r>
        <w:rPr>
          <w:color w:val="231F20"/>
        </w:rPr>
        <w:t>upon</w:t>
      </w:r>
      <w:r>
        <w:rPr>
          <w:color w:val="231F20"/>
          <w:spacing w:val="-7"/>
        </w:rPr>
        <w:t xml:space="preserve"> </w:t>
      </w:r>
      <w:r>
        <w:rPr>
          <w:color w:val="231F20"/>
        </w:rPr>
        <w:t xml:space="preserve">which </w:t>
      </w:r>
      <w:r>
        <w:rPr>
          <w:color w:val="231F20"/>
          <w:w w:val="95"/>
        </w:rPr>
        <w:t xml:space="preserve">winter sports resorts so depend. These challenges were reflected in Focus </w:t>
      </w:r>
      <w:r>
        <w:rPr>
          <w:color w:val="231F20"/>
        </w:rPr>
        <w:t>Point</w:t>
      </w:r>
      <w:r>
        <w:rPr>
          <w:color w:val="231F20"/>
          <w:spacing w:val="-2"/>
        </w:rPr>
        <w:t xml:space="preserve"> </w:t>
      </w:r>
      <w:r>
        <w:rPr>
          <w:color w:val="231F20"/>
        </w:rPr>
        <w:t>7.1</w:t>
      </w:r>
      <w:r>
        <w:rPr>
          <w:color w:val="231F20"/>
          <w:spacing w:val="-2"/>
        </w:rPr>
        <w:t xml:space="preserve"> </w:t>
      </w:r>
      <w:r>
        <w:rPr>
          <w:color w:val="231F20"/>
        </w:rPr>
        <w:t>(Michelle</w:t>
      </w:r>
      <w:r>
        <w:rPr>
          <w:color w:val="231F20"/>
          <w:spacing w:val="-2"/>
        </w:rPr>
        <w:t xml:space="preserve"> </w:t>
      </w:r>
      <w:r>
        <w:rPr>
          <w:color w:val="231F20"/>
        </w:rPr>
        <w:t>Rutty),</w:t>
      </w:r>
      <w:r>
        <w:rPr>
          <w:color w:val="231F20"/>
          <w:spacing w:val="-2"/>
        </w:rPr>
        <w:t xml:space="preserve"> </w:t>
      </w:r>
      <w:r>
        <w:rPr>
          <w:color w:val="231F20"/>
        </w:rPr>
        <w:t>which</w:t>
      </w:r>
      <w:r>
        <w:rPr>
          <w:color w:val="231F20"/>
          <w:spacing w:val="-2"/>
        </w:rPr>
        <w:t xml:space="preserve"> </w:t>
      </w:r>
      <w:r>
        <w:rPr>
          <w:color w:val="231F20"/>
        </w:rPr>
        <w:t>highlighted</w:t>
      </w:r>
      <w:r>
        <w:rPr>
          <w:color w:val="231F20"/>
          <w:spacing w:val="-2"/>
        </w:rPr>
        <w:t xml:space="preserve"> </w:t>
      </w:r>
      <w:r>
        <w:rPr>
          <w:color w:val="231F20"/>
        </w:rPr>
        <w:t>the</w:t>
      </w:r>
      <w:r>
        <w:rPr>
          <w:color w:val="231F20"/>
          <w:spacing w:val="-2"/>
        </w:rPr>
        <w:t xml:space="preserve"> </w:t>
      </w:r>
      <w:r>
        <w:rPr>
          <w:color w:val="231F20"/>
        </w:rPr>
        <w:t>water-intensive</w:t>
      </w:r>
      <w:r>
        <w:rPr>
          <w:color w:val="231F20"/>
          <w:spacing w:val="-2"/>
        </w:rPr>
        <w:t xml:space="preserve"> </w:t>
      </w:r>
      <w:r>
        <w:rPr>
          <w:color w:val="231F20"/>
        </w:rPr>
        <w:t xml:space="preserve">nature </w:t>
      </w:r>
      <w:r>
        <w:rPr>
          <w:color w:val="231F20"/>
        </w:rPr>
        <w:t>of</w:t>
      </w:r>
      <w:r>
        <w:rPr>
          <w:color w:val="231F20"/>
          <w:spacing w:val="25"/>
        </w:rPr>
        <w:t xml:space="preserve"> </w:t>
      </w:r>
      <w:r>
        <w:rPr>
          <w:color w:val="231F20"/>
        </w:rPr>
        <w:t>the</w:t>
      </w:r>
      <w:r>
        <w:rPr>
          <w:color w:val="231F20"/>
          <w:spacing w:val="24"/>
        </w:rPr>
        <w:t xml:space="preserve"> </w:t>
      </w:r>
      <w:r>
        <w:rPr>
          <w:color w:val="231F20"/>
        </w:rPr>
        <w:t>sport</w:t>
      </w:r>
      <w:r>
        <w:rPr>
          <w:color w:val="231F20"/>
          <w:spacing w:val="25"/>
        </w:rPr>
        <w:t xml:space="preserve"> </w:t>
      </w:r>
      <w:r>
        <w:rPr>
          <w:color w:val="231F20"/>
        </w:rPr>
        <w:t>of</w:t>
      </w:r>
      <w:r>
        <w:rPr>
          <w:color w:val="231F20"/>
          <w:spacing w:val="25"/>
        </w:rPr>
        <w:t xml:space="preserve"> </w:t>
      </w:r>
      <w:r>
        <w:rPr>
          <w:color w:val="231F20"/>
        </w:rPr>
        <w:t>golf.</w:t>
      </w:r>
      <w:r>
        <w:rPr>
          <w:color w:val="231F20"/>
          <w:spacing w:val="24"/>
        </w:rPr>
        <w:t xml:space="preserve"> </w:t>
      </w:r>
      <w:r>
        <w:rPr>
          <w:color w:val="231F20"/>
        </w:rPr>
        <w:t>This</w:t>
      </w:r>
      <w:r>
        <w:rPr>
          <w:color w:val="231F20"/>
          <w:spacing w:val="25"/>
        </w:rPr>
        <w:t xml:space="preserve"> </w:t>
      </w:r>
      <w:r>
        <w:rPr>
          <w:color w:val="231F20"/>
        </w:rPr>
        <w:t>chapter</w:t>
      </w:r>
      <w:r>
        <w:rPr>
          <w:color w:val="231F20"/>
          <w:spacing w:val="24"/>
        </w:rPr>
        <w:t xml:space="preserve"> </w:t>
      </w:r>
      <w:r>
        <w:rPr>
          <w:color w:val="231F20"/>
        </w:rPr>
        <w:t>also</w:t>
      </w:r>
      <w:r>
        <w:rPr>
          <w:color w:val="231F20"/>
          <w:spacing w:val="25"/>
        </w:rPr>
        <w:t xml:space="preserve"> </w:t>
      </w:r>
      <w:r>
        <w:rPr>
          <w:color w:val="231F20"/>
        </w:rPr>
        <w:t>considered</w:t>
      </w:r>
      <w:r>
        <w:rPr>
          <w:color w:val="231F20"/>
          <w:spacing w:val="25"/>
        </w:rPr>
        <w:t xml:space="preserve"> </w:t>
      </w:r>
      <w:r>
        <w:rPr>
          <w:color w:val="231F20"/>
        </w:rPr>
        <w:t>sport</w:t>
      </w:r>
      <w:r>
        <w:rPr>
          <w:color w:val="231F20"/>
          <w:spacing w:val="24"/>
        </w:rPr>
        <w:t xml:space="preserve"> </w:t>
      </w:r>
      <w:r>
        <w:rPr>
          <w:color w:val="231F20"/>
        </w:rPr>
        <w:t>tourism</w:t>
      </w:r>
      <w:r>
        <w:rPr>
          <w:color w:val="231F20"/>
          <w:spacing w:val="25"/>
        </w:rPr>
        <w:t xml:space="preserve"> </w:t>
      </w:r>
      <w:r>
        <w:rPr>
          <w:color w:val="231F20"/>
        </w:rPr>
        <w:t>in</w:t>
      </w:r>
      <w:r>
        <w:rPr>
          <w:color w:val="231F20"/>
          <w:spacing w:val="25"/>
        </w:rPr>
        <w:t xml:space="preserve"> </w:t>
      </w:r>
      <w:r>
        <w:rPr>
          <w:color w:val="231F20"/>
          <w:spacing w:val="-5"/>
        </w:rPr>
        <w:t>the</w:t>
      </w:r>
    </w:p>
    <w:p w14:paraId="25D4F951" w14:textId="77777777" w:rsidR="00AE0598" w:rsidRDefault="00AE0598">
      <w:pPr>
        <w:spacing w:line="232" w:lineRule="auto"/>
        <w:jc w:val="both"/>
        <w:sectPr w:rsidR="00AE0598">
          <w:pgSz w:w="8850" w:h="13270"/>
          <w:pgMar w:top="720" w:right="1060" w:bottom="280" w:left="1080" w:header="720" w:footer="720" w:gutter="0"/>
          <w:cols w:space="720"/>
        </w:sectPr>
      </w:pPr>
    </w:p>
    <w:p w14:paraId="766D5736" w14:textId="77777777" w:rsidR="00AE0598" w:rsidRDefault="0069255A">
      <w:pPr>
        <w:spacing w:before="87"/>
        <w:ind w:left="3642"/>
        <w:rPr>
          <w:rFonts w:ascii="Trebuchet MS"/>
          <w:sz w:val="14"/>
        </w:rPr>
      </w:pPr>
      <w:r>
        <w:rPr>
          <w:rFonts w:ascii="Trebuchet MS"/>
          <w:color w:val="231F20"/>
          <w:w w:val="105"/>
          <w:sz w:val="14"/>
        </w:rPr>
        <w:lastRenderedPageBreak/>
        <w:t>Shifting</w:t>
      </w:r>
      <w:r>
        <w:rPr>
          <w:rFonts w:ascii="Trebuchet MS"/>
          <w:color w:val="231F20"/>
          <w:spacing w:val="-3"/>
          <w:w w:val="105"/>
          <w:sz w:val="14"/>
        </w:rPr>
        <w:t xml:space="preserve"> </w:t>
      </w:r>
      <w:r>
        <w:rPr>
          <w:rFonts w:ascii="Trebuchet MS"/>
          <w:color w:val="231F20"/>
          <w:w w:val="105"/>
          <w:sz w:val="14"/>
        </w:rPr>
        <w:t>Goal</w:t>
      </w:r>
      <w:r>
        <w:rPr>
          <w:rFonts w:ascii="Trebuchet MS"/>
          <w:color w:val="231F20"/>
          <w:spacing w:val="-3"/>
          <w:w w:val="105"/>
          <w:sz w:val="14"/>
        </w:rPr>
        <w:t xml:space="preserve"> </w:t>
      </w:r>
      <w:r>
        <w:rPr>
          <w:rFonts w:ascii="Trebuchet MS"/>
          <w:color w:val="231F20"/>
          <w:w w:val="105"/>
          <w:sz w:val="14"/>
        </w:rPr>
        <w:t>Posts</w:t>
      </w:r>
      <w:r>
        <w:rPr>
          <w:rFonts w:ascii="Trebuchet MS"/>
          <w:color w:val="231F20"/>
          <w:spacing w:val="-3"/>
          <w:w w:val="105"/>
          <w:sz w:val="14"/>
        </w:rPr>
        <w:t xml:space="preserve"> </w:t>
      </w:r>
      <w:r>
        <w:rPr>
          <w:rFonts w:ascii="Trebuchet MS"/>
          <w:color w:val="231F20"/>
          <w:w w:val="105"/>
          <w:sz w:val="14"/>
        </w:rPr>
        <w:t>and</w:t>
      </w:r>
      <w:r>
        <w:rPr>
          <w:rFonts w:ascii="Trebuchet MS"/>
          <w:color w:val="231F20"/>
          <w:spacing w:val="-3"/>
          <w:w w:val="105"/>
          <w:sz w:val="14"/>
        </w:rPr>
        <w:t xml:space="preserve"> </w:t>
      </w:r>
      <w:r>
        <w:rPr>
          <w:rFonts w:ascii="Trebuchet MS"/>
          <w:color w:val="231F20"/>
          <w:w w:val="105"/>
          <w:sz w:val="14"/>
        </w:rPr>
        <w:t>Moving</w:t>
      </w:r>
      <w:r>
        <w:rPr>
          <w:rFonts w:ascii="Trebuchet MS"/>
          <w:color w:val="231F20"/>
          <w:spacing w:val="-2"/>
          <w:w w:val="105"/>
          <w:sz w:val="14"/>
        </w:rPr>
        <w:t xml:space="preserve"> </w:t>
      </w:r>
      <w:r>
        <w:rPr>
          <w:rFonts w:ascii="Trebuchet MS"/>
          <w:color w:val="231F20"/>
          <w:w w:val="105"/>
          <w:sz w:val="14"/>
        </w:rPr>
        <w:t>Targets</w:t>
      </w:r>
      <w:r>
        <w:rPr>
          <w:rFonts w:ascii="Trebuchet MS"/>
          <w:color w:val="231F20"/>
          <w:spacing w:val="31"/>
          <w:w w:val="105"/>
          <w:sz w:val="14"/>
        </w:rPr>
        <w:t xml:space="preserve">  </w:t>
      </w:r>
      <w:r>
        <w:rPr>
          <w:rFonts w:ascii="Trebuchet MS"/>
          <w:color w:val="231F20"/>
          <w:spacing w:val="-5"/>
          <w:w w:val="105"/>
          <w:sz w:val="14"/>
        </w:rPr>
        <w:t>233</w:t>
      </w:r>
    </w:p>
    <w:p w14:paraId="5BB7BB0F" w14:textId="77777777" w:rsidR="00AE0598" w:rsidRDefault="00AE0598">
      <w:pPr>
        <w:pStyle w:val="Corpodetexto"/>
        <w:rPr>
          <w:rFonts w:ascii="Trebuchet MS"/>
          <w:sz w:val="16"/>
        </w:rPr>
      </w:pPr>
    </w:p>
    <w:p w14:paraId="329025D0" w14:textId="77777777" w:rsidR="00AE0598" w:rsidRDefault="0069255A">
      <w:pPr>
        <w:pStyle w:val="Corpodetexto"/>
        <w:spacing w:before="118" w:line="232" w:lineRule="auto"/>
        <w:ind w:left="110" w:right="127"/>
        <w:jc w:val="both"/>
      </w:pPr>
      <w:r>
        <w:rPr>
          <w:color w:val="231F20"/>
        </w:rPr>
        <w:t xml:space="preserve">built environment, contemplating issues associated with the impacts of sports facility development in relation to the concepts of landscape and </w:t>
      </w:r>
      <w:r>
        <w:rPr>
          <w:color w:val="231F20"/>
          <w:spacing w:val="-2"/>
        </w:rPr>
        <w:t>sportscape.</w:t>
      </w:r>
    </w:p>
    <w:p w14:paraId="5F075D99" w14:textId="77777777" w:rsidR="00AE0598" w:rsidRDefault="00AE0598">
      <w:pPr>
        <w:pStyle w:val="Corpodetexto"/>
        <w:spacing w:before="9"/>
        <w:rPr>
          <w:sz w:val="29"/>
        </w:rPr>
      </w:pPr>
    </w:p>
    <w:p w14:paraId="389EA9E6" w14:textId="77777777" w:rsidR="00AE0598" w:rsidRDefault="0069255A">
      <w:pPr>
        <w:ind w:left="110"/>
        <w:jc w:val="both"/>
        <w:rPr>
          <w:rFonts w:ascii="Trebuchet MS"/>
          <w:b/>
          <w:sz w:val="20"/>
        </w:rPr>
      </w:pPr>
      <w:r>
        <w:rPr>
          <w:rFonts w:ascii="Trebuchet MS"/>
          <w:b/>
          <w:color w:val="231F20"/>
          <w:sz w:val="20"/>
        </w:rPr>
        <w:t>Sport</w:t>
      </w:r>
      <w:r>
        <w:rPr>
          <w:rFonts w:ascii="Trebuchet MS"/>
          <w:b/>
          <w:color w:val="231F20"/>
          <w:spacing w:val="5"/>
          <w:sz w:val="20"/>
        </w:rPr>
        <w:t xml:space="preserve"> </w:t>
      </w:r>
      <w:r>
        <w:rPr>
          <w:rFonts w:ascii="Trebuchet MS"/>
          <w:b/>
          <w:color w:val="231F20"/>
          <w:sz w:val="20"/>
        </w:rPr>
        <w:t>Tourism</w:t>
      </w:r>
      <w:r>
        <w:rPr>
          <w:rFonts w:ascii="Trebuchet MS"/>
          <w:b/>
          <w:color w:val="231F20"/>
          <w:spacing w:val="6"/>
          <w:sz w:val="20"/>
        </w:rPr>
        <w:t xml:space="preserve"> </w:t>
      </w:r>
      <w:r>
        <w:rPr>
          <w:rFonts w:ascii="Trebuchet MS"/>
          <w:b/>
          <w:color w:val="231F20"/>
          <w:sz w:val="20"/>
        </w:rPr>
        <w:t>Development</w:t>
      </w:r>
      <w:r>
        <w:rPr>
          <w:rFonts w:ascii="Trebuchet MS"/>
          <w:b/>
          <w:color w:val="231F20"/>
          <w:spacing w:val="6"/>
          <w:sz w:val="20"/>
        </w:rPr>
        <w:t xml:space="preserve"> </w:t>
      </w:r>
      <w:r>
        <w:rPr>
          <w:rFonts w:ascii="Trebuchet MS"/>
          <w:b/>
          <w:color w:val="231F20"/>
          <w:sz w:val="20"/>
        </w:rPr>
        <w:t>and</w:t>
      </w:r>
      <w:r>
        <w:rPr>
          <w:rFonts w:ascii="Trebuchet MS"/>
          <w:b/>
          <w:color w:val="231F20"/>
          <w:spacing w:val="6"/>
          <w:sz w:val="20"/>
        </w:rPr>
        <w:t xml:space="preserve"> </w:t>
      </w:r>
      <w:r>
        <w:rPr>
          <w:rFonts w:ascii="Trebuchet MS"/>
          <w:b/>
          <w:color w:val="231F20"/>
          <w:spacing w:val="-4"/>
          <w:sz w:val="20"/>
        </w:rPr>
        <w:t>Time</w:t>
      </w:r>
    </w:p>
    <w:p w14:paraId="39E8A4F0" w14:textId="77777777" w:rsidR="00AE0598" w:rsidRDefault="0069255A">
      <w:pPr>
        <w:pStyle w:val="Corpodetexto"/>
        <w:spacing w:before="122" w:line="232" w:lineRule="auto"/>
        <w:ind w:left="110" w:right="123" w:firstLine="320"/>
        <w:jc w:val="both"/>
      </w:pPr>
      <w:r>
        <w:rPr>
          <w:color w:val="231F20"/>
          <w:w w:val="95"/>
        </w:rPr>
        <w:t>The temporal dimensions of sport tourism include tourist experiences</w:t>
      </w:r>
      <w:r>
        <w:rPr>
          <w:color w:val="231F20"/>
          <w:spacing w:val="40"/>
        </w:rPr>
        <w:t xml:space="preserve"> </w:t>
      </w:r>
      <w:r>
        <w:rPr>
          <w:color w:val="231F20"/>
        </w:rPr>
        <w:t>of sport, seasonal variations in sport and tourism and the long-term evolutionary dynamics of sport tourism phenomena. There are two noteworthy features of Chapter 8. First, our considera</w:t>
      </w:r>
      <w:r>
        <w:rPr>
          <w:color w:val="231F20"/>
        </w:rPr>
        <w:t xml:space="preserve">tions of the sport tourism experience was informed by Morgan’s (2007) experience space </w:t>
      </w:r>
      <w:r>
        <w:rPr>
          <w:color w:val="231F20"/>
          <w:w w:val="95"/>
        </w:rPr>
        <w:t xml:space="preserve">model, which presents two contrasting approaches to the delivery of sports </w:t>
      </w:r>
      <w:r>
        <w:rPr>
          <w:color w:val="231F20"/>
        </w:rPr>
        <w:t>experiences. The managerial approach, as described by Morgan (2007), approaches the experience</w:t>
      </w:r>
      <w:r>
        <w:rPr>
          <w:color w:val="231F20"/>
        </w:rPr>
        <w:t xml:space="preserve"> as a product or service to add experiential value to the sporting competition in a way that is predetermined and standardised. The Olympic Opening and Closing ceremonies, which are </w:t>
      </w:r>
      <w:r>
        <w:rPr>
          <w:color w:val="231F20"/>
          <w:w w:val="95"/>
        </w:rPr>
        <w:t xml:space="preserve">choreographed, scripted and rehearsed, are examples of this approach. The </w:t>
      </w:r>
      <w:r>
        <w:rPr>
          <w:color w:val="231F20"/>
          <w:w w:val="95"/>
        </w:rPr>
        <w:t xml:space="preserve">alternative consumer behaviour approach recognises that the experiences </w:t>
      </w:r>
      <w:r>
        <w:rPr>
          <w:color w:val="231F20"/>
        </w:rPr>
        <w:t xml:space="preserve">of the sport tourist may be emotional, symbolic and transformational, if </w:t>
      </w:r>
      <w:r>
        <w:rPr>
          <w:color w:val="231F20"/>
          <w:w w:val="95"/>
        </w:rPr>
        <w:t xml:space="preserve">the personal, social and cultural meanings of the event for both hosts and </w:t>
      </w:r>
      <w:r>
        <w:rPr>
          <w:color w:val="231F20"/>
        </w:rPr>
        <w:t xml:space="preserve">guests can be fostered to allow for </w:t>
      </w:r>
      <w:r>
        <w:rPr>
          <w:color w:val="231F20"/>
        </w:rPr>
        <w:t>the co-creation of sport experiences based on intense social interaction. The importance that consideration</w:t>
      </w:r>
      <w:r>
        <w:rPr>
          <w:color w:val="231F20"/>
          <w:spacing w:val="40"/>
        </w:rPr>
        <w:t xml:space="preserve"> </w:t>
      </w:r>
      <w:r>
        <w:rPr>
          <w:color w:val="231F20"/>
        </w:rPr>
        <w:t>is given to the merits of these approaches was illustrated by way of a discussion of Japan’s planning for the 2019 Rugby World Cup (Focus Point 8.1)</w:t>
      </w:r>
      <w:r>
        <w:rPr>
          <w:color w:val="231F20"/>
        </w:rPr>
        <w:t xml:space="preserve">. Secondly, our fourfold classification of sport tourism, which includes spectator events, participation events, active engagement in recreational sports and sports heritage, gave us the structure of this chapter. The growth of participation sports events </w:t>
      </w:r>
      <w:r>
        <w:rPr>
          <w:color w:val="231F20"/>
        </w:rPr>
        <w:t xml:space="preserve">was also a feature of this chapter and, in this respect, Case Study 8.1 (Moyle, Kennelly and </w:t>
      </w:r>
      <w:r>
        <w:rPr>
          <w:color w:val="231F20"/>
          <w:w w:val="95"/>
        </w:rPr>
        <w:t xml:space="preserve">Lamont) offered insights into the pursuit of serious sporting engagements </w:t>
      </w:r>
      <w:r>
        <w:rPr>
          <w:color w:val="231F20"/>
        </w:rPr>
        <w:t>by</w:t>
      </w:r>
      <w:r>
        <w:rPr>
          <w:color w:val="231F20"/>
          <w:spacing w:val="-1"/>
        </w:rPr>
        <w:t xml:space="preserve"> </w:t>
      </w:r>
      <w:r>
        <w:rPr>
          <w:color w:val="231F20"/>
        </w:rPr>
        <w:t>amateur</w:t>
      </w:r>
      <w:r>
        <w:rPr>
          <w:color w:val="231F20"/>
          <w:spacing w:val="-1"/>
        </w:rPr>
        <w:t xml:space="preserve"> </w:t>
      </w:r>
      <w:r>
        <w:rPr>
          <w:color w:val="231F20"/>
        </w:rPr>
        <w:t>athletes,</w:t>
      </w:r>
      <w:r>
        <w:rPr>
          <w:color w:val="231F20"/>
          <w:spacing w:val="-1"/>
        </w:rPr>
        <w:t xml:space="preserve"> </w:t>
      </w:r>
      <w:r>
        <w:rPr>
          <w:color w:val="231F20"/>
        </w:rPr>
        <w:t>in</w:t>
      </w:r>
      <w:r>
        <w:rPr>
          <w:color w:val="231F20"/>
          <w:spacing w:val="-1"/>
        </w:rPr>
        <w:t xml:space="preserve"> </w:t>
      </w:r>
      <w:r>
        <w:rPr>
          <w:color w:val="231F20"/>
        </w:rPr>
        <w:t>relation</w:t>
      </w:r>
      <w:r>
        <w:rPr>
          <w:color w:val="231F20"/>
          <w:spacing w:val="-1"/>
        </w:rPr>
        <w:t xml:space="preserve"> </w:t>
      </w:r>
      <w:r>
        <w:rPr>
          <w:color w:val="231F20"/>
        </w:rPr>
        <w:t>to</w:t>
      </w:r>
      <w:r>
        <w:rPr>
          <w:color w:val="231F20"/>
          <w:spacing w:val="-1"/>
        </w:rPr>
        <w:t xml:space="preserve"> </w:t>
      </w:r>
      <w:r>
        <w:rPr>
          <w:color w:val="231F20"/>
        </w:rPr>
        <w:t>both</w:t>
      </w:r>
      <w:r>
        <w:rPr>
          <w:color w:val="231F20"/>
          <w:spacing w:val="-1"/>
        </w:rPr>
        <w:t xml:space="preserve"> </w:t>
      </w:r>
      <w:r>
        <w:rPr>
          <w:color w:val="231F20"/>
        </w:rPr>
        <w:t>their</w:t>
      </w:r>
      <w:r>
        <w:rPr>
          <w:color w:val="231F20"/>
          <w:spacing w:val="-1"/>
        </w:rPr>
        <w:t xml:space="preserve"> </w:t>
      </w:r>
      <w:r>
        <w:rPr>
          <w:color w:val="231F20"/>
        </w:rPr>
        <w:t>own</w:t>
      </w:r>
      <w:r>
        <w:rPr>
          <w:color w:val="231F20"/>
          <w:spacing w:val="-1"/>
        </w:rPr>
        <w:t xml:space="preserve"> </w:t>
      </w:r>
      <w:r>
        <w:rPr>
          <w:color w:val="231F20"/>
        </w:rPr>
        <w:t>experiences</w:t>
      </w:r>
      <w:r>
        <w:rPr>
          <w:color w:val="231F20"/>
          <w:spacing w:val="-1"/>
        </w:rPr>
        <w:t xml:space="preserve"> </w:t>
      </w:r>
      <w:r>
        <w:rPr>
          <w:color w:val="231F20"/>
        </w:rPr>
        <w:t>and</w:t>
      </w:r>
      <w:r>
        <w:rPr>
          <w:color w:val="231F20"/>
          <w:spacing w:val="-1"/>
        </w:rPr>
        <w:t xml:space="preserve"> </w:t>
      </w:r>
      <w:r>
        <w:rPr>
          <w:color w:val="231F20"/>
        </w:rPr>
        <w:t>those of their spouses</w:t>
      </w:r>
      <w:r>
        <w:rPr>
          <w:color w:val="231F20"/>
        </w:rPr>
        <w:t xml:space="preserve"> and entourages.</w:t>
      </w:r>
    </w:p>
    <w:p w14:paraId="2D0C507F" w14:textId="77777777" w:rsidR="00AE0598" w:rsidRDefault="0069255A">
      <w:pPr>
        <w:pStyle w:val="Corpodetexto"/>
        <w:spacing w:before="31" w:line="232" w:lineRule="auto"/>
        <w:ind w:left="110" w:right="127" w:firstLine="320"/>
        <w:jc w:val="both"/>
      </w:pPr>
      <w:r>
        <w:rPr>
          <w:color w:val="231F20"/>
        </w:rPr>
        <w:t>Seasonal</w:t>
      </w:r>
      <w:r>
        <w:rPr>
          <w:color w:val="231F20"/>
          <w:spacing w:val="-3"/>
        </w:rPr>
        <w:t xml:space="preserve"> </w:t>
      </w:r>
      <w:r>
        <w:rPr>
          <w:color w:val="231F20"/>
        </w:rPr>
        <w:t>patterns</w:t>
      </w:r>
      <w:r>
        <w:rPr>
          <w:color w:val="231F20"/>
          <w:spacing w:val="-3"/>
        </w:rPr>
        <w:t xml:space="preserve"> </w:t>
      </w:r>
      <w:r>
        <w:rPr>
          <w:color w:val="231F20"/>
        </w:rPr>
        <w:t>in</w:t>
      </w:r>
      <w:r>
        <w:rPr>
          <w:color w:val="231F20"/>
          <w:spacing w:val="-3"/>
        </w:rPr>
        <w:t xml:space="preserve"> </w:t>
      </w:r>
      <w:r>
        <w:rPr>
          <w:color w:val="231F20"/>
        </w:rPr>
        <w:t>sport</w:t>
      </w:r>
      <w:r>
        <w:rPr>
          <w:color w:val="231F20"/>
          <w:spacing w:val="-3"/>
        </w:rPr>
        <w:t xml:space="preserve"> </w:t>
      </w:r>
      <w:r>
        <w:rPr>
          <w:color w:val="231F20"/>
        </w:rPr>
        <w:t>and</w:t>
      </w:r>
      <w:r>
        <w:rPr>
          <w:color w:val="231F20"/>
          <w:spacing w:val="-3"/>
        </w:rPr>
        <w:t xml:space="preserve"> </w:t>
      </w:r>
      <w:r>
        <w:rPr>
          <w:color w:val="231F20"/>
        </w:rPr>
        <w:t>tourism</w:t>
      </w:r>
      <w:r>
        <w:rPr>
          <w:color w:val="231F20"/>
          <w:spacing w:val="-3"/>
        </w:rPr>
        <w:t xml:space="preserve"> </w:t>
      </w:r>
      <w:r>
        <w:rPr>
          <w:color w:val="231F20"/>
        </w:rPr>
        <w:t>represent</w:t>
      </w:r>
      <w:r>
        <w:rPr>
          <w:color w:val="231F20"/>
          <w:spacing w:val="-3"/>
        </w:rPr>
        <w:t xml:space="preserve"> </w:t>
      </w:r>
      <w:r>
        <w:rPr>
          <w:color w:val="231F20"/>
        </w:rPr>
        <w:t>a</w:t>
      </w:r>
      <w:r>
        <w:rPr>
          <w:color w:val="231F20"/>
          <w:spacing w:val="-3"/>
        </w:rPr>
        <w:t xml:space="preserve"> </w:t>
      </w:r>
      <w:r>
        <w:rPr>
          <w:color w:val="231F20"/>
        </w:rPr>
        <w:t>distinct</w:t>
      </w:r>
      <w:r>
        <w:rPr>
          <w:color w:val="231F20"/>
          <w:spacing w:val="-3"/>
        </w:rPr>
        <w:t xml:space="preserve"> </w:t>
      </w:r>
      <w:r>
        <w:rPr>
          <w:color w:val="231F20"/>
        </w:rPr>
        <w:t xml:space="preserve">temporal </w:t>
      </w:r>
      <w:r>
        <w:rPr>
          <w:color w:val="231F20"/>
          <w:w w:val="95"/>
        </w:rPr>
        <w:t xml:space="preserve">dimension of sport tourism development. Tourism managers have typically </w:t>
      </w:r>
      <w:r>
        <w:rPr>
          <w:color w:val="231F20"/>
        </w:rPr>
        <w:t>seen seasonal variation in visitors as a problem due to underutilised capacity</w:t>
      </w:r>
      <w:r>
        <w:rPr>
          <w:color w:val="231F20"/>
          <w:spacing w:val="-12"/>
        </w:rPr>
        <w:t xml:space="preserve"> </w:t>
      </w:r>
      <w:r>
        <w:rPr>
          <w:color w:val="231F20"/>
        </w:rPr>
        <w:t>and</w:t>
      </w:r>
      <w:r>
        <w:rPr>
          <w:color w:val="231F20"/>
          <w:spacing w:val="-12"/>
        </w:rPr>
        <w:t xml:space="preserve"> </w:t>
      </w:r>
      <w:r>
        <w:rPr>
          <w:color w:val="231F20"/>
        </w:rPr>
        <w:t>decreased</w:t>
      </w:r>
      <w:r>
        <w:rPr>
          <w:color w:val="231F20"/>
          <w:spacing w:val="-11"/>
        </w:rPr>
        <w:t xml:space="preserve"> </w:t>
      </w:r>
      <w:r>
        <w:rPr>
          <w:color w:val="231F20"/>
        </w:rPr>
        <w:t>revenue</w:t>
      </w:r>
      <w:r>
        <w:rPr>
          <w:color w:val="231F20"/>
          <w:spacing w:val="-12"/>
        </w:rPr>
        <w:t xml:space="preserve"> </w:t>
      </w:r>
      <w:r>
        <w:rPr>
          <w:color w:val="231F20"/>
        </w:rPr>
        <w:t>flows</w:t>
      </w:r>
      <w:r>
        <w:rPr>
          <w:color w:val="231F20"/>
          <w:spacing w:val="-11"/>
        </w:rPr>
        <w:t xml:space="preserve"> </w:t>
      </w:r>
      <w:r>
        <w:rPr>
          <w:color w:val="231F20"/>
        </w:rPr>
        <w:t>during</w:t>
      </w:r>
      <w:r>
        <w:rPr>
          <w:color w:val="231F20"/>
          <w:spacing w:val="-12"/>
        </w:rPr>
        <w:t xml:space="preserve"> </w:t>
      </w:r>
      <w:r>
        <w:rPr>
          <w:color w:val="231F20"/>
        </w:rPr>
        <w:t>low</w:t>
      </w:r>
      <w:r>
        <w:rPr>
          <w:color w:val="231F20"/>
          <w:spacing w:val="-11"/>
        </w:rPr>
        <w:t xml:space="preserve"> </w:t>
      </w:r>
      <w:r>
        <w:rPr>
          <w:color w:val="231F20"/>
        </w:rPr>
        <w:t>season.</w:t>
      </w:r>
      <w:r>
        <w:rPr>
          <w:color w:val="231F20"/>
          <w:spacing w:val="-12"/>
        </w:rPr>
        <w:t xml:space="preserve"> </w:t>
      </w:r>
      <w:r>
        <w:rPr>
          <w:color w:val="231F20"/>
        </w:rPr>
        <w:t>From</w:t>
      </w:r>
      <w:r>
        <w:rPr>
          <w:color w:val="231F20"/>
          <w:spacing w:val="-12"/>
        </w:rPr>
        <w:t xml:space="preserve"> </w:t>
      </w:r>
      <w:r>
        <w:rPr>
          <w:color w:val="231F20"/>
        </w:rPr>
        <w:t>a</w:t>
      </w:r>
      <w:r>
        <w:rPr>
          <w:color w:val="231F20"/>
          <w:spacing w:val="-11"/>
        </w:rPr>
        <w:t xml:space="preserve"> </w:t>
      </w:r>
      <w:r>
        <w:rPr>
          <w:color w:val="231F20"/>
        </w:rPr>
        <w:t>tourism management perspective, sport can be used as a strategy to influence seasonality</w:t>
      </w:r>
      <w:r>
        <w:rPr>
          <w:color w:val="231F20"/>
          <w:spacing w:val="-8"/>
        </w:rPr>
        <w:t xml:space="preserve"> </w:t>
      </w:r>
      <w:r>
        <w:rPr>
          <w:color w:val="231F20"/>
        </w:rPr>
        <w:t>with</w:t>
      </w:r>
      <w:r>
        <w:rPr>
          <w:color w:val="231F20"/>
          <w:spacing w:val="-8"/>
        </w:rPr>
        <w:t xml:space="preserve"> </w:t>
      </w:r>
      <w:r>
        <w:rPr>
          <w:color w:val="231F20"/>
        </w:rPr>
        <w:t>considerable</w:t>
      </w:r>
      <w:r>
        <w:rPr>
          <w:color w:val="231F20"/>
          <w:spacing w:val="-8"/>
        </w:rPr>
        <w:t xml:space="preserve"> </w:t>
      </w:r>
      <w:r>
        <w:rPr>
          <w:color w:val="231F20"/>
        </w:rPr>
        <w:t>success.</w:t>
      </w:r>
      <w:r>
        <w:rPr>
          <w:color w:val="231F20"/>
          <w:spacing w:val="-8"/>
        </w:rPr>
        <w:t xml:space="preserve"> </w:t>
      </w:r>
      <w:r>
        <w:rPr>
          <w:color w:val="231F20"/>
        </w:rPr>
        <w:t>The</w:t>
      </w:r>
      <w:r>
        <w:rPr>
          <w:color w:val="231F20"/>
          <w:spacing w:val="-8"/>
        </w:rPr>
        <w:t xml:space="preserve"> </w:t>
      </w:r>
      <w:r>
        <w:rPr>
          <w:color w:val="231F20"/>
        </w:rPr>
        <w:t>scheduling</w:t>
      </w:r>
      <w:r>
        <w:rPr>
          <w:color w:val="231F20"/>
          <w:spacing w:val="-8"/>
        </w:rPr>
        <w:t xml:space="preserve"> </w:t>
      </w:r>
      <w:r>
        <w:rPr>
          <w:color w:val="231F20"/>
        </w:rPr>
        <w:t>of</w:t>
      </w:r>
      <w:r>
        <w:rPr>
          <w:color w:val="231F20"/>
          <w:spacing w:val="-8"/>
        </w:rPr>
        <w:t xml:space="preserve"> </w:t>
      </w:r>
      <w:r>
        <w:rPr>
          <w:color w:val="231F20"/>
        </w:rPr>
        <w:t>sporting</w:t>
      </w:r>
      <w:r>
        <w:rPr>
          <w:color w:val="231F20"/>
          <w:spacing w:val="-8"/>
        </w:rPr>
        <w:t xml:space="preserve"> </w:t>
      </w:r>
      <w:r>
        <w:rPr>
          <w:color w:val="231F20"/>
        </w:rPr>
        <w:t>events during</w:t>
      </w:r>
      <w:r>
        <w:rPr>
          <w:color w:val="231F20"/>
          <w:spacing w:val="-9"/>
        </w:rPr>
        <w:t xml:space="preserve"> </w:t>
      </w:r>
      <w:r>
        <w:rPr>
          <w:color w:val="231F20"/>
        </w:rPr>
        <w:t>the</w:t>
      </w:r>
      <w:r>
        <w:rPr>
          <w:color w:val="231F20"/>
          <w:spacing w:val="-9"/>
        </w:rPr>
        <w:t xml:space="preserve"> </w:t>
      </w:r>
      <w:r>
        <w:rPr>
          <w:color w:val="231F20"/>
        </w:rPr>
        <w:t>shoulder</w:t>
      </w:r>
      <w:r>
        <w:rPr>
          <w:color w:val="231F20"/>
          <w:spacing w:val="-9"/>
        </w:rPr>
        <w:t xml:space="preserve"> </w:t>
      </w:r>
      <w:r>
        <w:rPr>
          <w:color w:val="231F20"/>
        </w:rPr>
        <w:t>tourism</w:t>
      </w:r>
      <w:r>
        <w:rPr>
          <w:color w:val="231F20"/>
          <w:spacing w:val="-9"/>
        </w:rPr>
        <w:t xml:space="preserve"> </w:t>
      </w:r>
      <w:r>
        <w:rPr>
          <w:color w:val="231F20"/>
        </w:rPr>
        <w:t>seasons</w:t>
      </w:r>
      <w:r>
        <w:rPr>
          <w:color w:val="231F20"/>
          <w:spacing w:val="-9"/>
        </w:rPr>
        <w:t xml:space="preserve"> </w:t>
      </w:r>
      <w:r>
        <w:rPr>
          <w:color w:val="231F20"/>
        </w:rPr>
        <w:t>is</w:t>
      </w:r>
      <w:r>
        <w:rPr>
          <w:color w:val="231F20"/>
          <w:spacing w:val="-9"/>
        </w:rPr>
        <w:t xml:space="preserve"> </w:t>
      </w:r>
      <w:r>
        <w:rPr>
          <w:color w:val="231F20"/>
        </w:rPr>
        <w:t>an</w:t>
      </w:r>
      <w:r>
        <w:rPr>
          <w:color w:val="231F20"/>
          <w:spacing w:val="-9"/>
        </w:rPr>
        <w:t xml:space="preserve"> </w:t>
      </w:r>
      <w:r>
        <w:rPr>
          <w:color w:val="231F20"/>
        </w:rPr>
        <w:t>increasingly</w:t>
      </w:r>
      <w:r>
        <w:rPr>
          <w:color w:val="231F20"/>
          <w:spacing w:val="-9"/>
        </w:rPr>
        <w:t xml:space="preserve"> </w:t>
      </w:r>
      <w:r>
        <w:rPr>
          <w:color w:val="231F20"/>
        </w:rPr>
        <w:t>p</w:t>
      </w:r>
      <w:r>
        <w:rPr>
          <w:color w:val="231F20"/>
        </w:rPr>
        <w:t>rominent</w:t>
      </w:r>
      <w:r>
        <w:rPr>
          <w:color w:val="231F20"/>
          <w:spacing w:val="-9"/>
        </w:rPr>
        <w:t xml:space="preserve"> </w:t>
      </w:r>
      <w:r>
        <w:rPr>
          <w:color w:val="231F20"/>
        </w:rPr>
        <w:t>aspect of event production and planning. In terms of active sport tourism, destinations that are characterised by specialised resources available during off-season can be particularly attractive to sport subculture groups. Similarly, nostalgia spo</w:t>
      </w:r>
      <w:r>
        <w:rPr>
          <w:color w:val="231F20"/>
        </w:rPr>
        <w:t xml:space="preserve">rt tourism attractions remain functional </w:t>
      </w:r>
      <w:r>
        <w:rPr>
          <w:color w:val="231F20"/>
          <w:w w:val="95"/>
        </w:rPr>
        <w:t>outside the main tourism seasons. If properly promoted, they too offer the</w:t>
      </w:r>
    </w:p>
    <w:p w14:paraId="4C78F2A6" w14:textId="77777777" w:rsidR="00AE0598" w:rsidRDefault="00AE0598">
      <w:pPr>
        <w:spacing w:line="232" w:lineRule="auto"/>
        <w:jc w:val="both"/>
        <w:sectPr w:rsidR="00AE0598">
          <w:pgSz w:w="8850" w:h="13270"/>
          <w:pgMar w:top="720" w:right="1060" w:bottom="280" w:left="1080" w:header="720" w:footer="720" w:gutter="0"/>
          <w:cols w:space="720"/>
        </w:sectPr>
      </w:pPr>
    </w:p>
    <w:p w14:paraId="5701B454" w14:textId="77777777" w:rsidR="00AE0598" w:rsidRDefault="0069255A">
      <w:pPr>
        <w:spacing w:before="87"/>
        <w:ind w:left="108"/>
        <w:rPr>
          <w:rFonts w:ascii="Trebuchet MS"/>
          <w:sz w:val="14"/>
        </w:rPr>
      </w:pPr>
      <w:r>
        <w:rPr>
          <w:rFonts w:ascii="Trebuchet MS"/>
          <w:color w:val="231F20"/>
          <w:w w:val="105"/>
          <w:sz w:val="14"/>
        </w:rPr>
        <w:lastRenderedPageBreak/>
        <w:t>234</w:t>
      </w:r>
      <w:r>
        <w:rPr>
          <w:rFonts w:ascii="Trebuchet MS"/>
          <w:color w:val="231F20"/>
          <w:spacing w:val="78"/>
          <w:w w:val="150"/>
          <w:sz w:val="14"/>
        </w:rPr>
        <w:t xml:space="preserve"> </w:t>
      </w:r>
      <w:r>
        <w:rPr>
          <w:rFonts w:ascii="Trebuchet MS"/>
          <w:color w:val="231F20"/>
          <w:spacing w:val="-2"/>
          <w:w w:val="105"/>
          <w:sz w:val="14"/>
        </w:rPr>
        <w:t>Conclusion</w:t>
      </w:r>
    </w:p>
    <w:p w14:paraId="776FD52D" w14:textId="77777777" w:rsidR="00AE0598" w:rsidRDefault="00AE0598">
      <w:pPr>
        <w:pStyle w:val="Corpodetexto"/>
        <w:rPr>
          <w:rFonts w:ascii="Trebuchet MS"/>
          <w:sz w:val="16"/>
        </w:rPr>
      </w:pPr>
    </w:p>
    <w:p w14:paraId="18521750" w14:textId="77777777" w:rsidR="00AE0598" w:rsidRDefault="0069255A">
      <w:pPr>
        <w:pStyle w:val="Corpodetexto"/>
        <w:spacing w:before="118" w:line="232" w:lineRule="auto"/>
        <w:ind w:left="110" w:right="126"/>
        <w:jc w:val="both"/>
      </w:pPr>
      <w:r>
        <w:rPr>
          <w:color w:val="231F20"/>
        </w:rPr>
        <w:t>opportunity</w:t>
      </w:r>
      <w:r>
        <w:rPr>
          <w:color w:val="231F20"/>
          <w:spacing w:val="-9"/>
        </w:rPr>
        <w:t xml:space="preserve"> </w:t>
      </w:r>
      <w:r>
        <w:rPr>
          <w:color w:val="231F20"/>
        </w:rPr>
        <w:t>to</w:t>
      </w:r>
      <w:r>
        <w:rPr>
          <w:color w:val="231F20"/>
          <w:spacing w:val="-9"/>
        </w:rPr>
        <w:t xml:space="preserve"> </w:t>
      </w:r>
      <w:r>
        <w:rPr>
          <w:color w:val="231F20"/>
        </w:rPr>
        <w:t>alter</w:t>
      </w:r>
      <w:r>
        <w:rPr>
          <w:color w:val="231F20"/>
          <w:spacing w:val="-9"/>
        </w:rPr>
        <w:t xml:space="preserve"> </w:t>
      </w:r>
      <w:r>
        <w:rPr>
          <w:color w:val="231F20"/>
        </w:rPr>
        <w:t>seasonal</w:t>
      </w:r>
      <w:r>
        <w:rPr>
          <w:color w:val="231F20"/>
          <w:spacing w:val="-9"/>
        </w:rPr>
        <w:t xml:space="preserve"> </w:t>
      </w:r>
      <w:r>
        <w:rPr>
          <w:color w:val="231F20"/>
        </w:rPr>
        <w:t>patterns</w:t>
      </w:r>
      <w:r>
        <w:rPr>
          <w:color w:val="231F20"/>
          <w:spacing w:val="-9"/>
        </w:rPr>
        <w:t xml:space="preserve"> </w:t>
      </w:r>
      <w:r>
        <w:rPr>
          <w:color w:val="231F20"/>
        </w:rPr>
        <w:t>of</w:t>
      </w:r>
      <w:r>
        <w:rPr>
          <w:color w:val="231F20"/>
          <w:spacing w:val="-9"/>
        </w:rPr>
        <w:t xml:space="preserve"> </w:t>
      </w:r>
      <w:r>
        <w:rPr>
          <w:color w:val="231F20"/>
        </w:rPr>
        <w:t>visitation</w:t>
      </w:r>
      <w:r>
        <w:rPr>
          <w:color w:val="231F20"/>
          <w:spacing w:val="-9"/>
        </w:rPr>
        <w:t xml:space="preserve"> </w:t>
      </w:r>
      <w:r>
        <w:rPr>
          <w:color w:val="231F20"/>
        </w:rPr>
        <w:t>to</w:t>
      </w:r>
      <w:r>
        <w:rPr>
          <w:color w:val="231F20"/>
          <w:spacing w:val="-9"/>
        </w:rPr>
        <w:t xml:space="preserve"> </w:t>
      </w:r>
      <w:r>
        <w:rPr>
          <w:color w:val="231F20"/>
        </w:rPr>
        <w:t>a</w:t>
      </w:r>
      <w:r>
        <w:rPr>
          <w:color w:val="231F20"/>
          <w:spacing w:val="-9"/>
        </w:rPr>
        <w:t xml:space="preserve"> </w:t>
      </w:r>
      <w:r>
        <w:rPr>
          <w:color w:val="231F20"/>
        </w:rPr>
        <w:t>destination.</w:t>
      </w:r>
      <w:r>
        <w:rPr>
          <w:color w:val="231F20"/>
          <w:spacing w:val="-9"/>
        </w:rPr>
        <w:t xml:space="preserve"> </w:t>
      </w:r>
      <w:r>
        <w:rPr>
          <w:color w:val="231F20"/>
        </w:rPr>
        <w:t>More recently,</w:t>
      </w:r>
      <w:r>
        <w:rPr>
          <w:color w:val="231F20"/>
          <w:spacing w:val="-3"/>
        </w:rPr>
        <w:t xml:space="preserve"> </w:t>
      </w:r>
      <w:r>
        <w:rPr>
          <w:color w:val="231F20"/>
        </w:rPr>
        <w:t>climate</w:t>
      </w:r>
      <w:r>
        <w:rPr>
          <w:color w:val="231F20"/>
          <w:spacing w:val="-4"/>
        </w:rPr>
        <w:t xml:space="preserve"> </w:t>
      </w:r>
      <w:r>
        <w:rPr>
          <w:color w:val="231F20"/>
        </w:rPr>
        <w:t>change</w:t>
      </w:r>
      <w:r>
        <w:rPr>
          <w:color w:val="231F20"/>
          <w:spacing w:val="-3"/>
        </w:rPr>
        <w:t xml:space="preserve"> </w:t>
      </w:r>
      <w:r>
        <w:rPr>
          <w:color w:val="231F20"/>
        </w:rPr>
        <w:t>is</w:t>
      </w:r>
      <w:r>
        <w:rPr>
          <w:color w:val="231F20"/>
          <w:spacing w:val="-3"/>
        </w:rPr>
        <w:t xml:space="preserve"> </w:t>
      </w:r>
      <w:r>
        <w:rPr>
          <w:color w:val="231F20"/>
        </w:rPr>
        <w:t>having</w:t>
      </w:r>
      <w:r>
        <w:rPr>
          <w:color w:val="231F20"/>
          <w:spacing w:val="-4"/>
        </w:rPr>
        <w:t xml:space="preserve"> </w:t>
      </w:r>
      <w:r>
        <w:rPr>
          <w:color w:val="231F20"/>
        </w:rPr>
        <w:t>a</w:t>
      </w:r>
      <w:r>
        <w:rPr>
          <w:color w:val="231F20"/>
          <w:spacing w:val="-3"/>
        </w:rPr>
        <w:t xml:space="preserve"> </w:t>
      </w:r>
      <w:r>
        <w:rPr>
          <w:color w:val="231F20"/>
        </w:rPr>
        <w:t>significant</w:t>
      </w:r>
      <w:r>
        <w:rPr>
          <w:color w:val="231F20"/>
          <w:spacing w:val="-4"/>
        </w:rPr>
        <w:t xml:space="preserve"> </w:t>
      </w:r>
      <w:r>
        <w:rPr>
          <w:color w:val="231F20"/>
        </w:rPr>
        <w:t>impact</w:t>
      </w:r>
      <w:r>
        <w:rPr>
          <w:color w:val="231F20"/>
          <w:spacing w:val="-4"/>
        </w:rPr>
        <w:t xml:space="preserve"> </w:t>
      </w:r>
      <w:r>
        <w:rPr>
          <w:color w:val="231F20"/>
        </w:rPr>
        <w:t>on</w:t>
      </w:r>
      <w:r>
        <w:rPr>
          <w:color w:val="231F20"/>
          <w:spacing w:val="-4"/>
        </w:rPr>
        <w:t xml:space="preserve"> </w:t>
      </w:r>
      <w:r>
        <w:rPr>
          <w:color w:val="231F20"/>
        </w:rPr>
        <w:t>the</w:t>
      </w:r>
      <w:r>
        <w:rPr>
          <w:color w:val="231F20"/>
          <w:spacing w:val="-4"/>
        </w:rPr>
        <w:t xml:space="preserve"> </w:t>
      </w:r>
      <w:r>
        <w:rPr>
          <w:color w:val="231F20"/>
        </w:rPr>
        <w:t>seasonality of</w:t>
      </w:r>
      <w:r>
        <w:rPr>
          <w:color w:val="231F20"/>
          <w:spacing w:val="-8"/>
        </w:rPr>
        <w:t xml:space="preserve"> </w:t>
      </w:r>
      <w:r>
        <w:rPr>
          <w:color w:val="231F20"/>
        </w:rPr>
        <w:t>sport</w:t>
      </w:r>
      <w:r>
        <w:rPr>
          <w:color w:val="231F20"/>
          <w:spacing w:val="-8"/>
        </w:rPr>
        <w:t xml:space="preserve"> </w:t>
      </w:r>
      <w:r>
        <w:rPr>
          <w:color w:val="231F20"/>
        </w:rPr>
        <w:t>tourism.</w:t>
      </w:r>
      <w:r>
        <w:rPr>
          <w:color w:val="231F20"/>
          <w:spacing w:val="-8"/>
        </w:rPr>
        <w:t xml:space="preserve"> </w:t>
      </w:r>
      <w:r>
        <w:rPr>
          <w:color w:val="231F20"/>
        </w:rPr>
        <w:t>This</w:t>
      </w:r>
      <w:r>
        <w:rPr>
          <w:color w:val="231F20"/>
          <w:spacing w:val="-8"/>
        </w:rPr>
        <w:t xml:space="preserve"> </w:t>
      </w:r>
      <w:r>
        <w:rPr>
          <w:color w:val="231F20"/>
        </w:rPr>
        <w:t>is</w:t>
      </w:r>
      <w:r>
        <w:rPr>
          <w:color w:val="231F20"/>
          <w:spacing w:val="-8"/>
        </w:rPr>
        <w:t xml:space="preserve"> </w:t>
      </w:r>
      <w:r>
        <w:rPr>
          <w:color w:val="231F20"/>
        </w:rPr>
        <w:t>particularly</w:t>
      </w:r>
      <w:r>
        <w:rPr>
          <w:color w:val="231F20"/>
          <w:spacing w:val="-8"/>
        </w:rPr>
        <w:t xml:space="preserve"> </w:t>
      </w:r>
      <w:r>
        <w:rPr>
          <w:color w:val="231F20"/>
        </w:rPr>
        <w:t>true</w:t>
      </w:r>
      <w:r>
        <w:rPr>
          <w:color w:val="231F20"/>
          <w:spacing w:val="-8"/>
        </w:rPr>
        <w:t xml:space="preserve"> </w:t>
      </w:r>
      <w:r>
        <w:rPr>
          <w:color w:val="231F20"/>
        </w:rPr>
        <w:t>for</w:t>
      </w:r>
      <w:r>
        <w:rPr>
          <w:color w:val="231F20"/>
          <w:spacing w:val="-8"/>
        </w:rPr>
        <w:t xml:space="preserve"> </w:t>
      </w:r>
      <w:r>
        <w:rPr>
          <w:color w:val="231F20"/>
        </w:rPr>
        <w:t>sport</w:t>
      </w:r>
      <w:r>
        <w:rPr>
          <w:color w:val="231F20"/>
          <w:spacing w:val="-8"/>
        </w:rPr>
        <w:t xml:space="preserve"> </w:t>
      </w:r>
      <w:r>
        <w:rPr>
          <w:color w:val="231F20"/>
        </w:rPr>
        <w:t>activity</w:t>
      </w:r>
      <w:r>
        <w:rPr>
          <w:color w:val="231F20"/>
          <w:spacing w:val="-8"/>
        </w:rPr>
        <w:t xml:space="preserve"> </w:t>
      </w:r>
      <w:r>
        <w:rPr>
          <w:color w:val="231F20"/>
        </w:rPr>
        <w:t>that</w:t>
      </w:r>
      <w:r>
        <w:rPr>
          <w:color w:val="231F20"/>
          <w:spacing w:val="-8"/>
        </w:rPr>
        <w:t xml:space="preserve"> </w:t>
      </w:r>
      <w:r>
        <w:rPr>
          <w:color w:val="231F20"/>
        </w:rPr>
        <w:t>is</w:t>
      </w:r>
      <w:r>
        <w:rPr>
          <w:color w:val="231F20"/>
          <w:spacing w:val="-8"/>
        </w:rPr>
        <w:t xml:space="preserve"> </w:t>
      </w:r>
      <w:r>
        <w:rPr>
          <w:color w:val="231F20"/>
        </w:rPr>
        <w:t xml:space="preserve">directly </w:t>
      </w:r>
      <w:r>
        <w:rPr>
          <w:color w:val="231F20"/>
          <w:w w:val="95"/>
        </w:rPr>
        <w:t xml:space="preserve">tied to climate conditions like skiing (Case Study 9.1, Robert Steiger) which faces the general challenge of shortened ‘natural’ </w:t>
      </w:r>
      <w:r>
        <w:rPr>
          <w:color w:val="231F20"/>
          <w:w w:val="95"/>
        </w:rPr>
        <w:t xml:space="preserve">ski seasons although this </w:t>
      </w:r>
      <w:r>
        <w:rPr>
          <w:color w:val="231F20"/>
        </w:rPr>
        <w:t>varies by location.</w:t>
      </w:r>
    </w:p>
    <w:p w14:paraId="20550433" w14:textId="77777777" w:rsidR="00AE0598" w:rsidRDefault="0069255A">
      <w:pPr>
        <w:pStyle w:val="Corpodetexto"/>
        <w:spacing w:before="7" w:line="232" w:lineRule="auto"/>
        <w:ind w:left="110" w:right="126" w:firstLine="320"/>
        <w:jc w:val="both"/>
      </w:pPr>
      <w:r>
        <w:rPr>
          <w:color w:val="231F20"/>
        </w:rPr>
        <w:t>Tourism destination cycles as well as sport life cycles offer valuable theoretical insight into the long-term evolution of sport and tourism (Chapter</w:t>
      </w:r>
      <w:r>
        <w:rPr>
          <w:color w:val="231F20"/>
          <w:spacing w:val="-12"/>
        </w:rPr>
        <w:t xml:space="preserve"> </w:t>
      </w:r>
      <w:r>
        <w:rPr>
          <w:color w:val="231F20"/>
        </w:rPr>
        <w:t>10).</w:t>
      </w:r>
      <w:r>
        <w:rPr>
          <w:color w:val="231F20"/>
          <w:spacing w:val="-11"/>
        </w:rPr>
        <w:t xml:space="preserve"> </w:t>
      </w:r>
      <w:r>
        <w:rPr>
          <w:color w:val="231F20"/>
        </w:rPr>
        <w:t>As</w:t>
      </w:r>
      <w:r>
        <w:rPr>
          <w:color w:val="231F20"/>
          <w:spacing w:val="-12"/>
        </w:rPr>
        <w:t xml:space="preserve"> </w:t>
      </w:r>
      <w:r>
        <w:rPr>
          <w:color w:val="231F20"/>
        </w:rPr>
        <w:t>sports</w:t>
      </w:r>
      <w:r>
        <w:rPr>
          <w:color w:val="231F20"/>
          <w:spacing w:val="-11"/>
        </w:rPr>
        <w:t xml:space="preserve"> </w:t>
      </w:r>
      <w:r>
        <w:rPr>
          <w:color w:val="231F20"/>
        </w:rPr>
        <w:t>progress</w:t>
      </w:r>
      <w:r>
        <w:rPr>
          <w:color w:val="231F20"/>
          <w:spacing w:val="-12"/>
        </w:rPr>
        <w:t xml:space="preserve"> </w:t>
      </w:r>
      <w:r>
        <w:rPr>
          <w:color w:val="231F20"/>
        </w:rPr>
        <w:t>through</w:t>
      </w:r>
      <w:r>
        <w:rPr>
          <w:color w:val="231F20"/>
          <w:spacing w:val="-11"/>
        </w:rPr>
        <w:t xml:space="preserve"> </w:t>
      </w:r>
      <w:r>
        <w:rPr>
          <w:color w:val="231F20"/>
        </w:rPr>
        <w:t>their</w:t>
      </w:r>
      <w:r>
        <w:rPr>
          <w:color w:val="231F20"/>
          <w:spacing w:val="-12"/>
        </w:rPr>
        <w:t xml:space="preserve"> </w:t>
      </w:r>
      <w:r>
        <w:rPr>
          <w:color w:val="231F20"/>
        </w:rPr>
        <w:t>life</w:t>
      </w:r>
      <w:r>
        <w:rPr>
          <w:color w:val="231F20"/>
          <w:spacing w:val="-11"/>
        </w:rPr>
        <w:t xml:space="preserve"> </w:t>
      </w:r>
      <w:r>
        <w:rPr>
          <w:color w:val="231F20"/>
        </w:rPr>
        <w:t>cycles,</w:t>
      </w:r>
      <w:r>
        <w:rPr>
          <w:color w:val="231F20"/>
          <w:spacing w:val="-12"/>
        </w:rPr>
        <w:t xml:space="preserve"> </w:t>
      </w:r>
      <w:r>
        <w:rPr>
          <w:color w:val="231F20"/>
        </w:rPr>
        <w:t>they</w:t>
      </w:r>
      <w:r>
        <w:rPr>
          <w:color w:val="231F20"/>
          <w:spacing w:val="-11"/>
        </w:rPr>
        <w:t xml:space="preserve"> </w:t>
      </w:r>
      <w:r>
        <w:rPr>
          <w:color w:val="231F20"/>
        </w:rPr>
        <w:t>impact</w:t>
      </w:r>
      <w:r>
        <w:rPr>
          <w:color w:val="231F20"/>
          <w:spacing w:val="-12"/>
        </w:rPr>
        <w:t xml:space="preserve"> </w:t>
      </w:r>
      <w:r>
        <w:rPr>
          <w:color w:val="231F20"/>
        </w:rPr>
        <w:t xml:space="preserve">the </w:t>
      </w:r>
      <w:r>
        <w:rPr>
          <w:color w:val="231F20"/>
          <w:w w:val="95"/>
        </w:rPr>
        <w:t xml:space="preserve">destinations where they take place. For example, the shift from traditional </w:t>
      </w:r>
      <w:r>
        <w:rPr>
          <w:color w:val="231F20"/>
        </w:rPr>
        <w:t xml:space="preserve">competitive sport to individual and lifestyle sports will impact the </w:t>
      </w:r>
      <w:r>
        <w:rPr>
          <w:color w:val="231F20"/>
          <w:w w:val="95"/>
        </w:rPr>
        <w:t>distribution</w:t>
      </w:r>
      <w:r>
        <w:rPr>
          <w:color w:val="231F20"/>
          <w:spacing w:val="-4"/>
          <w:w w:val="95"/>
        </w:rPr>
        <w:t xml:space="preserve"> </w:t>
      </w:r>
      <w:r>
        <w:rPr>
          <w:color w:val="231F20"/>
          <w:w w:val="95"/>
        </w:rPr>
        <w:t>of</w:t>
      </w:r>
      <w:r>
        <w:rPr>
          <w:color w:val="231F20"/>
          <w:spacing w:val="-4"/>
          <w:w w:val="95"/>
        </w:rPr>
        <w:t xml:space="preserve"> </w:t>
      </w:r>
      <w:r>
        <w:rPr>
          <w:color w:val="231F20"/>
          <w:w w:val="95"/>
        </w:rPr>
        <w:t>sport</w:t>
      </w:r>
      <w:r>
        <w:rPr>
          <w:color w:val="231F20"/>
          <w:spacing w:val="-4"/>
          <w:w w:val="95"/>
        </w:rPr>
        <w:t xml:space="preserve"> </w:t>
      </w:r>
      <w:r>
        <w:rPr>
          <w:color w:val="231F20"/>
          <w:w w:val="95"/>
        </w:rPr>
        <w:t>tourism</w:t>
      </w:r>
      <w:r>
        <w:rPr>
          <w:color w:val="231F20"/>
          <w:spacing w:val="-4"/>
          <w:w w:val="95"/>
        </w:rPr>
        <w:t xml:space="preserve"> </w:t>
      </w:r>
      <w:r>
        <w:rPr>
          <w:color w:val="231F20"/>
          <w:w w:val="95"/>
        </w:rPr>
        <w:t>development</w:t>
      </w:r>
      <w:r>
        <w:rPr>
          <w:color w:val="231F20"/>
          <w:spacing w:val="-4"/>
          <w:w w:val="95"/>
        </w:rPr>
        <w:t xml:space="preserve"> </w:t>
      </w:r>
      <w:r>
        <w:rPr>
          <w:color w:val="231F20"/>
          <w:w w:val="95"/>
        </w:rPr>
        <w:t>as</w:t>
      </w:r>
      <w:r>
        <w:rPr>
          <w:color w:val="231F20"/>
          <w:spacing w:val="-4"/>
          <w:w w:val="95"/>
        </w:rPr>
        <w:t xml:space="preserve"> </w:t>
      </w:r>
      <w:r>
        <w:rPr>
          <w:color w:val="231F20"/>
          <w:w w:val="95"/>
        </w:rPr>
        <w:t>new</w:t>
      </w:r>
      <w:r>
        <w:rPr>
          <w:color w:val="231F20"/>
          <w:spacing w:val="-4"/>
          <w:w w:val="95"/>
        </w:rPr>
        <w:t xml:space="preserve"> </w:t>
      </w:r>
      <w:r>
        <w:rPr>
          <w:color w:val="231F20"/>
          <w:w w:val="95"/>
        </w:rPr>
        <w:t>sites</w:t>
      </w:r>
      <w:r>
        <w:rPr>
          <w:color w:val="231F20"/>
          <w:spacing w:val="-4"/>
          <w:w w:val="95"/>
        </w:rPr>
        <w:t xml:space="preserve"> </w:t>
      </w:r>
      <w:r>
        <w:rPr>
          <w:color w:val="231F20"/>
          <w:w w:val="95"/>
        </w:rPr>
        <w:t>are</w:t>
      </w:r>
      <w:r>
        <w:rPr>
          <w:color w:val="231F20"/>
          <w:spacing w:val="-4"/>
          <w:w w:val="95"/>
        </w:rPr>
        <w:t xml:space="preserve"> </w:t>
      </w:r>
      <w:r>
        <w:rPr>
          <w:color w:val="231F20"/>
          <w:w w:val="95"/>
        </w:rPr>
        <w:t>developed</w:t>
      </w:r>
      <w:r>
        <w:rPr>
          <w:color w:val="231F20"/>
          <w:spacing w:val="-4"/>
          <w:w w:val="95"/>
        </w:rPr>
        <w:t xml:space="preserve"> </w:t>
      </w:r>
      <w:r>
        <w:rPr>
          <w:color w:val="231F20"/>
          <w:w w:val="95"/>
        </w:rPr>
        <w:t>based on new resources needs. C</w:t>
      </w:r>
      <w:r>
        <w:rPr>
          <w:color w:val="231F20"/>
          <w:w w:val="95"/>
        </w:rPr>
        <w:t xml:space="preserve">ase Study 10.1 (Adam Doering) provides a good </w:t>
      </w:r>
      <w:r>
        <w:rPr>
          <w:color w:val="231F20"/>
        </w:rPr>
        <w:t>example</w:t>
      </w:r>
      <w:r>
        <w:rPr>
          <w:color w:val="231F20"/>
          <w:spacing w:val="-7"/>
        </w:rPr>
        <w:t xml:space="preserve"> </w:t>
      </w:r>
      <w:r>
        <w:rPr>
          <w:color w:val="231F20"/>
        </w:rPr>
        <w:t>with</w:t>
      </w:r>
      <w:r>
        <w:rPr>
          <w:color w:val="231F20"/>
          <w:spacing w:val="-8"/>
        </w:rPr>
        <w:t xml:space="preserve"> </w:t>
      </w:r>
      <w:r>
        <w:rPr>
          <w:color w:val="231F20"/>
        </w:rPr>
        <w:t>its</w:t>
      </w:r>
      <w:r>
        <w:rPr>
          <w:color w:val="231F20"/>
          <w:spacing w:val="-7"/>
        </w:rPr>
        <w:t xml:space="preserve"> </w:t>
      </w:r>
      <w:r>
        <w:rPr>
          <w:color w:val="231F20"/>
        </w:rPr>
        <w:t>articulation</w:t>
      </w:r>
      <w:r>
        <w:rPr>
          <w:color w:val="231F20"/>
          <w:spacing w:val="-8"/>
        </w:rPr>
        <w:t xml:space="preserve"> </w:t>
      </w:r>
      <w:r>
        <w:rPr>
          <w:color w:val="231F20"/>
        </w:rPr>
        <w:t>of</w:t>
      </w:r>
      <w:r>
        <w:rPr>
          <w:color w:val="231F20"/>
          <w:spacing w:val="-8"/>
        </w:rPr>
        <w:t xml:space="preserve"> </w:t>
      </w:r>
      <w:r>
        <w:rPr>
          <w:color w:val="231F20"/>
        </w:rPr>
        <w:t>the</w:t>
      </w:r>
      <w:r>
        <w:rPr>
          <w:color w:val="231F20"/>
          <w:spacing w:val="-7"/>
        </w:rPr>
        <w:t xml:space="preserve"> </w:t>
      </w:r>
      <w:r>
        <w:rPr>
          <w:color w:val="231F20"/>
        </w:rPr>
        <w:t>way</w:t>
      </w:r>
      <w:r>
        <w:rPr>
          <w:color w:val="231F20"/>
          <w:spacing w:val="-7"/>
        </w:rPr>
        <w:t xml:space="preserve"> </w:t>
      </w:r>
      <w:r>
        <w:rPr>
          <w:color w:val="231F20"/>
        </w:rPr>
        <w:t>that</w:t>
      </w:r>
      <w:r>
        <w:rPr>
          <w:color w:val="231F20"/>
          <w:spacing w:val="-8"/>
        </w:rPr>
        <w:t xml:space="preserve"> </w:t>
      </w:r>
      <w:r>
        <w:rPr>
          <w:color w:val="231F20"/>
        </w:rPr>
        <w:t>surfing</w:t>
      </w:r>
      <w:r>
        <w:rPr>
          <w:color w:val="231F20"/>
          <w:spacing w:val="-8"/>
        </w:rPr>
        <w:t xml:space="preserve"> </w:t>
      </w:r>
      <w:r>
        <w:rPr>
          <w:color w:val="231F20"/>
        </w:rPr>
        <w:t>has</w:t>
      </w:r>
      <w:r>
        <w:rPr>
          <w:color w:val="231F20"/>
          <w:spacing w:val="-7"/>
        </w:rPr>
        <w:t xml:space="preserve"> </w:t>
      </w:r>
      <w:r>
        <w:rPr>
          <w:color w:val="231F20"/>
        </w:rPr>
        <w:t>emerged</w:t>
      </w:r>
      <w:r>
        <w:rPr>
          <w:color w:val="231F20"/>
          <w:spacing w:val="-7"/>
        </w:rPr>
        <w:t xml:space="preserve"> </w:t>
      </w:r>
      <w:r>
        <w:rPr>
          <w:color w:val="231F20"/>
        </w:rPr>
        <w:t>as</w:t>
      </w:r>
      <w:r>
        <w:rPr>
          <w:color w:val="231F20"/>
          <w:spacing w:val="-7"/>
        </w:rPr>
        <w:t xml:space="preserve"> </w:t>
      </w:r>
      <w:r>
        <w:rPr>
          <w:color w:val="231F20"/>
        </w:rPr>
        <w:t xml:space="preserve">both a sport and a factor in the distribution of sport tourism. Individual sport </w:t>
      </w:r>
      <w:r>
        <w:rPr>
          <w:color w:val="231F20"/>
          <w:w w:val="95"/>
        </w:rPr>
        <w:t>life cycles are also influenced by tourism. As leisure-orien</w:t>
      </w:r>
      <w:r>
        <w:rPr>
          <w:color w:val="231F20"/>
          <w:w w:val="95"/>
        </w:rPr>
        <w:t>ted activities like surfing</w:t>
      </w:r>
      <w:r>
        <w:rPr>
          <w:color w:val="231F20"/>
          <w:spacing w:val="-7"/>
          <w:w w:val="95"/>
        </w:rPr>
        <w:t xml:space="preserve"> </w:t>
      </w:r>
      <w:r>
        <w:rPr>
          <w:color w:val="231F20"/>
          <w:w w:val="95"/>
        </w:rPr>
        <w:t>grow</w:t>
      </w:r>
      <w:r>
        <w:rPr>
          <w:color w:val="231F20"/>
          <w:spacing w:val="-7"/>
          <w:w w:val="95"/>
        </w:rPr>
        <w:t xml:space="preserve"> </w:t>
      </w:r>
      <w:r>
        <w:rPr>
          <w:color w:val="231F20"/>
          <w:w w:val="95"/>
        </w:rPr>
        <w:t>as</w:t>
      </w:r>
      <w:r>
        <w:rPr>
          <w:color w:val="231F20"/>
          <w:spacing w:val="-7"/>
          <w:w w:val="95"/>
        </w:rPr>
        <w:t xml:space="preserve"> </w:t>
      </w:r>
      <w:r>
        <w:rPr>
          <w:color w:val="231F20"/>
          <w:w w:val="95"/>
        </w:rPr>
        <w:t>popular</w:t>
      </w:r>
      <w:r>
        <w:rPr>
          <w:color w:val="231F20"/>
          <w:spacing w:val="-7"/>
          <w:w w:val="95"/>
        </w:rPr>
        <w:t xml:space="preserve"> </w:t>
      </w:r>
      <w:r>
        <w:rPr>
          <w:color w:val="231F20"/>
          <w:w w:val="95"/>
        </w:rPr>
        <w:t>tourist</w:t>
      </w:r>
      <w:r>
        <w:rPr>
          <w:color w:val="231F20"/>
          <w:spacing w:val="-7"/>
          <w:w w:val="95"/>
        </w:rPr>
        <w:t xml:space="preserve"> </w:t>
      </w:r>
      <w:r>
        <w:rPr>
          <w:color w:val="231F20"/>
          <w:w w:val="95"/>
        </w:rPr>
        <w:t>activities,</w:t>
      </w:r>
      <w:r>
        <w:rPr>
          <w:color w:val="231F20"/>
          <w:spacing w:val="-7"/>
          <w:w w:val="95"/>
        </w:rPr>
        <w:t xml:space="preserve"> </w:t>
      </w:r>
      <w:r>
        <w:rPr>
          <w:color w:val="231F20"/>
          <w:w w:val="95"/>
        </w:rPr>
        <w:t>variations</w:t>
      </w:r>
      <w:r>
        <w:rPr>
          <w:color w:val="231F20"/>
          <w:spacing w:val="-7"/>
          <w:w w:val="95"/>
        </w:rPr>
        <w:t xml:space="preserve"> </w:t>
      </w:r>
      <w:r>
        <w:rPr>
          <w:color w:val="231F20"/>
          <w:w w:val="95"/>
        </w:rPr>
        <w:t>have</w:t>
      </w:r>
      <w:r>
        <w:rPr>
          <w:color w:val="231F20"/>
          <w:spacing w:val="-7"/>
          <w:w w:val="95"/>
        </w:rPr>
        <w:t xml:space="preserve"> </w:t>
      </w:r>
      <w:r>
        <w:rPr>
          <w:color w:val="231F20"/>
          <w:w w:val="95"/>
        </w:rPr>
        <w:t>emerged</w:t>
      </w:r>
      <w:r>
        <w:rPr>
          <w:color w:val="231F20"/>
          <w:spacing w:val="-7"/>
          <w:w w:val="95"/>
        </w:rPr>
        <w:t xml:space="preserve"> </w:t>
      </w:r>
      <w:r>
        <w:rPr>
          <w:color w:val="231F20"/>
          <w:w w:val="95"/>
        </w:rPr>
        <w:t xml:space="preserve">including high-performance competitions such as the inclusion of surfing in the 2020 </w:t>
      </w:r>
      <w:r>
        <w:rPr>
          <w:color w:val="231F20"/>
        </w:rPr>
        <w:t>Tokyo Olympics.</w:t>
      </w:r>
    </w:p>
    <w:p w14:paraId="788ECB7A" w14:textId="77777777" w:rsidR="00AE0598" w:rsidRDefault="0069255A">
      <w:pPr>
        <w:pStyle w:val="Corpodetexto"/>
        <w:spacing w:before="16" w:line="232" w:lineRule="auto"/>
        <w:ind w:left="110" w:right="126" w:firstLine="320"/>
        <w:jc w:val="both"/>
      </w:pPr>
      <w:r>
        <w:rPr>
          <w:color w:val="231F20"/>
        </w:rPr>
        <w:t>Heritage sport tourism demonstrates how the evolution of sport can have a direct impact on tourism. Sport nostalgia is, in part, a reaction to a rapidly ch</w:t>
      </w:r>
      <w:r>
        <w:rPr>
          <w:color w:val="231F20"/>
        </w:rPr>
        <w:t>anging society. It is not only a chance for tourists to revisit their</w:t>
      </w:r>
      <w:r>
        <w:rPr>
          <w:color w:val="231F20"/>
          <w:spacing w:val="-7"/>
        </w:rPr>
        <w:t xml:space="preserve"> </w:t>
      </w:r>
      <w:r>
        <w:rPr>
          <w:color w:val="231F20"/>
        </w:rPr>
        <w:t>youth,</w:t>
      </w:r>
      <w:r>
        <w:rPr>
          <w:color w:val="231F20"/>
          <w:spacing w:val="-7"/>
        </w:rPr>
        <w:t xml:space="preserve"> </w:t>
      </w:r>
      <w:r>
        <w:rPr>
          <w:color w:val="231F20"/>
        </w:rPr>
        <w:t>but</w:t>
      </w:r>
      <w:r>
        <w:rPr>
          <w:color w:val="231F20"/>
          <w:spacing w:val="-7"/>
        </w:rPr>
        <w:t xml:space="preserve"> </w:t>
      </w:r>
      <w:r>
        <w:rPr>
          <w:color w:val="231F20"/>
        </w:rPr>
        <w:t>it</w:t>
      </w:r>
      <w:r>
        <w:rPr>
          <w:color w:val="231F20"/>
          <w:spacing w:val="-7"/>
        </w:rPr>
        <w:t xml:space="preserve"> </w:t>
      </w:r>
      <w:r>
        <w:rPr>
          <w:color w:val="231F20"/>
        </w:rPr>
        <w:t>is</w:t>
      </w:r>
      <w:r>
        <w:rPr>
          <w:color w:val="231F20"/>
          <w:spacing w:val="-7"/>
        </w:rPr>
        <w:t xml:space="preserve"> </w:t>
      </w:r>
      <w:r>
        <w:rPr>
          <w:color w:val="231F20"/>
        </w:rPr>
        <w:t>also</w:t>
      </w:r>
      <w:r>
        <w:rPr>
          <w:color w:val="231F20"/>
          <w:spacing w:val="-7"/>
        </w:rPr>
        <w:t xml:space="preserve"> </w:t>
      </w:r>
      <w:r>
        <w:rPr>
          <w:color w:val="231F20"/>
        </w:rPr>
        <w:t>an</w:t>
      </w:r>
      <w:r>
        <w:rPr>
          <w:color w:val="231F20"/>
          <w:spacing w:val="-7"/>
        </w:rPr>
        <w:t xml:space="preserve"> </w:t>
      </w:r>
      <w:r>
        <w:rPr>
          <w:color w:val="231F20"/>
        </w:rPr>
        <w:t>opportunity</w:t>
      </w:r>
      <w:r>
        <w:rPr>
          <w:color w:val="231F20"/>
          <w:spacing w:val="-7"/>
        </w:rPr>
        <w:t xml:space="preserve"> </w:t>
      </w:r>
      <w:r>
        <w:rPr>
          <w:color w:val="231F20"/>
        </w:rPr>
        <w:t>to</w:t>
      </w:r>
      <w:r>
        <w:rPr>
          <w:color w:val="231F20"/>
          <w:spacing w:val="-7"/>
        </w:rPr>
        <w:t xml:space="preserve"> </w:t>
      </w:r>
      <w:r>
        <w:rPr>
          <w:color w:val="231F20"/>
        </w:rPr>
        <w:t>escape</w:t>
      </w:r>
      <w:r>
        <w:rPr>
          <w:color w:val="231F20"/>
          <w:spacing w:val="-7"/>
        </w:rPr>
        <w:t xml:space="preserve"> </w:t>
      </w:r>
      <w:r>
        <w:rPr>
          <w:color w:val="231F20"/>
        </w:rPr>
        <w:t>back</w:t>
      </w:r>
      <w:r>
        <w:rPr>
          <w:color w:val="231F20"/>
          <w:spacing w:val="-7"/>
        </w:rPr>
        <w:t xml:space="preserve"> </w:t>
      </w:r>
      <w:r>
        <w:rPr>
          <w:color w:val="231F20"/>
        </w:rPr>
        <w:t>into</w:t>
      </w:r>
      <w:r>
        <w:rPr>
          <w:color w:val="231F20"/>
          <w:spacing w:val="-7"/>
        </w:rPr>
        <w:t xml:space="preserve"> </w:t>
      </w:r>
      <w:r>
        <w:rPr>
          <w:color w:val="231F20"/>
        </w:rPr>
        <w:t>what</w:t>
      </w:r>
      <w:r>
        <w:rPr>
          <w:color w:val="231F20"/>
          <w:spacing w:val="-7"/>
        </w:rPr>
        <w:t xml:space="preserve"> </w:t>
      </w:r>
      <w:r>
        <w:rPr>
          <w:color w:val="231F20"/>
        </w:rPr>
        <w:t>is</w:t>
      </w:r>
      <w:r>
        <w:rPr>
          <w:color w:val="231F20"/>
          <w:spacing w:val="-7"/>
        </w:rPr>
        <w:t xml:space="preserve"> </w:t>
      </w:r>
      <w:r>
        <w:rPr>
          <w:color w:val="231F20"/>
        </w:rPr>
        <w:t xml:space="preserve">often </w:t>
      </w:r>
      <w:r>
        <w:rPr>
          <w:color w:val="231F20"/>
          <w:w w:val="95"/>
        </w:rPr>
        <w:t>considered</w:t>
      </w:r>
      <w:r>
        <w:rPr>
          <w:color w:val="231F20"/>
          <w:spacing w:val="-8"/>
          <w:w w:val="95"/>
        </w:rPr>
        <w:t xml:space="preserve"> </w:t>
      </w:r>
      <w:r>
        <w:rPr>
          <w:color w:val="231F20"/>
          <w:w w:val="95"/>
        </w:rPr>
        <w:t>a</w:t>
      </w:r>
      <w:r>
        <w:rPr>
          <w:color w:val="231F20"/>
          <w:spacing w:val="-8"/>
          <w:w w:val="95"/>
        </w:rPr>
        <w:t xml:space="preserve"> </w:t>
      </w:r>
      <w:r>
        <w:rPr>
          <w:color w:val="231F20"/>
          <w:w w:val="95"/>
        </w:rPr>
        <w:t>simpler</w:t>
      </w:r>
      <w:r>
        <w:rPr>
          <w:color w:val="231F20"/>
          <w:spacing w:val="-8"/>
          <w:w w:val="95"/>
        </w:rPr>
        <w:t xml:space="preserve"> </w:t>
      </w:r>
      <w:r>
        <w:rPr>
          <w:color w:val="231F20"/>
          <w:w w:val="95"/>
        </w:rPr>
        <w:t>time.</w:t>
      </w:r>
      <w:r>
        <w:rPr>
          <w:color w:val="231F20"/>
          <w:spacing w:val="-8"/>
          <w:w w:val="95"/>
        </w:rPr>
        <w:t xml:space="preserve"> </w:t>
      </w:r>
      <w:r>
        <w:rPr>
          <w:color w:val="231F20"/>
          <w:w w:val="95"/>
        </w:rPr>
        <w:t>These</w:t>
      </w:r>
      <w:r>
        <w:rPr>
          <w:color w:val="231F20"/>
          <w:spacing w:val="-8"/>
          <w:w w:val="95"/>
        </w:rPr>
        <w:t xml:space="preserve"> </w:t>
      </w:r>
      <w:r>
        <w:rPr>
          <w:color w:val="231F20"/>
          <w:w w:val="95"/>
        </w:rPr>
        <w:t>temporal</w:t>
      </w:r>
      <w:r>
        <w:rPr>
          <w:color w:val="231F20"/>
          <w:spacing w:val="-8"/>
          <w:w w:val="95"/>
        </w:rPr>
        <w:t xml:space="preserve"> </w:t>
      </w:r>
      <w:r>
        <w:rPr>
          <w:color w:val="231F20"/>
          <w:w w:val="95"/>
        </w:rPr>
        <w:t>journeys</w:t>
      </w:r>
      <w:r>
        <w:rPr>
          <w:color w:val="231F20"/>
          <w:spacing w:val="-8"/>
          <w:w w:val="95"/>
        </w:rPr>
        <w:t xml:space="preserve"> </w:t>
      </w:r>
      <w:r>
        <w:rPr>
          <w:color w:val="231F20"/>
          <w:w w:val="95"/>
        </w:rPr>
        <w:t>are</w:t>
      </w:r>
      <w:r>
        <w:rPr>
          <w:color w:val="231F20"/>
          <w:spacing w:val="-8"/>
          <w:w w:val="95"/>
        </w:rPr>
        <w:t xml:space="preserve"> </w:t>
      </w:r>
      <w:r>
        <w:rPr>
          <w:color w:val="231F20"/>
          <w:w w:val="95"/>
        </w:rPr>
        <w:t>facilitated</w:t>
      </w:r>
      <w:r>
        <w:rPr>
          <w:color w:val="231F20"/>
          <w:spacing w:val="-8"/>
          <w:w w:val="95"/>
        </w:rPr>
        <w:t xml:space="preserve"> </w:t>
      </w:r>
      <w:r>
        <w:rPr>
          <w:color w:val="231F20"/>
          <w:w w:val="95"/>
        </w:rPr>
        <w:t>by</w:t>
      </w:r>
      <w:r>
        <w:rPr>
          <w:color w:val="231F20"/>
          <w:spacing w:val="-8"/>
          <w:w w:val="95"/>
        </w:rPr>
        <w:t xml:space="preserve"> </w:t>
      </w:r>
      <w:r>
        <w:rPr>
          <w:color w:val="231F20"/>
          <w:w w:val="95"/>
        </w:rPr>
        <w:t>spatial journeys as tourists’ seek out sports</w:t>
      </w:r>
      <w:r>
        <w:rPr>
          <w:color w:val="231F20"/>
          <w:w w:val="95"/>
        </w:rPr>
        <w:t xml:space="preserve"> halls of fame, sites of historic sporting </w:t>
      </w:r>
      <w:r>
        <w:rPr>
          <w:color w:val="231F20"/>
        </w:rPr>
        <w:t>moments</w:t>
      </w:r>
      <w:r>
        <w:rPr>
          <w:color w:val="231F20"/>
          <w:spacing w:val="-8"/>
        </w:rPr>
        <w:t xml:space="preserve"> </w:t>
      </w:r>
      <w:r>
        <w:rPr>
          <w:color w:val="231F20"/>
        </w:rPr>
        <w:t>and</w:t>
      </w:r>
      <w:r>
        <w:rPr>
          <w:color w:val="231F20"/>
          <w:spacing w:val="-8"/>
        </w:rPr>
        <w:t xml:space="preserve"> </w:t>
      </w:r>
      <w:r>
        <w:rPr>
          <w:color w:val="231F20"/>
        </w:rPr>
        <w:t>fantasy</w:t>
      </w:r>
      <w:r>
        <w:rPr>
          <w:color w:val="231F20"/>
          <w:spacing w:val="-8"/>
        </w:rPr>
        <w:t xml:space="preserve"> </w:t>
      </w:r>
      <w:r>
        <w:rPr>
          <w:color w:val="231F20"/>
        </w:rPr>
        <w:t>programmes</w:t>
      </w:r>
      <w:r>
        <w:rPr>
          <w:color w:val="231F20"/>
          <w:spacing w:val="-8"/>
        </w:rPr>
        <w:t xml:space="preserve"> </w:t>
      </w:r>
      <w:r>
        <w:rPr>
          <w:color w:val="231F20"/>
        </w:rPr>
        <w:t>that</w:t>
      </w:r>
      <w:r>
        <w:rPr>
          <w:color w:val="231F20"/>
          <w:spacing w:val="-8"/>
        </w:rPr>
        <w:t xml:space="preserve"> </w:t>
      </w:r>
      <w:r>
        <w:rPr>
          <w:color w:val="231F20"/>
        </w:rPr>
        <w:t>enable</w:t>
      </w:r>
      <w:r>
        <w:rPr>
          <w:color w:val="231F20"/>
          <w:spacing w:val="-8"/>
        </w:rPr>
        <w:t xml:space="preserve"> </w:t>
      </w:r>
      <w:r>
        <w:rPr>
          <w:color w:val="231F20"/>
        </w:rPr>
        <w:t>them</w:t>
      </w:r>
      <w:r>
        <w:rPr>
          <w:color w:val="231F20"/>
          <w:spacing w:val="-8"/>
        </w:rPr>
        <w:t xml:space="preserve"> </w:t>
      </w:r>
      <w:r>
        <w:rPr>
          <w:color w:val="231F20"/>
        </w:rPr>
        <w:t>to</w:t>
      </w:r>
      <w:r>
        <w:rPr>
          <w:color w:val="231F20"/>
          <w:spacing w:val="-8"/>
        </w:rPr>
        <w:t xml:space="preserve"> </w:t>
      </w:r>
      <w:r>
        <w:rPr>
          <w:color w:val="231F20"/>
        </w:rPr>
        <w:t>recreate</w:t>
      </w:r>
      <w:r>
        <w:rPr>
          <w:color w:val="231F20"/>
          <w:spacing w:val="-8"/>
        </w:rPr>
        <w:t xml:space="preserve"> </w:t>
      </w:r>
      <w:r>
        <w:rPr>
          <w:color w:val="231F20"/>
        </w:rPr>
        <w:t>or</w:t>
      </w:r>
      <w:r>
        <w:rPr>
          <w:color w:val="231F20"/>
          <w:spacing w:val="-8"/>
        </w:rPr>
        <w:t xml:space="preserve"> </w:t>
      </w:r>
      <w:r>
        <w:rPr>
          <w:color w:val="231F20"/>
        </w:rPr>
        <w:t>relive history.</w:t>
      </w:r>
      <w:r>
        <w:rPr>
          <w:color w:val="231F20"/>
          <w:spacing w:val="-12"/>
        </w:rPr>
        <w:t xml:space="preserve"> </w:t>
      </w:r>
      <w:r>
        <w:rPr>
          <w:color w:val="231F20"/>
        </w:rPr>
        <w:t>More</w:t>
      </w:r>
      <w:r>
        <w:rPr>
          <w:color w:val="231F20"/>
          <w:spacing w:val="-12"/>
        </w:rPr>
        <w:t xml:space="preserve"> </w:t>
      </w:r>
      <w:r>
        <w:rPr>
          <w:color w:val="231F20"/>
        </w:rPr>
        <w:t>generally,</w:t>
      </w:r>
      <w:r>
        <w:rPr>
          <w:color w:val="231F20"/>
          <w:spacing w:val="-11"/>
        </w:rPr>
        <w:t xml:space="preserve"> </w:t>
      </w:r>
      <w:r>
        <w:rPr>
          <w:color w:val="231F20"/>
        </w:rPr>
        <w:t>there</w:t>
      </w:r>
      <w:r>
        <w:rPr>
          <w:color w:val="231F20"/>
          <w:spacing w:val="-12"/>
        </w:rPr>
        <w:t xml:space="preserve"> </w:t>
      </w:r>
      <w:r>
        <w:rPr>
          <w:color w:val="231F20"/>
        </w:rPr>
        <w:t>are</w:t>
      </w:r>
      <w:r>
        <w:rPr>
          <w:color w:val="231F20"/>
          <w:spacing w:val="-11"/>
        </w:rPr>
        <w:t xml:space="preserve"> </w:t>
      </w:r>
      <w:r>
        <w:rPr>
          <w:color w:val="231F20"/>
        </w:rPr>
        <w:t>a</w:t>
      </w:r>
      <w:r>
        <w:rPr>
          <w:color w:val="231F20"/>
          <w:spacing w:val="-12"/>
        </w:rPr>
        <w:t xml:space="preserve"> </w:t>
      </w:r>
      <w:r>
        <w:rPr>
          <w:color w:val="231F20"/>
        </w:rPr>
        <w:t>variety</w:t>
      </w:r>
      <w:r>
        <w:rPr>
          <w:color w:val="231F20"/>
          <w:spacing w:val="-11"/>
        </w:rPr>
        <w:t xml:space="preserve"> </w:t>
      </w:r>
      <w:r>
        <w:rPr>
          <w:color w:val="231F20"/>
        </w:rPr>
        <w:t>of</w:t>
      </w:r>
      <w:r>
        <w:rPr>
          <w:color w:val="231F20"/>
          <w:spacing w:val="-12"/>
        </w:rPr>
        <w:t xml:space="preserve"> </w:t>
      </w:r>
      <w:r>
        <w:rPr>
          <w:color w:val="231F20"/>
        </w:rPr>
        <w:t>macro-level</w:t>
      </w:r>
      <w:r>
        <w:rPr>
          <w:color w:val="231F20"/>
          <w:spacing w:val="-12"/>
        </w:rPr>
        <w:t xml:space="preserve"> </w:t>
      </w:r>
      <w:r>
        <w:rPr>
          <w:color w:val="231F20"/>
        </w:rPr>
        <w:t>trends</w:t>
      </w:r>
      <w:r>
        <w:rPr>
          <w:color w:val="231F20"/>
          <w:spacing w:val="-11"/>
        </w:rPr>
        <w:t xml:space="preserve"> </w:t>
      </w:r>
      <w:r>
        <w:rPr>
          <w:color w:val="231F20"/>
        </w:rPr>
        <w:t>that</w:t>
      </w:r>
      <w:r>
        <w:rPr>
          <w:color w:val="231F20"/>
          <w:spacing w:val="-12"/>
        </w:rPr>
        <w:t xml:space="preserve"> </w:t>
      </w:r>
      <w:r>
        <w:rPr>
          <w:color w:val="231F20"/>
        </w:rPr>
        <w:t xml:space="preserve">will influence the future of sport tourism. Globalisation processes appear to </w:t>
      </w:r>
      <w:r>
        <w:rPr>
          <w:color w:val="231F20"/>
          <w:w w:val="95"/>
        </w:rPr>
        <w:t xml:space="preserve">underlie the majority of these trends. Dynamic economic, environmental, </w:t>
      </w:r>
      <w:r>
        <w:rPr>
          <w:color w:val="231F20"/>
        </w:rPr>
        <w:t xml:space="preserve">political, socio-demographic and technological/communication realms </w:t>
      </w:r>
      <w:r>
        <w:rPr>
          <w:color w:val="231F20"/>
          <w:w w:val="95"/>
        </w:rPr>
        <w:t>present opportunities as well as chall</w:t>
      </w:r>
      <w:r>
        <w:rPr>
          <w:color w:val="231F20"/>
          <w:w w:val="95"/>
        </w:rPr>
        <w:t xml:space="preserve">enges for sport tourism development. Not only is each of these realms characterised by changing characteristics, </w:t>
      </w:r>
      <w:r>
        <w:rPr>
          <w:color w:val="231F20"/>
        </w:rPr>
        <w:t>but these characteristics interact with those found in the other realms, making cause/effect relationships difficult to identify, let alone pre</w:t>
      </w:r>
      <w:r>
        <w:rPr>
          <w:color w:val="231F20"/>
        </w:rPr>
        <w:t>dict. As</w:t>
      </w:r>
      <w:r>
        <w:rPr>
          <w:color w:val="231F20"/>
          <w:spacing w:val="-1"/>
        </w:rPr>
        <w:t xml:space="preserve"> </w:t>
      </w:r>
      <w:r>
        <w:rPr>
          <w:color w:val="231F20"/>
        </w:rPr>
        <w:t>difficult</w:t>
      </w:r>
      <w:r>
        <w:rPr>
          <w:color w:val="231F20"/>
          <w:spacing w:val="-1"/>
        </w:rPr>
        <w:t xml:space="preserve"> </w:t>
      </w:r>
      <w:r>
        <w:rPr>
          <w:color w:val="231F20"/>
        </w:rPr>
        <w:t>as this exercise</w:t>
      </w:r>
      <w:r>
        <w:rPr>
          <w:color w:val="231F20"/>
          <w:spacing w:val="-1"/>
        </w:rPr>
        <w:t xml:space="preserve"> </w:t>
      </w:r>
      <w:r>
        <w:rPr>
          <w:color w:val="231F20"/>
        </w:rPr>
        <w:t>may be, the ability to</w:t>
      </w:r>
      <w:r>
        <w:rPr>
          <w:color w:val="231F20"/>
          <w:spacing w:val="-1"/>
        </w:rPr>
        <w:t xml:space="preserve"> </w:t>
      </w:r>
      <w:r>
        <w:rPr>
          <w:color w:val="231F20"/>
        </w:rPr>
        <w:t>influence</w:t>
      </w:r>
      <w:r>
        <w:rPr>
          <w:color w:val="231F20"/>
          <w:spacing w:val="-1"/>
        </w:rPr>
        <w:t xml:space="preserve"> </w:t>
      </w:r>
      <w:r>
        <w:rPr>
          <w:color w:val="231F20"/>
        </w:rPr>
        <w:t>sport</w:t>
      </w:r>
      <w:r>
        <w:rPr>
          <w:color w:val="231F20"/>
          <w:spacing w:val="-1"/>
        </w:rPr>
        <w:t xml:space="preserve"> </w:t>
      </w:r>
      <w:r>
        <w:rPr>
          <w:color w:val="231F20"/>
        </w:rPr>
        <w:t>tourism development depends in part on being able to do so.</w:t>
      </w:r>
    </w:p>
    <w:p w14:paraId="1920F4F1" w14:textId="77777777" w:rsidR="00AE0598" w:rsidRDefault="00AE0598">
      <w:pPr>
        <w:pStyle w:val="Corpodetexto"/>
        <w:spacing w:before="10"/>
        <w:rPr>
          <w:sz w:val="32"/>
        </w:rPr>
      </w:pPr>
    </w:p>
    <w:p w14:paraId="20619180" w14:textId="77777777" w:rsidR="00AE0598" w:rsidRDefault="0069255A">
      <w:pPr>
        <w:ind w:left="110"/>
        <w:jc w:val="both"/>
        <w:rPr>
          <w:rFonts w:ascii="Trebuchet MS"/>
          <w:b/>
          <w:sz w:val="20"/>
        </w:rPr>
      </w:pPr>
      <w:r>
        <w:rPr>
          <w:rFonts w:ascii="Trebuchet MS"/>
          <w:b/>
          <w:color w:val="231F20"/>
          <w:w w:val="95"/>
          <w:sz w:val="20"/>
        </w:rPr>
        <w:t>The</w:t>
      </w:r>
      <w:r>
        <w:rPr>
          <w:rFonts w:ascii="Trebuchet MS"/>
          <w:b/>
          <w:color w:val="231F20"/>
          <w:spacing w:val="1"/>
          <w:sz w:val="20"/>
        </w:rPr>
        <w:t xml:space="preserve"> </w:t>
      </w:r>
      <w:r>
        <w:rPr>
          <w:rFonts w:ascii="Trebuchet MS"/>
          <w:b/>
          <w:color w:val="231F20"/>
          <w:w w:val="95"/>
          <w:sz w:val="20"/>
        </w:rPr>
        <w:t>Final</w:t>
      </w:r>
      <w:r>
        <w:rPr>
          <w:rFonts w:ascii="Trebuchet MS"/>
          <w:b/>
          <w:color w:val="231F20"/>
          <w:spacing w:val="1"/>
          <w:sz w:val="20"/>
        </w:rPr>
        <w:t xml:space="preserve"> </w:t>
      </w:r>
      <w:r>
        <w:rPr>
          <w:rFonts w:ascii="Trebuchet MS"/>
          <w:b/>
          <w:color w:val="231F20"/>
          <w:spacing w:val="-2"/>
          <w:w w:val="95"/>
          <w:sz w:val="20"/>
        </w:rPr>
        <w:t>Whistle</w:t>
      </w:r>
    </w:p>
    <w:p w14:paraId="5A17AE12" w14:textId="77777777" w:rsidR="00AE0598" w:rsidRDefault="0069255A">
      <w:pPr>
        <w:pStyle w:val="Corpodetexto"/>
        <w:spacing w:before="122" w:line="232" w:lineRule="auto"/>
        <w:ind w:left="110" w:right="127" w:firstLine="320"/>
        <w:jc w:val="both"/>
      </w:pPr>
      <w:r>
        <w:rPr>
          <w:color w:val="231F20"/>
        </w:rPr>
        <w:t>Sport provides a unique, dynamic and intriguing focus for the study of tourism. Engagement in sports i</w:t>
      </w:r>
      <w:r>
        <w:rPr>
          <w:color w:val="231F20"/>
        </w:rPr>
        <w:t>n societies is extremely wide ranging, and</w:t>
      </w:r>
      <w:r>
        <w:rPr>
          <w:color w:val="231F20"/>
          <w:spacing w:val="-9"/>
        </w:rPr>
        <w:t xml:space="preserve"> </w:t>
      </w:r>
      <w:r>
        <w:rPr>
          <w:color w:val="231F20"/>
        </w:rPr>
        <w:t>engagement</w:t>
      </w:r>
      <w:r>
        <w:rPr>
          <w:color w:val="231F20"/>
          <w:spacing w:val="-9"/>
        </w:rPr>
        <w:t xml:space="preserve"> </w:t>
      </w:r>
      <w:r>
        <w:rPr>
          <w:color w:val="231F20"/>
        </w:rPr>
        <w:t>in</w:t>
      </w:r>
      <w:r>
        <w:rPr>
          <w:color w:val="231F20"/>
          <w:spacing w:val="-9"/>
        </w:rPr>
        <w:t xml:space="preserve"> </w:t>
      </w:r>
      <w:r>
        <w:rPr>
          <w:color w:val="231F20"/>
        </w:rPr>
        <w:t>sport-related</w:t>
      </w:r>
      <w:r>
        <w:rPr>
          <w:color w:val="231F20"/>
          <w:spacing w:val="-9"/>
        </w:rPr>
        <w:t xml:space="preserve"> </w:t>
      </w:r>
      <w:r>
        <w:rPr>
          <w:color w:val="231F20"/>
        </w:rPr>
        <w:t>tourism</w:t>
      </w:r>
      <w:r>
        <w:rPr>
          <w:color w:val="231F20"/>
          <w:spacing w:val="-9"/>
        </w:rPr>
        <w:t xml:space="preserve"> </w:t>
      </w:r>
      <w:r>
        <w:rPr>
          <w:color w:val="231F20"/>
        </w:rPr>
        <w:t>is</w:t>
      </w:r>
      <w:r>
        <w:rPr>
          <w:color w:val="231F20"/>
          <w:spacing w:val="-9"/>
        </w:rPr>
        <w:t xml:space="preserve"> </w:t>
      </w:r>
      <w:r>
        <w:rPr>
          <w:color w:val="231F20"/>
        </w:rPr>
        <w:t>a</w:t>
      </w:r>
      <w:r>
        <w:rPr>
          <w:color w:val="231F20"/>
          <w:spacing w:val="-9"/>
        </w:rPr>
        <w:t xml:space="preserve"> </w:t>
      </w:r>
      <w:r>
        <w:rPr>
          <w:color w:val="231F20"/>
        </w:rPr>
        <w:t>dynamic</w:t>
      </w:r>
      <w:r>
        <w:rPr>
          <w:color w:val="231F20"/>
          <w:spacing w:val="-9"/>
        </w:rPr>
        <w:t xml:space="preserve"> </w:t>
      </w:r>
      <w:r>
        <w:rPr>
          <w:color w:val="231F20"/>
        </w:rPr>
        <w:t>phenomenon.</w:t>
      </w:r>
      <w:r>
        <w:rPr>
          <w:color w:val="231F20"/>
          <w:spacing w:val="-9"/>
        </w:rPr>
        <w:t xml:space="preserve"> </w:t>
      </w:r>
      <w:r>
        <w:rPr>
          <w:color w:val="231F20"/>
        </w:rPr>
        <w:t>The significant profile of sports in media markets, ranging from the local to the</w:t>
      </w:r>
      <w:r>
        <w:rPr>
          <w:color w:val="231F20"/>
          <w:spacing w:val="19"/>
        </w:rPr>
        <w:t xml:space="preserve"> </w:t>
      </w:r>
      <w:r>
        <w:rPr>
          <w:color w:val="231F20"/>
        </w:rPr>
        <w:t>global,</w:t>
      </w:r>
      <w:r>
        <w:rPr>
          <w:color w:val="231F20"/>
          <w:spacing w:val="19"/>
        </w:rPr>
        <w:t xml:space="preserve"> </w:t>
      </w:r>
      <w:r>
        <w:rPr>
          <w:color w:val="231F20"/>
        </w:rPr>
        <w:t>presents</w:t>
      </w:r>
      <w:r>
        <w:rPr>
          <w:color w:val="231F20"/>
          <w:spacing w:val="19"/>
        </w:rPr>
        <w:t xml:space="preserve"> </w:t>
      </w:r>
      <w:r>
        <w:rPr>
          <w:color w:val="231F20"/>
        </w:rPr>
        <w:t>interesting</w:t>
      </w:r>
      <w:r>
        <w:rPr>
          <w:color w:val="231F20"/>
          <w:spacing w:val="19"/>
        </w:rPr>
        <w:t xml:space="preserve"> </w:t>
      </w:r>
      <w:r>
        <w:rPr>
          <w:color w:val="231F20"/>
        </w:rPr>
        <w:t>interplays</w:t>
      </w:r>
      <w:r>
        <w:rPr>
          <w:color w:val="231F20"/>
          <w:spacing w:val="19"/>
        </w:rPr>
        <w:t xml:space="preserve"> </w:t>
      </w:r>
      <w:r>
        <w:rPr>
          <w:color w:val="231F20"/>
        </w:rPr>
        <w:t>of</w:t>
      </w:r>
      <w:r>
        <w:rPr>
          <w:color w:val="231F20"/>
          <w:spacing w:val="19"/>
        </w:rPr>
        <w:t xml:space="preserve"> </w:t>
      </w:r>
      <w:r>
        <w:rPr>
          <w:color w:val="231F20"/>
        </w:rPr>
        <w:t>sport,</w:t>
      </w:r>
      <w:r>
        <w:rPr>
          <w:color w:val="231F20"/>
          <w:spacing w:val="19"/>
        </w:rPr>
        <w:t xml:space="preserve"> </w:t>
      </w:r>
      <w:r>
        <w:rPr>
          <w:color w:val="231F20"/>
        </w:rPr>
        <w:t>media</w:t>
      </w:r>
      <w:r>
        <w:rPr>
          <w:color w:val="231F20"/>
          <w:spacing w:val="19"/>
        </w:rPr>
        <w:t xml:space="preserve"> </w:t>
      </w:r>
      <w:r>
        <w:rPr>
          <w:color w:val="231F20"/>
        </w:rPr>
        <w:t>and</w:t>
      </w:r>
      <w:r>
        <w:rPr>
          <w:color w:val="231F20"/>
          <w:spacing w:val="19"/>
        </w:rPr>
        <w:t xml:space="preserve"> </w:t>
      </w:r>
      <w:r>
        <w:rPr>
          <w:color w:val="231F20"/>
        </w:rPr>
        <w:t>tourism</w:t>
      </w:r>
    </w:p>
    <w:p w14:paraId="597DC8D2" w14:textId="77777777" w:rsidR="00AE0598" w:rsidRDefault="00AE0598">
      <w:pPr>
        <w:spacing w:line="232" w:lineRule="auto"/>
        <w:jc w:val="both"/>
        <w:sectPr w:rsidR="00AE0598">
          <w:pgSz w:w="8850" w:h="13270"/>
          <w:pgMar w:top="720" w:right="1060" w:bottom="280" w:left="1080" w:header="720" w:footer="720" w:gutter="0"/>
          <w:cols w:space="720"/>
        </w:sectPr>
      </w:pPr>
    </w:p>
    <w:p w14:paraId="498E09CA" w14:textId="77777777" w:rsidR="00AE0598" w:rsidRDefault="0069255A">
      <w:pPr>
        <w:spacing w:before="87"/>
        <w:ind w:left="3642"/>
        <w:rPr>
          <w:rFonts w:ascii="Trebuchet MS"/>
          <w:sz w:val="14"/>
        </w:rPr>
      </w:pPr>
      <w:r>
        <w:rPr>
          <w:rFonts w:ascii="Trebuchet MS"/>
          <w:color w:val="231F20"/>
          <w:w w:val="105"/>
          <w:sz w:val="14"/>
        </w:rPr>
        <w:lastRenderedPageBreak/>
        <w:t>Shifting</w:t>
      </w:r>
      <w:r>
        <w:rPr>
          <w:rFonts w:ascii="Trebuchet MS"/>
          <w:color w:val="231F20"/>
          <w:spacing w:val="-3"/>
          <w:w w:val="105"/>
          <w:sz w:val="14"/>
        </w:rPr>
        <w:t xml:space="preserve"> </w:t>
      </w:r>
      <w:r>
        <w:rPr>
          <w:rFonts w:ascii="Trebuchet MS"/>
          <w:color w:val="231F20"/>
          <w:w w:val="105"/>
          <w:sz w:val="14"/>
        </w:rPr>
        <w:t>Goal</w:t>
      </w:r>
      <w:r>
        <w:rPr>
          <w:rFonts w:ascii="Trebuchet MS"/>
          <w:color w:val="231F20"/>
          <w:spacing w:val="-3"/>
          <w:w w:val="105"/>
          <w:sz w:val="14"/>
        </w:rPr>
        <w:t xml:space="preserve"> </w:t>
      </w:r>
      <w:r>
        <w:rPr>
          <w:rFonts w:ascii="Trebuchet MS"/>
          <w:color w:val="231F20"/>
          <w:w w:val="105"/>
          <w:sz w:val="14"/>
        </w:rPr>
        <w:t>Posts</w:t>
      </w:r>
      <w:r>
        <w:rPr>
          <w:rFonts w:ascii="Trebuchet MS"/>
          <w:color w:val="231F20"/>
          <w:spacing w:val="-3"/>
          <w:w w:val="105"/>
          <w:sz w:val="14"/>
        </w:rPr>
        <w:t xml:space="preserve"> </w:t>
      </w:r>
      <w:r>
        <w:rPr>
          <w:rFonts w:ascii="Trebuchet MS"/>
          <w:color w:val="231F20"/>
          <w:w w:val="105"/>
          <w:sz w:val="14"/>
        </w:rPr>
        <w:t>and</w:t>
      </w:r>
      <w:r>
        <w:rPr>
          <w:rFonts w:ascii="Trebuchet MS"/>
          <w:color w:val="231F20"/>
          <w:spacing w:val="-3"/>
          <w:w w:val="105"/>
          <w:sz w:val="14"/>
        </w:rPr>
        <w:t xml:space="preserve"> </w:t>
      </w:r>
      <w:r>
        <w:rPr>
          <w:rFonts w:ascii="Trebuchet MS"/>
          <w:color w:val="231F20"/>
          <w:w w:val="105"/>
          <w:sz w:val="14"/>
        </w:rPr>
        <w:t>Moving</w:t>
      </w:r>
      <w:r>
        <w:rPr>
          <w:rFonts w:ascii="Trebuchet MS"/>
          <w:color w:val="231F20"/>
          <w:spacing w:val="-2"/>
          <w:w w:val="105"/>
          <w:sz w:val="14"/>
        </w:rPr>
        <w:t xml:space="preserve"> </w:t>
      </w:r>
      <w:r>
        <w:rPr>
          <w:rFonts w:ascii="Trebuchet MS"/>
          <w:color w:val="231F20"/>
          <w:w w:val="105"/>
          <w:sz w:val="14"/>
        </w:rPr>
        <w:t>Targets</w:t>
      </w:r>
      <w:r>
        <w:rPr>
          <w:rFonts w:ascii="Trebuchet MS"/>
          <w:color w:val="231F20"/>
          <w:spacing w:val="31"/>
          <w:w w:val="105"/>
          <w:sz w:val="14"/>
        </w:rPr>
        <w:t xml:space="preserve">  </w:t>
      </w:r>
      <w:r>
        <w:rPr>
          <w:rFonts w:ascii="Trebuchet MS"/>
          <w:color w:val="231F20"/>
          <w:spacing w:val="-5"/>
          <w:w w:val="105"/>
          <w:sz w:val="14"/>
        </w:rPr>
        <w:t>235</w:t>
      </w:r>
    </w:p>
    <w:p w14:paraId="691A5AA1" w14:textId="77777777" w:rsidR="00AE0598" w:rsidRDefault="00AE0598">
      <w:pPr>
        <w:pStyle w:val="Corpodetexto"/>
        <w:rPr>
          <w:rFonts w:ascii="Trebuchet MS"/>
          <w:sz w:val="16"/>
        </w:rPr>
      </w:pPr>
    </w:p>
    <w:p w14:paraId="3313C0EF" w14:textId="77777777" w:rsidR="00AE0598" w:rsidRDefault="0069255A">
      <w:pPr>
        <w:pStyle w:val="Corpodetexto"/>
        <w:spacing w:before="118" w:line="232" w:lineRule="auto"/>
        <w:ind w:left="110" w:right="127"/>
        <w:jc w:val="both"/>
      </w:pPr>
      <w:r>
        <w:rPr>
          <w:color w:val="231F20"/>
        </w:rPr>
        <w:t xml:space="preserve">interests. Perhaps more importantly, the fundamental rule structures, </w:t>
      </w:r>
      <w:r>
        <w:rPr>
          <w:color w:val="231F20"/>
          <w:w w:val="95"/>
        </w:rPr>
        <w:t>competitive</w:t>
      </w:r>
      <w:r>
        <w:rPr>
          <w:color w:val="231F20"/>
          <w:spacing w:val="-3"/>
          <w:w w:val="95"/>
        </w:rPr>
        <w:t xml:space="preserve"> </w:t>
      </w:r>
      <w:r>
        <w:rPr>
          <w:color w:val="231F20"/>
          <w:w w:val="95"/>
        </w:rPr>
        <w:t>dimensions</w:t>
      </w:r>
      <w:r>
        <w:rPr>
          <w:color w:val="231F20"/>
          <w:spacing w:val="-3"/>
          <w:w w:val="95"/>
        </w:rPr>
        <w:t xml:space="preserve"> </w:t>
      </w:r>
      <w:r>
        <w:rPr>
          <w:color w:val="231F20"/>
          <w:w w:val="95"/>
        </w:rPr>
        <w:t>and</w:t>
      </w:r>
      <w:r>
        <w:rPr>
          <w:color w:val="231F20"/>
          <w:spacing w:val="-3"/>
          <w:w w:val="95"/>
        </w:rPr>
        <w:t xml:space="preserve"> </w:t>
      </w:r>
      <w:r>
        <w:rPr>
          <w:color w:val="231F20"/>
          <w:w w:val="95"/>
        </w:rPr>
        <w:t>ludic</w:t>
      </w:r>
      <w:r>
        <w:rPr>
          <w:color w:val="231F20"/>
          <w:spacing w:val="-3"/>
          <w:w w:val="95"/>
        </w:rPr>
        <w:t xml:space="preserve"> </w:t>
      </w:r>
      <w:r>
        <w:rPr>
          <w:color w:val="231F20"/>
          <w:w w:val="95"/>
        </w:rPr>
        <w:t>qualities</w:t>
      </w:r>
      <w:r>
        <w:rPr>
          <w:color w:val="231F20"/>
          <w:spacing w:val="-3"/>
          <w:w w:val="95"/>
        </w:rPr>
        <w:t xml:space="preserve"> </w:t>
      </w:r>
      <w:r>
        <w:rPr>
          <w:color w:val="231F20"/>
          <w:w w:val="95"/>
        </w:rPr>
        <w:t>of</w:t>
      </w:r>
      <w:r>
        <w:rPr>
          <w:color w:val="231F20"/>
          <w:spacing w:val="-3"/>
          <w:w w:val="95"/>
        </w:rPr>
        <w:t xml:space="preserve"> </w:t>
      </w:r>
      <w:r>
        <w:rPr>
          <w:color w:val="231F20"/>
          <w:w w:val="95"/>
        </w:rPr>
        <w:t>sport</w:t>
      </w:r>
      <w:r>
        <w:rPr>
          <w:color w:val="231F20"/>
          <w:spacing w:val="-3"/>
          <w:w w:val="95"/>
        </w:rPr>
        <w:t xml:space="preserve"> </w:t>
      </w:r>
      <w:r>
        <w:rPr>
          <w:color w:val="231F20"/>
          <w:w w:val="95"/>
        </w:rPr>
        <w:t>present</w:t>
      </w:r>
      <w:r>
        <w:rPr>
          <w:color w:val="231F20"/>
          <w:spacing w:val="-3"/>
          <w:w w:val="95"/>
        </w:rPr>
        <w:t xml:space="preserve"> </w:t>
      </w:r>
      <w:r>
        <w:rPr>
          <w:color w:val="231F20"/>
          <w:w w:val="95"/>
        </w:rPr>
        <w:t>a</w:t>
      </w:r>
      <w:r>
        <w:rPr>
          <w:color w:val="231F20"/>
          <w:spacing w:val="-3"/>
          <w:w w:val="95"/>
        </w:rPr>
        <w:t xml:space="preserve"> </w:t>
      </w:r>
      <w:r>
        <w:rPr>
          <w:color w:val="231F20"/>
          <w:w w:val="95"/>
        </w:rPr>
        <w:t>complex</w:t>
      </w:r>
      <w:r>
        <w:rPr>
          <w:color w:val="231F20"/>
          <w:spacing w:val="-3"/>
          <w:w w:val="95"/>
        </w:rPr>
        <w:t xml:space="preserve"> </w:t>
      </w:r>
      <w:r>
        <w:rPr>
          <w:color w:val="231F20"/>
          <w:w w:val="95"/>
        </w:rPr>
        <w:t xml:space="preserve">array </w:t>
      </w:r>
      <w:r>
        <w:rPr>
          <w:color w:val="231F20"/>
        </w:rPr>
        <w:t xml:space="preserve">of opportunities and challenges associated with tourism development. Thus, sport is characterised by markets that are distinguishable from </w:t>
      </w:r>
      <w:r>
        <w:rPr>
          <w:color w:val="231F20"/>
          <w:w w:val="95"/>
        </w:rPr>
        <w:t xml:space="preserve">those associated with other forms of tourism and development issues that </w:t>
      </w:r>
      <w:r>
        <w:rPr>
          <w:color w:val="231F20"/>
        </w:rPr>
        <w:t>warrant dedicated research and publication.</w:t>
      </w:r>
    </w:p>
    <w:p w14:paraId="17DD60A0" w14:textId="77777777" w:rsidR="00AE0598" w:rsidRDefault="0069255A">
      <w:pPr>
        <w:pStyle w:val="Corpodetexto"/>
        <w:spacing w:before="7" w:line="232" w:lineRule="auto"/>
        <w:ind w:left="110" w:right="127" w:firstLine="320"/>
        <w:jc w:val="both"/>
      </w:pPr>
      <w:r>
        <w:rPr>
          <w:color w:val="231F20"/>
          <w:w w:val="95"/>
        </w:rPr>
        <w:t>This</w:t>
      </w:r>
      <w:r>
        <w:rPr>
          <w:color w:val="231F20"/>
          <w:spacing w:val="-3"/>
          <w:w w:val="95"/>
        </w:rPr>
        <w:t xml:space="preserve"> </w:t>
      </w:r>
      <w:r>
        <w:rPr>
          <w:color w:val="231F20"/>
          <w:w w:val="95"/>
        </w:rPr>
        <w:t>book</w:t>
      </w:r>
      <w:r>
        <w:rPr>
          <w:color w:val="231F20"/>
          <w:spacing w:val="-3"/>
          <w:w w:val="95"/>
        </w:rPr>
        <w:t xml:space="preserve"> </w:t>
      </w:r>
      <w:r>
        <w:rPr>
          <w:color w:val="231F20"/>
          <w:w w:val="95"/>
        </w:rPr>
        <w:t>explored</w:t>
      </w:r>
      <w:r>
        <w:rPr>
          <w:color w:val="231F20"/>
          <w:spacing w:val="-3"/>
          <w:w w:val="95"/>
        </w:rPr>
        <w:t xml:space="preserve"> </w:t>
      </w:r>
      <w:r>
        <w:rPr>
          <w:color w:val="231F20"/>
          <w:w w:val="95"/>
        </w:rPr>
        <w:t>the</w:t>
      </w:r>
      <w:r>
        <w:rPr>
          <w:color w:val="231F20"/>
          <w:spacing w:val="-3"/>
          <w:w w:val="95"/>
        </w:rPr>
        <w:t xml:space="preserve"> </w:t>
      </w:r>
      <w:r>
        <w:rPr>
          <w:color w:val="231F20"/>
          <w:w w:val="95"/>
        </w:rPr>
        <w:t>functions</w:t>
      </w:r>
      <w:r>
        <w:rPr>
          <w:color w:val="231F20"/>
          <w:spacing w:val="-3"/>
          <w:w w:val="95"/>
        </w:rPr>
        <w:t xml:space="preserve"> </w:t>
      </w:r>
      <w:r>
        <w:rPr>
          <w:color w:val="231F20"/>
          <w:w w:val="95"/>
        </w:rPr>
        <w:t>of</w:t>
      </w:r>
      <w:r>
        <w:rPr>
          <w:color w:val="231F20"/>
          <w:spacing w:val="-3"/>
          <w:w w:val="95"/>
        </w:rPr>
        <w:t xml:space="preserve"> </w:t>
      </w:r>
      <w:r>
        <w:rPr>
          <w:color w:val="231F20"/>
          <w:w w:val="95"/>
        </w:rPr>
        <w:t>sport</w:t>
      </w:r>
      <w:r>
        <w:rPr>
          <w:color w:val="231F20"/>
          <w:spacing w:val="-3"/>
          <w:w w:val="95"/>
        </w:rPr>
        <w:t xml:space="preserve"> </w:t>
      </w:r>
      <w:r>
        <w:rPr>
          <w:color w:val="231F20"/>
          <w:w w:val="95"/>
        </w:rPr>
        <w:t>as</w:t>
      </w:r>
      <w:r>
        <w:rPr>
          <w:color w:val="231F20"/>
          <w:spacing w:val="-3"/>
          <w:w w:val="95"/>
        </w:rPr>
        <w:t xml:space="preserve"> </w:t>
      </w:r>
      <w:r>
        <w:rPr>
          <w:color w:val="231F20"/>
          <w:w w:val="95"/>
        </w:rPr>
        <w:t>a</w:t>
      </w:r>
      <w:r>
        <w:rPr>
          <w:color w:val="231F20"/>
          <w:spacing w:val="-3"/>
          <w:w w:val="95"/>
        </w:rPr>
        <w:t xml:space="preserve"> </w:t>
      </w:r>
      <w:r>
        <w:rPr>
          <w:color w:val="231F20"/>
          <w:w w:val="95"/>
        </w:rPr>
        <w:t>distinctive</w:t>
      </w:r>
      <w:r>
        <w:rPr>
          <w:color w:val="231F20"/>
          <w:spacing w:val="-3"/>
          <w:w w:val="95"/>
        </w:rPr>
        <w:t xml:space="preserve"> </w:t>
      </w:r>
      <w:r>
        <w:rPr>
          <w:color w:val="231F20"/>
          <w:w w:val="95"/>
        </w:rPr>
        <w:t>and</w:t>
      </w:r>
      <w:r>
        <w:rPr>
          <w:color w:val="231F20"/>
          <w:spacing w:val="-3"/>
          <w:w w:val="95"/>
        </w:rPr>
        <w:t xml:space="preserve"> </w:t>
      </w:r>
      <w:r>
        <w:rPr>
          <w:color w:val="231F20"/>
          <w:w w:val="95"/>
        </w:rPr>
        <w:t>potentially powerful type of tourist attraction. The defining qualities of sport provide</w:t>
      </w:r>
      <w:r>
        <w:rPr>
          <w:color w:val="231F20"/>
          <w:spacing w:val="40"/>
        </w:rPr>
        <w:t xml:space="preserve"> </w:t>
      </w:r>
      <w:r>
        <w:rPr>
          <w:color w:val="231F20"/>
          <w:w w:val="95"/>
        </w:rPr>
        <w:t xml:space="preserve">an exceptional and unique attraction nucleus that offers fertile grounds for </w:t>
      </w:r>
      <w:r>
        <w:rPr>
          <w:color w:val="231F20"/>
        </w:rPr>
        <w:t>tourism</w:t>
      </w:r>
      <w:r>
        <w:rPr>
          <w:color w:val="231F20"/>
          <w:spacing w:val="-8"/>
        </w:rPr>
        <w:t xml:space="preserve"> </w:t>
      </w:r>
      <w:r>
        <w:rPr>
          <w:color w:val="231F20"/>
        </w:rPr>
        <w:t>industry</w:t>
      </w:r>
      <w:r>
        <w:rPr>
          <w:color w:val="231F20"/>
          <w:spacing w:val="-8"/>
        </w:rPr>
        <w:t xml:space="preserve"> </w:t>
      </w:r>
      <w:r>
        <w:rPr>
          <w:color w:val="231F20"/>
        </w:rPr>
        <w:t>interests</w:t>
      </w:r>
      <w:r>
        <w:rPr>
          <w:color w:val="231F20"/>
          <w:spacing w:val="-8"/>
        </w:rPr>
        <w:t xml:space="preserve"> </w:t>
      </w:r>
      <w:r>
        <w:rPr>
          <w:color w:val="231F20"/>
        </w:rPr>
        <w:t>and</w:t>
      </w:r>
      <w:r>
        <w:rPr>
          <w:color w:val="231F20"/>
          <w:spacing w:val="-8"/>
        </w:rPr>
        <w:t xml:space="preserve"> </w:t>
      </w:r>
      <w:r>
        <w:rPr>
          <w:color w:val="231F20"/>
        </w:rPr>
        <w:t>sport</w:t>
      </w:r>
      <w:r>
        <w:rPr>
          <w:color w:val="231F20"/>
          <w:spacing w:val="-8"/>
        </w:rPr>
        <w:t xml:space="preserve"> </w:t>
      </w:r>
      <w:r>
        <w:rPr>
          <w:color w:val="231F20"/>
        </w:rPr>
        <w:t>tourism</w:t>
      </w:r>
      <w:r>
        <w:rPr>
          <w:color w:val="231F20"/>
          <w:spacing w:val="-8"/>
        </w:rPr>
        <w:t xml:space="preserve"> </w:t>
      </w:r>
      <w:r>
        <w:rPr>
          <w:color w:val="231F20"/>
        </w:rPr>
        <w:t>researchers</w:t>
      </w:r>
      <w:r>
        <w:rPr>
          <w:color w:val="231F20"/>
          <w:spacing w:val="-8"/>
        </w:rPr>
        <w:t xml:space="preserve"> </w:t>
      </w:r>
      <w:r>
        <w:rPr>
          <w:color w:val="231F20"/>
        </w:rPr>
        <w:t>to</w:t>
      </w:r>
      <w:r>
        <w:rPr>
          <w:color w:val="231F20"/>
          <w:spacing w:val="-8"/>
        </w:rPr>
        <w:t xml:space="preserve"> </w:t>
      </w:r>
      <w:r>
        <w:rPr>
          <w:color w:val="231F20"/>
        </w:rPr>
        <w:t>explore.</w:t>
      </w:r>
      <w:r>
        <w:rPr>
          <w:color w:val="231F20"/>
          <w:spacing w:val="-8"/>
        </w:rPr>
        <w:t xml:space="preserve"> </w:t>
      </w:r>
      <w:r>
        <w:rPr>
          <w:color w:val="231F20"/>
        </w:rPr>
        <w:t>The human</w:t>
      </w:r>
      <w:r>
        <w:rPr>
          <w:color w:val="231F20"/>
          <w:spacing w:val="-5"/>
        </w:rPr>
        <w:t xml:space="preserve"> </w:t>
      </w:r>
      <w:r>
        <w:rPr>
          <w:color w:val="231F20"/>
        </w:rPr>
        <w:t>element</w:t>
      </w:r>
      <w:r>
        <w:rPr>
          <w:color w:val="231F20"/>
          <w:spacing w:val="-5"/>
        </w:rPr>
        <w:t xml:space="preserve"> </w:t>
      </w:r>
      <w:r>
        <w:rPr>
          <w:color w:val="231F20"/>
        </w:rPr>
        <w:t>of</w:t>
      </w:r>
      <w:r>
        <w:rPr>
          <w:color w:val="231F20"/>
          <w:spacing w:val="-5"/>
        </w:rPr>
        <w:t xml:space="preserve"> </w:t>
      </w:r>
      <w:r>
        <w:rPr>
          <w:color w:val="231F20"/>
        </w:rPr>
        <w:t>sport</w:t>
      </w:r>
      <w:r>
        <w:rPr>
          <w:color w:val="231F20"/>
          <w:spacing w:val="-5"/>
        </w:rPr>
        <w:t xml:space="preserve"> </w:t>
      </w:r>
      <w:r>
        <w:rPr>
          <w:color w:val="231F20"/>
        </w:rPr>
        <w:t>as</w:t>
      </w:r>
      <w:r>
        <w:rPr>
          <w:color w:val="231F20"/>
          <w:spacing w:val="-5"/>
        </w:rPr>
        <w:t xml:space="preserve"> </w:t>
      </w:r>
      <w:r>
        <w:rPr>
          <w:color w:val="231F20"/>
        </w:rPr>
        <w:t>a</w:t>
      </w:r>
      <w:r>
        <w:rPr>
          <w:color w:val="231F20"/>
          <w:spacing w:val="-5"/>
        </w:rPr>
        <w:t xml:space="preserve"> </w:t>
      </w:r>
      <w:r>
        <w:rPr>
          <w:color w:val="231F20"/>
        </w:rPr>
        <w:t>tourist</w:t>
      </w:r>
      <w:r>
        <w:rPr>
          <w:color w:val="231F20"/>
          <w:spacing w:val="-5"/>
        </w:rPr>
        <w:t xml:space="preserve"> </w:t>
      </w:r>
      <w:r>
        <w:rPr>
          <w:color w:val="231F20"/>
        </w:rPr>
        <w:t>attraction</w:t>
      </w:r>
      <w:r>
        <w:rPr>
          <w:color w:val="231F20"/>
          <w:spacing w:val="-5"/>
        </w:rPr>
        <w:t xml:space="preserve"> </w:t>
      </w:r>
      <w:r>
        <w:rPr>
          <w:color w:val="231F20"/>
        </w:rPr>
        <w:t>is</w:t>
      </w:r>
      <w:r>
        <w:rPr>
          <w:color w:val="231F20"/>
          <w:spacing w:val="-5"/>
        </w:rPr>
        <w:t xml:space="preserve"> </w:t>
      </w:r>
      <w:r>
        <w:rPr>
          <w:color w:val="231F20"/>
        </w:rPr>
        <w:t>notable</w:t>
      </w:r>
      <w:r>
        <w:rPr>
          <w:color w:val="231F20"/>
          <w:spacing w:val="-5"/>
        </w:rPr>
        <w:t xml:space="preserve"> </w:t>
      </w:r>
      <w:r>
        <w:rPr>
          <w:color w:val="231F20"/>
        </w:rPr>
        <w:t>for</w:t>
      </w:r>
      <w:r>
        <w:rPr>
          <w:color w:val="231F20"/>
          <w:spacing w:val="-5"/>
        </w:rPr>
        <w:t xml:space="preserve"> </w:t>
      </w:r>
      <w:r>
        <w:rPr>
          <w:color w:val="231F20"/>
        </w:rPr>
        <w:t>its</w:t>
      </w:r>
      <w:r>
        <w:rPr>
          <w:color w:val="231F20"/>
          <w:spacing w:val="-5"/>
        </w:rPr>
        <w:t xml:space="preserve"> </w:t>
      </w:r>
      <w:r>
        <w:rPr>
          <w:color w:val="231F20"/>
        </w:rPr>
        <w:t>diversity. Among</w:t>
      </w:r>
      <w:r>
        <w:rPr>
          <w:color w:val="231F20"/>
          <w:spacing w:val="-4"/>
        </w:rPr>
        <w:t xml:space="preserve"> </w:t>
      </w:r>
      <w:r>
        <w:rPr>
          <w:color w:val="231F20"/>
        </w:rPr>
        <w:t>the</w:t>
      </w:r>
      <w:r>
        <w:rPr>
          <w:color w:val="231F20"/>
          <w:spacing w:val="-4"/>
        </w:rPr>
        <w:t xml:space="preserve"> </w:t>
      </w:r>
      <w:r>
        <w:rPr>
          <w:color w:val="231F20"/>
        </w:rPr>
        <w:t>many</w:t>
      </w:r>
      <w:r>
        <w:rPr>
          <w:color w:val="231F20"/>
          <w:spacing w:val="-5"/>
        </w:rPr>
        <w:t xml:space="preserve"> </w:t>
      </w:r>
      <w:r>
        <w:rPr>
          <w:color w:val="231F20"/>
        </w:rPr>
        <w:t>dimensions</w:t>
      </w:r>
      <w:r>
        <w:rPr>
          <w:color w:val="231F20"/>
          <w:spacing w:val="-4"/>
        </w:rPr>
        <w:t xml:space="preserve"> </w:t>
      </w:r>
      <w:r>
        <w:rPr>
          <w:color w:val="231F20"/>
        </w:rPr>
        <w:t>or</w:t>
      </w:r>
      <w:r>
        <w:rPr>
          <w:color w:val="231F20"/>
          <w:spacing w:val="-5"/>
        </w:rPr>
        <w:t xml:space="preserve"> </w:t>
      </w:r>
      <w:r>
        <w:rPr>
          <w:color w:val="231F20"/>
        </w:rPr>
        <w:t>continua</w:t>
      </w:r>
      <w:r>
        <w:rPr>
          <w:color w:val="231F20"/>
          <w:spacing w:val="-5"/>
        </w:rPr>
        <w:t xml:space="preserve"> </w:t>
      </w:r>
      <w:r>
        <w:rPr>
          <w:color w:val="231F20"/>
        </w:rPr>
        <w:t>upon</w:t>
      </w:r>
      <w:r>
        <w:rPr>
          <w:color w:val="231F20"/>
          <w:spacing w:val="-5"/>
        </w:rPr>
        <w:t xml:space="preserve"> </w:t>
      </w:r>
      <w:r>
        <w:rPr>
          <w:color w:val="231F20"/>
        </w:rPr>
        <w:t>which</w:t>
      </w:r>
      <w:r>
        <w:rPr>
          <w:color w:val="231F20"/>
          <w:spacing w:val="-4"/>
        </w:rPr>
        <w:t xml:space="preserve"> </w:t>
      </w:r>
      <w:r>
        <w:rPr>
          <w:color w:val="231F20"/>
        </w:rPr>
        <w:t>sport</w:t>
      </w:r>
      <w:r>
        <w:rPr>
          <w:color w:val="231F20"/>
          <w:spacing w:val="-4"/>
        </w:rPr>
        <w:t xml:space="preserve"> </w:t>
      </w:r>
      <w:r>
        <w:rPr>
          <w:color w:val="231F20"/>
        </w:rPr>
        <w:t>tourists</w:t>
      </w:r>
      <w:r>
        <w:rPr>
          <w:color w:val="231F20"/>
          <w:spacing w:val="-4"/>
        </w:rPr>
        <w:t xml:space="preserve"> </w:t>
      </w:r>
      <w:r>
        <w:rPr>
          <w:color w:val="231F20"/>
        </w:rPr>
        <w:t xml:space="preserve">may be conceptualised, elite athletes and recreational participants, event </w:t>
      </w:r>
      <w:r>
        <w:rPr>
          <w:color w:val="231F20"/>
          <w:w w:val="95"/>
        </w:rPr>
        <w:t>competitors and sport spectators, sports teams and individual contestants, self-referenced competitors and participants in recreational sports are just</w:t>
      </w:r>
      <w:r>
        <w:rPr>
          <w:color w:val="231F20"/>
          <w:spacing w:val="40"/>
        </w:rPr>
        <w:t xml:space="preserve"> </w:t>
      </w:r>
      <w:r>
        <w:rPr>
          <w:color w:val="231F20"/>
        </w:rPr>
        <w:t>a</w:t>
      </w:r>
      <w:r>
        <w:rPr>
          <w:color w:val="231F20"/>
          <w:spacing w:val="-1"/>
        </w:rPr>
        <w:t xml:space="preserve"> </w:t>
      </w:r>
      <w:r>
        <w:rPr>
          <w:color w:val="231F20"/>
        </w:rPr>
        <w:t>few.</w:t>
      </w:r>
      <w:r>
        <w:rPr>
          <w:color w:val="231F20"/>
          <w:spacing w:val="-1"/>
        </w:rPr>
        <w:t xml:space="preserve"> </w:t>
      </w:r>
      <w:r>
        <w:rPr>
          <w:color w:val="231F20"/>
        </w:rPr>
        <w:t>Ever-evolving</w:t>
      </w:r>
      <w:r>
        <w:rPr>
          <w:color w:val="231F20"/>
          <w:spacing w:val="-1"/>
        </w:rPr>
        <w:t xml:space="preserve"> </w:t>
      </w:r>
      <w:r>
        <w:rPr>
          <w:color w:val="231F20"/>
        </w:rPr>
        <w:t>forms</w:t>
      </w:r>
      <w:r>
        <w:rPr>
          <w:color w:val="231F20"/>
          <w:spacing w:val="-1"/>
        </w:rPr>
        <w:t xml:space="preserve"> </w:t>
      </w:r>
      <w:r>
        <w:rPr>
          <w:color w:val="231F20"/>
        </w:rPr>
        <w:t>of</w:t>
      </w:r>
      <w:r>
        <w:rPr>
          <w:color w:val="231F20"/>
          <w:spacing w:val="-1"/>
        </w:rPr>
        <w:t xml:space="preserve"> </w:t>
      </w:r>
      <w:r>
        <w:rPr>
          <w:color w:val="231F20"/>
        </w:rPr>
        <w:t>sport</w:t>
      </w:r>
      <w:r>
        <w:rPr>
          <w:color w:val="231F20"/>
          <w:spacing w:val="-1"/>
        </w:rPr>
        <w:t xml:space="preserve"> </w:t>
      </w:r>
      <w:r>
        <w:rPr>
          <w:color w:val="231F20"/>
        </w:rPr>
        <w:t>tourism</w:t>
      </w:r>
      <w:r>
        <w:rPr>
          <w:color w:val="231F20"/>
          <w:spacing w:val="-1"/>
        </w:rPr>
        <w:t xml:space="preserve"> </w:t>
      </w:r>
      <w:r>
        <w:rPr>
          <w:color w:val="231F20"/>
        </w:rPr>
        <w:t>may</w:t>
      </w:r>
      <w:r>
        <w:rPr>
          <w:color w:val="231F20"/>
          <w:spacing w:val="-1"/>
        </w:rPr>
        <w:t xml:space="preserve"> </w:t>
      </w:r>
      <w:r>
        <w:rPr>
          <w:color w:val="231F20"/>
        </w:rPr>
        <w:t>be</w:t>
      </w:r>
      <w:r>
        <w:rPr>
          <w:color w:val="231F20"/>
          <w:spacing w:val="-1"/>
        </w:rPr>
        <w:t xml:space="preserve"> </w:t>
      </w:r>
      <w:r>
        <w:rPr>
          <w:color w:val="231F20"/>
        </w:rPr>
        <w:t>explored</w:t>
      </w:r>
      <w:r>
        <w:rPr>
          <w:color w:val="231F20"/>
          <w:spacing w:val="-1"/>
        </w:rPr>
        <w:t xml:space="preserve"> </w:t>
      </w:r>
      <w:r>
        <w:rPr>
          <w:color w:val="231F20"/>
        </w:rPr>
        <w:t>in</w:t>
      </w:r>
      <w:r>
        <w:rPr>
          <w:color w:val="231F20"/>
          <w:spacing w:val="-1"/>
        </w:rPr>
        <w:t xml:space="preserve"> </w:t>
      </w:r>
      <w:r>
        <w:rPr>
          <w:color w:val="231F20"/>
        </w:rPr>
        <w:t>terms</w:t>
      </w:r>
      <w:r>
        <w:rPr>
          <w:color w:val="231F20"/>
          <w:spacing w:val="-1"/>
        </w:rPr>
        <w:t xml:space="preserve"> </w:t>
      </w:r>
      <w:r>
        <w:rPr>
          <w:color w:val="231F20"/>
        </w:rPr>
        <w:t xml:space="preserve">of </w:t>
      </w:r>
      <w:r>
        <w:rPr>
          <w:color w:val="231F20"/>
          <w:w w:val="95"/>
        </w:rPr>
        <w:t>diverse</w:t>
      </w:r>
      <w:r>
        <w:rPr>
          <w:color w:val="231F20"/>
          <w:spacing w:val="-2"/>
          <w:w w:val="95"/>
        </w:rPr>
        <w:t xml:space="preserve"> </w:t>
      </w:r>
      <w:r>
        <w:rPr>
          <w:color w:val="231F20"/>
          <w:w w:val="95"/>
        </w:rPr>
        <w:t>market</w:t>
      </w:r>
      <w:r>
        <w:rPr>
          <w:color w:val="231F20"/>
          <w:spacing w:val="-2"/>
          <w:w w:val="95"/>
        </w:rPr>
        <w:t xml:space="preserve"> </w:t>
      </w:r>
      <w:r>
        <w:rPr>
          <w:color w:val="231F20"/>
          <w:w w:val="95"/>
        </w:rPr>
        <w:t>niches,</w:t>
      </w:r>
      <w:r>
        <w:rPr>
          <w:color w:val="231F20"/>
          <w:spacing w:val="-2"/>
          <w:w w:val="95"/>
        </w:rPr>
        <w:t xml:space="preserve"> </w:t>
      </w:r>
      <w:r>
        <w:rPr>
          <w:color w:val="231F20"/>
          <w:w w:val="95"/>
        </w:rPr>
        <w:t>desired</w:t>
      </w:r>
      <w:r>
        <w:rPr>
          <w:color w:val="231F20"/>
          <w:spacing w:val="-2"/>
          <w:w w:val="95"/>
        </w:rPr>
        <w:t xml:space="preserve"> </w:t>
      </w:r>
      <w:r>
        <w:rPr>
          <w:color w:val="231F20"/>
          <w:w w:val="95"/>
        </w:rPr>
        <w:t>visitor</w:t>
      </w:r>
      <w:r>
        <w:rPr>
          <w:color w:val="231F20"/>
          <w:spacing w:val="-2"/>
          <w:w w:val="95"/>
        </w:rPr>
        <w:t xml:space="preserve"> </w:t>
      </w:r>
      <w:r>
        <w:rPr>
          <w:color w:val="231F20"/>
          <w:w w:val="95"/>
        </w:rPr>
        <w:t>experiences</w:t>
      </w:r>
      <w:r>
        <w:rPr>
          <w:color w:val="231F20"/>
          <w:spacing w:val="-2"/>
          <w:w w:val="95"/>
        </w:rPr>
        <w:t xml:space="preserve"> </w:t>
      </w:r>
      <w:r>
        <w:rPr>
          <w:color w:val="231F20"/>
          <w:w w:val="95"/>
        </w:rPr>
        <w:t>and</w:t>
      </w:r>
      <w:r>
        <w:rPr>
          <w:color w:val="231F20"/>
          <w:spacing w:val="-2"/>
          <w:w w:val="95"/>
        </w:rPr>
        <w:t xml:space="preserve"> </w:t>
      </w:r>
      <w:r>
        <w:rPr>
          <w:color w:val="231F20"/>
          <w:w w:val="95"/>
        </w:rPr>
        <w:t>(social)</w:t>
      </w:r>
      <w:r>
        <w:rPr>
          <w:color w:val="231F20"/>
          <w:spacing w:val="-2"/>
          <w:w w:val="95"/>
        </w:rPr>
        <w:t xml:space="preserve"> </w:t>
      </w:r>
      <w:r>
        <w:rPr>
          <w:color w:val="231F20"/>
          <w:w w:val="95"/>
        </w:rPr>
        <w:t>media</w:t>
      </w:r>
      <w:r>
        <w:rPr>
          <w:color w:val="231F20"/>
          <w:spacing w:val="-2"/>
          <w:w w:val="95"/>
        </w:rPr>
        <w:t xml:space="preserve"> </w:t>
      </w:r>
      <w:r>
        <w:rPr>
          <w:color w:val="231F20"/>
          <w:w w:val="95"/>
        </w:rPr>
        <w:t xml:space="preserve">reach, </w:t>
      </w:r>
      <w:r>
        <w:rPr>
          <w:color w:val="231F20"/>
        </w:rPr>
        <w:t>which mark destinations as unique.</w:t>
      </w:r>
    </w:p>
    <w:p w14:paraId="22D09EC3" w14:textId="77777777" w:rsidR="00AE0598" w:rsidRDefault="0069255A">
      <w:pPr>
        <w:pStyle w:val="Corpodetexto"/>
        <w:spacing w:before="15" w:line="232" w:lineRule="auto"/>
        <w:ind w:left="110" w:right="127" w:firstLine="320"/>
        <w:jc w:val="both"/>
      </w:pPr>
      <w:r>
        <w:rPr>
          <w:color w:val="231F20"/>
          <w:w w:val="95"/>
        </w:rPr>
        <w:t>In treating sport as a peculiar and distinctive type of tourist attraction, this book demonstrates th</w:t>
      </w:r>
      <w:r>
        <w:rPr>
          <w:color w:val="231F20"/>
          <w:w w:val="95"/>
        </w:rPr>
        <w:t xml:space="preserve">at sport tourism has real manifestations in space </w:t>
      </w:r>
      <w:r>
        <w:rPr>
          <w:color w:val="231F20"/>
        </w:rPr>
        <w:t>and time. Sport tourism influences travel patterns, sport and tourism locations,</w:t>
      </w:r>
      <w:r>
        <w:rPr>
          <w:color w:val="231F20"/>
          <w:spacing w:val="-4"/>
        </w:rPr>
        <w:t xml:space="preserve"> </w:t>
      </w:r>
      <w:r>
        <w:rPr>
          <w:color w:val="231F20"/>
        </w:rPr>
        <w:t>the</w:t>
      </w:r>
      <w:r>
        <w:rPr>
          <w:color w:val="231F20"/>
          <w:spacing w:val="-4"/>
        </w:rPr>
        <w:t xml:space="preserve"> </w:t>
      </w:r>
      <w:r>
        <w:rPr>
          <w:color w:val="231F20"/>
        </w:rPr>
        <w:t>meanings</w:t>
      </w:r>
      <w:r>
        <w:rPr>
          <w:color w:val="231F20"/>
          <w:spacing w:val="-4"/>
        </w:rPr>
        <w:t xml:space="preserve"> </w:t>
      </w:r>
      <w:r>
        <w:rPr>
          <w:color w:val="231F20"/>
        </w:rPr>
        <w:t>ascribed</w:t>
      </w:r>
      <w:r>
        <w:rPr>
          <w:color w:val="231F20"/>
          <w:spacing w:val="-4"/>
        </w:rPr>
        <w:t xml:space="preserve"> </w:t>
      </w:r>
      <w:r>
        <w:rPr>
          <w:color w:val="231F20"/>
        </w:rPr>
        <w:t>to</w:t>
      </w:r>
      <w:r>
        <w:rPr>
          <w:color w:val="231F20"/>
          <w:spacing w:val="-4"/>
        </w:rPr>
        <w:t xml:space="preserve"> </w:t>
      </w:r>
      <w:r>
        <w:rPr>
          <w:color w:val="231F20"/>
        </w:rPr>
        <w:t>tourism</w:t>
      </w:r>
      <w:r>
        <w:rPr>
          <w:color w:val="231F20"/>
          <w:spacing w:val="-4"/>
        </w:rPr>
        <w:t xml:space="preserve"> </w:t>
      </w:r>
      <w:r>
        <w:rPr>
          <w:color w:val="231F20"/>
        </w:rPr>
        <w:t>destinations</w:t>
      </w:r>
      <w:r>
        <w:rPr>
          <w:color w:val="231F20"/>
          <w:spacing w:val="-4"/>
        </w:rPr>
        <w:t xml:space="preserve"> </w:t>
      </w:r>
      <w:r>
        <w:rPr>
          <w:color w:val="231F20"/>
        </w:rPr>
        <w:t>and</w:t>
      </w:r>
      <w:r>
        <w:rPr>
          <w:color w:val="231F20"/>
          <w:spacing w:val="-4"/>
        </w:rPr>
        <w:t xml:space="preserve"> </w:t>
      </w:r>
      <w:r>
        <w:rPr>
          <w:color w:val="231F20"/>
        </w:rPr>
        <w:t>impacts</w:t>
      </w:r>
      <w:r>
        <w:rPr>
          <w:color w:val="231F20"/>
          <w:spacing w:val="-4"/>
        </w:rPr>
        <w:t xml:space="preserve"> </w:t>
      </w:r>
      <w:r>
        <w:rPr>
          <w:color w:val="231F20"/>
        </w:rPr>
        <w:t>on the landscapes, built (e.g. stadiums and arenas) and natural (e.g. marine environments and ski areas), which serve as theatres of sport. It also influences the nature of travel experiences, seasonal visitation patterns and</w:t>
      </w:r>
      <w:r>
        <w:rPr>
          <w:color w:val="231F20"/>
          <w:spacing w:val="-12"/>
        </w:rPr>
        <w:t xml:space="preserve"> </w:t>
      </w:r>
      <w:r>
        <w:rPr>
          <w:color w:val="231F20"/>
        </w:rPr>
        <w:t>the</w:t>
      </w:r>
      <w:r>
        <w:rPr>
          <w:color w:val="231F20"/>
          <w:spacing w:val="-11"/>
        </w:rPr>
        <w:t xml:space="preserve"> </w:t>
      </w:r>
      <w:r>
        <w:rPr>
          <w:color w:val="231F20"/>
        </w:rPr>
        <w:t>evolution</w:t>
      </w:r>
      <w:r>
        <w:rPr>
          <w:color w:val="231F20"/>
          <w:spacing w:val="-12"/>
        </w:rPr>
        <w:t xml:space="preserve"> </w:t>
      </w:r>
      <w:r>
        <w:rPr>
          <w:color w:val="231F20"/>
        </w:rPr>
        <w:t>of</w:t>
      </w:r>
      <w:r>
        <w:rPr>
          <w:color w:val="231F20"/>
          <w:spacing w:val="-11"/>
        </w:rPr>
        <w:t xml:space="preserve"> </w:t>
      </w:r>
      <w:r>
        <w:rPr>
          <w:color w:val="231F20"/>
        </w:rPr>
        <w:t>sport,</w:t>
      </w:r>
      <w:r>
        <w:rPr>
          <w:color w:val="231F20"/>
          <w:spacing w:val="-12"/>
        </w:rPr>
        <w:t xml:space="preserve"> </w:t>
      </w:r>
      <w:r>
        <w:rPr>
          <w:color w:val="231F20"/>
        </w:rPr>
        <w:t>touris</w:t>
      </w:r>
      <w:r>
        <w:rPr>
          <w:color w:val="231F20"/>
        </w:rPr>
        <w:t>m</w:t>
      </w:r>
      <w:r>
        <w:rPr>
          <w:color w:val="231F20"/>
          <w:spacing w:val="-11"/>
        </w:rPr>
        <w:t xml:space="preserve"> </w:t>
      </w:r>
      <w:r>
        <w:rPr>
          <w:color w:val="231F20"/>
        </w:rPr>
        <w:t>and</w:t>
      </w:r>
      <w:r>
        <w:rPr>
          <w:color w:val="231F20"/>
          <w:spacing w:val="-12"/>
        </w:rPr>
        <w:t xml:space="preserve"> </w:t>
      </w:r>
      <w:r>
        <w:rPr>
          <w:color w:val="231F20"/>
        </w:rPr>
        <w:t>the</w:t>
      </w:r>
      <w:r>
        <w:rPr>
          <w:color w:val="231F20"/>
          <w:spacing w:val="-11"/>
        </w:rPr>
        <w:t xml:space="preserve"> </w:t>
      </w:r>
      <w:r>
        <w:rPr>
          <w:color w:val="231F20"/>
        </w:rPr>
        <w:t>host</w:t>
      </w:r>
      <w:r>
        <w:rPr>
          <w:color w:val="231F20"/>
          <w:spacing w:val="-12"/>
        </w:rPr>
        <w:t xml:space="preserve"> </w:t>
      </w:r>
      <w:r>
        <w:rPr>
          <w:color w:val="231F20"/>
        </w:rPr>
        <w:t>destinations</w:t>
      </w:r>
      <w:r>
        <w:rPr>
          <w:color w:val="231F20"/>
          <w:spacing w:val="-11"/>
        </w:rPr>
        <w:t xml:space="preserve"> </w:t>
      </w:r>
      <w:r>
        <w:rPr>
          <w:color w:val="231F20"/>
        </w:rPr>
        <w:t>where</w:t>
      </w:r>
      <w:r>
        <w:rPr>
          <w:color w:val="231F20"/>
          <w:spacing w:val="-12"/>
        </w:rPr>
        <w:t xml:space="preserve"> </w:t>
      </w:r>
      <w:r>
        <w:rPr>
          <w:color w:val="231F20"/>
        </w:rPr>
        <w:t>sport tourism</w:t>
      </w:r>
      <w:r>
        <w:rPr>
          <w:color w:val="231F20"/>
          <w:spacing w:val="-7"/>
        </w:rPr>
        <w:t xml:space="preserve"> </w:t>
      </w:r>
      <w:r>
        <w:rPr>
          <w:color w:val="231F20"/>
        </w:rPr>
        <w:t>takes</w:t>
      </w:r>
      <w:r>
        <w:rPr>
          <w:color w:val="231F20"/>
          <w:spacing w:val="-7"/>
        </w:rPr>
        <w:t xml:space="preserve"> </w:t>
      </w:r>
      <w:r>
        <w:rPr>
          <w:color w:val="231F20"/>
        </w:rPr>
        <w:t>place.</w:t>
      </w:r>
      <w:r>
        <w:rPr>
          <w:color w:val="231F20"/>
          <w:spacing w:val="-7"/>
        </w:rPr>
        <w:t xml:space="preserve"> </w:t>
      </w:r>
      <w:r>
        <w:rPr>
          <w:color w:val="231F20"/>
        </w:rPr>
        <w:t>While</w:t>
      </w:r>
      <w:r>
        <w:rPr>
          <w:color w:val="231F20"/>
          <w:spacing w:val="-7"/>
        </w:rPr>
        <w:t xml:space="preserve"> </w:t>
      </w:r>
      <w:r>
        <w:rPr>
          <w:color w:val="231F20"/>
        </w:rPr>
        <w:t>it</w:t>
      </w:r>
      <w:r>
        <w:rPr>
          <w:color w:val="231F20"/>
          <w:spacing w:val="-7"/>
        </w:rPr>
        <w:t xml:space="preserve"> </w:t>
      </w:r>
      <w:r>
        <w:rPr>
          <w:color w:val="231F20"/>
        </w:rPr>
        <w:t>is</w:t>
      </w:r>
      <w:r>
        <w:rPr>
          <w:color w:val="231F20"/>
          <w:spacing w:val="-7"/>
        </w:rPr>
        <w:t xml:space="preserve"> </w:t>
      </w:r>
      <w:r>
        <w:rPr>
          <w:color w:val="231F20"/>
        </w:rPr>
        <w:t>important</w:t>
      </w:r>
      <w:r>
        <w:rPr>
          <w:color w:val="231F20"/>
          <w:spacing w:val="-7"/>
        </w:rPr>
        <w:t xml:space="preserve"> </w:t>
      </w:r>
      <w:r>
        <w:rPr>
          <w:color w:val="231F20"/>
        </w:rPr>
        <w:t>to</w:t>
      </w:r>
      <w:r>
        <w:rPr>
          <w:color w:val="231F20"/>
          <w:spacing w:val="-7"/>
        </w:rPr>
        <w:t xml:space="preserve"> </w:t>
      </w:r>
      <w:r>
        <w:rPr>
          <w:color w:val="231F20"/>
        </w:rPr>
        <w:t>recognise</w:t>
      </w:r>
      <w:r>
        <w:rPr>
          <w:color w:val="231F20"/>
          <w:spacing w:val="-7"/>
        </w:rPr>
        <w:t xml:space="preserve"> </w:t>
      </w:r>
      <w:r>
        <w:rPr>
          <w:color w:val="231F20"/>
        </w:rPr>
        <w:t>changing</w:t>
      </w:r>
      <w:r>
        <w:rPr>
          <w:color w:val="231F20"/>
          <w:spacing w:val="-7"/>
        </w:rPr>
        <w:t xml:space="preserve"> </w:t>
      </w:r>
      <w:r>
        <w:rPr>
          <w:color w:val="231F20"/>
        </w:rPr>
        <w:t>patterns of</w:t>
      </w:r>
      <w:r>
        <w:rPr>
          <w:color w:val="231F20"/>
          <w:spacing w:val="39"/>
        </w:rPr>
        <w:t xml:space="preserve"> </w:t>
      </w:r>
      <w:r>
        <w:rPr>
          <w:color w:val="231F20"/>
        </w:rPr>
        <w:t>sport-related</w:t>
      </w:r>
      <w:r>
        <w:rPr>
          <w:color w:val="231F20"/>
          <w:spacing w:val="39"/>
        </w:rPr>
        <w:t xml:space="preserve"> </w:t>
      </w:r>
      <w:r>
        <w:rPr>
          <w:color w:val="231F20"/>
        </w:rPr>
        <w:t>tourism,</w:t>
      </w:r>
      <w:r>
        <w:rPr>
          <w:color w:val="231F20"/>
          <w:spacing w:val="39"/>
        </w:rPr>
        <w:t xml:space="preserve"> </w:t>
      </w:r>
      <w:r>
        <w:rPr>
          <w:color w:val="231F20"/>
        </w:rPr>
        <w:t>it</w:t>
      </w:r>
      <w:r>
        <w:rPr>
          <w:color w:val="231F20"/>
          <w:spacing w:val="39"/>
        </w:rPr>
        <w:t xml:space="preserve"> </w:t>
      </w:r>
      <w:r>
        <w:rPr>
          <w:color w:val="231F20"/>
        </w:rPr>
        <w:t>is</w:t>
      </w:r>
      <w:r>
        <w:rPr>
          <w:color w:val="231F20"/>
          <w:spacing w:val="39"/>
        </w:rPr>
        <w:t xml:space="preserve"> </w:t>
      </w:r>
      <w:r>
        <w:rPr>
          <w:color w:val="231F20"/>
        </w:rPr>
        <w:t>also</w:t>
      </w:r>
      <w:r>
        <w:rPr>
          <w:color w:val="231F20"/>
          <w:spacing w:val="39"/>
        </w:rPr>
        <w:t xml:space="preserve"> </w:t>
      </w:r>
      <w:r>
        <w:rPr>
          <w:color w:val="231F20"/>
        </w:rPr>
        <w:t>important</w:t>
      </w:r>
      <w:r>
        <w:rPr>
          <w:color w:val="231F20"/>
          <w:spacing w:val="39"/>
        </w:rPr>
        <w:t xml:space="preserve"> </w:t>
      </w:r>
      <w:r>
        <w:rPr>
          <w:color w:val="231F20"/>
        </w:rPr>
        <w:t>to</w:t>
      </w:r>
      <w:r>
        <w:rPr>
          <w:color w:val="231F20"/>
          <w:spacing w:val="39"/>
        </w:rPr>
        <w:t xml:space="preserve"> </w:t>
      </w:r>
      <w:r>
        <w:rPr>
          <w:color w:val="231F20"/>
        </w:rPr>
        <w:t>critically</w:t>
      </w:r>
      <w:r>
        <w:rPr>
          <w:color w:val="231F20"/>
          <w:spacing w:val="39"/>
        </w:rPr>
        <w:t xml:space="preserve"> </w:t>
      </w:r>
      <w:r>
        <w:rPr>
          <w:color w:val="231F20"/>
        </w:rPr>
        <w:t>understand the drivers of dynamic change in ways that are theoretically informed.</w:t>
      </w:r>
      <w:r>
        <w:rPr>
          <w:color w:val="231F20"/>
        </w:rPr>
        <w:t xml:space="preserve"> </w:t>
      </w:r>
      <w:r>
        <w:rPr>
          <w:color w:val="231F20"/>
          <w:w w:val="95"/>
        </w:rPr>
        <w:t xml:space="preserve">Research in sport tourism has moved beyond description to the realms of </w:t>
      </w:r>
      <w:r>
        <w:rPr>
          <w:color w:val="231F20"/>
        </w:rPr>
        <w:t>explanation and prediction as facilitated by theory.</w:t>
      </w:r>
    </w:p>
    <w:p w14:paraId="38676101" w14:textId="77777777" w:rsidR="00AE0598" w:rsidRDefault="0069255A">
      <w:pPr>
        <w:pStyle w:val="Corpodetexto"/>
        <w:spacing w:before="15" w:line="232" w:lineRule="auto"/>
        <w:ind w:left="110" w:right="127" w:firstLine="320"/>
        <w:jc w:val="both"/>
      </w:pPr>
      <w:r>
        <w:rPr>
          <w:color w:val="231F20"/>
        </w:rPr>
        <w:t>At</w:t>
      </w:r>
      <w:r>
        <w:rPr>
          <w:color w:val="231F20"/>
          <w:spacing w:val="-9"/>
        </w:rPr>
        <w:t xml:space="preserve"> </w:t>
      </w:r>
      <w:r>
        <w:rPr>
          <w:color w:val="231F20"/>
        </w:rPr>
        <w:t>this</w:t>
      </w:r>
      <w:r>
        <w:rPr>
          <w:color w:val="231F20"/>
          <w:spacing w:val="-9"/>
        </w:rPr>
        <w:t xml:space="preserve"> </w:t>
      </w:r>
      <w:r>
        <w:rPr>
          <w:color w:val="231F20"/>
        </w:rPr>
        <w:t>stage</w:t>
      </w:r>
      <w:r>
        <w:rPr>
          <w:color w:val="231F20"/>
          <w:spacing w:val="-9"/>
        </w:rPr>
        <w:t xml:space="preserve"> </w:t>
      </w:r>
      <w:r>
        <w:rPr>
          <w:color w:val="231F20"/>
        </w:rPr>
        <w:t>in</w:t>
      </w:r>
      <w:r>
        <w:rPr>
          <w:color w:val="231F20"/>
          <w:spacing w:val="-9"/>
        </w:rPr>
        <w:t xml:space="preserve"> </w:t>
      </w:r>
      <w:r>
        <w:rPr>
          <w:color w:val="231F20"/>
        </w:rPr>
        <w:t>the</w:t>
      </w:r>
      <w:r>
        <w:rPr>
          <w:color w:val="231F20"/>
          <w:spacing w:val="-9"/>
        </w:rPr>
        <w:t xml:space="preserve"> </w:t>
      </w:r>
      <w:r>
        <w:rPr>
          <w:color w:val="231F20"/>
        </w:rPr>
        <w:t>evolution</w:t>
      </w:r>
      <w:r>
        <w:rPr>
          <w:color w:val="231F20"/>
          <w:spacing w:val="-9"/>
        </w:rPr>
        <w:t xml:space="preserve"> </w:t>
      </w:r>
      <w:r>
        <w:rPr>
          <w:color w:val="231F20"/>
        </w:rPr>
        <w:t>of</w:t>
      </w:r>
      <w:r>
        <w:rPr>
          <w:color w:val="231F20"/>
          <w:spacing w:val="-9"/>
        </w:rPr>
        <w:t xml:space="preserve"> </w:t>
      </w:r>
      <w:r>
        <w:rPr>
          <w:color w:val="231F20"/>
        </w:rPr>
        <w:t>the</w:t>
      </w:r>
      <w:r>
        <w:rPr>
          <w:color w:val="231F20"/>
          <w:spacing w:val="-9"/>
        </w:rPr>
        <w:t xml:space="preserve"> </w:t>
      </w:r>
      <w:r>
        <w:rPr>
          <w:color w:val="231F20"/>
        </w:rPr>
        <w:t>study</w:t>
      </w:r>
      <w:r>
        <w:rPr>
          <w:color w:val="231F20"/>
          <w:spacing w:val="-9"/>
        </w:rPr>
        <w:t xml:space="preserve"> </w:t>
      </w:r>
      <w:r>
        <w:rPr>
          <w:color w:val="231F20"/>
        </w:rPr>
        <w:t>of</w:t>
      </w:r>
      <w:r>
        <w:rPr>
          <w:color w:val="231F20"/>
          <w:spacing w:val="-9"/>
        </w:rPr>
        <w:t xml:space="preserve"> </w:t>
      </w:r>
      <w:r>
        <w:rPr>
          <w:color w:val="231F20"/>
        </w:rPr>
        <w:t>sport</w:t>
      </w:r>
      <w:r>
        <w:rPr>
          <w:color w:val="231F20"/>
          <w:spacing w:val="-9"/>
        </w:rPr>
        <w:t xml:space="preserve"> </w:t>
      </w:r>
      <w:r>
        <w:rPr>
          <w:color w:val="231F20"/>
        </w:rPr>
        <w:t>tourism,</w:t>
      </w:r>
      <w:r>
        <w:rPr>
          <w:color w:val="231F20"/>
          <w:spacing w:val="-9"/>
        </w:rPr>
        <w:t xml:space="preserve"> </w:t>
      </w:r>
      <w:r>
        <w:rPr>
          <w:color w:val="231F20"/>
        </w:rPr>
        <w:t>theoretical insights have tended to come from advanced fields of scholarship. The theoretical</w:t>
      </w:r>
      <w:r>
        <w:rPr>
          <w:color w:val="231F20"/>
          <w:spacing w:val="-11"/>
        </w:rPr>
        <w:t xml:space="preserve"> </w:t>
      </w:r>
      <w:r>
        <w:rPr>
          <w:color w:val="231F20"/>
        </w:rPr>
        <w:t>insights</w:t>
      </w:r>
      <w:r>
        <w:rPr>
          <w:color w:val="231F20"/>
          <w:spacing w:val="-11"/>
        </w:rPr>
        <w:t xml:space="preserve"> </w:t>
      </w:r>
      <w:r>
        <w:rPr>
          <w:color w:val="231F20"/>
        </w:rPr>
        <w:t>that</w:t>
      </w:r>
      <w:r>
        <w:rPr>
          <w:color w:val="231F20"/>
          <w:spacing w:val="-11"/>
        </w:rPr>
        <w:t xml:space="preserve"> </w:t>
      </w:r>
      <w:r>
        <w:rPr>
          <w:color w:val="231F20"/>
        </w:rPr>
        <w:t>we</w:t>
      </w:r>
      <w:r>
        <w:rPr>
          <w:color w:val="231F20"/>
          <w:spacing w:val="-11"/>
        </w:rPr>
        <w:t xml:space="preserve"> </w:t>
      </w:r>
      <w:r>
        <w:rPr>
          <w:color w:val="231F20"/>
        </w:rPr>
        <w:t>have</w:t>
      </w:r>
      <w:r>
        <w:rPr>
          <w:color w:val="231F20"/>
          <w:spacing w:val="-11"/>
        </w:rPr>
        <w:t xml:space="preserve"> </w:t>
      </w:r>
      <w:r>
        <w:rPr>
          <w:color w:val="231F20"/>
        </w:rPr>
        <w:t>presented</w:t>
      </w:r>
      <w:r>
        <w:rPr>
          <w:color w:val="231F20"/>
          <w:spacing w:val="-11"/>
        </w:rPr>
        <w:t xml:space="preserve"> </w:t>
      </w:r>
      <w:r>
        <w:rPr>
          <w:color w:val="231F20"/>
        </w:rPr>
        <w:t>in</w:t>
      </w:r>
      <w:r>
        <w:rPr>
          <w:color w:val="231F20"/>
          <w:spacing w:val="-11"/>
        </w:rPr>
        <w:t xml:space="preserve"> </w:t>
      </w:r>
      <w:r>
        <w:rPr>
          <w:color w:val="231F20"/>
        </w:rPr>
        <w:t>this</w:t>
      </w:r>
      <w:r>
        <w:rPr>
          <w:color w:val="231F20"/>
          <w:spacing w:val="-11"/>
        </w:rPr>
        <w:t xml:space="preserve"> </w:t>
      </w:r>
      <w:r>
        <w:rPr>
          <w:color w:val="231F20"/>
        </w:rPr>
        <w:t>book</w:t>
      </w:r>
      <w:r>
        <w:rPr>
          <w:color w:val="231F20"/>
          <w:spacing w:val="-11"/>
        </w:rPr>
        <w:t xml:space="preserve"> </w:t>
      </w:r>
      <w:r>
        <w:rPr>
          <w:color w:val="231F20"/>
        </w:rPr>
        <w:t>have</w:t>
      </w:r>
      <w:r>
        <w:rPr>
          <w:color w:val="231F20"/>
          <w:spacing w:val="-11"/>
        </w:rPr>
        <w:t xml:space="preserve"> </w:t>
      </w:r>
      <w:r>
        <w:rPr>
          <w:color w:val="231F20"/>
        </w:rPr>
        <w:t>been</w:t>
      </w:r>
      <w:r>
        <w:rPr>
          <w:color w:val="231F20"/>
          <w:spacing w:val="-11"/>
        </w:rPr>
        <w:t xml:space="preserve"> </w:t>
      </w:r>
      <w:r>
        <w:rPr>
          <w:color w:val="231F20"/>
        </w:rPr>
        <w:t>drawn primarily from geography. To the extent that these theories provide additional</w:t>
      </w:r>
      <w:r>
        <w:rPr>
          <w:color w:val="231F20"/>
          <w:spacing w:val="-5"/>
        </w:rPr>
        <w:t xml:space="preserve"> </w:t>
      </w:r>
      <w:r>
        <w:rPr>
          <w:color w:val="231F20"/>
        </w:rPr>
        <w:t>insight</w:t>
      </w:r>
      <w:r>
        <w:rPr>
          <w:color w:val="231F20"/>
          <w:spacing w:val="-5"/>
        </w:rPr>
        <w:t xml:space="preserve"> </w:t>
      </w:r>
      <w:r>
        <w:rPr>
          <w:color w:val="231F20"/>
        </w:rPr>
        <w:t>into</w:t>
      </w:r>
      <w:r>
        <w:rPr>
          <w:color w:val="231F20"/>
          <w:spacing w:val="-5"/>
        </w:rPr>
        <w:t xml:space="preserve"> </w:t>
      </w:r>
      <w:r>
        <w:rPr>
          <w:color w:val="231F20"/>
        </w:rPr>
        <w:t>sport-rel</w:t>
      </w:r>
      <w:r>
        <w:rPr>
          <w:color w:val="231F20"/>
        </w:rPr>
        <w:t>ated</w:t>
      </w:r>
      <w:r>
        <w:rPr>
          <w:color w:val="231F20"/>
          <w:spacing w:val="-5"/>
        </w:rPr>
        <w:t xml:space="preserve"> </w:t>
      </w:r>
      <w:r>
        <w:rPr>
          <w:color w:val="231F20"/>
        </w:rPr>
        <w:t>tourism</w:t>
      </w:r>
      <w:r>
        <w:rPr>
          <w:color w:val="231F20"/>
          <w:spacing w:val="-5"/>
        </w:rPr>
        <w:t xml:space="preserve"> </w:t>
      </w:r>
      <w:r>
        <w:rPr>
          <w:color w:val="231F20"/>
        </w:rPr>
        <w:t>phenomena,</w:t>
      </w:r>
      <w:r>
        <w:rPr>
          <w:color w:val="231F20"/>
          <w:spacing w:val="-5"/>
        </w:rPr>
        <w:t xml:space="preserve"> </w:t>
      </w:r>
      <w:r>
        <w:rPr>
          <w:color w:val="231F20"/>
        </w:rPr>
        <w:t>they</w:t>
      </w:r>
      <w:r>
        <w:rPr>
          <w:color w:val="231F20"/>
          <w:spacing w:val="-5"/>
        </w:rPr>
        <w:t xml:space="preserve"> </w:t>
      </w:r>
      <w:r>
        <w:rPr>
          <w:color w:val="231F20"/>
        </w:rPr>
        <w:t>should</w:t>
      </w:r>
      <w:r>
        <w:rPr>
          <w:color w:val="231F20"/>
          <w:spacing w:val="-5"/>
        </w:rPr>
        <w:t xml:space="preserve"> </w:t>
      </w:r>
      <w:r>
        <w:rPr>
          <w:color w:val="231F20"/>
        </w:rPr>
        <w:t>be adopted, applied and further developed in their application to the study of sport tourism. The driving forces behind such theory building should include not only the obvious need to solve real and potential problems r</w:t>
      </w:r>
      <w:r>
        <w:rPr>
          <w:color w:val="231F20"/>
        </w:rPr>
        <w:t>elated</w:t>
      </w:r>
      <w:r>
        <w:rPr>
          <w:color w:val="231F20"/>
          <w:spacing w:val="-12"/>
        </w:rPr>
        <w:t xml:space="preserve"> </w:t>
      </w:r>
      <w:r>
        <w:rPr>
          <w:color w:val="231F20"/>
        </w:rPr>
        <w:t>to</w:t>
      </w:r>
      <w:r>
        <w:rPr>
          <w:color w:val="231F20"/>
          <w:spacing w:val="-11"/>
        </w:rPr>
        <w:t xml:space="preserve"> </w:t>
      </w:r>
      <w:r>
        <w:rPr>
          <w:color w:val="231F20"/>
        </w:rPr>
        <w:t>the</w:t>
      </w:r>
      <w:r>
        <w:rPr>
          <w:color w:val="231F20"/>
          <w:spacing w:val="-12"/>
        </w:rPr>
        <w:t xml:space="preserve"> </w:t>
      </w:r>
      <w:r>
        <w:rPr>
          <w:color w:val="231F20"/>
        </w:rPr>
        <w:t>practice</w:t>
      </w:r>
      <w:r>
        <w:rPr>
          <w:color w:val="231F20"/>
          <w:spacing w:val="-11"/>
        </w:rPr>
        <w:t xml:space="preserve"> </w:t>
      </w:r>
      <w:r>
        <w:rPr>
          <w:color w:val="231F20"/>
        </w:rPr>
        <w:t>of</w:t>
      </w:r>
      <w:r>
        <w:rPr>
          <w:color w:val="231F20"/>
          <w:spacing w:val="-12"/>
        </w:rPr>
        <w:t xml:space="preserve"> </w:t>
      </w:r>
      <w:r>
        <w:rPr>
          <w:color w:val="231F20"/>
        </w:rPr>
        <w:t>sport</w:t>
      </w:r>
      <w:r>
        <w:rPr>
          <w:color w:val="231F20"/>
          <w:spacing w:val="-11"/>
        </w:rPr>
        <w:t xml:space="preserve"> </w:t>
      </w:r>
      <w:r>
        <w:rPr>
          <w:color w:val="231F20"/>
        </w:rPr>
        <w:t>tourism</w:t>
      </w:r>
      <w:r>
        <w:rPr>
          <w:color w:val="231F20"/>
          <w:spacing w:val="-12"/>
        </w:rPr>
        <w:t xml:space="preserve"> </w:t>
      </w:r>
      <w:r>
        <w:rPr>
          <w:color w:val="231F20"/>
        </w:rPr>
        <w:t>but</w:t>
      </w:r>
      <w:r>
        <w:rPr>
          <w:color w:val="231F20"/>
          <w:spacing w:val="-11"/>
        </w:rPr>
        <w:t xml:space="preserve"> </w:t>
      </w:r>
      <w:r>
        <w:rPr>
          <w:color w:val="231F20"/>
        </w:rPr>
        <w:t>also</w:t>
      </w:r>
      <w:r>
        <w:rPr>
          <w:color w:val="231F20"/>
          <w:spacing w:val="-12"/>
        </w:rPr>
        <w:t xml:space="preserve"> </w:t>
      </w:r>
      <w:r>
        <w:rPr>
          <w:color w:val="231F20"/>
        </w:rPr>
        <w:t>curiosity-driven</w:t>
      </w:r>
      <w:r>
        <w:rPr>
          <w:color w:val="231F20"/>
          <w:spacing w:val="-11"/>
        </w:rPr>
        <w:t xml:space="preserve"> </w:t>
      </w:r>
      <w:r>
        <w:rPr>
          <w:color w:val="231F20"/>
        </w:rPr>
        <w:t>research with its less targeted outcomes, but with the potential to provide new insights</w:t>
      </w:r>
      <w:r>
        <w:rPr>
          <w:color w:val="231F20"/>
          <w:spacing w:val="-6"/>
        </w:rPr>
        <w:t xml:space="preserve"> </w:t>
      </w:r>
      <w:r>
        <w:rPr>
          <w:color w:val="231F20"/>
        </w:rPr>
        <w:t>into</w:t>
      </w:r>
      <w:r>
        <w:rPr>
          <w:color w:val="231F20"/>
          <w:spacing w:val="-6"/>
        </w:rPr>
        <w:t xml:space="preserve"> </w:t>
      </w:r>
      <w:r>
        <w:rPr>
          <w:color w:val="231F20"/>
        </w:rPr>
        <w:t>the</w:t>
      </w:r>
      <w:r>
        <w:rPr>
          <w:color w:val="231F20"/>
          <w:spacing w:val="-6"/>
        </w:rPr>
        <w:t xml:space="preserve"> </w:t>
      </w:r>
      <w:r>
        <w:rPr>
          <w:color w:val="231F20"/>
        </w:rPr>
        <w:t>phenomenon.</w:t>
      </w:r>
      <w:r>
        <w:rPr>
          <w:color w:val="231F20"/>
          <w:spacing w:val="-6"/>
        </w:rPr>
        <w:t xml:space="preserve"> </w:t>
      </w:r>
      <w:r>
        <w:rPr>
          <w:color w:val="231F20"/>
        </w:rPr>
        <w:t>An</w:t>
      </w:r>
      <w:r>
        <w:rPr>
          <w:color w:val="231F20"/>
          <w:spacing w:val="-6"/>
        </w:rPr>
        <w:t xml:space="preserve"> </w:t>
      </w:r>
      <w:r>
        <w:rPr>
          <w:color w:val="231F20"/>
        </w:rPr>
        <w:t>appreciation</w:t>
      </w:r>
      <w:r>
        <w:rPr>
          <w:color w:val="231F20"/>
          <w:spacing w:val="-6"/>
        </w:rPr>
        <w:t xml:space="preserve"> </w:t>
      </w:r>
      <w:r>
        <w:rPr>
          <w:color w:val="231F20"/>
        </w:rPr>
        <w:t>of</w:t>
      </w:r>
      <w:r>
        <w:rPr>
          <w:color w:val="231F20"/>
          <w:spacing w:val="-6"/>
        </w:rPr>
        <w:t xml:space="preserve"> </w:t>
      </w:r>
      <w:r>
        <w:rPr>
          <w:color w:val="231F20"/>
        </w:rPr>
        <w:t>these</w:t>
      </w:r>
      <w:r>
        <w:rPr>
          <w:color w:val="231F20"/>
          <w:spacing w:val="-6"/>
        </w:rPr>
        <w:t xml:space="preserve"> </w:t>
      </w:r>
      <w:r>
        <w:rPr>
          <w:color w:val="231F20"/>
        </w:rPr>
        <w:t>dynamics</w:t>
      </w:r>
      <w:r>
        <w:rPr>
          <w:color w:val="231F20"/>
          <w:spacing w:val="-6"/>
        </w:rPr>
        <w:t xml:space="preserve"> </w:t>
      </w:r>
      <w:r>
        <w:rPr>
          <w:color w:val="231F20"/>
        </w:rPr>
        <w:t>means that</w:t>
      </w:r>
      <w:r>
        <w:rPr>
          <w:color w:val="231F20"/>
          <w:spacing w:val="-8"/>
        </w:rPr>
        <w:t xml:space="preserve"> </w:t>
      </w:r>
      <w:r>
        <w:rPr>
          <w:color w:val="231F20"/>
        </w:rPr>
        <w:t>stakeholders</w:t>
      </w:r>
      <w:r>
        <w:rPr>
          <w:color w:val="231F20"/>
          <w:spacing w:val="-8"/>
        </w:rPr>
        <w:t xml:space="preserve"> </w:t>
      </w:r>
      <w:r>
        <w:rPr>
          <w:color w:val="231F20"/>
        </w:rPr>
        <w:t>do</w:t>
      </w:r>
      <w:r>
        <w:rPr>
          <w:color w:val="231F20"/>
          <w:spacing w:val="-8"/>
        </w:rPr>
        <w:t xml:space="preserve"> </w:t>
      </w:r>
      <w:r>
        <w:rPr>
          <w:color w:val="231F20"/>
        </w:rPr>
        <w:t>not</w:t>
      </w:r>
      <w:r>
        <w:rPr>
          <w:color w:val="231F20"/>
          <w:spacing w:val="-8"/>
        </w:rPr>
        <w:t xml:space="preserve"> </w:t>
      </w:r>
      <w:r>
        <w:rPr>
          <w:color w:val="231F20"/>
        </w:rPr>
        <w:t>have</w:t>
      </w:r>
      <w:r>
        <w:rPr>
          <w:color w:val="231F20"/>
          <w:spacing w:val="-8"/>
        </w:rPr>
        <w:t xml:space="preserve"> </w:t>
      </w:r>
      <w:r>
        <w:rPr>
          <w:color w:val="231F20"/>
        </w:rPr>
        <w:t>to</w:t>
      </w:r>
      <w:r>
        <w:rPr>
          <w:color w:val="231F20"/>
          <w:spacing w:val="-8"/>
        </w:rPr>
        <w:t xml:space="preserve"> </w:t>
      </w:r>
      <w:r>
        <w:rPr>
          <w:color w:val="231F20"/>
        </w:rPr>
        <w:t>be</w:t>
      </w:r>
      <w:r>
        <w:rPr>
          <w:color w:val="231F20"/>
          <w:spacing w:val="-8"/>
        </w:rPr>
        <w:t xml:space="preserve"> </w:t>
      </w:r>
      <w:r>
        <w:rPr>
          <w:color w:val="231F20"/>
        </w:rPr>
        <w:t>passive</w:t>
      </w:r>
      <w:r>
        <w:rPr>
          <w:color w:val="231F20"/>
          <w:spacing w:val="-8"/>
        </w:rPr>
        <w:t xml:space="preserve"> </w:t>
      </w:r>
      <w:r>
        <w:rPr>
          <w:color w:val="231F20"/>
        </w:rPr>
        <w:t>observers</w:t>
      </w:r>
      <w:r>
        <w:rPr>
          <w:color w:val="231F20"/>
          <w:spacing w:val="-8"/>
        </w:rPr>
        <w:t xml:space="preserve"> </w:t>
      </w:r>
      <w:r>
        <w:rPr>
          <w:color w:val="231F20"/>
        </w:rPr>
        <w:t>or</w:t>
      </w:r>
      <w:r>
        <w:rPr>
          <w:color w:val="231F20"/>
          <w:spacing w:val="-8"/>
        </w:rPr>
        <w:t xml:space="preserve"> </w:t>
      </w:r>
      <w:r>
        <w:rPr>
          <w:color w:val="231F20"/>
        </w:rPr>
        <w:t>reactive</w:t>
      </w:r>
      <w:r>
        <w:rPr>
          <w:color w:val="231F20"/>
          <w:spacing w:val="-8"/>
        </w:rPr>
        <w:t xml:space="preserve"> </w:t>
      </w:r>
      <w:r>
        <w:rPr>
          <w:color w:val="231F20"/>
        </w:rPr>
        <w:t xml:space="preserve">players </w:t>
      </w:r>
      <w:r>
        <w:rPr>
          <w:color w:val="231F20"/>
          <w:w w:val="95"/>
        </w:rPr>
        <w:t>in</w:t>
      </w:r>
      <w:r>
        <w:rPr>
          <w:color w:val="231F20"/>
          <w:spacing w:val="33"/>
        </w:rPr>
        <w:t xml:space="preserve"> </w:t>
      </w:r>
      <w:r>
        <w:rPr>
          <w:color w:val="231F20"/>
          <w:w w:val="95"/>
        </w:rPr>
        <w:t>the</w:t>
      </w:r>
      <w:r>
        <w:rPr>
          <w:color w:val="231F20"/>
          <w:spacing w:val="33"/>
        </w:rPr>
        <w:t xml:space="preserve"> </w:t>
      </w:r>
      <w:r>
        <w:rPr>
          <w:color w:val="231F20"/>
          <w:w w:val="95"/>
        </w:rPr>
        <w:t>sport</w:t>
      </w:r>
      <w:r>
        <w:rPr>
          <w:color w:val="231F20"/>
          <w:spacing w:val="33"/>
        </w:rPr>
        <w:t xml:space="preserve"> </w:t>
      </w:r>
      <w:r>
        <w:rPr>
          <w:color w:val="231F20"/>
          <w:w w:val="95"/>
        </w:rPr>
        <w:t>tourism</w:t>
      </w:r>
      <w:r>
        <w:rPr>
          <w:color w:val="231F20"/>
          <w:spacing w:val="33"/>
        </w:rPr>
        <w:t xml:space="preserve"> </w:t>
      </w:r>
      <w:r>
        <w:rPr>
          <w:color w:val="231F20"/>
          <w:w w:val="95"/>
        </w:rPr>
        <w:t>development</w:t>
      </w:r>
      <w:r>
        <w:rPr>
          <w:color w:val="231F20"/>
          <w:spacing w:val="34"/>
        </w:rPr>
        <w:t xml:space="preserve"> </w:t>
      </w:r>
      <w:r>
        <w:rPr>
          <w:color w:val="231F20"/>
          <w:w w:val="95"/>
        </w:rPr>
        <w:t>process.</w:t>
      </w:r>
      <w:r>
        <w:rPr>
          <w:color w:val="231F20"/>
          <w:spacing w:val="33"/>
        </w:rPr>
        <w:t xml:space="preserve"> </w:t>
      </w:r>
      <w:r>
        <w:rPr>
          <w:color w:val="231F20"/>
          <w:w w:val="95"/>
        </w:rPr>
        <w:t>Active</w:t>
      </w:r>
      <w:r>
        <w:rPr>
          <w:color w:val="231F20"/>
          <w:spacing w:val="33"/>
        </w:rPr>
        <w:t xml:space="preserve"> </w:t>
      </w:r>
      <w:r>
        <w:rPr>
          <w:color w:val="231F20"/>
          <w:w w:val="95"/>
        </w:rPr>
        <w:t>engagement</w:t>
      </w:r>
      <w:r>
        <w:rPr>
          <w:color w:val="231F20"/>
          <w:spacing w:val="33"/>
        </w:rPr>
        <w:t xml:space="preserve"> </w:t>
      </w:r>
      <w:r>
        <w:rPr>
          <w:color w:val="231F20"/>
          <w:w w:val="95"/>
        </w:rPr>
        <w:t>in</w:t>
      </w:r>
      <w:r>
        <w:rPr>
          <w:color w:val="231F20"/>
          <w:spacing w:val="33"/>
        </w:rPr>
        <w:t xml:space="preserve"> </w:t>
      </w:r>
      <w:r>
        <w:rPr>
          <w:color w:val="231F20"/>
          <w:spacing w:val="-2"/>
          <w:w w:val="95"/>
        </w:rPr>
        <w:t>theory</w:t>
      </w:r>
    </w:p>
    <w:p w14:paraId="710125BF" w14:textId="77777777" w:rsidR="00AE0598" w:rsidRDefault="00AE0598">
      <w:pPr>
        <w:spacing w:line="232" w:lineRule="auto"/>
        <w:jc w:val="both"/>
        <w:sectPr w:rsidR="00AE0598">
          <w:pgSz w:w="8850" w:h="13270"/>
          <w:pgMar w:top="720" w:right="1060" w:bottom="280" w:left="1080" w:header="720" w:footer="720" w:gutter="0"/>
          <w:cols w:space="720"/>
        </w:sectPr>
      </w:pPr>
    </w:p>
    <w:p w14:paraId="54120E0A" w14:textId="77777777" w:rsidR="00AE0598" w:rsidRDefault="0069255A">
      <w:pPr>
        <w:spacing w:before="87"/>
        <w:ind w:left="108"/>
        <w:rPr>
          <w:rFonts w:ascii="Trebuchet MS"/>
          <w:sz w:val="14"/>
        </w:rPr>
      </w:pPr>
      <w:r>
        <w:rPr>
          <w:rFonts w:ascii="Trebuchet MS"/>
          <w:color w:val="231F20"/>
          <w:w w:val="105"/>
          <w:sz w:val="14"/>
        </w:rPr>
        <w:lastRenderedPageBreak/>
        <w:t>236</w:t>
      </w:r>
      <w:r>
        <w:rPr>
          <w:rFonts w:ascii="Trebuchet MS"/>
          <w:color w:val="231F20"/>
          <w:spacing w:val="78"/>
          <w:w w:val="150"/>
          <w:sz w:val="14"/>
        </w:rPr>
        <w:t xml:space="preserve"> </w:t>
      </w:r>
      <w:r>
        <w:rPr>
          <w:rFonts w:ascii="Trebuchet MS"/>
          <w:color w:val="231F20"/>
          <w:spacing w:val="-2"/>
          <w:w w:val="105"/>
          <w:sz w:val="14"/>
        </w:rPr>
        <w:t>Conclusion</w:t>
      </w:r>
    </w:p>
    <w:p w14:paraId="53B18700" w14:textId="77777777" w:rsidR="00AE0598" w:rsidRDefault="00AE0598">
      <w:pPr>
        <w:pStyle w:val="Corpodetexto"/>
        <w:rPr>
          <w:rFonts w:ascii="Trebuchet MS"/>
          <w:sz w:val="16"/>
        </w:rPr>
      </w:pPr>
    </w:p>
    <w:p w14:paraId="5C94DE05" w14:textId="77777777" w:rsidR="00AE0598" w:rsidRDefault="0069255A">
      <w:pPr>
        <w:pStyle w:val="Corpodetexto"/>
        <w:spacing w:before="118" w:line="232" w:lineRule="auto"/>
        <w:ind w:left="110" w:right="129"/>
        <w:jc w:val="both"/>
      </w:pPr>
      <w:r>
        <w:rPr>
          <w:color w:val="231F20"/>
          <w:w w:val="95"/>
        </w:rPr>
        <w:t>building</w:t>
      </w:r>
      <w:r>
        <w:rPr>
          <w:color w:val="231F20"/>
          <w:spacing w:val="-3"/>
          <w:w w:val="95"/>
        </w:rPr>
        <w:t xml:space="preserve"> </w:t>
      </w:r>
      <w:r>
        <w:rPr>
          <w:color w:val="231F20"/>
          <w:w w:val="95"/>
        </w:rPr>
        <w:t>and</w:t>
      </w:r>
      <w:r>
        <w:rPr>
          <w:color w:val="231F20"/>
          <w:spacing w:val="-4"/>
          <w:w w:val="95"/>
        </w:rPr>
        <w:t xml:space="preserve"> </w:t>
      </w:r>
      <w:r>
        <w:rPr>
          <w:color w:val="231F20"/>
          <w:w w:val="95"/>
        </w:rPr>
        <w:t>empirical</w:t>
      </w:r>
      <w:r>
        <w:rPr>
          <w:color w:val="231F20"/>
          <w:spacing w:val="-4"/>
          <w:w w:val="95"/>
        </w:rPr>
        <w:t xml:space="preserve"> </w:t>
      </w:r>
      <w:r>
        <w:rPr>
          <w:color w:val="231F20"/>
          <w:w w:val="95"/>
        </w:rPr>
        <w:t>research</w:t>
      </w:r>
      <w:r>
        <w:rPr>
          <w:color w:val="231F20"/>
          <w:spacing w:val="-4"/>
          <w:w w:val="95"/>
        </w:rPr>
        <w:t xml:space="preserve"> </w:t>
      </w:r>
      <w:r>
        <w:rPr>
          <w:color w:val="231F20"/>
          <w:w w:val="95"/>
        </w:rPr>
        <w:t>will</w:t>
      </w:r>
      <w:r>
        <w:rPr>
          <w:color w:val="231F20"/>
          <w:spacing w:val="-3"/>
          <w:w w:val="95"/>
        </w:rPr>
        <w:t xml:space="preserve"> </w:t>
      </w:r>
      <w:r>
        <w:rPr>
          <w:color w:val="231F20"/>
          <w:w w:val="95"/>
        </w:rPr>
        <w:t>continue</w:t>
      </w:r>
      <w:r>
        <w:rPr>
          <w:color w:val="231F20"/>
          <w:spacing w:val="-4"/>
          <w:w w:val="95"/>
        </w:rPr>
        <w:t xml:space="preserve"> </w:t>
      </w:r>
      <w:r>
        <w:rPr>
          <w:color w:val="231F20"/>
          <w:w w:val="95"/>
        </w:rPr>
        <w:t>to</w:t>
      </w:r>
      <w:r>
        <w:rPr>
          <w:color w:val="231F20"/>
          <w:spacing w:val="-3"/>
          <w:w w:val="95"/>
        </w:rPr>
        <w:t xml:space="preserve"> </w:t>
      </w:r>
      <w:r>
        <w:rPr>
          <w:color w:val="231F20"/>
          <w:w w:val="95"/>
        </w:rPr>
        <w:t>advance</w:t>
      </w:r>
      <w:r>
        <w:rPr>
          <w:color w:val="231F20"/>
          <w:spacing w:val="-4"/>
          <w:w w:val="95"/>
        </w:rPr>
        <w:t xml:space="preserve"> </w:t>
      </w:r>
      <w:r>
        <w:rPr>
          <w:color w:val="231F20"/>
          <w:w w:val="95"/>
        </w:rPr>
        <w:t>our</w:t>
      </w:r>
      <w:r>
        <w:rPr>
          <w:color w:val="231F20"/>
          <w:spacing w:val="-4"/>
          <w:w w:val="95"/>
        </w:rPr>
        <w:t xml:space="preserve"> </w:t>
      </w:r>
      <w:r>
        <w:rPr>
          <w:color w:val="231F20"/>
          <w:w w:val="95"/>
        </w:rPr>
        <w:t xml:space="preserve">understanding </w:t>
      </w:r>
      <w:r>
        <w:rPr>
          <w:color w:val="231F20"/>
        </w:rPr>
        <w:t>of the dynamic relationship between sport and tourism.</w:t>
      </w:r>
    </w:p>
    <w:p w14:paraId="5616498C" w14:textId="77777777" w:rsidR="00AE0598" w:rsidRDefault="0069255A">
      <w:pPr>
        <w:pStyle w:val="Corpodetexto"/>
        <w:spacing w:before="2" w:line="232" w:lineRule="auto"/>
        <w:ind w:left="110" w:right="127" w:firstLine="320"/>
        <w:jc w:val="both"/>
      </w:pPr>
      <w:r>
        <w:rPr>
          <w:color w:val="231F20"/>
        </w:rPr>
        <w:t>We opened this book by recounting some of the functions of sport in Alexander the Great’s Macedonian society in 334 BC. It therefore seems appropriate</w:t>
      </w:r>
      <w:r>
        <w:rPr>
          <w:color w:val="231F20"/>
          <w:spacing w:val="-6"/>
        </w:rPr>
        <w:t xml:space="preserve"> </w:t>
      </w:r>
      <w:r>
        <w:rPr>
          <w:color w:val="231F20"/>
        </w:rPr>
        <w:t>to</w:t>
      </w:r>
      <w:r>
        <w:rPr>
          <w:color w:val="231F20"/>
          <w:spacing w:val="-6"/>
        </w:rPr>
        <w:t xml:space="preserve"> </w:t>
      </w:r>
      <w:r>
        <w:rPr>
          <w:color w:val="231F20"/>
        </w:rPr>
        <w:t>close</w:t>
      </w:r>
      <w:r>
        <w:rPr>
          <w:color w:val="231F20"/>
          <w:spacing w:val="-6"/>
        </w:rPr>
        <w:t xml:space="preserve"> </w:t>
      </w:r>
      <w:r>
        <w:rPr>
          <w:color w:val="231F20"/>
        </w:rPr>
        <w:t>this</w:t>
      </w:r>
      <w:r>
        <w:rPr>
          <w:color w:val="231F20"/>
          <w:spacing w:val="-6"/>
        </w:rPr>
        <w:t xml:space="preserve"> </w:t>
      </w:r>
      <w:r>
        <w:rPr>
          <w:color w:val="231F20"/>
        </w:rPr>
        <w:t>chapter</w:t>
      </w:r>
      <w:r>
        <w:rPr>
          <w:color w:val="231F20"/>
          <w:spacing w:val="-6"/>
        </w:rPr>
        <w:t xml:space="preserve"> </w:t>
      </w:r>
      <w:r>
        <w:rPr>
          <w:color w:val="231F20"/>
        </w:rPr>
        <w:t>with</w:t>
      </w:r>
      <w:r>
        <w:rPr>
          <w:color w:val="231F20"/>
          <w:spacing w:val="-6"/>
        </w:rPr>
        <w:t xml:space="preserve"> </w:t>
      </w:r>
      <w:r>
        <w:rPr>
          <w:color w:val="231F20"/>
        </w:rPr>
        <w:t>some</w:t>
      </w:r>
      <w:r>
        <w:rPr>
          <w:color w:val="231F20"/>
          <w:spacing w:val="-6"/>
        </w:rPr>
        <w:t xml:space="preserve"> </w:t>
      </w:r>
      <w:r>
        <w:rPr>
          <w:color w:val="231F20"/>
        </w:rPr>
        <w:t>reflections</w:t>
      </w:r>
      <w:r>
        <w:rPr>
          <w:color w:val="231F20"/>
          <w:spacing w:val="-6"/>
        </w:rPr>
        <w:t xml:space="preserve"> </w:t>
      </w:r>
      <w:r>
        <w:rPr>
          <w:color w:val="231F20"/>
        </w:rPr>
        <w:t>upon</w:t>
      </w:r>
      <w:r>
        <w:rPr>
          <w:color w:val="231F20"/>
          <w:spacing w:val="-6"/>
        </w:rPr>
        <w:t xml:space="preserve"> </w:t>
      </w:r>
      <w:r>
        <w:rPr>
          <w:color w:val="231F20"/>
        </w:rPr>
        <w:t>o</w:t>
      </w:r>
      <w:r>
        <w:rPr>
          <w:color w:val="231F20"/>
        </w:rPr>
        <w:t>ur</w:t>
      </w:r>
      <w:r>
        <w:rPr>
          <w:color w:val="231F20"/>
          <w:spacing w:val="-6"/>
        </w:rPr>
        <w:t xml:space="preserve"> </w:t>
      </w:r>
      <w:r>
        <w:rPr>
          <w:color w:val="231F20"/>
        </w:rPr>
        <w:t xml:space="preserve">current </w:t>
      </w:r>
      <w:r>
        <w:rPr>
          <w:color w:val="231F20"/>
          <w:w w:val="95"/>
        </w:rPr>
        <w:t>societies,</w:t>
      </w:r>
      <w:r>
        <w:rPr>
          <w:color w:val="231F20"/>
          <w:spacing w:val="-7"/>
          <w:w w:val="95"/>
        </w:rPr>
        <w:t xml:space="preserve"> </w:t>
      </w:r>
      <w:r>
        <w:rPr>
          <w:color w:val="231F20"/>
          <w:w w:val="95"/>
        </w:rPr>
        <w:t>which</w:t>
      </w:r>
      <w:r>
        <w:rPr>
          <w:color w:val="231F20"/>
          <w:spacing w:val="-7"/>
          <w:w w:val="95"/>
        </w:rPr>
        <w:t xml:space="preserve"> </w:t>
      </w:r>
      <w:r>
        <w:rPr>
          <w:color w:val="231F20"/>
          <w:w w:val="95"/>
        </w:rPr>
        <w:t>frame</w:t>
      </w:r>
      <w:r>
        <w:rPr>
          <w:color w:val="231F20"/>
          <w:spacing w:val="-7"/>
          <w:w w:val="95"/>
        </w:rPr>
        <w:t xml:space="preserve"> </w:t>
      </w:r>
      <w:r>
        <w:rPr>
          <w:color w:val="231F20"/>
          <w:w w:val="95"/>
        </w:rPr>
        <w:t>contemporary</w:t>
      </w:r>
      <w:r>
        <w:rPr>
          <w:color w:val="231F20"/>
          <w:spacing w:val="-7"/>
          <w:w w:val="95"/>
        </w:rPr>
        <w:t xml:space="preserve"> </w:t>
      </w:r>
      <w:r>
        <w:rPr>
          <w:color w:val="231F20"/>
          <w:w w:val="95"/>
        </w:rPr>
        <w:t>practices</w:t>
      </w:r>
      <w:r>
        <w:rPr>
          <w:color w:val="231F20"/>
          <w:spacing w:val="-7"/>
          <w:w w:val="95"/>
        </w:rPr>
        <w:t xml:space="preserve"> </w:t>
      </w:r>
      <w:r>
        <w:rPr>
          <w:color w:val="231F20"/>
          <w:w w:val="95"/>
        </w:rPr>
        <w:t>of</w:t>
      </w:r>
      <w:r>
        <w:rPr>
          <w:color w:val="231F20"/>
          <w:spacing w:val="-7"/>
          <w:w w:val="95"/>
        </w:rPr>
        <w:t xml:space="preserve"> </w:t>
      </w:r>
      <w:r>
        <w:rPr>
          <w:color w:val="231F20"/>
          <w:w w:val="95"/>
        </w:rPr>
        <w:t>sport</w:t>
      </w:r>
      <w:r>
        <w:rPr>
          <w:color w:val="231F20"/>
          <w:spacing w:val="-7"/>
          <w:w w:val="95"/>
        </w:rPr>
        <w:t xml:space="preserve"> </w:t>
      </w:r>
      <w:r>
        <w:rPr>
          <w:color w:val="231F20"/>
          <w:w w:val="95"/>
        </w:rPr>
        <w:t>and</w:t>
      </w:r>
      <w:r>
        <w:rPr>
          <w:color w:val="231F20"/>
          <w:spacing w:val="-7"/>
          <w:w w:val="95"/>
        </w:rPr>
        <w:t xml:space="preserve"> </w:t>
      </w:r>
      <w:r>
        <w:rPr>
          <w:color w:val="231F20"/>
          <w:w w:val="95"/>
        </w:rPr>
        <w:t>tourism</w:t>
      </w:r>
      <w:r>
        <w:rPr>
          <w:color w:val="231F20"/>
          <w:spacing w:val="-7"/>
          <w:w w:val="95"/>
        </w:rPr>
        <w:t xml:space="preserve"> </w:t>
      </w:r>
      <w:r>
        <w:rPr>
          <w:color w:val="231F20"/>
          <w:w w:val="95"/>
        </w:rPr>
        <w:t>today.</w:t>
      </w:r>
      <w:r>
        <w:rPr>
          <w:color w:val="231F20"/>
          <w:spacing w:val="-7"/>
          <w:w w:val="95"/>
        </w:rPr>
        <w:t xml:space="preserve"> </w:t>
      </w:r>
      <w:r>
        <w:rPr>
          <w:color w:val="231F20"/>
          <w:w w:val="95"/>
        </w:rPr>
        <w:t xml:space="preserve">It has been widely recognised that sport and tourism are socially constructed </w:t>
      </w:r>
      <w:r>
        <w:rPr>
          <w:color w:val="231F20"/>
        </w:rPr>
        <w:t xml:space="preserve">phenomena that should be founded on principles of opportunity and </w:t>
      </w:r>
      <w:r>
        <w:rPr>
          <w:color w:val="231F20"/>
          <w:w w:val="95"/>
        </w:rPr>
        <w:t>inclusion. The United Natio</w:t>
      </w:r>
      <w:r>
        <w:rPr>
          <w:color w:val="231F20"/>
          <w:w w:val="95"/>
        </w:rPr>
        <w:t>ns (2017) considers sport to be a fundamental human right with physical activity central to human health, while tourism</w:t>
      </w:r>
      <w:r>
        <w:rPr>
          <w:color w:val="231F20"/>
          <w:spacing w:val="80"/>
        </w:rPr>
        <w:t xml:space="preserve"> </w:t>
      </w:r>
      <w:r>
        <w:rPr>
          <w:color w:val="231F20"/>
        </w:rPr>
        <w:t>is increasingly viewed in relation to quality of life and subjective well- being</w:t>
      </w:r>
      <w:r>
        <w:rPr>
          <w:color w:val="231F20"/>
          <w:spacing w:val="28"/>
        </w:rPr>
        <w:t xml:space="preserve"> </w:t>
      </w:r>
      <w:r>
        <w:rPr>
          <w:color w:val="231F20"/>
        </w:rPr>
        <w:t>(McCabe,</w:t>
      </w:r>
      <w:r>
        <w:rPr>
          <w:color w:val="231F20"/>
          <w:spacing w:val="28"/>
        </w:rPr>
        <w:t xml:space="preserve"> </w:t>
      </w:r>
      <w:r>
        <w:rPr>
          <w:color w:val="231F20"/>
        </w:rPr>
        <w:t>2009;</w:t>
      </w:r>
      <w:r>
        <w:rPr>
          <w:color w:val="231F20"/>
          <w:spacing w:val="28"/>
        </w:rPr>
        <w:t xml:space="preserve"> </w:t>
      </w:r>
      <w:r>
        <w:rPr>
          <w:color w:val="231F20"/>
        </w:rPr>
        <w:t>McCabe</w:t>
      </w:r>
      <w:r>
        <w:rPr>
          <w:color w:val="231F20"/>
          <w:spacing w:val="28"/>
        </w:rPr>
        <w:t xml:space="preserve"> </w:t>
      </w:r>
      <w:r>
        <w:rPr>
          <w:color w:val="231F20"/>
        </w:rPr>
        <w:t>&amp;</w:t>
      </w:r>
      <w:r>
        <w:rPr>
          <w:color w:val="231F20"/>
          <w:spacing w:val="28"/>
        </w:rPr>
        <w:t xml:space="preserve"> </w:t>
      </w:r>
      <w:r>
        <w:rPr>
          <w:color w:val="231F20"/>
        </w:rPr>
        <w:t>Johnson,</w:t>
      </w:r>
      <w:r>
        <w:rPr>
          <w:color w:val="231F20"/>
          <w:spacing w:val="28"/>
        </w:rPr>
        <w:t xml:space="preserve"> </w:t>
      </w:r>
      <w:r>
        <w:rPr>
          <w:color w:val="231F20"/>
        </w:rPr>
        <w:t>2013;</w:t>
      </w:r>
      <w:r>
        <w:rPr>
          <w:color w:val="231F20"/>
          <w:spacing w:val="28"/>
        </w:rPr>
        <w:t xml:space="preserve"> </w:t>
      </w:r>
      <w:r>
        <w:rPr>
          <w:color w:val="231F20"/>
        </w:rPr>
        <w:t>McCabe</w:t>
      </w:r>
      <w:r>
        <w:rPr>
          <w:color w:val="231F20"/>
          <w:spacing w:val="28"/>
        </w:rPr>
        <w:t xml:space="preserve"> </w:t>
      </w:r>
      <w:r>
        <w:rPr>
          <w:i/>
          <w:color w:val="231F20"/>
        </w:rPr>
        <w:t>et</w:t>
      </w:r>
      <w:r>
        <w:rPr>
          <w:i/>
          <w:color w:val="231F20"/>
          <w:spacing w:val="28"/>
        </w:rPr>
        <w:t xml:space="preserve"> </w:t>
      </w:r>
      <w:r>
        <w:rPr>
          <w:i/>
          <w:color w:val="231F20"/>
        </w:rPr>
        <w:t>al</w:t>
      </w:r>
      <w:r>
        <w:rPr>
          <w:color w:val="231F20"/>
        </w:rPr>
        <w:t>.,</w:t>
      </w:r>
      <w:r>
        <w:rPr>
          <w:color w:val="231F20"/>
          <w:spacing w:val="26"/>
        </w:rPr>
        <w:t xml:space="preserve"> </w:t>
      </w:r>
      <w:r>
        <w:rPr>
          <w:color w:val="231F20"/>
        </w:rPr>
        <w:t xml:space="preserve">2010), as well as in relation to social and family capital (Minnaert </w:t>
      </w:r>
      <w:r>
        <w:rPr>
          <w:i/>
          <w:color w:val="231F20"/>
        </w:rPr>
        <w:t>et al</w:t>
      </w:r>
      <w:r>
        <w:rPr>
          <w:color w:val="231F20"/>
        </w:rPr>
        <w:t xml:space="preserve">., 2009). </w:t>
      </w:r>
      <w:r>
        <w:rPr>
          <w:color w:val="231F20"/>
          <w:w w:val="95"/>
        </w:rPr>
        <w:t xml:space="preserve">Yet, participation in many sports and recreational pursuits remains rigidly </w:t>
      </w:r>
      <w:r>
        <w:rPr>
          <w:color w:val="231F20"/>
        </w:rPr>
        <w:t xml:space="preserve">defined by social class, race and gender (Gibson, 2005). ‘Irrespective of </w:t>
      </w:r>
      <w:r>
        <w:rPr>
          <w:color w:val="231F20"/>
          <w:w w:val="95"/>
        </w:rPr>
        <w:t xml:space="preserve">culture or historical </w:t>
      </w:r>
      <w:r>
        <w:rPr>
          <w:color w:val="231F20"/>
          <w:w w:val="95"/>
        </w:rPr>
        <w:t xml:space="preserve">period, people use sport to distinguish themselves and </w:t>
      </w:r>
      <w:r>
        <w:rPr>
          <w:color w:val="231F20"/>
        </w:rPr>
        <w:t xml:space="preserve">to reflect their status and prestige’ (Booth &amp; Loy, 1999: 1). Participation </w:t>
      </w:r>
      <w:r>
        <w:rPr>
          <w:color w:val="231F20"/>
          <w:w w:val="95"/>
        </w:rPr>
        <w:t>in physical activities remains beset with concerns surrounding increasingly sedentary and unhealthy lifestyles and obesity in</w:t>
      </w:r>
      <w:r>
        <w:rPr>
          <w:color w:val="231F20"/>
          <w:w w:val="95"/>
        </w:rPr>
        <w:t xml:space="preserve"> some societies (Coakley, </w:t>
      </w:r>
      <w:r>
        <w:rPr>
          <w:color w:val="231F20"/>
        </w:rPr>
        <w:t>2007).</w:t>
      </w:r>
      <w:r>
        <w:rPr>
          <w:color w:val="231F20"/>
          <w:spacing w:val="-8"/>
        </w:rPr>
        <w:t xml:space="preserve"> </w:t>
      </w:r>
      <w:r>
        <w:rPr>
          <w:color w:val="231F20"/>
        </w:rPr>
        <w:t>Exclusion</w:t>
      </w:r>
      <w:r>
        <w:rPr>
          <w:color w:val="231F20"/>
          <w:spacing w:val="-8"/>
        </w:rPr>
        <w:t xml:space="preserve"> </w:t>
      </w:r>
      <w:r>
        <w:rPr>
          <w:color w:val="231F20"/>
        </w:rPr>
        <w:t>continues</w:t>
      </w:r>
      <w:r>
        <w:rPr>
          <w:color w:val="231F20"/>
          <w:spacing w:val="-8"/>
        </w:rPr>
        <w:t xml:space="preserve"> </w:t>
      </w:r>
      <w:r>
        <w:rPr>
          <w:color w:val="231F20"/>
        </w:rPr>
        <w:t>to</w:t>
      </w:r>
      <w:r>
        <w:rPr>
          <w:color w:val="231F20"/>
          <w:spacing w:val="-8"/>
        </w:rPr>
        <w:t xml:space="preserve"> </w:t>
      </w:r>
      <w:r>
        <w:rPr>
          <w:color w:val="231F20"/>
        </w:rPr>
        <w:t>be</w:t>
      </w:r>
      <w:r>
        <w:rPr>
          <w:color w:val="231F20"/>
          <w:spacing w:val="-8"/>
        </w:rPr>
        <w:t xml:space="preserve"> </w:t>
      </w:r>
      <w:r>
        <w:rPr>
          <w:color w:val="231F20"/>
        </w:rPr>
        <w:t>a</w:t>
      </w:r>
      <w:r>
        <w:rPr>
          <w:color w:val="231F20"/>
          <w:spacing w:val="-8"/>
        </w:rPr>
        <w:t xml:space="preserve"> </w:t>
      </w:r>
      <w:r>
        <w:rPr>
          <w:color w:val="231F20"/>
        </w:rPr>
        <w:t>feature</w:t>
      </w:r>
      <w:r>
        <w:rPr>
          <w:color w:val="231F20"/>
          <w:spacing w:val="-8"/>
        </w:rPr>
        <w:t xml:space="preserve"> </w:t>
      </w:r>
      <w:r>
        <w:rPr>
          <w:color w:val="231F20"/>
        </w:rPr>
        <w:t>of</w:t>
      </w:r>
      <w:r>
        <w:rPr>
          <w:color w:val="231F20"/>
          <w:spacing w:val="-8"/>
        </w:rPr>
        <w:t xml:space="preserve"> </w:t>
      </w:r>
      <w:r>
        <w:rPr>
          <w:color w:val="231F20"/>
        </w:rPr>
        <w:t>many</w:t>
      </w:r>
      <w:r>
        <w:rPr>
          <w:color w:val="231F20"/>
          <w:spacing w:val="-8"/>
        </w:rPr>
        <w:t xml:space="preserve"> </w:t>
      </w:r>
      <w:r>
        <w:rPr>
          <w:color w:val="231F20"/>
        </w:rPr>
        <w:t>contemporary</w:t>
      </w:r>
      <w:r>
        <w:rPr>
          <w:color w:val="231F20"/>
          <w:spacing w:val="-8"/>
        </w:rPr>
        <w:t xml:space="preserve"> </w:t>
      </w:r>
      <w:r>
        <w:rPr>
          <w:color w:val="231F20"/>
        </w:rPr>
        <w:t xml:space="preserve">sports. Simultaneously, many children who are too young to make their own decisions are vulnerable to exploitation by over-ambitious parents, </w:t>
      </w:r>
      <w:r>
        <w:rPr>
          <w:color w:val="231F20"/>
          <w:w w:val="95"/>
        </w:rPr>
        <w:t xml:space="preserve">results-driven coaching </w:t>
      </w:r>
      <w:r>
        <w:rPr>
          <w:color w:val="231F20"/>
          <w:w w:val="95"/>
        </w:rPr>
        <w:t xml:space="preserve">regimes and intensely competitive national sport </w:t>
      </w:r>
      <w:r>
        <w:rPr>
          <w:color w:val="231F20"/>
        </w:rPr>
        <w:t>development programmes.</w:t>
      </w:r>
    </w:p>
    <w:p w14:paraId="301050A2" w14:textId="77777777" w:rsidR="00AE0598" w:rsidRDefault="0069255A">
      <w:pPr>
        <w:pStyle w:val="Corpodetexto"/>
        <w:spacing w:before="27" w:line="232" w:lineRule="auto"/>
        <w:ind w:left="110" w:right="126" w:firstLine="320"/>
        <w:jc w:val="both"/>
      </w:pPr>
      <w:r>
        <w:rPr>
          <w:color w:val="231F20"/>
          <w:w w:val="95"/>
        </w:rPr>
        <w:t xml:space="preserve">Booth and Loy (1999) state that similar status groups generally share </w:t>
      </w:r>
      <w:r>
        <w:rPr>
          <w:color w:val="231F20"/>
        </w:rPr>
        <w:t xml:space="preserve">lifestyle and consumption patterns, and the same is true of tourism </w:t>
      </w:r>
      <w:r>
        <w:rPr>
          <w:color w:val="231F20"/>
          <w:w w:val="95"/>
        </w:rPr>
        <w:t>practices</w:t>
      </w:r>
      <w:r>
        <w:rPr>
          <w:color w:val="231F20"/>
          <w:spacing w:val="-2"/>
          <w:w w:val="95"/>
        </w:rPr>
        <w:t xml:space="preserve"> </w:t>
      </w:r>
      <w:r>
        <w:rPr>
          <w:color w:val="231F20"/>
          <w:w w:val="95"/>
        </w:rPr>
        <w:t>where,</w:t>
      </w:r>
      <w:r>
        <w:rPr>
          <w:color w:val="231F20"/>
          <w:spacing w:val="-2"/>
          <w:w w:val="95"/>
        </w:rPr>
        <w:t xml:space="preserve"> </w:t>
      </w:r>
      <w:r>
        <w:rPr>
          <w:color w:val="231F20"/>
          <w:w w:val="95"/>
        </w:rPr>
        <w:t>despite</w:t>
      </w:r>
      <w:r>
        <w:rPr>
          <w:color w:val="231F20"/>
          <w:spacing w:val="-2"/>
          <w:w w:val="95"/>
        </w:rPr>
        <w:t xml:space="preserve"> </w:t>
      </w:r>
      <w:r>
        <w:rPr>
          <w:color w:val="231F20"/>
          <w:w w:val="95"/>
        </w:rPr>
        <w:t>concerns</w:t>
      </w:r>
      <w:r>
        <w:rPr>
          <w:color w:val="231F20"/>
          <w:spacing w:val="-2"/>
          <w:w w:val="95"/>
        </w:rPr>
        <w:t xml:space="preserve"> </w:t>
      </w:r>
      <w:r>
        <w:rPr>
          <w:color w:val="231F20"/>
          <w:w w:val="95"/>
        </w:rPr>
        <w:t>about</w:t>
      </w:r>
      <w:r>
        <w:rPr>
          <w:color w:val="231F20"/>
          <w:spacing w:val="-2"/>
          <w:w w:val="95"/>
        </w:rPr>
        <w:t xml:space="preserve"> </w:t>
      </w:r>
      <w:r>
        <w:rPr>
          <w:color w:val="231F20"/>
          <w:w w:val="95"/>
        </w:rPr>
        <w:t>the</w:t>
      </w:r>
      <w:r>
        <w:rPr>
          <w:color w:val="231F20"/>
          <w:spacing w:val="-2"/>
          <w:w w:val="95"/>
        </w:rPr>
        <w:t xml:space="preserve"> </w:t>
      </w:r>
      <w:r>
        <w:rPr>
          <w:color w:val="231F20"/>
          <w:w w:val="95"/>
        </w:rPr>
        <w:t>e</w:t>
      </w:r>
      <w:r>
        <w:rPr>
          <w:color w:val="231F20"/>
          <w:w w:val="95"/>
        </w:rPr>
        <w:t>nergy</w:t>
      </w:r>
      <w:r>
        <w:rPr>
          <w:color w:val="231F20"/>
          <w:spacing w:val="-2"/>
          <w:w w:val="95"/>
        </w:rPr>
        <w:t xml:space="preserve"> </w:t>
      </w:r>
      <w:r>
        <w:rPr>
          <w:color w:val="231F20"/>
          <w:w w:val="95"/>
        </w:rPr>
        <w:t>demands</w:t>
      </w:r>
      <w:r>
        <w:rPr>
          <w:color w:val="231F20"/>
          <w:spacing w:val="-2"/>
          <w:w w:val="95"/>
        </w:rPr>
        <w:t xml:space="preserve"> </w:t>
      </w:r>
      <w:r>
        <w:rPr>
          <w:color w:val="231F20"/>
          <w:w w:val="95"/>
        </w:rPr>
        <w:t>and</w:t>
      </w:r>
      <w:r>
        <w:rPr>
          <w:color w:val="231F20"/>
          <w:spacing w:val="-2"/>
          <w:w w:val="95"/>
        </w:rPr>
        <w:t xml:space="preserve"> </w:t>
      </w:r>
      <w:r>
        <w:rPr>
          <w:color w:val="231F20"/>
          <w:w w:val="95"/>
        </w:rPr>
        <w:t xml:space="preserve">emissions </w:t>
      </w:r>
      <w:r>
        <w:rPr>
          <w:color w:val="231F20"/>
        </w:rPr>
        <w:t xml:space="preserve">of tourist transportation (Becken, 2007; Buckley </w:t>
      </w:r>
      <w:r>
        <w:rPr>
          <w:i/>
          <w:color w:val="231F20"/>
        </w:rPr>
        <w:t>et al</w:t>
      </w:r>
      <w:r>
        <w:rPr>
          <w:color w:val="231F20"/>
        </w:rPr>
        <w:t>.,</w:t>
      </w:r>
      <w:r>
        <w:rPr>
          <w:color w:val="231F20"/>
          <w:spacing w:val="-1"/>
        </w:rPr>
        <w:t xml:space="preserve"> </w:t>
      </w:r>
      <w:r>
        <w:rPr>
          <w:color w:val="231F20"/>
        </w:rPr>
        <w:t>2015), frequency of travel and distance continue to be used to distinguish between social strata</w:t>
      </w:r>
      <w:r>
        <w:rPr>
          <w:color w:val="231F20"/>
          <w:spacing w:val="-7"/>
        </w:rPr>
        <w:t xml:space="preserve"> </w:t>
      </w:r>
      <w:r>
        <w:rPr>
          <w:color w:val="231F20"/>
        </w:rPr>
        <w:t>and</w:t>
      </w:r>
      <w:r>
        <w:rPr>
          <w:color w:val="231F20"/>
          <w:spacing w:val="-7"/>
        </w:rPr>
        <w:t xml:space="preserve"> </w:t>
      </w:r>
      <w:r>
        <w:rPr>
          <w:color w:val="231F20"/>
        </w:rPr>
        <w:t>entrenched</w:t>
      </w:r>
      <w:r>
        <w:rPr>
          <w:color w:val="231F20"/>
          <w:spacing w:val="-7"/>
        </w:rPr>
        <w:t xml:space="preserve"> </w:t>
      </w:r>
      <w:r>
        <w:rPr>
          <w:color w:val="231F20"/>
        </w:rPr>
        <w:t>middle-class</w:t>
      </w:r>
      <w:r>
        <w:rPr>
          <w:color w:val="231F20"/>
          <w:spacing w:val="-7"/>
        </w:rPr>
        <w:t xml:space="preserve"> </w:t>
      </w:r>
      <w:r>
        <w:rPr>
          <w:color w:val="231F20"/>
        </w:rPr>
        <w:t>social</w:t>
      </w:r>
      <w:r>
        <w:rPr>
          <w:color w:val="231F20"/>
          <w:spacing w:val="-7"/>
        </w:rPr>
        <w:t xml:space="preserve"> </w:t>
      </w:r>
      <w:r>
        <w:rPr>
          <w:color w:val="231F20"/>
        </w:rPr>
        <w:t>relationships</w:t>
      </w:r>
      <w:r>
        <w:rPr>
          <w:color w:val="231F20"/>
          <w:spacing w:val="-7"/>
        </w:rPr>
        <w:t xml:space="preserve"> </w:t>
      </w:r>
      <w:r>
        <w:rPr>
          <w:color w:val="231F20"/>
        </w:rPr>
        <w:t>(Cohen,</w:t>
      </w:r>
      <w:r>
        <w:rPr>
          <w:color w:val="231F20"/>
          <w:spacing w:val="-7"/>
        </w:rPr>
        <w:t xml:space="preserve"> </w:t>
      </w:r>
      <w:r>
        <w:rPr>
          <w:color w:val="231F20"/>
        </w:rPr>
        <w:t>1984).</w:t>
      </w:r>
      <w:r>
        <w:rPr>
          <w:color w:val="231F20"/>
          <w:spacing w:val="-7"/>
        </w:rPr>
        <w:t xml:space="preserve"> </w:t>
      </w:r>
      <w:r>
        <w:rPr>
          <w:color w:val="231F20"/>
        </w:rPr>
        <w:t xml:space="preserve">It </w:t>
      </w:r>
      <w:r>
        <w:rPr>
          <w:color w:val="231F20"/>
          <w:w w:val="95"/>
        </w:rPr>
        <w:t xml:space="preserve">has been widely recognised that high personal mobility (Burns &amp; Novelli, </w:t>
      </w:r>
      <w:r>
        <w:rPr>
          <w:color w:val="231F20"/>
        </w:rPr>
        <w:t xml:space="preserve">2008; Hall, 2004) and increasing interest in both passive and active </w:t>
      </w:r>
      <w:r>
        <w:rPr>
          <w:color w:val="231F20"/>
          <w:w w:val="95"/>
        </w:rPr>
        <w:t>engagements in physical activities (Glyptis, 1991) are two defining features of late 20th-century and early 21st-c</w:t>
      </w:r>
      <w:r>
        <w:rPr>
          <w:color w:val="231F20"/>
          <w:w w:val="95"/>
        </w:rPr>
        <w:t xml:space="preserve">entury societies, yet in many societies </w:t>
      </w:r>
      <w:r>
        <w:rPr>
          <w:color w:val="231F20"/>
        </w:rPr>
        <w:t>personal mobility and freedoms to travel are constrained and exclusive (Hall,</w:t>
      </w:r>
      <w:r>
        <w:rPr>
          <w:color w:val="231F20"/>
          <w:spacing w:val="-8"/>
        </w:rPr>
        <w:t xml:space="preserve"> </w:t>
      </w:r>
      <w:r>
        <w:rPr>
          <w:color w:val="231F20"/>
        </w:rPr>
        <w:t>2004).</w:t>
      </w:r>
      <w:r>
        <w:rPr>
          <w:color w:val="231F20"/>
          <w:spacing w:val="-8"/>
        </w:rPr>
        <w:t xml:space="preserve"> </w:t>
      </w:r>
      <w:r>
        <w:rPr>
          <w:color w:val="231F20"/>
        </w:rPr>
        <w:t>This</w:t>
      </w:r>
      <w:r>
        <w:rPr>
          <w:color w:val="231F20"/>
          <w:spacing w:val="-8"/>
        </w:rPr>
        <w:t xml:space="preserve"> </w:t>
      </w:r>
      <w:r>
        <w:rPr>
          <w:color w:val="231F20"/>
        </w:rPr>
        <w:t>leads</w:t>
      </w:r>
      <w:r>
        <w:rPr>
          <w:color w:val="231F20"/>
          <w:spacing w:val="-8"/>
        </w:rPr>
        <w:t xml:space="preserve"> </w:t>
      </w:r>
      <w:r>
        <w:rPr>
          <w:color w:val="231F20"/>
        </w:rPr>
        <w:t>us</w:t>
      </w:r>
      <w:r>
        <w:rPr>
          <w:color w:val="231F20"/>
          <w:spacing w:val="-8"/>
        </w:rPr>
        <w:t xml:space="preserve"> </w:t>
      </w:r>
      <w:r>
        <w:rPr>
          <w:color w:val="231F20"/>
        </w:rPr>
        <w:t>to</w:t>
      </w:r>
      <w:r>
        <w:rPr>
          <w:color w:val="231F20"/>
          <w:spacing w:val="-8"/>
        </w:rPr>
        <w:t xml:space="preserve"> </w:t>
      </w:r>
      <w:r>
        <w:rPr>
          <w:color w:val="231F20"/>
        </w:rPr>
        <w:t>conclude</w:t>
      </w:r>
      <w:r>
        <w:rPr>
          <w:color w:val="231F20"/>
          <w:spacing w:val="-8"/>
        </w:rPr>
        <w:t xml:space="preserve"> </w:t>
      </w:r>
      <w:r>
        <w:rPr>
          <w:color w:val="231F20"/>
        </w:rPr>
        <w:t>that</w:t>
      </w:r>
      <w:r>
        <w:rPr>
          <w:color w:val="231F20"/>
          <w:spacing w:val="-8"/>
        </w:rPr>
        <w:t xml:space="preserve"> </w:t>
      </w:r>
      <w:r>
        <w:rPr>
          <w:color w:val="231F20"/>
        </w:rPr>
        <w:t>governments</w:t>
      </w:r>
      <w:r>
        <w:rPr>
          <w:color w:val="231F20"/>
          <w:spacing w:val="-8"/>
        </w:rPr>
        <w:t xml:space="preserve"> </w:t>
      </w:r>
      <w:r>
        <w:rPr>
          <w:color w:val="231F20"/>
        </w:rPr>
        <w:t>must,</w:t>
      </w:r>
      <w:r>
        <w:rPr>
          <w:color w:val="231F20"/>
          <w:spacing w:val="-8"/>
        </w:rPr>
        <w:t xml:space="preserve"> </w:t>
      </w:r>
      <w:r>
        <w:rPr>
          <w:color w:val="231F20"/>
        </w:rPr>
        <w:t>if</w:t>
      </w:r>
      <w:r>
        <w:rPr>
          <w:color w:val="231F20"/>
          <w:spacing w:val="-8"/>
        </w:rPr>
        <w:t xml:space="preserve"> </w:t>
      </w:r>
      <w:r>
        <w:rPr>
          <w:color w:val="231F20"/>
        </w:rPr>
        <w:t>they</w:t>
      </w:r>
      <w:r>
        <w:rPr>
          <w:color w:val="231F20"/>
          <w:spacing w:val="-8"/>
        </w:rPr>
        <w:t xml:space="preserve"> </w:t>
      </w:r>
      <w:r>
        <w:rPr>
          <w:color w:val="231F20"/>
        </w:rPr>
        <w:t>are not already doing so, develop national and regional policies (and data</w:t>
      </w:r>
      <w:r>
        <w:rPr>
          <w:color w:val="231F20"/>
        </w:rPr>
        <w:t>, measurement</w:t>
      </w:r>
      <w:r>
        <w:rPr>
          <w:color w:val="231F20"/>
          <w:spacing w:val="-2"/>
        </w:rPr>
        <w:t xml:space="preserve"> </w:t>
      </w:r>
      <w:r>
        <w:rPr>
          <w:color w:val="231F20"/>
        </w:rPr>
        <w:t>and</w:t>
      </w:r>
      <w:r>
        <w:rPr>
          <w:color w:val="231F20"/>
          <w:spacing w:val="-2"/>
        </w:rPr>
        <w:t xml:space="preserve"> </w:t>
      </w:r>
      <w:r>
        <w:rPr>
          <w:color w:val="231F20"/>
        </w:rPr>
        <w:t>reporting</w:t>
      </w:r>
      <w:r>
        <w:rPr>
          <w:color w:val="231F20"/>
          <w:spacing w:val="-2"/>
        </w:rPr>
        <w:t xml:space="preserve"> </w:t>
      </w:r>
      <w:r>
        <w:rPr>
          <w:color w:val="231F20"/>
        </w:rPr>
        <w:t>systems)</w:t>
      </w:r>
      <w:r>
        <w:rPr>
          <w:color w:val="231F20"/>
          <w:spacing w:val="-2"/>
        </w:rPr>
        <w:t xml:space="preserve"> </w:t>
      </w:r>
      <w:r>
        <w:rPr>
          <w:color w:val="231F20"/>
        </w:rPr>
        <w:t>that</w:t>
      </w:r>
      <w:r>
        <w:rPr>
          <w:color w:val="231F20"/>
          <w:spacing w:val="-2"/>
        </w:rPr>
        <w:t xml:space="preserve"> </w:t>
      </w:r>
      <w:r>
        <w:rPr>
          <w:color w:val="231F20"/>
        </w:rPr>
        <w:t>align</w:t>
      </w:r>
      <w:r>
        <w:rPr>
          <w:color w:val="231F20"/>
          <w:spacing w:val="-2"/>
        </w:rPr>
        <w:t xml:space="preserve"> </w:t>
      </w:r>
      <w:r>
        <w:rPr>
          <w:color w:val="231F20"/>
        </w:rPr>
        <w:t>with</w:t>
      </w:r>
      <w:r>
        <w:rPr>
          <w:color w:val="231F20"/>
          <w:spacing w:val="-2"/>
        </w:rPr>
        <w:t xml:space="preserve"> </w:t>
      </w:r>
      <w:r>
        <w:rPr>
          <w:color w:val="231F20"/>
        </w:rPr>
        <w:t>the</w:t>
      </w:r>
      <w:r>
        <w:rPr>
          <w:color w:val="231F20"/>
          <w:spacing w:val="-2"/>
        </w:rPr>
        <w:t xml:space="preserve"> </w:t>
      </w:r>
      <w:r>
        <w:rPr>
          <w:color w:val="231F20"/>
        </w:rPr>
        <w:t>United</w:t>
      </w:r>
      <w:r>
        <w:rPr>
          <w:color w:val="231F20"/>
          <w:spacing w:val="-2"/>
        </w:rPr>
        <w:t xml:space="preserve"> </w:t>
      </w:r>
      <w:r>
        <w:rPr>
          <w:color w:val="231F20"/>
        </w:rPr>
        <w:t>Nations (2015)</w:t>
      </w:r>
      <w:r>
        <w:rPr>
          <w:color w:val="231F20"/>
          <w:spacing w:val="-7"/>
        </w:rPr>
        <w:t xml:space="preserve"> </w:t>
      </w:r>
      <w:r>
        <w:rPr>
          <w:color w:val="231F20"/>
        </w:rPr>
        <w:t>Sustainable</w:t>
      </w:r>
      <w:r>
        <w:rPr>
          <w:color w:val="231F20"/>
          <w:spacing w:val="-7"/>
        </w:rPr>
        <w:t xml:space="preserve"> </w:t>
      </w:r>
      <w:r>
        <w:rPr>
          <w:color w:val="231F20"/>
        </w:rPr>
        <w:t>Development</w:t>
      </w:r>
      <w:r>
        <w:rPr>
          <w:color w:val="231F20"/>
          <w:spacing w:val="-7"/>
        </w:rPr>
        <w:t xml:space="preserve"> </w:t>
      </w:r>
      <w:r>
        <w:rPr>
          <w:color w:val="231F20"/>
        </w:rPr>
        <w:t>Goals</w:t>
      </w:r>
      <w:r>
        <w:rPr>
          <w:color w:val="231F20"/>
          <w:spacing w:val="-7"/>
        </w:rPr>
        <w:t xml:space="preserve"> </w:t>
      </w:r>
      <w:r>
        <w:rPr>
          <w:color w:val="231F20"/>
        </w:rPr>
        <w:t>(SDGs),</w:t>
      </w:r>
      <w:r>
        <w:rPr>
          <w:color w:val="231F20"/>
          <w:spacing w:val="-7"/>
        </w:rPr>
        <w:t xml:space="preserve"> </w:t>
      </w:r>
      <w:r>
        <w:rPr>
          <w:color w:val="231F20"/>
        </w:rPr>
        <w:t>which</w:t>
      </w:r>
      <w:r>
        <w:rPr>
          <w:color w:val="231F20"/>
          <w:spacing w:val="-7"/>
        </w:rPr>
        <w:t xml:space="preserve"> </w:t>
      </w:r>
      <w:r>
        <w:rPr>
          <w:color w:val="231F20"/>
        </w:rPr>
        <w:t>embody</w:t>
      </w:r>
      <w:r>
        <w:rPr>
          <w:color w:val="231F20"/>
          <w:spacing w:val="-7"/>
        </w:rPr>
        <w:t xml:space="preserve"> </w:t>
      </w:r>
      <w:r>
        <w:rPr>
          <w:color w:val="231F20"/>
        </w:rPr>
        <w:t>a</w:t>
      </w:r>
      <w:r>
        <w:rPr>
          <w:color w:val="231F20"/>
          <w:spacing w:val="-7"/>
        </w:rPr>
        <w:t xml:space="preserve"> </w:t>
      </w:r>
      <w:r>
        <w:rPr>
          <w:color w:val="231F20"/>
        </w:rPr>
        <w:t>range</w:t>
      </w:r>
      <w:r>
        <w:rPr>
          <w:color w:val="231F20"/>
          <w:spacing w:val="-7"/>
        </w:rPr>
        <w:t xml:space="preserve"> </w:t>
      </w:r>
      <w:r>
        <w:rPr>
          <w:color w:val="231F20"/>
        </w:rPr>
        <w:t>of critical</w:t>
      </w:r>
      <w:r>
        <w:rPr>
          <w:color w:val="231F20"/>
          <w:spacing w:val="-11"/>
        </w:rPr>
        <w:t xml:space="preserve"> </w:t>
      </w:r>
      <w:r>
        <w:rPr>
          <w:color w:val="231F20"/>
        </w:rPr>
        <w:t>contemporary</w:t>
      </w:r>
      <w:r>
        <w:rPr>
          <w:color w:val="231F20"/>
          <w:spacing w:val="-11"/>
        </w:rPr>
        <w:t xml:space="preserve"> </w:t>
      </w:r>
      <w:r>
        <w:rPr>
          <w:color w:val="231F20"/>
        </w:rPr>
        <w:t>issues</w:t>
      </w:r>
      <w:r>
        <w:rPr>
          <w:color w:val="231F20"/>
          <w:spacing w:val="-11"/>
        </w:rPr>
        <w:t xml:space="preserve"> </w:t>
      </w:r>
      <w:r>
        <w:rPr>
          <w:color w:val="231F20"/>
        </w:rPr>
        <w:t>relating</w:t>
      </w:r>
      <w:r>
        <w:rPr>
          <w:color w:val="231F20"/>
          <w:spacing w:val="-11"/>
        </w:rPr>
        <w:t xml:space="preserve"> </w:t>
      </w:r>
      <w:r>
        <w:rPr>
          <w:color w:val="231F20"/>
        </w:rPr>
        <w:t>to</w:t>
      </w:r>
      <w:r>
        <w:rPr>
          <w:color w:val="231F20"/>
          <w:spacing w:val="-11"/>
        </w:rPr>
        <w:t xml:space="preserve"> </w:t>
      </w:r>
      <w:r>
        <w:rPr>
          <w:color w:val="231F20"/>
        </w:rPr>
        <w:t>the</w:t>
      </w:r>
      <w:r>
        <w:rPr>
          <w:color w:val="231F20"/>
          <w:spacing w:val="-11"/>
        </w:rPr>
        <w:t xml:space="preserve"> </w:t>
      </w:r>
      <w:r>
        <w:rPr>
          <w:color w:val="231F20"/>
        </w:rPr>
        <w:t>transformation</w:t>
      </w:r>
      <w:r>
        <w:rPr>
          <w:color w:val="231F20"/>
          <w:spacing w:val="-11"/>
        </w:rPr>
        <w:t xml:space="preserve"> </w:t>
      </w:r>
      <w:r>
        <w:rPr>
          <w:color w:val="231F20"/>
        </w:rPr>
        <w:t>of</w:t>
      </w:r>
      <w:r>
        <w:rPr>
          <w:color w:val="231F20"/>
          <w:spacing w:val="-11"/>
        </w:rPr>
        <w:t xml:space="preserve"> </w:t>
      </w:r>
      <w:r>
        <w:rPr>
          <w:color w:val="231F20"/>
        </w:rPr>
        <w:t>societies</w:t>
      </w:r>
      <w:r>
        <w:rPr>
          <w:color w:val="231F20"/>
          <w:spacing w:val="-11"/>
        </w:rPr>
        <w:t xml:space="preserve"> </w:t>
      </w:r>
      <w:r>
        <w:rPr>
          <w:color w:val="231F20"/>
        </w:rPr>
        <w:t xml:space="preserve">in the interests of sustainability. It is clear that social inclusion remains an </w:t>
      </w:r>
      <w:r>
        <w:rPr>
          <w:color w:val="231F20"/>
          <w:w w:val="95"/>
        </w:rPr>
        <w:t xml:space="preserve">issue in both sport and tourism; addressing social inclusion relates directly </w:t>
      </w:r>
      <w:r>
        <w:rPr>
          <w:color w:val="231F20"/>
        </w:rPr>
        <w:t xml:space="preserve">to SDGs 3 (good health and well-being), 5 (gender equity), 10 (reduced </w:t>
      </w:r>
      <w:r>
        <w:rPr>
          <w:color w:val="231F20"/>
          <w:w w:val="95"/>
        </w:rPr>
        <w:t>inequalities),</w:t>
      </w:r>
      <w:r>
        <w:rPr>
          <w:color w:val="231F20"/>
          <w:spacing w:val="23"/>
        </w:rPr>
        <w:t xml:space="preserve"> </w:t>
      </w:r>
      <w:r>
        <w:rPr>
          <w:color w:val="231F20"/>
          <w:w w:val="95"/>
        </w:rPr>
        <w:t>12</w:t>
      </w:r>
      <w:r>
        <w:rPr>
          <w:color w:val="231F20"/>
          <w:spacing w:val="23"/>
        </w:rPr>
        <w:t xml:space="preserve"> </w:t>
      </w:r>
      <w:r>
        <w:rPr>
          <w:color w:val="231F20"/>
          <w:w w:val="95"/>
        </w:rPr>
        <w:t>(respons</w:t>
      </w:r>
      <w:r>
        <w:rPr>
          <w:color w:val="231F20"/>
          <w:w w:val="95"/>
        </w:rPr>
        <w:t>ible</w:t>
      </w:r>
      <w:r>
        <w:rPr>
          <w:color w:val="231F20"/>
          <w:spacing w:val="23"/>
        </w:rPr>
        <w:t xml:space="preserve"> </w:t>
      </w:r>
      <w:r>
        <w:rPr>
          <w:color w:val="231F20"/>
          <w:w w:val="95"/>
        </w:rPr>
        <w:t>consumption</w:t>
      </w:r>
      <w:r>
        <w:rPr>
          <w:color w:val="231F20"/>
          <w:spacing w:val="23"/>
        </w:rPr>
        <w:t xml:space="preserve"> </w:t>
      </w:r>
      <w:r>
        <w:rPr>
          <w:color w:val="231F20"/>
          <w:w w:val="95"/>
        </w:rPr>
        <w:t>and</w:t>
      </w:r>
      <w:r>
        <w:rPr>
          <w:color w:val="231F20"/>
          <w:spacing w:val="23"/>
        </w:rPr>
        <w:t xml:space="preserve"> </w:t>
      </w:r>
      <w:r>
        <w:rPr>
          <w:color w:val="231F20"/>
          <w:w w:val="95"/>
        </w:rPr>
        <w:t>production),</w:t>
      </w:r>
      <w:r>
        <w:rPr>
          <w:color w:val="231F20"/>
          <w:spacing w:val="23"/>
        </w:rPr>
        <w:t xml:space="preserve"> </w:t>
      </w:r>
      <w:r>
        <w:rPr>
          <w:color w:val="231F20"/>
          <w:w w:val="95"/>
        </w:rPr>
        <w:t>16</w:t>
      </w:r>
      <w:r>
        <w:rPr>
          <w:color w:val="231F20"/>
          <w:spacing w:val="23"/>
        </w:rPr>
        <w:t xml:space="preserve"> </w:t>
      </w:r>
      <w:r>
        <w:rPr>
          <w:color w:val="231F20"/>
          <w:w w:val="95"/>
        </w:rPr>
        <w:t>(promote</w:t>
      </w:r>
    </w:p>
    <w:p w14:paraId="7CF22958" w14:textId="77777777" w:rsidR="00AE0598" w:rsidRDefault="00AE0598">
      <w:pPr>
        <w:spacing w:line="232" w:lineRule="auto"/>
        <w:jc w:val="both"/>
        <w:sectPr w:rsidR="00AE0598">
          <w:pgSz w:w="8850" w:h="13270"/>
          <w:pgMar w:top="720" w:right="1060" w:bottom="280" w:left="1080" w:header="720" w:footer="720" w:gutter="0"/>
          <w:cols w:space="720"/>
        </w:sectPr>
      </w:pPr>
    </w:p>
    <w:p w14:paraId="712914A5" w14:textId="77777777" w:rsidR="00AE0598" w:rsidRDefault="0069255A">
      <w:pPr>
        <w:spacing w:before="87"/>
        <w:ind w:left="3642"/>
        <w:rPr>
          <w:rFonts w:ascii="Trebuchet MS"/>
          <w:sz w:val="14"/>
        </w:rPr>
      </w:pPr>
      <w:r>
        <w:rPr>
          <w:rFonts w:ascii="Trebuchet MS"/>
          <w:color w:val="231F20"/>
          <w:w w:val="105"/>
          <w:sz w:val="14"/>
        </w:rPr>
        <w:lastRenderedPageBreak/>
        <w:t>Shifting</w:t>
      </w:r>
      <w:r>
        <w:rPr>
          <w:rFonts w:ascii="Trebuchet MS"/>
          <w:color w:val="231F20"/>
          <w:spacing w:val="-3"/>
          <w:w w:val="105"/>
          <w:sz w:val="14"/>
        </w:rPr>
        <w:t xml:space="preserve"> </w:t>
      </w:r>
      <w:r>
        <w:rPr>
          <w:rFonts w:ascii="Trebuchet MS"/>
          <w:color w:val="231F20"/>
          <w:w w:val="105"/>
          <w:sz w:val="14"/>
        </w:rPr>
        <w:t>Goal</w:t>
      </w:r>
      <w:r>
        <w:rPr>
          <w:rFonts w:ascii="Trebuchet MS"/>
          <w:color w:val="231F20"/>
          <w:spacing w:val="-3"/>
          <w:w w:val="105"/>
          <w:sz w:val="14"/>
        </w:rPr>
        <w:t xml:space="preserve"> </w:t>
      </w:r>
      <w:r>
        <w:rPr>
          <w:rFonts w:ascii="Trebuchet MS"/>
          <w:color w:val="231F20"/>
          <w:w w:val="105"/>
          <w:sz w:val="14"/>
        </w:rPr>
        <w:t>Posts</w:t>
      </w:r>
      <w:r>
        <w:rPr>
          <w:rFonts w:ascii="Trebuchet MS"/>
          <w:color w:val="231F20"/>
          <w:spacing w:val="-3"/>
          <w:w w:val="105"/>
          <w:sz w:val="14"/>
        </w:rPr>
        <w:t xml:space="preserve"> </w:t>
      </w:r>
      <w:r>
        <w:rPr>
          <w:rFonts w:ascii="Trebuchet MS"/>
          <w:color w:val="231F20"/>
          <w:w w:val="105"/>
          <w:sz w:val="14"/>
        </w:rPr>
        <w:t>and</w:t>
      </w:r>
      <w:r>
        <w:rPr>
          <w:rFonts w:ascii="Trebuchet MS"/>
          <w:color w:val="231F20"/>
          <w:spacing w:val="-3"/>
          <w:w w:val="105"/>
          <w:sz w:val="14"/>
        </w:rPr>
        <w:t xml:space="preserve"> </w:t>
      </w:r>
      <w:r>
        <w:rPr>
          <w:rFonts w:ascii="Trebuchet MS"/>
          <w:color w:val="231F20"/>
          <w:w w:val="105"/>
          <w:sz w:val="14"/>
        </w:rPr>
        <w:t>Moving</w:t>
      </w:r>
      <w:r>
        <w:rPr>
          <w:rFonts w:ascii="Trebuchet MS"/>
          <w:color w:val="231F20"/>
          <w:spacing w:val="-2"/>
          <w:w w:val="105"/>
          <w:sz w:val="14"/>
        </w:rPr>
        <w:t xml:space="preserve"> </w:t>
      </w:r>
      <w:r>
        <w:rPr>
          <w:rFonts w:ascii="Trebuchet MS"/>
          <w:color w:val="231F20"/>
          <w:w w:val="105"/>
          <w:sz w:val="14"/>
        </w:rPr>
        <w:t>Targets</w:t>
      </w:r>
      <w:r>
        <w:rPr>
          <w:rFonts w:ascii="Trebuchet MS"/>
          <w:color w:val="231F20"/>
          <w:spacing w:val="31"/>
          <w:w w:val="105"/>
          <w:sz w:val="14"/>
        </w:rPr>
        <w:t xml:space="preserve">  </w:t>
      </w:r>
      <w:r>
        <w:rPr>
          <w:rFonts w:ascii="Trebuchet MS"/>
          <w:color w:val="231F20"/>
          <w:spacing w:val="-5"/>
          <w:w w:val="105"/>
          <w:sz w:val="14"/>
        </w:rPr>
        <w:t>237</w:t>
      </w:r>
    </w:p>
    <w:p w14:paraId="5009EB90" w14:textId="77777777" w:rsidR="00AE0598" w:rsidRDefault="00AE0598">
      <w:pPr>
        <w:pStyle w:val="Corpodetexto"/>
        <w:rPr>
          <w:rFonts w:ascii="Trebuchet MS"/>
          <w:sz w:val="16"/>
        </w:rPr>
      </w:pPr>
    </w:p>
    <w:p w14:paraId="279EC343" w14:textId="77777777" w:rsidR="00AE0598" w:rsidRDefault="0069255A">
      <w:pPr>
        <w:pStyle w:val="Corpodetexto"/>
        <w:spacing w:before="118" w:line="232" w:lineRule="auto"/>
        <w:ind w:left="110" w:right="127"/>
        <w:jc w:val="both"/>
      </w:pPr>
      <w:r>
        <w:rPr>
          <w:color w:val="231F20"/>
          <w:w w:val="95"/>
        </w:rPr>
        <w:t xml:space="preserve">just, peaceful and inclusive societies) and 17 (partnerships for sustainable development). Equally, it is important to be acutely aware that our societies </w:t>
      </w:r>
      <w:r>
        <w:rPr>
          <w:color w:val="231F20"/>
        </w:rPr>
        <w:t>face immense challenges relating to sustainable development, including rising inequalities, global he</w:t>
      </w:r>
      <w:r>
        <w:rPr>
          <w:color w:val="231F20"/>
        </w:rPr>
        <w:t xml:space="preserve">alth threats, environmental degradation, natural resource depletion and climate change. The social and political </w:t>
      </w:r>
      <w:r>
        <w:rPr>
          <w:color w:val="231F20"/>
          <w:w w:val="95"/>
        </w:rPr>
        <w:t xml:space="preserve">forces that shape our sport and tourism practices have critical roles to play </w:t>
      </w:r>
      <w:r>
        <w:rPr>
          <w:color w:val="231F20"/>
        </w:rPr>
        <w:t>in transforming our societies to meet these challenges.</w:t>
      </w:r>
    </w:p>
    <w:p w14:paraId="10B5B3EA" w14:textId="77777777" w:rsidR="00AE0598" w:rsidRDefault="00AE0598">
      <w:pPr>
        <w:spacing w:line="232" w:lineRule="auto"/>
        <w:jc w:val="both"/>
        <w:sectPr w:rsidR="00AE0598">
          <w:pgSz w:w="8850" w:h="13270"/>
          <w:pgMar w:top="720" w:right="1060" w:bottom="280" w:left="1080" w:header="720" w:footer="720" w:gutter="0"/>
          <w:cols w:space="720"/>
        </w:sectPr>
      </w:pPr>
    </w:p>
    <w:p w14:paraId="25C3D1EE" w14:textId="77777777" w:rsidR="00AE0598" w:rsidRDefault="0069255A">
      <w:pPr>
        <w:pStyle w:val="Ttulo1"/>
      </w:pPr>
      <w:bookmarkStart w:id="22" w:name="_TOC_250001"/>
      <w:bookmarkEnd w:id="22"/>
      <w:r>
        <w:rPr>
          <w:color w:val="231F20"/>
          <w:spacing w:val="-2"/>
        </w:rPr>
        <w:lastRenderedPageBreak/>
        <w:t>References</w:t>
      </w:r>
    </w:p>
    <w:p w14:paraId="64595A98" w14:textId="77777777" w:rsidR="00AE0598" w:rsidRDefault="00AE0598">
      <w:pPr>
        <w:pStyle w:val="Corpodetexto"/>
        <w:rPr>
          <w:rFonts w:ascii="Trebuchet MS"/>
          <w:sz w:val="54"/>
        </w:rPr>
      </w:pPr>
    </w:p>
    <w:p w14:paraId="52F56FD4" w14:textId="77777777" w:rsidR="00AE0598" w:rsidRDefault="00AE0598">
      <w:pPr>
        <w:pStyle w:val="Corpodetexto"/>
        <w:rPr>
          <w:rFonts w:ascii="Trebuchet MS"/>
          <w:sz w:val="54"/>
        </w:rPr>
      </w:pPr>
    </w:p>
    <w:p w14:paraId="2CD00676" w14:textId="77777777" w:rsidR="00AE0598" w:rsidRDefault="00AE0598">
      <w:pPr>
        <w:pStyle w:val="Corpodetexto"/>
        <w:spacing w:before="1"/>
        <w:rPr>
          <w:rFonts w:ascii="Trebuchet MS"/>
          <w:sz w:val="45"/>
        </w:rPr>
      </w:pPr>
    </w:p>
    <w:p w14:paraId="4394ACAA" w14:textId="77777777" w:rsidR="00AE0598" w:rsidRDefault="0069255A">
      <w:pPr>
        <w:spacing w:before="1"/>
        <w:ind w:left="430" w:right="128" w:hanging="320"/>
        <w:jc w:val="both"/>
        <w:rPr>
          <w:sz w:val="17"/>
        </w:rPr>
      </w:pPr>
      <w:r>
        <w:rPr>
          <w:color w:val="231F20"/>
          <w:sz w:val="17"/>
        </w:rPr>
        <w:t xml:space="preserve">Abad, </w:t>
      </w:r>
      <w:r>
        <w:rPr>
          <w:color w:val="231F20"/>
          <w:w w:val="110"/>
          <w:sz w:val="17"/>
        </w:rPr>
        <w:t xml:space="preserve">J.M. </w:t>
      </w:r>
      <w:r>
        <w:rPr>
          <w:color w:val="231F20"/>
          <w:sz w:val="17"/>
        </w:rPr>
        <w:t xml:space="preserve">(2001) The growth of the Olympic City of Barcelona. </w:t>
      </w:r>
      <w:r>
        <w:rPr>
          <w:i/>
          <w:color w:val="231F20"/>
          <w:sz w:val="17"/>
        </w:rPr>
        <w:t xml:space="preserve">Olympic Review </w:t>
      </w:r>
      <w:r>
        <w:rPr>
          <w:color w:val="231F20"/>
          <w:sz w:val="17"/>
        </w:rPr>
        <w:t>27 (38),</w:t>
      </w:r>
      <w:r>
        <w:rPr>
          <w:color w:val="231F20"/>
          <w:spacing w:val="40"/>
          <w:sz w:val="17"/>
        </w:rPr>
        <w:t xml:space="preserve"> </w:t>
      </w:r>
      <w:r>
        <w:rPr>
          <w:color w:val="231F20"/>
          <w:spacing w:val="-2"/>
          <w:sz w:val="17"/>
        </w:rPr>
        <w:t>16–19.</w:t>
      </w:r>
    </w:p>
    <w:p w14:paraId="39B0E0C2" w14:textId="77777777" w:rsidR="00AE0598" w:rsidRDefault="0069255A">
      <w:pPr>
        <w:spacing w:before="1"/>
        <w:ind w:left="430" w:right="127" w:hanging="320"/>
        <w:jc w:val="both"/>
        <w:rPr>
          <w:sz w:val="17"/>
        </w:rPr>
      </w:pPr>
      <w:r>
        <w:rPr>
          <w:color w:val="231F20"/>
          <w:sz w:val="17"/>
        </w:rPr>
        <w:t>Abegg, B. and Frösch, R. (1994) Climate change and winter tourism. Impact on transport</w:t>
      </w:r>
      <w:r>
        <w:rPr>
          <w:color w:val="231F20"/>
          <w:spacing w:val="40"/>
          <w:sz w:val="17"/>
        </w:rPr>
        <w:t xml:space="preserve"> </w:t>
      </w:r>
      <w:r>
        <w:rPr>
          <w:color w:val="231F20"/>
          <w:sz w:val="17"/>
        </w:rPr>
        <w:t xml:space="preserve">companies in the Swiss canton of Graubünden. In M. Beniston (ed.) </w:t>
      </w:r>
      <w:r>
        <w:rPr>
          <w:i/>
          <w:color w:val="231F20"/>
          <w:sz w:val="17"/>
        </w:rPr>
        <w:t>Mountain</w:t>
      </w:r>
      <w:r>
        <w:rPr>
          <w:i/>
          <w:color w:val="231F20"/>
          <w:spacing w:val="40"/>
          <w:sz w:val="17"/>
        </w:rPr>
        <w:t xml:space="preserve"> </w:t>
      </w:r>
      <w:r>
        <w:rPr>
          <w:i/>
          <w:color w:val="231F20"/>
          <w:sz w:val="17"/>
        </w:rPr>
        <w:t xml:space="preserve">Environments in Changing Climates </w:t>
      </w:r>
      <w:r>
        <w:rPr>
          <w:color w:val="231F20"/>
          <w:sz w:val="17"/>
        </w:rPr>
        <w:t xml:space="preserve">(pp. 328–340). </w:t>
      </w:r>
      <w:r>
        <w:rPr>
          <w:color w:val="231F20"/>
          <w:w w:val="113"/>
          <w:sz w:val="17"/>
        </w:rPr>
        <w:t>L</w:t>
      </w:r>
      <w:r>
        <w:rPr>
          <w:color w:val="231F20"/>
          <w:w w:val="105"/>
          <w:sz w:val="17"/>
        </w:rPr>
        <w:t>o</w:t>
      </w:r>
      <w:r>
        <w:rPr>
          <w:color w:val="231F20"/>
          <w:sz w:val="17"/>
        </w:rPr>
        <w:t>nd</w:t>
      </w:r>
      <w:r>
        <w:rPr>
          <w:color w:val="231F20"/>
          <w:w w:val="102"/>
          <w:sz w:val="17"/>
        </w:rPr>
        <w:t>on</w:t>
      </w:r>
      <w:r>
        <w:rPr>
          <w:color w:val="231F20"/>
          <w:w w:val="62"/>
          <w:sz w:val="17"/>
        </w:rPr>
        <w:t>/</w:t>
      </w:r>
      <w:r>
        <w:rPr>
          <w:color w:val="231F20"/>
          <w:w w:val="122"/>
          <w:sz w:val="17"/>
        </w:rPr>
        <w:t>N</w:t>
      </w:r>
      <w:r>
        <w:rPr>
          <w:color w:val="231F20"/>
          <w:w w:val="92"/>
          <w:sz w:val="17"/>
        </w:rPr>
        <w:t>e</w:t>
      </w:r>
      <w:r>
        <w:rPr>
          <w:color w:val="231F20"/>
          <w:w w:val="101"/>
          <w:sz w:val="17"/>
        </w:rPr>
        <w:t>w</w:t>
      </w:r>
      <w:r>
        <w:rPr>
          <w:color w:val="231F20"/>
          <w:w w:val="99"/>
          <w:sz w:val="17"/>
        </w:rPr>
        <w:t xml:space="preserve"> </w:t>
      </w:r>
      <w:r>
        <w:rPr>
          <w:color w:val="231F20"/>
          <w:sz w:val="17"/>
        </w:rPr>
        <w:t>York: Routledge.</w:t>
      </w:r>
    </w:p>
    <w:p w14:paraId="51AB34A3" w14:textId="77777777" w:rsidR="00AE0598" w:rsidRDefault="0069255A">
      <w:pPr>
        <w:spacing w:before="2"/>
        <w:ind w:left="430" w:right="128" w:hanging="320"/>
        <w:jc w:val="both"/>
        <w:rPr>
          <w:sz w:val="17"/>
        </w:rPr>
      </w:pPr>
      <w:r>
        <w:rPr>
          <w:color w:val="231F20"/>
          <w:sz w:val="17"/>
        </w:rPr>
        <w:t xml:space="preserve">Abramson, A. and </w:t>
      </w:r>
      <w:r>
        <w:rPr>
          <w:color w:val="231F20"/>
          <w:sz w:val="17"/>
        </w:rPr>
        <w:t>Fletcher, R. (2007) Recreating the vertical: Rock-climbing as epic and</w:t>
      </w:r>
      <w:r>
        <w:rPr>
          <w:color w:val="231F20"/>
          <w:spacing w:val="40"/>
          <w:sz w:val="17"/>
        </w:rPr>
        <w:t xml:space="preserve"> </w:t>
      </w:r>
      <w:r>
        <w:rPr>
          <w:color w:val="231F20"/>
          <w:sz w:val="17"/>
        </w:rPr>
        <w:t xml:space="preserve">deep eco-play. </w:t>
      </w:r>
      <w:r>
        <w:rPr>
          <w:i/>
          <w:color w:val="231F20"/>
          <w:sz w:val="17"/>
        </w:rPr>
        <w:t xml:space="preserve">Anthropology Today </w:t>
      </w:r>
      <w:r>
        <w:rPr>
          <w:color w:val="231F20"/>
          <w:sz w:val="17"/>
        </w:rPr>
        <w:t>23 (6), 3–7.</w:t>
      </w:r>
    </w:p>
    <w:p w14:paraId="300F39F7" w14:textId="77777777" w:rsidR="00AE0598" w:rsidRDefault="0069255A">
      <w:pPr>
        <w:spacing w:before="1"/>
        <w:ind w:left="430" w:right="128" w:hanging="320"/>
        <w:jc w:val="both"/>
        <w:rPr>
          <w:sz w:val="17"/>
        </w:rPr>
      </w:pPr>
      <w:r>
        <w:rPr>
          <w:color w:val="231F20"/>
          <w:sz w:val="17"/>
        </w:rPr>
        <w:t>Ajzen, I. and Driver, B.L. (1992) Application of the theory of planned behavior to leisure</w:t>
      </w:r>
      <w:r>
        <w:rPr>
          <w:color w:val="231F20"/>
          <w:spacing w:val="40"/>
          <w:sz w:val="17"/>
        </w:rPr>
        <w:t xml:space="preserve"> </w:t>
      </w:r>
      <w:r>
        <w:rPr>
          <w:color w:val="231F20"/>
          <w:sz w:val="17"/>
        </w:rPr>
        <w:t xml:space="preserve">choice. </w:t>
      </w:r>
      <w:r>
        <w:rPr>
          <w:i/>
          <w:color w:val="231F20"/>
          <w:sz w:val="17"/>
        </w:rPr>
        <w:t xml:space="preserve">Journal of Leisure Research </w:t>
      </w:r>
      <w:r>
        <w:rPr>
          <w:color w:val="231F20"/>
          <w:sz w:val="17"/>
        </w:rPr>
        <w:t>24 (3), 207</w:t>
      </w:r>
      <w:r>
        <w:rPr>
          <w:color w:val="231F20"/>
          <w:sz w:val="17"/>
        </w:rPr>
        <w:t>–225.</w:t>
      </w:r>
    </w:p>
    <w:p w14:paraId="532F9005" w14:textId="77777777" w:rsidR="00AE0598" w:rsidRDefault="0069255A">
      <w:pPr>
        <w:spacing w:before="2"/>
        <w:ind w:left="110"/>
        <w:jc w:val="both"/>
        <w:rPr>
          <w:sz w:val="17"/>
        </w:rPr>
      </w:pPr>
      <w:r>
        <w:rPr>
          <w:color w:val="231F20"/>
          <w:sz w:val="17"/>
        </w:rPr>
        <w:t>Alexander,</w:t>
      </w:r>
      <w:r>
        <w:rPr>
          <w:color w:val="231F20"/>
          <w:spacing w:val="10"/>
          <w:sz w:val="17"/>
        </w:rPr>
        <w:t xml:space="preserve"> </w:t>
      </w:r>
      <w:r>
        <w:rPr>
          <w:color w:val="231F20"/>
          <w:sz w:val="17"/>
        </w:rPr>
        <w:t>M.</w:t>
      </w:r>
      <w:r>
        <w:rPr>
          <w:color w:val="231F20"/>
          <w:spacing w:val="11"/>
          <w:sz w:val="17"/>
        </w:rPr>
        <w:t xml:space="preserve"> </w:t>
      </w:r>
      <w:r>
        <w:rPr>
          <w:color w:val="231F20"/>
          <w:sz w:val="17"/>
        </w:rPr>
        <w:t>(2001,</w:t>
      </w:r>
      <w:r>
        <w:rPr>
          <w:color w:val="231F20"/>
          <w:spacing w:val="10"/>
          <w:sz w:val="17"/>
        </w:rPr>
        <w:t xml:space="preserve"> </w:t>
      </w:r>
      <w:r>
        <w:rPr>
          <w:color w:val="231F20"/>
          <w:sz w:val="17"/>
        </w:rPr>
        <w:t>15</w:t>
      </w:r>
      <w:r>
        <w:rPr>
          <w:color w:val="231F20"/>
          <w:spacing w:val="11"/>
          <w:sz w:val="17"/>
        </w:rPr>
        <w:t xml:space="preserve"> </w:t>
      </w:r>
      <w:r>
        <w:rPr>
          <w:color w:val="231F20"/>
          <w:sz w:val="17"/>
        </w:rPr>
        <w:t>April)</w:t>
      </w:r>
      <w:r>
        <w:rPr>
          <w:color w:val="231F20"/>
          <w:spacing w:val="10"/>
          <w:sz w:val="17"/>
        </w:rPr>
        <w:t xml:space="preserve"> </w:t>
      </w:r>
      <w:r>
        <w:rPr>
          <w:color w:val="231F20"/>
          <w:sz w:val="17"/>
        </w:rPr>
        <w:t>Sport</w:t>
      </w:r>
      <w:r>
        <w:rPr>
          <w:color w:val="231F20"/>
          <w:spacing w:val="11"/>
          <w:sz w:val="17"/>
        </w:rPr>
        <w:t xml:space="preserve"> </w:t>
      </w:r>
      <w:r>
        <w:rPr>
          <w:color w:val="231F20"/>
          <w:sz w:val="17"/>
        </w:rPr>
        <w:t>relays</w:t>
      </w:r>
      <w:r>
        <w:rPr>
          <w:color w:val="231F20"/>
          <w:spacing w:val="11"/>
          <w:sz w:val="17"/>
        </w:rPr>
        <w:t xml:space="preserve"> </w:t>
      </w:r>
      <w:r>
        <w:rPr>
          <w:color w:val="231F20"/>
          <w:sz w:val="17"/>
        </w:rPr>
        <w:t>billions</w:t>
      </w:r>
      <w:r>
        <w:rPr>
          <w:color w:val="231F20"/>
          <w:spacing w:val="10"/>
          <w:sz w:val="17"/>
        </w:rPr>
        <w:t xml:space="preserve"> </w:t>
      </w:r>
      <w:r>
        <w:rPr>
          <w:color w:val="231F20"/>
          <w:sz w:val="17"/>
        </w:rPr>
        <w:t>to</w:t>
      </w:r>
      <w:r>
        <w:rPr>
          <w:color w:val="231F20"/>
          <w:spacing w:val="11"/>
          <w:sz w:val="17"/>
        </w:rPr>
        <w:t xml:space="preserve"> </w:t>
      </w:r>
      <w:r>
        <w:rPr>
          <w:color w:val="231F20"/>
          <w:sz w:val="17"/>
        </w:rPr>
        <w:t>NZ</w:t>
      </w:r>
      <w:r>
        <w:rPr>
          <w:color w:val="231F20"/>
          <w:spacing w:val="10"/>
          <w:sz w:val="17"/>
        </w:rPr>
        <w:t xml:space="preserve"> </w:t>
      </w:r>
      <w:r>
        <w:rPr>
          <w:color w:val="231F20"/>
          <w:sz w:val="17"/>
        </w:rPr>
        <w:t>economy.</w:t>
      </w:r>
      <w:r>
        <w:rPr>
          <w:color w:val="231F20"/>
          <w:spacing w:val="11"/>
          <w:sz w:val="17"/>
        </w:rPr>
        <w:t xml:space="preserve"> </w:t>
      </w:r>
      <w:r>
        <w:rPr>
          <w:i/>
          <w:color w:val="231F20"/>
          <w:sz w:val="17"/>
        </w:rPr>
        <w:t>Sunday</w:t>
      </w:r>
      <w:r>
        <w:rPr>
          <w:i/>
          <w:color w:val="231F20"/>
          <w:spacing w:val="10"/>
          <w:sz w:val="17"/>
        </w:rPr>
        <w:t xml:space="preserve"> </w:t>
      </w:r>
      <w:r>
        <w:rPr>
          <w:i/>
          <w:color w:val="231F20"/>
          <w:sz w:val="17"/>
        </w:rPr>
        <w:t>Star</w:t>
      </w:r>
      <w:r>
        <w:rPr>
          <w:i/>
          <w:color w:val="231F20"/>
          <w:spacing w:val="11"/>
          <w:sz w:val="17"/>
        </w:rPr>
        <w:t xml:space="preserve"> </w:t>
      </w:r>
      <w:r>
        <w:rPr>
          <w:i/>
          <w:color w:val="231F20"/>
          <w:spacing w:val="-2"/>
          <w:sz w:val="17"/>
        </w:rPr>
        <w:t>Times</w:t>
      </w:r>
      <w:r>
        <w:rPr>
          <w:color w:val="231F20"/>
          <w:spacing w:val="-2"/>
          <w:sz w:val="17"/>
        </w:rPr>
        <w:t>,</w:t>
      </w:r>
    </w:p>
    <w:p w14:paraId="62B5011B" w14:textId="77777777" w:rsidR="00AE0598" w:rsidRDefault="0069255A">
      <w:pPr>
        <w:spacing w:before="1"/>
        <w:ind w:left="430"/>
        <w:jc w:val="both"/>
        <w:rPr>
          <w:sz w:val="17"/>
        </w:rPr>
      </w:pPr>
      <w:r>
        <w:rPr>
          <w:color w:val="231F20"/>
          <w:w w:val="105"/>
          <w:sz w:val="17"/>
        </w:rPr>
        <w:t>p.</w:t>
      </w:r>
      <w:r>
        <w:rPr>
          <w:color w:val="231F20"/>
          <w:spacing w:val="-1"/>
          <w:w w:val="105"/>
          <w:sz w:val="17"/>
        </w:rPr>
        <w:t xml:space="preserve"> </w:t>
      </w:r>
      <w:r>
        <w:rPr>
          <w:color w:val="231F20"/>
          <w:spacing w:val="-4"/>
          <w:w w:val="105"/>
          <w:sz w:val="17"/>
        </w:rPr>
        <w:t>E:3.</w:t>
      </w:r>
    </w:p>
    <w:p w14:paraId="54F85B39" w14:textId="77777777" w:rsidR="00AE0598" w:rsidRDefault="0069255A">
      <w:pPr>
        <w:ind w:left="430" w:right="128" w:hanging="320"/>
        <w:jc w:val="both"/>
        <w:rPr>
          <w:sz w:val="17"/>
        </w:rPr>
      </w:pPr>
      <w:r>
        <w:rPr>
          <w:color w:val="231F20"/>
          <w:sz w:val="17"/>
        </w:rPr>
        <w:t>Alexandris, K. and Carroll, B. (1999) Constraints on recreational sport participation in</w:t>
      </w:r>
      <w:r>
        <w:rPr>
          <w:color w:val="231F20"/>
          <w:spacing w:val="40"/>
          <w:sz w:val="17"/>
        </w:rPr>
        <w:t xml:space="preserve"> </w:t>
      </w:r>
      <w:r>
        <w:rPr>
          <w:color w:val="231F20"/>
          <w:sz w:val="17"/>
        </w:rPr>
        <w:t xml:space="preserve">adults in Greece: Implications for providing and managing sport services. </w:t>
      </w:r>
      <w:r>
        <w:rPr>
          <w:i/>
          <w:color w:val="231F20"/>
          <w:sz w:val="17"/>
        </w:rPr>
        <w:t>Journal of</w:t>
      </w:r>
      <w:r>
        <w:rPr>
          <w:i/>
          <w:color w:val="231F20"/>
          <w:spacing w:val="40"/>
          <w:sz w:val="17"/>
        </w:rPr>
        <w:t xml:space="preserve"> </w:t>
      </w:r>
      <w:r>
        <w:rPr>
          <w:i/>
          <w:color w:val="231F20"/>
          <w:sz w:val="17"/>
        </w:rPr>
        <w:t xml:space="preserve">Sport Management </w:t>
      </w:r>
      <w:r>
        <w:rPr>
          <w:color w:val="231F20"/>
          <w:sz w:val="17"/>
        </w:rPr>
        <w:t>13 (4), 317–332.</w:t>
      </w:r>
    </w:p>
    <w:p w14:paraId="56D0818E" w14:textId="77777777" w:rsidR="00AE0598" w:rsidRDefault="0069255A">
      <w:pPr>
        <w:spacing w:before="2"/>
        <w:ind w:left="430" w:right="128" w:hanging="320"/>
        <w:jc w:val="both"/>
        <w:rPr>
          <w:sz w:val="17"/>
        </w:rPr>
      </w:pPr>
      <w:r>
        <w:rPr>
          <w:color w:val="231F20"/>
          <w:sz w:val="17"/>
        </w:rPr>
        <w:t>Allcock, J.B. (1989) Seasonality. In S.F. Witt a</w:t>
      </w:r>
      <w:r>
        <w:rPr>
          <w:color w:val="231F20"/>
          <w:sz w:val="17"/>
        </w:rPr>
        <w:t xml:space="preserve">nd L. Moutinho (eds) </w:t>
      </w:r>
      <w:r>
        <w:rPr>
          <w:i/>
          <w:color w:val="231F20"/>
          <w:sz w:val="17"/>
        </w:rPr>
        <w:t>Tourism Marketing</w:t>
      </w:r>
      <w:r>
        <w:rPr>
          <w:i/>
          <w:color w:val="231F20"/>
          <w:spacing w:val="80"/>
          <w:sz w:val="17"/>
        </w:rPr>
        <w:t xml:space="preserve"> </w:t>
      </w:r>
      <w:r>
        <w:rPr>
          <w:i/>
          <w:color w:val="231F20"/>
          <w:sz w:val="17"/>
        </w:rPr>
        <w:t xml:space="preserve">and Management Handbook </w:t>
      </w:r>
      <w:r>
        <w:rPr>
          <w:color w:val="231F20"/>
          <w:sz w:val="17"/>
        </w:rPr>
        <w:t>(pp. 387–392). Englewood Cliffs, NJ: Prentice Hall.</w:t>
      </w:r>
    </w:p>
    <w:p w14:paraId="18071B5A" w14:textId="77777777" w:rsidR="00AE0598" w:rsidRDefault="0069255A">
      <w:pPr>
        <w:spacing w:before="2"/>
        <w:ind w:left="430" w:right="126" w:hanging="320"/>
        <w:jc w:val="both"/>
        <w:rPr>
          <w:sz w:val="17"/>
        </w:rPr>
      </w:pPr>
      <w:r>
        <w:rPr>
          <w:color w:val="231F20"/>
          <w:sz w:val="17"/>
        </w:rPr>
        <w:t xml:space="preserve">Allen Collinson, </w:t>
      </w:r>
      <w:r>
        <w:rPr>
          <w:color w:val="231F20"/>
          <w:w w:val="105"/>
          <w:sz w:val="17"/>
        </w:rPr>
        <w:t xml:space="preserve">J. </w:t>
      </w:r>
      <w:r>
        <w:rPr>
          <w:color w:val="231F20"/>
          <w:sz w:val="17"/>
        </w:rPr>
        <w:t xml:space="preserve">and Hockey, </w:t>
      </w:r>
      <w:r>
        <w:rPr>
          <w:color w:val="231F20"/>
          <w:w w:val="105"/>
          <w:sz w:val="17"/>
        </w:rPr>
        <w:t xml:space="preserve">J. </w:t>
      </w:r>
      <w:r>
        <w:rPr>
          <w:color w:val="231F20"/>
          <w:sz w:val="17"/>
        </w:rPr>
        <w:t>(2007) ‘Working out’ identity: Distance runners and the</w:t>
      </w:r>
      <w:r>
        <w:rPr>
          <w:color w:val="231F20"/>
          <w:spacing w:val="40"/>
          <w:sz w:val="17"/>
        </w:rPr>
        <w:t xml:space="preserve"> </w:t>
      </w:r>
      <w:r>
        <w:rPr>
          <w:color w:val="231F20"/>
          <w:sz w:val="17"/>
        </w:rPr>
        <w:t xml:space="preserve">management of disrupted identity. </w:t>
      </w:r>
      <w:r>
        <w:rPr>
          <w:i/>
          <w:color w:val="231F20"/>
          <w:sz w:val="17"/>
        </w:rPr>
        <w:t xml:space="preserve">Leisure Studies </w:t>
      </w:r>
      <w:r>
        <w:rPr>
          <w:color w:val="231F20"/>
          <w:sz w:val="17"/>
        </w:rPr>
        <w:t>26, 381–398.</w:t>
      </w:r>
    </w:p>
    <w:p w14:paraId="63B0FB59" w14:textId="77777777" w:rsidR="00AE0598" w:rsidRDefault="0069255A">
      <w:pPr>
        <w:spacing w:before="1"/>
        <w:ind w:left="430" w:right="128" w:hanging="320"/>
        <w:jc w:val="both"/>
        <w:rPr>
          <w:i/>
          <w:sz w:val="17"/>
        </w:rPr>
      </w:pPr>
      <w:r>
        <w:rPr>
          <w:color w:val="231F20"/>
          <w:sz w:val="17"/>
        </w:rPr>
        <w:t>Allmers, S. and Maennig, W. (2009) Economic impacts of the FIFA Soccer World Cups in</w:t>
      </w:r>
      <w:r>
        <w:rPr>
          <w:color w:val="231F20"/>
          <w:spacing w:val="40"/>
          <w:sz w:val="17"/>
        </w:rPr>
        <w:t xml:space="preserve"> </w:t>
      </w:r>
      <w:r>
        <w:rPr>
          <w:color w:val="231F20"/>
          <w:sz w:val="17"/>
        </w:rPr>
        <w:t>France</w:t>
      </w:r>
      <w:r>
        <w:rPr>
          <w:color w:val="231F20"/>
          <w:spacing w:val="15"/>
          <w:sz w:val="17"/>
        </w:rPr>
        <w:t xml:space="preserve"> </w:t>
      </w:r>
      <w:r>
        <w:rPr>
          <w:color w:val="231F20"/>
          <w:sz w:val="17"/>
        </w:rPr>
        <w:t>1998,</w:t>
      </w:r>
      <w:r>
        <w:rPr>
          <w:color w:val="231F20"/>
          <w:spacing w:val="16"/>
          <w:sz w:val="17"/>
        </w:rPr>
        <w:t xml:space="preserve"> </w:t>
      </w:r>
      <w:r>
        <w:rPr>
          <w:color w:val="231F20"/>
          <w:sz w:val="17"/>
        </w:rPr>
        <w:t>Germany</w:t>
      </w:r>
      <w:r>
        <w:rPr>
          <w:color w:val="231F20"/>
          <w:spacing w:val="16"/>
          <w:sz w:val="17"/>
        </w:rPr>
        <w:t xml:space="preserve"> </w:t>
      </w:r>
      <w:r>
        <w:rPr>
          <w:color w:val="231F20"/>
          <w:sz w:val="17"/>
        </w:rPr>
        <w:t>2006,</w:t>
      </w:r>
      <w:r>
        <w:rPr>
          <w:color w:val="231F20"/>
          <w:spacing w:val="16"/>
          <w:sz w:val="17"/>
        </w:rPr>
        <w:t xml:space="preserve"> </w:t>
      </w:r>
      <w:r>
        <w:rPr>
          <w:color w:val="231F20"/>
          <w:sz w:val="17"/>
        </w:rPr>
        <w:t>and</w:t>
      </w:r>
      <w:r>
        <w:rPr>
          <w:color w:val="231F20"/>
          <w:spacing w:val="16"/>
          <w:sz w:val="17"/>
        </w:rPr>
        <w:t xml:space="preserve"> </w:t>
      </w:r>
      <w:r>
        <w:rPr>
          <w:color w:val="231F20"/>
          <w:sz w:val="17"/>
        </w:rPr>
        <w:t>outlook</w:t>
      </w:r>
      <w:r>
        <w:rPr>
          <w:color w:val="231F20"/>
          <w:spacing w:val="16"/>
          <w:sz w:val="17"/>
        </w:rPr>
        <w:t xml:space="preserve"> </w:t>
      </w:r>
      <w:r>
        <w:rPr>
          <w:color w:val="231F20"/>
          <w:sz w:val="17"/>
        </w:rPr>
        <w:t>for</w:t>
      </w:r>
      <w:r>
        <w:rPr>
          <w:color w:val="231F20"/>
          <w:spacing w:val="16"/>
          <w:sz w:val="17"/>
        </w:rPr>
        <w:t xml:space="preserve"> </w:t>
      </w:r>
      <w:r>
        <w:rPr>
          <w:color w:val="231F20"/>
          <w:sz w:val="17"/>
        </w:rPr>
        <w:t>South</w:t>
      </w:r>
      <w:r>
        <w:rPr>
          <w:color w:val="231F20"/>
          <w:spacing w:val="16"/>
          <w:sz w:val="17"/>
        </w:rPr>
        <w:t xml:space="preserve"> </w:t>
      </w:r>
      <w:r>
        <w:rPr>
          <w:color w:val="231F20"/>
          <w:sz w:val="17"/>
        </w:rPr>
        <w:t>Ari</w:t>
      </w:r>
      <w:r>
        <w:rPr>
          <w:color w:val="231F20"/>
          <w:sz w:val="17"/>
        </w:rPr>
        <w:t>ca</w:t>
      </w:r>
      <w:r>
        <w:rPr>
          <w:color w:val="231F20"/>
          <w:spacing w:val="16"/>
          <w:sz w:val="17"/>
        </w:rPr>
        <w:t xml:space="preserve"> </w:t>
      </w:r>
      <w:r>
        <w:rPr>
          <w:color w:val="231F20"/>
          <w:sz w:val="17"/>
        </w:rPr>
        <w:t>2010.</w:t>
      </w:r>
      <w:r>
        <w:rPr>
          <w:color w:val="231F20"/>
          <w:spacing w:val="16"/>
          <w:sz w:val="17"/>
        </w:rPr>
        <w:t xml:space="preserve"> </w:t>
      </w:r>
      <w:r>
        <w:rPr>
          <w:i/>
          <w:color w:val="231F20"/>
          <w:sz w:val="17"/>
        </w:rPr>
        <w:t>Eastern</w:t>
      </w:r>
      <w:r>
        <w:rPr>
          <w:i/>
          <w:color w:val="231F20"/>
          <w:spacing w:val="16"/>
          <w:sz w:val="17"/>
        </w:rPr>
        <w:t xml:space="preserve"> </w:t>
      </w:r>
      <w:r>
        <w:rPr>
          <w:i/>
          <w:color w:val="231F20"/>
          <w:spacing w:val="-2"/>
          <w:sz w:val="17"/>
        </w:rPr>
        <w:t>Economic</w:t>
      </w:r>
    </w:p>
    <w:p w14:paraId="17A77341" w14:textId="77777777" w:rsidR="00AE0598" w:rsidRDefault="0069255A">
      <w:pPr>
        <w:spacing w:before="2"/>
        <w:ind w:left="430"/>
        <w:jc w:val="both"/>
        <w:rPr>
          <w:sz w:val="17"/>
        </w:rPr>
      </w:pPr>
      <w:r>
        <w:rPr>
          <w:i/>
          <w:color w:val="231F20"/>
          <w:sz w:val="17"/>
        </w:rPr>
        <w:t>Journal</w:t>
      </w:r>
      <w:r>
        <w:rPr>
          <w:i/>
          <w:color w:val="231F20"/>
          <w:spacing w:val="11"/>
          <w:sz w:val="17"/>
        </w:rPr>
        <w:t xml:space="preserve"> </w:t>
      </w:r>
      <w:r>
        <w:rPr>
          <w:color w:val="231F20"/>
          <w:sz w:val="17"/>
        </w:rPr>
        <w:t>35,</w:t>
      </w:r>
      <w:r>
        <w:rPr>
          <w:color w:val="231F20"/>
          <w:spacing w:val="11"/>
          <w:sz w:val="17"/>
        </w:rPr>
        <w:t xml:space="preserve"> </w:t>
      </w:r>
      <w:r>
        <w:rPr>
          <w:color w:val="231F20"/>
          <w:spacing w:val="-2"/>
          <w:sz w:val="17"/>
        </w:rPr>
        <w:t>500–519.</w:t>
      </w:r>
    </w:p>
    <w:p w14:paraId="0DFD4A00" w14:textId="77777777" w:rsidR="00AE0598" w:rsidRDefault="0069255A">
      <w:pPr>
        <w:ind w:left="430" w:right="127" w:hanging="320"/>
        <w:jc w:val="both"/>
        <w:rPr>
          <w:sz w:val="17"/>
        </w:rPr>
      </w:pPr>
      <w:r>
        <w:rPr>
          <w:color w:val="231F20"/>
          <w:sz w:val="17"/>
        </w:rPr>
        <w:t>Amelung, B., Nicholls, S. and Viner, D. (2007) Implications of global climate change for</w:t>
      </w:r>
      <w:r>
        <w:rPr>
          <w:color w:val="231F20"/>
          <w:spacing w:val="40"/>
          <w:sz w:val="17"/>
        </w:rPr>
        <w:t xml:space="preserve"> </w:t>
      </w:r>
      <w:r>
        <w:rPr>
          <w:color w:val="231F20"/>
          <w:sz w:val="17"/>
        </w:rPr>
        <w:t xml:space="preserve">tourism flows and seasonality. </w:t>
      </w:r>
      <w:r>
        <w:rPr>
          <w:i/>
          <w:color w:val="231F20"/>
          <w:sz w:val="17"/>
        </w:rPr>
        <w:t xml:space="preserve">Journal of Travel Research </w:t>
      </w:r>
      <w:r>
        <w:rPr>
          <w:color w:val="231F20"/>
          <w:sz w:val="17"/>
        </w:rPr>
        <w:t>45, 285–296.</w:t>
      </w:r>
    </w:p>
    <w:p w14:paraId="490C9D1E" w14:textId="77777777" w:rsidR="00AE0598" w:rsidRDefault="0069255A">
      <w:pPr>
        <w:spacing w:before="2"/>
        <w:ind w:left="430" w:right="125" w:hanging="320"/>
        <w:jc w:val="both"/>
        <w:rPr>
          <w:sz w:val="17"/>
        </w:rPr>
      </w:pPr>
      <w:r>
        <w:rPr>
          <w:color w:val="231F20"/>
          <w:sz w:val="17"/>
        </w:rPr>
        <w:t>Andrews,</w:t>
      </w:r>
      <w:r>
        <w:rPr>
          <w:color w:val="231F20"/>
          <w:spacing w:val="40"/>
          <w:sz w:val="17"/>
        </w:rPr>
        <w:t xml:space="preserve"> </w:t>
      </w:r>
      <w:r>
        <w:rPr>
          <w:color w:val="231F20"/>
          <w:sz w:val="17"/>
        </w:rPr>
        <w:t>D.</w:t>
      </w:r>
      <w:r>
        <w:rPr>
          <w:color w:val="231F20"/>
          <w:spacing w:val="40"/>
          <w:sz w:val="17"/>
        </w:rPr>
        <w:t xml:space="preserve"> </w:t>
      </w:r>
      <w:r>
        <w:rPr>
          <w:color w:val="231F20"/>
          <w:sz w:val="17"/>
        </w:rPr>
        <w:t>(2006)</w:t>
      </w:r>
      <w:r>
        <w:rPr>
          <w:color w:val="231F20"/>
          <w:spacing w:val="40"/>
          <w:sz w:val="17"/>
        </w:rPr>
        <w:t xml:space="preserve"> </w:t>
      </w:r>
      <w:r>
        <w:rPr>
          <w:i/>
          <w:color w:val="231F20"/>
          <w:sz w:val="17"/>
        </w:rPr>
        <w:t>Sports-Commerce-Culture:</w:t>
      </w:r>
      <w:r>
        <w:rPr>
          <w:i/>
          <w:color w:val="231F20"/>
          <w:spacing w:val="40"/>
          <w:sz w:val="17"/>
        </w:rPr>
        <w:t xml:space="preserve"> </w:t>
      </w:r>
      <w:r>
        <w:rPr>
          <w:i/>
          <w:color w:val="231F20"/>
          <w:sz w:val="17"/>
        </w:rPr>
        <w:t>Essays</w:t>
      </w:r>
      <w:r>
        <w:rPr>
          <w:i/>
          <w:color w:val="231F20"/>
          <w:spacing w:val="40"/>
          <w:sz w:val="17"/>
        </w:rPr>
        <w:t xml:space="preserve"> </w:t>
      </w:r>
      <w:r>
        <w:rPr>
          <w:i/>
          <w:color w:val="231F20"/>
          <w:sz w:val="17"/>
        </w:rPr>
        <w:t>on</w:t>
      </w:r>
      <w:r>
        <w:rPr>
          <w:i/>
          <w:color w:val="231F20"/>
          <w:spacing w:val="40"/>
          <w:sz w:val="17"/>
        </w:rPr>
        <w:t xml:space="preserve"> </w:t>
      </w:r>
      <w:r>
        <w:rPr>
          <w:i/>
          <w:color w:val="231F20"/>
          <w:sz w:val="17"/>
        </w:rPr>
        <w:t>Sport</w:t>
      </w:r>
      <w:r>
        <w:rPr>
          <w:i/>
          <w:color w:val="231F20"/>
          <w:spacing w:val="40"/>
          <w:sz w:val="17"/>
        </w:rPr>
        <w:t xml:space="preserve"> </w:t>
      </w:r>
      <w:r>
        <w:rPr>
          <w:i/>
          <w:color w:val="231F20"/>
          <w:sz w:val="17"/>
        </w:rPr>
        <w:t>in</w:t>
      </w:r>
      <w:r>
        <w:rPr>
          <w:i/>
          <w:color w:val="231F20"/>
          <w:spacing w:val="40"/>
          <w:sz w:val="17"/>
        </w:rPr>
        <w:t xml:space="preserve"> </w:t>
      </w:r>
      <w:r>
        <w:rPr>
          <w:i/>
          <w:color w:val="231F20"/>
          <w:sz w:val="17"/>
        </w:rPr>
        <w:t>Late</w:t>
      </w:r>
      <w:r>
        <w:rPr>
          <w:i/>
          <w:color w:val="231F20"/>
          <w:spacing w:val="40"/>
          <w:sz w:val="17"/>
        </w:rPr>
        <w:t xml:space="preserve"> </w:t>
      </w:r>
      <w:r>
        <w:rPr>
          <w:i/>
          <w:color w:val="231F20"/>
          <w:sz w:val="17"/>
        </w:rPr>
        <w:t>Capitalist</w:t>
      </w:r>
      <w:r>
        <w:rPr>
          <w:i/>
          <w:color w:val="231F20"/>
          <w:spacing w:val="40"/>
          <w:sz w:val="17"/>
        </w:rPr>
        <w:t xml:space="preserve"> </w:t>
      </w:r>
      <w:r>
        <w:rPr>
          <w:i/>
          <w:color w:val="231F20"/>
          <w:sz w:val="17"/>
        </w:rPr>
        <w:t>America</w:t>
      </w:r>
      <w:r>
        <w:rPr>
          <w:color w:val="231F20"/>
          <w:sz w:val="17"/>
        </w:rPr>
        <w:t>. New York: Peter Lang.</w:t>
      </w:r>
    </w:p>
    <w:p w14:paraId="03F46DCE" w14:textId="77777777" w:rsidR="00AE0598" w:rsidRDefault="0069255A">
      <w:pPr>
        <w:spacing w:before="1"/>
        <w:ind w:left="430" w:right="128" w:hanging="320"/>
        <w:jc w:val="both"/>
        <w:rPr>
          <w:sz w:val="17"/>
        </w:rPr>
      </w:pPr>
      <w:r>
        <w:rPr>
          <w:color w:val="231F20"/>
          <w:sz w:val="17"/>
        </w:rPr>
        <w:t xml:space="preserve">Andueza, </w:t>
      </w:r>
      <w:r>
        <w:rPr>
          <w:color w:val="231F20"/>
          <w:w w:val="105"/>
          <w:sz w:val="17"/>
        </w:rPr>
        <w:t xml:space="preserve">J.M. </w:t>
      </w:r>
      <w:r>
        <w:rPr>
          <w:color w:val="231F20"/>
          <w:sz w:val="17"/>
        </w:rPr>
        <w:t>(1997) The role of sport in the tourism destinations chosen by tourists</w:t>
      </w:r>
      <w:r>
        <w:rPr>
          <w:color w:val="231F20"/>
          <w:spacing w:val="40"/>
          <w:sz w:val="17"/>
        </w:rPr>
        <w:t xml:space="preserve"> </w:t>
      </w:r>
      <w:r>
        <w:rPr>
          <w:color w:val="231F20"/>
          <w:sz w:val="17"/>
        </w:rPr>
        <w:t xml:space="preserve">visiting Spain. </w:t>
      </w:r>
      <w:r>
        <w:rPr>
          <w:i/>
          <w:color w:val="231F20"/>
          <w:sz w:val="17"/>
        </w:rPr>
        <w:t xml:space="preserve">Journal of Sport Tourism </w:t>
      </w:r>
      <w:r>
        <w:rPr>
          <w:color w:val="231F20"/>
          <w:sz w:val="17"/>
        </w:rPr>
        <w:t>4 (3), 5–12.</w:t>
      </w:r>
    </w:p>
    <w:p w14:paraId="53252C82" w14:textId="77777777" w:rsidR="00AE0598" w:rsidRDefault="0069255A">
      <w:pPr>
        <w:spacing w:before="2"/>
        <w:ind w:left="110"/>
        <w:jc w:val="both"/>
        <w:rPr>
          <w:sz w:val="17"/>
        </w:rPr>
      </w:pPr>
      <w:r>
        <w:rPr>
          <w:color w:val="231F20"/>
          <w:w w:val="95"/>
          <w:sz w:val="17"/>
        </w:rPr>
        <w:t>Anon.</w:t>
      </w:r>
      <w:r>
        <w:rPr>
          <w:color w:val="231F20"/>
          <w:spacing w:val="13"/>
          <w:sz w:val="17"/>
        </w:rPr>
        <w:t xml:space="preserve"> </w:t>
      </w:r>
      <w:r>
        <w:rPr>
          <w:color w:val="231F20"/>
          <w:w w:val="95"/>
          <w:sz w:val="17"/>
        </w:rPr>
        <w:t>(1996,</w:t>
      </w:r>
      <w:r>
        <w:rPr>
          <w:color w:val="231F20"/>
          <w:spacing w:val="13"/>
          <w:sz w:val="17"/>
        </w:rPr>
        <w:t xml:space="preserve"> </w:t>
      </w:r>
      <w:r>
        <w:rPr>
          <w:color w:val="231F20"/>
          <w:w w:val="95"/>
          <w:sz w:val="17"/>
        </w:rPr>
        <w:t>18</w:t>
      </w:r>
      <w:r>
        <w:rPr>
          <w:color w:val="231F20"/>
          <w:spacing w:val="14"/>
          <w:sz w:val="17"/>
        </w:rPr>
        <w:t xml:space="preserve"> </w:t>
      </w:r>
      <w:r>
        <w:rPr>
          <w:color w:val="231F20"/>
          <w:w w:val="95"/>
          <w:sz w:val="17"/>
        </w:rPr>
        <w:t>July)</w:t>
      </w:r>
      <w:r>
        <w:rPr>
          <w:color w:val="231F20"/>
          <w:spacing w:val="13"/>
          <w:sz w:val="17"/>
        </w:rPr>
        <w:t xml:space="preserve"> </w:t>
      </w:r>
      <w:r>
        <w:rPr>
          <w:color w:val="231F20"/>
          <w:w w:val="95"/>
          <w:sz w:val="17"/>
        </w:rPr>
        <w:t>Bus</w:t>
      </w:r>
      <w:r>
        <w:rPr>
          <w:color w:val="231F20"/>
          <w:w w:val="95"/>
          <w:sz w:val="17"/>
        </w:rPr>
        <w:t>iness</w:t>
      </w:r>
      <w:r>
        <w:rPr>
          <w:color w:val="231F20"/>
          <w:spacing w:val="14"/>
          <w:sz w:val="17"/>
        </w:rPr>
        <w:t xml:space="preserve"> </w:t>
      </w:r>
      <w:r>
        <w:rPr>
          <w:color w:val="231F20"/>
          <w:w w:val="95"/>
          <w:sz w:val="17"/>
        </w:rPr>
        <w:t>money</w:t>
      </w:r>
      <w:r>
        <w:rPr>
          <w:color w:val="231F20"/>
          <w:spacing w:val="13"/>
          <w:sz w:val="17"/>
        </w:rPr>
        <w:t xml:space="preserve"> </w:t>
      </w:r>
      <w:r>
        <w:rPr>
          <w:color w:val="231F20"/>
          <w:w w:val="95"/>
          <w:sz w:val="17"/>
        </w:rPr>
        <w:t>is</w:t>
      </w:r>
      <w:r>
        <w:rPr>
          <w:color w:val="231F20"/>
          <w:spacing w:val="14"/>
          <w:sz w:val="17"/>
        </w:rPr>
        <w:t xml:space="preserve"> </w:t>
      </w:r>
      <w:r>
        <w:rPr>
          <w:color w:val="231F20"/>
          <w:w w:val="95"/>
          <w:sz w:val="17"/>
        </w:rPr>
        <w:t>the</w:t>
      </w:r>
      <w:r>
        <w:rPr>
          <w:color w:val="231F20"/>
          <w:spacing w:val="13"/>
          <w:sz w:val="17"/>
        </w:rPr>
        <w:t xml:space="preserve"> </w:t>
      </w:r>
      <w:r>
        <w:rPr>
          <w:color w:val="231F20"/>
          <w:w w:val="95"/>
          <w:sz w:val="17"/>
        </w:rPr>
        <w:t>champion.</w:t>
      </w:r>
      <w:r>
        <w:rPr>
          <w:color w:val="231F20"/>
          <w:spacing w:val="14"/>
          <w:sz w:val="17"/>
        </w:rPr>
        <w:t xml:space="preserve"> </w:t>
      </w:r>
      <w:r>
        <w:rPr>
          <w:i/>
          <w:color w:val="231F20"/>
          <w:w w:val="95"/>
          <w:sz w:val="17"/>
        </w:rPr>
        <w:t>Marketing</w:t>
      </w:r>
      <w:r>
        <w:rPr>
          <w:i/>
          <w:color w:val="231F20"/>
          <w:spacing w:val="13"/>
          <w:sz w:val="17"/>
        </w:rPr>
        <w:t xml:space="preserve"> </w:t>
      </w:r>
      <w:r>
        <w:rPr>
          <w:color w:val="231F20"/>
          <w:spacing w:val="-5"/>
          <w:w w:val="95"/>
          <w:sz w:val="17"/>
        </w:rPr>
        <w:t>3.</w:t>
      </w:r>
    </w:p>
    <w:p w14:paraId="54296BAA" w14:textId="77777777" w:rsidR="00AE0598" w:rsidRDefault="0069255A">
      <w:pPr>
        <w:ind w:left="430" w:right="127" w:hanging="320"/>
        <w:jc w:val="both"/>
        <w:rPr>
          <w:sz w:val="17"/>
        </w:rPr>
      </w:pPr>
      <w:r>
        <w:rPr>
          <w:color w:val="231F20"/>
          <w:w w:val="95"/>
          <w:sz w:val="17"/>
        </w:rPr>
        <w:t>Anon. (2000) Shared vision? Australian leisure management considers the development of</w:t>
      </w:r>
      <w:r>
        <w:rPr>
          <w:color w:val="231F20"/>
          <w:spacing w:val="40"/>
          <w:sz w:val="17"/>
        </w:rPr>
        <w:t xml:space="preserve"> </w:t>
      </w:r>
      <w:r>
        <w:rPr>
          <w:color w:val="231F20"/>
          <w:sz w:val="17"/>
        </w:rPr>
        <w:t xml:space="preserve">shared community and school sports facilities in country areas. </w:t>
      </w:r>
      <w:r>
        <w:rPr>
          <w:i/>
          <w:color w:val="231F20"/>
          <w:sz w:val="17"/>
        </w:rPr>
        <w:t>Australian Leisure</w:t>
      </w:r>
      <w:r>
        <w:rPr>
          <w:i/>
          <w:color w:val="231F20"/>
          <w:spacing w:val="40"/>
          <w:sz w:val="17"/>
        </w:rPr>
        <w:t xml:space="preserve"> </w:t>
      </w:r>
      <w:r>
        <w:rPr>
          <w:i/>
          <w:color w:val="231F20"/>
          <w:sz w:val="17"/>
        </w:rPr>
        <w:t xml:space="preserve">Management </w:t>
      </w:r>
      <w:r>
        <w:rPr>
          <w:color w:val="231F20"/>
          <w:sz w:val="17"/>
        </w:rPr>
        <w:t>19, 24–25.</w:t>
      </w:r>
    </w:p>
    <w:p w14:paraId="54143CF0" w14:textId="77777777" w:rsidR="00AE0598" w:rsidRDefault="0069255A">
      <w:pPr>
        <w:spacing w:before="2"/>
        <w:ind w:left="430" w:right="129" w:hanging="320"/>
        <w:jc w:val="both"/>
        <w:rPr>
          <w:sz w:val="17"/>
        </w:rPr>
      </w:pPr>
      <w:r>
        <w:rPr>
          <w:color w:val="231F20"/>
          <w:w w:val="105"/>
          <w:sz w:val="17"/>
        </w:rPr>
        <w:t>Archer, B. and</w:t>
      </w:r>
      <w:r>
        <w:rPr>
          <w:color w:val="231F20"/>
          <w:w w:val="105"/>
          <w:sz w:val="17"/>
        </w:rPr>
        <w:t xml:space="preserve"> Cooper, C. (1994) The positive and negative impacts of tourism. In W.</w:t>
      </w:r>
      <w:r>
        <w:rPr>
          <w:color w:val="231F20"/>
          <w:spacing w:val="40"/>
          <w:w w:val="105"/>
          <w:sz w:val="17"/>
        </w:rPr>
        <w:t xml:space="preserve"> </w:t>
      </w:r>
      <w:r>
        <w:rPr>
          <w:color w:val="231F20"/>
          <w:sz w:val="17"/>
        </w:rPr>
        <w:t xml:space="preserve">Theobald (ed.) </w:t>
      </w:r>
      <w:r>
        <w:rPr>
          <w:i/>
          <w:color w:val="231F20"/>
          <w:sz w:val="17"/>
        </w:rPr>
        <w:t xml:space="preserve">Global Tourism: The Next Decade </w:t>
      </w:r>
      <w:r>
        <w:rPr>
          <w:color w:val="231F20"/>
          <w:sz w:val="17"/>
        </w:rPr>
        <w:t>(pp. 73–91). Oxford: Butterworth</w:t>
      </w:r>
      <w:r>
        <w:rPr>
          <w:color w:val="231F20"/>
          <w:spacing w:val="40"/>
          <w:w w:val="105"/>
          <w:sz w:val="17"/>
        </w:rPr>
        <w:t xml:space="preserve"> </w:t>
      </w:r>
      <w:r>
        <w:rPr>
          <w:color w:val="231F20"/>
          <w:spacing w:val="-2"/>
          <w:w w:val="105"/>
          <w:sz w:val="17"/>
        </w:rPr>
        <w:t>Heinemann.</w:t>
      </w:r>
    </w:p>
    <w:p w14:paraId="27729769" w14:textId="77777777" w:rsidR="00AE0598" w:rsidRDefault="0069255A">
      <w:pPr>
        <w:spacing w:before="2"/>
        <w:ind w:left="430" w:right="128" w:hanging="320"/>
        <w:jc w:val="both"/>
        <w:rPr>
          <w:sz w:val="17"/>
        </w:rPr>
      </w:pPr>
      <w:r>
        <w:rPr>
          <w:color w:val="231F20"/>
          <w:sz w:val="17"/>
        </w:rPr>
        <w:t xml:space="preserve">ASICS (nd) ASICS Sports Museum. See </w:t>
      </w:r>
      <w:hyperlink r:id="rId45">
        <w:r>
          <w:rPr>
            <w:color w:val="231F20"/>
            <w:spacing w:val="-2"/>
            <w:w w:val="102"/>
            <w:sz w:val="17"/>
          </w:rPr>
          <w:t>h</w:t>
        </w:r>
        <w:r>
          <w:rPr>
            <w:color w:val="231F20"/>
            <w:spacing w:val="2"/>
            <w:w w:val="102"/>
            <w:sz w:val="17"/>
          </w:rPr>
          <w:t>tt</w:t>
        </w:r>
        <w:r>
          <w:rPr>
            <w:color w:val="231F20"/>
            <w:spacing w:val="-3"/>
            <w:w w:val="102"/>
            <w:sz w:val="17"/>
          </w:rPr>
          <w:t>p</w:t>
        </w:r>
        <w:r>
          <w:rPr>
            <w:color w:val="231F20"/>
            <w:spacing w:val="3"/>
            <w:w w:val="109"/>
            <w:sz w:val="17"/>
          </w:rPr>
          <w:t>:</w:t>
        </w:r>
        <w:r>
          <w:rPr>
            <w:color w:val="231F20"/>
            <w:spacing w:val="-5"/>
            <w:w w:val="64"/>
            <w:sz w:val="17"/>
          </w:rPr>
          <w:t>/</w:t>
        </w:r>
        <w:r>
          <w:rPr>
            <w:color w:val="231F20"/>
            <w:spacing w:val="-7"/>
            <w:w w:val="64"/>
            <w:sz w:val="17"/>
          </w:rPr>
          <w:t>/</w:t>
        </w:r>
        <w:r>
          <w:rPr>
            <w:color w:val="231F20"/>
            <w:spacing w:val="-1"/>
            <w:w w:val="103"/>
            <w:sz w:val="17"/>
          </w:rPr>
          <w:t>c</w:t>
        </w:r>
        <w:r>
          <w:rPr>
            <w:color w:val="231F20"/>
            <w:spacing w:val="-2"/>
            <w:w w:val="102"/>
            <w:sz w:val="17"/>
          </w:rPr>
          <w:t>o</w:t>
        </w:r>
        <w:r>
          <w:rPr>
            <w:color w:val="231F20"/>
            <w:spacing w:val="2"/>
            <w:w w:val="102"/>
            <w:sz w:val="17"/>
          </w:rPr>
          <w:t>r</w:t>
        </w:r>
        <w:r>
          <w:rPr>
            <w:color w:val="231F20"/>
            <w:spacing w:val="-4"/>
            <w:w w:val="102"/>
            <w:sz w:val="17"/>
          </w:rPr>
          <w:t>p</w:t>
        </w:r>
        <w:r>
          <w:rPr>
            <w:color w:val="231F20"/>
            <w:spacing w:val="1"/>
            <w:w w:val="139"/>
            <w:sz w:val="17"/>
          </w:rPr>
          <w:t>.</w:t>
        </w:r>
        <w:r>
          <w:rPr>
            <w:color w:val="231F20"/>
            <w:w w:val="105"/>
            <w:sz w:val="17"/>
          </w:rPr>
          <w:t>a</w:t>
        </w:r>
        <w:r>
          <w:rPr>
            <w:color w:val="231F20"/>
            <w:spacing w:val="-2"/>
            <w:w w:val="94"/>
            <w:sz w:val="17"/>
          </w:rPr>
          <w:t>s</w:t>
        </w:r>
        <w:r>
          <w:rPr>
            <w:color w:val="231F20"/>
            <w:spacing w:val="-2"/>
            <w:w w:val="104"/>
            <w:sz w:val="17"/>
          </w:rPr>
          <w:t>i</w:t>
        </w:r>
        <w:r>
          <w:rPr>
            <w:color w:val="231F20"/>
            <w:spacing w:val="1"/>
            <w:w w:val="104"/>
            <w:sz w:val="17"/>
          </w:rPr>
          <w:t>c</w:t>
        </w:r>
        <w:r>
          <w:rPr>
            <w:color w:val="231F20"/>
            <w:spacing w:val="1"/>
            <w:w w:val="94"/>
            <w:sz w:val="17"/>
          </w:rPr>
          <w:t>s</w:t>
        </w:r>
        <w:r>
          <w:rPr>
            <w:color w:val="231F20"/>
            <w:spacing w:val="-1"/>
            <w:w w:val="139"/>
            <w:sz w:val="17"/>
          </w:rPr>
          <w:t>.</w:t>
        </w:r>
        <w:r>
          <w:rPr>
            <w:color w:val="231F20"/>
            <w:spacing w:val="-1"/>
            <w:w w:val="103"/>
            <w:sz w:val="17"/>
          </w:rPr>
          <w:t>c</w:t>
        </w:r>
        <w:r>
          <w:rPr>
            <w:color w:val="231F20"/>
            <w:spacing w:val="-3"/>
            <w:w w:val="107"/>
            <w:sz w:val="17"/>
          </w:rPr>
          <w:t>o</w:t>
        </w:r>
        <w:r>
          <w:rPr>
            <w:color w:val="231F20"/>
            <w:spacing w:val="6"/>
            <w:w w:val="103"/>
            <w:sz w:val="17"/>
          </w:rPr>
          <w:t>m</w:t>
        </w:r>
        <w:r>
          <w:rPr>
            <w:color w:val="231F20"/>
            <w:spacing w:val="-6"/>
            <w:w w:val="64"/>
            <w:sz w:val="17"/>
          </w:rPr>
          <w:t>/</w:t>
        </w:r>
        <w:r>
          <w:rPr>
            <w:color w:val="231F20"/>
            <w:w w:val="94"/>
            <w:sz w:val="17"/>
          </w:rPr>
          <w:t>e</w:t>
        </w:r>
        <w:r>
          <w:rPr>
            <w:color w:val="231F20"/>
            <w:spacing w:val="6"/>
            <w:w w:val="102"/>
            <w:sz w:val="17"/>
          </w:rPr>
          <w:t>n</w:t>
        </w:r>
        <w:r>
          <w:rPr>
            <w:color w:val="231F20"/>
            <w:spacing w:val="-8"/>
            <w:w w:val="64"/>
            <w:sz w:val="17"/>
          </w:rPr>
          <w:t>/</w:t>
        </w:r>
        <w:r>
          <w:rPr>
            <w:color w:val="231F20"/>
            <w:spacing w:val="-3"/>
            <w:w w:val="105"/>
            <w:sz w:val="17"/>
          </w:rPr>
          <w:t>a</w:t>
        </w:r>
        <w:r>
          <w:rPr>
            <w:color w:val="231F20"/>
            <w:w w:val="104"/>
            <w:sz w:val="17"/>
          </w:rPr>
          <w:t>b</w:t>
        </w:r>
        <w:r>
          <w:rPr>
            <w:color w:val="231F20"/>
            <w:spacing w:val="-2"/>
            <w:w w:val="107"/>
            <w:sz w:val="17"/>
          </w:rPr>
          <w:t>o</w:t>
        </w:r>
        <w:r>
          <w:rPr>
            <w:color w:val="231F20"/>
            <w:spacing w:val="-2"/>
            <w:w w:val="102"/>
            <w:sz w:val="17"/>
          </w:rPr>
          <w:t>u</w:t>
        </w:r>
        <w:r>
          <w:rPr>
            <w:color w:val="231F20"/>
            <w:spacing w:val="5"/>
            <w:w w:val="102"/>
            <w:sz w:val="17"/>
          </w:rPr>
          <w:t>t</w:t>
        </w:r>
        <w:r>
          <w:rPr>
            <w:color w:val="231F20"/>
            <w:spacing w:val="6"/>
            <w:w w:val="141"/>
            <w:sz w:val="17"/>
          </w:rPr>
          <w:t>_</w:t>
        </w:r>
        <w:r>
          <w:rPr>
            <w:color w:val="231F20"/>
            <w:w w:val="105"/>
            <w:sz w:val="17"/>
          </w:rPr>
          <w:t>a</w:t>
        </w:r>
        <w:r>
          <w:rPr>
            <w:color w:val="231F20"/>
            <w:spacing w:val="-2"/>
            <w:sz w:val="17"/>
          </w:rPr>
          <w:t>si</w:t>
        </w:r>
        <w:r>
          <w:rPr>
            <w:color w:val="231F20"/>
            <w:spacing w:val="1"/>
            <w:sz w:val="17"/>
          </w:rPr>
          <w:t>c</w:t>
        </w:r>
        <w:r>
          <w:rPr>
            <w:color w:val="231F20"/>
            <w:spacing w:val="3"/>
            <w:w w:val="94"/>
            <w:sz w:val="17"/>
          </w:rPr>
          <w:t>s</w:t>
        </w:r>
        <w:r>
          <w:rPr>
            <w:color w:val="231F20"/>
            <w:spacing w:val="-5"/>
            <w:w w:val="64"/>
            <w:sz w:val="17"/>
          </w:rPr>
          <w:t>/</w:t>
        </w:r>
        <w:r>
          <w:rPr>
            <w:color w:val="231F20"/>
            <w:spacing w:val="-4"/>
            <w:w w:val="103"/>
            <w:sz w:val="17"/>
          </w:rPr>
          <w:t>m</w:t>
        </w:r>
        <w:r>
          <w:rPr>
            <w:color w:val="231F20"/>
            <w:w w:val="103"/>
            <w:sz w:val="17"/>
          </w:rPr>
          <w:t>u</w:t>
        </w:r>
        <w:r>
          <w:rPr>
            <w:color w:val="231F20"/>
            <w:w w:val="94"/>
            <w:sz w:val="17"/>
          </w:rPr>
          <w:t>s</w:t>
        </w:r>
        <w:r>
          <w:rPr>
            <w:color w:val="231F20"/>
            <w:spacing w:val="-1"/>
            <w:w w:val="94"/>
            <w:sz w:val="17"/>
          </w:rPr>
          <w:t>e</w:t>
        </w:r>
        <w:r>
          <w:rPr>
            <w:color w:val="231F20"/>
            <w:spacing w:val="1"/>
            <w:w w:val="103"/>
            <w:sz w:val="17"/>
          </w:rPr>
          <w:t>u</w:t>
        </w:r>
        <w:r>
          <w:rPr>
            <w:color w:val="231F20"/>
            <w:spacing w:val="-2"/>
            <w:w w:val="103"/>
            <w:sz w:val="17"/>
          </w:rPr>
          <w:t>m</w:t>
        </w:r>
      </w:hyperlink>
      <w:r>
        <w:rPr>
          <w:color w:val="231F20"/>
          <w:spacing w:val="40"/>
          <w:sz w:val="17"/>
        </w:rPr>
        <w:t xml:space="preserve"> </w:t>
      </w:r>
      <w:r>
        <w:rPr>
          <w:color w:val="231F20"/>
          <w:sz w:val="17"/>
        </w:rPr>
        <w:t>(accessed 22 August 2017).</w:t>
      </w:r>
    </w:p>
    <w:p w14:paraId="722750E9" w14:textId="77777777" w:rsidR="00AE0598" w:rsidRDefault="0069255A">
      <w:pPr>
        <w:spacing w:before="2"/>
        <w:ind w:left="430" w:right="128" w:hanging="320"/>
        <w:jc w:val="both"/>
        <w:rPr>
          <w:sz w:val="17"/>
        </w:rPr>
      </w:pPr>
      <w:r>
        <w:rPr>
          <w:color w:val="231F20"/>
          <w:sz w:val="17"/>
        </w:rPr>
        <w:t xml:space="preserve">Atkisson, A. (2000) </w:t>
      </w:r>
      <w:r>
        <w:rPr>
          <w:i/>
          <w:color w:val="231F20"/>
          <w:sz w:val="17"/>
        </w:rPr>
        <w:t>Believing Cassandra: An Optimist Looks at a Pessimists World</w:t>
      </w:r>
      <w:r>
        <w:rPr>
          <w:color w:val="231F20"/>
          <w:sz w:val="17"/>
        </w:rPr>
        <w:t>. New</w:t>
      </w:r>
      <w:r>
        <w:rPr>
          <w:color w:val="231F20"/>
          <w:spacing w:val="40"/>
          <w:sz w:val="17"/>
        </w:rPr>
        <w:t xml:space="preserve"> </w:t>
      </w:r>
      <w:r>
        <w:rPr>
          <w:color w:val="231F20"/>
          <w:sz w:val="17"/>
        </w:rPr>
        <w:t>York: Scribe Publishers.</w:t>
      </w:r>
    </w:p>
    <w:p w14:paraId="6957FC91" w14:textId="77777777" w:rsidR="00AE0598" w:rsidRDefault="0069255A">
      <w:pPr>
        <w:spacing w:before="1"/>
        <w:ind w:left="430" w:right="128" w:hanging="320"/>
        <w:jc w:val="both"/>
        <w:rPr>
          <w:sz w:val="17"/>
        </w:rPr>
      </w:pPr>
      <w:r>
        <w:rPr>
          <w:color w:val="231F20"/>
          <w:sz w:val="17"/>
        </w:rPr>
        <w:t>Bagheri, A. and Hjorth, P. (2007) Planning for sustainable development: A paradigm shift</w:t>
      </w:r>
      <w:r>
        <w:rPr>
          <w:color w:val="231F20"/>
          <w:spacing w:val="40"/>
          <w:sz w:val="17"/>
        </w:rPr>
        <w:t xml:space="preserve"> </w:t>
      </w:r>
      <w:r>
        <w:rPr>
          <w:color w:val="231F20"/>
          <w:sz w:val="17"/>
        </w:rPr>
        <w:t xml:space="preserve">towards a process-based approach. </w:t>
      </w:r>
      <w:r>
        <w:rPr>
          <w:i/>
          <w:color w:val="231F20"/>
          <w:sz w:val="17"/>
        </w:rPr>
        <w:t xml:space="preserve">Sustainable Development </w:t>
      </w:r>
      <w:r>
        <w:rPr>
          <w:color w:val="231F20"/>
          <w:sz w:val="17"/>
        </w:rPr>
        <w:t>16, 83–96.</w:t>
      </w:r>
    </w:p>
    <w:p w14:paraId="6F8145AD" w14:textId="77777777" w:rsidR="00AE0598" w:rsidRDefault="0069255A">
      <w:pPr>
        <w:spacing w:before="2"/>
        <w:ind w:left="430" w:right="128" w:hanging="320"/>
        <w:jc w:val="both"/>
        <w:rPr>
          <w:sz w:val="17"/>
        </w:rPr>
      </w:pPr>
      <w:r>
        <w:rPr>
          <w:color w:val="231F20"/>
          <w:sz w:val="17"/>
        </w:rPr>
        <w:t>Baker, C. (2015) Beyond the island story?: The opening ceremony of the London 2012</w:t>
      </w:r>
      <w:r>
        <w:rPr>
          <w:color w:val="231F20"/>
          <w:spacing w:val="40"/>
          <w:sz w:val="17"/>
        </w:rPr>
        <w:t xml:space="preserve"> </w:t>
      </w:r>
      <w:r>
        <w:rPr>
          <w:color w:val="231F20"/>
          <w:sz w:val="17"/>
        </w:rPr>
        <w:t>Olympic Games a</w:t>
      </w:r>
      <w:r>
        <w:rPr>
          <w:color w:val="231F20"/>
          <w:sz w:val="17"/>
        </w:rPr>
        <w:t xml:space="preserve">s public history. </w:t>
      </w:r>
      <w:r>
        <w:rPr>
          <w:i/>
          <w:color w:val="231F20"/>
          <w:sz w:val="17"/>
        </w:rPr>
        <w:t xml:space="preserve">Rethinking History </w:t>
      </w:r>
      <w:r>
        <w:rPr>
          <w:color w:val="231F20"/>
          <w:sz w:val="17"/>
        </w:rPr>
        <w:t>19 (3), 409–428.</w:t>
      </w:r>
    </w:p>
    <w:p w14:paraId="4D5AF97B" w14:textId="77777777" w:rsidR="00AE0598" w:rsidRDefault="00AE0598">
      <w:pPr>
        <w:pStyle w:val="Corpodetexto"/>
        <w:rPr>
          <w:sz w:val="20"/>
        </w:rPr>
      </w:pPr>
    </w:p>
    <w:p w14:paraId="3621B26F" w14:textId="77777777" w:rsidR="00AE0598" w:rsidRDefault="00AE0598">
      <w:pPr>
        <w:pStyle w:val="Corpodetexto"/>
        <w:spacing w:before="7"/>
        <w:rPr>
          <w:sz w:val="19"/>
        </w:rPr>
      </w:pPr>
    </w:p>
    <w:p w14:paraId="45C7227E" w14:textId="77777777" w:rsidR="00AE0598" w:rsidRDefault="0069255A">
      <w:pPr>
        <w:spacing w:before="1"/>
        <w:ind w:left="384" w:right="409"/>
        <w:jc w:val="center"/>
        <w:rPr>
          <w:rFonts w:ascii="Trebuchet MS"/>
          <w:sz w:val="16"/>
        </w:rPr>
      </w:pPr>
      <w:r>
        <w:rPr>
          <w:rFonts w:ascii="Trebuchet MS"/>
          <w:color w:val="231F20"/>
          <w:spacing w:val="-5"/>
          <w:w w:val="105"/>
          <w:sz w:val="16"/>
        </w:rPr>
        <w:t>238</w:t>
      </w:r>
    </w:p>
    <w:p w14:paraId="03831145" w14:textId="77777777" w:rsidR="00AE0598" w:rsidRDefault="00AE0598">
      <w:pPr>
        <w:jc w:val="center"/>
        <w:rPr>
          <w:rFonts w:ascii="Trebuchet MS"/>
          <w:sz w:val="16"/>
        </w:rPr>
        <w:sectPr w:rsidR="00AE0598">
          <w:pgSz w:w="8850" w:h="13270"/>
          <w:pgMar w:top="1020" w:right="1060" w:bottom="280" w:left="1080" w:header="720" w:footer="720" w:gutter="0"/>
          <w:cols w:space="720"/>
        </w:sectPr>
      </w:pPr>
    </w:p>
    <w:p w14:paraId="563A4135" w14:textId="77777777" w:rsidR="00AE0598" w:rsidRDefault="0069255A">
      <w:pPr>
        <w:spacing w:before="87"/>
        <w:ind w:left="110" w:right="128"/>
        <w:jc w:val="right"/>
        <w:rPr>
          <w:rFonts w:ascii="Trebuchet MS"/>
          <w:sz w:val="14"/>
        </w:rPr>
      </w:pPr>
      <w:r>
        <w:rPr>
          <w:rFonts w:ascii="Trebuchet MS"/>
          <w:color w:val="231F20"/>
          <w:w w:val="105"/>
          <w:sz w:val="14"/>
        </w:rPr>
        <w:lastRenderedPageBreak/>
        <w:t>References</w:t>
      </w:r>
      <w:r>
        <w:rPr>
          <w:rFonts w:ascii="Trebuchet MS"/>
          <w:color w:val="231F20"/>
          <w:spacing w:val="67"/>
          <w:w w:val="105"/>
          <w:sz w:val="14"/>
        </w:rPr>
        <w:t xml:space="preserve"> </w:t>
      </w:r>
      <w:r>
        <w:rPr>
          <w:rFonts w:ascii="Trebuchet MS"/>
          <w:color w:val="231F20"/>
          <w:spacing w:val="-5"/>
          <w:w w:val="105"/>
          <w:sz w:val="14"/>
        </w:rPr>
        <w:t>239</w:t>
      </w:r>
    </w:p>
    <w:p w14:paraId="13E4707D" w14:textId="77777777" w:rsidR="00AE0598" w:rsidRDefault="00AE0598">
      <w:pPr>
        <w:pStyle w:val="Corpodetexto"/>
        <w:rPr>
          <w:rFonts w:ascii="Trebuchet MS"/>
          <w:sz w:val="16"/>
        </w:rPr>
      </w:pPr>
    </w:p>
    <w:p w14:paraId="3DBC23E8" w14:textId="77777777" w:rsidR="00AE0598" w:rsidRDefault="0069255A">
      <w:pPr>
        <w:spacing w:before="121"/>
        <w:ind w:left="110"/>
        <w:rPr>
          <w:sz w:val="17"/>
        </w:rPr>
      </w:pPr>
      <w:r>
        <w:rPr>
          <w:color w:val="231F20"/>
          <w:sz w:val="17"/>
        </w:rPr>
        <w:t>Bale,</w:t>
      </w:r>
      <w:r>
        <w:rPr>
          <w:color w:val="231F20"/>
          <w:spacing w:val="22"/>
          <w:w w:val="105"/>
          <w:sz w:val="17"/>
        </w:rPr>
        <w:t xml:space="preserve"> </w:t>
      </w:r>
      <w:r>
        <w:rPr>
          <w:color w:val="231F20"/>
          <w:w w:val="105"/>
          <w:sz w:val="17"/>
        </w:rPr>
        <w:t>J.</w:t>
      </w:r>
      <w:r>
        <w:rPr>
          <w:color w:val="231F20"/>
          <w:spacing w:val="23"/>
          <w:w w:val="105"/>
          <w:sz w:val="17"/>
        </w:rPr>
        <w:t xml:space="preserve"> </w:t>
      </w:r>
      <w:r>
        <w:rPr>
          <w:color w:val="231F20"/>
          <w:sz w:val="17"/>
        </w:rPr>
        <w:t>(1982)</w:t>
      </w:r>
      <w:r>
        <w:rPr>
          <w:color w:val="231F20"/>
          <w:spacing w:val="23"/>
          <w:sz w:val="17"/>
        </w:rPr>
        <w:t xml:space="preserve"> </w:t>
      </w:r>
      <w:r>
        <w:rPr>
          <w:i/>
          <w:color w:val="231F20"/>
          <w:sz w:val="17"/>
        </w:rPr>
        <w:t>Sport</w:t>
      </w:r>
      <w:r>
        <w:rPr>
          <w:i/>
          <w:color w:val="231F20"/>
          <w:spacing w:val="25"/>
          <w:sz w:val="17"/>
        </w:rPr>
        <w:t xml:space="preserve"> </w:t>
      </w:r>
      <w:r>
        <w:rPr>
          <w:i/>
          <w:color w:val="231F20"/>
          <w:sz w:val="17"/>
        </w:rPr>
        <w:t>and</w:t>
      </w:r>
      <w:r>
        <w:rPr>
          <w:i/>
          <w:color w:val="231F20"/>
          <w:spacing w:val="24"/>
          <w:sz w:val="17"/>
        </w:rPr>
        <w:t xml:space="preserve"> </w:t>
      </w:r>
      <w:r>
        <w:rPr>
          <w:i/>
          <w:color w:val="231F20"/>
          <w:sz w:val="17"/>
        </w:rPr>
        <w:t>Place:</w:t>
      </w:r>
      <w:r>
        <w:rPr>
          <w:i/>
          <w:color w:val="231F20"/>
          <w:spacing w:val="25"/>
          <w:sz w:val="17"/>
        </w:rPr>
        <w:t xml:space="preserve"> </w:t>
      </w:r>
      <w:r>
        <w:rPr>
          <w:i/>
          <w:color w:val="231F20"/>
          <w:sz w:val="17"/>
        </w:rPr>
        <w:t>A</w:t>
      </w:r>
      <w:r>
        <w:rPr>
          <w:i/>
          <w:color w:val="231F20"/>
          <w:spacing w:val="24"/>
          <w:sz w:val="17"/>
        </w:rPr>
        <w:t xml:space="preserve"> </w:t>
      </w:r>
      <w:r>
        <w:rPr>
          <w:i/>
          <w:color w:val="231F20"/>
          <w:sz w:val="17"/>
        </w:rPr>
        <w:t>Geography</w:t>
      </w:r>
      <w:r>
        <w:rPr>
          <w:i/>
          <w:color w:val="231F20"/>
          <w:spacing w:val="25"/>
          <w:sz w:val="17"/>
        </w:rPr>
        <w:t xml:space="preserve"> </w:t>
      </w:r>
      <w:r>
        <w:rPr>
          <w:i/>
          <w:color w:val="231F20"/>
          <w:sz w:val="17"/>
        </w:rPr>
        <w:t>of</w:t>
      </w:r>
      <w:r>
        <w:rPr>
          <w:i/>
          <w:color w:val="231F20"/>
          <w:spacing w:val="24"/>
          <w:sz w:val="17"/>
        </w:rPr>
        <w:t xml:space="preserve"> </w:t>
      </w:r>
      <w:r>
        <w:rPr>
          <w:i/>
          <w:color w:val="231F20"/>
          <w:sz w:val="17"/>
        </w:rPr>
        <w:t>Sport</w:t>
      </w:r>
      <w:r>
        <w:rPr>
          <w:i/>
          <w:color w:val="231F20"/>
          <w:spacing w:val="25"/>
          <w:sz w:val="17"/>
        </w:rPr>
        <w:t xml:space="preserve"> </w:t>
      </w:r>
      <w:r>
        <w:rPr>
          <w:i/>
          <w:color w:val="231F20"/>
          <w:sz w:val="17"/>
        </w:rPr>
        <w:t>in</w:t>
      </w:r>
      <w:r>
        <w:rPr>
          <w:i/>
          <w:color w:val="231F20"/>
          <w:spacing w:val="24"/>
          <w:sz w:val="17"/>
        </w:rPr>
        <w:t xml:space="preserve"> </w:t>
      </w:r>
      <w:r>
        <w:rPr>
          <w:i/>
          <w:color w:val="231F20"/>
          <w:sz w:val="17"/>
        </w:rPr>
        <w:t>England,</w:t>
      </w:r>
      <w:r>
        <w:rPr>
          <w:i/>
          <w:color w:val="231F20"/>
          <w:spacing w:val="25"/>
          <w:sz w:val="17"/>
        </w:rPr>
        <w:t xml:space="preserve"> </w:t>
      </w:r>
      <w:r>
        <w:rPr>
          <w:i/>
          <w:color w:val="231F20"/>
          <w:sz w:val="17"/>
        </w:rPr>
        <w:t>Scotland</w:t>
      </w:r>
      <w:r>
        <w:rPr>
          <w:i/>
          <w:color w:val="231F20"/>
          <w:spacing w:val="25"/>
          <w:sz w:val="17"/>
        </w:rPr>
        <w:t xml:space="preserve"> </w:t>
      </w:r>
      <w:r>
        <w:rPr>
          <w:i/>
          <w:color w:val="231F20"/>
          <w:sz w:val="17"/>
        </w:rPr>
        <w:t>and</w:t>
      </w:r>
      <w:r>
        <w:rPr>
          <w:i/>
          <w:color w:val="231F20"/>
          <w:spacing w:val="24"/>
          <w:sz w:val="17"/>
        </w:rPr>
        <w:t xml:space="preserve"> </w:t>
      </w:r>
      <w:r>
        <w:rPr>
          <w:i/>
          <w:color w:val="231F20"/>
          <w:spacing w:val="-2"/>
          <w:sz w:val="17"/>
        </w:rPr>
        <w:t>Wales</w:t>
      </w:r>
      <w:r>
        <w:rPr>
          <w:color w:val="231F20"/>
          <w:spacing w:val="-2"/>
          <w:sz w:val="17"/>
        </w:rPr>
        <w:t>.</w:t>
      </w:r>
    </w:p>
    <w:p w14:paraId="75BA5378" w14:textId="77777777" w:rsidR="00AE0598" w:rsidRDefault="0069255A">
      <w:pPr>
        <w:ind w:left="430"/>
        <w:rPr>
          <w:sz w:val="17"/>
        </w:rPr>
      </w:pPr>
      <w:r>
        <w:rPr>
          <w:color w:val="231F20"/>
          <w:w w:val="105"/>
          <w:sz w:val="17"/>
        </w:rPr>
        <w:t>London:</w:t>
      </w:r>
      <w:r>
        <w:rPr>
          <w:color w:val="231F20"/>
          <w:spacing w:val="9"/>
          <w:w w:val="105"/>
          <w:sz w:val="17"/>
        </w:rPr>
        <w:t xml:space="preserve"> </w:t>
      </w:r>
      <w:r>
        <w:rPr>
          <w:color w:val="231F20"/>
          <w:w w:val="105"/>
          <w:sz w:val="17"/>
        </w:rPr>
        <w:t>C.</w:t>
      </w:r>
      <w:r>
        <w:rPr>
          <w:color w:val="231F20"/>
          <w:spacing w:val="10"/>
          <w:w w:val="105"/>
          <w:sz w:val="17"/>
        </w:rPr>
        <w:t xml:space="preserve"> </w:t>
      </w:r>
      <w:r>
        <w:rPr>
          <w:color w:val="231F20"/>
          <w:w w:val="105"/>
          <w:sz w:val="17"/>
        </w:rPr>
        <w:t>Hurst</w:t>
      </w:r>
      <w:r>
        <w:rPr>
          <w:color w:val="231F20"/>
          <w:spacing w:val="10"/>
          <w:w w:val="105"/>
          <w:sz w:val="17"/>
        </w:rPr>
        <w:t xml:space="preserve"> </w:t>
      </w:r>
      <w:r>
        <w:rPr>
          <w:color w:val="231F20"/>
          <w:w w:val="105"/>
          <w:sz w:val="17"/>
        </w:rPr>
        <w:t>&amp;</w:t>
      </w:r>
      <w:r>
        <w:rPr>
          <w:color w:val="231F20"/>
          <w:spacing w:val="10"/>
          <w:w w:val="105"/>
          <w:sz w:val="17"/>
        </w:rPr>
        <w:t xml:space="preserve"> </w:t>
      </w:r>
      <w:r>
        <w:rPr>
          <w:color w:val="231F20"/>
          <w:w w:val="105"/>
          <w:sz w:val="17"/>
        </w:rPr>
        <w:t>Co.</w:t>
      </w:r>
      <w:r>
        <w:rPr>
          <w:color w:val="231F20"/>
          <w:spacing w:val="10"/>
          <w:w w:val="105"/>
          <w:sz w:val="17"/>
        </w:rPr>
        <w:t xml:space="preserve"> </w:t>
      </w:r>
      <w:r>
        <w:rPr>
          <w:color w:val="231F20"/>
          <w:spacing w:val="-4"/>
          <w:w w:val="105"/>
          <w:sz w:val="17"/>
        </w:rPr>
        <w:t>Ltd.</w:t>
      </w:r>
    </w:p>
    <w:p w14:paraId="08211AC8" w14:textId="77777777" w:rsidR="00AE0598" w:rsidRDefault="0069255A">
      <w:pPr>
        <w:spacing w:before="1"/>
        <w:ind w:left="110"/>
        <w:rPr>
          <w:sz w:val="17"/>
        </w:rPr>
      </w:pPr>
      <w:r>
        <w:rPr>
          <w:color w:val="231F20"/>
          <w:sz w:val="17"/>
        </w:rPr>
        <w:t>Bale,</w:t>
      </w:r>
      <w:r>
        <w:rPr>
          <w:color w:val="231F20"/>
          <w:spacing w:val="13"/>
          <w:sz w:val="17"/>
        </w:rPr>
        <w:t xml:space="preserve"> </w:t>
      </w:r>
      <w:r>
        <w:rPr>
          <w:color w:val="231F20"/>
          <w:sz w:val="17"/>
        </w:rPr>
        <w:t>J.</w:t>
      </w:r>
      <w:r>
        <w:rPr>
          <w:color w:val="231F20"/>
          <w:spacing w:val="14"/>
          <w:sz w:val="17"/>
        </w:rPr>
        <w:t xml:space="preserve"> </w:t>
      </w:r>
      <w:r>
        <w:rPr>
          <w:color w:val="231F20"/>
          <w:sz w:val="17"/>
        </w:rPr>
        <w:t>(1989)</w:t>
      </w:r>
      <w:r>
        <w:rPr>
          <w:color w:val="231F20"/>
          <w:spacing w:val="14"/>
          <w:sz w:val="17"/>
        </w:rPr>
        <w:t xml:space="preserve"> </w:t>
      </w:r>
      <w:r>
        <w:rPr>
          <w:i/>
          <w:color w:val="231F20"/>
          <w:sz w:val="17"/>
        </w:rPr>
        <w:t>Sports</w:t>
      </w:r>
      <w:r>
        <w:rPr>
          <w:i/>
          <w:color w:val="231F20"/>
          <w:spacing w:val="14"/>
          <w:sz w:val="17"/>
        </w:rPr>
        <w:t xml:space="preserve"> </w:t>
      </w:r>
      <w:r>
        <w:rPr>
          <w:i/>
          <w:color w:val="231F20"/>
          <w:sz w:val="17"/>
        </w:rPr>
        <w:t>Geography</w:t>
      </w:r>
      <w:r>
        <w:rPr>
          <w:color w:val="231F20"/>
          <w:sz w:val="17"/>
        </w:rPr>
        <w:t>.</w:t>
      </w:r>
      <w:r>
        <w:rPr>
          <w:color w:val="231F20"/>
          <w:spacing w:val="14"/>
          <w:sz w:val="17"/>
        </w:rPr>
        <w:t xml:space="preserve"> </w:t>
      </w:r>
      <w:r>
        <w:rPr>
          <w:color w:val="231F20"/>
          <w:sz w:val="17"/>
        </w:rPr>
        <w:t>London:</w:t>
      </w:r>
      <w:r>
        <w:rPr>
          <w:color w:val="231F20"/>
          <w:spacing w:val="14"/>
          <w:sz w:val="17"/>
        </w:rPr>
        <w:t xml:space="preserve"> </w:t>
      </w:r>
      <w:r>
        <w:rPr>
          <w:color w:val="231F20"/>
          <w:sz w:val="17"/>
        </w:rPr>
        <w:t>E&amp;FN</w:t>
      </w:r>
      <w:r>
        <w:rPr>
          <w:color w:val="231F20"/>
          <w:spacing w:val="14"/>
          <w:sz w:val="17"/>
        </w:rPr>
        <w:t xml:space="preserve"> </w:t>
      </w:r>
      <w:r>
        <w:rPr>
          <w:color w:val="231F20"/>
          <w:spacing w:val="-4"/>
          <w:sz w:val="17"/>
        </w:rPr>
        <w:t>Spon.</w:t>
      </w:r>
    </w:p>
    <w:p w14:paraId="790D2B9E" w14:textId="77777777" w:rsidR="00AE0598" w:rsidRDefault="0069255A">
      <w:pPr>
        <w:spacing w:before="1"/>
        <w:ind w:left="430" w:right="156" w:hanging="320"/>
        <w:rPr>
          <w:sz w:val="17"/>
        </w:rPr>
      </w:pPr>
      <w:r>
        <w:rPr>
          <w:color w:val="231F20"/>
          <w:sz w:val="17"/>
        </w:rPr>
        <w:t xml:space="preserve">Bale, </w:t>
      </w:r>
      <w:r>
        <w:rPr>
          <w:color w:val="231F20"/>
          <w:w w:val="105"/>
          <w:sz w:val="17"/>
        </w:rPr>
        <w:t xml:space="preserve">J. </w:t>
      </w:r>
      <w:r>
        <w:rPr>
          <w:color w:val="231F20"/>
          <w:sz w:val="17"/>
        </w:rPr>
        <w:t xml:space="preserve">(1993) The spatial development of the modern stadium. </w:t>
      </w:r>
      <w:r>
        <w:rPr>
          <w:i/>
          <w:color w:val="231F20"/>
          <w:sz w:val="17"/>
        </w:rPr>
        <w:t>International Review for</w:t>
      </w:r>
      <w:r>
        <w:rPr>
          <w:i/>
          <w:color w:val="231F20"/>
          <w:spacing w:val="40"/>
          <w:sz w:val="17"/>
        </w:rPr>
        <w:t xml:space="preserve"> </w:t>
      </w:r>
      <w:r>
        <w:rPr>
          <w:i/>
          <w:color w:val="231F20"/>
          <w:sz w:val="17"/>
        </w:rPr>
        <w:t xml:space="preserve">the Sociology of Sport </w:t>
      </w:r>
      <w:r>
        <w:rPr>
          <w:color w:val="231F20"/>
          <w:sz w:val="17"/>
        </w:rPr>
        <w:t>28 (2–3), 121–133.</w:t>
      </w:r>
    </w:p>
    <w:p w14:paraId="094F38C0" w14:textId="77777777" w:rsidR="00AE0598" w:rsidRDefault="0069255A">
      <w:pPr>
        <w:spacing w:before="1"/>
        <w:ind w:left="110"/>
        <w:rPr>
          <w:sz w:val="17"/>
        </w:rPr>
      </w:pPr>
      <w:r>
        <w:rPr>
          <w:color w:val="231F20"/>
          <w:sz w:val="17"/>
        </w:rPr>
        <w:t>Bale,</w:t>
      </w:r>
      <w:r>
        <w:rPr>
          <w:color w:val="231F20"/>
          <w:spacing w:val="1"/>
          <w:w w:val="105"/>
          <w:sz w:val="17"/>
        </w:rPr>
        <w:t xml:space="preserve"> </w:t>
      </w:r>
      <w:r>
        <w:rPr>
          <w:color w:val="231F20"/>
          <w:w w:val="105"/>
          <w:sz w:val="17"/>
        </w:rPr>
        <w:t>J.</w:t>
      </w:r>
      <w:r>
        <w:rPr>
          <w:color w:val="231F20"/>
          <w:spacing w:val="2"/>
          <w:w w:val="105"/>
          <w:sz w:val="17"/>
        </w:rPr>
        <w:t xml:space="preserve"> </w:t>
      </w:r>
      <w:r>
        <w:rPr>
          <w:color w:val="231F20"/>
          <w:sz w:val="17"/>
        </w:rPr>
        <w:t>(1993a)</w:t>
      </w:r>
      <w:r>
        <w:rPr>
          <w:color w:val="231F20"/>
          <w:spacing w:val="4"/>
          <w:sz w:val="17"/>
        </w:rPr>
        <w:t xml:space="preserve"> </w:t>
      </w:r>
      <w:r>
        <w:rPr>
          <w:i/>
          <w:color w:val="231F20"/>
          <w:sz w:val="17"/>
        </w:rPr>
        <w:t>Sport,</w:t>
      </w:r>
      <w:r>
        <w:rPr>
          <w:i/>
          <w:color w:val="231F20"/>
          <w:spacing w:val="4"/>
          <w:sz w:val="17"/>
        </w:rPr>
        <w:t xml:space="preserve"> </w:t>
      </w:r>
      <w:r>
        <w:rPr>
          <w:i/>
          <w:color w:val="231F20"/>
          <w:sz w:val="17"/>
        </w:rPr>
        <w:t>Space</w:t>
      </w:r>
      <w:r>
        <w:rPr>
          <w:i/>
          <w:color w:val="231F20"/>
          <w:spacing w:val="3"/>
          <w:sz w:val="17"/>
        </w:rPr>
        <w:t xml:space="preserve"> </w:t>
      </w:r>
      <w:r>
        <w:rPr>
          <w:i/>
          <w:color w:val="231F20"/>
          <w:sz w:val="17"/>
        </w:rPr>
        <w:t>and</w:t>
      </w:r>
      <w:r>
        <w:rPr>
          <w:i/>
          <w:color w:val="231F20"/>
          <w:spacing w:val="4"/>
          <w:sz w:val="17"/>
        </w:rPr>
        <w:t xml:space="preserve"> </w:t>
      </w:r>
      <w:r>
        <w:rPr>
          <w:i/>
          <w:color w:val="231F20"/>
          <w:sz w:val="17"/>
        </w:rPr>
        <w:t>the</w:t>
      </w:r>
      <w:r>
        <w:rPr>
          <w:i/>
          <w:color w:val="231F20"/>
          <w:spacing w:val="4"/>
          <w:sz w:val="17"/>
        </w:rPr>
        <w:t xml:space="preserve"> </w:t>
      </w:r>
      <w:r>
        <w:rPr>
          <w:i/>
          <w:color w:val="231F20"/>
          <w:sz w:val="17"/>
        </w:rPr>
        <w:t>City</w:t>
      </w:r>
      <w:r>
        <w:rPr>
          <w:color w:val="231F20"/>
          <w:sz w:val="17"/>
        </w:rPr>
        <w:t>.</w:t>
      </w:r>
      <w:r>
        <w:rPr>
          <w:color w:val="231F20"/>
          <w:spacing w:val="4"/>
          <w:sz w:val="17"/>
        </w:rPr>
        <w:t xml:space="preserve"> </w:t>
      </w:r>
      <w:r>
        <w:rPr>
          <w:color w:val="231F20"/>
          <w:sz w:val="17"/>
        </w:rPr>
        <w:t>London:</w:t>
      </w:r>
      <w:r>
        <w:rPr>
          <w:color w:val="231F20"/>
          <w:spacing w:val="3"/>
          <w:sz w:val="17"/>
        </w:rPr>
        <w:t xml:space="preserve"> </w:t>
      </w:r>
      <w:r>
        <w:rPr>
          <w:color w:val="231F20"/>
          <w:spacing w:val="-2"/>
          <w:sz w:val="17"/>
        </w:rPr>
        <w:t>Routledge.</w:t>
      </w:r>
    </w:p>
    <w:p w14:paraId="3F40C40A" w14:textId="77777777" w:rsidR="00AE0598" w:rsidRDefault="0069255A">
      <w:pPr>
        <w:spacing w:before="1"/>
        <w:ind w:left="430" w:hanging="320"/>
        <w:rPr>
          <w:sz w:val="17"/>
        </w:rPr>
      </w:pPr>
      <w:r>
        <w:rPr>
          <w:color w:val="231F20"/>
          <w:sz w:val="17"/>
        </w:rPr>
        <w:t>Bale,</w:t>
      </w:r>
      <w:r>
        <w:rPr>
          <w:color w:val="231F20"/>
          <w:spacing w:val="-1"/>
          <w:sz w:val="17"/>
        </w:rPr>
        <w:t xml:space="preserve"> </w:t>
      </w:r>
      <w:r>
        <w:rPr>
          <w:color w:val="231F20"/>
          <w:w w:val="105"/>
          <w:sz w:val="17"/>
        </w:rPr>
        <w:t>J.</w:t>
      </w:r>
      <w:r>
        <w:rPr>
          <w:color w:val="231F20"/>
          <w:spacing w:val="-3"/>
          <w:w w:val="105"/>
          <w:sz w:val="17"/>
        </w:rPr>
        <w:t xml:space="preserve"> </w:t>
      </w:r>
      <w:r>
        <w:rPr>
          <w:color w:val="231F20"/>
          <w:sz w:val="17"/>
        </w:rPr>
        <w:t>(1993b)</w:t>
      </w:r>
      <w:r>
        <w:rPr>
          <w:color w:val="231F20"/>
          <w:spacing w:val="-1"/>
          <w:sz w:val="17"/>
        </w:rPr>
        <w:t xml:space="preserve"> </w:t>
      </w:r>
      <w:r>
        <w:rPr>
          <w:color w:val="231F20"/>
          <w:sz w:val="17"/>
        </w:rPr>
        <w:t>The</w:t>
      </w:r>
      <w:r>
        <w:rPr>
          <w:color w:val="231F20"/>
          <w:spacing w:val="-1"/>
          <w:sz w:val="17"/>
        </w:rPr>
        <w:t xml:space="preserve"> </w:t>
      </w:r>
      <w:r>
        <w:rPr>
          <w:color w:val="231F20"/>
          <w:sz w:val="17"/>
        </w:rPr>
        <w:t>spatial</w:t>
      </w:r>
      <w:r>
        <w:rPr>
          <w:color w:val="231F20"/>
          <w:spacing w:val="-1"/>
          <w:sz w:val="17"/>
        </w:rPr>
        <w:t xml:space="preserve"> </w:t>
      </w:r>
      <w:r>
        <w:rPr>
          <w:color w:val="231F20"/>
          <w:sz w:val="17"/>
        </w:rPr>
        <w:t>development</w:t>
      </w:r>
      <w:r>
        <w:rPr>
          <w:color w:val="231F20"/>
          <w:spacing w:val="-1"/>
          <w:sz w:val="17"/>
        </w:rPr>
        <w:t xml:space="preserve"> </w:t>
      </w:r>
      <w:r>
        <w:rPr>
          <w:color w:val="231F20"/>
          <w:sz w:val="17"/>
        </w:rPr>
        <w:t>of</w:t>
      </w:r>
      <w:r>
        <w:rPr>
          <w:color w:val="231F20"/>
          <w:spacing w:val="-1"/>
          <w:sz w:val="17"/>
        </w:rPr>
        <w:t xml:space="preserve"> </w:t>
      </w:r>
      <w:r>
        <w:rPr>
          <w:color w:val="231F20"/>
          <w:sz w:val="17"/>
        </w:rPr>
        <w:t>the</w:t>
      </w:r>
      <w:r>
        <w:rPr>
          <w:color w:val="231F20"/>
          <w:spacing w:val="-1"/>
          <w:sz w:val="17"/>
        </w:rPr>
        <w:t xml:space="preserve"> </w:t>
      </w:r>
      <w:r>
        <w:rPr>
          <w:color w:val="231F20"/>
          <w:sz w:val="17"/>
        </w:rPr>
        <w:t>modern</w:t>
      </w:r>
      <w:r>
        <w:rPr>
          <w:color w:val="231F20"/>
          <w:spacing w:val="-1"/>
          <w:sz w:val="17"/>
        </w:rPr>
        <w:t xml:space="preserve"> </w:t>
      </w:r>
      <w:r>
        <w:rPr>
          <w:color w:val="231F20"/>
          <w:sz w:val="17"/>
        </w:rPr>
        <w:t>stadium.</w:t>
      </w:r>
      <w:r>
        <w:rPr>
          <w:color w:val="231F20"/>
          <w:spacing w:val="-1"/>
          <w:sz w:val="17"/>
        </w:rPr>
        <w:t xml:space="preserve"> </w:t>
      </w:r>
      <w:r>
        <w:rPr>
          <w:i/>
          <w:color w:val="231F20"/>
          <w:sz w:val="17"/>
        </w:rPr>
        <w:t>International</w:t>
      </w:r>
      <w:r>
        <w:rPr>
          <w:i/>
          <w:color w:val="231F20"/>
          <w:spacing w:val="-1"/>
          <w:sz w:val="17"/>
        </w:rPr>
        <w:t xml:space="preserve"> </w:t>
      </w:r>
      <w:r>
        <w:rPr>
          <w:i/>
          <w:color w:val="231F20"/>
          <w:sz w:val="17"/>
        </w:rPr>
        <w:t>Review</w:t>
      </w:r>
      <w:r>
        <w:rPr>
          <w:i/>
          <w:color w:val="231F20"/>
          <w:spacing w:val="-1"/>
          <w:sz w:val="17"/>
        </w:rPr>
        <w:t xml:space="preserve"> </w:t>
      </w:r>
      <w:r>
        <w:rPr>
          <w:i/>
          <w:color w:val="231F20"/>
          <w:sz w:val="17"/>
        </w:rPr>
        <w:t>for</w:t>
      </w:r>
      <w:r>
        <w:rPr>
          <w:i/>
          <w:color w:val="231F20"/>
          <w:spacing w:val="40"/>
          <w:sz w:val="17"/>
        </w:rPr>
        <w:t xml:space="preserve"> </w:t>
      </w:r>
      <w:r>
        <w:rPr>
          <w:i/>
          <w:color w:val="231F20"/>
          <w:sz w:val="17"/>
        </w:rPr>
        <w:t xml:space="preserve">the Sociology of Sport </w:t>
      </w:r>
      <w:r>
        <w:rPr>
          <w:color w:val="231F20"/>
          <w:sz w:val="17"/>
        </w:rPr>
        <w:t>28 (2+3), 121–134.</w:t>
      </w:r>
    </w:p>
    <w:p w14:paraId="32AD8681" w14:textId="77777777" w:rsidR="00AE0598" w:rsidRDefault="0069255A">
      <w:pPr>
        <w:spacing w:before="1"/>
        <w:ind w:left="110" w:right="998" w:hanging="1"/>
        <w:rPr>
          <w:sz w:val="17"/>
        </w:rPr>
      </w:pPr>
      <w:r>
        <w:rPr>
          <w:color w:val="231F20"/>
          <w:w w:val="95"/>
          <w:sz w:val="17"/>
        </w:rPr>
        <w:t xml:space="preserve">Bale, J. (1994) </w:t>
      </w:r>
      <w:r>
        <w:rPr>
          <w:i/>
          <w:color w:val="231F20"/>
          <w:w w:val="95"/>
          <w:sz w:val="17"/>
        </w:rPr>
        <w:t>Landscapes of Modern Sport</w:t>
      </w:r>
      <w:r>
        <w:rPr>
          <w:color w:val="231F20"/>
          <w:w w:val="95"/>
          <w:sz w:val="17"/>
        </w:rPr>
        <w:t>. Leicester: Leicester University Press.</w:t>
      </w:r>
      <w:r>
        <w:rPr>
          <w:color w:val="231F20"/>
          <w:spacing w:val="80"/>
          <w:sz w:val="17"/>
        </w:rPr>
        <w:t xml:space="preserve"> </w:t>
      </w:r>
      <w:r>
        <w:rPr>
          <w:color w:val="231F20"/>
          <w:sz w:val="17"/>
        </w:rPr>
        <w:t xml:space="preserve">Bale, </w:t>
      </w:r>
      <w:r>
        <w:rPr>
          <w:color w:val="231F20"/>
          <w:w w:val="105"/>
          <w:sz w:val="17"/>
        </w:rPr>
        <w:t xml:space="preserve">J. </w:t>
      </w:r>
      <w:r>
        <w:rPr>
          <w:color w:val="231F20"/>
          <w:sz w:val="17"/>
        </w:rPr>
        <w:t xml:space="preserve">(2002) </w:t>
      </w:r>
      <w:r>
        <w:rPr>
          <w:i/>
          <w:color w:val="231F20"/>
          <w:sz w:val="17"/>
        </w:rPr>
        <w:t xml:space="preserve">Sports Geography </w:t>
      </w:r>
      <w:r>
        <w:rPr>
          <w:color w:val="231F20"/>
          <w:sz w:val="17"/>
        </w:rPr>
        <w:t>(2nd edn). London: Routledge.</w:t>
      </w:r>
    </w:p>
    <w:p w14:paraId="460DD8A8" w14:textId="77777777" w:rsidR="00AE0598" w:rsidRDefault="0069255A">
      <w:pPr>
        <w:spacing w:before="2"/>
        <w:ind w:left="430" w:right="127" w:hanging="320"/>
        <w:jc w:val="both"/>
        <w:rPr>
          <w:sz w:val="17"/>
        </w:rPr>
      </w:pPr>
      <w:r>
        <w:rPr>
          <w:color w:val="231F20"/>
          <w:sz w:val="17"/>
        </w:rPr>
        <w:t xml:space="preserve">Bale, </w:t>
      </w:r>
      <w:r>
        <w:rPr>
          <w:color w:val="231F20"/>
          <w:w w:val="105"/>
          <w:sz w:val="17"/>
        </w:rPr>
        <w:t xml:space="preserve">J. </w:t>
      </w:r>
      <w:r>
        <w:rPr>
          <w:color w:val="231F20"/>
          <w:sz w:val="17"/>
        </w:rPr>
        <w:t xml:space="preserve">and Maguire, </w:t>
      </w:r>
      <w:r>
        <w:rPr>
          <w:color w:val="231F20"/>
          <w:w w:val="105"/>
          <w:sz w:val="17"/>
        </w:rPr>
        <w:t xml:space="preserve">J. </w:t>
      </w:r>
      <w:r>
        <w:rPr>
          <w:color w:val="231F20"/>
          <w:sz w:val="17"/>
        </w:rPr>
        <w:t xml:space="preserve">(2013) </w:t>
      </w:r>
      <w:r>
        <w:rPr>
          <w:i/>
          <w:color w:val="231F20"/>
          <w:sz w:val="17"/>
        </w:rPr>
        <w:t>The Global Sports Arena: Athletic Talent Migration in an</w:t>
      </w:r>
      <w:r>
        <w:rPr>
          <w:i/>
          <w:color w:val="231F20"/>
          <w:spacing w:val="40"/>
          <w:sz w:val="17"/>
        </w:rPr>
        <w:t xml:space="preserve"> </w:t>
      </w:r>
      <w:r>
        <w:rPr>
          <w:i/>
          <w:color w:val="231F20"/>
          <w:sz w:val="17"/>
        </w:rPr>
        <w:t>Interdependent World</w:t>
      </w:r>
      <w:r>
        <w:rPr>
          <w:color w:val="231F20"/>
          <w:sz w:val="17"/>
        </w:rPr>
        <w:t>. London: Routledge.</w:t>
      </w:r>
    </w:p>
    <w:p w14:paraId="1C3D7E0C" w14:textId="77777777" w:rsidR="00AE0598" w:rsidRDefault="0069255A">
      <w:pPr>
        <w:spacing w:before="1"/>
        <w:ind w:left="430" w:right="128" w:hanging="320"/>
        <w:jc w:val="both"/>
        <w:rPr>
          <w:sz w:val="17"/>
        </w:rPr>
      </w:pPr>
      <w:r>
        <w:rPr>
          <w:color w:val="231F20"/>
          <w:sz w:val="17"/>
        </w:rPr>
        <w:t xml:space="preserve">Ball, R.M. (1988) Seasonality: A problem for workers in the tourism labour market? </w:t>
      </w:r>
      <w:r>
        <w:rPr>
          <w:i/>
          <w:color w:val="231F20"/>
          <w:sz w:val="17"/>
        </w:rPr>
        <w:t>The</w:t>
      </w:r>
      <w:r>
        <w:rPr>
          <w:i/>
          <w:color w:val="231F20"/>
          <w:spacing w:val="40"/>
          <w:sz w:val="17"/>
        </w:rPr>
        <w:t xml:space="preserve"> </w:t>
      </w:r>
      <w:r>
        <w:rPr>
          <w:i/>
          <w:color w:val="231F20"/>
          <w:sz w:val="17"/>
        </w:rPr>
        <w:t xml:space="preserve">Services Industries Journal </w:t>
      </w:r>
      <w:r>
        <w:rPr>
          <w:color w:val="231F20"/>
          <w:sz w:val="17"/>
        </w:rPr>
        <w:t>8 (4), 501–513.</w:t>
      </w:r>
    </w:p>
    <w:p w14:paraId="7E19641A" w14:textId="77777777" w:rsidR="00AE0598" w:rsidRDefault="0069255A">
      <w:pPr>
        <w:spacing w:before="2"/>
        <w:ind w:left="430" w:right="127" w:hanging="320"/>
        <w:jc w:val="both"/>
        <w:rPr>
          <w:sz w:val="17"/>
        </w:rPr>
      </w:pPr>
      <w:r>
        <w:rPr>
          <w:color w:val="231F20"/>
          <w:sz w:val="17"/>
        </w:rPr>
        <w:t xml:space="preserve">Ball, R.M. (1989) Some aspects of tourism, seasonality, and local labour markets. </w:t>
      </w:r>
      <w:r>
        <w:rPr>
          <w:i/>
          <w:color w:val="231F20"/>
          <w:sz w:val="17"/>
        </w:rPr>
        <w:t xml:space="preserve">Area </w:t>
      </w:r>
      <w:r>
        <w:rPr>
          <w:color w:val="231F20"/>
          <w:sz w:val="17"/>
        </w:rPr>
        <w:t>21</w:t>
      </w:r>
      <w:r>
        <w:rPr>
          <w:color w:val="231F20"/>
          <w:spacing w:val="40"/>
          <w:sz w:val="17"/>
        </w:rPr>
        <w:t xml:space="preserve"> </w:t>
      </w:r>
      <w:r>
        <w:rPr>
          <w:color w:val="231F20"/>
          <w:sz w:val="17"/>
        </w:rPr>
        <w:t>(1), 35–45.</w:t>
      </w:r>
    </w:p>
    <w:p w14:paraId="2F22402B" w14:textId="77777777" w:rsidR="00AE0598" w:rsidRDefault="0069255A">
      <w:pPr>
        <w:spacing w:before="1"/>
        <w:ind w:left="430" w:right="128" w:hanging="320"/>
        <w:jc w:val="both"/>
        <w:rPr>
          <w:sz w:val="17"/>
        </w:rPr>
      </w:pPr>
      <w:r>
        <w:rPr>
          <w:color w:val="231F20"/>
          <w:sz w:val="17"/>
        </w:rPr>
        <w:t>Baloglu, S. and McClear</w:t>
      </w:r>
      <w:r>
        <w:rPr>
          <w:color w:val="231F20"/>
          <w:sz w:val="17"/>
        </w:rPr>
        <w:t xml:space="preserve">y, K.W. (1999) A model of destination image formation. </w:t>
      </w:r>
      <w:r>
        <w:rPr>
          <w:i/>
          <w:color w:val="231F20"/>
          <w:sz w:val="17"/>
        </w:rPr>
        <w:t>Annals of</w:t>
      </w:r>
      <w:r>
        <w:rPr>
          <w:i/>
          <w:color w:val="231F20"/>
          <w:spacing w:val="40"/>
          <w:sz w:val="17"/>
        </w:rPr>
        <w:t xml:space="preserve"> </w:t>
      </w:r>
      <w:r>
        <w:rPr>
          <w:i/>
          <w:color w:val="231F20"/>
          <w:sz w:val="17"/>
        </w:rPr>
        <w:t xml:space="preserve">Tourism Research </w:t>
      </w:r>
      <w:r>
        <w:rPr>
          <w:color w:val="231F20"/>
          <w:sz w:val="17"/>
        </w:rPr>
        <w:t>26 (4), 868–897.</w:t>
      </w:r>
    </w:p>
    <w:p w14:paraId="50047BE0" w14:textId="77777777" w:rsidR="00AE0598" w:rsidRDefault="0069255A">
      <w:pPr>
        <w:spacing w:before="1"/>
        <w:ind w:left="430" w:right="127" w:hanging="320"/>
        <w:jc w:val="both"/>
        <w:rPr>
          <w:sz w:val="17"/>
        </w:rPr>
      </w:pPr>
      <w:r>
        <w:rPr>
          <w:color w:val="231F20"/>
          <w:sz w:val="17"/>
        </w:rPr>
        <w:t>Barker, M. (2004) Crime ans sport events tourism: The 1999/2000 Americas Cup. In B.</w:t>
      </w:r>
      <w:r>
        <w:rPr>
          <w:color w:val="231F20"/>
          <w:spacing w:val="40"/>
          <w:sz w:val="17"/>
        </w:rPr>
        <w:t xml:space="preserve"> </w:t>
      </w:r>
      <w:r>
        <w:rPr>
          <w:color w:val="231F20"/>
          <w:sz w:val="17"/>
        </w:rPr>
        <w:t xml:space="preserve">Ritchie and D. Adair (eds) </w:t>
      </w:r>
      <w:r>
        <w:rPr>
          <w:i/>
          <w:color w:val="231F20"/>
          <w:sz w:val="17"/>
        </w:rPr>
        <w:t>Sport Tourism: Interrelationships, Impacts and</w:t>
      </w:r>
      <w:r>
        <w:rPr>
          <w:i/>
          <w:color w:val="231F20"/>
          <w:sz w:val="17"/>
        </w:rPr>
        <w:t xml:space="preserve"> Issues </w:t>
      </w:r>
      <w:r>
        <w:rPr>
          <w:color w:val="231F20"/>
          <w:sz w:val="17"/>
        </w:rPr>
        <w:t>(pp.</w:t>
      </w:r>
      <w:r>
        <w:rPr>
          <w:color w:val="231F20"/>
          <w:spacing w:val="40"/>
          <w:sz w:val="17"/>
        </w:rPr>
        <w:t xml:space="preserve"> </w:t>
      </w:r>
      <w:r>
        <w:rPr>
          <w:color w:val="231F20"/>
          <w:sz w:val="17"/>
        </w:rPr>
        <w:t>226–252). Clevedon: Channel View Publications.</w:t>
      </w:r>
    </w:p>
    <w:p w14:paraId="57111A70" w14:textId="77777777" w:rsidR="00AE0598" w:rsidRDefault="0069255A">
      <w:pPr>
        <w:spacing w:before="3"/>
        <w:ind w:left="134" w:right="127"/>
        <w:jc w:val="right"/>
        <w:rPr>
          <w:i/>
          <w:sz w:val="17"/>
        </w:rPr>
      </w:pPr>
      <w:r>
        <w:rPr>
          <w:color w:val="231F20"/>
          <w:sz w:val="17"/>
        </w:rPr>
        <w:t xml:space="preserve">Barney, R.K., Wenn, S.R. and Martyn, S.G. (2002) </w:t>
      </w:r>
      <w:r>
        <w:rPr>
          <w:i/>
          <w:color w:val="231F20"/>
          <w:sz w:val="17"/>
        </w:rPr>
        <w:t>The International Olympic Committee</w:t>
      </w:r>
      <w:r>
        <w:rPr>
          <w:i/>
          <w:color w:val="231F20"/>
          <w:spacing w:val="80"/>
          <w:w w:val="105"/>
          <w:sz w:val="17"/>
        </w:rPr>
        <w:t xml:space="preserve"> </w:t>
      </w:r>
      <w:r>
        <w:rPr>
          <w:i/>
          <w:color w:val="231F20"/>
          <w:w w:val="105"/>
          <w:sz w:val="17"/>
        </w:rPr>
        <w:t>and</w:t>
      </w:r>
      <w:r>
        <w:rPr>
          <w:i/>
          <w:color w:val="231F20"/>
          <w:spacing w:val="-2"/>
          <w:w w:val="105"/>
          <w:sz w:val="17"/>
        </w:rPr>
        <w:t xml:space="preserve"> </w:t>
      </w:r>
      <w:r>
        <w:rPr>
          <w:i/>
          <w:color w:val="231F20"/>
          <w:w w:val="105"/>
          <w:sz w:val="17"/>
        </w:rPr>
        <w:t>the</w:t>
      </w:r>
      <w:r>
        <w:rPr>
          <w:i/>
          <w:color w:val="231F20"/>
          <w:spacing w:val="-2"/>
          <w:w w:val="105"/>
          <w:sz w:val="17"/>
        </w:rPr>
        <w:t xml:space="preserve"> </w:t>
      </w:r>
      <w:r>
        <w:rPr>
          <w:i/>
          <w:color w:val="231F20"/>
          <w:w w:val="105"/>
          <w:sz w:val="17"/>
        </w:rPr>
        <w:t>Rise</w:t>
      </w:r>
      <w:r>
        <w:rPr>
          <w:i/>
          <w:color w:val="231F20"/>
          <w:spacing w:val="-2"/>
          <w:w w:val="105"/>
          <w:sz w:val="17"/>
        </w:rPr>
        <w:t xml:space="preserve"> </w:t>
      </w:r>
      <w:r>
        <w:rPr>
          <w:i/>
          <w:color w:val="231F20"/>
          <w:w w:val="105"/>
          <w:sz w:val="17"/>
        </w:rPr>
        <w:t>of</w:t>
      </w:r>
      <w:r>
        <w:rPr>
          <w:i/>
          <w:color w:val="231F20"/>
          <w:spacing w:val="-2"/>
          <w:w w:val="105"/>
          <w:sz w:val="17"/>
        </w:rPr>
        <w:t xml:space="preserve"> </w:t>
      </w:r>
      <w:r>
        <w:rPr>
          <w:i/>
          <w:color w:val="231F20"/>
          <w:w w:val="105"/>
          <w:sz w:val="17"/>
        </w:rPr>
        <w:t>Olympic</w:t>
      </w:r>
      <w:r>
        <w:rPr>
          <w:i/>
          <w:color w:val="231F20"/>
          <w:spacing w:val="-2"/>
          <w:w w:val="105"/>
          <w:sz w:val="17"/>
        </w:rPr>
        <w:t xml:space="preserve"> </w:t>
      </w:r>
      <w:r>
        <w:rPr>
          <w:i/>
          <w:color w:val="231F20"/>
          <w:w w:val="105"/>
          <w:sz w:val="17"/>
        </w:rPr>
        <w:t>Commercialism</w:t>
      </w:r>
      <w:r>
        <w:rPr>
          <w:color w:val="231F20"/>
          <w:w w:val="105"/>
          <w:sz w:val="17"/>
        </w:rPr>
        <w:t>.</w:t>
      </w:r>
      <w:r>
        <w:rPr>
          <w:color w:val="231F20"/>
          <w:spacing w:val="-2"/>
          <w:w w:val="105"/>
          <w:sz w:val="17"/>
        </w:rPr>
        <w:t xml:space="preserve"> </w:t>
      </w:r>
      <w:r>
        <w:rPr>
          <w:color w:val="231F20"/>
          <w:w w:val="105"/>
          <w:sz w:val="17"/>
        </w:rPr>
        <w:t>Salt</w:t>
      </w:r>
      <w:r>
        <w:rPr>
          <w:color w:val="231F20"/>
          <w:spacing w:val="-2"/>
          <w:w w:val="105"/>
          <w:sz w:val="17"/>
        </w:rPr>
        <w:t xml:space="preserve"> </w:t>
      </w:r>
      <w:r>
        <w:rPr>
          <w:color w:val="231F20"/>
          <w:w w:val="105"/>
          <w:sz w:val="17"/>
        </w:rPr>
        <w:t>Lake</w:t>
      </w:r>
      <w:r>
        <w:rPr>
          <w:color w:val="231F20"/>
          <w:spacing w:val="-2"/>
          <w:w w:val="105"/>
          <w:sz w:val="17"/>
        </w:rPr>
        <w:t xml:space="preserve"> </w:t>
      </w:r>
      <w:r>
        <w:rPr>
          <w:color w:val="231F20"/>
          <w:w w:val="105"/>
          <w:sz w:val="17"/>
        </w:rPr>
        <w:t>City,</w:t>
      </w:r>
      <w:r>
        <w:rPr>
          <w:color w:val="231F20"/>
          <w:spacing w:val="-2"/>
          <w:w w:val="105"/>
          <w:sz w:val="17"/>
        </w:rPr>
        <w:t xml:space="preserve"> </w:t>
      </w:r>
      <w:r>
        <w:rPr>
          <w:color w:val="231F20"/>
          <w:w w:val="105"/>
          <w:sz w:val="17"/>
        </w:rPr>
        <w:t>UT:</w:t>
      </w:r>
      <w:r>
        <w:rPr>
          <w:color w:val="231F20"/>
          <w:spacing w:val="-2"/>
          <w:w w:val="105"/>
          <w:sz w:val="17"/>
        </w:rPr>
        <w:t xml:space="preserve"> </w:t>
      </w:r>
      <w:r>
        <w:rPr>
          <w:color w:val="231F20"/>
          <w:w w:val="105"/>
          <w:sz w:val="17"/>
        </w:rPr>
        <w:t>University</w:t>
      </w:r>
      <w:r>
        <w:rPr>
          <w:color w:val="231F20"/>
          <w:spacing w:val="-2"/>
          <w:w w:val="105"/>
          <w:sz w:val="17"/>
        </w:rPr>
        <w:t xml:space="preserve"> </w:t>
      </w:r>
      <w:r>
        <w:rPr>
          <w:color w:val="231F20"/>
          <w:w w:val="105"/>
          <w:sz w:val="17"/>
        </w:rPr>
        <w:t>of</w:t>
      </w:r>
      <w:r>
        <w:rPr>
          <w:color w:val="231F20"/>
          <w:spacing w:val="-2"/>
          <w:w w:val="105"/>
          <w:sz w:val="17"/>
        </w:rPr>
        <w:t xml:space="preserve"> </w:t>
      </w:r>
      <w:r>
        <w:rPr>
          <w:color w:val="231F20"/>
          <w:w w:val="105"/>
          <w:sz w:val="17"/>
        </w:rPr>
        <w:t>Utah</w:t>
      </w:r>
      <w:r>
        <w:rPr>
          <w:color w:val="231F20"/>
          <w:spacing w:val="-2"/>
          <w:w w:val="105"/>
          <w:sz w:val="17"/>
        </w:rPr>
        <w:t xml:space="preserve"> </w:t>
      </w:r>
      <w:r>
        <w:rPr>
          <w:color w:val="231F20"/>
          <w:w w:val="105"/>
          <w:sz w:val="17"/>
        </w:rPr>
        <w:t>Press.</w:t>
      </w:r>
      <w:r>
        <w:rPr>
          <w:color w:val="231F20"/>
          <w:spacing w:val="40"/>
          <w:w w:val="105"/>
          <w:sz w:val="17"/>
        </w:rPr>
        <w:t xml:space="preserve"> </w:t>
      </w:r>
      <w:r>
        <w:rPr>
          <w:color w:val="231F20"/>
          <w:sz w:val="17"/>
        </w:rPr>
        <w:t>Baron,</w:t>
      </w:r>
      <w:r>
        <w:rPr>
          <w:color w:val="231F20"/>
          <w:spacing w:val="21"/>
          <w:sz w:val="17"/>
        </w:rPr>
        <w:t xml:space="preserve"> </w:t>
      </w:r>
      <w:r>
        <w:rPr>
          <w:color w:val="231F20"/>
          <w:sz w:val="17"/>
        </w:rPr>
        <w:t>R.R.V.</w:t>
      </w:r>
      <w:r>
        <w:rPr>
          <w:color w:val="231F20"/>
          <w:spacing w:val="22"/>
          <w:sz w:val="17"/>
        </w:rPr>
        <w:t xml:space="preserve"> </w:t>
      </w:r>
      <w:r>
        <w:rPr>
          <w:color w:val="231F20"/>
          <w:sz w:val="17"/>
        </w:rPr>
        <w:t>(1975)</w:t>
      </w:r>
      <w:r>
        <w:rPr>
          <w:color w:val="231F20"/>
          <w:spacing w:val="21"/>
          <w:sz w:val="17"/>
        </w:rPr>
        <w:t xml:space="preserve"> </w:t>
      </w:r>
      <w:r>
        <w:rPr>
          <w:i/>
          <w:color w:val="231F20"/>
          <w:sz w:val="17"/>
        </w:rPr>
        <w:t>Seasonality</w:t>
      </w:r>
      <w:r>
        <w:rPr>
          <w:i/>
          <w:color w:val="231F20"/>
          <w:spacing w:val="22"/>
          <w:sz w:val="17"/>
        </w:rPr>
        <w:t xml:space="preserve"> </w:t>
      </w:r>
      <w:r>
        <w:rPr>
          <w:i/>
          <w:color w:val="231F20"/>
          <w:sz w:val="17"/>
        </w:rPr>
        <w:t>in</w:t>
      </w:r>
      <w:r>
        <w:rPr>
          <w:i/>
          <w:color w:val="231F20"/>
          <w:spacing w:val="21"/>
          <w:sz w:val="17"/>
        </w:rPr>
        <w:t xml:space="preserve"> </w:t>
      </w:r>
      <w:r>
        <w:rPr>
          <w:i/>
          <w:color w:val="231F20"/>
          <w:sz w:val="17"/>
        </w:rPr>
        <w:t>Tourism:</w:t>
      </w:r>
      <w:r>
        <w:rPr>
          <w:i/>
          <w:color w:val="231F20"/>
          <w:spacing w:val="22"/>
          <w:sz w:val="17"/>
        </w:rPr>
        <w:t xml:space="preserve"> </w:t>
      </w:r>
      <w:r>
        <w:rPr>
          <w:i/>
          <w:color w:val="231F20"/>
          <w:sz w:val="17"/>
        </w:rPr>
        <w:t>A</w:t>
      </w:r>
      <w:r>
        <w:rPr>
          <w:i/>
          <w:color w:val="231F20"/>
          <w:spacing w:val="22"/>
          <w:sz w:val="17"/>
        </w:rPr>
        <w:t xml:space="preserve"> </w:t>
      </w:r>
      <w:r>
        <w:rPr>
          <w:i/>
          <w:color w:val="231F20"/>
          <w:sz w:val="17"/>
        </w:rPr>
        <w:t>Guide</w:t>
      </w:r>
      <w:r>
        <w:rPr>
          <w:i/>
          <w:color w:val="231F20"/>
          <w:spacing w:val="21"/>
          <w:sz w:val="17"/>
        </w:rPr>
        <w:t xml:space="preserve"> </w:t>
      </w:r>
      <w:r>
        <w:rPr>
          <w:i/>
          <w:color w:val="231F20"/>
          <w:sz w:val="17"/>
        </w:rPr>
        <w:t>to</w:t>
      </w:r>
      <w:r>
        <w:rPr>
          <w:i/>
          <w:color w:val="231F20"/>
          <w:spacing w:val="22"/>
          <w:sz w:val="17"/>
        </w:rPr>
        <w:t xml:space="preserve"> </w:t>
      </w:r>
      <w:r>
        <w:rPr>
          <w:i/>
          <w:color w:val="231F20"/>
          <w:sz w:val="17"/>
        </w:rPr>
        <w:t>the</w:t>
      </w:r>
      <w:r>
        <w:rPr>
          <w:i/>
          <w:color w:val="231F20"/>
          <w:spacing w:val="21"/>
          <w:sz w:val="17"/>
        </w:rPr>
        <w:t xml:space="preserve"> </w:t>
      </w:r>
      <w:r>
        <w:rPr>
          <w:i/>
          <w:color w:val="231F20"/>
          <w:sz w:val="17"/>
        </w:rPr>
        <w:t>Analysis</w:t>
      </w:r>
      <w:r>
        <w:rPr>
          <w:i/>
          <w:color w:val="231F20"/>
          <w:spacing w:val="22"/>
          <w:sz w:val="17"/>
        </w:rPr>
        <w:t xml:space="preserve"> </w:t>
      </w:r>
      <w:r>
        <w:rPr>
          <w:i/>
          <w:color w:val="231F20"/>
          <w:sz w:val="17"/>
        </w:rPr>
        <w:t>of</w:t>
      </w:r>
      <w:r>
        <w:rPr>
          <w:i/>
          <w:color w:val="231F20"/>
          <w:spacing w:val="21"/>
          <w:sz w:val="17"/>
        </w:rPr>
        <w:t xml:space="preserve"> </w:t>
      </w:r>
      <w:r>
        <w:rPr>
          <w:i/>
          <w:color w:val="231F20"/>
          <w:sz w:val="17"/>
        </w:rPr>
        <w:t>Seasonality</w:t>
      </w:r>
      <w:r>
        <w:rPr>
          <w:i/>
          <w:color w:val="231F20"/>
          <w:spacing w:val="22"/>
          <w:sz w:val="17"/>
        </w:rPr>
        <w:t xml:space="preserve"> </w:t>
      </w:r>
      <w:r>
        <w:rPr>
          <w:i/>
          <w:color w:val="231F20"/>
          <w:spacing w:val="-5"/>
          <w:sz w:val="17"/>
        </w:rPr>
        <w:t>and</w:t>
      </w:r>
    </w:p>
    <w:p w14:paraId="46302144" w14:textId="77777777" w:rsidR="00AE0598" w:rsidRDefault="0069255A">
      <w:pPr>
        <w:spacing w:before="2"/>
        <w:ind w:left="430"/>
        <w:jc w:val="both"/>
        <w:rPr>
          <w:sz w:val="17"/>
        </w:rPr>
      </w:pPr>
      <w:r>
        <w:rPr>
          <w:i/>
          <w:color w:val="231F20"/>
          <w:sz w:val="17"/>
        </w:rPr>
        <w:t>Trends</w:t>
      </w:r>
      <w:r>
        <w:rPr>
          <w:i/>
          <w:color w:val="231F20"/>
          <w:spacing w:val="3"/>
          <w:sz w:val="17"/>
        </w:rPr>
        <w:t xml:space="preserve"> </w:t>
      </w:r>
      <w:r>
        <w:rPr>
          <w:i/>
          <w:color w:val="231F20"/>
          <w:sz w:val="17"/>
        </w:rPr>
        <w:t>for</w:t>
      </w:r>
      <w:r>
        <w:rPr>
          <w:i/>
          <w:color w:val="231F20"/>
          <w:spacing w:val="3"/>
          <w:sz w:val="17"/>
        </w:rPr>
        <w:t xml:space="preserve"> </w:t>
      </w:r>
      <w:r>
        <w:rPr>
          <w:i/>
          <w:color w:val="231F20"/>
          <w:sz w:val="17"/>
        </w:rPr>
        <w:t>Policy</w:t>
      </w:r>
      <w:r>
        <w:rPr>
          <w:i/>
          <w:color w:val="231F20"/>
          <w:spacing w:val="3"/>
          <w:sz w:val="17"/>
        </w:rPr>
        <w:t xml:space="preserve"> </w:t>
      </w:r>
      <w:r>
        <w:rPr>
          <w:i/>
          <w:color w:val="231F20"/>
          <w:sz w:val="17"/>
        </w:rPr>
        <w:t>Making</w:t>
      </w:r>
      <w:r>
        <w:rPr>
          <w:color w:val="231F20"/>
          <w:sz w:val="17"/>
        </w:rPr>
        <w:t>.</w:t>
      </w:r>
      <w:r>
        <w:rPr>
          <w:color w:val="231F20"/>
          <w:spacing w:val="3"/>
          <w:sz w:val="17"/>
        </w:rPr>
        <w:t xml:space="preserve"> </w:t>
      </w:r>
      <w:r>
        <w:rPr>
          <w:color w:val="231F20"/>
          <w:sz w:val="17"/>
        </w:rPr>
        <w:t>London:</w:t>
      </w:r>
      <w:r>
        <w:rPr>
          <w:color w:val="231F20"/>
          <w:spacing w:val="3"/>
          <w:sz w:val="17"/>
        </w:rPr>
        <w:t xml:space="preserve"> </w:t>
      </w:r>
      <w:r>
        <w:rPr>
          <w:color w:val="231F20"/>
          <w:sz w:val="17"/>
        </w:rPr>
        <w:t>Economist</w:t>
      </w:r>
      <w:r>
        <w:rPr>
          <w:color w:val="231F20"/>
          <w:spacing w:val="3"/>
          <w:sz w:val="17"/>
        </w:rPr>
        <w:t xml:space="preserve"> </w:t>
      </w:r>
      <w:r>
        <w:rPr>
          <w:color w:val="231F20"/>
          <w:sz w:val="17"/>
        </w:rPr>
        <w:t>Intelligence</w:t>
      </w:r>
      <w:r>
        <w:rPr>
          <w:color w:val="231F20"/>
          <w:spacing w:val="3"/>
          <w:sz w:val="17"/>
        </w:rPr>
        <w:t xml:space="preserve"> </w:t>
      </w:r>
      <w:r>
        <w:rPr>
          <w:color w:val="231F20"/>
          <w:spacing w:val="-4"/>
          <w:sz w:val="17"/>
        </w:rPr>
        <w:t>Unit.</w:t>
      </w:r>
    </w:p>
    <w:p w14:paraId="3F78FABB" w14:textId="77777777" w:rsidR="00AE0598" w:rsidRDefault="0069255A">
      <w:pPr>
        <w:ind w:left="430" w:right="127" w:hanging="320"/>
        <w:jc w:val="both"/>
        <w:rPr>
          <w:sz w:val="17"/>
        </w:rPr>
      </w:pPr>
      <w:r>
        <w:rPr>
          <w:color w:val="231F20"/>
          <w:sz w:val="17"/>
        </w:rPr>
        <w:t>Barros,</w:t>
      </w:r>
      <w:r>
        <w:rPr>
          <w:color w:val="231F20"/>
          <w:spacing w:val="-1"/>
          <w:sz w:val="17"/>
        </w:rPr>
        <w:t xml:space="preserve"> </w:t>
      </w:r>
      <w:r>
        <w:rPr>
          <w:color w:val="231F20"/>
          <w:sz w:val="17"/>
        </w:rPr>
        <w:t>C.P.,</w:t>
      </w:r>
      <w:r>
        <w:rPr>
          <w:color w:val="231F20"/>
          <w:spacing w:val="-1"/>
          <w:sz w:val="17"/>
        </w:rPr>
        <w:t xml:space="preserve"> </w:t>
      </w:r>
      <w:r>
        <w:rPr>
          <w:color w:val="231F20"/>
          <w:sz w:val="17"/>
        </w:rPr>
        <w:t>Butler,</w:t>
      </w:r>
      <w:r>
        <w:rPr>
          <w:color w:val="231F20"/>
          <w:spacing w:val="-1"/>
          <w:sz w:val="17"/>
        </w:rPr>
        <w:t xml:space="preserve"> </w:t>
      </w:r>
      <w:r>
        <w:rPr>
          <w:color w:val="231F20"/>
          <w:sz w:val="17"/>
        </w:rPr>
        <w:t>R.</w:t>
      </w:r>
      <w:r>
        <w:rPr>
          <w:color w:val="231F20"/>
          <w:spacing w:val="-2"/>
          <w:sz w:val="17"/>
        </w:rPr>
        <w:t xml:space="preserve"> </w:t>
      </w:r>
      <w:r>
        <w:rPr>
          <w:color w:val="231F20"/>
          <w:sz w:val="17"/>
        </w:rPr>
        <w:t>and</w:t>
      </w:r>
      <w:r>
        <w:rPr>
          <w:color w:val="231F20"/>
          <w:spacing w:val="-1"/>
          <w:sz w:val="17"/>
        </w:rPr>
        <w:t xml:space="preserve"> </w:t>
      </w:r>
      <w:r>
        <w:rPr>
          <w:color w:val="231F20"/>
          <w:sz w:val="17"/>
        </w:rPr>
        <w:t>Correia,</w:t>
      </w:r>
      <w:r>
        <w:rPr>
          <w:color w:val="231F20"/>
          <w:spacing w:val="-2"/>
          <w:sz w:val="17"/>
        </w:rPr>
        <w:t xml:space="preserve"> </w:t>
      </w:r>
      <w:r>
        <w:rPr>
          <w:color w:val="231F20"/>
          <w:sz w:val="17"/>
        </w:rPr>
        <w:t>A.</w:t>
      </w:r>
      <w:r>
        <w:rPr>
          <w:color w:val="231F20"/>
          <w:spacing w:val="-2"/>
          <w:sz w:val="17"/>
        </w:rPr>
        <w:t xml:space="preserve"> </w:t>
      </w:r>
      <w:r>
        <w:rPr>
          <w:color w:val="231F20"/>
          <w:sz w:val="17"/>
        </w:rPr>
        <w:t>(2010)</w:t>
      </w:r>
      <w:r>
        <w:rPr>
          <w:color w:val="231F20"/>
          <w:spacing w:val="-2"/>
          <w:sz w:val="17"/>
        </w:rPr>
        <w:t xml:space="preserve"> </w:t>
      </w:r>
      <w:r>
        <w:rPr>
          <w:color w:val="231F20"/>
          <w:sz w:val="17"/>
        </w:rPr>
        <w:t>The</w:t>
      </w:r>
      <w:r>
        <w:rPr>
          <w:color w:val="231F20"/>
          <w:spacing w:val="-1"/>
          <w:sz w:val="17"/>
        </w:rPr>
        <w:t xml:space="preserve"> </w:t>
      </w:r>
      <w:r>
        <w:rPr>
          <w:color w:val="231F20"/>
          <w:sz w:val="17"/>
        </w:rPr>
        <w:t>length</w:t>
      </w:r>
      <w:r>
        <w:rPr>
          <w:color w:val="231F20"/>
          <w:spacing w:val="-2"/>
          <w:sz w:val="17"/>
        </w:rPr>
        <w:t xml:space="preserve"> </w:t>
      </w:r>
      <w:r>
        <w:rPr>
          <w:color w:val="231F20"/>
          <w:sz w:val="17"/>
        </w:rPr>
        <w:t>of</w:t>
      </w:r>
      <w:r>
        <w:rPr>
          <w:color w:val="231F20"/>
          <w:spacing w:val="-1"/>
          <w:sz w:val="17"/>
        </w:rPr>
        <w:t xml:space="preserve"> </w:t>
      </w:r>
      <w:r>
        <w:rPr>
          <w:color w:val="231F20"/>
          <w:sz w:val="17"/>
        </w:rPr>
        <w:t>stay</w:t>
      </w:r>
      <w:r>
        <w:rPr>
          <w:color w:val="231F20"/>
          <w:spacing w:val="-2"/>
          <w:sz w:val="17"/>
        </w:rPr>
        <w:t xml:space="preserve"> </w:t>
      </w:r>
      <w:r>
        <w:rPr>
          <w:color w:val="231F20"/>
          <w:sz w:val="17"/>
        </w:rPr>
        <w:t>of</w:t>
      </w:r>
      <w:r>
        <w:rPr>
          <w:color w:val="231F20"/>
          <w:spacing w:val="-1"/>
          <w:sz w:val="17"/>
        </w:rPr>
        <w:t xml:space="preserve"> </w:t>
      </w:r>
      <w:r>
        <w:rPr>
          <w:color w:val="231F20"/>
          <w:sz w:val="17"/>
        </w:rPr>
        <w:t>golf</w:t>
      </w:r>
      <w:r>
        <w:rPr>
          <w:color w:val="231F20"/>
          <w:spacing w:val="-2"/>
          <w:sz w:val="17"/>
        </w:rPr>
        <w:t xml:space="preserve"> </w:t>
      </w:r>
      <w:r>
        <w:rPr>
          <w:color w:val="231F20"/>
          <w:sz w:val="17"/>
        </w:rPr>
        <w:t>tourism:</w:t>
      </w:r>
      <w:r>
        <w:rPr>
          <w:color w:val="231F20"/>
          <w:spacing w:val="-2"/>
          <w:sz w:val="17"/>
        </w:rPr>
        <w:t xml:space="preserve"> </w:t>
      </w:r>
      <w:r>
        <w:rPr>
          <w:color w:val="231F20"/>
          <w:sz w:val="17"/>
        </w:rPr>
        <w:t>A</w:t>
      </w:r>
      <w:r>
        <w:rPr>
          <w:color w:val="231F20"/>
          <w:spacing w:val="-1"/>
          <w:sz w:val="17"/>
        </w:rPr>
        <w:t xml:space="preserve"> </w:t>
      </w:r>
      <w:r>
        <w:rPr>
          <w:color w:val="231F20"/>
          <w:sz w:val="17"/>
        </w:rPr>
        <w:t>survival</w:t>
      </w:r>
      <w:r>
        <w:rPr>
          <w:color w:val="231F20"/>
          <w:spacing w:val="40"/>
          <w:sz w:val="17"/>
        </w:rPr>
        <w:t xml:space="preserve"> </w:t>
      </w:r>
      <w:r>
        <w:rPr>
          <w:color w:val="231F20"/>
          <w:sz w:val="17"/>
        </w:rPr>
        <w:t xml:space="preserve">analysis. </w:t>
      </w:r>
      <w:r>
        <w:rPr>
          <w:i/>
          <w:color w:val="231F20"/>
          <w:sz w:val="17"/>
        </w:rPr>
        <w:t xml:space="preserve">Tourism Management </w:t>
      </w:r>
      <w:r>
        <w:rPr>
          <w:color w:val="231F20"/>
          <w:sz w:val="17"/>
        </w:rPr>
        <w:t>31 (1), 13–21.</w:t>
      </w:r>
    </w:p>
    <w:p w14:paraId="1F37A749" w14:textId="77777777" w:rsidR="00AE0598" w:rsidRDefault="0069255A">
      <w:pPr>
        <w:spacing w:before="2"/>
        <w:ind w:left="430" w:right="127" w:hanging="320"/>
        <w:jc w:val="both"/>
        <w:rPr>
          <w:sz w:val="17"/>
        </w:rPr>
      </w:pPr>
      <w:r>
        <w:rPr>
          <w:color w:val="231F20"/>
          <w:sz w:val="17"/>
        </w:rPr>
        <w:t xml:space="preserve">Bartoluci, M. and </w:t>
      </w:r>
      <w:r>
        <w:rPr>
          <w:rFonts w:ascii="Times New Roman" w:hAnsi="Times New Roman"/>
          <w:color w:val="231F20"/>
          <w:sz w:val="17"/>
        </w:rPr>
        <w:t>Č</w:t>
      </w:r>
      <w:r>
        <w:rPr>
          <w:color w:val="231F20"/>
          <w:sz w:val="17"/>
        </w:rPr>
        <w:t>avlek, N. (2000) The economic basis of the development of golf in</w:t>
      </w:r>
      <w:r>
        <w:rPr>
          <w:color w:val="231F20"/>
          <w:spacing w:val="40"/>
          <w:sz w:val="17"/>
        </w:rPr>
        <w:t xml:space="preserve"> </w:t>
      </w:r>
      <w:r>
        <w:rPr>
          <w:color w:val="231F20"/>
          <w:sz w:val="17"/>
        </w:rPr>
        <w:t xml:space="preserve">Croatian tourism: Prospects and misconceptions. </w:t>
      </w:r>
      <w:r>
        <w:rPr>
          <w:i/>
          <w:color w:val="231F20"/>
          <w:sz w:val="17"/>
        </w:rPr>
        <w:t xml:space="preserve">Acta Turistica </w:t>
      </w:r>
      <w:r>
        <w:rPr>
          <w:color w:val="231F20"/>
          <w:sz w:val="17"/>
        </w:rPr>
        <w:t>12 (2), 105–138.</w:t>
      </w:r>
    </w:p>
    <w:p w14:paraId="35195CB5" w14:textId="77777777" w:rsidR="00AE0598" w:rsidRDefault="0069255A">
      <w:pPr>
        <w:spacing w:before="1"/>
        <w:ind w:left="430" w:right="128" w:hanging="320"/>
        <w:jc w:val="both"/>
        <w:rPr>
          <w:sz w:val="17"/>
        </w:rPr>
      </w:pPr>
      <w:r>
        <w:rPr>
          <w:color w:val="231F20"/>
          <w:sz w:val="17"/>
        </w:rPr>
        <w:t>Basi</w:t>
      </w:r>
      <w:r>
        <w:rPr>
          <w:rFonts w:ascii="Times New Roman" w:hAnsi="Times New Roman"/>
          <w:color w:val="231F20"/>
          <w:sz w:val="17"/>
        </w:rPr>
        <w:t>ń</w:t>
      </w:r>
      <w:r>
        <w:rPr>
          <w:color w:val="231F20"/>
          <w:sz w:val="17"/>
        </w:rPr>
        <w:t>ska-Zych, A. and Lubowiecki-Vikuk, A.P. (2011) Sport</w:t>
      </w:r>
      <w:r>
        <w:rPr>
          <w:color w:val="231F20"/>
          <w:sz w:val="17"/>
        </w:rPr>
        <w:t xml:space="preserve"> and tourism as elements of</w:t>
      </w:r>
      <w:r>
        <w:rPr>
          <w:color w:val="231F20"/>
          <w:spacing w:val="40"/>
          <w:sz w:val="17"/>
        </w:rPr>
        <w:t xml:space="preserve"> </w:t>
      </w:r>
      <w:r>
        <w:rPr>
          <w:color w:val="231F20"/>
          <w:sz w:val="17"/>
        </w:rPr>
        <w:t xml:space="preserve">place branding. A case study on Poland. </w:t>
      </w:r>
      <w:r>
        <w:rPr>
          <w:i/>
          <w:color w:val="231F20"/>
          <w:sz w:val="17"/>
        </w:rPr>
        <w:t xml:space="preserve">Journal of Tourism Challenges and Trends </w:t>
      </w:r>
      <w:r>
        <w:rPr>
          <w:color w:val="231F20"/>
          <w:sz w:val="17"/>
        </w:rPr>
        <w:t>4</w:t>
      </w:r>
      <w:r>
        <w:rPr>
          <w:color w:val="231F20"/>
          <w:spacing w:val="40"/>
          <w:sz w:val="17"/>
        </w:rPr>
        <w:t xml:space="preserve"> </w:t>
      </w:r>
      <w:r>
        <w:rPr>
          <w:color w:val="231F20"/>
          <w:sz w:val="17"/>
        </w:rPr>
        <w:t>(2), 33–52.</w:t>
      </w:r>
    </w:p>
    <w:p w14:paraId="290666A5" w14:textId="77777777" w:rsidR="00AE0598" w:rsidRDefault="0069255A">
      <w:pPr>
        <w:spacing w:before="2"/>
        <w:ind w:left="430" w:right="127" w:hanging="320"/>
        <w:jc w:val="both"/>
        <w:rPr>
          <w:sz w:val="17"/>
        </w:rPr>
      </w:pPr>
      <w:r>
        <w:rPr>
          <w:color w:val="231F20"/>
          <w:sz w:val="17"/>
        </w:rPr>
        <w:t>Basset, C. and Wilbert, C. (1999) Where you want to go today (like it or not). In D. Crouch</w:t>
      </w:r>
      <w:r>
        <w:rPr>
          <w:color w:val="231F20"/>
          <w:spacing w:val="40"/>
          <w:sz w:val="17"/>
        </w:rPr>
        <w:t xml:space="preserve"> </w:t>
      </w:r>
      <w:r>
        <w:rPr>
          <w:color w:val="231F20"/>
          <w:sz w:val="17"/>
        </w:rPr>
        <w:t xml:space="preserve">(ed.) </w:t>
      </w:r>
      <w:r>
        <w:rPr>
          <w:i/>
          <w:color w:val="231F20"/>
          <w:w w:val="113"/>
          <w:sz w:val="17"/>
        </w:rPr>
        <w:t>L</w:t>
      </w:r>
      <w:r>
        <w:rPr>
          <w:i/>
          <w:color w:val="231F20"/>
          <w:w w:val="95"/>
          <w:sz w:val="17"/>
        </w:rPr>
        <w:t>e</w:t>
      </w:r>
      <w:r>
        <w:rPr>
          <w:i/>
          <w:color w:val="231F20"/>
          <w:w w:val="102"/>
          <w:sz w:val="17"/>
        </w:rPr>
        <w:t>i</w:t>
      </w:r>
      <w:r>
        <w:rPr>
          <w:i/>
          <w:color w:val="231F20"/>
          <w:sz w:val="17"/>
        </w:rPr>
        <w:t>s</w:t>
      </w:r>
      <w:r>
        <w:rPr>
          <w:i/>
          <w:color w:val="231F20"/>
          <w:w w:val="98"/>
          <w:sz w:val="17"/>
        </w:rPr>
        <w:t>ur</w:t>
      </w:r>
      <w:r>
        <w:rPr>
          <w:i/>
          <w:color w:val="231F20"/>
          <w:w w:val="95"/>
          <w:sz w:val="17"/>
        </w:rPr>
        <w:t>e</w:t>
      </w:r>
      <w:r>
        <w:rPr>
          <w:i/>
          <w:color w:val="231F20"/>
          <w:w w:val="62"/>
          <w:sz w:val="17"/>
        </w:rPr>
        <w:t>/</w:t>
      </w:r>
      <w:r>
        <w:rPr>
          <w:i/>
          <w:color w:val="231F20"/>
          <w:w w:val="123"/>
          <w:sz w:val="17"/>
        </w:rPr>
        <w:t>T</w:t>
      </w:r>
      <w:r>
        <w:rPr>
          <w:i/>
          <w:color w:val="231F20"/>
          <w:w w:val="106"/>
          <w:sz w:val="17"/>
        </w:rPr>
        <w:t>o</w:t>
      </w:r>
      <w:r>
        <w:rPr>
          <w:i/>
          <w:color w:val="231F20"/>
          <w:w w:val="98"/>
          <w:sz w:val="17"/>
        </w:rPr>
        <w:t>ur</w:t>
      </w:r>
      <w:r>
        <w:rPr>
          <w:i/>
          <w:color w:val="231F20"/>
          <w:w w:val="102"/>
          <w:sz w:val="17"/>
        </w:rPr>
        <w:t>i</w:t>
      </w:r>
      <w:r>
        <w:rPr>
          <w:i/>
          <w:color w:val="231F20"/>
          <w:sz w:val="17"/>
        </w:rPr>
        <w:t>s</w:t>
      </w:r>
      <w:r>
        <w:rPr>
          <w:i/>
          <w:color w:val="231F20"/>
          <w:w w:val="102"/>
          <w:sz w:val="17"/>
        </w:rPr>
        <w:t>m</w:t>
      </w:r>
      <w:r>
        <w:rPr>
          <w:i/>
          <w:color w:val="231F20"/>
          <w:w w:val="99"/>
          <w:sz w:val="17"/>
        </w:rPr>
        <w:t xml:space="preserve"> </w:t>
      </w:r>
      <w:r>
        <w:rPr>
          <w:i/>
          <w:color w:val="231F20"/>
          <w:sz w:val="17"/>
        </w:rPr>
        <w:t xml:space="preserve">Geographies </w:t>
      </w:r>
      <w:r>
        <w:rPr>
          <w:color w:val="231F20"/>
          <w:sz w:val="17"/>
        </w:rPr>
        <w:t>(pp. 181–194). London: Routledge.</w:t>
      </w:r>
    </w:p>
    <w:p w14:paraId="759C8814" w14:textId="77777777" w:rsidR="00AE0598" w:rsidRDefault="0069255A">
      <w:pPr>
        <w:spacing w:before="2"/>
        <w:ind w:left="430" w:right="127" w:hanging="320"/>
        <w:jc w:val="both"/>
        <w:rPr>
          <w:sz w:val="17"/>
        </w:rPr>
      </w:pPr>
      <w:r>
        <w:rPr>
          <w:color w:val="231F20"/>
          <w:sz w:val="17"/>
        </w:rPr>
        <w:t>Baum, T. and Hagen, L. (1999) Responses to seasonality: The experiences of peripheral</w:t>
      </w:r>
      <w:r>
        <w:rPr>
          <w:color w:val="231F20"/>
          <w:spacing w:val="40"/>
          <w:sz w:val="17"/>
        </w:rPr>
        <w:t xml:space="preserve"> </w:t>
      </w:r>
      <w:r>
        <w:rPr>
          <w:color w:val="231F20"/>
          <w:sz w:val="17"/>
        </w:rPr>
        <w:t>destinatio</w:t>
      </w:r>
      <w:r>
        <w:rPr>
          <w:color w:val="231F20"/>
          <w:sz w:val="17"/>
        </w:rPr>
        <w:t xml:space="preserve">ns. </w:t>
      </w:r>
      <w:r>
        <w:rPr>
          <w:i/>
          <w:color w:val="231F20"/>
          <w:sz w:val="17"/>
        </w:rPr>
        <w:t xml:space="preserve">International Journal of Tourism Research </w:t>
      </w:r>
      <w:r>
        <w:rPr>
          <w:color w:val="231F20"/>
          <w:sz w:val="17"/>
        </w:rPr>
        <w:t>1, 299–312.</w:t>
      </w:r>
    </w:p>
    <w:p w14:paraId="111D53B1" w14:textId="77777777" w:rsidR="00AE0598" w:rsidRDefault="0069255A">
      <w:pPr>
        <w:spacing w:before="1"/>
        <w:ind w:left="110"/>
        <w:jc w:val="both"/>
        <w:rPr>
          <w:sz w:val="17"/>
        </w:rPr>
      </w:pPr>
      <w:r>
        <w:rPr>
          <w:color w:val="231F20"/>
          <w:w w:val="95"/>
          <w:sz w:val="17"/>
        </w:rPr>
        <w:t>Baum,</w:t>
      </w:r>
      <w:r>
        <w:rPr>
          <w:color w:val="231F20"/>
          <w:spacing w:val="16"/>
          <w:sz w:val="17"/>
        </w:rPr>
        <w:t xml:space="preserve"> </w:t>
      </w:r>
      <w:r>
        <w:rPr>
          <w:color w:val="231F20"/>
          <w:w w:val="95"/>
          <w:sz w:val="17"/>
        </w:rPr>
        <w:t>T.</w:t>
      </w:r>
      <w:r>
        <w:rPr>
          <w:color w:val="231F20"/>
          <w:spacing w:val="17"/>
          <w:sz w:val="17"/>
        </w:rPr>
        <w:t xml:space="preserve"> </w:t>
      </w:r>
      <w:r>
        <w:rPr>
          <w:color w:val="231F20"/>
          <w:w w:val="95"/>
          <w:sz w:val="17"/>
        </w:rPr>
        <w:t>and</w:t>
      </w:r>
      <w:r>
        <w:rPr>
          <w:color w:val="231F20"/>
          <w:spacing w:val="17"/>
          <w:sz w:val="17"/>
        </w:rPr>
        <w:t xml:space="preserve"> </w:t>
      </w:r>
      <w:r>
        <w:rPr>
          <w:color w:val="231F20"/>
          <w:w w:val="95"/>
          <w:sz w:val="17"/>
        </w:rPr>
        <w:t>Lundtorp,</w:t>
      </w:r>
      <w:r>
        <w:rPr>
          <w:color w:val="231F20"/>
          <w:spacing w:val="16"/>
          <w:sz w:val="17"/>
        </w:rPr>
        <w:t xml:space="preserve"> </w:t>
      </w:r>
      <w:r>
        <w:rPr>
          <w:color w:val="231F20"/>
          <w:w w:val="95"/>
          <w:sz w:val="17"/>
        </w:rPr>
        <w:t>S.</w:t>
      </w:r>
      <w:r>
        <w:rPr>
          <w:color w:val="231F20"/>
          <w:spacing w:val="17"/>
          <w:sz w:val="17"/>
        </w:rPr>
        <w:t xml:space="preserve"> </w:t>
      </w:r>
      <w:r>
        <w:rPr>
          <w:color w:val="231F20"/>
          <w:w w:val="95"/>
          <w:sz w:val="17"/>
        </w:rPr>
        <w:t>(2001)</w:t>
      </w:r>
      <w:r>
        <w:rPr>
          <w:color w:val="231F20"/>
          <w:spacing w:val="17"/>
          <w:sz w:val="17"/>
        </w:rPr>
        <w:t xml:space="preserve"> </w:t>
      </w:r>
      <w:r>
        <w:rPr>
          <w:color w:val="231F20"/>
          <w:w w:val="95"/>
          <w:sz w:val="17"/>
        </w:rPr>
        <w:t>Seasonality</w:t>
      </w:r>
      <w:r>
        <w:rPr>
          <w:color w:val="231F20"/>
          <w:spacing w:val="16"/>
          <w:sz w:val="17"/>
        </w:rPr>
        <w:t xml:space="preserve"> </w:t>
      </w:r>
      <w:r>
        <w:rPr>
          <w:color w:val="231F20"/>
          <w:w w:val="95"/>
          <w:sz w:val="17"/>
        </w:rPr>
        <w:t>in</w:t>
      </w:r>
      <w:r>
        <w:rPr>
          <w:color w:val="231F20"/>
          <w:spacing w:val="17"/>
          <w:sz w:val="17"/>
        </w:rPr>
        <w:t xml:space="preserve"> </w:t>
      </w:r>
      <w:r>
        <w:rPr>
          <w:color w:val="231F20"/>
          <w:w w:val="95"/>
          <w:sz w:val="17"/>
        </w:rPr>
        <w:t>tourism:</w:t>
      </w:r>
      <w:r>
        <w:rPr>
          <w:color w:val="231F20"/>
          <w:spacing w:val="17"/>
          <w:sz w:val="17"/>
        </w:rPr>
        <w:t xml:space="preserve"> </w:t>
      </w:r>
      <w:r>
        <w:rPr>
          <w:color w:val="231F20"/>
          <w:w w:val="95"/>
          <w:sz w:val="17"/>
        </w:rPr>
        <w:t>An</w:t>
      </w:r>
      <w:r>
        <w:rPr>
          <w:color w:val="231F20"/>
          <w:spacing w:val="16"/>
          <w:sz w:val="17"/>
        </w:rPr>
        <w:t xml:space="preserve"> </w:t>
      </w:r>
      <w:r>
        <w:rPr>
          <w:color w:val="231F20"/>
          <w:w w:val="95"/>
          <w:sz w:val="17"/>
        </w:rPr>
        <w:t>introduction.</w:t>
      </w:r>
      <w:r>
        <w:rPr>
          <w:color w:val="231F20"/>
          <w:spacing w:val="17"/>
          <w:sz w:val="17"/>
        </w:rPr>
        <w:t xml:space="preserve"> </w:t>
      </w:r>
      <w:r>
        <w:rPr>
          <w:color w:val="231F20"/>
          <w:w w:val="95"/>
          <w:sz w:val="17"/>
        </w:rPr>
        <w:t>In</w:t>
      </w:r>
      <w:r>
        <w:rPr>
          <w:color w:val="231F20"/>
          <w:spacing w:val="17"/>
          <w:sz w:val="17"/>
        </w:rPr>
        <w:t xml:space="preserve"> </w:t>
      </w:r>
      <w:r>
        <w:rPr>
          <w:color w:val="231F20"/>
          <w:w w:val="95"/>
          <w:sz w:val="17"/>
        </w:rPr>
        <w:t>T.</w:t>
      </w:r>
      <w:r>
        <w:rPr>
          <w:color w:val="231F20"/>
          <w:spacing w:val="17"/>
          <w:sz w:val="17"/>
        </w:rPr>
        <w:t xml:space="preserve"> </w:t>
      </w:r>
      <w:r>
        <w:rPr>
          <w:color w:val="231F20"/>
          <w:w w:val="95"/>
          <w:sz w:val="17"/>
        </w:rPr>
        <w:t>Baum</w:t>
      </w:r>
      <w:r>
        <w:rPr>
          <w:color w:val="231F20"/>
          <w:spacing w:val="16"/>
          <w:sz w:val="17"/>
        </w:rPr>
        <w:t xml:space="preserve"> </w:t>
      </w:r>
      <w:r>
        <w:rPr>
          <w:color w:val="231F20"/>
          <w:spacing w:val="-5"/>
          <w:w w:val="95"/>
          <w:sz w:val="17"/>
        </w:rPr>
        <w:t>and</w:t>
      </w:r>
    </w:p>
    <w:p w14:paraId="2D205A7C" w14:textId="77777777" w:rsidR="00AE0598" w:rsidRDefault="0069255A">
      <w:pPr>
        <w:spacing w:before="1"/>
        <w:ind w:left="110" w:right="1161" w:firstLine="320"/>
        <w:jc w:val="both"/>
        <w:rPr>
          <w:sz w:val="17"/>
        </w:rPr>
      </w:pPr>
      <w:r>
        <w:rPr>
          <w:color w:val="231F20"/>
          <w:sz w:val="17"/>
        </w:rPr>
        <w:t>S.</w:t>
      </w:r>
      <w:r>
        <w:rPr>
          <w:color w:val="231F20"/>
          <w:spacing w:val="-3"/>
          <w:sz w:val="17"/>
        </w:rPr>
        <w:t xml:space="preserve"> </w:t>
      </w:r>
      <w:r>
        <w:rPr>
          <w:color w:val="231F20"/>
          <w:sz w:val="17"/>
        </w:rPr>
        <w:t>Lundtorp</w:t>
      </w:r>
      <w:r>
        <w:rPr>
          <w:color w:val="231F20"/>
          <w:spacing w:val="-3"/>
          <w:sz w:val="17"/>
        </w:rPr>
        <w:t xml:space="preserve"> </w:t>
      </w:r>
      <w:r>
        <w:rPr>
          <w:color w:val="231F20"/>
          <w:sz w:val="17"/>
        </w:rPr>
        <w:t>(eds)</w:t>
      </w:r>
      <w:r>
        <w:rPr>
          <w:color w:val="231F20"/>
          <w:spacing w:val="-4"/>
          <w:sz w:val="17"/>
        </w:rPr>
        <w:t xml:space="preserve"> </w:t>
      </w:r>
      <w:r>
        <w:rPr>
          <w:i/>
          <w:color w:val="231F20"/>
          <w:sz w:val="17"/>
        </w:rPr>
        <w:t>Seasonality</w:t>
      </w:r>
      <w:r>
        <w:rPr>
          <w:i/>
          <w:color w:val="231F20"/>
          <w:spacing w:val="-3"/>
          <w:sz w:val="17"/>
        </w:rPr>
        <w:t xml:space="preserve"> </w:t>
      </w:r>
      <w:r>
        <w:rPr>
          <w:i/>
          <w:color w:val="231F20"/>
          <w:sz w:val="17"/>
        </w:rPr>
        <w:t>in</w:t>
      </w:r>
      <w:r>
        <w:rPr>
          <w:i/>
          <w:color w:val="231F20"/>
          <w:spacing w:val="-3"/>
          <w:sz w:val="17"/>
        </w:rPr>
        <w:t xml:space="preserve"> </w:t>
      </w:r>
      <w:r>
        <w:rPr>
          <w:i/>
          <w:color w:val="231F20"/>
          <w:sz w:val="17"/>
        </w:rPr>
        <w:t>Tourism</w:t>
      </w:r>
      <w:r>
        <w:rPr>
          <w:i/>
          <w:color w:val="231F20"/>
          <w:spacing w:val="-3"/>
          <w:sz w:val="17"/>
        </w:rPr>
        <w:t xml:space="preserve"> </w:t>
      </w:r>
      <w:r>
        <w:rPr>
          <w:color w:val="231F20"/>
          <w:sz w:val="17"/>
        </w:rPr>
        <w:t>(pp.</w:t>
      </w:r>
      <w:r>
        <w:rPr>
          <w:color w:val="231F20"/>
          <w:spacing w:val="-3"/>
          <w:sz w:val="17"/>
        </w:rPr>
        <w:t xml:space="preserve"> </w:t>
      </w:r>
      <w:r>
        <w:rPr>
          <w:color w:val="231F20"/>
          <w:sz w:val="17"/>
        </w:rPr>
        <w:t>1–4).</w:t>
      </w:r>
      <w:r>
        <w:rPr>
          <w:color w:val="231F20"/>
          <w:spacing w:val="-3"/>
          <w:sz w:val="17"/>
        </w:rPr>
        <w:t xml:space="preserve"> </w:t>
      </w:r>
      <w:r>
        <w:rPr>
          <w:color w:val="231F20"/>
          <w:sz w:val="17"/>
        </w:rPr>
        <w:t>London:</w:t>
      </w:r>
      <w:r>
        <w:rPr>
          <w:color w:val="231F20"/>
          <w:spacing w:val="-3"/>
          <w:sz w:val="17"/>
        </w:rPr>
        <w:t xml:space="preserve"> </w:t>
      </w:r>
      <w:r>
        <w:rPr>
          <w:color w:val="231F20"/>
          <w:sz w:val="17"/>
        </w:rPr>
        <w:t>Pergamon.</w:t>
      </w:r>
      <w:r>
        <w:rPr>
          <w:color w:val="231F20"/>
          <w:spacing w:val="40"/>
          <w:sz w:val="17"/>
        </w:rPr>
        <w:t xml:space="preserve"> </w:t>
      </w:r>
      <w:r>
        <w:rPr>
          <w:color w:val="231F20"/>
          <w:sz w:val="17"/>
        </w:rPr>
        <w:t xml:space="preserve">Beardsley, D. (1987) </w:t>
      </w:r>
      <w:r>
        <w:rPr>
          <w:i/>
          <w:color w:val="231F20"/>
          <w:sz w:val="17"/>
        </w:rPr>
        <w:t>Country On Ice</w:t>
      </w:r>
      <w:r>
        <w:rPr>
          <w:color w:val="231F20"/>
          <w:sz w:val="17"/>
        </w:rPr>
        <w:t>. Markham, Ontario: Paperjacks Ltd.</w:t>
      </w:r>
    </w:p>
    <w:p w14:paraId="4D3C0ED4" w14:textId="77777777" w:rsidR="00AE0598" w:rsidRDefault="0069255A">
      <w:pPr>
        <w:spacing w:before="1"/>
        <w:ind w:left="110"/>
        <w:jc w:val="both"/>
        <w:rPr>
          <w:sz w:val="17"/>
        </w:rPr>
      </w:pPr>
      <w:r>
        <w:rPr>
          <w:color w:val="231F20"/>
          <w:sz w:val="17"/>
        </w:rPr>
        <w:t>Beezer,</w:t>
      </w:r>
      <w:r>
        <w:rPr>
          <w:color w:val="231F20"/>
          <w:spacing w:val="20"/>
          <w:sz w:val="17"/>
        </w:rPr>
        <w:t xml:space="preserve"> </w:t>
      </w:r>
      <w:r>
        <w:rPr>
          <w:color w:val="231F20"/>
          <w:sz w:val="17"/>
        </w:rPr>
        <w:t>A.</w:t>
      </w:r>
      <w:r>
        <w:rPr>
          <w:color w:val="231F20"/>
          <w:spacing w:val="21"/>
          <w:sz w:val="17"/>
        </w:rPr>
        <w:t xml:space="preserve"> </w:t>
      </w:r>
      <w:r>
        <w:rPr>
          <w:color w:val="231F20"/>
          <w:sz w:val="17"/>
        </w:rPr>
        <w:t>and</w:t>
      </w:r>
      <w:r>
        <w:rPr>
          <w:color w:val="231F20"/>
          <w:spacing w:val="21"/>
          <w:sz w:val="17"/>
        </w:rPr>
        <w:t xml:space="preserve"> </w:t>
      </w:r>
      <w:r>
        <w:rPr>
          <w:color w:val="231F20"/>
          <w:sz w:val="17"/>
        </w:rPr>
        <w:t>Hebdige,</w:t>
      </w:r>
      <w:r>
        <w:rPr>
          <w:color w:val="231F20"/>
          <w:spacing w:val="20"/>
          <w:sz w:val="17"/>
        </w:rPr>
        <w:t xml:space="preserve"> </w:t>
      </w:r>
      <w:r>
        <w:rPr>
          <w:color w:val="231F20"/>
          <w:sz w:val="17"/>
        </w:rPr>
        <w:t>D.</w:t>
      </w:r>
      <w:r>
        <w:rPr>
          <w:color w:val="231F20"/>
          <w:spacing w:val="21"/>
          <w:sz w:val="17"/>
        </w:rPr>
        <w:t xml:space="preserve"> </w:t>
      </w:r>
      <w:r>
        <w:rPr>
          <w:color w:val="231F20"/>
          <w:sz w:val="17"/>
        </w:rPr>
        <w:t>(1992)</w:t>
      </w:r>
      <w:r>
        <w:rPr>
          <w:color w:val="231F20"/>
          <w:spacing w:val="21"/>
          <w:sz w:val="17"/>
        </w:rPr>
        <w:t xml:space="preserve"> </w:t>
      </w:r>
      <w:r>
        <w:rPr>
          <w:color w:val="231F20"/>
          <w:sz w:val="17"/>
        </w:rPr>
        <w:t>Subculture:</w:t>
      </w:r>
      <w:r>
        <w:rPr>
          <w:color w:val="231F20"/>
          <w:spacing w:val="21"/>
          <w:sz w:val="17"/>
        </w:rPr>
        <w:t xml:space="preserve"> </w:t>
      </w:r>
      <w:r>
        <w:rPr>
          <w:color w:val="231F20"/>
          <w:sz w:val="17"/>
        </w:rPr>
        <w:t>The</w:t>
      </w:r>
      <w:r>
        <w:rPr>
          <w:color w:val="231F20"/>
          <w:spacing w:val="20"/>
          <w:sz w:val="17"/>
        </w:rPr>
        <w:t xml:space="preserve"> </w:t>
      </w:r>
      <w:r>
        <w:rPr>
          <w:color w:val="231F20"/>
          <w:sz w:val="17"/>
        </w:rPr>
        <w:t>meaning</w:t>
      </w:r>
      <w:r>
        <w:rPr>
          <w:color w:val="231F20"/>
          <w:spacing w:val="21"/>
          <w:sz w:val="17"/>
        </w:rPr>
        <w:t xml:space="preserve"> </w:t>
      </w:r>
      <w:r>
        <w:rPr>
          <w:color w:val="231F20"/>
          <w:sz w:val="17"/>
        </w:rPr>
        <w:t>of</w:t>
      </w:r>
      <w:r>
        <w:rPr>
          <w:color w:val="231F20"/>
          <w:spacing w:val="21"/>
          <w:sz w:val="17"/>
        </w:rPr>
        <w:t xml:space="preserve"> </w:t>
      </w:r>
      <w:r>
        <w:rPr>
          <w:color w:val="231F20"/>
          <w:sz w:val="17"/>
        </w:rPr>
        <w:t>style.</w:t>
      </w:r>
      <w:r>
        <w:rPr>
          <w:color w:val="231F20"/>
          <w:spacing w:val="21"/>
          <w:sz w:val="17"/>
        </w:rPr>
        <w:t xml:space="preserve"> </w:t>
      </w:r>
      <w:r>
        <w:rPr>
          <w:color w:val="231F20"/>
          <w:sz w:val="17"/>
        </w:rPr>
        <w:t>In</w:t>
      </w:r>
      <w:r>
        <w:rPr>
          <w:color w:val="231F20"/>
          <w:spacing w:val="20"/>
          <w:sz w:val="17"/>
        </w:rPr>
        <w:t xml:space="preserve"> </w:t>
      </w:r>
      <w:r>
        <w:rPr>
          <w:color w:val="231F20"/>
          <w:sz w:val="17"/>
        </w:rPr>
        <w:t>M.</w:t>
      </w:r>
      <w:r>
        <w:rPr>
          <w:color w:val="231F20"/>
          <w:spacing w:val="21"/>
          <w:sz w:val="17"/>
        </w:rPr>
        <w:t xml:space="preserve"> </w:t>
      </w:r>
      <w:r>
        <w:rPr>
          <w:color w:val="231F20"/>
          <w:sz w:val="17"/>
        </w:rPr>
        <w:t>Barker</w:t>
      </w:r>
      <w:r>
        <w:rPr>
          <w:color w:val="231F20"/>
          <w:spacing w:val="21"/>
          <w:sz w:val="17"/>
        </w:rPr>
        <w:t xml:space="preserve"> </w:t>
      </w:r>
      <w:r>
        <w:rPr>
          <w:color w:val="231F20"/>
          <w:spacing w:val="-5"/>
          <w:sz w:val="17"/>
        </w:rPr>
        <w:t>and</w:t>
      </w:r>
    </w:p>
    <w:p w14:paraId="1411B54F" w14:textId="77777777" w:rsidR="00AE0598" w:rsidRDefault="0069255A">
      <w:pPr>
        <w:pStyle w:val="PargrafodaLista"/>
        <w:numPr>
          <w:ilvl w:val="0"/>
          <w:numId w:val="3"/>
        </w:numPr>
        <w:tabs>
          <w:tab w:val="left" w:pos="642"/>
        </w:tabs>
        <w:spacing w:before="1"/>
        <w:ind w:right="129" w:firstLine="320"/>
        <w:jc w:val="both"/>
        <w:rPr>
          <w:rFonts w:ascii="Cambria" w:hAnsi="Cambria"/>
          <w:sz w:val="17"/>
        </w:rPr>
      </w:pPr>
      <w:r>
        <w:rPr>
          <w:rFonts w:ascii="Cambria" w:hAnsi="Cambria"/>
          <w:color w:val="231F20"/>
          <w:sz w:val="17"/>
        </w:rPr>
        <w:t xml:space="preserve">Beezer (eds) </w:t>
      </w:r>
      <w:r>
        <w:rPr>
          <w:rFonts w:ascii="Cambria" w:hAnsi="Cambria"/>
          <w:i/>
          <w:color w:val="231F20"/>
          <w:sz w:val="17"/>
        </w:rPr>
        <w:t xml:space="preserve">Reading Into Cultural Studies </w:t>
      </w:r>
      <w:r>
        <w:rPr>
          <w:rFonts w:ascii="Cambria" w:hAnsi="Cambria"/>
          <w:color w:val="231F20"/>
          <w:sz w:val="17"/>
        </w:rPr>
        <w:t>(pp. 101–117). London: Routledge.</w:t>
      </w:r>
      <w:r>
        <w:rPr>
          <w:rFonts w:ascii="Cambria" w:hAnsi="Cambria"/>
          <w:color w:val="231F20"/>
          <w:spacing w:val="40"/>
          <w:sz w:val="17"/>
        </w:rPr>
        <w:t xml:space="preserve"> </w:t>
      </w:r>
      <w:r>
        <w:rPr>
          <w:rFonts w:ascii="Cambria" w:hAnsi="Cambria"/>
          <w:color w:val="231F20"/>
          <w:sz w:val="17"/>
        </w:rPr>
        <w:t xml:space="preserve">Befu, H. (2001) </w:t>
      </w:r>
      <w:r>
        <w:rPr>
          <w:rFonts w:ascii="Cambria" w:hAnsi="Cambria"/>
          <w:i/>
          <w:color w:val="231F20"/>
          <w:sz w:val="17"/>
        </w:rPr>
        <w:t>Hegemony of Homogeneity: An Anthropological Analysis of ‘Nihonjinron’</w:t>
      </w:r>
      <w:r>
        <w:rPr>
          <w:rFonts w:ascii="Cambria" w:hAnsi="Cambria"/>
          <w:color w:val="231F20"/>
          <w:sz w:val="17"/>
        </w:rPr>
        <w:t>.</w:t>
      </w:r>
    </w:p>
    <w:p w14:paraId="06654675" w14:textId="77777777" w:rsidR="00AE0598" w:rsidRDefault="0069255A">
      <w:pPr>
        <w:spacing w:before="1"/>
        <w:ind w:left="430"/>
        <w:jc w:val="both"/>
        <w:rPr>
          <w:sz w:val="17"/>
        </w:rPr>
      </w:pPr>
      <w:r>
        <w:rPr>
          <w:color w:val="231F20"/>
          <w:w w:val="95"/>
          <w:sz w:val="17"/>
        </w:rPr>
        <w:t>Melbourne:</w:t>
      </w:r>
      <w:r>
        <w:rPr>
          <w:color w:val="231F20"/>
          <w:spacing w:val="19"/>
          <w:sz w:val="17"/>
        </w:rPr>
        <w:t xml:space="preserve"> </w:t>
      </w:r>
      <w:r>
        <w:rPr>
          <w:color w:val="231F20"/>
          <w:w w:val="95"/>
          <w:sz w:val="17"/>
        </w:rPr>
        <w:t>Trans</w:t>
      </w:r>
      <w:r>
        <w:rPr>
          <w:color w:val="231F20"/>
          <w:spacing w:val="19"/>
          <w:sz w:val="17"/>
        </w:rPr>
        <w:t xml:space="preserve"> </w:t>
      </w:r>
      <w:r>
        <w:rPr>
          <w:color w:val="231F20"/>
          <w:w w:val="95"/>
          <w:sz w:val="17"/>
        </w:rPr>
        <w:t>Pacific</w:t>
      </w:r>
      <w:r>
        <w:rPr>
          <w:color w:val="231F20"/>
          <w:spacing w:val="19"/>
          <w:sz w:val="17"/>
        </w:rPr>
        <w:t xml:space="preserve"> </w:t>
      </w:r>
      <w:r>
        <w:rPr>
          <w:color w:val="231F20"/>
          <w:spacing w:val="-2"/>
          <w:w w:val="95"/>
          <w:sz w:val="17"/>
        </w:rPr>
        <w:t>Press.</w:t>
      </w:r>
    </w:p>
    <w:p w14:paraId="764CB72A" w14:textId="77777777" w:rsidR="00AE0598" w:rsidRDefault="0069255A">
      <w:pPr>
        <w:spacing w:before="1"/>
        <w:ind w:left="430" w:right="128" w:hanging="320"/>
        <w:jc w:val="both"/>
        <w:rPr>
          <w:sz w:val="17"/>
        </w:rPr>
      </w:pPr>
      <w:r>
        <w:rPr>
          <w:color w:val="231F20"/>
          <w:sz w:val="17"/>
        </w:rPr>
        <w:t>Belanger, A. (2000) Sport venues and the spectacularization of urban spaces in North</w:t>
      </w:r>
      <w:r>
        <w:rPr>
          <w:color w:val="231F20"/>
          <w:spacing w:val="40"/>
          <w:sz w:val="17"/>
        </w:rPr>
        <w:t xml:space="preserve"> </w:t>
      </w:r>
      <w:r>
        <w:rPr>
          <w:color w:val="231F20"/>
          <w:sz w:val="17"/>
        </w:rPr>
        <w:t xml:space="preserve">America. </w:t>
      </w:r>
      <w:r>
        <w:rPr>
          <w:i/>
          <w:color w:val="231F20"/>
          <w:sz w:val="17"/>
        </w:rPr>
        <w:t>Internati</w:t>
      </w:r>
      <w:r>
        <w:rPr>
          <w:i/>
          <w:color w:val="231F20"/>
          <w:sz w:val="17"/>
        </w:rPr>
        <w:t xml:space="preserve">onal Review for the Sociology of Sport </w:t>
      </w:r>
      <w:r>
        <w:rPr>
          <w:color w:val="231F20"/>
          <w:sz w:val="17"/>
        </w:rPr>
        <w:t>35 (3), 278–397.</w:t>
      </w:r>
    </w:p>
    <w:p w14:paraId="781BBD17" w14:textId="77777777" w:rsidR="00AE0598" w:rsidRDefault="0069255A">
      <w:pPr>
        <w:spacing w:before="1"/>
        <w:ind w:left="110"/>
        <w:jc w:val="both"/>
        <w:rPr>
          <w:i/>
          <w:sz w:val="17"/>
        </w:rPr>
      </w:pPr>
      <w:r>
        <w:rPr>
          <w:color w:val="231F20"/>
          <w:sz w:val="17"/>
        </w:rPr>
        <w:t>Bell,</w:t>
      </w:r>
      <w:r>
        <w:rPr>
          <w:color w:val="231F20"/>
          <w:spacing w:val="14"/>
          <w:sz w:val="17"/>
        </w:rPr>
        <w:t xml:space="preserve"> </w:t>
      </w:r>
      <w:r>
        <w:rPr>
          <w:color w:val="231F20"/>
          <w:sz w:val="17"/>
        </w:rPr>
        <w:t>R.</w:t>
      </w:r>
      <w:r>
        <w:rPr>
          <w:color w:val="231F20"/>
          <w:spacing w:val="15"/>
          <w:sz w:val="17"/>
        </w:rPr>
        <w:t xml:space="preserve"> </w:t>
      </w:r>
      <w:r>
        <w:rPr>
          <w:color w:val="231F20"/>
          <w:sz w:val="17"/>
        </w:rPr>
        <w:t>(2000)</w:t>
      </w:r>
      <w:r>
        <w:rPr>
          <w:color w:val="231F20"/>
          <w:spacing w:val="15"/>
          <w:sz w:val="17"/>
        </w:rPr>
        <w:t xml:space="preserve"> </w:t>
      </w:r>
      <w:r>
        <w:rPr>
          <w:color w:val="231F20"/>
          <w:sz w:val="17"/>
        </w:rPr>
        <w:t>A</w:t>
      </w:r>
      <w:r>
        <w:rPr>
          <w:color w:val="231F20"/>
          <w:spacing w:val="15"/>
          <w:sz w:val="17"/>
        </w:rPr>
        <w:t xml:space="preserve"> </w:t>
      </w:r>
      <w:r>
        <w:rPr>
          <w:color w:val="231F20"/>
          <w:sz w:val="17"/>
        </w:rPr>
        <w:t>modern</w:t>
      </w:r>
      <w:r>
        <w:rPr>
          <w:color w:val="231F20"/>
          <w:spacing w:val="15"/>
          <w:sz w:val="17"/>
        </w:rPr>
        <w:t xml:space="preserve"> </w:t>
      </w:r>
      <w:r>
        <w:rPr>
          <w:color w:val="231F20"/>
          <w:sz w:val="17"/>
        </w:rPr>
        <w:t>perspective</w:t>
      </w:r>
      <w:r>
        <w:rPr>
          <w:color w:val="231F20"/>
          <w:spacing w:val="15"/>
          <w:sz w:val="17"/>
        </w:rPr>
        <w:t xml:space="preserve"> </w:t>
      </w:r>
      <w:r>
        <w:rPr>
          <w:color w:val="231F20"/>
          <w:sz w:val="17"/>
        </w:rPr>
        <w:t>of</w:t>
      </w:r>
      <w:r>
        <w:rPr>
          <w:color w:val="231F20"/>
          <w:spacing w:val="15"/>
          <w:sz w:val="17"/>
        </w:rPr>
        <w:t xml:space="preserve"> </w:t>
      </w:r>
      <w:r>
        <w:rPr>
          <w:color w:val="231F20"/>
          <w:sz w:val="17"/>
        </w:rPr>
        <w:t>the</w:t>
      </w:r>
      <w:r>
        <w:rPr>
          <w:color w:val="231F20"/>
          <w:spacing w:val="15"/>
          <w:sz w:val="17"/>
        </w:rPr>
        <w:t xml:space="preserve"> </w:t>
      </w:r>
      <w:r>
        <w:rPr>
          <w:color w:val="231F20"/>
          <w:sz w:val="17"/>
        </w:rPr>
        <w:t>ancient</w:t>
      </w:r>
      <w:r>
        <w:rPr>
          <w:color w:val="231F20"/>
          <w:spacing w:val="15"/>
          <w:sz w:val="17"/>
        </w:rPr>
        <w:t xml:space="preserve"> </w:t>
      </w:r>
      <w:r>
        <w:rPr>
          <w:color w:val="231F20"/>
          <w:sz w:val="17"/>
        </w:rPr>
        <w:t>Olympic</w:t>
      </w:r>
      <w:r>
        <w:rPr>
          <w:color w:val="231F20"/>
          <w:spacing w:val="15"/>
          <w:sz w:val="17"/>
        </w:rPr>
        <w:t xml:space="preserve"> </w:t>
      </w:r>
      <w:r>
        <w:rPr>
          <w:color w:val="231F20"/>
          <w:sz w:val="17"/>
        </w:rPr>
        <w:t>events.</w:t>
      </w:r>
      <w:r>
        <w:rPr>
          <w:color w:val="231F20"/>
          <w:spacing w:val="15"/>
          <w:sz w:val="17"/>
        </w:rPr>
        <w:t xml:space="preserve"> </w:t>
      </w:r>
      <w:r>
        <w:rPr>
          <w:i/>
          <w:color w:val="231F20"/>
          <w:sz w:val="17"/>
        </w:rPr>
        <w:t>The</w:t>
      </w:r>
      <w:r>
        <w:rPr>
          <w:i/>
          <w:color w:val="231F20"/>
          <w:spacing w:val="15"/>
          <w:sz w:val="17"/>
        </w:rPr>
        <w:t xml:space="preserve"> </w:t>
      </w:r>
      <w:r>
        <w:rPr>
          <w:i/>
          <w:color w:val="231F20"/>
          <w:sz w:val="17"/>
        </w:rPr>
        <w:t>Sport</w:t>
      </w:r>
      <w:r>
        <w:rPr>
          <w:i/>
          <w:color w:val="231F20"/>
          <w:spacing w:val="15"/>
          <w:sz w:val="17"/>
        </w:rPr>
        <w:t xml:space="preserve"> </w:t>
      </w:r>
      <w:r>
        <w:rPr>
          <w:i/>
          <w:color w:val="231F20"/>
          <w:spacing w:val="-2"/>
          <w:sz w:val="17"/>
        </w:rPr>
        <w:t>Journal</w:t>
      </w:r>
    </w:p>
    <w:p w14:paraId="5B321EDA" w14:textId="77777777" w:rsidR="00AE0598" w:rsidRDefault="0069255A">
      <w:pPr>
        <w:spacing w:before="1"/>
        <w:ind w:left="430"/>
        <w:jc w:val="both"/>
        <w:rPr>
          <w:sz w:val="17"/>
        </w:rPr>
      </w:pPr>
      <w:r>
        <w:rPr>
          <w:color w:val="231F20"/>
          <w:w w:val="95"/>
          <w:sz w:val="17"/>
        </w:rPr>
        <w:t>3</w:t>
      </w:r>
      <w:r>
        <w:rPr>
          <w:color w:val="231F20"/>
          <w:spacing w:val="-7"/>
          <w:w w:val="95"/>
          <w:sz w:val="17"/>
        </w:rPr>
        <w:t xml:space="preserve"> </w:t>
      </w:r>
      <w:r>
        <w:rPr>
          <w:color w:val="231F20"/>
          <w:w w:val="95"/>
          <w:sz w:val="17"/>
        </w:rPr>
        <w:t>(3),</w:t>
      </w:r>
      <w:r>
        <w:rPr>
          <w:color w:val="231F20"/>
          <w:spacing w:val="-6"/>
          <w:w w:val="95"/>
          <w:sz w:val="17"/>
        </w:rPr>
        <w:t xml:space="preserve"> </w:t>
      </w:r>
      <w:r>
        <w:rPr>
          <w:color w:val="231F20"/>
          <w:spacing w:val="-4"/>
          <w:w w:val="95"/>
          <w:sz w:val="17"/>
        </w:rPr>
        <w:t>1–2.</w:t>
      </w:r>
    </w:p>
    <w:p w14:paraId="2CD68902" w14:textId="77777777" w:rsidR="00AE0598" w:rsidRDefault="0069255A">
      <w:pPr>
        <w:spacing w:before="1"/>
        <w:ind w:left="430" w:right="128" w:hanging="320"/>
        <w:jc w:val="both"/>
        <w:rPr>
          <w:sz w:val="17"/>
        </w:rPr>
      </w:pPr>
      <w:r>
        <w:rPr>
          <w:color w:val="231F20"/>
          <w:sz w:val="17"/>
        </w:rPr>
        <w:t>Bellan, G.L. and Bellan-Santini, D.R. (2001) A review of littoral tourism, sport and leisure</w:t>
      </w:r>
      <w:r>
        <w:rPr>
          <w:color w:val="231F20"/>
          <w:spacing w:val="40"/>
          <w:sz w:val="17"/>
        </w:rPr>
        <w:t xml:space="preserve"> </w:t>
      </w:r>
      <w:r>
        <w:rPr>
          <w:color w:val="231F20"/>
          <w:sz w:val="17"/>
        </w:rPr>
        <w:t xml:space="preserve">activities: Consequences on marine flora and fauna. </w:t>
      </w:r>
      <w:r>
        <w:rPr>
          <w:i/>
          <w:color w:val="231F20"/>
          <w:sz w:val="17"/>
        </w:rPr>
        <w:t>Aquatic Conservation: Marine</w:t>
      </w:r>
      <w:r>
        <w:rPr>
          <w:i/>
          <w:color w:val="231F20"/>
          <w:spacing w:val="40"/>
          <w:sz w:val="17"/>
        </w:rPr>
        <w:t xml:space="preserve"> </w:t>
      </w:r>
      <w:r>
        <w:rPr>
          <w:i/>
          <w:color w:val="231F20"/>
          <w:sz w:val="17"/>
        </w:rPr>
        <w:t xml:space="preserve">and Freshwater Ecosystems </w:t>
      </w:r>
      <w:r>
        <w:rPr>
          <w:color w:val="231F20"/>
          <w:sz w:val="17"/>
        </w:rPr>
        <w:t>11 (4), 325–333.</w:t>
      </w:r>
    </w:p>
    <w:p w14:paraId="3D52D636" w14:textId="77777777" w:rsidR="00AE0598" w:rsidRDefault="0069255A">
      <w:pPr>
        <w:spacing w:before="2"/>
        <w:ind w:left="430" w:right="127" w:hanging="320"/>
        <w:jc w:val="both"/>
        <w:rPr>
          <w:sz w:val="17"/>
        </w:rPr>
      </w:pPr>
      <w:r>
        <w:rPr>
          <w:color w:val="231F20"/>
          <w:sz w:val="17"/>
        </w:rPr>
        <w:t>Bentley, T.A., Page, S.J. and Laird, I.</w:t>
      </w:r>
      <w:r>
        <w:rPr>
          <w:color w:val="231F20"/>
          <w:sz w:val="17"/>
        </w:rPr>
        <w:t>S. (2000) Safety in New Zealand’s adventure tourism</w:t>
      </w:r>
      <w:r>
        <w:rPr>
          <w:color w:val="231F20"/>
          <w:spacing w:val="40"/>
          <w:sz w:val="17"/>
        </w:rPr>
        <w:t xml:space="preserve"> </w:t>
      </w:r>
      <w:r>
        <w:rPr>
          <w:color w:val="231F20"/>
          <w:sz w:val="17"/>
        </w:rPr>
        <w:t xml:space="preserve">industry: The client accident experience of adventure tourism operators. </w:t>
      </w:r>
      <w:r>
        <w:rPr>
          <w:i/>
          <w:color w:val="231F20"/>
          <w:sz w:val="17"/>
        </w:rPr>
        <w:t>Journal of</w:t>
      </w:r>
      <w:r>
        <w:rPr>
          <w:i/>
          <w:color w:val="231F20"/>
          <w:spacing w:val="40"/>
          <w:w w:val="105"/>
          <w:sz w:val="17"/>
        </w:rPr>
        <w:t xml:space="preserve"> </w:t>
      </w:r>
      <w:r>
        <w:rPr>
          <w:i/>
          <w:color w:val="231F20"/>
          <w:w w:val="105"/>
          <w:sz w:val="17"/>
        </w:rPr>
        <w:t xml:space="preserve">Travel Medicine </w:t>
      </w:r>
      <w:r>
        <w:rPr>
          <w:color w:val="231F20"/>
          <w:w w:val="105"/>
          <w:sz w:val="17"/>
        </w:rPr>
        <w:t>7 (5), 239–245.</w:t>
      </w:r>
    </w:p>
    <w:p w14:paraId="2DF0B035" w14:textId="77777777" w:rsidR="00AE0598" w:rsidRDefault="00AE0598">
      <w:pPr>
        <w:jc w:val="both"/>
        <w:rPr>
          <w:sz w:val="17"/>
        </w:rPr>
        <w:sectPr w:rsidR="00AE0598">
          <w:pgSz w:w="8850" w:h="13270"/>
          <w:pgMar w:top="720" w:right="1060" w:bottom="280" w:left="1080" w:header="720" w:footer="720" w:gutter="0"/>
          <w:cols w:space="720"/>
        </w:sectPr>
      </w:pPr>
    </w:p>
    <w:p w14:paraId="05A4ABE3" w14:textId="77777777" w:rsidR="00AE0598" w:rsidRDefault="0069255A">
      <w:pPr>
        <w:spacing w:before="87"/>
        <w:ind w:left="108"/>
        <w:rPr>
          <w:rFonts w:ascii="Trebuchet MS"/>
          <w:sz w:val="14"/>
        </w:rPr>
      </w:pPr>
      <w:r>
        <w:rPr>
          <w:rFonts w:ascii="Trebuchet MS"/>
          <w:color w:val="231F20"/>
          <w:w w:val="105"/>
          <w:sz w:val="14"/>
        </w:rPr>
        <w:lastRenderedPageBreak/>
        <w:t>240</w:t>
      </w:r>
      <w:r>
        <w:rPr>
          <w:rFonts w:ascii="Trebuchet MS"/>
          <w:color w:val="231F20"/>
          <w:spacing w:val="78"/>
          <w:w w:val="150"/>
          <w:sz w:val="14"/>
        </w:rPr>
        <w:t xml:space="preserve"> </w:t>
      </w:r>
      <w:r>
        <w:rPr>
          <w:rFonts w:ascii="Trebuchet MS"/>
          <w:color w:val="231F20"/>
          <w:spacing w:val="-2"/>
          <w:w w:val="105"/>
          <w:sz w:val="14"/>
        </w:rPr>
        <w:t>References</w:t>
      </w:r>
    </w:p>
    <w:p w14:paraId="1962D3A5" w14:textId="77777777" w:rsidR="00AE0598" w:rsidRDefault="00AE0598">
      <w:pPr>
        <w:pStyle w:val="Corpodetexto"/>
        <w:rPr>
          <w:rFonts w:ascii="Trebuchet MS"/>
          <w:sz w:val="16"/>
        </w:rPr>
      </w:pPr>
    </w:p>
    <w:p w14:paraId="7F5E32E9" w14:textId="77777777" w:rsidR="00AE0598" w:rsidRDefault="0069255A">
      <w:pPr>
        <w:spacing w:before="121"/>
        <w:ind w:left="430" w:right="127" w:hanging="320"/>
        <w:jc w:val="both"/>
        <w:rPr>
          <w:sz w:val="17"/>
        </w:rPr>
      </w:pPr>
      <w:r>
        <w:rPr>
          <w:color w:val="231F20"/>
          <w:sz w:val="17"/>
        </w:rPr>
        <w:t>Beresford, S. (1999) The sport–tourism link in the Yorkshire region. In M. Scarrott (ed.)</w:t>
      </w:r>
      <w:r>
        <w:rPr>
          <w:color w:val="231F20"/>
          <w:spacing w:val="40"/>
          <w:sz w:val="17"/>
        </w:rPr>
        <w:t xml:space="preserve"> </w:t>
      </w:r>
      <w:r>
        <w:rPr>
          <w:i/>
          <w:color w:val="231F20"/>
          <w:sz w:val="17"/>
        </w:rPr>
        <w:t>Exploring Sports Tourism: Proceedings of a SPRIG Seminar Held at the University of</w:t>
      </w:r>
      <w:r>
        <w:rPr>
          <w:i/>
          <w:color w:val="231F20"/>
          <w:spacing w:val="40"/>
          <w:sz w:val="17"/>
        </w:rPr>
        <w:t xml:space="preserve"> </w:t>
      </w:r>
      <w:r>
        <w:rPr>
          <w:i/>
          <w:color w:val="231F20"/>
          <w:sz w:val="17"/>
        </w:rPr>
        <w:t xml:space="preserve">Sheffield on 15 April 1999 </w:t>
      </w:r>
      <w:r>
        <w:rPr>
          <w:color w:val="231F20"/>
          <w:sz w:val="17"/>
        </w:rPr>
        <w:t>(pp. 29–37) Sheffield: Sheffield Hallam University.</w:t>
      </w:r>
    </w:p>
    <w:p w14:paraId="5BD409E8" w14:textId="77777777" w:rsidR="00AE0598" w:rsidRDefault="0069255A">
      <w:pPr>
        <w:spacing w:before="2"/>
        <w:ind w:left="430" w:right="127" w:hanging="320"/>
        <w:jc w:val="both"/>
        <w:rPr>
          <w:sz w:val="17"/>
        </w:rPr>
      </w:pPr>
      <w:r>
        <w:rPr>
          <w:color w:val="231F20"/>
          <w:sz w:val="17"/>
        </w:rPr>
        <w:t>Bern</w:t>
      </w:r>
      <w:r>
        <w:rPr>
          <w:color w:val="231F20"/>
          <w:sz w:val="17"/>
        </w:rPr>
        <w:t>stein,</w:t>
      </w:r>
      <w:r>
        <w:rPr>
          <w:color w:val="231F20"/>
          <w:spacing w:val="-5"/>
          <w:sz w:val="17"/>
        </w:rPr>
        <w:t xml:space="preserve"> </w:t>
      </w:r>
      <w:r>
        <w:rPr>
          <w:color w:val="231F20"/>
          <w:sz w:val="17"/>
        </w:rPr>
        <w:t>A.</w:t>
      </w:r>
      <w:r>
        <w:rPr>
          <w:color w:val="231F20"/>
          <w:spacing w:val="-5"/>
          <w:sz w:val="17"/>
        </w:rPr>
        <w:t xml:space="preserve"> </w:t>
      </w:r>
      <w:r>
        <w:rPr>
          <w:color w:val="231F20"/>
          <w:sz w:val="17"/>
        </w:rPr>
        <w:t>(2000)</w:t>
      </w:r>
      <w:r>
        <w:rPr>
          <w:color w:val="231F20"/>
          <w:spacing w:val="-5"/>
          <w:sz w:val="17"/>
        </w:rPr>
        <w:t xml:space="preserve"> </w:t>
      </w:r>
      <w:r>
        <w:rPr>
          <w:color w:val="231F20"/>
          <w:sz w:val="17"/>
        </w:rPr>
        <w:t>Things</w:t>
      </w:r>
      <w:r>
        <w:rPr>
          <w:color w:val="231F20"/>
          <w:spacing w:val="-5"/>
          <w:sz w:val="17"/>
        </w:rPr>
        <w:t xml:space="preserve"> </w:t>
      </w:r>
      <w:r>
        <w:rPr>
          <w:color w:val="231F20"/>
          <w:sz w:val="17"/>
        </w:rPr>
        <w:t>you</w:t>
      </w:r>
      <w:r>
        <w:rPr>
          <w:color w:val="231F20"/>
          <w:spacing w:val="-5"/>
          <w:sz w:val="17"/>
        </w:rPr>
        <w:t xml:space="preserve"> </w:t>
      </w:r>
      <w:r>
        <w:rPr>
          <w:color w:val="231F20"/>
          <w:sz w:val="17"/>
        </w:rPr>
        <w:t>can</w:t>
      </w:r>
      <w:r>
        <w:rPr>
          <w:color w:val="231F20"/>
          <w:spacing w:val="-5"/>
          <w:sz w:val="17"/>
        </w:rPr>
        <w:t xml:space="preserve"> </w:t>
      </w:r>
      <w:r>
        <w:rPr>
          <w:color w:val="231F20"/>
          <w:sz w:val="17"/>
        </w:rPr>
        <w:t>see</w:t>
      </w:r>
      <w:r>
        <w:rPr>
          <w:color w:val="231F20"/>
          <w:spacing w:val="-5"/>
          <w:sz w:val="17"/>
        </w:rPr>
        <w:t xml:space="preserve"> </w:t>
      </w:r>
      <w:r>
        <w:rPr>
          <w:color w:val="231F20"/>
          <w:sz w:val="17"/>
        </w:rPr>
        <w:t>from</w:t>
      </w:r>
      <w:r>
        <w:rPr>
          <w:color w:val="231F20"/>
          <w:spacing w:val="-5"/>
          <w:sz w:val="17"/>
        </w:rPr>
        <w:t xml:space="preserve"> </w:t>
      </w:r>
      <w:r>
        <w:rPr>
          <w:color w:val="231F20"/>
          <w:sz w:val="17"/>
        </w:rPr>
        <w:t>there</w:t>
      </w:r>
      <w:r>
        <w:rPr>
          <w:color w:val="231F20"/>
          <w:spacing w:val="-5"/>
          <w:sz w:val="17"/>
        </w:rPr>
        <w:t xml:space="preserve"> </w:t>
      </w:r>
      <w:r>
        <w:rPr>
          <w:color w:val="231F20"/>
          <w:sz w:val="17"/>
        </w:rPr>
        <w:t>you</w:t>
      </w:r>
      <w:r>
        <w:rPr>
          <w:color w:val="231F20"/>
          <w:spacing w:val="-5"/>
          <w:sz w:val="17"/>
        </w:rPr>
        <w:t xml:space="preserve"> </w:t>
      </w:r>
      <w:r>
        <w:rPr>
          <w:color w:val="231F20"/>
          <w:sz w:val="17"/>
        </w:rPr>
        <w:t>can’t</w:t>
      </w:r>
      <w:r>
        <w:rPr>
          <w:color w:val="231F20"/>
          <w:spacing w:val="-5"/>
          <w:sz w:val="17"/>
        </w:rPr>
        <w:t xml:space="preserve"> </w:t>
      </w:r>
      <w:r>
        <w:rPr>
          <w:color w:val="231F20"/>
          <w:sz w:val="17"/>
        </w:rPr>
        <w:t>see</w:t>
      </w:r>
      <w:r>
        <w:rPr>
          <w:color w:val="231F20"/>
          <w:spacing w:val="-5"/>
          <w:sz w:val="17"/>
        </w:rPr>
        <w:t xml:space="preserve"> </w:t>
      </w:r>
      <w:r>
        <w:rPr>
          <w:color w:val="231F20"/>
          <w:sz w:val="17"/>
        </w:rPr>
        <w:t>from</w:t>
      </w:r>
      <w:r>
        <w:rPr>
          <w:color w:val="231F20"/>
          <w:spacing w:val="-5"/>
          <w:sz w:val="17"/>
        </w:rPr>
        <w:t xml:space="preserve"> </w:t>
      </w:r>
      <w:r>
        <w:rPr>
          <w:color w:val="231F20"/>
          <w:sz w:val="17"/>
        </w:rPr>
        <w:t>here:</w:t>
      </w:r>
      <w:r>
        <w:rPr>
          <w:color w:val="231F20"/>
          <w:spacing w:val="-5"/>
          <w:sz w:val="17"/>
        </w:rPr>
        <w:t xml:space="preserve"> </w:t>
      </w:r>
      <w:r>
        <w:rPr>
          <w:color w:val="231F20"/>
          <w:sz w:val="17"/>
        </w:rPr>
        <w:t>Globalization,</w:t>
      </w:r>
      <w:r>
        <w:rPr>
          <w:color w:val="231F20"/>
          <w:spacing w:val="40"/>
          <w:sz w:val="17"/>
        </w:rPr>
        <w:t xml:space="preserve"> </w:t>
      </w:r>
      <w:r>
        <w:rPr>
          <w:color w:val="231F20"/>
          <w:sz w:val="17"/>
        </w:rPr>
        <w:t xml:space="preserve">media, and the Olympics. </w:t>
      </w:r>
      <w:r>
        <w:rPr>
          <w:i/>
          <w:color w:val="231F20"/>
          <w:sz w:val="17"/>
        </w:rPr>
        <w:t xml:space="preserve">Journal of Sport and Social Issues </w:t>
      </w:r>
      <w:r>
        <w:rPr>
          <w:color w:val="231F20"/>
          <w:sz w:val="17"/>
        </w:rPr>
        <w:t>24 (4), 351–369.</w:t>
      </w:r>
    </w:p>
    <w:p w14:paraId="708CED75" w14:textId="77777777" w:rsidR="00AE0598" w:rsidRDefault="0069255A">
      <w:pPr>
        <w:spacing w:before="1"/>
        <w:ind w:left="430" w:right="127" w:hanging="320"/>
        <w:jc w:val="both"/>
        <w:rPr>
          <w:sz w:val="17"/>
        </w:rPr>
      </w:pPr>
      <w:r>
        <w:rPr>
          <w:color w:val="231F20"/>
          <w:sz w:val="17"/>
        </w:rPr>
        <w:t>Bieger, T. and Laesser, C. (2002) Market segmentation by motivation: The case of</w:t>
      </w:r>
      <w:r>
        <w:rPr>
          <w:color w:val="231F20"/>
          <w:spacing w:val="40"/>
          <w:sz w:val="17"/>
        </w:rPr>
        <w:t xml:space="preserve"> </w:t>
      </w:r>
      <w:r>
        <w:rPr>
          <w:color w:val="231F20"/>
          <w:sz w:val="17"/>
        </w:rPr>
        <w:t xml:space="preserve">Switzerland. </w:t>
      </w:r>
      <w:r>
        <w:rPr>
          <w:i/>
          <w:color w:val="231F20"/>
          <w:sz w:val="17"/>
        </w:rPr>
        <w:t xml:space="preserve">Journal of Travel Research </w:t>
      </w:r>
      <w:r>
        <w:rPr>
          <w:color w:val="231F20"/>
          <w:sz w:val="17"/>
        </w:rPr>
        <w:t>41 (1), 68–76.</w:t>
      </w:r>
    </w:p>
    <w:p w14:paraId="697E9C16" w14:textId="77777777" w:rsidR="00AE0598" w:rsidRDefault="0069255A">
      <w:pPr>
        <w:spacing w:before="2"/>
        <w:ind w:left="430" w:right="128" w:hanging="320"/>
        <w:jc w:val="both"/>
        <w:rPr>
          <w:sz w:val="17"/>
        </w:rPr>
      </w:pPr>
      <w:r>
        <w:rPr>
          <w:color w:val="231F20"/>
          <w:sz w:val="17"/>
        </w:rPr>
        <w:t xml:space="preserve">Binns, T. (1995) Geography in development: Development in geography. </w:t>
      </w:r>
      <w:r>
        <w:rPr>
          <w:i/>
          <w:color w:val="231F20"/>
          <w:sz w:val="17"/>
        </w:rPr>
        <w:t xml:space="preserve">Geography </w:t>
      </w:r>
      <w:r>
        <w:rPr>
          <w:color w:val="231F20"/>
          <w:sz w:val="17"/>
        </w:rPr>
        <w:t>80,</w:t>
      </w:r>
      <w:r>
        <w:rPr>
          <w:color w:val="231F20"/>
          <w:spacing w:val="40"/>
          <w:sz w:val="17"/>
        </w:rPr>
        <w:t xml:space="preserve"> </w:t>
      </w:r>
      <w:r>
        <w:rPr>
          <w:color w:val="231F20"/>
          <w:spacing w:val="-2"/>
          <w:sz w:val="17"/>
        </w:rPr>
        <w:t>303–322.</w:t>
      </w:r>
    </w:p>
    <w:p w14:paraId="3936D820" w14:textId="77777777" w:rsidR="00AE0598" w:rsidRDefault="0069255A">
      <w:pPr>
        <w:spacing w:before="1"/>
        <w:ind w:left="430" w:right="127" w:hanging="320"/>
        <w:jc w:val="both"/>
        <w:rPr>
          <w:sz w:val="17"/>
        </w:rPr>
      </w:pPr>
      <w:r>
        <w:rPr>
          <w:color w:val="231F20"/>
          <w:w w:val="95"/>
          <w:sz w:val="17"/>
        </w:rPr>
        <w:t>Black,</w:t>
      </w:r>
      <w:r>
        <w:rPr>
          <w:color w:val="231F20"/>
          <w:spacing w:val="14"/>
          <w:sz w:val="17"/>
        </w:rPr>
        <w:t xml:space="preserve"> </w:t>
      </w:r>
      <w:r>
        <w:rPr>
          <w:color w:val="231F20"/>
          <w:w w:val="95"/>
          <w:sz w:val="17"/>
        </w:rPr>
        <w:t>D.</w:t>
      </w:r>
      <w:r>
        <w:rPr>
          <w:color w:val="231F20"/>
          <w:spacing w:val="14"/>
          <w:sz w:val="17"/>
        </w:rPr>
        <w:t xml:space="preserve"> </w:t>
      </w:r>
      <w:r>
        <w:rPr>
          <w:color w:val="231F20"/>
          <w:w w:val="95"/>
          <w:sz w:val="17"/>
        </w:rPr>
        <w:t>(2008)</w:t>
      </w:r>
      <w:r>
        <w:rPr>
          <w:color w:val="231F20"/>
          <w:spacing w:val="14"/>
          <w:sz w:val="17"/>
        </w:rPr>
        <w:t xml:space="preserve"> </w:t>
      </w:r>
      <w:r>
        <w:rPr>
          <w:color w:val="231F20"/>
          <w:w w:val="95"/>
          <w:sz w:val="17"/>
        </w:rPr>
        <w:t>Dreaming</w:t>
      </w:r>
      <w:r>
        <w:rPr>
          <w:color w:val="231F20"/>
          <w:spacing w:val="14"/>
          <w:sz w:val="17"/>
        </w:rPr>
        <w:t xml:space="preserve"> </w:t>
      </w:r>
      <w:r>
        <w:rPr>
          <w:color w:val="231F20"/>
          <w:w w:val="95"/>
          <w:sz w:val="17"/>
        </w:rPr>
        <w:t>big:</w:t>
      </w:r>
      <w:r>
        <w:rPr>
          <w:color w:val="231F20"/>
          <w:spacing w:val="14"/>
          <w:sz w:val="17"/>
        </w:rPr>
        <w:t xml:space="preserve"> </w:t>
      </w:r>
      <w:r>
        <w:rPr>
          <w:color w:val="231F20"/>
          <w:w w:val="95"/>
          <w:sz w:val="17"/>
        </w:rPr>
        <w:t>The</w:t>
      </w:r>
      <w:r>
        <w:rPr>
          <w:color w:val="231F20"/>
          <w:spacing w:val="14"/>
          <w:sz w:val="17"/>
        </w:rPr>
        <w:t xml:space="preserve"> </w:t>
      </w:r>
      <w:r>
        <w:rPr>
          <w:color w:val="231F20"/>
          <w:w w:val="95"/>
          <w:sz w:val="17"/>
        </w:rPr>
        <w:t>pursuit</w:t>
      </w:r>
      <w:r>
        <w:rPr>
          <w:color w:val="231F20"/>
          <w:spacing w:val="14"/>
          <w:sz w:val="17"/>
        </w:rPr>
        <w:t xml:space="preserve"> </w:t>
      </w:r>
      <w:r>
        <w:rPr>
          <w:color w:val="231F20"/>
          <w:w w:val="95"/>
          <w:sz w:val="17"/>
        </w:rPr>
        <w:t>of</w:t>
      </w:r>
      <w:r>
        <w:rPr>
          <w:color w:val="231F20"/>
          <w:spacing w:val="14"/>
          <w:sz w:val="17"/>
        </w:rPr>
        <w:t xml:space="preserve"> </w:t>
      </w:r>
      <w:r>
        <w:rPr>
          <w:color w:val="231F20"/>
          <w:w w:val="95"/>
          <w:sz w:val="17"/>
        </w:rPr>
        <w:t>‘second</w:t>
      </w:r>
      <w:r>
        <w:rPr>
          <w:color w:val="231F20"/>
          <w:spacing w:val="14"/>
          <w:sz w:val="17"/>
        </w:rPr>
        <w:t xml:space="preserve"> </w:t>
      </w:r>
      <w:r>
        <w:rPr>
          <w:color w:val="231F20"/>
          <w:w w:val="95"/>
          <w:sz w:val="17"/>
        </w:rPr>
        <w:t>order’</w:t>
      </w:r>
      <w:r>
        <w:rPr>
          <w:color w:val="231F20"/>
          <w:spacing w:val="14"/>
          <w:sz w:val="17"/>
        </w:rPr>
        <w:t xml:space="preserve"> </w:t>
      </w:r>
      <w:r>
        <w:rPr>
          <w:color w:val="231F20"/>
          <w:w w:val="95"/>
          <w:sz w:val="17"/>
        </w:rPr>
        <w:t>games</w:t>
      </w:r>
      <w:r>
        <w:rPr>
          <w:color w:val="231F20"/>
          <w:spacing w:val="14"/>
          <w:sz w:val="17"/>
        </w:rPr>
        <w:t xml:space="preserve"> </w:t>
      </w:r>
      <w:r>
        <w:rPr>
          <w:color w:val="231F20"/>
          <w:w w:val="95"/>
          <w:sz w:val="17"/>
        </w:rPr>
        <w:t>as</w:t>
      </w:r>
      <w:r>
        <w:rPr>
          <w:color w:val="231F20"/>
          <w:spacing w:val="14"/>
          <w:sz w:val="17"/>
        </w:rPr>
        <w:t xml:space="preserve"> </w:t>
      </w:r>
      <w:r>
        <w:rPr>
          <w:color w:val="231F20"/>
          <w:w w:val="95"/>
          <w:sz w:val="17"/>
        </w:rPr>
        <w:t>a</w:t>
      </w:r>
      <w:r>
        <w:rPr>
          <w:color w:val="231F20"/>
          <w:spacing w:val="14"/>
          <w:sz w:val="17"/>
        </w:rPr>
        <w:t xml:space="preserve"> </w:t>
      </w:r>
      <w:r>
        <w:rPr>
          <w:color w:val="231F20"/>
          <w:w w:val="95"/>
          <w:sz w:val="17"/>
        </w:rPr>
        <w:t>strategic</w:t>
      </w:r>
      <w:r>
        <w:rPr>
          <w:color w:val="231F20"/>
          <w:spacing w:val="14"/>
          <w:sz w:val="17"/>
        </w:rPr>
        <w:t xml:space="preserve"> </w:t>
      </w:r>
      <w:r>
        <w:rPr>
          <w:color w:val="231F20"/>
          <w:w w:val="95"/>
          <w:sz w:val="17"/>
        </w:rPr>
        <w:t>response</w:t>
      </w:r>
      <w:r>
        <w:rPr>
          <w:color w:val="231F20"/>
          <w:spacing w:val="40"/>
          <w:sz w:val="17"/>
        </w:rPr>
        <w:t xml:space="preserve"> </w:t>
      </w:r>
      <w:r>
        <w:rPr>
          <w:color w:val="231F20"/>
          <w:sz w:val="17"/>
        </w:rPr>
        <w:t xml:space="preserve">to globalization. </w:t>
      </w:r>
      <w:r>
        <w:rPr>
          <w:i/>
          <w:color w:val="231F20"/>
          <w:sz w:val="17"/>
        </w:rPr>
        <w:t xml:space="preserve">Sport in Society </w:t>
      </w:r>
      <w:r>
        <w:rPr>
          <w:color w:val="231F20"/>
          <w:sz w:val="17"/>
        </w:rPr>
        <w:t>11 (4), 467–480.</w:t>
      </w:r>
    </w:p>
    <w:p w14:paraId="080E1F31" w14:textId="77777777" w:rsidR="00AE0598" w:rsidRDefault="0069255A">
      <w:pPr>
        <w:spacing w:before="2"/>
        <w:ind w:left="430" w:right="128" w:hanging="320"/>
        <w:jc w:val="both"/>
        <w:rPr>
          <w:sz w:val="17"/>
        </w:rPr>
      </w:pPr>
      <w:r>
        <w:rPr>
          <w:color w:val="231F20"/>
          <w:sz w:val="17"/>
        </w:rPr>
        <w:t>Bloch, C. and Laursen</w:t>
      </w:r>
      <w:r>
        <w:rPr>
          <w:color w:val="231F20"/>
          <w:sz w:val="17"/>
        </w:rPr>
        <w:t xml:space="preserve">, P.F. (1996) Play, sports and environment. </w:t>
      </w:r>
      <w:r>
        <w:rPr>
          <w:i/>
          <w:color w:val="231F20"/>
          <w:sz w:val="17"/>
        </w:rPr>
        <w:t>International Review for</w:t>
      </w:r>
      <w:r>
        <w:rPr>
          <w:i/>
          <w:color w:val="231F20"/>
          <w:spacing w:val="40"/>
          <w:w w:val="105"/>
          <w:sz w:val="17"/>
        </w:rPr>
        <w:t xml:space="preserve"> </w:t>
      </w:r>
      <w:r>
        <w:rPr>
          <w:i/>
          <w:color w:val="231F20"/>
          <w:w w:val="105"/>
          <w:sz w:val="17"/>
        </w:rPr>
        <w:t>the</w:t>
      </w:r>
      <w:r>
        <w:rPr>
          <w:i/>
          <w:color w:val="231F20"/>
          <w:spacing w:val="-7"/>
          <w:w w:val="105"/>
          <w:sz w:val="17"/>
        </w:rPr>
        <w:t xml:space="preserve"> </w:t>
      </w:r>
      <w:r>
        <w:rPr>
          <w:i/>
          <w:color w:val="231F20"/>
          <w:w w:val="105"/>
          <w:sz w:val="17"/>
        </w:rPr>
        <w:t>Sociology</w:t>
      </w:r>
      <w:r>
        <w:rPr>
          <w:i/>
          <w:color w:val="231F20"/>
          <w:spacing w:val="-7"/>
          <w:w w:val="105"/>
          <w:sz w:val="17"/>
        </w:rPr>
        <w:t xml:space="preserve"> </w:t>
      </w:r>
      <w:r>
        <w:rPr>
          <w:i/>
          <w:color w:val="231F20"/>
          <w:w w:val="105"/>
          <w:sz w:val="17"/>
        </w:rPr>
        <w:t>of</w:t>
      </w:r>
      <w:r>
        <w:rPr>
          <w:i/>
          <w:color w:val="231F20"/>
          <w:spacing w:val="-7"/>
          <w:w w:val="105"/>
          <w:sz w:val="17"/>
        </w:rPr>
        <w:t xml:space="preserve"> </w:t>
      </w:r>
      <w:r>
        <w:rPr>
          <w:i/>
          <w:color w:val="231F20"/>
          <w:w w:val="105"/>
          <w:sz w:val="17"/>
        </w:rPr>
        <w:t>Sport</w:t>
      </w:r>
      <w:r>
        <w:rPr>
          <w:i/>
          <w:color w:val="231F20"/>
          <w:spacing w:val="-7"/>
          <w:w w:val="105"/>
          <w:sz w:val="17"/>
        </w:rPr>
        <w:t xml:space="preserve"> </w:t>
      </w:r>
      <w:r>
        <w:rPr>
          <w:color w:val="231F20"/>
          <w:w w:val="105"/>
          <w:sz w:val="17"/>
        </w:rPr>
        <w:t>31</w:t>
      </w:r>
      <w:r>
        <w:rPr>
          <w:color w:val="231F20"/>
          <w:spacing w:val="-7"/>
          <w:w w:val="105"/>
          <w:sz w:val="17"/>
        </w:rPr>
        <w:t xml:space="preserve"> </w:t>
      </w:r>
      <w:r>
        <w:rPr>
          <w:color w:val="231F20"/>
          <w:w w:val="105"/>
          <w:sz w:val="17"/>
        </w:rPr>
        <w:t>(2),</w:t>
      </w:r>
      <w:r>
        <w:rPr>
          <w:color w:val="231F20"/>
          <w:spacing w:val="-7"/>
          <w:w w:val="105"/>
          <w:sz w:val="17"/>
        </w:rPr>
        <w:t xml:space="preserve"> </w:t>
      </w:r>
      <w:r>
        <w:rPr>
          <w:color w:val="231F20"/>
          <w:w w:val="105"/>
          <w:sz w:val="17"/>
        </w:rPr>
        <w:t>205–217.</w:t>
      </w:r>
    </w:p>
    <w:p w14:paraId="20CF4CEE" w14:textId="77777777" w:rsidR="00AE0598" w:rsidRDefault="0069255A">
      <w:pPr>
        <w:spacing w:before="1"/>
        <w:ind w:left="430" w:right="127" w:hanging="320"/>
        <w:jc w:val="both"/>
        <w:rPr>
          <w:sz w:val="17"/>
        </w:rPr>
      </w:pPr>
      <w:r>
        <w:rPr>
          <w:color w:val="231F20"/>
          <w:w w:val="95"/>
          <w:sz w:val="17"/>
        </w:rPr>
        <w:t>Bodet, G. and Lacassagne, M.F. (2012) International place branding through sporting events:</w:t>
      </w:r>
      <w:r>
        <w:rPr>
          <w:color w:val="231F20"/>
          <w:spacing w:val="40"/>
          <w:sz w:val="17"/>
        </w:rPr>
        <w:t xml:space="preserve"> </w:t>
      </w:r>
      <w:r>
        <w:rPr>
          <w:color w:val="231F20"/>
          <w:sz w:val="17"/>
        </w:rPr>
        <w:t xml:space="preserve">A British perspective of the 2008 Beijing Olympics. </w:t>
      </w:r>
      <w:r>
        <w:rPr>
          <w:i/>
          <w:color w:val="231F20"/>
          <w:sz w:val="17"/>
        </w:rPr>
        <w:t>European Sport Management</w:t>
      </w:r>
      <w:r>
        <w:rPr>
          <w:i/>
          <w:color w:val="231F20"/>
          <w:spacing w:val="40"/>
          <w:sz w:val="17"/>
        </w:rPr>
        <w:t xml:space="preserve"> </w:t>
      </w:r>
      <w:r>
        <w:rPr>
          <w:i/>
          <w:color w:val="231F20"/>
          <w:sz w:val="17"/>
        </w:rPr>
        <w:t xml:space="preserve">Quarterly </w:t>
      </w:r>
      <w:r>
        <w:rPr>
          <w:color w:val="231F20"/>
          <w:sz w:val="17"/>
        </w:rPr>
        <w:t>12 (4), 357–374.</w:t>
      </w:r>
    </w:p>
    <w:p w14:paraId="4BC70DCB" w14:textId="77777777" w:rsidR="00AE0598" w:rsidRDefault="0069255A">
      <w:pPr>
        <w:spacing w:before="2"/>
        <w:ind w:left="110"/>
        <w:jc w:val="both"/>
        <w:rPr>
          <w:sz w:val="17"/>
        </w:rPr>
      </w:pPr>
      <w:r>
        <w:rPr>
          <w:color w:val="231F20"/>
          <w:sz w:val="17"/>
        </w:rPr>
        <w:t>Boniface,</w:t>
      </w:r>
      <w:r>
        <w:rPr>
          <w:color w:val="231F20"/>
          <w:spacing w:val="24"/>
          <w:sz w:val="17"/>
        </w:rPr>
        <w:t xml:space="preserve"> </w:t>
      </w:r>
      <w:r>
        <w:rPr>
          <w:color w:val="231F20"/>
          <w:sz w:val="17"/>
        </w:rPr>
        <w:t>B.G.</w:t>
      </w:r>
      <w:r>
        <w:rPr>
          <w:color w:val="231F20"/>
          <w:spacing w:val="24"/>
          <w:sz w:val="17"/>
        </w:rPr>
        <w:t xml:space="preserve"> </w:t>
      </w:r>
      <w:r>
        <w:rPr>
          <w:color w:val="231F20"/>
          <w:sz w:val="17"/>
        </w:rPr>
        <w:t>and</w:t>
      </w:r>
      <w:r>
        <w:rPr>
          <w:color w:val="231F20"/>
          <w:spacing w:val="24"/>
          <w:sz w:val="17"/>
        </w:rPr>
        <w:t xml:space="preserve"> </w:t>
      </w:r>
      <w:r>
        <w:rPr>
          <w:color w:val="231F20"/>
          <w:sz w:val="17"/>
        </w:rPr>
        <w:t>Cooper,</w:t>
      </w:r>
      <w:r>
        <w:rPr>
          <w:color w:val="231F20"/>
          <w:spacing w:val="25"/>
          <w:sz w:val="17"/>
        </w:rPr>
        <w:t xml:space="preserve"> </w:t>
      </w:r>
      <w:r>
        <w:rPr>
          <w:color w:val="231F20"/>
          <w:sz w:val="17"/>
        </w:rPr>
        <w:t>C.</w:t>
      </w:r>
      <w:r>
        <w:rPr>
          <w:color w:val="231F20"/>
          <w:spacing w:val="24"/>
          <w:sz w:val="17"/>
        </w:rPr>
        <w:t xml:space="preserve"> </w:t>
      </w:r>
      <w:r>
        <w:rPr>
          <w:color w:val="231F20"/>
          <w:sz w:val="17"/>
        </w:rPr>
        <w:t>(1994)</w:t>
      </w:r>
      <w:r>
        <w:rPr>
          <w:color w:val="231F20"/>
          <w:spacing w:val="24"/>
          <w:sz w:val="17"/>
        </w:rPr>
        <w:t xml:space="preserve"> </w:t>
      </w:r>
      <w:r>
        <w:rPr>
          <w:i/>
          <w:color w:val="231F20"/>
          <w:sz w:val="17"/>
        </w:rPr>
        <w:t>The</w:t>
      </w:r>
      <w:r>
        <w:rPr>
          <w:i/>
          <w:color w:val="231F20"/>
          <w:spacing w:val="24"/>
          <w:sz w:val="17"/>
        </w:rPr>
        <w:t xml:space="preserve"> </w:t>
      </w:r>
      <w:r>
        <w:rPr>
          <w:i/>
          <w:color w:val="231F20"/>
          <w:sz w:val="17"/>
        </w:rPr>
        <w:t>Geography</w:t>
      </w:r>
      <w:r>
        <w:rPr>
          <w:i/>
          <w:color w:val="231F20"/>
          <w:spacing w:val="25"/>
          <w:sz w:val="17"/>
        </w:rPr>
        <w:t xml:space="preserve"> </w:t>
      </w:r>
      <w:r>
        <w:rPr>
          <w:i/>
          <w:color w:val="231F20"/>
          <w:sz w:val="17"/>
        </w:rPr>
        <w:t>of</w:t>
      </w:r>
      <w:r>
        <w:rPr>
          <w:i/>
          <w:color w:val="231F20"/>
          <w:spacing w:val="24"/>
          <w:sz w:val="17"/>
        </w:rPr>
        <w:t xml:space="preserve"> </w:t>
      </w:r>
      <w:r>
        <w:rPr>
          <w:i/>
          <w:color w:val="231F20"/>
          <w:sz w:val="17"/>
        </w:rPr>
        <w:t>Trave</w:t>
      </w:r>
      <w:r>
        <w:rPr>
          <w:i/>
          <w:color w:val="231F20"/>
          <w:sz w:val="17"/>
        </w:rPr>
        <w:t>l</w:t>
      </w:r>
      <w:r>
        <w:rPr>
          <w:i/>
          <w:color w:val="231F20"/>
          <w:spacing w:val="24"/>
          <w:sz w:val="17"/>
        </w:rPr>
        <w:t xml:space="preserve"> </w:t>
      </w:r>
      <w:r>
        <w:rPr>
          <w:i/>
          <w:color w:val="231F20"/>
          <w:sz w:val="17"/>
        </w:rPr>
        <w:t>and</w:t>
      </w:r>
      <w:r>
        <w:rPr>
          <w:i/>
          <w:color w:val="231F20"/>
          <w:spacing w:val="25"/>
          <w:sz w:val="17"/>
        </w:rPr>
        <w:t xml:space="preserve"> </w:t>
      </w:r>
      <w:r>
        <w:rPr>
          <w:i/>
          <w:color w:val="231F20"/>
          <w:sz w:val="17"/>
        </w:rPr>
        <w:t>Tourism</w:t>
      </w:r>
      <w:r>
        <w:rPr>
          <w:i/>
          <w:color w:val="231F20"/>
          <w:spacing w:val="24"/>
          <w:sz w:val="17"/>
        </w:rPr>
        <w:t xml:space="preserve"> </w:t>
      </w:r>
      <w:r>
        <w:rPr>
          <w:color w:val="231F20"/>
          <w:sz w:val="17"/>
        </w:rPr>
        <w:t>(2nd</w:t>
      </w:r>
      <w:r>
        <w:rPr>
          <w:color w:val="231F20"/>
          <w:spacing w:val="24"/>
          <w:sz w:val="17"/>
        </w:rPr>
        <w:t xml:space="preserve"> </w:t>
      </w:r>
      <w:r>
        <w:rPr>
          <w:color w:val="231F20"/>
          <w:spacing w:val="-2"/>
          <w:sz w:val="17"/>
        </w:rPr>
        <w:t>edn).</w:t>
      </w:r>
    </w:p>
    <w:p w14:paraId="2E68FB97" w14:textId="77777777" w:rsidR="00AE0598" w:rsidRDefault="0069255A">
      <w:pPr>
        <w:spacing w:before="1"/>
        <w:ind w:left="430"/>
        <w:jc w:val="both"/>
        <w:rPr>
          <w:sz w:val="17"/>
        </w:rPr>
      </w:pPr>
      <w:r>
        <w:rPr>
          <w:color w:val="231F20"/>
          <w:w w:val="95"/>
          <w:sz w:val="17"/>
        </w:rPr>
        <w:t>Oxford:</w:t>
      </w:r>
      <w:r>
        <w:rPr>
          <w:color w:val="231F20"/>
          <w:spacing w:val="35"/>
          <w:sz w:val="17"/>
        </w:rPr>
        <w:t xml:space="preserve"> </w:t>
      </w:r>
      <w:r>
        <w:rPr>
          <w:color w:val="231F20"/>
          <w:w w:val="95"/>
          <w:sz w:val="17"/>
        </w:rPr>
        <w:t>Butterworth</w:t>
      </w:r>
      <w:r>
        <w:rPr>
          <w:color w:val="231F20"/>
          <w:spacing w:val="35"/>
          <w:sz w:val="17"/>
        </w:rPr>
        <w:t xml:space="preserve"> </w:t>
      </w:r>
      <w:r>
        <w:rPr>
          <w:color w:val="231F20"/>
          <w:spacing w:val="-2"/>
          <w:w w:val="95"/>
          <w:sz w:val="17"/>
        </w:rPr>
        <w:t>Heinemann.</w:t>
      </w:r>
    </w:p>
    <w:p w14:paraId="0C889757" w14:textId="77777777" w:rsidR="00AE0598" w:rsidRDefault="0069255A">
      <w:pPr>
        <w:ind w:left="110" w:right="128"/>
        <w:jc w:val="both"/>
        <w:rPr>
          <w:sz w:val="17"/>
        </w:rPr>
      </w:pPr>
      <w:r>
        <w:rPr>
          <w:color w:val="231F20"/>
          <w:sz w:val="17"/>
        </w:rPr>
        <w:t>Boorstin,</w:t>
      </w:r>
      <w:r>
        <w:rPr>
          <w:color w:val="231F20"/>
          <w:spacing w:val="-1"/>
          <w:sz w:val="17"/>
        </w:rPr>
        <w:t xml:space="preserve"> </w:t>
      </w:r>
      <w:r>
        <w:rPr>
          <w:color w:val="231F20"/>
          <w:w w:val="105"/>
          <w:sz w:val="17"/>
        </w:rPr>
        <w:t>D.J.</w:t>
      </w:r>
      <w:r>
        <w:rPr>
          <w:color w:val="231F20"/>
          <w:spacing w:val="-3"/>
          <w:w w:val="105"/>
          <w:sz w:val="17"/>
        </w:rPr>
        <w:t xml:space="preserve"> </w:t>
      </w:r>
      <w:r>
        <w:rPr>
          <w:color w:val="231F20"/>
          <w:sz w:val="17"/>
        </w:rPr>
        <w:t xml:space="preserve">(1975) </w:t>
      </w:r>
      <w:r>
        <w:rPr>
          <w:i/>
          <w:color w:val="231F20"/>
          <w:sz w:val="17"/>
        </w:rPr>
        <w:t xml:space="preserve">The Image: </w:t>
      </w:r>
      <w:r>
        <w:rPr>
          <w:i/>
          <w:color w:val="231F20"/>
          <w:w w:val="105"/>
          <w:sz w:val="17"/>
        </w:rPr>
        <w:t>A</w:t>
      </w:r>
      <w:r>
        <w:rPr>
          <w:i/>
          <w:color w:val="231F20"/>
          <w:spacing w:val="-2"/>
          <w:w w:val="105"/>
          <w:sz w:val="17"/>
        </w:rPr>
        <w:t xml:space="preserve"> </w:t>
      </w:r>
      <w:r>
        <w:rPr>
          <w:i/>
          <w:color w:val="231F20"/>
          <w:sz w:val="17"/>
        </w:rPr>
        <w:t>Guide to</w:t>
      </w:r>
      <w:r>
        <w:rPr>
          <w:i/>
          <w:color w:val="231F20"/>
          <w:spacing w:val="-1"/>
          <w:sz w:val="17"/>
        </w:rPr>
        <w:t xml:space="preserve"> </w:t>
      </w:r>
      <w:r>
        <w:rPr>
          <w:i/>
          <w:color w:val="231F20"/>
          <w:sz w:val="17"/>
        </w:rPr>
        <w:t>Pseudo-Events in</w:t>
      </w:r>
      <w:r>
        <w:rPr>
          <w:i/>
          <w:color w:val="231F20"/>
          <w:spacing w:val="-1"/>
          <w:sz w:val="17"/>
        </w:rPr>
        <w:t xml:space="preserve"> </w:t>
      </w:r>
      <w:r>
        <w:rPr>
          <w:i/>
          <w:color w:val="231F20"/>
          <w:sz w:val="17"/>
        </w:rPr>
        <w:t>America</w:t>
      </w:r>
      <w:r>
        <w:rPr>
          <w:color w:val="231F20"/>
          <w:sz w:val="17"/>
        </w:rPr>
        <w:t>.</w:t>
      </w:r>
      <w:r>
        <w:rPr>
          <w:color w:val="231F20"/>
          <w:spacing w:val="-1"/>
          <w:sz w:val="17"/>
        </w:rPr>
        <w:t xml:space="preserve"> </w:t>
      </w:r>
      <w:r>
        <w:rPr>
          <w:color w:val="231F20"/>
          <w:sz w:val="17"/>
        </w:rPr>
        <w:t>New</w:t>
      </w:r>
      <w:r>
        <w:rPr>
          <w:color w:val="231F20"/>
          <w:spacing w:val="-1"/>
          <w:sz w:val="17"/>
        </w:rPr>
        <w:t xml:space="preserve"> </w:t>
      </w:r>
      <w:r>
        <w:rPr>
          <w:color w:val="231F20"/>
          <w:sz w:val="17"/>
        </w:rPr>
        <w:t>York:</w:t>
      </w:r>
      <w:r>
        <w:rPr>
          <w:color w:val="231F20"/>
          <w:spacing w:val="-1"/>
          <w:sz w:val="17"/>
        </w:rPr>
        <w:t xml:space="preserve"> </w:t>
      </w:r>
      <w:r>
        <w:rPr>
          <w:color w:val="231F20"/>
          <w:sz w:val="17"/>
        </w:rPr>
        <w:t>Atheum.</w:t>
      </w:r>
      <w:r>
        <w:rPr>
          <w:color w:val="231F20"/>
          <w:spacing w:val="40"/>
          <w:sz w:val="17"/>
        </w:rPr>
        <w:t xml:space="preserve"> </w:t>
      </w:r>
      <w:r>
        <w:rPr>
          <w:color w:val="231F20"/>
          <w:w w:val="95"/>
          <w:sz w:val="17"/>
        </w:rPr>
        <w:t>Booth,</w:t>
      </w:r>
      <w:r>
        <w:rPr>
          <w:color w:val="231F20"/>
          <w:spacing w:val="19"/>
          <w:sz w:val="17"/>
        </w:rPr>
        <w:t xml:space="preserve"> </w:t>
      </w:r>
      <w:r>
        <w:rPr>
          <w:color w:val="231F20"/>
          <w:w w:val="95"/>
          <w:sz w:val="17"/>
        </w:rPr>
        <w:t>D.</w:t>
      </w:r>
      <w:r>
        <w:rPr>
          <w:color w:val="231F20"/>
          <w:spacing w:val="19"/>
          <w:sz w:val="17"/>
        </w:rPr>
        <w:t xml:space="preserve"> </w:t>
      </w:r>
      <w:r>
        <w:rPr>
          <w:color w:val="231F20"/>
          <w:w w:val="95"/>
          <w:sz w:val="17"/>
        </w:rPr>
        <w:t>(1993)</w:t>
      </w:r>
      <w:r>
        <w:rPr>
          <w:color w:val="231F20"/>
          <w:spacing w:val="19"/>
          <w:sz w:val="17"/>
        </w:rPr>
        <w:t xml:space="preserve"> </w:t>
      </w:r>
      <w:r>
        <w:rPr>
          <w:color w:val="231F20"/>
          <w:w w:val="95"/>
          <w:sz w:val="17"/>
        </w:rPr>
        <w:t>Sydney</w:t>
      </w:r>
      <w:r>
        <w:rPr>
          <w:color w:val="231F20"/>
          <w:spacing w:val="19"/>
          <w:sz w:val="17"/>
        </w:rPr>
        <w:t xml:space="preserve"> </w:t>
      </w:r>
      <w:r>
        <w:rPr>
          <w:color w:val="231F20"/>
          <w:w w:val="95"/>
          <w:sz w:val="17"/>
        </w:rPr>
        <w:t>2000:</w:t>
      </w:r>
      <w:r>
        <w:rPr>
          <w:color w:val="231F20"/>
          <w:spacing w:val="19"/>
          <w:sz w:val="17"/>
        </w:rPr>
        <w:t xml:space="preserve"> </w:t>
      </w:r>
      <w:r>
        <w:rPr>
          <w:color w:val="231F20"/>
          <w:w w:val="95"/>
          <w:sz w:val="17"/>
        </w:rPr>
        <w:t>The</w:t>
      </w:r>
      <w:r>
        <w:rPr>
          <w:color w:val="231F20"/>
          <w:spacing w:val="20"/>
          <w:sz w:val="17"/>
        </w:rPr>
        <w:t xml:space="preserve"> </w:t>
      </w:r>
      <w:r>
        <w:rPr>
          <w:color w:val="231F20"/>
          <w:w w:val="95"/>
          <w:sz w:val="17"/>
        </w:rPr>
        <w:t>games</w:t>
      </w:r>
      <w:r>
        <w:rPr>
          <w:color w:val="231F20"/>
          <w:spacing w:val="19"/>
          <w:sz w:val="17"/>
        </w:rPr>
        <w:t xml:space="preserve"> </w:t>
      </w:r>
      <w:r>
        <w:rPr>
          <w:color w:val="231F20"/>
          <w:w w:val="95"/>
          <w:sz w:val="17"/>
        </w:rPr>
        <w:t>people</w:t>
      </w:r>
      <w:r>
        <w:rPr>
          <w:color w:val="231F20"/>
          <w:spacing w:val="19"/>
          <w:sz w:val="17"/>
        </w:rPr>
        <w:t xml:space="preserve"> </w:t>
      </w:r>
      <w:r>
        <w:rPr>
          <w:color w:val="231F20"/>
          <w:w w:val="95"/>
          <w:sz w:val="17"/>
        </w:rPr>
        <w:t>play.</w:t>
      </w:r>
      <w:r>
        <w:rPr>
          <w:color w:val="231F20"/>
          <w:spacing w:val="16"/>
          <w:sz w:val="17"/>
        </w:rPr>
        <w:t xml:space="preserve"> </w:t>
      </w:r>
      <w:r>
        <w:rPr>
          <w:i/>
          <w:color w:val="231F20"/>
          <w:w w:val="95"/>
          <w:sz w:val="17"/>
        </w:rPr>
        <w:t>Current</w:t>
      </w:r>
      <w:r>
        <w:rPr>
          <w:i/>
          <w:color w:val="231F20"/>
          <w:spacing w:val="20"/>
          <w:sz w:val="17"/>
        </w:rPr>
        <w:t xml:space="preserve"> </w:t>
      </w:r>
      <w:r>
        <w:rPr>
          <w:i/>
          <w:color w:val="231F20"/>
          <w:w w:val="95"/>
          <w:sz w:val="17"/>
        </w:rPr>
        <w:t>Affairs</w:t>
      </w:r>
      <w:r>
        <w:rPr>
          <w:i/>
          <w:color w:val="231F20"/>
          <w:spacing w:val="19"/>
          <w:sz w:val="17"/>
        </w:rPr>
        <w:t xml:space="preserve"> </w:t>
      </w:r>
      <w:r>
        <w:rPr>
          <w:i/>
          <w:color w:val="231F20"/>
          <w:w w:val="95"/>
          <w:sz w:val="17"/>
        </w:rPr>
        <w:t>Bulletin</w:t>
      </w:r>
      <w:r>
        <w:rPr>
          <w:i/>
          <w:color w:val="231F20"/>
          <w:spacing w:val="19"/>
          <w:sz w:val="17"/>
        </w:rPr>
        <w:t xml:space="preserve"> </w:t>
      </w:r>
      <w:r>
        <w:rPr>
          <w:color w:val="231F20"/>
          <w:spacing w:val="-2"/>
          <w:w w:val="95"/>
          <w:sz w:val="17"/>
        </w:rPr>
        <w:t>December/</w:t>
      </w:r>
    </w:p>
    <w:p w14:paraId="6F22A305" w14:textId="77777777" w:rsidR="00AE0598" w:rsidRDefault="0069255A">
      <w:pPr>
        <w:spacing w:before="2"/>
        <w:ind w:left="430"/>
        <w:jc w:val="both"/>
        <w:rPr>
          <w:sz w:val="17"/>
        </w:rPr>
      </w:pPr>
      <w:r>
        <w:rPr>
          <w:color w:val="231F20"/>
          <w:sz w:val="17"/>
        </w:rPr>
        <w:t>January,</w:t>
      </w:r>
      <w:r>
        <w:rPr>
          <w:color w:val="231F20"/>
          <w:spacing w:val="9"/>
          <w:sz w:val="17"/>
        </w:rPr>
        <w:t xml:space="preserve"> </w:t>
      </w:r>
      <w:r>
        <w:rPr>
          <w:color w:val="231F20"/>
          <w:spacing w:val="-2"/>
          <w:sz w:val="17"/>
        </w:rPr>
        <w:t>4–11.</w:t>
      </w:r>
    </w:p>
    <w:p w14:paraId="1ED4DC6C" w14:textId="77777777" w:rsidR="00AE0598" w:rsidRDefault="0069255A">
      <w:pPr>
        <w:spacing w:before="1"/>
        <w:ind w:left="430" w:right="128" w:hanging="320"/>
        <w:jc w:val="both"/>
        <w:rPr>
          <w:sz w:val="17"/>
        </w:rPr>
      </w:pPr>
      <w:r>
        <w:rPr>
          <w:color w:val="231F20"/>
          <w:sz w:val="17"/>
        </w:rPr>
        <w:t xml:space="preserve">Booth, D. (1997) Sports history: What can be done? </w:t>
      </w:r>
      <w:r>
        <w:rPr>
          <w:i/>
          <w:color w:val="231F20"/>
          <w:sz w:val="17"/>
        </w:rPr>
        <w:t xml:space="preserve">Sport, Education and Society </w:t>
      </w:r>
      <w:r>
        <w:rPr>
          <w:color w:val="231F20"/>
          <w:sz w:val="17"/>
        </w:rPr>
        <w:t>2 (2),</w:t>
      </w:r>
      <w:r>
        <w:rPr>
          <w:color w:val="231F20"/>
          <w:spacing w:val="40"/>
          <w:sz w:val="17"/>
        </w:rPr>
        <w:t xml:space="preserve"> </w:t>
      </w:r>
      <w:r>
        <w:rPr>
          <w:color w:val="231F20"/>
          <w:spacing w:val="-2"/>
          <w:sz w:val="17"/>
        </w:rPr>
        <w:t>191–204.</w:t>
      </w:r>
    </w:p>
    <w:p w14:paraId="6718DA66" w14:textId="77777777" w:rsidR="00AE0598" w:rsidRDefault="0069255A">
      <w:pPr>
        <w:spacing w:before="1"/>
        <w:ind w:left="110"/>
        <w:jc w:val="both"/>
        <w:rPr>
          <w:sz w:val="17"/>
        </w:rPr>
      </w:pPr>
      <w:r>
        <w:rPr>
          <w:color w:val="231F20"/>
          <w:sz w:val="17"/>
        </w:rPr>
        <w:t>Booth, D. (1999)</w:t>
      </w:r>
      <w:r>
        <w:rPr>
          <w:color w:val="231F20"/>
          <w:spacing w:val="1"/>
          <w:sz w:val="17"/>
        </w:rPr>
        <w:t xml:space="preserve"> </w:t>
      </w:r>
      <w:r>
        <w:rPr>
          <w:color w:val="231F20"/>
          <w:sz w:val="17"/>
        </w:rPr>
        <w:t>Gifts of</w:t>
      </w:r>
      <w:r>
        <w:rPr>
          <w:color w:val="231F20"/>
          <w:spacing w:val="1"/>
          <w:sz w:val="17"/>
        </w:rPr>
        <w:t xml:space="preserve"> </w:t>
      </w:r>
      <w:r>
        <w:rPr>
          <w:color w:val="231F20"/>
          <w:sz w:val="17"/>
        </w:rPr>
        <w:t>corruption? Ambiguities</w:t>
      </w:r>
      <w:r>
        <w:rPr>
          <w:color w:val="231F20"/>
          <w:spacing w:val="1"/>
          <w:sz w:val="17"/>
        </w:rPr>
        <w:t xml:space="preserve"> </w:t>
      </w:r>
      <w:r>
        <w:rPr>
          <w:color w:val="231F20"/>
          <w:sz w:val="17"/>
        </w:rPr>
        <w:t>of obligation</w:t>
      </w:r>
      <w:r>
        <w:rPr>
          <w:color w:val="231F20"/>
          <w:spacing w:val="1"/>
          <w:sz w:val="17"/>
        </w:rPr>
        <w:t xml:space="preserve"> </w:t>
      </w:r>
      <w:r>
        <w:rPr>
          <w:color w:val="231F20"/>
          <w:sz w:val="17"/>
        </w:rPr>
        <w:t>in the Olympic</w:t>
      </w:r>
      <w:r>
        <w:rPr>
          <w:color w:val="231F20"/>
          <w:spacing w:val="1"/>
          <w:sz w:val="17"/>
        </w:rPr>
        <w:t xml:space="preserve"> </w:t>
      </w:r>
      <w:r>
        <w:rPr>
          <w:color w:val="231F20"/>
          <w:spacing w:val="-2"/>
          <w:sz w:val="17"/>
        </w:rPr>
        <w:t>movement.</w:t>
      </w:r>
    </w:p>
    <w:p w14:paraId="3F7F599D" w14:textId="77777777" w:rsidR="00AE0598" w:rsidRDefault="0069255A">
      <w:pPr>
        <w:spacing w:before="1"/>
        <w:ind w:left="430"/>
        <w:jc w:val="both"/>
        <w:rPr>
          <w:sz w:val="17"/>
        </w:rPr>
      </w:pPr>
      <w:r>
        <w:rPr>
          <w:i/>
          <w:color w:val="231F20"/>
          <w:sz w:val="17"/>
        </w:rPr>
        <w:t>Olympika</w:t>
      </w:r>
      <w:r>
        <w:rPr>
          <w:i/>
          <w:color w:val="231F20"/>
          <w:spacing w:val="30"/>
          <w:sz w:val="17"/>
        </w:rPr>
        <w:t xml:space="preserve"> </w:t>
      </w:r>
      <w:r>
        <w:rPr>
          <w:color w:val="231F20"/>
          <w:sz w:val="17"/>
        </w:rPr>
        <w:t>8,</w:t>
      </w:r>
      <w:r>
        <w:rPr>
          <w:color w:val="231F20"/>
          <w:spacing w:val="30"/>
          <w:sz w:val="17"/>
        </w:rPr>
        <w:t xml:space="preserve"> </w:t>
      </w:r>
      <w:r>
        <w:rPr>
          <w:color w:val="231F20"/>
          <w:spacing w:val="-2"/>
          <w:sz w:val="17"/>
        </w:rPr>
        <w:t>43–68.</w:t>
      </w:r>
    </w:p>
    <w:p w14:paraId="139DBEB8" w14:textId="77777777" w:rsidR="00AE0598" w:rsidRDefault="0069255A">
      <w:pPr>
        <w:ind w:left="430" w:right="128" w:hanging="320"/>
        <w:jc w:val="both"/>
        <w:rPr>
          <w:sz w:val="17"/>
        </w:rPr>
      </w:pPr>
      <w:r>
        <w:rPr>
          <w:color w:val="231F20"/>
          <w:sz w:val="17"/>
        </w:rPr>
        <w:t>Booth, D. (2000) Modern sport: Emergence and experie</w:t>
      </w:r>
      <w:r>
        <w:rPr>
          <w:color w:val="231F20"/>
          <w:sz w:val="17"/>
        </w:rPr>
        <w:t xml:space="preserve">nces. In C. Collins (ed.) </w:t>
      </w:r>
      <w:r>
        <w:rPr>
          <w:i/>
          <w:color w:val="231F20"/>
          <w:sz w:val="17"/>
        </w:rPr>
        <w:t>Sport in</w:t>
      </w:r>
      <w:r>
        <w:rPr>
          <w:i/>
          <w:color w:val="231F20"/>
          <w:spacing w:val="40"/>
          <w:sz w:val="17"/>
        </w:rPr>
        <w:t xml:space="preserve"> </w:t>
      </w:r>
      <w:r>
        <w:rPr>
          <w:i/>
          <w:color w:val="231F20"/>
          <w:sz w:val="17"/>
        </w:rPr>
        <w:t xml:space="preserve">New Zealand Society </w:t>
      </w:r>
      <w:r>
        <w:rPr>
          <w:color w:val="231F20"/>
          <w:sz w:val="17"/>
        </w:rPr>
        <w:t>(pp. 45–63). Palmerston North, New Zealand: Dunmore Press.</w:t>
      </w:r>
    </w:p>
    <w:p w14:paraId="25AA54CA" w14:textId="77777777" w:rsidR="00AE0598" w:rsidRDefault="0069255A">
      <w:pPr>
        <w:spacing w:before="2"/>
        <w:ind w:left="110" w:right="127" w:hanging="1"/>
        <w:jc w:val="both"/>
        <w:rPr>
          <w:sz w:val="17"/>
        </w:rPr>
      </w:pPr>
      <w:r>
        <w:rPr>
          <w:color w:val="231F20"/>
          <w:sz w:val="17"/>
        </w:rPr>
        <w:t xml:space="preserve">Booth, D. and Loy, J.W. (1999) Sport, status, and style. </w:t>
      </w:r>
      <w:r>
        <w:rPr>
          <w:i/>
          <w:color w:val="231F20"/>
          <w:sz w:val="17"/>
        </w:rPr>
        <w:t xml:space="preserve">Sport History Review </w:t>
      </w:r>
      <w:r>
        <w:rPr>
          <w:color w:val="231F20"/>
          <w:sz w:val="17"/>
        </w:rPr>
        <w:t>30, 1–26.</w:t>
      </w:r>
      <w:r>
        <w:rPr>
          <w:color w:val="231F20"/>
          <w:spacing w:val="40"/>
          <w:sz w:val="17"/>
        </w:rPr>
        <w:t xml:space="preserve"> </w:t>
      </w:r>
      <w:r>
        <w:rPr>
          <w:color w:val="231F20"/>
          <w:sz w:val="17"/>
        </w:rPr>
        <w:t>Borish,</w:t>
      </w:r>
      <w:r>
        <w:rPr>
          <w:color w:val="231F20"/>
          <w:spacing w:val="23"/>
          <w:sz w:val="17"/>
        </w:rPr>
        <w:t xml:space="preserve"> </w:t>
      </w:r>
      <w:r>
        <w:rPr>
          <w:color w:val="231F20"/>
          <w:sz w:val="17"/>
        </w:rPr>
        <w:t>L.J.</w:t>
      </w:r>
      <w:r>
        <w:rPr>
          <w:color w:val="231F20"/>
          <w:spacing w:val="23"/>
          <w:sz w:val="17"/>
        </w:rPr>
        <w:t xml:space="preserve"> </w:t>
      </w:r>
      <w:r>
        <w:rPr>
          <w:color w:val="231F20"/>
          <w:sz w:val="17"/>
        </w:rPr>
        <w:t>and</w:t>
      </w:r>
      <w:r>
        <w:rPr>
          <w:color w:val="231F20"/>
          <w:spacing w:val="23"/>
          <w:sz w:val="17"/>
        </w:rPr>
        <w:t xml:space="preserve"> </w:t>
      </w:r>
      <w:r>
        <w:rPr>
          <w:color w:val="231F20"/>
          <w:sz w:val="17"/>
        </w:rPr>
        <w:t>Rischler,</w:t>
      </w:r>
      <w:r>
        <w:rPr>
          <w:color w:val="231F20"/>
          <w:spacing w:val="23"/>
          <w:sz w:val="17"/>
        </w:rPr>
        <w:t xml:space="preserve"> </w:t>
      </w:r>
      <w:r>
        <w:rPr>
          <w:color w:val="231F20"/>
          <w:sz w:val="17"/>
        </w:rPr>
        <w:t>B.L.</w:t>
      </w:r>
      <w:r>
        <w:rPr>
          <w:color w:val="231F20"/>
          <w:spacing w:val="23"/>
          <w:sz w:val="17"/>
        </w:rPr>
        <w:t xml:space="preserve"> </w:t>
      </w:r>
      <w:r>
        <w:rPr>
          <w:color w:val="231F20"/>
          <w:sz w:val="17"/>
        </w:rPr>
        <w:t>(2001)</w:t>
      </w:r>
      <w:r>
        <w:rPr>
          <w:color w:val="231F20"/>
          <w:spacing w:val="23"/>
          <w:sz w:val="17"/>
        </w:rPr>
        <w:t xml:space="preserve"> </w:t>
      </w:r>
      <w:r>
        <w:rPr>
          <w:color w:val="231F20"/>
          <w:sz w:val="17"/>
        </w:rPr>
        <w:t>Labour,</w:t>
      </w:r>
      <w:r>
        <w:rPr>
          <w:color w:val="231F20"/>
          <w:spacing w:val="23"/>
          <w:sz w:val="17"/>
        </w:rPr>
        <w:t xml:space="preserve"> </w:t>
      </w:r>
      <w:r>
        <w:rPr>
          <w:color w:val="231F20"/>
          <w:sz w:val="17"/>
        </w:rPr>
        <w:t>leisure</w:t>
      </w:r>
      <w:r>
        <w:rPr>
          <w:color w:val="231F20"/>
          <w:spacing w:val="23"/>
          <w:sz w:val="17"/>
        </w:rPr>
        <w:t xml:space="preserve"> </w:t>
      </w:r>
      <w:r>
        <w:rPr>
          <w:color w:val="231F20"/>
          <w:sz w:val="17"/>
        </w:rPr>
        <w:t>and</w:t>
      </w:r>
      <w:r>
        <w:rPr>
          <w:color w:val="231F20"/>
          <w:spacing w:val="23"/>
          <w:sz w:val="17"/>
        </w:rPr>
        <w:t xml:space="preserve"> </w:t>
      </w:r>
      <w:r>
        <w:rPr>
          <w:color w:val="231F20"/>
          <w:sz w:val="17"/>
        </w:rPr>
        <w:t>sport</w:t>
      </w:r>
      <w:r>
        <w:rPr>
          <w:color w:val="231F20"/>
          <w:spacing w:val="23"/>
          <w:sz w:val="17"/>
        </w:rPr>
        <w:t xml:space="preserve"> </w:t>
      </w:r>
      <w:r>
        <w:rPr>
          <w:color w:val="231F20"/>
          <w:sz w:val="17"/>
        </w:rPr>
        <w:t>in</w:t>
      </w:r>
      <w:r>
        <w:rPr>
          <w:color w:val="231F20"/>
          <w:spacing w:val="23"/>
          <w:sz w:val="17"/>
        </w:rPr>
        <w:t xml:space="preserve"> </w:t>
      </w:r>
      <w:r>
        <w:rPr>
          <w:color w:val="231F20"/>
          <w:sz w:val="17"/>
        </w:rPr>
        <w:t>cultural</w:t>
      </w:r>
      <w:r>
        <w:rPr>
          <w:color w:val="231F20"/>
          <w:spacing w:val="23"/>
          <w:sz w:val="17"/>
        </w:rPr>
        <w:t xml:space="preserve"> </w:t>
      </w:r>
      <w:r>
        <w:rPr>
          <w:color w:val="231F20"/>
          <w:sz w:val="17"/>
        </w:rPr>
        <w:t>perspective.</w:t>
      </w:r>
    </w:p>
    <w:p w14:paraId="128388DA" w14:textId="77777777" w:rsidR="00AE0598" w:rsidRDefault="0069255A">
      <w:pPr>
        <w:spacing w:before="1"/>
        <w:ind w:left="430"/>
        <w:jc w:val="both"/>
        <w:rPr>
          <w:sz w:val="17"/>
        </w:rPr>
      </w:pPr>
      <w:r>
        <w:rPr>
          <w:i/>
          <w:color w:val="231F20"/>
          <w:sz w:val="17"/>
        </w:rPr>
        <w:t>Rethinking</w:t>
      </w:r>
      <w:r>
        <w:rPr>
          <w:i/>
          <w:color w:val="231F20"/>
          <w:spacing w:val="7"/>
          <w:sz w:val="17"/>
        </w:rPr>
        <w:t xml:space="preserve"> </w:t>
      </w:r>
      <w:r>
        <w:rPr>
          <w:i/>
          <w:color w:val="231F20"/>
          <w:sz w:val="17"/>
        </w:rPr>
        <w:t>History</w:t>
      </w:r>
      <w:r>
        <w:rPr>
          <w:i/>
          <w:color w:val="231F20"/>
          <w:spacing w:val="8"/>
          <w:sz w:val="17"/>
        </w:rPr>
        <w:t xml:space="preserve"> </w:t>
      </w:r>
      <w:r>
        <w:rPr>
          <w:color w:val="231F20"/>
          <w:sz w:val="17"/>
        </w:rPr>
        <w:t>5</w:t>
      </w:r>
      <w:r>
        <w:rPr>
          <w:color w:val="231F20"/>
          <w:spacing w:val="8"/>
          <w:sz w:val="17"/>
        </w:rPr>
        <w:t xml:space="preserve"> </w:t>
      </w:r>
      <w:r>
        <w:rPr>
          <w:color w:val="231F20"/>
          <w:sz w:val="17"/>
        </w:rPr>
        <w:t>(1),</w:t>
      </w:r>
      <w:r>
        <w:rPr>
          <w:color w:val="231F20"/>
          <w:spacing w:val="8"/>
          <w:sz w:val="17"/>
        </w:rPr>
        <w:t xml:space="preserve"> </w:t>
      </w:r>
      <w:r>
        <w:rPr>
          <w:color w:val="231F20"/>
          <w:spacing w:val="-4"/>
          <w:sz w:val="17"/>
        </w:rPr>
        <w:t>1–9.</w:t>
      </w:r>
    </w:p>
    <w:p w14:paraId="5B25C0E6" w14:textId="77777777" w:rsidR="00AE0598" w:rsidRDefault="0069255A">
      <w:pPr>
        <w:spacing w:before="1"/>
        <w:ind w:left="430" w:right="128" w:hanging="320"/>
        <w:jc w:val="both"/>
        <w:rPr>
          <w:sz w:val="17"/>
        </w:rPr>
      </w:pPr>
      <w:r>
        <w:rPr>
          <w:color w:val="231F20"/>
          <w:w w:val="105"/>
          <w:sz w:val="17"/>
        </w:rPr>
        <w:t xml:space="preserve">Borland, </w:t>
      </w:r>
      <w:r>
        <w:rPr>
          <w:color w:val="231F20"/>
          <w:w w:val="110"/>
          <w:sz w:val="17"/>
        </w:rPr>
        <w:t xml:space="preserve">J. </w:t>
      </w:r>
      <w:r>
        <w:rPr>
          <w:color w:val="231F20"/>
          <w:w w:val="105"/>
          <w:sz w:val="17"/>
        </w:rPr>
        <w:t xml:space="preserve">and MacDonald, </w:t>
      </w:r>
      <w:r>
        <w:rPr>
          <w:color w:val="231F20"/>
          <w:w w:val="110"/>
          <w:sz w:val="17"/>
        </w:rPr>
        <w:t xml:space="preserve">R. </w:t>
      </w:r>
      <w:r>
        <w:rPr>
          <w:color w:val="231F20"/>
          <w:w w:val="105"/>
          <w:sz w:val="17"/>
        </w:rPr>
        <w:t xml:space="preserve">(2003) Demand for sport. </w:t>
      </w:r>
      <w:r>
        <w:rPr>
          <w:i/>
          <w:color w:val="231F20"/>
          <w:w w:val="105"/>
          <w:sz w:val="17"/>
        </w:rPr>
        <w:t>Oxford Review of Economic</w:t>
      </w:r>
      <w:r>
        <w:rPr>
          <w:i/>
          <w:color w:val="231F20"/>
          <w:spacing w:val="40"/>
          <w:w w:val="105"/>
          <w:sz w:val="17"/>
        </w:rPr>
        <w:t xml:space="preserve"> </w:t>
      </w:r>
      <w:r>
        <w:rPr>
          <w:i/>
          <w:color w:val="231F20"/>
          <w:w w:val="105"/>
          <w:sz w:val="17"/>
        </w:rPr>
        <w:t xml:space="preserve">Policy </w:t>
      </w:r>
      <w:r>
        <w:rPr>
          <w:color w:val="231F20"/>
          <w:w w:val="105"/>
          <w:sz w:val="17"/>
        </w:rPr>
        <w:t>19 (4), 478–502.</w:t>
      </w:r>
    </w:p>
    <w:p w14:paraId="5266301D" w14:textId="77777777" w:rsidR="00AE0598" w:rsidRDefault="0069255A">
      <w:pPr>
        <w:spacing w:before="1"/>
        <w:ind w:left="430" w:right="128" w:hanging="320"/>
        <w:jc w:val="both"/>
        <w:rPr>
          <w:sz w:val="17"/>
        </w:rPr>
      </w:pPr>
      <w:r>
        <w:rPr>
          <w:color w:val="231F20"/>
          <w:sz w:val="17"/>
        </w:rPr>
        <w:t>Bourdeau,</w:t>
      </w:r>
      <w:r>
        <w:rPr>
          <w:color w:val="231F20"/>
          <w:spacing w:val="-8"/>
          <w:sz w:val="17"/>
        </w:rPr>
        <w:t xml:space="preserve"> </w:t>
      </w:r>
      <w:r>
        <w:rPr>
          <w:color w:val="231F20"/>
          <w:sz w:val="17"/>
        </w:rPr>
        <w:t>P.,</w:t>
      </w:r>
      <w:r>
        <w:rPr>
          <w:color w:val="231F20"/>
          <w:spacing w:val="-8"/>
          <w:sz w:val="17"/>
        </w:rPr>
        <w:t xml:space="preserve"> </w:t>
      </w:r>
      <w:r>
        <w:rPr>
          <w:color w:val="231F20"/>
          <w:sz w:val="17"/>
        </w:rPr>
        <w:t>Corneloup,</w:t>
      </w:r>
      <w:r>
        <w:rPr>
          <w:color w:val="231F20"/>
          <w:spacing w:val="-8"/>
          <w:sz w:val="17"/>
        </w:rPr>
        <w:t xml:space="preserve"> </w:t>
      </w:r>
      <w:r>
        <w:rPr>
          <w:color w:val="231F20"/>
          <w:sz w:val="17"/>
        </w:rPr>
        <w:t>J.</w:t>
      </w:r>
      <w:r>
        <w:rPr>
          <w:color w:val="231F20"/>
          <w:spacing w:val="-8"/>
          <w:sz w:val="17"/>
        </w:rPr>
        <w:t xml:space="preserve"> </w:t>
      </w:r>
      <w:r>
        <w:rPr>
          <w:color w:val="231F20"/>
          <w:sz w:val="17"/>
        </w:rPr>
        <w:t>and</w:t>
      </w:r>
      <w:r>
        <w:rPr>
          <w:color w:val="231F20"/>
          <w:spacing w:val="-8"/>
          <w:sz w:val="17"/>
        </w:rPr>
        <w:t xml:space="preserve"> </w:t>
      </w:r>
      <w:r>
        <w:rPr>
          <w:color w:val="231F20"/>
          <w:sz w:val="17"/>
        </w:rPr>
        <w:t>Mao,</w:t>
      </w:r>
      <w:r>
        <w:rPr>
          <w:color w:val="231F20"/>
          <w:spacing w:val="-8"/>
          <w:sz w:val="17"/>
        </w:rPr>
        <w:t xml:space="preserve"> </w:t>
      </w:r>
      <w:r>
        <w:rPr>
          <w:color w:val="231F20"/>
          <w:sz w:val="17"/>
        </w:rPr>
        <w:t>P.</w:t>
      </w:r>
      <w:r>
        <w:rPr>
          <w:color w:val="231F20"/>
          <w:spacing w:val="-8"/>
          <w:sz w:val="17"/>
        </w:rPr>
        <w:t xml:space="preserve"> </w:t>
      </w:r>
      <w:r>
        <w:rPr>
          <w:color w:val="231F20"/>
          <w:sz w:val="17"/>
        </w:rPr>
        <w:t>(2002)</w:t>
      </w:r>
      <w:r>
        <w:rPr>
          <w:color w:val="231F20"/>
          <w:spacing w:val="-8"/>
          <w:sz w:val="17"/>
        </w:rPr>
        <w:t xml:space="preserve"> </w:t>
      </w:r>
      <w:r>
        <w:rPr>
          <w:color w:val="231F20"/>
          <w:sz w:val="17"/>
        </w:rPr>
        <w:t>Adventure</w:t>
      </w:r>
      <w:r>
        <w:rPr>
          <w:color w:val="231F20"/>
          <w:spacing w:val="-8"/>
          <w:sz w:val="17"/>
        </w:rPr>
        <w:t xml:space="preserve"> </w:t>
      </w:r>
      <w:r>
        <w:rPr>
          <w:color w:val="231F20"/>
          <w:sz w:val="17"/>
        </w:rPr>
        <w:t>sports</w:t>
      </w:r>
      <w:r>
        <w:rPr>
          <w:color w:val="231F20"/>
          <w:spacing w:val="-8"/>
          <w:sz w:val="17"/>
        </w:rPr>
        <w:t xml:space="preserve"> </w:t>
      </w:r>
      <w:r>
        <w:rPr>
          <w:color w:val="231F20"/>
          <w:sz w:val="17"/>
        </w:rPr>
        <w:t>and</w:t>
      </w:r>
      <w:r>
        <w:rPr>
          <w:color w:val="231F20"/>
          <w:spacing w:val="-8"/>
          <w:sz w:val="17"/>
        </w:rPr>
        <w:t xml:space="preserve"> </w:t>
      </w:r>
      <w:r>
        <w:rPr>
          <w:color w:val="231F20"/>
          <w:sz w:val="17"/>
        </w:rPr>
        <w:t>tourism</w:t>
      </w:r>
      <w:r>
        <w:rPr>
          <w:color w:val="231F20"/>
          <w:spacing w:val="-8"/>
          <w:sz w:val="17"/>
        </w:rPr>
        <w:t xml:space="preserve"> </w:t>
      </w:r>
      <w:r>
        <w:rPr>
          <w:color w:val="231F20"/>
          <w:sz w:val="17"/>
        </w:rPr>
        <w:t>in</w:t>
      </w:r>
      <w:r>
        <w:rPr>
          <w:color w:val="231F20"/>
          <w:spacing w:val="-8"/>
          <w:sz w:val="17"/>
        </w:rPr>
        <w:t xml:space="preserve"> </w:t>
      </w:r>
      <w:r>
        <w:rPr>
          <w:color w:val="231F20"/>
          <w:sz w:val="17"/>
        </w:rPr>
        <w:t>the</w:t>
      </w:r>
      <w:r>
        <w:rPr>
          <w:color w:val="231F20"/>
          <w:spacing w:val="-8"/>
          <w:sz w:val="17"/>
        </w:rPr>
        <w:t xml:space="preserve"> </w:t>
      </w:r>
      <w:r>
        <w:rPr>
          <w:color w:val="231F20"/>
          <w:sz w:val="17"/>
        </w:rPr>
        <w:t>French</w:t>
      </w:r>
      <w:r>
        <w:rPr>
          <w:color w:val="231F20"/>
          <w:spacing w:val="40"/>
          <w:sz w:val="17"/>
        </w:rPr>
        <w:t xml:space="preserve"> </w:t>
      </w:r>
      <w:r>
        <w:rPr>
          <w:color w:val="231F20"/>
          <w:sz w:val="17"/>
        </w:rPr>
        <w:t>Mountains:</w:t>
      </w:r>
      <w:r>
        <w:rPr>
          <w:color w:val="231F20"/>
          <w:spacing w:val="-3"/>
          <w:sz w:val="17"/>
        </w:rPr>
        <w:t xml:space="preserve"> </w:t>
      </w:r>
      <w:r>
        <w:rPr>
          <w:color w:val="231F20"/>
          <w:sz w:val="17"/>
        </w:rPr>
        <w:t>Dynamics</w:t>
      </w:r>
      <w:r>
        <w:rPr>
          <w:color w:val="231F20"/>
          <w:spacing w:val="-3"/>
          <w:sz w:val="17"/>
        </w:rPr>
        <w:t xml:space="preserve"> </w:t>
      </w:r>
      <w:r>
        <w:rPr>
          <w:color w:val="231F20"/>
          <w:sz w:val="17"/>
        </w:rPr>
        <w:t>of</w:t>
      </w:r>
      <w:r>
        <w:rPr>
          <w:color w:val="231F20"/>
          <w:spacing w:val="-3"/>
          <w:sz w:val="17"/>
        </w:rPr>
        <w:t xml:space="preserve"> </w:t>
      </w:r>
      <w:r>
        <w:rPr>
          <w:color w:val="231F20"/>
          <w:sz w:val="17"/>
        </w:rPr>
        <w:t>change</w:t>
      </w:r>
      <w:r>
        <w:rPr>
          <w:color w:val="231F20"/>
          <w:spacing w:val="-3"/>
          <w:sz w:val="17"/>
        </w:rPr>
        <w:t xml:space="preserve"> </w:t>
      </w:r>
      <w:r>
        <w:rPr>
          <w:color w:val="231F20"/>
          <w:sz w:val="17"/>
        </w:rPr>
        <w:t>and</w:t>
      </w:r>
      <w:r>
        <w:rPr>
          <w:color w:val="231F20"/>
          <w:spacing w:val="-3"/>
          <w:sz w:val="17"/>
        </w:rPr>
        <w:t xml:space="preserve"> </w:t>
      </w:r>
      <w:r>
        <w:rPr>
          <w:color w:val="231F20"/>
          <w:sz w:val="17"/>
        </w:rPr>
        <w:t>challenges</w:t>
      </w:r>
      <w:r>
        <w:rPr>
          <w:color w:val="231F20"/>
          <w:spacing w:val="-3"/>
          <w:sz w:val="17"/>
        </w:rPr>
        <w:t xml:space="preserve"> </w:t>
      </w:r>
      <w:r>
        <w:rPr>
          <w:color w:val="231F20"/>
          <w:sz w:val="17"/>
        </w:rPr>
        <w:t>for</w:t>
      </w:r>
      <w:r>
        <w:rPr>
          <w:color w:val="231F20"/>
          <w:spacing w:val="-3"/>
          <w:sz w:val="17"/>
        </w:rPr>
        <w:t xml:space="preserve"> </w:t>
      </w:r>
      <w:r>
        <w:rPr>
          <w:color w:val="231F20"/>
          <w:sz w:val="17"/>
        </w:rPr>
        <w:t>sustainable</w:t>
      </w:r>
      <w:r>
        <w:rPr>
          <w:color w:val="231F20"/>
          <w:spacing w:val="-3"/>
          <w:sz w:val="17"/>
        </w:rPr>
        <w:t xml:space="preserve"> </w:t>
      </w:r>
      <w:r>
        <w:rPr>
          <w:color w:val="231F20"/>
          <w:sz w:val="17"/>
        </w:rPr>
        <w:t>development.</w:t>
      </w:r>
      <w:r>
        <w:rPr>
          <w:color w:val="231F20"/>
          <w:spacing w:val="-4"/>
          <w:sz w:val="17"/>
        </w:rPr>
        <w:t xml:space="preserve"> </w:t>
      </w:r>
      <w:r>
        <w:rPr>
          <w:i/>
          <w:color w:val="231F20"/>
          <w:sz w:val="17"/>
        </w:rPr>
        <w:t>Current</w:t>
      </w:r>
      <w:r>
        <w:rPr>
          <w:i/>
          <w:color w:val="231F20"/>
          <w:spacing w:val="40"/>
          <w:sz w:val="17"/>
        </w:rPr>
        <w:t xml:space="preserve"> </w:t>
      </w:r>
      <w:r>
        <w:rPr>
          <w:i/>
          <w:color w:val="231F20"/>
          <w:sz w:val="17"/>
        </w:rPr>
        <w:t xml:space="preserve">Issues in Tourism </w:t>
      </w:r>
      <w:r>
        <w:rPr>
          <w:color w:val="231F20"/>
          <w:sz w:val="17"/>
        </w:rPr>
        <w:t>5 (1), 22–32.</w:t>
      </w:r>
    </w:p>
    <w:p w14:paraId="3550AC57" w14:textId="77777777" w:rsidR="00AE0598" w:rsidRDefault="0069255A">
      <w:pPr>
        <w:spacing w:before="2"/>
        <w:ind w:left="430" w:right="123" w:hanging="320"/>
        <w:jc w:val="both"/>
        <w:rPr>
          <w:sz w:val="17"/>
        </w:rPr>
      </w:pPr>
      <w:r>
        <w:rPr>
          <w:color w:val="231F20"/>
          <w:sz w:val="17"/>
        </w:rPr>
        <w:t>Bows-Larkin,</w:t>
      </w:r>
      <w:r>
        <w:rPr>
          <w:color w:val="231F20"/>
          <w:spacing w:val="40"/>
          <w:sz w:val="17"/>
        </w:rPr>
        <w:t xml:space="preserve"> </w:t>
      </w:r>
      <w:r>
        <w:rPr>
          <w:color w:val="231F20"/>
          <w:sz w:val="17"/>
        </w:rPr>
        <w:t>A.,</w:t>
      </w:r>
      <w:r>
        <w:rPr>
          <w:color w:val="231F20"/>
          <w:spacing w:val="40"/>
          <w:sz w:val="17"/>
        </w:rPr>
        <w:t xml:space="preserve"> </w:t>
      </w:r>
      <w:r>
        <w:rPr>
          <w:color w:val="231F20"/>
          <w:sz w:val="17"/>
        </w:rPr>
        <w:t>Mander,</w:t>
      </w:r>
      <w:r>
        <w:rPr>
          <w:color w:val="231F20"/>
          <w:spacing w:val="40"/>
          <w:sz w:val="17"/>
        </w:rPr>
        <w:t xml:space="preserve"> </w:t>
      </w:r>
      <w:r>
        <w:rPr>
          <w:color w:val="231F20"/>
          <w:sz w:val="17"/>
        </w:rPr>
        <w:t>S.L.,</w:t>
      </w:r>
      <w:r>
        <w:rPr>
          <w:color w:val="231F20"/>
          <w:spacing w:val="40"/>
          <w:sz w:val="17"/>
        </w:rPr>
        <w:t xml:space="preserve"> </w:t>
      </w:r>
      <w:r>
        <w:rPr>
          <w:color w:val="231F20"/>
          <w:sz w:val="17"/>
        </w:rPr>
        <w:t>Traut,</w:t>
      </w:r>
      <w:r>
        <w:rPr>
          <w:color w:val="231F20"/>
          <w:spacing w:val="40"/>
          <w:sz w:val="17"/>
        </w:rPr>
        <w:t xml:space="preserve"> </w:t>
      </w:r>
      <w:r>
        <w:rPr>
          <w:color w:val="231F20"/>
          <w:sz w:val="17"/>
        </w:rPr>
        <w:t>M.B.,</w:t>
      </w:r>
      <w:r>
        <w:rPr>
          <w:color w:val="231F20"/>
          <w:spacing w:val="40"/>
          <w:sz w:val="17"/>
        </w:rPr>
        <w:t xml:space="preserve"> </w:t>
      </w:r>
      <w:r>
        <w:rPr>
          <w:color w:val="231F20"/>
          <w:sz w:val="17"/>
        </w:rPr>
        <w:t>Anderson,</w:t>
      </w:r>
      <w:r>
        <w:rPr>
          <w:color w:val="231F20"/>
          <w:spacing w:val="40"/>
          <w:sz w:val="17"/>
        </w:rPr>
        <w:t xml:space="preserve"> </w:t>
      </w:r>
      <w:r>
        <w:rPr>
          <w:color w:val="231F20"/>
          <w:sz w:val="17"/>
        </w:rPr>
        <w:t>K.L.</w:t>
      </w:r>
      <w:r>
        <w:rPr>
          <w:color w:val="231F20"/>
          <w:spacing w:val="40"/>
          <w:sz w:val="17"/>
        </w:rPr>
        <w:t xml:space="preserve"> </w:t>
      </w:r>
      <w:r>
        <w:rPr>
          <w:color w:val="231F20"/>
          <w:sz w:val="17"/>
        </w:rPr>
        <w:t>and</w:t>
      </w:r>
      <w:r>
        <w:rPr>
          <w:color w:val="231F20"/>
          <w:spacing w:val="40"/>
          <w:sz w:val="17"/>
        </w:rPr>
        <w:t xml:space="preserve"> </w:t>
      </w:r>
      <w:r>
        <w:rPr>
          <w:color w:val="231F20"/>
          <w:sz w:val="17"/>
        </w:rPr>
        <w:t>Wood,</w:t>
      </w:r>
      <w:r>
        <w:rPr>
          <w:color w:val="231F20"/>
          <w:spacing w:val="40"/>
          <w:sz w:val="17"/>
        </w:rPr>
        <w:t xml:space="preserve"> </w:t>
      </w:r>
      <w:r>
        <w:rPr>
          <w:color w:val="231F20"/>
          <w:sz w:val="17"/>
        </w:rPr>
        <w:t>F.R.</w:t>
      </w:r>
      <w:r>
        <w:rPr>
          <w:color w:val="231F20"/>
          <w:spacing w:val="40"/>
          <w:sz w:val="17"/>
        </w:rPr>
        <w:t xml:space="preserve"> </w:t>
      </w:r>
      <w:r>
        <w:rPr>
          <w:color w:val="231F20"/>
          <w:sz w:val="17"/>
        </w:rPr>
        <w:t>(2016)</w:t>
      </w:r>
      <w:r>
        <w:rPr>
          <w:color w:val="231F20"/>
          <w:spacing w:val="40"/>
          <w:sz w:val="17"/>
        </w:rPr>
        <w:t xml:space="preserve"> </w:t>
      </w:r>
      <w:r>
        <w:rPr>
          <w:color w:val="231F20"/>
          <w:sz w:val="17"/>
        </w:rPr>
        <w:t>Aviation and climate change: The contin</w:t>
      </w:r>
      <w:r>
        <w:rPr>
          <w:color w:val="231F20"/>
          <w:sz w:val="17"/>
        </w:rPr>
        <w:t xml:space="preserve">uing challenge. </w:t>
      </w:r>
      <w:r>
        <w:rPr>
          <w:i/>
          <w:color w:val="231F20"/>
          <w:sz w:val="17"/>
        </w:rPr>
        <w:t>Encyclopedia of Aerospace</w:t>
      </w:r>
      <w:r>
        <w:rPr>
          <w:i/>
          <w:color w:val="231F20"/>
          <w:spacing w:val="40"/>
          <w:sz w:val="17"/>
        </w:rPr>
        <w:t xml:space="preserve"> </w:t>
      </w:r>
      <w:r>
        <w:rPr>
          <w:i/>
          <w:color w:val="231F20"/>
          <w:w w:val="95"/>
          <w:sz w:val="17"/>
        </w:rPr>
        <w:t>Engineering</w:t>
      </w:r>
      <w:r>
        <w:rPr>
          <w:color w:val="231F20"/>
          <w:w w:val="95"/>
          <w:sz w:val="17"/>
        </w:rPr>
        <w:t xml:space="preserve">. doi: </w:t>
      </w:r>
      <w:r>
        <w:rPr>
          <w:color w:val="231F20"/>
          <w:spacing w:val="-4"/>
          <w:w w:val="91"/>
          <w:sz w:val="17"/>
        </w:rPr>
        <w:t>1</w:t>
      </w:r>
      <w:r>
        <w:rPr>
          <w:color w:val="231F20"/>
          <w:spacing w:val="-1"/>
          <w:w w:val="91"/>
          <w:sz w:val="17"/>
        </w:rPr>
        <w:t>0</w:t>
      </w:r>
      <w:r>
        <w:rPr>
          <w:color w:val="231F20"/>
          <w:spacing w:val="-7"/>
          <w:w w:val="137"/>
          <w:sz w:val="17"/>
        </w:rPr>
        <w:t>.</w:t>
      </w:r>
      <w:r>
        <w:rPr>
          <w:color w:val="231F20"/>
          <w:spacing w:val="-4"/>
          <w:w w:val="91"/>
          <w:sz w:val="17"/>
        </w:rPr>
        <w:t>1</w:t>
      </w:r>
      <w:r>
        <w:rPr>
          <w:color w:val="231F20"/>
          <w:spacing w:val="6"/>
          <w:w w:val="91"/>
          <w:sz w:val="17"/>
        </w:rPr>
        <w:t>0</w:t>
      </w:r>
      <w:r>
        <w:rPr>
          <w:color w:val="231F20"/>
          <w:w w:val="91"/>
          <w:sz w:val="17"/>
        </w:rPr>
        <w:t>0</w:t>
      </w:r>
      <w:r>
        <w:rPr>
          <w:color w:val="231F20"/>
          <w:spacing w:val="5"/>
          <w:w w:val="91"/>
          <w:sz w:val="17"/>
        </w:rPr>
        <w:t>2</w:t>
      </w:r>
      <w:r>
        <w:rPr>
          <w:color w:val="231F20"/>
          <w:spacing w:val="-2"/>
          <w:w w:val="62"/>
          <w:sz w:val="17"/>
        </w:rPr>
        <w:t>/</w:t>
      </w:r>
      <w:r>
        <w:rPr>
          <w:color w:val="231F20"/>
          <w:spacing w:val="3"/>
          <w:w w:val="91"/>
          <w:sz w:val="17"/>
        </w:rPr>
        <w:t>9</w:t>
      </w:r>
      <w:r>
        <w:rPr>
          <w:color w:val="231F20"/>
          <w:spacing w:val="-3"/>
          <w:w w:val="91"/>
          <w:sz w:val="17"/>
        </w:rPr>
        <w:t>7</w:t>
      </w:r>
      <w:r>
        <w:rPr>
          <w:color w:val="231F20"/>
          <w:spacing w:val="3"/>
          <w:w w:val="91"/>
          <w:sz w:val="17"/>
        </w:rPr>
        <w:t>8</w:t>
      </w:r>
      <w:r>
        <w:rPr>
          <w:color w:val="231F20"/>
          <w:spacing w:val="4"/>
          <w:w w:val="91"/>
          <w:sz w:val="17"/>
        </w:rPr>
        <w:t>0</w:t>
      </w:r>
      <w:r>
        <w:rPr>
          <w:color w:val="231F20"/>
          <w:spacing w:val="-1"/>
          <w:w w:val="91"/>
          <w:sz w:val="17"/>
        </w:rPr>
        <w:t>4</w:t>
      </w:r>
      <w:r>
        <w:rPr>
          <w:color w:val="231F20"/>
          <w:spacing w:val="-3"/>
          <w:w w:val="91"/>
          <w:sz w:val="17"/>
        </w:rPr>
        <w:t>7</w:t>
      </w:r>
      <w:r>
        <w:rPr>
          <w:color w:val="231F20"/>
          <w:spacing w:val="6"/>
          <w:w w:val="91"/>
          <w:sz w:val="17"/>
        </w:rPr>
        <w:t>0</w:t>
      </w:r>
      <w:r>
        <w:rPr>
          <w:color w:val="231F20"/>
          <w:spacing w:val="3"/>
          <w:w w:val="91"/>
          <w:sz w:val="17"/>
        </w:rPr>
        <w:t>0</w:t>
      </w:r>
      <w:r>
        <w:rPr>
          <w:color w:val="231F20"/>
          <w:w w:val="91"/>
          <w:sz w:val="17"/>
        </w:rPr>
        <w:t>6</w:t>
      </w:r>
      <w:r>
        <w:rPr>
          <w:color w:val="231F20"/>
          <w:spacing w:val="1"/>
          <w:w w:val="91"/>
          <w:sz w:val="17"/>
        </w:rPr>
        <w:t>8</w:t>
      </w:r>
      <w:r>
        <w:rPr>
          <w:color w:val="231F20"/>
          <w:spacing w:val="2"/>
          <w:w w:val="91"/>
          <w:sz w:val="17"/>
        </w:rPr>
        <w:t>6</w:t>
      </w:r>
      <w:r>
        <w:rPr>
          <w:color w:val="231F20"/>
          <w:w w:val="91"/>
          <w:sz w:val="17"/>
        </w:rPr>
        <w:t>6</w:t>
      </w:r>
      <w:r>
        <w:rPr>
          <w:color w:val="231F20"/>
          <w:spacing w:val="-2"/>
          <w:w w:val="91"/>
          <w:sz w:val="17"/>
        </w:rPr>
        <w:t>5</w:t>
      </w:r>
      <w:r>
        <w:rPr>
          <w:color w:val="231F20"/>
          <w:spacing w:val="5"/>
          <w:w w:val="91"/>
          <w:sz w:val="17"/>
        </w:rPr>
        <w:t>2</w:t>
      </w:r>
      <w:r>
        <w:rPr>
          <w:color w:val="231F20"/>
          <w:spacing w:val="-3"/>
          <w:w w:val="137"/>
          <w:sz w:val="17"/>
        </w:rPr>
        <w:t>.</w:t>
      </w:r>
      <w:r>
        <w:rPr>
          <w:color w:val="231F20"/>
          <w:spacing w:val="-1"/>
          <w:w w:val="92"/>
          <w:sz w:val="17"/>
        </w:rPr>
        <w:t>e</w:t>
      </w:r>
      <w:r>
        <w:rPr>
          <w:color w:val="231F20"/>
          <w:spacing w:val="-4"/>
          <w:w w:val="103"/>
          <w:sz w:val="17"/>
        </w:rPr>
        <w:t>a</w:t>
      </w:r>
      <w:r>
        <w:rPr>
          <w:color w:val="231F20"/>
          <w:spacing w:val="-8"/>
          <w:w w:val="92"/>
          <w:sz w:val="17"/>
        </w:rPr>
        <w:t>e</w:t>
      </w:r>
      <w:r>
        <w:rPr>
          <w:color w:val="231F20"/>
          <w:spacing w:val="-4"/>
          <w:w w:val="91"/>
          <w:sz w:val="17"/>
        </w:rPr>
        <w:t>1</w:t>
      </w:r>
      <w:r>
        <w:rPr>
          <w:color w:val="231F20"/>
          <w:spacing w:val="-1"/>
          <w:w w:val="91"/>
          <w:sz w:val="17"/>
        </w:rPr>
        <w:t>0</w:t>
      </w:r>
      <w:r>
        <w:rPr>
          <w:color w:val="231F20"/>
          <w:spacing w:val="-6"/>
          <w:w w:val="91"/>
          <w:sz w:val="17"/>
        </w:rPr>
        <w:t>3</w:t>
      </w:r>
      <w:r>
        <w:rPr>
          <w:color w:val="231F20"/>
          <w:spacing w:val="-3"/>
          <w:w w:val="91"/>
          <w:sz w:val="17"/>
        </w:rPr>
        <w:t>1</w:t>
      </w:r>
      <w:r>
        <w:rPr>
          <w:color w:val="231F20"/>
          <w:spacing w:val="-4"/>
          <w:w w:val="137"/>
          <w:sz w:val="17"/>
        </w:rPr>
        <w:t>.</w:t>
      </w:r>
    </w:p>
    <w:p w14:paraId="72F05D58" w14:textId="77777777" w:rsidR="00AE0598" w:rsidRDefault="0069255A">
      <w:pPr>
        <w:spacing w:before="3"/>
        <w:ind w:left="430" w:right="127" w:hanging="320"/>
        <w:jc w:val="both"/>
        <w:rPr>
          <w:sz w:val="17"/>
        </w:rPr>
      </w:pPr>
      <w:r>
        <w:rPr>
          <w:color w:val="231F20"/>
          <w:sz w:val="17"/>
        </w:rPr>
        <w:t xml:space="preserve">Boyle, </w:t>
      </w:r>
      <w:r>
        <w:rPr>
          <w:color w:val="231F20"/>
          <w:w w:val="115"/>
          <w:sz w:val="17"/>
        </w:rPr>
        <w:t xml:space="preserve">R. </w:t>
      </w:r>
      <w:r>
        <w:rPr>
          <w:color w:val="231F20"/>
          <w:sz w:val="17"/>
        </w:rPr>
        <w:t xml:space="preserve">and Haynes, </w:t>
      </w:r>
      <w:r>
        <w:rPr>
          <w:color w:val="231F20"/>
          <w:w w:val="115"/>
          <w:sz w:val="17"/>
        </w:rPr>
        <w:t xml:space="preserve">R. </w:t>
      </w:r>
      <w:r>
        <w:rPr>
          <w:color w:val="231F20"/>
          <w:sz w:val="17"/>
        </w:rPr>
        <w:t>(1996) ‘The grand old game’: Football, media and identity in</w:t>
      </w:r>
      <w:r>
        <w:rPr>
          <w:color w:val="231F20"/>
          <w:spacing w:val="40"/>
          <w:sz w:val="17"/>
        </w:rPr>
        <w:t xml:space="preserve"> </w:t>
      </w:r>
      <w:r>
        <w:rPr>
          <w:color w:val="231F20"/>
          <w:sz w:val="17"/>
        </w:rPr>
        <w:t xml:space="preserve">Scotland. </w:t>
      </w:r>
      <w:r>
        <w:rPr>
          <w:i/>
          <w:color w:val="231F20"/>
          <w:sz w:val="17"/>
        </w:rPr>
        <w:t xml:space="preserve">Media, Culture </w:t>
      </w:r>
      <w:r>
        <w:rPr>
          <w:i/>
          <w:color w:val="231F20"/>
          <w:w w:val="115"/>
          <w:sz w:val="17"/>
        </w:rPr>
        <w:t xml:space="preserve">&amp; </w:t>
      </w:r>
      <w:r>
        <w:rPr>
          <w:i/>
          <w:color w:val="231F20"/>
          <w:sz w:val="17"/>
        </w:rPr>
        <w:t xml:space="preserve">Society </w:t>
      </w:r>
      <w:r>
        <w:rPr>
          <w:color w:val="231F20"/>
          <w:sz w:val="17"/>
        </w:rPr>
        <w:t>18 (4), 549–564.</w:t>
      </w:r>
    </w:p>
    <w:p w14:paraId="0A39EDB6" w14:textId="77777777" w:rsidR="00AE0598" w:rsidRDefault="0069255A">
      <w:pPr>
        <w:spacing w:before="1"/>
        <w:ind w:left="430" w:right="128" w:hanging="320"/>
        <w:jc w:val="both"/>
        <w:rPr>
          <w:sz w:val="17"/>
        </w:rPr>
      </w:pPr>
      <w:r>
        <w:rPr>
          <w:color w:val="231F20"/>
          <w:w w:val="95"/>
          <w:sz w:val="17"/>
        </w:rPr>
        <w:t xml:space="preserve">Bramwell, B. (1999) Sport, tourism and city development. </w:t>
      </w:r>
      <w:r>
        <w:rPr>
          <w:i/>
          <w:color w:val="231F20"/>
          <w:w w:val="95"/>
          <w:sz w:val="17"/>
        </w:rPr>
        <w:t>International Journal of Tourism</w:t>
      </w:r>
      <w:r>
        <w:rPr>
          <w:i/>
          <w:color w:val="231F20"/>
          <w:spacing w:val="40"/>
          <w:sz w:val="17"/>
        </w:rPr>
        <w:t xml:space="preserve"> </w:t>
      </w:r>
      <w:r>
        <w:rPr>
          <w:i/>
          <w:color w:val="231F20"/>
          <w:sz w:val="17"/>
        </w:rPr>
        <w:t xml:space="preserve">Research </w:t>
      </w:r>
      <w:r>
        <w:rPr>
          <w:color w:val="231F20"/>
          <w:sz w:val="17"/>
        </w:rPr>
        <w:t>1 (6), 459–460.</w:t>
      </w:r>
    </w:p>
    <w:p w14:paraId="6B611297" w14:textId="77777777" w:rsidR="00AE0598" w:rsidRDefault="0069255A">
      <w:pPr>
        <w:spacing w:before="1"/>
        <w:ind w:left="430" w:right="128" w:hanging="320"/>
        <w:jc w:val="both"/>
        <w:rPr>
          <w:sz w:val="17"/>
        </w:rPr>
      </w:pPr>
      <w:r>
        <w:rPr>
          <w:color w:val="231F20"/>
          <w:w w:val="105"/>
          <w:sz w:val="17"/>
        </w:rPr>
        <w:t>Bramwell, B., Higham, J.E.S., Lane, B. and Miller, G. (2017) Twenty-five years of</w:t>
      </w:r>
      <w:r>
        <w:rPr>
          <w:color w:val="231F20"/>
          <w:spacing w:val="40"/>
          <w:w w:val="105"/>
          <w:sz w:val="17"/>
        </w:rPr>
        <w:t xml:space="preserve"> </w:t>
      </w:r>
      <w:r>
        <w:rPr>
          <w:color w:val="231F20"/>
          <w:w w:val="105"/>
          <w:sz w:val="17"/>
        </w:rPr>
        <w:t xml:space="preserve">sustainable tourism: Looking back and moving forward. </w:t>
      </w:r>
      <w:r>
        <w:rPr>
          <w:i/>
          <w:color w:val="231F20"/>
          <w:w w:val="105"/>
          <w:sz w:val="17"/>
        </w:rPr>
        <w:t>Journ</w:t>
      </w:r>
      <w:r>
        <w:rPr>
          <w:i/>
          <w:color w:val="231F20"/>
          <w:w w:val="105"/>
          <w:sz w:val="17"/>
        </w:rPr>
        <w:t>al of Sustainable</w:t>
      </w:r>
      <w:r>
        <w:rPr>
          <w:i/>
          <w:color w:val="231F20"/>
          <w:spacing w:val="40"/>
          <w:w w:val="105"/>
          <w:sz w:val="17"/>
        </w:rPr>
        <w:t xml:space="preserve"> </w:t>
      </w:r>
      <w:r>
        <w:rPr>
          <w:i/>
          <w:color w:val="231F20"/>
          <w:w w:val="105"/>
          <w:sz w:val="17"/>
        </w:rPr>
        <w:t xml:space="preserve">Tourism </w:t>
      </w:r>
      <w:r>
        <w:rPr>
          <w:color w:val="231F20"/>
          <w:w w:val="105"/>
          <w:sz w:val="17"/>
        </w:rPr>
        <w:t>25 (1), 1–9.</w:t>
      </w:r>
    </w:p>
    <w:p w14:paraId="061322E5" w14:textId="77777777" w:rsidR="00AE0598" w:rsidRDefault="0069255A">
      <w:pPr>
        <w:spacing w:before="2"/>
        <w:ind w:left="110"/>
        <w:jc w:val="both"/>
        <w:rPr>
          <w:sz w:val="17"/>
        </w:rPr>
      </w:pPr>
      <w:r>
        <w:rPr>
          <w:color w:val="231F20"/>
          <w:sz w:val="17"/>
        </w:rPr>
        <w:t>Brayley,</w:t>
      </w:r>
      <w:r>
        <w:rPr>
          <w:color w:val="231F20"/>
          <w:spacing w:val="22"/>
          <w:sz w:val="17"/>
        </w:rPr>
        <w:t xml:space="preserve"> </w:t>
      </w:r>
      <w:r>
        <w:rPr>
          <w:color w:val="231F20"/>
          <w:sz w:val="17"/>
        </w:rPr>
        <w:t>R.E.</w:t>
      </w:r>
      <w:r>
        <w:rPr>
          <w:color w:val="231F20"/>
          <w:spacing w:val="22"/>
          <w:sz w:val="17"/>
        </w:rPr>
        <w:t xml:space="preserve"> </w:t>
      </w:r>
      <w:r>
        <w:rPr>
          <w:color w:val="231F20"/>
          <w:sz w:val="17"/>
        </w:rPr>
        <w:t>(1999)</w:t>
      </w:r>
      <w:r>
        <w:rPr>
          <w:color w:val="231F20"/>
          <w:spacing w:val="23"/>
          <w:sz w:val="17"/>
        </w:rPr>
        <w:t xml:space="preserve"> </w:t>
      </w:r>
      <w:r>
        <w:rPr>
          <w:color w:val="231F20"/>
          <w:sz w:val="17"/>
        </w:rPr>
        <w:t>Using</w:t>
      </w:r>
      <w:r>
        <w:rPr>
          <w:color w:val="231F20"/>
          <w:spacing w:val="22"/>
          <w:sz w:val="17"/>
        </w:rPr>
        <w:t xml:space="preserve"> </w:t>
      </w:r>
      <w:r>
        <w:rPr>
          <w:color w:val="231F20"/>
          <w:sz w:val="17"/>
        </w:rPr>
        <w:t>technology</w:t>
      </w:r>
      <w:r>
        <w:rPr>
          <w:color w:val="231F20"/>
          <w:spacing w:val="22"/>
          <w:sz w:val="17"/>
        </w:rPr>
        <w:t xml:space="preserve"> </w:t>
      </w:r>
      <w:r>
        <w:rPr>
          <w:color w:val="231F20"/>
          <w:sz w:val="17"/>
        </w:rPr>
        <w:t>to</w:t>
      </w:r>
      <w:r>
        <w:rPr>
          <w:color w:val="231F20"/>
          <w:spacing w:val="23"/>
          <w:sz w:val="17"/>
        </w:rPr>
        <w:t xml:space="preserve"> </w:t>
      </w:r>
      <w:r>
        <w:rPr>
          <w:color w:val="231F20"/>
          <w:sz w:val="17"/>
        </w:rPr>
        <w:t>enhance</w:t>
      </w:r>
      <w:r>
        <w:rPr>
          <w:color w:val="231F20"/>
          <w:spacing w:val="22"/>
          <w:sz w:val="17"/>
        </w:rPr>
        <w:t xml:space="preserve"> </w:t>
      </w:r>
      <w:r>
        <w:rPr>
          <w:color w:val="231F20"/>
          <w:sz w:val="17"/>
        </w:rPr>
        <w:t>the</w:t>
      </w:r>
      <w:r>
        <w:rPr>
          <w:color w:val="231F20"/>
          <w:spacing w:val="22"/>
          <w:sz w:val="17"/>
        </w:rPr>
        <w:t xml:space="preserve"> </w:t>
      </w:r>
      <w:r>
        <w:rPr>
          <w:color w:val="231F20"/>
          <w:sz w:val="17"/>
        </w:rPr>
        <w:t>recreation</w:t>
      </w:r>
      <w:r>
        <w:rPr>
          <w:color w:val="231F20"/>
          <w:spacing w:val="23"/>
          <w:sz w:val="17"/>
        </w:rPr>
        <w:t xml:space="preserve"> </w:t>
      </w:r>
      <w:r>
        <w:rPr>
          <w:color w:val="231F20"/>
          <w:sz w:val="17"/>
        </w:rPr>
        <w:t>education</w:t>
      </w:r>
      <w:r>
        <w:rPr>
          <w:color w:val="231F20"/>
          <w:spacing w:val="22"/>
          <w:sz w:val="17"/>
        </w:rPr>
        <w:t xml:space="preserve"> </w:t>
      </w:r>
      <w:r>
        <w:rPr>
          <w:color w:val="231F20"/>
          <w:spacing w:val="-2"/>
          <w:sz w:val="17"/>
        </w:rPr>
        <w:t>classroom.</w:t>
      </w:r>
    </w:p>
    <w:p w14:paraId="272E5E5F" w14:textId="77777777" w:rsidR="00AE0598" w:rsidRDefault="0069255A">
      <w:pPr>
        <w:spacing w:before="1"/>
        <w:ind w:left="430"/>
        <w:jc w:val="both"/>
        <w:rPr>
          <w:sz w:val="17"/>
        </w:rPr>
      </w:pPr>
      <w:r>
        <w:rPr>
          <w:i/>
          <w:color w:val="231F20"/>
          <w:sz w:val="17"/>
        </w:rPr>
        <w:t>Journal</w:t>
      </w:r>
      <w:r>
        <w:rPr>
          <w:i/>
          <w:color w:val="231F20"/>
          <w:spacing w:val="13"/>
          <w:sz w:val="17"/>
        </w:rPr>
        <w:t xml:space="preserve"> </w:t>
      </w:r>
      <w:r>
        <w:rPr>
          <w:i/>
          <w:color w:val="231F20"/>
          <w:sz w:val="17"/>
        </w:rPr>
        <w:t>of</w:t>
      </w:r>
      <w:r>
        <w:rPr>
          <w:i/>
          <w:color w:val="231F20"/>
          <w:spacing w:val="13"/>
          <w:sz w:val="17"/>
        </w:rPr>
        <w:t xml:space="preserve"> </w:t>
      </w:r>
      <w:r>
        <w:rPr>
          <w:i/>
          <w:color w:val="231F20"/>
          <w:sz w:val="17"/>
        </w:rPr>
        <w:t>Physical</w:t>
      </w:r>
      <w:r>
        <w:rPr>
          <w:i/>
          <w:color w:val="231F20"/>
          <w:spacing w:val="13"/>
          <w:sz w:val="17"/>
        </w:rPr>
        <w:t xml:space="preserve"> </w:t>
      </w:r>
      <w:r>
        <w:rPr>
          <w:i/>
          <w:color w:val="231F20"/>
          <w:sz w:val="17"/>
        </w:rPr>
        <w:t>Education,</w:t>
      </w:r>
      <w:r>
        <w:rPr>
          <w:i/>
          <w:color w:val="231F20"/>
          <w:spacing w:val="13"/>
          <w:sz w:val="17"/>
        </w:rPr>
        <w:t xml:space="preserve"> </w:t>
      </w:r>
      <w:r>
        <w:rPr>
          <w:i/>
          <w:color w:val="231F20"/>
          <w:sz w:val="17"/>
        </w:rPr>
        <w:t>Recreation</w:t>
      </w:r>
      <w:r>
        <w:rPr>
          <w:i/>
          <w:color w:val="231F20"/>
          <w:spacing w:val="13"/>
          <w:sz w:val="17"/>
        </w:rPr>
        <w:t xml:space="preserve"> </w:t>
      </w:r>
      <w:r>
        <w:rPr>
          <w:i/>
          <w:color w:val="231F20"/>
          <w:sz w:val="17"/>
        </w:rPr>
        <w:t>&amp;</w:t>
      </w:r>
      <w:r>
        <w:rPr>
          <w:i/>
          <w:color w:val="231F20"/>
          <w:spacing w:val="13"/>
          <w:sz w:val="17"/>
        </w:rPr>
        <w:t xml:space="preserve"> </w:t>
      </w:r>
      <w:r>
        <w:rPr>
          <w:i/>
          <w:color w:val="231F20"/>
          <w:sz w:val="17"/>
        </w:rPr>
        <w:t>Dance</w:t>
      </w:r>
      <w:r>
        <w:rPr>
          <w:i/>
          <w:color w:val="231F20"/>
          <w:spacing w:val="13"/>
          <w:sz w:val="17"/>
        </w:rPr>
        <w:t xml:space="preserve"> </w:t>
      </w:r>
      <w:r>
        <w:rPr>
          <w:color w:val="231F20"/>
          <w:sz w:val="17"/>
        </w:rPr>
        <w:t>70</w:t>
      </w:r>
      <w:r>
        <w:rPr>
          <w:color w:val="231F20"/>
          <w:spacing w:val="13"/>
          <w:sz w:val="17"/>
        </w:rPr>
        <w:t xml:space="preserve"> </w:t>
      </w:r>
      <w:r>
        <w:rPr>
          <w:color w:val="231F20"/>
          <w:sz w:val="17"/>
        </w:rPr>
        <w:t>(9),</w:t>
      </w:r>
      <w:r>
        <w:rPr>
          <w:color w:val="231F20"/>
          <w:spacing w:val="13"/>
          <w:sz w:val="17"/>
        </w:rPr>
        <w:t xml:space="preserve"> </w:t>
      </w:r>
      <w:r>
        <w:rPr>
          <w:color w:val="231F20"/>
          <w:spacing w:val="-2"/>
          <w:sz w:val="17"/>
        </w:rPr>
        <w:t>23–25.</w:t>
      </w:r>
    </w:p>
    <w:p w14:paraId="38E71850" w14:textId="77777777" w:rsidR="00AE0598" w:rsidRDefault="0069255A">
      <w:pPr>
        <w:spacing w:before="1"/>
        <w:ind w:left="110"/>
        <w:jc w:val="both"/>
        <w:rPr>
          <w:i/>
          <w:sz w:val="17"/>
        </w:rPr>
      </w:pPr>
      <w:r>
        <w:rPr>
          <w:color w:val="231F20"/>
          <w:sz w:val="17"/>
        </w:rPr>
        <w:t>Breivik,</w:t>
      </w:r>
      <w:r>
        <w:rPr>
          <w:color w:val="231F20"/>
          <w:spacing w:val="6"/>
          <w:sz w:val="17"/>
        </w:rPr>
        <w:t xml:space="preserve"> </w:t>
      </w:r>
      <w:r>
        <w:rPr>
          <w:color w:val="231F20"/>
          <w:sz w:val="17"/>
        </w:rPr>
        <w:t>G.</w:t>
      </w:r>
      <w:r>
        <w:rPr>
          <w:color w:val="231F20"/>
          <w:spacing w:val="6"/>
          <w:sz w:val="17"/>
        </w:rPr>
        <w:t xml:space="preserve"> </w:t>
      </w:r>
      <w:r>
        <w:rPr>
          <w:color w:val="231F20"/>
          <w:sz w:val="17"/>
        </w:rPr>
        <w:t>(2010)</w:t>
      </w:r>
      <w:r>
        <w:rPr>
          <w:color w:val="231F20"/>
          <w:spacing w:val="7"/>
          <w:sz w:val="17"/>
        </w:rPr>
        <w:t xml:space="preserve"> </w:t>
      </w:r>
      <w:r>
        <w:rPr>
          <w:color w:val="231F20"/>
          <w:sz w:val="17"/>
        </w:rPr>
        <w:t>Trends</w:t>
      </w:r>
      <w:r>
        <w:rPr>
          <w:color w:val="231F20"/>
          <w:spacing w:val="6"/>
          <w:sz w:val="17"/>
        </w:rPr>
        <w:t xml:space="preserve"> </w:t>
      </w:r>
      <w:r>
        <w:rPr>
          <w:color w:val="231F20"/>
          <w:sz w:val="17"/>
        </w:rPr>
        <w:t>in</w:t>
      </w:r>
      <w:r>
        <w:rPr>
          <w:color w:val="231F20"/>
          <w:spacing w:val="7"/>
          <w:sz w:val="17"/>
        </w:rPr>
        <w:t xml:space="preserve"> </w:t>
      </w:r>
      <w:r>
        <w:rPr>
          <w:color w:val="231F20"/>
          <w:sz w:val="17"/>
        </w:rPr>
        <w:t>adventure</w:t>
      </w:r>
      <w:r>
        <w:rPr>
          <w:color w:val="231F20"/>
          <w:spacing w:val="6"/>
          <w:sz w:val="17"/>
        </w:rPr>
        <w:t xml:space="preserve"> </w:t>
      </w:r>
      <w:r>
        <w:rPr>
          <w:color w:val="231F20"/>
          <w:sz w:val="17"/>
        </w:rPr>
        <w:t>sports</w:t>
      </w:r>
      <w:r>
        <w:rPr>
          <w:color w:val="231F20"/>
          <w:spacing w:val="6"/>
          <w:sz w:val="17"/>
        </w:rPr>
        <w:t xml:space="preserve"> </w:t>
      </w:r>
      <w:r>
        <w:rPr>
          <w:color w:val="231F20"/>
          <w:sz w:val="17"/>
        </w:rPr>
        <w:t>in</w:t>
      </w:r>
      <w:r>
        <w:rPr>
          <w:color w:val="231F20"/>
          <w:spacing w:val="7"/>
          <w:sz w:val="17"/>
        </w:rPr>
        <w:t xml:space="preserve"> </w:t>
      </w:r>
      <w:r>
        <w:rPr>
          <w:color w:val="231F20"/>
          <w:sz w:val="17"/>
        </w:rPr>
        <w:t>a</w:t>
      </w:r>
      <w:r>
        <w:rPr>
          <w:color w:val="231F20"/>
          <w:spacing w:val="6"/>
          <w:sz w:val="17"/>
        </w:rPr>
        <w:t xml:space="preserve"> </w:t>
      </w:r>
      <w:r>
        <w:rPr>
          <w:color w:val="231F20"/>
          <w:sz w:val="17"/>
        </w:rPr>
        <w:t>post-modern</w:t>
      </w:r>
      <w:r>
        <w:rPr>
          <w:color w:val="231F20"/>
          <w:spacing w:val="7"/>
          <w:sz w:val="17"/>
        </w:rPr>
        <w:t xml:space="preserve"> </w:t>
      </w:r>
      <w:r>
        <w:rPr>
          <w:color w:val="231F20"/>
          <w:sz w:val="17"/>
        </w:rPr>
        <w:t>society.</w:t>
      </w:r>
      <w:r>
        <w:rPr>
          <w:color w:val="231F20"/>
          <w:spacing w:val="6"/>
          <w:sz w:val="17"/>
        </w:rPr>
        <w:t xml:space="preserve"> </w:t>
      </w:r>
      <w:r>
        <w:rPr>
          <w:i/>
          <w:color w:val="231F20"/>
          <w:sz w:val="17"/>
        </w:rPr>
        <w:t>Sport</w:t>
      </w:r>
      <w:r>
        <w:rPr>
          <w:i/>
          <w:color w:val="231F20"/>
          <w:spacing w:val="6"/>
          <w:sz w:val="17"/>
        </w:rPr>
        <w:t xml:space="preserve"> </w:t>
      </w:r>
      <w:r>
        <w:rPr>
          <w:i/>
          <w:color w:val="231F20"/>
          <w:sz w:val="17"/>
        </w:rPr>
        <w:t>in</w:t>
      </w:r>
      <w:r>
        <w:rPr>
          <w:i/>
          <w:color w:val="231F20"/>
          <w:spacing w:val="7"/>
          <w:sz w:val="17"/>
        </w:rPr>
        <w:t xml:space="preserve"> </w:t>
      </w:r>
      <w:r>
        <w:rPr>
          <w:i/>
          <w:color w:val="231F20"/>
          <w:spacing w:val="-2"/>
          <w:sz w:val="17"/>
        </w:rPr>
        <w:t>Society</w:t>
      </w:r>
    </w:p>
    <w:p w14:paraId="149C7893" w14:textId="77777777" w:rsidR="00AE0598" w:rsidRDefault="0069255A">
      <w:pPr>
        <w:spacing w:before="1"/>
        <w:ind w:left="430"/>
        <w:jc w:val="both"/>
        <w:rPr>
          <w:sz w:val="17"/>
        </w:rPr>
      </w:pPr>
      <w:r>
        <w:rPr>
          <w:color w:val="231F20"/>
          <w:w w:val="90"/>
          <w:sz w:val="17"/>
        </w:rPr>
        <w:t>13</w:t>
      </w:r>
      <w:r>
        <w:rPr>
          <w:color w:val="231F20"/>
          <w:spacing w:val="1"/>
          <w:sz w:val="17"/>
        </w:rPr>
        <w:t xml:space="preserve"> </w:t>
      </w:r>
      <w:r>
        <w:rPr>
          <w:color w:val="231F20"/>
          <w:w w:val="90"/>
          <w:sz w:val="17"/>
        </w:rPr>
        <w:t>(2),</w:t>
      </w:r>
      <w:r>
        <w:rPr>
          <w:color w:val="231F20"/>
          <w:spacing w:val="2"/>
          <w:sz w:val="17"/>
        </w:rPr>
        <w:t xml:space="preserve"> </w:t>
      </w:r>
      <w:r>
        <w:rPr>
          <w:color w:val="231F20"/>
          <w:spacing w:val="-2"/>
          <w:w w:val="90"/>
          <w:sz w:val="17"/>
        </w:rPr>
        <w:t>260–273.</w:t>
      </w:r>
    </w:p>
    <w:p w14:paraId="51CA6C21" w14:textId="77777777" w:rsidR="00AE0598" w:rsidRDefault="0069255A">
      <w:pPr>
        <w:ind w:left="430" w:right="127" w:hanging="320"/>
        <w:jc w:val="both"/>
        <w:rPr>
          <w:sz w:val="17"/>
        </w:rPr>
      </w:pPr>
      <w:r>
        <w:rPr>
          <w:color w:val="231F20"/>
          <w:sz w:val="17"/>
        </w:rPr>
        <w:t>Breuer, C., Hallmann, K. and Wicker, P. (2011) Determinants of sport participation in</w:t>
      </w:r>
      <w:r>
        <w:rPr>
          <w:color w:val="231F20"/>
          <w:spacing w:val="40"/>
          <w:sz w:val="17"/>
        </w:rPr>
        <w:t xml:space="preserve"> </w:t>
      </w:r>
      <w:r>
        <w:rPr>
          <w:color w:val="231F20"/>
          <w:sz w:val="17"/>
        </w:rPr>
        <w:t xml:space="preserve">different sports. </w:t>
      </w:r>
      <w:r>
        <w:rPr>
          <w:i/>
          <w:color w:val="231F20"/>
          <w:sz w:val="17"/>
        </w:rPr>
        <w:t xml:space="preserve">Managing Leisure </w:t>
      </w:r>
      <w:r>
        <w:rPr>
          <w:color w:val="231F20"/>
          <w:sz w:val="17"/>
        </w:rPr>
        <w:t>16 (4), 269–286.</w:t>
      </w:r>
    </w:p>
    <w:p w14:paraId="5DA307D3" w14:textId="77777777" w:rsidR="00AE0598" w:rsidRDefault="0069255A">
      <w:pPr>
        <w:spacing w:before="2"/>
        <w:ind w:left="430" w:right="128" w:hanging="320"/>
        <w:jc w:val="both"/>
        <w:rPr>
          <w:sz w:val="17"/>
        </w:rPr>
      </w:pPr>
      <w:r>
        <w:rPr>
          <w:color w:val="231F20"/>
          <w:w w:val="95"/>
          <w:sz w:val="17"/>
        </w:rPr>
        <w:t>Briassoulis, H. (2007) Golf-centered development in coastal Mediterranean Europe: A soft</w:t>
      </w:r>
      <w:r>
        <w:rPr>
          <w:color w:val="231F20"/>
          <w:spacing w:val="40"/>
          <w:sz w:val="17"/>
        </w:rPr>
        <w:t xml:space="preserve"> </w:t>
      </w:r>
      <w:r>
        <w:rPr>
          <w:color w:val="231F20"/>
          <w:sz w:val="17"/>
        </w:rPr>
        <w:t xml:space="preserve">sustainability test. </w:t>
      </w:r>
      <w:r>
        <w:rPr>
          <w:i/>
          <w:color w:val="231F20"/>
          <w:sz w:val="17"/>
        </w:rPr>
        <w:t xml:space="preserve">Journal of Sustainable Tourism </w:t>
      </w:r>
      <w:r>
        <w:rPr>
          <w:color w:val="231F20"/>
          <w:sz w:val="17"/>
        </w:rPr>
        <w:t>15, 441–462.</w:t>
      </w:r>
    </w:p>
    <w:p w14:paraId="527021B0" w14:textId="77777777" w:rsidR="00AE0598" w:rsidRDefault="00AE0598">
      <w:pPr>
        <w:jc w:val="both"/>
        <w:rPr>
          <w:sz w:val="17"/>
        </w:rPr>
        <w:sectPr w:rsidR="00AE0598">
          <w:pgSz w:w="8850" w:h="13270"/>
          <w:pgMar w:top="720" w:right="1060" w:bottom="280" w:left="1080" w:header="720" w:footer="720" w:gutter="0"/>
          <w:cols w:space="720"/>
        </w:sectPr>
      </w:pPr>
    </w:p>
    <w:p w14:paraId="32C93654" w14:textId="77777777" w:rsidR="00AE0598" w:rsidRDefault="0069255A">
      <w:pPr>
        <w:spacing w:before="87"/>
        <w:ind w:left="110" w:right="128"/>
        <w:jc w:val="right"/>
        <w:rPr>
          <w:rFonts w:ascii="Trebuchet MS"/>
          <w:sz w:val="14"/>
        </w:rPr>
      </w:pPr>
      <w:r>
        <w:rPr>
          <w:rFonts w:ascii="Trebuchet MS"/>
          <w:color w:val="231F20"/>
          <w:w w:val="105"/>
          <w:sz w:val="14"/>
        </w:rPr>
        <w:lastRenderedPageBreak/>
        <w:t>References</w:t>
      </w:r>
      <w:r>
        <w:rPr>
          <w:rFonts w:ascii="Trebuchet MS"/>
          <w:color w:val="231F20"/>
          <w:spacing w:val="67"/>
          <w:w w:val="105"/>
          <w:sz w:val="14"/>
        </w:rPr>
        <w:t xml:space="preserve"> </w:t>
      </w:r>
      <w:r>
        <w:rPr>
          <w:rFonts w:ascii="Trebuchet MS"/>
          <w:color w:val="231F20"/>
          <w:spacing w:val="-5"/>
          <w:w w:val="105"/>
          <w:sz w:val="14"/>
        </w:rPr>
        <w:t>241</w:t>
      </w:r>
    </w:p>
    <w:p w14:paraId="6C3602BD" w14:textId="77777777" w:rsidR="00AE0598" w:rsidRDefault="00AE0598">
      <w:pPr>
        <w:pStyle w:val="Corpodetexto"/>
        <w:rPr>
          <w:rFonts w:ascii="Trebuchet MS"/>
          <w:sz w:val="16"/>
        </w:rPr>
      </w:pPr>
    </w:p>
    <w:p w14:paraId="6F13FEC6" w14:textId="77777777" w:rsidR="00AE0598" w:rsidRDefault="0069255A">
      <w:pPr>
        <w:spacing w:before="121"/>
        <w:ind w:left="430" w:right="127" w:hanging="320"/>
        <w:jc w:val="both"/>
        <w:rPr>
          <w:sz w:val="17"/>
        </w:rPr>
      </w:pPr>
      <w:r>
        <w:rPr>
          <w:color w:val="231F20"/>
          <w:sz w:val="17"/>
        </w:rPr>
        <w:t>Briassoulis,</w:t>
      </w:r>
      <w:r>
        <w:rPr>
          <w:color w:val="231F20"/>
          <w:spacing w:val="-2"/>
          <w:sz w:val="17"/>
        </w:rPr>
        <w:t xml:space="preserve"> </w:t>
      </w:r>
      <w:r>
        <w:rPr>
          <w:color w:val="231F20"/>
          <w:sz w:val="17"/>
        </w:rPr>
        <w:t>H.</w:t>
      </w:r>
      <w:r>
        <w:rPr>
          <w:color w:val="231F20"/>
          <w:spacing w:val="-2"/>
          <w:sz w:val="17"/>
        </w:rPr>
        <w:t xml:space="preserve"> </w:t>
      </w:r>
      <w:r>
        <w:rPr>
          <w:color w:val="231F20"/>
          <w:sz w:val="17"/>
        </w:rPr>
        <w:t>(2010)</w:t>
      </w:r>
      <w:r>
        <w:rPr>
          <w:color w:val="231F20"/>
          <w:spacing w:val="-2"/>
          <w:sz w:val="17"/>
        </w:rPr>
        <w:t xml:space="preserve"> </w:t>
      </w:r>
      <w:r>
        <w:rPr>
          <w:color w:val="231F20"/>
          <w:sz w:val="17"/>
        </w:rPr>
        <w:t>‘Sorry</w:t>
      </w:r>
      <w:r>
        <w:rPr>
          <w:color w:val="231F20"/>
          <w:spacing w:val="-2"/>
          <w:sz w:val="17"/>
        </w:rPr>
        <w:t xml:space="preserve"> </w:t>
      </w:r>
      <w:r>
        <w:rPr>
          <w:color w:val="231F20"/>
          <w:sz w:val="17"/>
        </w:rPr>
        <w:t>golfers,</w:t>
      </w:r>
      <w:r>
        <w:rPr>
          <w:color w:val="231F20"/>
          <w:spacing w:val="-2"/>
          <w:sz w:val="17"/>
        </w:rPr>
        <w:t xml:space="preserve"> </w:t>
      </w:r>
      <w:r>
        <w:rPr>
          <w:color w:val="231F20"/>
          <w:sz w:val="17"/>
        </w:rPr>
        <w:t>this</w:t>
      </w:r>
      <w:r>
        <w:rPr>
          <w:color w:val="231F20"/>
          <w:spacing w:val="-2"/>
          <w:sz w:val="17"/>
        </w:rPr>
        <w:t xml:space="preserve"> </w:t>
      </w:r>
      <w:r>
        <w:rPr>
          <w:color w:val="231F20"/>
          <w:sz w:val="17"/>
        </w:rPr>
        <w:t>is</w:t>
      </w:r>
      <w:r>
        <w:rPr>
          <w:color w:val="231F20"/>
          <w:spacing w:val="-2"/>
          <w:sz w:val="17"/>
        </w:rPr>
        <w:t xml:space="preserve"> </w:t>
      </w:r>
      <w:r>
        <w:rPr>
          <w:color w:val="231F20"/>
          <w:sz w:val="17"/>
        </w:rPr>
        <w:t>not</w:t>
      </w:r>
      <w:r>
        <w:rPr>
          <w:color w:val="231F20"/>
          <w:spacing w:val="-2"/>
          <w:sz w:val="17"/>
        </w:rPr>
        <w:t xml:space="preserve"> </w:t>
      </w:r>
      <w:r>
        <w:rPr>
          <w:color w:val="231F20"/>
          <w:sz w:val="17"/>
        </w:rPr>
        <w:t>your</w:t>
      </w:r>
      <w:r>
        <w:rPr>
          <w:color w:val="231F20"/>
          <w:spacing w:val="-2"/>
          <w:sz w:val="17"/>
        </w:rPr>
        <w:t xml:space="preserve"> </w:t>
      </w:r>
      <w:r>
        <w:rPr>
          <w:color w:val="231F20"/>
          <w:sz w:val="17"/>
        </w:rPr>
        <w:t>spot!’:</w:t>
      </w:r>
      <w:r>
        <w:rPr>
          <w:color w:val="231F20"/>
          <w:spacing w:val="-2"/>
          <w:sz w:val="17"/>
        </w:rPr>
        <w:t xml:space="preserve"> </w:t>
      </w:r>
      <w:r>
        <w:rPr>
          <w:color w:val="231F20"/>
          <w:sz w:val="17"/>
        </w:rPr>
        <w:t>Exploring</w:t>
      </w:r>
      <w:r>
        <w:rPr>
          <w:color w:val="231F20"/>
          <w:spacing w:val="-2"/>
          <w:sz w:val="17"/>
        </w:rPr>
        <w:t xml:space="preserve"> </w:t>
      </w:r>
      <w:r>
        <w:rPr>
          <w:color w:val="231F20"/>
          <w:sz w:val="17"/>
        </w:rPr>
        <w:t>public</w:t>
      </w:r>
      <w:r>
        <w:rPr>
          <w:color w:val="231F20"/>
          <w:spacing w:val="-2"/>
          <w:sz w:val="17"/>
        </w:rPr>
        <w:t xml:space="preserve"> </w:t>
      </w:r>
      <w:r>
        <w:rPr>
          <w:color w:val="231F20"/>
          <w:sz w:val="17"/>
        </w:rPr>
        <w:t>opposition</w:t>
      </w:r>
      <w:r>
        <w:rPr>
          <w:color w:val="231F20"/>
          <w:spacing w:val="-2"/>
          <w:sz w:val="17"/>
        </w:rPr>
        <w:t xml:space="preserve"> </w:t>
      </w:r>
      <w:r>
        <w:rPr>
          <w:color w:val="231F20"/>
          <w:sz w:val="17"/>
        </w:rPr>
        <w:t>to</w:t>
      </w:r>
      <w:r>
        <w:rPr>
          <w:color w:val="231F20"/>
          <w:spacing w:val="40"/>
          <w:sz w:val="17"/>
        </w:rPr>
        <w:t xml:space="preserve"> </w:t>
      </w:r>
      <w:r>
        <w:rPr>
          <w:color w:val="231F20"/>
          <w:sz w:val="17"/>
        </w:rPr>
        <w:t xml:space="preserve">golf development. </w:t>
      </w:r>
      <w:r>
        <w:rPr>
          <w:i/>
          <w:color w:val="231F20"/>
          <w:sz w:val="17"/>
        </w:rPr>
        <w:t xml:space="preserve">Journal of Sport and Social Issues </w:t>
      </w:r>
      <w:r>
        <w:rPr>
          <w:color w:val="231F20"/>
          <w:sz w:val="17"/>
        </w:rPr>
        <w:t>34 (3), 288–311.</w:t>
      </w:r>
    </w:p>
    <w:p w14:paraId="6D21E458" w14:textId="77777777" w:rsidR="00AE0598" w:rsidRDefault="0069255A">
      <w:pPr>
        <w:spacing w:before="1"/>
        <w:ind w:left="110"/>
        <w:jc w:val="both"/>
        <w:rPr>
          <w:sz w:val="17"/>
        </w:rPr>
      </w:pPr>
      <w:r>
        <w:rPr>
          <w:color w:val="231F20"/>
          <w:sz w:val="17"/>
        </w:rPr>
        <w:t>British</w:t>
      </w:r>
      <w:r>
        <w:rPr>
          <w:color w:val="231F20"/>
          <w:spacing w:val="8"/>
          <w:sz w:val="17"/>
        </w:rPr>
        <w:t xml:space="preserve"> </w:t>
      </w:r>
      <w:r>
        <w:rPr>
          <w:color w:val="231F20"/>
          <w:sz w:val="17"/>
        </w:rPr>
        <w:t>Tourist</w:t>
      </w:r>
      <w:r>
        <w:rPr>
          <w:color w:val="231F20"/>
          <w:spacing w:val="9"/>
          <w:sz w:val="17"/>
        </w:rPr>
        <w:t xml:space="preserve"> </w:t>
      </w:r>
      <w:r>
        <w:rPr>
          <w:color w:val="231F20"/>
          <w:sz w:val="17"/>
        </w:rPr>
        <w:t>Authority</w:t>
      </w:r>
      <w:r>
        <w:rPr>
          <w:color w:val="231F20"/>
          <w:spacing w:val="9"/>
          <w:sz w:val="17"/>
        </w:rPr>
        <w:t xml:space="preserve"> </w:t>
      </w:r>
      <w:r>
        <w:rPr>
          <w:color w:val="231F20"/>
          <w:sz w:val="17"/>
        </w:rPr>
        <w:t>(2000)</w:t>
      </w:r>
      <w:r>
        <w:rPr>
          <w:color w:val="231F20"/>
          <w:spacing w:val="9"/>
          <w:sz w:val="17"/>
        </w:rPr>
        <w:t xml:space="preserve"> </w:t>
      </w:r>
      <w:r>
        <w:rPr>
          <w:i/>
          <w:color w:val="231F20"/>
          <w:sz w:val="17"/>
        </w:rPr>
        <w:t>Sporting</w:t>
      </w:r>
      <w:r>
        <w:rPr>
          <w:i/>
          <w:color w:val="231F20"/>
          <w:spacing w:val="9"/>
          <w:sz w:val="17"/>
        </w:rPr>
        <w:t xml:space="preserve"> </w:t>
      </w:r>
      <w:r>
        <w:rPr>
          <w:i/>
          <w:color w:val="231F20"/>
          <w:sz w:val="17"/>
        </w:rPr>
        <w:t>Britain:</w:t>
      </w:r>
      <w:r>
        <w:rPr>
          <w:i/>
          <w:color w:val="231F20"/>
          <w:spacing w:val="9"/>
          <w:sz w:val="17"/>
        </w:rPr>
        <w:t xml:space="preserve"> </w:t>
      </w:r>
      <w:r>
        <w:rPr>
          <w:i/>
          <w:color w:val="231F20"/>
          <w:sz w:val="17"/>
        </w:rPr>
        <w:t>Play</w:t>
      </w:r>
      <w:r>
        <w:rPr>
          <w:i/>
          <w:color w:val="231F20"/>
          <w:spacing w:val="9"/>
          <w:sz w:val="17"/>
        </w:rPr>
        <w:t xml:space="preserve"> </w:t>
      </w:r>
      <w:r>
        <w:rPr>
          <w:i/>
          <w:color w:val="231F20"/>
          <w:sz w:val="17"/>
        </w:rPr>
        <w:t>It,</w:t>
      </w:r>
      <w:r>
        <w:rPr>
          <w:i/>
          <w:color w:val="231F20"/>
          <w:spacing w:val="9"/>
          <w:sz w:val="17"/>
        </w:rPr>
        <w:t xml:space="preserve"> </w:t>
      </w:r>
      <w:r>
        <w:rPr>
          <w:i/>
          <w:color w:val="231F20"/>
          <w:sz w:val="17"/>
        </w:rPr>
        <w:t>Love</w:t>
      </w:r>
      <w:r>
        <w:rPr>
          <w:i/>
          <w:color w:val="231F20"/>
          <w:spacing w:val="9"/>
          <w:sz w:val="17"/>
        </w:rPr>
        <w:t xml:space="preserve"> </w:t>
      </w:r>
      <w:r>
        <w:rPr>
          <w:i/>
          <w:color w:val="231F20"/>
          <w:sz w:val="17"/>
        </w:rPr>
        <w:t>It,</w:t>
      </w:r>
      <w:r>
        <w:rPr>
          <w:i/>
          <w:color w:val="231F20"/>
          <w:spacing w:val="8"/>
          <w:sz w:val="17"/>
        </w:rPr>
        <w:t xml:space="preserve"> </w:t>
      </w:r>
      <w:r>
        <w:rPr>
          <w:i/>
          <w:color w:val="231F20"/>
          <w:sz w:val="17"/>
        </w:rPr>
        <w:t>Watch</w:t>
      </w:r>
      <w:r>
        <w:rPr>
          <w:i/>
          <w:color w:val="231F20"/>
          <w:spacing w:val="9"/>
          <w:sz w:val="17"/>
        </w:rPr>
        <w:t xml:space="preserve"> </w:t>
      </w:r>
      <w:r>
        <w:rPr>
          <w:i/>
          <w:color w:val="231F20"/>
          <w:sz w:val="17"/>
        </w:rPr>
        <w:t>It,</w:t>
      </w:r>
      <w:r>
        <w:rPr>
          <w:i/>
          <w:color w:val="231F20"/>
          <w:spacing w:val="9"/>
          <w:sz w:val="17"/>
        </w:rPr>
        <w:t xml:space="preserve"> </w:t>
      </w:r>
      <w:r>
        <w:rPr>
          <w:i/>
          <w:color w:val="231F20"/>
          <w:sz w:val="17"/>
        </w:rPr>
        <w:t>Live</w:t>
      </w:r>
      <w:r>
        <w:rPr>
          <w:i/>
          <w:color w:val="231F20"/>
          <w:spacing w:val="9"/>
          <w:sz w:val="17"/>
        </w:rPr>
        <w:t xml:space="preserve"> </w:t>
      </w:r>
      <w:r>
        <w:rPr>
          <w:i/>
          <w:color w:val="231F20"/>
          <w:sz w:val="17"/>
        </w:rPr>
        <w:t>It,</w:t>
      </w:r>
      <w:r>
        <w:rPr>
          <w:i/>
          <w:color w:val="231F20"/>
          <w:spacing w:val="9"/>
          <w:sz w:val="17"/>
        </w:rPr>
        <w:t xml:space="preserve"> </w:t>
      </w:r>
      <w:r>
        <w:rPr>
          <w:i/>
          <w:color w:val="231F20"/>
          <w:spacing w:val="-2"/>
          <w:sz w:val="17"/>
        </w:rPr>
        <w:t>Visit</w:t>
      </w:r>
      <w:r>
        <w:rPr>
          <w:color w:val="231F20"/>
          <w:spacing w:val="-2"/>
          <w:sz w:val="17"/>
        </w:rPr>
        <w:t>.</w:t>
      </w:r>
    </w:p>
    <w:p w14:paraId="4841EBE5" w14:textId="77777777" w:rsidR="00AE0598" w:rsidRDefault="0069255A">
      <w:pPr>
        <w:spacing w:before="1"/>
        <w:ind w:left="430"/>
        <w:jc w:val="both"/>
        <w:rPr>
          <w:sz w:val="17"/>
        </w:rPr>
      </w:pPr>
      <w:r>
        <w:rPr>
          <w:color w:val="231F20"/>
          <w:sz w:val="17"/>
        </w:rPr>
        <w:t>London:</w:t>
      </w:r>
      <w:r>
        <w:rPr>
          <w:color w:val="231F20"/>
          <w:spacing w:val="2"/>
          <w:sz w:val="17"/>
        </w:rPr>
        <w:t xml:space="preserve"> </w:t>
      </w:r>
      <w:r>
        <w:rPr>
          <w:color w:val="231F20"/>
          <w:sz w:val="17"/>
        </w:rPr>
        <w:t>Haymarket</w:t>
      </w:r>
      <w:r>
        <w:rPr>
          <w:color w:val="231F20"/>
          <w:spacing w:val="3"/>
          <w:sz w:val="17"/>
        </w:rPr>
        <w:t xml:space="preserve"> </w:t>
      </w:r>
      <w:r>
        <w:rPr>
          <w:color w:val="231F20"/>
          <w:sz w:val="17"/>
        </w:rPr>
        <w:t>Magazines</w:t>
      </w:r>
      <w:r>
        <w:rPr>
          <w:color w:val="231F20"/>
          <w:spacing w:val="2"/>
          <w:sz w:val="17"/>
        </w:rPr>
        <w:t xml:space="preserve"> </w:t>
      </w:r>
      <w:r>
        <w:rPr>
          <w:color w:val="231F20"/>
          <w:spacing w:val="-4"/>
          <w:sz w:val="17"/>
        </w:rPr>
        <w:t>Ltd.</w:t>
      </w:r>
    </w:p>
    <w:p w14:paraId="240387A2" w14:textId="77777777" w:rsidR="00AE0598" w:rsidRDefault="0069255A">
      <w:pPr>
        <w:spacing w:before="1"/>
        <w:ind w:left="430" w:right="128" w:hanging="320"/>
        <w:jc w:val="both"/>
        <w:rPr>
          <w:sz w:val="17"/>
        </w:rPr>
      </w:pPr>
      <w:r>
        <w:rPr>
          <w:color w:val="231F20"/>
          <w:sz w:val="17"/>
        </w:rPr>
        <w:t>Broudehoux, A-</w:t>
      </w:r>
      <w:r>
        <w:rPr>
          <w:color w:val="231F20"/>
          <w:w w:val="105"/>
          <w:sz w:val="17"/>
        </w:rPr>
        <w:t xml:space="preserve">M. </w:t>
      </w:r>
      <w:r>
        <w:rPr>
          <w:color w:val="231F20"/>
          <w:sz w:val="17"/>
        </w:rPr>
        <w:t>(2016) Mega-events, urban image construction, and the politics of</w:t>
      </w:r>
      <w:r>
        <w:rPr>
          <w:color w:val="231F20"/>
          <w:spacing w:val="40"/>
          <w:sz w:val="17"/>
        </w:rPr>
        <w:t xml:space="preserve"> </w:t>
      </w:r>
      <w:r>
        <w:rPr>
          <w:color w:val="231F20"/>
          <w:sz w:val="17"/>
        </w:rPr>
        <w:t xml:space="preserve">exclusion. In </w:t>
      </w:r>
      <w:r>
        <w:rPr>
          <w:color w:val="231F20"/>
          <w:w w:val="105"/>
          <w:sz w:val="17"/>
        </w:rPr>
        <w:t xml:space="preserve">R. </w:t>
      </w:r>
      <w:r>
        <w:rPr>
          <w:color w:val="231F20"/>
          <w:sz w:val="17"/>
        </w:rPr>
        <w:t xml:space="preserve">Gruneau and </w:t>
      </w:r>
      <w:r>
        <w:rPr>
          <w:color w:val="231F20"/>
          <w:w w:val="105"/>
          <w:sz w:val="17"/>
        </w:rPr>
        <w:t xml:space="preserve">J. </w:t>
      </w:r>
      <w:r>
        <w:rPr>
          <w:color w:val="231F20"/>
          <w:sz w:val="17"/>
        </w:rPr>
        <w:t xml:space="preserve">Horne (eds) </w:t>
      </w:r>
      <w:r>
        <w:rPr>
          <w:i/>
          <w:color w:val="231F20"/>
          <w:sz w:val="17"/>
        </w:rPr>
        <w:t>Mega-Events and Globalization: Capital</w:t>
      </w:r>
      <w:r>
        <w:rPr>
          <w:i/>
          <w:color w:val="231F20"/>
          <w:spacing w:val="40"/>
          <w:sz w:val="17"/>
        </w:rPr>
        <w:t xml:space="preserve"> </w:t>
      </w:r>
      <w:r>
        <w:rPr>
          <w:i/>
          <w:color w:val="231F20"/>
          <w:sz w:val="17"/>
        </w:rPr>
        <w:t xml:space="preserve">and Spectacle in a Changing World Order </w:t>
      </w:r>
      <w:r>
        <w:rPr>
          <w:color w:val="231F20"/>
          <w:sz w:val="17"/>
        </w:rPr>
        <w:t>(pp. 113–130). London: Routledge.</w:t>
      </w:r>
    </w:p>
    <w:p w14:paraId="36772AB8" w14:textId="77777777" w:rsidR="00AE0598" w:rsidRDefault="0069255A">
      <w:pPr>
        <w:spacing w:before="2"/>
        <w:ind w:left="430" w:right="126" w:hanging="320"/>
        <w:jc w:val="both"/>
        <w:rPr>
          <w:sz w:val="17"/>
        </w:rPr>
      </w:pPr>
      <w:r>
        <w:rPr>
          <w:color w:val="231F20"/>
          <w:sz w:val="17"/>
        </w:rPr>
        <w:t>Brown,</w:t>
      </w:r>
      <w:r>
        <w:rPr>
          <w:color w:val="231F20"/>
          <w:spacing w:val="-1"/>
          <w:sz w:val="17"/>
        </w:rPr>
        <w:t xml:space="preserve"> </w:t>
      </w:r>
      <w:r>
        <w:rPr>
          <w:color w:val="231F20"/>
          <w:sz w:val="17"/>
        </w:rPr>
        <w:t>C.</w:t>
      </w:r>
      <w:r>
        <w:rPr>
          <w:color w:val="231F20"/>
          <w:spacing w:val="-1"/>
          <w:sz w:val="17"/>
        </w:rPr>
        <w:t xml:space="preserve"> </w:t>
      </w:r>
      <w:r>
        <w:rPr>
          <w:color w:val="231F20"/>
          <w:sz w:val="17"/>
        </w:rPr>
        <w:t>and</w:t>
      </w:r>
      <w:r>
        <w:rPr>
          <w:color w:val="231F20"/>
          <w:spacing w:val="-1"/>
          <w:sz w:val="17"/>
        </w:rPr>
        <w:t xml:space="preserve"> </w:t>
      </w:r>
      <w:r>
        <w:rPr>
          <w:color w:val="231F20"/>
          <w:sz w:val="17"/>
        </w:rPr>
        <w:t>Pa</w:t>
      </w:r>
      <w:r>
        <w:rPr>
          <w:color w:val="231F20"/>
          <w:sz w:val="17"/>
        </w:rPr>
        <w:t>ul,</w:t>
      </w:r>
      <w:r>
        <w:rPr>
          <w:color w:val="231F20"/>
          <w:spacing w:val="-1"/>
          <w:sz w:val="17"/>
        </w:rPr>
        <w:t xml:space="preserve"> </w:t>
      </w:r>
      <w:r>
        <w:rPr>
          <w:color w:val="231F20"/>
          <w:sz w:val="17"/>
        </w:rPr>
        <w:t>D.M.</w:t>
      </w:r>
      <w:r>
        <w:rPr>
          <w:color w:val="231F20"/>
          <w:spacing w:val="-1"/>
          <w:sz w:val="17"/>
        </w:rPr>
        <w:t xml:space="preserve"> </w:t>
      </w:r>
      <w:r>
        <w:rPr>
          <w:color w:val="231F20"/>
          <w:sz w:val="17"/>
        </w:rPr>
        <w:t>(1999)</w:t>
      </w:r>
      <w:r>
        <w:rPr>
          <w:color w:val="231F20"/>
          <w:spacing w:val="-1"/>
          <w:sz w:val="17"/>
        </w:rPr>
        <w:t xml:space="preserve"> </w:t>
      </w:r>
      <w:r>
        <w:rPr>
          <w:color w:val="231F20"/>
          <w:sz w:val="17"/>
        </w:rPr>
        <w:t>Local</w:t>
      </w:r>
      <w:r>
        <w:rPr>
          <w:color w:val="231F20"/>
          <w:spacing w:val="-1"/>
          <w:sz w:val="17"/>
        </w:rPr>
        <w:t xml:space="preserve"> </w:t>
      </w:r>
      <w:r>
        <w:rPr>
          <w:color w:val="231F20"/>
          <w:sz w:val="17"/>
        </w:rPr>
        <w:t>organized</w:t>
      </w:r>
      <w:r>
        <w:rPr>
          <w:color w:val="231F20"/>
          <w:spacing w:val="-1"/>
          <w:sz w:val="17"/>
        </w:rPr>
        <w:t xml:space="preserve"> </w:t>
      </w:r>
      <w:r>
        <w:rPr>
          <w:color w:val="231F20"/>
          <w:sz w:val="17"/>
        </w:rPr>
        <w:t>interests</w:t>
      </w:r>
      <w:r>
        <w:rPr>
          <w:color w:val="231F20"/>
          <w:spacing w:val="-1"/>
          <w:sz w:val="17"/>
        </w:rPr>
        <w:t xml:space="preserve"> </w:t>
      </w:r>
      <w:r>
        <w:rPr>
          <w:color w:val="231F20"/>
          <w:sz w:val="17"/>
        </w:rPr>
        <w:t>and</w:t>
      </w:r>
      <w:r>
        <w:rPr>
          <w:color w:val="231F20"/>
          <w:spacing w:val="-1"/>
          <w:sz w:val="17"/>
        </w:rPr>
        <w:t xml:space="preserve"> </w:t>
      </w:r>
      <w:r>
        <w:rPr>
          <w:color w:val="231F20"/>
          <w:sz w:val="17"/>
        </w:rPr>
        <w:t>the</w:t>
      </w:r>
      <w:r>
        <w:rPr>
          <w:color w:val="231F20"/>
          <w:spacing w:val="-1"/>
          <w:sz w:val="17"/>
        </w:rPr>
        <w:t xml:space="preserve"> </w:t>
      </w:r>
      <w:r>
        <w:rPr>
          <w:color w:val="231F20"/>
          <w:sz w:val="17"/>
        </w:rPr>
        <w:t>1996</w:t>
      </w:r>
      <w:r>
        <w:rPr>
          <w:color w:val="231F20"/>
          <w:spacing w:val="-1"/>
          <w:sz w:val="17"/>
        </w:rPr>
        <w:t xml:space="preserve"> </w:t>
      </w:r>
      <w:r>
        <w:rPr>
          <w:color w:val="231F20"/>
          <w:sz w:val="17"/>
        </w:rPr>
        <w:t>Cincinnati</w:t>
      </w:r>
      <w:r>
        <w:rPr>
          <w:color w:val="231F20"/>
          <w:spacing w:val="-1"/>
          <w:sz w:val="17"/>
        </w:rPr>
        <w:t xml:space="preserve"> </w:t>
      </w:r>
      <w:r>
        <w:rPr>
          <w:color w:val="231F20"/>
          <w:sz w:val="17"/>
        </w:rPr>
        <w:t>Sports</w:t>
      </w:r>
      <w:r>
        <w:rPr>
          <w:color w:val="231F20"/>
          <w:spacing w:val="40"/>
          <w:sz w:val="17"/>
        </w:rPr>
        <w:t xml:space="preserve"> </w:t>
      </w:r>
      <w:r>
        <w:rPr>
          <w:color w:val="231F20"/>
          <w:sz w:val="17"/>
        </w:rPr>
        <w:t xml:space="preserve">Stadia Tax Referendum. </w:t>
      </w:r>
      <w:r>
        <w:rPr>
          <w:i/>
          <w:color w:val="231F20"/>
          <w:sz w:val="17"/>
        </w:rPr>
        <w:t xml:space="preserve">Journal of Sport and Social Issues </w:t>
      </w:r>
      <w:r>
        <w:rPr>
          <w:color w:val="231F20"/>
          <w:sz w:val="17"/>
        </w:rPr>
        <w:t>23 (2), 218–237.</w:t>
      </w:r>
    </w:p>
    <w:p w14:paraId="14AE98A8" w14:textId="77777777" w:rsidR="00AE0598" w:rsidRDefault="0069255A">
      <w:pPr>
        <w:spacing w:before="1"/>
        <w:ind w:left="110"/>
        <w:jc w:val="both"/>
        <w:rPr>
          <w:sz w:val="17"/>
        </w:rPr>
      </w:pPr>
      <w:r>
        <w:rPr>
          <w:color w:val="231F20"/>
          <w:sz w:val="17"/>
        </w:rPr>
        <w:t>Brown,</w:t>
      </w:r>
      <w:r>
        <w:rPr>
          <w:color w:val="231F20"/>
          <w:spacing w:val="13"/>
          <w:sz w:val="17"/>
        </w:rPr>
        <w:t xml:space="preserve"> </w:t>
      </w:r>
      <w:r>
        <w:rPr>
          <w:color w:val="231F20"/>
          <w:sz w:val="17"/>
        </w:rPr>
        <w:t>G.</w:t>
      </w:r>
      <w:r>
        <w:rPr>
          <w:color w:val="231F20"/>
          <w:spacing w:val="13"/>
          <w:sz w:val="17"/>
        </w:rPr>
        <w:t xml:space="preserve"> </w:t>
      </w:r>
      <w:r>
        <w:rPr>
          <w:color w:val="231F20"/>
          <w:sz w:val="17"/>
        </w:rPr>
        <w:t>(2000)</w:t>
      </w:r>
      <w:r>
        <w:rPr>
          <w:color w:val="231F20"/>
          <w:spacing w:val="13"/>
          <w:sz w:val="17"/>
        </w:rPr>
        <w:t xml:space="preserve"> </w:t>
      </w:r>
      <w:r>
        <w:rPr>
          <w:color w:val="231F20"/>
          <w:sz w:val="17"/>
        </w:rPr>
        <w:t>Emerging</w:t>
      </w:r>
      <w:r>
        <w:rPr>
          <w:color w:val="231F20"/>
          <w:spacing w:val="14"/>
          <w:sz w:val="17"/>
        </w:rPr>
        <w:t xml:space="preserve"> </w:t>
      </w:r>
      <w:r>
        <w:rPr>
          <w:color w:val="231F20"/>
          <w:sz w:val="17"/>
        </w:rPr>
        <w:t>issues</w:t>
      </w:r>
      <w:r>
        <w:rPr>
          <w:color w:val="231F20"/>
          <w:spacing w:val="13"/>
          <w:sz w:val="17"/>
        </w:rPr>
        <w:t xml:space="preserve"> </w:t>
      </w:r>
      <w:r>
        <w:rPr>
          <w:color w:val="231F20"/>
          <w:sz w:val="17"/>
        </w:rPr>
        <w:t>in</w:t>
      </w:r>
      <w:r>
        <w:rPr>
          <w:color w:val="231F20"/>
          <w:spacing w:val="13"/>
          <w:sz w:val="17"/>
        </w:rPr>
        <w:t xml:space="preserve"> </w:t>
      </w:r>
      <w:r>
        <w:rPr>
          <w:color w:val="231F20"/>
          <w:sz w:val="17"/>
        </w:rPr>
        <w:t>Olympic</w:t>
      </w:r>
      <w:r>
        <w:rPr>
          <w:color w:val="231F20"/>
          <w:spacing w:val="14"/>
          <w:sz w:val="17"/>
        </w:rPr>
        <w:t xml:space="preserve"> </w:t>
      </w:r>
      <w:r>
        <w:rPr>
          <w:color w:val="231F20"/>
          <w:sz w:val="17"/>
        </w:rPr>
        <w:t>sponsorship:</w:t>
      </w:r>
      <w:r>
        <w:rPr>
          <w:color w:val="231F20"/>
          <w:spacing w:val="13"/>
          <w:sz w:val="17"/>
        </w:rPr>
        <w:t xml:space="preserve"> </w:t>
      </w:r>
      <w:r>
        <w:rPr>
          <w:color w:val="231F20"/>
          <w:sz w:val="17"/>
        </w:rPr>
        <w:t>Implications</w:t>
      </w:r>
      <w:r>
        <w:rPr>
          <w:color w:val="231F20"/>
          <w:spacing w:val="13"/>
          <w:sz w:val="17"/>
        </w:rPr>
        <w:t xml:space="preserve"> </w:t>
      </w:r>
      <w:r>
        <w:rPr>
          <w:color w:val="231F20"/>
          <w:sz w:val="17"/>
        </w:rPr>
        <w:t>for</w:t>
      </w:r>
      <w:r>
        <w:rPr>
          <w:color w:val="231F20"/>
          <w:spacing w:val="13"/>
          <w:sz w:val="17"/>
        </w:rPr>
        <w:t xml:space="preserve"> </w:t>
      </w:r>
      <w:r>
        <w:rPr>
          <w:color w:val="231F20"/>
          <w:sz w:val="17"/>
        </w:rPr>
        <w:t>host</w:t>
      </w:r>
      <w:r>
        <w:rPr>
          <w:color w:val="231F20"/>
          <w:spacing w:val="14"/>
          <w:sz w:val="17"/>
        </w:rPr>
        <w:t xml:space="preserve"> </w:t>
      </w:r>
      <w:r>
        <w:rPr>
          <w:color w:val="231F20"/>
          <w:spacing w:val="-2"/>
          <w:sz w:val="17"/>
        </w:rPr>
        <w:t>cities.</w:t>
      </w:r>
    </w:p>
    <w:p w14:paraId="09232746" w14:textId="77777777" w:rsidR="00AE0598" w:rsidRDefault="0069255A">
      <w:pPr>
        <w:spacing w:before="1"/>
        <w:ind w:left="430"/>
        <w:jc w:val="both"/>
        <w:rPr>
          <w:sz w:val="17"/>
        </w:rPr>
      </w:pPr>
      <w:r>
        <w:rPr>
          <w:i/>
          <w:color w:val="231F20"/>
          <w:sz w:val="17"/>
        </w:rPr>
        <w:t>Sport</w:t>
      </w:r>
      <w:r>
        <w:rPr>
          <w:i/>
          <w:color w:val="231F20"/>
          <w:spacing w:val="5"/>
          <w:sz w:val="17"/>
        </w:rPr>
        <w:t xml:space="preserve"> </w:t>
      </w:r>
      <w:r>
        <w:rPr>
          <w:i/>
          <w:color w:val="231F20"/>
          <w:sz w:val="17"/>
        </w:rPr>
        <w:t>Management</w:t>
      </w:r>
      <w:r>
        <w:rPr>
          <w:i/>
          <w:color w:val="231F20"/>
          <w:spacing w:val="5"/>
          <w:sz w:val="17"/>
        </w:rPr>
        <w:t xml:space="preserve"> </w:t>
      </w:r>
      <w:r>
        <w:rPr>
          <w:i/>
          <w:color w:val="231F20"/>
          <w:sz w:val="17"/>
        </w:rPr>
        <w:t>Review</w:t>
      </w:r>
      <w:r>
        <w:rPr>
          <w:i/>
          <w:color w:val="231F20"/>
          <w:spacing w:val="5"/>
          <w:sz w:val="17"/>
        </w:rPr>
        <w:t xml:space="preserve"> </w:t>
      </w:r>
      <w:r>
        <w:rPr>
          <w:color w:val="231F20"/>
          <w:sz w:val="17"/>
        </w:rPr>
        <w:t>3</w:t>
      </w:r>
      <w:r>
        <w:rPr>
          <w:color w:val="231F20"/>
          <w:spacing w:val="5"/>
          <w:sz w:val="17"/>
        </w:rPr>
        <w:t xml:space="preserve"> </w:t>
      </w:r>
      <w:r>
        <w:rPr>
          <w:color w:val="231F20"/>
          <w:sz w:val="17"/>
        </w:rPr>
        <w:t>(1),</w:t>
      </w:r>
      <w:r>
        <w:rPr>
          <w:color w:val="231F20"/>
          <w:spacing w:val="5"/>
          <w:sz w:val="17"/>
        </w:rPr>
        <w:t xml:space="preserve"> </w:t>
      </w:r>
      <w:r>
        <w:rPr>
          <w:color w:val="231F20"/>
          <w:spacing w:val="-2"/>
          <w:sz w:val="17"/>
        </w:rPr>
        <w:t>71–92.</w:t>
      </w:r>
    </w:p>
    <w:p w14:paraId="24A64B6C" w14:textId="77777777" w:rsidR="00AE0598" w:rsidRDefault="0069255A">
      <w:pPr>
        <w:spacing w:before="1"/>
        <w:ind w:left="110" w:right="123"/>
        <w:jc w:val="right"/>
        <w:rPr>
          <w:sz w:val="17"/>
        </w:rPr>
      </w:pPr>
      <w:r>
        <w:rPr>
          <w:color w:val="231F20"/>
          <w:w w:val="95"/>
          <w:sz w:val="17"/>
        </w:rPr>
        <w:t xml:space="preserve">Brown, G. (2001) Sydney 2000: An invitation to the world. </w:t>
      </w:r>
      <w:r>
        <w:rPr>
          <w:i/>
          <w:color w:val="231F20"/>
          <w:w w:val="95"/>
          <w:sz w:val="17"/>
        </w:rPr>
        <w:t xml:space="preserve">Olympic Review </w:t>
      </w:r>
      <w:r>
        <w:rPr>
          <w:color w:val="231F20"/>
          <w:w w:val="95"/>
          <w:sz w:val="17"/>
        </w:rPr>
        <w:t>27 (37), 15–20.</w:t>
      </w:r>
      <w:r>
        <w:rPr>
          <w:color w:val="231F20"/>
          <w:spacing w:val="80"/>
          <w:sz w:val="17"/>
        </w:rPr>
        <w:t xml:space="preserve"> </w:t>
      </w:r>
      <w:r>
        <w:rPr>
          <w:color w:val="231F20"/>
          <w:sz w:val="17"/>
        </w:rPr>
        <w:t>Brown,</w:t>
      </w:r>
      <w:r>
        <w:rPr>
          <w:color w:val="231F20"/>
          <w:spacing w:val="40"/>
          <w:sz w:val="17"/>
        </w:rPr>
        <w:t xml:space="preserve"> </w:t>
      </w:r>
      <w:r>
        <w:rPr>
          <w:color w:val="231F20"/>
          <w:sz w:val="17"/>
        </w:rPr>
        <w:t>G.</w:t>
      </w:r>
      <w:r>
        <w:rPr>
          <w:color w:val="231F20"/>
          <w:spacing w:val="40"/>
          <w:sz w:val="17"/>
        </w:rPr>
        <w:t xml:space="preserve"> </w:t>
      </w:r>
      <w:r>
        <w:rPr>
          <w:color w:val="231F20"/>
          <w:sz w:val="17"/>
        </w:rPr>
        <w:t>and</w:t>
      </w:r>
      <w:r>
        <w:rPr>
          <w:color w:val="231F20"/>
          <w:spacing w:val="40"/>
          <w:sz w:val="17"/>
        </w:rPr>
        <w:t xml:space="preserve"> </w:t>
      </w:r>
      <w:r>
        <w:rPr>
          <w:color w:val="231F20"/>
          <w:sz w:val="17"/>
        </w:rPr>
        <w:t>Raymond,</w:t>
      </w:r>
      <w:r>
        <w:rPr>
          <w:color w:val="231F20"/>
          <w:spacing w:val="40"/>
          <w:sz w:val="17"/>
        </w:rPr>
        <w:t xml:space="preserve"> </w:t>
      </w:r>
      <w:r>
        <w:rPr>
          <w:color w:val="231F20"/>
          <w:sz w:val="17"/>
        </w:rPr>
        <w:t>C.</w:t>
      </w:r>
      <w:r>
        <w:rPr>
          <w:color w:val="231F20"/>
          <w:spacing w:val="40"/>
          <w:sz w:val="17"/>
        </w:rPr>
        <w:t xml:space="preserve"> </w:t>
      </w:r>
      <w:r>
        <w:rPr>
          <w:color w:val="231F20"/>
          <w:sz w:val="17"/>
        </w:rPr>
        <w:t>(2007)</w:t>
      </w:r>
      <w:r>
        <w:rPr>
          <w:color w:val="231F20"/>
          <w:spacing w:val="40"/>
          <w:sz w:val="17"/>
        </w:rPr>
        <w:t xml:space="preserve"> </w:t>
      </w:r>
      <w:r>
        <w:rPr>
          <w:color w:val="231F20"/>
          <w:sz w:val="17"/>
        </w:rPr>
        <w:t>The</w:t>
      </w:r>
      <w:r>
        <w:rPr>
          <w:color w:val="231F20"/>
          <w:spacing w:val="40"/>
          <w:sz w:val="17"/>
        </w:rPr>
        <w:t xml:space="preserve"> </w:t>
      </w:r>
      <w:r>
        <w:rPr>
          <w:color w:val="231F20"/>
          <w:sz w:val="17"/>
        </w:rPr>
        <w:t>relationship</w:t>
      </w:r>
      <w:r>
        <w:rPr>
          <w:color w:val="231F20"/>
          <w:spacing w:val="40"/>
          <w:sz w:val="17"/>
        </w:rPr>
        <w:t xml:space="preserve"> </w:t>
      </w:r>
      <w:r>
        <w:rPr>
          <w:color w:val="231F20"/>
          <w:sz w:val="17"/>
        </w:rPr>
        <w:t>between</w:t>
      </w:r>
      <w:r>
        <w:rPr>
          <w:color w:val="231F20"/>
          <w:spacing w:val="40"/>
          <w:sz w:val="17"/>
        </w:rPr>
        <w:t xml:space="preserve"> </w:t>
      </w:r>
      <w:r>
        <w:rPr>
          <w:color w:val="231F20"/>
          <w:sz w:val="17"/>
        </w:rPr>
        <w:t>place</w:t>
      </w:r>
      <w:r>
        <w:rPr>
          <w:color w:val="231F20"/>
          <w:spacing w:val="40"/>
          <w:sz w:val="17"/>
        </w:rPr>
        <w:t xml:space="preserve"> </w:t>
      </w:r>
      <w:r>
        <w:rPr>
          <w:color w:val="231F20"/>
          <w:sz w:val="17"/>
        </w:rPr>
        <w:t>attachment</w:t>
      </w:r>
      <w:r>
        <w:rPr>
          <w:color w:val="231F20"/>
          <w:spacing w:val="40"/>
          <w:sz w:val="17"/>
        </w:rPr>
        <w:t xml:space="preserve"> </w:t>
      </w:r>
      <w:r>
        <w:rPr>
          <w:color w:val="231F20"/>
          <w:sz w:val="17"/>
        </w:rPr>
        <w:t>and</w:t>
      </w:r>
      <w:r>
        <w:rPr>
          <w:color w:val="231F20"/>
          <w:spacing w:val="40"/>
          <w:sz w:val="17"/>
        </w:rPr>
        <w:t xml:space="preserve"> </w:t>
      </w:r>
      <w:r>
        <w:rPr>
          <w:color w:val="231F20"/>
          <w:sz w:val="17"/>
        </w:rPr>
        <w:t>landscape</w:t>
      </w:r>
      <w:r>
        <w:rPr>
          <w:color w:val="231F20"/>
          <w:spacing w:val="40"/>
          <w:sz w:val="17"/>
        </w:rPr>
        <w:t xml:space="preserve"> </w:t>
      </w:r>
      <w:r>
        <w:rPr>
          <w:color w:val="231F20"/>
          <w:sz w:val="17"/>
        </w:rPr>
        <w:t>values:</w:t>
      </w:r>
      <w:r>
        <w:rPr>
          <w:color w:val="231F20"/>
          <w:spacing w:val="40"/>
          <w:sz w:val="17"/>
        </w:rPr>
        <w:t xml:space="preserve"> </w:t>
      </w:r>
      <w:r>
        <w:rPr>
          <w:color w:val="231F20"/>
          <w:sz w:val="17"/>
        </w:rPr>
        <w:t>Toward</w:t>
      </w:r>
      <w:r>
        <w:rPr>
          <w:color w:val="231F20"/>
          <w:spacing w:val="40"/>
          <w:sz w:val="17"/>
        </w:rPr>
        <w:t xml:space="preserve"> </w:t>
      </w:r>
      <w:r>
        <w:rPr>
          <w:color w:val="231F20"/>
          <w:sz w:val="17"/>
        </w:rPr>
        <w:t>mapping</w:t>
      </w:r>
      <w:r>
        <w:rPr>
          <w:color w:val="231F20"/>
          <w:spacing w:val="40"/>
          <w:sz w:val="17"/>
        </w:rPr>
        <w:t xml:space="preserve"> </w:t>
      </w:r>
      <w:r>
        <w:rPr>
          <w:color w:val="231F20"/>
          <w:sz w:val="17"/>
        </w:rPr>
        <w:t>place</w:t>
      </w:r>
      <w:r>
        <w:rPr>
          <w:color w:val="231F20"/>
          <w:spacing w:val="40"/>
          <w:sz w:val="17"/>
        </w:rPr>
        <w:t xml:space="preserve"> </w:t>
      </w:r>
      <w:r>
        <w:rPr>
          <w:color w:val="231F20"/>
          <w:sz w:val="17"/>
        </w:rPr>
        <w:t>attachment.</w:t>
      </w:r>
      <w:r>
        <w:rPr>
          <w:color w:val="231F20"/>
          <w:spacing w:val="40"/>
          <w:sz w:val="17"/>
        </w:rPr>
        <w:t xml:space="preserve"> </w:t>
      </w:r>
      <w:r>
        <w:rPr>
          <w:i/>
          <w:color w:val="231F20"/>
          <w:sz w:val="17"/>
        </w:rPr>
        <w:t>Applied</w:t>
      </w:r>
      <w:r>
        <w:rPr>
          <w:i/>
          <w:color w:val="231F20"/>
          <w:spacing w:val="40"/>
          <w:sz w:val="17"/>
        </w:rPr>
        <w:t xml:space="preserve"> </w:t>
      </w:r>
      <w:r>
        <w:rPr>
          <w:i/>
          <w:color w:val="231F20"/>
          <w:sz w:val="17"/>
        </w:rPr>
        <w:t>Geography</w:t>
      </w:r>
      <w:r>
        <w:rPr>
          <w:i/>
          <w:color w:val="231F20"/>
          <w:spacing w:val="40"/>
          <w:sz w:val="17"/>
        </w:rPr>
        <w:t xml:space="preserve"> </w:t>
      </w:r>
      <w:r>
        <w:rPr>
          <w:color w:val="231F20"/>
          <w:sz w:val="17"/>
        </w:rPr>
        <w:t>27</w:t>
      </w:r>
      <w:r>
        <w:rPr>
          <w:color w:val="231F20"/>
          <w:spacing w:val="40"/>
          <w:sz w:val="17"/>
        </w:rPr>
        <w:t xml:space="preserve"> </w:t>
      </w:r>
      <w:r>
        <w:rPr>
          <w:color w:val="231F20"/>
          <w:sz w:val="17"/>
        </w:rPr>
        <w:t>(1),</w:t>
      </w:r>
    </w:p>
    <w:p w14:paraId="1AA84168" w14:textId="77777777" w:rsidR="00AE0598" w:rsidRDefault="0069255A">
      <w:pPr>
        <w:spacing w:before="2"/>
        <w:ind w:left="430"/>
        <w:rPr>
          <w:sz w:val="17"/>
        </w:rPr>
      </w:pPr>
      <w:r>
        <w:rPr>
          <w:color w:val="231F20"/>
          <w:spacing w:val="-2"/>
          <w:sz w:val="17"/>
        </w:rPr>
        <w:t>89–111.</w:t>
      </w:r>
    </w:p>
    <w:p w14:paraId="43E1FE16" w14:textId="77777777" w:rsidR="00AE0598" w:rsidRDefault="0069255A">
      <w:pPr>
        <w:ind w:left="430" w:right="128" w:hanging="320"/>
        <w:jc w:val="both"/>
        <w:rPr>
          <w:sz w:val="17"/>
        </w:rPr>
      </w:pPr>
      <w:r>
        <w:rPr>
          <w:color w:val="231F20"/>
          <w:sz w:val="17"/>
        </w:rPr>
        <w:t>Brown, G., Chalip, L., Jago, L. and Mules, T. (2002) The Sydney Olympics and brand</w:t>
      </w:r>
      <w:r>
        <w:rPr>
          <w:color w:val="231F20"/>
          <w:spacing w:val="40"/>
          <w:sz w:val="17"/>
        </w:rPr>
        <w:t xml:space="preserve"> </w:t>
      </w:r>
      <w:r>
        <w:rPr>
          <w:color w:val="231F20"/>
          <w:w w:val="95"/>
          <w:sz w:val="17"/>
        </w:rPr>
        <w:t xml:space="preserve">Australia. In N. Morgan, A. Pritchard and R. Pride (eds) </w:t>
      </w:r>
      <w:r>
        <w:rPr>
          <w:i/>
          <w:color w:val="231F20"/>
          <w:w w:val="95"/>
          <w:sz w:val="17"/>
        </w:rPr>
        <w:t>Destination Branding: Creating</w:t>
      </w:r>
      <w:r>
        <w:rPr>
          <w:i/>
          <w:color w:val="231F20"/>
          <w:spacing w:val="80"/>
          <w:sz w:val="17"/>
        </w:rPr>
        <w:t xml:space="preserve"> </w:t>
      </w:r>
      <w:r>
        <w:rPr>
          <w:i/>
          <w:color w:val="231F20"/>
          <w:sz w:val="17"/>
        </w:rPr>
        <w:t xml:space="preserve">the Unique Destination Proposition </w:t>
      </w:r>
      <w:r>
        <w:rPr>
          <w:color w:val="231F20"/>
          <w:sz w:val="17"/>
        </w:rPr>
        <w:t>(pp. 163–185). Oxford: Butterworth-Heinemann.</w:t>
      </w:r>
    </w:p>
    <w:p w14:paraId="4FDD5A86" w14:textId="77777777" w:rsidR="00AE0598" w:rsidRDefault="0069255A">
      <w:pPr>
        <w:spacing w:before="2"/>
        <w:ind w:left="430" w:right="128" w:hanging="320"/>
        <w:jc w:val="both"/>
        <w:rPr>
          <w:sz w:val="17"/>
        </w:rPr>
      </w:pPr>
      <w:r>
        <w:rPr>
          <w:color w:val="231F20"/>
          <w:sz w:val="17"/>
        </w:rPr>
        <w:t>Brown, G., Smith, A. and Assaker, G. (2016) Revisiting the host city: An empirical</w:t>
      </w:r>
      <w:r>
        <w:rPr>
          <w:color w:val="231F20"/>
          <w:spacing w:val="40"/>
          <w:sz w:val="17"/>
        </w:rPr>
        <w:t xml:space="preserve"> </w:t>
      </w:r>
      <w:r>
        <w:rPr>
          <w:color w:val="231F20"/>
          <w:sz w:val="17"/>
        </w:rPr>
        <w:t>examination</w:t>
      </w:r>
      <w:r>
        <w:rPr>
          <w:color w:val="231F20"/>
          <w:spacing w:val="-5"/>
          <w:sz w:val="17"/>
        </w:rPr>
        <w:t xml:space="preserve"> </w:t>
      </w:r>
      <w:r>
        <w:rPr>
          <w:color w:val="231F20"/>
          <w:sz w:val="17"/>
        </w:rPr>
        <w:t>of</w:t>
      </w:r>
      <w:r>
        <w:rPr>
          <w:color w:val="231F20"/>
          <w:spacing w:val="-5"/>
          <w:sz w:val="17"/>
        </w:rPr>
        <w:t xml:space="preserve"> </w:t>
      </w:r>
      <w:r>
        <w:rPr>
          <w:color w:val="231F20"/>
          <w:sz w:val="17"/>
        </w:rPr>
        <w:t>sport</w:t>
      </w:r>
      <w:r>
        <w:rPr>
          <w:color w:val="231F20"/>
          <w:spacing w:val="-5"/>
          <w:sz w:val="17"/>
        </w:rPr>
        <w:t xml:space="preserve"> </w:t>
      </w:r>
      <w:r>
        <w:rPr>
          <w:color w:val="231F20"/>
          <w:sz w:val="17"/>
        </w:rPr>
        <w:t>involvement,</w:t>
      </w:r>
      <w:r>
        <w:rPr>
          <w:color w:val="231F20"/>
          <w:spacing w:val="-5"/>
          <w:sz w:val="17"/>
        </w:rPr>
        <w:t xml:space="preserve"> </w:t>
      </w:r>
      <w:r>
        <w:rPr>
          <w:color w:val="231F20"/>
          <w:sz w:val="17"/>
        </w:rPr>
        <w:t>place</w:t>
      </w:r>
      <w:r>
        <w:rPr>
          <w:color w:val="231F20"/>
          <w:spacing w:val="-5"/>
          <w:sz w:val="17"/>
        </w:rPr>
        <w:t xml:space="preserve"> </w:t>
      </w:r>
      <w:r>
        <w:rPr>
          <w:color w:val="231F20"/>
          <w:sz w:val="17"/>
        </w:rPr>
        <w:t>attachment,</w:t>
      </w:r>
      <w:r>
        <w:rPr>
          <w:color w:val="231F20"/>
          <w:spacing w:val="-5"/>
          <w:sz w:val="17"/>
        </w:rPr>
        <w:t xml:space="preserve"> </w:t>
      </w:r>
      <w:r>
        <w:rPr>
          <w:color w:val="231F20"/>
          <w:sz w:val="17"/>
        </w:rPr>
        <w:t>event</w:t>
      </w:r>
      <w:r>
        <w:rPr>
          <w:color w:val="231F20"/>
          <w:spacing w:val="-5"/>
          <w:sz w:val="17"/>
        </w:rPr>
        <w:t xml:space="preserve"> </w:t>
      </w:r>
      <w:r>
        <w:rPr>
          <w:color w:val="231F20"/>
          <w:sz w:val="17"/>
        </w:rPr>
        <w:t>satisfaction</w:t>
      </w:r>
      <w:r>
        <w:rPr>
          <w:color w:val="231F20"/>
          <w:spacing w:val="-5"/>
          <w:sz w:val="17"/>
        </w:rPr>
        <w:t xml:space="preserve"> </w:t>
      </w:r>
      <w:r>
        <w:rPr>
          <w:color w:val="231F20"/>
          <w:sz w:val="17"/>
        </w:rPr>
        <w:t>and</w:t>
      </w:r>
      <w:r>
        <w:rPr>
          <w:color w:val="231F20"/>
          <w:spacing w:val="-5"/>
          <w:sz w:val="17"/>
        </w:rPr>
        <w:t xml:space="preserve"> </w:t>
      </w:r>
      <w:r>
        <w:rPr>
          <w:color w:val="231F20"/>
          <w:sz w:val="17"/>
        </w:rPr>
        <w:t>spectator</w:t>
      </w:r>
      <w:r>
        <w:rPr>
          <w:color w:val="231F20"/>
          <w:spacing w:val="40"/>
          <w:sz w:val="17"/>
        </w:rPr>
        <w:t xml:space="preserve"> </w:t>
      </w:r>
      <w:r>
        <w:rPr>
          <w:color w:val="231F20"/>
          <w:sz w:val="17"/>
        </w:rPr>
        <w:t xml:space="preserve">intentions at the London Olympics. </w:t>
      </w:r>
      <w:r>
        <w:rPr>
          <w:i/>
          <w:color w:val="231F20"/>
          <w:sz w:val="17"/>
        </w:rPr>
        <w:t xml:space="preserve">Tourism Management </w:t>
      </w:r>
      <w:r>
        <w:rPr>
          <w:color w:val="231F20"/>
          <w:sz w:val="17"/>
        </w:rPr>
        <w:t>55, 160–172.</w:t>
      </w:r>
    </w:p>
    <w:p w14:paraId="79E699EC" w14:textId="77777777" w:rsidR="00AE0598" w:rsidRDefault="0069255A">
      <w:pPr>
        <w:spacing w:before="3"/>
        <w:ind w:left="110"/>
        <w:jc w:val="both"/>
        <w:rPr>
          <w:sz w:val="17"/>
        </w:rPr>
      </w:pPr>
      <w:r>
        <w:rPr>
          <w:color w:val="231F20"/>
          <w:w w:val="95"/>
          <w:sz w:val="17"/>
        </w:rPr>
        <w:t>Brymer,</w:t>
      </w:r>
      <w:r>
        <w:rPr>
          <w:color w:val="231F20"/>
          <w:spacing w:val="9"/>
          <w:sz w:val="17"/>
        </w:rPr>
        <w:t xml:space="preserve"> </w:t>
      </w:r>
      <w:r>
        <w:rPr>
          <w:color w:val="231F20"/>
          <w:w w:val="95"/>
          <w:sz w:val="17"/>
        </w:rPr>
        <w:t>E.</w:t>
      </w:r>
      <w:r>
        <w:rPr>
          <w:color w:val="231F20"/>
          <w:spacing w:val="9"/>
          <w:sz w:val="17"/>
        </w:rPr>
        <w:t xml:space="preserve"> </w:t>
      </w:r>
      <w:r>
        <w:rPr>
          <w:color w:val="231F20"/>
          <w:w w:val="95"/>
          <w:sz w:val="17"/>
        </w:rPr>
        <w:t>(2009).</w:t>
      </w:r>
      <w:r>
        <w:rPr>
          <w:color w:val="231F20"/>
          <w:spacing w:val="10"/>
          <w:sz w:val="17"/>
        </w:rPr>
        <w:t xml:space="preserve"> </w:t>
      </w:r>
      <w:r>
        <w:rPr>
          <w:color w:val="231F20"/>
          <w:w w:val="95"/>
          <w:sz w:val="17"/>
        </w:rPr>
        <w:t>Extreme</w:t>
      </w:r>
      <w:r>
        <w:rPr>
          <w:color w:val="231F20"/>
          <w:spacing w:val="9"/>
          <w:sz w:val="17"/>
        </w:rPr>
        <w:t xml:space="preserve"> </w:t>
      </w:r>
      <w:r>
        <w:rPr>
          <w:color w:val="231F20"/>
          <w:w w:val="95"/>
          <w:sz w:val="17"/>
        </w:rPr>
        <w:t>sports</w:t>
      </w:r>
      <w:r>
        <w:rPr>
          <w:color w:val="231F20"/>
          <w:spacing w:val="9"/>
          <w:sz w:val="17"/>
        </w:rPr>
        <w:t xml:space="preserve"> </w:t>
      </w:r>
      <w:r>
        <w:rPr>
          <w:color w:val="231F20"/>
          <w:w w:val="95"/>
          <w:sz w:val="17"/>
        </w:rPr>
        <w:t>as</w:t>
      </w:r>
      <w:r>
        <w:rPr>
          <w:color w:val="231F20"/>
          <w:spacing w:val="10"/>
          <w:sz w:val="17"/>
        </w:rPr>
        <w:t xml:space="preserve"> </w:t>
      </w:r>
      <w:r>
        <w:rPr>
          <w:color w:val="231F20"/>
          <w:w w:val="95"/>
          <w:sz w:val="17"/>
        </w:rPr>
        <w:t>a</w:t>
      </w:r>
      <w:r>
        <w:rPr>
          <w:color w:val="231F20"/>
          <w:spacing w:val="9"/>
          <w:sz w:val="17"/>
        </w:rPr>
        <w:t xml:space="preserve"> </w:t>
      </w:r>
      <w:r>
        <w:rPr>
          <w:color w:val="231F20"/>
          <w:w w:val="95"/>
          <w:sz w:val="17"/>
        </w:rPr>
        <w:t>facilitator</w:t>
      </w:r>
      <w:r>
        <w:rPr>
          <w:color w:val="231F20"/>
          <w:spacing w:val="9"/>
          <w:sz w:val="17"/>
        </w:rPr>
        <w:t xml:space="preserve"> </w:t>
      </w:r>
      <w:r>
        <w:rPr>
          <w:color w:val="231F20"/>
          <w:w w:val="95"/>
          <w:sz w:val="17"/>
        </w:rPr>
        <w:t>of</w:t>
      </w:r>
      <w:r>
        <w:rPr>
          <w:color w:val="231F20"/>
          <w:spacing w:val="10"/>
          <w:sz w:val="17"/>
        </w:rPr>
        <w:t xml:space="preserve"> </w:t>
      </w:r>
      <w:r>
        <w:rPr>
          <w:color w:val="231F20"/>
          <w:w w:val="95"/>
          <w:sz w:val="17"/>
        </w:rPr>
        <w:t>ecocentricity</w:t>
      </w:r>
      <w:r>
        <w:rPr>
          <w:color w:val="231F20"/>
          <w:spacing w:val="9"/>
          <w:sz w:val="17"/>
        </w:rPr>
        <w:t xml:space="preserve"> </w:t>
      </w:r>
      <w:r>
        <w:rPr>
          <w:color w:val="231F20"/>
          <w:w w:val="95"/>
          <w:sz w:val="17"/>
        </w:rPr>
        <w:t>and</w:t>
      </w:r>
      <w:r>
        <w:rPr>
          <w:color w:val="231F20"/>
          <w:spacing w:val="9"/>
          <w:sz w:val="17"/>
        </w:rPr>
        <w:t xml:space="preserve"> </w:t>
      </w:r>
      <w:r>
        <w:rPr>
          <w:color w:val="231F20"/>
          <w:w w:val="95"/>
          <w:sz w:val="17"/>
        </w:rPr>
        <w:t>positive</w:t>
      </w:r>
      <w:r>
        <w:rPr>
          <w:color w:val="231F20"/>
          <w:spacing w:val="10"/>
          <w:sz w:val="17"/>
        </w:rPr>
        <w:t xml:space="preserve"> </w:t>
      </w:r>
      <w:r>
        <w:rPr>
          <w:color w:val="231F20"/>
          <w:w w:val="95"/>
          <w:sz w:val="17"/>
        </w:rPr>
        <w:t>life</w:t>
      </w:r>
      <w:r>
        <w:rPr>
          <w:color w:val="231F20"/>
          <w:spacing w:val="9"/>
          <w:sz w:val="17"/>
        </w:rPr>
        <w:t xml:space="preserve"> </w:t>
      </w:r>
      <w:r>
        <w:rPr>
          <w:color w:val="231F20"/>
          <w:spacing w:val="-2"/>
          <w:w w:val="95"/>
          <w:sz w:val="17"/>
        </w:rPr>
        <w:t>changes.</w:t>
      </w:r>
    </w:p>
    <w:p w14:paraId="1EABEB5F" w14:textId="77777777" w:rsidR="00AE0598" w:rsidRDefault="0069255A">
      <w:pPr>
        <w:ind w:left="430"/>
        <w:jc w:val="both"/>
        <w:rPr>
          <w:sz w:val="17"/>
        </w:rPr>
      </w:pPr>
      <w:r>
        <w:rPr>
          <w:i/>
          <w:color w:val="231F20"/>
          <w:sz w:val="17"/>
        </w:rPr>
        <w:t>World</w:t>
      </w:r>
      <w:r>
        <w:rPr>
          <w:i/>
          <w:color w:val="231F20"/>
          <w:spacing w:val="-2"/>
          <w:sz w:val="17"/>
        </w:rPr>
        <w:t xml:space="preserve"> </w:t>
      </w:r>
      <w:r>
        <w:rPr>
          <w:i/>
          <w:color w:val="231F20"/>
          <w:sz w:val="17"/>
        </w:rPr>
        <w:t>Leisure</w:t>
      </w:r>
      <w:r>
        <w:rPr>
          <w:i/>
          <w:color w:val="231F20"/>
          <w:spacing w:val="-2"/>
          <w:sz w:val="17"/>
        </w:rPr>
        <w:t xml:space="preserve"> </w:t>
      </w:r>
      <w:r>
        <w:rPr>
          <w:i/>
          <w:color w:val="231F20"/>
          <w:sz w:val="17"/>
        </w:rPr>
        <w:t>Journal</w:t>
      </w:r>
      <w:r>
        <w:rPr>
          <w:i/>
          <w:color w:val="231F20"/>
          <w:spacing w:val="-1"/>
          <w:sz w:val="17"/>
        </w:rPr>
        <w:t xml:space="preserve"> </w:t>
      </w:r>
      <w:r>
        <w:rPr>
          <w:color w:val="231F20"/>
          <w:sz w:val="17"/>
        </w:rPr>
        <w:t>51</w:t>
      </w:r>
      <w:r>
        <w:rPr>
          <w:color w:val="231F20"/>
          <w:spacing w:val="-2"/>
          <w:sz w:val="17"/>
        </w:rPr>
        <w:t xml:space="preserve"> </w:t>
      </w:r>
      <w:r>
        <w:rPr>
          <w:color w:val="231F20"/>
          <w:sz w:val="17"/>
        </w:rPr>
        <w:t>(1)</w:t>
      </w:r>
      <w:r>
        <w:rPr>
          <w:color w:val="231F20"/>
          <w:spacing w:val="-1"/>
          <w:sz w:val="17"/>
        </w:rPr>
        <w:t xml:space="preserve"> </w:t>
      </w:r>
      <w:r>
        <w:rPr>
          <w:color w:val="231F20"/>
          <w:spacing w:val="-2"/>
          <w:sz w:val="17"/>
        </w:rPr>
        <w:t>47–53.</w:t>
      </w:r>
    </w:p>
    <w:p w14:paraId="44716012" w14:textId="77777777" w:rsidR="00AE0598" w:rsidRDefault="0069255A">
      <w:pPr>
        <w:spacing w:before="1"/>
        <w:ind w:left="110"/>
        <w:jc w:val="both"/>
        <w:rPr>
          <w:sz w:val="17"/>
        </w:rPr>
      </w:pPr>
      <w:r>
        <w:rPr>
          <w:color w:val="231F20"/>
          <w:sz w:val="17"/>
        </w:rPr>
        <w:t>Buckley,</w:t>
      </w:r>
      <w:r>
        <w:rPr>
          <w:color w:val="231F20"/>
          <w:spacing w:val="9"/>
          <w:sz w:val="17"/>
        </w:rPr>
        <w:t xml:space="preserve"> </w:t>
      </w:r>
      <w:r>
        <w:rPr>
          <w:color w:val="231F20"/>
          <w:sz w:val="17"/>
        </w:rPr>
        <w:t>R.,</w:t>
      </w:r>
      <w:r>
        <w:rPr>
          <w:color w:val="231F20"/>
          <w:spacing w:val="10"/>
          <w:sz w:val="17"/>
        </w:rPr>
        <w:t xml:space="preserve"> </w:t>
      </w:r>
      <w:r>
        <w:rPr>
          <w:color w:val="231F20"/>
          <w:sz w:val="17"/>
        </w:rPr>
        <w:t>Gretzel,</w:t>
      </w:r>
      <w:r>
        <w:rPr>
          <w:color w:val="231F20"/>
          <w:spacing w:val="10"/>
          <w:sz w:val="17"/>
        </w:rPr>
        <w:t xml:space="preserve"> </w:t>
      </w:r>
      <w:r>
        <w:rPr>
          <w:color w:val="231F20"/>
          <w:sz w:val="17"/>
        </w:rPr>
        <w:t>U.,</w:t>
      </w:r>
      <w:r>
        <w:rPr>
          <w:color w:val="231F20"/>
          <w:spacing w:val="10"/>
          <w:sz w:val="17"/>
        </w:rPr>
        <w:t xml:space="preserve"> </w:t>
      </w:r>
      <w:r>
        <w:rPr>
          <w:color w:val="231F20"/>
          <w:sz w:val="17"/>
        </w:rPr>
        <w:t>Scott,</w:t>
      </w:r>
      <w:r>
        <w:rPr>
          <w:color w:val="231F20"/>
          <w:spacing w:val="9"/>
          <w:sz w:val="17"/>
        </w:rPr>
        <w:t xml:space="preserve"> </w:t>
      </w:r>
      <w:r>
        <w:rPr>
          <w:color w:val="231F20"/>
          <w:sz w:val="17"/>
        </w:rPr>
        <w:t>D.,</w:t>
      </w:r>
      <w:r>
        <w:rPr>
          <w:color w:val="231F20"/>
          <w:spacing w:val="10"/>
          <w:sz w:val="17"/>
        </w:rPr>
        <w:t xml:space="preserve"> </w:t>
      </w:r>
      <w:r>
        <w:rPr>
          <w:color w:val="231F20"/>
          <w:sz w:val="17"/>
        </w:rPr>
        <w:t>Weaver,</w:t>
      </w:r>
      <w:r>
        <w:rPr>
          <w:color w:val="231F20"/>
          <w:spacing w:val="10"/>
          <w:sz w:val="17"/>
        </w:rPr>
        <w:t xml:space="preserve"> </w:t>
      </w:r>
      <w:r>
        <w:rPr>
          <w:color w:val="231F20"/>
          <w:sz w:val="17"/>
        </w:rPr>
        <w:t>D.</w:t>
      </w:r>
      <w:r>
        <w:rPr>
          <w:color w:val="231F20"/>
          <w:spacing w:val="10"/>
          <w:sz w:val="17"/>
        </w:rPr>
        <w:t xml:space="preserve"> </w:t>
      </w:r>
      <w:r>
        <w:rPr>
          <w:color w:val="231F20"/>
          <w:sz w:val="17"/>
        </w:rPr>
        <w:t>and</w:t>
      </w:r>
      <w:r>
        <w:rPr>
          <w:color w:val="231F20"/>
          <w:spacing w:val="10"/>
          <w:sz w:val="17"/>
        </w:rPr>
        <w:t xml:space="preserve"> </w:t>
      </w:r>
      <w:r>
        <w:rPr>
          <w:color w:val="231F20"/>
          <w:sz w:val="17"/>
        </w:rPr>
        <w:t>Becken,</w:t>
      </w:r>
      <w:r>
        <w:rPr>
          <w:color w:val="231F20"/>
          <w:spacing w:val="9"/>
          <w:sz w:val="17"/>
        </w:rPr>
        <w:t xml:space="preserve"> </w:t>
      </w:r>
      <w:r>
        <w:rPr>
          <w:color w:val="231F20"/>
          <w:sz w:val="17"/>
        </w:rPr>
        <w:t>S.</w:t>
      </w:r>
      <w:r>
        <w:rPr>
          <w:color w:val="231F20"/>
          <w:spacing w:val="10"/>
          <w:sz w:val="17"/>
        </w:rPr>
        <w:t xml:space="preserve"> </w:t>
      </w:r>
      <w:r>
        <w:rPr>
          <w:color w:val="231F20"/>
          <w:sz w:val="17"/>
        </w:rPr>
        <w:t>(2015)</w:t>
      </w:r>
      <w:r>
        <w:rPr>
          <w:color w:val="231F20"/>
          <w:spacing w:val="10"/>
          <w:sz w:val="17"/>
        </w:rPr>
        <w:t xml:space="preserve"> </w:t>
      </w:r>
      <w:r>
        <w:rPr>
          <w:color w:val="231F20"/>
          <w:sz w:val="17"/>
        </w:rPr>
        <w:t>Tourism</w:t>
      </w:r>
      <w:r>
        <w:rPr>
          <w:color w:val="231F20"/>
          <w:spacing w:val="10"/>
          <w:sz w:val="17"/>
        </w:rPr>
        <w:t xml:space="preserve"> </w:t>
      </w:r>
      <w:r>
        <w:rPr>
          <w:color w:val="231F20"/>
          <w:spacing w:val="-2"/>
          <w:sz w:val="17"/>
        </w:rPr>
        <w:t>megatrends.</w:t>
      </w:r>
    </w:p>
    <w:p w14:paraId="4C7F7418" w14:textId="77777777" w:rsidR="00AE0598" w:rsidRDefault="0069255A">
      <w:pPr>
        <w:spacing w:before="1"/>
        <w:ind w:left="430"/>
        <w:jc w:val="both"/>
        <w:rPr>
          <w:sz w:val="17"/>
        </w:rPr>
      </w:pPr>
      <w:r>
        <w:rPr>
          <w:i/>
          <w:color w:val="231F20"/>
          <w:sz w:val="17"/>
        </w:rPr>
        <w:t>Tourism</w:t>
      </w:r>
      <w:r>
        <w:rPr>
          <w:i/>
          <w:color w:val="231F20"/>
          <w:spacing w:val="-1"/>
          <w:sz w:val="17"/>
        </w:rPr>
        <w:t xml:space="preserve"> </w:t>
      </w:r>
      <w:r>
        <w:rPr>
          <w:i/>
          <w:color w:val="231F20"/>
          <w:sz w:val="17"/>
        </w:rPr>
        <w:t>Recreation</w:t>
      </w:r>
      <w:r>
        <w:rPr>
          <w:i/>
          <w:color w:val="231F20"/>
          <w:spacing w:val="-1"/>
          <w:sz w:val="17"/>
        </w:rPr>
        <w:t xml:space="preserve"> </w:t>
      </w:r>
      <w:r>
        <w:rPr>
          <w:i/>
          <w:color w:val="231F20"/>
          <w:sz w:val="17"/>
        </w:rPr>
        <w:t>Research</w:t>
      </w:r>
      <w:r>
        <w:rPr>
          <w:i/>
          <w:color w:val="231F20"/>
          <w:spacing w:val="-1"/>
          <w:sz w:val="17"/>
        </w:rPr>
        <w:t xml:space="preserve"> </w:t>
      </w:r>
      <w:r>
        <w:rPr>
          <w:color w:val="231F20"/>
          <w:sz w:val="17"/>
        </w:rPr>
        <w:t>40</w:t>
      </w:r>
      <w:r>
        <w:rPr>
          <w:color w:val="231F20"/>
          <w:spacing w:val="-1"/>
          <w:sz w:val="17"/>
        </w:rPr>
        <w:t xml:space="preserve"> </w:t>
      </w:r>
      <w:r>
        <w:rPr>
          <w:color w:val="231F20"/>
          <w:sz w:val="17"/>
        </w:rPr>
        <w:t xml:space="preserve">(1), </w:t>
      </w:r>
      <w:r>
        <w:rPr>
          <w:color w:val="231F20"/>
          <w:spacing w:val="-2"/>
          <w:sz w:val="17"/>
        </w:rPr>
        <w:t>59–70.</w:t>
      </w:r>
    </w:p>
    <w:p w14:paraId="5095A997" w14:textId="77777777" w:rsidR="00AE0598" w:rsidRDefault="0069255A">
      <w:pPr>
        <w:ind w:left="430" w:right="127" w:hanging="320"/>
        <w:jc w:val="both"/>
        <w:rPr>
          <w:sz w:val="17"/>
        </w:rPr>
      </w:pPr>
      <w:r>
        <w:rPr>
          <w:color w:val="231F20"/>
          <w:sz w:val="17"/>
        </w:rPr>
        <w:t>Bull,</w:t>
      </w:r>
      <w:r>
        <w:rPr>
          <w:color w:val="231F20"/>
          <w:spacing w:val="-4"/>
          <w:sz w:val="17"/>
        </w:rPr>
        <w:t xml:space="preserve"> </w:t>
      </w:r>
      <w:r>
        <w:rPr>
          <w:color w:val="231F20"/>
          <w:sz w:val="17"/>
        </w:rPr>
        <w:t>C.</w:t>
      </w:r>
      <w:r>
        <w:rPr>
          <w:color w:val="231F20"/>
          <w:spacing w:val="-4"/>
          <w:sz w:val="17"/>
        </w:rPr>
        <w:t xml:space="preserve"> </w:t>
      </w:r>
      <w:r>
        <w:rPr>
          <w:color w:val="231F20"/>
          <w:sz w:val="17"/>
        </w:rPr>
        <w:t>and</w:t>
      </w:r>
      <w:r>
        <w:rPr>
          <w:color w:val="231F20"/>
          <w:spacing w:val="-4"/>
          <w:sz w:val="17"/>
        </w:rPr>
        <w:t xml:space="preserve"> </w:t>
      </w:r>
      <w:r>
        <w:rPr>
          <w:color w:val="231F20"/>
          <w:sz w:val="17"/>
        </w:rPr>
        <w:t>Weed,</w:t>
      </w:r>
      <w:r>
        <w:rPr>
          <w:color w:val="231F20"/>
          <w:spacing w:val="-4"/>
          <w:sz w:val="17"/>
        </w:rPr>
        <w:t xml:space="preserve"> </w:t>
      </w:r>
      <w:r>
        <w:rPr>
          <w:color w:val="231F20"/>
          <w:sz w:val="17"/>
        </w:rPr>
        <w:t>M.</w:t>
      </w:r>
      <w:r>
        <w:rPr>
          <w:color w:val="231F20"/>
          <w:spacing w:val="-4"/>
          <w:sz w:val="17"/>
        </w:rPr>
        <w:t xml:space="preserve"> </w:t>
      </w:r>
      <w:r>
        <w:rPr>
          <w:color w:val="231F20"/>
          <w:sz w:val="17"/>
        </w:rPr>
        <w:t>(1999)</w:t>
      </w:r>
      <w:r>
        <w:rPr>
          <w:color w:val="231F20"/>
          <w:spacing w:val="-4"/>
          <w:sz w:val="17"/>
        </w:rPr>
        <w:t xml:space="preserve"> </w:t>
      </w:r>
      <w:r>
        <w:rPr>
          <w:color w:val="231F20"/>
          <w:sz w:val="17"/>
        </w:rPr>
        <w:t>Niche</w:t>
      </w:r>
      <w:r>
        <w:rPr>
          <w:color w:val="231F20"/>
          <w:spacing w:val="-4"/>
          <w:sz w:val="17"/>
        </w:rPr>
        <w:t xml:space="preserve"> </w:t>
      </w:r>
      <w:r>
        <w:rPr>
          <w:color w:val="231F20"/>
          <w:sz w:val="17"/>
        </w:rPr>
        <w:t>markets</w:t>
      </w:r>
      <w:r>
        <w:rPr>
          <w:color w:val="231F20"/>
          <w:spacing w:val="-4"/>
          <w:sz w:val="17"/>
        </w:rPr>
        <w:t xml:space="preserve"> </w:t>
      </w:r>
      <w:r>
        <w:rPr>
          <w:color w:val="231F20"/>
          <w:sz w:val="17"/>
        </w:rPr>
        <w:t>and</w:t>
      </w:r>
      <w:r>
        <w:rPr>
          <w:color w:val="231F20"/>
          <w:spacing w:val="-4"/>
          <w:sz w:val="17"/>
        </w:rPr>
        <w:t xml:space="preserve"> </w:t>
      </w:r>
      <w:r>
        <w:rPr>
          <w:color w:val="231F20"/>
          <w:sz w:val="17"/>
        </w:rPr>
        <w:t>small</w:t>
      </w:r>
      <w:r>
        <w:rPr>
          <w:color w:val="231F20"/>
          <w:spacing w:val="-4"/>
          <w:sz w:val="17"/>
        </w:rPr>
        <w:t xml:space="preserve"> </w:t>
      </w:r>
      <w:r>
        <w:rPr>
          <w:color w:val="231F20"/>
          <w:sz w:val="17"/>
        </w:rPr>
        <w:t>island</w:t>
      </w:r>
      <w:r>
        <w:rPr>
          <w:color w:val="231F20"/>
          <w:spacing w:val="-4"/>
          <w:sz w:val="17"/>
        </w:rPr>
        <w:t xml:space="preserve"> </w:t>
      </w:r>
      <w:r>
        <w:rPr>
          <w:color w:val="231F20"/>
          <w:sz w:val="17"/>
        </w:rPr>
        <w:t>tourism:</w:t>
      </w:r>
      <w:r>
        <w:rPr>
          <w:color w:val="231F20"/>
          <w:spacing w:val="-4"/>
          <w:sz w:val="17"/>
        </w:rPr>
        <w:t xml:space="preserve"> </w:t>
      </w:r>
      <w:r>
        <w:rPr>
          <w:color w:val="231F20"/>
          <w:sz w:val="17"/>
        </w:rPr>
        <w:t>The</w:t>
      </w:r>
      <w:r>
        <w:rPr>
          <w:color w:val="231F20"/>
          <w:spacing w:val="-4"/>
          <w:sz w:val="17"/>
        </w:rPr>
        <w:t xml:space="preserve"> </w:t>
      </w:r>
      <w:r>
        <w:rPr>
          <w:color w:val="231F20"/>
          <w:sz w:val="17"/>
        </w:rPr>
        <w:t>development</w:t>
      </w:r>
      <w:r>
        <w:rPr>
          <w:color w:val="231F20"/>
          <w:spacing w:val="-4"/>
          <w:sz w:val="17"/>
        </w:rPr>
        <w:t xml:space="preserve"> </w:t>
      </w:r>
      <w:r>
        <w:rPr>
          <w:color w:val="231F20"/>
          <w:sz w:val="17"/>
        </w:rPr>
        <w:t>of</w:t>
      </w:r>
      <w:r>
        <w:rPr>
          <w:color w:val="231F20"/>
          <w:spacing w:val="40"/>
          <w:sz w:val="17"/>
        </w:rPr>
        <w:t xml:space="preserve"> </w:t>
      </w:r>
      <w:r>
        <w:rPr>
          <w:color w:val="231F20"/>
          <w:sz w:val="17"/>
        </w:rPr>
        <w:t xml:space="preserve">sports tourism in Malta. </w:t>
      </w:r>
      <w:r>
        <w:rPr>
          <w:i/>
          <w:color w:val="231F20"/>
          <w:sz w:val="17"/>
        </w:rPr>
        <w:t xml:space="preserve">Managing Leisure </w:t>
      </w:r>
      <w:r>
        <w:rPr>
          <w:color w:val="231F20"/>
          <w:sz w:val="17"/>
        </w:rPr>
        <w:t>4 (3), 142–155.</w:t>
      </w:r>
    </w:p>
    <w:p w14:paraId="1897DCC6" w14:textId="77777777" w:rsidR="00AE0598" w:rsidRDefault="0069255A">
      <w:pPr>
        <w:spacing w:before="2"/>
        <w:ind w:left="430" w:right="121" w:hanging="320"/>
        <w:jc w:val="both"/>
        <w:rPr>
          <w:sz w:val="17"/>
        </w:rPr>
      </w:pPr>
      <w:r>
        <w:rPr>
          <w:color w:val="231F20"/>
          <w:sz w:val="17"/>
        </w:rPr>
        <w:t xml:space="preserve">Bunning, </w:t>
      </w:r>
      <w:r>
        <w:rPr>
          <w:color w:val="231F20"/>
          <w:w w:val="115"/>
          <w:sz w:val="17"/>
        </w:rPr>
        <w:t xml:space="preserve">R.J. </w:t>
      </w:r>
      <w:r>
        <w:rPr>
          <w:color w:val="231F20"/>
          <w:sz w:val="17"/>
        </w:rPr>
        <w:t xml:space="preserve">and Gibson, </w:t>
      </w:r>
      <w:r>
        <w:rPr>
          <w:color w:val="231F20"/>
          <w:w w:val="115"/>
          <w:sz w:val="17"/>
        </w:rPr>
        <w:t xml:space="preserve">H.J. </w:t>
      </w:r>
      <w:r>
        <w:rPr>
          <w:color w:val="231F20"/>
          <w:sz w:val="17"/>
        </w:rPr>
        <w:t>(2016) The role of travel conditions in cycling tourism:</w:t>
      </w:r>
      <w:r>
        <w:rPr>
          <w:color w:val="231F20"/>
          <w:spacing w:val="40"/>
          <w:sz w:val="17"/>
        </w:rPr>
        <w:t xml:space="preserve"> </w:t>
      </w:r>
      <w:r>
        <w:rPr>
          <w:color w:val="231F20"/>
          <w:sz w:val="17"/>
        </w:rPr>
        <w:t xml:space="preserve">Implications for destination and event management. </w:t>
      </w:r>
      <w:r>
        <w:rPr>
          <w:i/>
          <w:color w:val="231F20"/>
          <w:sz w:val="17"/>
        </w:rPr>
        <w:t xml:space="preserve">Journal of Sport </w:t>
      </w:r>
      <w:r>
        <w:rPr>
          <w:i/>
          <w:color w:val="231F20"/>
          <w:w w:val="115"/>
          <w:sz w:val="17"/>
        </w:rPr>
        <w:t xml:space="preserve">&amp; </w:t>
      </w:r>
      <w:r>
        <w:rPr>
          <w:i/>
          <w:color w:val="231F20"/>
          <w:sz w:val="17"/>
        </w:rPr>
        <w:t xml:space="preserve">Tourism </w:t>
      </w:r>
      <w:r>
        <w:rPr>
          <w:color w:val="231F20"/>
          <w:sz w:val="17"/>
        </w:rPr>
        <w:t>20</w:t>
      </w:r>
      <w:r>
        <w:rPr>
          <w:color w:val="231F20"/>
          <w:spacing w:val="40"/>
          <w:sz w:val="17"/>
        </w:rPr>
        <w:t xml:space="preserve"> </w:t>
      </w:r>
      <w:r>
        <w:rPr>
          <w:color w:val="231F20"/>
          <w:sz w:val="17"/>
        </w:rPr>
        <w:t>(3–4), 175–194.</w:t>
      </w:r>
    </w:p>
    <w:p w14:paraId="14FD6662" w14:textId="77777777" w:rsidR="00AE0598" w:rsidRDefault="0069255A">
      <w:pPr>
        <w:spacing w:before="2"/>
        <w:ind w:left="430" w:right="124" w:hanging="320"/>
        <w:jc w:val="both"/>
        <w:rPr>
          <w:sz w:val="17"/>
        </w:rPr>
      </w:pPr>
      <w:r>
        <w:rPr>
          <w:color w:val="231F20"/>
          <w:sz w:val="17"/>
        </w:rPr>
        <w:t xml:space="preserve">Burgan, B. and Mules, T. (1992) Economic impact of sporting events. </w:t>
      </w:r>
      <w:r>
        <w:rPr>
          <w:i/>
          <w:color w:val="231F20"/>
          <w:sz w:val="17"/>
        </w:rPr>
        <w:t>Ann</w:t>
      </w:r>
      <w:r>
        <w:rPr>
          <w:i/>
          <w:color w:val="231F20"/>
          <w:sz w:val="17"/>
        </w:rPr>
        <w:t>als of Tourism</w:t>
      </w:r>
      <w:r>
        <w:rPr>
          <w:i/>
          <w:color w:val="231F20"/>
          <w:spacing w:val="40"/>
          <w:sz w:val="17"/>
        </w:rPr>
        <w:t xml:space="preserve"> </w:t>
      </w:r>
      <w:r>
        <w:rPr>
          <w:i/>
          <w:color w:val="231F20"/>
          <w:sz w:val="17"/>
        </w:rPr>
        <w:t xml:space="preserve">Research </w:t>
      </w:r>
      <w:r>
        <w:rPr>
          <w:color w:val="231F20"/>
          <w:sz w:val="17"/>
        </w:rPr>
        <w:t>19 (4), 700–710.</w:t>
      </w:r>
    </w:p>
    <w:p w14:paraId="584D77E5" w14:textId="77777777" w:rsidR="00AE0598" w:rsidRDefault="0069255A">
      <w:pPr>
        <w:spacing w:before="1"/>
        <w:ind w:left="430" w:right="128" w:hanging="320"/>
        <w:jc w:val="both"/>
        <w:rPr>
          <w:sz w:val="17"/>
        </w:rPr>
      </w:pPr>
      <w:r>
        <w:rPr>
          <w:color w:val="231F20"/>
          <w:sz w:val="17"/>
        </w:rPr>
        <w:t>Burgess,</w:t>
      </w:r>
      <w:r>
        <w:rPr>
          <w:color w:val="231F20"/>
          <w:spacing w:val="-2"/>
          <w:sz w:val="17"/>
        </w:rPr>
        <w:t xml:space="preserve"> </w:t>
      </w:r>
      <w:r>
        <w:rPr>
          <w:color w:val="231F20"/>
          <w:sz w:val="17"/>
        </w:rPr>
        <w:t>C.</w:t>
      </w:r>
      <w:r>
        <w:rPr>
          <w:color w:val="231F20"/>
          <w:spacing w:val="-2"/>
          <w:sz w:val="17"/>
        </w:rPr>
        <w:t xml:space="preserve"> </w:t>
      </w:r>
      <w:r>
        <w:rPr>
          <w:color w:val="231F20"/>
          <w:sz w:val="17"/>
        </w:rPr>
        <w:t>(2010)</w:t>
      </w:r>
      <w:r>
        <w:rPr>
          <w:color w:val="231F20"/>
          <w:spacing w:val="-2"/>
          <w:sz w:val="17"/>
        </w:rPr>
        <w:t xml:space="preserve"> </w:t>
      </w:r>
      <w:r>
        <w:rPr>
          <w:color w:val="231F20"/>
          <w:sz w:val="17"/>
        </w:rPr>
        <w:t>The</w:t>
      </w:r>
      <w:r>
        <w:rPr>
          <w:color w:val="231F20"/>
          <w:spacing w:val="-1"/>
          <w:sz w:val="17"/>
        </w:rPr>
        <w:t xml:space="preserve"> </w:t>
      </w:r>
      <w:r>
        <w:rPr>
          <w:color w:val="231F20"/>
          <w:sz w:val="17"/>
        </w:rPr>
        <w:t>‘illusion’</w:t>
      </w:r>
      <w:r>
        <w:rPr>
          <w:color w:val="231F20"/>
          <w:spacing w:val="-2"/>
          <w:sz w:val="17"/>
        </w:rPr>
        <w:t xml:space="preserve"> </w:t>
      </w:r>
      <w:r>
        <w:rPr>
          <w:color w:val="231F20"/>
          <w:sz w:val="17"/>
        </w:rPr>
        <w:t>of</w:t>
      </w:r>
      <w:r>
        <w:rPr>
          <w:color w:val="231F20"/>
          <w:spacing w:val="-1"/>
          <w:sz w:val="17"/>
        </w:rPr>
        <w:t xml:space="preserve"> </w:t>
      </w:r>
      <w:r>
        <w:rPr>
          <w:color w:val="231F20"/>
          <w:sz w:val="17"/>
        </w:rPr>
        <w:t>homogeneous</w:t>
      </w:r>
      <w:r>
        <w:rPr>
          <w:color w:val="231F20"/>
          <w:spacing w:val="-1"/>
          <w:sz w:val="17"/>
        </w:rPr>
        <w:t xml:space="preserve"> </w:t>
      </w:r>
      <w:r>
        <w:rPr>
          <w:color w:val="231F20"/>
          <w:sz w:val="17"/>
        </w:rPr>
        <w:t>Japan</w:t>
      </w:r>
      <w:r>
        <w:rPr>
          <w:color w:val="231F20"/>
          <w:spacing w:val="-1"/>
          <w:sz w:val="17"/>
        </w:rPr>
        <w:t xml:space="preserve"> </w:t>
      </w:r>
      <w:r>
        <w:rPr>
          <w:color w:val="231F20"/>
          <w:sz w:val="17"/>
        </w:rPr>
        <w:t>and</w:t>
      </w:r>
      <w:r>
        <w:rPr>
          <w:color w:val="231F20"/>
          <w:spacing w:val="-1"/>
          <w:sz w:val="17"/>
        </w:rPr>
        <w:t xml:space="preserve"> </w:t>
      </w:r>
      <w:r>
        <w:rPr>
          <w:color w:val="231F20"/>
          <w:sz w:val="17"/>
        </w:rPr>
        <w:t>national</w:t>
      </w:r>
      <w:r>
        <w:rPr>
          <w:color w:val="231F20"/>
          <w:spacing w:val="-2"/>
          <w:sz w:val="17"/>
        </w:rPr>
        <w:t xml:space="preserve"> </w:t>
      </w:r>
      <w:r>
        <w:rPr>
          <w:color w:val="231F20"/>
          <w:sz w:val="17"/>
        </w:rPr>
        <w:t>character:</w:t>
      </w:r>
      <w:r>
        <w:rPr>
          <w:color w:val="231F20"/>
          <w:spacing w:val="-2"/>
          <w:sz w:val="17"/>
        </w:rPr>
        <w:t xml:space="preserve"> </w:t>
      </w:r>
      <w:r>
        <w:rPr>
          <w:color w:val="231F20"/>
          <w:sz w:val="17"/>
        </w:rPr>
        <w:t>Discourse</w:t>
      </w:r>
      <w:r>
        <w:rPr>
          <w:color w:val="231F20"/>
          <w:spacing w:val="40"/>
          <w:sz w:val="17"/>
        </w:rPr>
        <w:t xml:space="preserve"> </w:t>
      </w:r>
      <w:r>
        <w:rPr>
          <w:color w:val="231F20"/>
          <w:sz w:val="17"/>
        </w:rPr>
        <w:t xml:space="preserve">as a tool to transcend the ‘myth’ vs. ‘reality’ binary. </w:t>
      </w:r>
      <w:r>
        <w:rPr>
          <w:i/>
          <w:color w:val="231F20"/>
          <w:sz w:val="17"/>
        </w:rPr>
        <w:t>The Asia-Pacific Journal | Japan</w:t>
      </w:r>
      <w:r>
        <w:rPr>
          <w:i/>
          <w:color w:val="231F20"/>
          <w:spacing w:val="40"/>
          <w:sz w:val="17"/>
        </w:rPr>
        <w:t xml:space="preserve"> </w:t>
      </w:r>
      <w:r>
        <w:rPr>
          <w:i/>
          <w:color w:val="231F20"/>
          <w:sz w:val="17"/>
        </w:rPr>
        <w:t xml:space="preserve">Focus </w:t>
      </w:r>
      <w:r>
        <w:rPr>
          <w:color w:val="231F20"/>
          <w:sz w:val="17"/>
        </w:rPr>
        <w:t>8 (9), 1–23.</w:t>
      </w:r>
    </w:p>
    <w:p w14:paraId="2EFD722C" w14:textId="77777777" w:rsidR="00AE0598" w:rsidRDefault="0069255A">
      <w:pPr>
        <w:spacing w:before="2"/>
        <w:ind w:left="110"/>
        <w:jc w:val="both"/>
        <w:rPr>
          <w:sz w:val="17"/>
        </w:rPr>
      </w:pPr>
      <w:r>
        <w:rPr>
          <w:color w:val="231F20"/>
          <w:sz w:val="17"/>
        </w:rPr>
        <w:t>Burnstyn,</w:t>
      </w:r>
      <w:r>
        <w:rPr>
          <w:color w:val="231F20"/>
          <w:spacing w:val="47"/>
          <w:sz w:val="17"/>
        </w:rPr>
        <w:t xml:space="preserve"> </w:t>
      </w:r>
      <w:r>
        <w:rPr>
          <w:color w:val="231F20"/>
          <w:sz w:val="17"/>
        </w:rPr>
        <w:t>V.</w:t>
      </w:r>
      <w:r>
        <w:rPr>
          <w:color w:val="231F20"/>
          <w:spacing w:val="48"/>
          <w:sz w:val="17"/>
        </w:rPr>
        <w:t xml:space="preserve"> </w:t>
      </w:r>
      <w:r>
        <w:rPr>
          <w:color w:val="231F20"/>
          <w:sz w:val="17"/>
        </w:rPr>
        <w:t>(1999)</w:t>
      </w:r>
      <w:r>
        <w:rPr>
          <w:color w:val="231F20"/>
          <w:spacing w:val="48"/>
          <w:sz w:val="17"/>
        </w:rPr>
        <w:t xml:space="preserve"> </w:t>
      </w:r>
      <w:r>
        <w:rPr>
          <w:i/>
          <w:color w:val="231F20"/>
          <w:sz w:val="17"/>
        </w:rPr>
        <w:t>The</w:t>
      </w:r>
      <w:r>
        <w:rPr>
          <w:i/>
          <w:color w:val="231F20"/>
          <w:spacing w:val="48"/>
          <w:sz w:val="17"/>
        </w:rPr>
        <w:t xml:space="preserve"> </w:t>
      </w:r>
      <w:r>
        <w:rPr>
          <w:i/>
          <w:color w:val="231F20"/>
          <w:sz w:val="17"/>
        </w:rPr>
        <w:t>Rites</w:t>
      </w:r>
      <w:r>
        <w:rPr>
          <w:i/>
          <w:color w:val="231F20"/>
          <w:spacing w:val="47"/>
          <w:sz w:val="17"/>
        </w:rPr>
        <w:t xml:space="preserve"> </w:t>
      </w:r>
      <w:r>
        <w:rPr>
          <w:i/>
          <w:color w:val="231F20"/>
          <w:sz w:val="17"/>
        </w:rPr>
        <w:t>of</w:t>
      </w:r>
      <w:r>
        <w:rPr>
          <w:i/>
          <w:color w:val="231F20"/>
          <w:spacing w:val="48"/>
          <w:sz w:val="17"/>
        </w:rPr>
        <w:t xml:space="preserve"> </w:t>
      </w:r>
      <w:r>
        <w:rPr>
          <w:i/>
          <w:color w:val="231F20"/>
          <w:sz w:val="17"/>
        </w:rPr>
        <w:t>Men:</w:t>
      </w:r>
      <w:r>
        <w:rPr>
          <w:i/>
          <w:color w:val="231F20"/>
          <w:spacing w:val="48"/>
          <w:sz w:val="17"/>
        </w:rPr>
        <w:t xml:space="preserve"> </w:t>
      </w:r>
      <w:r>
        <w:rPr>
          <w:i/>
          <w:color w:val="231F20"/>
          <w:sz w:val="17"/>
        </w:rPr>
        <w:t>Manhood,</w:t>
      </w:r>
      <w:r>
        <w:rPr>
          <w:i/>
          <w:color w:val="231F20"/>
          <w:spacing w:val="48"/>
          <w:sz w:val="17"/>
        </w:rPr>
        <w:t xml:space="preserve"> </w:t>
      </w:r>
      <w:r>
        <w:rPr>
          <w:i/>
          <w:color w:val="231F20"/>
          <w:sz w:val="17"/>
        </w:rPr>
        <w:t>Politics,</w:t>
      </w:r>
      <w:r>
        <w:rPr>
          <w:i/>
          <w:color w:val="231F20"/>
          <w:spacing w:val="47"/>
          <w:sz w:val="17"/>
        </w:rPr>
        <w:t xml:space="preserve"> </w:t>
      </w:r>
      <w:r>
        <w:rPr>
          <w:i/>
          <w:color w:val="231F20"/>
          <w:sz w:val="17"/>
        </w:rPr>
        <w:t>and</w:t>
      </w:r>
      <w:r>
        <w:rPr>
          <w:i/>
          <w:color w:val="231F20"/>
          <w:spacing w:val="48"/>
          <w:sz w:val="17"/>
        </w:rPr>
        <w:t xml:space="preserve"> </w:t>
      </w:r>
      <w:r>
        <w:rPr>
          <w:i/>
          <w:color w:val="231F20"/>
          <w:sz w:val="17"/>
        </w:rPr>
        <w:t>the</w:t>
      </w:r>
      <w:r>
        <w:rPr>
          <w:i/>
          <w:color w:val="231F20"/>
          <w:spacing w:val="48"/>
          <w:sz w:val="17"/>
        </w:rPr>
        <w:t xml:space="preserve"> </w:t>
      </w:r>
      <w:r>
        <w:rPr>
          <w:i/>
          <w:color w:val="231F20"/>
          <w:sz w:val="17"/>
        </w:rPr>
        <w:t>Culture</w:t>
      </w:r>
      <w:r>
        <w:rPr>
          <w:i/>
          <w:color w:val="231F20"/>
          <w:spacing w:val="48"/>
          <w:sz w:val="17"/>
        </w:rPr>
        <w:t xml:space="preserve"> </w:t>
      </w:r>
      <w:r>
        <w:rPr>
          <w:i/>
          <w:color w:val="231F20"/>
          <w:sz w:val="17"/>
        </w:rPr>
        <w:t>of</w:t>
      </w:r>
      <w:r>
        <w:rPr>
          <w:i/>
          <w:color w:val="231F20"/>
          <w:spacing w:val="47"/>
          <w:sz w:val="17"/>
        </w:rPr>
        <w:t xml:space="preserve"> </w:t>
      </w:r>
      <w:r>
        <w:rPr>
          <w:i/>
          <w:color w:val="231F20"/>
          <w:spacing w:val="-2"/>
          <w:sz w:val="17"/>
        </w:rPr>
        <w:t>Sport</w:t>
      </w:r>
      <w:r>
        <w:rPr>
          <w:color w:val="231F20"/>
          <w:spacing w:val="-2"/>
          <w:sz w:val="17"/>
        </w:rPr>
        <w:t>.</w:t>
      </w:r>
    </w:p>
    <w:p w14:paraId="4C11BDA0" w14:textId="77777777" w:rsidR="00AE0598" w:rsidRDefault="0069255A">
      <w:pPr>
        <w:spacing w:before="1"/>
        <w:ind w:left="430"/>
        <w:jc w:val="both"/>
        <w:rPr>
          <w:sz w:val="17"/>
        </w:rPr>
      </w:pPr>
      <w:r>
        <w:rPr>
          <w:color w:val="231F20"/>
          <w:spacing w:val="-2"/>
          <w:sz w:val="17"/>
        </w:rPr>
        <w:t>Toronto:</w:t>
      </w:r>
      <w:r>
        <w:rPr>
          <w:color w:val="231F20"/>
          <w:spacing w:val="2"/>
          <w:sz w:val="17"/>
        </w:rPr>
        <w:t xml:space="preserve"> </w:t>
      </w:r>
      <w:r>
        <w:rPr>
          <w:color w:val="231F20"/>
          <w:spacing w:val="-2"/>
          <w:sz w:val="17"/>
        </w:rPr>
        <w:t>University</w:t>
      </w:r>
      <w:r>
        <w:rPr>
          <w:color w:val="231F20"/>
          <w:spacing w:val="2"/>
          <w:sz w:val="17"/>
        </w:rPr>
        <w:t xml:space="preserve"> </w:t>
      </w:r>
      <w:r>
        <w:rPr>
          <w:color w:val="231F20"/>
          <w:spacing w:val="-2"/>
          <w:sz w:val="17"/>
        </w:rPr>
        <w:t>of</w:t>
      </w:r>
      <w:r>
        <w:rPr>
          <w:color w:val="231F20"/>
          <w:spacing w:val="3"/>
          <w:sz w:val="17"/>
        </w:rPr>
        <w:t xml:space="preserve"> </w:t>
      </w:r>
      <w:r>
        <w:rPr>
          <w:color w:val="231F20"/>
          <w:spacing w:val="-2"/>
          <w:sz w:val="17"/>
        </w:rPr>
        <w:t>Toronto</w:t>
      </w:r>
      <w:r>
        <w:rPr>
          <w:color w:val="231F20"/>
          <w:spacing w:val="2"/>
          <w:sz w:val="17"/>
        </w:rPr>
        <w:t xml:space="preserve"> </w:t>
      </w:r>
      <w:r>
        <w:rPr>
          <w:color w:val="231F20"/>
          <w:spacing w:val="-2"/>
          <w:sz w:val="17"/>
        </w:rPr>
        <w:t>Press.</w:t>
      </w:r>
    </w:p>
    <w:p w14:paraId="5FA49371" w14:textId="77777777" w:rsidR="00AE0598" w:rsidRDefault="0069255A">
      <w:pPr>
        <w:spacing w:before="1"/>
        <w:ind w:left="110"/>
        <w:jc w:val="both"/>
        <w:rPr>
          <w:sz w:val="17"/>
        </w:rPr>
      </w:pPr>
      <w:r>
        <w:rPr>
          <w:color w:val="231F20"/>
          <w:w w:val="95"/>
          <w:sz w:val="17"/>
        </w:rPr>
        <w:t>Burton,</w:t>
      </w:r>
      <w:r>
        <w:rPr>
          <w:color w:val="231F20"/>
          <w:spacing w:val="17"/>
          <w:sz w:val="17"/>
        </w:rPr>
        <w:t xml:space="preserve"> </w:t>
      </w:r>
      <w:r>
        <w:rPr>
          <w:color w:val="231F20"/>
          <w:w w:val="95"/>
          <w:sz w:val="17"/>
        </w:rPr>
        <w:t>R.</w:t>
      </w:r>
      <w:r>
        <w:rPr>
          <w:color w:val="231F20"/>
          <w:spacing w:val="18"/>
          <w:sz w:val="17"/>
        </w:rPr>
        <w:t xml:space="preserve"> </w:t>
      </w:r>
      <w:r>
        <w:rPr>
          <w:color w:val="231F20"/>
          <w:w w:val="95"/>
          <w:sz w:val="17"/>
        </w:rPr>
        <w:t>(1995)</w:t>
      </w:r>
      <w:r>
        <w:rPr>
          <w:color w:val="231F20"/>
          <w:spacing w:val="18"/>
          <w:sz w:val="17"/>
        </w:rPr>
        <w:t xml:space="preserve"> </w:t>
      </w:r>
      <w:r>
        <w:rPr>
          <w:i/>
          <w:color w:val="231F20"/>
          <w:w w:val="95"/>
          <w:sz w:val="17"/>
        </w:rPr>
        <w:t>Travel</w:t>
      </w:r>
      <w:r>
        <w:rPr>
          <w:i/>
          <w:color w:val="231F20"/>
          <w:spacing w:val="18"/>
          <w:sz w:val="17"/>
        </w:rPr>
        <w:t xml:space="preserve"> </w:t>
      </w:r>
      <w:r>
        <w:rPr>
          <w:i/>
          <w:color w:val="231F20"/>
          <w:w w:val="95"/>
          <w:sz w:val="17"/>
        </w:rPr>
        <w:t>Geography</w:t>
      </w:r>
      <w:r>
        <w:rPr>
          <w:i/>
          <w:color w:val="231F20"/>
          <w:spacing w:val="18"/>
          <w:sz w:val="17"/>
        </w:rPr>
        <w:t xml:space="preserve"> </w:t>
      </w:r>
      <w:r>
        <w:rPr>
          <w:color w:val="231F20"/>
          <w:w w:val="95"/>
          <w:sz w:val="17"/>
        </w:rPr>
        <w:t>(2nd</w:t>
      </w:r>
      <w:r>
        <w:rPr>
          <w:color w:val="231F20"/>
          <w:spacing w:val="18"/>
          <w:sz w:val="17"/>
        </w:rPr>
        <w:t xml:space="preserve"> </w:t>
      </w:r>
      <w:r>
        <w:rPr>
          <w:color w:val="231F20"/>
          <w:w w:val="95"/>
          <w:sz w:val="17"/>
        </w:rPr>
        <w:t>edn).</w:t>
      </w:r>
      <w:r>
        <w:rPr>
          <w:color w:val="231F20"/>
          <w:spacing w:val="18"/>
          <w:sz w:val="17"/>
        </w:rPr>
        <w:t xml:space="preserve"> </w:t>
      </w:r>
      <w:r>
        <w:rPr>
          <w:color w:val="231F20"/>
          <w:w w:val="95"/>
          <w:sz w:val="17"/>
        </w:rPr>
        <w:t>London:</w:t>
      </w:r>
      <w:r>
        <w:rPr>
          <w:color w:val="231F20"/>
          <w:spacing w:val="18"/>
          <w:sz w:val="17"/>
        </w:rPr>
        <w:t xml:space="preserve"> </w:t>
      </w:r>
      <w:r>
        <w:rPr>
          <w:color w:val="231F20"/>
          <w:w w:val="95"/>
          <w:sz w:val="17"/>
        </w:rPr>
        <w:t>Pitman</w:t>
      </w:r>
      <w:r>
        <w:rPr>
          <w:color w:val="231F20"/>
          <w:spacing w:val="18"/>
          <w:sz w:val="17"/>
        </w:rPr>
        <w:t xml:space="preserve"> </w:t>
      </w:r>
      <w:r>
        <w:rPr>
          <w:color w:val="231F20"/>
          <w:spacing w:val="-2"/>
          <w:w w:val="95"/>
          <w:sz w:val="17"/>
        </w:rPr>
        <w:t>Publishing.</w:t>
      </w:r>
    </w:p>
    <w:p w14:paraId="47B93A9B" w14:textId="77777777" w:rsidR="00AE0598" w:rsidRDefault="0069255A">
      <w:pPr>
        <w:spacing w:before="1"/>
        <w:ind w:left="430" w:right="128" w:hanging="320"/>
        <w:jc w:val="both"/>
        <w:rPr>
          <w:sz w:val="17"/>
        </w:rPr>
      </w:pPr>
      <w:r>
        <w:rPr>
          <w:color w:val="231F20"/>
          <w:sz w:val="17"/>
        </w:rPr>
        <w:t>Butler,</w:t>
      </w:r>
      <w:r>
        <w:rPr>
          <w:color w:val="231F20"/>
          <w:spacing w:val="-1"/>
          <w:sz w:val="17"/>
        </w:rPr>
        <w:t xml:space="preserve"> </w:t>
      </w:r>
      <w:r>
        <w:rPr>
          <w:color w:val="231F20"/>
          <w:sz w:val="17"/>
        </w:rPr>
        <w:t>R.W.</w:t>
      </w:r>
      <w:r>
        <w:rPr>
          <w:color w:val="231F20"/>
          <w:spacing w:val="-1"/>
          <w:sz w:val="17"/>
        </w:rPr>
        <w:t xml:space="preserve"> </w:t>
      </w:r>
      <w:r>
        <w:rPr>
          <w:color w:val="231F20"/>
          <w:sz w:val="17"/>
        </w:rPr>
        <w:t>(1980)</w:t>
      </w:r>
      <w:r>
        <w:rPr>
          <w:color w:val="231F20"/>
          <w:spacing w:val="-1"/>
          <w:sz w:val="17"/>
        </w:rPr>
        <w:t xml:space="preserve"> </w:t>
      </w:r>
      <w:r>
        <w:rPr>
          <w:color w:val="231F20"/>
          <w:sz w:val="17"/>
        </w:rPr>
        <w:t>The</w:t>
      </w:r>
      <w:r>
        <w:rPr>
          <w:color w:val="231F20"/>
          <w:spacing w:val="-1"/>
          <w:sz w:val="17"/>
        </w:rPr>
        <w:t xml:space="preserve"> </w:t>
      </w:r>
      <w:r>
        <w:rPr>
          <w:color w:val="231F20"/>
          <w:sz w:val="17"/>
        </w:rPr>
        <w:t>concept</w:t>
      </w:r>
      <w:r>
        <w:rPr>
          <w:color w:val="231F20"/>
          <w:spacing w:val="-1"/>
          <w:sz w:val="17"/>
        </w:rPr>
        <w:t xml:space="preserve"> </w:t>
      </w:r>
      <w:r>
        <w:rPr>
          <w:color w:val="231F20"/>
          <w:sz w:val="17"/>
        </w:rPr>
        <w:t>of</w:t>
      </w:r>
      <w:r>
        <w:rPr>
          <w:color w:val="231F20"/>
          <w:spacing w:val="-1"/>
          <w:sz w:val="17"/>
        </w:rPr>
        <w:t xml:space="preserve"> </w:t>
      </w:r>
      <w:r>
        <w:rPr>
          <w:color w:val="231F20"/>
          <w:sz w:val="17"/>
        </w:rPr>
        <w:t>the</w:t>
      </w:r>
      <w:r>
        <w:rPr>
          <w:color w:val="231F20"/>
          <w:spacing w:val="-1"/>
          <w:sz w:val="17"/>
        </w:rPr>
        <w:t xml:space="preserve"> </w:t>
      </w:r>
      <w:r>
        <w:rPr>
          <w:color w:val="231F20"/>
          <w:sz w:val="17"/>
        </w:rPr>
        <w:t>tourist</w:t>
      </w:r>
      <w:r>
        <w:rPr>
          <w:color w:val="231F20"/>
          <w:spacing w:val="-1"/>
          <w:sz w:val="17"/>
        </w:rPr>
        <w:t xml:space="preserve"> </w:t>
      </w:r>
      <w:r>
        <w:rPr>
          <w:color w:val="231F20"/>
          <w:sz w:val="17"/>
        </w:rPr>
        <w:t>area</w:t>
      </w:r>
      <w:r>
        <w:rPr>
          <w:color w:val="231F20"/>
          <w:spacing w:val="-1"/>
          <w:sz w:val="17"/>
        </w:rPr>
        <w:t xml:space="preserve"> </w:t>
      </w:r>
      <w:r>
        <w:rPr>
          <w:color w:val="231F20"/>
          <w:sz w:val="17"/>
        </w:rPr>
        <w:t>lifecycle</w:t>
      </w:r>
      <w:r>
        <w:rPr>
          <w:color w:val="231F20"/>
          <w:spacing w:val="-1"/>
          <w:sz w:val="17"/>
        </w:rPr>
        <w:t xml:space="preserve"> </w:t>
      </w:r>
      <w:r>
        <w:rPr>
          <w:color w:val="231F20"/>
          <w:sz w:val="17"/>
        </w:rPr>
        <w:t>of</w:t>
      </w:r>
      <w:r>
        <w:rPr>
          <w:color w:val="231F20"/>
          <w:spacing w:val="-1"/>
          <w:sz w:val="17"/>
        </w:rPr>
        <w:t xml:space="preserve"> </w:t>
      </w:r>
      <w:r>
        <w:rPr>
          <w:color w:val="231F20"/>
          <w:sz w:val="17"/>
        </w:rPr>
        <w:t>evolution:</w:t>
      </w:r>
      <w:r>
        <w:rPr>
          <w:color w:val="231F20"/>
          <w:spacing w:val="-1"/>
          <w:sz w:val="17"/>
        </w:rPr>
        <w:t xml:space="preserve"> </w:t>
      </w:r>
      <w:r>
        <w:rPr>
          <w:color w:val="231F20"/>
          <w:sz w:val="17"/>
        </w:rPr>
        <w:t>Implications</w:t>
      </w:r>
      <w:r>
        <w:rPr>
          <w:color w:val="231F20"/>
          <w:spacing w:val="-1"/>
          <w:sz w:val="17"/>
        </w:rPr>
        <w:t xml:space="preserve"> </w:t>
      </w:r>
      <w:r>
        <w:rPr>
          <w:color w:val="231F20"/>
          <w:sz w:val="17"/>
        </w:rPr>
        <w:t>for</w:t>
      </w:r>
      <w:r>
        <w:rPr>
          <w:color w:val="231F20"/>
          <w:spacing w:val="40"/>
          <w:sz w:val="17"/>
        </w:rPr>
        <w:t xml:space="preserve"> </w:t>
      </w:r>
      <w:r>
        <w:rPr>
          <w:color w:val="231F20"/>
          <w:sz w:val="17"/>
        </w:rPr>
        <w:t xml:space="preserve">the management of resources. </w:t>
      </w:r>
      <w:r>
        <w:rPr>
          <w:i/>
          <w:color w:val="231F20"/>
          <w:sz w:val="17"/>
        </w:rPr>
        <w:t xml:space="preserve">Canadian Geographer </w:t>
      </w:r>
      <w:r>
        <w:rPr>
          <w:color w:val="231F20"/>
          <w:sz w:val="17"/>
        </w:rPr>
        <w:t>24 (1), 5–12.</w:t>
      </w:r>
    </w:p>
    <w:p w14:paraId="280A1D02" w14:textId="77777777" w:rsidR="00AE0598" w:rsidRDefault="0069255A">
      <w:pPr>
        <w:spacing w:before="1"/>
        <w:ind w:left="430" w:right="127" w:hanging="320"/>
        <w:jc w:val="both"/>
        <w:rPr>
          <w:sz w:val="17"/>
        </w:rPr>
      </w:pPr>
      <w:r>
        <w:rPr>
          <w:color w:val="231F20"/>
          <w:w w:val="105"/>
          <w:sz w:val="17"/>
        </w:rPr>
        <w:t>Butler, R.W. (1993) Tourism: An evolutionary perspective. In J.G. Nelson, R.W. Butler</w:t>
      </w:r>
      <w:r>
        <w:rPr>
          <w:color w:val="231F20"/>
          <w:spacing w:val="40"/>
          <w:w w:val="105"/>
          <w:sz w:val="17"/>
        </w:rPr>
        <w:t xml:space="preserve"> </w:t>
      </w:r>
      <w:r>
        <w:rPr>
          <w:color w:val="231F20"/>
          <w:w w:val="105"/>
          <w:sz w:val="17"/>
        </w:rPr>
        <w:t xml:space="preserve">and G. Wall (eds) </w:t>
      </w:r>
      <w:r>
        <w:rPr>
          <w:i/>
          <w:color w:val="231F20"/>
          <w:w w:val="105"/>
          <w:sz w:val="17"/>
        </w:rPr>
        <w:t>Tourism and Sustainable Development: Monitoring, Planning,</w:t>
      </w:r>
      <w:r>
        <w:rPr>
          <w:i/>
          <w:color w:val="231F20"/>
          <w:spacing w:val="40"/>
          <w:w w:val="105"/>
          <w:sz w:val="17"/>
        </w:rPr>
        <w:t xml:space="preserve"> </w:t>
      </w:r>
      <w:r>
        <w:rPr>
          <w:i/>
          <w:color w:val="231F20"/>
          <w:sz w:val="17"/>
        </w:rPr>
        <w:t>Ma</w:t>
      </w:r>
      <w:r>
        <w:rPr>
          <w:i/>
          <w:color w:val="231F20"/>
          <w:sz w:val="17"/>
        </w:rPr>
        <w:t xml:space="preserve">naging </w:t>
      </w:r>
      <w:r>
        <w:rPr>
          <w:color w:val="231F20"/>
          <w:sz w:val="17"/>
        </w:rPr>
        <w:t>(pp. 27–43). Waterloo, Canada: University of Waterloo – Department of</w:t>
      </w:r>
      <w:r>
        <w:rPr>
          <w:color w:val="231F20"/>
          <w:spacing w:val="40"/>
          <w:w w:val="105"/>
          <w:sz w:val="17"/>
        </w:rPr>
        <w:t xml:space="preserve"> </w:t>
      </w:r>
      <w:r>
        <w:rPr>
          <w:color w:val="231F20"/>
          <w:w w:val="105"/>
          <w:sz w:val="17"/>
        </w:rPr>
        <w:t>Geography</w:t>
      </w:r>
      <w:r>
        <w:rPr>
          <w:color w:val="231F20"/>
          <w:spacing w:val="-2"/>
          <w:w w:val="105"/>
          <w:sz w:val="17"/>
        </w:rPr>
        <w:t xml:space="preserve"> </w:t>
      </w:r>
      <w:r>
        <w:rPr>
          <w:color w:val="231F20"/>
          <w:w w:val="105"/>
          <w:sz w:val="17"/>
        </w:rPr>
        <w:t>Publication</w:t>
      </w:r>
      <w:r>
        <w:rPr>
          <w:color w:val="231F20"/>
          <w:spacing w:val="-2"/>
          <w:w w:val="105"/>
          <w:sz w:val="17"/>
        </w:rPr>
        <w:t xml:space="preserve"> </w:t>
      </w:r>
      <w:r>
        <w:rPr>
          <w:color w:val="231F20"/>
          <w:w w:val="105"/>
          <w:sz w:val="17"/>
        </w:rPr>
        <w:t>Series</w:t>
      </w:r>
      <w:r>
        <w:rPr>
          <w:color w:val="231F20"/>
          <w:spacing w:val="-2"/>
          <w:w w:val="105"/>
          <w:sz w:val="17"/>
        </w:rPr>
        <w:t xml:space="preserve"> </w:t>
      </w:r>
      <w:r>
        <w:rPr>
          <w:color w:val="231F20"/>
          <w:w w:val="105"/>
          <w:sz w:val="17"/>
        </w:rPr>
        <w:t>No.</w:t>
      </w:r>
      <w:r>
        <w:rPr>
          <w:color w:val="231F20"/>
          <w:spacing w:val="-2"/>
          <w:w w:val="105"/>
          <w:sz w:val="17"/>
        </w:rPr>
        <w:t xml:space="preserve"> </w:t>
      </w:r>
      <w:r>
        <w:rPr>
          <w:color w:val="231F20"/>
          <w:w w:val="105"/>
          <w:sz w:val="17"/>
        </w:rPr>
        <w:t>37.</w:t>
      </w:r>
    </w:p>
    <w:p w14:paraId="2707A142" w14:textId="77777777" w:rsidR="00AE0598" w:rsidRDefault="0069255A">
      <w:pPr>
        <w:spacing w:before="3"/>
        <w:ind w:left="110"/>
        <w:jc w:val="both"/>
        <w:rPr>
          <w:sz w:val="17"/>
        </w:rPr>
      </w:pPr>
      <w:r>
        <w:rPr>
          <w:color w:val="231F20"/>
          <w:sz w:val="17"/>
        </w:rPr>
        <w:t>Butler,</w:t>
      </w:r>
      <w:r>
        <w:rPr>
          <w:color w:val="231F20"/>
          <w:spacing w:val="29"/>
          <w:sz w:val="17"/>
        </w:rPr>
        <w:t xml:space="preserve"> </w:t>
      </w:r>
      <w:r>
        <w:rPr>
          <w:color w:val="231F20"/>
          <w:sz w:val="17"/>
        </w:rPr>
        <w:t>R.W.</w:t>
      </w:r>
      <w:r>
        <w:rPr>
          <w:color w:val="231F20"/>
          <w:spacing w:val="29"/>
          <w:sz w:val="17"/>
        </w:rPr>
        <w:t xml:space="preserve"> </w:t>
      </w:r>
      <w:r>
        <w:rPr>
          <w:color w:val="231F20"/>
          <w:sz w:val="17"/>
        </w:rPr>
        <w:t>(1994)</w:t>
      </w:r>
      <w:r>
        <w:rPr>
          <w:color w:val="231F20"/>
          <w:spacing w:val="30"/>
          <w:sz w:val="17"/>
        </w:rPr>
        <w:t xml:space="preserve"> </w:t>
      </w:r>
      <w:r>
        <w:rPr>
          <w:color w:val="231F20"/>
          <w:sz w:val="17"/>
        </w:rPr>
        <w:t>Seasonality</w:t>
      </w:r>
      <w:r>
        <w:rPr>
          <w:color w:val="231F20"/>
          <w:spacing w:val="29"/>
          <w:sz w:val="17"/>
        </w:rPr>
        <w:t xml:space="preserve"> </w:t>
      </w:r>
      <w:r>
        <w:rPr>
          <w:color w:val="231F20"/>
          <w:sz w:val="17"/>
        </w:rPr>
        <w:t>in</w:t>
      </w:r>
      <w:r>
        <w:rPr>
          <w:color w:val="231F20"/>
          <w:spacing w:val="29"/>
          <w:sz w:val="17"/>
        </w:rPr>
        <w:t xml:space="preserve"> </w:t>
      </w:r>
      <w:r>
        <w:rPr>
          <w:color w:val="231F20"/>
          <w:sz w:val="17"/>
        </w:rPr>
        <w:t>tourism:</w:t>
      </w:r>
      <w:r>
        <w:rPr>
          <w:color w:val="231F20"/>
          <w:spacing w:val="30"/>
          <w:sz w:val="17"/>
        </w:rPr>
        <w:t xml:space="preserve"> </w:t>
      </w:r>
      <w:r>
        <w:rPr>
          <w:color w:val="231F20"/>
          <w:sz w:val="17"/>
        </w:rPr>
        <w:t>Issues</w:t>
      </w:r>
      <w:r>
        <w:rPr>
          <w:color w:val="231F20"/>
          <w:spacing w:val="29"/>
          <w:sz w:val="17"/>
        </w:rPr>
        <w:t xml:space="preserve"> </w:t>
      </w:r>
      <w:r>
        <w:rPr>
          <w:color w:val="231F20"/>
          <w:sz w:val="17"/>
        </w:rPr>
        <w:t>and</w:t>
      </w:r>
      <w:r>
        <w:rPr>
          <w:color w:val="231F20"/>
          <w:spacing w:val="29"/>
          <w:sz w:val="17"/>
        </w:rPr>
        <w:t xml:space="preserve"> </w:t>
      </w:r>
      <w:r>
        <w:rPr>
          <w:color w:val="231F20"/>
          <w:sz w:val="17"/>
        </w:rPr>
        <w:t>problems.</w:t>
      </w:r>
      <w:r>
        <w:rPr>
          <w:color w:val="231F20"/>
          <w:spacing w:val="30"/>
          <w:sz w:val="17"/>
        </w:rPr>
        <w:t xml:space="preserve"> </w:t>
      </w:r>
      <w:r>
        <w:rPr>
          <w:color w:val="231F20"/>
          <w:sz w:val="17"/>
        </w:rPr>
        <w:t>In</w:t>
      </w:r>
      <w:r>
        <w:rPr>
          <w:color w:val="231F20"/>
          <w:spacing w:val="29"/>
          <w:sz w:val="17"/>
        </w:rPr>
        <w:t xml:space="preserve"> </w:t>
      </w:r>
      <w:r>
        <w:rPr>
          <w:color w:val="231F20"/>
          <w:sz w:val="17"/>
        </w:rPr>
        <w:t>A.V.</w:t>
      </w:r>
      <w:r>
        <w:rPr>
          <w:color w:val="231F20"/>
          <w:spacing w:val="30"/>
          <w:sz w:val="17"/>
        </w:rPr>
        <w:t xml:space="preserve"> </w:t>
      </w:r>
      <w:r>
        <w:rPr>
          <w:color w:val="231F20"/>
          <w:sz w:val="17"/>
        </w:rPr>
        <w:t>Seaton</w:t>
      </w:r>
      <w:r>
        <w:rPr>
          <w:color w:val="231F20"/>
          <w:spacing w:val="29"/>
          <w:sz w:val="17"/>
        </w:rPr>
        <w:t xml:space="preserve"> </w:t>
      </w:r>
      <w:r>
        <w:rPr>
          <w:color w:val="231F20"/>
          <w:spacing w:val="-2"/>
          <w:sz w:val="17"/>
        </w:rPr>
        <w:t>(ed.)</w:t>
      </w:r>
    </w:p>
    <w:p w14:paraId="6AC2180C" w14:textId="77777777" w:rsidR="00AE0598" w:rsidRDefault="0069255A">
      <w:pPr>
        <w:ind w:left="430"/>
        <w:jc w:val="both"/>
        <w:rPr>
          <w:sz w:val="17"/>
        </w:rPr>
      </w:pPr>
      <w:r>
        <w:rPr>
          <w:i/>
          <w:color w:val="231F20"/>
          <w:sz w:val="17"/>
        </w:rPr>
        <w:t>Tourism:</w:t>
      </w:r>
      <w:r>
        <w:rPr>
          <w:i/>
          <w:color w:val="231F20"/>
          <w:spacing w:val="-1"/>
          <w:sz w:val="17"/>
        </w:rPr>
        <w:t xml:space="preserve"> </w:t>
      </w:r>
      <w:r>
        <w:rPr>
          <w:i/>
          <w:color w:val="231F20"/>
          <w:sz w:val="17"/>
        </w:rPr>
        <w:t>The</w:t>
      </w:r>
      <w:r>
        <w:rPr>
          <w:i/>
          <w:color w:val="231F20"/>
          <w:spacing w:val="-1"/>
          <w:sz w:val="17"/>
        </w:rPr>
        <w:t xml:space="preserve"> </w:t>
      </w:r>
      <w:r>
        <w:rPr>
          <w:i/>
          <w:color w:val="231F20"/>
          <w:sz w:val="17"/>
        </w:rPr>
        <w:t>State</w:t>
      </w:r>
      <w:r>
        <w:rPr>
          <w:i/>
          <w:color w:val="231F20"/>
          <w:spacing w:val="-1"/>
          <w:sz w:val="17"/>
        </w:rPr>
        <w:t xml:space="preserve"> </w:t>
      </w:r>
      <w:r>
        <w:rPr>
          <w:i/>
          <w:color w:val="231F20"/>
          <w:sz w:val="17"/>
        </w:rPr>
        <w:t>of the</w:t>
      </w:r>
      <w:r>
        <w:rPr>
          <w:i/>
          <w:color w:val="231F20"/>
          <w:spacing w:val="-1"/>
          <w:sz w:val="17"/>
        </w:rPr>
        <w:t xml:space="preserve"> </w:t>
      </w:r>
      <w:r>
        <w:rPr>
          <w:i/>
          <w:color w:val="231F20"/>
          <w:sz w:val="17"/>
        </w:rPr>
        <w:t>Art</w:t>
      </w:r>
      <w:r>
        <w:rPr>
          <w:i/>
          <w:color w:val="231F20"/>
          <w:spacing w:val="-1"/>
          <w:sz w:val="17"/>
        </w:rPr>
        <w:t xml:space="preserve"> </w:t>
      </w:r>
      <w:r>
        <w:rPr>
          <w:color w:val="231F20"/>
          <w:sz w:val="17"/>
        </w:rPr>
        <w:t>(pp.</w:t>
      </w:r>
      <w:r>
        <w:rPr>
          <w:color w:val="231F20"/>
          <w:spacing w:val="-1"/>
          <w:sz w:val="17"/>
        </w:rPr>
        <w:t xml:space="preserve"> </w:t>
      </w:r>
      <w:r>
        <w:rPr>
          <w:color w:val="231F20"/>
          <w:sz w:val="17"/>
        </w:rPr>
        <w:t>332–339). Chichester:</w:t>
      </w:r>
      <w:r>
        <w:rPr>
          <w:color w:val="231F20"/>
          <w:spacing w:val="-1"/>
          <w:sz w:val="17"/>
        </w:rPr>
        <w:t xml:space="preserve"> </w:t>
      </w:r>
      <w:r>
        <w:rPr>
          <w:color w:val="231F20"/>
          <w:sz w:val="17"/>
        </w:rPr>
        <w:t>John</w:t>
      </w:r>
      <w:r>
        <w:rPr>
          <w:color w:val="231F20"/>
          <w:spacing w:val="-1"/>
          <w:sz w:val="17"/>
        </w:rPr>
        <w:t xml:space="preserve"> </w:t>
      </w:r>
      <w:r>
        <w:rPr>
          <w:color w:val="231F20"/>
          <w:sz w:val="17"/>
        </w:rPr>
        <w:t>Wiley</w:t>
      </w:r>
      <w:r>
        <w:rPr>
          <w:color w:val="231F20"/>
          <w:spacing w:val="-1"/>
          <w:sz w:val="17"/>
        </w:rPr>
        <w:t xml:space="preserve"> </w:t>
      </w:r>
      <w:r>
        <w:rPr>
          <w:color w:val="231F20"/>
          <w:sz w:val="17"/>
        </w:rPr>
        <w:t xml:space="preserve">and </w:t>
      </w:r>
      <w:r>
        <w:rPr>
          <w:color w:val="231F20"/>
          <w:spacing w:val="-2"/>
          <w:sz w:val="17"/>
        </w:rPr>
        <w:t>Sons.</w:t>
      </w:r>
    </w:p>
    <w:p w14:paraId="3321719B" w14:textId="77777777" w:rsidR="00AE0598" w:rsidRDefault="0069255A">
      <w:pPr>
        <w:spacing w:before="1"/>
        <w:ind w:left="430" w:right="129" w:hanging="320"/>
        <w:jc w:val="both"/>
        <w:rPr>
          <w:sz w:val="17"/>
        </w:rPr>
      </w:pPr>
      <w:r>
        <w:rPr>
          <w:color w:val="231F20"/>
          <w:w w:val="95"/>
          <w:sz w:val="17"/>
        </w:rPr>
        <w:t>Butler,</w:t>
      </w:r>
      <w:r>
        <w:rPr>
          <w:color w:val="231F20"/>
          <w:spacing w:val="16"/>
          <w:sz w:val="17"/>
        </w:rPr>
        <w:t xml:space="preserve"> </w:t>
      </w:r>
      <w:r>
        <w:rPr>
          <w:color w:val="231F20"/>
          <w:w w:val="95"/>
          <w:sz w:val="17"/>
        </w:rPr>
        <w:t>R.W.</w:t>
      </w:r>
      <w:r>
        <w:rPr>
          <w:color w:val="231F20"/>
          <w:spacing w:val="16"/>
          <w:sz w:val="17"/>
        </w:rPr>
        <w:t xml:space="preserve"> </w:t>
      </w:r>
      <w:r>
        <w:rPr>
          <w:color w:val="231F20"/>
          <w:w w:val="95"/>
          <w:sz w:val="17"/>
        </w:rPr>
        <w:t>(1996)</w:t>
      </w:r>
      <w:r>
        <w:rPr>
          <w:color w:val="231F20"/>
          <w:spacing w:val="16"/>
          <w:sz w:val="17"/>
        </w:rPr>
        <w:t xml:space="preserve"> </w:t>
      </w:r>
      <w:r>
        <w:rPr>
          <w:color w:val="231F20"/>
          <w:w w:val="95"/>
          <w:sz w:val="17"/>
        </w:rPr>
        <w:t>The</w:t>
      </w:r>
      <w:r>
        <w:rPr>
          <w:color w:val="231F20"/>
          <w:spacing w:val="16"/>
          <w:sz w:val="17"/>
        </w:rPr>
        <w:t xml:space="preserve"> </w:t>
      </w:r>
      <w:r>
        <w:rPr>
          <w:color w:val="231F20"/>
          <w:w w:val="95"/>
          <w:sz w:val="17"/>
        </w:rPr>
        <w:t>role</w:t>
      </w:r>
      <w:r>
        <w:rPr>
          <w:color w:val="231F20"/>
          <w:spacing w:val="16"/>
          <w:sz w:val="17"/>
        </w:rPr>
        <w:t xml:space="preserve"> </w:t>
      </w:r>
      <w:r>
        <w:rPr>
          <w:color w:val="231F20"/>
          <w:w w:val="95"/>
          <w:sz w:val="17"/>
        </w:rPr>
        <w:t>of</w:t>
      </w:r>
      <w:r>
        <w:rPr>
          <w:color w:val="231F20"/>
          <w:spacing w:val="16"/>
          <w:sz w:val="17"/>
        </w:rPr>
        <w:t xml:space="preserve"> </w:t>
      </w:r>
      <w:r>
        <w:rPr>
          <w:color w:val="231F20"/>
          <w:w w:val="95"/>
          <w:sz w:val="17"/>
        </w:rPr>
        <w:t>tourism</w:t>
      </w:r>
      <w:r>
        <w:rPr>
          <w:color w:val="231F20"/>
          <w:spacing w:val="16"/>
          <w:sz w:val="17"/>
        </w:rPr>
        <w:t xml:space="preserve"> </w:t>
      </w:r>
      <w:r>
        <w:rPr>
          <w:color w:val="231F20"/>
          <w:w w:val="95"/>
          <w:sz w:val="17"/>
        </w:rPr>
        <w:t>in</w:t>
      </w:r>
      <w:r>
        <w:rPr>
          <w:color w:val="231F20"/>
          <w:spacing w:val="16"/>
          <w:sz w:val="17"/>
        </w:rPr>
        <w:t xml:space="preserve"> </w:t>
      </w:r>
      <w:r>
        <w:rPr>
          <w:color w:val="231F20"/>
          <w:w w:val="95"/>
          <w:sz w:val="17"/>
        </w:rPr>
        <w:t>cultural</w:t>
      </w:r>
      <w:r>
        <w:rPr>
          <w:color w:val="231F20"/>
          <w:spacing w:val="16"/>
          <w:sz w:val="17"/>
        </w:rPr>
        <w:t xml:space="preserve"> </w:t>
      </w:r>
      <w:r>
        <w:rPr>
          <w:color w:val="231F20"/>
          <w:w w:val="95"/>
          <w:sz w:val="17"/>
        </w:rPr>
        <w:t>transformation</w:t>
      </w:r>
      <w:r>
        <w:rPr>
          <w:color w:val="231F20"/>
          <w:spacing w:val="16"/>
          <w:sz w:val="17"/>
        </w:rPr>
        <w:t xml:space="preserve"> </w:t>
      </w:r>
      <w:r>
        <w:rPr>
          <w:color w:val="231F20"/>
          <w:w w:val="95"/>
          <w:sz w:val="17"/>
        </w:rPr>
        <w:t>in</w:t>
      </w:r>
      <w:r>
        <w:rPr>
          <w:color w:val="231F20"/>
          <w:spacing w:val="16"/>
          <w:sz w:val="17"/>
        </w:rPr>
        <w:t xml:space="preserve"> </w:t>
      </w:r>
      <w:r>
        <w:rPr>
          <w:color w:val="231F20"/>
          <w:w w:val="95"/>
          <w:sz w:val="17"/>
        </w:rPr>
        <w:t>developing</w:t>
      </w:r>
      <w:r>
        <w:rPr>
          <w:color w:val="231F20"/>
          <w:spacing w:val="16"/>
          <w:sz w:val="17"/>
        </w:rPr>
        <w:t xml:space="preserve"> </w:t>
      </w:r>
      <w:r>
        <w:rPr>
          <w:color w:val="231F20"/>
          <w:w w:val="95"/>
          <w:sz w:val="17"/>
        </w:rPr>
        <w:t>countries.</w:t>
      </w:r>
      <w:r>
        <w:rPr>
          <w:color w:val="231F20"/>
          <w:spacing w:val="40"/>
          <w:sz w:val="17"/>
        </w:rPr>
        <w:t xml:space="preserve"> </w:t>
      </w:r>
      <w:r>
        <w:rPr>
          <w:color w:val="231F20"/>
          <w:sz w:val="17"/>
        </w:rPr>
        <w:t xml:space="preserve">In W. Nuryanti (ed.) </w:t>
      </w:r>
      <w:r>
        <w:rPr>
          <w:i/>
          <w:color w:val="231F20"/>
          <w:sz w:val="17"/>
        </w:rPr>
        <w:t xml:space="preserve">Tourism and Culture: Global Civilization in Change </w:t>
      </w:r>
      <w:r>
        <w:rPr>
          <w:color w:val="231F20"/>
          <w:sz w:val="17"/>
        </w:rPr>
        <w:t>(pp. 91–101).</w:t>
      </w:r>
      <w:r>
        <w:rPr>
          <w:color w:val="231F20"/>
          <w:spacing w:val="40"/>
          <w:sz w:val="17"/>
        </w:rPr>
        <w:t xml:space="preserve"> </w:t>
      </w:r>
      <w:r>
        <w:rPr>
          <w:color w:val="231F20"/>
          <w:sz w:val="17"/>
        </w:rPr>
        <w:t>Yogyakarta: Gadjah Mada University Press.</w:t>
      </w:r>
    </w:p>
    <w:p w14:paraId="25101AB5" w14:textId="77777777" w:rsidR="00AE0598" w:rsidRDefault="0069255A">
      <w:pPr>
        <w:spacing w:before="2"/>
        <w:ind w:left="430" w:right="128" w:hanging="320"/>
        <w:jc w:val="both"/>
        <w:rPr>
          <w:sz w:val="17"/>
        </w:rPr>
      </w:pPr>
      <w:r>
        <w:rPr>
          <w:color w:val="231F20"/>
          <w:sz w:val="17"/>
        </w:rPr>
        <w:t>Butler, R.W. (2001) Seasonality in tourism: Issues and implications. In T. Baum and S.</w:t>
      </w:r>
      <w:r>
        <w:rPr>
          <w:color w:val="231F20"/>
          <w:spacing w:val="40"/>
          <w:sz w:val="17"/>
        </w:rPr>
        <w:t xml:space="preserve"> </w:t>
      </w:r>
      <w:r>
        <w:rPr>
          <w:color w:val="231F20"/>
          <w:sz w:val="17"/>
        </w:rPr>
        <w:t xml:space="preserve">Lundtorp (eds) </w:t>
      </w:r>
      <w:r>
        <w:rPr>
          <w:i/>
          <w:color w:val="231F20"/>
          <w:sz w:val="17"/>
        </w:rPr>
        <w:t xml:space="preserve">Seasonality in Tourism </w:t>
      </w:r>
      <w:r>
        <w:rPr>
          <w:color w:val="231F20"/>
          <w:sz w:val="17"/>
        </w:rPr>
        <w:t>(pp. 5–23). London: Perg</w:t>
      </w:r>
      <w:r>
        <w:rPr>
          <w:color w:val="231F20"/>
          <w:sz w:val="17"/>
        </w:rPr>
        <w:t>amon.</w:t>
      </w:r>
    </w:p>
    <w:p w14:paraId="75DD4B98" w14:textId="77777777" w:rsidR="00AE0598" w:rsidRDefault="0069255A">
      <w:pPr>
        <w:spacing w:before="2"/>
        <w:ind w:left="110"/>
        <w:jc w:val="both"/>
        <w:rPr>
          <w:i/>
          <w:sz w:val="17"/>
        </w:rPr>
      </w:pPr>
      <w:r>
        <w:rPr>
          <w:color w:val="231F20"/>
          <w:sz w:val="17"/>
        </w:rPr>
        <w:t>Butler,</w:t>
      </w:r>
      <w:r>
        <w:rPr>
          <w:color w:val="231F20"/>
          <w:spacing w:val="-8"/>
          <w:sz w:val="17"/>
        </w:rPr>
        <w:t xml:space="preserve"> </w:t>
      </w:r>
      <w:r>
        <w:rPr>
          <w:color w:val="231F20"/>
          <w:sz w:val="17"/>
        </w:rPr>
        <w:t>R.W.</w:t>
      </w:r>
      <w:r>
        <w:rPr>
          <w:color w:val="231F20"/>
          <w:spacing w:val="-8"/>
          <w:sz w:val="17"/>
        </w:rPr>
        <w:t xml:space="preserve"> </w:t>
      </w:r>
      <w:r>
        <w:rPr>
          <w:color w:val="231F20"/>
          <w:sz w:val="17"/>
        </w:rPr>
        <w:t>(ed.)</w:t>
      </w:r>
      <w:r>
        <w:rPr>
          <w:color w:val="231F20"/>
          <w:spacing w:val="-7"/>
          <w:sz w:val="17"/>
        </w:rPr>
        <w:t xml:space="preserve"> </w:t>
      </w:r>
      <w:r>
        <w:rPr>
          <w:color w:val="231F20"/>
          <w:sz w:val="17"/>
        </w:rPr>
        <w:t>(2006)</w:t>
      </w:r>
      <w:r>
        <w:rPr>
          <w:color w:val="231F20"/>
          <w:spacing w:val="-8"/>
          <w:sz w:val="17"/>
        </w:rPr>
        <w:t xml:space="preserve"> </w:t>
      </w:r>
      <w:r>
        <w:rPr>
          <w:i/>
          <w:color w:val="231F20"/>
          <w:sz w:val="17"/>
        </w:rPr>
        <w:t>The</w:t>
      </w:r>
      <w:r>
        <w:rPr>
          <w:i/>
          <w:color w:val="231F20"/>
          <w:spacing w:val="-7"/>
          <w:sz w:val="17"/>
        </w:rPr>
        <w:t xml:space="preserve"> </w:t>
      </w:r>
      <w:r>
        <w:rPr>
          <w:i/>
          <w:color w:val="231F20"/>
          <w:sz w:val="17"/>
        </w:rPr>
        <w:t>Tourist</w:t>
      </w:r>
      <w:r>
        <w:rPr>
          <w:i/>
          <w:color w:val="231F20"/>
          <w:spacing w:val="-8"/>
          <w:sz w:val="17"/>
        </w:rPr>
        <w:t xml:space="preserve"> </w:t>
      </w:r>
      <w:r>
        <w:rPr>
          <w:i/>
          <w:color w:val="231F20"/>
          <w:sz w:val="17"/>
        </w:rPr>
        <w:t>Area</w:t>
      </w:r>
      <w:r>
        <w:rPr>
          <w:i/>
          <w:color w:val="231F20"/>
          <w:spacing w:val="-8"/>
          <w:sz w:val="17"/>
        </w:rPr>
        <w:t xml:space="preserve"> </w:t>
      </w:r>
      <w:r>
        <w:rPr>
          <w:i/>
          <w:color w:val="231F20"/>
          <w:sz w:val="17"/>
        </w:rPr>
        <w:t>Life</w:t>
      </w:r>
      <w:r>
        <w:rPr>
          <w:i/>
          <w:color w:val="231F20"/>
          <w:spacing w:val="-7"/>
          <w:sz w:val="17"/>
        </w:rPr>
        <w:t xml:space="preserve"> </w:t>
      </w:r>
      <w:r>
        <w:rPr>
          <w:i/>
          <w:color w:val="231F20"/>
          <w:sz w:val="17"/>
        </w:rPr>
        <w:t>Cycle:</w:t>
      </w:r>
      <w:r>
        <w:rPr>
          <w:i/>
          <w:color w:val="231F20"/>
          <w:spacing w:val="-8"/>
          <w:sz w:val="17"/>
        </w:rPr>
        <w:t xml:space="preserve"> </w:t>
      </w:r>
      <w:r>
        <w:rPr>
          <w:i/>
          <w:color w:val="231F20"/>
          <w:sz w:val="17"/>
        </w:rPr>
        <w:t>Vol.</w:t>
      </w:r>
      <w:r>
        <w:rPr>
          <w:i/>
          <w:color w:val="231F20"/>
          <w:spacing w:val="-7"/>
          <w:sz w:val="17"/>
        </w:rPr>
        <w:t xml:space="preserve"> </w:t>
      </w:r>
      <w:r>
        <w:rPr>
          <w:i/>
          <w:color w:val="231F20"/>
          <w:sz w:val="17"/>
        </w:rPr>
        <w:t>1</w:t>
      </w:r>
      <w:r>
        <w:rPr>
          <w:i/>
          <w:color w:val="231F20"/>
          <w:spacing w:val="-8"/>
          <w:sz w:val="17"/>
        </w:rPr>
        <w:t xml:space="preserve"> </w:t>
      </w:r>
      <w:r>
        <w:rPr>
          <w:i/>
          <w:color w:val="231F20"/>
          <w:sz w:val="17"/>
        </w:rPr>
        <w:t>Applications</w:t>
      </w:r>
      <w:r>
        <w:rPr>
          <w:i/>
          <w:color w:val="231F20"/>
          <w:spacing w:val="-8"/>
          <w:sz w:val="17"/>
        </w:rPr>
        <w:t xml:space="preserve"> </w:t>
      </w:r>
      <w:r>
        <w:rPr>
          <w:i/>
          <w:color w:val="231F20"/>
          <w:sz w:val="17"/>
        </w:rPr>
        <w:t>and</w:t>
      </w:r>
      <w:r>
        <w:rPr>
          <w:i/>
          <w:color w:val="231F20"/>
          <w:spacing w:val="-7"/>
          <w:sz w:val="17"/>
        </w:rPr>
        <w:t xml:space="preserve"> </w:t>
      </w:r>
      <w:r>
        <w:rPr>
          <w:i/>
          <w:color w:val="231F20"/>
          <w:spacing w:val="-2"/>
          <w:sz w:val="17"/>
        </w:rPr>
        <w:t>Modifications.</w:t>
      </w:r>
    </w:p>
    <w:p w14:paraId="45AA0F1D" w14:textId="77777777" w:rsidR="00AE0598" w:rsidRDefault="0069255A">
      <w:pPr>
        <w:ind w:left="430"/>
        <w:jc w:val="both"/>
        <w:rPr>
          <w:sz w:val="17"/>
        </w:rPr>
      </w:pPr>
      <w:r>
        <w:rPr>
          <w:color w:val="231F20"/>
          <w:sz w:val="17"/>
        </w:rPr>
        <w:t>Clevedon:</w:t>
      </w:r>
      <w:r>
        <w:rPr>
          <w:color w:val="231F20"/>
          <w:spacing w:val="3"/>
          <w:sz w:val="17"/>
        </w:rPr>
        <w:t xml:space="preserve"> </w:t>
      </w:r>
      <w:r>
        <w:rPr>
          <w:color w:val="231F20"/>
          <w:sz w:val="17"/>
        </w:rPr>
        <w:t>Channel</w:t>
      </w:r>
      <w:r>
        <w:rPr>
          <w:color w:val="231F20"/>
          <w:spacing w:val="4"/>
          <w:sz w:val="17"/>
        </w:rPr>
        <w:t xml:space="preserve"> </w:t>
      </w:r>
      <w:r>
        <w:rPr>
          <w:color w:val="231F20"/>
          <w:sz w:val="17"/>
        </w:rPr>
        <w:t>View</w:t>
      </w:r>
      <w:r>
        <w:rPr>
          <w:color w:val="231F20"/>
          <w:spacing w:val="4"/>
          <w:sz w:val="17"/>
        </w:rPr>
        <w:t xml:space="preserve"> </w:t>
      </w:r>
      <w:r>
        <w:rPr>
          <w:color w:val="231F20"/>
          <w:spacing w:val="-2"/>
          <w:sz w:val="17"/>
        </w:rPr>
        <w:t>Publications.</w:t>
      </w:r>
    </w:p>
    <w:p w14:paraId="28129FFB" w14:textId="77777777" w:rsidR="00AE0598" w:rsidRDefault="00AE0598">
      <w:pPr>
        <w:jc w:val="both"/>
        <w:rPr>
          <w:sz w:val="17"/>
        </w:rPr>
        <w:sectPr w:rsidR="00AE0598">
          <w:pgSz w:w="8850" w:h="13270"/>
          <w:pgMar w:top="720" w:right="1060" w:bottom="280" w:left="1080" w:header="720" w:footer="720" w:gutter="0"/>
          <w:cols w:space="720"/>
        </w:sectPr>
      </w:pPr>
    </w:p>
    <w:p w14:paraId="6D902EDB" w14:textId="77777777" w:rsidR="00AE0598" w:rsidRDefault="0069255A">
      <w:pPr>
        <w:spacing w:before="87"/>
        <w:ind w:left="108"/>
        <w:rPr>
          <w:rFonts w:ascii="Trebuchet MS"/>
          <w:sz w:val="14"/>
        </w:rPr>
      </w:pPr>
      <w:r>
        <w:rPr>
          <w:rFonts w:ascii="Trebuchet MS"/>
          <w:color w:val="231F20"/>
          <w:w w:val="105"/>
          <w:sz w:val="14"/>
        </w:rPr>
        <w:lastRenderedPageBreak/>
        <w:t>242</w:t>
      </w:r>
      <w:r>
        <w:rPr>
          <w:rFonts w:ascii="Trebuchet MS"/>
          <w:color w:val="231F20"/>
          <w:spacing w:val="78"/>
          <w:w w:val="150"/>
          <w:sz w:val="14"/>
        </w:rPr>
        <w:t xml:space="preserve"> </w:t>
      </w:r>
      <w:r>
        <w:rPr>
          <w:rFonts w:ascii="Trebuchet MS"/>
          <w:color w:val="231F20"/>
          <w:spacing w:val="-2"/>
          <w:w w:val="105"/>
          <w:sz w:val="14"/>
        </w:rPr>
        <w:t>References</w:t>
      </w:r>
    </w:p>
    <w:p w14:paraId="4F627D1F" w14:textId="77777777" w:rsidR="00AE0598" w:rsidRDefault="00AE0598">
      <w:pPr>
        <w:pStyle w:val="Corpodetexto"/>
        <w:rPr>
          <w:rFonts w:ascii="Trebuchet MS"/>
          <w:sz w:val="16"/>
        </w:rPr>
      </w:pPr>
    </w:p>
    <w:p w14:paraId="1066E7F4" w14:textId="77777777" w:rsidR="00AE0598" w:rsidRDefault="0069255A">
      <w:pPr>
        <w:spacing w:before="121"/>
        <w:ind w:left="430" w:right="128" w:hanging="320"/>
        <w:jc w:val="both"/>
        <w:rPr>
          <w:sz w:val="17"/>
        </w:rPr>
      </w:pPr>
      <w:r>
        <w:rPr>
          <w:color w:val="231F20"/>
          <w:w w:val="95"/>
          <w:sz w:val="17"/>
        </w:rPr>
        <w:t>Butler, R.W. and Mao, B. (1996) Seasonality in tourism: Problems and measurement. In P.E.</w:t>
      </w:r>
      <w:r>
        <w:rPr>
          <w:color w:val="231F20"/>
          <w:spacing w:val="40"/>
          <w:sz w:val="17"/>
        </w:rPr>
        <w:t xml:space="preserve"> </w:t>
      </w:r>
      <w:r>
        <w:rPr>
          <w:color w:val="231F20"/>
          <w:sz w:val="17"/>
        </w:rPr>
        <w:t xml:space="preserve">Murphy (ed.) </w:t>
      </w:r>
      <w:r>
        <w:rPr>
          <w:i/>
          <w:color w:val="231F20"/>
          <w:sz w:val="17"/>
        </w:rPr>
        <w:t xml:space="preserve">Quality Management in Urban Tourism </w:t>
      </w:r>
      <w:r>
        <w:rPr>
          <w:color w:val="231F20"/>
          <w:sz w:val="17"/>
        </w:rPr>
        <w:t>(pp. 9–23). Chichester: John</w:t>
      </w:r>
      <w:r>
        <w:rPr>
          <w:color w:val="231F20"/>
          <w:spacing w:val="40"/>
          <w:sz w:val="17"/>
        </w:rPr>
        <w:t xml:space="preserve"> </w:t>
      </w:r>
      <w:r>
        <w:rPr>
          <w:color w:val="231F20"/>
          <w:sz w:val="17"/>
        </w:rPr>
        <w:t>Wiley and Sons.</w:t>
      </w:r>
    </w:p>
    <w:p w14:paraId="56DD3F60" w14:textId="77777777" w:rsidR="00AE0598" w:rsidRDefault="0069255A">
      <w:pPr>
        <w:spacing w:before="2"/>
        <w:ind w:left="430" w:right="127" w:hanging="320"/>
        <w:jc w:val="both"/>
        <w:rPr>
          <w:sz w:val="17"/>
        </w:rPr>
      </w:pPr>
      <w:r>
        <w:rPr>
          <w:color w:val="231F20"/>
          <w:sz w:val="17"/>
        </w:rPr>
        <w:t xml:space="preserve">Butler, R.W. and Boyd, S.W. (eds) (2000) </w:t>
      </w:r>
      <w:r>
        <w:rPr>
          <w:i/>
          <w:color w:val="231F20"/>
          <w:sz w:val="17"/>
        </w:rPr>
        <w:t>Tourism and National Parks: Iss</w:t>
      </w:r>
      <w:r>
        <w:rPr>
          <w:i/>
          <w:color w:val="231F20"/>
          <w:sz w:val="17"/>
        </w:rPr>
        <w:t>ues and</w:t>
      </w:r>
      <w:r>
        <w:rPr>
          <w:i/>
          <w:color w:val="231F20"/>
          <w:spacing w:val="40"/>
          <w:sz w:val="17"/>
        </w:rPr>
        <w:t xml:space="preserve"> </w:t>
      </w:r>
      <w:r>
        <w:rPr>
          <w:i/>
          <w:color w:val="231F20"/>
          <w:sz w:val="17"/>
        </w:rPr>
        <w:t>Implications</w:t>
      </w:r>
      <w:r>
        <w:rPr>
          <w:color w:val="231F20"/>
          <w:sz w:val="17"/>
        </w:rPr>
        <w:t>. Chichester: John Wiley and Sons Ltd.</w:t>
      </w:r>
    </w:p>
    <w:p w14:paraId="00D52783" w14:textId="77777777" w:rsidR="00AE0598" w:rsidRDefault="0069255A">
      <w:pPr>
        <w:spacing w:before="1"/>
        <w:ind w:left="430" w:right="128" w:hanging="320"/>
        <w:jc w:val="both"/>
        <w:rPr>
          <w:sz w:val="17"/>
        </w:rPr>
      </w:pPr>
      <w:r>
        <w:rPr>
          <w:color w:val="231F20"/>
          <w:sz w:val="17"/>
        </w:rPr>
        <w:t xml:space="preserve">Campelo, </w:t>
      </w:r>
      <w:r>
        <w:rPr>
          <w:color w:val="231F20"/>
          <w:w w:val="110"/>
          <w:sz w:val="17"/>
        </w:rPr>
        <w:t xml:space="preserve">A., </w:t>
      </w:r>
      <w:r>
        <w:rPr>
          <w:color w:val="231F20"/>
          <w:sz w:val="17"/>
        </w:rPr>
        <w:t xml:space="preserve">Aitken, </w:t>
      </w:r>
      <w:r>
        <w:rPr>
          <w:color w:val="231F20"/>
          <w:w w:val="110"/>
          <w:sz w:val="17"/>
        </w:rPr>
        <w:t xml:space="preserve">R., </w:t>
      </w:r>
      <w:r>
        <w:rPr>
          <w:color w:val="231F20"/>
          <w:sz w:val="17"/>
        </w:rPr>
        <w:t xml:space="preserve">Thyne, </w:t>
      </w:r>
      <w:r>
        <w:rPr>
          <w:color w:val="231F20"/>
          <w:w w:val="110"/>
          <w:sz w:val="17"/>
        </w:rPr>
        <w:t xml:space="preserve">M. </w:t>
      </w:r>
      <w:r>
        <w:rPr>
          <w:color w:val="231F20"/>
          <w:sz w:val="17"/>
        </w:rPr>
        <w:t xml:space="preserve">and Gnoth, </w:t>
      </w:r>
      <w:r>
        <w:rPr>
          <w:color w:val="231F20"/>
          <w:w w:val="110"/>
          <w:sz w:val="17"/>
        </w:rPr>
        <w:t xml:space="preserve">J. </w:t>
      </w:r>
      <w:r>
        <w:rPr>
          <w:color w:val="231F20"/>
          <w:sz w:val="17"/>
        </w:rPr>
        <w:t>(2013) Sense of place: The importance</w:t>
      </w:r>
      <w:r>
        <w:rPr>
          <w:color w:val="231F20"/>
          <w:spacing w:val="40"/>
          <w:sz w:val="17"/>
        </w:rPr>
        <w:t xml:space="preserve"> </w:t>
      </w:r>
      <w:r>
        <w:rPr>
          <w:color w:val="231F20"/>
          <w:sz w:val="17"/>
        </w:rPr>
        <w:t xml:space="preserve">for destination branding. </w:t>
      </w:r>
      <w:r>
        <w:rPr>
          <w:i/>
          <w:color w:val="231F20"/>
          <w:sz w:val="17"/>
        </w:rPr>
        <w:t xml:space="preserve">Journal of Travel Research </w:t>
      </w:r>
      <w:r>
        <w:rPr>
          <w:color w:val="231F20"/>
          <w:sz w:val="17"/>
        </w:rPr>
        <w:t>53 (2), 154–166.</w:t>
      </w:r>
    </w:p>
    <w:p w14:paraId="0C5973B5" w14:textId="77777777" w:rsidR="00AE0598" w:rsidRDefault="0069255A">
      <w:pPr>
        <w:spacing w:before="2"/>
        <w:ind w:left="430" w:right="128" w:hanging="320"/>
        <w:jc w:val="both"/>
        <w:rPr>
          <w:sz w:val="17"/>
        </w:rPr>
      </w:pPr>
      <w:r>
        <w:rPr>
          <w:color w:val="231F20"/>
          <w:sz w:val="17"/>
        </w:rPr>
        <w:t xml:space="preserve">Camy, </w:t>
      </w:r>
      <w:r>
        <w:rPr>
          <w:color w:val="231F20"/>
          <w:w w:val="105"/>
          <w:sz w:val="17"/>
        </w:rPr>
        <w:t xml:space="preserve">J., </w:t>
      </w:r>
      <w:r>
        <w:rPr>
          <w:color w:val="231F20"/>
          <w:sz w:val="17"/>
        </w:rPr>
        <w:t>Adamkiewics, E. and Chantelat,</w:t>
      </w:r>
      <w:r>
        <w:rPr>
          <w:color w:val="231F20"/>
          <w:sz w:val="17"/>
        </w:rPr>
        <w:t xml:space="preserve"> P. (1993) Sporting uses of the city: Urban</w:t>
      </w:r>
      <w:r>
        <w:rPr>
          <w:color w:val="231F20"/>
          <w:spacing w:val="40"/>
          <w:sz w:val="17"/>
        </w:rPr>
        <w:t xml:space="preserve"> </w:t>
      </w:r>
      <w:r>
        <w:rPr>
          <w:color w:val="231F20"/>
          <w:w w:val="95"/>
          <w:sz w:val="17"/>
        </w:rPr>
        <w:t xml:space="preserve">anthropology applied to the sports practices in the agglomeration of Lyon. </w:t>
      </w:r>
      <w:r>
        <w:rPr>
          <w:i/>
          <w:color w:val="231F20"/>
          <w:w w:val="95"/>
          <w:sz w:val="17"/>
        </w:rPr>
        <w:t>International</w:t>
      </w:r>
      <w:r>
        <w:rPr>
          <w:i/>
          <w:color w:val="231F20"/>
          <w:spacing w:val="40"/>
          <w:sz w:val="17"/>
        </w:rPr>
        <w:t xml:space="preserve"> </w:t>
      </w:r>
      <w:r>
        <w:rPr>
          <w:i/>
          <w:color w:val="231F20"/>
          <w:sz w:val="17"/>
        </w:rPr>
        <w:t xml:space="preserve">Review for the Sociology of Sport </w:t>
      </w:r>
      <w:r>
        <w:rPr>
          <w:color w:val="231F20"/>
          <w:sz w:val="17"/>
        </w:rPr>
        <w:t>29 (2+3), 175–185.</w:t>
      </w:r>
    </w:p>
    <w:p w14:paraId="5EB89330" w14:textId="77777777" w:rsidR="00AE0598" w:rsidRDefault="0069255A">
      <w:pPr>
        <w:spacing w:before="2"/>
        <w:ind w:left="430" w:right="127" w:hanging="320"/>
        <w:jc w:val="both"/>
        <w:rPr>
          <w:sz w:val="17"/>
        </w:rPr>
      </w:pPr>
      <w:r>
        <w:rPr>
          <w:color w:val="231F20"/>
          <w:sz w:val="17"/>
        </w:rPr>
        <w:t>Canadian Sport Tourism Alliance (2017, 2 March) Sport tourism surges past $6.5 billion</w:t>
      </w:r>
      <w:r>
        <w:rPr>
          <w:color w:val="231F20"/>
          <w:spacing w:val="40"/>
          <w:sz w:val="17"/>
        </w:rPr>
        <w:t xml:space="preserve"> </w:t>
      </w:r>
      <w:r>
        <w:rPr>
          <w:color w:val="231F20"/>
          <w:sz w:val="17"/>
        </w:rPr>
        <w:t>annually. CSTA Alert, Ottawa.</w:t>
      </w:r>
    </w:p>
    <w:p w14:paraId="69F372C3" w14:textId="77777777" w:rsidR="00AE0598" w:rsidRDefault="0069255A">
      <w:pPr>
        <w:spacing w:before="1"/>
        <w:ind w:left="430" w:right="128" w:hanging="320"/>
        <w:jc w:val="both"/>
        <w:rPr>
          <w:sz w:val="17"/>
        </w:rPr>
      </w:pPr>
      <w:r>
        <w:rPr>
          <w:color w:val="231F20"/>
          <w:sz w:val="17"/>
        </w:rPr>
        <w:t xml:space="preserve">Canadian Tourism Commission (2002) Sport tourism impact. </w:t>
      </w:r>
      <w:r>
        <w:rPr>
          <w:i/>
          <w:color w:val="231F20"/>
          <w:sz w:val="17"/>
        </w:rPr>
        <w:t>Tourism: Canada’s Tourism</w:t>
      </w:r>
      <w:r>
        <w:rPr>
          <w:i/>
          <w:color w:val="231F20"/>
          <w:spacing w:val="40"/>
          <w:sz w:val="17"/>
        </w:rPr>
        <w:t xml:space="preserve"> </w:t>
      </w:r>
      <w:r>
        <w:rPr>
          <w:i/>
          <w:color w:val="231F20"/>
          <w:sz w:val="17"/>
        </w:rPr>
        <w:t xml:space="preserve">Monthly </w:t>
      </w:r>
      <w:r>
        <w:rPr>
          <w:color w:val="231F20"/>
          <w:sz w:val="17"/>
        </w:rPr>
        <w:t>6.</w:t>
      </w:r>
    </w:p>
    <w:p w14:paraId="3B868E96" w14:textId="77777777" w:rsidR="00AE0598" w:rsidRDefault="0069255A">
      <w:pPr>
        <w:spacing w:before="2"/>
        <w:ind w:left="430" w:right="128" w:hanging="320"/>
        <w:jc w:val="both"/>
        <w:rPr>
          <w:sz w:val="17"/>
        </w:rPr>
      </w:pPr>
      <w:r>
        <w:rPr>
          <w:color w:val="231F20"/>
          <w:sz w:val="17"/>
        </w:rPr>
        <w:t>Canadian Tourism Commission &amp; Coopers and Lyb</w:t>
      </w:r>
      <w:r>
        <w:rPr>
          <w:color w:val="231F20"/>
          <w:sz w:val="17"/>
        </w:rPr>
        <w:t xml:space="preserve">rand (1996) </w:t>
      </w:r>
      <w:r>
        <w:rPr>
          <w:i/>
          <w:color w:val="231F20"/>
          <w:sz w:val="17"/>
        </w:rPr>
        <w:t>Domestic Tourism Market</w:t>
      </w:r>
      <w:r>
        <w:rPr>
          <w:i/>
          <w:color w:val="231F20"/>
          <w:spacing w:val="40"/>
          <w:sz w:val="17"/>
        </w:rPr>
        <w:t xml:space="preserve"> </w:t>
      </w:r>
      <w:r>
        <w:rPr>
          <w:i/>
          <w:color w:val="231F20"/>
          <w:sz w:val="17"/>
        </w:rPr>
        <w:t>Research Study</w:t>
      </w:r>
      <w:r>
        <w:rPr>
          <w:color w:val="231F20"/>
          <w:sz w:val="17"/>
        </w:rPr>
        <w:t>. Ottawa: Canadian Tourism Commission.</w:t>
      </w:r>
    </w:p>
    <w:p w14:paraId="3418F1FA" w14:textId="77777777" w:rsidR="00AE0598" w:rsidRDefault="0069255A">
      <w:pPr>
        <w:spacing w:before="1"/>
        <w:ind w:left="110" w:right="127"/>
        <w:jc w:val="right"/>
        <w:rPr>
          <w:sz w:val="17"/>
        </w:rPr>
      </w:pPr>
      <w:r>
        <w:rPr>
          <w:color w:val="231F20"/>
          <w:sz w:val="17"/>
        </w:rPr>
        <w:t>Cannas,</w:t>
      </w:r>
      <w:r>
        <w:rPr>
          <w:color w:val="231F20"/>
          <w:spacing w:val="40"/>
          <w:sz w:val="17"/>
        </w:rPr>
        <w:t xml:space="preserve"> </w:t>
      </w:r>
      <w:r>
        <w:rPr>
          <w:color w:val="231F20"/>
          <w:sz w:val="17"/>
        </w:rPr>
        <w:t>R.</w:t>
      </w:r>
      <w:r>
        <w:rPr>
          <w:color w:val="231F20"/>
          <w:spacing w:val="40"/>
          <w:sz w:val="17"/>
        </w:rPr>
        <w:t xml:space="preserve"> </w:t>
      </w:r>
      <w:r>
        <w:rPr>
          <w:color w:val="231F20"/>
          <w:sz w:val="17"/>
        </w:rPr>
        <w:t>(2012)</w:t>
      </w:r>
      <w:r>
        <w:rPr>
          <w:color w:val="231F20"/>
          <w:spacing w:val="40"/>
          <w:sz w:val="17"/>
        </w:rPr>
        <w:t xml:space="preserve"> </w:t>
      </w:r>
      <w:r>
        <w:rPr>
          <w:color w:val="231F20"/>
          <w:sz w:val="17"/>
        </w:rPr>
        <w:t>An</w:t>
      </w:r>
      <w:r>
        <w:rPr>
          <w:color w:val="231F20"/>
          <w:spacing w:val="40"/>
          <w:sz w:val="17"/>
        </w:rPr>
        <w:t xml:space="preserve"> </w:t>
      </w:r>
      <w:r>
        <w:rPr>
          <w:color w:val="231F20"/>
          <w:sz w:val="17"/>
        </w:rPr>
        <w:t>overview</w:t>
      </w:r>
      <w:r>
        <w:rPr>
          <w:color w:val="231F20"/>
          <w:spacing w:val="40"/>
          <w:sz w:val="17"/>
        </w:rPr>
        <w:t xml:space="preserve"> </w:t>
      </w:r>
      <w:r>
        <w:rPr>
          <w:color w:val="231F20"/>
          <w:sz w:val="17"/>
        </w:rPr>
        <w:t>of</w:t>
      </w:r>
      <w:r>
        <w:rPr>
          <w:color w:val="231F20"/>
          <w:spacing w:val="40"/>
          <w:sz w:val="17"/>
        </w:rPr>
        <w:t xml:space="preserve"> </w:t>
      </w:r>
      <w:r>
        <w:rPr>
          <w:color w:val="231F20"/>
          <w:sz w:val="17"/>
        </w:rPr>
        <w:t>tourism</w:t>
      </w:r>
      <w:r>
        <w:rPr>
          <w:color w:val="231F20"/>
          <w:spacing w:val="40"/>
          <w:sz w:val="17"/>
        </w:rPr>
        <w:t xml:space="preserve"> </w:t>
      </w:r>
      <w:r>
        <w:rPr>
          <w:color w:val="231F20"/>
          <w:sz w:val="17"/>
        </w:rPr>
        <w:t>seasonality:</w:t>
      </w:r>
      <w:r>
        <w:rPr>
          <w:color w:val="231F20"/>
          <w:spacing w:val="40"/>
          <w:sz w:val="17"/>
        </w:rPr>
        <w:t xml:space="preserve"> </w:t>
      </w:r>
      <w:r>
        <w:rPr>
          <w:color w:val="231F20"/>
          <w:sz w:val="17"/>
        </w:rPr>
        <w:t>Key</w:t>
      </w:r>
      <w:r>
        <w:rPr>
          <w:color w:val="231F20"/>
          <w:spacing w:val="40"/>
          <w:sz w:val="17"/>
        </w:rPr>
        <w:t xml:space="preserve"> </w:t>
      </w:r>
      <w:r>
        <w:rPr>
          <w:color w:val="231F20"/>
          <w:sz w:val="17"/>
        </w:rPr>
        <w:t>concepts</w:t>
      </w:r>
      <w:r>
        <w:rPr>
          <w:color w:val="231F20"/>
          <w:spacing w:val="40"/>
          <w:sz w:val="17"/>
        </w:rPr>
        <w:t xml:space="preserve"> </w:t>
      </w:r>
      <w:r>
        <w:rPr>
          <w:color w:val="231F20"/>
          <w:sz w:val="17"/>
        </w:rPr>
        <w:t>and</w:t>
      </w:r>
      <w:r>
        <w:rPr>
          <w:color w:val="231F20"/>
          <w:spacing w:val="40"/>
          <w:sz w:val="17"/>
        </w:rPr>
        <w:t xml:space="preserve"> </w:t>
      </w:r>
      <w:r>
        <w:rPr>
          <w:color w:val="231F20"/>
          <w:sz w:val="17"/>
        </w:rPr>
        <w:t>policies.</w:t>
      </w:r>
      <w:r>
        <w:rPr>
          <w:color w:val="231F20"/>
          <w:spacing w:val="40"/>
          <w:sz w:val="17"/>
        </w:rPr>
        <w:t xml:space="preserve"> </w:t>
      </w:r>
      <w:r>
        <w:rPr>
          <w:i/>
          <w:color w:val="231F20"/>
          <w:sz w:val="17"/>
        </w:rPr>
        <w:t xml:space="preserve">Almatourism: Journal of Tourism, Culture and Territorial Development </w:t>
      </w:r>
      <w:r>
        <w:rPr>
          <w:color w:val="231F20"/>
          <w:sz w:val="17"/>
        </w:rPr>
        <w:t>3 (5), 40–58.</w:t>
      </w:r>
      <w:r>
        <w:rPr>
          <w:color w:val="231F20"/>
          <w:spacing w:val="40"/>
          <w:sz w:val="17"/>
        </w:rPr>
        <w:t xml:space="preserve"> </w:t>
      </w:r>
      <w:r>
        <w:rPr>
          <w:color w:val="231F20"/>
          <w:sz w:val="17"/>
        </w:rPr>
        <w:t>Can</w:t>
      </w:r>
      <w:r>
        <w:rPr>
          <w:color w:val="231F20"/>
          <w:sz w:val="17"/>
        </w:rPr>
        <w:t xml:space="preserve">telon, H. and Gruneau, R.S. (1988) The production of sport for television. In </w:t>
      </w:r>
      <w:r>
        <w:rPr>
          <w:color w:val="231F20"/>
          <w:w w:val="105"/>
          <w:sz w:val="17"/>
        </w:rPr>
        <w:t xml:space="preserve">J. </w:t>
      </w:r>
      <w:r>
        <w:rPr>
          <w:color w:val="231F20"/>
          <w:sz w:val="17"/>
        </w:rPr>
        <w:t>Harvey</w:t>
      </w:r>
      <w:r>
        <w:rPr>
          <w:color w:val="231F20"/>
          <w:spacing w:val="40"/>
          <w:sz w:val="17"/>
        </w:rPr>
        <w:t xml:space="preserve"> </w:t>
      </w:r>
      <w:r>
        <w:rPr>
          <w:color w:val="231F20"/>
          <w:sz w:val="17"/>
        </w:rPr>
        <w:t xml:space="preserve">and H. Cantelon (eds) </w:t>
      </w:r>
      <w:r>
        <w:rPr>
          <w:i/>
          <w:color w:val="231F20"/>
          <w:sz w:val="17"/>
        </w:rPr>
        <w:t xml:space="preserve">Not Just a Game: Essays in Canadian Sport Sociology </w:t>
      </w:r>
      <w:r>
        <w:rPr>
          <w:color w:val="231F20"/>
          <w:sz w:val="17"/>
        </w:rPr>
        <w:t>(pp. 177–</w:t>
      </w:r>
    </w:p>
    <w:p w14:paraId="3C07C35C" w14:textId="77777777" w:rsidR="00AE0598" w:rsidRDefault="0069255A">
      <w:pPr>
        <w:spacing w:before="3"/>
        <w:ind w:left="430"/>
        <w:jc w:val="both"/>
        <w:rPr>
          <w:sz w:val="17"/>
        </w:rPr>
      </w:pPr>
      <w:r>
        <w:rPr>
          <w:color w:val="231F20"/>
          <w:sz w:val="17"/>
        </w:rPr>
        <w:t>194).</w:t>
      </w:r>
      <w:r>
        <w:rPr>
          <w:color w:val="231F20"/>
          <w:spacing w:val="-4"/>
          <w:sz w:val="17"/>
        </w:rPr>
        <w:t xml:space="preserve"> </w:t>
      </w:r>
      <w:r>
        <w:rPr>
          <w:color w:val="231F20"/>
          <w:sz w:val="17"/>
        </w:rPr>
        <w:t>Ottawa:</w:t>
      </w:r>
      <w:r>
        <w:rPr>
          <w:color w:val="231F20"/>
          <w:spacing w:val="-4"/>
          <w:sz w:val="17"/>
        </w:rPr>
        <w:t xml:space="preserve"> </w:t>
      </w:r>
      <w:r>
        <w:rPr>
          <w:color w:val="231F20"/>
          <w:sz w:val="17"/>
        </w:rPr>
        <w:t>University</w:t>
      </w:r>
      <w:r>
        <w:rPr>
          <w:color w:val="231F20"/>
          <w:spacing w:val="-4"/>
          <w:sz w:val="17"/>
        </w:rPr>
        <w:t xml:space="preserve"> </w:t>
      </w:r>
      <w:r>
        <w:rPr>
          <w:color w:val="231F20"/>
          <w:sz w:val="17"/>
        </w:rPr>
        <w:t>of</w:t>
      </w:r>
      <w:r>
        <w:rPr>
          <w:color w:val="231F20"/>
          <w:spacing w:val="-4"/>
          <w:sz w:val="17"/>
        </w:rPr>
        <w:t xml:space="preserve"> </w:t>
      </w:r>
      <w:r>
        <w:rPr>
          <w:color w:val="231F20"/>
          <w:sz w:val="17"/>
        </w:rPr>
        <w:t>Ottawa</w:t>
      </w:r>
      <w:r>
        <w:rPr>
          <w:color w:val="231F20"/>
          <w:spacing w:val="-4"/>
          <w:sz w:val="17"/>
        </w:rPr>
        <w:t xml:space="preserve"> </w:t>
      </w:r>
      <w:r>
        <w:rPr>
          <w:color w:val="231F20"/>
          <w:spacing w:val="-2"/>
          <w:sz w:val="17"/>
        </w:rPr>
        <w:t>Press.</w:t>
      </w:r>
    </w:p>
    <w:p w14:paraId="10DE7B77" w14:textId="77777777" w:rsidR="00AE0598" w:rsidRDefault="0069255A">
      <w:pPr>
        <w:spacing w:before="1"/>
        <w:ind w:left="430" w:right="127" w:hanging="320"/>
        <w:jc w:val="both"/>
        <w:rPr>
          <w:sz w:val="17"/>
        </w:rPr>
      </w:pPr>
      <w:r>
        <w:rPr>
          <w:color w:val="231F20"/>
          <w:sz w:val="17"/>
        </w:rPr>
        <w:t>Cantelon, H. and Letters, M. (2000) The ma</w:t>
      </w:r>
      <w:r>
        <w:rPr>
          <w:color w:val="231F20"/>
          <w:sz w:val="17"/>
        </w:rPr>
        <w:t>king of the IOC environmental policy as the</w:t>
      </w:r>
      <w:r>
        <w:rPr>
          <w:color w:val="231F20"/>
          <w:spacing w:val="40"/>
          <w:sz w:val="17"/>
        </w:rPr>
        <w:t xml:space="preserve"> </w:t>
      </w:r>
      <w:r>
        <w:rPr>
          <w:color w:val="231F20"/>
          <w:sz w:val="17"/>
        </w:rPr>
        <w:t xml:space="preserve">third dimension of the Olympic movement. </w:t>
      </w:r>
      <w:r>
        <w:rPr>
          <w:i/>
          <w:color w:val="231F20"/>
          <w:sz w:val="17"/>
        </w:rPr>
        <w:t>International Review for the Sociology of</w:t>
      </w:r>
      <w:r>
        <w:rPr>
          <w:i/>
          <w:color w:val="231F20"/>
          <w:spacing w:val="40"/>
          <w:sz w:val="17"/>
        </w:rPr>
        <w:t xml:space="preserve"> </w:t>
      </w:r>
      <w:r>
        <w:rPr>
          <w:i/>
          <w:color w:val="231F20"/>
          <w:sz w:val="17"/>
        </w:rPr>
        <w:t xml:space="preserve">Sport </w:t>
      </w:r>
      <w:r>
        <w:rPr>
          <w:color w:val="231F20"/>
          <w:sz w:val="17"/>
        </w:rPr>
        <w:t>35 (3), 294–308.</w:t>
      </w:r>
    </w:p>
    <w:p w14:paraId="42332BF1" w14:textId="77777777" w:rsidR="00AE0598" w:rsidRDefault="0069255A">
      <w:pPr>
        <w:spacing w:before="2"/>
        <w:ind w:left="110"/>
        <w:jc w:val="both"/>
        <w:rPr>
          <w:sz w:val="17"/>
        </w:rPr>
      </w:pPr>
      <w:r>
        <w:rPr>
          <w:color w:val="231F20"/>
          <w:sz w:val="17"/>
        </w:rPr>
        <w:t>Carle,</w:t>
      </w:r>
      <w:r>
        <w:rPr>
          <w:color w:val="231F20"/>
          <w:spacing w:val="-1"/>
          <w:sz w:val="17"/>
        </w:rPr>
        <w:t xml:space="preserve"> </w:t>
      </w:r>
      <w:r>
        <w:rPr>
          <w:color w:val="231F20"/>
          <w:sz w:val="17"/>
        </w:rPr>
        <w:t>A.</w:t>
      </w:r>
      <w:r>
        <w:rPr>
          <w:color w:val="231F20"/>
          <w:spacing w:val="-1"/>
          <w:sz w:val="17"/>
        </w:rPr>
        <w:t xml:space="preserve"> </w:t>
      </w:r>
      <w:r>
        <w:rPr>
          <w:color w:val="231F20"/>
          <w:sz w:val="17"/>
        </w:rPr>
        <w:t>and</w:t>
      </w:r>
      <w:r>
        <w:rPr>
          <w:color w:val="231F20"/>
          <w:spacing w:val="-1"/>
          <w:sz w:val="17"/>
        </w:rPr>
        <w:t xml:space="preserve"> </w:t>
      </w:r>
      <w:r>
        <w:rPr>
          <w:color w:val="231F20"/>
          <w:sz w:val="17"/>
        </w:rPr>
        <w:t>Nauright,</w:t>
      </w:r>
      <w:r>
        <w:rPr>
          <w:color w:val="231F20"/>
          <w:spacing w:val="-1"/>
          <w:sz w:val="17"/>
        </w:rPr>
        <w:t xml:space="preserve"> </w:t>
      </w:r>
      <w:r>
        <w:rPr>
          <w:color w:val="231F20"/>
          <w:w w:val="105"/>
          <w:sz w:val="17"/>
        </w:rPr>
        <w:t>J.</w:t>
      </w:r>
      <w:r>
        <w:rPr>
          <w:color w:val="231F20"/>
          <w:spacing w:val="-2"/>
          <w:w w:val="105"/>
          <w:sz w:val="17"/>
        </w:rPr>
        <w:t xml:space="preserve"> </w:t>
      </w:r>
      <w:r>
        <w:rPr>
          <w:color w:val="231F20"/>
          <w:sz w:val="17"/>
        </w:rPr>
        <w:t>(1999)</w:t>
      </w:r>
      <w:r>
        <w:rPr>
          <w:color w:val="231F20"/>
          <w:spacing w:val="-1"/>
          <w:sz w:val="17"/>
        </w:rPr>
        <w:t xml:space="preserve"> </w:t>
      </w:r>
      <w:r>
        <w:rPr>
          <w:color w:val="231F20"/>
          <w:sz w:val="17"/>
        </w:rPr>
        <w:t>A</w:t>
      </w:r>
      <w:r>
        <w:rPr>
          <w:color w:val="231F20"/>
          <w:spacing w:val="-1"/>
          <w:sz w:val="17"/>
        </w:rPr>
        <w:t xml:space="preserve"> </w:t>
      </w:r>
      <w:r>
        <w:rPr>
          <w:color w:val="231F20"/>
          <w:sz w:val="17"/>
        </w:rPr>
        <w:t>man’s game?</w:t>
      </w:r>
      <w:r>
        <w:rPr>
          <w:color w:val="231F20"/>
          <w:spacing w:val="-1"/>
          <w:sz w:val="17"/>
        </w:rPr>
        <w:t xml:space="preserve"> </w:t>
      </w:r>
      <w:r>
        <w:rPr>
          <w:color w:val="231F20"/>
          <w:sz w:val="17"/>
        </w:rPr>
        <w:t>Women</w:t>
      </w:r>
      <w:r>
        <w:rPr>
          <w:color w:val="231F20"/>
          <w:spacing w:val="-1"/>
          <w:sz w:val="17"/>
        </w:rPr>
        <w:t xml:space="preserve"> </w:t>
      </w:r>
      <w:r>
        <w:rPr>
          <w:color w:val="231F20"/>
          <w:sz w:val="17"/>
        </w:rPr>
        <w:t>playing</w:t>
      </w:r>
      <w:r>
        <w:rPr>
          <w:color w:val="231F20"/>
          <w:spacing w:val="-1"/>
          <w:sz w:val="17"/>
        </w:rPr>
        <w:t xml:space="preserve"> </w:t>
      </w:r>
      <w:r>
        <w:rPr>
          <w:color w:val="231F20"/>
          <w:sz w:val="17"/>
        </w:rPr>
        <w:t>rugby union</w:t>
      </w:r>
      <w:r>
        <w:rPr>
          <w:color w:val="231F20"/>
          <w:spacing w:val="-1"/>
          <w:sz w:val="17"/>
        </w:rPr>
        <w:t xml:space="preserve"> </w:t>
      </w:r>
      <w:r>
        <w:rPr>
          <w:color w:val="231F20"/>
          <w:sz w:val="17"/>
        </w:rPr>
        <w:t>in</w:t>
      </w:r>
      <w:r>
        <w:rPr>
          <w:color w:val="231F20"/>
          <w:spacing w:val="-1"/>
          <w:sz w:val="17"/>
        </w:rPr>
        <w:t xml:space="preserve"> </w:t>
      </w:r>
      <w:r>
        <w:rPr>
          <w:color w:val="231F20"/>
          <w:spacing w:val="-2"/>
          <w:sz w:val="17"/>
        </w:rPr>
        <w:t>Australia.</w:t>
      </w:r>
    </w:p>
    <w:p w14:paraId="4029A0BB" w14:textId="77777777" w:rsidR="00AE0598" w:rsidRDefault="0069255A">
      <w:pPr>
        <w:ind w:left="430"/>
        <w:jc w:val="both"/>
        <w:rPr>
          <w:sz w:val="17"/>
        </w:rPr>
      </w:pPr>
      <w:r>
        <w:rPr>
          <w:i/>
          <w:color w:val="231F20"/>
          <w:w w:val="95"/>
          <w:sz w:val="17"/>
        </w:rPr>
        <w:t>Football</w:t>
      </w:r>
      <w:r>
        <w:rPr>
          <w:i/>
          <w:color w:val="231F20"/>
          <w:spacing w:val="14"/>
          <w:sz w:val="17"/>
        </w:rPr>
        <w:t xml:space="preserve"> </w:t>
      </w:r>
      <w:r>
        <w:rPr>
          <w:i/>
          <w:color w:val="231F20"/>
          <w:w w:val="95"/>
          <w:sz w:val="17"/>
        </w:rPr>
        <w:t>Studies</w:t>
      </w:r>
      <w:r>
        <w:rPr>
          <w:i/>
          <w:color w:val="231F20"/>
          <w:spacing w:val="14"/>
          <w:sz w:val="17"/>
        </w:rPr>
        <w:t xml:space="preserve"> </w:t>
      </w:r>
      <w:r>
        <w:rPr>
          <w:color w:val="231F20"/>
          <w:w w:val="95"/>
          <w:sz w:val="17"/>
        </w:rPr>
        <w:t>2</w:t>
      </w:r>
      <w:r>
        <w:rPr>
          <w:color w:val="231F20"/>
          <w:spacing w:val="14"/>
          <w:sz w:val="17"/>
        </w:rPr>
        <w:t xml:space="preserve"> </w:t>
      </w:r>
      <w:r>
        <w:rPr>
          <w:color w:val="231F20"/>
          <w:w w:val="95"/>
          <w:sz w:val="17"/>
        </w:rPr>
        <w:t>(1),</w:t>
      </w:r>
      <w:r>
        <w:rPr>
          <w:color w:val="231F20"/>
          <w:spacing w:val="14"/>
          <w:sz w:val="17"/>
        </w:rPr>
        <w:t xml:space="preserve"> </w:t>
      </w:r>
      <w:r>
        <w:rPr>
          <w:color w:val="231F20"/>
          <w:spacing w:val="-2"/>
          <w:w w:val="95"/>
          <w:sz w:val="17"/>
        </w:rPr>
        <w:t>55–73.</w:t>
      </w:r>
    </w:p>
    <w:p w14:paraId="1807FA28" w14:textId="77777777" w:rsidR="00AE0598" w:rsidRDefault="0069255A">
      <w:pPr>
        <w:spacing w:before="1"/>
        <w:ind w:left="430" w:right="128" w:hanging="320"/>
        <w:jc w:val="both"/>
        <w:rPr>
          <w:sz w:val="17"/>
        </w:rPr>
      </w:pPr>
      <w:r>
        <w:rPr>
          <w:color w:val="231F20"/>
          <w:sz w:val="17"/>
        </w:rPr>
        <w:t>Carmichael, B. and Murphy, P.E. (1996) Tourism economic impact of a rotating sports</w:t>
      </w:r>
      <w:r>
        <w:rPr>
          <w:color w:val="231F20"/>
          <w:spacing w:val="40"/>
          <w:sz w:val="17"/>
        </w:rPr>
        <w:t xml:space="preserve"> </w:t>
      </w:r>
      <w:r>
        <w:rPr>
          <w:color w:val="231F20"/>
          <w:sz w:val="17"/>
        </w:rPr>
        <w:t xml:space="preserve">event: The case of the British Columbia Games. </w:t>
      </w:r>
      <w:r>
        <w:rPr>
          <w:i/>
          <w:color w:val="231F20"/>
          <w:sz w:val="17"/>
        </w:rPr>
        <w:t>Festival Management and Event</w:t>
      </w:r>
      <w:r>
        <w:rPr>
          <w:i/>
          <w:color w:val="231F20"/>
          <w:spacing w:val="40"/>
          <w:sz w:val="17"/>
        </w:rPr>
        <w:t xml:space="preserve"> </w:t>
      </w:r>
      <w:r>
        <w:rPr>
          <w:i/>
          <w:color w:val="231F20"/>
          <w:sz w:val="17"/>
        </w:rPr>
        <w:t xml:space="preserve">Tourism </w:t>
      </w:r>
      <w:r>
        <w:rPr>
          <w:color w:val="231F20"/>
          <w:sz w:val="17"/>
        </w:rPr>
        <w:t>4, 127–138.</w:t>
      </w:r>
    </w:p>
    <w:p w14:paraId="05148A4E" w14:textId="77777777" w:rsidR="00AE0598" w:rsidRDefault="0069255A">
      <w:pPr>
        <w:spacing w:before="2"/>
        <w:ind w:left="430" w:right="127" w:hanging="320"/>
        <w:jc w:val="both"/>
        <w:rPr>
          <w:sz w:val="17"/>
        </w:rPr>
      </w:pPr>
      <w:r>
        <w:rPr>
          <w:color w:val="231F20"/>
          <w:sz w:val="17"/>
        </w:rPr>
        <w:t xml:space="preserve">Carneiro, </w:t>
      </w:r>
      <w:r>
        <w:rPr>
          <w:color w:val="231F20"/>
          <w:w w:val="115"/>
          <w:sz w:val="17"/>
        </w:rPr>
        <w:t xml:space="preserve">M.J., </w:t>
      </w:r>
      <w:r>
        <w:rPr>
          <w:color w:val="231F20"/>
          <w:sz w:val="17"/>
        </w:rPr>
        <w:t xml:space="preserve">Breda, </w:t>
      </w:r>
      <w:r>
        <w:rPr>
          <w:color w:val="231F20"/>
          <w:w w:val="115"/>
          <w:sz w:val="17"/>
        </w:rPr>
        <w:t xml:space="preserve">Z. </w:t>
      </w:r>
      <w:r>
        <w:rPr>
          <w:color w:val="231F20"/>
          <w:sz w:val="17"/>
        </w:rPr>
        <w:t xml:space="preserve">and Cordeiro, </w:t>
      </w:r>
      <w:r>
        <w:rPr>
          <w:color w:val="231F20"/>
          <w:w w:val="115"/>
          <w:sz w:val="17"/>
        </w:rPr>
        <w:t xml:space="preserve">C. </w:t>
      </w:r>
      <w:r>
        <w:rPr>
          <w:color w:val="231F20"/>
          <w:sz w:val="17"/>
        </w:rPr>
        <w:t>(2016) Sports tourism development and</w:t>
      </w:r>
      <w:r>
        <w:rPr>
          <w:color w:val="231F20"/>
          <w:spacing w:val="40"/>
          <w:sz w:val="17"/>
        </w:rPr>
        <w:t xml:space="preserve"> </w:t>
      </w:r>
      <w:r>
        <w:rPr>
          <w:color w:val="231F20"/>
          <w:sz w:val="17"/>
        </w:rPr>
        <w:t>destination</w:t>
      </w:r>
      <w:r>
        <w:rPr>
          <w:color w:val="231F20"/>
          <w:spacing w:val="-1"/>
          <w:sz w:val="17"/>
        </w:rPr>
        <w:t xml:space="preserve"> </w:t>
      </w:r>
      <w:r>
        <w:rPr>
          <w:color w:val="231F20"/>
          <w:sz w:val="17"/>
        </w:rPr>
        <w:t>sustainability:</w:t>
      </w:r>
      <w:r>
        <w:rPr>
          <w:color w:val="231F20"/>
          <w:spacing w:val="-1"/>
          <w:sz w:val="17"/>
        </w:rPr>
        <w:t xml:space="preserve"> </w:t>
      </w:r>
      <w:r>
        <w:rPr>
          <w:color w:val="231F20"/>
          <w:sz w:val="17"/>
        </w:rPr>
        <w:t>The</w:t>
      </w:r>
      <w:r>
        <w:rPr>
          <w:color w:val="231F20"/>
          <w:spacing w:val="-1"/>
          <w:sz w:val="17"/>
        </w:rPr>
        <w:t xml:space="preserve"> </w:t>
      </w:r>
      <w:r>
        <w:rPr>
          <w:color w:val="231F20"/>
          <w:sz w:val="17"/>
        </w:rPr>
        <w:t>case</w:t>
      </w:r>
      <w:r>
        <w:rPr>
          <w:color w:val="231F20"/>
          <w:spacing w:val="-1"/>
          <w:sz w:val="17"/>
        </w:rPr>
        <w:t xml:space="preserve"> </w:t>
      </w:r>
      <w:r>
        <w:rPr>
          <w:color w:val="231F20"/>
          <w:sz w:val="17"/>
        </w:rPr>
        <w:t>of</w:t>
      </w:r>
      <w:r>
        <w:rPr>
          <w:color w:val="231F20"/>
          <w:spacing w:val="-1"/>
          <w:sz w:val="17"/>
        </w:rPr>
        <w:t xml:space="preserve"> </w:t>
      </w:r>
      <w:r>
        <w:rPr>
          <w:color w:val="231F20"/>
          <w:sz w:val="17"/>
        </w:rPr>
        <w:t>the</w:t>
      </w:r>
      <w:r>
        <w:rPr>
          <w:color w:val="231F20"/>
          <w:spacing w:val="-1"/>
          <w:sz w:val="17"/>
        </w:rPr>
        <w:t xml:space="preserve"> </w:t>
      </w:r>
      <w:r>
        <w:rPr>
          <w:color w:val="231F20"/>
          <w:sz w:val="17"/>
        </w:rPr>
        <w:t>coastal</w:t>
      </w:r>
      <w:r>
        <w:rPr>
          <w:color w:val="231F20"/>
          <w:spacing w:val="-1"/>
          <w:sz w:val="17"/>
        </w:rPr>
        <w:t xml:space="preserve"> </w:t>
      </w:r>
      <w:r>
        <w:rPr>
          <w:color w:val="231F20"/>
          <w:sz w:val="17"/>
        </w:rPr>
        <w:t>area</w:t>
      </w:r>
      <w:r>
        <w:rPr>
          <w:color w:val="231F20"/>
          <w:spacing w:val="-1"/>
          <w:sz w:val="17"/>
        </w:rPr>
        <w:t xml:space="preserve"> </w:t>
      </w:r>
      <w:r>
        <w:rPr>
          <w:color w:val="231F20"/>
          <w:sz w:val="17"/>
        </w:rPr>
        <w:t>of</w:t>
      </w:r>
      <w:r>
        <w:rPr>
          <w:color w:val="231F20"/>
          <w:spacing w:val="-1"/>
          <w:sz w:val="17"/>
        </w:rPr>
        <w:t xml:space="preserve"> </w:t>
      </w:r>
      <w:r>
        <w:rPr>
          <w:color w:val="231F20"/>
          <w:sz w:val="17"/>
        </w:rPr>
        <w:t>the</w:t>
      </w:r>
      <w:r>
        <w:rPr>
          <w:color w:val="231F20"/>
          <w:spacing w:val="-1"/>
          <w:sz w:val="17"/>
        </w:rPr>
        <w:t xml:space="preserve"> </w:t>
      </w:r>
      <w:r>
        <w:rPr>
          <w:color w:val="231F20"/>
          <w:sz w:val="17"/>
        </w:rPr>
        <w:t>Aveiro</w:t>
      </w:r>
      <w:r>
        <w:rPr>
          <w:color w:val="231F20"/>
          <w:spacing w:val="-1"/>
          <w:sz w:val="17"/>
        </w:rPr>
        <w:t xml:space="preserve"> </w:t>
      </w:r>
      <w:r>
        <w:rPr>
          <w:color w:val="231F20"/>
          <w:sz w:val="17"/>
        </w:rPr>
        <w:t>region,</w:t>
      </w:r>
      <w:r>
        <w:rPr>
          <w:color w:val="231F20"/>
          <w:spacing w:val="-1"/>
          <w:sz w:val="17"/>
        </w:rPr>
        <w:t xml:space="preserve"> </w:t>
      </w:r>
      <w:r>
        <w:rPr>
          <w:color w:val="231F20"/>
          <w:sz w:val="17"/>
        </w:rPr>
        <w:t>Portugal.</w:t>
      </w:r>
      <w:r>
        <w:rPr>
          <w:color w:val="231F20"/>
          <w:spacing w:val="40"/>
          <w:sz w:val="17"/>
        </w:rPr>
        <w:t xml:space="preserve"> </w:t>
      </w:r>
      <w:r>
        <w:rPr>
          <w:i/>
          <w:color w:val="231F20"/>
          <w:sz w:val="17"/>
        </w:rPr>
        <w:t xml:space="preserve">Journal of Sport </w:t>
      </w:r>
      <w:r>
        <w:rPr>
          <w:i/>
          <w:color w:val="231F20"/>
          <w:w w:val="115"/>
          <w:sz w:val="17"/>
        </w:rPr>
        <w:t xml:space="preserve">&amp; </w:t>
      </w:r>
      <w:r>
        <w:rPr>
          <w:i/>
          <w:color w:val="231F20"/>
          <w:sz w:val="17"/>
        </w:rPr>
        <w:t xml:space="preserve">Tourism </w:t>
      </w:r>
      <w:r>
        <w:rPr>
          <w:color w:val="231F20"/>
          <w:sz w:val="17"/>
        </w:rPr>
        <w:t>20 (3–4), 305–334.</w:t>
      </w:r>
    </w:p>
    <w:p w14:paraId="000A878A" w14:textId="77777777" w:rsidR="00AE0598" w:rsidRDefault="0069255A">
      <w:pPr>
        <w:spacing w:before="2"/>
        <w:ind w:left="430" w:right="128" w:hanging="320"/>
        <w:jc w:val="both"/>
        <w:rPr>
          <w:sz w:val="17"/>
        </w:rPr>
      </w:pPr>
      <w:r>
        <w:rPr>
          <w:color w:val="231F20"/>
          <w:sz w:val="17"/>
        </w:rPr>
        <w:t xml:space="preserve">Carter, </w:t>
      </w:r>
      <w:r>
        <w:rPr>
          <w:color w:val="231F20"/>
          <w:w w:val="105"/>
          <w:sz w:val="17"/>
        </w:rPr>
        <w:t xml:space="preserve">J., </w:t>
      </w:r>
      <w:r>
        <w:rPr>
          <w:color w:val="231F20"/>
          <w:sz w:val="17"/>
        </w:rPr>
        <w:t>Dyer, P. and Sharma, B. (2007) Dis-placed voices: Sens</w:t>
      </w:r>
      <w:r>
        <w:rPr>
          <w:color w:val="231F20"/>
          <w:sz w:val="17"/>
        </w:rPr>
        <w:t>e of place and place-</w:t>
      </w:r>
      <w:r>
        <w:rPr>
          <w:color w:val="231F20"/>
          <w:spacing w:val="40"/>
          <w:sz w:val="17"/>
        </w:rPr>
        <w:t xml:space="preserve"> </w:t>
      </w:r>
      <w:r>
        <w:rPr>
          <w:color w:val="231F20"/>
          <w:sz w:val="17"/>
        </w:rPr>
        <w:t xml:space="preserve">identity on the Sunshine Coast. </w:t>
      </w:r>
      <w:r>
        <w:rPr>
          <w:i/>
          <w:color w:val="231F20"/>
          <w:sz w:val="17"/>
        </w:rPr>
        <w:t xml:space="preserve">Social and Cultural Geography </w:t>
      </w:r>
      <w:r>
        <w:rPr>
          <w:color w:val="231F20"/>
          <w:sz w:val="17"/>
        </w:rPr>
        <w:t>8, 755–773.</w:t>
      </w:r>
    </w:p>
    <w:p w14:paraId="2EFE6B43" w14:textId="77777777" w:rsidR="00AE0598" w:rsidRDefault="0069255A">
      <w:pPr>
        <w:spacing w:before="2"/>
        <w:ind w:left="430" w:right="127" w:hanging="320"/>
        <w:jc w:val="both"/>
        <w:rPr>
          <w:sz w:val="17"/>
        </w:rPr>
      </w:pPr>
      <w:r>
        <w:rPr>
          <w:color w:val="231F20"/>
          <w:w w:val="95"/>
          <w:sz w:val="17"/>
        </w:rPr>
        <w:t>Carus, L. (1998) For the strategic analysis and forecasting stage within the strategic tourism</w:t>
      </w:r>
      <w:r>
        <w:rPr>
          <w:color w:val="231F20"/>
          <w:spacing w:val="40"/>
          <w:sz w:val="17"/>
        </w:rPr>
        <w:t xml:space="preserve"> </w:t>
      </w:r>
      <w:r>
        <w:rPr>
          <w:color w:val="231F20"/>
          <w:sz w:val="17"/>
        </w:rPr>
        <w:t xml:space="preserve">management process. </w:t>
      </w:r>
      <w:r>
        <w:rPr>
          <w:i/>
          <w:color w:val="231F20"/>
          <w:sz w:val="17"/>
        </w:rPr>
        <w:t xml:space="preserve">Journal of Sport Tourism </w:t>
      </w:r>
      <w:r>
        <w:rPr>
          <w:color w:val="231F20"/>
          <w:sz w:val="17"/>
        </w:rPr>
        <w:t>4 (4), 23–35.</w:t>
      </w:r>
    </w:p>
    <w:p w14:paraId="7165B0AC" w14:textId="77777777" w:rsidR="00AE0598" w:rsidRDefault="0069255A">
      <w:pPr>
        <w:spacing w:before="1"/>
        <w:ind w:left="110"/>
        <w:rPr>
          <w:sz w:val="17"/>
        </w:rPr>
      </w:pPr>
      <w:r>
        <w:rPr>
          <w:color w:val="231F20"/>
          <w:w w:val="95"/>
          <w:sz w:val="17"/>
        </w:rPr>
        <w:t>Casey,</w:t>
      </w:r>
      <w:r>
        <w:rPr>
          <w:color w:val="231F20"/>
          <w:w w:val="95"/>
          <w:sz w:val="17"/>
        </w:rPr>
        <w:t xml:space="preserve"> M.E. (2010) Low cost air travel: Welcome aboard?. </w:t>
      </w:r>
      <w:r>
        <w:rPr>
          <w:i/>
          <w:color w:val="231F20"/>
          <w:w w:val="95"/>
          <w:sz w:val="17"/>
        </w:rPr>
        <w:t xml:space="preserve">Tourist Studies </w:t>
      </w:r>
      <w:r>
        <w:rPr>
          <w:color w:val="231F20"/>
          <w:w w:val="95"/>
          <w:sz w:val="17"/>
        </w:rPr>
        <w:t>10 (2), 175–191.</w:t>
      </w:r>
      <w:r>
        <w:rPr>
          <w:color w:val="231F20"/>
          <w:spacing w:val="40"/>
          <w:sz w:val="17"/>
        </w:rPr>
        <w:t xml:space="preserve"> </w:t>
      </w:r>
      <w:r>
        <w:rPr>
          <w:color w:val="231F20"/>
          <w:sz w:val="17"/>
        </w:rPr>
        <w:t xml:space="preserve">Cashmore, E. (1996) </w:t>
      </w:r>
      <w:r>
        <w:rPr>
          <w:i/>
          <w:color w:val="231F20"/>
          <w:sz w:val="17"/>
        </w:rPr>
        <w:t xml:space="preserve">Making Sense of Sports </w:t>
      </w:r>
      <w:r>
        <w:rPr>
          <w:color w:val="231F20"/>
          <w:sz w:val="17"/>
        </w:rPr>
        <w:t>(2nd edn). London: Routledge.</w:t>
      </w:r>
    </w:p>
    <w:p w14:paraId="65379AF6" w14:textId="77777777" w:rsidR="00AE0598" w:rsidRDefault="0069255A">
      <w:pPr>
        <w:spacing w:before="2"/>
        <w:ind w:left="110" w:right="998"/>
        <w:rPr>
          <w:sz w:val="17"/>
        </w:rPr>
      </w:pPr>
      <w:r>
        <w:rPr>
          <w:color w:val="231F20"/>
          <w:w w:val="105"/>
          <w:sz w:val="17"/>
        </w:rPr>
        <w:t xml:space="preserve">Castells, M. (1997) </w:t>
      </w:r>
      <w:r>
        <w:rPr>
          <w:i/>
          <w:color w:val="231F20"/>
          <w:w w:val="105"/>
          <w:sz w:val="17"/>
        </w:rPr>
        <w:t>The Rise of the Network Society</w:t>
      </w:r>
      <w:r>
        <w:rPr>
          <w:color w:val="231F20"/>
          <w:w w:val="105"/>
          <w:sz w:val="17"/>
        </w:rPr>
        <w:t>. Oxford: Blackwell.</w:t>
      </w:r>
      <w:r>
        <w:rPr>
          <w:color w:val="231F20"/>
          <w:spacing w:val="40"/>
          <w:w w:val="105"/>
          <w:sz w:val="17"/>
        </w:rPr>
        <w:t xml:space="preserve"> </w:t>
      </w:r>
      <w:r>
        <w:rPr>
          <w:color w:val="231F20"/>
          <w:sz w:val="17"/>
        </w:rPr>
        <w:t xml:space="preserve">Chadwick, G. (1971) </w:t>
      </w:r>
      <w:r>
        <w:rPr>
          <w:i/>
          <w:color w:val="231F20"/>
          <w:sz w:val="17"/>
        </w:rPr>
        <w:t>A Systems View of Planning</w:t>
      </w:r>
      <w:r>
        <w:rPr>
          <w:color w:val="231F20"/>
          <w:sz w:val="17"/>
        </w:rPr>
        <w:t>. Oxford: Pergamon Press.</w:t>
      </w:r>
    </w:p>
    <w:p w14:paraId="2140BF89" w14:textId="77777777" w:rsidR="00AE0598" w:rsidRDefault="0069255A">
      <w:pPr>
        <w:spacing w:before="1"/>
        <w:ind w:left="430" w:hanging="320"/>
        <w:rPr>
          <w:sz w:val="17"/>
        </w:rPr>
      </w:pPr>
      <w:r>
        <w:rPr>
          <w:color w:val="231F20"/>
          <w:sz w:val="17"/>
        </w:rPr>
        <w:t>Chalip, L. (1992) The construction and use of polysemic structures: Olympic lessons for</w:t>
      </w:r>
      <w:r>
        <w:rPr>
          <w:color w:val="231F20"/>
          <w:spacing w:val="40"/>
          <w:sz w:val="17"/>
        </w:rPr>
        <w:t xml:space="preserve"> </w:t>
      </w:r>
      <w:r>
        <w:rPr>
          <w:color w:val="231F20"/>
          <w:sz w:val="17"/>
        </w:rPr>
        <w:t xml:space="preserve">sport marketers. </w:t>
      </w:r>
      <w:r>
        <w:rPr>
          <w:i/>
          <w:color w:val="231F20"/>
          <w:sz w:val="17"/>
        </w:rPr>
        <w:t xml:space="preserve">Journal of Sport Management </w:t>
      </w:r>
      <w:r>
        <w:rPr>
          <w:color w:val="231F20"/>
          <w:sz w:val="17"/>
        </w:rPr>
        <w:t>6, 87–98.</w:t>
      </w:r>
    </w:p>
    <w:p w14:paraId="4C00C163" w14:textId="77777777" w:rsidR="00AE0598" w:rsidRDefault="0069255A">
      <w:pPr>
        <w:spacing w:before="1"/>
        <w:ind w:left="430" w:hanging="320"/>
        <w:rPr>
          <w:sz w:val="17"/>
        </w:rPr>
      </w:pPr>
      <w:r>
        <w:rPr>
          <w:color w:val="231F20"/>
          <w:sz w:val="17"/>
        </w:rPr>
        <w:t>Chalip, L. (2001) Sport tourism: Capitali</w:t>
      </w:r>
      <w:r>
        <w:rPr>
          <w:color w:val="231F20"/>
          <w:sz w:val="17"/>
        </w:rPr>
        <w:t>sing on the linkage. In D. Kluka and G. Schilling</w:t>
      </w:r>
      <w:r>
        <w:rPr>
          <w:color w:val="231F20"/>
          <w:spacing w:val="40"/>
          <w:sz w:val="17"/>
        </w:rPr>
        <w:t xml:space="preserve"> </w:t>
      </w:r>
      <w:r>
        <w:rPr>
          <w:color w:val="231F20"/>
          <w:sz w:val="17"/>
        </w:rPr>
        <w:t xml:space="preserve">(eds) </w:t>
      </w:r>
      <w:r>
        <w:rPr>
          <w:i/>
          <w:color w:val="231F20"/>
          <w:sz w:val="17"/>
        </w:rPr>
        <w:t xml:space="preserve">Perspectives: The Business of Sport </w:t>
      </w:r>
      <w:r>
        <w:rPr>
          <w:color w:val="231F20"/>
          <w:sz w:val="17"/>
        </w:rPr>
        <w:t>(pp. 77–89). Oxford: Meyer and Meyer.</w:t>
      </w:r>
    </w:p>
    <w:p w14:paraId="5407CBE7" w14:textId="77777777" w:rsidR="00AE0598" w:rsidRDefault="0069255A">
      <w:pPr>
        <w:spacing w:before="2"/>
        <w:ind w:left="110"/>
        <w:rPr>
          <w:sz w:val="17"/>
        </w:rPr>
      </w:pPr>
      <w:r>
        <w:rPr>
          <w:color w:val="231F20"/>
          <w:w w:val="95"/>
          <w:sz w:val="17"/>
        </w:rPr>
        <w:t>Chalip,</w:t>
      </w:r>
      <w:r>
        <w:rPr>
          <w:color w:val="231F20"/>
          <w:spacing w:val="18"/>
          <w:sz w:val="17"/>
        </w:rPr>
        <w:t xml:space="preserve"> </w:t>
      </w:r>
      <w:r>
        <w:rPr>
          <w:color w:val="231F20"/>
          <w:w w:val="95"/>
          <w:sz w:val="17"/>
        </w:rPr>
        <w:t>L.</w:t>
      </w:r>
      <w:r>
        <w:rPr>
          <w:color w:val="231F20"/>
          <w:spacing w:val="19"/>
          <w:sz w:val="17"/>
        </w:rPr>
        <w:t xml:space="preserve"> </w:t>
      </w:r>
      <w:r>
        <w:rPr>
          <w:color w:val="231F20"/>
          <w:w w:val="95"/>
          <w:sz w:val="17"/>
        </w:rPr>
        <w:t>(2004a)</w:t>
      </w:r>
      <w:r>
        <w:rPr>
          <w:color w:val="231F20"/>
          <w:spacing w:val="19"/>
          <w:sz w:val="17"/>
        </w:rPr>
        <w:t xml:space="preserve"> </w:t>
      </w:r>
      <w:r>
        <w:rPr>
          <w:color w:val="231F20"/>
          <w:w w:val="95"/>
          <w:sz w:val="17"/>
        </w:rPr>
        <w:t>Beyond</w:t>
      </w:r>
      <w:r>
        <w:rPr>
          <w:color w:val="231F20"/>
          <w:spacing w:val="18"/>
          <w:sz w:val="17"/>
        </w:rPr>
        <w:t xml:space="preserve"> </w:t>
      </w:r>
      <w:r>
        <w:rPr>
          <w:color w:val="231F20"/>
          <w:w w:val="95"/>
          <w:sz w:val="17"/>
        </w:rPr>
        <w:t>impact:</w:t>
      </w:r>
      <w:r>
        <w:rPr>
          <w:color w:val="231F20"/>
          <w:spacing w:val="19"/>
          <w:sz w:val="17"/>
        </w:rPr>
        <w:t xml:space="preserve"> </w:t>
      </w:r>
      <w:r>
        <w:rPr>
          <w:color w:val="231F20"/>
          <w:w w:val="95"/>
          <w:sz w:val="17"/>
        </w:rPr>
        <w:t>A</w:t>
      </w:r>
      <w:r>
        <w:rPr>
          <w:color w:val="231F20"/>
          <w:spacing w:val="19"/>
          <w:sz w:val="17"/>
        </w:rPr>
        <w:t xml:space="preserve"> </w:t>
      </w:r>
      <w:r>
        <w:rPr>
          <w:color w:val="231F20"/>
          <w:w w:val="95"/>
          <w:sz w:val="17"/>
        </w:rPr>
        <w:t>general</w:t>
      </w:r>
      <w:r>
        <w:rPr>
          <w:color w:val="231F20"/>
          <w:spacing w:val="19"/>
          <w:sz w:val="17"/>
        </w:rPr>
        <w:t xml:space="preserve"> </w:t>
      </w:r>
      <w:r>
        <w:rPr>
          <w:color w:val="231F20"/>
          <w:w w:val="95"/>
          <w:sz w:val="17"/>
        </w:rPr>
        <w:t>model</w:t>
      </w:r>
      <w:r>
        <w:rPr>
          <w:color w:val="231F20"/>
          <w:spacing w:val="18"/>
          <w:sz w:val="17"/>
        </w:rPr>
        <w:t xml:space="preserve"> </w:t>
      </w:r>
      <w:r>
        <w:rPr>
          <w:color w:val="231F20"/>
          <w:w w:val="95"/>
          <w:sz w:val="17"/>
        </w:rPr>
        <w:t>for</w:t>
      </w:r>
      <w:r>
        <w:rPr>
          <w:color w:val="231F20"/>
          <w:spacing w:val="19"/>
          <w:sz w:val="17"/>
        </w:rPr>
        <w:t xml:space="preserve"> </w:t>
      </w:r>
      <w:r>
        <w:rPr>
          <w:color w:val="231F20"/>
          <w:w w:val="95"/>
          <w:sz w:val="17"/>
        </w:rPr>
        <w:t>host</w:t>
      </w:r>
      <w:r>
        <w:rPr>
          <w:color w:val="231F20"/>
          <w:spacing w:val="19"/>
          <w:sz w:val="17"/>
        </w:rPr>
        <w:t xml:space="preserve"> </w:t>
      </w:r>
      <w:r>
        <w:rPr>
          <w:color w:val="231F20"/>
          <w:w w:val="95"/>
          <w:sz w:val="17"/>
        </w:rPr>
        <w:t>community</w:t>
      </w:r>
      <w:r>
        <w:rPr>
          <w:color w:val="231F20"/>
          <w:spacing w:val="18"/>
          <w:sz w:val="17"/>
        </w:rPr>
        <w:t xml:space="preserve"> </w:t>
      </w:r>
      <w:r>
        <w:rPr>
          <w:color w:val="231F20"/>
          <w:w w:val="95"/>
          <w:sz w:val="17"/>
        </w:rPr>
        <w:t>event</w:t>
      </w:r>
      <w:r>
        <w:rPr>
          <w:color w:val="231F20"/>
          <w:spacing w:val="19"/>
          <w:sz w:val="17"/>
        </w:rPr>
        <w:t xml:space="preserve"> </w:t>
      </w:r>
      <w:r>
        <w:rPr>
          <w:color w:val="231F20"/>
          <w:w w:val="95"/>
          <w:sz w:val="17"/>
        </w:rPr>
        <w:t>leverage.</w:t>
      </w:r>
      <w:r>
        <w:rPr>
          <w:color w:val="231F20"/>
          <w:spacing w:val="19"/>
          <w:sz w:val="17"/>
        </w:rPr>
        <w:t xml:space="preserve"> </w:t>
      </w:r>
      <w:r>
        <w:rPr>
          <w:color w:val="231F20"/>
          <w:spacing w:val="-5"/>
          <w:w w:val="95"/>
          <w:sz w:val="17"/>
        </w:rPr>
        <w:t>In</w:t>
      </w:r>
    </w:p>
    <w:p w14:paraId="4A264E0F" w14:textId="77777777" w:rsidR="00AE0598" w:rsidRDefault="0069255A">
      <w:pPr>
        <w:pStyle w:val="PargrafodaLista"/>
        <w:numPr>
          <w:ilvl w:val="0"/>
          <w:numId w:val="3"/>
        </w:numPr>
        <w:tabs>
          <w:tab w:val="left" w:pos="640"/>
        </w:tabs>
        <w:ind w:left="639" w:hanging="210"/>
        <w:rPr>
          <w:rFonts w:ascii="Cambria"/>
          <w:i/>
          <w:sz w:val="17"/>
        </w:rPr>
      </w:pPr>
      <w:r>
        <w:rPr>
          <w:rFonts w:ascii="Cambria"/>
          <w:color w:val="231F20"/>
          <w:sz w:val="17"/>
        </w:rPr>
        <w:t>Ritchie</w:t>
      </w:r>
      <w:r>
        <w:rPr>
          <w:rFonts w:ascii="Cambria"/>
          <w:color w:val="231F20"/>
          <w:spacing w:val="20"/>
          <w:sz w:val="17"/>
        </w:rPr>
        <w:t xml:space="preserve"> </w:t>
      </w:r>
      <w:r>
        <w:rPr>
          <w:rFonts w:ascii="Cambria"/>
          <w:color w:val="231F20"/>
          <w:sz w:val="17"/>
        </w:rPr>
        <w:t>and</w:t>
      </w:r>
      <w:r>
        <w:rPr>
          <w:rFonts w:ascii="Cambria"/>
          <w:color w:val="231F20"/>
          <w:spacing w:val="20"/>
          <w:sz w:val="17"/>
        </w:rPr>
        <w:t xml:space="preserve"> </w:t>
      </w:r>
      <w:r>
        <w:rPr>
          <w:rFonts w:ascii="Cambria"/>
          <w:color w:val="231F20"/>
          <w:sz w:val="17"/>
        </w:rPr>
        <w:t>D.</w:t>
      </w:r>
      <w:r>
        <w:rPr>
          <w:rFonts w:ascii="Cambria"/>
          <w:color w:val="231F20"/>
          <w:spacing w:val="21"/>
          <w:sz w:val="17"/>
        </w:rPr>
        <w:t xml:space="preserve"> </w:t>
      </w:r>
      <w:r>
        <w:rPr>
          <w:rFonts w:ascii="Cambria"/>
          <w:color w:val="231F20"/>
          <w:sz w:val="17"/>
        </w:rPr>
        <w:t>Adair</w:t>
      </w:r>
      <w:r>
        <w:rPr>
          <w:rFonts w:ascii="Cambria"/>
          <w:color w:val="231F20"/>
          <w:spacing w:val="20"/>
          <w:sz w:val="17"/>
        </w:rPr>
        <w:t xml:space="preserve"> </w:t>
      </w:r>
      <w:r>
        <w:rPr>
          <w:rFonts w:ascii="Cambria"/>
          <w:color w:val="231F20"/>
          <w:sz w:val="17"/>
        </w:rPr>
        <w:t>(eds)</w:t>
      </w:r>
      <w:r>
        <w:rPr>
          <w:rFonts w:ascii="Cambria"/>
          <w:color w:val="231F20"/>
          <w:spacing w:val="20"/>
          <w:sz w:val="17"/>
        </w:rPr>
        <w:t xml:space="preserve"> </w:t>
      </w:r>
      <w:r>
        <w:rPr>
          <w:rFonts w:ascii="Cambria"/>
          <w:i/>
          <w:color w:val="231F20"/>
          <w:sz w:val="17"/>
        </w:rPr>
        <w:t>Sport</w:t>
      </w:r>
      <w:r>
        <w:rPr>
          <w:rFonts w:ascii="Cambria"/>
          <w:i/>
          <w:color w:val="231F20"/>
          <w:spacing w:val="22"/>
          <w:sz w:val="17"/>
        </w:rPr>
        <w:t xml:space="preserve"> </w:t>
      </w:r>
      <w:r>
        <w:rPr>
          <w:rFonts w:ascii="Cambria"/>
          <w:i/>
          <w:color w:val="231F20"/>
          <w:sz w:val="17"/>
        </w:rPr>
        <w:t>Tourism:</w:t>
      </w:r>
      <w:r>
        <w:rPr>
          <w:rFonts w:ascii="Cambria"/>
          <w:i/>
          <w:color w:val="231F20"/>
          <w:spacing w:val="20"/>
          <w:sz w:val="17"/>
        </w:rPr>
        <w:t xml:space="preserve"> </w:t>
      </w:r>
      <w:r>
        <w:rPr>
          <w:rFonts w:ascii="Cambria"/>
          <w:i/>
          <w:color w:val="231F20"/>
          <w:sz w:val="17"/>
        </w:rPr>
        <w:t>Interrelationships,</w:t>
      </w:r>
      <w:r>
        <w:rPr>
          <w:rFonts w:ascii="Cambria"/>
          <w:i/>
          <w:color w:val="231F20"/>
          <w:spacing w:val="21"/>
          <w:sz w:val="17"/>
        </w:rPr>
        <w:t xml:space="preserve"> </w:t>
      </w:r>
      <w:r>
        <w:rPr>
          <w:rFonts w:ascii="Cambria"/>
          <w:i/>
          <w:color w:val="231F20"/>
          <w:sz w:val="17"/>
        </w:rPr>
        <w:t>Impacts</w:t>
      </w:r>
      <w:r>
        <w:rPr>
          <w:rFonts w:ascii="Cambria"/>
          <w:i/>
          <w:color w:val="231F20"/>
          <w:spacing w:val="22"/>
          <w:sz w:val="17"/>
        </w:rPr>
        <w:t xml:space="preserve"> </w:t>
      </w:r>
      <w:r>
        <w:rPr>
          <w:rFonts w:ascii="Cambria"/>
          <w:i/>
          <w:color w:val="231F20"/>
          <w:sz w:val="17"/>
        </w:rPr>
        <w:t>and</w:t>
      </w:r>
      <w:r>
        <w:rPr>
          <w:rFonts w:ascii="Cambria"/>
          <w:i/>
          <w:color w:val="231F20"/>
          <w:spacing w:val="21"/>
          <w:sz w:val="17"/>
        </w:rPr>
        <w:t xml:space="preserve"> </w:t>
      </w:r>
      <w:r>
        <w:rPr>
          <w:rFonts w:ascii="Cambria"/>
          <w:i/>
          <w:color w:val="231F20"/>
          <w:spacing w:val="-2"/>
          <w:sz w:val="17"/>
        </w:rPr>
        <w:t>Issues</w:t>
      </w:r>
    </w:p>
    <w:p w14:paraId="3A8D79EE" w14:textId="77777777" w:rsidR="00AE0598" w:rsidRDefault="0069255A">
      <w:pPr>
        <w:spacing w:before="1"/>
        <w:ind w:left="430"/>
        <w:rPr>
          <w:sz w:val="17"/>
        </w:rPr>
      </w:pPr>
      <w:r>
        <w:rPr>
          <w:color w:val="231F20"/>
          <w:w w:val="95"/>
          <w:sz w:val="17"/>
        </w:rPr>
        <w:t>(pp.</w:t>
      </w:r>
      <w:r>
        <w:rPr>
          <w:color w:val="231F20"/>
          <w:spacing w:val="19"/>
          <w:sz w:val="17"/>
        </w:rPr>
        <w:t xml:space="preserve"> </w:t>
      </w:r>
      <w:r>
        <w:rPr>
          <w:color w:val="231F20"/>
          <w:w w:val="95"/>
          <w:sz w:val="17"/>
        </w:rPr>
        <w:t>226–252).</w:t>
      </w:r>
      <w:r>
        <w:rPr>
          <w:color w:val="231F20"/>
          <w:spacing w:val="20"/>
          <w:sz w:val="17"/>
        </w:rPr>
        <w:t xml:space="preserve"> </w:t>
      </w:r>
      <w:r>
        <w:rPr>
          <w:color w:val="231F20"/>
          <w:w w:val="95"/>
          <w:sz w:val="17"/>
        </w:rPr>
        <w:t>Clevedon:</w:t>
      </w:r>
      <w:r>
        <w:rPr>
          <w:color w:val="231F20"/>
          <w:spacing w:val="19"/>
          <w:sz w:val="17"/>
        </w:rPr>
        <w:t xml:space="preserve"> </w:t>
      </w:r>
      <w:r>
        <w:rPr>
          <w:color w:val="231F20"/>
          <w:w w:val="95"/>
          <w:sz w:val="17"/>
        </w:rPr>
        <w:t>Channel</w:t>
      </w:r>
      <w:r>
        <w:rPr>
          <w:color w:val="231F20"/>
          <w:spacing w:val="20"/>
          <w:sz w:val="17"/>
        </w:rPr>
        <w:t xml:space="preserve"> </w:t>
      </w:r>
      <w:r>
        <w:rPr>
          <w:color w:val="231F20"/>
          <w:w w:val="95"/>
          <w:sz w:val="17"/>
        </w:rPr>
        <w:t>View</w:t>
      </w:r>
      <w:r>
        <w:rPr>
          <w:color w:val="231F20"/>
          <w:spacing w:val="19"/>
          <w:sz w:val="17"/>
        </w:rPr>
        <w:t xml:space="preserve"> </w:t>
      </w:r>
      <w:r>
        <w:rPr>
          <w:color w:val="231F20"/>
          <w:spacing w:val="-2"/>
          <w:w w:val="95"/>
          <w:sz w:val="17"/>
        </w:rPr>
        <w:t>Publications.</w:t>
      </w:r>
    </w:p>
    <w:p w14:paraId="608B6930" w14:textId="77777777" w:rsidR="00AE0598" w:rsidRDefault="0069255A">
      <w:pPr>
        <w:spacing w:before="1"/>
        <w:ind w:left="110" w:right="127" w:hanging="1"/>
        <w:jc w:val="right"/>
        <w:rPr>
          <w:i/>
          <w:sz w:val="17"/>
        </w:rPr>
      </w:pPr>
      <w:r>
        <w:rPr>
          <w:color w:val="231F20"/>
          <w:sz w:val="17"/>
        </w:rPr>
        <w:t>Chalip, L. (2004b) Olympic teams as market segments. In T.D. Hinch and J.E.S. Higham</w:t>
      </w:r>
      <w:r>
        <w:rPr>
          <w:color w:val="231F20"/>
          <w:spacing w:val="80"/>
          <w:sz w:val="17"/>
        </w:rPr>
        <w:t xml:space="preserve"> </w:t>
      </w:r>
      <w:r>
        <w:rPr>
          <w:color w:val="231F20"/>
          <w:sz w:val="17"/>
        </w:rPr>
        <w:t xml:space="preserve">(eds) </w:t>
      </w:r>
      <w:r>
        <w:rPr>
          <w:i/>
          <w:color w:val="231F20"/>
          <w:sz w:val="17"/>
        </w:rPr>
        <w:t xml:space="preserve">Sport Tourism Development </w:t>
      </w:r>
      <w:r>
        <w:rPr>
          <w:color w:val="231F20"/>
          <w:sz w:val="17"/>
        </w:rPr>
        <w:t>(pp. 52–54). Clevedon: Channel View Publications.</w:t>
      </w:r>
      <w:r>
        <w:rPr>
          <w:color w:val="231F20"/>
          <w:spacing w:val="40"/>
          <w:sz w:val="17"/>
        </w:rPr>
        <w:t xml:space="preserve"> </w:t>
      </w:r>
      <w:r>
        <w:rPr>
          <w:color w:val="231F20"/>
          <w:sz w:val="17"/>
        </w:rPr>
        <w:t>Chalip,</w:t>
      </w:r>
      <w:r>
        <w:rPr>
          <w:color w:val="231F20"/>
          <w:spacing w:val="22"/>
          <w:sz w:val="17"/>
        </w:rPr>
        <w:t xml:space="preserve"> </w:t>
      </w:r>
      <w:r>
        <w:rPr>
          <w:color w:val="231F20"/>
          <w:sz w:val="17"/>
        </w:rPr>
        <w:t>L.</w:t>
      </w:r>
      <w:r>
        <w:rPr>
          <w:color w:val="231F20"/>
          <w:spacing w:val="23"/>
          <w:sz w:val="17"/>
        </w:rPr>
        <w:t xml:space="preserve"> </w:t>
      </w:r>
      <w:r>
        <w:rPr>
          <w:color w:val="231F20"/>
          <w:sz w:val="17"/>
        </w:rPr>
        <w:t>(2006)</w:t>
      </w:r>
      <w:r>
        <w:rPr>
          <w:color w:val="231F20"/>
          <w:spacing w:val="22"/>
          <w:sz w:val="17"/>
        </w:rPr>
        <w:t xml:space="preserve"> </w:t>
      </w:r>
      <w:r>
        <w:rPr>
          <w:color w:val="231F20"/>
          <w:sz w:val="17"/>
        </w:rPr>
        <w:t>Towards</w:t>
      </w:r>
      <w:r>
        <w:rPr>
          <w:color w:val="231F20"/>
          <w:spacing w:val="23"/>
          <w:sz w:val="17"/>
        </w:rPr>
        <w:t xml:space="preserve"> </w:t>
      </w:r>
      <w:r>
        <w:rPr>
          <w:color w:val="231F20"/>
          <w:sz w:val="17"/>
        </w:rPr>
        <w:t>social</w:t>
      </w:r>
      <w:r>
        <w:rPr>
          <w:color w:val="231F20"/>
          <w:spacing w:val="22"/>
          <w:sz w:val="17"/>
        </w:rPr>
        <w:t xml:space="preserve"> </w:t>
      </w:r>
      <w:r>
        <w:rPr>
          <w:color w:val="231F20"/>
          <w:sz w:val="17"/>
        </w:rPr>
        <w:t>leverage</w:t>
      </w:r>
      <w:r>
        <w:rPr>
          <w:color w:val="231F20"/>
          <w:spacing w:val="23"/>
          <w:sz w:val="17"/>
        </w:rPr>
        <w:t xml:space="preserve"> </w:t>
      </w:r>
      <w:r>
        <w:rPr>
          <w:color w:val="231F20"/>
          <w:sz w:val="17"/>
        </w:rPr>
        <w:t>of</w:t>
      </w:r>
      <w:r>
        <w:rPr>
          <w:color w:val="231F20"/>
          <w:spacing w:val="23"/>
          <w:sz w:val="17"/>
        </w:rPr>
        <w:t xml:space="preserve"> </w:t>
      </w:r>
      <w:r>
        <w:rPr>
          <w:color w:val="231F20"/>
          <w:sz w:val="17"/>
        </w:rPr>
        <w:t>sport</w:t>
      </w:r>
      <w:r>
        <w:rPr>
          <w:color w:val="231F20"/>
          <w:spacing w:val="22"/>
          <w:sz w:val="17"/>
        </w:rPr>
        <w:t xml:space="preserve"> </w:t>
      </w:r>
      <w:r>
        <w:rPr>
          <w:color w:val="231F20"/>
          <w:sz w:val="17"/>
        </w:rPr>
        <w:t>events.</w:t>
      </w:r>
      <w:r>
        <w:rPr>
          <w:color w:val="231F20"/>
          <w:spacing w:val="24"/>
          <w:sz w:val="17"/>
        </w:rPr>
        <w:t xml:space="preserve"> </w:t>
      </w:r>
      <w:r>
        <w:rPr>
          <w:i/>
          <w:color w:val="231F20"/>
          <w:sz w:val="17"/>
        </w:rPr>
        <w:t>Journal</w:t>
      </w:r>
      <w:r>
        <w:rPr>
          <w:i/>
          <w:color w:val="231F20"/>
          <w:spacing w:val="22"/>
          <w:sz w:val="17"/>
        </w:rPr>
        <w:t xml:space="preserve"> </w:t>
      </w:r>
      <w:r>
        <w:rPr>
          <w:i/>
          <w:color w:val="231F20"/>
          <w:sz w:val="17"/>
        </w:rPr>
        <w:t>of</w:t>
      </w:r>
      <w:r>
        <w:rPr>
          <w:i/>
          <w:color w:val="231F20"/>
          <w:spacing w:val="23"/>
          <w:sz w:val="17"/>
        </w:rPr>
        <w:t xml:space="preserve"> </w:t>
      </w:r>
      <w:r>
        <w:rPr>
          <w:i/>
          <w:color w:val="231F20"/>
          <w:sz w:val="17"/>
        </w:rPr>
        <w:t>Sport</w:t>
      </w:r>
      <w:r>
        <w:rPr>
          <w:i/>
          <w:color w:val="231F20"/>
          <w:spacing w:val="19"/>
          <w:w w:val="110"/>
          <w:sz w:val="17"/>
        </w:rPr>
        <w:t xml:space="preserve"> </w:t>
      </w:r>
      <w:r>
        <w:rPr>
          <w:i/>
          <w:color w:val="231F20"/>
          <w:w w:val="110"/>
          <w:sz w:val="17"/>
        </w:rPr>
        <w:t>&amp;</w:t>
      </w:r>
      <w:r>
        <w:rPr>
          <w:i/>
          <w:color w:val="231F20"/>
          <w:spacing w:val="19"/>
          <w:w w:val="110"/>
          <w:sz w:val="17"/>
        </w:rPr>
        <w:t xml:space="preserve"> </w:t>
      </w:r>
      <w:r>
        <w:rPr>
          <w:i/>
          <w:color w:val="231F20"/>
          <w:spacing w:val="-2"/>
          <w:sz w:val="17"/>
        </w:rPr>
        <w:t>Tourism</w:t>
      </w:r>
    </w:p>
    <w:p w14:paraId="5F4F4C73" w14:textId="77777777" w:rsidR="00AE0598" w:rsidRDefault="0069255A">
      <w:pPr>
        <w:spacing w:before="2"/>
        <w:ind w:left="430"/>
        <w:rPr>
          <w:sz w:val="17"/>
        </w:rPr>
      </w:pPr>
      <w:r>
        <w:rPr>
          <w:color w:val="231F20"/>
          <w:w w:val="90"/>
          <w:sz w:val="17"/>
        </w:rPr>
        <w:t>11</w:t>
      </w:r>
      <w:r>
        <w:rPr>
          <w:color w:val="231F20"/>
          <w:spacing w:val="-2"/>
          <w:sz w:val="17"/>
        </w:rPr>
        <w:t xml:space="preserve"> </w:t>
      </w:r>
      <w:r>
        <w:rPr>
          <w:color w:val="231F20"/>
          <w:w w:val="90"/>
          <w:sz w:val="17"/>
        </w:rPr>
        <w:t>(2),</w:t>
      </w:r>
      <w:r>
        <w:rPr>
          <w:color w:val="231F20"/>
          <w:spacing w:val="-1"/>
          <w:sz w:val="17"/>
        </w:rPr>
        <w:t xml:space="preserve"> </w:t>
      </w:r>
      <w:r>
        <w:rPr>
          <w:color w:val="231F20"/>
          <w:spacing w:val="-2"/>
          <w:w w:val="90"/>
          <w:sz w:val="17"/>
        </w:rPr>
        <w:t>109–127.</w:t>
      </w:r>
    </w:p>
    <w:p w14:paraId="0034B4D8" w14:textId="77777777" w:rsidR="00AE0598" w:rsidRDefault="0069255A">
      <w:pPr>
        <w:spacing w:before="1"/>
        <w:ind w:left="430" w:right="127" w:hanging="320"/>
        <w:rPr>
          <w:sz w:val="17"/>
        </w:rPr>
      </w:pPr>
      <w:r>
        <w:rPr>
          <w:color w:val="231F20"/>
          <w:sz w:val="17"/>
        </w:rPr>
        <w:t>Chalip, L. and Costa, C.A. (2005) Sport event tourism and the destination brand: Towards</w:t>
      </w:r>
      <w:r>
        <w:rPr>
          <w:color w:val="231F20"/>
          <w:spacing w:val="40"/>
          <w:sz w:val="17"/>
        </w:rPr>
        <w:t xml:space="preserve"> </w:t>
      </w:r>
      <w:r>
        <w:rPr>
          <w:color w:val="231F20"/>
          <w:sz w:val="17"/>
        </w:rPr>
        <w:t xml:space="preserve">a general theory. </w:t>
      </w:r>
      <w:r>
        <w:rPr>
          <w:i/>
          <w:color w:val="231F20"/>
          <w:sz w:val="17"/>
        </w:rPr>
        <w:t xml:space="preserve">Sport in Society </w:t>
      </w:r>
      <w:r>
        <w:rPr>
          <w:color w:val="231F20"/>
          <w:sz w:val="17"/>
        </w:rPr>
        <w:t>8 (2), 218–237.</w:t>
      </w:r>
    </w:p>
    <w:p w14:paraId="010A6683" w14:textId="77777777" w:rsidR="00AE0598" w:rsidRDefault="00AE0598">
      <w:pPr>
        <w:rPr>
          <w:sz w:val="17"/>
        </w:rPr>
        <w:sectPr w:rsidR="00AE0598">
          <w:pgSz w:w="8850" w:h="13270"/>
          <w:pgMar w:top="720" w:right="1060" w:bottom="280" w:left="1080" w:header="720" w:footer="720" w:gutter="0"/>
          <w:cols w:space="720"/>
        </w:sectPr>
      </w:pPr>
    </w:p>
    <w:p w14:paraId="070B713B" w14:textId="77777777" w:rsidR="00AE0598" w:rsidRDefault="0069255A">
      <w:pPr>
        <w:spacing w:before="87"/>
        <w:ind w:left="110" w:right="128"/>
        <w:jc w:val="right"/>
        <w:rPr>
          <w:rFonts w:ascii="Trebuchet MS"/>
          <w:sz w:val="14"/>
        </w:rPr>
      </w:pPr>
      <w:r>
        <w:rPr>
          <w:rFonts w:ascii="Trebuchet MS"/>
          <w:color w:val="231F20"/>
          <w:w w:val="105"/>
          <w:sz w:val="14"/>
        </w:rPr>
        <w:lastRenderedPageBreak/>
        <w:t>References</w:t>
      </w:r>
      <w:r>
        <w:rPr>
          <w:rFonts w:ascii="Trebuchet MS"/>
          <w:color w:val="231F20"/>
          <w:spacing w:val="67"/>
          <w:w w:val="105"/>
          <w:sz w:val="14"/>
        </w:rPr>
        <w:t xml:space="preserve"> </w:t>
      </w:r>
      <w:r>
        <w:rPr>
          <w:rFonts w:ascii="Trebuchet MS"/>
          <w:color w:val="231F20"/>
          <w:spacing w:val="-5"/>
          <w:w w:val="105"/>
          <w:sz w:val="14"/>
        </w:rPr>
        <w:t>243</w:t>
      </w:r>
    </w:p>
    <w:p w14:paraId="5D03AAC7" w14:textId="77777777" w:rsidR="00AE0598" w:rsidRDefault="00AE0598">
      <w:pPr>
        <w:pStyle w:val="Corpodetexto"/>
        <w:rPr>
          <w:rFonts w:ascii="Trebuchet MS"/>
          <w:sz w:val="16"/>
        </w:rPr>
      </w:pPr>
    </w:p>
    <w:p w14:paraId="70BB783F" w14:textId="77777777" w:rsidR="00AE0598" w:rsidRDefault="0069255A">
      <w:pPr>
        <w:spacing w:before="121"/>
        <w:ind w:left="430" w:right="128" w:hanging="320"/>
        <w:jc w:val="both"/>
        <w:rPr>
          <w:sz w:val="17"/>
        </w:rPr>
      </w:pPr>
      <w:r>
        <w:rPr>
          <w:color w:val="231F20"/>
          <w:sz w:val="17"/>
        </w:rPr>
        <w:t>Chalip,</w:t>
      </w:r>
      <w:r>
        <w:rPr>
          <w:color w:val="231F20"/>
          <w:spacing w:val="-3"/>
          <w:sz w:val="17"/>
        </w:rPr>
        <w:t xml:space="preserve"> </w:t>
      </w:r>
      <w:r>
        <w:rPr>
          <w:color w:val="231F20"/>
          <w:sz w:val="17"/>
        </w:rPr>
        <w:t>L.</w:t>
      </w:r>
      <w:r>
        <w:rPr>
          <w:color w:val="231F20"/>
          <w:spacing w:val="-2"/>
          <w:sz w:val="17"/>
        </w:rPr>
        <w:t xml:space="preserve"> </w:t>
      </w:r>
      <w:r>
        <w:rPr>
          <w:color w:val="231F20"/>
          <w:sz w:val="17"/>
        </w:rPr>
        <w:t>and</w:t>
      </w:r>
      <w:r>
        <w:rPr>
          <w:color w:val="231F20"/>
          <w:spacing w:val="-3"/>
          <w:sz w:val="17"/>
        </w:rPr>
        <w:t xml:space="preserve"> </w:t>
      </w:r>
      <w:r>
        <w:rPr>
          <w:color w:val="231F20"/>
          <w:sz w:val="17"/>
        </w:rPr>
        <w:t>McGuirty,</w:t>
      </w:r>
      <w:r>
        <w:rPr>
          <w:color w:val="231F20"/>
          <w:spacing w:val="-3"/>
          <w:sz w:val="17"/>
        </w:rPr>
        <w:t xml:space="preserve"> </w:t>
      </w:r>
      <w:r>
        <w:rPr>
          <w:color w:val="231F20"/>
          <w:sz w:val="17"/>
        </w:rPr>
        <w:t>J.</w:t>
      </w:r>
      <w:r>
        <w:rPr>
          <w:color w:val="231F20"/>
          <w:spacing w:val="-3"/>
          <w:sz w:val="17"/>
        </w:rPr>
        <w:t xml:space="preserve"> </w:t>
      </w:r>
      <w:r>
        <w:rPr>
          <w:color w:val="231F20"/>
          <w:sz w:val="17"/>
        </w:rPr>
        <w:t>(2004)</w:t>
      </w:r>
      <w:r>
        <w:rPr>
          <w:color w:val="231F20"/>
          <w:spacing w:val="-2"/>
          <w:sz w:val="17"/>
        </w:rPr>
        <w:t xml:space="preserve"> </w:t>
      </w:r>
      <w:r>
        <w:rPr>
          <w:color w:val="231F20"/>
          <w:sz w:val="17"/>
        </w:rPr>
        <w:t>Bundling</w:t>
      </w:r>
      <w:r>
        <w:rPr>
          <w:color w:val="231F20"/>
          <w:spacing w:val="-3"/>
          <w:sz w:val="17"/>
        </w:rPr>
        <w:t xml:space="preserve"> </w:t>
      </w:r>
      <w:r>
        <w:rPr>
          <w:color w:val="231F20"/>
          <w:sz w:val="17"/>
        </w:rPr>
        <w:t>sport</w:t>
      </w:r>
      <w:r>
        <w:rPr>
          <w:color w:val="231F20"/>
          <w:spacing w:val="-3"/>
          <w:sz w:val="17"/>
        </w:rPr>
        <w:t xml:space="preserve"> </w:t>
      </w:r>
      <w:r>
        <w:rPr>
          <w:color w:val="231F20"/>
          <w:sz w:val="17"/>
        </w:rPr>
        <w:t>events</w:t>
      </w:r>
      <w:r>
        <w:rPr>
          <w:color w:val="231F20"/>
          <w:spacing w:val="-2"/>
          <w:sz w:val="17"/>
        </w:rPr>
        <w:t xml:space="preserve"> </w:t>
      </w:r>
      <w:r>
        <w:rPr>
          <w:color w:val="231F20"/>
          <w:sz w:val="17"/>
        </w:rPr>
        <w:t>with</w:t>
      </w:r>
      <w:r>
        <w:rPr>
          <w:color w:val="231F20"/>
          <w:spacing w:val="-2"/>
          <w:sz w:val="17"/>
        </w:rPr>
        <w:t xml:space="preserve"> </w:t>
      </w:r>
      <w:r>
        <w:rPr>
          <w:color w:val="231F20"/>
          <w:sz w:val="17"/>
        </w:rPr>
        <w:t>the</w:t>
      </w:r>
      <w:r>
        <w:rPr>
          <w:color w:val="231F20"/>
          <w:spacing w:val="-3"/>
          <w:sz w:val="17"/>
        </w:rPr>
        <w:t xml:space="preserve"> </w:t>
      </w:r>
      <w:r>
        <w:rPr>
          <w:color w:val="231F20"/>
          <w:sz w:val="17"/>
        </w:rPr>
        <w:t>host</w:t>
      </w:r>
      <w:r>
        <w:rPr>
          <w:color w:val="231F20"/>
          <w:spacing w:val="-2"/>
          <w:sz w:val="17"/>
        </w:rPr>
        <w:t xml:space="preserve"> </w:t>
      </w:r>
      <w:r>
        <w:rPr>
          <w:color w:val="231F20"/>
          <w:sz w:val="17"/>
        </w:rPr>
        <w:t>destination.</w:t>
      </w:r>
      <w:r>
        <w:rPr>
          <w:color w:val="231F20"/>
          <w:spacing w:val="-2"/>
          <w:sz w:val="17"/>
        </w:rPr>
        <w:t xml:space="preserve"> </w:t>
      </w:r>
      <w:r>
        <w:rPr>
          <w:i/>
          <w:color w:val="231F20"/>
          <w:sz w:val="17"/>
        </w:rPr>
        <w:t>Journal</w:t>
      </w:r>
      <w:r>
        <w:rPr>
          <w:i/>
          <w:color w:val="231F20"/>
          <w:spacing w:val="40"/>
          <w:w w:val="105"/>
          <w:sz w:val="17"/>
        </w:rPr>
        <w:t xml:space="preserve"> </w:t>
      </w:r>
      <w:r>
        <w:rPr>
          <w:i/>
          <w:color w:val="231F20"/>
          <w:w w:val="105"/>
          <w:sz w:val="17"/>
        </w:rPr>
        <w:t xml:space="preserve">of Sport </w:t>
      </w:r>
      <w:r>
        <w:rPr>
          <w:i/>
          <w:color w:val="231F20"/>
          <w:w w:val="110"/>
          <w:sz w:val="17"/>
        </w:rPr>
        <w:t xml:space="preserve">&amp; </w:t>
      </w:r>
      <w:r>
        <w:rPr>
          <w:i/>
          <w:color w:val="231F20"/>
          <w:w w:val="105"/>
          <w:sz w:val="17"/>
        </w:rPr>
        <w:t xml:space="preserve">Tourism </w:t>
      </w:r>
      <w:r>
        <w:rPr>
          <w:color w:val="231F20"/>
          <w:w w:val="105"/>
          <w:sz w:val="17"/>
        </w:rPr>
        <w:t>9 (3), 267–282.</w:t>
      </w:r>
    </w:p>
    <w:p w14:paraId="6300EE90" w14:textId="77777777" w:rsidR="00AE0598" w:rsidRDefault="0069255A">
      <w:pPr>
        <w:spacing w:before="1"/>
        <w:ind w:left="430" w:right="128" w:hanging="320"/>
        <w:jc w:val="both"/>
        <w:rPr>
          <w:sz w:val="17"/>
        </w:rPr>
      </w:pPr>
      <w:r>
        <w:rPr>
          <w:color w:val="231F20"/>
          <w:sz w:val="17"/>
        </w:rPr>
        <w:t>Chalip, L., Green, B.C. and Vander Velden, L. (1998) Sources of interest in travel to the</w:t>
      </w:r>
      <w:r>
        <w:rPr>
          <w:color w:val="231F20"/>
          <w:spacing w:val="40"/>
          <w:sz w:val="17"/>
        </w:rPr>
        <w:t xml:space="preserve"> </w:t>
      </w:r>
      <w:r>
        <w:rPr>
          <w:color w:val="231F20"/>
          <w:sz w:val="17"/>
        </w:rPr>
        <w:t xml:space="preserve">Olympic Games. </w:t>
      </w:r>
      <w:r>
        <w:rPr>
          <w:i/>
          <w:color w:val="231F20"/>
          <w:sz w:val="17"/>
        </w:rPr>
        <w:t xml:space="preserve">Journal of Vacation Marketing </w:t>
      </w:r>
      <w:r>
        <w:rPr>
          <w:color w:val="231F20"/>
          <w:sz w:val="17"/>
        </w:rPr>
        <w:t>4 (1), 7–22.</w:t>
      </w:r>
    </w:p>
    <w:p w14:paraId="35CCF6E2" w14:textId="77777777" w:rsidR="00AE0598" w:rsidRDefault="0069255A">
      <w:pPr>
        <w:spacing w:before="2"/>
        <w:ind w:left="430" w:right="128" w:hanging="320"/>
        <w:jc w:val="both"/>
        <w:rPr>
          <w:sz w:val="17"/>
        </w:rPr>
      </w:pPr>
      <w:r>
        <w:rPr>
          <w:color w:val="231F20"/>
          <w:sz w:val="17"/>
        </w:rPr>
        <w:t>Chalip, L., Green, B.C. and Hill, B. (2003) Effects of sport event media on destination</w:t>
      </w:r>
      <w:r>
        <w:rPr>
          <w:color w:val="231F20"/>
          <w:spacing w:val="40"/>
          <w:sz w:val="17"/>
        </w:rPr>
        <w:t xml:space="preserve"> </w:t>
      </w:r>
      <w:r>
        <w:rPr>
          <w:color w:val="231F20"/>
          <w:sz w:val="17"/>
        </w:rPr>
        <w:t xml:space="preserve">image and intention to visit. </w:t>
      </w:r>
      <w:r>
        <w:rPr>
          <w:i/>
          <w:color w:val="231F20"/>
          <w:sz w:val="17"/>
        </w:rPr>
        <w:t xml:space="preserve">Journal of Sport Management </w:t>
      </w:r>
      <w:r>
        <w:rPr>
          <w:color w:val="231F20"/>
          <w:sz w:val="17"/>
        </w:rPr>
        <w:t>17 (3), 214–234.</w:t>
      </w:r>
    </w:p>
    <w:p w14:paraId="13281D83" w14:textId="77777777" w:rsidR="00AE0598" w:rsidRDefault="0069255A">
      <w:pPr>
        <w:spacing w:before="1"/>
        <w:ind w:left="430" w:right="128" w:hanging="320"/>
        <w:jc w:val="both"/>
        <w:rPr>
          <w:sz w:val="17"/>
        </w:rPr>
      </w:pPr>
      <w:r>
        <w:rPr>
          <w:color w:val="231F20"/>
          <w:sz w:val="17"/>
        </w:rPr>
        <w:t>Chang, P.C. and Singh, K.K. (1990) Risk management for mega-events: The 1988 Olympic</w:t>
      </w:r>
      <w:r>
        <w:rPr>
          <w:color w:val="231F20"/>
          <w:spacing w:val="40"/>
          <w:sz w:val="17"/>
        </w:rPr>
        <w:t xml:space="preserve"> </w:t>
      </w:r>
      <w:r>
        <w:rPr>
          <w:color w:val="231F20"/>
          <w:sz w:val="17"/>
        </w:rPr>
        <w:t>Winter G</w:t>
      </w:r>
      <w:r>
        <w:rPr>
          <w:color w:val="231F20"/>
          <w:sz w:val="17"/>
        </w:rPr>
        <w:t xml:space="preserve">ames. </w:t>
      </w:r>
      <w:r>
        <w:rPr>
          <w:i/>
          <w:color w:val="231F20"/>
          <w:sz w:val="17"/>
        </w:rPr>
        <w:t xml:space="preserve">Tourism Management </w:t>
      </w:r>
      <w:r>
        <w:rPr>
          <w:color w:val="231F20"/>
          <w:sz w:val="17"/>
        </w:rPr>
        <w:t>11 (1), 45–52.</w:t>
      </w:r>
    </w:p>
    <w:p w14:paraId="0500E32A" w14:textId="77777777" w:rsidR="00AE0598" w:rsidRDefault="0069255A">
      <w:pPr>
        <w:spacing w:before="1"/>
        <w:ind w:left="430" w:right="128" w:hanging="320"/>
        <w:jc w:val="both"/>
        <w:rPr>
          <w:sz w:val="17"/>
        </w:rPr>
      </w:pPr>
      <w:r>
        <w:rPr>
          <w:color w:val="231F20"/>
          <w:w w:val="95"/>
          <w:sz w:val="17"/>
        </w:rPr>
        <w:t>Chapin, T.S. (2004) Sports facilities as urban redevelopment catalysts: Baltimore’s Camden</w:t>
      </w:r>
      <w:r>
        <w:rPr>
          <w:color w:val="231F20"/>
          <w:spacing w:val="40"/>
          <w:sz w:val="17"/>
        </w:rPr>
        <w:t xml:space="preserve"> </w:t>
      </w:r>
      <w:r>
        <w:rPr>
          <w:color w:val="231F20"/>
          <w:sz w:val="17"/>
        </w:rPr>
        <w:t xml:space="preserve">Yards and Cleveland’s Gateway. </w:t>
      </w:r>
      <w:r>
        <w:rPr>
          <w:i/>
          <w:color w:val="231F20"/>
          <w:sz w:val="17"/>
        </w:rPr>
        <w:t xml:space="preserve">Journal of the American Planning Association </w:t>
      </w:r>
      <w:r>
        <w:rPr>
          <w:color w:val="231F20"/>
          <w:sz w:val="17"/>
        </w:rPr>
        <w:t>70 (2),</w:t>
      </w:r>
      <w:r>
        <w:rPr>
          <w:color w:val="231F20"/>
          <w:spacing w:val="40"/>
          <w:sz w:val="17"/>
        </w:rPr>
        <w:t xml:space="preserve"> </w:t>
      </w:r>
      <w:r>
        <w:rPr>
          <w:color w:val="231F20"/>
          <w:spacing w:val="-2"/>
          <w:sz w:val="17"/>
        </w:rPr>
        <w:t>193–209.</w:t>
      </w:r>
    </w:p>
    <w:p w14:paraId="0E177B0F" w14:textId="77777777" w:rsidR="00AE0598" w:rsidRDefault="0069255A">
      <w:pPr>
        <w:spacing w:before="3"/>
        <w:ind w:left="430" w:right="127" w:hanging="320"/>
        <w:jc w:val="both"/>
        <w:rPr>
          <w:sz w:val="17"/>
        </w:rPr>
      </w:pPr>
      <w:r>
        <w:rPr>
          <w:color w:val="231F20"/>
          <w:sz w:val="17"/>
        </w:rPr>
        <w:t>Chapman, A. and Light, D. (2016)</w:t>
      </w:r>
      <w:r>
        <w:rPr>
          <w:color w:val="231F20"/>
          <w:sz w:val="17"/>
        </w:rPr>
        <w:t xml:space="preserve"> Exploring the tourist destination as a mosaic: The</w:t>
      </w:r>
      <w:r>
        <w:rPr>
          <w:color w:val="231F20"/>
          <w:spacing w:val="40"/>
          <w:sz w:val="17"/>
        </w:rPr>
        <w:t xml:space="preserve"> </w:t>
      </w:r>
      <w:r>
        <w:rPr>
          <w:color w:val="231F20"/>
          <w:sz w:val="17"/>
        </w:rPr>
        <w:t xml:space="preserve">alternative lifecycles of the seaside amusement arcade sector in Britain. </w:t>
      </w:r>
      <w:r>
        <w:rPr>
          <w:i/>
          <w:color w:val="231F20"/>
          <w:sz w:val="17"/>
        </w:rPr>
        <w:t>Tourism</w:t>
      </w:r>
      <w:r>
        <w:rPr>
          <w:i/>
          <w:color w:val="231F20"/>
          <w:spacing w:val="40"/>
          <w:sz w:val="17"/>
        </w:rPr>
        <w:t xml:space="preserve"> </w:t>
      </w:r>
      <w:r>
        <w:rPr>
          <w:i/>
          <w:color w:val="231F20"/>
          <w:sz w:val="17"/>
        </w:rPr>
        <w:t xml:space="preserve">Management </w:t>
      </w:r>
      <w:r>
        <w:rPr>
          <w:color w:val="231F20"/>
          <w:sz w:val="17"/>
        </w:rPr>
        <w:t>52, 254–263.</w:t>
      </w:r>
    </w:p>
    <w:p w14:paraId="35D895CA" w14:textId="77777777" w:rsidR="00AE0598" w:rsidRDefault="0069255A">
      <w:pPr>
        <w:spacing w:before="2"/>
        <w:ind w:left="110"/>
        <w:jc w:val="both"/>
        <w:rPr>
          <w:sz w:val="17"/>
        </w:rPr>
      </w:pPr>
      <w:r>
        <w:rPr>
          <w:color w:val="231F20"/>
          <w:sz w:val="17"/>
        </w:rPr>
        <w:t>Chelladurai,</w:t>
      </w:r>
      <w:r>
        <w:rPr>
          <w:color w:val="231F20"/>
          <w:spacing w:val="13"/>
          <w:sz w:val="17"/>
        </w:rPr>
        <w:t xml:space="preserve"> </w:t>
      </w:r>
      <w:r>
        <w:rPr>
          <w:color w:val="231F20"/>
          <w:sz w:val="17"/>
        </w:rPr>
        <w:t>P.</w:t>
      </w:r>
      <w:r>
        <w:rPr>
          <w:color w:val="231F20"/>
          <w:spacing w:val="13"/>
          <w:sz w:val="17"/>
        </w:rPr>
        <w:t xml:space="preserve"> </w:t>
      </w:r>
      <w:r>
        <w:rPr>
          <w:color w:val="231F20"/>
          <w:sz w:val="17"/>
        </w:rPr>
        <w:t>and</w:t>
      </w:r>
      <w:r>
        <w:rPr>
          <w:color w:val="231F20"/>
          <w:spacing w:val="13"/>
          <w:sz w:val="17"/>
        </w:rPr>
        <w:t xml:space="preserve"> </w:t>
      </w:r>
      <w:r>
        <w:rPr>
          <w:color w:val="231F20"/>
          <w:sz w:val="17"/>
        </w:rPr>
        <w:t>Chang,</w:t>
      </w:r>
      <w:r>
        <w:rPr>
          <w:color w:val="231F20"/>
          <w:spacing w:val="13"/>
          <w:sz w:val="17"/>
        </w:rPr>
        <w:t xml:space="preserve"> </w:t>
      </w:r>
      <w:r>
        <w:rPr>
          <w:color w:val="231F20"/>
          <w:sz w:val="17"/>
        </w:rPr>
        <w:t>K.</w:t>
      </w:r>
      <w:r>
        <w:rPr>
          <w:color w:val="231F20"/>
          <w:spacing w:val="14"/>
          <w:sz w:val="17"/>
        </w:rPr>
        <w:t xml:space="preserve"> </w:t>
      </w:r>
      <w:r>
        <w:rPr>
          <w:color w:val="231F20"/>
          <w:sz w:val="17"/>
        </w:rPr>
        <w:t>(2000)</w:t>
      </w:r>
      <w:r>
        <w:rPr>
          <w:color w:val="231F20"/>
          <w:spacing w:val="13"/>
          <w:sz w:val="17"/>
        </w:rPr>
        <w:t xml:space="preserve"> </w:t>
      </w:r>
      <w:r>
        <w:rPr>
          <w:color w:val="231F20"/>
          <w:sz w:val="17"/>
        </w:rPr>
        <w:t>Targets</w:t>
      </w:r>
      <w:r>
        <w:rPr>
          <w:color w:val="231F20"/>
          <w:spacing w:val="13"/>
          <w:sz w:val="17"/>
        </w:rPr>
        <w:t xml:space="preserve"> </w:t>
      </w:r>
      <w:r>
        <w:rPr>
          <w:color w:val="231F20"/>
          <w:sz w:val="17"/>
        </w:rPr>
        <w:t>and</w:t>
      </w:r>
      <w:r>
        <w:rPr>
          <w:color w:val="231F20"/>
          <w:spacing w:val="13"/>
          <w:sz w:val="17"/>
        </w:rPr>
        <w:t xml:space="preserve"> </w:t>
      </w:r>
      <w:r>
        <w:rPr>
          <w:color w:val="231F20"/>
          <w:sz w:val="17"/>
        </w:rPr>
        <w:t>standards</w:t>
      </w:r>
      <w:r>
        <w:rPr>
          <w:color w:val="231F20"/>
          <w:spacing w:val="14"/>
          <w:sz w:val="17"/>
        </w:rPr>
        <w:t xml:space="preserve"> </w:t>
      </w:r>
      <w:r>
        <w:rPr>
          <w:color w:val="231F20"/>
          <w:sz w:val="17"/>
        </w:rPr>
        <w:t>of</w:t>
      </w:r>
      <w:r>
        <w:rPr>
          <w:color w:val="231F20"/>
          <w:spacing w:val="13"/>
          <w:sz w:val="17"/>
        </w:rPr>
        <w:t xml:space="preserve"> </w:t>
      </w:r>
      <w:r>
        <w:rPr>
          <w:color w:val="231F20"/>
          <w:sz w:val="17"/>
        </w:rPr>
        <w:t>quality</w:t>
      </w:r>
      <w:r>
        <w:rPr>
          <w:color w:val="231F20"/>
          <w:spacing w:val="13"/>
          <w:sz w:val="17"/>
        </w:rPr>
        <w:t xml:space="preserve"> </w:t>
      </w:r>
      <w:r>
        <w:rPr>
          <w:color w:val="231F20"/>
          <w:sz w:val="17"/>
        </w:rPr>
        <w:t>in</w:t>
      </w:r>
      <w:r>
        <w:rPr>
          <w:color w:val="231F20"/>
          <w:spacing w:val="13"/>
          <w:sz w:val="17"/>
        </w:rPr>
        <w:t xml:space="preserve"> </w:t>
      </w:r>
      <w:r>
        <w:rPr>
          <w:color w:val="231F20"/>
          <w:sz w:val="17"/>
        </w:rPr>
        <w:t>sport</w:t>
      </w:r>
      <w:r>
        <w:rPr>
          <w:color w:val="231F20"/>
          <w:spacing w:val="13"/>
          <w:sz w:val="17"/>
        </w:rPr>
        <w:t xml:space="preserve"> </w:t>
      </w:r>
      <w:r>
        <w:rPr>
          <w:color w:val="231F20"/>
          <w:spacing w:val="-2"/>
          <w:sz w:val="17"/>
        </w:rPr>
        <w:t>services.</w:t>
      </w:r>
    </w:p>
    <w:p w14:paraId="50F727B8" w14:textId="77777777" w:rsidR="00AE0598" w:rsidRDefault="0069255A">
      <w:pPr>
        <w:ind w:left="430"/>
        <w:jc w:val="both"/>
        <w:rPr>
          <w:sz w:val="17"/>
        </w:rPr>
      </w:pPr>
      <w:r>
        <w:rPr>
          <w:i/>
          <w:color w:val="231F20"/>
          <w:sz w:val="17"/>
        </w:rPr>
        <w:t>Sport</w:t>
      </w:r>
      <w:r>
        <w:rPr>
          <w:i/>
          <w:color w:val="231F20"/>
          <w:spacing w:val="5"/>
          <w:sz w:val="17"/>
        </w:rPr>
        <w:t xml:space="preserve"> </w:t>
      </w:r>
      <w:r>
        <w:rPr>
          <w:i/>
          <w:color w:val="231F20"/>
          <w:sz w:val="17"/>
        </w:rPr>
        <w:t>Management</w:t>
      </w:r>
      <w:r>
        <w:rPr>
          <w:i/>
          <w:color w:val="231F20"/>
          <w:spacing w:val="5"/>
          <w:sz w:val="17"/>
        </w:rPr>
        <w:t xml:space="preserve"> </w:t>
      </w:r>
      <w:r>
        <w:rPr>
          <w:i/>
          <w:color w:val="231F20"/>
          <w:sz w:val="17"/>
        </w:rPr>
        <w:t>Review</w:t>
      </w:r>
      <w:r>
        <w:rPr>
          <w:i/>
          <w:color w:val="231F20"/>
          <w:spacing w:val="5"/>
          <w:sz w:val="17"/>
        </w:rPr>
        <w:t xml:space="preserve"> </w:t>
      </w:r>
      <w:r>
        <w:rPr>
          <w:color w:val="231F20"/>
          <w:sz w:val="17"/>
        </w:rPr>
        <w:t>3</w:t>
      </w:r>
      <w:r>
        <w:rPr>
          <w:color w:val="231F20"/>
          <w:spacing w:val="5"/>
          <w:sz w:val="17"/>
        </w:rPr>
        <w:t xml:space="preserve"> </w:t>
      </w:r>
      <w:r>
        <w:rPr>
          <w:color w:val="231F20"/>
          <w:sz w:val="17"/>
        </w:rPr>
        <w:t>(1),</w:t>
      </w:r>
      <w:r>
        <w:rPr>
          <w:color w:val="231F20"/>
          <w:spacing w:val="5"/>
          <w:sz w:val="17"/>
        </w:rPr>
        <w:t xml:space="preserve"> </w:t>
      </w:r>
      <w:r>
        <w:rPr>
          <w:color w:val="231F20"/>
          <w:spacing w:val="-2"/>
          <w:sz w:val="17"/>
        </w:rPr>
        <w:t>1–22.</w:t>
      </w:r>
    </w:p>
    <w:p w14:paraId="34BBA6AB" w14:textId="77777777" w:rsidR="00AE0598" w:rsidRDefault="0069255A">
      <w:pPr>
        <w:spacing w:before="1"/>
        <w:ind w:left="430" w:right="128" w:hanging="320"/>
        <w:jc w:val="both"/>
        <w:rPr>
          <w:sz w:val="17"/>
        </w:rPr>
      </w:pPr>
      <w:r>
        <w:rPr>
          <w:color w:val="231F20"/>
          <w:sz w:val="17"/>
        </w:rPr>
        <w:t xml:space="preserve">Chen, </w:t>
      </w:r>
      <w:r>
        <w:rPr>
          <w:color w:val="231F20"/>
          <w:w w:val="110"/>
          <w:sz w:val="17"/>
        </w:rPr>
        <w:t xml:space="preserve">K.C., </w:t>
      </w:r>
      <w:r>
        <w:rPr>
          <w:color w:val="231F20"/>
          <w:sz w:val="17"/>
        </w:rPr>
        <w:t xml:space="preserve">Groves, </w:t>
      </w:r>
      <w:r>
        <w:rPr>
          <w:color w:val="231F20"/>
          <w:w w:val="110"/>
          <w:sz w:val="17"/>
        </w:rPr>
        <w:t xml:space="preserve">D. </w:t>
      </w:r>
      <w:r>
        <w:rPr>
          <w:color w:val="231F20"/>
          <w:sz w:val="17"/>
        </w:rPr>
        <w:t xml:space="preserve">and Lengfelder, </w:t>
      </w:r>
      <w:r>
        <w:rPr>
          <w:color w:val="231F20"/>
          <w:w w:val="110"/>
          <w:sz w:val="17"/>
        </w:rPr>
        <w:t xml:space="preserve">J. </w:t>
      </w:r>
      <w:r>
        <w:rPr>
          <w:color w:val="231F20"/>
          <w:sz w:val="17"/>
        </w:rPr>
        <w:t>(1999) A system model of sport tourism with</w:t>
      </w:r>
      <w:r>
        <w:rPr>
          <w:color w:val="231F20"/>
          <w:spacing w:val="40"/>
          <w:sz w:val="17"/>
        </w:rPr>
        <w:t xml:space="preserve"> </w:t>
      </w:r>
      <w:r>
        <w:rPr>
          <w:color w:val="231F20"/>
          <w:sz w:val="17"/>
        </w:rPr>
        <w:t xml:space="preserve">implications for research. </w:t>
      </w:r>
      <w:r>
        <w:rPr>
          <w:i/>
          <w:color w:val="231F20"/>
          <w:sz w:val="17"/>
        </w:rPr>
        <w:t xml:space="preserve">Visions in Leisure and Business </w:t>
      </w:r>
      <w:r>
        <w:rPr>
          <w:color w:val="231F20"/>
          <w:sz w:val="17"/>
        </w:rPr>
        <w:t>18 (1), 34–44.</w:t>
      </w:r>
    </w:p>
    <w:p w14:paraId="1DF5CC62" w14:textId="77777777" w:rsidR="00AE0598" w:rsidRDefault="0069255A">
      <w:pPr>
        <w:spacing w:before="1"/>
        <w:ind w:left="110"/>
        <w:jc w:val="both"/>
        <w:rPr>
          <w:sz w:val="17"/>
        </w:rPr>
      </w:pPr>
      <w:r>
        <w:rPr>
          <w:color w:val="231F20"/>
          <w:w w:val="95"/>
          <w:sz w:val="17"/>
        </w:rPr>
        <w:t>Chernushenko,</w:t>
      </w:r>
      <w:r>
        <w:rPr>
          <w:color w:val="231F20"/>
          <w:spacing w:val="32"/>
          <w:sz w:val="17"/>
        </w:rPr>
        <w:t xml:space="preserve"> </w:t>
      </w:r>
      <w:r>
        <w:rPr>
          <w:color w:val="231F20"/>
          <w:w w:val="95"/>
          <w:sz w:val="17"/>
        </w:rPr>
        <w:t>D.</w:t>
      </w:r>
      <w:r>
        <w:rPr>
          <w:color w:val="231F20"/>
          <w:spacing w:val="33"/>
          <w:sz w:val="17"/>
        </w:rPr>
        <w:t xml:space="preserve"> </w:t>
      </w:r>
      <w:r>
        <w:rPr>
          <w:color w:val="231F20"/>
          <w:w w:val="95"/>
          <w:sz w:val="17"/>
        </w:rPr>
        <w:t>(1996)</w:t>
      </w:r>
      <w:r>
        <w:rPr>
          <w:color w:val="231F20"/>
          <w:spacing w:val="33"/>
          <w:sz w:val="17"/>
        </w:rPr>
        <w:t xml:space="preserve"> </w:t>
      </w:r>
      <w:r>
        <w:rPr>
          <w:color w:val="231F20"/>
          <w:w w:val="95"/>
          <w:sz w:val="17"/>
        </w:rPr>
        <w:t>Sports</w:t>
      </w:r>
      <w:r>
        <w:rPr>
          <w:color w:val="231F20"/>
          <w:spacing w:val="33"/>
          <w:sz w:val="17"/>
        </w:rPr>
        <w:t xml:space="preserve"> </w:t>
      </w:r>
      <w:r>
        <w:rPr>
          <w:color w:val="231F20"/>
          <w:w w:val="95"/>
          <w:sz w:val="17"/>
        </w:rPr>
        <w:t>tourism</w:t>
      </w:r>
      <w:r>
        <w:rPr>
          <w:color w:val="231F20"/>
          <w:spacing w:val="33"/>
          <w:sz w:val="17"/>
        </w:rPr>
        <w:t xml:space="preserve"> </w:t>
      </w:r>
      <w:r>
        <w:rPr>
          <w:color w:val="231F20"/>
          <w:w w:val="95"/>
          <w:sz w:val="17"/>
        </w:rPr>
        <w:t>goes</w:t>
      </w:r>
      <w:r>
        <w:rPr>
          <w:color w:val="231F20"/>
          <w:spacing w:val="33"/>
          <w:sz w:val="17"/>
        </w:rPr>
        <w:t xml:space="preserve"> </w:t>
      </w:r>
      <w:r>
        <w:rPr>
          <w:color w:val="231F20"/>
          <w:w w:val="95"/>
          <w:sz w:val="17"/>
        </w:rPr>
        <w:t>sustainable:</w:t>
      </w:r>
      <w:r>
        <w:rPr>
          <w:color w:val="231F20"/>
          <w:spacing w:val="33"/>
          <w:sz w:val="17"/>
        </w:rPr>
        <w:t xml:space="preserve"> </w:t>
      </w:r>
      <w:r>
        <w:rPr>
          <w:color w:val="231F20"/>
          <w:w w:val="95"/>
          <w:sz w:val="17"/>
        </w:rPr>
        <w:t>The</w:t>
      </w:r>
      <w:r>
        <w:rPr>
          <w:color w:val="231F20"/>
          <w:spacing w:val="33"/>
          <w:sz w:val="17"/>
        </w:rPr>
        <w:t xml:space="preserve"> </w:t>
      </w:r>
      <w:r>
        <w:rPr>
          <w:color w:val="231F20"/>
          <w:w w:val="95"/>
          <w:sz w:val="17"/>
        </w:rPr>
        <w:t>Lillehammer</w:t>
      </w:r>
      <w:r>
        <w:rPr>
          <w:color w:val="231F20"/>
          <w:spacing w:val="33"/>
          <w:sz w:val="17"/>
        </w:rPr>
        <w:t xml:space="preserve"> </w:t>
      </w:r>
      <w:r>
        <w:rPr>
          <w:color w:val="231F20"/>
          <w:spacing w:val="-2"/>
          <w:w w:val="95"/>
          <w:sz w:val="17"/>
        </w:rPr>
        <w:t>Experience.</w:t>
      </w:r>
    </w:p>
    <w:p w14:paraId="79AE9268" w14:textId="77777777" w:rsidR="00AE0598" w:rsidRDefault="0069255A">
      <w:pPr>
        <w:spacing w:before="1"/>
        <w:ind w:left="430"/>
        <w:jc w:val="both"/>
        <w:rPr>
          <w:sz w:val="17"/>
        </w:rPr>
      </w:pPr>
      <w:r>
        <w:rPr>
          <w:i/>
          <w:color w:val="231F20"/>
          <w:sz w:val="17"/>
        </w:rPr>
        <w:t>Visions</w:t>
      </w:r>
      <w:r>
        <w:rPr>
          <w:i/>
          <w:color w:val="231F20"/>
          <w:spacing w:val="3"/>
          <w:sz w:val="17"/>
        </w:rPr>
        <w:t xml:space="preserve"> </w:t>
      </w:r>
      <w:r>
        <w:rPr>
          <w:i/>
          <w:color w:val="231F20"/>
          <w:sz w:val="17"/>
        </w:rPr>
        <w:t>in</w:t>
      </w:r>
      <w:r>
        <w:rPr>
          <w:i/>
          <w:color w:val="231F20"/>
          <w:spacing w:val="3"/>
          <w:sz w:val="17"/>
        </w:rPr>
        <w:t xml:space="preserve"> </w:t>
      </w:r>
      <w:r>
        <w:rPr>
          <w:i/>
          <w:color w:val="231F20"/>
          <w:sz w:val="17"/>
        </w:rPr>
        <w:t>Leisure</w:t>
      </w:r>
      <w:r>
        <w:rPr>
          <w:i/>
          <w:color w:val="231F20"/>
          <w:spacing w:val="3"/>
          <w:sz w:val="17"/>
        </w:rPr>
        <w:t xml:space="preserve"> </w:t>
      </w:r>
      <w:r>
        <w:rPr>
          <w:i/>
          <w:color w:val="231F20"/>
          <w:sz w:val="17"/>
        </w:rPr>
        <w:t>and</w:t>
      </w:r>
      <w:r>
        <w:rPr>
          <w:i/>
          <w:color w:val="231F20"/>
          <w:spacing w:val="3"/>
          <w:sz w:val="17"/>
        </w:rPr>
        <w:t xml:space="preserve"> </w:t>
      </w:r>
      <w:r>
        <w:rPr>
          <w:i/>
          <w:color w:val="231F20"/>
          <w:sz w:val="17"/>
        </w:rPr>
        <w:t>Business</w:t>
      </w:r>
      <w:r>
        <w:rPr>
          <w:i/>
          <w:color w:val="231F20"/>
          <w:spacing w:val="3"/>
          <w:sz w:val="17"/>
        </w:rPr>
        <w:t xml:space="preserve"> </w:t>
      </w:r>
      <w:r>
        <w:rPr>
          <w:color w:val="231F20"/>
          <w:sz w:val="17"/>
        </w:rPr>
        <w:t>15</w:t>
      </w:r>
      <w:r>
        <w:rPr>
          <w:color w:val="231F20"/>
          <w:spacing w:val="3"/>
          <w:sz w:val="17"/>
        </w:rPr>
        <w:t xml:space="preserve"> </w:t>
      </w:r>
      <w:r>
        <w:rPr>
          <w:color w:val="231F20"/>
          <w:sz w:val="17"/>
        </w:rPr>
        <w:t>(1),</w:t>
      </w:r>
      <w:r>
        <w:rPr>
          <w:color w:val="231F20"/>
          <w:spacing w:val="3"/>
          <w:sz w:val="17"/>
        </w:rPr>
        <w:t xml:space="preserve"> </w:t>
      </w:r>
      <w:r>
        <w:rPr>
          <w:color w:val="231F20"/>
          <w:spacing w:val="-2"/>
          <w:sz w:val="17"/>
        </w:rPr>
        <w:t>65–73.</w:t>
      </w:r>
    </w:p>
    <w:p w14:paraId="39339292" w14:textId="77777777" w:rsidR="00AE0598" w:rsidRDefault="0069255A">
      <w:pPr>
        <w:spacing w:before="1"/>
        <w:ind w:left="430" w:right="128" w:hanging="320"/>
        <w:jc w:val="both"/>
        <w:rPr>
          <w:sz w:val="17"/>
        </w:rPr>
      </w:pPr>
      <w:r>
        <w:rPr>
          <w:color w:val="231F20"/>
          <w:sz w:val="17"/>
        </w:rPr>
        <w:t xml:space="preserve">Cho, </w:t>
      </w:r>
      <w:r>
        <w:rPr>
          <w:color w:val="231F20"/>
          <w:w w:val="115"/>
          <w:sz w:val="17"/>
        </w:rPr>
        <w:t xml:space="preserve">H., </w:t>
      </w:r>
      <w:r>
        <w:rPr>
          <w:color w:val="231F20"/>
          <w:sz w:val="17"/>
        </w:rPr>
        <w:t xml:space="preserve">Ramshaw, </w:t>
      </w:r>
      <w:r>
        <w:rPr>
          <w:color w:val="231F20"/>
          <w:w w:val="115"/>
          <w:sz w:val="17"/>
        </w:rPr>
        <w:t xml:space="preserve">G. </w:t>
      </w:r>
      <w:r>
        <w:rPr>
          <w:color w:val="231F20"/>
          <w:sz w:val="17"/>
        </w:rPr>
        <w:t xml:space="preserve">and Norman, </w:t>
      </w:r>
      <w:r>
        <w:rPr>
          <w:color w:val="231F20"/>
          <w:w w:val="115"/>
          <w:sz w:val="17"/>
        </w:rPr>
        <w:t xml:space="preserve">W.C. </w:t>
      </w:r>
      <w:r>
        <w:rPr>
          <w:color w:val="231F20"/>
          <w:sz w:val="17"/>
        </w:rPr>
        <w:t>(2014) A conceptual model for nostalgia in the</w:t>
      </w:r>
      <w:r>
        <w:rPr>
          <w:color w:val="231F20"/>
          <w:spacing w:val="40"/>
          <w:sz w:val="17"/>
        </w:rPr>
        <w:t xml:space="preserve"> </w:t>
      </w:r>
      <w:r>
        <w:rPr>
          <w:color w:val="231F20"/>
          <w:sz w:val="17"/>
        </w:rPr>
        <w:t xml:space="preserve">context of sport tourism: Re-classifying the sporting past. </w:t>
      </w:r>
      <w:r>
        <w:rPr>
          <w:i/>
          <w:color w:val="231F20"/>
          <w:sz w:val="17"/>
        </w:rPr>
        <w:t xml:space="preserve">Journal of Sport </w:t>
      </w:r>
      <w:r>
        <w:rPr>
          <w:i/>
          <w:color w:val="231F20"/>
          <w:w w:val="115"/>
          <w:sz w:val="17"/>
        </w:rPr>
        <w:t>&amp;</w:t>
      </w:r>
      <w:r>
        <w:rPr>
          <w:i/>
          <w:color w:val="231F20"/>
          <w:spacing w:val="-5"/>
          <w:w w:val="115"/>
          <w:sz w:val="17"/>
        </w:rPr>
        <w:t xml:space="preserve"> </w:t>
      </w:r>
      <w:r>
        <w:rPr>
          <w:i/>
          <w:color w:val="231F20"/>
          <w:sz w:val="17"/>
        </w:rPr>
        <w:t>Tourism</w:t>
      </w:r>
      <w:r>
        <w:rPr>
          <w:i/>
          <w:color w:val="231F20"/>
          <w:spacing w:val="40"/>
          <w:sz w:val="17"/>
        </w:rPr>
        <w:t xml:space="preserve"> </w:t>
      </w:r>
      <w:r>
        <w:rPr>
          <w:color w:val="231F20"/>
          <w:sz w:val="17"/>
        </w:rPr>
        <w:t>19 (2), 145–167.</w:t>
      </w:r>
    </w:p>
    <w:p w14:paraId="0A8ACF5F" w14:textId="77777777" w:rsidR="00AE0598" w:rsidRDefault="0069255A">
      <w:pPr>
        <w:spacing w:before="2"/>
        <w:ind w:left="430" w:right="127" w:hanging="320"/>
        <w:jc w:val="both"/>
        <w:rPr>
          <w:sz w:val="17"/>
        </w:rPr>
      </w:pPr>
      <w:r>
        <w:rPr>
          <w:color w:val="231F20"/>
          <w:sz w:val="17"/>
        </w:rPr>
        <w:t>Chogahara, M. and Yamaguchi, Y. (1998) Resocialization and continuity of involvement</w:t>
      </w:r>
      <w:r>
        <w:rPr>
          <w:color w:val="231F20"/>
          <w:spacing w:val="80"/>
          <w:sz w:val="17"/>
        </w:rPr>
        <w:t xml:space="preserve"> </w:t>
      </w:r>
      <w:r>
        <w:rPr>
          <w:color w:val="231F20"/>
          <w:sz w:val="17"/>
        </w:rPr>
        <w:t xml:space="preserve">in physical activity among elderly Japanese. </w:t>
      </w:r>
      <w:r>
        <w:rPr>
          <w:i/>
          <w:color w:val="231F20"/>
          <w:sz w:val="17"/>
        </w:rPr>
        <w:t>International Review f</w:t>
      </w:r>
      <w:r>
        <w:rPr>
          <w:i/>
          <w:color w:val="231F20"/>
          <w:sz w:val="17"/>
        </w:rPr>
        <w:t>or the Sociology of</w:t>
      </w:r>
      <w:r>
        <w:rPr>
          <w:i/>
          <w:color w:val="231F20"/>
          <w:spacing w:val="40"/>
          <w:sz w:val="17"/>
        </w:rPr>
        <w:t xml:space="preserve"> </w:t>
      </w:r>
      <w:r>
        <w:rPr>
          <w:i/>
          <w:color w:val="231F20"/>
          <w:sz w:val="17"/>
        </w:rPr>
        <w:t xml:space="preserve">Sport </w:t>
      </w:r>
      <w:r>
        <w:rPr>
          <w:color w:val="231F20"/>
          <w:sz w:val="17"/>
        </w:rPr>
        <w:t>33 (3), 277–289.</w:t>
      </w:r>
    </w:p>
    <w:p w14:paraId="0A422B4F" w14:textId="77777777" w:rsidR="00AE0598" w:rsidRDefault="0069255A">
      <w:pPr>
        <w:spacing w:before="2"/>
        <w:ind w:left="430" w:right="127" w:hanging="320"/>
        <w:jc w:val="both"/>
        <w:rPr>
          <w:sz w:val="17"/>
        </w:rPr>
      </w:pPr>
      <w:r>
        <w:rPr>
          <w:color w:val="231F20"/>
          <w:sz w:val="17"/>
        </w:rPr>
        <w:t>Christaller,</w:t>
      </w:r>
      <w:r>
        <w:rPr>
          <w:color w:val="231F20"/>
          <w:spacing w:val="-5"/>
          <w:sz w:val="17"/>
        </w:rPr>
        <w:t xml:space="preserve"> </w:t>
      </w:r>
      <w:r>
        <w:rPr>
          <w:color w:val="231F20"/>
          <w:sz w:val="17"/>
        </w:rPr>
        <w:t>W.</w:t>
      </w:r>
      <w:r>
        <w:rPr>
          <w:color w:val="231F20"/>
          <w:spacing w:val="-5"/>
          <w:sz w:val="17"/>
        </w:rPr>
        <w:t xml:space="preserve"> </w:t>
      </w:r>
      <w:r>
        <w:rPr>
          <w:color w:val="231F20"/>
          <w:sz w:val="17"/>
        </w:rPr>
        <w:t>(1955)</w:t>
      </w:r>
      <w:r>
        <w:rPr>
          <w:color w:val="231F20"/>
          <w:spacing w:val="-5"/>
          <w:sz w:val="17"/>
        </w:rPr>
        <w:t xml:space="preserve"> </w:t>
      </w:r>
      <w:r>
        <w:rPr>
          <w:color w:val="231F20"/>
          <w:sz w:val="17"/>
        </w:rPr>
        <w:t>Contributions</w:t>
      </w:r>
      <w:r>
        <w:rPr>
          <w:color w:val="231F20"/>
          <w:spacing w:val="-5"/>
          <w:sz w:val="17"/>
        </w:rPr>
        <w:t xml:space="preserve"> </w:t>
      </w:r>
      <w:r>
        <w:rPr>
          <w:color w:val="231F20"/>
          <w:sz w:val="17"/>
        </w:rPr>
        <w:t>to</w:t>
      </w:r>
      <w:r>
        <w:rPr>
          <w:color w:val="231F20"/>
          <w:spacing w:val="-5"/>
          <w:sz w:val="17"/>
        </w:rPr>
        <w:t xml:space="preserve"> </w:t>
      </w:r>
      <w:r>
        <w:rPr>
          <w:color w:val="231F20"/>
          <w:sz w:val="17"/>
        </w:rPr>
        <w:t>the</w:t>
      </w:r>
      <w:r>
        <w:rPr>
          <w:color w:val="231F20"/>
          <w:spacing w:val="-5"/>
          <w:sz w:val="17"/>
        </w:rPr>
        <w:t xml:space="preserve"> </w:t>
      </w:r>
      <w:r>
        <w:rPr>
          <w:color w:val="231F20"/>
          <w:sz w:val="17"/>
        </w:rPr>
        <w:t>geography</w:t>
      </w:r>
      <w:r>
        <w:rPr>
          <w:color w:val="231F20"/>
          <w:spacing w:val="-5"/>
          <w:sz w:val="17"/>
        </w:rPr>
        <w:t xml:space="preserve"> </w:t>
      </w:r>
      <w:r>
        <w:rPr>
          <w:color w:val="231F20"/>
          <w:sz w:val="17"/>
        </w:rPr>
        <w:t>of</w:t>
      </w:r>
      <w:r>
        <w:rPr>
          <w:color w:val="231F20"/>
          <w:spacing w:val="-5"/>
          <w:sz w:val="17"/>
        </w:rPr>
        <w:t xml:space="preserve"> </w:t>
      </w:r>
      <w:r>
        <w:rPr>
          <w:color w:val="231F20"/>
          <w:sz w:val="17"/>
        </w:rPr>
        <w:t>the</w:t>
      </w:r>
      <w:r>
        <w:rPr>
          <w:color w:val="231F20"/>
          <w:spacing w:val="-5"/>
          <w:sz w:val="17"/>
        </w:rPr>
        <w:t xml:space="preserve"> </w:t>
      </w:r>
      <w:r>
        <w:rPr>
          <w:color w:val="231F20"/>
          <w:sz w:val="17"/>
        </w:rPr>
        <w:t>travel</w:t>
      </w:r>
      <w:r>
        <w:rPr>
          <w:color w:val="231F20"/>
          <w:spacing w:val="-5"/>
          <w:sz w:val="17"/>
        </w:rPr>
        <w:t xml:space="preserve"> </w:t>
      </w:r>
      <w:r>
        <w:rPr>
          <w:color w:val="231F20"/>
          <w:sz w:val="17"/>
        </w:rPr>
        <w:t>trade.</w:t>
      </w:r>
      <w:r>
        <w:rPr>
          <w:color w:val="231F20"/>
          <w:spacing w:val="-5"/>
          <w:sz w:val="17"/>
        </w:rPr>
        <w:t xml:space="preserve"> </w:t>
      </w:r>
      <w:r>
        <w:rPr>
          <w:color w:val="231F20"/>
          <w:sz w:val="17"/>
        </w:rPr>
        <w:t>Erkunde</w:t>
      </w:r>
      <w:r>
        <w:rPr>
          <w:color w:val="231F20"/>
          <w:spacing w:val="-5"/>
          <w:sz w:val="17"/>
        </w:rPr>
        <w:t xml:space="preserve"> </w:t>
      </w:r>
      <w:r>
        <w:rPr>
          <w:color w:val="231F20"/>
          <w:sz w:val="17"/>
        </w:rPr>
        <w:t>Bandix,</w:t>
      </w:r>
      <w:r>
        <w:rPr>
          <w:color w:val="231F20"/>
          <w:spacing w:val="40"/>
          <w:sz w:val="17"/>
        </w:rPr>
        <w:t xml:space="preserve"> </w:t>
      </w:r>
      <w:r>
        <w:rPr>
          <w:color w:val="231F20"/>
          <w:sz w:val="17"/>
        </w:rPr>
        <w:t>February 1955. Heft 1. (Regional Science Series).</w:t>
      </w:r>
    </w:p>
    <w:p w14:paraId="2784273B" w14:textId="77777777" w:rsidR="00AE0598" w:rsidRDefault="0069255A">
      <w:pPr>
        <w:spacing w:before="1"/>
        <w:ind w:left="430" w:right="127" w:hanging="320"/>
        <w:jc w:val="both"/>
        <w:rPr>
          <w:sz w:val="17"/>
        </w:rPr>
      </w:pPr>
      <w:r>
        <w:rPr>
          <w:color w:val="231F20"/>
          <w:w w:val="95"/>
          <w:sz w:val="17"/>
        </w:rPr>
        <w:t>Christaller, W. (1963/64) Some considerations of tourism location in Europe: The peripheral</w:t>
      </w:r>
      <w:r>
        <w:rPr>
          <w:color w:val="231F20"/>
          <w:spacing w:val="40"/>
          <w:sz w:val="17"/>
        </w:rPr>
        <w:t xml:space="preserve"> </w:t>
      </w:r>
      <w:r>
        <w:rPr>
          <w:color w:val="231F20"/>
          <w:sz w:val="17"/>
        </w:rPr>
        <w:t xml:space="preserve">regions – underdeveloped countries – recreation areas. </w:t>
      </w:r>
      <w:r>
        <w:rPr>
          <w:i/>
          <w:color w:val="231F20"/>
          <w:sz w:val="17"/>
        </w:rPr>
        <w:t>Papers, Regional Science</w:t>
      </w:r>
      <w:r>
        <w:rPr>
          <w:i/>
          <w:color w:val="231F20"/>
          <w:spacing w:val="40"/>
          <w:sz w:val="17"/>
        </w:rPr>
        <w:t xml:space="preserve"> </w:t>
      </w:r>
      <w:r>
        <w:rPr>
          <w:i/>
          <w:color w:val="231F20"/>
          <w:sz w:val="17"/>
        </w:rPr>
        <w:t xml:space="preserve">Association </w:t>
      </w:r>
      <w:r>
        <w:rPr>
          <w:color w:val="231F20"/>
          <w:sz w:val="17"/>
        </w:rPr>
        <w:t>12, 95–105.</w:t>
      </w:r>
    </w:p>
    <w:p w14:paraId="13E1B863" w14:textId="77777777" w:rsidR="00AE0598" w:rsidRDefault="0069255A">
      <w:pPr>
        <w:spacing w:before="3"/>
        <w:ind w:left="430" w:right="127" w:hanging="320"/>
        <w:jc w:val="both"/>
        <w:rPr>
          <w:sz w:val="17"/>
        </w:rPr>
      </w:pPr>
      <w:r>
        <w:rPr>
          <w:color w:val="231F20"/>
          <w:sz w:val="17"/>
        </w:rPr>
        <w:t xml:space="preserve">Chung, </w:t>
      </w:r>
      <w:r>
        <w:rPr>
          <w:color w:val="231F20"/>
          <w:w w:val="105"/>
          <w:sz w:val="17"/>
        </w:rPr>
        <w:t xml:space="preserve">J.Y. </w:t>
      </w:r>
      <w:r>
        <w:rPr>
          <w:color w:val="231F20"/>
          <w:sz w:val="17"/>
        </w:rPr>
        <w:t xml:space="preserve">(2009) Seasonality in tourism: A review. </w:t>
      </w:r>
      <w:r>
        <w:rPr>
          <w:i/>
          <w:color w:val="231F20"/>
          <w:sz w:val="17"/>
        </w:rPr>
        <w:t>E-revie</w:t>
      </w:r>
      <w:r>
        <w:rPr>
          <w:i/>
          <w:color w:val="231F20"/>
          <w:sz w:val="17"/>
        </w:rPr>
        <w:t xml:space="preserve">w of Tourism Research </w:t>
      </w:r>
      <w:r>
        <w:rPr>
          <w:color w:val="231F20"/>
          <w:sz w:val="17"/>
        </w:rPr>
        <w:t>7 (5),</w:t>
      </w:r>
      <w:r>
        <w:rPr>
          <w:color w:val="231F20"/>
          <w:spacing w:val="40"/>
          <w:sz w:val="17"/>
        </w:rPr>
        <w:t xml:space="preserve"> </w:t>
      </w:r>
      <w:r>
        <w:rPr>
          <w:color w:val="231F20"/>
          <w:spacing w:val="-2"/>
          <w:sz w:val="17"/>
        </w:rPr>
        <w:t>82–96.</w:t>
      </w:r>
    </w:p>
    <w:p w14:paraId="556B590C" w14:textId="77777777" w:rsidR="00AE0598" w:rsidRDefault="0069255A">
      <w:pPr>
        <w:spacing w:before="1"/>
        <w:ind w:left="430" w:right="127" w:hanging="320"/>
        <w:jc w:val="both"/>
        <w:rPr>
          <w:sz w:val="17"/>
        </w:rPr>
      </w:pPr>
      <w:r>
        <w:rPr>
          <w:color w:val="231F20"/>
          <w:w w:val="105"/>
          <w:sz w:val="17"/>
        </w:rPr>
        <w:t xml:space="preserve">Clawson, </w:t>
      </w:r>
      <w:r>
        <w:rPr>
          <w:color w:val="231F20"/>
          <w:w w:val="110"/>
          <w:sz w:val="17"/>
        </w:rPr>
        <w:t xml:space="preserve">M. </w:t>
      </w:r>
      <w:r>
        <w:rPr>
          <w:color w:val="231F20"/>
          <w:w w:val="105"/>
          <w:sz w:val="17"/>
        </w:rPr>
        <w:t xml:space="preserve">and Knetsch, </w:t>
      </w:r>
      <w:r>
        <w:rPr>
          <w:color w:val="231F20"/>
          <w:w w:val="110"/>
          <w:sz w:val="17"/>
        </w:rPr>
        <w:t xml:space="preserve">J. </w:t>
      </w:r>
      <w:r>
        <w:rPr>
          <w:color w:val="231F20"/>
          <w:w w:val="105"/>
          <w:sz w:val="17"/>
        </w:rPr>
        <w:t xml:space="preserve">(1966) </w:t>
      </w:r>
      <w:r>
        <w:rPr>
          <w:i/>
          <w:color w:val="231F20"/>
          <w:w w:val="105"/>
          <w:sz w:val="17"/>
        </w:rPr>
        <w:t>The Economics of Outdoor Recreation</w:t>
      </w:r>
      <w:r>
        <w:rPr>
          <w:color w:val="231F20"/>
          <w:w w:val="105"/>
          <w:sz w:val="17"/>
        </w:rPr>
        <w:t>. Baltimore,</w:t>
      </w:r>
      <w:r>
        <w:rPr>
          <w:color w:val="231F20"/>
          <w:spacing w:val="40"/>
          <w:w w:val="105"/>
          <w:sz w:val="17"/>
        </w:rPr>
        <w:t xml:space="preserve"> </w:t>
      </w:r>
      <w:r>
        <w:rPr>
          <w:color w:val="231F20"/>
          <w:w w:val="105"/>
          <w:sz w:val="17"/>
        </w:rPr>
        <w:t>MD: Johns Hopkins Press.</w:t>
      </w:r>
    </w:p>
    <w:p w14:paraId="12440C36" w14:textId="77777777" w:rsidR="00AE0598" w:rsidRDefault="0069255A">
      <w:pPr>
        <w:spacing w:before="1"/>
        <w:ind w:left="110" w:right="127"/>
        <w:jc w:val="both"/>
        <w:rPr>
          <w:sz w:val="17"/>
        </w:rPr>
      </w:pPr>
      <w:r>
        <w:rPr>
          <w:color w:val="231F20"/>
          <w:sz w:val="17"/>
        </w:rPr>
        <w:t>Clay,</w:t>
      </w:r>
      <w:r>
        <w:rPr>
          <w:color w:val="231F20"/>
          <w:spacing w:val="-4"/>
          <w:sz w:val="17"/>
        </w:rPr>
        <w:t xml:space="preserve"> </w:t>
      </w:r>
      <w:r>
        <w:rPr>
          <w:color w:val="231F20"/>
          <w:w w:val="105"/>
          <w:sz w:val="17"/>
        </w:rPr>
        <w:t>J.</w:t>
      </w:r>
      <w:r>
        <w:rPr>
          <w:color w:val="231F20"/>
          <w:spacing w:val="-6"/>
          <w:w w:val="105"/>
          <w:sz w:val="17"/>
        </w:rPr>
        <w:t xml:space="preserve"> </w:t>
      </w:r>
      <w:r>
        <w:rPr>
          <w:color w:val="231F20"/>
          <w:sz w:val="17"/>
        </w:rPr>
        <w:t>(2001,</w:t>
      </w:r>
      <w:r>
        <w:rPr>
          <w:color w:val="231F20"/>
          <w:spacing w:val="-4"/>
          <w:sz w:val="17"/>
        </w:rPr>
        <w:t xml:space="preserve"> </w:t>
      </w:r>
      <w:r>
        <w:rPr>
          <w:color w:val="231F20"/>
          <w:sz w:val="17"/>
        </w:rPr>
        <w:t>29</w:t>
      </w:r>
      <w:r>
        <w:rPr>
          <w:color w:val="231F20"/>
          <w:spacing w:val="-4"/>
          <w:sz w:val="17"/>
        </w:rPr>
        <w:t xml:space="preserve"> </w:t>
      </w:r>
      <w:r>
        <w:rPr>
          <w:color w:val="231F20"/>
          <w:sz w:val="17"/>
        </w:rPr>
        <w:t>April)</w:t>
      </w:r>
      <w:r>
        <w:rPr>
          <w:color w:val="231F20"/>
          <w:spacing w:val="-4"/>
          <w:sz w:val="17"/>
        </w:rPr>
        <w:t xml:space="preserve"> </w:t>
      </w:r>
      <w:r>
        <w:rPr>
          <w:color w:val="231F20"/>
          <w:sz w:val="17"/>
        </w:rPr>
        <w:t>Sense</w:t>
      </w:r>
      <w:r>
        <w:rPr>
          <w:color w:val="231F20"/>
          <w:spacing w:val="-4"/>
          <w:sz w:val="17"/>
        </w:rPr>
        <w:t xml:space="preserve"> </w:t>
      </w:r>
      <w:r>
        <w:rPr>
          <w:color w:val="231F20"/>
          <w:sz w:val="17"/>
        </w:rPr>
        <w:t>of</w:t>
      </w:r>
      <w:r>
        <w:rPr>
          <w:color w:val="231F20"/>
          <w:spacing w:val="-4"/>
          <w:sz w:val="17"/>
        </w:rPr>
        <w:t xml:space="preserve"> </w:t>
      </w:r>
      <w:r>
        <w:rPr>
          <w:color w:val="231F20"/>
          <w:sz w:val="17"/>
        </w:rPr>
        <w:t>place</w:t>
      </w:r>
      <w:r>
        <w:rPr>
          <w:color w:val="231F20"/>
          <w:spacing w:val="-4"/>
          <w:sz w:val="17"/>
        </w:rPr>
        <w:t xml:space="preserve"> </w:t>
      </w:r>
      <w:r>
        <w:rPr>
          <w:color w:val="231F20"/>
          <w:sz w:val="17"/>
        </w:rPr>
        <w:t>gives</w:t>
      </w:r>
      <w:r>
        <w:rPr>
          <w:color w:val="231F20"/>
          <w:spacing w:val="-4"/>
          <w:sz w:val="17"/>
        </w:rPr>
        <w:t xml:space="preserve"> </w:t>
      </w:r>
      <w:r>
        <w:rPr>
          <w:color w:val="231F20"/>
          <w:sz w:val="17"/>
        </w:rPr>
        <w:t>Derby</w:t>
      </w:r>
      <w:r>
        <w:rPr>
          <w:color w:val="231F20"/>
          <w:spacing w:val="-4"/>
          <w:sz w:val="17"/>
        </w:rPr>
        <w:t xml:space="preserve"> </w:t>
      </w:r>
      <w:r>
        <w:rPr>
          <w:color w:val="231F20"/>
          <w:sz w:val="17"/>
        </w:rPr>
        <w:t>unique</w:t>
      </w:r>
      <w:r>
        <w:rPr>
          <w:color w:val="231F20"/>
          <w:spacing w:val="-4"/>
          <w:sz w:val="17"/>
        </w:rPr>
        <w:t xml:space="preserve"> </w:t>
      </w:r>
      <w:r>
        <w:rPr>
          <w:color w:val="231F20"/>
          <w:sz w:val="17"/>
        </w:rPr>
        <w:t>allure</w:t>
      </w:r>
      <w:r>
        <w:rPr>
          <w:color w:val="231F20"/>
          <w:spacing w:val="-4"/>
          <w:sz w:val="17"/>
        </w:rPr>
        <w:t xml:space="preserve"> </w:t>
      </w:r>
      <w:r>
        <w:rPr>
          <w:color w:val="231F20"/>
          <w:sz w:val="17"/>
        </w:rPr>
        <w:t>(p.</w:t>
      </w:r>
      <w:r>
        <w:rPr>
          <w:color w:val="231F20"/>
          <w:spacing w:val="-4"/>
          <w:sz w:val="17"/>
        </w:rPr>
        <w:t xml:space="preserve"> </w:t>
      </w:r>
      <w:r>
        <w:rPr>
          <w:color w:val="231F20"/>
          <w:sz w:val="17"/>
        </w:rPr>
        <w:t>C1).</w:t>
      </w:r>
      <w:r>
        <w:rPr>
          <w:color w:val="231F20"/>
          <w:spacing w:val="-3"/>
          <w:sz w:val="17"/>
        </w:rPr>
        <w:t xml:space="preserve"> </w:t>
      </w:r>
      <w:r>
        <w:rPr>
          <w:i/>
          <w:color w:val="231F20"/>
          <w:sz w:val="17"/>
        </w:rPr>
        <w:t>Lexington</w:t>
      </w:r>
      <w:r>
        <w:rPr>
          <w:i/>
          <w:color w:val="231F20"/>
          <w:spacing w:val="-4"/>
          <w:sz w:val="17"/>
        </w:rPr>
        <w:t xml:space="preserve"> </w:t>
      </w:r>
      <w:r>
        <w:rPr>
          <w:i/>
          <w:color w:val="231F20"/>
          <w:sz w:val="17"/>
        </w:rPr>
        <w:t>Herald</w:t>
      </w:r>
      <w:r>
        <w:rPr>
          <w:color w:val="231F20"/>
          <w:sz w:val="17"/>
        </w:rPr>
        <w:t>.</w:t>
      </w:r>
      <w:r>
        <w:rPr>
          <w:color w:val="231F20"/>
          <w:spacing w:val="40"/>
          <w:sz w:val="17"/>
        </w:rPr>
        <w:t xml:space="preserve"> </w:t>
      </w:r>
      <w:r>
        <w:rPr>
          <w:color w:val="231F20"/>
          <w:sz w:val="17"/>
        </w:rPr>
        <w:t>Coakley,</w:t>
      </w:r>
      <w:r>
        <w:rPr>
          <w:color w:val="231F20"/>
          <w:spacing w:val="30"/>
          <w:w w:val="105"/>
          <w:sz w:val="17"/>
        </w:rPr>
        <w:t xml:space="preserve"> </w:t>
      </w:r>
      <w:r>
        <w:rPr>
          <w:color w:val="231F20"/>
          <w:w w:val="105"/>
          <w:sz w:val="17"/>
        </w:rPr>
        <w:t>J.</w:t>
      </w:r>
      <w:r>
        <w:rPr>
          <w:color w:val="231F20"/>
          <w:spacing w:val="30"/>
          <w:w w:val="105"/>
          <w:sz w:val="17"/>
        </w:rPr>
        <w:t xml:space="preserve"> </w:t>
      </w:r>
      <w:r>
        <w:rPr>
          <w:color w:val="231F20"/>
          <w:sz w:val="17"/>
        </w:rPr>
        <w:t>(2017)</w:t>
      </w:r>
      <w:r>
        <w:rPr>
          <w:color w:val="231F20"/>
          <w:spacing w:val="32"/>
          <w:sz w:val="17"/>
        </w:rPr>
        <w:t xml:space="preserve"> </w:t>
      </w:r>
      <w:r>
        <w:rPr>
          <w:i/>
          <w:color w:val="231F20"/>
          <w:sz w:val="17"/>
        </w:rPr>
        <w:t>Sports</w:t>
      </w:r>
      <w:r>
        <w:rPr>
          <w:i/>
          <w:color w:val="231F20"/>
          <w:spacing w:val="32"/>
          <w:sz w:val="17"/>
        </w:rPr>
        <w:t xml:space="preserve"> </w:t>
      </w:r>
      <w:r>
        <w:rPr>
          <w:i/>
          <w:color w:val="231F20"/>
          <w:sz w:val="17"/>
        </w:rPr>
        <w:t>in</w:t>
      </w:r>
      <w:r>
        <w:rPr>
          <w:i/>
          <w:color w:val="231F20"/>
          <w:spacing w:val="32"/>
          <w:sz w:val="17"/>
        </w:rPr>
        <w:t xml:space="preserve"> </w:t>
      </w:r>
      <w:r>
        <w:rPr>
          <w:i/>
          <w:color w:val="231F20"/>
          <w:sz w:val="17"/>
        </w:rPr>
        <w:t>Society:</w:t>
      </w:r>
      <w:r>
        <w:rPr>
          <w:i/>
          <w:color w:val="231F20"/>
          <w:spacing w:val="32"/>
          <w:sz w:val="17"/>
        </w:rPr>
        <w:t xml:space="preserve"> </w:t>
      </w:r>
      <w:r>
        <w:rPr>
          <w:i/>
          <w:color w:val="231F20"/>
          <w:sz w:val="17"/>
        </w:rPr>
        <w:t>Issues</w:t>
      </w:r>
      <w:r>
        <w:rPr>
          <w:i/>
          <w:color w:val="231F20"/>
          <w:spacing w:val="32"/>
          <w:sz w:val="17"/>
        </w:rPr>
        <w:t xml:space="preserve"> </w:t>
      </w:r>
      <w:r>
        <w:rPr>
          <w:i/>
          <w:color w:val="231F20"/>
          <w:sz w:val="17"/>
        </w:rPr>
        <w:t>and</w:t>
      </w:r>
      <w:r>
        <w:rPr>
          <w:i/>
          <w:color w:val="231F20"/>
          <w:spacing w:val="32"/>
          <w:sz w:val="17"/>
        </w:rPr>
        <w:t xml:space="preserve"> </w:t>
      </w:r>
      <w:r>
        <w:rPr>
          <w:i/>
          <w:color w:val="231F20"/>
          <w:sz w:val="17"/>
        </w:rPr>
        <w:t>Controversies</w:t>
      </w:r>
      <w:r>
        <w:rPr>
          <w:i/>
          <w:color w:val="231F20"/>
          <w:spacing w:val="32"/>
          <w:sz w:val="17"/>
        </w:rPr>
        <w:t xml:space="preserve"> </w:t>
      </w:r>
      <w:r>
        <w:rPr>
          <w:color w:val="231F20"/>
          <w:sz w:val="17"/>
        </w:rPr>
        <w:t>(12th</w:t>
      </w:r>
      <w:r>
        <w:rPr>
          <w:color w:val="231F20"/>
          <w:spacing w:val="32"/>
          <w:sz w:val="17"/>
        </w:rPr>
        <w:t xml:space="preserve"> </w:t>
      </w:r>
      <w:r>
        <w:rPr>
          <w:color w:val="231F20"/>
          <w:sz w:val="17"/>
        </w:rPr>
        <w:t>edn).</w:t>
      </w:r>
      <w:r>
        <w:rPr>
          <w:color w:val="231F20"/>
          <w:spacing w:val="32"/>
          <w:sz w:val="17"/>
        </w:rPr>
        <w:t xml:space="preserve"> </w:t>
      </w:r>
      <w:r>
        <w:rPr>
          <w:color w:val="231F20"/>
          <w:sz w:val="17"/>
        </w:rPr>
        <w:t>Boston,</w:t>
      </w:r>
      <w:r>
        <w:rPr>
          <w:color w:val="231F20"/>
          <w:spacing w:val="32"/>
          <w:sz w:val="17"/>
        </w:rPr>
        <w:t xml:space="preserve"> </w:t>
      </w:r>
      <w:r>
        <w:rPr>
          <w:color w:val="231F20"/>
          <w:sz w:val="17"/>
        </w:rPr>
        <w:t>MA:</w:t>
      </w:r>
    </w:p>
    <w:p w14:paraId="579527D7" w14:textId="77777777" w:rsidR="00AE0598" w:rsidRDefault="0069255A">
      <w:pPr>
        <w:spacing w:before="2"/>
        <w:ind w:left="430"/>
        <w:jc w:val="both"/>
        <w:rPr>
          <w:sz w:val="17"/>
        </w:rPr>
      </w:pPr>
      <w:r>
        <w:rPr>
          <w:color w:val="231F20"/>
          <w:sz w:val="17"/>
        </w:rPr>
        <w:t>McGraw</w:t>
      </w:r>
      <w:r>
        <w:rPr>
          <w:color w:val="231F20"/>
          <w:spacing w:val="24"/>
          <w:sz w:val="17"/>
        </w:rPr>
        <w:t xml:space="preserve"> </w:t>
      </w:r>
      <w:r>
        <w:rPr>
          <w:color w:val="231F20"/>
          <w:sz w:val="17"/>
        </w:rPr>
        <w:t>Hill</w:t>
      </w:r>
      <w:r>
        <w:rPr>
          <w:color w:val="231F20"/>
          <w:spacing w:val="24"/>
          <w:sz w:val="17"/>
        </w:rPr>
        <w:t xml:space="preserve"> </w:t>
      </w:r>
      <w:r>
        <w:rPr>
          <w:color w:val="231F20"/>
          <w:sz w:val="17"/>
        </w:rPr>
        <w:t>Higher</w:t>
      </w:r>
      <w:r>
        <w:rPr>
          <w:color w:val="231F20"/>
          <w:spacing w:val="24"/>
          <w:sz w:val="17"/>
        </w:rPr>
        <w:t xml:space="preserve"> </w:t>
      </w:r>
      <w:r>
        <w:rPr>
          <w:color w:val="231F20"/>
          <w:spacing w:val="-2"/>
          <w:sz w:val="17"/>
        </w:rPr>
        <w:t>Education.</w:t>
      </w:r>
    </w:p>
    <w:p w14:paraId="1026541A" w14:textId="77777777" w:rsidR="00AE0598" w:rsidRDefault="0069255A">
      <w:pPr>
        <w:spacing w:before="1"/>
        <w:ind w:left="430" w:hanging="320"/>
        <w:rPr>
          <w:sz w:val="17"/>
        </w:rPr>
      </w:pPr>
      <w:r>
        <w:rPr>
          <w:color w:val="231F20"/>
          <w:sz w:val="17"/>
        </w:rPr>
        <w:t>Coakley,</w:t>
      </w:r>
      <w:r>
        <w:rPr>
          <w:color w:val="231F20"/>
          <w:spacing w:val="29"/>
          <w:sz w:val="17"/>
        </w:rPr>
        <w:t xml:space="preserve"> </w:t>
      </w:r>
      <w:r>
        <w:rPr>
          <w:color w:val="231F20"/>
          <w:sz w:val="17"/>
        </w:rPr>
        <w:t>J.L.</w:t>
      </w:r>
      <w:r>
        <w:rPr>
          <w:color w:val="231F20"/>
          <w:spacing w:val="29"/>
          <w:sz w:val="17"/>
        </w:rPr>
        <w:t xml:space="preserve"> </w:t>
      </w:r>
      <w:r>
        <w:rPr>
          <w:color w:val="231F20"/>
          <w:sz w:val="17"/>
        </w:rPr>
        <w:t>(1990)</w:t>
      </w:r>
      <w:r>
        <w:rPr>
          <w:color w:val="231F20"/>
          <w:spacing w:val="29"/>
          <w:sz w:val="17"/>
        </w:rPr>
        <w:t xml:space="preserve"> </w:t>
      </w:r>
      <w:r>
        <w:rPr>
          <w:i/>
          <w:color w:val="231F20"/>
          <w:sz w:val="17"/>
        </w:rPr>
        <w:t>Sport</w:t>
      </w:r>
      <w:r>
        <w:rPr>
          <w:i/>
          <w:color w:val="231F20"/>
          <w:spacing w:val="29"/>
          <w:sz w:val="17"/>
        </w:rPr>
        <w:t xml:space="preserve"> </w:t>
      </w:r>
      <w:r>
        <w:rPr>
          <w:i/>
          <w:color w:val="231F20"/>
          <w:sz w:val="17"/>
        </w:rPr>
        <w:t>in</w:t>
      </w:r>
      <w:r>
        <w:rPr>
          <w:i/>
          <w:color w:val="231F20"/>
          <w:spacing w:val="29"/>
          <w:sz w:val="17"/>
        </w:rPr>
        <w:t xml:space="preserve"> </w:t>
      </w:r>
      <w:r>
        <w:rPr>
          <w:i/>
          <w:color w:val="231F20"/>
          <w:sz w:val="17"/>
        </w:rPr>
        <w:t>Society:</w:t>
      </w:r>
      <w:r>
        <w:rPr>
          <w:i/>
          <w:color w:val="231F20"/>
          <w:spacing w:val="29"/>
          <w:sz w:val="17"/>
        </w:rPr>
        <w:t xml:space="preserve"> </w:t>
      </w:r>
      <w:r>
        <w:rPr>
          <w:i/>
          <w:color w:val="231F20"/>
          <w:sz w:val="17"/>
        </w:rPr>
        <w:t>Issues</w:t>
      </w:r>
      <w:r>
        <w:rPr>
          <w:i/>
          <w:color w:val="231F20"/>
          <w:spacing w:val="29"/>
          <w:sz w:val="17"/>
        </w:rPr>
        <w:t xml:space="preserve"> </w:t>
      </w:r>
      <w:r>
        <w:rPr>
          <w:i/>
          <w:color w:val="231F20"/>
          <w:sz w:val="17"/>
        </w:rPr>
        <w:t>and</w:t>
      </w:r>
      <w:r>
        <w:rPr>
          <w:i/>
          <w:color w:val="231F20"/>
          <w:spacing w:val="29"/>
          <w:sz w:val="17"/>
        </w:rPr>
        <w:t xml:space="preserve"> </w:t>
      </w:r>
      <w:r>
        <w:rPr>
          <w:i/>
          <w:color w:val="231F20"/>
          <w:sz w:val="17"/>
        </w:rPr>
        <w:t>Controversies</w:t>
      </w:r>
      <w:r>
        <w:rPr>
          <w:i/>
          <w:color w:val="231F20"/>
          <w:spacing w:val="29"/>
          <w:sz w:val="17"/>
        </w:rPr>
        <w:t xml:space="preserve"> </w:t>
      </w:r>
      <w:r>
        <w:rPr>
          <w:color w:val="231F20"/>
          <w:sz w:val="17"/>
        </w:rPr>
        <w:t>(4th</w:t>
      </w:r>
      <w:r>
        <w:rPr>
          <w:color w:val="231F20"/>
          <w:spacing w:val="29"/>
          <w:sz w:val="17"/>
        </w:rPr>
        <w:t xml:space="preserve"> </w:t>
      </w:r>
      <w:r>
        <w:rPr>
          <w:color w:val="231F20"/>
          <w:sz w:val="17"/>
        </w:rPr>
        <w:t>edn).</w:t>
      </w:r>
      <w:r>
        <w:rPr>
          <w:color w:val="231F20"/>
          <w:spacing w:val="29"/>
          <w:sz w:val="17"/>
        </w:rPr>
        <w:t xml:space="preserve"> </w:t>
      </w:r>
      <w:r>
        <w:rPr>
          <w:color w:val="231F20"/>
          <w:sz w:val="17"/>
        </w:rPr>
        <w:t>Missouri,</w:t>
      </w:r>
      <w:r>
        <w:rPr>
          <w:color w:val="231F20"/>
          <w:spacing w:val="29"/>
          <w:sz w:val="17"/>
        </w:rPr>
        <w:t xml:space="preserve"> </w:t>
      </w:r>
      <w:r>
        <w:rPr>
          <w:color w:val="231F20"/>
          <w:sz w:val="17"/>
        </w:rPr>
        <w:t>KS:</w:t>
      </w:r>
      <w:r>
        <w:rPr>
          <w:color w:val="231F20"/>
          <w:spacing w:val="40"/>
          <w:sz w:val="17"/>
        </w:rPr>
        <w:t xml:space="preserve"> </w:t>
      </w:r>
      <w:r>
        <w:rPr>
          <w:color w:val="231F20"/>
          <w:sz w:val="17"/>
        </w:rPr>
        <w:t xml:space="preserve">Times </w:t>
      </w:r>
      <w:r>
        <w:rPr>
          <w:color w:val="231F20"/>
          <w:w w:val="122"/>
          <w:sz w:val="17"/>
        </w:rPr>
        <w:t>M</w:t>
      </w:r>
      <w:r>
        <w:rPr>
          <w:color w:val="231F20"/>
          <w:w w:val="102"/>
          <w:sz w:val="17"/>
        </w:rPr>
        <w:t>i</w:t>
      </w:r>
      <w:r>
        <w:rPr>
          <w:color w:val="231F20"/>
          <w:w w:val="95"/>
          <w:sz w:val="17"/>
        </w:rPr>
        <w:t>rr</w:t>
      </w:r>
      <w:r>
        <w:rPr>
          <w:color w:val="231F20"/>
          <w:sz w:val="17"/>
        </w:rPr>
        <w:t>or</w:t>
      </w:r>
      <w:r>
        <w:rPr>
          <w:color w:val="231F20"/>
          <w:w w:val="62"/>
          <w:sz w:val="17"/>
        </w:rPr>
        <w:t>/</w:t>
      </w:r>
      <w:r>
        <w:rPr>
          <w:color w:val="231F20"/>
          <w:w w:val="122"/>
          <w:sz w:val="17"/>
        </w:rPr>
        <w:t>M</w:t>
      </w:r>
      <w:r>
        <w:rPr>
          <w:color w:val="231F20"/>
          <w:w w:val="105"/>
          <w:sz w:val="17"/>
        </w:rPr>
        <w:t>o</w:t>
      </w:r>
      <w:r>
        <w:rPr>
          <w:color w:val="231F20"/>
          <w:w w:val="92"/>
          <w:sz w:val="17"/>
        </w:rPr>
        <w:t>s</w:t>
      </w:r>
      <w:r>
        <w:rPr>
          <w:color w:val="231F20"/>
          <w:w w:val="101"/>
          <w:sz w:val="17"/>
        </w:rPr>
        <w:t>by</w:t>
      </w:r>
      <w:r>
        <w:rPr>
          <w:color w:val="231F20"/>
          <w:w w:val="99"/>
          <w:sz w:val="17"/>
        </w:rPr>
        <w:t xml:space="preserve"> </w:t>
      </w:r>
      <w:r>
        <w:rPr>
          <w:color w:val="231F20"/>
          <w:sz w:val="17"/>
        </w:rPr>
        <w:t>College Publishing.</w:t>
      </w:r>
    </w:p>
    <w:p w14:paraId="297519A0" w14:textId="77777777" w:rsidR="00AE0598" w:rsidRDefault="0069255A">
      <w:pPr>
        <w:spacing w:before="1"/>
        <w:ind w:left="430" w:hanging="320"/>
        <w:rPr>
          <w:sz w:val="17"/>
        </w:rPr>
      </w:pPr>
      <w:r>
        <w:rPr>
          <w:color w:val="231F20"/>
          <w:sz w:val="17"/>
        </w:rPr>
        <w:t>Coalter,</w:t>
      </w:r>
      <w:r>
        <w:rPr>
          <w:color w:val="231F20"/>
          <w:spacing w:val="-5"/>
          <w:sz w:val="17"/>
        </w:rPr>
        <w:t xml:space="preserve"> </w:t>
      </w:r>
      <w:r>
        <w:rPr>
          <w:color w:val="231F20"/>
          <w:sz w:val="17"/>
        </w:rPr>
        <w:t>F.</w:t>
      </w:r>
      <w:r>
        <w:rPr>
          <w:color w:val="231F20"/>
          <w:spacing w:val="-5"/>
          <w:sz w:val="17"/>
        </w:rPr>
        <w:t xml:space="preserve"> </w:t>
      </w:r>
      <w:r>
        <w:rPr>
          <w:color w:val="231F20"/>
          <w:sz w:val="17"/>
        </w:rPr>
        <w:t>(1999)</w:t>
      </w:r>
      <w:r>
        <w:rPr>
          <w:color w:val="231F20"/>
          <w:spacing w:val="-5"/>
          <w:sz w:val="17"/>
        </w:rPr>
        <w:t xml:space="preserve"> </w:t>
      </w:r>
      <w:r>
        <w:rPr>
          <w:color w:val="231F20"/>
          <w:sz w:val="17"/>
        </w:rPr>
        <w:t>Sport</w:t>
      </w:r>
      <w:r>
        <w:rPr>
          <w:color w:val="231F20"/>
          <w:spacing w:val="-5"/>
          <w:sz w:val="17"/>
        </w:rPr>
        <w:t xml:space="preserve"> </w:t>
      </w:r>
      <w:r>
        <w:rPr>
          <w:color w:val="231F20"/>
          <w:sz w:val="17"/>
        </w:rPr>
        <w:t>and</w:t>
      </w:r>
      <w:r>
        <w:rPr>
          <w:color w:val="231F20"/>
          <w:spacing w:val="-5"/>
          <w:sz w:val="17"/>
        </w:rPr>
        <w:t xml:space="preserve"> </w:t>
      </w:r>
      <w:r>
        <w:rPr>
          <w:color w:val="231F20"/>
          <w:sz w:val="17"/>
        </w:rPr>
        <w:t>recreation</w:t>
      </w:r>
      <w:r>
        <w:rPr>
          <w:color w:val="231F20"/>
          <w:spacing w:val="-5"/>
          <w:sz w:val="17"/>
        </w:rPr>
        <w:t xml:space="preserve"> </w:t>
      </w:r>
      <w:r>
        <w:rPr>
          <w:color w:val="231F20"/>
          <w:sz w:val="17"/>
        </w:rPr>
        <w:t>in</w:t>
      </w:r>
      <w:r>
        <w:rPr>
          <w:color w:val="231F20"/>
          <w:spacing w:val="-5"/>
          <w:sz w:val="17"/>
        </w:rPr>
        <w:t xml:space="preserve"> </w:t>
      </w:r>
      <w:r>
        <w:rPr>
          <w:color w:val="231F20"/>
          <w:sz w:val="17"/>
        </w:rPr>
        <w:t>the</w:t>
      </w:r>
      <w:r>
        <w:rPr>
          <w:color w:val="231F20"/>
          <w:spacing w:val="-5"/>
          <w:sz w:val="17"/>
        </w:rPr>
        <w:t xml:space="preserve"> </w:t>
      </w:r>
      <w:r>
        <w:rPr>
          <w:color w:val="231F20"/>
          <w:sz w:val="17"/>
        </w:rPr>
        <w:t>United</w:t>
      </w:r>
      <w:r>
        <w:rPr>
          <w:color w:val="231F20"/>
          <w:spacing w:val="-5"/>
          <w:sz w:val="17"/>
        </w:rPr>
        <w:t xml:space="preserve"> </w:t>
      </w:r>
      <w:r>
        <w:rPr>
          <w:color w:val="231F20"/>
          <w:sz w:val="17"/>
        </w:rPr>
        <w:t>Kingdom:</w:t>
      </w:r>
      <w:r>
        <w:rPr>
          <w:color w:val="231F20"/>
          <w:spacing w:val="-5"/>
          <w:sz w:val="17"/>
        </w:rPr>
        <w:t xml:space="preserve"> </w:t>
      </w:r>
      <w:r>
        <w:rPr>
          <w:color w:val="231F20"/>
          <w:sz w:val="17"/>
        </w:rPr>
        <w:t>Flow</w:t>
      </w:r>
      <w:r>
        <w:rPr>
          <w:color w:val="231F20"/>
          <w:spacing w:val="-5"/>
          <w:sz w:val="17"/>
        </w:rPr>
        <w:t xml:space="preserve"> </w:t>
      </w:r>
      <w:r>
        <w:rPr>
          <w:color w:val="231F20"/>
          <w:sz w:val="17"/>
        </w:rPr>
        <w:t>with</w:t>
      </w:r>
      <w:r>
        <w:rPr>
          <w:color w:val="231F20"/>
          <w:spacing w:val="-5"/>
          <w:sz w:val="17"/>
        </w:rPr>
        <w:t xml:space="preserve"> </w:t>
      </w:r>
      <w:r>
        <w:rPr>
          <w:color w:val="231F20"/>
          <w:sz w:val="17"/>
        </w:rPr>
        <w:t>the</w:t>
      </w:r>
      <w:r>
        <w:rPr>
          <w:color w:val="231F20"/>
          <w:spacing w:val="-5"/>
          <w:sz w:val="17"/>
        </w:rPr>
        <w:t xml:space="preserve"> </w:t>
      </w:r>
      <w:r>
        <w:rPr>
          <w:color w:val="231F20"/>
          <w:sz w:val="17"/>
        </w:rPr>
        <w:t>flow</w:t>
      </w:r>
      <w:r>
        <w:rPr>
          <w:color w:val="231F20"/>
          <w:spacing w:val="-5"/>
          <w:sz w:val="17"/>
        </w:rPr>
        <w:t xml:space="preserve"> </w:t>
      </w:r>
      <w:r>
        <w:rPr>
          <w:color w:val="231F20"/>
          <w:sz w:val="17"/>
        </w:rPr>
        <w:t>or</w:t>
      </w:r>
      <w:r>
        <w:rPr>
          <w:color w:val="231F20"/>
          <w:spacing w:val="-5"/>
          <w:sz w:val="17"/>
        </w:rPr>
        <w:t xml:space="preserve"> </w:t>
      </w:r>
      <w:r>
        <w:rPr>
          <w:color w:val="231F20"/>
          <w:sz w:val="17"/>
        </w:rPr>
        <w:t>buck</w:t>
      </w:r>
      <w:r>
        <w:rPr>
          <w:color w:val="231F20"/>
          <w:spacing w:val="40"/>
          <w:sz w:val="17"/>
        </w:rPr>
        <w:t xml:space="preserve"> </w:t>
      </w:r>
      <w:r>
        <w:rPr>
          <w:color w:val="231F20"/>
          <w:sz w:val="17"/>
        </w:rPr>
        <w:t xml:space="preserve">with the trends? </w:t>
      </w:r>
      <w:r>
        <w:rPr>
          <w:i/>
          <w:color w:val="231F20"/>
          <w:sz w:val="17"/>
        </w:rPr>
        <w:t xml:space="preserve">Managing Leisure </w:t>
      </w:r>
      <w:r>
        <w:rPr>
          <w:color w:val="231F20"/>
          <w:sz w:val="17"/>
        </w:rPr>
        <w:t>4 (1), 24–39.</w:t>
      </w:r>
    </w:p>
    <w:p w14:paraId="0C64E11A" w14:textId="77777777" w:rsidR="00AE0598" w:rsidRDefault="0069255A">
      <w:pPr>
        <w:spacing w:before="1"/>
        <w:ind w:left="110"/>
        <w:rPr>
          <w:sz w:val="17"/>
        </w:rPr>
      </w:pPr>
      <w:r>
        <w:rPr>
          <w:color w:val="231F20"/>
          <w:w w:val="95"/>
          <w:sz w:val="17"/>
        </w:rPr>
        <w:t>Cohen,</w:t>
      </w:r>
      <w:r>
        <w:rPr>
          <w:color w:val="231F20"/>
          <w:spacing w:val="17"/>
          <w:sz w:val="17"/>
        </w:rPr>
        <w:t xml:space="preserve"> </w:t>
      </w:r>
      <w:r>
        <w:rPr>
          <w:color w:val="231F20"/>
          <w:w w:val="95"/>
          <w:sz w:val="17"/>
        </w:rPr>
        <w:t>E.</w:t>
      </w:r>
      <w:r>
        <w:rPr>
          <w:color w:val="231F20"/>
          <w:spacing w:val="18"/>
          <w:sz w:val="17"/>
        </w:rPr>
        <w:t xml:space="preserve"> </w:t>
      </w:r>
      <w:r>
        <w:rPr>
          <w:color w:val="231F20"/>
          <w:w w:val="95"/>
          <w:sz w:val="17"/>
        </w:rPr>
        <w:t>(1979)</w:t>
      </w:r>
      <w:r>
        <w:rPr>
          <w:color w:val="231F20"/>
          <w:spacing w:val="18"/>
          <w:sz w:val="17"/>
        </w:rPr>
        <w:t xml:space="preserve"> </w:t>
      </w:r>
      <w:r>
        <w:rPr>
          <w:color w:val="231F20"/>
          <w:w w:val="95"/>
          <w:sz w:val="17"/>
        </w:rPr>
        <w:t>A</w:t>
      </w:r>
      <w:r>
        <w:rPr>
          <w:color w:val="231F20"/>
          <w:spacing w:val="17"/>
          <w:sz w:val="17"/>
        </w:rPr>
        <w:t xml:space="preserve"> </w:t>
      </w:r>
      <w:r>
        <w:rPr>
          <w:color w:val="231F20"/>
          <w:w w:val="95"/>
          <w:sz w:val="17"/>
        </w:rPr>
        <w:t>phenomenology</w:t>
      </w:r>
      <w:r>
        <w:rPr>
          <w:color w:val="231F20"/>
          <w:spacing w:val="18"/>
          <w:sz w:val="17"/>
        </w:rPr>
        <w:t xml:space="preserve"> </w:t>
      </w:r>
      <w:r>
        <w:rPr>
          <w:color w:val="231F20"/>
          <w:w w:val="95"/>
          <w:sz w:val="17"/>
        </w:rPr>
        <w:t>of</w:t>
      </w:r>
      <w:r>
        <w:rPr>
          <w:color w:val="231F20"/>
          <w:spacing w:val="18"/>
          <w:sz w:val="17"/>
        </w:rPr>
        <w:t xml:space="preserve"> </w:t>
      </w:r>
      <w:r>
        <w:rPr>
          <w:color w:val="231F20"/>
          <w:w w:val="95"/>
          <w:sz w:val="17"/>
        </w:rPr>
        <w:t>tourist</w:t>
      </w:r>
      <w:r>
        <w:rPr>
          <w:color w:val="231F20"/>
          <w:spacing w:val="17"/>
          <w:sz w:val="17"/>
        </w:rPr>
        <w:t xml:space="preserve"> </w:t>
      </w:r>
      <w:r>
        <w:rPr>
          <w:color w:val="231F20"/>
          <w:w w:val="95"/>
          <w:sz w:val="17"/>
        </w:rPr>
        <w:t>experiences.</w:t>
      </w:r>
      <w:r>
        <w:rPr>
          <w:color w:val="231F20"/>
          <w:spacing w:val="17"/>
          <w:sz w:val="17"/>
        </w:rPr>
        <w:t xml:space="preserve"> </w:t>
      </w:r>
      <w:r>
        <w:rPr>
          <w:i/>
          <w:color w:val="231F20"/>
          <w:w w:val="95"/>
          <w:sz w:val="17"/>
        </w:rPr>
        <w:t>Sociology</w:t>
      </w:r>
      <w:r>
        <w:rPr>
          <w:i/>
          <w:color w:val="231F20"/>
          <w:spacing w:val="17"/>
          <w:sz w:val="17"/>
        </w:rPr>
        <w:t xml:space="preserve"> </w:t>
      </w:r>
      <w:r>
        <w:rPr>
          <w:color w:val="231F20"/>
          <w:w w:val="95"/>
          <w:sz w:val="17"/>
        </w:rPr>
        <w:t>13,</w:t>
      </w:r>
      <w:r>
        <w:rPr>
          <w:color w:val="231F20"/>
          <w:spacing w:val="18"/>
          <w:sz w:val="17"/>
        </w:rPr>
        <w:t xml:space="preserve"> </w:t>
      </w:r>
      <w:r>
        <w:rPr>
          <w:color w:val="231F20"/>
          <w:spacing w:val="-2"/>
          <w:w w:val="95"/>
          <w:sz w:val="17"/>
        </w:rPr>
        <w:t>179–201.</w:t>
      </w:r>
    </w:p>
    <w:p w14:paraId="151C4AFC" w14:textId="77777777" w:rsidR="00AE0598" w:rsidRDefault="0069255A">
      <w:pPr>
        <w:spacing w:before="1"/>
        <w:ind w:left="430" w:hanging="320"/>
        <w:rPr>
          <w:sz w:val="17"/>
        </w:rPr>
      </w:pPr>
      <w:r>
        <w:rPr>
          <w:color w:val="231F20"/>
          <w:sz w:val="17"/>
        </w:rPr>
        <w:t>Cohen,</w:t>
      </w:r>
      <w:r>
        <w:rPr>
          <w:color w:val="231F20"/>
          <w:spacing w:val="36"/>
          <w:sz w:val="17"/>
        </w:rPr>
        <w:t xml:space="preserve"> </w:t>
      </w:r>
      <w:r>
        <w:rPr>
          <w:color w:val="231F20"/>
          <w:sz w:val="17"/>
        </w:rPr>
        <w:t>E.</w:t>
      </w:r>
      <w:r>
        <w:rPr>
          <w:color w:val="231F20"/>
          <w:spacing w:val="36"/>
          <w:sz w:val="17"/>
        </w:rPr>
        <w:t xml:space="preserve"> </w:t>
      </w:r>
      <w:r>
        <w:rPr>
          <w:color w:val="231F20"/>
          <w:sz w:val="17"/>
        </w:rPr>
        <w:t>(1984)</w:t>
      </w:r>
      <w:r>
        <w:rPr>
          <w:color w:val="231F20"/>
          <w:spacing w:val="36"/>
          <w:sz w:val="17"/>
        </w:rPr>
        <w:t xml:space="preserve"> </w:t>
      </w:r>
      <w:r>
        <w:rPr>
          <w:color w:val="231F20"/>
          <w:sz w:val="17"/>
        </w:rPr>
        <w:t>The</w:t>
      </w:r>
      <w:r>
        <w:rPr>
          <w:color w:val="231F20"/>
          <w:spacing w:val="36"/>
          <w:sz w:val="17"/>
        </w:rPr>
        <w:t xml:space="preserve"> </w:t>
      </w:r>
      <w:r>
        <w:rPr>
          <w:color w:val="231F20"/>
          <w:sz w:val="17"/>
        </w:rPr>
        <w:t>sociology</w:t>
      </w:r>
      <w:r>
        <w:rPr>
          <w:color w:val="231F20"/>
          <w:spacing w:val="36"/>
          <w:sz w:val="17"/>
        </w:rPr>
        <w:t xml:space="preserve"> </w:t>
      </w:r>
      <w:r>
        <w:rPr>
          <w:color w:val="231F20"/>
          <w:sz w:val="17"/>
        </w:rPr>
        <w:t>of</w:t>
      </w:r>
      <w:r>
        <w:rPr>
          <w:color w:val="231F20"/>
          <w:spacing w:val="36"/>
          <w:sz w:val="17"/>
        </w:rPr>
        <w:t xml:space="preserve"> </w:t>
      </w:r>
      <w:r>
        <w:rPr>
          <w:color w:val="231F20"/>
          <w:sz w:val="17"/>
        </w:rPr>
        <w:t>tourism:</w:t>
      </w:r>
      <w:r>
        <w:rPr>
          <w:color w:val="231F20"/>
          <w:spacing w:val="36"/>
          <w:sz w:val="17"/>
        </w:rPr>
        <w:t xml:space="preserve"> </w:t>
      </w:r>
      <w:r>
        <w:rPr>
          <w:color w:val="231F20"/>
          <w:sz w:val="17"/>
        </w:rPr>
        <w:t>Approaches,</w:t>
      </w:r>
      <w:r>
        <w:rPr>
          <w:color w:val="231F20"/>
          <w:spacing w:val="36"/>
          <w:sz w:val="17"/>
        </w:rPr>
        <w:t xml:space="preserve"> </w:t>
      </w:r>
      <w:r>
        <w:rPr>
          <w:color w:val="231F20"/>
          <w:sz w:val="17"/>
        </w:rPr>
        <w:t>issues,</w:t>
      </w:r>
      <w:r>
        <w:rPr>
          <w:color w:val="231F20"/>
          <w:spacing w:val="36"/>
          <w:sz w:val="17"/>
        </w:rPr>
        <w:t xml:space="preserve"> </w:t>
      </w:r>
      <w:r>
        <w:rPr>
          <w:color w:val="231F20"/>
          <w:sz w:val="17"/>
        </w:rPr>
        <w:t>and</w:t>
      </w:r>
      <w:r>
        <w:rPr>
          <w:color w:val="231F20"/>
          <w:spacing w:val="36"/>
          <w:sz w:val="17"/>
        </w:rPr>
        <w:t xml:space="preserve"> </w:t>
      </w:r>
      <w:r>
        <w:rPr>
          <w:color w:val="231F20"/>
          <w:sz w:val="17"/>
        </w:rPr>
        <w:t>findings.</w:t>
      </w:r>
      <w:r>
        <w:rPr>
          <w:color w:val="231F20"/>
          <w:spacing w:val="35"/>
          <w:sz w:val="17"/>
        </w:rPr>
        <w:t xml:space="preserve"> </w:t>
      </w:r>
      <w:r>
        <w:rPr>
          <w:i/>
          <w:color w:val="231F20"/>
          <w:sz w:val="17"/>
        </w:rPr>
        <w:t>Annual</w:t>
      </w:r>
      <w:r>
        <w:rPr>
          <w:i/>
          <w:color w:val="231F20"/>
          <w:spacing w:val="40"/>
          <w:sz w:val="17"/>
        </w:rPr>
        <w:t xml:space="preserve"> </w:t>
      </w:r>
      <w:r>
        <w:rPr>
          <w:i/>
          <w:color w:val="231F20"/>
          <w:sz w:val="17"/>
        </w:rPr>
        <w:t xml:space="preserve">Review of Sociology </w:t>
      </w:r>
      <w:r>
        <w:rPr>
          <w:color w:val="231F20"/>
          <w:sz w:val="17"/>
        </w:rPr>
        <w:t>10 (1), 373–392.</w:t>
      </w:r>
    </w:p>
    <w:p w14:paraId="79756349" w14:textId="77777777" w:rsidR="00AE0598" w:rsidRDefault="0069255A">
      <w:pPr>
        <w:spacing w:before="1"/>
        <w:ind w:left="430" w:hanging="320"/>
        <w:rPr>
          <w:sz w:val="17"/>
        </w:rPr>
      </w:pPr>
      <w:r>
        <w:rPr>
          <w:color w:val="231F20"/>
          <w:sz w:val="17"/>
        </w:rPr>
        <w:t>Cohen,</w:t>
      </w:r>
      <w:r>
        <w:rPr>
          <w:color w:val="231F20"/>
          <w:spacing w:val="26"/>
          <w:sz w:val="17"/>
        </w:rPr>
        <w:t xml:space="preserve"> </w:t>
      </w:r>
      <w:r>
        <w:rPr>
          <w:color w:val="231F20"/>
          <w:sz w:val="17"/>
        </w:rPr>
        <w:t>E.</w:t>
      </w:r>
      <w:r>
        <w:rPr>
          <w:color w:val="231F20"/>
          <w:spacing w:val="26"/>
          <w:sz w:val="17"/>
        </w:rPr>
        <w:t xml:space="preserve"> </w:t>
      </w:r>
      <w:r>
        <w:rPr>
          <w:color w:val="231F20"/>
          <w:sz w:val="17"/>
        </w:rPr>
        <w:t>(1988)</w:t>
      </w:r>
      <w:r>
        <w:rPr>
          <w:color w:val="231F20"/>
          <w:spacing w:val="26"/>
          <w:sz w:val="17"/>
        </w:rPr>
        <w:t xml:space="preserve"> </w:t>
      </w:r>
      <w:r>
        <w:rPr>
          <w:color w:val="231F20"/>
          <w:sz w:val="17"/>
        </w:rPr>
        <w:t>Authenticity</w:t>
      </w:r>
      <w:r>
        <w:rPr>
          <w:color w:val="231F20"/>
          <w:spacing w:val="26"/>
          <w:sz w:val="17"/>
        </w:rPr>
        <w:t xml:space="preserve"> </w:t>
      </w:r>
      <w:r>
        <w:rPr>
          <w:color w:val="231F20"/>
          <w:sz w:val="17"/>
        </w:rPr>
        <w:t>and</w:t>
      </w:r>
      <w:r>
        <w:rPr>
          <w:color w:val="231F20"/>
          <w:spacing w:val="26"/>
          <w:sz w:val="17"/>
        </w:rPr>
        <w:t xml:space="preserve"> </w:t>
      </w:r>
      <w:r>
        <w:rPr>
          <w:color w:val="231F20"/>
          <w:sz w:val="17"/>
        </w:rPr>
        <w:t>the</w:t>
      </w:r>
      <w:r>
        <w:rPr>
          <w:color w:val="231F20"/>
          <w:spacing w:val="26"/>
          <w:sz w:val="17"/>
        </w:rPr>
        <w:t xml:space="preserve"> </w:t>
      </w:r>
      <w:r>
        <w:rPr>
          <w:color w:val="231F20"/>
          <w:sz w:val="17"/>
        </w:rPr>
        <w:t>commoditization</w:t>
      </w:r>
      <w:r>
        <w:rPr>
          <w:color w:val="231F20"/>
          <w:spacing w:val="26"/>
          <w:sz w:val="17"/>
        </w:rPr>
        <w:t xml:space="preserve"> </w:t>
      </w:r>
      <w:r>
        <w:rPr>
          <w:color w:val="231F20"/>
          <w:sz w:val="17"/>
        </w:rPr>
        <w:t>of</w:t>
      </w:r>
      <w:r>
        <w:rPr>
          <w:color w:val="231F20"/>
          <w:spacing w:val="26"/>
          <w:sz w:val="17"/>
        </w:rPr>
        <w:t xml:space="preserve"> </w:t>
      </w:r>
      <w:r>
        <w:rPr>
          <w:color w:val="231F20"/>
          <w:sz w:val="17"/>
        </w:rPr>
        <w:t>tourism.</w:t>
      </w:r>
      <w:r>
        <w:rPr>
          <w:color w:val="231F20"/>
          <w:spacing w:val="26"/>
          <w:sz w:val="17"/>
        </w:rPr>
        <w:t xml:space="preserve"> </w:t>
      </w:r>
      <w:r>
        <w:rPr>
          <w:i/>
          <w:color w:val="231F20"/>
          <w:sz w:val="17"/>
        </w:rPr>
        <w:t>Annals</w:t>
      </w:r>
      <w:r>
        <w:rPr>
          <w:i/>
          <w:color w:val="231F20"/>
          <w:spacing w:val="26"/>
          <w:sz w:val="17"/>
        </w:rPr>
        <w:t xml:space="preserve"> </w:t>
      </w:r>
      <w:r>
        <w:rPr>
          <w:i/>
          <w:color w:val="231F20"/>
          <w:sz w:val="17"/>
        </w:rPr>
        <w:t>of</w:t>
      </w:r>
      <w:r>
        <w:rPr>
          <w:i/>
          <w:color w:val="231F20"/>
          <w:spacing w:val="26"/>
          <w:sz w:val="17"/>
        </w:rPr>
        <w:t xml:space="preserve"> </w:t>
      </w:r>
      <w:r>
        <w:rPr>
          <w:i/>
          <w:color w:val="231F20"/>
          <w:sz w:val="17"/>
        </w:rPr>
        <w:t>Tourism</w:t>
      </w:r>
      <w:r>
        <w:rPr>
          <w:i/>
          <w:color w:val="231F20"/>
          <w:spacing w:val="40"/>
          <w:sz w:val="17"/>
        </w:rPr>
        <w:t xml:space="preserve"> </w:t>
      </w:r>
      <w:r>
        <w:rPr>
          <w:i/>
          <w:color w:val="231F20"/>
          <w:sz w:val="17"/>
        </w:rPr>
        <w:t xml:space="preserve">Research </w:t>
      </w:r>
      <w:r>
        <w:rPr>
          <w:color w:val="231F20"/>
          <w:sz w:val="17"/>
        </w:rPr>
        <w:t>15, 371–386.</w:t>
      </w:r>
    </w:p>
    <w:p w14:paraId="276EDB23" w14:textId="77777777" w:rsidR="00AE0598" w:rsidRDefault="0069255A">
      <w:pPr>
        <w:spacing w:before="2"/>
        <w:ind w:left="430" w:right="286" w:hanging="320"/>
        <w:rPr>
          <w:sz w:val="17"/>
        </w:rPr>
      </w:pPr>
      <w:r>
        <w:rPr>
          <w:color w:val="231F20"/>
          <w:w w:val="95"/>
          <w:sz w:val="17"/>
        </w:rPr>
        <w:t>Cohen, E. (1996) A phenomenology of tourist experiences. In Y. Apostolopoulos, S. Leivadi</w:t>
      </w:r>
      <w:r>
        <w:rPr>
          <w:color w:val="231F20"/>
          <w:spacing w:val="80"/>
          <w:sz w:val="17"/>
        </w:rPr>
        <w:t xml:space="preserve"> </w:t>
      </w:r>
      <w:r>
        <w:rPr>
          <w:color w:val="231F20"/>
          <w:sz w:val="17"/>
        </w:rPr>
        <w:t xml:space="preserve">and A. Yiannakis (eds) </w:t>
      </w:r>
      <w:r>
        <w:rPr>
          <w:i/>
          <w:color w:val="231F20"/>
          <w:sz w:val="17"/>
        </w:rPr>
        <w:t xml:space="preserve">The Sociology of Tourism </w:t>
      </w:r>
      <w:r>
        <w:rPr>
          <w:color w:val="231F20"/>
          <w:sz w:val="17"/>
        </w:rPr>
        <w:t>(pp. 90–111). London: Routledge.</w:t>
      </w:r>
    </w:p>
    <w:p w14:paraId="62D98BAE" w14:textId="77777777" w:rsidR="00AE0598" w:rsidRDefault="0069255A">
      <w:pPr>
        <w:spacing w:before="1"/>
        <w:ind w:left="110"/>
        <w:rPr>
          <w:i/>
          <w:sz w:val="17"/>
        </w:rPr>
      </w:pPr>
      <w:r>
        <w:rPr>
          <w:color w:val="231F20"/>
          <w:sz w:val="17"/>
        </w:rPr>
        <w:t>Cohen,</w:t>
      </w:r>
      <w:r>
        <w:rPr>
          <w:color w:val="231F20"/>
          <w:spacing w:val="3"/>
          <w:sz w:val="17"/>
        </w:rPr>
        <w:t xml:space="preserve"> </w:t>
      </w:r>
      <w:r>
        <w:rPr>
          <w:color w:val="231F20"/>
          <w:sz w:val="17"/>
        </w:rPr>
        <w:t>E.</w:t>
      </w:r>
      <w:r>
        <w:rPr>
          <w:color w:val="231F20"/>
          <w:spacing w:val="3"/>
          <w:sz w:val="17"/>
        </w:rPr>
        <w:t xml:space="preserve"> </w:t>
      </w:r>
      <w:r>
        <w:rPr>
          <w:color w:val="231F20"/>
          <w:sz w:val="17"/>
        </w:rPr>
        <w:t>and</w:t>
      </w:r>
      <w:r>
        <w:rPr>
          <w:color w:val="231F20"/>
          <w:spacing w:val="3"/>
          <w:sz w:val="17"/>
        </w:rPr>
        <w:t xml:space="preserve"> </w:t>
      </w:r>
      <w:r>
        <w:rPr>
          <w:color w:val="231F20"/>
          <w:sz w:val="17"/>
        </w:rPr>
        <w:t>Cohen,</w:t>
      </w:r>
      <w:r>
        <w:rPr>
          <w:color w:val="231F20"/>
          <w:spacing w:val="3"/>
          <w:sz w:val="17"/>
        </w:rPr>
        <w:t xml:space="preserve"> </w:t>
      </w:r>
      <w:r>
        <w:rPr>
          <w:color w:val="231F20"/>
          <w:sz w:val="17"/>
        </w:rPr>
        <w:t>S.</w:t>
      </w:r>
      <w:r>
        <w:rPr>
          <w:color w:val="231F20"/>
          <w:spacing w:val="4"/>
          <w:sz w:val="17"/>
        </w:rPr>
        <w:t xml:space="preserve"> </w:t>
      </w:r>
      <w:r>
        <w:rPr>
          <w:color w:val="231F20"/>
          <w:sz w:val="17"/>
        </w:rPr>
        <w:t>(2012)</w:t>
      </w:r>
      <w:r>
        <w:rPr>
          <w:color w:val="231F20"/>
          <w:spacing w:val="3"/>
          <w:sz w:val="17"/>
        </w:rPr>
        <w:t xml:space="preserve"> </w:t>
      </w:r>
      <w:r>
        <w:rPr>
          <w:color w:val="231F20"/>
          <w:sz w:val="17"/>
        </w:rPr>
        <w:t>Authentication:</w:t>
      </w:r>
      <w:r>
        <w:rPr>
          <w:color w:val="231F20"/>
          <w:spacing w:val="3"/>
          <w:sz w:val="17"/>
        </w:rPr>
        <w:t xml:space="preserve"> </w:t>
      </w:r>
      <w:r>
        <w:rPr>
          <w:color w:val="231F20"/>
          <w:sz w:val="17"/>
        </w:rPr>
        <w:t>Hot</w:t>
      </w:r>
      <w:r>
        <w:rPr>
          <w:color w:val="231F20"/>
          <w:spacing w:val="3"/>
          <w:sz w:val="17"/>
        </w:rPr>
        <w:t xml:space="preserve"> </w:t>
      </w:r>
      <w:r>
        <w:rPr>
          <w:color w:val="231F20"/>
          <w:sz w:val="17"/>
        </w:rPr>
        <w:t>and</w:t>
      </w:r>
      <w:r>
        <w:rPr>
          <w:color w:val="231F20"/>
          <w:spacing w:val="3"/>
          <w:sz w:val="17"/>
        </w:rPr>
        <w:t xml:space="preserve"> </w:t>
      </w:r>
      <w:r>
        <w:rPr>
          <w:color w:val="231F20"/>
          <w:sz w:val="17"/>
        </w:rPr>
        <w:t>cool.</w:t>
      </w:r>
      <w:r>
        <w:rPr>
          <w:color w:val="231F20"/>
          <w:spacing w:val="5"/>
          <w:sz w:val="17"/>
        </w:rPr>
        <w:t xml:space="preserve"> </w:t>
      </w:r>
      <w:r>
        <w:rPr>
          <w:i/>
          <w:color w:val="231F20"/>
          <w:sz w:val="17"/>
        </w:rPr>
        <w:t>Annals</w:t>
      </w:r>
      <w:r>
        <w:rPr>
          <w:i/>
          <w:color w:val="231F20"/>
          <w:spacing w:val="3"/>
          <w:sz w:val="17"/>
        </w:rPr>
        <w:t xml:space="preserve"> </w:t>
      </w:r>
      <w:r>
        <w:rPr>
          <w:i/>
          <w:color w:val="231F20"/>
          <w:sz w:val="17"/>
        </w:rPr>
        <w:t>of</w:t>
      </w:r>
      <w:r>
        <w:rPr>
          <w:i/>
          <w:color w:val="231F20"/>
          <w:spacing w:val="3"/>
          <w:sz w:val="17"/>
        </w:rPr>
        <w:t xml:space="preserve"> </w:t>
      </w:r>
      <w:r>
        <w:rPr>
          <w:i/>
          <w:color w:val="231F20"/>
          <w:sz w:val="17"/>
        </w:rPr>
        <w:t>Tourism</w:t>
      </w:r>
      <w:r>
        <w:rPr>
          <w:i/>
          <w:color w:val="231F20"/>
          <w:spacing w:val="3"/>
          <w:sz w:val="17"/>
        </w:rPr>
        <w:t xml:space="preserve"> </w:t>
      </w:r>
      <w:r>
        <w:rPr>
          <w:i/>
          <w:color w:val="231F20"/>
          <w:spacing w:val="-2"/>
          <w:sz w:val="17"/>
        </w:rPr>
        <w:t>Research</w:t>
      </w:r>
    </w:p>
    <w:p w14:paraId="4ED0745E" w14:textId="77777777" w:rsidR="00AE0598" w:rsidRDefault="0069255A">
      <w:pPr>
        <w:spacing w:before="1"/>
        <w:ind w:left="430"/>
        <w:rPr>
          <w:sz w:val="17"/>
        </w:rPr>
      </w:pPr>
      <w:r>
        <w:rPr>
          <w:color w:val="231F20"/>
          <w:w w:val="90"/>
          <w:sz w:val="17"/>
        </w:rPr>
        <w:t>39</w:t>
      </w:r>
      <w:r>
        <w:rPr>
          <w:color w:val="231F20"/>
          <w:spacing w:val="-2"/>
          <w:sz w:val="17"/>
        </w:rPr>
        <w:t xml:space="preserve"> </w:t>
      </w:r>
      <w:r>
        <w:rPr>
          <w:color w:val="231F20"/>
          <w:w w:val="90"/>
          <w:sz w:val="17"/>
        </w:rPr>
        <w:t>(3),</w:t>
      </w:r>
      <w:r>
        <w:rPr>
          <w:color w:val="231F20"/>
          <w:spacing w:val="-1"/>
          <w:sz w:val="17"/>
        </w:rPr>
        <w:t xml:space="preserve"> </w:t>
      </w:r>
      <w:r>
        <w:rPr>
          <w:color w:val="231F20"/>
          <w:spacing w:val="-2"/>
          <w:w w:val="90"/>
          <w:sz w:val="17"/>
        </w:rPr>
        <w:t>1295–1314.</w:t>
      </w:r>
    </w:p>
    <w:p w14:paraId="2E0D120A" w14:textId="77777777" w:rsidR="00AE0598" w:rsidRDefault="0069255A">
      <w:pPr>
        <w:spacing w:before="1"/>
        <w:ind w:left="430" w:hanging="320"/>
        <w:rPr>
          <w:sz w:val="17"/>
        </w:rPr>
      </w:pPr>
      <w:r>
        <w:rPr>
          <w:color w:val="231F20"/>
          <w:sz w:val="17"/>
        </w:rPr>
        <w:t xml:space="preserve">Cole, S. (2007) Beyond authenticity and commodification. </w:t>
      </w:r>
      <w:r>
        <w:rPr>
          <w:i/>
          <w:color w:val="231F20"/>
          <w:sz w:val="17"/>
        </w:rPr>
        <w:t xml:space="preserve">Annals of Tourism Research </w:t>
      </w:r>
      <w:r>
        <w:rPr>
          <w:color w:val="231F20"/>
          <w:sz w:val="17"/>
        </w:rPr>
        <w:t>34,</w:t>
      </w:r>
      <w:r>
        <w:rPr>
          <w:color w:val="231F20"/>
          <w:spacing w:val="40"/>
          <w:sz w:val="17"/>
        </w:rPr>
        <w:t xml:space="preserve"> </w:t>
      </w:r>
      <w:r>
        <w:rPr>
          <w:color w:val="231F20"/>
          <w:spacing w:val="-2"/>
          <w:sz w:val="17"/>
        </w:rPr>
        <w:t>943–960.</w:t>
      </w:r>
    </w:p>
    <w:p w14:paraId="4679E5F2" w14:textId="77777777" w:rsidR="00AE0598" w:rsidRDefault="00AE0598">
      <w:pPr>
        <w:rPr>
          <w:sz w:val="17"/>
        </w:rPr>
        <w:sectPr w:rsidR="00AE0598">
          <w:pgSz w:w="8850" w:h="13270"/>
          <w:pgMar w:top="720" w:right="1060" w:bottom="280" w:left="1080" w:header="720" w:footer="720" w:gutter="0"/>
          <w:cols w:space="720"/>
        </w:sectPr>
      </w:pPr>
    </w:p>
    <w:p w14:paraId="4D77465C" w14:textId="77777777" w:rsidR="00AE0598" w:rsidRDefault="0069255A">
      <w:pPr>
        <w:spacing w:before="87"/>
        <w:ind w:left="108"/>
        <w:rPr>
          <w:rFonts w:ascii="Trebuchet MS"/>
          <w:sz w:val="14"/>
        </w:rPr>
      </w:pPr>
      <w:r>
        <w:rPr>
          <w:rFonts w:ascii="Trebuchet MS"/>
          <w:color w:val="231F20"/>
          <w:w w:val="105"/>
          <w:sz w:val="14"/>
        </w:rPr>
        <w:lastRenderedPageBreak/>
        <w:t>244</w:t>
      </w:r>
      <w:r>
        <w:rPr>
          <w:rFonts w:ascii="Trebuchet MS"/>
          <w:color w:val="231F20"/>
          <w:spacing w:val="78"/>
          <w:w w:val="150"/>
          <w:sz w:val="14"/>
        </w:rPr>
        <w:t xml:space="preserve"> </w:t>
      </w:r>
      <w:r>
        <w:rPr>
          <w:rFonts w:ascii="Trebuchet MS"/>
          <w:color w:val="231F20"/>
          <w:spacing w:val="-2"/>
          <w:w w:val="105"/>
          <w:sz w:val="14"/>
        </w:rPr>
        <w:t>References</w:t>
      </w:r>
    </w:p>
    <w:p w14:paraId="73D32244" w14:textId="77777777" w:rsidR="00AE0598" w:rsidRDefault="00AE0598">
      <w:pPr>
        <w:pStyle w:val="Corpodetexto"/>
        <w:rPr>
          <w:rFonts w:ascii="Trebuchet MS"/>
          <w:sz w:val="16"/>
        </w:rPr>
      </w:pPr>
    </w:p>
    <w:p w14:paraId="05D68BA9" w14:textId="77777777" w:rsidR="00AE0598" w:rsidRDefault="0069255A">
      <w:pPr>
        <w:spacing w:before="121"/>
        <w:ind w:left="430" w:right="128" w:hanging="320"/>
        <w:jc w:val="both"/>
        <w:rPr>
          <w:sz w:val="17"/>
        </w:rPr>
      </w:pPr>
      <w:r>
        <w:rPr>
          <w:color w:val="231F20"/>
          <w:sz w:val="17"/>
        </w:rPr>
        <w:t xml:space="preserve">Collier, A. (1999) </w:t>
      </w:r>
      <w:r>
        <w:rPr>
          <w:i/>
          <w:color w:val="231F20"/>
          <w:sz w:val="17"/>
        </w:rPr>
        <w:t xml:space="preserve">Principles of Tourism: A New Zealand Perspective </w:t>
      </w:r>
      <w:r>
        <w:rPr>
          <w:color w:val="231F20"/>
          <w:sz w:val="17"/>
        </w:rPr>
        <w:t>(5th edn). Auckland:</w:t>
      </w:r>
      <w:r>
        <w:rPr>
          <w:color w:val="231F20"/>
          <w:spacing w:val="40"/>
          <w:sz w:val="17"/>
        </w:rPr>
        <w:t xml:space="preserve"> </w:t>
      </w:r>
      <w:r>
        <w:rPr>
          <w:color w:val="231F20"/>
          <w:spacing w:val="-2"/>
          <w:sz w:val="17"/>
        </w:rPr>
        <w:t>Longman.</w:t>
      </w:r>
    </w:p>
    <w:p w14:paraId="12B876BD" w14:textId="77777777" w:rsidR="00AE0598" w:rsidRDefault="0069255A">
      <w:pPr>
        <w:spacing w:before="1"/>
        <w:ind w:left="430" w:right="128" w:hanging="320"/>
        <w:jc w:val="both"/>
        <w:rPr>
          <w:sz w:val="17"/>
        </w:rPr>
      </w:pPr>
      <w:r>
        <w:rPr>
          <w:color w:val="231F20"/>
          <w:sz w:val="17"/>
        </w:rPr>
        <w:t>Collins,</w:t>
      </w:r>
      <w:r>
        <w:rPr>
          <w:color w:val="231F20"/>
          <w:spacing w:val="-1"/>
          <w:sz w:val="17"/>
        </w:rPr>
        <w:t xml:space="preserve"> </w:t>
      </w:r>
      <w:r>
        <w:rPr>
          <w:color w:val="231F20"/>
          <w:sz w:val="17"/>
        </w:rPr>
        <w:t>A.,</w:t>
      </w:r>
      <w:r>
        <w:rPr>
          <w:color w:val="231F20"/>
          <w:spacing w:val="-1"/>
          <w:sz w:val="17"/>
        </w:rPr>
        <w:t xml:space="preserve"> </w:t>
      </w:r>
      <w:r>
        <w:rPr>
          <w:color w:val="231F20"/>
          <w:sz w:val="17"/>
        </w:rPr>
        <w:t>Jones,</w:t>
      </w:r>
      <w:r>
        <w:rPr>
          <w:color w:val="231F20"/>
          <w:spacing w:val="-1"/>
          <w:sz w:val="17"/>
        </w:rPr>
        <w:t xml:space="preserve"> </w:t>
      </w:r>
      <w:r>
        <w:rPr>
          <w:color w:val="231F20"/>
          <w:sz w:val="17"/>
        </w:rPr>
        <w:t>C.</w:t>
      </w:r>
      <w:r>
        <w:rPr>
          <w:color w:val="231F20"/>
          <w:spacing w:val="-1"/>
          <w:sz w:val="17"/>
        </w:rPr>
        <w:t xml:space="preserve"> </w:t>
      </w:r>
      <w:r>
        <w:rPr>
          <w:color w:val="231F20"/>
          <w:sz w:val="17"/>
        </w:rPr>
        <w:t>and</w:t>
      </w:r>
      <w:r>
        <w:rPr>
          <w:color w:val="231F20"/>
          <w:spacing w:val="-1"/>
          <w:sz w:val="17"/>
        </w:rPr>
        <w:t xml:space="preserve"> </w:t>
      </w:r>
      <w:r>
        <w:rPr>
          <w:color w:val="231F20"/>
          <w:sz w:val="17"/>
        </w:rPr>
        <w:t>Munday,</w:t>
      </w:r>
      <w:r>
        <w:rPr>
          <w:color w:val="231F20"/>
          <w:spacing w:val="-1"/>
          <w:sz w:val="17"/>
        </w:rPr>
        <w:t xml:space="preserve"> </w:t>
      </w:r>
      <w:r>
        <w:rPr>
          <w:color w:val="231F20"/>
          <w:sz w:val="17"/>
        </w:rPr>
        <w:t>M.</w:t>
      </w:r>
      <w:r>
        <w:rPr>
          <w:color w:val="231F20"/>
          <w:spacing w:val="-1"/>
          <w:sz w:val="17"/>
        </w:rPr>
        <w:t xml:space="preserve"> </w:t>
      </w:r>
      <w:r>
        <w:rPr>
          <w:color w:val="231F20"/>
          <w:sz w:val="17"/>
        </w:rPr>
        <w:t>(2009)</w:t>
      </w:r>
      <w:r>
        <w:rPr>
          <w:color w:val="231F20"/>
          <w:spacing w:val="-1"/>
          <w:sz w:val="17"/>
        </w:rPr>
        <w:t xml:space="preserve"> </w:t>
      </w:r>
      <w:r>
        <w:rPr>
          <w:color w:val="231F20"/>
          <w:sz w:val="17"/>
        </w:rPr>
        <w:t>Assessing</w:t>
      </w:r>
      <w:r>
        <w:rPr>
          <w:color w:val="231F20"/>
          <w:spacing w:val="-1"/>
          <w:sz w:val="17"/>
        </w:rPr>
        <w:t xml:space="preserve"> </w:t>
      </w:r>
      <w:r>
        <w:rPr>
          <w:color w:val="231F20"/>
          <w:sz w:val="17"/>
        </w:rPr>
        <w:t>the</w:t>
      </w:r>
      <w:r>
        <w:rPr>
          <w:color w:val="231F20"/>
          <w:spacing w:val="-1"/>
          <w:sz w:val="17"/>
        </w:rPr>
        <w:t xml:space="preserve"> </w:t>
      </w:r>
      <w:r>
        <w:rPr>
          <w:color w:val="231F20"/>
          <w:sz w:val="17"/>
        </w:rPr>
        <w:t>environmental</w:t>
      </w:r>
      <w:r>
        <w:rPr>
          <w:color w:val="231F20"/>
          <w:spacing w:val="-1"/>
          <w:sz w:val="17"/>
        </w:rPr>
        <w:t xml:space="preserve"> </w:t>
      </w:r>
      <w:r>
        <w:rPr>
          <w:color w:val="231F20"/>
          <w:sz w:val="17"/>
        </w:rPr>
        <w:t>impacts</w:t>
      </w:r>
      <w:r>
        <w:rPr>
          <w:color w:val="231F20"/>
          <w:spacing w:val="-1"/>
          <w:sz w:val="17"/>
        </w:rPr>
        <w:t xml:space="preserve"> </w:t>
      </w:r>
      <w:r>
        <w:rPr>
          <w:color w:val="231F20"/>
          <w:sz w:val="17"/>
        </w:rPr>
        <w:t>of</w:t>
      </w:r>
      <w:r>
        <w:rPr>
          <w:color w:val="231F20"/>
          <w:spacing w:val="-1"/>
          <w:sz w:val="17"/>
        </w:rPr>
        <w:t xml:space="preserve"> </w:t>
      </w:r>
      <w:r>
        <w:rPr>
          <w:color w:val="231F20"/>
          <w:sz w:val="17"/>
        </w:rPr>
        <w:t>mega</w:t>
      </w:r>
      <w:r>
        <w:rPr>
          <w:color w:val="231F20"/>
          <w:spacing w:val="40"/>
          <w:sz w:val="17"/>
        </w:rPr>
        <w:t xml:space="preserve"> </w:t>
      </w:r>
      <w:r>
        <w:rPr>
          <w:color w:val="231F20"/>
          <w:sz w:val="17"/>
        </w:rPr>
        <w:t xml:space="preserve">sporting events: Two options? </w:t>
      </w:r>
      <w:r>
        <w:rPr>
          <w:i/>
          <w:color w:val="231F20"/>
          <w:sz w:val="17"/>
        </w:rPr>
        <w:t xml:space="preserve">Tourism Management </w:t>
      </w:r>
      <w:r>
        <w:rPr>
          <w:color w:val="231F20"/>
          <w:sz w:val="17"/>
        </w:rPr>
        <w:t>30 (6), 828–837.</w:t>
      </w:r>
    </w:p>
    <w:p w14:paraId="49AFE7CF" w14:textId="77777777" w:rsidR="00AE0598" w:rsidRDefault="0069255A">
      <w:pPr>
        <w:spacing w:before="2"/>
        <w:ind w:left="430" w:right="128" w:hanging="320"/>
        <w:jc w:val="both"/>
        <w:rPr>
          <w:sz w:val="17"/>
        </w:rPr>
      </w:pPr>
      <w:r>
        <w:rPr>
          <w:color w:val="231F20"/>
          <w:w w:val="95"/>
          <w:sz w:val="17"/>
        </w:rPr>
        <w:t>Collins, M.F. (1991) The economics of sport and sports in the economy: Some international</w:t>
      </w:r>
      <w:r>
        <w:rPr>
          <w:color w:val="231F20"/>
          <w:spacing w:val="40"/>
          <w:sz w:val="17"/>
        </w:rPr>
        <w:t xml:space="preserve"> </w:t>
      </w:r>
      <w:r>
        <w:rPr>
          <w:color w:val="231F20"/>
          <w:sz w:val="17"/>
        </w:rPr>
        <w:t xml:space="preserve">comparisons. In C.P. Cooper (ed.) </w:t>
      </w:r>
      <w:r>
        <w:rPr>
          <w:i/>
          <w:color w:val="231F20"/>
          <w:sz w:val="17"/>
        </w:rPr>
        <w:t>Progress in Tourism, Recreation and Hospitality</w:t>
      </w:r>
      <w:r>
        <w:rPr>
          <w:i/>
          <w:color w:val="231F20"/>
          <w:spacing w:val="40"/>
          <w:sz w:val="17"/>
        </w:rPr>
        <w:t xml:space="preserve"> </w:t>
      </w:r>
      <w:r>
        <w:rPr>
          <w:i/>
          <w:color w:val="231F20"/>
          <w:sz w:val="17"/>
        </w:rPr>
        <w:t xml:space="preserve">Management </w:t>
      </w:r>
      <w:r>
        <w:rPr>
          <w:color w:val="231F20"/>
          <w:sz w:val="17"/>
        </w:rPr>
        <w:t>(pp. 184–214). London: Belhaven Press.</w:t>
      </w:r>
    </w:p>
    <w:p w14:paraId="7C5CBE0C" w14:textId="77777777" w:rsidR="00AE0598" w:rsidRDefault="0069255A">
      <w:pPr>
        <w:spacing w:before="2"/>
        <w:ind w:left="110"/>
        <w:jc w:val="both"/>
        <w:rPr>
          <w:sz w:val="17"/>
        </w:rPr>
      </w:pPr>
      <w:r>
        <w:rPr>
          <w:color w:val="231F20"/>
          <w:sz w:val="17"/>
        </w:rPr>
        <w:t>Collins,</w:t>
      </w:r>
      <w:r>
        <w:rPr>
          <w:color w:val="231F20"/>
          <w:spacing w:val="7"/>
          <w:sz w:val="17"/>
        </w:rPr>
        <w:t xml:space="preserve"> </w:t>
      </w:r>
      <w:r>
        <w:rPr>
          <w:color w:val="231F20"/>
          <w:sz w:val="17"/>
        </w:rPr>
        <w:t>M.F.</w:t>
      </w:r>
      <w:r>
        <w:rPr>
          <w:color w:val="231F20"/>
          <w:spacing w:val="7"/>
          <w:sz w:val="17"/>
        </w:rPr>
        <w:t xml:space="preserve"> </w:t>
      </w:r>
      <w:r>
        <w:rPr>
          <w:color w:val="231F20"/>
          <w:sz w:val="17"/>
        </w:rPr>
        <w:t>and</w:t>
      </w:r>
      <w:r>
        <w:rPr>
          <w:color w:val="231F20"/>
          <w:spacing w:val="7"/>
          <w:sz w:val="17"/>
        </w:rPr>
        <w:t xml:space="preserve"> </w:t>
      </w:r>
      <w:r>
        <w:rPr>
          <w:color w:val="231F20"/>
          <w:sz w:val="17"/>
        </w:rPr>
        <w:t>Jackson,</w:t>
      </w:r>
      <w:r>
        <w:rPr>
          <w:color w:val="231F20"/>
          <w:spacing w:val="8"/>
          <w:sz w:val="17"/>
        </w:rPr>
        <w:t xml:space="preserve"> </w:t>
      </w:r>
      <w:r>
        <w:rPr>
          <w:color w:val="231F20"/>
          <w:sz w:val="17"/>
        </w:rPr>
        <w:t>G.</w:t>
      </w:r>
      <w:r>
        <w:rPr>
          <w:color w:val="231F20"/>
          <w:spacing w:val="7"/>
          <w:sz w:val="17"/>
        </w:rPr>
        <w:t xml:space="preserve"> </w:t>
      </w:r>
      <w:r>
        <w:rPr>
          <w:color w:val="231F20"/>
          <w:sz w:val="17"/>
        </w:rPr>
        <w:t>(199</w:t>
      </w:r>
      <w:r>
        <w:rPr>
          <w:color w:val="231F20"/>
          <w:sz w:val="17"/>
        </w:rPr>
        <w:t>9)</w:t>
      </w:r>
      <w:r>
        <w:rPr>
          <w:color w:val="231F20"/>
          <w:spacing w:val="7"/>
          <w:sz w:val="17"/>
        </w:rPr>
        <w:t xml:space="preserve"> </w:t>
      </w:r>
      <w:r>
        <w:rPr>
          <w:color w:val="231F20"/>
          <w:sz w:val="17"/>
        </w:rPr>
        <w:t>The</w:t>
      </w:r>
      <w:r>
        <w:rPr>
          <w:color w:val="231F20"/>
          <w:spacing w:val="7"/>
          <w:sz w:val="17"/>
        </w:rPr>
        <w:t xml:space="preserve"> </w:t>
      </w:r>
      <w:r>
        <w:rPr>
          <w:color w:val="231F20"/>
          <w:sz w:val="17"/>
        </w:rPr>
        <w:t>economics</w:t>
      </w:r>
      <w:r>
        <w:rPr>
          <w:color w:val="231F20"/>
          <w:spacing w:val="8"/>
          <w:sz w:val="17"/>
        </w:rPr>
        <w:t xml:space="preserve"> </w:t>
      </w:r>
      <w:r>
        <w:rPr>
          <w:color w:val="231F20"/>
          <w:sz w:val="17"/>
        </w:rPr>
        <w:t>of</w:t>
      </w:r>
      <w:r>
        <w:rPr>
          <w:color w:val="231F20"/>
          <w:spacing w:val="7"/>
          <w:sz w:val="17"/>
        </w:rPr>
        <w:t xml:space="preserve"> </w:t>
      </w:r>
      <w:r>
        <w:rPr>
          <w:color w:val="231F20"/>
          <w:sz w:val="17"/>
        </w:rPr>
        <w:t>sport</w:t>
      </w:r>
      <w:r>
        <w:rPr>
          <w:color w:val="231F20"/>
          <w:spacing w:val="7"/>
          <w:sz w:val="17"/>
        </w:rPr>
        <w:t xml:space="preserve"> </w:t>
      </w:r>
      <w:r>
        <w:rPr>
          <w:color w:val="231F20"/>
          <w:sz w:val="17"/>
        </w:rPr>
        <w:t>tourism.</w:t>
      </w:r>
      <w:r>
        <w:rPr>
          <w:color w:val="231F20"/>
          <w:spacing w:val="7"/>
          <w:sz w:val="17"/>
        </w:rPr>
        <w:t xml:space="preserve"> </w:t>
      </w:r>
      <w:r>
        <w:rPr>
          <w:color w:val="231F20"/>
          <w:sz w:val="17"/>
        </w:rPr>
        <w:t>In</w:t>
      </w:r>
      <w:r>
        <w:rPr>
          <w:color w:val="231F20"/>
          <w:spacing w:val="8"/>
          <w:sz w:val="17"/>
        </w:rPr>
        <w:t xml:space="preserve"> </w:t>
      </w:r>
      <w:r>
        <w:rPr>
          <w:color w:val="231F20"/>
          <w:sz w:val="17"/>
        </w:rPr>
        <w:t>J.</w:t>
      </w:r>
      <w:r>
        <w:rPr>
          <w:color w:val="231F20"/>
          <w:spacing w:val="7"/>
          <w:sz w:val="17"/>
        </w:rPr>
        <w:t xml:space="preserve"> </w:t>
      </w:r>
      <w:r>
        <w:rPr>
          <w:color w:val="231F20"/>
          <w:sz w:val="17"/>
        </w:rPr>
        <w:t>Standeven</w:t>
      </w:r>
      <w:r>
        <w:rPr>
          <w:color w:val="231F20"/>
          <w:spacing w:val="7"/>
          <w:sz w:val="17"/>
        </w:rPr>
        <w:t xml:space="preserve"> </w:t>
      </w:r>
      <w:r>
        <w:rPr>
          <w:color w:val="231F20"/>
          <w:spacing w:val="-5"/>
          <w:sz w:val="17"/>
        </w:rPr>
        <w:t>and</w:t>
      </w:r>
    </w:p>
    <w:p w14:paraId="0CF3C800" w14:textId="77777777" w:rsidR="00AE0598" w:rsidRDefault="0069255A">
      <w:pPr>
        <w:ind w:left="430"/>
        <w:jc w:val="both"/>
        <w:rPr>
          <w:sz w:val="17"/>
        </w:rPr>
      </w:pPr>
      <w:r>
        <w:rPr>
          <w:color w:val="231F20"/>
          <w:sz w:val="17"/>
        </w:rPr>
        <w:t>P.</w:t>
      </w:r>
      <w:r>
        <w:rPr>
          <w:color w:val="231F20"/>
          <w:spacing w:val="-1"/>
          <w:sz w:val="17"/>
        </w:rPr>
        <w:t xml:space="preserve"> </w:t>
      </w:r>
      <w:r>
        <w:rPr>
          <w:color w:val="231F20"/>
          <w:sz w:val="17"/>
        </w:rPr>
        <w:t>DeKnop (eds)</w:t>
      </w:r>
      <w:r>
        <w:rPr>
          <w:color w:val="231F20"/>
          <w:spacing w:val="-1"/>
          <w:sz w:val="17"/>
        </w:rPr>
        <w:t xml:space="preserve"> </w:t>
      </w:r>
      <w:r>
        <w:rPr>
          <w:i/>
          <w:color w:val="231F20"/>
          <w:sz w:val="17"/>
        </w:rPr>
        <w:t>Sport Tourism</w:t>
      </w:r>
      <w:r>
        <w:rPr>
          <w:i/>
          <w:color w:val="231F20"/>
          <w:spacing w:val="-1"/>
          <w:sz w:val="17"/>
        </w:rPr>
        <w:t xml:space="preserve"> </w:t>
      </w:r>
      <w:r>
        <w:rPr>
          <w:color w:val="231F20"/>
          <w:sz w:val="17"/>
        </w:rPr>
        <w:t>(pp. 170–201). Champaign,</w:t>
      </w:r>
      <w:r>
        <w:rPr>
          <w:color w:val="231F20"/>
          <w:spacing w:val="-1"/>
          <w:sz w:val="17"/>
        </w:rPr>
        <w:t xml:space="preserve"> </w:t>
      </w:r>
      <w:r>
        <w:rPr>
          <w:color w:val="231F20"/>
          <w:sz w:val="17"/>
        </w:rPr>
        <w:t>IL: Human</w:t>
      </w:r>
      <w:r>
        <w:rPr>
          <w:color w:val="231F20"/>
          <w:spacing w:val="-1"/>
          <w:sz w:val="17"/>
        </w:rPr>
        <w:t xml:space="preserve"> </w:t>
      </w:r>
      <w:r>
        <w:rPr>
          <w:color w:val="231F20"/>
          <w:spacing w:val="-2"/>
          <w:sz w:val="17"/>
        </w:rPr>
        <w:t>Kinetics.</w:t>
      </w:r>
    </w:p>
    <w:p w14:paraId="7F4C625E" w14:textId="77777777" w:rsidR="00AE0598" w:rsidRDefault="0069255A">
      <w:pPr>
        <w:spacing w:before="1"/>
        <w:ind w:left="430" w:right="127" w:hanging="320"/>
        <w:jc w:val="both"/>
        <w:rPr>
          <w:sz w:val="17"/>
        </w:rPr>
      </w:pPr>
      <w:r>
        <w:rPr>
          <w:color w:val="231F20"/>
          <w:w w:val="105"/>
          <w:sz w:val="17"/>
        </w:rPr>
        <w:t>Collins, M.F. and Jackson, G. (2001) Evidence for a sports tourism continuum. Paper</w:t>
      </w:r>
      <w:r>
        <w:rPr>
          <w:color w:val="231F20"/>
          <w:spacing w:val="40"/>
          <w:w w:val="105"/>
          <w:sz w:val="17"/>
        </w:rPr>
        <w:t xml:space="preserve"> </w:t>
      </w:r>
      <w:r>
        <w:rPr>
          <w:color w:val="231F20"/>
          <w:sz w:val="17"/>
        </w:rPr>
        <w:t>presented at the Journeys in Leisure: Current and Future Alliances, Luton, UK.</w:t>
      </w:r>
    </w:p>
    <w:p w14:paraId="30669D18" w14:textId="77777777" w:rsidR="00AE0598" w:rsidRDefault="0069255A">
      <w:pPr>
        <w:spacing w:before="2"/>
        <w:ind w:left="430" w:right="127" w:hanging="320"/>
        <w:jc w:val="both"/>
        <w:rPr>
          <w:sz w:val="17"/>
        </w:rPr>
      </w:pPr>
      <w:r>
        <w:rPr>
          <w:color w:val="231F20"/>
          <w:sz w:val="17"/>
        </w:rPr>
        <w:t>Commons,</w:t>
      </w:r>
      <w:r>
        <w:rPr>
          <w:color w:val="231F20"/>
          <w:spacing w:val="-2"/>
          <w:sz w:val="17"/>
        </w:rPr>
        <w:t xml:space="preserve"> </w:t>
      </w:r>
      <w:r>
        <w:rPr>
          <w:color w:val="231F20"/>
          <w:w w:val="105"/>
          <w:sz w:val="17"/>
        </w:rPr>
        <w:t>J.</w:t>
      </w:r>
      <w:r>
        <w:rPr>
          <w:color w:val="231F20"/>
          <w:spacing w:val="-4"/>
          <w:w w:val="105"/>
          <w:sz w:val="17"/>
        </w:rPr>
        <w:t xml:space="preserve"> </w:t>
      </w:r>
      <w:r>
        <w:rPr>
          <w:color w:val="231F20"/>
          <w:sz w:val="17"/>
        </w:rPr>
        <w:t>and</w:t>
      </w:r>
      <w:r>
        <w:rPr>
          <w:color w:val="231F20"/>
          <w:spacing w:val="-2"/>
          <w:sz w:val="17"/>
        </w:rPr>
        <w:t xml:space="preserve"> </w:t>
      </w:r>
      <w:r>
        <w:rPr>
          <w:color w:val="231F20"/>
          <w:sz w:val="17"/>
        </w:rPr>
        <w:t>Page,</w:t>
      </w:r>
      <w:r>
        <w:rPr>
          <w:color w:val="231F20"/>
          <w:spacing w:val="-2"/>
          <w:sz w:val="17"/>
        </w:rPr>
        <w:t xml:space="preserve"> </w:t>
      </w:r>
      <w:r>
        <w:rPr>
          <w:color w:val="231F20"/>
          <w:sz w:val="17"/>
        </w:rPr>
        <w:t>S.</w:t>
      </w:r>
      <w:r>
        <w:rPr>
          <w:color w:val="231F20"/>
          <w:spacing w:val="-2"/>
          <w:sz w:val="17"/>
        </w:rPr>
        <w:t xml:space="preserve"> </w:t>
      </w:r>
      <w:r>
        <w:rPr>
          <w:color w:val="231F20"/>
          <w:sz w:val="17"/>
        </w:rPr>
        <w:t>(2001)</w:t>
      </w:r>
      <w:r>
        <w:rPr>
          <w:color w:val="231F20"/>
          <w:spacing w:val="-2"/>
          <w:sz w:val="17"/>
        </w:rPr>
        <w:t xml:space="preserve"> </w:t>
      </w:r>
      <w:r>
        <w:rPr>
          <w:color w:val="231F20"/>
          <w:sz w:val="17"/>
        </w:rPr>
        <w:t>Managing</w:t>
      </w:r>
      <w:r>
        <w:rPr>
          <w:color w:val="231F20"/>
          <w:spacing w:val="-2"/>
          <w:sz w:val="17"/>
        </w:rPr>
        <w:t xml:space="preserve"> </w:t>
      </w:r>
      <w:r>
        <w:rPr>
          <w:color w:val="231F20"/>
          <w:sz w:val="17"/>
        </w:rPr>
        <w:t>seasonality</w:t>
      </w:r>
      <w:r>
        <w:rPr>
          <w:color w:val="231F20"/>
          <w:spacing w:val="-2"/>
          <w:sz w:val="17"/>
        </w:rPr>
        <w:t xml:space="preserve"> </w:t>
      </w:r>
      <w:r>
        <w:rPr>
          <w:color w:val="231F20"/>
          <w:sz w:val="17"/>
        </w:rPr>
        <w:t>in</w:t>
      </w:r>
      <w:r>
        <w:rPr>
          <w:color w:val="231F20"/>
          <w:spacing w:val="-2"/>
          <w:sz w:val="17"/>
        </w:rPr>
        <w:t xml:space="preserve"> </w:t>
      </w:r>
      <w:r>
        <w:rPr>
          <w:color w:val="231F20"/>
          <w:sz w:val="17"/>
        </w:rPr>
        <w:t>peripheral</w:t>
      </w:r>
      <w:r>
        <w:rPr>
          <w:color w:val="231F20"/>
          <w:spacing w:val="-2"/>
          <w:sz w:val="17"/>
        </w:rPr>
        <w:t xml:space="preserve"> </w:t>
      </w:r>
      <w:r>
        <w:rPr>
          <w:color w:val="231F20"/>
          <w:sz w:val="17"/>
        </w:rPr>
        <w:t>tourism</w:t>
      </w:r>
      <w:r>
        <w:rPr>
          <w:color w:val="231F20"/>
          <w:spacing w:val="-2"/>
          <w:sz w:val="17"/>
        </w:rPr>
        <w:t xml:space="preserve"> </w:t>
      </w:r>
      <w:r>
        <w:rPr>
          <w:color w:val="231F20"/>
          <w:sz w:val="17"/>
        </w:rPr>
        <w:t>regions:</w:t>
      </w:r>
      <w:r>
        <w:rPr>
          <w:color w:val="231F20"/>
          <w:spacing w:val="-2"/>
          <w:sz w:val="17"/>
        </w:rPr>
        <w:t xml:space="preserve"> </w:t>
      </w:r>
      <w:r>
        <w:rPr>
          <w:color w:val="231F20"/>
          <w:sz w:val="17"/>
        </w:rPr>
        <w:t>The</w:t>
      </w:r>
      <w:r>
        <w:rPr>
          <w:color w:val="231F20"/>
          <w:spacing w:val="40"/>
          <w:sz w:val="17"/>
        </w:rPr>
        <w:t xml:space="preserve"> </w:t>
      </w:r>
      <w:r>
        <w:rPr>
          <w:color w:val="231F20"/>
          <w:sz w:val="17"/>
        </w:rPr>
        <w:t xml:space="preserve">case of Northland, New Zealand. In T. Baum and S. Lundtorp (eds) </w:t>
      </w:r>
      <w:r>
        <w:rPr>
          <w:i/>
          <w:color w:val="231F20"/>
          <w:sz w:val="17"/>
        </w:rPr>
        <w:t>Seasonality in</w:t>
      </w:r>
      <w:r>
        <w:rPr>
          <w:i/>
          <w:color w:val="231F20"/>
          <w:spacing w:val="40"/>
          <w:sz w:val="17"/>
        </w:rPr>
        <w:t xml:space="preserve"> </w:t>
      </w:r>
      <w:r>
        <w:rPr>
          <w:i/>
          <w:color w:val="231F20"/>
          <w:sz w:val="17"/>
        </w:rPr>
        <w:t xml:space="preserve">Tourism </w:t>
      </w:r>
      <w:r>
        <w:rPr>
          <w:color w:val="231F20"/>
          <w:sz w:val="17"/>
        </w:rPr>
        <w:t>(pp. 153–172). London: Pergamon.</w:t>
      </w:r>
    </w:p>
    <w:p w14:paraId="6BA57FC0" w14:textId="77777777" w:rsidR="00AE0598" w:rsidRDefault="0069255A">
      <w:pPr>
        <w:spacing w:before="2"/>
        <w:ind w:left="430" w:right="127" w:hanging="320"/>
        <w:jc w:val="both"/>
        <w:rPr>
          <w:sz w:val="17"/>
        </w:rPr>
      </w:pPr>
      <w:r>
        <w:rPr>
          <w:color w:val="231F20"/>
          <w:w w:val="95"/>
          <w:sz w:val="17"/>
        </w:rPr>
        <w:t>Commonwealth Department of Industry, Science and Resources (2000) Towards a National</w:t>
      </w:r>
      <w:r>
        <w:rPr>
          <w:color w:val="231F20"/>
          <w:spacing w:val="40"/>
          <w:sz w:val="17"/>
        </w:rPr>
        <w:t xml:space="preserve"> </w:t>
      </w:r>
      <w:r>
        <w:rPr>
          <w:color w:val="231F20"/>
          <w:sz w:val="17"/>
        </w:rPr>
        <w:t>Sport Tourism Strategy (Draft report). Canberra: Commonwealth Department of</w:t>
      </w:r>
      <w:r>
        <w:rPr>
          <w:color w:val="231F20"/>
          <w:spacing w:val="40"/>
          <w:sz w:val="17"/>
        </w:rPr>
        <w:t xml:space="preserve"> </w:t>
      </w:r>
      <w:r>
        <w:rPr>
          <w:color w:val="231F20"/>
          <w:sz w:val="17"/>
        </w:rPr>
        <w:t>Industry, Science and Resources.</w:t>
      </w:r>
    </w:p>
    <w:p w14:paraId="4722E761" w14:textId="77777777" w:rsidR="00AE0598" w:rsidRDefault="0069255A">
      <w:pPr>
        <w:spacing w:before="2"/>
        <w:ind w:left="110"/>
        <w:jc w:val="both"/>
        <w:rPr>
          <w:sz w:val="17"/>
        </w:rPr>
      </w:pPr>
      <w:r>
        <w:rPr>
          <w:color w:val="231F20"/>
          <w:sz w:val="17"/>
        </w:rPr>
        <w:t>Cooper,</w:t>
      </w:r>
      <w:r>
        <w:rPr>
          <w:color w:val="231F20"/>
          <w:spacing w:val="2"/>
          <w:sz w:val="17"/>
        </w:rPr>
        <w:t xml:space="preserve"> </w:t>
      </w:r>
      <w:r>
        <w:rPr>
          <w:color w:val="231F20"/>
          <w:sz w:val="17"/>
        </w:rPr>
        <w:t>C.,</w:t>
      </w:r>
      <w:r>
        <w:rPr>
          <w:color w:val="231F20"/>
          <w:spacing w:val="2"/>
          <w:sz w:val="17"/>
        </w:rPr>
        <w:t xml:space="preserve"> </w:t>
      </w:r>
      <w:r>
        <w:rPr>
          <w:color w:val="231F20"/>
          <w:sz w:val="17"/>
        </w:rPr>
        <w:t>Fletcher,</w:t>
      </w:r>
      <w:r>
        <w:rPr>
          <w:color w:val="231F20"/>
          <w:spacing w:val="3"/>
          <w:sz w:val="17"/>
        </w:rPr>
        <w:t xml:space="preserve"> </w:t>
      </w:r>
      <w:r>
        <w:rPr>
          <w:color w:val="231F20"/>
          <w:sz w:val="17"/>
        </w:rPr>
        <w:t>J.,</w:t>
      </w:r>
      <w:r>
        <w:rPr>
          <w:color w:val="231F20"/>
          <w:spacing w:val="2"/>
          <w:sz w:val="17"/>
        </w:rPr>
        <w:t xml:space="preserve"> </w:t>
      </w:r>
      <w:r>
        <w:rPr>
          <w:color w:val="231F20"/>
          <w:sz w:val="17"/>
        </w:rPr>
        <w:t>Gil</w:t>
      </w:r>
      <w:r>
        <w:rPr>
          <w:color w:val="231F20"/>
          <w:sz w:val="17"/>
        </w:rPr>
        <w:t>bert,</w:t>
      </w:r>
      <w:r>
        <w:rPr>
          <w:color w:val="231F20"/>
          <w:spacing w:val="3"/>
          <w:sz w:val="17"/>
        </w:rPr>
        <w:t xml:space="preserve"> </w:t>
      </w:r>
      <w:r>
        <w:rPr>
          <w:color w:val="231F20"/>
          <w:sz w:val="17"/>
        </w:rPr>
        <w:t>D.</w:t>
      </w:r>
      <w:r>
        <w:rPr>
          <w:color w:val="231F20"/>
          <w:spacing w:val="2"/>
          <w:sz w:val="17"/>
        </w:rPr>
        <w:t xml:space="preserve"> </w:t>
      </w:r>
      <w:r>
        <w:rPr>
          <w:color w:val="231F20"/>
          <w:sz w:val="17"/>
        </w:rPr>
        <w:t>and</w:t>
      </w:r>
      <w:r>
        <w:rPr>
          <w:color w:val="231F20"/>
          <w:spacing w:val="2"/>
          <w:sz w:val="17"/>
        </w:rPr>
        <w:t xml:space="preserve"> </w:t>
      </w:r>
      <w:r>
        <w:rPr>
          <w:color w:val="231F20"/>
          <w:sz w:val="17"/>
        </w:rPr>
        <w:t>Wanhill,</w:t>
      </w:r>
      <w:r>
        <w:rPr>
          <w:color w:val="231F20"/>
          <w:spacing w:val="3"/>
          <w:sz w:val="17"/>
        </w:rPr>
        <w:t xml:space="preserve"> </w:t>
      </w:r>
      <w:r>
        <w:rPr>
          <w:color w:val="231F20"/>
          <w:sz w:val="17"/>
        </w:rPr>
        <w:t>S.</w:t>
      </w:r>
      <w:r>
        <w:rPr>
          <w:color w:val="231F20"/>
          <w:spacing w:val="2"/>
          <w:sz w:val="17"/>
        </w:rPr>
        <w:t xml:space="preserve"> </w:t>
      </w:r>
      <w:r>
        <w:rPr>
          <w:color w:val="231F20"/>
          <w:sz w:val="17"/>
        </w:rPr>
        <w:t>(1993)</w:t>
      </w:r>
      <w:r>
        <w:rPr>
          <w:color w:val="231F20"/>
          <w:spacing w:val="3"/>
          <w:sz w:val="17"/>
        </w:rPr>
        <w:t xml:space="preserve"> </w:t>
      </w:r>
      <w:r>
        <w:rPr>
          <w:i/>
          <w:color w:val="231F20"/>
          <w:sz w:val="17"/>
        </w:rPr>
        <w:t>Tourism:</w:t>
      </w:r>
      <w:r>
        <w:rPr>
          <w:i/>
          <w:color w:val="231F20"/>
          <w:spacing w:val="2"/>
          <w:sz w:val="17"/>
        </w:rPr>
        <w:t xml:space="preserve"> </w:t>
      </w:r>
      <w:r>
        <w:rPr>
          <w:i/>
          <w:color w:val="231F20"/>
          <w:sz w:val="17"/>
        </w:rPr>
        <w:t>Principles</w:t>
      </w:r>
      <w:r>
        <w:rPr>
          <w:i/>
          <w:color w:val="231F20"/>
          <w:spacing w:val="2"/>
          <w:sz w:val="17"/>
        </w:rPr>
        <w:t xml:space="preserve"> </w:t>
      </w:r>
      <w:r>
        <w:rPr>
          <w:i/>
          <w:color w:val="231F20"/>
          <w:sz w:val="17"/>
        </w:rPr>
        <w:t>and</w:t>
      </w:r>
      <w:r>
        <w:rPr>
          <w:i/>
          <w:color w:val="231F20"/>
          <w:spacing w:val="3"/>
          <w:sz w:val="17"/>
        </w:rPr>
        <w:t xml:space="preserve"> </w:t>
      </w:r>
      <w:r>
        <w:rPr>
          <w:i/>
          <w:color w:val="231F20"/>
          <w:spacing w:val="-2"/>
          <w:sz w:val="17"/>
        </w:rPr>
        <w:t>Practice</w:t>
      </w:r>
      <w:r>
        <w:rPr>
          <w:color w:val="231F20"/>
          <w:spacing w:val="-2"/>
          <w:sz w:val="17"/>
        </w:rPr>
        <w:t>.</w:t>
      </w:r>
    </w:p>
    <w:p w14:paraId="21134D2E" w14:textId="77777777" w:rsidR="00AE0598" w:rsidRDefault="0069255A">
      <w:pPr>
        <w:ind w:left="430"/>
        <w:jc w:val="both"/>
        <w:rPr>
          <w:sz w:val="17"/>
        </w:rPr>
      </w:pPr>
      <w:r>
        <w:rPr>
          <w:color w:val="231F20"/>
          <w:sz w:val="17"/>
        </w:rPr>
        <w:t>Harlow:</w:t>
      </w:r>
      <w:r>
        <w:rPr>
          <w:color w:val="231F20"/>
          <w:spacing w:val="9"/>
          <w:sz w:val="17"/>
        </w:rPr>
        <w:t xml:space="preserve"> </w:t>
      </w:r>
      <w:r>
        <w:rPr>
          <w:color w:val="231F20"/>
          <w:sz w:val="17"/>
        </w:rPr>
        <w:t>Longman</w:t>
      </w:r>
      <w:r>
        <w:rPr>
          <w:color w:val="231F20"/>
          <w:spacing w:val="9"/>
          <w:sz w:val="17"/>
        </w:rPr>
        <w:t xml:space="preserve"> </w:t>
      </w:r>
      <w:r>
        <w:rPr>
          <w:color w:val="231F20"/>
          <w:sz w:val="17"/>
        </w:rPr>
        <w:t>Group</w:t>
      </w:r>
      <w:r>
        <w:rPr>
          <w:color w:val="231F20"/>
          <w:spacing w:val="10"/>
          <w:sz w:val="17"/>
        </w:rPr>
        <w:t xml:space="preserve"> </w:t>
      </w:r>
      <w:r>
        <w:rPr>
          <w:color w:val="231F20"/>
          <w:spacing w:val="-2"/>
          <w:sz w:val="17"/>
        </w:rPr>
        <w:t>Limited.</w:t>
      </w:r>
    </w:p>
    <w:p w14:paraId="7C84A87C" w14:textId="77777777" w:rsidR="00AE0598" w:rsidRDefault="0069255A">
      <w:pPr>
        <w:spacing w:before="1"/>
        <w:ind w:left="430" w:right="127" w:hanging="320"/>
        <w:jc w:val="both"/>
        <w:rPr>
          <w:sz w:val="17"/>
        </w:rPr>
      </w:pPr>
      <w:r>
        <w:rPr>
          <w:color w:val="231F20"/>
          <w:sz w:val="17"/>
        </w:rPr>
        <w:t>Cornelissen, S. (2008) Scripting the nation: Sport, mega-events, foreign policy and state-</w:t>
      </w:r>
      <w:r>
        <w:rPr>
          <w:color w:val="231F20"/>
          <w:spacing w:val="40"/>
          <w:sz w:val="17"/>
        </w:rPr>
        <w:t xml:space="preserve"> </w:t>
      </w:r>
      <w:r>
        <w:rPr>
          <w:color w:val="231F20"/>
          <w:sz w:val="17"/>
        </w:rPr>
        <w:t xml:space="preserve">building in post-apartheid South Africa. </w:t>
      </w:r>
      <w:r>
        <w:rPr>
          <w:i/>
          <w:color w:val="231F20"/>
          <w:sz w:val="17"/>
        </w:rPr>
        <w:t xml:space="preserve">Sport in Society </w:t>
      </w:r>
      <w:r>
        <w:rPr>
          <w:color w:val="231F20"/>
          <w:sz w:val="17"/>
        </w:rPr>
        <w:t>11 (4), 481–493.</w:t>
      </w:r>
    </w:p>
    <w:p w14:paraId="0840A7E5" w14:textId="77777777" w:rsidR="00AE0598" w:rsidRDefault="0069255A">
      <w:pPr>
        <w:spacing w:before="2"/>
        <w:ind w:left="430" w:right="128" w:hanging="320"/>
        <w:jc w:val="both"/>
        <w:rPr>
          <w:sz w:val="17"/>
        </w:rPr>
      </w:pPr>
      <w:r>
        <w:rPr>
          <w:color w:val="231F20"/>
          <w:w w:val="95"/>
          <w:sz w:val="17"/>
        </w:rPr>
        <w:t>Cornelissen, S. (2010) The geopolitics of global aspiration: Sport mega-events and emerging</w:t>
      </w:r>
      <w:r>
        <w:rPr>
          <w:color w:val="231F20"/>
          <w:spacing w:val="40"/>
          <w:sz w:val="17"/>
        </w:rPr>
        <w:t xml:space="preserve"> </w:t>
      </w:r>
      <w:r>
        <w:rPr>
          <w:color w:val="231F20"/>
          <w:sz w:val="17"/>
        </w:rPr>
        <w:t xml:space="preserve">powers. </w:t>
      </w:r>
      <w:r>
        <w:rPr>
          <w:i/>
          <w:color w:val="231F20"/>
          <w:sz w:val="17"/>
        </w:rPr>
        <w:t xml:space="preserve">International Journal of the History of Sport </w:t>
      </w:r>
      <w:r>
        <w:rPr>
          <w:color w:val="231F20"/>
          <w:sz w:val="17"/>
        </w:rPr>
        <w:t>27 (16–18), 3008–3025.</w:t>
      </w:r>
    </w:p>
    <w:p w14:paraId="33759FA2" w14:textId="77777777" w:rsidR="00AE0598" w:rsidRDefault="0069255A">
      <w:pPr>
        <w:spacing w:before="1"/>
        <w:ind w:left="430" w:right="128" w:hanging="320"/>
        <w:jc w:val="both"/>
        <w:rPr>
          <w:sz w:val="17"/>
        </w:rPr>
      </w:pPr>
      <w:r>
        <w:rPr>
          <w:color w:val="231F20"/>
          <w:sz w:val="17"/>
        </w:rPr>
        <w:t>Cornelissen, S., Bob, U. and Swart, K. (2011) Towards redefining the c</w:t>
      </w:r>
      <w:r>
        <w:rPr>
          <w:color w:val="231F20"/>
          <w:sz w:val="17"/>
        </w:rPr>
        <w:t>oncept of legacy in</w:t>
      </w:r>
      <w:r>
        <w:rPr>
          <w:color w:val="231F20"/>
          <w:spacing w:val="40"/>
          <w:sz w:val="17"/>
        </w:rPr>
        <w:t xml:space="preserve"> </w:t>
      </w:r>
      <w:r>
        <w:rPr>
          <w:color w:val="231F20"/>
          <w:sz w:val="17"/>
        </w:rPr>
        <w:t xml:space="preserve">relation to sport mega-events: Insights from the 2010 FIFA World Cup. </w:t>
      </w:r>
      <w:r>
        <w:rPr>
          <w:i/>
          <w:color w:val="231F20"/>
          <w:sz w:val="17"/>
        </w:rPr>
        <w:t>Development</w:t>
      </w:r>
      <w:r>
        <w:rPr>
          <w:i/>
          <w:color w:val="231F20"/>
          <w:spacing w:val="40"/>
          <w:sz w:val="17"/>
        </w:rPr>
        <w:t xml:space="preserve"> </w:t>
      </w:r>
      <w:r>
        <w:rPr>
          <w:i/>
          <w:color w:val="231F20"/>
          <w:sz w:val="17"/>
        </w:rPr>
        <w:t xml:space="preserve">Southern Africa </w:t>
      </w:r>
      <w:r>
        <w:rPr>
          <w:color w:val="231F20"/>
          <w:sz w:val="17"/>
        </w:rPr>
        <w:t>28 (3), 307–318.</w:t>
      </w:r>
    </w:p>
    <w:p w14:paraId="4279E078" w14:textId="77777777" w:rsidR="00AE0598" w:rsidRDefault="0069255A">
      <w:pPr>
        <w:spacing w:before="2"/>
        <w:ind w:left="430" w:right="123" w:hanging="320"/>
        <w:jc w:val="both"/>
        <w:rPr>
          <w:sz w:val="17"/>
        </w:rPr>
      </w:pPr>
      <w:r>
        <w:rPr>
          <w:color w:val="231F20"/>
          <w:sz w:val="17"/>
        </w:rPr>
        <w:t xml:space="preserve">Cottle, R.L. (1981) Economics of the professional golfers association tour. </w:t>
      </w:r>
      <w:r>
        <w:rPr>
          <w:i/>
          <w:color w:val="231F20"/>
          <w:sz w:val="17"/>
        </w:rPr>
        <w:t>Social Science</w:t>
      </w:r>
      <w:r>
        <w:rPr>
          <w:i/>
          <w:color w:val="231F20"/>
          <w:spacing w:val="40"/>
          <w:sz w:val="17"/>
        </w:rPr>
        <w:t xml:space="preserve"> </w:t>
      </w:r>
      <w:r>
        <w:rPr>
          <w:i/>
          <w:color w:val="231F20"/>
          <w:sz w:val="17"/>
        </w:rPr>
        <w:t xml:space="preserve">Quarterly </w:t>
      </w:r>
      <w:r>
        <w:rPr>
          <w:color w:val="231F20"/>
          <w:sz w:val="17"/>
        </w:rPr>
        <w:t>62 (4), 721–734.</w:t>
      </w:r>
    </w:p>
    <w:p w14:paraId="58A53488" w14:textId="77777777" w:rsidR="00AE0598" w:rsidRDefault="0069255A">
      <w:pPr>
        <w:spacing w:before="1"/>
        <w:ind w:left="430" w:right="128" w:hanging="320"/>
        <w:jc w:val="both"/>
        <w:rPr>
          <w:sz w:val="17"/>
        </w:rPr>
      </w:pPr>
      <w:r>
        <w:rPr>
          <w:color w:val="231F20"/>
          <w:w w:val="95"/>
          <w:sz w:val="17"/>
        </w:rPr>
        <w:t>Cow</w:t>
      </w:r>
      <w:r>
        <w:rPr>
          <w:color w:val="231F20"/>
          <w:w w:val="95"/>
          <w:sz w:val="17"/>
        </w:rPr>
        <w:t>ell, R. (1997) Stretching the limits: Environmental compensation, habitat creation and</w:t>
      </w:r>
      <w:r>
        <w:rPr>
          <w:color w:val="231F20"/>
          <w:spacing w:val="40"/>
          <w:sz w:val="17"/>
        </w:rPr>
        <w:t xml:space="preserve"> </w:t>
      </w:r>
      <w:r>
        <w:rPr>
          <w:color w:val="231F20"/>
          <w:sz w:val="17"/>
        </w:rPr>
        <w:t xml:space="preserve">sustainable development. </w:t>
      </w:r>
      <w:r>
        <w:rPr>
          <w:i/>
          <w:color w:val="231F20"/>
          <w:sz w:val="17"/>
        </w:rPr>
        <w:t xml:space="preserve">Transactions of the Institute of British Geographers </w:t>
      </w:r>
      <w:r>
        <w:rPr>
          <w:color w:val="231F20"/>
          <w:sz w:val="17"/>
        </w:rPr>
        <w:t>22 (3),</w:t>
      </w:r>
      <w:r>
        <w:rPr>
          <w:color w:val="231F20"/>
          <w:spacing w:val="40"/>
          <w:sz w:val="17"/>
        </w:rPr>
        <w:t xml:space="preserve"> </w:t>
      </w:r>
      <w:r>
        <w:rPr>
          <w:color w:val="231F20"/>
          <w:spacing w:val="-2"/>
          <w:sz w:val="17"/>
        </w:rPr>
        <w:t>292–306.</w:t>
      </w:r>
    </w:p>
    <w:p w14:paraId="54DD368C" w14:textId="77777777" w:rsidR="00AE0598" w:rsidRDefault="0069255A">
      <w:pPr>
        <w:spacing w:before="3"/>
        <w:ind w:left="430" w:right="127" w:hanging="320"/>
        <w:jc w:val="both"/>
        <w:rPr>
          <w:sz w:val="17"/>
        </w:rPr>
      </w:pPr>
      <w:r>
        <w:rPr>
          <w:color w:val="231F20"/>
          <w:w w:val="105"/>
          <w:sz w:val="17"/>
        </w:rPr>
        <w:t>Crawford, D.W., Jackson, E.L. and Godbey, G. (1991) A hierarchical model o</w:t>
      </w:r>
      <w:r>
        <w:rPr>
          <w:color w:val="231F20"/>
          <w:w w:val="105"/>
          <w:sz w:val="17"/>
        </w:rPr>
        <w:t>f leisure</w:t>
      </w:r>
      <w:r>
        <w:rPr>
          <w:color w:val="231F20"/>
          <w:spacing w:val="40"/>
          <w:w w:val="105"/>
          <w:sz w:val="17"/>
        </w:rPr>
        <w:t xml:space="preserve"> </w:t>
      </w:r>
      <w:r>
        <w:rPr>
          <w:color w:val="231F20"/>
          <w:sz w:val="17"/>
        </w:rPr>
        <w:t xml:space="preserve">constraints. </w:t>
      </w:r>
      <w:r>
        <w:rPr>
          <w:i/>
          <w:color w:val="231F20"/>
          <w:sz w:val="17"/>
        </w:rPr>
        <w:t xml:space="preserve">Leisure Sciences </w:t>
      </w:r>
      <w:r>
        <w:rPr>
          <w:color w:val="231F20"/>
          <w:sz w:val="17"/>
        </w:rPr>
        <w:t>13, 309–320.</w:t>
      </w:r>
    </w:p>
    <w:p w14:paraId="45827D57" w14:textId="77777777" w:rsidR="00AE0598" w:rsidRDefault="0069255A">
      <w:pPr>
        <w:spacing w:before="1"/>
        <w:ind w:left="430" w:right="127" w:hanging="320"/>
        <w:jc w:val="both"/>
        <w:rPr>
          <w:sz w:val="17"/>
        </w:rPr>
      </w:pPr>
      <w:r>
        <w:rPr>
          <w:color w:val="231F20"/>
          <w:sz w:val="17"/>
        </w:rPr>
        <w:t xml:space="preserve">Crawford, S.A.G. (1995) Rugby and the forging of national identity. In </w:t>
      </w:r>
      <w:r>
        <w:rPr>
          <w:color w:val="231F20"/>
          <w:w w:val="105"/>
          <w:sz w:val="17"/>
        </w:rPr>
        <w:t xml:space="preserve">J. </w:t>
      </w:r>
      <w:r>
        <w:rPr>
          <w:color w:val="231F20"/>
          <w:sz w:val="17"/>
        </w:rPr>
        <w:t>Nauright (ed.)</w:t>
      </w:r>
      <w:r>
        <w:rPr>
          <w:color w:val="231F20"/>
          <w:spacing w:val="40"/>
          <w:sz w:val="17"/>
        </w:rPr>
        <w:t xml:space="preserve"> </w:t>
      </w:r>
      <w:r>
        <w:rPr>
          <w:i/>
          <w:color w:val="231F20"/>
          <w:sz w:val="17"/>
        </w:rPr>
        <w:t>Sport, Power and Society in New Zealand: Historical and Contemporary Perspectives</w:t>
      </w:r>
      <w:r>
        <w:rPr>
          <w:i/>
          <w:color w:val="231F20"/>
          <w:spacing w:val="40"/>
          <w:sz w:val="17"/>
        </w:rPr>
        <w:t xml:space="preserve"> </w:t>
      </w:r>
      <w:r>
        <w:rPr>
          <w:color w:val="231F20"/>
          <w:sz w:val="17"/>
        </w:rPr>
        <w:t>(pp. 5–19). Sydney: University of New South Wales Printery.</w:t>
      </w:r>
    </w:p>
    <w:p w14:paraId="3A0F3C56" w14:textId="77777777" w:rsidR="00AE0598" w:rsidRDefault="0069255A">
      <w:pPr>
        <w:spacing w:before="2"/>
        <w:ind w:left="430" w:right="129" w:hanging="320"/>
        <w:jc w:val="both"/>
        <w:rPr>
          <w:sz w:val="17"/>
        </w:rPr>
      </w:pPr>
      <w:r>
        <w:rPr>
          <w:color w:val="231F20"/>
          <w:w w:val="105"/>
          <w:sz w:val="17"/>
        </w:rPr>
        <w:t>Creutzig,</w:t>
      </w:r>
      <w:r>
        <w:rPr>
          <w:color w:val="231F20"/>
          <w:spacing w:val="-7"/>
          <w:w w:val="105"/>
          <w:sz w:val="17"/>
        </w:rPr>
        <w:t xml:space="preserve"> </w:t>
      </w:r>
      <w:r>
        <w:rPr>
          <w:color w:val="231F20"/>
          <w:w w:val="105"/>
          <w:sz w:val="17"/>
        </w:rPr>
        <w:t>F.,</w:t>
      </w:r>
      <w:r>
        <w:rPr>
          <w:color w:val="231F20"/>
          <w:spacing w:val="-7"/>
          <w:w w:val="105"/>
          <w:sz w:val="17"/>
        </w:rPr>
        <w:t xml:space="preserve"> </w:t>
      </w:r>
      <w:r>
        <w:rPr>
          <w:color w:val="231F20"/>
          <w:w w:val="105"/>
          <w:sz w:val="17"/>
        </w:rPr>
        <w:t>Jochem,</w:t>
      </w:r>
      <w:r>
        <w:rPr>
          <w:color w:val="231F20"/>
          <w:spacing w:val="-7"/>
          <w:w w:val="105"/>
          <w:sz w:val="17"/>
        </w:rPr>
        <w:t xml:space="preserve"> </w:t>
      </w:r>
      <w:r>
        <w:rPr>
          <w:color w:val="231F20"/>
          <w:w w:val="105"/>
          <w:sz w:val="17"/>
        </w:rPr>
        <w:t>P.,</w:t>
      </w:r>
      <w:r>
        <w:rPr>
          <w:color w:val="231F20"/>
          <w:spacing w:val="-7"/>
          <w:w w:val="105"/>
          <w:sz w:val="17"/>
        </w:rPr>
        <w:t xml:space="preserve"> </w:t>
      </w:r>
      <w:r>
        <w:rPr>
          <w:color w:val="231F20"/>
          <w:w w:val="105"/>
          <w:sz w:val="17"/>
        </w:rPr>
        <w:t>Edelenbosch,</w:t>
      </w:r>
      <w:r>
        <w:rPr>
          <w:color w:val="231F20"/>
          <w:spacing w:val="-7"/>
          <w:w w:val="105"/>
          <w:sz w:val="17"/>
        </w:rPr>
        <w:t xml:space="preserve"> </w:t>
      </w:r>
      <w:r>
        <w:rPr>
          <w:color w:val="231F20"/>
          <w:w w:val="105"/>
          <w:sz w:val="17"/>
        </w:rPr>
        <w:t>O.Y.,</w:t>
      </w:r>
      <w:r>
        <w:rPr>
          <w:color w:val="231F20"/>
          <w:spacing w:val="-7"/>
          <w:w w:val="105"/>
          <w:sz w:val="17"/>
        </w:rPr>
        <w:t xml:space="preserve"> </w:t>
      </w:r>
      <w:r>
        <w:rPr>
          <w:color w:val="231F20"/>
          <w:w w:val="105"/>
          <w:sz w:val="17"/>
        </w:rPr>
        <w:t>Mattauch,</w:t>
      </w:r>
      <w:r>
        <w:rPr>
          <w:color w:val="231F20"/>
          <w:spacing w:val="-7"/>
          <w:w w:val="105"/>
          <w:sz w:val="17"/>
        </w:rPr>
        <w:t xml:space="preserve"> </w:t>
      </w:r>
      <w:r>
        <w:rPr>
          <w:color w:val="231F20"/>
          <w:w w:val="105"/>
          <w:sz w:val="17"/>
        </w:rPr>
        <w:t>L.,</w:t>
      </w:r>
      <w:r>
        <w:rPr>
          <w:color w:val="231F20"/>
          <w:spacing w:val="-7"/>
          <w:w w:val="105"/>
          <w:sz w:val="17"/>
        </w:rPr>
        <w:t xml:space="preserve"> </w:t>
      </w:r>
      <w:r>
        <w:rPr>
          <w:color w:val="231F20"/>
          <w:w w:val="105"/>
          <w:sz w:val="17"/>
        </w:rPr>
        <w:t>van</w:t>
      </w:r>
      <w:r>
        <w:rPr>
          <w:color w:val="231F20"/>
          <w:spacing w:val="-7"/>
          <w:w w:val="105"/>
          <w:sz w:val="17"/>
        </w:rPr>
        <w:t xml:space="preserve"> </w:t>
      </w:r>
      <w:r>
        <w:rPr>
          <w:color w:val="231F20"/>
          <w:w w:val="105"/>
          <w:sz w:val="17"/>
        </w:rPr>
        <w:t>Vuuren,</w:t>
      </w:r>
      <w:r>
        <w:rPr>
          <w:color w:val="231F20"/>
          <w:spacing w:val="-7"/>
          <w:w w:val="105"/>
          <w:sz w:val="17"/>
        </w:rPr>
        <w:t xml:space="preserve"> </w:t>
      </w:r>
      <w:r>
        <w:rPr>
          <w:color w:val="231F20"/>
          <w:w w:val="105"/>
          <w:sz w:val="17"/>
        </w:rPr>
        <w:t>D.P.,</w:t>
      </w:r>
      <w:r>
        <w:rPr>
          <w:color w:val="231F20"/>
          <w:spacing w:val="-7"/>
          <w:w w:val="105"/>
          <w:sz w:val="17"/>
        </w:rPr>
        <w:t xml:space="preserve"> </w:t>
      </w:r>
      <w:r>
        <w:rPr>
          <w:color w:val="231F20"/>
          <w:w w:val="105"/>
          <w:sz w:val="17"/>
        </w:rPr>
        <w:t>McCollum,</w:t>
      </w:r>
      <w:r>
        <w:rPr>
          <w:color w:val="231F20"/>
          <w:spacing w:val="-7"/>
          <w:w w:val="105"/>
          <w:sz w:val="17"/>
        </w:rPr>
        <w:t xml:space="preserve"> </w:t>
      </w:r>
      <w:r>
        <w:rPr>
          <w:color w:val="231F20"/>
          <w:w w:val="105"/>
          <w:sz w:val="17"/>
        </w:rPr>
        <w:t>D.</w:t>
      </w:r>
      <w:r>
        <w:rPr>
          <w:color w:val="231F20"/>
          <w:spacing w:val="40"/>
          <w:w w:val="105"/>
          <w:sz w:val="17"/>
        </w:rPr>
        <w:t xml:space="preserve"> </w:t>
      </w:r>
      <w:r>
        <w:rPr>
          <w:color w:val="231F20"/>
          <w:w w:val="95"/>
          <w:sz w:val="17"/>
        </w:rPr>
        <w:t xml:space="preserve">and Minx, J. (2015) Transport: A roadblock to climate change mitigation? </w:t>
      </w:r>
      <w:r>
        <w:rPr>
          <w:i/>
          <w:color w:val="231F20"/>
          <w:w w:val="95"/>
          <w:sz w:val="17"/>
        </w:rPr>
        <w:t xml:space="preserve">Science </w:t>
      </w:r>
      <w:r>
        <w:rPr>
          <w:color w:val="231F20"/>
          <w:w w:val="95"/>
          <w:sz w:val="17"/>
        </w:rPr>
        <w:t>350,</w:t>
      </w:r>
      <w:r>
        <w:rPr>
          <w:color w:val="231F20"/>
          <w:spacing w:val="40"/>
          <w:sz w:val="17"/>
        </w:rPr>
        <w:t xml:space="preserve"> </w:t>
      </w:r>
      <w:r>
        <w:rPr>
          <w:color w:val="231F20"/>
          <w:sz w:val="17"/>
        </w:rPr>
        <w:t xml:space="preserve">911. doi: </w:t>
      </w:r>
      <w:r>
        <w:rPr>
          <w:color w:val="231F20"/>
          <w:spacing w:val="-2"/>
          <w:w w:val="93"/>
          <w:sz w:val="17"/>
        </w:rPr>
        <w:t>1</w:t>
      </w:r>
      <w:r>
        <w:rPr>
          <w:color w:val="231F20"/>
          <w:spacing w:val="1"/>
          <w:w w:val="93"/>
          <w:sz w:val="17"/>
        </w:rPr>
        <w:t>0</w:t>
      </w:r>
      <w:r>
        <w:rPr>
          <w:color w:val="231F20"/>
          <w:spacing w:val="-5"/>
          <w:w w:val="139"/>
          <w:sz w:val="17"/>
        </w:rPr>
        <w:t>.</w:t>
      </w:r>
      <w:r>
        <w:rPr>
          <w:color w:val="231F20"/>
          <w:spacing w:val="-4"/>
          <w:w w:val="93"/>
          <w:sz w:val="17"/>
        </w:rPr>
        <w:t>1</w:t>
      </w:r>
      <w:r>
        <w:rPr>
          <w:color w:val="231F20"/>
          <w:spacing w:val="3"/>
          <w:w w:val="93"/>
          <w:sz w:val="17"/>
        </w:rPr>
        <w:t>1</w:t>
      </w:r>
      <w:r>
        <w:rPr>
          <w:color w:val="231F20"/>
          <w:spacing w:val="5"/>
          <w:w w:val="93"/>
          <w:sz w:val="17"/>
        </w:rPr>
        <w:t>2</w:t>
      </w:r>
      <w:r>
        <w:rPr>
          <w:color w:val="231F20"/>
          <w:spacing w:val="3"/>
          <w:w w:val="93"/>
          <w:sz w:val="17"/>
        </w:rPr>
        <w:t>6</w:t>
      </w:r>
      <w:r>
        <w:rPr>
          <w:color w:val="231F20"/>
          <w:spacing w:val="-6"/>
          <w:w w:val="64"/>
          <w:sz w:val="17"/>
        </w:rPr>
        <w:t>/</w:t>
      </w:r>
      <w:r>
        <w:rPr>
          <w:color w:val="231F20"/>
          <w:sz w:val="17"/>
        </w:rPr>
        <w:t>sc</w:t>
      </w:r>
      <w:r>
        <w:rPr>
          <w:color w:val="231F20"/>
          <w:spacing w:val="-2"/>
          <w:sz w:val="17"/>
        </w:rPr>
        <w:t>i</w:t>
      </w:r>
      <w:r>
        <w:rPr>
          <w:color w:val="231F20"/>
          <w:w w:val="94"/>
          <w:sz w:val="17"/>
        </w:rPr>
        <w:t>e</w:t>
      </w:r>
      <w:r>
        <w:rPr>
          <w:color w:val="231F20"/>
          <w:spacing w:val="-2"/>
          <w:w w:val="102"/>
          <w:sz w:val="17"/>
        </w:rPr>
        <w:t>n</w:t>
      </w:r>
      <w:r>
        <w:rPr>
          <w:color w:val="231F20"/>
          <w:w w:val="103"/>
          <w:sz w:val="17"/>
        </w:rPr>
        <w:t>c</w:t>
      </w:r>
      <w:r>
        <w:rPr>
          <w:color w:val="231F20"/>
          <w:spacing w:val="1"/>
          <w:w w:val="94"/>
          <w:sz w:val="17"/>
        </w:rPr>
        <w:t>e</w:t>
      </w:r>
      <w:r>
        <w:rPr>
          <w:color w:val="231F20"/>
          <w:spacing w:val="1"/>
          <w:w w:val="139"/>
          <w:sz w:val="17"/>
        </w:rPr>
        <w:t>.</w:t>
      </w:r>
      <w:r>
        <w:rPr>
          <w:color w:val="231F20"/>
          <w:w w:val="105"/>
          <w:sz w:val="17"/>
        </w:rPr>
        <w:t>a</w:t>
      </w:r>
      <w:r>
        <w:rPr>
          <w:color w:val="231F20"/>
          <w:spacing w:val="-3"/>
          <w:w w:val="105"/>
          <w:sz w:val="17"/>
        </w:rPr>
        <w:t>a</w:t>
      </w:r>
      <w:r>
        <w:rPr>
          <w:color w:val="231F20"/>
          <w:spacing w:val="1"/>
          <w:w w:val="103"/>
          <w:sz w:val="17"/>
        </w:rPr>
        <w:t>c</w:t>
      </w:r>
      <w:r>
        <w:rPr>
          <w:color w:val="231F20"/>
          <w:spacing w:val="5"/>
          <w:w w:val="93"/>
          <w:sz w:val="17"/>
        </w:rPr>
        <w:t>8</w:t>
      </w:r>
      <w:r>
        <w:rPr>
          <w:color w:val="231F20"/>
          <w:spacing w:val="1"/>
          <w:w w:val="93"/>
          <w:sz w:val="17"/>
        </w:rPr>
        <w:t>0</w:t>
      </w:r>
      <w:r>
        <w:rPr>
          <w:color w:val="231F20"/>
          <w:w w:val="93"/>
          <w:sz w:val="17"/>
        </w:rPr>
        <w:t>3</w:t>
      </w:r>
      <w:r>
        <w:rPr>
          <w:color w:val="231F20"/>
          <w:w w:val="105"/>
          <w:sz w:val="17"/>
        </w:rPr>
        <w:t>3.</w:t>
      </w:r>
    </w:p>
    <w:p w14:paraId="758A7EE3" w14:textId="77777777" w:rsidR="00AE0598" w:rsidRDefault="0069255A">
      <w:pPr>
        <w:spacing w:before="2"/>
        <w:ind w:left="430" w:right="128" w:hanging="320"/>
        <w:jc w:val="both"/>
        <w:rPr>
          <w:sz w:val="17"/>
        </w:rPr>
      </w:pPr>
      <w:r>
        <w:rPr>
          <w:color w:val="231F20"/>
          <w:sz w:val="17"/>
        </w:rPr>
        <w:t xml:space="preserve">Crompton, J.L. (1979) Motivations for pleasure vacation. </w:t>
      </w:r>
      <w:r>
        <w:rPr>
          <w:i/>
          <w:color w:val="231F20"/>
          <w:sz w:val="17"/>
        </w:rPr>
        <w:t xml:space="preserve">Annals of Tourism Research </w:t>
      </w:r>
      <w:r>
        <w:rPr>
          <w:color w:val="231F20"/>
          <w:sz w:val="17"/>
        </w:rPr>
        <w:t>6</w:t>
      </w:r>
      <w:r>
        <w:rPr>
          <w:color w:val="231F20"/>
          <w:spacing w:val="40"/>
          <w:sz w:val="17"/>
        </w:rPr>
        <w:t xml:space="preserve"> </w:t>
      </w:r>
      <w:r>
        <w:rPr>
          <w:color w:val="231F20"/>
          <w:sz w:val="17"/>
        </w:rPr>
        <w:t>(4), 408–424.</w:t>
      </w:r>
    </w:p>
    <w:p w14:paraId="5D32CDE3" w14:textId="77777777" w:rsidR="00AE0598" w:rsidRDefault="0069255A">
      <w:pPr>
        <w:spacing w:before="2"/>
        <w:ind w:left="430" w:right="128" w:hanging="320"/>
        <w:jc w:val="both"/>
        <w:rPr>
          <w:sz w:val="17"/>
        </w:rPr>
      </w:pPr>
      <w:r>
        <w:rPr>
          <w:color w:val="231F20"/>
          <w:sz w:val="17"/>
        </w:rPr>
        <w:t>Crompton, J.L. (1995) Economic impact analysis of sports facilities and events: Eleven</w:t>
      </w:r>
      <w:r>
        <w:rPr>
          <w:color w:val="231F20"/>
          <w:spacing w:val="40"/>
          <w:sz w:val="17"/>
        </w:rPr>
        <w:t xml:space="preserve"> </w:t>
      </w:r>
      <w:r>
        <w:rPr>
          <w:color w:val="231F20"/>
          <w:sz w:val="17"/>
        </w:rPr>
        <w:t xml:space="preserve">sources of misapplication. </w:t>
      </w:r>
      <w:r>
        <w:rPr>
          <w:i/>
          <w:color w:val="231F20"/>
          <w:sz w:val="17"/>
        </w:rPr>
        <w:t xml:space="preserve">Journal of Sport Management </w:t>
      </w:r>
      <w:r>
        <w:rPr>
          <w:color w:val="231F20"/>
          <w:sz w:val="17"/>
        </w:rPr>
        <w:t>9, 14–35.</w:t>
      </w:r>
    </w:p>
    <w:p w14:paraId="01116E63" w14:textId="77777777" w:rsidR="00AE0598" w:rsidRDefault="0069255A">
      <w:pPr>
        <w:spacing w:before="1"/>
        <w:ind w:left="110"/>
        <w:jc w:val="both"/>
        <w:rPr>
          <w:sz w:val="17"/>
        </w:rPr>
      </w:pPr>
      <w:r>
        <w:rPr>
          <w:color w:val="231F20"/>
          <w:sz w:val="17"/>
        </w:rPr>
        <w:t>Crouch,</w:t>
      </w:r>
      <w:r>
        <w:rPr>
          <w:color w:val="231F20"/>
          <w:spacing w:val="16"/>
          <w:sz w:val="17"/>
        </w:rPr>
        <w:t xml:space="preserve"> </w:t>
      </w:r>
      <w:r>
        <w:rPr>
          <w:color w:val="231F20"/>
          <w:sz w:val="17"/>
        </w:rPr>
        <w:t>D.</w:t>
      </w:r>
      <w:r>
        <w:rPr>
          <w:color w:val="231F20"/>
          <w:spacing w:val="17"/>
          <w:sz w:val="17"/>
        </w:rPr>
        <w:t xml:space="preserve"> </w:t>
      </w:r>
      <w:r>
        <w:rPr>
          <w:color w:val="231F20"/>
          <w:sz w:val="17"/>
        </w:rPr>
        <w:t>(2000)</w:t>
      </w:r>
      <w:r>
        <w:rPr>
          <w:color w:val="231F20"/>
          <w:spacing w:val="17"/>
          <w:sz w:val="17"/>
        </w:rPr>
        <w:t xml:space="preserve"> </w:t>
      </w:r>
      <w:r>
        <w:rPr>
          <w:color w:val="231F20"/>
          <w:sz w:val="17"/>
        </w:rPr>
        <w:t>Places</w:t>
      </w:r>
      <w:r>
        <w:rPr>
          <w:color w:val="231F20"/>
          <w:spacing w:val="17"/>
          <w:sz w:val="17"/>
        </w:rPr>
        <w:t xml:space="preserve"> </w:t>
      </w:r>
      <w:r>
        <w:rPr>
          <w:color w:val="231F20"/>
          <w:sz w:val="17"/>
        </w:rPr>
        <w:t>around</w:t>
      </w:r>
      <w:r>
        <w:rPr>
          <w:color w:val="231F20"/>
          <w:spacing w:val="17"/>
          <w:sz w:val="17"/>
        </w:rPr>
        <w:t xml:space="preserve"> </w:t>
      </w:r>
      <w:r>
        <w:rPr>
          <w:color w:val="231F20"/>
          <w:sz w:val="17"/>
        </w:rPr>
        <w:t>us:</w:t>
      </w:r>
      <w:r>
        <w:rPr>
          <w:color w:val="231F20"/>
          <w:spacing w:val="16"/>
          <w:sz w:val="17"/>
        </w:rPr>
        <w:t xml:space="preserve"> </w:t>
      </w:r>
      <w:r>
        <w:rPr>
          <w:color w:val="231F20"/>
          <w:sz w:val="17"/>
        </w:rPr>
        <w:t>Embodied</w:t>
      </w:r>
      <w:r>
        <w:rPr>
          <w:color w:val="231F20"/>
          <w:spacing w:val="17"/>
          <w:sz w:val="17"/>
        </w:rPr>
        <w:t xml:space="preserve"> </w:t>
      </w:r>
      <w:r>
        <w:rPr>
          <w:color w:val="231F20"/>
          <w:sz w:val="17"/>
        </w:rPr>
        <w:t>lay</w:t>
      </w:r>
      <w:r>
        <w:rPr>
          <w:color w:val="231F20"/>
          <w:spacing w:val="17"/>
          <w:sz w:val="17"/>
        </w:rPr>
        <w:t xml:space="preserve"> </w:t>
      </w:r>
      <w:r>
        <w:rPr>
          <w:color w:val="231F20"/>
          <w:sz w:val="17"/>
        </w:rPr>
        <w:t>geographies</w:t>
      </w:r>
      <w:r>
        <w:rPr>
          <w:color w:val="231F20"/>
          <w:spacing w:val="17"/>
          <w:sz w:val="17"/>
        </w:rPr>
        <w:t xml:space="preserve"> </w:t>
      </w:r>
      <w:r>
        <w:rPr>
          <w:color w:val="231F20"/>
          <w:sz w:val="17"/>
        </w:rPr>
        <w:t>in</w:t>
      </w:r>
      <w:r>
        <w:rPr>
          <w:color w:val="231F20"/>
          <w:spacing w:val="17"/>
          <w:sz w:val="17"/>
        </w:rPr>
        <w:t xml:space="preserve"> </w:t>
      </w:r>
      <w:r>
        <w:rPr>
          <w:color w:val="231F20"/>
          <w:sz w:val="17"/>
        </w:rPr>
        <w:t>leisure</w:t>
      </w:r>
      <w:r>
        <w:rPr>
          <w:color w:val="231F20"/>
          <w:spacing w:val="17"/>
          <w:sz w:val="17"/>
        </w:rPr>
        <w:t xml:space="preserve"> </w:t>
      </w:r>
      <w:r>
        <w:rPr>
          <w:color w:val="231F20"/>
          <w:sz w:val="17"/>
        </w:rPr>
        <w:t>and</w:t>
      </w:r>
      <w:r>
        <w:rPr>
          <w:color w:val="231F20"/>
          <w:spacing w:val="16"/>
          <w:sz w:val="17"/>
        </w:rPr>
        <w:t xml:space="preserve"> </w:t>
      </w:r>
      <w:r>
        <w:rPr>
          <w:color w:val="231F20"/>
          <w:spacing w:val="-2"/>
          <w:sz w:val="17"/>
        </w:rPr>
        <w:t>tourism.</w:t>
      </w:r>
    </w:p>
    <w:p w14:paraId="14C4752E" w14:textId="77777777" w:rsidR="00AE0598" w:rsidRDefault="0069255A">
      <w:pPr>
        <w:spacing w:before="1"/>
        <w:ind w:left="430"/>
        <w:jc w:val="both"/>
        <w:rPr>
          <w:sz w:val="17"/>
        </w:rPr>
      </w:pPr>
      <w:r>
        <w:rPr>
          <w:i/>
          <w:color w:val="231F20"/>
          <w:w w:val="95"/>
          <w:sz w:val="17"/>
        </w:rPr>
        <w:t>Leisure</w:t>
      </w:r>
      <w:r>
        <w:rPr>
          <w:i/>
          <w:color w:val="231F20"/>
          <w:spacing w:val="13"/>
          <w:sz w:val="17"/>
        </w:rPr>
        <w:t xml:space="preserve"> </w:t>
      </w:r>
      <w:r>
        <w:rPr>
          <w:i/>
          <w:color w:val="231F20"/>
          <w:w w:val="95"/>
          <w:sz w:val="17"/>
        </w:rPr>
        <w:t>Studies</w:t>
      </w:r>
      <w:r>
        <w:rPr>
          <w:i/>
          <w:color w:val="231F20"/>
          <w:spacing w:val="14"/>
          <w:sz w:val="17"/>
        </w:rPr>
        <w:t xml:space="preserve"> </w:t>
      </w:r>
      <w:r>
        <w:rPr>
          <w:color w:val="231F20"/>
          <w:w w:val="95"/>
          <w:sz w:val="17"/>
        </w:rPr>
        <w:t>19</w:t>
      </w:r>
      <w:r>
        <w:rPr>
          <w:color w:val="231F20"/>
          <w:spacing w:val="14"/>
          <w:sz w:val="17"/>
        </w:rPr>
        <w:t xml:space="preserve"> </w:t>
      </w:r>
      <w:r>
        <w:rPr>
          <w:color w:val="231F20"/>
          <w:w w:val="95"/>
          <w:sz w:val="17"/>
        </w:rPr>
        <w:t>(2),</w:t>
      </w:r>
      <w:r>
        <w:rPr>
          <w:color w:val="231F20"/>
          <w:spacing w:val="14"/>
          <w:sz w:val="17"/>
        </w:rPr>
        <w:t xml:space="preserve"> </w:t>
      </w:r>
      <w:r>
        <w:rPr>
          <w:color w:val="231F20"/>
          <w:spacing w:val="-2"/>
          <w:w w:val="95"/>
          <w:sz w:val="17"/>
        </w:rPr>
        <w:t>63–76.</w:t>
      </w:r>
    </w:p>
    <w:p w14:paraId="4FD01571" w14:textId="77777777" w:rsidR="00AE0598" w:rsidRDefault="0069255A">
      <w:pPr>
        <w:ind w:left="110"/>
        <w:jc w:val="both"/>
        <w:rPr>
          <w:sz w:val="17"/>
        </w:rPr>
      </w:pPr>
      <w:r>
        <w:rPr>
          <w:color w:val="231F20"/>
          <w:sz w:val="17"/>
        </w:rPr>
        <w:t>Csikszentmihalyi,</w:t>
      </w:r>
      <w:r>
        <w:rPr>
          <w:color w:val="231F20"/>
          <w:spacing w:val="48"/>
          <w:sz w:val="17"/>
        </w:rPr>
        <w:t xml:space="preserve"> </w:t>
      </w:r>
      <w:r>
        <w:rPr>
          <w:color w:val="231F20"/>
          <w:sz w:val="17"/>
        </w:rPr>
        <w:t>M.</w:t>
      </w:r>
      <w:r>
        <w:rPr>
          <w:color w:val="231F20"/>
          <w:spacing w:val="48"/>
          <w:sz w:val="17"/>
        </w:rPr>
        <w:t xml:space="preserve"> </w:t>
      </w:r>
      <w:r>
        <w:rPr>
          <w:color w:val="231F20"/>
          <w:sz w:val="17"/>
        </w:rPr>
        <w:t>(1992)</w:t>
      </w:r>
      <w:r>
        <w:rPr>
          <w:color w:val="231F20"/>
          <w:spacing w:val="48"/>
          <w:sz w:val="17"/>
        </w:rPr>
        <w:t xml:space="preserve"> </w:t>
      </w:r>
      <w:r>
        <w:rPr>
          <w:i/>
          <w:color w:val="231F20"/>
          <w:sz w:val="17"/>
        </w:rPr>
        <w:t>Flow:</w:t>
      </w:r>
      <w:r>
        <w:rPr>
          <w:i/>
          <w:color w:val="231F20"/>
          <w:spacing w:val="49"/>
          <w:sz w:val="17"/>
        </w:rPr>
        <w:t xml:space="preserve"> </w:t>
      </w:r>
      <w:r>
        <w:rPr>
          <w:i/>
          <w:color w:val="231F20"/>
          <w:sz w:val="17"/>
        </w:rPr>
        <w:t>The</w:t>
      </w:r>
      <w:r>
        <w:rPr>
          <w:i/>
          <w:color w:val="231F20"/>
          <w:spacing w:val="48"/>
          <w:sz w:val="17"/>
        </w:rPr>
        <w:t xml:space="preserve"> </w:t>
      </w:r>
      <w:r>
        <w:rPr>
          <w:i/>
          <w:color w:val="231F20"/>
          <w:sz w:val="17"/>
        </w:rPr>
        <w:t>Classic</w:t>
      </w:r>
      <w:r>
        <w:rPr>
          <w:i/>
          <w:color w:val="231F20"/>
          <w:spacing w:val="49"/>
          <w:sz w:val="17"/>
        </w:rPr>
        <w:t xml:space="preserve"> </w:t>
      </w:r>
      <w:r>
        <w:rPr>
          <w:i/>
          <w:color w:val="231F20"/>
          <w:sz w:val="17"/>
        </w:rPr>
        <w:t>Work</w:t>
      </w:r>
      <w:r>
        <w:rPr>
          <w:i/>
          <w:color w:val="231F20"/>
          <w:spacing w:val="49"/>
          <w:sz w:val="17"/>
        </w:rPr>
        <w:t xml:space="preserve"> </w:t>
      </w:r>
      <w:r>
        <w:rPr>
          <w:i/>
          <w:color w:val="231F20"/>
          <w:sz w:val="17"/>
        </w:rPr>
        <w:t>on</w:t>
      </w:r>
      <w:r>
        <w:rPr>
          <w:i/>
          <w:color w:val="231F20"/>
          <w:spacing w:val="48"/>
          <w:sz w:val="17"/>
        </w:rPr>
        <w:t xml:space="preserve"> </w:t>
      </w:r>
      <w:r>
        <w:rPr>
          <w:i/>
          <w:color w:val="231F20"/>
          <w:sz w:val="17"/>
        </w:rPr>
        <w:t>How</w:t>
      </w:r>
      <w:r>
        <w:rPr>
          <w:i/>
          <w:color w:val="231F20"/>
          <w:spacing w:val="49"/>
          <w:sz w:val="17"/>
        </w:rPr>
        <w:t xml:space="preserve"> </w:t>
      </w:r>
      <w:r>
        <w:rPr>
          <w:i/>
          <w:color w:val="231F20"/>
          <w:sz w:val="17"/>
        </w:rPr>
        <w:t>to</w:t>
      </w:r>
      <w:r>
        <w:rPr>
          <w:i/>
          <w:color w:val="231F20"/>
          <w:spacing w:val="47"/>
          <w:sz w:val="17"/>
        </w:rPr>
        <w:t xml:space="preserve"> </w:t>
      </w:r>
      <w:r>
        <w:rPr>
          <w:i/>
          <w:color w:val="231F20"/>
          <w:sz w:val="17"/>
        </w:rPr>
        <w:t>Achieve</w:t>
      </w:r>
      <w:r>
        <w:rPr>
          <w:i/>
          <w:color w:val="231F20"/>
          <w:spacing w:val="49"/>
          <w:sz w:val="17"/>
        </w:rPr>
        <w:t xml:space="preserve"> </w:t>
      </w:r>
      <w:r>
        <w:rPr>
          <w:i/>
          <w:color w:val="231F20"/>
          <w:spacing w:val="-2"/>
          <w:sz w:val="17"/>
        </w:rPr>
        <w:t>Happiness</w:t>
      </w:r>
      <w:r>
        <w:rPr>
          <w:color w:val="231F20"/>
          <w:spacing w:val="-2"/>
          <w:sz w:val="17"/>
        </w:rPr>
        <w:t>.</w:t>
      </w:r>
    </w:p>
    <w:p w14:paraId="7CD36A13" w14:textId="77777777" w:rsidR="00AE0598" w:rsidRDefault="0069255A">
      <w:pPr>
        <w:spacing w:before="1"/>
        <w:ind w:left="430"/>
        <w:jc w:val="both"/>
        <w:rPr>
          <w:sz w:val="17"/>
        </w:rPr>
      </w:pPr>
      <w:r>
        <w:rPr>
          <w:color w:val="231F20"/>
          <w:sz w:val="17"/>
        </w:rPr>
        <w:t>London: Rider</w:t>
      </w:r>
      <w:r>
        <w:rPr>
          <w:color w:val="231F20"/>
          <w:spacing w:val="1"/>
          <w:sz w:val="17"/>
        </w:rPr>
        <w:t xml:space="preserve"> </w:t>
      </w:r>
      <w:r>
        <w:rPr>
          <w:color w:val="231F20"/>
          <w:spacing w:val="-2"/>
          <w:sz w:val="17"/>
        </w:rPr>
        <w:t>Paperbacks.</w:t>
      </w:r>
    </w:p>
    <w:p w14:paraId="55995123" w14:textId="77777777" w:rsidR="00AE0598" w:rsidRDefault="0069255A">
      <w:pPr>
        <w:spacing w:before="1"/>
        <w:ind w:left="430" w:right="286" w:hanging="320"/>
        <w:rPr>
          <w:sz w:val="17"/>
        </w:rPr>
      </w:pPr>
      <w:r>
        <w:rPr>
          <w:color w:val="231F20"/>
          <w:w w:val="95"/>
          <w:sz w:val="17"/>
        </w:rPr>
        <w:t>Cuthbertson,</w:t>
      </w:r>
      <w:r>
        <w:rPr>
          <w:color w:val="231F20"/>
          <w:sz w:val="17"/>
        </w:rPr>
        <w:t xml:space="preserve"> </w:t>
      </w:r>
      <w:r>
        <w:rPr>
          <w:color w:val="231F20"/>
          <w:w w:val="95"/>
          <w:sz w:val="17"/>
        </w:rPr>
        <w:t>B.,</w:t>
      </w:r>
      <w:r>
        <w:rPr>
          <w:color w:val="231F20"/>
          <w:sz w:val="17"/>
        </w:rPr>
        <w:t xml:space="preserve"> </w:t>
      </w:r>
      <w:r>
        <w:rPr>
          <w:color w:val="231F20"/>
          <w:w w:val="95"/>
          <w:sz w:val="17"/>
        </w:rPr>
        <w:t>Heine,</w:t>
      </w:r>
      <w:r>
        <w:rPr>
          <w:color w:val="231F20"/>
          <w:sz w:val="17"/>
        </w:rPr>
        <w:t xml:space="preserve"> </w:t>
      </w:r>
      <w:r>
        <w:rPr>
          <w:color w:val="231F20"/>
          <w:w w:val="95"/>
          <w:sz w:val="17"/>
        </w:rPr>
        <w:t>M.</w:t>
      </w:r>
      <w:r>
        <w:rPr>
          <w:color w:val="231F20"/>
          <w:sz w:val="17"/>
        </w:rPr>
        <w:t xml:space="preserve"> </w:t>
      </w:r>
      <w:r>
        <w:rPr>
          <w:color w:val="231F20"/>
          <w:w w:val="95"/>
          <w:sz w:val="17"/>
        </w:rPr>
        <w:t>and</w:t>
      </w:r>
      <w:r>
        <w:rPr>
          <w:color w:val="231F20"/>
          <w:sz w:val="17"/>
        </w:rPr>
        <w:t xml:space="preserve"> </w:t>
      </w:r>
      <w:r>
        <w:rPr>
          <w:color w:val="231F20"/>
          <w:w w:val="95"/>
          <w:sz w:val="17"/>
        </w:rPr>
        <w:t>Whitson,</w:t>
      </w:r>
      <w:r>
        <w:rPr>
          <w:color w:val="231F20"/>
          <w:sz w:val="17"/>
        </w:rPr>
        <w:t xml:space="preserve"> </w:t>
      </w:r>
      <w:r>
        <w:rPr>
          <w:color w:val="231F20"/>
          <w:w w:val="95"/>
          <w:sz w:val="17"/>
        </w:rPr>
        <w:t>D.</w:t>
      </w:r>
      <w:r>
        <w:rPr>
          <w:color w:val="231F20"/>
          <w:sz w:val="17"/>
        </w:rPr>
        <w:t xml:space="preserve"> </w:t>
      </w:r>
      <w:r>
        <w:rPr>
          <w:color w:val="231F20"/>
          <w:w w:val="95"/>
          <w:sz w:val="17"/>
        </w:rPr>
        <w:t>(1997)</w:t>
      </w:r>
      <w:r>
        <w:rPr>
          <w:color w:val="231F20"/>
          <w:sz w:val="17"/>
        </w:rPr>
        <w:t xml:space="preserve"> </w:t>
      </w:r>
      <w:r>
        <w:rPr>
          <w:color w:val="231F20"/>
          <w:w w:val="95"/>
          <w:sz w:val="17"/>
        </w:rPr>
        <w:t>Producing</w:t>
      </w:r>
      <w:r>
        <w:rPr>
          <w:color w:val="231F20"/>
          <w:sz w:val="17"/>
        </w:rPr>
        <w:t xml:space="preserve"> </w:t>
      </w:r>
      <w:r>
        <w:rPr>
          <w:color w:val="231F20"/>
          <w:w w:val="95"/>
          <w:sz w:val="17"/>
        </w:rPr>
        <w:t>meaning</w:t>
      </w:r>
      <w:r>
        <w:rPr>
          <w:color w:val="231F20"/>
          <w:sz w:val="17"/>
        </w:rPr>
        <w:t xml:space="preserve"> </w:t>
      </w:r>
      <w:r>
        <w:rPr>
          <w:color w:val="231F20"/>
          <w:w w:val="95"/>
          <w:sz w:val="17"/>
        </w:rPr>
        <w:t>through</w:t>
      </w:r>
      <w:r>
        <w:rPr>
          <w:color w:val="231F20"/>
          <w:sz w:val="17"/>
        </w:rPr>
        <w:t xml:space="preserve"> </w:t>
      </w:r>
      <w:r>
        <w:rPr>
          <w:color w:val="231F20"/>
          <w:w w:val="95"/>
          <w:sz w:val="17"/>
        </w:rPr>
        <w:t>movement:</w:t>
      </w:r>
      <w:r>
        <w:rPr>
          <w:color w:val="231F20"/>
          <w:spacing w:val="80"/>
          <w:sz w:val="17"/>
        </w:rPr>
        <w:t xml:space="preserve"> </w:t>
      </w:r>
      <w:r>
        <w:rPr>
          <w:color w:val="231F20"/>
          <w:sz w:val="17"/>
        </w:rPr>
        <w:t xml:space="preserve">An alternative view of sense of place. </w:t>
      </w:r>
      <w:r>
        <w:rPr>
          <w:i/>
          <w:color w:val="231F20"/>
          <w:sz w:val="17"/>
        </w:rPr>
        <w:t xml:space="preserve">Trumpeter </w:t>
      </w:r>
      <w:r>
        <w:rPr>
          <w:color w:val="231F20"/>
          <w:sz w:val="17"/>
        </w:rPr>
        <w:t>14 (2), 72–75.</w:t>
      </w:r>
    </w:p>
    <w:p w14:paraId="75CA9DD4" w14:textId="77777777" w:rsidR="00AE0598" w:rsidRDefault="0069255A">
      <w:pPr>
        <w:spacing w:before="1"/>
        <w:ind w:left="430" w:hanging="320"/>
        <w:rPr>
          <w:sz w:val="17"/>
        </w:rPr>
      </w:pPr>
      <w:r>
        <w:rPr>
          <w:color w:val="231F20"/>
          <w:sz w:val="17"/>
        </w:rPr>
        <w:t xml:space="preserve">Daniels, </w:t>
      </w:r>
      <w:r>
        <w:rPr>
          <w:color w:val="231F20"/>
          <w:w w:val="110"/>
          <w:sz w:val="17"/>
        </w:rPr>
        <w:t xml:space="preserve">M.J. </w:t>
      </w:r>
      <w:r>
        <w:rPr>
          <w:color w:val="231F20"/>
          <w:sz w:val="17"/>
        </w:rPr>
        <w:t xml:space="preserve">(2007) Central place theory and sport tourism impacts. </w:t>
      </w:r>
      <w:r>
        <w:rPr>
          <w:i/>
          <w:color w:val="231F20"/>
          <w:sz w:val="17"/>
        </w:rPr>
        <w:t>Annals of Tourism</w:t>
      </w:r>
      <w:r>
        <w:rPr>
          <w:i/>
          <w:color w:val="231F20"/>
          <w:spacing w:val="40"/>
          <w:sz w:val="17"/>
        </w:rPr>
        <w:t xml:space="preserve"> </w:t>
      </w:r>
      <w:r>
        <w:rPr>
          <w:i/>
          <w:color w:val="231F20"/>
          <w:sz w:val="17"/>
        </w:rPr>
        <w:t xml:space="preserve">Research </w:t>
      </w:r>
      <w:r>
        <w:rPr>
          <w:color w:val="231F20"/>
          <w:sz w:val="17"/>
        </w:rPr>
        <w:t>34 (2), 332–347.</w:t>
      </w:r>
    </w:p>
    <w:p w14:paraId="7915C05A" w14:textId="77777777" w:rsidR="00AE0598" w:rsidRDefault="0069255A">
      <w:pPr>
        <w:spacing w:before="2"/>
        <w:ind w:left="430" w:hanging="320"/>
        <w:rPr>
          <w:sz w:val="17"/>
        </w:rPr>
      </w:pPr>
      <w:r>
        <w:rPr>
          <w:color w:val="231F20"/>
          <w:sz w:val="17"/>
        </w:rPr>
        <w:t xml:space="preserve">Dann, G.M.S. (1981) Tourist motivation: An appraisal. </w:t>
      </w:r>
      <w:r>
        <w:rPr>
          <w:i/>
          <w:color w:val="231F20"/>
          <w:sz w:val="17"/>
        </w:rPr>
        <w:t>Annals of Tourism Researc</w:t>
      </w:r>
      <w:r>
        <w:rPr>
          <w:i/>
          <w:color w:val="231F20"/>
          <w:sz w:val="17"/>
        </w:rPr>
        <w:t xml:space="preserve">h </w:t>
      </w:r>
      <w:r>
        <w:rPr>
          <w:color w:val="231F20"/>
          <w:sz w:val="17"/>
        </w:rPr>
        <w:t>8 (2),</w:t>
      </w:r>
      <w:r>
        <w:rPr>
          <w:color w:val="231F20"/>
          <w:spacing w:val="40"/>
          <w:sz w:val="17"/>
        </w:rPr>
        <w:t xml:space="preserve"> </w:t>
      </w:r>
      <w:r>
        <w:rPr>
          <w:color w:val="231F20"/>
          <w:spacing w:val="-2"/>
          <w:sz w:val="17"/>
        </w:rPr>
        <w:t>187–219.</w:t>
      </w:r>
    </w:p>
    <w:p w14:paraId="52814417" w14:textId="77777777" w:rsidR="00AE0598" w:rsidRDefault="00AE0598">
      <w:pPr>
        <w:rPr>
          <w:sz w:val="17"/>
        </w:rPr>
        <w:sectPr w:rsidR="00AE0598">
          <w:pgSz w:w="8850" w:h="13270"/>
          <w:pgMar w:top="720" w:right="1060" w:bottom="280" w:left="1080" w:header="720" w:footer="720" w:gutter="0"/>
          <w:cols w:space="720"/>
        </w:sectPr>
      </w:pPr>
    </w:p>
    <w:p w14:paraId="441E08E3" w14:textId="77777777" w:rsidR="00AE0598" w:rsidRDefault="0069255A">
      <w:pPr>
        <w:spacing w:before="87"/>
        <w:ind w:left="110" w:right="128"/>
        <w:jc w:val="right"/>
        <w:rPr>
          <w:rFonts w:ascii="Trebuchet MS"/>
          <w:sz w:val="14"/>
        </w:rPr>
      </w:pPr>
      <w:r>
        <w:rPr>
          <w:rFonts w:ascii="Trebuchet MS"/>
          <w:color w:val="231F20"/>
          <w:w w:val="105"/>
          <w:sz w:val="14"/>
        </w:rPr>
        <w:lastRenderedPageBreak/>
        <w:t>References</w:t>
      </w:r>
      <w:r>
        <w:rPr>
          <w:rFonts w:ascii="Trebuchet MS"/>
          <w:color w:val="231F20"/>
          <w:spacing w:val="67"/>
          <w:w w:val="105"/>
          <w:sz w:val="14"/>
        </w:rPr>
        <w:t xml:space="preserve"> </w:t>
      </w:r>
      <w:r>
        <w:rPr>
          <w:rFonts w:ascii="Trebuchet MS"/>
          <w:color w:val="231F20"/>
          <w:spacing w:val="-5"/>
          <w:w w:val="105"/>
          <w:sz w:val="14"/>
        </w:rPr>
        <w:t>245</w:t>
      </w:r>
    </w:p>
    <w:p w14:paraId="4F47C0D5" w14:textId="77777777" w:rsidR="00AE0598" w:rsidRDefault="00AE0598">
      <w:pPr>
        <w:pStyle w:val="Corpodetexto"/>
        <w:rPr>
          <w:rFonts w:ascii="Trebuchet MS"/>
          <w:sz w:val="16"/>
        </w:rPr>
      </w:pPr>
    </w:p>
    <w:p w14:paraId="0EBD9974" w14:textId="77777777" w:rsidR="00AE0598" w:rsidRDefault="0069255A">
      <w:pPr>
        <w:spacing w:before="121"/>
        <w:ind w:left="110"/>
        <w:jc w:val="both"/>
        <w:rPr>
          <w:sz w:val="17"/>
        </w:rPr>
      </w:pPr>
      <w:r>
        <w:rPr>
          <w:color w:val="231F20"/>
          <w:w w:val="95"/>
          <w:sz w:val="17"/>
        </w:rPr>
        <w:t>Darcy,</w:t>
      </w:r>
      <w:r>
        <w:rPr>
          <w:color w:val="231F20"/>
          <w:spacing w:val="16"/>
          <w:sz w:val="17"/>
        </w:rPr>
        <w:t xml:space="preserve"> </w:t>
      </w:r>
      <w:r>
        <w:rPr>
          <w:color w:val="231F20"/>
          <w:w w:val="95"/>
          <w:sz w:val="17"/>
        </w:rPr>
        <w:t>S.</w:t>
      </w:r>
      <w:r>
        <w:rPr>
          <w:color w:val="231F20"/>
          <w:spacing w:val="16"/>
          <w:sz w:val="17"/>
        </w:rPr>
        <w:t xml:space="preserve"> </w:t>
      </w:r>
      <w:r>
        <w:rPr>
          <w:color w:val="231F20"/>
          <w:w w:val="95"/>
          <w:sz w:val="17"/>
        </w:rPr>
        <w:t>(2003)</w:t>
      </w:r>
      <w:r>
        <w:rPr>
          <w:color w:val="231F20"/>
          <w:spacing w:val="17"/>
          <w:sz w:val="17"/>
        </w:rPr>
        <w:t xml:space="preserve"> </w:t>
      </w:r>
      <w:r>
        <w:rPr>
          <w:color w:val="231F20"/>
          <w:w w:val="95"/>
          <w:sz w:val="17"/>
        </w:rPr>
        <w:t>The</w:t>
      </w:r>
      <w:r>
        <w:rPr>
          <w:color w:val="231F20"/>
          <w:spacing w:val="16"/>
          <w:sz w:val="17"/>
        </w:rPr>
        <w:t xml:space="preserve"> </w:t>
      </w:r>
      <w:r>
        <w:rPr>
          <w:color w:val="231F20"/>
          <w:w w:val="95"/>
          <w:sz w:val="17"/>
        </w:rPr>
        <w:t>politics</w:t>
      </w:r>
      <w:r>
        <w:rPr>
          <w:color w:val="231F20"/>
          <w:spacing w:val="17"/>
          <w:sz w:val="17"/>
        </w:rPr>
        <w:t xml:space="preserve"> </w:t>
      </w:r>
      <w:r>
        <w:rPr>
          <w:color w:val="231F20"/>
          <w:w w:val="95"/>
          <w:sz w:val="17"/>
        </w:rPr>
        <w:t>of</w:t>
      </w:r>
      <w:r>
        <w:rPr>
          <w:color w:val="231F20"/>
          <w:spacing w:val="16"/>
          <w:sz w:val="17"/>
        </w:rPr>
        <w:t xml:space="preserve"> </w:t>
      </w:r>
      <w:r>
        <w:rPr>
          <w:color w:val="231F20"/>
          <w:w w:val="95"/>
          <w:sz w:val="17"/>
        </w:rPr>
        <w:t>disability</w:t>
      </w:r>
      <w:r>
        <w:rPr>
          <w:color w:val="231F20"/>
          <w:spacing w:val="17"/>
          <w:sz w:val="17"/>
        </w:rPr>
        <w:t xml:space="preserve"> </w:t>
      </w:r>
      <w:r>
        <w:rPr>
          <w:color w:val="231F20"/>
          <w:w w:val="95"/>
          <w:sz w:val="17"/>
        </w:rPr>
        <w:t>and</w:t>
      </w:r>
      <w:r>
        <w:rPr>
          <w:color w:val="231F20"/>
          <w:spacing w:val="16"/>
          <w:sz w:val="17"/>
        </w:rPr>
        <w:t xml:space="preserve"> </w:t>
      </w:r>
      <w:r>
        <w:rPr>
          <w:color w:val="231F20"/>
          <w:w w:val="95"/>
          <w:sz w:val="17"/>
        </w:rPr>
        <w:t>access:</w:t>
      </w:r>
      <w:r>
        <w:rPr>
          <w:color w:val="231F20"/>
          <w:spacing w:val="17"/>
          <w:sz w:val="17"/>
        </w:rPr>
        <w:t xml:space="preserve"> </w:t>
      </w:r>
      <w:r>
        <w:rPr>
          <w:color w:val="231F20"/>
          <w:w w:val="95"/>
          <w:sz w:val="17"/>
        </w:rPr>
        <w:t>The</w:t>
      </w:r>
      <w:r>
        <w:rPr>
          <w:color w:val="231F20"/>
          <w:spacing w:val="16"/>
          <w:sz w:val="17"/>
        </w:rPr>
        <w:t xml:space="preserve"> </w:t>
      </w:r>
      <w:r>
        <w:rPr>
          <w:color w:val="231F20"/>
          <w:w w:val="95"/>
          <w:sz w:val="17"/>
        </w:rPr>
        <w:t>Sydney</w:t>
      </w:r>
      <w:r>
        <w:rPr>
          <w:color w:val="231F20"/>
          <w:spacing w:val="17"/>
          <w:sz w:val="17"/>
        </w:rPr>
        <w:t xml:space="preserve"> </w:t>
      </w:r>
      <w:r>
        <w:rPr>
          <w:color w:val="231F20"/>
          <w:w w:val="95"/>
          <w:sz w:val="17"/>
        </w:rPr>
        <w:t>2000</w:t>
      </w:r>
      <w:r>
        <w:rPr>
          <w:color w:val="231F20"/>
          <w:spacing w:val="16"/>
          <w:sz w:val="17"/>
        </w:rPr>
        <w:t xml:space="preserve"> </w:t>
      </w:r>
      <w:r>
        <w:rPr>
          <w:color w:val="231F20"/>
          <w:w w:val="95"/>
          <w:sz w:val="17"/>
        </w:rPr>
        <w:t>Games</w:t>
      </w:r>
      <w:r>
        <w:rPr>
          <w:color w:val="231F20"/>
          <w:spacing w:val="17"/>
          <w:sz w:val="17"/>
        </w:rPr>
        <w:t xml:space="preserve"> </w:t>
      </w:r>
      <w:r>
        <w:rPr>
          <w:color w:val="231F20"/>
          <w:spacing w:val="-2"/>
          <w:w w:val="95"/>
          <w:sz w:val="17"/>
        </w:rPr>
        <w:t>experience.</w:t>
      </w:r>
    </w:p>
    <w:p w14:paraId="1AB4A41A" w14:textId="77777777" w:rsidR="00AE0598" w:rsidRDefault="0069255A">
      <w:pPr>
        <w:ind w:left="430"/>
        <w:jc w:val="both"/>
        <w:rPr>
          <w:sz w:val="17"/>
        </w:rPr>
      </w:pPr>
      <w:r>
        <w:rPr>
          <w:i/>
          <w:color w:val="231F20"/>
          <w:sz w:val="17"/>
        </w:rPr>
        <w:t>Disability</w:t>
      </w:r>
      <w:r>
        <w:rPr>
          <w:i/>
          <w:color w:val="231F20"/>
          <w:spacing w:val="11"/>
          <w:sz w:val="17"/>
        </w:rPr>
        <w:t xml:space="preserve"> </w:t>
      </w:r>
      <w:r>
        <w:rPr>
          <w:i/>
          <w:color w:val="231F20"/>
          <w:sz w:val="17"/>
        </w:rPr>
        <w:t>&amp;</w:t>
      </w:r>
      <w:r>
        <w:rPr>
          <w:i/>
          <w:color w:val="231F20"/>
          <w:spacing w:val="11"/>
          <w:sz w:val="17"/>
        </w:rPr>
        <w:t xml:space="preserve"> </w:t>
      </w:r>
      <w:r>
        <w:rPr>
          <w:i/>
          <w:color w:val="231F20"/>
          <w:sz w:val="17"/>
        </w:rPr>
        <w:t>Society</w:t>
      </w:r>
      <w:r>
        <w:rPr>
          <w:i/>
          <w:color w:val="231F20"/>
          <w:spacing w:val="11"/>
          <w:sz w:val="17"/>
        </w:rPr>
        <w:t xml:space="preserve"> </w:t>
      </w:r>
      <w:r>
        <w:rPr>
          <w:color w:val="231F20"/>
          <w:sz w:val="17"/>
        </w:rPr>
        <w:t>18</w:t>
      </w:r>
      <w:r>
        <w:rPr>
          <w:color w:val="231F20"/>
          <w:spacing w:val="11"/>
          <w:sz w:val="17"/>
        </w:rPr>
        <w:t xml:space="preserve"> </w:t>
      </w:r>
      <w:r>
        <w:rPr>
          <w:color w:val="231F20"/>
          <w:sz w:val="17"/>
        </w:rPr>
        <w:t>(6),</w:t>
      </w:r>
      <w:r>
        <w:rPr>
          <w:color w:val="231F20"/>
          <w:spacing w:val="11"/>
          <w:sz w:val="17"/>
        </w:rPr>
        <w:t xml:space="preserve"> </w:t>
      </w:r>
      <w:r>
        <w:rPr>
          <w:color w:val="231F20"/>
          <w:spacing w:val="-2"/>
          <w:sz w:val="17"/>
        </w:rPr>
        <w:t>737–757.</w:t>
      </w:r>
    </w:p>
    <w:p w14:paraId="1F082C53" w14:textId="77777777" w:rsidR="00AE0598" w:rsidRDefault="0069255A">
      <w:pPr>
        <w:spacing w:before="1"/>
        <w:ind w:left="110"/>
        <w:jc w:val="both"/>
        <w:rPr>
          <w:sz w:val="17"/>
        </w:rPr>
      </w:pPr>
      <w:r>
        <w:rPr>
          <w:color w:val="231F20"/>
          <w:sz w:val="17"/>
        </w:rPr>
        <w:t>Dauncey, H.</w:t>
      </w:r>
      <w:r>
        <w:rPr>
          <w:color w:val="231F20"/>
          <w:spacing w:val="1"/>
          <w:sz w:val="17"/>
        </w:rPr>
        <w:t xml:space="preserve"> </w:t>
      </w:r>
      <w:r>
        <w:rPr>
          <w:color w:val="231F20"/>
          <w:sz w:val="17"/>
        </w:rPr>
        <w:t>and Hare,</w:t>
      </w:r>
      <w:r>
        <w:rPr>
          <w:color w:val="231F20"/>
          <w:spacing w:val="1"/>
          <w:sz w:val="17"/>
        </w:rPr>
        <w:t xml:space="preserve"> </w:t>
      </w:r>
      <w:r>
        <w:rPr>
          <w:color w:val="231F20"/>
          <w:sz w:val="17"/>
        </w:rPr>
        <w:t>G. (2000)</w:t>
      </w:r>
      <w:r>
        <w:rPr>
          <w:color w:val="231F20"/>
          <w:spacing w:val="1"/>
          <w:sz w:val="17"/>
        </w:rPr>
        <w:t xml:space="preserve"> </w:t>
      </w:r>
      <w:r>
        <w:rPr>
          <w:color w:val="231F20"/>
          <w:sz w:val="17"/>
        </w:rPr>
        <w:t>World Cup</w:t>
      </w:r>
      <w:r>
        <w:rPr>
          <w:color w:val="231F20"/>
          <w:spacing w:val="1"/>
          <w:sz w:val="17"/>
        </w:rPr>
        <w:t xml:space="preserve"> </w:t>
      </w:r>
      <w:r>
        <w:rPr>
          <w:color w:val="231F20"/>
          <w:sz w:val="17"/>
        </w:rPr>
        <w:t>France ‘98:</w:t>
      </w:r>
      <w:r>
        <w:rPr>
          <w:color w:val="231F20"/>
          <w:spacing w:val="1"/>
          <w:sz w:val="17"/>
        </w:rPr>
        <w:t xml:space="preserve"> </w:t>
      </w:r>
      <w:r>
        <w:rPr>
          <w:color w:val="231F20"/>
          <w:sz w:val="17"/>
        </w:rPr>
        <w:t>Metaphors, meanings</w:t>
      </w:r>
      <w:r>
        <w:rPr>
          <w:color w:val="231F20"/>
          <w:spacing w:val="1"/>
          <w:sz w:val="17"/>
        </w:rPr>
        <w:t xml:space="preserve"> </w:t>
      </w:r>
      <w:r>
        <w:rPr>
          <w:color w:val="231F20"/>
          <w:sz w:val="17"/>
        </w:rPr>
        <w:t xml:space="preserve">and </w:t>
      </w:r>
      <w:r>
        <w:rPr>
          <w:color w:val="231F20"/>
          <w:spacing w:val="-2"/>
          <w:sz w:val="17"/>
        </w:rPr>
        <w:t>values.</w:t>
      </w:r>
    </w:p>
    <w:p w14:paraId="17992C72" w14:textId="77777777" w:rsidR="00AE0598" w:rsidRDefault="0069255A">
      <w:pPr>
        <w:spacing w:before="1"/>
        <w:ind w:left="430"/>
        <w:jc w:val="both"/>
        <w:rPr>
          <w:sz w:val="17"/>
        </w:rPr>
      </w:pPr>
      <w:r>
        <w:rPr>
          <w:i/>
          <w:color w:val="231F20"/>
          <w:sz w:val="17"/>
        </w:rPr>
        <w:t>International</w:t>
      </w:r>
      <w:r>
        <w:rPr>
          <w:i/>
          <w:color w:val="231F20"/>
          <w:spacing w:val="5"/>
          <w:sz w:val="17"/>
        </w:rPr>
        <w:t xml:space="preserve"> </w:t>
      </w:r>
      <w:r>
        <w:rPr>
          <w:i/>
          <w:color w:val="231F20"/>
          <w:sz w:val="17"/>
        </w:rPr>
        <w:t>Review</w:t>
      </w:r>
      <w:r>
        <w:rPr>
          <w:i/>
          <w:color w:val="231F20"/>
          <w:spacing w:val="6"/>
          <w:sz w:val="17"/>
        </w:rPr>
        <w:t xml:space="preserve"> </w:t>
      </w:r>
      <w:r>
        <w:rPr>
          <w:i/>
          <w:color w:val="231F20"/>
          <w:sz w:val="17"/>
        </w:rPr>
        <w:t>for</w:t>
      </w:r>
      <w:r>
        <w:rPr>
          <w:i/>
          <w:color w:val="231F20"/>
          <w:spacing w:val="6"/>
          <w:sz w:val="17"/>
        </w:rPr>
        <w:t xml:space="preserve"> </w:t>
      </w:r>
      <w:r>
        <w:rPr>
          <w:i/>
          <w:color w:val="231F20"/>
          <w:sz w:val="17"/>
        </w:rPr>
        <w:t>the</w:t>
      </w:r>
      <w:r>
        <w:rPr>
          <w:i/>
          <w:color w:val="231F20"/>
          <w:spacing w:val="6"/>
          <w:sz w:val="17"/>
        </w:rPr>
        <w:t xml:space="preserve"> </w:t>
      </w:r>
      <w:r>
        <w:rPr>
          <w:i/>
          <w:color w:val="231F20"/>
          <w:sz w:val="17"/>
        </w:rPr>
        <w:t>Sociology</w:t>
      </w:r>
      <w:r>
        <w:rPr>
          <w:i/>
          <w:color w:val="231F20"/>
          <w:spacing w:val="6"/>
          <w:sz w:val="17"/>
        </w:rPr>
        <w:t xml:space="preserve"> </w:t>
      </w:r>
      <w:r>
        <w:rPr>
          <w:i/>
          <w:color w:val="231F20"/>
          <w:sz w:val="17"/>
        </w:rPr>
        <w:t>of</w:t>
      </w:r>
      <w:r>
        <w:rPr>
          <w:i/>
          <w:color w:val="231F20"/>
          <w:spacing w:val="6"/>
          <w:sz w:val="17"/>
        </w:rPr>
        <w:t xml:space="preserve"> </w:t>
      </w:r>
      <w:r>
        <w:rPr>
          <w:i/>
          <w:color w:val="231F20"/>
          <w:sz w:val="17"/>
        </w:rPr>
        <w:t>Sport</w:t>
      </w:r>
      <w:r>
        <w:rPr>
          <w:i/>
          <w:color w:val="231F20"/>
          <w:spacing w:val="6"/>
          <w:sz w:val="17"/>
        </w:rPr>
        <w:t xml:space="preserve"> </w:t>
      </w:r>
      <w:r>
        <w:rPr>
          <w:color w:val="231F20"/>
          <w:sz w:val="17"/>
        </w:rPr>
        <w:t>35</w:t>
      </w:r>
      <w:r>
        <w:rPr>
          <w:color w:val="231F20"/>
          <w:spacing w:val="5"/>
          <w:sz w:val="17"/>
        </w:rPr>
        <w:t xml:space="preserve"> </w:t>
      </w:r>
      <w:r>
        <w:rPr>
          <w:color w:val="231F20"/>
          <w:sz w:val="17"/>
        </w:rPr>
        <w:t>(3),</w:t>
      </w:r>
      <w:r>
        <w:rPr>
          <w:color w:val="231F20"/>
          <w:spacing w:val="6"/>
          <w:sz w:val="17"/>
        </w:rPr>
        <w:t xml:space="preserve"> </w:t>
      </w:r>
      <w:r>
        <w:rPr>
          <w:color w:val="231F20"/>
          <w:spacing w:val="-2"/>
          <w:sz w:val="17"/>
        </w:rPr>
        <w:t>331–347.</w:t>
      </w:r>
    </w:p>
    <w:p w14:paraId="6A4ABF0B" w14:textId="77777777" w:rsidR="00AE0598" w:rsidRDefault="0069255A">
      <w:pPr>
        <w:spacing w:before="1"/>
        <w:ind w:left="430" w:right="128" w:hanging="320"/>
        <w:jc w:val="both"/>
        <w:rPr>
          <w:sz w:val="17"/>
        </w:rPr>
      </w:pPr>
      <w:r>
        <w:rPr>
          <w:color w:val="231F20"/>
          <w:w w:val="95"/>
          <w:sz w:val="17"/>
        </w:rPr>
        <w:t>Davidson,</w:t>
      </w:r>
      <w:r>
        <w:rPr>
          <w:color w:val="231F20"/>
          <w:spacing w:val="19"/>
          <w:sz w:val="17"/>
        </w:rPr>
        <w:t xml:space="preserve"> </w:t>
      </w:r>
      <w:r>
        <w:rPr>
          <w:color w:val="231F20"/>
          <w:w w:val="95"/>
          <w:sz w:val="17"/>
        </w:rPr>
        <w:t>L.</w:t>
      </w:r>
      <w:r>
        <w:rPr>
          <w:color w:val="231F20"/>
          <w:spacing w:val="19"/>
          <w:sz w:val="17"/>
        </w:rPr>
        <w:t xml:space="preserve"> </w:t>
      </w:r>
      <w:r>
        <w:rPr>
          <w:color w:val="231F20"/>
          <w:w w:val="95"/>
          <w:sz w:val="17"/>
        </w:rPr>
        <w:t>and</w:t>
      </w:r>
      <w:r>
        <w:rPr>
          <w:color w:val="231F20"/>
          <w:spacing w:val="19"/>
          <w:sz w:val="17"/>
        </w:rPr>
        <w:t xml:space="preserve"> </w:t>
      </w:r>
      <w:r>
        <w:rPr>
          <w:color w:val="231F20"/>
          <w:w w:val="95"/>
          <w:sz w:val="17"/>
        </w:rPr>
        <w:t>Stebbins,</w:t>
      </w:r>
      <w:r>
        <w:rPr>
          <w:color w:val="231F20"/>
          <w:spacing w:val="19"/>
          <w:sz w:val="17"/>
        </w:rPr>
        <w:t xml:space="preserve"> </w:t>
      </w:r>
      <w:r>
        <w:rPr>
          <w:color w:val="231F20"/>
          <w:w w:val="95"/>
          <w:sz w:val="17"/>
        </w:rPr>
        <w:t>R.</w:t>
      </w:r>
      <w:r>
        <w:rPr>
          <w:color w:val="231F20"/>
          <w:spacing w:val="19"/>
          <w:sz w:val="17"/>
        </w:rPr>
        <w:t xml:space="preserve"> </w:t>
      </w:r>
      <w:r>
        <w:rPr>
          <w:color w:val="231F20"/>
          <w:w w:val="95"/>
          <w:sz w:val="17"/>
        </w:rPr>
        <w:t>(2011)</w:t>
      </w:r>
      <w:r>
        <w:rPr>
          <w:color w:val="231F20"/>
          <w:spacing w:val="19"/>
          <w:sz w:val="17"/>
        </w:rPr>
        <w:t xml:space="preserve"> </w:t>
      </w:r>
      <w:r>
        <w:rPr>
          <w:i/>
          <w:color w:val="231F20"/>
          <w:w w:val="95"/>
          <w:sz w:val="17"/>
        </w:rPr>
        <w:t>Serious</w:t>
      </w:r>
      <w:r>
        <w:rPr>
          <w:i/>
          <w:color w:val="231F20"/>
          <w:spacing w:val="19"/>
          <w:sz w:val="17"/>
        </w:rPr>
        <w:t xml:space="preserve"> </w:t>
      </w:r>
      <w:r>
        <w:rPr>
          <w:i/>
          <w:color w:val="231F20"/>
          <w:w w:val="95"/>
          <w:sz w:val="17"/>
        </w:rPr>
        <w:t>Leisure</w:t>
      </w:r>
      <w:r>
        <w:rPr>
          <w:i/>
          <w:color w:val="231F20"/>
          <w:spacing w:val="19"/>
          <w:sz w:val="17"/>
        </w:rPr>
        <w:t xml:space="preserve"> </w:t>
      </w:r>
      <w:r>
        <w:rPr>
          <w:i/>
          <w:color w:val="231F20"/>
          <w:w w:val="95"/>
          <w:sz w:val="17"/>
        </w:rPr>
        <w:t>and</w:t>
      </w:r>
      <w:r>
        <w:rPr>
          <w:i/>
          <w:color w:val="231F20"/>
          <w:spacing w:val="19"/>
          <w:sz w:val="17"/>
        </w:rPr>
        <w:t xml:space="preserve"> </w:t>
      </w:r>
      <w:r>
        <w:rPr>
          <w:i/>
          <w:color w:val="231F20"/>
          <w:w w:val="95"/>
          <w:sz w:val="17"/>
        </w:rPr>
        <w:t>Nature:</w:t>
      </w:r>
      <w:r>
        <w:rPr>
          <w:i/>
          <w:color w:val="231F20"/>
          <w:spacing w:val="19"/>
          <w:sz w:val="17"/>
        </w:rPr>
        <w:t xml:space="preserve"> </w:t>
      </w:r>
      <w:r>
        <w:rPr>
          <w:i/>
          <w:color w:val="231F20"/>
          <w:w w:val="95"/>
          <w:sz w:val="17"/>
        </w:rPr>
        <w:t>Sustainable</w:t>
      </w:r>
      <w:r>
        <w:rPr>
          <w:i/>
          <w:color w:val="231F20"/>
          <w:spacing w:val="19"/>
          <w:sz w:val="17"/>
        </w:rPr>
        <w:t xml:space="preserve"> </w:t>
      </w:r>
      <w:r>
        <w:rPr>
          <w:i/>
          <w:color w:val="231F20"/>
          <w:w w:val="95"/>
          <w:sz w:val="17"/>
        </w:rPr>
        <w:t>Consumption</w:t>
      </w:r>
      <w:r>
        <w:rPr>
          <w:i/>
          <w:color w:val="231F20"/>
          <w:spacing w:val="40"/>
          <w:sz w:val="17"/>
        </w:rPr>
        <w:t xml:space="preserve"> </w:t>
      </w:r>
      <w:r>
        <w:rPr>
          <w:i/>
          <w:color w:val="231F20"/>
          <w:sz w:val="17"/>
        </w:rPr>
        <w:t>in the Outdoors</w:t>
      </w:r>
      <w:r>
        <w:rPr>
          <w:color w:val="231F20"/>
          <w:sz w:val="17"/>
        </w:rPr>
        <w:t>. New York: Palgrave Macmillan.</w:t>
      </w:r>
    </w:p>
    <w:p w14:paraId="508FFA96" w14:textId="77777777" w:rsidR="00AE0598" w:rsidRDefault="0069255A">
      <w:pPr>
        <w:spacing w:before="1"/>
        <w:ind w:left="430" w:right="128" w:hanging="320"/>
        <w:jc w:val="both"/>
        <w:rPr>
          <w:sz w:val="17"/>
        </w:rPr>
      </w:pPr>
      <w:r>
        <w:rPr>
          <w:color w:val="231F20"/>
          <w:sz w:val="17"/>
        </w:rPr>
        <w:t xml:space="preserve">Davies, </w:t>
      </w:r>
      <w:r>
        <w:rPr>
          <w:color w:val="231F20"/>
          <w:w w:val="110"/>
          <w:sz w:val="17"/>
        </w:rPr>
        <w:t xml:space="preserve">J. </w:t>
      </w:r>
      <w:r>
        <w:rPr>
          <w:color w:val="231F20"/>
          <w:sz w:val="17"/>
        </w:rPr>
        <w:t xml:space="preserve">and Williment, </w:t>
      </w:r>
      <w:r>
        <w:rPr>
          <w:color w:val="231F20"/>
          <w:w w:val="110"/>
          <w:sz w:val="17"/>
        </w:rPr>
        <w:t xml:space="preserve">J. </w:t>
      </w:r>
      <w:r>
        <w:rPr>
          <w:color w:val="231F20"/>
          <w:sz w:val="17"/>
        </w:rPr>
        <w:t>(2008) Sport tourism: Grey sport tourists, all black and red</w:t>
      </w:r>
      <w:r>
        <w:rPr>
          <w:color w:val="231F20"/>
          <w:spacing w:val="40"/>
          <w:sz w:val="17"/>
        </w:rPr>
        <w:t xml:space="preserve"> </w:t>
      </w:r>
      <w:r>
        <w:rPr>
          <w:color w:val="231F20"/>
          <w:sz w:val="17"/>
        </w:rPr>
        <w:t xml:space="preserve">experiences. </w:t>
      </w:r>
      <w:r>
        <w:rPr>
          <w:i/>
          <w:color w:val="231F20"/>
          <w:sz w:val="17"/>
        </w:rPr>
        <w:t xml:space="preserve">Journal of Sport </w:t>
      </w:r>
      <w:r>
        <w:rPr>
          <w:i/>
          <w:color w:val="231F20"/>
          <w:w w:val="110"/>
          <w:sz w:val="17"/>
        </w:rPr>
        <w:t xml:space="preserve">&amp; </w:t>
      </w:r>
      <w:r>
        <w:rPr>
          <w:i/>
          <w:color w:val="231F20"/>
          <w:sz w:val="17"/>
        </w:rPr>
        <w:t xml:space="preserve">Tourism </w:t>
      </w:r>
      <w:r>
        <w:rPr>
          <w:color w:val="231F20"/>
          <w:sz w:val="17"/>
        </w:rPr>
        <w:t>13 (3), 221–242.</w:t>
      </w:r>
    </w:p>
    <w:p w14:paraId="3E8D346B" w14:textId="77777777" w:rsidR="00AE0598" w:rsidRDefault="0069255A">
      <w:pPr>
        <w:spacing w:before="1"/>
        <w:ind w:left="430" w:right="127" w:hanging="320"/>
        <w:jc w:val="both"/>
        <w:rPr>
          <w:sz w:val="17"/>
        </w:rPr>
      </w:pPr>
      <w:r>
        <w:rPr>
          <w:color w:val="231F20"/>
          <w:w w:val="95"/>
          <w:sz w:val="17"/>
        </w:rPr>
        <w:t>Davis,</w:t>
      </w:r>
      <w:r>
        <w:rPr>
          <w:color w:val="231F20"/>
          <w:sz w:val="17"/>
        </w:rPr>
        <w:t xml:space="preserve"> </w:t>
      </w:r>
      <w:r>
        <w:rPr>
          <w:color w:val="231F20"/>
          <w:w w:val="95"/>
          <w:sz w:val="17"/>
        </w:rPr>
        <w:t>J.</w:t>
      </w:r>
      <w:r>
        <w:rPr>
          <w:color w:val="231F20"/>
          <w:sz w:val="17"/>
        </w:rPr>
        <w:t xml:space="preserve"> </w:t>
      </w:r>
      <w:r>
        <w:rPr>
          <w:color w:val="231F20"/>
          <w:w w:val="95"/>
          <w:sz w:val="17"/>
        </w:rPr>
        <w:t>and</w:t>
      </w:r>
      <w:r>
        <w:rPr>
          <w:color w:val="231F20"/>
          <w:sz w:val="17"/>
        </w:rPr>
        <w:t xml:space="preserve"> </w:t>
      </w:r>
      <w:r>
        <w:rPr>
          <w:color w:val="231F20"/>
          <w:w w:val="95"/>
          <w:sz w:val="17"/>
        </w:rPr>
        <w:t>Thornley,</w:t>
      </w:r>
      <w:r>
        <w:rPr>
          <w:color w:val="231F20"/>
          <w:sz w:val="17"/>
        </w:rPr>
        <w:t xml:space="preserve"> </w:t>
      </w:r>
      <w:r>
        <w:rPr>
          <w:color w:val="231F20"/>
          <w:w w:val="95"/>
          <w:sz w:val="17"/>
        </w:rPr>
        <w:t>A.</w:t>
      </w:r>
      <w:r>
        <w:rPr>
          <w:color w:val="231F20"/>
          <w:sz w:val="17"/>
        </w:rPr>
        <w:t xml:space="preserve"> </w:t>
      </w:r>
      <w:r>
        <w:rPr>
          <w:color w:val="231F20"/>
          <w:w w:val="95"/>
          <w:sz w:val="17"/>
        </w:rPr>
        <w:t>(2010)</w:t>
      </w:r>
      <w:r>
        <w:rPr>
          <w:color w:val="231F20"/>
          <w:sz w:val="17"/>
        </w:rPr>
        <w:t xml:space="preserve"> </w:t>
      </w:r>
      <w:r>
        <w:rPr>
          <w:color w:val="231F20"/>
          <w:w w:val="95"/>
          <w:sz w:val="17"/>
        </w:rPr>
        <w:t>Urban</w:t>
      </w:r>
      <w:r>
        <w:rPr>
          <w:color w:val="231F20"/>
          <w:sz w:val="17"/>
        </w:rPr>
        <w:t xml:space="preserve"> </w:t>
      </w:r>
      <w:r>
        <w:rPr>
          <w:color w:val="231F20"/>
          <w:w w:val="95"/>
          <w:sz w:val="17"/>
        </w:rPr>
        <w:t>regeneration</w:t>
      </w:r>
      <w:r>
        <w:rPr>
          <w:color w:val="231F20"/>
          <w:sz w:val="17"/>
        </w:rPr>
        <w:t xml:space="preserve"> </w:t>
      </w:r>
      <w:r>
        <w:rPr>
          <w:color w:val="231F20"/>
          <w:w w:val="95"/>
          <w:sz w:val="17"/>
        </w:rPr>
        <w:t>for</w:t>
      </w:r>
      <w:r>
        <w:rPr>
          <w:color w:val="231F20"/>
          <w:sz w:val="17"/>
        </w:rPr>
        <w:t xml:space="preserve"> </w:t>
      </w:r>
      <w:r>
        <w:rPr>
          <w:color w:val="231F20"/>
          <w:w w:val="95"/>
          <w:sz w:val="17"/>
        </w:rPr>
        <w:t>the</w:t>
      </w:r>
      <w:r>
        <w:rPr>
          <w:color w:val="231F20"/>
          <w:sz w:val="17"/>
        </w:rPr>
        <w:t xml:space="preserve"> </w:t>
      </w:r>
      <w:r>
        <w:rPr>
          <w:color w:val="231F20"/>
          <w:w w:val="95"/>
          <w:sz w:val="17"/>
        </w:rPr>
        <w:t>London</w:t>
      </w:r>
      <w:r>
        <w:rPr>
          <w:color w:val="231F20"/>
          <w:sz w:val="17"/>
        </w:rPr>
        <w:t xml:space="preserve"> </w:t>
      </w:r>
      <w:r>
        <w:rPr>
          <w:color w:val="231F20"/>
          <w:w w:val="95"/>
          <w:sz w:val="17"/>
        </w:rPr>
        <w:t>2012</w:t>
      </w:r>
      <w:r>
        <w:rPr>
          <w:color w:val="231F20"/>
          <w:sz w:val="17"/>
        </w:rPr>
        <w:t xml:space="preserve"> </w:t>
      </w:r>
      <w:r>
        <w:rPr>
          <w:color w:val="231F20"/>
          <w:w w:val="95"/>
          <w:sz w:val="17"/>
        </w:rPr>
        <w:t>Olympics:</w:t>
      </w:r>
      <w:r>
        <w:rPr>
          <w:color w:val="231F20"/>
          <w:sz w:val="17"/>
        </w:rPr>
        <w:t xml:space="preserve"> </w:t>
      </w:r>
      <w:r>
        <w:rPr>
          <w:color w:val="231F20"/>
          <w:w w:val="95"/>
          <w:sz w:val="17"/>
        </w:rPr>
        <w:t>Issues</w:t>
      </w:r>
      <w:r>
        <w:rPr>
          <w:color w:val="231F20"/>
          <w:spacing w:val="80"/>
          <w:sz w:val="17"/>
        </w:rPr>
        <w:t xml:space="preserve"> </w:t>
      </w:r>
      <w:r>
        <w:rPr>
          <w:color w:val="231F20"/>
          <w:sz w:val="17"/>
        </w:rPr>
        <w:t xml:space="preserve">of land acquisition and legacy. </w:t>
      </w:r>
      <w:r>
        <w:rPr>
          <w:i/>
          <w:color w:val="231F20"/>
          <w:sz w:val="17"/>
        </w:rPr>
        <w:t xml:space="preserve">City, Culture and Society </w:t>
      </w:r>
      <w:r>
        <w:rPr>
          <w:color w:val="231F20"/>
          <w:sz w:val="17"/>
        </w:rPr>
        <w:t>1 (2), 89–98.</w:t>
      </w:r>
    </w:p>
    <w:p w14:paraId="4A20C43D" w14:textId="77777777" w:rsidR="00AE0598" w:rsidRDefault="0069255A">
      <w:pPr>
        <w:spacing w:before="2"/>
        <w:ind w:left="430" w:right="127" w:hanging="320"/>
        <w:jc w:val="both"/>
        <w:rPr>
          <w:sz w:val="17"/>
        </w:rPr>
      </w:pPr>
      <w:r>
        <w:rPr>
          <w:color w:val="231F20"/>
          <w:sz w:val="17"/>
        </w:rPr>
        <w:t xml:space="preserve">Dawson, </w:t>
      </w:r>
      <w:r>
        <w:rPr>
          <w:color w:val="231F20"/>
          <w:w w:val="105"/>
          <w:sz w:val="17"/>
        </w:rPr>
        <w:t xml:space="preserve">J., </w:t>
      </w:r>
      <w:r>
        <w:rPr>
          <w:color w:val="231F20"/>
          <w:sz w:val="17"/>
        </w:rPr>
        <w:t xml:space="preserve">Havitz, </w:t>
      </w:r>
      <w:r>
        <w:rPr>
          <w:color w:val="231F20"/>
          <w:w w:val="105"/>
          <w:sz w:val="17"/>
        </w:rPr>
        <w:t xml:space="preserve">M. </w:t>
      </w:r>
      <w:r>
        <w:rPr>
          <w:color w:val="231F20"/>
          <w:sz w:val="17"/>
        </w:rPr>
        <w:t xml:space="preserve">and Scott, </w:t>
      </w:r>
      <w:r>
        <w:rPr>
          <w:color w:val="231F20"/>
          <w:w w:val="105"/>
          <w:sz w:val="17"/>
        </w:rPr>
        <w:t xml:space="preserve">D. </w:t>
      </w:r>
      <w:r>
        <w:rPr>
          <w:color w:val="231F20"/>
          <w:sz w:val="17"/>
        </w:rPr>
        <w:t>(2011) Behavioral adaptation of alpine skiers to</w:t>
      </w:r>
      <w:r>
        <w:rPr>
          <w:color w:val="231F20"/>
          <w:spacing w:val="40"/>
          <w:sz w:val="17"/>
        </w:rPr>
        <w:t xml:space="preserve"> </w:t>
      </w:r>
      <w:r>
        <w:rPr>
          <w:color w:val="231F20"/>
          <w:sz w:val="17"/>
        </w:rPr>
        <w:t xml:space="preserve">climate change: Examining activity involvement and place loyalty. </w:t>
      </w:r>
      <w:r>
        <w:rPr>
          <w:i/>
          <w:color w:val="231F20"/>
          <w:sz w:val="17"/>
        </w:rPr>
        <w:t>Journal of Trav</w:t>
      </w:r>
      <w:r>
        <w:rPr>
          <w:i/>
          <w:color w:val="231F20"/>
          <w:sz w:val="17"/>
        </w:rPr>
        <w:t>el</w:t>
      </w:r>
      <w:r>
        <w:rPr>
          <w:i/>
          <w:color w:val="231F20"/>
          <w:spacing w:val="40"/>
          <w:sz w:val="17"/>
        </w:rPr>
        <w:t xml:space="preserve"> </w:t>
      </w:r>
      <w:r>
        <w:rPr>
          <w:i/>
          <w:color w:val="231F20"/>
          <w:sz w:val="17"/>
        </w:rPr>
        <w:t xml:space="preserve">and Tourism Marketing </w:t>
      </w:r>
      <w:r>
        <w:rPr>
          <w:color w:val="231F20"/>
          <w:sz w:val="17"/>
        </w:rPr>
        <w:t>28 (4), 388–404.</w:t>
      </w:r>
    </w:p>
    <w:p w14:paraId="66152A0E" w14:textId="77777777" w:rsidR="00AE0598" w:rsidRDefault="0069255A">
      <w:pPr>
        <w:spacing w:before="2"/>
        <w:ind w:left="430" w:right="127" w:hanging="320"/>
        <w:jc w:val="both"/>
        <w:rPr>
          <w:sz w:val="17"/>
        </w:rPr>
      </w:pPr>
      <w:r>
        <w:rPr>
          <w:color w:val="231F20"/>
          <w:sz w:val="17"/>
        </w:rPr>
        <w:t xml:space="preserve">Dawson, </w:t>
      </w:r>
      <w:r>
        <w:rPr>
          <w:color w:val="231F20"/>
          <w:w w:val="105"/>
          <w:sz w:val="17"/>
        </w:rPr>
        <w:t xml:space="preserve">J., </w:t>
      </w:r>
      <w:r>
        <w:rPr>
          <w:color w:val="231F20"/>
          <w:sz w:val="17"/>
        </w:rPr>
        <w:t xml:space="preserve">Scott, D. and McBoyle, </w:t>
      </w:r>
      <w:r>
        <w:rPr>
          <w:color w:val="231F20"/>
          <w:w w:val="105"/>
          <w:sz w:val="17"/>
        </w:rPr>
        <w:t xml:space="preserve">G. </w:t>
      </w:r>
      <w:r>
        <w:rPr>
          <w:color w:val="231F20"/>
          <w:sz w:val="17"/>
        </w:rPr>
        <w:t>(2009) Climate change analogue analysis of ski</w:t>
      </w:r>
      <w:r>
        <w:rPr>
          <w:color w:val="231F20"/>
          <w:spacing w:val="40"/>
          <w:sz w:val="17"/>
        </w:rPr>
        <w:t xml:space="preserve"> </w:t>
      </w:r>
      <w:r>
        <w:rPr>
          <w:color w:val="231F20"/>
          <w:sz w:val="17"/>
        </w:rPr>
        <w:t xml:space="preserve">tourism in the northeastern USA. </w:t>
      </w:r>
      <w:r>
        <w:rPr>
          <w:i/>
          <w:color w:val="231F20"/>
          <w:sz w:val="17"/>
        </w:rPr>
        <w:t xml:space="preserve">Climate Research </w:t>
      </w:r>
      <w:r>
        <w:rPr>
          <w:color w:val="231F20"/>
          <w:sz w:val="17"/>
        </w:rPr>
        <w:t>39 (1), 1–9.</w:t>
      </w:r>
    </w:p>
    <w:p w14:paraId="54FB4961" w14:textId="77777777" w:rsidR="00AE0598" w:rsidRDefault="0069255A">
      <w:pPr>
        <w:spacing w:before="1"/>
        <w:ind w:left="430" w:right="127" w:hanging="320"/>
        <w:jc w:val="both"/>
        <w:rPr>
          <w:sz w:val="17"/>
        </w:rPr>
      </w:pPr>
      <w:r>
        <w:rPr>
          <w:color w:val="231F20"/>
          <w:sz w:val="17"/>
        </w:rPr>
        <w:t xml:space="preserve">De Knop, P. (1998) Sport tourism: A state of the art. </w:t>
      </w:r>
      <w:r>
        <w:rPr>
          <w:i/>
          <w:color w:val="231F20"/>
          <w:sz w:val="17"/>
        </w:rPr>
        <w:t>European Journal for Sport</w:t>
      </w:r>
      <w:r>
        <w:rPr>
          <w:i/>
          <w:color w:val="231F20"/>
          <w:spacing w:val="40"/>
          <w:sz w:val="17"/>
        </w:rPr>
        <w:t xml:space="preserve"> </w:t>
      </w:r>
      <w:r>
        <w:rPr>
          <w:i/>
          <w:color w:val="231F20"/>
          <w:sz w:val="17"/>
        </w:rPr>
        <w:t xml:space="preserve">Management </w:t>
      </w:r>
      <w:r>
        <w:rPr>
          <w:color w:val="231F20"/>
          <w:sz w:val="17"/>
        </w:rPr>
        <w:t>5 (2), 5–20.</w:t>
      </w:r>
    </w:p>
    <w:p w14:paraId="473AF677" w14:textId="77777777" w:rsidR="00AE0598" w:rsidRDefault="0069255A">
      <w:pPr>
        <w:spacing w:before="2"/>
        <w:ind w:left="430" w:right="128" w:hanging="320"/>
        <w:jc w:val="both"/>
        <w:rPr>
          <w:sz w:val="17"/>
        </w:rPr>
      </w:pPr>
      <w:r>
        <w:rPr>
          <w:color w:val="231F20"/>
          <w:w w:val="95"/>
          <w:sz w:val="17"/>
        </w:rPr>
        <w:t>De Melo, V. and Mangan, J.A. (1997) A web of the wealthy: Modern sport in the nineteenth-</w:t>
      </w:r>
      <w:r>
        <w:rPr>
          <w:color w:val="231F20"/>
          <w:spacing w:val="40"/>
          <w:sz w:val="17"/>
        </w:rPr>
        <w:t xml:space="preserve"> </w:t>
      </w:r>
      <w:r>
        <w:rPr>
          <w:color w:val="231F20"/>
          <w:sz w:val="17"/>
        </w:rPr>
        <w:t xml:space="preserve">century culture of Rio de Janeiro. </w:t>
      </w:r>
      <w:r>
        <w:rPr>
          <w:i/>
          <w:color w:val="231F20"/>
          <w:sz w:val="17"/>
        </w:rPr>
        <w:t xml:space="preserve">International Journal of the History of Sport </w:t>
      </w:r>
      <w:r>
        <w:rPr>
          <w:color w:val="231F20"/>
          <w:sz w:val="17"/>
        </w:rPr>
        <w:t>14 (1),</w:t>
      </w:r>
      <w:r>
        <w:rPr>
          <w:color w:val="231F20"/>
          <w:spacing w:val="40"/>
          <w:sz w:val="17"/>
        </w:rPr>
        <w:t xml:space="preserve"> </w:t>
      </w:r>
      <w:r>
        <w:rPr>
          <w:color w:val="231F20"/>
          <w:spacing w:val="-2"/>
          <w:sz w:val="17"/>
        </w:rPr>
        <w:t>168–173.</w:t>
      </w:r>
    </w:p>
    <w:p w14:paraId="3C0E001C" w14:textId="77777777" w:rsidR="00AE0598" w:rsidRDefault="0069255A">
      <w:pPr>
        <w:spacing w:before="2"/>
        <w:ind w:left="430" w:right="128" w:hanging="320"/>
        <w:jc w:val="both"/>
        <w:rPr>
          <w:sz w:val="17"/>
        </w:rPr>
      </w:pPr>
      <w:r>
        <w:rPr>
          <w:color w:val="231F20"/>
          <w:w w:val="95"/>
          <w:sz w:val="17"/>
        </w:rPr>
        <w:t xml:space="preserve">de Villers, D.J. (2001) Sport and tourism to stimulate development. </w:t>
      </w:r>
      <w:r>
        <w:rPr>
          <w:i/>
          <w:color w:val="231F20"/>
          <w:w w:val="95"/>
          <w:sz w:val="17"/>
        </w:rPr>
        <w:t xml:space="preserve">Olympic Review </w:t>
      </w:r>
      <w:r>
        <w:rPr>
          <w:color w:val="231F20"/>
          <w:w w:val="95"/>
          <w:sz w:val="17"/>
        </w:rPr>
        <w:t>27 (38),</w:t>
      </w:r>
      <w:r>
        <w:rPr>
          <w:color w:val="231F20"/>
          <w:spacing w:val="40"/>
          <w:sz w:val="17"/>
        </w:rPr>
        <w:t xml:space="preserve"> </w:t>
      </w:r>
      <w:r>
        <w:rPr>
          <w:color w:val="231F20"/>
          <w:spacing w:val="-2"/>
          <w:sz w:val="17"/>
        </w:rPr>
        <w:t>11–13.</w:t>
      </w:r>
    </w:p>
    <w:p w14:paraId="0026F397" w14:textId="77777777" w:rsidR="00AE0598" w:rsidRDefault="0069255A">
      <w:pPr>
        <w:spacing w:before="1"/>
        <w:ind w:left="110"/>
        <w:jc w:val="both"/>
        <w:rPr>
          <w:sz w:val="17"/>
        </w:rPr>
      </w:pPr>
      <w:r>
        <w:rPr>
          <w:color w:val="231F20"/>
          <w:sz w:val="17"/>
        </w:rPr>
        <w:t>Dear,</w:t>
      </w:r>
      <w:r>
        <w:rPr>
          <w:color w:val="231F20"/>
          <w:spacing w:val="7"/>
          <w:sz w:val="17"/>
        </w:rPr>
        <w:t xml:space="preserve"> </w:t>
      </w:r>
      <w:r>
        <w:rPr>
          <w:color w:val="231F20"/>
          <w:sz w:val="17"/>
        </w:rPr>
        <w:t>M.</w:t>
      </w:r>
      <w:r>
        <w:rPr>
          <w:color w:val="231F20"/>
          <w:spacing w:val="7"/>
          <w:sz w:val="17"/>
        </w:rPr>
        <w:t xml:space="preserve"> </w:t>
      </w:r>
      <w:r>
        <w:rPr>
          <w:color w:val="231F20"/>
          <w:sz w:val="17"/>
        </w:rPr>
        <w:t>and</w:t>
      </w:r>
      <w:r>
        <w:rPr>
          <w:color w:val="231F20"/>
          <w:spacing w:val="8"/>
          <w:sz w:val="17"/>
        </w:rPr>
        <w:t xml:space="preserve"> </w:t>
      </w:r>
      <w:r>
        <w:rPr>
          <w:color w:val="231F20"/>
          <w:sz w:val="17"/>
        </w:rPr>
        <w:t>Flusty,</w:t>
      </w:r>
      <w:r>
        <w:rPr>
          <w:color w:val="231F20"/>
          <w:spacing w:val="7"/>
          <w:sz w:val="17"/>
        </w:rPr>
        <w:t xml:space="preserve"> </w:t>
      </w:r>
      <w:r>
        <w:rPr>
          <w:color w:val="231F20"/>
          <w:sz w:val="17"/>
        </w:rPr>
        <w:t>S.</w:t>
      </w:r>
      <w:r>
        <w:rPr>
          <w:color w:val="231F20"/>
          <w:spacing w:val="7"/>
          <w:sz w:val="17"/>
        </w:rPr>
        <w:t xml:space="preserve"> </w:t>
      </w:r>
      <w:r>
        <w:rPr>
          <w:color w:val="231F20"/>
          <w:sz w:val="17"/>
        </w:rPr>
        <w:t>(1999)</w:t>
      </w:r>
      <w:r>
        <w:rPr>
          <w:color w:val="231F20"/>
          <w:spacing w:val="8"/>
          <w:sz w:val="17"/>
        </w:rPr>
        <w:t xml:space="preserve"> </w:t>
      </w:r>
      <w:r>
        <w:rPr>
          <w:color w:val="231F20"/>
          <w:sz w:val="17"/>
        </w:rPr>
        <w:t>The</w:t>
      </w:r>
      <w:r>
        <w:rPr>
          <w:color w:val="231F20"/>
          <w:spacing w:val="7"/>
          <w:sz w:val="17"/>
        </w:rPr>
        <w:t xml:space="preserve"> </w:t>
      </w:r>
      <w:r>
        <w:rPr>
          <w:color w:val="231F20"/>
          <w:sz w:val="17"/>
        </w:rPr>
        <w:t>postmodern</w:t>
      </w:r>
      <w:r>
        <w:rPr>
          <w:color w:val="231F20"/>
          <w:spacing w:val="7"/>
          <w:sz w:val="17"/>
        </w:rPr>
        <w:t xml:space="preserve"> </w:t>
      </w:r>
      <w:r>
        <w:rPr>
          <w:color w:val="231F20"/>
          <w:sz w:val="17"/>
        </w:rPr>
        <w:t>urban</w:t>
      </w:r>
      <w:r>
        <w:rPr>
          <w:color w:val="231F20"/>
          <w:spacing w:val="8"/>
          <w:sz w:val="17"/>
        </w:rPr>
        <w:t xml:space="preserve"> </w:t>
      </w:r>
      <w:r>
        <w:rPr>
          <w:color w:val="231F20"/>
          <w:sz w:val="17"/>
        </w:rPr>
        <w:t>condition.</w:t>
      </w:r>
      <w:r>
        <w:rPr>
          <w:color w:val="231F20"/>
          <w:spacing w:val="7"/>
          <w:sz w:val="17"/>
        </w:rPr>
        <w:t xml:space="preserve"> </w:t>
      </w:r>
      <w:r>
        <w:rPr>
          <w:color w:val="231F20"/>
          <w:sz w:val="17"/>
        </w:rPr>
        <w:t>In</w:t>
      </w:r>
      <w:r>
        <w:rPr>
          <w:color w:val="231F20"/>
          <w:spacing w:val="7"/>
          <w:sz w:val="17"/>
        </w:rPr>
        <w:t xml:space="preserve"> </w:t>
      </w:r>
      <w:r>
        <w:rPr>
          <w:color w:val="231F20"/>
          <w:sz w:val="17"/>
        </w:rPr>
        <w:t>M.</w:t>
      </w:r>
      <w:r>
        <w:rPr>
          <w:color w:val="231F20"/>
          <w:spacing w:val="8"/>
          <w:sz w:val="17"/>
        </w:rPr>
        <w:t xml:space="preserve"> </w:t>
      </w:r>
      <w:r>
        <w:rPr>
          <w:color w:val="231F20"/>
          <w:sz w:val="17"/>
        </w:rPr>
        <w:t>Featherstone</w:t>
      </w:r>
      <w:r>
        <w:rPr>
          <w:color w:val="231F20"/>
          <w:spacing w:val="7"/>
          <w:sz w:val="17"/>
        </w:rPr>
        <w:t xml:space="preserve"> </w:t>
      </w:r>
      <w:r>
        <w:rPr>
          <w:color w:val="231F20"/>
          <w:spacing w:val="-5"/>
          <w:sz w:val="17"/>
        </w:rPr>
        <w:t>and</w:t>
      </w:r>
    </w:p>
    <w:p w14:paraId="715B8AEB" w14:textId="77777777" w:rsidR="00AE0598" w:rsidRDefault="0069255A">
      <w:pPr>
        <w:spacing w:before="1"/>
        <w:ind w:left="430"/>
        <w:jc w:val="both"/>
        <w:rPr>
          <w:sz w:val="17"/>
        </w:rPr>
      </w:pPr>
      <w:r>
        <w:rPr>
          <w:color w:val="231F20"/>
          <w:sz w:val="17"/>
        </w:rPr>
        <w:t>S.</w:t>
      </w:r>
      <w:r>
        <w:rPr>
          <w:color w:val="231F20"/>
          <w:spacing w:val="6"/>
          <w:sz w:val="17"/>
        </w:rPr>
        <w:t xml:space="preserve"> </w:t>
      </w:r>
      <w:r>
        <w:rPr>
          <w:color w:val="231F20"/>
          <w:sz w:val="17"/>
        </w:rPr>
        <w:t>Lash</w:t>
      </w:r>
      <w:r>
        <w:rPr>
          <w:color w:val="231F20"/>
          <w:spacing w:val="6"/>
          <w:sz w:val="17"/>
        </w:rPr>
        <w:t xml:space="preserve"> </w:t>
      </w:r>
      <w:r>
        <w:rPr>
          <w:color w:val="231F20"/>
          <w:sz w:val="17"/>
        </w:rPr>
        <w:t>(eds)</w:t>
      </w:r>
      <w:r>
        <w:rPr>
          <w:color w:val="231F20"/>
          <w:spacing w:val="6"/>
          <w:sz w:val="17"/>
        </w:rPr>
        <w:t xml:space="preserve"> </w:t>
      </w:r>
      <w:r>
        <w:rPr>
          <w:i/>
          <w:color w:val="231F20"/>
          <w:sz w:val="17"/>
        </w:rPr>
        <w:t>Spaces</w:t>
      </w:r>
      <w:r>
        <w:rPr>
          <w:i/>
          <w:color w:val="231F20"/>
          <w:spacing w:val="6"/>
          <w:sz w:val="17"/>
        </w:rPr>
        <w:t xml:space="preserve"> </w:t>
      </w:r>
      <w:r>
        <w:rPr>
          <w:i/>
          <w:color w:val="231F20"/>
          <w:sz w:val="17"/>
        </w:rPr>
        <w:t>of</w:t>
      </w:r>
      <w:r>
        <w:rPr>
          <w:i/>
          <w:color w:val="231F20"/>
          <w:spacing w:val="6"/>
          <w:sz w:val="17"/>
        </w:rPr>
        <w:t xml:space="preserve"> </w:t>
      </w:r>
      <w:r>
        <w:rPr>
          <w:i/>
          <w:color w:val="231F20"/>
          <w:sz w:val="17"/>
        </w:rPr>
        <w:t>Culture:</w:t>
      </w:r>
      <w:r>
        <w:rPr>
          <w:i/>
          <w:color w:val="231F20"/>
          <w:spacing w:val="6"/>
          <w:sz w:val="17"/>
        </w:rPr>
        <w:t xml:space="preserve"> </w:t>
      </w:r>
      <w:r>
        <w:rPr>
          <w:i/>
          <w:color w:val="231F20"/>
          <w:sz w:val="17"/>
        </w:rPr>
        <w:t>City-Nation-World</w:t>
      </w:r>
      <w:r>
        <w:rPr>
          <w:i/>
          <w:color w:val="231F20"/>
          <w:spacing w:val="6"/>
          <w:sz w:val="17"/>
        </w:rPr>
        <w:t xml:space="preserve"> </w:t>
      </w:r>
      <w:r>
        <w:rPr>
          <w:color w:val="231F20"/>
          <w:sz w:val="17"/>
        </w:rPr>
        <w:t>(pp.</w:t>
      </w:r>
      <w:r>
        <w:rPr>
          <w:color w:val="231F20"/>
          <w:spacing w:val="6"/>
          <w:sz w:val="17"/>
        </w:rPr>
        <w:t xml:space="preserve"> </w:t>
      </w:r>
      <w:r>
        <w:rPr>
          <w:color w:val="231F20"/>
          <w:sz w:val="17"/>
        </w:rPr>
        <w:t>64–85).</w:t>
      </w:r>
      <w:r>
        <w:rPr>
          <w:color w:val="231F20"/>
          <w:spacing w:val="6"/>
          <w:sz w:val="17"/>
        </w:rPr>
        <w:t xml:space="preserve"> </w:t>
      </w:r>
      <w:r>
        <w:rPr>
          <w:color w:val="231F20"/>
          <w:sz w:val="17"/>
        </w:rPr>
        <w:t>London:</w:t>
      </w:r>
      <w:r>
        <w:rPr>
          <w:color w:val="231F20"/>
          <w:spacing w:val="6"/>
          <w:sz w:val="17"/>
        </w:rPr>
        <w:t xml:space="preserve"> </w:t>
      </w:r>
      <w:r>
        <w:rPr>
          <w:color w:val="231F20"/>
          <w:spacing w:val="-2"/>
          <w:sz w:val="17"/>
        </w:rPr>
        <w:t>Sage.</w:t>
      </w:r>
    </w:p>
    <w:p w14:paraId="5FED59DF" w14:textId="77777777" w:rsidR="00AE0598" w:rsidRDefault="0069255A">
      <w:pPr>
        <w:spacing w:before="1"/>
        <w:ind w:left="430" w:hanging="320"/>
        <w:rPr>
          <w:sz w:val="17"/>
        </w:rPr>
      </w:pPr>
      <w:r>
        <w:rPr>
          <w:color w:val="231F20"/>
          <w:w w:val="95"/>
          <w:sz w:val="17"/>
        </w:rPr>
        <w:t xml:space="preserve">Delia, E.B. (2015) The exclusiveness of group identity in celebrations of team success. </w:t>
      </w:r>
      <w:r>
        <w:rPr>
          <w:i/>
          <w:color w:val="231F20"/>
          <w:w w:val="95"/>
          <w:sz w:val="17"/>
        </w:rPr>
        <w:t>Sport</w:t>
      </w:r>
      <w:r>
        <w:rPr>
          <w:i/>
          <w:color w:val="231F20"/>
          <w:spacing w:val="40"/>
          <w:sz w:val="17"/>
        </w:rPr>
        <w:t xml:space="preserve"> </w:t>
      </w:r>
      <w:r>
        <w:rPr>
          <w:i/>
          <w:color w:val="231F20"/>
          <w:sz w:val="17"/>
        </w:rPr>
        <w:t xml:space="preserve">Management Review </w:t>
      </w:r>
      <w:r>
        <w:rPr>
          <w:color w:val="231F20"/>
          <w:sz w:val="17"/>
        </w:rPr>
        <w:t>18 (3), 396–406.</w:t>
      </w:r>
    </w:p>
    <w:p w14:paraId="2F9DBC05" w14:textId="77777777" w:rsidR="00AE0598" w:rsidRDefault="0069255A">
      <w:pPr>
        <w:spacing w:before="1"/>
        <w:ind w:left="430" w:hanging="320"/>
        <w:rPr>
          <w:sz w:val="17"/>
        </w:rPr>
      </w:pPr>
      <w:r>
        <w:rPr>
          <w:color w:val="231F20"/>
          <w:sz w:val="17"/>
        </w:rPr>
        <w:t>Deloitte</w:t>
      </w:r>
      <w:r>
        <w:rPr>
          <w:color w:val="231F20"/>
          <w:spacing w:val="-2"/>
          <w:sz w:val="17"/>
        </w:rPr>
        <w:t xml:space="preserve"> </w:t>
      </w:r>
      <w:r>
        <w:rPr>
          <w:color w:val="231F20"/>
          <w:sz w:val="17"/>
        </w:rPr>
        <w:t>(2014)</w:t>
      </w:r>
      <w:r>
        <w:rPr>
          <w:color w:val="231F20"/>
          <w:spacing w:val="-2"/>
          <w:sz w:val="17"/>
        </w:rPr>
        <w:t xml:space="preserve"> </w:t>
      </w:r>
      <w:r>
        <w:rPr>
          <w:i/>
          <w:color w:val="231F20"/>
          <w:sz w:val="17"/>
        </w:rPr>
        <w:t>All</w:t>
      </w:r>
      <w:r>
        <w:rPr>
          <w:i/>
          <w:color w:val="231F20"/>
          <w:spacing w:val="-2"/>
          <w:sz w:val="17"/>
        </w:rPr>
        <w:t xml:space="preserve"> </w:t>
      </w:r>
      <w:r>
        <w:rPr>
          <w:i/>
          <w:color w:val="231F20"/>
          <w:sz w:val="17"/>
        </w:rPr>
        <w:t>to</w:t>
      </w:r>
      <w:r>
        <w:rPr>
          <w:i/>
          <w:color w:val="231F20"/>
          <w:spacing w:val="-2"/>
          <w:sz w:val="17"/>
        </w:rPr>
        <w:t xml:space="preserve"> </w:t>
      </w:r>
      <w:r>
        <w:rPr>
          <w:i/>
          <w:color w:val="231F20"/>
          <w:sz w:val="17"/>
        </w:rPr>
        <w:t>Play</w:t>
      </w:r>
      <w:r>
        <w:rPr>
          <w:i/>
          <w:color w:val="231F20"/>
          <w:spacing w:val="-2"/>
          <w:sz w:val="17"/>
        </w:rPr>
        <w:t xml:space="preserve"> </w:t>
      </w:r>
      <w:r>
        <w:rPr>
          <w:i/>
          <w:color w:val="231F20"/>
          <w:sz w:val="17"/>
        </w:rPr>
        <w:t>For:</w:t>
      </w:r>
      <w:r>
        <w:rPr>
          <w:i/>
          <w:color w:val="231F20"/>
          <w:spacing w:val="-2"/>
          <w:sz w:val="17"/>
        </w:rPr>
        <w:t xml:space="preserve"> </w:t>
      </w:r>
      <w:r>
        <w:rPr>
          <w:i/>
          <w:color w:val="231F20"/>
          <w:sz w:val="17"/>
        </w:rPr>
        <w:t>Global</w:t>
      </w:r>
      <w:r>
        <w:rPr>
          <w:i/>
          <w:color w:val="231F20"/>
          <w:spacing w:val="-2"/>
          <w:sz w:val="17"/>
        </w:rPr>
        <w:t xml:space="preserve"> </w:t>
      </w:r>
      <w:r>
        <w:rPr>
          <w:i/>
          <w:color w:val="231F20"/>
          <w:sz w:val="17"/>
        </w:rPr>
        <w:t>Money</w:t>
      </w:r>
      <w:r>
        <w:rPr>
          <w:i/>
          <w:color w:val="231F20"/>
          <w:spacing w:val="-2"/>
          <w:sz w:val="17"/>
        </w:rPr>
        <w:t xml:space="preserve"> </w:t>
      </w:r>
      <w:r>
        <w:rPr>
          <w:i/>
          <w:color w:val="231F20"/>
          <w:sz w:val="17"/>
        </w:rPr>
        <w:t>League</w:t>
      </w:r>
      <w:r>
        <w:rPr>
          <w:color w:val="231F20"/>
          <w:sz w:val="17"/>
        </w:rPr>
        <w:t>.</w:t>
      </w:r>
      <w:r>
        <w:rPr>
          <w:color w:val="231F20"/>
          <w:spacing w:val="-2"/>
          <w:sz w:val="17"/>
        </w:rPr>
        <w:t xml:space="preserve"> </w:t>
      </w:r>
      <w:r>
        <w:rPr>
          <w:color w:val="231F20"/>
          <w:sz w:val="17"/>
        </w:rPr>
        <w:t>Manchester:</w:t>
      </w:r>
      <w:r>
        <w:rPr>
          <w:color w:val="231F20"/>
          <w:spacing w:val="-2"/>
          <w:sz w:val="17"/>
        </w:rPr>
        <w:t xml:space="preserve"> </w:t>
      </w:r>
      <w:r>
        <w:rPr>
          <w:color w:val="231F20"/>
          <w:sz w:val="17"/>
        </w:rPr>
        <w:t>Deloitte</w:t>
      </w:r>
      <w:r>
        <w:rPr>
          <w:color w:val="231F20"/>
          <w:spacing w:val="-2"/>
          <w:sz w:val="17"/>
        </w:rPr>
        <w:t xml:space="preserve"> </w:t>
      </w:r>
      <w:r>
        <w:rPr>
          <w:color w:val="231F20"/>
          <w:sz w:val="17"/>
        </w:rPr>
        <w:t>Sport</w:t>
      </w:r>
      <w:r>
        <w:rPr>
          <w:color w:val="231F20"/>
          <w:spacing w:val="-2"/>
          <w:sz w:val="17"/>
        </w:rPr>
        <w:t xml:space="preserve"> </w:t>
      </w:r>
      <w:r>
        <w:rPr>
          <w:color w:val="231F20"/>
          <w:sz w:val="17"/>
        </w:rPr>
        <w:t>Business</w:t>
      </w:r>
      <w:r>
        <w:rPr>
          <w:color w:val="231F20"/>
          <w:spacing w:val="40"/>
          <w:sz w:val="17"/>
        </w:rPr>
        <w:t xml:space="preserve"> </w:t>
      </w:r>
      <w:r>
        <w:rPr>
          <w:color w:val="231F20"/>
          <w:spacing w:val="-2"/>
          <w:sz w:val="17"/>
        </w:rPr>
        <w:t>Group.</w:t>
      </w:r>
    </w:p>
    <w:p w14:paraId="5142D6E5" w14:textId="77777777" w:rsidR="00AE0598" w:rsidRDefault="0069255A">
      <w:pPr>
        <w:spacing w:before="1"/>
        <w:ind w:left="110"/>
        <w:rPr>
          <w:sz w:val="17"/>
        </w:rPr>
      </w:pPr>
      <w:r>
        <w:rPr>
          <w:color w:val="231F20"/>
          <w:w w:val="95"/>
          <w:sz w:val="17"/>
        </w:rPr>
        <w:t>Delpy,</w:t>
      </w:r>
      <w:r>
        <w:rPr>
          <w:color w:val="231F20"/>
          <w:spacing w:val="6"/>
          <w:sz w:val="17"/>
        </w:rPr>
        <w:t xml:space="preserve"> </w:t>
      </w:r>
      <w:r>
        <w:rPr>
          <w:color w:val="231F20"/>
          <w:w w:val="95"/>
          <w:sz w:val="17"/>
        </w:rPr>
        <w:t>L.</w:t>
      </w:r>
      <w:r>
        <w:rPr>
          <w:color w:val="231F20"/>
          <w:spacing w:val="7"/>
          <w:sz w:val="17"/>
        </w:rPr>
        <w:t xml:space="preserve"> </w:t>
      </w:r>
      <w:r>
        <w:rPr>
          <w:color w:val="231F20"/>
          <w:w w:val="95"/>
          <w:sz w:val="17"/>
        </w:rPr>
        <w:t>(1997)</w:t>
      </w:r>
      <w:r>
        <w:rPr>
          <w:color w:val="231F20"/>
          <w:spacing w:val="7"/>
          <w:sz w:val="17"/>
        </w:rPr>
        <w:t xml:space="preserve"> </w:t>
      </w:r>
      <w:r>
        <w:rPr>
          <w:color w:val="231F20"/>
          <w:w w:val="95"/>
          <w:sz w:val="17"/>
        </w:rPr>
        <w:t>An</w:t>
      </w:r>
      <w:r>
        <w:rPr>
          <w:color w:val="231F20"/>
          <w:spacing w:val="7"/>
          <w:sz w:val="17"/>
        </w:rPr>
        <w:t xml:space="preserve"> </w:t>
      </w:r>
      <w:r>
        <w:rPr>
          <w:color w:val="231F20"/>
          <w:w w:val="95"/>
          <w:sz w:val="17"/>
        </w:rPr>
        <w:t>overview</w:t>
      </w:r>
      <w:r>
        <w:rPr>
          <w:color w:val="231F20"/>
          <w:spacing w:val="7"/>
          <w:sz w:val="17"/>
        </w:rPr>
        <w:t xml:space="preserve"> </w:t>
      </w:r>
      <w:r>
        <w:rPr>
          <w:color w:val="231F20"/>
          <w:w w:val="95"/>
          <w:sz w:val="17"/>
        </w:rPr>
        <w:t>of</w:t>
      </w:r>
      <w:r>
        <w:rPr>
          <w:color w:val="231F20"/>
          <w:spacing w:val="7"/>
          <w:sz w:val="17"/>
        </w:rPr>
        <w:t xml:space="preserve"> </w:t>
      </w:r>
      <w:r>
        <w:rPr>
          <w:color w:val="231F20"/>
          <w:w w:val="95"/>
          <w:sz w:val="17"/>
        </w:rPr>
        <w:t>sport</w:t>
      </w:r>
      <w:r>
        <w:rPr>
          <w:color w:val="231F20"/>
          <w:spacing w:val="7"/>
          <w:sz w:val="17"/>
        </w:rPr>
        <w:t xml:space="preserve"> </w:t>
      </w:r>
      <w:r>
        <w:rPr>
          <w:color w:val="231F20"/>
          <w:w w:val="95"/>
          <w:sz w:val="17"/>
        </w:rPr>
        <w:t>tourism:</w:t>
      </w:r>
      <w:r>
        <w:rPr>
          <w:color w:val="231F20"/>
          <w:spacing w:val="7"/>
          <w:sz w:val="17"/>
        </w:rPr>
        <w:t xml:space="preserve"> </w:t>
      </w:r>
      <w:r>
        <w:rPr>
          <w:color w:val="231F20"/>
          <w:w w:val="95"/>
          <w:sz w:val="17"/>
        </w:rPr>
        <w:t>Building</w:t>
      </w:r>
      <w:r>
        <w:rPr>
          <w:color w:val="231F20"/>
          <w:spacing w:val="6"/>
          <w:sz w:val="17"/>
        </w:rPr>
        <w:t xml:space="preserve"> </w:t>
      </w:r>
      <w:r>
        <w:rPr>
          <w:color w:val="231F20"/>
          <w:w w:val="95"/>
          <w:sz w:val="17"/>
        </w:rPr>
        <w:t>towards</w:t>
      </w:r>
      <w:r>
        <w:rPr>
          <w:color w:val="231F20"/>
          <w:spacing w:val="7"/>
          <w:sz w:val="17"/>
        </w:rPr>
        <w:t xml:space="preserve"> </w:t>
      </w:r>
      <w:r>
        <w:rPr>
          <w:color w:val="231F20"/>
          <w:w w:val="95"/>
          <w:sz w:val="17"/>
        </w:rPr>
        <w:t>a</w:t>
      </w:r>
      <w:r>
        <w:rPr>
          <w:color w:val="231F20"/>
          <w:spacing w:val="7"/>
          <w:sz w:val="17"/>
        </w:rPr>
        <w:t xml:space="preserve"> </w:t>
      </w:r>
      <w:r>
        <w:rPr>
          <w:color w:val="231F20"/>
          <w:w w:val="95"/>
          <w:sz w:val="17"/>
        </w:rPr>
        <w:t>dimensional</w:t>
      </w:r>
      <w:r>
        <w:rPr>
          <w:color w:val="231F20"/>
          <w:spacing w:val="7"/>
          <w:sz w:val="17"/>
        </w:rPr>
        <w:t xml:space="preserve"> </w:t>
      </w:r>
      <w:r>
        <w:rPr>
          <w:color w:val="231F20"/>
          <w:spacing w:val="-2"/>
          <w:w w:val="95"/>
          <w:sz w:val="17"/>
        </w:rPr>
        <w:t>framework.</w:t>
      </w:r>
    </w:p>
    <w:p w14:paraId="0C3AE92F" w14:textId="77777777" w:rsidR="00AE0598" w:rsidRDefault="0069255A">
      <w:pPr>
        <w:spacing w:before="1"/>
        <w:ind w:left="430"/>
        <w:rPr>
          <w:sz w:val="17"/>
        </w:rPr>
      </w:pPr>
      <w:r>
        <w:rPr>
          <w:i/>
          <w:color w:val="231F20"/>
          <w:sz w:val="17"/>
        </w:rPr>
        <w:t>Journal</w:t>
      </w:r>
      <w:r>
        <w:rPr>
          <w:i/>
          <w:color w:val="231F20"/>
          <w:spacing w:val="6"/>
          <w:sz w:val="17"/>
        </w:rPr>
        <w:t xml:space="preserve"> </w:t>
      </w:r>
      <w:r>
        <w:rPr>
          <w:i/>
          <w:color w:val="231F20"/>
          <w:sz w:val="17"/>
        </w:rPr>
        <w:t>of</w:t>
      </w:r>
      <w:r>
        <w:rPr>
          <w:i/>
          <w:color w:val="231F20"/>
          <w:spacing w:val="7"/>
          <w:sz w:val="17"/>
        </w:rPr>
        <w:t xml:space="preserve"> </w:t>
      </w:r>
      <w:r>
        <w:rPr>
          <w:i/>
          <w:color w:val="231F20"/>
          <w:sz w:val="17"/>
        </w:rPr>
        <w:t>Vacation</w:t>
      </w:r>
      <w:r>
        <w:rPr>
          <w:i/>
          <w:color w:val="231F20"/>
          <w:spacing w:val="6"/>
          <w:sz w:val="17"/>
        </w:rPr>
        <w:t xml:space="preserve"> </w:t>
      </w:r>
      <w:r>
        <w:rPr>
          <w:i/>
          <w:color w:val="231F20"/>
          <w:sz w:val="17"/>
        </w:rPr>
        <w:t>Marketing</w:t>
      </w:r>
      <w:r>
        <w:rPr>
          <w:i/>
          <w:color w:val="231F20"/>
          <w:spacing w:val="7"/>
          <w:sz w:val="17"/>
        </w:rPr>
        <w:t xml:space="preserve"> </w:t>
      </w:r>
      <w:r>
        <w:rPr>
          <w:color w:val="231F20"/>
          <w:sz w:val="17"/>
        </w:rPr>
        <w:t>4</w:t>
      </w:r>
      <w:r>
        <w:rPr>
          <w:color w:val="231F20"/>
          <w:spacing w:val="7"/>
          <w:sz w:val="17"/>
        </w:rPr>
        <w:t xml:space="preserve"> </w:t>
      </w:r>
      <w:r>
        <w:rPr>
          <w:color w:val="231F20"/>
          <w:sz w:val="17"/>
        </w:rPr>
        <w:t>(1),</w:t>
      </w:r>
      <w:r>
        <w:rPr>
          <w:color w:val="231F20"/>
          <w:spacing w:val="6"/>
          <w:sz w:val="17"/>
        </w:rPr>
        <w:t xml:space="preserve"> </w:t>
      </w:r>
      <w:r>
        <w:rPr>
          <w:color w:val="231F20"/>
          <w:spacing w:val="-2"/>
          <w:sz w:val="17"/>
        </w:rPr>
        <w:t>23–38.</w:t>
      </w:r>
    </w:p>
    <w:p w14:paraId="4B106952" w14:textId="77777777" w:rsidR="00AE0598" w:rsidRDefault="0069255A">
      <w:pPr>
        <w:spacing w:before="1"/>
        <w:ind w:left="110"/>
        <w:rPr>
          <w:sz w:val="17"/>
        </w:rPr>
      </w:pPr>
      <w:r>
        <w:rPr>
          <w:color w:val="231F20"/>
          <w:sz w:val="17"/>
        </w:rPr>
        <w:t>Delpy,</w:t>
      </w:r>
      <w:r>
        <w:rPr>
          <w:color w:val="231F20"/>
          <w:spacing w:val="2"/>
          <w:sz w:val="17"/>
        </w:rPr>
        <w:t xml:space="preserve"> </w:t>
      </w:r>
      <w:r>
        <w:rPr>
          <w:color w:val="231F20"/>
          <w:sz w:val="17"/>
        </w:rPr>
        <w:t>L.</w:t>
      </w:r>
      <w:r>
        <w:rPr>
          <w:color w:val="231F20"/>
          <w:spacing w:val="2"/>
          <w:sz w:val="17"/>
        </w:rPr>
        <w:t xml:space="preserve"> </w:t>
      </w:r>
      <w:r>
        <w:rPr>
          <w:color w:val="231F20"/>
          <w:sz w:val="17"/>
        </w:rPr>
        <w:t>(1998)</w:t>
      </w:r>
      <w:r>
        <w:rPr>
          <w:color w:val="231F20"/>
          <w:spacing w:val="2"/>
          <w:sz w:val="17"/>
        </w:rPr>
        <w:t xml:space="preserve"> </w:t>
      </w:r>
      <w:r>
        <w:rPr>
          <w:color w:val="231F20"/>
          <w:sz w:val="17"/>
        </w:rPr>
        <w:t>Editorial.</w:t>
      </w:r>
      <w:r>
        <w:rPr>
          <w:color w:val="231F20"/>
          <w:spacing w:val="2"/>
          <w:sz w:val="17"/>
        </w:rPr>
        <w:t xml:space="preserve"> </w:t>
      </w:r>
      <w:r>
        <w:rPr>
          <w:i/>
          <w:color w:val="231F20"/>
          <w:sz w:val="17"/>
        </w:rPr>
        <w:t>Journal</w:t>
      </w:r>
      <w:r>
        <w:rPr>
          <w:i/>
          <w:color w:val="231F20"/>
          <w:spacing w:val="2"/>
          <w:sz w:val="17"/>
        </w:rPr>
        <w:t xml:space="preserve"> </w:t>
      </w:r>
      <w:r>
        <w:rPr>
          <w:i/>
          <w:color w:val="231F20"/>
          <w:sz w:val="17"/>
        </w:rPr>
        <w:t>of</w:t>
      </w:r>
      <w:r>
        <w:rPr>
          <w:i/>
          <w:color w:val="231F20"/>
          <w:spacing w:val="2"/>
          <w:sz w:val="17"/>
        </w:rPr>
        <w:t xml:space="preserve"> </w:t>
      </w:r>
      <w:r>
        <w:rPr>
          <w:i/>
          <w:color w:val="231F20"/>
          <w:sz w:val="17"/>
        </w:rPr>
        <w:t>Vacation</w:t>
      </w:r>
      <w:r>
        <w:rPr>
          <w:i/>
          <w:color w:val="231F20"/>
          <w:spacing w:val="3"/>
          <w:sz w:val="17"/>
        </w:rPr>
        <w:t xml:space="preserve"> </w:t>
      </w:r>
      <w:r>
        <w:rPr>
          <w:i/>
          <w:color w:val="231F20"/>
          <w:sz w:val="17"/>
        </w:rPr>
        <w:t>Marketing</w:t>
      </w:r>
      <w:r>
        <w:rPr>
          <w:i/>
          <w:color w:val="231F20"/>
          <w:spacing w:val="2"/>
          <w:sz w:val="17"/>
        </w:rPr>
        <w:t xml:space="preserve"> </w:t>
      </w:r>
      <w:r>
        <w:rPr>
          <w:color w:val="231F20"/>
          <w:sz w:val="17"/>
        </w:rPr>
        <w:t>4</w:t>
      </w:r>
      <w:r>
        <w:rPr>
          <w:color w:val="231F20"/>
          <w:spacing w:val="2"/>
          <w:sz w:val="17"/>
        </w:rPr>
        <w:t xml:space="preserve"> </w:t>
      </w:r>
      <w:r>
        <w:rPr>
          <w:color w:val="231F20"/>
          <w:sz w:val="17"/>
        </w:rPr>
        <w:t>(1),</w:t>
      </w:r>
      <w:r>
        <w:rPr>
          <w:color w:val="231F20"/>
          <w:spacing w:val="3"/>
          <w:sz w:val="17"/>
        </w:rPr>
        <w:t xml:space="preserve"> </w:t>
      </w:r>
      <w:r>
        <w:rPr>
          <w:color w:val="231F20"/>
          <w:spacing w:val="-4"/>
          <w:sz w:val="17"/>
        </w:rPr>
        <w:t>4–5.</w:t>
      </w:r>
    </w:p>
    <w:p w14:paraId="4FA53FF0" w14:textId="77777777" w:rsidR="00AE0598" w:rsidRDefault="0069255A">
      <w:pPr>
        <w:spacing w:before="1"/>
        <w:ind w:left="430" w:hanging="320"/>
        <w:rPr>
          <w:sz w:val="17"/>
        </w:rPr>
      </w:pPr>
      <w:r>
        <w:rPr>
          <w:color w:val="231F20"/>
          <w:w w:val="95"/>
          <w:sz w:val="17"/>
        </w:rPr>
        <w:t>Delpy, L. (2001, 22–23 February) Preparing for the rise in sports tourism. Paper presented at</w:t>
      </w:r>
      <w:r>
        <w:rPr>
          <w:color w:val="231F20"/>
          <w:spacing w:val="40"/>
          <w:sz w:val="17"/>
        </w:rPr>
        <w:t xml:space="preserve"> </w:t>
      </w:r>
      <w:r>
        <w:rPr>
          <w:color w:val="231F20"/>
          <w:sz w:val="17"/>
        </w:rPr>
        <w:t>the World Conference on Sport and Tourism, Barcelona, Spain.</w:t>
      </w:r>
    </w:p>
    <w:p w14:paraId="1192A92A" w14:textId="77777777" w:rsidR="00AE0598" w:rsidRDefault="0069255A">
      <w:pPr>
        <w:spacing w:before="1"/>
        <w:ind w:left="430" w:right="128" w:hanging="320"/>
        <w:jc w:val="both"/>
        <w:rPr>
          <w:sz w:val="17"/>
        </w:rPr>
      </w:pPr>
      <w:r>
        <w:rPr>
          <w:color w:val="231F20"/>
          <w:sz w:val="17"/>
        </w:rPr>
        <w:t>Delpy Neirotti, L., Bosetti, H.A. and Teed, K.C. (2001) Motivation to attend the 1996</w:t>
      </w:r>
      <w:r>
        <w:rPr>
          <w:color w:val="231F20"/>
          <w:spacing w:val="40"/>
          <w:sz w:val="17"/>
        </w:rPr>
        <w:t xml:space="preserve"> </w:t>
      </w:r>
      <w:r>
        <w:rPr>
          <w:color w:val="231F20"/>
          <w:sz w:val="17"/>
        </w:rPr>
        <w:t xml:space="preserve">Summer Olympic </w:t>
      </w:r>
      <w:r>
        <w:rPr>
          <w:color w:val="231F20"/>
          <w:sz w:val="17"/>
        </w:rPr>
        <w:t xml:space="preserve">Games. </w:t>
      </w:r>
      <w:r>
        <w:rPr>
          <w:i/>
          <w:color w:val="231F20"/>
          <w:sz w:val="17"/>
        </w:rPr>
        <w:t xml:space="preserve">Journal of Travel Research </w:t>
      </w:r>
      <w:r>
        <w:rPr>
          <w:color w:val="231F20"/>
          <w:sz w:val="17"/>
        </w:rPr>
        <w:t>39 (3), 327–331.</w:t>
      </w:r>
    </w:p>
    <w:p w14:paraId="427074F8" w14:textId="77777777" w:rsidR="00AE0598" w:rsidRDefault="0069255A">
      <w:pPr>
        <w:spacing w:before="1"/>
        <w:ind w:left="430" w:right="127" w:hanging="320"/>
        <w:jc w:val="both"/>
        <w:rPr>
          <w:sz w:val="17"/>
        </w:rPr>
      </w:pPr>
      <w:r>
        <w:rPr>
          <w:color w:val="231F20"/>
          <w:sz w:val="17"/>
        </w:rPr>
        <w:t xml:space="preserve">Denham, D. (2004) Global and local influences on English Rugby League. </w:t>
      </w:r>
      <w:r>
        <w:rPr>
          <w:i/>
          <w:color w:val="231F20"/>
          <w:sz w:val="17"/>
        </w:rPr>
        <w:t>Sociology of</w:t>
      </w:r>
      <w:r>
        <w:rPr>
          <w:i/>
          <w:color w:val="231F20"/>
          <w:spacing w:val="40"/>
          <w:sz w:val="17"/>
        </w:rPr>
        <w:t xml:space="preserve"> </w:t>
      </w:r>
      <w:r>
        <w:rPr>
          <w:i/>
          <w:color w:val="231F20"/>
          <w:sz w:val="17"/>
        </w:rPr>
        <w:t xml:space="preserve">Sport Journal </w:t>
      </w:r>
      <w:r>
        <w:rPr>
          <w:color w:val="231F20"/>
          <w:sz w:val="17"/>
        </w:rPr>
        <w:t>21 (2), 206–182.</w:t>
      </w:r>
    </w:p>
    <w:p w14:paraId="6F441739" w14:textId="77777777" w:rsidR="00AE0598" w:rsidRDefault="0069255A">
      <w:pPr>
        <w:spacing w:before="2"/>
        <w:ind w:left="430" w:right="127" w:hanging="320"/>
        <w:jc w:val="both"/>
        <w:rPr>
          <w:sz w:val="17"/>
        </w:rPr>
      </w:pPr>
      <w:r>
        <w:rPr>
          <w:color w:val="231F20"/>
          <w:w w:val="105"/>
          <w:sz w:val="17"/>
        </w:rPr>
        <w:t>Derom, I. and Ramshaw, G. (2016) Leveraging sport heritage to promote tourism</w:t>
      </w:r>
      <w:r>
        <w:rPr>
          <w:color w:val="231F20"/>
          <w:spacing w:val="40"/>
          <w:w w:val="105"/>
          <w:sz w:val="17"/>
        </w:rPr>
        <w:t xml:space="preserve"> </w:t>
      </w:r>
      <w:r>
        <w:rPr>
          <w:color w:val="231F20"/>
          <w:sz w:val="17"/>
        </w:rPr>
        <w:t>destinations</w:t>
      </w:r>
      <w:r>
        <w:rPr>
          <w:color w:val="231F20"/>
          <w:sz w:val="17"/>
        </w:rPr>
        <w:t>:</w:t>
      </w:r>
      <w:r>
        <w:rPr>
          <w:color w:val="231F20"/>
          <w:spacing w:val="-1"/>
          <w:sz w:val="17"/>
        </w:rPr>
        <w:t xml:space="preserve"> </w:t>
      </w:r>
      <w:r>
        <w:rPr>
          <w:color w:val="231F20"/>
          <w:sz w:val="17"/>
        </w:rPr>
        <w:t>The</w:t>
      </w:r>
      <w:r>
        <w:rPr>
          <w:color w:val="231F20"/>
          <w:spacing w:val="-1"/>
          <w:sz w:val="17"/>
        </w:rPr>
        <w:t xml:space="preserve"> </w:t>
      </w:r>
      <w:r>
        <w:rPr>
          <w:color w:val="231F20"/>
          <w:sz w:val="17"/>
        </w:rPr>
        <w:t>case</w:t>
      </w:r>
      <w:r>
        <w:rPr>
          <w:color w:val="231F20"/>
          <w:spacing w:val="-1"/>
          <w:sz w:val="17"/>
        </w:rPr>
        <w:t xml:space="preserve"> </w:t>
      </w:r>
      <w:r>
        <w:rPr>
          <w:color w:val="231F20"/>
          <w:sz w:val="17"/>
        </w:rPr>
        <w:t>of</w:t>
      </w:r>
      <w:r>
        <w:rPr>
          <w:color w:val="231F20"/>
          <w:spacing w:val="-1"/>
          <w:sz w:val="17"/>
        </w:rPr>
        <w:t xml:space="preserve"> </w:t>
      </w:r>
      <w:r>
        <w:rPr>
          <w:color w:val="231F20"/>
          <w:sz w:val="17"/>
        </w:rPr>
        <w:t>the</w:t>
      </w:r>
      <w:r>
        <w:rPr>
          <w:color w:val="231F20"/>
          <w:spacing w:val="-1"/>
          <w:sz w:val="17"/>
        </w:rPr>
        <w:t xml:space="preserve"> </w:t>
      </w:r>
      <w:r>
        <w:rPr>
          <w:color w:val="231F20"/>
          <w:sz w:val="17"/>
        </w:rPr>
        <w:t>Tour</w:t>
      </w:r>
      <w:r>
        <w:rPr>
          <w:color w:val="231F20"/>
          <w:spacing w:val="-1"/>
          <w:sz w:val="17"/>
        </w:rPr>
        <w:t xml:space="preserve"> </w:t>
      </w:r>
      <w:r>
        <w:rPr>
          <w:color w:val="231F20"/>
          <w:sz w:val="17"/>
        </w:rPr>
        <w:t>of</w:t>
      </w:r>
      <w:r>
        <w:rPr>
          <w:color w:val="231F20"/>
          <w:spacing w:val="-1"/>
          <w:sz w:val="17"/>
        </w:rPr>
        <w:t xml:space="preserve"> </w:t>
      </w:r>
      <w:r>
        <w:rPr>
          <w:color w:val="231F20"/>
          <w:sz w:val="17"/>
        </w:rPr>
        <w:t>Flanders</w:t>
      </w:r>
      <w:r>
        <w:rPr>
          <w:color w:val="231F20"/>
          <w:spacing w:val="-1"/>
          <w:sz w:val="17"/>
        </w:rPr>
        <w:t xml:space="preserve"> </w:t>
      </w:r>
      <w:r>
        <w:rPr>
          <w:color w:val="231F20"/>
          <w:sz w:val="17"/>
        </w:rPr>
        <w:t>cyclo</w:t>
      </w:r>
      <w:r>
        <w:rPr>
          <w:color w:val="231F20"/>
          <w:spacing w:val="-1"/>
          <w:sz w:val="17"/>
        </w:rPr>
        <w:t xml:space="preserve"> </w:t>
      </w:r>
      <w:r>
        <w:rPr>
          <w:color w:val="231F20"/>
          <w:sz w:val="17"/>
        </w:rPr>
        <w:t>event.</w:t>
      </w:r>
      <w:r>
        <w:rPr>
          <w:color w:val="231F20"/>
          <w:spacing w:val="-1"/>
          <w:sz w:val="17"/>
        </w:rPr>
        <w:t xml:space="preserve"> </w:t>
      </w:r>
      <w:r>
        <w:rPr>
          <w:i/>
          <w:color w:val="231F20"/>
          <w:sz w:val="17"/>
        </w:rPr>
        <w:t>Journal</w:t>
      </w:r>
      <w:r>
        <w:rPr>
          <w:i/>
          <w:color w:val="231F20"/>
          <w:spacing w:val="-1"/>
          <w:sz w:val="17"/>
        </w:rPr>
        <w:t xml:space="preserve"> </w:t>
      </w:r>
      <w:r>
        <w:rPr>
          <w:i/>
          <w:color w:val="231F20"/>
          <w:sz w:val="17"/>
        </w:rPr>
        <w:t>of</w:t>
      </w:r>
      <w:r>
        <w:rPr>
          <w:i/>
          <w:color w:val="231F20"/>
          <w:spacing w:val="-1"/>
          <w:sz w:val="17"/>
        </w:rPr>
        <w:t xml:space="preserve"> </w:t>
      </w:r>
      <w:r>
        <w:rPr>
          <w:i/>
          <w:color w:val="231F20"/>
          <w:sz w:val="17"/>
        </w:rPr>
        <w:t>Sport</w:t>
      </w:r>
      <w:r>
        <w:rPr>
          <w:i/>
          <w:color w:val="231F20"/>
          <w:spacing w:val="-1"/>
          <w:sz w:val="17"/>
        </w:rPr>
        <w:t xml:space="preserve"> </w:t>
      </w:r>
      <w:r>
        <w:rPr>
          <w:i/>
          <w:color w:val="231F20"/>
          <w:sz w:val="17"/>
        </w:rPr>
        <w:t>&amp;</w:t>
      </w:r>
      <w:r>
        <w:rPr>
          <w:i/>
          <w:color w:val="231F20"/>
          <w:spacing w:val="-1"/>
          <w:sz w:val="17"/>
        </w:rPr>
        <w:t xml:space="preserve"> </w:t>
      </w:r>
      <w:r>
        <w:rPr>
          <w:i/>
          <w:color w:val="231F20"/>
          <w:sz w:val="17"/>
        </w:rPr>
        <w:t>Tourism</w:t>
      </w:r>
      <w:r>
        <w:rPr>
          <w:i/>
          <w:color w:val="231F20"/>
          <w:spacing w:val="40"/>
          <w:w w:val="105"/>
          <w:sz w:val="17"/>
        </w:rPr>
        <w:t xml:space="preserve"> </w:t>
      </w:r>
      <w:r>
        <w:rPr>
          <w:color w:val="231F20"/>
          <w:w w:val="105"/>
          <w:sz w:val="17"/>
        </w:rPr>
        <w:t>20 (3–4), 263–283.</w:t>
      </w:r>
    </w:p>
    <w:p w14:paraId="223BCA56" w14:textId="77777777" w:rsidR="00AE0598" w:rsidRDefault="0069255A">
      <w:pPr>
        <w:spacing w:before="2"/>
        <w:ind w:left="430" w:right="127" w:hanging="320"/>
        <w:jc w:val="both"/>
        <w:rPr>
          <w:sz w:val="17"/>
        </w:rPr>
      </w:pPr>
      <w:r>
        <w:rPr>
          <w:color w:val="231F20"/>
          <w:w w:val="95"/>
          <w:sz w:val="17"/>
        </w:rPr>
        <w:t>Devine,</w:t>
      </w:r>
      <w:r>
        <w:rPr>
          <w:color w:val="231F20"/>
          <w:spacing w:val="14"/>
          <w:sz w:val="17"/>
        </w:rPr>
        <w:t xml:space="preserve"> </w:t>
      </w:r>
      <w:r>
        <w:rPr>
          <w:color w:val="231F20"/>
          <w:w w:val="95"/>
          <w:sz w:val="17"/>
        </w:rPr>
        <w:t>A.</w:t>
      </w:r>
      <w:r>
        <w:rPr>
          <w:color w:val="231F20"/>
          <w:spacing w:val="14"/>
          <w:sz w:val="17"/>
        </w:rPr>
        <w:t xml:space="preserve"> </w:t>
      </w:r>
      <w:r>
        <w:rPr>
          <w:color w:val="231F20"/>
          <w:w w:val="95"/>
          <w:sz w:val="17"/>
        </w:rPr>
        <w:t>and</w:t>
      </w:r>
      <w:r>
        <w:rPr>
          <w:color w:val="231F20"/>
          <w:spacing w:val="14"/>
          <w:sz w:val="17"/>
        </w:rPr>
        <w:t xml:space="preserve"> </w:t>
      </w:r>
      <w:r>
        <w:rPr>
          <w:color w:val="231F20"/>
          <w:w w:val="95"/>
          <w:sz w:val="17"/>
        </w:rPr>
        <w:t>Devine,</w:t>
      </w:r>
      <w:r>
        <w:rPr>
          <w:color w:val="231F20"/>
          <w:spacing w:val="14"/>
          <w:sz w:val="17"/>
        </w:rPr>
        <w:t xml:space="preserve"> </w:t>
      </w:r>
      <w:r>
        <w:rPr>
          <w:color w:val="231F20"/>
          <w:w w:val="95"/>
          <w:sz w:val="17"/>
        </w:rPr>
        <w:t>F.</w:t>
      </w:r>
      <w:r>
        <w:rPr>
          <w:color w:val="231F20"/>
          <w:spacing w:val="14"/>
          <w:sz w:val="17"/>
        </w:rPr>
        <w:t xml:space="preserve"> </w:t>
      </w:r>
      <w:r>
        <w:rPr>
          <w:color w:val="231F20"/>
          <w:w w:val="95"/>
          <w:sz w:val="17"/>
        </w:rPr>
        <w:t>(2004)</w:t>
      </w:r>
      <w:r>
        <w:rPr>
          <w:color w:val="231F20"/>
          <w:spacing w:val="14"/>
          <w:sz w:val="17"/>
        </w:rPr>
        <w:t xml:space="preserve"> </w:t>
      </w:r>
      <w:r>
        <w:rPr>
          <w:color w:val="231F20"/>
          <w:w w:val="95"/>
          <w:sz w:val="17"/>
        </w:rPr>
        <w:t>The</w:t>
      </w:r>
      <w:r>
        <w:rPr>
          <w:color w:val="231F20"/>
          <w:spacing w:val="14"/>
          <w:sz w:val="17"/>
        </w:rPr>
        <w:t xml:space="preserve"> </w:t>
      </w:r>
      <w:r>
        <w:rPr>
          <w:color w:val="231F20"/>
          <w:w w:val="95"/>
          <w:sz w:val="17"/>
        </w:rPr>
        <w:t>politics</w:t>
      </w:r>
      <w:r>
        <w:rPr>
          <w:color w:val="231F20"/>
          <w:spacing w:val="14"/>
          <w:sz w:val="17"/>
        </w:rPr>
        <w:t xml:space="preserve"> </w:t>
      </w:r>
      <w:r>
        <w:rPr>
          <w:color w:val="231F20"/>
          <w:w w:val="95"/>
          <w:sz w:val="17"/>
        </w:rPr>
        <w:t>of</w:t>
      </w:r>
      <w:r>
        <w:rPr>
          <w:color w:val="231F20"/>
          <w:spacing w:val="14"/>
          <w:sz w:val="17"/>
        </w:rPr>
        <w:t xml:space="preserve"> </w:t>
      </w:r>
      <w:r>
        <w:rPr>
          <w:color w:val="231F20"/>
          <w:w w:val="95"/>
          <w:sz w:val="17"/>
        </w:rPr>
        <w:t>sports</w:t>
      </w:r>
      <w:r>
        <w:rPr>
          <w:color w:val="231F20"/>
          <w:spacing w:val="14"/>
          <w:sz w:val="17"/>
        </w:rPr>
        <w:t xml:space="preserve"> </w:t>
      </w:r>
      <w:r>
        <w:rPr>
          <w:color w:val="231F20"/>
          <w:w w:val="95"/>
          <w:sz w:val="17"/>
        </w:rPr>
        <w:t>tourism</w:t>
      </w:r>
      <w:r>
        <w:rPr>
          <w:color w:val="231F20"/>
          <w:spacing w:val="14"/>
          <w:sz w:val="17"/>
        </w:rPr>
        <w:t xml:space="preserve"> </w:t>
      </w:r>
      <w:r>
        <w:rPr>
          <w:color w:val="231F20"/>
          <w:w w:val="95"/>
          <w:sz w:val="17"/>
        </w:rPr>
        <w:t>in</w:t>
      </w:r>
      <w:r>
        <w:rPr>
          <w:color w:val="231F20"/>
          <w:spacing w:val="14"/>
          <w:sz w:val="17"/>
        </w:rPr>
        <w:t xml:space="preserve"> </w:t>
      </w:r>
      <w:r>
        <w:rPr>
          <w:color w:val="231F20"/>
          <w:w w:val="95"/>
          <w:sz w:val="17"/>
        </w:rPr>
        <w:t>Northern</w:t>
      </w:r>
      <w:r>
        <w:rPr>
          <w:color w:val="231F20"/>
          <w:spacing w:val="14"/>
          <w:sz w:val="17"/>
        </w:rPr>
        <w:t xml:space="preserve"> </w:t>
      </w:r>
      <w:r>
        <w:rPr>
          <w:color w:val="231F20"/>
          <w:w w:val="95"/>
          <w:sz w:val="17"/>
        </w:rPr>
        <w:t>Ireland.</w:t>
      </w:r>
      <w:r>
        <w:rPr>
          <w:color w:val="231F20"/>
          <w:spacing w:val="14"/>
          <w:sz w:val="17"/>
        </w:rPr>
        <w:t xml:space="preserve"> </w:t>
      </w:r>
      <w:r>
        <w:rPr>
          <w:i/>
          <w:color w:val="231F20"/>
          <w:w w:val="95"/>
          <w:sz w:val="17"/>
        </w:rPr>
        <w:t>Journal</w:t>
      </w:r>
      <w:r>
        <w:rPr>
          <w:i/>
          <w:color w:val="231F20"/>
          <w:spacing w:val="40"/>
          <w:sz w:val="17"/>
        </w:rPr>
        <w:t xml:space="preserve"> </w:t>
      </w:r>
      <w:r>
        <w:rPr>
          <w:i/>
          <w:color w:val="231F20"/>
          <w:sz w:val="17"/>
        </w:rPr>
        <w:t xml:space="preserve">of Sport Tourism </w:t>
      </w:r>
      <w:r>
        <w:rPr>
          <w:color w:val="231F20"/>
          <w:sz w:val="17"/>
        </w:rPr>
        <w:t>9 (2), 171–182.</w:t>
      </w:r>
    </w:p>
    <w:p w14:paraId="6ACE1CFB" w14:textId="77777777" w:rsidR="00AE0598" w:rsidRDefault="0069255A">
      <w:pPr>
        <w:spacing w:before="1"/>
        <w:ind w:left="430" w:right="127" w:hanging="320"/>
        <w:jc w:val="both"/>
        <w:rPr>
          <w:sz w:val="17"/>
        </w:rPr>
      </w:pPr>
      <w:r>
        <w:rPr>
          <w:color w:val="231F20"/>
          <w:sz w:val="17"/>
        </w:rPr>
        <w:t>Dietvorst,</w:t>
      </w:r>
      <w:r>
        <w:rPr>
          <w:color w:val="231F20"/>
          <w:spacing w:val="22"/>
          <w:w w:val="110"/>
          <w:sz w:val="17"/>
        </w:rPr>
        <w:t xml:space="preserve"> </w:t>
      </w:r>
      <w:r>
        <w:rPr>
          <w:color w:val="231F20"/>
          <w:w w:val="110"/>
          <w:sz w:val="17"/>
        </w:rPr>
        <w:t>A.G.J.</w:t>
      </w:r>
      <w:r>
        <w:rPr>
          <w:color w:val="231F20"/>
          <w:spacing w:val="22"/>
          <w:w w:val="110"/>
          <w:sz w:val="17"/>
        </w:rPr>
        <w:t xml:space="preserve"> </w:t>
      </w:r>
      <w:r>
        <w:rPr>
          <w:color w:val="231F20"/>
          <w:sz w:val="17"/>
        </w:rPr>
        <w:t>(1995)</w:t>
      </w:r>
      <w:r>
        <w:rPr>
          <w:color w:val="231F20"/>
          <w:spacing w:val="26"/>
          <w:sz w:val="17"/>
        </w:rPr>
        <w:t xml:space="preserve"> </w:t>
      </w:r>
      <w:r>
        <w:rPr>
          <w:color w:val="231F20"/>
          <w:sz w:val="17"/>
        </w:rPr>
        <w:t>Tourist</w:t>
      </w:r>
      <w:r>
        <w:rPr>
          <w:color w:val="231F20"/>
          <w:spacing w:val="26"/>
          <w:sz w:val="17"/>
        </w:rPr>
        <w:t xml:space="preserve"> </w:t>
      </w:r>
      <w:r>
        <w:rPr>
          <w:color w:val="231F20"/>
          <w:sz w:val="17"/>
        </w:rPr>
        <w:t>behaviour</w:t>
      </w:r>
      <w:r>
        <w:rPr>
          <w:color w:val="231F20"/>
          <w:spacing w:val="26"/>
          <w:sz w:val="17"/>
        </w:rPr>
        <w:t xml:space="preserve"> </w:t>
      </w:r>
      <w:r>
        <w:rPr>
          <w:color w:val="231F20"/>
          <w:sz w:val="17"/>
        </w:rPr>
        <w:t>and</w:t>
      </w:r>
      <w:r>
        <w:rPr>
          <w:color w:val="231F20"/>
          <w:spacing w:val="26"/>
          <w:sz w:val="17"/>
        </w:rPr>
        <w:t xml:space="preserve"> </w:t>
      </w:r>
      <w:r>
        <w:rPr>
          <w:color w:val="231F20"/>
          <w:sz w:val="17"/>
        </w:rPr>
        <w:t>the</w:t>
      </w:r>
      <w:r>
        <w:rPr>
          <w:color w:val="231F20"/>
          <w:spacing w:val="26"/>
          <w:sz w:val="17"/>
        </w:rPr>
        <w:t xml:space="preserve"> </w:t>
      </w:r>
      <w:r>
        <w:rPr>
          <w:color w:val="231F20"/>
          <w:sz w:val="17"/>
        </w:rPr>
        <w:t>importance</w:t>
      </w:r>
      <w:r>
        <w:rPr>
          <w:color w:val="231F20"/>
          <w:spacing w:val="26"/>
          <w:sz w:val="17"/>
        </w:rPr>
        <w:t xml:space="preserve"> </w:t>
      </w:r>
      <w:r>
        <w:rPr>
          <w:color w:val="231F20"/>
          <w:sz w:val="17"/>
        </w:rPr>
        <w:t>of</w:t>
      </w:r>
      <w:r>
        <w:rPr>
          <w:color w:val="231F20"/>
          <w:spacing w:val="26"/>
          <w:sz w:val="17"/>
        </w:rPr>
        <w:t xml:space="preserve"> </w:t>
      </w:r>
      <w:r>
        <w:rPr>
          <w:color w:val="231F20"/>
          <w:sz w:val="17"/>
        </w:rPr>
        <w:t>time-space</w:t>
      </w:r>
      <w:r>
        <w:rPr>
          <w:color w:val="231F20"/>
          <w:spacing w:val="26"/>
          <w:sz w:val="17"/>
        </w:rPr>
        <w:t xml:space="preserve"> </w:t>
      </w:r>
      <w:r>
        <w:rPr>
          <w:color w:val="231F20"/>
          <w:sz w:val="17"/>
        </w:rPr>
        <w:t>analysis.</w:t>
      </w:r>
      <w:r>
        <w:rPr>
          <w:color w:val="231F20"/>
          <w:spacing w:val="40"/>
          <w:sz w:val="17"/>
        </w:rPr>
        <w:t xml:space="preserve"> </w:t>
      </w:r>
      <w:r>
        <w:rPr>
          <w:color w:val="231F20"/>
          <w:sz w:val="17"/>
        </w:rPr>
        <w:t xml:space="preserve">In </w:t>
      </w:r>
      <w:r>
        <w:rPr>
          <w:color w:val="231F20"/>
          <w:w w:val="110"/>
          <w:sz w:val="17"/>
        </w:rPr>
        <w:t xml:space="preserve">G.J. </w:t>
      </w:r>
      <w:r>
        <w:rPr>
          <w:color w:val="231F20"/>
          <w:sz w:val="17"/>
        </w:rPr>
        <w:t xml:space="preserve">Ashworth and </w:t>
      </w:r>
      <w:r>
        <w:rPr>
          <w:color w:val="231F20"/>
          <w:w w:val="110"/>
          <w:sz w:val="17"/>
        </w:rPr>
        <w:t xml:space="preserve">A.G.J. </w:t>
      </w:r>
      <w:r>
        <w:rPr>
          <w:color w:val="231F20"/>
          <w:sz w:val="17"/>
        </w:rPr>
        <w:t xml:space="preserve">Dietvorst (eds) </w:t>
      </w:r>
      <w:r>
        <w:rPr>
          <w:i/>
          <w:color w:val="231F20"/>
          <w:sz w:val="17"/>
        </w:rPr>
        <w:t>Tourism and Spatial Transformations:</w:t>
      </w:r>
      <w:r>
        <w:rPr>
          <w:i/>
          <w:color w:val="231F20"/>
          <w:spacing w:val="40"/>
          <w:sz w:val="17"/>
        </w:rPr>
        <w:t xml:space="preserve"> </w:t>
      </w:r>
      <w:r>
        <w:rPr>
          <w:i/>
          <w:color w:val="231F20"/>
          <w:sz w:val="17"/>
        </w:rPr>
        <w:t>Implications for Policy and Planning</w:t>
      </w:r>
      <w:r>
        <w:rPr>
          <w:color w:val="231F20"/>
          <w:sz w:val="17"/>
        </w:rPr>
        <w:t>. Wallingford: CABI.</w:t>
      </w:r>
    </w:p>
    <w:p w14:paraId="003ABDED" w14:textId="77777777" w:rsidR="00AE0598" w:rsidRDefault="0069255A">
      <w:pPr>
        <w:spacing w:before="2"/>
        <w:ind w:left="430" w:right="127" w:hanging="320"/>
        <w:jc w:val="both"/>
        <w:rPr>
          <w:sz w:val="17"/>
        </w:rPr>
      </w:pPr>
      <w:r>
        <w:rPr>
          <w:color w:val="231F20"/>
          <w:w w:val="105"/>
          <w:sz w:val="17"/>
        </w:rPr>
        <w:t>Dietvorst,</w:t>
      </w:r>
      <w:r>
        <w:rPr>
          <w:color w:val="231F20"/>
          <w:spacing w:val="-4"/>
          <w:w w:val="105"/>
          <w:sz w:val="17"/>
        </w:rPr>
        <w:t xml:space="preserve"> </w:t>
      </w:r>
      <w:r>
        <w:rPr>
          <w:color w:val="231F20"/>
          <w:w w:val="105"/>
          <w:sz w:val="17"/>
        </w:rPr>
        <w:t>A.G.J.</w:t>
      </w:r>
      <w:r>
        <w:rPr>
          <w:color w:val="231F20"/>
          <w:spacing w:val="-4"/>
          <w:w w:val="105"/>
          <w:sz w:val="17"/>
        </w:rPr>
        <w:t xml:space="preserve"> </w:t>
      </w:r>
      <w:r>
        <w:rPr>
          <w:color w:val="231F20"/>
          <w:w w:val="105"/>
          <w:sz w:val="17"/>
        </w:rPr>
        <w:t>and</w:t>
      </w:r>
      <w:r>
        <w:rPr>
          <w:color w:val="231F20"/>
          <w:spacing w:val="-4"/>
          <w:w w:val="105"/>
          <w:sz w:val="17"/>
        </w:rPr>
        <w:t xml:space="preserve"> </w:t>
      </w:r>
      <w:r>
        <w:rPr>
          <w:color w:val="231F20"/>
          <w:w w:val="105"/>
          <w:sz w:val="17"/>
        </w:rPr>
        <w:t>Ashworth,</w:t>
      </w:r>
      <w:r>
        <w:rPr>
          <w:color w:val="231F20"/>
          <w:spacing w:val="-4"/>
          <w:w w:val="105"/>
          <w:sz w:val="17"/>
        </w:rPr>
        <w:t xml:space="preserve"> </w:t>
      </w:r>
      <w:r>
        <w:rPr>
          <w:color w:val="231F20"/>
          <w:w w:val="105"/>
          <w:sz w:val="17"/>
        </w:rPr>
        <w:t>G.J.</w:t>
      </w:r>
      <w:r>
        <w:rPr>
          <w:color w:val="231F20"/>
          <w:spacing w:val="-4"/>
          <w:w w:val="105"/>
          <w:sz w:val="17"/>
        </w:rPr>
        <w:t xml:space="preserve"> </w:t>
      </w:r>
      <w:r>
        <w:rPr>
          <w:color w:val="231F20"/>
          <w:w w:val="105"/>
          <w:sz w:val="17"/>
        </w:rPr>
        <w:t>(1995)</w:t>
      </w:r>
      <w:r>
        <w:rPr>
          <w:color w:val="231F20"/>
          <w:spacing w:val="-4"/>
          <w:w w:val="105"/>
          <w:sz w:val="17"/>
        </w:rPr>
        <w:t xml:space="preserve"> </w:t>
      </w:r>
      <w:r>
        <w:rPr>
          <w:color w:val="231F20"/>
          <w:w w:val="105"/>
          <w:sz w:val="17"/>
        </w:rPr>
        <w:t>Tourism</w:t>
      </w:r>
      <w:r>
        <w:rPr>
          <w:color w:val="231F20"/>
          <w:spacing w:val="-4"/>
          <w:w w:val="105"/>
          <w:sz w:val="17"/>
        </w:rPr>
        <w:t xml:space="preserve"> </w:t>
      </w:r>
      <w:r>
        <w:rPr>
          <w:color w:val="231F20"/>
          <w:w w:val="105"/>
          <w:sz w:val="17"/>
        </w:rPr>
        <w:t>transformations:</w:t>
      </w:r>
      <w:r>
        <w:rPr>
          <w:color w:val="231F20"/>
          <w:spacing w:val="-4"/>
          <w:w w:val="105"/>
          <w:sz w:val="17"/>
        </w:rPr>
        <w:t xml:space="preserve"> </w:t>
      </w:r>
      <w:r>
        <w:rPr>
          <w:color w:val="231F20"/>
          <w:w w:val="105"/>
          <w:sz w:val="17"/>
        </w:rPr>
        <w:t>An</w:t>
      </w:r>
      <w:r>
        <w:rPr>
          <w:color w:val="231F20"/>
          <w:spacing w:val="-4"/>
          <w:w w:val="105"/>
          <w:sz w:val="17"/>
        </w:rPr>
        <w:t xml:space="preserve"> </w:t>
      </w:r>
      <w:r>
        <w:rPr>
          <w:color w:val="231F20"/>
          <w:w w:val="105"/>
          <w:sz w:val="17"/>
        </w:rPr>
        <w:t>introduction.</w:t>
      </w:r>
      <w:r>
        <w:rPr>
          <w:color w:val="231F20"/>
          <w:spacing w:val="40"/>
          <w:w w:val="105"/>
          <w:sz w:val="17"/>
        </w:rPr>
        <w:t xml:space="preserve"> </w:t>
      </w:r>
      <w:r>
        <w:rPr>
          <w:color w:val="231F20"/>
          <w:w w:val="105"/>
          <w:sz w:val="17"/>
        </w:rPr>
        <w:t xml:space="preserve">In </w:t>
      </w:r>
      <w:r>
        <w:rPr>
          <w:color w:val="231F20"/>
          <w:w w:val="110"/>
          <w:sz w:val="17"/>
        </w:rPr>
        <w:t xml:space="preserve">G.J. </w:t>
      </w:r>
      <w:r>
        <w:rPr>
          <w:color w:val="231F20"/>
          <w:w w:val="105"/>
          <w:sz w:val="17"/>
        </w:rPr>
        <w:t xml:space="preserve">Ashworth and </w:t>
      </w:r>
      <w:r>
        <w:rPr>
          <w:color w:val="231F20"/>
          <w:w w:val="110"/>
          <w:sz w:val="17"/>
        </w:rPr>
        <w:t xml:space="preserve">A.G.J. </w:t>
      </w:r>
      <w:r>
        <w:rPr>
          <w:color w:val="231F20"/>
          <w:w w:val="105"/>
          <w:sz w:val="17"/>
        </w:rPr>
        <w:t xml:space="preserve">Dietvorst (eds) </w:t>
      </w:r>
      <w:r>
        <w:rPr>
          <w:i/>
          <w:color w:val="231F20"/>
          <w:w w:val="105"/>
          <w:sz w:val="17"/>
        </w:rPr>
        <w:t>Tourism and Spatial Transformations:</w:t>
      </w:r>
      <w:r>
        <w:rPr>
          <w:i/>
          <w:color w:val="231F20"/>
          <w:spacing w:val="40"/>
          <w:w w:val="105"/>
          <w:sz w:val="17"/>
        </w:rPr>
        <w:t xml:space="preserve"> </w:t>
      </w:r>
      <w:r>
        <w:rPr>
          <w:i/>
          <w:color w:val="231F20"/>
          <w:w w:val="105"/>
          <w:sz w:val="17"/>
        </w:rPr>
        <w:t xml:space="preserve">Implications for Policy and Planning </w:t>
      </w:r>
      <w:r>
        <w:rPr>
          <w:color w:val="231F20"/>
          <w:w w:val="105"/>
          <w:sz w:val="17"/>
        </w:rPr>
        <w:t>(pp. 1–13). Wallingford: CABI.</w:t>
      </w:r>
    </w:p>
    <w:p w14:paraId="6894E092" w14:textId="77777777" w:rsidR="00AE0598" w:rsidRDefault="0069255A">
      <w:pPr>
        <w:spacing w:before="3"/>
        <w:ind w:left="430" w:right="127" w:hanging="320"/>
        <w:jc w:val="both"/>
        <w:rPr>
          <w:sz w:val="17"/>
        </w:rPr>
      </w:pPr>
      <w:r>
        <w:rPr>
          <w:color w:val="231F20"/>
          <w:sz w:val="17"/>
        </w:rPr>
        <w:t xml:space="preserve">Dixon, </w:t>
      </w:r>
      <w:r>
        <w:rPr>
          <w:color w:val="231F20"/>
          <w:w w:val="115"/>
          <w:sz w:val="17"/>
        </w:rPr>
        <w:t xml:space="preserve">K. </w:t>
      </w:r>
      <w:r>
        <w:rPr>
          <w:color w:val="231F20"/>
          <w:sz w:val="17"/>
        </w:rPr>
        <w:t>(2014) The role of lateral surveillance in the construc</w:t>
      </w:r>
      <w:r>
        <w:rPr>
          <w:color w:val="231F20"/>
          <w:sz w:val="17"/>
        </w:rPr>
        <w:t>tion of authentic football</w:t>
      </w:r>
      <w:r>
        <w:rPr>
          <w:color w:val="231F20"/>
          <w:spacing w:val="40"/>
          <w:sz w:val="17"/>
        </w:rPr>
        <w:t xml:space="preserve"> </w:t>
      </w:r>
      <w:r>
        <w:rPr>
          <w:color w:val="231F20"/>
          <w:sz w:val="17"/>
        </w:rPr>
        <w:t xml:space="preserve">fandom practice. </w:t>
      </w:r>
      <w:r>
        <w:rPr>
          <w:i/>
          <w:color w:val="231F20"/>
          <w:sz w:val="17"/>
        </w:rPr>
        <w:t xml:space="preserve">Surveillance </w:t>
      </w:r>
      <w:r>
        <w:rPr>
          <w:i/>
          <w:color w:val="231F20"/>
          <w:w w:val="115"/>
          <w:sz w:val="17"/>
        </w:rPr>
        <w:t xml:space="preserve">&amp; </w:t>
      </w:r>
      <w:r>
        <w:rPr>
          <w:i/>
          <w:color w:val="231F20"/>
          <w:sz w:val="17"/>
        </w:rPr>
        <w:t xml:space="preserve">Society </w:t>
      </w:r>
      <w:r>
        <w:rPr>
          <w:color w:val="231F20"/>
          <w:sz w:val="17"/>
        </w:rPr>
        <w:t>11 (4), 424–438.</w:t>
      </w:r>
    </w:p>
    <w:p w14:paraId="32783914" w14:textId="77777777" w:rsidR="00AE0598" w:rsidRDefault="0069255A">
      <w:pPr>
        <w:spacing w:before="1"/>
        <w:ind w:left="430" w:right="127" w:hanging="320"/>
        <w:jc w:val="both"/>
        <w:rPr>
          <w:sz w:val="17"/>
        </w:rPr>
      </w:pPr>
      <w:r>
        <w:rPr>
          <w:color w:val="231F20"/>
          <w:sz w:val="17"/>
        </w:rPr>
        <w:t>Dodds, R. and Graci, S. (2009) Canada’s tourism industry—Mitigating the effects of</w:t>
      </w:r>
      <w:r>
        <w:rPr>
          <w:color w:val="231F20"/>
          <w:spacing w:val="40"/>
          <w:sz w:val="17"/>
        </w:rPr>
        <w:t xml:space="preserve"> </w:t>
      </w:r>
      <w:r>
        <w:rPr>
          <w:color w:val="231F20"/>
          <w:sz w:val="17"/>
        </w:rPr>
        <w:t xml:space="preserve">climate change: A lot of concern but little action. </w:t>
      </w:r>
      <w:r>
        <w:rPr>
          <w:i/>
          <w:color w:val="231F20"/>
          <w:sz w:val="17"/>
        </w:rPr>
        <w:t>Tourism and Hospitality Planning</w:t>
      </w:r>
      <w:r>
        <w:rPr>
          <w:i/>
          <w:color w:val="231F20"/>
          <w:spacing w:val="40"/>
          <w:sz w:val="17"/>
        </w:rPr>
        <w:t xml:space="preserve"> </w:t>
      </w:r>
      <w:r>
        <w:rPr>
          <w:i/>
          <w:color w:val="231F20"/>
          <w:sz w:val="17"/>
        </w:rPr>
        <w:t xml:space="preserve">and </w:t>
      </w:r>
      <w:r>
        <w:rPr>
          <w:i/>
          <w:color w:val="231F20"/>
          <w:sz w:val="17"/>
        </w:rPr>
        <w:t xml:space="preserve">Development </w:t>
      </w:r>
      <w:r>
        <w:rPr>
          <w:color w:val="231F20"/>
          <w:sz w:val="17"/>
        </w:rPr>
        <w:t>6 (1), 39–51.</w:t>
      </w:r>
    </w:p>
    <w:p w14:paraId="493275AE" w14:textId="77777777" w:rsidR="00AE0598" w:rsidRDefault="00AE0598">
      <w:pPr>
        <w:jc w:val="both"/>
        <w:rPr>
          <w:sz w:val="17"/>
        </w:rPr>
        <w:sectPr w:rsidR="00AE0598">
          <w:pgSz w:w="8850" w:h="13270"/>
          <w:pgMar w:top="720" w:right="1060" w:bottom="280" w:left="1080" w:header="720" w:footer="720" w:gutter="0"/>
          <w:cols w:space="720"/>
        </w:sectPr>
      </w:pPr>
    </w:p>
    <w:p w14:paraId="2FD95DA4" w14:textId="77777777" w:rsidR="00AE0598" w:rsidRDefault="0069255A">
      <w:pPr>
        <w:spacing w:before="87"/>
        <w:ind w:left="108"/>
        <w:rPr>
          <w:rFonts w:ascii="Trebuchet MS"/>
          <w:sz w:val="14"/>
        </w:rPr>
      </w:pPr>
      <w:r>
        <w:rPr>
          <w:rFonts w:ascii="Trebuchet MS"/>
          <w:color w:val="231F20"/>
          <w:w w:val="105"/>
          <w:sz w:val="14"/>
        </w:rPr>
        <w:lastRenderedPageBreak/>
        <w:t>246</w:t>
      </w:r>
      <w:r>
        <w:rPr>
          <w:rFonts w:ascii="Trebuchet MS"/>
          <w:color w:val="231F20"/>
          <w:spacing w:val="78"/>
          <w:w w:val="150"/>
          <w:sz w:val="14"/>
        </w:rPr>
        <w:t xml:space="preserve"> </w:t>
      </w:r>
      <w:r>
        <w:rPr>
          <w:rFonts w:ascii="Trebuchet MS"/>
          <w:color w:val="231F20"/>
          <w:spacing w:val="-2"/>
          <w:w w:val="105"/>
          <w:sz w:val="14"/>
        </w:rPr>
        <w:t>References</w:t>
      </w:r>
    </w:p>
    <w:p w14:paraId="40EA36B8" w14:textId="77777777" w:rsidR="00AE0598" w:rsidRDefault="00AE0598">
      <w:pPr>
        <w:pStyle w:val="Corpodetexto"/>
        <w:rPr>
          <w:rFonts w:ascii="Trebuchet MS"/>
          <w:sz w:val="16"/>
        </w:rPr>
      </w:pPr>
    </w:p>
    <w:p w14:paraId="7441F806" w14:textId="77777777" w:rsidR="00AE0598" w:rsidRDefault="0069255A">
      <w:pPr>
        <w:spacing w:before="121"/>
        <w:ind w:left="430" w:right="127" w:hanging="320"/>
        <w:jc w:val="both"/>
        <w:rPr>
          <w:sz w:val="17"/>
        </w:rPr>
      </w:pPr>
      <w:r>
        <w:rPr>
          <w:color w:val="231F20"/>
          <w:w w:val="95"/>
          <w:sz w:val="17"/>
        </w:rPr>
        <w:t>Doering, A. (2018) Mobilising stoke: A genealogy of surf tourism development in Miyazaki,</w:t>
      </w:r>
      <w:r>
        <w:rPr>
          <w:color w:val="231F20"/>
          <w:spacing w:val="40"/>
          <w:sz w:val="17"/>
        </w:rPr>
        <w:t xml:space="preserve"> </w:t>
      </w:r>
      <w:r>
        <w:rPr>
          <w:color w:val="231F20"/>
          <w:sz w:val="17"/>
        </w:rPr>
        <w:t xml:space="preserve">Japan. </w:t>
      </w:r>
      <w:r>
        <w:rPr>
          <w:i/>
          <w:color w:val="231F20"/>
          <w:sz w:val="17"/>
        </w:rPr>
        <w:t xml:space="preserve">Tourism Planning </w:t>
      </w:r>
      <w:r>
        <w:rPr>
          <w:i/>
          <w:color w:val="231F20"/>
          <w:w w:val="110"/>
          <w:sz w:val="17"/>
        </w:rPr>
        <w:t xml:space="preserve">&amp; </w:t>
      </w:r>
      <w:r>
        <w:rPr>
          <w:i/>
          <w:color w:val="231F20"/>
          <w:sz w:val="17"/>
        </w:rPr>
        <w:t xml:space="preserve">Development </w:t>
      </w:r>
      <w:r>
        <w:rPr>
          <w:color w:val="231F20"/>
          <w:sz w:val="17"/>
        </w:rPr>
        <w:t>15 (1), 68–81.</w:t>
      </w:r>
    </w:p>
    <w:p w14:paraId="21D4ED73" w14:textId="77777777" w:rsidR="00AE0598" w:rsidRDefault="0069255A">
      <w:pPr>
        <w:spacing w:before="1"/>
        <w:ind w:left="430" w:right="128" w:hanging="320"/>
        <w:jc w:val="both"/>
        <w:rPr>
          <w:sz w:val="17"/>
        </w:rPr>
      </w:pPr>
      <w:r>
        <w:rPr>
          <w:color w:val="231F20"/>
          <w:sz w:val="17"/>
        </w:rPr>
        <w:t xml:space="preserve">Dolnicar, S. (2002) A review of data-driven market segmentation in tourism. </w:t>
      </w:r>
      <w:r>
        <w:rPr>
          <w:i/>
          <w:color w:val="231F20"/>
          <w:sz w:val="17"/>
        </w:rPr>
        <w:t>Journal of</w:t>
      </w:r>
      <w:r>
        <w:rPr>
          <w:i/>
          <w:color w:val="231F20"/>
          <w:spacing w:val="40"/>
          <w:sz w:val="17"/>
        </w:rPr>
        <w:t xml:space="preserve"> </w:t>
      </w:r>
      <w:r>
        <w:rPr>
          <w:i/>
          <w:color w:val="231F20"/>
          <w:sz w:val="17"/>
        </w:rPr>
        <w:t xml:space="preserve">Travel </w:t>
      </w:r>
      <w:r>
        <w:rPr>
          <w:i/>
          <w:color w:val="231F20"/>
          <w:w w:val="110"/>
          <w:sz w:val="17"/>
        </w:rPr>
        <w:t xml:space="preserve">&amp; </w:t>
      </w:r>
      <w:r>
        <w:rPr>
          <w:i/>
          <w:color w:val="231F20"/>
          <w:sz w:val="17"/>
        </w:rPr>
        <w:t xml:space="preserve">Tourism Marketing </w:t>
      </w:r>
      <w:r>
        <w:rPr>
          <w:color w:val="231F20"/>
          <w:sz w:val="17"/>
        </w:rPr>
        <w:t>12 (1), 1–22.</w:t>
      </w:r>
    </w:p>
    <w:p w14:paraId="00A62495" w14:textId="77777777" w:rsidR="00AE0598" w:rsidRDefault="0069255A">
      <w:pPr>
        <w:spacing w:before="2"/>
        <w:ind w:left="430" w:right="128" w:hanging="320"/>
        <w:jc w:val="both"/>
        <w:rPr>
          <w:sz w:val="17"/>
        </w:rPr>
      </w:pPr>
      <w:r>
        <w:rPr>
          <w:color w:val="231F20"/>
          <w:sz w:val="17"/>
        </w:rPr>
        <w:t>Donnelly, P. and Young, K.M. (1985) Reproductions and transformation of cultural forms</w:t>
      </w:r>
      <w:r>
        <w:rPr>
          <w:color w:val="231F20"/>
          <w:spacing w:val="40"/>
          <w:sz w:val="17"/>
        </w:rPr>
        <w:t xml:space="preserve"> </w:t>
      </w:r>
      <w:r>
        <w:rPr>
          <w:color w:val="231F20"/>
          <w:sz w:val="17"/>
        </w:rPr>
        <w:t>in sport: A contextual analysis of rugby.</w:t>
      </w:r>
      <w:r>
        <w:rPr>
          <w:color w:val="231F20"/>
          <w:sz w:val="17"/>
        </w:rPr>
        <w:t xml:space="preserve"> </w:t>
      </w:r>
      <w:r>
        <w:rPr>
          <w:i/>
          <w:color w:val="231F20"/>
          <w:sz w:val="17"/>
        </w:rPr>
        <w:t>International Journal of the History of Sport</w:t>
      </w:r>
      <w:r>
        <w:rPr>
          <w:i/>
          <w:color w:val="231F20"/>
          <w:spacing w:val="40"/>
          <w:sz w:val="17"/>
        </w:rPr>
        <w:t xml:space="preserve"> </w:t>
      </w:r>
      <w:r>
        <w:rPr>
          <w:color w:val="231F20"/>
          <w:sz w:val="17"/>
        </w:rPr>
        <w:t>20, 19–37.</w:t>
      </w:r>
    </w:p>
    <w:p w14:paraId="00D60667" w14:textId="77777777" w:rsidR="00AE0598" w:rsidRDefault="0069255A">
      <w:pPr>
        <w:spacing w:before="2"/>
        <w:ind w:left="430" w:right="128" w:hanging="320"/>
        <w:jc w:val="both"/>
        <w:rPr>
          <w:sz w:val="17"/>
        </w:rPr>
      </w:pPr>
      <w:r>
        <w:rPr>
          <w:color w:val="231F20"/>
          <w:w w:val="95"/>
          <w:sz w:val="17"/>
        </w:rPr>
        <w:t>Donnelly, P. and Young, K.M. (1988) The construction and confirmation of identity in sport</w:t>
      </w:r>
      <w:r>
        <w:rPr>
          <w:color w:val="231F20"/>
          <w:spacing w:val="40"/>
          <w:sz w:val="17"/>
        </w:rPr>
        <w:t xml:space="preserve"> </w:t>
      </w:r>
      <w:r>
        <w:rPr>
          <w:color w:val="231F20"/>
          <w:sz w:val="17"/>
        </w:rPr>
        <w:t xml:space="preserve">subcultures. </w:t>
      </w:r>
      <w:r>
        <w:rPr>
          <w:i/>
          <w:color w:val="231F20"/>
          <w:sz w:val="17"/>
        </w:rPr>
        <w:t xml:space="preserve">Sociology of Sport Journal </w:t>
      </w:r>
      <w:r>
        <w:rPr>
          <w:color w:val="231F20"/>
          <w:sz w:val="17"/>
        </w:rPr>
        <w:t>5, 223–240.</w:t>
      </w:r>
    </w:p>
    <w:p w14:paraId="2DC05F95" w14:textId="77777777" w:rsidR="00AE0598" w:rsidRDefault="0069255A">
      <w:pPr>
        <w:spacing w:before="1"/>
        <w:ind w:left="430" w:right="127" w:hanging="320"/>
        <w:jc w:val="both"/>
        <w:rPr>
          <w:sz w:val="17"/>
        </w:rPr>
      </w:pPr>
      <w:r>
        <w:rPr>
          <w:color w:val="231F20"/>
          <w:sz w:val="17"/>
        </w:rPr>
        <w:t>Doxey, G. (1975, 8–11 September) Visitor–resident inter</w:t>
      </w:r>
      <w:r>
        <w:rPr>
          <w:color w:val="231F20"/>
          <w:sz w:val="17"/>
        </w:rPr>
        <w:t>action in tourist destinations:</w:t>
      </w:r>
      <w:r>
        <w:rPr>
          <w:color w:val="231F20"/>
          <w:spacing w:val="40"/>
          <w:sz w:val="17"/>
        </w:rPr>
        <w:t xml:space="preserve"> </w:t>
      </w:r>
      <w:r>
        <w:rPr>
          <w:color w:val="231F20"/>
          <w:w w:val="95"/>
          <w:sz w:val="17"/>
        </w:rPr>
        <w:t>Inferences from empirical research in Barbados, West Indies and Niagara-on-the-Lake,</w:t>
      </w:r>
      <w:r>
        <w:rPr>
          <w:color w:val="231F20"/>
          <w:spacing w:val="40"/>
          <w:sz w:val="17"/>
        </w:rPr>
        <w:t xml:space="preserve"> </w:t>
      </w:r>
      <w:r>
        <w:rPr>
          <w:color w:val="231F20"/>
          <w:sz w:val="17"/>
        </w:rPr>
        <w:t>Ontario. Paper presented at the Symposium on the Planning and Development of the</w:t>
      </w:r>
      <w:r>
        <w:rPr>
          <w:color w:val="231F20"/>
          <w:spacing w:val="40"/>
          <w:w w:val="105"/>
          <w:sz w:val="17"/>
        </w:rPr>
        <w:t xml:space="preserve"> </w:t>
      </w:r>
      <w:r>
        <w:rPr>
          <w:color w:val="231F20"/>
          <w:w w:val="105"/>
          <w:sz w:val="17"/>
        </w:rPr>
        <w:t>Tourist Industry in the ECC Region, Dubrovnik, Yugoslavia.</w:t>
      </w:r>
    </w:p>
    <w:p w14:paraId="481FA504" w14:textId="77777777" w:rsidR="00AE0598" w:rsidRDefault="0069255A">
      <w:pPr>
        <w:spacing w:before="3"/>
        <w:ind w:left="430" w:right="130" w:hanging="320"/>
        <w:jc w:val="both"/>
        <w:rPr>
          <w:sz w:val="17"/>
        </w:rPr>
      </w:pPr>
      <w:r>
        <w:rPr>
          <w:color w:val="231F20"/>
          <w:sz w:val="17"/>
        </w:rPr>
        <w:t xml:space="preserve">Duda, </w:t>
      </w:r>
      <w:r>
        <w:rPr>
          <w:color w:val="231F20"/>
          <w:w w:val="110"/>
          <w:sz w:val="17"/>
        </w:rPr>
        <w:t>J.L.</w:t>
      </w:r>
      <w:r>
        <w:rPr>
          <w:color w:val="231F20"/>
          <w:spacing w:val="-4"/>
          <w:w w:val="110"/>
          <w:sz w:val="17"/>
        </w:rPr>
        <w:t xml:space="preserve"> </w:t>
      </w:r>
      <w:r>
        <w:rPr>
          <w:color w:val="231F20"/>
          <w:sz w:val="17"/>
        </w:rPr>
        <w:t xml:space="preserve">and Nicholls, </w:t>
      </w:r>
      <w:r>
        <w:rPr>
          <w:color w:val="231F20"/>
          <w:w w:val="110"/>
          <w:sz w:val="17"/>
        </w:rPr>
        <w:t>J.G.</w:t>
      </w:r>
      <w:r>
        <w:rPr>
          <w:color w:val="231F20"/>
          <w:spacing w:val="-4"/>
          <w:w w:val="110"/>
          <w:sz w:val="17"/>
        </w:rPr>
        <w:t xml:space="preserve"> </w:t>
      </w:r>
      <w:r>
        <w:rPr>
          <w:color w:val="231F20"/>
          <w:sz w:val="17"/>
        </w:rPr>
        <w:t>(1992) Dimensions of achievement motivation in schoolwork</w:t>
      </w:r>
      <w:r>
        <w:rPr>
          <w:color w:val="231F20"/>
          <w:spacing w:val="40"/>
          <w:sz w:val="17"/>
        </w:rPr>
        <w:t xml:space="preserve"> </w:t>
      </w:r>
      <w:r>
        <w:rPr>
          <w:color w:val="231F20"/>
          <w:sz w:val="17"/>
        </w:rPr>
        <w:t xml:space="preserve">and sport. </w:t>
      </w:r>
      <w:r>
        <w:rPr>
          <w:i/>
          <w:color w:val="231F20"/>
          <w:sz w:val="17"/>
        </w:rPr>
        <w:t>Journal of Educational Psychology</w:t>
      </w:r>
      <w:r>
        <w:rPr>
          <w:color w:val="231F20"/>
          <w:sz w:val="17"/>
        </w:rPr>
        <w:t>, 84 (3), 290.</w:t>
      </w:r>
    </w:p>
    <w:p w14:paraId="010A5965" w14:textId="77777777" w:rsidR="00AE0598" w:rsidRDefault="0069255A">
      <w:pPr>
        <w:spacing w:before="1"/>
        <w:ind w:left="430" w:right="128" w:hanging="320"/>
        <w:jc w:val="both"/>
        <w:rPr>
          <w:sz w:val="17"/>
        </w:rPr>
      </w:pPr>
      <w:r>
        <w:rPr>
          <w:color w:val="231F20"/>
          <w:w w:val="95"/>
          <w:sz w:val="17"/>
        </w:rPr>
        <w:t>Duncan, M. and Brummett, B. (1989) Types and sources of spectating pleasure in televised</w:t>
      </w:r>
      <w:r>
        <w:rPr>
          <w:color w:val="231F20"/>
          <w:spacing w:val="40"/>
          <w:sz w:val="17"/>
        </w:rPr>
        <w:t xml:space="preserve"> </w:t>
      </w:r>
      <w:r>
        <w:rPr>
          <w:color w:val="231F20"/>
          <w:sz w:val="17"/>
        </w:rPr>
        <w:t xml:space="preserve">sports. </w:t>
      </w:r>
      <w:r>
        <w:rPr>
          <w:i/>
          <w:color w:val="231F20"/>
          <w:sz w:val="17"/>
        </w:rPr>
        <w:t xml:space="preserve">Sociology of Sport Journal </w:t>
      </w:r>
      <w:r>
        <w:rPr>
          <w:color w:val="231F20"/>
          <w:sz w:val="17"/>
        </w:rPr>
        <w:t>6 (3), 195–211.</w:t>
      </w:r>
    </w:p>
    <w:p w14:paraId="051425B4" w14:textId="77777777" w:rsidR="00AE0598" w:rsidRDefault="0069255A">
      <w:pPr>
        <w:spacing w:before="2"/>
        <w:ind w:left="110"/>
        <w:jc w:val="both"/>
        <w:rPr>
          <w:sz w:val="17"/>
        </w:rPr>
      </w:pPr>
      <w:r>
        <w:rPr>
          <w:color w:val="231F20"/>
          <w:w w:val="95"/>
          <w:sz w:val="17"/>
        </w:rPr>
        <w:t>Dunn</w:t>
      </w:r>
      <w:r>
        <w:rPr>
          <w:color w:val="231F20"/>
          <w:spacing w:val="9"/>
          <w:sz w:val="17"/>
        </w:rPr>
        <w:t xml:space="preserve"> </w:t>
      </w:r>
      <w:r>
        <w:rPr>
          <w:color w:val="231F20"/>
          <w:w w:val="95"/>
          <w:sz w:val="17"/>
        </w:rPr>
        <w:t>Ross,</w:t>
      </w:r>
      <w:r>
        <w:rPr>
          <w:color w:val="231F20"/>
          <w:spacing w:val="10"/>
          <w:sz w:val="17"/>
        </w:rPr>
        <w:t xml:space="preserve"> </w:t>
      </w:r>
      <w:r>
        <w:rPr>
          <w:color w:val="231F20"/>
          <w:w w:val="95"/>
          <w:sz w:val="17"/>
        </w:rPr>
        <w:t>E.L.</w:t>
      </w:r>
      <w:r>
        <w:rPr>
          <w:color w:val="231F20"/>
          <w:spacing w:val="9"/>
          <w:sz w:val="17"/>
        </w:rPr>
        <w:t xml:space="preserve"> </w:t>
      </w:r>
      <w:r>
        <w:rPr>
          <w:color w:val="231F20"/>
          <w:w w:val="95"/>
          <w:sz w:val="17"/>
        </w:rPr>
        <w:t>and</w:t>
      </w:r>
      <w:r>
        <w:rPr>
          <w:color w:val="231F20"/>
          <w:spacing w:val="10"/>
          <w:sz w:val="17"/>
        </w:rPr>
        <w:t xml:space="preserve"> </w:t>
      </w:r>
      <w:r>
        <w:rPr>
          <w:color w:val="231F20"/>
          <w:w w:val="95"/>
          <w:sz w:val="17"/>
        </w:rPr>
        <w:t>Iso-Ahola,</w:t>
      </w:r>
      <w:r>
        <w:rPr>
          <w:color w:val="231F20"/>
          <w:spacing w:val="9"/>
          <w:sz w:val="17"/>
        </w:rPr>
        <w:t xml:space="preserve"> </w:t>
      </w:r>
      <w:r>
        <w:rPr>
          <w:color w:val="231F20"/>
          <w:w w:val="95"/>
          <w:sz w:val="17"/>
        </w:rPr>
        <w:t>S.E.</w:t>
      </w:r>
      <w:r>
        <w:rPr>
          <w:color w:val="231F20"/>
          <w:spacing w:val="10"/>
          <w:sz w:val="17"/>
        </w:rPr>
        <w:t xml:space="preserve"> </w:t>
      </w:r>
      <w:r>
        <w:rPr>
          <w:color w:val="231F20"/>
          <w:w w:val="95"/>
          <w:sz w:val="17"/>
        </w:rPr>
        <w:t>(1991)</w:t>
      </w:r>
      <w:r>
        <w:rPr>
          <w:color w:val="231F20"/>
          <w:spacing w:val="9"/>
          <w:sz w:val="17"/>
        </w:rPr>
        <w:t xml:space="preserve"> </w:t>
      </w:r>
      <w:r>
        <w:rPr>
          <w:color w:val="231F20"/>
          <w:w w:val="95"/>
          <w:sz w:val="17"/>
        </w:rPr>
        <w:t>Sightseeing</w:t>
      </w:r>
      <w:r>
        <w:rPr>
          <w:color w:val="231F20"/>
          <w:spacing w:val="10"/>
          <w:sz w:val="17"/>
        </w:rPr>
        <w:t xml:space="preserve"> </w:t>
      </w:r>
      <w:r>
        <w:rPr>
          <w:color w:val="231F20"/>
          <w:w w:val="95"/>
          <w:sz w:val="17"/>
        </w:rPr>
        <w:t>tourists’</w:t>
      </w:r>
      <w:r>
        <w:rPr>
          <w:color w:val="231F20"/>
          <w:spacing w:val="9"/>
          <w:sz w:val="17"/>
        </w:rPr>
        <w:t xml:space="preserve"> </w:t>
      </w:r>
      <w:r>
        <w:rPr>
          <w:color w:val="231F20"/>
          <w:w w:val="95"/>
          <w:sz w:val="17"/>
        </w:rPr>
        <w:t>motivation</w:t>
      </w:r>
      <w:r>
        <w:rPr>
          <w:color w:val="231F20"/>
          <w:spacing w:val="10"/>
          <w:sz w:val="17"/>
        </w:rPr>
        <w:t xml:space="preserve"> </w:t>
      </w:r>
      <w:r>
        <w:rPr>
          <w:color w:val="231F20"/>
          <w:w w:val="95"/>
          <w:sz w:val="17"/>
        </w:rPr>
        <w:t>and</w:t>
      </w:r>
      <w:r>
        <w:rPr>
          <w:color w:val="231F20"/>
          <w:spacing w:val="9"/>
          <w:sz w:val="17"/>
        </w:rPr>
        <w:t xml:space="preserve"> </w:t>
      </w:r>
      <w:r>
        <w:rPr>
          <w:color w:val="231F20"/>
          <w:spacing w:val="-2"/>
          <w:w w:val="95"/>
          <w:sz w:val="17"/>
        </w:rPr>
        <w:t>satisfaction.</w:t>
      </w:r>
    </w:p>
    <w:p w14:paraId="70F70BBB" w14:textId="77777777" w:rsidR="00AE0598" w:rsidRDefault="0069255A">
      <w:pPr>
        <w:ind w:left="430"/>
        <w:jc w:val="both"/>
        <w:rPr>
          <w:sz w:val="17"/>
        </w:rPr>
      </w:pPr>
      <w:r>
        <w:rPr>
          <w:i/>
          <w:color w:val="231F20"/>
          <w:sz w:val="17"/>
        </w:rPr>
        <w:t>Annals</w:t>
      </w:r>
      <w:r>
        <w:rPr>
          <w:i/>
          <w:color w:val="231F20"/>
          <w:spacing w:val="12"/>
          <w:sz w:val="17"/>
        </w:rPr>
        <w:t xml:space="preserve"> </w:t>
      </w:r>
      <w:r>
        <w:rPr>
          <w:i/>
          <w:color w:val="231F20"/>
          <w:sz w:val="17"/>
        </w:rPr>
        <w:t>of</w:t>
      </w:r>
      <w:r>
        <w:rPr>
          <w:i/>
          <w:color w:val="231F20"/>
          <w:spacing w:val="12"/>
          <w:sz w:val="17"/>
        </w:rPr>
        <w:t xml:space="preserve"> </w:t>
      </w:r>
      <w:r>
        <w:rPr>
          <w:i/>
          <w:color w:val="231F20"/>
          <w:sz w:val="17"/>
        </w:rPr>
        <w:t>Tourism</w:t>
      </w:r>
      <w:r>
        <w:rPr>
          <w:i/>
          <w:color w:val="231F20"/>
          <w:spacing w:val="12"/>
          <w:sz w:val="17"/>
        </w:rPr>
        <w:t xml:space="preserve"> </w:t>
      </w:r>
      <w:r>
        <w:rPr>
          <w:i/>
          <w:color w:val="231F20"/>
          <w:sz w:val="17"/>
        </w:rPr>
        <w:t>Rese</w:t>
      </w:r>
      <w:r>
        <w:rPr>
          <w:i/>
          <w:color w:val="231F20"/>
          <w:sz w:val="17"/>
        </w:rPr>
        <w:t>arch</w:t>
      </w:r>
      <w:r>
        <w:rPr>
          <w:i/>
          <w:color w:val="231F20"/>
          <w:spacing w:val="13"/>
          <w:sz w:val="17"/>
        </w:rPr>
        <w:t xml:space="preserve"> </w:t>
      </w:r>
      <w:r>
        <w:rPr>
          <w:color w:val="231F20"/>
          <w:sz w:val="17"/>
        </w:rPr>
        <w:t>18,</w:t>
      </w:r>
      <w:r>
        <w:rPr>
          <w:color w:val="231F20"/>
          <w:spacing w:val="12"/>
          <w:sz w:val="17"/>
        </w:rPr>
        <w:t xml:space="preserve"> </w:t>
      </w:r>
      <w:r>
        <w:rPr>
          <w:color w:val="231F20"/>
          <w:spacing w:val="-2"/>
          <w:sz w:val="17"/>
        </w:rPr>
        <w:t>226–237.</w:t>
      </w:r>
    </w:p>
    <w:p w14:paraId="508A0A1D" w14:textId="77777777" w:rsidR="00AE0598" w:rsidRDefault="0069255A">
      <w:pPr>
        <w:spacing w:before="1"/>
        <w:ind w:left="430" w:right="128" w:hanging="320"/>
        <w:jc w:val="both"/>
        <w:rPr>
          <w:sz w:val="17"/>
        </w:rPr>
      </w:pPr>
      <w:r>
        <w:rPr>
          <w:color w:val="231F20"/>
          <w:sz w:val="17"/>
        </w:rPr>
        <w:t>Dunning, E. (1994) Sport in space and time: ‘Civilizing processes’, trajectories of state-</w:t>
      </w:r>
      <w:r>
        <w:rPr>
          <w:color w:val="231F20"/>
          <w:spacing w:val="40"/>
          <w:sz w:val="17"/>
        </w:rPr>
        <w:t xml:space="preserve"> </w:t>
      </w:r>
      <w:r>
        <w:rPr>
          <w:color w:val="231F20"/>
          <w:sz w:val="17"/>
        </w:rPr>
        <w:t xml:space="preserve">formation and the development of modern sport. </w:t>
      </w:r>
      <w:r>
        <w:rPr>
          <w:i/>
          <w:color w:val="231F20"/>
          <w:sz w:val="17"/>
        </w:rPr>
        <w:t>International Review for the</w:t>
      </w:r>
      <w:r>
        <w:rPr>
          <w:i/>
          <w:color w:val="231F20"/>
          <w:spacing w:val="40"/>
          <w:sz w:val="17"/>
        </w:rPr>
        <w:t xml:space="preserve"> </w:t>
      </w:r>
      <w:r>
        <w:rPr>
          <w:i/>
          <w:color w:val="231F20"/>
          <w:sz w:val="17"/>
        </w:rPr>
        <w:t xml:space="preserve">Sociology of Sport </w:t>
      </w:r>
      <w:r>
        <w:rPr>
          <w:color w:val="231F20"/>
          <w:sz w:val="17"/>
        </w:rPr>
        <w:t>29 (4), 331–348.</w:t>
      </w:r>
    </w:p>
    <w:p w14:paraId="5AB2DAD1" w14:textId="77777777" w:rsidR="00AE0598" w:rsidRDefault="0069255A">
      <w:pPr>
        <w:spacing w:before="2"/>
        <w:ind w:left="110"/>
        <w:jc w:val="both"/>
        <w:rPr>
          <w:sz w:val="17"/>
        </w:rPr>
      </w:pPr>
      <w:r>
        <w:rPr>
          <w:color w:val="231F20"/>
          <w:w w:val="95"/>
          <w:sz w:val="17"/>
        </w:rPr>
        <w:t>Dunning,</w:t>
      </w:r>
      <w:r>
        <w:rPr>
          <w:color w:val="231F20"/>
          <w:spacing w:val="27"/>
          <w:sz w:val="17"/>
        </w:rPr>
        <w:t xml:space="preserve"> </w:t>
      </w:r>
      <w:r>
        <w:rPr>
          <w:color w:val="231F20"/>
          <w:w w:val="95"/>
          <w:sz w:val="17"/>
        </w:rPr>
        <w:t>E.</w:t>
      </w:r>
      <w:r>
        <w:rPr>
          <w:color w:val="231F20"/>
          <w:spacing w:val="27"/>
          <w:sz w:val="17"/>
        </w:rPr>
        <w:t xml:space="preserve"> </w:t>
      </w:r>
      <w:r>
        <w:rPr>
          <w:color w:val="231F20"/>
          <w:w w:val="95"/>
          <w:sz w:val="17"/>
        </w:rPr>
        <w:t>(1999)</w:t>
      </w:r>
      <w:r>
        <w:rPr>
          <w:color w:val="231F20"/>
          <w:spacing w:val="27"/>
          <w:sz w:val="17"/>
        </w:rPr>
        <w:t xml:space="preserve"> </w:t>
      </w:r>
      <w:r>
        <w:rPr>
          <w:i/>
          <w:color w:val="231F20"/>
          <w:w w:val="95"/>
          <w:sz w:val="17"/>
        </w:rPr>
        <w:t>Sport</w:t>
      </w:r>
      <w:r>
        <w:rPr>
          <w:i/>
          <w:color w:val="231F20"/>
          <w:spacing w:val="27"/>
          <w:sz w:val="17"/>
        </w:rPr>
        <w:t xml:space="preserve"> </w:t>
      </w:r>
      <w:r>
        <w:rPr>
          <w:i/>
          <w:color w:val="231F20"/>
          <w:w w:val="95"/>
          <w:sz w:val="17"/>
        </w:rPr>
        <w:t>Matters:</w:t>
      </w:r>
      <w:r>
        <w:rPr>
          <w:i/>
          <w:color w:val="231F20"/>
          <w:spacing w:val="27"/>
          <w:sz w:val="17"/>
        </w:rPr>
        <w:t xml:space="preserve"> </w:t>
      </w:r>
      <w:r>
        <w:rPr>
          <w:i/>
          <w:color w:val="231F20"/>
          <w:w w:val="95"/>
          <w:sz w:val="17"/>
        </w:rPr>
        <w:t>Sociological</w:t>
      </w:r>
      <w:r>
        <w:rPr>
          <w:i/>
          <w:color w:val="231F20"/>
          <w:spacing w:val="27"/>
          <w:sz w:val="17"/>
        </w:rPr>
        <w:t xml:space="preserve"> </w:t>
      </w:r>
      <w:r>
        <w:rPr>
          <w:i/>
          <w:color w:val="231F20"/>
          <w:w w:val="95"/>
          <w:sz w:val="17"/>
        </w:rPr>
        <w:t>Studies</w:t>
      </w:r>
      <w:r>
        <w:rPr>
          <w:i/>
          <w:color w:val="231F20"/>
          <w:spacing w:val="27"/>
          <w:sz w:val="17"/>
        </w:rPr>
        <w:t xml:space="preserve"> </w:t>
      </w:r>
      <w:r>
        <w:rPr>
          <w:i/>
          <w:color w:val="231F20"/>
          <w:w w:val="95"/>
          <w:sz w:val="17"/>
        </w:rPr>
        <w:t>of</w:t>
      </w:r>
      <w:r>
        <w:rPr>
          <w:i/>
          <w:color w:val="231F20"/>
          <w:spacing w:val="27"/>
          <w:sz w:val="17"/>
        </w:rPr>
        <w:t xml:space="preserve"> </w:t>
      </w:r>
      <w:r>
        <w:rPr>
          <w:i/>
          <w:color w:val="231F20"/>
          <w:w w:val="95"/>
          <w:sz w:val="17"/>
        </w:rPr>
        <w:t>Sport,</w:t>
      </w:r>
      <w:r>
        <w:rPr>
          <w:i/>
          <w:color w:val="231F20"/>
          <w:spacing w:val="27"/>
          <w:sz w:val="17"/>
        </w:rPr>
        <w:t xml:space="preserve"> </w:t>
      </w:r>
      <w:r>
        <w:rPr>
          <w:i/>
          <w:color w:val="231F20"/>
          <w:w w:val="95"/>
          <w:sz w:val="17"/>
        </w:rPr>
        <w:t>Violence</w:t>
      </w:r>
      <w:r>
        <w:rPr>
          <w:i/>
          <w:color w:val="231F20"/>
          <w:spacing w:val="27"/>
          <w:sz w:val="17"/>
        </w:rPr>
        <w:t xml:space="preserve"> </w:t>
      </w:r>
      <w:r>
        <w:rPr>
          <w:i/>
          <w:color w:val="231F20"/>
          <w:w w:val="95"/>
          <w:sz w:val="17"/>
        </w:rPr>
        <w:t>and</w:t>
      </w:r>
      <w:r>
        <w:rPr>
          <w:i/>
          <w:color w:val="231F20"/>
          <w:spacing w:val="27"/>
          <w:sz w:val="17"/>
        </w:rPr>
        <w:t xml:space="preserve"> </w:t>
      </w:r>
      <w:r>
        <w:rPr>
          <w:i/>
          <w:color w:val="231F20"/>
          <w:spacing w:val="-2"/>
          <w:w w:val="95"/>
          <w:sz w:val="17"/>
        </w:rPr>
        <w:t>Civilisation</w:t>
      </w:r>
      <w:r>
        <w:rPr>
          <w:color w:val="231F20"/>
          <w:spacing w:val="-2"/>
          <w:w w:val="95"/>
          <w:sz w:val="17"/>
        </w:rPr>
        <w:t>.</w:t>
      </w:r>
    </w:p>
    <w:p w14:paraId="1A816D6D" w14:textId="77777777" w:rsidR="00AE0598" w:rsidRDefault="0069255A">
      <w:pPr>
        <w:spacing w:before="1"/>
        <w:ind w:left="430"/>
        <w:jc w:val="both"/>
        <w:rPr>
          <w:sz w:val="17"/>
        </w:rPr>
      </w:pPr>
      <w:r>
        <w:rPr>
          <w:color w:val="231F20"/>
          <w:sz w:val="17"/>
        </w:rPr>
        <w:t>London:</w:t>
      </w:r>
      <w:r>
        <w:rPr>
          <w:color w:val="231F20"/>
          <w:spacing w:val="3"/>
          <w:sz w:val="17"/>
        </w:rPr>
        <w:t xml:space="preserve"> </w:t>
      </w:r>
      <w:r>
        <w:rPr>
          <w:color w:val="231F20"/>
          <w:spacing w:val="-2"/>
          <w:sz w:val="17"/>
        </w:rPr>
        <w:t>Routledge.</w:t>
      </w:r>
    </w:p>
    <w:p w14:paraId="724FBED8" w14:textId="77777777" w:rsidR="00AE0598" w:rsidRDefault="0069255A">
      <w:pPr>
        <w:spacing w:before="1"/>
        <w:ind w:left="110"/>
        <w:jc w:val="both"/>
        <w:rPr>
          <w:i/>
          <w:sz w:val="17"/>
        </w:rPr>
      </w:pPr>
      <w:r>
        <w:rPr>
          <w:color w:val="231F20"/>
          <w:sz w:val="17"/>
        </w:rPr>
        <w:t>Dutch</w:t>
      </w:r>
      <w:r>
        <w:rPr>
          <w:color w:val="231F20"/>
          <w:spacing w:val="48"/>
          <w:sz w:val="17"/>
        </w:rPr>
        <w:t xml:space="preserve"> </w:t>
      </w:r>
      <w:r>
        <w:rPr>
          <w:color w:val="231F20"/>
          <w:sz w:val="17"/>
        </w:rPr>
        <w:t>Ministry</w:t>
      </w:r>
      <w:r>
        <w:rPr>
          <w:color w:val="231F20"/>
          <w:spacing w:val="49"/>
          <w:sz w:val="17"/>
        </w:rPr>
        <w:t xml:space="preserve"> </w:t>
      </w:r>
      <w:r>
        <w:rPr>
          <w:color w:val="231F20"/>
          <w:sz w:val="17"/>
        </w:rPr>
        <w:t>of</w:t>
      </w:r>
      <w:r>
        <w:rPr>
          <w:color w:val="231F20"/>
          <w:spacing w:val="49"/>
          <w:sz w:val="17"/>
        </w:rPr>
        <w:t xml:space="preserve"> </w:t>
      </w:r>
      <w:r>
        <w:rPr>
          <w:color w:val="231F20"/>
          <w:sz w:val="17"/>
        </w:rPr>
        <w:t>Economic</w:t>
      </w:r>
      <w:r>
        <w:rPr>
          <w:color w:val="231F20"/>
          <w:spacing w:val="49"/>
          <w:sz w:val="17"/>
        </w:rPr>
        <w:t xml:space="preserve"> </w:t>
      </w:r>
      <w:r>
        <w:rPr>
          <w:color w:val="231F20"/>
          <w:sz w:val="17"/>
        </w:rPr>
        <w:t>Affairs</w:t>
      </w:r>
      <w:r>
        <w:rPr>
          <w:color w:val="231F20"/>
          <w:spacing w:val="49"/>
          <w:sz w:val="17"/>
        </w:rPr>
        <w:t xml:space="preserve"> </w:t>
      </w:r>
      <w:r>
        <w:rPr>
          <w:color w:val="231F20"/>
          <w:sz w:val="17"/>
        </w:rPr>
        <w:t>(1991)</w:t>
      </w:r>
      <w:r>
        <w:rPr>
          <w:color w:val="231F20"/>
          <w:spacing w:val="49"/>
          <w:sz w:val="17"/>
        </w:rPr>
        <w:t xml:space="preserve"> </w:t>
      </w:r>
      <w:r>
        <w:rPr>
          <w:i/>
          <w:color w:val="231F20"/>
          <w:sz w:val="17"/>
        </w:rPr>
        <w:t>Improving</w:t>
      </w:r>
      <w:r>
        <w:rPr>
          <w:i/>
          <w:color w:val="231F20"/>
          <w:spacing w:val="48"/>
          <w:sz w:val="17"/>
        </w:rPr>
        <w:t xml:space="preserve"> </w:t>
      </w:r>
      <w:r>
        <w:rPr>
          <w:i/>
          <w:color w:val="231F20"/>
          <w:sz w:val="17"/>
        </w:rPr>
        <w:t>Seasonal</w:t>
      </w:r>
      <w:r>
        <w:rPr>
          <w:i/>
          <w:color w:val="231F20"/>
          <w:spacing w:val="49"/>
          <w:sz w:val="17"/>
        </w:rPr>
        <w:t xml:space="preserve"> </w:t>
      </w:r>
      <w:r>
        <w:rPr>
          <w:i/>
          <w:color w:val="231F20"/>
          <w:sz w:val="17"/>
        </w:rPr>
        <w:t>Spread</w:t>
      </w:r>
      <w:r>
        <w:rPr>
          <w:i/>
          <w:color w:val="231F20"/>
          <w:spacing w:val="49"/>
          <w:sz w:val="17"/>
        </w:rPr>
        <w:t xml:space="preserve"> </w:t>
      </w:r>
      <w:r>
        <w:rPr>
          <w:i/>
          <w:color w:val="231F20"/>
          <w:sz w:val="17"/>
        </w:rPr>
        <w:t>of</w:t>
      </w:r>
      <w:r>
        <w:rPr>
          <w:i/>
          <w:color w:val="231F20"/>
          <w:spacing w:val="49"/>
          <w:sz w:val="17"/>
        </w:rPr>
        <w:t xml:space="preserve"> </w:t>
      </w:r>
      <w:r>
        <w:rPr>
          <w:i/>
          <w:color w:val="231F20"/>
          <w:spacing w:val="-2"/>
          <w:sz w:val="17"/>
        </w:rPr>
        <w:t>Tourism.</w:t>
      </w:r>
    </w:p>
    <w:p w14:paraId="785952E9" w14:textId="77777777" w:rsidR="00AE0598" w:rsidRDefault="0069255A">
      <w:pPr>
        <w:ind w:left="430"/>
        <w:jc w:val="both"/>
        <w:rPr>
          <w:sz w:val="17"/>
        </w:rPr>
      </w:pPr>
      <w:r>
        <w:rPr>
          <w:color w:val="231F20"/>
          <w:w w:val="95"/>
          <w:sz w:val="17"/>
        </w:rPr>
        <w:t>Rotterdam:</w:t>
      </w:r>
      <w:r>
        <w:rPr>
          <w:color w:val="231F20"/>
          <w:spacing w:val="38"/>
          <w:sz w:val="17"/>
        </w:rPr>
        <w:t xml:space="preserve"> </w:t>
      </w:r>
      <w:r>
        <w:rPr>
          <w:color w:val="231F20"/>
          <w:w w:val="95"/>
          <w:sz w:val="17"/>
        </w:rPr>
        <w:t>Markant-Adviesbureau,</w:t>
      </w:r>
      <w:r>
        <w:rPr>
          <w:color w:val="231F20"/>
          <w:spacing w:val="38"/>
          <w:sz w:val="17"/>
        </w:rPr>
        <w:t xml:space="preserve"> </w:t>
      </w:r>
      <w:r>
        <w:rPr>
          <w:color w:val="231F20"/>
          <w:w w:val="95"/>
          <w:sz w:val="17"/>
        </w:rPr>
        <w:t>Dutch</w:t>
      </w:r>
      <w:r>
        <w:rPr>
          <w:color w:val="231F20"/>
          <w:spacing w:val="38"/>
          <w:sz w:val="17"/>
        </w:rPr>
        <w:t xml:space="preserve"> </w:t>
      </w:r>
      <w:r>
        <w:rPr>
          <w:color w:val="231F20"/>
          <w:w w:val="95"/>
          <w:sz w:val="17"/>
        </w:rPr>
        <w:t>Ministry</w:t>
      </w:r>
      <w:r>
        <w:rPr>
          <w:color w:val="231F20"/>
          <w:spacing w:val="38"/>
          <w:sz w:val="17"/>
        </w:rPr>
        <w:t xml:space="preserve"> </w:t>
      </w:r>
      <w:r>
        <w:rPr>
          <w:color w:val="231F20"/>
          <w:w w:val="95"/>
          <w:sz w:val="17"/>
        </w:rPr>
        <w:t>of</w:t>
      </w:r>
      <w:r>
        <w:rPr>
          <w:color w:val="231F20"/>
          <w:spacing w:val="38"/>
          <w:sz w:val="17"/>
        </w:rPr>
        <w:t xml:space="preserve"> </w:t>
      </w:r>
      <w:r>
        <w:rPr>
          <w:color w:val="231F20"/>
          <w:w w:val="95"/>
          <w:sz w:val="17"/>
        </w:rPr>
        <w:t>Economic</w:t>
      </w:r>
      <w:r>
        <w:rPr>
          <w:color w:val="231F20"/>
          <w:spacing w:val="38"/>
          <w:sz w:val="17"/>
        </w:rPr>
        <w:t xml:space="preserve"> </w:t>
      </w:r>
      <w:r>
        <w:rPr>
          <w:color w:val="231F20"/>
          <w:spacing w:val="-2"/>
          <w:w w:val="95"/>
          <w:sz w:val="17"/>
        </w:rPr>
        <w:t>Affairs.</w:t>
      </w:r>
    </w:p>
    <w:p w14:paraId="15CEAAF6" w14:textId="77777777" w:rsidR="00AE0598" w:rsidRDefault="0069255A">
      <w:pPr>
        <w:spacing w:before="1"/>
        <w:ind w:left="110" w:right="128"/>
        <w:jc w:val="right"/>
        <w:rPr>
          <w:sz w:val="17"/>
        </w:rPr>
      </w:pPr>
      <w:r>
        <w:rPr>
          <w:color w:val="231F20"/>
          <w:w w:val="95"/>
          <w:sz w:val="17"/>
        </w:rPr>
        <w:t>Dwyer,</w:t>
      </w:r>
      <w:r>
        <w:rPr>
          <w:color w:val="231F20"/>
          <w:spacing w:val="13"/>
          <w:sz w:val="17"/>
        </w:rPr>
        <w:t xml:space="preserve"> </w:t>
      </w:r>
      <w:r>
        <w:rPr>
          <w:color w:val="231F20"/>
          <w:w w:val="95"/>
          <w:sz w:val="17"/>
        </w:rPr>
        <w:t>L.</w:t>
      </w:r>
      <w:r>
        <w:rPr>
          <w:color w:val="231F20"/>
          <w:spacing w:val="13"/>
          <w:sz w:val="17"/>
        </w:rPr>
        <w:t xml:space="preserve"> </w:t>
      </w:r>
      <w:r>
        <w:rPr>
          <w:color w:val="231F20"/>
          <w:w w:val="95"/>
          <w:sz w:val="17"/>
        </w:rPr>
        <w:t>(2014)</w:t>
      </w:r>
      <w:r>
        <w:rPr>
          <w:color w:val="231F20"/>
          <w:spacing w:val="13"/>
          <w:sz w:val="17"/>
        </w:rPr>
        <w:t xml:space="preserve"> </w:t>
      </w:r>
      <w:r>
        <w:rPr>
          <w:color w:val="231F20"/>
          <w:w w:val="95"/>
          <w:sz w:val="17"/>
        </w:rPr>
        <w:t>Transnational</w:t>
      </w:r>
      <w:r>
        <w:rPr>
          <w:color w:val="231F20"/>
          <w:spacing w:val="13"/>
          <w:sz w:val="17"/>
        </w:rPr>
        <w:t xml:space="preserve"> </w:t>
      </w:r>
      <w:r>
        <w:rPr>
          <w:color w:val="231F20"/>
          <w:w w:val="95"/>
          <w:sz w:val="17"/>
        </w:rPr>
        <w:t>corporations</w:t>
      </w:r>
      <w:r>
        <w:rPr>
          <w:color w:val="231F20"/>
          <w:spacing w:val="13"/>
          <w:sz w:val="17"/>
        </w:rPr>
        <w:t xml:space="preserve"> </w:t>
      </w:r>
      <w:r>
        <w:rPr>
          <w:color w:val="231F20"/>
          <w:w w:val="95"/>
          <w:sz w:val="17"/>
        </w:rPr>
        <w:t>and</w:t>
      </w:r>
      <w:r>
        <w:rPr>
          <w:color w:val="231F20"/>
          <w:spacing w:val="13"/>
          <w:sz w:val="17"/>
        </w:rPr>
        <w:t xml:space="preserve"> </w:t>
      </w:r>
      <w:r>
        <w:rPr>
          <w:color w:val="231F20"/>
          <w:w w:val="95"/>
          <w:sz w:val="17"/>
        </w:rPr>
        <w:t>the</w:t>
      </w:r>
      <w:r>
        <w:rPr>
          <w:color w:val="231F20"/>
          <w:spacing w:val="13"/>
          <w:sz w:val="17"/>
        </w:rPr>
        <w:t xml:space="preserve"> </w:t>
      </w:r>
      <w:r>
        <w:rPr>
          <w:color w:val="231F20"/>
          <w:w w:val="95"/>
          <w:sz w:val="17"/>
        </w:rPr>
        <w:t>globalization</w:t>
      </w:r>
      <w:r>
        <w:rPr>
          <w:color w:val="231F20"/>
          <w:spacing w:val="13"/>
          <w:sz w:val="17"/>
        </w:rPr>
        <w:t xml:space="preserve"> </w:t>
      </w:r>
      <w:r>
        <w:rPr>
          <w:color w:val="231F20"/>
          <w:w w:val="95"/>
          <w:sz w:val="17"/>
        </w:rPr>
        <w:t>of</w:t>
      </w:r>
      <w:r>
        <w:rPr>
          <w:color w:val="231F20"/>
          <w:spacing w:val="14"/>
          <w:sz w:val="17"/>
        </w:rPr>
        <w:t xml:space="preserve"> </w:t>
      </w:r>
      <w:r>
        <w:rPr>
          <w:color w:val="231F20"/>
          <w:w w:val="95"/>
          <w:sz w:val="17"/>
        </w:rPr>
        <w:t>tourism.</w:t>
      </w:r>
      <w:r>
        <w:rPr>
          <w:color w:val="231F20"/>
          <w:spacing w:val="13"/>
          <w:sz w:val="17"/>
        </w:rPr>
        <w:t xml:space="preserve"> </w:t>
      </w:r>
      <w:r>
        <w:rPr>
          <w:color w:val="231F20"/>
          <w:w w:val="95"/>
          <w:sz w:val="17"/>
        </w:rPr>
        <w:t>In</w:t>
      </w:r>
      <w:r>
        <w:rPr>
          <w:color w:val="231F20"/>
          <w:spacing w:val="13"/>
          <w:sz w:val="17"/>
        </w:rPr>
        <w:t xml:space="preserve"> </w:t>
      </w:r>
      <w:r>
        <w:rPr>
          <w:color w:val="231F20"/>
          <w:w w:val="95"/>
          <w:sz w:val="17"/>
        </w:rPr>
        <w:t>A.A.</w:t>
      </w:r>
      <w:r>
        <w:rPr>
          <w:color w:val="231F20"/>
          <w:spacing w:val="13"/>
          <w:sz w:val="17"/>
        </w:rPr>
        <w:t xml:space="preserve"> </w:t>
      </w:r>
      <w:r>
        <w:rPr>
          <w:color w:val="231F20"/>
          <w:spacing w:val="-4"/>
          <w:w w:val="95"/>
          <w:sz w:val="17"/>
        </w:rPr>
        <w:t>Lew,</w:t>
      </w:r>
    </w:p>
    <w:p w14:paraId="34814BA7" w14:textId="77777777" w:rsidR="00AE0598" w:rsidRDefault="0069255A">
      <w:pPr>
        <w:spacing w:before="1"/>
        <w:ind w:left="110" w:right="127"/>
        <w:jc w:val="right"/>
        <w:rPr>
          <w:i/>
          <w:sz w:val="17"/>
        </w:rPr>
      </w:pPr>
      <w:r>
        <w:rPr>
          <w:color w:val="231F20"/>
          <w:w w:val="105"/>
          <w:sz w:val="17"/>
        </w:rPr>
        <w:t>C.M.</w:t>
      </w:r>
      <w:r>
        <w:rPr>
          <w:color w:val="231F20"/>
          <w:spacing w:val="28"/>
          <w:w w:val="105"/>
          <w:sz w:val="17"/>
        </w:rPr>
        <w:t xml:space="preserve"> </w:t>
      </w:r>
      <w:r>
        <w:rPr>
          <w:color w:val="231F20"/>
          <w:w w:val="105"/>
          <w:sz w:val="17"/>
        </w:rPr>
        <w:t>Hall</w:t>
      </w:r>
      <w:r>
        <w:rPr>
          <w:color w:val="231F20"/>
          <w:spacing w:val="28"/>
          <w:w w:val="105"/>
          <w:sz w:val="17"/>
        </w:rPr>
        <w:t xml:space="preserve"> </w:t>
      </w:r>
      <w:r>
        <w:rPr>
          <w:color w:val="231F20"/>
          <w:w w:val="105"/>
          <w:sz w:val="17"/>
        </w:rPr>
        <w:t>and</w:t>
      </w:r>
      <w:r>
        <w:rPr>
          <w:color w:val="231F20"/>
          <w:spacing w:val="29"/>
          <w:w w:val="105"/>
          <w:sz w:val="17"/>
        </w:rPr>
        <w:t xml:space="preserve"> </w:t>
      </w:r>
      <w:r>
        <w:rPr>
          <w:color w:val="231F20"/>
          <w:w w:val="105"/>
          <w:sz w:val="17"/>
        </w:rPr>
        <w:t>A.M.</w:t>
      </w:r>
      <w:r>
        <w:rPr>
          <w:color w:val="231F20"/>
          <w:spacing w:val="28"/>
          <w:w w:val="105"/>
          <w:sz w:val="17"/>
        </w:rPr>
        <w:t xml:space="preserve"> </w:t>
      </w:r>
      <w:r>
        <w:rPr>
          <w:color w:val="231F20"/>
          <w:w w:val="105"/>
          <w:sz w:val="17"/>
        </w:rPr>
        <w:t>Williams</w:t>
      </w:r>
      <w:r>
        <w:rPr>
          <w:color w:val="231F20"/>
          <w:spacing w:val="29"/>
          <w:w w:val="105"/>
          <w:sz w:val="17"/>
        </w:rPr>
        <w:t xml:space="preserve"> </w:t>
      </w:r>
      <w:r>
        <w:rPr>
          <w:color w:val="231F20"/>
          <w:w w:val="105"/>
          <w:sz w:val="17"/>
        </w:rPr>
        <w:t>(eds)</w:t>
      </w:r>
      <w:r>
        <w:rPr>
          <w:color w:val="231F20"/>
          <w:spacing w:val="28"/>
          <w:w w:val="105"/>
          <w:sz w:val="17"/>
        </w:rPr>
        <w:t xml:space="preserve"> </w:t>
      </w:r>
      <w:r>
        <w:rPr>
          <w:i/>
          <w:color w:val="231F20"/>
          <w:w w:val="105"/>
          <w:sz w:val="17"/>
        </w:rPr>
        <w:t>The</w:t>
      </w:r>
      <w:r>
        <w:rPr>
          <w:i/>
          <w:color w:val="231F20"/>
          <w:spacing w:val="29"/>
          <w:w w:val="105"/>
          <w:sz w:val="17"/>
        </w:rPr>
        <w:t xml:space="preserve"> </w:t>
      </w:r>
      <w:r>
        <w:rPr>
          <w:i/>
          <w:color w:val="231F20"/>
          <w:w w:val="105"/>
          <w:sz w:val="17"/>
        </w:rPr>
        <w:t>Wiley</w:t>
      </w:r>
      <w:r>
        <w:rPr>
          <w:i/>
          <w:color w:val="231F20"/>
          <w:spacing w:val="28"/>
          <w:w w:val="105"/>
          <w:sz w:val="17"/>
        </w:rPr>
        <w:t xml:space="preserve"> </w:t>
      </w:r>
      <w:r>
        <w:rPr>
          <w:i/>
          <w:color w:val="231F20"/>
          <w:w w:val="105"/>
          <w:sz w:val="17"/>
        </w:rPr>
        <w:t>Blackwell</w:t>
      </w:r>
      <w:r>
        <w:rPr>
          <w:i/>
          <w:color w:val="231F20"/>
          <w:spacing w:val="29"/>
          <w:w w:val="105"/>
          <w:sz w:val="17"/>
        </w:rPr>
        <w:t xml:space="preserve"> </w:t>
      </w:r>
      <w:r>
        <w:rPr>
          <w:i/>
          <w:color w:val="231F20"/>
          <w:w w:val="105"/>
          <w:sz w:val="17"/>
        </w:rPr>
        <w:t>Companion</w:t>
      </w:r>
      <w:r>
        <w:rPr>
          <w:i/>
          <w:color w:val="231F20"/>
          <w:spacing w:val="28"/>
          <w:w w:val="105"/>
          <w:sz w:val="17"/>
        </w:rPr>
        <w:t xml:space="preserve"> </w:t>
      </w:r>
      <w:r>
        <w:rPr>
          <w:i/>
          <w:color w:val="231F20"/>
          <w:w w:val="105"/>
          <w:sz w:val="17"/>
        </w:rPr>
        <w:t>to</w:t>
      </w:r>
      <w:r>
        <w:rPr>
          <w:i/>
          <w:color w:val="231F20"/>
          <w:spacing w:val="29"/>
          <w:w w:val="105"/>
          <w:sz w:val="17"/>
        </w:rPr>
        <w:t xml:space="preserve"> </w:t>
      </w:r>
      <w:r>
        <w:rPr>
          <w:i/>
          <w:color w:val="231F20"/>
          <w:spacing w:val="-2"/>
          <w:w w:val="105"/>
          <w:sz w:val="17"/>
        </w:rPr>
        <w:t>Tourism</w:t>
      </w:r>
    </w:p>
    <w:p w14:paraId="5F40068E" w14:textId="77777777" w:rsidR="00AE0598" w:rsidRDefault="0069255A">
      <w:pPr>
        <w:ind w:left="430"/>
        <w:jc w:val="both"/>
        <w:rPr>
          <w:sz w:val="17"/>
        </w:rPr>
      </w:pPr>
      <w:r>
        <w:rPr>
          <w:color w:val="231F20"/>
          <w:w w:val="95"/>
          <w:sz w:val="17"/>
        </w:rPr>
        <w:t>(pp.</w:t>
      </w:r>
      <w:r>
        <w:rPr>
          <w:color w:val="231F20"/>
          <w:spacing w:val="19"/>
          <w:sz w:val="17"/>
        </w:rPr>
        <w:t xml:space="preserve"> </w:t>
      </w:r>
      <w:r>
        <w:rPr>
          <w:color w:val="231F20"/>
          <w:w w:val="95"/>
          <w:sz w:val="17"/>
        </w:rPr>
        <w:t>197–209).</w:t>
      </w:r>
      <w:r>
        <w:rPr>
          <w:color w:val="231F20"/>
          <w:spacing w:val="20"/>
          <w:sz w:val="17"/>
        </w:rPr>
        <w:t xml:space="preserve"> </w:t>
      </w:r>
      <w:r>
        <w:rPr>
          <w:color w:val="231F20"/>
          <w:w w:val="95"/>
          <w:sz w:val="17"/>
        </w:rPr>
        <w:t>Chichester:</w:t>
      </w:r>
      <w:r>
        <w:rPr>
          <w:color w:val="231F20"/>
          <w:spacing w:val="19"/>
          <w:sz w:val="17"/>
        </w:rPr>
        <w:t xml:space="preserve"> </w:t>
      </w:r>
      <w:r>
        <w:rPr>
          <w:color w:val="231F20"/>
          <w:w w:val="95"/>
          <w:sz w:val="17"/>
        </w:rPr>
        <w:t>John</w:t>
      </w:r>
      <w:r>
        <w:rPr>
          <w:color w:val="231F20"/>
          <w:spacing w:val="20"/>
          <w:sz w:val="17"/>
        </w:rPr>
        <w:t xml:space="preserve"> </w:t>
      </w:r>
      <w:r>
        <w:rPr>
          <w:color w:val="231F20"/>
          <w:w w:val="95"/>
          <w:sz w:val="17"/>
        </w:rPr>
        <w:t>Wiley</w:t>
      </w:r>
      <w:r>
        <w:rPr>
          <w:color w:val="231F20"/>
          <w:spacing w:val="19"/>
          <w:sz w:val="17"/>
        </w:rPr>
        <w:t xml:space="preserve"> </w:t>
      </w:r>
      <w:r>
        <w:rPr>
          <w:color w:val="231F20"/>
          <w:w w:val="95"/>
          <w:sz w:val="17"/>
        </w:rPr>
        <w:t>&amp;</w:t>
      </w:r>
      <w:r>
        <w:rPr>
          <w:color w:val="231F20"/>
          <w:spacing w:val="20"/>
          <w:sz w:val="17"/>
        </w:rPr>
        <w:t xml:space="preserve"> </w:t>
      </w:r>
      <w:r>
        <w:rPr>
          <w:color w:val="231F20"/>
          <w:spacing w:val="-2"/>
          <w:w w:val="95"/>
          <w:sz w:val="17"/>
        </w:rPr>
        <w:t>Sons.</w:t>
      </w:r>
    </w:p>
    <w:p w14:paraId="36485AF7" w14:textId="77777777" w:rsidR="00AE0598" w:rsidRDefault="0069255A">
      <w:pPr>
        <w:spacing w:before="1"/>
        <w:ind w:left="430" w:right="126" w:hanging="320"/>
        <w:jc w:val="both"/>
        <w:rPr>
          <w:sz w:val="17"/>
        </w:rPr>
      </w:pPr>
      <w:r>
        <w:rPr>
          <w:color w:val="231F20"/>
          <w:sz w:val="17"/>
        </w:rPr>
        <w:t>Dwyer,</w:t>
      </w:r>
      <w:r>
        <w:rPr>
          <w:color w:val="231F20"/>
          <w:spacing w:val="40"/>
          <w:sz w:val="17"/>
        </w:rPr>
        <w:t xml:space="preserve"> </w:t>
      </w:r>
      <w:r>
        <w:rPr>
          <w:color w:val="231F20"/>
          <w:sz w:val="17"/>
        </w:rPr>
        <w:t>L.,</w:t>
      </w:r>
      <w:r>
        <w:rPr>
          <w:color w:val="231F20"/>
          <w:spacing w:val="40"/>
          <w:sz w:val="17"/>
        </w:rPr>
        <w:t xml:space="preserve"> </w:t>
      </w:r>
      <w:r>
        <w:rPr>
          <w:color w:val="231F20"/>
          <w:sz w:val="17"/>
        </w:rPr>
        <w:t>Edwards,</w:t>
      </w:r>
      <w:r>
        <w:rPr>
          <w:color w:val="231F20"/>
          <w:spacing w:val="40"/>
          <w:sz w:val="17"/>
        </w:rPr>
        <w:t xml:space="preserve"> </w:t>
      </w:r>
      <w:r>
        <w:rPr>
          <w:color w:val="231F20"/>
          <w:sz w:val="17"/>
        </w:rPr>
        <w:t>D.,</w:t>
      </w:r>
      <w:r>
        <w:rPr>
          <w:color w:val="231F20"/>
          <w:spacing w:val="40"/>
          <w:sz w:val="17"/>
        </w:rPr>
        <w:t xml:space="preserve"> </w:t>
      </w:r>
      <w:r>
        <w:rPr>
          <w:color w:val="231F20"/>
          <w:sz w:val="17"/>
        </w:rPr>
        <w:t>Mistilis,</w:t>
      </w:r>
      <w:r>
        <w:rPr>
          <w:color w:val="231F20"/>
          <w:spacing w:val="40"/>
          <w:sz w:val="17"/>
        </w:rPr>
        <w:t xml:space="preserve"> </w:t>
      </w:r>
      <w:r>
        <w:rPr>
          <w:color w:val="231F20"/>
          <w:sz w:val="17"/>
        </w:rPr>
        <w:t>N.,</w:t>
      </w:r>
      <w:r>
        <w:rPr>
          <w:color w:val="231F20"/>
          <w:spacing w:val="40"/>
          <w:sz w:val="17"/>
        </w:rPr>
        <w:t xml:space="preserve"> </w:t>
      </w:r>
      <w:r>
        <w:rPr>
          <w:color w:val="231F20"/>
          <w:sz w:val="17"/>
        </w:rPr>
        <w:t>Roman,</w:t>
      </w:r>
      <w:r>
        <w:rPr>
          <w:color w:val="231F20"/>
          <w:spacing w:val="40"/>
          <w:sz w:val="17"/>
        </w:rPr>
        <w:t xml:space="preserve"> </w:t>
      </w:r>
      <w:r>
        <w:rPr>
          <w:color w:val="231F20"/>
          <w:sz w:val="17"/>
        </w:rPr>
        <w:t>C.,</w:t>
      </w:r>
      <w:r>
        <w:rPr>
          <w:color w:val="231F20"/>
          <w:spacing w:val="40"/>
          <w:sz w:val="17"/>
        </w:rPr>
        <w:t xml:space="preserve"> </w:t>
      </w:r>
      <w:r>
        <w:rPr>
          <w:color w:val="231F20"/>
          <w:sz w:val="17"/>
        </w:rPr>
        <w:t>Scott.</w:t>
      </w:r>
      <w:r>
        <w:rPr>
          <w:color w:val="231F20"/>
          <w:spacing w:val="40"/>
          <w:sz w:val="17"/>
        </w:rPr>
        <w:t xml:space="preserve"> </w:t>
      </w:r>
      <w:r>
        <w:rPr>
          <w:color w:val="231F20"/>
          <w:sz w:val="17"/>
        </w:rPr>
        <w:t>N.</w:t>
      </w:r>
      <w:r>
        <w:rPr>
          <w:color w:val="231F20"/>
          <w:spacing w:val="40"/>
          <w:sz w:val="17"/>
        </w:rPr>
        <w:t xml:space="preserve"> </w:t>
      </w:r>
      <w:r>
        <w:rPr>
          <w:color w:val="231F20"/>
          <w:sz w:val="17"/>
        </w:rPr>
        <w:t>and</w:t>
      </w:r>
      <w:r>
        <w:rPr>
          <w:color w:val="231F20"/>
          <w:spacing w:val="40"/>
          <w:sz w:val="17"/>
        </w:rPr>
        <w:t xml:space="preserve"> </w:t>
      </w:r>
      <w:r>
        <w:rPr>
          <w:color w:val="231F20"/>
          <w:sz w:val="17"/>
        </w:rPr>
        <w:t>Cooper,</w:t>
      </w:r>
      <w:r>
        <w:rPr>
          <w:color w:val="231F20"/>
          <w:spacing w:val="40"/>
          <w:sz w:val="17"/>
        </w:rPr>
        <w:t xml:space="preserve"> </w:t>
      </w:r>
      <w:r>
        <w:rPr>
          <w:color w:val="231F20"/>
          <w:sz w:val="17"/>
        </w:rPr>
        <w:t>C.</w:t>
      </w:r>
      <w:r>
        <w:rPr>
          <w:color w:val="231F20"/>
          <w:spacing w:val="40"/>
          <w:sz w:val="17"/>
        </w:rPr>
        <w:t xml:space="preserve"> </w:t>
      </w:r>
      <w:r>
        <w:rPr>
          <w:color w:val="231F20"/>
          <w:sz w:val="17"/>
        </w:rPr>
        <w:t>(2008)</w:t>
      </w:r>
      <w:r>
        <w:rPr>
          <w:color w:val="231F20"/>
          <w:spacing w:val="40"/>
          <w:sz w:val="17"/>
        </w:rPr>
        <w:t xml:space="preserve"> </w:t>
      </w:r>
      <w:r>
        <w:rPr>
          <w:color w:val="231F20"/>
          <w:w w:val="95"/>
          <w:sz w:val="17"/>
        </w:rPr>
        <w:t>Megatrends underpinning tourism to 2020: Analysis of key drivers for change. CRC for</w:t>
      </w:r>
      <w:r>
        <w:rPr>
          <w:color w:val="231F20"/>
          <w:spacing w:val="40"/>
          <w:sz w:val="17"/>
        </w:rPr>
        <w:t xml:space="preserve"> </w:t>
      </w:r>
      <w:r>
        <w:rPr>
          <w:color w:val="231F20"/>
          <w:w w:val="95"/>
          <w:sz w:val="17"/>
        </w:rPr>
        <w:t xml:space="preserve">Sustainable Tourism Pty Ltd. See </w:t>
      </w:r>
      <w:hyperlink r:id="rId46">
        <w:r>
          <w:rPr>
            <w:color w:val="231F20"/>
            <w:spacing w:val="-3"/>
            <w:w w:val="97"/>
            <w:sz w:val="17"/>
          </w:rPr>
          <w:t>h</w:t>
        </w:r>
        <w:r>
          <w:rPr>
            <w:color w:val="231F20"/>
            <w:spacing w:val="2"/>
            <w:w w:val="97"/>
            <w:sz w:val="17"/>
          </w:rPr>
          <w:t>tt</w:t>
        </w:r>
        <w:r>
          <w:rPr>
            <w:color w:val="231F20"/>
            <w:spacing w:val="-3"/>
            <w:w w:val="97"/>
            <w:sz w:val="17"/>
          </w:rPr>
          <w:t>p</w:t>
        </w:r>
        <w:r>
          <w:rPr>
            <w:color w:val="231F20"/>
            <w:spacing w:val="3"/>
            <w:w w:val="104"/>
            <w:sz w:val="17"/>
          </w:rPr>
          <w:t>:</w:t>
        </w:r>
        <w:r>
          <w:rPr>
            <w:color w:val="231F20"/>
            <w:spacing w:val="-5"/>
            <w:w w:val="59"/>
            <w:sz w:val="17"/>
          </w:rPr>
          <w:t>/</w:t>
        </w:r>
        <w:r>
          <w:rPr>
            <w:color w:val="231F20"/>
            <w:spacing w:val="-7"/>
            <w:w w:val="59"/>
            <w:sz w:val="17"/>
          </w:rPr>
          <w:t>/</w:t>
        </w:r>
        <w:r>
          <w:rPr>
            <w:color w:val="231F20"/>
            <w:w w:val="98"/>
            <w:sz w:val="17"/>
          </w:rPr>
          <w:t>c</w:t>
        </w:r>
        <w:r>
          <w:rPr>
            <w:color w:val="231F20"/>
            <w:spacing w:val="-3"/>
            <w:w w:val="95"/>
            <w:sz w:val="17"/>
          </w:rPr>
          <w:t>r</w:t>
        </w:r>
        <w:r>
          <w:rPr>
            <w:color w:val="231F20"/>
            <w:spacing w:val="2"/>
            <w:w w:val="95"/>
            <w:sz w:val="17"/>
          </w:rPr>
          <w:t>c</w:t>
        </w:r>
        <w:r>
          <w:rPr>
            <w:color w:val="231F20"/>
            <w:spacing w:val="-3"/>
            <w:w w:val="99"/>
            <w:sz w:val="17"/>
          </w:rPr>
          <w:t>to</w:t>
        </w:r>
        <w:r>
          <w:rPr>
            <w:color w:val="231F20"/>
            <w:spacing w:val="1"/>
            <w:w w:val="99"/>
            <w:sz w:val="17"/>
          </w:rPr>
          <w:t>u</w:t>
        </w:r>
        <w:r>
          <w:rPr>
            <w:color w:val="231F20"/>
            <w:spacing w:val="1"/>
            <w:w w:val="92"/>
            <w:sz w:val="17"/>
          </w:rPr>
          <w:t>r</w:t>
        </w:r>
        <w:r>
          <w:rPr>
            <w:color w:val="231F20"/>
            <w:spacing w:val="-1"/>
            <w:w w:val="99"/>
            <w:sz w:val="17"/>
          </w:rPr>
          <w:t>i</w:t>
        </w:r>
        <w:r>
          <w:rPr>
            <w:color w:val="231F20"/>
            <w:spacing w:val="-2"/>
            <w:w w:val="89"/>
            <w:sz w:val="17"/>
          </w:rPr>
          <w:t>s</w:t>
        </w:r>
        <w:r>
          <w:rPr>
            <w:color w:val="231F20"/>
            <w:w w:val="98"/>
            <w:sz w:val="17"/>
          </w:rPr>
          <w:t>m</w:t>
        </w:r>
        <w:r>
          <w:rPr>
            <w:color w:val="231F20"/>
            <w:spacing w:val="-1"/>
            <w:w w:val="134"/>
            <w:sz w:val="17"/>
          </w:rPr>
          <w:t>.</w:t>
        </w:r>
        <w:r>
          <w:rPr>
            <w:color w:val="231F20"/>
            <w:spacing w:val="-1"/>
            <w:w w:val="98"/>
            <w:sz w:val="17"/>
          </w:rPr>
          <w:t>c</w:t>
        </w:r>
        <w:r>
          <w:rPr>
            <w:color w:val="231F20"/>
            <w:spacing w:val="-3"/>
            <w:w w:val="102"/>
            <w:sz w:val="17"/>
          </w:rPr>
          <w:t>o</w:t>
        </w:r>
        <w:r>
          <w:rPr>
            <w:color w:val="231F20"/>
            <w:w w:val="98"/>
            <w:sz w:val="17"/>
          </w:rPr>
          <w:t>m</w:t>
        </w:r>
        <w:r>
          <w:rPr>
            <w:color w:val="231F20"/>
            <w:spacing w:val="1"/>
            <w:w w:val="134"/>
            <w:sz w:val="17"/>
          </w:rPr>
          <w:t>.</w:t>
        </w:r>
        <w:r>
          <w:rPr>
            <w:color w:val="231F20"/>
            <w:spacing w:val="-4"/>
            <w:sz w:val="17"/>
          </w:rPr>
          <w:t>a</w:t>
        </w:r>
        <w:r>
          <w:rPr>
            <w:color w:val="231F20"/>
            <w:spacing w:val="6"/>
            <w:w w:val="98"/>
            <w:sz w:val="17"/>
          </w:rPr>
          <w:t>u</w:t>
        </w:r>
        <w:r>
          <w:rPr>
            <w:color w:val="231F20"/>
            <w:spacing w:val="7"/>
            <w:w w:val="59"/>
            <w:sz w:val="17"/>
          </w:rPr>
          <w:t>/</w:t>
        </w:r>
        <w:r>
          <w:rPr>
            <w:color w:val="231F20"/>
            <w:spacing w:val="2"/>
            <w:w w:val="105"/>
            <w:sz w:val="17"/>
          </w:rPr>
          <w:t>W</w:t>
        </w:r>
        <w:r>
          <w:rPr>
            <w:color w:val="231F20"/>
            <w:spacing w:val="4"/>
            <w:w w:val="119"/>
            <w:sz w:val="17"/>
          </w:rPr>
          <w:t>M</w:t>
        </w:r>
        <w:r>
          <w:rPr>
            <w:color w:val="231F20"/>
            <w:spacing w:val="3"/>
            <w:w w:val="98"/>
            <w:sz w:val="17"/>
          </w:rPr>
          <w:t>S</w:t>
        </w:r>
        <w:r>
          <w:rPr>
            <w:color w:val="231F20"/>
            <w:spacing w:val="6"/>
            <w:w w:val="59"/>
            <w:sz w:val="17"/>
          </w:rPr>
          <w:t>/</w:t>
        </w:r>
        <w:r>
          <w:rPr>
            <w:color w:val="231F20"/>
            <w:spacing w:val="-1"/>
            <w:w w:val="109"/>
            <w:sz w:val="17"/>
          </w:rPr>
          <w:t>U</w:t>
        </w:r>
        <w:r>
          <w:rPr>
            <w:color w:val="231F20"/>
            <w:spacing w:val="-3"/>
            <w:w w:val="99"/>
            <w:sz w:val="17"/>
          </w:rPr>
          <w:t>ploa</w:t>
        </w:r>
        <w:r>
          <w:rPr>
            <w:color w:val="231F20"/>
            <w:spacing w:val="6"/>
            <w:w w:val="99"/>
            <w:sz w:val="17"/>
          </w:rPr>
          <w:t>d</w:t>
        </w:r>
        <w:r>
          <w:rPr>
            <w:color w:val="231F20"/>
            <w:spacing w:val="5"/>
            <w:w w:val="59"/>
            <w:sz w:val="17"/>
          </w:rPr>
          <w:t>/</w:t>
        </w:r>
        <w:r>
          <w:rPr>
            <w:color w:val="231F20"/>
            <w:spacing w:val="-1"/>
            <w:w w:val="114"/>
            <w:sz w:val="17"/>
          </w:rPr>
          <w:t>R</w:t>
        </w:r>
        <w:r>
          <w:rPr>
            <w:color w:val="231F20"/>
            <w:spacing w:val="1"/>
            <w:w w:val="89"/>
            <w:sz w:val="17"/>
          </w:rPr>
          <w:t>e</w:t>
        </w:r>
        <w:r>
          <w:rPr>
            <w:color w:val="231F20"/>
            <w:spacing w:val="-1"/>
            <w:w w:val="89"/>
            <w:sz w:val="17"/>
          </w:rPr>
          <w:t>s</w:t>
        </w:r>
        <w:r>
          <w:rPr>
            <w:color w:val="231F20"/>
            <w:spacing w:val="-2"/>
            <w:w w:val="102"/>
            <w:sz w:val="17"/>
          </w:rPr>
          <w:t>o</w:t>
        </w:r>
        <w:r>
          <w:rPr>
            <w:color w:val="231F20"/>
            <w:spacing w:val="1"/>
            <w:w w:val="98"/>
            <w:sz w:val="17"/>
          </w:rPr>
          <w:t>u</w:t>
        </w:r>
        <w:r>
          <w:rPr>
            <w:color w:val="231F20"/>
            <w:spacing w:val="-3"/>
            <w:w w:val="92"/>
            <w:sz w:val="17"/>
          </w:rPr>
          <w:t>r</w:t>
        </w:r>
        <w:r>
          <w:rPr>
            <w:color w:val="231F20"/>
            <w:w w:val="98"/>
            <w:sz w:val="17"/>
          </w:rPr>
          <w:t>c</w:t>
        </w:r>
        <w:r>
          <w:rPr>
            <w:color w:val="231F20"/>
            <w:spacing w:val="1"/>
            <w:w w:val="89"/>
            <w:sz w:val="17"/>
          </w:rPr>
          <w:t>e</w:t>
        </w:r>
        <w:r>
          <w:rPr>
            <w:color w:val="231F20"/>
            <w:spacing w:val="3"/>
            <w:w w:val="89"/>
            <w:sz w:val="17"/>
          </w:rPr>
          <w:t>s</w:t>
        </w:r>
        <w:r>
          <w:rPr>
            <w:color w:val="231F20"/>
            <w:spacing w:val="-2"/>
            <w:w w:val="59"/>
            <w:sz w:val="17"/>
          </w:rPr>
          <w:t>/</w:t>
        </w:r>
      </w:hyperlink>
      <w:r>
        <w:rPr>
          <w:color w:val="231F20"/>
          <w:spacing w:val="40"/>
          <w:sz w:val="17"/>
        </w:rPr>
        <w:t xml:space="preserve"> </w:t>
      </w:r>
      <w:r>
        <w:rPr>
          <w:color w:val="231F20"/>
          <w:w w:val="103"/>
          <w:sz w:val="17"/>
        </w:rPr>
        <w:t>bo</w:t>
      </w:r>
      <w:r>
        <w:rPr>
          <w:color w:val="231F20"/>
          <w:spacing w:val="-2"/>
          <w:w w:val="103"/>
          <w:sz w:val="17"/>
        </w:rPr>
        <w:t>o</w:t>
      </w:r>
      <w:r>
        <w:rPr>
          <w:color w:val="231F20"/>
          <w:w w:val="98"/>
          <w:sz w:val="17"/>
        </w:rPr>
        <w:t>k</w:t>
      </w:r>
      <w:r>
        <w:rPr>
          <w:color w:val="231F20"/>
          <w:spacing w:val="-2"/>
          <w:w w:val="98"/>
          <w:sz w:val="17"/>
        </w:rPr>
        <w:t>s</w:t>
      </w:r>
      <w:r>
        <w:rPr>
          <w:color w:val="231F20"/>
          <w:spacing w:val="-2"/>
          <w:sz w:val="17"/>
        </w:rPr>
        <w:t>h</w:t>
      </w:r>
      <w:r>
        <w:rPr>
          <w:color w:val="231F20"/>
          <w:spacing w:val="-2"/>
          <w:w w:val="104"/>
          <w:sz w:val="17"/>
        </w:rPr>
        <w:t>o</w:t>
      </w:r>
      <w:r>
        <w:rPr>
          <w:color w:val="231F20"/>
          <w:spacing w:val="1"/>
          <w:w w:val="99"/>
          <w:sz w:val="17"/>
        </w:rPr>
        <w:t>p</w:t>
      </w:r>
      <w:r>
        <w:rPr>
          <w:color w:val="231F20"/>
          <w:spacing w:val="-1"/>
          <w:w w:val="61"/>
          <w:sz w:val="17"/>
        </w:rPr>
        <w:t>/</w:t>
      </w:r>
      <w:r>
        <w:rPr>
          <w:color w:val="231F20"/>
          <w:spacing w:val="5"/>
          <w:w w:val="90"/>
          <w:sz w:val="17"/>
        </w:rPr>
        <w:t>8</w:t>
      </w:r>
      <w:r>
        <w:rPr>
          <w:color w:val="231F20"/>
          <w:spacing w:val="8"/>
          <w:w w:val="90"/>
          <w:sz w:val="17"/>
        </w:rPr>
        <w:t>0</w:t>
      </w:r>
      <w:r>
        <w:rPr>
          <w:color w:val="231F20"/>
          <w:spacing w:val="6"/>
          <w:w w:val="90"/>
          <w:sz w:val="17"/>
        </w:rPr>
        <w:t>04</w:t>
      </w:r>
      <w:r>
        <w:rPr>
          <w:color w:val="231F20"/>
          <w:spacing w:val="-5"/>
          <w:w w:val="90"/>
          <w:sz w:val="17"/>
        </w:rPr>
        <w:t>6</w:t>
      </w:r>
      <w:r>
        <w:rPr>
          <w:color w:val="231F20"/>
          <w:spacing w:val="-4"/>
          <w:w w:val="111"/>
          <w:sz w:val="17"/>
        </w:rPr>
        <w:t>%</w:t>
      </w:r>
      <w:r>
        <w:rPr>
          <w:color w:val="231F20"/>
          <w:spacing w:val="5"/>
          <w:w w:val="90"/>
          <w:sz w:val="17"/>
        </w:rPr>
        <w:t>2</w:t>
      </w:r>
      <w:r>
        <w:rPr>
          <w:color w:val="231F20"/>
          <w:spacing w:val="3"/>
          <w:w w:val="90"/>
          <w:sz w:val="17"/>
        </w:rPr>
        <w:t>0</w:t>
      </w:r>
      <w:r>
        <w:rPr>
          <w:color w:val="231F20"/>
          <w:spacing w:val="1"/>
          <w:w w:val="117"/>
          <w:sz w:val="17"/>
        </w:rPr>
        <w:t>D</w:t>
      </w:r>
      <w:r>
        <w:rPr>
          <w:color w:val="231F20"/>
          <w:spacing w:val="3"/>
          <w:sz w:val="17"/>
        </w:rPr>
        <w:t>w</w:t>
      </w:r>
      <w:r>
        <w:rPr>
          <w:color w:val="231F20"/>
          <w:spacing w:val="-4"/>
          <w:w w:val="99"/>
          <w:sz w:val="17"/>
        </w:rPr>
        <w:t>y</w:t>
      </w:r>
      <w:r>
        <w:rPr>
          <w:color w:val="231F20"/>
          <w:spacing w:val="-1"/>
          <w:w w:val="91"/>
          <w:sz w:val="17"/>
        </w:rPr>
        <w:t>e</w:t>
      </w:r>
      <w:r>
        <w:rPr>
          <w:color w:val="231F20"/>
          <w:w w:val="115"/>
          <w:sz w:val="17"/>
        </w:rPr>
        <w:t>r</w:t>
      </w:r>
      <w:r>
        <w:rPr>
          <w:color w:val="231F20"/>
          <w:spacing w:val="-7"/>
          <w:w w:val="115"/>
          <w:sz w:val="17"/>
        </w:rPr>
        <w:t>_</w:t>
      </w:r>
      <w:r>
        <w:rPr>
          <w:color w:val="231F20"/>
          <w:spacing w:val="-16"/>
          <w:w w:val="121"/>
          <w:sz w:val="17"/>
        </w:rPr>
        <w:t>T</w:t>
      </w:r>
      <w:r>
        <w:rPr>
          <w:color w:val="231F20"/>
          <w:spacing w:val="-2"/>
          <w:w w:val="104"/>
          <w:sz w:val="17"/>
        </w:rPr>
        <w:t>o</w:t>
      </w:r>
      <w:r>
        <w:rPr>
          <w:color w:val="231F20"/>
          <w:spacing w:val="1"/>
          <w:sz w:val="17"/>
        </w:rPr>
        <w:t>u</w:t>
      </w:r>
      <w:r>
        <w:rPr>
          <w:color w:val="231F20"/>
          <w:spacing w:val="1"/>
          <w:w w:val="94"/>
          <w:sz w:val="17"/>
        </w:rPr>
        <w:t>r</w:t>
      </w:r>
      <w:r>
        <w:rPr>
          <w:color w:val="231F20"/>
          <w:spacing w:val="-1"/>
          <w:w w:val="101"/>
          <w:sz w:val="17"/>
        </w:rPr>
        <w:t>i</w:t>
      </w:r>
      <w:r>
        <w:rPr>
          <w:color w:val="231F20"/>
          <w:spacing w:val="-2"/>
          <w:w w:val="91"/>
          <w:sz w:val="17"/>
        </w:rPr>
        <w:t>s</w:t>
      </w:r>
      <w:r>
        <w:rPr>
          <w:color w:val="231F20"/>
          <w:spacing w:val="-11"/>
          <w:sz w:val="17"/>
        </w:rPr>
        <w:t>m</w:t>
      </w:r>
      <w:r>
        <w:rPr>
          <w:color w:val="231F20"/>
          <w:spacing w:val="-12"/>
          <w:w w:val="121"/>
          <w:sz w:val="17"/>
        </w:rPr>
        <w:t>T</w:t>
      </w:r>
      <w:r>
        <w:rPr>
          <w:color w:val="231F20"/>
          <w:spacing w:val="-2"/>
          <w:w w:val="94"/>
          <w:sz w:val="17"/>
        </w:rPr>
        <w:t>r</w:t>
      </w:r>
      <w:r>
        <w:rPr>
          <w:color w:val="231F20"/>
          <w:w w:val="91"/>
          <w:sz w:val="17"/>
        </w:rPr>
        <w:t>e</w:t>
      </w:r>
      <w:r>
        <w:rPr>
          <w:color w:val="231F20"/>
          <w:spacing w:val="-1"/>
          <w:w w:val="99"/>
          <w:sz w:val="17"/>
        </w:rPr>
        <w:t>n</w:t>
      </w:r>
      <w:r>
        <w:rPr>
          <w:color w:val="231F20"/>
          <w:w w:val="99"/>
          <w:sz w:val="17"/>
        </w:rPr>
        <w:t>d</w:t>
      </w:r>
      <w:r>
        <w:rPr>
          <w:color w:val="231F20"/>
          <w:spacing w:val="1"/>
          <w:w w:val="91"/>
          <w:sz w:val="17"/>
        </w:rPr>
        <w:t>s</w:t>
      </w:r>
      <w:r>
        <w:rPr>
          <w:color w:val="231F20"/>
          <w:spacing w:val="5"/>
          <w:w w:val="90"/>
          <w:sz w:val="17"/>
        </w:rPr>
        <w:t>2</w:t>
      </w:r>
      <w:r>
        <w:rPr>
          <w:color w:val="231F20"/>
          <w:spacing w:val="2"/>
          <w:w w:val="90"/>
          <w:sz w:val="17"/>
        </w:rPr>
        <w:t>0</w:t>
      </w:r>
      <w:r>
        <w:rPr>
          <w:color w:val="231F20"/>
          <w:spacing w:val="5"/>
          <w:w w:val="90"/>
          <w:sz w:val="17"/>
        </w:rPr>
        <w:t>2</w:t>
      </w:r>
      <w:r>
        <w:rPr>
          <w:color w:val="231F20"/>
          <w:spacing w:val="-3"/>
          <w:w w:val="90"/>
          <w:sz w:val="17"/>
        </w:rPr>
        <w:t>0</w:t>
      </w:r>
      <w:r>
        <w:rPr>
          <w:color w:val="231F20"/>
          <w:spacing w:val="-4"/>
          <w:w w:val="111"/>
          <w:sz w:val="17"/>
        </w:rPr>
        <w:t>%</w:t>
      </w:r>
      <w:r>
        <w:rPr>
          <w:color w:val="231F20"/>
          <w:spacing w:val="5"/>
          <w:w w:val="90"/>
          <w:sz w:val="17"/>
        </w:rPr>
        <w:t>2</w:t>
      </w:r>
      <w:r>
        <w:rPr>
          <w:color w:val="231F20"/>
          <w:spacing w:val="-2"/>
          <w:w w:val="90"/>
          <w:sz w:val="17"/>
        </w:rPr>
        <w:t>0</w:t>
      </w:r>
      <w:r>
        <w:rPr>
          <w:color w:val="231F20"/>
          <w:spacing w:val="7"/>
          <w:w w:val="107"/>
          <w:sz w:val="17"/>
        </w:rPr>
        <w:t>W</w:t>
      </w:r>
      <w:r>
        <w:rPr>
          <w:color w:val="231F20"/>
          <w:spacing w:val="4"/>
          <w:w w:val="105"/>
          <w:sz w:val="17"/>
        </w:rPr>
        <w:t>E</w:t>
      </w:r>
      <w:r>
        <w:rPr>
          <w:color w:val="231F20"/>
          <w:spacing w:val="4"/>
          <w:w w:val="99"/>
          <w:sz w:val="17"/>
        </w:rPr>
        <w:t>B</w:t>
      </w:r>
      <w:r>
        <w:rPr>
          <w:color w:val="231F20"/>
          <w:spacing w:val="-2"/>
          <w:w w:val="136"/>
          <w:sz w:val="17"/>
        </w:rPr>
        <w:t>.</w:t>
      </w:r>
      <w:r>
        <w:rPr>
          <w:color w:val="231F20"/>
          <w:w w:val="99"/>
          <w:sz w:val="17"/>
        </w:rPr>
        <w:t>p</w:t>
      </w:r>
      <w:r>
        <w:rPr>
          <w:color w:val="231F20"/>
          <w:spacing w:val="2"/>
          <w:w w:val="99"/>
          <w:sz w:val="17"/>
        </w:rPr>
        <w:t>d</w:t>
      </w:r>
      <w:r>
        <w:rPr>
          <w:color w:val="231F20"/>
          <w:spacing w:val="-2"/>
          <w:w w:val="110"/>
          <w:sz w:val="17"/>
        </w:rPr>
        <w:t>f</w:t>
      </w:r>
      <w:r>
        <w:rPr>
          <w:color w:val="231F20"/>
          <w:spacing w:val="-1"/>
          <w:w w:val="99"/>
          <w:sz w:val="17"/>
        </w:rPr>
        <w:t xml:space="preserve"> </w:t>
      </w:r>
      <w:r>
        <w:rPr>
          <w:color w:val="231F20"/>
          <w:sz w:val="17"/>
        </w:rPr>
        <w:t>(accessed 23 April</w:t>
      </w:r>
      <w:r>
        <w:rPr>
          <w:color w:val="231F20"/>
          <w:spacing w:val="40"/>
          <w:sz w:val="17"/>
        </w:rPr>
        <w:t xml:space="preserve"> </w:t>
      </w:r>
      <w:r>
        <w:rPr>
          <w:color w:val="231F20"/>
          <w:spacing w:val="-2"/>
          <w:sz w:val="17"/>
        </w:rPr>
        <w:t>2010).</w:t>
      </w:r>
    </w:p>
    <w:p w14:paraId="10D6865B" w14:textId="77777777" w:rsidR="00AE0598" w:rsidRDefault="0069255A">
      <w:pPr>
        <w:spacing w:before="4"/>
        <w:ind w:left="430" w:right="127" w:hanging="320"/>
        <w:jc w:val="both"/>
        <w:rPr>
          <w:sz w:val="17"/>
        </w:rPr>
      </w:pPr>
      <w:r>
        <w:rPr>
          <w:color w:val="231F20"/>
          <w:w w:val="95"/>
          <w:sz w:val="17"/>
        </w:rPr>
        <w:t>Eastman,</w:t>
      </w:r>
      <w:r>
        <w:rPr>
          <w:color w:val="231F20"/>
          <w:sz w:val="17"/>
        </w:rPr>
        <w:t xml:space="preserve"> </w:t>
      </w:r>
      <w:r>
        <w:rPr>
          <w:color w:val="231F20"/>
          <w:w w:val="95"/>
          <w:sz w:val="17"/>
        </w:rPr>
        <w:t>S.T.</w:t>
      </w:r>
      <w:r>
        <w:rPr>
          <w:color w:val="231F20"/>
          <w:sz w:val="17"/>
        </w:rPr>
        <w:t xml:space="preserve"> </w:t>
      </w:r>
      <w:r>
        <w:rPr>
          <w:color w:val="231F20"/>
          <w:w w:val="95"/>
          <w:sz w:val="17"/>
        </w:rPr>
        <w:t>and</w:t>
      </w:r>
      <w:r>
        <w:rPr>
          <w:color w:val="231F20"/>
          <w:sz w:val="17"/>
        </w:rPr>
        <w:t xml:space="preserve"> </w:t>
      </w:r>
      <w:r>
        <w:rPr>
          <w:color w:val="231F20"/>
          <w:w w:val="95"/>
          <w:sz w:val="17"/>
        </w:rPr>
        <w:t>Riggs,</w:t>
      </w:r>
      <w:r>
        <w:rPr>
          <w:color w:val="231F20"/>
          <w:sz w:val="17"/>
        </w:rPr>
        <w:t xml:space="preserve"> </w:t>
      </w:r>
      <w:r>
        <w:rPr>
          <w:color w:val="231F20"/>
          <w:w w:val="95"/>
          <w:sz w:val="17"/>
        </w:rPr>
        <w:t>K.E.</w:t>
      </w:r>
      <w:r>
        <w:rPr>
          <w:color w:val="231F20"/>
          <w:sz w:val="17"/>
        </w:rPr>
        <w:t xml:space="preserve"> </w:t>
      </w:r>
      <w:r>
        <w:rPr>
          <w:color w:val="231F20"/>
          <w:w w:val="95"/>
          <w:sz w:val="17"/>
        </w:rPr>
        <w:t>(1994)</w:t>
      </w:r>
      <w:r>
        <w:rPr>
          <w:color w:val="231F20"/>
          <w:sz w:val="17"/>
        </w:rPr>
        <w:t xml:space="preserve"> </w:t>
      </w:r>
      <w:r>
        <w:rPr>
          <w:color w:val="231F20"/>
          <w:w w:val="95"/>
          <w:sz w:val="17"/>
        </w:rPr>
        <w:t>Televised</w:t>
      </w:r>
      <w:r>
        <w:rPr>
          <w:color w:val="231F20"/>
          <w:sz w:val="17"/>
        </w:rPr>
        <w:t xml:space="preserve"> </w:t>
      </w:r>
      <w:r>
        <w:rPr>
          <w:color w:val="231F20"/>
          <w:w w:val="95"/>
          <w:sz w:val="17"/>
        </w:rPr>
        <w:t>sports</w:t>
      </w:r>
      <w:r>
        <w:rPr>
          <w:color w:val="231F20"/>
          <w:sz w:val="17"/>
        </w:rPr>
        <w:t xml:space="preserve"> </w:t>
      </w:r>
      <w:r>
        <w:rPr>
          <w:color w:val="231F20"/>
          <w:w w:val="95"/>
          <w:sz w:val="17"/>
        </w:rPr>
        <w:t>and</w:t>
      </w:r>
      <w:r>
        <w:rPr>
          <w:color w:val="231F20"/>
          <w:sz w:val="17"/>
        </w:rPr>
        <w:t xml:space="preserve"> </w:t>
      </w:r>
      <w:r>
        <w:rPr>
          <w:color w:val="231F20"/>
          <w:w w:val="95"/>
          <w:sz w:val="17"/>
        </w:rPr>
        <w:t>ritual:</w:t>
      </w:r>
      <w:r>
        <w:rPr>
          <w:color w:val="231F20"/>
          <w:sz w:val="17"/>
        </w:rPr>
        <w:t xml:space="preserve"> </w:t>
      </w:r>
      <w:r>
        <w:rPr>
          <w:color w:val="231F20"/>
          <w:w w:val="95"/>
          <w:sz w:val="17"/>
        </w:rPr>
        <w:t>Fan</w:t>
      </w:r>
      <w:r>
        <w:rPr>
          <w:color w:val="231F20"/>
          <w:sz w:val="17"/>
        </w:rPr>
        <w:t xml:space="preserve"> </w:t>
      </w:r>
      <w:r>
        <w:rPr>
          <w:color w:val="231F20"/>
          <w:w w:val="95"/>
          <w:sz w:val="17"/>
        </w:rPr>
        <w:t>experiences.</w:t>
      </w:r>
      <w:r>
        <w:rPr>
          <w:color w:val="231F20"/>
          <w:sz w:val="17"/>
        </w:rPr>
        <w:t xml:space="preserve"> </w:t>
      </w:r>
      <w:r>
        <w:rPr>
          <w:i/>
          <w:color w:val="231F20"/>
          <w:w w:val="95"/>
          <w:sz w:val="17"/>
        </w:rPr>
        <w:t>Sociology</w:t>
      </w:r>
      <w:r>
        <w:rPr>
          <w:i/>
          <w:color w:val="231F20"/>
          <w:spacing w:val="80"/>
          <w:sz w:val="17"/>
        </w:rPr>
        <w:t xml:space="preserve"> </w:t>
      </w:r>
      <w:r>
        <w:rPr>
          <w:i/>
          <w:color w:val="231F20"/>
          <w:sz w:val="17"/>
        </w:rPr>
        <w:t xml:space="preserve">of Sport Journal </w:t>
      </w:r>
      <w:r>
        <w:rPr>
          <w:color w:val="231F20"/>
          <w:sz w:val="17"/>
        </w:rPr>
        <w:t>11 (3), 249–274.</w:t>
      </w:r>
    </w:p>
    <w:p w14:paraId="10ED159F" w14:textId="77777777" w:rsidR="00AE0598" w:rsidRDefault="0069255A">
      <w:pPr>
        <w:spacing w:before="1"/>
        <w:ind w:left="430" w:right="127" w:hanging="320"/>
        <w:jc w:val="both"/>
        <w:rPr>
          <w:sz w:val="17"/>
        </w:rPr>
      </w:pPr>
      <w:r>
        <w:rPr>
          <w:color w:val="231F20"/>
          <w:w w:val="105"/>
          <w:sz w:val="17"/>
        </w:rPr>
        <w:t>Echtner, C.M. and Ritchie, J.B.R.</w:t>
      </w:r>
      <w:r>
        <w:rPr>
          <w:color w:val="231F20"/>
          <w:w w:val="105"/>
          <w:sz w:val="17"/>
        </w:rPr>
        <w:t xml:space="preserve"> (1993) The measurement of destination image : An</w:t>
      </w:r>
      <w:r>
        <w:rPr>
          <w:color w:val="231F20"/>
          <w:spacing w:val="40"/>
          <w:w w:val="105"/>
          <w:sz w:val="17"/>
        </w:rPr>
        <w:t xml:space="preserve"> </w:t>
      </w:r>
      <w:r>
        <w:rPr>
          <w:color w:val="231F20"/>
          <w:sz w:val="17"/>
        </w:rPr>
        <w:t xml:space="preserve">empirical assessment. </w:t>
      </w:r>
      <w:r>
        <w:rPr>
          <w:i/>
          <w:color w:val="231F20"/>
          <w:sz w:val="17"/>
        </w:rPr>
        <w:t xml:space="preserve">Journal of Travel Research </w:t>
      </w:r>
      <w:r>
        <w:rPr>
          <w:color w:val="231F20"/>
          <w:sz w:val="17"/>
        </w:rPr>
        <w:t>Spring, 3–13.</w:t>
      </w:r>
    </w:p>
    <w:p w14:paraId="72632FF4" w14:textId="77777777" w:rsidR="00AE0598" w:rsidRDefault="0069255A">
      <w:pPr>
        <w:spacing w:before="2"/>
        <w:ind w:left="430" w:right="128" w:hanging="320"/>
        <w:jc w:val="both"/>
        <w:rPr>
          <w:sz w:val="17"/>
        </w:rPr>
      </w:pPr>
      <w:r>
        <w:rPr>
          <w:color w:val="231F20"/>
          <w:w w:val="95"/>
          <w:sz w:val="17"/>
        </w:rPr>
        <w:t>Eden, S. and Barratt, P. (2010) Outdoors versus indoors? Angling ponds, climbing walls and</w:t>
      </w:r>
      <w:r>
        <w:rPr>
          <w:color w:val="231F20"/>
          <w:spacing w:val="40"/>
          <w:sz w:val="17"/>
        </w:rPr>
        <w:t xml:space="preserve"> </w:t>
      </w:r>
      <w:r>
        <w:rPr>
          <w:color w:val="231F20"/>
          <w:sz w:val="17"/>
        </w:rPr>
        <w:t xml:space="preserve">changing expectations of environmental leisure. </w:t>
      </w:r>
      <w:r>
        <w:rPr>
          <w:i/>
          <w:color w:val="231F20"/>
          <w:sz w:val="17"/>
        </w:rPr>
        <w:t>Area</w:t>
      </w:r>
      <w:r>
        <w:rPr>
          <w:i/>
          <w:color w:val="231F20"/>
          <w:sz w:val="17"/>
        </w:rPr>
        <w:t xml:space="preserve"> </w:t>
      </w:r>
      <w:r>
        <w:rPr>
          <w:color w:val="231F20"/>
          <w:sz w:val="17"/>
        </w:rPr>
        <w:t>42 (4), 487–493.</w:t>
      </w:r>
    </w:p>
    <w:p w14:paraId="62339082" w14:textId="77777777" w:rsidR="00AE0598" w:rsidRDefault="0069255A">
      <w:pPr>
        <w:spacing w:before="1"/>
        <w:ind w:left="430" w:right="127" w:hanging="320"/>
        <w:jc w:val="both"/>
        <w:rPr>
          <w:sz w:val="17"/>
        </w:rPr>
      </w:pPr>
      <w:r>
        <w:rPr>
          <w:color w:val="231F20"/>
          <w:sz w:val="17"/>
        </w:rPr>
        <w:t>Edensor,</w:t>
      </w:r>
      <w:r>
        <w:rPr>
          <w:color w:val="231F20"/>
          <w:spacing w:val="-3"/>
          <w:sz w:val="17"/>
        </w:rPr>
        <w:t xml:space="preserve"> </w:t>
      </w:r>
      <w:r>
        <w:rPr>
          <w:color w:val="231F20"/>
          <w:sz w:val="17"/>
        </w:rPr>
        <w:t>T.</w:t>
      </w:r>
      <w:r>
        <w:rPr>
          <w:color w:val="231F20"/>
          <w:spacing w:val="-3"/>
          <w:sz w:val="17"/>
        </w:rPr>
        <w:t xml:space="preserve"> </w:t>
      </w:r>
      <w:r>
        <w:rPr>
          <w:color w:val="231F20"/>
          <w:sz w:val="17"/>
        </w:rPr>
        <w:t>and</w:t>
      </w:r>
      <w:r>
        <w:rPr>
          <w:color w:val="231F20"/>
          <w:spacing w:val="-3"/>
          <w:sz w:val="17"/>
        </w:rPr>
        <w:t xml:space="preserve"> </w:t>
      </w:r>
      <w:r>
        <w:rPr>
          <w:color w:val="231F20"/>
          <w:sz w:val="17"/>
        </w:rPr>
        <w:t>Richards,</w:t>
      </w:r>
      <w:r>
        <w:rPr>
          <w:color w:val="231F20"/>
          <w:spacing w:val="-3"/>
          <w:sz w:val="17"/>
        </w:rPr>
        <w:t xml:space="preserve"> </w:t>
      </w:r>
      <w:r>
        <w:rPr>
          <w:color w:val="231F20"/>
          <w:sz w:val="17"/>
        </w:rPr>
        <w:t>S.</w:t>
      </w:r>
      <w:r>
        <w:rPr>
          <w:color w:val="231F20"/>
          <w:spacing w:val="-3"/>
          <w:sz w:val="17"/>
        </w:rPr>
        <w:t xml:space="preserve"> </w:t>
      </w:r>
      <w:r>
        <w:rPr>
          <w:color w:val="231F20"/>
          <w:sz w:val="17"/>
        </w:rPr>
        <w:t>(2007)</w:t>
      </w:r>
      <w:r>
        <w:rPr>
          <w:color w:val="231F20"/>
          <w:spacing w:val="-3"/>
          <w:sz w:val="17"/>
        </w:rPr>
        <w:t xml:space="preserve"> </w:t>
      </w:r>
      <w:r>
        <w:rPr>
          <w:color w:val="231F20"/>
          <w:sz w:val="17"/>
        </w:rPr>
        <w:t>Snowboarders</w:t>
      </w:r>
      <w:r>
        <w:rPr>
          <w:color w:val="231F20"/>
          <w:spacing w:val="-3"/>
          <w:sz w:val="17"/>
        </w:rPr>
        <w:t xml:space="preserve"> </w:t>
      </w:r>
      <w:r>
        <w:rPr>
          <w:color w:val="231F20"/>
          <w:sz w:val="17"/>
        </w:rPr>
        <w:t>vs</w:t>
      </w:r>
      <w:r>
        <w:rPr>
          <w:color w:val="231F20"/>
          <w:spacing w:val="-3"/>
          <w:sz w:val="17"/>
        </w:rPr>
        <w:t xml:space="preserve"> </w:t>
      </w:r>
      <w:r>
        <w:rPr>
          <w:color w:val="231F20"/>
          <w:sz w:val="17"/>
        </w:rPr>
        <w:t>skiers:</w:t>
      </w:r>
      <w:r>
        <w:rPr>
          <w:color w:val="231F20"/>
          <w:spacing w:val="-3"/>
          <w:sz w:val="17"/>
        </w:rPr>
        <w:t xml:space="preserve"> </w:t>
      </w:r>
      <w:r>
        <w:rPr>
          <w:color w:val="231F20"/>
          <w:sz w:val="17"/>
        </w:rPr>
        <w:t>Contested</w:t>
      </w:r>
      <w:r>
        <w:rPr>
          <w:color w:val="231F20"/>
          <w:spacing w:val="-3"/>
          <w:sz w:val="17"/>
        </w:rPr>
        <w:t xml:space="preserve"> </w:t>
      </w:r>
      <w:r>
        <w:rPr>
          <w:color w:val="231F20"/>
          <w:sz w:val="17"/>
        </w:rPr>
        <w:t>choreographies</w:t>
      </w:r>
      <w:r>
        <w:rPr>
          <w:color w:val="231F20"/>
          <w:spacing w:val="-3"/>
          <w:sz w:val="17"/>
        </w:rPr>
        <w:t xml:space="preserve"> </w:t>
      </w:r>
      <w:r>
        <w:rPr>
          <w:color w:val="231F20"/>
          <w:sz w:val="17"/>
        </w:rPr>
        <w:t>of</w:t>
      </w:r>
      <w:r>
        <w:rPr>
          <w:color w:val="231F20"/>
          <w:spacing w:val="40"/>
          <w:sz w:val="17"/>
        </w:rPr>
        <w:t xml:space="preserve"> </w:t>
      </w:r>
      <w:r>
        <w:rPr>
          <w:color w:val="231F20"/>
          <w:sz w:val="17"/>
        </w:rPr>
        <w:t xml:space="preserve">the slopes. </w:t>
      </w:r>
      <w:r>
        <w:rPr>
          <w:i/>
          <w:color w:val="231F20"/>
          <w:sz w:val="17"/>
        </w:rPr>
        <w:t xml:space="preserve">Leisure Studies </w:t>
      </w:r>
      <w:r>
        <w:rPr>
          <w:color w:val="231F20"/>
          <w:sz w:val="17"/>
        </w:rPr>
        <w:t>26 (1), 97–114.</w:t>
      </w:r>
    </w:p>
    <w:p w14:paraId="6F3BC894" w14:textId="77777777" w:rsidR="00AE0598" w:rsidRDefault="0069255A">
      <w:pPr>
        <w:spacing w:before="1"/>
        <w:ind w:left="430" w:right="128" w:hanging="320"/>
        <w:jc w:val="both"/>
        <w:rPr>
          <w:sz w:val="17"/>
        </w:rPr>
      </w:pPr>
      <w:r>
        <w:rPr>
          <w:color w:val="231F20"/>
          <w:sz w:val="17"/>
        </w:rPr>
        <w:t>Edensor, T. and Millington, S. (2008) ‘This is our city’: Branding football and local</w:t>
      </w:r>
      <w:r>
        <w:rPr>
          <w:color w:val="231F20"/>
          <w:spacing w:val="40"/>
          <w:sz w:val="17"/>
        </w:rPr>
        <w:t xml:space="preserve"> </w:t>
      </w:r>
      <w:r>
        <w:rPr>
          <w:color w:val="231F20"/>
          <w:sz w:val="17"/>
        </w:rPr>
        <w:t xml:space="preserve">embeddedness. </w:t>
      </w:r>
      <w:r>
        <w:rPr>
          <w:i/>
          <w:color w:val="231F20"/>
          <w:sz w:val="17"/>
        </w:rPr>
        <w:t xml:space="preserve">Global Networks: A Journal of Transnational Affairs </w:t>
      </w:r>
      <w:r>
        <w:rPr>
          <w:color w:val="231F20"/>
          <w:sz w:val="17"/>
        </w:rPr>
        <w:t>8 (2), 172–193.</w:t>
      </w:r>
    </w:p>
    <w:p w14:paraId="638AD18C" w14:textId="77777777" w:rsidR="00AE0598" w:rsidRDefault="0069255A">
      <w:pPr>
        <w:spacing w:before="2"/>
        <w:ind w:left="110" w:right="128"/>
        <w:jc w:val="both"/>
        <w:rPr>
          <w:sz w:val="17"/>
        </w:rPr>
      </w:pPr>
      <w:r>
        <w:rPr>
          <w:color w:val="231F20"/>
          <w:sz w:val="17"/>
        </w:rPr>
        <w:t>Edgell,</w:t>
      </w:r>
      <w:r>
        <w:rPr>
          <w:color w:val="231F20"/>
          <w:spacing w:val="39"/>
          <w:sz w:val="17"/>
        </w:rPr>
        <w:t xml:space="preserve"> </w:t>
      </w:r>
      <w:r>
        <w:rPr>
          <w:color w:val="231F20"/>
          <w:sz w:val="17"/>
        </w:rPr>
        <w:t>D.L.</w:t>
      </w:r>
      <w:r>
        <w:rPr>
          <w:color w:val="231F20"/>
          <w:spacing w:val="39"/>
          <w:sz w:val="17"/>
        </w:rPr>
        <w:t xml:space="preserve"> </w:t>
      </w:r>
      <w:r>
        <w:rPr>
          <w:color w:val="231F20"/>
          <w:sz w:val="17"/>
        </w:rPr>
        <w:t>(1990)</w:t>
      </w:r>
      <w:r>
        <w:rPr>
          <w:color w:val="231F20"/>
          <w:spacing w:val="39"/>
          <w:sz w:val="17"/>
        </w:rPr>
        <w:t xml:space="preserve"> </w:t>
      </w:r>
      <w:r>
        <w:rPr>
          <w:i/>
          <w:color w:val="231F20"/>
          <w:sz w:val="17"/>
        </w:rPr>
        <w:t>International</w:t>
      </w:r>
      <w:r>
        <w:rPr>
          <w:i/>
          <w:color w:val="231F20"/>
          <w:spacing w:val="39"/>
          <w:sz w:val="17"/>
        </w:rPr>
        <w:t xml:space="preserve"> </w:t>
      </w:r>
      <w:r>
        <w:rPr>
          <w:i/>
          <w:color w:val="231F20"/>
          <w:sz w:val="17"/>
        </w:rPr>
        <w:t>Tourism</w:t>
      </w:r>
      <w:r>
        <w:rPr>
          <w:i/>
          <w:color w:val="231F20"/>
          <w:spacing w:val="39"/>
          <w:sz w:val="17"/>
        </w:rPr>
        <w:t xml:space="preserve"> </w:t>
      </w:r>
      <w:r>
        <w:rPr>
          <w:i/>
          <w:color w:val="231F20"/>
          <w:sz w:val="17"/>
        </w:rPr>
        <w:t>Policy</w:t>
      </w:r>
      <w:r>
        <w:rPr>
          <w:color w:val="231F20"/>
          <w:sz w:val="17"/>
        </w:rPr>
        <w:t>.</w:t>
      </w:r>
      <w:r>
        <w:rPr>
          <w:color w:val="231F20"/>
          <w:spacing w:val="39"/>
          <w:sz w:val="17"/>
        </w:rPr>
        <w:t xml:space="preserve"> </w:t>
      </w:r>
      <w:r>
        <w:rPr>
          <w:color w:val="231F20"/>
          <w:sz w:val="17"/>
        </w:rPr>
        <w:t>New</w:t>
      </w:r>
      <w:r>
        <w:rPr>
          <w:color w:val="231F20"/>
          <w:spacing w:val="39"/>
          <w:sz w:val="17"/>
        </w:rPr>
        <w:t xml:space="preserve"> </w:t>
      </w:r>
      <w:r>
        <w:rPr>
          <w:color w:val="231F20"/>
          <w:sz w:val="17"/>
        </w:rPr>
        <w:t>York:</w:t>
      </w:r>
      <w:r>
        <w:rPr>
          <w:color w:val="231F20"/>
          <w:spacing w:val="39"/>
          <w:sz w:val="17"/>
        </w:rPr>
        <w:t xml:space="preserve"> </w:t>
      </w:r>
      <w:r>
        <w:rPr>
          <w:color w:val="231F20"/>
          <w:sz w:val="17"/>
        </w:rPr>
        <w:t>Van</w:t>
      </w:r>
      <w:r>
        <w:rPr>
          <w:color w:val="231F20"/>
          <w:spacing w:val="39"/>
          <w:sz w:val="17"/>
        </w:rPr>
        <w:t xml:space="preserve"> </w:t>
      </w:r>
      <w:r>
        <w:rPr>
          <w:color w:val="231F20"/>
          <w:sz w:val="17"/>
        </w:rPr>
        <w:t>Nostrand</w:t>
      </w:r>
      <w:r>
        <w:rPr>
          <w:color w:val="231F20"/>
          <w:spacing w:val="39"/>
          <w:sz w:val="17"/>
        </w:rPr>
        <w:t xml:space="preserve"> </w:t>
      </w:r>
      <w:r>
        <w:rPr>
          <w:color w:val="231F20"/>
          <w:sz w:val="17"/>
        </w:rPr>
        <w:t>Reinhold.</w:t>
      </w:r>
      <w:r>
        <w:rPr>
          <w:color w:val="231F20"/>
          <w:spacing w:val="40"/>
          <w:sz w:val="17"/>
        </w:rPr>
        <w:t xml:space="preserve"> </w:t>
      </w:r>
      <w:r>
        <w:rPr>
          <w:color w:val="231F20"/>
          <w:w w:val="95"/>
          <w:sz w:val="17"/>
        </w:rPr>
        <w:t>Eid,</w:t>
      </w:r>
      <w:r>
        <w:rPr>
          <w:color w:val="231F20"/>
          <w:spacing w:val="14"/>
          <w:sz w:val="17"/>
        </w:rPr>
        <w:t xml:space="preserve"> </w:t>
      </w:r>
      <w:r>
        <w:rPr>
          <w:color w:val="231F20"/>
          <w:w w:val="95"/>
          <w:sz w:val="17"/>
        </w:rPr>
        <w:t>M.</w:t>
      </w:r>
      <w:r>
        <w:rPr>
          <w:color w:val="231F20"/>
          <w:spacing w:val="15"/>
          <w:sz w:val="17"/>
        </w:rPr>
        <w:t xml:space="preserve"> </w:t>
      </w:r>
      <w:r>
        <w:rPr>
          <w:color w:val="231F20"/>
          <w:w w:val="95"/>
          <w:sz w:val="17"/>
        </w:rPr>
        <w:t>and</w:t>
      </w:r>
      <w:r>
        <w:rPr>
          <w:color w:val="231F20"/>
          <w:spacing w:val="15"/>
          <w:sz w:val="17"/>
        </w:rPr>
        <w:t xml:space="preserve"> </w:t>
      </w:r>
      <w:r>
        <w:rPr>
          <w:color w:val="231F20"/>
          <w:w w:val="95"/>
          <w:sz w:val="17"/>
        </w:rPr>
        <w:t>Diener,</w:t>
      </w:r>
      <w:r>
        <w:rPr>
          <w:color w:val="231F20"/>
          <w:spacing w:val="14"/>
          <w:sz w:val="17"/>
        </w:rPr>
        <w:t xml:space="preserve"> </w:t>
      </w:r>
      <w:r>
        <w:rPr>
          <w:color w:val="231F20"/>
          <w:w w:val="95"/>
          <w:sz w:val="17"/>
        </w:rPr>
        <w:t>E.</w:t>
      </w:r>
      <w:r>
        <w:rPr>
          <w:color w:val="231F20"/>
          <w:spacing w:val="15"/>
          <w:sz w:val="17"/>
        </w:rPr>
        <w:t xml:space="preserve"> </w:t>
      </w:r>
      <w:r>
        <w:rPr>
          <w:color w:val="231F20"/>
          <w:w w:val="95"/>
          <w:sz w:val="17"/>
        </w:rPr>
        <w:t>(2001)</w:t>
      </w:r>
      <w:r>
        <w:rPr>
          <w:color w:val="231F20"/>
          <w:spacing w:val="15"/>
          <w:sz w:val="17"/>
        </w:rPr>
        <w:t xml:space="preserve"> </w:t>
      </w:r>
      <w:r>
        <w:rPr>
          <w:color w:val="231F20"/>
          <w:w w:val="95"/>
          <w:sz w:val="17"/>
        </w:rPr>
        <w:t>Norms</w:t>
      </w:r>
      <w:r>
        <w:rPr>
          <w:color w:val="231F20"/>
          <w:spacing w:val="14"/>
          <w:sz w:val="17"/>
        </w:rPr>
        <w:t xml:space="preserve"> </w:t>
      </w:r>
      <w:r>
        <w:rPr>
          <w:color w:val="231F20"/>
          <w:w w:val="95"/>
          <w:sz w:val="17"/>
        </w:rPr>
        <w:t>for</w:t>
      </w:r>
      <w:r>
        <w:rPr>
          <w:color w:val="231F20"/>
          <w:spacing w:val="15"/>
          <w:sz w:val="17"/>
        </w:rPr>
        <w:t xml:space="preserve"> </w:t>
      </w:r>
      <w:r>
        <w:rPr>
          <w:color w:val="231F20"/>
          <w:w w:val="95"/>
          <w:sz w:val="17"/>
        </w:rPr>
        <w:t>experiencing</w:t>
      </w:r>
      <w:r>
        <w:rPr>
          <w:color w:val="231F20"/>
          <w:spacing w:val="15"/>
          <w:sz w:val="17"/>
        </w:rPr>
        <w:t xml:space="preserve"> </w:t>
      </w:r>
      <w:r>
        <w:rPr>
          <w:color w:val="231F20"/>
          <w:w w:val="95"/>
          <w:sz w:val="17"/>
        </w:rPr>
        <w:t>emotions</w:t>
      </w:r>
      <w:r>
        <w:rPr>
          <w:color w:val="231F20"/>
          <w:spacing w:val="14"/>
          <w:sz w:val="17"/>
        </w:rPr>
        <w:t xml:space="preserve"> </w:t>
      </w:r>
      <w:r>
        <w:rPr>
          <w:color w:val="231F20"/>
          <w:w w:val="95"/>
          <w:sz w:val="17"/>
        </w:rPr>
        <w:t>in</w:t>
      </w:r>
      <w:r>
        <w:rPr>
          <w:color w:val="231F20"/>
          <w:spacing w:val="15"/>
          <w:sz w:val="17"/>
        </w:rPr>
        <w:t xml:space="preserve"> </w:t>
      </w:r>
      <w:r>
        <w:rPr>
          <w:color w:val="231F20"/>
          <w:w w:val="95"/>
          <w:sz w:val="17"/>
        </w:rPr>
        <w:t>different</w:t>
      </w:r>
      <w:r>
        <w:rPr>
          <w:color w:val="231F20"/>
          <w:spacing w:val="15"/>
          <w:sz w:val="17"/>
        </w:rPr>
        <w:t xml:space="preserve"> </w:t>
      </w:r>
      <w:r>
        <w:rPr>
          <w:color w:val="231F20"/>
          <w:w w:val="95"/>
          <w:sz w:val="17"/>
        </w:rPr>
        <w:t>cultures:</w:t>
      </w:r>
      <w:r>
        <w:rPr>
          <w:color w:val="231F20"/>
          <w:spacing w:val="15"/>
          <w:sz w:val="17"/>
        </w:rPr>
        <w:t xml:space="preserve"> </w:t>
      </w:r>
      <w:r>
        <w:rPr>
          <w:color w:val="231F20"/>
          <w:spacing w:val="-2"/>
          <w:w w:val="95"/>
          <w:sz w:val="17"/>
        </w:rPr>
        <w:t>Inter-</w:t>
      </w:r>
    </w:p>
    <w:p w14:paraId="5F95C465" w14:textId="77777777" w:rsidR="00AE0598" w:rsidRDefault="0069255A">
      <w:pPr>
        <w:spacing w:before="1"/>
        <w:ind w:left="430" w:right="127"/>
        <w:jc w:val="both"/>
        <w:rPr>
          <w:sz w:val="17"/>
        </w:rPr>
      </w:pPr>
      <w:r>
        <w:rPr>
          <w:color w:val="231F20"/>
          <w:sz w:val="17"/>
        </w:rPr>
        <w:t xml:space="preserve">and intranational differences. </w:t>
      </w:r>
      <w:r>
        <w:rPr>
          <w:i/>
          <w:color w:val="231F20"/>
          <w:sz w:val="17"/>
        </w:rPr>
        <w:t xml:space="preserve">Journal of Personality and Social Psychology </w:t>
      </w:r>
      <w:r>
        <w:rPr>
          <w:color w:val="231F20"/>
          <w:sz w:val="17"/>
        </w:rPr>
        <w:t>81 (5),</w:t>
      </w:r>
      <w:r>
        <w:rPr>
          <w:color w:val="231F20"/>
          <w:spacing w:val="40"/>
          <w:sz w:val="17"/>
        </w:rPr>
        <w:t xml:space="preserve"> </w:t>
      </w:r>
      <w:r>
        <w:rPr>
          <w:color w:val="231F20"/>
          <w:spacing w:val="-2"/>
          <w:sz w:val="17"/>
        </w:rPr>
        <w:t>869–884.</w:t>
      </w:r>
    </w:p>
    <w:p w14:paraId="0F9C3D0C" w14:textId="77777777" w:rsidR="00AE0598" w:rsidRDefault="0069255A">
      <w:pPr>
        <w:spacing w:before="2"/>
        <w:ind w:left="430" w:right="127" w:hanging="320"/>
        <w:jc w:val="both"/>
        <w:rPr>
          <w:sz w:val="17"/>
        </w:rPr>
      </w:pPr>
      <w:r>
        <w:rPr>
          <w:color w:val="231F20"/>
          <w:sz w:val="17"/>
        </w:rPr>
        <w:t xml:space="preserve">Elias, N. and Dunning, E. (2008) </w:t>
      </w:r>
      <w:r>
        <w:rPr>
          <w:i/>
          <w:color w:val="231F20"/>
          <w:sz w:val="17"/>
        </w:rPr>
        <w:t>Quest for Excitement: Sport and Leisure in the Civilising</w:t>
      </w:r>
      <w:r>
        <w:rPr>
          <w:i/>
          <w:color w:val="231F20"/>
          <w:spacing w:val="40"/>
          <w:sz w:val="17"/>
        </w:rPr>
        <w:t xml:space="preserve"> </w:t>
      </w:r>
      <w:r>
        <w:rPr>
          <w:i/>
          <w:color w:val="231F20"/>
          <w:sz w:val="17"/>
        </w:rPr>
        <w:t xml:space="preserve">Process </w:t>
      </w:r>
      <w:r>
        <w:rPr>
          <w:color w:val="231F20"/>
          <w:sz w:val="17"/>
        </w:rPr>
        <w:t>(rev. edn). Dublin: University College Dublin Press.</w:t>
      </w:r>
    </w:p>
    <w:p w14:paraId="77DEAD7A" w14:textId="77777777" w:rsidR="00AE0598" w:rsidRDefault="0069255A">
      <w:pPr>
        <w:spacing w:before="1"/>
        <w:ind w:left="430" w:right="127" w:hanging="320"/>
        <w:jc w:val="both"/>
        <w:rPr>
          <w:sz w:val="17"/>
        </w:rPr>
      </w:pPr>
      <w:r>
        <w:rPr>
          <w:color w:val="231F20"/>
          <w:sz w:val="17"/>
        </w:rPr>
        <w:t xml:space="preserve">Elling, </w:t>
      </w:r>
      <w:r>
        <w:rPr>
          <w:color w:val="231F20"/>
          <w:w w:val="105"/>
          <w:sz w:val="17"/>
        </w:rPr>
        <w:t xml:space="preserve">A. </w:t>
      </w:r>
      <w:r>
        <w:rPr>
          <w:color w:val="231F20"/>
          <w:sz w:val="17"/>
        </w:rPr>
        <w:t xml:space="preserve">and Janssens, </w:t>
      </w:r>
      <w:r>
        <w:rPr>
          <w:color w:val="231F20"/>
          <w:w w:val="105"/>
          <w:sz w:val="17"/>
        </w:rPr>
        <w:t xml:space="preserve">J. </w:t>
      </w:r>
      <w:r>
        <w:rPr>
          <w:color w:val="231F20"/>
          <w:sz w:val="17"/>
        </w:rPr>
        <w:t>(2009) Sexuality as a structural principle in sport participation:</w:t>
      </w:r>
      <w:r>
        <w:rPr>
          <w:color w:val="231F20"/>
          <w:spacing w:val="40"/>
          <w:sz w:val="17"/>
        </w:rPr>
        <w:t xml:space="preserve"> </w:t>
      </w:r>
      <w:r>
        <w:rPr>
          <w:color w:val="231F20"/>
          <w:sz w:val="17"/>
        </w:rPr>
        <w:t xml:space="preserve">Negotiating sports spaces. </w:t>
      </w:r>
      <w:r>
        <w:rPr>
          <w:i/>
          <w:color w:val="231F20"/>
          <w:sz w:val="17"/>
        </w:rPr>
        <w:t>International R</w:t>
      </w:r>
      <w:r>
        <w:rPr>
          <w:i/>
          <w:color w:val="231F20"/>
          <w:sz w:val="17"/>
        </w:rPr>
        <w:t xml:space="preserve">eview for the Sociology of Sport </w:t>
      </w:r>
      <w:r>
        <w:rPr>
          <w:color w:val="231F20"/>
          <w:sz w:val="17"/>
        </w:rPr>
        <w:t>44 (1),</w:t>
      </w:r>
      <w:r>
        <w:rPr>
          <w:color w:val="231F20"/>
          <w:spacing w:val="40"/>
          <w:sz w:val="17"/>
        </w:rPr>
        <w:t xml:space="preserve"> </w:t>
      </w:r>
      <w:r>
        <w:rPr>
          <w:color w:val="231F20"/>
          <w:spacing w:val="-2"/>
          <w:sz w:val="17"/>
        </w:rPr>
        <w:t>71–86.</w:t>
      </w:r>
    </w:p>
    <w:p w14:paraId="34B22366" w14:textId="77777777" w:rsidR="00AE0598" w:rsidRDefault="00AE0598">
      <w:pPr>
        <w:jc w:val="both"/>
        <w:rPr>
          <w:sz w:val="17"/>
        </w:rPr>
        <w:sectPr w:rsidR="00AE0598">
          <w:pgSz w:w="8850" w:h="13270"/>
          <w:pgMar w:top="720" w:right="1060" w:bottom="280" w:left="1080" w:header="720" w:footer="720" w:gutter="0"/>
          <w:cols w:space="720"/>
        </w:sectPr>
      </w:pPr>
    </w:p>
    <w:p w14:paraId="3104C01F" w14:textId="77777777" w:rsidR="00AE0598" w:rsidRDefault="0069255A">
      <w:pPr>
        <w:spacing w:before="87"/>
        <w:ind w:left="110" w:right="128"/>
        <w:jc w:val="right"/>
        <w:rPr>
          <w:rFonts w:ascii="Trebuchet MS"/>
          <w:sz w:val="14"/>
        </w:rPr>
      </w:pPr>
      <w:r>
        <w:rPr>
          <w:rFonts w:ascii="Trebuchet MS"/>
          <w:color w:val="231F20"/>
          <w:w w:val="105"/>
          <w:sz w:val="14"/>
        </w:rPr>
        <w:lastRenderedPageBreak/>
        <w:t>References</w:t>
      </w:r>
      <w:r>
        <w:rPr>
          <w:rFonts w:ascii="Trebuchet MS"/>
          <w:color w:val="231F20"/>
          <w:spacing w:val="67"/>
          <w:w w:val="105"/>
          <w:sz w:val="14"/>
        </w:rPr>
        <w:t xml:space="preserve"> </w:t>
      </w:r>
      <w:r>
        <w:rPr>
          <w:rFonts w:ascii="Trebuchet MS"/>
          <w:color w:val="231F20"/>
          <w:spacing w:val="-5"/>
          <w:w w:val="105"/>
          <w:sz w:val="14"/>
        </w:rPr>
        <w:t>247</w:t>
      </w:r>
    </w:p>
    <w:p w14:paraId="1E4B245B" w14:textId="77777777" w:rsidR="00AE0598" w:rsidRDefault="00AE0598">
      <w:pPr>
        <w:pStyle w:val="Corpodetexto"/>
        <w:rPr>
          <w:rFonts w:ascii="Trebuchet MS"/>
          <w:sz w:val="16"/>
        </w:rPr>
      </w:pPr>
    </w:p>
    <w:p w14:paraId="43BE6849" w14:textId="77777777" w:rsidR="00AE0598" w:rsidRDefault="0069255A">
      <w:pPr>
        <w:spacing w:before="121"/>
        <w:ind w:left="430" w:right="127" w:hanging="320"/>
        <w:jc w:val="both"/>
        <w:rPr>
          <w:sz w:val="17"/>
        </w:rPr>
      </w:pPr>
      <w:r>
        <w:rPr>
          <w:color w:val="231F20"/>
          <w:sz w:val="17"/>
        </w:rPr>
        <w:t>Emery,</w:t>
      </w:r>
      <w:r>
        <w:rPr>
          <w:color w:val="231F20"/>
          <w:spacing w:val="-3"/>
          <w:sz w:val="17"/>
        </w:rPr>
        <w:t xml:space="preserve"> </w:t>
      </w:r>
      <w:r>
        <w:rPr>
          <w:color w:val="231F20"/>
          <w:sz w:val="17"/>
        </w:rPr>
        <w:t>P.R.</w:t>
      </w:r>
      <w:r>
        <w:rPr>
          <w:color w:val="231F20"/>
          <w:spacing w:val="-3"/>
          <w:sz w:val="17"/>
        </w:rPr>
        <w:t xml:space="preserve"> </w:t>
      </w:r>
      <w:r>
        <w:rPr>
          <w:color w:val="231F20"/>
          <w:sz w:val="17"/>
        </w:rPr>
        <w:t>(1998,</w:t>
      </w:r>
      <w:r>
        <w:rPr>
          <w:color w:val="231F20"/>
          <w:spacing w:val="-3"/>
          <w:sz w:val="17"/>
        </w:rPr>
        <w:t xml:space="preserve"> </w:t>
      </w:r>
      <w:r>
        <w:rPr>
          <w:color w:val="231F20"/>
          <w:sz w:val="17"/>
        </w:rPr>
        <w:t>2–4</w:t>
      </w:r>
      <w:r>
        <w:rPr>
          <w:color w:val="231F20"/>
          <w:spacing w:val="-3"/>
          <w:sz w:val="17"/>
        </w:rPr>
        <w:t xml:space="preserve"> </w:t>
      </w:r>
      <w:r>
        <w:rPr>
          <w:color w:val="231F20"/>
          <w:sz w:val="17"/>
        </w:rPr>
        <w:t>July)</w:t>
      </w:r>
      <w:r>
        <w:rPr>
          <w:color w:val="231F20"/>
          <w:spacing w:val="-3"/>
          <w:sz w:val="17"/>
        </w:rPr>
        <w:t xml:space="preserve"> </w:t>
      </w:r>
      <w:r>
        <w:rPr>
          <w:color w:val="231F20"/>
          <w:sz w:val="17"/>
        </w:rPr>
        <w:t>Bidding</w:t>
      </w:r>
      <w:r>
        <w:rPr>
          <w:color w:val="231F20"/>
          <w:spacing w:val="-3"/>
          <w:sz w:val="17"/>
        </w:rPr>
        <w:t xml:space="preserve"> </w:t>
      </w:r>
      <w:r>
        <w:rPr>
          <w:color w:val="231F20"/>
          <w:sz w:val="17"/>
        </w:rPr>
        <w:t>to</w:t>
      </w:r>
      <w:r>
        <w:rPr>
          <w:color w:val="231F20"/>
          <w:spacing w:val="-3"/>
          <w:sz w:val="17"/>
        </w:rPr>
        <w:t xml:space="preserve"> </w:t>
      </w:r>
      <w:r>
        <w:rPr>
          <w:color w:val="231F20"/>
          <w:sz w:val="17"/>
        </w:rPr>
        <w:t>host</w:t>
      </w:r>
      <w:r>
        <w:rPr>
          <w:color w:val="231F20"/>
          <w:spacing w:val="-3"/>
          <w:sz w:val="17"/>
        </w:rPr>
        <w:t xml:space="preserve"> </w:t>
      </w:r>
      <w:r>
        <w:rPr>
          <w:color w:val="231F20"/>
          <w:sz w:val="17"/>
        </w:rPr>
        <w:t>a</w:t>
      </w:r>
      <w:r>
        <w:rPr>
          <w:color w:val="231F20"/>
          <w:spacing w:val="-3"/>
          <w:sz w:val="17"/>
        </w:rPr>
        <w:t xml:space="preserve"> </w:t>
      </w:r>
      <w:r>
        <w:rPr>
          <w:color w:val="231F20"/>
          <w:sz w:val="17"/>
        </w:rPr>
        <w:t>major</w:t>
      </w:r>
      <w:r>
        <w:rPr>
          <w:color w:val="231F20"/>
          <w:spacing w:val="-3"/>
          <w:sz w:val="17"/>
        </w:rPr>
        <w:t xml:space="preserve"> </w:t>
      </w:r>
      <w:r>
        <w:rPr>
          <w:color w:val="231F20"/>
          <w:sz w:val="17"/>
        </w:rPr>
        <w:t>sports</w:t>
      </w:r>
      <w:r>
        <w:rPr>
          <w:color w:val="231F20"/>
          <w:spacing w:val="-3"/>
          <w:sz w:val="17"/>
        </w:rPr>
        <w:t xml:space="preserve"> </w:t>
      </w:r>
      <w:r>
        <w:rPr>
          <w:color w:val="231F20"/>
          <w:sz w:val="17"/>
        </w:rPr>
        <w:t>event:</w:t>
      </w:r>
      <w:r>
        <w:rPr>
          <w:color w:val="231F20"/>
          <w:spacing w:val="-3"/>
          <w:sz w:val="17"/>
        </w:rPr>
        <w:t xml:space="preserve"> </w:t>
      </w:r>
      <w:r>
        <w:rPr>
          <w:color w:val="231F20"/>
          <w:sz w:val="17"/>
        </w:rPr>
        <w:t>Strategic</w:t>
      </w:r>
      <w:r>
        <w:rPr>
          <w:color w:val="231F20"/>
          <w:spacing w:val="-3"/>
          <w:sz w:val="17"/>
        </w:rPr>
        <w:t xml:space="preserve"> </w:t>
      </w:r>
      <w:r>
        <w:rPr>
          <w:color w:val="231F20"/>
          <w:sz w:val="17"/>
        </w:rPr>
        <w:t>investment</w:t>
      </w:r>
      <w:r>
        <w:rPr>
          <w:color w:val="231F20"/>
          <w:spacing w:val="-3"/>
          <w:sz w:val="17"/>
        </w:rPr>
        <w:t xml:space="preserve"> </w:t>
      </w:r>
      <w:r>
        <w:rPr>
          <w:color w:val="231F20"/>
          <w:sz w:val="17"/>
        </w:rPr>
        <w:t>or</w:t>
      </w:r>
      <w:r>
        <w:rPr>
          <w:color w:val="231F20"/>
          <w:spacing w:val="40"/>
          <w:sz w:val="17"/>
        </w:rPr>
        <w:t xml:space="preserve"> </w:t>
      </w:r>
      <w:r>
        <w:rPr>
          <w:color w:val="231F20"/>
          <w:sz w:val="17"/>
        </w:rPr>
        <w:t>complete lottery. Paper presented at the Sport in the City, Sheffield, UK.</w:t>
      </w:r>
    </w:p>
    <w:p w14:paraId="7AB39F51" w14:textId="77777777" w:rsidR="00AE0598" w:rsidRDefault="0069255A">
      <w:pPr>
        <w:spacing w:before="1"/>
        <w:ind w:left="430" w:right="128" w:hanging="320"/>
        <w:jc w:val="both"/>
        <w:rPr>
          <w:sz w:val="17"/>
        </w:rPr>
      </w:pPr>
      <w:r>
        <w:rPr>
          <w:color w:val="231F20"/>
          <w:sz w:val="17"/>
        </w:rPr>
        <w:t>Environment Agency (2008) Assessing Optimum Irrigation Water Use: Additional</w:t>
      </w:r>
      <w:r>
        <w:rPr>
          <w:color w:val="231F20"/>
          <w:spacing w:val="40"/>
          <w:sz w:val="17"/>
        </w:rPr>
        <w:t xml:space="preserve"> </w:t>
      </w:r>
      <w:r>
        <w:rPr>
          <w:color w:val="231F20"/>
          <w:sz w:val="17"/>
        </w:rPr>
        <w:t xml:space="preserve">Agricultural and Non-Agricultural Sectors (Report No. </w:t>
      </w:r>
      <w:r>
        <w:rPr>
          <w:color w:val="231F20"/>
          <w:spacing w:val="-2"/>
          <w:w w:val="102"/>
          <w:sz w:val="17"/>
        </w:rPr>
        <w:t>S</w:t>
      </w:r>
      <w:r>
        <w:rPr>
          <w:color w:val="231F20"/>
          <w:spacing w:val="4"/>
          <w:w w:val="130"/>
          <w:sz w:val="17"/>
        </w:rPr>
        <w:t>C</w:t>
      </w:r>
      <w:r>
        <w:rPr>
          <w:color w:val="231F20"/>
          <w:spacing w:val="4"/>
          <w:w w:val="92"/>
          <w:sz w:val="17"/>
        </w:rPr>
        <w:t>04</w:t>
      </w:r>
      <w:r>
        <w:rPr>
          <w:color w:val="231F20"/>
          <w:spacing w:val="6"/>
          <w:w w:val="92"/>
          <w:sz w:val="17"/>
        </w:rPr>
        <w:t>00</w:t>
      </w:r>
      <w:r>
        <w:rPr>
          <w:color w:val="231F20"/>
          <w:spacing w:val="2"/>
          <w:w w:val="92"/>
          <w:sz w:val="17"/>
        </w:rPr>
        <w:t>0</w:t>
      </w:r>
      <w:r>
        <w:rPr>
          <w:color w:val="231F20"/>
          <w:w w:val="92"/>
          <w:sz w:val="17"/>
        </w:rPr>
        <w:t>8</w:t>
      </w:r>
      <w:r>
        <w:rPr>
          <w:color w:val="231F20"/>
          <w:spacing w:val="-2"/>
          <w:w w:val="63"/>
          <w:sz w:val="17"/>
        </w:rPr>
        <w:t>/</w:t>
      </w:r>
      <w:r>
        <w:rPr>
          <w:color w:val="231F20"/>
          <w:spacing w:val="-1"/>
          <w:w w:val="102"/>
          <w:sz w:val="17"/>
        </w:rPr>
        <w:t>S</w:t>
      </w:r>
      <w:r>
        <w:rPr>
          <w:color w:val="231F20"/>
          <w:spacing w:val="-3"/>
          <w:w w:val="118"/>
          <w:sz w:val="17"/>
        </w:rPr>
        <w:t>R</w:t>
      </w:r>
      <w:r>
        <w:rPr>
          <w:color w:val="231F20"/>
          <w:spacing w:val="-7"/>
          <w:w w:val="92"/>
          <w:sz w:val="17"/>
        </w:rPr>
        <w:t>1</w:t>
      </w:r>
      <w:r>
        <w:rPr>
          <w:color w:val="231F20"/>
          <w:spacing w:val="-8"/>
          <w:w w:val="90"/>
          <w:sz w:val="17"/>
        </w:rPr>
        <w:t>)</w:t>
      </w:r>
      <w:r>
        <w:rPr>
          <w:color w:val="231F20"/>
          <w:spacing w:val="-4"/>
          <w:w w:val="138"/>
          <w:sz w:val="17"/>
        </w:rPr>
        <w:t>.</w:t>
      </w:r>
      <w:r>
        <w:rPr>
          <w:color w:val="231F20"/>
          <w:spacing w:val="-1"/>
          <w:w w:val="99"/>
          <w:sz w:val="17"/>
        </w:rPr>
        <w:t xml:space="preserve"> </w:t>
      </w:r>
      <w:r>
        <w:rPr>
          <w:color w:val="231F20"/>
          <w:sz w:val="17"/>
        </w:rPr>
        <w:t>Bristol:</w:t>
      </w:r>
      <w:r>
        <w:rPr>
          <w:color w:val="231F20"/>
          <w:spacing w:val="40"/>
          <w:sz w:val="17"/>
        </w:rPr>
        <w:t xml:space="preserve"> </w:t>
      </w:r>
      <w:r>
        <w:rPr>
          <w:color w:val="231F20"/>
          <w:sz w:val="17"/>
        </w:rPr>
        <w:t>Environment Agency.</w:t>
      </w:r>
    </w:p>
    <w:p w14:paraId="57F3EEB8" w14:textId="77777777" w:rsidR="00AE0598" w:rsidRDefault="0069255A">
      <w:pPr>
        <w:spacing w:before="2"/>
        <w:ind w:left="110"/>
        <w:jc w:val="both"/>
        <w:rPr>
          <w:sz w:val="17"/>
        </w:rPr>
      </w:pPr>
      <w:r>
        <w:rPr>
          <w:color w:val="231F20"/>
          <w:sz w:val="17"/>
        </w:rPr>
        <w:t>Ernst</w:t>
      </w:r>
      <w:r>
        <w:rPr>
          <w:color w:val="231F20"/>
          <w:spacing w:val="49"/>
          <w:sz w:val="17"/>
        </w:rPr>
        <w:t xml:space="preserve"> </w:t>
      </w:r>
      <w:r>
        <w:rPr>
          <w:color w:val="231F20"/>
          <w:sz w:val="17"/>
        </w:rPr>
        <w:t>and</w:t>
      </w:r>
      <w:r>
        <w:rPr>
          <w:color w:val="231F20"/>
          <w:spacing w:val="49"/>
          <w:sz w:val="17"/>
        </w:rPr>
        <w:t xml:space="preserve"> </w:t>
      </w:r>
      <w:r>
        <w:rPr>
          <w:color w:val="231F20"/>
          <w:sz w:val="17"/>
        </w:rPr>
        <w:t>Young</w:t>
      </w:r>
      <w:r>
        <w:rPr>
          <w:color w:val="231F20"/>
          <w:spacing w:val="49"/>
          <w:sz w:val="17"/>
        </w:rPr>
        <w:t xml:space="preserve"> </w:t>
      </w:r>
      <w:r>
        <w:rPr>
          <w:color w:val="231F20"/>
          <w:sz w:val="17"/>
        </w:rPr>
        <w:t>(1996)</w:t>
      </w:r>
      <w:r>
        <w:rPr>
          <w:color w:val="231F20"/>
          <w:spacing w:val="49"/>
          <w:sz w:val="17"/>
        </w:rPr>
        <w:t xml:space="preserve"> </w:t>
      </w:r>
      <w:r>
        <w:rPr>
          <w:color w:val="231F20"/>
          <w:sz w:val="17"/>
        </w:rPr>
        <w:t>Economic</w:t>
      </w:r>
      <w:r>
        <w:rPr>
          <w:color w:val="231F20"/>
          <w:spacing w:val="49"/>
          <w:sz w:val="17"/>
        </w:rPr>
        <w:t xml:space="preserve"> </w:t>
      </w:r>
      <w:r>
        <w:rPr>
          <w:color w:val="231F20"/>
          <w:sz w:val="17"/>
        </w:rPr>
        <w:t>Impact</w:t>
      </w:r>
      <w:r>
        <w:rPr>
          <w:color w:val="231F20"/>
          <w:spacing w:val="50"/>
          <w:sz w:val="17"/>
        </w:rPr>
        <w:t xml:space="preserve"> </w:t>
      </w:r>
      <w:r>
        <w:rPr>
          <w:color w:val="231F20"/>
          <w:sz w:val="17"/>
        </w:rPr>
        <w:t>Analysis</w:t>
      </w:r>
      <w:r>
        <w:rPr>
          <w:color w:val="231F20"/>
          <w:spacing w:val="49"/>
          <w:sz w:val="17"/>
        </w:rPr>
        <w:t xml:space="preserve"> </w:t>
      </w:r>
      <w:r>
        <w:rPr>
          <w:color w:val="231F20"/>
          <w:sz w:val="17"/>
        </w:rPr>
        <w:t>America’s</w:t>
      </w:r>
      <w:r>
        <w:rPr>
          <w:color w:val="231F20"/>
          <w:spacing w:val="49"/>
          <w:sz w:val="17"/>
        </w:rPr>
        <w:t xml:space="preserve"> </w:t>
      </w:r>
      <w:r>
        <w:rPr>
          <w:color w:val="231F20"/>
          <w:sz w:val="17"/>
        </w:rPr>
        <w:t>Cup</w:t>
      </w:r>
      <w:r>
        <w:rPr>
          <w:color w:val="231F20"/>
          <w:spacing w:val="49"/>
          <w:sz w:val="17"/>
        </w:rPr>
        <w:t xml:space="preserve"> </w:t>
      </w:r>
      <w:r>
        <w:rPr>
          <w:color w:val="231F20"/>
          <w:sz w:val="17"/>
        </w:rPr>
        <w:t>Auckland</w:t>
      </w:r>
      <w:r>
        <w:rPr>
          <w:color w:val="231F20"/>
          <w:spacing w:val="49"/>
          <w:sz w:val="17"/>
        </w:rPr>
        <w:t xml:space="preserve"> </w:t>
      </w:r>
      <w:r>
        <w:rPr>
          <w:color w:val="231F20"/>
          <w:spacing w:val="-2"/>
          <w:sz w:val="17"/>
        </w:rPr>
        <w:t>2000.</w:t>
      </w:r>
    </w:p>
    <w:p w14:paraId="4419F245" w14:textId="77777777" w:rsidR="00AE0598" w:rsidRDefault="0069255A">
      <w:pPr>
        <w:spacing w:before="1"/>
        <w:ind w:left="430"/>
        <w:jc w:val="both"/>
        <w:rPr>
          <w:sz w:val="17"/>
        </w:rPr>
      </w:pPr>
      <w:r>
        <w:rPr>
          <w:color w:val="231F20"/>
          <w:w w:val="95"/>
          <w:sz w:val="17"/>
        </w:rPr>
        <w:t>Unpublished</w:t>
      </w:r>
      <w:r>
        <w:rPr>
          <w:color w:val="231F20"/>
          <w:spacing w:val="14"/>
          <w:sz w:val="17"/>
        </w:rPr>
        <w:t xml:space="preserve"> </w:t>
      </w:r>
      <w:r>
        <w:rPr>
          <w:color w:val="231F20"/>
          <w:w w:val="95"/>
          <w:sz w:val="17"/>
        </w:rPr>
        <w:t>report</w:t>
      </w:r>
      <w:r>
        <w:rPr>
          <w:color w:val="231F20"/>
          <w:spacing w:val="15"/>
          <w:sz w:val="17"/>
        </w:rPr>
        <w:t xml:space="preserve"> </w:t>
      </w:r>
      <w:r>
        <w:rPr>
          <w:color w:val="231F20"/>
          <w:w w:val="95"/>
          <w:sz w:val="17"/>
        </w:rPr>
        <w:t>prepared</w:t>
      </w:r>
      <w:r>
        <w:rPr>
          <w:color w:val="231F20"/>
          <w:spacing w:val="15"/>
          <w:sz w:val="17"/>
        </w:rPr>
        <w:t xml:space="preserve"> </w:t>
      </w:r>
      <w:r>
        <w:rPr>
          <w:color w:val="231F20"/>
          <w:w w:val="95"/>
          <w:sz w:val="17"/>
        </w:rPr>
        <w:t>for</w:t>
      </w:r>
      <w:r>
        <w:rPr>
          <w:color w:val="231F20"/>
          <w:spacing w:val="14"/>
          <w:sz w:val="17"/>
        </w:rPr>
        <w:t xml:space="preserve"> </w:t>
      </w:r>
      <w:r>
        <w:rPr>
          <w:color w:val="231F20"/>
          <w:w w:val="95"/>
          <w:sz w:val="17"/>
        </w:rPr>
        <w:t>the</w:t>
      </w:r>
      <w:r>
        <w:rPr>
          <w:color w:val="231F20"/>
          <w:spacing w:val="15"/>
          <w:sz w:val="17"/>
        </w:rPr>
        <w:t xml:space="preserve"> </w:t>
      </w:r>
      <w:r>
        <w:rPr>
          <w:color w:val="231F20"/>
          <w:w w:val="95"/>
          <w:sz w:val="17"/>
        </w:rPr>
        <w:t>Auckland</w:t>
      </w:r>
      <w:r>
        <w:rPr>
          <w:color w:val="231F20"/>
          <w:spacing w:val="15"/>
          <w:sz w:val="17"/>
        </w:rPr>
        <w:t xml:space="preserve"> </w:t>
      </w:r>
      <w:r>
        <w:rPr>
          <w:color w:val="231F20"/>
          <w:w w:val="95"/>
          <w:sz w:val="17"/>
        </w:rPr>
        <w:t>Regional</w:t>
      </w:r>
      <w:r>
        <w:rPr>
          <w:color w:val="231F20"/>
          <w:spacing w:val="15"/>
          <w:sz w:val="17"/>
        </w:rPr>
        <w:t xml:space="preserve"> </w:t>
      </w:r>
      <w:r>
        <w:rPr>
          <w:color w:val="231F20"/>
          <w:w w:val="95"/>
          <w:sz w:val="17"/>
        </w:rPr>
        <w:t>Services</w:t>
      </w:r>
      <w:r>
        <w:rPr>
          <w:color w:val="231F20"/>
          <w:spacing w:val="14"/>
          <w:sz w:val="17"/>
        </w:rPr>
        <w:t xml:space="preserve"> </w:t>
      </w:r>
      <w:r>
        <w:rPr>
          <w:color w:val="231F20"/>
          <w:w w:val="95"/>
          <w:sz w:val="17"/>
        </w:rPr>
        <w:t>Trust,</w:t>
      </w:r>
      <w:r>
        <w:rPr>
          <w:color w:val="231F20"/>
          <w:spacing w:val="15"/>
          <w:sz w:val="17"/>
        </w:rPr>
        <w:t xml:space="preserve"> </w:t>
      </w:r>
      <w:r>
        <w:rPr>
          <w:color w:val="231F20"/>
          <w:spacing w:val="-2"/>
          <w:w w:val="95"/>
          <w:sz w:val="17"/>
        </w:rPr>
        <w:t>Auckland.</w:t>
      </w:r>
    </w:p>
    <w:p w14:paraId="32700A59" w14:textId="77777777" w:rsidR="00AE0598" w:rsidRDefault="0069255A">
      <w:pPr>
        <w:spacing w:before="1"/>
        <w:ind w:left="430" w:right="128" w:hanging="320"/>
        <w:jc w:val="both"/>
        <w:rPr>
          <w:sz w:val="17"/>
        </w:rPr>
      </w:pPr>
      <w:r>
        <w:rPr>
          <w:color w:val="231F20"/>
          <w:sz w:val="17"/>
        </w:rPr>
        <w:t>Esfahani, N., Goudarzi, M. and Assadi, H. (2009) The analysis of the factors affecting the</w:t>
      </w:r>
      <w:r>
        <w:rPr>
          <w:color w:val="231F20"/>
          <w:spacing w:val="40"/>
          <w:sz w:val="17"/>
        </w:rPr>
        <w:t xml:space="preserve"> </w:t>
      </w:r>
      <w:r>
        <w:rPr>
          <w:color w:val="231F20"/>
          <w:sz w:val="17"/>
        </w:rPr>
        <w:t xml:space="preserve">development of Iran sport tourism and the presentation of a strategic model. </w:t>
      </w:r>
      <w:r>
        <w:rPr>
          <w:i/>
          <w:color w:val="231F20"/>
          <w:sz w:val="17"/>
        </w:rPr>
        <w:t>World</w:t>
      </w:r>
      <w:r>
        <w:rPr>
          <w:i/>
          <w:color w:val="231F20"/>
          <w:spacing w:val="40"/>
          <w:sz w:val="17"/>
        </w:rPr>
        <w:t xml:space="preserve"> </w:t>
      </w:r>
      <w:r>
        <w:rPr>
          <w:i/>
          <w:color w:val="231F20"/>
          <w:sz w:val="17"/>
        </w:rPr>
        <w:t xml:space="preserve">Journal of Sport Sciences </w:t>
      </w:r>
      <w:r>
        <w:rPr>
          <w:color w:val="231F20"/>
          <w:sz w:val="17"/>
        </w:rPr>
        <w:t>2, 136–144.</w:t>
      </w:r>
    </w:p>
    <w:p w14:paraId="0F49C48A" w14:textId="77777777" w:rsidR="00AE0598" w:rsidRDefault="0069255A">
      <w:pPr>
        <w:spacing w:before="2"/>
        <w:ind w:left="430" w:right="128" w:hanging="320"/>
        <w:jc w:val="both"/>
        <w:rPr>
          <w:sz w:val="17"/>
        </w:rPr>
      </w:pPr>
      <w:r>
        <w:rPr>
          <w:color w:val="231F20"/>
          <w:sz w:val="17"/>
        </w:rPr>
        <w:t>Evans,</w:t>
      </w:r>
      <w:r>
        <w:rPr>
          <w:color w:val="231F20"/>
          <w:spacing w:val="-1"/>
          <w:sz w:val="17"/>
        </w:rPr>
        <w:t xml:space="preserve"> </w:t>
      </w:r>
      <w:r>
        <w:rPr>
          <w:color w:val="231F20"/>
          <w:w w:val="115"/>
          <w:sz w:val="17"/>
        </w:rPr>
        <w:t>D.</w:t>
      </w:r>
      <w:r>
        <w:rPr>
          <w:color w:val="231F20"/>
          <w:spacing w:val="-7"/>
          <w:w w:val="115"/>
          <w:sz w:val="17"/>
        </w:rPr>
        <w:t xml:space="preserve"> </w:t>
      </w:r>
      <w:r>
        <w:rPr>
          <w:color w:val="231F20"/>
          <w:sz w:val="17"/>
        </w:rPr>
        <w:t>and</w:t>
      </w:r>
      <w:r>
        <w:rPr>
          <w:color w:val="231F20"/>
          <w:spacing w:val="-1"/>
          <w:sz w:val="17"/>
        </w:rPr>
        <w:t xml:space="preserve"> </w:t>
      </w:r>
      <w:r>
        <w:rPr>
          <w:color w:val="231F20"/>
          <w:sz w:val="17"/>
        </w:rPr>
        <w:t>Norcliffe,</w:t>
      </w:r>
      <w:r>
        <w:rPr>
          <w:color w:val="231F20"/>
          <w:spacing w:val="-1"/>
          <w:sz w:val="17"/>
        </w:rPr>
        <w:t xml:space="preserve"> </w:t>
      </w:r>
      <w:r>
        <w:rPr>
          <w:color w:val="231F20"/>
          <w:w w:val="115"/>
          <w:sz w:val="17"/>
        </w:rPr>
        <w:t>G.</w:t>
      </w:r>
      <w:r>
        <w:rPr>
          <w:color w:val="231F20"/>
          <w:spacing w:val="-7"/>
          <w:w w:val="115"/>
          <w:sz w:val="17"/>
        </w:rPr>
        <w:t xml:space="preserve"> </w:t>
      </w:r>
      <w:r>
        <w:rPr>
          <w:color w:val="231F20"/>
          <w:sz w:val="17"/>
        </w:rPr>
        <w:t>(2016)</w:t>
      </w:r>
      <w:r>
        <w:rPr>
          <w:color w:val="231F20"/>
          <w:spacing w:val="-1"/>
          <w:sz w:val="17"/>
        </w:rPr>
        <w:t xml:space="preserve"> </w:t>
      </w:r>
      <w:r>
        <w:rPr>
          <w:color w:val="231F20"/>
          <w:sz w:val="17"/>
        </w:rPr>
        <w:t>Local</w:t>
      </w:r>
      <w:r>
        <w:rPr>
          <w:color w:val="231F20"/>
          <w:spacing w:val="-1"/>
          <w:sz w:val="17"/>
        </w:rPr>
        <w:t xml:space="preserve"> </w:t>
      </w:r>
      <w:r>
        <w:rPr>
          <w:color w:val="231F20"/>
          <w:sz w:val="17"/>
        </w:rPr>
        <w:t>identities</w:t>
      </w:r>
      <w:r>
        <w:rPr>
          <w:color w:val="231F20"/>
          <w:spacing w:val="-1"/>
          <w:sz w:val="17"/>
        </w:rPr>
        <w:t xml:space="preserve"> </w:t>
      </w:r>
      <w:r>
        <w:rPr>
          <w:color w:val="231F20"/>
          <w:sz w:val="17"/>
        </w:rPr>
        <w:t>in</w:t>
      </w:r>
      <w:r>
        <w:rPr>
          <w:color w:val="231F20"/>
          <w:spacing w:val="-1"/>
          <w:sz w:val="17"/>
        </w:rPr>
        <w:t xml:space="preserve"> </w:t>
      </w:r>
      <w:r>
        <w:rPr>
          <w:color w:val="231F20"/>
          <w:sz w:val="17"/>
        </w:rPr>
        <w:t>a</w:t>
      </w:r>
      <w:r>
        <w:rPr>
          <w:color w:val="231F20"/>
          <w:spacing w:val="-1"/>
          <w:sz w:val="17"/>
        </w:rPr>
        <w:t xml:space="preserve"> </w:t>
      </w:r>
      <w:r>
        <w:rPr>
          <w:color w:val="231F20"/>
          <w:sz w:val="17"/>
        </w:rPr>
        <w:t>global</w:t>
      </w:r>
      <w:r>
        <w:rPr>
          <w:color w:val="231F20"/>
          <w:spacing w:val="-1"/>
          <w:sz w:val="17"/>
        </w:rPr>
        <w:t xml:space="preserve"> </w:t>
      </w:r>
      <w:r>
        <w:rPr>
          <w:color w:val="231F20"/>
          <w:sz w:val="17"/>
        </w:rPr>
        <w:t>game:</w:t>
      </w:r>
      <w:r>
        <w:rPr>
          <w:color w:val="231F20"/>
          <w:spacing w:val="-1"/>
          <w:sz w:val="17"/>
        </w:rPr>
        <w:t xml:space="preserve"> </w:t>
      </w:r>
      <w:r>
        <w:rPr>
          <w:color w:val="231F20"/>
          <w:sz w:val="17"/>
        </w:rPr>
        <w:t>The</w:t>
      </w:r>
      <w:r>
        <w:rPr>
          <w:color w:val="231F20"/>
          <w:spacing w:val="-1"/>
          <w:sz w:val="17"/>
        </w:rPr>
        <w:t xml:space="preserve"> </w:t>
      </w:r>
      <w:r>
        <w:rPr>
          <w:color w:val="231F20"/>
          <w:sz w:val="17"/>
        </w:rPr>
        <w:t>social</w:t>
      </w:r>
      <w:r>
        <w:rPr>
          <w:color w:val="231F20"/>
          <w:spacing w:val="-1"/>
          <w:sz w:val="17"/>
        </w:rPr>
        <w:t xml:space="preserve"> </w:t>
      </w:r>
      <w:r>
        <w:rPr>
          <w:color w:val="231F20"/>
          <w:sz w:val="17"/>
        </w:rPr>
        <w:t>production</w:t>
      </w:r>
      <w:r>
        <w:rPr>
          <w:color w:val="231F20"/>
          <w:spacing w:val="40"/>
          <w:sz w:val="17"/>
        </w:rPr>
        <w:t xml:space="preserve"> </w:t>
      </w:r>
      <w:r>
        <w:rPr>
          <w:color w:val="231F20"/>
          <w:sz w:val="17"/>
        </w:rPr>
        <w:t xml:space="preserve">of football space in Liverpool. </w:t>
      </w:r>
      <w:r>
        <w:rPr>
          <w:i/>
          <w:color w:val="231F20"/>
          <w:sz w:val="17"/>
        </w:rPr>
        <w:t xml:space="preserve">Journal of Sport </w:t>
      </w:r>
      <w:r>
        <w:rPr>
          <w:i/>
          <w:color w:val="231F20"/>
          <w:w w:val="115"/>
          <w:sz w:val="17"/>
        </w:rPr>
        <w:t xml:space="preserve">&amp; </w:t>
      </w:r>
      <w:r>
        <w:rPr>
          <w:i/>
          <w:color w:val="231F20"/>
          <w:sz w:val="17"/>
        </w:rPr>
        <w:t xml:space="preserve">Tourism </w:t>
      </w:r>
      <w:r>
        <w:rPr>
          <w:color w:val="231F20"/>
          <w:sz w:val="17"/>
        </w:rPr>
        <w:t>20 (3–4), 217–232.</w:t>
      </w:r>
    </w:p>
    <w:p w14:paraId="1C058B32" w14:textId="77777777" w:rsidR="00AE0598" w:rsidRDefault="0069255A">
      <w:pPr>
        <w:spacing w:before="1"/>
        <w:ind w:left="430" w:right="127" w:hanging="320"/>
        <w:jc w:val="both"/>
        <w:rPr>
          <w:sz w:val="17"/>
        </w:rPr>
      </w:pPr>
      <w:r>
        <w:rPr>
          <w:color w:val="231F20"/>
          <w:w w:val="95"/>
          <w:sz w:val="17"/>
        </w:rPr>
        <w:t>Ewert, A. and Shultis, J. (1999) Technology and backcountry recreation: Boon to recreation</w:t>
      </w:r>
      <w:r>
        <w:rPr>
          <w:color w:val="231F20"/>
          <w:spacing w:val="80"/>
          <w:sz w:val="17"/>
        </w:rPr>
        <w:t xml:space="preserve"> </w:t>
      </w:r>
      <w:r>
        <w:rPr>
          <w:color w:val="231F20"/>
          <w:sz w:val="17"/>
        </w:rPr>
        <w:t>or bust for management.</w:t>
      </w:r>
      <w:r>
        <w:rPr>
          <w:color w:val="231F20"/>
          <w:sz w:val="17"/>
        </w:rPr>
        <w:t xml:space="preserve"> </w:t>
      </w:r>
      <w:r>
        <w:rPr>
          <w:i/>
          <w:color w:val="231F20"/>
          <w:sz w:val="17"/>
        </w:rPr>
        <w:t xml:space="preserve">Journal of Physical Education, Recreation and Dance </w:t>
      </w:r>
      <w:r>
        <w:rPr>
          <w:color w:val="231F20"/>
          <w:sz w:val="17"/>
        </w:rPr>
        <w:t>70 (8),</w:t>
      </w:r>
      <w:r>
        <w:rPr>
          <w:color w:val="231F20"/>
          <w:spacing w:val="40"/>
          <w:sz w:val="17"/>
        </w:rPr>
        <w:t xml:space="preserve"> </w:t>
      </w:r>
      <w:r>
        <w:rPr>
          <w:color w:val="231F20"/>
          <w:spacing w:val="-2"/>
          <w:sz w:val="17"/>
        </w:rPr>
        <w:t>22–31.</w:t>
      </w:r>
    </w:p>
    <w:p w14:paraId="1BB9C553" w14:textId="77777777" w:rsidR="00AE0598" w:rsidRDefault="0069255A">
      <w:pPr>
        <w:spacing w:before="2"/>
        <w:ind w:left="430" w:right="127" w:hanging="320"/>
        <w:jc w:val="both"/>
        <w:rPr>
          <w:sz w:val="17"/>
        </w:rPr>
      </w:pPr>
      <w:r>
        <w:rPr>
          <w:color w:val="231F20"/>
          <w:sz w:val="17"/>
        </w:rPr>
        <w:t>Fairley, S. (2003) In search of relived social experience: Group-based nostalgia sport</w:t>
      </w:r>
      <w:r>
        <w:rPr>
          <w:color w:val="231F20"/>
          <w:spacing w:val="40"/>
          <w:sz w:val="17"/>
        </w:rPr>
        <w:t xml:space="preserve"> </w:t>
      </w:r>
      <w:r>
        <w:rPr>
          <w:color w:val="231F20"/>
          <w:sz w:val="17"/>
        </w:rPr>
        <w:t xml:space="preserve">tourism. </w:t>
      </w:r>
      <w:r>
        <w:rPr>
          <w:i/>
          <w:color w:val="231F20"/>
          <w:sz w:val="17"/>
        </w:rPr>
        <w:t xml:space="preserve">Journal of Sport Management </w:t>
      </w:r>
      <w:r>
        <w:rPr>
          <w:color w:val="231F20"/>
          <w:sz w:val="17"/>
        </w:rPr>
        <w:t>17 (3), 284–304.</w:t>
      </w:r>
    </w:p>
    <w:p w14:paraId="40D3B18E" w14:textId="77777777" w:rsidR="00AE0598" w:rsidRDefault="0069255A">
      <w:pPr>
        <w:spacing w:before="2"/>
        <w:ind w:left="430" w:right="128" w:hanging="320"/>
        <w:jc w:val="both"/>
        <w:rPr>
          <w:sz w:val="17"/>
        </w:rPr>
      </w:pPr>
      <w:r>
        <w:rPr>
          <w:color w:val="231F20"/>
          <w:sz w:val="17"/>
        </w:rPr>
        <w:t>Fairley, S. and Gammon, S. (2005) Something liv</w:t>
      </w:r>
      <w:r>
        <w:rPr>
          <w:color w:val="231F20"/>
          <w:sz w:val="17"/>
        </w:rPr>
        <w:t>ed, something learned: Nostalgia’s</w:t>
      </w:r>
      <w:r>
        <w:rPr>
          <w:color w:val="231F20"/>
          <w:spacing w:val="40"/>
          <w:sz w:val="17"/>
        </w:rPr>
        <w:t xml:space="preserve"> </w:t>
      </w:r>
      <w:r>
        <w:rPr>
          <w:color w:val="231F20"/>
          <w:sz w:val="17"/>
        </w:rPr>
        <w:t xml:space="preserve">expanding role in sport tourism. </w:t>
      </w:r>
      <w:r>
        <w:rPr>
          <w:i/>
          <w:color w:val="231F20"/>
          <w:sz w:val="17"/>
        </w:rPr>
        <w:t xml:space="preserve">Sport in Society </w:t>
      </w:r>
      <w:r>
        <w:rPr>
          <w:color w:val="231F20"/>
          <w:sz w:val="17"/>
        </w:rPr>
        <w:t>8 (2), 182–197.</w:t>
      </w:r>
    </w:p>
    <w:p w14:paraId="144F7B77" w14:textId="77777777" w:rsidR="00AE0598" w:rsidRDefault="0069255A">
      <w:pPr>
        <w:spacing w:before="1"/>
        <w:ind w:left="430" w:right="127" w:hanging="320"/>
        <w:jc w:val="both"/>
        <w:rPr>
          <w:sz w:val="17"/>
        </w:rPr>
      </w:pPr>
      <w:r>
        <w:rPr>
          <w:color w:val="231F20"/>
          <w:sz w:val="17"/>
        </w:rPr>
        <w:t>Fairley, S. and Tyler, B.D. (2009) Cultural learning through a sport tourism experience:</w:t>
      </w:r>
      <w:r>
        <w:rPr>
          <w:color w:val="231F20"/>
          <w:spacing w:val="40"/>
          <w:sz w:val="17"/>
        </w:rPr>
        <w:t xml:space="preserve"> </w:t>
      </w:r>
      <w:r>
        <w:rPr>
          <w:color w:val="231F20"/>
          <w:sz w:val="17"/>
        </w:rPr>
        <w:t xml:space="preserve">The role of the group. </w:t>
      </w:r>
      <w:r>
        <w:rPr>
          <w:i/>
          <w:color w:val="231F20"/>
          <w:sz w:val="17"/>
        </w:rPr>
        <w:t xml:space="preserve">Journal of Sport Tourism </w:t>
      </w:r>
      <w:r>
        <w:rPr>
          <w:color w:val="231F20"/>
          <w:sz w:val="17"/>
        </w:rPr>
        <w:t>14 (4), 273–292.</w:t>
      </w:r>
    </w:p>
    <w:p w14:paraId="484046C4" w14:textId="77777777" w:rsidR="00AE0598" w:rsidRDefault="0069255A">
      <w:pPr>
        <w:spacing w:before="2"/>
        <w:ind w:left="430" w:right="128" w:hanging="320"/>
        <w:jc w:val="both"/>
        <w:rPr>
          <w:sz w:val="17"/>
        </w:rPr>
      </w:pPr>
      <w:r>
        <w:rPr>
          <w:color w:val="231F20"/>
          <w:sz w:val="17"/>
        </w:rPr>
        <w:t xml:space="preserve">Falcous, M. (2017) Why we ride: Road cyclists, meaning, and lifestyles. </w:t>
      </w:r>
      <w:r>
        <w:rPr>
          <w:i/>
          <w:color w:val="231F20"/>
          <w:sz w:val="17"/>
        </w:rPr>
        <w:t>Journal of Sport</w:t>
      </w:r>
      <w:r>
        <w:rPr>
          <w:i/>
          <w:color w:val="231F20"/>
          <w:spacing w:val="40"/>
          <w:sz w:val="17"/>
        </w:rPr>
        <w:t xml:space="preserve"> </w:t>
      </w:r>
      <w:r>
        <w:rPr>
          <w:i/>
          <w:color w:val="231F20"/>
          <w:sz w:val="17"/>
        </w:rPr>
        <w:t xml:space="preserve">and Social Issues </w:t>
      </w:r>
      <w:r>
        <w:rPr>
          <w:color w:val="231F20"/>
          <w:sz w:val="17"/>
        </w:rPr>
        <w:t>41 (3), 239–255.</w:t>
      </w:r>
    </w:p>
    <w:p w14:paraId="64E7B26E" w14:textId="77777777" w:rsidR="00AE0598" w:rsidRDefault="0069255A">
      <w:pPr>
        <w:spacing w:before="1"/>
        <w:ind w:left="430" w:right="128" w:hanging="320"/>
        <w:jc w:val="both"/>
        <w:rPr>
          <w:sz w:val="17"/>
        </w:rPr>
      </w:pPr>
      <w:r>
        <w:rPr>
          <w:color w:val="231F20"/>
          <w:sz w:val="17"/>
        </w:rPr>
        <w:t>Falcous, M. and Newman, J.I. (2016) Sporting mythscapes, neoliberal histories, and post-</w:t>
      </w:r>
      <w:r>
        <w:rPr>
          <w:color w:val="231F20"/>
          <w:spacing w:val="40"/>
          <w:sz w:val="17"/>
        </w:rPr>
        <w:t xml:space="preserve"> </w:t>
      </w:r>
      <w:r>
        <w:rPr>
          <w:color w:val="231F20"/>
          <w:sz w:val="17"/>
        </w:rPr>
        <w:t>colonial</w:t>
      </w:r>
      <w:r>
        <w:rPr>
          <w:color w:val="231F20"/>
          <w:spacing w:val="24"/>
          <w:sz w:val="17"/>
        </w:rPr>
        <w:t xml:space="preserve"> </w:t>
      </w:r>
      <w:r>
        <w:rPr>
          <w:color w:val="231F20"/>
          <w:sz w:val="17"/>
        </w:rPr>
        <w:t>amnesia</w:t>
      </w:r>
      <w:r>
        <w:rPr>
          <w:color w:val="231F20"/>
          <w:spacing w:val="24"/>
          <w:sz w:val="17"/>
        </w:rPr>
        <w:t xml:space="preserve"> </w:t>
      </w:r>
      <w:r>
        <w:rPr>
          <w:color w:val="231F20"/>
          <w:sz w:val="17"/>
        </w:rPr>
        <w:t>in</w:t>
      </w:r>
      <w:r>
        <w:rPr>
          <w:color w:val="231F20"/>
          <w:spacing w:val="24"/>
          <w:sz w:val="17"/>
        </w:rPr>
        <w:t xml:space="preserve"> </w:t>
      </w:r>
      <w:r>
        <w:rPr>
          <w:i/>
          <w:color w:val="231F20"/>
          <w:sz w:val="17"/>
        </w:rPr>
        <w:t>Aotearoa/</w:t>
      </w:r>
      <w:r>
        <w:rPr>
          <w:color w:val="231F20"/>
          <w:sz w:val="17"/>
        </w:rPr>
        <w:t>New</w:t>
      </w:r>
      <w:r>
        <w:rPr>
          <w:color w:val="231F20"/>
          <w:spacing w:val="24"/>
          <w:sz w:val="17"/>
        </w:rPr>
        <w:t xml:space="preserve"> </w:t>
      </w:r>
      <w:r>
        <w:rPr>
          <w:color w:val="231F20"/>
          <w:sz w:val="17"/>
        </w:rPr>
        <w:t>Zealand.</w:t>
      </w:r>
      <w:r>
        <w:rPr>
          <w:color w:val="231F20"/>
          <w:spacing w:val="24"/>
          <w:sz w:val="17"/>
        </w:rPr>
        <w:t xml:space="preserve"> </w:t>
      </w:r>
      <w:r>
        <w:rPr>
          <w:i/>
          <w:color w:val="231F20"/>
          <w:sz w:val="17"/>
        </w:rPr>
        <w:t>I</w:t>
      </w:r>
      <w:r>
        <w:rPr>
          <w:i/>
          <w:color w:val="231F20"/>
          <w:sz w:val="17"/>
        </w:rPr>
        <w:t>nternational</w:t>
      </w:r>
      <w:r>
        <w:rPr>
          <w:i/>
          <w:color w:val="231F20"/>
          <w:spacing w:val="24"/>
          <w:sz w:val="17"/>
        </w:rPr>
        <w:t xml:space="preserve"> </w:t>
      </w:r>
      <w:r>
        <w:rPr>
          <w:i/>
          <w:color w:val="231F20"/>
          <w:sz w:val="17"/>
        </w:rPr>
        <w:t>Review</w:t>
      </w:r>
      <w:r>
        <w:rPr>
          <w:i/>
          <w:color w:val="231F20"/>
          <w:spacing w:val="24"/>
          <w:sz w:val="17"/>
        </w:rPr>
        <w:t xml:space="preserve"> </w:t>
      </w:r>
      <w:r>
        <w:rPr>
          <w:i/>
          <w:color w:val="231F20"/>
          <w:sz w:val="17"/>
        </w:rPr>
        <w:t>for</w:t>
      </w:r>
      <w:r>
        <w:rPr>
          <w:i/>
          <w:color w:val="231F20"/>
          <w:spacing w:val="24"/>
          <w:sz w:val="17"/>
        </w:rPr>
        <w:t xml:space="preserve"> </w:t>
      </w:r>
      <w:r>
        <w:rPr>
          <w:i/>
          <w:color w:val="231F20"/>
          <w:sz w:val="17"/>
        </w:rPr>
        <w:t>the</w:t>
      </w:r>
      <w:r>
        <w:rPr>
          <w:i/>
          <w:color w:val="231F20"/>
          <w:spacing w:val="24"/>
          <w:sz w:val="17"/>
        </w:rPr>
        <w:t xml:space="preserve"> </w:t>
      </w:r>
      <w:r>
        <w:rPr>
          <w:i/>
          <w:color w:val="231F20"/>
          <w:sz w:val="17"/>
        </w:rPr>
        <w:t>Sociology</w:t>
      </w:r>
      <w:r>
        <w:rPr>
          <w:i/>
          <w:color w:val="231F20"/>
          <w:spacing w:val="40"/>
          <w:sz w:val="17"/>
        </w:rPr>
        <w:t xml:space="preserve"> </w:t>
      </w:r>
      <w:r>
        <w:rPr>
          <w:i/>
          <w:color w:val="231F20"/>
          <w:sz w:val="17"/>
        </w:rPr>
        <w:t xml:space="preserve">of Sport </w:t>
      </w:r>
      <w:r>
        <w:rPr>
          <w:color w:val="231F20"/>
          <w:sz w:val="17"/>
        </w:rPr>
        <w:t>51 (1), 61–77.</w:t>
      </w:r>
    </w:p>
    <w:p w14:paraId="27B50F03" w14:textId="77777777" w:rsidR="00AE0598" w:rsidRDefault="0069255A">
      <w:pPr>
        <w:spacing w:before="2"/>
        <w:ind w:left="430" w:right="128" w:hanging="320"/>
        <w:jc w:val="both"/>
        <w:rPr>
          <w:sz w:val="17"/>
        </w:rPr>
      </w:pPr>
      <w:r>
        <w:rPr>
          <w:color w:val="231F20"/>
          <w:w w:val="105"/>
          <w:sz w:val="17"/>
        </w:rPr>
        <w:t xml:space="preserve">Falla, J. (2000) </w:t>
      </w:r>
      <w:r>
        <w:rPr>
          <w:i/>
          <w:color w:val="231F20"/>
          <w:w w:val="105"/>
          <w:sz w:val="17"/>
        </w:rPr>
        <w:t>Home Ice: Reflections on Backyard Rinks and Frozen Ponds</w:t>
      </w:r>
      <w:r>
        <w:rPr>
          <w:color w:val="231F20"/>
          <w:w w:val="105"/>
          <w:sz w:val="17"/>
        </w:rPr>
        <w:t>. Toronto:</w:t>
      </w:r>
      <w:r>
        <w:rPr>
          <w:color w:val="231F20"/>
          <w:spacing w:val="40"/>
          <w:w w:val="105"/>
          <w:sz w:val="17"/>
        </w:rPr>
        <w:t xml:space="preserve"> </w:t>
      </w:r>
      <w:r>
        <w:rPr>
          <w:color w:val="231F20"/>
          <w:w w:val="105"/>
          <w:sz w:val="17"/>
        </w:rPr>
        <w:t>McClelland &amp; Stewart.</w:t>
      </w:r>
    </w:p>
    <w:p w14:paraId="680DB2E4" w14:textId="77777777" w:rsidR="00AE0598" w:rsidRDefault="0069255A">
      <w:pPr>
        <w:spacing w:before="1"/>
        <w:ind w:left="430" w:right="128" w:hanging="320"/>
        <w:jc w:val="both"/>
        <w:rPr>
          <w:sz w:val="17"/>
        </w:rPr>
      </w:pPr>
      <w:r>
        <w:rPr>
          <w:color w:val="231F20"/>
          <w:w w:val="95"/>
          <w:sz w:val="17"/>
        </w:rPr>
        <w:t>Fang, Y. and Yin, J. (2015) National assessment of climate resources for tourism seasona</w:t>
      </w:r>
      <w:r>
        <w:rPr>
          <w:color w:val="231F20"/>
          <w:w w:val="95"/>
          <w:sz w:val="17"/>
        </w:rPr>
        <w:t>lity</w:t>
      </w:r>
      <w:r>
        <w:rPr>
          <w:color w:val="231F20"/>
          <w:spacing w:val="80"/>
          <w:sz w:val="17"/>
        </w:rPr>
        <w:t xml:space="preserve"> </w:t>
      </w:r>
      <w:r>
        <w:rPr>
          <w:color w:val="231F20"/>
          <w:sz w:val="17"/>
        </w:rPr>
        <w:t xml:space="preserve">in China using the tourism climate index. </w:t>
      </w:r>
      <w:r>
        <w:rPr>
          <w:i/>
          <w:color w:val="231F20"/>
          <w:sz w:val="17"/>
        </w:rPr>
        <w:t xml:space="preserve">Atmosphere </w:t>
      </w:r>
      <w:r>
        <w:rPr>
          <w:color w:val="231F20"/>
          <w:sz w:val="17"/>
        </w:rPr>
        <w:t>6, 183–194.</w:t>
      </w:r>
    </w:p>
    <w:p w14:paraId="7094B5A2" w14:textId="77777777" w:rsidR="00AE0598" w:rsidRDefault="0069255A">
      <w:pPr>
        <w:spacing w:before="2"/>
        <w:ind w:left="430" w:right="128" w:hanging="320"/>
        <w:jc w:val="both"/>
        <w:rPr>
          <w:sz w:val="17"/>
        </w:rPr>
      </w:pPr>
      <w:r>
        <w:rPr>
          <w:color w:val="231F20"/>
          <w:sz w:val="17"/>
        </w:rPr>
        <w:t xml:space="preserve">Faulkner, </w:t>
      </w:r>
      <w:r>
        <w:rPr>
          <w:color w:val="231F20"/>
          <w:w w:val="105"/>
          <w:sz w:val="17"/>
        </w:rPr>
        <w:t xml:space="preserve">B., </w:t>
      </w:r>
      <w:r>
        <w:rPr>
          <w:color w:val="231F20"/>
          <w:sz w:val="17"/>
        </w:rPr>
        <w:t xml:space="preserve">Tideswell, C. and Weston, </w:t>
      </w:r>
      <w:r>
        <w:rPr>
          <w:color w:val="231F20"/>
          <w:w w:val="105"/>
          <w:sz w:val="17"/>
        </w:rPr>
        <w:t xml:space="preserve">A.M. </w:t>
      </w:r>
      <w:r>
        <w:rPr>
          <w:color w:val="231F20"/>
          <w:sz w:val="17"/>
        </w:rPr>
        <w:t>(1998) Leveraging tourism benefits from</w:t>
      </w:r>
      <w:r>
        <w:rPr>
          <w:color w:val="231F20"/>
          <w:spacing w:val="80"/>
          <w:sz w:val="17"/>
        </w:rPr>
        <w:t xml:space="preserve"> </w:t>
      </w:r>
      <w:r>
        <w:rPr>
          <w:color w:val="231F20"/>
          <w:sz w:val="17"/>
        </w:rPr>
        <w:t>the</w:t>
      </w:r>
      <w:r>
        <w:rPr>
          <w:color w:val="231F20"/>
          <w:spacing w:val="-1"/>
          <w:sz w:val="17"/>
        </w:rPr>
        <w:t xml:space="preserve"> </w:t>
      </w:r>
      <w:r>
        <w:rPr>
          <w:color w:val="231F20"/>
          <w:sz w:val="17"/>
        </w:rPr>
        <w:t>Sydney</w:t>
      </w:r>
      <w:r>
        <w:rPr>
          <w:color w:val="231F20"/>
          <w:spacing w:val="-1"/>
          <w:sz w:val="17"/>
        </w:rPr>
        <w:t xml:space="preserve"> </w:t>
      </w:r>
      <w:r>
        <w:rPr>
          <w:color w:val="231F20"/>
          <w:sz w:val="17"/>
        </w:rPr>
        <w:t>2000</w:t>
      </w:r>
      <w:r>
        <w:rPr>
          <w:color w:val="231F20"/>
          <w:spacing w:val="-1"/>
          <w:sz w:val="17"/>
        </w:rPr>
        <w:t xml:space="preserve"> </w:t>
      </w:r>
      <w:r>
        <w:rPr>
          <w:color w:val="231F20"/>
          <w:sz w:val="17"/>
        </w:rPr>
        <w:t>Olympics.</w:t>
      </w:r>
      <w:r>
        <w:rPr>
          <w:color w:val="231F20"/>
          <w:spacing w:val="-1"/>
          <w:sz w:val="17"/>
        </w:rPr>
        <w:t xml:space="preserve"> </w:t>
      </w:r>
      <w:r>
        <w:rPr>
          <w:color w:val="231F20"/>
          <w:sz w:val="17"/>
        </w:rPr>
        <w:t>Paper</w:t>
      </w:r>
      <w:r>
        <w:rPr>
          <w:color w:val="231F20"/>
          <w:spacing w:val="-1"/>
          <w:sz w:val="17"/>
        </w:rPr>
        <w:t xml:space="preserve"> </w:t>
      </w:r>
      <w:r>
        <w:rPr>
          <w:color w:val="231F20"/>
          <w:sz w:val="17"/>
        </w:rPr>
        <w:t>presented</w:t>
      </w:r>
      <w:r>
        <w:rPr>
          <w:color w:val="231F20"/>
          <w:spacing w:val="-1"/>
          <w:sz w:val="17"/>
        </w:rPr>
        <w:t xml:space="preserve"> </w:t>
      </w:r>
      <w:r>
        <w:rPr>
          <w:color w:val="231F20"/>
          <w:sz w:val="17"/>
        </w:rPr>
        <w:t>at</w:t>
      </w:r>
      <w:r>
        <w:rPr>
          <w:color w:val="231F20"/>
          <w:spacing w:val="-1"/>
          <w:sz w:val="17"/>
        </w:rPr>
        <w:t xml:space="preserve"> </w:t>
      </w:r>
      <w:r>
        <w:rPr>
          <w:color w:val="231F20"/>
          <w:sz w:val="17"/>
        </w:rPr>
        <w:t>the</w:t>
      </w:r>
      <w:r>
        <w:rPr>
          <w:color w:val="231F20"/>
          <w:spacing w:val="-1"/>
          <w:sz w:val="17"/>
        </w:rPr>
        <w:t xml:space="preserve"> </w:t>
      </w:r>
      <w:r>
        <w:rPr>
          <w:color w:val="231F20"/>
          <w:sz w:val="17"/>
        </w:rPr>
        <w:t>Sport</w:t>
      </w:r>
      <w:r>
        <w:rPr>
          <w:color w:val="231F20"/>
          <w:spacing w:val="-1"/>
          <w:sz w:val="17"/>
        </w:rPr>
        <w:t xml:space="preserve"> </w:t>
      </w:r>
      <w:r>
        <w:rPr>
          <w:color w:val="231F20"/>
          <w:sz w:val="17"/>
        </w:rPr>
        <w:t>Management</w:t>
      </w:r>
      <w:r>
        <w:rPr>
          <w:color w:val="231F20"/>
          <w:spacing w:val="-1"/>
          <w:sz w:val="17"/>
        </w:rPr>
        <w:t xml:space="preserve"> </w:t>
      </w:r>
      <w:r>
        <w:rPr>
          <w:color w:val="231F20"/>
          <w:sz w:val="17"/>
        </w:rPr>
        <w:t>Association</w:t>
      </w:r>
      <w:r>
        <w:rPr>
          <w:color w:val="231F20"/>
          <w:spacing w:val="-1"/>
          <w:sz w:val="17"/>
        </w:rPr>
        <w:t xml:space="preserve"> </w:t>
      </w:r>
      <w:r>
        <w:rPr>
          <w:color w:val="231F20"/>
          <w:sz w:val="17"/>
        </w:rPr>
        <w:t>of</w:t>
      </w:r>
      <w:r>
        <w:rPr>
          <w:color w:val="231F20"/>
          <w:spacing w:val="40"/>
          <w:sz w:val="17"/>
        </w:rPr>
        <w:t xml:space="preserve"> </w:t>
      </w:r>
      <w:r>
        <w:rPr>
          <w:color w:val="231F20"/>
          <w:sz w:val="17"/>
        </w:rPr>
        <w:t>Australia and New Zealand, Gold Coast, Australia, 26–28 November.</w:t>
      </w:r>
    </w:p>
    <w:p w14:paraId="1408FBC5" w14:textId="77777777" w:rsidR="00AE0598" w:rsidRDefault="0069255A">
      <w:pPr>
        <w:spacing w:before="2"/>
        <w:ind w:left="430" w:right="127" w:hanging="320"/>
        <w:jc w:val="both"/>
        <w:rPr>
          <w:sz w:val="17"/>
        </w:rPr>
      </w:pPr>
      <w:r>
        <w:rPr>
          <w:color w:val="231F20"/>
          <w:w w:val="95"/>
          <w:sz w:val="17"/>
        </w:rPr>
        <w:t>FC Barcelona (2016) FC Barcelona Museum preparing for 30 millionth visitor. See https://</w:t>
      </w:r>
      <w:r>
        <w:rPr>
          <w:color w:val="231F20"/>
          <w:spacing w:val="40"/>
          <w:sz w:val="17"/>
        </w:rPr>
        <w:t xml:space="preserve"> </w:t>
      </w:r>
      <w:hyperlink r:id="rId47">
        <w:r>
          <w:rPr>
            <w:color w:val="231F20"/>
            <w:w w:val="92"/>
            <w:sz w:val="17"/>
          </w:rPr>
          <w:t>ww</w:t>
        </w:r>
        <w:r>
          <w:rPr>
            <w:color w:val="231F20"/>
            <w:spacing w:val="-12"/>
            <w:w w:val="92"/>
            <w:sz w:val="17"/>
          </w:rPr>
          <w:t>w</w:t>
        </w:r>
        <w:r>
          <w:rPr>
            <w:color w:val="231F20"/>
            <w:spacing w:val="-2"/>
            <w:w w:val="128"/>
            <w:sz w:val="17"/>
          </w:rPr>
          <w:t>.</w:t>
        </w:r>
        <w:r>
          <w:rPr>
            <w:color w:val="231F20"/>
            <w:spacing w:val="-5"/>
            <w:w w:val="102"/>
            <w:sz w:val="17"/>
          </w:rPr>
          <w:t>f</w:t>
        </w:r>
        <w:r>
          <w:rPr>
            <w:color w:val="231F20"/>
            <w:spacing w:val="-4"/>
            <w:w w:val="93"/>
            <w:sz w:val="17"/>
          </w:rPr>
          <w:t>cb</w:t>
        </w:r>
        <w:r>
          <w:rPr>
            <w:color w:val="231F20"/>
            <w:spacing w:val="-1"/>
            <w:w w:val="93"/>
            <w:sz w:val="17"/>
          </w:rPr>
          <w:t>a</w:t>
        </w:r>
        <w:r>
          <w:rPr>
            <w:color w:val="231F20"/>
            <w:spacing w:val="-5"/>
            <w:w w:val="86"/>
            <w:sz w:val="17"/>
          </w:rPr>
          <w:t>r</w:t>
        </w:r>
        <w:r>
          <w:rPr>
            <w:color w:val="231F20"/>
            <w:spacing w:val="-2"/>
            <w:w w:val="92"/>
            <w:sz w:val="17"/>
          </w:rPr>
          <w:t>c</w:t>
        </w:r>
        <w:r>
          <w:rPr>
            <w:color w:val="231F20"/>
            <w:spacing w:val="-4"/>
            <w:w w:val="83"/>
            <w:sz w:val="17"/>
          </w:rPr>
          <w:t>e</w:t>
        </w:r>
        <w:r>
          <w:rPr>
            <w:color w:val="231F20"/>
            <w:spacing w:val="-4"/>
            <w:w w:val="93"/>
            <w:sz w:val="17"/>
          </w:rPr>
          <w:t>lo</w:t>
        </w:r>
        <w:r>
          <w:rPr>
            <w:color w:val="231F20"/>
            <w:spacing w:val="-2"/>
            <w:w w:val="93"/>
            <w:sz w:val="17"/>
          </w:rPr>
          <w:t>n</w:t>
        </w:r>
        <w:r>
          <w:rPr>
            <w:color w:val="231F20"/>
            <w:spacing w:val="-2"/>
            <w:w w:val="94"/>
            <w:sz w:val="17"/>
          </w:rPr>
          <w:t>a</w:t>
        </w:r>
        <w:r>
          <w:rPr>
            <w:color w:val="231F20"/>
            <w:spacing w:val="-3"/>
            <w:w w:val="128"/>
            <w:sz w:val="17"/>
          </w:rPr>
          <w:t>.</w:t>
        </w:r>
        <w:r>
          <w:rPr>
            <w:color w:val="231F20"/>
            <w:spacing w:val="-3"/>
            <w:w w:val="92"/>
            <w:sz w:val="17"/>
          </w:rPr>
          <w:t>c</w:t>
        </w:r>
        <w:r>
          <w:rPr>
            <w:color w:val="231F20"/>
            <w:spacing w:val="-4"/>
            <w:w w:val="93"/>
            <w:sz w:val="17"/>
          </w:rPr>
          <w:t>o</w:t>
        </w:r>
        <w:r>
          <w:rPr>
            <w:color w:val="231F20"/>
            <w:spacing w:val="4"/>
            <w:w w:val="93"/>
            <w:sz w:val="17"/>
          </w:rPr>
          <w:t>m</w:t>
        </w:r>
        <w:r>
          <w:rPr>
            <w:color w:val="231F20"/>
            <w:spacing w:val="-9"/>
            <w:w w:val="53"/>
            <w:sz w:val="17"/>
          </w:rPr>
          <w:t>/</w:t>
        </w:r>
        <w:r>
          <w:rPr>
            <w:color w:val="231F20"/>
            <w:spacing w:val="-3"/>
            <w:w w:val="92"/>
            <w:sz w:val="17"/>
          </w:rPr>
          <w:t>c</w:t>
        </w:r>
        <w:r>
          <w:rPr>
            <w:color w:val="231F20"/>
            <w:spacing w:val="-6"/>
            <w:w w:val="95"/>
            <w:sz w:val="17"/>
          </w:rPr>
          <w:t>l</w:t>
        </w:r>
        <w:r>
          <w:rPr>
            <w:color w:val="231F20"/>
            <w:spacing w:val="-4"/>
            <w:w w:val="92"/>
            <w:sz w:val="17"/>
          </w:rPr>
          <w:t>u</w:t>
        </w:r>
        <w:r>
          <w:rPr>
            <w:color w:val="231F20"/>
            <w:spacing w:val="-1"/>
            <w:w w:val="93"/>
            <w:sz w:val="17"/>
          </w:rPr>
          <w:t>b</w:t>
        </w:r>
        <w:r>
          <w:rPr>
            <w:color w:val="231F20"/>
            <w:spacing w:val="-6"/>
            <w:w w:val="53"/>
            <w:sz w:val="17"/>
          </w:rPr>
          <w:t>/</w:t>
        </w:r>
        <w:r>
          <w:rPr>
            <w:color w:val="231F20"/>
            <w:spacing w:val="-3"/>
            <w:w w:val="91"/>
            <w:sz w:val="17"/>
          </w:rPr>
          <w:t>n</w:t>
        </w:r>
        <w:r>
          <w:rPr>
            <w:color w:val="231F20"/>
            <w:spacing w:val="-3"/>
            <w:w w:val="83"/>
            <w:sz w:val="17"/>
          </w:rPr>
          <w:t>e</w:t>
        </w:r>
        <w:r>
          <w:rPr>
            <w:color w:val="231F20"/>
            <w:spacing w:val="-4"/>
            <w:w w:val="92"/>
            <w:sz w:val="17"/>
          </w:rPr>
          <w:t>w</w:t>
        </w:r>
        <w:r>
          <w:rPr>
            <w:color w:val="231F20"/>
            <w:spacing w:val="1"/>
            <w:w w:val="83"/>
            <w:sz w:val="17"/>
          </w:rPr>
          <w:t>s</w:t>
        </w:r>
        <w:r>
          <w:rPr>
            <w:color w:val="231F20"/>
            <w:w w:val="53"/>
            <w:sz w:val="17"/>
          </w:rPr>
          <w:t>/</w:t>
        </w:r>
        <w:r>
          <w:rPr>
            <w:color w:val="231F20"/>
            <w:spacing w:val="3"/>
            <w:w w:val="82"/>
            <w:sz w:val="17"/>
          </w:rPr>
          <w:t>2</w:t>
        </w:r>
        <w:r>
          <w:rPr>
            <w:color w:val="231F20"/>
            <w:spacing w:val="-3"/>
            <w:w w:val="82"/>
            <w:sz w:val="17"/>
          </w:rPr>
          <w:t>0</w:t>
        </w:r>
        <w:r>
          <w:rPr>
            <w:color w:val="231F20"/>
            <w:spacing w:val="-6"/>
            <w:w w:val="82"/>
            <w:sz w:val="17"/>
          </w:rPr>
          <w:t>1</w:t>
        </w:r>
        <w:r>
          <w:rPr>
            <w:color w:val="231F20"/>
            <w:spacing w:val="5"/>
            <w:w w:val="82"/>
            <w:sz w:val="17"/>
          </w:rPr>
          <w:t>6</w:t>
        </w:r>
        <w:r>
          <w:rPr>
            <w:color w:val="231F20"/>
            <w:spacing w:val="-5"/>
            <w:w w:val="93"/>
            <w:sz w:val="17"/>
          </w:rPr>
          <w:t>-</w:t>
        </w:r>
        <w:r>
          <w:rPr>
            <w:color w:val="231F20"/>
            <w:spacing w:val="-2"/>
            <w:w w:val="90"/>
            <w:sz w:val="17"/>
          </w:rPr>
          <w:t>2017/fc-barcelona-museum-preparing-for-30-</w:t>
        </w:r>
      </w:hyperlink>
      <w:r>
        <w:rPr>
          <w:color w:val="231F20"/>
          <w:spacing w:val="40"/>
          <w:sz w:val="17"/>
        </w:rPr>
        <w:t xml:space="preserve"> </w:t>
      </w:r>
      <w:r>
        <w:rPr>
          <w:color w:val="231F20"/>
          <w:sz w:val="17"/>
        </w:rPr>
        <w:t>millionth-visitor (accessed 14 July 2017).</w:t>
      </w:r>
    </w:p>
    <w:p w14:paraId="37AF680B" w14:textId="77777777" w:rsidR="00AE0598" w:rsidRDefault="0069255A">
      <w:pPr>
        <w:spacing w:before="2"/>
        <w:ind w:left="430" w:right="128" w:hanging="320"/>
        <w:jc w:val="both"/>
        <w:rPr>
          <w:sz w:val="17"/>
        </w:rPr>
      </w:pPr>
      <w:r>
        <w:rPr>
          <w:color w:val="231F20"/>
          <w:sz w:val="17"/>
        </w:rPr>
        <w:t>Fejgin,</w:t>
      </w:r>
      <w:r>
        <w:rPr>
          <w:color w:val="231F20"/>
          <w:spacing w:val="40"/>
          <w:sz w:val="17"/>
        </w:rPr>
        <w:t xml:space="preserve"> </w:t>
      </w:r>
      <w:r>
        <w:rPr>
          <w:color w:val="231F20"/>
          <w:sz w:val="17"/>
        </w:rPr>
        <w:t>N.</w:t>
      </w:r>
      <w:r>
        <w:rPr>
          <w:color w:val="231F20"/>
          <w:spacing w:val="40"/>
          <w:sz w:val="17"/>
        </w:rPr>
        <w:t xml:space="preserve"> </w:t>
      </w:r>
      <w:r>
        <w:rPr>
          <w:color w:val="231F20"/>
          <w:sz w:val="17"/>
        </w:rPr>
        <w:t>(1994)</w:t>
      </w:r>
      <w:r>
        <w:rPr>
          <w:color w:val="231F20"/>
          <w:spacing w:val="40"/>
          <w:sz w:val="17"/>
        </w:rPr>
        <w:t xml:space="preserve"> </w:t>
      </w:r>
      <w:r>
        <w:rPr>
          <w:color w:val="231F20"/>
          <w:sz w:val="17"/>
        </w:rPr>
        <w:t>Participation</w:t>
      </w:r>
      <w:r>
        <w:rPr>
          <w:color w:val="231F20"/>
          <w:spacing w:val="40"/>
          <w:sz w:val="17"/>
        </w:rPr>
        <w:t xml:space="preserve"> </w:t>
      </w:r>
      <w:r>
        <w:rPr>
          <w:color w:val="231F20"/>
          <w:sz w:val="17"/>
        </w:rPr>
        <w:t>in</w:t>
      </w:r>
      <w:r>
        <w:rPr>
          <w:color w:val="231F20"/>
          <w:spacing w:val="40"/>
          <w:sz w:val="17"/>
        </w:rPr>
        <w:t xml:space="preserve"> </w:t>
      </w:r>
      <w:r>
        <w:rPr>
          <w:color w:val="231F20"/>
          <w:sz w:val="17"/>
        </w:rPr>
        <w:t>high</w:t>
      </w:r>
      <w:r>
        <w:rPr>
          <w:color w:val="231F20"/>
          <w:spacing w:val="40"/>
          <w:sz w:val="17"/>
        </w:rPr>
        <w:t xml:space="preserve"> </w:t>
      </w:r>
      <w:r>
        <w:rPr>
          <w:color w:val="231F20"/>
          <w:sz w:val="17"/>
        </w:rPr>
        <w:t>school</w:t>
      </w:r>
      <w:r>
        <w:rPr>
          <w:color w:val="231F20"/>
          <w:spacing w:val="40"/>
          <w:sz w:val="17"/>
        </w:rPr>
        <w:t xml:space="preserve"> </w:t>
      </w:r>
      <w:r>
        <w:rPr>
          <w:color w:val="231F20"/>
          <w:sz w:val="17"/>
        </w:rPr>
        <w:t>competitive</w:t>
      </w:r>
      <w:r>
        <w:rPr>
          <w:color w:val="231F20"/>
          <w:spacing w:val="40"/>
          <w:sz w:val="17"/>
        </w:rPr>
        <w:t xml:space="preserve"> </w:t>
      </w:r>
      <w:r>
        <w:rPr>
          <w:color w:val="231F20"/>
          <w:sz w:val="17"/>
        </w:rPr>
        <w:t>sports:</w:t>
      </w:r>
      <w:r>
        <w:rPr>
          <w:color w:val="231F20"/>
          <w:spacing w:val="40"/>
          <w:sz w:val="17"/>
        </w:rPr>
        <w:t xml:space="preserve"> </w:t>
      </w:r>
      <w:r>
        <w:rPr>
          <w:color w:val="231F20"/>
          <w:sz w:val="17"/>
        </w:rPr>
        <w:t>A</w:t>
      </w:r>
      <w:r>
        <w:rPr>
          <w:color w:val="231F20"/>
          <w:spacing w:val="40"/>
          <w:sz w:val="17"/>
        </w:rPr>
        <w:t xml:space="preserve"> </w:t>
      </w:r>
      <w:r>
        <w:rPr>
          <w:color w:val="231F20"/>
          <w:sz w:val="17"/>
        </w:rPr>
        <w:t>subversion</w:t>
      </w:r>
      <w:r>
        <w:rPr>
          <w:color w:val="231F20"/>
          <w:spacing w:val="40"/>
          <w:sz w:val="17"/>
        </w:rPr>
        <w:t xml:space="preserve"> </w:t>
      </w:r>
      <w:r>
        <w:rPr>
          <w:color w:val="231F20"/>
          <w:sz w:val="17"/>
        </w:rPr>
        <w:t>of</w:t>
      </w:r>
      <w:r>
        <w:rPr>
          <w:color w:val="231F20"/>
          <w:spacing w:val="40"/>
          <w:sz w:val="17"/>
        </w:rPr>
        <w:t xml:space="preserve"> </w:t>
      </w:r>
      <w:r>
        <w:rPr>
          <w:color w:val="231F20"/>
          <w:sz w:val="17"/>
        </w:rPr>
        <w:t xml:space="preserve">school mission or contribution to academic goals? </w:t>
      </w:r>
      <w:r>
        <w:rPr>
          <w:i/>
          <w:color w:val="231F20"/>
          <w:sz w:val="17"/>
        </w:rPr>
        <w:t xml:space="preserve">Sociology of Sport Journal </w:t>
      </w:r>
      <w:r>
        <w:rPr>
          <w:color w:val="231F20"/>
          <w:sz w:val="17"/>
        </w:rPr>
        <w:t>11 (3),</w:t>
      </w:r>
      <w:r>
        <w:rPr>
          <w:color w:val="231F20"/>
          <w:spacing w:val="40"/>
          <w:sz w:val="17"/>
        </w:rPr>
        <w:t xml:space="preserve"> </w:t>
      </w:r>
      <w:r>
        <w:rPr>
          <w:color w:val="231F20"/>
          <w:spacing w:val="-2"/>
          <w:sz w:val="17"/>
        </w:rPr>
        <w:t>211–230.</w:t>
      </w:r>
    </w:p>
    <w:p w14:paraId="5F373FAB" w14:textId="77777777" w:rsidR="00AE0598" w:rsidRDefault="0069255A">
      <w:pPr>
        <w:spacing w:before="2"/>
        <w:ind w:left="110"/>
        <w:jc w:val="both"/>
        <w:rPr>
          <w:sz w:val="17"/>
        </w:rPr>
      </w:pPr>
      <w:r>
        <w:rPr>
          <w:color w:val="231F20"/>
          <w:sz w:val="17"/>
        </w:rPr>
        <w:t>Finney,</w:t>
      </w:r>
      <w:r>
        <w:rPr>
          <w:color w:val="231F20"/>
          <w:spacing w:val="18"/>
          <w:sz w:val="17"/>
        </w:rPr>
        <w:t xml:space="preserve"> </w:t>
      </w:r>
      <w:r>
        <w:rPr>
          <w:color w:val="231F20"/>
          <w:sz w:val="17"/>
        </w:rPr>
        <w:t>B.R.</w:t>
      </w:r>
      <w:r>
        <w:rPr>
          <w:color w:val="231F20"/>
          <w:spacing w:val="19"/>
          <w:sz w:val="17"/>
        </w:rPr>
        <w:t xml:space="preserve"> </w:t>
      </w:r>
      <w:r>
        <w:rPr>
          <w:color w:val="231F20"/>
          <w:sz w:val="17"/>
        </w:rPr>
        <w:t>and</w:t>
      </w:r>
      <w:r>
        <w:rPr>
          <w:color w:val="231F20"/>
          <w:spacing w:val="19"/>
          <w:sz w:val="17"/>
        </w:rPr>
        <w:t xml:space="preserve"> </w:t>
      </w:r>
      <w:r>
        <w:rPr>
          <w:color w:val="231F20"/>
          <w:sz w:val="17"/>
        </w:rPr>
        <w:t>Houston,</w:t>
      </w:r>
      <w:r>
        <w:rPr>
          <w:color w:val="231F20"/>
          <w:spacing w:val="19"/>
          <w:sz w:val="17"/>
        </w:rPr>
        <w:t xml:space="preserve"> </w:t>
      </w:r>
      <w:r>
        <w:rPr>
          <w:color w:val="231F20"/>
          <w:sz w:val="17"/>
        </w:rPr>
        <w:t>J.D.</w:t>
      </w:r>
      <w:r>
        <w:rPr>
          <w:color w:val="231F20"/>
          <w:spacing w:val="19"/>
          <w:sz w:val="17"/>
        </w:rPr>
        <w:t xml:space="preserve"> </w:t>
      </w:r>
      <w:r>
        <w:rPr>
          <w:color w:val="231F20"/>
          <w:sz w:val="17"/>
        </w:rPr>
        <w:t>(1996)</w:t>
      </w:r>
      <w:r>
        <w:rPr>
          <w:color w:val="231F20"/>
          <w:spacing w:val="19"/>
          <w:sz w:val="17"/>
        </w:rPr>
        <w:t xml:space="preserve"> </w:t>
      </w:r>
      <w:r>
        <w:rPr>
          <w:i/>
          <w:color w:val="231F20"/>
          <w:sz w:val="17"/>
        </w:rPr>
        <w:t>Surfing:</w:t>
      </w:r>
      <w:r>
        <w:rPr>
          <w:i/>
          <w:color w:val="231F20"/>
          <w:spacing w:val="18"/>
          <w:sz w:val="17"/>
        </w:rPr>
        <w:t xml:space="preserve"> </w:t>
      </w:r>
      <w:r>
        <w:rPr>
          <w:i/>
          <w:color w:val="231F20"/>
          <w:sz w:val="17"/>
        </w:rPr>
        <w:t>A</w:t>
      </w:r>
      <w:r>
        <w:rPr>
          <w:i/>
          <w:color w:val="231F20"/>
          <w:spacing w:val="19"/>
          <w:sz w:val="17"/>
        </w:rPr>
        <w:t xml:space="preserve"> </w:t>
      </w:r>
      <w:r>
        <w:rPr>
          <w:i/>
          <w:color w:val="231F20"/>
          <w:sz w:val="17"/>
        </w:rPr>
        <w:t>History</w:t>
      </w:r>
      <w:r>
        <w:rPr>
          <w:i/>
          <w:color w:val="231F20"/>
          <w:spacing w:val="19"/>
          <w:sz w:val="17"/>
        </w:rPr>
        <w:t xml:space="preserve"> </w:t>
      </w:r>
      <w:r>
        <w:rPr>
          <w:i/>
          <w:color w:val="231F20"/>
          <w:sz w:val="17"/>
        </w:rPr>
        <w:t>of</w:t>
      </w:r>
      <w:r>
        <w:rPr>
          <w:i/>
          <w:color w:val="231F20"/>
          <w:spacing w:val="19"/>
          <w:sz w:val="17"/>
        </w:rPr>
        <w:t xml:space="preserve"> </w:t>
      </w:r>
      <w:r>
        <w:rPr>
          <w:i/>
          <w:color w:val="231F20"/>
          <w:sz w:val="17"/>
        </w:rPr>
        <w:t>the</w:t>
      </w:r>
      <w:r>
        <w:rPr>
          <w:i/>
          <w:color w:val="231F20"/>
          <w:spacing w:val="19"/>
          <w:sz w:val="17"/>
        </w:rPr>
        <w:t xml:space="preserve"> </w:t>
      </w:r>
      <w:r>
        <w:rPr>
          <w:i/>
          <w:color w:val="231F20"/>
          <w:sz w:val="17"/>
        </w:rPr>
        <w:t>Ancient</w:t>
      </w:r>
      <w:r>
        <w:rPr>
          <w:i/>
          <w:color w:val="231F20"/>
          <w:spacing w:val="19"/>
          <w:sz w:val="17"/>
        </w:rPr>
        <w:t xml:space="preserve"> </w:t>
      </w:r>
      <w:r>
        <w:rPr>
          <w:i/>
          <w:color w:val="231F20"/>
          <w:sz w:val="17"/>
        </w:rPr>
        <w:t>Hawaiian</w:t>
      </w:r>
      <w:r>
        <w:rPr>
          <w:i/>
          <w:color w:val="231F20"/>
          <w:spacing w:val="19"/>
          <w:sz w:val="17"/>
        </w:rPr>
        <w:t xml:space="preserve"> </w:t>
      </w:r>
      <w:r>
        <w:rPr>
          <w:i/>
          <w:color w:val="231F20"/>
          <w:spacing w:val="-2"/>
          <w:sz w:val="17"/>
        </w:rPr>
        <w:t>Sport</w:t>
      </w:r>
      <w:r>
        <w:rPr>
          <w:color w:val="231F20"/>
          <w:spacing w:val="-2"/>
          <w:sz w:val="17"/>
        </w:rPr>
        <w:t>.</w:t>
      </w:r>
    </w:p>
    <w:p w14:paraId="65925C82" w14:textId="77777777" w:rsidR="00AE0598" w:rsidRDefault="0069255A">
      <w:pPr>
        <w:spacing w:before="1"/>
        <w:ind w:left="430"/>
        <w:jc w:val="both"/>
        <w:rPr>
          <w:sz w:val="17"/>
        </w:rPr>
      </w:pPr>
      <w:r>
        <w:rPr>
          <w:color w:val="231F20"/>
          <w:sz w:val="17"/>
        </w:rPr>
        <w:t>San</w:t>
      </w:r>
      <w:r>
        <w:rPr>
          <w:color w:val="231F20"/>
          <w:spacing w:val="11"/>
          <w:sz w:val="17"/>
        </w:rPr>
        <w:t xml:space="preserve"> </w:t>
      </w:r>
      <w:r>
        <w:rPr>
          <w:color w:val="231F20"/>
          <w:sz w:val="17"/>
        </w:rPr>
        <w:t>Francisco,</w:t>
      </w:r>
      <w:r>
        <w:rPr>
          <w:color w:val="231F20"/>
          <w:spacing w:val="12"/>
          <w:sz w:val="17"/>
        </w:rPr>
        <w:t xml:space="preserve"> </w:t>
      </w:r>
      <w:r>
        <w:rPr>
          <w:color w:val="231F20"/>
          <w:sz w:val="17"/>
        </w:rPr>
        <w:t>CA:</w:t>
      </w:r>
      <w:r>
        <w:rPr>
          <w:color w:val="231F20"/>
          <w:spacing w:val="11"/>
          <w:sz w:val="17"/>
        </w:rPr>
        <w:t xml:space="preserve"> </w:t>
      </w:r>
      <w:r>
        <w:rPr>
          <w:color w:val="231F20"/>
          <w:spacing w:val="-2"/>
          <w:sz w:val="17"/>
        </w:rPr>
        <w:t>Pomegranate.</w:t>
      </w:r>
    </w:p>
    <w:p w14:paraId="3AF3DBD1" w14:textId="77777777" w:rsidR="00AE0598" w:rsidRDefault="0069255A">
      <w:pPr>
        <w:spacing w:before="1"/>
        <w:ind w:left="430" w:right="128" w:hanging="320"/>
        <w:jc w:val="both"/>
        <w:rPr>
          <w:sz w:val="17"/>
        </w:rPr>
      </w:pPr>
      <w:r>
        <w:rPr>
          <w:color w:val="231F20"/>
          <w:sz w:val="17"/>
        </w:rPr>
        <w:t xml:space="preserve">Firat, </w:t>
      </w:r>
      <w:r>
        <w:rPr>
          <w:color w:val="231F20"/>
          <w:w w:val="105"/>
          <w:sz w:val="17"/>
        </w:rPr>
        <w:t xml:space="preserve">A. </w:t>
      </w:r>
      <w:r>
        <w:rPr>
          <w:color w:val="231F20"/>
          <w:sz w:val="17"/>
        </w:rPr>
        <w:t xml:space="preserve">(1995) Consumer culture or culture consumed. In </w:t>
      </w:r>
      <w:r>
        <w:rPr>
          <w:color w:val="231F20"/>
          <w:w w:val="105"/>
          <w:sz w:val="17"/>
        </w:rPr>
        <w:t xml:space="preserve">J. </w:t>
      </w:r>
      <w:r>
        <w:rPr>
          <w:color w:val="231F20"/>
          <w:sz w:val="17"/>
        </w:rPr>
        <w:t xml:space="preserve">Costa and </w:t>
      </w:r>
      <w:r>
        <w:rPr>
          <w:color w:val="231F20"/>
          <w:w w:val="105"/>
          <w:sz w:val="17"/>
        </w:rPr>
        <w:t xml:space="preserve">G. </w:t>
      </w:r>
      <w:r>
        <w:rPr>
          <w:color w:val="231F20"/>
          <w:sz w:val="17"/>
        </w:rPr>
        <w:t>Bamossy (eds)</w:t>
      </w:r>
      <w:r>
        <w:rPr>
          <w:color w:val="231F20"/>
          <w:spacing w:val="40"/>
          <w:sz w:val="17"/>
        </w:rPr>
        <w:t xml:space="preserve"> </w:t>
      </w:r>
      <w:r>
        <w:rPr>
          <w:i/>
          <w:color w:val="231F20"/>
          <w:sz w:val="17"/>
        </w:rPr>
        <w:t xml:space="preserve">Marketing in a Multicultural World </w:t>
      </w:r>
      <w:r>
        <w:rPr>
          <w:color w:val="231F20"/>
          <w:sz w:val="17"/>
        </w:rPr>
        <w:t xml:space="preserve">(pp. 105–123). </w:t>
      </w:r>
      <w:r>
        <w:rPr>
          <w:color w:val="231F20"/>
          <w:w w:val="112"/>
          <w:sz w:val="17"/>
        </w:rPr>
        <w:t>L</w:t>
      </w:r>
      <w:r>
        <w:rPr>
          <w:color w:val="231F20"/>
          <w:w w:val="104"/>
          <w:sz w:val="17"/>
        </w:rPr>
        <w:t>o</w:t>
      </w:r>
      <w:r>
        <w:rPr>
          <w:color w:val="231F20"/>
          <w:w w:val="99"/>
          <w:sz w:val="17"/>
        </w:rPr>
        <w:t>nd</w:t>
      </w:r>
      <w:r>
        <w:rPr>
          <w:color w:val="231F20"/>
          <w:w w:val="101"/>
          <w:sz w:val="17"/>
        </w:rPr>
        <w:t>on</w:t>
      </w:r>
      <w:r>
        <w:rPr>
          <w:color w:val="231F20"/>
          <w:w w:val="61"/>
          <w:sz w:val="17"/>
        </w:rPr>
        <w:t>/</w:t>
      </w:r>
      <w:r>
        <w:rPr>
          <w:color w:val="231F20"/>
          <w:w w:val="121"/>
          <w:sz w:val="17"/>
        </w:rPr>
        <w:t>T</w:t>
      </w:r>
      <w:r>
        <w:rPr>
          <w:color w:val="231F20"/>
          <w:w w:val="101"/>
          <w:sz w:val="17"/>
        </w:rPr>
        <w:t>hou</w:t>
      </w:r>
      <w:r>
        <w:rPr>
          <w:color w:val="231F20"/>
          <w:w w:val="91"/>
          <w:sz w:val="17"/>
        </w:rPr>
        <w:t>s</w:t>
      </w:r>
      <w:r>
        <w:rPr>
          <w:color w:val="231F20"/>
          <w:w w:val="102"/>
          <w:sz w:val="17"/>
        </w:rPr>
        <w:t>a</w:t>
      </w:r>
      <w:r>
        <w:rPr>
          <w:color w:val="231F20"/>
          <w:w w:val="99"/>
          <w:sz w:val="17"/>
        </w:rPr>
        <w:t xml:space="preserve">nd </w:t>
      </w:r>
      <w:r>
        <w:rPr>
          <w:color w:val="231F20"/>
          <w:sz w:val="17"/>
        </w:rPr>
        <w:t>Oaks, CA:</w:t>
      </w:r>
      <w:r>
        <w:rPr>
          <w:color w:val="231F20"/>
          <w:spacing w:val="80"/>
          <w:sz w:val="17"/>
        </w:rPr>
        <w:t xml:space="preserve"> </w:t>
      </w:r>
      <w:r>
        <w:rPr>
          <w:color w:val="231F20"/>
          <w:spacing w:val="-2"/>
          <w:sz w:val="17"/>
        </w:rPr>
        <w:t>Sage.</w:t>
      </w:r>
    </w:p>
    <w:p w14:paraId="3844ACAE" w14:textId="77777777" w:rsidR="00AE0598" w:rsidRDefault="0069255A">
      <w:pPr>
        <w:spacing w:before="2"/>
        <w:ind w:left="430" w:right="128" w:hanging="320"/>
        <w:jc w:val="both"/>
        <w:rPr>
          <w:sz w:val="17"/>
        </w:rPr>
      </w:pPr>
      <w:r>
        <w:rPr>
          <w:color w:val="231F20"/>
          <w:sz w:val="17"/>
        </w:rPr>
        <w:t>Flagestad, A. and Hope, C.A. (2001) Strategic success in winter sports destinations: A</w:t>
      </w:r>
      <w:r>
        <w:rPr>
          <w:color w:val="231F20"/>
          <w:spacing w:val="40"/>
          <w:sz w:val="17"/>
        </w:rPr>
        <w:t xml:space="preserve"> </w:t>
      </w:r>
      <w:r>
        <w:rPr>
          <w:color w:val="231F20"/>
          <w:sz w:val="17"/>
        </w:rPr>
        <w:t xml:space="preserve">sustainable value creation perspective. </w:t>
      </w:r>
      <w:r>
        <w:rPr>
          <w:i/>
          <w:color w:val="231F20"/>
          <w:sz w:val="17"/>
        </w:rPr>
        <w:t xml:space="preserve">Tourism Management </w:t>
      </w:r>
      <w:r>
        <w:rPr>
          <w:color w:val="231F20"/>
          <w:sz w:val="17"/>
        </w:rPr>
        <w:t>22 (5), 445–461.</w:t>
      </w:r>
    </w:p>
    <w:p w14:paraId="3DA15B30" w14:textId="77777777" w:rsidR="00AE0598" w:rsidRDefault="0069255A">
      <w:pPr>
        <w:spacing w:before="1"/>
        <w:ind w:left="430" w:right="127" w:hanging="320"/>
        <w:jc w:val="both"/>
        <w:rPr>
          <w:sz w:val="17"/>
        </w:rPr>
      </w:pPr>
      <w:r>
        <w:rPr>
          <w:color w:val="231F20"/>
          <w:sz w:val="17"/>
        </w:rPr>
        <w:t>Flognfeldt, T. (2001) Long-term positive adjustments to seasonality: Consequences of</w:t>
      </w:r>
      <w:r>
        <w:rPr>
          <w:color w:val="231F20"/>
          <w:spacing w:val="40"/>
          <w:sz w:val="17"/>
        </w:rPr>
        <w:t xml:space="preserve"> </w:t>
      </w:r>
      <w:r>
        <w:rPr>
          <w:color w:val="231F20"/>
          <w:sz w:val="17"/>
        </w:rPr>
        <w:t>summer t</w:t>
      </w:r>
      <w:r>
        <w:rPr>
          <w:color w:val="231F20"/>
          <w:sz w:val="17"/>
        </w:rPr>
        <w:t>ourism in the Jotunheimen area, Norway. In T. Baum and S. Lundtorp (eds)</w:t>
      </w:r>
      <w:r>
        <w:rPr>
          <w:color w:val="231F20"/>
          <w:spacing w:val="40"/>
          <w:sz w:val="17"/>
        </w:rPr>
        <w:t xml:space="preserve"> </w:t>
      </w:r>
      <w:r>
        <w:rPr>
          <w:i/>
          <w:color w:val="231F20"/>
          <w:sz w:val="17"/>
        </w:rPr>
        <w:t xml:space="preserve">Seasonality in Tourism </w:t>
      </w:r>
      <w:r>
        <w:rPr>
          <w:color w:val="231F20"/>
          <w:sz w:val="17"/>
        </w:rPr>
        <w:t>(pp. 109–118). Oxford: Pergamon.</w:t>
      </w:r>
    </w:p>
    <w:p w14:paraId="72342151" w14:textId="77777777" w:rsidR="00AE0598" w:rsidRDefault="0069255A">
      <w:pPr>
        <w:spacing w:before="2"/>
        <w:ind w:left="430" w:right="128" w:hanging="320"/>
        <w:jc w:val="both"/>
        <w:rPr>
          <w:sz w:val="17"/>
        </w:rPr>
      </w:pPr>
      <w:r>
        <w:rPr>
          <w:color w:val="231F20"/>
          <w:w w:val="105"/>
          <w:sz w:val="17"/>
        </w:rPr>
        <w:t>Fougere,</w:t>
      </w:r>
      <w:r>
        <w:rPr>
          <w:color w:val="231F20"/>
          <w:spacing w:val="-3"/>
          <w:w w:val="105"/>
          <w:sz w:val="17"/>
        </w:rPr>
        <w:t xml:space="preserve"> </w:t>
      </w:r>
      <w:r>
        <w:rPr>
          <w:color w:val="231F20"/>
          <w:w w:val="105"/>
          <w:sz w:val="17"/>
        </w:rPr>
        <w:t>G.</w:t>
      </w:r>
      <w:r>
        <w:rPr>
          <w:color w:val="231F20"/>
          <w:spacing w:val="-3"/>
          <w:w w:val="105"/>
          <w:sz w:val="17"/>
        </w:rPr>
        <w:t xml:space="preserve"> </w:t>
      </w:r>
      <w:r>
        <w:rPr>
          <w:color w:val="231F20"/>
          <w:w w:val="105"/>
          <w:sz w:val="17"/>
        </w:rPr>
        <w:t>(1989)</w:t>
      </w:r>
      <w:r>
        <w:rPr>
          <w:color w:val="231F20"/>
          <w:spacing w:val="-3"/>
          <w:w w:val="105"/>
          <w:sz w:val="17"/>
        </w:rPr>
        <w:t xml:space="preserve"> </w:t>
      </w:r>
      <w:r>
        <w:rPr>
          <w:color w:val="231F20"/>
          <w:w w:val="105"/>
          <w:sz w:val="17"/>
        </w:rPr>
        <w:t>Sport,</w:t>
      </w:r>
      <w:r>
        <w:rPr>
          <w:color w:val="231F20"/>
          <w:spacing w:val="-3"/>
          <w:w w:val="105"/>
          <w:sz w:val="17"/>
        </w:rPr>
        <w:t xml:space="preserve"> </w:t>
      </w:r>
      <w:r>
        <w:rPr>
          <w:color w:val="231F20"/>
          <w:w w:val="105"/>
          <w:sz w:val="17"/>
        </w:rPr>
        <w:t>culture</w:t>
      </w:r>
      <w:r>
        <w:rPr>
          <w:color w:val="231F20"/>
          <w:spacing w:val="-3"/>
          <w:w w:val="105"/>
          <w:sz w:val="17"/>
        </w:rPr>
        <w:t xml:space="preserve"> </w:t>
      </w:r>
      <w:r>
        <w:rPr>
          <w:color w:val="231F20"/>
          <w:w w:val="105"/>
          <w:sz w:val="17"/>
        </w:rPr>
        <w:t>and</w:t>
      </w:r>
      <w:r>
        <w:rPr>
          <w:color w:val="231F20"/>
          <w:spacing w:val="-3"/>
          <w:w w:val="105"/>
          <w:sz w:val="17"/>
        </w:rPr>
        <w:t xml:space="preserve"> </w:t>
      </w:r>
      <w:r>
        <w:rPr>
          <w:color w:val="231F20"/>
          <w:w w:val="105"/>
          <w:sz w:val="17"/>
        </w:rPr>
        <w:t>identity:</w:t>
      </w:r>
      <w:r>
        <w:rPr>
          <w:color w:val="231F20"/>
          <w:spacing w:val="-3"/>
          <w:w w:val="105"/>
          <w:sz w:val="17"/>
        </w:rPr>
        <w:t xml:space="preserve"> </w:t>
      </w:r>
      <w:r>
        <w:rPr>
          <w:color w:val="231F20"/>
          <w:w w:val="105"/>
          <w:sz w:val="17"/>
        </w:rPr>
        <w:t>The</w:t>
      </w:r>
      <w:r>
        <w:rPr>
          <w:color w:val="231F20"/>
          <w:spacing w:val="-3"/>
          <w:w w:val="105"/>
          <w:sz w:val="17"/>
        </w:rPr>
        <w:t xml:space="preserve"> </w:t>
      </w:r>
      <w:r>
        <w:rPr>
          <w:color w:val="231F20"/>
          <w:w w:val="105"/>
          <w:sz w:val="17"/>
        </w:rPr>
        <w:t>case</w:t>
      </w:r>
      <w:r>
        <w:rPr>
          <w:color w:val="231F20"/>
          <w:spacing w:val="-3"/>
          <w:w w:val="105"/>
          <w:sz w:val="17"/>
        </w:rPr>
        <w:t xml:space="preserve"> </w:t>
      </w:r>
      <w:r>
        <w:rPr>
          <w:color w:val="231F20"/>
          <w:w w:val="105"/>
          <w:sz w:val="17"/>
        </w:rPr>
        <w:t>of</w:t>
      </w:r>
      <w:r>
        <w:rPr>
          <w:color w:val="231F20"/>
          <w:spacing w:val="-3"/>
          <w:w w:val="105"/>
          <w:sz w:val="17"/>
        </w:rPr>
        <w:t xml:space="preserve"> </w:t>
      </w:r>
      <w:r>
        <w:rPr>
          <w:color w:val="231F20"/>
          <w:w w:val="105"/>
          <w:sz w:val="17"/>
        </w:rPr>
        <w:t>rugby</w:t>
      </w:r>
      <w:r>
        <w:rPr>
          <w:color w:val="231F20"/>
          <w:spacing w:val="-3"/>
          <w:w w:val="105"/>
          <w:sz w:val="17"/>
        </w:rPr>
        <w:t xml:space="preserve"> </w:t>
      </w:r>
      <w:r>
        <w:rPr>
          <w:color w:val="231F20"/>
          <w:w w:val="105"/>
          <w:sz w:val="17"/>
        </w:rPr>
        <w:t>football.</w:t>
      </w:r>
      <w:r>
        <w:rPr>
          <w:color w:val="231F20"/>
          <w:spacing w:val="-3"/>
          <w:w w:val="105"/>
          <w:sz w:val="17"/>
        </w:rPr>
        <w:t xml:space="preserve"> </w:t>
      </w:r>
      <w:r>
        <w:rPr>
          <w:color w:val="231F20"/>
          <w:w w:val="105"/>
          <w:sz w:val="17"/>
        </w:rPr>
        <w:t>In</w:t>
      </w:r>
      <w:r>
        <w:rPr>
          <w:color w:val="231F20"/>
          <w:spacing w:val="-3"/>
          <w:w w:val="105"/>
          <w:sz w:val="17"/>
        </w:rPr>
        <w:t xml:space="preserve"> </w:t>
      </w:r>
      <w:r>
        <w:rPr>
          <w:color w:val="231F20"/>
          <w:w w:val="105"/>
          <w:sz w:val="17"/>
        </w:rPr>
        <w:t>D.</w:t>
      </w:r>
      <w:r>
        <w:rPr>
          <w:color w:val="231F20"/>
          <w:spacing w:val="-3"/>
          <w:w w:val="105"/>
          <w:sz w:val="17"/>
        </w:rPr>
        <w:t xml:space="preserve"> </w:t>
      </w:r>
      <w:r>
        <w:rPr>
          <w:color w:val="231F20"/>
          <w:w w:val="105"/>
          <w:sz w:val="17"/>
        </w:rPr>
        <w:t>Novitz</w:t>
      </w:r>
      <w:r>
        <w:rPr>
          <w:color w:val="231F20"/>
          <w:spacing w:val="40"/>
          <w:w w:val="105"/>
          <w:sz w:val="17"/>
        </w:rPr>
        <w:t xml:space="preserve"> </w:t>
      </w:r>
      <w:r>
        <w:rPr>
          <w:color w:val="231F20"/>
          <w:sz w:val="17"/>
        </w:rPr>
        <w:t xml:space="preserve">and B. Willmott (eds) </w:t>
      </w:r>
      <w:r>
        <w:rPr>
          <w:i/>
          <w:color w:val="231F20"/>
          <w:sz w:val="17"/>
        </w:rPr>
        <w:t>Cultural Identit</w:t>
      </w:r>
      <w:r>
        <w:rPr>
          <w:i/>
          <w:color w:val="231F20"/>
          <w:sz w:val="17"/>
        </w:rPr>
        <w:t xml:space="preserve">y in New Zealand </w:t>
      </w:r>
      <w:r>
        <w:rPr>
          <w:color w:val="231F20"/>
          <w:sz w:val="17"/>
        </w:rPr>
        <w:t>(pp. 110–122). Wellington:</w:t>
      </w:r>
      <w:r>
        <w:rPr>
          <w:color w:val="231F20"/>
          <w:spacing w:val="80"/>
          <w:w w:val="105"/>
          <w:sz w:val="17"/>
        </w:rPr>
        <w:t xml:space="preserve"> </w:t>
      </w:r>
      <w:r>
        <w:rPr>
          <w:color w:val="231F20"/>
          <w:w w:val="105"/>
          <w:sz w:val="17"/>
        </w:rPr>
        <w:t>GP Books.</w:t>
      </w:r>
    </w:p>
    <w:p w14:paraId="54EF1B4F" w14:textId="77777777" w:rsidR="00AE0598" w:rsidRDefault="00AE0598">
      <w:pPr>
        <w:jc w:val="both"/>
        <w:rPr>
          <w:sz w:val="17"/>
        </w:rPr>
        <w:sectPr w:rsidR="00AE0598">
          <w:pgSz w:w="8850" w:h="13270"/>
          <w:pgMar w:top="720" w:right="1060" w:bottom="280" w:left="1080" w:header="720" w:footer="720" w:gutter="0"/>
          <w:cols w:space="720"/>
        </w:sectPr>
      </w:pPr>
    </w:p>
    <w:p w14:paraId="73F77B57" w14:textId="77777777" w:rsidR="00AE0598" w:rsidRDefault="0069255A">
      <w:pPr>
        <w:spacing w:before="87"/>
        <w:ind w:left="108"/>
        <w:rPr>
          <w:rFonts w:ascii="Trebuchet MS"/>
          <w:sz w:val="14"/>
        </w:rPr>
      </w:pPr>
      <w:r>
        <w:rPr>
          <w:rFonts w:ascii="Trebuchet MS"/>
          <w:color w:val="231F20"/>
          <w:w w:val="105"/>
          <w:sz w:val="14"/>
        </w:rPr>
        <w:lastRenderedPageBreak/>
        <w:t>248</w:t>
      </w:r>
      <w:r>
        <w:rPr>
          <w:rFonts w:ascii="Trebuchet MS"/>
          <w:color w:val="231F20"/>
          <w:spacing w:val="78"/>
          <w:w w:val="150"/>
          <w:sz w:val="14"/>
        </w:rPr>
        <w:t xml:space="preserve"> </w:t>
      </w:r>
      <w:r>
        <w:rPr>
          <w:rFonts w:ascii="Trebuchet MS"/>
          <w:color w:val="231F20"/>
          <w:spacing w:val="-2"/>
          <w:w w:val="105"/>
          <w:sz w:val="14"/>
        </w:rPr>
        <w:t>References</w:t>
      </w:r>
    </w:p>
    <w:p w14:paraId="7843AA0B" w14:textId="77777777" w:rsidR="00AE0598" w:rsidRDefault="00AE0598">
      <w:pPr>
        <w:pStyle w:val="Corpodetexto"/>
        <w:rPr>
          <w:rFonts w:ascii="Trebuchet MS"/>
          <w:sz w:val="16"/>
        </w:rPr>
      </w:pPr>
    </w:p>
    <w:p w14:paraId="56DF687F" w14:textId="77777777" w:rsidR="00AE0598" w:rsidRDefault="0069255A">
      <w:pPr>
        <w:spacing w:before="121"/>
        <w:ind w:left="430" w:right="127" w:hanging="320"/>
        <w:jc w:val="both"/>
        <w:rPr>
          <w:sz w:val="17"/>
        </w:rPr>
      </w:pPr>
      <w:r>
        <w:rPr>
          <w:color w:val="231F20"/>
          <w:sz w:val="17"/>
        </w:rPr>
        <w:t xml:space="preserve">Fourie, </w:t>
      </w:r>
      <w:r>
        <w:rPr>
          <w:color w:val="231F20"/>
          <w:w w:val="105"/>
          <w:sz w:val="17"/>
        </w:rPr>
        <w:t xml:space="preserve">J. </w:t>
      </w:r>
      <w:r>
        <w:rPr>
          <w:color w:val="231F20"/>
          <w:sz w:val="17"/>
        </w:rPr>
        <w:t xml:space="preserve">and Santana-Gallego, </w:t>
      </w:r>
      <w:r>
        <w:rPr>
          <w:color w:val="231F20"/>
          <w:w w:val="105"/>
          <w:sz w:val="17"/>
        </w:rPr>
        <w:t xml:space="preserve">M. </w:t>
      </w:r>
      <w:r>
        <w:rPr>
          <w:color w:val="231F20"/>
          <w:sz w:val="17"/>
        </w:rPr>
        <w:t>(2011) The impact of mega-sport events on tourist</w:t>
      </w:r>
      <w:r>
        <w:rPr>
          <w:color w:val="231F20"/>
          <w:spacing w:val="40"/>
          <w:sz w:val="17"/>
        </w:rPr>
        <w:t xml:space="preserve"> </w:t>
      </w:r>
      <w:r>
        <w:rPr>
          <w:color w:val="231F20"/>
          <w:sz w:val="17"/>
        </w:rPr>
        <w:t xml:space="preserve">arrivals. </w:t>
      </w:r>
      <w:r>
        <w:rPr>
          <w:i/>
          <w:color w:val="231F20"/>
          <w:sz w:val="17"/>
        </w:rPr>
        <w:t xml:space="preserve">Tourism Management </w:t>
      </w:r>
      <w:r>
        <w:rPr>
          <w:color w:val="231F20"/>
          <w:sz w:val="17"/>
        </w:rPr>
        <w:t>32 (6), 1364–1370.</w:t>
      </w:r>
    </w:p>
    <w:p w14:paraId="53B8BDC2" w14:textId="77777777" w:rsidR="00AE0598" w:rsidRDefault="0069255A">
      <w:pPr>
        <w:spacing w:before="1"/>
        <w:ind w:left="430" w:right="128" w:hanging="320"/>
        <w:jc w:val="both"/>
        <w:rPr>
          <w:sz w:val="17"/>
        </w:rPr>
      </w:pPr>
      <w:r>
        <w:rPr>
          <w:color w:val="231F20"/>
          <w:sz w:val="17"/>
        </w:rPr>
        <w:t>Francis, S. and Murphy, P.E. (2005) Sport tourism destinations: The active sport tourist</w:t>
      </w:r>
      <w:r>
        <w:rPr>
          <w:color w:val="231F20"/>
          <w:spacing w:val="40"/>
          <w:sz w:val="17"/>
        </w:rPr>
        <w:t xml:space="preserve"> </w:t>
      </w:r>
      <w:r>
        <w:rPr>
          <w:color w:val="231F20"/>
          <w:sz w:val="17"/>
        </w:rPr>
        <w:t xml:space="preserve">perspective. In J.E.S. Higham (ed.) </w:t>
      </w:r>
      <w:r>
        <w:rPr>
          <w:i/>
          <w:color w:val="231F20"/>
          <w:sz w:val="17"/>
        </w:rPr>
        <w:t>Sport Tourism Destinations: Issues, Opportunities</w:t>
      </w:r>
      <w:r>
        <w:rPr>
          <w:i/>
          <w:color w:val="231F20"/>
          <w:spacing w:val="40"/>
          <w:sz w:val="17"/>
        </w:rPr>
        <w:t xml:space="preserve"> </w:t>
      </w:r>
      <w:r>
        <w:rPr>
          <w:i/>
          <w:color w:val="231F20"/>
          <w:sz w:val="17"/>
        </w:rPr>
        <w:t xml:space="preserve">and Analysis </w:t>
      </w:r>
      <w:r>
        <w:rPr>
          <w:color w:val="231F20"/>
          <w:sz w:val="17"/>
        </w:rPr>
        <w:t>(pp. 73–92). Oxford: Elsevier.</w:t>
      </w:r>
    </w:p>
    <w:p w14:paraId="71548B59" w14:textId="77777777" w:rsidR="00AE0598" w:rsidRDefault="0069255A">
      <w:pPr>
        <w:spacing w:before="2"/>
        <w:ind w:left="110" w:right="204"/>
        <w:jc w:val="both"/>
        <w:rPr>
          <w:sz w:val="17"/>
        </w:rPr>
      </w:pPr>
      <w:r>
        <w:rPr>
          <w:color w:val="231F20"/>
          <w:sz w:val="17"/>
        </w:rPr>
        <w:t xml:space="preserve">Frechtling, </w:t>
      </w:r>
      <w:r>
        <w:rPr>
          <w:color w:val="231F20"/>
          <w:w w:val="110"/>
          <w:sz w:val="17"/>
        </w:rPr>
        <w:t>D.C.</w:t>
      </w:r>
      <w:r>
        <w:rPr>
          <w:color w:val="231F20"/>
          <w:spacing w:val="-1"/>
          <w:w w:val="110"/>
          <w:sz w:val="17"/>
        </w:rPr>
        <w:t xml:space="preserve"> </w:t>
      </w:r>
      <w:r>
        <w:rPr>
          <w:color w:val="231F20"/>
          <w:sz w:val="17"/>
        </w:rPr>
        <w:t xml:space="preserve">(1996) </w:t>
      </w:r>
      <w:r>
        <w:rPr>
          <w:i/>
          <w:color w:val="231F20"/>
          <w:sz w:val="17"/>
        </w:rPr>
        <w:t>Practical Tou</w:t>
      </w:r>
      <w:r>
        <w:rPr>
          <w:i/>
          <w:color w:val="231F20"/>
          <w:sz w:val="17"/>
        </w:rPr>
        <w:t>rism Forecasting</w:t>
      </w:r>
      <w:r>
        <w:rPr>
          <w:color w:val="231F20"/>
          <w:sz w:val="17"/>
        </w:rPr>
        <w:t>. Oxford: Butterworth-Heinemann.</w:t>
      </w:r>
      <w:r>
        <w:rPr>
          <w:color w:val="231F20"/>
          <w:spacing w:val="40"/>
          <w:sz w:val="17"/>
        </w:rPr>
        <w:t xml:space="preserve"> </w:t>
      </w:r>
      <w:r>
        <w:rPr>
          <w:color w:val="231F20"/>
          <w:sz w:val="17"/>
        </w:rPr>
        <w:t xml:space="preserve">Freidmann, </w:t>
      </w:r>
      <w:r>
        <w:rPr>
          <w:color w:val="231F20"/>
          <w:w w:val="110"/>
          <w:sz w:val="17"/>
        </w:rPr>
        <w:t xml:space="preserve">J. </w:t>
      </w:r>
      <w:r>
        <w:rPr>
          <w:color w:val="231F20"/>
          <w:sz w:val="17"/>
        </w:rPr>
        <w:t xml:space="preserve">(1986) The world city hypothesis. </w:t>
      </w:r>
      <w:r>
        <w:rPr>
          <w:i/>
          <w:color w:val="231F20"/>
          <w:sz w:val="17"/>
        </w:rPr>
        <w:t xml:space="preserve">Development and Change </w:t>
      </w:r>
      <w:r>
        <w:rPr>
          <w:color w:val="231F20"/>
          <w:sz w:val="17"/>
        </w:rPr>
        <w:t>17, 69–84.</w:t>
      </w:r>
    </w:p>
    <w:p w14:paraId="5372C74C" w14:textId="77777777" w:rsidR="00AE0598" w:rsidRDefault="0069255A">
      <w:pPr>
        <w:spacing w:before="2"/>
        <w:ind w:left="110"/>
        <w:jc w:val="both"/>
        <w:rPr>
          <w:sz w:val="17"/>
        </w:rPr>
      </w:pPr>
      <w:r>
        <w:rPr>
          <w:color w:val="231F20"/>
          <w:sz w:val="17"/>
        </w:rPr>
        <w:t>Frosdick,</w:t>
      </w:r>
      <w:r>
        <w:rPr>
          <w:color w:val="231F20"/>
          <w:spacing w:val="3"/>
          <w:sz w:val="17"/>
        </w:rPr>
        <w:t xml:space="preserve"> </w:t>
      </w:r>
      <w:r>
        <w:rPr>
          <w:color w:val="231F20"/>
          <w:sz w:val="17"/>
        </w:rPr>
        <w:t>S.</w:t>
      </w:r>
      <w:r>
        <w:rPr>
          <w:color w:val="231F20"/>
          <w:spacing w:val="4"/>
          <w:sz w:val="17"/>
        </w:rPr>
        <w:t xml:space="preserve"> </w:t>
      </w:r>
      <w:r>
        <w:rPr>
          <w:color w:val="231F20"/>
          <w:sz w:val="17"/>
        </w:rPr>
        <w:t>and</w:t>
      </w:r>
      <w:r>
        <w:rPr>
          <w:color w:val="231F20"/>
          <w:spacing w:val="3"/>
          <w:sz w:val="17"/>
        </w:rPr>
        <w:t xml:space="preserve"> </w:t>
      </w:r>
      <w:r>
        <w:rPr>
          <w:color w:val="231F20"/>
          <w:sz w:val="17"/>
        </w:rPr>
        <w:t>Marsh,</w:t>
      </w:r>
      <w:r>
        <w:rPr>
          <w:color w:val="231F20"/>
          <w:spacing w:val="4"/>
          <w:sz w:val="17"/>
        </w:rPr>
        <w:t xml:space="preserve"> </w:t>
      </w:r>
      <w:r>
        <w:rPr>
          <w:color w:val="231F20"/>
          <w:sz w:val="17"/>
        </w:rPr>
        <w:t>P.</w:t>
      </w:r>
      <w:r>
        <w:rPr>
          <w:color w:val="231F20"/>
          <w:spacing w:val="4"/>
          <w:sz w:val="17"/>
        </w:rPr>
        <w:t xml:space="preserve"> </w:t>
      </w:r>
      <w:r>
        <w:rPr>
          <w:color w:val="231F20"/>
          <w:sz w:val="17"/>
        </w:rPr>
        <w:t>(2013)</w:t>
      </w:r>
      <w:r>
        <w:rPr>
          <w:color w:val="231F20"/>
          <w:spacing w:val="3"/>
          <w:sz w:val="17"/>
        </w:rPr>
        <w:t xml:space="preserve"> </w:t>
      </w:r>
      <w:r>
        <w:rPr>
          <w:i/>
          <w:color w:val="231F20"/>
          <w:sz w:val="17"/>
        </w:rPr>
        <w:t>Football</w:t>
      </w:r>
      <w:r>
        <w:rPr>
          <w:i/>
          <w:color w:val="231F20"/>
          <w:spacing w:val="4"/>
          <w:sz w:val="17"/>
        </w:rPr>
        <w:t xml:space="preserve"> </w:t>
      </w:r>
      <w:r>
        <w:rPr>
          <w:i/>
          <w:color w:val="231F20"/>
          <w:sz w:val="17"/>
        </w:rPr>
        <w:t>Hooliganism</w:t>
      </w:r>
      <w:r>
        <w:rPr>
          <w:color w:val="231F20"/>
          <w:sz w:val="17"/>
        </w:rPr>
        <w:t>.</w:t>
      </w:r>
      <w:r>
        <w:rPr>
          <w:color w:val="231F20"/>
          <w:spacing w:val="4"/>
          <w:sz w:val="17"/>
        </w:rPr>
        <w:t xml:space="preserve"> </w:t>
      </w:r>
      <w:r>
        <w:rPr>
          <w:color w:val="231F20"/>
          <w:sz w:val="17"/>
        </w:rPr>
        <w:t>London:</w:t>
      </w:r>
      <w:r>
        <w:rPr>
          <w:color w:val="231F20"/>
          <w:spacing w:val="3"/>
          <w:sz w:val="17"/>
        </w:rPr>
        <w:t xml:space="preserve"> </w:t>
      </w:r>
      <w:r>
        <w:rPr>
          <w:color w:val="231F20"/>
          <w:spacing w:val="-2"/>
          <w:sz w:val="17"/>
        </w:rPr>
        <w:t>Routledge.</w:t>
      </w:r>
    </w:p>
    <w:p w14:paraId="75549316" w14:textId="77777777" w:rsidR="00AE0598" w:rsidRDefault="0069255A">
      <w:pPr>
        <w:ind w:left="430" w:right="128" w:hanging="320"/>
        <w:jc w:val="both"/>
        <w:rPr>
          <w:sz w:val="17"/>
        </w:rPr>
      </w:pPr>
      <w:r>
        <w:rPr>
          <w:color w:val="231F20"/>
          <w:sz w:val="17"/>
        </w:rPr>
        <w:t>Funk, D.C. and Bruun, T.J. (2007) The role of socio-psychological and culture-education</w:t>
      </w:r>
      <w:r>
        <w:rPr>
          <w:color w:val="231F20"/>
          <w:spacing w:val="40"/>
          <w:w w:val="105"/>
          <w:sz w:val="17"/>
        </w:rPr>
        <w:t xml:space="preserve"> </w:t>
      </w:r>
      <w:r>
        <w:rPr>
          <w:color w:val="231F20"/>
          <w:w w:val="105"/>
          <w:sz w:val="17"/>
        </w:rPr>
        <w:t>motives in marketing international sport tourism: A cross-cultural perspective.</w:t>
      </w:r>
      <w:r>
        <w:rPr>
          <w:color w:val="231F20"/>
          <w:spacing w:val="40"/>
          <w:w w:val="105"/>
          <w:sz w:val="17"/>
        </w:rPr>
        <w:t xml:space="preserve"> </w:t>
      </w:r>
      <w:r>
        <w:rPr>
          <w:i/>
          <w:color w:val="231F20"/>
          <w:w w:val="105"/>
          <w:sz w:val="17"/>
        </w:rPr>
        <w:t>Tourism</w:t>
      </w:r>
      <w:r>
        <w:rPr>
          <w:i/>
          <w:color w:val="231F20"/>
          <w:spacing w:val="-3"/>
          <w:w w:val="105"/>
          <w:sz w:val="17"/>
        </w:rPr>
        <w:t xml:space="preserve"> </w:t>
      </w:r>
      <w:r>
        <w:rPr>
          <w:i/>
          <w:color w:val="231F20"/>
          <w:w w:val="105"/>
          <w:sz w:val="17"/>
        </w:rPr>
        <w:t>Management</w:t>
      </w:r>
      <w:r>
        <w:rPr>
          <w:i/>
          <w:color w:val="231F20"/>
          <w:spacing w:val="-3"/>
          <w:w w:val="105"/>
          <w:sz w:val="17"/>
        </w:rPr>
        <w:t xml:space="preserve"> </w:t>
      </w:r>
      <w:r>
        <w:rPr>
          <w:color w:val="231F20"/>
          <w:w w:val="105"/>
          <w:sz w:val="17"/>
        </w:rPr>
        <w:t>28</w:t>
      </w:r>
      <w:r>
        <w:rPr>
          <w:color w:val="231F20"/>
          <w:spacing w:val="-3"/>
          <w:w w:val="105"/>
          <w:sz w:val="17"/>
        </w:rPr>
        <w:t xml:space="preserve"> </w:t>
      </w:r>
      <w:r>
        <w:rPr>
          <w:color w:val="231F20"/>
          <w:w w:val="105"/>
          <w:sz w:val="17"/>
        </w:rPr>
        <w:t>(3),</w:t>
      </w:r>
      <w:r>
        <w:rPr>
          <w:color w:val="231F20"/>
          <w:spacing w:val="-3"/>
          <w:w w:val="105"/>
          <w:sz w:val="17"/>
        </w:rPr>
        <w:t xml:space="preserve"> </w:t>
      </w:r>
      <w:r>
        <w:rPr>
          <w:color w:val="231F20"/>
          <w:w w:val="105"/>
          <w:sz w:val="17"/>
        </w:rPr>
        <w:t>806–819.</w:t>
      </w:r>
    </w:p>
    <w:p w14:paraId="489BA316" w14:textId="77777777" w:rsidR="00AE0598" w:rsidRDefault="0069255A">
      <w:pPr>
        <w:spacing w:before="3"/>
        <w:ind w:left="430" w:right="128" w:hanging="320"/>
        <w:jc w:val="both"/>
        <w:rPr>
          <w:sz w:val="17"/>
        </w:rPr>
      </w:pPr>
      <w:r>
        <w:rPr>
          <w:color w:val="231F20"/>
          <w:sz w:val="17"/>
        </w:rPr>
        <w:t xml:space="preserve">Fyall, A. and Jago, L. (eds) (2009) Sustainability in sport and tourism. </w:t>
      </w:r>
      <w:r>
        <w:rPr>
          <w:i/>
          <w:color w:val="231F20"/>
          <w:sz w:val="17"/>
        </w:rPr>
        <w:t xml:space="preserve">Journal of Sport </w:t>
      </w:r>
      <w:r>
        <w:rPr>
          <w:i/>
          <w:color w:val="231F20"/>
          <w:w w:val="110"/>
          <w:sz w:val="17"/>
        </w:rPr>
        <w:t xml:space="preserve">&amp; </w:t>
      </w:r>
      <w:r>
        <w:rPr>
          <w:i/>
          <w:color w:val="231F20"/>
          <w:sz w:val="17"/>
        </w:rPr>
        <w:t xml:space="preserve">Touirsm </w:t>
      </w:r>
      <w:r>
        <w:rPr>
          <w:color w:val="231F20"/>
          <w:sz w:val="17"/>
        </w:rPr>
        <w:t>14 (2–3), 77–81.</w:t>
      </w:r>
    </w:p>
    <w:p w14:paraId="15CC52A5" w14:textId="77777777" w:rsidR="00AE0598" w:rsidRDefault="0069255A">
      <w:pPr>
        <w:spacing w:before="1"/>
        <w:ind w:left="430" w:right="128" w:hanging="320"/>
        <w:jc w:val="both"/>
        <w:rPr>
          <w:sz w:val="17"/>
        </w:rPr>
      </w:pPr>
      <w:r>
        <w:rPr>
          <w:color w:val="231F20"/>
          <w:sz w:val="17"/>
        </w:rPr>
        <w:t xml:space="preserve">Gaboriau, P. (2003) The Tour de France and cycling’s Belle Epoque. </w:t>
      </w:r>
      <w:r>
        <w:rPr>
          <w:i/>
          <w:color w:val="231F20"/>
          <w:sz w:val="17"/>
        </w:rPr>
        <w:t>International Journal</w:t>
      </w:r>
      <w:r>
        <w:rPr>
          <w:i/>
          <w:color w:val="231F20"/>
          <w:spacing w:val="40"/>
          <w:sz w:val="17"/>
        </w:rPr>
        <w:t xml:space="preserve"> </w:t>
      </w:r>
      <w:r>
        <w:rPr>
          <w:i/>
          <w:color w:val="231F20"/>
          <w:sz w:val="17"/>
        </w:rPr>
        <w:t xml:space="preserve">of the History of Sport </w:t>
      </w:r>
      <w:r>
        <w:rPr>
          <w:color w:val="231F20"/>
          <w:sz w:val="17"/>
        </w:rPr>
        <w:t>20 (2), 57–78.</w:t>
      </w:r>
    </w:p>
    <w:p w14:paraId="5A8B3AA3" w14:textId="77777777" w:rsidR="00AE0598" w:rsidRDefault="0069255A">
      <w:pPr>
        <w:spacing w:before="1"/>
        <w:ind w:left="430" w:right="128" w:hanging="320"/>
        <w:jc w:val="both"/>
        <w:rPr>
          <w:sz w:val="17"/>
        </w:rPr>
      </w:pPr>
      <w:r>
        <w:rPr>
          <w:color w:val="231F20"/>
          <w:sz w:val="17"/>
        </w:rPr>
        <w:t>Gallarza, M</w:t>
      </w:r>
      <w:r>
        <w:rPr>
          <w:color w:val="231F20"/>
          <w:sz w:val="17"/>
        </w:rPr>
        <w:t>.G., Saura, I. and Garcia, H. (2001) Destination image: Towards a conceptual</w:t>
      </w:r>
      <w:r>
        <w:rPr>
          <w:color w:val="231F20"/>
          <w:spacing w:val="40"/>
          <w:w w:val="105"/>
          <w:sz w:val="17"/>
        </w:rPr>
        <w:t xml:space="preserve"> </w:t>
      </w:r>
      <w:r>
        <w:rPr>
          <w:color w:val="231F20"/>
          <w:w w:val="105"/>
          <w:sz w:val="17"/>
        </w:rPr>
        <w:t>framework.</w:t>
      </w:r>
      <w:r>
        <w:rPr>
          <w:color w:val="231F20"/>
          <w:spacing w:val="-6"/>
          <w:w w:val="105"/>
          <w:sz w:val="17"/>
        </w:rPr>
        <w:t xml:space="preserve"> </w:t>
      </w:r>
      <w:r>
        <w:rPr>
          <w:i/>
          <w:color w:val="231F20"/>
          <w:w w:val="105"/>
          <w:sz w:val="17"/>
        </w:rPr>
        <w:t>Annals</w:t>
      </w:r>
      <w:r>
        <w:rPr>
          <w:i/>
          <w:color w:val="231F20"/>
          <w:spacing w:val="-6"/>
          <w:w w:val="105"/>
          <w:sz w:val="17"/>
        </w:rPr>
        <w:t xml:space="preserve"> </w:t>
      </w:r>
      <w:r>
        <w:rPr>
          <w:i/>
          <w:color w:val="231F20"/>
          <w:w w:val="105"/>
          <w:sz w:val="17"/>
        </w:rPr>
        <w:t>of</w:t>
      </w:r>
      <w:r>
        <w:rPr>
          <w:i/>
          <w:color w:val="231F20"/>
          <w:spacing w:val="-6"/>
          <w:w w:val="105"/>
          <w:sz w:val="17"/>
        </w:rPr>
        <w:t xml:space="preserve"> </w:t>
      </w:r>
      <w:r>
        <w:rPr>
          <w:i/>
          <w:color w:val="231F20"/>
          <w:w w:val="105"/>
          <w:sz w:val="17"/>
        </w:rPr>
        <w:t>Tourism</w:t>
      </w:r>
      <w:r>
        <w:rPr>
          <w:i/>
          <w:color w:val="231F20"/>
          <w:spacing w:val="-6"/>
          <w:w w:val="105"/>
          <w:sz w:val="17"/>
        </w:rPr>
        <w:t xml:space="preserve"> </w:t>
      </w:r>
      <w:r>
        <w:rPr>
          <w:i/>
          <w:color w:val="231F20"/>
          <w:w w:val="105"/>
          <w:sz w:val="17"/>
        </w:rPr>
        <w:t>Research</w:t>
      </w:r>
      <w:r>
        <w:rPr>
          <w:i/>
          <w:color w:val="231F20"/>
          <w:spacing w:val="-6"/>
          <w:w w:val="105"/>
          <w:sz w:val="17"/>
        </w:rPr>
        <w:t xml:space="preserve"> </w:t>
      </w:r>
      <w:r>
        <w:rPr>
          <w:color w:val="231F20"/>
          <w:w w:val="105"/>
          <w:sz w:val="17"/>
        </w:rPr>
        <w:t>29</w:t>
      </w:r>
      <w:r>
        <w:rPr>
          <w:color w:val="231F20"/>
          <w:spacing w:val="-6"/>
          <w:w w:val="105"/>
          <w:sz w:val="17"/>
        </w:rPr>
        <w:t xml:space="preserve"> </w:t>
      </w:r>
      <w:r>
        <w:rPr>
          <w:color w:val="231F20"/>
          <w:w w:val="105"/>
          <w:sz w:val="17"/>
        </w:rPr>
        <w:t>(1),</w:t>
      </w:r>
      <w:r>
        <w:rPr>
          <w:color w:val="231F20"/>
          <w:spacing w:val="-6"/>
          <w:w w:val="105"/>
          <w:sz w:val="17"/>
        </w:rPr>
        <w:t xml:space="preserve"> </w:t>
      </w:r>
      <w:r>
        <w:rPr>
          <w:color w:val="231F20"/>
          <w:w w:val="105"/>
          <w:sz w:val="17"/>
        </w:rPr>
        <w:t>56–78.</w:t>
      </w:r>
    </w:p>
    <w:p w14:paraId="2A556FFC" w14:textId="77777777" w:rsidR="00AE0598" w:rsidRDefault="0069255A">
      <w:pPr>
        <w:spacing w:before="2"/>
        <w:ind w:left="430" w:right="127" w:hanging="320"/>
        <w:jc w:val="both"/>
        <w:rPr>
          <w:sz w:val="17"/>
        </w:rPr>
      </w:pPr>
      <w:r>
        <w:rPr>
          <w:color w:val="231F20"/>
          <w:sz w:val="17"/>
        </w:rPr>
        <w:t>Gammon, S. (2002) Fantasy, nostalgia and the pursuit of what never was. In S. Gammon</w:t>
      </w:r>
      <w:r>
        <w:rPr>
          <w:color w:val="231F20"/>
          <w:spacing w:val="40"/>
          <w:sz w:val="17"/>
        </w:rPr>
        <w:t xml:space="preserve"> </w:t>
      </w:r>
      <w:r>
        <w:rPr>
          <w:color w:val="231F20"/>
          <w:w w:val="95"/>
          <w:sz w:val="17"/>
        </w:rPr>
        <w:t xml:space="preserve">and J. Kurtzman (eds) </w:t>
      </w:r>
      <w:r>
        <w:rPr>
          <w:i/>
          <w:color w:val="231F20"/>
          <w:w w:val="95"/>
          <w:sz w:val="17"/>
        </w:rPr>
        <w:t xml:space="preserve">Sport Tourism: Principles and Practice </w:t>
      </w:r>
      <w:r>
        <w:rPr>
          <w:color w:val="231F20"/>
          <w:w w:val="95"/>
          <w:sz w:val="17"/>
        </w:rPr>
        <w:t>(pp. 61–72). Eastbourne:</w:t>
      </w:r>
      <w:r>
        <w:rPr>
          <w:color w:val="231F20"/>
          <w:spacing w:val="40"/>
          <w:sz w:val="17"/>
        </w:rPr>
        <w:t xml:space="preserve"> </w:t>
      </w:r>
      <w:r>
        <w:rPr>
          <w:color w:val="231F20"/>
          <w:sz w:val="17"/>
        </w:rPr>
        <w:t>Leisure Studies Association.</w:t>
      </w:r>
    </w:p>
    <w:p w14:paraId="2AB5D830" w14:textId="77777777" w:rsidR="00AE0598" w:rsidRDefault="0069255A">
      <w:pPr>
        <w:spacing w:before="2"/>
        <w:ind w:left="110"/>
        <w:jc w:val="both"/>
        <w:rPr>
          <w:sz w:val="17"/>
        </w:rPr>
      </w:pPr>
      <w:r>
        <w:rPr>
          <w:color w:val="231F20"/>
          <w:sz w:val="17"/>
        </w:rPr>
        <w:t>Gammon,</w:t>
      </w:r>
      <w:r>
        <w:rPr>
          <w:color w:val="231F20"/>
          <w:spacing w:val="7"/>
          <w:sz w:val="17"/>
        </w:rPr>
        <w:t xml:space="preserve"> </w:t>
      </w:r>
      <w:r>
        <w:rPr>
          <w:color w:val="231F20"/>
          <w:sz w:val="17"/>
        </w:rPr>
        <w:t>S.</w:t>
      </w:r>
      <w:r>
        <w:rPr>
          <w:color w:val="231F20"/>
          <w:spacing w:val="7"/>
          <w:sz w:val="17"/>
        </w:rPr>
        <w:t xml:space="preserve"> </w:t>
      </w:r>
      <w:r>
        <w:rPr>
          <w:color w:val="231F20"/>
          <w:sz w:val="17"/>
        </w:rPr>
        <w:t>(2015)</w:t>
      </w:r>
      <w:r>
        <w:rPr>
          <w:color w:val="231F20"/>
          <w:spacing w:val="7"/>
          <w:sz w:val="17"/>
        </w:rPr>
        <w:t xml:space="preserve"> </w:t>
      </w:r>
      <w:r>
        <w:rPr>
          <w:color w:val="231F20"/>
          <w:sz w:val="17"/>
        </w:rPr>
        <w:t>Sport</w:t>
      </w:r>
      <w:r>
        <w:rPr>
          <w:color w:val="231F20"/>
          <w:spacing w:val="8"/>
          <w:sz w:val="17"/>
        </w:rPr>
        <w:t xml:space="preserve"> </w:t>
      </w:r>
      <w:r>
        <w:rPr>
          <w:color w:val="231F20"/>
          <w:sz w:val="17"/>
        </w:rPr>
        <w:t>tourism</w:t>
      </w:r>
      <w:r>
        <w:rPr>
          <w:color w:val="231F20"/>
          <w:spacing w:val="7"/>
          <w:sz w:val="17"/>
        </w:rPr>
        <w:t xml:space="preserve"> </w:t>
      </w:r>
      <w:r>
        <w:rPr>
          <w:color w:val="231F20"/>
          <w:sz w:val="17"/>
        </w:rPr>
        <w:t>finding</w:t>
      </w:r>
      <w:r>
        <w:rPr>
          <w:color w:val="231F20"/>
          <w:spacing w:val="7"/>
          <w:sz w:val="17"/>
        </w:rPr>
        <w:t xml:space="preserve"> </w:t>
      </w:r>
      <w:r>
        <w:rPr>
          <w:color w:val="231F20"/>
          <w:sz w:val="17"/>
        </w:rPr>
        <w:t>its</w:t>
      </w:r>
      <w:r>
        <w:rPr>
          <w:color w:val="231F20"/>
          <w:spacing w:val="7"/>
          <w:sz w:val="17"/>
        </w:rPr>
        <w:t xml:space="preserve"> </w:t>
      </w:r>
      <w:r>
        <w:rPr>
          <w:color w:val="231F20"/>
          <w:sz w:val="17"/>
        </w:rPr>
        <w:t>place?</w:t>
      </w:r>
      <w:r>
        <w:rPr>
          <w:color w:val="231F20"/>
          <w:spacing w:val="8"/>
          <w:sz w:val="17"/>
        </w:rPr>
        <w:t xml:space="preserve"> </w:t>
      </w:r>
      <w:r>
        <w:rPr>
          <w:color w:val="231F20"/>
          <w:sz w:val="17"/>
        </w:rPr>
        <w:t>In</w:t>
      </w:r>
      <w:r>
        <w:rPr>
          <w:color w:val="231F20"/>
          <w:spacing w:val="7"/>
          <w:sz w:val="17"/>
        </w:rPr>
        <w:t xml:space="preserve"> </w:t>
      </w:r>
      <w:r>
        <w:rPr>
          <w:color w:val="231F20"/>
          <w:sz w:val="17"/>
        </w:rPr>
        <w:t>S.</w:t>
      </w:r>
      <w:r>
        <w:rPr>
          <w:color w:val="231F20"/>
          <w:spacing w:val="7"/>
          <w:sz w:val="17"/>
        </w:rPr>
        <w:t xml:space="preserve"> </w:t>
      </w:r>
      <w:r>
        <w:rPr>
          <w:color w:val="231F20"/>
          <w:sz w:val="17"/>
        </w:rPr>
        <w:t>Gammon</w:t>
      </w:r>
      <w:r>
        <w:rPr>
          <w:color w:val="231F20"/>
          <w:spacing w:val="7"/>
          <w:sz w:val="17"/>
        </w:rPr>
        <w:t xml:space="preserve"> </w:t>
      </w:r>
      <w:r>
        <w:rPr>
          <w:color w:val="231F20"/>
          <w:sz w:val="17"/>
        </w:rPr>
        <w:t>and</w:t>
      </w:r>
      <w:r>
        <w:rPr>
          <w:color w:val="231F20"/>
          <w:spacing w:val="8"/>
          <w:sz w:val="17"/>
        </w:rPr>
        <w:t xml:space="preserve"> </w:t>
      </w:r>
      <w:r>
        <w:rPr>
          <w:color w:val="231F20"/>
          <w:sz w:val="17"/>
        </w:rPr>
        <w:t>S.</w:t>
      </w:r>
      <w:r>
        <w:rPr>
          <w:color w:val="231F20"/>
          <w:spacing w:val="7"/>
          <w:sz w:val="17"/>
        </w:rPr>
        <w:t xml:space="preserve"> </w:t>
      </w:r>
      <w:r>
        <w:rPr>
          <w:color w:val="231F20"/>
          <w:sz w:val="17"/>
        </w:rPr>
        <w:t>Elkington</w:t>
      </w:r>
      <w:r>
        <w:rPr>
          <w:color w:val="231F20"/>
          <w:spacing w:val="7"/>
          <w:sz w:val="17"/>
        </w:rPr>
        <w:t xml:space="preserve"> </w:t>
      </w:r>
      <w:r>
        <w:rPr>
          <w:color w:val="231F20"/>
          <w:spacing w:val="-2"/>
          <w:sz w:val="17"/>
        </w:rPr>
        <w:t>(eds)</w:t>
      </w:r>
    </w:p>
    <w:p w14:paraId="1D336169" w14:textId="77777777" w:rsidR="00AE0598" w:rsidRDefault="0069255A">
      <w:pPr>
        <w:spacing w:before="1"/>
        <w:ind w:left="430"/>
        <w:jc w:val="both"/>
        <w:rPr>
          <w:sz w:val="17"/>
        </w:rPr>
      </w:pPr>
      <w:r>
        <w:rPr>
          <w:i/>
          <w:color w:val="231F20"/>
          <w:w w:val="95"/>
          <w:sz w:val="17"/>
        </w:rPr>
        <w:t>Landscapes</w:t>
      </w:r>
      <w:r>
        <w:rPr>
          <w:i/>
          <w:color w:val="231F20"/>
          <w:spacing w:val="19"/>
          <w:sz w:val="17"/>
        </w:rPr>
        <w:t xml:space="preserve"> </w:t>
      </w:r>
      <w:r>
        <w:rPr>
          <w:i/>
          <w:color w:val="231F20"/>
          <w:w w:val="95"/>
          <w:sz w:val="17"/>
        </w:rPr>
        <w:t>of</w:t>
      </w:r>
      <w:r>
        <w:rPr>
          <w:i/>
          <w:color w:val="231F20"/>
          <w:spacing w:val="20"/>
          <w:sz w:val="17"/>
        </w:rPr>
        <w:t xml:space="preserve"> </w:t>
      </w:r>
      <w:r>
        <w:rPr>
          <w:i/>
          <w:color w:val="231F20"/>
          <w:w w:val="95"/>
          <w:sz w:val="17"/>
        </w:rPr>
        <w:t>Leisure</w:t>
      </w:r>
      <w:r>
        <w:rPr>
          <w:i/>
          <w:color w:val="231F20"/>
          <w:spacing w:val="19"/>
          <w:sz w:val="17"/>
        </w:rPr>
        <w:t xml:space="preserve"> </w:t>
      </w:r>
      <w:r>
        <w:rPr>
          <w:color w:val="231F20"/>
          <w:w w:val="95"/>
          <w:sz w:val="17"/>
        </w:rPr>
        <w:t>(pp.</w:t>
      </w:r>
      <w:r>
        <w:rPr>
          <w:color w:val="231F20"/>
          <w:spacing w:val="20"/>
          <w:sz w:val="17"/>
        </w:rPr>
        <w:t xml:space="preserve"> </w:t>
      </w:r>
      <w:r>
        <w:rPr>
          <w:color w:val="231F20"/>
          <w:w w:val="95"/>
          <w:sz w:val="17"/>
        </w:rPr>
        <w:t>110–122).</w:t>
      </w:r>
      <w:r>
        <w:rPr>
          <w:color w:val="231F20"/>
          <w:spacing w:val="19"/>
          <w:sz w:val="17"/>
        </w:rPr>
        <w:t xml:space="preserve"> </w:t>
      </w:r>
      <w:r>
        <w:rPr>
          <w:color w:val="231F20"/>
          <w:w w:val="95"/>
          <w:sz w:val="17"/>
        </w:rPr>
        <w:t>London:</w:t>
      </w:r>
      <w:r>
        <w:rPr>
          <w:color w:val="231F20"/>
          <w:spacing w:val="20"/>
          <w:sz w:val="17"/>
        </w:rPr>
        <w:t xml:space="preserve"> </w:t>
      </w:r>
      <w:r>
        <w:rPr>
          <w:color w:val="231F20"/>
          <w:w w:val="95"/>
          <w:sz w:val="17"/>
        </w:rPr>
        <w:t>Palgrave</w:t>
      </w:r>
      <w:r>
        <w:rPr>
          <w:color w:val="231F20"/>
          <w:spacing w:val="20"/>
          <w:sz w:val="17"/>
        </w:rPr>
        <w:t xml:space="preserve"> </w:t>
      </w:r>
      <w:r>
        <w:rPr>
          <w:color w:val="231F20"/>
          <w:spacing w:val="-2"/>
          <w:w w:val="95"/>
          <w:sz w:val="17"/>
        </w:rPr>
        <w:t>Macmillan.</w:t>
      </w:r>
    </w:p>
    <w:p w14:paraId="572CC6EB" w14:textId="77777777" w:rsidR="00AE0598" w:rsidRDefault="0069255A">
      <w:pPr>
        <w:ind w:left="430" w:right="128" w:hanging="320"/>
        <w:jc w:val="both"/>
        <w:rPr>
          <w:sz w:val="17"/>
        </w:rPr>
      </w:pPr>
      <w:r>
        <w:rPr>
          <w:color w:val="231F20"/>
          <w:sz w:val="17"/>
        </w:rPr>
        <w:t xml:space="preserve">Gammon, S. and Fear, V. (2005) Stadia tours and the power of backstage. </w:t>
      </w:r>
      <w:r>
        <w:rPr>
          <w:i/>
          <w:color w:val="231F20"/>
          <w:sz w:val="17"/>
        </w:rPr>
        <w:t>Journal of Sport</w:t>
      </w:r>
      <w:r>
        <w:rPr>
          <w:i/>
          <w:color w:val="231F20"/>
          <w:spacing w:val="40"/>
          <w:sz w:val="17"/>
        </w:rPr>
        <w:t xml:space="preserve"> </w:t>
      </w:r>
      <w:r>
        <w:rPr>
          <w:i/>
          <w:color w:val="231F20"/>
          <w:sz w:val="17"/>
        </w:rPr>
        <w:t xml:space="preserve">Tourism </w:t>
      </w:r>
      <w:r>
        <w:rPr>
          <w:color w:val="231F20"/>
          <w:sz w:val="17"/>
        </w:rPr>
        <w:t>10 (4), 243–252.</w:t>
      </w:r>
    </w:p>
    <w:p w14:paraId="6BD8140A" w14:textId="77777777" w:rsidR="00AE0598" w:rsidRDefault="0069255A">
      <w:pPr>
        <w:spacing w:before="2"/>
        <w:ind w:left="110"/>
        <w:jc w:val="both"/>
        <w:rPr>
          <w:sz w:val="17"/>
        </w:rPr>
      </w:pPr>
      <w:r>
        <w:rPr>
          <w:color w:val="231F20"/>
          <w:sz w:val="17"/>
        </w:rPr>
        <w:t>Gammon,</w:t>
      </w:r>
      <w:r>
        <w:rPr>
          <w:color w:val="231F20"/>
          <w:spacing w:val="52"/>
          <w:sz w:val="17"/>
        </w:rPr>
        <w:t xml:space="preserve"> </w:t>
      </w:r>
      <w:r>
        <w:rPr>
          <w:color w:val="231F20"/>
          <w:sz w:val="17"/>
        </w:rPr>
        <w:t>S.</w:t>
      </w:r>
      <w:r>
        <w:rPr>
          <w:color w:val="231F20"/>
          <w:spacing w:val="52"/>
          <w:sz w:val="17"/>
        </w:rPr>
        <w:t xml:space="preserve"> </w:t>
      </w:r>
      <w:r>
        <w:rPr>
          <w:color w:val="231F20"/>
          <w:sz w:val="17"/>
        </w:rPr>
        <w:t>and</w:t>
      </w:r>
      <w:r>
        <w:rPr>
          <w:color w:val="231F20"/>
          <w:spacing w:val="52"/>
          <w:sz w:val="17"/>
        </w:rPr>
        <w:t xml:space="preserve"> </w:t>
      </w:r>
      <w:r>
        <w:rPr>
          <w:color w:val="231F20"/>
          <w:sz w:val="17"/>
        </w:rPr>
        <w:t>Kurtzman,</w:t>
      </w:r>
      <w:r>
        <w:rPr>
          <w:color w:val="231F20"/>
          <w:spacing w:val="50"/>
          <w:w w:val="105"/>
          <w:sz w:val="17"/>
        </w:rPr>
        <w:t xml:space="preserve"> </w:t>
      </w:r>
      <w:r>
        <w:rPr>
          <w:color w:val="231F20"/>
          <w:w w:val="105"/>
          <w:sz w:val="17"/>
        </w:rPr>
        <w:t>J.</w:t>
      </w:r>
      <w:r>
        <w:rPr>
          <w:color w:val="231F20"/>
          <w:spacing w:val="50"/>
          <w:w w:val="105"/>
          <w:sz w:val="17"/>
        </w:rPr>
        <w:t xml:space="preserve"> </w:t>
      </w:r>
      <w:r>
        <w:rPr>
          <w:color w:val="231F20"/>
          <w:sz w:val="17"/>
        </w:rPr>
        <w:t>(eds)</w:t>
      </w:r>
      <w:r>
        <w:rPr>
          <w:color w:val="231F20"/>
          <w:spacing w:val="53"/>
          <w:sz w:val="17"/>
        </w:rPr>
        <w:t xml:space="preserve"> </w:t>
      </w:r>
      <w:r>
        <w:rPr>
          <w:color w:val="231F20"/>
          <w:sz w:val="17"/>
        </w:rPr>
        <w:t>(2002)</w:t>
      </w:r>
      <w:r>
        <w:rPr>
          <w:color w:val="231F20"/>
          <w:spacing w:val="52"/>
          <w:sz w:val="17"/>
        </w:rPr>
        <w:t xml:space="preserve"> </w:t>
      </w:r>
      <w:r>
        <w:rPr>
          <w:i/>
          <w:color w:val="231F20"/>
          <w:sz w:val="17"/>
        </w:rPr>
        <w:t>Sport</w:t>
      </w:r>
      <w:r>
        <w:rPr>
          <w:i/>
          <w:color w:val="231F20"/>
          <w:spacing w:val="52"/>
          <w:sz w:val="17"/>
        </w:rPr>
        <w:t xml:space="preserve"> </w:t>
      </w:r>
      <w:r>
        <w:rPr>
          <w:i/>
          <w:color w:val="231F20"/>
          <w:sz w:val="17"/>
        </w:rPr>
        <w:t>Tourism:</w:t>
      </w:r>
      <w:r>
        <w:rPr>
          <w:i/>
          <w:color w:val="231F20"/>
          <w:spacing w:val="52"/>
          <w:sz w:val="17"/>
        </w:rPr>
        <w:t xml:space="preserve"> </w:t>
      </w:r>
      <w:r>
        <w:rPr>
          <w:i/>
          <w:color w:val="231F20"/>
          <w:sz w:val="17"/>
        </w:rPr>
        <w:t>Principles</w:t>
      </w:r>
      <w:r>
        <w:rPr>
          <w:i/>
          <w:color w:val="231F20"/>
          <w:spacing w:val="52"/>
          <w:sz w:val="17"/>
        </w:rPr>
        <w:t xml:space="preserve"> </w:t>
      </w:r>
      <w:r>
        <w:rPr>
          <w:i/>
          <w:color w:val="231F20"/>
          <w:sz w:val="17"/>
        </w:rPr>
        <w:t>and</w:t>
      </w:r>
      <w:r>
        <w:rPr>
          <w:i/>
          <w:color w:val="231F20"/>
          <w:spacing w:val="52"/>
          <w:sz w:val="17"/>
        </w:rPr>
        <w:t xml:space="preserve"> </w:t>
      </w:r>
      <w:r>
        <w:rPr>
          <w:i/>
          <w:color w:val="231F20"/>
          <w:spacing w:val="-2"/>
          <w:sz w:val="17"/>
        </w:rPr>
        <w:t>Practice</w:t>
      </w:r>
      <w:r>
        <w:rPr>
          <w:color w:val="231F20"/>
          <w:spacing w:val="-2"/>
          <w:sz w:val="17"/>
        </w:rPr>
        <w:t>.</w:t>
      </w:r>
    </w:p>
    <w:p w14:paraId="5B85A856" w14:textId="77777777" w:rsidR="00AE0598" w:rsidRDefault="0069255A">
      <w:pPr>
        <w:ind w:left="430"/>
        <w:jc w:val="both"/>
        <w:rPr>
          <w:sz w:val="17"/>
        </w:rPr>
      </w:pPr>
      <w:r>
        <w:rPr>
          <w:color w:val="231F20"/>
          <w:w w:val="95"/>
          <w:sz w:val="17"/>
        </w:rPr>
        <w:t>Eastbourne:</w:t>
      </w:r>
      <w:r>
        <w:rPr>
          <w:color w:val="231F20"/>
          <w:spacing w:val="10"/>
          <w:sz w:val="17"/>
        </w:rPr>
        <w:t xml:space="preserve"> </w:t>
      </w:r>
      <w:r>
        <w:rPr>
          <w:color w:val="231F20"/>
          <w:w w:val="95"/>
          <w:sz w:val="17"/>
        </w:rPr>
        <w:t>Leisure</w:t>
      </w:r>
      <w:r>
        <w:rPr>
          <w:color w:val="231F20"/>
          <w:spacing w:val="11"/>
          <w:sz w:val="17"/>
        </w:rPr>
        <w:t xml:space="preserve"> </w:t>
      </w:r>
      <w:r>
        <w:rPr>
          <w:color w:val="231F20"/>
          <w:w w:val="95"/>
          <w:sz w:val="17"/>
        </w:rPr>
        <w:t>Studies</w:t>
      </w:r>
      <w:r>
        <w:rPr>
          <w:color w:val="231F20"/>
          <w:spacing w:val="10"/>
          <w:sz w:val="17"/>
        </w:rPr>
        <w:t xml:space="preserve"> </w:t>
      </w:r>
      <w:r>
        <w:rPr>
          <w:color w:val="231F20"/>
          <w:spacing w:val="-2"/>
          <w:w w:val="95"/>
          <w:sz w:val="17"/>
        </w:rPr>
        <w:t>Association.</w:t>
      </w:r>
    </w:p>
    <w:p w14:paraId="3197C9E1" w14:textId="77777777" w:rsidR="00AE0598" w:rsidRDefault="0069255A">
      <w:pPr>
        <w:spacing w:before="1"/>
        <w:ind w:left="430" w:right="128" w:hanging="320"/>
        <w:jc w:val="both"/>
        <w:rPr>
          <w:sz w:val="17"/>
        </w:rPr>
      </w:pPr>
      <w:r>
        <w:rPr>
          <w:color w:val="231F20"/>
          <w:sz w:val="17"/>
        </w:rPr>
        <w:t xml:space="preserve">Gammon, S. and Ramshaw, G. (2007) </w:t>
      </w:r>
      <w:r>
        <w:rPr>
          <w:i/>
          <w:color w:val="231F20"/>
          <w:sz w:val="17"/>
        </w:rPr>
        <w:t>Heritage, Sport and Tourism: Sporting Pasts–Tourist</w:t>
      </w:r>
      <w:r>
        <w:rPr>
          <w:i/>
          <w:color w:val="231F20"/>
          <w:spacing w:val="40"/>
          <w:w w:val="105"/>
          <w:sz w:val="17"/>
        </w:rPr>
        <w:t xml:space="preserve"> </w:t>
      </w:r>
      <w:r>
        <w:rPr>
          <w:i/>
          <w:color w:val="231F20"/>
          <w:w w:val="105"/>
          <w:sz w:val="17"/>
        </w:rPr>
        <w:t>Futures</w:t>
      </w:r>
      <w:r>
        <w:rPr>
          <w:color w:val="231F20"/>
          <w:w w:val="105"/>
          <w:sz w:val="17"/>
        </w:rPr>
        <w:t>. New York: Routledge.</w:t>
      </w:r>
    </w:p>
    <w:p w14:paraId="27288007" w14:textId="77777777" w:rsidR="00AE0598" w:rsidRDefault="0069255A">
      <w:pPr>
        <w:spacing w:before="1"/>
        <w:ind w:left="430" w:right="128" w:hanging="320"/>
        <w:jc w:val="both"/>
        <w:rPr>
          <w:sz w:val="17"/>
        </w:rPr>
      </w:pPr>
      <w:r>
        <w:rPr>
          <w:color w:val="231F20"/>
          <w:sz w:val="17"/>
        </w:rPr>
        <w:t xml:space="preserve">Gammon, S. and Ramshaw, G. (2013) </w:t>
      </w:r>
      <w:r>
        <w:rPr>
          <w:i/>
          <w:color w:val="231F20"/>
          <w:sz w:val="17"/>
        </w:rPr>
        <w:t>Heritage, Sport and Tourism: Sporting Pasts–Tourist</w:t>
      </w:r>
      <w:r>
        <w:rPr>
          <w:i/>
          <w:color w:val="231F20"/>
          <w:spacing w:val="40"/>
          <w:w w:val="105"/>
          <w:sz w:val="17"/>
        </w:rPr>
        <w:t xml:space="preserve"> </w:t>
      </w:r>
      <w:r>
        <w:rPr>
          <w:i/>
          <w:color w:val="231F20"/>
          <w:w w:val="105"/>
          <w:sz w:val="17"/>
        </w:rPr>
        <w:t>Futures</w:t>
      </w:r>
      <w:r>
        <w:rPr>
          <w:color w:val="231F20"/>
          <w:w w:val="105"/>
          <w:sz w:val="17"/>
        </w:rPr>
        <w:t>. London: Routledge.</w:t>
      </w:r>
    </w:p>
    <w:p w14:paraId="57C4445D" w14:textId="77777777" w:rsidR="00AE0598" w:rsidRDefault="0069255A">
      <w:pPr>
        <w:spacing w:before="2"/>
        <w:ind w:left="430" w:right="128" w:hanging="320"/>
        <w:jc w:val="both"/>
        <w:rPr>
          <w:sz w:val="17"/>
        </w:rPr>
      </w:pPr>
      <w:r>
        <w:rPr>
          <w:color w:val="231F20"/>
          <w:sz w:val="17"/>
        </w:rPr>
        <w:t>Gammon,</w:t>
      </w:r>
      <w:r>
        <w:rPr>
          <w:color w:val="231F20"/>
          <w:spacing w:val="-2"/>
          <w:sz w:val="17"/>
        </w:rPr>
        <w:t xml:space="preserve"> </w:t>
      </w:r>
      <w:r>
        <w:rPr>
          <w:color w:val="231F20"/>
          <w:sz w:val="17"/>
        </w:rPr>
        <w:t>S.</w:t>
      </w:r>
      <w:r>
        <w:rPr>
          <w:color w:val="231F20"/>
          <w:spacing w:val="-2"/>
          <w:sz w:val="17"/>
        </w:rPr>
        <w:t xml:space="preserve"> </w:t>
      </w:r>
      <w:r>
        <w:rPr>
          <w:color w:val="231F20"/>
          <w:sz w:val="17"/>
        </w:rPr>
        <w:t>and</w:t>
      </w:r>
      <w:r>
        <w:rPr>
          <w:color w:val="231F20"/>
          <w:spacing w:val="-2"/>
          <w:sz w:val="17"/>
        </w:rPr>
        <w:t xml:space="preserve"> </w:t>
      </w:r>
      <w:r>
        <w:rPr>
          <w:color w:val="231F20"/>
          <w:sz w:val="17"/>
        </w:rPr>
        <w:t>Robinson,</w:t>
      </w:r>
      <w:r>
        <w:rPr>
          <w:color w:val="231F20"/>
          <w:spacing w:val="-2"/>
          <w:sz w:val="17"/>
        </w:rPr>
        <w:t xml:space="preserve"> </w:t>
      </w:r>
      <w:r>
        <w:rPr>
          <w:color w:val="231F20"/>
          <w:sz w:val="17"/>
        </w:rPr>
        <w:t>T.</w:t>
      </w:r>
      <w:r>
        <w:rPr>
          <w:color w:val="231F20"/>
          <w:spacing w:val="-2"/>
          <w:sz w:val="17"/>
        </w:rPr>
        <w:t xml:space="preserve"> </w:t>
      </w:r>
      <w:r>
        <w:rPr>
          <w:color w:val="231F20"/>
          <w:sz w:val="17"/>
        </w:rPr>
        <w:t>(1997)</w:t>
      </w:r>
      <w:r>
        <w:rPr>
          <w:color w:val="231F20"/>
          <w:spacing w:val="-2"/>
          <w:sz w:val="17"/>
        </w:rPr>
        <w:t xml:space="preserve"> </w:t>
      </w:r>
      <w:r>
        <w:rPr>
          <w:color w:val="231F20"/>
          <w:sz w:val="17"/>
        </w:rPr>
        <w:t>Sport</w:t>
      </w:r>
      <w:r>
        <w:rPr>
          <w:color w:val="231F20"/>
          <w:spacing w:val="-2"/>
          <w:sz w:val="17"/>
        </w:rPr>
        <w:t xml:space="preserve"> </w:t>
      </w:r>
      <w:r>
        <w:rPr>
          <w:color w:val="231F20"/>
          <w:sz w:val="17"/>
        </w:rPr>
        <w:t>and</w:t>
      </w:r>
      <w:r>
        <w:rPr>
          <w:color w:val="231F20"/>
          <w:spacing w:val="-2"/>
          <w:sz w:val="17"/>
        </w:rPr>
        <w:t xml:space="preserve"> </w:t>
      </w:r>
      <w:r>
        <w:rPr>
          <w:color w:val="231F20"/>
          <w:sz w:val="17"/>
        </w:rPr>
        <w:t>tourism:</w:t>
      </w:r>
      <w:r>
        <w:rPr>
          <w:color w:val="231F20"/>
          <w:spacing w:val="-2"/>
          <w:sz w:val="17"/>
        </w:rPr>
        <w:t xml:space="preserve"> </w:t>
      </w:r>
      <w:r>
        <w:rPr>
          <w:color w:val="231F20"/>
          <w:sz w:val="17"/>
        </w:rPr>
        <w:t>A</w:t>
      </w:r>
      <w:r>
        <w:rPr>
          <w:color w:val="231F20"/>
          <w:spacing w:val="-2"/>
          <w:sz w:val="17"/>
        </w:rPr>
        <w:t xml:space="preserve"> </w:t>
      </w:r>
      <w:r>
        <w:rPr>
          <w:color w:val="231F20"/>
          <w:sz w:val="17"/>
        </w:rPr>
        <w:t>conceptual</w:t>
      </w:r>
      <w:r>
        <w:rPr>
          <w:color w:val="231F20"/>
          <w:spacing w:val="-2"/>
          <w:sz w:val="17"/>
        </w:rPr>
        <w:t xml:space="preserve"> </w:t>
      </w:r>
      <w:r>
        <w:rPr>
          <w:color w:val="231F20"/>
          <w:sz w:val="17"/>
        </w:rPr>
        <w:t>framework.</w:t>
      </w:r>
      <w:r>
        <w:rPr>
          <w:color w:val="231F20"/>
          <w:spacing w:val="-3"/>
          <w:sz w:val="17"/>
        </w:rPr>
        <w:t xml:space="preserve"> </w:t>
      </w:r>
      <w:r>
        <w:rPr>
          <w:i/>
          <w:color w:val="231F20"/>
          <w:sz w:val="17"/>
        </w:rPr>
        <w:t>Journal</w:t>
      </w:r>
      <w:r>
        <w:rPr>
          <w:i/>
          <w:color w:val="231F20"/>
          <w:spacing w:val="40"/>
          <w:sz w:val="17"/>
        </w:rPr>
        <w:t xml:space="preserve"> </w:t>
      </w:r>
      <w:r>
        <w:rPr>
          <w:i/>
          <w:color w:val="231F20"/>
          <w:sz w:val="17"/>
        </w:rPr>
        <w:t xml:space="preserve">of Sport Tourism </w:t>
      </w:r>
      <w:r>
        <w:rPr>
          <w:color w:val="231F20"/>
          <w:sz w:val="17"/>
        </w:rPr>
        <w:t>4 (3), 8–24.</w:t>
      </w:r>
    </w:p>
    <w:p w14:paraId="1F7F89FD" w14:textId="77777777" w:rsidR="00AE0598" w:rsidRDefault="0069255A">
      <w:pPr>
        <w:spacing w:before="1"/>
        <w:ind w:left="430" w:right="128" w:hanging="320"/>
        <w:jc w:val="both"/>
        <w:rPr>
          <w:sz w:val="17"/>
        </w:rPr>
      </w:pPr>
      <w:r>
        <w:rPr>
          <w:color w:val="231F20"/>
          <w:sz w:val="17"/>
        </w:rPr>
        <w:t>Gammon, S. and Robinson, T. (1999) The development and design of the sport tourism</w:t>
      </w:r>
      <w:r>
        <w:rPr>
          <w:color w:val="231F20"/>
          <w:spacing w:val="40"/>
          <w:sz w:val="17"/>
        </w:rPr>
        <w:t xml:space="preserve"> </w:t>
      </w:r>
      <w:r>
        <w:rPr>
          <w:color w:val="231F20"/>
          <w:sz w:val="17"/>
        </w:rPr>
        <w:t>curricular with particular references to the BA (hons) sport tourism degree at the</w:t>
      </w:r>
      <w:r>
        <w:rPr>
          <w:color w:val="231F20"/>
          <w:spacing w:val="40"/>
          <w:sz w:val="17"/>
        </w:rPr>
        <w:t xml:space="preserve"> </w:t>
      </w:r>
      <w:r>
        <w:rPr>
          <w:color w:val="231F20"/>
          <w:sz w:val="17"/>
        </w:rPr>
        <w:t xml:space="preserve">University of Luton. </w:t>
      </w:r>
      <w:r>
        <w:rPr>
          <w:i/>
          <w:color w:val="231F20"/>
          <w:sz w:val="17"/>
        </w:rPr>
        <w:t xml:space="preserve">Journal of Sport Tourism </w:t>
      </w:r>
      <w:r>
        <w:rPr>
          <w:color w:val="231F20"/>
          <w:sz w:val="17"/>
        </w:rPr>
        <w:t>5 (2), 17–26.</w:t>
      </w:r>
    </w:p>
    <w:p w14:paraId="7ADD7F74" w14:textId="77777777" w:rsidR="00AE0598" w:rsidRDefault="0069255A">
      <w:pPr>
        <w:spacing w:before="2"/>
        <w:ind w:left="430" w:right="128" w:hanging="320"/>
        <w:jc w:val="both"/>
        <w:rPr>
          <w:sz w:val="17"/>
        </w:rPr>
      </w:pPr>
      <w:r>
        <w:rPr>
          <w:color w:val="231F20"/>
          <w:sz w:val="17"/>
        </w:rPr>
        <w:t>Gammon,</w:t>
      </w:r>
      <w:r>
        <w:rPr>
          <w:color w:val="231F20"/>
          <w:spacing w:val="-2"/>
          <w:sz w:val="17"/>
        </w:rPr>
        <w:t xml:space="preserve"> </w:t>
      </w:r>
      <w:r>
        <w:rPr>
          <w:color w:val="231F20"/>
          <w:sz w:val="17"/>
        </w:rPr>
        <w:t>S.</w:t>
      </w:r>
      <w:r>
        <w:rPr>
          <w:color w:val="231F20"/>
          <w:spacing w:val="-2"/>
          <w:sz w:val="17"/>
        </w:rPr>
        <w:t xml:space="preserve"> </w:t>
      </w:r>
      <w:r>
        <w:rPr>
          <w:color w:val="231F20"/>
          <w:sz w:val="17"/>
        </w:rPr>
        <w:t>and</w:t>
      </w:r>
      <w:r>
        <w:rPr>
          <w:color w:val="231F20"/>
          <w:spacing w:val="-2"/>
          <w:sz w:val="17"/>
        </w:rPr>
        <w:t xml:space="preserve"> </w:t>
      </w:r>
      <w:r>
        <w:rPr>
          <w:color w:val="231F20"/>
          <w:sz w:val="17"/>
        </w:rPr>
        <w:t>Robinson,</w:t>
      </w:r>
      <w:r>
        <w:rPr>
          <w:color w:val="231F20"/>
          <w:spacing w:val="-2"/>
          <w:sz w:val="17"/>
        </w:rPr>
        <w:t xml:space="preserve"> </w:t>
      </w:r>
      <w:r>
        <w:rPr>
          <w:color w:val="231F20"/>
          <w:sz w:val="17"/>
        </w:rPr>
        <w:t>T.</w:t>
      </w:r>
      <w:r>
        <w:rPr>
          <w:color w:val="231F20"/>
          <w:spacing w:val="-2"/>
          <w:sz w:val="17"/>
        </w:rPr>
        <w:t xml:space="preserve"> </w:t>
      </w:r>
      <w:r>
        <w:rPr>
          <w:color w:val="231F20"/>
          <w:sz w:val="17"/>
        </w:rPr>
        <w:t>(2</w:t>
      </w:r>
      <w:r>
        <w:rPr>
          <w:color w:val="231F20"/>
          <w:sz w:val="17"/>
        </w:rPr>
        <w:t>003)</w:t>
      </w:r>
      <w:r>
        <w:rPr>
          <w:color w:val="231F20"/>
          <w:spacing w:val="-2"/>
          <w:sz w:val="17"/>
        </w:rPr>
        <w:t xml:space="preserve"> </w:t>
      </w:r>
      <w:r>
        <w:rPr>
          <w:color w:val="231F20"/>
          <w:sz w:val="17"/>
        </w:rPr>
        <w:t>Sport</w:t>
      </w:r>
      <w:r>
        <w:rPr>
          <w:color w:val="231F20"/>
          <w:spacing w:val="-2"/>
          <w:sz w:val="17"/>
        </w:rPr>
        <w:t xml:space="preserve"> </w:t>
      </w:r>
      <w:r>
        <w:rPr>
          <w:color w:val="231F20"/>
          <w:sz w:val="17"/>
        </w:rPr>
        <w:t>and</w:t>
      </w:r>
      <w:r>
        <w:rPr>
          <w:color w:val="231F20"/>
          <w:spacing w:val="-2"/>
          <w:sz w:val="17"/>
        </w:rPr>
        <w:t xml:space="preserve"> </w:t>
      </w:r>
      <w:r>
        <w:rPr>
          <w:color w:val="231F20"/>
          <w:sz w:val="17"/>
        </w:rPr>
        <w:t>tourism:</w:t>
      </w:r>
      <w:r>
        <w:rPr>
          <w:color w:val="231F20"/>
          <w:spacing w:val="-2"/>
          <w:sz w:val="17"/>
        </w:rPr>
        <w:t xml:space="preserve"> </w:t>
      </w:r>
      <w:r>
        <w:rPr>
          <w:color w:val="231F20"/>
          <w:sz w:val="17"/>
        </w:rPr>
        <w:t>A</w:t>
      </w:r>
      <w:r>
        <w:rPr>
          <w:color w:val="231F20"/>
          <w:spacing w:val="-2"/>
          <w:sz w:val="17"/>
        </w:rPr>
        <w:t xml:space="preserve"> </w:t>
      </w:r>
      <w:r>
        <w:rPr>
          <w:color w:val="231F20"/>
          <w:sz w:val="17"/>
        </w:rPr>
        <w:t>conceptual</w:t>
      </w:r>
      <w:r>
        <w:rPr>
          <w:color w:val="231F20"/>
          <w:spacing w:val="-2"/>
          <w:sz w:val="17"/>
        </w:rPr>
        <w:t xml:space="preserve"> </w:t>
      </w:r>
      <w:r>
        <w:rPr>
          <w:color w:val="231F20"/>
          <w:sz w:val="17"/>
        </w:rPr>
        <w:t>framework.</w:t>
      </w:r>
      <w:r>
        <w:rPr>
          <w:color w:val="231F20"/>
          <w:spacing w:val="-2"/>
          <w:sz w:val="17"/>
        </w:rPr>
        <w:t xml:space="preserve"> </w:t>
      </w:r>
      <w:r>
        <w:rPr>
          <w:i/>
          <w:color w:val="231F20"/>
          <w:sz w:val="17"/>
        </w:rPr>
        <w:t>Journal</w:t>
      </w:r>
      <w:r>
        <w:rPr>
          <w:i/>
          <w:color w:val="231F20"/>
          <w:spacing w:val="40"/>
          <w:w w:val="105"/>
          <w:sz w:val="17"/>
        </w:rPr>
        <w:t xml:space="preserve"> </w:t>
      </w:r>
      <w:r>
        <w:rPr>
          <w:i/>
          <w:color w:val="231F20"/>
          <w:w w:val="105"/>
          <w:sz w:val="17"/>
        </w:rPr>
        <w:t xml:space="preserve">of Sport </w:t>
      </w:r>
      <w:r>
        <w:rPr>
          <w:i/>
          <w:color w:val="231F20"/>
          <w:w w:val="110"/>
          <w:sz w:val="17"/>
        </w:rPr>
        <w:t xml:space="preserve">&amp; </w:t>
      </w:r>
      <w:r>
        <w:rPr>
          <w:i/>
          <w:color w:val="231F20"/>
          <w:w w:val="105"/>
          <w:sz w:val="17"/>
        </w:rPr>
        <w:t xml:space="preserve">Tourism </w:t>
      </w:r>
      <w:r>
        <w:rPr>
          <w:color w:val="231F20"/>
          <w:w w:val="105"/>
          <w:sz w:val="17"/>
        </w:rPr>
        <w:t>8, 21–26.</w:t>
      </w:r>
    </w:p>
    <w:p w14:paraId="1E6F8F76" w14:textId="77777777" w:rsidR="00AE0598" w:rsidRDefault="0069255A">
      <w:pPr>
        <w:spacing w:before="2"/>
        <w:ind w:left="430" w:right="128" w:hanging="320"/>
        <w:jc w:val="both"/>
        <w:rPr>
          <w:sz w:val="17"/>
        </w:rPr>
      </w:pPr>
      <w:r>
        <w:rPr>
          <w:color w:val="231F20"/>
          <w:sz w:val="17"/>
        </w:rPr>
        <w:t>Gammon, S., Ramshaw, G. and Waterton, E. (2013) Examining the Olympics: Heritage,</w:t>
      </w:r>
      <w:r>
        <w:rPr>
          <w:color w:val="231F20"/>
          <w:spacing w:val="40"/>
          <w:sz w:val="17"/>
        </w:rPr>
        <w:t xml:space="preserve"> </w:t>
      </w:r>
      <w:r>
        <w:rPr>
          <w:color w:val="231F20"/>
          <w:sz w:val="17"/>
        </w:rPr>
        <w:t xml:space="preserve">identity and performance. </w:t>
      </w:r>
      <w:r>
        <w:rPr>
          <w:i/>
          <w:color w:val="231F20"/>
          <w:sz w:val="17"/>
        </w:rPr>
        <w:t xml:space="preserve">International Journal of Heritage Studies </w:t>
      </w:r>
      <w:r>
        <w:rPr>
          <w:color w:val="231F20"/>
          <w:sz w:val="17"/>
        </w:rPr>
        <w:t>19 (2), 119–124.</w:t>
      </w:r>
    </w:p>
    <w:p w14:paraId="38DF6155" w14:textId="77777777" w:rsidR="00AE0598" w:rsidRDefault="0069255A">
      <w:pPr>
        <w:spacing w:before="1"/>
        <w:ind w:left="430" w:right="128" w:hanging="320"/>
        <w:jc w:val="both"/>
        <w:rPr>
          <w:sz w:val="17"/>
        </w:rPr>
      </w:pPr>
      <w:r>
        <w:rPr>
          <w:color w:val="231F20"/>
          <w:sz w:val="17"/>
        </w:rPr>
        <w:t>Gammon, S., Ramshaw, G. and Wright, R. (2017) Theory in sport tourism: Some critical</w:t>
      </w:r>
      <w:r>
        <w:rPr>
          <w:color w:val="231F20"/>
          <w:spacing w:val="40"/>
          <w:w w:val="105"/>
          <w:sz w:val="17"/>
        </w:rPr>
        <w:t xml:space="preserve"> </w:t>
      </w:r>
      <w:r>
        <w:rPr>
          <w:color w:val="231F20"/>
          <w:w w:val="105"/>
          <w:sz w:val="17"/>
        </w:rPr>
        <w:t>reflections.</w:t>
      </w:r>
      <w:r>
        <w:rPr>
          <w:color w:val="231F20"/>
          <w:spacing w:val="-2"/>
          <w:w w:val="105"/>
          <w:sz w:val="17"/>
        </w:rPr>
        <w:t xml:space="preserve"> </w:t>
      </w:r>
      <w:r>
        <w:rPr>
          <w:i/>
          <w:color w:val="231F20"/>
          <w:w w:val="105"/>
          <w:sz w:val="17"/>
        </w:rPr>
        <w:t>Journal</w:t>
      </w:r>
      <w:r>
        <w:rPr>
          <w:i/>
          <w:color w:val="231F20"/>
          <w:spacing w:val="-2"/>
          <w:w w:val="105"/>
          <w:sz w:val="17"/>
        </w:rPr>
        <w:t xml:space="preserve"> </w:t>
      </w:r>
      <w:r>
        <w:rPr>
          <w:i/>
          <w:color w:val="231F20"/>
          <w:w w:val="105"/>
          <w:sz w:val="17"/>
        </w:rPr>
        <w:t>of</w:t>
      </w:r>
      <w:r>
        <w:rPr>
          <w:i/>
          <w:color w:val="231F20"/>
          <w:spacing w:val="-2"/>
          <w:w w:val="105"/>
          <w:sz w:val="17"/>
        </w:rPr>
        <w:t xml:space="preserve"> </w:t>
      </w:r>
      <w:r>
        <w:rPr>
          <w:i/>
          <w:color w:val="231F20"/>
          <w:w w:val="105"/>
          <w:sz w:val="17"/>
        </w:rPr>
        <w:t>Sport</w:t>
      </w:r>
      <w:r>
        <w:rPr>
          <w:i/>
          <w:color w:val="231F20"/>
          <w:spacing w:val="-2"/>
          <w:w w:val="105"/>
          <w:sz w:val="17"/>
        </w:rPr>
        <w:t xml:space="preserve"> </w:t>
      </w:r>
      <w:r>
        <w:rPr>
          <w:i/>
          <w:color w:val="231F20"/>
          <w:w w:val="110"/>
          <w:sz w:val="17"/>
        </w:rPr>
        <w:t>&amp;</w:t>
      </w:r>
      <w:r>
        <w:rPr>
          <w:i/>
          <w:color w:val="231F20"/>
          <w:spacing w:val="-4"/>
          <w:w w:val="110"/>
          <w:sz w:val="17"/>
        </w:rPr>
        <w:t xml:space="preserve"> </w:t>
      </w:r>
      <w:r>
        <w:rPr>
          <w:i/>
          <w:color w:val="231F20"/>
          <w:w w:val="105"/>
          <w:sz w:val="17"/>
        </w:rPr>
        <w:t>Tourism</w:t>
      </w:r>
      <w:r>
        <w:rPr>
          <w:i/>
          <w:color w:val="231F20"/>
          <w:spacing w:val="-2"/>
          <w:w w:val="105"/>
          <w:sz w:val="17"/>
        </w:rPr>
        <w:t xml:space="preserve"> </w:t>
      </w:r>
      <w:r>
        <w:rPr>
          <w:color w:val="231F20"/>
          <w:w w:val="105"/>
          <w:sz w:val="17"/>
        </w:rPr>
        <w:t>21</w:t>
      </w:r>
      <w:r>
        <w:rPr>
          <w:color w:val="231F20"/>
          <w:spacing w:val="-2"/>
          <w:w w:val="105"/>
          <w:sz w:val="17"/>
        </w:rPr>
        <w:t xml:space="preserve"> </w:t>
      </w:r>
      <w:r>
        <w:rPr>
          <w:color w:val="231F20"/>
          <w:w w:val="105"/>
          <w:sz w:val="17"/>
        </w:rPr>
        <w:t>(2),</w:t>
      </w:r>
      <w:r>
        <w:rPr>
          <w:color w:val="231F20"/>
          <w:spacing w:val="-2"/>
          <w:w w:val="105"/>
          <w:sz w:val="17"/>
        </w:rPr>
        <w:t xml:space="preserve"> </w:t>
      </w:r>
      <w:r>
        <w:rPr>
          <w:color w:val="231F20"/>
          <w:w w:val="105"/>
          <w:sz w:val="17"/>
        </w:rPr>
        <w:t>69–74.</w:t>
      </w:r>
    </w:p>
    <w:p w14:paraId="6CA5CDF2" w14:textId="77777777" w:rsidR="00AE0598" w:rsidRDefault="0069255A">
      <w:pPr>
        <w:spacing w:before="2"/>
        <w:ind w:left="110"/>
        <w:jc w:val="both"/>
        <w:rPr>
          <w:sz w:val="17"/>
        </w:rPr>
      </w:pPr>
      <w:r>
        <w:rPr>
          <w:color w:val="231F20"/>
          <w:sz w:val="17"/>
        </w:rPr>
        <w:t>Gantz,</w:t>
      </w:r>
      <w:r>
        <w:rPr>
          <w:color w:val="231F20"/>
          <w:spacing w:val="1"/>
          <w:sz w:val="17"/>
        </w:rPr>
        <w:t xml:space="preserve"> </w:t>
      </w:r>
      <w:r>
        <w:rPr>
          <w:color w:val="231F20"/>
          <w:sz w:val="17"/>
        </w:rPr>
        <w:t>W.</w:t>
      </w:r>
      <w:r>
        <w:rPr>
          <w:color w:val="231F20"/>
          <w:spacing w:val="2"/>
          <w:sz w:val="17"/>
        </w:rPr>
        <w:t xml:space="preserve"> </w:t>
      </w:r>
      <w:r>
        <w:rPr>
          <w:color w:val="231F20"/>
          <w:sz w:val="17"/>
        </w:rPr>
        <w:t>and</w:t>
      </w:r>
      <w:r>
        <w:rPr>
          <w:color w:val="231F20"/>
          <w:spacing w:val="2"/>
          <w:sz w:val="17"/>
        </w:rPr>
        <w:t xml:space="preserve"> </w:t>
      </w:r>
      <w:r>
        <w:rPr>
          <w:color w:val="231F20"/>
          <w:sz w:val="17"/>
        </w:rPr>
        <w:t>Wenner,</w:t>
      </w:r>
      <w:r>
        <w:rPr>
          <w:color w:val="231F20"/>
          <w:spacing w:val="2"/>
          <w:sz w:val="17"/>
        </w:rPr>
        <w:t xml:space="preserve"> </w:t>
      </w:r>
      <w:r>
        <w:rPr>
          <w:color w:val="231F20"/>
          <w:sz w:val="17"/>
        </w:rPr>
        <w:t>L.A.</w:t>
      </w:r>
      <w:r>
        <w:rPr>
          <w:color w:val="231F20"/>
          <w:spacing w:val="1"/>
          <w:sz w:val="17"/>
        </w:rPr>
        <w:t xml:space="preserve"> </w:t>
      </w:r>
      <w:r>
        <w:rPr>
          <w:color w:val="231F20"/>
          <w:sz w:val="17"/>
        </w:rPr>
        <w:t>(1995)</w:t>
      </w:r>
      <w:r>
        <w:rPr>
          <w:color w:val="231F20"/>
          <w:spacing w:val="2"/>
          <w:sz w:val="17"/>
        </w:rPr>
        <w:t xml:space="preserve"> </w:t>
      </w:r>
      <w:r>
        <w:rPr>
          <w:color w:val="231F20"/>
          <w:sz w:val="17"/>
        </w:rPr>
        <w:t>Fanship</w:t>
      </w:r>
      <w:r>
        <w:rPr>
          <w:color w:val="231F20"/>
          <w:spacing w:val="2"/>
          <w:sz w:val="17"/>
        </w:rPr>
        <w:t xml:space="preserve"> </w:t>
      </w:r>
      <w:r>
        <w:rPr>
          <w:color w:val="231F20"/>
          <w:sz w:val="17"/>
        </w:rPr>
        <w:t>and</w:t>
      </w:r>
      <w:r>
        <w:rPr>
          <w:color w:val="231F20"/>
          <w:spacing w:val="2"/>
          <w:sz w:val="17"/>
        </w:rPr>
        <w:t xml:space="preserve"> </w:t>
      </w:r>
      <w:r>
        <w:rPr>
          <w:color w:val="231F20"/>
          <w:sz w:val="17"/>
        </w:rPr>
        <w:t>the</w:t>
      </w:r>
      <w:r>
        <w:rPr>
          <w:color w:val="231F20"/>
          <w:spacing w:val="2"/>
          <w:sz w:val="17"/>
        </w:rPr>
        <w:t xml:space="preserve"> </w:t>
      </w:r>
      <w:r>
        <w:rPr>
          <w:color w:val="231F20"/>
          <w:sz w:val="17"/>
        </w:rPr>
        <w:t>television</w:t>
      </w:r>
      <w:r>
        <w:rPr>
          <w:color w:val="231F20"/>
          <w:spacing w:val="1"/>
          <w:sz w:val="17"/>
        </w:rPr>
        <w:t xml:space="preserve"> </w:t>
      </w:r>
      <w:r>
        <w:rPr>
          <w:color w:val="231F20"/>
          <w:sz w:val="17"/>
        </w:rPr>
        <w:t>sports</w:t>
      </w:r>
      <w:r>
        <w:rPr>
          <w:color w:val="231F20"/>
          <w:spacing w:val="2"/>
          <w:sz w:val="17"/>
        </w:rPr>
        <w:t xml:space="preserve"> </w:t>
      </w:r>
      <w:r>
        <w:rPr>
          <w:color w:val="231F20"/>
          <w:sz w:val="17"/>
        </w:rPr>
        <w:t>viewing</w:t>
      </w:r>
      <w:r>
        <w:rPr>
          <w:color w:val="231F20"/>
          <w:spacing w:val="2"/>
          <w:sz w:val="17"/>
        </w:rPr>
        <w:t xml:space="preserve"> </w:t>
      </w:r>
      <w:r>
        <w:rPr>
          <w:color w:val="231F20"/>
          <w:spacing w:val="-2"/>
          <w:sz w:val="17"/>
        </w:rPr>
        <w:t>experience.</w:t>
      </w:r>
    </w:p>
    <w:p w14:paraId="2FDAB57A" w14:textId="77777777" w:rsidR="00AE0598" w:rsidRDefault="0069255A">
      <w:pPr>
        <w:ind w:left="430"/>
        <w:jc w:val="both"/>
        <w:rPr>
          <w:sz w:val="17"/>
        </w:rPr>
      </w:pPr>
      <w:r>
        <w:rPr>
          <w:i/>
          <w:color w:val="231F20"/>
          <w:sz w:val="17"/>
        </w:rPr>
        <w:t>Sociology</w:t>
      </w:r>
      <w:r>
        <w:rPr>
          <w:i/>
          <w:color w:val="231F20"/>
          <w:spacing w:val="4"/>
          <w:sz w:val="17"/>
        </w:rPr>
        <w:t xml:space="preserve"> </w:t>
      </w:r>
      <w:r>
        <w:rPr>
          <w:i/>
          <w:color w:val="231F20"/>
          <w:sz w:val="17"/>
        </w:rPr>
        <w:t>of</w:t>
      </w:r>
      <w:r>
        <w:rPr>
          <w:i/>
          <w:color w:val="231F20"/>
          <w:spacing w:val="5"/>
          <w:sz w:val="17"/>
        </w:rPr>
        <w:t xml:space="preserve"> </w:t>
      </w:r>
      <w:r>
        <w:rPr>
          <w:i/>
          <w:color w:val="231F20"/>
          <w:sz w:val="17"/>
        </w:rPr>
        <w:t>Sport</w:t>
      </w:r>
      <w:r>
        <w:rPr>
          <w:i/>
          <w:color w:val="231F20"/>
          <w:spacing w:val="5"/>
          <w:sz w:val="17"/>
        </w:rPr>
        <w:t xml:space="preserve"> </w:t>
      </w:r>
      <w:r>
        <w:rPr>
          <w:i/>
          <w:color w:val="231F20"/>
          <w:sz w:val="17"/>
        </w:rPr>
        <w:t>Journal</w:t>
      </w:r>
      <w:r>
        <w:rPr>
          <w:i/>
          <w:color w:val="231F20"/>
          <w:spacing w:val="5"/>
          <w:sz w:val="17"/>
        </w:rPr>
        <w:t xml:space="preserve"> </w:t>
      </w:r>
      <w:r>
        <w:rPr>
          <w:color w:val="231F20"/>
          <w:sz w:val="17"/>
        </w:rPr>
        <w:t>12</w:t>
      </w:r>
      <w:r>
        <w:rPr>
          <w:color w:val="231F20"/>
          <w:spacing w:val="5"/>
          <w:sz w:val="17"/>
        </w:rPr>
        <w:t xml:space="preserve"> </w:t>
      </w:r>
      <w:r>
        <w:rPr>
          <w:color w:val="231F20"/>
          <w:sz w:val="17"/>
        </w:rPr>
        <w:t>(1),</w:t>
      </w:r>
      <w:r>
        <w:rPr>
          <w:color w:val="231F20"/>
          <w:spacing w:val="5"/>
          <w:sz w:val="17"/>
        </w:rPr>
        <w:t xml:space="preserve"> </w:t>
      </w:r>
      <w:r>
        <w:rPr>
          <w:color w:val="231F20"/>
          <w:spacing w:val="-2"/>
          <w:sz w:val="17"/>
        </w:rPr>
        <w:t>56–74.</w:t>
      </w:r>
    </w:p>
    <w:p w14:paraId="7470C6D5" w14:textId="77777777" w:rsidR="00AE0598" w:rsidRDefault="0069255A">
      <w:pPr>
        <w:spacing w:before="1"/>
        <w:ind w:left="430" w:right="127" w:hanging="320"/>
        <w:jc w:val="both"/>
        <w:rPr>
          <w:sz w:val="17"/>
        </w:rPr>
      </w:pPr>
      <w:r>
        <w:rPr>
          <w:color w:val="231F20"/>
          <w:sz w:val="17"/>
        </w:rPr>
        <w:t>Garau-Vadell, J.B. and de Borja-Sole, L. (2008) Golf in mass tourism destinations facing</w:t>
      </w:r>
      <w:r>
        <w:rPr>
          <w:color w:val="231F20"/>
          <w:spacing w:val="40"/>
          <w:sz w:val="17"/>
        </w:rPr>
        <w:t xml:space="preserve"> </w:t>
      </w:r>
      <w:r>
        <w:rPr>
          <w:color w:val="231F20"/>
          <w:sz w:val="17"/>
        </w:rPr>
        <w:t xml:space="preserve">seasonality: A longitudinal study. </w:t>
      </w:r>
      <w:r>
        <w:rPr>
          <w:i/>
          <w:color w:val="231F20"/>
          <w:sz w:val="17"/>
        </w:rPr>
        <w:t xml:space="preserve">Tourism Review </w:t>
      </w:r>
      <w:r>
        <w:rPr>
          <w:color w:val="231F20"/>
          <w:sz w:val="17"/>
        </w:rPr>
        <w:t>63 (2), 16–24.</w:t>
      </w:r>
    </w:p>
    <w:p w14:paraId="2588DE74" w14:textId="77777777" w:rsidR="00AE0598" w:rsidRDefault="0069255A">
      <w:pPr>
        <w:spacing w:before="1"/>
        <w:ind w:left="430" w:right="129" w:hanging="320"/>
        <w:jc w:val="both"/>
        <w:rPr>
          <w:sz w:val="17"/>
        </w:rPr>
      </w:pPr>
      <w:r>
        <w:rPr>
          <w:color w:val="231F20"/>
          <w:sz w:val="17"/>
        </w:rPr>
        <w:t>García, B. (2010) The concept of the Olympic Cultural Programme: Origin, evolut</w:t>
      </w:r>
      <w:r>
        <w:rPr>
          <w:color w:val="231F20"/>
          <w:sz w:val="17"/>
        </w:rPr>
        <w:t>ion and</w:t>
      </w:r>
      <w:r>
        <w:rPr>
          <w:color w:val="231F20"/>
          <w:spacing w:val="40"/>
          <w:sz w:val="17"/>
        </w:rPr>
        <w:t xml:space="preserve"> </w:t>
      </w:r>
      <w:r>
        <w:rPr>
          <w:color w:val="231F20"/>
          <w:sz w:val="17"/>
        </w:rPr>
        <w:t>projection. Centre d’Estudis Olímpics (CEO-UAB), Barcelona. International Chair in</w:t>
      </w:r>
      <w:r>
        <w:rPr>
          <w:color w:val="231F20"/>
          <w:spacing w:val="40"/>
          <w:sz w:val="17"/>
        </w:rPr>
        <w:t xml:space="preserve"> </w:t>
      </w:r>
      <w:r>
        <w:rPr>
          <w:color w:val="231F20"/>
          <w:sz w:val="17"/>
        </w:rPr>
        <w:t xml:space="preserve">Olympism (IOC–UAB). See </w:t>
      </w:r>
      <w:hyperlink r:id="rId48">
        <w:r>
          <w:rPr>
            <w:color w:val="231F20"/>
            <w:spacing w:val="-2"/>
            <w:w w:val="99"/>
            <w:sz w:val="17"/>
          </w:rPr>
          <w:t>h</w:t>
        </w:r>
        <w:r>
          <w:rPr>
            <w:color w:val="231F20"/>
            <w:spacing w:val="3"/>
            <w:w w:val="99"/>
            <w:sz w:val="17"/>
          </w:rPr>
          <w:t>tt</w:t>
        </w:r>
        <w:r>
          <w:rPr>
            <w:color w:val="231F20"/>
            <w:spacing w:val="-2"/>
            <w:w w:val="99"/>
            <w:sz w:val="17"/>
          </w:rPr>
          <w:t>p</w:t>
        </w:r>
        <w:r>
          <w:rPr>
            <w:color w:val="231F20"/>
            <w:spacing w:val="4"/>
            <w:w w:val="106"/>
            <w:sz w:val="17"/>
          </w:rPr>
          <w:t>:</w:t>
        </w:r>
        <w:r>
          <w:rPr>
            <w:color w:val="231F20"/>
            <w:spacing w:val="-4"/>
            <w:w w:val="61"/>
            <w:sz w:val="17"/>
          </w:rPr>
          <w:t>/</w:t>
        </w:r>
        <w:r>
          <w:rPr>
            <w:color w:val="231F20"/>
            <w:spacing w:val="-6"/>
            <w:w w:val="61"/>
            <w:sz w:val="17"/>
          </w:rPr>
          <w:t>/</w:t>
        </w:r>
        <w:r>
          <w:rPr>
            <w:color w:val="231F20"/>
            <w:spacing w:val="1"/>
            <w:sz w:val="17"/>
          </w:rPr>
          <w:t>c</w:t>
        </w:r>
        <w:r>
          <w:rPr>
            <w:color w:val="231F20"/>
            <w:spacing w:val="1"/>
            <w:w w:val="91"/>
            <w:sz w:val="17"/>
          </w:rPr>
          <w:t>e</w:t>
        </w:r>
        <w:r>
          <w:rPr>
            <w:color w:val="231F20"/>
            <w:spacing w:val="-1"/>
            <w:w w:val="104"/>
            <w:sz w:val="17"/>
          </w:rPr>
          <w:t>o</w:t>
        </w:r>
        <w:r>
          <w:rPr>
            <w:color w:val="231F20"/>
            <w:spacing w:val="-2"/>
            <w:w w:val="109"/>
            <w:sz w:val="17"/>
          </w:rPr>
          <w:t>.</w:t>
        </w:r>
        <w:r>
          <w:rPr>
            <w:color w:val="231F20"/>
            <w:spacing w:val="1"/>
            <w:w w:val="109"/>
            <w:sz w:val="17"/>
          </w:rPr>
          <w:t>u</w:t>
        </w:r>
        <w:r>
          <w:rPr>
            <w:color w:val="231F20"/>
            <w:spacing w:val="-2"/>
            <w:w w:val="107"/>
            <w:sz w:val="17"/>
          </w:rPr>
          <w:t>ab</w:t>
        </w:r>
        <w:r>
          <w:rPr>
            <w:color w:val="231F20"/>
            <w:w w:val="107"/>
            <w:sz w:val="17"/>
          </w:rPr>
          <w:t>.</w:t>
        </w:r>
        <w:r>
          <w:rPr>
            <w:color w:val="231F20"/>
            <w:spacing w:val="2"/>
            <w:sz w:val="17"/>
          </w:rPr>
          <w:t>c</w:t>
        </w:r>
        <w:r>
          <w:rPr>
            <w:color w:val="231F20"/>
            <w:spacing w:val="-2"/>
            <w:w w:val="101"/>
            <w:sz w:val="17"/>
          </w:rPr>
          <w:t>a</w:t>
        </w:r>
        <w:r>
          <w:rPr>
            <w:color w:val="231F20"/>
            <w:spacing w:val="1"/>
            <w:w w:val="101"/>
            <w:sz w:val="17"/>
          </w:rPr>
          <w:t>t</w:t>
        </w:r>
        <w:r>
          <w:rPr>
            <w:color w:val="231F20"/>
            <w:spacing w:val="-1"/>
            <w:w w:val="136"/>
            <w:sz w:val="17"/>
          </w:rPr>
          <w:t>.</w:t>
        </w:r>
      </w:hyperlink>
    </w:p>
    <w:p w14:paraId="0ECAD266" w14:textId="77777777" w:rsidR="00AE0598" w:rsidRDefault="0069255A">
      <w:pPr>
        <w:spacing w:before="3"/>
        <w:ind w:left="430" w:right="128" w:hanging="320"/>
        <w:jc w:val="both"/>
        <w:rPr>
          <w:sz w:val="17"/>
        </w:rPr>
      </w:pPr>
      <w:r>
        <w:rPr>
          <w:color w:val="231F20"/>
          <w:sz w:val="17"/>
        </w:rPr>
        <w:t xml:space="preserve">Garmise, M. (1987) </w:t>
      </w:r>
      <w:r>
        <w:rPr>
          <w:i/>
          <w:color w:val="231F20"/>
          <w:sz w:val="17"/>
        </w:rPr>
        <w:t>Proceedings of the International Seminar and Workshop on Outdoor</w:t>
      </w:r>
      <w:r>
        <w:rPr>
          <w:i/>
          <w:color w:val="231F20"/>
          <w:spacing w:val="40"/>
          <w:sz w:val="17"/>
        </w:rPr>
        <w:t xml:space="preserve"> </w:t>
      </w:r>
      <w:r>
        <w:rPr>
          <w:i/>
          <w:color w:val="231F20"/>
          <w:sz w:val="17"/>
        </w:rPr>
        <w:t>Education, Recreation and Sport Tourism</w:t>
      </w:r>
      <w:r>
        <w:rPr>
          <w:color w:val="231F20"/>
          <w:sz w:val="17"/>
        </w:rPr>
        <w:t>. Natanya: Emmanuel Gill Publishing.</w:t>
      </w:r>
    </w:p>
    <w:p w14:paraId="15F646C2" w14:textId="77777777" w:rsidR="00AE0598" w:rsidRDefault="0069255A">
      <w:pPr>
        <w:spacing w:before="1"/>
        <w:ind w:left="430" w:right="127" w:hanging="320"/>
        <w:jc w:val="both"/>
        <w:rPr>
          <w:sz w:val="17"/>
        </w:rPr>
      </w:pPr>
      <w:r>
        <w:rPr>
          <w:color w:val="231F20"/>
          <w:w w:val="95"/>
          <w:sz w:val="17"/>
        </w:rPr>
        <w:t>Garrod, B. (2009) Understanding the relationship between tourism destination imagery and</w:t>
      </w:r>
      <w:r>
        <w:rPr>
          <w:color w:val="231F20"/>
          <w:spacing w:val="40"/>
          <w:sz w:val="17"/>
        </w:rPr>
        <w:t xml:space="preserve"> </w:t>
      </w:r>
      <w:r>
        <w:rPr>
          <w:color w:val="231F20"/>
          <w:sz w:val="17"/>
        </w:rPr>
        <w:t xml:space="preserve">tourist photography. </w:t>
      </w:r>
      <w:r>
        <w:rPr>
          <w:i/>
          <w:color w:val="231F20"/>
          <w:sz w:val="17"/>
        </w:rPr>
        <w:t>Journ</w:t>
      </w:r>
      <w:r>
        <w:rPr>
          <w:i/>
          <w:color w:val="231F20"/>
          <w:sz w:val="17"/>
        </w:rPr>
        <w:t xml:space="preserve">al of Travel Research </w:t>
      </w:r>
      <w:r>
        <w:rPr>
          <w:color w:val="231F20"/>
          <w:sz w:val="17"/>
        </w:rPr>
        <w:t>47 (3), 346–358.</w:t>
      </w:r>
    </w:p>
    <w:p w14:paraId="240540B1" w14:textId="77777777" w:rsidR="00AE0598" w:rsidRDefault="00AE0598">
      <w:pPr>
        <w:jc w:val="both"/>
        <w:rPr>
          <w:sz w:val="17"/>
        </w:rPr>
        <w:sectPr w:rsidR="00AE0598">
          <w:pgSz w:w="8850" w:h="13270"/>
          <w:pgMar w:top="720" w:right="1060" w:bottom="280" w:left="1080" w:header="720" w:footer="720" w:gutter="0"/>
          <w:cols w:space="720"/>
        </w:sectPr>
      </w:pPr>
    </w:p>
    <w:p w14:paraId="788F9353" w14:textId="77777777" w:rsidR="00AE0598" w:rsidRDefault="0069255A">
      <w:pPr>
        <w:spacing w:before="87"/>
        <w:ind w:left="110" w:right="128"/>
        <w:jc w:val="right"/>
        <w:rPr>
          <w:rFonts w:ascii="Trebuchet MS"/>
          <w:sz w:val="14"/>
        </w:rPr>
      </w:pPr>
      <w:r>
        <w:rPr>
          <w:rFonts w:ascii="Trebuchet MS"/>
          <w:color w:val="231F20"/>
          <w:w w:val="105"/>
          <w:sz w:val="14"/>
        </w:rPr>
        <w:lastRenderedPageBreak/>
        <w:t>References</w:t>
      </w:r>
      <w:r>
        <w:rPr>
          <w:rFonts w:ascii="Trebuchet MS"/>
          <w:color w:val="231F20"/>
          <w:spacing w:val="67"/>
          <w:w w:val="105"/>
          <w:sz w:val="14"/>
        </w:rPr>
        <w:t xml:space="preserve"> </w:t>
      </w:r>
      <w:r>
        <w:rPr>
          <w:rFonts w:ascii="Trebuchet MS"/>
          <w:color w:val="231F20"/>
          <w:spacing w:val="-5"/>
          <w:w w:val="105"/>
          <w:sz w:val="14"/>
        </w:rPr>
        <w:t>249</w:t>
      </w:r>
    </w:p>
    <w:p w14:paraId="3713CCDE" w14:textId="77777777" w:rsidR="00AE0598" w:rsidRDefault="00AE0598">
      <w:pPr>
        <w:pStyle w:val="Corpodetexto"/>
        <w:rPr>
          <w:rFonts w:ascii="Trebuchet MS"/>
          <w:sz w:val="16"/>
        </w:rPr>
      </w:pPr>
    </w:p>
    <w:p w14:paraId="0DA721EA" w14:textId="77777777" w:rsidR="00AE0598" w:rsidRDefault="0069255A">
      <w:pPr>
        <w:spacing w:before="121"/>
        <w:ind w:left="430" w:right="127" w:hanging="320"/>
        <w:jc w:val="both"/>
        <w:rPr>
          <w:sz w:val="17"/>
        </w:rPr>
      </w:pPr>
      <w:r>
        <w:rPr>
          <w:color w:val="231F20"/>
          <w:sz w:val="17"/>
        </w:rPr>
        <w:t>Gee, S. (2014) Sport and alcohol consumption as a neoteric moral panic in New Zealand:</w:t>
      </w:r>
      <w:r>
        <w:rPr>
          <w:color w:val="231F20"/>
          <w:spacing w:val="40"/>
          <w:sz w:val="17"/>
        </w:rPr>
        <w:t xml:space="preserve"> </w:t>
      </w:r>
      <w:r>
        <w:rPr>
          <w:color w:val="231F20"/>
          <w:sz w:val="17"/>
        </w:rPr>
        <w:t>Context,</w:t>
      </w:r>
      <w:r>
        <w:rPr>
          <w:color w:val="231F20"/>
          <w:spacing w:val="40"/>
          <w:sz w:val="17"/>
        </w:rPr>
        <w:t xml:space="preserve"> </w:t>
      </w:r>
      <w:r>
        <w:rPr>
          <w:color w:val="231F20"/>
          <w:sz w:val="17"/>
        </w:rPr>
        <w:t>voices</w:t>
      </w:r>
      <w:r>
        <w:rPr>
          <w:color w:val="231F20"/>
          <w:spacing w:val="40"/>
          <w:sz w:val="17"/>
        </w:rPr>
        <w:t xml:space="preserve"> </w:t>
      </w:r>
      <w:r>
        <w:rPr>
          <w:color w:val="231F20"/>
          <w:sz w:val="17"/>
        </w:rPr>
        <w:t>and</w:t>
      </w:r>
      <w:r>
        <w:rPr>
          <w:color w:val="231F20"/>
          <w:spacing w:val="40"/>
          <w:sz w:val="17"/>
        </w:rPr>
        <w:t xml:space="preserve"> </w:t>
      </w:r>
      <w:r>
        <w:rPr>
          <w:color w:val="231F20"/>
          <w:sz w:val="17"/>
        </w:rPr>
        <w:t>control.</w:t>
      </w:r>
      <w:r>
        <w:rPr>
          <w:color w:val="231F20"/>
          <w:spacing w:val="40"/>
          <w:sz w:val="17"/>
        </w:rPr>
        <w:t xml:space="preserve"> </w:t>
      </w:r>
      <w:r>
        <w:rPr>
          <w:i/>
          <w:color w:val="231F20"/>
          <w:sz w:val="17"/>
        </w:rPr>
        <w:t>Journal</w:t>
      </w:r>
      <w:r>
        <w:rPr>
          <w:i/>
          <w:color w:val="231F20"/>
          <w:spacing w:val="40"/>
          <w:sz w:val="17"/>
        </w:rPr>
        <w:t xml:space="preserve"> </w:t>
      </w:r>
      <w:r>
        <w:rPr>
          <w:i/>
          <w:color w:val="231F20"/>
          <w:sz w:val="17"/>
        </w:rPr>
        <w:t>of</w:t>
      </w:r>
      <w:r>
        <w:rPr>
          <w:i/>
          <w:color w:val="231F20"/>
          <w:spacing w:val="40"/>
          <w:sz w:val="17"/>
        </w:rPr>
        <w:t xml:space="preserve"> </w:t>
      </w:r>
      <w:r>
        <w:rPr>
          <w:i/>
          <w:color w:val="231F20"/>
          <w:sz w:val="17"/>
        </w:rPr>
        <w:t>Policy</w:t>
      </w:r>
      <w:r>
        <w:rPr>
          <w:i/>
          <w:color w:val="231F20"/>
          <w:spacing w:val="40"/>
          <w:sz w:val="17"/>
        </w:rPr>
        <w:t xml:space="preserve"> </w:t>
      </w:r>
      <w:r>
        <w:rPr>
          <w:i/>
          <w:color w:val="231F20"/>
          <w:sz w:val="17"/>
        </w:rPr>
        <w:t>Research</w:t>
      </w:r>
      <w:r>
        <w:rPr>
          <w:i/>
          <w:color w:val="231F20"/>
          <w:spacing w:val="40"/>
          <w:sz w:val="17"/>
        </w:rPr>
        <w:t xml:space="preserve"> </w:t>
      </w:r>
      <w:r>
        <w:rPr>
          <w:i/>
          <w:color w:val="231F20"/>
          <w:sz w:val="17"/>
        </w:rPr>
        <w:t>in</w:t>
      </w:r>
      <w:r>
        <w:rPr>
          <w:i/>
          <w:color w:val="231F20"/>
          <w:spacing w:val="40"/>
          <w:sz w:val="17"/>
        </w:rPr>
        <w:t xml:space="preserve"> </w:t>
      </w:r>
      <w:r>
        <w:rPr>
          <w:i/>
          <w:color w:val="231F20"/>
          <w:sz w:val="17"/>
        </w:rPr>
        <w:t>Tourism,</w:t>
      </w:r>
      <w:r>
        <w:rPr>
          <w:i/>
          <w:color w:val="231F20"/>
          <w:spacing w:val="40"/>
          <w:sz w:val="17"/>
        </w:rPr>
        <w:t xml:space="preserve"> </w:t>
      </w:r>
      <w:r>
        <w:rPr>
          <w:i/>
          <w:color w:val="231F20"/>
          <w:sz w:val="17"/>
        </w:rPr>
        <w:t>Leisure</w:t>
      </w:r>
      <w:r>
        <w:rPr>
          <w:i/>
          <w:color w:val="231F20"/>
          <w:spacing w:val="40"/>
          <w:sz w:val="17"/>
        </w:rPr>
        <w:t xml:space="preserve"> </w:t>
      </w:r>
      <w:r>
        <w:rPr>
          <w:i/>
          <w:color w:val="231F20"/>
          <w:sz w:val="17"/>
        </w:rPr>
        <w:t>and</w:t>
      </w:r>
      <w:r>
        <w:rPr>
          <w:i/>
          <w:color w:val="231F20"/>
          <w:spacing w:val="40"/>
          <w:sz w:val="17"/>
        </w:rPr>
        <w:t xml:space="preserve"> </w:t>
      </w:r>
      <w:r>
        <w:rPr>
          <w:i/>
          <w:color w:val="231F20"/>
          <w:sz w:val="17"/>
        </w:rPr>
        <w:t xml:space="preserve">Events </w:t>
      </w:r>
      <w:r>
        <w:rPr>
          <w:color w:val="231F20"/>
          <w:sz w:val="17"/>
        </w:rPr>
        <w:t>6 (2), 153–171.</w:t>
      </w:r>
    </w:p>
    <w:p w14:paraId="5FCCC980" w14:textId="77777777" w:rsidR="00AE0598" w:rsidRDefault="0069255A">
      <w:pPr>
        <w:spacing w:before="2"/>
        <w:ind w:left="110" w:right="127"/>
        <w:jc w:val="both"/>
        <w:rPr>
          <w:sz w:val="17"/>
        </w:rPr>
      </w:pPr>
      <w:r>
        <w:rPr>
          <w:color w:val="231F20"/>
          <w:sz w:val="17"/>
        </w:rPr>
        <w:t xml:space="preserve">Getz, D. (1991) </w:t>
      </w:r>
      <w:r>
        <w:rPr>
          <w:i/>
          <w:color w:val="231F20"/>
          <w:sz w:val="17"/>
        </w:rPr>
        <w:t>Festivals, Special Events and Tourism</w:t>
      </w:r>
      <w:r>
        <w:rPr>
          <w:color w:val="231F20"/>
          <w:sz w:val="17"/>
        </w:rPr>
        <w:t>. New York: Van Nostrand Reinhold.</w:t>
      </w:r>
      <w:r>
        <w:rPr>
          <w:color w:val="231F20"/>
          <w:spacing w:val="40"/>
          <w:sz w:val="17"/>
        </w:rPr>
        <w:t xml:space="preserve"> </w:t>
      </w:r>
      <w:r>
        <w:rPr>
          <w:color w:val="231F20"/>
          <w:w w:val="95"/>
          <w:sz w:val="17"/>
        </w:rPr>
        <w:t>Getz,</w:t>
      </w:r>
      <w:r>
        <w:rPr>
          <w:color w:val="231F20"/>
          <w:spacing w:val="-1"/>
          <w:w w:val="95"/>
          <w:sz w:val="17"/>
        </w:rPr>
        <w:t xml:space="preserve"> </w:t>
      </w:r>
      <w:r>
        <w:rPr>
          <w:color w:val="231F20"/>
          <w:w w:val="95"/>
          <w:sz w:val="17"/>
        </w:rPr>
        <w:t>D.</w:t>
      </w:r>
      <w:r>
        <w:rPr>
          <w:color w:val="231F20"/>
          <w:spacing w:val="-1"/>
          <w:w w:val="95"/>
          <w:sz w:val="17"/>
        </w:rPr>
        <w:t xml:space="preserve"> </w:t>
      </w:r>
      <w:r>
        <w:rPr>
          <w:color w:val="231F20"/>
          <w:w w:val="95"/>
          <w:sz w:val="17"/>
        </w:rPr>
        <w:t>(1997)</w:t>
      </w:r>
      <w:r>
        <w:rPr>
          <w:color w:val="231F20"/>
          <w:spacing w:val="-1"/>
          <w:w w:val="95"/>
          <w:sz w:val="17"/>
        </w:rPr>
        <w:t xml:space="preserve"> </w:t>
      </w:r>
      <w:r>
        <w:rPr>
          <w:i/>
          <w:color w:val="231F20"/>
          <w:w w:val="95"/>
          <w:sz w:val="17"/>
        </w:rPr>
        <w:t>Event</w:t>
      </w:r>
      <w:r>
        <w:rPr>
          <w:i/>
          <w:color w:val="231F20"/>
          <w:spacing w:val="-1"/>
          <w:w w:val="95"/>
          <w:sz w:val="17"/>
        </w:rPr>
        <w:t xml:space="preserve"> </w:t>
      </w:r>
      <w:r>
        <w:rPr>
          <w:i/>
          <w:color w:val="231F20"/>
          <w:w w:val="95"/>
          <w:sz w:val="17"/>
        </w:rPr>
        <w:t>Management</w:t>
      </w:r>
      <w:r>
        <w:rPr>
          <w:i/>
          <w:color w:val="231F20"/>
          <w:spacing w:val="-1"/>
          <w:w w:val="95"/>
          <w:sz w:val="17"/>
        </w:rPr>
        <w:t xml:space="preserve"> </w:t>
      </w:r>
      <w:r>
        <w:rPr>
          <w:i/>
          <w:color w:val="231F20"/>
          <w:w w:val="95"/>
          <w:sz w:val="17"/>
        </w:rPr>
        <w:t>and</w:t>
      </w:r>
      <w:r>
        <w:rPr>
          <w:i/>
          <w:color w:val="231F20"/>
          <w:spacing w:val="-1"/>
          <w:w w:val="95"/>
          <w:sz w:val="17"/>
        </w:rPr>
        <w:t xml:space="preserve"> </w:t>
      </w:r>
      <w:r>
        <w:rPr>
          <w:i/>
          <w:color w:val="231F20"/>
          <w:w w:val="95"/>
          <w:sz w:val="17"/>
        </w:rPr>
        <w:t>Event</w:t>
      </w:r>
      <w:r>
        <w:rPr>
          <w:i/>
          <w:color w:val="231F20"/>
          <w:spacing w:val="-1"/>
          <w:w w:val="95"/>
          <w:sz w:val="17"/>
        </w:rPr>
        <w:t xml:space="preserve"> </w:t>
      </w:r>
      <w:r>
        <w:rPr>
          <w:i/>
          <w:color w:val="231F20"/>
          <w:w w:val="95"/>
          <w:sz w:val="17"/>
        </w:rPr>
        <w:t>Tourism</w:t>
      </w:r>
      <w:r>
        <w:rPr>
          <w:color w:val="231F20"/>
          <w:w w:val="95"/>
          <w:sz w:val="17"/>
        </w:rPr>
        <w:t>.</w:t>
      </w:r>
      <w:r>
        <w:rPr>
          <w:color w:val="231F20"/>
          <w:spacing w:val="-1"/>
          <w:w w:val="95"/>
          <w:sz w:val="17"/>
        </w:rPr>
        <w:t xml:space="preserve"> </w:t>
      </w:r>
      <w:r>
        <w:rPr>
          <w:color w:val="231F20"/>
          <w:w w:val="95"/>
          <w:sz w:val="17"/>
        </w:rPr>
        <w:t>New</w:t>
      </w:r>
      <w:r>
        <w:rPr>
          <w:color w:val="231F20"/>
          <w:spacing w:val="-1"/>
          <w:w w:val="95"/>
          <w:sz w:val="17"/>
        </w:rPr>
        <w:t xml:space="preserve"> </w:t>
      </w:r>
      <w:r>
        <w:rPr>
          <w:color w:val="231F20"/>
          <w:w w:val="95"/>
          <w:sz w:val="17"/>
        </w:rPr>
        <w:t>York:</w:t>
      </w:r>
      <w:r>
        <w:rPr>
          <w:color w:val="231F20"/>
          <w:spacing w:val="-1"/>
          <w:w w:val="95"/>
          <w:sz w:val="17"/>
        </w:rPr>
        <w:t xml:space="preserve"> </w:t>
      </w:r>
      <w:r>
        <w:rPr>
          <w:color w:val="231F20"/>
          <w:w w:val="95"/>
          <w:sz w:val="17"/>
        </w:rPr>
        <w:t>Cognizant</w:t>
      </w:r>
      <w:r>
        <w:rPr>
          <w:color w:val="231F20"/>
          <w:spacing w:val="-1"/>
          <w:w w:val="95"/>
          <w:sz w:val="17"/>
        </w:rPr>
        <w:t xml:space="preserve"> </w:t>
      </w:r>
      <w:r>
        <w:rPr>
          <w:color w:val="231F20"/>
          <w:spacing w:val="-2"/>
          <w:w w:val="95"/>
          <w:sz w:val="17"/>
        </w:rPr>
        <w:t>Communications</w:t>
      </w:r>
    </w:p>
    <w:p w14:paraId="4E5B15E1" w14:textId="77777777" w:rsidR="00AE0598" w:rsidRDefault="0069255A">
      <w:pPr>
        <w:spacing w:before="1"/>
        <w:ind w:left="430"/>
        <w:rPr>
          <w:sz w:val="17"/>
        </w:rPr>
      </w:pPr>
      <w:r>
        <w:rPr>
          <w:color w:val="231F20"/>
          <w:spacing w:val="-2"/>
          <w:sz w:val="17"/>
        </w:rPr>
        <w:t>Corporation.</w:t>
      </w:r>
    </w:p>
    <w:p w14:paraId="17634589" w14:textId="77777777" w:rsidR="00AE0598" w:rsidRDefault="0069255A">
      <w:pPr>
        <w:spacing w:before="1"/>
        <w:ind w:left="430" w:hanging="320"/>
        <w:rPr>
          <w:sz w:val="17"/>
        </w:rPr>
      </w:pPr>
      <w:r>
        <w:rPr>
          <w:color w:val="231F20"/>
          <w:sz w:val="17"/>
        </w:rPr>
        <w:t>Getz,</w:t>
      </w:r>
      <w:r>
        <w:rPr>
          <w:color w:val="231F20"/>
          <w:spacing w:val="24"/>
          <w:sz w:val="17"/>
        </w:rPr>
        <w:t xml:space="preserve"> </w:t>
      </w:r>
      <w:r>
        <w:rPr>
          <w:color w:val="231F20"/>
          <w:sz w:val="17"/>
        </w:rPr>
        <w:t>D.</w:t>
      </w:r>
      <w:r>
        <w:rPr>
          <w:color w:val="231F20"/>
          <w:spacing w:val="24"/>
          <w:sz w:val="17"/>
        </w:rPr>
        <w:t xml:space="preserve"> </w:t>
      </w:r>
      <w:r>
        <w:rPr>
          <w:color w:val="231F20"/>
          <w:sz w:val="17"/>
        </w:rPr>
        <w:t>(1998)</w:t>
      </w:r>
      <w:r>
        <w:rPr>
          <w:color w:val="231F20"/>
          <w:spacing w:val="24"/>
          <w:sz w:val="17"/>
        </w:rPr>
        <w:t xml:space="preserve"> </w:t>
      </w:r>
      <w:r>
        <w:rPr>
          <w:color w:val="231F20"/>
          <w:sz w:val="17"/>
        </w:rPr>
        <w:t>Trends,</w:t>
      </w:r>
      <w:r>
        <w:rPr>
          <w:color w:val="231F20"/>
          <w:spacing w:val="24"/>
          <w:sz w:val="17"/>
        </w:rPr>
        <w:t xml:space="preserve"> </w:t>
      </w:r>
      <w:r>
        <w:rPr>
          <w:color w:val="231F20"/>
          <w:sz w:val="17"/>
        </w:rPr>
        <w:t>strategies,</w:t>
      </w:r>
      <w:r>
        <w:rPr>
          <w:color w:val="231F20"/>
          <w:spacing w:val="24"/>
          <w:sz w:val="17"/>
        </w:rPr>
        <w:t xml:space="preserve"> </w:t>
      </w:r>
      <w:r>
        <w:rPr>
          <w:color w:val="231F20"/>
          <w:sz w:val="17"/>
        </w:rPr>
        <w:t>and</w:t>
      </w:r>
      <w:r>
        <w:rPr>
          <w:color w:val="231F20"/>
          <w:spacing w:val="24"/>
          <w:sz w:val="17"/>
        </w:rPr>
        <w:t xml:space="preserve"> </w:t>
      </w:r>
      <w:r>
        <w:rPr>
          <w:color w:val="231F20"/>
          <w:sz w:val="17"/>
        </w:rPr>
        <w:t>issues</w:t>
      </w:r>
      <w:r>
        <w:rPr>
          <w:color w:val="231F20"/>
          <w:spacing w:val="24"/>
          <w:sz w:val="17"/>
        </w:rPr>
        <w:t xml:space="preserve"> </w:t>
      </w:r>
      <w:r>
        <w:rPr>
          <w:color w:val="231F20"/>
          <w:sz w:val="17"/>
        </w:rPr>
        <w:t>in</w:t>
      </w:r>
      <w:r>
        <w:rPr>
          <w:color w:val="231F20"/>
          <w:spacing w:val="24"/>
          <w:sz w:val="17"/>
        </w:rPr>
        <w:t xml:space="preserve"> </w:t>
      </w:r>
      <w:r>
        <w:rPr>
          <w:color w:val="231F20"/>
          <w:sz w:val="17"/>
        </w:rPr>
        <w:t>sport-event</w:t>
      </w:r>
      <w:r>
        <w:rPr>
          <w:color w:val="231F20"/>
          <w:spacing w:val="24"/>
          <w:sz w:val="17"/>
        </w:rPr>
        <w:t xml:space="preserve"> </w:t>
      </w:r>
      <w:r>
        <w:rPr>
          <w:color w:val="231F20"/>
          <w:sz w:val="17"/>
        </w:rPr>
        <w:t>tourism.</w:t>
      </w:r>
      <w:r>
        <w:rPr>
          <w:color w:val="231F20"/>
          <w:spacing w:val="24"/>
          <w:sz w:val="17"/>
        </w:rPr>
        <w:t xml:space="preserve"> </w:t>
      </w:r>
      <w:r>
        <w:rPr>
          <w:i/>
          <w:color w:val="231F20"/>
          <w:sz w:val="17"/>
        </w:rPr>
        <w:t>Sport</w:t>
      </w:r>
      <w:r>
        <w:rPr>
          <w:i/>
          <w:color w:val="231F20"/>
          <w:spacing w:val="24"/>
          <w:sz w:val="17"/>
        </w:rPr>
        <w:t xml:space="preserve"> </w:t>
      </w:r>
      <w:r>
        <w:rPr>
          <w:i/>
          <w:color w:val="231F20"/>
          <w:sz w:val="17"/>
        </w:rPr>
        <w:t>Marketing</w:t>
      </w:r>
      <w:r>
        <w:rPr>
          <w:i/>
          <w:color w:val="231F20"/>
          <w:spacing w:val="40"/>
          <w:sz w:val="17"/>
        </w:rPr>
        <w:t xml:space="preserve"> </w:t>
      </w:r>
      <w:r>
        <w:rPr>
          <w:i/>
          <w:color w:val="231F20"/>
          <w:sz w:val="17"/>
        </w:rPr>
        <w:t xml:space="preserve">Quarterly </w:t>
      </w:r>
      <w:r>
        <w:rPr>
          <w:color w:val="231F20"/>
          <w:sz w:val="17"/>
        </w:rPr>
        <w:t>7 (2), 8–13.</w:t>
      </w:r>
    </w:p>
    <w:p w14:paraId="566F68B8" w14:textId="77777777" w:rsidR="00AE0598" w:rsidRDefault="0069255A">
      <w:pPr>
        <w:spacing w:before="1"/>
        <w:ind w:left="110"/>
        <w:rPr>
          <w:i/>
          <w:sz w:val="17"/>
        </w:rPr>
      </w:pPr>
      <w:r>
        <w:rPr>
          <w:color w:val="231F20"/>
          <w:sz w:val="17"/>
        </w:rPr>
        <w:t>Getz,</w:t>
      </w:r>
      <w:r>
        <w:rPr>
          <w:color w:val="231F20"/>
          <w:spacing w:val="1"/>
          <w:sz w:val="17"/>
        </w:rPr>
        <w:t xml:space="preserve"> </w:t>
      </w:r>
      <w:r>
        <w:rPr>
          <w:color w:val="231F20"/>
          <w:sz w:val="17"/>
        </w:rPr>
        <w:t>D.</w:t>
      </w:r>
      <w:r>
        <w:rPr>
          <w:color w:val="231F20"/>
          <w:spacing w:val="2"/>
          <w:sz w:val="17"/>
        </w:rPr>
        <w:t xml:space="preserve"> </w:t>
      </w:r>
      <w:r>
        <w:rPr>
          <w:color w:val="231F20"/>
          <w:sz w:val="17"/>
        </w:rPr>
        <w:t>(2008)</w:t>
      </w:r>
      <w:r>
        <w:rPr>
          <w:color w:val="231F20"/>
          <w:spacing w:val="2"/>
          <w:sz w:val="17"/>
        </w:rPr>
        <w:t xml:space="preserve"> </w:t>
      </w:r>
      <w:r>
        <w:rPr>
          <w:color w:val="231F20"/>
          <w:sz w:val="17"/>
        </w:rPr>
        <w:t>Event</w:t>
      </w:r>
      <w:r>
        <w:rPr>
          <w:color w:val="231F20"/>
          <w:spacing w:val="2"/>
          <w:sz w:val="17"/>
        </w:rPr>
        <w:t xml:space="preserve"> </w:t>
      </w:r>
      <w:r>
        <w:rPr>
          <w:color w:val="231F20"/>
          <w:sz w:val="17"/>
        </w:rPr>
        <w:t>tourism:</w:t>
      </w:r>
      <w:r>
        <w:rPr>
          <w:color w:val="231F20"/>
          <w:spacing w:val="1"/>
          <w:sz w:val="17"/>
        </w:rPr>
        <w:t xml:space="preserve"> </w:t>
      </w:r>
      <w:r>
        <w:rPr>
          <w:color w:val="231F20"/>
          <w:sz w:val="17"/>
        </w:rPr>
        <w:t>Definition,</w:t>
      </w:r>
      <w:r>
        <w:rPr>
          <w:color w:val="231F20"/>
          <w:spacing w:val="2"/>
          <w:sz w:val="17"/>
        </w:rPr>
        <w:t xml:space="preserve"> </w:t>
      </w:r>
      <w:r>
        <w:rPr>
          <w:color w:val="231F20"/>
          <w:sz w:val="17"/>
        </w:rPr>
        <w:t>evolution,</w:t>
      </w:r>
      <w:r>
        <w:rPr>
          <w:color w:val="231F20"/>
          <w:spacing w:val="2"/>
          <w:sz w:val="17"/>
        </w:rPr>
        <w:t xml:space="preserve"> </w:t>
      </w:r>
      <w:r>
        <w:rPr>
          <w:color w:val="231F20"/>
          <w:sz w:val="17"/>
        </w:rPr>
        <w:t>and</w:t>
      </w:r>
      <w:r>
        <w:rPr>
          <w:color w:val="231F20"/>
          <w:spacing w:val="2"/>
          <w:sz w:val="17"/>
        </w:rPr>
        <w:t xml:space="preserve"> </w:t>
      </w:r>
      <w:r>
        <w:rPr>
          <w:color w:val="231F20"/>
          <w:sz w:val="17"/>
        </w:rPr>
        <w:t>research.</w:t>
      </w:r>
      <w:r>
        <w:rPr>
          <w:color w:val="231F20"/>
          <w:spacing w:val="1"/>
          <w:sz w:val="17"/>
        </w:rPr>
        <w:t xml:space="preserve"> </w:t>
      </w:r>
      <w:r>
        <w:rPr>
          <w:i/>
          <w:color w:val="231F20"/>
          <w:sz w:val="17"/>
        </w:rPr>
        <w:t>Tourism</w:t>
      </w:r>
      <w:r>
        <w:rPr>
          <w:i/>
          <w:color w:val="231F20"/>
          <w:spacing w:val="2"/>
          <w:sz w:val="17"/>
        </w:rPr>
        <w:t xml:space="preserve"> </w:t>
      </w:r>
      <w:r>
        <w:rPr>
          <w:i/>
          <w:color w:val="231F20"/>
          <w:spacing w:val="-2"/>
          <w:sz w:val="17"/>
        </w:rPr>
        <w:t>Management</w:t>
      </w:r>
    </w:p>
    <w:p w14:paraId="0B112D6B" w14:textId="77777777" w:rsidR="00AE0598" w:rsidRDefault="0069255A">
      <w:pPr>
        <w:spacing w:before="1"/>
        <w:ind w:left="430"/>
        <w:rPr>
          <w:sz w:val="17"/>
        </w:rPr>
      </w:pPr>
      <w:r>
        <w:rPr>
          <w:color w:val="231F20"/>
          <w:w w:val="90"/>
          <w:sz w:val="17"/>
        </w:rPr>
        <w:t>29</w:t>
      </w:r>
      <w:r>
        <w:rPr>
          <w:color w:val="231F20"/>
          <w:spacing w:val="1"/>
          <w:sz w:val="17"/>
        </w:rPr>
        <w:t xml:space="preserve"> </w:t>
      </w:r>
      <w:r>
        <w:rPr>
          <w:color w:val="231F20"/>
          <w:w w:val="90"/>
          <w:sz w:val="17"/>
        </w:rPr>
        <w:t>(3),</w:t>
      </w:r>
      <w:r>
        <w:rPr>
          <w:color w:val="231F20"/>
          <w:spacing w:val="2"/>
          <w:sz w:val="17"/>
        </w:rPr>
        <w:t xml:space="preserve"> </w:t>
      </w:r>
      <w:r>
        <w:rPr>
          <w:color w:val="231F20"/>
          <w:spacing w:val="-2"/>
          <w:w w:val="90"/>
          <w:sz w:val="17"/>
        </w:rPr>
        <w:t>403–428.</w:t>
      </w:r>
    </w:p>
    <w:p w14:paraId="2D081BCB" w14:textId="77777777" w:rsidR="00AE0598" w:rsidRDefault="0069255A">
      <w:pPr>
        <w:spacing w:before="1"/>
        <w:ind w:left="110"/>
        <w:rPr>
          <w:sz w:val="17"/>
        </w:rPr>
      </w:pPr>
      <w:r>
        <w:rPr>
          <w:color w:val="231F20"/>
          <w:sz w:val="17"/>
        </w:rPr>
        <w:t>Getz,</w:t>
      </w:r>
      <w:r>
        <w:rPr>
          <w:color w:val="231F20"/>
          <w:spacing w:val="4"/>
          <w:w w:val="110"/>
          <w:sz w:val="17"/>
        </w:rPr>
        <w:t xml:space="preserve"> </w:t>
      </w:r>
      <w:r>
        <w:rPr>
          <w:color w:val="231F20"/>
          <w:w w:val="110"/>
          <w:sz w:val="17"/>
        </w:rPr>
        <w:t>D.</w:t>
      </w:r>
      <w:r>
        <w:rPr>
          <w:color w:val="231F20"/>
          <w:spacing w:val="4"/>
          <w:w w:val="110"/>
          <w:sz w:val="17"/>
        </w:rPr>
        <w:t xml:space="preserve"> </w:t>
      </w:r>
      <w:r>
        <w:rPr>
          <w:color w:val="231F20"/>
          <w:sz w:val="17"/>
        </w:rPr>
        <w:t>and</w:t>
      </w:r>
      <w:r>
        <w:rPr>
          <w:color w:val="231F20"/>
          <w:spacing w:val="8"/>
          <w:sz w:val="17"/>
        </w:rPr>
        <w:t xml:space="preserve"> </w:t>
      </w:r>
      <w:r>
        <w:rPr>
          <w:color w:val="231F20"/>
          <w:sz w:val="17"/>
        </w:rPr>
        <w:t>Cheyne,</w:t>
      </w:r>
      <w:r>
        <w:rPr>
          <w:color w:val="231F20"/>
          <w:spacing w:val="4"/>
          <w:w w:val="110"/>
          <w:sz w:val="17"/>
        </w:rPr>
        <w:t xml:space="preserve"> </w:t>
      </w:r>
      <w:r>
        <w:rPr>
          <w:color w:val="231F20"/>
          <w:w w:val="110"/>
          <w:sz w:val="17"/>
        </w:rPr>
        <w:t>J.</w:t>
      </w:r>
      <w:r>
        <w:rPr>
          <w:color w:val="231F20"/>
          <w:spacing w:val="4"/>
          <w:w w:val="110"/>
          <w:sz w:val="17"/>
        </w:rPr>
        <w:t xml:space="preserve"> </w:t>
      </w:r>
      <w:r>
        <w:rPr>
          <w:color w:val="231F20"/>
          <w:sz w:val="17"/>
        </w:rPr>
        <w:t>(1997)</w:t>
      </w:r>
      <w:r>
        <w:rPr>
          <w:color w:val="231F20"/>
          <w:spacing w:val="8"/>
          <w:sz w:val="17"/>
        </w:rPr>
        <w:t xml:space="preserve"> </w:t>
      </w:r>
      <w:r>
        <w:rPr>
          <w:color w:val="231F20"/>
          <w:sz w:val="17"/>
        </w:rPr>
        <w:t>Special</w:t>
      </w:r>
      <w:r>
        <w:rPr>
          <w:color w:val="231F20"/>
          <w:spacing w:val="8"/>
          <w:sz w:val="17"/>
        </w:rPr>
        <w:t xml:space="preserve"> </w:t>
      </w:r>
      <w:r>
        <w:rPr>
          <w:color w:val="231F20"/>
          <w:sz w:val="17"/>
        </w:rPr>
        <w:t>event</w:t>
      </w:r>
      <w:r>
        <w:rPr>
          <w:color w:val="231F20"/>
          <w:spacing w:val="8"/>
          <w:sz w:val="17"/>
        </w:rPr>
        <w:t xml:space="preserve"> </w:t>
      </w:r>
      <w:r>
        <w:rPr>
          <w:color w:val="231F20"/>
          <w:sz w:val="17"/>
        </w:rPr>
        <w:t>motivations</w:t>
      </w:r>
      <w:r>
        <w:rPr>
          <w:color w:val="231F20"/>
          <w:spacing w:val="8"/>
          <w:sz w:val="17"/>
        </w:rPr>
        <w:t xml:space="preserve"> </w:t>
      </w:r>
      <w:r>
        <w:rPr>
          <w:color w:val="231F20"/>
          <w:sz w:val="17"/>
        </w:rPr>
        <w:t>and</w:t>
      </w:r>
      <w:r>
        <w:rPr>
          <w:color w:val="231F20"/>
          <w:spacing w:val="8"/>
          <w:sz w:val="17"/>
        </w:rPr>
        <w:t xml:space="preserve"> </w:t>
      </w:r>
      <w:r>
        <w:rPr>
          <w:color w:val="231F20"/>
          <w:sz w:val="17"/>
        </w:rPr>
        <w:t>behaviour.</w:t>
      </w:r>
      <w:r>
        <w:rPr>
          <w:color w:val="231F20"/>
          <w:spacing w:val="8"/>
          <w:sz w:val="17"/>
        </w:rPr>
        <w:t xml:space="preserve"> </w:t>
      </w:r>
      <w:r>
        <w:rPr>
          <w:color w:val="231F20"/>
          <w:sz w:val="17"/>
        </w:rPr>
        <w:t>In</w:t>
      </w:r>
      <w:r>
        <w:rPr>
          <w:color w:val="231F20"/>
          <w:spacing w:val="4"/>
          <w:w w:val="110"/>
          <w:sz w:val="17"/>
        </w:rPr>
        <w:t xml:space="preserve"> </w:t>
      </w:r>
      <w:r>
        <w:rPr>
          <w:color w:val="231F20"/>
          <w:w w:val="110"/>
          <w:sz w:val="17"/>
        </w:rPr>
        <w:t>C.</w:t>
      </w:r>
      <w:r>
        <w:rPr>
          <w:color w:val="231F20"/>
          <w:spacing w:val="4"/>
          <w:w w:val="110"/>
          <w:sz w:val="17"/>
        </w:rPr>
        <w:t xml:space="preserve"> </w:t>
      </w:r>
      <w:r>
        <w:rPr>
          <w:color w:val="231F20"/>
          <w:sz w:val="17"/>
        </w:rPr>
        <w:t>Ryan</w:t>
      </w:r>
      <w:r>
        <w:rPr>
          <w:color w:val="231F20"/>
          <w:spacing w:val="8"/>
          <w:sz w:val="17"/>
        </w:rPr>
        <w:t xml:space="preserve"> </w:t>
      </w:r>
      <w:r>
        <w:rPr>
          <w:color w:val="231F20"/>
          <w:spacing w:val="-2"/>
          <w:sz w:val="17"/>
        </w:rPr>
        <w:t>(ed.)</w:t>
      </w:r>
    </w:p>
    <w:p w14:paraId="2B1EFDE2" w14:textId="77777777" w:rsidR="00AE0598" w:rsidRDefault="0069255A">
      <w:pPr>
        <w:spacing w:before="1"/>
        <w:ind w:left="430"/>
        <w:rPr>
          <w:sz w:val="17"/>
        </w:rPr>
      </w:pPr>
      <w:r>
        <w:rPr>
          <w:i/>
          <w:color w:val="231F20"/>
          <w:sz w:val="17"/>
        </w:rPr>
        <w:t>The</w:t>
      </w:r>
      <w:r>
        <w:rPr>
          <w:i/>
          <w:color w:val="231F20"/>
          <w:spacing w:val="7"/>
          <w:sz w:val="17"/>
        </w:rPr>
        <w:t xml:space="preserve"> </w:t>
      </w:r>
      <w:r>
        <w:rPr>
          <w:i/>
          <w:color w:val="231F20"/>
          <w:sz w:val="17"/>
        </w:rPr>
        <w:t>Tourist</w:t>
      </w:r>
      <w:r>
        <w:rPr>
          <w:i/>
          <w:color w:val="231F20"/>
          <w:spacing w:val="8"/>
          <w:sz w:val="17"/>
        </w:rPr>
        <w:t xml:space="preserve"> </w:t>
      </w:r>
      <w:r>
        <w:rPr>
          <w:i/>
          <w:color w:val="231F20"/>
          <w:sz w:val="17"/>
        </w:rPr>
        <w:t>Experience:</w:t>
      </w:r>
      <w:r>
        <w:rPr>
          <w:i/>
          <w:color w:val="231F20"/>
          <w:spacing w:val="8"/>
          <w:sz w:val="17"/>
        </w:rPr>
        <w:t xml:space="preserve"> </w:t>
      </w:r>
      <w:r>
        <w:rPr>
          <w:i/>
          <w:color w:val="231F20"/>
          <w:sz w:val="17"/>
        </w:rPr>
        <w:t>A</w:t>
      </w:r>
      <w:r>
        <w:rPr>
          <w:i/>
          <w:color w:val="231F20"/>
          <w:spacing w:val="8"/>
          <w:sz w:val="17"/>
        </w:rPr>
        <w:t xml:space="preserve"> </w:t>
      </w:r>
      <w:r>
        <w:rPr>
          <w:i/>
          <w:color w:val="231F20"/>
          <w:sz w:val="17"/>
        </w:rPr>
        <w:t>New</w:t>
      </w:r>
      <w:r>
        <w:rPr>
          <w:i/>
          <w:color w:val="231F20"/>
          <w:spacing w:val="8"/>
          <w:sz w:val="17"/>
        </w:rPr>
        <w:t xml:space="preserve"> </w:t>
      </w:r>
      <w:r>
        <w:rPr>
          <w:i/>
          <w:color w:val="231F20"/>
          <w:sz w:val="17"/>
        </w:rPr>
        <w:t>Introduction</w:t>
      </w:r>
      <w:r>
        <w:rPr>
          <w:i/>
          <w:color w:val="231F20"/>
          <w:spacing w:val="8"/>
          <w:sz w:val="17"/>
        </w:rPr>
        <w:t xml:space="preserve"> </w:t>
      </w:r>
      <w:r>
        <w:rPr>
          <w:color w:val="231F20"/>
          <w:sz w:val="17"/>
        </w:rPr>
        <w:t>(pp.</w:t>
      </w:r>
      <w:r>
        <w:rPr>
          <w:color w:val="231F20"/>
          <w:spacing w:val="8"/>
          <w:sz w:val="17"/>
        </w:rPr>
        <w:t xml:space="preserve"> </w:t>
      </w:r>
      <w:r>
        <w:rPr>
          <w:color w:val="231F20"/>
          <w:sz w:val="17"/>
        </w:rPr>
        <w:t>136–154).</w:t>
      </w:r>
      <w:r>
        <w:rPr>
          <w:color w:val="231F20"/>
          <w:spacing w:val="7"/>
          <w:sz w:val="17"/>
        </w:rPr>
        <w:t xml:space="preserve"> </w:t>
      </w:r>
      <w:r>
        <w:rPr>
          <w:color w:val="231F20"/>
          <w:sz w:val="17"/>
        </w:rPr>
        <w:t>London:</w:t>
      </w:r>
      <w:r>
        <w:rPr>
          <w:color w:val="231F20"/>
          <w:spacing w:val="8"/>
          <w:sz w:val="17"/>
        </w:rPr>
        <w:t xml:space="preserve"> </w:t>
      </w:r>
      <w:r>
        <w:rPr>
          <w:color w:val="231F20"/>
          <w:spacing w:val="-2"/>
          <w:sz w:val="17"/>
        </w:rPr>
        <w:t>Cassell.</w:t>
      </w:r>
    </w:p>
    <w:p w14:paraId="5EFE9759" w14:textId="77777777" w:rsidR="00AE0598" w:rsidRDefault="0069255A">
      <w:pPr>
        <w:ind w:left="430" w:right="128" w:hanging="320"/>
        <w:jc w:val="both"/>
        <w:rPr>
          <w:sz w:val="17"/>
        </w:rPr>
      </w:pPr>
      <w:r>
        <w:rPr>
          <w:color w:val="231F20"/>
          <w:sz w:val="17"/>
        </w:rPr>
        <w:t xml:space="preserve">Getz, D. and McConnell, A. (2011) Serious sport tourism and event travel careers. </w:t>
      </w:r>
      <w:r>
        <w:rPr>
          <w:i/>
          <w:color w:val="231F20"/>
          <w:sz w:val="17"/>
        </w:rPr>
        <w:t>Journal</w:t>
      </w:r>
      <w:r>
        <w:rPr>
          <w:i/>
          <w:color w:val="231F20"/>
          <w:spacing w:val="40"/>
          <w:sz w:val="17"/>
        </w:rPr>
        <w:t xml:space="preserve"> </w:t>
      </w:r>
      <w:r>
        <w:rPr>
          <w:i/>
          <w:color w:val="231F20"/>
          <w:sz w:val="17"/>
        </w:rPr>
        <w:t xml:space="preserve">of Sport Management </w:t>
      </w:r>
      <w:r>
        <w:rPr>
          <w:color w:val="231F20"/>
          <w:sz w:val="17"/>
        </w:rPr>
        <w:t>25 (4), 326–338.</w:t>
      </w:r>
    </w:p>
    <w:p w14:paraId="68011FC6" w14:textId="77777777" w:rsidR="00AE0598" w:rsidRDefault="0069255A">
      <w:pPr>
        <w:spacing w:before="2"/>
        <w:ind w:left="430" w:right="128" w:hanging="320"/>
        <w:jc w:val="both"/>
        <w:rPr>
          <w:sz w:val="17"/>
        </w:rPr>
      </w:pPr>
      <w:r>
        <w:rPr>
          <w:color w:val="231F20"/>
          <w:w w:val="105"/>
          <w:sz w:val="17"/>
        </w:rPr>
        <w:t xml:space="preserve">Getz, </w:t>
      </w:r>
      <w:r>
        <w:rPr>
          <w:color w:val="231F20"/>
          <w:w w:val="115"/>
          <w:sz w:val="17"/>
        </w:rPr>
        <w:t xml:space="preserve">D. </w:t>
      </w:r>
      <w:r>
        <w:rPr>
          <w:color w:val="231F20"/>
          <w:w w:val="105"/>
          <w:sz w:val="17"/>
        </w:rPr>
        <w:t xml:space="preserve">and McConnell, </w:t>
      </w:r>
      <w:r>
        <w:rPr>
          <w:color w:val="231F20"/>
          <w:w w:val="115"/>
          <w:sz w:val="17"/>
        </w:rPr>
        <w:t xml:space="preserve">A. </w:t>
      </w:r>
      <w:r>
        <w:rPr>
          <w:color w:val="231F20"/>
          <w:w w:val="105"/>
          <w:sz w:val="17"/>
        </w:rPr>
        <w:t>(2014)</w:t>
      </w:r>
      <w:r>
        <w:rPr>
          <w:color w:val="231F20"/>
          <w:w w:val="105"/>
          <w:sz w:val="17"/>
        </w:rPr>
        <w:t xml:space="preserve"> Comparing trail runners and mountain bikers:</w:t>
      </w:r>
      <w:r>
        <w:rPr>
          <w:color w:val="231F20"/>
          <w:spacing w:val="40"/>
          <w:w w:val="105"/>
          <w:sz w:val="17"/>
        </w:rPr>
        <w:t xml:space="preserve"> </w:t>
      </w:r>
      <w:r>
        <w:rPr>
          <w:color w:val="231F20"/>
          <w:sz w:val="17"/>
        </w:rPr>
        <w:t xml:space="preserve">Motivation, involvement, portfolios, and event-tourist careers. </w:t>
      </w:r>
      <w:r>
        <w:rPr>
          <w:i/>
          <w:color w:val="231F20"/>
          <w:sz w:val="17"/>
        </w:rPr>
        <w:t>Journal of Convention</w:t>
      </w:r>
      <w:r>
        <w:rPr>
          <w:i/>
          <w:color w:val="231F20"/>
          <w:w w:val="115"/>
          <w:sz w:val="17"/>
        </w:rPr>
        <w:t xml:space="preserve"> &amp; </w:t>
      </w:r>
      <w:r>
        <w:rPr>
          <w:i/>
          <w:color w:val="231F20"/>
          <w:w w:val="105"/>
          <w:sz w:val="17"/>
        </w:rPr>
        <w:t xml:space="preserve">Event Tourism </w:t>
      </w:r>
      <w:r>
        <w:rPr>
          <w:color w:val="231F20"/>
          <w:w w:val="105"/>
          <w:sz w:val="17"/>
        </w:rPr>
        <w:t>15 (1), 69–100.</w:t>
      </w:r>
    </w:p>
    <w:p w14:paraId="0E2CE518" w14:textId="77777777" w:rsidR="00AE0598" w:rsidRDefault="0069255A">
      <w:pPr>
        <w:spacing w:before="2"/>
        <w:ind w:left="430" w:right="127" w:hanging="320"/>
        <w:jc w:val="both"/>
        <w:rPr>
          <w:sz w:val="17"/>
        </w:rPr>
      </w:pPr>
      <w:r>
        <w:rPr>
          <w:color w:val="231F20"/>
          <w:sz w:val="17"/>
        </w:rPr>
        <w:t xml:space="preserve">Getz, D. and Page, S.J. (2016) </w:t>
      </w:r>
      <w:r>
        <w:rPr>
          <w:i/>
          <w:color w:val="231F20"/>
          <w:sz w:val="17"/>
        </w:rPr>
        <w:t>Event Studies: Theory, Research and Policy for Planned</w:t>
      </w:r>
      <w:r>
        <w:rPr>
          <w:i/>
          <w:color w:val="231F20"/>
          <w:spacing w:val="80"/>
          <w:sz w:val="17"/>
        </w:rPr>
        <w:t xml:space="preserve"> </w:t>
      </w:r>
      <w:r>
        <w:rPr>
          <w:i/>
          <w:color w:val="231F20"/>
          <w:sz w:val="17"/>
        </w:rPr>
        <w:t>Events</w:t>
      </w:r>
      <w:r>
        <w:rPr>
          <w:i/>
          <w:color w:val="231F20"/>
          <w:sz w:val="17"/>
        </w:rPr>
        <w:t xml:space="preserve"> </w:t>
      </w:r>
      <w:r>
        <w:rPr>
          <w:color w:val="231F20"/>
          <w:sz w:val="17"/>
        </w:rPr>
        <w:t>(3rd edn). London: Routledge.</w:t>
      </w:r>
    </w:p>
    <w:p w14:paraId="6B5D8E5A" w14:textId="77777777" w:rsidR="00AE0598" w:rsidRDefault="0069255A">
      <w:pPr>
        <w:spacing w:before="1"/>
        <w:ind w:left="430" w:right="127" w:hanging="320"/>
        <w:jc w:val="both"/>
        <w:rPr>
          <w:sz w:val="17"/>
        </w:rPr>
      </w:pPr>
      <w:r>
        <w:rPr>
          <w:color w:val="231F20"/>
          <w:sz w:val="17"/>
        </w:rPr>
        <w:t xml:space="preserve">Ghaderi, </w:t>
      </w:r>
      <w:r>
        <w:rPr>
          <w:color w:val="231F20"/>
          <w:w w:val="105"/>
          <w:sz w:val="17"/>
        </w:rPr>
        <w:t xml:space="preserve">Z., </w:t>
      </w:r>
      <w:r>
        <w:rPr>
          <w:color w:val="231F20"/>
          <w:sz w:val="17"/>
        </w:rPr>
        <w:t xml:space="preserve">Khoshkam, </w:t>
      </w:r>
      <w:r>
        <w:rPr>
          <w:color w:val="231F20"/>
          <w:w w:val="105"/>
          <w:sz w:val="17"/>
        </w:rPr>
        <w:t xml:space="preserve">M. </w:t>
      </w:r>
      <w:r>
        <w:rPr>
          <w:color w:val="231F20"/>
          <w:sz w:val="17"/>
        </w:rPr>
        <w:t xml:space="preserve">and Henderson, </w:t>
      </w:r>
      <w:r>
        <w:rPr>
          <w:color w:val="231F20"/>
          <w:w w:val="105"/>
          <w:sz w:val="17"/>
        </w:rPr>
        <w:t xml:space="preserve">J.C. </w:t>
      </w:r>
      <w:r>
        <w:rPr>
          <w:color w:val="231F20"/>
          <w:sz w:val="17"/>
        </w:rPr>
        <w:t>(2014 From snow skiing to grass skiing:</w:t>
      </w:r>
      <w:r>
        <w:rPr>
          <w:color w:val="231F20"/>
          <w:spacing w:val="40"/>
          <w:sz w:val="17"/>
        </w:rPr>
        <w:t xml:space="preserve"> </w:t>
      </w:r>
      <w:r>
        <w:rPr>
          <w:color w:val="231F20"/>
          <w:sz w:val="17"/>
        </w:rPr>
        <w:t xml:space="preserve">Implications of climate change for the ski industry in Dizin, Iran. </w:t>
      </w:r>
      <w:r>
        <w:rPr>
          <w:i/>
          <w:color w:val="231F20"/>
          <w:sz w:val="17"/>
        </w:rPr>
        <w:t xml:space="preserve">Anatolia </w:t>
      </w:r>
      <w:r>
        <w:rPr>
          <w:color w:val="231F20"/>
          <w:sz w:val="17"/>
        </w:rPr>
        <w:t>25 (1),</w:t>
      </w:r>
      <w:r>
        <w:rPr>
          <w:color w:val="231F20"/>
          <w:spacing w:val="40"/>
          <w:sz w:val="17"/>
        </w:rPr>
        <w:t xml:space="preserve"> </w:t>
      </w:r>
      <w:r>
        <w:rPr>
          <w:color w:val="231F20"/>
          <w:spacing w:val="-2"/>
          <w:sz w:val="17"/>
        </w:rPr>
        <w:t>96–107.</w:t>
      </w:r>
    </w:p>
    <w:p w14:paraId="7F2AFB37" w14:textId="77777777" w:rsidR="00AE0598" w:rsidRDefault="0069255A">
      <w:pPr>
        <w:spacing w:before="2"/>
        <w:ind w:left="430" w:right="128" w:hanging="320"/>
        <w:jc w:val="both"/>
        <w:rPr>
          <w:sz w:val="17"/>
        </w:rPr>
      </w:pPr>
      <w:r>
        <w:rPr>
          <w:color w:val="231F20"/>
          <w:sz w:val="17"/>
        </w:rPr>
        <w:t>Gibson, H.J. (1998a) Sport tourism: A critical</w:t>
      </w:r>
      <w:r>
        <w:rPr>
          <w:color w:val="231F20"/>
          <w:sz w:val="17"/>
        </w:rPr>
        <w:t xml:space="preserve"> analysis of research. </w:t>
      </w:r>
      <w:r>
        <w:rPr>
          <w:i/>
          <w:color w:val="231F20"/>
          <w:sz w:val="17"/>
        </w:rPr>
        <w:t>Sport Management</w:t>
      </w:r>
      <w:r>
        <w:rPr>
          <w:i/>
          <w:color w:val="231F20"/>
          <w:spacing w:val="40"/>
          <w:sz w:val="17"/>
        </w:rPr>
        <w:t xml:space="preserve"> </w:t>
      </w:r>
      <w:r>
        <w:rPr>
          <w:i/>
          <w:color w:val="231F20"/>
          <w:sz w:val="17"/>
        </w:rPr>
        <w:t xml:space="preserve">Review </w:t>
      </w:r>
      <w:r>
        <w:rPr>
          <w:color w:val="231F20"/>
          <w:sz w:val="17"/>
        </w:rPr>
        <w:t>1 (1), 45–76.</w:t>
      </w:r>
    </w:p>
    <w:p w14:paraId="2EF47C2B" w14:textId="77777777" w:rsidR="00AE0598" w:rsidRDefault="0069255A">
      <w:pPr>
        <w:spacing w:before="2"/>
        <w:ind w:left="110" w:right="129" w:hanging="1"/>
        <w:jc w:val="both"/>
        <w:rPr>
          <w:sz w:val="17"/>
        </w:rPr>
      </w:pPr>
      <w:r>
        <w:rPr>
          <w:color w:val="231F20"/>
          <w:sz w:val="17"/>
        </w:rPr>
        <w:t>Gibson,</w:t>
      </w:r>
      <w:r>
        <w:rPr>
          <w:color w:val="231F20"/>
          <w:spacing w:val="-3"/>
          <w:sz w:val="17"/>
        </w:rPr>
        <w:t xml:space="preserve"> </w:t>
      </w:r>
      <w:r>
        <w:rPr>
          <w:color w:val="231F20"/>
          <w:sz w:val="17"/>
        </w:rPr>
        <w:t>H.J.</w:t>
      </w:r>
      <w:r>
        <w:rPr>
          <w:color w:val="231F20"/>
          <w:spacing w:val="-3"/>
          <w:sz w:val="17"/>
        </w:rPr>
        <w:t xml:space="preserve"> </w:t>
      </w:r>
      <w:r>
        <w:rPr>
          <w:color w:val="231F20"/>
          <w:sz w:val="17"/>
        </w:rPr>
        <w:t>(1998b)</w:t>
      </w:r>
      <w:r>
        <w:rPr>
          <w:color w:val="231F20"/>
          <w:spacing w:val="-3"/>
          <w:sz w:val="17"/>
        </w:rPr>
        <w:t xml:space="preserve"> </w:t>
      </w:r>
      <w:r>
        <w:rPr>
          <w:color w:val="231F20"/>
          <w:sz w:val="17"/>
        </w:rPr>
        <w:t>Active</w:t>
      </w:r>
      <w:r>
        <w:rPr>
          <w:color w:val="231F20"/>
          <w:spacing w:val="-3"/>
          <w:sz w:val="17"/>
        </w:rPr>
        <w:t xml:space="preserve"> </w:t>
      </w:r>
      <w:r>
        <w:rPr>
          <w:color w:val="231F20"/>
          <w:sz w:val="17"/>
        </w:rPr>
        <w:t>sport</w:t>
      </w:r>
      <w:r>
        <w:rPr>
          <w:color w:val="231F20"/>
          <w:spacing w:val="-3"/>
          <w:sz w:val="17"/>
        </w:rPr>
        <w:t xml:space="preserve"> </w:t>
      </w:r>
      <w:r>
        <w:rPr>
          <w:color w:val="231F20"/>
          <w:sz w:val="17"/>
        </w:rPr>
        <w:t>tourism:</w:t>
      </w:r>
      <w:r>
        <w:rPr>
          <w:color w:val="231F20"/>
          <w:spacing w:val="-3"/>
          <w:sz w:val="17"/>
        </w:rPr>
        <w:t xml:space="preserve"> </w:t>
      </w:r>
      <w:r>
        <w:rPr>
          <w:color w:val="231F20"/>
          <w:sz w:val="17"/>
        </w:rPr>
        <w:t>Who</w:t>
      </w:r>
      <w:r>
        <w:rPr>
          <w:color w:val="231F20"/>
          <w:spacing w:val="-3"/>
          <w:sz w:val="17"/>
        </w:rPr>
        <w:t xml:space="preserve"> </w:t>
      </w:r>
      <w:r>
        <w:rPr>
          <w:color w:val="231F20"/>
          <w:sz w:val="17"/>
        </w:rPr>
        <w:t>participates?</w:t>
      </w:r>
      <w:r>
        <w:rPr>
          <w:color w:val="231F20"/>
          <w:spacing w:val="-3"/>
          <w:sz w:val="17"/>
        </w:rPr>
        <w:t xml:space="preserve"> </w:t>
      </w:r>
      <w:r>
        <w:rPr>
          <w:i/>
          <w:color w:val="231F20"/>
          <w:sz w:val="17"/>
        </w:rPr>
        <w:t>Leisure</w:t>
      </w:r>
      <w:r>
        <w:rPr>
          <w:i/>
          <w:color w:val="231F20"/>
          <w:spacing w:val="-3"/>
          <w:sz w:val="17"/>
        </w:rPr>
        <w:t xml:space="preserve"> </w:t>
      </w:r>
      <w:r>
        <w:rPr>
          <w:i/>
          <w:color w:val="231F20"/>
          <w:sz w:val="17"/>
        </w:rPr>
        <w:t>Studies</w:t>
      </w:r>
      <w:r>
        <w:rPr>
          <w:i/>
          <w:color w:val="231F20"/>
          <w:spacing w:val="-3"/>
          <w:sz w:val="17"/>
        </w:rPr>
        <w:t xml:space="preserve"> </w:t>
      </w:r>
      <w:r>
        <w:rPr>
          <w:color w:val="231F20"/>
          <w:sz w:val="17"/>
        </w:rPr>
        <w:t>17,</w:t>
      </w:r>
      <w:r>
        <w:rPr>
          <w:color w:val="231F20"/>
          <w:spacing w:val="-3"/>
          <w:sz w:val="17"/>
        </w:rPr>
        <w:t xml:space="preserve"> </w:t>
      </w:r>
      <w:r>
        <w:rPr>
          <w:color w:val="231F20"/>
          <w:sz w:val="17"/>
        </w:rPr>
        <w:t>155–170.</w:t>
      </w:r>
      <w:r>
        <w:rPr>
          <w:color w:val="231F20"/>
          <w:spacing w:val="40"/>
          <w:sz w:val="17"/>
        </w:rPr>
        <w:t xml:space="preserve"> </w:t>
      </w:r>
      <w:r>
        <w:rPr>
          <w:color w:val="231F20"/>
          <w:sz w:val="17"/>
        </w:rPr>
        <w:t>Gibson,</w:t>
      </w:r>
      <w:r>
        <w:rPr>
          <w:color w:val="231F20"/>
          <w:spacing w:val="38"/>
          <w:sz w:val="17"/>
        </w:rPr>
        <w:t xml:space="preserve"> </w:t>
      </w:r>
      <w:r>
        <w:rPr>
          <w:color w:val="231F20"/>
          <w:sz w:val="17"/>
        </w:rPr>
        <w:t>H.J.</w:t>
      </w:r>
      <w:r>
        <w:rPr>
          <w:color w:val="231F20"/>
          <w:spacing w:val="38"/>
          <w:sz w:val="17"/>
        </w:rPr>
        <w:t xml:space="preserve"> </w:t>
      </w:r>
      <w:r>
        <w:rPr>
          <w:color w:val="231F20"/>
          <w:sz w:val="17"/>
        </w:rPr>
        <w:t>(1998c)</w:t>
      </w:r>
      <w:r>
        <w:rPr>
          <w:color w:val="231F20"/>
          <w:spacing w:val="38"/>
          <w:sz w:val="17"/>
        </w:rPr>
        <w:t xml:space="preserve"> </w:t>
      </w:r>
      <w:r>
        <w:rPr>
          <w:color w:val="231F20"/>
          <w:sz w:val="17"/>
        </w:rPr>
        <w:t>The</w:t>
      </w:r>
      <w:r>
        <w:rPr>
          <w:color w:val="231F20"/>
          <w:spacing w:val="38"/>
          <w:sz w:val="17"/>
        </w:rPr>
        <w:t xml:space="preserve"> </w:t>
      </w:r>
      <w:r>
        <w:rPr>
          <w:color w:val="231F20"/>
          <w:sz w:val="17"/>
        </w:rPr>
        <w:t>wide</w:t>
      </w:r>
      <w:r>
        <w:rPr>
          <w:color w:val="231F20"/>
          <w:spacing w:val="38"/>
          <w:sz w:val="17"/>
        </w:rPr>
        <w:t xml:space="preserve"> </w:t>
      </w:r>
      <w:r>
        <w:rPr>
          <w:color w:val="231F20"/>
          <w:sz w:val="17"/>
        </w:rPr>
        <w:t>world</w:t>
      </w:r>
      <w:r>
        <w:rPr>
          <w:color w:val="231F20"/>
          <w:spacing w:val="38"/>
          <w:sz w:val="17"/>
        </w:rPr>
        <w:t xml:space="preserve"> </w:t>
      </w:r>
      <w:r>
        <w:rPr>
          <w:color w:val="231F20"/>
          <w:sz w:val="17"/>
        </w:rPr>
        <w:t>of</w:t>
      </w:r>
      <w:r>
        <w:rPr>
          <w:color w:val="231F20"/>
          <w:spacing w:val="38"/>
          <w:sz w:val="17"/>
        </w:rPr>
        <w:t xml:space="preserve"> </w:t>
      </w:r>
      <w:r>
        <w:rPr>
          <w:color w:val="231F20"/>
          <w:sz w:val="17"/>
        </w:rPr>
        <w:t>sport</w:t>
      </w:r>
      <w:r>
        <w:rPr>
          <w:color w:val="231F20"/>
          <w:spacing w:val="38"/>
          <w:sz w:val="17"/>
        </w:rPr>
        <w:t xml:space="preserve"> </w:t>
      </w:r>
      <w:r>
        <w:rPr>
          <w:color w:val="231F20"/>
          <w:sz w:val="17"/>
        </w:rPr>
        <w:t>tourism.</w:t>
      </w:r>
      <w:r>
        <w:rPr>
          <w:color w:val="231F20"/>
          <w:spacing w:val="38"/>
          <w:sz w:val="17"/>
        </w:rPr>
        <w:t xml:space="preserve"> </w:t>
      </w:r>
      <w:r>
        <w:rPr>
          <w:i/>
          <w:color w:val="231F20"/>
          <w:sz w:val="17"/>
        </w:rPr>
        <w:t>Parks</w:t>
      </w:r>
      <w:r>
        <w:rPr>
          <w:i/>
          <w:color w:val="231F20"/>
          <w:spacing w:val="38"/>
          <w:sz w:val="17"/>
        </w:rPr>
        <w:t xml:space="preserve"> </w:t>
      </w:r>
      <w:r>
        <w:rPr>
          <w:i/>
          <w:color w:val="231F20"/>
          <w:sz w:val="17"/>
        </w:rPr>
        <w:t>and</w:t>
      </w:r>
      <w:r>
        <w:rPr>
          <w:i/>
          <w:color w:val="231F20"/>
          <w:spacing w:val="38"/>
          <w:sz w:val="17"/>
        </w:rPr>
        <w:t xml:space="preserve"> </w:t>
      </w:r>
      <w:r>
        <w:rPr>
          <w:i/>
          <w:color w:val="231F20"/>
          <w:sz w:val="17"/>
        </w:rPr>
        <w:t>Recreation</w:t>
      </w:r>
      <w:r>
        <w:rPr>
          <w:i/>
          <w:color w:val="231F20"/>
          <w:spacing w:val="38"/>
          <w:sz w:val="17"/>
        </w:rPr>
        <w:t xml:space="preserve"> </w:t>
      </w:r>
      <w:r>
        <w:rPr>
          <w:color w:val="231F20"/>
          <w:sz w:val="17"/>
        </w:rPr>
        <w:t>33</w:t>
      </w:r>
      <w:r>
        <w:rPr>
          <w:color w:val="231F20"/>
          <w:spacing w:val="38"/>
          <w:sz w:val="17"/>
        </w:rPr>
        <w:t xml:space="preserve"> </w:t>
      </w:r>
      <w:r>
        <w:rPr>
          <w:color w:val="231F20"/>
          <w:sz w:val="17"/>
        </w:rPr>
        <w:t>(9),</w:t>
      </w:r>
    </w:p>
    <w:p w14:paraId="744C5BF4" w14:textId="77777777" w:rsidR="00AE0598" w:rsidRDefault="0069255A">
      <w:pPr>
        <w:spacing w:before="1"/>
        <w:ind w:left="430"/>
        <w:rPr>
          <w:sz w:val="17"/>
        </w:rPr>
      </w:pPr>
      <w:r>
        <w:rPr>
          <w:color w:val="231F20"/>
          <w:spacing w:val="-2"/>
          <w:sz w:val="17"/>
        </w:rPr>
        <w:t>108–114.</w:t>
      </w:r>
    </w:p>
    <w:p w14:paraId="307093C8" w14:textId="77777777" w:rsidR="00AE0598" w:rsidRDefault="0069255A">
      <w:pPr>
        <w:spacing w:before="1"/>
        <w:ind w:left="430" w:right="127" w:hanging="320"/>
        <w:jc w:val="both"/>
        <w:rPr>
          <w:sz w:val="17"/>
        </w:rPr>
      </w:pPr>
      <w:r>
        <w:rPr>
          <w:color w:val="231F20"/>
          <w:sz w:val="17"/>
        </w:rPr>
        <w:t xml:space="preserve">Gibson, </w:t>
      </w:r>
      <w:r>
        <w:rPr>
          <w:color w:val="231F20"/>
          <w:w w:val="105"/>
          <w:sz w:val="17"/>
        </w:rPr>
        <w:t xml:space="preserve">H.J. </w:t>
      </w:r>
      <w:r>
        <w:rPr>
          <w:color w:val="231F20"/>
          <w:sz w:val="17"/>
        </w:rPr>
        <w:t>(2002) Sport tourism at a crossroad? Considerations for the future. In S.</w:t>
      </w:r>
      <w:r>
        <w:rPr>
          <w:color w:val="231F20"/>
          <w:spacing w:val="40"/>
          <w:sz w:val="17"/>
        </w:rPr>
        <w:t xml:space="preserve"> </w:t>
      </w:r>
      <w:r>
        <w:rPr>
          <w:color w:val="231F20"/>
          <w:sz w:val="17"/>
        </w:rPr>
        <w:t xml:space="preserve">Gammon and </w:t>
      </w:r>
      <w:r>
        <w:rPr>
          <w:color w:val="231F20"/>
          <w:w w:val="105"/>
          <w:sz w:val="17"/>
        </w:rPr>
        <w:t xml:space="preserve">J. </w:t>
      </w:r>
      <w:r>
        <w:rPr>
          <w:color w:val="231F20"/>
          <w:sz w:val="17"/>
        </w:rPr>
        <w:t xml:space="preserve">Kurtzman (eds) </w:t>
      </w:r>
      <w:r>
        <w:rPr>
          <w:i/>
          <w:color w:val="231F20"/>
          <w:sz w:val="17"/>
        </w:rPr>
        <w:t xml:space="preserve">Sport Tourism: Principles and Practice </w:t>
      </w:r>
      <w:r>
        <w:rPr>
          <w:color w:val="231F20"/>
          <w:sz w:val="17"/>
        </w:rPr>
        <w:t>(Vol. 76; pp.</w:t>
      </w:r>
      <w:r>
        <w:rPr>
          <w:color w:val="231F20"/>
          <w:spacing w:val="40"/>
          <w:sz w:val="17"/>
        </w:rPr>
        <w:t xml:space="preserve"> </w:t>
      </w:r>
      <w:r>
        <w:rPr>
          <w:color w:val="231F20"/>
          <w:sz w:val="17"/>
        </w:rPr>
        <w:t>111–128). Eastbourne: Leisure Studies Association.</w:t>
      </w:r>
    </w:p>
    <w:p w14:paraId="69E2281C" w14:textId="77777777" w:rsidR="00AE0598" w:rsidRDefault="0069255A">
      <w:pPr>
        <w:spacing w:before="2"/>
        <w:ind w:left="430" w:right="127" w:hanging="320"/>
        <w:jc w:val="both"/>
        <w:rPr>
          <w:sz w:val="17"/>
        </w:rPr>
      </w:pPr>
      <w:r>
        <w:rPr>
          <w:color w:val="231F20"/>
          <w:w w:val="105"/>
          <w:sz w:val="17"/>
        </w:rPr>
        <w:t>Gibson, H.J. (2005) Understanding sp</w:t>
      </w:r>
      <w:r>
        <w:rPr>
          <w:color w:val="231F20"/>
          <w:w w:val="105"/>
          <w:sz w:val="17"/>
        </w:rPr>
        <w:t>ort tourism experiences. In J.E.S. Higham (ed.)</w:t>
      </w:r>
      <w:r>
        <w:rPr>
          <w:color w:val="231F20"/>
          <w:spacing w:val="40"/>
          <w:w w:val="105"/>
          <w:sz w:val="17"/>
        </w:rPr>
        <w:t xml:space="preserve"> </w:t>
      </w:r>
      <w:r>
        <w:rPr>
          <w:i/>
          <w:color w:val="231F20"/>
          <w:sz w:val="17"/>
        </w:rPr>
        <w:t xml:space="preserve">Sport Tourism Destinations: Issues, Opportunities and Analysis </w:t>
      </w:r>
      <w:r>
        <w:rPr>
          <w:color w:val="231F20"/>
          <w:sz w:val="17"/>
        </w:rPr>
        <w:t>(pp. 57–72). Oxford:</w:t>
      </w:r>
      <w:r>
        <w:rPr>
          <w:color w:val="231F20"/>
          <w:spacing w:val="40"/>
          <w:w w:val="105"/>
          <w:sz w:val="17"/>
        </w:rPr>
        <w:t xml:space="preserve"> </w:t>
      </w:r>
      <w:r>
        <w:rPr>
          <w:color w:val="231F20"/>
          <w:w w:val="105"/>
          <w:sz w:val="17"/>
        </w:rPr>
        <w:t>Elseiver</w:t>
      </w:r>
      <w:r>
        <w:rPr>
          <w:color w:val="231F20"/>
          <w:spacing w:val="-9"/>
          <w:w w:val="105"/>
          <w:sz w:val="17"/>
        </w:rPr>
        <w:t xml:space="preserve"> </w:t>
      </w:r>
      <w:r>
        <w:rPr>
          <w:color w:val="231F20"/>
          <w:w w:val="105"/>
          <w:sz w:val="17"/>
        </w:rPr>
        <w:t>Butterworth</w:t>
      </w:r>
      <w:r>
        <w:rPr>
          <w:color w:val="231F20"/>
          <w:spacing w:val="-9"/>
          <w:w w:val="105"/>
          <w:sz w:val="17"/>
        </w:rPr>
        <w:t xml:space="preserve"> </w:t>
      </w:r>
      <w:r>
        <w:rPr>
          <w:color w:val="231F20"/>
          <w:w w:val="105"/>
          <w:sz w:val="17"/>
        </w:rPr>
        <w:t>Heinemann.</w:t>
      </w:r>
    </w:p>
    <w:p w14:paraId="2429ACD0" w14:textId="77777777" w:rsidR="00AE0598" w:rsidRDefault="0069255A">
      <w:pPr>
        <w:spacing w:before="2"/>
        <w:ind w:left="110"/>
        <w:jc w:val="both"/>
        <w:rPr>
          <w:sz w:val="17"/>
        </w:rPr>
      </w:pPr>
      <w:r>
        <w:rPr>
          <w:color w:val="231F20"/>
          <w:sz w:val="17"/>
        </w:rPr>
        <w:t>Gibson,</w:t>
      </w:r>
      <w:r>
        <w:rPr>
          <w:color w:val="231F20"/>
          <w:spacing w:val="14"/>
          <w:sz w:val="17"/>
        </w:rPr>
        <w:t xml:space="preserve"> </w:t>
      </w:r>
      <w:r>
        <w:rPr>
          <w:color w:val="231F20"/>
          <w:sz w:val="17"/>
        </w:rPr>
        <w:t>H.J.</w:t>
      </w:r>
      <w:r>
        <w:rPr>
          <w:color w:val="231F20"/>
          <w:spacing w:val="14"/>
          <w:sz w:val="17"/>
        </w:rPr>
        <w:t xml:space="preserve"> </w:t>
      </w:r>
      <w:r>
        <w:rPr>
          <w:color w:val="231F20"/>
          <w:sz w:val="17"/>
        </w:rPr>
        <w:t>(ed.)</w:t>
      </w:r>
      <w:r>
        <w:rPr>
          <w:color w:val="231F20"/>
          <w:spacing w:val="14"/>
          <w:sz w:val="17"/>
        </w:rPr>
        <w:t xml:space="preserve"> </w:t>
      </w:r>
      <w:r>
        <w:rPr>
          <w:color w:val="231F20"/>
          <w:sz w:val="17"/>
        </w:rPr>
        <w:t>(2006)</w:t>
      </w:r>
      <w:r>
        <w:rPr>
          <w:color w:val="231F20"/>
          <w:spacing w:val="14"/>
          <w:sz w:val="17"/>
        </w:rPr>
        <w:t xml:space="preserve"> </w:t>
      </w:r>
      <w:r>
        <w:rPr>
          <w:i/>
          <w:color w:val="231F20"/>
          <w:sz w:val="17"/>
        </w:rPr>
        <w:t>Sport</w:t>
      </w:r>
      <w:r>
        <w:rPr>
          <w:i/>
          <w:color w:val="231F20"/>
          <w:spacing w:val="15"/>
          <w:sz w:val="17"/>
        </w:rPr>
        <w:t xml:space="preserve"> </w:t>
      </w:r>
      <w:r>
        <w:rPr>
          <w:i/>
          <w:color w:val="231F20"/>
          <w:sz w:val="17"/>
        </w:rPr>
        <w:t>Tourism:</w:t>
      </w:r>
      <w:r>
        <w:rPr>
          <w:i/>
          <w:color w:val="231F20"/>
          <w:spacing w:val="14"/>
          <w:sz w:val="17"/>
        </w:rPr>
        <w:t xml:space="preserve"> </w:t>
      </w:r>
      <w:r>
        <w:rPr>
          <w:i/>
          <w:color w:val="231F20"/>
          <w:sz w:val="17"/>
        </w:rPr>
        <w:t>Concepts</w:t>
      </w:r>
      <w:r>
        <w:rPr>
          <w:i/>
          <w:color w:val="231F20"/>
          <w:spacing w:val="14"/>
          <w:sz w:val="17"/>
        </w:rPr>
        <w:t xml:space="preserve"> </w:t>
      </w:r>
      <w:r>
        <w:rPr>
          <w:i/>
          <w:color w:val="231F20"/>
          <w:sz w:val="17"/>
        </w:rPr>
        <w:t>and</w:t>
      </w:r>
      <w:r>
        <w:rPr>
          <w:i/>
          <w:color w:val="231F20"/>
          <w:spacing w:val="14"/>
          <w:sz w:val="17"/>
        </w:rPr>
        <w:t xml:space="preserve"> </w:t>
      </w:r>
      <w:r>
        <w:rPr>
          <w:i/>
          <w:color w:val="231F20"/>
          <w:sz w:val="17"/>
        </w:rPr>
        <w:t>Theories</w:t>
      </w:r>
      <w:r>
        <w:rPr>
          <w:color w:val="231F20"/>
          <w:sz w:val="17"/>
        </w:rPr>
        <w:t>.</w:t>
      </w:r>
      <w:r>
        <w:rPr>
          <w:color w:val="231F20"/>
          <w:spacing w:val="15"/>
          <w:sz w:val="17"/>
        </w:rPr>
        <w:t xml:space="preserve"> </w:t>
      </w:r>
      <w:r>
        <w:rPr>
          <w:color w:val="231F20"/>
          <w:sz w:val="17"/>
        </w:rPr>
        <w:t>London:</w:t>
      </w:r>
      <w:r>
        <w:rPr>
          <w:color w:val="231F20"/>
          <w:spacing w:val="14"/>
          <w:sz w:val="17"/>
        </w:rPr>
        <w:t xml:space="preserve"> </w:t>
      </w:r>
      <w:r>
        <w:rPr>
          <w:color w:val="231F20"/>
          <w:spacing w:val="-2"/>
          <w:sz w:val="17"/>
        </w:rPr>
        <w:t>Routledge.</w:t>
      </w:r>
    </w:p>
    <w:p w14:paraId="6DD77DF4" w14:textId="77777777" w:rsidR="00AE0598" w:rsidRDefault="0069255A">
      <w:pPr>
        <w:spacing w:before="1"/>
        <w:ind w:left="430" w:right="128" w:hanging="320"/>
        <w:jc w:val="both"/>
        <w:rPr>
          <w:sz w:val="17"/>
        </w:rPr>
      </w:pPr>
      <w:r>
        <w:rPr>
          <w:color w:val="231F20"/>
          <w:sz w:val="17"/>
        </w:rPr>
        <w:t xml:space="preserve">Gibson, </w:t>
      </w:r>
      <w:r>
        <w:rPr>
          <w:color w:val="231F20"/>
          <w:w w:val="110"/>
          <w:sz w:val="17"/>
        </w:rPr>
        <w:t xml:space="preserve">H.J., </w:t>
      </w:r>
      <w:r>
        <w:rPr>
          <w:color w:val="231F20"/>
          <w:sz w:val="17"/>
        </w:rPr>
        <w:t>Attle, S.P. and Yiannakis, A. (1998) Segmenting the active sport tourist</w:t>
      </w:r>
      <w:r>
        <w:rPr>
          <w:color w:val="231F20"/>
          <w:spacing w:val="40"/>
          <w:sz w:val="17"/>
        </w:rPr>
        <w:t xml:space="preserve"> </w:t>
      </w:r>
      <w:r>
        <w:rPr>
          <w:color w:val="231F20"/>
          <w:sz w:val="17"/>
        </w:rPr>
        <w:t xml:space="preserve">market: A life-span perspective. </w:t>
      </w:r>
      <w:r>
        <w:rPr>
          <w:i/>
          <w:color w:val="231F20"/>
          <w:sz w:val="17"/>
        </w:rPr>
        <w:t xml:space="preserve">Journal of Vacation Marketing </w:t>
      </w:r>
      <w:r>
        <w:rPr>
          <w:color w:val="231F20"/>
          <w:sz w:val="17"/>
        </w:rPr>
        <w:t>4 (1), 52–64.</w:t>
      </w:r>
    </w:p>
    <w:p w14:paraId="7F07E409" w14:textId="77777777" w:rsidR="00AE0598" w:rsidRDefault="0069255A">
      <w:pPr>
        <w:spacing w:before="1"/>
        <w:ind w:left="430" w:right="127" w:hanging="320"/>
        <w:jc w:val="both"/>
        <w:rPr>
          <w:sz w:val="17"/>
        </w:rPr>
      </w:pPr>
      <w:r>
        <w:rPr>
          <w:color w:val="231F20"/>
          <w:sz w:val="17"/>
        </w:rPr>
        <w:t>Gibson,</w:t>
      </w:r>
      <w:r>
        <w:rPr>
          <w:color w:val="231F20"/>
          <w:spacing w:val="-1"/>
          <w:sz w:val="17"/>
        </w:rPr>
        <w:t xml:space="preserve"> </w:t>
      </w:r>
      <w:r>
        <w:rPr>
          <w:color w:val="231F20"/>
          <w:w w:val="105"/>
          <w:sz w:val="17"/>
        </w:rPr>
        <w:t>H.J.,</w:t>
      </w:r>
      <w:r>
        <w:rPr>
          <w:color w:val="231F20"/>
          <w:spacing w:val="-3"/>
          <w:w w:val="105"/>
          <w:sz w:val="17"/>
        </w:rPr>
        <w:t xml:space="preserve"> </w:t>
      </w:r>
      <w:r>
        <w:rPr>
          <w:color w:val="231F20"/>
          <w:sz w:val="17"/>
        </w:rPr>
        <w:t>Willming,</w:t>
      </w:r>
      <w:r>
        <w:rPr>
          <w:color w:val="231F20"/>
          <w:spacing w:val="-1"/>
          <w:sz w:val="17"/>
        </w:rPr>
        <w:t xml:space="preserve"> </w:t>
      </w:r>
      <w:r>
        <w:rPr>
          <w:color w:val="231F20"/>
          <w:w w:val="105"/>
          <w:sz w:val="17"/>
        </w:rPr>
        <w:t>C.</w:t>
      </w:r>
      <w:r>
        <w:rPr>
          <w:color w:val="231F20"/>
          <w:spacing w:val="-3"/>
          <w:w w:val="105"/>
          <w:sz w:val="17"/>
        </w:rPr>
        <w:t xml:space="preserve"> </w:t>
      </w:r>
      <w:r>
        <w:rPr>
          <w:color w:val="231F20"/>
          <w:sz w:val="17"/>
        </w:rPr>
        <w:t>and</w:t>
      </w:r>
      <w:r>
        <w:rPr>
          <w:color w:val="231F20"/>
          <w:spacing w:val="-1"/>
          <w:sz w:val="17"/>
        </w:rPr>
        <w:t xml:space="preserve"> </w:t>
      </w:r>
      <w:r>
        <w:rPr>
          <w:color w:val="231F20"/>
          <w:sz w:val="17"/>
        </w:rPr>
        <w:t>Holdnak,</w:t>
      </w:r>
      <w:r>
        <w:rPr>
          <w:color w:val="231F20"/>
          <w:spacing w:val="-1"/>
          <w:sz w:val="17"/>
        </w:rPr>
        <w:t xml:space="preserve"> </w:t>
      </w:r>
      <w:r>
        <w:rPr>
          <w:color w:val="231F20"/>
          <w:w w:val="105"/>
          <w:sz w:val="17"/>
        </w:rPr>
        <w:t>A.</w:t>
      </w:r>
      <w:r>
        <w:rPr>
          <w:color w:val="231F20"/>
          <w:spacing w:val="-3"/>
          <w:w w:val="105"/>
          <w:sz w:val="17"/>
        </w:rPr>
        <w:t xml:space="preserve"> </w:t>
      </w:r>
      <w:r>
        <w:rPr>
          <w:color w:val="231F20"/>
          <w:sz w:val="17"/>
        </w:rPr>
        <w:t>(2002)</w:t>
      </w:r>
      <w:r>
        <w:rPr>
          <w:color w:val="231F20"/>
          <w:spacing w:val="-1"/>
          <w:sz w:val="17"/>
        </w:rPr>
        <w:t xml:space="preserve"> </w:t>
      </w:r>
      <w:r>
        <w:rPr>
          <w:color w:val="231F20"/>
          <w:sz w:val="17"/>
        </w:rPr>
        <w:t>Small-scale</w:t>
      </w:r>
      <w:r>
        <w:rPr>
          <w:color w:val="231F20"/>
          <w:spacing w:val="-1"/>
          <w:sz w:val="17"/>
        </w:rPr>
        <w:t xml:space="preserve"> </w:t>
      </w:r>
      <w:r>
        <w:rPr>
          <w:color w:val="231F20"/>
          <w:sz w:val="17"/>
        </w:rPr>
        <w:t>event</w:t>
      </w:r>
      <w:r>
        <w:rPr>
          <w:color w:val="231F20"/>
          <w:spacing w:val="-1"/>
          <w:sz w:val="17"/>
        </w:rPr>
        <w:t xml:space="preserve"> </w:t>
      </w:r>
      <w:r>
        <w:rPr>
          <w:color w:val="231F20"/>
          <w:sz w:val="17"/>
        </w:rPr>
        <w:t>sport</w:t>
      </w:r>
      <w:r>
        <w:rPr>
          <w:color w:val="231F20"/>
          <w:spacing w:val="-1"/>
          <w:sz w:val="17"/>
        </w:rPr>
        <w:t xml:space="preserve"> </w:t>
      </w:r>
      <w:r>
        <w:rPr>
          <w:color w:val="231F20"/>
          <w:sz w:val="17"/>
        </w:rPr>
        <w:t>tourism:</w:t>
      </w:r>
      <w:r>
        <w:rPr>
          <w:color w:val="231F20"/>
          <w:spacing w:val="-1"/>
          <w:sz w:val="17"/>
        </w:rPr>
        <w:t xml:space="preserve"> </w:t>
      </w:r>
      <w:r>
        <w:rPr>
          <w:color w:val="231F20"/>
          <w:sz w:val="17"/>
        </w:rPr>
        <w:t>College</w:t>
      </w:r>
      <w:r>
        <w:rPr>
          <w:color w:val="231F20"/>
          <w:spacing w:val="40"/>
          <w:sz w:val="17"/>
        </w:rPr>
        <w:t xml:space="preserve"> </w:t>
      </w:r>
      <w:r>
        <w:rPr>
          <w:color w:val="231F20"/>
          <w:sz w:val="17"/>
        </w:rPr>
        <w:t xml:space="preserve">sport as a tourist attraction. In S. Gammon and </w:t>
      </w:r>
      <w:r>
        <w:rPr>
          <w:color w:val="231F20"/>
          <w:w w:val="110"/>
          <w:sz w:val="17"/>
        </w:rPr>
        <w:t xml:space="preserve">J. </w:t>
      </w:r>
      <w:r>
        <w:rPr>
          <w:color w:val="231F20"/>
          <w:sz w:val="17"/>
        </w:rPr>
        <w:t xml:space="preserve">Kurtzman (eds) </w:t>
      </w:r>
      <w:r>
        <w:rPr>
          <w:i/>
          <w:color w:val="231F20"/>
          <w:sz w:val="17"/>
        </w:rPr>
        <w:t>Sport Tourism:</w:t>
      </w:r>
      <w:r>
        <w:rPr>
          <w:i/>
          <w:color w:val="231F20"/>
          <w:spacing w:val="40"/>
          <w:sz w:val="17"/>
        </w:rPr>
        <w:t xml:space="preserve"> </w:t>
      </w:r>
      <w:r>
        <w:rPr>
          <w:i/>
          <w:color w:val="231F20"/>
          <w:sz w:val="17"/>
        </w:rPr>
        <w:t xml:space="preserve">Principles and Practice </w:t>
      </w:r>
      <w:r>
        <w:rPr>
          <w:color w:val="231F20"/>
          <w:sz w:val="17"/>
        </w:rPr>
        <w:t>(pp. 3–18). Eastbourne: Leisure Studies Association.</w:t>
      </w:r>
    </w:p>
    <w:p w14:paraId="6CC42AC6" w14:textId="77777777" w:rsidR="00AE0598" w:rsidRDefault="0069255A">
      <w:pPr>
        <w:spacing w:before="2"/>
        <w:ind w:left="430" w:right="130" w:hanging="320"/>
        <w:jc w:val="both"/>
        <w:rPr>
          <w:sz w:val="17"/>
        </w:rPr>
      </w:pPr>
      <w:r>
        <w:rPr>
          <w:color w:val="231F20"/>
          <w:sz w:val="17"/>
        </w:rPr>
        <w:t xml:space="preserve">Gibson, </w:t>
      </w:r>
      <w:r>
        <w:rPr>
          <w:color w:val="231F20"/>
          <w:w w:val="110"/>
          <w:sz w:val="17"/>
        </w:rPr>
        <w:t>H.J.,</w:t>
      </w:r>
      <w:r>
        <w:rPr>
          <w:color w:val="231F20"/>
          <w:spacing w:val="-2"/>
          <w:w w:val="110"/>
          <w:sz w:val="17"/>
        </w:rPr>
        <w:t xml:space="preserve"> </w:t>
      </w:r>
      <w:r>
        <w:rPr>
          <w:color w:val="231F20"/>
          <w:sz w:val="17"/>
        </w:rPr>
        <w:t xml:space="preserve">Kaplanidou, </w:t>
      </w:r>
      <w:r>
        <w:rPr>
          <w:color w:val="231F20"/>
          <w:w w:val="110"/>
          <w:sz w:val="17"/>
        </w:rPr>
        <w:t>K.</w:t>
      </w:r>
      <w:r>
        <w:rPr>
          <w:color w:val="231F20"/>
          <w:spacing w:val="-2"/>
          <w:w w:val="110"/>
          <w:sz w:val="17"/>
        </w:rPr>
        <w:t xml:space="preserve"> </w:t>
      </w:r>
      <w:r>
        <w:rPr>
          <w:color w:val="231F20"/>
          <w:sz w:val="17"/>
        </w:rPr>
        <w:t xml:space="preserve">and Kang, </w:t>
      </w:r>
      <w:r>
        <w:rPr>
          <w:color w:val="231F20"/>
          <w:w w:val="110"/>
          <w:sz w:val="17"/>
        </w:rPr>
        <w:t>S.J.</w:t>
      </w:r>
      <w:r>
        <w:rPr>
          <w:color w:val="231F20"/>
          <w:spacing w:val="-2"/>
          <w:w w:val="110"/>
          <w:sz w:val="17"/>
        </w:rPr>
        <w:t xml:space="preserve"> </w:t>
      </w:r>
      <w:r>
        <w:rPr>
          <w:color w:val="231F20"/>
          <w:sz w:val="17"/>
        </w:rPr>
        <w:t>(2012) Small-scale event sport tourism: A case</w:t>
      </w:r>
      <w:r>
        <w:rPr>
          <w:color w:val="231F20"/>
          <w:spacing w:val="40"/>
          <w:sz w:val="17"/>
        </w:rPr>
        <w:t xml:space="preserve"> </w:t>
      </w:r>
      <w:r>
        <w:rPr>
          <w:color w:val="231F20"/>
          <w:sz w:val="17"/>
        </w:rPr>
        <w:t xml:space="preserve">study in sustainable tourism. </w:t>
      </w:r>
      <w:r>
        <w:rPr>
          <w:i/>
          <w:color w:val="231F20"/>
          <w:sz w:val="17"/>
        </w:rPr>
        <w:t xml:space="preserve">Sport Management Review </w:t>
      </w:r>
      <w:r>
        <w:rPr>
          <w:color w:val="231F20"/>
          <w:sz w:val="17"/>
        </w:rPr>
        <w:t>15 (2), 160–170.</w:t>
      </w:r>
    </w:p>
    <w:p w14:paraId="3CA9D15C" w14:textId="77777777" w:rsidR="00AE0598" w:rsidRDefault="0069255A">
      <w:pPr>
        <w:spacing w:before="2"/>
        <w:ind w:left="430" w:right="127" w:hanging="320"/>
        <w:jc w:val="both"/>
        <w:rPr>
          <w:sz w:val="17"/>
        </w:rPr>
      </w:pPr>
      <w:r>
        <w:rPr>
          <w:color w:val="231F20"/>
          <w:sz w:val="17"/>
        </w:rPr>
        <w:t>Gibson,</w:t>
      </w:r>
      <w:r>
        <w:rPr>
          <w:color w:val="231F20"/>
          <w:spacing w:val="32"/>
          <w:sz w:val="17"/>
        </w:rPr>
        <w:t xml:space="preserve"> </w:t>
      </w:r>
      <w:r>
        <w:rPr>
          <w:color w:val="231F20"/>
          <w:sz w:val="17"/>
        </w:rPr>
        <w:t>O.</w:t>
      </w:r>
      <w:r>
        <w:rPr>
          <w:color w:val="231F20"/>
          <w:spacing w:val="32"/>
          <w:sz w:val="17"/>
        </w:rPr>
        <w:t xml:space="preserve"> </w:t>
      </w:r>
      <w:r>
        <w:rPr>
          <w:color w:val="231F20"/>
          <w:sz w:val="17"/>
        </w:rPr>
        <w:t>(2012)</w:t>
      </w:r>
      <w:r>
        <w:rPr>
          <w:color w:val="231F20"/>
          <w:spacing w:val="32"/>
          <w:sz w:val="17"/>
        </w:rPr>
        <w:t xml:space="preserve"> </w:t>
      </w:r>
      <w:r>
        <w:rPr>
          <w:color w:val="231F20"/>
          <w:sz w:val="17"/>
        </w:rPr>
        <w:t>Premier</w:t>
      </w:r>
      <w:r>
        <w:rPr>
          <w:color w:val="231F20"/>
          <w:spacing w:val="32"/>
          <w:sz w:val="17"/>
        </w:rPr>
        <w:t xml:space="preserve"> </w:t>
      </w:r>
      <w:r>
        <w:rPr>
          <w:color w:val="231F20"/>
          <w:sz w:val="17"/>
        </w:rPr>
        <w:t>League</w:t>
      </w:r>
      <w:r>
        <w:rPr>
          <w:color w:val="231F20"/>
          <w:spacing w:val="32"/>
          <w:sz w:val="17"/>
        </w:rPr>
        <w:t xml:space="preserve"> </w:t>
      </w:r>
      <w:r>
        <w:rPr>
          <w:color w:val="231F20"/>
          <w:sz w:val="17"/>
        </w:rPr>
        <w:t>Lands</w:t>
      </w:r>
      <w:r>
        <w:rPr>
          <w:color w:val="231F20"/>
          <w:spacing w:val="32"/>
          <w:sz w:val="17"/>
        </w:rPr>
        <w:t xml:space="preserve"> </w:t>
      </w:r>
      <w:r>
        <w:rPr>
          <w:color w:val="231F20"/>
          <w:sz w:val="17"/>
        </w:rPr>
        <w:t>£3bn</w:t>
      </w:r>
      <w:r>
        <w:rPr>
          <w:color w:val="231F20"/>
          <w:spacing w:val="32"/>
          <w:sz w:val="17"/>
        </w:rPr>
        <w:t xml:space="preserve"> </w:t>
      </w:r>
      <w:r>
        <w:rPr>
          <w:color w:val="231F20"/>
          <w:sz w:val="17"/>
        </w:rPr>
        <w:t>TV</w:t>
      </w:r>
      <w:r>
        <w:rPr>
          <w:color w:val="231F20"/>
          <w:spacing w:val="32"/>
          <w:sz w:val="17"/>
        </w:rPr>
        <w:t xml:space="preserve"> </w:t>
      </w:r>
      <w:r>
        <w:rPr>
          <w:color w:val="231F20"/>
          <w:sz w:val="17"/>
        </w:rPr>
        <w:t>Rights</w:t>
      </w:r>
      <w:r>
        <w:rPr>
          <w:color w:val="231F20"/>
          <w:spacing w:val="32"/>
          <w:sz w:val="17"/>
        </w:rPr>
        <w:t xml:space="preserve"> </w:t>
      </w:r>
      <w:r>
        <w:rPr>
          <w:color w:val="231F20"/>
          <w:sz w:val="17"/>
        </w:rPr>
        <w:t>Bonanza</w:t>
      </w:r>
      <w:r>
        <w:rPr>
          <w:color w:val="231F20"/>
          <w:spacing w:val="32"/>
          <w:sz w:val="17"/>
        </w:rPr>
        <w:t xml:space="preserve"> </w:t>
      </w:r>
      <w:r>
        <w:rPr>
          <w:color w:val="231F20"/>
          <w:sz w:val="17"/>
        </w:rPr>
        <w:t>from</w:t>
      </w:r>
      <w:r>
        <w:rPr>
          <w:color w:val="231F20"/>
          <w:spacing w:val="32"/>
          <w:sz w:val="17"/>
        </w:rPr>
        <w:t xml:space="preserve"> </w:t>
      </w:r>
      <w:r>
        <w:rPr>
          <w:color w:val="231F20"/>
          <w:sz w:val="17"/>
        </w:rPr>
        <w:t>Sky</w:t>
      </w:r>
      <w:r>
        <w:rPr>
          <w:color w:val="231F20"/>
          <w:spacing w:val="32"/>
          <w:sz w:val="17"/>
        </w:rPr>
        <w:t xml:space="preserve"> </w:t>
      </w:r>
      <w:r>
        <w:rPr>
          <w:color w:val="231F20"/>
          <w:sz w:val="17"/>
        </w:rPr>
        <w:t>and</w:t>
      </w:r>
      <w:r>
        <w:rPr>
          <w:color w:val="231F20"/>
          <w:spacing w:val="32"/>
          <w:sz w:val="17"/>
        </w:rPr>
        <w:t xml:space="preserve"> </w:t>
      </w:r>
      <w:r>
        <w:rPr>
          <w:color w:val="231F20"/>
          <w:sz w:val="17"/>
        </w:rPr>
        <w:t>BT.</w:t>
      </w:r>
      <w:r>
        <w:rPr>
          <w:color w:val="231F20"/>
          <w:spacing w:val="40"/>
          <w:sz w:val="17"/>
        </w:rPr>
        <w:t xml:space="preserve"> </w:t>
      </w:r>
      <w:r>
        <w:rPr>
          <w:i/>
          <w:color w:val="231F20"/>
          <w:w w:val="95"/>
          <w:sz w:val="17"/>
        </w:rPr>
        <w:t>The Guardian</w:t>
      </w:r>
      <w:r>
        <w:rPr>
          <w:color w:val="231F20"/>
          <w:w w:val="95"/>
          <w:sz w:val="17"/>
        </w:rPr>
        <w:t xml:space="preserve">. See </w:t>
      </w:r>
      <w:hyperlink r:id="rId49">
        <w:r>
          <w:rPr>
            <w:color w:val="231F20"/>
            <w:spacing w:val="-3"/>
            <w:w w:val="99"/>
            <w:sz w:val="17"/>
          </w:rPr>
          <w:t>h</w:t>
        </w:r>
        <w:r>
          <w:rPr>
            <w:color w:val="231F20"/>
            <w:spacing w:val="1"/>
            <w:w w:val="99"/>
            <w:sz w:val="17"/>
          </w:rPr>
          <w:t>tt</w:t>
        </w:r>
        <w:r>
          <w:rPr>
            <w:color w:val="231F20"/>
            <w:spacing w:val="-4"/>
            <w:w w:val="99"/>
            <w:sz w:val="17"/>
          </w:rPr>
          <w:t>p</w:t>
        </w:r>
        <w:r>
          <w:rPr>
            <w:color w:val="231F20"/>
            <w:spacing w:val="2"/>
            <w:w w:val="106"/>
            <w:sz w:val="17"/>
          </w:rPr>
          <w:t>:</w:t>
        </w:r>
        <w:r>
          <w:rPr>
            <w:color w:val="231F20"/>
            <w:spacing w:val="-6"/>
            <w:w w:val="61"/>
            <w:sz w:val="17"/>
          </w:rPr>
          <w:t>/</w:t>
        </w:r>
        <w:r>
          <w:rPr>
            <w:color w:val="231F20"/>
            <w:spacing w:val="-3"/>
            <w:w w:val="85"/>
            <w:sz w:val="17"/>
          </w:rPr>
          <w:t>/</w:t>
        </w:r>
        <w:r>
          <w:rPr>
            <w:color w:val="231F20"/>
            <w:spacing w:val="1"/>
            <w:w w:val="85"/>
            <w:sz w:val="17"/>
          </w:rPr>
          <w:t>w</w:t>
        </w:r>
        <w:r>
          <w:rPr>
            <w:color w:val="231F20"/>
            <w:spacing w:val="1"/>
            <w:sz w:val="17"/>
          </w:rPr>
          <w:t>w</w:t>
        </w:r>
        <w:r>
          <w:rPr>
            <w:color w:val="231F20"/>
            <w:spacing w:val="-11"/>
            <w:sz w:val="17"/>
          </w:rPr>
          <w:t>w</w:t>
        </w:r>
        <w:r>
          <w:rPr>
            <w:color w:val="231F20"/>
            <w:spacing w:val="-3"/>
            <w:w w:val="113"/>
            <w:sz w:val="17"/>
          </w:rPr>
          <w:t>.</w:t>
        </w:r>
        <w:r>
          <w:rPr>
            <w:color w:val="231F20"/>
            <w:w w:val="113"/>
            <w:sz w:val="17"/>
          </w:rPr>
          <w:t>t</w:t>
        </w:r>
        <w:r>
          <w:rPr>
            <w:color w:val="231F20"/>
            <w:spacing w:val="-2"/>
            <w:sz w:val="17"/>
          </w:rPr>
          <w:t>h</w:t>
        </w:r>
        <w:r>
          <w:rPr>
            <w:color w:val="231F20"/>
            <w:spacing w:val="-1"/>
            <w:w w:val="91"/>
            <w:sz w:val="17"/>
          </w:rPr>
          <w:t>e</w:t>
        </w:r>
        <w:r>
          <w:rPr>
            <w:color w:val="231F20"/>
            <w:spacing w:val="2"/>
            <w:sz w:val="17"/>
          </w:rPr>
          <w:t>g</w:t>
        </w:r>
        <w:r>
          <w:rPr>
            <w:color w:val="231F20"/>
            <w:spacing w:val="-1"/>
            <w:sz w:val="17"/>
          </w:rPr>
          <w:t>u</w:t>
        </w:r>
        <w:r>
          <w:rPr>
            <w:color w:val="231F20"/>
            <w:w w:val="102"/>
            <w:sz w:val="17"/>
          </w:rPr>
          <w:t>a</w:t>
        </w:r>
        <w:r>
          <w:rPr>
            <w:color w:val="231F20"/>
            <w:spacing w:val="-4"/>
            <w:w w:val="94"/>
            <w:sz w:val="17"/>
          </w:rPr>
          <w:t>r</w:t>
        </w:r>
        <w:r>
          <w:rPr>
            <w:color w:val="231F20"/>
            <w:spacing w:val="1"/>
            <w:w w:val="99"/>
            <w:sz w:val="17"/>
          </w:rPr>
          <w:t>d</w:t>
        </w:r>
        <w:r>
          <w:rPr>
            <w:color w:val="231F20"/>
            <w:spacing w:val="-2"/>
            <w:w w:val="101"/>
            <w:sz w:val="17"/>
          </w:rPr>
          <w:t>i</w:t>
        </w:r>
        <w:r>
          <w:rPr>
            <w:color w:val="231F20"/>
            <w:w w:val="102"/>
            <w:sz w:val="17"/>
          </w:rPr>
          <w:t>a</w:t>
        </w:r>
        <w:r>
          <w:rPr>
            <w:color w:val="231F20"/>
            <w:spacing w:val="-1"/>
            <w:w w:val="99"/>
            <w:sz w:val="17"/>
          </w:rPr>
          <w:t>n</w:t>
        </w:r>
        <w:r>
          <w:rPr>
            <w:color w:val="231F20"/>
            <w:spacing w:val="-2"/>
            <w:w w:val="136"/>
            <w:sz w:val="17"/>
          </w:rPr>
          <w:t>.</w:t>
        </w:r>
        <w:r>
          <w:rPr>
            <w:color w:val="231F20"/>
            <w:spacing w:val="-2"/>
            <w:sz w:val="17"/>
          </w:rPr>
          <w:t>c</w:t>
        </w:r>
        <w:r>
          <w:rPr>
            <w:color w:val="231F20"/>
            <w:spacing w:val="-3"/>
            <w:w w:val="101"/>
            <w:sz w:val="17"/>
          </w:rPr>
          <w:t>o</w:t>
        </w:r>
        <w:r>
          <w:rPr>
            <w:color w:val="231F20"/>
            <w:spacing w:val="5"/>
            <w:w w:val="101"/>
            <w:sz w:val="17"/>
          </w:rPr>
          <w:t>m</w:t>
        </w:r>
        <w:r>
          <w:rPr>
            <w:color w:val="231F20"/>
            <w:spacing w:val="-6"/>
            <w:w w:val="61"/>
            <w:sz w:val="17"/>
          </w:rPr>
          <w:t>/</w:t>
        </w:r>
        <w:r>
          <w:rPr>
            <w:color w:val="231F20"/>
            <w:spacing w:val="-2"/>
            <w:sz w:val="17"/>
          </w:rPr>
          <w:t>m</w:t>
        </w:r>
        <w:r>
          <w:rPr>
            <w:color w:val="231F20"/>
            <w:w w:val="91"/>
            <w:sz w:val="17"/>
          </w:rPr>
          <w:t>e</w:t>
        </w:r>
        <w:r>
          <w:rPr>
            <w:color w:val="231F20"/>
            <w:spacing w:val="1"/>
            <w:w w:val="99"/>
            <w:sz w:val="17"/>
          </w:rPr>
          <w:t>d</w:t>
        </w:r>
        <w:r>
          <w:rPr>
            <w:color w:val="231F20"/>
            <w:spacing w:val="-2"/>
            <w:w w:val="101"/>
            <w:sz w:val="17"/>
          </w:rPr>
          <w:t>i</w:t>
        </w:r>
        <w:r>
          <w:rPr>
            <w:color w:val="231F20"/>
            <w:spacing w:val="4"/>
            <w:w w:val="102"/>
            <w:sz w:val="17"/>
          </w:rPr>
          <w:t>a</w:t>
        </w:r>
        <w:r>
          <w:rPr>
            <w:color w:val="231F20"/>
            <w:spacing w:val="1"/>
            <w:w w:val="61"/>
            <w:sz w:val="17"/>
          </w:rPr>
          <w:t>/</w:t>
        </w:r>
        <w:r>
          <w:rPr>
            <w:color w:val="231F20"/>
            <w:spacing w:val="4"/>
            <w:w w:val="90"/>
            <w:sz w:val="17"/>
          </w:rPr>
          <w:t>2</w:t>
        </w:r>
        <w:r>
          <w:rPr>
            <w:color w:val="231F20"/>
            <w:spacing w:val="-2"/>
            <w:w w:val="90"/>
            <w:sz w:val="17"/>
          </w:rPr>
          <w:t>0</w:t>
        </w:r>
        <w:r>
          <w:rPr>
            <w:color w:val="231F20"/>
            <w:spacing w:val="2"/>
            <w:w w:val="90"/>
            <w:sz w:val="17"/>
          </w:rPr>
          <w:t>1</w:t>
        </w:r>
        <w:r>
          <w:rPr>
            <w:color w:val="231F20"/>
            <w:spacing w:val="6"/>
            <w:w w:val="90"/>
            <w:sz w:val="17"/>
          </w:rPr>
          <w:t>2</w:t>
        </w:r>
        <w:r>
          <w:rPr>
            <w:color w:val="231F20"/>
            <w:spacing w:val="-2"/>
            <w:w w:val="61"/>
            <w:sz w:val="17"/>
          </w:rPr>
          <w:t>/</w:t>
        </w:r>
        <w:r>
          <w:rPr>
            <w:color w:val="231F20"/>
            <w:spacing w:val="-5"/>
            <w:w w:val="105"/>
            <w:sz w:val="17"/>
          </w:rPr>
          <w:t>j</w:t>
        </w:r>
        <w:r>
          <w:rPr>
            <w:color w:val="231F20"/>
            <w:spacing w:val="1"/>
            <w:sz w:val="17"/>
          </w:rPr>
          <w:t>u</w:t>
        </w:r>
        <w:r>
          <w:rPr>
            <w:color w:val="231F20"/>
            <w:spacing w:val="5"/>
            <w:w w:val="99"/>
            <w:sz w:val="17"/>
          </w:rPr>
          <w:t>n</w:t>
        </w:r>
        <w:r>
          <w:rPr>
            <w:color w:val="231F20"/>
            <w:spacing w:val="-2"/>
            <w:w w:val="61"/>
            <w:sz w:val="17"/>
          </w:rPr>
          <w:t>/</w:t>
        </w:r>
        <w:r>
          <w:rPr>
            <w:color w:val="231F20"/>
            <w:spacing w:val="1"/>
            <w:w w:val="90"/>
            <w:sz w:val="17"/>
          </w:rPr>
          <w:t>1</w:t>
        </w:r>
        <w:r>
          <w:rPr>
            <w:color w:val="231F20"/>
            <w:w w:val="90"/>
            <w:sz w:val="17"/>
          </w:rPr>
          <w:t>3</w:t>
        </w:r>
        <w:r>
          <w:rPr>
            <w:color w:val="231F20"/>
            <w:spacing w:val="-4"/>
            <w:w w:val="61"/>
            <w:sz w:val="17"/>
          </w:rPr>
          <w:t>/</w:t>
        </w:r>
        <w:r>
          <w:rPr>
            <w:color w:val="231F20"/>
            <w:spacing w:val="-4"/>
            <w:w w:val="99"/>
            <w:sz w:val="17"/>
          </w:rPr>
          <w:t>p</w:t>
        </w:r>
        <w:r>
          <w:rPr>
            <w:color w:val="231F20"/>
            <w:spacing w:val="-3"/>
            <w:w w:val="94"/>
            <w:sz w:val="17"/>
          </w:rPr>
          <w:t>r</w:t>
        </w:r>
        <w:r>
          <w:rPr>
            <w:color w:val="231F20"/>
            <w:spacing w:val="-2"/>
            <w:w w:val="91"/>
            <w:sz w:val="17"/>
          </w:rPr>
          <w:t>e</w:t>
        </w:r>
        <w:r>
          <w:rPr>
            <w:color w:val="231F20"/>
            <w:spacing w:val="1"/>
            <w:sz w:val="17"/>
          </w:rPr>
          <w:t>m</w:t>
        </w:r>
        <w:r>
          <w:rPr>
            <w:color w:val="231F20"/>
            <w:spacing w:val="-3"/>
            <w:w w:val="101"/>
            <w:sz w:val="17"/>
          </w:rPr>
          <w:t>i</w:t>
        </w:r>
        <w:r>
          <w:rPr>
            <w:color w:val="231F20"/>
            <w:spacing w:val="-2"/>
            <w:w w:val="91"/>
            <w:sz w:val="17"/>
          </w:rPr>
          <w:t>e</w:t>
        </w:r>
        <w:r>
          <w:rPr>
            <w:color w:val="231F20"/>
            <w:spacing w:val="-1"/>
            <w:w w:val="94"/>
            <w:sz w:val="17"/>
          </w:rPr>
          <w:t>r</w:t>
        </w:r>
        <w:r>
          <w:rPr>
            <w:color w:val="231F20"/>
            <w:spacing w:val="-2"/>
            <w:w w:val="101"/>
            <w:sz w:val="17"/>
          </w:rPr>
          <w:t>-</w:t>
        </w:r>
        <w:r>
          <w:rPr>
            <w:color w:val="231F20"/>
            <w:w w:val="95"/>
            <w:sz w:val="17"/>
          </w:rPr>
          <w:t>league-</w:t>
        </w:r>
      </w:hyperlink>
      <w:r>
        <w:rPr>
          <w:color w:val="231F20"/>
          <w:spacing w:val="80"/>
          <w:sz w:val="17"/>
        </w:rPr>
        <w:t xml:space="preserve"> </w:t>
      </w:r>
      <w:r>
        <w:rPr>
          <w:color w:val="231F20"/>
          <w:sz w:val="17"/>
        </w:rPr>
        <w:t>tv-rights-3-billion-sky-bt (accessed 24 June 2017).</w:t>
      </w:r>
    </w:p>
    <w:p w14:paraId="59D191C2" w14:textId="77777777" w:rsidR="00AE0598" w:rsidRDefault="0069255A">
      <w:pPr>
        <w:spacing w:before="2"/>
        <w:ind w:left="110"/>
        <w:jc w:val="both"/>
        <w:rPr>
          <w:sz w:val="17"/>
        </w:rPr>
      </w:pPr>
      <w:r>
        <w:rPr>
          <w:color w:val="231F20"/>
          <w:sz w:val="17"/>
        </w:rPr>
        <w:t>Gilbert,</w:t>
      </w:r>
      <w:r>
        <w:rPr>
          <w:color w:val="231F20"/>
          <w:spacing w:val="21"/>
          <w:sz w:val="17"/>
        </w:rPr>
        <w:t xml:space="preserve"> </w:t>
      </w:r>
      <w:r>
        <w:rPr>
          <w:color w:val="231F20"/>
          <w:sz w:val="17"/>
        </w:rPr>
        <w:t>D.</w:t>
      </w:r>
      <w:r>
        <w:rPr>
          <w:color w:val="231F20"/>
          <w:spacing w:val="22"/>
          <w:sz w:val="17"/>
        </w:rPr>
        <w:t xml:space="preserve"> </w:t>
      </w:r>
      <w:r>
        <w:rPr>
          <w:color w:val="231F20"/>
          <w:sz w:val="17"/>
        </w:rPr>
        <w:t>and</w:t>
      </w:r>
      <w:r>
        <w:rPr>
          <w:color w:val="231F20"/>
          <w:spacing w:val="22"/>
          <w:sz w:val="17"/>
        </w:rPr>
        <w:t xml:space="preserve"> </w:t>
      </w:r>
      <w:r>
        <w:rPr>
          <w:color w:val="231F20"/>
          <w:sz w:val="17"/>
        </w:rPr>
        <w:t>Hudson,</w:t>
      </w:r>
      <w:r>
        <w:rPr>
          <w:color w:val="231F20"/>
          <w:spacing w:val="21"/>
          <w:sz w:val="17"/>
        </w:rPr>
        <w:t xml:space="preserve"> </w:t>
      </w:r>
      <w:r>
        <w:rPr>
          <w:color w:val="231F20"/>
          <w:sz w:val="17"/>
        </w:rPr>
        <w:t>S.</w:t>
      </w:r>
      <w:r>
        <w:rPr>
          <w:color w:val="231F20"/>
          <w:spacing w:val="22"/>
          <w:sz w:val="17"/>
        </w:rPr>
        <w:t xml:space="preserve"> </w:t>
      </w:r>
      <w:r>
        <w:rPr>
          <w:color w:val="231F20"/>
          <w:sz w:val="17"/>
        </w:rPr>
        <w:t>(2000)</w:t>
      </w:r>
      <w:r>
        <w:rPr>
          <w:color w:val="231F20"/>
          <w:spacing w:val="22"/>
          <w:sz w:val="17"/>
        </w:rPr>
        <w:t xml:space="preserve"> </w:t>
      </w:r>
      <w:r>
        <w:rPr>
          <w:color w:val="231F20"/>
          <w:sz w:val="17"/>
        </w:rPr>
        <w:t>Tourism</w:t>
      </w:r>
      <w:r>
        <w:rPr>
          <w:color w:val="231F20"/>
          <w:spacing w:val="21"/>
          <w:sz w:val="17"/>
        </w:rPr>
        <w:t xml:space="preserve"> </w:t>
      </w:r>
      <w:r>
        <w:rPr>
          <w:color w:val="231F20"/>
          <w:sz w:val="17"/>
        </w:rPr>
        <w:t>demand</w:t>
      </w:r>
      <w:r>
        <w:rPr>
          <w:color w:val="231F20"/>
          <w:spacing w:val="22"/>
          <w:sz w:val="17"/>
        </w:rPr>
        <w:t xml:space="preserve"> </w:t>
      </w:r>
      <w:r>
        <w:rPr>
          <w:color w:val="231F20"/>
          <w:sz w:val="17"/>
        </w:rPr>
        <w:t>constraints:</w:t>
      </w:r>
      <w:r>
        <w:rPr>
          <w:color w:val="231F20"/>
          <w:spacing w:val="22"/>
          <w:sz w:val="17"/>
        </w:rPr>
        <w:t xml:space="preserve"> </w:t>
      </w:r>
      <w:r>
        <w:rPr>
          <w:color w:val="231F20"/>
          <w:sz w:val="17"/>
        </w:rPr>
        <w:t>A</w:t>
      </w:r>
      <w:r>
        <w:rPr>
          <w:color w:val="231F20"/>
          <w:spacing w:val="22"/>
          <w:sz w:val="17"/>
        </w:rPr>
        <w:t xml:space="preserve"> </w:t>
      </w:r>
      <w:r>
        <w:rPr>
          <w:color w:val="231F20"/>
          <w:sz w:val="17"/>
        </w:rPr>
        <w:t>skiing</w:t>
      </w:r>
      <w:r>
        <w:rPr>
          <w:color w:val="231F20"/>
          <w:spacing w:val="21"/>
          <w:sz w:val="17"/>
        </w:rPr>
        <w:t xml:space="preserve"> </w:t>
      </w:r>
      <w:r>
        <w:rPr>
          <w:color w:val="231F20"/>
          <w:spacing w:val="-2"/>
          <w:sz w:val="17"/>
        </w:rPr>
        <w:t>participation.</w:t>
      </w:r>
    </w:p>
    <w:p w14:paraId="57D1A96D" w14:textId="77777777" w:rsidR="00AE0598" w:rsidRDefault="0069255A">
      <w:pPr>
        <w:ind w:left="430"/>
        <w:jc w:val="both"/>
        <w:rPr>
          <w:sz w:val="17"/>
        </w:rPr>
      </w:pPr>
      <w:r>
        <w:rPr>
          <w:i/>
          <w:color w:val="231F20"/>
          <w:sz w:val="17"/>
        </w:rPr>
        <w:t>Annals</w:t>
      </w:r>
      <w:r>
        <w:rPr>
          <w:i/>
          <w:color w:val="231F20"/>
          <w:spacing w:val="4"/>
          <w:sz w:val="17"/>
        </w:rPr>
        <w:t xml:space="preserve"> </w:t>
      </w:r>
      <w:r>
        <w:rPr>
          <w:i/>
          <w:color w:val="231F20"/>
          <w:sz w:val="17"/>
        </w:rPr>
        <w:t>of</w:t>
      </w:r>
      <w:r>
        <w:rPr>
          <w:i/>
          <w:color w:val="231F20"/>
          <w:spacing w:val="4"/>
          <w:sz w:val="17"/>
        </w:rPr>
        <w:t xml:space="preserve"> </w:t>
      </w:r>
      <w:r>
        <w:rPr>
          <w:i/>
          <w:color w:val="231F20"/>
          <w:sz w:val="17"/>
        </w:rPr>
        <w:t>Tourism</w:t>
      </w:r>
      <w:r>
        <w:rPr>
          <w:i/>
          <w:color w:val="231F20"/>
          <w:spacing w:val="4"/>
          <w:sz w:val="17"/>
        </w:rPr>
        <w:t xml:space="preserve"> </w:t>
      </w:r>
      <w:r>
        <w:rPr>
          <w:i/>
          <w:color w:val="231F20"/>
          <w:sz w:val="17"/>
        </w:rPr>
        <w:t>Research</w:t>
      </w:r>
      <w:r>
        <w:rPr>
          <w:i/>
          <w:color w:val="231F20"/>
          <w:spacing w:val="4"/>
          <w:sz w:val="17"/>
        </w:rPr>
        <w:t xml:space="preserve"> </w:t>
      </w:r>
      <w:r>
        <w:rPr>
          <w:color w:val="231F20"/>
          <w:sz w:val="17"/>
        </w:rPr>
        <w:t>27</w:t>
      </w:r>
      <w:r>
        <w:rPr>
          <w:color w:val="231F20"/>
          <w:spacing w:val="5"/>
          <w:sz w:val="17"/>
        </w:rPr>
        <w:t xml:space="preserve"> </w:t>
      </w:r>
      <w:r>
        <w:rPr>
          <w:color w:val="231F20"/>
          <w:sz w:val="17"/>
        </w:rPr>
        <w:t>(4),</w:t>
      </w:r>
      <w:r>
        <w:rPr>
          <w:color w:val="231F20"/>
          <w:spacing w:val="4"/>
          <w:sz w:val="17"/>
        </w:rPr>
        <w:t xml:space="preserve"> </w:t>
      </w:r>
      <w:r>
        <w:rPr>
          <w:color w:val="231F20"/>
          <w:spacing w:val="-2"/>
          <w:sz w:val="17"/>
        </w:rPr>
        <w:t>906–925.</w:t>
      </w:r>
    </w:p>
    <w:p w14:paraId="215D8E4B" w14:textId="77777777" w:rsidR="00AE0598" w:rsidRDefault="0069255A">
      <w:pPr>
        <w:spacing w:before="1"/>
        <w:ind w:left="430" w:right="127" w:hanging="320"/>
        <w:jc w:val="both"/>
        <w:rPr>
          <w:sz w:val="17"/>
        </w:rPr>
      </w:pPr>
      <w:r>
        <w:rPr>
          <w:color w:val="231F20"/>
          <w:sz w:val="17"/>
        </w:rPr>
        <w:t>Gilchrist, P. and Wheaton, B. (2011) Lifestyle sport, public policy and youth engagement:</w:t>
      </w:r>
      <w:r>
        <w:rPr>
          <w:color w:val="231F20"/>
          <w:spacing w:val="40"/>
          <w:sz w:val="17"/>
        </w:rPr>
        <w:t xml:space="preserve"> </w:t>
      </w:r>
      <w:r>
        <w:rPr>
          <w:color w:val="231F20"/>
          <w:sz w:val="17"/>
        </w:rPr>
        <w:t xml:space="preserve">Examining the emergence of parkour. </w:t>
      </w:r>
      <w:r>
        <w:rPr>
          <w:i/>
          <w:color w:val="231F20"/>
          <w:sz w:val="17"/>
        </w:rPr>
        <w:t>International Journal of Sport Policy and</w:t>
      </w:r>
      <w:r>
        <w:rPr>
          <w:i/>
          <w:color w:val="231F20"/>
          <w:spacing w:val="40"/>
          <w:sz w:val="17"/>
        </w:rPr>
        <w:t xml:space="preserve"> </w:t>
      </w:r>
      <w:r>
        <w:rPr>
          <w:i/>
          <w:color w:val="231F20"/>
          <w:sz w:val="17"/>
        </w:rPr>
        <w:t>Politic</w:t>
      </w:r>
      <w:r>
        <w:rPr>
          <w:i/>
          <w:color w:val="231F20"/>
          <w:sz w:val="17"/>
        </w:rPr>
        <w:t xml:space="preserve">s </w:t>
      </w:r>
      <w:r>
        <w:rPr>
          <w:color w:val="231F20"/>
          <w:sz w:val="17"/>
        </w:rPr>
        <w:t>3 (1), 109–131.</w:t>
      </w:r>
    </w:p>
    <w:p w14:paraId="1D28A8F7" w14:textId="77777777" w:rsidR="00AE0598" w:rsidRDefault="0069255A">
      <w:pPr>
        <w:spacing w:before="2"/>
        <w:ind w:left="110"/>
        <w:jc w:val="both"/>
        <w:rPr>
          <w:sz w:val="17"/>
        </w:rPr>
      </w:pPr>
      <w:r>
        <w:rPr>
          <w:color w:val="231F20"/>
          <w:sz w:val="17"/>
        </w:rPr>
        <w:t>Gilchrist,</w:t>
      </w:r>
      <w:r>
        <w:rPr>
          <w:color w:val="231F20"/>
          <w:spacing w:val="30"/>
          <w:sz w:val="17"/>
        </w:rPr>
        <w:t xml:space="preserve"> </w:t>
      </w:r>
      <w:r>
        <w:rPr>
          <w:color w:val="231F20"/>
          <w:sz w:val="17"/>
        </w:rPr>
        <w:t>P.</w:t>
      </w:r>
      <w:r>
        <w:rPr>
          <w:color w:val="231F20"/>
          <w:spacing w:val="31"/>
          <w:sz w:val="17"/>
        </w:rPr>
        <w:t xml:space="preserve"> </w:t>
      </w:r>
      <w:r>
        <w:rPr>
          <w:color w:val="231F20"/>
          <w:sz w:val="17"/>
        </w:rPr>
        <w:t>and</w:t>
      </w:r>
      <w:r>
        <w:rPr>
          <w:color w:val="231F20"/>
          <w:spacing w:val="31"/>
          <w:sz w:val="17"/>
        </w:rPr>
        <w:t xml:space="preserve"> </w:t>
      </w:r>
      <w:r>
        <w:rPr>
          <w:color w:val="231F20"/>
          <w:sz w:val="17"/>
        </w:rPr>
        <w:t>Wheaton,</w:t>
      </w:r>
      <w:r>
        <w:rPr>
          <w:color w:val="231F20"/>
          <w:spacing w:val="31"/>
          <w:sz w:val="17"/>
        </w:rPr>
        <w:t xml:space="preserve"> </w:t>
      </w:r>
      <w:r>
        <w:rPr>
          <w:color w:val="231F20"/>
          <w:sz w:val="17"/>
        </w:rPr>
        <w:t>B.</w:t>
      </w:r>
      <w:r>
        <w:rPr>
          <w:color w:val="231F20"/>
          <w:spacing w:val="31"/>
          <w:sz w:val="17"/>
        </w:rPr>
        <w:t xml:space="preserve"> </w:t>
      </w:r>
      <w:r>
        <w:rPr>
          <w:color w:val="231F20"/>
          <w:sz w:val="17"/>
        </w:rPr>
        <w:t>(2016)</w:t>
      </w:r>
      <w:r>
        <w:rPr>
          <w:color w:val="231F20"/>
          <w:spacing w:val="31"/>
          <w:sz w:val="17"/>
        </w:rPr>
        <w:t xml:space="preserve"> </w:t>
      </w:r>
      <w:r>
        <w:rPr>
          <w:color w:val="231F20"/>
          <w:sz w:val="17"/>
        </w:rPr>
        <w:t>Lifestyle</w:t>
      </w:r>
      <w:r>
        <w:rPr>
          <w:color w:val="231F20"/>
          <w:spacing w:val="31"/>
          <w:sz w:val="17"/>
        </w:rPr>
        <w:t xml:space="preserve"> </w:t>
      </w:r>
      <w:r>
        <w:rPr>
          <w:color w:val="231F20"/>
          <w:sz w:val="17"/>
        </w:rPr>
        <w:t>and</w:t>
      </w:r>
      <w:r>
        <w:rPr>
          <w:color w:val="231F20"/>
          <w:spacing w:val="31"/>
          <w:sz w:val="17"/>
        </w:rPr>
        <w:t xml:space="preserve"> </w:t>
      </w:r>
      <w:r>
        <w:rPr>
          <w:color w:val="231F20"/>
          <w:sz w:val="17"/>
        </w:rPr>
        <w:t>adventure</w:t>
      </w:r>
      <w:r>
        <w:rPr>
          <w:color w:val="231F20"/>
          <w:spacing w:val="31"/>
          <w:sz w:val="17"/>
        </w:rPr>
        <w:t xml:space="preserve"> </w:t>
      </w:r>
      <w:r>
        <w:rPr>
          <w:color w:val="231F20"/>
          <w:sz w:val="17"/>
        </w:rPr>
        <w:t>sports</w:t>
      </w:r>
      <w:r>
        <w:rPr>
          <w:color w:val="231F20"/>
          <w:spacing w:val="31"/>
          <w:sz w:val="17"/>
        </w:rPr>
        <w:t xml:space="preserve"> </w:t>
      </w:r>
      <w:r>
        <w:rPr>
          <w:color w:val="231F20"/>
          <w:sz w:val="17"/>
        </w:rPr>
        <w:t>among</w:t>
      </w:r>
      <w:r>
        <w:rPr>
          <w:color w:val="231F20"/>
          <w:spacing w:val="31"/>
          <w:sz w:val="17"/>
        </w:rPr>
        <w:t xml:space="preserve"> </w:t>
      </w:r>
      <w:r>
        <w:rPr>
          <w:color w:val="231F20"/>
          <w:sz w:val="17"/>
        </w:rPr>
        <w:t>youth.</w:t>
      </w:r>
      <w:r>
        <w:rPr>
          <w:color w:val="231F20"/>
          <w:spacing w:val="31"/>
          <w:sz w:val="17"/>
        </w:rPr>
        <w:t xml:space="preserve"> </w:t>
      </w:r>
      <w:r>
        <w:rPr>
          <w:color w:val="231F20"/>
          <w:spacing w:val="-5"/>
          <w:sz w:val="17"/>
        </w:rPr>
        <w:t>In</w:t>
      </w:r>
    </w:p>
    <w:p w14:paraId="3BE6DDC7" w14:textId="77777777" w:rsidR="00AE0598" w:rsidRDefault="0069255A">
      <w:pPr>
        <w:spacing w:before="1"/>
        <w:ind w:left="430" w:right="127"/>
        <w:jc w:val="both"/>
        <w:rPr>
          <w:sz w:val="17"/>
        </w:rPr>
      </w:pPr>
      <w:r>
        <w:rPr>
          <w:color w:val="231F20"/>
          <w:sz w:val="17"/>
        </w:rPr>
        <w:t>K.</w:t>
      </w:r>
      <w:r>
        <w:rPr>
          <w:color w:val="231F20"/>
          <w:spacing w:val="40"/>
          <w:sz w:val="17"/>
        </w:rPr>
        <w:t xml:space="preserve"> </w:t>
      </w:r>
      <w:r>
        <w:rPr>
          <w:color w:val="231F20"/>
          <w:sz w:val="17"/>
        </w:rPr>
        <w:t>Green</w:t>
      </w:r>
      <w:r>
        <w:rPr>
          <w:color w:val="231F20"/>
          <w:spacing w:val="40"/>
          <w:sz w:val="17"/>
        </w:rPr>
        <w:t xml:space="preserve"> </w:t>
      </w:r>
      <w:r>
        <w:rPr>
          <w:color w:val="231F20"/>
          <w:sz w:val="17"/>
        </w:rPr>
        <w:t>and</w:t>
      </w:r>
      <w:r>
        <w:rPr>
          <w:color w:val="231F20"/>
          <w:spacing w:val="40"/>
          <w:sz w:val="17"/>
        </w:rPr>
        <w:t xml:space="preserve"> </w:t>
      </w:r>
      <w:r>
        <w:rPr>
          <w:color w:val="231F20"/>
          <w:sz w:val="17"/>
        </w:rPr>
        <w:t>A.</w:t>
      </w:r>
      <w:r>
        <w:rPr>
          <w:color w:val="231F20"/>
          <w:spacing w:val="40"/>
          <w:sz w:val="17"/>
        </w:rPr>
        <w:t xml:space="preserve"> </w:t>
      </w:r>
      <w:r>
        <w:rPr>
          <w:color w:val="231F20"/>
          <w:sz w:val="17"/>
        </w:rPr>
        <w:t>Smith</w:t>
      </w:r>
      <w:r>
        <w:rPr>
          <w:color w:val="231F20"/>
          <w:spacing w:val="40"/>
          <w:sz w:val="17"/>
        </w:rPr>
        <w:t xml:space="preserve"> </w:t>
      </w:r>
      <w:r>
        <w:rPr>
          <w:color w:val="231F20"/>
          <w:sz w:val="17"/>
        </w:rPr>
        <w:t>(eds)</w:t>
      </w:r>
      <w:r>
        <w:rPr>
          <w:color w:val="231F20"/>
          <w:spacing w:val="40"/>
          <w:sz w:val="17"/>
        </w:rPr>
        <w:t xml:space="preserve"> </w:t>
      </w:r>
      <w:r>
        <w:rPr>
          <w:i/>
          <w:color w:val="231F20"/>
          <w:sz w:val="17"/>
        </w:rPr>
        <w:t>Routledge</w:t>
      </w:r>
      <w:r>
        <w:rPr>
          <w:i/>
          <w:color w:val="231F20"/>
          <w:spacing w:val="40"/>
          <w:sz w:val="17"/>
        </w:rPr>
        <w:t xml:space="preserve"> </w:t>
      </w:r>
      <w:r>
        <w:rPr>
          <w:i/>
          <w:color w:val="231F20"/>
          <w:sz w:val="17"/>
        </w:rPr>
        <w:t>Handbook</w:t>
      </w:r>
      <w:r>
        <w:rPr>
          <w:i/>
          <w:color w:val="231F20"/>
          <w:spacing w:val="40"/>
          <w:sz w:val="17"/>
        </w:rPr>
        <w:t xml:space="preserve"> </w:t>
      </w:r>
      <w:r>
        <w:rPr>
          <w:i/>
          <w:color w:val="231F20"/>
          <w:sz w:val="17"/>
        </w:rPr>
        <w:t>on</w:t>
      </w:r>
      <w:r>
        <w:rPr>
          <w:i/>
          <w:color w:val="231F20"/>
          <w:spacing w:val="40"/>
          <w:sz w:val="17"/>
        </w:rPr>
        <w:t xml:space="preserve"> </w:t>
      </w:r>
      <w:r>
        <w:rPr>
          <w:i/>
          <w:color w:val="231F20"/>
          <w:sz w:val="17"/>
        </w:rPr>
        <w:t>Youth</w:t>
      </w:r>
      <w:r>
        <w:rPr>
          <w:i/>
          <w:color w:val="231F20"/>
          <w:spacing w:val="40"/>
          <w:sz w:val="17"/>
        </w:rPr>
        <w:t xml:space="preserve"> </w:t>
      </w:r>
      <w:r>
        <w:rPr>
          <w:i/>
          <w:color w:val="231F20"/>
          <w:sz w:val="17"/>
        </w:rPr>
        <w:t>Sport</w:t>
      </w:r>
      <w:r>
        <w:rPr>
          <w:i/>
          <w:color w:val="231F20"/>
          <w:spacing w:val="40"/>
          <w:sz w:val="17"/>
        </w:rPr>
        <w:t xml:space="preserve"> </w:t>
      </w:r>
      <w:r>
        <w:rPr>
          <w:color w:val="231F20"/>
          <w:sz w:val="17"/>
        </w:rPr>
        <w:t>(Chapter</w:t>
      </w:r>
      <w:r>
        <w:rPr>
          <w:color w:val="231F20"/>
          <w:spacing w:val="40"/>
          <w:sz w:val="17"/>
        </w:rPr>
        <w:t xml:space="preserve"> </w:t>
      </w:r>
      <w:r>
        <w:rPr>
          <w:color w:val="231F20"/>
          <w:sz w:val="17"/>
        </w:rPr>
        <w:t>18).</w:t>
      </w:r>
      <w:r>
        <w:rPr>
          <w:color w:val="231F20"/>
          <w:spacing w:val="40"/>
          <w:sz w:val="17"/>
        </w:rPr>
        <w:t xml:space="preserve"> </w:t>
      </w:r>
      <w:r>
        <w:rPr>
          <w:color w:val="231F20"/>
          <w:sz w:val="17"/>
        </w:rPr>
        <w:t>New York: Routledge.</w:t>
      </w:r>
    </w:p>
    <w:p w14:paraId="22D6F12A" w14:textId="77777777" w:rsidR="00AE0598" w:rsidRDefault="00AE0598">
      <w:pPr>
        <w:jc w:val="both"/>
        <w:rPr>
          <w:sz w:val="17"/>
        </w:rPr>
        <w:sectPr w:rsidR="00AE0598">
          <w:pgSz w:w="8850" w:h="13270"/>
          <w:pgMar w:top="720" w:right="1060" w:bottom="280" w:left="1080" w:header="720" w:footer="720" w:gutter="0"/>
          <w:cols w:space="720"/>
        </w:sectPr>
      </w:pPr>
    </w:p>
    <w:p w14:paraId="2AEE91E1" w14:textId="77777777" w:rsidR="00AE0598" w:rsidRDefault="0069255A">
      <w:pPr>
        <w:spacing w:before="87"/>
        <w:ind w:left="108"/>
        <w:rPr>
          <w:rFonts w:ascii="Trebuchet MS"/>
          <w:sz w:val="14"/>
        </w:rPr>
      </w:pPr>
      <w:r>
        <w:rPr>
          <w:rFonts w:ascii="Trebuchet MS"/>
          <w:color w:val="231F20"/>
          <w:w w:val="105"/>
          <w:sz w:val="14"/>
        </w:rPr>
        <w:lastRenderedPageBreak/>
        <w:t>250</w:t>
      </w:r>
      <w:r>
        <w:rPr>
          <w:rFonts w:ascii="Trebuchet MS"/>
          <w:color w:val="231F20"/>
          <w:spacing w:val="78"/>
          <w:w w:val="150"/>
          <w:sz w:val="14"/>
        </w:rPr>
        <w:t xml:space="preserve"> </w:t>
      </w:r>
      <w:r>
        <w:rPr>
          <w:rFonts w:ascii="Trebuchet MS"/>
          <w:color w:val="231F20"/>
          <w:spacing w:val="-2"/>
          <w:w w:val="105"/>
          <w:sz w:val="14"/>
        </w:rPr>
        <w:t>References</w:t>
      </w:r>
    </w:p>
    <w:p w14:paraId="1D5F325E" w14:textId="77777777" w:rsidR="00AE0598" w:rsidRDefault="00AE0598">
      <w:pPr>
        <w:pStyle w:val="Corpodetexto"/>
        <w:rPr>
          <w:rFonts w:ascii="Trebuchet MS"/>
          <w:sz w:val="16"/>
        </w:rPr>
      </w:pPr>
    </w:p>
    <w:p w14:paraId="681BFA84" w14:textId="77777777" w:rsidR="00AE0598" w:rsidRDefault="0069255A">
      <w:pPr>
        <w:spacing w:before="121"/>
        <w:ind w:left="430" w:hanging="320"/>
        <w:rPr>
          <w:sz w:val="17"/>
        </w:rPr>
      </w:pPr>
      <w:r>
        <w:rPr>
          <w:color w:val="231F20"/>
          <w:sz w:val="17"/>
        </w:rPr>
        <w:t>Gillespie,</w:t>
      </w:r>
      <w:r>
        <w:rPr>
          <w:color w:val="231F20"/>
          <w:spacing w:val="-3"/>
          <w:sz w:val="17"/>
        </w:rPr>
        <w:t xml:space="preserve"> </w:t>
      </w:r>
      <w:r>
        <w:rPr>
          <w:color w:val="231F20"/>
          <w:sz w:val="17"/>
        </w:rPr>
        <w:t>D.,</w:t>
      </w:r>
      <w:r>
        <w:rPr>
          <w:color w:val="231F20"/>
          <w:spacing w:val="-3"/>
          <w:sz w:val="17"/>
        </w:rPr>
        <w:t xml:space="preserve"> </w:t>
      </w:r>
      <w:r>
        <w:rPr>
          <w:color w:val="231F20"/>
          <w:sz w:val="17"/>
        </w:rPr>
        <w:t>Leffler,</w:t>
      </w:r>
      <w:r>
        <w:rPr>
          <w:color w:val="231F20"/>
          <w:spacing w:val="-3"/>
          <w:sz w:val="17"/>
        </w:rPr>
        <w:t xml:space="preserve"> </w:t>
      </w:r>
      <w:r>
        <w:rPr>
          <w:color w:val="231F20"/>
          <w:sz w:val="17"/>
        </w:rPr>
        <w:t>A.</w:t>
      </w:r>
      <w:r>
        <w:rPr>
          <w:color w:val="231F20"/>
          <w:spacing w:val="-3"/>
          <w:sz w:val="17"/>
        </w:rPr>
        <w:t xml:space="preserve"> </w:t>
      </w:r>
      <w:r>
        <w:rPr>
          <w:color w:val="231F20"/>
          <w:sz w:val="17"/>
        </w:rPr>
        <w:t>and</w:t>
      </w:r>
      <w:r>
        <w:rPr>
          <w:color w:val="231F20"/>
          <w:spacing w:val="-3"/>
          <w:sz w:val="17"/>
        </w:rPr>
        <w:t xml:space="preserve"> </w:t>
      </w:r>
      <w:r>
        <w:rPr>
          <w:color w:val="231F20"/>
          <w:sz w:val="17"/>
        </w:rPr>
        <w:t>Lerner,</w:t>
      </w:r>
      <w:r>
        <w:rPr>
          <w:color w:val="231F20"/>
          <w:spacing w:val="-3"/>
          <w:sz w:val="17"/>
        </w:rPr>
        <w:t xml:space="preserve"> </w:t>
      </w:r>
      <w:r>
        <w:rPr>
          <w:color w:val="231F20"/>
          <w:sz w:val="17"/>
        </w:rPr>
        <w:t>E.</w:t>
      </w:r>
      <w:r>
        <w:rPr>
          <w:color w:val="231F20"/>
          <w:spacing w:val="-3"/>
          <w:sz w:val="17"/>
        </w:rPr>
        <w:t xml:space="preserve"> </w:t>
      </w:r>
      <w:r>
        <w:rPr>
          <w:color w:val="231F20"/>
          <w:sz w:val="17"/>
        </w:rPr>
        <w:t>(2002)</w:t>
      </w:r>
      <w:r>
        <w:rPr>
          <w:color w:val="231F20"/>
          <w:spacing w:val="-3"/>
          <w:sz w:val="17"/>
        </w:rPr>
        <w:t xml:space="preserve"> </w:t>
      </w:r>
      <w:r>
        <w:rPr>
          <w:color w:val="231F20"/>
          <w:sz w:val="17"/>
        </w:rPr>
        <w:t>If</w:t>
      </w:r>
      <w:r>
        <w:rPr>
          <w:color w:val="231F20"/>
          <w:spacing w:val="-3"/>
          <w:sz w:val="17"/>
        </w:rPr>
        <w:t xml:space="preserve"> </w:t>
      </w:r>
      <w:r>
        <w:rPr>
          <w:color w:val="231F20"/>
          <w:sz w:val="17"/>
        </w:rPr>
        <w:t>it</w:t>
      </w:r>
      <w:r>
        <w:rPr>
          <w:color w:val="231F20"/>
          <w:spacing w:val="-3"/>
          <w:sz w:val="17"/>
        </w:rPr>
        <w:t xml:space="preserve"> </w:t>
      </w:r>
      <w:r>
        <w:rPr>
          <w:color w:val="231F20"/>
          <w:sz w:val="17"/>
        </w:rPr>
        <w:t>weren’t</w:t>
      </w:r>
      <w:r>
        <w:rPr>
          <w:color w:val="231F20"/>
          <w:spacing w:val="-3"/>
          <w:sz w:val="17"/>
        </w:rPr>
        <w:t xml:space="preserve"> </w:t>
      </w:r>
      <w:r>
        <w:rPr>
          <w:color w:val="231F20"/>
          <w:sz w:val="17"/>
        </w:rPr>
        <w:t>for</w:t>
      </w:r>
      <w:r>
        <w:rPr>
          <w:color w:val="231F20"/>
          <w:spacing w:val="-3"/>
          <w:sz w:val="17"/>
        </w:rPr>
        <w:t xml:space="preserve"> </w:t>
      </w:r>
      <w:r>
        <w:rPr>
          <w:color w:val="231F20"/>
          <w:sz w:val="17"/>
        </w:rPr>
        <w:t>my</w:t>
      </w:r>
      <w:r>
        <w:rPr>
          <w:color w:val="231F20"/>
          <w:spacing w:val="-3"/>
          <w:sz w:val="17"/>
        </w:rPr>
        <w:t xml:space="preserve"> </w:t>
      </w:r>
      <w:r>
        <w:rPr>
          <w:color w:val="231F20"/>
          <w:sz w:val="17"/>
        </w:rPr>
        <w:t>hobby,</w:t>
      </w:r>
      <w:r>
        <w:rPr>
          <w:color w:val="231F20"/>
          <w:spacing w:val="-3"/>
          <w:sz w:val="17"/>
        </w:rPr>
        <w:t xml:space="preserve"> </w:t>
      </w:r>
      <w:r>
        <w:rPr>
          <w:color w:val="231F20"/>
          <w:sz w:val="17"/>
        </w:rPr>
        <w:t>I’d</w:t>
      </w:r>
      <w:r>
        <w:rPr>
          <w:color w:val="231F20"/>
          <w:spacing w:val="-3"/>
          <w:sz w:val="17"/>
        </w:rPr>
        <w:t xml:space="preserve"> </w:t>
      </w:r>
      <w:r>
        <w:rPr>
          <w:color w:val="231F20"/>
          <w:sz w:val="17"/>
        </w:rPr>
        <w:t>have</w:t>
      </w:r>
      <w:r>
        <w:rPr>
          <w:color w:val="231F20"/>
          <w:spacing w:val="-3"/>
          <w:sz w:val="17"/>
        </w:rPr>
        <w:t xml:space="preserve"> </w:t>
      </w:r>
      <w:r>
        <w:rPr>
          <w:color w:val="231F20"/>
          <w:sz w:val="17"/>
        </w:rPr>
        <w:t>a</w:t>
      </w:r>
      <w:r>
        <w:rPr>
          <w:color w:val="231F20"/>
          <w:spacing w:val="-3"/>
          <w:sz w:val="17"/>
        </w:rPr>
        <w:t xml:space="preserve"> </w:t>
      </w:r>
      <w:r>
        <w:rPr>
          <w:color w:val="231F20"/>
          <w:sz w:val="17"/>
        </w:rPr>
        <w:t>life:</w:t>
      </w:r>
      <w:r>
        <w:rPr>
          <w:color w:val="231F20"/>
          <w:spacing w:val="-3"/>
          <w:sz w:val="17"/>
        </w:rPr>
        <w:t xml:space="preserve"> </w:t>
      </w:r>
      <w:r>
        <w:rPr>
          <w:color w:val="231F20"/>
          <w:sz w:val="17"/>
        </w:rPr>
        <w:t>Dog</w:t>
      </w:r>
      <w:r>
        <w:rPr>
          <w:color w:val="231F20"/>
          <w:spacing w:val="40"/>
          <w:sz w:val="17"/>
        </w:rPr>
        <w:t xml:space="preserve"> </w:t>
      </w:r>
      <w:r>
        <w:rPr>
          <w:color w:val="231F20"/>
          <w:sz w:val="17"/>
        </w:rPr>
        <w:t xml:space="preserve">sports, serious leisure, and boundary negotiations. </w:t>
      </w:r>
      <w:r>
        <w:rPr>
          <w:i/>
          <w:color w:val="231F20"/>
          <w:sz w:val="17"/>
        </w:rPr>
        <w:t xml:space="preserve">Leisure Studies </w:t>
      </w:r>
      <w:r>
        <w:rPr>
          <w:color w:val="231F20"/>
          <w:sz w:val="17"/>
        </w:rPr>
        <w:t>21, 285–304.</w:t>
      </w:r>
    </w:p>
    <w:p w14:paraId="146686E7" w14:textId="77777777" w:rsidR="00AE0598" w:rsidRDefault="0069255A">
      <w:pPr>
        <w:spacing w:before="1"/>
        <w:ind w:left="430" w:hanging="320"/>
        <w:rPr>
          <w:sz w:val="17"/>
        </w:rPr>
      </w:pPr>
      <w:r>
        <w:rPr>
          <w:color w:val="231F20"/>
          <w:sz w:val="17"/>
        </w:rPr>
        <w:t>Gillett, P. and Kelly, S. (2006) ‘Non-local’ Masters Games participants: An investigation of</w:t>
      </w:r>
      <w:r>
        <w:rPr>
          <w:color w:val="231F20"/>
          <w:spacing w:val="40"/>
          <w:sz w:val="17"/>
        </w:rPr>
        <w:t xml:space="preserve"> </w:t>
      </w:r>
      <w:r>
        <w:rPr>
          <w:color w:val="231F20"/>
          <w:sz w:val="17"/>
        </w:rPr>
        <w:t>competitive</w:t>
      </w:r>
      <w:r>
        <w:rPr>
          <w:color w:val="231F20"/>
          <w:spacing w:val="-3"/>
          <w:sz w:val="17"/>
        </w:rPr>
        <w:t xml:space="preserve"> </w:t>
      </w:r>
      <w:r>
        <w:rPr>
          <w:color w:val="231F20"/>
          <w:sz w:val="17"/>
        </w:rPr>
        <w:t>active</w:t>
      </w:r>
      <w:r>
        <w:rPr>
          <w:color w:val="231F20"/>
          <w:spacing w:val="-3"/>
          <w:sz w:val="17"/>
        </w:rPr>
        <w:t xml:space="preserve"> </w:t>
      </w:r>
      <w:r>
        <w:rPr>
          <w:color w:val="231F20"/>
          <w:sz w:val="17"/>
        </w:rPr>
        <w:t>sport</w:t>
      </w:r>
      <w:r>
        <w:rPr>
          <w:color w:val="231F20"/>
          <w:spacing w:val="-3"/>
          <w:sz w:val="17"/>
        </w:rPr>
        <w:t xml:space="preserve"> </w:t>
      </w:r>
      <w:r>
        <w:rPr>
          <w:color w:val="231F20"/>
          <w:sz w:val="17"/>
        </w:rPr>
        <w:t>tourist</w:t>
      </w:r>
      <w:r>
        <w:rPr>
          <w:color w:val="231F20"/>
          <w:spacing w:val="-3"/>
          <w:sz w:val="17"/>
        </w:rPr>
        <w:t xml:space="preserve"> </w:t>
      </w:r>
      <w:r>
        <w:rPr>
          <w:color w:val="231F20"/>
          <w:sz w:val="17"/>
        </w:rPr>
        <w:t>motives.</w:t>
      </w:r>
      <w:r>
        <w:rPr>
          <w:color w:val="231F20"/>
          <w:spacing w:val="-3"/>
          <w:sz w:val="17"/>
        </w:rPr>
        <w:t xml:space="preserve"> </w:t>
      </w:r>
      <w:r>
        <w:rPr>
          <w:i/>
          <w:color w:val="231F20"/>
          <w:sz w:val="17"/>
        </w:rPr>
        <w:t>Journal</w:t>
      </w:r>
      <w:r>
        <w:rPr>
          <w:i/>
          <w:color w:val="231F20"/>
          <w:spacing w:val="-3"/>
          <w:sz w:val="17"/>
        </w:rPr>
        <w:t xml:space="preserve"> </w:t>
      </w:r>
      <w:r>
        <w:rPr>
          <w:i/>
          <w:color w:val="231F20"/>
          <w:sz w:val="17"/>
        </w:rPr>
        <w:t>of</w:t>
      </w:r>
      <w:r>
        <w:rPr>
          <w:i/>
          <w:color w:val="231F20"/>
          <w:spacing w:val="-3"/>
          <w:sz w:val="17"/>
        </w:rPr>
        <w:t xml:space="preserve"> </w:t>
      </w:r>
      <w:r>
        <w:rPr>
          <w:i/>
          <w:color w:val="231F20"/>
          <w:sz w:val="17"/>
        </w:rPr>
        <w:t>Sport</w:t>
      </w:r>
      <w:r>
        <w:rPr>
          <w:i/>
          <w:color w:val="231F20"/>
          <w:spacing w:val="-3"/>
          <w:sz w:val="17"/>
        </w:rPr>
        <w:t xml:space="preserve"> </w:t>
      </w:r>
      <w:r>
        <w:rPr>
          <w:i/>
          <w:color w:val="231F20"/>
          <w:sz w:val="17"/>
        </w:rPr>
        <w:t>Tourism</w:t>
      </w:r>
      <w:r>
        <w:rPr>
          <w:i/>
          <w:color w:val="231F20"/>
          <w:spacing w:val="-3"/>
          <w:sz w:val="17"/>
        </w:rPr>
        <w:t xml:space="preserve"> </w:t>
      </w:r>
      <w:r>
        <w:rPr>
          <w:color w:val="231F20"/>
          <w:sz w:val="17"/>
        </w:rPr>
        <w:t>11</w:t>
      </w:r>
      <w:r>
        <w:rPr>
          <w:color w:val="231F20"/>
          <w:spacing w:val="-3"/>
          <w:sz w:val="17"/>
        </w:rPr>
        <w:t xml:space="preserve"> </w:t>
      </w:r>
      <w:r>
        <w:rPr>
          <w:color w:val="231F20"/>
          <w:sz w:val="17"/>
        </w:rPr>
        <w:t>(3–4),</w:t>
      </w:r>
      <w:r>
        <w:rPr>
          <w:color w:val="231F20"/>
          <w:spacing w:val="-3"/>
          <w:sz w:val="17"/>
        </w:rPr>
        <w:t xml:space="preserve"> </w:t>
      </w:r>
      <w:r>
        <w:rPr>
          <w:color w:val="231F20"/>
          <w:sz w:val="17"/>
        </w:rPr>
        <w:t>239–257.</w:t>
      </w:r>
    </w:p>
    <w:p w14:paraId="3C520371" w14:textId="77777777" w:rsidR="00AE0598" w:rsidRDefault="0069255A">
      <w:pPr>
        <w:spacing w:before="2"/>
        <w:ind w:left="430" w:hanging="320"/>
        <w:rPr>
          <w:sz w:val="17"/>
        </w:rPr>
      </w:pPr>
      <w:r>
        <w:rPr>
          <w:color w:val="231F20"/>
          <w:sz w:val="17"/>
        </w:rPr>
        <w:t>Gilmore,</w:t>
      </w:r>
      <w:r>
        <w:rPr>
          <w:color w:val="231F20"/>
          <w:spacing w:val="28"/>
          <w:sz w:val="17"/>
        </w:rPr>
        <w:t xml:space="preserve"> </w:t>
      </w:r>
      <w:r>
        <w:rPr>
          <w:color w:val="231F20"/>
          <w:sz w:val="17"/>
        </w:rPr>
        <w:t>J.H.</w:t>
      </w:r>
      <w:r>
        <w:rPr>
          <w:color w:val="231F20"/>
          <w:spacing w:val="28"/>
          <w:sz w:val="17"/>
        </w:rPr>
        <w:t xml:space="preserve"> </w:t>
      </w:r>
      <w:r>
        <w:rPr>
          <w:color w:val="231F20"/>
          <w:sz w:val="17"/>
        </w:rPr>
        <w:t>and</w:t>
      </w:r>
      <w:r>
        <w:rPr>
          <w:color w:val="231F20"/>
          <w:spacing w:val="29"/>
          <w:sz w:val="17"/>
        </w:rPr>
        <w:t xml:space="preserve"> </w:t>
      </w:r>
      <w:r>
        <w:rPr>
          <w:color w:val="231F20"/>
          <w:sz w:val="17"/>
        </w:rPr>
        <w:t>Pine,</w:t>
      </w:r>
      <w:r>
        <w:rPr>
          <w:color w:val="231F20"/>
          <w:spacing w:val="29"/>
          <w:sz w:val="17"/>
        </w:rPr>
        <w:t xml:space="preserve"> </w:t>
      </w:r>
      <w:r>
        <w:rPr>
          <w:color w:val="231F20"/>
          <w:sz w:val="17"/>
        </w:rPr>
        <w:t>B.J.</w:t>
      </w:r>
      <w:r>
        <w:rPr>
          <w:color w:val="231F20"/>
          <w:spacing w:val="29"/>
          <w:sz w:val="17"/>
        </w:rPr>
        <w:t xml:space="preserve"> </w:t>
      </w:r>
      <w:r>
        <w:rPr>
          <w:color w:val="231F20"/>
          <w:sz w:val="17"/>
        </w:rPr>
        <w:t>(2007)</w:t>
      </w:r>
      <w:r>
        <w:rPr>
          <w:color w:val="231F20"/>
          <w:spacing w:val="28"/>
          <w:sz w:val="17"/>
        </w:rPr>
        <w:t xml:space="preserve"> </w:t>
      </w:r>
      <w:r>
        <w:rPr>
          <w:i/>
          <w:color w:val="231F20"/>
          <w:sz w:val="17"/>
        </w:rPr>
        <w:t>Authenticity:</w:t>
      </w:r>
      <w:r>
        <w:rPr>
          <w:i/>
          <w:color w:val="231F20"/>
          <w:spacing w:val="28"/>
          <w:sz w:val="17"/>
        </w:rPr>
        <w:t xml:space="preserve"> </w:t>
      </w:r>
      <w:r>
        <w:rPr>
          <w:i/>
          <w:color w:val="231F20"/>
          <w:sz w:val="17"/>
        </w:rPr>
        <w:t>What</w:t>
      </w:r>
      <w:r>
        <w:rPr>
          <w:i/>
          <w:color w:val="231F20"/>
          <w:spacing w:val="28"/>
          <w:sz w:val="17"/>
        </w:rPr>
        <w:t xml:space="preserve"> </w:t>
      </w:r>
      <w:r>
        <w:rPr>
          <w:i/>
          <w:color w:val="231F20"/>
          <w:sz w:val="17"/>
        </w:rPr>
        <w:t>Consumers</w:t>
      </w:r>
      <w:r>
        <w:rPr>
          <w:i/>
          <w:color w:val="231F20"/>
          <w:spacing w:val="28"/>
          <w:sz w:val="17"/>
        </w:rPr>
        <w:t xml:space="preserve"> </w:t>
      </w:r>
      <w:r>
        <w:rPr>
          <w:i/>
          <w:color w:val="231F20"/>
          <w:sz w:val="17"/>
        </w:rPr>
        <w:t>Really</w:t>
      </w:r>
      <w:r>
        <w:rPr>
          <w:i/>
          <w:color w:val="231F20"/>
          <w:spacing w:val="28"/>
          <w:sz w:val="17"/>
        </w:rPr>
        <w:t xml:space="preserve"> </w:t>
      </w:r>
      <w:r>
        <w:rPr>
          <w:i/>
          <w:color w:val="231F20"/>
          <w:sz w:val="17"/>
        </w:rPr>
        <w:t>Want</w:t>
      </w:r>
      <w:r>
        <w:rPr>
          <w:color w:val="231F20"/>
          <w:sz w:val="17"/>
        </w:rPr>
        <w:t>.</w:t>
      </w:r>
      <w:r>
        <w:rPr>
          <w:color w:val="231F20"/>
          <w:spacing w:val="29"/>
          <w:sz w:val="17"/>
        </w:rPr>
        <w:t xml:space="preserve"> </w:t>
      </w:r>
      <w:r>
        <w:rPr>
          <w:color w:val="231F20"/>
          <w:sz w:val="17"/>
        </w:rPr>
        <w:t>Boston,</w:t>
      </w:r>
      <w:r>
        <w:rPr>
          <w:color w:val="231F20"/>
          <w:spacing w:val="40"/>
          <w:w w:val="105"/>
          <w:sz w:val="17"/>
        </w:rPr>
        <w:t xml:space="preserve"> </w:t>
      </w:r>
      <w:r>
        <w:rPr>
          <w:color w:val="231F20"/>
          <w:w w:val="105"/>
          <w:sz w:val="17"/>
        </w:rPr>
        <w:t>MA: Harvard Business School Press.</w:t>
      </w:r>
    </w:p>
    <w:p w14:paraId="315AD062" w14:textId="77777777" w:rsidR="00AE0598" w:rsidRDefault="0069255A">
      <w:pPr>
        <w:spacing w:before="1"/>
        <w:ind w:left="110"/>
        <w:rPr>
          <w:sz w:val="17"/>
        </w:rPr>
      </w:pPr>
      <w:r>
        <w:rPr>
          <w:color w:val="231F20"/>
          <w:sz w:val="17"/>
        </w:rPr>
        <w:t>Giulianotti,</w:t>
      </w:r>
      <w:r>
        <w:rPr>
          <w:color w:val="231F20"/>
          <w:spacing w:val="25"/>
          <w:sz w:val="17"/>
        </w:rPr>
        <w:t xml:space="preserve"> </w:t>
      </w:r>
      <w:r>
        <w:rPr>
          <w:color w:val="231F20"/>
          <w:sz w:val="17"/>
        </w:rPr>
        <w:t>R.</w:t>
      </w:r>
      <w:r>
        <w:rPr>
          <w:color w:val="231F20"/>
          <w:spacing w:val="26"/>
          <w:sz w:val="17"/>
        </w:rPr>
        <w:t xml:space="preserve"> </w:t>
      </w:r>
      <w:r>
        <w:rPr>
          <w:color w:val="231F20"/>
          <w:sz w:val="17"/>
        </w:rPr>
        <w:t>(1991)</w:t>
      </w:r>
      <w:r>
        <w:rPr>
          <w:color w:val="231F20"/>
          <w:spacing w:val="25"/>
          <w:sz w:val="17"/>
        </w:rPr>
        <w:t xml:space="preserve"> </w:t>
      </w:r>
      <w:r>
        <w:rPr>
          <w:color w:val="231F20"/>
          <w:sz w:val="17"/>
        </w:rPr>
        <w:t>Scotland’s</w:t>
      </w:r>
      <w:r>
        <w:rPr>
          <w:color w:val="231F20"/>
          <w:spacing w:val="26"/>
          <w:sz w:val="17"/>
        </w:rPr>
        <w:t xml:space="preserve"> </w:t>
      </w:r>
      <w:r>
        <w:rPr>
          <w:color w:val="231F20"/>
          <w:sz w:val="17"/>
        </w:rPr>
        <w:t>tartan</w:t>
      </w:r>
      <w:r>
        <w:rPr>
          <w:color w:val="231F20"/>
          <w:spacing w:val="26"/>
          <w:sz w:val="17"/>
        </w:rPr>
        <w:t xml:space="preserve"> </w:t>
      </w:r>
      <w:r>
        <w:rPr>
          <w:color w:val="231F20"/>
          <w:sz w:val="17"/>
        </w:rPr>
        <w:t>army</w:t>
      </w:r>
      <w:r>
        <w:rPr>
          <w:color w:val="231F20"/>
          <w:spacing w:val="25"/>
          <w:sz w:val="17"/>
        </w:rPr>
        <w:t xml:space="preserve"> </w:t>
      </w:r>
      <w:r>
        <w:rPr>
          <w:color w:val="231F20"/>
          <w:sz w:val="17"/>
        </w:rPr>
        <w:t>in</w:t>
      </w:r>
      <w:r>
        <w:rPr>
          <w:color w:val="231F20"/>
          <w:spacing w:val="26"/>
          <w:sz w:val="17"/>
        </w:rPr>
        <w:t xml:space="preserve"> </w:t>
      </w:r>
      <w:r>
        <w:rPr>
          <w:color w:val="231F20"/>
          <w:sz w:val="17"/>
        </w:rPr>
        <w:t>Italy:</w:t>
      </w:r>
      <w:r>
        <w:rPr>
          <w:color w:val="231F20"/>
          <w:spacing w:val="25"/>
          <w:sz w:val="17"/>
        </w:rPr>
        <w:t xml:space="preserve"> </w:t>
      </w:r>
      <w:r>
        <w:rPr>
          <w:color w:val="231F20"/>
          <w:sz w:val="17"/>
        </w:rPr>
        <w:t>The</w:t>
      </w:r>
      <w:r>
        <w:rPr>
          <w:color w:val="231F20"/>
          <w:spacing w:val="26"/>
          <w:sz w:val="17"/>
        </w:rPr>
        <w:t xml:space="preserve"> </w:t>
      </w:r>
      <w:r>
        <w:rPr>
          <w:color w:val="231F20"/>
          <w:sz w:val="17"/>
        </w:rPr>
        <w:t>case</w:t>
      </w:r>
      <w:r>
        <w:rPr>
          <w:color w:val="231F20"/>
          <w:spacing w:val="26"/>
          <w:sz w:val="17"/>
        </w:rPr>
        <w:t xml:space="preserve"> </w:t>
      </w:r>
      <w:r>
        <w:rPr>
          <w:color w:val="231F20"/>
          <w:sz w:val="17"/>
        </w:rPr>
        <w:t>for</w:t>
      </w:r>
      <w:r>
        <w:rPr>
          <w:color w:val="231F20"/>
          <w:spacing w:val="25"/>
          <w:sz w:val="17"/>
        </w:rPr>
        <w:t xml:space="preserve"> </w:t>
      </w:r>
      <w:r>
        <w:rPr>
          <w:color w:val="231F20"/>
          <w:sz w:val="17"/>
        </w:rPr>
        <w:t>the</w:t>
      </w:r>
      <w:r>
        <w:rPr>
          <w:color w:val="231F20"/>
          <w:spacing w:val="26"/>
          <w:sz w:val="17"/>
        </w:rPr>
        <w:t xml:space="preserve"> </w:t>
      </w:r>
      <w:r>
        <w:rPr>
          <w:color w:val="231F20"/>
          <w:spacing w:val="-2"/>
          <w:sz w:val="17"/>
        </w:rPr>
        <w:t>carnivalesques.</w:t>
      </w:r>
    </w:p>
    <w:p w14:paraId="03F8FA46" w14:textId="77777777" w:rsidR="00AE0598" w:rsidRDefault="0069255A">
      <w:pPr>
        <w:spacing w:before="1"/>
        <w:ind w:left="430"/>
        <w:rPr>
          <w:sz w:val="17"/>
        </w:rPr>
      </w:pPr>
      <w:r>
        <w:rPr>
          <w:i/>
          <w:color w:val="231F20"/>
          <w:sz w:val="17"/>
        </w:rPr>
        <w:t>Sociological</w:t>
      </w:r>
      <w:r>
        <w:rPr>
          <w:i/>
          <w:color w:val="231F20"/>
          <w:spacing w:val="4"/>
          <w:sz w:val="17"/>
        </w:rPr>
        <w:t xml:space="preserve"> </w:t>
      </w:r>
      <w:r>
        <w:rPr>
          <w:i/>
          <w:color w:val="231F20"/>
          <w:sz w:val="17"/>
        </w:rPr>
        <w:t>Review</w:t>
      </w:r>
      <w:r>
        <w:rPr>
          <w:i/>
          <w:color w:val="231F20"/>
          <w:spacing w:val="3"/>
          <w:sz w:val="17"/>
        </w:rPr>
        <w:t xml:space="preserve"> </w:t>
      </w:r>
      <w:r>
        <w:rPr>
          <w:color w:val="231F20"/>
          <w:sz w:val="17"/>
        </w:rPr>
        <w:t>39</w:t>
      </w:r>
      <w:r>
        <w:rPr>
          <w:color w:val="231F20"/>
          <w:spacing w:val="5"/>
          <w:sz w:val="17"/>
        </w:rPr>
        <w:t xml:space="preserve"> </w:t>
      </w:r>
      <w:r>
        <w:rPr>
          <w:color w:val="231F20"/>
          <w:sz w:val="17"/>
        </w:rPr>
        <w:t>(3),</w:t>
      </w:r>
      <w:r>
        <w:rPr>
          <w:color w:val="231F20"/>
          <w:spacing w:val="4"/>
          <w:sz w:val="17"/>
        </w:rPr>
        <w:t xml:space="preserve"> </w:t>
      </w:r>
      <w:r>
        <w:rPr>
          <w:color w:val="231F20"/>
          <w:spacing w:val="-2"/>
          <w:sz w:val="17"/>
        </w:rPr>
        <w:t>503–527.</w:t>
      </w:r>
    </w:p>
    <w:p w14:paraId="01A60B87" w14:textId="77777777" w:rsidR="00AE0598" w:rsidRDefault="0069255A">
      <w:pPr>
        <w:ind w:left="430" w:right="128" w:hanging="320"/>
        <w:jc w:val="both"/>
        <w:rPr>
          <w:sz w:val="17"/>
        </w:rPr>
      </w:pPr>
      <w:r>
        <w:rPr>
          <w:color w:val="231F20"/>
          <w:sz w:val="17"/>
        </w:rPr>
        <w:t>Giulianotti,</w:t>
      </w:r>
      <w:r>
        <w:rPr>
          <w:color w:val="231F20"/>
          <w:spacing w:val="40"/>
          <w:sz w:val="17"/>
        </w:rPr>
        <w:t xml:space="preserve"> </w:t>
      </w:r>
      <w:r>
        <w:rPr>
          <w:color w:val="231F20"/>
          <w:sz w:val="17"/>
        </w:rPr>
        <w:t>R.</w:t>
      </w:r>
      <w:r>
        <w:rPr>
          <w:color w:val="231F20"/>
          <w:spacing w:val="40"/>
          <w:sz w:val="17"/>
        </w:rPr>
        <w:t xml:space="preserve"> </w:t>
      </w:r>
      <w:r>
        <w:rPr>
          <w:color w:val="231F20"/>
          <w:sz w:val="17"/>
        </w:rPr>
        <w:t>(1995a)</w:t>
      </w:r>
      <w:r>
        <w:rPr>
          <w:color w:val="231F20"/>
          <w:spacing w:val="40"/>
          <w:sz w:val="17"/>
        </w:rPr>
        <w:t xml:space="preserve"> </w:t>
      </w:r>
      <w:r>
        <w:rPr>
          <w:color w:val="231F20"/>
          <w:sz w:val="17"/>
        </w:rPr>
        <w:t>Football</w:t>
      </w:r>
      <w:r>
        <w:rPr>
          <w:color w:val="231F20"/>
          <w:spacing w:val="40"/>
          <w:sz w:val="17"/>
        </w:rPr>
        <w:t xml:space="preserve"> </w:t>
      </w:r>
      <w:r>
        <w:rPr>
          <w:color w:val="231F20"/>
          <w:sz w:val="17"/>
        </w:rPr>
        <w:t>and</w:t>
      </w:r>
      <w:r>
        <w:rPr>
          <w:color w:val="231F20"/>
          <w:spacing w:val="40"/>
          <w:sz w:val="17"/>
        </w:rPr>
        <w:t xml:space="preserve"> </w:t>
      </w:r>
      <w:r>
        <w:rPr>
          <w:color w:val="231F20"/>
          <w:sz w:val="17"/>
        </w:rPr>
        <w:t>the</w:t>
      </w:r>
      <w:r>
        <w:rPr>
          <w:color w:val="231F20"/>
          <w:spacing w:val="40"/>
          <w:sz w:val="17"/>
        </w:rPr>
        <w:t xml:space="preserve"> </w:t>
      </w:r>
      <w:r>
        <w:rPr>
          <w:color w:val="231F20"/>
          <w:sz w:val="17"/>
        </w:rPr>
        <w:t>politics</w:t>
      </w:r>
      <w:r>
        <w:rPr>
          <w:color w:val="231F20"/>
          <w:spacing w:val="40"/>
          <w:sz w:val="17"/>
        </w:rPr>
        <w:t xml:space="preserve"> </w:t>
      </w:r>
      <w:r>
        <w:rPr>
          <w:color w:val="231F20"/>
          <w:sz w:val="17"/>
        </w:rPr>
        <w:t>of</w:t>
      </w:r>
      <w:r>
        <w:rPr>
          <w:color w:val="231F20"/>
          <w:spacing w:val="40"/>
          <w:sz w:val="17"/>
        </w:rPr>
        <w:t xml:space="preserve"> </w:t>
      </w:r>
      <w:r>
        <w:rPr>
          <w:color w:val="231F20"/>
          <w:sz w:val="17"/>
        </w:rPr>
        <w:t>carnival:</w:t>
      </w:r>
      <w:r>
        <w:rPr>
          <w:color w:val="231F20"/>
          <w:spacing w:val="40"/>
          <w:sz w:val="17"/>
        </w:rPr>
        <w:t xml:space="preserve"> </w:t>
      </w:r>
      <w:r>
        <w:rPr>
          <w:color w:val="231F20"/>
          <w:sz w:val="17"/>
        </w:rPr>
        <w:t>An</w:t>
      </w:r>
      <w:r>
        <w:rPr>
          <w:color w:val="231F20"/>
          <w:spacing w:val="40"/>
          <w:sz w:val="17"/>
        </w:rPr>
        <w:t xml:space="preserve"> </w:t>
      </w:r>
      <w:r>
        <w:rPr>
          <w:color w:val="231F20"/>
          <w:sz w:val="17"/>
        </w:rPr>
        <w:t>ethnographic</w:t>
      </w:r>
      <w:r>
        <w:rPr>
          <w:color w:val="231F20"/>
          <w:spacing w:val="40"/>
          <w:sz w:val="17"/>
        </w:rPr>
        <w:t xml:space="preserve"> </w:t>
      </w:r>
      <w:r>
        <w:rPr>
          <w:color w:val="231F20"/>
          <w:sz w:val="17"/>
        </w:rPr>
        <w:t>study</w:t>
      </w:r>
      <w:r>
        <w:rPr>
          <w:color w:val="231F20"/>
          <w:spacing w:val="40"/>
          <w:sz w:val="17"/>
        </w:rPr>
        <w:t xml:space="preserve"> </w:t>
      </w:r>
      <w:r>
        <w:rPr>
          <w:color w:val="231F20"/>
          <w:sz w:val="17"/>
        </w:rPr>
        <w:t xml:space="preserve">of Scottish fans in Sweden. </w:t>
      </w:r>
      <w:r>
        <w:rPr>
          <w:i/>
          <w:color w:val="231F20"/>
          <w:sz w:val="17"/>
        </w:rPr>
        <w:t xml:space="preserve">International Review for the Sociology of Sport </w:t>
      </w:r>
      <w:r>
        <w:rPr>
          <w:color w:val="231F20"/>
          <w:sz w:val="17"/>
        </w:rPr>
        <w:t>30 (2),</w:t>
      </w:r>
      <w:r>
        <w:rPr>
          <w:color w:val="231F20"/>
          <w:spacing w:val="40"/>
          <w:sz w:val="17"/>
        </w:rPr>
        <w:t xml:space="preserve"> </w:t>
      </w:r>
      <w:r>
        <w:rPr>
          <w:color w:val="231F20"/>
          <w:spacing w:val="-2"/>
          <w:sz w:val="17"/>
        </w:rPr>
        <w:t>191–223.</w:t>
      </w:r>
    </w:p>
    <w:p w14:paraId="5A14E114" w14:textId="77777777" w:rsidR="00AE0598" w:rsidRDefault="0069255A">
      <w:pPr>
        <w:spacing w:before="3"/>
        <w:ind w:left="430" w:right="128" w:hanging="320"/>
        <w:jc w:val="both"/>
        <w:rPr>
          <w:sz w:val="17"/>
        </w:rPr>
      </w:pPr>
      <w:r>
        <w:rPr>
          <w:color w:val="231F20"/>
          <w:sz w:val="17"/>
        </w:rPr>
        <w:t>Giulianotti, R. (1995b) Participant observation and research into football hooliganism:</w:t>
      </w:r>
      <w:r>
        <w:rPr>
          <w:color w:val="231F20"/>
          <w:spacing w:val="40"/>
          <w:sz w:val="17"/>
        </w:rPr>
        <w:t xml:space="preserve"> </w:t>
      </w:r>
      <w:r>
        <w:rPr>
          <w:color w:val="231F20"/>
          <w:sz w:val="17"/>
        </w:rPr>
        <w:t>Reflections on the problems of entree and everyday risks</w:t>
      </w:r>
      <w:r>
        <w:rPr>
          <w:color w:val="231F20"/>
          <w:sz w:val="17"/>
        </w:rPr>
        <w:t xml:space="preserve">. </w:t>
      </w:r>
      <w:r>
        <w:rPr>
          <w:i/>
          <w:color w:val="231F20"/>
          <w:sz w:val="17"/>
        </w:rPr>
        <w:t>Sociology of Sport Journal</w:t>
      </w:r>
      <w:r>
        <w:rPr>
          <w:i/>
          <w:color w:val="231F20"/>
          <w:spacing w:val="40"/>
          <w:sz w:val="17"/>
        </w:rPr>
        <w:t xml:space="preserve"> </w:t>
      </w:r>
      <w:r>
        <w:rPr>
          <w:color w:val="231F20"/>
          <w:sz w:val="17"/>
        </w:rPr>
        <w:t>12 (1), 1–20.</w:t>
      </w:r>
    </w:p>
    <w:p w14:paraId="6E0BAE74" w14:textId="77777777" w:rsidR="00AE0598" w:rsidRDefault="0069255A">
      <w:pPr>
        <w:spacing w:before="2"/>
        <w:ind w:left="430" w:right="127" w:hanging="320"/>
        <w:jc w:val="both"/>
        <w:rPr>
          <w:sz w:val="17"/>
        </w:rPr>
      </w:pPr>
      <w:r>
        <w:rPr>
          <w:color w:val="231F20"/>
          <w:sz w:val="17"/>
        </w:rPr>
        <w:t>Giulianotti, R. (1996) Back to the future: An ethnography of Ireland’s football fans at the</w:t>
      </w:r>
      <w:r>
        <w:rPr>
          <w:color w:val="231F20"/>
          <w:spacing w:val="40"/>
          <w:sz w:val="17"/>
        </w:rPr>
        <w:t xml:space="preserve"> </w:t>
      </w:r>
      <w:r>
        <w:rPr>
          <w:color w:val="231F20"/>
          <w:sz w:val="17"/>
        </w:rPr>
        <w:t xml:space="preserve">1994 World Cup finals in the USA. </w:t>
      </w:r>
      <w:r>
        <w:rPr>
          <w:i/>
          <w:color w:val="231F20"/>
          <w:sz w:val="17"/>
        </w:rPr>
        <w:t xml:space="preserve">International Review for the Sociology of Sport </w:t>
      </w:r>
      <w:r>
        <w:rPr>
          <w:color w:val="231F20"/>
          <w:sz w:val="17"/>
        </w:rPr>
        <w:t>31</w:t>
      </w:r>
      <w:r>
        <w:rPr>
          <w:color w:val="231F20"/>
          <w:spacing w:val="40"/>
          <w:sz w:val="17"/>
        </w:rPr>
        <w:t xml:space="preserve"> </w:t>
      </w:r>
      <w:r>
        <w:rPr>
          <w:color w:val="231F20"/>
          <w:sz w:val="17"/>
        </w:rPr>
        <w:t>(3), 323–347.</w:t>
      </w:r>
    </w:p>
    <w:p w14:paraId="51309CEA" w14:textId="77777777" w:rsidR="00AE0598" w:rsidRDefault="0069255A">
      <w:pPr>
        <w:spacing w:before="2"/>
        <w:ind w:left="110"/>
        <w:jc w:val="both"/>
        <w:rPr>
          <w:sz w:val="17"/>
        </w:rPr>
      </w:pPr>
      <w:r>
        <w:rPr>
          <w:color w:val="231F20"/>
          <w:sz w:val="17"/>
        </w:rPr>
        <w:t>Giulianotti,</w:t>
      </w:r>
      <w:r>
        <w:rPr>
          <w:color w:val="231F20"/>
          <w:spacing w:val="7"/>
          <w:sz w:val="17"/>
        </w:rPr>
        <w:t xml:space="preserve"> </w:t>
      </w:r>
      <w:r>
        <w:rPr>
          <w:color w:val="231F20"/>
          <w:sz w:val="17"/>
        </w:rPr>
        <w:t>R.</w:t>
      </w:r>
      <w:r>
        <w:rPr>
          <w:color w:val="231F20"/>
          <w:spacing w:val="8"/>
          <w:sz w:val="17"/>
        </w:rPr>
        <w:t xml:space="preserve"> </w:t>
      </w:r>
      <w:r>
        <w:rPr>
          <w:color w:val="231F20"/>
          <w:sz w:val="17"/>
        </w:rPr>
        <w:t>(2016)</w:t>
      </w:r>
      <w:r>
        <w:rPr>
          <w:color w:val="231F20"/>
          <w:spacing w:val="8"/>
          <w:sz w:val="17"/>
        </w:rPr>
        <w:t xml:space="preserve"> </w:t>
      </w:r>
      <w:r>
        <w:rPr>
          <w:i/>
          <w:color w:val="231F20"/>
          <w:sz w:val="17"/>
        </w:rPr>
        <w:t>Sport:</w:t>
      </w:r>
      <w:r>
        <w:rPr>
          <w:i/>
          <w:color w:val="231F20"/>
          <w:spacing w:val="8"/>
          <w:sz w:val="17"/>
        </w:rPr>
        <w:t xml:space="preserve"> </w:t>
      </w:r>
      <w:r>
        <w:rPr>
          <w:i/>
          <w:color w:val="231F20"/>
          <w:sz w:val="17"/>
        </w:rPr>
        <w:t>A</w:t>
      </w:r>
      <w:r>
        <w:rPr>
          <w:i/>
          <w:color w:val="231F20"/>
          <w:spacing w:val="7"/>
          <w:sz w:val="17"/>
        </w:rPr>
        <w:t xml:space="preserve"> </w:t>
      </w:r>
      <w:r>
        <w:rPr>
          <w:i/>
          <w:color w:val="231F20"/>
          <w:sz w:val="17"/>
        </w:rPr>
        <w:t>Critical</w:t>
      </w:r>
      <w:r>
        <w:rPr>
          <w:i/>
          <w:color w:val="231F20"/>
          <w:spacing w:val="8"/>
          <w:sz w:val="17"/>
        </w:rPr>
        <w:t xml:space="preserve"> </w:t>
      </w:r>
      <w:r>
        <w:rPr>
          <w:i/>
          <w:color w:val="231F20"/>
          <w:sz w:val="17"/>
        </w:rPr>
        <w:t>Sociology</w:t>
      </w:r>
      <w:r>
        <w:rPr>
          <w:i/>
          <w:color w:val="231F20"/>
          <w:spacing w:val="7"/>
          <w:sz w:val="17"/>
        </w:rPr>
        <w:t xml:space="preserve"> </w:t>
      </w:r>
      <w:r>
        <w:rPr>
          <w:color w:val="231F20"/>
          <w:sz w:val="17"/>
        </w:rPr>
        <w:t>(2nd</w:t>
      </w:r>
      <w:r>
        <w:rPr>
          <w:color w:val="231F20"/>
          <w:spacing w:val="8"/>
          <w:sz w:val="17"/>
        </w:rPr>
        <w:t xml:space="preserve"> </w:t>
      </w:r>
      <w:r>
        <w:rPr>
          <w:color w:val="231F20"/>
          <w:sz w:val="17"/>
        </w:rPr>
        <w:t>edn).</w:t>
      </w:r>
      <w:r>
        <w:rPr>
          <w:color w:val="231F20"/>
          <w:spacing w:val="7"/>
          <w:sz w:val="17"/>
        </w:rPr>
        <w:t xml:space="preserve"> </w:t>
      </w:r>
      <w:r>
        <w:rPr>
          <w:color w:val="231F20"/>
          <w:sz w:val="17"/>
        </w:rPr>
        <w:t>Oxford:</w:t>
      </w:r>
      <w:r>
        <w:rPr>
          <w:color w:val="231F20"/>
          <w:spacing w:val="8"/>
          <w:sz w:val="17"/>
        </w:rPr>
        <w:t xml:space="preserve"> </w:t>
      </w:r>
      <w:r>
        <w:rPr>
          <w:color w:val="231F20"/>
          <w:sz w:val="17"/>
        </w:rPr>
        <w:t>Polity</w:t>
      </w:r>
      <w:r>
        <w:rPr>
          <w:color w:val="231F20"/>
          <w:spacing w:val="7"/>
          <w:sz w:val="17"/>
        </w:rPr>
        <w:t xml:space="preserve"> </w:t>
      </w:r>
      <w:r>
        <w:rPr>
          <w:color w:val="231F20"/>
          <w:spacing w:val="-2"/>
          <w:sz w:val="17"/>
        </w:rPr>
        <w:t>Press.</w:t>
      </w:r>
    </w:p>
    <w:p w14:paraId="510091C0" w14:textId="77777777" w:rsidR="00AE0598" w:rsidRDefault="0069255A">
      <w:pPr>
        <w:ind w:left="430" w:hanging="320"/>
        <w:rPr>
          <w:sz w:val="17"/>
        </w:rPr>
      </w:pPr>
      <w:r>
        <w:rPr>
          <w:color w:val="231F20"/>
          <w:sz w:val="17"/>
        </w:rPr>
        <w:t>Glyptis,</w:t>
      </w:r>
      <w:r>
        <w:rPr>
          <w:color w:val="231F20"/>
          <w:spacing w:val="40"/>
          <w:sz w:val="17"/>
        </w:rPr>
        <w:t xml:space="preserve"> </w:t>
      </w:r>
      <w:r>
        <w:rPr>
          <w:color w:val="231F20"/>
          <w:sz w:val="17"/>
        </w:rPr>
        <w:t>S.A.</w:t>
      </w:r>
      <w:r>
        <w:rPr>
          <w:color w:val="231F20"/>
          <w:spacing w:val="40"/>
          <w:sz w:val="17"/>
        </w:rPr>
        <w:t xml:space="preserve"> </w:t>
      </w:r>
      <w:r>
        <w:rPr>
          <w:color w:val="231F20"/>
          <w:sz w:val="17"/>
        </w:rPr>
        <w:t>(1982)</w:t>
      </w:r>
      <w:r>
        <w:rPr>
          <w:color w:val="231F20"/>
          <w:spacing w:val="40"/>
          <w:sz w:val="17"/>
        </w:rPr>
        <w:t xml:space="preserve"> </w:t>
      </w:r>
      <w:r>
        <w:rPr>
          <w:i/>
          <w:color w:val="231F20"/>
          <w:sz w:val="17"/>
        </w:rPr>
        <w:t>Sport</w:t>
      </w:r>
      <w:r>
        <w:rPr>
          <w:i/>
          <w:color w:val="231F20"/>
          <w:spacing w:val="40"/>
          <w:sz w:val="17"/>
        </w:rPr>
        <w:t xml:space="preserve"> </w:t>
      </w:r>
      <w:r>
        <w:rPr>
          <w:i/>
          <w:color w:val="231F20"/>
          <w:sz w:val="17"/>
        </w:rPr>
        <w:t>and</w:t>
      </w:r>
      <w:r>
        <w:rPr>
          <w:i/>
          <w:color w:val="231F20"/>
          <w:spacing w:val="40"/>
          <w:sz w:val="17"/>
        </w:rPr>
        <w:t xml:space="preserve"> </w:t>
      </w:r>
      <w:r>
        <w:rPr>
          <w:i/>
          <w:color w:val="231F20"/>
          <w:sz w:val="17"/>
        </w:rPr>
        <w:t>Tourism</w:t>
      </w:r>
      <w:r>
        <w:rPr>
          <w:i/>
          <w:color w:val="231F20"/>
          <w:spacing w:val="40"/>
          <w:sz w:val="17"/>
        </w:rPr>
        <w:t xml:space="preserve"> </w:t>
      </w:r>
      <w:r>
        <w:rPr>
          <w:i/>
          <w:color w:val="231F20"/>
          <w:sz w:val="17"/>
        </w:rPr>
        <w:t>in</w:t>
      </w:r>
      <w:r>
        <w:rPr>
          <w:i/>
          <w:color w:val="231F20"/>
          <w:spacing w:val="40"/>
          <w:sz w:val="17"/>
        </w:rPr>
        <w:t xml:space="preserve"> </w:t>
      </w:r>
      <w:r>
        <w:rPr>
          <w:i/>
          <w:color w:val="231F20"/>
          <w:sz w:val="17"/>
        </w:rPr>
        <w:t>Western</w:t>
      </w:r>
      <w:r>
        <w:rPr>
          <w:i/>
          <w:color w:val="231F20"/>
          <w:spacing w:val="40"/>
          <w:sz w:val="17"/>
        </w:rPr>
        <w:t xml:space="preserve"> </w:t>
      </w:r>
      <w:r>
        <w:rPr>
          <w:i/>
          <w:color w:val="231F20"/>
          <w:sz w:val="17"/>
        </w:rPr>
        <w:t>Europe</w:t>
      </w:r>
      <w:r>
        <w:rPr>
          <w:color w:val="231F20"/>
          <w:sz w:val="17"/>
        </w:rPr>
        <w:t>.</w:t>
      </w:r>
      <w:r>
        <w:rPr>
          <w:color w:val="231F20"/>
          <w:spacing w:val="40"/>
          <w:sz w:val="17"/>
        </w:rPr>
        <w:t xml:space="preserve"> </w:t>
      </w:r>
      <w:r>
        <w:rPr>
          <w:color w:val="231F20"/>
          <w:sz w:val="17"/>
        </w:rPr>
        <w:t>London:</w:t>
      </w:r>
      <w:r>
        <w:rPr>
          <w:color w:val="231F20"/>
          <w:spacing w:val="40"/>
          <w:sz w:val="17"/>
        </w:rPr>
        <w:t xml:space="preserve"> </w:t>
      </w:r>
      <w:r>
        <w:rPr>
          <w:color w:val="231F20"/>
          <w:sz w:val="17"/>
        </w:rPr>
        <w:t>British</w:t>
      </w:r>
      <w:r>
        <w:rPr>
          <w:color w:val="231F20"/>
          <w:spacing w:val="40"/>
          <w:sz w:val="17"/>
        </w:rPr>
        <w:t xml:space="preserve"> </w:t>
      </w:r>
      <w:r>
        <w:rPr>
          <w:color w:val="231F20"/>
          <w:sz w:val="17"/>
        </w:rPr>
        <w:t>Travel</w:t>
      </w:r>
      <w:r>
        <w:rPr>
          <w:color w:val="231F20"/>
          <w:spacing w:val="40"/>
          <w:sz w:val="17"/>
        </w:rPr>
        <w:t xml:space="preserve"> </w:t>
      </w:r>
      <w:r>
        <w:rPr>
          <w:color w:val="231F20"/>
          <w:sz w:val="17"/>
        </w:rPr>
        <w:t>Education Trust.</w:t>
      </w:r>
    </w:p>
    <w:p w14:paraId="1DE45D4D" w14:textId="77777777" w:rsidR="00AE0598" w:rsidRDefault="0069255A">
      <w:pPr>
        <w:spacing w:before="2"/>
        <w:ind w:left="430" w:hanging="320"/>
        <w:rPr>
          <w:sz w:val="17"/>
        </w:rPr>
      </w:pPr>
      <w:r>
        <w:rPr>
          <w:color w:val="231F20"/>
          <w:w w:val="95"/>
          <w:sz w:val="17"/>
        </w:rPr>
        <w:t>Glyptis, S.A. (1989) Leisure and patterns of time use. Paper presented at the Leisure Studies</w:t>
      </w:r>
      <w:r>
        <w:rPr>
          <w:color w:val="231F20"/>
          <w:spacing w:val="40"/>
          <w:sz w:val="17"/>
        </w:rPr>
        <w:t xml:space="preserve"> </w:t>
      </w:r>
      <w:r>
        <w:rPr>
          <w:color w:val="231F20"/>
          <w:sz w:val="17"/>
        </w:rPr>
        <w:t>Association Annual Conference, Bournemouth, England, 24–26 April 1987.</w:t>
      </w:r>
    </w:p>
    <w:p w14:paraId="5CDC11B0" w14:textId="77777777" w:rsidR="00AE0598" w:rsidRDefault="0069255A">
      <w:pPr>
        <w:spacing w:before="1"/>
        <w:ind w:left="430" w:right="286" w:hanging="320"/>
        <w:rPr>
          <w:sz w:val="17"/>
        </w:rPr>
      </w:pPr>
      <w:r>
        <w:rPr>
          <w:color w:val="231F20"/>
          <w:w w:val="95"/>
          <w:sz w:val="17"/>
        </w:rPr>
        <w:t xml:space="preserve">Glyptis, S.A. (1991) Sport and tourism. In C.P. Cooper (ed.) </w:t>
      </w:r>
      <w:r>
        <w:rPr>
          <w:i/>
          <w:color w:val="231F20"/>
          <w:w w:val="95"/>
          <w:sz w:val="17"/>
        </w:rPr>
        <w:t>Progress in Tourism, Recreation</w:t>
      </w:r>
      <w:r>
        <w:rPr>
          <w:i/>
          <w:color w:val="231F20"/>
          <w:spacing w:val="80"/>
          <w:sz w:val="17"/>
        </w:rPr>
        <w:t xml:space="preserve"> </w:t>
      </w:r>
      <w:r>
        <w:rPr>
          <w:i/>
          <w:color w:val="231F20"/>
          <w:sz w:val="17"/>
        </w:rPr>
        <w:t xml:space="preserve">and Hospitality Management </w:t>
      </w:r>
      <w:r>
        <w:rPr>
          <w:color w:val="231F20"/>
          <w:sz w:val="17"/>
        </w:rPr>
        <w:t>(pp. 165–187). London: Belhaven Press.</w:t>
      </w:r>
    </w:p>
    <w:p w14:paraId="019F680E" w14:textId="77777777" w:rsidR="00AE0598" w:rsidRDefault="0069255A">
      <w:pPr>
        <w:spacing w:before="2"/>
        <w:ind w:left="430" w:hanging="320"/>
        <w:rPr>
          <w:sz w:val="17"/>
        </w:rPr>
      </w:pPr>
      <w:r>
        <w:rPr>
          <w:color w:val="231F20"/>
          <w:sz w:val="17"/>
        </w:rPr>
        <w:t>Go,</w:t>
      </w:r>
      <w:r>
        <w:rPr>
          <w:color w:val="231F20"/>
          <w:spacing w:val="28"/>
          <w:sz w:val="17"/>
        </w:rPr>
        <w:t xml:space="preserve"> </w:t>
      </w:r>
      <w:r>
        <w:rPr>
          <w:color w:val="231F20"/>
          <w:sz w:val="17"/>
        </w:rPr>
        <w:t>F.M.</w:t>
      </w:r>
      <w:r>
        <w:rPr>
          <w:color w:val="231F20"/>
          <w:spacing w:val="28"/>
          <w:sz w:val="17"/>
        </w:rPr>
        <w:t xml:space="preserve"> </w:t>
      </w:r>
      <w:r>
        <w:rPr>
          <w:color w:val="231F20"/>
          <w:sz w:val="17"/>
        </w:rPr>
        <w:t>(2004)</w:t>
      </w:r>
      <w:r>
        <w:rPr>
          <w:color w:val="231F20"/>
          <w:spacing w:val="28"/>
          <w:sz w:val="17"/>
        </w:rPr>
        <w:t xml:space="preserve"> </w:t>
      </w:r>
      <w:r>
        <w:rPr>
          <w:color w:val="231F20"/>
          <w:sz w:val="17"/>
        </w:rPr>
        <w:t>Tourism</w:t>
      </w:r>
      <w:r>
        <w:rPr>
          <w:color w:val="231F20"/>
          <w:spacing w:val="28"/>
          <w:sz w:val="17"/>
        </w:rPr>
        <w:t xml:space="preserve"> </w:t>
      </w:r>
      <w:r>
        <w:rPr>
          <w:color w:val="231F20"/>
          <w:sz w:val="17"/>
        </w:rPr>
        <w:t>in</w:t>
      </w:r>
      <w:r>
        <w:rPr>
          <w:color w:val="231F20"/>
          <w:spacing w:val="28"/>
          <w:sz w:val="17"/>
        </w:rPr>
        <w:t xml:space="preserve"> </w:t>
      </w:r>
      <w:r>
        <w:rPr>
          <w:color w:val="231F20"/>
          <w:sz w:val="17"/>
        </w:rPr>
        <w:t>the</w:t>
      </w:r>
      <w:r>
        <w:rPr>
          <w:color w:val="231F20"/>
          <w:spacing w:val="28"/>
          <w:sz w:val="17"/>
        </w:rPr>
        <w:t xml:space="preserve"> </w:t>
      </w:r>
      <w:r>
        <w:rPr>
          <w:color w:val="231F20"/>
          <w:sz w:val="17"/>
        </w:rPr>
        <w:t>context</w:t>
      </w:r>
      <w:r>
        <w:rPr>
          <w:color w:val="231F20"/>
          <w:spacing w:val="28"/>
          <w:sz w:val="17"/>
        </w:rPr>
        <w:t xml:space="preserve"> </w:t>
      </w:r>
      <w:r>
        <w:rPr>
          <w:color w:val="231F20"/>
          <w:sz w:val="17"/>
        </w:rPr>
        <w:t>of</w:t>
      </w:r>
      <w:r>
        <w:rPr>
          <w:color w:val="231F20"/>
          <w:spacing w:val="28"/>
          <w:sz w:val="17"/>
        </w:rPr>
        <w:t xml:space="preserve"> </w:t>
      </w:r>
      <w:r>
        <w:rPr>
          <w:color w:val="231F20"/>
          <w:sz w:val="17"/>
        </w:rPr>
        <w:t>globalization.</w:t>
      </w:r>
      <w:r>
        <w:rPr>
          <w:color w:val="231F20"/>
          <w:spacing w:val="28"/>
          <w:sz w:val="17"/>
        </w:rPr>
        <w:t xml:space="preserve"> </w:t>
      </w:r>
      <w:r>
        <w:rPr>
          <w:color w:val="231F20"/>
          <w:sz w:val="17"/>
        </w:rPr>
        <w:t>In</w:t>
      </w:r>
      <w:r>
        <w:rPr>
          <w:color w:val="231F20"/>
          <w:spacing w:val="28"/>
          <w:sz w:val="17"/>
        </w:rPr>
        <w:t xml:space="preserve"> </w:t>
      </w:r>
      <w:r>
        <w:rPr>
          <w:color w:val="231F20"/>
          <w:sz w:val="17"/>
        </w:rPr>
        <w:t>S.</w:t>
      </w:r>
      <w:r>
        <w:rPr>
          <w:color w:val="231F20"/>
          <w:spacing w:val="28"/>
          <w:sz w:val="17"/>
        </w:rPr>
        <w:t xml:space="preserve"> </w:t>
      </w:r>
      <w:r>
        <w:rPr>
          <w:color w:val="231F20"/>
          <w:sz w:val="17"/>
        </w:rPr>
        <w:t>Williams</w:t>
      </w:r>
      <w:r>
        <w:rPr>
          <w:color w:val="231F20"/>
          <w:spacing w:val="28"/>
          <w:sz w:val="17"/>
        </w:rPr>
        <w:t xml:space="preserve"> </w:t>
      </w:r>
      <w:r>
        <w:rPr>
          <w:color w:val="231F20"/>
          <w:sz w:val="17"/>
        </w:rPr>
        <w:t>(ed.)</w:t>
      </w:r>
      <w:r>
        <w:rPr>
          <w:color w:val="231F20"/>
          <w:spacing w:val="28"/>
          <w:sz w:val="17"/>
        </w:rPr>
        <w:t xml:space="preserve"> </w:t>
      </w:r>
      <w:r>
        <w:rPr>
          <w:i/>
          <w:color w:val="231F20"/>
          <w:sz w:val="17"/>
        </w:rPr>
        <w:t>Tourism:</w:t>
      </w:r>
      <w:r>
        <w:rPr>
          <w:i/>
          <w:color w:val="231F20"/>
          <w:spacing w:val="40"/>
          <w:sz w:val="17"/>
        </w:rPr>
        <w:t xml:space="preserve"> </w:t>
      </w:r>
      <w:r>
        <w:rPr>
          <w:i/>
          <w:color w:val="231F20"/>
          <w:sz w:val="17"/>
        </w:rPr>
        <w:t xml:space="preserve">Critical Concepts in the Social Sciences </w:t>
      </w:r>
      <w:r>
        <w:rPr>
          <w:color w:val="231F20"/>
          <w:sz w:val="17"/>
        </w:rPr>
        <w:t>(pp. 49–80). London: Routledge.</w:t>
      </w:r>
    </w:p>
    <w:p w14:paraId="5B678FC4" w14:textId="77777777" w:rsidR="00AE0598" w:rsidRDefault="0069255A">
      <w:pPr>
        <w:spacing w:before="1"/>
        <w:ind w:left="430" w:hanging="320"/>
        <w:rPr>
          <w:sz w:val="17"/>
        </w:rPr>
      </w:pPr>
      <w:r>
        <w:rPr>
          <w:color w:val="231F20"/>
          <w:sz w:val="17"/>
        </w:rPr>
        <w:t xml:space="preserve">Godbey, G. and Graefe, A. (1991) Repeat tourism, play and monetary spending. </w:t>
      </w:r>
      <w:r>
        <w:rPr>
          <w:i/>
          <w:color w:val="231F20"/>
          <w:sz w:val="17"/>
        </w:rPr>
        <w:t>Annals of</w:t>
      </w:r>
      <w:r>
        <w:rPr>
          <w:i/>
          <w:color w:val="231F20"/>
          <w:spacing w:val="40"/>
          <w:sz w:val="17"/>
        </w:rPr>
        <w:t xml:space="preserve"> </w:t>
      </w:r>
      <w:r>
        <w:rPr>
          <w:i/>
          <w:color w:val="231F20"/>
          <w:sz w:val="17"/>
        </w:rPr>
        <w:t xml:space="preserve">Tourism Research </w:t>
      </w:r>
      <w:r>
        <w:rPr>
          <w:color w:val="231F20"/>
          <w:sz w:val="17"/>
        </w:rPr>
        <w:t>18 (2), 213–225.</w:t>
      </w:r>
    </w:p>
    <w:p w14:paraId="2F033244" w14:textId="77777777" w:rsidR="00AE0598" w:rsidRDefault="0069255A">
      <w:pPr>
        <w:spacing w:before="1"/>
        <w:ind w:left="430" w:hanging="320"/>
        <w:rPr>
          <w:sz w:val="17"/>
        </w:rPr>
      </w:pPr>
      <w:r>
        <w:rPr>
          <w:color w:val="231F20"/>
          <w:w w:val="105"/>
          <w:sz w:val="17"/>
        </w:rPr>
        <w:t xml:space="preserve">Gold, J.R. and Gold, M.M. (eds) (2016) </w:t>
      </w:r>
      <w:r>
        <w:rPr>
          <w:i/>
          <w:color w:val="231F20"/>
          <w:w w:val="105"/>
          <w:sz w:val="17"/>
        </w:rPr>
        <w:t>Olympic Cities: City Ag</w:t>
      </w:r>
      <w:r>
        <w:rPr>
          <w:i/>
          <w:color w:val="231F20"/>
          <w:w w:val="105"/>
          <w:sz w:val="17"/>
        </w:rPr>
        <w:t>endas, Planning, and the</w:t>
      </w:r>
      <w:r>
        <w:rPr>
          <w:i/>
          <w:color w:val="231F20"/>
          <w:spacing w:val="40"/>
          <w:w w:val="105"/>
          <w:sz w:val="17"/>
        </w:rPr>
        <w:t xml:space="preserve"> </w:t>
      </w:r>
      <w:r>
        <w:rPr>
          <w:i/>
          <w:color w:val="231F20"/>
          <w:w w:val="105"/>
          <w:sz w:val="17"/>
        </w:rPr>
        <w:t>World’s Games, 1896–2020</w:t>
      </w:r>
      <w:r>
        <w:rPr>
          <w:color w:val="231F20"/>
          <w:w w:val="105"/>
          <w:sz w:val="17"/>
        </w:rPr>
        <w:t>. London: Routledge.</w:t>
      </w:r>
    </w:p>
    <w:p w14:paraId="28AC1466" w14:textId="77777777" w:rsidR="00AE0598" w:rsidRDefault="0069255A">
      <w:pPr>
        <w:spacing w:before="2"/>
        <w:ind w:left="110"/>
        <w:rPr>
          <w:sz w:val="17"/>
        </w:rPr>
      </w:pPr>
      <w:r>
        <w:rPr>
          <w:color w:val="231F20"/>
          <w:sz w:val="17"/>
        </w:rPr>
        <w:t>Goldman,</w:t>
      </w:r>
      <w:r>
        <w:rPr>
          <w:color w:val="231F20"/>
          <w:spacing w:val="7"/>
          <w:sz w:val="17"/>
        </w:rPr>
        <w:t xml:space="preserve"> </w:t>
      </w:r>
      <w:r>
        <w:rPr>
          <w:color w:val="231F20"/>
          <w:sz w:val="17"/>
        </w:rPr>
        <w:t>R.</w:t>
      </w:r>
      <w:r>
        <w:rPr>
          <w:color w:val="231F20"/>
          <w:spacing w:val="8"/>
          <w:sz w:val="17"/>
        </w:rPr>
        <w:t xml:space="preserve"> </w:t>
      </w:r>
      <w:r>
        <w:rPr>
          <w:color w:val="231F20"/>
          <w:sz w:val="17"/>
        </w:rPr>
        <w:t>and</w:t>
      </w:r>
      <w:r>
        <w:rPr>
          <w:color w:val="231F20"/>
          <w:spacing w:val="8"/>
          <w:sz w:val="17"/>
        </w:rPr>
        <w:t xml:space="preserve"> </w:t>
      </w:r>
      <w:r>
        <w:rPr>
          <w:color w:val="231F20"/>
          <w:sz w:val="17"/>
        </w:rPr>
        <w:t>Papson,</w:t>
      </w:r>
      <w:r>
        <w:rPr>
          <w:color w:val="231F20"/>
          <w:spacing w:val="8"/>
          <w:sz w:val="17"/>
        </w:rPr>
        <w:t xml:space="preserve"> </w:t>
      </w:r>
      <w:r>
        <w:rPr>
          <w:color w:val="231F20"/>
          <w:sz w:val="17"/>
        </w:rPr>
        <w:t>S.</w:t>
      </w:r>
      <w:r>
        <w:rPr>
          <w:color w:val="231F20"/>
          <w:spacing w:val="8"/>
          <w:sz w:val="17"/>
        </w:rPr>
        <w:t xml:space="preserve"> </w:t>
      </w:r>
      <w:r>
        <w:rPr>
          <w:color w:val="231F20"/>
          <w:sz w:val="17"/>
        </w:rPr>
        <w:t>(1998)</w:t>
      </w:r>
      <w:r>
        <w:rPr>
          <w:color w:val="231F20"/>
          <w:spacing w:val="8"/>
          <w:sz w:val="17"/>
        </w:rPr>
        <w:t xml:space="preserve"> </w:t>
      </w:r>
      <w:r>
        <w:rPr>
          <w:i/>
          <w:color w:val="231F20"/>
          <w:sz w:val="17"/>
        </w:rPr>
        <w:t>Nike</w:t>
      </w:r>
      <w:r>
        <w:rPr>
          <w:i/>
          <w:color w:val="231F20"/>
          <w:spacing w:val="8"/>
          <w:sz w:val="17"/>
        </w:rPr>
        <w:t xml:space="preserve"> </w:t>
      </w:r>
      <w:r>
        <w:rPr>
          <w:i/>
          <w:color w:val="231F20"/>
          <w:sz w:val="17"/>
        </w:rPr>
        <w:t>Culture:</w:t>
      </w:r>
      <w:r>
        <w:rPr>
          <w:i/>
          <w:color w:val="231F20"/>
          <w:spacing w:val="8"/>
          <w:sz w:val="17"/>
        </w:rPr>
        <w:t xml:space="preserve"> </w:t>
      </w:r>
      <w:r>
        <w:rPr>
          <w:i/>
          <w:color w:val="231F20"/>
          <w:sz w:val="17"/>
        </w:rPr>
        <w:t>The</w:t>
      </w:r>
      <w:r>
        <w:rPr>
          <w:i/>
          <w:color w:val="231F20"/>
          <w:spacing w:val="8"/>
          <w:sz w:val="17"/>
        </w:rPr>
        <w:t xml:space="preserve"> </w:t>
      </w:r>
      <w:r>
        <w:rPr>
          <w:i/>
          <w:color w:val="231F20"/>
          <w:sz w:val="17"/>
        </w:rPr>
        <w:t>Sign</w:t>
      </w:r>
      <w:r>
        <w:rPr>
          <w:i/>
          <w:color w:val="231F20"/>
          <w:spacing w:val="8"/>
          <w:sz w:val="17"/>
        </w:rPr>
        <w:t xml:space="preserve"> </w:t>
      </w:r>
      <w:r>
        <w:rPr>
          <w:i/>
          <w:color w:val="231F20"/>
          <w:sz w:val="17"/>
        </w:rPr>
        <w:t>of</w:t>
      </w:r>
      <w:r>
        <w:rPr>
          <w:i/>
          <w:color w:val="231F20"/>
          <w:spacing w:val="8"/>
          <w:sz w:val="17"/>
        </w:rPr>
        <w:t xml:space="preserve"> </w:t>
      </w:r>
      <w:r>
        <w:rPr>
          <w:i/>
          <w:color w:val="231F20"/>
          <w:sz w:val="17"/>
        </w:rPr>
        <w:t>the</w:t>
      </w:r>
      <w:r>
        <w:rPr>
          <w:i/>
          <w:color w:val="231F20"/>
          <w:spacing w:val="8"/>
          <w:sz w:val="17"/>
        </w:rPr>
        <w:t xml:space="preserve"> </w:t>
      </w:r>
      <w:r>
        <w:rPr>
          <w:i/>
          <w:color w:val="231F20"/>
          <w:sz w:val="17"/>
        </w:rPr>
        <w:t>Swoosh</w:t>
      </w:r>
      <w:r>
        <w:rPr>
          <w:color w:val="231F20"/>
          <w:sz w:val="17"/>
        </w:rPr>
        <w:t>.</w:t>
      </w:r>
      <w:r>
        <w:rPr>
          <w:color w:val="231F20"/>
          <w:spacing w:val="7"/>
          <w:sz w:val="17"/>
        </w:rPr>
        <w:t xml:space="preserve"> </w:t>
      </w:r>
      <w:r>
        <w:rPr>
          <w:color w:val="231F20"/>
          <w:sz w:val="17"/>
        </w:rPr>
        <w:t>London:</w:t>
      </w:r>
      <w:r>
        <w:rPr>
          <w:color w:val="231F20"/>
          <w:spacing w:val="8"/>
          <w:sz w:val="17"/>
        </w:rPr>
        <w:t xml:space="preserve"> </w:t>
      </w:r>
      <w:r>
        <w:rPr>
          <w:color w:val="231F20"/>
          <w:spacing w:val="-2"/>
          <w:sz w:val="17"/>
        </w:rPr>
        <w:t>Sage.</w:t>
      </w:r>
    </w:p>
    <w:p w14:paraId="6C9761A5" w14:textId="77777777" w:rsidR="00AE0598" w:rsidRDefault="0069255A">
      <w:pPr>
        <w:spacing w:before="1"/>
        <w:ind w:left="430" w:right="127" w:hanging="320"/>
        <w:rPr>
          <w:sz w:val="17"/>
        </w:rPr>
      </w:pPr>
      <w:r>
        <w:rPr>
          <w:color w:val="231F20"/>
          <w:sz w:val="17"/>
        </w:rPr>
        <w:t>Golf</w:t>
      </w:r>
      <w:r>
        <w:rPr>
          <w:color w:val="231F20"/>
          <w:spacing w:val="40"/>
          <w:sz w:val="17"/>
        </w:rPr>
        <w:t xml:space="preserve"> </w:t>
      </w:r>
      <w:r>
        <w:rPr>
          <w:color w:val="231F20"/>
          <w:sz w:val="17"/>
        </w:rPr>
        <w:t>Canada</w:t>
      </w:r>
      <w:r>
        <w:rPr>
          <w:color w:val="231F20"/>
          <w:spacing w:val="40"/>
          <w:sz w:val="17"/>
        </w:rPr>
        <w:t xml:space="preserve"> </w:t>
      </w:r>
      <w:r>
        <w:rPr>
          <w:color w:val="231F20"/>
          <w:sz w:val="17"/>
        </w:rPr>
        <w:t>(2014)</w:t>
      </w:r>
      <w:r>
        <w:rPr>
          <w:color w:val="231F20"/>
          <w:spacing w:val="40"/>
          <w:sz w:val="17"/>
        </w:rPr>
        <w:t xml:space="preserve"> </w:t>
      </w:r>
      <w:r>
        <w:rPr>
          <w:color w:val="231F20"/>
          <w:sz w:val="17"/>
        </w:rPr>
        <w:t>Sustainability</w:t>
      </w:r>
      <w:r>
        <w:rPr>
          <w:color w:val="231F20"/>
          <w:spacing w:val="40"/>
          <w:sz w:val="17"/>
        </w:rPr>
        <w:t xml:space="preserve"> </w:t>
      </w:r>
      <w:r>
        <w:rPr>
          <w:color w:val="231F20"/>
          <w:sz w:val="17"/>
        </w:rPr>
        <w:t>pilot.</w:t>
      </w:r>
      <w:r>
        <w:rPr>
          <w:color w:val="231F20"/>
          <w:spacing w:val="40"/>
          <w:sz w:val="17"/>
        </w:rPr>
        <w:t xml:space="preserve"> </w:t>
      </w:r>
      <w:r>
        <w:rPr>
          <w:color w:val="231F20"/>
          <w:sz w:val="17"/>
        </w:rPr>
        <w:t>See</w:t>
      </w:r>
      <w:r>
        <w:rPr>
          <w:color w:val="231F20"/>
          <w:spacing w:val="40"/>
          <w:sz w:val="17"/>
        </w:rPr>
        <w:t xml:space="preserve"> </w:t>
      </w:r>
      <w:hyperlink r:id="rId50">
        <w:r>
          <w:rPr>
            <w:color w:val="231F20"/>
            <w:spacing w:val="-3"/>
            <w:sz w:val="17"/>
          </w:rPr>
          <w:t>h</w:t>
        </w:r>
        <w:r>
          <w:rPr>
            <w:color w:val="231F20"/>
            <w:spacing w:val="2"/>
            <w:w w:val="99"/>
            <w:sz w:val="17"/>
          </w:rPr>
          <w:t>tt</w:t>
        </w:r>
        <w:r>
          <w:rPr>
            <w:color w:val="231F20"/>
            <w:spacing w:val="-3"/>
            <w:w w:val="99"/>
            <w:sz w:val="17"/>
          </w:rPr>
          <w:t>p</w:t>
        </w:r>
        <w:r>
          <w:rPr>
            <w:color w:val="231F20"/>
            <w:spacing w:val="3"/>
            <w:w w:val="106"/>
            <w:sz w:val="17"/>
          </w:rPr>
          <w:t>:</w:t>
        </w:r>
        <w:r>
          <w:rPr>
            <w:color w:val="231F20"/>
            <w:spacing w:val="-5"/>
            <w:w w:val="61"/>
            <w:sz w:val="17"/>
          </w:rPr>
          <w:t>/</w:t>
        </w:r>
        <w:r>
          <w:rPr>
            <w:color w:val="231F20"/>
            <w:spacing w:val="-2"/>
            <w:w w:val="61"/>
            <w:sz w:val="17"/>
          </w:rPr>
          <w:t>/</w:t>
        </w:r>
        <w:r>
          <w:rPr>
            <w:color w:val="231F20"/>
            <w:spacing w:val="2"/>
            <w:sz w:val="17"/>
          </w:rPr>
          <w:t>ww</w:t>
        </w:r>
        <w:r>
          <w:rPr>
            <w:color w:val="231F20"/>
            <w:spacing w:val="-10"/>
            <w:sz w:val="17"/>
          </w:rPr>
          <w:t>w</w:t>
        </w:r>
        <w:r>
          <w:rPr>
            <w:color w:val="231F20"/>
            <w:spacing w:val="-1"/>
            <w:w w:val="136"/>
            <w:sz w:val="17"/>
          </w:rPr>
          <w:t>.</w:t>
        </w:r>
        <w:r>
          <w:rPr>
            <w:color w:val="231F20"/>
            <w:spacing w:val="-1"/>
            <w:sz w:val="17"/>
          </w:rPr>
          <w:t>g</w:t>
        </w:r>
        <w:r>
          <w:rPr>
            <w:color w:val="231F20"/>
            <w:spacing w:val="-3"/>
            <w:w w:val="104"/>
            <w:sz w:val="17"/>
          </w:rPr>
          <w:t>o</w:t>
        </w:r>
        <w:r>
          <w:rPr>
            <w:color w:val="231F20"/>
            <w:spacing w:val="1"/>
            <w:w w:val="103"/>
            <w:sz w:val="17"/>
          </w:rPr>
          <w:t>l</w:t>
        </w:r>
        <w:r>
          <w:rPr>
            <w:color w:val="231F20"/>
            <w:spacing w:val="-3"/>
            <w:w w:val="110"/>
            <w:sz w:val="17"/>
          </w:rPr>
          <w:t>f</w:t>
        </w:r>
        <w:r>
          <w:rPr>
            <w:color w:val="231F20"/>
            <w:spacing w:val="1"/>
            <w:sz w:val="17"/>
          </w:rPr>
          <w:t>c</w:t>
        </w:r>
        <w:r>
          <w:rPr>
            <w:color w:val="231F20"/>
            <w:spacing w:val="1"/>
            <w:w w:val="102"/>
            <w:sz w:val="17"/>
          </w:rPr>
          <w:t>a</w:t>
        </w:r>
        <w:r>
          <w:rPr>
            <w:color w:val="231F20"/>
            <w:w w:val="99"/>
            <w:sz w:val="17"/>
          </w:rPr>
          <w:t>n</w:t>
        </w:r>
        <w:r>
          <w:rPr>
            <w:color w:val="231F20"/>
            <w:spacing w:val="-2"/>
            <w:w w:val="102"/>
            <w:sz w:val="17"/>
          </w:rPr>
          <w:t>a</w:t>
        </w:r>
        <w:r>
          <w:rPr>
            <w:color w:val="231F20"/>
            <w:w w:val="99"/>
            <w:sz w:val="17"/>
          </w:rPr>
          <w:t>d</w:t>
        </w:r>
        <w:r>
          <w:rPr>
            <w:color w:val="231F20"/>
            <w:spacing w:val="2"/>
            <w:w w:val="102"/>
            <w:sz w:val="17"/>
          </w:rPr>
          <w:t>a</w:t>
        </w:r>
        <w:r>
          <w:rPr>
            <w:color w:val="231F20"/>
            <w:spacing w:val="-2"/>
            <w:w w:val="110"/>
            <w:sz w:val="17"/>
          </w:rPr>
          <w:t>f</w:t>
        </w:r>
        <w:r>
          <w:rPr>
            <w:color w:val="231F20"/>
            <w:spacing w:val="-2"/>
            <w:w w:val="104"/>
            <w:sz w:val="17"/>
          </w:rPr>
          <w:t>o</w:t>
        </w:r>
        <w:r>
          <w:rPr>
            <w:color w:val="231F20"/>
            <w:spacing w:val="2"/>
            <w:sz w:val="17"/>
          </w:rPr>
          <w:t>u</w:t>
        </w:r>
        <w:r>
          <w:rPr>
            <w:color w:val="231F20"/>
            <w:spacing w:val="-1"/>
            <w:w w:val="99"/>
            <w:sz w:val="17"/>
          </w:rPr>
          <w:t>n</w:t>
        </w:r>
        <w:r>
          <w:rPr>
            <w:color w:val="231F20"/>
            <w:w w:val="99"/>
            <w:sz w:val="17"/>
          </w:rPr>
          <w:t>d</w:t>
        </w:r>
        <w:r>
          <w:rPr>
            <w:color w:val="231F20"/>
            <w:spacing w:val="-3"/>
            <w:w w:val="102"/>
            <w:sz w:val="17"/>
          </w:rPr>
          <w:t>a</w:t>
        </w:r>
        <w:r>
          <w:rPr>
            <w:color w:val="231F20"/>
            <w:spacing w:val="1"/>
            <w:w w:val="99"/>
            <w:sz w:val="17"/>
          </w:rPr>
          <w:t>t</w:t>
        </w:r>
        <w:r>
          <w:rPr>
            <w:color w:val="231F20"/>
            <w:spacing w:val="-3"/>
            <w:w w:val="101"/>
            <w:sz w:val="17"/>
          </w:rPr>
          <w:t>i</w:t>
        </w:r>
        <w:r>
          <w:rPr>
            <w:color w:val="231F20"/>
            <w:spacing w:val="-2"/>
            <w:w w:val="104"/>
            <w:sz w:val="17"/>
          </w:rPr>
          <w:t>o</w:t>
        </w:r>
        <w:r>
          <w:rPr>
            <w:color w:val="231F20"/>
            <w:w w:val="99"/>
            <w:sz w:val="17"/>
          </w:rPr>
          <w:t>n</w:t>
        </w:r>
        <w:r>
          <w:rPr>
            <w:color w:val="231F20"/>
            <w:spacing w:val="-1"/>
            <w:w w:val="136"/>
            <w:sz w:val="17"/>
          </w:rPr>
          <w:t>.</w:t>
        </w:r>
        <w:r>
          <w:rPr>
            <w:color w:val="231F20"/>
            <w:spacing w:val="-1"/>
            <w:sz w:val="17"/>
          </w:rPr>
          <w:t>c</w:t>
        </w:r>
        <w:r>
          <w:rPr>
            <w:color w:val="231F20"/>
            <w:spacing w:val="-3"/>
            <w:w w:val="104"/>
            <w:sz w:val="17"/>
          </w:rPr>
          <w:t>o</w:t>
        </w:r>
        <w:r>
          <w:rPr>
            <w:color w:val="231F20"/>
            <w:spacing w:val="6"/>
            <w:sz w:val="17"/>
          </w:rPr>
          <w:t>m</w:t>
        </w:r>
        <w:r>
          <w:rPr>
            <w:color w:val="231F20"/>
            <w:spacing w:val="-2"/>
            <w:w w:val="61"/>
            <w:sz w:val="17"/>
          </w:rPr>
          <w:t>/</w:t>
        </w:r>
      </w:hyperlink>
      <w:r>
        <w:rPr>
          <w:color w:val="231F20"/>
          <w:spacing w:val="40"/>
          <w:sz w:val="17"/>
        </w:rPr>
        <w:t xml:space="preserve"> </w:t>
      </w:r>
      <w:r>
        <w:rPr>
          <w:color w:val="231F20"/>
          <w:w w:val="95"/>
          <w:sz w:val="17"/>
        </w:rPr>
        <w:t>partners/sustainability-pilot/ (accessed 18 June 2017).</w:t>
      </w:r>
    </w:p>
    <w:p w14:paraId="0689F9EB" w14:textId="77777777" w:rsidR="00AE0598" w:rsidRDefault="0069255A">
      <w:pPr>
        <w:spacing w:before="1"/>
        <w:ind w:left="430" w:right="127" w:hanging="320"/>
        <w:rPr>
          <w:sz w:val="17"/>
        </w:rPr>
      </w:pPr>
      <w:r>
        <w:rPr>
          <w:color w:val="231F20"/>
          <w:w w:val="95"/>
          <w:sz w:val="17"/>
        </w:rPr>
        <w:t>Gomez</w:t>
      </w:r>
      <w:r>
        <w:rPr>
          <w:color w:val="231F20"/>
          <w:spacing w:val="17"/>
          <w:sz w:val="17"/>
        </w:rPr>
        <w:t xml:space="preserve"> </w:t>
      </w:r>
      <w:r>
        <w:rPr>
          <w:color w:val="231F20"/>
          <w:w w:val="95"/>
          <w:sz w:val="17"/>
        </w:rPr>
        <w:t>Martin,</w:t>
      </w:r>
      <w:r>
        <w:rPr>
          <w:color w:val="231F20"/>
          <w:spacing w:val="17"/>
          <w:sz w:val="17"/>
        </w:rPr>
        <w:t xml:space="preserve"> </w:t>
      </w:r>
      <w:r>
        <w:rPr>
          <w:color w:val="231F20"/>
          <w:w w:val="95"/>
          <w:sz w:val="17"/>
        </w:rPr>
        <w:t>M.B.</w:t>
      </w:r>
      <w:r>
        <w:rPr>
          <w:color w:val="231F20"/>
          <w:spacing w:val="17"/>
          <w:sz w:val="17"/>
        </w:rPr>
        <w:t xml:space="preserve"> </w:t>
      </w:r>
      <w:r>
        <w:rPr>
          <w:color w:val="231F20"/>
          <w:w w:val="95"/>
          <w:sz w:val="17"/>
        </w:rPr>
        <w:t>(2005)</w:t>
      </w:r>
      <w:r>
        <w:rPr>
          <w:color w:val="231F20"/>
          <w:spacing w:val="17"/>
          <w:sz w:val="17"/>
        </w:rPr>
        <w:t xml:space="preserve"> </w:t>
      </w:r>
      <w:r>
        <w:rPr>
          <w:color w:val="231F20"/>
          <w:w w:val="95"/>
          <w:sz w:val="17"/>
        </w:rPr>
        <w:t>Weather,</w:t>
      </w:r>
      <w:r>
        <w:rPr>
          <w:color w:val="231F20"/>
          <w:spacing w:val="17"/>
          <w:sz w:val="17"/>
        </w:rPr>
        <w:t xml:space="preserve"> </w:t>
      </w:r>
      <w:r>
        <w:rPr>
          <w:color w:val="231F20"/>
          <w:w w:val="95"/>
          <w:sz w:val="17"/>
        </w:rPr>
        <w:t>climate</w:t>
      </w:r>
      <w:r>
        <w:rPr>
          <w:color w:val="231F20"/>
          <w:spacing w:val="17"/>
          <w:sz w:val="17"/>
        </w:rPr>
        <w:t xml:space="preserve"> </w:t>
      </w:r>
      <w:r>
        <w:rPr>
          <w:color w:val="231F20"/>
          <w:w w:val="95"/>
          <w:sz w:val="17"/>
        </w:rPr>
        <w:t>and</w:t>
      </w:r>
      <w:r>
        <w:rPr>
          <w:color w:val="231F20"/>
          <w:spacing w:val="17"/>
          <w:sz w:val="17"/>
        </w:rPr>
        <w:t xml:space="preserve"> </w:t>
      </w:r>
      <w:r>
        <w:rPr>
          <w:color w:val="231F20"/>
          <w:w w:val="95"/>
          <w:sz w:val="17"/>
        </w:rPr>
        <w:t>tourism</w:t>
      </w:r>
      <w:r>
        <w:rPr>
          <w:color w:val="231F20"/>
          <w:spacing w:val="17"/>
          <w:sz w:val="17"/>
        </w:rPr>
        <w:t xml:space="preserve"> </w:t>
      </w:r>
      <w:r>
        <w:rPr>
          <w:color w:val="231F20"/>
          <w:w w:val="95"/>
          <w:sz w:val="17"/>
        </w:rPr>
        <w:t>a</w:t>
      </w:r>
      <w:r>
        <w:rPr>
          <w:color w:val="231F20"/>
          <w:spacing w:val="17"/>
          <w:sz w:val="17"/>
        </w:rPr>
        <w:t xml:space="preserve"> </w:t>
      </w:r>
      <w:r>
        <w:rPr>
          <w:color w:val="231F20"/>
          <w:w w:val="95"/>
          <w:sz w:val="17"/>
        </w:rPr>
        <w:t>geographic</w:t>
      </w:r>
      <w:r>
        <w:rPr>
          <w:color w:val="231F20"/>
          <w:spacing w:val="17"/>
          <w:sz w:val="17"/>
        </w:rPr>
        <w:t xml:space="preserve"> </w:t>
      </w:r>
      <w:r>
        <w:rPr>
          <w:color w:val="231F20"/>
          <w:w w:val="95"/>
          <w:sz w:val="17"/>
        </w:rPr>
        <w:t>perspective.</w:t>
      </w:r>
      <w:r>
        <w:rPr>
          <w:color w:val="231F20"/>
          <w:spacing w:val="17"/>
          <w:sz w:val="17"/>
        </w:rPr>
        <w:t xml:space="preserve"> </w:t>
      </w:r>
      <w:r>
        <w:rPr>
          <w:i/>
          <w:color w:val="231F20"/>
          <w:w w:val="95"/>
          <w:sz w:val="17"/>
        </w:rPr>
        <w:t>Annals</w:t>
      </w:r>
      <w:r>
        <w:rPr>
          <w:i/>
          <w:color w:val="231F20"/>
          <w:spacing w:val="40"/>
          <w:sz w:val="17"/>
        </w:rPr>
        <w:t xml:space="preserve"> </w:t>
      </w:r>
      <w:r>
        <w:rPr>
          <w:i/>
          <w:color w:val="231F20"/>
          <w:sz w:val="17"/>
        </w:rPr>
        <w:t xml:space="preserve">of Tourism Research </w:t>
      </w:r>
      <w:r>
        <w:rPr>
          <w:color w:val="231F20"/>
          <w:sz w:val="17"/>
        </w:rPr>
        <w:t>32, 571–591.</w:t>
      </w:r>
    </w:p>
    <w:p w14:paraId="76457353" w14:textId="77777777" w:rsidR="00AE0598" w:rsidRDefault="0069255A">
      <w:pPr>
        <w:spacing w:before="1"/>
        <w:ind w:left="430" w:hanging="320"/>
        <w:rPr>
          <w:sz w:val="17"/>
        </w:rPr>
      </w:pPr>
      <w:r>
        <w:rPr>
          <w:color w:val="231F20"/>
          <w:sz w:val="17"/>
        </w:rPr>
        <w:t xml:space="preserve">Goulding, C. (1999) Heritage, nostalgia, and the ‘grey’ consumer. </w:t>
      </w:r>
      <w:r>
        <w:rPr>
          <w:i/>
          <w:color w:val="231F20"/>
          <w:sz w:val="17"/>
        </w:rPr>
        <w:t>Journal of Marketing</w:t>
      </w:r>
      <w:r>
        <w:rPr>
          <w:i/>
          <w:color w:val="231F20"/>
          <w:spacing w:val="80"/>
          <w:sz w:val="17"/>
        </w:rPr>
        <w:t xml:space="preserve"> </w:t>
      </w:r>
      <w:r>
        <w:rPr>
          <w:i/>
          <w:color w:val="231F20"/>
          <w:sz w:val="17"/>
        </w:rPr>
        <w:t xml:space="preserve">Practice: Applied Marketing Science </w:t>
      </w:r>
      <w:r>
        <w:rPr>
          <w:color w:val="231F20"/>
          <w:sz w:val="17"/>
        </w:rPr>
        <w:t>5 (6), 177–199.</w:t>
      </w:r>
    </w:p>
    <w:p w14:paraId="616637E1" w14:textId="77777777" w:rsidR="00AE0598" w:rsidRDefault="0069255A">
      <w:pPr>
        <w:spacing w:before="2"/>
        <w:ind w:left="110"/>
        <w:rPr>
          <w:sz w:val="17"/>
        </w:rPr>
      </w:pPr>
      <w:r>
        <w:rPr>
          <w:color w:val="231F20"/>
          <w:w w:val="95"/>
          <w:sz w:val="17"/>
        </w:rPr>
        <w:t>Grabowski,</w:t>
      </w:r>
      <w:r>
        <w:rPr>
          <w:color w:val="231F20"/>
          <w:spacing w:val="16"/>
          <w:sz w:val="17"/>
        </w:rPr>
        <w:t xml:space="preserve"> </w:t>
      </w:r>
      <w:r>
        <w:rPr>
          <w:color w:val="231F20"/>
          <w:w w:val="95"/>
          <w:sz w:val="17"/>
        </w:rPr>
        <w:t>P.</w:t>
      </w:r>
      <w:r>
        <w:rPr>
          <w:color w:val="231F20"/>
          <w:spacing w:val="16"/>
          <w:sz w:val="17"/>
        </w:rPr>
        <w:t xml:space="preserve"> </w:t>
      </w:r>
      <w:r>
        <w:rPr>
          <w:color w:val="231F20"/>
          <w:w w:val="95"/>
          <w:sz w:val="17"/>
        </w:rPr>
        <w:t>(1999)</w:t>
      </w:r>
      <w:r>
        <w:rPr>
          <w:color w:val="231F20"/>
          <w:spacing w:val="16"/>
          <w:sz w:val="17"/>
        </w:rPr>
        <w:t xml:space="preserve"> </w:t>
      </w:r>
      <w:r>
        <w:rPr>
          <w:color w:val="231F20"/>
          <w:w w:val="95"/>
          <w:sz w:val="17"/>
        </w:rPr>
        <w:t>Tourism</w:t>
      </w:r>
      <w:r>
        <w:rPr>
          <w:color w:val="231F20"/>
          <w:spacing w:val="16"/>
          <w:sz w:val="17"/>
        </w:rPr>
        <w:t xml:space="preserve"> </w:t>
      </w:r>
      <w:r>
        <w:rPr>
          <w:color w:val="231F20"/>
          <w:w w:val="95"/>
          <w:sz w:val="17"/>
        </w:rPr>
        <w:t>and</w:t>
      </w:r>
      <w:r>
        <w:rPr>
          <w:color w:val="231F20"/>
          <w:spacing w:val="16"/>
          <w:sz w:val="17"/>
        </w:rPr>
        <w:t xml:space="preserve"> </w:t>
      </w:r>
      <w:r>
        <w:rPr>
          <w:color w:val="231F20"/>
          <w:w w:val="95"/>
          <w:sz w:val="17"/>
        </w:rPr>
        <w:t>sport:</w:t>
      </w:r>
      <w:r>
        <w:rPr>
          <w:color w:val="231F20"/>
          <w:spacing w:val="16"/>
          <w:sz w:val="17"/>
        </w:rPr>
        <w:t xml:space="preserve"> </w:t>
      </w:r>
      <w:r>
        <w:rPr>
          <w:color w:val="231F20"/>
          <w:w w:val="95"/>
          <w:sz w:val="17"/>
        </w:rPr>
        <w:t>Parallel</w:t>
      </w:r>
      <w:r>
        <w:rPr>
          <w:color w:val="231F20"/>
          <w:spacing w:val="16"/>
          <w:sz w:val="17"/>
        </w:rPr>
        <w:t xml:space="preserve"> </w:t>
      </w:r>
      <w:r>
        <w:rPr>
          <w:color w:val="231F20"/>
          <w:w w:val="95"/>
          <w:sz w:val="17"/>
        </w:rPr>
        <w:t>tracks</w:t>
      </w:r>
      <w:r>
        <w:rPr>
          <w:color w:val="231F20"/>
          <w:spacing w:val="16"/>
          <w:sz w:val="17"/>
        </w:rPr>
        <w:t xml:space="preserve"> </w:t>
      </w:r>
      <w:r>
        <w:rPr>
          <w:color w:val="231F20"/>
          <w:w w:val="95"/>
          <w:sz w:val="17"/>
        </w:rPr>
        <w:t>for</w:t>
      </w:r>
      <w:r>
        <w:rPr>
          <w:color w:val="231F20"/>
          <w:spacing w:val="16"/>
          <w:sz w:val="17"/>
        </w:rPr>
        <w:t xml:space="preserve"> </w:t>
      </w:r>
      <w:r>
        <w:rPr>
          <w:color w:val="231F20"/>
          <w:w w:val="95"/>
          <w:sz w:val="17"/>
        </w:rPr>
        <w:t>developing</w:t>
      </w:r>
      <w:r>
        <w:rPr>
          <w:color w:val="231F20"/>
          <w:spacing w:val="16"/>
          <w:sz w:val="17"/>
        </w:rPr>
        <w:t xml:space="preserve"> </w:t>
      </w:r>
      <w:r>
        <w:rPr>
          <w:color w:val="231F20"/>
          <w:w w:val="95"/>
          <w:sz w:val="17"/>
        </w:rPr>
        <w:t>tourism</w:t>
      </w:r>
      <w:r>
        <w:rPr>
          <w:color w:val="231F20"/>
          <w:spacing w:val="16"/>
          <w:sz w:val="17"/>
        </w:rPr>
        <w:t xml:space="preserve"> </w:t>
      </w:r>
      <w:r>
        <w:rPr>
          <w:color w:val="231F20"/>
          <w:w w:val="95"/>
          <w:sz w:val="17"/>
        </w:rPr>
        <w:t>in</w:t>
      </w:r>
      <w:r>
        <w:rPr>
          <w:color w:val="231F20"/>
          <w:spacing w:val="16"/>
          <w:sz w:val="17"/>
        </w:rPr>
        <w:t xml:space="preserve"> </w:t>
      </w:r>
      <w:r>
        <w:rPr>
          <w:color w:val="231F20"/>
          <w:spacing w:val="-2"/>
          <w:w w:val="95"/>
          <w:sz w:val="17"/>
        </w:rPr>
        <w:t>Br</w:t>
      </w:r>
      <w:r>
        <w:rPr>
          <w:color w:val="231F20"/>
          <w:spacing w:val="-2"/>
          <w:w w:val="95"/>
          <w:sz w:val="17"/>
        </w:rPr>
        <w:t>unei?</w:t>
      </w:r>
    </w:p>
    <w:p w14:paraId="297A8EFA" w14:textId="77777777" w:rsidR="00AE0598" w:rsidRDefault="0069255A">
      <w:pPr>
        <w:spacing w:before="1"/>
        <w:ind w:left="430"/>
        <w:rPr>
          <w:sz w:val="17"/>
        </w:rPr>
      </w:pPr>
      <w:r>
        <w:rPr>
          <w:i/>
          <w:color w:val="231F20"/>
          <w:sz w:val="17"/>
        </w:rPr>
        <w:t>Tourism</w:t>
      </w:r>
      <w:r>
        <w:rPr>
          <w:i/>
          <w:color w:val="231F20"/>
          <w:spacing w:val="-1"/>
          <w:sz w:val="17"/>
        </w:rPr>
        <w:t xml:space="preserve"> </w:t>
      </w:r>
      <w:r>
        <w:rPr>
          <w:i/>
          <w:color w:val="231F20"/>
          <w:sz w:val="17"/>
        </w:rPr>
        <w:t xml:space="preserve">Recreation Research </w:t>
      </w:r>
      <w:r>
        <w:rPr>
          <w:color w:val="231F20"/>
          <w:sz w:val="17"/>
        </w:rPr>
        <w:t xml:space="preserve">24 (2), </w:t>
      </w:r>
      <w:r>
        <w:rPr>
          <w:color w:val="231F20"/>
          <w:spacing w:val="-2"/>
          <w:sz w:val="17"/>
        </w:rPr>
        <w:t>95–98.</w:t>
      </w:r>
    </w:p>
    <w:p w14:paraId="5DCBD74C" w14:textId="77777777" w:rsidR="00AE0598" w:rsidRDefault="0069255A">
      <w:pPr>
        <w:ind w:left="430" w:right="128" w:hanging="320"/>
        <w:jc w:val="both"/>
        <w:rPr>
          <w:sz w:val="17"/>
        </w:rPr>
      </w:pPr>
      <w:r>
        <w:rPr>
          <w:color w:val="231F20"/>
          <w:w w:val="105"/>
          <w:sz w:val="17"/>
        </w:rPr>
        <w:t xml:space="preserve">Graburn, N.H.H. (1989) Tourism: The sacred journey. In V.L. Smith (ed.) </w:t>
      </w:r>
      <w:r>
        <w:rPr>
          <w:i/>
          <w:color w:val="231F20"/>
          <w:w w:val="105"/>
          <w:sz w:val="17"/>
        </w:rPr>
        <w:t>Hosts and</w:t>
      </w:r>
      <w:r>
        <w:rPr>
          <w:i/>
          <w:color w:val="231F20"/>
          <w:spacing w:val="40"/>
          <w:w w:val="105"/>
          <w:sz w:val="17"/>
        </w:rPr>
        <w:t xml:space="preserve"> </w:t>
      </w:r>
      <w:r>
        <w:rPr>
          <w:i/>
          <w:color w:val="231F20"/>
          <w:w w:val="105"/>
          <w:sz w:val="17"/>
        </w:rPr>
        <w:t xml:space="preserve">Guests: The Anthropology of Tourism </w:t>
      </w:r>
      <w:r>
        <w:rPr>
          <w:color w:val="231F20"/>
          <w:w w:val="105"/>
          <w:sz w:val="17"/>
        </w:rPr>
        <w:t>(2nd edn). Philadelphia, PA: University of</w:t>
      </w:r>
      <w:r>
        <w:rPr>
          <w:color w:val="231F20"/>
          <w:spacing w:val="40"/>
          <w:w w:val="105"/>
          <w:sz w:val="17"/>
        </w:rPr>
        <w:t xml:space="preserve"> </w:t>
      </w:r>
      <w:r>
        <w:rPr>
          <w:color w:val="231F20"/>
          <w:w w:val="105"/>
          <w:sz w:val="17"/>
        </w:rPr>
        <w:t>Pennsylvania Press.</w:t>
      </w:r>
    </w:p>
    <w:p w14:paraId="700F6D93" w14:textId="77777777" w:rsidR="00AE0598" w:rsidRDefault="0069255A">
      <w:pPr>
        <w:spacing w:before="2"/>
        <w:ind w:left="430" w:right="128" w:hanging="320"/>
        <w:jc w:val="both"/>
        <w:rPr>
          <w:sz w:val="17"/>
        </w:rPr>
      </w:pPr>
      <w:r>
        <w:rPr>
          <w:color w:val="231F20"/>
          <w:sz w:val="17"/>
        </w:rPr>
        <w:t xml:space="preserve">Graczyk, W. (2014) Foreign fans revel in ballpark fun. </w:t>
      </w:r>
      <w:r>
        <w:rPr>
          <w:i/>
          <w:color w:val="231F20"/>
          <w:sz w:val="17"/>
        </w:rPr>
        <w:t>The Japan Times</w:t>
      </w:r>
      <w:r>
        <w:rPr>
          <w:color w:val="231F20"/>
          <w:sz w:val="17"/>
        </w:rPr>
        <w:t xml:space="preserve">. </w:t>
      </w:r>
      <w:hyperlink r:id="rId51">
        <w:r>
          <w:rPr>
            <w:color w:val="231F20"/>
            <w:spacing w:val="-2"/>
            <w:w w:val="103"/>
            <w:sz w:val="17"/>
          </w:rPr>
          <w:t>h</w:t>
        </w:r>
        <w:r>
          <w:rPr>
            <w:color w:val="231F20"/>
            <w:spacing w:val="3"/>
            <w:w w:val="102"/>
            <w:sz w:val="17"/>
          </w:rPr>
          <w:t>tt</w:t>
        </w:r>
        <w:r>
          <w:rPr>
            <w:color w:val="231F20"/>
            <w:spacing w:val="-2"/>
            <w:w w:val="102"/>
            <w:sz w:val="17"/>
          </w:rPr>
          <w:t>p</w:t>
        </w:r>
        <w:r>
          <w:rPr>
            <w:color w:val="231F20"/>
            <w:spacing w:val="4"/>
            <w:w w:val="109"/>
            <w:sz w:val="17"/>
          </w:rPr>
          <w:t>:</w:t>
        </w:r>
        <w:r>
          <w:rPr>
            <w:color w:val="231F20"/>
            <w:spacing w:val="-4"/>
            <w:w w:val="64"/>
            <w:sz w:val="17"/>
          </w:rPr>
          <w:t>/</w:t>
        </w:r>
        <w:r>
          <w:rPr>
            <w:color w:val="231F20"/>
            <w:spacing w:val="-1"/>
            <w:w w:val="64"/>
            <w:sz w:val="17"/>
          </w:rPr>
          <w:t>/</w:t>
        </w:r>
        <w:r>
          <w:rPr>
            <w:color w:val="231F20"/>
            <w:spacing w:val="3"/>
            <w:w w:val="103"/>
            <w:sz w:val="17"/>
          </w:rPr>
          <w:t>ww</w:t>
        </w:r>
        <w:r>
          <w:rPr>
            <w:color w:val="231F20"/>
            <w:spacing w:val="-9"/>
            <w:w w:val="103"/>
            <w:sz w:val="17"/>
          </w:rPr>
          <w:t>w</w:t>
        </w:r>
        <w:r>
          <w:rPr>
            <w:color w:val="231F20"/>
            <w:spacing w:val="-1"/>
            <w:w w:val="139"/>
            <w:sz w:val="17"/>
          </w:rPr>
          <w:t>.</w:t>
        </w:r>
      </w:hyperlink>
      <w:r>
        <w:rPr>
          <w:color w:val="231F20"/>
          <w:spacing w:val="40"/>
          <w:sz w:val="17"/>
        </w:rPr>
        <w:t xml:space="preserve"> </w:t>
      </w:r>
      <w:r>
        <w:rPr>
          <w:color w:val="231F20"/>
          <w:spacing w:val="-2"/>
          <w:w w:val="90"/>
          <w:sz w:val="17"/>
        </w:rPr>
        <w:t>japantimes.co.jp/sports/2014/05/17/baseball/foreign-fans-revel-ballpark-</w:t>
      </w:r>
      <w:r>
        <w:rPr>
          <w:color w:val="231F20"/>
          <w:w w:val="97"/>
          <w:sz w:val="17"/>
        </w:rPr>
        <w:t>f</w:t>
      </w:r>
      <w:r>
        <w:rPr>
          <w:color w:val="231F20"/>
          <w:w w:val="87"/>
          <w:sz w:val="17"/>
        </w:rPr>
        <w:t>u</w:t>
      </w:r>
      <w:r>
        <w:rPr>
          <w:color w:val="231F20"/>
          <w:spacing w:val="4"/>
          <w:w w:val="86"/>
          <w:sz w:val="17"/>
        </w:rPr>
        <w:t>n</w:t>
      </w:r>
      <w:r>
        <w:rPr>
          <w:color w:val="231F20"/>
          <w:spacing w:val="-1"/>
          <w:w w:val="48"/>
          <w:sz w:val="17"/>
        </w:rPr>
        <w:t>/</w:t>
      </w:r>
      <w:r>
        <w:rPr>
          <w:color w:val="231F20"/>
          <w:spacing w:val="-7"/>
          <w:w w:val="98"/>
          <w:sz w:val="17"/>
        </w:rPr>
        <w:t>#</w:t>
      </w:r>
      <w:r>
        <w:rPr>
          <w:color w:val="231F20"/>
          <w:spacing w:val="-11"/>
          <w:w w:val="123"/>
          <w:sz w:val="17"/>
        </w:rPr>
        <w:t>.</w:t>
      </w:r>
      <w:r>
        <w:rPr>
          <w:color w:val="231F20"/>
          <w:spacing w:val="40"/>
          <w:sz w:val="17"/>
        </w:rPr>
        <w:t xml:space="preserve"> </w:t>
      </w:r>
      <w:r>
        <w:rPr>
          <w:color w:val="231F20"/>
          <w:sz w:val="17"/>
        </w:rPr>
        <w:t>WOSdAPnyiiM (accessed 1 April 2017).</w:t>
      </w:r>
    </w:p>
    <w:p w14:paraId="1AEBA0FB" w14:textId="77777777" w:rsidR="00AE0598" w:rsidRDefault="0069255A">
      <w:pPr>
        <w:spacing w:before="2"/>
        <w:ind w:left="430" w:right="128" w:hanging="320"/>
        <w:jc w:val="both"/>
        <w:rPr>
          <w:sz w:val="17"/>
        </w:rPr>
      </w:pPr>
      <w:r>
        <w:rPr>
          <w:color w:val="231F20"/>
          <w:sz w:val="17"/>
        </w:rPr>
        <w:t xml:space="preserve">Graefe, </w:t>
      </w:r>
      <w:r>
        <w:rPr>
          <w:color w:val="231F20"/>
          <w:w w:val="110"/>
          <w:sz w:val="17"/>
        </w:rPr>
        <w:t>A.R.,</w:t>
      </w:r>
      <w:r>
        <w:rPr>
          <w:color w:val="231F20"/>
          <w:spacing w:val="-3"/>
          <w:w w:val="110"/>
          <w:sz w:val="17"/>
        </w:rPr>
        <w:t xml:space="preserve"> </w:t>
      </w:r>
      <w:r>
        <w:rPr>
          <w:color w:val="231F20"/>
          <w:sz w:val="17"/>
        </w:rPr>
        <w:t xml:space="preserve">Vaske, </w:t>
      </w:r>
      <w:r>
        <w:rPr>
          <w:color w:val="231F20"/>
          <w:w w:val="110"/>
          <w:sz w:val="17"/>
        </w:rPr>
        <w:t>J.J.</w:t>
      </w:r>
      <w:r>
        <w:rPr>
          <w:color w:val="231F20"/>
          <w:spacing w:val="-3"/>
          <w:w w:val="110"/>
          <w:sz w:val="17"/>
        </w:rPr>
        <w:t xml:space="preserve"> </w:t>
      </w:r>
      <w:r>
        <w:rPr>
          <w:color w:val="231F20"/>
          <w:sz w:val="17"/>
        </w:rPr>
        <w:t xml:space="preserve">and Kuss, </w:t>
      </w:r>
      <w:r>
        <w:rPr>
          <w:color w:val="231F20"/>
          <w:w w:val="110"/>
          <w:sz w:val="17"/>
        </w:rPr>
        <w:t>F.R.</w:t>
      </w:r>
      <w:r>
        <w:rPr>
          <w:color w:val="231F20"/>
          <w:spacing w:val="-3"/>
          <w:w w:val="110"/>
          <w:sz w:val="17"/>
        </w:rPr>
        <w:t xml:space="preserve"> </w:t>
      </w:r>
      <w:r>
        <w:rPr>
          <w:color w:val="231F20"/>
          <w:sz w:val="17"/>
        </w:rPr>
        <w:t>(1984) Social carrying capacity: An integration and</w:t>
      </w:r>
      <w:r>
        <w:rPr>
          <w:color w:val="231F20"/>
          <w:spacing w:val="40"/>
          <w:sz w:val="17"/>
        </w:rPr>
        <w:t xml:space="preserve"> </w:t>
      </w:r>
      <w:r>
        <w:rPr>
          <w:color w:val="231F20"/>
          <w:sz w:val="17"/>
        </w:rPr>
        <w:t xml:space="preserve">synthesis of twenty years of research. </w:t>
      </w:r>
      <w:r>
        <w:rPr>
          <w:i/>
          <w:color w:val="231F20"/>
          <w:sz w:val="17"/>
        </w:rPr>
        <w:t xml:space="preserve">Leisure </w:t>
      </w:r>
      <w:r>
        <w:rPr>
          <w:i/>
          <w:color w:val="231F20"/>
          <w:sz w:val="17"/>
        </w:rPr>
        <w:t xml:space="preserve">Sciences </w:t>
      </w:r>
      <w:r>
        <w:rPr>
          <w:color w:val="231F20"/>
          <w:sz w:val="17"/>
        </w:rPr>
        <w:t>6 (4), 395–431.</w:t>
      </w:r>
    </w:p>
    <w:p w14:paraId="5C8B8B55" w14:textId="77777777" w:rsidR="00AE0598" w:rsidRDefault="0069255A">
      <w:pPr>
        <w:spacing w:before="2"/>
        <w:ind w:left="110"/>
        <w:jc w:val="both"/>
        <w:rPr>
          <w:sz w:val="17"/>
        </w:rPr>
      </w:pPr>
      <w:r>
        <w:rPr>
          <w:color w:val="231F20"/>
          <w:w w:val="95"/>
          <w:sz w:val="17"/>
        </w:rPr>
        <w:t>Grainger,</w:t>
      </w:r>
      <w:r>
        <w:rPr>
          <w:color w:val="231F20"/>
          <w:spacing w:val="10"/>
          <w:sz w:val="17"/>
        </w:rPr>
        <w:t xml:space="preserve"> </w:t>
      </w:r>
      <w:r>
        <w:rPr>
          <w:color w:val="231F20"/>
          <w:w w:val="95"/>
          <w:sz w:val="17"/>
        </w:rPr>
        <w:t>A.</w:t>
      </w:r>
      <w:r>
        <w:rPr>
          <w:color w:val="231F20"/>
          <w:spacing w:val="11"/>
          <w:sz w:val="17"/>
        </w:rPr>
        <w:t xml:space="preserve"> </w:t>
      </w:r>
      <w:r>
        <w:rPr>
          <w:color w:val="231F20"/>
          <w:w w:val="95"/>
          <w:sz w:val="17"/>
        </w:rPr>
        <w:t>and</w:t>
      </w:r>
      <w:r>
        <w:rPr>
          <w:color w:val="231F20"/>
          <w:spacing w:val="10"/>
          <w:sz w:val="17"/>
        </w:rPr>
        <w:t xml:space="preserve"> </w:t>
      </w:r>
      <w:r>
        <w:rPr>
          <w:color w:val="231F20"/>
          <w:w w:val="95"/>
          <w:sz w:val="17"/>
        </w:rPr>
        <w:t>Jackson,</w:t>
      </w:r>
      <w:r>
        <w:rPr>
          <w:color w:val="231F20"/>
          <w:spacing w:val="11"/>
          <w:sz w:val="17"/>
        </w:rPr>
        <w:t xml:space="preserve"> </w:t>
      </w:r>
      <w:r>
        <w:rPr>
          <w:color w:val="231F20"/>
          <w:w w:val="95"/>
          <w:sz w:val="17"/>
        </w:rPr>
        <w:t>S.</w:t>
      </w:r>
      <w:r>
        <w:rPr>
          <w:color w:val="231F20"/>
          <w:spacing w:val="10"/>
          <w:sz w:val="17"/>
        </w:rPr>
        <w:t xml:space="preserve"> </w:t>
      </w:r>
      <w:r>
        <w:rPr>
          <w:color w:val="231F20"/>
          <w:w w:val="95"/>
          <w:sz w:val="17"/>
        </w:rPr>
        <w:t>(1999)</w:t>
      </w:r>
      <w:r>
        <w:rPr>
          <w:color w:val="231F20"/>
          <w:spacing w:val="11"/>
          <w:sz w:val="17"/>
        </w:rPr>
        <w:t xml:space="preserve"> </w:t>
      </w:r>
      <w:r>
        <w:rPr>
          <w:color w:val="231F20"/>
          <w:w w:val="95"/>
          <w:sz w:val="17"/>
        </w:rPr>
        <w:t>Resiting</w:t>
      </w:r>
      <w:r>
        <w:rPr>
          <w:color w:val="231F20"/>
          <w:spacing w:val="11"/>
          <w:sz w:val="17"/>
        </w:rPr>
        <w:t xml:space="preserve"> </w:t>
      </w:r>
      <w:r>
        <w:rPr>
          <w:color w:val="231F20"/>
          <w:w w:val="95"/>
          <w:sz w:val="17"/>
        </w:rPr>
        <w:t>the</w:t>
      </w:r>
      <w:r>
        <w:rPr>
          <w:color w:val="231F20"/>
          <w:spacing w:val="10"/>
          <w:sz w:val="17"/>
        </w:rPr>
        <w:t xml:space="preserve"> </w:t>
      </w:r>
      <w:r>
        <w:rPr>
          <w:color w:val="231F20"/>
          <w:w w:val="95"/>
          <w:sz w:val="17"/>
        </w:rPr>
        <w:t>swoosh</w:t>
      </w:r>
      <w:r>
        <w:rPr>
          <w:color w:val="231F20"/>
          <w:spacing w:val="11"/>
          <w:sz w:val="17"/>
        </w:rPr>
        <w:t xml:space="preserve"> </w:t>
      </w:r>
      <w:r>
        <w:rPr>
          <w:color w:val="231F20"/>
          <w:w w:val="95"/>
          <w:sz w:val="17"/>
        </w:rPr>
        <w:t>in</w:t>
      </w:r>
      <w:r>
        <w:rPr>
          <w:color w:val="231F20"/>
          <w:spacing w:val="10"/>
          <w:sz w:val="17"/>
        </w:rPr>
        <w:t xml:space="preserve"> </w:t>
      </w:r>
      <w:r>
        <w:rPr>
          <w:color w:val="231F20"/>
          <w:w w:val="95"/>
          <w:sz w:val="17"/>
        </w:rPr>
        <w:t>the</w:t>
      </w:r>
      <w:r>
        <w:rPr>
          <w:color w:val="231F20"/>
          <w:spacing w:val="11"/>
          <w:sz w:val="17"/>
        </w:rPr>
        <w:t xml:space="preserve"> </w:t>
      </w:r>
      <w:r>
        <w:rPr>
          <w:color w:val="231F20"/>
          <w:w w:val="95"/>
          <w:sz w:val="17"/>
        </w:rPr>
        <w:t>land</w:t>
      </w:r>
      <w:r>
        <w:rPr>
          <w:color w:val="231F20"/>
          <w:spacing w:val="11"/>
          <w:sz w:val="17"/>
        </w:rPr>
        <w:t xml:space="preserve"> </w:t>
      </w:r>
      <w:r>
        <w:rPr>
          <w:color w:val="231F20"/>
          <w:w w:val="95"/>
          <w:sz w:val="17"/>
        </w:rPr>
        <w:t>of</w:t>
      </w:r>
      <w:r>
        <w:rPr>
          <w:color w:val="231F20"/>
          <w:spacing w:val="10"/>
          <w:sz w:val="17"/>
        </w:rPr>
        <w:t xml:space="preserve"> </w:t>
      </w:r>
      <w:r>
        <w:rPr>
          <w:color w:val="231F20"/>
          <w:w w:val="95"/>
          <w:sz w:val="17"/>
        </w:rPr>
        <w:t>the</w:t>
      </w:r>
      <w:r>
        <w:rPr>
          <w:color w:val="231F20"/>
          <w:spacing w:val="11"/>
          <w:sz w:val="17"/>
        </w:rPr>
        <w:t xml:space="preserve"> </w:t>
      </w:r>
      <w:r>
        <w:rPr>
          <w:color w:val="231F20"/>
          <w:w w:val="95"/>
          <w:sz w:val="17"/>
        </w:rPr>
        <w:t>long</w:t>
      </w:r>
      <w:r>
        <w:rPr>
          <w:color w:val="231F20"/>
          <w:spacing w:val="10"/>
          <w:sz w:val="17"/>
        </w:rPr>
        <w:t xml:space="preserve"> </w:t>
      </w:r>
      <w:r>
        <w:rPr>
          <w:color w:val="231F20"/>
          <w:w w:val="95"/>
          <w:sz w:val="17"/>
        </w:rPr>
        <w:t>white</w:t>
      </w:r>
      <w:r>
        <w:rPr>
          <w:color w:val="231F20"/>
          <w:spacing w:val="11"/>
          <w:sz w:val="17"/>
        </w:rPr>
        <w:t xml:space="preserve"> </w:t>
      </w:r>
      <w:r>
        <w:rPr>
          <w:color w:val="231F20"/>
          <w:spacing w:val="-2"/>
          <w:w w:val="95"/>
          <w:sz w:val="17"/>
        </w:rPr>
        <w:t>cloud.</w:t>
      </w:r>
    </w:p>
    <w:p w14:paraId="706D2706" w14:textId="77777777" w:rsidR="00AE0598" w:rsidRDefault="0069255A">
      <w:pPr>
        <w:spacing w:before="1"/>
        <w:ind w:left="430"/>
        <w:jc w:val="both"/>
        <w:rPr>
          <w:sz w:val="17"/>
        </w:rPr>
      </w:pPr>
      <w:r>
        <w:rPr>
          <w:i/>
          <w:color w:val="231F20"/>
          <w:w w:val="95"/>
          <w:sz w:val="17"/>
        </w:rPr>
        <w:t>Peace</w:t>
      </w:r>
      <w:r>
        <w:rPr>
          <w:i/>
          <w:color w:val="231F20"/>
          <w:spacing w:val="9"/>
          <w:sz w:val="17"/>
        </w:rPr>
        <w:t xml:space="preserve"> </w:t>
      </w:r>
      <w:r>
        <w:rPr>
          <w:i/>
          <w:color w:val="231F20"/>
          <w:w w:val="95"/>
          <w:sz w:val="17"/>
        </w:rPr>
        <w:t>Review</w:t>
      </w:r>
      <w:r>
        <w:rPr>
          <w:i/>
          <w:color w:val="231F20"/>
          <w:spacing w:val="9"/>
          <w:sz w:val="17"/>
        </w:rPr>
        <w:t xml:space="preserve"> </w:t>
      </w:r>
      <w:r>
        <w:rPr>
          <w:color w:val="231F20"/>
          <w:w w:val="95"/>
          <w:sz w:val="17"/>
        </w:rPr>
        <w:t>11</w:t>
      </w:r>
      <w:r>
        <w:rPr>
          <w:color w:val="231F20"/>
          <w:spacing w:val="10"/>
          <w:sz w:val="17"/>
        </w:rPr>
        <w:t xml:space="preserve"> </w:t>
      </w:r>
      <w:r>
        <w:rPr>
          <w:color w:val="231F20"/>
          <w:w w:val="95"/>
          <w:sz w:val="17"/>
        </w:rPr>
        <w:t>(4),</w:t>
      </w:r>
      <w:r>
        <w:rPr>
          <w:color w:val="231F20"/>
          <w:spacing w:val="9"/>
          <w:sz w:val="17"/>
        </w:rPr>
        <w:t xml:space="preserve"> </w:t>
      </w:r>
      <w:r>
        <w:rPr>
          <w:color w:val="231F20"/>
          <w:spacing w:val="-2"/>
          <w:w w:val="95"/>
          <w:sz w:val="17"/>
        </w:rPr>
        <w:t>511–516.</w:t>
      </w:r>
    </w:p>
    <w:p w14:paraId="267F07A5" w14:textId="77777777" w:rsidR="00AE0598" w:rsidRDefault="0069255A">
      <w:pPr>
        <w:ind w:left="430" w:right="127" w:hanging="320"/>
        <w:jc w:val="both"/>
        <w:rPr>
          <w:sz w:val="17"/>
        </w:rPr>
      </w:pPr>
      <w:r>
        <w:rPr>
          <w:color w:val="231F20"/>
          <w:sz w:val="17"/>
        </w:rPr>
        <w:t xml:space="preserve">Grainger, </w:t>
      </w:r>
      <w:r>
        <w:rPr>
          <w:color w:val="231F20"/>
          <w:w w:val="110"/>
          <w:sz w:val="17"/>
        </w:rPr>
        <w:t xml:space="preserve">A. </w:t>
      </w:r>
      <w:r>
        <w:rPr>
          <w:color w:val="231F20"/>
          <w:sz w:val="17"/>
        </w:rPr>
        <w:t>and Jackson, S. (2000) Sports marketing and the challenges of globalization:</w:t>
      </w:r>
      <w:r>
        <w:rPr>
          <w:color w:val="231F20"/>
          <w:spacing w:val="40"/>
          <w:sz w:val="17"/>
        </w:rPr>
        <w:t xml:space="preserve"> </w:t>
      </w:r>
      <w:r>
        <w:rPr>
          <w:color w:val="231F20"/>
          <w:sz w:val="17"/>
        </w:rPr>
        <w:t xml:space="preserve">A case study of cultural resistance in New Zealand. </w:t>
      </w:r>
      <w:r>
        <w:rPr>
          <w:i/>
          <w:color w:val="231F20"/>
          <w:sz w:val="17"/>
        </w:rPr>
        <w:t>International Journal of Sports</w:t>
      </w:r>
      <w:r>
        <w:rPr>
          <w:i/>
          <w:color w:val="231F20"/>
          <w:spacing w:val="40"/>
          <w:sz w:val="17"/>
        </w:rPr>
        <w:t xml:space="preserve"> </w:t>
      </w:r>
      <w:r>
        <w:rPr>
          <w:i/>
          <w:color w:val="231F20"/>
          <w:sz w:val="17"/>
        </w:rPr>
        <w:t xml:space="preserve">Marketing </w:t>
      </w:r>
      <w:r>
        <w:rPr>
          <w:i/>
          <w:color w:val="231F20"/>
          <w:w w:val="110"/>
          <w:sz w:val="17"/>
        </w:rPr>
        <w:t xml:space="preserve">&amp; </w:t>
      </w:r>
      <w:r>
        <w:rPr>
          <w:i/>
          <w:color w:val="231F20"/>
          <w:sz w:val="17"/>
        </w:rPr>
        <w:t xml:space="preserve">Sponsorship </w:t>
      </w:r>
      <w:r>
        <w:rPr>
          <w:color w:val="231F20"/>
          <w:sz w:val="17"/>
        </w:rPr>
        <w:t>2 (2), 35–49.</w:t>
      </w:r>
    </w:p>
    <w:p w14:paraId="7254FF28" w14:textId="77777777" w:rsidR="00AE0598" w:rsidRDefault="00AE0598">
      <w:pPr>
        <w:jc w:val="both"/>
        <w:rPr>
          <w:sz w:val="17"/>
        </w:rPr>
        <w:sectPr w:rsidR="00AE0598">
          <w:pgSz w:w="8850" w:h="13270"/>
          <w:pgMar w:top="720" w:right="1060" w:bottom="280" w:left="1080" w:header="720" w:footer="720" w:gutter="0"/>
          <w:cols w:space="720"/>
        </w:sectPr>
      </w:pPr>
    </w:p>
    <w:p w14:paraId="41CDA6E7" w14:textId="77777777" w:rsidR="00AE0598" w:rsidRDefault="0069255A">
      <w:pPr>
        <w:spacing w:before="87"/>
        <w:ind w:left="110" w:right="128"/>
        <w:jc w:val="right"/>
        <w:rPr>
          <w:rFonts w:ascii="Trebuchet MS"/>
          <w:sz w:val="14"/>
        </w:rPr>
      </w:pPr>
      <w:r>
        <w:rPr>
          <w:rFonts w:ascii="Trebuchet MS"/>
          <w:color w:val="231F20"/>
          <w:w w:val="105"/>
          <w:sz w:val="14"/>
        </w:rPr>
        <w:lastRenderedPageBreak/>
        <w:t>References</w:t>
      </w:r>
      <w:r>
        <w:rPr>
          <w:rFonts w:ascii="Trebuchet MS"/>
          <w:color w:val="231F20"/>
          <w:spacing w:val="67"/>
          <w:w w:val="105"/>
          <w:sz w:val="14"/>
        </w:rPr>
        <w:t xml:space="preserve"> </w:t>
      </w:r>
      <w:r>
        <w:rPr>
          <w:rFonts w:ascii="Trebuchet MS"/>
          <w:color w:val="231F20"/>
          <w:spacing w:val="-5"/>
          <w:w w:val="105"/>
          <w:sz w:val="14"/>
        </w:rPr>
        <w:t>251</w:t>
      </w:r>
    </w:p>
    <w:p w14:paraId="0988D20D" w14:textId="77777777" w:rsidR="00AE0598" w:rsidRDefault="00AE0598">
      <w:pPr>
        <w:pStyle w:val="Corpodetexto"/>
        <w:rPr>
          <w:rFonts w:ascii="Trebuchet MS"/>
          <w:sz w:val="16"/>
        </w:rPr>
      </w:pPr>
    </w:p>
    <w:p w14:paraId="60EEDFF0" w14:textId="77777777" w:rsidR="00AE0598" w:rsidRDefault="0069255A">
      <w:pPr>
        <w:spacing w:before="121"/>
        <w:ind w:left="430" w:right="128" w:hanging="320"/>
        <w:jc w:val="both"/>
        <w:rPr>
          <w:sz w:val="17"/>
        </w:rPr>
      </w:pPr>
      <w:r>
        <w:rPr>
          <w:color w:val="231F20"/>
          <w:sz w:val="17"/>
        </w:rPr>
        <w:t>Gratton, C., Dobson, N. and Shibli, S. (2000) The economic importance of major sports</w:t>
      </w:r>
      <w:r>
        <w:rPr>
          <w:color w:val="231F20"/>
          <w:spacing w:val="40"/>
          <w:sz w:val="17"/>
        </w:rPr>
        <w:t xml:space="preserve"> </w:t>
      </w:r>
      <w:r>
        <w:rPr>
          <w:color w:val="231F20"/>
          <w:sz w:val="17"/>
        </w:rPr>
        <w:t xml:space="preserve">events: A case-study of six events. </w:t>
      </w:r>
      <w:r>
        <w:rPr>
          <w:i/>
          <w:color w:val="231F20"/>
          <w:sz w:val="17"/>
        </w:rPr>
        <w:t xml:space="preserve">Managing Leisure </w:t>
      </w:r>
      <w:r>
        <w:rPr>
          <w:color w:val="231F20"/>
          <w:sz w:val="17"/>
        </w:rPr>
        <w:t>5 (1), 17–28.</w:t>
      </w:r>
    </w:p>
    <w:p w14:paraId="4711E243" w14:textId="77777777" w:rsidR="00AE0598" w:rsidRDefault="0069255A">
      <w:pPr>
        <w:spacing w:before="1"/>
        <w:ind w:left="110"/>
        <w:jc w:val="both"/>
        <w:rPr>
          <w:sz w:val="17"/>
        </w:rPr>
      </w:pPr>
      <w:r>
        <w:rPr>
          <w:color w:val="231F20"/>
          <w:sz w:val="17"/>
        </w:rPr>
        <w:t>Gratton,</w:t>
      </w:r>
      <w:r>
        <w:rPr>
          <w:color w:val="231F20"/>
          <w:spacing w:val="17"/>
          <w:sz w:val="17"/>
        </w:rPr>
        <w:t xml:space="preserve"> </w:t>
      </w:r>
      <w:r>
        <w:rPr>
          <w:color w:val="231F20"/>
          <w:sz w:val="17"/>
        </w:rPr>
        <w:t>C.</w:t>
      </w:r>
      <w:r>
        <w:rPr>
          <w:color w:val="231F20"/>
          <w:spacing w:val="18"/>
          <w:sz w:val="17"/>
        </w:rPr>
        <w:t xml:space="preserve"> </w:t>
      </w:r>
      <w:r>
        <w:rPr>
          <w:color w:val="231F20"/>
          <w:sz w:val="17"/>
        </w:rPr>
        <w:t>and</w:t>
      </w:r>
      <w:r>
        <w:rPr>
          <w:color w:val="231F20"/>
          <w:spacing w:val="17"/>
          <w:sz w:val="17"/>
        </w:rPr>
        <w:t xml:space="preserve"> </w:t>
      </w:r>
      <w:r>
        <w:rPr>
          <w:color w:val="231F20"/>
          <w:sz w:val="17"/>
        </w:rPr>
        <w:t>Preuss,</w:t>
      </w:r>
      <w:r>
        <w:rPr>
          <w:color w:val="231F20"/>
          <w:spacing w:val="18"/>
          <w:sz w:val="17"/>
        </w:rPr>
        <w:t xml:space="preserve"> </w:t>
      </w:r>
      <w:r>
        <w:rPr>
          <w:color w:val="231F20"/>
          <w:sz w:val="17"/>
        </w:rPr>
        <w:t>H.</w:t>
      </w:r>
      <w:r>
        <w:rPr>
          <w:color w:val="231F20"/>
          <w:spacing w:val="17"/>
          <w:sz w:val="17"/>
        </w:rPr>
        <w:t xml:space="preserve"> </w:t>
      </w:r>
      <w:r>
        <w:rPr>
          <w:color w:val="231F20"/>
          <w:sz w:val="17"/>
        </w:rPr>
        <w:t>(2008)</w:t>
      </w:r>
      <w:r>
        <w:rPr>
          <w:color w:val="231F20"/>
          <w:spacing w:val="18"/>
          <w:sz w:val="17"/>
        </w:rPr>
        <w:t xml:space="preserve"> </w:t>
      </w:r>
      <w:r>
        <w:rPr>
          <w:color w:val="231F20"/>
          <w:sz w:val="17"/>
        </w:rPr>
        <w:t>Maximizing</w:t>
      </w:r>
      <w:r>
        <w:rPr>
          <w:color w:val="231F20"/>
          <w:spacing w:val="17"/>
          <w:sz w:val="17"/>
        </w:rPr>
        <w:t xml:space="preserve"> </w:t>
      </w:r>
      <w:r>
        <w:rPr>
          <w:color w:val="231F20"/>
          <w:sz w:val="17"/>
        </w:rPr>
        <w:t>Olympic</w:t>
      </w:r>
      <w:r>
        <w:rPr>
          <w:color w:val="231F20"/>
          <w:spacing w:val="18"/>
          <w:sz w:val="17"/>
        </w:rPr>
        <w:t xml:space="preserve"> </w:t>
      </w:r>
      <w:r>
        <w:rPr>
          <w:color w:val="231F20"/>
          <w:sz w:val="17"/>
        </w:rPr>
        <w:t>impacts</w:t>
      </w:r>
      <w:r>
        <w:rPr>
          <w:color w:val="231F20"/>
          <w:spacing w:val="17"/>
          <w:sz w:val="17"/>
        </w:rPr>
        <w:t xml:space="preserve"> </w:t>
      </w:r>
      <w:r>
        <w:rPr>
          <w:color w:val="231F20"/>
          <w:sz w:val="17"/>
        </w:rPr>
        <w:t>by</w:t>
      </w:r>
      <w:r>
        <w:rPr>
          <w:color w:val="231F20"/>
          <w:spacing w:val="18"/>
          <w:sz w:val="17"/>
        </w:rPr>
        <w:t xml:space="preserve"> </w:t>
      </w:r>
      <w:r>
        <w:rPr>
          <w:color w:val="231F20"/>
          <w:sz w:val="17"/>
        </w:rPr>
        <w:t>building</w:t>
      </w:r>
      <w:r>
        <w:rPr>
          <w:color w:val="231F20"/>
          <w:spacing w:val="17"/>
          <w:sz w:val="17"/>
        </w:rPr>
        <w:t xml:space="preserve"> </w:t>
      </w:r>
      <w:r>
        <w:rPr>
          <w:color w:val="231F20"/>
          <w:sz w:val="17"/>
        </w:rPr>
        <w:t>up</w:t>
      </w:r>
      <w:r>
        <w:rPr>
          <w:color w:val="231F20"/>
          <w:spacing w:val="18"/>
          <w:sz w:val="17"/>
        </w:rPr>
        <w:t xml:space="preserve"> </w:t>
      </w:r>
      <w:r>
        <w:rPr>
          <w:color w:val="231F20"/>
          <w:spacing w:val="-2"/>
          <w:sz w:val="17"/>
        </w:rPr>
        <w:t>legacies.</w:t>
      </w:r>
    </w:p>
    <w:p w14:paraId="142209A5" w14:textId="77777777" w:rsidR="00AE0598" w:rsidRDefault="0069255A">
      <w:pPr>
        <w:spacing w:before="1"/>
        <w:ind w:left="430"/>
        <w:jc w:val="both"/>
        <w:rPr>
          <w:sz w:val="17"/>
        </w:rPr>
      </w:pPr>
      <w:r>
        <w:rPr>
          <w:i/>
          <w:color w:val="231F20"/>
          <w:sz w:val="17"/>
        </w:rPr>
        <w:t>International</w:t>
      </w:r>
      <w:r>
        <w:rPr>
          <w:i/>
          <w:color w:val="231F20"/>
          <w:spacing w:val="5"/>
          <w:sz w:val="17"/>
        </w:rPr>
        <w:t xml:space="preserve"> </w:t>
      </w:r>
      <w:r>
        <w:rPr>
          <w:i/>
          <w:color w:val="231F20"/>
          <w:sz w:val="17"/>
        </w:rPr>
        <w:t>Jou</w:t>
      </w:r>
      <w:r>
        <w:rPr>
          <w:i/>
          <w:color w:val="231F20"/>
          <w:sz w:val="17"/>
        </w:rPr>
        <w:t>rnal</w:t>
      </w:r>
      <w:r>
        <w:rPr>
          <w:i/>
          <w:color w:val="231F20"/>
          <w:spacing w:val="6"/>
          <w:sz w:val="17"/>
        </w:rPr>
        <w:t xml:space="preserve"> </w:t>
      </w:r>
      <w:r>
        <w:rPr>
          <w:i/>
          <w:color w:val="231F20"/>
          <w:sz w:val="17"/>
        </w:rPr>
        <w:t>of</w:t>
      </w:r>
      <w:r>
        <w:rPr>
          <w:i/>
          <w:color w:val="231F20"/>
          <w:spacing w:val="5"/>
          <w:sz w:val="17"/>
        </w:rPr>
        <w:t xml:space="preserve"> </w:t>
      </w:r>
      <w:r>
        <w:rPr>
          <w:i/>
          <w:color w:val="231F20"/>
          <w:sz w:val="17"/>
        </w:rPr>
        <w:t>the</w:t>
      </w:r>
      <w:r>
        <w:rPr>
          <w:i/>
          <w:color w:val="231F20"/>
          <w:spacing w:val="6"/>
          <w:sz w:val="17"/>
        </w:rPr>
        <w:t xml:space="preserve"> </w:t>
      </w:r>
      <w:r>
        <w:rPr>
          <w:i/>
          <w:color w:val="231F20"/>
          <w:sz w:val="17"/>
        </w:rPr>
        <w:t>History</w:t>
      </w:r>
      <w:r>
        <w:rPr>
          <w:i/>
          <w:color w:val="231F20"/>
          <w:spacing w:val="6"/>
          <w:sz w:val="17"/>
        </w:rPr>
        <w:t xml:space="preserve"> </w:t>
      </w:r>
      <w:r>
        <w:rPr>
          <w:i/>
          <w:color w:val="231F20"/>
          <w:sz w:val="17"/>
        </w:rPr>
        <w:t>of</w:t>
      </w:r>
      <w:r>
        <w:rPr>
          <w:i/>
          <w:color w:val="231F20"/>
          <w:spacing w:val="5"/>
          <w:sz w:val="17"/>
        </w:rPr>
        <w:t xml:space="preserve"> </w:t>
      </w:r>
      <w:r>
        <w:rPr>
          <w:i/>
          <w:color w:val="231F20"/>
          <w:sz w:val="17"/>
        </w:rPr>
        <w:t>Sport</w:t>
      </w:r>
      <w:r>
        <w:rPr>
          <w:i/>
          <w:color w:val="231F20"/>
          <w:spacing w:val="5"/>
          <w:sz w:val="17"/>
        </w:rPr>
        <w:t xml:space="preserve"> </w:t>
      </w:r>
      <w:r>
        <w:rPr>
          <w:color w:val="231F20"/>
          <w:sz w:val="17"/>
        </w:rPr>
        <w:t>25</w:t>
      </w:r>
      <w:r>
        <w:rPr>
          <w:color w:val="231F20"/>
          <w:spacing w:val="5"/>
          <w:sz w:val="17"/>
        </w:rPr>
        <w:t xml:space="preserve"> </w:t>
      </w:r>
      <w:r>
        <w:rPr>
          <w:color w:val="231F20"/>
          <w:sz w:val="17"/>
        </w:rPr>
        <w:t>(14),</w:t>
      </w:r>
      <w:r>
        <w:rPr>
          <w:color w:val="231F20"/>
          <w:spacing w:val="6"/>
          <w:sz w:val="17"/>
        </w:rPr>
        <w:t xml:space="preserve"> </w:t>
      </w:r>
      <w:r>
        <w:rPr>
          <w:color w:val="231F20"/>
          <w:spacing w:val="-2"/>
          <w:sz w:val="17"/>
        </w:rPr>
        <w:t>1922–1938.</w:t>
      </w:r>
    </w:p>
    <w:p w14:paraId="78D8C898" w14:textId="77777777" w:rsidR="00AE0598" w:rsidRDefault="0069255A">
      <w:pPr>
        <w:spacing w:before="1"/>
        <w:ind w:left="110"/>
        <w:jc w:val="both"/>
        <w:rPr>
          <w:sz w:val="17"/>
        </w:rPr>
      </w:pPr>
      <w:r>
        <w:rPr>
          <w:color w:val="231F20"/>
          <w:sz w:val="17"/>
        </w:rPr>
        <w:t>Gratton,</w:t>
      </w:r>
      <w:r>
        <w:rPr>
          <w:color w:val="231F20"/>
          <w:spacing w:val="10"/>
          <w:sz w:val="17"/>
        </w:rPr>
        <w:t xml:space="preserve"> </w:t>
      </w:r>
      <w:r>
        <w:rPr>
          <w:color w:val="231F20"/>
          <w:sz w:val="17"/>
        </w:rPr>
        <w:t>C.,</w:t>
      </w:r>
      <w:r>
        <w:rPr>
          <w:color w:val="231F20"/>
          <w:spacing w:val="10"/>
          <w:sz w:val="17"/>
        </w:rPr>
        <w:t xml:space="preserve"> </w:t>
      </w:r>
      <w:r>
        <w:rPr>
          <w:color w:val="231F20"/>
          <w:sz w:val="17"/>
        </w:rPr>
        <w:t>Shibli,</w:t>
      </w:r>
      <w:r>
        <w:rPr>
          <w:color w:val="231F20"/>
          <w:spacing w:val="10"/>
          <w:sz w:val="17"/>
        </w:rPr>
        <w:t xml:space="preserve"> </w:t>
      </w:r>
      <w:r>
        <w:rPr>
          <w:color w:val="231F20"/>
          <w:sz w:val="17"/>
        </w:rPr>
        <w:t>S.</w:t>
      </w:r>
      <w:r>
        <w:rPr>
          <w:color w:val="231F20"/>
          <w:spacing w:val="10"/>
          <w:sz w:val="17"/>
        </w:rPr>
        <w:t xml:space="preserve"> </w:t>
      </w:r>
      <w:r>
        <w:rPr>
          <w:color w:val="231F20"/>
          <w:sz w:val="17"/>
        </w:rPr>
        <w:t>and</w:t>
      </w:r>
      <w:r>
        <w:rPr>
          <w:color w:val="231F20"/>
          <w:spacing w:val="10"/>
          <w:sz w:val="17"/>
        </w:rPr>
        <w:t xml:space="preserve"> </w:t>
      </w:r>
      <w:r>
        <w:rPr>
          <w:color w:val="231F20"/>
          <w:sz w:val="17"/>
        </w:rPr>
        <w:t>Coleman,</w:t>
      </w:r>
      <w:r>
        <w:rPr>
          <w:color w:val="231F20"/>
          <w:spacing w:val="10"/>
          <w:sz w:val="17"/>
        </w:rPr>
        <w:t xml:space="preserve"> </w:t>
      </w:r>
      <w:r>
        <w:rPr>
          <w:color w:val="231F20"/>
          <w:sz w:val="17"/>
        </w:rPr>
        <w:t>R.</w:t>
      </w:r>
      <w:r>
        <w:rPr>
          <w:color w:val="231F20"/>
          <w:spacing w:val="11"/>
          <w:sz w:val="17"/>
        </w:rPr>
        <w:t xml:space="preserve"> </w:t>
      </w:r>
      <w:r>
        <w:rPr>
          <w:color w:val="231F20"/>
          <w:sz w:val="17"/>
        </w:rPr>
        <w:t>(2005)</w:t>
      </w:r>
      <w:r>
        <w:rPr>
          <w:color w:val="231F20"/>
          <w:spacing w:val="10"/>
          <w:sz w:val="17"/>
        </w:rPr>
        <w:t xml:space="preserve"> </w:t>
      </w:r>
      <w:r>
        <w:rPr>
          <w:color w:val="231F20"/>
          <w:sz w:val="17"/>
        </w:rPr>
        <w:t>Sport</w:t>
      </w:r>
      <w:r>
        <w:rPr>
          <w:color w:val="231F20"/>
          <w:spacing w:val="10"/>
          <w:sz w:val="17"/>
        </w:rPr>
        <w:t xml:space="preserve"> </w:t>
      </w:r>
      <w:r>
        <w:rPr>
          <w:color w:val="231F20"/>
          <w:sz w:val="17"/>
        </w:rPr>
        <w:t>and</w:t>
      </w:r>
      <w:r>
        <w:rPr>
          <w:color w:val="231F20"/>
          <w:spacing w:val="10"/>
          <w:sz w:val="17"/>
        </w:rPr>
        <w:t xml:space="preserve"> </w:t>
      </w:r>
      <w:r>
        <w:rPr>
          <w:color w:val="231F20"/>
          <w:sz w:val="17"/>
        </w:rPr>
        <w:t>economic</w:t>
      </w:r>
      <w:r>
        <w:rPr>
          <w:color w:val="231F20"/>
          <w:spacing w:val="10"/>
          <w:sz w:val="17"/>
        </w:rPr>
        <w:t xml:space="preserve"> </w:t>
      </w:r>
      <w:r>
        <w:rPr>
          <w:color w:val="231F20"/>
          <w:sz w:val="17"/>
        </w:rPr>
        <w:t>regeneration</w:t>
      </w:r>
      <w:r>
        <w:rPr>
          <w:color w:val="231F20"/>
          <w:spacing w:val="10"/>
          <w:sz w:val="17"/>
        </w:rPr>
        <w:t xml:space="preserve"> </w:t>
      </w:r>
      <w:r>
        <w:rPr>
          <w:color w:val="231F20"/>
          <w:sz w:val="17"/>
        </w:rPr>
        <w:t>in</w:t>
      </w:r>
      <w:r>
        <w:rPr>
          <w:color w:val="231F20"/>
          <w:spacing w:val="10"/>
          <w:sz w:val="17"/>
        </w:rPr>
        <w:t xml:space="preserve"> </w:t>
      </w:r>
      <w:r>
        <w:rPr>
          <w:color w:val="231F20"/>
          <w:spacing w:val="-2"/>
          <w:sz w:val="17"/>
        </w:rPr>
        <w:t>cities.</w:t>
      </w:r>
    </w:p>
    <w:p w14:paraId="2F945E44" w14:textId="77777777" w:rsidR="00AE0598" w:rsidRDefault="0069255A">
      <w:pPr>
        <w:ind w:left="430"/>
        <w:jc w:val="both"/>
        <w:rPr>
          <w:sz w:val="17"/>
        </w:rPr>
      </w:pPr>
      <w:r>
        <w:rPr>
          <w:i/>
          <w:color w:val="231F20"/>
          <w:w w:val="95"/>
          <w:sz w:val="17"/>
        </w:rPr>
        <w:t>Urban</w:t>
      </w:r>
      <w:r>
        <w:rPr>
          <w:i/>
          <w:color w:val="231F20"/>
          <w:spacing w:val="14"/>
          <w:sz w:val="17"/>
        </w:rPr>
        <w:t xml:space="preserve"> </w:t>
      </w:r>
      <w:r>
        <w:rPr>
          <w:i/>
          <w:color w:val="231F20"/>
          <w:w w:val="95"/>
          <w:sz w:val="17"/>
        </w:rPr>
        <w:t>Studies</w:t>
      </w:r>
      <w:r>
        <w:rPr>
          <w:i/>
          <w:color w:val="231F20"/>
          <w:spacing w:val="15"/>
          <w:sz w:val="17"/>
        </w:rPr>
        <w:t xml:space="preserve"> </w:t>
      </w:r>
      <w:r>
        <w:rPr>
          <w:color w:val="231F20"/>
          <w:w w:val="95"/>
          <w:sz w:val="17"/>
        </w:rPr>
        <w:t>42</w:t>
      </w:r>
      <w:r>
        <w:rPr>
          <w:color w:val="231F20"/>
          <w:spacing w:val="15"/>
          <w:sz w:val="17"/>
        </w:rPr>
        <w:t xml:space="preserve"> </w:t>
      </w:r>
      <w:r>
        <w:rPr>
          <w:color w:val="231F20"/>
          <w:w w:val="95"/>
          <w:sz w:val="17"/>
        </w:rPr>
        <w:t>(5–6),</w:t>
      </w:r>
      <w:r>
        <w:rPr>
          <w:color w:val="231F20"/>
          <w:spacing w:val="14"/>
          <w:sz w:val="17"/>
        </w:rPr>
        <w:t xml:space="preserve"> </w:t>
      </w:r>
      <w:r>
        <w:rPr>
          <w:color w:val="231F20"/>
          <w:spacing w:val="-2"/>
          <w:w w:val="95"/>
          <w:sz w:val="17"/>
        </w:rPr>
        <w:t>985–999.</w:t>
      </w:r>
    </w:p>
    <w:p w14:paraId="69F111AB" w14:textId="77777777" w:rsidR="00AE0598" w:rsidRDefault="0069255A">
      <w:pPr>
        <w:spacing w:before="1"/>
        <w:ind w:left="430" w:right="127" w:hanging="320"/>
        <w:jc w:val="both"/>
        <w:rPr>
          <w:sz w:val="17"/>
        </w:rPr>
      </w:pPr>
      <w:r>
        <w:rPr>
          <w:color w:val="231F20"/>
          <w:sz w:val="17"/>
        </w:rPr>
        <w:t>Gratton,</w:t>
      </w:r>
      <w:r>
        <w:rPr>
          <w:color w:val="231F20"/>
          <w:spacing w:val="-3"/>
          <w:sz w:val="17"/>
        </w:rPr>
        <w:t xml:space="preserve"> </w:t>
      </w:r>
      <w:r>
        <w:rPr>
          <w:color w:val="231F20"/>
          <w:sz w:val="17"/>
        </w:rPr>
        <w:t>C.,</w:t>
      </w:r>
      <w:r>
        <w:rPr>
          <w:color w:val="231F20"/>
          <w:spacing w:val="-3"/>
          <w:sz w:val="17"/>
        </w:rPr>
        <w:t xml:space="preserve"> </w:t>
      </w:r>
      <w:r>
        <w:rPr>
          <w:color w:val="231F20"/>
          <w:sz w:val="17"/>
        </w:rPr>
        <w:t>Shibli,</w:t>
      </w:r>
      <w:r>
        <w:rPr>
          <w:color w:val="231F20"/>
          <w:spacing w:val="-3"/>
          <w:sz w:val="17"/>
        </w:rPr>
        <w:t xml:space="preserve"> </w:t>
      </w:r>
      <w:r>
        <w:rPr>
          <w:color w:val="231F20"/>
          <w:sz w:val="17"/>
        </w:rPr>
        <w:t>S.</w:t>
      </w:r>
      <w:r>
        <w:rPr>
          <w:color w:val="231F20"/>
          <w:spacing w:val="-3"/>
          <w:sz w:val="17"/>
        </w:rPr>
        <w:t xml:space="preserve"> </w:t>
      </w:r>
      <w:r>
        <w:rPr>
          <w:color w:val="231F20"/>
          <w:sz w:val="17"/>
        </w:rPr>
        <w:t>and</w:t>
      </w:r>
      <w:r>
        <w:rPr>
          <w:color w:val="231F20"/>
          <w:spacing w:val="-3"/>
          <w:sz w:val="17"/>
        </w:rPr>
        <w:t xml:space="preserve"> </w:t>
      </w:r>
      <w:r>
        <w:rPr>
          <w:color w:val="231F20"/>
          <w:sz w:val="17"/>
        </w:rPr>
        <w:t>Coleman,</w:t>
      </w:r>
      <w:r>
        <w:rPr>
          <w:color w:val="231F20"/>
          <w:spacing w:val="-3"/>
          <w:sz w:val="17"/>
        </w:rPr>
        <w:t xml:space="preserve"> </w:t>
      </w:r>
      <w:r>
        <w:rPr>
          <w:color w:val="231F20"/>
          <w:sz w:val="17"/>
        </w:rPr>
        <w:t>R.</w:t>
      </w:r>
      <w:r>
        <w:rPr>
          <w:color w:val="231F20"/>
          <w:spacing w:val="-3"/>
          <w:sz w:val="17"/>
        </w:rPr>
        <w:t xml:space="preserve"> </w:t>
      </w:r>
      <w:r>
        <w:rPr>
          <w:color w:val="231F20"/>
          <w:sz w:val="17"/>
        </w:rPr>
        <w:t>(2006)</w:t>
      </w:r>
      <w:r>
        <w:rPr>
          <w:color w:val="231F20"/>
          <w:spacing w:val="-3"/>
          <w:sz w:val="17"/>
        </w:rPr>
        <w:t xml:space="preserve"> </w:t>
      </w:r>
      <w:r>
        <w:rPr>
          <w:color w:val="231F20"/>
          <w:sz w:val="17"/>
        </w:rPr>
        <w:t>The</w:t>
      </w:r>
      <w:r>
        <w:rPr>
          <w:color w:val="231F20"/>
          <w:spacing w:val="-3"/>
          <w:sz w:val="17"/>
        </w:rPr>
        <w:t xml:space="preserve"> </w:t>
      </w:r>
      <w:r>
        <w:rPr>
          <w:color w:val="231F20"/>
          <w:sz w:val="17"/>
        </w:rPr>
        <w:t>economic</w:t>
      </w:r>
      <w:r>
        <w:rPr>
          <w:color w:val="231F20"/>
          <w:spacing w:val="-3"/>
          <w:sz w:val="17"/>
        </w:rPr>
        <w:t xml:space="preserve"> </w:t>
      </w:r>
      <w:r>
        <w:rPr>
          <w:color w:val="231F20"/>
          <w:sz w:val="17"/>
        </w:rPr>
        <w:t>impact</w:t>
      </w:r>
      <w:r>
        <w:rPr>
          <w:color w:val="231F20"/>
          <w:spacing w:val="-3"/>
          <w:sz w:val="17"/>
        </w:rPr>
        <w:t xml:space="preserve"> </w:t>
      </w:r>
      <w:r>
        <w:rPr>
          <w:color w:val="231F20"/>
          <w:sz w:val="17"/>
        </w:rPr>
        <w:t>of</w:t>
      </w:r>
      <w:r>
        <w:rPr>
          <w:color w:val="231F20"/>
          <w:spacing w:val="-3"/>
          <w:sz w:val="17"/>
        </w:rPr>
        <w:t xml:space="preserve"> </w:t>
      </w:r>
      <w:r>
        <w:rPr>
          <w:color w:val="231F20"/>
          <w:sz w:val="17"/>
        </w:rPr>
        <w:t>major</w:t>
      </w:r>
      <w:r>
        <w:rPr>
          <w:color w:val="231F20"/>
          <w:spacing w:val="-3"/>
          <w:sz w:val="17"/>
        </w:rPr>
        <w:t xml:space="preserve"> </w:t>
      </w:r>
      <w:r>
        <w:rPr>
          <w:color w:val="231F20"/>
          <w:sz w:val="17"/>
        </w:rPr>
        <w:t>sports</w:t>
      </w:r>
      <w:r>
        <w:rPr>
          <w:color w:val="231F20"/>
          <w:spacing w:val="-3"/>
          <w:sz w:val="17"/>
        </w:rPr>
        <w:t xml:space="preserve"> </w:t>
      </w:r>
      <w:r>
        <w:rPr>
          <w:color w:val="231F20"/>
          <w:sz w:val="17"/>
        </w:rPr>
        <w:t>events:</w:t>
      </w:r>
      <w:r>
        <w:rPr>
          <w:color w:val="231F20"/>
          <w:spacing w:val="40"/>
          <w:sz w:val="17"/>
        </w:rPr>
        <w:t xml:space="preserve"> </w:t>
      </w:r>
      <w:r>
        <w:rPr>
          <w:color w:val="231F20"/>
          <w:sz w:val="17"/>
        </w:rPr>
        <w:t xml:space="preserve">A review of ten events in the UK. </w:t>
      </w:r>
      <w:r>
        <w:rPr>
          <w:i/>
          <w:color w:val="231F20"/>
          <w:sz w:val="17"/>
        </w:rPr>
        <w:t xml:space="preserve">The Sociological Review </w:t>
      </w:r>
      <w:r>
        <w:rPr>
          <w:color w:val="231F20"/>
          <w:sz w:val="17"/>
        </w:rPr>
        <w:t>54 (s2), 41–58.</w:t>
      </w:r>
    </w:p>
    <w:p w14:paraId="603FCB73" w14:textId="77777777" w:rsidR="00AE0598" w:rsidRDefault="0069255A">
      <w:pPr>
        <w:spacing w:before="1"/>
        <w:ind w:left="430" w:right="128" w:hanging="320"/>
        <w:jc w:val="both"/>
        <w:rPr>
          <w:sz w:val="17"/>
        </w:rPr>
      </w:pPr>
      <w:r>
        <w:rPr>
          <w:color w:val="231F20"/>
          <w:sz w:val="17"/>
        </w:rPr>
        <w:t>Gratton,</w:t>
      </w:r>
      <w:r>
        <w:rPr>
          <w:color w:val="231F20"/>
          <w:spacing w:val="38"/>
          <w:sz w:val="17"/>
        </w:rPr>
        <w:t xml:space="preserve"> </w:t>
      </w:r>
      <w:r>
        <w:rPr>
          <w:color w:val="231F20"/>
          <w:sz w:val="17"/>
        </w:rPr>
        <w:t>C.</w:t>
      </w:r>
      <w:r>
        <w:rPr>
          <w:color w:val="231F20"/>
          <w:spacing w:val="38"/>
          <w:sz w:val="17"/>
        </w:rPr>
        <w:t xml:space="preserve"> </w:t>
      </w:r>
      <w:r>
        <w:rPr>
          <w:color w:val="231F20"/>
          <w:sz w:val="17"/>
        </w:rPr>
        <w:t>and</w:t>
      </w:r>
      <w:r>
        <w:rPr>
          <w:color w:val="231F20"/>
          <w:spacing w:val="38"/>
          <w:sz w:val="17"/>
        </w:rPr>
        <w:t xml:space="preserve"> </w:t>
      </w:r>
      <w:r>
        <w:rPr>
          <w:color w:val="231F20"/>
          <w:sz w:val="17"/>
        </w:rPr>
        <w:t>Taylor,</w:t>
      </w:r>
      <w:r>
        <w:rPr>
          <w:color w:val="231F20"/>
          <w:spacing w:val="38"/>
          <w:sz w:val="17"/>
        </w:rPr>
        <w:t xml:space="preserve"> </w:t>
      </w:r>
      <w:r>
        <w:rPr>
          <w:color w:val="231F20"/>
          <w:sz w:val="17"/>
        </w:rPr>
        <w:t>P.</w:t>
      </w:r>
      <w:r>
        <w:rPr>
          <w:color w:val="231F20"/>
          <w:spacing w:val="38"/>
          <w:sz w:val="17"/>
        </w:rPr>
        <w:t xml:space="preserve"> </w:t>
      </w:r>
      <w:r>
        <w:rPr>
          <w:color w:val="231F20"/>
          <w:sz w:val="17"/>
        </w:rPr>
        <w:t>(2000)</w:t>
      </w:r>
      <w:r>
        <w:rPr>
          <w:color w:val="231F20"/>
          <w:spacing w:val="38"/>
          <w:sz w:val="17"/>
        </w:rPr>
        <w:t xml:space="preserve"> </w:t>
      </w:r>
      <w:r>
        <w:rPr>
          <w:i/>
          <w:color w:val="231F20"/>
          <w:sz w:val="17"/>
        </w:rPr>
        <w:t>Economics</w:t>
      </w:r>
      <w:r>
        <w:rPr>
          <w:i/>
          <w:color w:val="231F20"/>
          <w:spacing w:val="38"/>
          <w:sz w:val="17"/>
        </w:rPr>
        <w:t xml:space="preserve"> </w:t>
      </w:r>
      <w:r>
        <w:rPr>
          <w:i/>
          <w:color w:val="231F20"/>
          <w:sz w:val="17"/>
        </w:rPr>
        <w:t>of</w:t>
      </w:r>
      <w:r>
        <w:rPr>
          <w:i/>
          <w:color w:val="231F20"/>
          <w:spacing w:val="38"/>
          <w:sz w:val="17"/>
        </w:rPr>
        <w:t xml:space="preserve"> </w:t>
      </w:r>
      <w:r>
        <w:rPr>
          <w:i/>
          <w:color w:val="231F20"/>
          <w:sz w:val="17"/>
        </w:rPr>
        <w:t>Sport</w:t>
      </w:r>
      <w:r>
        <w:rPr>
          <w:i/>
          <w:color w:val="231F20"/>
          <w:spacing w:val="38"/>
          <w:sz w:val="17"/>
        </w:rPr>
        <w:t xml:space="preserve"> </w:t>
      </w:r>
      <w:r>
        <w:rPr>
          <w:i/>
          <w:color w:val="231F20"/>
          <w:sz w:val="17"/>
        </w:rPr>
        <w:t>and</w:t>
      </w:r>
      <w:r>
        <w:rPr>
          <w:i/>
          <w:color w:val="231F20"/>
          <w:spacing w:val="38"/>
          <w:sz w:val="17"/>
        </w:rPr>
        <w:t xml:space="preserve"> </w:t>
      </w:r>
      <w:r>
        <w:rPr>
          <w:i/>
          <w:color w:val="231F20"/>
          <w:sz w:val="17"/>
        </w:rPr>
        <w:t>Recreation</w:t>
      </w:r>
      <w:r>
        <w:rPr>
          <w:color w:val="231F20"/>
          <w:sz w:val="17"/>
        </w:rPr>
        <w:t>.</w:t>
      </w:r>
      <w:r>
        <w:rPr>
          <w:color w:val="231F20"/>
          <w:spacing w:val="38"/>
          <w:sz w:val="17"/>
        </w:rPr>
        <w:t xml:space="preserve"> </w:t>
      </w:r>
      <w:r>
        <w:rPr>
          <w:color w:val="231F20"/>
          <w:sz w:val="17"/>
        </w:rPr>
        <w:t>London:</w:t>
      </w:r>
      <w:r>
        <w:rPr>
          <w:color w:val="231F20"/>
          <w:spacing w:val="38"/>
          <w:sz w:val="17"/>
        </w:rPr>
        <w:t xml:space="preserve"> </w:t>
      </w:r>
      <w:r>
        <w:rPr>
          <w:color w:val="231F20"/>
          <w:sz w:val="17"/>
        </w:rPr>
        <w:t>E&amp;FN</w:t>
      </w:r>
      <w:r>
        <w:rPr>
          <w:color w:val="231F20"/>
          <w:spacing w:val="40"/>
          <w:sz w:val="17"/>
        </w:rPr>
        <w:t xml:space="preserve"> </w:t>
      </w:r>
      <w:r>
        <w:rPr>
          <w:color w:val="231F20"/>
          <w:spacing w:val="-2"/>
          <w:sz w:val="17"/>
        </w:rPr>
        <w:t>Spon.</w:t>
      </w:r>
    </w:p>
    <w:p w14:paraId="0A6CDE10" w14:textId="77777777" w:rsidR="00AE0598" w:rsidRDefault="0069255A">
      <w:pPr>
        <w:spacing w:before="2"/>
        <w:ind w:left="430" w:right="128" w:hanging="320"/>
        <w:jc w:val="both"/>
        <w:rPr>
          <w:sz w:val="17"/>
        </w:rPr>
      </w:pPr>
      <w:r>
        <w:rPr>
          <w:color w:val="231F20"/>
          <w:sz w:val="17"/>
        </w:rPr>
        <w:t xml:space="preserve">Green, B.C. (2001) Leveraging subculture and identity to promote sport events. </w:t>
      </w:r>
      <w:r>
        <w:rPr>
          <w:i/>
          <w:color w:val="231F20"/>
          <w:sz w:val="17"/>
        </w:rPr>
        <w:t>Sport</w:t>
      </w:r>
      <w:r>
        <w:rPr>
          <w:i/>
          <w:color w:val="231F20"/>
          <w:spacing w:val="40"/>
          <w:sz w:val="17"/>
        </w:rPr>
        <w:t xml:space="preserve"> </w:t>
      </w:r>
      <w:r>
        <w:rPr>
          <w:i/>
          <w:color w:val="231F20"/>
          <w:sz w:val="17"/>
        </w:rPr>
        <w:t xml:space="preserve">Management Review </w:t>
      </w:r>
      <w:r>
        <w:rPr>
          <w:color w:val="231F20"/>
          <w:sz w:val="17"/>
        </w:rPr>
        <w:t>4 (1), 1–19.</w:t>
      </w:r>
    </w:p>
    <w:p w14:paraId="0D8FB2C7" w14:textId="77777777" w:rsidR="00AE0598" w:rsidRDefault="0069255A">
      <w:pPr>
        <w:spacing w:before="1"/>
        <w:ind w:left="430" w:right="128" w:hanging="320"/>
        <w:jc w:val="both"/>
        <w:rPr>
          <w:sz w:val="17"/>
        </w:rPr>
      </w:pPr>
      <w:r>
        <w:rPr>
          <w:color w:val="231F20"/>
          <w:sz w:val="17"/>
        </w:rPr>
        <w:t xml:space="preserve">Green, B.C. and Chalip, L. (1998) Sport tourism as the celebration of subculture. </w:t>
      </w:r>
      <w:r>
        <w:rPr>
          <w:i/>
          <w:color w:val="231F20"/>
          <w:sz w:val="17"/>
        </w:rPr>
        <w:t>Annals of</w:t>
      </w:r>
      <w:r>
        <w:rPr>
          <w:i/>
          <w:color w:val="231F20"/>
          <w:spacing w:val="40"/>
          <w:sz w:val="17"/>
        </w:rPr>
        <w:t xml:space="preserve"> </w:t>
      </w:r>
      <w:r>
        <w:rPr>
          <w:i/>
          <w:color w:val="231F20"/>
          <w:sz w:val="17"/>
        </w:rPr>
        <w:t xml:space="preserve">Tourism Research </w:t>
      </w:r>
      <w:r>
        <w:rPr>
          <w:color w:val="231F20"/>
          <w:sz w:val="17"/>
        </w:rPr>
        <w:t>25 (2), 275–291.</w:t>
      </w:r>
    </w:p>
    <w:p w14:paraId="5CCA4127" w14:textId="77777777" w:rsidR="00AE0598" w:rsidRDefault="0069255A">
      <w:pPr>
        <w:spacing w:before="2"/>
        <w:ind w:left="430" w:right="128" w:hanging="320"/>
        <w:jc w:val="both"/>
        <w:rPr>
          <w:sz w:val="17"/>
        </w:rPr>
      </w:pPr>
      <w:r>
        <w:rPr>
          <w:color w:val="231F20"/>
          <w:sz w:val="17"/>
        </w:rPr>
        <w:t xml:space="preserve">Green, P. (1992) </w:t>
      </w:r>
      <w:r>
        <w:rPr>
          <w:i/>
          <w:color w:val="231F20"/>
          <w:sz w:val="17"/>
        </w:rPr>
        <w:t>Alexander of Macedon, 356–323 BC: A Historical Biography</w:t>
      </w:r>
      <w:r>
        <w:rPr>
          <w:color w:val="231F20"/>
          <w:sz w:val="17"/>
        </w:rPr>
        <w:t>. Berkeley,</w:t>
      </w:r>
      <w:r>
        <w:rPr>
          <w:color w:val="231F20"/>
          <w:spacing w:val="80"/>
          <w:sz w:val="17"/>
        </w:rPr>
        <w:t xml:space="preserve"> </w:t>
      </w:r>
      <w:r>
        <w:rPr>
          <w:color w:val="231F20"/>
          <w:sz w:val="17"/>
        </w:rPr>
        <w:t>CA: University of California Press.</w:t>
      </w:r>
    </w:p>
    <w:p w14:paraId="56324C3C" w14:textId="77777777" w:rsidR="00AE0598" w:rsidRDefault="0069255A">
      <w:pPr>
        <w:spacing w:before="1"/>
        <w:ind w:left="430" w:right="125" w:hanging="320"/>
        <w:jc w:val="both"/>
        <w:rPr>
          <w:sz w:val="17"/>
        </w:rPr>
      </w:pPr>
      <w:r>
        <w:rPr>
          <w:color w:val="231F20"/>
          <w:sz w:val="17"/>
        </w:rPr>
        <w:t>Greenwood</w:t>
      </w:r>
      <w:r>
        <w:rPr>
          <w:color w:val="231F20"/>
          <w:sz w:val="17"/>
        </w:rPr>
        <w:t>, D.J. (1989) Culture by the pound: An anthropological perspective on</w:t>
      </w:r>
      <w:r>
        <w:rPr>
          <w:color w:val="231F20"/>
          <w:spacing w:val="80"/>
          <w:sz w:val="17"/>
        </w:rPr>
        <w:t xml:space="preserve"> </w:t>
      </w:r>
      <w:r>
        <w:rPr>
          <w:color w:val="231F20"/>
          <w:sz w:val="17"/>
        </w:rPr>
        <w:t>tourism</w:t>
      </w:r>
      <w:r>
        <w:rPr>
          <w:color w:val="231F20"/>
          <w:spacing w:val="80"/>
          <w:sz w:val="17"/>
        </w:rPr>
        <w:t xml:space="preserve"> </w:t>
      </w:r>
      <w:r>
        <w:rPr>
          <w:color w:val="231F20"/>
          <w:sz w:val="17"/>
        </w:rPr>
        <w:t>as</w:t>
      </w:r>
      <w:r>
        <w:rPr>
          <w:color w:val="231F20"/>
          <w:spacing w:val="80"/>
          <w:sz w:val="17"/>
        </w:rPr>
        <w:t xml:space="preserve"> </w:t>
      </w:r>
      <w:r>
        <w:rPr>
          <w:color w:val="231F20"/>
          <w:sz w:val="17"/>
        </w:rPr>
        <w:t>cultural</w:t>
      </w:r>
      <w:r>
        <w:rPr>
          <w:color w:val="231F20"/>
          <w:spacing w:val="80"/>
          <w:sz w:val="17"/>
        </w:rPr>
        <w:t xml:space="preserve"> </w:t>
      </w:r>
      <w:r>
        <w:rPr>
          <w:color w:val="231F20"/>
          <w:sz w:val="17"/>
        </w:rPr>
        <w:t>commodification.</w:t>
      </w:r>
      <w:r>
        <w:rPr>
          <w:color w:val="231F20"/>
          <w:spacing w:val="80"/>
          <w:sz w:val="17"/>
        </w:rPr>
        <w:t xml:space="preserve"> </w:t>
      </w:r>
      <w:r>
        <w:rPr>
          <w:color w:val="231F20"/>
          <w:sz w:val="17"/>
        </w:rPr>
        <w:t>In</w:t>
      </w:r>
      <w:r>
        <w:rPr>
          <w:color w:val="231F20"/>
          <w:spacing w:val="80"/>
          <w:sz w:val="17"/>
        </w:rPr>
        <w:t xml:space="preserve"> </w:t>
      </w:r>
      <w:r>
        <w:rPr>
          <w:color w:val="231F20"/>
          <w:sz w:val="17"/>
        </w:rPr>
        <w:t>V.L.</w:t>
      </w:r>
      <w:r>
        <w:rPr>
          <w:color w:val="231F20"/>
          <w:spacing w:val="80"/>
          <w:sz w:val="17"/>
        </w:rPr>
        <w:t xml:space="preserve"> </w:t>
      </w:r>
      <w:r>
        <w:rPr>
          <w:color w:val="231F20"/>
          <w:sz w:val="17"/>
        </w:rPr>
        <w:t>Smith</w:t>
      </w:r>
      <w:r>
        <w:rPr>
          <w:color w:val="231F20"/>
          <w:spacing w:val="80"/>
          <w:sz w:val="17"/>
        </w:rPr>
        <w:t xml:space="preserve"> </w:t>
      </w:r>
      <w:r>
        <w:rPr>
          <w:color w:val="231F20"/>
          <w:sz w:val="17"/>
        </w:rPr>
        <w:t>(ed.)</w:t>
      </w:r>
      <w:r>
        <w:rPr>
          <w:color w:val="231F20"/>
          <w:spacing w:val="80"/>
          <w:sz w:val="17"/>
        </w:rPr>
        <w:t xml:space="preserve"> </w:t>
      </w:r>
      <w:r>
        <w:rPr>
          <w:i/>
          <w:color w:val="231F20"/>
          <w:sz w:val="17"/>
        </w:rPr>
        <w:t>Hosts</w:t>
      </w:r>
      <w:r>
        <w:rPr>
          <w:i/>
          <w:color w:val="231F20"/>
          <w:spacing w:val="80"/>
          <w:sz w:val="17"/>
        </w:rPr>
        <w:t xml:space="preserve"> </w:t>
      </w:r>
      <w:r>
        <w:rPr>
          <w:i/>
          <w:color w:val="231F20"/>
          <w:sz w:val="17"/>
        </w:rPr>
        <w:t>and</w:t>
      </w:r>
      <w:r>
        <w:rPr>
          <w:i/>
          <w:color w:val="231F20"/>
          <w:spacing w:val="80"/>
          <w:sz w:val="17"/>
        </w:rPr>
        <w:t xml:space="preserve"> </w:t>
      </w:r>
      <w:r>
        <w:rPr>
          <w:i/>
          <w:color w:val="231F20"/>
          <w:sz w:val="17"/>
        </w:rPr>
        <w:t>Guests:</w:t>
      </w:r>
      <w:r>
        <w:rPr>
          <w:i/>
          <w:color w:val="231F20"/>
          <w:spacing w:val="40"/>
          <w:sz w:val="17"/>
        </w:rPr>
        <w:t xml:space="preserve"> </w:t>
      </w:r>
      <w:r>
        <w:rPr>
          <w:i/>
          <w:color w:val="231F20"/>
          <w:sz w:val="17"/>
        </w:rPr>
        <w:t xml:space="preserve">The Anthropology of Tourism </w:t>
      </w:r>
      <w:r>
        <w:rPr>
          <w:color w:val="231F20"/>
          <w:sz w:val="17"/>
        </w:rPr>
        <w:t>(pp. 17–31). Philadelphia, PA: University of</w:t>
      </w:r>
      <w:r>
        <w:rPr>
          <w:color w:val="231F20"/>
          <w:spacing w:val="40"/>
          <w:sz w:val="17"/>
        </w:rPr>
        <w:t xml:space="preserve"> </w:t>
      </w:r>
      <w:r>
        <w:rPr>
          <w:color w:val="231F20"/>
          <w:sz w:val="17"/>
        </w:rPr>
        <w:t>Pennsylvania Press.</w:t>
      </w:r>
    </w:p>
    <w:p w14:paraId="62A3762F" w14:textId="77777777" w:rsidR="00AE0598" w:rsidRDefault="0069255A">
      <w:pPr>
        <w:spacing w:before="3"/>
        <w:ind w:left="430" w:right="127" w:hanging="320"/>
        <w:jc w:val="both"/>
        <w:rPr>
          <w:sz w:val="17"/>
        </w:rPr>
      </w:pPr>
      <w:r>
        <w:rPr>
          <w:color w:val="231F20"/>
          <w:w w:val="105"/>
          <w:sz w:val="17"/>
        </w:rPr>
        <w:t>Groff, D., Funderb</w:t>
      </w:r>
      <w:r>
        <w:rPr>
          <w:color w:val="231F20"/>
          <w:w w:val="105"/>
          <w:sz w:val="17"/>
        </w:rPr>
        <w:t>urk, J., McComb, A. and Connolly, S. (2000) Ninety minutes into the</w:t>
      </w:r>
      <w:r>
        <w:rPr>
          <w:color w:val="231F20"/>
          <w:spacing w:val="40"/>
          <w:w w:val="105"/>
          <w:sz w:val="17"/>
        </w:rPr>
        <w:t xml:space="preserve"> </w:t>
      </w:r>
      <w:r>
        <w:rPr>
          <w:color w:val="231F20"/>
          <w:w w:val="105"/>
          <w:sz w:val="17"/>
        </w:rPr>
        <w:t>game.</w:t>
      </w:r>
      <w:r>
        <w:rPr>
          <w:color w:val="231F20"/>
          <w:spacing w:val="-7"/>
          <w:w w:val="105"/>
          <w:sz w:val="17"/>
        </w:rPr>
        <w:t xml:space="preserve"> </w:t>
      </w:r>
      <w:r>
        <w:rPr>
          <w:i/>
          <w:color w:val="231F20"/>
          <w:w w:val="105"/>
          <w:sz w:val="17"/>
        </w:rPr>
        <w:t>Parks</w:t>
      </w:r>
      <w:r>
        <w:rPr>
          <w:i/>
          <w:color w:val="231F20"/>
          <w:spacing w:val="-7"/>
          <w:w w:val="105"/>
          <w:sz w:val="17"/>
        </w:rPr>
        <w:t xml:space="preserve"> </w:t>
      </w:r>
      <w:r>
        <w:rPr>
          <w:i/>
          <w:color w:val="231F20"/>
          <w:w w:val="105"/>
          <w:sz w:val="17"/>
        </w:rPr>
        <w:t>and</w:t>
      </w:r>
      <w:r>
        <w:rPr>
          <w:i/>
          <w:color w:val="231F20"/>
          <w:spacing w:val="-7"/>
          <w:w w:val="105"/>
          <w:sz w:val="17"/>
        </w:rPr>
        <w:t xml:space="preserve"> </w:t>
      </w:r>
      <w:r>
        <w:rPr>
          <w:i/>
          <w:color w:val="231F20"/>
          <w:w w:val="105"/>
          <w:sz w:val="17"/>
        </w:rPr>
        <w:t>Recreation</w:t>
      </w:r>
      <w:r>
        <w:rPr>
          <w:i/>
          <w:color w:val="231F20"/>
          <w:spacing w:val="-7"/>
          <w:w w:val="105"/>
          <w:sz w:val="17"/>
        </w:rPr>
        <w:t xml:space="preserve"> </w:t>
      </w:r>
      <w:r>
        <w:rPr>
          <w:color w:val="231F20"/>
          <w:w w:val="105"/>
          <w:sz w:val="17"/>
        </w:rPr>
        <w:t>35</w:t>
      </w:r>
      <w:r>
        <w:rPr>
          <w:color w:val="231F20"/>
          <w:spacing w:val="-7"/>
          <w:w w:val="105"/>
          <w:sz w:val="17"/>
        </w:rPr>
        <w:t xml:space="preserve"> </w:t>
      </w:r>
      <w:r>
        <w:rPr>
          <w:color w:val="231F20"/>
          <w:w w:val="105"/>
          <w:sz w:val="17"/>
        </w:rPr>
        <w:t>(8),</w:t>
      </w:r>
      <w:r>
        <w:rPr>
          <w:color w:val="231F20"/>
          <w:spacing w:val="-7"/>
          <w:w w:val="105"/>
          <w:sz w:val="17"/>
        </w:rPr>
        <w:t xml:space="preserve"> </w:t>
      </w:r>
      <w:r>
        <w:rPr>
          <w:color w:val="231F20"/>
          <w:w w:val="105"/>
          <w:sz w:val="17"/>
        </w:rPr>
        <w:t>70–78.</w:t>
      </w:r>
    </w:p>
    <w:p w14:paraId="33F9C17E" w14:textId="77777777" w:rsidR="00AE0598" w:rsidRDefault="0069255A">
      <w:pPr>
        <w:spacing w:before="1"/>
        <w:ind w:left="430" w:right="128" w:hanging="320"/>
        <w:jc w:val="both"/>
        <w:rPr>
          <w:sz w:val="17"/>
        </w:rPr>
      </w:pPr>
      <w:r>
        <w:rPr>
          <w:color w:val="231F20"/>
          <w:sz w:val="17"/>
        </w:rPr>
        <w:t>Grundlingh, A. (1994) Playing for power? Rugby, Afrikaner nationalism and masculinity</w:t>
      </w:r>
      <w:r>
        <w:rPr>
          <w:color w:val="231F20"/>
          <w:spacing w:val="40"/>
          <w:sz w:val="17"/>
        </w:rPr>
        <w:t xml:space="preserve"> </w:t>
      </w:r>
      <w:r>
        <w:rPr>
          <w:color w:val="231F20"/>
          <w:sz w:val="17"/>
        </w:rPr>
        <w:t xml:space="preserve">in South Africa, c.1900–70. </w:t>
      </w:r>
      <w:r>
        <w:rPr>
          <w:i/>
          <w:color w:val="231F20"/>
          <w:sz w:val="17"/>
        </w:rPr>
        <w:t xml:space="preserve">International Journal of the History of Sport </w:t>
      </w:r>
      <w:r>
        <w:rPr>
          <w:color w:val="231F20"/>
          <w:sz w:val="17"/>
        </w:rPr>
        <w:t>11 (3),</w:t>
      </w:r>
      <w:r>
        <w:rPr>
          <w:color w:val="231F20"/>
          <w:spacing w:val="40"/>
          <w:sz w:val="17"/>
        </w:rPr>
        <w:t xml:space="preserve"> </w:t>
      </w:r>
      <w:r>
        <w:rPr>
          <w:color w:val="231F20"/>
          <w:spacing w:val="-2"/>
          <w:sz w:val="17"/>
        </w:rPr>
        <w:t>408–430.</w:t>
      </w:r>
    </w:p>
    <w:p w14:paraId="0F80BF24" w14:textId="77777777" w:rsidR="00AE0598" w:rsidRDefault="0069255A">
      <w:pPr>
        <w:spacing w:before="2"/>
        <w:ind w:left="430" w:right="126" w:hanging="320"/>
        <w:jc w:val="both"/>
        <w:rPr>
          <w:sz w:val="17"/>
        </w:rPr>
      </w:pPr>
      <w:r>
        <w:rPr>
          <w:color w:val="231F20"/>
          <w:sz w:val="17"/>
        </w:rPr>
        <w:t xml:space="preserve">Gu, H. and Ryan, C. (2008) Place attachment, identity and community impacts of </w:t>
      </w:r>
      <w:r>
        <w:rPr>
          <w:color w:val="231F20"/>
          <w:sz w:val="17"/>
        </w:rPr>
        <w:t>tourism:</w:t>
      </w:r>
      <w:r>
        <w:rPr>
          <w:color w:val="231F20"/>
          <w:spacing w:val="40"/>
          <w:sz w:val="17"/>
        </w:rPr>
        <w:t xml:space="preserve"> </w:t>
      </w:r>
      <w:r>
        <w:rPr>
          <w:color w:val="231F20"/>
          <w:sz w:val="17"/>
        </w:rPr>
        <w:t xml:space="preserve">The case of a Beijing hutong. </w:t>
      </w:r>
      <w:r>
        <w:rPr>
          <w:i/>
          <w:color w:val="231F20"/>
          <w:sz w:val="17"/>
        </w:rPr>
        <w:t xml:space="preserve">Tourism Management </w:t>
      </w:r>
      <w:r>
        <w:rPr>
          <w:color w:val="231F20"/>
          <w:sz w:val="17"/>
        </w:rPr>
        <w:t>29, 637–647.</w:t>
      </w:r>
    </w:p>
    <w:p w14:paraId="59317CAD" w14:textId="77777777" w:rsidR="00AE0598" w:rsidRDefault="0069255A">
      <w:pPr>
        <w:spacing w:before="2"/>
        <w:ind w:left="430" w:right="128" w:hanging="320"/>
        <w:jc w:val="both"/>
        <w:rPr>
          <w:sz w:val="17"/>
        </w:rPr>
      </w:pPr>
      <w:r>
        <w:rPr>
          <w:color w:val="231F20"/>
          <w:sz w:val="17"/>
        </w:rPr>
        <w:t xml:space="preserve">Gunn, C. (1988) </w:t>
      </w:r>
      <w:r>
        <w:rPr>
          <w:i/>
          <w:color w:val="231F20"/>
          <w:sz w:val="17"/>
        </w:rPr>
        <w:t xml:space="preserve">Vacationscape: Designing Tourist Regions </w:t>
      </w:r>
      <w:r>
        <w:rPr>
          <w:color w:val="231F20"/>
          <w:sz w:val="17"/>
        </w:rPr>
        <w:t>(2nd edn). New York: Van</w:t>
      </w:r>
      <w:r>
        <w:rPr>
          <w:color w:val="231F20"/>
          <w:spacing w:val="40"/>
          <w:sz w:val="17"/>
        </w:rPr>
        <w:t xml:space="preserve"> </w:t>
      </w:r>
      <w:r>
        <w:rPr>
          <w:color w:val="231F20"/>
          <w:sz w:val="17"/>
        </w:rPr>
        <w:t>Nostrand Reinhold.</w:t>
      </w:r>
    </w:p>
    <w:p w14:paraId="5A88E651" w14:textId="77777777" w:rsidR="00AE0598" w:rsidRDefault="0069255A">
      <w:pPr>
        <w:spacing w:before="1"/>
        <w:ind w:left="430" w:right="128" w:hanging="320"/>
        <w:jc w:val="both"/>
        <w:rPr>
          <w:sz w:val="17"/>
        </w:rPr>
      </w:pPr>
      <w:r>
        <w:rPr>
          <w:color w:val="231F20"/>
          <w:sz w:val="17"/>
        </w:rPr>
        <w:t xml:space="preserve">Gustafson, S. (2013) Displacement and the racial state in Olympic Atlanta. </w:t>
      </w:r>
      <w:r>
        <w:rPr>
          <w:i/>
          <w:color w:val="231F20"/>
          <w:sz w:val="17"/>
        </w:rPr>
        <w:t>Southeast</w:t>
      </w:r>
      <w:r>
        <w:rPr>
          <w:i/>
          <w:color w:val="231F20"/>
          <w:sz w:val="17"/>
        </w:rPr>
        <w:t>ern</w:t>
      </w:r>
      <w:r>
        <w:rPr>
          <w:i/>
          <w:color w:val="231F20"/>
          <w:spacing w:val="40"/>
          <w:sz w:val="17"/>
        </w:rPr>
        <w:t xml:space="preserve"> </w:t>
      </w:r>
      <w:r>
        <w:rPr>
          <w:i/>
          <w:color w:val="231F20"/>
          <w:sz w:val="17"/>
        </w:rPr>
        <w:t xml:space="preserve">Geographer </w:t>
      </w:r>
      <w:r>
        <w:rPr>
          <w:color w:val="231F20"/>
          <w:sz w:val="17"/>
        </w:rPr>
        <w:t>53 (2), 198–213.</w:t>
      </w:r>
    </w:p>
    <w:p w14:paraId="50F899BA" w14:textId="77777777" w:rsidR="00AE0598" w:rsidRDefault="0069255A">
      <w:pPr>
        <w:spacing w:before="2"/>
        <w:ind w:left="430" w:right="128" w:hanging="320"/>
        <w:jc w:val="both"/>
        <w:rPr>
          <w:sz w:val="17"/>
        </w:rPr>
      </w:pPr>
      <w:r>
        <w:rPr>
          <w:color w:val="231F20"/>
          <w:w w:val="105"/>
          <w:sz w:val="17"/>
        </w:rPr>
        <w:t xml:space="preserve">Guttmann, A. (1992) </w:t>
      </w:r>
      <w:r>
        <w:rPr>
          <w:i/>
          <w:color w:val="231F20"/>
          <w:w w:val="105"/>
          <w:sz w:val="17"/>
        </w:rPr>
        <w:t>The Olympics: A History of the Modern Games</w:t>
      </w:r>
      <w:r>
        <w:rPr>
          <w:color w:val="231F20"/>
          <w:w w:val="105"/>
          <w:sz w:val="17"/>
        </w:rPr>
        <w:t>. Urbana, IL:</w:t>
      </w:r>
      <w:r>
        <w:rPr>
          <w:color w:val="231F20"/>
          <w:spacing w:val="40"/>
          <w:w w:val="105"/>
          <w:sz w:val="17"/>
        </w:rPr>
        <w:t xml:space="preserve"> </w:t>
      </w:r>
      <w:r>
        <w:rPr>
          <w:color w:val="231F20"/>
          <w:w w:val="105"/>
          <w:sz w:val="17"/>
        </w:rPr>
        <w:t>University of Illinois Press.</w:t>
      </w:r>
    </w:p>
    <w:p w14:paraId="6C2E486A" w14:textId="77777777" w:rsidR="00AE0598" w:rsidRDefault="0069255A">
      <w:pPr>
        <w:spacing w:before="1"/>
        <w:ind w:left="430" w:right="128" w:hanging="320"/>
        <w:jc w:val="both"/>
        <w:rPr>
          <w:sz w:val="17"/>
        </w:rPr>
      </w:pPr>
      <w:r>
        <w:rPr>
          <w:color w:val="231F20"/>
          <w:spacing w:val="-2"/>
          <w:sz w:val="17"/>
        </w:rPr>
        <w:t xml:space="preserve">Hackworth, </w:t>
      </w:r>
      <w:r>
        <w:rPr>
          <w:color w:val="231F20"/>
          <w:spacing w:val="-2"/>
          <w:w w:val="105"/>
          <w:sz w:val="17"/>
        </w:rPr>
        <w:t xml:space="preserve">J. </w:t>
      </w:r>
      <w:r>
        <w:rPr>
          <w:color w:val="231F20"/>
          <w:spacing w:val="-2"/>
          <w:sz w:val="17"/>
        </w:rPr>
        <w:t>(2008) The durability of</w:t>
      </w:r>
      <w:r>
        <w:rPr>
          <w:color w:val="231F20"/>
          <w:sz w:val="17"/>
        </w:rPr>
        <w:t xml:space="preserve"> </w:t>
      </w:r>
      <w:r>
        <w:rPr>
          <w:color w:val="231F20"/>
          <w:spacing w:val="-2"/>
          <w:sz w:val="17"/>
        </w:rPr>
        <w:t>roll-out neoliberalism under centre-left governance:</w:t>
      </w:r>
      <w:r>
        <w:rPr>
          <w:color w:val="231F20"/>
          <w:spacing w:val="40"/>
          <w:sz w:val="17"/>
        </w:rPr>
        <w:t xml:space="preserve"> </w:t>
      </w:r>
      <w:r>
        <w:rPr>
          <w:color w:val="231F20"/>
          <w:sz w:val="17"/>
        </w:rPr>
        <w:t>The case of Ontario’s soc</w:t>
      </w:r>
      <w:r>
        <w:rPr>
          <w:color w:val="231F20"/>
          <w:sz w:val="17"/>
        </w:rPr>
        <w:t xml:space="preserve">ial housing sector. </w:t>
      </w:r>
      <w:r>
        <w:rPr>
          <w:i/>
          <w:color w:val="231F20"/>
          <w:sz w:val="17"/>
        </w:rPr>
        <w:t xml:space="preserve">Studies in Political Economy </w:t>
      </w:r>
      <w:r>
        <w:rPr>
          <w:color w:val="231F20"/>
          <w:sz w:val="17"/>
        </w:rPr>
        <w:t>21, 7–26.</w:t>
      </w:r>
    </w:p>
    <w:p w14:paraId="469CEE2A" w14:textId="77777777" w:rsidR="00AE0598" w:rsidRDefault="0069255A">
      <w:pPr>
        <w:spacing w:before="1"/>
        <w:ind w:left="110"/>
        <w:jc w:val="both"/>
        <w:rPr>
          <w:sz w:val="17"/>
        </w:rPr>
      </w:pPr>
      <w:r>
        <w:rPr>
          <w:color w:val="231F20"/>
          <w:sz w:val="17"/>
        </w:rPr>
        <w:t>Hagen,</w:t>
      </w:r>
      <w:r>
        <w:rPr>
          <w:color w:val="231F20"/>
          <w:spacing w:val="32"/>
          <w:sz w:val="17"/>
        </w:rPr>
        <w:t xml:space="preserve"> </w:t>
      </w:r>
      <w:r>
        <w:rPr>
          <w:color w:val="231F20"/>
          <w:sz w:val="17"/>
        </w:rPr>
        <w:t>S.</w:t>
      </w:r>
      <w:r>
        <w:rPr>
          <w:color w:val="231F20"/>
          <w:spacing w:val="32"/>
          <w:sz w:val="17"/>
        </w:rPr>
        <w:t xml:space="preserve"> </w:t>
      </w:r>
      <w:r>
        <w:rPr>
          <w:color w:val="231F20"/>
          <w:sz w:val="17"/>
        </w:rPr>
        <w:t>and</w:t>
      </w:r>
      <w:r>
        <w:rPr>
          <w:color w:val="231F20"/>
          <w:spacing w:val="33"/>
          <w:sz w:val="17"/>
        </w:rPr>
        <w:t xml:space="preserve"> </w:t>
      </w:r>
      <w:r>
        <w:rPr>
          <w:color w:val="231F20"/>
          <w:sz w:val="17"/>
        </w:rPr>
        <w:t>Boyes,</w:t>
      </w:r>
      <w:r>
        <w:rPr>
          <w:color w:val="231F20"/>
          <w:spacing w:val="32"/>
          <w:sz w:val="17"/>
        </w:rPr>
        <w:t xml:space="preserve"> </w:t>
      </w:r>
      <w:r>
        <w:rPr>
          <w:color w:val="231F20"/>
          <w:sz w:val="17"/>
        </w:rPr>
        <w:t>M.</w:t>
      </w:r>
      <w:r>
        <w:rPr>
          <w:color w:val="231F20"/>
          <w:spacing w:val="33"/>
          <w:sz w:val="17"/>
        </w:rPr>
        <w:t xml:space="preserve"> </w:t>
      </w:r>
      <w:r>
        <w:rPr>
          <w:color w:val="231F20"/>
          <w:sz w:val="17"/>
        </w:rPr>
        <w:t>(2016)</w:t>
      </w:r>
      <w:r>
        <w:rPr>
          <w:color w:val="231F20"/>
          <w:spacing w:val="32"/>
          <w:sz w:val="17"/>
        </w:rPr>
        <w:t xml:space="preserve"> </w:t>
      </w:r>
      <w:r>
        <w:rPr>
          <w:color w:val="231F20"/>
          <w:sz w:val="17"/>
        </w:rPr>
        <w:t>Affective</w:t>
      </w:r>
      <w:r>
        <w:rPr>
          <w:color w:val="231F20"/>
          <w:spacing w:val="33"/>
          <w:sz w:val="17"/>
        </w:rPr>
        <w:t xml:space="preserve"> </w:t>
      </w:r>
      <w:r>
        <w:rPr>
          <w:color w:val="231F20"/>
          <w:sz w:val="17"/>
        </w:rPr>
        <w:t>ride</w:t>
      </w:r>
      <w:r>
        <w:rPr>
          <w:color w:val="231F20"/>
          <w:spacing w:val="32"/>
          <w:sz w:val="17"/>
        </w:rPr>
        <w:t xml:space="preserve"> </w:t>
      </w:r>
      <w:r>
        <w:rPr>
          <w:color w:val="231F20"/>
          <w:sz w:val="17"/>
        </w:rPr>
        <w:t>experiences</w:t>
      </w:r>
      <w:r>
        <w:rPr>
          <w:color w:val="231F20"/>
          <w:spacing w:val="33"/>
          <w:sz w:val="17"/>
        </w:rPr>
        <w:t xml:space="preserve"> </w:t>
      </w:r>
      <w:r>
        <w:rPr>
          <w:color w:val="231F20"/>
          <w:sz w:val="17"/>
        </w:rPr>
        <w:t>on</w:t>
      </w:r>
      <w:r>
        <w:rPr>
          <w:color w:val="231F20"/>
          <w:spacing w:val="32"/>
          <w:sz w:val="17"/>
        </w:rPr>
        <w:t xml:space="preserve"> </w:t>
      </w:r>
      <w:r>
        <w:rPr>
          <w:color w:val="231F20"/>
          <w:sz w:val="17"/>
        </w:rPr>
        <w:t>mountain</w:t>
      </w:r>
      <w:r>
        <w:rPr>
          <w:color w:val="231F20"/>
          <w:spacing w:val="33"/>
          <w:sz w:val="17"/>
        </w:rPr>
        <w:t xml:space="preserve"> </w:t>
      </w:r>
      <w:r>
        <w:rPr>
          <w:color w:val="231F20"/>
          <w:sz w:val="17"/>
        </w:rPr>
        <w:t>bike</w:t>
      </w:r>
      <w:r>
        <w:rPr>
          <w:color w:val="231F20"/>
          <w:spacing w:val="32"/>
          <w:sz w:val="17"/>
        </w:rPr>
        <w:t xml:space="preserve"> </w:t>
      </w:r>
      <w:r>
        <w:rPr>
          <w:color w:val="231F20"/>
          <w:spacing w:val="-2"/>
          <w:sz w:val="17"/>
        </w:rPr>
        <w:t>terrain.</w:t>
      </w:r>
    </w:p>
    <w:p w14:paraId="0D698B37" w14:textId="77777777" w:rsidR="00AE0598" w:rsidRDefault="0069255A">
      <w:pPr>
        <w:spacing w:before="1"/>
        <w:ind w:left="430"/>
        <w:jc w:val="both"/>
        <w:rPr>
          <w:sz w:val="17"/>
        </w:rPr>
      </w:pPr>
      <w:r>
        <w:rPr>
          <w:i/>
          <w:color w:val="231F20"/>
          <w:sz w:val="17"/>
        </w:rPr>
        <w:t>Journal</w:t>
      </w:r>
      <w:r>
        <w:rPr>
          <w:i/>
          <w:color w:val="231F20"/>
          <w:spacing w:val="17"/>
          <w:sz w:val="17"/>
        </w:rPr>
        <w:t xml:space="preserve"> </w:t>
      </w:r>
      <w:r>
        <w:rPr>
          <w:i/>
          <w:color w:val="231F20"/>
          <w:sz w:val="17"/>
        </w:rPr>
        <w:t>of</w:t>
      </w:r>
      <w:r>
        <w:rPr>
          <w:i/>
          <w:color w:val="231F20"/>
          <w:spacing w:val="18"/>
          <w:sz w:val="17"/>
        </w:rPr>
        <w:t xml:space="preserve"> </w:t>
      </w:r>
      <w:r>
        <w:rPr>
          <w:i/>
          <w:color w:val="231F20"/>
          <w:sz w:val="17"/>
        </w:rPr>
        <w:t>Outdoor</w:t>
      </w:r>
      <w:r>
        <w:rPr>
          <w:i/>
          <w:color w:val="231F20"/>
          <w:spacing w:val="17"/>
          <w:sz w:val="17"/>
        </w:rPr>
        <w:t xml:space="preserve"> </w:t>
      </w:r>
      <w:r>
        <w:rPr>
          <w:i/>
          <w:color w:val="231F20"/>
          <w:sz w:val="17"/>
        </w:rPr>
        <w:t>Recreation</w:t>
      </w:r>
      <w:r>
        <w:rPr>
          <w:i/>
          <w:color w:val="231F20"/>
          <w:spacing w:val="18"/>
          <w:sz w:val="17"/>
        </w:rPr>
        <w:t xml:space="preserve"> </w:t>
      </w:r>
      <w:r>
        <w:rPr>
          <w:i/>
          <w:color w:val="231F20"/>
          <w:sz w:val="17"/>
        </w:rPr>
        <w:t>and</w:t>
      </w:r>
      <w:r>
        <w:rPr>
          <w:i/>
          <w:color w:val="231F20"/>
          <w:spacing w:val="18"/>
          <w:sz w:val="17"/>
        </w:rPr>
        <w:t xml:space="preserve"> </w:t>
      </w:r>
      <w:r>
        <w:rPr>
          <w:i/>
          <w:color w:val="231F20"/>
          <w:sz w:val="17"/>
        </w:rPr>
        <w:t>Tourism</w:t>
      </w:r>
      <w:r>
        <w:rPr>
          <w:i/>
          <w:color w:val="231F20"/>
          <w:spacing w:val="17"/>
          <w:sz w:val="17"/>
        </w:rPr>
        <w:t xml:space="preserve"> </w:t>
      </w:r>
      <w:r>
        <w:rPr>
          <w:color w:val="231F20"/>
          <w:sz w:val="17"/>
        </w:rPr>
        <w:t>15,</w:t>
      </w:r>
      <w:r>
        <w:rPr>
          <w:color w:val="231F20"/>
          <w:spacing w:val="18"/>
          <w:sz w:val="17"/>
        </w:rPr>
        <w:t xml:space="preserve"> </w:t>
      </w:r>
      <w:r>
        <w:rPr>
          <w:color w:val="231F20"/>
          <w:spacing w:val="-2"/>
          <w:sz w:val="17"/>
        </w:rPr>
        <w:t>89–98.</w:t>
      </w:r>
    </w:p>
    <w:p w14:paraId="250E7B2C" w14:textId="77777777" w:rsidR="00AE0598" w:rsidRDefault="0069255A">
      <w:pPr>
        <w:spacing w:before="1"/>
        <w:ind w:left="430" w:right="128" w:hanging="320"/>
        <w:jc w:val="both"/>
        <w:rPr>
          <w:sz w:val="17"/>
        </w:rPr>
      </w:pPr>
      <w:r>
        <w:rPr>
          <w:color w:val="231F20"/>
          <w:sz w:val="17"/>
        </w:rPr>
        <w:t xml:space="preserve">Halberstam, D. (1999) </w:t>
      </w:r>
      <w:r>
        <w:rPr>
          <w:i/>
          <w:color w:val="231F20"/>
          <w:sz w:val="17"/>
        </w:rPr>
        <w:t>Playing for Keeps: Michael Jordan and the World He Made</w:t>
      </w:r>
      <w:r>
        <w:rPr>
          <w:color w:val="231F20"/>
          <w:sz w:val="17"/>
        </w:rPr>
        <w:t>. New</w:t>
      </w:r>
      <w:r>
        <w:rPr>
          <w:color w:val="231F20"/>
          <w:spacing w:val="40"/>
          <w:sz w:val="17"/>
        </w:rPr>
        <w:t xml:space="preserve"> </w:t>
      </w:r>
      <w:r>
        <w:rPr>
          <w:color w:val="231F20"/>
          <w:sz w:val="17"/>
        </w:rPr>
        <w:t>York: Random House.</w:t>
      </w:r>
    </w:p>
    <w:p w14:paraId="379817AF" w14:textId="77777777" w:rsidR="00AE0598" w:rsidRDefault="0069255A">
      <w:pPr>
        <w:spacing w:before="1"/>
        <w:ind w:left="110"/>
        <w:jc w:val="both"/>
        <w:rPr>
          <w:sz w:val="17"/>
        </w:rPr>
      </w:pPr>
      <w:r>
        <w:rPr>
          <w:color w:val="231F20"/>
          <w:w w:val="105"/>
          <w:sz w:val="17"/>
        </w:rPr>
        <w:t>Hall,</w:t>
      </w:r>
      <w:r>
        <w:rPr>
          <w:color w:val="231F20"/>
          <w:spacing w:val="45"/>
          <w:w w:val="105"/>
          <w:sz w:val="17"/>
        </w:rPr>
        <w:t xml:space="preserve"> </w:t>
      </w:r>
      <w:r>
        <w:rPr>
          <w:color w:val="231F20"/>
          <w:w w:val="105"/>
          <w:sz w:val="17"/>
        </w:rPr>
        <w:t>C.M.</w:t>
      </w:r>
      <w:r>
        <w:rPr>
          <w:color w:val="231F20"/>
          <w:spacing w:val="46"/>
          <w:w w:val="105"/>
          <w:sz w:val="17"/>
        </w:rPr>
        <w:t xml:space="preserve"> </w:t>
      </w:r>
      <w:r>
        <w:rPr>
          <w:color w:val="231F20"/>
          <w:w w:val="105"/>
          <w:sz w:val="17"/>
        </w:rPr>
        <w:t>(1992a)</w:t>
      </w:r>
      <w:r>
        <w:rPr>
          <w:color w:val="231F20"/>
          <w:spacing w:val="45"/>
          <w:w w:val="105"/>
          <w:sz w:val="17"/>
        </w:rPr>
        <w:t xml:space="preserve"> </w:t>
      </w:r>
      <w:r>
        <w:rPr>
          <w:i/>
          <w:color w:val="231F20"/>
          <w:w w:val="105"/>
          <w:sz w:val="17"/>
        </w:rPr>
        <w:t>Hallmark</w:t>
      </w:r>
      <w:r>
        <w:rPr>
          <w:i/>
          <w:color w:val="231F20"/>
          <w:spacing w:val="47"/>
          <w:w w:val="105"/>
          <w:sz w:val="17"/>
        </w:rPr>
        <w:t xml:space="preserve"> </w:t>
      </w:r>
      <w:r>
        <w:rPr>
          <w:i/>
          <w:color w:val="231F20"/>
          <w:w w:val="105"/>
          <w:sz w:val="17"/>
        </w:rPr>
        <w:t>Tourist</w:t>
      </w:r>
      <w:r>
        <w:rPr>
          <w:i/>
          <w:color w:val="231F20"/>
          <w:spacing w:val="46"/>
          <w:w w:val="105"/>
          <w:sz w:val="17"/>
        </w:rPr>
        <w:t xml:space="preserve"> </w:t>
      </w:r>
      <w:r>
        <w:rPr>
          <w:i/>
          <w:color w:val="231F20"/>
          <w:w w:val="105"/>
          <w:sz w:val="17"/>
        </w:rPr>
        <w:t>Events:</w:t>
      </w:r>
      <w:r>
        <w:rPr>
          <w:i/>
          <w:color w:val="231F20"/>
          <w:spacing w:val="47"/>
          <w:w w:val="105"/>
          <w:sz w:val="17"/>
        </w:rPr>
        <w:t xml:space="preserve"> </w:t>
      </w:r>
      <w:r>
        <w:rPr>
          <w:i/>
          <w:color w:val="231F20"/>
          <w:w w:val="105"/>
          <w:sz w:val="17"/>
        </w:rPr>
        <w:t>Impacts,</w:t>
      </w:r>
      <w:r>
        <w:rPr>
          <w:i/>
          <w:color w:val="231F20"/>
          <w:spacing w:val="46"/>
          <w:w w:val="105"/>
          <w:sz w:val="17"/>
        </w:rPr>
        <w:t xml:space="preserve"> </w:t>
      </w:r>
      <w:r>
        <w:rPr>
          <w:i/>
          <w:color w:val="231F20"/>
          <w:w w:val="105"/>
          <w:sz w:val="17"/>
        </w:rPr>
        <w:t>Management</w:t>
      </w:r>
      <w:r>
        <w:rPr>
          <w:i/>
          <w:color w:val="231F20"/>
          <w:spacing w:val="46"/>
          <w:w w:val="105"/>
          <w:sz w:val="17"/>
        </w:rPr>
        <w:t xml:space="preserve"> </w:t>
      </w:r>
      <w:r>
        <w:rPr>
          <w:i/>
          <w:color w:val="231F20"/>
          <w:w w:val="105"/>
          <w:sz w:val="17"/>
        </w:rPr>
        <w:t>and</w:t>
      </w:r>
      <w:r>
        <w:rPr>
          <w:i/>
          <w:color w:val="231F20"/>
          <w:spacing w:val="46"/>
          <w:w w:val="105"/>
          <w:sz w:val="17"/>
        </w:rPr>
        <w:t xml:space="preserve"> </w:t>
      </w:r>
      <w:r>
        <w:rPr>
          <w:i/>
          <w:color w:val="231F20"/>
          <w:spacing w:val="-2"/>
          <w:w w:val="105"/>
          <w:sz w:val="17"/>
        </w:rPr>
        <w:t>Planning</w:t>
      </w:r>
      <w:r>
        <w:rPr>
          <w:color w:val="231F20"/>
          <w:spacing w:val="-2"/>
          <w:w w:val="105"/>
          <w:sz w:val="17"/>
        </w:rPr>
        <w:t>.</w:t>
      </w:r>
    </w:p>
    <w:p w14:paraId="60D1601A" w14:textId="77777777" w:rsidR="00AE0598" w:rsidRDefault="0069255A">
      <w:pPr>
        <w:spacing w:before="1"/>
        <w:ind w:left="430"/>
        <w:jc w:val="both"/>
        <w:rPr>
          <w:sz w:val="17"/>
        </w:rPr>
      </w:pPr>
      <w:r>
        <w:rPr>
          <w:color w:val="231F20"/>
          <w:w w:val="95"/>
          <w:sz w:val="17"/>
        </w:rPr>
        <w:t>London:</w:t>
      </w:r>
      <w:r>
        <w:rPr>
          <w:color w:val="231F20"/>
          <w:spacing w:val="18"/>
          <w:sz w:val="17"/>
        </w:rPr>
        <w:t xml:space="preserve"> </w:t>
      </w:r>
      <w:r>
        <w:rPr>
          <w:color w:val="231F20"/>
          <w:w w:val="95"/>
          <w:sz w:val="17"/>
        </w:rPr>
        <w:t>Belhaven</w:t>
      </w:r>
      <w:r>
        <w:rPr>
          <w:color w:val="231F20"/>
          <w:spacing w:val="18"/>
          <w:sz w:val="17"/>
        </w:rPr>
        <w:t xml:space="preserve"> </w:t>
      </w:r>
      <w:r>
        <w:rPr>
          <w:color w:val="231F20"/>
          <w:spacing w:val="-2"/>
          <w:w w:val="95"/>
          <w:sz w:val="17"/>
        </w:rPr>
        <w:t>Press.</w:t>
      </w:r>
    </w:p>
    <w:p w14:paraId="5B60A2E1" w14:textId="77777777" w:rsidR="00AE0598" w:rsidRDefault="0069255A">
      <w:pPr>
        <w:spacing w:before="1"/>
        <w:ind w:left="110"/>
        <w:jc w:val="both"/>
        <w:rPr>
          <w:sz w:val="17"/>
        </w:rPr>
      </w:pPr>
      <w:r>
        <w:rPr>
          <w:color w:val="231F20"/>
          <w:sz w:val="17"/>
        </w:rPr>
        <w:t>Hall,</w:t>
      </w:r>
      <w:r>
        <w:rPr>
          <w:color w:val="231F20"/>
          <w:spacing w:val="48"/>
          <w:sz w:val="17"/>
        </w:rPr>
        <w:t xml:space="preserve"> </w:t>
      </w:r>
      <w:r>
        <w:rPr>
          <w:color w:val="231F20"/>
          <w:sz w:val="17"/>
        </w:rPr>
        <w:t>C.M.</w:t>
      </w:r>
      <w:r>
        <w:rPr>
          <w:color w:val="231F20"/>
          <w:spacing w:val="48"/>
          <w:sz w:val="17"/>
        </w:rPr>
        <w:t xml:space="preserve"> </w:t>
      </w:r>
      <w:r>
        <w:rPr>
          <w:color w:val="231F20"/>
          <w:sz w:val="17"/>
        </w:rPr>
        <w:t>(1992b)</w:t>
      </w:r>
      <w:r>
        <w:rPr>
          <w:color w:val="231F20"/>
          <w:spacing w:val="48"/>
          <w:sz w:val="17"/>
        </w:rPr>
        <w:t xml:space="preserve"> </w:t>
      </w:r>
      <w:r>
        <w:rPr>
          <w:color w:val="231F20"/>
          <w:sz w:val="17"/>
        </w:rPr>
        <w:t>Review:</w:t>
      </w:r>
      <w:r>
        <w:rPr>
          <w:color w:val="231F20"/>
          <w:spacing w:val="48"/>
          <w:sz w:val="17"/>
        </w:rPr>
        <w:t xml:space="preserve"> </w:t>
      </w:r>
      <w:r>
        <w:rPr>
          <w:color w:val="231F20"/>
          <w:sz w:val="17"/>
        </w:rPr>
        <w:t>Adventure,</w:t>
      </w:r>
      <w:r>
        <w:rPr>
          <w:color w:val="231F20"/>
          <w:spacing w:val="48"/>
          <w:sz w:val="17"/>
        </w:rPr>
        <w:t xml:space="preserve"> </w:t>
      </w:r>
      <w:r>
        <w:rPr>
          <w:color w:val="231F20"/>
          <w:sz w:val="17"/>
        </w:rPr>
        <w:t>sport</w:t>
      </w:r>
      <w:r>
        <w:rPr>
          <w:color w:val="231F20"/>
          <w:spacing w:val="48"/>
          <w:sz w:val="17"/>
        </w:rPr>
        <w:t xml:space="preserve"> </w:t>
      </w:r>
      <w:r>
        <w:rPr>
          <w:color w:val="231F20"/>
          <w:sz w:val="17"/>
        </w:rPr>
        <w:t>and</w:t>
      </w:r>
      <w:r>
        <w:rPr>
          <w:color w:val="231F20"/>
          <w:spacing w:val="48"/>
          <w:sz w:val="17"/>
        </w:rPr>
        <w:t xml:space="preserve"> </w:t>
      </w:r>
      <w:r>
        <w:rPr>
          <w:color w:val="231F20"/>
          <w:sz w:val="17"/>
        </w:rPr>
        <w:t>health</w:t>
      </w:r>
      <w:r>
        <w:rPr>
          <w:color w:val="231F20"/>
          <w:spacing w:val="48"/>
          <w:sz w:val="17"/>
        </w:rPr>
        <w:t xml:space="preserve"> </w:t>
      </w:r>
      <w:r>
        <w:rPr>
          <w:color w:val="231F20"/>
          <w:sz w:val="17"/>
        </w:rPr>
        <w:t>tourism.</w:t>
      </w:r>
      <w:r>
        <w:rPr>
          <w:color w:val="231F20"/>
          <w:spacing w:val="49"/>
          <w:sz w:val="17"/>
        </w:rPr>
        <w:t xml:space="preserve"> </w:t>
      </w:r>
      <w:r>
        <w:rPr>
          <w:color w:val="231F20"/>
          <w:sz w:val="17"/>
        </w:rPr>
        <w:t>In</w:t>
      </w:r>
      <w:r>
        <w:rPr>
          <w:color w:val="231F20"/>
          <w:spacing w:val="48"/>
          <w:sz w:val="17"/>
        </w:rPr>
        <w:t xml:space="preserve"> </w:t>
      </w:r>
      <w:r>
        <w:rPr>
          <w:color w:val="231F20"/>
          <w:sz w:val="17"/>
        </w:rPr>
        <w:t>B.</w:t>
      </w:r>
      <w:r>
        <w:rPr>
          <w:color w:val="231F20"/>
          <w:spacing w:val="48"/>
          <w:sz w:val="17"/>
        </w:rPr>
        <w:t xml:space="preserve"> </w:t>
      </w:r>
      <w:r>
        <w:rPr>
          <w:color w:val="231F20"/>
          <w:sz w:val="17"/>
        </w:rPr>
        <w:t>Weiler</w:t>
      </w:r>
      <w:r>
        <w:rPr>
          <w:color w:val="231F20"/>
          <w:spacing w:val="48"/>
          <w:sz w:val="17"/>
        </w:rPr>
        <w:t xml:space="preserve"> </w:t>
      </w:r>
      <w:r>
        <w:rPr>
          <w:color w:val="231F20"/>
          <w:spacing w:val="-5"/>
          <w:sz w:val="17"/>
        </w:rPr>
        <w:t>and</w:t>
      </w:r>
    </w:p>
    <w:p w14:paraId="25557EFC" w14:textId="77777777" w:rsidR="00AE0598" w:rsidRDefault="0069255A">
      <w:pPr>
        <w:ind w:left="110" w:right="127" w:firstLine="320"/>
        <w:jc w:val="both"/>
        <w:rPr>
          <w:sz w:val="17"/>
        </w:rPr>
      </w:pPr>
      <w:r>
        <w:rPr>
          <w:color w:val="231F20"/>
          <w:w w:val="105"/>
          <w:sz w:val="17"/>
        </w:rPr>
        <w:t xml:space="preserve">C.M. Hall (eds) </w:t>
      </w:r>
      <w:r>
        <w:rPr>
          <w:i/>
          <w:color w:val="231F20"/>
          <w:w w:val="105"/>
          <w:sz w:val="17"/>
        </w:rPr>
        <w:t xml:space="preserve">Special Interest Tourism </w:t>
      </w:r>
      <w:r>
        <w:rPr>
          <w:color w:val="231F20"/>
          <w:w w:val="105"/>
          <w:sz w:val="17"/>
        </w:rPr>
        <w:t>(pp. 186–210). London: Belhaven Press.</w:t>
      </w:r>
      <w:r>
        <w:rPr>
          <w:color w:val="231F20"/>
          <w:spacing w:val="40"/>
          <w:w w:val="105"/>
          <w:sz w:val="17"/>
        </w:rPr>
        <w:t xml:space="preserve"> </w:t>
      </w:r>
      <w:r>
        <w:rPr>
          <w:color w:val="231F20"/>
          <w:sz w:val="17"/>
        </w:rPr>
        <w:t>Hall,</w:t>
      </w:r>
      <w:r>
        <w:rPr>
          <w:color w:val="231F20"/>
          <w:spacing w:val="37"/>
          <w:sz w:val="17"/>
        </w:rPr>
        <w:t xml:space="preserve"> </w:t>
      </w:r>
      <w:r>
        <w:rPr>
          <w:color w:val="231F20"/>
          <w:sz w:val="17"/>
        </w:rPr>
        <w:t>C.M.</w:t>
      </w:r>
      <w:r>
        <w:rPr>
          <w:color w:val="231F20"/>
          <w:spacing w:val="37"/>
          <w:sz w:val="17"/>
        </w:rPr>
        <w:t xml:space="preserve"> </w:t>
      </w:r>
      <w:r>
        <w:rPr>
          <w:color w:val="231F20"/>
          <w:sz w:val="17"/>
        </w:rPr>
        <w:t>(1993)</w:t>
      </w:r>
      <w:r>
        <w:rPr>
          <w:color w:val="231F20"/>
          <w:spacing w:val="37"/>
          <w:sz w:val="17"/>
        </w:rPr>
        <w:t xml:space="preserve"> </w:t>
      </w:r>
      <w:r>
        <w:rPr>
          <w:color w:val="231F20"/>
          <w:sz w:val="17"/>
        </w:rPr>
        <w:t>The</w:t>
      </w:r>
      <w:r>
        <w:rPr>
          <w:color w:val="231F20"/>
          <w:spacing w:val="37"/>
          <w:sz w:val="17"/>
        </w:rPr>
        <w:t xml:space="preserve"> </w:t>
      </w:r>
      <w:r>
        <w:rPr>
          <w:color w:val="231F20"/>
          <w:sz w:val="17"/>
        </w:rPr>
        <w:t>politics</w:t>
      </w:r>
      <w:r>
        <w:rPr>
          <w:color w:val="231F20"/>
          <w:spacing w:val="37"/>
          <w:sz w:val="17"/>
        </w:rPr>
        <w:t xml:space="preserve"> </w:t>
      </w:r>
      <w:r>
        <w:rPr>
          <w:color w:val="231F20"/>
          <w:sz w:val="17"/>
        </w:rPr>
        <w:t>of</w:t>
      </w:r>
      <w:r>
        <w:rPr>
          <w:color w:val="231F20"/>
          <w:spacing w:val="37"/>
          <w:sz w:val="17"/>
        </w:rPr>
        <w:t xml:space="preserve"> </w:t>
      </w:r>
      <w:r>
        <w:rPr>
          <w:color w:val="231F20"/>
          <w:sz w:val="17"/>
        </w:rPr>
        <w:t>leisure:</w:t>
      </w:r>
      <w:r>
        <w:rPr>
          <w:color w:val="231F20"/>
          <w:spacing w:val="37"/>
          <w:sz w:val="17"/>
        </w:rPr>
        <w:t xml:space="preserve"> </w:t>
      </w:r>
      <w:r>
        <w:rPr>
          <w:color w:val="231F20"/>
          <w:sz w:val="17"/>
        </w:rPr>
        <w:t>An</w:t>
      </w:r>
      <w:r>
        <w:rPr>
          <w:color w:val="231F20"/>
          <w:spacing w:val="37"/>
          <w:sz w:val="17"/>
        </w:rPr>
        <w:t xml:space="preserve"> </w:t>
      </w:r>
      <w:r>
        <w:rPr>
          <w:color w:val="231F20"/>
          <w:sz w:val="17"/>
        </w:rPr>
        <w:t>analysis</w:t>
      </w:r>
      <w:r>
        <w:rPr>
          <w:color w:val="231F20"/>
          <w:spacing w:val="37"/>
          <w:sz w:val="17"/>
        </w:rPr>
        <w:t xml:space="preserve"> </w:t>
      </w:r>
      <w:r>
        <w:rPr>
          <w:color w:val="231F20"/>
          <w:sz w:val="17"/>
        </w:rPr>
        <w:t>of</w:t>
      </w:r>
      <w:r>
        <w:rPr>
          <w:color w:val="231F20"/>
          <w:spacing w:val="37"/>
          <w:sz w:val="17"/>
        </w:rPr>
        <w:t xml:space="preserve"> </w:t>
      </w:r>
      <w:r>
        <w:rPr>
          <w:color w:val="231F20"/>
          <w:sz w:val="17"/>
        </w:rPr>
        <w:t>spectacles</w:t>
      </w:r>
      <w:r>
        <w:rPr>
          <w:color w:val="231F20"/>
          <w:spacing w:val="37"/>
          <w:sz w:val="17"/>
        </w:rPr>
        <w:t xml:space="preserve"> </w:t>
      </w:r>
      <w:r>
        <w:rPr>
          <w:color w:val="231F20"/>
          <w:sz w:val="17"/>
        </w:rPr>
        <w:t>and</w:t>
      </w:r>
      <w:r>
        <w:rPr>
          <w:color w:val="231F20"/>
          <w:spacing w:val="37"/>
          <w:sz w:val="17"/>
        </w:rPr>
        <w:t xml:space="preserve"> </w:t>
      </w:r>
      <w:r>
        <w:rPr>
          <w:color w:val="231F20"/>
          <w:sz w:val="17"/>
        </w:rPr>
        <w:t>mega-events.</w:t>
      </w:r>
    </w:p>
    <w:p w14:paraId="5BF55CF1" w14:textId="77777777" w:rsidR="00AE0598" w:rsidRDefault="0069255A">
      <w:pPr>
        <w:spacing w:before="2"/>
        <w:ind w:left="430" w:right="128"/>
        <w:jc w:val="both"/>
        <w:rPr>
          <w:sz w:val="17"/>
        </w:rPr>
      </w:pPr>
      <w:r>
        <w:rPr>
          <w:color w:val="231F20"/>
          <w:sz w:val="17"/>
        </w:rPr>
        <w:t xml:space="preserve">In A.J. Veal, P. Johnson and G. Cushman (eds) </w:t>
      </w:r>
      <w:r>
        <w:rPr>
          <w:i/>
          <w:color w:val="231F20"/>
          <w:sz w:val="17"/>
        </w:rPr>
        <w:t>Leisure and Tourism: Social and</w:t>
      </w:r>
      <w:r>
        <w:rPr>
          <w:i/>
          <w:color w:val="231F20"/>
          <w:spacing w:val="40"/>
          <w:sz w:val="17"/>
        </w:rPr>
        <w:t xml:space="preserve"> </w:t>
      </w:r>
      <w:r>
        <w:rPr>
          <w:i/>
          <w:color w:val="231F20"/>
          <w:sz w:val="17"/>
        </w:rPr>
        <w:t xml:space="preserve">Environmental Changes </w:t>
      </w:r>
      <w:r>
        <w:rPr>
          <w:color w:val="231F20"/>
          <w:sz w:val="17"/>
        </w:rPr>
        <w:t>(pp. 620–629). Sydney: World Leisure and Recreation</w:t>
      </w:r>
      <w:r>
        <w:rPr>
          <w:color w:val="231F20"/>
          <w:spacing w:val="40"/>
          <w:sz w:val="17"/>
        </w:rPr>
        <w:t xml:space="preserve"> </w:t>
      </w:r>
      <w:r>
        <w:rPr>
          <w:color w:val="231F20"/>
          <w:spacing w:val="-2"/>
          <w:sz w:val="17"/>
        </w:rPr>
        <w:t>Association.</w:t>
      </w:r>
    </w:p>
    <w:p w14:paraId="6EFB69C2" w14:textId="77777777" w:rsidR="00AE0598" w:rsidRDefault="0069255A">
      <w:pPr>
        <w:spacing w:before="2"/>
        <w:ind w:left="430" w:right="129" w:hanging="320"/>
        <w:jc w:val="both"/>
        <w:rPr>
          <w:sz w:val="17"/>
        </w:rPr>
      </w:pPr>
      <w:r>
        <w:rPr>
          <w:color w:val="231F20"/>
          <w:sz w:val="17"/>
        </w:rPr>
        <w:t xml:space="preserve">Hall, C.M. (1995) </w:t>
      </w:r>
      <w:r>
        <w:rPr>
          <w:i/>
          <w:color w:val="231F20"/>
          <w:sz w:val="17"/>
        </w:rPr>
        <w:t>Introduction to Tourism in Australia: Impacts, Planning and</w:t>
      </w:r>
      <w:r>
        <w:rPr>
          <w:i/>
          <w:color w:val="231F20"/>
          <w:spacing w:val="80"/>
          <w:sz w:val="17"/>
        </w:rPr>
        <w:t xml:space="preserve"> </w:t>
      </w:r>
      <w:r>
        <w:rPr>
          <w:i/>
          <w:color w:val="231F20"/>
          <w:sz w:val="17"/>
        </w:rPr>
        <w:t xml:space="preserve">Development </w:t>
      </w:r>
      <w:r>
        <w:rPr>
          <w:color w:val="231F20"/>
          <w:sz w:val="17"/>
        </w:rPr>
        <w:t>(</w:t>
      </w:r>
      <w:r>
        <w:rPr>
          <w:color w:val="231F20"/>
          <w:sz w:val="17"/>
        </w:rPr>
        <w:t>2nd edn). South Melbourne: Addison Wesley Longman Australia.</w:t>
      </w:r>
    </w:p>
    <w:p w14:paraId="3E151A02" w14:textId="77777777" w:rsidR="00AE0598" w:rsidRDefault="0069255A">
      <w:pPr>
        <w:spacing w:before="1"/>
        <w:ind w:left="430" w:right="128" w:hanging="320"/>
        <w:jc w:val="both"/>
        <w:rPr>
          <w:sz w:val="17"/>
        </w:rPr>
      </w:pPr>
      <w:r>
        <w:rPr>
          <w:color w:val="231F20"/>
          <w:sz w:val="17"/>
        </w:rPr>
        <w:t xml:space="preserve">Hall, </w:t>
      </w:r>
      <w:r>
        <w:rPr>
          <w:color w:val="231F20"/>
          <w:w w:val="105"/>
          <w:sz w:val="17"/>
        </w:rPr>
        <w:t xml:space="preserve">C.M. </w:t>
      </w:r>
      <w:r>
        <w:rPr>
          <w:color w:val="231F20"/>
          <w:sz w:val="17"/>
        </w:rPr>
        <w:t>(1998) Imaging, tourism and sports event fever: The Sydney Olympics and the</w:t>
      </w:r>
      <w:r>
        <w:rPr>
          <w:color w:val="231F20"/>
          <w:spacing w:val="40"/>
          <w:sz w:val="17"/>
        </w:rPr>
        <w:t xml:space="preserve"> </w:t>
      </w:r>
      <w:r>
        <w:rPr>
          <w:color w:val="231F20"/>
          <w:sz w:val="17"/>
        </w:rPr>
        <w:t>need</w:t>
      </w:r>
      <w:r>
        <w:rPr>
          <w:color w:val="231F20"/>
          <w:spacing w:val="19"/>
          <w:sz w:val="17"/>
        </w:rPr>
        <w:t xml:space="preserve"> </w:t>
      </w:r>
      <w:r>
        <w:rPr>
          <w:color w:val="231F20"/>
          <w:sz w:val="17"/>
        </w:rPr>
        <w:t>for</w:t>
      </w:r>
      <w:r>
        <w:rPr>
          <w:color w:val="231F20"/>
          <w:spacing w:val="19"/>
          <w:sz w:val="17"/>
        </w:rPr>
        <w:t xml:space="preserve"> </w:t>
      </w:r>
      <w:r>
        <w:rPr>
          <w:color w:val="231F20"/>
          <w:sz w:val="17"/>
        </w:rPr>
        <w:t>a</w:t>
      </w:r>
      <w:r>
        <w:rPr>
          <w:color w:val="231F20"/>
          <w:spacing w:val="19"/>
          <w:sz w:val="17"/>
        </w:rPr>
        <w:t xml:space="preserve"> </w:t>
      </w:r>
      <w:r>
        <w:rPr>
          <w:color w:val="231F20"/>
          <w:sz w:val="17"/>
        </w:rPr>
        <w:t>social</w:t>
      </w:r>
      <w:r>
        <w:rPr>
          <w:color w:val="231F20"/>
          <w:spacing w:val="19"/>
          <w:sz w:val="17"/>
        </w:rPr>
        <w:t xml:space="preserve"> </w:t>
      </w:r>
      <w:r>
        <w:rPr>
          <w:color w:val="231F20"/>
          <w:sz w:val="17"/>
        </w:rPr>
        <w:t>charter</w:t>
      </w:r>
      <w:r>
        <w:rPr>
          <w:color w:val="231F20"/>
          <w:spacing w:val="19"/>
          <w:sz w:val="17"/>
        </w:rPr>
        <w:t xml:space="preserve"> </w:t>
      </w:r>
      <w:r>
        <w:rPr>
          <w:color w:val="231F20"/>
          <w:sz w:val="17"/>
        </w:rPr>
        <w:t>for</w:t>
      </w:r>
      <w:r>
        <w:rPr>
          <w:color w:val="231F20"/>
          <w:spacing w:val="19"/>
          <w:sz w:val="17"/>
        </w:rPr>
        <w:t xml:space="preserve"> </w:t>
      </w:r>
      <w:r>
        <w:rPr>
          <w:color w:val="231F20"/>
          <w:sz w:val="17"/>
        </w:rPr>
        <w:t>mega-events.</w:t>
      </w:r>
      <w:r>
        <w:rPr>
          <w:color w:val="231F20"/>
          <w:spacing w:val="19"/>
          <w:sz w:val="17"/>
        </w:rPr>
        <w:t xml:space="preserve"> </w:t>
      </w:r>
      <w:r>
        <w:rPr>
          <w:color w:val="231F20"/>
          <w:sz w:val="17"/>
        </w:rPr>
        <w:t>In</w:t>
      </w:r>
      <w:r>
        <w:rPr>
          <w:color w:val="231F20"/>
          <w:spacing w:val="19"/>
          <w:sz w:val="17"/>
        </w:rPr>
        <w:t xml:space="preserve"> </w:t>
      </w:r>
      <w:r>
        <w:rPr>
          <w:color w:val="231F20"/>
          <w:sz w:val="17"/>
        </w:rPr>
        <w:t>C.</w:t>
      </w:r>
      <w:r>
        <w:rPr>
          <w:color w:val="231F20"/>
          <w:spacing w:val="19"/>
          <w:sz w:val="17"/>
        </w:rPr>
        <w:t xml:space="preserve"> </w:t>
      </w:r>
      <w:r>
        <w:rPr>
          <w:color w:val="231F20"/>
          <w:sz w:val="17"/>
        </w:rPr>
        <w:t>Gratton</w:t>
      </w:r>
      <w:r>
        <w:rPr>
          <w:color w:val="231F20"/>
          <w:spacing w:val="19"/>
          <w:sz w:val="17"/>
        </w:rPr>
        <w:t xml:space="preserve"> </w:t>
      </w:r>
      <w:r>
        <w:rPr>
          <w:color w:val="231F20"/>
          <w:sz w:val="17"/>
        </w:rPr>
        <w:t>and</w:t>
      </w:r>
      <w:r>
        <w:rPr>
          <w:color w:val="231F20"/>
          <w:spacing w:val="19"/>
          <w:sz w:val="17"/>
        </w:rPr>
        <w:t xml:space="preserve"> </w:t>
      </w:r>
      <w:r>
        <w:rPr>
          <w:color w:val="231F20"/>
          <w:sz w:val="17"/>
        </w:rPr>
        <w:t>I.P.</w:t>
      </w:r>
      <w:r>
        <w:rPr>
          <w:color w:val="231F20"/>
          <w:spacing w:val="19"/>
          <w:sz w:val="17"/>
        </w:rPr>
        <w:t xml:space="preserve"> </w:t>
      </w:r>
      <w:r>
        <w:rPr>
          <w:color w:val="231F20"/>
          <w:sz w:val="17"/>
        </w:rPr>
        <w:t>Henry</w:t>
      </w:r>
      <w:r>
        <w:rPr>
          <w:color w:val="231F20"/>
          <w:spacing w:val="19"/>
          <w:sz w:val="17"/>
        </w:rPr>
        <w:t xml:space="preserve"> </w:t>
      </w:r>
      <w:r>
        <w:rPr>
          <w:color w:val="231F20"/>
          <w:sz w:val="17"/>
        </w:rPr>
        <w:t>(eds)</w:t>
      </w:r>
      <w:r>
        <w:rPr>
          <w:color w:val="231F20"/>
          <w:spacing w:val="19"/>
          <w:sz w:val="17"/>
        </w:rPr>
        <w:t xml:space="preserve"> </w:t>
      </w:r>
      <w:r>
        <w:rPr>
          <w:i/>
          <w:color w:val="231F20"/>
          <w:sz w:val="17"/>
        </w:rPr>
        <w:t>Sport</w:t>
      </w:r>
      <w:r>
        <w:rPr>
          <w:i/>
          <w:color w:val="231F20"/>
          <w:spacing w:val="40"/>
          <w:sz w:val="17"/>
        </w:rPr>
        <w:t xml:space="preserve"> </w:t>
      </w:r>
      <w:r>
        <w:rPr>
          <w:i/>
          <w:color w:val="231F20"/>
          <w:sz w:val="17"/>
        </w:rPr>
        <w:t xml:space="preserve">in the City: The Role of Sport in Economic and Social Regeneration </w:t>
      </w:r>
      <w:r>
        <w:rPr>
          <w:color w:val="231F20"/>
          <w:sz w:val="17"/>
        </w:rPr>
        <w:t>(pp. 166–183).</w:t>
      </w:r>
      <w:r>
        <w:rPr>
          <w:color w:val="231F20"/>
          <w:spacing w:val="40"/>
          <w:sz w:val="17"/>
        </w:rPr>
        <w:t xml:space="preserve"> </w:t>
      </w:r>
      <w:r>
        <w:rPr>
          <w:color w:val="231F20"/>
          <w:sz w:val="17"/>
        </w:rPr>
        <w:t>London: Routledge.</w:t>
      </w:r>
    </w:p>
    <w:p w14:paraId="4A93932C" w14:textId="77777777" w:rsidR="00AE0598" w:rsidRDefault="00AE0598">
      <w:pPr>
        <w:jc w:val="both"/>
        <w:rPr>
          <w:sz w:val="17"/>
        </w:rPr>
        <w:sectPr w:rsidR="00AE0598">
          <w:pgSz w:w="8850" w:h="13270"/>
          <w:pgMar w:top="720" w:right="1060" w:bottom="280" w:left="1080" w:header="720" w:footer="720" w:gutter="0"/>
          <w:cols w:space="720"/>
        </w:sectPr>
      </w:pPr>
    </w:p>
    <w:p w14:paraId="1A81CDA9" w14:textId="77777777" w:rsidR="00AE0598" w:rsidRDefault="0069255A">
      <w:pPr>
        <w:spacing w:before="87"/>
        <w:ind w:left="108"/>
        <w:rPr>
          <w:rFonts w:ascii="Trebuchet MS"/>
          <w:sz w:val="14"/>
        </w:rPr>
      </w:pPr>
      <w:r>
        <w:rPr>
          <w:rFonts w:ascii="Trebuchet MS"/>
          <w:color w:val="231F20"/>
          <w:w w:val="105"/>
          <w:sz w:val="14"/>
        </w:rPr>
        <w:lastRenderedPageBreak/>
        <w:t>252</w:t>
      </w:r>
      <w:r>
        <w:rPr>
          <w:rFonts w:ascii="Trebuchet MS"/>
          <w:color w:val="231F20"/>
          <w:spacing w:val="78"/>
          <w:w w:val="150"/>
          <w:sz w:val="14"/>
        </w:rPr>
        <w:t xml:space="preserve"> </w:t>
      </w:r>
      <w:r>
        <w:rPr>
          <w:rFonts w:ascii="Trebuchet MS"/>
          <w:color w:val="231F20"/>
          <w:spacing w:val="-2"/>
          <w:w w:val="105"/>
          <w:sz w:val="14"/>
        </w:rPr>
        <w:t>References</w:t>
      </w:r>
    </w:p>
    <w:p w14:paraId="00BB9B99" w14:textId="77777777" w:rsidR="00AE0598" w:rsidRDefault="00AE0598">
      <w:pPr>
        <w:pStyle w:val="Corpodetexto"/>
        <w:rPr>
          <w:rFonts w:ascii="Trebuchet MS"/>
          <w:sz w:val="16"/>
        </w:rPr>
      </w:pPr>
    </w:p>
    <w:p w14:paraId="384CEFD5" w14:textId="77777777" w:rsidR="00AE0598" w:rsidRDefault="0069255A">
      <w:pPr>
        <w:spacing w:before="121"/>
        <w:ind w:left="110"/>
        <w:jc w:val="both"/>
        <w:rPr>
          <w:sz w:val="17"/>
        </w:rPr>
      </w:pPr>
      <w:r>
        <w:rPr>
          <w:color w:val="231F20"/>
          <w:sz w:val="17"/>
        </w:rPr>
        <w:t>Hall,</w:t>
      </w:r>
      <w:r>
        <w:rPr>
          <w:color w:val="231F20"/>
          <w:spacing w:val="10"/>
          <w:sz w:val="17"/>
        </w:rPr>
        <w:t xml:space="preserve"> </w:t>
      </w:r>
      <w:r>
        <w:rPr>
          <w:color w:val="231F20"/>
          <w:sz w:val="17"/>
        </w:rPr>
        <w:t>C.M.</w:t>
      </w:r>
      <w:r>
        <w:rPr>
          <w:color w:val="231F20"/>
          <w:spacing w:val="10"/>
          <w:sz w:val="17"/>
        </w:rPr>
        <w:t xml:space="preserve"> </w:t>
      </w:r>
      <w:r>
        <w:rPr>
          <w:color w:val="231F20"/>
          <w:sz w:val="17"/>
        </w:rPr>
        <w:t>(1999)</w:t>
      </w:r>
      <w:r>
        <w:rPr>
          <w:color w:val="231F20"/>
          <w:spacing w:val="10"/>
          <w:sz w:val="17"/>
        </w:rPr>
        <w:t xml:space="preserve"> </w:t>
      </w:r>
      <w:r>
        <w:rPr>
          <w:color w:val="231F20"/>
          <w:sz w:val="17"/>
        </w:rPr>
        <w:t>Rethinking</w:t>
      </w:r>
      <w:r>
        <w:rPr>
          <w:color w:val="231F20"/>
          <w:spacing w:val="10"/>
          <w:sz w:val="17"/>
        </w:rPr>
        <w:t xml:space="preserve"> </w:t>
      </w:r>
      <w:r>
        <w:rPr>
          <w:color w:val="231F20"/>
          <w:sz w:val="17"/>
        </w:rPr>
        <w:t>collaboration</w:t>
      </w:r>
      <w:r>
        <w:rPr>
          <w:color w:val="231F20"/>
          <w:spacing w:val="10"/>
          <w:sz w:val="17"/>
        </w:rPr>
        <w:t xml:space="preserve"> </w:t>
      </w:r>
      <w:r>
        <w:rPr>
          <w:color w:val="231F20"/>
          <w:sz w:val="17"/>
        </w:rPr>
        <w:t>and</w:t>
      </w:r>
      <w:r>
        <w:rPr>
          <w:color w:val="231F20"/>
          <w:spacing w:val="10"/>
          <w:sz w:val="17"/>
        </w:rPr>
        <w:t xml:space="preserve"> </w:t>
      </w:r>
      <w:r>
        <w:rPr>
          <w:color w:val="231F20"/>
          <w:sz w:val="17"/>
        </w:rPr>
        <w:t>partnership:</w:t>
      </w:r>
      <w:r>
        <w:rPr>
          <w:color w:val="231F20"/>
          <w:spacing w:val="11"/>
          <w:sz w:val="17"/>
        </w:rPr>
        <w:t xml:space="preserve"> </w:t>
      </w:r>
      <w:r>
        <w:rPr>
          <w:color w:val="231F20"/>
          <w:sz w:val="17"/>
        </w:rPr>
        <w:t>A</w:t>
      </w:r>
      <w:r>
        <w:rPr>
          <w:color w:val="231F20"/>
          <w:spacing w:val="10"/>
          <w:sz w:val="17"/>
        </w:rPr>
        <w:t xml:space="preserve"> </w:t>
      </w:r>
      <w:r>
        <w:rPr>
          <w:color w:val="231F20"/>
          <w:sz w:val="17"/>
        </w:rPr>
        <w:t>public</w:t>
      </w:r>
      <w:r>
        <w:rPr>
          <w:color w:val="231F20"/>
          <w:spacing w:val="10"/>
          <w:sz w:val="17"/>
        </w:rPr>
        <w:t xml:space="preserve"> </w:t>
      </w:r>
      <w:r>
        <w:rPr>
          <w:color w:val="231F20"/>
          <w:sz w:val="17"/>
        </w:rPr>
        <w:t>policy</w:t>
      </w:r>
      <w:r>
        <w:rPr>
          <w:color w:val="231F20"/>
          <w:spacing w:val="10"/>
          <w:sz w:val="17"/>
        </w:rPr>
        <w:t xml:space="preserve"> </w:t>
      </w:r>
      <w:r>
        <w:rPr>
          <w:color w:val="231F20"/>
          <w:spacing w:val="-2"/>
          <w:sz w:val="17"/>
        </w:rPr>
        <w:t>perspective.</w:t>
      </w:r>
    </w:p>
    <w:p w14:paraId="7A99A182" w14:textId="77777777" w:rsidR="00AE0598" w:rsidRDefault="0069255A">
      <w:pPr>
        <w:ind w:left="430"/>
        <w:jc w:val="both"/>
        <w:rPr>
          <w:sz w:val="17"/>
        </w:rPr>
      </w:pPr>
      <w:r>
        <w:rPr>
          <w:i/>
          <w:color w:val="231F20"/>
          <w:sz w:val="17"/>
        </w:rPr>
        <w:t>Journal</w:t>
      </w:r>
      <w:r>
        <w:rPr>
          <w:i/>
          <w:color w:val="231F20"/>
          <w:spacing w:val="7"/>
          <w:sz w:val="17"/>
        </w:rPr>
        <w:t xml:space="preserve"> </w:t>
      </w:r>
      <w:r>
        <w:rPr>
          <w:i/>
          <w:color w:val="231F20"/>
          <w:sz w:val="17"/>
        </w:rPr>
        <w:t>of</w:t>
      </w:r>
      <w:r>
        <w:rPr>
          <w:i/>
          <w:color w:val="231F20"/>
          <w:spacing w:val="8"/>
          <w:sz w:val="17"/>
        </w:rPr>
        <w:t xml:space="preserve"> </w:t>
      </w:r>
      <w:r>
        <w:rPr>
          <w:i/>
          <w:color w:val="231F20"/>
          <w:sz w:val="17"/>
        </w:rPr>
        <w:t>Sustainable</w:t>
      </w:r>
      <w:r>
        <w:rPr>
          <w:i/>
          <w:color w:val="231F20"/>
          <w:spacing w:val="8"/>
          <w:sz w:val="17"/>
        </w:rPr>
        <w:t xml:space="preserve"> </w:t>
      </w:r>
      <w:r>
        <w:rPr>
          <w:i/>
          <w:color w:val="231F20"/>
          <w:sz w:val="17"/>
        </w:rPr>
        <w:t>Tourism</w:t>
      </w:r>
      <w:r>
        <w:rPr>
          <w:i/>
          <w:color w:val="231F20"/>
          <w:spacing w:val="8"/>
          <w:sz w:val="17"/>
        </w:rPr>
        <w:t xml:space="preserve"> </w:t>
      </w:r>
      <w:r>
        <w:rPr>
          <w:color w:val="231F20"/>
          <w:sz w:val="17"/>
        </w:rPr>
        <w:t>7</w:t>
      </w:r>
      <w:r>
        <w:rPr>
          <w:color w:val="231F20"/>
          <w:spacing w:val="8"/>
          <w:sz w:val="17"/>
        </w:rPr>
        <w:t xml:space="preserve"> </w:t>
      </w:r>
      <w:r>
        <w:rPr>
          <w:color w:val="231F20"/>
          <w:sz w:val="17"/>
        </w:rPr>
        <w:t>(3–4),</w:t>
      </w:r>
      <w:r>
        <w:rPr>
          <w:color w:val="231F20"/>
          <w:spacing w:val="8"/>
          <w:sz w:val="17"/>
        </w:rPr>
        <w:t xml:space="preserve"> </w:t>
      </w:r>
      <w:r>
        <w:rPr>
          <w:color w:val="231F20"/>
          <w:spacing w:val="-2"/>
          <w:sz w:val="17"/>
        </w:rPr>
        <w:t>274–289.</w:t>
      </w:r>
    </w:p>
    <w:p w14:paraId="72D5E971" w14:textId="77777777" w:rsidR="00AE0598" w:rsidRDefault="0069255A">
      <w:pPr>
        <w:spacing w:before="1"/>
        <w:ind w:left="430" w:right="127" w:hanging="320"/>
        <w:jc w:val="both"/>
        <w:rPr>
          <w:sz w:val="17"/>
        </w:rPr>
      </w:pPr>
      <w:r>
        <w:rPr>
          <w:color w:val="231F20"/>
          <w:sz w:val="17"/>
        </w:rPr>
        <w:t xml:space="preserve">Hall, C.M. (2000a) </w:t>
      </w:r>
      <w:r>
        <w:rPr>
          <w:i/>
          <w:color w:val="231F20"/>
          <w:sz w:val="17"/>
        </w:rPr>
        <w:t>Tourism Planning: Policies, Processes and Relationships</w:t>
      </w:r>
      <w:r>
        <w:rPr>
          <w:color w:val="231F20"/>
          <w:sz w:val="17"/>
        </w:rPr>
        <w:t>. Harlow:</w:t>
      </w:r>
      <w:r>
        <w:rPr>
          <w:color w:val="231F20"/>
          <w:spacing w:val="40"/>
          <w:sz w:val="17"/>
        </w:rPr>
        <w:t xml:space="preserve"> </w:t>
      </w:r>
      <w:r>
        <w:rPr>
          <w:color w:val="231F20"/>
          <w:spacing w:val="-2"/>
          <w:sz w:val="17"/>
        </w:rPr>
        <w:t>Prentice-Hall.</w:t>
      </w:r>
    </w:p>
    <w:p w14:paraId="13697F93" w14:textId="77777777" w:rsidR="00AE0598" w:rsidRDefault="0069255A">
      <w:pPr>
        <w:spacing w:before="2"/>
        <w:ind w:left="430" w:right="128" w:hanging="320"/>
        <w:jc w:val="both"/>
        <w:rPr>
          <w:sz w:val="17"/>
        </w:rPr>
      </w:pPr>
      <w:r>
        <w:rPr>
          <w:color w:val="231F20"/>
          <w:w w:val="105"/>
          <w:sz w:val="17"/>
        </w:rPr>
        <w:t xml:space="preserve">Hall, C.M. (2000b) The future of tourism: A personal speculation. </w:t>
      </w:r>
      <w:r>
        <w:rPr>
          <w:i/>
          <w:color w:val="231F20"/>
          <w:w w:val="105"/>
          <w:sz w:val="17"/>
        </w:rPr>
        <w:t>Tourism Recreation</w:t>
      </w:r>
      <w:r>
        <w:rPr>
          <w:i/>
          <w:color w:val="231F20"/>
          <w:spacing w:val="40"/>
          <w:w w:val="105"/>
          <w:sz w:val="17"/>
        </w:rPr>
        <w:t xml:space="preserve"> </w:t>
      </w:r>
      <w:r>
        <w:rPr>
          <w:i/>
          <w:color w:val="231F20"/>
          <w:w w:val="105"/>
          <w:sz w:val="17"/>
        </w:rPr>
        <w:t xml:space="preserve">Research </w:t>
      </w:r>
      <w:r>
        <w:rPr>
          <w:color w:val="231F20"/>
          <w:w w:val="105"/>
          <w:sz w:val="17"/>
        </w:rPr>
        <w:t>25 (1), 85–95.</w:t>
      </w:r>
    </w:p>
    <w:p w14:paraId="514FF70E" w14:textId="77777777" w:rsidR="00AE0598" w:rsidRDefault="0069255A">
      <w:pPr>
        <w:spacing w:before="1"/>
        <w:ind w:left="430" w:right="127" w:hanging="320"/>
        <w:jc w:val="both"/>
        <w:rPr>
          <w:sz w:val="17"/>
        </w:rPr>
      </w:pPr>
      <w:r>
        <w:rPr>
          <w:color w:val="231F20"/>
          <w:sz w:val="17"/>
        </w:rPr>
        <w:t>Hall, C.M. (2004) Sport tourism and urban regeneration. In B. Ritchie and D. Adair (eds)</w:t>
      </w:r>
      <w:r>
        <w:rPr>
          <w:color w:val="231F20"/>
          <w:spacing w:val="40"/>
          <w:sz w:val="17"/>
        </w:rPr>
        <w:t xml:space="preserve"> </w:t>
      </w:r>
      <w:r>
        <w:rPr>
          <w:i/>
          <w:color w:val="231F20"/>
          <w:sz w:val="17"/>
        </w:rPr>
        <w:t xml:space="preserve">Sport Tourism: Interrelationships, Impacts and Issues </w:t>
      </w:r>
      <w:r>
        <w:rPr>
          <w:color w:val="231F20"/>
          <w:sz w:val="17"/>
        </w:rPr>
        <w:t>(pp. 192–205). Clevedon:</w:t>
      </w:r>
      <w:r>
        <w:rPr>
          <w:color w:val="231F20"/>
          <w:spacing w:val="40"/>
          <w:sz w:val="17"/>
        </w:rPr>
        <w:t xml:space="preserve"> </w:t>
      </w:r>
      <w:r>
        <w:rPr>
          <w:color w:val="231F20"/>
          <w:sz w:val="17"/>
        </w:rPr>
        <w:t>Channel View Publications.</w:t>
      </w:r>
    </w:p>
    <w:p w14:paraId="03C5A6F6" w14:textId="77777777" w:rsidR="00AE0598" w:rsidRDefault="0069255A">
      <w:pPr>
        <w:spacing w:before="2"/>
        <w:ind w:left="430" w:right="127" w:hanging="320"/>
        <w:jc w:val="both"/>
        <w:rPr>
          <w:sz w:val="17"/>
        </w:rPr>
      </w:pPr>
      <w:r>
        <w:rPr>
          <w:color w:val="231F20"/>
          <w:sz w:val="17"/>
        </w:rPr>
        <w:t xml:space="preserve">Hall, C.M. (2008) </w:t>
      </w:r>
      <w:r>
        <w:rPr>
          <w:i/>
          <w:color w:val="231F20"/>
          <w:sz w:val="17"/>
        </w:rPr>
        <w:t>Tourism Planning: Policies, Processes and R</w:t>
      </w:r>
      <w:r>
        <w:rPr>
          <w:i/>
          <w:color w:val="231F20"/>
          <w:sz w:val="17"/>
        </w:rPr>
        <w:t>elationships</w:t>
      </w:r>
      <w:r>
        <w:rPr>
          <w:color w:val="231F20"/>
          <w:sz w:val="17"/>
        </w:rPr>
        <w:t>. Harlow:</w:t>
      </w:r>
      <w:r>
        <w:rPr>
          <w:color w:val="231F20"/>
          <w:spacing w:val="80"/>
          <w:sz w:val="17"/>
        </w:rPr>
        <w:t xml:space="preserve"> </w:t>
      </w:r>
      <w:r>
        <w:rPr>
          <w:color w:val="231F20"/>
          <w:sz w:val="17"/>
        </w:rPr>
        <w:t>Pearson Education.</w:t>
      </w:r>
    </w:p>
    <w:p w14:paraId="50A2DACC" w14:textId="77777777" w:rsidR="00AE0598" w:rsidRDefault="0069255A">
      <w:pPr>
        <w:spacing w:before="2"/>
        <w:ind w:left="110" w:right="128"/>
        <w:jc w:val="both"/>
        <w:rPr>
          <w:sz w:val="17"/>
        </w:rPr>
      </w:pPr>
      <w:r>
        <w:rPr>
          <w:color w:val="231F20"/>
          <w:sz w:val="17"/>
        </w:rPr>
        <w:t xml:space="preserve">Hall, C.M. and Weiler, B. (eds) (1992) </w:t>
      </w:r>
      <w:r>
        <w:rPr>
          <w:i/>
          <w:color w:val="231F20"/>
          <w:sz w:val="17"/>
        </w:rPr>
        <w:t>Special Interest Tourism</w:t>
      </w:r>
      <w:r>
        <w:rPr>
          <w:color w:val="231F20"/>
          <w:sz w:val="17"/>
        </w:rPr>
        <w:t>. London: Belhaven Press.</w:t>
      </w:r>
      <w:r>
        <w:rPr>
          <w:color w:val="231F20"/>
          <w:spacing w:val="40"/>
          <w:sz w:val="17"/>
        </w:rPr>
        <w:t xml:space="preserve"> </w:t>
      </w:r>
      <w:r>
        <w:rPr>
          <w:color w:val="231F20"/>
          <w:sz w:val="17"/>
        </w:rPr>
        <w:t>Hall,</w:t>
      </w:r>
      <w:r>
        <w:rPr>
          <w:color w:val="231F20"/>
          <w:spacing w:val="23"/>
          <w:sz w:val="17"/>
        </w:rPr>
        <w:t xml:space="preserve"> </w:t>
      </w:r>
      <w:r>
        <w:rPr>
          <w:color w:val="231F20"/>
          <w:sz w:val="17"/>
        </w:rPr>
        <w:t>C.M.</w:t>
      </w:r>
      <w:r>
        <w:rPr>
          <w:color w:val="231F20"/>
          <w:spacing w:val="23"/>
          <w:sz w:val="17"/>
        </w:rPr>
        <w:t xml:space="preserve"> </w:t>
      </w:r>
      <w:r>
        <w:rPr>
          <w:color w:val="231F20"/>
          <w:sz w:val="17"/>
        </w:rPr>
        <w:t>and</w:t>
      </w:r>
      <w:r>
        <w:rPr>
          <w:color w:val="231F20"/>
          <w:spacing w:val="23"/>
          <w:sz w:val="17"/>
        </w:rPr>
        <w:t xml:space="preserve"> </w:t>
      </w:r>
      <w:r>
        <w:rPr>
          <w:color w:val="231F20"/>
          <w:sz w:val="17"/>
        </w:rPr>
        <w:t>Lew,</w:t>
      </w:r>
      <w:r>
        <w:rPr>
          <w:color w:val="231F20"/>
          <w:spacing w:val="23"/>
          <w:sz w:val="17"/>
        </w:rPr>
        <w:t xml:space="preserve"> </w:t>
      </w:r>
      <w:r>
        <w:rPr>
          <w:color w:val="231F20"/>
          <w:sz w:val="17"/>
        </w:rPr>
        <w:t>A.A.</w:t>
      </w:r>
      <w:r>
        <w:rPr>
          <w:color w:val="231F20"/>
          <w:spacing w:val="23"/>
          <w:sz w:val="17"/>
        </w:rPr>
        <w:t xml:space="preserve"> </w:t>
      </w:r>
      <w:r>
        <w:rPr>
          <w:color w:val="231F20"/>
          <w:sz w:val="17"/>
        </w:rPr>
        <w:t>(eds)</w:t>
      </w:r>
      <w:r>
        <w:rPr>
          <w:color w:val="231F20"/>
          <w:spacing w:val="23"/>
          <w:sz w:val="17"/>
        </w:rPr>
        <w:t xml:space="preserve"> </w:t>
      </w:r>
      <w:r>
        <w:rPr>
          <w:color w:val="231F20"/>
          <w:sz w:val="17"/>
        </w:rPr>
        <w:t>(1998)</w:t>
      </w:r>
      <w:r>
        <w:rPr>
          <w:color w:val="231F20"/>
          <w:spacing w:val="23"/>
          <w:sz w:val="17"/>
        </w:rPr>
        <w:t xml:space="preserve"> </w:t>
      </w:r>
      <w:r>
        <w:rPr>
          <w:i/>
          <w:color w:val="231F20"/>
          <w:sz w:val="17"/>
        </w:rPr>
        <w:t>Sustainable</w:t>
      </w:r>
      <w:r>
        <w:rPr>
          <w:i/>
          <w:color w:val="231F20"/>
          <w:spacing w:val="23"/>
          <w:sz w:val="17"/>
        </w:rPr>
        <w:t xml:space="preserve"> </w:t>
      </w:r>
      <w:r>
        <w:rPr>
          <w:i/>
          <w:color w:val="231F20"/>
          <w:sz w:val="17"/>
        </w:rPr>
        <w:t>Tourism:</w:t>
      </w:r>
      <w:r>
        <w:rPr>
          <w:i/>
          <w:color w:val="231F20"/>
          <w:spacing w:val="23"/>
          <w:sz w:val="17"/>
        </w:rPr>
        <w:t xml:space="preserve"> </w:t>
      </w:r>
      <w:r>
        <w:rPr>
          <w:i/>
          <w:color w:val="231F20"/>
          <w:sz w:val="17"/>
        </w:rPr>
        <w:t>A</w:t>
      </w:r>
      <w:r>
        <w:rPr>
          <w:i/>
          <w:color w:val="231F20"/>
          <w:spacing w:val="23"/>
          <w:sz w:val="17"/>
        </w:rPr>
        <w:t xml:space="preserve"> </w:t>
      </w:r>
      <w:r>
        <w:rPr>
          <w:i/>
          <w:color w:val="231F20"/>
          <w:sz w:val="17"/>
        </w:rPr>
        <w:t>Geographical</w:t>
      </w:r>
      <w:r>
        <w:rPr>
          <w:i/>
          <w:color w:val="231F20"/>
          <w:spacing w:val="23"/>
          <w:sz w:val="17"/>
        </w:rPr>
        <w:t xml:space="preserve"> </w:t>
      </w:r>
      <w:r>
        <w:rPr>
          <w:i/>
          <w:color w:val="231F20"/>
          <w:sz w:val="17"/>
        </w:rPr>
        <w:t>Perspective</w:t>
      </w:r>
      <w:r>
        <w:rPr>
          <w:color w:val="231F20"/>
          <w:sz w:val="17"/>
        </w:rPr>
        <w:t>.</w:t>
      </w:r>
    </w:p>
    <w:p w14:paraId="12B09D21" w14:textId="77777777" w:rsidR="00AE0598" w:rsidRDefault="0069255A">
      <w:pPr>
        <w:spacing w:before="1"/>
        <w:ind w:left="430"/>
        <w:jc w:val="both"/>
        <w:rPr>
          <w:sz w:val="17"/>
        </w:rPr>
      </w:pPr>
      <w:r>
        <w:rPr>
          <w:color w:val="231F20"/>
          <w:w w:val="95"/>
          <w:sz w:val="17"/>
        </w:rPr>
        <w:t>Harlow:</w:t>
      </w:r>
      <w:r>
        <w:rPr>
          <w:color w:val="231F20"/>
          <w:spacing w:val="26"/>
          <w:sz w:val="17"/>
        </w:rPr>
        <w:t xml:space="preserve"> </w:t>
      </w:r>
      <w:r>
        <w:rPr>
          <w:color w:val="231F20"/>
          <w:w w:val="95"/>
          <w:sz w:val="17"/>
        </w:rPr>
        <w:t>Addison</w:t>
      </w:r>
      <w:r>
        <w:rPr>
          <w:color w:val="231F20"/>
          <w:spacing w:val="26"/>
          <w:sz w:val="17"/>
        </w:rPr>
        <w:t xml:space="preserve"> </w:t>
      </w:r>
      <w:r>
        <w:rPr>
          <w:color w:val="231F20"/>
          <w:w w:val="95"/>
          <w:sz w:val="17"/>
        </w:rPr>
        <w:t>Wesley</w:t>
      </w:r>
      <w:r>
        <w:rPr>
          <w:color w:val="231F20"/>
          <w:spacing w:val="26"/>
          <w:sz w:val="17"/>
        </w:rPr>
        <w:t xml:space="preserve"> </w:t>
      </w:r>
      <w:r>
        <w:rPr>
          <w:color w:val="231F20"/>
          <w:w w:val="95"/>
          <w:sz w:val="17"/>
        </w:rPr>
        <w:t>Longman</w:t>
      </w:r>
      <w:r>
        <w:rPr>
          <w:color w:val="231F20"/>
          <w:spacing w:val="26"/>
          <w:sz w:val="17"/>
        </w:rPr>
        <w:t xml:space="preserve"> </w:t>
      </w:r>
      <w:r>
        <w:rPr>
          <w:color w:val="231F20"/>
          <w:spacing w:val="-4"/>
          <w:w w:val="95"/>
          <w:sz w:val="17"/>
        </w:rPr>
        <w:t>Ltd.</w:t>
      </w:r>
    </w:p>
    <w:p w14:paraId="1C88A660" w14:textId="77777777" w:rsidR="00AE0598" w:rsidRDefault="0069255A">
      <w:pPr>
        <w:spacing w:before="1"/>
        <w:ind w:left="430" w:right="128" w:hanging="320"/>
        <w:jc w:val="both"/>
        <w:rPr>
          <w:sz w:val="17"/>
        </w:rPr>
      </w:pPr>
      <w:r>
        <w:rPr>
          <w:color w:val="231F20"/>
          <w:w w:val="105"/>
          <w:sz w:val="17"/>
        </w:rPr>
        <w:t xml:space="preserve">Hall, C.M. and Higham, J.E.S. (eds) (2005) </w:t>
      </w:r>
      <w:r>
        <w:rPr>
          <w:i/>
          <w:color w:val="231F20"/>
          <w:w w:val="105"/>
          <w:sz w:val="17"/>
        </w:rPr>
        <w:t>Tourism, Recreation and Climate Change:</w:t>
      </w:r>
      <w:r>
        <w:rPr>
          <w:i/>
          <w:color w:val="231F20"/>
          <w:spacing w:val="40"/>
          <w:w w:val="105"/>
          <w:sz w:val="17"/>
        </w:rPr>
        <w:t xml:space="preserve"> </w:t>
      </w:r>
      <w:r>
        <w:rPr>
          <w:i/>
          <w:color w:val="231F20"/>
          <w:sz w:val="17"/>
        </w:rPr>
        <w:t>International Perspectives</w:t>
      </w:r>
      <w:r>
        <w:rPr>
          <w:color w:val="231F20"/>
          <w:sz w:val="17"/>
        </w:rPr>
        <w:t>. Clevedon: Channel View Publications.</w:t>
      </w:r>
    </w:p>
    <w:p w14:paraId="41636ADF" w14:textId="77777777" w:rsidR="00AE0598" w:rsidRDefault="0069255A">
      <w:pPr>
        <w:spacing w:before="1"/>
        <w:ind w:left="430" w:right="128" w:hanging="320"/>
        <w:jc w:val="both"/>
        <w:rPr>
          <w:sz w:val="17"/>
        </w:rPr>
      </w:pPr>
      <w:r>
        <w:rPr>
          <w:color w:val="231F20"/>
          <w:sz w:val="17"/>
        </w:rPr>
        <w:t xml:space="preserve">Hall, C.M. and Page, S.J. (2014) </w:t>
      </w:r>
      <w:r>
        <w:rPr>
          <w:i/>
          <w:color w:val="231F20"/>
          <w:sz w:val="17"/>
        </w:rPr>
        <w:t>The Geography of Tourism and Recreation: Environment,</w:t>
      </w:r>
      <w:r>
        <w:rPr>
          <w:i/>
          <w:color w:val="231F20"/>
          <w:spacing w:val="40"/>
          <w:sz w:val="17"/>
        </w:rPr>
        <w:t xml:space="preserve"> </w:t>
      </w:r>
      <w:r>
        <w:rPr>
          <w:i/>
          <w:color w:val="231F20"/>
          <w:sz w:val="17"/>
        </w:rPr>
        <w:t>Place and Space</w:t>
      </w:r>
      <w:r>
        <w:rPr>
          <w:color w:val="231F20"/>
          <w:sz w:val="17"/>
        </w:rPr>
        <w:t>. Lond</w:t>
      </w:r>
      <w:r>
        <w:rPr>
          <w:color w:val="231F20"/>
          <w:sz w:val="17"/>
        </w:rPr>
        <w:t>on: Routledge.</w:t>
      </w:r>
    </w:p>
    <w:p w14:paraId="1E07B71E" w14:textId="77777777" w:rsidR="00AE0598" w:rsidRDefault="0069255A">
      <w:pPr>
        <w:spacing w:before="1"/>
        <w:ind w:left="430" w:right="128" w:hanging="320"/>
        <w:jc w:val="both"/>
        <w:rPr>
          <w:sz w:val="17"/>
        </w:rPr>
      </w:pPr>
      <w:r>
        <w:rPr>
          <w:color w:val="231F20"/>
          <w:sz w:val="17"/>
        </w:rPr>
        <w:t xml:space="preserve">Hall, </w:t>
      </w:r>
      <w:r>
        <w:rPr>
          <w:color w:val="231F20"/>
          <w:w w:val="110"/>
          <w:sz w:val="17"/>
        </w:rPr>
        <w:t xml:space="preserve">C.M., </w:t>
      </w:r>
      <w:r>
        <w:rPr>
          <w:color w:val="231F20"/>
          <w:sz w:val="17"/>
        </w:rPr>
        <w:t xml:space="preserve">Jenkins, </w:t>
      </w:r>
      <w:r>
        <w:rPr>
          <w:color w:val="231F20"/>
          <w:w w:val="110"/>
          <w:sz w:val="17"/>
        </w:rPr>
        <w:t xml:space="preserve">J. </w:t>
      </w:r>
      <w:r>
        <w:rPr>
          <w:color w:val="231F20"/>
          <w:sz w:val="17"/>
        </w:rPr>
        <w:t xml:space="preserve">and Kearsley, </w:t>
      </w:r>
      <w:r>
        <w:rPr>
          <w:color w:val="231F20"/>
          <w:w w:val="110"/>
          <w:sz w:val="17"/>
        </w:rPr>
        <w:t xml:space="preserve">G.W. </w:t>
      </w:r>
      <w:r>
        <w:rPr>
          <w:color w:val="231F20"/>
          <w:sz w:val="17"/>
        </w:rPr>
        <w:t xml:space="preserve">(eds) (1997) </w:t>
      </w:r>
      <w:r>
        <w:rPr>
          <w:i/>
          <w:color w:val="231F20"/>
          <w:sz w:val="17"/>
        </w:rPr>
        <w:t>Tourism Planning and Policy in</w:t>
      </w:r>
      <w:r>
        <w:rPr>
          <w:i/>
          <w:color w:val="231F20"/>
          <w:spacing w:val="40"/>
          <w:sz w:val="17"/>
        </w:rPr>
        <w:t xml:space="preserve"> </w:t>
      </w:r>
      <w:r>
        <w:rPr>
          <w:i/>
          <w:color w:val="231F20"/>
          <w:sz w:val="17"/>
        </w:rPr>
        <w:t>Australia and New Zealand</w:t>
      </w:r>
      <w:r>
        <w:rPr>
          <w:color w:val="231F20"/>
          <w:sz w:val="17"/>
        </w:rPr>
        <w:t>. Sydney: Irwin Publishers.</w:t>
      </w:r>
    </w:p>
    <w:p w14:paraId="2908C607" w14:textId="77777777" w:rsidR="00AE0598" w:rsidRDefault="0069255A">
      <w:pPr>
        <w:spacing w:before="2"/>
        <w:ind w:left="430" w:right="128" w:hanging="320"/>
        <w:jc w:val="both"/>
        <w:rPr>
          <w:sz w:val="17"/>
        </w:rPr>
      </w:pPr>
      <w:r>
        <w:rPr>
          <w:color w:val="231F20"/>
          <w:sz w:val="17"/>
        </w:rPr>
        <w:t>Hallmann, K., Zehrer, A. and Müller, S. (2015) Perceived destination image: An image</w:t>
      </w:r>
      <w:r>
        <w:rPr>
          <w:color w:val="231F20"/>
          <w:spacing w:val="40"/>
          <w:sz w:val="17"/>
        </w:rPr>
        <w:t xml:space="preserve"> </w:t>
      </w:r>
      <w:r>
        <w:rPr>
          <w:color w:val="231F20"/>
          <w:sz w:val="17"/>
        </w:rPr>
        <w:t xml:space="preserve">model for a winter sports destination and its effect on intention to revisit. </w:t>
      </w:r>
      <w:r>
        <w:rPr>
          <w:i/>
          <w:color w:val="231F20"/>
          <w:sz w:val="17"/>
        </w:rPr>
        <w:t>Journal of</w:t>
      </w:r>
      <w:r>
        <w:rPr>
          <w:i/>
          <w:color w:val="231F20"/>
          <w:spacing w:val="40"/>
          <w:sz w:val="17"/>
        </w:rPr>
        <w:t xml:space="preserve"> </w:t>
      </w:r>
      <w:r>
        <w:rPr>
          <w:i/>
          <w:color w:val="231F20"/>
          <w:sz w:val="17"/>
        </w:rPr>
        <w:t xml:space="preserve">Travel Research </w:t>
      </w:r>
      <w:r>
        <w:rPr>
          <w:color w:val="231F20"/>
          <w:sz w:val="17"/>
        </w:rPr>
        <w:t>54 (1), 94–106.</w:t>
      </w:r>
    </w:p>
    <w:p w14:paraId="50A1C2FF" w14:textId="77777777" w:rsidR="00AE0598" w:rsidRDefault="0069255A">
      <w:pPr>
        <w:spacing w:before="2"/>
        <w:ind w:left="430" w:right="127" w:hanging="320"/>
        <w:jc w:val="both"/>
        <w:rPr>
          <w:sz w:val="17"/>
        </w:rPr>
      </w:pPr>
      <w:r>
        <w:rPr>
          <w:color w:val="231F20"/>
          <w:sz w:val="17"/>
        </w:rPr>
        <w:t xml:space="preserve">Halpenny, E.A., Kulczycki, C. and Moghimehfar, F. </w:t>
      </w:r>
      <w:r>
        <w:rPr>
          <w:color w:val="231F20"/>
          <w:sz w:val="17"/>
        </w:rPr>
        <w:t>(2016) Factors effecting destination</w:t>
      </w:r>
      <w:r>
        <w:rPr>
          <w:color w:val="231F20"/>
          <w:spacing w:val="40"/>
          <w:sz w:val="17"/>
        </w:rPr>
        <w:t xml:space="preserve"> </w:t>
      </w:r>
      <w:r>
        <w:rPr>
          <w:color w:val="231F20"/>
          <w:w w:val="95"/>
          <w:sz w:val="17"/>
        </w:rPr>
        <w:t>and event loyalty: Examining the sustainability of a recurrent small-scale running event</w:t>
      </w:r>
      <w:r>
        <w:rPr>
          <w:color w:val="231F20"/>
          <w:spacing w:val="40"/>
          <w:w w:val="105"/>
          <w:sz w:val="17"/>
        </w:rPr>
        <w:t xml:space="preserve"> </w:t>
      </w:r>
      <w:r>
        <w:rPr>
          <w:color w:val="231F20"/>
          <w:w w:val="105"/>
          <w:sz w:val="17"/>
        </w:rPr>
        <w:t xml:space="preserve">at Banff National Park. </w:t>
      </w:r>
      <w:r>
        <w:rPr>
          <w:i/>
          <w:color w:val="231F20"/>
          <w:w w:val="105"/>
          <w:sz w:val="17"/>
        </w:rPr>
        <w:t xml:space="preserve">Journal of Sport </w:t>
      </w:r>
      <w:r>
        <w:rPr>
          <w:i/>
          <w:color w:val="231F20"/>
          <w:w w:val="110"/>
          <w:sz w:val="17"/>
        </w:rPr>
        <w:t>&amp;</w:t>
      </w:r>
      <w:r>
        <w:rPr>
          <w:i/>
          <w:color w:val="231F20"/>
          <w:spacing w:val="-2"/>
          <w:w w:val="110"/>
          <w:sz w:val="17"/>
        </w:rPr>
        <w:t xml:space="preserve"> </w:t>
      </w:r>
      <w:r>
        <w:rPr>
          <w:i/>
          <w:color w:val="231F20"/>
          <w:w w:val="105"/>
          <w:sz w:val="17"/>
        </w:rPr>
        <w:t xml:space="preserve">Tourism </w:t>
      </w:r>
      <w:r>
        <w:rPr>
          <w:color w:val="231F20"/>
          <w:w w:val="105"/>
          <w:sz w:val="17"/>
        </w:rPr>
        <w:t>20 (3–4), 233–262.</w:t>
      </w:r>
    </w:p>
    <w:p w14:paraId="68C2A346" w14:textId="77777777" w:rsidR="00AE0598" w:rsidRDefault="0069255A">
      <w:pPr>
        <w:spacing w:before="2"/>
        <w:ind w:left="430" w:right="127" w:hanging="320"/>
        <w:jc w:val="both"/>
        <w:rPr>
          <w:sz w:val="17"/>
        </w:rPr>
      </w:pPr>
      <w:r>
        <w:rPr>
          <w:color w:val="231F20"/>
          <w:sz w:val="17"/>
        </w:rPr>
        <w:t xml:space="preserve">Hamilton, </w:t>
      </w:r>
      <w:r>
        <w:rPr>
          <w:color w:val="231F20"/>
          <w:w w:val="105"/>
          <w:sz w:val="17"/>
        </w:rPr>
        <w:t xml:space="preserve">L.C., </w:t>
      </w:r>
      <w:r>
        <w:rPr>
          <w:color w:val="231F20"/>
          <w:sz w:val="17"/>
        </w:rPr>
        <w:t xml:space="preserve">Brown, C. and Keim, </w:t>
      </w:r>
      <w:r>
        <w:rPr>
          <w:color w:val="231F20"/>
          <w:w w:val="105"/>
          <w:sz w:val="17"/>
        </w:rPr>
        <w:t xml:space="preserve">B.D. </w:t>
      </w:r>
      <w:r>
        <w:rPr>
          <w:color w:val="231F20"/>
          <w:sz w:val="17"/>
        </w:rPr>
        <w:t>(2007) Ski areas, w</w:t>
      </w:r>
      <w:r>
        <w:rPr>
          <w:color w:val="231F20"/>
          <w:sz w:val="17"/>
        </w:rPr>
        <w:t>eather and climate: Time</w:t>
      </w:r>
      <w:r>
        <w:rPr>
          <w:color w:val="231F20"/>
          <w:spacing w:val="40"/>
          <w:sz w:val="17"/>
        </w:rPr>
        <w:t xml:space="preserve"> </w:t>
      </w:r>
      <w:r>
        <w:rPr>
          <w:color w:val="231F20"/>
          <w:sz w:val="17"/>
        </w:rPr>
        <w:t xml:space="preserve">series models for New England case studies. </w:t>
      </w:r>
      <w:r>
        <w:rPr>
          <w:i/>
          <w:color w:val="231F20"/>
          <w:sz w:val="17"/>
        </w:rPr>
        <w:t xml:space="preserve">International Journal of Climatology </w:t>
      </w:r>
      <w:r>
        <w:rPr>
          <w:color w:val="231F20"/>
          <w:sz w:val="17"/>
        </w:rPr>
        <w:t>27,</w:t>
      </w:r>
      <w:r>
        <w:rPr>
          <w:color w:val="231F20"/>
          <w:spacing w:val="40"/>
          <w:sz w:val="17"/>
        </w:rPr>
        <w:t xml:space="preserve"> </w:t>
      </w:r>
      <w:r>
        <w:rPr>
          <w:color w:val="231F20"/>
          <w:spacing w:val="-2"/>
          <w:sz w:val="17"/>
        </w:rPr>
        <w:t>2113–2124.</w:t>
      </w:r>
    </w:p>
    <w:p w14:paraId="0DFEB130" w14:textId="77777777" w:rsidR="00AE0598" w:rsidRDefault="0069255A">
      <w:pPr>
        <w:spacing w:before="2"/>
        <w:ind w:left="430" w:right="128" w:hanging="320"/>
        <w:jc w:val="both"/>
        <w:rPr>
          <w:sz w:val="17"/>
        </w:rPr>
      </w:pPr>
      <w:r>
        <w:rPr>
          <w:color w:val="231F20"/>
          <w:sz w:val="17"/>
        </w:rPr>
        <w:t xml:space="preserve">Hammitt, W.E. (1980) Outdoor recreation: Is it a multi-phase experience? </w:t>
      </w:r>
      <w:r>
        <w:rPr>
          <w:i/>
          <w:color w:val="231F20"/>
          <w:sz w:val="17"/>
        </w:rPr>
        <w:t>Journal of</w:t>
      </w:r>
      <w:r>
        <w:rPr>
          <w:i/>
          <w:color w:val="231F20"/>
          <w:spacing w:val="40"/>
          <w:sz w:val="17"/>
        </w:rPr>
        <w:t xml:space="preserve"> </w:t>
      </w:r>
      <w:r>
        <w:rPr>
          <w:i/>
          <w:color w:val="231F20"/>
          <w:sz w:val="17"/>
        </w:rPr>
        <w:t xml:space="preserve">Leisure Research </w:t>
      </w:r>
      <w:r>
        <w:rPr>
          <w:color w:val="231F20"/>
          <w:sz w:val="17"/>
        </w:rPr>
        <w:t>12 (2), 107–115.</w:t>
      </w:r>
    </w:p>
    <w:p w14:paraId="7EE04278" w14:textId="77777777" w:rsidR="00AE0598" w:rsidRDefault="0069255A">
      <w:pPr>
        <w:spacing w:before="2"/>
        <w:ind w:left="430" w:right="128" w:hanging="320"/>
        <w:jc w:val="both"/>
        <w:rPr>
          <w:sz w:val="17"/>
        </w:rPr>
      </w:pPr>
      <w:r>
        <w:rPr>
          <w:color w:val="231F20"/>
          <w:sz w:val="17"/>
        </w:rPr>
        <w:t>Hanna, S. and Row</w:t>
      </w:r>
      <w:r>
        <w:rPr>
          <w:color w:val="231F20"/>
          <w:sz w:val="17"/>
        </w:rPr>
        <w:t xml:space="preserve">ley, </w:t>
      </w:r>
      <w:r>
        <w:rPr>
          <w:color w:val="231F20"/>
          <w:w w:val="105"/>
          <w:sz w:val="17"/>
        </w:rPr>
        <w:t xml:space="preserve">J. </w:t>
      </w:r>
      <w:r>
        <w:rPr>
          <w:color w:val="231F20"/>
          <w:sz w:val="17"/>
        </w:rPr>
        <w:t xml:space="preserve">(2008) An analysis of terminology use in place branding. </w:t>
      </w:r>
      <w:r>
        <w:rPr>
          <w:i/>
          <w:color w:val="231F20"/>
          <w:sz w:val="17"/>
        </w:rPr>
        <w:t>Place</w:t>
      </w:r>
      <w:r>
        <w:rPr>
          <w:i/>
          <w:color w:val="231F20"/>
          <w:spacing w:val="40"/>
          <w:sz w:val="17"/>
        </w:rPr>
        <w:t xml:space="preserve"> </w:t>
      </w:r>
      <w:r>
        <w:rPr>
          <w:i/>
          <w:color w:val="231F20"/>
          <w:sz w:val="17"/>
        </w:rPr>
        <w:t xml:space="preserve">Branding and Public Diplomacy </w:t>
      </w:r>
      <w:r>
        <w:rPr>
          <w:color w:val="231F20"/>
          <w:sz w:val="17"/>
        </w:rPr>
        <w:t>4 (1), 61–75.</w:t>
      </w:r>
    </w:p>
    <w:p w14:paraId="7C62F318" w14:textId="77777777" w:rsidR="00AE0598" w:rsidRDefault="0069255A">
      <w:pPr>
        <w:spacing w:before="1"/>
        <w:ind w:left="430" w:right="128" w:hanging="320"/>
        <w:jc w:val="both"/>
        <w:rPr>
          <w:sz w:val="17"/>
        </w:rPr>
      </w:pPr>
      <w:r>
        <w:rPr>
          <w:color w:val="231F20"/>
          <w:sz w:val="17"/>
        </w:rPr>
        <w:t xml:space="preserve">Harada, M. (2016) </w:t>
      </w:r>
      <w:r>
        <w:rPr>
          <w:i/>
          <w:color w:val="231F20"/>
          <w:sz w:val="17"/>
        </w:rPr>
        <w:t xml:space="preserve">Supotsu toshi senryaku </w:t>
      </w:r>
      <w:r>
        <w:rPr>
          <w:color w:val="231F20"/>
          <w:sz w:val="17"/>
        </w:rPr>
        <w:t>[</w:t>
      </w:r>
      <w:r>
        <w:rPr>
          <w:i/>
          <w:color w:val="231F20"/>
          <w:sz w:val="17"/>
        </w:rPr>
        <w:t>Strategic Planning for the Development of the</w:t>
      </w:r>
      <w:r>
        <w:rPr>
          <w:i/>
          <w:color w:val="231F20"/>
          <w:spacing w:val="40"/>
          <w:sz w:val="17"/>
        </w:rPr>
        <w:t xml:space="preserve"> </w:t>
      </w:r>
      <w:r>
        <w:rPr>
          <w:i/>
          <w:color w:val="231F20"/>
          <w:sz w:val="17"/>
        </w:rPr>
        <w:t>Sports City</w:t>
      </w:r>
      <w:r>
        <w:rPr>
          <w:color w:val="231F20"/>
          <w:sz w:val="17"/>
        </w:rPr>
        <w:t>]. Kyoto: Gakugei Publisher (in Japanese).</w:t>
      </w:r>
    </w:p>
    <w:p w14:paraId="7B14E982" w14:textId="77777777" w:rsidR="00AE0598" w:rsidRDefault="0069255A">
      <w:pPr>
        <w:spacing w:before="1"/>
        <w:ind w:left="430" w:right="128" w:hanging="320"/>
        <w:jc w:val="both"/>
        <w:rPr>
          <w:sz w:val="17"/>
        </w:rPr>
      </w:pPr>
      <w:r>
        <w:rPr>
          <w:color w:val="231F20"/>
          <w:sz w:val="17"/>
        </w:rPr>
        <w:t xml:space="preserve">Harahousou, Y. (1999) Elderly people, leisure and physical recreation in Greece. </w:t>
      </w:r>
      <w:r>
        <w:rPr>
          <w:i/>
          <w:color w:val="231F20"/>
          <w:sz w:val="17"/>
        </w:rPr>
        <w:t>World</w:t>
      </w:r>
      <w:r>
        <w:rPr>
          <w:i/>
          <w:color w:val="231F20"/>
          <w:spacing w:val="40"/>
          <w:sz w:val="17"/>
        </w:rPr>
        <w:t xml:space="preserve"> </w:t>
      </w:r>
      <w:r>
        <w:rPr>
          <w:i/>
          <w:color w:val="231F20"/>
          <w:sz w:val="17"/>
        </w:rPr>
        <w:t xml:space="preserve">Leisure and Recreation </w:t>
      </w:r>
      <w:r>
        <w:rPr>
          <w:color w:val="231F20"/>
          <w:sz w:val="17"/>
        </w:rPr>
        <w:t>41 (3), 20–24.</w:t>
      </w:r>
    </w:p>
    <w:p w14:paraId="6C4F21ED" w14:textId="77777777" w:rsidR="00AE0598" w:rsidRDefault="0069255A">
      <w:pPr>
        <w:spacing w:before="2"/>
        <w:ind w:left="430" w:right="128" w:hanging="320"/>
        <w:jc w:val="both"/>
        <w:rPr>
          <w:sz w:val="17"/>
        </w:rPr>
      </w:pPr>
      <w:r>
        <w:rPr>
          <w:color w:val="231F20"/>
          <w:sz w:val="17"/>
        </w:rPr>
        <w:t>Harrison, S.J., Winterbottom, W.J. and Shepard, C. (1999) The potential effects of clima</w:t>
      </w:r>
      <w:r>
        <w:rPr>
          <w:color w:val="231F20"/>
          <w:sz w:val="17"/>
        </w:rPr>
        <w:t>te</w:t>
      </w:r>
      <w:r>
        <w:rPr>
          <w:color w:val="231F20"/>
          <w:spacing w:val="40"/>
          <w:sz w:val="17"/>
        </w:rPr>
        <w:t xml:space="preserve"> </w:t>
      </w:r>
      <w:r>
        <w:rPr>
          <w:color w:val="231F20"/>
          <w:sz w:val="17"/>
        </w:rPr>
        <w:t xml:space="preserve">change on the Scottish tourism industry. </w:t>
      </w:r>
      <w:r>
        <w:rPr>
          <w:i/>
          <w:color w:val="231F20"/>
          <w:sz w:val="17"/>
        </w:rPr>
        <w:t xml:space="preserve">Tourism Management </w:t>
      </w:r>
      <w:r>
        <w:rPr>
          <w:color w:val="231F20"/>
          <w:sz w:val="17"/>
        </w:rPr>
        <w:t>20 (2), 25–33.</w:t>
      </w:r>
    </w:p>
    <w:p w14:paraId="32D56B1F" w14:textId="77777777" w:rsidR="00AE0598" w:rsidRDefault="0069255A">
      <w:pPr>
        <w:spacing w:before="1"/>
        <w:ind w:left="430" w:right="127" w:hanging="320"/>
        <w:jc w:val="both"/>
        <w:rPr>
          <w:sz w:val="17"/>
        </w:rPr>
      </w:pPr>
      <w:r>
        <w:rPr>
          <w:color w:val="231F20"/>
          <w:w w:val="95"/>
          <w:sz w:val="17"/>
        </w:rPr>
        <w:t>Harrison-Hill, T. and Chalip, L. (2005) Marketing sport tourism: Creating synergy between</w:t>
      </w:r>
      <w:r>
        <w:rPr>
          <w:color w:val="231F20"/>
          <w:spacing w:val="40"/>
          <w:sz w:val="17"/>
        </w:rPr>
        <w:t xml:space="preserve"> </w:t>
      </w:r>
      <w:r>
        <w:rPr>
          <w:color w:val="231F20"/>
          <w:sz w:val="17"/>
        </w:rPr>
        <w:t xml:space="preserve">sport and destination. </w:t>
      </w:r>
      <w:r>
        <w:rPr>
          <w:i/>
          <w:color w:val="231F20"/>
          <w:sz w:val="17"/>
        </w:rPr>
        <w:t xml:space="preserve">Sport in Society </w:t>
      </w:r>
      <w:r>
        <w:rPr>
          <w:color w:val="231F20"/>
          <w:sz w:val="17"/>
        </w:rPr>
        <w:t>8 (2), 302–320.</w:t>
      </w:r>
    </w:p>
    <w:p w14:paraId="407B5F00" w14:textId="77777777" w:rsidR="00AE0598" w:rsidRDefault="0069255A">
      <w:pPr>
        <w:spacing w:before="2"/>
        <w:ind w:left="110" w:right="244"/>
        <w:jc w:val="both"/>
        <w:rPr>
          <w:sz w:val="17"/>
        </w:rPr>
      </w:pPr>
      <w:r>
        <w:rPr>
          <w:color w:val="231F20"/>
          <w:w w:val="95"/>
          <w:sz w:val="17"/>
        </w:rPr>
        <w:t xml:space="preserve">Hartman, R. (1986) Tourism, seasonality and social change. </w:t>
      </w:r>
      <w:r>
        <w:rPr>
          <w:i/>
          <w:color w:val="231F20"/>
          <w:w w:val="95"/>
          <w:sz w:val="17"/>
        </w:rPr>
        <w:t xml:space="preserve">Leisure Studies </w:t>
      </w:r>
      <w:r>
        <w:rPr>
          <w:color w:val="231F20"/>
          <w:w w:val="95"/>
          <w:sz w:val="17"/>
        </w:rPr>
        <w:t>5 (1), 25–33.</w:t>
      </w:r>
      <w:r>
        <w:rPr>
          <w:color w:val="231F20"/>
          <w:spacing w:val="40"/>
          <w:sz w:val="17"/>
        </w:rPr>
        <w:t xml:space="preserve"> </w:t>
      </w:r>
      <w:r>
        <w:rPr>
          <w:color w:val="231F20"/>
          <w:sz w:val="17"/>
        </w:rPr>
        <w:t xml:space="preserve">Harvey, D. (1989) </w:t>
      </w:r>
      <w:r>
        <w:rPr>
          <w:i/>
          <w:color w:val="231F20"/>
          <w:sz w:val="17"/>
        </w:rPr>
        <w:t>The Condition of Postmodernity</w:t>
      </w:r>
      <w:r>
        <w:rPr>
          <w:color w:val="231F20"/>
          <w:sz w:val="17"/>
        </w:rPr>
        <w:t>. Oxford: Blackwell Publishers Inc.</w:t>
      </w:r>
    </w:p>
    <w:p w14:paraId="57F85B90" w14:textId="77777777" w:rsidR="00AE0598" w:rsidRDefault="0069255A">
      <w:pPr>
        <w:spacing w:before="1"/>
        <w:ind w:left="430" w:hanging="320"/>
        <w:rPr>
          <w:sz w:val="17"/>
        </w:rPr>
      </w:pPr>
      <w:r>
        <w:rPr>
          <w:color w:val="231F20"/>
          <w:sz w:val="17"/>
        </w:rPr>
        <w:t>Harvey,</w:t>
      </w:r>
      <w:r>
        <w:rPr>
          <w:color w:val="231F20"/>
          <w:spacing w:val="34"/>
          <w:sz w:val="17"/>
        </w:rPr>
        <w:t xml:space="preserve"> </w:t>
      </w:r>
      <w:r>
        <w:rPr>
          <w:color w:val="231F20"/>
          <w:sz w:val="17"/>
        </w:rPr>
        <w:t>D.</w:t>
      </w:r>
      <w:r>
        <w:rPr>
          <w:color w:val="231F20"/>
          <w:spacing w:val="34"/>
          <w:sz w:val="17"/>
        </w:rPr>
        <w:t xml:space="preserve"> </w:t>
      </w:r>
      <w:r>
        <w:rPr>
          <w:color w:val="231F20"/>
          <w:sz w:val="17"/>
        </w:rPr>
        <w:t>(2007)</w:t>
      </w:r>
      <w:r>
        <w:rPr>
          <w:color w:val="231F20"/>
          <w:spacing w:val="34"/>
          <w:sz w:val="17"/>
        </w:rPr>
        <w:t xml:space="preserve"> </w:t>
      </w:r>
      <w:r>
        <w:rPr>
          <w:color w:val="231F20"/>
          <w:sz w:val="17"/>
        </w:rPr>
        <w:t>Neoliberalism</w:t>
      </w:r>
      <w:r>
        <w:rPr>
          <w:color w:val="231F20"/>
          <w:spacing w:val="34"/>
          <w:sz w:val="17"/>
        </w:rPr>
        <w:t xml:space="preserve"> </w:t>
      </w:r>
      <w:r>
        <w:rPr>
          <w:color w:val="231F20"/>
          <w:sz w:val="17"/>
        </w:rPr>
        <w:t>as</w:t>
      </w:r>
      <w:r>
        <w:rPr>
          <w:color w:val="231F20"/>
          <w:spacing w:val="34"/>
          <w:sz w:val="17"/>
        </w:rPr>
        <w:t xml:space="preserve"> </w:t>
      </w:r>
      <w:r>
        <w:rPr>
          <w:color w:val="231F20"/>
          <w:sz w:val="17"/>
        </w:rPr>
        <w:t>creative</w:t>
      </w:r>
      <w:r>
        <w:rPr>
          <w:color w:val="231F20"/>
          <w:spacing w:val="34"/>
          <w:sz w:val="17"/>
        </w:rPr>
        <w:t xml:space="preserve"> </w:t>
      </w:r>
      <w:r>
        <w:rPr>
          <w:color w:val="231F20"/>
          <w:sz w:val="17"/>
        </w:rPr>
        <w:t>destruction.</w:t>
      </w:r>
      <w:r>
        <w:rPr>
          <w:color w:val="231F20"/>
          <w:spacing w:val="35"/>
          <w:sz w:val="17"/>
        </w:rPr>
        <w:t xml:space="preserve"> </w:t>
      </w:r>
      <w:r>
        <w:rPr>
          <w:i/>
          <w:color w:val="231F20"/>
          <w:sz w:val="17"/>
        </w:rPr>
        <w:t>The</w:t>
      </w:r>
      <w:r>
        <w:rPr>
          <w:i/>
          <w:color w:val="231F20"/>
          <w:spacing w:val="35"/>
          <w:sz w:val="17"/>
        </w:rPr>
        <w:t xml:space="preserve"> </w:t>
      </w:r>
      <w:r>
        <w:rPr>
          <w:i/>
          <w:color w:val="231F20"/>
          <w:sz w:val="17"/>
        </w:rPr>
        <w:t>Annals</w:t>
      </w:r>
      <w:r>
        <w:rPr>
          <w:i/>
          <w:color w:val="231F20"/>
          <w:spacing w:val="34"/>
          <w:sz w:val="17"/>
        </w:rPr>
        <w:t xml:space="preserve"> </w:t>
      </w:r>
      <w:r>
        <w:rPr>
          <w:i/>
          <w:color w:val="231F20"/>
          <w:sz w:val="17"/>
        </w:rPr>
        <w:t>of</w:t>
      </w:r>
      <w:r>
        <w:rPr>
          <w:i/>
          <w:color w:val="231F20"/>
          <w:spacing w:val="35"/>
          <w:sz w:val="17"/>
        </w:rPr>
        <w:t xml:space="preserve"> </w:t>
      </w:r>
      <w:r>
        <w:rPr>
          <w:i/>
          <w:color w:val="231F20"/>
          <w:sz w:val="17"/>
        </w:rPr>
        <w:t>the</w:t>
      </w:r>
      <w:r>
        <w:rPr>
          <w:i/>
          <w:color w:val="231F20"/>
          <w:spacing w:val="35"/>
          <w:sz w:val="17"/>
        </w:rPr>
        <w:t xml:space="preserve"> </w:t>
      </w:r>
      <w:r>
        <w:rPr>
          <w:i/>
          <w:color w:val="231F20"/>
          <w:sz w:val="17"/>
        </w:rPr>
        <w:t>American</w:t>
      </w:r>
      <w:r>
        <w:rPr>
          <w:i/>
          <w:color w:val="231F20"/>
          <w:spacing w:val="40"/>
          <w:sz w:val="17"/>
        </w:rPr>
        <w:t xml:space="preserve"> </w:t>
      </w:r>
      <w:r>
        <w:rPr>
          <w:i/>
          <w:color w:val="231F20"/>
          <w:sz w:val="17"/>
        </w:rPr>
        <w:t xml:space="preserve">Academy of Political and Social Science </w:t>
      </w:r>
      <w:r>
        <w:rPr>
          <w:color w:val="231F20"/>
          <w:sz w:val="17"/>
        </w:rPr>
        <w:t>610 (1), 21–44.</w:t>
      </w:r>
    </w:p>
    <w:p w14:paraId="6DDD97F9" w14:textId="77777777" w:rsidR="00AE0598" w:rsidRDefault="0069255A">
      <w:pPr>
        <w:spacing w:before="1"/>
        <w:ind w:left="430" w:hanging="320"/>
        <w:rPr>
          <w:sz w:val="17"/>
        </w:rPr>
      </w:pPr>
      <w:r>
        <w:rPr>
          <w:color w:val="231F20"/>
          <w:sz w:val="17"/>
        </w:rPr>
        <w:t>Harvey,</w:t>
      </w:r>
      <w:r>
        <w:rPr>
          <w:color w:val="231F20"/>
          <w:spacing w:val="26"/>
          <w:w w:val="105"/>
          <w:sz w:val="17"/>
        </w:rPr>
        <w:t xml:space="preserve"> </w:t>
      </w:r>
      <w:r>
        <w:rPr>
          <w:color w:val="231F20"/>
          <w:w w:val="105"/>
          <w:sz w:val="17"/>
        </w:rPr>
        <w:t>J.</w:t>
      </w:r>
      <w:r>
        <w:rPr>
          <w:color w:val="231F20"/>
          <w:spacing w:val="26"/>
          <w:w w:val="105"/>
          <w:sz w:val="17"/>
        </w:rPr>
        <w:t xml:space="preserve"> </w:t>
      </w:r>
      <w:r>
        <w:rPr>
          <w:color w:val="231F20"/>
          <w:sz w:val="17"/>
        </w:rPr>
        <w:t>and</w:t>
      </w:r>
      <w:r>
        <w:rPr>
          <w:color w:val="231F20"/>
          <w:spacing w:val="28"/>
          <w:sz w:val="17"/>
        </w:rPr>
        <w:t xml:space="preserve"> </w:t>
      </w:r>
      <w:r>
        <w:rPr>
          <w:color w:val="231F20"/>
          <w:sz w:val="17"/>
        </w:rPr>
        <w:t>Houle,</w:t>
      </w:r>
      <w:r>
        <w:rPr>
          <w:color w:val="231F20"/>
          <w:spacing w:val="28"/>
          <w:sz w:val="17"/>
        </w:rPr>
        <w:t xml:space="preserve"> </w:t>
      </w:r>
      <w:r>
        <w:rPr>
          <w:color w:val="231F20"/>
          <w:sz w:val="17"/>
        </w:rPr>
        <w:t>F.</w:t>
      </w:r>
      <w:r>
        <w:rPr>
          <w:color w:val="231F20"/>
          <w:spacing w:val="28"/>
          <w:sz w:val="17"/>
        </w:rPr>
        <w:t xml:space="preserve"> </w:t>
      </w:r>
      <w:r>
        <w:rPr>
          <w:color w:val="231F20"/>
          <w:sz w:val="17"/>
        </w:rPr>
        <w:t>(1994)</w:t>
      </w:r>
      <w:r>
        <w:rPr>
          <w:color w:val="231F20"/>
          <w:spacing w:val="28"/>
          <w:sz w:val="17"/>
        </w:rPr>
        <w:t xml:space="preserve"> </w:t>
      </w:r>
      <w:r>
        <w:rPr>
          <w:color w:val="231F20"/>
          <w:sz w:val="17"/>
        </w:rPr>
        <w:t>Sport,</w:t>
      </w:r>
      <w:r>
        <w:rPr>
          <w:color w:val="231F20"/>
          <w:spacing w:val="28"/>
          <w:sz w:val="17"/>
        </w:rPr>
        <w:t xml:space="preserve"> </w:t>
      </w:r>
      <w:r>
        <w:rPr>
          <w:color w:val="231F20"/>
          <w:sz w:val="17"/>
        </w:rPr>
        <w:t>world</w:t>
      </w:r>
      <w:r>
        <w:rPr>
          <w:color w:val="231F20"/>
          <w:spacing w:val="28"/>
          <w:sz w:val="17"/>
        </w:rPr>
        <w:t xml:space="preserve"> </w:t>
      </w:r>
      <w:r>
        <w:rPr>
          <w:color w:val="231F20"/>
          <w:sz w:val="17"/>
        </w:rPr>
        <w:t>economy,</w:t>
      </w:r>
      <w:r>
        <w:rPr>
          <w:color w:val="231F20"/>
          <w:spacing w:val="28"/>
          <w:sz w:val="17"/>
        </w:rPr>
        <w:t xml:space="preserve"> </w:t>
      </w:r>
      <w:r>
        <w:rPr>
          <w:color w:val="231F20"/>
          <w:sz w:val="17"/>
        </w:rPr>
        <w:t>global</w:t>
      </w:r>
      <w:r>
        <w:rPr>
          <w:color w:val="231F20"/>
          <w:spacing w:val="28"/>
          <w:sz w:val="17"/>
        </w:rPr>
        <w:t xml:space="preserve"> </w:t>
      </w:r>
      <w:r>
        <w:rPr>
          <w:color w:val="231F20"/>
          <w:sz w:val="17"/>
        </w:rPr>
        <w:t>culture,</w:t>
      </w:r>
      <w:r>
        <w:rPr>
          <w:color w:val="231F20"/>
          <w:spacing w:val="28"/>
          <w:sz w:val="17"/>
        </w:rPr>
        <w:t xml:space="preserve"> </w:t>
      </w:r>
      <w:r>
        <w:rPr>
          <w:color w:val="231F20"/>
          <w:sz w:val="17"/>
        </w:rPr>
        <w:t>and</w:t>
      </w:r>
      <w:r>
        <w:rPr>
          <w:color w:val="231F20"/>
          <w:spacing w:val="28"/>
          <w:sz w:val="17"/>
        </w:rPr>
        <w:t xml:space="preserve"> </w:t>
      </w:r>
      <w:r>
        <w:rPr>
          <w:color w:val="231F20"/>
          <w:sz w:val="17"/>
        </w:rPr>
        <w:t>new</w:t>
      </w:r>
      <w:r>
        <w:rPr>
          <w:color w:val="231F20"/>
          <w:spacing w:val="28"/>
          <w:sz w:val="17"/>
        </w:rPr>
        <w:t xml:space="preserve"> </w:t>
      </w:r>
      <w:r>
        <w:rPr>
          <w:color w:val="231F20"/>
          <w:sz w:val="17"/>
        </w:rPr>
        <w:t>social</w:t>
      </w:r>
      <w:r>
        <w:rPr>
          <w:color w:val="231F20"/>
          <w:spacing w:val="40"/>
          <w:sz w:val="17"/>
        </w:rPr>
        <w:t xml:space="preserve"> </w:t>
      </w:r>
      <w:r>
        <w:rPr>
          <w:color w:val="231F20"/>
          <w:sz w:val="17"/>
        </w:rPr>
        <w:t xml:space="preserve">movements. </w:t>
      </w:r>
      <w:r>
        <w:rPr>
          <w:i/>
          <w:color w:val="231F20"/>
          <w:sz w:val="17"/>
        </w:rPr>
        <w:t xml:space="preserve">Sociology of Sport Journal </w:t>
      </w:r>
      <w:r>
        <w:rPr>
          <w:color w:val="231F20"/>
          <w:sz w:val="17"/>
        </w:rPr>
        <w:t>11 (4), 337–355.</w:t>
      </w:r>
    </w:p>
    <w:p w14:paraId="691C248A" w14:textId="77777777" w:rsidR="00AE0598" w:rsidRDefault="0069255A">
      <w:pPr>
        <w:spacing w:before="2"/>
        <w:ind w:left="430" w:hanging="320"/>
        <w:rPr>
          <w:sz w:val="17"/>
        </w:rPr>
      </w:pPr>
      <w:r>
        <w:rPr>
          <w:color w:val="231F20"/>
          <w:sz w:val="17"/>
        </w:rPr>
        <w:t>Harvey, J., Rail, G. and Thibault, I. (1996) Globalization and sport: Sketching a theoretical</w:t>
      </w:r>
      <w:r>
        <w:rPr>
          <w:color w:val="231F20"/>
          <w:spacing w:val="40"/>
          <w:sz w:val="17"/>
        </w:rPr>
        <w:t xml:space="preserve"> </w:t>
      </w:r>
      <w:r>
        <w:rPr>
          <w:color w:val="231F20"/>
          <w:sz w:val="17"/>
        </w:rPr>
        <w:t xml:space="preserve">model for empirical analyses. </w:t>
      </w:r>
      <w:r>
        <w:rPr>
          <w:i/>
          <w:color w:val="231F20"/>
          <w:sz w:val="17"/>
        </w:rPr>
        <w:t xml:space="preserve">Journal of Sport and Social Issues </w:t>
      </w:r>
      <w:r>
        <w:rPr>
          <w:color w:val="231F20"/>
          <w:sz w:val="17"/>
        </w:rPr>
        <w:t>23 (3), 258–277.</w:t>
      </w:r>
    </w:p>
    <w:p w14:paraId="77B2B059" w14:textId="77777777" w:rsidR="00AE0598" w:rsidRDefault="0069255A">
      <w:pPr>
        <w:spacing w:before="1"/>
        <w:ind w:left="430" w:hanging="320"/>
        <w:rPr>
          <w:sz w:val="17"/>
        </w:rPr>
      </w:pPr>
      <w:r>
        <w:rPr>
          <w:color w:val="231F20"/>
          <w:w w:val="105"/>
          <w:sz w:val="17"/>
        </w:rPr>
        <w:t xml:space="preserve">Harvey, J., Horne, J., Safai, P., Darnell, S. and Courchesne-O’Neill, S. (2013) </w:t>
      </w:r>
      <w:r>
        <w:rPr>
          <w:i/>
          <w:color w:val="231F20"/>
          <w:w w:val="105"/>
          <w:sz w:val="17"/>
        </w:rPr>
        <w:t>Sport and</w:t>
      </w:r>
      <w:r>
        <w:rPr>
          <w:i/>
          <w:color w:val="231F20"/>
          <w:spacing w:val="40"/>
          <w:w w:val="105"/>
          <w:sz w:val="17"/>
        </w:rPr>
        <w:t xml:space="preserve"> </w:t>
      </w:r>
      <w:r>
        <w:rPr>
          <w:i/>
          <w:color w:val="231F20"/>
          <w:w w:val="105"/>
          <w:sz w:val="17"/>
        </w:rPr>
        <w:t>Social Movements: From the Local to the Global</w:t>
      </w:r>
      <w:r>
        <w:rPr>
          <w:color w:val="231F20"/>
          <w:w w:val="105"/>
          <w:sz w:val="17"/>
        </w:rPr>
        <w:t>. London: Bloomsbury.</w:t>
      </w:r>
    </w:p>
    <w:p w14:paraId="1D244DF4" w14:textId="77777777" w:rsidR="00AE0598" w:rsidRDefault="0069255A">
      <w:pPr>
        <w:spacing w:before="2"/>
        <w:ind w:left="430" w:right="127" w:hanging="320"/>
        <w:rPr>
          <w:sz w:val="17"/>
        </w:rPr>
      </w:pPr>
      <w:r>
        <w:rPr>
          <w:color w:val="231F20"/>
          <w:sz w:val="17"/>
        </w:rPr>
        <w:t>Hawkins,</w:t>
      </w:r>
      <w:r>
        <w:rPr>
          <w:color w:val="231F20"/>
          <w:spacing w:val="-4"/>
          <w:sz w:val="17"/>
        </w:rPr>
        <w:t xml:space="preserve"> </w:t>
      </w:r>
      <w:r>
        <w:rPr>
          <w:color w:val="231F20"/>
          <w:sz w:val="17"/>
        </w:rPr>
        <w:t>D.E.</w:t>
      </w:r>
      <w:r>
        <w:rPr>
          <w:color w:val="231F20"/>
          <w:spacing w:val="-4"/>
          <w:sz w:val="17"/>
        </w:rPr>
        <w:t xml:space="preserve"> </w:t>
      </w:r>
      <w:r>
        <w:rPr>
          <w:color w:val="231F20"/>
          <w:sz w:val="17"/>
        </w:rPr>
        <w:t>and</w:t>
      </w:r>
      <w:r>
        <w:rPr>
          <w:color w:val="231F20"/>
          <w:spacing w:val="-4"/>
          <w:sz w:val="17"/>
        </w:rPr>
        <w:t xml:space="preserve"> </w:t>
      </w:r>
      <w:r>
        <w:rPr>
          <w:color w:val="231F20"/>
          <w:sz w:val="17"/>
        </w:rPr>
        <w:t>Mann,</w:t>
      </w:r>
      <w:r>
        <w:rPr>
          <w:color w:val="231F20"/>
          <w:spacing w:val="-4"/>
          <w:sz w:val="17"/>
        </w:rPr>
        <w:t xml:space="preserve"> </w:t>
      </w:r>
      <w:r>
        <w:rPr>
          <w:color w:val="231F20"/>
          <w:sz w:val="17"/>
        </w:rPr>
        <w:t>S.</w:t>
      </w:r>
      <w:r>
        <w:rPr>
          <w:color w:val="231F20"/>
          <w:spacing w:val="-4"/>
          <w:sz w:val="17"/>
        </w:rPr>
        <w:t xml:space="preserve"> </w:t>
      </w:r>
      <w:r>
        <w:rPr>
          <w:color w:val="231F20"/>
          <w:sz w:val="17"/>
        </w:rPr>
        <w:t>(2007)</w:t>
      </w:r>
      <w:r>
        <w:rPr>
          <w:color w:val="231F20"/>
          <w:spacing w:val="-4"/>
          <w:sz w:val="17"/>
        </w:rPr>
        <w:t xml:space="preserve"> </w:t>
      </w:r>
      <w:r>
        <w:rPr>
          <w:color w:val="231F20"/>
          <w:sz w:val="17"/>
        </w:rPr>
        <w:t>The</w:t>
      </w:r>
      <w:r>
        <w:rPr>
          <w:color w:val="231F20"/>
          <w:spacing w:val="-4"/>
          <w:sz w:val="17"/>
        </w:rPr>
        <w:t xml:space="preserve"> </w:t>
      </w:r>
      <w:r>
        <w:rPr>
          <w:color w:val="231F20"/>
          <w:sz w:val="17"/>
        </w:rPr>
        <w:t>World</w:t>
      </w:r>
      <w:r>
        <w:rPr>
          <w:color w:val="231F20"/>
          <w:spacing w:val="-4"/>
          <w:sz w:val="17"/>
        </w:rPr>
        <w:t xml:space="preserve"> </w:t>
      </w:r>
      <w:r>
        <w:rPr>
          <w:color w:val="231F20"/>
          <w:sz w:val="17"/>
        </w:rPr>
        <w:t>Bank’s</w:t>
      </w:r>
      <w:r>
        <w:rPr>
          <w:color w:val="231F20"/>
          <w:spacing w:val="-4"/>
          <w:sz w:val="17"/>
        </w:rPr>
        <w:t xml:space="preserve"> </w:t>
      </w:r>
      <w:r>
        <w:rPr>
          <w:color w:val="231F20"/>
          <w:sz w:val="17"/>
        </w:rPr>
        <w:t>role</w:t>
      </w:r>
      <w:r>
        <w:rPr>
          <w:color w:val="231F20"/>
          <w:spacing w:val="-4"/>
          <w:sz w:val="17"/>
        </w:rPr>
        <w:t xml:space="preserve"> </w:t>
      </w:r>
      <w:r>
        <w:rPr>
          <w:color w:val="231F20"/>
          <w:sz w:val="17"/>
        </w:rPr>
        <w:t>in</w:t>
      </w:r>
      <w:r>
        <w:rPr>
          <w:color w:val="231F20"/>
          <w:spacing w:val="-4"/>
          <w:sz w:val="17"/>
        </w:rPr>
        <w:t xml:space="preserve"> </w:t>
      </w:r>
      <w:r>
        <w:rPr>
          <w:color w:val="231F20"/>
          <w:sz w:val="17"/>
        </w:rPr>
        <w:t>tourism</w:t>
      </w:r>
      <w:r>
        <w:rPr>
          <w:color w:val="231F20"/>
          <w:spacing w:val="-4"/>
          <w:sz w:val="17"/>
        </w:rPr>
        <w:t xml:space="preserve"> </w:t>
      </w:r>
      <w:r>
        <w:rPr>
          <w:color w:val="231F20"/>
          <w:sz w:val="17"/>
        </w:rPr>
        <w:t>development.</w:t>
      </w:r>
      <w:r>
        <w:rPr>
          <w:color w:val="231F20"/>
          <w:spacing w:val="-4"/>
          <w:sz w:val="17"/>
        </w:rPr>
        <w:t xml:space="preserve"> </w:t>
      </w:r>
      <w:r>
        <w:rPr>
          <w:i/>
          <w:color w:val="231F20"/>
          <w:sz w:val="17"/>
        </w:rPr>
        <w:t>Annals</w:t>
      </w:r>
      <w:r>
        <w:rPr>
          <w:i/>
          <w:color w:val="231F20"/>
          <w:spacing w:val="40"/>
          <w:sz w:val="17"/>
        </w:rPr>
        <w:t xml:space="preserve"> </w:t>
      </w:r>
      <w:r>
        <w:rPr>
          <w:i/>
          <w:color w:val="231F20"/>
          <w:sz w:val="17"/>
        </w:rPr>
        <w:t xml:space="preserve">of Tourism Research </w:t>
      </w:r>
      <w:r>
        <w:rPr>
          <w:color w:val="231F20"/>
          <w:sz w:val="17"/>
        </w:rPr>
        <w:t>34, 348–363.</w:t>
      </w:r>
    </w:p>
    <w:p w14:paraId="14CF5ACA" w14:textId="77777777" w:rsidR="00AE0598" w:rsidRDefault="00AE0598">
      <w:pPr>
        <w:rPr>
          <w:sz w:val="17"/>
        </w:rPr>
        <w:sectPr w:rsidR="00AE0598">
          <w:pgSz w:w="8850" w:h="13270"/>
          <w:pgMar w:top="720" w:right="1060" w:bottom="280" w:left="1080" w:header="720" w:footer="720" w:gutter="0"/>
          <w:cols w:space="720"/>
        </w:sectPr>
      </w:pPr>
    </w:p>
    <w:p w14:paraId="71DAC65B" w14:textId="77777777" w:rsidR="00AE0598" w:rsidRDefault="0069255A">
      <w:pPr>
        <w:spacing w:before="87"/>
        <w:ind w:left="110" w:right="128"/>
        <w:jc w:val="right"/>
        <w:rPr>
          <w:rFonts w:ascii="Trebuchet MS"/>
          <w:sz w:val="14"/>
        </w:rPr>
      </w:pPr>
      <w:r>
        <w:rPr>
          <w:rFonts w:ascii="Trebuchet MS"/>
          <w:color w:val="231F20"/>
          <w:w w:val="105"/>
          <w:sz w:val="14"/>
        </w:rPr>
        <w:lastRenderedPageBreak/>
        <w:t>References</w:t>
      </w:r>
      <w:r>
        <w:rPr>
          <w:rFonts w:ascii="Trebuchet MS"/>
          <w:color w:val="231F20"/>
          <w:spacing w:val="67"/>
          <w:w w:val="105"/>
          <w:sz w:val="14"/>
        </w:rPr>
        <w:t xml:space="preserve"> </w:t>
      </w:r>
      <w:r>
        <w:rPr>
          <w:rFonts w:ascii="Trebuchet MS"/>
          <w:color w:val="231F20"/>
          <w:spacing w:val="-5"/>
          <w:w w:val="105"/>
          <w:sz w:val="14"/>
        </w:rPr>
        <w:t>253</w:t>
      </w:r>
    </w:p>
    <w:p w14:paraId="70F87C21" w14:textId="77777777" w:rsidR="00AE0598" w:rsidRDefault="00AE0598">
      <w:pPr>
        <w:pStyle w:val="Corpodetexto"/>
        <w:rPr>
          <w:rFonts w:ascii="Trebuchet MS"/>
          <w:sz w:val="16"/>
        </w:rPr>
      </w:pPr>
    </w:p>
    <w:p w14:paraId="07BEED8F" w14:textId="77777777" w:rsidR="00AE0598" w:rsidRDefault="0069255A">
      <w:pPr>
        <w:spacing w:before="121"/>
        <w:ind w:left="430" w:right="128" w:hanging="320"/>
        <w:jc w:val="both"/>
        <w:rPr>
          <w:sz w:val="17"/>
        </w:rPr>
      </w:pPr>
      <w:r>
        <w:rPr>
          <w:color w:val="231F20"/>
          <w:w w:val="95"/>
          <w:sz w:val="17"/>
        </w:rPr>
        <w:t xml:space="preserve">Hawkins, P. (1999) Sports Tourism in the Peak National Park. In M. Scarrott (ed.) </w:t>
      </w:r>
      <w:r>
        <w:rPr>
          <w:i/>
          <w:color w:val="231F20"/>
          <w:w w:val="95"/>
          <w:sz w:val="17"/>
        </w:rPr>
        <w:t>Exploring</w:t>
      </w:r>
      <w:r>
        <w:rPr>
          <w:i/>
          <w:color w:val="231F20"/>
          <w:spacing w:val="40"/>
          <w:sz w:val="17"/>
        </w:rPr>
        <w:t xml:space="preserve"> </w:t>
      </w:r>
      <w:r>
        <w:rPr>
          <w:i/>
          <w:color w:val="231F20"/>
          <w:sz w:val="17"/>
        </w:rPr>
        <w:t>Sports Tourism: Proceedings of a SPRIG Seminar Held at the University of Sheffield on</w:t>
      </w:r>
      <w:r>
        <w:rPr>
          <w:i/>
          <w:color w:val="231F20"/>
          <w:spacing w:val="40"/>
          <w:sz w:val="17"/>
        </w:rPr>
        <w:t xml:space="preserve"> </w:t>
      </w:r>
      <w:r>
        <w:rPr>
          <w:i/>
          <w:color w:val="231F20"/>
          <w:sz w:val="17"/>
        </w:rPr>
        <w:t xml:space="preserve">15 April 1999 </w:t>
      </w:r>
      <w:r>
        <w:rPr>
          <w:color w:val="231F20"/>
          <w:sz w:val="17"/>
        </w:rPr>
        <w:t>(pp. 38–45). Sheffield: Sheffield Hallam University.</w:t>
      </w:r>
    </w:p>
    <w:p w14:paraId="42AC4C42" w14:textId="77777777" w:rsidR="00AE0598" w:rsidRDefault="0069255A">
      <w:pPr>
        <w:spacing w:before="2"/>
        <w:ind w:left="430" w:right="127" w:hanging="320"/>
        <w:jc w:val="both"/>
        <w:rPr>
          <w:sz w:val="17"/>
        </w:rPr>
      </w:pPr>
      <w:r>
        <w:rPr>
          <w:color w:val="231F20"/>
          <w:sz w:val="17"/>
        </w:rPr>
        <w:t>Heath, E.T.</w:t>
      </w:r>
      <w:r>
        <w:rPr>
          <w:color w:val="231F20"/>
          <w:sz w:val="17"/>
        </w:rPr>
        <w:t xml:space="preserve"> and Kruger, E.A. (2015) Spectators’ contribution to the environmental</w:t>
      </w:r>
      <w:r>
        <w:rPr>
          <w:color w:val="231F20"/>
          <w:spacing w:val="40"/>
          <w:sz w:val="17"/>
        </w:rPr>
        <w:t xml:space="preserve"> </w:t>
      </w:r>
      <w:r>
        <w:rPr>
          <w:color w:val="231F20"/>
          <w:sz w:val="17"/>
        </w:rPr>
        <w:t>dimension</w:t>
      </w:r>
      <w:r>
        <w:rPr>
          <w:color w:val="231F20"/>
          <w:spacing w:val="-6"/>
          <w:sz w:val="17"/>
        </w:rPr>
        <w:t xml:space="preserve"> </w:t>
      </w:r>
      <w:r>
        <w:rPr>
          <w:color w:val="231F20"/>
          <w:sz w:val="17"/>
        </w:rPr>
        <w:t>of</w:t>
      </w:r>
      <w:r>
        <w:rPr>
          <w:color w:val="231F20"/>
          <w:spacing w:val="-6"/>
          <w:sz w:val="17"/>
        </w:rPr>
        <w:t xml:space="preserve"> </w:t>
      </w:r>
      <w:r>
        <w:rPr>
          <w:color w:val="231F20"/>
          <w:sz w:val="17"/>
        </w:rPr>
        <w:t>sustainable</w:t>
      </w:r>
      <w:r>
        <w:rPr>
          <w:color w:val="231F20"/>
          <w:spacing w:val="-6"/>
          <w:sz w:val="17"/>
        </w:rPr>
        <w:t xml:space="preserve"> </w:t>
      </w:r>
      <w:r>
        <w:rPr>
          <w:color w:val="231F20"/>
          <w:sz w:val="17"/>
        </w:rPr>
        <w:t>event</w:t>
      </w:r>
      <w:r>
        <w:rPr>
          <w:color w:val="231F20"/>
          <w:spacing w:val="-6"/>
          <w:sz w:val="17"/>
        </w:rPr>
        <w:t xml:space="preserve"> </w:t>
      </w:r>
      <w:r>
        <w:rPr>
          <w:color w:val="231F20"/>
          <w:sz w:val="17"/>
        </w:rPr>
        <w:t>sports</w:t>
      </w:r>
      <w:r>
        <w:rPr>
          <w:color w:val="231F20"/>
          <w:spacing w:val="-6"/>
          <w:sz w:val="17"/>
        </w:rPr>
        <w:t xml:space="preserve"> </w:t>
      </w:r>
      <w:r>
        <w:rPr>
          <w:color w:val="231F20"/>
          <w:sz w:val="17"/>
        </w:rPr>
        <w:t>tourism.</w:t>
      </w:r>
      <w:r>
        <w:rPr>
          <w:color w:val="231F20"/>
          <w:spacing w:val="-6"/>
          <w:sz w:val="17"/>
        </w:rPr>
        <w:t xml:space="preserve"> </w:t>
      </w:r>
      <w:r>
        <w:rPr>
          <w:color w:val="231F20"/>
          <w:sz w:val="17"/>
        </w:rPr>
        <w:t>Unpublished</w:t>
      </w:r>
      <w:r>
        <w:rPr>
          <w:color w:val="231F20"/>
          <w:spacing w:val="-6"/>
          <w:sz w:val="17"/>
        </w:rPr>
        <w:t xml:space="preserve"> </w:t>
      </w:r>
      <w:r>
        <w:rPr>
          <w:color w:val="231F20"/>
          <w:sz w:val="17"/>
        </w:rPr>
        <w:t>PhD</w:t>
      </w:r>
      <w:r>
        <w:rPr>
          <w:color w:val="231F20"/>
          <w:spacing w:val="-6"/>
          <w:sz w:val="17"/>
        </w:rPr>
        <w:t xml:space="preserve"> </w:t>
      </w:r>
      <w:r>
        <w:rPr>
          <w:color w:val="231F20"/>
          <w:sz w:val="17"/>
        </w:rPr>
        <w:t>thesis,</w:t>
      </w:r>
      <w:r>
        <w:rPr>
          <w:color w:val="231F20"/>
          <w:spacing w:val="-6"/>
          <w:sz w:val="17"/>
        </w:rPr>
        <w:t xml:space="preserve"> </w:t>
      </w:r>
      <w:r>
        <w:rPr>
          <w:color w:val="231F20"/>
          <w:sz w:val="17"/>
        </w:rPr>
        <w:t>University</w:t>
      </w:r>
      <w:r>
        <w:rPr>
          <w:color w:val="231F20"/>
          <w:spacing w:val="-6"/>
          <w:sz w:val="17"/>
        </w:rPr>
        <w:t xml:space="preserve"> </w:t>
      </w:r>
      <w:r>
        <w:rPr>
          <w:color w:val="231F20"/>
          <w:sz w:val="17"/>
        </w:rPr>
        <w:t>of</w:t>
      </w:r>
      <w:r>
        <w:rPr>
          <w:color w:val="231F20"/>
          <w:spacing w:val="40"/>
          <w:sz w:val="17"/>
        </w:rPr>
        <w:t xml:space="preserve"> </w:t>
      </w:r>
      <w:r>
        <w:rPr>
          <w:color w:val="231F20"/>
          <w:spacing w:val="-2"/>
          <w:sz w:val="17"/>
        </w:rPr>
        <w:t>Pretoria.</w:t>
      </w:r>
    </w:p>
    <w:p w14:paraId="66F65A7D" w14:textId="77777777" w:rsidR="00AE0598" w:rsidRDefault="0069255A">
      <w:pPr>
        <w:spacing w:before="2"/>
        <w:ind w:left="110"/>
        <w:jc w:val="both"/>
        <w:rPr>
          <w:sz w:val="17"/>
        </w:rPr>
      </w:pPr>
      <w:r>
        <w:rPr>
          <w:color w:val="231F20"/>
          <w:sz w:val="17"/>
        </w:rPr>
        <w:t>Hede,</w:t>
      </w:r>
      <w:r>
        <w:rPr>
          <w:color w:val="231F20"/>
          <w:spacing w:val="39"/>
          <w:sz w:val="17"/>
        </w:rPr>
        <w:t xml:space="preserve"> </w:t>
      </w:r>
      <w:r>
        <w:rPr>
          <w:color w:val="231F20"/>
          <w:sz w:val="17"/>
        </w:rPr>
        <w:t>A.M.</w:t>
      </w:r>
      <w:r>
        <w:rPr>
          <w:color w:val="231F20"/>
          <w:spacing w:val="40"/>
          <w:sz w:val="17"/>
        </w:rPr>
        <w:t xml:space="preserve"> </w:t>
      </w:r>
      <w:r>
        <w:rPr>
          <w:color w:val="231F20"/>
          <w:sz w:val="17"/>
        </w:rPr>
        <w:t>and</w:t>
      </w:r>
      <w:r>
        <w:rPr>
          <w:color w:val="231F20"/>
          <w:spacing w:val="40"/>
          <w:sz w:val="17"/>
        </w:rPr>
        <w:t xml:space="preserve"> </w:t>
      </w:r>
      <w:r>
        <w:rPr>
          <w:color w:val="231F20"/>
          <w:sz w:val="17"/>
        </w:rPr>
        <w:t>Kellett,</w:t>
      </w:r>
      <w:r>
        <w:rPr>
          <w:color w:val="231F20"/>
          <w:spacing w:val="39"/>
          <w:sz w:val="17"/>
        </w:rPr>
        <w:t xml:space="preserve"> </w:t>
      </w:r>
      <w:r>
        <w:rPr>
          <w:color w:val="231F20"/>
          <w:sz w:val="17"/>
        </w:rPr>
        <w:t>P.</w:t>
      </w:r>
      <w:r>
        <w:rPr>
          <w:color w:val="231F20"/>
          <w:spacing w:val="40"/>
          <w:sz w:val="17"/>
        </w:rPr>
        <w:t xml:space="preserve"> </w:t>
      </w:r>
      <w:r>
        <w:rPr>
          <w:color w:val="231F20"/>
          <w:sz w:val="17"/>
        </w:rPr>
        <w:t>(2010)</w:t>
      </w:r>
      <w:r>
        <w:rPr>
          <w:color w:val="231F20"/>
          <w:spacing w:val="40"/>
          <w:sz w:val="17"/>
        </w:rPr>
        <w:t xml:space="preserve"> </w:t>
      </w:r>
      <w:r>
        <w:rPr>
          <w:color w:val="231F20"/>
          <w:sz w:val="17"/>
        </w:rPr>
        <w:t>Why</w:t>
      </w:r>
      <w:r>
        <w:rPr>
          <w:color w:val="231F20"/>
          <w:spacing w:val="39"/>
          <w:sz w:val="17"/>
        </w:rPr>
        <w:t xml:space="preserve"> </w:t>
      </w:r>
      <w:r>
        <w:rPr>
          <w:color w:val="231F20"/>
          <w:sz w:val="17"/>
        </w:rPr>
        <w:t>develop</w:t>
      </w:r>
      <w:r>
        <w:rPr>
          <w:color w:val="231F20"/>
          <w:spacing w:val="40"/>
          <w:sz w:val="17"/>
        </w:rPr>
        <w:t xml:space="preserve"> </w:t>
      </w:r>
      <w:r>
        <w:rPr>
          <w:color w:val="231F20"/>
          <w:sz w:val="17"/>
        </w:rPr>
        <w:t>Melbourne</w:t>
      </w:r>
      <w:r>
        <w:rPr>
          <w:color w:val="231F20"/>
          <w:spacing w:val="40"/>
          <w:sz w:val="17"/>
        </w:rPr>
        <w:t xml:space="preserve"> </w:t>
      </w:r>
      <w:r>
        <w:rPr>
          <w:color w:val="231F20"/>
          <w:sz w:val="17"/>
        </w:rPr>
        <w:t>Park?</w:t>
      </w:r>
      <w:r>
        <w:rPr>
          <w:color w:val="231F20"/>
          <w:spacing w:val="39"/>
          <w:sz w:val="17"/>
        </w:rPr>
        <w:t xml:space="preserve"> </w:t>
      </w:r>
      <w:r>
        <w:rPr>
          <w:color w:val="231F20"/>
          <w:sz w:val="17"/>
        </w:rPr>
        <w:t>In</w:t>
      </w:r>
      <w:r>
        <w:rPr>
          <w:color w:val="231F20"/>
          <w:spacing w:val="40"/>
          <w:sz w:val="17"/>
        </w:rPr>
        <w:t xml:space="preserve"> </w:t>
      </w:r>
      <w:r>
        <w:rPr>
          <w:color w:val="231F20"/>
          <w:sz w:val="17"/>
        </w:rPr>
        <w:t>T.D.</w:t>
      </w:r>
      <w:r>
        <w:rPr>
          <w:color w:val="231F20"/>
          <w:spacing w:val="40"/>
          <w:sz w:val="17"/>
        </w:rPr>
        <w:t xml:space="preserve"> </w:t>
      </w:r>
      <w:r>
        <w:rPr>
          <w:color w:val="231F20"/>
          <w:sz w:val="17"/>
        </w:rPr>
        <w:t>Hinch</w:t>
      </w:r>
      <w:r>
        <w:rPr>
          <w:color w:val="231F20"/>
          <w:spacing w:val="39"/>
          <w:sz w:val="17"/>
        </w:rPr>
        <w:t xml:space="preserve"> </w:t>
      </w:r>
      <w:r>
        <w:rPr>
          <w:color w:val="231F20"/>
          <w:spacing w:val="-5"/>
          <w:sz w:val="17"/>
        </w:rPr>
        <w:t>and</w:t>
      </w:r>
    </w:p>
    <w:p w14:paraId="13FA5770" w14:textId="77777777" w:rsidR="00AE0598" w:rsidRDefault="0069255A">
      <w:pPr>
        <w:spacing w:before="1"/>
        <w:ind w:left="430" w:right="128"/>
        <w:jc w:val="both"/>
        <w:rPr>
          <w:sz w:val="17"/>
        </w:rPr>
      </w:pPr>
      <w:r>
        <w:rPr>
          <w:color w:val="231F20"/>
          <w:sz w:val="17"/>
        </w:rPr>
        <w:t xml:space="preserve">J.E.S. Higham (eds) </w:t>
      </w:r>
      <w:r>
        <w:rPr>
          <w:i/>
          <w:color w:val="231F20"/>
          <w:sz w:val="17"/>
        </w:rPr>
        <w:t xml:space="preserve">Sport Tourism Development </w:t>
      </w:r>
      <w:r>
        <w:rPr>
          <w:color w:val="231F20"/>
          <w:sz w:val="17"/>
        </w:rPr>
        <w:t>(2nd edn). Bristol: Channel View</w:t>
      </w:r>
      <w:r>
        <w:rPr>
          <w:color w:val="231F20"/>
          <w:spacing w:val="40"/>
          <w:sz w:val="17"/>
        </w:rPr>
        <w:t xml:space="preserve"> </w:t>
      </w:r>
      <w:r>
        <w:rPr>
          <w:color w:val="231F20"/>
          <w:spacing w:val="-2"/>
          <w:sz w:val="17"/>
        </w:rPr>
        <w:t>Publications.</w:t>
      </w:r>
    </w:p>
    <w:p w14:paraId="05F917FE" w14:textId="77777777" w:rsidR="00AE0598" w:rsidRDefault="0069255A">
      <w:pPr>
        <w:spacing w:before="1"/>
        <w:ind w:left="430" w:right="127" w:hanging="320"/>
        <w:jc w:val="both"/>
        <w:rPr>
          <w:sz w:val="17"/>
        </w:rPr>
      </w:pPr>
      <w:r>
        <w:rPr>
          <w:color w:val="231F20"/>
          <w:sz w:val="17"/>
        </w:rPr>
        <w:t>Hein, L., Metzger, M. and Moren, A. (2009) Potential impacts of climate change on</w:t>
      </w:r>
      <w:r>
        <w:rPr>
          <w:color w:val="231F20"/>
          <w:spacing w:val="40"/>
          <w:sz w:val="17"/>
        </w:rPr>
        <w:t xml:space="preserve"> </w:t>
      </w:r>
      <w:r>
        <w:rPr>
          <w:color w:val="231F20"/>
          <w:sz w:val="17"/>
        </w:rPr>
        <w:t>tourism:</w:t>
      </w:r>
      <w:r>
        <w:rPr>
          <w:color w:val="231F20"/>
          <w:spacing w:val="37"/>
          <w:sz w:val="17"/>
        </w:rPr>
        <w:t xml:space="preserve"> </w:t>
      </w:r>
      <w:r>
        <w:rPr>
          <w:color w:val="231F20"/>
          <w:sz w:val="17"/>
        </w:rPr>
        <w:t>A</w:t>
      </w:r>
      <w:r>
        <w:rPr>
          <w:color w:val="231F20"/>
          <w:spacing w:val="37"/>
          <w:sz w:val="17"/>
        </w:rPr>
        <w:t xml:space="preserve"> </w:t>
      </w:r>
      <w:r>
        <w:rPr>
          <w:color w:val="231F20"/>
          <w:sz w:val="17"/>
        </w:rPr>
        <w:t>case</w:t>
      </w:r>
      <w:r>
        <w:rPr>
          <w:color w:val="231F20"/>
          <w:spacing w:val="37"/>
          <w:sz w:val="17"/>
        </w:rPr>
        <w:t xml:space="preserve"> </w:t>
      </w:r>
      <w:r>
        <w:rPr>
          <w:color w:val="231F20"/>
          <w:sz w:val="17"/>
        </w:rPr>
        <w:t>study</w:t>
      </w:r>
      <w:r>
        <w:rPr>
          <w:color w:val="231F20"/>
          <w:spacing w:val="37"/>
          <w:sz w:val="17"/>
        </w:rPr>
        <w:t xml:space="preserve"> </w:t>
      </w:r>
      <w:r>
        <w:rPr>
          <w:color w:val="231F20"/>
          <w:sz w:val="17"/>
        </w:rPr>
        <w:t>for</w:t>
      </w:r>
      <w:r>
        <w:rPr>
          <w:color w:val="231F20"/>
          <w:spacing w:val="37"/>
          <w:sz w:val="17"/>
        </w:rPr>
        <w:t xml:space="preserve"> </w:t>
      </w:r>
      <w:r>
        <w:rPr>
          <w:color w:val="231F20"/>
          <w:sz w:val="17"/>
        </w:rPr>
        <w:t>Spain.</w:t>
      </w:r>
      <w:r>
        <w:rPr>
          <w:color w:val="231F20"/>
          <w:spacing w:val="37"/>
          <w:sz w:val="17"/>
        </w:rPr>
        <w:t xml:space="preserve"> </w:t>
      </w:r>
      <w:r>
        <w:rPr>
          <w:i/>
          <w:color w:val="231F20"/>
          <w:sz w:val="17"/>
        </w:rPr>
        <w:t>Current</w:t>
      </w:r>
      <w:r>
        <w:rPr>
          <w:i/>
          <w:color w:val="231F20"/>
          <w:spacing w:val="37"/>
          <w:sz w:val="17"/>
        </w:rPr>
        <w:t xml:space="preserve"> </w:t>
      </w:r>
      <w:r>
        <w:rPr>
          <w:i/>
          <w:color w:val="231F20"/>
          <w:sz w:val="17"/>
        </w:rPr>
        <w:t>Opinion</w:t>
      </w:r>
      <w:r>
        <w:rPr>
          <w:i/>
          <w:color w:val="231F20"/>
          <w:spacing w:val="37"/>
          <w:sz w:val="17"/>
        </w:rPr>
        <w:t xml:space="preserve"> </w:t>
      </w:r>
      <w:r>
        <w:rPr>
          <w:i/>
          <w:color w:val="231F20"/>
          <w:sz w:val="17"/>
        </w:rPr>
        <w:t>in</w:t>
      </w:r>
      <w:r>
        <w:rPr>
          <w:i/>
          <w:color w:val="231F20"/>
          <w:spacing w:val="37"/>
          <w:sz w:val="17"/>
        </w:rPr>
        <w:t xml:space="preserve"> </w:t>
      </w:r>
      <w:r>
        <w:rPr>
          <w:i/>
          <w:color w:val="231F20"/>
          <w:sz w:val="17"/>
        </w:rPr>
        <w:t>Environmental</w:t>
      </w:r>
      <w:r>
        <w:rPr>
          <w:i/>
          <w:color w:val="231F20"/>
          <w:spacing w:val="37"/>
          <w:sz w:val="17"/>
        </w:rPr>
        <w:t xml:space="preserve"> </w:t>
      </w:r>
      <w:r>
        <w:rPr>
          <w:i/>
          <w:color w:val="231F20"/>
          <w:sz w:val="17"/>
        </w:rPr>
        <w:t>Sustainability</w:t>
      </w:r>
      <w:r>
        <w:rPr>
          <w:i/>
          <w:color w:val="231F20"/>
          <w:spacing w:val="40"/>
          <w:sz w:val="17"/>
        </w:rPr>
        <w:t xml:space="preserve"> </w:t>
      </w:r>
      <w:r>
        <w:rPr>
          <w:color w:val="231F20"/>
          <w:sz w:val="17"/>
        </w:rPr>
        <w:t>1, 170–178.</w:t>
      </w:r>
    </w:p>
    <w:p w14:paraId="401A1682" w14:textId="77777777" w:rsidR="00AE0598" w:rsidRDefault="0069255A">
      <w:pPr>
        <w:spacing w:before="2"/>
        <w:ind w:left="110"/>
        <w:jc w:val="both"/>
        <w:rPr>
          <w:i/>
          <w:sz w:val="17"/>
        </w:rPr>
      </w:pPr>
      <w:r>
        <w:rPr>
          <w:color w:val="231F20"/>
          <w:sz w:val="17"/>
        </w:rPr>
        <w:t>Heino,</w:t>
      </w:r>
      <w:r>
        <w:rPr>
          <w:color w:val="231F20"/>
          <w:spacing w:val="1"/>
          <w:sz w:val="17"/>
        </w:rPr>
        <w:t xml:space="preserve"> </w:t>
      </w:r>
      <w:r>
        <w:rPr>
          <w:color w:val="231F20"/>
          <w:sz w:val="17"/>
        </w:rPr>
        <w:t>R.</w:t>
      </w:r>
      <w:r>
        <w:rPr>
          <w:color w:val="231F20"/>
          <w:spacing w:val="2"/>
          <w:sz w:val="17"/>
        </w:rPr>
        <w:t xml:space="preserve"> </w:t>
      </w:r>
      <w:r>
        <w:rPr>
          <w:color w:val="231F20"/>
          <w:sz w:val="17"/>
        </w:rPr>
        <w:t>(2000)</w:t>
      </w:r>
      <w:r>
        <w:rPr>
          <w:color w:val="231F20"/>
          <w:spacing w:val="2"/>
          <w:sz w:val="17"/>
        </w:rPr>
        <w:t xml:space="preserve"> </w:t>
      </w:r>
      <w:r>
        <w:rPr>
          <w:color w:val="231F20"/>
          <w:sz w:val="17"/>
        </w:rPr>
        <w:t>What</w:t>
      </w:r>
      <w:r>
        <w:rPr>
          <w:color w:val="231F20"/>
          <w:spacing w:val="2"/>
          <w:sz w:val="17"/>
        </w:rPr>
        <w:t xml:space="preserve"> </w:t>
      </w:r>
      <w:r>
        <w:rPr>
          <w:color w:val="231F20"/>
          <w:sz w:val="17"/>
        </w:rPr>
        <w:t>is</w:t>
      </w:r>
      <w:r>
        <w:rPr>
          <w:color w:val="231F20"/>
          <w:spacing w:val="2"/>
          <w:sz w:val="17"/>
        </w:rPr>
        <w:t xml:space="preserve"> </w:t>
      </w:r>
      <w:r>
        <w:rPr>
          <w:color w:val="231F20"/>
          <w:sz w:val="17"/>
        </w:rPr>
        <w:t>so</w:t>
      </w:r>
      <w:r>
        <w:rPr>
          <w:color w:val="231F20"/>
          <w:spacing w:val="2"/>
          <w:sz w:val="17"/>
        </w:rPr>
        <w:t xml:space="preserve"> </w:t>
      </w:r>
      <w:r>
        <w:rPr>
          <w:color w:val="231F20"/>
          <w:sz w:val="17"/>
        </w:rPr>
        <w:t>punk</w:t>
      </w:r>
      <w:r>
        <w:rPr>
          <w:color w:val="231F20"/>
          <w:spacing w:val="2"/>
          <w:sz w:val="17"/>
        </w:rPr>
        <w:t xml:space="preserve"> </w:t>
      </w:r>
      <w:r>
        <w:rPr>
          <w:color w:val="231F20"/>
          <w:sz w:val="17"/>
        </w:rPr>
        <w:t>about</w:t>
      </w:r>
      <w:r>
        <w:rPr>
          <w:color w:val="231F20"/>
          <w:spacing w:val="2"/>
          <w:sz w:val="17"/>
        </w:rPr>
        <w:t xml:space="preserve"> </w:t>
      </w:r>
      <w:r>
        <w:rPr>
          <w:color w:val="231F20"/>
          <w:sz w:val="17"/>
        </w:rPr>
        <w:t>snowboarding?</w:t>
      </w:r>
      <w:r>
        <w:rPr>
          <w:color w:val="231F20"/>
          <w:spacing w:val="2"/>
          <w:sz w:val="17"/>
        </w:rPr>
        <w:t xml:space="preserve"> </w:t>
      </w:r>
      <w:r>
        <w:rPr>
          <w:i/>
          <w:color w:val="231F20"/>
          <w:sz w:val="17"/>
        </w:rPr>
        <w:t>Journal</w:t>
      </w:r>
      <w:r>
        <w:rPr>
          <w:i/>
          <w:color w:val="231F20"/>
          <w:spacing w:val="2"/>
          <w:sz w:val="17"/>
        </w:rPr>
        <w:t xml:space="preserve"> </w:t>
      </w:r>
      <w:r>
        <w:rPr>
          <w:i/>
          <w:color w:val="231F20"/>
          <w:sz w:val="17"/>
        </w:rPr>
        <w:t>of</w:t>
      </w:r>
      <w:r>
        <w:rPr>
          <w:i/>
          <w:color w:val="231F20"/>
          <w:spacing w:val="2"/>
          <w:sz w:val="17"/>
        </w:rPr>
        <w:t xml:space="preserve"> </w:t>
      </w:r>
      <w:r>
        <w:rPr>
          <w:i/>
          <w:color w:val="231F20"/>
          <w:sz w:val="17"/>
        </w:rPr>
        <w:t>Sport</w:t>
      </w:r>
      <w:r>
        <w:rPr>
          <w:i/>
          <w:color w:val="231F20"/>
          <w:spacing w:val="1"/>
          <w:sz w:val="17"/>
        </w:rPr>
        <w:t xml:space="preserve"> </w:t>
      </w:r>
      <w:r>
        <w:rPr>
          <w:i/>
          <w:color w:val="231F20"/>
          <w:sz w:val="17"/>
        </w:rPr>
        <w:t>and</w:t>
      </w:r>
      <w:r>
        <w:rPr>
          <w:i/>
          <w:color w:val="231F20"/>
          <w:spacing w:val="2"/>
          <w:sz w:val="17"/>
        </w:rPr>
        <w:t xml:space="preserve"> </w:t>
      </w:r>
      <w:r>
        <w:rPr>
          <w:i/>
          <w:color w:val="231F20"/>
          <w:sz w:val="17"/>
        </w:rPr>
        <w:t>Social</w:t>
      </w:r>
      <w:r>
        <w:rPr>
          <w:i/>
          <w:color w:val="231F20"/>
          <w:spacing w:val="2"/>
          <w:sz w:val="17"/>
        </w:rPr>
        <w:t xml:space="preserve"> </w:t>
      </w:r>
      <w:r>
        <w:rPr>
          <w:i/>
          <w:color w:val="231F20"/>
          <w:spacing w:val="-2"/>
          <w:sz w:val="17"/>
        </w:rPr>
        <w:t>Issues</w:t>
      </w:r>
    </w:p>
    <w:p w14:paraId="43DE4BA6" w14:textId="77777777" w:rsidR="00AE0598" w:rsidRDefault="0069255A">
      <w:pPr>
        <w:spacing w:before="1"/>
        <w:ind w:left="430"/>
        <w:jc w:val="both"/>
        <w:rPr>
          <w:sz w:val="17"/>
        </w:rPr>
      </w:pPr>
      <w:r>
        <w:rPr>
          <w:color w:val="231F20"/>
          <w:w w:val="90"/>
          <w:sz w:val="17"/>
        </w:rPr>
        <w:t>24</w:t>
      </w:r>
      <w:r>
        <w:rPr>
          <w:color w:val="231F20"/>
          <w:spacing w:val="-2"/>
          <w:sz w:val="17"/>
        </w:rPr>
        <w:t xml:space="preserve"> </w:t>
      </w:r>
      <w:r>
        <w:rPr>
          <w:color w:val="231F20"/>
          <w:w w:val="90"/>
          <w:sz w:val="17"/>
        </w:rPr>
        <w:t>(1),</w:t>
      </w:r>
      <w:r>
        <w:rPr>
          <w:color w:val="231F20"/>
          <w:spacing w:val="-2"/>
          <w:sz w:val="17"/>
        </w:rPr>
        <w:t xml:space="preserve"> </w:t>
      </w:r>
      <w:r>
        <w:rPr>
          <w:color w:val="231F20"/>
          <w:spacing w:val="-2"/>
          <w:w w:val="90"/>
          <w:sz w:val="17"/>
        </w:rPr>
        <w:t>176–191.</w:t>
      </w:r>
    </w:p>
    <w:p w14:paraId="4208F1A7" w14:textId="77777777" w:rsidR="00AE0598" w:rsidRDefault="0069255A">
      <w:pPr>
        <w:spacing w:before="1"/>
        <w:ind w:left="430" w:right="128" w:hanging="320"/>
        <w:jc w:val="both"/>
        <w:rPr>
          <w:sz w:val="17"/>
        </w:rPr>
      </w:pPr>
      <w:r>
        <w:rPr>
          <w:color w:val="231F20"/>
          <w:sz w:val="17"/>
        </w:rPr>
        <w:t xml:space="preserve">Heitzman, </w:t>
      </w:r>
      <w:r>
        <w:rPr>
          <w:color w:val="231F20"/>
          <w:w w:val="105"/>
          <w:sz w:val="17"/>
        </w:rPr>
        <w:t xml:space="preserve">J. </w:t>
      </w:r>
      <w:r>
        <w:rPr>
          <w:color w:val="231F20"/>
          <w:sz w:val="17"/>
        </w:rPr>
        <w:t>(1999) Sports and conflict in urban planning. The Indian national games in</w:t>
      </w:r>
      <w:r>
        <w:rPr>
          <w:color w:val="231F20"/>
          <w:spacing w:val="40"/>
          <w:sz w:val="17"/>
        </w:rPr>
        <w:t xml:space="preserve"> </w:t>
      </w:r>
      <w:r>
        <w:rPr>
          <w:color w:val="231F20"/>
          <w:sz w:val="17"/>
        </w:rPr>
        <w:t xml:space="preserve">Bangalore. </w:t>
      </w:r>
      <w:r>
        <w:rPr>
          <w:i/>
          <w:color w:val="231F20"/>
          <w:sz w:val="17"/>
        </w:rPr>
        <w:t xml:space="preserve">Journal of Sport and Social Issues </w:t>
      </w:r>
      <w:r>
        <w:rPr>
          <w:color w:val="231F20"/>
          <w:sz w:val="17"/>
        </w:rPr>
        <w:t>23 (1), 5–23.</w:t>
      </w:r>
    </w:p>
    <w:p w14:paraId="6C2B5F0B" w14:textId="77777777" w:rsidR="00AE0598" w:rsidRDefault="0069255A">
      <w:pPr>
        <w:spacing w:before="1"/>
        <w:ind w:left="430" w:right="127" w:hanging="320"/>
        <w:jc w:val="both"/>
        <w:rPr>
          <w:sz w:val="17"/>
        </w:rPr>
      </w:pPr>
      <w:r>
        <w:rPr>
          <w:color w:val="231F20"/>
          <w:sz w:val="17"/>
        </w:rPr>
        <w:t xml:space="preserve">Henderson, </w:t>
      </w:r>
      <w:r>
        <w:rPr>
          <w:color w:val="231F20"/>
          <w:w w:val="105"/>
          <w:sz w:val="17"/>
        </w:rPr>
        <w:t xml:space="preserve">J.C., </w:t>
      </w:r>
      <w:r>
        <w:rPr>
          <w:color w:val="231F20"/>
          <w:sz w:val="17"/>
        </w:rPr>
        <w:t xml:space="preserve">Foo, </w:t>
      </w:r>
      <w:r>
        <w:rPr>
          <w:color w:val="231F20"/>
          <w:w w:val="105"/>
          <w:sz w:val="17"/>
        </w:rPr>
        <w:t xml:space="preserve">K., </w:t>
      </w:r>
      <w:r>
        <w:rPr>
          <w:color w:val="231F20"/>
          <w:sz w:val="17"/>
        </w:rPr>
        <w:t xml:space="preserve">Lim, </w:t>
      </w:r>
      <w:r>
        <w:rPr>
          <w:color w:val="231F20"/>
          <w:w w:val="105"/>
          <w:sz w:val="17"/>
        </w:rPr>
        <w:t xml:space="preserve">H. </w:t>
      </w:r>
      <w:r>
        <w:rPr>
          <w:color w:val="231F20"/>
          <w:sz w:val="17"/>
        </w:rPr>
        <w:t>and Yip, S. (2010) Sports events and tourism: The</w:t>
      </w:r>
      <w:r>
        <w:rPr>
          <w:color w:val="231F20"/>
          <w:spacing w:val="40"/>
          <w:sz w:val="17"/>
        </w:rPr>
        <w:t xml:space="preserve"> </w:t>
      </w:r>
      <w:r>
        <w:rPr>
          <w:color w:val="231F20"/>
          <w:sz w:val="17"/>
        </w:rPr>
        <w:t xml:space="preserve">Singapore formula one grand prix. </w:t>
      </w:r>
      <w:r>
        <w:rPr>
          <w:i/>
          <w:color w:val="231F20"/>
          <w:sz w:val="17"/>
        </w:rPr>
        <w:t>Int</w:t>
      </w:r>
      <w:r>
        <w:rPr>
          <w:i/>
          <w:color w:val="231F20"/>
          <w:sz w:val="17"/>
        </w:rPr>
        <w:t>ernational Journal of Event and Festival</w:t>
      </w:r>
      <w:r>
        <w:rPr>
          <w:i/>
          <w:color w:val="231F20"/>
          <w:spacing w:val="40"/>
          <w:sz w:val="17"/>
        </w:rPr>
        <w:t xml:space="preserve"> </w:t>
      </w:r>
      <w:r>
        <w:rPr>
          <w:i/>
          <w:color w:val="231F20"/>
          <w:sz w:val="17"/>
        </w:rPr>
        <w:t xml:space="preserve">Management </w:t>
      </w:r>
      <w:r>
        <w:rPr>
          <w:color w:val="231F20"/>
          <w:sz w:val="17"/>
        </w:rPr>
        <w:t>1 (1), 60–73.</w:t>
      </w:r>
    </w:p>
    <w:p w14:paraId="56EA1EDB" w14:textId="77777777" w:rsidR="00AE0598" w:rsidRDefault="0069255A">
      <w:pPr>
        <w:spacing w:before="2"/>
        <w:ind w:left="430" w:right="128" w:hanging="320"/>
        <w:jc w:val="both"/>
        <w:rPr>
          <w:sz w:val="17"/>
        </w:rPr>
      </w:pPr>
      <w:r>
        <w:rPr>
          <w:color w:val="231F20"/>
          <w:sz w:val="17"/>
        </w:rPr>
        <w:t xml:space="preserve">Hendrikx, </w:t>
      </w:r>
      <w:r>
        <w:rPr>
          <w:color w:val="231F20"/>
          <w:w w:val="115"/>
          <w:sz w:val="17"/>
        </w:rPr>
        <w:t xml:space="preserve">J. </w:t>
      </w:r>
      <w:r>
        <w:rPr>
          <w:color w:val="231F20"/>
          <w:sz w:val="17"/>
        </w:rPr>
        <w:t xml:space="preserve">and Hreinsson, </w:t>
      </w:r>
      <w:r>
        <w:rPr>
          <w:color w:val="231F20"/>
          <w:w w:val="115"/>
          <w:sz w:val="17"/>
        </w:rPr>
        <w:t xml:space="preserve">E.Ö. </w:t>
      </w:r>
      <w:r>
        <w:rPr>
          <w:color w:val="231F20"/>
          <w:sz w:val="17"/>
        </w:rPr>
        <w:t>(2012) The potential impact of climate change on</w:t>
      </w:r>
      <w:r>
        <w:rPr>
          <w:color w:val="231F20"/>
          <w:spacing w:val="40"/>
          <w:sz w:val="17"/>
        </w:rPr>
        <w:t xml:space="preserve"> </w:t>
      </w:r>
      <w:r>
        <w:rPr>
          <w:color w:val="231F20"/>
          <w:w w:val="95"/>
          <w:sz w:val="17"/>
        </w:rPr>
        <w:t>seasonal snow in New Zealand: Part II—industry vulnerability and future snowmaking</w:t>
      </w:r>
      <w:r>
        <w:rPr>
          <w:color w:val="231F20"/>
          <w:spacing w:val="40"/>
          <w:sz w:val="17"/>
        </w:rPr>
        <w:t xml:space="preserve"> </w:t>
      </w:r>
      <w:r>
        <w:rPr>
          <w:color w:val="231F20"/>
          <w:sz w:val="17"/>
        </w:rPr>
        <w:t xml:space="preserve">potential. </w:t>
      </w:r>
      <w:r>
        <w:rPr>
          <w:i/>
          <w:color w:val="231F20"/>
          <w:sz w:val="17"/>
        </w:rPr>
        <w:t xml:space="preserve">Theoretical </w:t>
      </w:r>
      <w:r>
        <w:rPr>
          <w:i/>
          <w:color w:val="231F20"/>
          <w:w w:val="115"/>
          <w:sz w:val="17"/>
        </w:rPr>
        <w:t xml:space="preserve">&amp; </w:t>
      </w:r>
      <w:r>
        <w:rPr>
          <w:i/>
          <w:color w:val="231F20"/>
          <w:sz w:val="17"/>
        </w:rPr>
        <w:t xml:space="preserve">Applied Climatology </w:t>
      </w:r>
      <w:r>
        <w:rPr>
          <w:color w:val="231F20"/>
          <w:sz w:val="17"/>
        </w:rPr>
        <w:t>110, 607–618.</w:t>
      </w:r>
    </w:p>
    <w:p w14:paraId="6EAEAD1E" w14:textId="77777777" w:rsidR="00AE0598" w:rsidRDefault="0069255A">
      <w:pPr>
        <w:spacing w:before="2"/>
        <w:ind w:left="430" w:right="128" w:hanging="320"/>
        <w:jc w:val="both"/>
        <w:rPr>
          <w:sz w:val="17"/>
        </w:rPr>
      </w:pPr>
      <w:r>
        <w:rPr>
          <w:color w:val="231F20"/>
          <w:sz w:val="17"/>
        </w:rPr>
        <w:t xml:space="preserve">Heslop, </w:t>
      </w:r>
      <w:r>
        <w:rPr>
          <w:color w:val="231F20"/>
          <w:w w:val="110"/>
          <w:sz w:val="17"/>
        </w:rPr>
        <w:t>L.A.,</w:t>
      </w:r>
      <w:r>
        <w:rPr>
          <w:color w:val="231F20"/>
          <w:spacing w:val="-1"/>
          <w:w w:val="110"/>
          <w:sz w:val="17"/>
        </w:rPr>
        <w:t xml:space="preserve"> </w:t>
      </w:r>
      <w:r>
        <w:rPr>
          <w:color w:val="231F20"/>
          <w:sz w:val="17"/>
        </w:rPr>
        <w:t xml:space="preserve">Nadeau, </w:t>
      </w:r>
      <w:r>
        <w:rPr>
          <w:color w:val="231F20"/>
          <w:w w:val="110"/>
          <w:sz w:val="17"/>
        </w:rPr>
        <w:t>J.,</w:t>
      </w:r>
      <w:r>
        <w:rPr>
          <w:color w:val="231F20"/>
          <w:spacing w:val="-1"/>
          <w:w w:val="110"/>
          <w:sz w:val="17"/>
        </w:rPr>
        <w:t xml:space="preserve"> </w:t>
      </w:r>
      <w:r>
        <w:rPr>
          <w:color w:val="231F20"/>
          <w:sz w:val="17"/>
        </w:rPr>
        <w:t xml:space="preserve">O’Reilly, </w:t>
      </w:r>
      <w:r>
        <w:rPr>
          <w:color w:val="231F20"/>
          <w:w w:val="110"/>
          <w:sz w:val="17"/>
        </w:rPr>
        <w:t>N.</w:t>
      </w:r>
      <w:r>
        <w:rPr>
          <w:color w:val="231F20"/>
          <w:spacing w:val="-1"/>
          <w:w w:val="110"/>
          <w:sz w:val="17"/>
        </w:rPr>
        <w:t xml:space="preserve"> </w:t>
      </w:r>
      <w:r>
        <w:rPr>
          <w:color w:val="231F20"/>
          <w:sz w:val="17"/>
        </w:rPr>
        <w:t xml:space="preserve">and Armenakyan, </w:t>
      </w:r>
      <w:r>
        <w:rPr>
          <w:color w:val="231F20"/>
          <w:w w:val="110"/>
          <w:sz w:val="17"/>
        </w:rPr>
        <w:t>A.</w:t>
      </w:r>
      <w:r>
        <w:rPr>
          <w:color w:val="231F20"/>
          <w:spacing w:val="-1"/>
          <w:w w:val="110"/>
          <w:sz w:val="17"/>
        </w:rPr>
        <w:t xml:space="preserve"> </w:t>
      </w:r>
      <w:r>
        <w:rPr>
          <w:color w:val="231F20"/>
          <w:sz w:val="17"/>
        </w:rPr>
        <w:t>(2013) Mega-event and country</w:t>
      </w:r>
      <w:r>
        <w:rPr>
          <w:color w:val="231F20"/>
          <w:spacing w:val="40"/>
          <w:sz w:val="17"/>
        </w:rPr>
        <w:t xml:space="preserve"> </w:t>
      </w:r>
      <w:r>
        <w:rPr>
          <w:color w:val="231F20"/>
          <w:sz w:val="17"/>
        </w:rPr>
        <w:t>co-branding: Image shifts,</w:t>
      </w:r>
      <w:r>
        <w:rPr>
          <w:color w:val="231F20"/>
          <w:sz w:val="17"/>
        </w:rPr>
        <w:t xml:space="preserve"> transfers and reputational impacts. </w:t>
      </w:r>
      <w:r>
        <w:rPr>
          <w:i/>
          <w:color w:val="231F20"/>
          <w:sz w:val="17"/>
        </w:rPr>
        <w:t>Corporate Reputation</w:t>
      </w:r>
      <w:r>
        <w:rPr>
          <w:i/>
          <w:color w:val="231F20"/>
          <w:spacing w:val="40"/>
          <w:sz w:val="17"/>
        </w:rPr>
        <w:t xml:space="preserve"> </w:t>
      </w:r>
      <w:r>
        <w:rPr>
          <w:i/>
          <w:color w:val="231F20"/>
          <w:sz w:val="17"/>
        </w:rPr>
        <w:t xml:space="preserve">Review </w:t>
      </w:r>
      <w:r>
        <w:rPr>
          <w:color w:val="231F20"/>
          <w:sz w:val="17"/>
        </w:rPr>
        <w:t>16 (1), 7–33.</w:t>
      </w:r>
    </w:p>
    <w:p w14:paraId="3E3457E0" w14:textId="77777777" w:rsidR="00AE0598" w:rsidRDefault="0069255A">
      <w:pPr>
        <w:spacing w:before="2"/>
        <w:ind w:left="430" w:right="127" w:hanging="320"/>
        <w:jc w:val="both"/>
        <w:rPr>
          <w:sz w:val="17"/>
        </w:rPr>
      </w:pPr>
      <w:r>
        <w:rPr>
          <w:color w:val="231F20"/>
          <w:sz w:val="17"/>
        </w:rPr>
        <w:t>Higgins, M. (2016, 6 March) Snowboarding, Once a High-Flying Sport, Crashes to Earth.</w:t>
      </w:r>
      <w:r>
        <w:rPr>
          <w:color w:val="231F20"/>
          <w:spacing w:val="40"/>
          <w:sz w:val="17"/>
        </w:rPr>
        <w:t xml:space="preserve"> </w:t>
      </w:r>
      <w:r>
        <w:rPr>
          <w:i/>
          <w:color w:val="231F20"/>
          <w:w w:val="90"/>
          <w:sz w:val="17"/>
        </w:rPr>
        <w:t xml:space="preserve">The New York Times. </w:t>
      </w:r>
      <w:r>
        <w:rPr>
          <w:color w:val="231F20"/>
          <w:w w:val="90"/>
          <w:sz w:val="17"/>
        </w:rPr>
        <w:t xml:space="preserve">See </w:t>
      </w:r>
      <w:r>
        <w:rPr>
          <w:color w:val="231F20"/>
          <w:spacing w:val="-3"/>
          <w:w w:val="96"/>
          <w:sz w:val="17"/>
        </w:rPr>
        <w:t>h</w:t>
      </w:r>
      <w:r>
        <w:rPr>
          <w:color w:val="231F20"/>
          <w:spacing w:val="2"/>
          <w:w w:val="95"/>
          <w:sz w:val="17"/>
        </w:rPr>
        <w:t>tt</w:t>
      </w:r>
      <w:r>
        <w:rPr>
          <w:color w:val="231F20"/>
          <w:spacing w:val="-1"/>
          <w:w w:val="95"/>
          <w:sz w:val="17"/>
        </w:rPr>
        <w:t>p</w:t>
      </w:r>
      <w:r>
        <w:rPr>
          <w:color w:val="231F20"/>
          <w:spacing w:val="-2"/>
          <w:w w:val="87"/>
          <w:sz w:val="17"/>
        </w:rPr>
        <w:t>s</w:t>
      </w:r>
      <w:r>
        <w:rPr>
          <w:color w:val="231F20"/>
          <w:spacing w:val="3"/>
          <w:w w:val="102"/>
          <w:sz w:val="17"/>
        </w:rPr>
        <w:t>:</w:t>
      </w:r>
      <w:r>
        <w:rPr>
          <w:color w:val="231F20"/>
          <w:spacing w:val="-5"/>
          <w:w w:val="57"/>
          <w:sz w:val="17"/>
        </w:rPr>
        <w:t>/</w:t>
      </w:r>
      <w:r>
        <w:rPr>
          <w:color w:val="231F20"/>
          <w:spacing w:val="-2"/>
          <w:w w:val="57"/>
          <w:sz w:val="17"/>
        </w:rPr>
        <w:t>/</w:t>
      </w:r>
      <w:hyperlink r:id="rId52">
        <w:r>
          <w:rPr>
            <w:color w:val="231F20"/>
            <w:spacing w:val="2"/>
            <w:w w:val="96"/>
            <w:sz w:val="17"/>
          </w:rPr>
          <w:t>ww</w:t>
        </w:r>
        <w:r>
          <w:rPr>
            <w:color w:val="231F20"/>
            <w:spacing w:val="-10"/>
            <w:w w:val="96"/>
            <w:sz w:val="17"/>
          </w:rPr>
          <w:t>w</w:t>
        </w:r>
        <w:r>
          <w:rPr>
            <w:color w:val="231F20"/>
            <w:w w:val="132"/>
            <w:sz w:val="17"/>
          </w:rPr>
          <w:t>.</w:t>
        </w:r>
        <w:r>
          <w:rPr>
            <w:color w:val="231F20"/>
            <w:spacing w:val="-3"/>
            <w:w w:val="95"/>
            <w:sz w:val="17"/>
          </w:rPr>
          <w:t>n</w:t>
        </w:r>
        <w:r>
          <w:rPr>
            <w:color w:val="231F20"/>
            <w:spacing w:val="2"/>
            <w:w w:val="95"/>
            <w:sz w:val="17"/>
          </w:rPr>
          <w:t>yt</w:t>
        </w:r>
        <w:r>
          <w:rPr>
            <w:color w:val="231F20"/>
            <w:w w:val="95"/>
            <w:sz w:val="17"/>
          </w:rPr>
          <w:t>i</w:t>
        </w:r>
        <w:r>
          <w:rPr>
            <w:color w:val="231F20"/>
            <w:spacing w:val="-1"/>
            <w:w w:val="96"/>
            <w:sz w:val="17"/>
          </w:rPr>
          <w:t>m</w:t>
        </w:r>
        <w:r>
          <w:rPr>
            <w:color w:val="231F20"/>
            <w:spacing w:val="1"/>
            <w:w w:val="87"/>
            <w:sz w:val="17"/>
          </w:rPr>
          <w:t>es</w:t>
        </w:r>
        <w:r>
          <w:rPr>
            <w:color w:val="231F20"/>
            <w:spacing w:val="-1"/>
            <w:w w:val="132"/>
            <w:sz w:val="17"/>
          </w:rPr>
          <w:t>.</w:t>
        </w:r>
        <w:r>
          <w:rPr>
            <w:color w:val="231F20"/>
            <w:spacing w:val="-1"/>
            <w:w w:val="96"/>
            <w:sz w:val="17"/>
          </w:rPr>
          <w:t>c</w:t>
        </w:r>
        <w:r>
          <w:rPr>
            <w:color w:val="231F20"/>
            <w:spacing w:val="-3"/>
            <w:sz w:val="17"/>
          </w:rPr>
          <w:t>o</w:t>
        </w:r>
        <w:r>
          <w:rPr>
            <w:color w:val="231F20"/>
            <w:spacing w:val="6"/>
            <w:w w:val="96"/>
            <w:sz w:val="17"/>
          </w:rPr>
          <w:t>m</w:t>
        </w:r>
        <w:r>
          <w:rPr>
            <w:color w:val="231F20"/>
            <w:spacing w:val="2"/>
            <w:w w:val="72"/>
            <w:sz w:val="17"/>
          </w:rPr>
          <w:t>/</w:t>
        </w:r>
        <w:r>
          <w:rPr>
            <w:color w:val="231F20"/>
            <w:spacing w:val="5"/>
            <w:w w:val="72"/>
            <w:sz w:val="17"/>
          </w:rPr>
          <w:t>2</w:t>
        </w:r>
        <w:r>
          <w:rPr>
            <w:color w:val="231F20"/>
            <w:spacing w:val="-1"/>
            <w:w w:val="86"/>
            <w:sz w:val="17"/>
          </w:rPr>
          <w:t>0</w:t>
        </w:r>
        <w:r>
          <w:rPr>
            <w:color w:val="231F20"/>
            <w:spacing w:val="-4"/>
            <w:w w:val="86"/>
            <w:sz w:val="17"/>
          </w:rPr>
          <w:t>1</w:t>
        </w:r>
        <w:r>
          <w:rPr>
            <w:color w:val="231F20"/>
            <w:spacing w:val="3"/>
            <w:w w:val="86"/>
            <w:sz w:val="17"/>
          </w:rPr>
          <w:t>6</w:t>
        </w:r>
        <w:r>
          <w:rPr>
            <w:color w:val="231F20"/>
            <w:spacing w:val="2"/>
            <w:w w:val="57"/>
            <w:sz w:val="17"/>
          </w:rPr>
          <w:t>/</w:t>
        </w:r>
        <w:r>
          <w:rPr>
            <w:color w:val="231F20"/>
            <w:spacing w:val="2"/>
            <w:w w:val="86"/>
            <w:sz w:val="17"/>
          </w:rPr>
          <w:t>0</w:t>
        </w:r>
        <w:r>
          <w:rPr>
            <w:color w:val="231F20"/>
            <w:spacing w:val="1"/>
            <w:w w:val="86"/>
            <w:sz w:val="17"/>
          </w:rPr>
          <w:t>3</w:t>
        </w:r>
        <w:r>
          <w:rPr>
            <w:color w:val="231F20"/>
            <w:spacing w:val="2"/>
            <w:w w:val="72"/>
            <w:sz w:val="17"/>
          </w:rPr>
          <w:t>/</w:t>
        </w:r>
        <w:r>
          <w:rPr>
            <w:color w:val="231F20"/>
            <w:spacing w:val="4"/>
            <w:w w:val="72"/>
            <w:sz w:val="17"/>
          </w:rPr>
          <w:t>0</w:t>
        </w:r>
        <w:r>
          <w:rPr>
            <w:color w:val="231F20"/>
            <w:spacing w:val="-5"/>
            <w:w w:val="86"/>
            <w:sz w:val="17"/>
          </w:rPr>
          <w:t>7</w:t>
        </w:r>
        <w:r>
          <w:rPr>
            <w:color w:val="231F20"/>
            <w:spacing w:val="-6"/>
            <w:w w:val="57"/>
            <w:sz w:val="17"/>
          </w:rPr>
          <w:t>/</w:t>
        </w:r>
        <w:r>
          <w:rPr>
            <w:color w:val="231F20"/>
            <w:spacing w:val="-2"/>
            <w:w w:val="87"/>
            <w:sz w:val="17"/>
          </w:rPr>
          <w:t>s</w:t>
        </w:r>
        <w:r>
          <w:rPr>
            <w:color w:val="231F20"/>
            <w:w w:val="95"/>
            <w:sz w:val="17"/>
          </w:rPr>
          <w:t>p</w:t>
        </w:r>
        <w:r>
          <w:rPr>
            <w:color w:val="231F20"/>
            <w:spacing w:val="-3"/>
            <w:sz w:val="17"/>
          </w:rPr>
          <w:t>o</w:t>
        </w:r>
        <w:r>
          <w:rPr>
            <w:color w:val="231F20"/>
            <w:spacing w:val="3"/>
            <w:w w:val="90"/>
            <w:sz w:val="17"/>
          </w:rPr>
          <w:t>r</w:t>
        </w:r>
        <w:r>
          <w:rPr>
            <w:color w:val="231F20"/>
            <w:w w:val="95"/>
            <w:sz w:val="17"/>
          </w:rPr>
          <w:t>t</w:t>
        </w:r>
        <w:r>
          <w:rPr>
            <w:color w:val="231F20"/>
            <w:spacing w:val="3"/>
            <w:w w:val="87"/>
            <w:sz w:val="17"/>
          </w:rPr>
          <w:t>s</w:t>
        </w:r>
        <w:r>
          <w:rPr>
            <w:color w:val="231F20"/>
            <w:spacing w:val="-6"/>
            <w:w w:val="57"/>
            <w:sz w:val="17"/>
          </w:rPr>
          <w:t>/</w:t>
        </w:r>
        <w:r>
          <w:rPr>
            <w:color w:val="231F20"/>
            <w:spacing w:val="-2"/>
            <w:w w:val="87"/>
            <w:sz w:val="17"/>
          </w:rPr>
          <w:t>s</w:t>
        </w:r>
        <w:r>
          <w:rPr>
            <w:color w:val="231F20"/>
            <w:spacing w:val="-2"/>
            <w:w w:val="95"/>
            <w:sz w:val="17"/>
          </w:rPr>
          <w:t>n</w:t>
        </w:r>
        <w:r>
          <w:rPr>
            <w:color w:val="231F20"/>
            <w:spacing w:val="-5"/>
            <w:sz w:val="17"/>
          </w:rPr>
          <w:t>o</w:t>
        </w:r>
        <w:r>
          <w:rPr>
            <w:color w:val="231F20"/>
            <w:spacing w:val="-3"/>
            <w:w w:val="96"/>
            <w:sz w:val="17"/>
          </w:rPr>
          <w:t>w</w:t>
        </w:r>
        <w:r>
          <w:rPr>
            <w:color w:val="231F20"/>
            <w:w w:val="97"/>
            <w:sz w:val="17"/>
          </w:rPr>
          <w:t>b</w:t>
        </w:r>
        <w:r>
          <w:rPr>
            <w:color w:val="231F20"/>
            <w:spacing w:val="-2"/>
            <w:sz w:val="17"/>
          </w:rPr>
          <w:t>o</w:t>
        </w:r>
        <w:r>
          <w:rPr>
            <w:color w:val="231F20"/>
            <w:spacing w:val="1"/>
            <w:w w:val="98"/>
            <w:sz w:val="17"/>
          </w:rPr>
          <w:t>a</w:t>
        </w:r>
        <w:r>
          <w:rPr>
            <w:color w:val="231F20"/>
            <w:spacing w:val="-3"/>
            <w:w w:val="90"/>
            <w:sz w:val="17"/>
          </w:rPr>
          <w:t>r</w:t>
        </w:r>
        <w:r>
          <w:rPr>
            <w:color w:val="231F20"/>
            <w:spacing w:val="2"/>
            <w:w w:val="95"/>
            <w:sz w:val="17"/>
          </w:rPr>
          <w:t>d</w:t>
        </w:r>
        <w:r>
          <w:rPr>
            <w:color w:val="231F20"/>
            <w:spacing w:val="1"/>
            <w:w w:val="97"/>
            <w:sz w:val="17"/>
          </w:rPr>
          <w:t>i</w:t>
        </w:r>
        <w:r>
          <w:rPr>
            <w:color w:val="231F20"/>
            <w:spacing w:val="-2"/>
            <w:w w:val="95"/>
            <w:sz w:val="17"/>
          </w:rPr>
          <w:t>n</w:t>
        </w:r>
        <w:r>
          <w:rPr>
            <w:color w:val="231F20"/>
            <w:spacing w:val="-2"/>
            <w:w w:val="96"/>
            <w:sz w:val="17"/>
          </w:rPr>
          <w:t>g</w:t>
        </w:r>
        <w:r>
          <w:rPr>
            <w:color w:val="231F20"/>
            <w:spacing w:val="-2"/>
            <w:w w:val="97"/>
            <w:sz w:val="17"/>
          </w:rPr>
          <w:t>-</w:t>
        </w:r>
      </w:hyperlink>
      <w:r>
        <w:rPr>
          <w:color w:val="231F20"/>
          <w:spacing w:val="40"/>
          <w:sz w:val="17"/>
        </w:rPr>
        <w:t xml:space="preserve"> </w:t>
      </w:r>
      <w:r>
        <w:rPr>
          <w:color w:val="231F20"/>
          <w:w w:val="95"/>
          <w:sz w:val="17"/>
        </w:rPr>
        <w:t>once-a-high-flying-sport-crashes-to-earth.html?_r=0 (accessed 24 June 2017).</w:t>
      </w:r>
    </w:p>
    <w:p w14:paraId="791C0F81" w14:textId="77777777" w:rsidR="00AE0598" w:rsidRDefault="0069255A">
      <w:pPr>
        <w:spacing w:before="2"/>
        <w:ind w:left="430" w:right="128" w:hanging="320"/>
        <w:jc w:val="both"/>
        <w:rPr>
          <w:sz w:val="17"/>
        </w:rPr>
      </w:pPr>
      <w:r>
        <w:rPr>
          <w:color w:val="231F20"/>
          <w:w w:val="95"/>
          <w:sz w:val="17"/>
        </w:rPr>
        <w:t>Higham, J.E.S. (1996) The Bledisloe Cup: Quantifying the direct economic benefits of event</w:t>
      </w:r>
      <w:r>
        <w:rPr>
          <w:color w:val="231F20"/>
          <w:spacing w:val="40"/>
          <w:sz w:val="17"/>
        </w:rPr>
        <w:t xml:space="preserve"> </w:t>
      </w:r>
      <w:r>
        <w:rPr>
          <w:color w:val="231F20"/>
          <w:w w:val="95"/>
          <w:sz w:val="17"/>
        </w:rPr>
        <w:t xml:space="preserve">tourism, with ramifications for a city in economic transition. </w:t>
      </w:r>
      <w:r>
        <w:rPr>
          <w:i/>
          <w:color w:val="231F20"/>
          <w:w w:val="95"/>
          <w:sz w:val="17"/>
        </w:rPr>
        <w:t>Festival Management and</w:t>
      </w:r>
      <w:r>
        <w:rPr>
          <w:i/>
          <w:color w:val="231F20"/>
          <w:spacing w:val="40"/>
          <w:sz w:val="17"/>
        </w:rPr>
        <w:t xml:space="preserve"> </w:t>
      </w:r>
      <w:r>
        <w:rPr>
          <w:i/>
          <w:color w:val="231F20"/>
          <w:sz w:val="17"/>
        </w:rPr>
        <w:t>E</w:t>
      </w:r>
      <w:r>
        <w:rPr>
          <w:i/>
          <w:color w:val="231F20"/>
          <w:sz w:val="17"/>
        </w:rPr>
        <w:t xml:space="preserve">vent Tourism </w:t>
      </w:r>
      <w:r>
        <w:rPr>
          <w:color w:val="231F20"/>
          <w:sz w:val="17"/>
        </w:rPr>
        <w:t>4, 107–116.</w:t>
      </w:r>
    </w:p>
    <w:p w14:paraId="448BAD9E" w14:textId="77777777" w:rsidR="00AE0598" w:rsidRDefault="0069255A">
      <w:pPr>
        <w:spacing w:before="3"/>
        <w:ind w:left="110" w:right="128" w:hanging="1"/>
        <w:jc w:val="right"/>
        <w:rPr>
          <w:sz w:val="17"/>
        </w:rPr>
      </w:pPr>
      <w:r>
        <w:rPr>
          <w:color w:val="231F20"/>
          <w:sz w:val="17"/>
        </w:rPr>
        <w:t>Higham,</w:t>
      </w:r>
      <w:r>
        <w:rPr>
          <w:color w:val="231F20"/>
          <w:spacing w:val="28"/>
          <w:sz w:val="17"/>
        </w:rPr>
        <w:t xml:space="preserve"> </w:t>
      </w:r>
      <w:r>
        <w:rPr>
          <w:color w:val="231F20"/>
          <w:sz w:val="17"/>
        </w:rPr>
        <w:t>J.E.S.</w:t>
      </w:r>
      <w:r>
        <w:rPr>
          <w:color w:val="231F20"/>
          <w:spacing w:val="28"/>
          <w:sz w:val="17"/>
        </w:rPr>
        <w:t xml:space="preserve"> </w:t>
      </w:r>
      <w:r>
        <w:rPr>
          <w:color w:val="231F20"/>
          <w:sz w:val="17"/>
        </w:rPr>
        <w:t>(1999)</w:t>
      </w:r>
      <w:r>
        <w:rPr>
          <w:color w:val="231F20"/>
          <w:spacing w:val="28"/>
          <w:sz w:val="17"/>
        </w:rPr>
        <w:t xml:space="preserve"> </w:t>
      </w:r>
      <w:r>
        <w:rPr>
          <w:color w:val="231F20"/>
          <w:sz w:val="17"/>
        </w:rPr>
        <w:t>Sport</w:t>
      </w:r>
      <w:r>
        <w:rPr>
          <w:color w:val="231F20"/>
          <w:spacing w:val="28"/>
          <w:sz w:val="17"/>
        </w:rPr>
        <w:t xml:space="preserve"> </w:t>
      </w:r>
      <w:r>
        <w:rPr>
          <w:color w:val="231F20"/>
          <w:sz w:val="17"/>
        </w:rPr>
        <w:t>as</w:t>
      </w:r>
      <w:r>
        <w:rPr>
          <w:color w:val="231F20"/>
          <w:spacing w:val="28"/>
          <w:sz w:val="17"/>
        </w:rPr>
        <w:t xml:space="preserve"> </w:t>
      </w:r>
      <w:r>
        <w:rPr>
          <w:color w:val="231F20"/>
          <w:sz w:val="17"/>
        </w:rPr>
        <w:t>an</w:t>
      </w:r>
      <w:r>
        <w:rPr>
          <w:color w:val="231F20"/>
          <w:spacing w:val="28"/>
          <w:sz w:val="17"/>
        </w:rPr>
        <w:t xml:space="preserve"> </w:t>
      </w:r>
      <w:r>
        <w:rPr>
          <w:color w:val="231F20"/>
          <w:sz w:val="17"/>
        </w:rPr>
        <w:t>avenue</w:t>
      </w:r>
      <w:r>
        <w:rPr>
          <w:color w:val="231F20"/>
          <w:spacing w:val="28"/>
          <w:sz w:val="17"/>
        </w:rPr>
        <w:t xml:space="preserve"> </w:t>
      </w:r>
      <w:r>
        <w:rPr>
          <w:color w:val="231F20"/>
          <w:sz w:val="17"/>
        </w:rPr>
        <w:t>of</w:t>
      </w:r>
      <w:r>
        <w:rPr>
          <w:color w:val="231F20"/>
          <w:spacing w:val="28"/>
          <w:sz w:val="17"/>
        </w:rPr>
        <w:t xml:space="preserve"> </w:t>
      </w:r>
      <w:r>
        <w:rPr>
          <w:color w:val="231F20"/>
          <w:sz w:val="17"/>
        </w:rPr>
        <w:t>tourism</w:t>
      </w:r>
      <w:r>
        <w:rPr>
          <w:color w:val="231F20"/>
          <w:spacing w:val="28"/>
          <w:sz w:val="17"/>
        </w:rPr>
        <w:t xml:space="preserve"> </w:t>
      </w:r>
      <w:r>
        <w:rPr>
          <w:color w:val="231F20"/>
          <w:sz w:val="17"/>
        </w:rPr>
        <w:t>development:</w:t>
      </w:r>
      <w:r>
        <w:rPr>
          <w:color w:val="231F20"/>
          <w:spacing w:val="28"/>
          <w:sz w:val="17"/>
        </w:rPr>
        <w:t xml:space="preserve"> </w:t>
      </w:r>
      <w:r>
        <w:rPr>
          <w:color w:val="231F20"/>
          <w:sz w:val="17"/>
        </w:rPr>
        <w:t>An</w:t>
      </w:r>
      <w:r>
        <w:rPr>
          <w:color w:val="231F20"/>
          <w:spacing w:val="28"/>
          <w:sz w:val="17"/>
        </w:rPr>
        <w:t xml:space="preserve"> </w:t>
      </w:r>
      <w:r>
        <w:rPr>
          <w:color w:val="231F20"/>
          <w:sz w:val="17"/>
        </w:rPr>
        <w:t>analysis</w:t>
      </w:r>
      <w:r>
        <w:rPr>
          <w:color w:val="231F20"/>
          <w:spacing w:val="28"/>
          <w:sz w:val="17"/>
        </w:rPr>
        <w:t xml:space="preserve"> </w:t>
      </w:r>
      <w:r>
        <w:rPr>
          <w:color w:val="231F20"/>
          <w:sz w:val="17"/>
        </w:rPr>
        <w:t>of</w:t>
      </w:r>
      <w:r>
        <w:rPr>
          <w:color w:val="231F20"/>
          <w:spacing w:val="28"/>
          <w:sz w:val="17"/>
        </w:rPr>
        <w:t xml:space="preserve"> </w:t>
      </w:r>
      <w:r>
        <w:rPr>
          <w:color w:val="231F20"/>
          <w:sz w:val="17"/>
        </w:rPr>
        <w:t>the</w:t>
      </w:r>
      <w:r>
        <w:rPr>
          <w:color w:val="231F20"/>
          <w:spacing w:val="40"/>
          <w:sz w:val="17"/>
        </w:rPr>
        <w:t xml:space="preserve"> </w:t>
      </w:r>
      <w:r>
        <w:rPr>
          <w:color w:val="231F20"/>
          <w:sz w:val="17"/>
        </w:rPr>
        <w:t xml:space="preserve">positive and negative impacts of sport tourism. </w:t>
      </w:r>
      <w:r>
        <w:rPr>
          <w:i/>
          <w:color w:val="231F20"/>
          <w:sz w:val="17"/>
        </w:rPr>
        <w:t xml:space="preserve">Current Issues in Tourism </w:t>
      </w:r>
      <w:r>
        <w:rPr>
          <w:color w:val="231F20"/>
          <w:sz w:val="17"/>
        </w:rPr>
        <w:t>2 (1), 82–90.</w:t>
      </w:r>
      <w:r>
        <w:rPr>
          <w:color w:val="231F20"/>
          <w:spacing w:val="40"/>
          <w:sz w:val="17"/>
        </w:rPr>
        <w:t xml:space="preserve"> </w:t>
      </w:r>
      <w:r>
        <w:rPr>
          <w:color w:val="231F20"/>
          <w:sz w:val="17"/>
        </w:rPr>
        <w:t>Higham,</w:t>
      </w:r>
      <w:r>
        <w:rPr>
          <w:color w:val="231F20"/>
          <w:spacing w:val="40"/>
          <w:sz w:val="17"/>
        </w:rPr>
        <w:t xml:space="preserve"> </w:t>
      </w:r>
      <w:r>
        <w:rPr>
          <w:color w:val="231F20"/>
          <w:sz w:val="17"/>
        </w:rPr>
        <w:t>J.E.S.</w:t>
      </w:r>
      <w:r>
        <w:rPr>
          <w:color w:val="231F20"/>
          <w:spacing w:val="41"/>
          <w:sz w:val="17"/>
        </w:rPr>
        <w:t xml:space="preserve"> </w:t>
      </w:r>
      <w:r>
        <w:rPr>
          <w:color w:val="231F20"/>
          <w:sz w:val="17"/>
        </w:rPr>
        <w:t>(2005)</w:t>
      </w:r>
      <w:r>
        <w:rPr>
          <w:color w:val="231F20"/>
          <w:spacing w:val="41"/>
          <w:sz w:val="17"/>
        </w:rPr>
        <w:t xml:space="preserve"> </w:t>
      </w:r>
      <w:r>
        <w:rPr>
          <w:i/>
          <w:color w:val="231F20"/>
          <w:sz w:val="17"/>
        </w:rPr>
        <w:t>Sport</w:t>
      </w:r>
      <w:r>
        <w:rPr>
          <w:i/>
          <w:color w:val="231F20"/>
          <w:spacing w:val="41"/>
          <w:sz w:val="17"/>
        </w:rPr>
        <w:t xml:space="preserve"> </w:t>
      </w:r>
      <w:r>
        <w:rPr>
          <w:i/>
          <w:color w:val="231F20"/>
          <w:sz w:val="17"/>
        </w:rPr>
        <w:t>Tourism</w:t>
      </w:r>
      <w:r>
        <w:rPr>
          <w:i/>
          <w:color w:val="231F20"/>
          <w:spacing w:val="41"/>
          <w:sz w:val="17"/>
        </w:rPr>
        <w:t xml:space="preserve"> </w:t>
      </w:r>
      <w:r>
        <w:rPr>
          <w:i/>
          <w:color w:val="231F20"/>
          <w:sz w:val="17"/>
        </w:rPr>
        <w:t>Destinations:</w:t>
      </w:r>
      <w:r>
        <w:rPr>
          <w:i/>
          <w:color w:val="231F20"/>
          <w:spacing w:val="41"/>
          <w:sz w:val="17"/>
        </w:rPr>
        <w:t xml:space="preserve"> </w:t>
      </w:r>
      <w:r>
        <w:rPr>
          <w:i/>
          <w:color w:val="231F20"/>
          <w:sz w:val="17"/>
        </w:rPr>
        <w:t>Issues,</w:t>
      </w:r>
      <w:r>
        <w:rPr>
          <w:i/>
          <w:color w:val="231F20"/>
          <w:spacing w:val="41"/>
          <w:sz w:val="17"/>
        </w:rPr>
        <w:t xml:space="preserve"> </w:t>
      </w:r>
      <w:r>
        <w:rPr>
          <w:i/>
          <w:color w:val="231F20"/>
          <w:sz w:val="17"/>
        </w:rPr>
        <w:t>Opportunities</w:t>
      </w:r>
      <w:r>
        <w:rPr>
          <w:i/>
          <w:color w:val="231F20"/>
          <w:spacing w:val="41"/>
          <w:sz w:val="17"/>
        </w:rPr>
        <w:t xml:space="preserve"> </w:t>
      </w:r>
      <w:r>
        <w:rPr>
          <w:i/>
          <w:color w:val="231F20"/>
          <w:sz w:val="17"/>
        </w:rPr>
        <w:t>and</w:t>
      </w:r>
      <w:r>
        <w:rPr>
          <w:i/>
          <w:color w:val="231F20"/>
          <w:spacing w:val="41"/>
          <w:sz w:val="17"/>
        </w:rPr>
        <w:t xml:space="preserve"> </w:t>
      </w:r>
      <w:r>
        <w:rPr>
          <w:i/>
          <w:color w:val="231F20"/>
          <w:spacing w:val="-2"/>
          <w:sz w:val="17"/>
        </w:rPr>
        <w:t>Analysis</w:t>
      </w:r>
      <w:r>
        <w:rPr>
          <w:color w:val="231F20"/>
          <w:spacing w:val="-2"/>
          <w:sz w:val="17"/>
        </w:rPr>
        <w:t>.</w:t>
      </w:r>
    </w:p>
    <w:p w14:paraId="3D9053A6" w14:textId="77777777" w:rsidR="00AE0598" w:rsidRDefault="0069255A">
      <w:pPr>
        <w:spacing w:before="2"/>
        <w:ind w:left="430"/>
        <w:jc w:val="both"/>
        <w:rPr>
          <w:sz w:val="17"/>
        </w:rPr>
      </w:pPr>
      <w:r>
        <w:rPr>
          <w:color w:val="231F20"/>
          <w:w w:val="95"/>
          <w:sz w:val="17"/>
        </w:rPr>
        <w:t>Oxford:</w:t>
      </w:r>
      <w:r>
        <w:rPr>
          <w:color w:val="231F20"/>
          <w:spacing w:val="23"/>
          <w:sz w:val="17"/>
        </w:rPr>
        <w:t xml:space="preserve"> </w:t>
      </w:r>
      <w:r>
        <w:rPr>
          <w:color w:val="231F20"/>
          <w:w w:val="95"/>
          <w:sz w:val="17"/>
        </w:rPr>
        <w:t>Elsevier</w:t>
      </w:r>
      <w:r>
        <w:rPr>
          <w:color w:val="231F20"/>
          <w:spacing w:val="24"/>
          <w:sz w:val="17"/>
        </w:rPr>
        <w:t xml:space="preserve"> </w:t>
      </w:r>
      <w:r>
        <w:rPr>
          <w:color w:val="231F20"/>
          <w:w w:val="95"/>
          <w:sz w:val="17"/>
        </w:rPr>
        <w:t>Butterworth</w:t>
      </w:r>
      <w:r>
        <w:rPr>
          <w:color w:val="231F20"/>
          <w:spacing w:val="23"/>
          <w:sz w:val="17"/>
        </w:rPr>
        <w:t xml:space="preserve"> </w:t>
      </w:r>
      <w:r>
        <w:rPr>
          <w:color w:val="231F20"/>
          <w:spacing w:val="-2"/>
          <w:w w:val="95"/>
          <w:sz w:val="17"/>
        </w:rPr>
        <w:t>Heinemann.</w:t>
      </w:r>
    </w:p>
    <w:p w14:paraId="64E5EB8F" w14:textId="77777777" w:rsidR="00AE0598" w:rsidRDefault="0069255A">
      <w:pPr>
        <w:ind w:left="430" w:right="128" w:hanging="320"/>
        <w:jc w:val="both"/>
        <w:rPr>
          <w:sz w:val="17"/>
        </w:rPr>
      </w:pPr>
      <w:r>
        <w:rPr>
          <w:color w:val="231F20"/>
          <w:w w:val="105"/>
          <w:sz w:val="17"/>
        </w:rPr>
        <w:t>Higham, J.E.S., Cohen, S.A., Cavaliere, C.T., Reis, A.C. and Finkler, W. (2016) Climate</w:t>
      </w:r>
      <w:r>
        <w:rPr>
          <w:color w:val="231F20"/>
          <w:spacing w:val="40"/>
          <w:w w:val="105"/>
          <w:sz w:val="17"/>
        </w:rPr>
        <w:t xml:space="preserve"> </w:t>
      </w:r>
      <w:r>
        <w:rPr>
          <w:color w:val="231F20"/>
          <w:w w:val="105"/>
          <w:sz w:val="17"/>
        </w:rPr>
        <w:t xml:space="preserve">change, tourist air travel and radical emissions reduction. </w:t>
      </w:r>
      <w:r>
        <w:rPr>
          <w:i/>
          <w:color w:val="231F20"/>
          <w:w w:val="105"/>
          <w:sz w:val="17"/>
        </w:rPr>
        <w:t>Journal of</w:t>
      </w:r>
      <w:r>
        <w:rPr>
          <w:i/>
          <w:color w:val="231F20"/>
          <w:w w:val="105"/>
          <w:sz w:val="17"/>
        </w:rPr>
        <w:t xml:space="preserve"> Cleaner</w:t>
      </w:r>
      <w:r>
        <w:rPr>
          <w:i/>
          <w:color w:val="231F20"/>
          <w:spacing w:val="40"/>
          <w:w w:val="105"/>
          <w:sz w:val="17"/>
        </w:rPr>
        <w:t xml:space="preserve"> </w:t>
      </w:r>
      <w:r>
        <w:rPr>
          <w:i/>
          <w:color w:val="231F20"/>
          <w:w w:val="105"/>
          <w:sz w:val="17"/>
        </w:rPr>
        <w:t xml:space="preserve">Production </w:t>
      </w:r>
      <w:r>
        <w:rPr>
          <w:color w:val="231F20"/>
          <w:w w:val="105"/>
          <w:sz w:val="17"/>
        </w:rPr>
        <w:t>111, 336–347.</w:t>
      </w:r>
    </w:p>
    <w:p w14:paraId="638AA823" w14:textId="77777777" w:rsidR="00AE0598" w:rsidRDefault="0069255A">
      <w:pPr>
        <w:spacing w:before="3"/>
        <w:ind w:left="430" w:right="127" w:hanging="320"/>
        <w:jc w:val="both"/>
        <w:rPr>
          <w:sz w:val="17"/>
        </w:rPr>
      </w:pPr>
      <w:r>
        <w:rPr>
          <w:color w:val="231F20"/>
          <w:sz w:val="17"/>
        </w:rPr>
        <w:t>Higham,</w:t>
      </w:r>
      <w:r>
        <w:rPr>
          <w:color w:val="231F20"/>
          <w:spacing w:val="40"/>
          <w:sz w:val="17"/>
        </w:rPr>
        <w:t xml:space="preserve"> </w:t>
      </w:r>
      <w:r>
        <w:rPr>
          <w:color w:val="231F20"/>
          <w:sz w:val="17"/>
        </w:rPr>
        <w:t>J.E.S.</w:t>
      </w:r>
      <w:r>
        <w:rPr>
          <w:color w:val="231F20"/>
          <w:spacing w:val="40"/>
          <w:sz w:val="17"/>
        </w:rPr>
        <w:t xml:space="preserve"> </w:t>
      </w:r>
      <w:r>
        <w:rPr>
          <w:color w:val="231F20"/>
          <w:sz w:val="17"/>
        </w:rPr>
        <w:t>and</w:t>
      </w:r>
      <w:r>
        <w:rPr>
          <w:color w:val="231F20"/>
          <w:spacing w:val="40"/>
          <w:sz w:val="17"/>
        </w:rPr>
        <w:t xml:space="preserve"> </w:t>
      </w:r>
      <w:r>
        <w:rPr>
          <w:color w:val="231F20"/>
          <w:sz w:val="17"/>
        </w:rPr>
        <w:t>Hinch,</w:t>
      </w:r>
      <w:r>
        <w:rPr>
          <w:color w:val="231F20"/>
          <w:spacing w:val="40"/>
          <w:sz w:val="17"/>
        </w:rPr>
        <w:t xml:space="preserve"> </w:t>
      </w:r>
      <w:r>
        <w:rPr>
          <w:color w:val="231F20"/>
          <w:sz w:val="17"/>
        </w:rPr>
        <w:t>T.D.</w:t>
      </w:r>
      <w:r>
        <w:rPr>
          <w:color w:val="231F20"/>
          <w:spacing w:val="40"/>
          <w:sz w:val="17"/>
        </w:rPr>
        <w:t xml:space="preserve"> </w:t>
      </w:r>
      <w:r>
        <w:rPr>
          <w:color w:val="231F20"/>
          <w:sz w:val="17"/>
        </w:rPr>
        <w:t>(1998)</w:t>
      </w:r>
      <w:r>
        <w:rPr>
          <w:color w:val="231F20"/>
          <w:spacing w:val="40"/>
          <w:sz w:val="17"/>
        </w:rPr>
        <w:t xml:space="preserve"> </w:t>
      </w:r>
      <w:r>
        <w:rPr>
          <w:color w:val="231F20"/>
          <w:sz w:val="17"/>
        </w:rPr>
        <w:t>The</w:t>
      </w:r>
      <w:r>
        <w:rPr>
          <w:color w:val="231F20"/>
          <w:spacing w:val="40"/>
          <w:sz w:val="17"/>
        </w:rPr>
        <w:t xml:space="preserve"> </w:t>
      </w:r>
      <w:r>
        <w:rPr>
          <w:color w:val="231F20"/>
          <w:sz w:val="17"/>
        </w:rPr>
        <w:t>transition</w:t>
      </w:r>
      <w:r>
        <w:rPr>
          <w:color w:val="231F20"/>
          <w:spacing w:val="40"/>
          <w:sz w:val="17"/>
        </w:rPr>
        <w:t xml:space="preserve"> </w:t>
      </w:r>
      <w:r>
        <w:rPr>
          <w:color w:val="231F20"/>
          <w:sz w:val="17"/>
        </w:rPr>
        <w:t>to</w:t>
      </w:r>
      <w:r>
        <w:rPr>
          <w:color w:val="231F20"/>
          <w:spacing w:val="40"/>
          <w:sz w:val="17"/>
        </w:rPr>
        <w:t xml:space="preserve"> </w:t>
      </w:r>
      <w:r>
        <w:rPr>
          <w:color w:val="231F20"/>
          <w:sz w:val="17"/>
        </w:rPr>
        <w:t>professional</w:t>
      </w:r>
      <w:r>
        <w:rPr>
          <w:color w:val="231F20"/>
          <w:spacing w:val="40"/>
          <w:sz w:val="17"/>
        </w:rPr>
        <w:t xml:space="preserve"> </w:t>
      </w:r>
      <w:r>
        <w:rPr>
          <w:color w:val="231F20"/>
          <w:sz w:val="17"/>
        </w:rPr>
        <w:t>rugby</w:t>
      </w:r>
      <w:r>
        <w:rPr>
          <w:color w:val="231F20"/>
          <w:spacing w:val="40"/>
          <w:sz w:val="17"/>
        </w:rPr>
        <w:t xml:space="preserve"> </w:t>
      </w:r>
      <w:r>
        <w:rPr>
          <w:color w:val="231F20"/>
          <w:sz w:val="17"/>
        </w:rPr>
        <w:t>union</w:t>
      </w:r>
      <w:r>
        <w:rPr>
          <w:color w:val="231F20"/>
          <w:spacing w:val="40"/>
          <w:sz w:val="17"/>
        </w:rPr>
        <w:t xml:space="preserve"> </w:t>
      </w:r>
      <w:r>
        <w:rPr>
          <w:color w:val="231F20"/>
          <w:sz w:val="17"/>
        </w:rPr>
        <w:t>in</w:t>
      </w:r>
      <w:r>
        <w:rPr>
          <w:color w:val="231F20"/>
          <w:spacing w:val="40"/>
          <w:sz w:val="17"/>
        </w:rPr>
        <w:t xml:space="preserve"> </w:t>
      </w:r>
      <w:r>
        <w:rPr>
          <w:color w:val="231F20"/>
          <w:sz w:val="17"/>
        </w:rPr>
        <w:t>New Zealand: An analysis of the temporal dimensions of tourism within the Otago</w:t>
      </w:r>
      <w:r>
        <w:rPr>
          <w:color w:val="231F20"/>
          <w:spacing w:val="40"/>
          <w:sz w:val="17"/>
        </w:rPr>
        <w:t xml:space="preserve"> </w:t>
      </w:r>
      <w:r>
        <w:rPr>
          <w:color w:val="231F20"/>
          <w:sz w:val="17"/>
        </w:rPr>
        <w:t>Highlanders franchise. Paper presented at the Proceedings of the New Zealand</w:t>
      </w:r>
      <w:r>
        <w:rPr>
          <w:color w:val="231F20"/>
          <w:spacing w:val="40"/>
          <w:sz w:val="17"/>
        </w:rPr>
        <w:t xml:space="preserve"> </w:t>
      </w:r>
      <w:r>
        <w:rPr>
          <w:color w:val="231F20"/>
          <w:sz w:val="17"/>
        </w:rPr>
        <w:t>Tourism</w:t>
      </w:r>
      <w:r>
        <w:rPr>
          <w:color w:val="231F20"/>
          <w:spacing w:val="40"/>
          <w:sz w:val="17"/>
        </w:rPr>
        <w:t xml:space="preserve"> </w:t>
      </w:r>
      <w:r>
        <w:rPr>
          <w:color w:val="231F20"/>
          <w:sz w:val="17"/>
        </w:rPr>
        <w:t>and</w:t>
      </w:r>
      <w:r>
        <w:rPr>
          <w:color w:val="231F20"/>
          <w:spacing w:val="40"/>
          <w:sz w:val="17"/>
        </w:rPr>
        <w:t xml:space="preserve"> </w:t>
      </w:r>
      <w:r>
        <w:rPr>
          <w:color w:val="231F20"/>
          <w:sz w:val="17"/>
        </w:rPr>
        <w:t>Hospitality</w:t>
      </w:r>
      <w:r>
        <w:rPr>
          <w:color w:val="231F20"/>
          <w:spacing w:val="40"/>
          <w:sz w:val="17"/>
        </w:rPr>
        <w:t xml:space="preserve"> </w:t>
      </w:r>
      <w:r>
        <w:rPr>
          <w:color w:val="231F20"/>
          <w:sz w:val="17"/>
        </w:rPr>
        <w:t>Research</w:t>
      </w:r>
      <w:r>
        <w:rPr>
          <w:color w:val="231F20"/>
          <w:spacing w:val="40"/>
          <w:sz w:val="17"/>
        </w:rPr>
        <w:t xml:space="preserve"> </w:t>
      </w:r>
      <w:r>
        <w:rPr>
          <w:color w:val="231F20"/>
          <w:sz w:val="17"/>
        </w:rPr>
        <w:t>Conference</w:t>
      </w:r>
      <w:r>
        <w:rPr>
          <w:color w:val="231F20"/>
          <w:spacing w:val="40"/>
          <w:sz w:val="17"/>
        </w:rPr>
        <w:t xml:space="preserve"> </w:t>
      </w:r>
      <w:r>
        <w:rPr>
          <w:color w:val="231F20"/>
          <w:sz w:val="17"/>
        </w:rPr>
        <w:t>(Part</w:t>
      </w:r>
      <w:r>
        <w:rPr>
          <w:color w:val="231F20"/>
          <w:spacing w:val="40"/>
          <w:sz w:val="17"/>
        </w:rPr>
        <w:t xml:space="preserve"> </w:t>
      </w:r>
      <w:r>
        <w:rPr>
          <w:color w:val="231F20"/>
          <w:sz w:val="17"/>
        </w:rPr>
        <w:t>I),</w:t>
      </w:r>
      <w:r>
        <w:rPr>
          <w:color w:val="231F20"/>
          <w:spacing w:val="40"/>
          <w:sz w:val="17"/>
        </w:rPr>
        <w:t xml:space="preserve"> </w:t>
      </w:r>
      <w:r>
        <w:rPr>
          <w:color w:val="231F20"/>
          <w:sz w:val="17"/>
        </w:rPr>
        <w:t>Akaroa,</w:t>
      </w:r>
      <w:r>
        <w:rPr>
          <w:color w:val="231F20"/>
          <w:spacing w:val="40"/>
          <w:sz w:val="17"/>
        </w:rPr>
        <w:t xml:space="preserve"> </w:t>
      </w:r>
      <w:r>
        <w:rPr>
          <w:color w:val="231F20"/>
          <w:sz w:val="17"/>
        </w:rPr>
        <w:t>New</w:t>
      </w:r>
      <w:r>
        <w:rPr>
          <w:color w:val="231F20"/>
          <w:spacing w:val="40"/>
          <w:sz w:val="17"/>
        </w:rPr>
        <w:t xml:space="preserve"> </w:t>
      </w:r>
      <w:r>
        <w:rPr>
          <w:color w:val="231F20"/>
          <w:sz w:val="17"/>
        </w:rPr>
        <w:t>Zealand,</w:t>
      </w:r>
      <w:r>
        <w:rPr>
          <w:color w:val="231F20"/>
          <w:spacing w:val="40"/>
          <w:sz w:val="17"/>
        </w:rPr>
        <w:t xml:space="preserve"> </w:t>
      </w:r>
      <w:r>
        <w:rPr>
          <w:color w:val="231F20"/>
          <w:sz w:val="17"/>
        </w:rPr>
        <w:t>1–4 December.</w:t>
      </w:r>
    </w:p>
    <w:p w14:paraId="596122BA" w14:textId="77777777" w:rsidR="00AE0598" w:rsidRDefault="0069255A">
      <w:pPr>
        <w:spacing w:before="3"/>
        <w:ind w:left="430" w:right="127" w:hanging="320"/>
        <w:jc w:val="both"/>
        <w:rPr>
          <w:sz w:val="17"/>
        </w:rPr>
      </w:pPr>
      <w:r>
        <w:rPr>
          <w:color w:val="231F20"/>
          <w:sz w:val="17"/>
        </w:rPr>
        <w:t>Higham, J.</w:t>
      </w:r>
      <w:r>
        <w:rPr>
          <w:color w:val="231F20"/>
          <w:sz w:val="17"/>
        </w:rPr>
        <w:t>E.S. and Hinch, T.D. (2000) Sport tourism and the transition to professional</w:t>
      </w:r>
      <w:r>
        <w:rPr>
          <w:color w:val="231F20"/>
          <w:spacing w:val="40"/>
          <w:sz w:val="17"/>
        </w:rPr>
        <w:t xml:space="preserve"> </w:t>
      </w:r>
      <w:r>
        <w:rPr>
          <w:color w:val="231F20"/>
          <w:sz w:val="17"/>
        </w:rPr>
        <w:t>Rugby</w:t>
      </w:r>
      <w:r>
        <w:rPr>
          <w:color w:val="231F20"/>
          <w:spacing w:val="34"/>
          <w:sz w:val="17"/>
        </w:rPr>
        <w:t xml:space="preserve"> </w:t>
      </w:r>
      <w:r>
        <w:rPr>
          <w:color w:val="231F20"/>
          <w:sz w:val="17"/>
        </w:rPr>
        <w:t>Union</w:t>
      </w:r>
      <w:r>
        <w:rPr>
          <w:color w:val="231F20"/>
          <w:spacing w:val="34"/>
          <w:sz w:val="17"/>
        </w:rPr>
        <w:t xml:space="preserve"> </w:t>
      </w:r>
      <w:r>
        <w:rPr>
          <w:color w:val="231F20"/>
          <w:sz w:val="17"/>
        </w:rPr>
        <w:t>in</w:t>
      </w:r>
      <w:r>
        <w:rPr>
          <w:color w:val="231F20"/>
          <w:spacing w:val="34"/>
          <w:sz w:val="17"/>
        </w:rPr>
        <w:t xml:space="preserve"> </w:t>
      </w:r>
      <w:r>
        <w:rPr>
          <w:color w:val="231F20"/>
          <w:sz w:val="17"/>
        </w:rPr>
        <w:t>New</w:t>
      </w:r>
      <w:r>
        <w:rPr>
          <w:color w:val="231F20"/>
          <w:spacing w:val="34"/>
          <w:sz w:val="17"/>
        </w:rPr>
        <w:t xml:space="preserve"> </w:t>
      </w:r>
      <w:r>
        <w:rPr>
          <w:color w:val="231F20"/>
          <w:sz w:val="17"/>
        </w:rPr>
        <w:t>Zealand:</w:t>
      </w:r>
      <w:r>
        <w:rPr>
          <w:color w:val="231F20"/>
          <w:spacing w:val="34"/>
          <w:sz w:val="17"/>
        </w:rPr>
        <w:t xml:space="preserve"> </w:t>
      </w:r>
      <w:r>
        <w:rPr>
          <w:color w:val="231F20"/>
          <w:sz w:val="17"/>
        </w:rPr>
        <w:t>The</w:t>
      </w:r>
      <w:r>
        <w:rPr>
          <w:color w:val="231F20"/>
          <w:spacing w:val="34"/>
          <w:sz w:val="17"/>
        </w:rPr>
        <w:t xml:space="preserve"> </w:t>
      </w:r>
      <w:r>
        <w:rPr>
          <w:color w:val="231F20"/>
          <w:sz w:val="17"/>
        </w:rPr>
        <w:t>spatial</w:t>
      </w:r>
      <w:r>
        <w:rPr>
          <w:color w:val="231F20"/>
          <w:spacing w:val="34"/>
          <w:sz w:val="17"/>
        </w:rPr>
        <w:t xml:space="preserve"> </w:t>
      </w:r>
      <w:r>
        <w:rPr>
          <w:color w:val="231F20"/>
          <w:sz w:val="17"/>
        </w:rPr>
        <w:t>dimension</w:t>
      </w:r>
      <w:r>
        <w:rPr>
          <w:color w:val="231F20"/>
          <w:spacing w:val="34"/>
          <w:sz w:val="17"/>
        </w:rPr>
        <w:t xml:space="preserve"> </w:t>
      </w:r>
      <w:r>
        <w:rPr>
          <w:color w:val="231F20"/>
          <w:sz w:val="17"/>
        </w:rPr>
        <w:t>of</w:t>
      </w:r>
      <w:r>
        <w:rPr>
          <w:color w:val="231F20"/>
          <w:spacing w:val="34"/>
          <w:sz w:val="17"/>
        </w:rPr>
        <w:t xml:space="preserve"> </w:t>
      </w:r>
      <w:r>
        <w:rPr>
          <w:color w:val="231F20"/>
          <w:sz w:val="17"/>
        </w:rPr>
        <w:t>tourism</w:t>
      </w:r>
      <w:r>
        <w:rPr>
          <w:color w:val="231F20"/>
          <w:spacing w:val="34"/>
          <w:sz w:val="17"/>
        </w:rPr>
        <w:t xml:space="preserve"> </w:t>
      </w:r>
      <w:r>
        <w:rPr>
          <w:color w:val="231F20"/>
          <w:sz w:val="17"/>
        </w:rPr>
        <w:t>associated</w:t>
      </w:r>
      <w:r>
        <w:rPr>
          <w:color w:val="231F20"/>
          <w:spacing w:val="34"/>
          <w:sz w:val="17"/>
        </w:rPr>
        <w:t xml:space="preserve"> </w:t>
      </w:r>
      <w:r>
        <w:rPr>
          <w:color w:val="231F20"/>
          <w:sz w:val="17"/>
        </w:rPr>
        <w:t>with</w:t>
      </w:r>
      <w:r>
        <w:rPr>
          <w:color w:val="231F20"/>
          <w:spacing w:val="40"/>
          <w:sz w:val="17"/>
        </w:rPr>
        <w:t xml:space="preserve"> </w:t>
      </w:r>
      <w:r>
        <w:rPr>
          <w:color w:val="231F20"/>
          <w:sz w:val="17"/>
        </w:rPr>
        <w:t>the</w:t>
      </w:r>
      <w:r>
        <w:rPr>
          <w:color w:val="231F20"/>
          <w:spacing w:val="59"/>
          <w:sz w:val="17"/>
        </w:rPr>
        <w:t xml:space="preserve"> </w:t>
      </w:r>
      <w:r>
        <w:rPr>
          <w:color w:val="231F20"/>
          <w:sz w:val="17"/>
        </w:rPr>
        <w:t>Otago</w:t>
      </w:r>
      <w:r>
        <w:rPr>
          <w:color w:val="231F20"/>
          <w:spacing w:val="60"/>
          <w:sz w:val="17"/>
        </w:rPr>
        <w:t xml:space="preserve"> </w:t>
      </w:r>
      <w:r>
        <w:rPr>
          <w:color w:val="231F20"/>
          <w:sz w:val="17"/>
        </w:rPr>
        <w:t>Highlanders,</w:t>
      </w:r>
      <w:r>
        <w:rPr>
          <w:color w:val="231F20"/>
          <w:spacing w:val="60"/>
          <w:sz w:val="17"/>
        </w:rPr>
        <w:t xml:space="preserve"> </w:t>
      </w:r>
      <w:r>
        <w:rPr>
          <w:color w:val="231F20"/>
          <w:sz w:val="17"/>
        </w:rPr>
        <w:t>Southern</w:t>
      </w:r>
      <w:r>
        <w:rPr>
          <w:color w:val="231F20"/>
          <w:spacing w:val="60"/>
          <w:sz w:val="17"/>
        </w:rPr>
        <w:t xml:space="preserve"> </w:t>
      </w:r>
      <w:r>
        <w:rPr>
          <w:color w:val="231F20"/>
          <w:sz w:val="17"/>
        </w:rPr>
        <w:t>New</w:t>
      </w:r>
      <w:r>
        <w:rPr>
          <w:color w:val="231F20"/>
          <w:spacing w:val="60"/>
          <w:sz w:val="17"/>
        </w:rPr>
        <w:t xml:space="preserve"> </w:t>
      </w:r>
      <w:r>
        <w:rPr>
          <w:color w:val="231F20"/>
          <w:sz w:val="17"/>
        </w:rPr>
        <w:t>Zealand.</w:t>
      </w:r>
      <w:r>
        <w:rPr>
          <w:color w:val="231F20"/>
          <w:spacing w:val="60"/>
          <w:sz w:val="17"/>
        </w:rPr>
        <w:t xml:space="preserve"> </w:t>
      </w:r>
      <w:r>
        <w:rPr>
          <w:color w:val="231F20"/>
          <w:sz w:val="17"/>
        </w:rPr>
        <w:t>In</w:t>
      </w:r>
      <w:r>
        <w:rPr>
          <w:color w:val="231F20"/>
          <w:spacing w:val="60"/>
          <w:sz w:val="17"/>
        </w:rPr>
        <w:t xml:space="preserve"> </w:t>
      </w:r>
      <w:r>
        <w:rPr>
          <w:color w:val="231F20"/>
          <w:sz w:val="17"/>
        </w:rPr>
        <w:t>P.L.M.</w:t>
      </w:r>
      <w:r>
        <w:rPr>
          <w:color w:val="231F20"/>
          <w:spacing w:val="60"/>
          <w:sz w:val="17"/>
        </w:rPr>
        <w:t xml:space="preserve"> </w:t>
      </w:r>
      <w:r>
        <w:rPr>
          <w:color w:val="231F20"/>
          <w:sz w:val="17"/>
        </w:rPr>
        <w:t>Robinson,</w:t>
      </w:r>
      <w:r>
        <w:rPr>
          <w:color w:val="231F20"/>
          <w:spacing w:val="59"/>
          <w:sz w:val="17"/>
        </w:rPr>
        <w:t xml:space="preserve"> </w:t>
      </w:r>
      <w:r>
        <w:rPr>
          <w:color w:val="231F20"/>
          <w:sz w:val="17"/>
        </w:rPr>
        <w:t>N.</w:t>
      </w:r>
      <w:r>
        <w:rPr>
          <w:color w:val="231F20"/>
          <w:spacing w:val="60"/>
          <w:sz w:val="17"/>
        </w:rPr>
        <w:t xml:space="preserve"> </w:t>
      </w:r>
      <w:r>
        <w:rPr>
          <w:color w:val="231F20"/>
          <w:spacing w:val="-2"/>
          <w:sz w:val="17"/>
        </w:rPr>
        <w:t>Evans,</w:t>
      </w:r>
    </w:p>
    <w:p w14:paraId="7E7E1581" w14:textId="77777777" w:rsidR="00AE0598" w:rsidRDefault="0069255A">
      <w:pPr>
        <w:spacing w:before="2"/>
        <w:ind w:left="430" w:right="124"/>
        <w:jc w:val="both"/>
        <w:rPr>
          <w:sz w:val="17"/>
        </w:rPr>
      </w:pPr>
      <w:r>
        <w:rPr>
          <w:color w:val="231F20"/>
          <w:w w:val="105"/>
          <w:sz w:val="17"/>
        </w:rPr>
        <w:t xml:space="preserve">R. </w:t>
      </w:r>
      <w:r>
        <w:rPr>
          <w:color w:val="231F20"/>
          <w:sz w:val="17"/>
        </w:rPr>
        <w:t xml:space="preserve">Sharpley and </w:t>
      </w:r>
      <w:r>
        <w:rPr>
          <w:color w:val="231F20"/>
          <w:w w:val="105"/>
          <w:sz w:val="17"/>
        </w:rPr>
        <w:t xml:space="preserve">J. </w:t>
      </w:r>
      <w:r>
        <w:rPr>
          <w:color w:val="231F20"/>
          <w:sz w:val="17"/>
        </w:rPr>
        <w:t xml:space="preserve">Swarbrooke (eds) </w:t>
      </w:r>
      <w:r>
        <w:rPr>
          <w:i/>
          <w:color w:val="231F20"/>
          <w:sz w:val="17"/>
        </w:rPr>
        <w:t>Reflections on International Tourism:</w:t>
      </w:r>
      <w:r>
        <w:rPr>
          <w:i/>
          <w:color w:val="231F20"/>
          <w:spacing w:val="40"/>
          <w:sz w:val="17"/>
        </w:rPr>
        <w:t xml:space="preserve"> </w:t>
      </w:r>
      <w:r>
        <w:rPr>
          <w:i/>
          <w:color w:val="231F20"/>
          <w:sz w:val="17"/>
        </w:rPr>
        <w:t xml:space="preserve">Motivations, Behaviour and Tourists Types </w:t>
      </w:r>
      <w:r>
        <w:rPr>
          <w:color w:val="231F20"/>
          <w:sz w:val="17"/>
        </w:rPr>
        <w:t>(Vol. 4; pp. 145–158). Sunderland:</w:t>
      </w:r>
      <w:r>
        <w:rPr>
          <w:color w:val="231F20"/>
          <w:spacing w:val="40"/>
          <w:sz w:val="17"/>
        </w:rPr>
        <w:t xml:space="preserve"> </w:t>
      </w:r>
      <w:r>
        <w:rPr>
          <w:color w:val="231F20"/>
          <w:sz w:val="17"/>
        </w:rPr>
        <w:t>Business Education Publishers Ltd.</w:t>
      </w:r>
    </w:p>
    <w:p w14:paraId="460BF132" w14:textId="77777777" w:rsidR="00AE0598" w:rsidRDefault="0069255A">
      <w:pPr>
        <w:spacing w:before="2"/>
        <w:ind w:left="430" w:right="127" w:hanging="320"/>
        <w:jc w:val="both"/>
        <w:rPr>
          <w:sz w:val="17"/>
        </w:rPr>
      </w:pPr>
      <w:r>
        <w:rPr>
          <w:color w:val="231F20"/>
          <w:sz w:val="17"/>
        </w:rPr>
        <w:t>Higham,</w:t>
      </w:r>
      <w:r>
        <w:rPr>
          <w:color w:val="231F20"/>
          <w:spacing w:val="40"/>
          <w:sz w:val="17"/>
        </w:rPr>
        <w:t xml:space="preserve"> </w:t>
      </w:r>
      <w:r>
        <w:rPr>
          <w:color w:val="231F20"/>
          <w:sz w:val="17"/>
        </w:rPr>
        <w:t>J.E.S.</w:t>
      </w:r>
      <w:r>
        <w:rPr>
          <w:color w:val="231F20"/>
          <w:spacing w:val="40"/>
          <w:sz w:val="17"/>
        </w:rPr>
        <w:t xml:space="preserve"> </w:t>
      </w:r>
      <w:r>
        <w:rPr>
          <w:color w:val="231F20"/>
          <w:sz w:val="17"/>
        </w:rPr>
        <w:t>and</w:t>
      </w:r>
      <w:r>
        <w:rPr>
          <w:color w:val="231F20"/>
          <w:spacing w:val="40"/>
          <w:sz w:val="17"/>
        </w:rPr>
        <w:t xml:space="preserve"> </w:t>
      </w:r>
      <w:r>
        <w:rPr>
          <w:color w:val="231F20"/>
          <w:sz w:val="17"/>
        </w:rPr>
        <w:t>Hinch,</w:t>
      </w:r>
      <w:r>
        <w:rPr>
          <w:color w:val="231F20"/>
          <w:spacing w:val="40"/>
          <w:sz w:val="17"/>
        </w:rPr>
        <w:t xml:space="preserve"> </w:t>
      </w:r>
      <w:r>
        <w:rPr>
          <w:color w:val="231F20"/>
          <w:sz w:val="17"/>
        </w:rPr>
        <w:t>T.D.</w:t>
      </w:r>
      <w:r>
        <w:rPr>
          <w:color w:val="231F20"/>
          <w:spacing w:val="40"/>
          <w:sz w:val="17"/>
        </w:rPr>
        <w:t xml:space="preserve"> </w:t>
      </w:r>
      <w:r>
        <w:rPr>
          <w:color w:val="231F20"/>
          <w:sz w:val="17"/>
        </w:rPr>
        <w:t>(2002a)</w:t>
      </w:r>
      <w:r>
        <w:rPr>
          <w:color w:val="231F20"/>
          <w:spacing w:val="40"/>
          <w:sz w:val="17"/>
        </w:rPr>
        <w:t xml:space="preserve"> </w:t>
      </w:r>
      <w:r>
        <w:rPr>
          <w:color w:val="231F20"/>
          <w:sz w:val="17"/>
        </w:rPr>
        <w:t>Sport,</w:t>
      </w:r>
      <w:r>
        <w:rPr>
          <w:color w:val="231F20"/>
          <w:spacing w:val="40"/>
          <w:sz w:val="17"/>
        </w:rPr>
        <w:t xml:space="preserve"> </w:t>
      </w:r>
      <w:r>
        <w:rPr>
          <w:color w:val="231F20"/>
          <w:sz w:val="17"/>
        </w:rPr>
        <w:t>tourism</w:t>
      </w:r>
      <w:r>
        <w:rPr>
          <w:color w:val="231F20"/>
          <w:spacing w:val="40"/>
          <w:sz w:val="17"/>
        </w:rPr>
        <w:t xml:space="preserve"> </w:t>
      </w:r>
      <w:r>
        <w:rPr>
          <w:color w:val="231F20"/>
          <w:sz w:val="17"/>
        </w:rPr>
        <w:t>and</w:t>
      </w:r>
      <w:r>
        <w:rPr>
          <w:color w:val="231F20"/>
          <w:spacing w:val="40"/>
          <w:sz w:val="17"/>
        </w:rPr>
        <w:t xml:space="preserve"> </w:t>
      </w:r>
      <w:r>
        <w:rPr>
          <w:color w:val="231F20"/>
          <w:sz w:val="17"/>
        </w:rPr>
        <w:t>seasons:</w:t>
      </w:r>
      <w:r>
        <w:rPr>
          <w:color w:val="231F20"/>
          <w:spacing w:val="40"/>
          <w:sz w:val="17"/>
        </w:rPr>
        <w:t xml:space="preserve"> </w:t>
      </w:r>
      <w:r>
        <w:rPr>
          <w:color w:val="231F20"/>
          <w:sz w:val="17"/>
        </w:rPr>
        <w:t>The</w:t>
      </w:r>
      <w:r>
        <w:rPr>
          <w:color w:val="231F20"/>
          <w:spacing w:val="40"/>
          <w:sz w:val="17"/>
        </w:rPr>
        <w:t xml:space="preserve"> </w:t>
      </w:r>
      <w:r>
        <w:rPr>
          <w:color w:val="231F20"/>
          <w:sz w:val="17"/>
        </w:rPr>
        <w:t>challenges</w:t>
      </w:r>
      <w:r>
        <w:rPr>
          <w:color w:val="231F20"/>
          <w:spacing w:val="40"/>
          <w:sz w:val="17"/>
        </w:rPr>
        <w:t xml:space="preserve"> </w:t>
      </w:r>
      <w:r>
        <w:rPr>
          <w:color w:val="231F20"/>
          <w:sz w:val="17"/>
        </w:rPr>
        <w:t xml:space="preserve">and potential of overcoming seasonality in the sport and tourism sectors. </w:t>
      </w:r>
      <w:r>
        <w:rPr>
          <w:i/>
          <w:color w:val="231F20"/>
          <w:sz w:val="17"/>
        </w:rPr>
        <w:t>Tourism</w:t>
      </w:r>
      <w:r>
        <w:rPr>
          <w:i/>
          <w:color w:val="231F20"/>
          <w:spacing w:val="40"/>
          <w:sz w:val="17"/>
        </w:rPr>
        <w:t xml:space="preserve"> </w:t>
      </w:r>
      <w:r>
        <w:rPr>
          <w:i/>
          <w:color w:val="231F20"/>
          <w:sz w:val="17"/>
        </w:rPr>
        <w:t xml:space="preserve">Management </w:t>
      </w:r>
      <w:r>
        <w:rPr>
          <w:color w:val="231F20"/>
          <w:sz w:val="17"/>
        </w:rPr>
        <w:t>23, 175–185.</w:t>
      </w:r>
    </w:p>
    <w:p w14:paraId="5330E467" w14:textId="77777777" w:rsidR="00AE0598" w:rsidRDefault="00AE0598">
      <w:pPr>
        <w:jc w:val="both"/>
        <w:rPr>
          <w:sz w:val="17"/>
        </w:rPr>
        <w:sectPr w:rsidR="00AE0598">
          <w:pgSz w:w="8850" w:h="13270"/>
          <w:pgMar w:top="720" w:right="1060" w:bottom="280" w:left="1080" w:header="720" w:footer="720" w:gutter="0"/>
          <w:cols w:space="720"/>
        </w:sectPr>
      </w:pPr>
    </w:p>
    <w:p w14:paraId="15B72A13" w14:textId="77777777" w:rsidR="00AE0598" w:rsidRDefault="0069255A">
      <w:pPr>
        <w:spacing w:before="87"/>
        <w:ind w:left="108"/>
        <w:rPr>
          <w:rFonts w:ascii="Trebuchet MS"/>
          <w:sz w:val="14"/>
        </w:rPr>
      </w:pPr>
      <w:r>
        <w:rPr>
          <w:rFonts w:ascii="Trebuchet MS"/>
          <w:color w:val="231F20"/>
          <w:w w:val="105"/>
          <w:sz w:val="14"/>
        </w:rPr>
        <w:lastRenderedPageBreak/>
        <w:t>254</w:t>
      </w:r>
      <w:r>
        <w:rPr>
          <w:rFonts w:ascii="Trebuchet MS"/>
          <w:color w:val="231F20"/>
          <w:spacing w:val="78"/>
          <w:w w:val="150"/>
          <w:sz w:val="14"/>
        </w:rPr>
        <w:t xml:space="preserve"> </w:t>
      </w:r>
      <w:r>
        <w:rPr>
          <w:rFonts w:ascii="Trebuchet MS"/>
          <w:color w:val="231F20"/>
          <w:spacing w:val="-2"/>
          <w:w w:val="105"/>
          <w:sz w:val="14"/>
        </w:rPr>
        <w:t>References</w:t>
      </w:r>
    </w:p>
    <w:p w14:paraId="2ED5C889" w14:textId="77777777" w:rsidR="00AE0598" w:rsidRDefault="00AE0598">
      <w:pPr>
        <w:pStyle w:val="Corpodetexto"/>
        <w:rPr>
          <w:rFonts w:ascii="Trebuchet MS"/>
          <w:sz w:val="16"/>
        </w:rPr>
      </w:pPr>
    </w:p>
    <w:p w14:paraId="5A7AFAFF" w14:textId="77777777" w:rsidR="00AE0598" w:rsidRDefault="0069255A">
      <w:pPr>
        <w:spacing w:before="121"/>
        <w:ind w:left="430" w:right="127" w:hanging="320"/>
        <w:jc w:val="both"/>
        <w:rPr>
          <w:sz w:val="17"/>
        </w:rPr>
      </w:pPr>
      <w:r>
        <w:rPr>
          <w:color w:val="231F20"/>
          <w:sz w:val="17"/>
        </w:rPr>
        <w:t xml:space="preserve">Higham, </w:t>
      </w:r>
      <w:r>
        <w:rPr>
          <w:color w:val="231F20"/>
          <w:w w:val="110"/>
          <w:sz w:val="17"/>
        </w:rPr>
        <w:t xml:space="preserve">J.E.S. </w:t>
      </w:r>
      <w:r>
        <w:rPr>
          <w:color w:val="231F20"/>
          <w:sz w:val="17"/>
        </w:rPr>
        <w:t xml:space="preserve">and Hinch, </w:t>
      </w:r>
      <w:r>
        <w:rPr>
          <w:color w:val="231F20"/>
          <w:w w:val="110"/>
          <w:sz w:val="17"/>
        </w:rPr>
        <w:t xml:space="preserve">T.D. </w:t>
      </w:r>
      <w:r>
        <w:rPr>
          <w:color w:val="231F20"/>
          <w:sz w:val="17"/>
        </w:rPr>
        <w:t>(2002b) Sport and tourism development: Avenues of</w:t>
      </w:r>
      <w:r>
        <w:rPr>
          <w:color w:val="231F20"/>
          <w:spacing w:val="40"/>
          <w:sz w:val="17"/>
        </w:rPr>
        <w:t xml:space="preserve"> </w:t>
      </w:r>
      <w:r>
        <w:rPr>
          <w:color w:val="231F20"/>
          <w:sz w:val="17"/>
        </w:rPr>
        <w:t>tourism development associat</w:t>
      </w:r>
      <w:r>
        <w:rPr>
          <w:color w:val="231F20"/>
          <w:sz w:val="17"/>
        </w:rPr>
        <w:t>ed with a regional sport franchise at an urban tourism</w:t>
      </w:r>
      <w:r>
        <w:rPr>
          <w:color w:val="231F20"/>
          <w:spacing w:val="40"/>
          <w:sz w:val="17"/>
        </w:rPr>
        <w:t xml:space="preserve"> </w:t>
      </w:r>
      <w:r>
        <w:rPr>
          <w:color w:val="231F20"/>
          <w:sz w:val="17"/>
        </w:rPr>
        <w:t xml:space="preserve">destination. In S. Gammon and </w:t>
      </w:r>
      <w:r>
        <w:rPr>
          <w:color w:val="231F20"/>
          <w:w w:val="110"/>
          <w:sz w:val="17"/>
        </w:rPr>
        <w:t xml:space="preserve">J. </w:t>
      </w:r>
      <w:r>
        <w:rPr>
          <w:color w:val="231F20"/>
          <w:sz w:val="17"/>
        </w:rPr>
        <w:t xml:space="preserve">Kurtzman (eds) </w:t>
      </w:r>
      <w:r>
        <w:rPr>
          <w:i/>
          <w:color w:val="231F20"/>
          <w:sz w:val="17"/>
        </w:rPr>
        <w:t>Sport Tourism: Principles and</w:t>
      </w:r>
      <w:r>
        <w:rPr>
          <w:i/>
          <w:color w:val="231F20"/>
          <w:spacing w:val="40"/>
          <w:sz w:val="17"/>
        </w:rPr>
        <w:t xml:space="preserve"> </w:t>
      </w:r>
      <w:r>
        <w:rPr>
          <w:i/>
          <w:color w:val="231F20"/>
          <w:sz w:val="17"/>
        </w:rPr>
        <w:t xml:space="preserve">Practice </w:t>
      </w:r>
      <w:r>
        <w:rPr>
          <w:color w:val="231F20"/>
          <w:sz w:val="17"/>
        </w:rPr>
        <w:t>(pp. 19–34). Eastbourne: Leisure Studies Association.</w:t>
      </w:r>
    </w:p>
    <w:p w14:paraId="3AFBF090" w14:textId="77777777" w:rsidR="00AE0598" w:rsidRDefault="0069255A">
      <w:pPr>
        <w:spacing w:before="3"/>
        <w:ind w:left="430" w:right="128" w:hanging="320"/>
        <w:jc w:val="both"/>
        <w:rPr>
          <w:sz w:val="17"/>
        </w:rPr>
      </w:pPr>
      <w:r>
        <w:rPr>
          <w:color w:val="231F20"/>
          <w:sz w:val="17"/>
        </w:rPr>
        <w:t>Higham, J.E.S. and Hinch, T.D. (2003) Sport, space and time:</w:t>
      </w:r>
      <w:r>
        <w:rPr>
          <w:color w:val="231F20"/>
          <w:sz w:val="17"/>
        </w:rPr>
        <w:t xml:space="preserve"> Effects of the Otago</w:t>
      </w:r>
      <w:r>
        <w:rPr>
          <w:color w:val="231F20"/>
          <w:spacing w:val="40"/>
          <w:sz w:val="17"/>
        </w:rPr>
        <w:t xml:space="preserve"> </w:t>
      </w:r>
      <w:r>
        <w:rPr>
          <w:color w:val="231F20"/>
          <w:sz w:val="17"/>
        </w:rPr>
        <w:t xml:space="preserve">Highlanders franchise on tourism. </w:t>
      </w:r>
      <w:r>
        <w:rPr>
          <w:i/>
          <w:color w:val="231F20"/>
          <w:sz w:val="17"/>
        </w:rPr>
        <w:t xml:space="preserve">Journal of Sports Management </w:t>
      </w:r>
      <w:r>
        <w:rPr>
          <w:color w:val="231F20"/>
          <w:sz w:val="17"/>
        </w:rPr>
        <w:t>17 (3), 235–257.</w:t>
      </w:r>
    </w:p>
    <w:p w14:paraId="6E489BAD" w14:textId="77777777" w:rsidR="00AE0598" w:rsidRDefault="0069255A">
      <w:pPr>
        <w:spacing w:before="1"/>
        <w:ind w:left="110"/>
        <w:jc w:val="both"/>
        <w:rPr>
          <w:sz w:val="17"/>
        </w:rPr>
      </w:pPr>
      <w:r>
        <w:rPr>
          <w:color w:val="231F20"/>
          <w:w w:val="95"/>
          <w:sz w:val="17"/>
        </w:rPr>
        <w:t>Higham,</w:t>
      </w:r>
      <w:r>
        <w:rPr>
          <w:color w:val="231F20"/>
          <w:spacing w:val="17"/>
          <w:sz w:val="17"/>
        </w:rPr>
        <w:t xml:space="preserve"> </w:t>
      </w:r>
      <w:r>
        <w:rPr>
          <w:color w:val="231F20"/>
          <w:w w:val="95"/>
          <w:sz w:val="17"/>
        </w:rPr>
        <w:t>J.E.S.</w:t>
      </w:r>
      <w:r>
        <w:rPr>
          <w:color w:val="231F20"/>
          <w:spacing w:val="18"/>
          <w:sz w:val="17"/>
        </w:rPr>
        <w:t xml:space="preserve"> </w:t>
      </w:r>
      <w:r>
        <w:rPr>
          <w:color w:val="231F20"/>
          <w:w w:val="95"/>
          <w:sz w:val="17"/>
        </w:rPr>
        <w:t>and</w:t>
      </w:r>
      <w:r>
        <w:rPr>
          <w:color w:val="231F20"/>
          <w:spacing w:val="18"/>
          <w:sz w:val="17"/>
        </w:rPr>
        <w:t xml:space="preserve"> </w:t>
      </w:r>
      <w:r>
        <w:rPr>
          <w:color w:val="231F20"/>
          <w:w w:val="95"/>
          <w:sz w:val="17"/>
        </w:rPr>
        <w:t>Hinch,</w:t>
      </w:r>
      <w:r>
        <w:rPr>
          <w:color w:val="231F20"/>
          <w:spacing w:val="18"/>
          <w:sz w:val="17"/>
        </w:rPr>
        <w:t xml:space="preserve"> </w:t>
      </w:r>
      <w:r>
        <w:rPr>
          <w:color w:val="231F20"/>
          <w:w w:val="95"/>
          <w:sz w:val="17"/>
        </w:rPr>
        <w:t>T.D.</w:t>
      </w:r>
      <w:r>
        <w:rPr>
          <w:color w:val="231F20"/>
          <w:spacing w:val="18"/>
          <w:sz w:val="17"/>
        </w:rPr>
        <w:t xml:space="preserve"> </w:t>
      </w:r>
      <w:r>
        <w:rPr>
          <w:color w:val="231F20"/>
          <w:w w:val="95"/>
          <w:sz w:val="17"/>
        </w:rPr>
        <w:t>(2006)</w:t>
      </w:r>
      <w:r>
        <w:rPr>
          <w:color w:val="231F20"/>
          <w:spacing w:val="18"/>
          <w:sz w:val="17"/>
        </w:rPr>
        <w:t xml:space="preserve"> </w:t>
      </w:r>
      <w:r>
        <w:rPr>
          <w:color w:val="231F20"/>
          <w:w w:val="95"/>
          <w:sz w:val="17"/>
        </w:rPr>
        <w:t>Sport</w:t>
      </w:r>
      <w:r>
        <w:rPr>
          <w:color w:val="231F20"/>
          <w:spacing w:val="17"/>
          <w:sz w:val="17"/>
        </w:rPr>
        <w:t xml:space="preserve"> </w:t>
      </w:r>
      <w:r>
        <w:rPr>
          <w:color w:val="231F20"/>
          <w:w w:val="95"/>
          <w:sz w:val="17"/>
        </w:rPr>
        <w:t>and</w:t>
      </w:r>
      <w:r>
        <w:rPr>
          <w:color w:val="231F20"/>
          <w:spacing w:val="18"/>
          <w:sz w:val="17"/>
        </w:rPr>
        <w:t xml:space="preserve"> </w:t>
      </w:r>
      <w:r>
        <w:rPr>
          <w:color w:val="231F20"/>
          <w:w w:val="95"/>
          <w:sz w:val="17"/>
        </w:rPr>
        <w:t>tourism</w:t>
      </w:r>
      <w:r>
        <w:rPr>
          <w:color w:val="231F20"/>
          <w:spacing w:val="18"/>
          <w:sz w:val="17"/>
        </w:rPr>
        <w:t xml:space="preserve"> </w:t>
      </w:r>
      <w:r>
        <w:rPr>
          <w:color w:val="231F20"/>
          <w:w w:val="95"/>
          <w:sz w:val="17"/>
        </w:rPr>
        <w:t>research:</w:t>
      </w:r>
      <w:r>
        <w:rPr>
          <w:color w:val="231F20"/>
          <w:spacing w:val="18"/>
          <w:sz w:val="17"/>
        </w:rPr>
        <w:t xml:space="preserve"> </w:t>
      </w:r>
      <w:r>
        <w:rPr>
          <w:color w:val="231F20"/>
          <w:w w:val="95"/>
          <w:sz w:val="17"/>
        </w:rPr>
        <w:t>A</w:t>
      </w:r>
      <w:r>
        <w:rPr>
          <w:color w:val="231F20"/>
          <w:spacing w:val="18"/>
          <w:sz w:val="17"/>
        </w:rPr>
        <w:t xml:space="preserve"> </w:t>
      </w:r>
      <w:r>
        <w:rPr>
          <w:color w:val="231F20"/>
          <w:w w:val="95"/>
          <w:sz w:val="17"/>
        </w:rPr>
        <w:t>geographic</w:t>
      </w:r>
      <w:r>
        <w:rPr>
          <w:color w:val="231F20"/>
          <w:spacing w:val="18"/>
          <w:sz w:val="17"/>
        </w:rPr>
        <w:t xml:space="preserve"> </w:t>
      </w:r>
      <w:r>
        <w:rPr>
          <w:color w:val="231F20"/>
          <w:spacing w:val="-2"/>
          <w:w w:val="95"/>
          <w:sz w:val="17"/>
        </w:rPr>
        <w:t>approach.</w:t>
      </w:r>
    </w:p>
    <w:p w14:paraId="7289341B" w14:textId="77777777" w:rsidR="00AE0598" w:rsidRDefault="0069255A">
      <w:pPr>
        <w:spacing w:before="1"/>
        <w:ind w:left="430"/>
        <w:jc w:val="both"/>
        <w:rPr>
          <w:sz w:val="17"/>
        </w:rPr>
      </w:pPr>
      <w:r>
        <w:rPr>
          <w:i/>
          <w:color w:val="231F20"/>
          <w:sz w:val="17"/>
        </w:rPr>
        <w:t>Sport</w:t>
      </w:r>
      <w:r>
        <w:rPr>
          <w:i/>
          <w:color w:val="231F20"/>
          <w:spacing w:val="17"/>
          <w:sz w:val="17"/>
        </w:rPr>
        <w:t xml:space="preserve"> </w:t>
      </w:r>
      <w:r>
        <w:rPr>
          <w:i/>
          <w:color w:val="231F20"/>
          <w:sz w:val="17"/>
        </w:rPr>
        <w:t>&amp;</w:t>
      </w:r>
      <w:r>
        <w:rPr>
          <w:i/>
          <w:color w:val="231F20"/>
          <w:spacing w:val="17"/>
          <w:sz w:val="17"/>
        </w:rPr>
        <w:t xml:space="preserve"> </w:t>
      </w:r>
      <w:r>
        <w:rPr>
          <w:i/>
          <w:color w:val="231F20"/>
          <w:sz w:val="17"/>
        </w:rPr>
        <w:t>Tourism:</w:t>
      </w:r>
      <w:r>
        <w:rPr>
          <w:i/>
          <w:color w:val="231F20"/>
          <w:spacing w:val="17"/>
          <w:sz w:val="17"/>
        </w:rPr>
        <w:t xml:space="preserve"> </w:t>
      </w:r>
      <w:r>
        <w:rPr>
          <w:i/>
          <w:color w:val="231F20"/>
          <w:sz w:val="17"/>
        </w:rPr>
        <w:t>A</w:t>
      </w:r>
      <w:r>
        <w:rPr>
          <w:i/>
          <w:color w:val="231F20"/>
          <w:spacing w:val="17"/>
          <w:sz w:val="17"/>
        </w:rPr>
        <w:t xml:space="preserve"> </w:t>
      </w:r>
      <w:r>
        <w:rPr>
          <w:i/>
          <w:color w:val="231F20"/>
          <w:sz w:val="17"/>
        </w:rPr>
        <w:t>Multidisciplinary</w:t>
      </w:r>
      <w:r>
        <w:rPr>
          <w:i/>
          <w:color w:val="231F20"/>
          <w:spacing w:val="17"/>
          <w:sz w:val="17"/>
        </w:rPr>
        <w:t xml:space="preserve"> </w:t>
      </w:r>
      <w:r>
        <w:rPr>
          <w:i/>
          <w:color w:val="231F20"/>
          <w:sz w:val="17"/>
        </w:rPr>
        <w:t>Journal</w:t>
      </w:r>
      <w:r>
        <w:rPr>
          <w:i/>
          <w:color w:val="231F20"/>
          <w:spacing w:val="18"/>
          <w:sz w:val="17"/>
        </w:rPr>
        <w:t xml:space="preserve"> </w:t>
      </w:r>
      <w:r>
        <w:rPr>
          <w:color w:val="231F20"/>
          <w:sz w:val="17"/>
        </w:rPr>
        <w:t>11</w:t>
      </w:r>
      <w:r>
        <w:rPr>
          <w:color w:val="231F20"/>
          <w:spacing w:val="17"/>
          <w:sz w:val="17"/>
        </w:rPr>
        <w:t xml:space="preserve"> </w:t>
      </w:r>
      <w:r>
        <w:rPr>
          <w:color w:val="231F20"/>
          <w:sz w:val="17"/>
        </w:rPr>
        <w:t>(1),</w:t>
      </w:r>
      <w:r>
        <w:rPr>
          <w:color w:val="231F20"/>
          <w:spacing w:val="17"/>
          <w:sz w:val="17"/>
        </w:rPr>
        <w:t xml:space="preserve"> </w:t>
      </w:r>
      <w:r>
        <w:rPr>
          <w:color w:val="231F20"/>
          <w:spacing w:val="-2"/>
          <w:sz w:val="17"/>
        </w:rPr>
        <w:t>31–49.</w:t>
      </w:r>
    </w:p>
    <w:p w14:paraId="14A0DE2E" w14:textId="77777777" w:rsidR="00AE0598" w:rsidRDefault="0069255A">
      <w:pPr>
        <w:ind w:left="430" w:right="128" w:hanging="320"/>
        <w:jc w:val="both"/>
        <w:rPr>
          <w:sz w:val="17"/>
        </w:rPr>
      </w:pPr>
      <w:r>
        <w:rPr>
          <w:color w:val="231F20"/>
          <w:sz w:val="17"/>
        </w:rPr>
        <w:t xml:space="preserve">Higham, J.E.S. and Hinch, T.D. (2010) </w:t>
      </w:r>
      <w:r>
        <w:rPr>
          <w:i/>
          <w:color w:val="231F20"/>
          <w:sz w:val="17"/>
        </w:rPr>
        <w:t>Sport and Tourism: Globalisation, Mobility and</w:t>
      </w:r>
      <w:r>
        <w:rPr>
          <w:i/>
          <w:color w:val="231F20"/>
          <w:spacing w:val="40"/>
          <w:sz w:val="17"/>
        </w:rPr>
        <w:t xml:space="preserve"> </w:t>
      </w:r>
      <w:r>
        <w:rPr>
          <w:i/>
          <w:color w:val="231F20"/>
          <w:sz w:val="17"/>
        </w:rPr>
        <w:t>Identity</w:t>
      </w:r>
      <w:r>
        <w:rPr>
          <w:color w:val="231F20"/>
          <w:sz w:val="17"/>
        </w:rPr>
        <w:t>. Oxford: Butterworth Heinemann.</w:t>
      </w:r>
    </w:p>
    <w:p w14:paraId="7A78539D" w14:textId="77777777" w:rsidR="00AE0598" w:rsidRDefault="0069255A">
      <w:pPr>
        <w:spacing w:before="2"/>
        <w:ind w:left="110"/>
        <w:jc w:val="both"/>
        <w:rPr>
          <w:sz w:val="17"/>
        </w:rPr>
      </w:pPr>
      <w:r>
        <w:rPr>
          <w:color w:val="231F20"/>
          <w:sz w:val="17"/>
        </w:rPr>
        <w:t>Hill,</w:t>
      </w:r>
      <w:r>
        <w:rPr>
          <w:color w:val="231F20"/>
          <w:spacing w:val="9"/>
          <w:sz w:val="17"/>
        </w:rPr>
        <w:t xml:space="preserve"> </w:t>
      </w:r>
      <w:r>
        <w:rPr>
          <w:color w:val="231F20"/>
          <w:sz w:val="17"/>
        </w:rPr>
        <w:t>C.R.</w:t>
      </w:r>
      <w:r>
        <w:rPr>
          <w:color w:val="231F20"/>
          <w:spacing w:val="10"/>
          <w:sz w:val="17"/>
        </w:rPr>
        <w:t xml:space="preserve"> </w:t>
      </w:r>
      <w:r>
        <w:rPr>
          <w:color w:val="231F20"/>
          <w:sz w:val="17"/>
        </w:rPr>
        <w:t>(1992)</w:t>
      </w:r>
      <w:r>
        <w:rPr>
          <w:color w:val="231F20"/>
          <w:spacing w:val="10"/>
          <w:sz w:val="17"/>
        </w:rPr>
        <w:t xml:space="preserve"> </w:t>
      </w:r>
      <w:r>
        <w:rPr>
          <w:i/>
          <w:color w:val="231F20"/>
          <w:sz w:val="17"/>
        </w:rPr>
        <w:t>Olympic</w:t>
      </w:r>
      <w:r>
        <w:rPr>
          <w:i/>
          <w:color w:val="231F20"/>
          <w:spacing w:val="10"/>
          <w:sz w:val="17"/>
        </w:rPr>
        <w:t xml:space="preserve"> </w:t>
      </w:r>
      <w:r>
        <w:rPr>
          <w:i/>
          <w:color w:val="231F20"/>
          <w:sz w:val="17"/>
        </w:rPr>
        <w:t>Politics</w:t>
      </w:r>
      <w:r>
        <w:rPr>
          <w:color w:val="231F20"/>
          <w:sz w:val="17"/>
        </w:rPr>
        <w:t>.</w:t>
      </w:r>
      <w:r>
        <w:rPr>
          <w:color w:val="231F20"/>
          <w:spacing w:val="10"/>
          <w:sz w:val="17"/>
        </w:rPr>
        <w:t xml:space="preserve"> </w:t>
      </w:r>
      <w:r>
        <w:rPr>
          <w:color w:val="231F20"/>
          <w:sz w:val="17"/>
        </w:rPr>
        <w:t>Manchester:</w:t>
      </w:r>
      <w:r>
        <w:rPr>
          <w:color w:val="231F20"/>
          <w:spacing w:val="10"/>
          <w:sz w:val="17"/>
        </w:rPr>
        <w:t xml:space="preserve"> </w:t>
      </w:r>
      <w:r>
        <w:rPr>
          <w:color w:val="231F20"/>
          <w:sz w:val="17"/>
        </w:rPr>
        <w:t>Manchester</w:t>
      </w:r>
      <w:r>
        <w:rPr>
          <w:color w:val="231F20"/>
          <w:spacing w:val="10"/>
          <w:sz w:val="17"/>
        </w:rPr>
        <w:t xml:space="preserve"> </w:t>
      </w:r>
      <w:r>
        <w:rPr>
          <w:color w:val="231F20"/>
          <w:sz w:val="17"/>
        </w:rPr>
        <w:t>University</w:t>
      </w:r>
      <w:r>
        <w:rPr>
          <w:color w:val="231F20"/>
          <w:spacing w:val="9"/>
          <w:sz w:val="17"/>
        </w:rPr>
        <w:t xml:space="preserve"> </w:t>
      </w:r>
      <w:r>
        <w:rPr>
          <w:color w:val="231F20"/>
          <w:spacing w:val="-2"/>
          <w:sz w:val="17"/>
        </w:rPr>
        <w:t>Press.</w:t>
      </w:r>
    </w:p>
    <w:p w14:paraId="752CA41F" w14:textId="77777777" w:rsidR="00AE0598" w:rsidRDefault="0069255A">
      <w:pPr>
        <w:spacing w:before="1"/>
        <w:ind w:left="430" w:right="128" w:hanging="320"/>
        <w:jc w:val="both"/>
        <w:rPr>
          <w:sz w:val="17"/>
        </w:rPr>
      </w:pPr>
      <w:r>
        <w:rPr>
          <w:color w:val="231F20"/>
          <w:sz w:val="17"/>
        </w:rPr>
        <w:t>Hill,</w:t>
      </w:r>
      <w:r>
        <w:rPr>
          <w:color w:val="231F20"/>
          <w:spacing w:val="-2"/>
          <w:sz w:val="17"/>
        </w:rPr>
        <w:t xml:space="preserve"> </w:t>
      </w:r>
      <w:r>
        <w:rPr>
          <w:color w:val="231F20"/>
          <w:w w:val="110"/>
          <w:sz w:val="17"/>
        </w:rPr>
        <w:t>J.S.</w:t>
      </w:r>
      <w:r>
        <w:rPr>
          <w:color w:val="231F20"/>
          <w:spacing w:val="-5"/>
          <w:w w:val="110"/>
          <w:sz w:val="17"/>
        </w:rPr>
        <w:t xml:space="preserve"> </w:t>
      </w:r>
      <w:r>
        <w:rPr>
          <w:color w:val="231F20"/>
          <w:sz w:val="17"/>
        </w:rPr>
        <w:t>and</w:t>
      </w:r>
      <w:r>
        <w:rPr>
          <w:color w:val="231F20"/>
          <w:spacing w:val="-2"/>
          <w:sz w:val="17"/>
        </w:rPr>
        <w:t xml:space="preserve"> </w:t>
      </w:r>
      <w:r>
        <w:rPr>
          <w:color w:val="231F20"/>
          <w:sz w:val="17"/>
        </w:rPr>
        <w:t>Vincent,</w:t>
      </w:r>
      <w:r>
        <w:rPr>
          <w:color w:val="231F20"/>
          <w:spacing w:val="-2"/>
          <w:sz w:val="17"/>
        </w:rPr>
        <w:t xml:space="preserve"> </w:t>
      </w:r>
      <w:r>
        <w:rPr>
          <w:color w:val="231F20"/>
          <w:w w:val="110"/>
          <w:sz w:val="17"/>
        </w:rPr>
        <w:t>J.</w:t>
      </w:r>
      <w:r>
        <w:rPr>
          <w:color w:val="231F20"/>
          <w:spacing w:val="-5"/>
          <w:w w:val="110"/>
          <w:sz w:val="17"/>
        </w:rPr>
        <w:t xml:space="preserve"> </w:t>
      </w:r>
      <w:r>
        <w:rPr>
          <w:color w:val="231F20"/>
          <w:sz w:val="17"/>
        </w:rPr>
        <w:t>(2006)</w:t>
      </w:r>
      <w:r>
        <w:rPr>
          <w:color w:val="231F20"/>
          <w:spacing w:val="-2"/>
          <w:sz w:val="17"/>
        </w:rPr>
        <w:t xml:space="preserve"> </w:t>
      </w:r>
      <w:r>
        <w:rPr>
          <w:color w:val="231F20"/>
          <w:sz w:val="17"/>
        </w:rPr>
        <w:t>Globalisation</w:t>
      </w:r>
      <w:r>
        <w:rPr>
          <w:color w:val="231F20"/>
          <w:spacing w:val="-2"/>
          <w:sz w:val="17"/>
        </w:rPr>
        <w:t xml:space="preserve"> </w:t>
      </w:r>
      <w:r>
        <w:rPr>
          <w:color w:val="231F20"/>
          <w:sz w:val="17"/>
        </w:rPr>
        <w:t>and</w:t>
      </w:r>
      <w:r>
        <w:rPr>
          <w:color w:val="231F20"/>
          <w:spacing w:val="-2"/>
          <w:sz w:val="17"/>
        </w:rPr>
        <w:t xml:space="preserve"> </w:t>
      </w:r>
      <w:r>
        <w:rPr>
          <w:color w:val="231F20"/>
          <w:sz w:val="17"/>
        </w:rPr>
        <w:t>sports</w:t>
      </w:r>
      <w:r>
        <w:rPr>
          <w:color w:val="231F20"/>
          <w:spacing w:val="-2"/>
          <w:sz w:val="17"/>
        </w:rPr>
        <w:t xml:space="preserve"> </w:t>
      </w:r>
      <w:r>
        <w:rPr>
          <w:color w:val="231F20"/>
          <w:sz w:val="17"/>
        </w:rPr>
        <w:t>branding:</w:t>
      </w:r>
      <w:r>
        <w:rPr>
          <w:color w:val="231F20"/>
          <w:spacing w:val="-2"/>
          <w:sz w:val="17"/>
        </w:rPr>
        <w:t xml:space="preserve"> </w:t>
      </w:r>
      <w:r>
        <w:rPr>
          <w:color w:val="231F20"/>
          <w:sz w:val="17"/>
        </w:rPr>
        <w:t>The</w:t>
      </w:r>
      <w:r>
        <w:rPr>
          <w:color w:val="231F20"/>
          <w:spacing w:val="-2"/>
          <w:sz w:val="17"/>
        </w:rPr>
        <w:t xml:space="preserve"> </w:t>
      </w:r>
      <w:r>
        <w:rPr>
          <w:color w:val="231F20"/>
          <w:sz w:val="17"/>
        </w:rPr>
        <w:t>case</w:t>
      </w:r>
      <w:r>
        <w:rPr>
          <w:color w:val="231F20"/>
          <w:spacing w:val="-2"/>
          <w:sz w:val="17"/>
        </w:rPr>
        <w:t xml:space="preserve"> </w:t>
      </w:r>
      <w:r>
        <w:rPr>
          <w:color w:val="231F20"/>
          <w:sz w:val="17"/>
        </w:rPr>
        <w:t>of</w:t>
      </w:r>
      <w:r>
        <w:rPr>
          <w:color w:val="231F20"/>
          <w:spacing w:val="-2"/>
          <w:sz w:val="17"/>
        </w:rPr>
        <w:t xml:space="preserve"> </w:t>
      </w:r>
      <w:r>
        <w:rPr>
          <w:color w:val="231F20"/>
          <w:sz w:val="17"/>
        </w:rPr>
        <w:t>Manchester</w:t>
      </w:r>
      <w:r>
        <w:rPr>
          <w:color w:val="231F20"/>
          <w:spacing w:val="40"/>
          <w:sz w:val="17"/>
        </w:rPr>
        <w:t xml:space="preserve"> </w:t>
      </w:r>
      <w:r>
        <w:rPr>
          <w:color w:val="231F20"/>
          <w:sz w:val="17"/>
        </w:rPr>
        <w:t xml:space="preserve">United. </w:t>
      </w:r>
      <w:r>
        <w:rPr>
          <w:i/>
          <w:color w:val="231F20"/>
          <w:sz w:val="17"/>
        </w:rPr>
        <w:t xml:space="preserve">International Journal of Sports Marketing and Sponsorship </w:t>
      </w:r>
      <w:r>
        <w:rPr>
          <w:color w:val="231F20"/>
          <w:sz w:val="17"/>
        </w:rPr>
        <w:t>7 (3), 61–78.</w:t>
      </w:r>
    </w:p>
    <w:p w14:paraId="4CA11D4A" w14:textId="77777777" w:rsidR="00AE0598" w:rsidRDefault="0069255A">
      <w:pPr>
        <w:spacing w:before="1"/>
        <w:ind w:left="110"/>
        <w:jc w:val="both"/>
        <w:rPr>
          <w:sz w:val="17"/>
        </w:rPr>
      </w:pPr>
      <w:r>
        <w:rPr>
          <w:color w:val="231F20"/>
          <w:sz w:val="17"/>
        </w:rPr>
        <w:t>Hill,</w:t>
      </w:r>
      <w:r>
        <w:rPr>
          <w:color w:val="231F20"/>
          <w:spacing w:val="15"/>
          <w:w w:val="110"/>
          <w:sz w:val="17"/>
        </w:rPr>
        <w:t xml:space="preserve"> </w:t>
      </w:r>
      <w:r>
        <w:rPr>
          <w:color w:val="231F20"/>
          <w:w w:val="110"/>
          <w:sz w:val="17"/>
        </w:rPr>
        <w:t>J.</w:t>
      </w:r>
      <w:r>
        <w:rPr>
          <w:color w:val="231F20"/>
          <w:spacing w:val="16"/>
          <w:w w:val="110"/>
          <w:sz w:val="17"/>
        </w:rPr>
        <w:t xml:space="preserve"> </w:t>
      </w:r>
      <w:r>
        <w:rPr>
          <w:color w:val="231F20"/>
          <w:sz w:val="17"/>
        </w:rPr>
        <w:t>and</w:t>
      </w:r>
      <w:r>
        <w:rPr>
          <w:color w:val="231F20"/>
          <w:spacing w:val="19"/>
          <w:sz w:val="17"/>
        </w:rPr>
        <w:t xml:space="preserve"> </w:t>
      </w:r>
      <w:r>
        <w:rPr>
          <w:color w:val="231F20"/>
          <w:sz w:val="17"/>
        </w:rPr>
        <w:t>McLean,</w:t>
      </w:r>
      <w:r>
        <w:rPr>
          <w:color w:val="231F20"/>
          <w:spacing w:val="16"/>
          <w:w w:val="110"/>
          <w:sz w:val="17"/>
        </w:rPr>
        <w:t xml:space="preserve"> </w:t>
      </w:r>
      <w:r>
        <w:rPr>
          <w:color w:val="231F20"/>
          <w:w w:val="110"/>
          <w:sz w:val="17"/>
        </w:rPr>
        <w:t>D.C.</w:t>
      </w:r>
      <w:r>
        <w:rPr>
          <w:color w:val="231F20"/>
          <w:spacing w:val="15"/>
          <w:w w:val="110"/>
          <w:sz w:val="17"/>
        </w:rPr>
        <w:t xml:space="preserve"> </w:t>
      </w:r>
      <w:r>
        <w:rPr>
          <w:color w:val="231F20"/>
          <w:sz w:val="17"/>
        </w:rPr>
        <w:t>(1999)</w:t>
      </w:r>
      <w:r>
        <w:rPr>
          <w:color w:val="231F20"/>
          <w:spacing w:val="20"/>
          <w:sz w:val="17"/>
        </w:rPr>
        <w:t xml:space="preserve"> </w:t>
      </w:r>
      <w:r>
        <w:rPr>
          <w:color w:val="231F20"/>
          <w:sz w:val="17"/>
        </w:rPr>
        <w:t>Introduction:</w:t>
      </w:r>
      <w:r>
        <w:rPr>
          <w:color w:val="231F20"/>
          <w:spacing w:val="19"/>
          <w:sz w:val="17"/>
        </w:rPr>
        <w:t xml:space="preserve"> </w:t>
      </w:r>
      <w:r>
        <w:rPr>
          <w:color w:val="231F20"/>
          <w:sz w:val="17"/>
        </w:rPr>
        <w:t>Possible,</w:t>
      </w:r>
      <w:r>
        <w:rPr>
          <w:color w:val="231F20"/>
          <w:spacing w:val="20"/>
          <w:sz w:val="17"/>
        </w:rPr>
        <w:t xml:space="preserve"> </w:t>
      </w:r>
      <w:r>
        <w:rPr>
          <w:color w:val="231F20"/>
          <w:sz w:val="17"/>
        </w:rPr>
        <w:t>probable,</w:t>
      </w:r>
      <w:r>
        <w:rPr>
          <w:color w:val="231F20"/>
          <w:spacing w:val="19"/>
          <w:sz w:val="17"/>
        </w:rPr>
        <w:t xml:space="preserve"> </w:t>
      </w:r>
      <w:r>
        <w:rPr>
          <w:color w:val="231F20"/>
          <w:sz w:val="17"/>
        </w:rPr>
        <w:t>or</w:t>
      </w:r>
      <w:r>
        <w:rPr>
          <w:color w:val="231F20"/>
          <w:spacing w:val="19"/>
          <w:sz w:val="17"/>
        </w:rPr>
        <w:t xml:space="preserve"> </w:t>
      </w:r>
      <w:r>
        <w:rPr>
          <w:color w:val="231F20"/>
          <w:sz w:val="17"/>
        </w:rPr>
        <w:t>preferable</w:t>
      </w:r>
      <w:r>
        <w:rPr>
          <w:color w:val="231F20"/>
          <w:spacing w:val="20"/>
          <w:sz w:val="17"/>
        </w:rPr>
        <w:t xml:space="preserve"> </w:t>
      </w:r>
      <w:r>
        <w:rPr>
          <w:color w:val="231F20"/>
          <w:spacing w:val="-2"/>
          <w:sz w:val="17"/>
        </w:rPr>
        <w:t>future?</w:t>
      </w:r>
    </w:p>
    <w:p w14:paraId="5BED8C9A" w14:textId="77777777" w:rsidR="00AE0598" w:rsidRDefault="0069255A">
      <w:pPr>
        <w:spacing w:before="1"/>
        <w:ind w:left="430"/>
        <w:jc w:val="both"/>
        <w:rPr>
          <w:sz w:val="17"/>
        </w:rPr>
      </w:pPr>
      <w:r>
        <w:rPr>
          <w:i/>
          <w:color w:val="231F20"/>
          <w:sz w:val="17"/>
        </w:rPr>
        <w:t>Journal</w:t>
      </w:r>
      <w:r>
        <w:rPr>
          <w:i/>
          <w:color w:val="231F20"/>
          <w:spacing w:val="13"/>
          <w:sz w:val="17"/>
        </w:rPr>
        <w:t xml:space="preserve"> </w:t>
      </w:r>
      <w:r>
        <w:rPr>
          <w:i/>
          <w:color w:val="231F20"/>
          <w:sz w:val="17"/>
        </w:rPr>
        <w:t>of</w:t>
      </w:r>
      <w:r>
        <w:rPr>
          <w:i/>
          <w:color w:val="231F20"/>
          <w:spacing w:val="13"/>
          <w:sz w:val="17"/>
        </w:rPr>
        <w:t xml:space="preserve"> </w:t>
      </w:r>
      <w:r>
        <w:rPr>
          <w:i/>
          <w:color w:val="231F20"/>
          <w:sz w:val="17"/>
        </w:rPr>
        <w:t>Physical</w:t>
      </w:r>
      <w:r>
        <w:rPr>
          <w:i/>
          <w:color w:val="231F20"/>
          <w:spacing w:val="13"/>
          <w:sz w:val="17"/>
        </w:rPr>
        <w:t xml:space="preserve"> </w:t>
      </w:r>
      <w:r>
        <w:rPr>
          <w:i/>
          <w:color w:val="231F20"/>
          <w:sz w:val="17"/>
        </w:rPr>
        <w:t>Education,</w:t>
      </w:r>
      <w:r>
        <w:rPr>
          <w:i/>
          <w:color w:val="231F20"/>
          <w:spacing w:val="13"/>
          <w:sz w:val="17"/>
        </w:rPr>
        <w:t xml:space="preserve"> </w:t>
      </w:r>
      <w:r>
        <w:rPr>
          <w:i/>
          <w:color w:val="231F20"/>
          <w:sz w:val="17"/>
        </w:rPr>
        <w:t>Recreation</w:t>
      </w:r>
      <w:r>
        <w:rPr>
          <w:i/>
          <w:color w:val="231F20"/>
          <w:spacing w:val="13"/>
          <w:sz w:val="17"/>
        </w:rPr>
        <w:t xml:space="preserve"> </w:t>
      </w:r>
      <w:r>
        <w:rPr>
          <w:i/>
          <w:color w:val="231F20"/>
          <w:sz w:val="17"/>
        </w:rPr>
        <w:t>&amp;</w:t>
      </w:r>
      <w:r>
        <w:rPr>
          <w:i/>
          <w:color w:val="231F20"/>
          <w:spacing w:val="13"/>
          <w:sz w:val="17"/>
        </w:rPr>
        <w:t xml:space="preserve"> </w:t>
      </w:r>
      <w:r>
        <w:rPr>
          <w:i/>
          <w:color w:val="231F20"/>
          <w:sz w:val="17"/>
        </w:rPr>
        <w:t>Dance</w:t>
      </w:r>
      <w:r>
        <w:rPr>
          <w:i/>
          <w:color w:val="231F20"/>
          <w:spacing w:val="13"/>
          <w:sz w:val="17"/>
        </w:rPr>
        <w:t xml:space="preserve"> </w:t>
      </w:r>
      <w:r>
        <w:rPr>
          <w:color w:val="231F20"/>
          <w:sz w:val="17"/>
        </w:rPr>
        <w:t>70</w:t>
      </w:r>
      <w:r>
        <w:rPr>
          <w:color w:val="231F20"/>
          <w:spacing w:val="13"/>
          <w:sz w:val="17"/>
        </w:rPr>
        <w:t xml:space="preserve"> </w:t>
      </w:r>
      <w:r>
        <w:rPr>
          <w:color w:val="231F20"/>
          <w:sz w:val="17"/>
        </w:rPr>
        <w:t>(9),</w:t>
      </w:r>
      <w:r>
        <w:rPr>
          <w:color w:val="231F20"/>
          <w:spacing w:val="13"/>
          <w:sz w:val="17"/>
        </w:rPr>
        <w:t xml:space="preserve"> </w:t>
      </w:r>
      <w:r>
        <w:rPr>
          <w:color w:val="231F20"/>
          <w:spacing w:val="-2"/>
          <w:sz w:val="17"/>
        </w:rPr>
        <w:t>15–17.</w:t>
      </w:r>
    </w:p>
    <w:p w14:paraId="4337DF4A" w14:textId="77777777" w:rsidR="00AE0598" w:rsidRDefault="0069255A">
      <w:pPr>
        <w:ind w:left="430" w:right="129" w:hanging="320"/>
        <w:jc w:val="both"/>
        <w:rPr>
          <w:sz w:val="17"/>
        </w:rPr>
      </w:pPr>
      <w:r>
        <w:rPr>
          <w:color w:val="231F20"/>
          <w:sz w:val="17"/>
        </w:rPr>
        <w:t>Hiller, H.H. (1998) Assessing the impacts of mega-events: A linkage model.</w:t>
      </w:r>
      <w:r>
        <w:rPr>
          <w:color w:val="231F20"/>
          <w:spacing w:val="-1"/>
          <w:sz w:val="17"/>
        </w:rPr>
        <w:t xml:space="preserve"> </w:t>
      </w:r>
      <w:r>
        <w:rPr>
          <w:i/>
          <w:color w:val="231F20"/>
          <w:sz w:val="17"/>
        </w:rPr>
        <w:t>Current Issues</w:t>
      </w:r>
      <w:r>
        <w:rPr>
          <w:i/>
          <w:color w:val="231F20"/>
          <w:spacing w:val="40"/>
          <w:sz w:val="17"/>
        </w:rPr>
        <w:t xml:space="preserve"> </w:t>
      </w:r>
      <w:r>
        <w:rPr>
          <w:i/>
          <w:color w:val="231F20"/>
          <w:sz w:val="17"/>
        </w:rPr>
        <w:t xml:space="preserve">in Tourism </w:t>
      </w:r>
      <w:r>
        <w:rPr>
          <w:color w:val="231F20"/>
          <w:sz w:val="17"/>
        </w:rPr>
        <w:t>1 (1), 47–57.</w:t>
      </w:r>
    </w:p>
    <w:p w14:paraId="517DF093" w14:textId="77777777" w:rsidR="00AE0598" w:rsidRDefault="0069255A">
      <w:pPr>
        <w:spacing w:before="2"/>
        <w:ind w:left="430" w:right="128" w:hanging="320"/>
        <w:jc w:val="both"/>
        <w:rPr>
          <w:sz w:val="17"/>
        </w:rPr>
      </w:pPr>
      <w:r>
        <w:rPr>
          <w:color w:val="231F20"/>
          <w:sz w:val="17"/>
        </w:rPr>
        <w:t xml:space="preserve">Hinch, T.D. (2006) Canadian sport and culture in the tourism marketplace. </w:t>
      </w:r>
      <w:r>
        <w:rPr>
          <w:i/>
          <w:color w:val="231F20"/>
          <w:sz w:val="17"/>
        </w:rPr>
        <w:t>Tourism</w:t>
      </w:r>
      <w:r>
        <w:rPr>
          <w:i/>
          <w:color w:val="231F20"/>
          <w:spacing w:val="40"/>
          <w:sz w:val="17"/>
        </w:rPr>
        <w:t xml:space="preserve"> </w:t>
      </w:r>
      <w:r>
        <w:rPr>
          <w:i/>
          <w:color w:val="231F20"/>
          <w:sz w:val="17"/>
        </w:rPr>
        <w:t xml:space="preserve">Geographies </w:t>
      </w:r>
      <w:r>
        <w:rPr>
          <w:color w:val="231F20"/>
          <w:sz w:val="17"/>
        </w:rPr>
        <w:t xml:space="preserve">8 </w:t>
      </w:r>
      <w:r>
        <w:rPr>
          <w:color w:val="231F20"/>
          <w:sz w:val="17"/>
        </w:rPr>
        <w:t>(1), 15–30.</w:t>
      </w:r>
    </w:p>
    <w:p w14:paraId="6783174F" w14:textId="77777777" w:rsidR="00AE0598" w:rsidRDefault="0069255A">
      <w:pPr>
        <w:spacing w:before="1"/>
        <w:ind w:left="430" w:right="128" w:hanging="320"/>
        <w:jc w:val="both"/>
        <w:rPr>
          <w:sz w:val="17"/>
        </w:rPr>
      </w:pPr>
      <w:r>
        <w:rPr>
          <w:color w:val="231F20"/>
          <w:sz w:val="17"/>
        </w:rPr>
        <w:t>Hinch, T.D. (2013) Ultra-marathons and tourism development: The case of the Canadian</w:t>
      </w:r>
      <w:r>
        <w:rPr>
          <w:color w:val="231F20"/>
          <w:spacing w:val="40"/>
          <w:sz w:val="17"/>
        </w:rPr>
        <w:t xml:space="preserve"> </w:t>
      </w:r>
      <w:r>
        <w:rPr>
          <w:color w:val="231F20"/>
          <w:sz w:val="17"/>
        </w:rPr>
        <w:t xml:space="preserve">death race in Grande Cache, Alberta. In B. Garrod and A. Fyall (eds) </w:t>
      </w:r>
      <w:r>
        <w:rPr>
          <w:i/>
          <w:color w:val="231F20"/>
          <w:sz w:val="17"/>
        </w:rPr>
        <w:t>Contemporary</w:t>
      </w:r>
      <w:r>
        <w:rPr>
          <w:i/>
          <w:color w:val="231F20"/>
          <w:spacing w:val="40"/>
          <w:sz w:val="17"/>
        </w:rPr>
        <w:t xml:space="preserve"> </w:t>
      </w:r>
      <w:r>
        <w:rPr>
          <w:i/>
          <w:color w:val="231F20"/>
          <w:sz w:val="17"/>
        </w:rPr>
        <w:t xml:space="preserve">Cases in Sport </w:t>
      </w:r>
      <w:r>
        <w:rPr>
          <w:color w:val="231F20"/>
          <w:sz w:val="17"/>
        </w:rPr>
        <w:t>(pp. 22–40). Oxford: Goodfellow Publishers.</w:t>
      </w:r>
    </w:p>
    <w:p w14:paraId="2B221EB9" w14:textId="77777777" w:rsidR="00AE0598" w:rsidRDefault="0069255A">
      <w:pPr>
        <w:spacing w:before="2"/>
        <w:ind w:left="430" w:right="127" w:hanging="320"/>
        <w:jc w:val="both"/>
        <w:rPr>
          <w:sz w:val="17"/>
        </w:rPr>
      </w:pPr>
      <w:r>
        <w:rPr>
          <w:color w:val="231F20"/>
          <w:w w:val="105"/>
          <w:sz w:val="17"/>
        </w:rPr>
        <w:t>Hinch, T., Hickey,</w:t>
      </w:r>
      <w:r>
        <w:rPr>
          <w:color w:val="231F20"/>
          <w:w w:val="105"/>
          <w:sz w:val="17"/>
        </w:rPr>
        <w:t xml:space="preserve"> G. and Jackson, E.L. (2001) Seasonal visitation at Fort Edmonton</w:t>
      </w:r>
      <w:r>
        <w:rPr>
          <w:color w:val="231F20"/>
          <w:spacing w:val="40"/>
          <w:w w:val="105"/>
          <w:sz w:val="17"/>
        </w:rPr>
        <w:t xml:space="preserve"> </w:t>
      </w:r>
      <w:r>
        <w:rPr>
          <w:color w:val="231F20"/>
          <w:sz w:val="17"/>
        </w:rPr>
        <w:t>Park:</w:t>
      </w:r>
      <w:r>
        <w:rPr>
          <w:color w:val="231F20"/>
          <w:spacing w:val="14"/>
          <w:sz w:val="17"/>
        </w:rPr>
        <w:t xml:space="preserve"> </w:t>
      </w:r>
      <w:r>
        <w:rPr>
          <w:color w:val="231F20"/>
          <w:sz w:val="17"/>
        </w:rPr>
        <w:t>An</w:t>
      </w:r>
      <w:r>
        <w:rPr>
          <w:color w:val="231F20"/>
          <w:spacing w:val="14"/>
          <w:sz w:val="17"/>
        </w:rPr>
        <w:t xml:space="preserve"> </w:t>
      </w:r>
      <w:r>
        <w:rPr>
          <w:color w:val="231F20"/>
          <w:sz w:val="17"/>
        </w:rPr>
        <w:t>empirical</w:t>
      </w:r>
      <w:r>
        <w:rPr>
          <w:color w:val="231F20"/>
          <w:spacing w:val="14"/>
          <w:sz w:val="17"/>
        </w:rPr>
        <w:t xml:space="preserve"> </w:t>
      </w:r>
      <w:r>
        <w:rPr>
          <w:color w:val="231F20"/>
          <w:sz w:val="17"/>
        </w:rPr>
        <w:t>analysis</w:t>
      </w:r>
      <w:r>
        <w:rPr>
          <w:color w:val="231F20"/>
          <w:spacing w:val="15"/>
          <w:sz w:val="17"/>
        </w:rPr>
        <w:t xml:space="preserve"> </w:t>
      </w:r>
      <w:r>
        <w:rPr>
          <w:color w:val="231F20"/>
          <w:sz w:val="17"/>
        </w:rPr>
        <w:t>using</w:t>
      </w:r>
      <w:r>
        <w:rPr>
          <w:color w:val="231F20"/>
          <w:spacing w:val="14"/>
          <w:sz w:val="17"/>
        </w:rPr>
        <w:t xml:space="preserve"> </w:t>
      </w:r>
      <w:r>
        <w:rPr>
          <w:color w:val="231F20"/>
          <w:sz w:val="17"/>
        </w:rPr>
        <w:t>a</w:t>
      </w:r>
      <w:r>
        <w:rPr>
          <w:color w:val="231F20"/>
          <w:spacing w:val="14"/>
          <w:sz w:val="17"/>
        </w:rPr>
        <w:t xml:space="preserve"> </w:t>
      </w:r>
      <w:r>
        <w:rPr>
          <w:color w:val="231F20"/>
          <w:sz w:val="17"/>
        </w:rPr>
        <w:t>leisure</w:t>
      </w:r>
      <w:r>
        <w:rPr>
          <w:color w:val="231F20"/>
          <w:spacing w:val="14"/>
          <w:sz w:val="17"/>
        </w:rPr>
        <w:t xml:space="preserve"> </w:t>
      </w:r>
      <w:r>
        <w:rPr>
          <w:color w:val="231F20"/>
          <w:sz w:val="17"/>
        </w:rPr>
        <w:t>constraints</w:t>
      </w:r>
      <w:r>
        <w:rPr>
          <w:color w:val="231F20"/>
          <w:spacing w:val="15"/>
          <w:sz w:val="17"/>
        </w:rPr>
        <w:t xml:space="preserve"> </w:t>
      </w:r>
      <w:r>
        <w:rPr>
          <w:color w:val="231F20"/>
          <w:sz w:val="17"/>
        </w:rPr>
        <w:t>framework.</w:t>
      </w:r>
      <w:r>
        <w:rPr>
          <w:color w:val="231F20"/>
          <w:spacing w:val="14"/>
          <w:sz w:val="17"/>
        </w:rPr>
        <w:t xml:space="preserve"> </w:t>
      </w:r>
      <w:r>
        <w:rPr>
          <w:color w:val="231F20"/>
          <w:sz w:val="17"/>
        </w:rPr>
        <w:t>In</w:t>
      </w:r>
      <w:r>
        <w:rPr>
          <w:color w:val="231F20"/>
          <w:spacing w:val="14"/>
          <w:sz w:val="17"/>
        </w:rPr>
        <w:t xml:space="preserve"> </w:t>
      </w:r>
      <w:r>
        <w:rPr>
          <w:color w:val="231F20"/>
          <w:sz w:val="17"/>
        </w:rPr>
        <w:t>T.</w:t>
      </w:r>
      <w:r>
        <w:rPr>
          <w:color w:val="231F20"/>
          <w:spacing w:val="14"/>
          <w:sz w:val="17"/>
        </w:rPr>
        <w:t xml:space="preserve"> </w:t>
      </w:r>
      <w:r>
        <w:rPr>
          <w:color w:val="231F20"/>
          <w:sz w:val="17"/>
        </w:rPr>
        <w:t>Baum</w:t>
      </w:r>
      <w:r>
        <w:rPr>
          <w:color w:val="231F20"/>
          <w:spacing w:val="15"/>
          <w:sz w:val="17"/>
        </w:rPr>
        <w:t xml:space="preserve"> </w:t>
      </w:r>
      <w:r>
        <w:rPr>
          <w:color w:val="231F20"/>
          <w:spacing w:val="-5"/>
          <w:sz w:val="17"/>
        </w:rPr>
        <w:t>and</w:t>
      </w:r>
    </w:p>
    <w:p w14:paraId="57015DB2" w14:textId="77777777" w:rsidR="00AE0598" w:rsidRDefault="0069255A">
      <w:pPr>
        <w:spacing w:before="2"/>
        <w:ind w:left="430"/>
        <w:jc w:val="both"/>
        <w:rPr>
          <w:sz w:val="17"/>
        </w:rPr>
      </w:pPr>
      <w:r>
        <w:rPr>
          <w:color w:val="231F20"/>
          <w:w w:val="95"/>
          <w:sz w:val="17"/>
        </w:rPr>
        <w:t>S.</w:t>
      </w:r>
      <w:r>
        <w:rPr>
          <w:color w:val="231F20"/>
          <w:spacing w:val="17"/>
          <w:sz w:val="17"/>
        </w:rPr>
        <w:t xml:space="preserve"> </w:t>
      </w:r>
      <w:r>
        <w:rPr>
          <w:color w:val="231F20"/>
          <w:w w:val="95"/>
          <w:sz w:val="17"/>
        </w:rPr>
        <w:t>Lundtorp</w:t>
      </w:r>
      <w:r>
        <w:rPr>
          <w:color w:val="231F20"/>
          <w:spacing w:val="17"/>
          <w:sz w:val="17"/>
        </w:rPr>
        <w:t xml:space="preserve"> </w:t>
      </w:r>
      <w:r>
        <w:rPr>
          <w:color w:val="231F20"/>
          <w:w w:val="95"/>
          <w:sz w:val="17"/>
        </w:rPr>
        <w:t>(eds)</w:t>
      </w:r>
      <w:r>
        <w:rPr>
          <w:color w:val="231F20"/>
          <w:spacing w:val="17"/>
          <w:sz w:val="17"/>
        </w:rPr>
        <w:t xml:space="preserve"> </w:t>
      </w:r>
      <w:r>
        <w:rPr>
          <w:i/>
          <w:color w:val="231F20"/>
          <w:w w:val="95"/>
          <w:sz w:val="17"/>
        </w:rPr>
        <w:t>Seasonality</w:t>
      </w:r>
      <w:r>
        <w:rPr>
          <w:i/>
          <w:color w:val="231F20"/>
          <w:spacing w:val="17"/>
          <w:sz w:val="17"/>
        </w:rPr>
        <w:t xml:space="preserve"> </w:t>
      </w:r>
      <w:r>
        <w:rPr>
          <w:i/>
          <w:color w:val="231F20"/>
          <w:w w:val="95"/>
          <w:sz w:val="17"/>
        </w:rPr>
        <w:t>in</w:t>
      </w:r>
      <w:r>
        <w:rPr>
          <w:i/>
          <w:color w:val="231F20"/>
          <w:spacing w:val="17"/>
          <w:sz w:val="17"/>
        </w:rPr>
        <w:t xml:space="preserve"> </w:t>
      </w:r>
      <w:r>
        <w:rPr>
          <w:i/>
          <w:color w:val="231F20"/>
          <w:w w:val="95"/>
          <w:sz w:val="17"/>
        </w:rPr>
        <w:t>Tourism</w:t>
      </w:r>
      <w:r>
        <w:rPr>
          <w:i/>
          <w:color w:val="231F20"/>
          <w:spacing w:val="17"/>
          <w:sz w:val="17"/>
        </w:rPr>
        <w:t xml:space="preserve"> </w:t>
      </w:r>
      <w:r>
        <w:rPr>
          <w:color w:val="231F20"/>
          <w:w w:val="95"/>
          <w:sz w:val="17"/>
        </w:rPr>
        <w:t>(pp.</w:t>
      </w:r>
      <w:r>
        <w:rPr>
          <w:color w:val="231F20"/>
          <w:spacing w:val="18"/>
          <w:sz w:val="17"/>
        </w:rPr>
        <w:t xml:space="preserve"> </w:t>
      </w:r>
      <w:r>
        <w:rPr>
          <w:color w:val="231F20"/>
          <w:w w:val="95"/>
          <w:sz w:val="17"/>
        </w:rPr>
        <w:t>173–186).</w:t>
      </w:r>
      <w:r>
        <w:rPr>
          <w:color w:val="231F20"/>
          <w:spacing w:val="17"/>
          <w:sz w:val="17"/>
        </w:rPr>
        <w:t xml:space="preserve"> </w:t>
      </w:r>
      <w:r>
        <w:rPr>
          <w:color w:val="231F20"/>
          <w:w w:val="95"/>
          <w:sz w:val="17"/>
        </w:rPr>
        <w:t>London:</w:t>
      </w:r>
      <w:r>
        <w:rPr>
          <w:color w:val="231F20"/>
          <w:spacing w:val="17"/>
          <w:sz w:val="17"/>
        </w:rPr>
        <w:t xml:space="preserve"> </w:t>
      </w:r>
      <w:r>
        <w:rPr>
          <w:color w:val="231F20"/>
          <w:spacing w:val="-2"/>
          <w:w w:val="95"/>
          <w:sz w:val="17"/>
        </w:rPr>
        <w:t>Pergamon.</w:t>
      </w:r>
    </w:p>
    <w:p w14:paraId="6A74623C" w14:textId="77777777" w:rsidR="00AE0598" w:rsidRDefault="0069255A">
      <w:pPr>
        <w:ind w:left="110"/>
        <w:jc w:val="both"/>
        <w:rPr>
          <w:sz w:val="17"/>
        </w:rPr>
      </w:pPr>
      <w:r>
        <w:rPr>
          <w:color w:val="231F20"/>
          <w:sz w:val="17"/>
        </w:rPr>
        <w:t>Hinch,</w:t>
      </w:r>
      <w:r>
        <w:rPr>
          <w:color w:val="231F20"/>
          <w:spacing w:val="67"/>
          <w:sz w:val="17"/>
        </w:rPr>
        <w:t xml:space="preserve"> </w:t>
      </w:r>
      <w:r>
        <w:rPr>
          <w:color w:val="231F20"/>
          <w:sz w:val="17"/>
        </w:rPr>
        <w:t>T.D.</w:t>
      </w:r>
      <w:r>
        <w:rPr>
          <w:color w:val="231F20"/>
          <w:spacing w:val="68"/>
          <w:sz w:val="17"/>
        </w:rPr>
        <w:t xml:space="preserve"> </w:t>
      </w:r>
      <w:r>
        <w:rPr>
          <w:color w:val="231F20"/>
          <w:sz w:val="17"/>
        </w:rPr>
        <w:t>and</w:t>
      </w:r>
      <w:r>
        <w:rPr>
          <w:color w:val="231F20"/>
          <w:spacing w:val="68"/>
          <w:sz w:val="17"/>
        </w:rPr>
        <w:t xml:space="preserve"> </w:t>
      </w:r>
      <w:r>
        <w:rPr>
          <w:color w:val="231F20"/>
          <w:sz w:val="17"/>
        </w:rPr>
        <w:t>Higham,</w:t>
      </w:r>
      <w:r>
        <w:rPr>
          <w:color w:val="231F20"/>
          <w:spacing w:val="68"/>
          <w:sz w:val="17"/>
        </w:rPr>
        <w:t xml:space="preserve"> </w:t>
      </w:r>
      <w:r>
        <w:rPr>
          <w:color w:val="231F20"/>
          <w:sz w:val="17"/>
        </w:rPr>
        <w:t>J.E.S.</w:t>
      </w:r>
      <w:r>
        <w:rPr>
          <w:color w:val="231F20"/>
          <w:spacing w:val="68"/>
          <w:sz w:val="17"/>
        </w:rPr>
        <w:t xml:space="preserve"> </w:t>
      </w:r>
      <w:r>
        <w:rPr>
          <w:color w:val="231F20"/>
          <w:sz w:val="17"/>
        </w:rPr>
        <w:t>(2001)</w:t>
      </w:r>
      <w:r>
        <w:rPr>
          <w:color w:val="231F20"/>
          <w:spacing w:val="68"/>
          <w:sz w:val="17"/>
        </w:rPr>
        <w:t xml:space="preserve"> </w:t>
      </w:r>
      <w:r>
        <w:rPr>
          <w:color w:val="231F20"/>
          <w:sz w:val="17"/>
        </w:rPr>
        <w:t>Sport</w:t>
      </w:r>
      <w:r>
        <w:rPr>
          <w:color w:val="231F20"/>
          <w:spacing w:val="67"/>
          <w:sz w:val="17"/>
        </w:rPr>
        <w:t xml:space="preserve"> </w:t>
      </w:r>
      <w:r>
        <w:rPr>
          <w:color w:val="231F20"/>
          <w:sz w:val="17"/>
        </w:rPr>
        <w:t>tourism:</w:t>
      </w:r>
      <w:r>
        <w:rPr>
          <w:color w:val="231F20"/>
          <w:spacing w:val="68"/>
          <w:sz w:val="17"/>
        </w:rPr>
        <w:t xml:space="preserve"> </w:t>
      </w:r>
      <w:r>
        <w:rPr>
          <w:color w:val="231F20"/>
          <w:sz w:val="17"/>
        </w:rPr>
        <w:t>A</w:t>
      </w:r>
      <w:r>
        <w:rPr>
          <w:color w:val="231F20"/>
          <w:spacing w:val="68"/>
          <w:sz w:val="17"/>
        </w:rPr>
        <w:t xml:space="preserve"> </w:t>
      </w:r>
      <w:r>
        <w:rPr>
          <w:color w:val="231F20"/>
          <w:sz w:val="17"/>
        </w:rPr>
        <w:t>framework</w:t>
      </w:r>
      <w:r>
        <w:rPr>
          <w:color w:val="231F20"/>
          <w:spacing w:val="68"/>
          <w:sz w:val="17"/>
        </w:rPr>
        <w:t xml:space="preserve"> </w:t>
      </w:r>
      <w:r>
        <w:rPr>
          <w:color w:val="231F20"/>
          <w:sz w:val="17"/>
        </w:rPr>
        <w:t>for</w:t>
      </w:r>
      <w:r>
        <w:rPr>
          <w:color w:val="231F20"/>
          <w:spacing w:val="68"/>
          <w:sz w:val="17"/>
        </w:rPr>
        <w:t xml:space="preserve"> </w:t>
      </w:r>
      <w:r>
        <w:rPr>
          <w:color w:val="231F20"/>
          <w:spacing w:val="-2"/>
          <w:sz w:val="17"/>
        </w:rPr>
        <w:t>research.</w:t>
      </w:r>
    </w:p>
    <w:p w14:paraId="0DE97935" w14:textId="77777777" w:rsidR="00AE0598" w:rsidRDefault="0069255A">
      <w:pPr>
        <w:spacing w:before="1"/>
        <w:ind w:left="430"/>
        <w:jc w:val="both"/>
        <w:rPr>
          <w:sz w:val="17"/>
        </w:rPr>
      </w:pPr>
      <w:r>
        <w:rPr>
          <w:i/>
          <w:color w:val="231F20"/>
          <w:sz w:val="17"/>
        </w:rPr>
        <w:t>The</w:t>
      </w:r>
      <w:r>
        <w:rPr>
          <w:i/>
          <w:color w:val="231F20"/>
          <w:spacing w:val="7"/>
          <w:sz w:val="17"/>
        </w:rPr>
        <w:t xml:space="preserve"> </w:t>
      </w:r>
      <w:r>
        <w:rPr>
          <w:i/>
          <w:color w:val="231F20"/>
          <w:sz w:val="17"/>
        </w:rPr>
        <w:t>International</w:t>
      </w:r>
      <w:r>
        <w:rPr>
          <w:i/>
          <w:color w:val="231F20"/>
          <w:spacing w:val="7"/>
          <w:sz w:val="17"/>
        </w:rPr>
        <w:t xml:space="preserve"> </w:t>
      </w:r>
      <w:r>
        <w:rPr>
          <w:i/>
          <w:color w:val="231F20"/>
          <w:sz w:val="17"/>
        </w:rPr>
        <w:t>Journal</w:t>
      </w:r>
      <w:r>
        <w:rPr>
          <w:i/>
          <w:color w:val="231F20"/>
          <w:spacing w:val="7"/>
          <w:sz w:val="17"/>
        </w:rPr>
        <w:t xml:space="preserve"> </w:t>
      </w:r>
      <w:r>
        <w:rPr>
          <w:i/>
          <w:color w:val="231F20"/>
          <w:sz w:val="17"/>
        </w:rPr>
        <w:t>of</w:t>
      </w:r>
      <w:r>
        <w:rPr>
          <w:i/>
          <w:color w:val="231F20"/>
          <w:spacing w:val="7"/>
          <w:sz w:val="17"/>
        </w:rPr>
        <w:t xml:space="preserve"> </w:t>
      </w:r>
      <w:r>
        <w:rPr>
          <w:i/>
          <w:color w:val="231F20"/>
          <w:sz w:val="17"/>
        </w:rPr>
        <w:t>Tourism</w:t>
      </w:r>
      <w:r>
        <w:rPr>
          <w:i/>
          <w:color w:val="231F20"/>
          <w:spacing w:val="7"/>
          <w:sz w:val="17"/>
        </w:rPr>
        <w:t xml:space="preserve"> </w:t>
      </w:r>
      <w:r>
        <w:rPr>
          <w:i/>
          <w:color w:val="231F20"/>
          <w:sz w:val="17"/>
        </w:rPr>
        <w:t>Research</w:t>
      </w:r>
      <w:r>
        <w:rPr>
          <w:i/>
          <w:color w:val="231F20"/>
          <w:spacing w:val="8"/>
          <w:sz w:val="17"/>
        </w:rPr>
        <w:t xml:space="preserve"> </w:t>
      </w:r>
      <w:r>
        <w:rPr>
          <w:color w:val="231F20"/>
          <w:sz w:val="17"/>
        </w:rPr>
        <w:t>3</w:t>
      </w:r>
      <w:r>
        <w:rPr>
          <w:color w:val="231F20"/>
          <w:spacing w:val="7"/>
          <w:sz w:val="17"/>
        </w:rPr>
        <w:t xml:space="preserve"> </w:t>
      </w:r>
      <w:r>
        <w:rPr>
          <w:color w:val="231F20"/>
          <w:sz w:val="17"/>
        </w:rPr>
        <w:t>(1),</w:t>
      </w:r>
      <w:r>
        <w:rPr>
          <w:color w:val="231F20"/>
          <w:spacing w:val="7"/>
          <w:sz w:val="17"/>
        </w:rPr>
        <w:t xml:space="preserve"> </w:t>
      </w:r>
      <w:r>
        <w:rPr>
          <w:color w:val="231F20"/>
          <w:spacing w:val="-2"/>
          <w:sz w:val="17"/>
        </w:rPr>
        <w:t>45–58.</w:t>
      </w:r>
    </w:p>
    <w:p w14:paraId="50DB9ED3" w14:textId="77777777" w:rsidR="00AE0598" w:rsidRDefault="0069255A">
      <w:pPr>
        <w:spacing w:before="1"/>
        <w:ind w:left="430" w:right="127" w:hanging="320"/>
        <w:jc w:val="both"/>
        <w:rPr>
          <w:sz w:val="17"/>
        </w:rPr>
      </w:pPr>
      <w:r>
        <w:rPr>
          <w:color w:val="231F20"/>
          <w:sz w:val="17"/>
        </w:rPr>
        <w:t xml:space="preserve">Hinch, T.D. and Higham, J.E.S (2005) Sport, tourism and authenticity. </w:t>
      </w:r>
      <w:r>
        <w:rPr>
          <w:i/>
          <w:color w:val="231F20"/>
          <w:sz w:val="17"/>
        </w:rPr>
        <w:t>European Sport</w:t>
      </w:r>
      <w:r>
        <w:rPr>
          <w:i/>
          <w:color w:val="231F20"/>
          <w:spacing w:val="40"/>
          <w:sz w:val="17"/>
        </w:rPr>
        <w:t xml:space="preserve"> </w:t>
      </w:r>
      <w:r>
        <w:rPr>
          <w:i/>
          <w:color w:val="231F20"/>
          <w:sz w:val="17"/>
        </w:rPr>
        <w:t>Management Quarterly: Special Issue Sports Tourism Theor</w:t>
      </w:r>
      <w:r>
        <w:rPr>
          <w:i/>
          <w:color w:val="231F20"/>
          <w:sz w:val="17"/>
        </w:rPr>
        <w:t xml:space="preserve">y and Method </w:t>
      </w:r>
      <w:r>
        <w:rPr>
          <w:color w:val="231F20"/>
          <w:sz w:val="17"/>
        </w:rPr>
        <w:t>5 (3),</w:t>
      </w:r>
      <w:r>
        <w:rPr>
          <w:color w:val="231F20"/>
          <w:spacing w:val="40"/>
          <w:sz w:val="17"/>
        </w:rPr>
        <w:t xml:space="preserve"> </w:t>
      </w:r>
      <w:r>
        <w:rPr>
          <w:color w:val="231F20"/>
          <w:spacing w:val="-2"/>
          <w:sz w:val="17"/>
        </w:rPr>
        <w:t>243–256.</w:t>
      </w:r>
    </w:p>
    <w:p w14:paraId="1468E3D0" w14:textId="77777777" w:rsidR="00AE0598" w:rsidRDefault="0069255A">
      <w:pPr>
        <w:spacing w:before="2"/>
        <w:ind w:left="430" w:right="128" w:hanging="320"/>
        <w:jc w:val="both"/>
        <w:rPr>
          <w:sz w:val="17"/>
        </w:rPr>
      </w:pPr>
      <w:r>
        <w:rPr>
          <w:color w:val="231F20"/>
          <w:sz w:val="17"/>
        </w:rPr>
        <w:t xml:space="preserve">Hinch, T.D. and Higham, J.E.S. (2004) </w:t>
      </w:r>
      <w:r>
        <w:rPr>
          <w:i/>
          <w:color w:val="231F20"/>
          <w:sz w:val="17"/>
        </w:rPr>
        <w:t>Sport Tourism Development</w:t>
      </w:r>
      <w:r>
        <w:rPr>
          <w:color w:val="231F20"/>
          <w:sz w:val="17"/>
        </w:rPr>
        <w:t>. Clevedon: Channel</w:t>
      </w:r>
      <w:r>
        <w:rPr>
          <w:color w:val="231F20"/>
          <w:spacing w:val="40"/>
          <w:sz w:val="17"/>
        </w:rPr>
        <w:t xml:space="preserve"> </w:t>
      </w:r>
      <w:r>
        <w:rPr>
          <w:color w:val="231F20"/>
          <w:sz w:val="17"/>
        </w:rPr>
        <w:t>View Publications.</w:t>
      </w:r>
    </w:p>
    <w:p w14:paraId="16F87044" w14:textId="77777777" w:rsidR="00AE0598" w:rsidRDefault="0069255A">
      <w:pPr>
        <w:spacing w:before="1"/>
        <w:ind w:left="430" w:right="127" w:hanging="320"/>
        <w:jc w:val="both"/>
        <w:rPr>
          <w:sz w:val="17"/>
        </w:rPr>
      </w:pPr>
      <w:r>
        <w:rPr>
          <w:color w:val="231F20"/>
          <w:w w:val="105"/>
          <w:sz w:val="17"/>
        </w:rPr>
        <w:t>Hinch, T.D., Higham, J.E.S. and Doering, A. (2018) Sport, tourism and identity: Japan,</w:t>
      </w:r>
      <w:r>
        <w:rPr>
          <w:color w:val="231F20"/>
          <w:spacing w:val="40"/>
          <w:w w:val="105"/>
          <w:sz w:val="17"/>
        </w:rPr>
        <w:t xml:space="preserve"> </w:t>
      </w:r>
      <w:r>
        <w:rPr>
          <w:color w:val="231F20"/>
          <w:sz w:val="17"/>
        </w:rPr>
        <w:t xml:space="preserve">rugby union and the transcultural maul. In C. Acton and D. Hassan (eds) </w:t>
      </w:r>
      <w:r>
        <w:rPr>
          <w:i/>
          <w:color w:val="231F20"/>
          <w:sz w:val="17"/>
        </w:rPr>
        <w:t>Sport and</w:t>
      </w:r>
      <w:r>
        <w:rPr>
          <w:i/>
          <w:color w:val="231F20"/>
          <w:spacing w:val="40"/>
          <w:sz w:val="17"/>
        </w:rPr>
        <w:t xml:space="preserve"> </w:t>
      </w:r>
      <w:r>
        <w:rPr>
          <w:i/>
          <w:color w:val="231F20"/>
          <w:sz w:val="17"/>
        </w:rPr>
        <w:t xml:space="preserve">Contested Identities: Contemporary Issues and Debates </w:t>
      </w:r>
      <w:r>
        <w:rPr>
          <w:color w:val="231F20"/>
          <w:sz w:val="17"/>
        </w:rPr>
        <w:t>(pp. 191–206). London and</w:t>
      </w:r>
      <w:r>
        <w:rPr>
          <w:color w:val="231F20"/>
          <w:spacing w:val="40"/>
          <w:w w:val="105"/>
          <w:sz w:val="17"/>
        </w:rPr>
        <w:t xml:space="preserve"> </w:t>
      </w:r>
      <w:r>
        <w:rPr>
          <w:color w:val="231F20"/>
          <w:w w:val="105"/>
          <w:sz w:val="17"/>
        </w:rPr>
        <w:t>New York: Routledge.</w:t>
      </w:r>
    </w:p>
    <w:p w14:paraId="53F7A20A" w14:textId="77777777" w:rsidR="00AE0598" w:rsidRDefault="0069255A">
      <w:pPr>
        <w:spacing w:before="3"/>
        <w:ind w:left="430" w:right="127" w:hanging="320"/>
        <w:jc w:val="both"/>
        <w:rPr>
          <w:sz w:val="17"/>
        </w:rPr>
      </w:pPr>
      <w:r>
        <w:rPr>
          <w:color w:val="231F20"/>
          <w:w w:val="105"/>
          <w:sz w:val="17"/>
        </w:rPr>
        <w:t>Hinch, T.D., Higham, J.E.S. and Moyle, B.D. (2016) Sport tourism and sust</w:t>
      </w:r>
      <w:r>
        <w:rPr>
          <w:color w:val="231F20"/>
          <w:w w:val="105"/>
          <w:sz w:val="17"/>
        </w:rPr>
        <w:t>ainable</w:t>
      </w:r>
      <w:r>
        <w:rPr>
          <w:color w:val="231F20"/>
          <w:spacing w:val="40"/>
          <w:w w:val="105"/>
          <w:sz w:val="17"/>
        </w:rPr>
        <w:t xml:space="preserve"> </w:t>
      </w:r>
      <w:r>
        <w:rPr>
          <w:color w:val="231F20"/>
          <w:w w:val="105"/>
          <w:sz w:val="17"/>
        </w:rPr>
        <w:t xml:space="preserve">destinations: Foundations and pathways. </w:t>
      </w:r>
      <w:r>
        <w:rPr>
          <w:i/>
          <w:color w:val="231F20"/>
          <w:w w:val="105"/>
          <w:sz w:val="17"/>
        </w:rPr>
        <w:t xml:space="preserve">Journal of Sport </w:t>
      </w:r>
      <w:r>
        <w:rPr>
          <w:i/>
          <w:color w:val="231F20"/>
          <w:w w:val="110"/>
          <w:sz w:val="17"/>
        </w:rPr>
        <w:t xml:space="preserve">&amp; </w:t>
      </w:r>
      <w:r>
        <w:rPr>
          <w:i/>
          <w:color w:val="231F20"/>
          <w:w w:val="105"/>
          <w:sz w:val="17"/>
        </w:rPr>
        <w:t xml:space="preserve">Tourism </w:t>
      </w:r>
      <w:r>
        <w:rPr>
          <w:color w:val="231F20"/>
          <w:w w:val="105"/>
          <w:sz w:val="17"/>
        </w:rPr>
        <w:t>20 (3–4),</w:t>
      </w:r>
      <w:r>
        <w:rPr>
          <w:color w:val="231F20"/>
          <w:spacing w:val="40"/>
          <w:w w:val="105"/>
          <w:sz w:val="17"/>
        </w:rPr>
        <w:t xml:space="preserve"> </w:t>
      </w:r>
      <w:r>
        <w:rPr>
          <w:color w:val="231F20"/>
          <w:spacing w:val="-2"/>
          <w:w w:val="105"/>
          <w:sz w:val="17"/>
        </w:rPr>
        <w:t>163–173.</w:t>
      </w:r>
    </w:p>
    <w:p w14:paraId="5E104275" w14:textId="77777777" w:rsidR="00AE0598" w:rsidRDefault="0069255A">
      <w:pPr>
        <w:spacing w:before="2"/>
        <w:ind w:left="110"/>
        <w:jc w:val="both"/>
        <w:rPr>
          <w:sz w:val="17"/>
        </w:rPr>
      </w:pPr>
      <w:r>
        <w:rPr>
          <w:color w:val="231F20"/>
          <w:sz w:val="17"/>
        </w:rPr>
        <w:t>Hinch,</w:t>
      </w:r>
      <w:r>
        <w:rPr>
          <w:color w:val="231F20"/>
          <w:spacing w:val="26"/>
          <w:sz w:val="17"/>
        </w:rPr>
        <w:t xml:space="preserve"> </w:t>
      </w:r>
      <w:r>
        <w:rPr>
          <w:color w:val="231F20"/>
          <w:sz w:val="17"/>
        </w:rPr>
        <w:t>T.,</w:t>
      </w:r>
      <w:r>
        <w:rPr>
          <w:color w:val="231F20"/>
          <w:spacing w:val="26"/>
          <w:sz w:val="17"/>
        </w:rPr>
        <w:t xml:space="preserve"> </w:t>
      </w:r>
      <w:r>
        <w:rPr>
          <w:color w:val="231F20"/>
          <w:sz w:val="17"/>
        </w:rPr>
        <w:t>Higham,</w:t>
      </w:r>
      <w:r>
        <w:rPr>
          <w:color w:val="231F20"/>
          <w:spacing w:val="27"/>
          <w:sz w:val="17"/>
        </w:rPr>
        <w:t xml:space="preserve"> </w:t>
      </w:r>
      <w:r>
        <w:rPr>
          <w:color w:val="231F20"/>
          <w:sz w:val="17"/>
        </w:rPr>
        <w:t>J.</w:t>
      </w:r>
      <w:r>
        <w:rPr>
          <w:color w:val="231F20"/>
          <w:spacing w:val="26"/>
          <w:sz w:val="17"/>
        </w:rPr>
        <w:t xml:space="preserve"> </w:t>
      </w:r>
      <w:r>
        <w:rPr>
          <w:color w:val="231F20"/>
          <w:sz w:val="17"/>
        </w:rPr>
        <w:t>and</w:t>
      </w:r>
      <w:r>
        <w:rPr>
          <w:color w:val="231F20"/>
          <w:spacing w:val="27"/>
          <w:sz w:val="17"/>
        </w:rPr>
        <w:t xml:space="preserve"> </w:t>
      </w:r>
      <w:r>
        <w:rPr>
          <w:color w:val="231F20"/>
          <w:sz w:val="17"/>
        </w:rPr>
        <w:t>Sant,</w:t>
      </w:r>
      <w:r>
        <w:rPr>
          <w:color w:val="231F20"/>
          <w:spacing w:val="26"/>
          <w:sz w:val="17"/>
        </w:rPr>
        <w:t xml:space="preserve"> </w:t>
      </w:r>
      <w:r>
        <w:rPr>
          <w:color w:val="231F20"/>
          <w:sz w:val="17"/>
        </w:rPr>
        <w:t>S.L.</w:t>
      </w:r>
      <w:r>
        <w:rPr>
          <w:color w:val="231F20"/>
          <w:spacing w:val="27"/>
          <w:sz w:val="17"/>
        </w:rPr>
        <w:t xml:space="preserve"> </w:t>
      </w:r>
      <w:r>
        <w:rPr>
          <w:color w:val="231F20"/>
          <w:sz w:val="17"/>
        </w:rPr>
        <w:t>(2014)</w:t>
      </w:r>
      <w:r>
        <w:rPr>
          <w:color w:val="231F20"/>
          <w:spacing w:val="26"/>
          <w:sz w:val="17"/>
        </w:rPr>
        <w:t xml:space="preserve"> </w:t>
      </w:r>
      <w:r>
        <w:rPr>
          <w:color w:val="231F20"/>
          <w:sz w:val="17"/>
        </w:rPr>
        <w:t>Taking</w:t>
      </w:r>
      <w:r>
        <w:rPr>
          <w:color w:val="231F20"/>
          <w:spacing w:val="27"/>
          <w:sz w:val="17"/>
        </w:rPr>
        <w:t xml:space="preserve"> </w:t>
      </w:r>
      <w:r>
        <w:rPr>
          <w:color w:val="231F20"/>
          <w:sz w:val="17"/>
        </w:rPr>
        <w:t>stock</w:t>
      </w:r>
      <w:r>
        <w:rPr>
          <w:color w:val="231F20"/>
          <w:spacing w:val="26"/>
          <w:sz w:val="17"/>
        </w:rPr>
        <w:t xml:space="preserve"> </w:t>
      </w:r>
      <w:r>
        <w:rPr>
          <w:color w:val="231F20"/>
          <w:sz w:val="17"/>
        </w:rPr>
        <w:t>of</w:t>
      </w:r>
      <w:r>
        <w:rPr>
          <w:color w:val="231F20"/>
          <w:spacing w:val="27"/>
          <w:sz w:val="17"/>
        </w:rPr>
        <w:t xml:space="preserve"> </w:t>
      </w:r>
      <w:r>
        <w:rPr>
          <w:color w:val="231F20"/>
          <w:sz w:val="17"/>
        </w:rPr>
        <w:t>sport</w:t>
      </w:r>
      <w:r>
        <w:rPr>
          <w:color w:val="231F20"/>
          <w:spacing w:val="26"/>
          <w:sz w:val="17"/>
        </w:rPr>
        <w:t xml:space="preserve"> </w:t>
      </w:r>
      <w:r>
        <w:rPr>
          <w:color w:val="231F20"/>
          <w:sz w:val="17"/>
        </w:rPr>
        <w:t>tourism</w:t>
      </w:r>
      <w:r>
        <w:rPr>
          <w:color w:val="231F20"/>
          <w:spacing w:val="27"/>
          <w:sz w:val="17"/>
        </w:rPr>
        <w:t xml:space="preserve"> </w:t>
      </w:r>
      <w:r>
        <w:rPr>
          <w:color w:val="231F20"/>
          <w:sz w:val="17"/>
        </w:rPr>
        <w:t>research.</w:t>
      </w:r>
      <w:r>
        <w:rPr>
          <w:color w:val="231F20"/>
          <w:spacing w:val="26"/>
          <w:sz w:val="17"/>
        </w:rPr>
        <w:t xml:space="preserve"> </w:t>
      </w:r>
      <w:r>
        <w:rPr>
          <w:color w:val="231F20"/>
          <w:spacing w:val="-5"/>
          <w:sz w:val="17"/>
        </w:rPr>
        <w:t>In</w:t>
      </w:r>
    </w:p>
    <w:p w14:paraId="30D260C4" w14:textId="77777777" w:rsidR="00AE0598" w:rsidRDefault="0069255A">
      <w:pPr>
        <w:spacing w:before="1"/>
        <w:ind w:left="430" w:right="129"/>
        <w:jc w:val="both"/>
        <w:rPr>
          <w:sz w:val="17"/>
        </w:rPr>
      </w:pPr>
      <w:r>
        <w:rPr>
          <w:color w:val="231F20"/>
          <w:w w:val="105"/>
          <w:sz w:val="17"/>
        </w:rPr>
        <w:t xml:space="preserve">A. Lew, C.M. Hall and A.M. Williams (eds) </w:t>
      </w:r>
      <w:r>
        <w:rPr>
          <w:i/>
          <w:color w:val="231F20"/>
          <w:w w:val="105"/>
          <w:sz w:val="17"/>
        </w:rPr>
        <w:t>The Wiley Blackwell Companion to</w:t>
      </w:r>
      <w:r>
        <w:rPr>
          <w:i/>
          <w:color w:val="231F20"/>
          <w:spacing w:val="40"/>
          <w:w w:val="105"/>
          <w:sz w:val="17"/>
        </w:rPr>
        <w:t xml:space="preserve"> </w:t>
      </w:r>
      <w:r>
        <w:rPr>
          <w:i/>
          <w:color w:val="231F20"/>
          <w:w w:val="105"/>
          <w:sz w:val="17"/>
        </w:rPr>
        <w:t>Tourism</w:t>
      </w:r>
      <w:r>
        <w:rPr>
          <w:i/>
          <w:color w:val="231F20"/>
          <w:spacing w:val="-8"/>
          <w:w w:val="105"/>
          <w:sz w:val="17"/>
        </w:rPr>
        <w:t xml:space="preserve"> </w:t>
      </w:r>
      <w:r>
        <w:rPr>
          <w:color w:val="231F20"/>
          <w:w w:val="105"/>
          <w:sz w:val="17"/>
        </w:rPr>
        <w:t>(pp.</w:t>
      </w:r>
      <w:r>
        <w:rPr>
          <w:color w:val="231F20"/>
          <w:spacing w:val="-8"/>
          <w:w w:val="105"/>
          <w:sz w:val="17"/>
        </w:rPr>
        <w:t xml:space="preserve"> </w:t>
      </w:r>
      <w:r>
        <w:rPr>
          <w:color w:val="231F20"/>
          <w:w w:val="105"/>
          <w:sz w:val="17"/>
        </w:rPr>
        <w:t>414–424).</w:t>
      </w:r>
      <w:r>
        <w:rPr>
          <w:color w:val="231F20"/>
          <w:spacing w:val="-8"/>
          <w:w w:val="105"/>
          <w:sz w:val="17"/>
        </w:rPr>
        <w:t xml:space="preserve"> </w:t>
      </w:r>
      <w:r>
        <w:rPr>
          <w:color w:val="231F20"/>
          <w:w w:val="105"/>
          <w:sz w:val="17"/>
        </w:rPr>
        <w:t>Chichester:</w:t>
      </w:r>
      <w:r>
        <w:rPr>
          <w:color w:val="231F20"/>
          <w:spacing w:val="-8"/>
          <w:w w:val="105"/>
          <w:sz w:val="17"/>
        </w:rPr>
        <w:t xml:space="preserve"> </w:t>
      </w:r>
      <w:r>
        <w:rPr>
          <w:color w:val="231F20"/>
          <w:w w:val="105"/>
          <w:sz w:val="17"/>
        </w:rPr>
        <w:t>John</w:t>
      </w:r>
      <w:r>
        <w:rPr>
          <w:color w:val="231F20"/>
          <w:spacing w:val="-8"/>
          <w:w w:val="105"/>
          <w:sz w:val="17"/>
        </w:rPr>
        <w:t xml:space="preserve"> </w:t>
      </w:r>
      <w:r>
        <w:rPr>
          <w:color w:val="231F20"/>
          <w:w w:val="105"/>
          <w:sz w:val="17"/>
        </w:rPr>
        <w:t>Wiley.</w:t>
      </w:r>
    </w:p>
    <w:p w14:paraId="11D70603" w14:textId="77777777" w:rsidR="00AE0598" w:rsidRDefault="0069255A">
      <w:pPr>
        <w:spacing w:before="1"/>
        <w:ind w:left="110"/>
        <w:jc w:val="both"/>
        <w:rPr>
          <w:sz w:val="17"/>
        </w:rPr>
      </w:pPr>
      <w:r>
        <w:rPr>
          <w:color w:val="231F20"/>
          <w:sz w:val="17"/>
        </w:rPr>
        <w:t>Hinch,</w:t>
      </w:r>
      <w:r>
        <w:rPr>
          <w:color w:val="231F20"/>
          <w:spacing w:val="4"/>
          <w:sz w:val="17"/>
        </w:rPr>
        <w:t xml:space="preserve"> </w:t>
      </w:r>
      <w:r>
        <w:rPr>
          <w:color w:val="231F20"/>
          <w:sz w:val="17"/>
        </w:rPr>
        <w:t>T.</w:t>
      </w:r>
      <w:r>
        <w:rPr>
          <w:color w:val="231F20"/>
          <w:spacing w:val="4"/>
          <w:sz w:val="17"/>
        </w:rPr>
        <w:t xml:space="preserve"> </w:t>
      </w:r>
      <w:r>
        <w:rPr>
          <w:color w:val="231F20"/>
          <w:sz w:val="17"/>
        </w:rPr>
        <w:t>and</w:t>
      </w:r>
      <w:r>
        <w:rPr>
          <w:color w:val="231F20"/>
          <w:spacing w:val="4"/>
          <w:sz w:val="17"/>
        </w:rPr>
        <w:t xml:space="preserve"> </w:t>
      </w:r>
      <w:r>
        <w:rPr>
          <w:color w:val="231F20"/>
          <w:sz w:val="17"/>
        </w:rPr>
        <w:t>Holt,</w:t>
      </w:r>
      <w:r>
        <w:rPr>
          <w:color w:val="231F20"/>
          <w:spacing w:val="4"/>
          <w:sz w:val="17"/>
        </w:rPr>
        <w:t xml:space="preserve"> </w:t>
      </w:r>
      <w:r>
        <w:rPr>
          <w:color w:val="231F20"/>
          <w:sz w:val="17"/>
        </w:rPr>
        <w:t>N.L.</w:t>
      </w:r>
      <w:r>
        <w:rPr>
          <w:color w:val="231F20"/>
          <w:spacing w:val="5"/>
          <w:sz w:val="17"/>
        </w:rPr>
        <w:t xml:space="preserve"> </w:t>
      </w:r>
      <w:r>
        <w:rPr>
          <w:color w:val="231F20"/>
          <w:sz w:val="17"/>
        </w:rPr>
        <w:t>(2017)</w:t>
      </w:r>
      <w:r>
        <w:rPr>
          <w:color w:val="231F20"/>
          <w:spacing w:val="4"/>
          <w:sz w:val="17"/>
        </w:rPr>
        <w:t xml:space="preserve"> </w:t>
      </w:r>
      <w:r>
        <w:rPr>
          <w:color w:val="231F20"/>
          <w:sz w:val="17"/>
        </w:rPr>
        <w:t>Sustaining</w:t>
      </w:r>
      <w:r>
        <w:rPr>
          <w:color w:val="231F20"/>
          <w:spacing w:val="4"/>
          <w:sz w:val="17"/>
        </w:rPr>
        <w:t xml:space="preserve"> </w:t>
      </w:r>
      <w:r>
        <w:rPr>
          <w:color w:val="231F20"/>
          <w:sz w:val="17"/>
        </w:rPr>
        <w:t>places</w:t>
      </w:r>
      <w:r>
        <w:rPr>
          <w:color w:val="231F20"/>
          <w:spacing w:val="4"/>
          <w:sz w:val="17"/>
        </w:rPr>
        <w:t xml:space="preserve"> </w:t>
      </w:r>
      <w:r>
        <w:rPr>
          <w:color w:val="231F20"/>
          <w:sz w:val="17"/>
        </w:rPr>
        <w:t>and</w:t>
      </w:r>
      <w:r>
        <w:rPr>
          <w:color w:val="231F20"/>
          <w:spacing w:val="4"/>
          <w:sz w:val="17"/>
        </w:rPr>
        <w:t xml:space="preserve"> </w:t>
      </w:r>
      <w:r>
        <w:rPr>
          <w:color w:val="231F20"/>
          <w:sz w:val="17"/>
        </w:rPr>
        <w:t>participatory</w:t>
      </w:r>
      <w:r>
        <w:rPr>
          <w:color w:val="231F20"/>
          <w:spacing w:val="5"/>
          <w:sz w:val="17"/>
        </w:rPr>
        <w:t xml:space="preserve"> </w:t>
      </w:r>
      <w:r>
        <w:rPr>
          <w:color w:val="231F20"/>
          <w:sz w:val="17"/>
        </w:rPr>
        <w:t>sport</w:t>
      </w:r>
      <w:r>
        <w:rPr>
          <w:color w:val="231F20"/>
          <w:spacing w:val="4"/>
          <w:sz w:val="17"/>
        </w:rPr>
        <w:t xml:space="preserve"> </w:t>
      </w:r>
      <w:r>
        <w:rPr>
          <w:color w:val="231F20"/>
          <w:sz w:val="17"/>
        </w:rPr>
        <w:t>tourism</w:t>
      </w:r>
      <w:r>
        <w:rPr>
          <w:color w:val="231F20"/>
          <w:spacing w:val="4"/>
          <w:sz w:val="17"/>
        </w:rPr>
        <w:t xml:space="preserve"> </w:t>
      </w:r>
      <w:r>
        <w:rPr>
          <w:color w:val="231F20"/>
          <w:spacing w:val="-2"/>
          <w:sz w:val="17"/>
        </w:rPr>
        <w:t>events.</w:t>
      </w:r>
    </w:p>
    <w:p w14:paraId="010E6D85" w14:textId="77777777" w:rsidR="00AE0598" w:rsidRDefault="0069255A">
      <w:pPr>
        <w:spacing w:before="1"/>
        <w:ind w:left="430"/>
        <w:jc w:val="both"/>
        <w:rPr>
          <w:sz w:val="17"/>
        </w:rPr>
      </w:pPr>
      <w:r>
        <w:rPr>
          <w:i/>
          <w:color w:val="231F20"/>
          <w:sz w:val="17"/>
        </w:rPr>
        <w:t>Journal</w:t>
      </w:r>
      <w:r>
        <w:rPr>
          <w:i/>
          <w:color w:val="231F20"/>
          <w:spacing w:val="5"/>
          <w:sz w:val="17"/>
        </w:rPr>
        <w:t xml:space="preserve"> </w:t>
      </w:r>
      <w:r>
        <w:rPr>
          <w:i/>
          <w:color w:val="231F20"/>
          <w:sz w:val="17"/>
        </w:rPr>
        <w:t>of</w:t>
      </w:r>
      <w:r>
        <w:rPr>
          <w:i/>
          <w:color w:val="231F20"/>
          <w:spacing w:val="6"/>
          <w:sz w:val="17"/>
        </w:rPr>
        <w:t xml:space="preserve"> </w:t>
      </w:r>
      <w:r>
        <w:rPr>
          <w:i/>
          <w:color w:val="231F20"/>
          <w:sz w:val="17"/>
        </w:rPr>
        <w:t>Sustainable</w:t>
      </w:r>
      <w:r>
        <w:rPr>
          <w:i/>
          <w:color w:val="231F20"/>
          <w:spacing w:val="6"/>
          <w:sz w:val="17"/>
        </w:rPr>
        <w:t xml:space="preserve"> </w:t>
      </w:r>
      <w:r>
        <w:rPr>
          <w:i/>
          <w:color w:val="231F20"/>
          <w:sz w:val="17"/>
        </w:rPr>
        <w:t>Tourism</w:t>
      </w:r>
      <w:r>
        <w:rPr>
          <w:i/>
          <w:color w:val="231F20"/>
          <w:spacing w:val="6"/>
          <w:sz w:val="17"/>
        </w:rPr>
        <w:t xml:space="preserve"> </w:t>
      </w:r>
      <w:r>
        <w:rPr>
          <w:color w:val="231F20"/>
          <w:sz w:val="17"/>
        </w:rPr>
        <w:t>25</w:t>
      </w:r>
      <w:r>
        <w:rPr>
          <w:color w:val="231F20"/>
          <w:spacing w:val="6"/>
          <w:sz w:val="17"/>
        </w:rPr>
        <w:t xml:space="preserve"> </w:t>
      </w:r>
      <w:r>
        <w:rPr>
          <w:color w:val="231F20"/>
          <w:sz w:val="17"/>
        </w:rPr>
        <w:t>(8),</w:t>
      </w:r>
      <w:r>
        <w:rPr>
          <w:color w:val="231F20"/>
          <w:spacing w:val="5"/>
          <w:sz w:val="17"/>
        </w:rPr>
        <w:t xml:space="preserve"> </w:t>
      </w:r>
      <w:r>
        <w:rPr>
          <w:color w:val="231F20"/>
          <w:spacing w:val="-2"/>
          <w:sz w:val="17"/>
        </w:rPr>
        <w:t>1084–1099.</w:t>
      </w:r>
    </w:p>
    <w:p w14:paraId="218C4549" w14:textId="77777777" w:rsidR="00AE0598" w:rsidRDefault="0069255A">
      <w:pPr>
        <w:spacing w:before="1"/>
        <w:ind w:left="430" w:right="127" w:hanging="320"/>
        <w:jc w:val="both"/>
        <w:rPr>
          <w:sz w:val="17"/>
        </w:rPr>
      </w:pPr>
      <w:r>
        <w:rPr>
          <w:color w:val="231F20"/>
          <w:sz w:val="17"/>
        </w:rPr>
        <w:t xml:space="preserve">Hinch, T. and Ito, E. (2018) Sustainable sport tourism in Japan. </w:t>
      </w:r>
      <w:r>
        <w:rPr>
          <w:i/>
          <w:color w:val="231F20"/>
          <w:sz w:val="17"/>
        </w:rPr>
        <w:t xml:space="preserve">Tourism Planning </w:t>
      </w:r>
      <w:r>
        <w:rPr>
          <w:i/>
          <w:color w:val="231F20"/>
          <w:w w:val="110"/>
          <w:sz w:val="17"/>
        </w:rPr>
        <w:t xml:space="preserve">&amp; </w:t>
      </w:r>
      <w:r>
        <w:rPr>
          <w:i/>
          <w:color w:val="231F20"/>
          <w:sz w:val="17"/>
        </w:rPr>
        <w:t xml:space="preserve">Development </w:t>
      </w:r>
      <w:r>
        <w:rPr>
          <w:color w:val="231F20"/>
          <w:sz w:val="17"/>
        </w:rPr>
        <w:t>15 (1), 96–101.</w:t>
      </w:r>
    </w:p>
    <w:p w14:paraId="1D4ABD51" w14:textId="77777777" w:rsidR="00AE0598" w:rsidRDefault="0069255A">
      <w:pPr>
        <w:spacing w:before="1"/>
        <w:ind w:left="430" w:right="127" w:hanging="320"/>
        <w:jc w:val="both"/>
        <w:rPr>
          <w:sz w:val="17"/>
        </w:rPr>
      </w:pPr>
      <w:r>
        <w:rPr>
          <w:color w:val="231F20"/>
          <w:w w:val="95"/>
          <w:sz w:val="17"/>
        </w:rPr>
        <w:t>Hinch, T.D. and Jackson, E.L. (2000) Leisure constraints research: Its value as a framework</w:t>
      </w:r>
      <w:r>
        <w:rPr>
          <w:color w:val="231F20"/>
          <w:spacing w:val="80"/>
          <w:sz w:val="17"/>
        </w:rPr>
        <w:t xml:space="preserve"> </w:t>
      </w:r>
      <w:r>
        <w:rPr>
          <w:color w:val="231F20"/>
          <w:sz w:val="17"/>
        </w:rPr>
        <w:t xml:space="preserve">for understanding tourism seasonality. </w:t>
      </w:r>
      <w:r>
        <w:rPr>
          <w:i/>
          <w:color w:val="231F20"/>
          <w:sz w:val="17"/>
        </w:rPr>
        <w:t>Current Issue</w:t>
      </w:r>
      <w:r>
        <w:rPr>
          <w:i/>
          <w:color w:val="231F20"/>
          <w:sz w:val="17"/>
        </w:rPr>
        <w:t xml:space="preserve">s in Tourism </w:t>
      </w:r>
      <w:r>
        <w:rPr>
          <w:color w:val="231F20"/>
          <w:sz w:val="17"/>
        </w:rPr>
        <w:t>3 (2), 87–106.</w:t>
      </w:r>
    </w:p>
    <w:p w14:paraId="574D8974" w14:textId="77777777" w:rsidR="00AE0598" w:rsidRDefault="0069255A">
      <w:pPr>
        <w:spacing w:before="2"/>
        <w:ind w:left="430" w:right="128" w:hanging="320"/>
        <w:jc w:val="both"/>
        <w:rPr>
          <w:sz w:val="17"/>
        </w:rPr>
      </w:pPr>
      <w:r>
        <w:rPr>
          <w:color w:val="231F20"/>
          <w:sz w:val="17"/>
        </w:rPr>
        <w:t>Hinch,</w:t>
      </w:r>
      <w:r>
        <w:rPr>
          <w:color w:val="231F20"/>
          <w:spacing w:val="-1"/>
          <w:sz w:val="17"/>
        </w:rPr>
        <w:t xml:space="preserve"> </w:t>
      </w:r>
      <w:r>
        <w:rPr>
          <w:color w:val="231F20"/>
          <w:sz w:val="17"/>
        </w:rPr>
        <w:t>T.</w:t>
      </w:r>
      <w:r>
        <w:rPr>
          <w:color w:val="231F20"/>
          <w:spacing w:val="-1"/>
          <w:sz w:val="17"/>
        </w:rPr>
        <w:t xml:space="preserve"> </w:t>
      </w:r>
      <w:r>
        <w:rPr>
          <w:color w:val="231F20"/>
          <w:sz w:val="17"/>
        </w:rPr>
        <w:t>and</w:t>
      </w:r>
      <w:r>
        <w:rPr>
          <w:color w:val="231F20"/>
          <w:spacing w:val="-1"/>
          <w:sz w:val="17"/>
        </w:rPr>
        <w:t xml:space="preserve"> </w:t>
      </w:r>
      <w:r>
        <w:rPr>
          <w:color w:val="231F20"/>
          <w:sz w:val="17"/>
        </w:rPr>
        <w:t>Kono,</w:t>
      </w:r>
      <w:r>
        <w:rPr>
          <w:color w:val="231F20"/>
          <w:spacing w:val="-1"/>
          <w:sz w:val="17"/>
        </w:rPr>
        <w:t xml:space="preserve"> </w:t>
      </w:r>
      <w:r>
        <w:rPr>
          <w:color w:val="231F20"/>
          <w:sz w:val="17"/>
        </w:rPr>
        <w:t>S.</w:t>
      </w:r>
      <w:r>
        <w:rPr>
          <w:color w:val="231F20"/>
          <w:spacing w:val="-1"/>
          <w:sz w:val="17"/>
        </w:rPr>
        <w:t xml:space="preserve"> </w:t>
      </w:r>
      <w:r>
        <w:rPr>
          <w:color w:val="231F20"/>
          <w:sz w:val="17"/>
        </w:rPr>
        <w:t>(2017)</w:t>
      </w:r>
      <w:r>
        <w:rPr>
          <w:color w:val="231F20"/>
          <w:spacing w:val="-1"/>
          <w:sz w:val="17"/>
        </w:rPr>
        <w:t xml:space="preserve"> </w:t>
      </w:r>
      <w:r>
        <w:rPr>
          <w:color w:val="231F20"/>
          <w:sz w:val="17"/>
        </w:rPr>
        <w:t>Ultramarathon</w:t>
      </w:r>
      <w:r>
        <w:rPr>
          <w:color w:val="231F20"/>
          <w:spacing w:val="-1"/>
          <w:sz w:val="17"/>
        </w:rPr>
        <w:t xml:space="preserve"> </w:t>
      </w:r>
      <w:r>
        <w:rPr>
          <w:color w:val="231F20"/>
          <w:sz w:val="17"/>
        </w:rPr>
        <w:t>runners’</w:t>
      </w:r>
      <w:r>
        <w:rPr>
          <w:color w:val="231F20"/>
          <w:spacing w:val="-1"/>
          <w:sz w:val="17"/>
        </w:rPr>
        <w:t xml:space="preserve"> </w:t>
      </w:r>
      <w:r>
        <w:rPr>
          <w:color w:val="231F20"/>
          <w:sz w:val="17"/>
        </w:rPr>
        <w:t>perception</w:t>
      </w:r>
      <w:r>
        <w:rPr>
          <w:color w:val="231F20"/>
          <w:spacing w:val="-1"/>
          <w:sz w:val="17"/>
        </w:rPr>
        <w:t xml:space="preserve"> </w:t>
      </w:r>
      <w:r>
        <w:rPr>
          <w:color w:val="231F20"/>
          <w:sz w:val="17"/>
        </w:rPr>
        <w:t>of</w:t>
      </w:r>
      <w:r>
        <w:rPr>
          <w:color w:val="231F20"/>
          <w:spacing w:val="-1"/>
          <w:sz w:val="17"/>
        </w:rPr>
        <w:t xml:space="preserve"> </w:t>
      </w:r>
      <w:r>
        <w:rPr>
          <w:color w:val="231F20"/>
          <w:sz w:val="17"/>
        </w:rPr>
        <w:t>place:</w:t>
      </w:r>
      <w:r>
        <w:rPr>
          <w:color w:val="231F20"/>
          <w:spacing w:val="-1"/>
          <w:sz w:val="17"/>
        </w:rPr>
        <w:t xml:space="preserve"> </w:t>
      </w:r>
      <w:r>
        <w:rPr>
          <w:color w:val="231F20"/>
          <w:sz w:val="17"/>
        </w:rPr>
        <w:t>A</w:t>
      </w:r>
      <w:r>
        <w:rPr>
          <w:color w:val="231F20"/>
          <w:spacing w:val="-1"/>
          <w:sz w:val="17"/>
        </w:rPr>
        <w:t xml:space="preserve"> </w:t>
      </w:r>
      <w:r>
        <w:rPr>
          <w:color w:val="231F20"/>
          <w:sz w:val="17"/>
        </w:rPr>
        <w:t>photo-based</w:t>
      </w:r>
      <w:r>
        <w:rPr>
          <w:color w:val="231F20"/>
          <w:spacing w:val="40"/>
          <w:sz w:val="17"/>
        </w:rPr>
        <w:t xml:space="preserve"> </w:t>
      </w:r>
      <w:r>
        <w:rPr>
          <w:color w:val="231F20"/>
          <w:sz w:val="17"/>
        </w:rPr>
        <w:t xml:space="preserve">analysis. </w:t>
      </w:r>
      <w:r>
        <w:rPr>
          <w:i/>
          <w:color w:val="231F20"/>
          <w:sz w:val="17"/>
        </w:rPr>
        <w:t>Journal of Sport &amp; Tourism</w:t>
      </w:r>
      <w:r>
        <w:rPr>
          <w:color w:val="231F20"/>
          <w:sz w:val="17"/>
        </w:rPr>
        <w:t xml:space="preserve">. doi: </w:t>
      </w:r>
      <w:hyperlink r:id="rId53">
        <w:r>
          <w:rPr>
            <w:color w:val="231F20"/>
            <w:spacing w:val="-2"/>
            <w:w w:val="102"/>
            <w:sz w:val="17"/>
          </w:rPr>
          <w:t>h</w:t>
        </w:r>
        <w:r>
          <w:rPr>
            <w:color w:val="231F20"/>
            <w:spacing w:val="2"/>
            <w:w w:val="102"/>
            <w:sz w:val="17"/>
          </w:rPr>
          <w:t>tt</w:t>
        </w:r>
        <w:r>
          <w:rPr>
            <w:color w:val="231F20"/>
            <w:spacing w:val="-3"/>
            <w:w w:val="102"/>
            <w:sz w:val="17"/>
          </w:rPr>
          <w:t>p</w:t>
        </w:r>
        <w:r>
          <w:rPr>
            <w:color w:val="231F20"/>
            <w:spacing w:val="3"/>
            <w:w w:val="109"/>
            <w:sz w:val="17"/>
          </w:rPr>
          <w:t>:</w:t>
        </w:r>
        <w:r>
          <w:rPr>
            <w:color w:val="231F20"/>
            <w:spacing w:val="-5"/>
            <w:w w:val="64"/>
            <w:sz w:val="17"/>
          </w:rPr>
          <w:t>/</w:t>
        </w:r>
        <w:r>
          <w:rPr>
            <w:color w:val="231F20"/>
            <w:spacing w:val="-7"/>
            <w:w w:val="64"/>
            <w:sz w:val="17"/>
          </w:rPr>
          <w:t>/</w:t>
        </w:r>
        <w:r>
          <w:rPr>
            <w:color w:val="231F20"/>
            <w:spacing w:val="3"/>
            <w:w w:val="102"/>
            <w:sz w:val="17"/>
          </w:rPr>
          <w:t>d</w:t>
        </w:r>
        <w:r>
          <w:rPr>
            <w:color w:val="231F20"/>
            <w:w w:val="116"/>
            <w:sz w:val="17"/>
          </w:rPr>
          <w:t>x</w:t>
        </w:r>
        <w:r>
          <w:rPr>
            <w:color w:val="231F20"/>
            <w:spacing w:val="-1"/>
            <w:w w:val="139"/>
            <w:sz w:val="17"/>
          </w:rPr>
          <w:t>.</w:t>
        </w:r>
        <w:r>
          <w:rPr>
            <w:color w:val="231F20"/>
            <w:spacing w:val="-2"/>
            <w:w w:val="104"/>
            <w:sz w:val="17"/>
          </w:rPr>
          <w:t>do</w:t>
        </w:r>
        <w:r>
          <w:rPr>
            <w:color w:val="231F20"/>
            <w:spacing w:val="-1"/>
            <w:w w:val="104"/>
            <w:sz w:val="17"/>
          </w:rPr>
          <w:t>i</w:t>
        </w:r>
        <w:r>
          <w:rPr>
            <w:color w:val="231F20"/>
            <w:spacing w:val="-2"/>
            <w:w w:val="139"/>
            <w:sz w:val="17"/>
          </w:rPr>
          <w:t>.</w:t>
        </w:r>
        <w:r>
          <w:rPr>
            <w:color w:val="231F20"/>
            <w:spacing w:val="-2"/>
            <w:w w:val="102"/>
            <w:sz w:val="17"/>
          </w:rPr>
          <w:t>o</w:t>
        </w:r>
        <w:r>
          <w:rPr>
            <w:color w:val="231F20"/>
            <w:spacing w:val="-1"/>
            <w:w w:val="102"/>
            <w:sz w:val="17"/>
          </w:rPr>
          <w:t>r</w:t>
        </w:r>
        <w:r>
          <w:rPr>
            <w:color w:val="231F20"/>
            <w:spacing w:val="8"/>
            <w:w w:val="103"/>
            <w:sz w:val="17"/>
          </w:rPr>
          <w:t>g</w:t>
        </w:r>
        <w:r>
          <w:rPr>
            <w:color w:val="231F20"/>
            <w:spacing w:val="-1"/>
            <w:w w:val="64"/>
            <w:sz w:val="17"/>
          </w:rPr>
          <w:t>/</w:t>
        </w:r>
        <w:r>
          <w:rPr>
            <w:color w:val="231F20"/>
            <w:spacing w:val="-2"/>
            <w:w w:val="93"/>
            <w:sz w:val="17"/>
          </w:rPr>
          <w:t>1</w:t>
        </w:r>
        <w:r>
          <w:rPr>
            <w:color w:val="231F20"/>
            <w:spacing w:val="1"/>
            <w:w w:val="93"/>
            <w:sz w:val="17"/>
          </w:rPr>
          <w:t>0</w:t>
        </w:r>
        <w:r>
          <w:rPr>
            <w:color w:val="231F20"/>
            <w:spacing w:val="-5"/>
            <w:w w:val="139"/>
            <w:sz w:val="17"/>
          </w:rPr>
          <w:t>.</w:t>
        </w:r>
        <w:r>
          <w:rPr>
            <w:color w:val="231F20"/>
            <w:spacing w:val="-2"/>
            <w:w w:val="93"/>
            <w:sz w:val="17"/>
          </w:rPr>
          <w:t>1</w:t>
        </w:r>
        <w:r>
          <w:rPr>
            <w:color w:val="231F20"/>
            <w:spacing w:val="4"/>
            <w:w w:val="93"/>
            <w:sz w:val="17"/>
          </w:rPr>
          <w:t>0</w:t>
        </w:r>
        <w:r>
          <w:rPr>
            <w:color w:val="231F20"/>
            <w:spacing w:val="5"/>
            <w:w w:val="93"/>
            <w:sz w:val="17"/>
          </w:rPr>
          <w:t>8</w:t>
        </w:r>
        <w:r>
          <w:rPr>
            <w:color w:val="231F20"/>
            <w:spacing w:val="4"/>
            <w:w w:val="93"/>
            <w:sz w:val="17"/>
          </w:rPr>
          <w:t>0</w:t>
        </w:r>
        <w:r>
          <w:rPr>
            <w:color w:val="231F20"/>
            <w:spacing w:val="-1"/>
            <w:w w:val="64"/>
            <w:sz w:val="17"/>
          </w:rPr>
          <w:t>/</w:t>
        </w:r>
        <w:r>
          <w:rPr>
            <w:color w:val="231F20"/>
            <w:spacing w:val="-6"/>
            <w:w w:val="93"/>
            <w:sz w:val="17"/>
          </w:rPr>
          <w:t>1</w:t>
        </w:r>
        <w:r>
          <w:rPr>
            <w:color w:val="231F20"/>
            <w:spacing w:val="1"/>
            <w:w w:val="93"/>
            <w:sz w:val="17"/>
          </w:rPr>
          <w:t>4</w:t>
        </w:r>
        <w:r>
          <w:rPr>
            <w:color w:val="231F20"/>
            <w:spacing w:val="7"/>
            <w:w w:val="93"/>
            <w:sz w:val="17"/>
          </w:rPr>
          <w:t>7</w:t>
        </w:r>
        <w:r>
          <w:rPr>
            <w:color w:val="231F20"/>
            <w:spacing w:val="-7"/>
            <w:w w:val="93"/>
            <w:sz w:val="17"/>
          </w:rPr>
          <w:t>7</w:t>
        </w:r>
        <w:r>
          <w:rPr>
            <w:color w:val="231F20"/>
            <w:spacing w:val="2"/>
            <w:w w:val="93"/>
            <w:sz w:val="17"/>
          </w:rPr>
          <w:t>5</w:t>
        </w:r>
        <w:r>
          <w:rPr>
            <w:color w:val="231F20"/>
            <w:spacing w:val="4"/>
            <w:w w:val="93"/>
            <w:sz w:val="17"/>
          </w:rPr>
          <w:t>0</w:t>
        </w:r>
        <w:r>
          <w:rPr>
            <w:color w:val="231F20"/>
            <w:spacing w:val="2"/>
            <w:w w:val="93"/>
            <w:sz w:val="17"/>
          </w:rPr>
          <w:t>8</w:t>
        </w:r>
        <w:r>
          <w:rPr>
            <w:color w:val="231F20"/>
            <w:spacing w:val="-1"/>
            <w:w w:val="93"/>
            <w:sz w:val="17"/>
          </w:rPr>
          <w:t>5</w:t>
        </w:r>
        <w:r>
          <w:rPr>
            <w:color w:val="231F20"/>
            <w:spacing w:val="5"/>
            <w:w w:val="139"/>
            <w:sz w:val="17"/>
          </w:rPr>
          <w:t>.</w:t>
        </w:r>
        <w:r>
          <w:rPr>
            <w:color w:val="231F20"/>
            <w:spacing w:val="5"/>
            <w:w w:val="93"/>
            <w:sz w:val="17"/>
          </w:rPr>
          <w:t>2</w:t>
        </w:r>
        <w:r>
          <w:rPr>
            <w:color w:val="231F20"/>
            <w:spacing w:val="-1"/>
            <w:w w:val="93"/>
            <w:sz w:val="17"/>
          </w:rPr>
          <w:t>0</w:t>
        </w:r>
        <w:r>
          <w:rPr>
            <w:color w:val="231F20"/>
            <w:spacing w:val="-3"/>
            <w:w w:val="93"/>
            <w:sz w:val="17"/>
          </w:rPr>
          <w:t>1</w:t>
        </w:r>
        <w:r>
          <w:rPr>
            <w:color w:val="231F20"/>
            <w:spacing w:val="-16"/>
            <w:w w:val="93"/>
            <w:sz w:val="17"/>
          </w:rPr>
          <w:t>7</w:t>
        </w:r>
        <w:r>
          <w:rPr>
            <w:color w:val="231F20"/>
            <w:spacing w:val="-5"/>
            <w:w w:val="139"/>
            <w:sz w:val="17"/>
          </w:rPr>
          <w:t>.</w:t>
        </w:r>
        <w:r>
          <w:rPr>
            <w:color w:val="231F20"/>
            <w:spacing w:val="-2"/>
            <w:w w:val="93"/>
            <w:sz w:val="17"/>
          </w:rPr>
          <w:t>1</w:t>
        </w:r>
      </w:hyperlink>
      <w:r>
        <w:rPr>
          <w:color w:val="231F20"/>
          <w:spacing w:val="40"/>
          <w:w w:val="105"/>
          <w:sz w:val="17"/>
        </w:rPr>
        <w:t xml:space="preserve"> </w:t>
      </w:r>
      <w:r>
        <w:rPr>
          <w:color w:val="231F20"/>
          <w:spacing w:val="-2"/>
          <w:w w:val="105"/>
          <w:sz w:val="17"/>
        </w:rPr>
        <w:t>371065.</w:t>
      </w:r>
    </w:p>
    <w:p w14:paraId="549F121A" w14:textId="77777777" w:rsidR="00AE0598" w:rsidRDefault="00AE0598">
      <w:pPr>
        <w:jc w:val="both"/>
        <w:rPr>
          <w:sz w:val="17"/>
        </w:rPr>
        <w:sectPr w:rsidR="00AE0598">
          <w:pgSz w:w="8850" w:h="13270"/>
          <w:pgMar w:top="720" w:right="1060" w:bottom="280" w:left="1080" w:header="720" w:footer="720" w:gutter="0"/>
          <w:cols w:space="720"/>
        </w:sectPr>
      </w:pPr>
    </w:p>
    <w:p w14:paraId="75864144" w14:textId="77777777" w:rsidR="00AE0598" w:rsidRDefault="0069255A">
      <w:pPr>
        <w:spacing w:before="87"/>
        <w:ind w:left="110" w:right="128"/>
        <w:jc w:val="right"/>
        <w:rPr>
          <w:rFonts w:ascii="Trebuchet MS"/>
          <w:sz w:val="14"/>
        </w:rPr>
      </w:pPr>
      <w:r>
        <w:rPr>
          <w:rFonts w:ascii="Trebuchet MS"/>
          <w:color w:val="231F20"/>
          <w:w w:val="105"/>
          <w:sz w:val="14"/>
        </w:rPr>
        <w:lastRenderedPageBreak/>
        <w:t>References</w:t>
      </w:r>
      <w:r>
        <w:rPr>
          <w:rFonts w:ascii="Trebuchet MS"/>
          <w:color w:val="231F20"/>
          <w:spacing w:val="67"/>
          <w:w w:val="105"/>
          <w:sz w:val="14"/>
        </w:rPr>
        <w:t xml:space="preserve"> </w:t>
      </w:r>
      <w:r>
        <w:rPr>
          <w:rFonts w:ascii="Trebuchet MS"/>
          <w:color w:val="231F20"/>
          <w:spacing w:val="-5"/>
          <w:w w:val="105"/>
          <w:sz w:val="14"/>
        </w:rPr>
        <w:t>255</w:t>
      </w:r>
    </w:p>
    <w:p w14:paraId="3A82B508" w14:textId="77777777" w:rsidR="00AE0598" w:rsidRDefault="00AE0598">
      <w:pPr>
        <w:pStyle w:val="Corpodetexto"/>
        <w:rPr>
          <w:rFonts w:ascii="Trebuchet MS"/>
          <w:sz w:val="16"/>
        </w:rPr>
      </w:pPr>
    </w:p>
    <w:p w14:paraId="4367B9F7" w14:textId="77777777" w:rsidR="00AE0598" w:rsidRDefault="0069255A">
      <w:pPr>
        <w:spacing w:before="121"/>
        <w:ind w:left="430" w:right="124" w:hanging="320"/>
        <w:jc w:val="both"/>
        <w:rPr>
          <w:sz w:val="17"/>
        </w:rPr>
      </w:pPr>
      <w:r>
        <w:rPr>
          <w:color w:val="231F20"/>
          <w:sz w:val="17"/>
        </w:rPr>
        <w:t xml:space="preserve">Hjalager, A. (2007) Stages in the economic globalisation of tourism. </w:t>
      </w:r>
      <w:r>
        <w:rPr>
          <w:i/>
          <w:color w:val="231F20"/>
          <w:sz w:val="17"/>
        </w:rPr>
        <w:t>Annals of Tourism</w:t>
      </w:r>
      <w:r>
        <w:rPr>
          <w:i/>
          <w:color w:val="231F20"/>
          <w:spacing w:val="40"/>
          <w:sz w:val="17"/>
        </w:rPr>
        <w:t xml:space="preserve"> </w:t>
      </w:r>
      <w:r>
        <w:rPr>
          <w:i/>
          <w:color w:val="231F20"/>
          <w:sz w:val="17"/>
        </w:rPr>
        <w:t xml:space="preserve">Research </w:t>
      </w:r>
      <w:r>
        <w:rPr>
          <w:color w:val="231F20"/>
          <w:sz w:val="17"/>
        </w:rPr>
        <w:t>34, 437–457.</w:t>
      </w:r>
    </w:p>
    <w:p w14:paraId="7D560C32" w14:textId="77777777" w:rsidR="00AE0598" w:rsidRDefault="0069255A">
      <w:pPr>
        <w:spacing w:before="1"/>
        <w:ind w:left="430" w:right="121" w:hanging="320"/>
        <w:jc w:val="both"/>
        <w:rPr>
          <w:sz w:val="17"/>
        </w:rPr>
      </w:pPr>
      <w:r>
        <w:rPr>
          <w:color w:val="231F20"/>
          <w:sz w:val="17"/>
        </w:rPr>
        <w:t xml:space="preserve">Hodeck, A. and Hovemann, </w:t>
      </w:r>
      <w:r>
        <w:rPr>
          <w:color w:val="231F20"/>
          <w:w w:val="110"/>
          <w:sz w:val="17"/>
        </w:rPr>
        <w:t xml:space="preserve">G. </w:t>
      </w:r>
      <w:r>
        <w:rPr>
          <w:color w:val="231F20"/>
          <w:sz w:val="17"/>
        </w:rPr>
        <w:t>(2016) Motivation of active sport tourists in a German</w:t>
      </w:r>
      <w:r>
        <w:rPr>
          <w:color w:val="231F20"/>
          <w:spacing w:val="40"/>
          <w:sz w:val="17"/>
        </w:rPr>
        <w:t xml:space="preserve"> </w:t>
      </w:r>
      <w:r>
        <w:rPr>
          <w:color w:val="231F20"/>
          <w:sz w:val="17"/>
        </w:rPr>
        <w:t xml:space="preserve">highland destination: A cross-seasonal comparison. </w:t>
      </w:r>
      <w:r>
        <w:rPr>
          <w:i/>
          <w:color w:val="231F20"/>
          <w:sz w:val="17"/>
        </w:rPr>
        <w:t xml:space="preserve">Journal of Sport </w:t>
      </w:r>
      <w:r>
        <w:rPr>
          <w:i/>
          <w:color w:val="231F20"/>
          <w:w w:val="110"/>
          <w:sz w:val="17"/>
        </w:rPr>
        <w:t xml:space="preserve">&amp; </w:t>
      </w:r>
      <w:r>
        <w:rPr>
          <w:i/>
          <w:color w:val="231F20"/>
          <w:sz w:val="17"/>
        </w:rPr>
        <w:t xml:space="preserve">Tourism </w:t>
      </w:r>
      <w:r>
        <w:rPr>
          <w:color w:val="231F20"/>
          <w:sz w:val="17"/>
        </w:rPr>
        <w:t>20</w:t>
      </w:r>
      <w:r>
        <w:rPr>
          <w:color w:val="231F20"/>
          <w:spacing w:val="40"/>
          <w:sz w:val="17"/>
        </w:rPr>
        <w:t xml:space="preserve"> </w:t>
      </w:r>
      <w:r>
        <w:rPr>
          <w:color w:val="231F20"/>
          <w:sz w:val="17"/>
        </w:rPr>
        <w:t>(3–4), 335–348.</w:t>
      </w:r>
    </w:p>
    <w:p w14:paraId="691EE7B4" w14:textId="77777777" w:rsidR="00AE0598" w:rsidRDefault="0069255A">
      <w:pPr>
        <w:spacing w:before="2"/>
        <w:ind w:left="430" w:right="128" w:hanging="320"/>
        <w:jc w:val="both"/>
        <w:rPr>
          <w:sz w:val="17"/>
        </w:rPr>
      </w:pPr>
      <w:r>
        <w:rPr>
          <w:color w:val="231F20"/>
          <w:w w:val="95"/>
          <w:sz w:val="17"/>
        </w:rPr>
        <w:t>Hodge, K. and Hermansson, G. (2007) Psychological preparation of athletes for the Olympic</w:t>
      </w:r>
      <w:r>
        <w:rPr>
          <w:color w:val="231F20"/>
          <w:spacing w:val="40"/>
          <w:sz w:val="17"/>
        </w:rPr>
        <w:t xml:space="preserve"> </w:t>
      </w:r>
      <w:r>
        <w:rPr>
          <w:color w:val="231F20"/>
          <w:sz w:val="17"/>
        </w:rPr>
        <w:t>context: The N</w:t>
      </w:r>
      <w:r>
        <w:rPr>
          <w:color w:val="231F20"/>
          <w:sz w:val="17"/>
        </w:rPr>
        <w:t xml:space="preserve">ew Zealand summer and winter Olympic teams. </w:t>
      </w:r>
      <w:r>
        <w:rPr>
          <w:i/>
          <w:color w:val="231F20"/>
          <w:sz w:val="17"/>
        </w:rPr>
        <w:t xml:space="preserve">Athletic Insight </w:t>
      </w:r>
      <w:r>
        <w:rPr>
          <w:color w:val="231F20"/>
          <w:sz w:val="17"/>
        </w:rPr>
        <w:t>9 (4),</w:t>
      </w:r>
      <w:r>
        <w:rPr>
          <w:color w:val="231F20"/>
          <w:spacing w:val="40"/>
          <w:sz w:val="17"/>
        </w:rPr>
        <w:t xml:space="preserve"> </w:t>
      </w:r>
      <w:r>
        <w:rPr>
          <w:color w:val="231F20"/>
          <w:spacing w:val="-2"/>
          <w:sz w:val="17"/>
        </w:rPr>
        <w:t>1–14.</w:t>
      </w:r>
    </w:p>
    <w:p w14:paraId="61ABC2E0" w14:textId="77777777" w:rsidR="00AE0598" w:rsidRDefault="0069255A">
      <w:pPr>
        <w:spacing w:before="2"/>
        <w:ind w:left="430" w:right="128" w:hanging="320"/>
        <w:jc w:val="both"/>
        <w:rPr>
          <w:sz w:val="17"/>
        </w:rPr>
      </w:pPr>
      <w:r>
        <w:rPr>
          <w:color w:val="231F20"/>
          <w:w w:val="105"/>
          <w:sz w:val="17"/>
        </w:rPr>
        <w:t>Hodge, K., Lonsdale, C. and Ng, J.Y. (2008) Burnout in elite rugby: Relationships with</w:t>
      </w:r>
      <w:r>
        <w:rPr>
          <w:color w:val="231F20"/>
          <w:spacing w:val="40"/>
          <w:w w:val="105"/>
          <w:sz w:val="17"/>
        </w:rPr>
        <w:t xml:space="preserve"> </w:t>
      </w:r>
      <w:r>
        <w:rPr>
          <w:color w:val="231F20"/>
          <w:sz w:val="17"/>
        </w:rPr>
        <w:t xml:space="preserve">basic psychological needs fulfilment. </w:t>
      </w:r>
      <w:r>
        <w:rPr>
          <w:i/>
          <w:color w:val="231F20"/>
          <w:sz w:val="17"/>
        </w:rPr>
        <w:t xml:space="preserve">Journal of Sports Sciences </w:t>
      </w:r>
      <w:r>
        <w:rPr>
          <w:color w:val="231F20"/>
          <w:sz w:val="17"/>
        </w:rPr>
        <w:t>26 (8), 835–844.</w:t>
      </w:r>
    </w:p>
    <w:p w14:paraId="155FE717" w14:textId="77777777" w:rsidR="00AE0598" w:rsidRDefault="0069255A">
      <w:pPr>
        <w:spacing w:before="2"/>
        <w:ind w:left="430" w:right="127" w:hanging="320"/>
        <w:jc w:val="both"/>
        <w:rPr>
          <w:sz w:val="17"/>
        </w:rPr>
      </w:pPr>
      <w:r>
        <w:rPr>
          <w:color w:val="231F20"/>
          <w:w w:val="105"/>
          <w:sz w:val="17"/>
        </w:rPr>
        <w:t>Hodge,</w:t>
      </w:r>
      <w:r>
        <w:rPr>
          <w:color w:val="231F20"/>
          <w:spacing w:val="-1"/>
          <w:w w:val="105"/>
          <w:sz w:val="17"/>
        </w:rPr>
        <w:t xml:space="preserve"> </w:t>
      </w:r>
      <w:r>
        <w:rPr>
          <w:color w:val="231F20"/>
          <w:w w:val="105"/>
          <w:sz w:val="17"/>
        </w:rPr>
        <w:t>K.,</w:t>
      </w:r>
      <w:r>
        <w:rPr>
          <w:color w:val="231F20"/>
          <w:spacing w:val="-1"/>
          <w:w w:val="105"/>
          <w:sz w:val="17"/>
        </w:rPr>
        <w:t xml:space="preserve"> </w:t>
      </w:r>
      <w:r>
        <w:rPr>
          <w:color w:val="231F20"/>
          <w:w w:val="105"/>
          <w:sz w:val="17"/>
        </w:rPr>
        <w:t>Lonsdale,</w:t>
      </w:r>
      <w:r>
        <w:rPr>
          <w:color w:val="231F20"/>
          <w:spacing w:val="-1"/>
          <w:w w:val="105"/>
          <w:sz w:val="17"/>
        </w:rPr>
        <w:t xml:space="preserve"> </w:t>
      </w:r>
      <w:r>
        <w:rPr>
          <w:color w:val="231F20"/>
          <w:w w:val="105"/>
          <w:sz w:val="17"/>
        </w:rPr>
        <w:t>C.</w:t>
      </w:r>
      <w:r>
        <w:rPr>
          <w:color w:val="231F20"/>
          <w:spacing w:val="-1"/>
          <w:w w:val="105"/>
          <w:sz w:val="17"/>
        </w:rPr>
        <w:t xml:space="preserve"> </w:t>
      </w:r>
      <w:r>
        <w:rPr>
          <w:color w:val="231F20"/>
          <w:w w:val="105"/>
          <w:sz w:val="17"/>
        </w:rPr>
        <w:t>and</w:t>
      </w:r>
      <w:r>
        <w:rPr>
          <w:color w:val="231F20"/>
          <w:spacing w:val="-1"/>
          <w:w w:val="105"/>
          <w:sz w:val="17"/>
        </w:rPr>
        <w:t xml:space="preserve"> </w:t>
      </w:r>
      <w:r>
        <w:rPr>
          <w:color w:val="231F20"/>
          <w:w w:val="105"/>
          <w:sz w:val="17"/>
        </w:rPr>
        <w:t>Oliver,</w:t>
      </w:r>
      <w:r>
        <w:rPr>
          <w:color w:val="231F20"/>
          <w:spacing w:val="-1"/>
          <w:w w:val="105"/>
          <w:sz w:val="17"/>
        </w:rPr>
        <w:t xml:space="preserve"> </w:t>
      </w:r>
      <w:r>
        <w:rPr>
          <w:color w:val="231F20"/>
          <w:w w:val="105"/>
          <w:sz w:val="17"/>
        </w:rPr>
        <w:t>A.</w:t>
      </w:r>
      <w:r>
        <w:rPr>
          <w:color w:val="231F20"/>
          <w:spacing w:val="-1"/>
          <w:w w:val="105"/>
          <w:sz w:val="17"/>
        </w:rPr>
        <w:t xml:space="preserve"> </w:t>
      </w:r>
      <w:r>
        <w:rPr>
          <w:color w:val="231F20"/>
          <w:w w:val="105"/>
          <w:sz w:val="17"/>
        </w:rPr>
        <w:t>(2010)</w:t>
      </w:r>
      <w:r>
        <w:rPr>
          <w:color w:val="231F20"/>
          <w:spacing w:val="-1"/>
          <w:w w:val="105"/>
          <w:sz w:val="17"/>
        </w:rPr>
        <w:t xml:space="preserve"> </w:t>
      </w:r>
      <w:r>
        <w:rPr>
          <w:color w:val="231F20"/>
          <w:w w:val="105"/>
          <w:sz w:val="17"/>
        </w:rPr>
        <w:t>The</w:t>
      </w:r>
      <w:r>
        <w:rPr>
          <w:color w:val="231F20"/>
          <w:spacing w:val="-1"/>
          <w:w w:val="105"/>
          <w:sz w:val="17"/>
        </w:rPr>
        <w:t xml:space="preserve"> </w:t>
      </w:r>
      <w:r>
        <w:rPr>
          <w:color w:val="231F20"/>
          <w:w w:val="105"/>
          <w:sz w:val="17"/>
        </w:rPr>
        <w:t>elite</w:t>
      </w:r>
      <w:r>
        <w:rPr>
          <w:color w:val="231F20"/>
          <w:spacing w:val="-1"/>
          <w:w w:val="105"/>
          <w:sz w:val="17"/>
        </w:rPr>
        <w:t xml:space="preserve"> </w:t>
      </w:r>
      <w:r>
        <w:rPr>
          <w:color w:val="231F20"/>
          <w:w w:val="105"/>
          <w:sz w:val="17"/>
        </w:rPr>
        <w:t>athlete</w:t>
      </w:r>
      <w:r>
        <w:rPr>
          <w:color w:val="231F20"/>
          <w:spacing w:val="-1"/>
          <w:w w:val="105"/>
          <w:sz w:val="17"/>
        </w:rPr>
        <w:t xml:space="preserve"> </w:t>
      </w:r>
      <w:r>
        <w:rPr>
          <w:color w:val="231F20"/>
          <w:w w:val="105"/>
          <w:sz w:val="17"/>
        </w:rPr>
        <w:t>as</w:t>
      </w:r>
      <w:r>
        <w:rPr>
          <w:color w:val="231F20"/>
          <w:spacing w:val="-1"/>
          <w:w w:val="105"/>
          <w:sz w:val="17"/>
        </w:rPr>
        <w:t xml:space="preserve"> </w:t>
      </w:r>
      <w:r>
        <w:rPr>
          <w:color w:val="231F20"/>
          <w:w w:val="105"/>
          <w:sz w:val="17"/>
        </w:rPr>
        <w:t>a</w:t>
      </w:r>
      <w:r>
        <w:rPr>
          <w:color w:val="231F20"/>
          <w:spacing w:val="-1"/>
          <w:w w:val="105"/>
          <w:sz w:val="17"/>
        </w:rPr>
        <w:t xml:space="preserve"> </w:t>
      </w:r>
      <w:r>
        <w:rPr>
          <w:color w:val="231F20"/>
          <w:w w:val="105"/>
          <w:sz w:val="17"/>
        </w:rPr>
        <w:t>‘business</w:t>
      </w:r>
      <w:r>
        <w:rPr>
          <w:color w:val="231F20"/>
          <w:spacing w:val="-1"/>
          <w:w w:val="105"/>
          <w:sz w:val="17"/>
        </w:rPr>
        <w:t xml:space="preserve"> </w:t>
      </w:r>
      <w:r>
        <w:rPr>
          <w:color w:val="231F20"/>
          <w:w w:val="105"/>
          <w:sz w:val="17"/>
        </w:rPr>
        <w:t>traveller/</w:t>
      </w:r>
      <w:r>
        <w:rPr>
          <w:color w:val="231F20"/>
          <w:spacing w:val="40"/>
          <w:w w:val="105"/>
          <w:sz w:val="17"/>
        </w:rPr>
        <w:t xml:space="preserve"> </w:t>
      </w:r>
      <w:r>
        <w:rPr>
          <w:color w:val="231F20"/>
          <w:w w:val="105"/>
          <w:sz w:val="17"/>
        </w:rPr>
        <w:t xml:space="preserve">tourist’. In J.E.S. Higham and T.D. Hinch (eds) </w:t>
      </w:r>
      <w:r>
        <w:rPr>
          <w:i/>
          <w:color w:val="231F20"/>
          <w:w w:val="105"/>
          <w:sz w:val="17"/>
        </w:rPr>
        <w:t>Sport and Tourism: Globalisation,</w:t>
      </w:r>
      <w:r>
        <w:rPr>
          <w:i/>
          <w:color w:val="231F20"/>
          <w:spacing w:val="40"/>
          <w:w w:val="105"/>
          <w:sz w:val="17"/>
        </w:rPr>
        <w:t xml:space="preserve"> </w:t>
      </w:r>
      <w:r>
        <w:rPr>
          <w:i/>
          <w:color w:val="231F20"/>
          <w:sz w:val="17"/>
        </w:rPr>
        <w:t xml:space="preserve">Mobility and Identity </w:t>
      </w:r>
      <w:r>
        <w:rPr>
          <w:color w:val="231F20"/>
          <w:sz w:val="17"/>
        </w:rPr>
        <w:t>(pp. 88–91). Oxford: Elsevier Butterworth Heinemann.</w:t>
      </w:r>
    </w:p>
    <w:p w14:paraId="1B311D6C" w14:textId="77777777" w:rsidR="00AE0598" w:rsidRDefault="0069255A">
      <w:pPr>
        <w:spacing w:before="2"/>
        <w:ind w:left="430" w:right="128" w:hanging="320"/>
        <w:jc w:val="both"/>
        <w:rPr>
          <w:sz w:val="17"/>
        </w:rPr>
      </w:pPr>
      <w:r>
        <w:rPr>
          <w:color w:val="231F20"/>
          <w:sz w:val="17"/>
        </w:rPr>
        <w:t xml:space="preserve">Hodges, </w:t>
      </w:r>
      <w:r>
        <w:rPr>
          <w:color w:val="231F20"/>
          <w:w w:val="110"/>
          <w:sz w:val="17"/>
        </w:rPr>
        <w:t xml:space="preserve">J. </w:t>
      </w:r>
      <w:r>
        <w:rPr>
          <w:color w:val="231F20"/>
          <w:sz w:val="17"/>
        </w:rPr>
        <w:t>and Hall,</w:t>
      </w:r>
      <w:r>
        <w:rPr>
          <w:color w:val="231F20"/>
          <w:sz w:val="17"/>
        </w:rPr>
        <w:t xml:space="preserve"> </w:t>
      </w:r>
      <w:r>
        <w:rPr>
          <w:color w:val="231F20"/>
          <w:w w:val="110"/>
          <w:sz w:val="17"/>
        </w:rPr>
        <w:t xml:space="preserve">C.M. </w:t>
      </w:r>
      <w:r>
        <w:rPr>
          <w:color w:val="231F20"/>
          <w:sz w:val="17"/>
        </w:rPr>
        <w:t>(1996) The housing and social impact of mega events: Lessons</w:t>
      </w:r>
      <w:r>
        <w:rPr>
          <w:color w:val="231F20"/>
          <w:spacing w:val="40"/>
          <w:sz w:val="17"/>
        </w:rPr>
        <w:t xml:space="preserve"> </w:t>
      </w:r>
      <w:r>
        <w:rPr>
          <w:color w:val="231F20"/>
          <w:sz w:val="17"/>
        </w:rPr>
        <w:t>for the Sydney 2000 Olympics. Paper presented at the Proceedings ‘Towards a More</w:t>
      </w:r>
      <w:r>
        <w:rPr>
          <w:color w:val="231F20"/>
          <w:spacing w:val="40"/>
          <w:sz w:val="17"/>
        </w:rPr>
        <w:t xml:space="preserve"> </w:t>
      </w:r>
      <w:r>
        <w:rPr>
          <w:color w:val="231F20"/>
          <w:sz w:val="17"/>
        </w:rPr>
        <w:t>Sustainable Tourism’, Dunedin, New Zealand, 3–6 December.</w:t>
      </w:r>
    </w:p>
    <w:p w14:paraId="46427753" w14:textId="77777777" w:rsidR="00AE0598" w:rsidRDefault="0069255A">
      <w:pPr>
        <w:spacing w:before="2"/>
        <w:ind w:left="110"/>
        <w:jc w:val="both"/>
        <w:rPr>
          <w:sz w:val="17"/>
        </w:rPr>
      </w:pPr>
      <w:r>
        <w:rPr>
          <w:color w:val="231F20"/>
          <w:sz w:val="17"/>
        </w:rPr>
        <w:t>Hoffer,</w:t>
      </w:r>
      <w:r>
        <w:rPr>
          <w:color w:val="231F20"/>
          <w:spacing w:val="21"/>
          <w:sz w:val="17"/>
        </w:rPr>
        <w:t xml:space="preserve"> </w:t>
      </w:r>
      <w:r>
        <w:rPr>
          <w:color w:val="231F20"/>
          <w:sz w:val="17"/>
        </w:rPr>
        <w:t>R.</w:t>
      </w:r>
      <w:r>
        <w:rPr>
          <w:color w:val="231F20"/>
          <w:spacing w:val="22"/>
          <w:sz w:val="17"/>
        </w:rPr>
        <w:t xml:space="preserve"> </w:t>
      </w:r>
      <w:r>
        <w:rPr>
          <w:color w:val="231F20"/>
          <w:sz w:val="17"/>
        </w:rPr>
        <w:t>(1995)</w:t>
      </w:r>
      <w:r>
        <w:rPr>
          <w:color w:val="231F20"/>
          <w:spacing w:val="21"/>
          <w:sz w:val="17"/>
        </w:rPr>
        <w:t xml:space="preserve"> </w:t>
      </w:r>
      <w:r>
        <w:rPr>
          <w:color w:val="231F20"/>
          <w:sz w:val="17"/>
        </w:rPr>
        <w:t>Down</w:t>
      </w:r>
      <w:r>
        <w:rPr>
          <w:color w:val="231F20"/>
          <w:spacing w:val="22"/>
          <w:sz w:val="17"/>
        </w:rPr>
        <w:t xml:space="preserve"> </w:t>
      </w:r>
      <w:r>
        <w:rPr>
          <w:color w:val="231F20"/>
          <w:sz w:val="17"/>
        </w:rPr>
        <w:t>and</w:t>
      </w:r>
      <w:r>
        <w:rPr>
          <w:color w:val="231F20"/>
          <w:spacing w:val="21"/>
          <w:sz w:val="17"/>
        </w:rPr>
        <w:t xml:space="preserve"> </w:t>
      </w:r>
      <w:r>
        <w:rPr>
          <w:color w:val="231F20"/>
          <w:sz w:val="17"/>
        </w:rPr>
        <w:t>out:</w:t>
      </w:r>
      <w:r>
        <w:rPr>
          <w:color w:val="231F20"/>
          <w:spacing w:val="22"/>
          <w:sz w:val="17"/>
        </w:rPr>
        <w:t xml:space="preserve"> </w:t>
      </w:r>
      <w:r>
        <w:rPr>
          <w:color w:val="231F20"/>
          <w:sz w:val="17"/>
        </w:rPr>
        <w:t>On</w:t>
      </w:r>
      <w:r>
        <w:rPr>
          <w:color w:val="231F20"/>
          <w:spacing w:val="21"/>
          <w:sz w:val="17"/>
        </w:rPr>
        <w:t xml:space="preserve"> </w:t>
      </w:r>
      <w:r>
        <w:rPr>
          <w:color w:val="231F20"/>
          <w:sz w:val="17"/>
        </w:rPr>
        <w:t>land,</w:t>
      </w:r>
      <w:r>
        <w:rPr>
          <w:color w:val="231F20"/>
          <w:spacing w:val="22"/>
          <w:sz w:val="17"/>
        </w:rPr>
        <w:t xml:space="preserve"> </w:t>
      </w:r>
      <w:r>
        <w:rPr>
          <w:color w:val="231F20"/>
          <w:sz w:val="17"/>
        </w:rPr>
        <w:t>sea,</w:t>
      </w:r>
      <w:r>
        <w:rPr>
          <w:color w:val="231F20"/>
          <w:spacing w:val="21"/>
          <w:sz w:val="17"/>
        </w:rPr>
        <w:t xml:space="preserve"> </w:t>
      </w:r>
      <w:r>
        <w:rPr>
          <w:color w:val="231F20"/>
          <w:sz w:val="17"/>
        </w:rPr>
        <w:t>air,</w:t>
      </w:r>
      <w:r>
        <w:rPr>
          <w:color w:val="231F20"/>
          <w:spacing w:val="22"/>
          <w:sz w:val="17"/>
        </w:rPr>
        <w:t xml:space="preserve"> </w:t>
      </w:r>
      <w:r>
        <w:rPr>
          <w:color w:val="231F20"/>
          <w:sz w:val="17"/>
        </w:rPr>
        <w:t>facing</w:t>
      </w:r>
      <w:r>
        <w:rPr>
          <w:color w:val="231F20"/>
          <w:spacing w:val="21"/>
          <w:sz w:val="17"/>
        </w:rPr>
        <w:t xml:space="preserve"> </w:t>
      </w:r>
      <w:r>
        <w:rPr>
          <w:color w:val="231F20"/>
          <w:sz w:val="17"/>
        </w:rPr>
        <w:t>questions</w:t>
      </w:r>
      <w:r>
        <w:rPr>
          <w:color w:val="231F20"/>
          <w:spacing w:val="22"/>
          <w:sz w:val="17"/>
        </w:rPr>
        <w:t xml:space="preserve"> </w:t>
      </w:r>
      <w:r>
        <w:rPr>
          <w:color w:val="231F20"/>
          <w:sz w:val="17"/>
        </w:rPr>
        <w:t>about</w:t>
      </w:r>
      <w:r>
        <w:rPr>
          <w:color w:val="231F20"/>
          <w:spacing w:val="21"/>
          <w:sz w:val="17"/>
        </w:rPr>
        <w:t xml:space="preserve"> </w:t>
      </w:r>
      <w:r>
        <w:rPr>
          <w:color w:val="231F20"/>
          <w:sz w:val="17"/>
        </w:rPr>
        <w:t>their</w:t>
      </w:r>
      <w:r>
        <w:rPr>
          <w:color w:val="231F20"/>
          <w:spacing w:val="22"/>
          <w:sz w:val="17"/>
        </w:rPr>
        <w:t xml:space="preserve"> </w:t>
      </w:r>
      <w:r>
        <w:rPr>
          <w:color w:val="231F20"/>
          <w:spacing w:val="-2"/>
          <w:sz w:val="17"/>
        </w:rPr>
        <w:t>sanity.</w:t>
      </w:r>
    </w:p>
    <w:p w14:paraId="7EE882BD" w14:textId="77777777" w:rsidR="00AE0598" w:rsidRDefault="0069255A">
      <w:pPr>
        <w:spacing w:before="1"/>
        <w:ind w:left="430"/>
        <w:jc w:val="both"/>
        <w:rPr>
          <w:sz w:val="17"/>
        </w:rPr>
      </w:pPr>
      <w:r>
        <w:rPr>
          <w:i/>
          <w:color w:val="231F20"/>
          <w:w w:val="95"/>
          <w:sz w:val="17"/>
        </w:rPr>
        <w:t>Sports</w:t>
      </w:r>
      <w:r>
        <w:rPr>
          <w:i/>
          <w:color w:val="231F20"/>
          <w:spacing w:val="11"/>
          <w:sz w:val="17"/>
        </w:rPr>
        <w:t xml:space="preserve"> </w:t>
      </w:r>
      <w:r>
        <w:rPr>
          <w:i/>
          <w:color w:val="231F20"/>
          <w:w w:val="95"/>
          <w:sz w:val="17"/>
        </w:rPr>
        <w:t>Illustrated</w:t>
      </w:r>
      <w:r>
        <w:rPr>
          <w:i/>
          <w:color w:val="231F20"/>
          <w:spacing w:val="11"/>
          <w:sz w:val="17"/>
        </w:rPr>
        <w:t xml:space="preserve"> </w:t>
      </w:r>
      <w:r>
        <w:rPr>
          <w:color w:val="231F20"/>
          <w:w w:val="95"/>
          <w:sz w:val="17"/>
        </w:rPr>
        <w:t>83</w:t>
      </w:r>
      <w:r>
        <w:rPr>
          <w:color w:val="231F20"/>
          <w:spacing w:val="11"/>
          <w:sz w:val="17"/>
        </w:rPr>
        <w:t xml:space="preserve"> </w:t>
      </w:r>
      <w:r>
        <w:rPr>
          <w:color w:val="231F20"/>
          <w:w w:val="95"/>
          <w:sz w:val="17"/>
        </w:rPr>
        <w:t>(1),</w:t>
      </w:r>
      <w:r>
        <w:rPr>
          <w:color w:val="231F20"/>
          <w:spacing w:val="12"/>
          <w:sz w:val="17"/>
        </w:rPr>
        <w:t xml:space="preserve"> </w:t>
      </w:r>
      <w:r>
        <w:rPr>
          <w:color w:val="231F20"/>
          <w:spacing w:val="-2"/>
          <w:w w:val="95"/>
          <w:sz w:val="17"/>
        </w:rPr>
        <w:t>42–49.</w:t>
      </w:r>
    </w:p>
    <w:p w14:paraId="38EC99D3" w14:textId="77777777" w:rsidR="00AE0598" w:rsidRDefault="0069255A">
      <w:pPr>
        <w:ind w:left="430" w:right="127" w:hanging="320"/>
        <w:jc w:val="both"/>
        <w:rPr>
          <w:sz w:val="17"/>
        </w:rPr>
      </w:pPr>
      <w:r>
        <w:rPr>
          <w:color w:val="231F20"/>
          <w:w w:val="95"/>
          <w:sz w:val="17"/>
        </w:rPr>
        <w:t>Holden, A. (2000) Winter tourism and the environment in conflict: The case of Cairngorm,</w:t>
      </w:r>
      <w:r>
        <w:rPr>
          <w:color w:val="231F20"/>
          <w:spacing w:val="40"/>
          <w:sz w:val="17"/>
        </w:rPr>
        <w:t xml:space="preserve"> </w:t>
      </w:r>
      <w:r>
        <w:rPr>
          <w:color w:val="231F20"/>
          <w:sz w:val="17"/>
        </w:rPr>
        <w:t xml:space="preserve">Scotland. </w:t>
      </w:r>
      <w:r>
        <w:rPr>
          <w:i/>
          <w:color w:val="231F20"/>
          <w:sz w:val="17"/>
        </w:rPr>
        <w:t xml:space="preserve">International Journal of Tourism Research </w:t>
      </w:r>
      <w:r>
        <w:rPr>
          <w:color w:val="231F20"/>
          <w:sz w:val="17"/>
        </w:rPr>
        <w:t>2 (4), 247–260.</w:t>
      </w:r>
    </w:p>
    <w:p w14:paraId="67D61595" w14:textId="77777777" w:rsidR="00AE0598" w:rsidRDefault="0069255A">
      <w:pPr>
        <w:spacing w:before="2"/>
        <w:ind w:left="430" w:right="127" w:hanging="320"/>
        <w:jc w:val="both"/>
        <w:rPr>
          <w:sz w:val="17"/>
        </w:rPr>
      </w:pPr>
      <w:r>
        <w:rPr>
          <w:color w:val="231F20"/>
          <w:sz w:val="17"/>
        </w:rPr>
        <w:t>Hooper,</w:t>
      </w:r>
      <w:r>
        <w:rPr>
          <w:color w:val="231F20"/>
          <w:spacing w:val="-7"/>
          <w:sz w:val="17"/>
        </w:rPr>
        <w:t xml:space="preserve"> </w:t>
      </w:r>
      <w:r>
        <w:rPr>
          <w:color w:val="231F20"/>
          <w:sz w:val="17"/>
        </w:rPr>
        <w:t>I.</w:t>
      </w:r>
      <w:r>
        <w:rPr>
          <w:color w:val="231F20"/>
          <w:spacing w:val="-7"/>
          <w:sz w:val="17"/>
        </w:rPr>
        <w:t xml:space="preserve"> </w:t>
      </w:r>
      <w:r>
        <w:rPr>
          <w:color w:val="231F20"/>
          <w:sz w:val="17"/>
        </w:rPr>
        <w:t>(1998)</w:t>
      </w:r>
      <w:r>
        <w:rPr>
          <w:color w:val="231F20"/>
          <w:spacing w:val="-7"/>
          <w:sz w:val="17"/>
        </w:rPr>
        <w:t xml:space="preserve"> </w:t>
      </w:r>
      <w:r>
        <w:rPr>
          <w:color w:val="231F20"/>
          <w:sz w:val="17"/>
        </w:rPr>
        <w:t>The</w:t>
      </w:r>
      <w:r>
        <w:rPr>
          <w:color w:val="231F20"/>
          <w:spacing w:val="-7"/>
          <w:sz w:val="17"/>
        </w:rPr>
        <w:t xml:space="preserve"> </w:t>
      </w:r>
      <w:r>
        <w:rPr>
          <w:color w:val="231F20"/>
          <w:sz w:val="17"/>
        </w:rPr>
        <w:t>v</w:t>
      </w:r>
      <w:r>
        <w:rPr>
          <w:color w:val="231F20"/>
          <w:sz w:val="17"/>
        </w:rPr>
        <w:t>alue</w:t>
      </w:r>
      <w:r>
        <w:rPr>
          <w:color w:val="231F20"/>
          <w:spacing w:val="-7"/>
          <w:sz w:val="17"/>
        </w:rPr>
        <w:t xml:space="preserve"> </w:t>
      </w:r>
      <w:r>
        <w:rPr>
          <w:color w:val="231F20"/>
          <w:sz w:val="17"/>
        </w:rPr>
        <w:t>of</w:t>
      </w:r>
      <w:r>
        <w:rPr>
          <w:color w:val="231F20"/>
          <w:spacing w:val="-7"/>
          <w:sz w:val="17"/>
        </w:rPr>
        <w:t xml:space="preserve"> </w:t>
      </w:r>
      <w:r>
        <w:rPr>
          <w:color w:val="231F20"/>
          <w:sz w:val="17"/>
        </w:rPr>
        <w:t>sport</w:t>
      </w:r>
      <w:r>
        <w:rPr>
          <w:color w:val="231F20"/>
          <w:spacing w:val="-7"/>
          <w:sz w:val="17"/>
        </w:rPr>
        <w:t xml:space="preserve"> </w:t>
      </w:r>
      <w:r>
        <w:rPr>
          <w:color w:val="231F20"/>
          <w:sz w:val="17"/>
        </w:rPr>
        <w:t>in</w:t>
      </w:r>
      <w:r>
        <w:rPr>
          <w:color w:val="231F20"/>
          <w:spacing w:val="-7"/>
          <w:sz w:val="17"/>
        </w:rPr>
        <w:t xml:space="preserve"> </w:t>
      </w:r>
      <w:r>
        <w:rPr>
          <w:color w:val="231F20"/>
          <w:sz w:val="17"/>
        </w:rPr>
        <w:t>urban</w:t>
      </w:r>
      <w:r>
        <w:rPr>
          <w:color w:val="231F20"/>
          <w:spacing w:val="-7"/>
          <w:sz w:val="17"/>
        </w:rPr>
        <w:t xml:space="preserve"> </w:t>
      </w:r>
      <w:r>
        <w:rPr>
          <w:color w:val="231F20"/>
          <w:sz w:val="17"/>
        </w:rPr>
        <w:t>regeneration:</w:t>
      </w:r>
      <w:r>
        <w:rPr>
          <w:color w:val="231F20"/>
          <w:spacing w:val="-7"/>
          <w:sz w:val="17"/>
        </w:rPr>
        <w:t xml:space="preserve"> </w:t>
      </w:r>
      <w:r>
        <w:rPr>
          <w:color w:val="231F20"/>
          <w:sz w:val="17"/>
        </w:rPr>
        <w:t>A</w:t>
      </w:r>
      <w:r>
        <w:rPr>
          <w:color w:val="231F20"/>
          <w:spacing w:val="-7"/>
          <w:sz w:val="17"/>
        </w:rPr>
        <w:t xml:space="preserve"> </w:t>
      </w:r>
      <w:r>
        <w:rPr>
          <w:color w:val="231F20"/>
          <w:sz w:val="17"/>
        </w:rPr>
        <w:t>case</w:t>
      </w:r>
      <w:r>
        <w:rPr>
          <w:color w:val="231F20"/>
          <w:spacing w:val="-7"/>
          <w:sz w:val="17"/>
        </w:rPr>
        <w:t xml:space="preserve"> </w:t>
      </w:r>
      <w:r>
        <w:rPr>
          <w:color w:val="231F20"/>
          <w:sz w:val="17"/>
        </w:rPr>
        <w:t>study</w:t>
      </w:r>
      <w:r>
        <w:rPr>
          <w:color w:val="231F20"/>
          <w:spacing w:val="-7"/>
          <w:sz w:val="17"/>
        </w:rPr>
        <w:t xml:space="preserve"> </w:t>
      </w:r>
      <w:r>
        <w:rPr>
          <w:color w:val="231F20"/>
          <w:sz w:val="17"/>
        </w:rPr>
        <w:t>of</w:t>
      </w:r>
      <w:r>
        <w:rPr>
          <w:color w:val="231F20"/>
          <w:spacing w:val="-7"/>
          <w:sz w:val="17"/>
        </w:rPr>
        <w:t xml:space="preserve"> </w:t>
      </w:r>
      <w:r>
        <w:rPr>
          <w:color w:val="231F20"/>
          <w:sz w:val="17"/>
        </w:rPr>
        <w:t>Glasgow.</w:t>
      </w:r>
      <w:r>
        <w:rPr>
          <w:color w:val="231F20"/>
          <w:spacing w:val="-7"/>
          <w:sz w:val="17"/>
        </w:rPr>
        <w:t xml:space="preserve"> </w:t>
      </w:r>
      <w:r>
        <w:rPr>
          <w:color w:val="231F20"/>
          <w:sz w:val="17"/>
        </w:rPr>
        <w:t>Paper</w:t>
      </w:r>
      <w:r>
        <w:rPr>
          <w:color w:val="231F20"/>
          <w:spacing w:val="40"/>
          <w:sz w:val="17"/>
        </w:rPr>
        <w:t xml:space="preserve"> </w:t>
      </w:r>
      <w:r>
        <w:rPr>
          <w:color w:val="231F20"/>
          <w:sz w:val="17"/>
        </w:rPr>
        <w:t>presented at the Sport in the City Conference, Sheffield, UK, 2–4 July.</w:t>
      </w:r>
    </w:p>
    <w:p w14:paraId="1B06DE7B" w14:textId="77777777" w:rsidR="00AE0598" w:rsidRDefault="0069255A">
      <w:pPr>
        <w:spacing w:before="1"/>
        <w:ind w:left="430" w:right="127" w:hanging="320"/>
        <w:jc w:val="both"/>
        <w:rPr>
          <w:sz w:val="17"/>
        </w:rPr>
      </w:pPr>
      <w:r>
        <w:rPr>
          <w:color w:val="231F20"/>
          <w:sz w:val="17"/>
        </w:rPr>
        <w:t>Hopkins, D. (2014) The sustainability of climate change adaptation strategies in New</w:t>
      </w:r>
      <w:r>
        <w:rPr>
          <w:color w:val="231F20"/>
          <w:spacing w:val="40"/>
          <w:sz w:val="17"/>
        </w:rPr>
        <w:t xml:space="preserve"> </w:t>
      </w:r>
      <w:r>
        <w:rPr>
          <w:color w:val="231F20"/>
          <w:sz w:val="17"/>
        </w:rPr>
        <w:t xml:space="preserve">Zealand’s ski industry: A range of stakeholder perceptions. </w:t>
      </w:r>
      <w:r>
        <w:rPr>
          <w:i/>
          <w:color w:val="231F20"/>
          <w:sz w:val="17"/>
        </w:rPr>
        <w:t>Journal of Sustainable</w:t>
      </w:r>
      <w:r>
        <w:rPr>
          <w:i/>
          <w:color w:val="231F20"/>
          <w:spacing w:val="40"/>
          <w:sz w:val="17"/>
        </w:rPr>
        <w:t xml:space="preserve"> </w:t>
      </w:r>
      <w:r>
        <w:rPr>
          <w:i/>
          <w:color w:val="231F20"/>
          <w:sz w:val="17"/>
        </w:rPr>
        <w:t xml:space="preserve">Tourism </w:t>
      </w:r>
      <w:r>
        <w:rPr>
          <w:color w:val="231F20"/>
          <w:sz w:val="17"/>
        </w:rPr>
        <w:t>22 (1), 107–126.</w:t>
      </w:r>
    </w:p>
    <w:p w14:paraId="7191D6FE" w14:textId="77777777" w:rsidR="00AE0598" w:rsidRDefault="0069255A">
      <w:pPr>
        <w:spacing w:before="2"/>
        <w:ind w:left="430" w:right="127" w:hanging="320"/>
        <w:jc w:val="both"/>
        <w:rPr>
          <w:sz w:val="17"/>
        </w:rPr>
      </w:pPr>
      <w:r>
        <w:rPr>
          <w:color w:val="231F20"/>
          <w:w w:val="95"/>
          <w:sz w:val="17"/>
        </w:rPr>
        <w:t>Hopkins, D. and Maclean, K. (2014) Climate change perceptions a</w:t>
      </w:r>
      <w:r>
        <w:rPr>
          <w:color w:val="231F20"/>
          <w:w w:val="95"/>
          <w:sz w:val="17"/>
        </w:rPr>
        <w:t>nd responses in Scotland’s</w:t>
      </w:r>
      <w:r>
        <w:rPr>
          <w:color w:val="231F20"/>
          <w:spacing w:val="40"/>
          <w:sz w:val="17"/>
        </w:rPr>
        <w:t xml:space="preserve"> </w:t>
      </w:r>
      <w:r>
        <w:rPr>
          <w:color w:val="231F20"/>
          <w:sz w:val="17"/>
        </w:rPr>
        <w:t xml:space="preserve">ski industry. </w:t>
      </w:r>
      <w:r>
        <w:rPr>
          <w:i/>
          <w:color w:val="231F20"/>
          <w:sz w:val="17"/>
        </w:rPr>
        <w:t>Tourism Geographies: An International Journal of Tourism Space, Place</w:t>
      </w:r>
      <w:r>
        <w:rPr>
          <w:i/>
          <w:color w:val="231F20"/>
          <w:spacing w:val="40"/>
          <w:sz w:val="17"/>
        </w:rPr>
        <w:t xml:space="preserve"> </w:t>
      </w:r>
      <w:r>
        <w:rPr>
          <w:i/>
          <w:color w:val="231F20"/>
          <w:sz w:val="17"/>
        </w:rPr>
        <w:t xml:space="preserve">and Environment </w:t>
      </w:r>
      <w:r>
        <w:rPr>
          <w:color w:val="231F20"/>
          <w:sz w:val="17"/>
        </w:rPr>
        <w:t>16 (3), 400–414.</w:t>
      </w:r>
    </w:p>
    <w:p w14:paraId="02F1C4F7" w14:textId="77777777" w:rsidR="00AE0598" w:rsidRDefault="0069255A">
      <w:pPr>
        <w:spacing w:before="2"/>
        <w:ind w:left="430" w:right="127" w:hanging="320"/>
        <w:jc w:val="both"/>
        <w:rPr>
          <w:sz w:val="17"/>
        </w:rPr>
      </w:pPr>
      <w:r>
        <w:rPr>
          <w:color w:val="231F20"/>
          <w:sz w:val="17"/>
        </w:rPr>
        <w:t xml:space="preserve">Hopkins, D. and Higham, J.E.S. (2016) </w:t>
      </w:r>
      <w:r>
        <w:rPr>
          <w:i/>
          <w:color w:val="231F20"/>
          <w:sz w:val="17"/>
        </w:rPr>
        <w:t>Low Carbon Mobility Transitions</w:t>
      </w:r>
      <w:r>
        <w:rPr>
          <w:color w:val="231F20"/>
          <w:sz w:val="17"/>
        </w:rPr>
        <w:t>. Oxford:</w:t>
      </w:r>
      <w:r>
        <w:rPr>
          <w:color w:val="231F20"/>
          <w:spacing w:val="40"/>
          <w:sz w:val="17"/>
        </w:rPr>
        <w:t xml:space="preserve"> </w:t>
      </w:r>
      <w:r>
        <w:rPr>
          <w:color w:val="231F20"/>
          <w:sz w:val="17"/>
        </w:rPr>
        <w:t>Goodfellow Publishers.</w:t>
      </w:r>
    </w:p>
    <w:p w14:paraId="101DE06B" w14:textId="77777777" w:rsidR="00AE0598" w:rsidRDefault="0069255A">
      <w:pPr>
        <w:spacing w:before="2"/>
        <w:ind w:left="430" w:right="127" w:hanging="320"/>
        <w:jc w:val="both"/>
        <w:rPr>
          <w:sz w:val="17"/>
        </w:rPr>
      </w:pPr>
      <w:r>
        <w:rPr>
          <w:color w:val="231F20"/>
          <w:sz w:val="17"/>
        </w:rPr>
        <w:t>Hopkins, D</w:t>
      </w:r>
      <w:r>
        <w:rPr>
          <w:color w:val="231F20"/>
          <w:sz w:val="17"/>
        </w:rPr>
        <w:t>. and Higham, J.E.S. (2018) Climate change and tourism: Mitigation and global</w:t>
      </w:r>
      <w:r>
        <w:rPr>
          <w:color w:val="231F20"/>
          <w:spacing w:val="40"/>
          <w:w w:val="105"/>
          <w:sz w:val="17"/>
        </w:rPr>
        <w:t xml:space="preserve"> </w:t>
      </w:r>
      <w:r>
        <w:rPr>
          <w:color w:val="231F20"/>
          <w:w w:val="105"/>
          <w:sz w:val="17"/>
        </w:rPr>
        <w:t xml:space="preserve">climate agreements. In C. Cooper, B. Gartner, N. Scott and S. Volo (eds) </w:t>
      </w:r>
      <w:r>
        <w:rPr>
          <w:i/>
          <w:color w:val="231F20"/>
          <w:w w:val="105"/>
          <w:sz w:val="17"/>
        </w:rPr>
        <w:t>The Sage</w:t>
      </w:r>
      <w:r>
        <w:rPr>
          <w:i/>
          <w:color w:val="231F20"/>
          <w:spacing w:val="40"/>
          <w:w w:val="105"/>
          <w:sz w:val="17"/>
        </w:rPr>
        <w:t xml:space="preserve"> </w:t>
      </w:r>
      <w:r>
        <w:rPr>
          <w:i/>
          <w:color w:val="231F20"/>
          <w:w w:val="105"/>
          <w:sz w:val="17"/>
        </w:rPr>
        <w:t>Handbook of Tourism Management</w:t>
      </w:r>
      <w:r>
        <w:rPr>
          <w:color w:val="231F20"/>
          <w:w w:val="105"/>
          <w:sz w:val="17"/>
        </w:rPr>
        <w:t>. London: Sage.</w:t>
      </w:r>
    </w:p>
    <w:p w14:paraId="6537348D" w14:textId="77777777" w:rsidR="00AE0598" w:rsidRDefault="0069255A">
      <w:pPr>
        <w:spacing w:before="2"/>
        <w:ind w:left="430" w:right="124" w:hanging="320"/>
        <w:jc w:val="both"/>
        <w:rPr>
          <w:sz w:val="17"/>
        </w:rPr>
      </w:pPr>
      <w:r>
        <w:rPr>
          <w:color w:val="231F20"/>
          <w:sz w:val="17"/>
        </w:rPr>
        <w:t>Hopkins, D., Higham, J.E. and Becken, S. (2013) Climate change in a regional context:</w:t>
      </w:r>
      <w:r>
        <w:rPr>
          <w:color w:val="231F20"/>
          <w:spacing w:val="40"/>
          <w:sz w:val="17"/>
        </w:rPr>
        <w:t xml:space="preserve"> </w:t>
      </w:r>
      <w:r>
        <w:rPr>
          <w:color w:val="231F20"/>
          <w:sz w:val="17"/>
        </w:rPr>
        <w:t xml:space="preserve">Relative vulnerability in the Australasian skier market. </w:t>
      </w:r>
      <w:r>
        <w:rPr>
          <w:i/>
          <w:color w:val="231F20"/>
          <w:sz w:val="17"/>
        </w:rPr>
        <w:t>Regional Environmental</w:t>
      </w:r>
      <w:r>
        <w:rPr>
          <w:i/>
          <w:color w:val="231F20"/>
          <w:spacing w:val="40"/>
          <w:sz w:val="17"/>
        </w:rPr>
        <w:t xml:space="preserve"> </w:t>
      </w:r>
      <w:r>
        <w:rPr>
          <w:i/>
          <w:color w:val="231F20"/>
          <w:sz w:val="17"/>
        </w:rPr>
        <w:t xml:space="preserve">Change </w:t>
      </w:r>
      <w:r>
        <w:rPr>
          <w:color w:val="231F20"/>
          <w:sz w:val="17"/>
        </w:rPr>
        <w:t>13 (2), 449–458.</w:t>
      </w:r>
    </w:p>
    <w:p w14:paraId="11E7E13D" w14:textId="77777777" w:rsidR="00AE0598" w:rsidRDefault="0069255A">
      <w:pPr>
        <w:spacing w:before="2"/>
        <w:ind w:left="430" w:right="128" w:hanging="320"/>
        <w:jc w:val="both"/>
        <w:rPr>
          <w:sz w:val="17"/>
        </w:rPr>
      </w:pPr>
      <w:r>
        <w:rPr>
          <w:color w:val="231F20"/>
          <w:w w:val="105"/>
          <w:sz w:val="17"/>
        </w:rPr>
        <w:t>Hopwood, B., Mellor, M. and O’Brien, G. (2005) Sustainable develop</w:t>
      </w:r>
      <w:r>
        <w:rPr>
          <w:color w:val="231F20"/>
          <w:w w:val="105"/>
          <w:sz w:val="17"/>
        </w:rPr>
        <w:t>ment: Mapping</w:t>
      </w:r>
      <w:r>
        <w:rPr>
          <w:color w:val="231F20"/>
          <w:spacing w:val="40"/>
          <w:w w:val="105"/>
          <w:sz w:val="17"/>
        </w:rPr>
        <w:t xml:space="preserve"> </w:t>
      </w:r>
      <w:r>
        <w:rPr>
          <w:color w:val="231F20"/>
          <w:sz w:val="17"/>
        </w:rPr>
        <w:t xml:space="preserve">different approaches. </w:t>
      </w:r>
      <w:r>
        <w:rPr>
          <w:i/>
          <w:color w:val="231F20"/>
          <w:sz w:val="17"/>
        </w:rPr>
        <w:t xml:space="preserve">Sustainable Development </w:t>
      </w:r>
      <w:r>
        <w:rPr>
          <w:color w:val="231F20"/>
          <w:sz w:val="17"/>
        </w:rPr>
        <w:t>13, 38–52.</w:t>
      </w:r>
    </w:p>
    <w:p w14:paraId="07B896BD" w14:textId="77777777" w:rsidR="00AE0598" w:rsidRDefault="0069255A">
      <w:pPr>
        <w:spacing w:before="2"/>
        <w:ind w:left="110"/>
        <w:jc w:val="both"/>
        <w:rPr>
          <w:sz w:val="17"/>
        </w:rPr>
      </w:pPr>
      <w:r>
        <w:rPr>
          <w:color w:val="231F20"/>
          <w:sz w:val="17"/>
        </w:rPr>
        <w:t>Hornby,</w:t>
      </w:r>
      <w:r>
        <w:rPr>
          <w:color w:val="231F20"/>
          <w:spacing w:val="-1"/>
          <w:sz w:val="17"/>
        </w:rPr>
        <w:t xml:space="preserve"> </w:t>
      </w:r>
      <w:r>
        <w:rPr>
          <w:color w:val="231F20"/>
          <w:sz w:val="17"/>
        </w:rPr>
        <w:t xml:space="preserve">N. (1996) </w:t>
      </w:r>
      <w:r>
        <w:rPr>
          <w:i/>
          <w:color w:val="231F20"/>
          <w:sz w:val="17"/>
        </w:rPr>
        <w:t>Fever Pitch</w:t>
      </w:r>
      <w:r>
        <w:rPr>
          <w:color w:val="231F20"/>
          <w:sz w:val="17"/>
        </w:rPr>
        <w:t xml:space="preserve">. London: Cassel </w:t>
      </w:r>
      <w:r>
        <w:rPr>
          <w:color w:val="231F20"/>
          <w:spacing w:val="-2"/>
          <w:sz w:val="17"/>
        </w:rPr>
        <w:t>Group.</w:t>
      </w:r>
    </w:p>
    <w:p w14:paraId="4F7B7F44" w14:textId="77777777" w:rsidR="00AE0598" w:rsidRDefault="0069255A">
      <w:pPr>
        <w:ind w:left="110"/>
        <w:jc w:val="both"/>
        <w:rPr>
          <w:sz w:val="17"/>
        </w:rPr>
      </w:pPr>
      <w:r>
        <w:rPr>
          <w:color w:val="231F20"/>
          <w:sz w:val="17"/>
        </w:rPr>
        <w:t>Horne,</w:t>
      </w:r>
      <w:r>
        <w:rPr>
          <w:color w:val="231F20"/>
          <w:spacing w:val="10"/>
          <w:sz w:val="17"/>
        </w:rPr>
        <w:t xml:space="preserve"> </w:t>
      </w:r>
      <w:r>
        <w:rPr>
          <w:color w:val="231F20"/>
          <w:sz w:val="17"/>
        </w:rPr>
        <w:t>J.</w:t>
      </w:r>
      <w:r>
        <w:rPr>
          <w:color w:val="231F20"/>
          <w:spacing w:val="11"/>
          <w:sz w:val="17"/>
        </w:rPr>
        <w:t xml:space="preserve"> </w:t>
      </w:r>
      <w:r>
        <w:rPr>
          <w:color w:val="231F20"/>
          <w:sz w:val="17"/>
        </w:rPr>
        <w:t>(1996)</w:t>
      </w:r>
      <w:r>
        <w:rPr>
          <w:color w:val="231F20"/>
          <w:spacing w:val="11"/>
          <w:sz w:val="17"/>
        </w:rPr>
        <w:t xml:space="preserve"> </w:t>
      </w:r>
      <w:r>
        <w:rPr>
          <w:color w:val="231F20"/>
          <w:sz w:val="17"/>
        </w:rPr>
        <w:t>‘Sakka’</w:t>
      </w:r>
      <w:r>
        <w:rPr>
          <w:color w:val="231F20"/>
          <w:spacing w:val="10"/>
          <w:sz w:val="17"/>
        </w:rPr>
        <w:t xml:space="preserve"> </w:t>
      </w:r>
      <w:r>
        <w:rPr>
          <w:color w:val="231F20"/>
          <w:sz w:val="17"/>
        </w:rPr>
        <w:t>in</w:t>
      </w:r>
      <w:r>
        <w:rPr>
          <w:color w:val="231F20"/>
          <w:spacing w:val="11"/>
          <w:sz w:val="17"/>
        </w:rPr>
        <w:t xml:space="preserve"> </w:t>
      </w:r>
      <w:r>
        <w:rPr>
          <w:color w:val="231F20"/>
          <w:sz w:val="17"/>
        </w:rPr>
        <w:t>Japan.</w:t>
      </w:r>
      <w:r>
        <w:rPr>
          <w:color w:val="231F20"/>
          <w:spacing w:val="11"/>
          <w:sz w:val="17"/>
        </w:rPr>
        <w:t xml:space="preserve"> </w:t>
      </w:r>
      <w:r>
        <w:rPr>
          <w:i/>
          <w:color w:val="231F20"/>
          <w:sz w:val="17"/>
        </w:rPr>
        <w:t>Media,</w:t>
      </w:r>
      <w:r>
        <w:rPr>
          <w:i/>
          <w:color w:val="231F20"/>
          <w:spacing w:val="10"/>
          <w:sz w:val="17"/>
        </w:rPr>
        <w:t xml:space="preserve"> </w:t>
      </w:r>
      <w:r>
        <w:rPr>
          <w:i/>
          <w:color w:val="231F20"/>
          <w:sz w:val="17"/>
        </w:rPr>
        <w:t>Culture</w:t>
      </w:r>
      <w:r>
        <w:rPr>
          <w:i/>
          <w:color w:val="231F20"/>
          <w:spacing w:val="11"/>
          <w:sz w:val="17"/>
        </w:rPr>
        <w:t xml:space="preserve"> </w:t>
      </w:r>
      <w:r>
        <w:rPr>
          <w:i/>
          <w:color w:val="231F20"/>
          <w:sz w:val="17"/>
        </w:rPr>
        <w:t>&amp;</w:t>
      </w:r>
      <w:r>
        <w:rPr>
          <w:i/>
          <w:color w:val="231F20"/>
          <w:spacing w:val="11"/>
          <w:sz w:val="17"/>
        </w:rPr>
        <w:t xml:space="preserve"> </w:t>
      </w:r>
      <w:r>
        <w:rPr>
          <w:i/>
          <w:color w:val="231F20"/>
          <w:sz w:val="17"/>
        </w:rPr>
        <w:t>Society</w:t>
      </w:r>
      <w:r>
        <w:rPr>
          <w:i/>
          <w:color w:val="231F20"/>
          <w:spacing w:val="10"/>
          <w:sz w:val="17"/>
        </w:rPr>
        <w:t xml:space="preserve"> </w:t>
      </w:r>
      <w:r>
        <w:rPr>
          <w:color w:val="231F20"/>
          <w:sz w:val="17"/>
        </w:rPr>
        <w:t>18</w:t>
      </w:r>
      <w:r>
        <w:rPr>
          <w:color w:val="231F20"/>
          <w:spacing w:val="11"/>
          <w:sz w:val="17"/>
        </w:rPr>
        <w:t xml:space="preserve"> </w:t>
      </w:r>
      <w:r>
        <w:rPr>
          <w:color w:val="231F20"/>
          <w:sz w:val="17"/>
        </w:rPr>
        <w:t>(4),</w:t>
      </w:r>
      <w:r>
        <w:rPr>
          <w:color w:val="231F20"/>
          <w:spacing w:val="11"/>
          <w:sz w:val="17"/>
        </w:rPr>
        <w:t xml:space="preserve"> </w:t>
      </w:r>
      <w:r>
        <w:rPr>
          <w:color w:val="231F20"/>
          <w:spacing w:val="-2"/>
          <w:sz w:val="17"/>
        </w:rPr>
        <w:t>527–547.</w:t>
      </w:r>
    </w:p>
    <w:p w14:paraId="4FCE2CCB" w14:textId="77777777" w:rsidR="00AE0598" w:rsidRDefault="0069255A">
      <w:pPr>
        <w:spacing w:before="1"/>
        <w:ind w:left="110"/>
        <w:jc w:val="both"/>
        <w:rPr>
          <w:sz w:val="17"/>
        </w:rPr>
      </w:pPr>
      <w:r>
        <w:rPr>
          <w:color w:val="231F20"/>
          <w:sz w:val="17"/>
        </w:rPr>
        <w:t>Horne,</w:t>
      </w:r>
      <w:r>
        <w:rPr>
          <w:color w:val="231F20"/>
          <w:spacing w:val="48"/>
          <w:sz w:val="17"/>
        </w:rPr>
        <w:t xml:space="preserve"> </w:t>
      </w:r>
      <w:r>
        <w:rPr>
          <w:color w:val="231F20"/>
          <w:sz w:val="17"/>
        </w:rPr>
        <w:t>W.R.</w:t>
      </w:r>
      <w:r>
        <w:rPr>
          <w:color w:val="231F20"/>
          <w:spacing w:val="48"/>
          <w:sz w:val="17"/>
        </w:rPr>
        <w:t xml:space="preserve"> </w:t>
      </w:r>
      <w:r>
        <w:rPr>
          <w:color w:val="231F20"/>
          <w:sz w:val="17"/>
        </w:rPr>
        <w:t>(2000)</w:t>
      </w:r>
      <w:r>
        <w:rPr>
          <w:color w:val="231F20"/>
          <w:spacing w:val="48"/>
          <w:sz w:val="17"/>
        </w:rPr>
        <w:t xml:space="preserve"> </w:t>
      </w:r>
      <w:r>
        <w:rPr>
          <w:color w:val="231F20"/>
          <w:sz w:val="17"/>
        </w:rPr>
        <w:t>Municipal</w:t>
      </w:r>
      <w:r>
        <w:rPr>
          <w:color w:val="231F20"/>
          <w:spacing w:val="48"/>
          <w:sz w:val="17"/>
        </w:rPr>
        <w:t xml:space="preserve"> </w:t>
      </w:r>
      <w:r>
        <w:rPr>
          <w:color w:val="231F20"/>
          <w:sz w:val="17"/>
        </w:rPr>
        <w:t>economic</w:t>
      </w:r>
      <w:r>
        <w:rPr>
          <w:color w:val="231F20"/>
          <w:spacing w:val="48"/>
          <w:sz w:val="17"/>
        </w:rPr>
        <w:t xml:space="preserve"> </w:t>
      </w:r>
      <w:r>
        <w:rPr>
          <w:color w:val="231F20"/>
          <w:sz w:val="17"/>
        </w:rPr>
        <w:t>development</w:t>
      </w:r>
      <w:r>
        <w:rPr>
          <w:color w:val="231F20"/>
          <w:spacing w:val="48"/>
          <w:sz w:val="17"/>
        </w:rPr>
        <w:t xml:space="preserve"> </w:t>
      </w:r>
      <w:r>
        <w:rPr>
          <w:color w:val="231F20"/>
          <w:sz w:val="17"/>
        </w:rPr>
        <w:t>via</w:t>
      </w:r>
      <w:r>
        <w:rPr>
          <w:color w:val="231F20"/>
          <w:spacing w:val="48"/>
          <w:sz w:val="17"/>
        </w:rPr>
        <w:t xml:space="preserve"> </w:t>
      </w:r>
      <w:r>
        <w:rPr>
          <w:color w:val="231F20"/>
          <w:sz w:val="17"/>
        </w:rPr>
        <w:t>hallmark</w:t>
      </w:r>
      <w:r>
        <w:rPr>
          <w:color w:val="231F20"/>
          <w:spacing w:val="48"/>
          <w:sz w:val="17"/>
        </w:rPr>
        <w:t xml:space="preserve"> </w:t>
      </w:r>
      <w:r>
        <w:rPr>
          <w:color w:val="231F20"/>
          <w:sz w:val="17"/>
        </w:rPr>
        <w:t>tourism</w:t>
      </w:r>
      <w:r>
        <w:rPr>
          <w:color w:val="231F20"/>
          <w:spacing w:val="48"/>
          <w:sz w:val="17"/>
        </w:rPr>
        <w:t xml:space="preserve"> </w:t>
      </w:r>
      <w:r>
        <w:rPr>
          <w:color w:val="231F20"/>
          <w:spacing w:val="-2"/>
          <w:sz w:val="17"/>
        </w:rPr>
        <w:t>events.</w:t>
      </w:r>
    </w:p>
    <w:p w14:paraId="33994076" w14:textId="77777777" w:rsidR="00AE0598" w:rsidRDefault="0069255A">
      <w:pPr>
        <w:spacing w:before="1"/>
        <w:ind w:left="430"/>
        <w:jc w:val="both"/>
        <w:rPr>
          <w:sz w:val="17"/>
        </w:rPr>
      </w:pPr>
      <w:r>
        <w:rPr>
          <w:i/>
          <w:color w:val="231F20"/>
          <w:sz w:val="17"/>
        </w:rPr>
        <w:t>The</w:t>
      </w:r>
      <w:r>
        <w:rPr>
          <w:i/>
          <w:color w:val="231F20"/>
          <w:spacing w:val="4"/>
          <w:sz w:val="17"/>
        </w:rPr>
        <w:t xml:space="preserve"> </w:t>
      </w:r>
      <w:r>
        <w:rPr>
          <w:i/>
          <w:color w:val="231F20"/>
          <w:sz w:val="17"/>
        </w:rPr>
        <w:t>Journal</w:t>
      </w:r>
      <w:r>
        <w:rPr>
          <w:i/>
          <w:color w:val="231F20"/>
          <w:spacing w:val="5"/>
          <w:sz w:val="17"/>
        </w:rPr>
        <w:t xml:space="preserve"> </w:t>
      </w:r>
      <w:r>
        <w:rPr>
          <w:i/>
          <w:color w:val="231F20"/>
          <w:sz w:val="17"/>
        </w:rPr>
        <w:t>of</w:t>
      </w:r>
      <w:r>
        <w:rPr>
          <w:i/>
          <w:color w:val="231F20"/>
          <w:spacing w:val="5"/>
          <w:sz w:val="17"/>
        </w:rPr>
        <w:t xml:space="preserve"> </w:t>
      </w:r>
      <w:r>
        <w:rPr>
          <w:i/>
          <w:color w:val="231F20"/>
          <w:sz w:val="17"/>
        </w:rPr>
        <w:t>Tourism</w:t>
      </w:r>
      <w:r>
        <w:rPr>
          <w:i/>
          <w:color w:val="231F20"/>
          <w:spacing w:val="5"/>
          <w:sz w:val="17"/>
        </w:rPr>
        <w:t xml:space="preserve"> </w:t>
      </w:r>
      <w:r>
        <w:rPr>
          <w:i/>
          <w:color w:val="231F20"/>
          <w:sz w:val="17"/>
        </w:rPr>
        <w:t>Studies</w:t>
      </w:r>
      <w:r>
        <w:rPr>
          <w:i/>
          <w:color w:val="231F20"/>
          <w:spacing w:val="5"/>
          <w:sz w:val="17"/>
        </w:rPr>
        <w:t xml:space="preserve"> </w:t>
      </w:r>
      <w:r>
        <w:rPr>
          <w:color w:val="231F20"/>
          <w:sz w:val="17"/>
        </w:rPr>
        <w:t>11</w:t>
      </w:r>
      <w:r>
        <w:rPr>
          <w:color w:val="231F20"/>
          <w:spacing w:val="5"/>
          <w:sz w:val="17"/>
        </w:rPr>
        <w:t xml:space="preserve"> </w:t>
      </w:r>
      <w:r>
        <w:rPr>
          <w:color w:val="231F20"/>
          <w:sz w:val="17"/>
        </w:rPr>
        <w:t>(1),</w:t>
      </w:r>
      <w:r>
        <w:rPr>
          <w:color w:val="231F20"/>
          <w:spacing w:val="5"/>
          <w:sz w:val="17"/>
        </w:rPr>
        <w:t xml:space="preserve"> </w:t>
      </w:r>
      <w:r>
        <w:rPr>
          <w:color w:val="231F20"/>
          <w:spacing w:val="-2"/>
          <w:sz w:val="17"/>
        </w:rPr>
        <w:t>30–35.</w:t>
      </w:r>
    </w:p>
    <w:p w14:paraId="194ACB1B" w14:textId="77777777" w:rsidR="00AE0598" w:rsidRDefault="0069255A">
      <w:pPr>
        <w:ind w:left="430" w:right="127" w:hanging="320"/>
        <w:jc w:val="both"/>
        <w:rPr>
          <w:sz w:val="17"/>
        </w:rPr>
      </w:pPr>
      <w:r>
        <w:rPr>
          <w:color w:val="231F20"/>
          <w:sz w:val="17"/>
        </w:rPr>
        <w:t xml:space="preserve">Host Broadcaster Consultancy (1997) </w:t>
      </w:r>
      <w:r>
        <w:rPr>
          <w:i/>
          <w:color w:val="231F20"/>
          <w:sz w:val="17"/>
        </w:rPr>
        <w:t>Critical Path Analysis for the 1998 Commonwealth</w:t>
      </w:r>
      <w:r>
        <w:rPr>
          <w:i/>
          <w:color w:val="231F20"/>
          <w:spacing w:val="40"/>
          <w:sz w:val="17"/>
        </w:rPr>
        <w:t xml:space="preserve"> </w:t>
      </w:r>
      <w:r>
        <w:rPr>
          <w:i/>
          <w:color w:val="231F20"/>
          <w:sz w:val="17"/>
        </w:rPr>
        <w:t>Games</w:t>
      </w:r>
      <w:r>
        <w:rPr>
          <w:color w:val="231F20"/>
          <w:sz w:val="17"/>
        </w:rPr>
        <w:t>. Kuala Lumpur: Lambang Negara Malaysia.</w:t>
      </w:r>
    </w:p>
    <w:p w14:paraId="655E9549" w14:textId="77777777" w:rsidR="00AE0598" w:rsidRDefault="0069255A">
      <w:pPr>
        <w:spacing w:before="2"/>
        <w:ind w:left="430" w:right="127" w:hanging="320"/>
        <w:jc w:val="both"/>
        <w:rPr>
          <w:sz w:val="17"/>
        </w:rPr>
      </w:pPr>
      <w:r>
        <w:rPr>
          <w:color w:val="231F20"/>
          <w:sz w:val="17"/>
        </w:rPr>
        <w:t>Hritz, N. and Ross, C. (2010) The perceived impacts of sport tourism: An urban host</w:t>
      </w:r>
      <w:r>
        <w:rPr>
          <w:color w:val="231F20"/>
          <w:spacing w:val="40"/>
          <w:sz w:val="17"/>
        </w:rPr>
        <w:t xml:space="preserve"> </w:t>
      </w:r>
      <w:r>
        <w:rPr>
          <w:color w:val="231F20"/>
          <w:sz w:val="17"/>
        </w:rPr>
        <w:t xml:space="preserve">community perspective. </w:t>
      </w:r>
      <w:r>
        <w:rPr>
          <w:i/>
          <w:color w:val="231F20"/>
          <w:sz w:val="17"/>
        </w:rPr>
        <w:t xml:space="preserve">Journal of Sport Management </w:t>
      </w:r>
      <w:r>
        <w:rPr>
          <w:color w:val="231F20"/>
          <w:sz w:val="17"/>
        </w:rPr>
        <w:t>24 (2), 119–138.</w:t>
      </w:r>
    </w:p>
    <w:p w14:paraId="7892007C" w14:textId="77777777" w:rsidR="00AE0598" w:rsidRDefault="0069255A">
      <w:pPr>
        <w:spacing w:before="1"/>
        <w:ind w:left="430" w:right="127" w:hanging="320"/>
        <w:jc w:val="both"/>
        <w:rPr>
          <w:sz w:val="17"/>
        </w:rPr>
      </w:pPr>
      <w:r>
        <w:rPr>
          <w:color w:val="231F20"/>
          <w:sz w:val="17"/>
        </w:rPr>
        <w:t xml:space="preserve">Hsu, L-H. (2005) Revisiting the concept of sport. </w:t>
      </w:r>
      <w:r>
        <w:rPr>
          <w:i/>
          <w:color w:val="231F20"/>
          <w:sz w:val="17"/>
        </w:rPr>
        <w:t>Journal of Hu</w:t>
      </w:r>
      <w:r>
        <w:rPr>
          <w:i/>
          <w:color w:val="231F20"/>
          <w:sz w:val="17"/>
        </w:rPr>
        <w:t>manities and Social</w:t>
      </w:r>
      <w:r>
        <w:rPr>
          <w:i/>
          <w:color w:val="231F20"/>
          <w:spacing w:val="80"/>
          <w:sz w:val="17"/>
        </w:rPr>
        <w:t xml:space="preserve"> </w:t>
      </w:r>
      <w:r>
        <w:rPr>
          <w:i/>
          <w:color w:val="231F20"/>
          <w:sz w:val="17"/>
        </w:rPr>
        <w:t xml:space="preserve">Sciences </w:t>
      </w:r>
      <w:r>
        <w:rPr>
          <w:color w:val="231F20"/>
          <w:sz w:val="17"/>
        </w:rPr>
        <w:t>1 (2), 45–54.</w:t>
      </w:r>
    </w:p>
    <w:p w14:paraId="142995A0" w14:textId="77777777" w:rsidR="00AE0598" w:rsidRDefault="0069255A">
      <w:pPr>
        <w:spacing w:before="2"/>
        <w:ind w:left="430" w:right="127" w:hanging="320"/>
        <w:jc w:val="both"/>
        <w:rPr>
          <w:sz w:val="17"/>
        </w:rPr>
      </w:pPr>
      <w:r>
        <w:rPr>
          <w:color w:val="231F20"/>
          <w:w w:val="105"/>
          <w:sz w:val="17"/>
        </w:rPr>
        <w:t>Huber, N., Hergert, R., Price, B., Zäch, C., Hersoerger, A.M., Pütz, M., Kienast, F. and</w:t>
      </w:r>
      <w:r>
        <w:rPr>
          <w:color w:val="231F20"/>
          <w:spacing w:val="40"/>
          <w:w w:val="105"/>
          <w:sz w:val="17"/>
        </w:rPr>
        <w:t xml:space="preserve"> </w:t>
      </w:r>
      <w:r>
        <w:rPr>
          <w:color w:val="231F20"/>
          <w:w w:val="95"/>
          <w:sz w:val="17"/>
        </w:rPr>
        <w:t>Bolliger, J. (2017) Renewable energy sources: Conflicts and opportunities in a changing</w:t>
      </w:r>
      <w:r>
        <w:rPr>
          <w:color w:val="231F20"/>
          <w:spacing w:val="40"/>
          <w:sz w:val="17"/>
        </w:rPr>
        <w:t xml:space="preserve"> </w:t>
      </w:r>
      <w:r>
        <w:rPr>
          <w:color w:val="231F20"/>
          <w:sz w:val="17"/>
        </w:rPr>
        <w:t xml:space="preserve">landscape. </w:t>
      </w:r>
      <w:r>
        <w:rPr>
          <w:i/>
          <w:color w:val="231F20"/>
          <w:sz w:val="17"/>
        </w:rPr>
        <w:t>Regional Environmental Ch</w:t>
      </w:r>
      <w:r>
        <w:rPr>
          <w:i/>
          <w:color w:val="231F20"/>
          <w:sz w:val="17"/>
        </w:rPr>
        <w:t xml:space="preserve">ange </w:t>
      </w:r>
      <w:r>
        <w:rPr>
          <w:color w:val="231F20"/>
          <w:sz w:val="17"/>
        </w:rPr>
        <w:t>17 (4), 1241–1255.</w:t>
      </w:r>
    </w:p>
    <w:p w14:paraId="1A5DE947" w14:textId="77777777" w:rsidR="00AE0598" w:rsidRDefault="0069255A">
      <w:pPr>
        <w:spacing w:before="2"/>
        <w:ind w:left="430" w:right="128" w:hanging="320"/>
        <w:jc w:val="both"/>
        <w:rPr>
          <w:sz w:val="17"/>
        </w:rPr>
      </w:pPr>
      <w:r>
        <w:rPr>
          <w:color w:val="231F20"/>
          <w:sz w:val="17"/>
        </w:rPr>
        <w:t xml:space="preserve">Hudson, S. (1999) </w:t>
      </w:r>
      <w:r>
        <w:rPr>
          <w:i/>
          <w:color w:val="231F20"/>
          <w:sz w:val="17"/>
        </w:rPr>
        <w:t>Snow Business: A Study of the International Ski Industry</w:t>
      </w:r>
      <w:r>
        <w:rPr>
          <w:color w:val="231F20"/>
          <w:sz w:val="17"/>
        </w:rPr>
        <w:t>. London:</w:t>
      </w:r>
      <w:r>
        <w:rPr>
          <w:color w:val="231F20"/>
          <w:spacing w:val="40"/>
          <w:sz w:val="17"/>
        </w:rPr>
        <w:t xml:space="preserve"> </w:t>
      </w:r>
      <w:r>
        <w:rPr>
          <w:color w:val="231F20"/>
          <w:spacing w:val="-2"/>
          <w:sz w:val="17"/>
        </w:rPr>
        <w:t>Cassell.</w:t>
      </w:r>
    </w:p>
    <w:p w14:paraId="1FCB0D94" w14:textId="77777777" w:rsidR="00AE0598" w:rsidRDefault="00AE0598">
      <w:pPr>
        <w:jc w:val="both"/>
        <w:rPr>
          <w:sz w:val="17"/>
        </w:rPr>
        <w:sectPr w:rsidR="00AE0598">
          <w:pgSz w:w="8850" w:h="13270"/>
          <w:pgMar w:top="720" w:right="1060" w:bottom="280" w:left="1080" w:header="720" w:footer="720" w:gutter="0"/>
          <w:cols w:space="720"/>
        </w:sectPr>
      </w:pPr>
    </w:p>
    <w:p w14:paraId="4BD4B6DD" w14:textId="77777777" w:rsidR="00AE0598" w:rsidRDefault="0069255A">
      <w:pPr>
        <w:spacing w:before="87"/>
        <w:ind w:left="108"/>
        <w:rPr>
          <w:rFonts w:ascii="Trebuchet MS"/>
          <w:sz w:val="14"/>
        </w:rPr>
      </w:pPr>
      <w:r>
        <w:rPr>
          <w:rFonts w:ascii="Trebuchet MS"/>
          <w:color w:val="231F20"/>
          <w:w w:val="105"/>
          <w:sz w:val="14"/>
        </w:rPr>
        <w:lastRenderedPageBreak/>
        <w:t>256</w:t>
      </w:r>
      <w:r>
        <w:rPr>
          <w:rFonts w:ascii="Trebuchet MS"/>
          <w:color w:val="231F20"/>
          <w:spacing w:val="78"/>
          <w:w w:val="150"/>
          <w:sz w:val="14"/>
        </w:rPr>
        <w:t xml:space="preserve"> </w:t>
      </w:r>
      <w:r>
        <w:rPr>
          <w:rFonts w:ascii="Trebuchet MS"/>
          <w:color w:val="231F20"/>
          <w:spacing w:val="-2"/>
          <w:w w:val="105"/>
          <w:sz w:val="14"/>
        </w:rPr>
        <w:t>References</w:t>
      </w:r>
    </w:p>
    <w:p w14:paraId="3A781CCB" w14:textId="77777777" w:rsidR="00AE0598" w:rsidRDefault="00AE0598">
      <w:pPr>
        <w:pStyle w:val="Corpodetexto"/>
        <w:rPr>
          <w:rFonts w:ascii="Trebuchet MS"/>
          <w:sz w:val="16"/>
        </w:rPr>
      </w:pPr>
    </w:p>
    <w:p w14:paraId="2CF56FCA" w14:textId="77777777" w:rsidR="00AE0598" w:rsidRDefault="0069255A">
      <w:pPr>
        <w:spacing w:before="121"/>
        <w:ind w:left="430" w:right="127" w:hanging="320"/>
        <w:jc w:val="both"/>
        <w:rPr>
          <w:sz w:val="17"/>
        </w:rPr>
      </w:pPr>
      <w:r>
        <w:rPr>
          <w:color w:val="231F20"/>
          <w:sz w:val="17"/>
        </w:rPr>
        <w:t>Hudson,</w:t>
      </w:r>
      <w:r>
        <w:rPr>
          <w:color w:val="231F20"/>
          <w:spacing w:val="27"/>
          <w:sz w:val="17"/>
        </w:rPr>
        <w:t xml:space="preserve"> </w:t>
      </w:r>
      <w:r>
        <w:rPr>
          <w:color w:val="231F20"/>
          <w:sz w:val="17"/>
        </w:rPr>
        <w:t>S.</w:t>
      </w:r>
      <w:r>
        <w:rPr>
          <w:color w:val="231F20"/>
          <w:spacing w:val="26"/>
          <w:sz w:val="17"/>
        </w:rPr>
        <w:t xml:space="preserve"> </w:t>
      </w:r>
      <w:r>
        <w:rPr>
          <w:color w:val="231F20"/>
          <w:sz w:val="17"/>
        </w:rPr>
        <w:t>(2002)</w:t>
      </w:r>
      <w:r>
        <w:rPr>
          <w:color w:val="231F20"/>
          <w:spacing w:val="26"/>
          <w:sz w:val="17"/>
        </w:rPr>
        <w:t xml:space="preserve"> </w:t>
      </w:r>
      <w:r>
        <w:rPr>
          <w:color w:val="231F20"/>
          <w:sz w:val="17"/>
        </w:rPr>
        <w:t>The</w:t>
      </w:r>
      <w:r>
        <w:rPr>
          <w:color w:val="231F20"/>
          <w:spacing w:val="27"/>
          <w:sz w:val="17"/>
        </w:rPr>
        <w:t xml:space="preserve"> </w:t>
      </w:r>
      <w:r>
        <w:rPr>
          <w:color w:val="231F20"/>
          <w:sz w:val="17"/>
        </w:rPr>
        <w:t>downhill</w:t>
      </w:r>
      <w:r>
        <w:rPr>
          <w:color w:val="231F20"/>
          <w:spacing w:val="26"/>
          <w:sz w:val="17"/>
        </w:rPr>
        <w:t xml:space="preserve"> </w:t>
      </w:r>
      <w:r>
        <w:rPr>
          <w:color w:val="231F20"/>
          <w:sz w:val="17"/>
        </w:rPr>
        <w:t>skier</w:t>
      </w:r>
      <w:r>
        <w:rPr>
          <w:color w:val="231F20"/>
          <w:spacing w:val="27"/>
          <w:sz w:val="17"/>
        </w:rPr>
        <w:t xml:space="preserve"> </w:t>
      </w:r>
      <w:r>
        <w:rPr>
          <w:color w:val="231F20"/>
          <w:sz w:val="17"/>
        </w:rPr>
        <w:t>in</w:t>
      </w:r>
      <w:r>
        <w:rPr>
          <w:color w:val="231F20"/>
          <w:spacing w:val="26"/>
          <w:sz w:val="17"/>
        </w:rPr>
        <w:t xml:space="preserve"> </w:t>
      </w:r>
      <w:r>
        <w:rPr>
          <w:color w:val="231F20"/>
          <w:sz w:val="17"/>
        </w:rPr>
        <w:t>Banff</w:t>
      </w:r>
      <w:r>
        <w:rPr>
          <w:color w:val="231F20"/>
          <w:spacing w:val="27"/>
          <w:sz w:val="17"/>
        </w:rPr>
        <w:t xml:space="preserve"> </w:t>
      </w:r>
      <w:r>
        <w:rPr>
          <w:color w:val="231F20"/>
          <w:sz w:val="17"/>
        </w:rPr>
        <w:t>National</w:t>
      </w:r>
      <w:r>
        <w:rPr>
          <w:color w:val="231F20"/>
          <w:spacing w:val="26"/>
          <w:sz w:val="17"/>
        </w:rPr>
        <w:t xml:space="preserve"> </w:t>
      </w:r>
      <w:r>
        <w:rPr>
          <w:color w:val="231F20"/>
          <w:sz w:val="17"/>
        </w:rPr>
        <w:t>Park:</w:t>
      </w:r>
      <w:r>
        <w:rPr>
          <w:color w:val="231F20"/>
          <w:spacing w:val="27"/>
          <w:sz w:val="17"/>
        </w:rPr>
        <w:t xml:space="preserve"> </w:t>
      </w:r>
      <w:r>
        <w:rPr>
          <w:color w:val="231F20"/>
          <w:sz w:val="17"/>
        </w:rPr>
        <w:t>An</w:t>
      </w:r>
      <w:r>
        <w:rPr>
          <w:color w:val="231F20"/>
          <w:spacing w:val="26"/>
          <w:sz w:val="17"/>
        </w:rPr>
        <w:t xml:space="preserve"> </w:t>
      </w:r>
      <w:r>
        <w:rPr>
          <w:color w:val="231F20"/>
          <w:sz w:val="17"/>
        </w:rPr>
        <w:t>endangered</w:t>
      </w:r>
      <w:r>
        <w:rPr>
          <w:color w:val="231F20"/>
          <w:spacing w:val="26"/>
          <w:sz w:val="17"/>
        </w:rPr>
        <w:t xml:space="preserve"> </w:t>
      </w:r>
      <w:r>
        <w:rPr>
          <w:color w:val="231F20"/>
          <w:sz w:val="17"/>
        </w:rPr>
        <w:t>species.</w:t>
      </w:r>
      <w:r>
        <w:rPr>
          <w:color w:val="231F20"/>
          <w:spacing w:val="40"/>
          <w:sz w:val="17"/>
        </w:rPr>
        <w:t xml:space="preserve"> </w:t>
      </w:r>
      <w:r>
        <w:rPr>
          <w:color w:val="231F20"/>
          <w:sz w:val="17"/>
        </w:rPr>
        <w:t>In</w:t>
      </w:r>
      <w:r>
        <w:rPr>
          <w:color w:val="231F20"/>
          <w:spacing w:val="40"/>
          <w:sz w:val="17"/>
        </w:rPr>
        <w:t xml:space="preserve"> </w:t>
      </w:r>
      <w:r>
        <w:rPr>
          <w:color w:val="231F20"/>
          <w:sz w:val="17"/>
        </w:rPr>
        <w:t>S.</w:t>
      </w:r>
      <w:r>
        <w:rPr>
          <w:color w:val="231F20"/>
          <w:spacing w:val="40"/>
          <w:sz w:val="17"/>
        </w:rPr>
        <w:t xml:space="preserve"> </w:t>
      </w:r>
      <w:r>
        <w:rPr>
          <w:color w:val="231F20"/>
          <w:sz w:val="17"/>
        </w:rPr>
        <w:t>Gammon</w:t>
      </w:r>
      <w:r>
        <w:rPr>
          <w:color w:val="231F20"/>
          <w:spacing w:val="40"/>
          <w:sz w:val="17"/>
        </w:rPr>
        <w:t xml:space="preserve"> </w:t>
      </w:r>
      <w:r>
        <w:rPr>
          <w:color w:val="231F20"/>
          <w:sz w:val="17"/>
        </w:rPr>
        <w:t>and</w:t>
      </w:r>
      <w:r>
        <w:rPr>
          <w:color w:val="231F20"/>
          <w:spacing w:val="40"/>
          <w:w w:val="105"/>
          <w:sz w:val="17"/>
        </w:rPr>
        <w:t xml:space="preserve"> </w:t>
      </w:r>
      <w:r>
        <w:rPr>
          <w:color w:val="231F20"/>
          <w:w w:val="105"/>
          <w:sz w:val="17"/>
        </w:rPr>
        <w:t>J.</w:t>
      </w:r>
      <w:r>
        <w:rPr>
          <w:color w:val="231F20"/>
          <w:spacing w:val="40"/>
          <w:w w:val="105"/>
          <w:sz w:val="17"/>
        </w:rPr>
        <w:t xml:space="preserve"> </w:t>
      </w:r>
      <w:r>
        <w:rPr>
          <w:color w:val="231F20"/>
          <w:sz w:val="17"/>
        </w:rPr>
        <w:t>Kurtzman</w:t>
      </w:r>
      <w:r>
        <w:rPr>
          <w:color w:val="231F20"/>
          <w:spacing w:val="40"/>
          <w:sz w:val="17"/>
        </w:rPr>
        <w:t xml:space="preserve"> </w:t>
      </w:r>
      <w:r>
        <w:rPr>
          <w:color w:val="231F20"/>
          <w:sz w:val="17"/>
        </w:rPr>
        <w:t>(eds)</w:t>
      </w:r>
      <w:r>
        <w:rPr>
          <w:color w:val="231F20"/>
          <w:spacing w:val="40"/>
          <w:sz w:val="17"/>
        </w:rPr>
        <w:t xml:space="preserve"> </w:t>
      </w:r>
      <w:r>
        <w:rPr>
          <w:i/>
          <w:color w:val="231F20"/>
          <w:sz w:val="17"/>
        </w:rPr>
        <w:t>Sport</w:t>
      </w:r>
      <w:r>
        <w:rPr>
          <w:i/>
          <w:color w:val="231F20"/>
          <w:spacing w:val="40"/>
          <w:sz w:val="17"/>
        </w:rPr>
        <w:t xml:space="preserve"> </w:t>
      </w:r>
      <w:r>
        <w:rPr>
          <w:i/>
          <w:color w:val="231F20"/>
          <w:sz w:val="17"/>
        </w:rPr>
        <w:t>Tourism:</w:t>
      </w:r>
      <w:r>
        <w:rPr>
          <w:i/>
          <w:color w:val="231F20"/>
          <w:spacing w:val="40"/>
          <w:sz w:val="17"/>
        </w:rPr>
        <w:t xml:space="preserve"> </w:t>
      </w:r>
      <w:r>
        <w:rPr>
          <w:i/>
          <w:color w:val="231F20"/>
          <w:sz w:val="17"/>
        </w:rPr>
        <w:t>Principles</w:t>
      </w:r>
      <w:r>
        <w:rPr>
          <w:i/>
          <w:color w:val="231F20"/>
          <w:spacing w:val="40"/>
          <w:sz w:val="17"/>
        </w:rPr>
        <w:t xml:space="preserve"> </w:t>
      </w:r>
      <w:r>
        <w:rPr>
          <w:i/>
          <w:color w:val="231F20"/>
          <w:sz w:val="17"/>
        </w:rPr>
        <w:t>and</w:t>
      </w:r>
      <w:r>
        <w:rPr>
          <w:i/>
          <w:color w:val="231F20"/>
          <w:spacing w:val="40"/>
          <w:sz w:val="17"/>
        </w:rPr>
        <w:t xml:space="preserve"> </w:t>
      </w:r>
      <w:r>
        <w:rPr>
          <w:i/>
          <w:color w:val="231F20"/>
          <w:sz w:val="17"/>
        </w:rPr>
        <w:t>Practice</w:t>
      </w:r>
      <w:r>
        <w:rPr>
          <w:i/>
          <w:color w:val="231F20"/>
          <w:spacing w:val="80"/>
          <w:sz w:val="17"/>
        </w:rPr>
        <w:t xml:space="preserve"> </w:t>
      </w:r>
      <w:r>
        <w:rPr>
          <w:color w:val="231F20"/>
          <w:sz w:val="17"/>
        </w:rPr>
        <w:t>(pp. 89–110). Eastbourne: Leisure Studies Association.</w:t>
      </w:r>
    </w:p>
    <w:p w14:paraId="5ECE5C44" w14:textId="77777777" w:rsidR="00AE0598" w:rsidRDefault="0069255A">
      <w:pPr>
        <w:spacing w:before="2"/>
        <w:ind w:left="110"/>
        <w:jc w:val="both"/>
        <w:rPr>
          <w:i/>
          <w:sz w:val="17"/>
        </w:rPr>
      </w:pPr>
      <w:r>
        <w:rPr>
          <w:color w:val="231F20"/>
          <w:sz w:val="17"/>
        </w:rPr>
        <w:t>Hudson,</w:t>
      </w:r>
      <w:r>
        <w:rPr>
          <w:color w:val="231F20"/>
          <w:spacing w:val="1"/>
          <w:sz w:val="17"/>
        </w:rPr>
        <w:t xml:space="preserve"> </w:t>
      </w:r>
      <w:r>
        <w:rPr>
          <w:color w:val="231F20"/>
          <w:sz w:val="17"/>
        </w:rPr>
        <w:t>S.</w:t>
      </w:r>
      <w:r>
        <w:rPr>
          <w:color w:val="231F20"/>
          <w:spacing w:val="1"/>
          <w:sz w:val="17"/>
        </w:rPr>
        <w:t xml:space="preserve"> </w:t>
      </w:r>
      <w:r>
        <w:rPr>
          <w:color w:val="231F20"/>
          <w:sz w:val="17"/>
        </w:rPr>
        <w:t>(2003)</w:t>
      </w:r>
      <w:r>
        <w:rPr>
          <w:color w:val="231F20"/>
          <w:spacing w:val="2"/>
          <w:sz w:val="17"/>
        </w:rPr>
        <w:t xml:space="preserve"> </w:t>
      </w:r>
      <w:r>
        <w:rPr>
          <w:color w:val="231F20"/>
          <w:sz w:val="17"/>
        </w:rPr>
        <w:t>Winter</w:t>
      </w:r>
      <w:r>
        <w:rPr>
          <w:color w:val="231F20"/>
          <w:spacing w:val="1"/>
          <w:sz w:val="17"/>
        </w:rPr>
        <w:t xml:space="preserve"> </w:t>
      </w:r>
      <w:r>
        <w:rPr>
          <w:color w:val="231F20"/>
          <w:sz w:val="17"/>
        </w:rPr>
        <w:t>sport</w:t>
      </w:r>
      <w:r>
        <w:rPr>
          <w:color w:val="231F20"/>
          <w:spacing w:val="1"/>
          <w:sz w:val="17"/>
        </w:rPr>
        <w:t xml:space="preserve"> </w:t>
      </w:r>
      <w:r>
        <w:rPr>
          <w:color w:val="231F20"/>
          <w:sz w:val="17"/>
        </w:rPr>
        <w:t>tourism.</w:t>
      </w:r>
      <w:r>
        <w:rPr>
          <w:color w:val="231F20"/>
          <w:spacing w:val="2"/>
          <w:sz w:val="17"/>
        </w:rPr>
        <w:t xml:space="preserve"> </w:t>
      </w:r>
      <w:r>
        <w:rPr>
          <w:color w:val="231F20"/>
          <w:sz w:val="17"/>
        </w:rPr>
        <w:t>In</w:t>
      </w:r>
      <w:r>
        <w:rPr>
          <w:color w:val="231F20"/>
          <w:spacing w:val="1"/>
          <w:sz w:val="17"/>
        </w:rPr>
        <w:t xml:space="preserve"> </w:t>
      </w:r>
      <w:r>
        <w:rPr>
          <w:color w:val="231F20"/>
          <w:sz w:val="17"/>
        </w:rPr>
        <w:t>S.</w:t>
      </w:r>
      <w:r>
        <w:rPr>
          <w:color w:val="231F20"/>
          <w:spacing w:val="1"/>
          <w:sz w:val="17"/>
        </w:rPr>
        <w:t xml:space="preserve"> </w:t>
      </w:r>
      <w:r>
        <w:rPr>
          <w:color w:val="231F20"/>
          <w:sz w:val="17"/>
        </w:rPr>
        <w:t>Hudson</w:t>
      </w:r>
      <w:r>
        <w:rPr>
          <w:color w:val="231F20"/>
          <w:spacing w:val="2"/>
          <w:sz w:val="17"/>
        </w:rPr>
        <w:t xml:space="preserve"> </w:t>
      </w:r>
      <w:r>
        <w:rPr>
          <w:color w:val="231F20"/>
          <w:sz w:val="17"/>
        </w:rPr>
        <w:t>(ed.)</w:t>
      </w:r>
      <w:r>
        <w:rPr>
          <w:color w:val="231F20"/>
          <w:spacing w:val="1"/>
          <w:sz w:val="17"/>
        </w:rPr>
        <w:t xml:space="preserve"> </w:t>
      </w:r>
      <w:r>
        <w:rPr>
          <w:i/>
          <w:color w:val="231F20"/>
          <w:sz w:val="17"/>
        </w:rPr>
        <w:t>Sport</w:t>
      </w:r>
      <w:r>
        <w:rPr>
          <w:i/>
          <w:color w:val="231F20"/>
          <w:spacing w:val="2"/>
          <w:sz w:val="17"/>
        </w:rPr>
        <w:t xml:space="preserve"> </w:t>
      </w:r>
      <w:r>
        <w:rPr>
          <w:i/>
          <w:color w:val="231F20"/>
          <w:sz w:val="17"/>
        </w:rPr>
        <w:t>and</w:t>
      </w:r>
      <w:r>
        <w:rPr>
          <w:i/>
          <w:color w:val="231F20"/>
          <w:spacing w:val="3"/>
          <w:sz w:val="17"/>
        </w:rPr>
        <w:t xml:space="preserve"> </w:t>
      </w:r>
      <w:r>
        <w:rPr>
          <w:i/>
          <w:color w:val="231F20"/>
          <w:sz w:val="17"/>
        </w:rPr>
        <w:t>Adventure</w:t>
      </w:r>
      <w:r>
        <w:rPr>
          <w:i/>
          <w:color w:val="231F20"/>
          <w:spacing w:val="2"/>
          <w:sz w:val="17"/>
        </w:rPr>
        <w:t xml:space="preserve"> </w:t>
      </w:r>
      <w:r>
        <w:rPr>
          <w:i/>
          <w:color w:val="231F20"/>
          <w:spacing w:val="-2"/>
          <w:sz w:val="17"/>
        </w:rPr>
        <w:t>Tourism</w:t>
      </w:r>
    </w:p>
    <w:p w14:paraId="2DB68C46" w14:textId="77777777" w:rsidR="00AE0598" w:rsidRDefault="0069255A">
      <w:pPr>
        <w:spacing w:before="1"/>
        <w:ind w:left="430"/>
        <w:jc w:val="both"/>
        <w:rPr>
          <w:sz w:val="17"/>
        </w:rPr>
      </w:pPr>
      <w:r>
        <w:rPr>
          <w:color w:val="231F20"/>
          <w:sz w:val="17"/>
        </w:rPr>
        <w:t>(pp.</w:t>
      </w:r>
      <w:r>
        <w:rPr>
          <w:color w:val="231F20"/>
          <w:spacing w:val="-3"/>
          <w:sz w:val="17"/>
        </w:rPr>
        <w:t xml:space="preserve"> </w:t>
      </w:r>
      <w:r>
        <w:rPr>
          <w:color w:val="231F20"/>
          <w:sz w:val="17"/>
        </w:rPr>
        <w:t>89–123).</w:t>
      </w:r>
      <w:r>
        <w:rPr>
          <w:color w:val="231F20"/>
          <w:spacing w:val="-2"/>
          <w:sz w:val="17"/>
        </w:rPr>
        <w:t xml:space="preserve"> </w:t>
      </w:r>
      <w:r>
        <w:rPr>
          <w:color w:val="231F20"/>
          <w:sz w:val="17"/>
        </w:rPr>
        <w:t>New</w:t>
      </w:r>
      <w:r>
        <w:rPr>
          <w:color w:val="231F20"/>
          <w:spacing w:val="-2"/>
          <w:sz w:val="17"/>
        </w:rPr>
        <w:t xml:space="preserve"> </w:t>
      </w:r>
      <w:r>
        <w:rPr>
          <w:color w:val="231F20"/>
          <w:sz w:val="17"/>
        </w:rPr>
        <w:t>York:</w:t>
      </w:r>
      <w:r>
        <w:rPr>
          <w:color w:val="231F20"/>
          <w:spacing w:val="-2"/>
          <w:sz w:val="17"/>
        </w:rPr>
        <w:t xml:space="preserve"> </w:t>
      </w:r>
      <w:r>
        <w:rPr>
          <w:color w:val="231F20"/>
          <w:sz w:val="17"/>
        </w:rPr>
        <w:t>The</w:t>
      </w:r>
      <w:r>
        <w:rPr>
          <w:color w:val="231F20"/>
          <w:spacing w:val="-2"/>
          <w:sz w:val="17"/>
        </w:rPr>
        <w:t xml:space="preserve"> </w:t>
      </w:r>
      <w:r>
        <w:rPr>
          <w:color w:val="231F20"/>
          <w:sz w:val="17"/>
        </w:rPr>
        <w:t>Haworth</w:t>
      </w:r>
      <w:r>
        <w:rPr>
          <w:color w:val="231F20"/>
          <w:spacing w:val="-2"/>
          <w:sz w:val="17"/>
        </w:rPr>
        <w:t xml:space="preserve"> </w:t>
      </w:r>
      <w:r>
        <w:rPr>
          <w:color w:val="231F20"/>
          <w:sz w:val="17"/>
        </w:rPr>
        <w:t>Hospitality</w:t>
      </w:r>
      <w:r>
        <w:rPr>
          <w:color w:val="231F20"/>
          <w:spacing w:val="-2"/>
          <w:sz w:val="17"/>
        </w:rPr>
        <w:t xml:space="preserve"> Press.</w:t>
      </w:r>
    </w:p>
    <w:p w14:paraId="4F301EAA" w14:textId="77777777" w:rsidR="00AE0598" w:rsidRDefault="0069255A">
      <w:pPr>
        <w:ind w:left="430" w:right="127" w:hanging="320"/>
        <w:jc w:val="both"/>
        <w:rPr>
          <w:sz w:val="17"/>
        </w:rPr>
      </w:pPr>
      <w:r>
        <w:rPr>
          <w:color w:val="231F20"/>
          <w:sz w:val="17"/>
        </w:rPr>
        <w:t>Hudson, S. and Gilbert, D. (1998) Skiing constraints: Arresting the downhill slide. Paper</w:t>
      </w:r>
      <w:r>
        <w:rPr>
          <w:color w:val="231F20"/>
          <w:spacing w:val="40"/>
          <w:sz w:val="17"/>
        </w:rPr>
        <w:t xml:space="preserve"> </w:t>
      </w:r>
      <w:r>
        <w:rPr>
          <w:color w:val="231F20"/>
          <w:sz w:val="17"/>
        </w:rPr>
        <w:t>presented at the Presentation at the Conference on Harnessing the High Latitudes,</w:t>
      </w:r>
      <w:r>
        <w:rPr>
          <w:color w:val="231F20"/>
          <w:spacing w:val="40"/>
          <w:sz w:val="17"/>
        </w:rPr>
        <w:t xml:space="preserve"> </w:t>
      </w:r>
      <w:r>
        <w:rPr>
          <w:color w:val="231F20"/>
          <w:sz w:val="17"/>
        </w:rPr>
        <w:t>University of Surrey, Guildford, UK, 15–17 June.</w:t>
      </w:r>
    </w:p>
    <w:p w14:paraId="0415334F" w14:textId="77777777" w:rsidR="00AE0598" w:rsidRDefault="0069255A">
      <w:pPr>
        <w:spacing w:before="2"/>
        <w:ind w:left="110"/>
        <w:jc w:val="both"/>
        <w:rPr>
          <w:sz w:val="17"/>
        </w:rPr>
      </w:pPr>
      <w:r>
        <w:rPr>
          <w:color w:val="231F20"/>
          <w:sz w:val="17"/>
        </w:rPr>
        <w:t>Hudson,</w:t>
      </w:r>
      <w:r>
        <w:rPr>
          <w:color w:val="231F20"/>
          <w:spacing w:val="7"/>
          <w:sz w:val="17"/>
        </w:rPr>
        <w:t xml:space="preserve"> </w:t>
      </w:r>
      <w:r>
        <w:rPr>
          <w:color w:val="231F20"/>
          <w:sz w:val="17"/>
        </w:rPr>
        <w:t>S.</w:t>
      </w:r>
      <w:r>
        <w:rPr>
          <w:color w:val="231F20"/>
          <w:spacing w:val="7"/>
          <w:sz w:val="17"/>
        </w:rPr>
        <w:t xml:space="preserve"> </w:t>
      </w:r>
      <w:r>
        <w:rPr>
          <w:color w:val="231F20"/>
          <w:sz w:val="17"/>
        </w:rPr>
        <w:t>and</w:t>
      </w:r>
      <w:r>
        <w:rPr>
          <w:color w:val="231F20"/>
          <w:spacing w:val="7"/>
          <w:sz w:val="17"/>
        </w:rPr>
        <w:t xml:space="preserve"> </w:t>
      </w:r>
      <w:r>
        <w:rPr>
          <w:color w:val="231F20"/>
          <w:sz w:val="17"/>
        </w:rPr>
        <w:t>Cross,</w:t>
      </w:r>
      <w:r>
        <w:rPr>
          <w:color w:val="231F20"/>
          <w:spacing w:val="7"/>
          <w:sz w:val="17"/>
        </w:rPr>
        <w:t xml:space="preserve"> </w:t>
      </w:r>
      <w:r>
        <w:rPr>
          <w:color w:val="231F20"/>
          <w:sz w:val="17"/>
        </w:rPr>
        <w:t>P.</w:t>
      </w:r>
      <w:r>
        <w:rPr>
          <w:color w:val="231F20"/>
          <w:spacing w:val="7"/>
          <w:sz w:val="17"/>
        </w:rPr>
        <w:t xml:space="preserve"> </w:t>
      </w:r>
      <w:r>
        <w:rPr>
          <w:color w:val="231F20"/>
          <w:sz w:val="17"/>
        </w:rPr>
        <w:t>(2005)</w:t>
      </w:r>
      <w:r>
        <w:rPr>
          <w:color w:val="231F20"/>
          <w:spacing w:val="7"/>
          <w:sz w:val="17"/>
        </w:rPr>
        <w:t xml:space="preserve"> </w:t>
      </w:r>
      <w:r>
        <w:rPr>
          <w:color w:val="231F20"/>
          <w:sz w:val="17"/>
        </w:rPr>
        <w:t>Winter</w:t>
      </w:r>
      <w:r>
        <w:rPr>
          <w:color w:val="231F20"/>
          <w:spacing w:val="7"/>
          <w:sz w:val="17"/>
        </w:rPr>
        <w:t xml:space="preserve"> </w:t>
      </w:r>
      <w:r>
        <w:rPr>
          <w:color w:val="231F20"/>
          <w:sz w:val="17"/>
        </w:rPr>
        <w:t>sports</w:t>
      </w:r>
      <w:r>
        <w:rPr>
          <w:color w:val="231F20"/>
          <w:spacing w:val="7"/>
          <w:sz w:val="17"/>
        </w:rPr>
        <w:t xml:space="preserve"> </w:t>
      </w:r>
      <w:r>
        <w:rPr>
          <w:color w:val="231F20"/>
          <w:sz w:val="17"/>
        </w:rPr>
        <w:t>destinations:</w:t>
      </w:r>
      <w:r>
        <w:rPr>
          <w:color w:val="231F20"/>
          <w:spacing w:val="7"/>
          <w:sz w:val="17"/>
        </w:rPr>
        <w:t xml:space="preserve"> </w:t>
      </w:r>
      <w:r>
        <w:rPr>
          <w:color w:val="231F20"/>
          <w:sz w:val="17"/>
        </w:rPr>
        <w:t>Dealing</w:t>
      </w:r>
      <w:r>
        <w:rPr>
          <w:color w:val="231F20"/>
          <w:spacing w:val="7"/>
          <w:sz w:val="17"/>
        </w:rPr>
        <w:t xml:space="preserve"> </w:t>
      </w:r>
      <w:r>
        <w:rPr>
          <w:color w:val="231F20"/>
          <w:sz w:val="17"/>
        </w:rPr>
        <w:t>with</w:t>
      </w:r>
      <w:r>
        <w:rPr>
          <w:color w:val="231F20"/>
          <w:spacing w:val="7"/>
          <w:sz w:val="17"/>
        </w:rPr>
        <w:t xml:space="preserve"> </w:t>
      </w:r>
      <w:r>
        <w:rPr>
          <w:color w:val="231F20"/>
          <w:sz w:val="17"/>
        </w:rPr>
        <w:t>seasonality.</w:t>
      </w:r>
      <w:r>
        <w:rPr>
          <w:color w:val="231F20"/>
          <w:spacing w:val="7"/>
          <w:sz w:val="17"/>
        </w:rPr>
        <w:t xml:space="preserve"> </w:t>
      </w:r>
      <w:r>
        <w:rPr>
          <w:color w:val="231F20"/>
          <w:spacing w:val="-5"/>
          <w:sz w:val="17"/>
        </w:rPr>
        <w:t>In</w:t>
      </w:r>
    </w:p>
    <w:p w14:paraId="3C5DFF1E" w14:textId="77777777" w:rsidR="00AE0598" w:rsidRDefault="0069255A">
      <w:pPr>
        <w:spacing w:before="1"/>
        <w:ind w:left="430"/>
        <w:jc w:val="both"/>
        <w:rPr>
          <w:i/>
          <w:sz w:val="17"/>
        </w:rPr>
      </w:pPr>
      <w:r>
        <w:rPr>
          <w:color w:val="231F20"/>
          <w:sz w:val="17"/>
        </w:rPr>
        <w:t>J.E.S.</w:t>
      </w:r>
      <w:r>
        <w:rPr>
          <w:color w:val="231F20"/>
          <w:spacing w:val="32"/>
          <w:sz w:val="17"/>
        </w:rPr>
        <w:t xml:space="preserve"> </w:t>
      </w:r>
      <w:r>
        <w:rPr>
          <w:color w:val="231F20"/>
          <w:sz w:val="17"/>
        </w:rPr>
        <w:t>Higham</w:t>
      </w:r>
      <w:r>
        <w:rPr>
          <w:color w:val="231F20"/>
          <w:spacing w:val="33"/>
          <w:sz w:val="17"/>
        </w:rPr>
        <w:t xml:space="preserve"> </w:t>
      </w:r>
      <w:r>
        <w:rPr>
          <w:color w:val="231F20"/>
          <w:sz w:val="17"/>
        </w:rPr>
        <w:t>(ed.)</w:t>
      </w:r>
      <w:r>
        <w:rPr>
          <w:color w:val="231F20"/>
          <w:spacing w:val="33"/>
          <w:sz w:val="17"/>
        </w:rPr>
        <w:t xml:space="preserve"> </w:t>
      </w:r>
      <w:r>
        <w:rPr>
          <w:i/>
          <w:color w:val="231F20"/>
          <w:sz w:val="17"/>
        </w:rPr>
        <w:t>Sport</w:t>
      </w:r>
      <w:r>
        <w:rPr>
          <w:i/>
          <w:color w:val="231F20"/>
          <w:spacing w:val="33"/>
          <w:sz w:val="17"/>
        </w:rPr>
        <w:t xml:space="preserve"> </w:t>
      </w:r>
      <w:r>
        <w:rPr>
          <w:i/>
          <w:color w:val="231F20"/>
          <w:sz w:val="17"/>
        </w:rPr>
        <w:t>Tourism</w:t>
      </w:r>
      <w:r>
        <w:rPr>
          <w:i/>
          <w:color w:val="231F20"/>
          <w:spacing w:val="33"/>
          <w:sz w:val="17"/>
        </w:rPr>
        <w:t xml:space="preserve"> </w:t>
      </w:r>
      <w:r>
        <w:rPr>
          <w:i/>
          <w:color w:val="231F20"/>
          <w:sz w:val="17"/>
        </w:rPr>
        <w:t>Destinations:</w:t>
      </w:r>
      <w:r>
        <w:rPr>
          <w:i/>
          <w:color w:val="231F20"/>
          <w:spacing w:val="33"/>
          <w:sz w:val="17"/>
        </w:rPr>
        <w:t xml:space="preserve"> </w:t>
      </w:r>
      <w:r>
        <w:rPr>
          <w:i/>
          <w:color w:val="231F20"/>
          <w:sz w:val="17"/>
        </w:rPr>
        <w:t>Issues,</w:t>
      </w:r>
      <w:r>
        <w:rPr>
          <w:i/>
          <w:color w:val="231F20"/>
          <w:spacing w:val="33"/>
          <w:sz w:val="17"/>
        </w:rPr>
        <w:t xml:space="preserve"> </w:t>
      </w:r>
      <w:r>
        <w:rPr>
          <w:i/>
          <w:color w:val="231F20"/>
          <w:sz w:val="17"/>
        </w:rPr>
        <w:t>Opportunities</w:t>
      </w:r>
      <w:r>
        <w:rPr>
          <w:i/>
          <w:color w:val="231F20"/>
          <w:spacing w:val="33"/>
          <w:sz w:val="17"/>
        </w:rPr>
        <w:t xml:space="preserve"> </w:t>
      </w:r>
      <w:r>
        <w:rPr>
          <w:i/>
          <w:color w:val="231F20"/>
          <w:sz w:val="17"/>
        </w:rPr>
        <w:t>and</w:t>
      </w:r>
      <w:r>
        <w:rPr>
          <w:i/>
          <w:color w:val="231F20"/>
          <w:spacing w:val="33"/>
          <w:sz w:val="17"/>
        </w:rPr>
        <w:t xml:space="preserve"> </w:t>
      </w:r>
      <w:r>
        <w:rPr>
          <w:i/>
          <w:color w:val="231F20"/>
          <w:spacing w:val="-2"/>
          <w:sz w:val="17"/>
        </w:rPr>
        <w:t>Analysis</w:t>
      </w:r>
    </w:p>
    <w:p w14:paraId="7D10FC2F" w14:textId="77777777" w:rsidR="00AE0598" w:rsidRDefault="0069255A">
      <w:pPr>
        <w:spacing w:before="1"/>
        <w:ind w:left="430"/>
        <w:jc w:val="both"/>
        <w:rPr>
          <w:sz w:val="17"/>
        </w:rPr>
      </w:pPr>
      <w:r>
        <w:rPr>
          <w:color w:val="231F20"/>
          <w:w w:val="95"/>
          <w:sz w:val="17"/>
        </w:rPr>
        <w:t>(pp.</w:t>
      </w:r>
      <w:r>
        <w:rPr>
          <w:color w:val="231F20"/>
          <w:spacing w:val="17"/>
          <w:sz w:val="17"/>
        </w:rPr>
        <w:t xml:space="preserve"> </w:t>
      </w:r>
      <w:r>
        <w:rPr>
          <w:color w:val="231F20"/>
          <w:w w:val="95"/>
          <w:sz w:val="17"/>
        </w:rPr>
        <w:t>188–204).</w:t>
      </w:r>
      <w:r>
        <w:rPr>
          <w:color w:val="231F20"/>
          <w:spacing w:val="18"/>
          <w:sz w:val="17"/>
        </w:rPr>
        <w:t xml:space="preserve"> </w:t>
      </w:r>
      <w:r>
        <w:rPr>
          <w:color w:val="231F20"/>
          <w:w w:val="95"/>
          <w:sz w:val="17"/>
        </w:rPr>
        <w:t>Oxford:</w:t>
      </w:r>
      <w:r>
        <w:rPr>
          <w:color w:val="231F20"/>
          <w:spacing w:val="18"/>
          <w:sz w:val="17"/>
        </w:rPr>
        <w:t xml:space="preserve"> </w:t>
      </w:r>
      <w:r>
        <w:rPr>
          <w:color w:val="231F20"/>
          <w:spacing w:val="-2"/>
          <w:w w:val="95"/>
          <w:sz w:val="17"/>
        </w:rPr>
        <w:t>Elsevier.</w:t>
      </w:r>
    </w:p>
    <w:p w14:paraId="0FA7928F" w14:textId="77777777" w:rsidR="00AE0598" w:rsidRDefault="0069255A">
      <w:pPr>
        <w:spacing w:before="1"/>
        <w:ind w:left="430" w:right="127" w:hanging="320"/>
        <w:jc w:val="both"/>
        <w:rPr>
          <w:sz w:val="17"/>
        </w:rPr>
      </w:pPr>
      <w:r>
        <w:rPr>
          <w:color w:val="231F20"/>
          <w:sz w:val="17"/>
        </w:rPr>
        <w:t>Hudson,</w:t>
      </w:r>
      <w:r>
        <w:rPr>
          <w:color w:val="231F20"/>
          <w:spacing w:val="13"/>
          <w:sz w:val="17"/>
        </w:rPr>
        <w:t xml:space="preserve"> </w:t>
      </w:r>
      <w:r>
        <w:rPr>
          <w:color w:val="231F20"/>
          <w:sz w:val="17"/>
        </w:rPr>
        <w:t>S.,</w:t>
      </w:r>
      <w:r>
        <w:rPr>
          <w:color w:val="231F20"/>
          <w:spacing w:val="13"/>
          <w:sz w:val="17"/>
        </w:rPr>
        <w:t xml:space="preserve"> </w:t>
      </w:r>
      <w:r>
        <w:rPr>
          <w:color w:val="231F20"/>
          <w:sz w:val="17"/>
        </w:rPr>
        <w:t>Hinch</w:t>
      </w:r>
      <w:r>
        <w:rPr>
          <w:color w:val="231F20"/>
          <w:w w:val="115"/>
          <w:sz w:val="17"/>
        </w:rPr>
        <w:t xml:space="preserve"> T., </w:t>
      </w:r>
      <w:r>
        <w:rPr>
          <w:color w:val="231F20"/>
          <w:sz w:val="17"/>
        </w:rPr>
        <w:t>Walker,</w:t>
      </w:r>
      <w:r>
        <w:rPr>
          <w:color w:val="231F20"/>
          <w:w w:val="115"/>
          <w:sz w:val="17"/>
        </w:rPr>
        <w:t xml:space="preserve"> G.J. </w:t>
      </w:r>
      <w:r>
        <w:rPr>
          <w:color w:val="231F20"/>
          <w:sz w:val="17"/>
        </w:rPr>
        <w:t>and</w:t>
      </w:r>
      <w:r>
        <w:rPr>
          <w:color w:val="231F20"/>
          <w:spacing w:val="13"/>
          <w:sz w:val="17"/>
        </w:rPr>
        <w:t xml:space="preserve"> </w:t>
      </w:r>
      <w:r>
        <w:rPr>
          <w:color w:val="231F20"/>
          <w:sz w:val="17"/>
        </w:rPr>
        <w:t>Simpson,</w:t>
      </w:r>
      <w:r>
        <w:rPr>
          <w:color w:val="231F20"/>
          <w:spacing w:val="13"/>
          <w:sz w:val="17"/>
        </w:rPr>
        <w:t xml:space="preserve"> </w:t>
      </w:r>
      <w:r>
        <w:rPr>
          <w:color w:val="231F20"/>
          <w:sz w:val="17"/>
        </w:rPr>
        <w:t>B.</w:t>
      </w:r>
      <w:r>
        <w:rPr>
          <w:color w:val="231F20"/>
          <w:spacing w:val="13"/>
          <w:sz w:val="17"/>
        </w:rPr>
        <w:t xml:space="preserve"> </w:t>
      </w:r>
      <w:r>
        <w:rPr>
          <w:color w:val="231F20"/>
          <w:sz w:val="17"/>
        </w:rPr>
        <w:t>(2010)</w:t>
      </w:r>
      <w:r>
        <w:rPr>
          <w:color w:val="231F20"/>
          <w:spacing w:val="13"/>
          <w:sz w:val="17"/>
        </w:rPr>
        <w:t xml:space="preserve"> </w:t>
      </w:r>
      <w:r>
        <w:rPr>
          <w:color w:val="231F20"/>
          <w:sz w:val="17"/>
        </w:rPr>
        <w:t>Constraints</w:t>
      </w:r>
      <w:r>
        <w:rPr>
          <w:color w:val="231F20"/>
          <w:spacing w:val="13"/>
          <w:sz w:val="17"/>
        </w:rPr>
        <w:t xml:space="preserve"> </w:t>
      </w:r>
      <w:r>
        <w:rPr>
          <w:color w:val="231F20"/>
          <w:sz w:val="17"/>
        </w:rPr>
        <w:t>to</w:t>
      </w:r>
      <w:r>
        <w:rPr>
          <w:color w:val="231F20"/>
          <w:spacing w:val="13"/>
          <w:sz w:val="17"/>
        </w:rPr>
        <w:t xml:space="preserve"> </w:t>
      </w:r>
      <w:r>
        <w:rPr>
          <w:color w:val="231F20"/>
          <w:sz w:val="17"/>
        </w:rPr>
        <w:t>sport</w:t>
      </w:r>
      <w:r>
        <w:rPr>
          <w:color w:val="231F20"/>
          <w:spacing w:val="13"/>
          <w:sz w:val="17"/>
        </w:rPr>
        <w:t xml:space="preserve"> </w:t>
      </w:r>
      <w:r>
        <w:rPr>
          <w:color w:val="231F20"/>
          <w:sz w:val="17"/>
        </w:rPr>
        <w:t>tourism:</w:t>
      </w:r>
      <w:r>
        <w:rPr>
          <w:color w:val="231F20"/>
          <w:spacing w:val="40"/>
          <w:sz w:val="17"/>
        </w:rPr>
        <w:t xml:space="preserve"> </w:t>
      </w:r>
      <w:r>
        <w:rPr>
          <w:color w:val="231F20"/>
          <w:sz w:val="17"/>
        </w:rPr>
        <w:t xml:space="preserve">A cross-cultural analysis. </w:t>
      </w:r>
      <w:r>
        <w:rPr>
          <w:i/>
          <w:color w:val="231F20"/>
          <w:sz w:val="17"/>
        </w:rPr>
        <w:t xml:space="preserve">Journal of Sport </w:t>
      </w:r>
      <w:r>
        <w:rPr>
          <w:i/>
          <w:color w:val="231F20"/>
          <w:w w:val="115"/>
          <w:sz w:val="17"/>
        </w:rPr>
        <w:t xml:space="preserve">&amp; </w:t>
      </w:r>
      <w:r>
        <w:rPr>
          <w:i/>
          <w:color w:val="231F20"/>
          <w:sz w:val="17"/>
        </w:rPr>
        <w:t xml:space="preserve">Tourism </w:t>
      </w:r>
      <w:r>
        <w:rPr>
          <w:color w:val="231F20"/>
          <w:sz w:val="17"/>
        </w:rPr>
        <w:t>15 (1), 71–88.</w:t>
      </w:r>
    </w:p>
    <w:p w14:paraId="2AAE389D" w14:textId="77777777" w:rsidR="00AE0598" w:rsidRDefault="0069255A">
      <w:pPr>
        <w:spacing w:before="1"/>
        <w:ind w:left="110" w:right="128"/>
        <w:jc w:val="both"/>
        <w:rPr>
          <w:sz w:val="17"/>
        </w:rPr>
      </w:pPr>
      <w:r>
        <w:rPr>
          <w:color w:val="231F20"/>
          <w:sz w:val="17"/>
        </w:rPr>
        <w:t>Hudson,</w:t>
      </w:r>
      <w:r>
        <w:rPr>
          <w:color w:val="231F20"/>
          <w:spacing w:val="39"/>
          <w:sz w:val="17"/>
        </w:rPr>
        <w:t xml:space="preserve"> </w:t>
      </w:r>
      <w:r>
        <w:rPr>
          <w:color w:val="231F20"/>
          <w:sz w:val="17"/>
        </w:rPr>
        <w:t>S.</w:t>
      </w:r>
      <w:r>
        <w:rPr>
          <w:color w:val="231F20"/>
          <w:spacing w:val="39"/>
          <w:sz w:val="17"/>
        </w:rPr>
        <w:t xml:space="preserve"> </w:t>
      </w:r>
      <w:r>
        <w:rPr>
          <w:color w:val="231F20"/>
          <w:sz w:val="17"/>
        </w:rPr>
        <w:t>and</w:t>
      </w:r>
      <w:r>
        <w:rPr>
          <w:color w:val="231F20"/>
          <w:spacing w:val="39"/>
          <w:sz w:val="17"/>
        </w:rPr>
        <w:t xml:space="preserve"> </w:t>
      </w:r>
      <w:r>
        <w:rPr>
          <w:color w:val="231F20"/>
          <w:sz w:val="17"/>
        </w:rPr>
        <w:t>Hudson,</w:t>
      </w:r>
      <w:r>
        <w:rPr>
          <w:color w:val="231F20"/>
          <w:spacing w:val="39"/>
          <w:sz w:val="17"/>
        </w:rPr>
        <w:t xml:space="preserve"> </w:t>
      </w:r>
      <w:r>
        <w:rPr>
          <w:color w:val="231F20"/>
          <w:sz w:val="17"/>
        </w:rPr>
        <w:t>L.</w:t>
      </w:r>
      <w:r>
        <w:rPr>
          <w:color w:val="231F20"/>
          <w:spacing w:val="39"/>
          <w:sz w:val="17"/>
        </w:rPr>
        <w:t xml:space="preserve"> </w:t>
      </w:r>
      <w:r>
        <w:rPr>
          <w:color w:val="231F20"/>
          <w:sz w:val="17"/>
        </w:rPr>
        <w:t>(2010)</w:t>
      </w:r>
      <w:r>
        <w:rPr>
          <w:color w:val="231F20"/>
          <w:spacing w:val="39"/>
          <w:sz w:val="17"/>
        </w:rPr>
        <w:t xml:space="preserve"> </w:t>
      </w:r>
      <w:r>
        <w:rPr>
          <w:i/>
          <w:color w:val="231F20"/>
          <w:sz w:val="17"/>
        </w:rPr>
        <w:t>Golf</w:t>
      </w:r>
      <w:r>
        <w:rPr>
          <w:i/>
          <w:color w:val="231F20"/>
          <w:spacing w:val="39"/>
          <w:sz w:val="17"/>
        </w:rPr>
        <w:t xml:space="preserve"> </w:t>
      </w:r>
      <w:r>
        <w:rPr>
          <w:i/>
          <w:color w:val="231F20"/>
          <w:sz w:val="17"/>
        </w:rPr>
        <w:t>Tourism</w:t>
      </w:r>
      <w:r>
        <w:rPr>
          <w:color w:val="231F20"/>
          <w:sz w:val="17"/>
        </w:rPr>
        <w:t>.</w:t>
      </w:r>
      <w:r>
        <w:rPr>
          <w:color w:val="231F20"/>
          <w:spacing w:val="39"/>
          <w:sz w:val="17"/>
        </w:rPr>
        <w:t xml:space="preserve"> </w:t>
      </w:r>
      <w:r>
        <w:rPr>
          <w:color w:val="231F20"/>
          <w:sz w:val="17"/>
        </w:rPr>
        <w:t>Oxford:</w:t>
      </w:r>
      <w:r>
        <w:rPr>
          <w:color w:val="231F20"/>
          <w:spacing w:val="39"/>
          <w:sz w:val="17"/>
        </w:rPr>
        <w:t xml:space="preserve"> </w:t>
      </w:r>
      <w:r>
        <w:rPr>
          <w:color w:val="231F20"/>
          <w:sz w:val="17"/>
        </w:rPr>
        <w:t>Goodfellow</w:t>
      </w:r>
      <w:r>
        <w:rPr>
          <w:color w:val="231F20"/>
          <w:spacing w:val="39"/>
          <w:sz w:val="17"/>
        </w:rPr>
        <w:t xml:space="preserve"> </w:t>
      </w:r>
      <w:r>
        <w:rPr>
          <w:color w:val="231F20"/>
          <w:sz w:val="17"/>
        </w:rPr>
        <w:t>Publishing.</w:t>
      </w:r>
      <w:r>
        <w:rPr>
          <w:color w:val="231F20"/>
          <w:spacing w:val="40"/>
          <w:sz w:val="17"/>
        </w:rPr>
        <w:t xml:space="preserve"> </w:t>
      </w:r>
      <w:r>
        <w:rPr>
          <w:color w:val="231F20"/>
          <w:sz w:val="17"/>
        </w:rPr>
        <w:t xml:space="preserve">Hudson, S. and Hudson, L. (2015) </w:t>
      </w:r>
      <w:r>
        <w:rPr>
          <w:i/>
          <w:color w:val="231F20"/>
          <w:sz w:val="17"/>
        </w:rPr>
        <w:t>Winter Sports Tourism</w:t>
      </w:r>
      <w:r>
        <w:rPr>
          <w:color w:val="231F20"/>
          <w:sz w:val="17"/>
        </w:rPr>
        <w:t>. Oxford: Goodfellow Publ</w:t>
      </w:r>
      <w:r>
        <w:rPr>
          <w:color w:val="231F20"/>
          <w:sz w:val="17"/>
        </w:rPr>
        <w:t>ishers.</w:t>
      </w:r>
    </w:p>
    <w:p w14:paraId="78BEAF81" w14:textId="77777777" w:rsidR="00AE0598" w:rsidRDefault="0069255A">
      <w:pPr>
        <w:spacing w:before="1"/>
        <w:ind w:left="430" w:right="127" w:hanging="320"/>
        <w:jc w:val="both"/>
        <w:rPr>
          <w:sz w:val="17"/>
        </w:rPr>
      </w:pPr>
      <w:r>
        <w:rPr>
          <w:color w:val="231F20"/>
          <w:sz w:val="17"/>
        </w:rPr>
        <w:t>Hudson, S. and Hudson, L. (2016) The development and design of ski resorts: From</w:t>
      </w:r>
      <w:r>
        <w:rPr>
          <w:color w:val="231F20"/>
          <w:spacing w:val="40"/>
          <w:sz w:val="17"/>
        </w:rPr>
        <w:t xml:space="preserve"> </w:t>
      </w:r>
      <w:r>
        <w:rPr>
          <w:color w:val="231F20"/>
          <w:sz w:val="17"/>
        </w:rPr>
        <w:t xml:space="preserve">theory to practice. In H. Richins and </w:t>
      </w:r>
      <w:r>
        <w:rPr>
          <w:color w:val="231F20"/>
          <w:w w:val="105"/>
          <w:sz w:val="17"/>
        </w:rPr>
        <w:t xml:space="preserve">J. </w:t>
      </w:r>
      <w:r>
        <w:rPr>
          <w:color w:val="231F20"/>
          <w:sz w:val="17"/>
        </w:rPr>
        <w:t xml:space="preserve">Hull (eds) </w:t>
      </w:r>
      <w:r>
        <w:rPr>
          <w:i/>
          <w:color w:val="231F20"/>
          <w:sz w:val="17"/>
        </w:rPr>
        <w:t>Mountain Tourism: Experiences,</w:t>
      </w:r>
      <w:r>
        <w:rPr>
          <w:i/>
          <w:color w:val="231F20"/>
          <w:spacing w:val="40"/>
          <w:sz w:val="17"/>
        </w:rPr>
        <w:t xml:space="preserve"> </w:t>
      </w:r>
      <w:r>
        <w:rPr>
          <w:i/>
          <w:color w:val="231F20"/>
          <w:sz w:val="17"/>
        </w:rPr>
        <w:t xml:space="preserve">Communities, Environments and Sustainable Futures </w:t>
      </w:r>
      <w:r>
        <w:rPr>
          <w:color w:val="231F20"/>
          <w:sz w:val="17"/>
        </w:rPr>
        <w:t>(pp. 331–340). Wallingford:</w:t>
      </w:r>
      <w:r>
        <w:rPr>
          <w:color w:val="231F20"/>
          <w:spacing w:val="40"/>
          <w:sz w:val="17"/>
        </w:rPr>
        <w:t xml:space="preserve"> </w:t>
      </w:r>
      <w:r>
        <w:rPr>
          <w:color w:val="231F20"/>
          <w:spacing w:val="-2"/>
          <w:sz w:val="17"/>
        </w:rPr>
        <w:t>CABI.</w:t>
      </w:r>
    </w:p>
    <w:p w14:paraId="465FEB36" w14:textId="77777777" w:rsidR="00AE0598" w:rsidRDefault="0069255A">
      <w:pPr>
        <w:spacing w:before="3"/>
        <w:ind w:left="430" w:right="128" w:hanging="320"/>
        <w:jc w:val="both"/>
        <w:rPr>
          <w:sz w:val="17"/>
        </w:rPr>
      </w:pPr>
      <w:r>
        <w:rPr>
          <w:color w:val="231F20"/>
          <w:w w:val="95"/>
          <w:sz w:val="17"/>
        </w:rPr>
        <w:t>Hultsman, W. (2012) Couple involvement in serious leisure: Examining participation in dog</w:t>
      </w:r>
      <w:r>
        <w:rPr>
          <w:color w:val="231F20"/>
          <w:spacing w:val="40"/>
          <w:sz w:val="17"/>
        </w:rPr>
        <w:t xml:space="preserve"> </w:t>
      </w:r>
      <w:r>
        <w:rPr>
          <w:color w:val="231F20"/>
          <w:sz w:val="17"/>
        </w:rPr>
        <w:t xml:space="preserve">agility. </w:t>
      </w:r>
      <w:r>
        <w:rPr>
          <w:i/>
          <w:color w:val="231F20"/>
          <w:sz w:val="17"/>
        </w:rPr>
        <w:t xml:space="preserve">Leisure Studies </w:t>
      </w:r>
      <w:r>
        <w:rPr>
          <w:color w:val="231F20"/>
          <w:sz w:val="17"/>
        </w:rPr>
        <w:t>31 (2), 231–253.</w:t>
      </w:r>
    </w:p>
    <w:p w14:paraId="68CF607D" w14:textId="77777777" w:rsidR="00AE0598" w:rsidRDefault="0069255A">
      <w:pPr>
        <w:spacing w:before="2"/>
        <w:ind w:left="430" w:right="128" w:hanging="320"/>
        <w:jc w:val="both"/>
        <w:rPr>
          <w:sz w:val="17"/>
        </w:rPr>
      </w:pPr>
      <w:r>
        <w:rPr>
          <w:color w:val="231F20"/>
          <w:w w:val="95"/>
          <w:sz w:val="17"/>
        </w:rPr>
        <w:t>Humberstone, B. (2011) Embodiment and social and environmental action in nature-based</w:t>
      </w:r>
      <w:r>
        <w:rPr>
          <w:color w:val="231F20"/>
          <w:spacing w:val="40"/>
          <w:sz w:val="17"/>
        </w:rPr>
        <w:t xml:space="preserve"> </w:t>
      </w:r>
      <w:r>
        <w:rPr>
          <w:color w:val="231F20"/>
          <w:sz w:val="17"/>
        </w:rPr>
        <w:t xml:space="preserve">sport: Spiritual spaces. </w:t>
      </w:r>
      <w:r>
        <w:rPr>
          <w:i/>
          <w:color w:val="231F20"/>
          <w:sz w:val="17"/>
        </w:rPr>
        <w:t xml:space="preserve">Leisure Studies </w:t>
      </w:r>
      <w:r>
        <w:rPr>
          <w:color w:val="231F20"/>
          <w:sz w:val="17"/>
        </w:rPr>
        <w:t>30 (4), 495–512.</w:t>
      </w:r>
    </w:p>
    <w:p w14:paraId="76B58E7F" w14:textId="77777777" w:rsidR="00AE0598" w:rsidRDefault="0069255A">
      <w:pPr>
        <w:spacing w:before="1"/>
        <w:ind w:left="110" w:right="128" w:hanging="1"/>
        <w:jc w:val="right"/>
        <w:rPr>
          <w:i/>
          <w:sz w:val="17"/>
        </w:rPr>
      </w:pPr>
      <w:r>
        <w:rPr>
          <w:color w:val="231F20"/>
          <w:sz w:val="17"/>
        </w:rPr>
        <w:t>Humphreys,</w:t>
      </w:r>
      <w:r>
        <w:rPr>
          <w:color w:val="231F20"/>
          <w:spacing w:val="-6"/>
          <w:sz w:val="17"/>
        </w:rPr>
        <w:t xml:space="preserve"> </w:t>
      </w:r>
      <w:r>
        <w:rPr>
          <w:color w:val="231F20"/>
          <w:w w:val="105"/>
          <w:sz w:val="17"/>
        </w:rPr>
        <w:t>C.</w:t>
      </w:r>
      <w:r>
        <w:rPr>
          <w:color w:val="231F20"/>
          <w:spacing w:val="-8"/>
          <w:w w:val="105"/>
          <w:sz w:val="17"/>
        </w:rPr>
        <w:t xml:space="preserve"> </w:t>
      </w:r>
      <w:r>
        <w:rPr>
          <w:color w:val="231F20"/>
          <w:sz w:val="17"/>
        </w:rPr>
        <w:t>(2011)</w:t>
      </w:r>
      <w:r>
        <w:rPr>
          <w:color w:val="231F20"/>
          <w:spacing w:val="-6"/>
          <w:sz w:val="17"/>
        </w:rPr>
        <w:t xml:space="preserve"> </w:t>
      </w:r>
      <w:r>
        <w:rPr>
          <w:color w:val="231F20"/>
          <w:sz w:val="17"/>
        </w:rPr>
        <w:t>Who</w:t>
      </w:r>
      <w:r>
        <w:rPr>
          <w:color w:val="231F20"/>
          <w:spacing w:val="-6"/>
          <w:sz w:val="17"/>
        </w:rPr>
        <w:t xml:space="preserve"> </w:t>
      </w:r>
      <w:r>
        <w:rPr>
          <w:color w:val="231F20"/>
          <w:sz w:val="17"/>
        </w:rPr>
        <w:t>cares</w:t>
      </w:r>
      <w:r>
        <w:rPr>
          <w:color w:val="231F20"/>
          <w:spacing w:val="-6"/>
          <w:sz w:val="17"/>
        </w:rPr>
        <w:t xml:space="preserve"> </w:t>
      </w:r>
      <w:r>
        <w:rPr>
          <w:color w:val="231F20"/>
          <w:sz w:val="17"/>
        </w:rPr>
        <w:t>where</w:t>
      </w:r>
      <w:r>
        <w:rPr>
          <w:color w:val="231F20"/>
          <w:spacing w:val="-6"/>
          <w:sz w:val="17"/>
        </w:rPr>
        <w:t xml:space="preserve"> </w:t>
      </w:r>
      <w:r>
        <w:rPr>
          <w:color w:val="231F20"/>
          <w:sz w:val="17"/>
        </w:rPr>
        <w:t>I</w:t>
      </w:r>
      <w:r>
        <w:rPr>
          <w:color w:val="231F20"/>
          <w:spacing w:val="-6"/>
          <w:sz w:val="17"/>
        </w:rPr>
        <w:t xml:space="preserve"> </w:t>
      </w:r>
      <w:r>
        <w:rPr>
          <w:color w:val="231F20"/>
          <w:sz w:val="17"/>
        </w:rPr>
        <w:t>play?</w:t>
      </w:r>
      <w:r>
        <w:rPr>
          <w:color w:val="231F20"/>
          <w:spacing w:val="-6"/>
          <w:sz w:val="17"/>
        </w:rPr>
        <w:t xml:space="preserve"> </w:t>
      </w:r>
      <w:r>
        <w:rPr>
          <w:color w:val="231F20"/>
          <w:sz w:val="17"/>
        </w:rPr>
        <w:t>Linking</w:t>
      </w:r>
      <w:r>
        <w:rPr>
          <w:color w:val="231F20"/>
          <w:spacing w:val="-6"/>
          <w:sz w:val="17"/>
        </w:rPr>
        <w:t xml:space="preserve"> </w:t>
      </w:r>
      <w:r>
        <w:rPr>
          <w:color w:val="231F20"/>
          <w:sz w:val="17"/>
        </w:rPr>
        <w:t>reputation</w:t>
      </w:r>
      <w:r>
        <w:rPr>
          <w:color w:val="231F20"/>
          <w:spacing w:val="-6"/>
          <w:sz w:val="17"/>
        </w:rPr>
        <w:t xml:space="preserve"> </w:t>
      </w:r>
      <w:r>
        <w:rPr>
          <w:color w:val="231F20"/>
          <w:sz w:val="17"/>
        </w:rPr>
        <w:t>with</w:t>
      </w:r>
      <w:r>
        <w:rPr>
          <w:color w:val="231F20"/>
          <w:spacing w:val="-6"/>
          <w:sz w:val="17"/>
        </w:rPr>
        <w:t xml:space="preserve"> </w:t>
      </w:r>
      <w:r>
        <w:rPr>
          <w:color w:val="231F20"/>
          <w:sz w:val="17"/>
        </w:rPr>
        <w:t>the</w:t>
      </w:r>
      <w:r>
        <w:rPr>
          <w:color w:val="231F20"/>
          <w:spacing w:val="-6"/>
          <w:sz w:val="17"/>
        </w:rPr>
        <w:t xml:space="preserve"> </w:t>
      </w:r>
      <w:r>
        <w:rPr>
          <w:color w:val="231F20"/>
          <w:sz w:val="17"/>
        </w:rPr>
        <w:t>golfing</w:t>
      </w:r>
      <w:r>
        <w:rPr>
          <w:color w:val="231F20"/>
          <w:spacing w:val="-6"/>
          <w:sz w:val="17"/>
        </w:rPr>
        <w:t xml:space="preserve"> </w:t>
      </w:r>
      <w:r>
        <w:rPr>
          <w:color w:val="231F20"/>
          <w:sz w:val="17"/>
        </w:rPr>
        <w:t>capital</w:t>
      </w:r>
      <w:r>
        <w:rPr>
          <w:color w:val="231F20"/>
          <w:spacing w:val="40"/>
          <w:sz w:val="17"/>
        </w:rPr>
        <w:t xml:space="preserve"> </w:t>
      </w:r>
      <w:r>
        <w:rPr>
          <w:color w:val="231F20"/>
          <w:sz w:val="17"/>
        </w:rPr>
        <w:t>and the implication for</w:t>
      </w:r>
      <w:r>
        <w:rPr>
          <w:color w:val="231F20"/>
          <w:sz w:val="17"/>
        </w:rPr>
        <w:t xml:space="preserve"> golf destinations. </w:t>
      </w:r>
      <w:r>
        <w:rPr>
          <w:i/>
          <w:color w:val="231F20"/>
          <w:sz w:val="17"/>
        </w:rPr>
        <w:t xml:space="preserve">Journal of Sport </w:t>
      </w:r>
      <w:r>
        <w:rPr>
          <w:i/>
          <w:color w:val="231F20"/>
          <w:w w:val="110"/>
          <w:sz w:val="17"/>
        </w:rPr>
        <w:t xml:space="preserve">&amp; </w:t>
      </w:r>
      <w:r>
        <w:rPr>
          <w:i/>
          <w:color w:val="231F20"/>
          <w:sz w:val="17"/>
        </w:rPr>
        <w:t xml:space="preserve">Tourism </w:t>
      </w:r>
      <w:r>
        <w:rPr>
          <w:color w:val="231F20"/>
          <w:sz w:val="17"/>
        </w:rPr>
        <w:t>16 (2), 105–128.</w:t>
      </w:r>
      <w:r>
        <w:rPr>
          <w:color w:val="231F20"/>
          <w:spacing w:val="40"/>
          <w:sz w:val="17"/>
        </w:rPr>
        <w:t xml:space="preserve"> </w:t>
      </w:r>
      <w:r>
        <w:rPr>
          <w:color w:val="231F20"/>
          <w:w w:val="95"/>
          <w:sz w:val="17"/>
        </w:rPr>
        <w:t>Humphreys, C. (2014) Understanding how sporting characteristics and behaviours influence</w:t>
      </w:r>
      <w:r>
        <w:rPr>
          <w:color w:val="231F20"/>
          <w:spacing w:val="40"/>
          <w:sz w:val="17"/>
        </w:rPr>
        <w:t xml:space="preserve"> </w:t>
      </w:r>
      <w:r>
        <w:rPr>
          <w:color w:val="231F20"/>
          <w:sz w:val="17"/>
        </w:rPr>
        <w:t>destination</w:t>
      </w:r>
      <w:r>
        <w:rPr>
          <w:color w:val="231F20"/>
          <w:spacing w:val="34"/>
          <w:sz w:val="17"/>
        </w:rPr>
        <w:t xml:space="preserve"> </w:t>
      </w:r>
      <w:r>
        <w:rPr>
          <w:color w:val="231F20"/>
          <w:sz w:val="17"/>
        </w:rPr>
        <w:t>selection:</w:t>
      </w:r>
      <w:r>
        <w:rPr>
          <w:color w:val="231F20"/>
          <w:spacing w:val="34"/>
          <w:sz w:val="17"/>
        </w:rPr>
        <w:t xml:space="preserve"> </w:t>
      </w:r>
      <w:r>
        <w:rPr>
          <w:color w:val="231F20"/>
          <w:sz w:val="17"/>
        </w:rPr>
        <w:t>A</w:t>
      </w:r>
      <w:r>
        <w:rPr>
          <w:color w:val="231F20"/>
          <w:spacing w:val="34"/>
          <w:sz w:val="17"/>
        </w:rPr>
        <w:t xml:space="preserve"> </w:t>
      </w:r>
      <w:r>
        <w:rPr>
          <w:color w:val="231F20"/>
          <w:sz w:val="17"/>
        </w:rPr>
        <w:t>grounded</w:t>
      </w:r>
      <w:r>
        <w:rPr>
          <w:color w:val="231F20"/>
          <w:spacing w:val="34"/>
          <w:sz w:val="17"/>
        </w:rPr>
        <w:t xml:space="preserve"> </w:t>
      </w:r>
      <w:r>
        <w:rPr>
          <w:color w:val="231F20"/>
          <w:sz w:val="17"/>
        </w:rPr>
        <w:t>theory</w:t>
      </w:r>
      <w:r>
        <w:rPr>
          <w:color w:val="231F20"/>
          <w:spacing w:val="34"/>
          <w:sz w:val="17"/>
        </w:rPr>
        <w:t xml:space="preserve"> </w:t>
      </w:r>
      <w:r>
        <w:rPr>
          <w:color w:val="231F20"/>
          <w:sz w:val="17"/>
        </w:rPr>
        <w:t>study</w:t>
      </w:r>
      <w:r>
        <w:rPr>
          <w:color w:val="231F20"/>
          <w:spacing w:val="34"/>
          <w:sz w:val="17"/>
        </w:rPr>
        <w:t xml:space="preserve"> </w:t>
      </w:r>
      <w:r>
        <w:rPr>
          <w:color w:val="231F20"/>
          <w:sz w:val="17"/>
        </w:rPr>
        <w:t>of</w:t>
      </w:r>
      <w:r>
        <w:rPr>
          <w:color w:val="231F20"/>
          <w:spacing w:val="34"/>
          <w:sz w:val="17"/>
        </w:rPr>
        <w:t xml:space="preserve"> </w:t>
      </w:r>
      <w:r>
        <w:rPr>
          <w:color w:val="231F20"/>
          <w:sz w:val="17"/>
        </w:rPr>
        <w:t>golf</w:t>
      </w:r>
      <w:r>
        <w:rPr>
          <w:color w:val="231F20"/>
          <w:spacing w:val="34"/>
          <w:sz w:val="17"/>
        </w:rPr>
        <w:t xml:space="preserve"> </w:t>
      </w:r>
      <w:r>
        <w:rPr>
          <w:color w:val="231F20"/>
          <w:sz w:val="17"/>
        </w:rPr>
        <w:t>tourism.</w:t>
      </w:r>
      <w:r>
        <w:rPr>
          <w:color w:val="231F20"/>
          <w:spacing w:val="34"/>
          <w:sz w:val="17"/>
        </w:rPr>
        <w:t xml:space="preserve"> </w:t>
      </w:r>
      <w:r>
        <w:rPr>
          <w:i/>
          <w:color w:val="231F20"/>
          <w:sz w:val="17"/>
        </w:rPr>
        <w:t>Journal</w:t>
      </w:r>
      <w:r>
        <w:rPr>
          <w:i/>
          <w:color w:val="231F20"/>
          <w:spacing w:val="34"/>
          <w:sz w:val="17"/>
        </w:rPr>
        <w:t xml:space="preserve"> </w:t>
      </w:r>
      <w:r>
        <w:rPr>
          <w:i/>
          <w:color w:val="231F20"/>
          <w:sz w:val="17"/>
        </w:rPr>
        <w:t>of</w:t>
      </w:r>
      <w:r>
        <w:rPr>
          <w:i/>
          <w:color w:val="231F20"/>
          <w:spacing w:val="34"/>
          <w:sz w:val="17"/>
        </w:rPr>
        <w:t xml:space="preserve"> </w:t>
      </w:r>
      <w:r>
        <w:rPr>
          <w:i/>
          <w:color w:val="231F20"/>
          <w:sz w:val="17"/>
        </w:rPr>
        <w:t>Sport</w:t>
      </w:r>
      <w:r>
        <w:rPr>
          <w:i/>
          <w:color w:val="231F20"/>
          <w:spacing w:val="31"/>
          <w:w w:val="110"/>
          <w:sz w:val="17"/>
        </w:rPr>
        <w:t xml:space="preserve"> </w:t>
      </w:r>
      <w:r>
        <w:rPr>
          <w:i/>
          <w:color w:val="231F20"/>
          <w:w w:val="110"/>
          <w:sz w:val="17"/>
        </w:rPr>
        <w:t>&amp;</w:t>
      </w:r>
    </w:p>
    <w:p w14:paraId="2E289E57" w14:textId="77777777" w:rsidR="00AE0598" w:rsidRDefault="0069255A">
      <w:pPr>
        <w:spacing w:before="3"/>
        <w:ind w:left="430"/>
        <w:jc w:val="both"/>
        <w:rPr>
          <w:sz w:val="17"/>
        </w:rPr>
      </w:pPr>
      <w:r>
        <w:rPr>
          <w:i/>
          <w:color w:val="231F20"/>
          <w:sz w:val="17"/>
        </w:rPr>
        <w:t>Tourism</w:t>
      </w:r>
      <w:r>
        <w:rPr>
          <w:i/>
          <w:color w:val="231F20"/>
          <w:spacing w:val="-10"/>
          <w:sz w:val="17"/>
        </w:rPr>
        <w:t xml:space="preserve"> </w:t>
      </w:r>
      <w:r>
        <w:rPr>
          <w:color w:val="231F20"/>
          <w:sz w:val="17"/>
        </w:rPr>
        <w:t>19</w:t>
      </w:r>
      <w:r>
        <w:rPr>
          <w:color w:val="231F20"/>
          <w:spacing w:val="-9"/>
          <w:sz w:val="17"/>
        </w:rPr>
        <w:t xml:space="preserve"> </w:t>
      </w:r>
      <w:r>
        <w:rPr>
          <w:color w:val="231F20"/>
          <w:sz w:val="17"/>
        </w:rPr>
        <w:t>(1),</w:t>
      </w:r>
      <w:r>
        <w:rPr>
          <w:color w:val="231F20"/>
          <w:spacing w:val="-10"/>
          <w:sz w:val="17"/>
        </w:rPr>
        <w:t xml:space="preserve"> </w:t>
      </w:r>
      <w:r>
        <w:rPr>
          <w:color w:val="231F20"/>
          <w:spacing w:val="-2"/>
          <w:sz w:val="17"/>
        </w:rPr>
        <w:t>29–54.</w:t>
      </w:r>
    </w:p>
    <w:p w14:paraId="674F415A" w14:textId="77777777" w:rsidR="00AE0598" w:rsidRDefault="0069255A">
      <w:pPr>
        <w:ind w:left="430" w:right="127" w:hanging="320"/>
        <w:jc w:val="both"/>
        <w:rPr>
          <w:sz w:val="17"/>
        </w:rPr>
      </w:pPr>
      <w:r>
        <w:rPr>
          <w:color w:val="231F20"/>
          <w:sz w:val="17"/>
        </w:rPr>
        <w:t xml:space="preserve">Humphreys, </w:t>
      </w:r>
      <w:r>
        <w:rPr>
          <w:color w:val="231F20"/>
          <w:w w:val="105"/>
          <w:sz w:val="17"/>
        </w:rPr>
        <w:t>C.J.</w:t>
      </w:r>
      <w:r>
        <w:rPr>
          <w:color w:val="231F20"/>
          <w:spacing w:val="-2"/>
          <w:w w:val="105"/>
          <w:sz w:val="17"/>
        </w:rPr>
        <w:t xml:space="preserve"> </w:t>
      </w:r>
      <w:r>
        <w:rPr>
          <w:color w:val="231F20"/>
          <w:sz w:val="17"/>
        </w:rPr>
        <w:t xml:space="preserve">and Weed, </w:t>
      </w:r>
      <w:r>
        <w:rPr>
          <w:color w:val="231F20"/>
          <w:w w:val="105"/>
          <w:sz w:val="17"/>
        </w:rPr>
        <w:t>M.</w:t>
      </w:r>
      <w:r>
        <w:rPr>
          <w:color w:val="231F20"/>
          <w:spacing w:val="-2"/>
          <w:w w:val="105"/>
          <w:sz w:val="17"/>
        </w:rPr>
        <w:t xml:space="preserve"> </w:t>
      </w:r>
      <w:r>
        <w:rPr>
          <w:color w:val="231F20"/>
          <w:sz w:val="17"/>
        </w:rPr>
        <w:t>(2014) Golf tourism and the trip decision-making process:</w:t>
      </w:r>
      <w:r>
        <w:rPr>
          <w:color w:val="231F20"/>
          <w:spacing w:val="40"/>
          <w:sz w:val="17"/>
        </w:rPr>
        <w:t xml:space="preserve"> </w:t>
      </w:r>
      <w:r>
        <w:rPr>
          <w:color w:val="231F20"/>
          <w:sz w:val="17"/>
        </w:rPr>
        <w:t>The influence of lifestage, negotiation and compromise, and the existence of tiered</w:t>
      </w:r>
      <w:r>
        <w:rPr>
          <w:color w:val="231F20"/>
          <w:spacing w:val="40"/>
          <w:sz w:val="17"/>
        </w:rPr>
        <w:t xml:space="preserve"> </w:t>
      </w:r>
      <w:r>
        <w:rPr>
          <w:color w:val="231F20"/>
          <w:sz w:val="17"/>
        </w:rPr>
        <w:t xml:space="preserve">decision-making units. </w:t>
      </w:r>
      <w:r>
        <w:rPr>
          <w:i/>
          <w:color w:val="231F20"/>
          <w:sz w:val="17"/>
        </w:rPr>
        <w:t xml:space="preserve">Leisure Studies </w:t>
      </w:r>
      <w:r>
        <w:rPr>
          <w:color w:val="231F20"/>
          <w:sz w:val="17"/>
        </w:rPr>
        <w:t>33 (1), 75–95.</w:t>
      </w:r>
    </w:p>
    <w:p w14:paraId="668AFA0D" w14:textId="77777777" w:rsidR="00AE0598" w:rsidRDefault="0069255A">
      <w:pPr>
        <w:spacing w:before="3"/>
        <w:ind w:left="430" w:right="127" w:hanging="320"/>
        <w:jc w:val="both"/>
        <w:rPr>
          <w:sz w:val="17"/>
        </w:rPr>
      </w:pPr>
      <w:r>
        <w:rPr>
          <w:color w:val="231F20"/>
          <w:sz w:val="17"/>
        </w:rPr>
        <w:t>Hunter, C. (1995) Key co</w:t>
      </w:r>
      <w:r>
        <w:rPr>
          <w:color w:val="231F20"/>
          <w:sz w:val="17"/>
        </w:rPr>
        <w:t>ncepts for tourism and the environment. In C. Hunter and H.</w:t>
      </w:r>
      <w:r>
        <w:rPr>
          <w:color w:val="231F20"/>
          <w:spacing w:val="40"/>
          <w:sz w:val="17"/>
        </w:rPr>
        <w:t xml:space="preserve"> </w:t>
      </w:r>
      <w:r>
        <w:rPr>
          <w:color w:val="231F20"/>
          <w:sz w:val="17"/>
        </w:rPr>
        <w:t xml:space="preserve">Green (eds) </w:t>
      </w:r>
      <w:r>
        <w:rPr>
          <w:i/>
          <w:color w:val="231F20"/>
          <w:sz w:val="17"/>
        </w:rPr>
        <w:t xml:space="preserve">Tourism and the Environment: A Sustainable Relationship? </w:t>
      </w:r>
      <w:r>
        <w:rPr>
          <w:color w:val="231F20"/>
          <w:sz w:val="17"/>
        </w:rPr>
        <w:t>(pp. 52–92).</w:t>
      </w:r>
      <w:r>
        <w:rPr>
          <w:color w:val="231F20"/>
          <w:spacing w:val="40"/>
          <w:sz w:val="17"/>
        </w:rPr>
        <w:t xml:space="preserve"> </w:t>
      </w:r>
      <w:r>
        <w:rPr>
          <w:color w:val="231F20"/>
          <w:sz w:val="17"/>
        </w:rPr>
        <w:t>London: Routledge.</w:t>
      </w:r>
    </w:p>
    <w:p w14:paraId="7CA7B530" w14:textId="77777777" w:rsidR="00AE0598" w:rsidRDefault="0069255A">
      <w:pPr>
        <w:spacing w:before="2"/>
        <w:ind w:left="110"/>
        <w:jc w:val="both"/>
        <w:rPr>
          <w:sz w:val="17"/>
        </w:rPr>
      </w:pPr>
      <w:r>
        <w:rPr>
          <w:color w:val="231F20"/>
          <w:w w:val="95"/>
          <w:sz w:val="17"/>
        </w:rPr>
        <w:t>Ifedi,</w:t>
      </w:r>
      <w:r>
        <w:rPr>
          <w:color w:val="231F20"/>
          <w:spacing w:val="24"/>
          <w:sz w:val="17"/>
        </w:rPr>
        <w:t xml:space="preserve"> </w:t>
      </w:r>
      <w:r>
        <w:rPr>
          <w:color w:val="231F20"/>
          <w:w w:val="95"/>
          <w:sz w:val="17"/>
        </w:rPr>
        <w:t>F.</w:t>
      </w:r>
      <w:r>
        <w:rPr>
          <w:color w:val="231F20"/>
          <w:spacing w:val="24"/>
          <w:sz w:val="17"/>
        </w:rPr>
        <w:t xml:space="preserve"> </w:t>
      </w:r>
      <w:r>
        <w:rPr>
          <w:color w:val="231F20"/>
          <w:w w:val="95"/>
          <w:sz w:val="17"/>
        </w:rPr>
        <w:t>(2008)</w:t>
      </w:r>
      <w:r>
        <w:rPr>
          <w:color w:val="231F20"/>
          <w:spacing w:val="24"/>
          <w:sz w:val="17"/>
        </w:rPr>
        <w:t xml:space="preserve"> </w:t>
      </w:r>
      <w:r>
        <w:rPr>
          <w:i/>
          <w:color w:val="231F20"/>
          <w:w w:val="95"/>
          <w:sz w:val="17"/>
        </w:rPr>
        <w:t>Sport</w:t>
      </w:r>
      <w:r>
        <w:rPr>
          <w:i/>
          <w:color w:val="231F20"/>
          <w:spacing w:val="24"/>
          <w:sz w:val="17"/>
        </w:rPr>
        <w:t xml:space="preserve"> </w:t>
      </w:r>
      <w:r>
        <w:rPr>
          <w:i/>
          <w:color w:val="231F20"/>
          <w:w w:val="95"/>
          <w:sz w:val="17"/>
        </w:rPr>
        <w:t>Participation</w:t>
      </w:r>
      <w:r>
        <w:rPr>
          <w:i/>
          <w:color w:val="231F20"/>
          <w:spacing w:val="24"/>
          <w:sz w:val="17"/>
        </w:rPr>
        <w:t xml:space="preserve"> </w:t>
      </w:r>
      <w:r>
        <w:rPr>
          <w:i/>
          <w:color w:val="231F20"/>
          <w:w w:val="95"/>
          <w:sz w:val="17"/>
        </w:rPr>
        <w:t>in</w:t>
      </w:r>
      <w:r>
        <w:rPr>
          <w:i/>
          <w:color w:val="231F20"/>
          <w:spacing w:val="24"/>
          <w:sz w:val="17"/>
        </w:rPr>
        <w:t xml:space="preserve"> </w:t>
      </w:r>
      <w:r>
        <w:rPr>
          <w:i/>
          <w:color w:val="231F20"/>
          <w:w w:val="95"/>
          <w:sz w:val="17"/>
        </w:rPr>
        <w:t>Canada,</w:t>
      </w:r>
      <w:r>
        <w:rPr>
          <w:i/>
          <w:color w:val="231F20"/>
          <w:spacing w:val="24"/>
          <w:sz w:val="17"/>
        </w:rPr>
        <w:t xml:space="preserve"> </w:t>
      </w:r>
      <w:r>
        <w:rPr>
          <w:i/>
          <w:color w:val="231F20"/>
          <w:w w:val="95"/>
          <w:sz w:val="17"/>
        </w:rPr>
        <w:t>2005</w:t>
      </w:r>
      <w:r>
        <w:rPr>
          <w:color w:val="231F20"/>
          <w:w w:val="95"/>
          <w:sz w:val="17"/>
        </w:rPr>
        <w:t>.</w:t>
      </w:r>
      <w:r>
        <w:rPr>
          <w:color w:val="231F20"/>
          <w:spacing w:val="24"/>
          <w:sz w:val="17"/>
        </w:rPr>
        <w:t xml:space="preserve"> </w:t>
      </w:r>
      <w:r>
        <w:rPr>
          <w:color w:val="231F20"/>
          <w:w w:val="95"/>
          <w:sz w:val="17"/>
        </w:rPr>
        <w:t>Ottawa:</w:t>
      </w:r>
      <w:r>
        <w:rPr>
          <w:color w:val="231F20"/>
          <w:spacing w:val="24"/>
          <w:sz w:val="17"/>
        </w:rPr>
        <w:t xml:space="preserve"> </w:t>
      </w:r>
      <w:r>
        <w:rPr>
          <w:color w:val="231F20"/>
          <w:w w:val="95"/>
          <w:sz w:val="17"/>
        </w:rPr>
        <w:t>Statistics</w:t>
      </w:r>
      <w:r>
        <w:rPr>
          <w:color w:val="231F20"/>
          <w:spacing w:val="24"/>
          <w:sz w:val="17"/>
        </w:rPr>
        <w:t xml:space="preserve"> </w:t>
      </w:r>
      <w:r>
        <w:rPr>
          <w:color w:val="231F20"/>
          <w:spacing w:val="-2"/>
          <w:w w:val="95"/>
          <w:sz w:val="17"/>
        </w:rPr>
        <w:t>Canada.</w:t>
      </w:r>
    </w:p>
    <w:p w14:paraId="48DEE4ED" w14:textId="77777777" w:rsidR="00AE0598" w:rsidRDefault="0069255A">
      <w:pPr>
        <w:ind w:left="430" w:right="129" w:hanging="320"/>
        <w:jc w:val="both"/>
        <w:rPr>
          <w:sz w:val="17"/>
        </w:rPr>
      </w:pPr>
      <w:r>
        <w:rPr>
          <w:color w:val="231F20"/>
          <w:sz w:val="17"/>
        </w:rPr>
        <w:t xml:space="preserve">Ingersoll, K.A. (2016) </w:t>
      </w:r>
      <w:r>
        <w:rPr>
          <w:i/>
          <w:color w:val="231F20"/>
          <w:sz w:val="17"/>
        </w:rPr>
        <w:t>Waves of Knowing: A Seascape Epistemology</w:t>
      </w:r>
      <w:r>
        <w:rPr>
          <w:color w:val="231F20"/>
          <w:sz w:val="17"/>
        </w:rPr>
        <w:t>. Durham, NC: Duke</w:t>
      </w:r>
      <w:r>
        <w:rPr>
          <w:color w:val="231F20"/>
          <w:spacing w:val="40"/>
          <w:sz w:val="17"/>
        </w:rPr>
        <w:t xml:space="preserve"> </w:t>
      </w:r>
      <w:r>
        <w:rPr>
          <w:color w:val="231F20"/>
          <w:sz w:val="17"/>
        </w:rPr>
        <w:t>University Press.</w:t>
      </w:r>
    </w:p>
    <w:p w14:paraId="2A0146EB" w14:textId="77777777" w:rsidR="00AE0598" w:rsidRDefault="0069255A">
      <w:pPr>
        <w:spacing w:before="2"/>
        <w:ind w:left="430" w:right="128" w:hanging="320"/>
        <w:jc w:val="both"/>
        <w:rPr>
          <w:sz w:val="17"/>
        </w:rPr>
      </w:pPr>
      <w:r>
        <w:rPr>
          <w:color w:val="231F20"/>
          <w:w w:val="105"/>
          <w:sz w:val="17"/>
        </w:rPr>
        <w:t xml:space="preserve">Ingham, A.G., Howell, J.W. and Swetman, R.D. (1993) Evaluating sport </w:t>
      </w:r>
      <w:r>
        <w:rPr>
          <w:color w:val="231F20"/>
          <w:w w:val="131"/>
          <w:sz w:val="17"/>
        </w:rPr>
        <w:t>‘</w:t>
      </w:r>
      <w:r>
        <w:rPr>
          <w:color w:val="231F20"/>
          <w:w w:val="105"/>
          <w:sz w:val="17"/>
        </w:rPr>
        <w:t>h</w:t>
      </w:r>
      <w:r>
        <w:rPr>
          <w:color w:val="231F20"/>
          <w:w w:val="96"/>
          <w:sz w:val="17"/>
        </w:rPr>
        <w:t>e</w:t>
      </w:r>
      <w:r>
        <w:rPr>
          <w:color w:val="231F20"/>
          <w:w w:val="99"/>
          <w:sz w:val="17"/>
        </w:rPr>
        <w:t>r</w:t>
      </w:r>
      <w:r>
        <w:rPr>
          <w:color w:val="231F20"/>
          <w:w w:val="109"/>
          <w:sz w:val="17"/>
        </w:rPr>
        <w:t>o</w:t>
      </w:r>
      <w:r>
        <w:rPr>
          <w:color w:val="231F20"/>
          <w:w w:val="66"/>
          <w:sz w:val="17"/>
        </w:rPr>
        <w:t>/</w:t>
      </w:r>
      <w:r>
        <w:rPr>
          <w:color w:val="231F20"/>
          <w:w w:val="106"/>
          <w:sz w:val="17"/>
        </w:rPr>
        <w:t>i</w:t>
      </w:r>
      <w:r>
        <w:rPr>
          <w:color w:val="231F20"/>
          <w:w w:val="104"/>
          <w:sz w:val="17"/>
        </w:rPr>
        <w:t>n</w:t>
      </w:r>
      <w:r>
        <w:rPr>
          <w:color w:val="231F20"/>
          <w:w w:val="96"/>
          <w:sz w:val="17"/>
        </w:rPr>
        <w:t>es</w:t>
      </w:r>
      <w:r>
        <w:rPr>
          <w:color w:val="231F20"/>
          <w:w w:val="131"/>
          <w:sz w:val="17"/>
        </w:rPr>
        <w:t>’</w:t>
      </w:r>
      <w:r>
        <w:rPr>
          <w:color w:val="231F20"/>
          <w:w w:val="111"/>
          <w:sz w:val="17"/>
        </w:rPr>
        <w:t>:</w:t>
      </w:r>
      <w:r>
        <w:rPr>
          <w:color w:val="231F20"/>
          <w:spacing w:val="40"/>
          <w:w w:val="104"/>
          <w:sz w:val="17"/>
        </w:rPr>
        <w:t xml:space="preserve"> </w:t>
      </w:r>
      <w:r>
        <w:rPr>
          <w:color w:val="231F20"/>
          <w:sz w:val="17"/>
        </w:rPr>
        <w:t xml:space="preserve">Contents, forms, and social relations. </w:t>
      </w:r>
      <w:r>
        <w:rPr>
          <w:i/>
          <w:color w:val="231F20"/>
          <w:sz w:val="17"/>
        </w:rPr>
        <w:t xml:space="preserve">Quest </w:t>
      </w:r>
      <w:r>
        <w:rPr>
          <w:color w:val="231F20"/>
          <w:sz w:val="17"/>
        </w:rPr>
        <w:t>45, 197–210.</w:t>
      </w:r>
    </w:p>
    <w:p w14:paraId="0E0A71A7" w14:textId="77777777" w:rsidR="00AE0598" w:rsidRDefault="0069255A">
      <w:pPr>
        <w:spacing w:before="1"/>
        <w:ind w:left="430" w:right="128" w:hanging="320"/>
        <w:jc w:val="both"/>
        <w:rPr>
          <w:sz w:val="17"/>
        </w:rPr>
      </w:pPr>
      <w:r>
        <w:rPr>
          <w:color w:val="231F20"/>
          <w:sz w:val="17"/>
        </w:rPr>
        <w:t>Ingraham, C. (2016) Competition or exhibition? The Olympic arts and cultural policy</w:t>
      </w:r>
      <w:r>
        <w:rPr>
          <w:color w:val="231F20"/>
          <w:spacing w:val="40"/>
          <w:sz w:val="17"/>
        </w:rPr>
        <w:t xml:space="preserve"> </w:t>
      </w:r>
      <w:r>
        <w:rPr>
          <w:color w:val="231F20"/>
          <w:sz w:val="17"/>
        </w:rPr>
        <w:t xml:space="preserve">rhetoric. </w:t>
      </w:r>
      <w:r>
        <w:rPr>
          <w:i/>
          <w:color w:val="231F20"/>
          <w:sz w:val="17"/>
        </w:rPr>
        <w:t>International Journal of Cultural Policy</w:t>
      </w:r>
      <w:r>
        <w:rPr>
          <w:color w:val="231F20"/>
          <w:sz w:val="17"/>
        </w:rPr>
        <w:t>, 1–16.</w:t>
      </w:r>
    </w:p>
    <w:p w14:paraId="41B6C3B2" w14:textId="77777777" w:rsidR="00AE0598" w:rsidRDefault="0069255A">
      <w:pPr>
        <w:spacing w:before="2"/>
        <w:ind w:left="430" w:right="128" w:hanging="320"/>
        <w:jc w:val="both"/>
        <w:rPr>
          <w:sz w:val="17"/>
        </w:rPr>
      </w:pPr>
      <w:r>
        <w:rPr>
          <w:color w:val="231F20"/>
          <w:sz w:val="17"/>
        </w:rPr>
        <w:t xml:space="preserve">Inskeep, E. (1991) </w:t>
      </w:r>
      <w:r>
        <w:rPr>
          <w:i/>
          <w:color w:val="231F20"/>
          <w:sz w:val="17"/>
        </w:rPr>
        <w:t>Tourism Planning: An Integrated and S</w:t>
      </w:r>
      <w:r>
        <w:rPr>
          <w:i/>
          <w:color w:val="231F20"/>
          <w:sz w:val="17"/>
        </w:rPr>
        <w:t>ustainable Development</w:t>
      </w:r>
      <w:r>
        <w:rPr>
          <w:i/>
          <w:color w:val="231F20"/>
          <w:spacing w:val="40"/>
          <w:sz w:val="17"/>
        </w:rPr>
        <w:t xml:space="preserve"> </w:t>
      </w:r>
      <w:r>
        <w:rPr>
          <w:i/>
          <w:color w:val="231F20"/>
          <w:sz w:val="17"/>
        </w:rPr>
        <w:t>Approach</w:t>
      </w:r>
      <w:r>
        <w:rPr>
          <w:color w:val="231F20"/>
          <w:sz w:val="17"/>
        </w:rPr>
        <w:t>. New York: Van Nostrand Reinhold.</w:t>
      </w:r>
    </w:p>
    <w:p w14:paraId="1B7E6E11" w14:textId="77777777" w:rsidR="00AE0598" w:rsidRDefault="0069255A">
      <w:pPr>
        <w:spacing w:before="1"/>
        <w:ind w:left="430" w:right="127" w:hanging="320"/>
        <w:jc w:val="both"/>
        <w:rPr>
          <w:sz w:val="17"/>
        </w:rPr>
      </w:pPr>
      <w:r>
        <w:rPr>
          <w:color w:val="231F20"/>
          <w:sz w:val="17"/>
        </w:rPr>
        <w:t xml:space="preserve">International Olympic Committee and World Tourism Organisation (2001) </w:t>
      </w:r>
      <w:r>
        <w:rPr>
          <w:i/>
          <w:color w:val="231F20"/>
          <w:sz w:val="17"/>
        </w:rPr>
        <w:t>Conclusions</w:t>
      </w:r>
      <w:r>
        <w:rPr>
          <w:i/>
          <w:color w:val="231F20"/>
          <w:spacing w:val="80"/>
          <w:sz w:val="17"/>
        </w:rPr>
        <w:t xml:space="preserve"> </w:t>
      </w:r>
      <w:r>
        <w:rPr>
          <w:i/>
          <w:color w:val="231F20"/>
          <w:sz w:val="17"/>
        </w:rPr>
        <w:t>of the World Conference on Sport and Tourism</w:t>
      </w:r>
      <w:r>
        <w:rPr>
          <w:color w:val="231F20"/>
          <w:sz w:val="17"/>
        </w:rPr>
        <w:t>. Barcelona: International Olympic</w:t>
      </w:r>
      <w:r>
        <w:rPr>
          <w:color w:val="231F20"/>
          <w:spacing w:val="40"/>
          <w:sz w:val="17"/>
        </w:rPr>
        <w:t xml:space="preserve"> </w:t>
      </w:r>
      <w:r>
        <w:rPr>
          <w:color w:val="231F20"/>
          <w:sz w:val="17"/>
        </w:rPr>
        <w:t>Committee and World Tourism O</w:t>
      </w:r>
      <w:r>
        <w:rPr>
          <w:color w:val="231F20"/>
          <w:sz w:val="17"/>
        </w:rPr>
        <w:t>rganization, Lausanne: International Olympic</w:t>
      </w:r>
      <w:r>
        <w:rPr>
          <w:color w:val="231F20"/>
          <w:spacing w:val="40"/>
          <w:sz w:val="17"/>
        </w:rPr>
        <w:t xml:space="preserve"> </w:t>
      </w:r>
      <w:r>
        <w:rPr>
          <w:color w:val="231F20"/>
          <w:spacing w:val="-2"/>
          <w:sz w:val="17"/>
        </w:rPr>
        <w:t>Committee.</w:t>
      </w:r>
    </w:p>
    <w:p w14:paraId="5C5132F4" w14:textId="77777777" w:rsidR="00AE0598" w:rsidRDefault="0069255A">
      <w:pPr>
        <w:spacing w:before="3"/>
        <w:ind w:left="430" w:right="128" w:hanging="320"/>
        <w:jc w:val="both"/>
        <w:rPr>
          <w:sz w:val="17"/>
        </w:rPr>
      </w:pPr>
      <w:r>
        <w:rPr>
          <w:color w:val="231F20"/>
          <w:sz w:val="17"/>
        </w:rPr>
        <w:t xml:space="preserve">IOC (2015) </w:t>
      </w:r>
      <w:r>
        <w:rPr>
          <w:i/>
          <w:color w:val="231F20"/>
          <w:sz w:val="17"/>
        </w:rPr>
        <w:t xml:space="preserve">Olympic Charter </w:t>
      </w:r>
      <w:r>
        <w:rPr>
          <w:color w:val="231F20"/>
          <w:sz w:val="17"/>
        </w:rPr>
        <w:t>(in force from 2 August 2016). Lausanne: International</w:t>
      </w:r>
      <w:r>
        <w:rPr>
          <w:color w:val="231F20"/>
          <w:spacing w:val="40"/>
          <w:sz w:val="17"/>
        </w:rPr>
        <w:t xml:space="preserve"> </w:t>
      </w:r>
      <w:r>
        <w:rPr>
          <w:color w:val="231F20"/>
          <w:sz w:val="17"/>
        </w:rPr>
        <w:t>Olympic Committee.</w:t>
      </w:r>
    </w:p>
    <w:p w14:paraId="321C9DFF" w14:textId="77777777" w:rsidR="00AE0598" w:rsidRDefault="0069255A">
      <w:pPr>
        <w:spacing w:before="1"/>
        <w:ind w:left="430" w:right="127" w:hanging="320"/>
        <w:jc w:val="both"/>
        <w:rPr>
          <w:sz w:val="17"/>
        </w:rPr>
      </w:pPr>
      <w:r>
        <w:rPr>
          <w:color w:val="231F20"/>
          <w:sz w:val="17"/>
        </w:rPr>
        <w:t>Iordache, M.C. and Cebuc, I. (2009) Analysis of the impact of climate change on some</w:t>
      </w:r>
      <w:r>
        <w:rPr>
          <w:color w:val="231F20"/>
          <w:spacing w:val="40"/>
          <w:sz w:val="17"/>
        </w:rPr>
        <w:t xml:space="preserve"> </w:t>
      </w:r>
      <w:r>
        <w:rPr>
          <w:color w:val="231F20"/>
          <w:sz w:val="17"/>
        </w:rPr>
        <w:t>European</w:t>
      </w:r>
      <w:r>
        <w:rPr>
          <w:color w:val="231F20"/>
          <w:spacing w:val="39"/>
          <w:sz w:val="17"/>
        </w:rPr>
        <w:t xml:space="preserve"> </w:t>
      </w:r>
      <w:r>
        <w:rPr>
          <w:color w:val="231F20"/>
          <w:sz w:val="17"/>
        </w:rPr>
        <w:t>countries.</w:t>
      </w:r>
      <w:r>
        <w:rPr>
          <w:color w:val="231F20"/>
          <w:spacing w:val="39"/>
          <w:sz w:val="17"/>
        </w:rPr>
        <w:t xml:space="preserve"> </w:t>
      </w:r>
      <w:r>
        <w:rPr>
          <w:i/>
          <w:color w:val="231F20"/>
          <w:sz w:val="17"/>
        </w:rPr>
        <w:t>Analele</w:t>
      </w:r>
      <w:r>
        <w:rPr>
          <w:i/>
          <w:color w:val="231F20"/>
          <w:spacing w:val="39"/>
          <w:sz w:val="17"/>
        </w:rPr>
        <w:t xml:space="preserve"> </w:t>
      </w:r>
      <w:r>
        <w:rPr>
          <w:i/>
          <w:color w:val="231F20"/>
          <w:sz w:val="17"/>
        </w:rPr>
        <w:t>Stiintifice</w:t>
      </w:r>
      <w:r>
        <w:rPr>
          <w:i/>
          <w:color w:val="231F20"/>
          <w:spacing w:val="39"/>
          <w:sz w:val="17"/>
        </w:rPr>
        <w:t xml:space="preserve"> </w:t>
      </w:r>
      <w:r>
        <w:rPr>
          <w:i/>
          <w:color w:val="231F20"/>
          <w:sz w:val="17"/>
        </w:rPr>
        <w:t>ale</w:t>
      </w:r>
      <w:r>
        <w:rPr>
          <w:i/>
          <w:color w:val="231F20"/>
          <w:spacing w:val="39"/>
          <w:sz w:val="17"/>
        </w:rPr>
        <w:t xml:space="preserve"> </w:t>
      </w:r>
      <w:r>
        <w:rPr>
          <w:i/>
          <w:color w:val="231F20"/>
          <w:sz w:val="17"/>
        </w:rPr>
        <w:t>Universitatii</w:t>
      </w:r>
      <w:r>
        <w:rPr>
          <w:i/>
          <w:color w:val="231F20"/>
          <w:spacing w:val="39"/>
          <w:sz w:val="17"/>
        </w:rPr>
        <w:t xml:space="preserve"> </w:t>
      </w:r>
      <w:r>
        <w:rPr>
          <w:i/>
          <w:color w:val="231F20"/>
          <w:sz w:val="17"/>
        </w:rPr>
        <w:t>‘Alexandru</w:t>
      </w:r>
      <w:r>
        <w:rPr>
          <w:i/>
          <w:color w:val="231F20"/>
          <w:spacing w:val="39"/>
          <w:sz w:val="17"/>
        </w:rPr>
        <w:t xml:space="preserve"> </w:t>
      </w:r>
      <w:r>
        <w:rPr>
          <w:i/>
          <w:color w:val="231F20"/>
          <w:sz w:val="17"/>
        </w:rPr>
        <w:t>Ioan</w:t>
      </w:r>
      <w:r>
        <w:rPr>
          <w:i/>
          <w:color w:val="231F20"/>
          <w:spacing w:val="39"/>
          <w:sz w:val="17"/>
        </w:rPr>
        <w:t xml:space="preserve"> </w:t>
      </w:r>
      <w:r>
        <w:rPr>
          <w:i/>
          <w:color w:val="231F20"/>
          <w:sz w:val="17"/>
        </w:rPr>
        <w:t>Cuza’</w:t>
      </w:r>
      <w:r>
        <w:rPr>
          <w:i/>
          <w:color w:val="231F20"/>
          <w:spacing w:val="39"/>
          <w:sz w:val="17"/>
        </w:rPr>
        <w:t xml:space="preserve"> </w:t>
      </w:r>
      <w:r>
        <w:rPr>
          <w:i/>
          <w:color w:val="231F20"/>
          <w:sz w:val="17"/>
        </w:rPr>
        <w:t>din</w:t>
      </w:r>
      <w:r>
        <w:rPr>
          <w:i/>
          <w:color w:val="231F20"/>
          <w:spacing w:val="40"/>
          <w:sz w:val="17"/>
        </w:rPr>
        <w:t xml:space="preserve"> </w:t>
      </w:r>
      <w:r>
        <w:rPr>
          <w:i/>
          <w:color w:val="231F20"/>
          <w:w w:val="95"/>
          <w:sz w:val="17"/>
        </w:rPr>
        <w:t>Iasi</w:t>
      </w:r>
      <w:r>
        <w:rPr>
          <w:i/>
          <w:color w:val="231F20"/>
          <w:spacing w:val="21"/>
          <w:sz w:val="17"/>
        </w:rPr>
        <w:t xml:space="preserve"> </w:t>
      </w:r>
      <w:r>
        <w:rPr>
          <w:color w:val="231F20"/>
          <w:w w:val="95"/>
          <w:sz w:val="17"/>
        </w:rPr>
        <w:t>56,</w:t>
      </w:r>
      <w:r>
        <w:rPr>
          <w:color w:val="231F20"/>
          <w:spacing w:val="21"/>
          <w:sz w:val="17"/>
        </w:rPr>
        <w:t xml:space="preserve"> </w:t>
      </w:r>
      <w:r>
        <w:rPr>
          <w:color w:val="231F20"/>
          <w:w w:val="95"/>
          <w:sz w:val="17"/>
        </w:rPr>
        <w:t>270–286.</w:t>
      </w:r>
      <w:r>
        <w:rPr>
          <w:color w:val="231F20"/>
          <w:spacing w:val="21"/>
          <w:sz w:val="17"/>
        </w:rPr>
        <w:t xml:space="preserve"> </w:t>
      </w:r>
      <w:r>
        <w:rPr>
          <w:color w:val="231F20"/>
          <w:w w:val="95"/>
          <w:sz w:val="17"/>
        </w:rPr>
        <w:t>See</w:t>
      </w:r>
      <w:r>
        <w:rPr>
          <w:color w:val="231F20"/>
          <w:spacing w:val="21"/>
          <w:sz w:val="17"/>
        </w:rPr>
        <w:t xml:space="preserve"> </w:t>
      </w:r>
      <w:hyperlink r:id="rId54">
        <w:r>
          <w:rPr>
            <w:color w:val="231F20"/>
            <w:spacing w:val="-3"/>
            <w:w w:val="94"/>
            <w:sz w:val="17"/>
          </w:rPr>
          <w:t>h</w:t>
        </w:r>
        <w:r>
          <w:rPr>
            <w:color w:val="231F20"/>
            <w:spacing w:val="1"/>
            <w:w w:val="94"/>
            <w:sz w:val="17"/>
          </w:rPr>
          <w:t>tt</w:t>
        </w:r>
        <w:r>
          <w:rPr>
            <w:color w:val="231F20"/>
            <w:spacing w:val="-4"/>
            <w:w w:val="94"/>
            <w:sz w:val="17"/>
          </w:rPr>
          <w:t>p</w:t>
        </w:r>
        <w:r>
          <w:rPr>
            <w:color w:val="231F20"/>
            <w:spacing w:val="2"/>
            <w:w w:val="101"/>
            <w:sz w:val="17"/>
          </w:rPr>
          <w:t>:</w:t>
        </w:r>
        <w:r>
          <w:rPr>
            <w:color w:val="231F20"/>
            <w:spacing w:val="-6"/>
            <w:w w:val="56"/>
            <w:sz w:val="17"/>
          </w:rPr>
          <w:t>/</w:t>
        </w:r>
        <w:r>
          <w:rPr>
            <w:color w:val="231F20"/>
            <w:spacing w:val="-9"/>
            <w:w w:val="56"/>
            <w:sz w:val="17"/>
          </w:rPr>
          <w:t>/</w:t>
        </w:r>
        <w:r>
          <w:rPr>
            <w:color w:val="231F20"/>
            <w:w w:val="97"/>
            <w:sz w:val="17"/>
          </w:rPr>
          <w:t>a</w:t>
        </w:r>
        <w:r>
          <w:rPr>
            <w:color w:val="231F20"/>
            <w:spacing w:val="-1"/>
            <w:w w:val="94"/>
            <w:sz w:val="17"/>
          </w:rPr>
          <w:t>n</w:t>
        </w:r>
        <w:r>
          <w:rPr>
            <w:color w:val="231F20"/>
            <w:w w:val="97"/>
            <w:sz w:val="17"/>
          </w:rPr>
          <w:t>a</w:t>
        </w:r>
        <w:r>
          <w:rPr>
            <w:color w:val="231F20"/>
            <w:spacing w:val="-3"/>
            <w:w w:val="90"/>
            <w:sz w:val="17"/>
          </w:rPr>
          <w:t>l</w:t>
        </w:r>
        <w:r>
          <w:rPr>
            <w:color w:val="231F20"/>
            <w:w w:val="90"/>
            <w:sz w:val="17"/>
          </w:rPr>
          <w:t>e</w:t>
        </w:r>
        <w:r>
          <w:rPr>
            <w:color w:val="231F20"/>
            <w:spacing w:val="-1"/>
            <w:w w:val="131"/>
            <w:sz w:val="17"/>
          </w:rPr>
          <w:t>.</w:t>
        </w:r>
        <w:r>
          <w:rPr>
            <w:color w:val="231F20"/>
            <w:spacing w:val="-2"/>
            <w:w w:val="105"/>
            <w:sz w:val="17"/>
          </w:rPr>
          <w:t>f</w:t>
        </w:r>
        <w:r>
          <w:rPr>
            <w:color w:val="231F20"/>
            <w:w w:val="86"/>
            <w:sz w:val="17"/>
          </w:rPr>
          <w:t>e</w:t>
        </w:r>
        <w:r>
          <w:rPr>
            <w:color w:val="231F20"/>
            <w:spacing w:val="-1"/>
            <w:w w:val="97"/>
            <w:sz w:val="17"/>
          </w:rPr>
          <w:t>aa</w:t>
        </w:r>
        <w:r>
          <w:rPr>
            <w:color w:val="231F20"/>
            <w:spacing w:val="-4"/>
            <w:w w:val="131"/>
            <w:sz w:val="17"/>
          </w:rPr>
          <w:t>.</w:t>
        </w:r>
        <w:r>
          <w:rPr>
            <w:color w:val="231F20"/>
            <w:spacing w:val="-1"/>
            <w:w w:val="95"/>
            <w:sz w:val="17"/>
          </w:rPr>
          <w:t>u</w:t>
        </w:r>
        <w:r>
          <w:rPr>
            <w:color w:val="231F20"/>
            <w:w w:val="97"/>
            <w:sz w:val="17"/>
          </w:rPr>
          <w:t>a</w:t>
        </w:r>
        <w:r>
          <w:rPr>
            <w:color w:val="231F20"/>
            <w:spacing w:val="-3"/>
            <w:w w:val="96"/>
            <w:sz w:val="17"/>
          </w:rPr>
          <w:t>i</w:t>
        </w:r>
        <w:r>
          <w:rPr>
            <w:color w:val="231F20"/>
            <w:spacing w:val="-1"/>
            <w:w w:val="96"/>
            <w:sz w:val="17"/>
          </w:rPr>
          <w:t>c</w:t>
        </w:r>
        <w:r>
          <w:rPr>
            <w:color w:val="231F20"/>
            <w:spacing w:val="-2"/>
            <w:w w:val="131"/>
            <w:sz w:val="17"/>
          </w:rPr>
          <w:t>.</w:t>
        </w:r>
        <w:r>
          <w:rPr>
            <w:color w:val="231F20"/>
            <w:spacing w:val="-3"/>
            <w:w w:val="89"/>
            <w:sz w:val="17"/>
          </w:rPr>
          <w:t>r</w:t>
        </w:r>
        <w:r>
          <w:rPr>
            <w:color w:val="231F20"/>
            <w:w w:val="99"/>
            <w:sz w:val="17"/>
          </w:rPr>
          <w:t>o</w:t>
        </w:r>
        <w:r>
          <w:rPr>
            <w:color w:val="231F20"/>
            <w:spacing w:val="-9"/>
            <w:w w:val="56"/>
            <w:sz w:val="17"/>
          </w:rPr>
          <w:t>/</w:t>
        </w:r>
        <w:r>
          <w:rPr>
            <w:color w:val="231F20"/>
            <w:w w:val="97"/>
            <w:sz w:val="17"/>
          </w:rPr>
          <w:t>a</w:t>
        </w:r>
        <w:r>
          <w:rPr>
            <w:color w:val="231F20"/>
            <w:spacing w:val="-1"/>
            <w:w w:val="94"/>
            <w:sz w:val="17"/>
          </w:rPr>
          <w:t>n</w:t>
        </w:r>
        <w:r>
          <w:rPr>
            <w:color w:val="231F20"/>
            <w:w w:val="97"/>
            <w:sz w:val="17"/>
          </w:rPr>
          <w:t>a</w:t>
        </w:r>
        <w:r>
          <w:rPr>
            <w:color w:val="231F20"/>
            <w:spacing w:val="-3"/>
            <w:w w:val="98"/>
            <w:sz w:val="17"/>
          </w:rPr>
          <w:t>l</w:t>
        </w:r>
        <w:r>
          <w:rPr>
            <w:color w:val="231F20"/>
            <w:spacing w:val="3"/>
            <w:w w:val="86"/>
            <w:sz w:val="17"/>
          </w:rPr>
          <w:t>e</w:t>
        </w:r>
        <w:r>
          <w:rPr>
            <w:color w:val="231F20"/>
            <w:spacing w:val="-6"/>
            <w:w w:val="56"/>
            <w:sz w:val="17"/>
          </w:rPr>
          <w:t>/</w:t>
        </w:r>
        <w:r>
          <w:rPr>
            <w:color w:val="231F20"/>
            <w:spacing w:val="-3"/>
            <w:w w:val="89"/>
            <w:sz w:val="17"/>
          </w:rPr>
          <w:t>r</w:t>
        </w:r>
        <w:r>
          <w:rPr>
            <w:color w:val="231F20"/>
            <w:w w:val="86"/>
            <w:sz w:val="17"/>
          </w:rPr>
          <w:t>e</w:t>
        </w:r>
        <w:r>
          <w:rPr>
            <w:color w:val="231F20"/>
            <w:spacing w:val="-3"/>
            <w:w w:val="91"/>
            <w:sz w:val="17"/>
          </w:rPr>
          <w:t>s</w:t>
        </w:r>
        <w:r>
          <w:rPr>
            <w:color w:val="231F20"/>
            <w:w w:val="91"/>
            <w:sz w:val="17"/>
          </w:rPr>
          <w:t>u</w:t>
        </w:r>
        <w:r>
          <w:rPr>
            <w:color w:val="231F20"/>
            <w:spacing w:val="-1"/>
            <w:w w:val="89"/>
            <w:sz w:val="17"/>
          </w:rPr>
          <w:t>r</w:t>
        </w:r>
        <w:r>
          <w:rPr>
            <w:color w:val="231F20"/>
            <w:spacing w:val="-1"/>
            <w:w w:val="86"/>
            <w:sz w:val="17"/>
          </w:rPr>
          <w:t>s</w:t>
        </w:r>
        <w:r>
          <w:rPr>
            <w:color w:val="231F20"/>
            <w:spacing w:val="3"/>
            <w:w w:val="86"/>
            <w:sz w:val="17"/>
          </w:rPr>
          <w:t>e</w:t>
        </w:r>
        <w:r>
          <w:rPr>
            <w:color w:val="231F20"/>
            <w:spacing w:val="1"/>
            <w:w w:val="56"/>
            <w:sz w:val="17"/>
          </w:rPr>
          <w:t>/</w:t>
        </w:r>
        <w:r>
          <w:rPr>
            <w:color w:val="231F20"/>
            <w:spacing w:val="5"/>
            <w:w w:val="85"/>
            <w:sz w:val="17"/>
          </w:rPr>
          <w:t>2</w:t>
        </w:r>
        <w:r>
          <w:rPr>
            <w:color w:val="231F20"/>
            <w:spacing w:val="11"/>
            <w:w w:val="85"/>
            <w:sz w:val="17"/>
          </w:rPr>
          <w:t>2</w:t>
        </w:r>
        <w:r>
          <w:rPr>
            <w:color w:val="231F20"/>
            <w:spacing w:val="7"/>
            <w:w w:val="133"/>
            <w:sz w:val="17"/>
          </w:rPr>
          <w:t>_</w:t>
        </w:r>
        <w:r>
          <w:rPr>
            <w:color w:val="231F20"/>
            <w:spacing w:val="1"/>
            <w:w w:val="116"/>
            <w:sz w:val="17"/>
          </w:rPr>
          <w:t>M</w:t>
        </w:r>
        <w:r>
          <w:rPr>
            <w:color w:val="231F20"/>
            <w:w w:val="85"/>
            <w:sz w:val="17"/>
          </w:rPr>
          <w:t>0</w:t>
        </w:r>
        <w:r>
          <w:rPr>
            <w:color w:val="231F20"/>
            <w:spacing w:val="4"/>
            <w:w w:val="85"/>
            <w:sz w:val="17"/>
          </w:rPr>
          <w:t>3</w:t>
        </w:r>
        <w:r>
          <w:rPr>
            <w:color w:val="231F20"/>
            <w:spacing w:val="7"/>
            <w:w w:val="133"/>
            <w:sz w:val="17"/>
          </w:rPr>
          <w:t>_</w:t>
        </w:r>
        <w:r>
          <w:rPr>
            <w:color w:val="231F20"/>
            <w:spacing w:val="-2"/>
            <w:w w:val="98"/>
            <w:sz w:val="17"/>
          </w:rPr>
          <w:t>I</w:t>
        </w:r>
        <w:r>
          <w:rPr>
            <w:color w:val="231F20"/>
            <w:spacing w:val="-3"/>
            <w:w w:val="94"/>
            <w:sz w:val="17"/>
          </w:rPr>
          <w:t>or</w:t>
        </w:r>
        <w:r>
          <w:rPr>
            <w:color w:val="231F20"/>
            <w:spacing w:val="-1"/>
            <w:w w:val="94"/>
            <w:sz w:val="17"/>
          </w:rPr>
          <w:t>d</w:t>
        </w:r>
        <w:r>
          <w:rPr>
            <w:color w:val="231F20"/>
            <w:spacing w:val="-4"/>
            <w:w w:val="97"/>
            <w:sz w:val="17"/>
          </w:rPr>
          <w:t>a</w:t>
        </w:r>
        <w:r>
          <w:rPr>
            <w:color w:val="231F20"/>
            <w:spacing w:val="-2"/>
            <w:w w:val="95"/>
            <w:sz w:val="17"/>
          </w:rPr>
          <w:t>ch</w:t>
        </w:r>
        <w:r>
          <w:rPr>
            <w:color w:val="231F20"/>
            <w:spacing w:val="5"/>
            <w:w w:val="86"/>
            <w:sz w:val="17"/>
          </w:rPr>
          <w:t>e</w:t>
        </w:r>
        <w:r>
          <w:rPr>
            <w:color w:val="231F20"/>
            <w:spacing w:val="5"/>
            <w:w w:val="133"/>
            <w:sz w:val="17"/>
          </w:rPr>
          <w:t>_</w:t>
        </w:r>
        <w:r>
          <w:rPr>
            <w:color w:val="231F20"/>
            <w:spacing w:val="-2"/>
            <w:w w:val="86"/>
            <w:sz w:val="17"/>
          </w:rPr>
          <w:t>s</w:t>
        </w:r>
        <w:r>
          <w:rPr>
            <w:color w:val="231F20"/>
            <w:spacing w:val="-1"/>
            <w:w w:val="97"/>
            <w:sz w:val="17"/>
          </w:rPr>
          <w:t>a</w:t>
        </w:r>
        <w:r>
          <w:rPr>
            <w:color w:val="231F20"/>
            <w:spacing w:val="-3"/>
            <w:w w:val="104"/>
            <w:sz w:val="17"/>
          </w:rPr>
          <w:t>.</w:t>
        </w:r>
        <w:r>
          <w:rPr>
            <w:color w:val="231F20"/>
            <w:spacing w:val="-1"/>
            <w:w w:val="104"/>
            <w:sz w:val="17"/>
          </w:rPr>
          <w:t>p</w:t>
        </w:r>
        <w:r>
          <w:rPr>
            <w:color w:val="231F20"/>
            <w:spacing w:val="1"/>
            <w:w w:val="94"/>
            <w:sz w:val="17"/>
          </w:rPr>
          <w:t>d</w:t>
        </w:r>
        <w:r>
          <w:rPr>
            <w:color w:val="231F20"/>
            <w:spacing w:val="-3"/>
            <w:w w:val="105"/>
            <w:sz w:val="17"/>
          </w:rPr>
          <w:t>f</w:t>
        </w:r>
      </w:hyperlink>
    </w:p>
    <w:p w14:paraId="0EE613EF" w14:textId="77777777" w:rsidR="00AE0598" w:rsidRDefault="0069255A">
      <w:pPr>
        <w:spacing w:before="2"/>
        <w:ind w:left="430"/>
        <w:jc w:val="both"/>
        <w:rPr>
          <w:sz w:val="17"/>
        </w:rPr>
      </w:pPr>
      <w:r>
        <w:rPr>
          <w:color w:val="231F20"/>
          <w:w w:val="95"/>
          <w:sz w:val="17"/>
        </w:rPr>
        <w:t>(accessed</w:t>
      </w:r>
      <w:r>
        <w:rPr>
          <w:color w:val="231F20"/>
          <w:spacing w:val="-1"/>
          <w:sz w:val="17"/>
        </w:rPr>
        <w:t xml:space="preserve"> </w:t>
      </w:r>
      <w:r>
        <w:rPr>
          <w:color w:val="231F20"/>
          <w:w w:val="95"/>
          <w:sz w:val="17"/>
        </w:rPr>
        <w:t>24</w:t>
      </w:r>
      <w:r>
        <w:rPr>
          <w:color w:val="231F20"/>
          <w:sz w:val="17"/>
        </w:rPr>
        <w:t xml:space="preserve"> </w:t>
      </w:r>
      <w:r>
        <w:rPr>
          <w:color w:val="231F20"/>
          <w:w w:val="95"/>
          <w:sz w:val="17"/>
        </w:rPr>
        <w:t>April</w:t>
      </w:r>
      <w:r>
        <w:rPr>
          <w:color w:val="231F20"/>
          <w:sz w:val="17"/>
        </w:rPr>
        <w:t xml:space="preserve"> </w:t>
      </w:r>
      <w:r>
        <w:rPr>
          <w:color w:val="231F20"/>
          <w:spacing w:val="-2"/>
          <w:w w:val="95"/>
          <w:sz w:val="17"/>
        </w:rPr>
        <w:t>2010).</w:t>
      </w:r>
    </w:p>
    <w:p w14:paraId="2B977890" w14:textId="77777777" w:rsidR="00AE0598" w:rsidRDefault="00AE0598">
      <w:pPr>
        <w:jc w:val="both"/>
        <w:rPr>
          <w:sz w:val="17"/>
        </w:rPr>
        <w:sectPr w:rsidR="00AE0598">
          <w:pgSz w:w="8850" w:h="13270"/>
          <w:pgMar w:top="720" w:right="1060" w:bottom="280" w:left="1080" w:header="720" w:footer="720" w:gutter="0"/>
          <w:cols w:space="720"/>
        </w:sectPr>
      </w:pPr>
    </w:p>
    <w:p w14:paraId="6CF903C0" w14:textId="77777777" w:rsidR="00AE0598" w:rsidRDefault="0069255A">
      <w:pPr>
        <w:spacing w:before="87"/>
        <w:ind w:left="110" w:right="128"/>
        <w:jc w:val="right"/>
        <w:rPr>
          <w:rFonts w:ascii="Trebuchet MS"/>
          <w:sz w:val="14"/>
        </w:rPr>
      </w:pPr>
      <w:r>
        <w:rPr>
          <w:rFonts w:ascii="Trebuchet MS"/>
          <w:color w:val="231F20"/>
          <w:w w:val="105"/>
          <w:sz w:val="14"/>
        </w:rPr>
        <w:lastRenderedPageBreak/>
        <w:t>References</w:t>
      </w:r>
      <w:r>
        <w:rPr>
          <w:rFonts w:ascii="Trebuchet MS"/>
          <w:color w:val="231F20"/>
          <w:spacing w:val="67"/>
          <w:w w:val="105"/>
          <w:sz w:val="14"/>
        </w:rPr>
        <w:t xml:space="preserve"> </w:t>
      </w:r>
      <w:r>
        <w:rPr>
          <w:rFonts w:ascii="Trebuchet MS"/>
          <w:color w:val="231F20"/>
          <w:spacing w:val="-5"/>
          <w:w w:val="105"/>
          <w:sz w:val="14"/>
        </w:rPr>
        <w:t>257</w:t>
      </w:r>
    </w:p>
    <w:p w14:paraId="2811DBFB" w14:textId="77777777" w:rsidR="00AE0598" w:rsidRDefault="00AE0598">
      <w:pPr>
        <w:pStyle w:val="Corpodetexto"/>
        <w:rPr>
          <w:rFonts w:ascii="Trebuchet MS"/>
          <w:sz w:val="16"/>
        </w:rPr>
      </w:pPr>
    </w:p>
    <w:p w14:paraId="5030F025" w14:textId="77777777" w:rsidR="00AE0598" w:rsidRDefault="0069255A">
      <w:pPr>
        <w:spacing w:before="121"/>
        <w:ind w:left="430" w:right="128" w:hanging="320"/>
        <w:jc w:val="both"/>
        <w:rPr>
          <w:sz w:val="17"/>
        </w:rPr>
      </w:pPr>
      <w:r>
        <w:rPr>
          <w:color w:val="231F20"/>
          <w:sz w:val="17"/>
        </w:rPr>
        <w:t>Irwin, R. and Sandler, M. (1998) An analysis of travel behaviour and event induced</w:t>
      </w:r>
      <w:r>
        <w:rPr>
          <w:color w:val="231F20"/>
          <w:spacing w:val="40"/>
          <w:sz w:val="17"/>
        </w:rPr>
        <w:t xml:space="preserve"> </w:t>
      </w:r>
      <w:r>
        <w:rPr>
          <w:color w:val="231F20"/>
          <w:sz w:val="17"/>
        </w:rPr>
        <w:t xml:space="preserve">expenditures among American collegiate championship patron groups. </w:t>
      </w:r>
      <w:r>
        <w:rPr>
          <w:i/>
          <w:color w:val="231F20"/>
          <w:sz w:val="17"/>
        </w:rPr>
        <w:t>Journal of</w:t>
      </w:r>
      <w:r>
        <w:rPr>
          <w:i/>
          <w:color w:val="231F20"/>
          <w:spacing w:val="40"/>
          <w:sz w:val="17"/>
        </w:rPr>
        <w:t xml:space="preserve"> </w:t>
      </w:r>
      <w:r>
        <w:rPr>
          <w:i/>
          <w:color w:val="231F20"/>
          <w:sz w:val="17"/>
        </w:rPr>
        <w:t xml:space="preserve">Vacation Marketing </w:t>
      </w:r>
      <w:r>
        <w:rPr>
          <w:color w:val="231F20"/>
          <w:sz w:val="17"/>
        </w:rPr>
        <w:t>4 (1), 78–90.</w:t>
      </w:r>
    </w:p>
    <w:p w14:paraId="00798B9E" w14:textId="77777777" w:rsidR="00AE0598" w:rsidRDefault="0069255A">
      <w:pPr>
        <w:spacing w:before="2"/>
        <w:ind w:left="430" w:right="128" w:hanging="320"/>
        <w:jc w:val="both"/>
        <w:rPr>
          <w:sz w:val="17"/>
        </w:rPr>
      </w:pPr>
      <w:r>
        <w:rPr>
          <w:color w:val="231F20"/>
          <w:sz w:val="17"/>
        </w:rPr>
        <w:t>Iso-Ahola, S.E. (1982) Towards a social psychological theory for tourism motivation: A</w:t>
      </w:r>
      <w:r>
        <w:rPr>
          <w:color w:val="231F20"/>
          <w:spacing w:val="40"/>
          <w:sz w:val="17"/>
        </w:rPr>
        <w:t xml:space="preserve"> </w:t>
      </w:r>
      <w:r>
        <w:rPr>
          <w:color w:val="231F20"/>
          <w:sz w:val="17"/>
        </w:rPr>
        <w:t xml:space="preserve">rejoinder. </w:t>
      </w:r>
      <w:r>
        <w:rPr>
          <w:i/>
          <w:color w:val="231F20"/>
          <w:sz w:val="17"/>
        </w:rPr>
        <w:t xml:space="preserve">Annals of Tourism Research </w:t>
      </w:r>
      <w:r>
        <w:rPr>
          <w:color w:val="231F20"/>
          <w:sz w:val="17"/>
        </w:rPr>
        <w:t>12, 256–262.</w:t>
      </w:r>
    </w:p>
    <w:p w14:paraId="51EDED83" w14:textId="77777777" w:rsidR="00AE0598" w:rsidRDefault="0069255A">
      <w:pPr>
        <w:spacing w:before="1"/>
        <w:ind w:left="430" w:right="127" w:hanging="320"/>
        <w:jc w:val="both"/>
        <w:rPr>
          <w:sz w:val="17"/>
        </w:rPr>
      </w:pPr>
      <w:r>
        <w:rPr>
          <w:color w:val="231F20"/>
          <w:sz w:val="17"/>
        </w:rPr>
        <w:t>Iso-Ahola,</w:t>
      </w:r>
      <w:r>
        <w:rPr>
          <w:color w:val="231F20"/>
          <w:spacing w:val="40"/>
          <w:sz w:val="17"/>
        </w:rPr>
        <w:t xml:space="preserve"> </w:t>
      </w:r>
      <w:r>
        <w:rPr>
          <w:color w:val="231F20"/>
          <w:sz w:val="17"/>
        </w:rPr>
        <w:t>S.E.</w:t>
      </w:r>
      <w:r>
        <w:rPr>
          <w:color w:val="231F20"/>
          <w:spacing w:val="40"/>
          <w:sz w:val="17"/>
        </w:rPr>
        <w:t xml:space="preserve"> </w:t>
      </w:r>
      <w:r>
        <w:rPr>
          <w:color w:val="231F20"/>
          <w:sz w:val="17"/>
        </w:rPr>
        <w:t>and</w:t>
      </w:r>
      <w:r>
        <w:rPr>
          <w:color w:val="231F20"/>
          <w:spacing w:val="40"/>
          <w:sz w:val="17"/>
        </w:rPr>
        <w:t xml:space="preserve"> </w:t>
      </w:r>
      <w:r>
        <w:rPr>
          <w:color w:val="231F20"/>
          <w:sz w:val="17"/>
        </w:rPr>
        <w:t>Allen,</w:t>
      </w:r>
      <w:r>
        <w:rPr>
          <w:color w:val="231F20"/>
          <w:spacing w:val="40"/>
          <w:w w:val="105"/>
          <w:sz w:val="17"/>
        </w:rPr>
        <w:t xml:space="preserve"> </w:t>
      </w:r>
      <w:r>
        <w:rPr>
          <w:color w:val="231F20"/>
          <w:w w:val="105"/>
          <w:sz w:val="17"/>
        </w:rPr>
        <w:t>J.</w:t>
      </w:r>
      <w:r>
        <w:rPr>
          <w:color w:val="231F20"/>
          <w:spacing w:val="40"/>
          <w:w w:val="105"/>
          <w:sz w:val="17"/>
        </w:rPr>
        <w:t xml:space="preserve"> </w:t>
      </w:r>
      <w:r>
        <w:rPr>
          <w:color w:val="231F20"/>
          <w:sz w:val="17"/>
        </w:rPr>
        <w:t>(1982)</w:t>
      </w:r>
      <w:r>
        <w:rPr>
          <w:color w:val="231F20"/>
          <w:spacing w:val="40"/>
          <w:sz w:val="17"/>
        </w:rPr>
        <w:t xml:space="preserve"> </w:t>
      </w:r>
      <w:r>
        <w:rPr>
          <w:color w:val="231F20"/>
          <w:sz w:val="17"/>
        </w:rPr>
        <w:t>The</w:t>
      </w:r>
      <w:r>
        <w:rPr>
          <w:color w:val="231F20"/>
          <w:spacing w:val="40"/>
          <w:sz w:val="17"/>
        </w:rPr>
        <w:t xml:space="preserve"> </w:t>
      </w:r>
      <w:r>
        <w:rPr>
          <w:color w:val="231F20"/>
          <w:sz w:val="17"/>
        </w:rPr>
        <w:t>dynamics</w:t>
      </w:r>
      <w:r>
        <w:rPr>
          <w:color w:val="231F20"/>
          <w:spacing w:val="40"/>
          <w:sz w:val="17"/>
        </w:rPr>
        <w:t xml:space="preserve"> </w:t>
      </w:r>
      <w:r>
        <w:rPr>
          <w:color w:val="231F20"/>
          <w:sz w:val="17"/>
        </w:rPr>
        <w:t>of</w:t>
      </w:r>
      <w:r>
        <w:rPr>
          <w:color w:val="231F20"/>
          <w:spacing w:val="40"/>
          <w:sz w:val="17"/>
        </w:rPr>
        <w:t xml:space="preserve"> </w:t>
      </w:r>
      <w:r>
        <w:rPr>
          <w:color w:val="231F20"/>
          <w:sz w:val="17"/>
        </w:rPr>
        <w:t>leisure</w:t>
      </w:r>
      <w:r>
        <w:rPr>
          <w:color w:val="231F20"/>
          <w:spacing w:val="40"/>
          <w:sz w:val="17"/>
        </w:rPr>
        <w:t xml:space="preserve"> </w:t>
      </w:r>
      <w:r>
        <w:rPr>
          <w:color w:val="231F20"/>
          <w:sz w:val="17"/>
        </w:rPr>
        <w:t>motivation:</w:t>
      </w:r>
      <w:r>
        <w:rPr>
          <w:color w:val="231F20"/>
          <w:spacing w:val="40"/>
          <w:sz w:val="17"/>
        </w:rPr>
        <w:t xml:space="preserve"> </w:t>
      </w:r>
      <w:r>
        <w:rPr>
          <w:color w:val="231F20"/>
          <w:sz w:val="17"/>
        </w:rPr>
        <w:t>The</w:t>
      </w:r>
      <w:r>
        <w:rPr>
          <w:color w:val="231F20"/>
          <w:spacing w:val="40"/>
          <w:sz w:val="17"/>
        </w:rPr>
        <w:t xml:space="preserve"> </w:t>
      </w:r>
      <w:r>
        <w:rPr>
          <w:color w:val="231F20"/>
          <w:sz w:val="17"/>
        </w:rPr>
        <w:t>effects</w:t>
      </w:r>
      <w:r>
        <w:rPr>
          <w:color w:val="231F20"/>
          <w:spacing w:val="40"/>
          <w:sz w:val="17"/>
        </w:rPr>
        <w:t xml:space="preserve"> </w:t>
      </w:r>
      <w:r>
        <w:rPr>
          <w:color w:val="231F20"/>
          <w:sz w:val="17"/>
        </w:rPr>
        <w:t xml:space="preserve">of outcome on leisure needs. </w:t>
      </w:r>
      <w:r>
        <w:rPr>
          <w:i/>
          <w:color w:val="231F20"/>
          <w:sz w:val="17"/>
        </w:rPr>
        <w:t>Rese</w:t>
      </w:r>
      <w:r>
        <w:rPr>
          <w:i/>
          <w:color w:val="231F20"/>
          <w:sz w:val="17"/>
        </w:rPr>
        <w:t xml:space="preserve">arch Quarterly for Exercise and Sport </w:t>
      </w:r>
      <w:r>
        <w:rPr>
          <w:color w:val="231F20"/>
          <w:sz w:val="17"/>
        </w:rPr>
        <w:t>53 (2),</w:t>
      </w:r>
      <w:r>
        <w:rPr>
          <w:color w:val="231F20"/>
          <w:spacing w:val="40"/>
          <w:sz w:val="17"/>
        </w:rPr>
        <w:t xml:space="preserve"> </w:t>
      </w:r>
      <w:r>
        <w:rPr>
          <w:color w:val="231F20"/>
          <w:spacing w:val="-2"/>
          <w:sz w:val="17"/>
        </w:rPr>
        <w:t>141–149.</w:t>
      </w:r>
    </w:p>
    <w:p w14:paraId="2FBD8E83" w14:textId="77777777" w:rsidR="00AE0598" w:rsidRDefault="0069255A">
      <w:pPr>
        <w:spacing w:before="2"/>
        <w:ind w:left="110"/>
        <w:jc w:val="both"/>
        <w:rPr>
          <w:sz w:val="17"/>
        </w:rPr>
      </w:pPr>
      <w:r>
        <w:rPr>
          <w:color w:val="231F20"/>
          <w:sz w:val="17"/>
        </w:rPr>
        <w:t>Jackson,</w:t>
      </w:r>
      <w:r>
        <w:rPr>
          <w:color w:val="231F20"/>
          <w:spacing w:val="9"/>
          <w:sz w:val="17"/>
        </w:rPr>
        <w:t xml:space="preserve"> </w:t>
      </w:r>
      <w:r>
        <w:rPr>
          <w:color w:val="231F20"/>
          <w:sz w:val="17"/>
        </w:rPr>
        <w:t>E.L.</w:t>
      </w:r>
      <w:r>
        <w:rPr>
          <w:color w:val="231F20"/>
          <w:spacing w:val="10"/>
          <w:sz w:val="17"/>
        </w:rPr>
        <w:t xml:space="preserve"> </w:t>
      </w:r>
      <w:r>
        <w:rPr>
          <w:color w:val="231F20"/>
          <w:sz w:val="17"/>
        </w:rPr>
        <w:t>(1989)</w:t>
      </w:r>
      <w:r>
        <w:rPr>
          <w:color w:val="231F20"/>
          <w:spacing w:val="10"/>
          <w:sz w:val="17"/>
        </w:rPr>
        <w:t xml:space="preserve"> </w:t>
      </w:r>
      <w:r>
        <w:rPr>
          <w:color w:val="231F20"/>
          <w:sz w:val="17"/>
        </w:rPr>
        <w:t>Environmental</w:t>
      </w:r>
      <w:r>
        <w:rPr>
          <w:color w:val="231F20"/>
          <w:spacing w:val="10"/>
          <w:sz w:val="17"/>
        </w:rPr>
        <w:t xml:space="preserve"> </w:t>
      </w:r>
      <w:r>
        <w:rPr>
          <w:color w:val="231F20"/>
          <w:sz w:val="17"/>
        </w:rPr>
        <w:t>attitudes,</w:t>
      </w:r>
      <w:r>
        <w:rPr>
          <w:color w:val="231F20"/>
          <w:spacing w:val="10"/>
          <w:sz w:val="17"/>
        </w:rPr>
        <w:t xml:space="preserve"> </w:t>
      </w:r>
      <w:r>
        <w:rPr>
          <w:color w:val="231F20"/>
          <w:sz w:val="17"/>
        </w:rPr>
        <w:t>values</w:t>
      </w:r>
      <w:r>
        <w:rPr>
          <w:color w:val="231F20"/>
          <w:spacing w:val="10"/>
          <w:sz w:val="17"/>
        </w:rPr>
        <w:t xml:space="preserve"> </w:t>
      </w:r>
      <w:r>
        <w:rPr>
          <w:color w:val="231F20"/>
          <w:sz w:val="17"/>
        </w:rPr>
        <w:t>and</w:t>
      </w:r>
      <w:r>
        <w:rPr>
          <w:color w:val="231F20"/>
          <w:spacing w:val="10"/>
          <w:sz w:val="17"/>
        </w:rPr>
        <w:t xml:space="preserve"> </w:t>
      </w:r>
      <w:r>
        <w:rPr>
          <w:color w:val="231F20"/>
          <w:sz w:val="17"/>
        </w:rPr>
        <w:t>recreation.</w:t>
      </w:r>
      <w:r>
        <w:rPr>
          <w:color w:val="231F20"/>
          <w:spacing w:val="10"/>
          <w:sz w:val="17"/>
        </w:rPr>
        <w:t xml:space="preserve"> </w:t>
      </w:r>
      <w:r>
        <w:rPr>
          <w:color w:val="231F20"/>
          <w:sz w:val="17"/>
        </w:rPr>
        <w:t>In</w:t>
      </w:r>
      <w:r>
        <w:rPr>
          <w:color w:val="231F20"/>
          <w:spacing w:val="10"/>
          <w:sz w:val="17"/>
        </w:rPr>
        <w:t xml:space="preserve"> </w:t>
      </w:r>
      <w:r>
        <w:rPr>
          <w:color w:val="231F20"/>
          <w:sz w:val="17"/>
        </w:rPr>
        <w:t>E.L.</w:t>
      </w:r>
      <w:r>
        <w:rPr>
          <w:color w:val="231F20"/>
          <w:spacing w:val="10"/>
          <w:sz w:val="17"/>
        </w:rPr>
        <w:t xml:space="preserve"> </w:t>
      </w:r>
      <w:r>
        <w:rPr>
          <w:color w:val="231F20"/>
          <w:sz w:val="17"/>
        </w:rPr>
        <w:t>Jackson</w:t>
      </w:r>
      <w:r>
        <w:rPr>
          <w:color w:val="231F20"/>
          <w:spacing w:val="10"/>
          <w:sz w:val="17"/>
        </w:rPr>
        <w:t xml:space="preserve"> </w:t>
      </w:r>
      <w:r>
        <w:rPr>
          <w:color w:val="231F20"/>
          <w:spacing w:val="-5"/>
          <w:sz w:val="17"/>
        </w:rPr>
        <w:t>and</w:t>
      </w:r>
    </w:p>
    <w:p w14:paraId="16110751" w14:textId="77777777" w:rsidR="00AE0598" w:rsidRDefault="0069255A">
      <w:pPr>
        <w:spacing w:before="1"/>
        <w:ind w:left="430" w:right="129"/>
        <w:jc w:val="both"/>
        <w:rPr>
          <w:sz w:val="17"/>
        </w:rPr>
      </w:pPr>
      <w:r>
        <w:rPr>
          <w:color w:val="231F20"/>
          <w:sz w:val="17"/>
        </w:rPr>
        <w:t xml:space="preserve">T.L. Burton (eds) </w:t>
      </w:r>
      <w:r>
        <w:rPr>
          <w:i/>
          <w:color w:val="231F20"/>
          <w:sz w:val="17"/>
        </w:rPr>
        <w:t>Understanding Leisure and Recreation: Mapping the Past, Charting</w:t>
      </w:r>
      <w:r>
        <w:rPr>
          <w:i/>
          <w:color w:val="231F20"/>
          <w:spacing w:val="40"/>
          <w:sz w:val="17"/>
        </w:rPr>
        <w:t xml:space="preserve"> </w:t>
      </w:r>
      <w:r>
        <w:rPr>
          <w:i/>
          <w:color w:val="231F20"/>
          <w:sz w:val="17"/>
        </w:rPr>
        <w:t xml:space="preserve">the Future </w:t>
      </w:r>
      <w:r>
        <w:rPr>
          <w:color w:val="231F20"/>
          <w:sz w:val="17"/>
        </w:rPr>
        <w:t>(pp. 357–384). State College, PA: Venture Publishing.</w:t>
      </w:r>
    </w:p>
    <w:p w14:paraId="26526C18" w14:textId="77777777" w:rsidR="00AE0598" w:rsidRDefault="0069255A">
      <w:pPr>
        <w:spacing w:before="2"/>
        <w:ind w:left="430" w:right="128" w:hanging="320"/>
        <w:jc w:val="both"/>
        <w:rPr>
          <w:sz w:val="17"/>
        </w:rPr>
      </w:pPr>
      <w:r>
        <w:rPr>
          <w:color w:val="231F20"/>
          <w:sz w:val="17"/>
        </w:rPr>
        <w:t>Jackson,</w:t>
      </w:r>
      <w:r>
        <w:rPr>
          <w:color w:val="231F20"/>
          <w:spacing w:val="19"/>
          <w:sz w:val="17"/>
        </w:rPr>
        <w:t xml:space="preserve"> </w:t>
      </w:r>
      <w:r>
        <w:rPr>
          <w:color w:val="231F20"/>
          <w:sz w:val="17"/>
        </w:rPr>
        <w:t>E.L.</w:t>
      </w:r>
      <w:r>
        <w:rPr>
          <w:color w:val="231F20"/>
          <w:spacing w:val="19"/>
          <w:sz w:val="17"/>
        </w:rPr>
        <w:t xml:space="preserve"> </w:t>
      </w:r>
      <w:r>
        <w:rPr>
          <w:color w:val="231F20"/>
          <w:sz w:val="17"/>
        </w:rPr>
        <w:t>(1999)</w:t>
      </w:r>
      <w:r>
        <w:rPr>
          <w:color w:val="231F20"/>
          <w:spacing w:val="19"/>
          <w:sz w:val="17"/>
        </w:rPr>
        <w:t xml:space="preserve"> </w:t>
      </w:r>
      <w:r>
        <w:rPr>
          <w:color w:val="231F20"/>
          <w:sz w:val="17"/>
        </w:rPr>
        <w:t>Leisure</w:t>
      </w:r>
      <w:r>
        <w:rPr>
          <w:color w:val="231F20"/>
          <w:spacing w:val="19"/>
          <w:sz w:val="17"/>
        </w:rPr>
        <w:t xml:space="preserve"> </w:t>
      </w:r>
      <w:r>
        <w:rPr>
          <w:color w:val="231F20"/>
          <w:sz w:val="17"/>
        </w:rPr>
        <w:t>and</w:t>
      </w:r>
      <w:r>
        <w:rPr>
          <w:color w:val="231F20"/>
          <w:spacing w:val="19"/>
          <w:sz w:val="17"/>
        </w:rPr>
        <w:t xml:space="preserve"> </w:t>
      </w:r>
      <w:r>
        <w:rPr>
          <w:color w:val="231F20"/>
          <w:sz w:val="17"/>
        </w:rPr>
        <w:t>the</w:t>
      </w:r>
      <w:r>
        <w:rPr>
          <w:color w:val="231F20"/>
          <w:spacing w:val="19"/>
          <w:sz w:val="17"/>
        </w:rPr>
        <w:t xml:space="preserve"> </w:t>
      </w:r>
      <w:r>
        <w:rPr>
          <w:color w:val="231F20"/>
          <w:sz w:val="17"/>
        </w:rPr>
        <w:t>Internet.</w:t>
      </w:r>
      <w:r>
        <w:rPr>
          <w:color w:val="231F20"/>
          <w:spacing w:val="19"/>
          <w:sz w:val="17"/>
        </w:rPr>
        <w:t xml:space="preserve"> </w:t>
      </w:r>
      <w:r>
        <w:rPr>
          <w:i/>
          <w:color w:val="231F20"/>
          <w:sz w:val="17"/>
        </w:rPr>
        <w:t>Journal</w:t>
      </w:r>
      <w:r>
        <w:rPr>
          <w:i/>
          <w:color w:val="231F20"/>
          <w:spacing w:val="19"/>
          <w:sz w:val="17"/>
        </w:rPr>
        <w:t xml:space="preserve"> </w:t>
      </w:r>
      <w:r>
        <w:rPr>
          <w:i/>
          <w:color w:val="231F20"/>
          <w:sz w:val="17"/>
        </w:rPr>
        <w:t>of</w:t>
      </w:r>
      <w:r>
        <w:rPr>
          <w:i/>
          <w:color w:val="231F20"/>
          <w:spacing w:val="19"/>
          <w:sz w:val="17"/>
        </w:rPr>
        <w:t xml:space="preserve"> </w:t>
      </w:r>
      <w:r>
        <w:rPr>
          <w:i/>
          <w:color w:val="231F20"/>
          <w:sz w:val="17"/>
        </w:rPr>
        <w:t>Physical</w:t>
      </w:r>
      <w:r>
        <w:rPr>
          <w:i/>
          <w:color w:val="231F20"/>
          <w:spacing w:val="19"/>
          <w:sz w:val="17"/>
        </w:rPr>
        <w:t xml:space="preserve"> </w:t>
      </w:r>
      <w:r>
        <w:rPr>
          <w:i/>
          <w:color w:val="231F20"/>
          <w:sz w:val="17"/>
        </w:rPr>
        <w:t>Education,</w:t>
      </w:r>
      <w:r>
        <w:rPr>
          <w:i/>
          <w:color w:val="231F20"/>
          <w:spacing w:val="19"/>
          <w:sz w:val="17"/>
        </w:rPr>
        <w:t xml:space="preserve"> </w:t>
      </w:r>
      <w:r>
        <w:rPr>
          <w:i/>
          <w:color w:val="231F20"/>
          <w:sz w:val="17"/>
        </w:rPr>
        <w:t>Recreation</w:t>
      </w:r>
      <w:r>
        <w:rPr>
          <w:i/>
          <w:color w:val="231F20"/>
          <w:w w:val="110"/>
          <w:sz w:val="17"/>
        </w:rPr>
        <w:t xml:space="preserve"> &amp; </w:t>
      </w:r>
      <w:r>
        <w:rPr>
          <w:i/>
          <w:color w:val="231F20"/>
          <w:sz w:val="17"/>
        </w:rPr>
        <w:t xml:space="preserve">Dance </w:t>
      </w:r>
      <w:r>
        <w:rPr>
          <w:color w:val="231F20"/>
          <w:sz w:val="17"/>
        </w:rPr>
        <w:t>70 (9), 18–22.</w:t>
      </w:r>
    </w:p>
    <w:p w14:paraId="43099B00" w14:textId="77777777" w:rsidR="00AE0598" w:rsidRDefault="0069255A">
      <w:pPr>
        <w:spacing w:before="1"/>
        <w:ind w:left="110"/>
        <w:jc w:val="both"/>
        <w:rPr>
          <w:sz w:val="17"/>
        </w:rPr>
      </w:pPr>
      <w:r>
        <w:rPr>
          <w:color w:val="231F20"/>
          <w:sz w:val="17"/>
        </w:rPr>
        <w:t>Jackson,</w:t>
      </w:r>
      <w:r>
        <w:rPr>
          <w:color w:val="231F20"/>
          <w:spacing w:val="20"/>
          <w:sz w:val="17"/>
        </w:rPr>
        <w:t xml:space="preserve"> </w:t>
      </w:r>
      <w:r>
        <w:rPr>
          <w:color w:val="231F20"/>
          <w:sz w:val="17"/>
        </w:rPr>
        <w:t>E.L.,</w:t>
      </w:r>
      <w:r>
        <w:rPr>
          <w:color w:val="231F20"/>
          <w:spacing w:val="20"/>
          <w:sz w:val="17"/>
        </w:rPr>
        <w:t xml:space="preserve"> </w:t>
      </w:r>
      <w:r>
        <w:rPr>
          <w:color w:val="231F20"/>
          <w:sz w:val="17"/>
        </w:rPr>
        <w:t>Crawford,</w:t>
      </w:r>
      <w:r>
        <w:rPr>
          <w:color w:val="231F20"/>
          <w:spacing w:val="20"/>
          <w:sz w:val="17"/>
        </w:rPr>
        <w:t xml:space="preserve"> </w:t>
      </w:r>
      <w:r>
        <w:rPr>
          <w:color w:val="231F20"/>
          <w:sz w:val="17"/>
        </w:rPr>
        <w:t>D.W.</w:t>
      </w:r>
      <w:r>
        <w:rPr>
          <w:color w:val="231F20"/>
          <w:spacing w:val="20"/>
          <w:sz w:val="17"/>
        </w:rPr>
        <w:t xml:space="preserve"> </w:t>
      </w:r>
      <w:r>
        <w:rPr>
          <w:color w:val="231F20"/>
          <w:sz w:val="17"/>
        </w:rPr>
        <w:t>and</w:t>
      </w:r>
      <w:r>
        <w:rPr>
          <w:color w:val="231F20"/>
          <w:spacing w:val="20"/>
          <w:sz w:val="17"/>
        </w:rPr>
        <w:t xml:space="preserve"> </w:t>
      </w:r>
      <w:r>
        <w:rPr>
          <w:color w:val="231F20"/>
          <w:sz w:val="17"/>
        </w:rPr>
        <w:t>Godbey,</w:t>
      </w:r>
      <w:r>
        <w:rPr>
          <w:color w:val="231F20"/>
          <w:spacing w:val="20"/>
          <w:sz w:val="17"/>
        </w:rPr>
        <w:t xml:space="preserve"> </w:t>
      </w:r>
      <w:r>
        <w:rPr>
          <w:color w:val="231F20"/>
          <w:sz w:val="17"/>
        </w:rPr>
        <w:t>G.</w:t>
      </w:r>
      <w:r>
        <w:rPr>
          <w:color w:val="231F20"/>
          <w:spacing w:val="20"/>
          <w:sz w:val="17"/>
        </w:rPr>
        <w:t xml:space="preserve"> </w:t>
      </w:r>
      <w:r>
        <w:rPr>
          <w:color w:val="231F20"/>
          <w:sz w:val="17"/>
        </w:rPr>
        <w:t>(1993)</w:t>
      </w:r>
      <w:r>
        <w:rPr>
          <w:color w:val="231F20"/>
          <w:spacing w:val="20"/>
          <w:sz w:val="17"/>
        </w:rPr>
        <w:t xml:space="preserve"> </w:t>
      </w:r>
      <w:r>
        <w:rPr>
          <w:color w:val="231F20"/>
          <w:sz w:val="17"/>
        </w:rPr>
        <w:t>Negotiation</w:t>
      </w:r>
      <w:r>
        <w:rPr>
          <w:color w:val="231F20"/>
          <w:spacing w:val="20"/>
          <w:sz w:val="17"/>
        </w:rPr>
        <w:t xml:space="preserve"> </w:t>
      </w:r>
      <w:r>
        <w:rPr>
          <w:color w:val="231F20"/>
          <w:sz w:val="17"/>
        </w:rPr>
        <w:t>of</w:t>
      </w:r>
      <w:r>
        <w:rPr>
          <w:color w:val="231F20"/>
          <w:spacing w:val="20"/>
          <w:sz w:val="17"/>
        </w:rPr>
        <w:t xml:space="preserve"> </w:t>
      </w:r>
      <w:r>
        <w:rPr>
          <w:color w:val="231F20"/>
          <w:sz w:val="17"/>
        </w:rPr>
        <w:t>leisure</w:t>
      </w:r>
      <w:r>
        <w:rPr>
          <w:color w:val="231F20"/>
          <w:spacing w:val="20"/>
          <w:sz w:val="17"/>
        </w:rPr>
        <w:t xml:space="preserve"> </w:t>
      </w:r>
      <w:r>
        <w:rPr>
          <w:color w:val="231F20"/>
          <w:spacing w:val="-2"/>
          <w:sz w:val="17"/>
        </w:rPr>
        <w:t>constraints.</w:t>
      </w:r>
    </w:p>
    <w:p w14:paraId="628C3760" w14:textId="77777777" w:rsidR="00AE0598" w:rsidRDefault="0069255A">
      <w:pPr>
        <w:spacing w:before="1"/>
        <w:ind w:left="430"/>
        <w:jc w:val="both"/>
        <w:rPr>
          <w:sz w:val="17"/>
        </w:rPr>
      </w:pPr>
      <w:r>
        <w:rPr>
          <w:i/>
          <w:color w:val="231F20"/>
          <w:w w:val="95"/>
          <w:sz w:val="17"/>
        </w:rPr>
        <w:t>Leisure</w:t>
      </w:r>
      <w:r>
        <w:rPr>
          <w:i/>
          <w:color w:val="231F20"/>
          <w:spacing w:val="12"/>
          <w:sz w:val="17"/>
        </w:rPr>
        <w:t xml:space="preserve"> </w:t>
      </w:r>
      <w:r>
        <w:rPr>
          <w:i/>
          <w:color w:val="231F20"/>
          <w:w w:val="95"/>
          <w:sz w:val="17"/>
        </w:rPr>
        <w:t>Sciences</w:t>
      </w:r>
      <w:r>
        <w:rPr>
          <w:i/>
          <w:color w:val="231F20"/>
          <w:spacing w:val="12"/>
          <w:sz w:val="17"/>
        </w:rPr>
        <w:t xml:space="preserve"> </w:t>
      </w:r>
      <w:r>
        <w:rPr>
          <w:color w:val="231F20"/>
          <w:w w:val="95"/>
          <w:sz w:val="17"/>
        </w:rPr>
        <w:t>15</w:t>
      </w:r>
      <w:r>
        <w:rPr>
          <w:color w:val="231F20"/>
          <w:spacing w:val="12"/>
          <w:sz w:val="17"/>
        </w:rPr>
        <w:t xml:space="preserve"> </w:t>
      </w:r>
      <w:r>
        <w:rPr>
          <w:color w:val="231F20"/>
          <w:w w:val="95"/>
          <w:sz w:val="17"/>
        </w:rPr>
        <w:t>(1),</w:t>
      </w:r>
      <w:r>
        <w:rPr>
          <w:color w:val="231F20"/>
          <w:spacing w:val="12"/>
          <w:sz w:val="17"/>
        </w:rPr>
        <w:t xml:space="preserve"> </w:t>
      </w:r>
      <w:r>
        <w:rPr>
          <w:color w:val="231F20"/>
          <w:spacing w:val="-4"/>
          <w:w w:val="95"/>
          <w:sz w:val="17"/>
        </w:rPr>
        <w:t>1–11.</w:t>
      </w:r>
    </w:p>
    <w:p w14:paraId="383538B0" w14:textId="77777777" w:rsidR="00AE0598" w:rsidRDefault="0069255A">
      <w:pPr>
        <w:ind w:left="430" w:right="128" w:hanging="320"/>
        <w:jc w:val="both"/>
        <w:rPr>
          <w:sz w:val="17"/>
        </w:rPr>
      </w:pPr>
      <w:r>
        <w:rPr>
          <w:color w:val="231F20"/>
          <w:w w:val="95"/>
          <w:sz w:val="17"/>
        </w:rPr>
        <w:t>Jackson, G. and Reeves, M. (1997) Evidencing the sport tourism relationship. In M.F. Collins</w:t>
      </w:r>
      <w:r>
        <w:rPr>
          <w:color w:val="231F20"/>
          <w:spacing w:val="40"/>
          <w:sz w:val="17"/>
        </w:rPr>
        <w:t xml:space="preserve"> </w:t>
      </w:r>
      <w:r>
        <w:rPr>
          <w:color w:val="231F20"/>
          <w:sz w:val="17"/>
        </w:rPr>
        <w:t xml:space="preserve">and I.S. Cooper (eds) </w:t>
      </w:r>
      <w:r>
        <w:rPr>
          <w:i/>
          <w:color w:val="231F20"/>
          <w:sz w:val="17"/>
        </w:rPr>
        <w:t xml:space="preserve">Leisure Management: Issues and Applications </w:t>
      </w:r>
      <w:r>
        <w:rPr>
          <w:color w:val="231F20"/>
          <w:sz w:val="17"/>
        </w:rPr>
        <w:t>(pp. 172–188).</w:t>
      </w:r>
      <w:r>
        <w:rPr>
          <w:color w:val="231F20"/>
          <w:spacing w:val="40"/>
          <w:w w:val="105"/>
          <w:sz w:val="17"/>
        </w:rPr>
        <w:t xml:space="preserve"> </w:t>
      </w:r>
      <w:r>
        <w:rPr>
          <w:color w:val="231F20"/>
          <w:w w:val="105"/>
          <w:sz w:val="17"/>
        </w:rPr>
        <w:t>Wallingford: CABI.</w:t>
      </w:r>
    </w:p>
    <w:p w14:paraId="6CCC9778" w14:textId="77777777" w:rsidR="00AE0598" w:rsidRDefault="0069255A">
      <w:pPr>
        <w:spacing w:before="2"/>
        <w:ind w:left="430" w:right="128" w:hanging="320"/>
        <w:jc w:val="both"/>
        <w:rPr>
          <w:sz w:val="17"/>
        </w:rPr>
      </w:pPr>
      <w:r>
        <w:rPr>
          <w:color w:val="231F20"/>
          <w:sz w:val="17"/>
        </w:rPr>
        <w:t xml:space="preserve">Jackson, S.J. (1994) Gretzky, crisis, and Canadian identity in </w:t>
      </w:r>
      <w:r>
        <w:rPr>
          <w:color w:val="231F20"/>
          <w:sz w:val="17"/>
        </w:rPr>
        <w:t>1988: Rearticulating the</w:t>
      </w:r>
      <w:r>
        <w:rPr>
          <w:color w:val="231F20"/>
          <w:spacing w:val="40"/>
          <w:sz w:val="17"/>
        </w:rPr>
        <w:t xml:space="preserve"> </w:t>
      </w:r>
      <w:r>
        <w:rPr>
          <w:color w:val="231F20"/>
          <w:sz w:val="17"/>
        </w:rPr>
        <w:t xml:space="preserve">Americanization of culture debate. </w:t>
      </w:r>
      <w:r>
        <w:rPr>
          <w:i/>
          <w:color w:val="231F20"/>
          <w:sz w:val="17"/>
        </w:rPr>
        <w:t xml:space="preserve">Sociology of Sport Journal </w:t>
      </w:r>
      <w:r>
        <w:rPr>
          <w:color w:val="231F20"/>
          <w:sz w:val="17"/>
        </w:rPr>
        <w:t>11 (4), 428–450.</w:t>
      </w:r>
    </w:p>
    <w:p w14:paraId="7FDBC722" w14:textId="77777777" w:rsidR="00AE0598" w:rsidRDefault="0069255A">
      <w:pPr>
        <w:spacing w:before="2"/>
        <w:ind w:left="430" w:right="127" w:hanging="320"/>
        <w:jc w:val="both"/>
        <w:rPr>
          <w:sz w:val="17"/>
        </w:rPr>
      </w:pPr>
      <w:r>
        <w:rPr>
          <w:color w:val="231F20"/>
          <w:w w:val="95"/>
          <w:sz w:val="17"/>
        </w:rPr>
        <w:t>Jackson, S.J. (1997) Sport, violence and advertising: A case study of global/local disjuncture</w:t>
      </w:r>
      <w:r>
        <w:rPr>
          <w:color w:val="231F20"/>
          <w:spacing w:val="80"/>
          <w:sz w:val="17"/>
        </w:rPr>
        <w:t xml:space="preserve"> </w:t>
      </w:r>
      <w:r>
        <w:rPr>
          <w:color w:val="231F20"/>
          <w:sz w:val="17"/>
        </w:rPr>
        <w:t>in New Zealand. Paper presented at the North American Soc</w:t>
      </w:r>
      <w:r>
        <w:rPr>
          <w:color w:val="231F20"/>
          <w:sz w:val="17"/>
        </w:rPr>
        <w:t>iety for the Sociology of</w:t>
      </w:r>
      <w:r>
        <w:rPr>
          <w:color w:val="231F20"/>
          <w:spacing w:val="40"/>
          <w:sz w:val="17"/>
        </w:rPr>
        <w:t xml:space="preserve"> </w:t>
      </w:r>
      <w:r>
        <w:rPr>
          <w:color w:val="231F20"/>
          <w:sz w:val="17"/>
        </w:rPr>
        <w:t>Sport Conference, Toronto, Canada, 5–8 November, 1997.</w:t>
      </w:r>
    </w:p>
    <w:p w14:paraId="2D735CF6" w14:textId="77777777" w:rsidR="00AE0598" w:rsidRDefault="0069255A">
      <w:pPr>
        <w:spacing w:before="2"/>
        <w:ind w:left="430" w:right="128" w:hanging="320"/>
        <w:jc w:val="both"/>
        <w:rPr>
          <w:sz w:val="17"/>
        </w:rPr>
      </w:pPr>
      <w:r>
        <w:rPr>
          <w:color w:val="231F20"/>
          <w:sz w:val="17"/>
        </w:rPr>
        <w:t>Jackson, S.J. (1998) The 49th paradox: The 1988 Calgary Winter Olympic Games and</w:t>
      </w:r>
      <w:r>
        <w:rPr>
          <w:color w:val="231F20"/>
          <w:spacing w:val="40"/>
          <w:sz w:val="17"/>
        </w:rPr>
        <w:t xml:space="preserve"> </w:t>
      </w:r>
      <w:r>
        <w:rPr>
          <w:color w:val="231F20"/>
          <w:sz w:val="17"/>
        </w:rPr>
        <w:t>Canadian identity as contested terrain. In M. Duncan, G. Chich and A. Aycock (eds)</w:t>
      </w:r>
      <w:r>
        <w:rPr>
          <w:color w:val="231F20"/>
          <w:spacing w:val="40"/>
          <w:sz w:val="17"/>
        </w:rPr>
        <w:t xml:space="preserve"> </w:t>
      </w:r>
      <w:r>
        <w:rPr>
          <w:i/>
          <w:color w:val="231F20"/>
          <w:sz w:val="17"/>
        </w:rPr>
        <w:t>Player Cult</w:t>
      </w:r>
      <w:r>
        <w:rPr>
          <w:i/>
          <w:color w:val="231F20"/>
          <w:sz w:val="17"/>
        </w:rPr>
        <w:t xml:space="preserve">ure Studies: Exploration in the Field of Play </w:t>
      </w:r>
      <w:r>
        <w:rPr>
          <w:color w:val="231F20"/>
          <w:sz w:val="17"/>
        </w:rPr>
        <w:t>(pp. 191–208). Greenwich:</w:t>
      </w:r>
      <w:r>
        <w:rPr>
          <w:color w:val="231F20"/>
          <w:spacing w:val="40"/>
          <w:sz w:val="17"/>
        </w:rPr>
        <w:t xml:space="preserve"> </w:t>
      </w:r>
      <w:r>
        <w:rPr>
          <w:color w:val="231F20"/>
          <w:sz w:val="17"/>
        </w:rPr>
        <w:t>Ablex Publishing.</w:t>
      </w:r>
    </w:p>
    <w:p w14:paraId="3DC21BB7" w14:textId="77777777" w:rsidR="00AE0598" w:rsidRDefault="0069255A">
      <w:pPr>
        <w:spacing w:before="3"/>
        <w:ind w:left="430" w:right="127" w:hanging="320"/>
        <w:jc w:val="both"/>
        <w:rPr>
          <w:sz w:val="17"/>
        </w:rPr>
      </w:pPr>
      <w:r>
        <w:rPr>
          <w:color w:val="231F20"/>
          <w:w w:val="95"/>
          <w:sz w:val="17"/>
        </w:rPr>
        <w:t>Jackson, S.J. and Andrews, D.L. (1999) Between and beyond the global and local: American</w:t>
      </w:r>
      <w:r>
        <w:rPr>
          <w:color w:val="231F20"/>
          <w:spacing w:val="40"/>
          <w:sz w:val="17"/>
        </w:rPr>
        <w:t xml:space="preserve"> </w:t>
      </w:r>
      <w:r>
        <w:rPr>
          <w:color w:val="231F20"/>
          <w:sz w:val="17"/>
        </w:rPr>
        <w:t xml:space="preserve">popular sporting culture in New Zealand. In A. Yiannakis and M. Melnik (eds) </w:t>
      </w:r>
      <w:r>
        <w:rPr>
          <w:i/>
          <w:color w:val="231F20"/>
          <w:sz w:val="17"/>
        </w:rPr>
        <w:t>Sport</w:t>
      </w:r>
      <w:r>
        <w:rPr>
          <w:i/>
          <w:color w:val="231F20"/>
          <w:spacing w:val="40"/>
          <w:sz w:val="17"/>
        </w:rPr>
        <w:t xml:space="preserve"> </w:t>
      </w:r>
      <w:r>
        <w:rPr>
          <w:i/>
          <w:color w:val="231F20"/>
          <w:sz w:val="17"/>
        </w:rPr>
        <w:t xml:space="preserve">Sociology: Contemporary Themes </w:t>
      </w:r>
      <w:r>
        <w:rPr>
          <w:color w:val="231F20"/>
          <w:sz w:val="17"/>
        </w:rPr>
        <w:t>(5th edn; pp. 467–474). Champaign, IL: Human</w:t>
      </w:r>
      <w:r>
        <w:rPr>
          <w:color w:val="231F20"/>
          <w:spacing w:val="40"/>
          <w:sz w:val="17"/>
        </w:rPr>
        <w:t xml:space="preserve"> </w:t>
      </w:r>
      <w:r>
        <w:rPr>
          <w:color w:val="231F20"/>
          <w:spacing w:val="-2"/>
          <w:sz w:val="17"/>
        </w:rPr>
        <w:t>Kinetics.</w:t>
      </w:r>
    </w:p>
    <w:p w14:paraId="5AAE06DB" w14:textId="77777777" w:rsidR="00AE0598" w:rsidRDefault="0069255A">
      <w:pPr>
        <w:spacing w:before="3"/>
        <w:ind w:left="430" w:right="129" w:hanging="320"/>
        <w:jc w:val="both"/>
        <w:rPr>
          <w:sz w:val="17"/>
        </w:rPr>
      </w:pPr>
      <w:r>
        <w:rPr>
          <w:color w:val="231F20"/>
          <w:sz w:val="17"/>
        </w:rPr>
        <w:t>Jackson,</w:t>
      </w:r>
      <w:r>
        <w:rPr>
          <w:color w:val="231F20"/>
          <w:spacing w:val="-2"/>
          <w:sz w:val="17"/>
        </w:rPr>
        <w:t xml:space="preserve"> </w:t>
      </w:r>
      <w:r>
        <w:rPr>
          <w:color w:val="231F20"/>
          <w:w w:val="110"/>
          <w:sz w:val="17"/>
        </w:rPr>
        <w:t>S.J.,</w:t>
      </w:r>
      <w:r>
        <w:rPr>
          <w:color w:val="231F20"/>
          <w:spacing w:val="-5"/>
          <w:w w:val="110"/>
          <w:sz w:val="17"/>
        </w:rPr>
        <w:t xml:space="preserve"> </w:t>
      </w:r>
      <w:r>
        <w:rPr>
          <w:color w:val="231F20"/>
          <w:sz w:val="17"/>
        </w:rPr>
        <w:t>Batty,</w:t>
      </w:r>
      <w:r>
        <w:rPr>
          <w:color w:val="231F20"/>
          <w:spacing w:val="-2"/>
          <w:sz w:val="17"/>
        </w:rPr>
        <w:t xml:space="preserve"> </w:t>
      </w:r>
      <w:r>
        <w:rPr>
          <w:color w:val="231F20"/>
          <w:w w:val="110"/>
          <w:sz w:val="17"/>
        </w:rPr>
        <w:t>R.</w:t>
      </w:r>
      <w:r>
        <w:rPr>
          <w:color w:val="231F20"/>
          <w:spacing w:val="-5"/>
          <w:w w:val="110"/>
          <w:sz w:val="17"/>
        </w:rPr>
        <w:t xml:space="preserve"> </w:t>
      </w:r>
      <w:r>
        <w:rPr>
          <w:color w:val="231F20"/>
          <w:sz w:val="17"/>
        </w:rPr>
        <w:t>and</w:t>
      </w:r>
      <w:r>
        <w:rPr>
          <w:color w:val="231F20"/>
          <w:spacing w:val="-2"/>
          <w:sz w:val="17"/>
        </w:rPr>
        <w:t xml:space="preserve"> </w:t>
      </w:r>
      <w:r>
        <w:rPr>
          <w:color w:val="231F20"/>
          <w:sz w:val="17"/>
        </w:rPr>
        <w:t>Scherer,</w:t>
      </w:r>
      <w:r>
        <w:rPr>
          <w:color w:val="231F20"/>
          <w:spacing w:val="-2"/>
          <w:sz w:val="17"/>
        </w:rPr>
        <w:t xml:space="preserve"> </w:t>
      </w:r>
      <w:r>
        <w:rPr>
          <w:color w:val="231F20"/>
          <w:w w:val="110"/>
          <w:sz w:val="17"/>
        </w:rPr>
        <w:t>J.</w:t>
      </w:r>
      <w:r>
        <w:rPr>
          <w:color w:val="231F20"/>
          <w:spacing w:val="-5"/>
          <w:w w:val="110"/>
          <w:sz w:val="17"/>
        </w:rPr>
        <w:t xml:space="preserve"> </w:t>
      </w:r>
      <w:r>
        <w:rPr>
          <w:color w:val="231F20"/>
          <w:sz w:val="17"/>
        </w:rPr>
        <w:t>(2001)</w:t>
      </w:r>
      <w:r>
        <w:rPr>
          <w:color w:val="231F20"/>
          <w:spacing w:val="-2"/>
          <w:sz w:val="17"/>
        </w:rPr>
        <w:t xml:space="preserve"> </w:t>
      </w:r>
      <w:r>
        <w:rPr>
          <w:color w:val="231F20"/>
          <w:sz w:val="17"/>
        </w:rPr>
        <w:t>Transnational</w:t>
      </w:r>
      <w:r>
        <w:rPr>
          <w:color w:val="231F20"/>
          <w:spacing w:val="-2"/>
          <w:sz w:val="17"/>
        </w:rPr>
        <w:t xml:space="preserve"> </w:t>
      </w:r>
      <w:r>
        <w:rPr>
          <w:color w:val="231F20"/>
          <w:sz w:val="17"/>
        </w:rPr>
        <w:t>sport</w:t>
      </w:r>
      <w:r>
        <w:rPr>
          <w:color w:val="231F20"/>
          <w:spacing w:val="-2"/>
          <w:sz w:val="17"/>
        </w:rPr>
        <w:t xml:space="preserve"> </w:t>
      </w:r>
      <w:r>
        <w:rPr>
          <w:color w:val="231F20"/>
          <w:sz w:val="17"/>
        </w:rPr>
        <w:t>marketing</w:t>
      </w:r>
      <w:r>
        <w:rPr>
          <w:color w:val="231F20"/>
          <w:spacing w:val="-2"/>
          <w:sz w:val="17"/>
        </w:rPr>
        <w:t xml:space="preserve"> </w:t>
      </w:r>
      <w:r>
        <w:rPr>
          <w:color w:val="231F20"/>
          <w:sz w:val="17"/>
        </w:rPr>
        <w:t>at</w:t>
      </w:r>
      <w:r>
        <w:rPr>
          <w:color w:val="231F20"/>
          <w:spacing w:val="-2"/>
          <w:sz w:val="17"/>
        </w:rPr>
        <w:t xml:space="preserve"> </w:t>
      </w:r>
      <w:r>
        <w:rPr>
          <w:color w:val="231F20"/>
          <w:sz w:val="17"/>
        </w:rPr>
        <w:t>the</w:t>
      </w:r>
      <w:r>
        <w:rPr>
          <w:color w:val="231F20"/>
          <w:spacing w:val="-2"/>
          <w:sz w:val="17"/>
        </w:rPr>
        <w:t xml:space="preserve"> </w:t>
      </w:r>
      <w:r>
        <w:rPr>
          <w:color w:val="231F20"/>
          <w:sz w:val="17"/>
        </w:rPr>
        <w:t>global/</w:t>
      </w:r>
      <w:r>
        <w:rPr>
          <w:color w:val="231F20"/>
          <w:spacing w:val="40"/>
          <w:sz w:val="17"/>
        </w:rPr>
        <w:t xml:space="preserve"> </w:t>
      </w:r>
      <w:r>
        <w:rPr>
          <w:color w:val="231F20"/>
          <w:sz w:val="17"/>
        </w:rPr>
        <w:t xml:space="preserve">local nexus: The Adidasification of the New Zealand All Blacks. </w:t>
      </w:r>
      <w:r>
        <w:rPr>
          <w:i/>
          <w:color w:val="231F20"/>
          <w:sz w:val="17"/>
        </w:rPr>
        <w:t>International Journal</w:t>
      </w:r>
      <w:r>
        <w:rPr>
          <w:i/>
          <w:color w:val="231F20"/>
          <w:spacing w:val="40"/>
          <w:sz w:val="17"/>
        </w:rPr>
        <w:t xml:space="preserve"> </w:t>
      </w:r>
      <w:r>
        <w:rPr>
          <w:i/>
          <w:color w:val="231F20"/>
          <w:sz w:val="17"/>
        </w:rPr>
        <w:t xml:space="preserve">of Sports Marketing and Sponsorship </w:t>
      </w:r>
      <w:r>
        <w:rPr>
          <w:color w:val="231F20"/>
          <w:sz w:val="17"/>
        </w:rPr>
        <w:t>3 (2), 55–71.</w:t>
      </w:r>
    </w:p>
    <w:p w14:paraId="6149F56B" w14:textId="77777777" w:rsidR="00AE0598" w:rsidRDefault="0069255A">
      <w:pPr>
        <w:spacing w:before="2"/>
        <w:ind w:left="430" w:right="128" w:hanging="320"/>
        <w:jc w:val="both"/>
        <w:rPr>
          <w:sz w:val="17"/>
        </w:rPr>
      </w:pPr>
      <w:r>
        <w:rPr>
          <w:color w:val="231F20"/>
          <w:sz w:val="17"/>
        </w:rPr>
        <w:t>Jackson, S.J. and McKenzie, A.D. (2000) Violence and sport in New Zealand. In C. Collins</w:t>
      </w:r>
      <w:r>
        <w:rPr>
          <w:color w:val="231F20"/>
          <w:spacing w:val="40"/>
          <w:sz w:val="17"/>
        </w:rPr>
        <w:t xml:space="preserve"> </w:t>
      </w:r>
      <w:r>
        <w:rPr>
          <w:color w:val="231F20"/>
          <w:sz w:val="17"/>
        </w:rPr>
        <w:t>(ed.) Sport in New Zealand Soci</w:t>
      </w:r>
      <w:r>
        <w:rPr>
          <w:color w:val="231F20"/>
          <w:sz w:val="17"/>
        </w:rPr>
        <w:t>ety (pp. 153–170). Palmerston North, New Zealand:</w:t>
      </w:r>
      <w:r>
        <w:rPr>
          <w:color w:val="231F20"/>
          <w:spacing w:val="40"/>
          <w:w w:val="105"/>
          <w:sz w:val="17"/>
        </w:rPr>
        <w:t xml:space="preserve"> </w:t>
      </w:r>
      <w:r>
        <w:rPr>
          <w:color w:val="231F20"/>
          <w:w w:val="105"/>
          <w:sz w:val="17"/>
        </w:rPr>
        <w:t>Dunmore Press.</w:t>
      </w:r>
    </w:p>
    <w:p w14:paraId="6D58FF5B" w14:textId="77777777" w:rsidR="00AE0598" w:rsidRDefault="0069255A">
      <w:pPr>
        <w:spacing w:before="2"/>
        <w:ind w:left="110"/>
        <w:jc w:val="both"/>
        <w:rPr>
          <w:sz w:val="17"/>
        </w:rPr>
      </w:pPr>
      <w:r>
        <w:rPr>
          <w:color w:val="231F20"/>
          <w:sz w:val="17"/>
        </w:rPr>
        <w:t>Jamal,</w:t>
      </w:r>
      <w:r>
        <w:rPr>
          <w:color w:val="231F20"/>
          <w:spacing w:val="10"/>
          <w:sz w:val="17"/>
        </w:rPr>
        <w:t xml:space="preserve"> </w:t>
      </w:r>
      <w:r>
        <w:rPr>
          <w:color w:val="231F20"/>
          <w:sz w:val="17"/>
        </w:rPr>
        <w:t>T.</w:t>
      </w:r>
      <w:r>
        <w:rPr>
          <w:color w:val="231F20"/>
          <w:spacing w:val="11"/>
          <w:sz w:val="17"/>
        </w:rPr>
        <w:t xml:space="preserve"> </w:t>
      </w:r>
      <w:r>
        <w:rPr>
          <w:color w:val="231F20"/>
          <w:sz w:val="17"/>
        </w:rPr>
        <w:t>B.</w:t>
      </w:r>
      <w:r>
        <w:rPr>
          <w:color w:val="231F20"/>
          <w:spacing w:val="11"/>
          <w:sz w:val="17"/>
        </w:rPr>
        <w:t xml:space="preserve"> </w:t>
      </w:r>
      <w:r>
        <w:rPr>
          <w:color w:val="231F20"/>
          <w:sz w:val="17"/>
        </w:rPr>
        <w:t>and</w:t>
      </w:r>
      <w:r>
        <w:rPr>
          <w:color w:val="231F20"/>
          <w:spacing w:val="11"/>
          <w:sz w:val="17"/>
        </w:rPr>
        <w:t xml:space="preserve"> </w:t>
      </w:r>
      <w:r>
        <w:rPr>
          <w:color w:val="231F20"/>
          <w:sz w:val="17"/>
        </w:rPr>
        <w:t>Getz,</w:t>
      </w:r>
      <w:r>
        <w:rPr>
          <w:color w:val="231F20"/>
          <w:spacing w:val="11"/>
          <w:sz w:val="17"/>
        </w:rPr>
        <w:t xml:space="preserve"> </w:t>
      </w:r>
      <w:r>
        <w:rPr>
          <w:color w:val="231F20"/>
          <w:sz w:val="17"/>
        </w:rPr>
        <w:t>D.</w:t>
      </w:r>
      <w:r>
        <w:rPr>
          <w:color w:val="231F20"/>
          <w:spacing w:val="11"/>
          <w:sz w:val="17"/>
        </w:rPr>
        <w:t xml:space="preserve"> </w:t>
      </w:r>
      <w:r>
        <w:rPr>
          <w:color w:val="231F20"/>
          <w:sz w:val="17"/>
        </w:rPr>
        <w:t>(1994)</w:t>
      </w:r>
      <w:r>
        <w:rPr>
          <w:color w:val="231F20"/>
          <w:spacing w:val="10"/>
          <w:sz w:val="17"/>
        </w:rPr>
        <w:t xml:space="preserve"> </w:t>
      </w:r>
      <w:r>
        <w:rPr>
          <w:color w:val="231F20"/>
          <w:sz w:val="17"/>
        </w:rPr>
        <w:t>Collaboration</w:t>
      </w:r>
      <w:r>
        <w:rPr>
          <w:color w:val="231F20"/>
          <w:spacing w:val="11"/>
          <w:sz w:val="17"/>
        </w:rPr>
        <w:t xml:space="preserve"> </w:t>
      </w:r>
      <w:r>
        <w:rPr>
          <w:color w:val="231F20"/>
          <w:sz w:val="17"/>
        </w:rPr>
        <w:t>theory</w:t>
      </w:r>
      <w:r>
        <w:rPr>
          <w:color w:val="231F20"/>
          <w:spacing w:val="11"/>
          <w:sz w:val="17"/>
        </w:rPr>
        <w:t xml:space="preserve"> </w:t>
      </w:r>
      <w:r>
        <w:rPr>
          <w:color w:val="231F20"/>
          <w:sz w:val="17"/>
        </w:rPr>
        <w:t>and</w:t>
      </w:r>
      <w:r>
        <w:rPr>
          <w:color w:val="231F20"/>
          <w:spacing w:val="11"/>
          <w:sz w:val="17"/>
        </w:rPr>
        <w:t xml:space="preserve"> </w:t>
      </w:r>
      <w:r>
        <w:rPr>
          <w:color w:val="231F20"/>
          <w:sz w:val="17"/>
        </w:rPr>
        <w:t>community</w:t>
      </w:r>
      <w:r>
        <w:rPr>
          <w:color w:val="231F20"/>
          <w:spacing w:val="11"/>
          <w:sz w:val="17"/>
        </w:rPr>
        <w:t xml:space="preserve"> </w:t>
      </w:r>
      <w:r>
        <w:rPr>
          <w:color w:val="231F20"/>
          <w:sz w:val="17"/>
        </w:rPr>
        <w:t>tourism</w:t>
      </w:r>
      <w:r>
        <w:rPr>
          <w:color w:val="231F20"/>
          <w:spacing w:val="11"/>
          <w:sz w:val="17"/>
        </w:rPr>
        <w:t xml:space="preserve"> </w:t>
      </w:r>
      <w:r>
        <w:rPr>
          <w:color w:val="231F20"/>
          <w:spacing w:val="-2"/>
          <w:sz w:val="17"/>
        </w:rPr>
        <w:t>planning.</w:t>
      </w:r>
    </w:p>
    <w:p w14:paraId="0A493F12" w14:textId="77777777" w:rsidR="00AE0598" w:rsidRDefault="0069255A">
      <w:pPr>
        <w:spacing w:before="1"/>
        <w:ind w:left="430"/>
        <w:jc w:val="both"/>
        <w:rPr>
          <w:sz w:val="17"/>
        </w:rPr>
      </w:pPr>
      <w:r>
        <w:rPr>
          <w:i/>
          <w:color w:val="231F20"/>
          <w:sz w:val="17"/>
        </w:rPr>
        <w:t>Annals</w:t>
      </w:r>
      <w:r>
        <w:rPr>
          <w:i/>
          <w:color w:val="231F20"/>
          <w:spacing w:val="15"/>
          <w:sz w:val="17"/>
        </w:rPr>
        <w:t xml:space="preserve"> </w:t>
      </w:r>
      <w:r>
        <w:rPr>
          <w:i/>
          <w:color w:val="231F20"/>
          <w:sz w:val="17"/>
        </w:rPr>
        <w:t>of</w:t>
      </w:r>
      <w:r>
        <w:rPr>
          <w:i/>
          <w:color w:val="231F20"/>
          <w:spacing w:val="15"/>
          <w:sz w:val="17"/>
        </w:rPr>
        <w:t xml:space="preserve"> </w:t>
      </w:r>
      <w:r>
        <w:rPr>
          <w:i/>
          <w:color w:val="231F20"/>
          <w:sz w:val="17"/>
        </w:rPr>
        <w:t>Tourism</w:t>
      </w:r>
      <w:r>
        <w:rPr>
          <w:i/>
          <w:color w:val="231F20"/>
          <w:spacing w:val="15"/>
          <w:sz w:val="17"/>
        </w:rPr>
        <w:t xml:space="preserve"> </w:t>
      </w:r>
      <w:r>
        <w:rPr>
          <w:i/>
          <w:color w:val="231F20"/>
          <w:sz w:val="17"/>
        </w:rPr>
        <w:t>Research</w:t>
      </w:r>
      <w:r>
        <w:rPr>
          <w:i/>
          <w:color w:val="231F20"/>
          <w:spacing w:val="15"/>
          <w:sz w:val="17"/>
        </w:rPr>
        <w:t xml:space="preserve"> </w:t>
      </w:r>
      <w:r>
        <w:rPr>
          <w:color w:val="231F20"/>
          <w:sz w:val="17"/>
        </w:rPr>
        <w:t>22,</w:t>
      </w:r>
      <w:r>
        <w:rPr>
          <w:color w:val="231F20"/>
          <w:spacing w:val="15"/>
          <w:sz w:val="17"/>
        </w:rPr>
        <w:t xml:space="preserve"> </w:t>
      </w:r>
      <w:r>
        <w:rPr>
          <w:color w:val="231F20"/>
          <w:spacing w:val="-2"/>
          <w:sz w:val="17"/>
        </w:rPr>
        <w:t>186–204.</w:t>
      </w:r>
    </w:p>
    <w:p w14:paraId="37055681" w14:textId="77777777" w:rsidR="00AE0598" w:rsidRDefault="0069255A">
      <w:pPr>
        <w:ind w:left="430" w:right="129" w:hanging="320"/>
        <w:jc w:val="both"/>
        <w:rPr>
          <w:sz w:val="17"/>
        </w:rPr>
      </w:pPr>
      <w:r>
        <w:rPr>
          <w:color w:val="231F20"/>
          <w:sz w:val="17"/>
        </w:rPr>
        <w:t xml:space="preserve">Jang, S.S. (2004) Mitigating tourism seasonality: A quantitative approach. </w:t>
      </w:r>
      <w:r>
        <w:rPr>
          <w:i/>
          <w:color w:val="231F20"/>
          <w:sz w:val="17"/>
        </w:rPr>
        <w:t>Annals of</w:t>
      </w:r>
      <w:r>
        <w:rPr>
          <w:i/>
          <w:color w:val="231F20"/>
          <w:spacing w:val="40"/>
          <w:sz w:val="17"/>
        </w:rPr>
        <w:t xml:space="preserve"> </w:t>
      </w:r>
      <w:r>
        <w:rPr>
          <w:i/>
          <w:color w:val="231F20"/>
          <w:sz w:val="17"/>
        </w:rPr>
        <w:t xml:space="preserve">Tourism Research </w:t>
      </w:r>
      <w:r>
        <w:rPr>
          <w:color w:val="231F20"/>
          <w:sz w:val="17"/>
        </w:rPr>
        <w:t>31 (4), 819–836.</w:t>
      </w:r>
    </w:p>
    <w:p w14:paraId="62D458D8" w14:textId="77777777" w:rsidR="00AE0598" w:rsidRDefault="0069255A">
      <w:pPr>
        <w:spacing w:before="2"/>
        <w:ind w:left="430" w:right="127" w:hanging="320"/>
        <w:jc w:val="both"/>
        <w:rPr>
          <w:sz w:val="17"/>
        </w:rPr>
      </w:pPr>
      <w:r>
        <w:rPr>
          <w:color w:val="231F20"/>
          <w:w w:val="95"/>
          <w:sz w:val="17"/>
        </w:rPr>
        <w:t>Japan National Tourism Organization (2017, 7 January) Press release. See http://www.jnto.</w:t>
      </w:r>
      <w:r>
        <w:rPr>
          <w:color w:val="231F20"/>
          <w:spacing w:val="40"/>
          <w:sz w:val="17"/>
        </w:rPr>
        <w:t xml:space="preserve"> </w:t>
      </w:r>
      <w:r>
        <w:rPr>
          <w:color w:val="231F20"/>
          <w:spacing w:val="-1"/>
          <w:w w:val="98"/>
          <w:sz w:val="17"/>
        </w:rPr>
        <w:t>g</w:t>
      </w:r>
      <w:r>
        <w:rPr>
          <w:color w:val="231F20"/>
          <w:spacing w:val="-2"/>
          <w:w w:val="102"/>
          <w:sz w:val="17"/>
        </w:rPr>
        <w:t>o</w:t>
      </w:r>
      <w:r>
        <w:rPr>
          <w:color w:val="231F20"/>
          <w:spacing w:val="-3"/>
          <w:w w:val="106"/>
          <w:sz w:val="17"/>
        </w:rPr>
        <w:t>.j</w:t>
      </w:r>
      <w:r>
        <w:rPr>
          <w:color w:val="231F20"/>
          <w:spacing w:val="1"/>
          <w:w w:val="106"/>
          <w:sz w:val="17"/>
        </w:rPr>
        <w:t>p</w:t>
      </w:r>
      <w:r>
        <w:rPr>
          <w:color w:val="231F20"/>
          <w:spacing w:val="-1"/>
          <w:w w:val="59"/>
          <w:sz w:val="17"/>
        </w:rPr>
        <w:t>/</w:t>
      </w:r>
      <w:r>
        <w:rPr>
          <w:color w:val="231F20"/>
          <w:spacing w:val="-3"/>
          <w:w w:val="99"/>
          <w:sz w:val="17"/>
        </w:rPr>
        <w:t>j</w:t>
      </w:r>
      <w:r>
        <w:rPr>
          <w:color w:val="231F20"/>
          <w:spacing w:val="-2"/>
          <w:w w:val="99"/>
          <w:sz w:val="17"/>
        </w:rPr>
        <w:t>p</w:t>
      </w:r>
      <w:r>
        <w:rPr>
          <w:color w:val="231F20"/>
          <w:spacing w:val="6"/>
          <w:w w:val="97"/>
          <w:sz w:val="17"/>
        </w:rPr>
        <w:t>n</w:t>
      </w:r>
      <w:r>
        <w:rPr>
          <w:color w:val="231F20"/>
          <w:spacing w:val="-4"/>
          <w:w w:val="59"/>
          <w:sz w:val="17"/>
        </w:rPr>
        <w:t>/</w:t>
      </w:r>
      <w:r>
        <w:rPr>
          <w:color w:val="231F20"/>
          <w:spacing w:val="-1"/>
          <w:w w:val="97"/>
          <w:sz w:val="17"/>
        </w:rPr>
        <w:t>n</w:t>
      </w:r>
      <w:r>
        <w:rPr>
          <w:color w:val="231F20"/>
          <w:spacing w:val="-1"/>
          <w:w w:val="89"/>
          <w:sz w:val="17"/>
        </w:rPr>
        <w:t>e</w:t>
      </w:r>
      <w:r>
        <w:rPr>
          <w:color w:val="231F20"/>
          <w:spacing w:val="-2"/>
          <w:w w:val="98"/>
          <w:sz w:val="17"/>
        </w:rPr>
        <w:t>w</w:t>
      </w:r>
      <w:r>
        <w:rPr>
          <w:color w:val="231F20"/>
          <w:spacing w:val="3"/>
          <w:w w:val="89"/>
          <w:sz w:val="17"/>
        </w:rPr>
        <w:t>s</w:t>
      </w:r>
      <w:r>
        <w:rPr>
          <w:color w:val="231F20"/>
          <w:spacing w:val="-3"/>
          <w:w w:val="83"/>
          <w:sz w:val="17"/>
        </w:rPr>
        <w:t>/p</w:t>
      </w:r>
      <w:r>
        <w:rPr>
          <w:color w:val="231F20"/>
          <w:spacing w:val="-2"/>
          <w:w w:val="83"/>
          <w:sz w:val="17"/>
        </w:rPr>
        <w:t>r</w:t>
      </w:r>
      <w:r>
        <w:rPr>
          <w:color w:val="231F20"/>
          <w:spacing w:val="1"/>
          <w:w w:val="89"/>
          <w:sz w:val="17"/>
        </w:rPr>
        <w:t>e</w:t>
      </w:r>
      <w:r>
        <w:rPr>
          <w:color w:val="231F20"/>
          <w:w w:val="89"/>
          <w:sz w:val="17"/>
        </w:rPr>
        <w:t>s</w:t>
      </w:r>
      <w:r>
        <w:rPr>
          <w:color w:val="231F20"/>
          <w:spacing w:val="6"/>
          <w:w w:val="89"/>
          <w:sz w:val="17"/>
        </w:rPr>
        <w:t>s</w:t>
      </w:r>
      <w:r>
        <w:rPr>
          <w:color w:val="231F20"/>
          <w:spacing w:val="5"/>
          <w:w w:val="136"/>
          <w:sz w:val="17"/>
        </w:rPr>
        <w:t>_</w:t>
      </w:r>
      <w:r>
        <w:rPr>
          <w:color w:val="231F20"/>
          <w:spacing w:val="-2"/>
          <w:w w:val="92"/>
          <w:sz w:val="17"/>
        </w:rPr>
        <w:t>r</w:t>
      </w:r>
      <w:r>
        <w:rPr>
          <w:color w:val="231F20"/>
          <w:spacing w:val="-2"/>
          <w:w w:val="89"/>
          <w:sz w:val="17"/>
        </w:rPr>
        <w:t>e</w:t>
      </w:r>
      <w:r>
        <w:rPr>
          <w:color w:val="231F20"/>
          <w:spacing w:val="-2"/>
          <w:w w:val="101"/>
          <w:sz w:val="17"/>
        </w:rPr>
        <w:t>l</w:t>
      </w:r>
      <w:r>
        <w:rPr>
          <w:color w:val="231F20"/>
          <w:spacing w:val="1"/>
          <w:w w:val="89"/>
          <w:sz w:val="17"/>
        </w:rPr>
        <w:t>e</w:t>
      </w:r>
      <w:r>
        <w:rPr>
          <w:color w:val="231F20"/>
          <w:sz w:val="17"/>
        </w:rPr>
        <w:t>a</w:t>
      </w:r>
      <w:r>
        <w:rPr>
          <w:color w:val="231F20"/>
          <w:w w:val="89"/>
          <w:sz w:val="17"/>
        </w:rPr>
        <w:t>s</w:t>
      </w:r>
      <w:r>
        <w:rPr>
          <w:color w:val="231F20"/>
          <w:spacing w:val="1"/>
          <w:w w:val="89"/>
          <w:sz w:val="17"/>
        </w:rPr>
        <w:t>e</w:t>
      </w:r>
      <w:r>
        <w:rPr>
          <w:color w:val="231F20"/>
          <w:spacing w:val="3"/>
          <w:w w:val="89"/>
          <w:sz w:val="17"/>
        </w:rPr>
        <w:t>s</w:t>
      </w:r>
      <w:r>
        <w:rPr>
          <w:color w:val="231F20"/>
          <w:spacing w:val="-3"/>
          <w:w w:val="59"/>
          <w:sz w:val="17"/>
        </w:rPr>
        <w:t>/</w:t>
      </w:r>
      <w:r>
        <w:rPr>
          <w:color w:val="231F20"/>
          <w:w w:val="97"/>
          <w:sz w:val="17"/>
        </w:rPr>
        <w:t>p</w:t>
      </w:r>
      <w:r>
        <w:rPr>
          <w:color w:val="231F20"/>
          <w:spacing w:val="2"/>
          <w:w w:val="97"/>
          <w:sz w:val="17"/>
        </w:rPr>
        <w:t>d</w:t>
      </w:r>
      <w:r>
        <w:rPr>
          <w:color w:val="231F20"/>
          <w:spacing w:val="4"/>
          <w:w w:val="108"/>
          <w:sz w:val="17"/>
        </w:rPr>
        <w:t>f</w:t>
      </w:r>
      <w:r>
        <w:rPr>
          <w:color w:val="231F20"/>
          <w:spacing w:val="-1"/>
          <w:w w:val="59"/>
          <w:sz w:val="17"/>
        </w:rPr>
        <w:t>/</w:t>
      </w:r>
      <w:r>
        <w:rPr>
          <w:color w:val="231F20"/>
          <w:spacing w:val="-3"/>
          <w:w w:val="88"/>
          <w:sz w:val="17"/>
        </w:rPr>
        <w:t>1</w:t>
      </w:r>
      <w:r>
        <w:rPr>
          <w:color w:val="231F20"/>
          <w:spacing w:val="-1"/>
          <w:w w:val="88"/>
          <w:sz w:val="17"/>
        </w:rPr>
        <w:t>70</w:t>
      </w:r>
      <w:r>
        <w:rPr>
          <w:color w:val="231F20"/>
          <w:spacing w:val="-4"/>
          <w:w w:val="88"/>
          <w:sz w:val="17"/>
        </w:rPr>
        <w:t>1</w:t>
      </w:r>
      <w:r>
        <w:rPr>
          <w:color w:val="231F20"/>
          <w:spacing w:val="-3"/>
          <w:w w:val="88"/>
          <w:sz w:val="17"/>
        </w:rPr>
        <w:t>1</w:t>
      </w:r>
      <w:r>
        <w:rPr>
          <w:color w:val="231F20"/>
          <w:spacing w:val="-10"/>
          <w:w w:val="88"/>
          <w:sz w:val="17"/>
        </w:rPr>
        <w:t>7</w:t>
      </w:r>
      <w:r>
        <w:rPr>
          <w:color w:val="231F20"/>
          <w:spacing w:val="4"/>
          <w:w w:val="136"/>
          <w:sz w:val="17"/>
        </w:rPr>
        <w:t>_</w:t>
      </w:r>
      <w:r>
        <w:rPr>
          <w:color w:val="231F20"/>
          <w:spacing w:val="-2"/>
          <w:w w:val="98"/>
          <w:sz w:val="17"/>
        </w:rPr>
        <w:t>m</w:t>
      </w:r>
      <w:r>
        <w:rPr>
          <w:color w:val="231F20"/>
          <w:spacing w:val="-2"/>
          <w:w w:val="102"/>
          <w:sz w:val="17"/>
        </w:rPr>
        <w:t>o</w:t>
      </w:r>
      <w:r>
        <w:rPr>
          <w:color w:val="231F20"/>
          <w:spacing w:val="-2"/>
          <w:w w:val="97"/>
          <w:sz w:val="17"/>
        </w:rPr>
        <w:t>n</w:t>
      </w:r>
      <w:r>
        <w:rPr>
          <w:color w:val="231F20"/>
          <w:spacing w:val="1"/>
          <w:w w:val="97"/>
          <w:sz w:val="17"/>
        </w:rPr>
        <w:t>t</w:t>
      </w:r>
      <w:r>
        <w:rPr>
          <w:color w:val="231F20"/>
          <w:spacing w:val="1"/>
          <w:w w:val="98"/>
          <w:sz w:val="17"/>
        </w:rPr>
        <w:t>h</w:t>
      </w:r>
      <w:r>
        <w:rPr>
          <w:color w:val="231F20"/>
          <w:spacing w:val="-3"/>
          <w:w w:val="101"/>
          <w:sz w:val="17"/>
        </w:rPr>
        <w:t>l</w:t>
      </w:r>
      <w:r>
        <w:rPr>
          <w:color w:val="231F20"/>
          <w:spacing w:val="-12"/>
          <w:w w:val="97"/>
          <w:sz w:val="17"/>
        </w:rPr>
        <w:t>y</w:t>
      </w:r>
      <w:r>
        <w:rPr>
          <w:color w:val="231F20"/>
          <w:spacing w:val="-2"/>
          <w:w w:val="134"/>
          <w:sz w:val="17"/>
        </w:rPr>
        <w:t>.</w:t>
      </w:r>
      <w:r>
        <w:rPr>
          <w:color w:val="231F20"/>
          <w:w w:val="97"/>
          <w:sz w:val="17"/>
        </w:rPr>
        <w:t>p</w:t>
      </w:r>
      <w:r>
        <w:rPr>
          <w:color w:val="231F20"/>
          <w:spacing w:val="2"/>
          <w:w w:val="97"/>
          <w:sz w:val="17"/>
        </w:rPr>
        <w:t>d</w:t>
      </w:r>
      <w:r>
        <w:rPr>
          <w:color w:val="231F20"/>
          <w:spacing w:val="-2"/>
          <w:w w:val="108"/>
          <w:sz w:val="17"/>
        </w:rPr>
        <w:t>f</w:t>
      </w:r>
      <w:r>
        <w:rPr>
          <w:color w:val="231F20"/>
          <w:spacing w:val="-1"/>
          <w:w w:val="94"/>
          <w:sz w:val="17"/>
        </w:rPr>
        <w:t xml:space="preserve"> </w:t>
      </w:r>
      <w:r>
        <w:rPr>
          <w:color w:val="231F20"/>
          <w:w w:val="95"/>
          <w:sz w:val="17"/>
        </w:rPr>
        <w:t>(in Japanese).</w:t>
      </w:r>
    </w:p>
    <w:p w14:paraId="07614956" w14:textId="77777777" w:rsidR="00AE0598" w:rsidRDefault="0069255A">
      <w:pPr>
        <w:spacing w:before="1"/>
        <w:ind w:left="430" w:right="127" w:hanging="320"/>
        <w:jc w:val="both"/>
        <w:rPr>
          <w:sz w:val="17"/>
        </w:rPr>
      </w:pPr>
      <w:r>
        <w:rPr>
          <w:color w:val="231F20"/>
          <w:sz w:val="17"/>
        </w:rPr>
        <w:t xml:space="preserve">Jefferson, A. (1986) Smoothing out the ups and downs in demand. </w:t>
      </w:r>
      <w:r>
        <w:rPr>
          <w:i/>
          <w:color w:val="231F20"/>
          <w:sz w:val="17"/>
        </w:rPr>
        <w:t>British Hotelier and</w:t>
      </w:r>
      <w:r>
        <w:rPr>
          <w:i/>
          <w:color w:val="231F20"/>
          <w:spacing w:val="40"/>
          <w:sz w:val="17"/>
        </w:rPr>
        <w:t xml:space="preserve"> </w:t>
      </w:r>
      <w:r>
        <w:rPr>
          <w:i/>
          <w:color w:val="231F20"/>
          <w:sz w:val="17"/>
        </w:rPr>
        <w:t xml:space="preserve">Restaurateur </w:t>
      </w:r>
      <w:r>
        <w:rPr>
          <w:color w:val="231F20"/>
          <w:spacing w:val="-4"/>
          <w:w w:val="112"/>
          <w:sz w:val="17"/>
        </w:rPr>
        <w:t>J</w:t>
      </w:r>
      <w:r>
        <w:rPr>
          <w:color w:val="231F20"/>
          <w:spacing w:val="3"/>
          <w:w w:val="112"/>
          <w:sz w:val="17"/>
        </w:rPr>
        <w:t>u</w:t>
      </w:r>
      <w:r>
        <w:rPr>
          <w:color w:val="231F20"/>
          <w:spacing w:val="-2"/>
          <w:sz w:val="17"/>
        </w:rPr>
        <w:t>l</w:t>
      </w:r>
      <w:r>
        <w:rPr>
          <w:color w:val="231F20"/>
          <w:spacing w:val="-3"/>
          <w:w w:val="96"/>
          <w:sz w:val="17"/>
        </w:rPr>
        <w:t>y</w:t>
      </w:r>
      <w:r>
        <w:rPr>
          <w:color w:val="231F20"/>
          <w:spacing w:val="-9"/>
          <w:w w:val="58"/>
          <w:sz w:val="17"/>
        </w:rPr>
        <w:t>/</w:t>
      </w:r>
      <w:r>
        <w:rPr>
          <w:color w:val="231F20"/>
          <w:spacing w:val="-1"/>
          <w:w w:val="113"/>
          <w:sz w:val="17"/>
        </w:rPr>
        <w:t>A</w:t>
      </w:r>
      <w:r>
        <w:rPr>
          <w:color w:val="231F20"/>
          <w:w w:val="97"/>
          <w:sz w:val="17"/>
        </w:rPr>
        <w:t>u</w:t>
      </w:r>
      <w:r>
        <w:rPr>
          <w:color w:val="231F20"/>
          <w:spacing w:val="4"/>
          <w:w w:val="97"/>
          <w:sz w:val="17"/>
        </w:rPr>
        <w:t>g</w:t>
      </w:r>
      <w:r>
        <w:rPr>
          <w:color w:val="231F20"/>
          <w:spacing w:val="1"/>
          <w:w w:val="97"/>
          <w:sz w:val="17"/>
        </w:rPr>
        <w:t>u</w:t>
      </w:r>
      <w:r>
        <w:rPr>
          <w:color w:val="231F20"/>
          <w:w w:val="88"/>
          <w:sz w:val="17"/>
        </w:rPr>
        <w:t>s</w:t>
      </w:r>
      <w:r>
        <w:rPr>
          <w:color w:val="231F20"/>
          <w:spacing w:val="1"/>
          <w:w w:val="96"/>
          <w:sz w:val="17"/>
        </w:rPr>
        <w:t>t</w:t>
      </w:r>
      <w:r>
        <w:rPr>
          <w:color w:val="231F20"/>
          <w:spacing w:val="-1"/>
          <w:w w:val="133"/>
          <w:sz w:val="17"/>
        </w:rPr>
        <w:t>,</w:t>
      </w:r>
      <w:r>
        <w:rPr>
          <w:color w:val="231F20"/>
          <w:spacing w:val="-1"/>
          <w:w w:val="99"/>
          <w:sz w:val="17"/>
        </w:rPr>
        <w:t xml:space="preserve"> </w:t>
      </w:r>
      <w:r>
        <w:rPr>
          <w:color w:val="231F20"/>
          <w:sz w:val="17"/>
        </w:rPr>
        <w:t>24–25.</w:t>
      </w:r>
    </w:p>
    <w:p w14:paraId="3A472D2D" w14:textId="77777777" w:rsidR="00AE0598" w:rsidRDefault="0069255A">
      <w:pPr>
        <w:spacing w:before="1"/>
        <w:ind w:left="430" w:right="129" w:hanging="320"/>
        <w:jc w:val="both"/>
        <w:rPr>
          <w:sz w:val="17"/>
        </w:rPr>
      </w:pPr>
      <w:r>
        <w:rPr>
          <w:color w:val="231F20"/>
          <w:sz w:val="17"/>
        </w:rPr>
        <w:t>Jeffrey, D. and Barden, R.D. (2001) An analysis of the nature, causes and marketing</w:t>
      </w:r>
      <w:r>
        <w:rPr>
          <w:color w:val="231F20"/>
          <w:spacing w:val="40"/>
          <w:sz w:val="17"/>
        </w:rPr>
        <w:t xml:space="preserve"> </w:t>
      </w:r>
      <w:r>
        <w:rPr>
          <w:color w:val="231F20"/>
          <w:sz w:val="17"/>
        </w:rPr>
        <w:t>implications</w:t>
      </w:r>
      <w:r>
        <w:rPr>
          <w:color w:val="231F20"/>
          <w:spacing w:val="75"/>
          <w:sz w:val="17"/>
        </w:rPr>
        <w:t xml:space="preserve"> </w:t>
      </w:r>
      <w:r>
        <w:rPr>
          <w:color w:val="231F20"/>
          <w:sz w:val="17"/>
        </w:rPr>
        <w:t>of</w:t>
      </w:r>
      <w:r>
        <w:rPr>
          <w:color w:val="231F20"/>
          <w:spacing w:val="75"/>
          <w:sz w:val="17"/>
        </w:rPr>
        <w:t xml:space="preserve"> </w:t>
      </w:r>
      <w:r>
        <w:rPr>
          <w:color w:val="231F20"/>
          <w:sz w:val="17"/>
        </w:rPr>
        <w:t>seasonality</w:t>
      </w:r>
      <w:r>
        <w:rPr>
          <w:color w:val="231F20"/>
          <w:spacing w:val="75"/>
          <w:sz w:val="17"/>
        </w:rPr>
        <w:t xml:space="preserve"> </w:t>
      </w:r>
      <w:r>
        <w:rPr>
          <w:color w:val="231F20"/>
          <w:sz w:val="17"/>
        </w:rPr>
        <w:t>in</w:t>
      </w:r>
      <w:r>
        <w:rPr>
          <w:color w:val="231F20"/>
          <w:spacing w:val="75"/>
          <w:sz w:val="17"/>
        </w:rPr>
        <w:t xml:space="preserve"> </w:t>
      </w:r>
      <w:r>
        <w:rPr>
          <w:color w:val="231F20"/>
          <w:sz w:val="17"/>
        </w:rPr>
        <w:t>the</w:t>
      </w:r>
      <w:r>
        <w:rPr>
          <w:color w:val="231F20"/>
          <w:spacing w:val="75"/>
          <w:sz w:val="17"/>
        </w:rPr>
        <w:t xml:space="preserve"> </w:t>
      </w:r>
      <w:r>
        <w:rPr>
          <w:color w:val="231F20"/>
          <w:sz w:val="17"/>
        </w:rPr>
        <w:t>occupancy</w:t>
      </w:r>
      <w:r>
        <w:rPr>
          <w:color w:val="231F20"/>
          <w:spacing w:val="75"/>
          <w:sz w:val="17"/>
        </w:rPr>
        <w:t xml:space="preserve"> </w:t>
      </w:r>
      <w:r>
        <w:rPr>
          <w:color w:val="231F20"/>
          <w:sz w:val="17"/>
        </w:rPr>
        <w:t>performance</w:t>
      </w:r>
      <w:r>
        <w:rPr>
          <w:color w:val="231F20"/>
          <w:spacing w:val="75"/>
          <w:sz w:val="17"/>
        </w:rPr>
        <w:t xml:space="preserve"> </w:t>
      </w:r>
      <w:r>
        <w:rPr>
          <w:color w:val="231F20"/>
          <w:sz w:val="17"/>
        </w:rPr>
        <w:t>of</w:t>
      </w:r>
      <w:r>
        <w:rPr>
          <w:color w:val="231F20"/>
          <w:spacing w:val="75"/>
          <w:sz w:val="17"/>
        </w:rPr>
        <w:t xml:space="preserve"> </w:t>
      </w:r>
      <w:r>
        <w:rPr>
          <w:color w:val="231F20"/>
          <w:sz w:val="17"/>
        </w:rPr>
        <w:t>English</w:t>
      </w:r>
      <w:r>
        <w:rPr>
          <w:color w:val="231F20"/>
          <w:spacing w:val="75"/>
          <w:sz w:val="17"/>
        </w:rPr>
        <w:t xml:space="preserve"> </w:t>
      </w:r>
      <w:r>
        <w:rPr>
          <w:color w:val="231F20"/>
          <w:sz w:val="17"/>
        </w:rPr>
        <w:t>hotels.</w:t>
      </w:r>
      <w:r>
        <w:rPr>
          <w:color w:val="231F20"/>
          <w:spacing w:val="40"/>
          <w:sz w:val="17"/>
        </w:rPr>
        <w:t xml:space="preserve"> </w:t>
      </w:r>
      <w:r>
        <w:rPr>
          <w:color w:val="231F20"/>
          <w:sz w:val="17"/>
        </w:rPr>
        <w:t>In</w:t>
      </w:r>
      <w:r>
        <w:rPr>
          <w:color w:val="231F20"/>
          <w:spacing w:val="40"/>
          <w:sz w:val="17"/>
        </w:rPr>
        <w:t xml:space="preserve"> </w:t>
      </w:r>
      <w:r>
        <w:rPr>
          <w:color w:val="231F20"/>
          <w:sz w:val="17"/>
        </w:rPr>
        <w:t>T.</w:t>
      </w:r>
      <w:r>
        <w:rPr>
          <w:color w:val="231F20"/>
          <w:spacing w:val="40"/>
          <w:sz w:val="17"/>
        </w:rPr>
        <w:t xml:space="preserve"> </w:t>
      </w:r>
      <w:r>
        <w:rPr>
          <w:color w:val="231F20"/>
          <w:sz w:val="17"/>
        </w:rPr>
        <w:t>Baum</w:t>
      </w:r>
      <w:r>
        <w:rPr>
          <w:color w:val="231F20"/>
          <w:spacing w:val="40"/>
          <w:sz w:val="17"/>
        </w:rPr>
        <w:t xml:space="preserve"> </w:t>
      </w:r>
      <w:r>
        <w:rPr>
          <w:color w:val="231F20"/>
          <w:sz w:val="17"/>
        </w:rPr>
        <w:t>and</w:t>
      </w:r>
      <w:r>
        <w:rPr>
          <w:color w:val="231F20"/>
          <w:spacing w:val="40"/>
          <w:sz w:val="17"/>
        </w:rPr>
        <w:t xml:space="preserve"> </w:t>
      </w:r>
      <w:r>
        <w:rPr>
          <w:color w:val="231F20"/>
          <w:sz w:val="17"/>
        </w:rPr>
        <w:t>S.</w:t>
      </w:r>
      <w:r>
        <w:rPr>
          <w:color w:val="231F20"/>
          <w:spacing w:val="40"/>
          <w:sz w:val="17"/>
        </w:rPr>
        <w:t xml:space="preserve"> </w:t>
      </w:r>
      <w:r>
        <w:rPr>
          <w:color w:val="231F20"/>
          <w:sz w:val="17"/>
        </w:rPr>
        <w:t>Lundtorp</w:t>
      </w:r>
      <w:r>
        <w:rPr>
          <w:color w:val="231F20"/>
          <w:spacing w:val="40"/>
          <w:sz w:val="17"/>
        </w:rPr>
        <w:t xml:space="preserve"> </w:t>
      </w:r>
      <w:r>
        <w:rPr>
          <w:color w:val="231F20"/>
          <w:sz w:val="17"/>
        </w:rPr>
        <w:t>(eds)</w:t>
      </w:r>
      <w:r>
        <w:rPr>
          <w:color w:val="231F20"/>
          <w:spacing w:val="40"/>
          <w:sz w:val="17"/>
        </w:rPr>
        <w:t xml:space="preserve"> </w:t>
      </w:r>
      <w:r>
        <w:rPr>
          <w:i/>
          <w:color w:val="231F20"/>
          <w:sz w:val="17"/>
        </w:rPr>
        <w:t>Seasonality</w:t>
      </w:r>
      <w:r>
        <w:rPr>
          <w:i/>
          <w:color w:val="231F20"/>
          <w:spacing w:val="40"/>
          <w:sz w:val="17"/>
        </w:rPr>
        <w:t xml:space="preserve"> </w:t>
      </w:r>
      <w:r>
        <w:rPr>
          <w:i/>
          <w:color w:val="231F20"/>
          <w:sz w:val="17"/>
        </w:rPr>
        <w:t>and</w:t>
      </w:r>
      <w:r>
        <w:rPr>
          <w:i/>
          <w:color w:val="231F20"/>
          <w:spacing w:val="40"/>
          <w:sz w:val="17"/>
        </w:rPr>
        <w:t xml:space="preserve"> </w:t>
      </w:r>
      <w:r>
        <w:rPr>
          <w:i/>
          <w:color w:val="231F20"/>
          <w:sz w:val="17"/>
        </w:rPr>
        <w:t>Tourism</w:t>
      </w:r>
      <w:r>
        <w:rPr>
          <w:i/>
          <w:color w:val="231F20"/>
          <w:spacing w:val="40"/>
          <w:sz w:val="17"/>
        </w:rPr>
        <w:t xml:space="preserve"> </w:t>
      </w:r>
      <w:r>
        <w:rPr>
          <w:color w:val="231F20"/>
          <w:sz w:val="17"/>
        </w:rPr>
        <w:t>(pp.</w:t>
      </w:r>
      <w:r>
        <w:rPr>
          <w:color w:val="231F20"/>
          <w:spacing w:val="40"/>
          <w:sz w:val="17"/>
        </w:rPr>
        <w:t xml:space="preserve"> </w:t>
      </w:r>
      <w:r>
        <w:rPr>
          <w:color w:val="231F20"/>
          <w:sz w:val="17"/>
        </w:rPr>
        <w:t>119–140).</w:t>
      </w:r>
      <w:r>
        <w:rPr>
          <w:color w:val="231F20"/>
          <w:spacing w:val="40"/>
          <w:sz w:val="17"/>
        </w:rPr>
        <w:t xml:space="preserve"> </w:t>
      </w:r>
      <w:r>
        <w:rPr>
          <w:color w:val="231F20"/>
          <w:sz w:val="17"/>
        </w:rPr>
        <w:t>London: Pergamon.</w:t>
      </w:r>
    </w:p>
    <w:p w14:paraId="579CF562" w14:textId="77777777" w:rsidR="00AE0598" w:rsidRDefault="0069255A">
      <w:pPr>
        <w:spacing w:before="3"/>
        <w:ind w:left="430" w:right="128" w:hanging="320"/>
        <w:jc w:val="both"/>
        <w:rPr>
          <w:sz w:val="17"/>
        </w:rPr>
      </w:pPr>
      <w:r>
        <w:rPr>
          <w:color w:val="231F20"/>
          <w:sz w:val="17"/>
        </w:rPr>
        <w:t>Jennings,</w:t>
      </w:r>
      <w:r>
        <w:rPr>
          <w:color w:val="231F20"/>
          <w:spacing w:val="33"/>
          <w:sz w:val="17"/>
        </w:rPr>
        <w:t xml:space="preserve"> </w:t>
      </w:r>
      <w:r>
        <w:rPr>
          <w:color w:val="231F20"/>
          <w:sz w:val="17"/>
        </w:rPr>
        <w:t>A.</w:t>
      </w:r>
      <w:r>
        <w:rPr>
          <w:color w:val="231F20"/>
          <w:spacing w:val="33"/>
          <w:sz w:val="17"/>
        </w:rPr>
        <w:t xml:space="preserve"> </w:t>
      </w:r>
      <w:r>
        <w:rPr>
          <w:color w:val="231F20"/>
          <w:sz w:val="17"/>
        </w:rPr>
        <w:t>(1996)</w:t>
      </w:r>
      <w:r>
        <w:rPr>
          <w:color w:val="231F20"/>
          <w:spacing w:val="33"/>
          <w:sz w:val="17"/>
        </w:rPr>
        <w:t xml:space="preserve"> </w:t>
      </w:r>
      <w:r>
        <w:rPr>
          <w:i/>
          <w:color w:val="231F20"/>
          <w:sz w:val="17"/>
        </w:rPr>
        <w:t>The</w:t>
      </w:r>
      <w:r>
        <w:rPr>
          <w:i/>
          <w:color w:val="231F20"/>
          <w:spacing w:val="33"/>
          <w:sz w:val="17"/>
        </w:rPr>
        <w:t xml:space="preserve"> </w:t>
      </w:r>
      <w:r>
        <w:rPr>
          <w:i/>
          <w:color w:val="231F20"/>
          <w:sz w:val="17"/>
        </w:rPr>
        <w:t>New</w:t>
      </w:r>
      <w:r>
        <w:rPr>
          <w:i/>
          <w:color w:val="231F20"/>
          <w:spacing w:val="33"/>
          <w:sz w:val="17"/>
        </w:rPr>
        <w:t xml:space="preserve"> </w:t>
      </w:r>
      <w:r>
        <w:rPr>
          <w:i/>
          <w:color w:val="231F20"/>
          <w:sz w:val="17"/>
        </w:rPr>
        <w:t>Lords</w:t>
      </w:r>
      <w:r>
        <w:rPr>
          <w:i/>
          <w:color w:val="231F20"/>
          <w:spacing w:val="33"/>
          <w:sz w:val="17"/>
        </w:rPr>
        <w:t xml:space="preserve"> </w:t>
      </w:r>
      <w:r>
        <w:rPr>
          <w:i/>
          <w:color w:val="231F20"/>
          <w:sz w:val="17"/>
        </w:rPr>
        <w:t>of</w:t>
      </w:r>
      <w:r>
        <w:rPr>
          <w:i/>
          <w:color w:val="231F20"/>
          <w:spacing w:val="33"/>
          <w:sz w:val="17"/>
        </w:rPr>
        <w:t xml:space="preserve"> </w:t>
      </w:r>
      <w:r>
        <w:rPr>
          <w:i/>
          <w:color w:val="231F20"/>
          <w:sz w:val="17"/>
        </w:rPr>
        <w:t>the</w:t>
      </w:r>
      <w:r>
        <w:rPr>
          <w:i/>
          <w:color w:val="231F20"/>
          <w:spacing w:val="33"/>
          <w:sz w:val="17"/>
        </w:rPr>
        <w:t xml:space="preserve"> </w:t>
      </w:r>
      <w:r>
        <w:rPr>
          <w:i/>
          <w:color w:val="231F20"/>
          <w:sz w:val="17"/>
        </w:rPr>
        <w:t>Rings:</w:t>
      </w:r>
      <w:r>
        <w:rPr>
          <w:i/>
          <w:color w:val="231F20"/>
          <w:spacing w:val="33"/>
          <w:sz w:val="17"/>
        </w:rPr>
        <w:t xml:space="preserve"> </w:t>
      </w:r>
      <w:r>
        <w:rPr>
          <w:i/>
          <w:color w:val="231F20"/>
          <w:sz w:val="17"/>
        </w:rPr>
        <w:t>Olympic</w:t>
      </w:r>
      <w:r>
        <w:rPr>
          <w:i/>
          <w:color w:val="231F20"/>
          <w:spacing w:val="33"/>
          <w:sz w:val="17"/>
        </w:rPr>
        <w:t xml:space="preserve"> </w:t>
      </w:r>
      <w:r>
        <w:rPr>
          <w:i/>
          <w:color w:val="231F20"/>
          <w:sz w:val="17"/>
        </w:rPr>
        <w:t>Corruption</w:t>
      </w:r>
      <w:r>
        <w:rPr>
          <w:i/>
          <w:color w:val="231F20"/>
          <w:spacing w:val="33"/>
          <w:sz w:val="17"/>
        </w:rPr>
        <w:t xml:space="preserve"> </w:t>
      </w:r>
      <w:r>
        <w:rPr>
          <w:i/>
          <w:color w:val="231F20"/>
          <w:sz w:val="17"/>
        </w:rPr>
        <w:t>and</w:t>
      </w:r>
      <w:r>
        <w:rPr>
          <w:i/>
          <w:color w:val="231F20"/>
          <w:spacing w:val="33"/>
          <w:sz w:val="17"/>
        </w:rPr>
        <w:t xml:space="preserve"> </w:t>
      </w:r>
      <w:r>
        <w:rPr>
          <w:i/>
          <w:color w:val="231F20"/>
          <w:sz w:val="17"/>
        </w:rPr>
        <w:t>How</w:t>
      </w:r>
      <w:r>
        <w:rPr>
          <w:i/>
          <w:color w:val="231F20"/>
          <w:spacing w:val="33"/>
          <w:sz w:val="17"/>
        </w:rPr>
        <w:t xml:space="preserve"> </w:t>
      </w:r>
      <w:r>
        <w:rPr>
          <w:i/>
          <w:color w:val="231F20"/>
          <w:sz w:val="17"/>
        </w:rPr>
        <w:t>to</w:t>
      </w:r>
      <w:r>
        <w:rPr>
          <w:i/>
          <w:color w:val="231F20"/>
          <w:spacing w:val="33"/>
          <w:sz w:val="17"/>
        </w:rPr>
        <w:t xml:space="preserve"> </w:t>
      </w:r>
      <w:r>
        <w:rPr>
          <w:i/>
          <w:color w:val="231F20"/>
          <w:sz w:val="17"/>
        </w:rPr>
        <w:t>Buy</w:t>
      </w:r>
      <w:r>
        <w:rPr>
          <w:i/>
          <w:color w:val="231F20"/>
          <w:spacing w:val="40"/>
          <w:sz w:val="17"/>
        </w:rPr>
        <w:t xml:space="preserve"> </w:t>
      </w:r>
      <w:r>
        <w:rPr>
          <w:i/>
          <w:color w:val="231F20"/>
          <w:sz w:val="17"/>
        </w:rPr>
        <w:t>Gold Medals</w:t>
      </w:r>
      <w:r>
        <w:rPr>
          <w:color w:val="231F20"/>
          <w:sz w:val="17"/>
        </w:rPr>
        <w:t>. London: Pocket Books.</w:t>
      </w:r>
    </w:p>
    <w:p w14:paraId="3B7E88DE" w14:textId="77777777" w:rsidR="00AE0598" w:rsidRDefault="0069255A">
      <w:pPr>
        <w:spacing w:before="2"/>
        <w:ind w:left="110"/>
        <w:jc w:val="both"/>
        <w:rPr>
          <w:sz w:val="17"/>
        </w:rPr>
      </w:pPr>
      <w:r>
        <w:rPr>
          <w:color w:val="231F20"/>
          <w:sz w:val="17"/>
        </w:rPr>
        <w:t>Jhally,</w:t>
      </w:r>
      <w:r>
        <w:rPr>
          <w:color w:val="231F20"/>
          <w:spacing w:val="26"/>
          <w:sz w:val="17"/>
        </w:rPr>
        <w:t xml:space="preserve"> </w:t>
      </w:r>
      <w:r>
        <w:rPr>
          <w:color w:val="231F20"/>
          <w:sz w:val="17"/>
        </w:rPr>
        <w:t>S.</w:t>
      </w:r>
      <w:r>
        <w:rPr>
          <w:color w:val="231F20"/>
          <w:spacing w:val="27"/>
          <w:sz w:val="17"/>
        </w:rPr>
        <w:t xml:space="preserve"> </w:t>
      </w:r>
      <w:r>
        <w:rPr>
          <w:color w:val="231F20"/>
          <w:sz w:val="17"/>
        </w:rPr>
        <w:t>(1989)</w:t>
      </w:r>
      <w:r>
        <w:rPr>
          <w:color w:val="231F20"/>
          <w:spacing w:val="26"/>
          <w:sz w:val="17"/>
        </w:rPr>
        <w:t xml:space="preserve"> </w:t>
      </w:r>
      <w:r>
        <w:rPr>
          <w:color w:val="231F20"/>
          <w:sz w:val="17"/>
        </w:rPr>
        <w:t>Cultural</w:t>
      </w:r>
      <w:r>
        <w:rPr>
          <w:color w:val="231F20"/>
          <w:spacing w:val="27"/>
          <w:sz w:val="17"/>
        </w:rPr>
        <w:t xml:space="preserve"> </w:t>
      </w:r>
      <w:r>
        <w:rPr>
          <w:color w:val="231F20"/>
          <w:sz w:val="17"/>
        </w:rPr>
        <w:t>studies</w:t>
      </w:r>
      <w:r>
        <w:rPr>
          <w:color w:val="231F20"/>
          <w:spacing w:val="27"/>
          <w:sz w:val="17"/>
        </w:rPr>
        <w:t xml:space="preserve"> </w:t>
      </w:r>
      <w:r>
        <w:rPr>
          <w:color w:val="231F20"/>
          <w:sz w:val="17"/>
        </w:rPr>
        <w:t>and</w:t>
      </w:r>
      <w:r>
        <w:rPr>
          <w:color w:val="231F20"/>
          <w:spacing w:val="26"/>
          <w:sz w:val="17"/>
        </w:rPr>
        <w:t xml:space="preserve"> </w:t>
      </w:r>
      <w:r>
        <w:rPr>
          <w:color w:val="231F20"/>
          <w:sz w:val="17"/>
        </w:rPr>
        <w:t>the</w:t>
      </w:r>
      <w:r>
        <w:rPr>
          <w:color w:val="231F20"/>
          <w:spacing w:val="27"/>
          <w:sz w:val="17"/>
        </w:rPr>
        <w:t xml:space="preserve"> </w:t>
      </w:r>
      <w:r>
        <w:rPr>
          <w:color w:val="231F20"/>
          <w:sz w:val="17"/>
        </w:rPr>
        <w:t>sports/media</w:t>
      </w:r>
      <w:r>
        <w:rPr>
          <w:color w:val="231F20"/>
          <w:spacing w:val="27"/>
          <w:sz w:val="17"/>
        </w:rPr>
        <w:t xml:space="preserve"> </w:t>
      </w:r>
      <w:r>
        <w:rPr>
          <w:color w:val="231F20"/>
          <w:sz w:val="17"/>
        </w:rPr>
        <w:t>complex.</w:t>
      </w:r>
      <w:r>
        <w:rPr>
          <w:color w:val="231F20"/>
          <w:spacing w:val="26"/>
          <w:sz w:val="17"/>
        </w:rPr>
        <w:t xml:space="preserve"> </w:t>
      </w:r>
      <w:r>
        <w:rPr>
          <w:color w:val="231F20"/>
          <w:sz w:val="17"/>
        </w:rPr>
        <w:t>In</w:t>
      </w:r>
      <w:r>
        <w:rPr>
          <w:color w:val="231F20"/>
          <w:spacing w:val="27"/>
          <w:sz w:val="17"/>
        </w:rPr>
        <w:t xml:space="preserve"> </w:t>
      </w:r>
      <w:r>
        <w:rPr>
          <w:color w:val="231F20"/>
          <w:sz w:val="17"/>
        </w:rPr>
        <w:t>L.A.</w:t>
      </w:r>
      <w:r>
        <w:rPr>
          <w:color w:val="231F20"/>
          <w:spacing w:val="27"/>
          <w:sz w:val="17"/>
        </w:rPr>
        <w:t xml:space="preserve"> </w:t>
      </w:r>
      <w:r>
        <w:rPr>
          <w:color w:val="231F20"/>
          <w:sz w:val="17"/>
        </w:rPr>
        <w:t>Wenner</w:t>
      </w:r>
      <w:r>
        <w:rPr>
          <w:color w:val="231F20"/>
          <w:spacing w:val="26"/>
          <w:sz w:val="17"/>
        </w:rPr>
        <w:t xml:space="preserve"> </w:t>
      </w:r>
      <w:r>
        <w:rPr>
          <w:color w:val="231F20"/>
          <w:spacing w:val="-2"/>
          <w:sz w:val="17"/>
        </w:rPr>
        <w:t>(ed.)</w:t>
      </w:r>
    </w:p>
    <w:p w14:paraId="00558571" w14:textId="77777777" w:rsidR="00AE0598" w:rsidRDefault="0069255A">
      <w:pPr>
        <w:ind w:left="430"/>
        <w:jc w:val="both"/>
        <w:rPr>
          <w:sz w:val="17"/>
        </w:rPr>
      </w:pPr>
      <w:r>
        <w:rPr>
          <w:i/>
          <w:color w:val="231F20"/>
          <w:sz w:val="17"/>
        </w:rPr>
        <w:t>Media,</w:t>
      </w:r>
      <w:r>
        <w:rPr>
          <w:i/>
          <w:color w:val="231F20"/>
          <w:spacing w:val="8"/>
          <w:sz w:val="17"/>
        </w:rPr>
        <w:t xml:space="preserve"> </w:t>
      </w:r>
      <w:r>
        <w:rPr>
          <w:i/>
          <w:color w:val="231F20"/>
          <w:sz w:val="17"/>
        </w:rPr>
        <w:t>Sports</w:t>
      </w:r>
      <w:r>
        <w:rPr>
          <w:i/>
          <w:color w:val="231F20"/>
          <w:spacing w:val="9"/>
          <w:sz w:val="17"/>
        </w:rPr>
        <w:t xml:space="preserve"> </w:t>
      </w:r>
      <w:r>
        <w:rPr>
          <w:i/>
          <w:color w:val="231F20"/>
          <w:sz w:val="17"/>
        </w:rPr>
        <w:t>and</w:t>
      </w:r>
      <w:r>
        <w:rPr>
          <w:i/>
          <w:color w:val="231F20"/>
          <w:spacing w:val="9"/>
          <w:sz w:val="17"/>
        </w:rPr>
        <w:t xml:space="preserve"> </w:t>
      </w:r>
      <w:r>
        <w:rPr>
          <w:i/>
          <w:color w:val="231F20"/>
          <w:sz w:val="17"/>
        </w:rPr>
        <w:t>Society</w:t>
      </w:r>
      <w:r>
        <w:rPr>
          <w:i/>
          <w:color w:val="231F20"/>
          <w:spacing w:val="8"/>
          <w:sz w:val="17"/>
        </w:rPr>
        <w:t xml:space="preserve"> </w:t>
      </w:r>
      <w:r>
        <w:rPr>
          <w:color w:val="231F20"/>
          <w:sz w:val="17"/>
        </w:rPr>
        <w:t>(pp.</w:t>
      </w:r>
      <w:r>
        <w:rPr>
          <w:color w:val="231F20"/>
          <w:spacing w:val="9"/>
          <w:sz w:val="17"/>
        </w:rPr>
        <w:t xml:space="preserve"> </w:t>
      </w:r>
      <w:r>
        <w:rPr>
          <w:color w:val="231F20"/>
          <w:sz w:val="17"/>
        </w:rPr>
        <w:t>70–93).</w:t>
      </w:r>
      <w:r>
        <w:rPr>
          <w:color w:val="231F20"/>
          <w:spacing w:val="9"/>
          <w:sz w:val="17"/>
        </w:rPr>
        <w:t xml:space="preserve"> </w:t>
      </w:r>
      <w:r>
        <w:rPr>
          <w:color w:val="231F20"/>
          <w:sz w:val="17"/>
        </w:rPr>
        <w:t>Newbury</w:t>
      </w:r>
      <w:r>
        <w:rPr>
          <w:color w:val="231F20"/>
          <w:spacing w:val="9"/>
          <w:sz w:val="17"/>
        </w:rPr>
        <w:t xml:space="preserve"> </w:t>
      </w:r>
      <w:r>
        <w:rPr>
          <w:color w:val="231F20"/>
          <w:sz w:val="17"/>
        </w:rPr>
        <w:t>Park,</w:t>
      </w:r>
      <w:r>
        <w:rPr>
          <w:color w:val="231F20"/>
          <w:spacing w:val="8"/>
          <w:sz w:val="17"/>
        </w:rPr>
        <w:t xml:space="preserve"> </w:t>
      </w:r>
      <w:r>
        <w:rPr>
          <w:color w:val="231F20"/>
          <w:sz w:val="17"/>
        </w:rPr>
        <w:t>CA:</w:t>
      </w:r>
      <w:r>
        <w:rPr>
          <w:color w:val="231F20"/>
          <w:spacing w:val="9"/>
          <w:sz w:val="17"/>
        </w:rPr>
        <w:t xml:space="preserve"> </w:t>
      </w:r>
      <w:r>
        <w:rPr>
          <w:color w:val="231F20"/>
          <w:spacing w:val="-4"/>
          <w:sz w:val="17"/>
        </w:rPr>
        <w:t>Sage.</w:t>
      </w:r>
    </w:p>
    <w:p w14:paraId="6BECFCE4" w14:textId="77777777" w:rsidR="00AE0598" w:rsidRDefault="00AE0598">
      <w:pPr>
        <w:jc w:val="both"/>
        <w:rPr>
          <w:sz w:val="17"/>
        </w:rPr>
        <w:sectPr w:rsidR="00AE0598">
          <w:pgSz w:w="8850" w:h="13270"/>
          <w:pgMar w:top="720" w:right="1060" w:bottom="280" w:left="1080" w:header="720" w:footer="720" w:gutter="0"/>
          <w:cols w:space="720"/>
        </w:sectPr>
      </w:pPr>
    </w:p>
    <w:p w14:paraId="7DAEA38C" w14:textId="77777777" w:rsidR="00AE0598" w:rsidRDefault="0069255A">
      <w:pPr>
        <w:spacing w:before="87"/>
        <w:ind w:left="108"/>
        <w:rPr>
          <w:rFonts w:ascii="Trebuchet MS"/>
          <w:sz w:val="14"/>
        </w:rPr>
      </w:pPr>
      <w:r>
        <w:rPr>
          <w:rFonts w:ascii="Trebuchet MS"/>
          <w:color w:val="231F20"/>
          <w:w w:val="105"/>
          <w:sz w:val="14"/>
        </w:rPr>
        <w:lastRenderedPageBreak/>
        <w:t>258</w:t>
      </w:r>
      <w:r>
        <w:rPr>
          <w:rFonts w:ascii="Trebuchet MS"/>
          <w:color w:val="231F20"/>
          <w:spacing w:val="78"/>
          <w:w w:val="150"/>
          <w:sz w:val="14"/>
        </w:rPr>
        <w:t xml:space="preserve"> </w:t>
      </w:r>
      <w:r>
        <w:rPr>
          <w:rFonts w:ascii="Trebuchet MS"/>
          <w:color w:val="231F20"/>
          <w:spacing w:val="-2"/>
          <w:w w:val="105"/>
          <w:sz w:val="14"/>
        </w:rPr>
        <w:t>References</w:t>
      </w:r>
    </w:p>
    <w:p w14:paraId="2FC52FAA" w14:textId="77777777" w:rsidR="00AE0598" w:rsidRDefault="00AE0598">
      <w:pPr>
        <w:pStyle w:val="Corpodetexto"/>
        <w:rPr>
          <w:rFonts w:ascii="Trebuchet MS"/>
          <w:sz w:val="16"/>
        </w:rPr>
      </w:pPr>
    </w:p>
    <w:p w14:paraId="3AC265B3" w14:textId="77777777" w:rsidR="00AE0598" w:rsidRDefault="0069255A">
      <w:pPr>
        <w:spacing w:before="121"/>
        <w:ind w:left="430" w:right="127" w:hanging="320"/>
        <w:jc w:val="both"/>
        <w:rPr>
          <w:sz w:val="17"/>
        </w:rPr>
      </w:pPr>
      <w:r>
        <w:rPr>
          <w:color w:val="231F20"/>
          <w:sz w:val="17"/>
        </w:rPr>
        <w:t>Johnson, W.O. (1991) Sport in the year 2001: A fan’s world. Watching sport in the 21st</w:t>
      </w:r>
      <w:r>
        <w:rPr>
          <w:color w:val="231F20"/>
          <w:spacing w:val="40"/>
          <w:sz w:val="17"/>
        </w:rPr>
        <w:t xml:space="preserve"> </w:t>
      </w:r>
      <w:r>
        <w:rPr>
          <w:color w:val="231F20"/>
          <w:sz w:val="17"/>
        </w:rPr>
        <w:t xml:space="preserve">century. </w:t>
      </w:r>
      <w:r>
        <w:rPr>
          <w:i/>
          <w:color w:val="231F20"/>
          <w:sz w:val="17"/>
        </w:rPr>
        <w:t xml:space="preserve">Sports Illustrated </w:t>
      </w:r>
      <w:r>
        <w:rPr>
          <w:color w:val="231F20"/>
          <w:sz w:val="17"/>
        </w:rPr>
        <w:t>75 (4), 40–48.</w:t>
      </w:r>
    </w:p>
    <w:p w14:paraId="4EC44ECE" w14:textId="77777777" w:rsidR="00AE0598" w:rsidRDefault="0069255A">
      <w:pPr>
        <w:spacing w:before="1"/>
        <w:ind w:left="430" w:right="127" w:hanging="320"/>
        <w:jc w:val="both"/>
        <w:rPr>
          <w:sz w:val="17"/>
        </w:rPr>
      </w:pPr>
      <w:r>
        <w:rPr>
          <w:color w:val="231F20"/>
          <w:sz w:val="17"/>
        </w:rPr>
        <w:t>Johnston, C.S. (2001a) Shoring the foundations of the destination life cycle model, part 1:</w:t>
      </w:r>
      <w:r>
        <w:rPr>
          <w:color w:val="231F20"/>
          <w:spacing w:val="40"/>
          <w:sz w:val="17"/>
        </w:rPr>
        <w:t xml:space="preserve"> </w:t>
      </w:r>
      <w:r>
        <w:rPr>
          <w:color w:val="231F20"/>
          <w:sz w:val="17"/>
        </w:rPr>
        <w:t>Ontological and epistemological co</w:t>
      </w:r>
      <w:r>
        <w:rPr>
          <w:color w:val="231F20"/>
          <w:sz w:val="17"/>
        </w:rPr>
        <w:t xml:space="preserve">nsiderations. </w:t>
      </w:r>
      <w:r>
        <w:rPr>
          <w:i/>
          <w:color w:val="231F20"/>
          <w:sz w:val="17"/>
        </w:rPr>
        <w:t xml:space="preserve">Tourism Geographies </w:t>
      </w:r>
      <w:r>
        <w:rPr>
          <w:color w:val="231F20"/>
          <w:sz w:val="17"/>
        </w:rPr>
        <w:t>3 (1), 2–28.</w:t>
      </w:r>
    </w:p>
    <w:p w14:paraId="5C101950" w14:textId="77777777" w:rsidR="00AE0598" w:rsidRDefault="0069255A">
      <w:pPr>
        <w:spacing w:before="2"/>
        <w:ind w:left="430" w:right="127" w:hanging="320"/>
        <w:jc w:val="both"/>
        <w:rPr>
          <w:sz w:val="17"/>
        </w:rPr>
      </w:pPr>
      <w:r>
        <w:rPr>
          <w:color w:val="231F20"/>
          <w:sz w:val="17"/>
        </w:rPr>
        <w:t>Johnston, C.S. (2001b) Shoring the foundations of the destination life cycle model, part 2:</w:t>
      </w:r>
      <w:r>
        <w:rPr>
          <w:color w:val="231F20"/>
          <w:spacing w:val="40"/>
          <w:sz w:val="17"/>
        </w:rPr>
        <w:t xml:space="preserve"> </w:t>
      </w:r>
      <w:r>
        <w:rPr>
          <w:color w:val="231F20"/>
          <w:sz w:val="17"/>
        </w:rPr>
        <w:t xml:space="preserve">A case study of Kona, Hawai’i Island. </w:t>
      </w:r>
      <w:r>
        <w:rPr>
          <w:i/>
          <w:color w:val="231F20"/>
          <w:sz w:val="17"/>
        </w:rPr>
        <w:t xml:space="preserve">Tourism Geographies </w:t>
      </w:r>
      <w:r>
        <w:rPr>
          <w:color w:val="231F20"/>
          <w:sz w:val="17"/>
        </w:rPr>
        <w:t>3 (2), 135–164.</w:t>
      </w:r>
    </w:p>
    <w:p w14:paraId="70A80227" w14:textId="77777777" w:rsidR="00AE0598" w:rsidRDefault="0069255A">
      <w:pPr>
        <w:spacing w:before="1"/>
        <w:ind w:left="430" w:right="127" w:hanging="320"/>
        <w:jc w:val="both"/>
        <w:rPr>
          <w:sz w:val="17"/>
        </w:rPr>
      </w:pPr>
      <w:r>
        <w:rPr>
          <w:color w:val="231F20"/>
          <w:sz w:val="17"/>
        </w:rPr>
        <w:t>Jones,</w:t>
      </w:r>
      <w:r>
        <w:rPr>
          <w:color w:val="231F20"/>
          <w:spacing w:val="40"/>
          <w:sz w:val="17"/>
        </w:rPr>
        <w:t xml:space="preserve"> </w:t>
      </w:r>
      <w:r>
        <w:rPr>
          <w:color w:val="231F20"/>
          <w:sz w:val="17"/>
        </w:rPr>
        <w:t>C.</w:t>
      </w:r>
      <w:r>
        <w:rPr>
          <w:color w:val="231F20"/>
          <w:spacing w:val="40"/>
          <w:sz w:val="17"/>
        </w:rPr>
        <w:t xml:space="preserve"> </w:t>
      </w:r>
      <w:r>
        <w:rPr>
          <w:color w:val="231F20"/>
          <w:sz w:val="17"/>
        </w:rPr>
        <w:t>(2001)</w:t>
      </w:r>
      <w:r>
        <w:rPr>
          <w:color w:val="231F20"/>
          <w:spacing w:val="40"/>
          <w:sz w:val="17"/>
        </w:rPr>
        <w:t xml:space="preserve"> </w:t>
      </w:r>
      <w:r>
        <w:rPr>
          <w:color w:val="231F20"/>
          <w:sz w:val="17"/>
        </w:rPr>
        <w:t>Mega</w:t>
      </w:r>
      <w:r>
        <w:rPr>
          <w:rFonts w:ascii="Times New Roman" w:hAnsi="Times New Roman"/>
          <w:color w:val="231F20"/>
          <w:sz w:val="17"/>
        </w:rPr>
        <w:t>‐</w:t>
      </w:r>
      <w:r>
        <w:rPr>
          <w:color w:val="231F20"/>
          <w:sz w:val="17"/>
        </w:rPr>
        <w:t>events</w:t>
      </w:r>
      <w:r>
        <w:rPr>
          <w:color w:val="231F20"/>
          <w:spacing w:val="40"/>
          <w:sz w:val="17"/>
        </w:rPr>
        <w:t xml:space="preserve"> </w:t>
      </w:r>
      <w:r>
        <w:rPr>
          <w:color w:val="231F20"/>
          <w:sz w:val="17"/>
        </w:rPr>
        <w:t>and</w:t>
      </w:r>
      <w:r>
        <w:rPr>
          <w:color w:val="231F20"/>
          <w:spacing w:val="40"/>
          <w:sz w:val="17"/>
        </w:rPr>
        <w:t xml:space="preserve"> </w:t>
      </w:r>
      <w:r>
        <w:rPr>
          <w:color w:val="231F20"/>
          <w:sz w:val="17"/>
        </w:rPr>
        <w:t>host</w:t>
      </w:r>
      <w:r>
        <w:rPr>
          <w:rFonts w:ascii="Times New Roman" w:hAnsi="Times New Roman"/>
          <w:color w:val="231F20"/>
          <w:sz w:val="17"/>
        </w:rPr>
        <w:t>‐</w:t>
      </w:r>
      <w:r>
        <w:rPr>
          <w:color w:val="231F20"/>
          <w:sz w:val="17"/>
        </w:rPr>
        <w:t>regio</w:t>
      </w:r>
      <w:r>
        <w:rPr>
          <w:color w:val="231F20"/>
          <w:sz w:val="17"/>
        </w:rPr>
        <w:t>n</w:t>
      </w:r>
      <w:r>
        <w:rPr>
          <w:color w:val="231F20"/>
          <w:spacing w:val="40"/>
          <w:sz w:val="17"/>
        </w:rPr>
        <w:t xml:space="preserve"> </w:t>
      </w:r>
      <w:r>
        <w:rPr>
          <w:color w:val="231F20"/>
          <w:sz w:val="17"/>
        </w:rPr>
        <w:t>impacts:</w:t>
      </w:r>
      <w:r>
        <w:rPr>
          <w:color w:val="231F20"/>
          <w:spacing w:val="40"/>
          <w:sz w:val="17"/>
        </w:rPr>
        <w:t xml:space="preserve"> </w:t>
      </w:r>
      <w:r>
        <w:rPr>
          <w:color w:val="231F20"/>
          <w:sz w:val="17"/>
        </w:rPr>
        <w:t>Determining</w:t>
      </w:r>
      <w:r>
        <w:rPr>
          <w:color w:val="231F20"/>
          <w:spacing w:val="40"/>
          <w:sz w:val="17"/>
        </w:rPr>
        <w:t xml:space="preserve"> </w:t>
      </w:r>
      <w:r>
        <w:rPr>
          <w:color w:val="231F20"/>
          <w:sz w:val="17"/>
        </w:rPr>
        <w:t>the</w:t>
      </w:r>
      <w:r>
        <w:rPr>
          <w:color w:val="231F20"/>
          <w:spacing w:val="40"/>
          <w:sz w:val="17"/>
        </w:rPr>
        <w:t xml:space="preserve"> </w:t>
      </w:r>
      <w:r>
        <w:rPr>
          <w:color w:val="231F20"/>
          <w:sz w:val="17"/>
        </w:rPr>
        <w:t>true</w:t>
      </w:r>
      <w:r>
        <w:rPr>
          <w:color w:val="231F20"/>
          <w:spacing w:val="40"/>
          <w:sz w:val="17"/>
        </w:rPr>
        <w:t xml:space="preserve"> </w:t>
      </w:r>
      <w:r>
        <w:rPr>
          <w:color w:val="231F20"/>
          <w:sz w:val="17"/>
        </w:rPr>
        <w:t>worth</w:t>
      </w:r>
      <w:r>
        <w:rPr>
          <w:color w:val="231F20"/>
          <w:spacing w:val="40"/>
          <w:sz w:val="17"/>
        </w:rPr>
        <w:t xml:space="preserve"> </w:t>
      </w:r>
      <w:r>
        <w:rPr>
          <w:color w:val="231F20"/>
          <w:sz w:val="17"/>
        </w:rPr>
        <w:t xml:space="preserve">of the 1999 Rugby World Cup. </w:t>
      </w:r>
      <w:r>
        <w:rPr>
          <w:i/>
          <w:color w:val="231F20"/>
          <w:sz w:val="17"/>
        </w:rPr>
        <w:t xml:space="preserve">International Journal of Tourism Research </w:t>
      </w:r>
      <w:r>
        <w:rPr>
          <w:color w:val="231F20"/>
          <w:sz w:val="17"/>
        </w:rPr>
        <w:t>3 (3),</w:t>
      </w:r>
      <w:r>
        <w:rPr>
          <w:color w:val="231F20"/>
          <w:spacing w:val="40"/>
          <w:sz w:val="17"/>
        </w:rPr>
        <w:t xml:space="preserve"> </w:t>
      </w:r>
      <w:r>
        <w:rPr>
          <w:color w:val="231F20"/>
          <w:spacing w:val="-2"/>
          <w:sz w:val="17"/>
        </w:rPr>
        <w:t>241–251.</w:t>
      </w:r>
    </w:p>
    <w:p w14:paraId="7867882D" w14:textId="77777777" w:rsidR="00AE0598" w:rsidRDefault="0069255A">
      <w:pPr>
        <w:spacing w:before="2"/>
        <w:ind w:left="110"/>
        <w:jc w:val="both"/>
        <w:rPr>
          <w:sz w:val="17"/>
        </w:rPr>
      </w:pPr>
      <w:r>
        <w:rPr>
          <w:color w:val="231F20"/>
          <w:sz w:val="17"/>
        </w:rPr>
        <w:t>Jones,</w:t>
      </w:r>
      <w:r>
        <w:rPr>
          <w:color w:val="231F20"/>
          <w:spacing w:val="19"/>
          <w:sz w:val="17"/>
        </w:rPr>
        <w:t xml:space="preserve"> </w:t>
      </w:r>
      <w:r>
        <w:rPr>
          <w:color w:val="231F20"/>
          <w:sz w:val="17"/>
        </w:rPr>
        <w:t>I.</w:t>
      </w:r>
      <w:r>
        <w:rPr>
          <w:color w:val="231F20"/>
          <w:spacing w:val="20"/>
          <w:sz w:val="17"/>
        </w:rPr>
        <w:t xml:space="preserve"> </w:t>
      </w:r>
      <w:r>
        <w:rPr>
          <w:color w:val="231F20"/>
          <w:sz w:val="17"/>
        </w:rPr>
        <w:t>(2000)</w:t>
      </w:r>
      <w:r>
        <w:rPr>
          <w:color w:val="231F20"/>
          <w:spacing w:val="20"/>
          <w:sz w:val="17"/>
        </w:rPr>
        <w:t xml:space="preserve"> </w:t>
      </w:r>
      <w:r>
        <w:rPr>
          <w:color w:val="231F20"/>
          <w:sz w:val="17"/>
        </w:rPr>
        <w:t>A</w:t>
      </w:r>
      <w:r>
        <w:rPr>
          <w:color w:val="231F20"/>
          <w:spacing w:val="20"/>
          <w:sz w:val="17"/>
        </w:rPr>
        <w:t xml:space="preserve"> </w:t>
      </w:r>
      <w:r>
        <w:rPr>
          <w:color w:val="231F20"/>
          <w:sz w:val="17"/>
        </w:rPr>
        <w:t>model</w:t>
      </w:r>
      <w:r>
        <w:rPr>
          <w:color w:val="231F20"/>
          <w:spacing w:val="20"/>
          <w:sz w:val="17"/>
        </w:rPr>
        <w:t xml:space="preserve"> </w:t>
      </w:r>
      <w:r>
        <w:rPr>
          <w:color w:val="231F20"/>
          <w:sz w:val="17"/>
        </w:rPr>
        <w:t>of</w:t>
      </w:r>
      <w:r>
        <w:rPr>
          <w:color w:val="231F20"/>
          <w:spacing w:val="20"/>
          <w:sz w:val="17"/>
        </w:rPr>
        <w:t xml:space="preserve"> </w:t>
      </w:r>
      <w:r>
        <w:rPr>
          <w:color w:val="231F20"/>
          <w:sz w:val="17"/>
        </w:rPr>
        <w:t>serious</w:t>
      </w:r>
      <w:r>
        <w:rPr>
          <w:color w:val="231F20"/>
          <w:spacing w:val="20"/>
          <w:sz w:val="17"/>
        </w:rPr>
        <w:t xml:space="preserve"> </w:t>
      </w:r>
      <w:r>
        <w:rPr>
          <w:color w:val="231F20"/>
          <w:sz w:val="17"/>
        </w:rPr>
        <w:t>leisure</w:t>
      </w:r>
      <w:r>
        <w:rPr>
          <w:color w:val="231F20"/>
          <w:spacing w:val="20"/>
          <w:sz w:val="17"/>
        </w:rPr>
        <w:t xml:space="preserve"> </w:t>
      </w:r>
      <w:r>
        <w:rPr>
          <w:color w:val="231F20"/>
          <w:sz w:val="17"/>
        </w:rPr>
        <w:t>identification:</w:t>
      </w:r>
      <w:r>
        <w:rPr>
          <w:color w:val="231F20"/>
          <w:spacing w:val="20"/>
          <w:sz w:val="17"/>
        </w:rPr>
        <w:t xml:space="preserve"> </w:t>
      </w:r>
      <w:r>
        <w:rPr>
          <w:color w:val="231F20"/>
          <w:sz w:val="17"/>
        </w:rPr>
        <w:t>The</w:t>
      </w:r>
      <w:r>
        <w:rPr>
          <w:color w:val="231F20"/>
          <w:spacing w:val="20"/>
          <w:sz w:val="17"/>
        </w:rPr>
        <w:t xml:space="preserve"> </w:t>
      </w:r>
      <w:r>
        <w:rPr>
          <w:color w:val="231F20"/>
          <w:sz w:val="17"/>
        </w:rPr>
        <w:t>case</w:t>
      </w:r>
      <w:r>
        <w:rPr>
          <w:color w:val="231F20"/>
          <w:spacing w:val="20"/>
          <w:sz w:val="17"/>
        </w:rPr>
        <w:t xml:space="preserve"> </w:t>
      </w:r>
      <w:r>
        <w:rPr>
          <w:color w:val="231F20"/>
          <w:sz w:val="17"/>
        </w:rPr>
        <w:t>of</w:t>
      </w:r>
      <w:r>
        <w:rPr>
          <w:color w:val="231F20"/>
          <w:spacing w:val="20"/>
          <w:sz w:val="17"/>
        </w:rPr>
        <w:t xml:space="preserve"> </w:t>
      </w:r>
      <w:r>
        <w:rPr>
          <w:color w:val="231F20"/>
          <w:sz w:val="17"/>
        </w:rPr>
        <w:t>football</w:t>
      </w:r>
      <w:r>
        <w:rPr>
          <w:color w:val="231F20"/>
          <w:spacing w:val="19"/>
          <w:sz w:val="17"/>
        </w:rPr>
        <w:t xml:space="preserve"> </w:t>
      </w:r>
      <w:r>
        <w:rPr>
          <w:color w:val="231F20"/>
          <w:spacing w:val="-2"/>
          <w:sz w:val="17"/>
        </w:rPr>
        <w:t>fandom.</w:t>
      </w:r>
    </w:p>
    <w:p w14:paraId="36E029D9" w14:textId="77777777" w:rsidR="00AE0598" w:rsidRDefault="0069255A">
      <w:pPr>
        <w:spacing w:before="1"/>
        <w:ind w:left="430"/>
        <w:jc w:val="both"/>
        <w:rPr>
          <w:sz w:val="17"/>
        </w:rPr>
      </w:pPr>
      <w:r>
        <w:rPr>
          <w:i/>
          <w:color w:val="231F20"/>
          <w:w w:val="95"/>
          <w:sz w:val="17"/>
        </w:rPr>
        <w:t>Leisure</w:t>
      </w:r>
      <w:r>
        <w:rPr>
          <w:i/>
          <w:color w:val="231F20"/>
          <w:spacing w:val="12"/>
          <w:sz w:val="17"/>
        </w:rPr>
        <w:t xml:space="preserve"> </w:t>
      </w:r>
      <w:r>
        <w:rPr>
          <w:i/>
          <w:color w:val="231F20"/>
          <w:w w:val="95"/>
          <w:sz w:val="17"/>
        </w:rPr>
        <w:t>Studies</w:t>
      </w:r>
      <w:r>
        <w:rPr>
          <w:i/>
          <w:color w:val="231F20"/>
          <w:spacing w:val="13"/>
          <w:sz w:val="17"/>
        </w:rPr>
        <w:t xml:space="preserve"> </w:t>
      </w:r>
      <w:r>
        <w:rPr>
          <w:color w:val="231F20"/>
          <w:w w:val="95"/>
          <w:sz w:val="17"/>
        </w:rPr>
        <w:t>19</w:t>
      </w:r>
      <w:r>
        <w:rPr>
          <w:color w:val="231F20"/>
          <w:spacing w:val="13"/>
          <w:sz w:val="17"/>
        </w:rPr>
        <w:t xml:space="preserve"> </w:t>
      </w:r>
      <w:r>
        <w:rPr>
          <w:color w:val="231F20"/>
          <w:w w:val="95"/>
          <w:sz w:val="17"/>
        </w:rPr>
        <w:t>(4),</w:t>
      </w:r>
      <w:r>
        <w:rPr>
          <w:color w:val="231F20"/>
          <w:spacing w:val="12"/>
          <w:sz w:val="17"/>
        </w:rPr>
        <w:t xml:space="preserve"> </w:t>
      </w:r>
      <w:r>
        <w:rPr>
          <w:color w:val="231F20"/>
          <w:spacing w:val="-2"/>
          <w:w w:val="95"/>
          <w:sz w:val="17"/>
        </w:rPr>
        <w:t>283–298.</w:t>
      </w:r>
    </w:p>
    <w:p w14:paraId="50B23B47" w14:textId="77777777" w:rsidR="00AE0598" w:rsidRDefault="0069255A">
      <w:pPr>
        <w:spacing w:before="1"/>
        <w:ind w:left="110"/>
        <w:jc w:val="both"/>
        <w:rPr>
          <w:sz w:val="17"/>
        </w:rPr>
      </w:pPr>
      <w:r>
        <w:rPr>
          <w:color w:val="231F20"/>
          <w:sz w:val="17"/>
        </w:rPr>
        <w:t>Jones,</w:t>
      </w:r>
      <w:r>
        <w:rPr>
          <w:color w:val="231F20"/>
          <w:spacing w:val="-1"/>
          <w:sz w:val="17"/>
        </w:rPr>
        <w:t xml:space="preserve"> </w:t>
      </w:r>
      <w:r>
        <w:rPr>
          <w:color w:val="231F20"/>
          <w:sz w:val="17"/>
        </w:rPr>
        <w:t>I. and Green, B.C. (2005) Serious leisure, social identity</w:t>
      </w:r>
      <w:r>
        <w:rPr>
          <w:color w:val="231F20"/>
          <w:spacing w:val="-1"/>
          <w:sz w:val="17"/>
        </w:rPr>
        <w:t xml:space="preserve"> </w:t>
      </w:r>
      <w:r>
        <w:rPr>
          <w:color w:val="231F20"/>
          <w:sz w:val="17"/>
        </w:rPr>
        <w:t xml:space="preserve">and sport tourism in </w:t>
      </w:r>
      <w:r>
        <w:rPr>
          <w:color w:val="231F20"/>
          <w:spacing w:val="-2"/>
          <w:sz w:val="17"/>
        </w:rPr>
        <w:t>sport.</w:t>
      </w:r>
    </w:p>
    <w:p w14:paraId="6098FDA4" w14:textId="77777777" w:rsidR="00AE0598" w:rsidRDefault="0069255A">
      <w:pPr>
        <w:ind w:left="430"/>
        <w:jc w:val="both"/>
        <w:rPr>
          <w:i/>
          <w:sz w:val="17"/>
        </w:rPr>
      </w:pPr>
      <w:r>
        <w:rPr>
          <w:i/>
          <w:color w:val="231F20"/>
          <w:sz w:val="17"/>
        </w:rPr>
        <w:t>Sport</w:t>
      </w:r>
      <w:r>
        <w:rPr>
          <w:i/>
          <w:color w:val="231F20"/>
          <w:spacing w:val="-1"/>
          <w:sz w:val="17"/>
        </w:rPr>
        <w:t xml:space="preserve"> </w:t>
      </w:r>
      <w:r>
        <w:rPr>
          <w:i/>
          <w:color w:val="231F20"/>
          <w:sz w:val="17"/>
        </w:rPr>
        <w:t>in</w:t>
      </w:r>
      <w:r>
        <w:rPr>
          <w:i/>
          <w:color w:val="231F20"/>
          <w:spacing w:val="-1"/>
          <w:sz w:val="17"/>
        </w:rPr>
        <w:t xml:space="preserve"> </w:t>
      </w:r>
      <w:r>
        <w:rPr>
          <w:i/>
          <w:color w:val="231F20"/>
          <w:sz w:val="17"/>
        </w:rPr>
        <w:t>Society</w:t>
      </w:r>
      <w:r>
        <w:rPr>
          <w:i/>
          <w:color w:val="231F20"/>
          <w:spacing w:val="-1"/>
          <w:sz w:val="17"/>
        </w:rPr>
        <w:t xml:space="preserve"> </w:t>
      </w:r>
      <w:r>
        <w:rPr>
          <w:color w:val="231F20"/>
          <w:sz w:val="17"/>
        </w:rPr>
        <w:t>8</w:t>
      </w:r>
      <w:r>
        <w:rPr>
          <w:color w:val="231F20"/>
          <w:spacing w:val="-1"/>
          <w:sz w:val="17"/>
        </w:rPr>
        <w:t xml:space="preserve"> </w:t>
      </w:r>
      <w:r>
        <w:rPr>
          <w:color w:val="231F20"/>
          <w:sz w:val="17"/>
        </w:rPr>
        <w:t>(2),</w:t>
      </w:r>
      <w:r>
        <w:rPr>
          <w:color w:val="231F20"/>
          <w:spacing w:val="-1"/>
          <w:sz w:val="17"/>
        </w:rPr>
        <w:t xml:space="preserve"> </w:t>
      </w:r>
      <w:r>
        <w:rPr>
          <w:color w:val="231F20"/>
          <w:spacing w:val="-2"/>
          <w:sz w:val="17"/>
        </w:rPr>
        <w:t>164–181</w:t>
      </w:r>
      <w:r>
        <w:rPr>
          <w:i/>
          <w:color w:val="231F20"/>
          <w:spacing w:val="-2"/>
          <w:sz w:val="17"/>
        </w:rPr>
        <w:t>.</w:t>
      </w:r>
    </w:p>
    <w:p w14:paraId="6847572A" w14:textId="77777777" w:rsidR="00AE0598" w:rsidRDefault="0069255A">
      <w:pPr>
        <w:spacing w:before="1"/>
        <w:ind w:left="430" w:right="127" w:hanging="320"/>
        <w:jc w:val="both"/>
        <w:rPr>
          <w:sz w:val="17"/>
        </w:rPr>
      </w:pPr>
      <w:r>
        <w:rPr>
          <w:color w:val="231F20"/>
          <w:sz w:val="17"/>
        </w:rPr>
        <w:t xml:space="preserve">Kahanamoku, D. and Brennan, J. (1968) </w:t>
      </w:r>
      <w:r>
        <w:rPr>
          <w:i/>
          <w:color w:val="231F20"/>
          <w:sz w:val="17"/>
        </w:rPr>
        <w:t>Duke Kahanamoku’s World of Surfing</w:t>
      </w:r>
      <w:r>
        <w:rPr>
          <w:color w:val="231F20"/>
          <w:sz w:val="17"/>
        </w:rPr>
        <w:t>. Sydney:</w:t>
      </w:r>
      <w:r>
        <w:rPr>
          <w:color w:val="231F20"/>
          <w:spacing w:val="40"/>
          <w:w w:val="105"/>
          <w:sz w:val="17"/>
        </w:rPr>
        <w:t xml:space="preserve"> </w:t>
      </w:r>
      <w:r>
        <w:rPr>
          <w:color w:val="231F20"/>
          <w:w w:val="105"/>
          <w:sz w:val="17"/>
        </w:rPr>
        <w:t>Angus and Robertson.</w:t>
      </w:r>
    </w:p>
    <w:p w14:paraId="13E7D741" w14:textId="77777777" w:rsidR="00AE0598" w:rsidRDefault="0069255A">
      <w:pPr>
        <w:spacing w:before="1"/>
        <w:ind w:left="110"/>
        <w:jc w:val="both"/>
        <w:rPr>
          <w:sz w:val="17"/>
        </w:rPr>
      </w:pPr>
      <w:r>
        <w:rPr>
          <w:color w:val="231F20"/>
          <w:w w:val="95"/>
          <w:sz w:val="17"/>
        </w:rPr>
        <w:t>Kane,</w:t>
      </w:r>
      <w:r>
        <w:rPr>
          <w:color w:val="231F20"/>
          <w:spacing w:val="12"/>
          <w:sz w:val="17"/>
        </w:rPr>
        <w:t xml:space="preserve"> </w:t>
      </w:r>
      <w:r>
        <w:rPr>
          <w:color w:val="231F20"/>
          <w:w w:val="95"/>
          <w:sz w:val="17"/>
        </w:rPr>
        <w:t>M.J.</w:t>
      </w:r>
      <w:r>
        <w:rPr>
          <w:color w:val="231F20"/>
          <w:spacing w:val="13"/>
          <w:sz w:val="17"/>
        </w:rPr>
        <w:t xml:space="preserve"> </w:t>
      </w:r>
      <w:r>
        <w:rPr>
          <w:color w:val="231F20"/>
          <w:w w:val="95"/>
          <w:sz w:val="17"/>
        </w:rPr>
        <w:t>and</w:t>
      </w:r>
      <w:r>
        <w:rPr>
          <w:color w:val="231F20"/>
          <w:spacing w:val="13"/>
          <w:sz w:val="17"/>
        </w:rPr>
        <w:t xml:space="preserve"> </w:t>
      </w:r>
      <w:r>
        <w:rPr>
          <w:color w:val="231F20"/>
          <w:w w:val="95"/>
          <w:sz w:val="17"/>
        </w:rPr>
        <w:t>Zink,</w:t>
      </w:r>
      <w:r>
        <w:rPr>
          <w:color w:val="231F20"/>
          <w:spacing w:val="13"/>
          <w:sz w:val="17"/>
        </w:rPr>
        <w:t xml:space="preserve"> </w:t>
      </w:r>
      <w:r>
        <w:rPr>
          <w:color w:val="231F20"/>
          <w:w w:val="95"/>
          <w:sz w:val="17"/>
        </w:rPr>
        <w:t>R.</w:t>
      </w:r>
      <w:r>
        <w:rPr>
          <w:color w:val="231F20"/>
          <w:spacing w:val="12"/>
          <w:sz w:val="17"/>
        </w:rPr>
        <w:t xml:space="preserve"> </w:t>
      </w:r>
      <w:r>
        <w:rPr>
          <w:color w:val="231F20"/>
          <w:w w:val="95"/>
          <w:sz w:val="17"/>
        </w:rPr>
        <w:t>(2004)</w:t>
      </w:r>
      <w:r>
        <w:rPr>
          <w:color w:val="231F20"/>
          <w:spacing w:val="13"/>
          <w:sz w:val="17"/>
        </w:rPr>
        <w:t xml:space="preserve"> </w:t>
      </w:r>
      <w:r>
        <w:rPr>
          <w:color w:val="231F20"/>
          <w:w w:val="95"/>
          <w:sz w:val="17"/>
        </w:rPr>
        <w:t>Package</w:t>
      </w:r>
      <w:r>
        <w:rPr>
          <w:color w:val="231F20"/>
          <w:spacing w:val="13"/>
          <w:sz w:val="17"/>
        </w:rPr>
        <w:t xml:space="preserve"> </w:t>
      </w:r>
      <w:r>
        <w:rPr>
          <w:color w:val="231F20"/>
          <w:w w:val="95"/>
          <w:sz w:val="17"/>
        </w:rPr>
        <w:t>adventure</w:t>
      </w:r>
      <w:r>
        <w:rPr>
          <w:color w:val="231F20"/>
          <w:spacing w:val="13"/>
          <w:sz w:val="17"/>
        </w:rPr>
        <w:t xml:space="preserve"> </w:t>
      </w:r>
      <w:r>
        <w:rPr>
          <w:color w:val="231F20"/>
          <w:w w:val="95"/>
          <w:sz w:val="17"/>
        </w:rPr>
        <w:t>tours:</w:t>
      </w:r>
      <w:r>
        <w:rPr>
          <w:color w:val="231F20"/>
          <w:spacing w:val="12"/>
          <w:sz w:val="17"/>
        </w:rPr>
        <w:t xml:space="preserve"> </w:t>
      </w:r>
      <w:r>
        <w:rPr>
          <w:color w:val="231F20"/>
          <w:w w:val="95"/>
          <w:sz w:val="17"/>
        </w:rPr>
        <w:t>Markets</w:t>
      </w:r>
      <w:r>
        <w:rPr>
          <w:color w:val="231F20"/>
          <w:spacing w:val="13"/>
          <w:sz w:val="17"/>
        </w:rPr>
        <w:t xml:space="preserve"> </w:t>
      </w:r>
      <w:r>
        <w:rPr>
          <w:color w:val="231F20"/>
          <w:w w:val="95"/>
          <w:sz w:val="17"/>
        </w:rPr>
        <w:t>in</w:t>
      </w:r>
      <w:r>
        <w:rPr>
          <w:color w:val="231F20"/>
          <w:spacing w:val="13"/>
          <w:sz w:val="17"/>
        </w:rPr>
        <w:t xml:space="preserve"> </w:t>
      </w:r>
      <w:r>
        <w:rPr>
          <w:color w:val="231F20"/>
          <w:w w:val="95"/>
          <w:sz w:val="17"/>
        </w:rPr>
        <w:t>serious</w:t>
      </w:r>
      <w:r>
        <w:rPr>
          <w:color w:val="231F20"/>
          <w:spacing w:val="13"/>
          <w:sz w:val="17"/>
        </w:rPr>
        <w:t xml:space="preserve"> </w:t>
      </w:r>
      <w:r>
        <w:rPr>
          <w:color w:val="231F20"/>
          <w:w w:val="95"/>
          <w:sz w:val="17"/>
        </w:rPr>
        <w:t>leisure</w:t>
      </w:r>
      <w:r>
        <w:rPr>
          <w:color w:val="231F20"/>
          <w:spacing w:val="13"/>
          <w:sz w:val="17"/>
        </w:rPr>
        <w:t xml:space="preserve"> </w:t>
      </w:r>
      <w:r>
        <w:rPr>
          <w:color w:val="231F20"/>
          <w:spacing w:val="-2"/>
          <w:w w:val="95"/>
          <w:sz w:val="17"/>
        </w:rPr>
        <w:t>careers.</w:t>
      </w:r>
    </w:p>
    <w:p w14:paraId="403988CB" w14:textId="77777777" w:rsidR="00AE0598" w:rsidRDefault="0069255A">
      <w:pPr>
        <w:spacing w:before="1"/>
        <w:ind w:left="430"/>
        <w:jc w:val="both"/>
        <w:rPr>
          <w:sz w:val="17"/>
        </w:rPr>
      </w:pPr>
      <w:r>
        <w:rPr>
          <w:i/>
          <w:color w:val="231F20"/>
          <w:w w:val="95"/>
          <w:sz w:val="17"/>
        </w:rPr>
        <w:t>Leisure</w:t>
      </w:r>
      <w:r>
        <w:rPr>
          <w:i/>
          <w:color w:val="231F20"/>
          <w:spacing w:val="13"/>
          <w:sz w:val="17"/>
        </w:rPr>
        <w:t xml:space="preserve"> </w:t>
      </w:r>
      <w:r>
        <w:rPr>
          <w:i/>
          <w:color w:val="231F20"/>
          <w:w w:val="95"/>
          <w:sz w:val="17"/>
        </w:rPr>
        <w:t>Studies</w:t>
      </w:r>
      <w:r>
        <w:rPr>
          <w:i/>
          <w:color w:val="231F20"/>
          <w:spacing w:val="14"/>
          <w:sz w:val="17"/>
        </w:rPr>
        <w:t xml:space="preserve"> </w:t>
      </w:r>
      <w:r>
        <w:rPr>
          <w:color w:val="231F20"/>
          <w:w w:val="95"/>
          <w:sz w:val="17"/>
        </w:rPr>
        <w:t>23</w:t>
      </w:r>
      <w:r>
        <w:rPr>
          <w:color w:val="231F20"/>
          <w:spacing w:val="14"/>
          <w:sz w:val="17"/>
        </w:rPr>
        <w:t xml:space="preserve"> </w:t>
      </w:r>
      <w:r>
        <w:rPr>
          <w:color w:val="231F20"/>
          <w:w w:val="95"/>
          <w:sz w:val="17"/>
        </w:rPr>
        <w:t>(4),</w:t>
      </w:r>
      <w:r>
        <w:rPr>
          <w:color w:val="231F20"/>
          <w:spacing w:val="13"/>
          <w:sz w:val="17"/>
        </w:rPr>
        <w:t xml:space="preserve"> </w:t>
      </w:r>
      <w:r>
        <w:rPr>
          <w:color w:val="231F20"/>
          <w:spacing w:val="-2"/>
          <w:w w:val="95"/>
          <w:sz w:val="17"/>
        </w:rPr>
        <w:t>329–335.</w:t>
      </w:r>
    </w:p>
    <w:p w14:paraId="7A41A5B7" w14:textId="77777777" w:rsidR="00AE0598" w:rsidRDefault="0069255A">
      <w:pPr>
        <w:spacing w:before="1"/>
        <w:ind w:left="430" w:right="127" w:hanging="320"/>
        <w:jc w:val="both"/>
        <w:rPr>
          <w:sz w:val="17"/>
        </w:rPr>
      </w:pPr>
      <w:r>
        <w:rPr>
          <w:color w:val="231F20"/>
          <w:sz w:val="17"/>
        </w:rPr>
        <w:t>Kang, Y.S. and Perdue, R. (1994) Long-term impacts of a mega-event on international</w:t>
      </w:r>
      <w:r>
        <w:rPr>
          <w:color w:val="231F20"/>
          <w:spacing w:val="40"/>
          <w:sz w:val="17"/>
        </w:rPr>
        <w:t xml:space="preserve"> </w:t>
      </w:r>
      <w:r>
        <w:rPr>
          <w:color w:val="231F20"/>
          <w:sz w:val="17"/>
        </w:rPr>
        <w:t>tourism to the host country: A conceptual model and the case of the 1988 Seoul</w:t>
      </w:r>
      <w:r>
        <w:rPr>
          <w:color w:val="231F20"/>
          <w:spacing w:val="40"/>
          <w:sz w:val="17"/>
        </w:rPr>
        <w:t xml:space="preserve"> </w:t>
      </w:r>
      <w:r>
        <w:rPr>
          <w:color w:val="231F20"/>
          <w:sz w:val="17"/>
        </w:rPr>
        <w:t xml:space="preserve">Olympics. </w:t>
      </w:r>
      <w:r>
        <w:rPr>
          <w:i/>
          <w:color w:val="231F20"/>
          <w:sz w:val="17"/>
        </w:rPr>
        <w:t xml:space="preserve">Journal of International Consumer Marketing </w:t>
      </w:r>
      <w:r>
        <w:rPr>
          <w:color w:val="231F20"/>
          <w:sz w:val="17"/>
        </w:rPr>
        <w:t xml:space="preserve">6 </w:t>
      </w:r>
      <w:r>
        <w:rPr>
          <w:color w:val="231F20"/>
          <w:w w:val="96"/>
          <w:sz w:val="17"/>
        </w:rPr>
        <w:t>(</w:t>
      </w:r>
      <w:r>
        <w:rPr>
          <w:color w:val="231F20"/>
          <w:spacing w:val="3"/>
          <w:w w:val="96"/>
          <w:sz w:val="17"/>
        </w:rPr>
        <w:t>3</w:t>
      </w:r>
      <w:r>
        <w:rPr>
          <w:color w:val="231F20"/>
          <w:spacing w:val="-2"/>
          <w:w w:val="68"/>
          <w:sz w:val="17"/>
        </w:rPr>
        <w:t>/</w:t>
      </w:r>
      <w:r>
        <w:rPr>
          <w:color w:val="231F20"/>
          <w:spacing w:val="1"/>
          <w:w w:val="97"/>
          <w:sz w:val="17"/>
        </w:rPr>
        <w:t>4</w:t>
      </w:r>
      <w:r>
        <w:rPr>
          <w:color w:val="231F20"/>
          <w:spacing w:val="-4"/>
          <w:w w:val="95"/>
          <w:sz w:val="17"/>
        </w:rPr>
        <w:t>)</w:t>
      </w:r>
      <w:r>
        <w:rPr>
          <w:color w:val="231F20"/>
          <w:w w:val="143"/>
          <w:sz w:val="17"/>
        </w:rPr>
        <w:t>,</w:t>
      </w:r>
      <w:r>
        <w:rPr>
          <w:color w:val="231F20"/>
          <w:spacing w:val="-1"/>
          <w:w w:val="99"/>
          <w:sz w:val="17"/>
        </w:rPr>
        <w:t xml:space="preserve"> </w:t>
      </w:r>
      <w:r>
        <w:rPr>
          <w:color w:val="231F20"/>
          <w:sz w:val="17"/>
        </w:rPr>
        <w:t>205–226.</w:t>
      </w:r>
    </w:p>
    <w:p w14:paraId="437F52BE" w14:textId="77777777" w:rsidR="00AE0598" w:rsidRDefault="0069255A">
      <w:pPr>
        <w:spacing w:before="2"/>
        <w:ind w:left="430" w:right="127" w:hanging="320"/>
        <w:jc w:val="both"/>
        <w:rPr>
          <w:sz w:val="17"/>
        </w:rPr>
      </w:pPr>
      <w:r>
        <w:rPr>
          <w:color w:val="231F20"/>
          <w:sz w:val="17"/>
        </w:rPr>
        <w:t xml:space="preserve">Kaplanidou, </w:t>
      </w:r>
      <w:r>
        <w:rPr>
          <w:color w:val="231F20"/>
          <w:w w:val="110"/>
          <w:sz w:val="17"/>
        </w:rPr>
        <w:t xml:space="preserve">K. </w:t>
      </w:r>
      <w:r>
        <w:rPr>
          <w:color w:val="231F20"/>
          <w:sz w:val="17"/>
        </w:rPr>
        <w:t>and Vo</w:t>
      </w:r>
      <w:r>
        <w:rPr>
          <w:color w:val="231F20"/>
          <w:sz w:val="17"/>
        </w:rPr>
        <w:t xml:space="preserve">gt, </w:t>
      </w:r>
      <w:r>
        <w:rPr>
          <w:color w:val="231F20"/>
          <w:w w:val="110"/>
          <w:sz w:val="17"/>
        </w:rPr>
        <w:t xml:space="preserve">C. </w:t>
      </w:r>
      <w:r>
        <w:rPr>
          <w:color w:val="231F20"/>
          <w:sz w:val="17"/>
        </w:rPr>
        <w:t>(2007) The interrelationship between sport event and</w:t>
      </w:r>
      <w:r>
        <w:rPr>
          <w:color w:val="231F20"/>
          <w:spacing w:val="40"/>
          <w:sz w:val="17"/>
        </w:rPr>
        <w:t xml:space="preserve"> </w:t>
      </w:r>
      <w:r>
        <w:rPr>
          <w:color w:val="231F20"/>
          <w:w w:val="95"/>
          <w:sz w:val="17"/>
        </w:rPr>
        <w:t xml:space="preserve">destination image and sport tourists’ behaviours. </w:t>
      </w:r>
      <w:r>
        <w:rPr>
          <w:i/>
          <w:color w:val="231F20"/>
          <w:w w:val="95"/>
          <w:sz w:val="17"/>
        </w:rPr>
        <w:t xml:space="preserve">Journal of Sport &amp; Tourism </w:t>
      </w:r>
      <w:r>
        <w:rPr>
          <w:color w:val="231F20"/>
          <w:w w:val="95"/>
          <w:sz w:val="17"/>
        </w:rPr>
        <w:t>12 (3–4),</w:t>
      </w:r>
      <w:r>
        <w:rPr>
          <w:color w:val="231F20"/>
          <w:spacing w:val="40"/>
          <w:sz w:val="17"/>
        </w:rPr>
        <w:t xml:space="preserve"> </w:t>
      </w:r>
      <w:r>
        <w:rPr>
          <w:color w:val="231F20"/>
          <w:spacing w:val="-2"/>
          <w:sz w:val="17"/>
        </w:rPr>
        <w:t>183–206.</w:t>
      </w:r>
    </w:p>
    <w:p w14:paraId="06962735" w14:textId="77777777" w:rsidR="00AE0598" w:rsidRDefault="0069255A">
      <w:pPr>
        <w:spacing w:before="2"/>
        <w:ind w:left="110" w:right="127"/>
        <w:jc w:val="both"/>
        <w:rPr>
          <w:sz w:val="17"/>
        </w:rPr>
      </w:pPr>
      <w:r>
        <w:rPr>
          <w:color w:val="231F20"/>
          <w:sz w:val="17"/>
        </w:rPr>
        <w:t xml:space="preserve">Kaspar, R. (1998) Sport, environment and culture. </w:t>
      </w:r>
      <w:r>
        <w:rPr>
          <w:i/>
          <w:color w:val="231F20"/>
          <w:sz w:val="17"/>
        </w:rPr>
        <w:t xml:space="preserve">Olympic Review </w:t>
      </w:r>
      <w:r>
        <w:rPr>
          <w:color w:val="231F20"/>
          <w:sz w:val="17"/>
        </w:rPr>
        <w:t xml:space="preserve">20 </w:t>
      </w:r>
      <w:r>
        <w:rPr>
          <w:color w:val="231F20"/>
          <w:w w:val="87"/>
          <w:sz w:val="17"/>
        </w:rPr>
        <w:t>(</w:t>
      </w:r>
      <w:r>
        <w:rPr>
          <w:color w:val="231F20"/>
          <w:w w:val="115"/>
          <w:sz w:val="17"/>
        </w:rPr>
        <w:t>A</w:t>
      </w:r>
      <w:r>
        <w:rPr>
          <w:color w:val="231F20"/>
          <w:spacing w:val="-1"/>
          <w:w w:val="96"/>
          <w:sz w:val="17"/>
        </w:rPr>
        <w:t>p</w:t>
      </w:r>
      <w:r>
        <w:rPr>
          <w:color w:val="231F20"/>
          <w:spacing w:val="2"/>
          <w:w w:val="96"/>
          <w:sz w:val="17"/>
        </w:rPr>
        <w:t>r</w:t>
      </w:r>
      <w:r>
        <w:rPr>
          <w:color w:val="231F20"/>
          <w:spacing w:val="2"/>
          <w:sz w:val="17"/>
        </w:rPr>
        <w:t>i</w:t>
      </w:r>
      <w:r>
        <w:rPr>
          <w:color w:val="231F20"/>
          <w:spacing w:val="6"/>
          <w:w w:val="102"/>
          <w:sz w:val="17"/>
        </w:rPr>
        <w:t>l</w:t>
      </w:r>
      <w:r>
        <w:rPr>
          <w:color w:val="231F20"/>
          <w:spacing w:val="2"/>
          <w:w w:val="60"/>
          <w:sz w:val="17"/>
        </w:rPr>
        <w:t>/</w:t>
      </w:r>
      <w:r>
        <w:rPr>
          <w:color w:val="231F20"/>
          <w:spacing w:val="3"/>
          <w:w w:val="120"/>
          <w:sz w:val="17"/>
        </w:rPr>
        <w:t>M</w:t>
      </w:r>
      <w:r>
        <w:rPr>
          <w:color w:val="231F20"/>
          <w:spacing w:val="-4"/>
          <w:w w:val="101"/>
          <w:sz w:val="17"/>
        </w:rPr>
        <w:t>a</w:t>
      </w:r>
      <w:r>
        <w:rPr>
          <w:color w:val="231F20"/>
          <w:spacing w:val="-5"/>
          <w:w w:val="98"/>
          <w:sz w:val="17"/>
        </w:rPr>
        <w:t>y</w:t>
      </w:r>
      <w:r>
        <w:rPr>
          <w:color w:val="231F20"/>
          <w:spacing w:val="-5"/>
          <w:w w:val="87"/>
          <w:sz w:val="17"/>
        </w:rPr>
        <w:t>)</w:t>
      </w:r>
      <w:r>
        <w:rPr>
          <w:color w:val="231F20"/>
          <w:spacing w:val="-1"/>
          <w:w w:val="135"/>
          <w:sz w:val="17"/>
        </w:rPr>
        <w:t>,</w:t>
      </w:r>
      <w:r>
        <w:rPr>
          <w:color w:val="231F20"/>
          <w:spacing w:val="-1"/>
          <w:w w:val="99"/>
          <w:sz w:val="17"/>
        </w:rPr>
        <w:t xml:space="preserve"> </w:t>
      </w:r>
      <w:r>
        <w:rPr>
          <w:color w:val="231F20"/>
          <w:sz w:val="17"/>
        </w:rPr>
        <w:t>1–5.</w:t>
      </w:r>
      <w:r>
        <w:rPr>
          <w:color w:val="231F20"/>
          <w:spacing w:val="40"/>
          <w:sz w:val="17"/>
        </w:rPr>
        <w:t xml:space="preserve"> </w:t>
      </w:r>
      <w:r>
        <w:rPr>
          <w:color w:val="231F20"/>
          <w:sz w:val="17"/>
        </w:rPr>
        <w:t>Keller,</w:t>
      </w:r>
      <w:r>
        <w:rPr>
          <w:color w:val="231F20"/>
          <w:spacing w:val="13"/>
          <w:sz w:val="17"/>
        </w:rPr>
        <w:t xml:space="preserve"> </w:t>
      </w:r>
      <w:r>
        <w:rPr>
          <w:color w:val="231F20"/>
          <w:sz w:val="17"/>
        </w:rPr>
        <w:t>P.</w:t>
      </w:r>
      <w:r>
        <w:rPr>
          <w:color w:val="231F20"/>
          <w:spacing w:val="13"/>
          <w:sz w:val="17"/>
        </w:rPr>
        <w:t xml:space="preserve"> </w:t>
      </w:r>
      <w:r>
        <w:rPr>
          <w:color w:val="231F20"/>
          <w:sz w:val="17"/>
        </w:rPr>
        <w:t>(2001)</w:t>
      </w:r>
      <w:r>
        <w:rPr>
          <w:color w:val="231F20"/>
          <w:spacing w:val="13"/>
          <w:sz w:val="17"/>
        </w:rPr>
        <w:t xml:space="preserve"> </w:t>
      </w:r>
      <w:r>
        <w:rPr>
          <w:color w:val="231F20"/>
          <w:sz w:val="17"/>
        </w:rPr>
        <w:t>Sport</w:t>
      </w:r>
      <w:r>
        <w:rPr>
          <w:color w:val="231F20"/>
          <w:spacing w:val="13"/>
          <w:sz w:val="17"/>
        </w:rPr>
        <w:t xml:space="preserve"> </w:t>
      </w:r>
      <w:r>
        <w:rPr>
          <w:color w:val="231F20"/>
          <w:sz w:val="17"/>
        </w:rPr>
        <w:t>and</w:t>
      </w:r>
      <w:r>
        <w:rPr>
          <w:color w:val="231F20"/>
          <w:spacing w:val="13"/>
          <w:sz w:val="17"/>
        </w:rPr>
        <w:t xml:space="preserve"> </w:t>
      </w:r>
      <w:r>
        <w:rPr>
          <w:color w:val="231F20"/>
          <w:sz w:val="17"/>
        </w:rPr>
        <w:t>tourism:</w:t>
      </w:r>
      <w:r>
        <w:rPr>
          <w:color w:val="231F20"/>
          <w:spacing w:val="13"/>
          <w:sz w:val="17"/>
        </w:rPr>
        <w:t xml:space="preserve"> </w:t>
      </w:r>
      <w:r>
        <w:rPr>
          <w:color w:val="231F20"/>
          <w:sz w:val="17"/>
        </w:rPr>
        <w:t>Introductory</w:t>
      </w:r>
      <w:r>
        <w:rPr>
          <w:color w:val="231F20"/>
          <w:spacing w:val="13"/>
          <w:sz w:val="17"/>
        </w:rPr>
        <w:t xml:space="preserve"> </w:t>
      </w:r>
      <w:r>
        <w:rPr>
          <w:color w:val="231F20"/>
          <w:sz w:val="17"/>
        </w:rPr>
        <w:t>report.</w:t>
      </w:r>
      <w:r>
        <w:rPr>
          <w:color w:val="231F20"/>
          <w:spacing w:val="13"/>
          <w:sz w:val="17"/>
        </w:rPr>
        <w:t xml:space="preserve"> </w:t>
      </w:r>
      <w:r>
        <w:rPr>
          <w:color w:val="231F20"/>
          <w:sz w:val="17"/>
        </w:rPr>
        <w:t>Paper</w:t>
      </w:r>
      <w:r>
        <w:rPr>
          <w:color w:val="231F20"/>
          <w:spacing w:val="13"/>
          <w:sz w:val="17"/>
        </w:rPr>
        <w:t xml:space="preserve"> </w:t>
      </w:r>
      <w:r>
        <w:rPr>
          <w:color w:val="231F20"/>
          <w:sz w:val="17"/>
        </w:rPr>
        <w:t>presented</w:t>
      </w:r>
      <w:r>
        <w:rPr>
          <w:color w:val="231F20"/>
          <w:spacing w:val="13"/>
          <w:sz w:val="17"/>
        </w:rPr>
        <w:t xml:space="preserve"> </w:t>
      </w:r>
      <w:r>
        <w:rPr>
          <w:color w:val="231F20"/>
          <w:sz w:val="17"/>
        </w:rPr>
        <w:t>at</w:t>
      </w:r>
      <w:r>
        <w:rPr>
          <w:color w:val="231F20"/>
          <w:spacing w:val="13"/>
          <w:sz w:val="17"/>
        </w:rPr>
        <w:t xml:space="preserve"> </w:t>
      </w:r>
      <w:r>
        <w:rPr>
          <w:color w:val="231F20"/>
          <w:sz w:val="17"/>
        </w:rPr>
        <w:t>the</w:t>
      </w:r>
      <w:r>
        <w:rPr>
          <w:color w:val="231F20"/>
          <w:spacing w:val="13"/>
          <w:sz w:val="17"/>
        </w:rPr>
        <w:t xml:space="preserve"> </w:t>
      </w:r>
      <w:r>
        <w:rPr>
          <w:color w:val="231F20"/>
          <w:sz w:val="17"/>
        </w:rPr>
        <w:t>World</w:t>
      </w:r>
    </w:p>
    <w:p w14:paraId="496ACA1C" w14:textId="77777777" w:rsidR="00AE0598" w:rsidRDefault="0069255A">
      <w:pPr>
        <w:spacing w:before="1"/>
        <w:ind w:left="430"/>
        <w:jc w:val="both"/>
        <w:rPr>
          <w:sz w:val="17"/>
        </w:rPr>
      </w:pPr>
      <w:r>
        <w:rPr>
          <w:color w:val="231F20"/>
          <w:w w:val="95"/>
          <w:sz w:val="17"/>
        </w:rPr>
        <w:t>Conference</w:t>
      </w:r>
      <w:r>
        <w:rPr>
          <w:color w:val="231F20"/>
          <w:spacing w:val="18"/>
          <w:sz w:val="17"/>
        </w:rPr>
        <w:t xml:space="preserve"> </w:t>
      </w:r>
      <w:r>
        <w:rPr>
          <w:color w:val="231F20"/>
          <w:w w:val="95"/>
          <w:sz w:val="17"/>
        </w:rPr>
        <w:t>on</w:t>
      </w:r>
      <w:r>
        <w:rPr>
          <w:color w:val="231F20"/>
          <w:spacing w:val="19"/>
          <w:sz w:val="17"/>
        </w:rPr>
        <w:t xml:space="preserve"> </w:t>
      </w:r>
      <w:r>
        <w:rPr>
          <w:color w:val="231F20"/>
          <w:w w:val="95"/>
          <w:sz w:val="17"/>
        </w:rPr>
        <w:t>Sport</w:t>
      </w:r>
      <w:r>
        <w:rPr>
          <w:color w:val="231F20"/>
          <w:spacing w:val="18"/>
          <w:sz w:val="17"/>
        </w:rPr>
        <w:t xml:space="preserve"> </w:t>
      </w:r>
      <w:r>
        <w:rPr>
          <w:color w:val="231F20"/>
          <w:w w:val="95"/>
          <w:sz w:val="17"/>
        </w:rPr>
        <w:t>and</w:t>
      </w:r>
      <w:r>
        <w:rPr>
          <w:color w:val="231F20"/>
          <w:spacing w:val="19"/>
          <w:sz w:val="17"/>
        </w:rPr>
        <w:t xml:space="preserve"> </w:t>
      </w:r>
      <w:r>
        <w:rPr>
          <w:color w:val="231F20"/>
          <w:w w:val="95"/>
          <w:sz w:val="17"/>
        </w:rPr>
        <w:t>Tourism,</w:t>
      </w:r>
      <w:r>
        <w:rPr>
          <w:color w:val="231F20"/>
          <w:spacing w:val="19"/>
          <w:sz w:val="17"/>
        </w:rPr>
        <w:t xml:space="preserve"> </w:t>
      </w:r>
      <w:r>
        <w:rPr>
          <w:color w:val="231F20"/>
          <w:w w:val="95"/>
          <w:sz w:val="17"/>
        </w:rPr>
        <w:t>Barcelona,</w:t>
      </w:r>
      <w:r>
        <w:rPr>
          <w:color w:val="231F20"/>
          <w:spacing w:val="18"/>
          <w:sz w:val="17"/>
        </w:rPr>
        <w:t xml:space="preserve"> </w:t>
      </w:r>
      <w:r>
        <w:rPr>
          <w:color w:val="231F20"/>
          <w:w w:val="95"/>
          <w:sz w:val="17"/>
        </w:rPr>
        <w:t>Spain,</w:t>
      </w:r>
      <w:r>
        <w:rPr>
          <w:color w:val="231F20"/>
          <w:spacing w:val="19"/>
          <w:sz w:val="17"/>
        </w:rPr>
        <w:t xml:space="preserve"> </w:t>
      </w:r>
      <w:r>
        <w:rPr>
          <w:color w:val="231F20"/>
          <w:w w:val="95"/>
          <w:sz w:val="17"/>
        </w:rPr>
        <w:t>22–23</w:t>
      </w:r>
      <w:r>
        <w:rPr>
          <w:color w:val="231F20"/>
          <w:spacing w:val="19"/>
          <w:sz w:val="17"/>
        </w:rPr>
        <w:t xml:space="preserve"> </w:t>
      </w:r>
      <w:r>
        <w:rPr>
          <w:color w:val="231F20"/>
          <w:spacing w:val="-2"/>
          <w:w w:val="95"/>
          <w:sz w:val="17"/>
        </w:rPr>
        <w:t>February.</w:t>
      </w:r>
    </w:p>
    <w:p w14:paraId="20D8744F" w14:textId="77777777" w:rsidR="00AE0598" w:rsidRDefault="0069255A">
      <w:pPr>
        <w:spacing w:before="1"/>
        <w:ind w:left="110"/>
        <w:jc w:val="both"/>
        <w:rPr>
          <w:sz w:val="17"/>
        </w:rPr>
      </w:pPr>
      <w:r>
        <w:rPr>
          <w:color w:val="231F20"/>
          <w:w w:val="95"/>
          <w:sz w:val="17"/>
        </w:rPr>
        <w:t>Kennedy,</w:t>
      </w:r>
      <w:r>
        <w:rPr>
          <w:color w:val="231F20"/>
          <w:spacing w:val="11"/>
          <w:sz w:val="17"/>
        </w:rPr>
        <w:t xml:space="preserve"> </w:t>
      </w:r>
      <w:r>
        <w:rPr>
          <w:color w:val="231F20"/>
          <w:w w:val="95"/>
          <w:sz w:val="17"/>
        </w:rPr>
        <w:t>E.</w:t>
      </w:r>
      <w:r>
        <w:rPr>
          <w:color w:val="231F20"/>
          <w:spacing w:val="11"/>
          <w:sz w:val="17"/>
        </w:rPr>
        <w:t xml:space="preserve"> </w:t>
      </w:r>
      <w:r>
        <w:rPr>
          <w:color w:val="231F20"/>
          <w:w w:val="95"/>
          <w:sz w:val="17"/>
        </w:rPr>
        <w:t>and</w:t>
      </w:r>
      <w:r>
        <w:rPr>
          <w:color w:val="231F20"/>
          <w:spacing w:val="11"/>
          <w:sz w:val="17"/>
        </w:rPr>
        <w:t xml:space="preserve"> </w:t>
      </w:r>
      <w:r>
        <w:rPr>
          <w:color w:val="231F20"/>
          <w:w w:val="95"/>
          <w:sz w:val="17"/>
        </w:rPr>
        <w:t>Deegan,</w:t>
      </w:r>
      <w:r>
        <w:rPr>
          <w:color w:val="231F20"/>
          <w:spacing w:val="12"/>
          <w:sz w:val="17"/>
        </w:rPr>
        <w:t xml:space="preserve"> </w:t>
      </w:r>
      <w:r>
        <w:rPr>
          <w:color w:val="231F20"/>
          <w:w w:val="95"/>
          <w:sz w:val="17"/>
        </w:rPr>
        <w:t>J.</w:t>
      </w:r>
      <w:r>
        <w:rPr>
          <w:color w:val="231F20"/>
          <w:spacing w:val="11"/>
          <w:sz w:val="17"/>
        </w:rPr>
        <w:t xml:space="preserve"> </w:t>
      </w:r>
      <w:r>
        <w:rPr>
          <w:color w:val="231F20"/>
          <w:w w:val="95"/>
          <w:sz w:val="17"/>
        </w:rPr>
        <w:t>(2001)</w:t>
      </w:r>
      <w:r>
        <w:rPr>
          <w:color w:val="231F20"/>
          <w:spacing w:val="11"/>
          <w:sz w:val="17"/>
        </w:rPr>
        <w:t xml:space="preserve"> </w:t>
      </w:r>
      <w:r>
        <w:rPr>
          <w:color w:val="231F20"/>
          <w:w w:val="95"/>
          <w:sz w:val="17"/>
        </w:rPr>
        <w:t>Seasonality</w:t>
      </w:r>
      <w:r>
        <w:rPr>
          <w:color w:val="231F20"/>
          <w:spacing w:val="12"/>
          <w:sz w:val="17"/>
        </w:rPr>
        <w:t xml:space="preserve"> </w:t>
      </w:r>
      <w:r>
        <w:rPr>
          <w:color w:val="231F20"/>
          <w:w w:val="95"/>
          <w:sz w:val="17"/>
        </w:rPr>
        <w:t>in</w:t>
      </w:r>
      <w:r>
        <w:rPr>
          <w:color w:val="231F20"/>
          <w:spacing w:val="11"/>
          <w:sz w:val="17"/>
        </w:rPr>
        <w:t xml:space="preserve"> </w:t>
      </w:r>
      <w:r>
        <w:rPr>
          <w:color w:val="231F20"/>
          <w:w w:val="95"/>
          <w:sz w:val="17"/>
        </w:rPr>
        <w:t>Irish</w:t>
      </w:r>
      <w:r>
        <w:rPr>
          <w:color w:val="231F20"/>
          <w:spacing w:val="11"/>
          <w:sz w:val="17"/>
        </w:rPr>
        <w:t xml:space="preserve"> </w:t>
      </w:r>
      <w:r>
        <w:rPr>
          <w:color w:val="231F20"/>
          <w:w w:val="95"/>
          <w:sz w:val="17"/>
        </w:rPr>
        <w:t>tourism,</w:t>
      </w:r>
      <w:r>
        <w:rPr>
          <w:color w:val="231F20"/>
          <w:spacing w:val="12"/>
          <w:sz w:val="17"/>
        </w:rPr>
        <w:t xml:space="preserve"> </w:t>
      </w:r>
      <w:r>
        <w:rPr>
          <w:color w:val="231F20"/>
          <w:w w:val="95"/>
          <w:sz w:val="17"/>
        </w:rPr>
        <w:t>1973–1995.</w:t>
      </w:r>
      <w:r>
        <w:rPr>
          <w:color w:val="231F20"/>
          <w:spacing w:val="11"/>
          <w:sz w:val="17"/>
        </w:rPr>
        <w:t xml:space="preserve"> </w:t>
      </w:r>
      <w:r>
        <w:rPr>
          <w:color w:val="231F20"/>
          <w:w w:val="95"/>
          <w:sz w:val="17"/>
        </w:rPr>
        <w:t>In</w:t>
      </w:r>
      <w:r>
        <w:rPr>
          <w:color w:val="231F20"/>
          <w:spacing w:val="11"/>
          <w:sz w:val="17"/>
        </w:rPr>
        <w:t xml:space="preserve"> </w:t>
      </w:r>
      <w:r>
        <w:rPr>
          <w:color w:val="231F20"/>
          <w:w w:val="95"/>
          <w:sz w:val="17"/>
        </w:rPr>
        <w:t>T.</w:t>
      </w:r>
      <w:r>
        <w:rPr>
          <w:color w:val="231F20"/>
          <w:spacing w:val="12"/>
          <w:sz w:val="17"/>
        </w:rPr>
        <w:t xml:space="preserve"> </w:t>
      </w:r>
      <w:r>
        <w:rPr>
          <w:color w:val="231F20"/>
          <w:w w:val="95"/>
          <w:sz w:val="17"/>
        </w:rPr>
        <w:t>Baum</w:t>
      </w:r>
      <w:r>
        <w:rPr>
          <w:color w:val="231F20"/>
          <w:spacing w:val="11"/>
          <w:sz w:val="17"/>
        </w:rPr>
        <w:t xml:space="preserve"> </w:t>
      </w:r>
      <w:r>
        <w:rPr>
          <w:color w:val="231F20"/>
          <w:spacing w:val="-5"/>
          <w:w w:val="95"/>
          <w:sz w:val="17"/>
        </w:rPr>
        <w:t>and</w:t>
      </w:r>
    </w:p>
    <w:p w14:paraId="2AF2AFE6" w14:textId="77777777" w:rsidR="00AE0598" w:rsidRDefault="0069255A">
      <w:pPr>
        <w:spacing w:before="1"/>
        <w:ind w:left="430"/>
        <w:jc w:val="both"/>
        <w:rPr>
          <w:sz w:val="17"/>
        </w:rPr>
      </w:pPr>
      <w:r>
        <w:rPr>
          <w:color w:val="231F20"/>
          <w:w w:val="95"/>
          <w:sz w:val="17"/>
        </w:rPr>
        <w:t>S.</w:t>
      </w:r>
      <w:r>
        <w:rPr>
          <w:color w:val="231F20"/>
          <w:spacing w:val="17"/>
          <w:sz w:val="17"/>
        </w:rPr>
        <w:t xml:space="preserve"> </w:t>
      </w:r>
      <w:r>
        <w:rPr>
          <w:color w:val="231F20"/>
          <w:w w:val="95"/>
          <w:sz w:val="17"/>
        </w:rPr>
        <w:t>Lundtorp</w:t>
      </w:r>
      <w:r>
        <w:rPr>
          <w:color w:val="231F20"/>
          <w:spacing w:val="17"/>
          <w:sz w:val="17"/>
        </w:rPr>
        <w:t xml:space="preserve"> </w:t>
      </w:r>
      <w:r>
        <w:rPr>
          <w:color w:val="231F20"/>
          <w:w w:val="95"/>
          <w:sz w:val="17"/>
        </w:rPr>
        <w:t>(eds)</w:t>
      </w:r>
      <w:r>
        <w:rPr>
          <w:color w:val="231F20"/>
          <w:spacing w:val="16"/>
          <w:sz w:val="17"/>
        </w:rPr>
        <w:t xml:space="preserve"> </w:t>
      </w:r>
      <w:r>
        <w:rPr>
          <w:i/>
          <w:color w:val="231F20"/>
          <w:w w:val="95"/>
          <w:sz w:val="17"/>
        </w:rPr>
        <w:t>Seasonality</w:t>
      </w:r>
      <w:r>
        <w:rPr>
          <w:i/>
          <w:color w:val="231F20"/>
          <w:spacing w:val="18"/>
          <w:sz w:val="17"/>
        </w:rPr>
        <w:t xml:space="preserve"> </w:t>
      </w:r>
      <w:r>
        <w:rPr>
          <w:i/>
          <w:color w:val="231F20"/>
          <w:w w:val="95"/>
          <w:sz w:val="17"/>
        </w:rPr>
        <w:t>and</w:t>
      </w:r>
      <w:r>
        <w:rPr>
          <w:i/>
          <w:color w:val="231F20"/>
          <w:spacing w:val="17"/>
          <w:sz w:val="17"/>
        </w:rPr>
        <w:t xml:space="preserve"> </w:t>
      </w:r>
      <w:r>
        <w:rPr>
          <w:i/>
          <w:color w:val="231F20"/>
          <w:w w:val="95"/>
          <w:sz w:val="17"/>
        </w:rPr>
        <w:t>Tourism</w:t>
      </w:r>
      <w:r>
        <w:rPr>
          <w:i/>
          <w:color w:val="231F20"/>
          <w:spacing w:val="17"/>
          <w:sz w:val="17"/>
        </w:rPr>
        <w:t xml:space="preserve"> </w:t>
      </w:r>
      <w:r>
        <w:rPr>
          <w:color w:val="231F20"/>
          <w:w w:val="95"/>
          <w:sz w:val="17"/>
        </w:rPr>
        <w:t>(pp.</w:t>
      </w:r>
      <w:r>
        <w:rPr>
          <w:color w:val="231F20"/>
          <w:spacing w:val="18"/>
          <w:sz w:val="17"/>
        </w:rPr>
        <w:t xml:space="preserve"> </w:t>
      </w:r>
      <w:r>
        <w:rPr>
          <w:color w:val="231F20"/>
          <w:w w:val="95"/>
          <w:sz w:val="17"/>
        </w:rPr>
        <w:t>119–140).</w:t>
      </w:r>
      <w:r>
        <w:rPr>
          <w:color w:val="231F20"/>
          <w:spacing w:val="17"/>
          <w:sz w:val="17"/>
        </w:rPr>
        <w:t xml:space="preserve"> </w:t>
      </w:r>
      <w:r>
        <w:rPr>
          <w:color w:val="231F20"/>
          <w:w w:val="95"/>
          <w:sz w:val="17"/>
        </w:rPr>
        <w:t>London:</w:t>
      </w:r>
      <w:r>
        <w:rPr>
          <w:color w:val="231F20"/>
          <w:spacing w:val="17"/>
          <w:sz w:val="17"/>
        </w:rPr>
        <w:t xml:space="preserve"> </w:t>
      </w:r>
      <w:r>
        <w:rPr>
          <w:color w:val="231F20"/>
          <w:spacing w:val="-2"/>
          <w:w w:val="95"/>
          <w:sz w:val="17"/>
        </w:rPr>
        <w:t>Pergamon.</w:t>
      </w:r>
    </w:p>
    <w:p w14:paraId="3B52E30C" w14:textId="77777777" w:rsidR="00AE0598" w:rsidRDefault="0069255A">
      <w:pPr>
        <w:ind w:left="430" w:right="127" w:hanging="320"/>
        <w:jc w:val="both"/>
        <w:rPr>
          <w:sz w:val="17"/>
        </w:rPr>
      </w:pPr>
      <w:r>
        <w:rPr>
          <w:color w:val="231F20"/>
          <w:w w:val="105"/>
          <w:sz w:val="17"/>
        </w:rPr>
        <w:t>Kennelly, M., Lamont, M. and Moyle, B. (2015) Stories from the Sideline: Experiences</w:t>
      </w:r>
      <w:r>
        <w:rPr>
          <w:color w:val="231F20"/>
          <w:spacing w:val="40"/>
          <w:w w:val="105"/>
          <w:sz w:val="17"/>
        </w:rPr>
        <w:t xml:space="preserve"> </w:t>
      </w:r>
      <w:r>
        <w:rPr>
          <w:color w:val="231F20"/>
          <w:w w:val="105"/>
          <w:sz w:val="17"/>
        </w:rPr>
        <w:t>of Serious Leisure Participants, Australian and New Zealand Academy of Leisure</w:t>
      </w:r>
      <w:r>
        <w:rPr>
          <w:color w:val="231F20"/>
          <w:spacing w:val="40"/>
          <w:w w:val="105"/>
          <w:sz w:val="17"/>
        </w:rPr>
        <w:t xml:space="preserve"> </w:t>
      </w:r>
      <w:r>
        <w:rPr>
          <w:color w:val="231F20"/>
          <w:sz w:val="17"/>
        </w:rPr>
        <w:t>Sciences, 9–11 December, University</w:t>
      </w:r>
      <w:r>
        <w:rPr>
          <w:color w:val="231F20"/>
          <w:sz w:val="17"/>
        </w:rPr>
        <w:t xml:space="preserve"> of South Australia, Adelaide, Australia.</w:t>
      </w:r>
    </w:p>
    <w:p w14:paraId="75DD0AB0" w14:textId="77777777" w:rsidR="00AE0598" w:rsidRDefault="0069255A">
      <w:pPr>
        <w:spacing w:before="3"/>
        <w:ind w:left="430" w:right="127" w:hanging="320"/>
        <w:jc w:val="both"/>
        <w:rPr>
          <w:sz w:val="17"/>
        </w:rPr>
      </w:pPr>
      <w:r>
        <w:rPr>
          <w:color w:val="231F20"/>
          <w:sz w:val="17"/>
        </w:rPr>
        <w:t>Kennelly,</w:t>
      </w:r>
      <w:r>
        <w:rPr>
          <w:color w:val="231F20"/>
          <w:spacing w:val="-1"/>
          <w:sz w:val="17"/>
        </w:rPr>
        <w:t xml:space="preserve"> </w:t>
      </w:r>
      <w:r>
        <w:rPr>
          <w:color w:val="231F20"/>
          <w:sz w:val="17"/>
        </w:rPr>
        <w:t>M.,</w:t>
      </w:r>
      <w:r>
        <w:rPr>
          <w:color w:val="231F20"/>
          <w:spacing w:val="-1"/>
          <w:sz w:val="17"/>
        </w:rPr>
        <w:t xml:space="preserve"> </w:t>
      </w:r>
      <w:r>
        <w:rPr>
          <w:color w:val="231F20"/>
          <w:sz w:val="17"/>
        </w:rPr>
        <w:t>Moyle,</w:t>
      </w:r>
      <w:r>
        <w:rPr>
          <w:color w:val="231F20"/>
          <w:spacing w:val="-2"/>
          <w:sz w:val="17"/>
        </w:rPr>
        <w:t xml:space="preserve"> </w:t>
      </w:r>
      <w:r>
        <w:rPr>
          <w:color w:val="231F20"/>
          <w:sz w:val="17"/>
        </w:rPr>
        <w:t>B.</w:t>
      </w:r>
      <w:r>
        <w:rPr>
          <w:color w:val="231F20"/>
          <w:spacing w:val="-2"/>
          <w:sz w:val="17"/>
        </w:rPr>
        <w:t xml:space="preserve"> </w:t>
      </w:r>
      <w:r>
        <w:rPr>
          <w:color w:val="231F20"/>
          <w:sz w:val="17"/>
        </w:rPr>
        <w:t>and</w:t>
      </w:r>
      <w:r>
        <w:rPr>
          <w:color w:val="231F20"/>
          <w:spacing w:val="-1"/>
          <w:sz w:val="17"/>
        </w:rPr>
        <w:t xml:space="preserve"> </w:t>
      </w:r>
      <w:r>
        <w:rPr>
          <w:color w:val="231F20"/>
          <w:sz w:val="17"/>
        </w:rPr>
        <w:t>Lamont,</w:t>
      </w:r>
      <w:r>
        <w:rPr>
          <w:color w:val="231F20"/>
          <w:spacing w:val="-1"/>
          <w:sz w:val="17"/>
        </w:rPr>
        <w:t xml:space="preserve"> </w:t>
      </w:r>
      <w:r>
        <w:rPr>
          <w:color w:val="231F20"/>
          <w:sz w:val="17"/>
        </w:rPr>
        <w:t>M.</w:t>
      </w:r>
      <w:r>
        <w:rPr>
          <w:color w:val="231F20"/>
          <w:spacing w:val="-2"/>
          <w:sz w:val="17"/>
        </w:rPr>
        <w:t xml:space="preserve"> </w:t>
      </w:r>
      <w:r>
        <w:rPr>
          <w:color w:val="231F20"/>
          <w:sz w:val="17"/>
        </w:rPr>
        <w:t>(2013)</w:t>
      </w:r>
      <w:r>
        <w:rPr>
          <w:color w:val="231F20"/>
          <w:spacing w:val="-1"/>
          <w:sz w:val="17"/>
        </w:rPr>
        <w:t xml:space="preserve"> </w:t>
      </w:r>
      <w:r>
        <w:rPr>
          <w:color w:val="231F20"/>
          <w:sz w:val="17"/>
        </w:rPr>
        <w:t>Constraint</w:t>
      </w:r>
      <w:r>
        <w:rPr>
          <w:color w:val="231F20"/>
          <w:spacing w:val="-1"/>
          <w:sz w:val="17"/>
        </w:rPr>
        <w:t xml:space="preserve"> </w:t>
      </w:r>
      <w:r>
        <w:rPr>
          <w:color w:val="231F20"/>
          <w:sz w:val="17"/>
        </w:rPr>
        <w:t>negotiation</w:t>
      </w:r>
      <w:r>
        <w:rPr>
          <w:color w:val="231F20"/>
          <w:spacing w:val="-1"/>
          <w:sz w:val="17"/>
        </w:rPr>
        <w:t xml:space="preserve"> </w:t>
      </w:r>
      <w:r>
        <w:rPr>
          <w:color w:val="231F20"/>
          <w:sz w:val="17"/>
        </w:rPr>
        <w:t>in</w:t>
      </w:r>
      <w:r>
        <w:rPr>
          <w:color w:val="231F20"/>
          <w:spacing w:val="-2"/>
          <w:sz w:val="17"/>
        </w:rPr>
        <w:t xml:space="preserve"> </w:t>
      </w:r>
      <w:r>
        <w:rPr>
          <w:color w:val="231F20"/>
          <w:sz w:val="17"/>
        </w:rPr>
        <w:t>serious</w:t>
      </w:r>
      <w:r>
        <w:rPr>
          <w:color w:val="231F20"/>
          <w:spacing w:val="-1"/>
          <w:sz w:val="17"/>
        </w:rPr>
        <w:t xml:space="preserve"> </w:t>
      </w:r>
      <w:r>
        <w:rPr>
          <w:color w:val="231F20"/>
          <w:sz w:val="17"/>
        </w:rPr>
        <w:t>leisure:</w:t>
      </w:r>
      <w:r>
        <w:rPr>
          <w:color w:val="231F20"/>
          <w:spacing w:val="-2"/>
          <w:sz w:val="17"/>
        </w:rPr>
        <w:t xml:space="preserve"> </w:t>
      </w:r>
      <w:r>
        <w:rPr>
          <w:color w:val="231F20"/>
          <w:sz w:val="17"/>
        </w:rPr>
        <w:t>A</w:t>
      </w:r>
      <w:r>
        <w:rPr>
          <w:color w:val="231F20"/>
          <w:spacing w:val="40"/>
          <w:sz w:val="17"/>
        </w:rPr>
        <w:t xml:space="preserve"> </w:t>
      </w:r>
      <w:r>
        <w:rPr>
          <w:color w:val="231F20"/>
          <w:sz w:val="17"/>
        </w:rPr>
        <w:t xml:space="preserve">study of amateur triathletes. </w:t>
      </w:r>
      <w:r>
        <w:rPr>
          <w:i/>
          <w:color w:val="231F20"/>
          <w:sz w:val="17"/>
        </w:rPr>
        <w:t xml:space="preserve">Journal of Leisure Research </w:t>
      </w:r>
      <w:r>
        <w:rPr>
          <w:color w:val="231F20"/>
          <w:sz w:val="17"/>
        </w:rPr>
        <w:t>45(4), 466–484.</w:t>
      </w:r>
    </w:p>
    <w:p w14:paraId="3BEFFF25" w14:textId="77777777" w:rsidR="00AE0598" w:rsidRDefault="0069255A">
      <w:pPr>
        <w:spacing w:before="1"/>
        <w:ind w:left="430" w:right="127" w:hanging="320"/>
        <w:jc w:val="both"/>
        <w:rPr>
          <w:sz w:val="17"/>
        </w:rPr>
      </w:pPr>
      <w:r>
        <w:rPr>
          <w:color w:val="231F20"/>
          <w:sz w:val="17"/>
        </w:rPr>
        <w:t>Kennelly, M. and Toohey, K. (2014) Strategic alliances in sport tourism: National sport</w:t>
      </w:r>
      <w:r>
        <w:rPr>
          <w:color w:val="231F20"/>
          <w:spacing w:val="40"/>
          <w:sz w:val="17"/>
        </w:rPr>
        <w:t xml:space="preserve"> </w:t>
      </w:r>
      <w:r>
        <w:rPr>
          <w:color w:val="231F20"/>
          <w:sz w:val="17"/>
        </w:rPr>
        <w:t xml:space="preserve">organizations and sport tour operators. </w:t>
      </w:r>
      <w:r>
        <w:rPr>
          <w:i/>
          <w:color w:val="231F20"/>
          <w:sz w:val="17"/>
        </w:rPr>
        <w:t xml:space="preserve">Sport Management Review </w:t>
      </w:r>
      <w:r>
        <w:rPr>
          <w:color w:val="231F20"/>
          <w:sz w:val="17"/>
        </w:rPr>
        <w:t>17 (4), 407–418.</w:t>
      </w:r>
    </w:p>
    <w:p w14:paraId="011BF601" w14:textId="77777777" w:rsidR="00AE0598" w:rsidRDefault="0069255A">
      <w:pPr>
        <w:spacing w:before="1"/>
        <w:ind w:left="430" w:right="127" w:hanging="320"/>
        <w:jc w:val="both"/>
        <w:rPr>
          <w:sz w:val="17"/>
        </w:rPr>
      </w:pPr>
      <w:r>
        <w:rPr>
          <w:color w:val="231F20"/>
          <w:sz w:val="17"/>
        </w:rPr>
        <w:t xml:space="preserve">Kennelly, </w:t>
      </w:r>
      <w:r>
        <w:rPr>
          <w:color w:val="231F20"/>
          <w:w w:val="105"/>
          <w:sz w:val="17"/>
        </w:rPr>
        <w:t xml:space="preserve">J. </w:t>
      </w:r>
      <w:r>
        <w:rPr>
          <w:color w:val="231F20"/>
          <w:sz w:val="17"/>
        </w:rPr>
        <w:t>and Watt, P. (2012) Seeing Olympic effects through the eyes of marginally</w:t>
      </w:r>
      <w:r>
        <w:rPr>
          <w:color w:val="231F20"/>
          <w:spacing w:val="40"/>
          <w:sz w:val="17"/>
        </w:rPr>
        <w:t xml:space="preserve"> </w:t>
      </w:r>
      <w:r>
        <w:rPr>
          <w:color w:val="231F20"/>
          <w:sz w:val="17"/>
        </w:rPr>
        <w:t xml:space="preserve">housed youth: Changing places and the gentrification of East London. </w:t>
      </w:r>
      <w:r>
        <w:rPr>
          <w:i/>
          <w:color w:val="231F20"/>
          <w:sz w:val="17"/>
        </w:rPr>
        <w:t>Visual Studies</w:t>
      </w:r>
      <w:r>
        <w:rPr>
          <w:i/>
          <w:color w:val="231F20"/>
          <w:spacing w:val="40"/>
          <w:sz w:val="17"/>
        </w:rPr>
        <w:t xml:space="preserve"> </w:t>
      </w:r>
      <w:r>
        <w:rPr>
          <w:color w:val="231F20"/>
          <w:sz w:val="17"/>
        </w:rPr>
        <w:t>27 (2), 151–160.</w:t>
      </w:r>
    </w:p>
    <w:p w14:paraId="28B92363" w14:textId="77777777" w:rsidR="00AE0598" w:rsidRDefault="0069255A">
      <w:pPr>
        <w:spacing w:before="3"/>
        <w:ind w:left="110"/>
        <w:jc w:val="both"/>
        <w:rPr>
          <w:sz w:val="17"/>
        </w:rPr>
      </w:pPr>
      <w:r>
        <w:rPr>
          <w:color w:val="231F20"/>
          <w:w w:val="95"/>
          <w:sz w:val="17"/>
        </w:rPr>
        <w:t>Kenyon,</w:t>
      </w:r>
      <w:r>
        <w:rPr>
          <w:color w:val="231F20"/>
          <w:spacing w:val="17"/>
          <w:sz w:val="17"/>
        </w:rPr>
        <w:t xml:space="preserve"> </w:t>
      </w:r>
      <w:r>
        <w:rPr>
          <w:color w:val="231F20"/>
          <w:w w:val="95"/>
          <w:sz w:val="17"/>
        </w:rPr>
        <w:t>G.</w:t>
      </w:r>
      <w:r>
        <w:rPr>
          <w:color w:val="231F20"/>
          <w:spacing w:val="17"/>
          <w:sz w:val="17"/>
        </w:rPr>
        <w:t xml:space="preserve"> </w:t>
      </w:r>
      <w:r>
        <w:rPr>
          <w:color w:val="231F20"/>
          <w:w w:val="95"/>
          <w:sz w:val="17"/>
        </w:rPr>
        <w:t>(1969)</w:t>
      </w:r>
      <w:r>
        <w:rPr>
          <w:color w:val="231F20"/>
          <w:spacing w:val="17"/>
          <w:sz w:val="17"/>
        </w:rPr>
        <w:t xml:space="preserve"> </w:t>
      </w:r>
      <w:r>
        <w:rPr>
          <w:color w:val="231F20"/>
          <w:w w:val="95"/>
          <w:sz w:val="17"/>
        </w:rPr>
        <w:t>Sport</w:t>
      </w:r>
      <w:r>
        <w:rPr>
          <w:color w:val="231F20"/>
          <w:spacing w:val="18"/>
          <w:sz w:val="17"/>
        </w:rPr>
        <w:t xml:space="preserve"> </w:t>
      </w:r>
      <w:r>
        <w:rPr>
          <w:color w:val="231F20"/>
          <w:w w:val="95"/>
          <w:sz w:val="17"/>
        </w:rPr>
        <w:t>involvement:</w:t>
      </w:r>
      <w:r>
        <w:rPr>
          <w:color w:val="231F20"/>
          <w:spacing w:val="17"/>
          <w:sz w:val="17"/>
        </w:rPr>
        <w:t xml:space="preserve"> </w:t>
      </w:r>
      <w:r>
        <w:rPr>
          <w:color w:val="231F20"/>
          <w:w w:val="95"/>
          <w:sz w:val="17"/>
        </w:rPr>
        <w:t>A</w:t>
      </w:r>
      <w:r>
        <w:rPr>
          <w:color w:val="231F20"/>
          <w:spacing w:val="17"/>
          <w:sz w:val="17"/>
        </w:rPr>
        <w:t xml:space="preserve"> </w:t>
      </w:r>
      <w:r>
        <w:rPr>
          <w:color w:val="231F20"/>
          <w:w w:val="95"/>
          <w:sz w:val="17"/>
        </w:rPr>
        <w:t>conceptual</w:t>
      </w:r>
      <w:r>
        <w:rPr>
          <w:color w:val="231F20"/>
          <w:spacing w:val="18"/>
          <w:sz w:val="17"/>
        </w:rPr>
        <w:t xml:space="preserve"> </w:t>
      </w:r>
      <w:r>
        <w:rPr>
          <w:color w:val="231F20"/>
          <w:w w:val="95"/>
          <w:sz w:val="17"/>
        </w:rPr>
        <w:t>go</w:t>
      </w:r>
      <w:r>
        <w:rPr>
          <w:color w:val="231F20"/>
          <w:spacing w:val="17"/>
          <w:sz w:val="17"/>
        </w:rPr>
        <w:t xml:space="preserve"> </w:t>
      </w:r>
      <w:r>
        <w:rPr>
          <w:color w:val="231F20"/>
          <w:w w:val="95"/>
          <w:sz w:val="17"/>
        </w:rPr>
        <w:t>and</w:t>
      </w:r>
      <w:r>
        <w:rPr>
          <w:color w:val="231F20"/>
          <w:spacing w:val="17"/>
          <w:sz w:val="17"/>
        </w:rPr>
        <w:t xml:space="preserve"> </w:t>
      </w:r>
      <w:r>
        <w:rPr>
          <w:color w:val="231F20"/>
          <w:w w:val="95"/>
          <w:sz w:val="17"/>
        </w:rPr>
        <w:t>some</w:t>
      </w:r>
      <w:r>
        <w:rPr>
          <w:color w:val="231F20"/>
          <w:spacing w:val="18"/>
          <w:sz w:val="17"/>
        </w:rPr>
        <w:t xml:space="preserve"> </w:t>
      </w:r>
      <w:r>
        <w:rPr>
          <w:color w:val="231F20"/>
          <w:w w:val="95"/>
          <w:sz w:val="17"/>
        </w:rPr>
        <w:t>consequences</w:t>
      </w:r>
      <w:r>
        <w:rPr>
          <w:color w:val="231F20"/>
          <w:spacing w:val="17"/>
          <w:sz w:val="17"/>
        </w:rPr>
        <w:t xml:space="preserve"> </w:t>
      </w:r>
      <w:r>
        <w:rPr>
          <w:color w:val="231F20"/>
          <w:w w:val="95"/>
          <w:sz w:val="17"/>
        </w:rPr>
        <w:t>thereof.</w:t>
      </w:r>
      <w:r>
        <w:rPr>
          <w:color w:val="231F20"/>
          <w:spacing w:val="17"/>
          <w:sz w:val="17"/>
        </w:rPr>
        <w:t xml:space="preserve"> </w:t>
      </w:r>
      <w:r>
        <w:rPr>
          <w:color w:val="231F20"/>
          <w:spacing w:val="-5"/>
          <w:w w:val="95"/>
          <w:sz w:val="17"/>
        </w:rPr>
        <w:t>In</w:t>
      </w:r>
    </w:p>
    <w:p w14:paraId="618F4815" w14:textId="77777777" w:rsidR="00AE0598" w:rsidRDefault="0069255A">
      <w:pPr>
        <w:ind w:left="430" w:right="128"/>
        <w:jc w:val="both"/>
        <w:rPr>
          <w:sz w:val="17"/>
        </w:rPr>
      </w:pPr>
      <w:r>
        <w:rPr>
          <w:color w:val="231F20"/>
          <w:sz w:val="17"/>
        </w:rPr>
        <w:t xml:space="preserve">G. Kenyon (ed.) </w:t>
      </w:r>
      <w:r>
        <w:rPr>
          <w:i/>
          <w:color w:val="231F20"/>
          <w:sz w:val="17"/>
        </w:rPr>
        <w:t xml:space="preserve">Aspects of Contemporary Sport Sociology </w:t>
      </w:r>
      <w:r>
        <w:rPr>
          <w:color w:val="231F20"/>
          <w:sz w:val="17"/>
        </w:rPr>
        <w:t>(pp. 77–100). Chicago, IL:</w:t>
      </w:r>
      <w:r>
        <w:rPr>
          <w:color w:val="231F20"/>
          <w:spacing w:val="40"/>
          <w:sz w:val="17"/>
        </w:rPr>
        <w:t xml:space="preserve"> </w:t>
      </w:r>
      <w:r>
        <w:rPr>
          <w:color w:val="231F20"/>
          <w:sz w:val="17"/>
        </w:rPr>
        <w:t>Athletic Institute.</w:t>
      </w:r>
    </w:p>
    <w:p w14:paraId="50CD3F08" w14:textId="77777777" w:rsidR="00AE0598" w:rsidRDefault="0069255A">
      <w:pPr>
        <w:spacing w:before="2"/>
        <w:ind w:left="430" w:right="127" w:hanging="320"/>
        <w:jc w:val="both"/>
        <w:rPr>
          <w:sz w:val="17"/>
        </w:rPr>
      </w:pPr>
      <w:r>
        <w:rPr>
          <w:color w:val="231F20"/>
          <w:sz w:val="17"/>
        </w:rPr>
        <w:t>Kerr,</w:t>
      </w:r>
      <w:r>
        <w:rPr>
          <w:color w:val="231F20"/>
          <w:spacing w:val="-6"/>
          <w:sz w:val="17"/>
        </w:rPr>
        <w:t xml:space="preserve"> </w:t>
      </w:r>
      <w:r>
        <w:rPr>
          <w:color w:val="231F20"/>
          <w:sz w:val="17"/>
        </w:rPr>
        <w:t>A.K.</w:t>
      </w:r>
      <w:r>
        <w:rPr>
          <w:color w:val="231F20"/>
          <w:spacing w:val="-6"/>
          <w:sz w:val="17"/>
        </w:rPr>
        <w:t xml:space="preserve"> </w:t>
      </w:r>
      <w:r>
        <w:rPr>
          <w:color w:val="231F20"/>
          <w:sz w:val="17"/>
        </w:rPr>
        <w:t>and</w:t>
      </w:r>
      <w:r>
        <w:rPr>
          <w:color w:val="231F20"/>
          <w:spacing w:val="-6"/>
          <w:sz w:val="17"/>
        </w:rPr>
        <w:t xml:space="preserve"> </w:t>
      </w:r>
      <w:r>
        <w:rPr>
          <w:color w:val="231F20"/>
          <w:sz w:val="17"/>
        </w:rPr>
        <w:t>Emery,</w:t>
      </w:r>
      <w:r>
        <w:rPr>
          <w:color w:val="231F20"/>
          <w:spacing w:val="-6"/>
          <w:sz w:val="17"/>
        </w:rPr>
        <w:t xml:space="preserve"> </w:t>
      </w:r>
      <w:r>
        <w:rPr>
          <w:color w:val="231F20"/>
          <w:sz w:val="17"/>
        </w:rPr>
        <w:t>P.R.</w:t>
      </w:r>
      <w:r>
        <w:rPr>
          <w:color w:val="231F20"/>
          <w:spacing w:val="-6"/>
          <w:sz w:val="17"/>
        </w:rPr>
        <w:t xml:space="preserve"> </w:t>
      </w:r>
      <w:r>
        <w:rPr>
          <w:color w:val="231F20"/>
          <w:sz w:val="17"/>
        </w:rPr>
        <w:t>(2011)</w:t>
      </w:r>
      <w:r>
        <w:rPr>
          <w:color w:val="231F20"/>
          <w:spacing w:val="-6"/>
          <w:sz w:val="17"/>
        </w:rPr>
        <w:t xml:space="preserve"> </w:t>
      </w:r>
      <w:r>
        <w:rPr>
          <w:color w:val="231F20"/>
          <w:sz w:val="17"/>
        </w:rPr>
        <w:t>Foreign</w:t>
      </w:r>
      <w:r>
        <w:rPr>
          <w:color w:val="231F20"/>
          <w:spacing w:val="-6"/>
          <w:sz w:val="17"/>
        </w:rPr>
        <w:t xml:space="preserve"> </w:t>
      </w:r>
      <w:r>
        <w:rPr>
          <w:color w:val="231F20"/>
          <w:sz w:val="17"/>
        </w:rPr>
        <w:t>fandom</w:t>
      </w:r>
      <w:r>
        <w:rPr>
          <w:color w:val="231F20"/>
          <w:spacing w:val="-6"/>
          <w:sz w:val="17"/>
        </w:rPr>
        <w:t xml:space="preserve"> </w:t>
      </w:r>
      <w:r>
        <w:rPr>
          <w:color w:val="231F20"/>
          <w:sz w:val="17"/>
        </w:rPr>
        <w:t>and</w:t>
      </w:r>
      <w:r>
        <w:rPr>
          <w:color w:val="231F20"/>
          <w:spacing w:val="-6"/>
          <w:sz w:val="17"/>
        </w:rPr>
        <w:t xml:space="preserve"> </w:t>
      </w:r>
      <w:r>
        <w:rPr>
          <w:color w:val="231F20"/>
          <w:sz w:val="17"/>
        </w:rPr>
        <w:t>the</w:t>
      </w:r>
      <w:r>
        <w:rPr>
          <w:color w:val="231F20"/>
          <w:spacing w:val="-6"/>
          <w:sz w:val="17"/>
        </w:rPr>
        <w:t xml:space="preserve"> </w:t>
      </w:r>
      <w:r>
        <w:rPr>
          <w:color w:val="231F20"/>
          <w:sz w:val="17"/>
        </w:rPr>
        <w:t>Liverpool</w:t>
      </w:r>
      <w:r>
        <w:rPr>
          <w:color w:val="231F20"/>
          <w:spacing w:val="-6"/>
          <w:sz w:val="17"/>
        </w:rPr>
        <w:t xml:space="preserve"> </w:t>
      </w:r>
      <w:r>
        <w:rPr>
          <w:color w:val="231F20"/>
          <w:sz w:val="17"/>
        </w:rPr>
        <w:t>FC:</w:t>
      </w:r>
      <w:r>
        <w:rPr>
          <w:color w:val="231F20"/>
          <w:spacing w:val="-6"/>
          <w:sz w:val="17"/>
        </w:rPr>
        <w:t xml:space="preserve"> </w:t>
      </w:r>
      <w:r>
        <w:rPr>
          <w:color w:val="231F20"/>
          <w:sz w:val="17"/>
        </w:rPr>
        <w:t>A</w:t>
      </w:r>
      <w:r>
        <w:rPr>
          <w:color w:val="231F20"/>
          <w:spacing w:val="-6"/>
          <w:sz w:val="17"/>
        </w:rPr>
        <w:t xml:space="preserve"> </w:t>
      </w:r>
      <w:r>
        <w:rPr>
          <w:color w:val="231F20"/>
          <w:sz w:val="17"/>
        </w:rPr>
        <w:t>cyber-mediated</w:t>
      </w:r>
      <w:r>
        <w:rPr>
          <w:color w:val="231F20"/>
          <w:spacing w:val="40"/>
          <w:sz w:val="17"/>
        </w:rPr>
        <w:t xml:space="preserve"> </w:t>
      </w:r>
      <w:r>
        <w:rPr>
          <w:color w:val="231F20"/>
          <w:sz w:val="17"/>
        </w:rPr>
        <w:t xml:space="preserve">romance. </w:t>
      </w:r>
      <w:r>
        <w:rPr>
          <w:i/>
          <w:color w:val="231F20"/>
          <w:sz w:val="17"/>
        </w:rPr>
        <w:t xml:space="preserve">Soccer and Society </w:t>
      </w:r>
      <w:r>
        <w:rPr>
          <w:color w:val="231F20"/>
          <w:sz w:val="17"/>
        </w:rPr>
        <w:t>12 (6), 880–</w:t>
      </w:r>
      <w:r>
        <w:rPr>
          <w:color w:val="231F20"/>
          <w:sz w:val="17"/>
        </w:rPr>
        <w:t>896.</w:t>
      </w:r>
    </w:p>
    <w:p w14:paraId="6CF7FF8D" w14:textId="77777777" w:rsidR="00AE0598" w:rsidRDefault="0069255A">
      <w:pPr>
        <w:spacing w:before="1"/>
        <w:ind w:left="430" w:right="127" w:hanging="320"/>
        <w:jc w:val="both"/>
        <w:rPr>
          <w:sz w:val="17"/>
        </w:rPr>
      </w:pPr>
      <w:r>
        <w:rPr>
          <w:color w:val="231F20"/>
          <w:sz w:val="17"/>
        </w:rPr>
        <w:t>Kerstetter, D. and Bricker, K. (2009) Exploring Fijian’s sense of place after exposure to</w:t>
      </w:r>
      <w:r>
        <w:rPr>
          <w:color w:val="231F20"/>
          <w:spacing w:val="40"/>
          <w:sz w:val="17"/>
        </w:rPr>
        <w:t xml:space="preserve"> </w:t>
      </w:r>
      <w:r>
        <w:rPr>
          <w:color w:val="231F20"/>
          <w:sz w:val="17"/>
        </w:rPr>
        <w:t xml:space="preserve">tourism development. </w:t>
      </w:r>
      <w:r>
        <w:rPr>
          <w:i/>
          <w:color w:val="231F20"/>
          <w:sz w:val="17"/>
        </w:rPr>
        <w:t xml:space="preserve">Journal of Sustainable Tourism </w:t>
      </w:r>
      <w:r>
        <w:rPr>
          <w:color w:val="231F20"/>
          <w:sz w:val="17"/>
        </w:rPr>
        <w:t>17, 691–708.</w:t>
      </w:r>
    </w:p>
    <w:p w14:paraId="0113C8C6" w14:textId="77777777" w:rsidR="00AE0598" w:rsidRDefault="0069255A">
      <w:pPr>
        <w:spacing w:before="1"/>
        <w:ind w:left="430" w:right="127" w:hanging="320"/>
        <w:jc w:val="both"/>
        <w:rPr>
          <w:sz w:val="17"/>
        </w:rPr>
      </w:pPr>
      <w:r>
        <w:rPr>
          <w:color w:val="231F20"/>
          <w:sz w:val="17"/>
        </w:rPr>
        <w:t xml:space="preserve">Kiewa, </w:t>
      </w:r>
      <w:r>
        <w:rPr>
          <w:color w:val="231F20"/>
          <w:w w:val="105"/>
          <w:sz w:val="17"/>
        </w:rPr>
        <w:t xml:space="preserve">J. </w:t>
      </w:r>
      <w:r>
        <w:rPr>
          <w:color w:val="231F20"/>
          <w:sz w:val="17"/>
        </w:rPr>
        <w:t>(2002) Traditional climbing: Metaphor of resistance or metanarrative of</w:t>
      </w:r>
      <w:r>
        <w:rPr>
          <w:color w:val="231F20"/>
          <w:spacing w:val="40"/>
          <w:sz w:val="17"/>
        </w:rPr>
        <w:t xml:space="preserve"> </w:t>
      </w:r>
      <w:r>
        <w:rPr>
          <w:color w:val="231F20"/>
          <w:sz w:val="17"/>
        </w:rPr>
        <w:t xml:space="preserve">oppression? </w:t>
      </w:r>
      <w:r>
        <w:rPr>
          <w:i/>
          <w:color w:val="231F20"/>
          <w:sz w:val="17"/>
        </w:rPr>
        <w:t>Le</w:t>
      </w:r>
      <w:r>
        <w:rPr>
          <w:i/>
          <w:color w:val="231F20"/>
          <w:sz w:val="17"/>
        </w:rPr>
        <w:t xml:space="preserve">isure Studies </w:t>
      </w:r>
      <w:r>
        <w:rPr>
          <w:color w:val="231F20"/>
          <w:sz w:val="17"/>
        </w:rPr>
        <w:t>21 (2), 145–161.</w:t>
      </w:r>
    </w:p>
    <w:p w14:paraId="6F0A13D7" w14:textId="77777777" w:rsidR="00AE0598" w:rsidRDefault="0069255A">
      <w:pPr>
        <w:spacing w:before="2"/>
        <w:ind w:left="430" w:right="127" w:hanging="320"/>
        <w:jc w:val="both"/>
        <w:rPr>
          <w:sz w:val="17"/>
        </w:rPr>
      </w:pPr>
      <w:r>
        <w:rPr>
          <w:color w:val="231F20"/>
          <w:sz w:val="17"/>
        </w:rPr>
        <w:t>Kirkup, N. and Sutherland, M. (2017) Exploring the relationships between motivation,</w:t>
      </w:r>
      <w:r>
        <w:rPr>
          <w:color w:val="231F20"/>
          <w:spacing w:val="40"/>
          <w:sz w:val="17"/>
        </w:rPr>
        <w:t xml:space="preserve"> </w:t>
      </w:r>
      <w:r>
        <w:rPr>
          <w:color w:val="231F20"/>
          <w:sz w:val="17"/>
        </w:rPr>
        <w:t xml:space="preserve">attachment and loyalty within sport event tourism. </w:t>
      </w:r>
      <w:r>
        <w:rPr>
          <w:i/>
          <w:color w:val="231F20"/>
          <w:sz w:val="17"/>
        </w:rPr>
        <w:t xml:space="preserve">Current Issues in Tourism </w:t>
      </w:r>
      <w:r>
        <w:rPr>
          <w:color w:val="231F20"/>
          <w:sz w:val="17"/>
        </w:rPr>
        <w:t>20 (1),</w:t>
      </w:r>
      <w:r>
        <w:rPr>
          <w:color w:val="231F20"/>
          <w:spacing w:val="40"/>
          <w:sz w:val="17"/>
        </w:rPr>
        <w:t xml:space="preserve"> </w:t>
      </w:r>
      <w:r>
        <w:rPr>
          <w:color w:val="231F20"/>
          <w:spacing w:val="-2"/>
          <w:sz w:val="17"/>
        </w:rPr>
        <w:t>7–14.</w:t>
      </w:r>
    </w:p>
    <w:p w14:paraId="70A81CFC" w14:textId="77777777" w:rsidR="00AE0598" w:rsidRDefault="0069255A">
      <w:pPr>
        <w:spacing w:before="2"/>
        <w:ind w:left="430" w:right="127" w:hanging="320"/>
        <w:jc w:val="both"/>
        <w:rPr>
          <w:sz w:val="17"/>
        </w:rPr>
      </w:pPr>
      <w:r>
        <w:rPr>
          <w:color w:val="231F20"/>
          <w:sz w:val="17"/>
        </w:rPr>
        <w:t xml:space="preserve">Klemm, M. and Rawel, </w:t>
      </w:r>
      <w:r>
        <w:rPr>
          <w:color w:val="231F20"/>
          <w:w w:val="105"/>
          <w:sz w:val="17"/>
        </w:rPr>
        <w:t xml:space="preserve">J. </w:t>
      </w:r>
      <w:r>
        <w:rPr>
          <w:color w:val="231F20"/>
          <w:sz w:val="17"/>
        </w:rPr>
        <w:t>(2001) Extending the school holiday season: The case of</w:t>
      </w:r>
      <w:r>
        <w:rPr>
          <w:color w:val="231F20"/>
          <w:spacing w:val="40"/>
          <w:sz w:val="17"/>
        </w:rPr>
        <w:t xml:space="preserve"> </w:t>
      </w:r>
      <w:r>
        <w:rPr>
          <w:color w:val="231F20"/>
          <w:sz w:val="17"/>
        </w:rPr>
        <w:t xml:space="preserve">Europcamp. In T. Baum and S. Lundtorp (eds) </w:t>
      </w:r>
      <w:r>
        <w:rPr>
          <w:i/>
          <w:color w:val="231F20"/>
          <w:sz w:val="17"/>
        </w:rPr>
        <w:t xml:space="preserve">Seasonality in Tourism </w:t>
      </w:r>
      <w:r>
        <w:rPr>
          <w:color w:val="231F20"/>
          <w:sz w:val="17"/>
        </w:rPr>
        <w:t>(pp. 141–152).</w:t>
      </w:r>
      <w:r>
        <w:rPr>
          <w:color w:val="231F20"/>
          <w:spacing w:val="40"/>
          <w:sz w:val="17"/>
        </w:rPr>
        <w:t xml:space="preserve"> </w:t>
      </w:r>
      <w:r>
        <w:rPr>
          <w:color w:val="231F20"/>
          <w:sz w:val="17"/>
        </w:rPr>
        <w:t>London: Pergamon.</w:t>
      </w:r>
    </w:p>
    <w:p w14:paraId="7C6CDAEA" w14:textId="77777777" w:rsidR="00AE0598" w:rsidRDefault="00AE0598">
      <w:pPr>
        <w:jc w:val="both"/>
        <w:rPr>
          <w:sz w:val="17"/>
        </w:rPr>
        <w:sectPr w:rsidR="00AE0598">
          <w:pgSz w:w="8850" w:h="13270"/>
          <w:pgMar w:top="720" w:right="1060" w:bottom="280" w:left="1080" w:header="720" w:footer="720" w:gutter="0"/>
          <w:cols w:space="720"/>
        </w:sectPr>
      </w:pPr>
    </w:p>
    <w:p w14:paraId="77174E72" w14:textId="77777777" w:rsidR="00AE0598" w:rsidRDefault="0069255A">
      <w:pPr>
        <w:spacing w:before="87"/>
        <w:ind w:left="110" w:right="128"/>
        <w:jc w:val="right"/>
        <w:rPr>
          <w:rFonts w:ascii="Trebuchet MS"/>
          <w:sz w:val="14"/>
        </w:rPr>
      </w:pPr>
      <w:r>
        <w:rPr>
          <w:rFonts w:ascii="Trebuchet MS"/>
          <w:color w:val="231F20"/>
          <w:w w:val="105"/>
          <w:sz w:val="14"/>
        </w:rPr>
        <w:lastRenderedPageBreak/>
        <w:t>References</w:t>
      </w:r>
      <w:r>
        <w:rPr>
          <w:rFonts w:ascii="Trebuchet MS"/>
          <w:color w:val="231F20"/>
          <w:spacing w:val="67"/>
          <w:w w:val="105"/>
          <w:sz w:val="14"/>
        </w:rPr>
        <w:t xml:space="preserve"> </w:t>
      </w:r>
      <w:r>
        <w:rPr>
          <w:rFonts w:ascii="Trebuchet MS"/>
          <w:color w:val="231F20"/>
          <w:spacing w:val="-5"/>
          <w:w w:val="105"/>
          <w:sz w:val="14"/>
        </w:rPr>
        <w:t>259</w:t>
      </w:r>
    </w:p>
    <w:p w14:paraId="54296CF7" w14:textId="77777777" w:rsidR="00AE0598" w:rsidRDefault="00AE0598">
      <w:pPr>
        <w:pStyle w:val="Corpodetexto"/>
        <w:rPr>
          <w:rFonts w:ascii="Trebuchet MS"/>
          <w:sz w:val="16"/>
        </w:rPr>
      </w:pPr>
    </w:p>
    <w:p w14:paraId="54461BD1" w14:textId="77777777" w:rsidR="00AE0598" w:rsidRDefault="0069255A">
      <w:pPr>
        <w:spacing w:before="121"/>
        <w:ind w:left="430" w:right="128" w:hanging="320"/>
        <w:jc w:val="both"/>
        <w:rPr>
          <w:sz w:val="17"/>
        </w:rPr>
      </w:pPr>
      <w:r>
        <w:rPr>
          <w:color w:val="231F20"/>
          <w:sz w:val="17"/>
        </w:rPr>
        <w:t>Klenosky, D., Gengler, C. and Mulvey, M. (1993) Understanding the fact</w:t>
      </w:r>
      <w:r>
        <w:rPr>
          <w:color w:val="231F20"/>
          <w:sz w:val="17"/>
        </w:rPr>
        <w:t>ors influencing ski</w:t>
      </w:r>
      <w:r>
        <w:rPr>
          <w:color w:val="231F20"/>
          <w:spacing w:val="40"/>
          <w:sz w:val="17"/>
        </w:rPr>
        <w:t xml:space="preserve"> </w:t>
      </w:r>
      <w:r>
        <w:rPr>
          <w:color w:val="231F20"/>
          <w:sz w:val="17"/>
        </w:rPr>
        <w:t xml:space="preserve">destination choice: A means-end analytic approach. </w:t>
      </w:r>
      <w:r>
        <w:rPr>
          <w:i/>
          <w:color w:val="231F20"/>
          <w:sz w:val="17"/>
        </w:rPr>
        <w:t xml:space="preserve">Journal of Leisure Research </w:t>
      </w:r>
      <w:r>
        <w:rPr>
          <w:color w:val="231F20"/>
          <w:sz w:val="17"/>
        </w:rPr>
        <w:t>25,</w:t>
      </w:r>
      <w:r>
        <w:rPr>
          <w:color w:val="231F20"/>
          <w:spacing w:val="40"/>
          <w:w w:val="105"/>
          <w:sz w:val="17"/>
        </w:rPr>
        <w:t xml:space="preserve"> </w:t>
      </w:r>
      <w:r>
        <w:rPr>
          <w:color w:val="231F20"/>
          <w:spacing w:val="-2"/>
          <w:w w:val="105"/>
          <w:sz w:val="17"/>
        </w:rPr>
        <w:t>362–379.</w:t>
      </w:r>
    </w:p>
    <w:p w14:paraId="20A603D5" w14:textId="77777777" w:rsidR="00AE0598" w:rsidRDefault="0069255A">
      <w:pPr>
        <w:spacing w:before="2"/>
        <w:ind w:left="430" w:right="124" w:hanging="320"/>
        <w:jc w:val="both"/>
        <w:rPr>
          <w:sz w:val="17"/>
        </w:rPr>
      </w:pPr>
      <w:r>
        <w:rPr>
          <w:color w:val="231F20"/>
          <w:sz w:val="17"/>
        </w:rPr>
        <w:t>Klostermann, C. and Nagel, S. (2014) Changes in German sport participation: Historical</w:t>
      </w:r>
      <w:r>
        <w:rPr>
          <w:color w:val="231F20"/>
          <w:spacing w:val="40"/>
          <w:sz w:val="17"/>
        </w:rPr>
        <w:t xml:space="preserve"> </w:t>
      </w:r>
      <w:r>
        <w:rPr>
          <w:color w:val="231F20"/>
          <w:sz w:val="17"/>
        </w:rPr>
        <w:t xml:space="preserve">trends in individual sports. </w:t>
      </w:r>
      <w:r>
        <w:rPr>
          <w:i/>
          <w:color w:val="231F20"/>
          <w:sz w:val="17"/>
        </w:rPr>
        <w:t>International Review for the</w:t>
      </w:r>
      <w:r>
        <w:rPr>
          <w:i/>
          <w:color w:val="231F20"/>
          <w:sz w:val="17"/>
        </w:rPr>
        <w:t xml:space="preserve"> Sociology of Sport </w:t>
      </w:r>
      <w:r>
        <w:rPr>
          <w:color w:val="231F20"/>
          <w:sz w:val="17"/>
        </w:rPr>
        <w:t>49 (5),</w:t>
      </w:r>
      <w:r>
        <w:rPr>
          <w:color w:val="231F20"/>
          <w:spacing w:val="40"/>
          <w:sz w:val="17"/>
        </w:rPr>
        <w:t xml:space="preserve"> </w:t>
      </w:r>
      <w:r>
        <w:rPr>
          <w:color w:val="231F20"/>
          <w:spacing w:val="-2"/>
          <w:sz w:val="17"/>
        </w:rPr>
        <w:t>609–634.</w:t>
      </w:r>
    </w:p>
    <w:p w14:paraId="1BEDD33B" w14:textId="77777777" w:rsidR="00AE0598" w:rsidRDefault="0069255A">
      <w:pPr>
        <w:spacing w:before="2"/>
        <w:ind w:left="430" w:right="127" w:hanging="320"/>
        <w:jc w:val="both"/>
        <w:rPr>
          <w:sz w:val="17"/>
        </w:rPr>
      </w:pPr>
      <w:r>
        <w:rPr>
          <w:color w:val="231F20"/>
          <w:sz w:val="17"/>
        </w:rPr>
        <w:t>Knott,</w:t>
      </w:r>
      <w:r>
        <w:rPr>
          <w:color w:val="231F20"/>
          <w:spacing w:val="30"/>
          <w:sz w:val="17"/>
        </w:rPr>
        <w:t xml:space="preserve"> </w:t>
      </w:r>
      <w:r>
        <w:rPr>
          <w:color w:val="231F20"/>
          <w:sz w:val="17"/>
        </w:rPr>
        <w:t>B.</w:t>
      </w:r>
      <w:r>
        <w:rPr>
          <w:color w:val="231F20"/>
          <w:spacing w:val="30"/>
          <w:sz w:val="17"/>
        </w:rPr>
        <w:t xml:space="preserve"> </w:t>
      </w:r>
      <w:r>
        <w:rPr>
          <w:color w:val="231F20"/>
          <w:sz w:val="17"/>
        </w:rPr>
        <w:t>(2015)</w:t>
      </w:r>
      <w:r>
        <w:rPr>
          <w:color w:val="231F20"/>
          <w:spacing w:val="30"/>
          <w:sz w:val="17"/>
        </w:rPr>
        <w:t xml:space="preserve"> </w:t>
      </w:r>
      <w:r>
        <w:rPr>
          <w:color w:val="231F20"/>
          <w:sz w:val="17"/>
        </w:rPr>
        <w:t>The</w:t>
      </w:r>
      <w:r>
        <w:rPr>
          <w:color w:val="231F20"/>
          <w:spacing w:val="30"/>
          <w:sz w:val="17"/>
        </w:rPr>
        <w:t xml:space="preserve"> </w:t>
      </w:r>
      <w:r>
        <w:rPr>
          <w:color w:val="231F20"/>
          <w:sz w:val="17"/>
        </w:rPr>
        <w:t>strategic</w:t>
      </w:r>
      <w:r>
        <w:rPr>
          <w:color w:val="231F20"/>
          <w:spacing w:val="30"/>
          <w:sz w:val="17"/>
        </w:rPr>
        <w:t xml:space="preserve"> </w:t>
      </w:r>
      <w:r>
        <w:rPr>
          <w:color w:val="231F20"/>
          <w:sz w:val="17"/>
        </w:rPr>
        <w:t>contribution</w:t>
      </w:r>
      <w:r>
        <w:rPr>
          <w:color w:val="231F20"/>
          <w:spacing w:val="30"/>
          <w:sz w:val="17"/>
        </w:rPr>
        <w:t xml:space="preserve"> </w:t>
      </w:r>
      <w:r>
        <w:rPr>
          <w:color w:val="231F20"/>
          <w:sz w:val="17"/>
        </w:rPr>
        <w:t>of</w:t>
      </w:r>
      <w:r>
        <w:rPr>
          <w:color w:val="231F20"/>
          <w:spacing w:val="30"/>
          <w:sz w:val="17"/>
        </w:rPr>
        <w:t xml:space="preserve"> </w:t>
      </w:r>
      <w:r>
        <w:rPr>
          <w:color w:val="231F20"/>
          <w:sz w:val="17"/>
        </w:rPr>
        <w:t>sport</w:t>
      </w:r>
      <w:r>
        <w:rPr>
          <w:color w:val="231F20"/>
          <w:spacing w:val="30"/>
          <w:sz w:val="17"/>
        </w:rPr>
        <w:t xml:space="preserve"> </w:t>
      </w:r>
      <w:r>
        <w:rPr>
          <w:color w:val="231F20"/>
          <w:sz w:val="17"/>
        </w:rPr>
        <w:t>mega-events</w:t>
      </w:r>
      <w:r>
        <w:rPr>
          <w:color w:val="231F20"/>
          <w:spacing w:val="30"/>
          <w:sz w:val="17"/>
        </w:rPr>
        <w:t xml:space="preserve"> </w:t>
      </w:r>
      <w:r>
        <w:rPr>
          <w:color w:val="231F20"/>
          <w:sz w:val="17"/>
        </w:rPr>
        <w:t>to</w:t>
      </w:r>
      <w:r>
        <w:rPr>
          <w:color w:val="231F20"/>
          <w:spacing w:val="30"/>
          <w:sz w:val="17"/>
        </w:rPr>
        <w:t xml:space="preserve"> </w:t>
      </w:r>
      <w:r>
        <w:rPr>
          <w:color w:val="231F20"/>
          <w:sz w:val="17"/>
        </w:rPr>
        <w:t>nation</w:t>
      </w:r>
      <w:r>
        <w:rPr>
          <w:color w:val="231F20"/>
          <w:spacing w:val="30"/>
          <w:sz w:val="17"/>
        </w:rPr>
        <w:t xml:space="preserve"> </w:t>
      </w:r>
      <w:r>
        <w:rPr>
          <w:color w:val="231F20"/>
          <w:sz w:val="17"/>
        </w:rPr>
        <w:t>branding:</w:t>
      </w:r>
      <w:r>
        <w:rPr>
          <w:color w:val="231F20"/>
          <w:spacing w:val="40"/>
          <w:sz w:val="17"/>
        </w:rPr>
        <w:t xml:space="preserve"> </w:t>
      </w:r>
      <w:r>
        <w:rPr>
          <w:color w:val="231F20"/>
          <w:sz w:val="17"/>
        </w:rPr>
        <w:t>The case of South Africa and the 2010 FIFA World Cup. Unpublished PhD thesis,</w:t>
      </w:r>
      <w:r>
        <w:rPr>
          <w:color w:val="231F20"/>
          <w:spacing w:val="40"/>
          <w:sz w:val="17"/>
        </w:rPr>
        <w:t xml:space="preserve"> </w:t>
      </w:r>
      <w:r>
        <w:rPr>
          <w:color w:val="231F20"/>
          <w:sz w:val="17"/>
        </w:rPr>
        <w:t>Bournemouth University.</w:t>
      </w:r>
    </w:p>
    <w:p w14:paraId="0DCD318A" w14:textId="77777777" w:rsidR="00AE0598" w:rsidRDefault="0069255A">
      <w:pPr>
        <w:spacing w:before="2"/>
        <w:ind w:left="110"/>
        <w:jc w:val="both"/>
        <w:rPr>
          <w:sz w:val="17"/>
        </w:rPr>
      </w:pPr>
      <w:r>
        <w:rPr>
          <w:color w:val="231F20"/>
          <w:sz w:val="17"/>
        </w:rPr>
        <w:t>Koenig</w:t>
      </w:r>
      <w:r>
        <w:rPr>
          <w:rFonts w:ascii="Times New Roman" w:hAnsi="Times New Roman"/>
          <w:color w:val="231F20"/>
          <w:sz w:val="17"/>
        </w:rPr>
        <w:t>‐</w:t>
      </w:r>
      <w:r>
        <w:rPr>
          <w:color w:val="231F20"/>
          <w:sz w:val="17"/>
        </w:rPr>
        <w:t>Lewis,</w:t>
      </w:r>
      <w:r>
        <w:rPr>
          <w:color w:val="231F20"/>
          <w:spacing w:val="28"/>
          <w:sz w:val="17"/>
        </w:rPr>
        <w:t xml:space="preserve"> </w:t>
      </w:r>
      <w:r>
        <w:rPr>
          <w:color w:val="231F20"/>
          <w:sz w:val="17"/>
        </w:rPr>
        <w:t>N.</w:t>
      </w:r>
      <w:r>
        <w:rPr>
          <w:color w:val="231F20"/>
          <w:spacing w:val="28"/>
          <w:sz w:val="17"/>
        </w:rPr>
        <w:t xml:space="preserve"> </w:t>
      </w:r>
      <w:r>
        <w:rPr>
          <w:color w:val="231F20"/>
          <w:sz w:val="17"/>
        </w:rPr>
        <w:t>and</w:t>
      </w:r>
      <w:r>
        <w:rPr>
          <w:color w:val="231F20"/>
          <w:spacing w:val="29"/>
          <w:sz w:val="17"/>
        </w:rPr>
        <w:t xml:space="preserve"> </w:t>
      </w:r>
      <w:r>
        <w:rPr>
          <w:color w:val="231F20"/>
          <w:sz w:val="17"/>
        </w:rPr>
        <w:t>Bischoff,</w:t>
      </w:r>
      <w:r>
        <w:rPr>
          <w:color w:val="231F20"/>
          <w:spacing w:val="28"/>
          <w:sz w:val="17"/>
        </w:rPr>
        <w:t xml:space="preserve"> </w:t>
      </w:r>
      <w:r>
        <w:rPr>
          <w:color w:val="231F20"/>
          <w:sz w:val="17"/>
        </w:rPr>
        <w:t>E.E.</w:t>
      </w:r>
      <w:r>
        <w:rPr>
          <w:color w:val="231F20"/>
          <w:spacing w:val="29"/>
          <w:sz w:val="17"/>
        </w:rPr>
        <w:t xml:space="preserve"> </w:t>
      </w:r>
      <w:r>
        <w:rPr>
          <w:color w:val="231F20"/>
          <w:sz w:val="17"/>
        </w:rPr>
        <w:t>(2005)</w:t>
      </w:r>
      <w:r>
        <w:rPr>
          <w:color w:val="231F20"/>
          <w:spacing w:val="28"/>
          <w:sz w:val="17"/>
        </w:rPr>
        <w:t xml:space="preserve"> </w:t>
      </w:r>
      <w:r>
        <w:rPr>
          <w:color w:val="231F20"/>
          <w:sz w:val="17"/>
        </w:rPr>
        <w:t>Seasonality</w:t>
      </w:r>
      <w:r>
        <w:rPr>
          <w:color w:val="231F20"/>
          <w:spacing w:val="29"/>
          <w:sz w:val="17"/>
        </w:rPr>
        <w:t xml:space="preserve"> </w:t>
      </w:r>
      <w:r>
        <w:rPr>
          <w:color w:val="231F20"/>
          <w:sz w:val="17"/>
        </w:rPr>
        <w:t>research:</w:t>
      </w:r>
      <w:r>
        <w:rPr>
          <w:color w:val="231F20"/>
          <w:spacing w:val="28"/>
          <w:sz w:val="17"/>
        </w:rPr>
        <w:t xml:space="preserve"> </w:t>
      </w:r>
      <w:r>
        <w:rPr>
          <w:color w:val="231F20"/>
          <w:sz w:val="17"/>
        </w:rPr>
        <w:t>The</w:t>
      </w:r>
      <w:r>
        <w:rPr>
          <w:color w:val="231F20"/>
          <w:spacing w:val="28"/>
          <w:sz w:val="17"/>
        </w:rPr>
        <w:t xml:space="preserve"> </w:t>
      </w:r>
      <w:r>
        <w:rPr>
          <w:color w:val="231F20"/>
          <w:sz w:val="17"/>
        </w:rPr>
        <w:t>state</w:t>
      </w:r>
      <w:r>
        <w:rPr>
          <w:color w:val="231F20"/>
          <w:spacing w:val="29"/>
          <w:sz w:val="17"/>
        </w:rPr>
        <w:t xml:space="preserve"> </w:t>
      </w:r>
      <w:r>
        <w:rPr>
          <w:color w:val="231F20"/>
          <w:sz w:val="17"/>
        </w:rPr>
        <w:t>of</w:t>
      </w:r>
      <w:r>
        <w:rPr>
          <w:color w:val="231F20"/>
          <w:spacing w:val="28"/>
          <w:sz w:val="17"/>
        </w:rPr>
        <w:t xml:space="preserve"> </w:t>
      </w:r>
      <w:r>
        <w:rPr>
          <w:color w:val="231F20"/>
          <w:sz w:val="17"/>
        </w:rPr>
        <w:t>the</w:t>
      </w:r>
      <w:r>
        <w:rPr>
          <w:color w:val="231F20"/>
          <w:spacing w:val="29"/>
          <w:sz w:val="17"/>
        </w:rPr>
        <w:t xml:space="preserve"> </w:t>
      </w:r>
      <w:r>
        <w:rPr>
          <w:color w:val="231F20"/>
          <w:spacing w:val="-4"/>
          <w:sz w:val="17"/>
        </w:rPr>
        <w:t>art.</w:t>
      </w:r>
    </w:p>
    <w:p w14:paraId="13F229F7" w14:textId="77777777" w:rsidR="00AE0598" w:rsidRDefault="0069255A">
      <w:pPr>
        <w:spacing w:before="1"/>
        <w:ind w:left="430"/>
        <w:jc w:val="both"/>
        <w:rPr>
          <w:sz w:val="17"/>
        </w:rPr>
      </w:pPr>
      <w:r>
        <w:rPr>
          <w:i/>
          <w:color w:val="231F20"/>
          <w:sz w:val="17"/>
        </w:rPr>
        <w:t>International</w:t>
      </w:r>
      <w:r>
        <w:rPr>
          <w:i/>
          <w:color w:val="231F20"/>
          <w:spacing w:val="6"/>
          <w:sz w:val="17"/>
        </w:rPr>
        <w:t xml:space="preserve"> </w:t>
      </w:r>
      <w:r>
        <w:rPr>
          <w:i/>
          <w:color w:val="231F20"/>
          <w:sz w:val="17"/>
        </w:rPr>
        <w:t>Journal</w:t>
      </w:r>
      <w:r>
        <w:rPr>
          <w:i/>
          <w:color w:val="231F20"/>
          <w:spacing w:val="6"/>
          <w:sz w:val="17"/>
        </w:rPr>
        <w:t xml:space="preserve"> </w:t>
      </w:r>
      <w:r>
        <w:rPr>
          <w:i/>
          <w:color w:val="231F20"/>
          <w:sz w:val="17"/>
        </w:rPr>
        <w:t>of</w:t>
      </w:r>
      <w:r>
        <w:rPr>
          <w:i/>
          <w:color w:val="231F20"/>
          <w:spacing w:val="7"/>
          <w:sz w:val="17"/>
        </w:rPr>
        <w:t xml:space="preserve"> </w:t>
      </w:r>
      <w:r>
        <w:rPr>
          <w:i/>
          <w:color w:val="231F20"/>
          <w:sz w:val="17"/>
        </w:rPr>
        <w:t>Tourism</w:t>
      </w:r>
      <w:r>
        <w:rPr>
          <w:i/>
          <w:color w:val="231F20"/>
          <w:spacing w:val="6"/>
          <w:sz w:val="17"/>
        </w:rPr>
        <w:t xml:space="preserve"> </w:t>
      </w:r>
      <w:r>
        <w:rPr>
          <w:i/>
          <w:color w:val="231F20"/>
          <w:sz w:val="17"/>
        </w:rPr>
        <w:t>Research</w:t>
      </w:r>
      <w:r>
        <w:rPr>
          <w:i/>
          <w:color w:val="231F20"/>
          <w:spacing w:val="7"/>
          <w:sz w:val="17"/>
        </w:rPr>
        <w:t xml:space="preserve"> </w:t>
      </w:r>
      <w:r>
        <w:rPr>
          <w:color w:val="231F20"/>
          <w:sz w:val="17"/>
        </w:rPr>
        <w:t>7</w:t>
      </w:r>
      <w:r>
        <w:rPr>
          <w:color w:val="231F20"/>
          <w:spacing w:val="6"/>
          <w:sz w:val="17"/>
        </w:rPr>
        <w:t xml:space="preserve"> </w:t>
      </w:r>
      <w:r>
        <w:rPr>
          <w:color w:val="231F20"/>
          <w:sz w:val="17"/>
        </w:rPr>
        <w:t>(4–5),</w:t>
      </w:r>
      <w:r>
        <w:rPr>
          <w:color w:val="231F20"/>
          <w:spacing w:val="7"/>
          <w:sz w:val="17"/>
        </w:rPr>
        <w:t xml:space="preserve"> </w:t>
      </w:r>
      <w:r>
        <w:rPr>
          <w:color w:val="231F20"/>
          <w:spacing w:val="-2"/>
          <w:sz w:val="17"/>
        </w:rPr>
        <w:t>201–219.</w:t>
      </w:r>
    </w:p>
    <w:p w14:paraId="4C40B05D" w14:textId="77777777" w:rsidR="00AE0598" w:rsidRDefault="0069255A">
      <w:pPr>
        <w:spacing w:before="1"/>
        <w:ind w:left="430" w:right="128" w:hanging="320"/>
        <w:jc w:val="both"/>
        <w:rPr>
          <w:sz w:val="17"/>
        </w:rPr>
      </w:pPr>
      <w:r>
        <w:rPr>
          <w:color w:val="231F20"/>
          <w:sz w:val="17"/>
        </w:rPr>
        <w:t xml:space="preserve">Kotler, P., Haider, D.H. and Rein, I. (1993) Marketing Places: Attracting </w:t>
      </w:r>
      <w:r>
        <w:rPr>
          <w:i/>
          <w:color w:val="231F20"/>
          <w:sz w:val="17"/>
        </w:rPr>
        <w:t>Investment,</w:t>
      </w:r>
      <w:r>
        <w:rPr>
          <w:i/>
          <w:color w:val="231F20"/>
          <w:spacing w:val="40"/>
          <w:sz w:val="17"/>
        </w:rPr>
        <w:t xml:space="preserve"> </w:t>
      </w:r>
      <w:r>
        <w:rPr>
          <w:i/>
          <w:color w:val="231F20"/>
          <w:sz w:val="17"/>
        </w:rPr>
        <w:t>Industry, and Tourism to Cities, States and Nations</w:t>
      </w:r>
      <w:r>
        <w:rPr>
          <w:color w:val="231F20"/>
          <w:sz w:val="17"/>
        </w:rPr>
        <w:t>. New York: The Free Press.</w:t>
      </w:r>
    </w:p>
    <w:p w14:paraId="68BAAC23" w14:textId="77777777" w:rsidR="00AE0598" w:rsidRDefault="0069255A">
      <w:pPr>
        <w:spacing w:before="1"/>
        <w:ind w:left="110"/>
        <w:jc w:val="both"/>
        <w:rPr>
          <w:i/>
          <w:sz w:val="17"/>
        </w:rPr>
      </w:pPr>
      <w:r>
        <w:rPr>
          <w:color w:val="231F20"/>
          <w:sz w:val="17"/>
        </w:rPr>
        <w:t>Krawczyk,</w:t>
      </w:r>
      <w:r>
        <w:rPr>
          <w:color w:val="231F20"/>
          <w:spacing w:val="29"/>
          <w:sz w:val="17"/>
        </w:rPr>
        <w:t xml:space="preserve"> </w:t>
      </w:r>
      <w:r>
        <w:rPr>
          <w:color w:val="231F20"/>
          <w:sz w:val="17"/>
        </w:rPr>
        <w:t>Z.</w:t>
      </w:r>
      <w:r>
        <w:rPr>
          <w:color w:val="231F20"/>
          <w:spacing w:val="30"/>
          <w:sz w:val="17"/>
        </w:rPr>
        <w:t xml:space="preserve"> </w:t>
      </w:r>
      <w:r>
        <w:rPr>
          <w:color w:val="231F20"/>
          <w:sz w:val="17"/>
        </w:rPr>
        <w:t>(1996)</w:t>
      </w:r>
      <w:r>
        <w:rPr>
          <w:color w:val="231F20"/>
          <w:spacing w:val="30"/>
          <w:sz w:val="17"/>
        </w:rPr>
        <w:t xml:space="preserve"> </w:t>
      </w:r>
      <w:r>
        <w:rPr>
          <w:color w:val="231F20"/>
          <w:sz w:val="17"/>
        </w:rPr>
        <w:t>Sport</w:t>
      </w:r>
      <w:r>
        <w:rPr>
          <w:color w:val="231F20"/>
          <w:spacing w:val="30"/>
          <w:sz w:val="17"/>
        </w:rPr>
        <w:t xml:space="preserve"> </w:t>
      </w:r>
      <w:r>
        <w:rPr>
          <w:color w:val="231F20"/>
          <w:sz w:val="17"/>
        </w:rPr>
        <w:t>as</w:t>
      </w:r>
      <w:r>
        <w:rPr>
          <w:color w:val="231F20"/>
          <w:spacing w:val="30"/>
          <w:sz w:val="17"/>
        </w:rPr>
        <w:t xml:space="preserve"> </w:t>
      </w:r>
      <w:r>
        <w:rPr>
          <w:color w:val="231F20"/>
          <w:sz w:val="17"/>
        </w:rPr>
        <w:t>symbol.</w:t>
      </w:r>
      <w:r>
        <w:rPr>
          <w:color w:val="231F20"/>
          <w:spacing w:val="30"/>
          <w:sz w:val="17"/>
        </w:rPr>
        <w:t xml:space="preserve"> </w:t>
      </w:r>
      <w:r>
        <w:rPr>
          <w:i/>
          <w:color w:val="231F20"/>
          <w:sz w:val="17"/>
        </w:rPr>
        <w:t>International</w:t>
      </w:r>
      <w:r>
        <w:rPr>
          <w:i/>
          <w:color w:val="231F20"/>
          <w:spacing w:val="30"/>
          <w:sz w:val="17"/>
        </w:rPr>
        <w:t xml:space="preserve"> </w:t>
      </w:r>
      <w:r>
        <w:rPr>
          <w:i/>
          <w:color w:val="231F20"/>
          <w:sz w:val="17"/>
        </w:rPr>
        <w:t>Review</w:t>
      </w:r>
      <w:r>
        <w:rPr>
          <w:i/>
          <w:color w:val="231F20"/>
          <w:spacing w:val="30"/>
          <w:sz w:val="17"/>
        </w:rPr>
        <w:t xml:space="preserve"> </w:t>
      </w:r>
      <w:r>
        <w:rPr>
          <w:i/>
          <w:color w:val="231F20"/>
          <w:sz w:val="17"/>
        </w:rPr>
        <w:t>for</w:t>
      </w:r>
      <w:r>
        <w:rPr>
          <w:i/>
          <w:color w:val="231F20"/>
          <w:spacing w:val="30"/>
          <w:sz w:val="17"/>
        </w:rPr>
        <w:t xml:space="preserve"> </w:t>
      </w:r>
      <w:r>
        <w:rPr>
          <w:i/>
          <w:color w:val="231F20"/>
          <w:sz w:val="17"/>
        </w:rPr>
        <w:t>the</w:t>
      </w:r>
      <w:r>
        <w:rPr>
          <w:i/>
          <w:color w:val="231F20"/>
          <w:spacing w:val="30"/>
          <w:sz w:val="17"/>
        </w:rPr>
        <w:t xml:space="preserve"> </w:t>
      </w:r>
      <w:r>
        <w:rPr>
          <w:i/>
          <w:color w:val="231F20"/>
          <w:sz w:val="17"/>
        </w:rPr>
        <w:t>Sociology</w:t>
      </w:r>
      <w:r>
        <w:rPr>
          <w:i/>
          <w:color w:val="231F20"/>
          <w:spacing w:val="30"/>
          <w:sz w:val="17"/>
        </w:rPr>
        <w:t xml:space="preserve"> </w:t>
      </w:r>
      <w:r>
        <w:rPr>
          <w:i/>
          <w:color w:val="231F20"/>
          <w:sz w:val="17"/>
        </w:rPr>
        <w:t>of</w:t>
      </w:r>
      <w:r>
        <w:rPr>
          <w:i/>
          <w:color w:val="231F20"/>
          <w:spacing w:val="30"/>
          <w:sz w:val="17"/>
        </w:rPr>
        <w:t xml:space="preserve"> </w:t>
      </w:r>
      <w:r>
        <w:rPr>
          <w:i/>
          <w:color w:val="231F20"/>
          <w:spacing w:val="-2"/>
          <w:sz w:val="17"/>
        </w:rPr>
        <w:t>Sport</w:t>
      </w:r>
    </w:p>
    <w:p w14:paraId="5C6A9813" w14:textId="77777777" w:rsidR="00AE0598" w:rsidRDefault="0069255A">
      <w:pPr>
        <w:spacing w:before="1"/>
        <w:ind w:left="430"/>
        <w:jc w:val="both"/>
        <w:rPr>
          <w:sz w:val="17"/>
        </w:rPr>
      </w:pPr>
      <w:r>
        <w:rPr>
          <w:color w:val="231F20"/>
          <w:w w:val="90"/>
          <w:sz w:val="17"/>
        </w:rPr>
        <w:t>31</w:t>
      </w:r>
      <w:r>
        <w:rPr>
          <w:color w:val="231F20"/>
          <w:spacing w:val="-3"/>
          <w:sz w:val="17"/>
        </w:rPr>
        <w:t xml:space="preserve"> </w:t>
      </w:r>
      <w:r>
        <w:rPr>
          <w:color w:val="231F20"/>
          <w:w w:val="90"/>
          <w:sz w:val="17"/>
        </w:rPr>
        <w:t>(4)</w:t>
      </w:r>
      <w:r>
        <w:rPr>
          <w:color w:val="231F20"/>
          <w:w w:val="90"/>
          <w:sz w:val="17"/>
        </w:rPr>
        <w:t>,</w:t>
      </w:r>
      <w:r>
        <w:rPr>
          <w:color w:val="231F20"/>
          <w:spacing w:val="-3"/>
          <w:sz w:val="17"/>
        </w:rPr>
        <w:t xml:space="preserve"> </w:t>
      </w:r>
      <w:r>
        <w:rPr>
          <w:color w:val="231F20"/>
          <w:spacing w:val="-2"/>
          <w:w w:val="90"/>
          <w:sz w:val="17"/>
        </w:rPr>
        <w:t>429–438.</w:t>
      </w:r>
    </w:p>
    <w:p w14:paraId="0058F72F" w14:textId="77777777" w:rsidR="00AE0598" w:rsidRDefault="0069255A">
      <w:pPr>
        <w:ind w:left="430" w:right="128" w:hanging="320"/>
        <w:jc w:val="both"/>
        <w:rPr>
          <w:sz w:val="17"/>
        </w:rPr>
      </w:pPr>
      <w:r>
        <w:rPr>
          <w:color w:val="231F20"/>
          <w:sz w:val="17"/>
        </w:rPr>
        <w:t xml:space="preserve">Krein, K. (2008) Sport, nature and worldmaking. </w:t>
      </w:r>
      <w:r>
        <w:rPr>
          <w:i/>
          <w:color w:val="231F20"/>
          <w:sz w:val="17"/>
        </w:rPr>
        <w:t xml:space="preserve">Sports Ethics and Philosophy </w:t>
      </w:r>
      <w:r>
        <w:rPr>
          <w:color w:val="231F20"/>
          <w:sz w:val="17"/>
        </w:rPr>
        <w:t>2 (3),</w:t>
      </w:r>
      <w:r>
        <w:rPr>
          <w:color w:val="231F20"/>
          <w:spacing w:val="40"/>
          <w:sz w:val="17"/>
        </w:rPr>
        <w:t xml:space="preserve"> </w:t>
      </w:r>
      <w:r>
        <w:rPr>
          <w:color w:val="231F20"/>
          <w:spacing w:val="-2"/>
          <w:sz w:val="17"/>
        </w:rPr>
        <w:t>285–301.</w:t>
      </w:r>
    </w:p>
    <w:p w14:paraId="700F7739" w14:textId="77777777" w:rsidR="00AE0598" w:rsidRDefault="0069255A">
      <w:pPr>
        <w:spacing w:before="2"/>
        <w:ind w:left="110"/>
        <w:jc w:val="both"/>
        <w:rPr>
          <w:sz w:val="17"/>
        </w:rPr>
      </w:pPr>
      <w:r>
        <w:rPr>
          <w:color w:val="231F20"/>
          <w:sz w:val="17"/>
        </w:rPr>
        <w:t>Kreutzwiser,</w:t>
      </w:r>
      <w:r>
        <w:rPr>
          <w:color w:val="231F20"/>
          <w:spacing w:val="-1"/>
          <w:sz w:val="17"/>
        </w:rPr>
        <w:t xml:space="preserve"> </w:t>
      </w:r>
      <w:r>
        <w:rPr>
          <w:color w:val="231F20"/>
          <w:sz w:val="17"/>
        </w:rPr>
        <w:t>R.</w:t>
      </w:r>
      <w:r>
        <w:rPr>
          <w:color w:val="231F20"/>
          <w:spacing w:val="-1"/>
          <w:sz w:val="17"/>
        </w:rPr>
        <w:t xml:space="preserve"> </w:t>
      </w:r>
      <w:r>
        <w:rPr>
          <w:color w:val="231F20"/>
          <w:sz w:val="17"/>
        </w:rPr>
        <w:t>(1989) Supply.</w:t>
      </w:r>
      <w:r>
        <w:rPr>
          <w:color w:val="231F20"/>
          <w:spacing w:val="-1"/>
          <w:sz w:val="17"/>
        </w:rPr>
        <w:t xml:space="preserve"> </w:t>
      </w:r>
      <w:r>
        <w:rPr>
          <w:color w:val="231F20"/>
          <w:sz w:val="17"/>
        </w:rPr>
        <w:t>In G.</w:t>
      </w:r>
      <w:r>
        <w:rPr>
          <w:color w:val="231F20"/>
          <w:spacing w:val="-1"/>
          <w:sz w:val="17"/>
        </w:rPr>
        <w:t xml:space="preserve"> </w:t>
      </w:r>
      <w:r>
        <w:rPr>
          <w:color w:val="231F20"/>
          <w:sz w:val="17"/>
        </w:rPr>
        <w:t>Wall (ed.)</w:t>
      </w:r>
      <w:r>
        <w:rPr>
          <w:color w:val="231F20"/>
          <w:spacing w:val="-1"/>
          <w:sz w:val="17"/>
        </w:rPr>
        <w:t xml:space="preserve"> </w:t>
      </w:r>
      <w:r>
        <w:rPr>
          <w:i/>
          <w:color w:val="231F20"/>
          <w:sz w:val="17"/>
        </w:rPr>
        <w:t>Outdoor Recreation</w:t>
      </w:r>
      <w:r>
        <w:rPr>
          <w:i/>
          <w:color w:val="231F20"/>
          <w:spacing w:val="-1"/>
          <w:sz w:val="17"/>
        </w:rPr>
        <w:t xml:space="preserve"> </w:t>
      </w:r>
      <w:r>
        <w:rPr>
          <w:i/>
          <w:color w:val="231F20"/>
          <w:sz w:val="17"/>
        </w:rPr>
        <w:t>in Canada</w:t>
      </w:r>
      <w:r>
        <w:rPr>
          <w:i/>
          <w:color w:val="231F20"/>
          <w:spacing w:val="-1"/>
          <w:sz w:val="17"/>
        </w:rPr>
        <w:t xml:space="preserve"> </w:t>
      </w:r>
      <w:r>
        <w:rPr>
          <w:color w:val="231F20"/>
          <w:sz w:val="17"/>
        </w:rPr>
        <w:t>(pp.</w:t>
      </w:r>
      <w:r>
        <w:rPr>
          <w:color w:val="231F20"/>
          <w:spacing w:val="-1"/>
          <w:sz w:val="17"/>
        </w:rPr>
        <w:t xml:space="preserve"> </w:t>
      </w:r>
      <w:r>
        <w:rPr>
          <w:color w:val="231F20"/>
          <w:spacing w:val="-2"/>
          <w:sz w:val="17"/>
        </w:rPr>
        <w:t>19–42).</w:t>
      </w:r>
    </w:p>
    <w:p w14:paraId="1C5DCBE8" w14:textId="77777777" w:rsidR="00AE0598" w:rsidRDefault="0069255A">
      <w:pPr>
        <w:ind w:left="430"/>
        <w:jc w:val="both"/>
        <w:rPr>
          <w:sz w:val="17"/>
        </w:rPr>
      </w:pPr>
      <w:r>
        <w:rPr>
          <w:color w:val="231F20"/>
          <w:spacing w:val="-2"/>
          <w:w w:val="105"/>
          <w:sz w:val="17"/>
        </w:rPr>
        <w:t>Toronto: John</w:t>
      </w:r>
      <w:r>
        <w:rPr>
          <w:color w:val="231F20"/>
          <w:spacing w:val="-1"/>
          <w:w w:val="105"/>
          <w:sz w:val="17"/>
        </w:rPr>
        <w:t xml:space="preserve"> </w:t>
      </w:r>
      <w:r>
        <w:rPr>
          <w:color w:val="231F20"/>
          <w:spacing w:val="-2"/>
          <w:w w:val="105"/>
          <w:sz w:val="17"/>
        </w:rPr>
        <w:t>Wiley &amp;</w:t>
      </w:r>
      <w:r>
        <w:rPr>
          <w:color w:val="231F20"/>
          <w:spacing w:val="-1"/>
          <w:w w:val="105"/>
          <w:sz w:val="17"/>
        </w:rPr>
        <w:t xml:space="preserve"> </w:t>
      </w:r>
      <w:r>
        <w:rPr>
          <w:color w:val="231F20"/>
          <w:spacing w:val="-4"/>
          <w:w w:val="105"/>
          <w:sz w:val="17"/>
        </w:rPr>
        <w:t>Sons.</w:t>
      </w:r>
    </w:p>
    <w:p w14:paraId="5564516E" w14:textId="77777777" w:rsidR="00AE0598" w:rsidRDefault="0069255A">
      <w:pPr>
        <w:spacing w:before="1"/>
        <w:ind w:left="430" w:right="128" w:hanging="320"/>
        <w:jc w:val="both"/>
        <w:rPr>
          <w:sz w:val="17"/>
        </w:rPr>
      </w:pPr>
      <w:r>
        <w:rPr>
          <w:color w:val="231F20"/>
          <w:sz w:val="17"/>
        </w:rPr>
        <w:t xml:space="preserve">Krippendorf, </w:t>
      </w:r>
      <w:r>
        <w:rPr>
          <w:color w:val="231F20"/>
          <w:w w:val="105"/>
          <w:sz w:val="17"/>
        </w:rPr>
        <w:t xml:space="preserve">J. </w:t>
      </w:r>
      <w:r>
        <w:rPr>
          <w:color w:val="231F20"/>
          <w:sz w:val="17"/>
        </w:rPr>
        <w:t xml:space="preserve">(1986) </w:t>
      </w:r>
      <w:r>
        <w:rPr>
          <w:i/>
          <w:color w:val="231F20"/>
          <w:sz w:val="17"/>
        </w:rPr>
        <w:t>The Holidaymakers: Understanding the Impact of Leisure and</w:t>
      </w:r>
      <w:r>
        <w:rPr>
          <w:i/>
          <w:color w:val="231F20"/>
          <w:spacing w:val="40"/>
          <w:sz w:val="17"/>
        </w:rPr>
        <w:t xml:space="preserve"> </w:t>
      </w:r>
      <w:r>
        <w:rPr>
          <w:i/>
          <w:color w:val="231F20"/>
          <w:sz w:val="17"/>
        </w:rPr>
        <w:t>Travel</w:t>
      </w:r>
      <w:r>
        <w:rPr>
          <w:color w:val="231F20"/>
          <w:sz w:val="17"/>
        </w:rPr>
        <w:t>. London: Heinemann.</w:t>
      </w:r>
    </w:p>
    <w:p w14:paraId="0494D41D" w14:textId="77777777" w:rsidR="00AE0598" w:rsidRDefault="0069255A">
      <w:pPr>
        <w:spacing w:before="2"/>
        <w:ind w:left="110"/>
        <w:jc w:val="both"/>
        <w:rPr>
          <w:i/>
          <w:sz w:val="17"/>
        </w:rPr>
      </w:pPr>
      <w:r>
        <w:rPr>
          <w:color w:val="231F20"/>
          <w:w w:val="95"/>
          <w:sz w:val="17"/>
        </w:rPr>
        <w:t>Krippendorf,</w:t>
      </w:r>
      <w:r>
        <w:rPr>
          <w:color w:val="231F20"/>
          <w:spacing w:val="11"/>
          <w:sz w:val="17"/>
        </w:rPr>
        <w:t xml:space="preserve"> </w:t>
      </w:r>
      <w:r>
        <w:rPr>
          <w:color w:val="231F20"/>
          <w:w w:val="95"/>
          <w:sz w:val="17"/>
        </w:rPr>
        <w:t>J.</w:t>
      </w:r>
      <w:r>
        <w:rPr>
          <w:color w:val="231F20"/>
          <w:spacing w:val="12"/>
          <w:sz w:val="17"/>
        </w:rPr>
        <w:t xml:space="preserve"> </w:t>
      </w:r>
      <w:r>
        <w:rPr>
          <w:color w:val="231F20"/>
          <w:w w:val="95"/>
          <w:sz w:val="17"/>
        </w:rPr>
        <w:t>(1995)</w:t>
      </w:r>
      <w:r>
        <w:rPr>
          <w:color w:val="231F20"/>
          <w:spacing w:val="12"/>
          <w:sz w:val="17"/>
        </w:rPr>
        <w:t xml:space="preserve"> </w:t>
      </w:r>
      <w:r>
        <w:rPr>
          <w:color w:val="231F20"/>
          <w:w w:val="95"/>
          <w:sz w:val="17"/>
        </w:rPr>
        <w:t>Towards</w:t>
      </w:r>
      <w:r>
        <w:rPr>
          <w:color w:val="231F20"/>
          <w:spacing w:val="12"/>
          <w:sz w:val="17"/>
        </w:rPr>
        <w:t xml:space="preserve"> </w:t>
      </w:r>
      <w:r>
        <w:rPr>
          <w:color w:val="231F20"/>
          <w:w w:val="95"/>
          <w:sz w:val="17"/>
        </w:rPr>
        <w:t>new</w:t>
      </w:r>
      <w:r>
        <w:rPr>
          <w:color w:val="231F20"/>
          <w:spacing w:val="12"/>
          <w:sz w:val="17"/>
        </w:rPr>
        <w:t xml:space="preserve"> </w:t>
      </w:r>
      <w:r>
        <w:rPr>
          <w:color w:val="231F20"/>
          <w:w w:val="95"/>
          <w:sz w:val="17"/>
        </w:rPr>
        <w:t>tourism</w:t>
      </w:r>
      <w:r>
        <w:rPr>
          <w:color w:val="231F20"/>
          <w:spacing w:val="12"/>
          <w:sz w:val="17"/>
        </w:rPr>
        <w:t xml:space="preserve"> </w:t>
      </w:r>
      <w:r>
        <w:rPr>
          <w:color w:val="231F20"/>
          <w:w w:val="95"/>
          <w:sz w:val="17"/>
        </w:rPr>
        <w:t>policies.</w:t>
      </w:r>
      <w:r>
        <w:rPr>
          <w:color w:val="231F20"/>
          <w:spacing w:val="11"/>
          <w:sz w:val="17"/>
        </w:rPr>
        <w:t xml:space="preserve"> </w:t>
      </w:r>
      <w:r>
        <w:rPr>
          <w:color w:val="231F20"/>
          <w:w w:val="95"/>
          <w:sz w:val="17"/>
        </w:rPr>
        <w:t>In</w:t>
      </w:r>
      <w:r>
        <w:rPr>
          <w:color w:val="231F20"/>
          <w:spacing w:val="12"/>
          <w:sz w:val="17"/>
        </w:rPr>
        <w:t xml:space="preserve"> </w:t>
      </w:r>
      <w:r>
        <w:rPr>
          <w:color w:val="231F20"/>
          <w:w w:val="95"/>
          <w:sz w:val="17"/>
        </w:rPr>
        <w:t>S.</w:t>
      </w:r>
      <w:r>
        <w:rPr>
          <w:color w:val="231F20"/>
          <w:spacing w:val="12"/>
          <w:sz w:val="17"/>
        </w:rPr>
        <w:t xml:space="preserve"> </w:t>
      </w:r>
      <w:r>
        <w:rPr>
          <w:color w:val="231F20"/>
          <w:w w:val="95"/>
          <w:sz w:val="17"/>
        </w:rPr>
        <w:t>Medlik</w:t>
      </w:r>
      <w:r>
        <w:rPr>
          <w:color w:val="231F20"/>
          <w:spacing w:val="12"/>
          <w:sz w:val="17"/>
        </w:rPr>
        <w:t xml:space="preserve"> </w:t>
      </w:r>
      <w:r>
        <w:rPr>
          <w:color w:val="231F20"/>
          <w:w w:val="95"/>
          <w:sz w:val="17"/>
        </w:rPr>
        <w:t>(ed.)</w:t>
      </w:r>
      <w:r>
        <w:rPr>
          <w:color w:val="231F20"/>
          <w:spacing w:val="12"/>
          <w:sz w:val="17"/>
        </w:rPr>
        <w:t xml:space="preserve"> </w:t>
      </w:r>
      <w:r>
        <w:rPr>
          <w:i/>
          <w:color w:val="231F20"/>
          <w:w w:val="95"/>
          <w:sz w:val="17"/>
        </w:rPr>
        <w:t>Managing</w:t>
      </w:r>
      <w:r>
        <w:rPr>
          <w:i/>
          <w:color w:val="231F20"/>
          <w:spacing w:val="12"/>
          <w:sz w:val="17"/>
        </w:rPr>
        <w:t xml:space="preserve"> </w:t>
      </w:r>
      <w:r>
        <w:rPr>
          <w:i/>
          <w:color w:val="231F20"/>
          <w:spacing w:val="-2"/>
          <w:w w:val="95"/>
          <w:sz w:val="17"/>
        </w:rPr>
        <w:t>Tourism</w:t>
      </w:r>
    </w:p>
    <w:p w14:paraId="5C9A0645" w14:textId="77777777" w:rsidR="00AE0598" w:rsidRDefault="0069255A">
      <w:pPr>
        <w:ind w:left="430"/>
        <w:jc w:val="both"/>
        <w:rPr>
          <w:sz w:val="17"/>
        </w:rPr>
      </w:pPr>
      <w:r>
        <w:rPr>
          <w:color w:val="231F20"/>
          <w:w w:val="95"/>
          <w:sz w:val="17"/>
        </w:rPr>
        <w:t>(pp.</w:t>
      </w:r>
      <w:r>
        <w:rPr>
          <w:color w:val="231F20"/>
          <w:spacing w:val="13"/>
          <w:sz w:val="17"/>
        </w:rPr>
        <w:t xml:space="preserve"> </w:t>
      </w:r>
      <w:r>
        <w:rPr>
          <w:color w:val="231F20"/>
          <w:w w:val="95"/>
          <w:sz w:val="17"/>
        </w:rPr>
        <w:t>307–317).</w:t>
      </w:r>
      <w:r>
        <w:rPr>
          <w:color w:val="231F20"/>
          <w:spacing w:val="13"/>
          <w:sz w:val="17"/>
        </w:rPr>
        <w:t xml:space="preserve"> </w:t>
      </w:r>
      <w:r>
        <w:rPr>
          <w:color w:val="231F20"/>
          <w:w w:val="95"/>
          <w:sz w:val="17"/>
        </w:rPr>
        <w:t>Oxford:</w:t>
      </w:r>
      <w:r>
        <w:rPr>
          <w:color w:val="231F20"/>
          <w:spacing w:val="13"/>
          <w:sz w:val="17"/>
        </w:rPr>
        <w:t xml:space="preserve"> </w:t>
      </w:r>
      <w:r>
        <w:rPr>
          <w:color w:val="231F20"/>
          <w:w w:val="95"/>
          <w:sz w:val="17"/>
        </w:rPr>
        <w:t>Butterworth</w:t>
      </w:r>
      <w:r>
        <w:rPr>
          <w:color w:val="231F20"/>
          <w:spacing w:val="13"/>
          <w:sz w:val="17"/>
        </w:rPr>
        <w:t xml:space="preserve"> </w:t>
      </w:r>
      <w:r>
        <w:rPr>
          <w:color w:val="231F20"/>
          <w:spacing w:val="-2"/>
          <w:w w:val="95"/>
          <w:sz w:val="17"/>
        </w:rPr>
        <w:t>Heinemann.</w:t>
      </w:r>
    </w:p>
    <w:p w14:paraId="1BEF6594" w14:textId="77777777" w:rsidR="00AE0598" w:rsidRDefault="0069255A">
      <w:pPr>
        <w:spacing w:before="1"/>
        <w:ind w:left="430" w:right="127" w:hanging="320"/>
        <w:jc w:val="both"/>
        <w:rPr>
          <w:sz w:val="17"/>
        </w:rPr>
      </w:pPr>
      <w:r>
        <w:rPr>
          <w:color w:val="231F20"/>
          <w:sz w:val="17"/>
        </w:rPr>
        <w:t>Kulczycki, C. and Hinch, T. (2014) ‘It’s a place to climb’: Place meanings of indoor rock</w:t>
      </w:r>
      <w:r>
        <w:rPr>
          <w:color w:val="231F20"/>
          <w:spacing w:val="40"/>
          <w:sz w:val="17"/>
        </w:rPr>
        <w:t xml:space="preserve"> </w:t>
      </w:r>
      <w:r>
        <w:rPr>
          <w:color w:val="231F20"/>
          <w:sz w:val="17"/>
        </w:rPr>
        <w:t xml:space="preserve">climbing facilities. </w:t>
      </w:r>
      <w:r>
        <w:rPr>
          <w:i/>
          <w:color w:val="231F20"/>
          <w:sz w:val="17"/>
        </w:rPr>
        <w:t xml:space="preserve">Leisure/Loisir </w:t>
      </w:r>
      <w:r>
        <w:rPr>
          <w:color w:val="231F20"/>
          <w:sz w:val="17"/>
        </w:rPr>
        <w:t>38 (3–4), 271–293.</w:t>
      </w:r>
    </w:p>
    <w:p w14:paraId="4A189071" w14:textId="77777777" w:rsidR="00AE0598" w:rsidRDefault="0069255A">
      <w:pPr>
        <w:spacing w:before="1"/>
        <w:ind w:left="430" w:right="128" w:hanging="320"/>
        <w:jc w:val="both"/>
        <w:rPr>
          <w:sz w:val="17"/>
        </w:rPr>
      </w:pPr>
      <w:r>
        <w:rPr>
          <w:color w:val="231F20"/>
          <w:sz w:val="17"/>
        </w:rPr>
        <w:t>Kulczycki, C. and Hyatt, C. (2005) Expanding the conceptualization of nostalgia sport</w:t>
      </w:r>
      <w:r>
        <w:rPr>
          <w:color w:val="231F20"/>
          <w:spacing w:val="40"/>
          <w:sz w:val="17"/>
        </w:rPr>
        <w:t xml:space="preserve"> </w:t>
      </w:r>
      <w:r>
        <w:rPr>
          <w:color w:val="231F20"/>
          <w:w w:val="95"/>
          <w:sz w:val="17"/>
        </w:rPr>
        <w:t xml:space="preserve">tourism: Lessons learned </w:t>
      </w:r>
      <w:r>
        <w:rPr>
          <w:color w:val="231F20"/>
          <w:w w:val="95"/>
          <w:sz w:val="17"/>
        </w:rPr>
        <w:t xml:space="preserve">from fans left behind after sport franchise relocation. </w:t>
      </w:r>
      <w:r>
        <w:rPr>
          <w:i/>
          <w:color w:val="231F20"/>
          <w:w w:val="95"/>
          <w:sz w:val="17"/>
        </w:rPr>
        <w:t>Journal</w:t>
      </w:r>
      <w:r>
        <w:rPr>
          <w:i/>
          <w:color w:val="231F20"/>
          <w:spacing w:val="80"/>
          <w:sz w:val="17"/>
        </w:rPr>
        <w:t xml:space="preserve"> </w:t>
      </w:r>
      <w:r>
        <w:rPr>
          <w:i/>
          <w:color w:val="231F20"/>
          <w:sz w:val="17"/>
        </w:rPr>
        <w:t xml:space="preserve">of Sport Tourism </w:t>
      </w:r>
      <w:r>
        <w:rPr>
          <w:color w:val="231F20"/>
          <w:sz w:val="17"/>
        </w:rPr>
        <w:t>10 (4), 273–293.</w:t>
      </w:r>
    </w:p>
    <w:p w14:paraId="2B6A294D" w14:textId="77777777" w:rsidR="00AE0598" w:rsidRDefault="0069255A">
      <w:pPr>
        <w:spacing w:before="2"/>
        <w:ind w:left="110"/>
        <w:jc w:val="both"/>
        <w:rPr>
          <w:i/>
          <w:sz w:val="17"/>
        </w:rPr>
      </w:pPr>
      <w:r>
        <w:rPr>
          <w:color w:val="231F20"/>
          <w:sz w:val="17"/>
        </w:rPr>
        <w:t>Kurtzman,</w:t>
      </w:r>
      <w:r>
        <w:rPr>
          <w:color w:val="231F20"/>
          <w:spacing w:val="15"/>
          <w:w w:val="105"/>
          <w:sz w:val="17"/>
        </w:rPr>
        <w:t xml:space="preserve"> </w:t>
      </w:r>
      <w:r>
        <w:rPr>
          <w:color w:val="231F20"/>
          <w:w w:val="105"/>
          <w:sz w:val="17"/>
        </w:rPr>
        <w:t>J.</w:t>
      </w:r>
      <w:r>
        <w:rPr>
          <w:color w:val="231F20"/>
          <w:spacing w:val="15"/>
          <w:w w:val="105"/>
          <w:sz w:val="17"/>
        </w:rPr>
        <w:t xml:space="preserve"> </w:t>
      </w:r>
      <w:r>
        <w:rPr>
          <w:color w:val="231F20"/>
          <w:sz w:val="17"/>
        </w:rPr>
        <w:t>(1997)</w:t>
      </w:r>
      <w:r>
        <w:rPr>
          <w:color w:val="231F20"/>
          <w:spacing w:val="17"/>
          <w:sz w:val="17"/>
        </w:rPr>
        <w:t xml:space="preserve"> </w:t>
      </w:r>
      <w:r>
        <w:rPr>
          <w:color w:val="231F20"/>
          <w:sz w:val="17"/>
        </w:rPr>
        <w:t>The</w:t>
      </w:r>
      <w:r>
        <w:rPr>
          <w:color w:val="231F20"/>
          <w:spacing w:val="17"/>
          <w:sz w:val="17"/>
        </w:rPr>
        <w:t xml:space="preserve"> </w:t>
      </w:r>
      <w:r>
        <w:rPr>
          <w:color w:val="231F20"/>
          <w:sz w:val="17"/>
        </w:rPr>
        <w:t>peace</w:t>
      </w:r>
      <w:r>
        <w:rPr>
          <w:color w:val="231F20"/>
          <w:spacing w:val="17"/>
          <w:sz w:val="17"/>
        </w:rPr>
        <w:t xml:space="preserve"> </w:t>
      </w:r>
      <w:r>
        <w:rPr>
          <w:color w:val="231F20"/>
          <w:sz w:val="17"/>
        </w:rPr>
        <w:t>games</w:t>
      </w:r>
      <w:r>
        <w:rPr>
          <w:color w:val="231F20"/>
          <w:spacing w:val="17"/>
          <w:sz w:val="17"/>
        </w:rPr>
        <w:t xml:space="preserve"> </w:t>
      </w:r>
      <w:r>
        <w:rPr>
          <w:color w:val="231F20"/>
          <w:sz w:val="17"/>
        </w:rPr>
        <w:t>for</w:t>
      </w:r>
      <w:r>
        <w:rPr>
          <w:color w:val="231F20"/>
          <w:spacing w:val="17"/>
          <w:sz w:val="17"/>
        </w:rPr>
        <w:t xml:space="preserve"> </w:t>
      </w:r>
      <w:r>
        <w:rPr>
          <w:color w:val="231F20"/>
          <w:sz w:val="17"/>
        </w:rPr>
        <w:t>the</w:t>
      </w:r>
      <w:r>
        <w:rPr>
          <w:color w:val="231F20"/>
          <w:spacing w:val="18"/>
          <w:sz w:val="17"/>
        </w:rPr>
        <w:t xml:space="preserve"> </w:t>
      </w:r>
      <w:r>
        <w:rPr>
          <w:color w:val="231F20"/>
          <w:sz w:val="17"/>
        </w:rPr>
        <w:t>new</w:t>
      </w:r>
      <w:r>
        <w:rPr>
          <w:color w:val="231F20"/>
          <w:spacing w:val="17"/>
          <w:sz w:val="17"/>
        </w:rPr>
        <w:t xml:space="preserve"> </w:t>
      </w:r>
      <w:r>
        <w:rPr>
          <w:color w:val="231F20"/>
          <w:sz w:val="17"/>
        </w:rPr>
        <w:t>millenium.</w:t>
      </w:r>
      <w:r>
        <w:rPr>
          <w:color w:val="231F20"/>
          <w:spacing w:val="17"/>
          <w:sz w:val="17"/>
        </w:rPr>
        <w:t xml:space="preserve"> </w:t>
      </w:r>
      <w:r>
        <w:rPr>
          <w:i/>
          <w:color w:val="231F20"/>
          <w:sz w:val="17"/>
        </w:rPr>
        <w:t>Journal</w:t>
      </w:r>
      <w:r>
        <w:rPr>
          <w:i/>
          <w:color w:val="231F20"/>
          <w:spacing w:val="17"/>
          <w:sz w:val="17"/>
        </w:rPr>
        <w:t xml:space="preserve"> </w:t>
      </w:r>
      <w:r>
        <w:rPr>
          <w:i/>
          <w:color w:val="231F20"/>
          <w:sz w:val="17"/>
        </w:rPr>
        <w:t>of</w:t>
      </w:r>
      <w:r>
        <w:rPr>
          <w:i/>
          <w:color w:val="231F20"/>
          <w:spacing w:val="17"/>
          <w:sz w:val="17"/>
        </w:rPr>
        <w:t xml:space="preserve"> </w:t>
      </w:r>
      <w:r>
        <w:rPr>
          <w:i/>
          <w:color w:val="231F20"/>
          <w:sz w:val="17"/>
        </w:rPr>
        <w:t>Sport</w:t>
      </w:r>
      <w:r>
        <w:rPr>
          <w:i/>
          <w:color w:val="231F20"/>
          <w:spacing w:val="17"/>
          <w:sz w:val="17"/>
        </w:rPr>
        <w:t xml:space="preserve"> </w:t>
      </w:r>
      <w:r>
        <w:rPr>
          <w:i/>
          <w:color w:val="231F20"/>
          <w:spacing w:val="-2"/>
          <w:sz w:val="17"/>
        </w:rPr>
        <w:t>Tourism</w:t>
      </w:r>
    </w:p>
    <w:p w14:paraId="22BF382E" w14:textId="77777777" w:rsidR="00AE0598" w:rsidRDefault="0069255A">
      <w:pPr>
        <w:spacing w:before="1"/>
        <w:ind w:left="430"/>
        <w:jc w:val="both"/>
        <w:rPr>
          <w:sz w:val="17"/>
        </w:rPr>
      </w:pPr>
      <w:r>
        <w:rPr>
          <w:color w:val="231F20"/>
          <w:w w:val="95"/>
          <w:sz w:val="17"/>
        </w:rPr>
        <w:t>4</w:t>
      </w:r>
      <w:r>
        <w:rPr>
          <w:color w:val="231F20"/>
          <w:spacing w:val="-7"/>
          <w:w w:val="95"/>
          <w:sz w:val="17"/>
        </w:rPr>
        <w:t xml:space="preserve"> </w:t>
      </w:r>
      <w:r>
        <w:rPr>
          <w:color w:val="231F20"/>
          <w:w w:val="95"/>
          <w:sz w:val="17"/>
        </w:rPr>
        <w:t>(3),</w:t>
      </w:r>
      <w:r>
        <w:rPr>
          <w:color w:val="231F20"/>
          <w:spacing w:val="-6"/>
          <w:w w:val="95"/>
          <w:sz w:val="17"/>
        </w:rPr>
        <w:t xml:space="preserve"> </w:t>
      </w:r>
      <w:r>
        <w:rPr>
          <w:color w:val="231F20"/>
          <w:spacing w:val="-2"/>
          <w:w w:val="95"/>
          <w:sz w:val="17"/>
        </w:rPr>
        <w:t>24–27.</w:t>
      </w:r>
    </w:p>
    <w:p w14:paraId="1CDB01F2" w14:textId="77777777" w:rsidR="00AE0598" w:rsidRDefault="0069255A">
      <w:pPr>
        <w:spacing w:before="1"/>
        <w:ind w:left="110"/>
        <w:jc w:val="both"/>
        <w:rPr>
          <w:sz w:val="17"/>
        </w:rPr>
      </w:pPr>
      <w:r>
        <w:rPr>
          <w:color w:val="231F20"/>
          <w:w w:val="95"/>
          <w:sz w:val="17"/>
        </w:rPr>
        <w:t>Kurtzman,</w:t>
      </w:r>
      <w:r>
        <w:rPr>
          <w:color w:val="231F20"/>
          <w:spacing w:val="20"/>
          <w:sz w:val="17"/>
        </w:rPr>
        <w:t xml:space="preserve"> </w:t>
      </w:r>
      <w:r>
        <w:rPr>
          <w:color w:val="231F20"/>
          <w:w w:val="95"/>
          <w:sz w:val="17"/>
        </w:rPr>
        <w:t>J.</w:t>
      </w:r>
      <w:r>
        <w:rPr>
          <w:color w:val="231F20"/>
          <w:spacing w:val="20"/>
          <w:sz w:val="17"/>
        </w:rPr>
        <w:t xml:space="preserve"> </w:t>
      </w:r>
      <w:r>
        <w:rPr>
          <w:color w:val="231F20"/>
          <w:w w:val="95"/>
          <w:sz w:val="17"/>
        </w:rPr>
        <w:t>(2001)</w:t>
      </w:r>
      <w:r>
        <w:rPr>
          <w:color w:val="231F20"/>
          <w:spacing w:val="21"/>
          <w:sz w:val="17"/>
        </w:rPr>
        <w:t xml:space="preserve"> </w:t>
      </w:r>
      <w:r>
        <w:rPr>
          <w:color w:val="231F20"/>
          <w:w w:val="95"/>
          <w:sz w:val="17"/>
        </w:rPr>
        <w:t>Sport!</w:t>
      </w:r>
      <w:r>
        <w:rPr>
          <w:color w:val="231F20"/>
          <w:spacing w:val="20"/>
          <w:sz w:val="17"/>
        </w:rPr>
        <w:t xml:space="preserve"> </w:t>
      </w:r>
      <w:r>
        <w:rPr>
          <w:color w:val="231F20"/>
          <w:w w:val="95"/>
          <w:sz w:val="17"/>
        </w:rPr>
        <w:t>tourism!</w:t>
      </w:r>
      <w:r>
        <w:rPr>
          <w:color w:val="231F20"/>
          <w:spacing w:val="21"/>
          <w:sz w:val="17"/>
        </w:rPr>
        <w:t xml:space="preserve"> </w:t>
      </w:r>
      <w:r>
        <w:rPr>
          <w:color w:val="231F20"/>
          <w:w w:val="95"/>
          <w:sz w:val="17"/>
        </w:rPr>
        <w:t>culture!</w:t>
      </w:r>
      <w:r>
        <w:rPr>
          <w:color w:val="231F20"/>
          <w:spacing w:val="20"/>
          <w:sz w:val="17"/>
        </w:rPr>
        <w:t xml:space="preserve"> </w:t>
      </w:r>
      <w:r>
        <w:rPr>
          <w:i/>
          <w:color w:val="231F20"/>
          <w:w w:val="95"/>
          <w:sz w:val="17"/>
        </w:rPr>
        <w:t>Olympic</w:t>
      </w:r>
      <w:r>
        <w:rPr>
          <w:i/>
          <w:color w:val="231F20"/>
          <w:spacing w:val="21"/>
          <w:sz w:val="17"/>
        </w:rPr>
        <w:t xml:space="preserve"> </w:t>
      </w:r>
      <w:r>
        <w:rPr>
          <w:i/>
          <w:color w:val="231F20"/>
          <w:w w:val="95"/>
          <w:sz w:val="17"/>
        </w:rPr>
        <w:t>Review</w:t>
      </w:r>
      <w:r>
        <w:rPr>
          <w:i/>
          <w:color w:val="231F20"/>
          <w:spacing w:val="20"/>
          <w:sz w:val="17"/>
        </w:rPr>
        <w:t xml:space="preserve"> </w:t>
      </w:r>
      <w:r>
        <w:rPr>
          <w:color w:val="231F20"/>
          <w:w w:val="95"/>
          <w:sz w:val="17"/>
        </w:rPr>
        <w:t>27</w:t>
      </w:r>
      <w:r>
        <w:rPr>
          <w:color w:val="231F20"/>
          <w:spacing w:val="21"/>
          <w:sz w:val="17"/>
        </w:rPr>
        <w:t xml:space="preserve"> </w:t>
      </w:r>
      <w:r>
        <w:rPr>
          <w:color w:val="231F20"/>
          <w:w w:val="95"/>
          <w:sz w:val="17"/>
        </w:rPr>
        <w:t>(38),</w:t>
      </w:r>
      <w:r>
        <w:rPr>
          <w:color w:val="231F20"/>
          <w:spacing w:val="20"/>
          <w:sz w:val="17"/>
        </w:rPr>
        <w:t xml:space="preserve"> </w:t>
      </w:r>
      <w:r>
        <w:rPr>
          <w:color w:val="231F20"/>
          <w:spacing w:val="-2"/>
          <w:w w:val="95"/>
          <w:sz w:val="17"/>
        </w:rPr>
        <w:t>20–27.</w:t>
      </w:r>
    </w:p>
    <w:p w14:paraId="18E67476" w14:textId="77777777" w:rsidR="00AE0598" w:rsidRDefault="0069255A">
      <w:pPr>
        <w:spacing w:before="1"/>
        <w:ind w:left="430" w:right="124" w:hanging="320"/>
        <w:jc w:val="both"/>
        <w:rPr>
          <w:sz w:val="17"/>
        </w:rPr>
      </w:pPr>
      <w:r>
        <w:rPr>
          <w:color w:val="231F20"/>
          <w:sz w:val="17"/>
        </w:rPr>
        <w:t>Kurtzman,</w:t>
      </w:r>
      <w:r>
        <w:rPr>
          <w:color w:val="231F20"/>
          <w:spacing w:val="-1"/>
          <w:sz w:val="17"/>
        </w:rPr>
        <w:t xml:space="preserve"> </w:t>
      </w:r>
      <w:r>
        <w:rPr>
          <w:color w:val="231F20"/>
          <w:w w:val="105"/>
          <w:sz w:val="17"/>
        </w:rPr>
        <w:t>J.</w:t>
      </w:r>
      <w:r>
        <w:rPr>
          <w:color w:val="231F20"/>
          <w:spacing w:val="-3"/>
          <w:w w:val="105"/>
          <w:sz w:val="17"/>
        </w:rPr>
        <w:t xml:space="preserve"> </w:t>
      </w:r>
      <w:r>
        <w:rPr>
          <w:color w:val="231F20"/>
          <w:sz w:val="17"/>
        </w:rPr>
        <w:t>and</w:t>
      </w:r>
      <w:r>
        <w:rPr>
          <w:color w:val="231F20"/>
          <w:spacing w:val="-1"/>
          <w:sz w:val="17"/>
        </w:rPr>
        <w:t xml:space="preserve"> </w:t>
      </w:r>
      <w:r>
        <w:rPr>
          <w:color w:val="231F20"/>
          <w:sz w:val="17"/>
        </w:rPr>
        <w:t>Zauhar,</w:t>
      </w:r>
      <w:r>
        <w:rPr>
          <w:color w:val="231F20"/>
          <w:spacing w:val="-1"/>
          <w:sz w:val="17"/>
        </w:rPr>
        <w:t xml:space="preserve"> </w:t>
      </w:r>
      <w:r>
        <w:rPr>
          <w:color w:val="231F20"/>
          <w:w w:val="105"/>
          <w:sz w:val="17"/>
        </w:rPr>
        <w:t>J.</w:t>
      </w:r>
      <w:r>
        <w:rPr>
          <w:color w:val="231F20"/>
          <w:spacing w:val="-3"/>
          <w:w w:val="105"/>
          <w:sz w:val="17"/>
        </w:rPr>
        <w:t xml:space="preserve"> </w:t>
      </w:r>
      <w:r>
        <w:rPr>
          <w:color w:val="231F20"/>
          <w:sz w:val="17"/>
        </w:rPr>
        <w:t>(1995)</w:t>
      </w:r>
      <w:r>
        <w:rPr>
          <w:color w:val="231F20"/>
          <w:spacing w:val="-1"/>
          <w:sz w:val="17"/>
        </w:rPr>
        <w:t xml:space="preserve"> </w:t>
      </w:r>
      <w:r>
        <w:rPr>
          <w:color w:val="231F20"/>
          <w:sz w:val="17"/>
        </w:rPr>
        <w:t>Tourism</w:t>
      </w:r>
      <w:r>
        <w:rPr>
          <w:color w:val="231F20"/>
          <w:spacing w:val="-1"/>
          <w:sz w:val="17"/>
        </w:rPr>
        <w:t xml:space="preserve"> </w:t>
      </w:r>
      <w:r>
        <w:rPr>
          <w:color w:val="231F20"/>
          <w:sz w:val="17"/>
        </w:rPr>
        <w:t>sport</w:t>
      </w:r>
      <w:r>
        <w:rPr>
          <w:color w:val="231F20"/>
          <w:spacing w:val="-1"/>
          <w:sz w:val="17"/>
        </w:rPr>
        <w:t xml:space="preserve"> </w:t>
      </w:r>
      <w:r>
        <w:rPr>
          <w:color w:val="231F20"/>
          <w:sz w:val="17"/>
        </w:rPr>
        <w:t>international</w:t>
      </w:r>
      <w:r>
        <w:rPr>
          <w:color w:val="231F20"/>
          <w:spacing w:val="-1"/>
          <w:sz w:val="17"/>
        </w:rPr>
        <w:t xml:space="preserve"> </w:t>
      </w:r>
      <w:r>
        <w:rPr>
          <w:color w:val="231F20"/>
          <w:sz w:val="17"/>
        </w:rPr>
        <w:t>council.</w:t>
      </w:r>
      <w:r>
        <w:rPr>
          <w:color w:val="231F20"/>
          <w:spacing w:val="-1"/>
          <w:sz w:val="17"/>
        </w:rPr>
        <w:t xml:space="preserve"> </w:t>
      </w:r>
      <w:r>
        <w:rPr>
          <w:i/>
          <w:color w:val="231F20"/>
          <w:sz w:val="17"/>
        </w:rPr>
        <w:t>Annals</w:t>
      </w:r>
      <w:r>
        <w:rPr>
          <w:i/>
          <w:color w:val="231F20"/>
          <w:spacing w:val="-1"/>
          <w:sz w:val="17"/>
        </w:rPr>
        <w:t xml:space="preserve"> </w:t>
      </w:r>
      <w:r>
        <w:rPr>
          <w:i/>
          <w:color w:val="231F20"/>
          <w:sz w:val="17"/>
        </w:rPr>
        <w:t>of</w:t>
      </w:r>
      <w:r>
        <w:rPr>
          <w:i/>
          <w:color w:val="231F20"/>
          <w:spacing w:val="-1"/>
          <w:sz w:val="17"/>
        </w:rPr>
        <w:t xml:space="preserve"> </w:t>
      </w:r>
      <w:r>
        <w:rPr>
          <w:i/>
          <w:color w:val="231F20"/>
          <w:sz w:val="17"/>
        </w:rPr>
        <w:t>Tourism</w:t>
      </w:r>
      <w:r>
        <w:rPr>
          <w:i/>
          <w:color w:val="231F20"/>
          <w:spacing w:val="40"/>
          <w:sz w:val="17"/>
        </w:rPr>
        <w:t xml:space="preserve"> </w:t>
      </w:r>
      <w:r>
        <w:rPr>
          <w:i/>
          <w:color w:val="231F20"/>
          <w:sz w:val="17"/>
        </w:rPr>
        <w:t xml:space="preserve">Research </w:t>
      </w:r>
      <w:r>
        <w:rPr>
          <w:color w:val="231F20"/>
          <w:sz w:val="17"/>
        </w:rPr>
        <w:t>22 (3), 707–708.</w:t>
      </w:r>
    </w:p>
    <w:p w14:paraId="5C0E9AA6" w14:textId="77777777" w:rsidR="00AE0598" w:rsidRDefault="0069255A">
      <w:pPr>
        <w:spacing w:before="1"/>
        <w:ind w:left="430" w:right="128" w:hanging="320"/>
        <w:jc w:val="both"/>
        <w:rPr>
          <w:sz w:val="17"/>
        </w:rPr>
      </w:pPr>
      <w:r>
        <w:rPr>
          <w:color w:val="231F20"/>
          <w:sz w:val="17"/>
        </w:rPr>
        <w:t>Kurtzman,</w:t>
      </w:r>
      <w:r>
        <w:rPr>
          <w:color w:val="231F20"/>
          <w:spacing w:val="-1"/>
          <w:sz w:val="17"/>
        </w:rPr>
        <w:t xml:space="preserve"> </w:t>
      </w:r>
      <w:r>
        <w:rPr>
          <w:color w:val="231F20"/>
          <w:w w:val="105"/>
          <w:sz w:val="17"/>
        </w:rPr>
        <w:t>J.</w:t>
      </w:r>
      <w:r>
        <w:rPr>
          <w:color w:val="231F20"/>
          <w:spacing w:val="-3"/>
          <w:w w:val="105"/>
          <w:sz w:val="17"/>
        </w:rPr>
        <w:t xml:space="preserve"> </w:t>
      </w:r>
      <w:r>
        <w:rPr>
          <w:color w:val="231F20"/>
          <w:sz w:val="17"/>
        </w:rPr>
        <w:t>and</w:t>
      </w:r>
      <w:r>
        <w:rPr>
          <w:color w:val="231F20"/>
          <w:spacing w:val="-1"/>
          <w:sz w:val="17"/>
        </w:rPr>
        <w:t xml:space="preserve"> </w:t>
      </w:r>
      <w:r>
        <w:rPr>
          <w:color w:val="231F20"/>
          <w:sz w:val="17"/>
        </w:rPr>
        <w:t>Zauhar,</w:t>
      </w:r>
      <w:r>
        <w:rPr>
          <w:color w:val="231F20"/>
          <w:spacing w:val="-1"/>
          <w:sz w:val="17"/>
        </w:rPr>
        <w:t xml:space="preserve"> </w:t>
      </w:r>
      <w:r>
        <w:rPr>
          <w:color w:val="231F20"/>
          <w:w w:val="105"/>
          <w:sz w:val="17"/>
        </w:rPr>
        <w:t>J.</w:t>
      </w:r>
      <w:r>
        <w:rPr>
          <w:color w:val="231F20"/>
          <w:spacing w:val="-3"/>
          <w:w w:val="105"/>
          <w:sz w:val="17"/>
        </w:rPr>
        <w:t xml:space="preserve"> </w:t>
      </w:r>
      <w:r>
        <w:rPr>
          <w:color w:val="231F20"/>
          <w:sz w:val="17"/>
        </w:rPr>
        <w:t>(1997a)</w:t>
      </w:r>
      <w:r>
        <w:rPr>
          <w:color w:val="231F20"/>
          <w:spacing w:val="-1"/>
          <w:sz w:val="17"/>
        </w:rPr>
        <w:t xml:space="preserve"> </w:t>
      </w:r>
      <w:r>
        <w:rPr>
          <w:color w:val="231F20"/>
          <w:sz w:val="17"/>
        </w:rPr>
        <w:t>Sports</w:t>
      </w:r>
      <w:r>
        <w:rPr>
          <w:color w:val="231F20"/>
          <w:spacing w:val="-1"/>
          <w:sz w:val="17"/>
        </w:rPr>
        <w:t xml:space="preserve"> </w:t>
      </w:r>
      <w:r>
        <w:rPr>
          <w:color w:val="231F20"/>
          <w:sz w:val="17"/>
        </w:rPr>
        <w:t>tourism</w:t>
      </w:r>
      <w:r>
        <w:rPr>
          <w:color w:val="231F20"/>
          <w:spacing w:val="-1"/>
          <w:sz w:val="17"/>
        </w:rPr>
        <w:t xml:space="preserve"> </w:t>
      </w:r>
      <w:r>
        <w:rPr>
          <w:color w:val="231F20"/>
          <w:sz w:val="17"/>
        </w:rPr>
        <w:t>consumer</w:t>
      </w:r>
      <w:r>
        <w:rPr>
          <w:color w:val="231F20"/>
          <w:spacing w:val="-1"/>
          <w:sz w:val="17"/>
        </w:rPr>
        <w:t xml:space="preserve"> </w:t>
      </w:r>
      <w:r>
        <w:rPr>
          <w:color w:val="231F20"/>
          <w:sz w:val="17"/>
        </w:rPr>
        <w:t>motivation.</w:t>
      </w:r>
      <w:r>
        <w:rPr>
          <w:color w:val="231F20"/>
          <w:spacing w:val="-1"/>
          <w:sz w:val="17"/>
        </w:rPr>
        <w:t xml:space="preserve"> </w:t>
      </w:r>
      <w:r>
        <w:rPr>
          <w:i/>
          <w:color w:val="231F20"/>
          <w:sz w:val="17"/>
        </w:rPr>
        <w:t>Journal</w:t>
      </w:r>
      <w:r>
        <w:rPr>
          <w:i/>
          <w:color w:val="231F20"/>
          <w:spacing w:val="-1"/>
          <w:sz w:val="17"/>
        </w:rPr>
        <w:t xml:space="preserve"> </w:t>
      </w:r>
      <w:r>
        <w:rPr>
          <w:i/>
          <w:color w:val="231F20"/>
          <w:sz w:val="17"/>
        </w:rPr>
        <w:t>of</w:t>
      </w:r>
      <w:r>
        <w:rPr>
          <w:i/>
          <w:color w:val="231F20"/>
          <w:spacing w:val="-1"/>
          <w:sz w:val="17"/>
        </w:rPr>
        <w:t xml:space="preserve"> </w:t>
      </w:r>
      <w:r>
        <w:rPr>
          <w:i/>
          <w:color w:val="231F20"/>
          <w:sz w:val="17"/>
        </w:rPr>
        <w:t>Sport</w:t>
      </w:r>
      <w:r>
        <w:rPr>
          <w:i/>
          <w:color w:val="231F20"/>
          <w:spacing w:val="40"/>
          <w:sz w:val="17"/>
        </w:rPr>
        <w:t xml:space="preserve"> </w:t>
      </w:r>
      <w:r>
        <w:rPr>
          <w:i/>
          <w:color w:val="231F20"/>
          <w:sz w:val="17"/>
        </w:rPr>
        <w:t xml:space="preserve">Tourism </w:t>
      </w:r>
      <w:r>
        <w:rPr>
          <w:color w:val="231F20"/>
          <w:sz w:val="17"/>
        </w:rPr>
        <w:t>4 (3), 17–30.</w:t>
      </w:r>
    </w:p>
    <w:p w14:paraId="374FAC98" w14:textId="77777777" w:rsidR="00AE0598" w:rsidRDefault="0069255A">
      <w:pPr>
        <w:spacing w:before="1"/>
        <w:ind w:left="110"/>
        <w:jc w:val="both"/>
        <w:rPr>
          <w:sz w:val="17"/>
        </w:rPr>
      </w:pPr>
      <w:r>
        <w:rPr>
          <w:color w:val="231F20"/>
          <w:sz w:val="17"/>
        </w:rPr>
        <w:t>Kurtzman,</w:t>
      </w:r>
      <w:r>
        <w:rPr>
          <w:color w:val="231F20"/>
          <w:spacing w:val="29"/>
          <w:sz w:val="17"/>
        </w:rPr>
        <w:t xml:space="preserve"> </w:t>
      </w:r>
      <w:r>
        <w:rPr>
          <w:color w:val="231F20"/>
          <w:sz w:val="17"/>
        </w:rPr>
        <w:t>J.</w:t>
      </w:r>
      <w:r>
        <w:rPr>
          <w:color w:val="231F20"/>
          <w:spacing w:val="30"/>
          <w:sz w:val="17"/>
        </w:rPr>
        <w:t xml:space="preserve"> </w:t>
      </w:r>
      <w:r>
        <w:rPr>
          <w:color w:val="231F20"/>
          <w:sz w:val="17"/>
        </w:rPr>
        <w:t>and</w:t>
      </w:r>
      <w:r>
        <w:rPr>
          <w:color w:val="231F20"/>
          <w:spacing w:val="30"/>
          <w:sz w:val="17"/>
        </w:rPr>
        <w:t xml:space="preserve"> </w:t>
      </w:r>
      <w:r>
        <w:rPr>
          <w:color w:val="231F20"/>
          <w:sz w:val="17"/>
        </w:rPr>
        <w:t>Zauhar,</w:t>
      </w:r>
      <w:r>
        <w:rPr>
          <w:color w:val="231F20"/>
          <w:spacing w:val="29"/>
          <w:sz w:val="17"/>
        </w:rPr>
        <w:t xml:space="preserve"> </w:t>
      </w:r>
      <w:r>
        <w:rPr>
          <w:color w:val="231F20"/>
          <w:sz w:val="17"/>
        </w:rPr>
        <w:t>J.</w:t>
      </w:r>
      <w:r>
        <w:rPr>
          <w:color w:val="231F20"/>
          <w:spacing w:val="30"/>
          <w:sz w:val="17"/>
        </w:rPr>
        <w:t xml:space="preserve"> </w:t>
      </w:r>
      <w:r>
        <w:rPr>
          <w:color w:val="231F20"/>
          <w:sz w:val="17"/>
        </w:rPr>
        <w:t>(1997b)</w:t>
      </w:r>
      <w:r>
        <w:rPr>
          <w:color w:val="231F20"/>
          <w:spacing w:val="30"/>
          <w:sz w:val="17"/>
        </w:rPr>
        <w:t xml:space="preserve"> </w:t>
      </w:r>
      <w:r>
        <w:rPr>
          <w:color w:val="231F20"/>
          <w:sz w:val="17"/>
        </w:rPr>
        <w:t>A</w:t>
      </w:r>
      <w:r>
        <w:rPr>
          <w:color w:val="231F20"/>
          <w:spacing w:val="29"/>
          <w:sz w:val="17"/>
        </w:rPr>
        <w:t xml:space="preserve"> </w:t>
      </w:r>
      <w:r>
        <w:rPr>
          <w:color w:val="231F20"/>
          <w:sz w:val="17"/>
        </w:rPr>
        <w:t>wave</w:t>
      </w:r>
      <w:r>
        <w:rPr>
          <w:color w:val="231F20"/>
          <w:spacing w:val="30"/>
          <w:sz w:val="17"/>
        </w:rPr>
        <w:t xml:space="preserve"> </w:t>
      </w:r>
      <w:r>
        <w:rPr>
          <w:color w:val="231F20"/>
          <w:sz w:val="17"/>
        </w:rPr>
        <w:t>in</w:t>
      </w:r>
      <w:r>
        <w:rPr>
          <w:color w:val="231F20"/>
          <w:spacing w:val="30"/>
          <w:sz w:val="17"/>
        </w:rPr>
        <w:t xml:space="preserve"> </w:t>
      </w:r>
      <w:r>
        <w:rPr>
          <w:color w:val="231F20"/>
          <w:sz w:val="17"/>
        </w:rPr>
        <w:t>time:</w:t>
      </w:r>
      <w:r>
        <w:rPr>
          <w:color w:val="231F20"/>
          <w:spacing w:val="29"/>
          <w:sz w:val="17"/>
        </w:rPr>
        <w:t xml:space="preserve"> </w:t>
      </w:r>
      <w:r>
        <w:rPr>
          <w:color w:val="231F20"/>
          <w:sz w:val="17"/>
        </w:rPr>
        <w:t>The</w:t>
      </w:r>
      <w:r>
        <w:rPr>
          <w:color w:val="231F20"/>
          <w:spacing w:val="30"/>
          <w:sz w:val="17"/>
        </w:rPr>
        <w:t xml:space="preserve"> </w:t>
      </w:r>
      <w:r>
        <w:rPr>
          <w:color w:val="231F20"/>
          <w:sz w:val="17"/>
        </w:rPr>
        <w:t>sports</w:t>
      </w:r>
      <w:r>
        <w:rPr>
          <w:color w:val="231F20"/>
          <w:spacing w:val="30"/>
          <w:sz w:val="17"/>
        </w:rPr>
        <w:t xml:space="preserve"> </w:t>
      </w:r>
      <w:r>
        <w:rPr>
          <w:color w:val="231F20"/>
          <w:sz w:val="17"/>
        </w:rPr>
        <w:t>tourism</w:t>
      </w:r>
      <w:r>
        <w:rPr>
          <w:color w:val="231F20"/>
          <w:spacing w:val="29"/>
          <w:sz w:val="17"/>
        </w:rPr>
        <w:t xml:space="preserve"> </w:t>
      </w:r>
      <w:r>
        <w:rPr>
          <w:color w:val="231F20"/>
          <w:spacing w:val="-2"/>
          <w:sz w:val="17"/>
        </w:rPr>
        <w:t>phenomena.</w:t>
      </w:r>
    </w:p>
    <w:p w14:paraId="069D1857" w14:textId="77777777" w:rsidR="00AE0598" w:rsidRDefault="0069255A">
      <w:pPr>
        <w:spacing w:before="1"/>
        <w:ind w:left="430"/>
        <w:jc w:val="both"/>
        <w:rPr>
          <w:sz w:val="17"/>
        </w:rPr>
      </w:pPr>
      <w:r>
        <w:rPr>
          <w:i/>
          <w:color w:val="231F20"/>
          <w:sz w:val="17"/>
        </w:rPr>
        <w:t>Journal</w:t>
      </w:r>
      <w:r>
        <w:rPr>
          <w:i/>
          <w:color w:val="231F20"/>
          <w:spacing w:val="6"/>
          <w:sz w:val="17"/>
        </w:rPr>
        <w:t xml:space="preserve"> </w:t>
      </w:r>
      <w:r>
        <w:rPr>
          <w:i/>
          <w:color w:val="231F20"/>
          <w:sz w:val="17"/>
        </w:rPr>
        <w:t>of</w:t>
      </w:r>
      <w:r>
        <w:rPr>
          <w:i/>
          <w:color w:val="231F20"/>
          <w:spacing w:val="7"/>
          <w:sz w:val="17"/>
        </w:rPr>
        <w:t xml:space="preserve"> </w:t>
      </w:r>
      <w:r>
        <w:rPr>
          <w:i/>
          <w:color w:val="231F20"/>
          <w:sz w:val="17"/>
        </w:rPr>
        <w:t>Sport</w:t>
      </w:r>
      <w:r>
        <w:rPr>
          <w:i/>
          <w:color w:val="231F20"/>
          <w:spacing w:val="6"/>
          <w:sz w:val="17"/>
        </w:rPr>
        <w:t xml:space="preserve"> </w:t>
      </w:r>
      <w:r>
        <w:rPr>
          <w:i/>
          <w:color w:val="231F20"/>
          <w:sz w:val="17"/>
        </w:rPr>
        <w:t>Tourism</w:t>
      </w:r>
      <w:r>
        <w:rPr>
          <w:i/>
          <w:color w:val="231F20"/>
          <w:spacing w:val="7"/>
          <w:sz w:val="17"/>
        </w:rPr>
        <w:t xml:space="preserve"> </w:t>
      </w:r>
      <w:r>
        <w:rPr>
          <w:color w:val="231F20"/>
          <w:sz w:val="17"/>
        </w:rPr>
        <w:t>4</w:t>
      </w:r>
      <w:r>
        <w:rPr>
          <w:color w:val="231F20"/>
          <w:spacing w:val="6"/>
          <w:sz w:val="17"/>
        </w:rPr>
        <w:t xml:space="preserve"> </w:t>
      </w:r>
      <w:r>
        <w:rPr>
          <w:color w:val="231F20"/>
          <w:sz w:val="17"/>
        </w:rPr>
        <w:t>(2),</w:t>
      </w:r>
      <w:r>
        <w:rPr>
          <w:color w:val="231F20"/>
          <w:spacing w:val="7"/>
          <w:sz w:val="17"/>
        </w:rPr>
        <w:t xml:space="preserve"> </w:t>
      </w:r>
      <w:r>
        <w:rPr>
          <w:color w:val="231F20"/>
          <w:spacing w:val="-4"/>
          <w:sz w:val="17"/>
        </w:rPr>
        <w:t>5–20.</w:t>
      </w:r>
    </w:p>
    <w:p w14:paraId="53BB8245" w14:textId="77777777" w:rsidR="00AE0598" w:rsidRDefault="0069255A">
      <w:pPr>
        <w:spacing w:before="1"/>
        <w:ind w:left="110"/>
        <w:jc w:val="both"/>
        <w:rPr>
          <w:i/>
          <w:sz w:val="17"/>
        </w:rPr>
      </w:pPr>
      <w:r>
        <w:rPr>
          <w:color w:val="231F20"/>
          <w:sz w:val="17"/>
        </w:rPr>
        <w:t>Kurtzman,</w:t>
      </w:r>
      <w:r>
        <w:rPr>
          <w:color w:val="231F20"/>
          <w:spacing w:val="25"/>
          <w:sz w:val="17"/>
        </w:rPr>
        <w:t xml:space="preserve"> </w:t>
      </w:r>
      <w:r>
        <w:rPr>
          <w:color w:val="231F20"/>
          <w:sz w:val="17"/>
        </w:rPr>
        <w:t>J.</w:t>
      </w:r>
      <w:r>
        <w:rPr>
          <w:color w:val="231F20"/>
          <w:spacing w:val="27"/>
          <w:sz w:val="17"/>
        </w:rPr>
        <w:t xml:space="preserve"> </w:t>
      </w:r>
      <w:r>
        <w:rPr>
          <w:color w:val="231F20"/>
          <w:sz w:val="17"/>
        </w:rPr>
        <w:t>and</w:t>
      </w:r>
      <w:r>
        <w:rPr>
          <w:color w:val="231F20"/>
          <w:spacing w:val="28"/>
          <w:sz w:val="17"/>
        </w:rPr>
        <w:t xml:space="preserve"> </w:t>
      </w:r>
      <w:r>
        <w:rPr>
          <w:color w:val="231F20"/>
          <w:sz w:val="17"/>
        </w:rPr>
        <w:t>Zauhar,</w:t>
      </w:r>
      <w:r>
        <w:rPr>
          <w:color w:val="231F20"/>
          <w:spacing w:val="27"/>
          <w:sz w:val="17"/>
        </w:rPr>
        <w:t xml:space="preserve"> </w:t>
      </w:r>
      <w:r>
        <w:rPr>
          <w:color w:val="231F20"/>
          <w:sz w:val="17"/>
        </w:rPr>
        <w:t>J.</w:t>
      </w:r>
      <w:r>
        <w:rPr>
          <w:color w:val="231F20"/>
          <w:spacing w:val="27"/>
          <w:sz w:val="17"/>
        </w:rPr>
        <w:t xml:space="preserve"> </w:t>
      </w:r>
      <w:r>
        <w:rPr>
          <w:color w:val="231F20"/>
          <w:sz w:val="17"/>
        </w:rPr>
        <w:t>(1998)</w:t>
      </w:r>
      <w:r>
        <w:rPr>
          <w:color w:val="231F20"/>
          <w:spacing w:val="26"/>
          <w:sz w:val="17"/>
        </w:rPr>
        <w:t xml:space="preserve"> </w:t>
      </w:r>
      <w:r>
        <w:rPr>
          <w:color w:val="231F20"/>
          <w:sz w:val="17"/>
        </w:rPr>
        <w:t>Golf:</w:t>
      </w:r>
      <w:r>
        <w:rPr>
          <w:color w:val="231F20"/>
          <w:spacing w:val="27"/>
          <w:sz w:val="17"/>
        </w:rPr>
        <w:t xml:space="preserve"> </w:t>
      </w:r>
      <w:r>
        <w:rPr>
          <w:color w:val="231F20"/>
          <w:sz w:val="17"/>
        </w:rPr>
        <w:t>A</w:t>
      </w:r>
      <w:r>
        <w:rPr>
          <w:color w:val="231F20"/>
          <w:spacing w:val="27"/>
          <w:sz w:val="17"/>
        </w:rPr>
        <w:t xml:space="preserve"> </w:t>
      </w:r>
      <w:r>
        <w:rPr>
          <w:color w:val="231F20"/>
          <w:sz w:val="17"/>
        </w:rPr>
        <w:t>touristic</w:t>
      </w:r>
      <w:r>
        <w:rPr>
          <w:color w:val="231F20"/>
          <w:spacing w:val="27"/>
          <w:sz w:val="17"/>
        </w:rPr>
        <w:t xml:space="preserve"> </w:t>
      </w:r>
      <w:r>
        <w:rPr>
          <w:color w:val="231F20"/>
          <w:sz w:val="17"/>
        </w:rPr>
        <w:t>venture.</w:t>
      </w:r>
      <w:r>
        <w:rPr>
          <w:color w:val="231F20"/>
          <w:spacing w:val="26"/>
          <w:sz w:val="17"/>
        </w:rPr>
        <w:t xml:space="preserve"> </w:t>
      </w:r>
      <w:r>
        <w:rPr>
          <w:i/>
          <w:color w:val="231F20"/>
          <w:sz w:val="17"/>
        </w:rPr>
        <w:t>Journal</w:t>
      </w:r>
      <w:r>
        <w:rPr>
          <w:i/>
          <w:color w:val="231F20"/>
          <w:spacing w:val="26"/>
          <w:sz w:val="17"/>
        </w:rPr>
        <w:t xml:space="preserve"> </w:t>
      </w:r>
      <w:r>
        <w:rPr>
          <w:i/>
          <w:color w:val="231F20"/>
          <w:sz w:val="17"/>
        </w:rPr>
        <w:t>of</w:t>
      </w:r>
      <w:r>
        <w:rPr>
          <w:i/>
          <w:color w:val="231F20"/>
          <w:spacing w:val="25"/>
          <w:sz w:val="17"/>
        </w:rPr>
        <w:t xml:space="preserve"> </w:t>
      </w:r>
      <w:r>
        <w:rPr>
          <w:i/>
          <w:color w:val="231F20"/>
          <w:sz w:val="17"/>
        </w:rPr>
        <w:t>Sport</w:t>
      </w:r>
      <w:r>
        <w:rPr>
          <w:i/>
          <w:color w:val="231F20"/>
          <w:spacing w:val="26"/>
          <w:sz w:val="17"/>
        </w:rPr>
        <w:t xml:space="preserve"> </w:t>
      </w:r>
      <w:r>
        <w:rPr>
          <w:i/>
          <w:color w:val="231F20"/>
          <w:spacing w:val="-2"/>
          <w:sz w:val="17"/>
        </w:rPr>
        <w:t>Tourism</w:t>
      </w:r>
    </w:p>
    <w:p w14:paraId="5B81618A" w14:textId="77777777" w:rsidR="00AE0598" w:rsidRDefault="0069255A">
      <w:pPr>
        <w:spacing w:before="1"/>
        <w:ind w:left="430"/>
        <w:jc w:val="both"/>
        <w:rPr>
          <w:sz w:val="17"/>
        </w:rPr>
      </w:pPr>
      <w:r>
        <w:rPr>
          <w:color w:val="231F20"/>
          <w:w w:val="95"/>
          <w:sz w:val="17"/>
        </w:rPr>
        <w:t>4</w:t>
      </w:r>
      <w:r>
        <w:rPr>
          <w:color w:val="231F20"/>
          <w:spacing w:val="-8"/>
          <w:w w:val="95"/>
          <w:sz w:val="17"/>
        </w:rPr>
        <w:t xml:space="preserve"> </w:t>
      </w:r>
      <w:r>
        <w:rPr>
          <w:color w:val="231F20"/>
          <w:w w:val="95"/>
          <w:sz w:val="17"/>
        </w:rPr>
        <w:t>(4),</w:t>
      </w:r>
      <w:r>
        <w:rPr>
          <w:color w:val="231F20"/>
          <w:spacing w:val="-7"/>
          <w:w w:val="95"/>
          <w:sz w:val="17"/>
        </w:rPr>
        <w:t xml:space="preserve"> </w:t>
      </w:r>
      <w:r>
        <w:rPr>
          <w:color w:val="231F20"/>
          <w:spacing w:val="-4"/>
          <w:w w:val="95"/>
          <w:sz w:val="17"/>
        </w:rPr>
        <w:t>5–9.</w:t>
      </w:r>
    </w:p>
    <w:p w14:paraId="0D87C81F" w14:textId="77777777" w:rsidR="00AE0598" w:rsidRDefault="0069255A">
      <w:pPr>
        <w:ind w:left="110"/>
        <w:jc w:val="both"/>
        <w:rPr>
          <w:i/>
          <w:sz w:val="17"/>
        </w:rPr>
      </w:pPr>
      <w:r>
        <w:rPr>
          <w:color w:val="231F20"/>
          <w:sz w:val="17"/>
        </w:rPr>
        <w:t>Kyle,</w:t>
      </w:r>
      <w:r>
        <w:rPr>
          <w:color w:val="231F20"/>
          <w:spacing w:val="5"/>
          <w:sz w:val="17"/>
        </w:rPr>
        <w:t xml:space="preserve"> </w:t>
      </w:r>
      <w:r>
        <w:rPr>
          <w:color w:val="231F20"/>
          <w:sz w:val="17"/>
        </w:rPr>
        <w:t>G.</w:t>
      </w:r>
      <w:r>
        <w:rPr>
          <w:color w:val="231F20"/>
          <w:spacing w:val="5"/>
          <w:sz w:val="17"/>
        </w:rPr>
        <w:t xml:space="preserve"> </w:t>
      </w:r>
      <w:r>
        <w:rPr>
          <w:color w:val="231F20"/>
          <w:sz w:val="17"/>
        </w:rPr>
        <w:t>and</w:t>
      </w:r>
      <w:r>
        <w:rPr>
          <w:color w:val="231F20"/>
          <w:spacing w:val="5"/>
          <w:sz w:val="17"/>
        </w:rPr>
        <w:t xml:space="preserve"> </w:t>
      </w:r>
      <w:r>
        <w:rPr>
          <w:color w:val="231F20"/>
          <w:sz w:val="17"/>
        </w:rPr>
        <w:t>Chick,</w:t>
      </w:r>
      <w:r>
        <w:rPr>
          <w:color w:val="231F20"/>
          <w:spacing w:val="5"/>
          <w:sz w:val="17"/>
        </w:rPr>
        <w:t xml:space="preserve"> </w:t>
      </w:r>
      <w:r>
        <w:rPr>
          <w:color w:val="231F20"/>
          <w:sz w:val="17"/>
        </w:rPr>
        <w:t>G.</w:t>
      </w:r>
      <w:r>
        <w:rPr>
          <w:color w:val="231F20"/>
          <w:spacing w:val="5"/>
          <w:sz w:val="17"/>
        </w:rPr>
        <w:t xml:space="preserve"> </w:t>
      </w:r>
      <w:r>
        <w:rPr>
          <w:color w:val="231F20"/>
          <w:sz w:val="17"/>
        </w:rPr>
        <w:t>(2007)</w:t>
      </w:r>
      <w:r>
        <w:rPr>
          <w:color w:val="231F20"/>
          <w:spacing w:val="6"/>
          <w:sz w:val="17"/>
        </w:rPr>
        <w:t xml:space="preserve"> </w:t>
      </w:r>
      <w:r>
        <w:rPr>
          <w:color w:val="231F20"/>
          <w:sz w:val="17"/>
        </w:rPr>
        <w:t>The</w:t>
      </w:r>
      <w:r>
        <w:rPr>
          <w:color w:val="231F20"/>
          <w:spacing w:val="5"/>
          <w:sz w:val="17"/>
        </w:rPr>
        <w:t xml:space="preserve"> </w:t>
      </w:r>
      <w:r>
        <w:rPr>
          <w:color w:val="231F20"/>
          <w:sz w:val="17"/>
        </w:rPr>
        <w:t>social</w:t>
      </w:r>
      <w:r>
        <w:rPr>
          <w:color w:val="231F20"/>
          <w:spacing w:val="5"/>
          <w:sz w:val="17"/>
        </w:rPr>
        <w:t xml:space="preserve"> </w:t>
      </w:r>
      <w:r>
        <w:rPr>
          <w:color w:val="231F20"/>
          <w:sz w:val="17"/>
        </w:rPr>
        <w:t>construction</w:t>
      </w:r>
      <w:r>
        <w:rPr>
          <w:color w:val="231F20"/>
          <w:spacing w:val="5"/>
          <w:sz w:val="17"/>
        </w:rPr>
        <w:t xml:space="preserve"> </w:t>
      </w:r>
      <w:r>
        <w:rPr>
          <w:color w:val="231F20"/>
          <w:sz w:val="17"/>
        </w:rPr>
        <w:t>of</w:t>
      </w:r>
      <w:r>
        <w:rPr>
          <w:color w:val="231F20"/>
          <w:spacing w:val="5"/>
          <w:sz w:val="17"/>
        </w:rPr>
        <w:t xml:space="preserve"> </w:t>
      </w:r>
      <w:r>
        <w:rPr>
          <w:color w:val="231F20"/>
          <w:sz w:val="17"/>
        </w:rPr>
        <w:t>a</w:t>
      </w:r>
      <w:r>
        <w:rPr>
          <w:color w:val="231F20"/>
          <w:spacing w:val="5"/>
          <w:sz w:val="17"/>
        </w:rPr>
        <w:t xml:space="preserve"> </w:t>
      </w:r>
      <w:r>
        <w:rPr>
          <w:color w:val="231F20"/>
          <w:sz w:val="17"/>
        </w:rPr>
        <w:t>sense</w:t>
      </w:r>
      <w:r>
        <w:rPr>
          <w:color w:val="231F20"/>
          <w:spacing w:val="6"/>
          <w:sz w:val="17"/>
        </w:rPr>
        <w:t xml:space="preserve"> </w:t>
      </w:r>
      <w:r>
        <w:rPr>
          <w:color w:val="231F20"/>
          <w:sz w:val="17"/>
        </w:rPr>
        <w:t>of</w:t>
      </w:r>
      <w:r>
        <w:rPr>
          <w:color w:val="231F20"/>
          <w:spacing w:val="5"/>
          <w:sz w:val="17"/>
        </w:rPr>
        <w:t xml:space="preserve"> </w:t>
      </w:r>
      <w:r>
        <w:rPr>
          <w:color w:val="231F20"/>
          <w:sz w:val="17"/>
        </w:rPr>
        <w:t>place.</w:t>
      </w:r>
      <w:r>
        <w:rPr>
          <w:color w:val="231F20"/>
          <w:spacing w:val="5"/>
          <w:sz w:val="17"/>
        </w:rPr>
        <w:t xml:space="preserve"> </w:t>
      </w:r>
      <w:r>
        <w:rPr>
          <w:i/>
          <w:color w:val="231F20"/>
          <w:sz w:val="17"/>
        </w:rPr>
        <w:t>Leisure</w:t>
      </w:r>
      <w:r>
        <w:rPr>
          <w:i/>
          <w:color w:val="231F20"/>
          <w:spacing w:val="5"/>
          <w:sz w:val="17"/>
        </w:rPr>
        <w:t xml:space="preserve"> </w:t>
      </w:r>
      <w:r>
        <w:rPr>
          <w:i/>
          <w:color w:val="231F20"/>
          <w:spacing w:val="-2"/>
          <w:sz w:val="17"/>
        </w:rPr>
        <w:t>Sciences</w:t>
      </w:r>
    </w:p>
    <w:p w14:paraId="2D1510B3" w14:textId="77777777" w:rsidR="00AE0598" w:rsidRDefault="0069255A">
      <w:pPr>
        <w:spacing w:before="1"/>
        <w:ind w:left="430"/>
        <w:jc w:val="both"/>
        <w:rPr>
          <w:sz w:val="17"/>
        </w:rPr>
      </w:pPr>
      <w:r>
        <w:rPr>
          <w:color w:val="231F20"/>
          <w:w w:val="95"/>
          <w:sz w:val="17"/>
        </w:rPr>
        <w:t>29,</w:t>
      </w:r>
      <w:r>
        <w:rPr>
          <w:color w:val="231F20"/>
          <w:spacing w:val="1"/>
          <w:sz w:val="17"/>
        </w:rPr>
        <w:t xml:space="preserve"> </w:t>
      </w:r>
      <w:r>
        <w:rPr>
          <w:color w:val="231F20"/>
          <w:spacing w:val="-2"/>
          <w:w w:val="95"/>
          <w:sz w:val="17"/>
        </w:rPr>
        <w:t>209–225.</w:t>
      </w:r>
    </w:p>
    <w:p w14:paraId="1C2E68CA" w14:textId="77777777" w:rsidR="00AE0598" w:rsidRDefault="0069255A">
      <w:pPr>
        <w:spacing w:before="1"/>
        <w:ind w:left="110"/>
        <w:rPr>
          <w:sz w:val="17"/>
        </w:rPr>
      </w:pPr>
      <w:r>
        <w:rPr>
          <w:color w:val="231F20"/>
          <w:w w:val="95"/>
          <w:sz w:val="17"/>
        </w:rPr>
        <w:t>Laidlaw,</w:t>
      </w:r>
      <w:r>
        <w:rPr>
          <w:color w:val="231F20"/>
          <w:spacing w:val="12"/>
          <w:sz w:val="17"/>
        </w:rPr>
        <w:t xml:space="preserve"> </w:t>
      </w:r>
      <w:r>
        <w:rPr>
          <w:color w:val="231F20"/>
          <w:w w:val="95"/>
          <w:sz w:val="17"/>
        </w:rPr>
        <w:t>C.</w:t>
      </w:r>
      <w:r>
        <w:rPr>
          <w:color w:val="231F20"/>
          <w:spacing w:val="12"/>
          <w:sz w:val="17"/>
        </w:rPr>
        <w:t xml:space="preserve"> </w:t>
      </w:r>
      <w:r>
        <w:rPr>
          <w:color w:val="231F20"/>
          <w:w w:val="95"/>
          <w:sz w:val="17"/>
        </w:rPr>
        <w:t>(1999)</w:t>
      </w:r>
      <w:r>
        <w:rPr>
          <w:color w:val="231F20"/>
          <w:spacing w:val="12"/>
          <w:sz w:val="17"/>
        </w:rPr>
        <w:t xml:space="preserve"> </w:t>
      </w:r>
      <w:r>
        <w:rPr>
          <w:color w:val="231F20"/>
          <w:w w:val="95"/>
          <w:sz w:val="17"/>
        </w:rPr>
        <w:t>Sport</w:t>
      </w:r>
      <w:r>
        <w:rPr>
          <w:color w:val="231F20"/>
          <w:spacing w:val="12"/>
          <w:sz w:val="17"/>
        </w:rPr>
        <w:t xml:space="preserve"> </w:t>
      </w:r>
      <w:r>
        <w:rPr>
          <w:color w:val="231F20"/>
          <w:w w:val="95"/>
          <w:sz w:val="17"/>
        </w:rPr>
        <w:t>and</w:t>
      </w:r>
      <w:r>
        <w:rPr>
          <w:color w:val="231F20"/>
          <w:spacing w:val="12"/>
          <w:sz w:val="17"/>
        </w:rPr>
        <w:t xml:space="preserve"> </w:t>
      </w:r>
      <w:r>
        <w:rPr>
          <w:color w:val="231F20"/>
          <w:w w:val="95"/>
          <w:sz w:val="17"/>
        </w:rPr>
        <w:t>national</w:t>
      </w:r>
      <w:r>
        <w:rPr>
          <w:color w:val="231F20"/>
          <w:spacing w:val="13"/>
          <w:sz w:val="17"/>
        </w:rPr>
        <w:t xml:space="preserve"> </w:t>
      </w:r>
      <w:r>
        <w:rPr>
          <w:color w:val="231F20"/>
          <w:w w:val="95"/>
          <w:sz w:val="17"/>
        </w:rPr>
        <w:t>identity:</w:t>
      </w:r>
      <w:r>
        <w:rPr>
          <w:color w:val="231F20"/>
          <w:spacing w:val="12"/>
          <w:sz w:val="17"/>
        </w:rPr>
        <w:t xml:space="preserve"> </w:t>
      </w:r>
      <w:r>
        <w:rPr>
          <w:color w:val="231F20"/>
          <w:w w:val="95"/>
          <w:sz w:val="17"/>
        </w:rPr>
        <w:t>Race</w:t>
      </w:r>
      <w:r>
        <w:rPr>
          <w:color w:val="231F20"/>
          <w:spacing w:val="12"/>
          <w:sz w:val="17"/>
        </w:rPr>
        <w:t xml:space="preserve"> </w:t>
      </w:r>
      <w:r>
        <w:rPr>
          <w:color w:val="231F20"/>
          <w:w w:val="95"/>
          <w:sz w:val="17"/>
        </w:rPr>
        <w:t>relations,</w:t>
      </w:r>
      <w:r>
        <w:rPr>
          <w:color w:val="231F20"/>
          <w:spacing w:val="12"/>
          <w:sz w:val="17"/>
        </w:rPr>
        <w:t xml:space="preserve"> </w:t>
      </w:r>
      <w:r>
        <w:rPr>
          <w:color w:val="231F20"/>
          <w:w w:val="95"/>
          <w:sz w:val="17"/>
        </w:rPr>
        <w:t>business,</w:t>
      </w:r>
      <w:r>
        <w:rPr>
          <w:color w:val="231F20"/>
          <w:spacing w:val="12"/>
          <w:sz w:val="17"/>
        </w:rPr>
        <w:t xml:space="preserve"> </w:t>
      </w:r>
      <w:r>
        <w:rPr>
          <w:color w:val="231F20"/>
          <w:w w:val="95"/>
          <w:sz w:val="17"/>
        </w:rPr>
        <w:t>professionalism.</w:t>
      </w:r>
      <w:r>
        <w:rPr>
          <w:color w:val="231F20"/>
          <w:spacing w:val="12"/>
          <w:sz w:val="17"/>
        </w:rPr>
        <w:t xml:space="preserve"> </w:t>
      </w:r>
      <w:r>
        <w:rPr>
          <w:color w:val="231F20"/>
          <w:spacing w:val="-5"/>
          <w:w w:val="95"/>
          <w:sz w:val="17"/>
        </w:rPr>
        <w:t>In</w:t>
      </w:r>
    </w:p>
    <w:p w14:paraId="3B76C4FB" w14:textId="77777777" w:rsidR="00AE0598" w:rsidRDefault="0069255A">
      <w:pPr>
        <w:ind w:left="430" w:hanging="1"/>
        <w:rPr>
          <w:sz w:val="17"/>
        </w:rPr>
      </w:pPr>
      <w:r>
        <w:rPr>
          <w:color w:val="231F20"/>
          <w:sz w:val="17"/>
        </w:rPr>
        <w:t xml:space="preserve">B. Patterson (ed.) </w:t>
      </w:r>
      <w:r>
        <w:rPr>
          <w:i/>
          <w:color w:val="231F20"/>
          <w:sz w:val="17"/>
        </w:rPr>
        <w:t xml:space="preserve">Sport, Society and Culture in New Zealand </w:t>
      </w:r>
      <w:r>
        <w:rPr>
          <w:color w:val="231F20"/>
          <w:sz w:val="17"/>
        </w:rPr>
        <w:t>(pp. 11–18). Wellington,</w:t>
      </w:r>
      <w:r>
        <w:rPr>
          <w:color w:val="231F20"/>
          <w:spacing w:val="40"/>
          <w:sz w:val="17"/>
        </w:rPr>
        <w:t xml:space="preserve"> </w:t>
      </w:r>
      <w:r>
        <w:rPr>
          <w:color w:val="231F20"/>
          <w:sz w:val="17"/>
        </w:rPr>
        <w:t>New Zealand: Victoria University Stout Research Centre.</w:t>
      </w:r>
    </w:p>
    <w:p w14:paraId="566FA27B" w14:textId="77777777" w:rsidR="00AE0598" w:rsidRDefault="0069255A">
      <w:pPr>
        <w:spacing w:before="2"/>
        <w:ind w:left="110"/>
        <w:rPr>
          <w:sz w:val="17"/>
        </w:rPr>
      </w:pPr>
      <w:r>
        <w:rPr>
          <w:color w:val="231F20"/>
          <w:sz w:val="17"/>
        </w:rPr>
        <w:t>Laidlaw,</w:t>
      </w:r>
      <w:r>
        <w:rPr>
          <w:color w:val="231F20"/>
          <w:spacing w:val="11"/>
          <w:sz w:val="17"/>
        </w:rPr>
        <w:t xml:space="preserve"> </w:t>
      </w:r>
      <w:r>
        <w:rPr>
          <w:color w:val="231F20"/>
          <w:sz w:val="17"/>
        </w:rPr>
        <w:t>C.</w:t>
      </w:r>
      <w:r>
        <w:rPr>
          <w:color w:val="231F20"/>
          <w:spacing w:val="12"/>
          <w:sz w:val="17"/>
        </w:rPr>
        <w:t xml:space="preserve"> </w:t>
      </w:r>
      <w:r>
        <w:rPr>
          <w:color w:val="231F20"/>
          <w:sz w:val="17"/>
        </w:rPr>
        <w:t>(2010)</w:t>
      </w:r>
      <w:r>
        <w:rPr>
          <w:color w:val="231F20"/>
          <w:spacing w:val="11"/>
          <w:sz w:val="17"/>
        </w:rPr>
        <w:t xml:space="preserve"> </w:t>
      </w:r>
      <w:r>
        <w:rPr>
          <w:i/>
          <w:color w:val="231F20"/>
          <w:sz w:val="17"/>
        </w:rPr>
        <w:t>Somebody</w:t>
      </w:r>
      <w:r>
        <w:rPr>
          <w:i/>
          <w:color w:val="231F20"/>
          <w:spacing w:val="12"/>
          <w:sz w:val="17"/>
        </w:rPr>
        <w:t xml:space="preserve"> </w:t>
      </w:r>
      <w:r>
        <w:rPr>
          <w:i/>
          <w:color w:val="231F20"/>
          <w:sz w:val="17"/>
        </w:rPr>
        <w:t>Stole</w:t>
      </w:r>
      <w:r>
        <w:rPr>
          <w:i/>
          <w:color w:val="231F20"/>
          <w:spacing w:val="12"/>
          <w:sz w:val="17"/>
        </w:rPr>
        <w:t xml:space="preserve"> </w:t>
      </w:r>
      <w:r>
        <w:rPr>
          <w:i/>
          <w:color w:val="231F20"/>
          <w:sz w:val="17"/>
        </w:rPr>
        <w:t>My</w:t>
      </w:r>
      <w:r>
        <w:rPr>
          <w:i/>
          <w:color w:val="231F20"/>
          <w:spacing w:val="11"/>
          <w:sz w:val="17"/>
        </w:rPr>
        <w:t xml:space="preserve"> </w:t>
      </w:r>
      <w:r>
        <w:rPr>
          <w:i/>
          <w:color w:val="231F20"/>
          <w:sz w:val="17"/>
        </w:rPr>
        <w:t>Game</w:t>
      </w:r>
      <w:r>
        <w:rPr>
          <w:color w:val="231F20"/>
          <w:sz w:val="17"/>
        </w:rPr>
        <w:t>.</w:t>
      </w:r>
      <w:r>
        <w:rPr>
          <w:color w:val="231F20"/>
          <w:spacing w:val="12"/>
          <w:sz w:val="17"/>
        </w:rPr>
        <w:t xml:space="preserve"> </w:t>
      </w:r>
      <w:r>
        <w:rPr>
          <w:color w:val="231F20"/>
          <w:sz w:val="17"/>
        </w:rPr>
        <w:t>New</w:t>
      </w:r>
      <w:r>
        <w:rPr>
          <w:color w:val="231F20"/>
          <w:spacing w:val="12"/>
          <w:sz w:val="17"/>
        </w:rPr>
        <w:t xml:space="preserve"> </w:t>
      </w:r>
      <w:r>
        <w:rPr>
          <w:color w:val="231F20"/>
          <w:sz w:val="17"/>
        </w:rPr>
        <w:t>York:</w:t>
      </w:r>
      <w:r>
        <w:rPr>
          <w:color w:val="231F20"/>
          <w:spacing w:val="11"/>
          <w:sz w:val="17"/>
        </w:rPr>
        <w:t xml:space="preserve"> </w:t>
      </w:r>
      <w:r>
        <w:rPr>
          <w:color w:val="231F20"/>
          <w:spacing w:val="-2"/>
          <w:sz w:val="17"/>
        </w:rPr>
        <w:t>Hachette.</w:t>
      </w:r>
    </w:p>
    <w:p w14:paraId="13B92599" w14:textId="77777777" w:rsidR="00AE0598" w:rsidRDefault="0069255A">
      <w:pPr>
        <w:ind w:left="110" w:hanging="1"/>
        <w:rPr>
          <w:sz w:val="17"/>
        </w:rPr>
      </w:pPr>
      <w:r>
        <w:rPr>
          <w:color w:val="231F20"/>
          <w:w w:val="95"/>
          <w:sz w:val="17"/>
        </w:rPr>
        <w:t>Lamont,</w:t>
      </w:r>
      <w:r>
        <w:rPr>
          <w:color w:val="231F20"/>
          <w:spacing w:val="19"/>
          <w:sz w:val="17"/>
        </w:rPr>
        <w:t xml:space="preserve"> </w:t>
      </w:r>
      <w:r>
        <w:rPr>
          <w:color w:val="231F20"/>
          <w:w w:val="95"/>
          <w:sz w:val="17"/>
        </w:rPr>
        <w:t>M.</w:t>
      </w:r>
      <w:r>
        <w:rPr>
          <w:color w:val="231F20"/>
          <w:spacing w:val="20"/>
          <w:sz w:val="17"/>
        </w:rPr>
        <w:t xml:space="preserve"> </w:t>
      </w:r>
      <w:r>
        <w:rPr>
          <w:color w:val="231F20"/>
          <w:w w:val="95"/>
          <w:sz w:val="17"/>
        </w:rPr>
        <w:t>(2014)</w:t>
      </w:r>
      <w:r>
        <w:rPr>
          <w:color w:val="231F20"/>
          <w:spacing w:val="20"/>
          <w:sz w:val="17"/>
        </w:rPr>
        <w:t xml:space="preserve"> </w:t>
      </w:r>
      <w:r>
        <w:rPr>
          <w:color w:val="231F20"/>
          <w:w w:val="95"/>
          <w:sz w:val="17"/>
        </w:rPr>
        <w:t>Authentication</w:t>
      </w:r>
      <w:r>
        <w:rPr>
          <w:color w:val="231F20"/>
          <w:spacing w:val="20"/>
          <w:sz w:val="17"/>
        </w:rPr>
        <w:t xml:space="preserve"> </w:t>
      </w:r>
      <w:r>
        <w:rPr>
          <w:color w:val="231F20"/>
          <w:w w:val="95"/>
          <w:sz w:val="17"/>
        </w:rPr>
        <w:t>in</w:t>
      </w:r>
      <w:r>
        <w:rPr>
          <w:color w:val="231F20"/>
          <w:spacing w:val="20"/>
          <w:sz w:val="17"/>
        </w:rPr>
        <w:t xml:space="preserve"> </w:t>
      </w:r>
      <w:r>
        <w:rPr>
          <w:color w:val="231F20"/>
          <w:w w:val="95"/>
          <w:sz w:val="17"/>
        </w:rPr>
        <w:t>sports</w:t>
      </w:r>
      <w:r>
        <w:rPr>
          <w:color w:val="231F20"/>
          <w:spacing w:val="20"/>
          <w:sz w:val="17"/>
        </w:rPr>
        <w:t xml:space="preserve"> </w:t>
      </w:r>
      <w:r>
        <w:rPr>
          <w:color w:val="231F20"/>
          <w:w w:val="95"/>
          <w:sz w:val="17"/>
        </w:rPr>
        <w:t>tourism.</w:t>
      </w:r>
      <w:r>
        <w:rPr>
          <w:color w:val="231F20"/>
          <w:spacing w:val="20"/>
          <w:sz w:val="17"/>
        </w:rPr>
        <w:t xml:space="preserve"> </w:t>
      </w:r>
      <w:r>
        <w:rPr>
          <w:i/>
          <w:color w:val="231F20"/>
          <w:w w:val="95"/>
          <w:sz w:val="17"/>
        </w:rPr>
        <w:t>Annals</w:t>
      </w:r>
      <w:r>
        <w:rPr>
          <w:i/>
          <w:color w:val="231F20"/>
          <w:spacing w:val="19"/>
          <w:sz w:val="17"/>
        </w:rPr>
        <w:t xml:space="preserve"> </w:t>
      </w:r>
      <w:r>
        <w:rPr>
          <w:i/>
          <w:color w:val="231F20"/>
          <w:w w:val="95"/>
          <w:sz w:val="17"/>
        </w:rPr>
        <w:t>of</w:t>
      </w:r>
      <w:r>
        <w:rPr>
          <w:i/>
          <w:color w:val="231F20"/>
          <w:spacing w:val="20"/>
          <w:sz w:val="17"/>
        </w:rPr>
        <w:t xml:space="preserve"> </w:t>
      </w:r>
      <w:r>
        <w:rPr>
          <w:i/>
          <w:color w:val="231F20"/>
          <w:w w:val="95"/>
          <w:sz w:val="17"/>
        </w:rPr>
        <w:t>Tourism</w:t>
      </w:r>
      <w:r>
        <w:rPr>
          <w:i/>
          <w:color w:val="231F20"/>
          <w:spacing w:val="20"/>
          <w:sz w:val="17"/>
        </w:rPr>
        <w:t xml:space="preserve"> </w:t>
      </w:r>
      <w:r>
        <w:rPr>
          <w:i/>
          <w:color w:val="231F20"/>
          <w:w w:val="95"/>
          <w:sz w:val="17"/>
        </w:rPr>
        <w:t>Research</w:t>
      </w:r>
      <w:r>
        <w:rPr>
          <w:i/>
          <w:color w:val="231F20"/>
          <w:spacing w:val="22"/>
          <w:sz w:val="17"/>
        </w:rPr>
        <w:t xml:space="preserve"> </w:t>
      </w:r>
      <w:r>
        <w:rPr>
          <w:color w:val="231F20"/>
          <w:w w:val="95"/>
          <w:sz w:val="17"/>
        </w:rPr>
        <w:t>45,</w:t>
      </w:r>
      <w:r>
        <w:rPr>
          <w:color w:val="231F20"/>
          <w:spacing w:val="19"/>
          <w:sz w:val="17"/>
        </w:rPr>
        <w:t xml:space="preserve"> </w:t>
      </w:r>
      <w:r>
        <w:rPr>
          <w:color w:val="231F20"/>
          <w:spacing w:val="-2"/>
          <w:w w:val="95"/>
          <w:sz w:val="17"/>
        </w:rPr>
        <w:t>1–17.</w:t>
      </w:r>
    </w:p>
    <w:p w14:paraId="40E41B0D" w14:textId="77777777" w:rsidR="00AE0598" w:rsidRDefault="0069255A">
      <w:pPr>
        <w:spacing w:before="1"/>
        <w:ind w:left="430" w:right="128" w:hanging="320"/>
        <w:jc w:val="both"/>
        <w:rPr>
          <w:sz w:val="17"/>
        </w:rPr>
      </w:pPr>
      <w:r>
        <w:rPr>
          <w:color w:val="231F20"/>
          <w:sz w:val="17"/>
        </w:rPr>
        <w:t xml:space="preserve">Lamont, </w:t>
      </w:r>
      <w:r>
        <w:rPr>
          <w:color w:val="231F20"/>
          <w:w w:val="105"/>
          <w:sz w:val="17"/>
        </w:rPr>
        <w:t xml:space="preserve">M., </w:t>
      </w:r>
      <w:r>
        <w:rPr>
          <w:color w:val="231F20"/>
          <w:sz w:val="17"/>
        </w:rPr>
        <w:t xml:space="preserve">Kennelly, </w:t>
      </w:r>
      <w:r>
        <w:rPr>
          <w:color w:val="231F20"/>
          <w:w w:val="105"/>
          <w:sz w:val="17"/>
        </w:rPr>
        <w:t xml:space="preserve">M. </w:t>
      </w:r>
      <w:r>
        <w:rPr>
          <w:color w:val="231F20"/>
          <w:sz w:val="17"/>
        </w:rPr>
        <w:t xml:space="preserve">and Moyle, </w:t>
      </w:r>
      <w:r>
        <w:rPr>
          <w:color w:val="231F20"/>
          <w:w w:val="105"/>
          <w:sz w:val="17"/>
        </w:rPr>
        <w:t xml:space="preserve">B. </w:t>
      </w:r>
      <w:r>
        <w:rPr>
          <w:color w:val="231F20"/>
          <w:sz w:val="17"/>
        </w:rPr>
        <w:t>(2014) Costs and perseverance in serious leisure</w:t>
      </w:r>
      <w:r>
        <w:rPr>
          <w:color w:val="231F20"/>
          <w:spacing w:val="40"/>
          <w:sz w:val="17"/>
        </w:rPr>
        <w:t xml:space="preserve"> </w:t>
      </w:r>
      <w:r>
        <w:rPr>
          <w:color w:val="231F20"/>
          <w:sz w:val="17"/>
        </w:rPr>
        <w:t xml:space="preserve">careers. </w:t>
      </w:r>
      <w:r>
        <w:rPr>
          <w:i/>
          <w:color w:val="231F20"/>
          <w:sz w:val="17"/>
        </w:rPr>
        <w:t xml:space="preserve">Leisure Sciences </w:t>
      </w:r>
      <w:r>
        <w:rPr>
          <w:color w:val="231F20"/>
          <w:sz w:val="17"/>
        </w:rPr>
        <w:t>36 (2), 144–160.</w:t>
      </w:r>
    </w:p>
    <w:p w14:paraId="09EE8B9B" w14:textId="77777777" w:rsidR="00AE0598" w:rsidRDefault="0069255A">
      <w:pPr>
        <w:spacing w:before="2"/>
        <w:ind w:left="430" w:right="127" w:hanging="320"/>
        <w:jc w:val="both"/>
        <w:rPr>
          <w:sz w:val="17"/>
        </w:rPr>
      </w:pPr>
      <w:r>
        <w:rPr>
          <w:color w:val="231F20"/>
          <w:w w:val="95"/>
          <w:sz w:val="17"/>
        </w:rPr>
        <w:t>Lamont, M., Kennelly, M. and Moyle, B. (2015) Non-participating entourage: The forgotten</w:t>
      </w:r>
      <w:r>
        <w:rPr>
          <w:color w:val="231F20"/>
          <w:spacing w:val="40"/>
          <w:sz w:val="17"/>
        </w:rPr>
        <w:t xml:space="preserve"> </w:t>
      </w:r>
      <w:r>
        <w:rPr>
          <w:color w:val="231F20"/>
          <w:sz w:val="17"/>
        </w:rPr>
        <w:t xml:space="preserve">crowd in </w:t>
      </w:r>
      <w:r>
        <w:rPr>
          <w:color w:val="231F20"/>
          <w:sz w:val="17"/>
        </w:rPr>
        <w:t>event management research? Working paper, Council for Australasian</w:t>
      </w:r>
      <w:r>
        <w:rPr>
          <w:color w:val="231F20"/>
          <w:spacing w:val="40"/>
          <w:sz w:val="17"/>
        </w:rPr>
        <w:t xml:space="preserve"> </w:t>
      </w:r>
      <w:r>
        <w:rPr>
          <w:color w:val="231F20"/>
          <w:sz w:val="17"/>
        </w:rPr>
        <w:t>University Tourism and Hospitality Education (CAUTHE) Conference, Gold Coast,</w:t>
      </w:r>
      <w:r>
        <w:rPr>
          <w:color w:val="231F20"/>
          <w:spacing w:val="40"/>
          <w:sz w:val="17"/>
        </w:rPr>
        <w:t xml:space="preserve"> </w:t>
      </w:r>
      <w:r>
        <w:rPr>
          <w:color w:val="231F20"/>
          <w:sz w:val="17"/>
        </w:rPr>
        <w:t>Australia, 2–5 February.</w:t>
      </w:r>
    </w:p>
    <w:p w14:paraId="1F6E7088" w14:textId="77777777" w:rsidR="00AE0598" w:rsidRDefault="00AE0598">
      <w:pPr>
        <w:jc w:val="both"/>
        <w:rPr>
          <w:sz w:val="17"/>
        </w:rPr>
        <w:sectPr w:rsidR="00AE0598">
          <w:pgSz w:w="8850" w:h="13270"/>
          <w:pgMar w:top="720" w:right="1060" w:bottom="280" w:left="1080" w:header="720" w:footer="720" w:gutter="0"/>
          <w:cols w:space="720"/>
        </w:sectPr>
      </w:pPr>
    </w:p>
    <w:p w14:paraId="6ADFE639" w14:textId="77777777" w:rsidR="00AE0598" w:rsidRDefault="0069255A">
      <w:pPr>
        <w:spacing w:before="87"/>
        <w:ind w:left="108"/>
        <w:rPr>
          <w:rFonts w:ascii="Trebuchet MS"/>
          <w:sz w:val="14"/>
        </w:rPr>
      </w:pPr>
      <w:r>
        <w:rPr>
          <w:rFonts w:ascii="Trebuchet MS"/>
          <w:color w:val="231F20"/>
          <w:w w:val="105"/>
          <w:sz w:val="14"/>
        </w:rPr>
        <w:lastRenderedPageBreak/>
        <w:t>260</w:t>
      </w:r>
      <w:r>
        <w:rPr>
          <w:rFonts w:ascii="Trebuchet MS"/>
          <w:color w:val="231F20"/>
          <w:spacing w:val="78"/>
          <w:w w:val="150"/>
          <w:sz w:val="14"/>
        </w:rPr>
        <w:t xml:space="preserve"> </w:t>
      </w:r>
      <w:r>
        <w:rPr>
          <w:rFonts w:ascii="Trebuchet MS"/>
          <w:color w:val="231F20"/>
          <w:spacing w:val="-2"/>
          <w:w w:val="105"/>
          <w:sz w:val="14"/>
        </w:rPr>
        <w:t>References</w:t>
      </w:r>
    </w:p>
    <w:p w14:paraId="2A900A3A" w14:textId="77777777" w:rsidR="00AE0598" w:rsidRDefault="00AE0598">
      <w:pPr>
        <w:pStyle w:val="Corpodetexto"/>
        <w:rPr>
          <w:rFonts w:ascii="Trebuchet MS"/>
          <w:sz w:val="16"/>
        </w:rPr>
      </w:pPr>
    </w:p>
    <w:p w14:paraId="72E50DBD" w14:textId="77777777" w:rsidR="00AE0598" w:rsidRDefault="0069255A">
      <w:pPr>
        <w:spacing w:before="121"/>
        <w:ind w:left="430" w:hanging="320"/>
        <w:rPr>
          <w:sz w:val="17"/>
        </w:rPr>
      </w:pPr>
      <w:r>
        <w:rPr>
          <w:color w:val="231F20"/>
          <w:sz w:val="17"/>
        </w:rPr>
        <w:t xml:space="preserve">Lamont, </w:t>
      </w:r>
      <w:r>
        <w:rPr>
          <w:color w:val="231F20"/>
          <w:w w:val="110"/>
          <w:sz w:val="17"/>
        </w:rPr>
        <w:t xml:space="preserve">M. </w:t>
      </w:r>
      <w:r>
        <w:rPr>
          <w:color w:val="231F20"/>
          <w:sz w:val="17"/>
        </w:rPr>
        <w:t xml:space="preserve">and McKay, </w:t>
      </w:r>
      <w:r>
        <w:rPr>
          <w:color w:val="231F20"/>
          <w:w w:val="110"/>
          <w:sz w:val="17"/>
        </w:rPr>
        <w:t xml:space="preserve">J. </w:t>
      </w:r>
      <w:r>
        <w:rPr>
          <w:color w:val="231F20"/>
          <w:sz w:val="17"/>
        </w:rPr>
        <w:t>(2012) Intimations of postmodernity in sports tourism at the</w:t>
      </w:r>
      <w:r>
        <w:rPr>
          <w:color w:val="231F20"/>
          <w:spacing w:val="40"/>
          <w:sz w:val="17"/>
        </w:rPr>
        <w:t xml:space="preserve"> </w:t>
      </w:r>
      <w:r>
        <w:rPr>
          <w:color w:val="231F20"/>
          <w:sz w:val="17"/>
        </w:rPr>
        <w:t xml:space="preserve">Tour de France. </w:t>
      </w:r>
      <w:r>
        <w:rPr>
          <w:i/>
          <w:color w:val="231F20"/>
          <w:sz w:val="17"/>
        </w:rPr>
        <w:t xml:space="preserve">Journal of Sport </w:t>
      </w:r>
      <w:r>
        <w:rPr>
          <w:i/>
          <w:color w:val="231F20"/>
          <w:w w:val="110"/>
          <w:sz w:val="17"/>
        </w:rPr>
        <w:t xml:space="preserve">&amp; </w:t>
      </w:r>
      <w:r>
        <w:rPr>
          <w:i/>
          <w:color w:val="231F20"/>
          <w:sz w:val="17"/>
        </w:rPr>
        <w:t xml:space="preserve">Tourism </w:t>
      </w:r>
      <w:r>
        <w:rPr>
          <w:color w:val="231F20"/>
          <w:sz w:val="17"/>
        </w:rPr>
        <w:t>17 (4), 313–331.</w:t>
      </w:r>
    </w:p>
    <w:p w14:paraId="584CEE1D" w14:textId="77777777" w:rsidR="00AE0598" w:rsidRDefault="0069255A">
      <w:pPr>
        <w:spacing w:before="1"/>
        <w:ind w:left="430" w:hanging="320"/>
        <w:rPr>
          <w:sz w:val="17"/>
        </w:rPr>
      </w:pPr>
      <w:r>
        <w:rPr>
          <w:color w:val="231F20"/>
          <w:sz w:val="17"/>
        </w:rPr>
        <w:t>Laverie, D.A. and Arnett, D.B. (2000) Factors affecting fan attendance: The influence of</w:t>
      </w:r>
      <w:r>
        <w:rPr>
          <w:color w:val="231F20"/>
          <w:spacing w:val="40"/>
          <w:sz w:val="17"/>
        </w:rPr>
        <w:t xml:space="preserve"> </w:t>
      </w:r>
      <w:r>
        <w:rPr>
          <w:color w:val="231F20"/>
          <w:sz w:val="17"/>
        </w:rPr>
        <w:t xml:space="preserve">identity salience and satisfaction. </w:t>
      </w:r>
      <w:r>
        <w:rPr>
          <w:i/>
          <w:color w:val="231F20"/>
          <w:sz w:val="17"/>
        </w:rPr>
        <w:t>Journal of</w:t>
      </w:r>
      <w:r>
        <w:rPr>
          <w:i/>
          <w:color w:val="231F20"/>
          <w:sz w:val="17"/>
        </w:rPr>
        <w:t xml:space="preserve"> Leisure Research </w:t>
      </w:r>
      <w:r>
        <w:rPr>
          <w:color w:val="231F20"/>
          <w:sz w:val="17"/>
        </w:rPr>
        <w:t>32 (2), 225–246.</w:t>
      </w:r>
    </w:p>
    <w:p w14:paraId="1A57C274" w14:textId="77777777" w:rsidR="00AE0598" w:rsidRDefault="0069255A">
      <w:pPr>
        <w:spacing w:before="2"/>
        <w:ind w:left="430" w:hanging="320"/>
        <w:rPr>
          <w:sz w:val="17"/>
        </w:rPr>
      </w:pPr>
      <w:r>
        <w:rPr>
          <w:color w:val="231F20"/>
          <w:sz w:val="17"/>
        </w:rPr>
        <w:t>Law,</w:t>
      </w:r>
      <w:r>
        <w:rPr>
          <w:color w:val="231F20"/>
          <w:spacing w:val="21"/>
          <w:sz w:val="17"/>
        </w:rPr>
        <w:t xml:space="preserve"> </w:t>
      </w:r>
      <w:r>
        <w:rPr>
          <w:color w:val="231F20"/>
          <w:sz w:val="17"/>
        </w:rPr>
        <w:t>A.</w:t>
      </w:r>
      <w:r>
        <w:rPr>
          <w:color w:val="231F20"/>
          <w:spacing w:val="21"/>
          <w:sz w:val="17"/>
        </w:rPr>
        <w:t xml:space="preserve"> </w:t>
      </w:r>
      <w:r>
        <w:rPr>
          <w:color w:val="231F20"/>
          <w:sz w:val="17"/>
        </w:rPr>
        <w:t>(2001)</w:t>
      </w:r>
      <w:r>
        <w:rPr>
          <w:color w:val="231F20"/>
          <w:spacing w:val="21"/>
          <w:sz w:val="17"/>
        </w:rPr>
        <w:t xml:space="preserve"> </w:t>
      </w:r>
      <w:r>
        <w:rPr>
          <w:color w:val="231F20"/>
          <w:sz w:val="17"/>
        </w:rPr>
        <w:t>Surfing</w:t>
      </w:r>
      <w:r>
        <w:rPr>
          <w:color w:val="231F20"/>
          <w:spacing w:val="21"/>
          <w:sz w:val="17"/>
        </w:rPr>
        <w:t xml:space="preserve"> </w:t>
      </w:r>
      <w:r>
        <w:rPr>
          <w:color w:val="231F20"/>
          <w:sz w:val="17"/>
        </w:rPr>
        <w:t>the</w:t>
      </w:r>
      <w:r>
        <w:rPr>
          <w:color w:val="231F20"/>
          <w:spacing w:val="21"/>
          <w:sz w:val="17"/>
        </w:rPr>
        <w:t xml:space="preserve"> </w:t>
      </w:r>
      <w:r>
        <w:rPr>
          <w:color w:val="231F20"/>
          <w:sz w:val="17"/>
        </w:rPr>
        <w:t>safety</w:t>
      </w:r>
      <w:r>
        <w:rPr>
          <w:color w:val="231F20"/>
          <w:spacing w:val="21"/>
          <w:sz w:val="17"/>
        </w:rPr>
        <w:t xml:space="preserve"> </w:t>
      </w:r>
      <w:r>
        <w:rPr>
          <w:color w:val="231F20"/>
          <w:sz w:val="17"/>
        </w:rPr>
        <w:t>net:</w:t>
      </w:r>
      <w:r>
        <w:rPr>
          <w:color w:val="231F20"/>
          <w:spacing w:val="21"/>
          <w:sz w:val="17"/>
        </w:rPr>
        <w:t xml:space="preserve"> </w:t>
      </w:r>
      <w:r>
        <w:rPr>
          <w:color w:val="231F20"/>
          <w:sz w:val="17"/>
        </w:rPr>
        <w:t>‘Dole</w:t>
      </w:r>
      <w:r>
        <w:rPr>
          <w:color w:val="231F20"/>
          <w:spacing w:val="21"/>
          <w:sz w:val="17"/>
        </w:rPr>
        <w:t xml:space="preserve"> </w:t>
      </w:r>
      <w:r>
        <w:rPr>
          <w:color w:val="231F20"/>
          <w:sz w:val="17"/>
        </w:rPr>
        <w:t>bludging’,</w:t>
      </w:r>
      <w:r>
        <w:rPr>
          <w:color w:val="231F20"/>
          <w:spacing w:val="21"/>
          <w:sz w:val="17"/>
        </w:rPr>
        <w:t xml:space="preserve"> </w:t>
      </w:r>
      <w:r>
        <w:rPr>
          <w:color w:val="231F20"/>
          <w:sz w:val="17"/>
        </w:rPr>
        <w:t>‘surfies’</w:t>
      </w:r>
      <w:r>
        <w:rPr>
          <w:color w:val="231F20"/>
          <w:spacing w:val="21"/>
          <w:sz w:val="17"/>
        </w:rPr>
        <w:t xml:space="preserve"> </w:t>
      </w:r>
      <w:r>
        <w:rPr>
          <w:color w:val="231F20"/>
          <w:sz w:val="17"/>
        </w:rPr>
        <w:t>and</w:t>
      </w:r>
      <w:r>
        <w:rPr>
          <w:color w:val="231F20"/>
          <w:spacing w:val="21"/>
          <w:sz w:val="17"/>
        </w:rPr>
        <w:t xml:space="preserve"> </w:t>
      </w:r>
      <w:r>
        <w:rPr>
          <w:color w:val="231F20"/>
          <w:sz w:val="17"/>
        </w:rPr>
        <w:t>governmentality</w:t>
      </w:r>
      <w:r>
        <w:rPr>
          <w:color w:val="231F20"/>
          <w:spacing w:val="21"/>
          <w:sz w:val="17"/>
        </w:rPr>
        <w:t xml:space="preserve"> </w:t>
      </w:r>
      <w:r>
        <w:rPr>
          <w:color w:val="231F20"/>
          <w:sz w:val="17"/>
        </w:rPr>
        <w:t>in</w:t>
      </w:r>
      <w:r>
        <w:rPr>
          <w:color w:val="231F20"/>
          <w:spacing w:val="40"/>
          <w:sz w:val="17"/>
        </w:rPr>
        <w:t xml:space="preserve"> </w:t>
      </w:r>
      <w:r>
        <w:rPr>
          <w:color w:val="231F20"/>
          <w:sz w:val="17"/>
        </w:rPr>
        <w:t xml:space="preserve">Australia. </w:t>
      </w:r>
      <w:r>
        <w:rPr>
          <w:i/>
          <w:color w:val="231F20"/>
          <w:sz w:val="17"/>
        </w:rPr>
        <w:t xml:space="preserve">International Review for the Sociology of Sport </w:t>
      </w:r>
      <w:r>
        <w:rPr>
          <w:color w:val="231F20"/>
          <w:sz w:val="17"/>
        </w:rPr>
        <w:t>36 (1), 25–40.</w:t>
      </w:r>
    </w:p>
    <w:p w14:paraId="33CB8F8B" w14:textId="77777777" w:rsidR="00AE0598" w:rsidRDefault="0069255A">
      <w:pPr>
        <w:spacing w:before="1"/>
        <w:ind w:left="110"/>
        <w:rPr>
          <w:sz w:val="17"/>
        </w:rPr>
      </w:pPr>
      <w:r>
        <w:rPr>
          <w:color w:val="231F20"/>
          <w:sz w:val="17"/>
        </w:rPr>
        <w:t>Law,</w:t>
      </w:r>
      <w:r>
        <w:rPr>
          <w:color w:val="231F20"/>
          <w:spacing w:val="20"/>
          <w:sz w:val="17"/>
        </w:rPr>
        <w:t xml:space="preserve"> </w:t>
      </w:r>
      <w:r>
        <w:rPr>
          <w:color w:val="231F20"/>
          <w:sz w:val="17"/>
        </w:rPr>
        <w:t>C.M.</w:t>
      </w:r>
      <w:r>
        <w:rPr>
          <w:color w:val="231F20"/>
          <w:spacing w:val="21"/>
          <w:sz w:val="17"/>
        </w:rPr>
        <w:t xml:space="preserve"> </w:t>
      </w:r>
      <w:r>
        <w:rPr>
          <w:color w:val="231F20"/>
          <w:sz w:val="17"/>
        </w:rPr>
        <w:t>(2002)</w:t>
      </w:r>
      <w:r>
        <w:rPr>
          <w:color w:val="231F20"/>
          <w:spacing w:val="21"/>
          <w:sz w:val="17"/>
        </w:rPr>
        <w:t xml:space="preserve"> </w:t>
      </w:r>
      <w:r>
        <w:rPr>
          <w:i/>
          <w:color w:val="231F20"/>
          <w:sz w:val="17"/>
        </w:rPr>
        <w:t>Urban</w:t>
      </w:r>
      <w:r>
        <w:rPr>
          <w:i/>
          <w:color w:val="231F20"/>
          <w:spacing w:val="21"/>
          <w:sz w:val="17"/>
        </w:rPr>
        <w:t xml:space="preserve"> </w:t>
      </w:r>
      <w:r>
        <w:rPr>
          <w:i/>
          <w:color w:val="231F20"/>
          <w:sz w:val="17"/>
        </w:rPr>
        <w:t>Tourism:</w:t>
      </w:r>
      <w:r>
        <w:rPr>
          <w:i/>
          <w:color w:val="231F20"/>
          <w:spacing w:val="21"/>
          <w:sz w:val="17"/>
        </w:rPr>
        <w:t xml:space="preserve"> </w:t>
      </w:r>
      <w:r>
        <w:rPr>
          <w:i/>
          <w:color w:val="231F20"/>
          <w:sz w:val="17"/>
        </w:rPr>
        <w:t>The</w:t>
      </w:r>
      <w:r>
        <w:rPr>
          <w:i/>
          <w:color w:val="231F20"/>
          <w:spacing w:val="21"/>
          <w:sz w:val="17"/>
        </w:rPr>
        <w:t xml:space="preserve"> </w:t>
      </w:r>
      <w:r>
        <w:rPr>
          <w:i/>
          <w:color w:val="231F20"/>
          <w:sz w:val="17"/>
        </w:rPr>
        <w:t>Visitor</w:t>
      </w:r>
      <w:r>
        <w:rPr>
          <w:i/>
          <w:color w:val="231F20"/>
          <w:spacing w:val="21"/>
          <w:sz w:val="17"/>
        </w:rPr>
        <w:t xml:space="preserve"> </w:t>
      </w:r>
      <w:r>
        <w:rPr>
          <w:i/>
          <w:color w:val="231F20"/>
          <w:sz w:val="17"/>
        </w:rPr>
        <w:t>Economy</w:t>
      </w:r>
      <w:r>
        <w:rPr>
          <w:i/>
          <w:color w:val="231F20"/>
          <w:spacing w:val="21"/>
          <w:sz w:val="17"/>
        </w:rPr>
        <w:t xml:space="preserve"> </w:t>
      </w:r>
      <w:r>
        <w:rPr>
          <w:i/>
          <w:color w:val="231F20"/>
          <w:sz w:val="17"/>
        </w:rPr>
        <w:t>and</w:t>
      </w:r>
      <w:r>
        <w:rPr>
          <w:i/>
          <w:color w:val="231F20"/>
          <w:spacing w:val="21"/>
          <w:sz w:val="17"/>
        </w:rPr>
        <w:t xml:space="preserve"> </w:t>
      </w:r>
      <w:r>
        <w:rPr>
          <w:i/>
          <w:color w:val="231F20"/>
          <w:sz w:val="17"/>
        </w:rPr>
        <w:t>the</w:t>
      </w:r>
      <w:r>
        <w:rPr>
          <w:i/>
          <w:color w:val="231F20"/>
          <w:spacing w:val="21"/>
          <w:sz w:val="17"/>
        </w:rPr>
        <w:t xml:space="preserve"> </w:t>
      </w:r>
      <w:r>
        <w:rPr>
          <w:i/>
          <w:color w:val="231F20"/>
          <w:sz w:val="17"/>
        </w:rPr>
        <w:t>Growth</w:t>
      </w:r>
      <w:r>
        <w:rPr>
          <w:i/>
          <w:color w:val="231F20"/>
          <w:spacing w:val="21"/>
          <w:sz w:val="17"/>
        </w:rPr>
        <w:t xml:space="preserve"> </w:t>
      </w:r>
      <w:r>
        <w:rPr>
          <w:i/>
          <w:color w:val="231F20"/>
          <w:sz w:val="17"/>
        </w:rPr>
        <w:t>of</w:t>
      </w:r>
      <w:r>
        <w:rPr>
          <w:i/>
          <w:color w:val="231F20"/>
          <w:spacing w:val="20"/>
          <w:sz w:val="17"/>
        </w:rPr>
        <w:t xml:space="preserve"> </w:t>
      </w:r>
      <w:r>
        <w:rPr>
          <w:i/>
          <w:color w:val="231F20"/>
          <w:sz w:val="17"/>
        </w:rPr>
        <w:t>Large</w:t>
      </w:r>
      <w:r>
        <w:rPr>
          <w:i/>
          <w:color w:val="231F20"/>
          <w:spacing w:val="21"/>
          <w:sz w:val="17"/>
        </w:rPr>
        <w:t xml:space="preserve"> </w:t>
      </w:r>
      <w:r>
        <w:rPr>
          <w:i/>
          <w:color w:val="231F20"/>
          <w:spacing w:val="-2"/>
          <w:sz w:val="17"/>
        </w:rPr>
        <w:t>Cities</w:t>
      </w:r>
      <w:r>
        <w:rPr>
          <w:color w:val="231F20"/>
          <w:spacing w:val="-2"/>
          <w:sz w:val="17"/>
        </w:rPr>
        <w:t>.</w:t>
      </w:r>
    </w:p>
    <w:p w14:paraId="234E9234" w14:textId="77777777" w:rsidR="00AE0598" w:rsidRDefault="0069255A">
      <w:pPr>
        <w:spacing w:before="1"/>
        <w:ind w:left="430"/>
        <w:rPr>
          <w:sz w:val="17"/>
        </w:rPr>
      </w:pPr>
      <w:r>
        <w:rPr>
          <w:color w:val="231F20"/>
          <w:sz w:val="17"/>
        </w:rPr>
        <w:t>London:</w:t>
      </w:r>
      <w:r>
        <w:rPr>
          <w:color w:val="231F20"/>
          <w:spacing w:val="3"/>
          <w:sz w:val="17"/>
        </w:rPr>
        <w:t xml:space="preserve"> </w:t>
      </w:r>
      <w:r>
        <w:rPr>
          <w:color w:val="231F20"/>
          <w:spacing w:val="-2"/>
          <w:sz w:val="17"/>
        </w:rPr>
        <w:t>Continuum.</w:t>
      </w:r>
    </w:p>
    <w:p w14:paraId="184B8C0A" w14:textId="77777777" w:rsidR="00AE0598" w:rsidRDefault="0069255A">
      <w:pPr>
        <w:ind w:left="110"/>
        <w:rPr>
          <w:sz w:val="17"/>
        </w:rPr>
      </w:pPr>
      <w:r>
        <w:rPr>
          <w:color w:val="231F20"/>
          <w:sz w:val="17"/>
        </w:rPr>
        <w:t>Laws,</w:t>
      </w:r>
      <w:r>
        <w:rPr>
          <w:color w:val="231F20"/>
          <w:spacing w:val="57"/>
          <w:sz w:val="17"/>
        </w:rPr>
        <w:t xml:space="preserve"> </w:t>
      </w:r>
      <w:r>
        <w:rPr>
          <w:color w:val="231F20"/>
          <w:sz w:val="17"/>
        </w:rPr>
        <w:t>E.</w:t>
      </w:r>
      <w:r>
        <w:rPr>
          <w:color w:val="231F20"/>
          <w:spacing w:val="57"/>
          <w:sz w:val="17"/>
        </w:rPr>
        <w:t xml:space="preserve"> </w:t>
      </w:r>
      <w:r>
        <w:rPr>
          <w:color w:val="231F20"/>
          <w:sz w:val="17"/>
        </w:rPr>
        <w:t>(1991)</w:t>
      </w:r>
      <w:r>
        <w:rPr>
          <w:color w:val="231F20"/>
          <w:spacing w:val="57"/>
          <w:sz w:val="17"/>
        </w:rPr>
        <w:t xml:space="preserve"> </w:t>
      </w:r>
      <w:r>
        <w:rPr>
          <w:i/>
          <w:color w:val="231F20"/>
          <w:sz w:val="17"/>
        </w:rPr>
        <w:t>Tourism</w:t>
      </w:r>
      <w:r>
        <w:rPr>
          <w:i/>
          <w:color w:val="231F20"/>
          <w:spacing w:val="56"/>
          <w:sz w:val="17"/>
        </w:rPr>
        <w:t xml:space="preserve"> </w:t>
      </w:r>
      <w:r>
        <w:rPr>
          <w:i/>
          <w:color w:val="231F20"/>
          <w:sz w:val="17"/>
        </w:rPr>
        <w:t>Marketing:</w:t>
      </w:r>
      <w:r>
        <w:rPr>
          <w:i/>
          <w:color w:val="231F20"/>
          <w:spacing w:val="57"/>
          <w:sz w:val="17"/>
        </w:rPr>
        <w:t xml:space="preserve"> </w:t>
      </w:r>
      <w:r>
        <w:rPr>
          <w:i/>
          <w:color w:val="231F20"/>
          <w:sz w:val="17"/>
        </w:rPr>
        <w:t>Service</w:t>
      </w:r>
      <w:r>
        <w:rPr>
          <w:i/>
          <w:color w:val="231F20"/>
          <w:spacing w:val="57"/>
          <w:sz w:val="17"/>
        </w:rPr>
        <w:t xml:space="preserve"> </w:t>
      </w:r>
      <w:r>
        <w:rPr>
          <w:i/>
          <w:color w:val="231F20"/>
          <w:sz w:val="17"/>
        </w:rPr>
        <w:t>and</w:t>
      </w:r>
      <w:r>
        <w:rPr>
          <w:i/>
          <w:color w:val="231F20"/>
          <w:spacing w:val="56"/>
          <w:sz w:val="17"/>
        </w:rPr>
        <w:t xml:space="preserve"> </w:t>
      </w:r>
      <w:r>
        <w:rPr>
          <w:i/>
          <w:color w:val="231F20"/>
          <w:sz w:val="17"/>
        </w:rPr>
        <w:t>Quality</w:t>
      </w:r>
      <w:r>
        <w:rPr>
          <w:i/>
          <w:color w:val="231F20"/>
          <w:spacing w:val="57"/>
          <w:sz w:val="17"/>
        </w:rPr>
        <w:t xml:space="preserve"> </w:t>
      </w:r>
      <w:r>
        <w:rPr>
          <w:i/>
          <w:color w:val="231F20"/>
          <w:sz w:val="17"/>
        </w:rPr>
        <w:t>Management</w:t>
      </w:r>
      <w:r>
        <w:rPr>
          <w:i/>
          <w:color w:val="231F20"/>
          <w:spacing w:val="57"/>
          <w:sz w:val="17"/>
        </w:rPr>
        <w:t xml:space="preserve"> </w:t>
      </w:r>
      <w:r>
        <w:rPr>
          <w:i/>
          <w:color w:val="231F20"/>
          <w:spacing w:val="-2"/>
          <w:sz w:val="17"/>
        </w:rPr>
        <w:t>Perspectives</w:t>
      </w:r>
      <w:r>
        <w:rPr>
          <w:color w:val="231F20"/>
          <w:spacing w:val="-2"/>
          <w:sz w:val="17"/>
        </w:rPr>
        <w:t>.</w:t>
      </w:r>
    </w:p>
    <w:p w14:paraId="2548297C" w14:textId="77777777" w:rsidR="00AE0598" w:rsidRDefault="0069255A">
      <w:pPr>
        <w:spacing w:before="1"/>
        <w:ind w:left="430"/>
        <w:rPr>
          <w:sz w:val="17"/>
        </w:rPr>
      </w:pPr>
      <w:r>
        <w:rPr>
          <w:color w:val="231F20"/>
          <w:w w:val="95"/>
          <w:sz w:val="17"/>
        </w:rPr>
        <w:t>Cheltenham:</w:t>
      </w:r>
      <w:r>
        <w:rPr>
          <w:color w:val="231F20"/>
          <w:spacing w:val="28"/>
          <w:sz w:val="17"/>
        </w:rPr>
        <w:t xml:space="preserve"> </w:t>
      </w:r>
      <w:r>
        <w:rPr>
          <w:color w:val="231F20"/>
          <w:w w:val="95"/>
          <w:sz w:val="17"/>
        </w:rPr>
        <w:t>Stanley</w:t>
      </w:r>
      <w:r>
        <w:rPr>
          <w:color w:val="231F20"/>
          <w:spacing w:val="28"/>
          <w:sz w:val="17"/>
        </w:rPr>
        <w:t xml:space="preserve"> </w:t>
      </w:r>
      <w:r>
        <w:rPr>
          <w:color w:val="231F20"/>
          <w:w w:val="95"/>
          <w:sz w:val="17"/>
        </w:rPr>
        <w:t>Thornes</w:t>
      </w:r>
      <w:r>
        <w:rPr>
          <w:color w:val="231F20"/>
          <w:spacing w:val="28"/>
          <w:sz w:val="17"/>
        </w:rPr>
        <w:t xml:space="preserve"> </w:t>
      </w:r>
      <w:r>
        <w:rPr>
          <w:color w:val="231F20"/>
          <w:spacing w:val="-2"/>
          <w:w w:val="95"/>
          <w:sz w:val="17"/>
        </w:rPr>
        <w:t>Publishers.</w:t>
      </w:r>
    </w:p>
    <w:p w14:paraId="5C6C4952" w14:textId="77777777" w:rsidR="00AE0598" w:rsidRDefault="0069255A">
      <w:pPr>
        <w:spacing w:before="1"/>
        <w:ind w:left="430" w:right="128" w:hanging="320"/>
        <w:jc w:val="both"/>
        <w:rPr>
          <w:sz w:val="17"/>
        </w:rPr>
      </w:pPr>
      <w:r>
        <w:rPr>
          <w:color w:val="231F20"/>
          <w:w w:val="105"/>
          <w:sz w:val="17"/>
        </w:rPr>
        <w:t xml:space="preserve">Lawson, R., Tidwell, P., Rainbird, S., Loudon, N. and Della Bitta, P. (1996) </w:t>
      </w:r>
      <w:r>
        <w:rPr>
          <w:i/>
          <w:color w:val="231F20"/>
          <w:w w:val="105"/>
          <w:sz w:val="17"/>
        </w:rPr>
        <w:t>Consumer</w:t>
      </w:r>
      <w:r>
        <w:rPr>
          <w:i/>
          <w:color w:val="231F20"/>
          <w:spacing w:val="40"/>
          <w:w w:val="105"/>
          <w:sz w:val="17"/>
        </w:rPr>
        <w:t xml:space="preserve"> </w:t>
      </w:r>
      <w:r>
        <w:rPr>
          <w:i/>
          <w:color w:val="231F20"/>
          <w:w w:val="105"/>
          <w:sz w:val="17"/>
        </w:rPr>
        <w:t>Behaviour in Australia and New Zealand</w:t>
      </w:r>
      <w:r>
        <w:rPr>
          <w:color w:val="231F20"/>
          <w:w w:val="105"/>
          <w:sz w:val="17"/>
        </w:rPr>
        <w:t>. Sydney: McGraw-Hill Book Company.</w:t>
      </w:r>
    </w:p>
    <w:p w14:paraId="4145AF5F" w14:textId="77777777" w:rsidR="00AE0598" w:rsidRDefault="0069255A">
      <w:pPr>
        <w:spacing w:before="1"/>
        <w:ind w:left="430" w:right="128" w:hanging="320"/>
        <w:jc w:val="both"/>
        <w:rPr>
          <w:sz w:val="17"/>
        </w:rPr>
      </w:pPr>
      <w:r>
        <w:rPr>
          <w:color w:val="231F20"/>
          <w:w w:val="105"/>
          <w:sz w:val="17"/>
        </w:rPr>
        <w:t xml:space="preserve">Lawson, R., Thyne, M. and Young, T. (1997) </w:t>
      </w:r>
      <w:r>
        <w:rPr>
          <w:i/>
          <w:color w:val="231F20"/>
          <w:w w:val="105"/>
          <w:sz w:val="17"/>
        </w:rPr>
        <w:t>New Zealand Holidays: A Travel Lifestyles</w:t>
      </w:r>
      <w:r>
        <w:rPr>
          <w:i/>
          <w:color w:val="231F20"/>
          <w:spacing w:val="40"/>
          <w:w w:val="105"/>
          <w:sz w:val="17"/>
        </w:rPr>
        <w:t xml:space="preserve"> </w:t>
      </w:r>
      <w:r>
        <w:rPr>
          <w:i/>
          <w:color w:val="231F20"/>
          <w:w w:val="105"/>
          <w:sz w:val="17"/>
        </w:rPr>
        <w:t>Study</w:t>
      </w:r>
      <w:r>
        <w:rPr>
          <w:color w:val="231F20"/>
          <w:w w:val="105"/>
          <w:sz w:val="17"/>
        </w:rPr>
        <w:t>.</w:t>
      </w:r>
      <w:r>
        <w:rPr>
          <w:color w:val="231F20"/>
          <w:spacing w:val="-1"/>
          <w:w w:val="105"/>
          <w:sz w:val="17"/>
        </w:rPr>
        <w:t xml:space="preserve"> </w:t>
      </w:r>
      <w:r>
        <w:rPr>
          <w:color w:val="231F20"/>
          <w:w w:val="105"/>
          <w:sz w:val="17"/>
        </w:rPr>
        <w:t>Dunedin:</w:t>
      </w:r>
      <w:r>
        <w:rPr>
          <w:color w:val="231F20"/>
          <w:spacing w:val="-1"/>
          <w:w w:val="105"/>
          <w:sz w:val="17"/>
        </w:rPr>
        <w:t xml:space="preserve"> </w:t>
      </w:r>
      <w:r>
        <w:rPr>
          <w:color w:val="231F20"/>
          <w:w w:val="105"/>
          <w:sz w:val="17"/>
        </w:rPr>
        <w:t>The</w:t>
      </w:r>
      <w:r>
        <w:rPr>
          <w:color w:val="231F20"/>
          <w:spacing w:val="-1"/>
          <w:w w:val="105"/>
          <w:sz w:val="17"/>
        </w:rPr>
        <w:t xml:space="preserve"> </w:t>
      </w:r>
      <w:r>
        <w:rPr>
          <w:color w:val="231F20"/>
          <w:w w:val="105"/>
          <w:sz w:val="17"/>
        </w:rPr>
        <w:t>Marketing</w:t>
      </w:r>
      <w:r>
        <w:rPr>
          <w:color w:val="231F20"/>
          <w:spacing w:val="-1"/>
          <w:w w:val="105"/>
          <w:sz w:val="17"/>
        </w:rPr>
        <w:t xml:space="preserve"> </w:t>
      </w:r>
      <w:r>
        <w:rPr>
          <w:color w:val="231F20"/>
          <w:w w:val="105"/>
          <w:sz w:val="17"/>
        </w:rPr>
        <w:t>Department,</w:t>
      </w:r>
      <w:r>
        <w:rPr>
          <w:color w:val="231F20"/>
          <w:spacing w:val="-1"/>
          <w:w w:val="105"/>
          <w:sz w:val="17"/>
        </w:rPr>
        <w:t xml:space="preserve"> </w:t>
      </w:r>
      <w:r>
        <w:rPr>
          <w:color w:val="231F20"/>
          <w:w w:val="105"/>
          <w:sz w:val="17"/>
        </w:rPr>
        <w:t>University</w:t>
      </w:r>
      <w:r>
        <w:rPr>
          <w:color w:val="231F20"/>
          <w:spacing w:val="-1"/>
          <w:w w:val="105"/>
          <w:sz w:val="17"/>
        </w:rPr>
        <w:t xml:space="preserve"> </w:t>
      </w:r>
      <w:r>
        <w:rPr>
          <w:color w:val="231F20"/>
          <w:w w:val="105"/>
          <w:sz w:val="17"/>
        </w:rPr>
        <w:t>of</w:t>
      </w:r>
      <w:r>
        <w:rPr>
          <w:color w:val="231F20"/>
          <w:spacing w:val="-1"/>
          <w:w w:val="105"/>
          <w:sz w:val="17"/>
        </w:rPr>
        <w:t xml:space="preserve"> </w:t>
      </w:r>
      <w:r>
        <w:rPr>
          <w:color w:val="231F20"/>
          <w:w w:val="105"/>
          <w:sz w:val="17"/>
        </w:rPr>
        <w:t>Otago.</w:t>
      </w:r>
    </w:p>
    <w:p w14:paraId="2965AE86" w14:textId="77777777" w:rsidR="00AE0598" w:rsidRDefault="0069255A">
      <w:pPr>
        <w:spacing w:before="2"/>
        <w:ind w:left="430" w:right="128" w:hanging="320"/>
        <w:jc w:val="both"/>
        <w:rPr>
          <w:sz w:val="17"/>
        </w:rPr>
      </w:pPr>
      <w:r>
        <w:rPr>
          <w:color w:val="231F20"/>
          <w:w w:val="105"/>
          <w:sz w:val="17"/>
        </w:rPr>
        <w:t>Lea, T., Young, M., Markh</w:t>
      </w:r>
      <w:r>
        <w:rPr>
          <w:color w:val="231F20"/>
          <w:w w:val="105"/>
          <w:sz w:val="17"/>
        </w:rPr>
        <w:t>am, F., Holmes, C. and Doran, B. (2012) Being moved (on) in</w:t>
      </w:r>
      <w:r>
        <w:rPr>
          <w:color w:val="231F20"/>
          <w:spacing w:val="40"/>
          <w:w w:val="105"/>
          <w:sz w:val="17"/>
        </w:rPr>
        <w:t xml:space="preserve"> </w:t>
      </w:r>
      <w:r>
        <w:rPr>
          <w:color w:val="231F20"/>
          <w:sz w:val="17"/>
        </w:rPr>
        <w:t>Darwin</w:t>
      </w:r>
      <w:r>
        <w:rPr>
          <w:color w:val="231F20"/>
          <w:spacing w:val="-1"/>
          <w:sz w:val="17"/>
        </w:rPr>
        <w:t xml:space="preserve"> </w:t>
      </w:r>
      <w:r>
        <w:rPr>
          <w:color w:val="231F20"/>
          <w:sz w:val="17"/>
        </w:rPr>
        <w:t>and Alice Springs: Walking Australia’s frontier</w:t>
      </w:r>
      <w:r>
        <w:rPr>
          <w:color w:val="231F20"/>
          <w:spacing w:val="-1"/>
          <w:sz w:val="17"/>
        </w:rPr>
        <w:t xml:space="preserve"> </w:t>
      </w:r>
      <w:r>
        <w:rPr>
          <w:color w:val="231F20"/>
          <w:sz w:val="17"/>
        </w:rPr>
        <w:t xml:space="preserve">towns. </w:t>
      </w:r>
      <w:r>
        <w:rPr>
          <w:i/>
          <w:color w:val="231F20"/>
          <w:sz w:val="17"/>
        </w:rPr>
        <w:t>Radical</w:t>
      </w:r>
      <w:r>
        <w:rPr>
          <w:i/>
          <w:color w:val="231F20"/>
          <w:spacing w:val="-1"/>
          <w:sz w:val="17"/>
        </w:rPr>
        <w:t xml:space="preserve"> </w:t>
      </w:r>
      <w:r>
        <w:rPr>
          <w:i/>
          <w:color w:val="231F20"/>
          <w:sz w:val="17"/>
        </w:rPr>
        <w:t>History</w:t>
      </w:r>
      <w:r>
        <w:rPr>
          <w:i/>
          <w:color w:val="231F20"/>
          <w:spacing w:val="-1"/>
          <w:sz w:val="17"/>
        </w:rPr>
        <w:t xml:space="preserve"> </w:t>
      </w:r>
      <w:r>
        <w:rPr>
          <w:i/>
          <w:color w:val="231F20"/>
          <w:sz w:val="17"/>
        </w:rPr>
        <w:t>Review</w:t>
      </w:r>
      <w:r>
        <w:rPr>
          <w:i/>
          <w:color w:val="231F20"/>
          <w:spacing w:val="40"/>
          <w:w w:val="105"/>
          <w:sz w:val="17"/>
        </w:rPr>
        <w:t xml:space="preserve"> </w:t>
      </w:r>
      <w:r>
        <w:rPr>
          <w:color w:val="231F20"/>
          <w:w w:val="105"/>
          <w:sz w:val="17"/>
        </w:rPr>
        <w:t>114, 139–163.</w:t>
      </w:r>
    </w:p>
    <w:p w14:paraId="3CE50A72" w14:textId="77777777" w:rsidR="00AE0598" w:rsidRDefault="0069255A">
      <w:pPr>
        <w:spacing w:before="2"/>
        <w:ind w:left="110"/>
        <w:jc w:val="both"/>
        <w:rPr>
          <w:sz w:val="17"/>
        </w:rPr>
      </w:pPr>
      <w:r>
        <w:rPr>
          <w:color w:val="231F20"/>
          <w:w w:val="95"/>
          <w:sz w:val="17"/>
        </w:rPr>
        <w:t>Lealand,</w:t>
      </w:r>
      <w:r>
        <w:rPr>
          <w:color w:val="231F20"/>
          <w:spacing w:val="25"/>
          <w:sz w:val="17"/>
        </w:rPr>
        <w:t xml:space="preserve"> </w:t>
      </w:r>
      <w:r>
        <w:rPr>
          <w:color w:val="231F20"/>
          <w:w w:val="95"/>
          <w:sz w:val="17"/>
        </w:rPr>
        <w:t>G.</w:t>
      </w:r>
      <w:r>
        <w:rPr>
          <w:color w:val="231F20"/>
          <w:spacing w:val="26"/>
          <w:sz w:val="17"/>
        </w:rPr>
        <w:t xml:space="preserve"> </w:t>
      </w:r>
      <w:r>
        <w:rPr>
          <w:color w:val="231F20"/>
          <w:w w:val="95"/>
          <w:sz w:val="17"/>
        </w:rPr>
        <w:t>(1994)</w:t>
      </w:r>
      <w:r>
        <w:rPr>
          <w:color w:val="231F20"/>
          <w:spacing w:val="25"/>
          <w:sz w:val="17"/>
        </w:rPr>
        <w:t xml:space="preserve"> </w:t>
      </w:r>
      <w:r>
        <w:rPr>
          <w:color w:val="231F20"/>
          <w:w w:val="95"/>
          <w:sz w:val="17"/>
        </w:rPr>
        <w:t>American</w:t>
      </w:r>
      <w:r>
        <w:rPr>
          <w:color w:val="231F20"/>
          <w:spacing w:val="26"/>
          <w:sz w:val="17"/>
        </w:rPr>
        <w:t xml:space="preserve"> </w:t>
      </w:r>
      <w:r>
        <w:rPr>
          <w:color w:val="231F20"/>
          <w:w w:val="95"/>
          <w:sz w:val="17"/>
        </w:rPr>
        <w:t>popular</w:t>
      </w:r>
      <w:r>
        <w:rPr>
          <w:color w:val="231F20"/>
          <w:spacing w:val="26"/>
          <w:sz w:val="17"/>
        </w:rPr>
        <w:t xml:space="preserve"> </w:t>
      </w:r>
      <w:r>
        <w:rPr>
          <w:color w:val="231F20"/>
          <w:w w:val="95"/>
          <w:sz w:val="17"/>
        </w:rPr>
        <w:t>culture</w:t>
      </w:r>
      <w:r>
        <w:rPr>
          <w:color w:val="231F20"/>
          <w:spacing w:val="25"/>
          <w:sz w:val="17"/>
        </w:rPr>
        <w:t xml:space="preserve"> </w:t>
      </w:r>
      <w:r>
        <w:rPr>
          <w:color w:val="231F20"/>
          <w:w w:val="95"/>
          <w:sz w:val="17"/>
        </w:rPr>
        <w:t>and</w:t>
      </w:r>
      <w:r>
        <w:rPr>
          <w:color w:val="231F20"/>
          <w:spacing w:val="26"/>
          <w:sz w:val="17"/>
        </w:rPr>
        <w:t xml:space="preserve"> </w:t>
      </w:r>
      <w:r>
        <w:rPr>
          <w:color w:val="231F20"/>
          <w:w w:val="95"/>
          <w:sz w:val="17"/>
        </w:rPr>
        <w:t>emerging</w:t>
      </w:r>
      <w:r>
        <w:rPr>
          <w:color w:val="231F20"/>
          <w:spacing w:val="25"/>
          <w:sz w:val="17"/>
        </w:rPr>
        <w:t xml:space="preserve"> </w:t>
      </w:r>
      <w:r>
        <w:rPr>
          <w:color w:val="231F20"/>
          <w:w w:val="95"/>
          <w:sz w:val="17"/>
        </w:rPr>
        <w:t>nationalism</w:t>
      </w:r>
      <w:r>
        <w:rPr>
          <w:color w:val="231F20"/>
          <w:spacing w:val="26"/>
          <w:sz w:val="17"/>
        </w:rPr>
        <w:t xml:space="preserve"> </w:t>
      </w:r>
      <w:r>
        <w:rPr>
          <w:color w:val="231F20"/>
          <w:w w:val="95"/>
          <w:sz w:val="17"/>
        </w:rPr>
        <w:t>in</w:t>
      </w:r>
      <w:r>
        <w:rPr>
          <w:color w:val="231F20"/>
          <w:spacing w:val="26"/>
          <w:sz w:val="17"/>
        </w:rPr>
        <w:t xml:space="preserve"> </w:t>
      </w:r>
      <w:r>
        <w:rPr>
          <w:color w:val="231F20"/>
          <w:w w:val="95"/>
          <w:sz w:val="17"/>
        </w:rPr>
        <w:t>New</w:t>
      </w:r>
      <w:r>
        <w:rPr>
          <w:color w:val="231F20"/>
          <w:spacing w:val="25"/>
          <w:sz w:val="17"/>
        </w:rPr>
        <w:t xml:space="preserve"> </w:t>
      </w:r>
      <w:r>
        <w:rPr>
          <w:color w:val="231F20"/>
          <w:spacing w:val="-2"/>
          <w:w w:val="95"/>
          <w:sz w:val="17"/>
        </w:rPr>
        <w:t>Zealand.</w:t>
      </w:r>
    </w:p>
    <w:p w14:paraId="39CE80FF" w14:textId="77777777" w:rsidR="00AE0598" w:rsidRDefault="0069255A">
      <w:pPr>
        <w:ind w:left="430"/>
        <w:jc w:val="both"/>
        <w:rPr>
          <w:sz w:val="17"/>
        </w:rPr>
      </w:pPr>
      <w:r>
        <w:rPr>
          <w:i/>
          <w:color w:val="231F20"/>
          <w:sz w:val="17"/>
        </w:rPr>
        <w:t>The</w:t>
      </w:r>
      <w:r>
        <w:rPr>
          <w:i/>
          <w:color w:val="231F20"/>
          <w:spacing w:val="-1"/>
          <w:sz w:val="17"/>
        </w:rPr>
        <w:t xml:space="preserve"> </w:t>
      </w:r>
      <w:r>
        <w:rPr>
          <w:i/>
          <w:color w:val="231F20"/>
          <w:sz w:val="17"/>
        </w:rPr>
        <w:t xml:space="preserve">Phi Kappa Phi Journal </w:t>
      </w:r>
      <w:r>
        <w:rPr>
          <w:color w:val="231F20"/>
          <w:sz w:val="17"/>
        </w:rPr>
        <w:t xml:space="preserve">74 (4), </w:t>
      </w:r>
      <w:r>
        <w:rPr>
          <w:color w:val="231F20"/>
          <w:spacing w:val="-2"/>
          <w:sz w:val="17"/>
        </w:rPr>
        <w:t>34–37.</w:t>
      </w:r>
    </w:p>
    <w:p w14:paraId="42377859" w14:textId="77777777" w:rsidR="00AE0598" w:rsidRDefault="0069255A">
      <w:pPr>
        <w:spacing w:before="1"/>
        <w:ind w:left="430" w:right="127" w:hanging="320"/>
        <w:jc w:val="both"/>
        <w:rPr>
          <w:sz w:val="17"/>
        </w:rPr>
      </w:pPr>
      <w:r>
        <w:rPr>
          <w:color w:val="231F20"/>
          <w:w w:val="105"/>
          <w:sz w:val="17"/>
        </w:rPr>
        <w:t>Lee, C., Bergin-Seers, S., Galloway, G., O’Mahony, B. and McMurray, A. (2008)</w:t>
      </w:r>
      <w:r>
        <w:rPr>
          <w:color w:val="231F20"/>
          <w:spacing w:val="40"/>
          <w:w w:val="105"/>
          <w:sz w:val="17"/>
        </w:rPr>
        <w:t xml:space="preserve"> </w:t>
      </w:r>
      <w:r>
        <w:rPr>
          <w:color w:val="231F20"/>
          <w:w w:val="105"/>
          <w:sz w:val="17"/>
        </w:rPr>
        <w:t>Seasonality in the tourism industry: Impacts and strategies. CRC for Sustainable</w:t>
      </w:r>
      <w:r>
        <w:rPr>
          <w:color w:val="231F20"/>
          <w:spacing w:val="40"/>
          <w:w w:val="105"/>
          <w:sz w:val="17"/>
        </w:rPr>
        <w:t xml:space="preserve"> </w:t>
      </w:r>
      <w:r>
        <w:rPr>
          <w:color w:val="231F20"/>
          <w:w w:val="105"/>
          <w:sz w:val="17"/>
        </w:rPr>
        <w:t>Tourism Pty Ltd.</w:t>
      </w:r>
    </w:p>
    <w:p w14:paraId="6510D3A2" w14:textId="77777777" w:rsidR="00AE0598" w:rsidRDefault="0069255A">
      <w:pPr>
        <w:spacing w:before="2"/>
        <w:ind w:left="430" w:right="128" w:hanging="320"/>
        <w:jc w:val="both"/>
        <w:rPr>
          <w:sz w:val="17"/>
        </w:rPr>
      </w:pPr>
      <w:r>
        <w:rPr>
          <w:color w:val="231F20"/>
          <w:sz w:val="17"/>
        </w:rPr>
        <w:t xml:space="preserve">Lee, </w:t>
      </w:r>
      <w:r>
        <w:rPr>
          <w:color w:val="231F20"/>
          <w:w w:val="115"/>
          <w:sz w:val="17"/>
        </w:rPr>
        <w:t xml:space="preserve">J.J., </w:t>
      </w:r>
      <w:r>
        <w:rPr>
          <w:color w:val="231F20"/>
          <w:sz w:val="17"/>
        </w:rPr>
        <w:t xml:space="preserve">Kyle, </w:t>
      </w:r>
      <w:r>
        <w:rPr>
          <w:color w:val="231F20"/>
          <w:w w:val="115"/>
          <w:sz w:val="17"/>
        </w:rPr>
        <w:t xml:space="preserve">G. </w:t>
      </w:r>
      <w:r>
        <w:rPr>
          <w:color w:val="231F20"/>
          <w:sz w:val="17"/>
        </w:rPr>
        <w:t xml:space="preserve">and Scott, </w:t>
      </w:r>
      <w:r>
        <w:rPr>
          <w:color w:val="231F20"/>
          <w:w w:val="115"/>
          <w:sz w:val="17"/>
        </w:rPr>
        <w:t xml:space="preserve">D. </w:t>
      </w:r>
      <w:r>
        <w:rPr>
          <w:color w:val="231F20"/>
          <w:sz w:val="17"/>
        </w:rPr>
        <w:t>(2012) Me</w:t>
      </w:r>
      <w:r>
        <w:rPr>
          <w:color w:val="231F20"/>
          <w:sz w:val="17"/>
        </w:rPr>
        <w:t>diating effect of place attachment on the</w:t>
      </w:r>
      <w:r>
        <w:rPr>
          <w:color w:val="231F20"/>
          <w:spacing w:val="40"/>
          <w:sz w:val="17"/>
        </w:rPr>
        <w:t xml:space="preserve"> </w:t>
      </w:r>
      <w:r>
        <w:rPr>
          <w:color w:val="231F20"/>
          <w:w w:val="95"/>
          <w:sz w:val="17"/>
        </w:rPr>
        <w:t>relationship between festival satisfaction and loyalty to the festival hosting destination.</w:t>
      </w:r>
      <w:r>
        <w:rPr>
          <w:color w:val="231F20"/>
          <w:spacing w:val="40"/>
          <w:sz w:val="17"/>
        </w:rPr>
        <w:t xml:space="preserve"> </w:t>
      </w:r>
      <w:r>
        <w:rPr>
          <w:i/>
          <w:color w:val="231F20"/>
          <w:sz w:val="17"/>
        </w:rPr>
        <w:t xml:space="preserve">Journal of Travel Research </w:t>
      </w:r>
      <w:r>
        <w:rPr>
          <w:color w:val="231F20"/>
          <w:sz w:val="17"/>
        </w:rPr>
        <w:t>51 (6), 754–767.</w:t>
      </w:r>
    </w:p>
    <w:p w14:paraId="5193DDDE" w14:textId="77777777" w:rsidR="00AE0598" w:rsidRDefault="0069255A">
      <w:pPr>
        <w:spacing w:before="2"/>
        <w:ind w:left="430" w:right="128" w:hanging="320"/>
        <w:jc w:val="both"/>
        <w:rPr>
          <w:sz w:val="17"/>
        </w:rPr>
      </w:pPr>
      <w:r>
        <w:rPr>
          <w:color w:val="231F20"/>
          <w:sz w:val="17"/>
        </w:rPr>
        <w:t xml:space="preserve">Lefebvre, H. (1991) </w:t>
      </w:r>
      <w:r>
        <w:rPr>
          <w:i/>
          <w:color w:val="231F20"/>
          <w:sz w:val="17"/>
        </w:rPr>
        <w:t xml:space="preserve">The Production of Space </w:t>
      </w:r>
      <w:r>
        <w:rPr>
          <w:color w:val="231F20"/>
          <w:sz w:val="17"/>
        </w:rPr>
        <w:t>(D. Nicholson-Smith, trans.). Oxfo</w:t>
      </w:r>
      <w:r>
        <w:rPr>
          <w:color w:val="231F20"/>
          <w:sz w:val="17"/>
        </w:rPr>
        <w:t>rd:</w:t>
      </w:r>
      <w:r>
        <w:rPr>
          <w:color w:val="231F20"/>
          <w:spacing w:val="40"/>
          <w:sz w:val="17"/>
        </w:rPr>
        <w:t xml:space="preserve"> </w:t>
      </w:r>
      <w:r>
        <w:rPr>
          <w:color w:val="231F20"/>
          <w:sz w:val="17"/>
        </w:rPr>
        <w:t>Blackwell. (Originally published 1974.)</w:t>
      </w:r>
    </w:p>
    <w:p w14:paraId="30B37CB2" w14:textId="77777777" w:rsidR="00AE0598" w:rsidRDefault="0069255A">
      <w:pPr>
        <w:spacing w:before="2"/>
        <w:ind w:left="430" w:right="128" w:hanging="320"/>
        <w:jc w:val="both"/>
        <w:rPr>
          <w:sz w:val="17"/>
        </w:rPr>
      </w:pPr>
      <w:r>
        <w:rPr>
          <w:color w:val="231F20"/>
          <w:sz w:val="17"/>
        </w:rPr>
        <w:t>Leiper,</w:t>
      </w:r>
      <w:r>
        <w:rPr>
          <w:color w:val="231F20"/>
          <w:spacing w:val="-4"/>
          <w:sz w:val="17"/>
        </w:rPr>
        <w:t xml:space="preserve"> </w:t>
      </w:r>
      <w:r>
        <w:rPr>
          <w:color w:val="231F20"/>
          <w:sz w:val="17"/>
        </w:rPr>
        <w:t>N.</w:t>
      </w:r>
      <w:r>
        <w:rPr>
          <w:color w:val="231F20"/>
          <w:spacing w:val="-4"/>
          <w:sz w:val="17"/>
        </w:rPr>
        <w:t xml:space="preserve"> </w:t>
      </w:r>
      <w:r>
        <w:rPr>
          <w:color w:val="231F20"/>
          <w:sz w:val="17"/>
        </w:rPr>
        <w:t>(1979)</w:t>
      </w:r>
      <w:r>
        <w:rPr>
          <w:color w:val="231F20"/>
          <w:spacing w:val="-4"/>
          <w:sz w:val="17"/>
        </w:rPr>
        <w:t xml:space="preserve"> </w:t>
      </w:r>
      <w:r>
        <w:rPr>
          <w:color w:val="231F20"/>
          <w:sz w:val="17"/>
        </w:rPr>
        <w:t>The</w:t>
      </w:r>
      <w:r>
        <w:rPr>
          <w:color w:val="231F20"/>
          <w:spacing w:val="-4"/>
          <w:sz w:val="17"/>
        </w:rPr>
        <w:t xml:space="preserve"> </w:t>
      </w:r>
      <w:r>
        <w:rPr>
          <w:color w:val="231F20"/>
          <w:sz w:val="17"/>
        </w:rPr>
        <w:t>framework</w:t>
      </w:r>
      <w:r>
        <w:rPr>
          <w:color w:val="231F20"/>
          <w:spacing w:val="-4"/>
          <w:sz w:val="17"/>
        </w:rPr>
        <w:t xml:space="preserve"> </w:t>
      </w:r>
      <w:r>
        <w:rPr>
          <w:color w:val="231F20"/>
          <w:sz w:val="17"/>
        </w:rPr>
        <w:t>of</w:t>
      </w:r>
      <w:r>
        <w:rPr>
          <w:color w:val="231F20"/>
          <w:spacing w:val="-4"/>
          <w:sz w:val="17"/>
        </w:rPr>
        <w:t xml:space="preserve"> </w:t>
      </w:r>
      <w:r>
        <w:rPr>
          <w:color w:val="231F20"/>
          <w:sz w:val="17"/>
        </w:rPr>
        <w:t>tourism:</w:t>
      </w:r>
      <w:r>
        <w:rPr>
          <w:color w:val="231F20"/>
          <w:spacing w:val="-4"/>
          <w:sz w:val="17"/>
        </w:rPr>
        <w:t xml:space="preserve"> </w:t>
      </w:r>
      <w:r>
        <w:rPr>
          <w:color w:val="231F20"/>
          <w:sz w:val="17"/>
        </w:rPr>
        <w:t>Towards</w:t>
      </w:r>
      <w:r>
        <w:rPr>
          <w:color w:val="231F20"/>
          <w:spacing w:val="-4"/>
          <w:sz w:val="17"/>
        </w:rPr>
        <w:t xml:space="preserve"> </w:t>
      </w:r>
      <w:r>
        <w:rPr>
          <w:color w:val="231F20"/>
          <w:sz w:val="17"/>
        </w:rPr>
        <w:t>a</w:t>
      </w:r>
      <w:r>
        <w:rPr>
          <w:color w:val="231F20"/>
          <w:spacing w:val="-4"/>
          <w:sz w:val="17"/>
        </w:rPr>
        <w:t xml:space="preserve"> </w:t>
      </w:r>
      <w:r>
        <w:rPr>
          <w:color w:val="231F20"/>
          <w:sz w:val="17"/>
        </w:rPr>
        <w:t>definition</w:t>
      </w:r>
      <w:r>
        <w:rPr>
          <w:color w:val="231F20"/>
          <w:spacing w:val="-4"/>
          <w:sz w:val="17"/>
        </w:rPr>
        <w:t xml:space="preserve"> </w:t>
      </w:r>
      <w:r>
        <w:rPr>
          <w:color w:val="231F20"/>
          <w:sz w:val="17"/>
        </w:rPr>
        <w:t>of</w:t>
      </w:r>
      <w:r>
        <w:rPr>
          <w:color w:val="231F20"/>
          <w:spacing w:val="-4"/>
          <w:sz w:val="17"/>
        </w:rPr>
        <w:t xml:space="preserve"> </w:t>
      </w:r>
      <w:r>
        <w:rPr>
          <w:color w:val="231F20"/>
          <w:sz w:val="17"/>
        </w:rPr>
        <w:t>tourism,</w:t>
      </w:r>
      <w:r>
        <w:rPr>
          <w:color w:val="231F20"/>
          <w:spacing w:val="-4"/>
          <w:sz w:val="17"/>
        </w:rPr>
        <w:t xml:space="preserve"> </w:t>
      </w:r>
      <w:r>
        <w:rPr>
          <w:color w:val="231F20"/>
          <w:sz w:val="17"/>
        </w:rPr>
        <w:t>tourist,</w:t>
      </w:r>
      <w:r>
        <w:rPr>
          <w:color w:val="231F20"/>
          <w:spacing w:val="-4"/>
          <w:sz w:val="17"/>
        </w:rPr>
        <w:t xml:space="preserve"> </w:t>
      </w:r>
      <w:r>
        <w:rPr>
          <w:color w:val="231F20"/>
          <w:sz w:val="17"/>
        </w:rPr>
        <w:t>and</w:t>
      </w:r>
      <w:r>
        <w:rPr>
          <w:color w:val="231F20"/>
          <w:spacing w:val="40"/>
          <w:sz w:val="17"/>
        </w:rPr>
        <w:t xml:space="preserve"> </w:t>
      </w:r>
      <w:r>
        <w:rPr>
          <w:color w:val="231F20"/>
          <w:sz w:val="17"/>
        </w:rPr>
        <w:t xml:space="preserve">the tourist industry. </w:t>
      </w:r>
      <w:r>
        <w:rPr>
          <w:i/>
          <w:color w:val="231F20"/>
          <w:sz w:val="17"/>
        </w:rPr>
        <w:t xml:space="preserve">Annals of Tourism Research </w:t>
      </w:r>
      <w:r>
        <w:rPr>
          <w:color w:val="231F20"/>
          <w:sz w:val="17"/>
        </w:rPr>
        <w:t>6 (4), 390–407.</w:t>
      </w:r>
    </w:p>
    <w:p w14:paraId="70C3737B" w14:textId="77777777" w:rsidR="00AE0598" w:rsidRDefault="0069255A">
      <w:pPr>
        <w:spacing w:before="1"/>
        <w:ind w:left="430" w:right="127" w:hanging="320"/>
        <w:jc w:val="both"/>
        <w:rPr>
          <w:sz w:val="17"/>
        </w:rPr>
      </w:pPr>
      <w:r>
        <w:rPr>
          <w:color w:val="231F20"/>
          <w:sz w:val="17"/>
        </w:rPr>
        <w:t>Leiper, N. (1981) Towards a cohesive curriculum for tourism: The case for a distinct</w:t>
      </w:r>
      <w:r>
        <w:rPr>
          <w:color w:val="231F20"/>
          <w:spacing w:val="40"/>
          <w:sz w:val="17"/>
        </w:rPr>
        <w:t xml:space="preserve"> </w:t>
      </w:r>
      <w:r>
        <w:rPr>
          <w:color w:val="231F20"/>
          <w:sz w:val="17"/>
        </w:rPr>
        <w:t xml:space="preserve">discipline. </w:t>
      </w:r>
      <w:r>
        <w:rPr>
          <w:i/>
          <w:color w:val="231F20"/>
          <w:sz w:val="17"/>
        </w:rPr>
        <w:t xml:space="preserve">Annals of Tourism Research </w:t>
      </w:r>
      <w:r>
        <w:rPr>
          <w:color w:val="231F20"/>
          <w:sz w:val="17"/>
        </w:rPr>
        <w:t>8 (1), 69–74.</w:t>
      </w:r>
    </w:p>
    <w:p w14:paraId="15322614" w14:textId="77777777" w:rsidR="00AE0598" w:rsidRDefault="0069255A">
      <w:pPr>
        <w:spacing w:before="2"/>
        <w:ind w:left="110"/>
        <w:jc w:val="both"/>
        <w:rPr>
          <w:sz w:val="17"/>
        </w:rPr>
      </w:pPr>
      <w:r>
        <w:rPr>
          <w:color w:val="231F20"/>
          <w:w w:val="95"/>
          <w:sz w:val="17"/>
        </w:rPr>
        <w:t>Leiper,</w:t>
      </w:r>
      <w:r>
        <w:rPr>
          <w:color w:val="231F20"/>
          <w:spacing w:val="17"/>
          <w:sz w:val="17"/>
        </w:rPr>
        <w:t xml:space="preserve"> </w:t>
      </w:r>
      <w:r>
        <w:rPr>
          <w:color w:val="231F20"/>
          <w:w w:val="95"/>
          <w:sz w:val="17"/>
        </w:rPr>
        <w:t>N.</w:t>
      </w:r>
      <w:r>
        <w:rPr>
          <w:color w:val="231F20"/>
          <w:spacing w:val="18"/>
          <w:sz w:val="17"/>
        </w:rPr>
        <w:t xml:space="preserve"> </w:t>
      </w:r>
      <w:r>
        <w:rPr>
          <w:color w:val="231F20"/>
          <w:w w:val="95"/>
          <w:sz w:val="17"/>
        </w:rPr>
        <w:t>(1990)</w:t>
      </w:r>
      <w:r>
        <w:rPr>
          <w:color w:val="231F20"/>
          <w:spacing w:val="17"/>
          <w:sz w:val="17"/>
        </w:rPr>
        <w:t xml:space="preserve"> </w:t>
      </w:r>
      <w:r>
        <w:rPr>
          <w:color w:val="231F20"/>
          <w:w w:val="95"/>
          <w:sz w:val="17"/>
        </w:rPr>
        <w:t>Tourist</w:t>
      </w:r>
      <w:r>
        <w:rPr>
          <w:color w:val="231F20"/>
          <w:spacing w:val="18"/>
          <w:sz w:val="17"/>
        </w:rPr>
        <w:t xml:space="preserve"> </w:t>
      </w:r>
      <w:r>
        <w:rPr>
          <w:color w:val="231F20"/>
          <w:w w:val="95"/>
          <w:sz w:val="17"/>
        </w:rPr>
        <w:t>attraction</w:t>
      </w:r>
      <w:r>
        <w:rPr>
          <w:color w:val="231F20"/>
          <w:spacing w:val="17"/>
          <w:sz w:val="17"/>
        </w:rPr>
        <w:t xml:space="preserve"> </w:t>
      </w:r>
      <w:r>
        <w:rPr>
          <w:color w:val="231F20"/>
          <w:w w:val="95"/>
          <w:sz w:val="17"/>
        </w:rPr>
        <w:t>systems.</w:t>
      </w:r>
      <w:r>
        <w:rPr>
          <w:color w:val="231F20"/>
          <w:spacing w:val="18"/>
          <w:sz w:val="17"/>
        </w:rPr>
        <w:t xml:space="preserve"> </w:t>
      </w:r>
      <w:r>
        <w:rPr>
          <w:i/>
          <w:color w:val="231F20"/>
          <w:w w:val="95"/>
          <w:sz w:val="17"/>
        </w:rPr>
        <w:t>Annals</w:t>
      </w:r>
      <w:r>
        <w:rPr>
          <w:i/>
          <w:color w:val="231F20"/>
          <w:spacing w:val="17"/>
          <w:sz w:val="17"/>
        </w:rPr>
        <w:t xml:space="preserve"> </w:t>
      </w:r>
      <w:r>
        <w:rPr>
          <w:i/>
          <w:color w:val="231F20"/>
          <w:w w:val="95"/>
          <w:sz w:val="17"/>
        </w:rPr>
        <w:t>of</w:t>
      </w:r>
      <w:r>
        <w:rPr>
          <w:i/>
          <w:color w:val="231F20"/>
          <w:spacing w:val="18"/>
          <w:sz w:val="17"/>
        </w:rPr>
        <w:t xml:space="preserve"> </w:t>
      </w:r>
      <w:r>
        <w:rPr>
          <w:i/>
          <w:color w:val="231F20"/>
          <w:w w:val="95"/>
          <w:sz w:val="17"/>
        </w:rPr>
        <w:t>Tourism</w:t>
      </w:r>
      <w:r>
        <w:rPr>
          <w:i/>
          <w:color w:val="231F20"/>
          <w:spacing w:val="17"/>
          <w:sz w:val="17"/>
        </w:rPr>
        <w:t xml:space="preserve"> </w:t>
      </w:r>
      <w:r>
        <w:rPr>
          <w:i/>
          <w:color w:val="231F20"/>
          <w:w w:val="95"/>
          <w:sz w:val="17"/>
        </w:rPr>
        <w:t>Research</w:t>
      </w:r>
      <w:r>
        <w:rPr>
          <w:i/>
          <w:color w:val="231F20"/>
          <w:spacing w:val="18"/>
          <w:sz w:val="17"/>
        </w:rPr>
        <w:t xml:space="preserve"> </w:t>
      </w:r>
      <w:r>
        <w:rPr>
          <w:color w:val="231F20"/>
          <w:w w:val="95"/>
          <w:sz w:val="17"/>
        </w:rPr>
        <w:t>17</w:t>
      </w:r>
      <w:r>
        <w:rPr>
          <w:color w:val="231F20"/>
          <w:spacing w:val="18"/>
          <w:sz w:val="17"/>
        </w:rPr>
        <w:t xml:space="preserve"> </w:t>
      </w:r>
      <w:r>
        <w:rPr>
          <w:color w:val="231F20"/>
          <w:w w:val="95"/>
          <w:sz w:val="17"/>
        </w:rPr>
        <w:t>(3),</w:t>
      </w:r>
      <w:r>
        <w:rPr>
          <w:color w:val="231F20"/>
          <w:spacing w:val="17"/>
          <w:sz w:val="17"/>
        </w:rPr>
        <w:t xml:space="preserve"> </w:t>
      </w:r>
      <w:r>
        <w:rPr>
          <w:color w:val="231F20"/>
          <w:spacing w:val="-2"/>
          <w:w w:val="95"/>
          <w:sz w:val="17"/>
        </w:rPr>
        <w:t>367–384.</w:t>
      </w:r>
    </w:p>
    <w:p w14:paraId="3FEB926D" w14:textId="77777777" w:rsidR="00AE0598" w:rsidRDefault="0069255A">
      <w:pPr>
        <w:ind w:left="110" w:right="130"/>
        <w:jc w:val="both"/>
        <w:rPr>
          <w:sz w:val="17"/>
        </w:rPr>
      </w:pPr>
      <w:r>
        <w:rPr>
          <w:color w:val="231F20"/>
          <w:sz w:val="17"/>
        </w:rPr>
        <w:t>Leisure Time (2002) Norway Cup. Publication 44. Bekkelagshogda 1109 Oslo, Norway.</w:t>
      </w:r>
      <w:r>
        <w:rPr>
          <w:color w:val="231F20"/>
          <w:spacing w:val="40"/>
          <w:sz w:val="17"/>
        </w:rPr>
        <w:t xml:space="preserve"> </w:t>
      </w:r>
      <w:r>
        <w:rPr>
          <w:color w:val="231F20"/>
          <w:w w:val="95"/>
          <w:sz w:val="17"/>
        </w:rPr>
        <w:t>Lenskyj,</w:t>
      </w:r>
      <w:r>
        <w:rPr>
          <w:color w:val="231F20"/>
          <w:spacing w:val="25"/>
          <w:sz w:val="17"/>
        </w:rPr>
        <w:t xml:space="preserve"> </w:t>
      </w:r>
      <w:r>
        <w:rPr>
          <w:color w:val="231F20"/>
          <w:w w:val="95"/>
          <w:sz w:val="17"/>
        </w:rPr>
        <w:t>H.J.</w:t>
      </w:r>
      <w:r>
        <w:rPr>
          <w:color w:val="231F20"/>
          <w:spacing w:val="25"/>
          <w:sz w:val="17"/>
        </w:rPr>
        <w:t xml:space="preserve"> </w:t>
      </w:r>
      <w:r>
        <w:rPr>
          <w:color w:val="231F20"/>
          <w:w w:val="95"/>
          <w:sz w:val="17"/>
        </w:rPr>
        <w:t>(1998)</w:t>
      </w:r>
      <w:r>
        <w:rPr>
          <w:color w:val="231F20"/>
          <w:spacing w:val="25"/>
          <w:sz w:val="17"/>
        </w:rPr>
        <w:t xml:space="preserve"> </w:t>
      </w:r>
      <w:r>
        <w:rPr>
          <w:color w:val="231F20"/>
          <w:w w:val="95"/>
          <w:sz w:val="17"/>
        </w:rPr>
        <w:t>Sport</w:t>
      </w:r>
      <w:r>
        <w:rPr>
          <w:color w:val="231F20"/>
          <w:spacing w:val="25"/>
          <w:sz w:val="17"/>
        </w:rPr>
        <w:t xml:space="preserve"> </w:t>
      </w:r>
      <w:r>
        <w:rPr>
          <w:color w:val="231F20"/>
          <w:w w:val="95"/>
          <w:sz w:val="17"/>
        </w:rPr>
        <w:t>and</w:t>
      </w:r>
      <w:r>
        <w:rPr>
          <w:color w:val="231F20"/>
          <w:spacing w:val="25"/>
          <w:sz w:val="17"/>
        </w:rPr>
        <w:t xml:space="preserve"> </w:t>
      </w:r>
      <w:r>
        <w:rPr>
          <w:color w:val="231F20"/>
          <w:w w:val="95"/>
          <w:sz w:val="17"/>
        </w:rPr>
        <w:t>corporate</w:t>
      </w:r>
      <w:r>
        <w:rPr>
          <w:color w:val="231F20"/>
          <w:spacing w:val="25"/>
          <w:sz w:val="17"/>
        </w:rPr>
        <w:t xml:space="preserve"> </w:t>
      </w:r>
      <w:r>
        <w:rPr>
          <w:color w:val="231F20"/>
          <w:w w:val="95"/>
          <w:sz w:val="17"/>
        </w:rPr>
        <w:t>environmentalism:</w:t>
      </w:r>
      <w:r>
        <w:rPr>
          <w:color w:val="231F20"/>
          <w:spacing w:val="25"/>
          <w:sz w:val="17"/>
        </w:rPr>
        <w:t xml:space="preserve"> </w:t>
      </w:r>
      <w:r>
        <w:rPr>
          <w:color w:val="231F20"/>
          <w:w w:val="95"/>
          <w:sz w:val="17"/>
        </w:rPr>
        <w:t>The</w:t>
      </w:r>
      <w:r>
        <w:rPr>
          <w:color w:val="231F20"/>
          <w:spacing w:val="25"/>
          <w:sz w:val="17"/>
        </w:rPr>
        <w:t xml:space="preserve"> </w:t>
      </w:r>
      <w:r>
        <w:rPr>
          <w:color w:val="231F20"/>
          <w:w w:val="95"/>
          <w:sz w:val="17"/>
        </w:rPr>
        <w:t>case</w:t>
      </w:r>
      <w:r>
        <w:rPr>
          <w:color w:val="231F20"/>
          <w:spacing w:val="25"/>
          <w:sz w:val="17"/>
        </w:rPr>
        <w:t xml:space="preserve"> </w:t>
      </w:r>
      <w:r>
        <w:rPr>
          <w:color w:val="231F20"/>
          <w:w w:val="95"/>
          <w:sz w:val="17"/>
        </w:rPr>
        <w:t>of</w:t>
      </w:r>
      <w:r>
        <w:rPr>
          <w:color w:val="231F20"/>
          <w:spacing w:val="25"/>
          <w:sz w:val="17"/>
        </w:rPr>
        <w:t xml:space="preserve"> </w:t>
      </w:r>
      <w:r>
        <w:rPr>
          <w:color w:val="231F20"/>
          <w:w w:val="95"/>
          <w:sz w:val="17"/>
        </w:rPr>
        <w:t>the</w:t>
      </w:r>
      <w:r>
        <w:rPr>
          <w:color w:val="231F20"/>
          <w:spacing w:val="25"/>
          <w:sz w:val="17"/>
        </w:rPr>
        <w:t xml:space="preserve"> </w:t>
      </w:r>
      <w:r>
        <w:rPr>
          <w:color w:val="231F20"/>
          <w:w w:val="95"/>
          <w:sz w:val="17"/>
        </w:rPr>
        <w:t>Sydney</w:t>
      </w:r>
      <w:r>
        <w:rPr>
          <w:color w:val="231F20"/>
          <w:spacing w:val="25"/>
          <w:sz w:val="17"/>
        </w:rPr>
        <w:t xml:space="preserve"> </w:t>
      </w:r>
      <w:r>
        <w:rPr>
          <w:color w:val="231F20"/>
          <w:w w:val="95"/>
          <w:sz w:val="17"/>
        </w:rPr>
        <w:t>2000</w:t>
      </w:r>
    </w:p>
    <w:p w14:paraId="4B5D2C2D" w14:textId="77777777" w:rsidR="00AE0598" w:rsidRDefault="0069255A">
      <w:pPr>
        <w:spacing w:before="2"/>
        <w:ind w:left="430"/>
        <w:jc w:val="both"/>
        <w:rPr>
          <w:sz w:val="17"/>
        </w:rPr>
      </w:pPr>
      <w:r>
        <w:rPr>
          <w:color w:val="231F20"/>
          <w:sz w:val="17"/>
        </w:rPr>
        <w:t>Olympic</w:t>
      </w:r>
      <w:r>
        <w:rPr>
          <w:color w:val="231F20"/>
          <w:spacing w:val="7"/>
          <w:sz w:val="17"/>
        </w:rPr>
        <w:t xml:space="preserve"> </w:t>
      </w:r>
      <w:r>
        <w:rPr>
          <w:color w:val="231F20"/>
          <w:sz w:val="17"/>
        </w:rPr>
        <w:t>Games.</w:t>
      </w:r>
      <w:r>
        <w:rPr>
          <w:color w:val="231F20"/>
          <w:spacing w:val="7"/>
          <w:sz w:val="17"/>
        </w:rPr>
        <w:t xml:space="preserve"> </w:t>
      </w:r>
      <w:r>
        <w:rPr>
          <w:i/>
          <w:color w:val="231F20"/>
          <w:sz w:val="17"/>
        </w:rPr>
        <w:t>International</w:t>
      </w:r>
      <w:r>
        <w:rPr>
          <w:i/>
          <w:color w:val="231F20"/>
          <w:spacing w:val="8"/>
          <w:sz w:val="17"/>
        </w:rPr>
        <w:t xml:space="preserve"> </w:t>
      </w:r>
      <w:r>
        <w:rPr>
          <w:i/>
          <w:color w:val="231F20"/>
          <w:sz w:val="17"/>
        </w:rPr>
        <w:t>Review</w:t>
      </w:r>
      <w:r>
        <w:rPr>
          <w:i/>
          <w:color w:val="231F20"/>
          <w:spacing w:val="7"/>
          <w:sz w:val="17"/>
        </w:rPr>
        <w:t xml:space="preserve"> </w:t>
      </w:r>
      <w:r>
        <w:rPr>
          <w:i/>
          <w:color w:val="231F20"/>
          <w:sz w:val="17"/>
        </w:rPr>
        <w:t>for</w:t>
      </w:r>
      <w:r>
        <w:rPr>
          <w:i/>
          <w:color w:val="231F20"/>
          <w:spacing w:val="7"/>
          <w:sz w:val="17"/>
        </w:rPr>
        <w:t xml:space="preserve"> </w:t>
      </w:r>
      <w:r>
        <w:rPr>
          <w:i/>
          <w:color w:val="231F20"/>
          <w:sz w:val="17"/>
        </w:rPr>
        <w:t>the</w:t>
      </w:r>
      <w:r>
        <w:rPr>
          <w:i/>
          <w:color w:val="231F20"/>
          <w:spacing w:val="8"/>
          <w:sz w:val="17"/>
        </w:rPr>
        <w:t xml:space="preserve"> </w:t>
      </w:r>
      <w:r>
        <w:rPr>
          <w:i/>
          <w:color w:val="231F20"/>
          <w:sz w:val="17"/>
        </w:rPr>
        <w:t>Sociology</w:t>
      </w:r>
      <w:r>
        <w:rPr>
          <w:i/>
          <w:color w:val="231F20"/>
          <w:spacing w:val="7"/>
          <w:sz w:val="17"/>
        </w:rPr>
        <w:t xml:space="preserve"> </w:t>
      </w:r>
      <w:r>
        <w:rPr>
          <w:i/>
          <w:color w:val="231F20"/>
          <w:sz w:val="17"/>
        </w:rPr>
        <w:t>of</w:t>
      </w:r>
      <w:r>
        <w:rPr>
          <w:i/>
          <w:color w:val="231F20"/>
          <w:spacing w:val="7"/>
          <w:sz w:val="17"/>
        </w:rPr>
        <w:t xml:space="preserve"> </w:t>
      </w:r>
      <w:r>
        <w:rPr>
          <w:i/>
          <w:color w:val="231F20"/>
          <w:sz w:val="17"/>
        </w:rPr>
        <w:t>Sport</w:t>
      </w:r>
      <w:r>
        <w:rPr>
          <w:i/>
          <w:color w:val="231F20"/>
          <w:spacing w:val="8"/>
          <w:sz w:val="17"/>
        </w:rPr>
        <w:t xml:space="preserve"> </w:t>
      </w:r>
      <w:r>
        <w:rPr>
          <w:color w:val="231F20"/>
          <w:sz w:val="17"/>
        </w:rPr>
        <w:t>33</w:t>
      </w:r>
      <w:r>
        <w:rPr>
          <w:color w:val="231F20"/>
          <w:spacing w:val="7"/>
          <w:sz w:val="17"/>
        </w:rPr>
        <w:t xml:space="preserve"> </w:t>
      </w:r>
      <w:r>
        <w:rPr>
          <w:color w:val="231F20"/>
          <w:sz w:val="17"/>
        </w:rPr>
        <w:t>(4),</w:t>
      </w:r>
      <w:r>
        <w:rPr>
          <w:color w:val="231F20"/>
          <w:spacing w:val="7"/>
          <w:sz w:val="17"/>
        </w:rPr>
        <w:t xml:space="preserve"> </w:t>
      </w:r>
      <w:r>
        <w:rPr>
          <w:color w:val="231F20"/>
          <w:spacing w:val="-2"/>
          <w:sz w:val="17"/>
        </w:rPr>
        <w:t>341–354.</w:t>
      </w:r>
    </w:p>
    <w:p w14:paraId="50748640" w14:textId="77777777" w:rsidR="00AE0598" w:rsidRDefault="0069255A">
      <w:pPr>
        <w:ind w:left="430" w:right="127" w:hanging="320"/>
        <w:jc w:val="both"/>
        <w:rPr>
          <w:sz w:val="17"/>
        </w:rPr>
      </w:pPr>
      <w:r>
        <w:rPr>
          <w:color w:val="231F20"/>
          <w:sz w:val="17"/>
        </w:rPr>
        <w:t>Leonard</w:t>
      </w:r>
      <w:r>
        <w:rPr>
          <w:color w:val="231F20"/>
          <w:sz w:val="17"/>
        </w:rPr>
        <w:t>, W.M. (1996) The odds of transiting from one level of sports participation to</w:t>
      </w:r>
      <w:r>
        <w:rPr>
          <w:color w:val="231F20"/>
          <w:spacing w:val="40"/>
          <w:sz w:val="17"/>
        </w:rPr>
        <w:t xml:space="preserve"> </w:t>
      </w:r>
      <w:r>
        <w:rPr>
          <w:color w:val="231F20"/>
          <w:sz w:val="17"/>
        </w:rPr>
        <w:t xml:space="preserve">another. </w:t>
      </w:r>
      <w:r>
        <w:rPr>
          <w:i/>
          <w:color w:val="231F20"/>
          <w:sz w:val="17"/>
        </w:rPr>
        <w:t xml:space="preserve">Sociology of Sport Journal </w:t>
      </w:r>
      <w:r>
        <w:rPr>
          <w:color w:val="231F20"/>
          <w:sz w:val="17"/>
        </w:rPr>
        <w:t>13 (3), 288–299.</w:t>
      </w:r>
    </w:p>
    <w:p w14:paraId="214F1F2B" w14:textId="77777777" w:rsidR="00AE0598" w:rsidRDefault="0069255A">
      <w:pPr>
        <w:spacing w:before="2"/>
        <w:ind w:left="110"/>
        <w:jc w:val="both"/>
        <w:rPr>
          <w:sz w:val="17"/>
        </w:rPr>
      </w:pPr>
      <w:r>
        <w:rPr>
          <w:color w:val="231F20"/>
          <w:w w:val="95"/>
          <w:sz w:val="17"/>
        </w:rPr>
        <w:t>Lesjø,</w:t>
      </w:r>
      <w:r>
        <w:rPr>
          <w:color w:val="231F20"/>
          <w:spacing w:val="28"/>
          <w:sz w:val="17"/>
        </w:rPr>
        <w:t xml:space="preserve"> </w:t>
      </w:r>
      <w:r>
        <w:rPr>
          <w:color w:val="231F20"/>
          <w:w w:val="95"/>
          <w:sz w:val="17"/>
        </w:rPr>
        <w:t>J.H.</w:t>
      </w:r>
      <w:r>
        <w:rPr>
          <w:color w:val="231F20"/>
          <w:spacing w:val="28"/>
          <w:sz w:val="17"/>
        </w:rPr>
        <w:t xml:space="preserve"> </w:t>
      </w:r>
      <w:r>
        <w:rPr>
          <w:color w:val="231F20"/>
          <w:w w:val="95"/>
          <w:sz w:val="17"/>
        </w:rPr>
        <w:t>(2000)</w:t>
      </w:r>
      <w:r>
        <w:rPr>
          <w:color w:val="231F20"/>
          <w:spacing w:val="29"/>
          <w:sz w:val="17"/>
        </w:rPr>
        <w:t xml:space="preserve"> </w:t>
      </w:r>
      <w:r>
        <w:rPr>
          <w:color w:val="231F20"/>
          <w:w w:val="95"/>
          <w:sz w:val="17"/>
        </w:rPr>
        <w:t>Lillehammer</w:t>
      </w:r>
      <w:r>
        <w:rPr>
          <w:color w:val="231F20"/>
          <w:spacing w:val="29"/>
          <w:sz w:val="17"/>
        </w:rPr>
        <w:t xml:space="preserve"> </w:t>
      </w:r>
      <w:r>
        <w:rPr>
          <w:color w:val="231F20"/>
          <w:w w:val="95"/>
          <w:sz w:val="17"/>
        </w:rPr>
        <w:t>1994:</w:t>
      </w:r>
      <w:r>
        <w:rPr>
          <w:color w:val="231F20"/>
          <w:spacing w:val="29"/>
          <w:sz w:val="17"/>
        </w:rPr>
        <w:t xml:space="preserve"> </w:t>
      </w:r>
      <w:r>
        <w:rPr>
          <w:color w:val="231F20"/>
          <w:w w:val="95"/>
          <w:sz w:val="17"/>
        </w:rPr>
        <w:t>Planning,</w:t>
      </w:r>
      <w:r>
        <w:rPr>
          <w:color w:val="231F20"/>
          <w:spacing w:val="29"/>
          <w:sz w:val="17"/>
        </w:rPr>
        <w:t xml:space="preserve"> </w:t>
      </w:r>
      <w:r>
        <w:rPr>
          <w:color w:val="231F20"/>
          <w:w w:val="95"/>
          <w:sz w:val="17"/>
        </w:rPr>
        <w:t>figurations</w:t>
      </w:r>
      <w:r>
        <w:rPr>
          <w:color w:val="231F20"/>
          <w:spacing w:val="28"/>
          <w:sz w:val="17"/>
        </w:rPr>
        <w:t xml:space="preserve"> </w:t>
      </w:r>
      <w:r>
        <w:rPr>
          <w:color w:val="231F20"/>
          <w:w w:val="95"/>
          <w:sz w:val="17"/>
        </w:rPr>
        <w:t>and</w:t>
      </w:r>
      <w:r>
        <w:rPr>
          <w:color w:val="231F20"/>
          <w:spacing w:val="28"/>
          <w:sz w:val="17"/>
        </w:rPr>
        <w:t xml:space="preserve"> </w:t>
      </w:r>
      <w:r>
        <w:rPr>
          <w:color w:val="231F20"/>
          <w:w w:val="95"/>
          <w:sz w:val="17"/>
        </w:rPr>
        <w:t>the</w:t>
      </w:r>
      <w:r>
        <w:rPr>
          <w:color w:val="231F20"/>
          <w:spacing w:val="27"/>
          <w:sz w:val="17"/>
        </w:rPr>
        <w:t xml:space="preserve"> </w:t>
      </w:r>
      <w:r>
        <w:rPr>
          <w:color w:val="231F20"/>
          <w:w w:val="95"/>
          <w:sz w:val="17"/>
        </w:rPr>
        <w:t>‘green’</w:t>
      </w:r>
      <w:r>
        <w:rPr>
          <w:color w:val="231F20"/>
          <w:spacing w:val="28"/>
          <w:sz w:val="17"/>
        </w:rPr>
        <w:t xml:space="preserve"> </w:t>
      </w:r>
      <w:r>
        <w:rPr>
          <w:color w:val="231F20"/>
          <w:w w:val="95"/>
          <w:sz w:val="17"/>
        </w:rPr>
        <w:t>winter</w:t>
      </w:r>
      <w:r>
        <w:rPr>
          <w:color w:val="231F20"/>
          <w:spacing w:val="28"/>
          <w:sz w:val="17"/>
        </w:rPr>
        <w:t xml:space="preserve"> </w:t>
      </w:r>
      <w:r>
        <w:rPr>
          <w:color w:val="231F20"/>
          <w:spacing w:val="-2"/>
          <w:w w:val="95"/>
          <w:sz w:val="17"/>
        </w:rPr>
        <w:t>games.</w:t>
      </w:r>
    </w:p>
    <w:p w14:paraId="736B66E5" w14:textId="77777777" w:rsidR="00AE0598" w:rsidRDefault="0069255A">
      <w:pPr>
        <w:spacing w:before="1"/>
        <w:ind w:left="430"/>
        <w:jc w:val="both"/>
        <w:rPr>
          <w:sz w:val="17"/>
        </w:rPr>
      </w:pPr>
      <w:r>
        <w:rPr>
          <w:i/>
          <w:color w:val="231F20"/>
          <w:sz w:val="17"/>
        </w:rPr>
        <w:t>International</w:t>
      </w:r>
      <w:r>
        <w:rPr>
          <w:i/>
          <w:color w:val="231F20"/>
          <w:spacing w:val="5"/>
          <w:sz w:val="17"/>
        </w:rPr>
        <w:t xml:space="preserve"> </w:t>
      </w:r>
      <w:r>
        <w:rPr>
          <w:i/>
          <w:color w:val="231F20"/>
          <w:sz w:val="17"/>
        </w:rPr>
        <w:t>Review</w:t>
      </w:r>
      <w:r>
        <w:rPr>
          <w:i/>
          <w:color w:val="231F20"/>
          <w:spacing w:val="6"/>
          <w:sz w:val="17"/>
        </w:rPr>
        <w:t xml:space="preserve"> </w:t>
      </w:r>
      <w:r>
        <w:rPr>
          <w:i/>
          <w:color w:val="231F20"/>
          <w:sz w:val="17"/>
        </w:rPr>
        <w:t>for</w:t>
      </w:r>
      <w:r>
        <w:rPr>
          <w:i/>
          <w:color w:val="231F20"/>
          <w:spacing w:val="6"/>
          <w:sz w:val="17"/>
        </w:rPr>
        <w:t xml:space="preserve"> </w:t>
      </w:r>
      <w:r>
        <w:rPr>
          <w:i/>
          <w:color w:val="231F20"/>
          <w:sz w:val="17"/>
        </w:rPr>
        <w:t>the</w:t>
      </w:r>
      <w:r>
        <w:rPr>
          <w:i/>
          <w:color w:val="231F20"/>
          <w:spacing w:val="6"/>
          <w:sz w:val="17"/>
        </w:rPr>
        <w:t xml:space="preserve"> </w:t>
      </w:r>
      <w:r>
        <w:rPr>
          <w:i/>
          <w:color w:val="231F20"/>
          <w:sz w:val="17"/>
        </w:rPr>
        <w:t>Sociology</w:t>
      </w:r>
      <w:r>
        <w:rPr>
          <w:i/>
          <w:color w:val="231F20"/>
          <w:spacing w:val="6"/>
          <w:sz w:val="17"/>
        </w:rPr>
        <w:t xml:space="preserve"> </w:t>
      </w:r>
      <w:r>
        <w:rPr>
          <w:i/>
          <w:color w:val="231F20"/>
          <w:sz w:val="17"/>
        </w:rPr>
        <w:t>of</w:t>
      </w:r>
      <w:r>
        <w:rPr>
          <w:i/>
          <w:color w:val="231F20"/>
          <w:spacing w:val="6"/>
          <w:sz w:val="17"/>
        </w:rPr>
        <w:t xml:space="preserve"> </w:t>
      </w:r>
      <w:r>
        <w:rPr>
          <w:i/>
          <w:color w:val="231F20"/>
          <w:sz w:val="17"/>
        </w:rPr>
        <w:t>Sport</w:t>
      </w:r>
      <w:r>
        <w:rPr>
          <w:i/>
          <w:color w:val="231F20"/>
          <w:spacing w:val="6"/>
          <w:sz w:val="17"/>
        </w:rPr>
        <w:t xml:space="preserve"> </w:t>
      </w:r>
      <w:r>
        <w:rPr>
          <w:color w:val="231F20"/>
          <w:sz w:val="17"/>
        </w:rPr>
        <w:t>35</w:t>
      </w:r>
      <w:r>
        <w:rPr>
          <w:color w:val="231F20"/>
          <w:spacing w:val="5"/>
          <w:sz w:val="17"/>
        </w:rPr>
        <w:t xml:space="preserve"> </w:t>
      </w:r>
      <w:r>
        <w:rPr>
          <w:color w:val="231F20"/>
          <w:sz w:val="17"/>
        </w:rPr>
        <w:t>(3),</w:t>
      </w:r>
      <w:r>
        <w:rPr>
          <w:color w:val="231F20"/>
          <w:spacing w:val="6"/>
          <w:sz w:val="17"/>
        </w:rPr>
        <w:t xml:space="preserve"> </w:t>
      </w:r>
      <w:r>
        <w:rPr>
          <w:color w:val="231F20"/>
          <w:spacing w:val="-2"/>
          <w:sz w:val="17"/>
        </w:rPr>
        <w:t>282–293.</w:t>
      </w:r>
    </w:p>
    <w:p w14:paraId="7A575AD2" w14:textId="77777777" w:rsidR="00AE0598" w:rsidRDefault="0069255A">
      <w:pPr>
        <w:ind w:left="430" w:right="127" w:hanging="320"/>
        <w:jc w:val="both"/>
        <w:rPr>
          <w:sz w:val="17"/>
        </w:rPr>
      </w:pPr>
      <w:r>
        <w:rPr>
          <w:color w:val="231F20"/>
          <w:sz w:val="17"/>
        </w:rPr>
        <w:t xml:space="preserve">L’Etang, </w:t>
      </w:r>
      <w:r>
        <w:rPr>
          <w:color w:val="231F20"/>
          <w:w w:val="105"/>
          <w:sz w:val="17"/>
        </w:rPr>
        <w:t xml:space="preserve">J. </w:t>
      </w:r>
      <w:r>
        <w:rPr>
          <w:color w:val="231F20"/>
          <w:sz w:val="17"/>
        </w:rPr>
        <w:t xml:space="preserve">(2006) Public relations and sport in promotional culture. </w:t>
      </w:r>
      <w:r>
        <w:rPr>
          <w:i/>
          <w:color w:val="231F20"/>
          <w:sz w:val="17"/>
        </w:rPr>
        <w:t>Public Relations</w:t>
      </w:r>
      <w:r>
        <w:rPr>
          <w:i/>
          <w:color w:val="231F20"/>
          <w:spacing w:val="40"/>
          <w:sz w:val="17"/>
        </w:rPr>
        <w:t xml:space="preserve"> </w:t>
      </w:r>
      <w:r>
        <w:rPr>
          <w:i/>
          <w:color w:val="231F20"/>
          <w:sz w:val="17"/>
        </w:rPr>
        <w:t xml:space="preserve">Review </w:t>
      </w:r>
      <w:r>
        <w:rPr>
          <w:color w:val="231F20"/>
          <w:sz w:val="17"/>
        </w:rPr>
        <w:t>32, 386–394.</w:t>
      </w:r>
    </w:p>
    <w:p w14:paraId="04441F68" w14:textId="77777777" w:rsidR="00AE0598" w:rsidRDefault="0069255A">
      <w:pPr>
        <w:spacing w:before="2"/>
        <w:ind w:left="110"/>
        <w:jc w:val="both"/>
        <w:rPr>
          <w:sz w:val="17"/>
        </w:rPr>
      </w:pPr>
      <w:r>
        <w:rPr>
          <w:color w:val="231F20"/>
          <w:sz w:val="17"/>
        </w:rPr>
        <w:t>Levey,</w:t>
      </w:r>
      <w:r>
        <w:rPr>
          <w:color w:val="231F20"/>
          <w:spacing w:val="7"/>
          <w:sz w:val="17"/>
        </w:rPr>
        <w:t xml:space="preserve"> </w:t>
      </w:r>
      <w:r>
        <w:rPr>
          <w:color w:val="231F20"/>
          <w:sz w:val="17"/>
        </w:rPr>
        <w:t>B.</w:t>
      </w:r>
      <w:r>
        <w:rPr>
          <w:color w:val="231F20"/>
          <w:spacing w:val="8"/>
          <w:sz w:val="17"/>
        </w:rPr>
        <w:t xml:space="preserve"> </w:t>
      </w:r>
      <w:r>
        <w:rPr>
          <w:color w:val="231F20"/>
          <w:sz w:val="17"/>
        </w:rPr>
        <w:t>(2010)</w:t>
      </w:r>
      <w:r>
        <w:rPr>
          <w:color w:val="231F20"/>
          <w:spacing w:val="8"/>
          <w:sz w:val="17"/>
        </w:rPr>
        <w:t xml:space="preserve"> </w:t>
      </w:r>
      <w:r>
        <w:rPr>
          <w:color w:val="231F20"/>
          <w:sz w:val="17"/>
        </w:rPr>
        <w:t>It</w:t>
      </w:r>
      <w:r>
        <w:rPr>
          <w:color w:val="231F20"/>
          <w:spacing w:val="8"/>
          <w:sz w:val="17"/>
        </w:rPr>
        <w:t xml:space="preserve"> </w:t>
      </w:r>
      <w:r>
        <w:rPr>
          <w:color w:val="231F20"/>
          <w:sz w:val="17"/>
        </w:rPr>
        <w:t>ain’t</w:t>
      </w:r>
      <w:r>
        <w:rPr>
          <w:color w:val="231F20"/>
          <w:spacing w:val="8"/>
          <w:sz w:val="17"/>
        </w:rPr>
        <w:t xml:space="preserve"> </w:t>
      </w:r>
      <w:r>
        <w:rPr>
          <w:color w:val="231F20"/>
          <w:sz w:val="17"/>
        </w:rPr>
        <w:t>fast</w:t>
      </w:r>
      <w:r>
        <w:rPr>
          <w:color w:val="231F20"/>
          <w:spacing w:val="8"/>
          <w:sz w:val="17"/>
        </w:rPr>
        <w:t xml:space="preserve"> </w:t>
      </w:r>
      <w:r>
        <w:rPr>
          <w:color w:val="231F20"/>
          <w:sz w:val="17"/>
        </w:rPr>
        <w:t>food:</w:t>
      </w:r>
      <w:r>
        <w:rPr>
          <w:color w:val="231F20"/>
          <w:spacing w:val="7"/>
          <w:sz w:val="17"/>
        </w:rPr>
        <w:t xml:space="preserve"> </w:t>
      </w:r>
      <w:r>
        <w:rPr>
          <w:color w:val="231F20"/>
          <w:sz w:val="17"/>
        </w:rPr>
        <w:t>An</w:t>
      </w:r>
      <w:r>
        <w:rPr>
          <w:color w:val="231F20"/>
          <w:spacing w:val="8"/>
          <w:sz w:val="17"/>
        </w:rPr>
        <w:t xml:space="preserve"> </w:t>
      </w:r>
      <w:r>
        <w:rPr>
          <w:color w:val="231F20"/>
          <w:sz w:val="17"/>
        </w:rPr>
        <w:t>authentic</w:t>
      </w:r>
      <w:r>
        <w:rPr>
          <w:color w:val="231F20"/>
          <w:spacing w:val="8"/>
          <w:sz w:val="17"/>
        </w:rPr>
        <w:t xml:space="preserve"> </w:t>
      </w:r>
      <w:r>
        <w:rPr>
          <w:color w:val="231F20"/>
          <w:sz w:val="17"/>
        </w:rPr>
        <w:t>climbing</w:t>
      </w:r>
      <w:r>
        <w:rPr>
          <w:color w:val="231F20"/>
          <w:spacing w:val="8"/>
          <w:sz w:val="17"/>
        </w:rPr>
        <w:t xml:space="preserve"> </w:t>
      </w:r>
      <w:r>
        <w:rPr>
          <w:color w:val="231F20"/>
          <w:sz w:val="17"/>
        </w:rPr>
        <w:t>experience.</w:t>
      </w:r>
      <w:r>
        <w:rPr>
          <w:color w:val="231F20"/>
          <w:spacing w:val="8"/>
          <w:sz w:val="17"/>
        </w:rPr>
        <w:t xml:space="preserve"> </w:t>
      </w:r>
      <w:r>
        <w:rPr>
          <w:color w:val="231F20"/>
          <w:sz w:val="17"/>
        </w:rPr>
        <w:t>In</w:t>
      </w:r>
      <w:r>
        <w:rPr>
          <w:color w:val="231F20"/>
          <w:spacing w:val="8"/>
          <w:sz w:val="17"/>
        </w:rPr>
        <w:t xml:space="preserve"> </w:t>
      </w:r>
      <w:r>
        <w:rPr>
          <w:color w:val="231F20"/>
          <w:sz w:val="17"/>
        </w:rPr>
        <w:t>S.E.</w:t>
      </w:r>
      <w:r>
        <w:rPr>
          <w:color w:val="231F20"/>
          <w:spacing w:val="7"/>
          <w:sz w:val="17"/>
        </w:rPr>
        <w:t xml:space="preserve"> </w:t>
      </w:r>
      <w:r>
        <w:rPr>
          <w:color w:val="231F20"/>
          <w:sz w:val="17"/>
        </w:rPr>
        <w:t>Schmid</w:t>
      </w:r>
      <w:r>
        <w:rPr>
          <w:color w:val="231F20"/>
          <w:spacing w:val="8"/>
          <w:sz w:val="17"/>
        </w:rPr>
        <w:t xml:space="preserve"> </w:t>
      </w:r>
      <w:r>
        <w:rPr>
          <w:color w:val="231F20"/>
          <w:spacing w:val="-2"/>
          <w:sz w:val="17"/>
        </w:rPr>
        <w:t>(ed.)</w:t>
      </w:r>
    </w:p>
    <w:p w14:paraId="447588A9" w14:textId="77777777" w:rsidR="00AE0598" w:rsidRDefault="0069255A">
      <w:pPr>
        <w:ind w:left="430"/>
        <w:jc w:val="both"/>
        <w:rPr>
          <w:sz w:val="17"/>
        </w:rPr>
      </w:pPr>
      <w:r>
        <w:rPr>
          <w:i/>
          <w:color w:val="231F20"/>
          <w:w w:val="95"/>
          <w:sz w:val="17"/>
        </w:rPr>
        <w:t>Climbing</w:t>
      </w:r>
      <w:r>
        <w:rPr>
          <w:i/>
          <w:color w:val="231F20"/>
          <w:spacing w:val="34"/>
          <w:sz w:val="17"/>
        </w:rPr>
        <w:t xml:space="preserve"> </w:t>
      </w:r>
      <w:r>
        <w:rPr>
          <w:i/>
          <w:color w:val="231F20"/>
          <w:w w:val="95"/>
          <w:sz w:val="17"/>
        </w:rPr>
        <w:t>Philosophy</w:t>
      </w:r>
      <w:r>
        <w:rPr>
          <w:i/>
          <w:color w:val="231F20"/>
          <w:spacing w:val="34"/>
          <w:sz w:val="17"/>
        </w:rPr>
        <w:t xml:space="preserve"> </w:t>
      </w:r>
      <w:r>
        <w:rPr>
          <w:i/>
          <w:color w:val="231F20"/>
          <w:w w:val="95"/>
          <w:sz w:val="17"/>
        </w:rPr>
        <w:t>for</w:t>
      </w:r>
      <w:r>
        <w:rPr>
          <w:i/>
          <w:color w:val="231F20"/>
          <w:spacing w:val="35"/>
          <w:sz w:val="17"/>
        </w:rPr>
        <w:t xml:space="preserve"> </w:t>
      </w:r>
      <w:r>
        <w:rPr>
          <w:i/>
          <w:color w:val="231F20"/>
          <w:w w:val="95"/>
          <w:sz w:val="17"/>
        </w:rPr>
        <w:t>Everyone</w:t>
      </w:r>
      <w:r>
        <w:rPr>
          <w:i/>
          <w:color w:val="231F20"/>
          <w:spacing w:val="34"/>
          <w:sz w:val="17"/>
        </w:rPr>
        <w:t xml:space="preserve"> </w:t>
      </w:r>
      <w:r>
        <w:rPr>
          <w:color w:val="231F20"/>
          <w:w w:val="95"/>
          <w:sz w:val="17"/>
        </w:rPr>
        <w:t>(pp.</w:t>
      </w:r>
      <w:r>
        <w:rPr>
          <w:color w:val="231F20"/>
          <w:spacing w:val="35"/>
          <w:sz w:val="17"/>
        </w:rPr>
        <w:t xml:space="preserve"> </w:t>
      </w:r>
      <w:r>
        <w:rPr>
          <w:color w:val="231F20"/>
          <w:w w:val="95"/>
          <w:sz w:val="17"/>
        </w:rPr>
        <w:t>106–116).</w:t>
      </w:r>
      <w:r>
        <w:rPr>
          <w:color w:val="231F20"/>
          <w:spacing w:val="34"/>
          <w:sz w:val="17"/>
        </w:rPr>
        <w:t xml:space="preserve"> </w:t>
      </w:r>
      <w:r>
        <w:rPr>
          <w:color w:val="231F20"/>
          <w:w w:val="95"/>
          <w:sz w:val="17"/>
        </w:rPr>
        <w:t>Chichester:</w:t>
      </w:r>
      <w:r>
        <w:rPr>
          <w:color w:val="231F20"/>
          <w:spacing w:val="34"/>
          <w:sz w:val="17"/>
        </w:rPr>
        <w:t xml:space="preserve"> </w:t>
      </w:r>
      <w:r>
        <w:rPr>
          <w:color w:val="231F20"/>
          <w:w w:val="95"/>
          <w:sz w:val="17"/>
        </w:rPr>
        <w:t>Wiley-</w:t>
      </w:r>
      <w:r>
        <w:rPr>
          <w:color w:val="231F20"/>
          <w:spacing w:val="-2"/>
          <w:w w:val="95"/>
          <w:sz w:val="17"/>
        </w:rPr>
        <w:t>Blackwell.</w:t>
      </w:r>
    </w:p>
    <w:p w14:paraId="6C0897DB" w14:textId="77777777" w:rsidR="00AE0598" w:rsidRDefault="0069255A">
      <w:pPr>
        <w:spacing w:before="1"/>
        <w:ind w:left="110"/>
        <w:jc w:val="both"/>
        <w:rPr>
          <w:i/>
          <w:sz w:val="17"/>
        </w:rPr>
      </w:pPr>
      <w:r>
        <w:rPr>
          <w:color w:val="231F20"/>
          <w:sz w:val="17"/>
        </w:rPr>
        <w:t>Lew,</w:t>
      </w:r>
      <w:r>
        <w:rPr>
          <w:color w:val="231F20"/>
          <w:spacing w:val="3"/>
          <w:sz w:val="17"/>
        </w:rPr>
        <w:t xml:space="preserve"> </w:t>
      </w:r>
      <w:r>
        <w:rPr>
          <w:color w:val="231F20"/>
          <w:sz w:val="17"/>
        </w:rPr>
        <w:t>A.A.</w:t>
      </w:r>
      <w:r>
        <w:rPr>
          <w:color w:val="231F20"/>
          <w:spacing w:val="3"/>
          <w:sz w:val="17"/>
        </w:rPr>
        <w:t xml:space="preserve"> </w:t>
      </w:r>
      <w:r>
        <w:rPr>
          <w:color w:val="231F20"/>
          <w:sz w:val="17"/>
        </w:rPr>
        <w:t>(1987)</w:t>
      </w:r>
      <w:r>
        <w:rPr>
          <w:color w:val="231F20"/>
          <w:spacing w:val="3"/>
          <w:sz w:val="17"/>
        </w:rPr>
        <w:t xml:space="preserve"> </w:t>
      </w:r>
      <w:r>
        <w:rPr>
          <w:color w:val="231F20"/>
          <w:sz w:val="17"/>
        </w:rPr>
        <w:t>A</w:t>
      </w:r>
      <w:r>
        <w:rPr>
          <w:color w:val="231F20"/>
          <w:spacing w:val="3"/>
          <w:sz w:val="17"/>
        </w:rPr>
        <w:t xml:space="preserve"> </w:t>
      </w:r>
      <w:r>
        <w:rPr>
          <w:color w:val="231F20"/>
          <w:sz w:val="17"/>
        </w:rPr>
        <w:t>framework</w:t>
      </w:r>
      <w:r>
        <w:rPr>
          <w:color w:val="231F20"/>
          <w:spacing w:val="3"/>
          <w:sz w:val="17"/>
        </w:rPr>
        <w:t xml:space="preserve"> </w:t>
      </w:r>
      <w:r>
        <w:rPr>
          <w:color w:val="231F20"/>
          <w:sz w:val="17"/>
        </w:rPr>
        <w:t>of</w:t>
      </w:r>
      <w:r>
        <w:rPr>
          <w:color w:val="231F20"/>
          <w:spacing w:val="3"/>
          <w:sz w:val="17"/>
        </w:rPr>
        <w:t xml:space="preserve"> </w:t>
      </w:r>
      <w:r>
        <w:rPr>
          <w:color w:val="231F20"/>
          <w:sz w:val="17"/>
        </w:rPr>
        <w:t>tourist</w:t>
      </w:r>
      <w:r>
        <w:rPr>
          <w:color w:val="231F20"/>
          <w:spacing w:val="3"/>
          <w:sz w:val="17"/>
        </w:rPr>
        <w:t xml:space="preserve"> </w:t>
      </w:r>
      <w:r>
        <w:rPr>
          <w:color w:val="231F20"/>
          <w:sz w:val="17"/>
        </w:rPr>
        <w:t>attraction</w:t>
      </w:r>
      <w:r>
        <w:rPr>
          <w:color w:val="231F20"/>
          <w:spacing w:val="3"/>
          <w:sz w:val="17"/>
        </w:rPr>
        <w:t xml:space="preserve"> </w:t>
      </w:r>
      <w:r>
        <w:rPr>
          <w:color w:val="231F20"/>
          <w:sz w:val="17"/>
        </w:rPr>
        <w:t>research.</w:t>
      </w:r>
      <w:r>
        <w:rPr>
          <w:color w:val="231F20"/>
          <w:spacing w:val="4"/>
          <w:sz w:val="17"/>
        </w:rPr>
        <w:t xml:space="preserve"> </w:t>
      </w:r>
      <w:r>
        <w:rPr>
          <w:i/>
          <w:color w:val="231F20"/>
          <w:sz w:val="17"/>
        </w:rPr>
        <w:t>Annals</w:t>
      </w:r>
      <w:r>
        <w:rPr>
          <w:i/>
          <w:color w:val="231F20"/>
          <w:spacing w:val="3"/>
          <w:sz w:val="17"/>
        </w:rPr>
        <w:t xml:space="preserve"> </w:t>
      </w:r>
      <w:r>
        <w:rPr>
          <w:i/>
          <w:color w:val="231F20"/>
          <w:sz w:val="17"/>
        </w:rPr>
        <w:t>of</w:t>
      </w:r>
      <w:r>
        <w:rPr>
          <w:i/>
          <w:color w:val="231F20"/>
          <w:spacing w:val="3"/>
          <w:sz w:val="17"/>
        </w:rPr>
        <w:t xml:space="preserve"> </w:t>
      </w:r>
      <w:r>
        <w:rPr>
          <w:i/>
          <w:color w:val="231F20"/>
          <w:sz w:val="17"/>
        </w:rPr>
        <w:t>Tourism</w:t>
      </w:r>
      <w:r>
        <w:rPr>
          <w:i/>
          <w:color w:val="231F20"/>
          <w:spacing w:val="3"/>
          <w:sz w:val="17"/>
        </w:rPr>
        <w:t xml:space="preserve"> </w:t>
      </w:r>
      <w:r>
        <w:rPr>
          <w:i/>
          <w:color w:val="231F20"/>
          <w:spacing w:val="-2"/>
          <w:sz w:val="17"/>
        </w:rPr>
        <w:t>Research</w:t>
      </w:r>
    </w:p>
    <w:p w14:paraId="20B68BF2" w14:textId="77777777" w:rsidR="00AE0598" w:rsidRDefault="0069255A">
      <w:pPr>
        <w:spacing w:before="1"/>
        <w:ind w:left="430"/>
        <w:jc w:val="both"/>
        <w:rPr>
          <w:sz w:val="17"/>
        </w:rPr>
      </w:pPr>
      <w:r>
        <w:rPr>
          <w:color w:val="231F20"/>
          <w:w w:val="90"/>
          <w:sz w:val="17"/>
        </w:rPr>
        <w:t>14</w:t>
      </w:r>
      <w:r>
        <w:rPr>
          <w:color w:val="231F20"/>
          <w:spacing w:val="-4"/>
          <w:sz w:val="17"/>
        </w:rPr>
        <w:t xml:space="preserve"> </w:t>
      </w:r>
      <w:r>
        <w:rPr>
          <w:color w:val="231F20"/>
          <w:w w:val="90"/>
          <w:sz w:val="17"/>
        </w:rPr>
        <w:t>(3),</w:t>
      </w:r>
      <w:r>
        <w:rPr>
          <w:color w:val="231F20"/>
          <w:spacing w:val="-4"/>
          <w:sz w:val="17"/>
        </w:rPr>
        <w:t xml:space="preserve"> </w:t>
      </w:r>
      <w:r>
        <w:rPr>
          <w:color w:val="231F20"/>
          <w:spacing w:val="-2"/>
          <w:w w:val="90"/>
          <w:sz w:val="17"/>
        </w:rPr>
        <w:t>553–575.</w:t>
      </w:r>
    </w:p>
    <w:p w14:paraId="16237F3C" w14:textId="77777777" w:rsidR="00AE0598" w:rsidRDefault="0069255A">
      <w:pPr>
        <w:ind w:left="110"/>
        <w:jc w:val="both"/>
        <w:rPr>
          <w:sz w:val="17"/>
        </w:rPr>
      </w:pPr>
      <w:r>
        <w:rPr>
          <w:color w:val="231F20"/>
          <w:sz w:val="17"/>
        </w:rPr>
        <w:t>Lew,</w:t>
      </w:r>
      <w:r>
        <w:rPr>
          <w:color w:val="231F20"/>
          <w:spacing w:val="-5"/>
          <w:sz w:val="17"/>
        </w:rPr>
        <w:t xml:space="preserve"> </w:t>
      </w:r>
      <w:r>
        <w:rPr>
          <w:color w:val="231F20"/>
          <w:sz w:val="17"/>
        </w:rPr>
        <w:t>A.A.</w:t>
      </w:r>
      <w:r>
        <w:rPr>
          <w:color w:val="231F20"/>
          <w:spacing w:val="-4"/>
          <w:sz w:val="17"/>
        </w:rPr>
        <w:t xml:space="preserve"> </w:t>
      </w:r>
      <w:r>
        <w:rPr>
          <w:color w:val="231F20"/>
          <w:sz w:val="17"/>
        </w:rPr>
        <w:t>(2001)</w:t>
      </w:r>
      <w:r>
        <w:rPr>
          <w:color w:val="231F20"/>
          <w:spacing w:val="-4"/>
          <w:sz w:val="17"/>
        </w:rPr>
        <w:t xml:space="preserve"> </w:t>
      </w:r>
      <w:r>
        <w:rPr>
          <w:color w:val="231F20"/>
          <w:sz w:val="17"/>
        </w:rPr>
        <w:t>Tourism</w:t>
      </w:r>
      <w:r>
        <w:rPr>
          <w:color w:val="231F20"/>
          <w:spacing w:val="-4"/>
          <w:sz w:val="17"/>
        </w:rPr>
        <w:t xml:space="preserve"> </w:t>
      </w:r>
      <w:r>
        <w:rPr>
          <w:color w:val="231F20"/>
          <w:sz w:val="17"/>
        </w:rPr>
        <w:t>and</w:t>
      </w:r>
      <w:r>
        <w:rPr>
          <w:color w:val="231F20"/>
          <w:spacing w:val="-4"/>
          <w:sz w:val="17"/>
        </w:rPr>
        <w:t xml:space="preserve"> </w:t>
      </w:r>
      <w:r>
        <w:rPr>
          <w:color w:val="231F20"/>
          <w:sz w:val="17"/>
        </w:rPr>
        <w:t>geography</w:t>
      </w:r>
      <w:r>
        <w:rPr>
          <w:color w:val="231F20"/>
          <w:spacing w:val="-4"/>
          <w:sz w:val="17"/>
        </w:rPr>
        <w:t xml:space="preserve"> </w:t>
      </w:r>
      <w:r>
        <w:rPr>
          <w:color w:val="231F20"/>
          <w:sz w:val="17"/>
        </w:rPr>
        <w:t>space.</w:t>
      </w:r>
      <w:r>
        <w:rPr>
          <w:color w:val="231F20"/>
          <w:spacing w:val="-4"/>
          <w:sz w:val="17"/>
        </w:rPr>
        <w:t xml:space="preserve"> </w:t>
      </w:r>
      <w:r>
        <w:rPr>
          <w:i/>
          <w:color w:val="231F20"/>
          <w:sz w:val="17"/>
        </w:rPr>
        <w:t>Tourism</w:t>
      </w:r>
      <w:r>
        <w:rPr>
          <w:i/>
          <w:color w:val="231F20"/>
          <w:spacing w:val="-4"/>
          <w:sz w:val="17"/>
        </w:rPr>
        <w:t xml:space="preserve"> </w:t>
      </w:r>
      <w:r>
        <w:rPr>
          <w:i/>
          <w:color w:val="231F20"/>
          <w:sz w:val="17"/>
        </w:rPr>
        <w:t>Geographies</w:t>
      </w:r>
      <w:r>
        <w:rPr>
          <w:i/>
          <w:color w:val="231F20"/>
          <w:spacing w:val="-4"/>
          <w:sz w:val="17"/>
        </w:rPr>
        <w:t xml:space="preserve"> </w:t>
      </w:r>
      <w:r>
        <w:rPr>
          <w:color w:val="231F20"/>
          <w:sz w:val="17"/>
        </w:rPr>
        <w:t>3</w:t>
      </w:r>
      <w:r>
        <w:rPr>
          <w:color w:val="231F20"/>
          <w:spacing w:val="-4"/>
          <w:sz w:val="17"/>
        </w:rPr>
        <w:t xml:space="preserve"> </w:t>
      </w:r>
      <w:r>
        <w:rPr>
          <w:color w:val="231F20"/>
          <w:sz w:val="17"/>
        </w:rPr>
        <w:t>(1),</w:t>
      </w:r>
      <w:r>
        <w:rPr>
          <w:color w:val="231F20"/>
          <w:spacing w:val="-4"/>
          <w:sz w:val="17"/>
        </w:rPr>
        <w:t xml:space="preserve"> </w:t>
      </w:r>
      <w:r>
        <w:rPr>
          <w:color w:val="231F20"/>
          <w:spacing w:val="-5"/>
          <w:sz w:val="17"/>
        </w:rPr>
        <w:t>1.</w:t>
      </w:r>
    </w:p>
    <w:p w14:paraId="6AD4DCBD" w14:textId="77777777" w:rsidR="00AE0598" w:rsidRDefault="0069255A">
      <w:pPr>
        <w:spacing w:before="1"/>
        <w:ind w:left="110"/>
        <w:jc w:val="both"/>
        <w:rPr>
          <w:sz w:val="17"/>
        </w:rPr>
      </w:pPr>
      <w:r>
        <w:rPr>
          <w:color w:val="231F20"/>
          <w:sz w:val="17"/>
        </w:rPr>
        <w:t>Lew,</w:t>
      </w:r>
      <w:r>
        <w:rPr>
          <w:color w:val="231F20"/>
          <w:spacing w:val="26"/>
          <w:sz w:val="17"/>
        </w:rPr>
        <w:t xml:space="preserve"> </w:t>
      </w:r>
      <w:r>
        <w:rPr>
          <w:color w:val="231F20"/>
          <w:sz w:val="17"/>
        </w:rPr>
        <w:t>A.A.</w:t>
      </w:r>
      <w:r>
        <w:rPr>
          <w:color w:val="231F20"/>
          <w:spacing w:val="27"/>
          <w:sz w:val="17"/>
        </w:rPr>
        <w:t xml:space="preserve"> </w:t>
      </w:r>
      <w:r>
        <w:rPr>
          <w:color w:val="231F20"/>
          <w:sz w:val="17"/>
        </w:rPr>
        <w:t>(2014)</w:t>
      </w:r>
      <w:r>
        <w:rPr>
          <w:color w:val="231F20"/>
          <w:spacing w:val="26"/>
          <w:sz w:val="17"/>
        </w:rPr>
        <w:t xml:space="preserve"> </w:t>
      </w:r>
      <w:r>
        <w:rPr>
          <w:color w:val="231F20"/>
          <w:sz w:val="17"/>
        </w:rPr>
        <w:t>Introduction:</w:t>
      </w:r>
      <w:r>
        <w:rPr>
          <w:color w:val="231F20"/>
          <w:spacing w:val="27"/>
          <w:sz w:val="17"/>
        </w:rPr>
        <w:t xml:space="preserve"> </w:t>
      </w:r>
      <w:r>
        <w:rPr>
          <w:color w:val="231F20"/>
          <w:sz w:val="17"/>
        </w:rPr>
        <w:t>Globalizing</w:t>
      </w:r>
      <w:r>
        <w:rPr>
          <w:color w:val="231F20"/>
          <w:spacing w:val="26"/>
          <w:sz w:val="17"/>
        </w:rPr>
        <w:t xml:space="preserve"> </w:t>
      </w:r>
      <w:r>
        <w:rPr>
          <w:color w:val="231F20"/>
          <w:sz w:val="17"/>
        </w:rPr>
        <w:t>people,</w:t>
      </w:r>
      <w:r>
        <w:rPr>
          <w:color w:val="231F20"/>
          <w:spacing w:val="27"/>
          <w:sz w:val="17"/>
        </w:rPr>
        <w:t xml:space="preserve"> </w:t>
      </w:r>
      <w:r>
        <w:rPr>
          <w:color w:val="231F20"/>
          <w:sz w:val="17"/>
        </w:rPr>
        <w:t>places,</w:t>
      </w:r>
      <w:r>
        <w:rPr>
          <w:color w:val="231F20"/>
          <w:spacing w:val="27"/>
          <w:sz w:val="17"/>
        </w:rPr>
        <w:t xml:space="preserve"> </w:t>
      </w:r>
      <w:r>
        <w:rPr>
          <w:color w:val="231F20"/>
          <w:sz w:val="17"/>
        </w:rPr>
        <w:t>and</w:t>
      </w:r>
      <w:r>
        <w:rPr>
          <w:color w:val="231F20"/>
          <w:spacing w:val="26"/>
          <w:sz w:val="17"/>
        </w:rPr>
        <w:t xml:space="preserve"> </w:t>
      </w:r>
      <w:r>
        <w:rPr>
          <w:color w:val="231F20"/>
          <w:sz w:val="17"/>
        </w:rPr>
        <w:t>markets</w:t>
      </w:r>
      <w:r>
        <w:rPr>
          <w:color w:val="231F20"/>
          <w:spacing w:val="27"/>
          <w:sz w:val="17"/>
        </w:rPr>
        <w:t xml:space="preserve"> </w:t>
      </w:r>
      <w:r>
        <w:rPr>
          <w:color w:val="231F20"/>
          <w:sz w:val="17"/>
        </w:rPr>
        <w:t>in</w:t>
      </w:r>
      <w:r>
        <w:rPr>
          <w:color w:val="231F20"/>
          <w:spacing w:val="26"/>
          <w:sz w:val="17"/>
        </w:rPr>
        <w:t xml:space="preserve"> </w:t>
      </w:r>
      <w:r>
        <w:rPr>
          <w:color w:val="231F20"/>
          <w:sz w:val="17"/>
        </w:rPr>
        <w:t>tourism.</w:t>
      </w:r>
      <w:r>
        <w:rPr>
          <w:color w:val="231F20"/>
          <w:spacing w:val="27"/>
          <w:sz w:val="17"/>
        </w:rPr>
        <w:t xml:space="preserve"> </w:t>
      </w:r>
      <w:r>
        <w:rPr>
          <w:color w:val="231F20"/>
          <w:spacing w:val="-5"/>
          <w:sz w:val="17"/>
        </w:rPr>
        <w:t>In</w:t>
      </w:r>
    </w:p>
    <w:p w14:paraId="0325247E" w14:textId="77777777" w:rsidR="00AE0598" w:rsidRDefault="0069255A">
      <w:pPr>
        <w:spacing w:before="1"/>
        <w:ind w:left="430" w:right="127"/>
        <w:jc w:val="both"/>
        <w:rPr>
          <w:sz w:val="17"/>
        </w:rPr>
      </w:pPr>
      <w:r>
        <w:rPr>
          <w:color w:val="231F20"/>
          <w:w w:val="105"/>
          <w:sz w:val="17"/>
        </w:rPr>
        <w:t xml:space="preserve">A.A. Lew, C.M. Hall and A.M. Williams (eds) </w:t>
      </w:r>
      <w:r>
        <w:rPr>
          <w:i/>
          <w:color w:val="231F20"/>
          <w:w w:val="105"/>
          <w:sz w:val="17"/>
        </w:rPr>
        <w:t>The Wiley Blackwell Companion to</w:t>
      </w:r>
      <w:r>
        <w:rPr>
          <w:i/>
          <w:color w:val="231F20"/>
          <w:spacing w:val="40"/>
          <w:w w:val="105"/>
          <w:sz w:val="17"/>
        </w:rPr>
        <w:t xml:space="preserve"> </w:t>
      </w:r>
      <w:r>
        <w:rPr>
          <w:i/>
          <w:color w:val="231F20"/>
          <w:w w:val="105"/>
          <w:sz w:val="17"/>
        </w:rPr>
        <w:t>Tourism</w:t>
      </w:r>
      <w:r>
        <w:rPr>
          <w:i/>
          <w:color w:val="231F20"/>
          <w:spacing w:val="-4"/>
          <w:w w:val="105"/>
          <w:sz w:val="17"/>
        </w:rPr>
        <w:t xml:space="preserve"> </w:t>
      </w:r>
      <w:r>
        <w:rPr>
          <w:color w:val="231F20"/>
          <w:w w:val="105"/>
          <w:sz w:val="17"/>
        </w:rPr>
        <w:t>(pp.</w:t>
      </w:r>
      <w:r>
        <w:rPr>
          <w:color w:val="231F20"/>
          <w:spacing w:val="-4"/>
          <w:w w:val="105"/>
          <w:sz w:val="17"/>
        </w:rPr>
        <w:t xml:space="preserve"> </w:t>
      </w:r>
      <w:r>
        <w:rPr>
          <w:color w:val="231F20"/>
          <w:w w:val="105"/>
          <w:sz w:val="17"/>
        </w:rPr>
        <w:t>191–196).</w:t>
      </w:r>
      <w:r>
        <w:rPr>
          <w:color w:val="231F20"/>
          <w:spacing w:val="-4"/>
          <w:w w:val="105"/>
          <w:sz w:val="17"/>
        </w:rPr>
        <w:t xml:space="preserve"> </w:t>
      </w:r>
      <w:r>
        <w:rPr>
          <w:color w:val="231F20"/>
          <w:w w:val="105"/>
          <w:sz w:val="17"/>
        </w:rPr>
        <w:t>Chichester:</w:t>
      </w:r>
      <w:r>
        <w:rPr>
          <w:color w:val="231F20"/>
          <w:spacing w:val="-4"/>
          <w:w w:val="105"/>
          <w:sz w:val="17"/>
        </w:rPr>
        <w:t xml:space="preserve"> </w:t>
      </w:r>
      <w:r>
        <w:rPr>
          <w:color w:val="231F20"/>
          <w:w w:val="105"/>
          <w:sz w:val="17"/>
        </w:rPr>
        <w:t>John</w:t>
      </w:r>
      <w:r>
        <w:rPr>
          <w:color w:val="231F20"/>
          <w:spacing w:val="-4"/>
          <w:w w:val="105"/>
          <w:sz w:val="17"/>
        </w:rPr>
        <w:t xml:space="preserve"> </w:t>
      </w:r>
      <w:r>
        <w:rPr>
          <w:color w:val="231F20"/>
          <w:w w:val="105"/>
          <w:sz w:val="17"/>
        </w:rPr>
        <w:t>Wiley</w:t>
      </w:r>
      <w:r>
        <w:rPr>
          <w:color w:val="231F20"/>
          <w:spacing w:val="-4"/>
          <w:w w:val="105"/>
          <w:sz w:val="17"/>
        </w:rPr>
        <w:t xml:space="preserve"> </w:t>
      </w:r>
      <w:r>
        <w:rPr>
          <w:color w:val="231F20"/>
          <w:w w:val="105"/>
          <w:sz w:val="17"/>
        </w:rPr>
        <w:t>&amp;</w:t>
      </w:r>
      <w:r>
        <w:rPr>
          <w:color w:val="231F20"/>
          <w:spacing w:val="-4"/>
          <w:w w:val="105"/>
          <w:sz w:val="17"/>
        </w:rPr>
        <w:t xml:space="preserve"> </w:t>
      </w:r>
      <w:r>
        <w:rPr>
          <w:color w:val="231F20"/>
          <w:w w:val="105"/>
          <w:sz w:val="17"/>
        </w:rPr>
        <w:t>Sons.</w:t>
      </w:r>
    </w:p>
    <w:p w14:paraId="42F5A38E" w14:textId="77777777" w:rsidR="00AE0598" w:rsidRDefault="0069255A">
      <w:pPr>
        <w:spacing w:before="1"/>
        <w:ind w:left="430" w:right="128" w:hanging="320"/>
        <w:jc w:val="both"/>
        <w:rPr>
          <w:sz w:val="17"/>
        </w:rPr>
      </w:pPr>
      <w:r>
        <w:rPr>
          <w:color w:val="231F20"/>
          <w:w w:val="95"/>
          <w:sz w:val="17"/>
        </w:rPr>
        <w:t xml:space="preserve">Lewicka, M. (2011) Place attachment: How far have we come in the last 40 years? </w:t>
      </w:r>
      <w:r>
        <w:rPr>
          <w:i/>
          <w:color w:val="231F20"/>
          <w:w w:val="95"/>
          <w:sz w:val="17"/>
        </w:rPr>
        <w:t>Journal of</w:t>
      </w:r>
      <w:r>
        <w:rPr>
          <w:i/>
          <w:color w:val="231F20"/>
          <w:spacing w:val="40"/>
          <w:sz w:val="17"/>
        </w:rPr>
        <w:t xml:space="preserve"> </w:t>
      </w:r>
      <w:r>
        <w:rPr>
          <w:i/>
          <w:color w:val="231F20"/>
          <w:sz w:val="17"/>
        </w:rPr>
        <w:t xml:space="preserve">Environmental Psychology </w:t>
      </w:r>
      <w:r>
        <w:rPr>
          <w:color w:val="231F20"/>
          <w:sz w:val="17"/>
        </w:rPr>
        <w:t>31 (3), 207–230.</w:t>
      </w:r>
    </w:p>
    <w:p w14:paraId="649057C0" w14:textId="77777777" w:rsidR="00AE0598" w:rsidRDefault="00AE0598">
      <w:pPr>
        <w:jc w:val="both"/>
        <w:rPr>
          <w:sz w:val="17"/>
        </w:rPr>
        <w:sectPr w:rsidR="00AE0598">
          <w:pgSz w:w="8850" w:h="13270"/>
          <w:pgMar w:top="720" w:right="1060" w:bottom="280" w:left="1080" w:header="720" w:footer="720" w:gutter="0"/>
          <w:cols w:space="720"/>
        </w:sectPr>
      </w:pPr>
    </w:p>
    <w:p w14:paraId="10835771" w14:textId="77777777" w:rsidR="00AE0598" w:rsidRDefault="0069255A">
      <w:pPr>
        <w:spacing w:before="87"/>
        <w:ind w:left="110" w:right="128"/>
        <w:jc w:val="right"/>
        <w:rPr>
          <w:rFonts w:ascii="Trebuchet MS"/>
          <w:sz w:val="14"/>
        </w:rPr>
      </w:pPr>
      <w:r>
        <w:rPr>
          <w:rFonts w:ascii="Trebuchet MS"/>
          <w:color w:val="231F20"/>
          <w:w w:val="105"/>
          <w:sz w:val="14"/>
        </w:rPr>
        <w:lastRenderedPageBreak/>
        <w:t>References</w:t>
      </w:r>
      <w:r>
        <w:rPr>
          <w:rFonts w:ascii="Trebuchet MS"/>
          <w:color w:val="231F20"/>
          <w:spacing w:val="67"/>
          <w:w w:val="105"/>
          <w:sz w:val="14"/>
        </w:rPr>
        <w:t xml:space="preserve"> </w:t>
      </w:r>
      <w:r>
        <w:rPr>
          <w:rFonts w:ascii="Trebuchet MS"/>
          <w:color w:val="231F20"/>
          <w:spacing w:val="-5"/>
          <w:w w:val="105"/>
          <w:sz w:val="14"/>
        </w:rPr>
        <w:t>261</w:t>
      </w:r>
    </w:p>
    <w:p w14:paraId="19BE32BD" w14:textId="77777777" w:rsidR="00AE0598" w:rsidRDefault="00AE0598">
      <w:pPr>
        <w:pStyle w:val="Corpodetexto"/>
        <w:rPr>
          <w:rFonts w:ascii="Trebuchet MS"/>
          <w:sz w:val="16"/>
        </w:rPr>
      </w:pPr>
    </w:p>
    <w:p w14:paraId="30AD4857" w14:textId="77777777" w:rsidR="00AE0598" w:rsidRDefault="0069255A">
      <w:pPr>
        <w:spacing w:before="121"/>
        <w:ind w:left="430" w:right="128" w:hanging="320"/>
        <w:jc w:val="both"/>
        <w:rPr>
          <w:sz w:val="17"/>
        </w:rPr>
      </w:pPr>
      <w:r>
        <w:rPr>
          <w:color w:val="231F20"/>
          <w:sz w:val="17"/>
        </w:rPr>
        <w:t xml:space="preserve">Lewis, G. and Redmond, G. (1974) </w:t>
      </w:r>
      <w:r>
        <w:rPr>
          <w:i/>
          <w:color w:val="231F20"/>
          <w:sz w:val="17"/>
        </w:rPr>
        <w:t>Sporting Heritage: A Guide to Halls of Fame, Special</w:t>
      </w:r>
      <w:r>
        <w:rPr>
          <w:i/>
          <w:color w:val="231F20"/>
          <w:spacing w:val="40"/>
          <w:sz w:val="17"/>
        </w:rPr>
        <w:t xml:space="preserve"> </w:t>
      </w:r>
      <w:r>
        <w:rPr>
          <w:i/>
          <w:color w:val="231F20"/>
          <w:sz w:val="17"/>
        </w:rPr>
        <w:t>Collect</w:t>
      </w:r>
      <w:r>
        <w:rPr>
          <w:i/>
          <w:color w:val="231F20"/>
          <w:sz w:val="17"/>
        </w:rPr>
        <w:t>ions</w:t>
      </w:r>
      <w:r>
        <w:rPr>
          <w:i/>
          <w:color w:val="231F20"/>
          <w:spacing w:val="35"/>
          <w:sz w:val="17"/>
        </w:rPr>
        <w:t xml:space="preserve"> </w:t>
      </w:r>
      <w:r>
        <w:rPr>
          <w:i/>
          <w:color w:val="231F20"/>
          <w:sz w:val="17"/>
        </w:rPr>
        <w:t>and</w:t>
      </w:r>
      <w:r>
        <w:rPr>
          <w:i/>
          <w:color w:val="231F20"/>
          <w:spacing w:val="35"/>
          <w:sz w:val="17"/>
        </w:rPr>
        <w:t xml:space="preserve"> </w:t>
      </w:r>
      <w:r>
        <w:rPr>
          <w:i/>
          <w:color w:val="231F20"/>
          <w:sz w:val="17"/>
        </w:rPr>
        <w:t>Museums</w:t>
      </w:r>
      <w:r>
        <w:rPr>
          <w:i/>
          <w:color w:val="231F20"/>
          <w:spacing w:val="35"/>
          <w:sz w:val="17"/>
        </w:rPr>
        <w:t xml:space="preserve"> </w:t>
      </w:r>
      <w:r>
        <w:rPr>
          <w:i/>
          <w:color w:val="231F20"/>
          <w:sz w:val="17"/>
        </w:rPr>
        <w:t>in</w:t>
      </w:r>
      <w:r>
        <w:rPr>
          <w:i/>
          <w:color w:val="231F20"/>
          <w:spacing w:val="36"/>
          <w:sz w:val="17"/>
        </w:rPr>
        <w:t xml:space="preserve"> </w:t>
      </w:r>
      <w:r>
        <w:rPr>
          <w:i/>
          <w:color w:val="231F20"/>
          <w:sz w:val="17"/>
        </w:rPr>
        <w:t>the</w:t>
      </w:r>
      <w:r>
        <w:rPr>
          <w:i/>
          <w:color w:val="231F20"/>
          <w:spacing w:val="35"/>
          <w:sz w:val="17"/>
        </w:rPr>
        <w:t xml:space="preserve"> </w:t>
      </w:r>
      <w:r>
        <w:rPr>
          <w:i/>
          <w:color w:val="231F20"/>
          <w:sz w:val="17"/>
        </w:rPr>
        <w:t>United</w:t>
      </w:r>
      <w:r>
        <w:rPr>
          <w:i/>
          <w:color w:val="231F20"/>
          <w:spacing w:val="35"/>
          <w:sz w:val="17"/>
        </w:rPr>
        <w:t xml:space="preserve"> </w:t>
      </w:r>
      <w:r>
        <w:rPr>
          <w:i/>
          <w:color w:val="231F20"/>
          <w:sz w:val="17"/>
        </w:rPr>
        <w:t>States</w:t>
      </w:r>
      <w:r>
        <w:rPr>
          <w:i/>
          <w:color w:val="231F20"/>
          <w:spacing w:val="35"/>
          <w:sz w:val="17"/>
        </w:rPr>
        <w:t xml:space="preserve"> </w:t>
      </w:r>
      <w:r>
        <w:rPr>
          <w:i/>
          <w:color w:val="231F20"/>
          <w:sz w:val="17"/>
        </w:rPr>
        <w:t>and</w:t>
      </w:r>
      <w:r>
        <w:rPr>
          <w:i/>
          <w:color w:val="231F20"/>
          <w:spacing w:val="36"/>
          <w:sz w:val="17"/>
        </w:rPr>
        <w:t xml:space="preserve"> </w:t>
      </w:r>
      <w:r>
        <w:rPr>
          <w:i/>
          <w:color w:val="231F20"/>
          <w:sz w:val="17"/>
        </w:rPr>
        <w:t>Canada</w:t>
      </w:r>
      <w:r>
        <w:rPr>
          <w:color w:val="231F20"/>
          <w:sz w:val="17"/>
        </w:rPr>
        <w:t>.</w:t>
      </w:r>
      <w:r>
        <w:rPr>
          <w:color w:val="231F20"/>
          <w:spacing w:val="35"/>
          <w:sz w:val="17"/>
        </w:rPr>
        <w:t xml:space="preserve"> </w:t>
      </w:r>
      <w:r>
        <w:rPr>
          <w:color w:val="231F20"/>
          <w:sz w:val="17"/>
        </w:rPr>
        <w:t>South</w:t>
      </w:r>
      <w:r>
        <w:rPr>
          <w:color w:val="231F20"/>
          <w:spacing w:val="35"/>
          <w:sz w:val="17"/>
        </w:rPr>
        <w:t xml:space="preserve"> </w:t>
      </w:r>
      <w:r>
        <w:rPr>
          <w:color w:val="231F20"/>
          <w:sz w:val="17"/>
        </w:rPr>
        <w:t>Brunswick,</w:t>
      </w:r>
      <w:r>
        <w:rPr>
          <w:color w:val="231F20"/>
          <w:spacing w:val="35"/>
          <w:sz w:val="17"/>
        </w:rPr>
        <w:t xml:space="preserve"> </w:t>
      </w:r>
      <w:r>
        <w:rPr>
          <w:color w:val="231F20"/>
          <w:spacing w:val="-5"/>
          <w:sz w:val="17"/>
        </w:rPr>
        <w:t>NJ:</w:t>
      </w:r>
    </w:p>
    <w:p w14:paraId="02BCF69E" w14:textId="77777777" w:rsidR="00AE0598" w:rsidRDefault="0069255A">
      <w:pPr>
        <w:spacing w:before="1"/>
        <w:ind w:left="430"/>
        <w:jc w:val="both"/>
        <w:rPr>
          <w:sz w:val="17"/>
        </w:rPr>
      </w:pPr>
      <w:r>
        <w:rPr>
          <w:color w:val="231F20"/>
          <w:w w:val="105"/>
          <w:sz w:val="17"/>
        </w:rPr>
        <w:t>A.S.</w:t>
      </w:r>
      <w:r>
        <w:rPr>
          <w:color w:val="231F20"/>
          <w:spacing w:val="1"/>
          <w:w w:val="105"/>
          <w:sz w:val="17"/>
        </w:rPr>
        <w:t xml:space="preserve"> </w:t>
      </w:r>
      <w:r>
        <w:rPr>
          <w:color w:val="231F20"/>
          <w:w w:val="105"/>
          <w:sz w:val="17"/>
        </w:rPr>
        <w:t>Barnes</w:t>
      </w:r>
      <w:r>
        <w:rPr>
          <w:color w:val="231F20"/>
          <w:spacing w:val="1"/>
          <w:w w:val="105"/>
          <w:sz w:val="17"/>
        </w:rPr>
        <w:t xml:space="preserve"> </w:t>
      </w:r>
      <w:r>
        <w:rPr>
          <w:color w:val="231F20"/>
          <w:w w:val="105"/>
          <w:sz w:val="17"/>
        </w:rPr>
        <w:t>and</w:t>
      </w:r>
      <w:r>
        <w:rPr>
          <w:color w:val="231F20"/>
          <w:spacing w:val="2"/>
          <w:w w:val="105"/>
          <w:sz w:val="17"/>
        </w:rPr>
        <w:t xml:space="preserve"> </w:t>
      </w:r>
      <w:r>
        <w:rPr>
          <w:color w:val="231F20"/>
          <w:w w:val="105"/>
          <w:sz w:val="17"/>
        </w:rPr>
        <w:t>Co.,</w:t>
      </w:r>
      <w:r>
        <w:rPr>
          <w:color w:val="231F20"/>
          <w:spacing w:val="1"/>
          <w:w w:val="105"/>
          <w:sz w:val="17"/>
        </w:rPr>
        <w:t xml:space="preserve"> </w:t>
      </w:r>
      <w:r>
        <w:rPr>
          <w:color w:val="231F20"/>
          <w:spacing w:val="-4"/>
          <w:w w:val="105"/>
          <w:sz w:val="17"/>
        </w:rPr>
        <w:t>Inc.</w:t>
      </w:r>
    </w:p>
    <w:p w14:paraId="264DCA0A" w14:textId="77777777" w:rsidR="00AE0598" w:rsidRDefault="0069255A">
      <w:pPr>
        <w:spacing w:before="1"/>
        <w:ind w:left="430" w:right="126" w:hanging="320"/>
        <w:jc w:val="both"/>
        <w:rPr>
          <w:sz w:val="17"/>
        </w:rPr>
      </w:pPr>
      <w:r>
        <w:rPr>
          <w:color w:val="231F20"/>
          <w:sz w:val="17"/>
        </w:rPr>
        <w:t>Lima, G.N. and Morais, R. (2014) The influence of tourism seasonality on family business</w:t>
      </w:r>
      <w:r>
        <w:rPr>
          <w:color w:val="231F20"/>
          <w:spacing w:val="40"/>
          <w:sz w:val="17"/>
        </w:rPr>
        <w:t xml:space="preserve"> </w:t>
      </w:r>
      <w:r>
        <w:rPr>
          <w:color w:val="231F20"/>
          <w:sz w:val="17"/>
        </w:rPr>
        <w:t>in peripheral regions (No. 03). Católica Porto Business School, Universidade Católica</w:t>
      </w:r>
      <w:r>
        <w:rPr>
          <w:color w:val="231F20"/>
          <w:spacing w:val="40"/>
          <w:sz w:val="17"/>
        </w:rPr>
        <w:t xml:space="preserve"> </w:t>
      </w:r>
      <w:r>
        <w:rPr>
          <w:color w:val="231F20"/>
          <w:spacing w:val="-2"/>
          <w:sz w:val="17"/>
        </w:rPr>
        <w:t>Portuguesa.</w:t>
      </w:r>
    </w:p>
    <w:p w14:paraId="114CB5C8" w14:textId="77777777" w:rsidR="00AE0598" w:rsidRDefault="0069255A">
      <w:pPr>
        <w:spacing w:before="2"/>
        <w:ind w:left="110"/>
        <w:jc w:val="both"/>
        <w:rPr>
          <w:i/>
          <w:sz w:val="17"/>
        </w:rPr>
      </w:pPr>
      <w:r>
        <w:rPr>
          <w:color w:val="231F20"/>
          <w:w w:val="95"/>
          <w:sz w:val="17"/>
        </w:rPr>
        <w:t>Liu,</w:t>
      </w:r>
      <w:r>
        <w:rPr>
          <w:color w:val="231F20"/>
          <w:spacing w:val="13"/>
          <w:sz w:val="17"/>
        </w:rPr>
        <w:t xml:space="preserve"> </w:t>
      </w:r>
      <w:r>
        <w:rPr>
          <w:color w:val="231F20"/>
          <w:w w:val="95"/>
          <w:sz w:val="17"/>
        </w:rPr>
        <w:t>Z.</w:t>
      </w:r>
      <w:r>
        <w:rPr>
          <w:color w:val="231F20"/>
          <w:spacing w:val="13"/>
          <w:sz w:val="17"/>
        </w:rPr>
        <w:t xml:space="preserve"> </w:t>
      </w:r>
      <w:r>
        <w:rPr>
          <w:color w:val="231F20"/>
          <w:w w:val="95"/>
          <w:sz w:val="17"/>
        </w:rPr>
        <w:t>(2003)</w:t>
      </w:r>
      <w:r>
        <w:rPr>
          <w:color w:val="231F20"/>
          <w:spacing w:val="13"/>
          <w:sz w:val="17"/>
        </w:rPr>
        <w:t xml:space="preserve"> </w:t>
      </w:r>
      <w:r>
        <w:rPr>
          <w:color w:val="231F20"/>
          <w:w w:val="95"/>
          <w:sz w:val="17"/>
        </w:rPr>
        <w:t>Sustainable</w:t>
      </w:r>
      <w:r>
        <w:rPr>
          <w:color w:val="231F20"/>
          <w:spacing w:val="13"/>
          <w:sz w:val="17"/>
        </w:rPr>
        <w:t xml:space="preserve"> </w:t>
      </w:r>
      <w:r>
        <w:rPr>
          <w:color w:val="231F20"/>
          <w:w w:val="95"/>
          <w:sz w:val="17"/>
        </w:rPr>
        <w:t>tourism</w:t>
      </w:r>
      <w:r>
        <w:rPr>
          <w:color w:val="231F20"/>
          <w:spacing w:val="13"/>
          <w:sz w:val="17"/>
        </w:rPr>
        <w:t xml:space="preserve"> </w:t>
      </w:r>
      <w:r>
        <w:rPr>
          <w:color w:val="231F20"/>
          <w:w w:val="95"/>
          <w:sz w:val="17"/>
        </w:rPr>
        <w:t>development:</w:t>
      </w:r>
      <w:r>
        <w:rPr>
          <w:color w:val="231F20"/>
          <w:spacing w:val="14"/>
          <w:sz w:val="17"/>
        </w:rPr>
        <w:t xml:space="preserve"> </w:t>
      </w:r>
      <w:r>
        <w:rPr>
          <w:color w:val="231F20"/>
          <w:w w:val="95"/>
          <w:sz w:val="17"/>
        </w:rPr>
        <w:t>A</w:t>
      </w:r>
      <w:r>
        <w:rPr>
          <w:color w:val="231F20"/>
          <w:spacing w:val="13"/>
          <w:sz w:val="17"/>
        </w:rPr>
        <w:t xml:space="preserve"> </w:t>
      </w:r>
      <w:r>
        <w:rPr>
          <w:color w:val="231F20"/>
          <w:w w:val="95"/>
          <w:sz w:val="17"/>
        </w:rPr>
        <w:t>critique.</w:t>
      </w:r>
      <w:r>
        <w:rPr>
          <w:color w:val="231F20"/>
          <w:spacing w:val="15"/>
          <w:sz w:val="17"/>
        </w:rPr>
        <w:t xml:space="preserve"> </w:t>
      </w:r>
      <w:r>
        <w:rPr>
          <w:i/>
          <w:color w:val="231F20"/>
          <w:w w:val="95"/>
          <w:sz w:val="17"/>
        </w:rPr>
        <w:t>Journal</w:t>
      </w:r>
      <w:r>
        <w:rPr>
          <w:i/>
          <w:color w:val="231F20"/>
          <w:spacing w:val="14"/>
          <w:sz w:val="17"/>
        </w:rPr>
        <w:t xml:space="preserve"> </w:t>
      </w:r>
      <w:r>
        <w:rPr>
          <w:i/>
          <w:color w:val="231F20"/>
          <w:w w:val="95"/>
          <w:sz w:val="17"/>
        </w:rPr>
        <w:t>o</w:t>
      </w:r>
      <w:r>
        <w:rPr>
          <w:i/>
          <w:color w:val="231F20"/>
          <w:w w:val="95"/>
          <w:sz w:val="17"/>
        </w:rPr>
        <w:t>f</w:t>
      </w:r>
      <w:r>
        <w:rPr>
          <w:i/>
          <w:color w:val="231F20"/>
          <w:spacing w:val="15"/>
          <w:sz w:val="17"/>
        </w:rPr>
        <w:t xml:space="preserve"> </w:t>
      </w:r>
      <w:r>
        <w:rPr>
          <w:i/>
          <w:color w:val="231F20"/>
          <w:w w:val="95"/>
          <w:sz w:val="17"/>
        </w:rPr>
        <w:t>Sustainable</w:t>
      </w:r>
      <w:r>
        <w:rPr>
          <w:i/>
          <w:color w:val="231F20"/>
          <w:spacing w:val="15"/>
          <w:sz w:val="17"/>
        </w:rPr>
        <w:t xml:space="preserve"> </w:t>
      </w:r>
      <w:r>
        <w:rPr>
          <w:i/>
          <w:color w:val="231F20"/>
          <w:spacing w:val="-2"/>
          <w:w w:val="95"/>
          <w:sz w:val="17"/>
        </w:rPr>
        <w:t>Tourism</w:t>
      </w:r>
    </w:p>
    <w:p w14:paraId="46E68376" w14:textId="77777777" w:rsidR="00AE0598" w:rsidRDefault="0069255A">
      <w:pPr>
        <w:spacing w:before="1"/>
        <w:ind w:left="430"/>
        <w:jc w:val="both"/>
        <w:rPr>
          <w:sz w:val="17"/>
        </w:rPr>
      </w:pPr>
      <w:r>
        <w:rPr>
          <w:color w:val="231F20"/>
          <w:w w:val="95"/>
          <w:sz w:val="17"/>
        </w:rPr>
        <w:t>11,</w:t>
      </w:r>
      <w:r>
        <w:rPr>
          <w:color w:val="231F20"/>
          <w:spacing w:val="-2"/>
          <w:w w:val="95"/>
          <w:sz w:val="17"/>
        </w:rPr>
        <w:t xml:space="preserve"> </w:t>
      </w:r>
      <w:r>
        <w:rPr>
          <w:color w:val="231F20"/>
          <w:spacing w:val="-2"/>
          <w:sz w:val="17"/>
        </w:rPr>
        <w:t>459–475.</w:t>
      </w:r>
    </w:p>
    <w:p w14:paraId="144E1C7D" w14:textId="77777777" w:rsidR="00AE0598" w:rsidRDefault="0069255A">
      <w:pPr>
        <w:ind w:left="430" w:right="128" w:hanging="320"/>
        <w:jc w:val="both"/>
        <w:rPr>
          <w:sz w:val="17"/>
        </w:rPr>
      </w:pPr>
      <w:r>
        <w:rPr>
          <w:color w:val="231F20"/>
          <w:w w:val="95"/>
          <w:sz w:val="17"/>
        </w:rPr>
        <w:t xml:space="preserve">Liverpool FC Supporters’ Club Scandinavia (2002) Liverpool. See </w:t>
      </w:r>
      <w:hyperlink r:id="rId55">
        <w:r>
          <w:rPr>
            <w:color w:val="231F20"/>
            <w:spacing w:val="-2"/>
            <w:w w:val="95"/>
            <w:sz w:val="17"/>
          </w:rPr>
          <w:t>h</w:t>
        </w:r>
        <w:r>
          <w:rPr>
            <w:color w:val="231F20"/>
            <w:spacing w:val="3"/>
            <w:w w:val="95"/>
            <w:sz w:val="17"/>
          </w:rPr>
          <w:t>tt</w:t>
        </w:r>
        <w:r>
          <w:rPr>
            <w:color w:val="231F20"/>
            <w:spacing w:val="-2"/>
            <w:w w:val="95"/>
            <w:sz w:val="17"/>
          </w:rPr>
          <w:t>p</w:t>
        </w:r>
        <w:r>
          <w:rPr>
            <w:color w:val="231F20"/>
            <w:spacing w:val="4"/>
            <w:w w:val="102"/>
            <w:sz w:val="17"/>
          </w:rPr>
          <w:t>:</w:t>
        </w:r>
        <w:r>
          <w:rPr>
            <w:color w:val="231F20"/>
            <w:spacing w:val="-4"/>
            <w:w w:val="57"/>
            <w:sz w:val="17"/>
          </w:rPr>
          <w:t>/</w:t>
        </w:r>
        <w:r>
          <w:rPr>
            <w:color w:val="231F20"/>
            <w:spacing w:val="-2"/>
            <w:w w:val="81"/>
            <w:sz w:val="17"/>
          </w:rPr>
          <w:t>/</w:t>
        </w:r>
        <w:r>
          <w:rPr>
            <w:color w:val="231F20"/>
            <w:spacing w:val="3"/>
            <w:w w:val="81"/>
            <w:sz w:val="17"/>
          </w:rPr>
          <w:t>w</w:t>
        </w:r>
        <w:r>
          <w:rPr>
            <w:color w:val="231F20"/>
            <w:spacing w:val="3"/>
            <w:w w:val="96"/>
            <w:sz w:val="17"/>
          </w:rPr>
          <w:t>w</w:t>
        </w:r>
        <w:r>
          <w:rPr>
            <w:color w:val="231F20"/>
            <w:spacing w:val="-9"/>
            <w:w w:val="96"/>
            <w:sz w:val="17"/>
          </w:rPr>
          <w:t>w</w:t>
        </w:r>
        <w:r>
          <w:rPr>
            <w:color w:val="231F20"/>
            <w:w w:val="132"/>
            <w:sz w:val="17"/>
          </w:rPr>
          <w:t>.</w:t>
        </w:r>
        <w:r>
          <w:rPr>
            <w:color w:val="231F20"/>
            <w:spacing w:val="2"/>
            <w:w w:val="99"/>
            <w:sz w:val="17"/>
          </w:rPr>
          <w:t>l</w:t>
        </w:r>
        <w:r>
          <w:rPr>
            <w:color w:val="231F20"/>
            <w:spacing w:val="-2"/>
            <w:w w:val="97"/>
            <w:sz w:val="17"/>
          </w:rPr>
          <w:t>i</w:t>
        </w:r>
        <w:r>
          <w:rPr>
            <w:color w:val="231F20"/>
            <w:spacing w:val="-3"/>
            <w:w w:val="95"/>
            <w:sz w:val="17"/>
          </w:rPr>
          <w:t>v</w:t>
        </w:r>
        <w:r>
          <w:rPr>
            <w:color w:val="231F20"/>
            <w:w w:val="87"/>
            <w:sz w:val="17"/>
          </w:rPr>
          <w:t>e</w:t>
        </w:r>
        <w:r>
          <w:rPr>
            <w:color w:val="231F20"/>
            <w:spacing w:val="3"/>
            <w:w w:val="90"/>
            <w:sz w:val="17"/>
          </w:rPr>
          <w:t>r</w:t>
        </w:r>
        <w:r>
          <w:rPr>
            <w:color w:val="231F20"/>
            <w:spacing w:val="1"/>
            <w:w w:val="95"/>
            <w:sz w:val="17"/>
          </w:rPr>
          <w:t>p</w:t>
        </w:r>
        <w:r>
          <w:rPr>
            <w:color w:val="231F20"/>
            <w:spacing w:val="1"/>
            <w:sz w:val="17"/>
          </w:rPr>
          <w:t>o</w:t>
        </w:r>
        <w:r>
          <w:rPr>
            <w:color w:val="231F20"/>
            <w:spacing w:val="-2"/>
            <w:w w:val="99"/>
            <w:sz w:val="17"/>
          </w:rPr>
          <w:t>o</w:t>
        </w:r>
        <w:r>
          <w:rPr>
            <w:color w:val="231F20"/>
            <w:w w:val="99"/>
            <w:sz w:val="17"/>
          </w:rPr>
          <w:t>l</w:t>
        </w:r>
        <w:r>
          <w:rPr>
            <w:color w:val="231F20"/>
            <w:spacing w:val="1"/>
            <w:w w:val="132"/>
            <w:sz w:val="17"/>
          </w:rPr>
          <w:t>.</w:t>
        </w:r>
        <w:r>
          <w:rPr>
            <w:color w:val="231F20"/>
            <w:spacing w:val="-1"/>
            <w:w w:val="95"/>
            <w:sz w:val="17"/>
          </w:rPr>
          <w:t>n</w:t>
        </w:r>
        <w:r>
          <w:rPr>
            <w:color w:val="231F20"/>
            <w:spacing w:val="2"/>
            <w:sz w:val="17"/>
          </w:rPr>
          <w:t>o</w:t>
        </w:r>
        <w:r>
          <w:rPr>
            <w:color w:val="231F20"/>
            <w:spacing w:val="-1"/>
            <w:w w:val="57"/>
            <w:sz w:val="17"/>
          </w:rPr>
          <w:t>/</w:t>
        </w:r>
      </w:hyperlink>
      <w:r>
        <w:rPr>
          <w:color w:val="231F20"/>
          <w:spacing w:val="40"/>
          <w:sz w:val="17"/>
        </w:rPr>
        <w:t xml:space="preserve"> </w:t>
      </w:r>
      <w:r>
        <w:rPr>
          <w:color w:val="231F20"/>
          <w:sz w:val="17"/>
        </w:rPr>
        <w:t>(accessed 25 September 2002).</w:t>
      </w:r>
    </w:p>
    <w:p w14:paraId="13A799FD" w14:textId="77777777" w:rsidR="00AE0598" w:rsidRDefault="0069255A">
      <w:pPr>
        <w:spacing w:before="2"/>
        <w:ind w:left="110"/>
        <w:jc w:val="both"/>
        <w:rPr>
          <w:sz w:val="17"/>
        </w:rPr>
      </w:pPr>
      <w:r>
        <w:rPr>
          <w:color w:val="231F20"/>
          <w:w w:val="95"/>
          <w:sz w:val="17"/>
        </w:rPr>
        <w:t>Lockwood,</w:t>
      </w:r>
      <w:r>
        <w:rPr>
          <w:color w:val="231F20"/>
          <w:spacing w:val="11"/>
          <w:sz w:val="17"/>
        </w:rPr>
        <w:t xml:space="preserve"> </w:t>
      </w:r>
      <w:r>
        <w:rPr>
          <w:color w:val="231F20"/>
          <w:w w:val="95"/>
          <w:sz w:val="17"/>
        </w:rPr>
        <w:t>A.</w:t>
      </w:r>
      <w:r>
        <w:rPr>
          <w:color w:val="231F20"/>
          <w:spacing w:val="14"/>
          <w:sz w:val="17"/>
        </w:rPr>
        <w:t xml:space="preserve"> </w:t>
      </w:r>
      <w:r>
        <w:rPr>
          <w:color w:val="231F20"/>
          <w:w w:val="95"/>
          <w:sz w:val="17"/>
        </w:rPr>
        <w:t>and</w:t>
      </w:r>
      <w:r>
        <w:rPr>
          <w:color w:val="231F20"/>
          <w:spacing w:val="14"/>
          <w:sz w:val="17"/>
        </w:rPr>
        <w:t xml:space="preserve"> </w:t>
      </w:r>
      <w:r>
        <w:rPr>
          <w:color w:val="231F20"/>
          <w:w w:val="95"/>
          <w:sz w:val="17"/>
        </w:rPr>
        <w:t>Guerrier,</w:t>
      </w:r>
      <w:r>
        <w:rPr>
          <w:color w:val="231F20"/>
          <w:spacing w:val="14"/>
          <w:sz w:val="17"/>
        </w:rPr>
        <w:t xml:space="preserve"> </w:t>
      </w:r>
      <w:r>
        <w:rPr>
          <w:color w:val="231F20"/>
          <w:w w:val="95"/>
          <w:sz w:val="17"/>
        </w:rPr>
        <w:t>Y.</w:t>
      </w:r>
      <w:r>
        <w:rPr>
          <w:color w:val="231F20"/>
          <w:spacing w:val="14"/>
          <w:sz w:val="17"/>
        </w:rPr>
        <w:t xml:space="preserve"> </w:t>
      </w:r>
      <w:r>
        <w:rPr>
          <w:color w:val="231F20"/>
          <w:w w:val="95"/>
          <w:sz w:val="17"/>
        </w:rPr>
        <w:t>(1990)</w:t>
      </w:r>
      <w:r>
        <w:rPr>
          <w:color w:val="231F20"/>
          <w:spacing w:val="14"/>
          <w:sz w:val="17"/>
        </w:rPr>
        <w:t xml:space="preserve"> </w:t>
      </w:r>
      <w:r>
        <w:rPr>
          <w:color w:val="231F20"/>
          <w:w w:val="95"/>
          <w:sz w:val="17"/>
        </w:rPr>
        <w:t>Labour</w:t>
      </w:r>
      <w:r>
        <w:rPr>
          <w:color w:val="231F20"/>
          <w:spacing w:val="13"/>
          <w:sz w:val="17"/>
        </w:rPr>
        <w:t xml:space="preserve"> </w:t>
      </w:r>
      <w:r>
        <w:rPr>
          <w:color w:val="231F20"/>
          <w:w w:val="95"/>
          <w:sz w:val="17"/>
        </w:rPr>
        <w:t>shortages</w:t>
      </w:r>
      <w:r>
        <w:rPr>
          <w:color w:val="231F20"/>
          <w:spacing w:val="14"/>
          <w:sz w:val="17"/>
        </w:rPr>
        <w:t xml:space="preserve"> </w:t>
      </w:r>
      <w:r>
        <w:rPr>
          <w:color w:val="231F20"/>
          <w:w w:val="95"/>
          <w:sz w:val="17"/>
        </w:rPr>
        <w:t>in</w:t>
      </w:r>
      <w:r>
        <w:rPr>
          <w:color w:val="231F20"/>
          <w:spacing w:val="14"/>
          <w:sz w:val="17"/>
        </w:rPr>
        <w:t xml:space="preserve"> </w:t>
      </w:r>
      <w:r>
        <w:rPr>
          <w:color w:val="231F20"/>
          <w:w w:val="95"/>
          <w:sz w:val="17"/>
        </w:rPr>
        <w:t>the</w:t>
      </w:r>
      <w:r>
        <w:rPr>
          <w:color w:val="231F20"/>
          <w:spacing w:val="14"/>
          <w:sz w:val="17"/>
        </w:rPr>
        <w:t xml:space="preserve"> </w:t>
      </w:r>
      <w:r>
        <w:rPr>
          <w:color w:val="231F20"/>
          <w:w w:val="95"/>
          <w:sz w:val="17"/>
        </w:rPr>
        <w:t>international</w:t>
      </w:r>
      <w:r>
        <w:rPr>
          <w:color w:val="231F20"/>
          <w:spacing w:val="14"/>
          <w:sz w:val="17"/>
        </w:rPr>
        <w:t xml:space="preserve"> </w:t>
      </w:r>
      <w:r>
        <w:rPr>
          <w:color w:val="231F20"/>
          <w:w w:val="95"/>
          <w:sz w:val="17"/>
        </w:rPr>
        <w:t>hotel</w:t>
      </w:r>
      <w:r>
        <w:rPr>
          <w:color w:val="231F20"/>
          <w:spacing w:val="14"/>
          <w:sz w:val="17"/>
        </w:rPr>
        <w:t xml:space="preserve"> </w:t>
      </w:r>
      <w:r>
        <w:rPr>
          <w:color w:val="231F20"/>
          <w:spacing w:val="-2"/>
          <w:w w:val="95"/>
          <w:sz w:val="17"/>
        </w:rPr>
        <w:t>industry.</w:t>
      </w:r>
    </w:p>
    <w:p w14:paraId="1FCB49B1" w14:textId="77777777" w:rsidR="00AE0598" w:rsidRDefault="0069255A">
      <w:pPr>
        <w:spacing w:before="1"/>
        <w:ind w:left="430"/>
        <w:jc w:val="both"/>
        <w:rPr>
          <w:sz w:val="17"/>
        </w:rPr>
      </w:pPr>
      <w:r>
        <w:rPr>
          <w:i/>
          <w:color w:val="231F20"/>
          <w:sz w:val="17"/>
        </w:rPr>
        <w:t>Travel</w:t>
      </w:r>
      <w:r>
        <w:rPr>
          <w:i/>
          <w:color w:val="231F20"/>
          <w:spacing w:val="10"/>
          <w:sz w:val="17"/>
        </w:rPr>
        <w:t xml:space="preserve"> </w:t>
      </w:r>
      <w:r>
        <w:rPr>
          <w:i/>
          <w:color w:val="231F20"/>
          <w:sz w:val="17"/>
        </w:rPr>
        <w:t>and</w:t>
      </w:r>
      <w:r>
        <w:rPr>
          <w:i/>
          <w:color w:val="231F20"/>
          <w:spacing w:val="10"/>
          <w:sz w:val="17"/>
        </w:rPr>
        <w:t xml:space="preserve"> </w:t>
      </w:r>
      <w:r>
        <w:rPr>
          <w:i/>
          <w:color w:val="231F20"/>
          <w:sz w:val="17"/>
        </w:rPr>
        <w:t>Tourism</w:t>
      </w:r>
      <w:r>
        <w:rPr>
          <w:i/>
          <w:color w:val="231F20"/>
          <w:spacing w:val="11"/>
          <w:sz w:val="17"/>
        </w:rPr>
        <w:t xml:space="preserve"> </w:t>
      </w:r>
      <w:r>
        <w:rPr>
          <w:i/>
          <w:color w:val="231F20"/>
          <w:sz w:val="17"/>
        </w:rPr>
        <w:t>Analyst</w:t>
      </w:r>
      <w:r>
        <w:rPr>
          <w:i/>
          <w:color w:val="231F20"/>
          <w:spacing w:val="10"/>
          <w:sz w:val="17"/>
        </w:rPr>
        <w:t xml:space="preserve"> </w:t>
      </w:r>
      <w:r>
        <w:rPr>
          <w:color w:val="231F20"/>
          <w:sz w:val="17"/>
        </w:rPr>
        <w:t>6,</w:t>
      </w:r>
      <w:r>
        <w:rPr>
          <w:color w:val="231F20"/>
          <w:spacing w:val="10"/>
          <w:sz w:val="17"/>
        </w:rPr>
        <w:t xml:space="preserve"> </w:t>
      </w:r>
      <w:r>
        <w:rPr>
          <w:color w:val="231F20"/>
          <w:spacing w:val="-2"/>
          <w:sz w:val="17"/>
        </w:rPr>
        <w:t>17–35.</w:t>
      </w:r>
    </w:p>
    <w:p w14:paraId="54D6C96A" w14:textId="77777777" w:rsidR="00AE0598" w:rsidRDefault="0069255A">
      <w:pPr>
        <w:ind w:left="430" w:right="128" w:hanging="320"/>
        <w:jc w:val="both"/>
        <w:rPr>
          <w:sz w:val="17"/>
        </w:rPr>
      </w:pPr>
      <w:r>
        <w:rPr>
          <w:color w:val="231F20"/>
          <w:sz w:val="17"/>
        </w:rPr>
        <w:t xml:space="preserve">Lopez Bonilla, </w:t>
      </w:r>
      <w:r>
        <w:rPr>
          <w:color w:val="231F20"/>
          <w:w w:val="115"/>
          <w:sz w:val="17"/>
        </w:rPr>
        <w:t xml:space="preserve">J.M., </w:t>
      </w:r>
      <w:r>
        <w:rPr>
          <w:color w:val="231F20"/>
          <w:sz w:val="17"/>
        </w:rPr>
        <w:t xml:space="preserve">Lopez Bonilla, </w:t>
      </w:r>
      <w:r>
        <w:rPr>
          <w:color w:val="231F20"/>
          <w:w w:val="115"/>
          <w:sz w:val="17"/>
        </w:rPr>
        <w:t xml:space="preserve">L.M. </w:t>
      </w:r>
      <w:r>
        <w:rPr>
          <w:color w:val="231F20"/>
          <w:sz w:val="17"/>
        </w:rPr>
        <w:t>and Sanz Altamira, B. (2006) Patterns of tourist</w:t>
      </w:r>
      <w:r>
        <w:rPr>
          <w:color w:val="231F20"/>
          <w:spacing w:val="40"/>
          <w:sz w:val="17"/>
        </w:rPr>
        <w:t xml:space="preserve"> </w:t>
      </w:r>
      <w:r>
        <w:rPr>
          <w:color w:val="231F20"/>
          <w:sz w:val="17"/>
        </w:rPr>
        <w:t xml:space="preserve">seasonality in Spanish regions, </w:t>
      </w:r>
      <w:r>
        <w:rPr>
          <w:i/>
          <w:color w:val="231F20"/>
          <w:sz w:val="17"/>
        </w:rPr>
        <w:t xml:space="preserve">Tourism Planning </w:t>
      </w:r>
      <w:r>
        <w:rPr>
          <w:i/>
          <w:color w:val="231F20"/>
          <w:w w:val="115"/>
          <w:sz w:val="17"/>
        </w:rPr>
        <w:t xml:space="preserve">&amp; </w:t>
      </w:r>
      <w:r>
        <w:rPr>
          <w:i/>
          <w:color w:val="231F20"/>
          <w:sz w:val="17"/>
        </w:rPr>
        <w:t xml:space="preserve">Development </w:t>
      </w:r>
      <w:r>
        <w:rPr>
          <w:color w:val="231F20"/>
          <w:sz w:val="17"/>
        </w:rPr>
        <w:t>3 (3), 241–256.</w:t>
      </w:r>
    </w:p>
    <w:p w14:paraId="4EF9D79A" w14:textId="77777777" w:rsidR="00AE0598" w:rsidRDefault="0069255A">
      <w:pPr>
        <w:spacing w:before="2"/>
        <w:ind w:left="430" w:right="122" w:hanging="320"/>
        <w:jc w:val="both"/>
        <w:rPr>
          <w:sz w:val="17"/>
        </w:rPr>
      </w:pPr>
      <w:r>
        <w:rPr>
          <w:color w:val="231F20"/>
          <w:sz w:val="17"/>
        </w:rPr>
        <w:t xml:space="preserve">Loverseed, H. (2000) Winter sports in North America. </w:t>
      </w:r>
      <w:r>
        <w:rPr>
          <w:i/>
          <w:color w:val="231F20"/>
          <w:sz w:val="17"/>
        </w:rPr>
        <w:t xml:space="preserve">Travel and Tourism Analyst </w:t>
      </w:r>
      <w:r>
        <w:rPr>
          <w:color w:val="231F20"/>
          <w:sz w:val="17"/>
        </w:rPr>
        <w:t>6,</w:t>
      </w:r>
      <w:r>
        <w:rPr>
          <w:color w:val="231F20"/>
          <w:spacing w:val="40"/>
          <w:sz w:val="17"/>
        </w:rPr>
        <w:t xml:space="preserve"> </w:t>
      </w:r>
      <w:r>
        <w:rPr>
          <w:color w:val="231F20"/>
          <w:spacing w:val="-2"/>
          <w:sz w:val="17"/>
        </w:rPr>
        <w:t>45–62.</w:t>
      </w:r>
    </w:p>
    <w:p w14:paraId="61D0FE98" w14:textId="77777777" w:rsidR="00AE0598" w:rsidRDefault="0069255A">
      <w:pPr>
        <w:spacing w:before="1"/>
        <w:ind w:left="430" w:right="125" w:hanging="320"/>
        <w:jc w:val="both"/>
        <w:rPr>
          <w:sz w:val="17"/>
        </w:rPr>
      </w:pPr>
      <w:r>
        <w:rPr>
          <w:color w:val="231F20"/>
          <w:sz w:val="17"/>
        </w:rPr>
        <w:t xml:space="preserve">Loverseed, H. (2001) Sports tourism in North America. </w:t>
      </w:r>
      <w:r>
        <w:rPr>
          <w:i/>
          <w:color w:val="231F20"/>
          <w:sz w:val="17"/>
        </w:rPr>
        <w:t xml:space="preserve">Travel and Tourism Analyst </w:t>
      </w:r>
      <w:r>
        <w:rPr>
          <w:color w:val="231F20"/>
          <w:sz w:val="17"/>
        </w:rPr>
        <w:t>3,</w:t>
      </w:r>
      <w:r>
        <w:rPr>
          <w:color w:val="231F20"/>
          <w:spacing w:val="40"/>
          <w:sz w:val="17"/>
        </w:rPr>
        <w:t xml:space="preserve"> </w:t>
      </w:r>
      <w:r>
        <w:rPr>
          <w:color w:val="231F20"/>
          <w:spacing w:val="-2"/>
          <w:sz w:val="17"/>
        </w:rPr>
        <w:t>25–41.</w:t>
      </w:r>
    </w:p>
    <w:p w14:paraId="29C3EA48" w14:textId="77777777" w:rsidR="00AE0598" w:rsidRDefault="0069255A">
      <w:pPr>
        <w:spacing w:before="1"/>
        <w:ind w:left="430" w:right="127" w:hanging="320"/>
        <w:jc w:val="both"/>
        <w:rPr>
          <w:sz w:val="17"/>
        </w:rPr>
      </w:pPr>
      <w:r>
        <w:rPr>
          <w:color w:val="231F20"/>
          <w:sz w:val="17"/>
        </w:rPr>
        <w:t>Lowes, M. and Awde, C. (2015) Sport tourism and the discour</w:t>
      </w:r>
      <w:r>
        <w:rPr>
          <w:color w:val="231F20"/>
          <w:sz w:val="17"/>
        </w:rPr>
        <w:t>se of social cohesion at the</w:t>
      </w:r>
      <w:r>
        <w:rPr>
          <w:color w:val="231F20"/>
          <w:spacing w:val="40"/>
          <w:sz w:val="17"/>
        </w:rPr>
        <w:t xml:space="preserve"> </w:t>
      </w:r>
      <w:r>
        <w:rPr>
          <w:color w:val="231F20"/>
          <w:sz w:val="17"/>
        </w:rPr>
        <w:t xml:space="preserve">world pond hockey championship event. </w:t>
      </w:r>
      <w:r>
        <w:rPr>
          <w:i/>
          <w:color w:val="231F20"/>
          <w:sz w:val="17"/>
        </w:rPr>
        <w:t>International Journal of Social Ecology and</w:t>
      </w:r>
      <w:r>
        <w:rPr>
          <w:i/>
          <w:color w:val="231F20"/>
          <w:spacing w:val="40"/>
          <w:sz w:val="17"/>
        </w:rPr>
        <w:t xml:space="preserve"> </w:t>
      </w:r>
      <w:r>
        <w:rPr>
          <w:i/>
          <w:color w:val="231F20"/>
          <w:sz w:val="17"/>
        </w:rPr>
        <w:t xml:space="preserve">Sustainable Development (IJSESD) </w:t>
      </w:r>
      <w:r>
        <w:rPr>
          <w:color w:val="231F20"/>
          <w:sz w:val="17"/>
        </w:rPr>
        <w:t>6 (2), 90–101.</w:t>
      </w:r>
    </w:p>
    <w:p w14:paraId="5BFF968F" w14:textId="77777777" w:rsidR="00AE0598" w:rsidRDefault="0069255A">
      <w:pPr>
        <w:spacing w:before="3"/>
        <w:ind w:left="430" w:right="127" w:hanging="320"/>
        <w:jc w:val="both"/>
        <w:rPr>
          <w:sz w:val="17"/>
        </w:rPr>
      </w:pPr>
      <w:r>
        <w:rPr>
          <w:color w:val="231F20"/>
          <w:w w:val="105"/>
          <w:sz w:val="17"/>
        </w:rPr>
        <w:t xml:space="preserve">Loy, J.W., McPherson, B.D. and Kenyon, G. (1978) </w:t>
      </w:r>
      <w:r>
        <w:rPr>
          <w:i/>
          <w:color w:val="231F20"/>
          <w:w w:val="105"/>
          <w:sz w:val="17"/>
        </w:rPr>
        <w:t>Sport and Social Systems: A Guide to</w:t>
      </w:r>
      <w:r>
        <w:rPr>
          <w:i/>
          <w:color w:val="231F20"/>
          <w:spacing w:val="40"/>
          <w:w w:val="105"/>
          <w:sz w:val="17"/>
        </w:rPr>
        <w:t xml:space="preserve"> </w:t>
      </w:r>
      <w:r>
        <w:rPr>
          <w:i/>
          <w:color w:val="231F20"/>
          <w:w w:val="105"/>
          <w:sz w:val="17"/>
        </w:rPr>
        <w:t>the</w:t>
      </w:r>
      <w:r>
        <w:rPr>
          <w:i/>
          <w:color w:val="231F20"/>
          <w:spacing w:val="-5"/>
          <w:w w:val="105"/>
          <w:sz w:val="17"/>
        </w:rPr>
        <w:t xml:space="preserve"> </w:t>
      </w:r>
      <w:r>
        <w:rPr>
          <w:i/>
          <w:color w:val="231F20"/>
          <w:w w:val="105"/>
          <w:sz w:val="17"/>
        </w:rPr>
        <w:t>Analysis</w:t>
      </w:r>
      <w:r>
        <w:rPr>
          <w:i/>
          <w:color w:val="231F20"/>
          <w:spacing w:val="-5"/>
          <w:w w:val="105"/>
          <w:sz w:val="17"/>
        </w:rPr>
        <w:t xml:space="preserve"> </w:t>
      </w:r>
      <w:r>
        <w:rPr>
          <w:i/>
          <w:color w:val="231F20"/>
          <w:w w:val="105"/>
          <w:sz w:val="17"/>
        </w:rPr>
        <w:t>of</w:t>
      </w:r>
      <w:r>
        <w:rPr>
          <w:i/>
          <w:color w:val="231F20"/>
          <w:spacing w:val="-5"/>
          <w:w w:val="105"/>
          <w:sz w:val="17"/>
        </w:rPr>
        <w:t xml:space="preserve"> </w:t>
      </w:r>
      <w:r>
        <w:rPr>
          <w:i/>
          <w:color w:val="231F20"/>
          <w:w w:val="105"/>
          <w:sz w:val="17"/>
        </w:rPr>
        <w:t>Problems</w:t>
      </w:r>
      <w:r>
        <w:rPr>
          <w:i/>
          <w:color w:val="231F20"/>
          <w:spacing w:val="-5"/>
          <w:w w:val="105"/>
          <w:sz w:val="17"/>
        </w:rPr>
        <w:t xml:space="preserve"> </w:t>
      </w:r>
      <w:r>
        <w:rPr>
          <w:i/>
          <w:color w:val="231F20"/>
          <w:w w:val="105"/>
          <w:sz w:val="17"/>
        </w:rPr>
        <w:t>and</w:t>
      </w:r>
      <w:r>
        <w:rPr>
          <w:i/>
          <w:color w:val="231F20"/>
          <w:spacing w:val="-5"/>
          <w:w w:val="105"/>
          <w:sz w:val="17"/>
        </w:rPr>
        <w:t xml:space="preserve"> </w:t>
      </w:r>
      <w:r>
        <w:rPr>
          <w:i/>
          <w:color w:val="231F20"/>
          <w:w w:val="105"/>
          <w:sz w:val="17"/>
        </w:rPr>
        <w:t>Literature</w:t>
      </w:r>
      <w:r>
        <w:rPr>
          <w:color w:val="231F20"/>
          <w:w w:val="105"/>
          <w:sz w:val="17"/>
        </w:rPr>
        <w:t>.</w:t>
      </w:r>
      <w:r>
        <w:rPr>
          <w:color w:val="231F20"/>
          <w:spacing w:val="-5"/>
          <w:w w:val="105"/>
          <w:sz w:val="17"/>
        </w:rPr>
        <w:t xml:space="preserve"> </w:t>
      </w:r>
      <w:r>
        <w:rPr>
          <w:color w:val="231F20"/>
          <w:w w:val="105"/>
          <w:sz w:val="17"/>
        </w:rPr>
        <w:t>Reading:</w:t>
      </w:r>
      <w:r>
        <w:rPr>
          <w:color w:val="231F20"/>
          <w:spacing w:val="-5"/>
          <w:w w:val="105"/>
          <w:sz w:val="17"/>
        </w:rPr>
        <w:t xml:space="preserve"> </w:t>
      </w:r>
      <w:r>
        <w:rPr>
          <w:color w:val="231F20"/>
          <w:w w:val="105"/>
          <w:sz w:val="17"/>
        </w:rPr>
        <w:t>Addison</w:t>
      </w:r>
      <w:r>
        <w:rPr>
          <w:color w:val="231F20"/>
          <w:spacing w:val="-5"/>
          <w:w w:val="105"/>
          <w:sz w:val="17"/>
        </w:rPr>
        <w:t xml:space="preserve"> </w:t>
      </w:r>
      <w:r>
        <w:rPr>
          <w:color w:val="231F20"/>
          <w:w w:val="105"/>
          <w:sz w:val="17"/>
        </w:rPr>
        <w:t>Wesley.</w:t>
      </w:r>
    </w:p>
    <w:p w14:paraId="773FD3F2" w14:textId="77777777" w:rsidR="00AE0598" w:rsidRDefault="0069255A">
      <w:pPr>
        <w:spacing w:before="1"/>
        <w:ind w:left="430" w:right="127" w:hanging="320"/>
        <w:jc w:val="both"/>
        <w:rPr>
          <w:sz w:val="17"/>
        </w:rPr>
      </w:pPr>
      <w:r>
        <w:rPr>
          <w:color w:val="231F20"/>
          <w:w w:val="105"/>
          <w:sz w:val="17"/>
        </w:rPr>
        <w:t>Loy,</w:t>
      </w:r>
      <w:r>
        <w:rPr>
          <w:color w:val="231F20"/>
          <w:spacing w:val="-10"/>
          <w:w w:val="105"/>
          <w:sz w:val="17"/>
        </w:rPr>
        <w:t xml:space="preserve"> </w:t>
      </w:r>
      <w:r>
        <w:rPr>
          <w:color w:val="231F20"/>
          <w:w w:val="105"/>
          <w:sz w:val="17"/>
        </w:rPr>
        <w:t>J.W.,</w:t>
      </w:r>
      <w:r>
        <w:rPr>
          <w:color w:val="231F20"/>
          <w:spacing w:val="-10"/>
          <w:w w:val="105"/>
          <w:sz w:val="17"/>
        </w:rPr>
        <w:t xml:space="preserve"> </w:t>
      </w:r>
      <w:r>
        <w:rPr>
          <w:color w:val="231F20"/>
          <w:w w:val="105"/>
          <w:sz w:val="17"/>
        </w:rPr>
        <w:t>McPherson,</w:t>
      </w:r>
      <w:r>
        <w:rPr>
          <w:color w:val="231F20"/>
          <w:spacing w:val="-10"/>
          <w:w w:val="105"/>
          <w:sz w:val="17"/>
        </w:rPr>
        <w:t xml:space="preserve"> </w:t>
      </w:r>
      <w:r>
        <w:rPr>
          <w:color w:val="231F20"/>
          <w:w w:val="105"/>
          <w:sz w:val="17"/>
        </w:rPr>
        <w:t>B.D.</w:t>
      </w:r>
      <w:r>
        <w:rPr>
          <w:color w:val="231F20"/>
          <w:spacing w:val="-10"/>
          <w:w w:val="105"/>
          <w:sz w:val="17"/>
        </w:rPr>
        <w:t xml:space="preserve"> </w:t>
      </w:r>
      <w:r>
        <w:rPr>
          <w:color w:val="231F20"/>
          <w:w w:val="105"/>
          <w:sz w:val="17"/>
        </w:rPr>
        <w:t>and</w:t>
      </w:r>
      <w:r>
        <w:rPr>
          <w:color w:val="231F20"/>
          <w:spacing w:val="-10"/>
          <w:w w:val="105"/>
          <w:sz w:val="17"/>
        </w:rPr>
        <w:t xml:space="preserve"> </w:t>
      </w:r>
      <w:r>
        <w:rPr>
          <w:color w:val="231F20"/>
          <w:w w:val="105"/>
          <w:sz w:val="17"/>
        </w:rPr>
        <w:t>Kenyon,</w:t>
      </w:r>
      <w:r>
        <w:rPr>
          <w:color w:val="231F20"/>
          <w:spacing w:val="-9"/>
          <w:w w:val="105"/>
          <w:sz w:val="17"/>
        </w:rPr>
        <w:t xml:space="preserve"> </w:t>
      </w:r>
      <w:r>
        <w:rPr>
          <w:color w:val="231F20"/>
          <w:w w:val="105"/>
          <w:sz w:val="17"/>
        </w:rPr>
        <w:t>G.</w:t>
      </w:r>
      <w:r>
        <w:rPr>
          <w:color w:val="231F20"/>
          <w:spacing w:val="-10"/>
          <w:w w:val="105"/>
          <w:sz w:val="17"/>
        </w:rPr>
        <w:t xml:space="preserve"> </w:t>
      </w:r>
      <w:r>
        <w:rPr>
          <w:color w:val="231F20"/>
          <w:w w:val="105"/>
          <w:sz w:val="17"/>
        </w:rPr>
        <w:t>(1978)</w:t>
      </w:r>
      <w:r>
        <w:rPr>
          <w:color w:val="231F20"/>
          <w:spacing w:val="-10"/>
          <w:w w:val="105"/>
          <w:sz w:val="17"/>
        </w:rPr>
        <w:t xml:space="preserve"> </w:t>
      </w:r>
      <w:r>
        <w:rPr>
          <w:color w:val="231F20"/>
          <w:w w:val="105"/>
          <w:sz w:val="17"/>
        </w:rPr>
        <w:t>Sport</w:t>
      </w:r>
      <w:r>
        <w:rPr>
          <w:color w:val="231F20"/>
          <w:spacing w:val="-10"/>
          <w:w w:val="105"/>
          <w:sz w:val="17"/>
        </w:rPr>
        <w:t xml:space="preserve"> </w:t>
      </w:r>
      <w:r>
        <w:rPr>
          <w:color w:val="231F20"/>
          <w:w w:val="105"/>
          <w:sz w:val="17"/>
        </w:rPr>
        <w:t>as</w:t>
      </w:r>
      <w:r>
        <w:rPr>
          <w:color w:val="231F20"/>
          <w:spacing w:val="-10"/>
          <w:w w:val="105"/>
          <w:sz w:val="17"/>
        </w:rPr>
        <w:t xml:space="preserve"> </w:t>
      </w:r>
      <w:r>
        <w:rPr>
          <w:color w:val="231F20"/>
          <w:w w:val="105"/>
          <w:sz w:val="17"/>
        </w:rPr>
        <w:t>a</w:t>
      </w:r>
      <w:r>
        <w:rPr>
          <w:color w:val="231F20"/>
          <w:spacing w:val="-10"/>
          <w:w w:val="105"/>
          <w:sz w:val="17"/>
        </w:rPr>
        <w:t xml:space="preserve"> </w:t>
      </w:r>
      <w:r>
        <w:rPr>
          <w:color w:val="231F20"/>
          <w:w w:val="105"/>
          <w:sz w:val="17"/>
        </w:rPr>
        <w:t>social</w:t>
      </w:r>
      <w:r>
        <w:rPr>
          <w:color w:val="231F20"/>
          <w:spacing w:val="-9"/>
          <w:w w:val="105"/>
          <w:sz w:val="17"/>
        </w:rPr>
        <w:t xml:space="preserve"> </w:t>
      </w:r>
      <w:r>
        <w:rPr>
          <w:color w:val="231F20"/>
          <w:w w:val="105"/>
          <w:sz w:val="17"/>
        </w:rPr>
        <w:t>phenomenon.</w:t>
      </w:r>
      <w:r>
        <w:rPr>
          <w:color w:val="231F20"/>
          <w:spacing w:val="-10"/>
          <w:w w:val="105"/>
          <w:sz w:val="17"/>
        </w:rPr>
        <w:t xml:space="preserve"> </w:t>
      </w:r>
      <w:r>
        <w:rPr>
          <w:color w:val="231F20"/>
          <w:w w:val="105"/>
          <w:sz w:val="17"/>
        </w:rPr>
        <w:t>In</w:t>
      </w:r>
      <w:r>
        <w:rPr>
          <w:color w:val="231F20"/>
          <w:spacing w:val="-10"/>
          <w:w w:val="105"/>
          <w:sz w:val="17"/>
        </w:rPr>
        <w:t xml:space="preserve"> </w:t>
      </w:r>
      <w:r>
        <w:rPr>
          <w:color w:val="231F20"/>
          <w:w w:val="105"/>
          <w:sz w:val="17"/>
        </w:rPr>
        <w:t>J.W.</w:t>
      </w:r>
      <w:r>
        <w:rPr>
          <w:color w:val="231F20"/>
          <w:spacing w:val="40"/>
          <w:w w:val="105"/>
          <w:sz w:val="17"/>
        </w:rPr>
        <w:t xml:space="preserve"> </w:t>
      </w:r>
      <w:r>
        <w:rPr>
          <w:color w:val="231F20"/>
          <w:w w:val="105"/>
          <w:sz w:val="17"/>
        </w:rPr>
        <w:t>Loy,</w:t>
      </w:r>
      <w:r>
        <w:rPr>
          <w:color w:val="231F20"/>
          <w:spacing w:val="-1"/>
          <w:w w:val="105"/>
          <w:sz w:val="17"/>
        </w:rPr>
        <w:t xml:space="preserve"> </w:t>
      </w:r>
      <w:r>
        <w:rPr>
          <w:color w:val="231F20"/>
          <w:w w:val="105"/>
          <w:sz w:val="17"/>
        </w:rPr>
        <w:t>B.D.</w:t>
      </w:r>
      <w:r>
        <w:rPr>
          <w:color w:val="231F20"/>
          <w:spacing w:val="-1"/>
          <w:w w:val="105"/>
          <w:sz w:val="17"/>
        </w:rPr>
        <w:t xml:space="preserve"> </w:t>
      </w:r>
      <w:r>
        <w:rPr>
          <w:color w:val="231F20"/>
          <w:w w:val="105"/>
          <w:sz w:val="17"/>
        </w:rPr>
        <w:t>McPherson</w:t>
      </w:r>
      <w:r>
        <w:rPr>
          <w:color w:val="231F20"/>
          <w:spacing w:val="-1"/>
          <w:w w:val="105"/>
          <w:sz w:val="17"/>
        </w:rPr>
        <w:t xml:space="preserve"> </w:t>
      </w:r>
      <w:r>
        <w:rPr>
          <w:color w:val="231F20"/>
          <w:w w:val="105"/>
          <w:sz w:val="17"/>
        </w:rPr>
        <w:t>and</w:t>
      </w:r>
      <w:r>
        <w:rPr>
          <w:color w:val="231F20"/>
          <w:spacing w:val="-1"/>
          <w:w w:val="105"/>
          <w:sz w:val="17"/>
        </w:rPr>
        <w:t xml:space="preserve"> </w:t>
      </w:r>
      <w:r>
        <w:rPr>
          <w:color w:val="231F20"/>
          <w:w w:val="105"/>
          <w:sz w:val="17"/>
        </w:rPr>
        <w:t>G.</w:t>
      </w:r>
      <w:r>
        <w:rPr>
          <w:color w:val="231F20"/>
          <w:spacing w:val="-1"/>
          <w:w w:val="105"/>
          <w:sz w:val="17"/>
        </w:rPr>
        <w:t xml:space="preserve"> </w:t>
      </w:r>
      <w:r>
        <w:rPr>
          <w:color w:val="231F20"/>
          <w:w w:val="105"/>
          <w:sz w:val="17"/>
        </w:rPr>
        <w:t>Kenyon</w:t>
      </w:r>
      <w:r>
        <w:rPr>
          <w:color w:val="231F20"/>
          <w:spacing w:val="-1"/>
          <w:w w:val="105"/>
          <w:sz w:val="17"/>
        </w:rPr>
        <w:t xml:space="preserve"> </w:t>
      </w:r>
      <w:r>
        <w:rPr>
          <w:color w:val="231F20"/>
          <w:w w:val="105"/>
          <w:sz w:val="17"/>
        </w:rPr>
        <w:t>(eds)</w:t>
      </w:r>
      <w:r>
        <w:rPr>
          <w:color w:val="231F20"/>
          <w:spacing w:val="-1"/>
          <w:w w:val="105"/>
          <w:sz w:val="17"/>
        </w:rPr>
        <w:t xml:space="preserve"> </w:t>
      </w:r>
      <w:r>
        <w:rPr>
          <w:i/>
          <w:color w:val="231F20"/>
          <w:w w:val="105"/>
          <w:sz w:val="17"/>
        </w:rPr>
        <w:t>Sport</w:t>
      </w:r>
      <w:r>
        <w:rPr>
          <w:i/>
          <w:color w:val="231F20"/>
          <w:spacing w:val="-1"/>
          <w:w w:val="105"/>
          <w:sz w:val="17"/>
        </w:rPr>
        <w:t xml:space="preserve"> </w:t>
      </w:r>
      <w:r>
        <w:rPr>
          <w:i/>
          <w:color w:val="231F20"/>
          <w:w w:val="105"/>
          <w:sz w:val="17"/>
        </w:rPr>
        <w:t>and</w:t>
      </w:r>
      <w:r>
        <w:rPr>
          <w:i/>
          <w:color w:val="231F20"/>
          <w:spacing w:val="-1"/>
          <w:w w:val="105"/>
          <w:sz w:val="17"/>
        </w:rPr>
        <w:t xml:space="preserve"> </w:t>
      </w:r>
      <w:r>
        <w:rPr>
          <w:i/>
          <w:color w:val="231F20"/>
          <w:w w:val="105"/>
          <w:sz w:val="17"/>
        </w:rPr>
        <w:t>Social</w:t>
      </w:r>
      <w:r>
        <w:rPr>
          <w:i/>
          <w:color w:val="231F20"/>
          <w:spacing w:val="-1"/>
          <w:w w:val="105"/>
          <w:sz w:val="17"/>
        </w:rPr>
        <w:t xml:space="preserve"> </w:t>
      </w:r>
      <w:r>
        <w:rPr>
          <w:i/>
          <w:color w:val="231F20"/>
          <w:w w:val="105"/>
          <w:sz w:val="17"/>
        </w:rPr>
        <w:t>Systems:</w:t>
      </w:r>
      <w:r>
        <w:rPr>
          <w:i/>
          <w:color w:val="231F20"/>
          <w:spacing w:val="-1"/>
          <w:w w:val="105"/>
          <w:sz w:val="17"/>
        </w:rPr>
        <w:t xml:space="preserve"> </w:t>
      </w:r>
      <w:r>
        <w:rPr>
          <w:i/>
          <w:color w:val="231F20"/>
          <w:w w:val="105"/>
          <w:sz w:val="17"/>
        </w:rPr>
        <w:t>A</w:t>
      </w:r>
      <w:r>
        <w:rPr>
          <w:i/>
          <w:color w:val="231F20"/>
          <w:spacing w:val="-1"/>
          <w:w w:val="105"/>
          <w:sz w:val="17"/>
        </w:rPr>
        <w:t xml:space="preserve"> </w:t>
      </w:r>
      <w:r>
        <w:rPr>
          <w:i/>
          <w:color w:val="231F20"/>
          <w:w w:val="105"/>
          <w:sz w:val="17"/>
        </w:rPr>
        <w:t>Guide</w:t>
      </w:r>
      <w:r>
        <w:rPr>
          <w:i/>
          <w:color w:val="231F20"/>
          <w:spacing w:val="-1"/>
          <w:w w:val="105"/>
          <w:sz w:val="17"/>
        </w:rPr>
        <w:t xml:space="preserve"> </w:t>
      </w:r>
      <w:r>
        <w:rPr>
          <w:i/>
          <w:color w:val="231F20"/>
          <w:w w:val="105"/>
          <w:sz w:val="17"/>
        </w:rPr>
        <w:t>to</w:t>
      </w:r>
      <w:r>
        <w:rPr>
          <w:i/>
          <w:color w:val="231F20"/>
          <w:spacing w:val="-1"/>
          <w:w w:val="105"/>
          <w:sz w:val="17"/>
        </w:rPr>
        <w:t xml:space="preserve"> </w:t>
      </w:r>
      <w:r>
        <w:rPr>
          <w:i/>
          <w:color w:val="231F20"/>
          <w:w w:val="105"/>
          <w:sz w:val="17"/>
        </w:rPr>
        <w:t>the</w:t>
      </w:r>
      <w:r>
        <w:rPr>
          <w:i/>
          <w:color w:val="231F20"/>
          <w:spacing w:val="40"/>
          <w:w w:val="105"/>
          <w:sz w:val="17"/>
        </w:rPr>
        <w:t xml:space="preserve"> </w:t>
      </w:r>
      <w:r>
        <w:rPr>
          <w:i/>
          <w:color w:val="231F20"/>
          <w:sz w:val="17"/>
        </w:rPr>
        <w:t xml:space="preserve">Analysis of Problems and Literature </w:t>
      </w:r>
      <w:r>
        <w:rPr>
          <w:color w:val="231F20"/>
          <w:sz w:val="17"/>
        </w:rPr>
        <w:t>(pp. 3–26). Reading, MA: Addison-Wesley.</w:t>
      </w:r>
    </w:p>
    <w:p w14:paraId="66B2EF9C" w14:textId="77777777" w:rsidR="00AE0598" w:rsidRDefault="0069255A">
      <w:pPr>
        <w:spacing w:before="2"/>
        <w:ind w:left="430" w:right="128" w:hanging="320"/>
        <w:jc w:val="both"/>
        <w:rPr>
          <w:sz w:val="17"/>
        </w:rPr>
      </w:pPr>
      <w:r>
        <w:rPr>
          <w:color w:val="231F20"/>
          <w:sz w:val="17"/>
        </w:rPr>
        <w:t>Lubowiecki-Vikuk, A.P. and Basirnska-Zych, A. (2011) Sport and tourism as elements of</w:t>
      </w:r>
      <w:r>
        <w:rPr>
          <w:color w:val="231F20"/>
          <w:spacing w:val="40"/>
          <w:sz w:val="17"/>
        </w:rPr>
        <w:t xml:space="preserve"> </w:t>
      </w:r>
      <w:r>
        <w:rPr>
          <w:color w:val="231F20"/>
          <w:sz w:val="17"/>
        </w:rPr>
        <w:t>place</w:t>
      </w:r>
      <w:r>
        <w:rPr>
          <w:color w:val="231F20"/>
          <w:spacing w:val="-2"/>
          <w:sz w:val="17"/>
        </w:rPr>
        <w:t xml:space="preserve"> </w:t>
      </w:r>
      <w:r>
        <w:rPr>
          <w:color w:val="231F20"/>
          <w:sz w:val="17"/>
        </w:rPr>
        <w:t>branding:</w:t>
      </w:r>
      <w:r>
        <w:rPr>
          <w:color w:val="231F20"/>
          <w:spacing w:val="-2"/>
          <w:sz w:val="17"/>
        </w:rPr>
        <w:t xml:space="preserve"> </w:t>
      </w:r>
      <w:r>
        <w:rPr>
          <w:color w:val="231F20"/>
          <w:sz w:val="17"/>
        </w:rPr>
        <w:t>A</w:t>
      </w:r>
      <w:r>
        <w:rPr>
          <w:color w:val="231F20"/>
          <w:spacing w:val="-2"/>
          <w:sz w:val="17"/>
        </w:rPr>
        <w:t xml:space="preserve"> </w:t>
      </w:r>
      <w:r>
        <w:rPr>
          <w:color w:val="231F20"/>
          <w:sz w:val="17"/>
        </w:rPr>
        <w:t>case</w:t>
      </w:r>
      <w:r>
        <w:rPr>
          <w:color w:val="231F20"/>
          <w:spacing w:val="-2"/>
          <w:sz w:val="17"/>
        </w:rPr>
        <w:t xml:space="preserve"> </w:t>
      </w:r>
      <w:r>
        <w:rPr>
          <w:color w:val="231F20"/>
          <w:sz w:val="17"/>
        </w:rPr>
        <w:t>study</w:t>
      </w:r>
      <w:r>
        <w:rPr>
          <w:color w:val="231F20"/>
          <w:spacing w:val="-2"/>
          <w:sz w:val="17"/>
        </w:rPr>
        <w:t xml:space="preserve"> </w:t>
      </w:r>
      <w:r>
        <w:rPr>
          <w:color w:val="231F20"/>
          <w:sz w:val="17"/>
        </w:rPr>
        <w:t>on</w:t>
      </w:r>
      <w:r>
        <w:rPr>
          <w:color w:val="231F20"/>
          <w:spacing w:val="-2"/>
          <w:sz w:val="17"/>
        </w:rPr>
        <w:t xml:space="preserve"> </w:t>
      </w:r>
      <w:r>
        <w:rPr>
          <w:color w:val="231F20"/>
          <w:sz w:val="17"/>
        </w:rPr>
        <w:t>Poland.</w:t>
      </w:r>
      <w:r>
        <w:rPr>
          <w:color w:val="231F20"/>
          <w:spacing w:val="-1"/>
          <w:sz w:val="17"/>
        </w:rPr>
        <w:t xml:space="preserve"> </w:t>
      </w:r>
      <w:r>
        <w:rPr>
          <w:i/>
          <w:color w:val="231F20"/>
          <w:sz w:val="17"/>
        </w:rPr>
        <w:t>Journal</w:t>
      </w:r>
      <w:r>
        <w:rPr>
          <w:i/>
          <w:color w:val="231F20"/>
          <w:spacing w:val="-2"/>
          <w:sz w:val="17"/>
        </w:rPr>
        <w:t xml:space="preserve"> </w:t>
      </w:r>
      <w:r>
        <w:rPr>
          <w:i/>
          <w:color w:val="231F20"/>
          <w:sz w:val="17"/>
        </w:rPr>
        <w:t>of</w:t>
      </w:r>
      <w:r>
        <w:rPr>
          <w:i/>
          <w:color w:val="231F20"/>
          <w:spacing w:val="-2"/>
          <w:sz w:val="17"/>
        </w:rPr>
        <w:t xml:space="preserve"> </w:t>
      </w:r>
      <w:r>
        <w:rPr>
          <w:i/>
          <w:color w:val="231F20"/>
          <w:sz w:val="17"/>
        </w:rPr>
        <w:t>Tourism</w:t>
      </w:r>
      <w:r>
        <w:rPr>
          <w:i/>
          <w:color w:val="231F20"/>
          <w:spacing w:val="-2"/>
          <w:sz w:val="17"/>
        </w:rPr>
        <w:t xml:space="preserve"> </w:t>
      </w:r>
      <w:r>
        <w:rPr>
          <w:i/>
          <w:color w:val="231F20"/>
          <w:sz w:val="17"/>
        </w:rPr>
        <w:t>Challenges</w:t>
      </w:r>
      <w:r>
        <w:rPr>
          <w:i/>
          <w:color w:val="231F20"/>
          <w:spacing w:val="-2"/>
          <w:sz w:val="17"/>
        </w:rPr>
        <w:t xml:space="preserve"> </w:t>
      </w:r>
      <w:r>
        <w:rPr>
          <w:i/>
          <w:color w:val="231F20"/>
          <w:w w:val="110"/>
          <w:sz w:val="17"/>
        </w:rPr>
        <w:t>&amp;</w:t>
      </w:r>
      <w:r>
        <w:rPr>
          <w:i/>
          <w:color w:val="231F20"/>
          <w:spacing w:val="-6"/>
          <w:w w:val="110"/>
          <w:sz w:val="17"/>
        </w:rPr>
        <w:t xml:space="preserve"> </w:t>
      </w:r>
      <w:r>
        <w:rPr>
          <w:i/>
          <w:color w:val="231F20"/>
          <w:sz w:val="17"/>
        </w:rPr>
        <w:t>Trends</w:t>
      </w:r>
      <w:r>
        <w:rPr>
          <w:i/>
          <w:color w:val="231F20"/>
          <w:spacing w:val="-2"/>
          <w:sz w:val="17"/>
        </w:rPr>
        <w:t xml:space="preserve"> </w:t>
      </w:r>
      <w:r>
        <w:rPr>
          <w:color w:val="231F20"/>
          <w:sz w:val="17"/>
        </w:rPr>
        <w:t>4</w:t>
      </w:r>
      <w:r>
        <w:rPr>
          <w:color w:val="231F20"/>
          <w:spacing w:val="-2"/>
          <w:sz w:val="17"/>
        </w:rPr>
        <w:t xml:space="preserve"> </w:t>
      </w:r>
      <w:r>
        <w:rPr>
          <w:color w:val="231F20"/>
          <w:sz w:val="17"/>
        </w:rPr>
        <w:t>(2),</w:t>
      </w:r>
      <w:r>
        <w:rPr>
          <w:color w:val="231F20"/>
          <w:spacing w:val="40"/>
          <w:sz w:val="17"/>
        </w:rPr>
        <w:t xml:space="preserve"> </w:t>
      </w:r>
      <w:r>
        <w:rPr>
          <w:color w:val="231F20"/>
          <w:spacing w:val="-2"/>
          <w:sz w:val="17"/>
        </w:rPr>
        <w:t>33–52.</w:t>
      </w:r>
    </w:p>
    <w:p w14:paraId="799F27E2" w14:textId="77777777" w:rsidR="00AE0598" w:rsidRDefault="0069255A">
      <w:pPr>
        <w:spacing w:before="2"/>
        <w:ind w:left="430" w:right="128" w:hanging="320"/>
        <w:jc w:val="both"/>
        <w:rPr>
          <w:sz w:val="17"/>
        </w:rPr>
      </w:pPr>
      <w:r>
        <w:rPr>
          <w:color w:val="231F20"/>
          <w:w w:val="105"/>
          <w:sz w:val="17"/>
        </w:rPr>
        <w:t xml:space="preserve">Lybrand, C.T.C.C. (1996) </w:t>
      </w:r>
      <w:r>
        <w:rPr>
          <w:i/>
          <w:color w:val="231F20"/>
          <w:w w:val="105"/>
          <w:sz w:val="17"/>
        </w:rPr>
        <w:t>Domestic Tourism Market Research Study</w:t>
      </w:r>
      <w:r>
        <w:rPr>
          <w:color w:val="231F20"/>
          <w:w w:val="105"/>
          <w:sz w:val="17"/>
        </w:rPr>
        <w:t>. Ottawa: Canadian</w:t>
      </w:r>
      <w:r>
        <w:rPr>
          <w:color w:val="231F20"/>
          <w:spacing w:val="40"/>
          <w:w w:val="105"/>
          <w:sz w:val="17"/>
        </w:rPr>
        <w:t xml:space="preserve"> </w:t>
      </w:r>
      <w:r>
        <w:rPr>
          <w:color w:val="231F20"/>
          <w:w w:val="105"/>
          <w:sz w:val="17"/>
        </w:rPr>
        <w:t>Tourism Commission.</w:t>
      </w:r>
    </w:p>
    <w:p w14:paraId="69C9FEBD" w14:textId="77777777" w:rsidR="00AE0598" w:rsidRDefault="0069255A">
      <w:pPr>
        <w:spacing w:before="2"/>
        <w:ind w:left="110"/>
        <w:jc w:val="both"/>
        <w:rPr>
          <w:sz w:val="17"/>
        </w:rPr>
      </w:pPr>
      <w:r>
        <w:rPr>
          <w:color w:val="231F20"/>
          <w:w w:val="95"/>
          <w:sz w:val="17"/>
        </w:rPr>
        <w:t>MacCannell,</w:t>
      </w:r>
      <w:r>
        <w:rPr>
          <w:color w:val="231F20"/>
          <w:spacing w:val="9"/>
          <w:sz w:val="17"/>
        </w:rPr>
        <w:t xml:space="preserve"> </w:t>
      </w:r>
      <w:r>
        <w:rPr>
          <w:color w:val="231F20"/>
          <w:w w:val="95"/>
          <w:sz w:val="17"/>
        </w:rPr>
        <w:t>D.</w:t>
      </w:r>
      <w:r>
        <w:rPr>
          <w:color w:val="231F20"/>
          <w:spacing w:val="10"/>
          <w:sz w:val="17"/>
        </w:rPr>
        <w:t xml:space="preserve"> </w:t>
      </w:r>
      <w:r>
        <w:rPr>
          <w:color w:val="231F20"/>
          <w:w w:val="95"/>
          <w:sz w:val="17"/>
        </w:rPr>
        <w:t>(1973)</w:t>
      </w:r>
      <w:r>
        <w:rPr>
          <w:color w:val="231F20"/>
          <w:spacing w:val="9"/>
          <w:sz w:val="17"/>
        </w:rPr>
        <w:t xml:space="preserve"> </w:t>
      </w:r>
      <w:r>
        <w:rPr>
          <w:color w:val="231F20"/>
          <w:w w:val="95"/>
          <w:sz w:val="17"/>
        </w:rPr>
        <w:t>Staged</w:t>
      </w:r>
      <w:r>
        <w:rPr>
          <w:color w:val="231F20"/>
          <w:spacing w:val="10"/>
          <w:sz w:val="17"/>
        </w:rPr>
        <w:t xml:space="preserve"> </w:t>
      </w:r>
      <w:r>
        <w:rPr>
          <w:color w:val="231F20"/>
          <w:w w:val="95"/>
          <w:sz w:val="17"/>
        </w:rPr>
        <w:t>authenticity:</w:t>
      </w:r>
      <w:r>
        <w:rPr>
          <w:color w:val="231F20"/>
          <w:spacing w:val="10"/>
          <w:sz w:val="17"/>
        </w:rPr>
        <w:t xml:space="preserve"> </w:t>
      </w:r>
      <w:r>
        <w:rPr>
          <w:color w:val="231F20"/>
          <w:w w:val="95"/>
          <w:sz w:val="17"/>
        </w:rPr>
        <w:t>Arrangements</w:t>
      </w:r>
      <w:r>
        <w:rPr>
          <w:color w:val="231F20"/>
          <w:spacing w:val="9"/>
          <w:sz w:val="17"/>
        </w:rPr>
        <w:t xml:space="preserve"> </w:t>
      </w:r>
      <w:r>
        <w:rPr>
          <w:color w:val="231F20"/>
          <w:w w:val="95"/>
          <w:sz w:val="17"/>
        </w:rPr>
        <w:t>of</w:t>
      </w:r>
      <w:r>
        <w:rPr>
          <w:color w:val="231F20"/>
          <w:spacing w:val="10"/>
          <w:sz w:val="17"/>
        </w:rPr>
        <w:t xml:space="preserve"> </w:t>
      </w:r>
      <w:r>
        <w:rPr>
          <w:color w:val="231F20"/>
          <w:w w:val="95"/>
          <w:sz w:val="17"/>
        </w:rPr>
        <w:t>social</w:t>
      </w:r>
      <w:r>
        <w:rPr>
          <w:color w:val="231F20"/>
          <w:spacing w:val="10"/>
          <w:sz w:val="17"/>
        </w:rPr>
        <w:t xml:space="preserve"> </w:t>
      </w:r>
      <w:r>
        <w:rPr>
          <w:color w:val="231F20"/>
          <w:w w:val="95"/>
          <w:sz w:val="17"/>
        </w:rPr>
        <w:t>space</w:t>
      </w:r>
      <w:r>
        <w:rPr>
          <w:color w:val="231F20"/>
          <w:spacing w:val="9"/>
          <w:sz w:val="17"/>
        </w:rPr>
        <w:t xml:space="preserve"> </w:t>
      </w:r>
      <w:r>
        <w:rPr>
          <w:color w:val="231F20"/>
          <w:w w:val="95"/>
          <w:sz w:val="17"/>
        </w:rPr>
        <w:t>in</w:t>
      </w:r>
      <w:r>
        <w:rPr>
          <w:color w:val="231F20"/>
          <w:spacing w:val="10"/>
          <w:sz w:val="17"/>
        </w:rPr>
        <w:t xml:space="preserve"> </w:t>
      </w:r>
      <w:r>
        <w:rPr>
          <w:color w:val="231F20"/>
          <w:w w:val="95"/>
          <w:sz w:val="17"/>
        </w:rPr>
        <w:t>tourist</w:t>
      </w:r>
      <w:r>
        <w:rPr>
          <w:color w:val="231F20"/>
          <w:spacing w:val="10"/>
          <w:sz w:val="17"/>
        </w:rPr>
        <w:t xml:space="preserve"> </w:t>
      </w:r>
      <w:r>
        <w:rPr>
          <w:color w:val="231F20"/>
          <w:spacing w:val="-2"/>
          <w:w w:val="95"/>
          <w:sz w:val="17"/>
        </w:rPr>
        <w:t>settings.</w:t>
      </w:r>
    </w:p>
    <w:p w14:paraId="053E7966" w14:textId="77777777" w:rsidR="00AE0598" w:rsidRDefault="0069255A">
      <w:pPr>
        <w:ind w:left="430"/>
        <w:jc w:val="both"/>
        <w:rPr>
          <w:sz w:val="17"/>
        </w:rPr>
      </w:pPr>
      <w:r>
        <w:rPr>
          <w:i/>
          <w:color w:val="231F20"/>
          <w:sz w:val="17"/>
        </w:rPr>
        <w:t>American</w:t>
      </w:r>
      <w:r>
        <w:rPr>
          <w:i/>
          <w:color w:val="231F20"/>
          <w:spacing w:val="8"/>
          <w:sz w:val="17"/>
        </w:rPr>
        <w:t xml:space="preserve"> </w:t>
      </w:r>
      <w:r>
        <w:rPr>
          <w:i/>
          <w:color w:val="231F20"/>
          <w:sz w:val="17"/>
        </w:rPr>
        <w:t>Journal</w:t>
      </w:r>
      <w:r>
        <w:rPr>
          <w:i/>
          <w:color w:val="231F20"/>
          <w:spacing w:val="8"/>
          <w:sz w:val="17"/>
        </w:rPr>
        <w:t xml:space="preserve"> </w:t>
      </w:r>
      <w:r>
        <w:rPr>
          <w:i/>
          <w:color w:val="231F20"/>
          <w:sz w:val="17"/>
        </w:rPr>
        <w:t>of</w:t>
      </w:r>
      <w:r>
        <w:rPr>
          <w:i/>
          <w:color w:val="231F20"/>
          <w:spacing w:val="9"/>
          <w:sz w:val="17"/>
        </w:rPr>
        <w:t xml:space="preserve"> </w:t>
      </w:r>
      <w:r>
        <w:rPr>
          <w:i/>
          <w:color w:val="231F20"/>
          <w:sz w:val="17"/>
        </w:rPr>
        <w:t>Sociology</w:t>
      </w:r>
      <w:r>
        <w:rPr>
          <w:i/>
          <w:color w:val="231F20"/>
          <w:spacing w:val="8"/>
          <w:sz w:val="17"/>
        </w:rPr>
        <w:t xml:space="preserve"> </w:t>
      </w:r>
      <w:r>
        <w:rPr>
          <w:color w:val="231F20"/>
          <w:sz w:val="17"/>
        </w:rPr>
        <w:t>79</w:t>
      </w:r>
      <w:r>
        <w:rPr>
          <w:color w:val="231F20"/>
          <w:spacing w:val="9"/>
          <w:sz w:val="17"/>
        </w:rPr>
        <w:t xml:space="preserve"> </w:t>
      </w:r>
      <w:r>
        <w:rPr>
          <w:color w:val="231F20"/>
          <w:sz w:val="17"/>
        </w:rPr>
        <w:t>(3),</w:t>
      </w:r>
      <w:r>
        <w:rPr>
          <w:color w:val="231F20"/>
          <w:spacing w:val="8"/>
          <w:sz w:val="17"/>
        </w:rPr>
        <w:t xml:space="preserve"> </w:t>
      </w:r>
      <w:r>
        <w:rPr>
          <w:color w:val="231F20"/>
          <w:spacing w:val="-2"/>
          <w:sz w:val="17"/>
        </w:rPr>
        <w:t>589–603.</w:t>
      </w:r>
    </w:p>
    <w:p w14:paraId="48C3DE46" w14:textId="77777777" w:rsidR="00AE0598" w:rsidRDefault="0069255A">
      <w:pPr>
        <w:spacing w:before="1"/>
        <w:ind w:left="110" w:right="128"/>
        <w:jc w:val="both"/>
        <w:rPr>
          <w:sz w:val="17"/>
        </w:rPr>
      </w:pPr>
      <w:r>
        <w:rPr>
          <w:color w:val="231F20"/>
          <w:sz w:val="17"/>
        </w:rPr>
        <w:t xml:space="preserve">MacCannell, D. (1976) </w:t>
      </w:r>
      <w:r>
        <w:rPr>
          <w:i/>
          <w:color w:val="231F20"/>
          <w:sz w:val="17"/>
        </w:rPr>
        <w:t>The Tourists: New Theory of the Leisure Class</w:t>
      </w:r>
      <w:r>
        <w:rPr>
          <w:color w:val="231F20"/>
          <w:sz w:val="17"/>
        </w:rPr>
        <w:t>. New York: Schoken.</w:t>
      </w:r>
      <w:r>
        <w:rPr>
          <w:color w:val="231F20"/>
          <w:spacing w:val="40"/>
          <w:sz w:val="17"/>
        </w:rPr>
        <w:t xml:space="preserve"> </w:t>
      </w:r>
      <w:r>
        <w:rPr>
          <w:color w:val="231F20"/>
          <w:w w:val="95"/>
          <w:sz w:val="17"/>
        </w:rPr>
        <w:t>Magdalinski,</w:t>
      </w:r>
      <w:r>
        <w:rPr>
          <w:color w:val="231F20"/>
          <w:spacing w:val="21"/>
          <w:sz w:val="17"/>
        </w:rPr>
        <w:t xml:space="preserve"> </w:t>
      </w:r>
      <w:r>
        <w:rPr>
          <w:color w:val="231F20"/>
          <w:w w:val="95"/>
          <w:sz w:val="17"/>
        </w:rPr>
        <w:t>T.</w:t>
      </w:r>
      <w:r>
        <w:rPr>
          <w:color w:val="231F20"/>
          <w:spacing w:val="21"/>
          <w:sz w:val="17"/>
        </w:rPr>
        <w:t xml:space="preserve"> </w:t>
      </w:r>
      <w:r>
        <w:rPr>
          <w:color w:val="231F20"/>
          <w:w w:val="95"/>
          <w:sz w:val="17"/>
        </w:rPr>
        <w:t>(2000)</w:t>
      </w:r>
      <w:r>
        <w:rPr>
          <w:color w:val="231F20"/>
          <w:spacing w:val="21"/>
          <w:sz w:val="17"/>
        </w:rPr>
        <w:t xml:space="preserve"> </w:t>
      </w:r>
      <w:r>
        <w:rPr>
          <w:color w:val="231F20"/>
          <w:w w:val="95"/>
          <w:sz w:val="17"/>
        </w:rPr>
        <w:t>The</w:t>
      </w:r>
      <w:r>
        <w:rPr>
          <w:color w:val="231F20"/>
          <w:spacing w:val="21"/>
          <w:sz w:val="17"/>
        </w:rPr>
        <w:t xml:space="preserve"> </w:t>
      </w:r>
      <w:r>
        <w:rPr>
          <w:color w:val="231F20"/>
          <w:w w:val="95"/>
          <w:sz w:val="17"/>
        </w:rPr>
        <w:t>reinvention</w:t>
      </w:r>
      <w:r>
        <w:rPr>
          <w:color w:val="231F20"/>
          <w:spacing w:val="21"/>
          <w:sz w:val="17"/>
        </w:rPr>
        <w:t xml:space="preserve"> </w:t>
      </w:r>
      <w:r>
        <w:rPr>
          <w:color w:val="231F20"/>
          <w:w w:val="95"/>
          <w:sz w:val="17"/>
        </w:rPr>
        <w:t>of</w:t>
      </w:r>
      <w:r>
        <w:rPr>
          <w:color w:val="231F20"/>
          <w:spacing w:val="21"/>
          <w:sz w:val="17"/>
        </w:rPr>
        <w:t xml:space="preserve"> </w:t>
      </w:r>
      <w:r>
        <w:rPr>
          <w:color w:val="231F20"/>
          <w:w w:val="95"/>
          <w:sz w:val="17"/>
        </w:rPr>
        <w:t>Australia</w:t>
      </w:r>
      <w:r>
        <w:rPr>
          <w:color w:val="231F20"/>
          <w:spacing w:val="21"/>
          <w:sz w:val="17"/>
        </w:rPr>
        <w:t xml:space="preserve"> </w:t>
      </w:r>
      <w:r>
        <w:rPr>
          <w:color w:val="231F20"/>
          <w:w w:val="95"/>
          <w:sz w:val="17"/>
        </w:rPr>
        <w:t>for</w:t>
      </w:r>
      <w:r>
        <w:rPr>
          <w:color w:val="231F20"/>
          <w:spacing w:val="22"/>
          <w:sz w:val="17"/>
        </w:rPr>
        <w:t xml:space="preserve"> </w:t>
      </w:r>
      <w:r>
        <w:rPr>
          <w:color w:val="231F20"/>
          <w:w w:val="95"/>
          <w:sz w:val="17"/>
        </w:rPr>
        <w:t>the</w:t>
      </w:r>
      <w:r>
        <w:rPr>
          <w:color w:val="231F20"/>
          <w:spacing w:val="21"/>
          <w:sz w:val="17"/>
        </w:rPr>
        <w:t xml:space="preserve"> </w:t>
      </w:r>
      <w:r>
        <w:rPr>
          <w:color w:val="231F20"/>
          <w:w w:val="95"/>
          <w:sz w:val="17"/>
        </w:rPr>
        <w:t>Sydney</w:t>
      </w:r>
      <w:r>
        <w:rPr>
          <w:color w:val="231F20"/>
          <w:spacing w:val="21"/>
          <w:sz w:val="17"/>
        </w:rPr>
        <w:t xml:space="preserve"> </w:t>
      </w:r>
      <w:r>
        <w:rPr>
          <w:color w:val="231F20"/>
          <w:w w:val="95"/>
          <w:sz w:val="17"/>
        </w:rPr>
        <w:t>2000</w:t>
      </w:r>
      <w:r>
        <w:rPr>
          <w:color w:val="231F20"/>
          <w:spacing w:val="21"/>
          <w:sz w:val="17"/>
        </w:rPr>
        <w:t xml:space="preserve"> </w:t>
      </w:r>
      <w:r>
        <w:rPr>
          <w:color w:val="231F20"/>
          <w:w w:val="95"/>
          <w:sz w:val="17"/>
        </w:rPr>
        <w:t>Olympic</w:t>
      </w:r>
      <w:r>
        <w:rPr>
          <w:color w:val="231F20"/>
          <w:spacing w:val="21"/>
          <w:sz w:val="17"/>
        </w:rPr>
        <w:t xml:space="preserve"> </w:t>
      </w:r>
      <w:r>
        <w:rPr>
          <w:color w:val="231F20"/>
          <w:spacing w:val="-2"/>
          <w:w w:val="95"/>
          <w:sz w:val="17"/>
        </w:rPr>
        <w:t>Games.</w:t>
      </w:r>
    </w:p>
    <w:p w14:paraId="1D330151" w14:textId="77777777" w:rsidR="00AE0598" w:rsidRDefault="0069255A">
      <w:pPr>
        <w:spacing w:before="1"/>
        <w:ind w:left="430"/>
        <w:jc w:val="both"/>
        <w:rPr>
          <w:sz w:val="17"/>
        </w:rPr>
      </w:pPr>
      <w:r>
        <w:rPr>
          <w:i/>
          <w:color w:val="231F20"/>
          <w:sz w:val="17"/>
        </w:rPr>
        <w:t>International</w:t>
      </w:r>
      <w:r>
        <w:rPr>
          <w:i/>
          <w:color w:val="231F20"/>
          <w:spacing w:val="5"/>
          <w:sz w:val="17"/>
        </w:rPr>
        <w:t xml:space="preserve"> </w:t>
      </w:r>
      <w:r>
        <w:rPr>
          <w:i/>
          <w:color w:val="231F20"/>
          <w:sz w:val="17"/>
        </w:rPr>
        <w:t>Journal</w:t>
      </w:r>
      <w:r>
        <w:rPr>
          <w:i/>
          <w:color w:val="231F20"/>
          <w:spacing w:val="6"/>
          <w:sz w:val="17"/>
        </w:rPr>
        <w:t xml:space="preserve"> </w:t>
      </w:r>
      <w:r>
        <w:rPr>
          <w:i/>
          <w:color w:val="231F20"/>
          <w:sz w:val="17"/>
        </w:rPr>
        <w:t>of</w:t>
      </w:r>
      <w:r>
        <w:rPr>
          <w:i/>
          <w:color w:val="231F20"/>
          <w:spacing w:val="5"/>
          <w:sz w:val="17"/>
        </w:rPr>
        <w:t xml:space="preserve"> </w:t>
      </w:r>
      <w:r>
        <w:rPr>
          <w:i/>
          <w:color w:val="231F20"/>
          <w:sz w:val="17"/>
        </w:rPr>
        <w:t>the</w:t>
      </w:r>
      <w:r>
        <w:rPr>
          <w:i/>
          <w:color w:val="231F20"/>
          <w:spacing w:val="6"/>
          <w:sz w:val="17"/>
        </w:rPr>
        <w:t xml:space="preserve"> </w:t>
      </w:r>
      <w:r>
        <w:rPr>
          <w:i/>
          <w:color w:val="231F20"/>
          <w:sz w:val="17"/>
        </w:rPr>
        <w:t>History</w:t>
      </w:r>
      <w:r>
        <w:rPr>
          <w:i/>
          <w:color w:val="231F20"/>
          <w:spacing w:val="6"/>
          <w:sz w:val="17"/>
        </w:rPr>
        <w:t xml:space="preserve"> </w:t>
      </w:r>
      <w:r>
        <w:rPr>
          <w:i/>
          <w:color w:val="231F20"/>
          <w:sz w:val="17"/>
        </w:rPr>
        <w:t>of</w:t>
      </w:r>
      <w:r>
        <w:rPr>
          <w:i/>
          <w:color w:val="231F20"/>
          <w:spacing w:val="5"/>
          <w:sz w:val="17"/>
        </w:rPr>
        <w:t xml:space="preserve"> </w:t>
      </w:r>
      <w:r>
        <w:rPr>
          <w:i/>
          <w:color w:val="231F20"/>
          <w:sz w:val="17"/>
        </w:rPr>
        <w:t>Sport</w:t>
      </w:r>
      <w:r>
        <w:rPr>
          <w:i/>
          <w:color w:val="231F20"/>
          <w:spacing w:val="5"/>
          <w:sz w:val="17"/>
        </w:rPr>
        <w:t xml:space="preserve"> </w:t>
      </w:r>
      <w:r>
        <w:rPr>
          <w:color w:val="231F20"/>
          <w:sz w:val="17"/>
        </w:rPr>
        <w:t>17</w:t>
      </w:r>
      <w:r>
        <w:rPr>
          <w:color w:val="231F20"/>
          <w:spacing w:val="5"/>
          <w:sz w:val="17"/>
        </w:rPr>
        <w:t xml:space="preserve"> </w:t>
      </w:r>
      <w:r>
        <w:rPr>
          <w:color w:val="231F20"/>
          <w:spacing w:val="-1"/>
          <w:w w:val="95"/>
          <w:sz w:val="17"/>
        </w:rPr>
        <w:t>(</w:t>
      </w:r>
      <w:r>
        <w:rPr>
          <w:color w:val="231F20"/>
          <w:spacing w:val="7"/>
          <w:w w:val="97"/>
          <w:sz w:val="17"/>
        </w:rPr>
        <w:t>2</w:t>
      </w:r>
      <w:r>
        <w:rPr>
          <w:color w:val="231F20"/>
          <w:w w:val="68"/>
          <w:sz w:val="17"/>
        </w:rPr>
        <w:t>/</w:t>
      </w:r>
      <w:r>
        <w:rPr>
          <w:color w:val="231F20"/>
          <w:spacing w:val="-3"/>
          <w:w w:val="97"/>
          <w:sz w:val="17"/>
        </w:rPr>
        <w:t>3</w:t>
      </w:r>
      <w:r>
        <w:rPr>
          <w:color w:val="231F20"/>
          <w:spacing w:val="-6"/>
          <w:w w:val="95"/>
          <w:sz w:val="17"/>
        </w:rPr>
        <w:t>)</w:t>
      </w:r>
      <w:r>
        <w:rPr>
          <w:color w:val="231F20"/>
          <w:spacing w:val="-2"/>
          <w:w w:val="143"/>
          <w:sz w:val="17"/>
        </w:rPr>
        <w:t>,</w:t>
      </w:r>
      <w:r>
        <w:rPr>
          <w:color w:val="231F20"/>
          <w:spacing w:val="6"/>
          <w:sz w:val="17"/>
        </w:rPr>
        <w:t xml:space="preserve"> </w:t>
      </w:r>
      <w:r>
        <w:rPr>
          <w:color w:val="231F20"/>
          <w:spacing w:val="-2"/>
          <w:sz w:val="17"/>
        </w:rPr>
        <w:t>304–322.</w:t>
      </w:r>
    </w:p>
    <w:p w14:paraId="48C64AC1" w14:textId="77777777" w:rsidR="00AE0598" w:rsidRDefault="0069255A">
      <w:pPr>
        <w:spacing w:before="1"/>
        <w:ind w:left="430" w:hanging="320"/>
        <w:rPr>
          <w:sz w:val="17"/>
        </w:rPr>
      </w:pPr>
      <w:r>
        <w:rPr>
          <w:color w:val="231F20"/>
          <w:sz w:val="17"/>
        </w:rPr>
        <w:t>Maguire,</w:t>
      </w:r>
      <w:r>
        <w:rPr>
          <w:color w:val="231F20"/>
          <w:w w:val="105"/>
          <w:sz w:val="17"/>
        </w:rPr>
        <w:t xml:space="preserve"> J. </w:t>
      </w:r>
      <w:r>
        <w:rPr>
          <w:color w:val="231F20"/>
          <w:sz w:val="17"/>
        </w:rPr>
        <w:t>(1994)</w:t>
      </w:r>
      <w:r>
        <w:rPr>
          <w:color w:val="231F20"/>
          <w:spacing w:val="17"/>
          <w:sz w:val="17"/>
        </w:rPr>
        <w:t xml:space="preserve"> </w:t>
      </w:r>
      <w:r>
        <w:rPr>
          <w:color w:val="231F20"/>
          <w:sz w:val="17"/>
        </w:rPr>
        <w:t>Sport,</w:t>
      </w:r>
      <w:r>
        <w:rPr>
          <w:color w:val="231F20"/>
          <w:spacing w:val="17"/>
          <w:sz w:val="17"/>
        </w:rPr>
        <w:t xml:space="preserve"> </w:t>
      </w:r>
      <w:r>
        <w:rPr>
          <w:color w:val="231F20"/>
          <w:sz w:val="17"/>
        </w:rPr>
        <w:t>identity</w:t>
      </w:r>
      <w:r>
        <w:rPr>
          <w:color w:val="231F20"/>
          <w:spacing w:val="17"/>
          <w:sz w:val="17"/>
        </w:rPr>
        <w:t xml:space="preserve"> </w:t>
      </w:r>
      <w:r>
        <w:rPr>
          <w:color w:val="231F20"/>
          <w:sz w:val="17"/>
        </w:rPr>
        <w:t>politics,</w:t>
      </w:r>
      <w:r>
        <w:rPr>
          <w:color w:val="231F20"/>
          <w:spacing w:val="17"/>
          <w:sz w:val="17"/>
        </w:rPr>
        <w:t xml:space="preserve"> </w:t>
      </w:r>
      <w:r>
        <w:rPr>
          <w:color w:val="231F20"/>
          <w:sz w:val="17"/>
        </w:rPr>
        <w:t>and</w:t>
      </w:r>
      <w:r>
        <w:rPr>
          <w:color w:val="231F20"/>
          <w:spacing w:val="17"/>
          <w:sz w:val="17"/>
        </w:rPr>
        <w:t xml:space="preserve"> </w:t>
      </w:r>
      <w:r>
        <w:rPr>
          <w:color w:val="231F20"/>
          <w:sz w:val="17"/>
        </w:rPr>
        <w:t>globalization:</w:t>
      </w:r>
      <w:r>
        <w:rPr>
          <w:color w:val="231F20"/>
          <w:spacing w:val="17"/>
          <w:sz w:val="17"/>
        </w:rPr>
        <w:t xml:space="preserve"> </w:t>
      </w:r>
      <w:r>
        <w:rPr>
          <w:color w:val="231F20"/>
          <w:sz w:val="17"/>
        </w:rPr>
        <w:t>Diminishing</w:t>
      </w:r>
      <w:r>
        <w:rPr>
          <w:color w:val="231F20"/>
          <w:spacing w:val="17"/>
          <w:sz w:val="17"/>
        </w:rPr>
        <w:t xml:space="preserve"> </w:t>
      </w:r>
      <w:r>
        <w:rPr>
          <w:color w:val="231F20"/>
          <w:sz w:val="17"/>
        </w:rPr>
        <w:t>contrasts</w:t>
      </w:r>
      <w:r>
        <w:rPr>
          <w:color w:val="231F20"/>
          <w:spacing w:val="17"/>
          <w:sz w:val="17"/>
        </w:rPr>
        <w:t xml:space="preserve"> </w:t>
      </w:r>
      <w:r>
        <w:rPr>
          <w:color w:val="231F20"/>
          <w:sz w:val="17"/>
        </w:rPr>
        <w:t>and</w:t>
      </w:r>
      <w:r>
        <w:rPr>
          <w:color w:val="231F20"/>
          <w:spacing w:val="40"/>
          <w:sz w:val="17"/>
        </w:rPr>
        <w:t xml:space="preserve"> </w:t>
      </w:r>
      <w:r>
        <w:rPr>
          <w:color w:val="231F20"/>
          <w:sz w:val="17"/>
        </w:rPr>
        <w:t xml:space="preserve">increasing varieties. </w:t>
      </w:r>
      <w:r>
        <w:rPr>
          <w:i/>
          <w:color w:val="231F20"/>
          <w:sz w:val="17"/>
        </w:rPr>
        <w:t xml:space="preserve">Sociology of Sport Journal </w:t>
      </w:r>
      <w:r>
        <w:rPr>
          <w:color w:val="231F20"/>
          <w:sz w:val="17"/>
        </w:rPr>
        <w:t>11 (4), 398–427.</w:t>
      </w:r>
    </w:p>
    <w:p w14:paraId="7A2EAF24" w14:textId="77777777" w:rsidR="00AE0598" w:rsidRDefault="0069255A">
      <w:pPr>
        <w:spacing w:before="2"/>
        <w:ind w:left="430" w:hanging="320"/>
        <w:rPr>
          <w:sz w:val="17"/>
        </w:rPr>
      </w:pPr>
      <w:r>
        <w:rPr>
          <w:color w:val="231F20"/>
          <w:sz w:val="17"/>
        </w:rPr>
        <w:t xml:space="preserve">Maguire, </w:t>
      </w:r>
      <w:r>
        <w:rPr>
          <w:color w:val="231F20"/>
          <w:w w:val="105"/>
          <w:sz w:val="17"/>
        </w:rPr>
        <w:t xml:space="preserve">J. </w:t>
      </w:r>
      <w:r>
        <w:rPr>
          <w:color w:val="231F20"/>
          <w:sz w:val="17"/>
        </w:rPr>
        <w:t xml:space="preserve">(1999) </w:t>
      </w:r>
      <w:r>
        <w:rPr>
          <w:i/>
          <w:color w:val="231F20"/>
          <w:sz w:val="17"/>
        </w:rPr>
        <w:t>Global Sport: Identities, Societies and Civilisations</w:t>
      </w:r>
      <w:r>
        <w:rPr>
          <w:color w:val="231F20"/>
          <w:sz w:val="17"/>
        </w:rPr>
        <w:t>. Cambridge: Polity</w:t>
      </w:r>
      <w:r>
        <w:rPr>
          <w:color w:val="231F20"/>
          <w:spacing w:val="40"/>
          <w:sz w:val="17"/>
        </w:rPr>
        <w:t xml:space="preserve"> </w:t>
      </w:r>
      <w:r>
        <w:rPr>
          <w:color w:val="231F20"/>
          <w:spacing w:val="-2"/>
          <w:sz w:val="17"/>
        </w:rPr>
        <w:t>Press.</w:t>
      </w:r>
    </w:p>
    <w:p w14:paraId="6C0200E5" w14:textId="77777777" w:rsidR="00AE0598" w:rsidRDefault="0069255A">
      <w:pPr>
        <w:spacing w:before="1"/>
        <w:ind w:left="430" w:right="156" w:hanging="320"/>
        <w:rPr>
          <w:sz w:val="17"/>
        </w:rPr>
      </w:pPr>
      <w:r>
        <w:rPr>
          <w:color w:val="231F20"/>
          <w:sz w:val="17"/>
        </w:rPr>
        <w:t xml:space="preserve">Maguire, </w:t>
      </w:r>
      <w:r>
        <w:rPr>
          <w:color w:val="231F20"/>
          <w:w w:val="105"/>
          <w:sz w:val="17"/>
        </w:rPr>
        <w:t xml:space="preserve">J. </w:t>
      </w:r>
      <w:r>
        <w:rPr>
          <w:color w:val="231F20"/>
          <w:sz w:val="17"/>
        </w:rPr>
        <w:t xml:space="preserve">(2000) Sport and globalization. In </w:t>
      </w:r>
      <w:r>
        <w:rPr>
          <w:color w:val="231F20"/>
          <w:w w:val="105"/>
          <w:sz w:val="17"/>
        </w:rPr>
        <w:t xml:space="preserve">J. </w:t>
      </w:r>
      <w:r>
        <w:rPr>
          <w:color w:val="231F20"/>
          <w:sz w:val="17"/>
        </w:rPr>
        <w:t xml:space="preserve">Coakley and E. Dunning (eds) </w:t>
      </w:r>
      <w:r>
        <w:rPr>
          <w:i/>
          <w:color w:val="231F20"/>
          <w:sz w:val="17"/>
        </w:rPr>
        <w:t>Handbook</w:t>
      </w:r>
      <w:r>
        <w:rPr>
          <w:i/>
          <w:color w:val="231F20"/>
          <w:spacing w:val="40"/>
          <w:sz w:val="17"/>
        </w:rPr>
        <w:t xml:space="preserve"> </w:t>
      </w:r>
      <w:r>
        <w:rPr>
          <w:i/>
          <w:color w:val="231F20"/>
          <w:sz w:val="17"/>
        </w:rPr>
        <w:t xml:space="preserve">of Sports Studies </w:t>
      </w:r>
      <w:r>
        <w:rPr>
          <w:color w:val="231F20"/>
          <w:sz w:val="17"/>
        </w:rPr>
        <w:t>(pp. 356–369). London: Sage.</w:t>
      </w:r>
    </w:p>
    <w:p w14:paraId="23E9451C" w14:textId="77777777" w:rsidR="00AE0598" w:rsidRDefault="0069255A">
      <w:pPr>
        <w:spacing w:before="1"/>
        <w:ind w:left="430" w:hanging="320"/>
        <w:rPr>
          <w:sz w:val="17"/>
        </w:rPr>
      </w:pPr>
      <w:r>
        <w:rPr>
          <w:color w:val="231F20"/>
          <w:w w:val="105"/>
          <w:sz w:val="17"/>
        </w:rPr>
        <w:t>Maguire,</w:t>
      </w:r>
      <w:r>
        <w:rPr>
          <w:color w:val="231F20"/>
          <w:spacing w:val="23"/>
          <w:w w:val="105"/>
          <w:sz w:val="17"/>
        </w:rPr>
        <w:t xml:space="preserve"> </w:t>
      </w:r>
      <w:r>
        <w:rPr>
          <w:color w:val="231F20"/>
          <w:w w:val="105"/>
          <w:sz w:val="17"/>
        </w:rPr>
        <w:t>J.</w:t>
      </w:r>
      <w:r>
        <w:rPr>
          <w:color w:val="231F20"/>
          <w:spacing w:val="23"/>
          <w:w w:val="105"/>
          <w:sz w:val="17"/>
        </w:rPr>
        <w:t xml:space="preserve"> </w:t>
      </w:r>
      <w:r>
        <w:rPr>
          <w:color w:val="231F20"/>
          <w:w w:val="105"/>
          <w:sz w:val="17"/>
        </w:rPr>
        <w:t>(2002)</w:t>
      </w:r>
      <w:r>
        <w:rPr>
          <w:color w:val="231F20"/>
          <w:spacing w:val="23"/>
          <w:w w:val="105"/>
          <w:sz w:val="17"/>
        </w:rPr>
        <w:t xml:space="preserve"> </w:t>
      </w:r>
      <w:r>
        <w:rPr>
          <w:i/>
          <w:color w:val="231F20"/>
          <w:w w:val="105"/>
          <w:sz w:val="17"/>
        </w:rPr>
        <w:t>Sport</w:t>
      </w:r>
      <w:r>
        <w:rPr>
          <w:i/>
          <w:color w:val="231F20"/>
          <w:spacing w:val="23"/>
          <w:w w:val="105"/>
          <w:sz w:val="17"/>
        </w:rPr>
        <w:t xml:space="preserve"> </w:t>
      </w:r>
      <w:r>
        <w:rPr>
          <w:i/>
          <w:color w:val="231F20"/>
          <w:w w:val="105"/>
          <w:sz w:val="17"/>
        </w:rPr>
        <w:t>Worlds:</w:t>
      </w:r>
      <w:r>
        <w:rPr>
          <w:i/>
          <w:color w:val="231F20"/>
          <w:spacing w:val="23"/>
          <w:w w:val="105"/>
          <w:sz w:val="17"/>
        </w:rPr>
        <w:t xml:space="preserve"> </w:t>
      </w:r>
      <w:r>
        <w:rPr>
          <w:i/>
          <w:color w:val="231F20"/>
          <w:w w:val="105"/>
          <w:sz w:val="17"/>
        </w:rPr>
        <w:t>A</w:t>
      </w:r>
      <w:r>
        <w:rPr>
          <w:i/>
          <w:color w:val="231F20"/>
          <w:spacing w:val="23"/>
          <w:w w:val="105"/>
          <w:sz w:val="17"/>
        </w:rPr>
        <w:t xml:space="preserve"> </w:t>
      </w:r>
      <w:r>
        <w:rPr>
          <w:i/>
          <w:color w:val="231F20"/>
          <w:w w:val="105"/>
          <w:sz w:val="17"/>
        </w:rPr>
        <w:t>Sociol</w:t>
      </w:r>
      <w:r>
        <w:rPr>
          <w:i/>
          <w:color w:val="231F20"/>
          <w:w w:val="105"/>
          <w:sz w:val="17"/>
        </w:rPr>
        <w:t>ogical</w:t>
      </w:r>
      <w:r>
        <w:rPr>
          <w:i/>
          <w:color w:val="231F20"/>
          <w:spacing w:val="23"/>
          <w:w w:val="105"/>
          <w:sz w:val="17"/>
        </w:rPr>
        <w:t xml:space="preserve"> </w:t>
      </w:r>
      <w:r>
        <w:rPr>
          <w:i/>
          <w:color w:val="231F20"/>
          <w:w w:val="105"/>
          <w:sz w:val="17"/>
        </w:rPr>
        <w:t>Perspective</w:t>
      </w:r>
      <w:r>
        <w:rPr>
          <w:color w:val="231F20"/>
          <w:w w:val="105"/>
          <w:sz w:val="17"/>
        </w:rPr>
        <w:t>.</w:t>
      </w:r>
      <w:r>
        <w:rPr>
          <w:color w:val="231F20"/>
          <w:spacing w:val="23"/>
          <w:w w:val="105"/>
          <w:sz w:val="17"/>
        </w:rPr>
        <w:t xml:space="preserve"> </w:t>
      </w:r>
      <w:r>
        <w:rPr>
          <w:color w:val="231F20"/>
          <w:w w:val="105"/>
          <w:sz w:val="17"/>
        </w:rPr>
        <w:t>Champaign,</w:t>
      </w:r>
      <w:r>
        <w:rPr>
          <w:color w:val="231F20"/>
          <w:spacing w:val="23"/>
          <w:w w:val="105"/>
          <w:sz w:val="17"/>
        </w:rPr>
        <w:t xml:space="preserve"> </w:t>
      </w:r>
      <w:r>
        <w:rPr>
          <w:color w:val="231F20"/>
          <w:w w:val="105"/>
          <w:sz w:val="17"/>
        </w:rPr>
        <w:t>IL:</w:t>
      </w:r>
      <w:r>
        <w:rPr>
          <w:color w:val="231F20"/>
          <w:spacing w:val="23"/>
          <w:w w:val="105"/>
          <w:sz w:val="17"/>
        </w:rPr>
        <w:t xml:space="preserve"> </w:t>
      </w:r>
      <w:r>
        <w:rPr>
          <w:color w:val="231F20"/>
          <w:w w:val="105"/>
          <w:sz w:val="17"/>
        </w:rPr>
        <w:t>Human</w:t>
      </w:r>
      <w:r>
        <w:rPr>
          <w:color w:val="231F20"/>
          <w:spacing w:val="40"/>
          <w:w w:val="105"/>
          <w:sz w:val="17"/>
        </w:rPr>
        <w:t xml:space="preserve"> </w:t>
      </w:r>
      <w:r>
        <w:rPr>
          <w:color w:val="231F20"/>
          <w:spacing w:val="-2"/>
          <w:w w:val="105"/>
          <w:sz w:val="17"/>
        </w:rPr>
        <w:t>Kinetics.</w:t>
      </w:r>
    </w:p>
    <w:p w14:paraId="470CF6A6" w14:textId="77777777" w:rsidR="00AE0598" w:rsidRDefault="0069255A">
      <w:pPr>
        <w:spacing w:before="2"/>
        <w:ind w:left="430" w:hanging="320"/>
        <w:rPr>
          <w:sz w:val="17"/>
        </w:rPr>
      </w:pPr>
      <w:r>
        <w:rPr>
          <w:color w:val="231F20"/>
          <w:sz w:val="17"/>
        </w:rPr>
        <w:t>Maguire,</w:t>
      </w:r>
      <w:r>
        <w:rPr>
          <w:color w:val="231F20"/>
          <w:spacing w:val="21"/>
          <w:w w:val="105"/>
          <w:sz w:val="17"/>
        </w:rPr>
        <w:t xml:space="preserve"> </w:t>
      </w:r>
      <w:r>
        <w:rPr>
          <w:color w:val="231F20"/>
          <w:w w:val="105"/>
          <w:sz w:val="17"/>
        </w:rPr>
        <w:t>J.</w:t>
      </w:r>
      <w:r>
        <w:rPr>
          <w:color w:val="231F20"/>
          <w:spacing w:val="21"/>
          <w:w w:val="105"/>
          <w:sz w:val="17"/>
        </w:rPr>
        <w:t xml:space="preserve"> </w:t>
      </w:r>
      <w:r>
        <w:rPr>
          <w:color w:val="231F20"/>
          <w:sz w:val="17"/>
        </w:rPr>
        <w:t>and</w:t>
      </w:r>
      <w:r>
        <w:rPr>
          <w:color w:val="231F20"/>
          <w:spacing w:val="23"/>
          <w:sz w:val="17"/>
        </w:rPr>
        <w:t xml:space="preserve"> </w:t>
      </w:r>
      <w:r>
        <w:rPr>
          <w:color w:val="231F20"/>
          <w:sz w:val="17"/>
        </w:rPr>
        <w:t>Stead,</w:t>
      </w:r>
      <w:r>
        <w:rPr>
          <w:color w:val="231F20"/>
          <w:spacing w:val="21"/>
          <w:w w:val="105"/>
          <w:sz w:val="17"/>
        </w:rPr>
        <w:t xml:space="preserve"> </w:t>
      </w:r>
      <w:r>
        <w:rPr>
          <w:color w:val="231F20"/>
          <w:w w:val="105"/>
          <w:sz w:val="17"/>
        </w:rPr>
        <w:t>D.</w:t>
      </w:r>
      <w:r>
        <w:rPr>
          <w:color w:val="231F20"/>
          <w:spacing w:val="21"/>
          <w:w w:val="105"/>
          <w:sz w:val="17"/>
        </w:rPr>
        <w:t xml:space="preserve"> </w:t>
      </w:r>
      <w:r>
        <w:rPr>
          <w:color w:val="231F20"/>
          <w:sz w:val="17"/>
        </w:rPr>
        <w:t>(1996)</w:t>
      </w:r>
      <w:r>
        <w:rPr>
          <w:color w:val="231F20"/>
          <w:spacing w:val="23"/>
          <w:sz w:val="17"/>
        </w:rPr>
        <w:t xml:space="preserve"> </w:t>
      </w:r>
      <w:r>
        <w:rPr>
          <w:color w:val="231F20"/>
          <w:sz w:val="17"/>
        </w:rPr>
        <w:t>Far</w:t>
      </w:r>
      <w:r>
        <w:rPr>
          <w:color w:val="231F20"/>
          <w:spacing w:val="23"/>
          <w:sz w:val="17"/>
        </w:rPr>
        <w:t xml:space="preserve"> </w:t>
      </w:r>
      <w:r>
        <w:rPr>
          <w:color w:val="231F20"/>
          <w:sz w:val="17"/>
        </w:rPr>
        <w:t>pavilions?</w:t>
      </w:r>
      <w:r>
        <w:rPr>
          <w:color w:val="231F20"/>
          <w:spacing w:val="23"/>
          <w:sz w:val="17"/>
        </w:rPr>
        <w:t xml:space="preserve"> </w:t>
      </w:r>
      <w:r>
        <w:rPr>
          <w:color w:val="231F20"/>
          <w:sz w:val="17"/>
        </w:rPr>
        <w:t>Cricket</w:t>
      </w:r>
      <w:r>
        <w:rPr>
          <w:color w:val="231F20"/>
          <w:spacing w:val="23"/>
          <w:sz w:val="17"/>
        </w:rPr>
        <w:t xml:space="preserve"> </w:t>
      </w:r>
      <w:r>
        <w:rPr>
          <w:color w:val="231F20"/>
          <w:sz w:val="17"/>
        </w:rPr>
        <w:t>migrants,</w:t>
      </w:r>
      <w:r>
        <w:rPr>
          <w:color w:val="231F20"/>
          <w:spacing w:val="23"/>
          <w:sz w:val="17"/>
        </w:rPr>
        <w:t xml:space="preserve"> </w:t>
      </w:r>
      <w:r>
        <w:rPr>
          <w:color w:val="231F20"/>
          <w:sz w:val="17"/>
        </w:rPr>
        <w:t>foreign</w:t>
      </w:r>
      <w:r>
        <w:rPr>
          <w:color w:val="231F20"/>
          <w:spacing w:val="23"/>
          <w:sz w:val="17"/>
        </w:rPr>
        <w:t xml:space="preserve"> </w:t>
      </w:r>
      <w:r>
        <w:rPr>
          <w:color w:val="231F20"/>
          <w:sz w:val="17"/>
        </w:rPr>
        <w:t>sojourns</w:t>
      </w:r>
      <w:r>
        <w:rPr>
          <w:color w:val="231F20"/>
          <w:spacing w:val="23"/>
          <w:sz w:val="17"/>
        </w:rPr>
        <w:t xml:space="preserve"> </w:t>
      </w:r>
      <w:r>
        <w:rPr>
          <w:color w:val="231F20"/>
          <w:sz w:val="17"/>
        </w:rPr>
        <w:t>and</w:t>
      </w:r>
      <w:r>
        <w:rPr>
          <w:color w:val="231F20"/>
          <w:spacing w:val="40"/>
          <w:sz w:val="17"/>
        </w:rPr>
        <w:t xml:space="preserve"> </w:t>
      </w:r>
      <w:r>
        <w:rPr>
          <w:color w:val="231F20"/>
          <w:sz w:val="17"/>
        </w:rPr>
        <w:t xml:space="preserve">contested identities. </w:t>
      </w:r>
      <w:r>
        <w:rPr>
          <w:i/>
          <w:color w:val="231F20"/>
          <w:sz w:val="17"/>
        </w:rPr>
        <w:t xml:space="preserve">International Review for the Sociology of Sport </w:t>
      </w:r>
      <w:r>
        <w:rPr>
          <w:color w:val="231F20"/>
          <w:sz w:val="17"/>
        </w:rPr>
        <w:t>31 (1), 1–24.</w:t>
      </w:r>
    </w:p>
    <w:p w14:paraId="575F0FFA" w14:textId="77777777" w:rsidR="00AE0598" w:rsidRDefault="0069255A">
      <w:pPr>
        <w:spacing w:before="1"/>
        <w:ind w:left="430" w:hanging="320"/>
        <w:rPr>
          <w:sz w:val="17"/>
        </w:rPr>
      </w:pPr>
      <w:r>
        <w:rPr>
          <w:color w:val="231F20"/>
          <w:sz w:val="17"/>
        </w:rPr>
        <w:t>Maguire,</w:t>
      </w:r>
      <w:r>
        <w:rPr>
          <w:color w:val="231F20"/>
          <w:spacing w:val="37"/>
          <w:w w:val="105"/>
          <w:sz w:val="17"/>
        </w:rPr>
        <w:t xml:space="preserve"> </w:t>
      </w:r>
      <w:r>
        <w:rPr>
          <w:color w:val="231F20"/>
          <w:w w:val="105"/>
          <w:sz w:val="17"/>
        </w:rPr>
        <w:t>J.</w:t>
      </w:r>
      <w:r>
        <w:rPr>
          <w:color w:val="231F20"/>
          <w:spacing w:val="37"/>
          <w:w w:val="105"/>
          <w:sz w:val="17"/>
        </w:rPr>
        <w:t xml:space="preserve"> </w:t>
      </w:r>
      <w:r>
        <w:rPr>
          <w:color w:val="231F20"/>
          <w:sz w:val="17"/>
        </w:rPr>
        <w:t>and</w:t>
      </w:r>
      <w:r>
        <w:rPr>
          <w:color w:val="231F20"/>
          <w:spacing w:val="39"/>
          <w:sz w:val="17"/>
        </w:rPr>
        <w:t xml:space="preserve"> </w:t>
      </w:r>
      <w:r>
        <w:rPr>
          <w:color w:val="231F20"/>
          <w:sz w:val="17"/>
        </w:rPr>
        <w:t>Stead,</w:t>
      </w:r>
      <w:r>
        <w:rPr>
          <w:color w:val="231F20"/>
          <w:spacing w:val="37"/>
          <w:w w:val="105"/>
          <w:sz w:val="17"/>
        </w:rPr>
        <w:t xml:space="preserve"> </w:t>
      </w:r>
      <w:r>
        <w:rPr>
          <w:color w:val="231F20"/>
          <w:w w:val="105"/>
          <w:sz w:val="17"/>
        </w:rPr>
        <w:t>D.</w:t>
      </w:r>
      <w:r>
        <w:rPr>
          <w:color w:val="231F20"/>
          <w:spacing w:val="37"/>
          <w:w w:val="105"/>
          <w:sz w:val="17"/>
        </w:rPr>
        <w:t xml:space="preserve"> </w:t>
      </w:r>
      <w:r>
        <w:rPr>
          <w:color w:val="231F20"/>
          <w:sz w:val="17"/>
        </w:rPr>
        <w:t>(1998)</w:t>
      </w:r>
      <w:r>
        <w:rPr>
          <w:color w:val="231F20"/>
          <w:spacing w:val="39"/>
          <w:sz w:val="17"/>
        </w:rPr>
        <w:t xml:space="preserve"> </w:t>
      </w:r>
      <w:r>
        <w:rPr>
          <w:color w:val="231F20"/>
          <w:sz w:val="17"/>
        </w:rPr>
        <w:t>Border</w:t>
      </w:r>
      <w:r>
        <w:rPr>
          <w:color w:val="231F20"/>
          <w:spacing w:val="39"/>
          <w:sz w:val="17"/>
        </w:rPr>
        <w:t xml:space="preserve"> </w:t>
      </w:r>
      <w:r>
        <w:rPr>
          <w:color w:val="231F20"/>
          <w:sz w:val="17"/>
        </w:rPr>
        <w:t>crossings:</w:t>
      </w:r>
      <w:r>
        <w:rPr>
          <w:color w:val="231F20"/>
          <w:spacing w:val="39"/>
          <w:sz w:val="17"/>
        </w:rPr>
        <w:t xml:space="preserve"> </w:t>
      </w:r>
      <w:r>
        <w:rPr>
          <w:color w:val="231F20"/>
          <w:sz w:val="17"/>
        </w:rPr>
        <w:t>Soccer</w:t>
      </w:r>
      <w:r>
        <w:rPr>
          <w:color w:val="231F20"/>
          <w:spacing w:val="39"/>
          <w:sz w:val="17"/>
        </w:rPr>
        <w:t xml:space="preserve"> </w:t>
      </w:r>
      <w:r>
        <w:rPr>
          <w:color w:val="231F20"/>
          <w:sz w:val="17"/>
        </w:rPr>
        <w:t>labour</w:t>
      </w:r>
      <w:r>
        <w:rPr>
          <w:color w:val="231F20"/>
          <w:spacing w:val="39"/>
          <w:sz w:val="17"/>
        </w:rPr>
        <w:t xml:space="preserve"> </w:t>
      </w:r>
      <w:r>
        <w:rPr>
          <w:color w:val="231F20"/>
          <w:sz w:val="17"/>
        </w:rPr>
        <w:t>migration</w:t>
      </w:r>
      <w:r>
        <w:rPr>
          <w:color w:val="231F20"/>
          <w:spacing w:val="39"/>
          <w:sz w:val="17"/>
        </w:rPr>
        <w:t xml:space="preserve"> </w:t>
      </w:r>
      <w:r>
        <w:rPr>
          <w:color w:val="231F20"/>
          <w:sz w:val="17"/>
        </w:rPr>
        <w:t>and</w:t>
      </w:r>
      <w:r>
        <w:rPr>
          <w:color w:val="231F20"/>
          <w:spacing w:val="39"/>
          <w:sz w:val="17"/>
        </w:rPr>
        <w:t xml:space="preserve"> </w:t>
      </w:r>
      <w:r>
        <w:rPr>
          <w:color w:val="231F20"/>
          <w:sz w:val="17"/>
        </w:rPr>
        <w:t>the</w:t>
      </w:r>
      <w:r>
        <w:rPr>
          <w:color w:val="231F20"/>
          <w:spacing w:val="40"/>
          <w:sz w:val="17"/>
        </w:rPr>
        <w:t xml:space="preserve"> </w:t>
      </w:r>
      <w:r>
        <w:rPr>
          <w:color w:val="231F20"/>
          <w:sz w:val="17"/>
        </w:rPr>
        <w:t xml:space="preserve">European Union. </w:t>
      </w:r>
      <w:r>
        <w:rPr>
          <w:i/>
          <w:color w:val="231F20"/>
          <w:sz w:val="17"/>
        </w:rPr>
        <w:t xml:space="preserve">International Review for the Sociology of Sport </w:t>
      </w:r>
      <w:r>
        <w:rPr>
          <w:color w:val="231F20"/>
          <w:sz w:val="17"/>
        </w:rPr>
        <w:t>33 (1), 59–73.</w:t>
      </w:r>
    </w:p>
    <w:p w14:paraId="74F4C335" w14:textId="77777777" w:rsidR="00AE0598" w:rsidRDefault="0069255A">
      <w:pPr>
        <w:spacing w:before="2"/>
        <w:ind w:left="430" w:hanging="320"/>
        <w:rPr>
          <w:sz w:val="17"/>
        </w:rPr>
      </w:pPr>
      <w:r>
        <w:rPr>
          <w:color w:val="231F20"/>
          <w:sz w:val="17"/>
        </w:rPr>
        <w:t>Maier,</w:t>
      </w:r>
      <w:r>
        <w:rPr>
          <w:color w:val="231F20"/>
          <w:spacing w:val="22"/>
          <w:w w:val="105"/>
          <w:sz w:val="17"/>
        </w:rPr>
        <w:t xml:space="preserve"> </w:t>
      </w:r>
      <w:r>
        <w:rPr>
          <w:color w:val="231F20"/>
          <w:w w:val="105"/>
          <w:sz w:val="17"/>
        </w:rPr>
        <w:t>J.</w:t>
      </w:r>
      <w:r>
        <w:rPr>
          <w:color w:val="231F20"/>
          <w:spacing w:val="22"/>
          <w:w w:val="105"/>
          <w:sz w:val="17"/>
        </w:rPr>
        <w:t xml:space="preserve"> </w:t>
      </w:r>
      <w:r>
        <w:rPr>
          <w:color w:val="231F20"/>
          <w:sz w:val="17"/>
        </w:rPr>
        <w:t>and</w:t>
      </w:r>
      <w:r>
        <w:rPr>
          <w:color w:val="231F20"/>
          <w:spacing w:val="24"/>
          <w:sz w:val="17"/>
        </w:rPr>
        <w:t xml:space="preserve"> </w:t>
      </w:r>
      <w:r>
        <w:rPr>
          <w:color w:val="231F20"/>
          <w:sz w:val="17"/>
        </w:rPr>
        <w:t>Weber,</w:t>
      </w:r>
      <w:r>
        <w:rPr>
          <w:color w:val="231F20"/>
          <w:spacing w:val="24"/>
          <w:sz w:val="17"/>
        </w:rPr>
        <w:t xml:space="preserve"> </w:t>
      </w:r>
      <w:r>
        <w:rPr>
          <w:color w:val="231F20"/>
          <w:sz w:val="17"/>
        </w:rPr>
        <w:t>W.</w:t>
      </w:r>
      <w:r>
        <w:rPr>
          <w:color w:val="231F20"/>
          <w:spacing w:val="24"/>
          <w:sz w:val="17"/>
        </w:rPr>
        <w:t xml:space="preserve"> </w:t>
      </w:r>
      <w:r>
        <w:rPr>
          <w:color w:val="231F20"/>
          <w:sz w:val="17"/>
        </w:rPr>
        <w:t>(1993)</w:t>
      </w:r>
      <w:r>
        <w:rPr>
          <w:color w:val="231F20"/>
          <w:spacing w:val="24"/>
          <w:sz w:val="17"/>
        </w:rPr>
        <w:t xml:space="preserve"> </w:t>
      </w:r>
      <w:r>
        <w:rPr>
          <w:color w:val="231F20"/>
          <w:sz w:val="17"/>
        </w:rPr>
        <w:t>Sport</w:t>
      </w:r>
      <w:r>
        <w:rPr>
          <w:color w:val="231F20"/>
          <w:spacing w:val="24"/>
          <w:sz w:val="17"/>
        </w:rPr>
        <w:t xml:space="preserve"> </w:t>
      </w:r>
      <w:r>
        <w:rPr>
          <w:color w:val="231F20"/>
          <w:sz w:val="17"/>
        </w:rPr>
        <w:t>tourism</w:t>
      </w:r>
      <w:r>
        <w:rPr>
          <w:color w:val="231F20"/>
          <w:spacing w:val="24"/>
          <w:sz w:val="17"/>
        </w:rPr>
        <w:t xml:space="preserve"> </w:t>
      </w:r>
      <w:r>
        <w:rPr>
          <w:color w:val="231F20"/>
          <w:sz w:val="17"/>
        </w:rPr>
        <w:t>in</w:t>
      </w:r>
      <w:r>
        <w:rPr>
          <w:color w:val="231F20"/>
          <w:spacing w:val="24"/>
          <w:sz w:val="17"/>
        </w:rPr>
        <w:t xml:space="preserve"> </w:t>
      </w:r>
      <w:r>
        <w:rPr>
          <w:color w:val="231F20"/>
          <w:sz w:val="17"/>
        </w:rPr>
        <w:t>local</w:t>
      </w:r>
      <w:r>
        <w:rPr>
          <w:color w:val="231F20"/>
          <w:spacing w:val="24"/>
          <w:sz w:val="17"/>
        </w:rPr>
        <w:t xml:space="preserve"> </w:t>
      </w:r>
      <w:r>
        <w:rPr>
          <w:color w:val="231F20"/>
          <w:sz w:val="17"/>
        </w:rPr>
        <w:t>and</w:t>
      </w:r>
      <w:r>
        <w:rPr>
          <w:color w:val="231F20"/>
          <w:spacing w:val="24"/>
          <w:sz w:val="17"/>
        </w:rPr>
        <w:t xml:space="preserve"> </w:t>
      </w:r>
      <w:r>
        <w:rPr>
          <w:color w:val="231F20"/>
          <w:sz w:val="17"/>
        </w:rPr>
        <w:t>regional</w:t>
      </w:r>
      <w:r>
        <w:rPr>
          <w:color w:val="231F20"/>
          <w:spacing w:val="24"/>
          <w:sz w:val="17"/>
        </w:rPr>
        <w:t xml:space="preserve"> </w:t>
      </w:r>
      <w:r>
        <w:rPr>
          <w:color w:val="231F20"/>
          <w:sz w:val="17"/>
        </w:rPr>
        <w:t>planning.</w:t>
      </w:r>
      <w:r>
        <w:rPr>
          <w:color w:val="231F20"/>
          <w:spacing w:val="24"/>
          <w:sz w:val="17"/>
        </w:rPr>
        <w:t xml:space="preserve"> </w:t>
      </w:r>
      <w:r>
        <w:rPr>
          <w:i/>
          <w:color w:val="231F20"/>
          <w:sz w:val="17"/>
        </w:rPr>
        <w:t>Tourism</w:t>
      </w:r>
      <w:r>
        <w:rPr>
          <w:i/>
          <w:color w:val="231F20"/>
          <w:spacing w:val="40"/>
          <w:sz w:val="17"/>
        </w:rPr>
        <w:t xml:space="preserve"> </w:t>
      </w:r>
      <w:r>
        <w:rPr>
          <w:i/>
          <w:color w:val="231F20"/>
          <w:sz w:val="17"/>
        </w:rPr>
        <w:t xml:space="preserve">Recreation Research </w:t>
      </w:r>
      <w:r>
        <w:rPr>
          <w:color w:val="231F20"/>
          <w:sz w:val="17"/>
        </w:rPr>
        <w:t>18 (2), 33–43.</w:t>
      </w:r>
    </w:p>
    <w:p w14:paraId="6CF1BCD7" w14:textId="77777777" w:rsidR="00AE0598" w:rsidRDefault="0069255A">
      <w:pPr>
        <w:spacing w:before="1"/>
        <w:ind w:left="430" w:hanging="320"/>
        <w:rPr>
          <w:sz w:val="17"/>
        </w:rPr>
      </w:pPr>
      <w:r>
        <w:rPr>
          <w:color w:val="231F20"/>
          <w:w w:val="95"/>
          <w:sz w:val="17"/>
        </w:rPr>
        <w:t>Maingard, J. (1997) Imag(in)ing the South African nation: Representations of identity in the</w:t>
      </w:r>
      <w:r>
        <w:rPr>
          <w:color w:val="231F20"/>
          <w:spacing w:val="40"/>
          <w:sz w:val="17"/>
        </w:rPr>
        <w:t xml:space="preserve"> </w:t>
      </w:r>
      <w:r>
        <w:rPr>
          <w:color w:val="231F20"/>
          <w:sz w:val="17"/>
        </w:rPr>
        <w:t xml:space="preserve">Rugby World Cup 1995. </w:t>
      </w:r>
      <w:r>
        <w:rPr>
          <w:i/>
          <w:color w:val="231F20"/>
          <w:sz w:val="17"/>
        </w:rPr>
        <w:t xml:space="preserve">Theatre Journal </w:t>
      </w:r>
      <w:r>
        <w:rPr>
          <w:color w:val="231F20"/>
          <w:sz w:val="17"/>
        </w:rPr>
        <w:t>49 (1), 15–28.</w:t>
      </w:r>
    </w:p>
    <w:p w14:paraId="10E67639" w14:textId="77777777" w:rsidR="00AE0598" w:rsidRDefault="00AE0598">
      <w:pPr>
        <w:rPr>
          <w:sz w:val="17"/>
        </w:rPr>
        <w:sectPr w:rsidR="00AE0598">
          <w:pgSz w:w="8850" w:h="13270"/>
          <w:pgMar w:top="720" w:right="1060" w:bottom="280" w:left="1080" w:header="720" w:footer="720" w:gutter="0"/>
          <w:cols w:space="720"/>
        </w:sectPr>
      </w:pPr>
    </w:p>
    <w:p w14:paraId="745234C2" w14:textId="77777777" w:rsidR="00AE0598" w:rsidRDefault="0069255A">
      <w:pPr>
        <w:spacing w:before="87"/>
        <w:ind w:left="108"/>
        <w:rPr>
          <w:rFonts w:ascii="Trebuchet MS"/>
          <w:sz w:val="14"/>
        </w:rPr>
      </w:pPr>
      <w:r>
        <w:rPr>
          <w:rFonts w:ascii="Trebuchet MS"/>
          <w:color w:val="231F20"/>
          <w:w w:val="105"/>
          <w:sz w:val="14"/>
        </w:rPr>
        <w:lastRenderedPageBreak/>
        <w:t>262</w:t>
      </w:r>
      <w:r>
        <w:rPr>
          <w:rFonts w:ascii="Trebuchet MS"/>
          <w:color w:val="231F20"/>
          <w:spacing w:val="78"/>
          <w:w w:val="150"/>
          <w:sz w:val="14"/>
        </w:rPr>
        <w:t xml:space="preserve"> </w:t>
      </w:r>
      <w:r>
        <w:rPr>
          <w:rFonts w:ascii="Trebuchet MS"/>
          <w:color w:val="231F20"/>
          <w:spacing w:val="-2"/>
          <w:w w:val="105"/>
          <w:sz w:val="14"/>
        </w:rPr>
        <w:t>References</w:t>
      </w:r>
    </w:p>
    <w:p w14:paraId="10BEDE55" w14:textId="77777777" w:rsidR="00AE0598" w:rsidRDefault="00AE0598">
      <w:pPr>
        <w:pStyle w:val="Corpodetexto"/>
        <w:rPr>
          <w:rFonts w:ascii="Trebuchet MS"/>
          <w:sz w:val="16"/>
        </w:rPr>
      </w:pPr>
    </w:p>
    <w:p w14:paraId="05640D11" w14:textId="77777777" w:rsidR="00AE0598" w:rsidRDefault="0069255A">
      <w:pPr>
        <w:spacing w:before="121"/>
        <w:ind w:left="430" w:right="127" w:hanging="320"/>
        <w:jc w:val="both"/>
        <w:rPr>
          <w:sz w:val="17"/>
        </w:rPr>
      </w:pPr>
      <w:r>
        <w:rPr>
          <w:color w:val="231F20"/>
          <w:sz w:val="17"/>
        </w:rPr>
        <w:t xml:space="preserve">Manfredo, </w:t>
      </w:r>
      <w:r>
        <w:rPr>
          <w:color w:val="231F20"/>
          <w:w w:val="110"/>
          <w:sz w:val="17"/>
        </w:rPr>
        <w:t xml:space="preserve">M.J. </w:t>
      </w:r>
      <w:r>
        <w:rPr>
          <w:color w:val="231F20"/>
          <w:sz w:val="17"/>
        </w:rPr>
        <w:t>and Driver, B.L. (1983) A test</w:t>
      </w:r>
      <w:r>
        <w:rPr>
          <w:color w:val="231F20"/>
          <w:sz w:val="17"/>
        </w:rPr>
        <w:t xml:space="preserve"> of concepts inherent in experience based-</w:t>
      </w:r>
      <w:r>
        <w:rPr>
          <w:color w:val="231F20"/>
          <w:spacing w:val="40"/>
          <w:sz w:val="17"/>
        </w:rPr>
        <w:t xml:space="preserve"> </w:t>
      </w:r>
      <w:r>
        <w:rPr>
          <w:color w:val="231F20"/>
          <w:w w:val="95"/>
          <w:sz w:val="17"/>
        </w:rPr>
        <w:t xml:space="preserve">settting management for outdoor recreation areas. </w:t>
      </w:r>
      <w:r>
        <w:rPr>
          <w:i/>
          <w:color w:val="231F20"/>
          <w:w w:val="95"/>
          <w:sz w:val="17"/>
        </w:rPr>
        <w:t xml:space="preserve">Journal of Leisure Research </w:t>
      </w:r>
      <w:r>
        <w:rPr>
          <w:color w:val="231F20"/>
          <w:w w:val="95"/>
          <w:sz w:val="17"/>
        </w:rPr>
        <w:t>15 (3),</w:t>
      </w:r>
      <w:r>
        <w:rPr>
          <w:color w:val="231F20"/>
          <w:spacing w:val="40"/>
          <w:sz w:val="17"/>
        </w:rPr>
        <w:t xml:space="preserve"> </w:t>
      </w:r>
      <w:r>
        <w:rPr>
          <w:color w:val="231F20"/>
          <w:spacing w:val="-2"/>
          <w:sz w:val="17"/>
        </w:rPr>
        <w:t>263–283.</w:t>
      </w:r>
    </w:p>
    <w:p w14:paraId="6A5602C4" w14:textId="77777777" w:rsidR="00AE0598" w:rsidRDefault="0069255A">
      <w:pPr>
        <w:spacing w:before="2"/>
        <w:ind w:left="430" w:right="128" w:hanging="320"/>
        <w:jc w:val="both"/>
        <w:rPr>
          <w:sz w:val="17"/>
        </w:rPr>
      </w:pPr>
      <w:r>
        <w:rPr>
          <w:color w:val="231F20"/>
          <w:w w:val="95"/>
          <w:sz w:val="17"/>
        </w:rPr>
        <w:t>Mannell, B., Walker, G.J. and Ito, E. (2014) Ideal affect, actual affect, and affect discrepancy</w:t>
      </w:r>
      <w:r>
        <w:rPr>
          <w:color w:val="231F20"/>
          <w:spacing w:val="40"/>
          <w:sz w:val="17"/>
        </w:rPr>
        <w:t xml:space="preserve"> </w:t>
      </w:r>
      <w:r>
        <w:rPr>
          <w:color w:val="231F20"/>
          <w:sz w:val="17"/>
        </w:rPr>
        <w:t xml:space="preserve">during leisure and paid work. </w:t>
      </w:r>
      <w:r>
        <w:rPr>
          <w:i/>
          <w:color w:val="231F20"/>
          <w:sz w:val="17"/>
        </w:rPr>
        <w:t xml:space="preserve">Journal of Leisure Research </w:t>
      </w:r>
      <w:r>
        <w:rPr>
          <w:color w:val="231F20"/>
          <w:sz w:val="17"/>
        </w:rPr>
        <w:t>46, 13–37.</w:t>
      </w:r>
    </w:p>
    <w:p w14:paraId="00B4FEE3" w14:textId="77777777" w:rsidR="00AE0598" w:rsidRDefault="0069255A">
      <w:pPr>
        <w:spacing w:before="1"/>
        <w:ind w:left="430" w:right="127" w:hanging="320"/>
        <w:jc w:val="both"/>
        <w:rPr>
          <w:sz w:val="17"/>
        </w:rPr>
      </w:pPr>
      <w:r>
        <w:rPr>
          <w:color w:val="231F20"/>
          <w:sz w:val="17"/>
        </w:rPr>
        <w:t>Manzenreiter, W. (2008) The ‘benefits’ of hosting: Japanese experiences from the 2002</w:t>
      </w:r>
      <w:r>
        <w:rPr>
          <w:color w:val="231F20"/>
          <w:spacing w:val="40"/>
          <w:sz w:val="17"/>
        </w:rPr>
        <w:t xml:space="preserve"> </w:t>
      </w:r>
      <w:r>
        <w:rPr>
          <w:color w:val="231F20"/>
          <w:sz w:val="17"/>
        </w:rPr>
        <w:t>Foot</w:t>
      </w:r>
      <w:r>
        <w:rPr>
          <w:color w:val="231F20"/>
          <w:sz w:val="17"/>
        </w:rPr>
        <w:t xml:space="preserve">ball World Cup. </w:t>
      </w:r>
      <w:r>
        <w:rPr>
          <w:i/>
          <w:color w:val="231F20"/>
          <w:sz w:val="17"/>
        </w:rPr>
        <w:t xml:space="preserve">Asian Business and Management </w:t>
      </w:r>
      <w:r>
        <w:rPr>
          <w:color w:val="231F20"/>
          <w:sz w:val="17"/>
        </w:rPr>
        <w:t>7, 201–224.</w:t>
      </w:r>
    </w:p>
    <w:p w14:paraId="3AA2EA3C" w14:textId="77777777" w:rsidR="00AE0598" w:rsidRDefault="0069255A">
      <w:pPr>
        <w:spacing w:before="2"/>
        <w:ind w:left="110"/>
        <w:jc w:val="both"/>
        <w:rPr>
          <w:sz w:val="17"/>
        </w:rPr>
      </w:pPr>
      <w:r>
        <w:rPr>
          <w:color w:val="231F20"/>
          <w:sz w:val="17"/>
        </w:rPr>
        <w:t>March,</w:t>
      </w:r>
      <w:r>
        <w:rPr>
          <w:color w:val="231F20"/>
          <w:spacing w:val="5"/>
          <w:sz w:val="17"/>
        </w:rPr>
        <w:t xml:space="preserve"> </w:t>
      </w:r>
      <w:r>
        <w:rPr>
          <w:color w:val="231F20"/>
          <w:sz w:val="17"/>
        </w:rPr>
        <w:t>R.</w:t>
      </w:r>
      <w:r>
        <w:rPr>
          <w:color w:val="231F20"/>
          <w:spacing w:val="6"/>
          <w:sz w:val="17"/>
        </w:rPr>
        <w:t xml:space="preserve"> </w:t>
      </w:r>
      <w:r>
        <w:rPr>
          <w:color w:val="231F20"/>
          <w:sz w:val="17"/>
        </w:rPr>
        <w:t>and</w:t>
      </w:r>
      <w:r>
        <w:rPr>
          <w:color w:val="231F20"/>
          <w:spacing w:val="6"/>
          <w:sz w:val="17"/>
        </w:rPr>
        <w:t xml:space="preserve"> </w:t>
      </w:r>
      <w:r>
        <w:rPr>
          <w:color w:val="231F20"/>
          <w:sz w:val="17"/>
        </w:rPr>
        <w:t>Wilkinson,</w:t>
      </w:r>
      <w:r>
        <w:rPr>
          <w:color w:val="231F20"/>
          <w:spacing w:val="6"/>
          <w:sz w:val="17"/>
        </w:rPr>
        <w:t xml:space="preserve"> </w:t>
      </w:r>
      <w:r>
        <w:rPr>
          <w:color w:val="231F20"/>
          <w:sz w:val="17"/>
        </w:rPr>
        <w:t>I.</w:t>
      </w:r>
      <w:r>
        <w:rPr>
          <w:color w:val="231F20"/>
          <w:spacing w:val="5"/>
          <w:sz w:val="17"/>
        </w:rPr>
        <w:t xml:space="preserve"> </w:t>
      </w:r>
      <w:r>
        <w:rPr>
          <w:color w:val="231F20"/>
          <w:sz w:val="17"/>
        </w:rPr>
        <w:t>(2009)</w:t>
      </w:r>
      <w:r>
        <w:rPr>
          <w:color w:val="231F20"/>
          <w:spacing w:val="6"/>
          <w:sz w:val="17"/>
        </w:rPr>
        <w:t xml:space="preserve"> </w:t>
      </w:r>
      <w:r>
        <w:rPr>
          <w:color w:val="231F20"/>
          <w:sz w:val="17"/>
        </w:rPr>
        <w:t>Conceptual</w:t>
      </w:r>
      <w:r>
        <w:rPr>
          <w:color w:val="231F20"/>
          <w:spacing w:val="6"/>
          <w:sz w:val="17"/>
        </w:rPr>
        <w:t xml:space="preserve"> </w:t>
      </w:r>
      <w:r>
        <w:rPr>
          <w:color w:val="231F20"/>
          <w:sz w:val="17"/>
        </w:rPr>
        <w:t>tools</w:t>
      </w:r>
      <w:r>
        <w:rPr>
          <w:color w:val="231F20"/>
          <w:spacing w:val="6"/>
          <w:sz w:val="17"/>
        </w:rPr>
        <w:t xml:space="preserve"> </w:t>
      </w:r>
      <w:r>
        <w:rPr>
          <w:color w:val="231F20"/>
          <w:sz w:val="17"/>
        </w:rPr>
        <w:t>for</w:t>
      </w:r>
      <w:r>
        <w:rPr>
          <w:color w:val="231F20"/>
          <w:spacing w:val="6"/>
          <w:sz w:val="17"/>
        </w:rPr>
        <w:t xml:space="preserve"> </w:t>
      </w:r>
      <w:r>
        <w:rPr>
          <w:color w:val="231F20"/>
          <w:sz w:val="17"/>
        </w:rPr>
        <w:t>evaluating</w:t>
      </w:r>
      <w:r>
        <w:rPr>
          <w:color w:val="231F20"/>
          <w:spacing w:val="5"/>
          <w:sz w:val="17"/>
        </w:rPr>
        <w:t xml:space="preserve"> </w:t>
      </w:r>
      <w:r>
        <w:rPr>
          <w:color w:val="231F20"/>
          <w:sz w:val="17"/>
        </w:rPr>
        <w:t>tourism</w:t>
      </w:r>
      <w:r>
        <w:rPr>
          <w:color w:val="231F20"/>
          <w:spacing w:val="6"/>
          <w:sz w:val="17"/>
        </w:rPr>
        <w:t xml:space="preserve"> </w:t>
      </w:r>
      <w:r>
        <w:rPr>
          <w:color w:val="231F20"/>
          <w:spacing w:val="-2"/>
          <w:sz w:val="17"/>
        </w:rPr>
        <w:t>partnerships.</w:t>
      </w:r>
    </w:p>
    <w:p w14:paraId="1700DA3D" w14:textId="77777777" w:rsidR="00AE0598" w:rsidRDefault="0069255A">
      <w:pPr>
        <w:ind w:left="430"/>
        <w:jc w:val="both"/>
        <w:rPr>
          <w:sz w:val="17"/>
        </w:rPr>
      </w:pPr>
      <w:r>
        <w:rPr>
          <w:i/>
          <w:color w:val="231F20"/>
          <w:sz w:val="17"/>
        </w:rPr>
        <w:t>Tourism</w:t>
      </w:r>
      <w:r>
        <w:rPr>
          <w:i/>
          <w:color w:val="231F20"/>
          <w:spacing w:val="12"/>
          <w:sz w:val="17"/>
        </w:rPr>
        <w:t xml:space="preserve"> </w:t>
      </w:r>
      <w:r>
        <w:rPr>
          <w:i/>
          <w:color w:val="231F20"/>
          <w:sz w:val="17"/>
        </w:rPr>
        <w:t>Management</w:t>
      </w:r>
      <w:r>
        <w:rPr>
          <w:i/>
          <w:color w:val="231F20"/>
          <w:spacing w:val="11"/>
          <w:sz w:val="17"/>
        </w:rPr>
        <w:t xml:space="preserve"> </w:t>
      </w:r>
      <w:r>
        <w:rPr>
          <w:color w:val="231F20"/>
          <w:sz w:val="17"/>
        </w:rPr>
        <w:t>30,</w:t>
      </w:r>
      <w:r>
        <w:rPr>
          <w:color w:val="231F20"/>
          <w:spacing w:val="12"/>
          <w:sz w:val="17"/>
        </w:rPr>
        <w:t xml:space="preserve"> </w:t>
      </w:r>
      <w:r>
        <w:rPr>
          <w:color w:val="231F20"/>
          <w:spacing w:val="-2"/>
          <w:sz w:val="17"/>
        </w:rPr>
        <w:t>455–462.</w:t>
      </w:r>
    </w:p>
    <w:p w14:paraId="16C11E52" w14:textId="77777777" w:rsidR="00AE0598" w:rsidRDefault="0069255A">
      <w:pPr>
        <w:spacing w:before="1"/>
        <w:ind w:left="430" w:right="127" w:hanging="320"/>
        <w:jc w:val="both"/>
        <w:rPr>
          <w:sz w:val="17"/>
        </w:rPr>
      </w:pPr>
      <w:r>
        <w:rPr>
          <w:color w:val="231F20"/>
          <w:w w:val="95"/>
          <w:sz w:val="17"/>
        </w:rPr>
        <w:t>Marciszewaski,</w:t>
      </w:r>
      <w:r>
        <w:rPr>
          <w:color w:val="231F20"/>
          <w:spacing w:val="19"/>
          <w:sz w:val="17"/>
        </w:rPr>
        <w:t xml:space="preserve"> </w:t>
      </w:r>
      <w:r>
        <w:rPr>
          <w:color w:val="231F20"/>
          <w:w w:val="95"/>
          <w:sz w:val="17"/>
        </w:rPr>
        <w:t>B.</w:t>
      </w:r>
      <w:r>
        <w:rPr>
          <w:color w:val="231F20"/>
          <w:spacing w:val="19"/>
          <w:sz w:val="17"/>
        </w:rPr>
        <w:t xml:space="preserve"> </w:t>
      </w:r>
      <w:r>
        <w:rPr>
          <w:color w:val="231F20"/>
          <w:w w:val="95"/>
          <w:sz w:val="17"/>
        </w:rPr>
        <w:t>(1998)</w:t>
      </w:r>
      <w:r>
        <w:rPr>
          <w:color w:val="231F20"/>
          <w:spacing w:val="19"/>
          <w:sz w:val="17"/>
        </w:rPr>
        <w:t xml:space="preserve"> </w:t>
      </w:r>
      <w:r>
        <w:rPr>
          <w:color w:val="231F20"/>
          <w:w w:val="95"/>
          <w:sz w:val="17"/>
        </w:rPr>
        <w:t>Participation</w:t>
      </w:r>
      <w:r>
        <w:rPr>
          <w:color w:val="231F20"/>
          <w:spacing w:val="19"/>
          <w:sz w:val="17"/>
        </w:rPr>
        <w:t xml:space="preserve"> </w:t>
      </w:r>
      <w:r>
        <w:rPr>
          <w:color w:val="231F20"/>
          <w:w w:val="95"/>
          <w:sz w:val="17"/>
        </w:rPr>
        <w:t>in</w:t>
      </w:r>
      <w:r>
        <w:rPr>
          <w:color w:val="231F20"/>
          <w:spacing w:val="19"/>
          <w:sz w:val="17"/>
        </w:rPr>
        <w:t xml:space="preserve"> </w:t>
      </w:r>
      <w:r>
        <w:rPr>
          <w:color w:val="231F20"/>
          <w:w w:val="95"/>
          <w:sz w:val="17"/>
        </w:rPr>
        <w:t>free</w:t>
      </w:r>
      <w:r>
        <w:rPr>
          <w:color w:val="231F20"/>
          <w:spacing w:val="19"/>
          <w:sz w:val="17"/>
        </w:rPr>
        <w:t xml:space="preserve"> </w:t>
      </w:r>
      <w:r>
        <w:rPr>
          <w:color w:val="231F20"/>
          <w:w w:val="95"/>
          <w:sz w:val="17"/>
        </w:rPr>
        <w:t>time</w:t>
      </w:r>
      <w:r>
        <w:rPr>
          <w:color w:val="231F20"/>
          <w:spacing w:val="19"/>
          <w:sz w:val="17"/>
        </w:rPr>
        <w:t xml:space="preserve"> </w:t>
      </w:r>
      <w:r>
        <w:rPr>
          <w:color w:val="231F20"/>
          <w:w w:val="95"/>
          <w:sz w:val="17"/>
        </w:rPr>
        <w:t>sport</w:t>
      </w:r>
      <w:r>
        <w:rPr>
          <w:color w:val="231F20"/>
          <w:spacing w:val="19"/>
          <w:sz w:val="17"/>
        </w:rPr>
        <w:t xml:space="preserve"> </w:t>
      </w:r>
      <w:r>
        <w:rPr>
          <w:color w:val="231F20"/>
          <w:w w:val="95"/>
          <w:sz w:val="17"/>
        </w:rPr>
        <w:t>recreation</w:t>
      </w:r>
      <w:r>
        <w:rPr>
          <w:color w:val="231F20"/>
          <w:spacing w:val="19"/>
          <w:sz w:val="17"/>
        </w:rPr>
        <w:t xml:space="preserve"> </w:t>
      </w:r>
      <w:r>
        <w:rPr>
          <w:color w:val="231F20"/>
          <w:w w:val="95"/>
          <w:sz w:val="17"/>
        </w:rPr>
        <w:t>activities:</w:t>
      </w:r>
      <w:r>
        <w:rPr>
          <w:color w:val="231F20"/>
          <w:spacing w:val="19"/>
          <w:sz w:val="17"/>
        </w:rPr>
        <w:t xml:space="preserve"> </w:t>
      </w:r>
      <w:r>
        <w:rPr>
          <w:color w:val="231F20"/>
          <w:w w:val="95"/>
          <w:sz w:val="17"/>
        </w:rPr>
        <w:t>Comparison</w:t>
      </w:r>
      <w:r>
        <w:rPr>
          <w:color w:val="231F20"/>
          <w:spacing w:val="40"/>
          <w:sz w:val="17"/>
        </w:rPr>
        <w:t xml:space="preserve"> </w:t>
      </w:r>
      <w:r>
        <w:rPr>
          <w:color w:val="231F20"/>
          <w:sz w:val="17"/>
        </w:rPr>
        <w:t xml:space="preserve">of Gdansk Region, Poland and Guildford, United Kingdom. In S. Scraton (ed.) </w:t>
      </w:r>
      <w:r>
        <w:rPr>
          <w:i/>
          <w:color w:val="231F20"/>
          <w:sz w:val="17"/>
        </w:rPr>
        <w:t>Leisure</w:t>
      </w:r>
      <w:r>
        <w:rPr>
          <w:i/>
          <w:color w:val="231F20"/>
          <w:spacing w:val="40"/>
          <w:sz w:val="17"/>
        </w:rPr>
        <w:t xml:space="preserve"> </w:t>
      </w:r>
      <w:r>
        <w:rPr>
          <w:i/>
          <w:color w:val="231F20"/>
          <w:sz w:val="17"/>
        </w:rPr>
        <w:t xml:space="preserve">Time and Space: Meanings and Values in People’s Lives </w:t>
      </w:r>
      <w:r>
        <w:rPr>
          <w:color w:val="231F20"/>
          <w:sz w:val="17"/>
        </w:rPr>
        <w:t>(pp. 177–191). Eastbourne:</w:t>
      </w:r>
      <w:r>
        <w:rPr>
          <w:color w:val="231F20"/>
          <w:spacing w:val="40"/>
          <w:sz w:val="17"/>
        </w:rPr>
        <w:t xml:space="preserve"> </w:t>
      </w:r>
      <w:r>
        <w:rPr>
          <w:color w:val="231F20"/>
          <w:sz w:val="17"/>
        </w:rPr>
        <w:t>Leisure Studies Association.</w:t>
      </w:r>
    </w:p>
    <w:p w14:paraId="09B4E032" w14:textId="77777777" w:rsidR="00AE0598" w:rsidRDefault="0069255A">
      <w:pPr>
        <w:spacing w:before="3"/>
        <w:ind w:left="430" w:right="127" w:hanging="320"/>
        <w:jc w:val="both"/>
        <w:rPr>
          <w:sz w:val="17"/>
        </w:rPr>
      </w:pPr>
      <w:r>
        <w:rPr>
          <w:color w:val="231F20"/>
          <w:w w:val="105"/>
          <w:sz w:val="17"/>
        </w:rPr>
        <w:t>Marshall,</w:t>
      </w:r>
      <w:r>
        <w:rPr>
          <w:color w:val="231F20"/>
          <w:spacing w:val="-5"/>
          <w:w w:val="105"/>
          <w:sz w:val="17"/>
        </w:rPr>
        <w:t xml:space="preserve"> </w:t>
      </w:r>
      <w:r>
        <w:rPr>
          <w:color w:val="231F20"/>
          <w:w w:val="105"/>
          <w:sz w:val="17"/>
        </w:rPr>
        <w:t>N.A.,</w:t>
      </w:r>
      <w:r>
        <w:rPr>
          <w:color w:val="231F20"/>
          <w:spacing w:val="-5"/>
          <w:w w:val="105"/>
          <w:sz w:val="17"/>
        </w:rPr>
        <w:t xml:space="preserve"> </w:t>
      </w:r>
      <w:r>
        <w:rPr>
          <w:color w:val="231F20"/>
          <w:w w:val="105"/>
          <w:sz w:val="17"/>
        </w:rPr>
        <w:t>Marshall,</w:t>
      </w:r>
      <w:r>
        <w:rPr>
          <w:color w:val="231F20"/>
          <w:spacing w:val="-5"/>
          <w:w w:val="105"/>
          <w:sz w:val="17"/>
        </w:rPr>
        <w:t xml:space="preserve"> </w:t>
      </w:r>
      <w:r>
        <w:rPr>
          <w:color w:val="231F20"/>
          <w:w w:val="105"/>
          <w:sz w:val="17"/>
        </w:rPr>
        <w:t>P.</w:t>
      </w:r>
      <w:r>
        <w:rPr>
          <w:color w:val="231F20"/>
          <w:w w:val="105"/>
          <w:sz w:val="17"/>
        </w:rPr>
        <w:t>A.,</w:t>
      </w:r>
      <w:r>
        <w:rPr>
          <w:color w:val="231F20"/>
          <w:spacing w:val="-5"/>
          <w:w w:val="105"/>
          <w:sz w:val="17"/>
        </w:rPr>
        <w:t xml:space="preserve"> </w:t>
      </w:r>
      <w:r>
        <w:rPr>
          <w:color w:val="231F20"/>
          <w:w w:val="105"/>
          <w:sz w:val="17"/>
        </w:rPr>
        <w:t>Abdulla,</w:t>
      </w:r>
      <w:r>
        <w:rPr>
          <w:color w:val="231F20"/>
          <w:spacing w:val="-5"/>
          <w:w w:val="105"/>
          <w:sz w:val="17"/>
        </w:rPr>
        <w:t xml:space="preserve"> </w:t>
      </w:r>
      <w:r>
        <w:rPr>
          <w:color w:val="231F20"/>
          <w:w w:val="105"/>
          <w:sz w:val="17"/>
        </w:rPr>
        <w:t>A.,</w:t>
      </w:r>
      <w:r>
        <w:rPr>
          <w:color w:val="231F20"/>
          <w:spacing w:val="-5"/>
          <w:w w:val="105"/>
          <w:sz w:val="17"/>
        </w:rPr>
        <w:t xml:space="preserve"> </w:t>
      </w:r>
      <w:r>
        <w:rPr>
          <w:color w:val="231F20"/>
          <w:w w:val="105"/>
          <w:sz w:val="17"/>
        </w:rPr>
        <w:t>Rouphael,</w:t>
      </w:r>
      <w:r>
        <w:rPr>
          <w:color w:val="231F20"/>
          <w:spacing w:val="-5"/>
          <w:w w:val="105"/>
          <w:sz w:val="17"/>
        </w:rPr>
        <w:t xml:space="preserve"> </w:t>
      </w:r>
      <w:r>
        <w:rPr>
          <w:color w:val="231F20"/>
          <w:w w:val="105"/>
          <w:sz w:val="17"/>
        </w:rPr>
        <w:t>T.</w:t>
      </w:r>
      <w:r>
        <w:rPr>
          <w:color w:val="231F20"/>
          <w:spacing w:val="-5"/>
          <w:w w:val="105"/>
          <w:sz w:val="17"/>
        </w:rPr>
        <w:t xml:space="preserve"> </w:t>
      </w:r>
      <w:r>
        <w:rPr>
          <w:color w:val="231F20"/>
          <w:w w:val="105"/>
          <w:sz w:val="17"/>
        </w:rPr>
        <w:t>and</w:t>
      </w:r>
      <w:r>
        <w:rPr>
          <w:color w:val="231F20"/>
          <w:spacing w:val="-5"/>
          <w:w w:val="105"/>
          <w:sz w:val="17"/>
        </w:rPr>
        <w:t xml:space="preserve"> </w:t>
      </w:r>
      <w:r>
        <w:rPr>
          <w:color w:val="231F20"/>
          <w:w w:val="105"/>
          <w:sz w:val="17"/>
        </w:rPr>
        <w:t>Ali,</w:t>
      </w:r>
      <w:r>
        <w:rPr>
          <w:color w:val="231F20"/>
          <w:spacing w:val="-5"/>
          <w:w w:val="105"/>
          <w:sz w:val="17"/>
        </w:rPr>
        <w:t xml:space="preserve"> </w:t>
      </w:r>
      <w:r>
        <w:rPr>
          <w:color w:val="231F20"/>
          <w:w w:val="105"/>
          <w:sz w:val="17"/>
        </w:rPr>
        <w:t>A.</w:t>
      </w:r>
      <w:r>
        <w:rPr>
          <w:color w:val="231F20"/>
          <w:spacing w:val="-5"/>
          <w:w w:val="105"/>
          <w:sz w:val="17"/>
        </w:rPr>
        <w:t xml:space="preserve"> </w:t>
      </w:r>
      <w:r>
        <w:rPr>
          <w:color w:val="231F20"/>
          <w:w w:val="105"/>
          <w:sz w:val="17"/>
        </w:rPr>
        <w:t>(2011)</w:t>
      </w:r>
      <w:r>
        <w:rPr>
          <w:color w:val="231F20"/>
          <w:spacing w:val="-5"/>
          <w:w w:val="105"/>
          <w:sz w:val="17"/>
        </w:rPr>
        <w:t xml:space="preserve"> </w:t>
      </w:r>
      <w:r>
        <w:rPr>
          <w:color w:val="231F20"/>
          <w:w w:val="105"/>
          <w:sz w:val="17"/>
        </w:rPr>
        <w:t>Preparing</w:t>
      </w:r>
      <w:r>
        <w:rPr>
          <w:color w:val="231F20"/>
          <w:spacing w:val="-5"/>
          <w:w w:val="105"/>
          <w:sz w:val="17"/>
        </w:rPr>
        <w:t xml:space="preserve"> </w:t>
      </w:r>
      <w:r>
        <w:rPr>
          <w:color w:val="231F20"/>
          <w:w w:val="105"/>
          <w:sz w:val="17"/>
        </w:rPr>
        <w:t>for</w:t>
      </w:r>
      <w:r>
        <w:rPr>
          <w:color w:val="231F20"/>
          <w:spacing w:val="40"/>
          <w:w w:val="105"/>
          <w:sz w:val="17"/>
        </w:rPr>
        <w:t xml:space="preserve"> </w:t>
      </w:r>
      <w:r>
        <w:rPr>
          <w:color w:val="231F20"/>
          <w:w w:val="95"/>
          <w:sz w:val="17"/>
        </w:rPr>
        <w:t>climate change: Recognising its early impacts through the perceptions of dive tourists</w:t>
      </w:r>
      <w:r>
        <w:rPr>
          <w:color w:val="231F20"/>
          <w:spacing w:val="40"/>
          <w:sz w:val="17"/>
        </w:rPr>
        <w:t xml:space="preserve"> </w:t>
      </w:r>
      <w:r>
        <w:rPr>
          <w:color w:val="231F20"/>
          <w:w w:val="95"/>
          <w:sz w:val="17"/>
        </w:rPr>
        <w:t xml:space="preserve">and dive operators in the Egyptian Red Sea. </w:t>
      </w:r>
      <w:r>
        <w:rPr>
          <w:i/>
          <w:color w:val="231F20"/>
          <w:w w:val="95"/>
          <w:sz w:val="17"/>
        </w:rPr>
        <w:t xml:space="preserve">Current Issues in Tourism </w:t>
      </w:r>
      <w:r>
        <w:rPr>
          <w:color w:val="231F20"/>
          <w:w w:val="95"/>
          <w:sz w:val="17"/>
        </w:rPr>
        <w:t>14 (6), 507–518.</w:t>
      </w:r>
    </w:p>
    <w:p w14:paraId="7B099EAD" w14:textId="77777777" w:rsidR="00AE0598" w:rsidRDefault="0069255A">
      <w:pPr>
        <w:spacing w:before="2"/>
        <w:ind w:left="430" w:right="127" w:hanging="320"/>
        <w:jc w:val="both"/>
        <w:rPr>
          <w:sz w:val="17"/>
        </w:rPr>
      </w:pPr>
      <w:r>
        <w:rPr>
          <w:color w:val="231F20"/>
          <w:sz w:val="17"/>
        </w:rPr>
        <w:t>Martín,</w:t>
      </w:r>
      <w:r>
        <w:rPr>
          <w:color w:val="231F20"/>
          <w:spacing w:val="40"/>
          <w:w w:val="110"/>
          <w:sz w:val="17"/>
        </w:rPr>
        <w:t xml:space="preserve"> </w:t>
      </w:r>
      <w:r>
        <w:rPr>
          <w:color w:val="231F20"/>
          <w:w w:val="110"/>
          <w:sz w:val="17"/>
        </w:rPr>
        <w:t>J.M.M.,</w:t>
      </w:r>
      <w:r>
        <w:rPr>
          <w:color w:val="231F20"/>
          <w:spacing w:val="40"/>
          <w:w w:val="110"/>
          <w:sz w:val="17"/>
        </w:rPr>
        <w:t xml:space="preserve"> </w:t>
      </w:r>
      <w:r>
        <w:rPr>
          <w:color w:val="231F20"/>
          <w:sz w:val="17"/>
        </w:rPr>
        <w:t>Aguilera,</w:t>
      </w:r>
      <w:r>
        <w:rPr>
          <w:color w:val="231F20"/>
          <w:spacing w:val="40"/>
          <w:w w:val="110"/>
          <w:sz w:val="17"/>
        </w:rPr>
        <w:t xml:space="preserve"> </w:t>
      </w:r>
      <w:r>
        <w:rPr>
          <w:color w:val="231F20"/>
          <w:w w:val="110"/>
          <w:sz w:val="17"/>
        </w:rPr>
        <w:t>J.D.D.J.</w:t>
      </w:r>
      <w:r>
        <w:rPr>
          <w:color w:val="231F20"/>
          <w:spacing w:val="40"/>
          <w:w w:val="110"/>
          <w:sz w:val="17"/>
        </w:rPr>
        <w:t xml:space="preserve"> </w:t>
      </w:r>
      <w:r>
        <w:rPr>
          <w:color w:val="231F20"/>
          <w:sz w:val="17"/>
        </w:rPr>
        <w:t>and</w:t>
      </w:r>
      <w:r>
        <w:rPr>
          <w:color w:val="231F20"/>
          <w:spacing w:val="40"/>
          <w:sz w:val="17"/>
        </w:rPr>
        <w:t xml:space="preserve"> </w:t>
      </w:r>
      <w:r>
        <w:rPr>
          <w:color w:val="231F20"/>
          <w:sz w:val="17"/>
        </w:rPr>
        <w:t>Moreno,</w:t>
      </w:r>
      <w:r>
        <w:rPr>
          <w:color w:val="231F20"/>
          <w:spacing w:val="40"/>
          <w:w w:val="110"/>
          <w:sz w:val="17"/>
        </w:rPr>
        <w:t xml:space="preserve"> </w:t>
      </w:r>
      <w:r>
        <w:rPr>
          <w:color w:val="231F20"/>
          <w:w w:val="110"/>
          <w:sz w:val="17"/>
        </w:rPr>
        <w:t>V.M.</w:t>
      </w:r>
      <w:r>
        <w:rPr>
          <w:color w:val="231F20"/>
          <w:spacing w:val="40"/>
          <w:w w:val="110"/>
          <w:sz w:val="17"/>
        </w:rPr>
        <w:t xml:space="preserve"> </w:t>
      </w:r>
      <w:r>
        <w:rPr>
          <w:color w:val="231F20"/>
          <w:sz w:val="17"/>
        </w:rPr>
        <w:t>(2014)</w:t>
      </w:r>
      <w:r>
        <w:rPr>
          <w:color w:val="231F20"/>
          <w:spacing w:val="40"/>
          <w:sz w:val="17"/>
        </w:rPr>
        <w:t xml:space="preserve"> </w:t>
      </w:r>
      <w:r>
        <w:rPr>
          <w:color w:val="231F20"/>
          <w:sz w:val="17"/>
        </w:rPr>
        <w:t>Impacts</w:t>
      </w:r>
      <w:r>
        <w:rPr>
          <w:color w:val="231F20"/>
          <w:spacing w:val="40"/>
          <w:sz w:val="17"/>
        </w:rPr>
        <w:t xml:space="preserve"> </w:t>
      </w:r>
      <w:r>
        <w:rPr>
          <w:color w:val="231F20"/>
          <w:sz w:val="17"/>
        </w:rPr>
        <w:t>of</w:t>
      </w:r>
      <w:r>
        <w:rPr>
          <w:color w:val="231F20"/>
          <w:spacing w:val="40"/>
          <w:sz w:val="17"/>
        </w:rPr>
        <w:t xml:space="preserve"> </w:t>
      </w:r>
      <w:r>
        <w:rPr>
          <w:color w:val="231F20"/>
          <w:sz w:val="17"/>
        </w:rPr>
        <w:t>seasonality</w:t>
      </w:r>
      <w:r>
        <w:rPr>
          <w:color w:val="231F20"/>
          <w:spacing w:val="40"/>
          <w:sz w:val="17"/>
        </w:rPr>
        <w:t xml:space="preserve"> </w:t>
      </w:r>
      <w:r>
        <w:rPr>
          <w:color w:val="231F20"/>
          <w:sz w:val="17"/>
        </w:rPr>
        <w:t>on environmental sustainability in the tourism sector based on destination type: An</w:t>
      </w:r>
      <w:r>
        <w:rPr>
          <w:color w:val="231F20"/>
          <w:spacing w:val="40"/>
          <w:sz w:val="17"/>
        </w:rPr>
        <w:t xml:space="preserve"> </w:t>
      </w:r>
      <w:r>
        <w:rPr>
          <w:color w:val="231F20"/>
          <w:sz w:val="17"/>
        </w:rPr>
        <w:t xml:space="preserve">application to Spain’s Andalusia region. </w:t>
      </w:r>
      <w:r>
        <w:rPr>
          <w:i/>
          <w:color w:val="231F20"/>
          <w:sz w:val="17"/>
        </w:rPr>
        <w:t xml:space="preserve">Tourism Economics </w:t>
      </w:r>
      <w:r>
        <w:rPr>
          <w:color w:val="231F20"/>
          <w:sz w:val="17"/>
        </w:rPr>
        <w:t>20 (1), 123–142.</w:t>
      </w:r>
    </w:p>
    <w:p w14:paraId="3B193BBF" w14:textId="77777777" w:rsidR="00AE0598" w:rsidRDefault="0069255A">
      <w:pPr>
        <w:spacing w:before="2"/>
        <w:ind w:left="430" w:right="128" w:hanging="320"/>
        <w:jc w:val="both"/>
        <w:rPr>
          <w:sz w:val="17"/>
        </w:rPr>
      </w:pPr>
      <w:r>
        <w:rPr>
          <w:color w:val="231F20"/>
          <w:sz w:val="17"/>
        </w:rPr>
        <w:t>Mason,</w:t>
      </w:r>
      <w:r>
        <w:rPr>
          <w:color w:val="231F20"/>
          <w:spacing w:val="-1"/>
          <w:sz w:val="17"/>
        </w:rPr>
        <w:t xml:space="preserve"> </w:t>
      </w:r>
      <w:r>
        <w:rPr>
          <w:color w:val="231F20"/>
          <w:sz w:val="17"/>
        </w:rPr>
        <w:t>D.S.</w:t>
      </w:r>
      <w:r>
        <w:rPr>
          <w:color w:val="231F20"/>
          <w:spacing w:val="-1"/>
          <w:sz w:val="17"/>
        </w:rPr>
        <w:t xml:space="preserve"> </w:t>
      </w:r>
      <w:r>
        <w:rPr>
          <w:color w:val="231F20"/>
          <w:sz w:val="17"/>
        </w:rPr>
        <w:t>and</w:t>
      </w:r>
      <w:r>
        <w:rPr>
          <w:color w:val="231F20"/>
          <w:spacing w:val="-1"/>
          <w:sz w:val="17"/>
        </w:rPr>
        <w:t xml:space="preserve"> </w:t>
      </w:r>
      <w:r>
        <w:rPr>
          <w:color w:val="231F20"/>
          <w:sz w:val="17"/>
        </w:rPr>
        <w:t>Duquette,</w:t>
      </w:r>
      <w:r>
        <w:rPr>
          <w:color w:val="231F20"/>
          <w:spacing w:val="-1"/>
          <w:sz w:val="17"/>
        </w:rPr>
        <w:t xml:space="preserve"> </w:t>
      </w:r>
      <w:r>
        <w:rPr>
          <w:color w:val="231F20"/>
          <w:sz w:val="17"/>
        </w:rPr>
        <w:t>G.H.</w:t>
      </w:r>
      <w:r>
        <w:rPr>
          <w:color w:val="231F20"/>
          <w:spacing w:val="-1"/>
          <w:sz w:val="17"/>
        </w:rPr>
        <w:t xml:space="preserve"> </w:t>
      </w:r>
      <w:r>
        <w:rPr>
          <w:color w:val="231F20"/>
          <w:sz w:val="17"/>
        </w:rPr>
        <w:t>(2008)</w:t>
      </w:r>
      <w:r>
        <w:rPr>
          <w:color w:val="231F20"/>
          <w:spacing w:val="-1"/>
          <w:sz w:val="17"/>
        </w:rPr>
        <w:t xml:space="preserve"> </w:t>
      </w:r>
      <w:r>
        <w:rPr>
          <w:color w:val="231F20"/>
          <w:sz w:val="17"/>
        </w:rPr>
        <w:t>Urban</w:t>
      </w:r>
      <w:r>
        <w:rPr>
          <w:color w:val="231F20"/>
          <w:spacing w:val="-1"/>
          <w:sz w:val="17"/>
        </w:rPr>
        <w:t xml:space="preserve"> </w:t>
      </w:r>
      <w:r>
        <w:rPr>
          <w:color w:val="231F20"/>
          <w:sz w:val="17"/>
        </w:rPr>
        <w:t>regimes</w:t>
      </w:r>
      <w:r>
        <w:rPr>
          <w:color w:val="231F20"/>
          <w:spacing w:val="-1"/>
          <w:sz w:val="17"/>
        </w:rPr>
        <w:t xml:space="preserve"> </w:t>
      </w:r>
      <w:r>
        <w:rPr>
          <w:color w:val="231F20"/>
          <w:sz w:val="17"/>
        </w:rPr>
        <w:t>and</w:t>
      </w:r>
      <w:r>
        <w:rPr>
          <w:color w:val="231F20"/>
          <w:spacing w:val="-1"/>
          <w:sz w:val="17"/>
        </w:rPr>
        <w:t xml:space="preserve"> </w:t>
      </w:r>
      <w:r>
        <w:rPr>
          <w:color w:val="231F20"/>
          <w:sz w:val="17"/>
        </w:rPr>
        <w:t>sport</w:t>
      </w:r>
      <w:r>
        <w:rPr>
          <w:color w:val="231F20"/>
          <w:spacing w:val="-1"/>
          <w:sz w:val="17"/>
        </w:rPr>
        <w:t xml:space="preserve"> </w:t>
      </w:r>
      <w:r>
        <w:rPr>
          <w:color w:val="231F20"/>
          <w:sz w:val="17"/>
        </w:rPr>
        <w:t>in</w:t>
      </w:r>
      <w:r>
        <w:rPr>
          <w:color w:val="231F20"/>
          <w:spacing w:val="-1"/>
          <w:sz w:val="17"/>
        </w:rPr>
        <w:t xml:space="preserve"> </w:t>
      </w:r>
      <w:r>
        <w:rPr>
          <w:color w:val="231F20"/>
          <w:sz w:val="17"/>
        </w:rPr>
        <w:t>North</w:t>
      </w:r>
      <w:r>
        <w:rPr>
          <w:color w:val="231F20"/>
          <w:spacing w:val="-1"/>
          <w:sz w:val="17"/>
        </w:rPr>
        <w:t xml:space="preserve"> </w:t>
      </w:r>
      <w:r>
        <w:rPr>
          <w:color w:val="231F20"/>
          <w:sz w:val="17"/>
        </w:rPr>
        <w:t>American</w:t>
      </w:r>
      <w:r>
        <w:rPr>
          <w:color w:val="231F20"/>
          <w:spacing w:val="-1"/>
          <w:sz w:val="17"/>
        </w:rPr>
        <w:t xml:space="preserve"> </w:t>
      </w:r>
      <w:r>
        <w:rPr>
          <w:color w:val="231F20"/>
          <w:sz w:val="17"/>
        </w:rPr>
        <w:t>cities:</w:t>
      </w:r>
      <w:r>
        <w:rPr>
          <w:color w:val="231F20"/>
          <w:spacing w:val="40"/>
          <w:sz w:val="17"/>
        </w:rPr>
        <w:t xml:space="preserve"> </w:t>
      </w:r>
      <w:r>
        <w:rPr>
          <w:color w:val="231F20"/>
          <w:w w:val="95"/>
          <w:sz w:val="17"/>
        </w:rPr>
        <w:t xml:space="preserve">Seeking status through franchises, events and facilities. </w:t>
      </w:r>
      <w:r>
        <w:rPr>
          <w:i/>
          <w:color w:val="231F20"/>
          <w:w w:val="95"/>
          <w:sz w:val="17"/>
        </w:rPr>
        <w:t>International Journal of Sport</w:t>
      </w:r>
      <w:r>
        <w:rPr>
          <w:i/>
          <w:color w:val="231F20"/>
          <w:spacing w:val="40"/>
          <w:sz w:val="17"/>
        </w:rPr>
        <w:t xml:space="preserve"> </w:t>
      </w:r>
      <w:r>
        <w:rPr>
          <w:i/>
          <w:color w:val="231F20"/>
          <w:sz w:val="17"/>
        </w:rPr>
        <w:t xml:space="preserve">Management and Marketing </w:t>
      </w:r>
      <w:r>
        <w:rPr>
          <w:color w:val="231F20"/>
          <w:sz w:val="17"/>
        </w:rPr>
        <w:t>3 (3), 221–241.</w:t>
      </w:r>
    </w:p>
    <w:p w14:paraId="5215F39D" w14:textId="77777777" w:rsidR="00AE0598" w:rsidRDefault="0069255A">
      <w:pPr>
        <w:spacing w:before="2"/>
        <w:ind w:left="430" w:right="128" w:hanging="320"/>
        <w:jc w:val="both"/>
        <w:rPr>
          <w:sz w:val="17"/>
        </w:rPr>
      </w:pPr>
      <w:r>
        <w:rPr>
          <w:color w:val="231F20"/>
          <w:sz w:val="17"/>
        </w:rPr>
        <w:t>Mason, D.S., Duquette, G.H. and Scherer, J. (2005) Heritage, sport t</w:t>
      </w:r>
      <w:r>
        <w:rPr>
          <w:color w:val="231F20"/>
          <w:sz w:val="17"/>
        </w:rPr>
        <w:t>ourism and Canadian</w:t>
      </w:r>
      <w:r>
        <w:rPr>
          <w:color w:val="231F20"/>
          <w:spacing w:val="40"/>
          <w:sz w:val="17"/>
        </w:rPr>
        <w:t xml:space="preserve"> </w:t>
      </w:r>
      <w:r>
        <w:rPr>
          <w:color w:val="231F20"/>
          <w:w w:val="95"/>
          <w:sz w:val="17"/>
        </w:rPr>
        <w:t xml:space="preserve">junior hockey: Nostalgia for social experience or sport place? </w:t>
      </w:r>
      <w:r>
        <w:rPr>
          <w:i/>
          <w:color w:val="231F20"/>
          <w:w w:val="95"/>
          <w:sz w:val="17"/>
        </w:rPr>
        <w:t>Journal of Sport Tourism</w:t>
      </w:r>
      <w:r>
        <w:rPr>
          <w:i/>
          <w:color w:val="231F20"/>
          <w:spacing w:val="80"/>
          <w:w w:val="105"/>
          <w:sz w:val="17"/>
        </w:rPr>
        <w:t xml:space="preserve"> </w:t>
      </w:r>
      <w:r>
        <w:rPr>
          <w:color w:val="231F20"/>
          <w:w w:val="105"/>
          <w:sz w:val="17"/>
        </w:rPr>
        <w:t>10 (4), 253–271.</w:t>
      </w:r>
    </w:p>
    <w:p w14:paraId="2F2FB716" w14:textId="77777777" w:rsidR="00AE0598" w:rsidRDefault="0069255A">
      <w:pPr>
        <w:spacing w:before="2"/>
        <w:ind w:left="430" w:right="128" w:hanging="320"/>
        <w:jc w:val="both"/>
        <w:rPr>
          <w:sz w:val="17"/>
        </w:rPr>
      </w:pPr>
      <w:r>
        <w:rPr>
          <w:color w:val="231F20"/>
          <w:w w:val="95"/>
          <w:sz w:val="17"/>
        </w:rPr>
        <w:t>Mason,</w:t>
      </w:r>
      <w:r>
        <w:rPr>
          <w:color w:val="231F20"/>
          <w:sz w:val="17"/>
        </w:rPr>
        <w:t xml:space="preserve"> </w:t>
      </w:r>
      <w:r>
        <w:rPr>
          <w:color w:val="231F20"/>
          <w:w w:val="95"/>
          <w:sz w:val="17"/>
        </w:rPr>
        <w:t>P.</w:t>
      </w:r>
      <w:r>
        <w:rPr>
          <w:color w:val="231F20"/>
          <w:sz w:val="17"/>
        </w:rPr>
        <w:t xml:space="preserve"> </w:t>
      </w:r>
      <w:r>
        <w:rPr>
          <w:color w:val="231F20"/>
          <w:w w:val="95"/>
          <w:sz w:val="17"/>
        </w:rPr>
        <w:t>and</w:t>
      </w:r>
      <w:r>
        <w:rPr>
          <w:color w:val="231F20"/>
          <w:sz w:val="17"/>
        </w:rPr>
        <w:t xml:space="preserve"> </w:t>
      </w:r>
      <w:r>
        <w:rPr>
          <w:color w:val="231F20"/>
          <w:w w:val="95"/>
          <w:sz w:val="17"/>
        </w:rPr>
        <w:t>Leberman,</w:t>
      </w:r>
      <w:r>
        <w:rPr>
          <w:color w:val="231F20"/>
          <w:sz w:val="17"/>
        </w:rPr>
        <w:t xml:space="preserve"> </w:t>
      </w:r>
      <w:r>
        <w:rPr>
          <w:color w:val="231F20"/>
          <w:w w:val="95"/>
          <w:sz w:val="17"/>
        </w:rPr>
        <w:t>S.</w:t>
      </w:r>
      <w:r>
        <w:rPr>
          <w:color w:val="231F20"/>
          <w:sz w:val="17"/>
        </w:rPr>
        <w:t xml:space="preserve"> </w:t>
      </w:r>
      <w:r>
        <w:rPr>
          <w:color w:val="231F20"/>
          <w:w w:val="95"/>
          <w:sz w:val="17"/>
        </w:rPr>
        <w:t>(2000)</w:t>
      </w:r>
      <w:r>
        <w:rPr>
          <w:color w:val="231F20"/>
          <w:sz w:val="17"/>
        </w:rPr>
        <w:t xml:space="preserve"> </w:t>
      </w:r>
      <w:r>
        <w:rPr>
          <w:color w:val="231F20"/>
          <w:w w:val="95"/>
          <w:sz w:val="17"/>
        </w:rPr>
        <w:t>Local</w:t>
      </w:r>
      <w:r>
        <w:rPr>
          <w:color w:val="231F20"/>
          <w:sz w:val="17"/>
        </w:rPr>
        <w:t xml:space="preserve"> </w:t>
      </w:r>
      <w:r>
        <w:rPr>
          <w:color w:val="231F20"/>
          <w:w w:val="95"/>
          <w:sz w:val="17"/>
        </w:rPr>
        <w:t>planning</w:t>
      </w:r>
      <w:r>
        <w:rPr>
          <w:color w:val="231F20"/>
          <w:sz w:val="17"/>
        </w:rPr>
        <w:t xml:space="preserve"> </w:t>
      </w:r>
      <w:r>
        <w:rPr>
          <w:color w:val="231F20"/>
          <w:w w:val="95"/>
          <w:sz w:val="17"/>
        </w:rPr>
        <w:t>for</w:t>
      </w:r>
      <w:r>
        <w:rPr>
          <w:color w:val="231F20"/>
          <w:sz w:val="17"/>
        </w:rPr>
        <w:t xml:space="preserve"> </w:t>
      </w:r>
      <w:r>
        <w:rPr>
          <w:color w:val="231F20"/>
          <w:w w:val="95"/>
          <w:sz w:val="17"/>
        </w:rPr>
        <w:t>recreation</w:t>
      </w:r>
      <w:r>
        <w:rPr>
          <w:color w:val="231F20"/>
          <w:sz w:val="17"/>
        </w:rPr>
        <w:t xml:space="preserve"> </w:t>
      </w:r>
      <w:r>
        <w:rPr>
          <w:color w:val="231F20"/>
          <w:w w:val="95"/>
          <w:sz w:val="17"/>
        </w:rPr>
        <w:t>and</w:t>
      </w:r>
      <w:r>
        <w:rPr>
          <w:color w:val="231F20"/>
          <w:sz w:val="17"/>
        </w:rPr>
        <w:t xml:space="preserve"> </w:t>
      </w:r>
      <w:r>
        <w:rPr>
          <w:color w:val="231F20"/>
          <w:w w:val="95"/>
          <w:sz w:val="17"/>
        </w:rPr>
        <w:t>tourism:</w:t>
      </w:r>
      <w:r>
        <w:rPr>
          <w:color w:val="231F20"/>
          <w:sz w:val="17"/>
        </w:rPr>
        <w:t xml:space="preserve"> </w:t>
      </w:r>
      <w:r>
        <w:rPr>
          <w:color w:val="231F20"/>
          <w:w w:val="95"/>
          <w:sz w:val="17"/>
        </w:rPr>
        <w:t>A</w:t>
      </w:r>
      <w:r>
        <w:rPr>
          <w:color w:val="231F20"/>
          <w:sz w:val="17"/>
        </w:rPr>
        <w:t xml:space="preserve"> </w:t>
      </w:r>
      <w:r>
        <w:rPr>
          <w:color w:val="231F20"/>
          <w:w w:val="95"/>
          <w:sz w:val="17"/>
        </w:rPr>
        <w:t>case</w:t>
      </w:r>
      <w:r>
        <w:rPr>
          <w:color w:val="231F20"/>
          <w:sz w:val="17"/>
        </w:rPr>
        <w:t xml:space="preserve"> </w:t>
      </w:r>
      <w:r>
        <w:rPr>
          <w:color w:val="231F20"/>
          <w:w w:val="95"/>
          <w:sz w:val="17"/>
        </w:rPr>
        <w:t>study</w:t>
      </w:r>
      <w:r>
        <w:rPr>
          <w:color w:val="231F20"/>
          <w:spacing w:val="80"/>
          <w:w w:val="150"/>
          <w:sz w:val="17"/>
        </w:rPr>
        <w:t xml:space="preserve"> </w:t>
      </w:r>
      <w:r>
        <w:rPr>
          <w:color w:val="231F20"/>
          <w:sz w:val="17"/>
        </w:rPr>
        <w:t xml:space="preserve">of mountain biking from New Zealand’s Manawatu Region. </w:t>
      </w:r>
      <w:r>
        <w:rPr>
          <w:i/>
          <w:color w:val="231F20"/>
          <w:sz w:val="17"/>
        </w:rPr>
        <w:t>Journal of Sustainable</w:t>
      </w:r>
      <w:r>
        <w:rPr>
          <w:i/>
          <w:color w:val="231F20"/>
          <w:spacing w:val="40"/>
          <w:sz w:val="17"/>
        </w:rPr>
        <w:t xml:space="preserve"> </w:t>
      </w:r>
      <w:r>
        <w:rPr>
          <w:i/>
          <w:color w:val="231F20"/>
          <w:sz w:val="17"/>
        </w:rPr>
        <w:t xml:space="preserve">Tourism </w:t>
      </w:r>
      <w:r>
        <w:rPr>
          <w:color w:val="231F20"/>
          <w:sz w:val="17"/>
        </w:rPr>
        <w:t>8 (2), 97–115.</w:t>
      </w:r>
    </w:p>
    <w:p w14:paraId="548F93CB" w14:textId="77777777" w:rsidR="00AE0598" w:rsidRDefault="0069255A">
      <w:pPr>
        <w:spacing w:before="2"/>
        <w:ind w:left="430" w:right="127" w:hanging="320"/>
        <w:jc w:val="both"/>
        <w:rPr>
          <w:sz w:val="17"/>
        </w:rPr>
      </w:pPr>
      <w:r>
        <w:rPr>
          <w:color w:val="231F20"/>
          <w:sz w:val="17"/>
        </w:rPr>
        <w:t>Mason, D., Ramshaw, G. and Hinch, T. (2008) Sports facilities and transnational</w:t>
      </w:r>
      <w:r>
        <w:rPr>
          <w:color w:val="231F20"/>
          <w:spacing w:val="40"/>
          <w:sz w:val="17"/>
        </w:rPr>
        <w:t xml:space="preserve"> </w:t>
      </w:r>
      <w:r>
        <w:rPr>
          <w:color w:val="231F20"/>
          <w:sz w:val="17"/>
        </w:rPr>
        <w:t>corporations: Anchors of urban tourism development. In C.M. Hall and T. Col</w:t>
      </w:r>
      <w:r>
        <w:rPr>
          <w:color w:val="231F20"/>
          <w:sz w:val="17"/>
        </w:rPr>
        <w:t>es (eds)</w:t>
      </w:r>
      <w:r>
        <w:rPr>
          <w:color w:val="231F20"/>
          <w:spacing w:val="40"/>
          <w:sz w:val="17"/>
        </w:rPr>
        <w:t xml:space="preserve"> </w:t>
      </w:r>
      <w:r>
        <w:rPr>
          <w:i/>
          <w:color w:val="231F20"/>
          <w:sz w:val="17"/>
        </w:rPr>
        <w:t>Tourism</w:t>
      </w:r>
      <w:r>
        <w:rPr>
          <w:i/>
          <w:color w:val="231F20"/>
          <w:spacing w:val="40"/>
          <w:sz w:val="17"/>
        </w:rPr>
        <w:t xml:space="preserve"> </w:t>
      </w:r>
      <w:r>
        <w:rPr>
          <w:i/>
          <w:color w:val="231F20"/>
          <w:sz w:val="17"/>
        </w:rPr>
        <w:t>and</w:t>
      </w:r>
      <w:r>
        <w:rPr>
          <w:i/>
          <w:color w:val="231F20"/>
          <w:spacing w:val="40"/>
          <w:sz w:val="17"/>
        </w:rPr>
        <w:t xml:space="preserve"> </w:t>
      </w:r>
      <w:r>
        <w:rPr>
          <w:i/>
          <w:color w:val="231F20"/>
          <w:sz w:val="17"/>
        </w:rPr>
        <w:t>International</w:t>
      </w:r>
      <w:r>
        <w:rPr>
          <w:i/>
          <w:color w:val="231F20"/>
          <w:spacing w:val="40"/>
          <w:sz w:val="17"/>
        </w:rPr>
        <w:t xml:space="preserve"> </w:t>
      </w:r>
      <w:r>
        <w:rPr>
          <w:i/>
          <w:color w:val="231F20"/>
          <w:sz w:val="17"/>
        </w:rPr>
        <w:t>Business:</w:t>
      </w:r>
      <w:r>
        <w:rPr>
          <w:i/>
          <w:color w:val="231F20"/>
          <w:spacing w:val="40"/>
          <w:sz w:val="17"/>
        </w:rPr>
        <w:t xml:space="preserve"> </w:t>
      </w:r>
      <w:r>
        <w:rPr>
          <w:i/>
          <w:color w:val="231F20"/>
          <w:sz w:val="17"/>
        </w:rPr>
        <w:t>Global</w:t>
      </w:r>
      <w:r>
        <w:rPr>
          <w:i/>
          <w:color w:val="231F20"/>
          <w:spacing w:val="40"/>
          <w:sz w:val="17"/>
        </w:rPr>
        <w:t xml:space="preserve"> </w:t>
      </w:r>
      <w:r>
        <w:rPr>
          <w:i/>
          <w:color w:val="231F20"/>
          <w:sz w:val="17"/>
        </w:rPr>
        <w:t>Issues,</w:t>
      </w:r>
      <w:r>
        <w:rPr>
          <w:i/>
          <w:color w:val="231F20"/>
          <w:spacing w:val="40"/>
          <w:sz w:val="17"/>
        </w:rPr>
        <w:t xml:space="preserve"> </w:t>
      </w:r>
      <w:r>
        <w:rPr>
          <w:i/>
          <w:color w:val="231F20"/>
          <w:sz w:val="17"/>
        </w:rPr>
        <w:t>Contemporary</w:t>
      </w:r>
      <w:r>
        <w:rPr>
          <w:i/>
          <w:color w:val="231F20"/>
          <w:spacing w:val="40"/>
          <w:sz w:val="17"/>
        </w:rPr>
        <w:t xml:space="preserve"> </w:t>
      </w:r>
      <w:r>
        <w:rPr>
          <w:i/>
          <w:color w:val="231F20"/>
          <w:sz w:val="17"/>
        </w:rPr>
        <w:t>Interactions</w:t>
      </w:r>
      <w:r>
        <w:rPr>
          <w:i/>
          <w:color w:val="231F20"/>
          <w:spacing w:val="80"/>
          <w:w w:val="150"/>
          <w:sz w:val="17"/>
        </w:rPr>
        <w:t xml:space="preserve"> </w:t>
      </w:r>
      <w:r>
        <w:rPr>
          <w:color w:val="231F20"/>
          <w:sz w:val="17"/>
        </w:rPr>
        <w:t>(pp. 220–237). New York: Routledge.</w:t>
      </w:r>
    </w:p>
    <w:p w14:paraId="2325B38E" w14:textId="77777777" w:rsidR="00AE0598" w:rsidRDefault="0069255A">
      <w:pPr>
        <w:spacing w:before="3"/>
        <w:ind w:left="110" w:right="128"/>
        <w:jc w:val="both"/>
        <w:rPr>
          <w:sz w:val="17"/>
        </w:rPr>
      </w:pPr>
      <w:r>
        <w:rPr>
          <w:color w:val="231F20"/>
          <w:sz w:val="17"/>
        </w:rPr>
        <w:t xml:space="preserve">Matheusik, M. (2001) When in doubt, shop. </w:t>
      </w:r>
      <w:r>
        <w:rPr>
          <w:i/>
          <w:color w:val="231F20"/>
          <w:sz w:val="17"/>
        </w:rPr>
        <w:t xml:space="preserve">Ski Area Management </w:t>
      </w:r>
      <w:r>
        <w:rPr>
          <w:color w:val="231F20"/>
          <w:sz w:val="17"/>
        </w:rPr>
        <w:t>40 (1), 66–67, 83.</w:t>
      </w:r>
      <w:r>
        <w:rPr>
          <w:color w:val="231F20"/>
          <w:spacing w:val="40"/>
          <w:sz w:val="17"/>
        </w:rPr>
        <w:t xml:space="preserve"> </w:t>
      </w:r>
      <w:r>
        <w:rPr>
          <w:color w:val="231F20"/>
          <w:sz w:val="17"/>
        </w:rPr>
        <w:t>Mathieson,</w:t>
      </w:r>
      <w:r>
        <w:rPr>
          <w:color w:val="231F20"/>
          <w:spacing w:val="40"/>
          <w:sz w:val="17"/>
        </w:rPr>
        <w:t xml:space="preserve"> </w:t>
      </w:r>
      <w:r>
        <w:rPr>
          <w:color w:val="231F20"/>
          <w:sz w:val="17"/>
        </w:rPr>
        <w:t>D.</w:t>
      </w:r>
      <w:r>
        <w:rPr>
          <w:color w:val="231F20"/>
          <w:spacing w:val="40"/>
          <w:sz w:val="17"/>
        </w:rPr>
        <w:t xml:space="preserve"> </w:t>
      </w:r>
      <w:r>
        <w:rPr>
          <w:color w:val="231F20"/>
          <w:sz w:val="17"/>
        </w:rPr>
        <w:t>and</w:t>
      </w:r>
      <w:r>
        <w:rPr>
          <w:color w:val="231F20"/>
          <w:spacing w:val="40"/>
          <w:sz w:val="17"/>
        </w:rPr>
        <w:t xml:space="preserve"> </w:t>
      </w:r>
      <w:r>
        <w:rPr>
          <w:color w:val="231F20"/>
          <w:sz w:val="17"/>
        </w:rPr>
        <w:t>Wall,</w:t>
      </w:r>
      <w:r>
        <w:rPr>
          <w:color w:val="231F20"/>
          <w:spacing w:val="40"/>
          <w:sz w:val="17"/>
        </w:rPr>
        <w:t xml:space="preserve"> </w:t>
      </w:r>
      <w:r>
        <w:rPr>
          <w:color w:val="231F20"/>
          <w:sz w:val="17"/>
        </w:rPr>
        <w:t>G.</w:t>
      </w:r>
      <w:r>
        <w:rPr>
          <w:color w:val="231F20"/>
          <w:spacing w:val="40"/>
          <w:sz w:val="17"/>
        </w:rPr>
        <w:t xml:space="preserve"> </w:t>
      </w:r>
      <w:r>
        <w:rPr>
          <w:color w:val="231F20"/>
          <w:sz w:val="17"/>
        </w:rPr>
        <w:t>(1987)</w:t>
      </w:r>
      <w:r>
        <w:rPr>
          <w:color w:val="231F20"/>
          <w:spacing w:val="40"/>
          <w:sz w:val="17"/>
        </w:rPr>
        <w:t xml:space="preserve"> </w:t>
      </w:r>
      <w:r>
        <w:rPr>
          <w:i/>
          <w:color w:val="231F20"/>
          <w:sz w:val="17"/>
        </w:rPr>
        <w:t>Tourism:</w:t>
      </w:r>
      <w:r>
        <w:rPr>
          <w:i/>
          <w:color w:val="231F20"/>
          <w:spacing w:val="40"/>
          <w:sz w:val="17"/>
        </w:rPr>
        <w:t xml:space="preserve"> </w:t>
      </w:r>
      <w:r>
        <w:rPr>
          <w:i/>
          <w:color w:val="231F20"/>
          <w:sz w:val="17"/>
        </w:rPr>
        <w:t>Economic,</w:t>
      </w:r>
      <w:r>
        <w:rPr>
          <w:i/>
          <w:color w:val="231F20"/>
          <w:spacing w:val="40"/>
          <w:sz w:val="17"/>
        </w:rPr>
        <w:t xml:space="preserve"> </w:t>
      </w:r>
      <w:r>
        <w:rPr>
          <w:i/>
          <w:color w:val="231F20"/>
          <w:sz w:val="17"/>
        </w:rPr>
        <w:t>Physical</w:t>
      </w:r>
      <w:r>
        <w:rPr>
          <w:i/>
          <w:color w:val="231F20"/>
          <w:spacing w:val="40"/>
          <w:sz w:val="17"/>
        </w:rPr>
        <w:t xml:space="preserve"> </w:t>
      </w:r>
      <w:r>
        <w:rPr>
          <w:i/>
          <w:color w:val="231F20"/>
          <w:sz w:val="17"/>
        </w:rPr>
        <w:t>and</w:t>
      </w:r>
      <w:r>
        <w:rPr>
          <w:i/>
          <w:color w:val="231F20"/>
          <w:spacing w:val="40"/>
          <w:sz w:val="17"/>
        </w:rPr>
        <w:t xml:space="preserve"> </w:t>
      </w:r>
      <w:r>
        <w:rPr>
          <w:i/>
          <w:color w:val="231F20"/>
          <w:sz w:val="17"/>
        </w:rPr>
        <w:t>Social</w:t>
      </w:r>
      <w:r>
        <w:rPr>
          <w:i/>
          <w:color w:val="231F20"/>
          <w:spacing w:val="40"/>
          <w:sz w:val="17"/>
        </w:rPr>
        <w:t xml:space="preserve"> </w:t>
      </w:r>
      <w:r>
        <w:rPr>
          <w:i/>
          <w:color w:val="231F20"/>
          <w:sz w:val="17"/>
        </w:rPr>
        <w:t>Impacts</w:t>
      </w:r>
      <w:r>
        <w:rPr>
          <w:color w:val="231F20"/>
          <w:sz w:val="17"/>
        </w:rPr>
        <w:t>.</w:t>
      </w:r>
    </w:p>
    <w:p w14:paraId="78661C22" w14:textId="77777777" w:rsidR="00AE0598" w:rsidRDefault="0069255A">
      <w:pPr>
        <w:spacing w:before="2"/>
        <w:ind w:left="430"/>
        <w:jc w:val="both"/>
        <w:rPr>
          <w:sz w:val="17"/>
        </w:rPr>
      </w:pPr>
      <w:r>
        <w:rPr>
          <w:color w:val="231F20"/>
          <w:sz w:val="17"/>
        </w:rPr>
        <w:t>London:</w:t>
      </w:r>
      <w:r>
        <w:rPr>
          <w:color w:val="231F20"/>
          <w:spacing w:val="3"/>
          <w:sz w:val="17"/>
        </w:rPr>
        <w:t xml:space="preserve"> </w:t>
      </w:r>
      <w:r>
        <w:rPr>
          <w:color w:val="231F20"/>
          <w:spacing w:val="-2"/>
          <w:sz w:val="17"/>
        </w:rPr>
        <w:t>Longman.</w:t>
      </w:r>
    </w:p>
    <w:p w14:paraId="0052447C" w14:textId="77777777" w:rsidR="00AE0598" w:rsidRDefault="0069255A">
      <w:pPr>
        <w:ind w:left="110"/>
        <w:jc w:val="both"/>
        <w:rPr>
          <w:sz w:val="17"/>
        </w:rPr>
      </w:pPr>
      <w:r>
        <w:rPr>
          <w:color w:val="231F20"/>
          <w:sz w:val="17"/>
        </w:rPr>
        <w:t>Matsumura,</w:t>
      </w:r>
      <w:r>
        <w:rPr>
          <w:color w:val="231F20"/>
          <w:spacing w:val="58"/>
          <w:sz w:val="17"/>
        </w:rPr>
        <w:t xml:space="preserve"> </w:t>
      </w:r>
      <w:r>
        <w:rPr>
          <w:color w:val="231F20"/>
          <w:sz w:val="17"/>
        </w:rPr>
        <w:t>K.</w:t>
      </w:r>
      <w:r>
        <w:rPr>
          <w:color w:val="231F20"/>
          <w:spacing w:val="58"/>
          <w:sz w:val="17"/>
        </w:rPr>
        <w:t xml:space="preserve"> </w:t>
      </w:r>
      <w:r>
        <w:rPr>
          <w:color w:val="231F20"/>
          <w:sz w:val="17"/>
        </w:rPr>
        <w:t>(1993)</w:t>
      </w:r>
      <w:r>
        <w:rPr>
          <w:color w:val="231F20"/>
          <w:spacing w:val="58"/>
          <w:sz w:val="17"/>
        </w:rPr>
        <w:t xml:space="preserve"> </w:t>
      </w:r>
      <w:r>
        <w:rPr>
          <w:color w:val="231F20"/>
          <w:sz w:val="17"/>
        </w:rPr>
        <w:t>Sport</w:t>
      </w:r>
      <w:r>
        <w:rPr>
          <w:color w:val="231F20"/>
          <w:spacing w:val="58"/>
          <w:sz w:val="17"/>
        </w:rPr>
        <w:t xml:space="preserve"> </w:t>
      </w:r>
      <w:r>
        <w:rPr>
          <w:color w:val="231F20"/>
          <w:sz w:val="17"/>
        </w:rPr>
        <w:t>and</w:t>
      </w:r>
      <w:r>
        <w:rPr>
          <w:color w:val="231F20"/>
          <w:spacing w:val="59"/>
          <w:sz w:val="17"/>
        </w:rPr>
        <w:t xml:space="preserve"> </w:t>
      </w:r>
      <w:r>
        <w:rPr>
          <w:color w:val="231F20"/>
          <w:sz w:val="17"/>
        </w:rPr>
        <w:t>social</w:t>
      </w:r>
      <w:r>
        <w:rPr>
          <w:color w:val="231F20"/>
          <w:spacing w:val="58"/>
          <w:sz w:val="17"/>
        </w:rPr>
        <w:t xml:space="preserve"> </w:t>
      </w:r>
      <w:r>
        <w:rPr>
          <w:color w:val="231F20"/>
          <w:sz w:val="17"/>
        </w:rPr>
        <w:t>change</w:t>
      </w:r>
      <w:r>
        <w:rPr>
          <w:color w:val="231F20"/>
          <w:spacing w:val="58"/>
          <w:sz w:val="17"/>
        </w:rPr>
        <w:t xml:space="preserve"> </w:t>
      </w:r>
      <w:r>
        <w:rPr>
          <w:color w:val="231F20"/>
          <w:sz w:val="17"/>
        </w:rPr>
        <w:t>in</w:t>
      </w:r>
      <w:r>
        <w:rPr>
          <w:color w:val="231F20"/>
          <w:spacing w:val="58"/>
          <w:sz w:val="17"/>
        </w:rPr>
        <w:t xml:space="preserve"> </w:t>
      </w:r>
      <w:r>
        <w:rPr>
          <w:color w:val="231F20"/>
          <w:sz w:val="17"/>
        </w:rPr>
        <w:t>the</w:t>
      </w:r>
      <w:r>
        <w:rPr>
          <w:color w:val="231F20"/>
          <w:spacing w:val="58"/>
          <w:sz w:val="17"/>
        </w:rPr>
        <w:t xml:space="preserve"> </w:t>
      </w:r>
      <w:r>
        <w:rPr>
          <w:color w:val="231F20"/>
          <w:sz w:val="17"/>
        </w:rPr>
        <w:t>Japanese</w:t>
      </w:r>
      <w:r>
        <w:rPr>
          <w:color w:val="231F20"/>
          <w:spacing w:val="59"/>
          <w:sz w:val="17"/>
        </w:rPr>
        <w:t xml:space="preserve"> </w:t>
      </w:r>
      <w:r>
        <w:rPr>
          <w:color w:val="231F20"/>
          <w:sz w:val="17"/>
        </w:rPr>
        <w:t>rural</w:t>
      </w:r>
      <w:r>
        <w:rPr>
          <w:color w:val="231F20"/>
          <w:spacing w:val="58"/>
          <w:sz w:val="17"/>
        </w:rPr>
        <w:t xml:space="preserve"> </w:t>
      </w:r>
      <w:r>
        <w:rPr>
          <w:color w:val="231F20"/>
          <w:spacing w:val="-2"/>
          <w:sz w:val="17"/>
        </w:rPr>
        <w:t>community.</w:t>
      </w:r>
    </w:p>
    <w:p w14:paraId="6F19ED89" w14:textId="77777777" w:rsidR="00AE0598" w:rsidRDefault="0069255A">
      <w:pPr>
        <w:spacing w:before="1"/>
        <w:ind w:left="430"/>
        <w:jc w:val="both"/>
        <w:rPr>
          <w:sz w:val="17"/>
        </w:rPr>
      </w:pPr>
      <w:r>
        <w:rPr>
          <w:i/>
          <w:color w:val="231F20"/>
          <w:sz w:val="17"/>
        </w:rPr>
        <w:t>International</w:t>
      </w:r>
      <w:r>
        <w:rPr>
          <w:i/>
          <w:color w:val="231F20"/>
          <w:spacing w:val="6"/>
          <w:sz w:val="17"/>
        </w:rPr>
        <w:t xml:space="preserve"> </w:t>
      </w:r>
      <w:r>
        <w:rPr>
          <w:i/>
          <w:color w:val="231F20"/>
          <w:sz w:val="17"/>
        </w:rPr>
        <w:t>Review</w:t>
      </w:r>
      <w:r>
        <w:rPr>
          <w:i/>
          <w:color w:val="231F20"/>
          <w:spacing w:val="6"/>
          <w:sz w:val="17"/>
        </w:rPr>
        <w:t xml:space="preserve"> </w:t>
      </w:r>
      <w:r>
        <w:rPr>
          <w:i/>
          <w:color w:val="231F20"/>
          <w:sz w:val="17"/>
        </w:rPr>
        <w:t>for</w:t>
      </w:r>
      <w:r>
        <w:rPr>
          <w:i/>
          <w:color w:val="231F20"/>
          <w:spacing w:val="6"/>
          <w:sz w:val="17"/>
        </w:rPr>
        <w:t xml:space="preserve"> </w:t>
      </w:r>
      <w:r>
        <w:rPr>
          <w:i/>
          <w:color w:val="231F20"/>
          <w:sz w:val="17"/>
        </w:rPr>
        <w:t>the</w:t>
      </w:r>
      <w:r>
        <w:rPr>
          <w:i/>
          <w:color w:val="231F20"/>
          <w:spacing w:val="6"/>
          <w:sz w:val="17"/>
        </w:rPr>
        <w:t xml:space="preserve"> </w:t>
      </w:r>
      <w:r>
        <w:rPr>
          <w:i/>
          <w:color w:val="231F20"/>
          <w:sz w:val="17"/>
        </w:rPr>
        <w:t>Sociology</w:t>
      </w:r>
      <w:r>
        <w:rPr>
          <w:i/>
          <w:color w:val="231F20"/>
          <w:spacing w:val="7"/>
          <w:sz w:val="17"/>
        </w:rPr>
        <w:t xml:space="preserve"> </w:t>
      </w:r>
      <w:r>
        <w:rPr>
          <w:i/>
          <w:color w:val="231F20"/>
          <w:sz w:val="17"/>
        </w:rPr>
        <w:t>of</w:t>
      </w:r>
      <w:r>
        <w:rPr>
          <w:i/>
          <w:color w:val="231F20"/>
          <w:spacing w:val="6"/>
          <w:sz w:val="17"/>
        </w:rPr>
        <w:t xml:space="preserve"> </w:t>
      </w:r>
      <w:r>
        <w:rPr>
          <w:i/>
          <w:color w:val="231F20"/>
          <w:sz w:val="17"/>
        </w:rPr>
        <w:t>Sport</w:t>
      </w:r>
      <w:r>
        <w:rPr>
          <w:i/>
          <w:color w:val="231F20"/>
          <w:spacing w:val="6"/>
          <w:sz w:val="17"/>
        </w:rPr>
        <w:t xml:space="preserve"> </w:t>
      </w:r>
      <w:r>
        <w:rPr>
          <w:color w:val="231F20"/>
          <w:sz w:val="17"/>
        </w:rPr>
        <w:t>28</w:t>
      </w:r>
      <w:r>
        <w:rPr>
          <w:color w:val="231F20"/>
          <w:spacing w:val="6"/>
          <w:sz w:val="17"/>
        </w:rPr>
        <w:t xml:space="preserve"> </w:t>
      </w:r>
      <w:r>
        <w:rPr>
          <w:color w:val="231F20"/>
          <w:sz w:val="17"/>
        </w:rPr>
        <w:t>(2+3),</w:t>
      </w:r>
      <w:r>
        <w:rPr>
          <w:color w:val="231F20"/>
          <w:spacing w:val="7"/>
          <w:sz w:val="17"/>
        </w:rPr>
        <w:t xml:space="preserve"> </w:t>
      </w:r>
      <w:r>
        <w:rPr>
          <w:color w:val="231F20"/>
          <w:spacing w:val="-2"/>
          <w:sz w:val="17"/>
        </w:rPr>
        <w:t>135–144.</w:t>
      </w:r>
    </w:p>
    <w:p w14:paraId="50BA8C38" w14:textId="77777777" w:rsidR="00AE0598" w:rsidRDefault="0069255A">
      <w:pPr>
        <w:spacing w:before="1"/>
        <w:ind w:left="430" w:right="128" w:hanging="320"/>
        <w:jc w:val="both"/>
        <w:rPr>
          <w:sz w:val="17"/>
        </w:rPr>
      </w:pPr>
      <w:r>
        <w:rPr>
          <w:color w:val="231F20"/>
          <w:sz w:val="17"/>
        </w:rPr>
        <w:t xml:space="preserve">May, V. (1995) Environmental implications of the 1992 Winter Olympic Games. </w:t>
      </w:r>
      <w:r>
        <w:rPr>
          <w:i/>
          <w:color w:val="231F20"/>
          <w:sz w:val="17"/>
        </w:rPr>
        <w:t>Tourism</w:t>
      </w:r>
      <w:r>
        <w:rPr>
          <w:i/>
          <w:color w:val="231F20"/>
          <w:spacing w:val="40"/>
          <w:sz w:val="17"/>
        </w:rPr>
        <w:t xml:space="preserve"> </w:t>
      </w:r>
      <w:r>
        <w:rPr>
          <w:i/>
          <w:color w:val="231F20"/>
          <w:sz w:val="17"/>
        </w:rPr>
        <w:t xml:space="preserve">Management </w:t>
      </w:r>
      <w:r>
        <w:rPr>
          <w:color w:val="231F20"/>
          <w:sz w:val="17"/>
        </w:rPr>
        <w:t>16 (4), 269–275.</w:t>
      </w:r>
    </w:p>
    <w:p w14:paraId="1FA21457" w14:textId="77777777" w:rsidR="00AE0598" w:rsidRDefault="0069255A">
      <w:pPr>
        <w:spacing w:before="1"/>
        <w:ind w:left="430" w:right="124" w:hanging="320"/>
        <w:jc w:val="both"/>
        <w:rPr>
          <w:sz w:val="17"/>
        </w:rPr>
      </w:pPr>
      <w:r>
        <w:rPr>
          <w:color w:val="231F20"/>
          <w:sz w:val="17"/>
        </w:rPr>
        <w:t xml:space="preserve">McCabe, S. (2009) Who needs a holiday? Evaluating social tourism. </w:t>
      </w:r>
      <w:r>
        <w:rPr>
          <w:i/>
          <w:color w:val="231F20"/>
          <w:sz w:val="17"/>
        </w:rPr>
        <w:t>Annals of Tourism</w:t>
      </w:r>
      <w:r>
        <w:rPr>
          <w:i/>
          <w:color w:val="231F20"/>
          <w:spacing w:val="40"/>
          <w:sz w:val="17"/>
        </w:rPr>
        <w:t xml:space="preserve"> </w:t>
      </w:r>
      <w:r>
        <w:rPr>
          <w:i/>
          <w:color w:val="231F20"/>
          <w:sz w:val="17"/>
        </w:rPr>
        <w:t xml:space="preserve">Research </w:t>
      </w:r>
      <w:r>
        <w:rPr>
          <w:color w:val="231F20"/>
          <w:sz w:val="17"/>
        </w:rPr>
        <w:t>36 (4), 667–688.</w:t>
      </w:r>
    </w:p>
    <w:p w14:paraId="27F318D6" w14:textId="77777777" w:rsidR="00AE0598" w:rsidRDefault="0069255A">
      <w:pPr>
        <w:spacing w:before="2"/>
        <w:ind w:left="430" w:right="128" w:hanging="320"/>
        <w:jc w:val="both"/>
        <w:rPr>
          <w:sz w:val="17"/>
        </w:rPr>
      </w:pPr>
      <w:r>
        <w:rPr>
          <w:color w:val="231F20"/>
          <w:sz w:val="17"/>
        </w:rPr>
        <w:t xml:space="preserve">McCabe, S. and Johnson, S. (2013) </w:t>
      </w:r>
      <w:r>
        <w:rPr>
          <w:color w:val="231F20"/>
          <w:sz w:val="17"/>
        </w:rPr>
        <w:t>The happiness factor in tourism: Subjective well-being</w:t>
      </w:r>
      <w:r>
        <w:rPr>
          <w:color w:val="231F20"/>
          <w:spacing w:val="40"/>
          <w:sz w:val="17"/>
        </w:rPr>
        <w:t xml:space="preserve"> </w:t>
      </w:r>
      <w:r>
        <w:rPr>
          <w:color w:val="231F20"/>
          <w:sz w:val="17"/>
        </w:rPr>
        <w:t xml:space="preserve">and social tourism. </w:t>
      </w:r>
      <w:r>
        <w:rPr>
          <w:i/>
          <w:color w:val="231F20"/>
          <w:sz w:val="17"/>
        </w:rPr>
        <w:t xml:space="preserve">Annals of Tourism Research </w:t>
      </w:r>
      <w:r>
        <w:rPr>
          <w:color w:val="231F20"/>
          <w:sz w:val="17"/>
        </w:rPr>
        <w:t>41, 42–65.</w:t>
      </w:r>
    </w:p>
    <w:p w14:paraId="340C8B4E" w14:textId="77777777" w:rsidR="00AE0598" w:rsidRDefault="0069255A">
      <w:pPr>
        <w:spacing w:before="1"/>
        <w:ind w:left="430" w:right="129" w:hanging="320"/>
        <w:jc w:val="both"/>
        <w:rPr>
          <w:sz w:val="17"/>
        </w:rPr>
      </w:pPr>
      <w:r>
        <w:rPr>
          <w:color w:val="231F20"/>
          <w:sz w:val="17"/>
        </w:rPr>
        <w:t>McCabe, S., Joldersma, T. and Li, C. (2010) Understanding the benefits of social tourism:</w:t>
      </w:r>
      <w:r>
        <w:rPr>
          <w:color w:val="231F20"/>
          <w:spacing w:val="40"/>
          <w:sz w:val="17"/>
        </w:rPr>
        <w:t xml:space="preserve"> </w:t>
      </w:r>
      <w:r>
        <w:rPr>
          <w:color w:val="231F20"/>
          <w:w w:val="95"/>
          <w:sz w:val="17"/>
        </w:rPr>
        <w:t>Linking</w:t>
      </w:r>
      <w:r>
        <w:rPr>
          <w:color w:val="231F20"/>
          <w:spacing w:val="23"/>
          <w:sz w:val="17"/>
        </w:rPr>
        <w:t xml:space="preserve"> </w:t>
      </w:r>
      <w:r>
        <w:rPr>
          <w:color w:val="231F20"/>
          <w:w w:val="95"/>
          <w:sz w:val="17"/>
        </w:rPr>
        <w:t>participation</w:t>
      </w:r>
      <w:r>
        <w:rPr>
          <w:color w:val="231F20"/>
          <w:spacing w:val="23"/>
          <w:sz w:val="17"/>
        </w:rPr>
        <w:t xml:space="preserve"> </w:t>
      </w:r>
      <w:r>
        <w:rPr>
          <w:color w:val="231F20"/>
          <w:w w:val="95"/>
          <w:sz w:val="17"/>
        </w:rPr>
        <w:t>to</w:t>
      </w:r>
      <w:r>
        <w:rPr>
          <w:color w:val="231F20"/>
          <w:spacing w:val="23"/>
          <w:sz w:val="17"/>
        </w:rPr>
        <w:t xml:space="preserve"> </w:t>
      </w:r>
      <w:r>
        <w:rPr>
          <w:color w:val="231F20"/>
          <w:w w:val="95"/>
          <w:sz w:val="17"/>
        </w:rPr>
        <w:t>subjective</w:t>
      </w:r>
      <w:r>
        <w:rPr>
          <w:color w:val="231F20"/>
          <w:spacing w:val="23"/>
          <w:sz w:val="17"/>
        </w:rPr>
        <w:t xml:space="preserve"> </w:t>
      </w:r>
      <w:r>
        <w:rPr>
          <w:color w:val="231F20"/>
          <w:w w:val="95"/>
          <w:sz w:val="17"/>
        </w:rPr>
        <w:t>well</w:t>
      </w:r>
      <w:r>
        <w:rPr>
          <w:rFonts w:ascii="Times New Roman" w:hAnsi="Times New Roman"/>
          <w:color w:val="231F20"/>
          <w:w w:val="95"/>
          <w:sz w:val="17"/>
        </w:rPr>
        <w:t>‐</w:t>
      </w:r>
      <w:r>
        <w:rPr>
          <w:color w:val="231F20"/>
          <w:w w:val="95"/>
          <w:sz w:val="17"/>
        </w:rPr>
        <w:t>being</w:t>
      </w:r>
      <w:r>
        <w:rPr>
          <w:color w:val="231F20"/>
          <w:spacing w:val="23"/>
          <w:sz w:val="17"/>
        </w:rPr>
        <w:t xml:space="preserve"> </w:t>
      </w:r>
      <w:r>
        <w:rPr>
          <w:color w:val="231F20"/>
          <w:w w:val="95"/>
          <w:sz w:val="17"/>
        </w:rPr>
        <w:t>and</w:t>
      </w:r>
      <w:r>
        <w:rPr>
          <w:color w:val="231F20"/>
          <w:spacing w:val="23"/>
          <w:sz w:val="17"/>
        </w:rPr>
        <w:t xml:space="preserve"> </w:t>
      </w:r>
      <w:r>
        <w:rPr>
          <w:color w:val="231F20"/>
          <w:w w:val="95"/>
          <w:sz w:val="17"/>
        </w:rPr>
        <w:t>qu</w:t>
      </w:r>
      <w:r>
        <w:rPr>
          <w:color w:val="231F20"/>
          <w:w w:val="95"/>
          <w:sz w:val="17"/>
        </w:rPr>
        <w:t>ality</w:t>
      </w:r>
      <w:r>
        <w:rPr>
          <w:color w:val="231F20"/>
          <w:spacing w:val="23"/>
          <w:sz w:val="17"/>
        </w:rPr>
        <w:t xml:space="preserve"> </w:t>
      </w:r>
      <w:r>
        <w:rPr>
          <w:color w:val="231F20"/>
          <w:w w:val="95"/>
          <w:sz w:val="17"/>
        </w:rPr>
        <w:t>of</w:t>
      </w:r>
      <w:r>
        <w:rPr>
          <w:color w:val="231F20"/>
          <w:spacing w:val="23"/>
          <w:sz w:val="17"/>
        </w:rPr>
        <w:t xml:space="preserve"> </w:t>
      </w:r>
      <w:r>
        <w:rPr>
          <w:color w:val="231F20"/>
          <w:w w:val="95"/>
          <w:sz w:val="17"/>
        </w:rPr>
        <w:t>life.</w:t>
      </w:r>
      <w:r>
        <w:rPr>
          <w:color w:val="231F20"/>
          <w:spacing w:val="23"/>
          <w:sz w:val="17"/>
        </w:rPr>
        <w:t xml:space="preserve"> </w:t>
      </w:r>
      <w:r>
        <w:rPr>
          <w:i/>
          <w:color w:val="231F20"/>
          <w:w w:val="95"/>
          <w:sz w:val="17"/>
        </w:rPr>
        <w:t>International</w:t>
      </w:r>
      <w:r>
        <w:rPr>
          <w:i/>
          <w:color w:val="231F20"/>
          <w:spacing w:val="23"/>
          <w:sz w:val="17"/>
        </w:rPr>
        <w:t xml:space="preserve"> </w:t>
      </w:r>
      <w:r>
        <w:rPr>
          <w:i/>
          <w:color w:val="231F20"/>
          <w:w w:val="95"/>
          <w:sz w:val="17"/>
        </w:rPr>
        <w:t>Journal</w:t>
      </w:r>
      <w:r>
        <w:rPr>
          <w:i/>
          <w:color w:val="231F20"/>
          <w:spacing w:val="40"/>
          <w:sz w:val="17"/>
        </w:rPr>
        <w:t xml:space="preserve"> </w:t>
      </w:r>
      <w:r>
        <w:rPr>
          <w:i/>
          <w:color w:val="231F20"/>
          <w:sz w:val="17"/>
        </w:rPr>
        <w:t xml:space="preserve">of Tourism Research </w:t>
      </w:r>
      <w:r>
        <w:rPr>
          <w:color w:val="231F20"/>
          <w:sz w:val="17"/>
        </w:rPr>
        <w:t>12 (6), 761–773.</w:t>
      </w:r>
    </w:p>
    <w:p w14:paraId="604906B3" w14:textId="77777777" w:rsidR="00AE0598" w:rsidRDefault="0069255A">
      <w:pPr>
        <w:spacing w:before="2"/>
        <w:ind w:left="110"/>
        <w:jc w:val="both"/>
        <w:rPr>
          <w:sz w:val="17"/>
        </w:rPr>
      </w:pPr>
      <w:r>
        <w:rPr>
          <w:color w:val="231F20"/>
          <w:sz w:val="17"/>
        </w:rPr>
        <w:t>McConnell,</w:t>
      </w:r>
      <w:r>
        <w:rPr>
          <w:color w:val="231F20"/>
          <w:spacing w:val="76"/>
          <w:sz w:val="17"/>
        </w:rPr>
        <w:t xml:space="preserve"> </w:t>
      </w:r>
      <w:r>
        <w:rPr>
          <w:color w:val="231F20"/>
          <w:sz w:val="17"/>
        </w:rPr>
        <w:t>R.</w:t>
      </w:r>
      <w:r>
        <w:rPr>
          <w:color w:val="231F20"/>
          <w:spacing w:val="76"/>
          <w:sz w:val="17"/>
        </w:rPr>
        <w:t xml:space="preserve"> </w:t>
      </w:r>
      <w:r>
        <w:rPr>
          <w:color w:val="231F20"/>
          <w:sz w:val="17"/>
        </w:rPr>
        <w:t>and</w:t>
      </w:r>
      <w:r>
        <w:rPr>
          <w:color w:val="231F20"/>
          <w:spacing w:val="76"/>
          <w:sz w:val="17"/>
        </w:rPr>
        <w:t xml:space="preserve"> </w:t>
      </w:r>
      <w:r>
        <w:rPr>
          <w:color w:val="231F20"/>
          <w:sz w:val="17"/>
        </w:rPr>
        <w:t>Edwards,</w:t>
      </w:r>
      <w:r>
        <w:rPr>
          <w:color w:val="231F20"/>
          <w:spacing w:val="76"/>
          <w:sz w:val="17"/>
        </w:rPr>
        <w:t xml:space="preserve"> </w:t>
      </w:r>
      <w:r>
        <w:rPr>
          <w:color w:val="231F20"/>
          <w:sz w:val="17"/>
        </w:rPr>
        <w:t>M.</w:t>
      </w:r>
      <w:r>
        <w:rPr>
          <w:color w:val="231F20"/>
          <w:spacing w:val="76"/>
          <w:sz w:val="17"/>
        </w:rPr>
        <w:t xml:space="preserve"> </w:t>
      </w:r>
      <w:r>
        <w:rPr>
          <w:color w:val="231F20"/>
          <w:sz w:val="17"/>
        </w:rPr>
        <w:t>(2000)</w:t>
      </w:r>
      <w:r>
        <w:rPr>
          <w:color w:val="231F20"/>
          <w:spacing w:val="76"/>
          <w:sz w:val="17"/>
        </w:rPr>
        <w:t xml:space="preserve"> </w:t>
      </w:r>
      <w:r>
        <w:rPr>
          <w:color w:val="231F20"/>
          <w:sz w:val="17"/>
        </w:rPr>
        <w:t>Sport</w:t>
      </w:r>
      <w:r>
        <w:rPr>
          <w:color w:val="231F20"/>
          <w:spacing w:val="77"/>
          <w:sz w:val="17"/>
        </w:rPr>
        <w:t xml:space="preserve"> </w:t>
      </w:r>
      <w:r>
        <w:rPr>
          <w:color w:val="231F20"/>
          <w:sz w:val="17"/>
        </w:rPr>
        <w:t>and</w:t>
      </w:r>
      <w:r>
        <w:rPr>
          <w:color w:val="231F20"/>
          <w:spacing w:val="76"/>
          <w:sz w:val="17"/>
        </w:rPr>
        <w:t xml:space="preserve"> </w:t>
      </w:r>
      <w:r>
        <w:rPr>
          <w:color w:val="231F20"/>
          <w:sz w:val="17"/>
        </w:rPr>
        <w:t>identity</w:t>
      </w:r>
      <w:r>
        <w:rPr>
          <w:color w:val="231F20"/>
          <w:spacing w:val="76"/>
          <w:sz w:val="17"/>
        </w:rPr>
        <w:t xml:space="preserve"> </w:t>
      </w:r>
      <w:r>
        <w:rPr>
          <w:color w:val="231F20"/>
          <w:sz w:val="17"/>
        </w:rPr>
        <w:t>in</w:t>
      </w:r>
      <w:r>
        <w:rPr>
          <w:color w:val="231F20"/>
          <w:spacing w:val="76"/>
          <w:sz w:val="17"/>
        </w:rPr>
        <w:t xml:space="preserve"> </w:t>
      </w:r>
      <w:r>
        <w:rPr>
          <w:color w:val="231F20"/>
          <w:sz w:val="17"/>
        </w:rPr>
        <w:t>New</w:t>
      </w:r>
      <w:r>
        <w:rPr>
          <w:color w:val="231F20"/>
          <w:spacing w:val="76"/>
          <w:sz w:val="17"/>
        </w:rPr>
        <w:t xml:space="preserve"> </w:t>
      </w:r>
      <w:r>
        <w:rPr>
          <w:color w:val="231F20"/>
          <w:sz w:val="17"/>
        </w:rPr>
        <w:t>Zealand.</w:t>
      </w:r>
      <w:r>
        <w:rPr>
          <w:color w:val="231F20"/>
          <w:spacing w:val="76"/>
          <w:sz w:val="17"/>
        </w:rPr>
        <w:t xml:space="preserve"> </w:t>
      </w:r>
      <w:r>
        <w:rPr>
          <w:color w:val="231F20"/>
          <w:spacing w:val="-5"/>
          <w:sz w:val="17"/>
        </w:rPr>
        <w:t>In</w:t>
      </w:r>
    </w:p>
    <w:p w14:paraId="6C92F949" w14:textId="77777777" w:rsidR="00AE0598" w:rsidRDefault="0069255A">
      <w:pPr>
        <w:spacing w:before="1"/>
        <w:ind w:left="430" w:right="127" w:hanging="1"/>
        <w:jc w:val="both"/>
        <w:rPr>
          <w:sz w:val="17"/>
        </w:rPr>
      </w:pPr>
      <w:r>
        <w:rPr>
          <w:color w:val="231F20"/>
          <w:sz w:val="17"/>
        </w:rPr>
        <w:t xml:space="preserve">C. Collins (ed.) </w:t>
      </w:r>
      <w:r>
        <w:rPr>
          <w:i/>
          <w:color w:val="231F20"/>
          <w:sz w:val="17"/>
        </w:rPr>
        <w:t xml:space="preserve">Sport and Society in New Zealand </w:t>
      </w:r>
      <w:r>
        <w:rPr>
          <w:color w:val="231F20"/>
          <w:sz w:val="17"/>
        </w:rPr>
        <w:t>(pp. 115–129). Palmerston North,</w:t>
      </w:r>
      <w:r>
        <w:rPr>
          <w:color w:val="231F20"/>
          <w:spacing w:val="40"/>
          <w:sz w:val="17"/>
        </w:rPr>
        <w:t xml:space="preserve"> </w:t>
      </w:r>
      <w:r>
        <w:rPr>
          <w:color w:val="231F20"/>
          <w:sz w:val="17"/>
        </w:rPr>
        <w:t>New Zealand: Dunmore Press.</w:t>
      </w:r>
    </w:p>
    <w:p w14:paraId="5D7253D0" w14:textId="77777777" w:rsidR="00AE0598" w:rsidRDefault="0069255A">
      <w:pPr>
        <w:spacing w:before="1"/>
        <w:ind w:left="430" w:right="127" w:hanging="320"/>
        <w:jc w:val="both"/>
        <w:rPr>
          <w:sz w:val="17"/>
        </w:rPr>
      </w:pPr>
      <w:r>
        <w:rPr>
          <w:color w:val="231F20"/>
          <w:sz w:val="17"/>
        </w:rPr>
        <w:t>McEnnif,</w:t>
      </w:r>
      <w:r>
        <w:rPr>
          <w:color w:val="231F20"/>
          <w:spacing w:val="-5"/>
          <w:sz w:val="17"/>
        </w:rPr>
        <w:t xml:space="preserve"> </w:t>
      </w:r>
      <w:r>
        <w:rPr>
          <w:color w:val="231F20"/>
          <w:w w:val="105"/>
          <w:sz w:val="17"/>
        </w:rPr>
        <w:t>J.</w:t>
      </w:r>
      <w:r>
        <w:rPr>
          <w:color w:val="231F20"/>
          <w:spacing w:val="-7"/>
          <w:w w:val="105"/>
          <w:sz w:val="17"/>
        </w:rPr>
        <w:t xml:space="preserve"> </w:t>
      </w:r>
      <w:r>
        <w:rPr>
          <w:color w:val="231F20"/>
          <w:sz w:val="17"/>
        </w:rPr>
        <w:t>(1992)</w:t>
      </w:r>
      <w:r>
        <w:rPr>
          <w:color w:val="231F20"/>
          <w:spacing w:val="-5"/>
          <w:sz w:val="17"/>
        </w:rPr>
        <w:t xml:space="preserve"> </w:t>
      </w:r>
      <w:r>
        <w:rPr>
          <w:color w:val="231F20"/>
          <w:sz w:val="17"/>
        </w:rPr>
        <w:t>Seasonality</w:t>
      </w:r>
      <w:r>
        <w:rPr>
          <w:color w:val="231F20"/>
          <w:spacing w:val="-5"/>
          <w:sz w:val="17"/>
        </w:rPr>
        <w:t xml:space="preserve"> </w:t>
      </w:r>
      <w:r>
        <w:rPr>
          <w:color w:val="231F20"/>
          <w:sz w:val="17"/>
        </w:rPr>
        <w:t>of</w:t>
      </w:r>
      <w:r>
        <w:rPr>
          <w:color w:val="231F20"/>
          <w:spacing w:val="-5"/>
          <w:sz w:val="17"/>
        </w:rPr>
        <w:t xml:space="preserve"> </w:t>
      </w:r>
      <w:r>
        <w:rPr>
          <w:color w:val="231F20"/>
          <w:sz w:val="17"/>
        </w:rPr>
        <w:t>tourism</w:t>
      </w:r>
      <w:r>
        <w:rPr>
          <w:color w:val="231F20"/>
          <w:spacing w:val="-5"/>
          <w:sz w:val="17"/>
        </w:rPr>
        <w:t xml:space="preserve"> </w:t>
      </w:r>
      <w:r>
        <w:rPr>
          <w:color w:val="231F20"/>
          <w:sz w:val="17"/>
        </w:rPr>
        <w:t>demand</w:t>
      </w:r>
      <w:r>
        <w:rPr>
          <w:color w:val="231F20"/>
          <w:spacing w:val="-5"/>
          <w:sz w:val="17"/>
        </w:rPr>
        <w:t xml:space="preserve"> </w:t>
      </w:r>
      <w:r>
        <w:rPr>
          <w:color w:val="231F20"/>
          <w:sz w:val="17"/>
        </w:rPr>
        <w:t>in</w:t>
      </w:r>
      <w:r>
        <w:rPr>
          <w:color w:val="231F20"/>
          <w:spacing w:val="-5"/>
          <w:sz w:val="17"/>
        </w:rPr>
        <w:t xml:space="preserve"> </w:t>
      </w:r>
      <w:r>
        <w:rPr>
          <w:color w:val="231F20"/>
          <w:sz w:val="17"/>
        </w:rPr>
        <w:t>the</w:t>
      </w:r>
      <w:r>
        <w:rPr>
          <w:color w:val="231F20"/>
          <w:spacing w:val="-5"/>
          <w:sz w:val="17"/>
        </w:rPr>
        <w:t xml:space="preserve"> </w:t>
      </w:r>
      <w:r>
        <w:rPr>
          <w:color w:val="231F20"/>
          <w:sz w:val="17"/>
        </w:rPr>
        <w:t>European</w:t>
      </w:r>
      <w:r>
        <w:rPr>
          <w:color w:val="231F20"/>
          <w:spacing w:val="-5"/>
          <w:sz w:val="17"/>
        </w:rPr>
        <w:t xml:space="preserve"> </w:t>
      </w:r>
      <w:r>
        <w:rPr>
          <w:color w:val="231F20"/>
          <w:sz w:val="17"/>
        </w:rPr>
        <w:t>community.</w:t>
      </w:r>
      <w:r>
        <w:rPr>
          <w:color w:val="231F20"/>
          <w:spacing w:val="-4"/>
          <w:sz w:val="17"/>
        </w:rPr>
        <w:t xml:space="preserve"> </w:t>
      </w:r>
      <w:r>
        <w:rPr>
          <w:i/>
          <w:color w:val="231F20"/>
          <w:sz w:val="17"/>
        </w:rPr>
        <w:t>Travel</w:t>
      </w:r>
      <w:r>
        <w:rPr>
          <w:i/>
          <w:color w:val="231F20"/>
          <w:spacing w:val="-5"/>
          <w:sz w:val="17"/>
        </w:rPr>
        <w:t xml:space="preserve"> </w:t>
      </w:r>
      <w:r>
        <w:rPr>
          <w:i/>
          <w:color w:val="231F20"/>
          <w:sz w:val="17"/>
        </w:rPr>
        <w:t>and</w:t>
      </w:r>
      <w:r>
        <w:rPr>
          <w:i/>
          <w:color w:val="231F20"/>
          <w:spacing w:val="40"/>
          <w:sz w:val="17"/>
        </w:rPr>
        <w:t xml:space="preserve"> </w:t>
      </w:r>
      <w:r>
        <w:rPr>
          <w:i/>
          <w:color w:val="231F20"/>
          <w:sz w:val="17"/>
        </w:rPr>
        <w:t xml:space="preserve">Tourism Analyst </w:t>
      </w:r>
      <w:r>
        <w:rPr>
          <w:color w:val="231F20"/>
          <w:sz w:val="17"/>
        </w:rPr>
        <w:t>3, 67–88.</w:t>
      </w:r>
    </w:p>
    <w:p w14:paraId="06063ACB" w14:textId="77777777" w:rsidR="00AE0598" w:rsidRDefault="0069255A">
      <w:pPr>
        <w:spacing w:before="2"/>
        <w:ind w:left="430" w:right="127" w:hanging="320"/>
        <w:jc w:val="both"/>
        <w:rPr>
          <w:sz w:val="17"/>
        </w:rPr>
      </w:pPr>
      <w:r>
        <w:rPr>
          <w:color w:val="231F20"/>
          <w:sz w:val="17"/>
        </w:rPr>
        <w:t>McGillivray, D. and Frew, M. (2015) From fan parks to live sites: Mega events and the</w:t>
      </w:r>
      <w:r>
        <w:rPr>
          <w:color w:val="231F20"/>
          <w:spacing w:val="40"/>
          <w:sz w:val="17"/>
        </w:rPr>
        <w:t xml:space="preserve"> </w:t>
      </w:r>
      <w:r>
        <w:rPr>
          <w:color w:val="231F20"/>
          <w:sz w:val="17"/>
        </w:rPr>
        <w:t xml:space="preserve">territorialisation of urban space. </w:t>
      </w:r>
      <w:r>
        <w:rPr>
          <w:i/>
          <w:color w:val="231F20"/>
          <w:sz w:val="17"/>
        </w:rPr>
        <w:t xml:space="preserve">Urban Studies </w:t>
      </w:r>
      <w:r>
        <w:rPr>
          <w:color w:val="231F20"/>
          <w:sz w:val="17"/>
        </w:rPr>
        <w:t>52 (14), 2649–2663.</w:t>
      </w:r>
    </w:p>
    <w:p w14:paraId="380A2443" w14:textId="77777777" w:rsidR="00AE0598" w:rsidRDefault="00AE0598">
      <w:pPr>
        <w:jc w:val="both"/>
        <w:rPr>
          <w:sz w:val="17"/>
        </w:rPr>
        <w:sectPr w:rsidR="00AE0598">
          <w:pgSz w:w="8850" w:h="13270"/>
          <w:pgMar w:top="720" w:right="1060" w:bottom="280" w:left="1080" w:header="720" w:footer="720" w:gutter="0"/>
          <w:cols w:space="720"/>
        </w:sectPr>
      </w:pPr>
    </w:p>
    <w:p w14:paraId="781DDFC0" w14:textId="77777777" w:rsidR="00AE0598" w:rsidRDefault="0069255A">
      <w:pPr>
        <w:spacing w:before="87"/>
        <w:ind w:left="110" w:right="128"/>
        <w:jc w:val="right"/>
        <w:rPr>
          <w:rFonts w:ascii="Trebuchet MS"/>
          <w:sz w:val="14"/>
        </w:rPr>
      </w:pPr>
      <w:r>
        <w:rPr>
          <w:rFonts w:ascii="Trebuchet MS"/>
          <w:color w:val="231F20"/>
          <w:w w:val="105"/>
          <w:sz w:val="14"/>
        </w:rPr>
        <w:lastRenderedPageBreak/>
        <w:t>References</w:t>
      </w:r>
      <w:r>
        <w:rPr>
          <w:rFonts w:ascii="Trebuchet MS"/>
          <w:color w:val="231F20"/>
          <w:spacing w:val="67"/>
          <w:w w:val="105"/>
          <w:sz w:val="14"/>
        </w:rPr>
        <w:t xml:space="preserve"> </w:t>
      </w:r>
      <w:r>
        <w:rPr>
          <w:rFonts w:ascii="Trebuchet MS"/>
          <w:color w:val="231F20"/>
          <w:spacing w:val="-5"/>
          <w:w w:val="105"/>
          <w:sz w:val="14"/>
        </w:rPr>
        <w:t>263</w:t>
      </w:r>
    </w:p>
    <w:p w14:paraId="2D1DB88B" w14:textId="77777777" w:rsidR="00AE0598" w:rsidRDefault="00AE0598">
      <w:pPr>
        <w:pStyle w:val="Corpodetexto"/>
        <w:rPr>
          <w:rFonts w:ascii="Trebuchet MS"/>
          <w:sz w:val="16"/>
        </w:rPr>
      </w:pPr>
    </w:p>
    <w:p w14:paraId="683D86A2" w14:textId="77777777" w:rsidR="00AE0598" w:rsidRDefault="0069255A">
      <w:pPr>
        <w:spacing w:before="121"/>
        <w:ind w:left="110"/>
        <w:jc w:val="both"/>
        <w:rPr>
          <w:sz w:val="17"/>
        </w:rPr>
      </w:pPr>
      <w:r>
        <w:rPr>
          <w:color w:val="231F20"/>
          <w:w w:val="95"/>
          <w:sz w:val="17"/>
        </w:rPr>
        <w:t>McGuire,</w:t>
      </w:r>
      <w:r>
        <w:rPr>
          <w:color w:val="231F20"/>
          <w:spacing w:val="18"/>
          <w:sz w:val="17"/>
        </w:rPr>
        <w:t xml:space="preserve"> </w:t>
      </w:r>
      <w:r>
        <w:rPr>
          <w:color w:val="231F20"/>
          <w:w w:val="95"/>
          <w:sz w:val="17"/>
        </w:rPr>
        <w:t>F.A.</w:t>
      </w:r>
      <w:r>
        <w:rPr>
          <w:color w:val="231F20"/>
          <w:spacing w:val="18"/>
          <w:sz w:val="17"/>
        </w:rPr>
        <w:t xml:space="preserve"> </w:t>
      </w:r>
      <w:r>
        <w:rPr>
          <w:color w:val="231F20"/>
          <w:w w:val="95"/>
          <w:sz w:val="17"/>
        </w:rPr>
        <w:t>(1984)</w:t>
      </w:r>
      <w:r>
        <w:rPr>
          <w:color w:val="231F20"/>
          <w:spacing w:val="18"/>
          <w:sz w:val="17"/>
        </w:rPr>
        <w:t xml:space="preserve"> </w:t>
      </w:r>
      <w:r>
        <w:rPr>
          <w:color w:val="231F20"/>
          <w:w w:val="95"/>
          <w:sz w:val="17"/>
        </w:rPr>
        <w:t>A</w:t>
      </w:r>
      <w:r>
        <w:rPr>
          <w:color w:val="231F20"/>
          <w:spacing w:val="18"/>
          <w:sz w:val="17"/>
        </w:rPr>
        <w:t xml:space="preserve"> </w:t>
      </w:r>
      <w:r>
        <w:rPr>
          <w:color w:val="231F20"/>
          <w:w w:val="95"/>
          <w:sz w:val="17"/>
        </w:rPr>
        <w:t>factor</w:t>
      </w:r>
      <w:r>
        <w:rPr>
          <w:color w:val="231F20"/>
          <w:spacing w:val="19"/>
          <w:sz w:val="17"/>
        </w:rPr>
        <w:t xml:space="preserve"> </w:t>
      </w:r>
      <w:r>
        <w:rPr>
          <w:color w:val="231F20"/>
          <w:w w:val="95"/>
          <w:sz w:val="17"/>
        </w:rPr>
        <w:t>analytic</w:t>
      </w:r>
      <w:r>
        <w:rPr>
          <w:color w:val="231F20"/>
          <w:spacing w:val="18"/>
          <w:sz w:val="17"/>
        </w:rPr>
        <w:t xml:space="preserve"> </w:t>
      </w:r>
      <w:r>
        <w:rPr>
          <w:color w:val="231F20"/>
          <w:w w:val="95"/>
          <w:sz w:val="17"/>
        </w:rPr>
        <w:t>study</w:t>
      </w:r>
      <w:r>
        <w:rPr>
          <w:color w:val="231F20"/>
          <w:spacing w:val="18"/>
          <w:sz w:val="17"/>
        </w:rPr>
        <w:t xml:space="preserve"> </w:t>
      </w:r>
      <w:r>
        <w:rPr>
          <w:color w:val="231F20"/>
          <w:w w:val="95"/>
          <w:sz w:val="17"/>
        </w:rPr>
        <w:t>of</w:t>
      </w:r>
      <w:r>
        <w:rPr>
          <w:color w:val="231F20"/>
          <w:spacing w:val="18"/>
          <w:sz w:val="17"/>
        </w:rPr>
        <w:t xml:space="preserve"> </w:t>
      </w:r>
      <w:r>
        <w:rPr>
          <w:color w:val="231F20"/>
          <w:w w:val="95"/>
          <w:sz w:val="17"/>
        </w:rPr>
        <w:t>leisure</w:t>
      </w:r>
      <w:r>
        <w:rPr>
          <w:color w:val="231F20"/>
          <w:spacing w:val="18"/>
          <w:sz w:val="17"/>
        </w:rPr>
        <w:t xml:space="preserve"> </w:t>
      </w:r>
      <w:r>
        <w:rPr>
          <w:color w:val="231F20"/>
          <w:w w:val="95"/>
          <w:sz w:val="17"/>
        </w:rPr>
        <w:t>constraints</w:t>
      </w:r>
      <w:r>
        <w:rPr>
          <w:color w:val="231F20"/>
          <w:spacing w:val="19"/>
          <w:sz w:val="17"/>
        </w:rPr>
        <w:t xml:space="preserve"> </w:t>
      </w:r>
      <w:r>
        <w:rPr>
          <w:color w:val="231F20"/>
          <w:w w:val="95"/>
          <w:sz w:val="17"/>
        </w:rPr>
        <w:t>in</w:t>
      </w:r>
      <w:r>
        <w:rPr>
          <w:color w:val="231F20"/>
          <w:spacing w:val="18"/>
          <w:sz w:val="17"/>
        </w:rPr>
        <w:t xml:space="preserve"> </w:t>
      </w:r>
      <w:r>
        <w:rPr>
          <w:color w:val="231F20"/>
          <w:w w:val="95"/>
          <w:sz w:val="17"/>
        </w:rPr>
        <w:t>advanced</w:t>
      </w:r>
      <w:r>
        <w:rPr>
          <w:color w:val="231F20"/>
          <w:spacing w:val="18"/>
          <w:sz w:val="17"/>
        </w:rPr>
        <w:t xml:space="preserve"> </w:t>
      </w:r>
      <w:r>
        <w:rPr>
          <w:color w:val="231F20"/>
          <w:spacing w:val="-2"/>
          <w:w w:val="95"/>
          <w:sz w:val="17"/>
        </w:rPr>
        <w:t>adulthood.</w:t>
      </w:r>
    </w:p>
    <w:p w14:paraId="1B62E266" w14:textId="77777777" w:rsidR="00AE0598" w:rsidRDefault="0069255A">
      <w:pPr>
        <w:ind w:left="430"/>
        <w:jc w:val="both"/>
        <w:rPr>
          <w:sz w:val="17"/>
        </w:rPr>
      </w:pPr>
      <w:r>
        <w:rPr>
          <w:i/>
          <w:color w:val="231F20"/>
          <w:sz w:val="17"/>
        </w:rPr>
        <w:t>Leisure</w:t>
      </w:r>
      <w:r>
        <w:rPr>
          <w:i/>
          <w:color w:val="231F20"/>
          <w:spacing w:val="8"/>
          <w:sz w:val="17"/>
        </w:rPr>
        <w:t xml:space="preserve"> </w:t>
      </w:r>
      <w:r>
        <w:rPr>
          <w:i/>
          <w:color w:val="231F20"/>
          <w:sz w:val="17"/>
        </w:rPr>
        <w:t>Sciences</w:t>
      </w:r>
      <w:r>
        <w:rPr>
          <w:i/>
          <w:color w:val="231F20"/>
          <w:spacing w:val="8"/>
          <w:sz w:val="17"/>
        </w:rPr>
        <w:t xml:space="preserve"> </w:t>
      </w:r>
      <w:r>
        <w:rPr>
          <w:color w:val="231F20"/>
          <w:sz w:val="17"/>
        </w:rPr>
        <w:t>6,</w:t>
      </w:r>
      <w:r>
        <w:rPr>
          <w:color w:val="231F20"/>
          <w:spacing w:val="8"/>
          <w:sz w:val="17"/>
        </w:rPr>
        <w:t xml:space="preserve"> </w:t>
      </w:r>
      <w:r>
        <w:rPr>
          <w:color w:val="231F20"/>
          <w:spacing w:val="-2"/>
          <w:sz w:val="17"/>
        </w:rPr>
        <w:t>313–326.</w:t>
      </w:r>
    </w:p>
    <w:p w14:paraId="3B942BF6" w14:textId="77777777" w:rsidR="00AE0598" w:rsidRDefault="0069255A">
      <w:pPr>
        <w:spacing w:before="1"/>
        <w:ind w:left="430" w:right="128" w:hanging="320"/>
        <w:jc w:val="both"/>
        <w:rPr>
          <w:sz w:val="17"/>
        </w:rPr>
      </w:pPr>
      <w:r>
        <w:rPr>
          <w:color w:val="231F20"/>
          <w:sz w:val="17"/>
        </w:rPr>
        <w:t>McGuirk, P.M. and Rowe, D. (2001) ‘Defining moments’ and refining myths in the making</w:t>
      </w:r>
      <w:r>
        <w:rPr>
          <w:color w:val="231F20"/>
          <w:spacing w:val="40"/>
          <w:sz w:val="17"/>
        </w:rPr>
        <w:t xml:space="preserve"> </w:t>
      </w:r>
      <w:r>
        <w:rPr>
          <w:color w:val="231F20"/>
          <w:sz w:val="17"/>
        </w:rPr>
        <w:t>of place identity: The Newcastle Knights and the Australian Rugby League Grand</w:t>
      </w:r>
      <w:r>
        <w:rPr>
          <w:color w:val="231F20"/>
          <w:spacing w:val="40"/>
          <w:sz w:val="17"/>
        </w:rPr>
        <w:t xml:space="preserve"> </w:t>
      </w:r>
      <w:r>
        <w:rPr>
          <w:color w:val="231F20"/>
          <w:sz w:val="17"/>
        </w:rPr>
        <w:t xml:space="preserve">Final. </w:t>
      </w:r>
      <w:r>
        <w:rPr>
          <w:i/>
          <w:color w:val="231F20"/>
          <w:sz w:val="17"/>
        </w:rPr>
        <w:t>Australian Geographi</w:t>
      </w:r>
      <w:r>
        <w:rPr>
          <w:i/>
          <w:color w:val="231F20"/>
          <w:sz w:val="17"/>
        </w:rPr>
        <w:t xml:space="preserve">cal Studies </w:t>
      </w:r>
      <w:r>
        <w:rPr>
          <w:color w:val="231F20"/>
          <w:sz w:val="17"/>
        </w:rPr>
        <w:t>39 (1), 52–66.</w:t>
      </w:r>
    </w:p>
    <w:p w14:paraId="3E674C17" w14:textId="77777777" w:rsidR="00AE0598" w:rsidRDefault="0069255A">
      <w:pPr>
        <w:spacing w:before="2"/>
        <w:ind w:left="430" w:right="128" w:hanging="320"/>
        <w:jc w:val="both"/>
        <w:rPr>
          <w:sz w:val="17"/>
        </w:rPr>
      </w:pPr>
      <w:r>
        <w:rPr>
          <w:color w:val="231F20"/>
          <w:w w:val="105"/>
          <w:sz w:val="17"/>
        </w:rPr>
        <w:t>McIntosh, A.J. and Prentice, R.C. (1999) Affirming authenticity: Consuming cultural</w:t>
      </w:r>
      <w:r>
        <w:rPr>
          <w:color w:val="231F20"/>
          <w:spacing w:val="40"/>
          <w:w w:val="105"/>
          <w:sz w:val="17"/>
        </w:rPr>
        <w:t xml:space="preserve"> </w:t>
      </w:r>
      <w:r>
        <w:rPr>
          <w:color w:val="231F20"/>
          <w:w w:val="105"/>
          <w:sz w:val="17"/>
        </w:rPr>
        <w:t xml:space="preserve">heritage. </w:t>
      </w:r>
      <w:r>
        <w:rPr>
          <w:i/>
          <w:color w:val="231F20"/>
          <w:w w:val="105"/>
          <w:sz w:val="17"/>
        </w:rPr>
        <w:t xml:space="preserve">Annals of Tourism Research </w:t>
      </w:r>
      <w:r>
        <w:rPr>
          <w:color w:val="231F20"/>
          <w:w w:val="105"/>
          <w:sz w:val="17"/>
        </w:rPr>
        <w:t>26, 589–612.</w:t>
      </w:r>
    </w:p>
    <w:p w14:paraId="1BDEF263" w14:textId="77777777" w:rsidR="00AE0598" w:rsidRDefault="0069255A">
      <w:pPr>
        <w:spacing w:before="2"/>
        <w:ind w:left="430" w:right="128" w:hanging="320"/>
        <w:jc w:val="both"/>
        <w:rPr>
          <w:sz w:val="17"/>
        </w:rPr>
      </w:pPr>
      <w:r>
        <w:rPr>
          <w:color w:val="231F20"/>
          <w:sz w:val="17"/>
        </w:rPr>
        <w:t xml:space="preserve">McKay, </w:t>
      </w:r>
      <w:r>
        <w:rPr>
          <w:color w:val="231F20"/>
          <w:w w:val="105"/>
          <w:sz w:val="17"/>
        </w:rPr>
        <w:t xml:space="preserve">J. </w:t>
      </w:r>
      <w:r>
        <w:rPr>
          <w:color w:val="231F20"/>
          <w:sz w:val="17"/>
        </w:rPr>
        <w:t xml:space="preserve">and Kirk, </w:t>
      </w:r>
      <w:r>
        <w:rPr>
          <w:color w:val="231F20"/>
          <w:w w:val="105"/>
          <w:sz w:val="17"/>
        </w:rPr>
        <w:t xml:space="preserve">D. </w:t>
      </w:r>
      <w:r>
        <w:rPr>
          <w:color w:val="231F20"/>
          <w:sz w:val="17"/>
        </w:rPr>
        <w:t>(1992) Ronald McDonald meets Baron De Coubertin: Prime time</w:t>
      </w:r>
      <w:r>
        <w:rPr>
          <w:color w:val="231F20"/>
          <w:spacing w:val="40"/>
          <w:sz w:val="17"/>
        </w:rPr>
        <w:t xml:space="preserve"> </w:t>
      </w:r>
      <w:r>
        <w:rPr>
          <w:color w:val="231F20"/>
          <w:sz w:val="17"/>
        </w:rPr>
        <w:t>sport and co</w:t>
      </w:r>
      <w:r>
        <w:rPr>
          <w:color w:val="231F20"/>
          <w:sz w:val="17"/>
        </w:rPr>
        <w:t xml:space="preserve">mmodification. </w:t>
      </w:r>
      <w:r>
        <w:rPr>
          <w:i/>
          <w:color w:val="231F20"/>
          <w:sz w:val="17"/>
        </w:rPr>
        <w:t xml:space="preserve">Sport and the Media </w:t>
      </w:r>
      <w:r>
        <w:rPr>
          <w:color w:val="231F20"/>
          <w:sz w:val="17"/>
        </w:rPr>
        <w:t>Winter, 10–13.</w:t>
      </w:r>
    </w:p>
    <w:p w14:paraId="5305863F" w14:textId="77777777" w:rsidR="00AE0598" w:rsidRDefault="0069255A">
      <w:pPr>
        <w:spacing w:before="1"/>
        <w:ind w:left="110"/>
        <w:jc w:val="both"/>
        <w:rPr>
          <w:sz w:val="17"/>
        </w:rPr>
      </w:pPr>
      <w:r>
        <w:rPr>
          <w:i/>
          <w:color w:val="231F20"/>
          <w:sz w:val="17"/>
        </w:rPr>
        <w:t>Reaching</w:t>
      </w:r>
      <w:r>
        <w:rPr>
          <w:i/>
          <w:color w:val="231F20"/>
          <w:spacing w:val="30"/>
          <w:sz w:val="17"/>
        </w:rPr>
        <w:t xml:space="preserve"> </w:t>
      </w:r>
      <w:r>
        <w:rPr>
          <w:i/>
          <w:color w:val="231F20"/>
          <w:sz w:val="17"/>
        </w:rPr>
        <w:t>Beyond</w:t>
      </w:r>
      <w:r>
        <w:rPr>
          <w:i/>
          <w:color w:val="231F20"/>
          <w:spacing w:val="30"/>
          <w:sz w:val="17"/>
        </w:rPr>
        <w:t xml:space="preserve"> </w:t>
      </w:r>
      <w:r>
        <w:rPr>
          <w:i/>
          <w:color w:val="231F20"/>
          <w:sz w:val="17"/>
        </w:rPr>
        <w:t>the</w:t>
      </w:r>
      <w:r>
        <w:rPr>
          <w:i/>
          <w:color w:val="231F20"/>
          <w:spacing w:val="30"/>
          <w:sz w:val="17"/>
        </w:rPr>
        <w:t xml:space="preserve"> </w:t>
      </w:r>
      <w:r>
        <w:rPr>
          <w:i/>
          <w:color w:val="231F20"/>
          <w:sz w:val="17"/>
        </w:rPr>
        <w:t>Gold:</w:t>
      </w:r>
      <w:r>
        <w:rPr>
          <w:i/>
          <w:color w:val="231F20"/>
          <w:spacing w:val="30"/>
          <w:sz w:val="17"/>
        </w:rPr>
        <w:t xml:space="preserve"> </w:t>
      </w:r>
      <w:r>
        <w:rPr>
          <w:i/>
          <w:color w:val="231F20"/>
          <w:sz w:val="17"/>
        </w:rPr>
        <w:t>The</w:t>
      </w:r>
      <w:r>
        <w:rPr>
          <w:i/>
          <w:color w:val="231F20"/>
          <w:spacing w:val="30"/>
          <w:sz w:val="17"/>
        </w:rPr>
        <w:t xml:space="preserve"> </w:t>
      </w:r>
      <w:r>
        <w:rPr>
          <w:i/>
          <w:color w:val="231F20"/>
          <w:sz w:val="17"/>
        </w:rPr>
        <w:t>Impact</w:t>
      </w:r>
      <w:r>
        <w:rPr>
          <w:i/>
          <w:color w:val="231F20"/>
          <w:spacing w:val="31"/>
          <w:sz w:val="17"/>
        </w:rPr>
        <w:t xml:space="preserve"> </w:t>
      </w:r>
      <w:r>
        <w:rPr>
          <w:i/>
          <w:color w:val="231F20"/>
          <w:sz w:val="17"/>
        </w:rPr>
        <w:t>of</w:t>
      </w:r>
      <w:r>
        <w:rPr>
          <w:i/>
          <w:color w:val="231F20"/>
          <w:spacing w:val="30"/>
          <w:sz w:val="17"/>
        </w:rPr>
        <w:t xml:space="preserve"> </w:t>
      </w:r>
      <w:r>
        <w:rPr>
          <w:i/>
          <w:color w:val="231F20"/>
          <w:sz w:val="17"/>
        </w:rPr>
        <w:t>the</w:t>
      </w:r>
      <w:r>
        <w:rPr>
          <w:i/>
          <w:color w:val="231F20"/>
          <w:spacing w:val="30"/>
          <w:sz w:val="17"/>
        </w:rPr>
        <w:t xml:space="preserve"> </w:t>
      </w:r>
      <w:r>
        <w:rPr>
          <w:i/>
          <w:color w:val="231F20"/>
          <w:sz w:val="17"/>
        </w:rPr>
        <w:t>Olympic</w:t>
      </w:r>
      <w:r>
        <w:rPr>
          <w:i/>
          <w:color w:val="231F20"/>
          <w:spacing w:val="30"/>
          <w:sz w:val="17"/>
        </w:rPr>
        <w:t xml:space="preserve"> </w:t>
      </w:r>
      <w:r>
        <w:rPr>
          <w:i/>
          <w:color w:val="231F20"/>
          <w:sz w:val="17"/>
        </w:rPr>
        <w:t>Games</w:t>
      </w:r>
      <w:r>
        <w:rPr>
          <w:i/>
          <w:color w:val="231F20"/>
          <w:spacing w:val="30"/>
          <w:sz w:val="17"/>
        </w:rPr>
        <w:t xml:space="preserve"> </w:t>
      </w:r>
      <w:r>
        <w:rPr>
          <w:i/>
          <w:color w:val="231F20"/>
          <w:sz w:val="17"/>
        </w:rPr>
        <w:t>on</w:t>
      </w:r>
      <w:r>
        <w:rPr>
          <w:i/>
          <w:color w:val="231F20"/>
          <w:spacing w:val="31"/>
          <w:sz w:val="17"/>
        </w:rPr>
        <w:t xml:space="preserve"> </w:t>
      </w:r>
      <w:r>
        <w:rPr>
          <w:i/>
          <w:color w:val="231F20"/>
          <w:sz w:val="17"/>
        </w:rPr>
        <w:t>Real</w:t>
      </w:r>
      <w:r>
        <w:rPr>
          <w:i/>
          <w:color w:val="231F20"/>
          <w:spacing w:val="30"/>
          <w:sz w:val="17"/>
        </w:rPr>
        <w:t xml:space="preserve"> </w:t>
      </w:r>
      <w:r>
        <w:rPr>
          <w:i/>
          <w:color w:val="231F20"/>
          <w:sz w:val="17"/>
        </w:rPr>
        <w:t>Estate</w:t>
      </w:r>
      <w:r>
        <w:rPr>
          <w:i/>
          <w:color w:val="231F20"/>
          <w:spacing w:val="30"/>
          <w:sz w:val="17"/>
        </w:rPr>
        <w:t xml:space="preserve"> </w:t>
      </w:r>
      <w:r>
        <w:rPr>
          <w:i/>
          <w:color w:val="231F20"/>
          <w:spacing w:val="-2"/>
          <w:sz w:val="17"/>
        </w:rPr>
        <w:t>Markets</w:t>
      </w:r>
      <w:r>
        <w:rPr>
          <w:color w:val="231F20"/>
          <w:spacing w:val="-2"/>
          <w:sz w:val="17"/>
        </w:rPr>
        <w:t>.</w:t>
      </w:r>
    </w:p>
    <w:p w14:paraId="15FC0744" w14:textId="77777777" w:rsidR="00AE0598" w:rsidRDefault="0069255A">
      <w:pPr>
        <w:spacing w:before="1"/>
        <w:ind w:left="430"/>
        <w:jc w:val="both"/>
        <w:rPr>
          <w:sz w:val="17"/>
        </w:rPr>
      </w:pPr>
      <w:r>
        <w:rPr>
          <w:color w:val="231F20"/>
          <w:sz w:val="17"/>
        </w:rPr>
        <w:t>Chicago,</w:t>
      </w:r>
      <w:r>
        <w:rPr>
          <w:color w:val="231F20"/>
          <w:spacing w:val="11"/>
          <w:sz w:val="17"/>
        </w:rPr>
        <w:t xml:space="preserve"> </w:t>
      </w:r>
      <w:r>
        <w:rPr>
          <w:color w:val="231F20"/>
          <w:sz w:val="17"/>
        </w:rPr>
        <w:t>IL:</w:t>
      </w:r>
      <w:r>
        <w:rPr>
          <w:color w:val="231F20"/>
          <w:spacing w:val="12"/>
          <w:sz w:val="17"/>
        </w:rPr>
        <w:t xml:space="preserve"> </w:t>
      </w:r>
      <w:r>
        <w:rPr>
          <w:color w:val="231F20"/>
          <w:sz w:val="17"/>
        </w:rPr>
        <w:t>Jones</w:t>
      </w:r>
      <w:r>
        <w:rPr>
          <w:color w:val="231F20"/>
          <w:spacing w:val="12"/>
          <w:sz w:val="17"/>
        </w:rPr>
        <w:t xml:space="preserve"> </w:t>
      </w:r>
      <w:r>
        <w:rPr>
          <w:color w:val="231F20"/>
          <w:sz w:val="17"/>
        </w:rPr>
        <w:t>Lang</w:t>
      </w:r>
      <w:r>
        <w:rPr>
          <w:color w:val="231F20"/>
          <w:spacing w:val="12"/>
          <w:sz w:val="17"/>
        </w:rPr>
        <w:t xml:space="preserve"> </w:t>
      </w:r>
      <w:r>
        <w:rPr>
          <w:color w:val="231F20"/>
          <w:sz w:val="17"/>
        </w:rPr>
        <w:t>LaSalle</w:t>
      </w:r>
      <w:r>
        <w:rPr>
          <w:color w:val="231F20"/>
          <w:spacing w:val="12"/>
          <w:sz w:val="17"/>
        </w:rPr>
        <w:t xml:space="preserve"> </w:t>
      </w:r>
      <w:r>
        <w:rPr>
          <w:color w:val="231F20"/>
          <w:sz w:val="17"/>
        </w:rPr>
        <w:t>IP,</w:t>
      </w:r>
      <w:r>
        <w:rPr>
          <w:color w:val="231F20"/>
          <w:spacing w:val="11"/>
          <w:sz w:val="17"/>
        </w:rPr>
        <w:t xml:space="preserve"> </w:t>
      </w:r>
      <w:r>
        <w:rPr>
          <w:color w:val="231F20"/>
          <w:spacing w:val="-4"/>
          <w:sz w:val="17"/>
        </w:rPr>
        <w:t>Inc.</w:t>
      </w:r>
    </w:p>
    <w:p w14:paraId="00AF7028" w14:textId="77777777" w:rsidR="00AE0598" w:rsidRDefault="0069255A">
      <w:pPr>
        <w:spacing w:before="1"/>
        <w:ind w:left="430" w:hanging="320"/>
        <w:rPr>
          <w:sz w:val="17"/>
        </w:rPr>
      </w:pPr>
      <w:r>
        <w:rPr>
          <w:color w:val="231F20"/>
          <w:sz w:val="17"/>
        </w:rPr>
        <w:t xml:space="preserve">McKenzie, D. (1998) Abreast in a boat: The race against breast cancer. </w:t>
      </w:r>
      <w:r>
        <w:rPr>
          <w:i/>
          <w:color w:val="231F20"/>
          <w:sz w:val="17"/>
        </w:rPr>
        <w:t>Canadian Medical</w:t>
      </w:r>
      <w:r>
        <w:rPr>
          <w:i/>
          <w:color w:val="231F20"/>
          <w:spacing w:val="40"/>
          <w:sz w:val="17"/>
        </w:rPr>
        <w:t xml:space="preserve"> </w:t>
      </w:r>
      <w:r>
        <w:rPr>
          <w:i/>
          <w:color w:val="231F20"/>
          <w:sz w:val="17"/>
        </w:rPr>
        <w:t xml:space="preserve">Association Journal </w:t>
      </w:r>
      <w:r>
        <w:rPr>
          <w:color w:val="231F20"/>
          <w:sz w:val="17"/>
        </w:rPr>
        <w:t>159 (4), 376–378.</w:t>
      </w:r>
    </w:p>
    <w:p w14:paraId="656E67B3" w14:textId="77777777" w:rsidR="00AE0598" w:rsidRDefault="0069255A">
      <w:pPr>
        <w:spacing w:before="1"/>
        <w:ind w:left="430" w:hanging="320"/>
        <w:rPr>
          <w:sz w:val="17"/>
        </w:rPr>
      </w:pPr>
      <w:r>
        <w:rPr>
          <w:color w:val="231F20"/>
          <w:w w:val="95"/>
          <w:sz w:val="17"/>
        </w:rPr>
        <w:t>McKercher,</w:t>
      </w:r>
      <w:r>
        <w:rPr>
          <w:color w:val="231F20"/>
          <w:spacing w:val="39"/>
          <w:sz w:val="17"/>
        </w:rPr>
        <w:t xml:space="preserve"> </w:t>
      </w:r>
      <w:r>
        <w:rPr>
          <w:color w:val="231F20"/>
          <w:w w:val="95"/>
          <w:sz w:val="17"/>
        </w:rPr>
        <w:t>B.</w:t>
      </w:r>
      <w:r>
        <w:rPr>
          <w:color w:val="231F20"/>
          <w:spacing w:val="39"/>
          <w:sz w:val="17"/>
        </w:rPr>
        <w:t xml:space="preserve"> </w:t>
      </w:r>
      <w:r>
        <w:rPr>
          <w:color w:val="231F20"/>
          <w:w w:val="95"/>
          <w:sz w:val="17"/>
        </w:rPr>
        <w:t>(1993)</w:t>
      </w:r>
      <w:r>
        <w:rPr>
          <w:color w:val="231F20"/>
          <w:spacing w:val="39"/>
          <w:sz w:val="17"/>
        </w:rPr>
        <w:t xml:space="preserve"> </w:t>
      </w:r>
      <w:r>
        <w:rPr>
          <w:color w:val="231F20"/>
          <w:w w:val="95"/>
          <w:sz w:val="17"/>
        </w:rPr>
        <w:t>Some</w:t>
      </w:r>
      <w:r>
        <w:rPr>
          <w:color w:val="231F20"/>
          <w:spacing w:val="38"/>
          <w:sz w:val="17"/>
        </w:rPr>
        <w:t xml:space="preserve"> </w:t>
      </w:r>
      <w:r>
        <w:rPr>
          <w:color w:val="231F20"/>
          <w:w w:val="95"/>
          <w:sz w:val="17"/>
        </w:rPr>
        <w:t>fundamental</w:t>
      </w:r>
      <w:r>
        <w:rPr>
          <w:color w:val="231F20"/>
          <w:spacing w:val="39"/>
          <w:sz w:val="17"/>
        </w:rPr>
        <w:t xml:space="preserve"> </w:t>
      </w:r>
      <w:r>
        <w:rPr>
          <w:color w:val="231F20"/>
          <w:w w:val="95"/>
          <w:sz w:val="17"/>
        </w:rPr>
        <w:t>truths</w:t>
      </w:r>
      <w:r>
        <w:rPr>
          <w:color w:val="231F20"/>
          <w:spacing w:val="39"/>
          <w:sz w:val="17"/>
        </w:rPr>
        <w:t xml:space="preserve"> </w:t>
      </w:r>
      <w:r>
        <w:rPr>
          <w:color w:val="231F20"/>
          <w:w w:val="95"/>
          <w:sz w:val="17"/>
        </w:rPr>
        <w:t>about</w:t>
      </w:r>
      <w:r>
        <w:rPr>
          <w:color w:val="231F20"/>
          <w:spacing w:val="39"/>
          <w:sz w:val="17"/>
        </w:rPr>
        <w:t xml:space="preserve"> </w:t>
      </w:r>
      <w:r>
        <w:rPr>
          <w:color w:val="231F20"/>
          <w:w w:val="95"/>
          <w:sz w:val="17"/>
        </w:rPr>
        <w:t>tourism:</w:t>
      </w:r>
      <w:r>
        <w:rPr>
          <w:color w:val="231F20"/>
          <w:spacing w:val="38"/>
          <w:sz w:val="17"/>
        </w:rPr>
        <w:t xml:space="preserve"> </w:t>
      </w:r>
      <w:r>
        <w:rPr>
          <w:color w:val="231F20"/>
          <w:w w:val="95"/>
          <w:sz w:val="17"/>
        </w:rPr>
        <w:t>Understanding</w:t>
      </w:r>
      <w:r>
        <w:rPr>
          <w:color w:val="231F20"/>
          <w:spacing w:val="39"/>
          <w:sz w:val="17"/>
        </w:rPr>
        <w:t xml:space="preserve"> </w:t>
      </w:r>
      <w:r>
        <w:rPr>
          <w:color w:val="231F20"/>
          <w:w w:val="95"/>
          <w:sz w:val="17"/>
        </w:rPr>
        <w:t>tourism’s</w:t>
      </w:r>
      <w:r>
        <w:rPr>
          <w:color w:val="231F20"/>
          <w:spacing w:val="40"/>
          <w:sz w:val="17"/>
        </w:rPr>
        <w:t xml:space="preserve"> </w:t>
      </w:r>
      <w:r>
        <w:rPr>
          <w:color w:val="231F20"/>
          <w:sz w:val="17"/>
        </w:rPr>
        <w:t xml:space="preserve">social and environmental impacts. </w:t>
      </w:r>
      <w:r>
        <w:rPr>
          <w:i/>
          <w:color w:val="231F20"/>
          <w:sz w:val="17"/>
        </w:rPr>
        <w:t xml:space="preserve">Journal of Sustainable Tourism </w:t>
      </w:r>
      <w:r>
        <w:rPr>
          <w:color w:val="231F20"/>
          <w:sz w:val="17"/>
        </w:rPr>
        <w:t>1 (1), 6–16.</w:t>
      </w:r>
    </w:p>
    <w:p w14:paraId="578D2E92" w14:textId="77777777" w:rsidR="00AE0598" w:rsidRDefault="0069255A">
      <w:pPr>
        <w:spacing w:before="1"/>
        <w:ind w:left="110"/>
        <w:rPr>
          <w:i/>
          <w:sz w:val="17"/>
        </w:rPr>
      </w:pPr>
      <w:r>
        <w:rPr>
          <w:color w:val="231F20"/>
          <w:sz w:val="17"/>
        </w:rPr>
        <w:t>McMurran,</w:t>
      </w:r>
      <w:r>
        <w:rPr>
          <w:color w:val="231F20"/>
          <w:spacing w:val="9"/>
          <w:sz w:val="17"/>
        </w:rPr>
        <w:t xml:space="preserve"> </w:t>
      </w:r>
      <w:r>
        <w:rPr>
          <w:color w:val="231F20"/>
          <w:sz w:val="17"/>
        </w:rPr>
        <w:t>A.</w:t>
      </w:r>
      <w:r>
        <w:rPr>
          <w:color w:val="231F20"/>
          <w:spacing w:val="9"/>
          <w:sz w:val="17"/>
        </w:rPr>
        <w:t xml:space="preserve"> </w:t>
      </w:r>
      <w:r>
        <w:rPr>
          <w:color w:val="231F20"/>
          <w:sz w:val="17"/>
        </w:rPr>
        <w:t>(1999,</w:t>
      </w:r>
      <w:r>
        <w:rPr>
          <w:color w:val="231F20"/>
          <w:spacing w:val="9"/>
          <w:sz w:val="17"/>
        </w:rPr>
        <w:t xml:space="preserve"> </w:t>
      </w:r>
      <w:r>
        <w:rPr>
          <w:color w:val="231F20"/>
          <w:sz w:val="17"/>
        </w:rPr>
        <w:t>22</w:t>
      </w:r>
      <w:r>
        <w:rPr>
          <w:color w:val="231F20"/>
          <w:spacing w:val="9"/>
          <w:sz w:val="17"/>
        </w:rPr>
        <w:t xml:space="preserve"> </w:t>
      </w:r>
      <w:r>
        <w:rPr>
          <w:color w:val="231F20"/>
          <w:sz w:val="17"/>
        </w:rPr>
        <w:t>January)</w:t>
      </w:r>
      <w:r>
        <w:rPr>
          <w:color w:val="231F20"/>
          <w:spacing w:val="9"/>
          <w:sz w:val="17"/>
        </w:rPr>
        <w:t xml:space="preserve"> </w:t>
      </w:r>
      <w:r>
        <w:rPr>
          <w:color w:val="231F20"/>
          <w:sz w:val="17"/>
        </w:rPr>
        <w:t>More</w:t>
      </w:r>
      <w:r>
        <w:rPr>
          <w:color w:val="231F20"/>
          <w:spacing w:val="9"/>
          <w:sz w:val="17"/>
        </w:rPr>
        <w:t xml:space="preserve"> </w:t>
      </w:r>
      <w:r>
        <w:rPr>
          <w:color w:val="231F20"/>
          <w:sz w:val="17"/>
        </w:rPr>
        <w:t>the</w:t>
      </w:r>
      <w:r>
        <w:rPr>
          <w:color w:val="231F20"/>
          <w:spacing w:val="9"/>
          <w:sz w:val="17"/>
        </w:rPr>
        <w:t xml:space="preserve"> </w:t>
      </w:r>
      <w:r>
        <w:rPr>
          <w:color w:val="231F20"/>
          <w:sz w:val="17"/>
        </w:rPr>
        <w:t>7000</w:t>
      </w:r>
      <w:r>
        <w:rPr>
          <w:color w:val="231F20"/>
          <w:spacing w:val="9"/>
          <w:sz w:val="17"/>
        </w:rPr>
        <w:t xml:space="preserve"> </w:t>
      </w:r>
      <w:r>
        <w:rPr>
          <w:color w:val="231F20"/>
          <w:sz w:val="17"/>
        </w:rPr>
        <w:t>expected</w:t>
      </w:r>
      <w:r>
        <w:rPr>
          <w:color w:val="231F20"/>
          <w:spacing w:val="9"/>
          <w:sz w:val="17"/>
        </w:rPr>
        <w:t xml:space="preserve"> </w:t>
      </w:r>
      <w:r>
        <w:rPr>
          <w:color w:val="231F20"/>
          <w:sz w:val="17"/>
        </w:rPr>
        <w:t>for</w:t>
      </w:r>
      <w:r>
        <w:rPr>
          <w:color w:val="231F20"/>
          <w:spacing w:val="9"/>
          <w:sz w:val="17"/>
        </w:rPr>
        <w:t xml:space="preserve"> </w:t>
      </w:r>
      <w:r>
        <w:rPr>
          <w:color w:val="231F20"/>
          <w:sz w:val="17"/>
        </w:rPr>
        <w:t>2000</w:t>
      </w:r>
      <w:r>
        <w:rPr>
          <w:color w:val="231F20"/>
          <w:spacing w:val="9"/>
          <w:sz w:val="17"/>
        </w:rPr>
        <w:t xml:space="preserve"> </w:t>
      </w:r>
      <w:r>
        <w:rPr>
          <w:color w:val="231F20"/>
          <w:sz w:val="17"/>
        </w:rPr>
        <w:t>Games.</w:t>
      </w:r>
      <w:r>
        <w:rPr>
          <w:color w:val="231F20"/>
          <w:spacing w:val="9"/>
          <w:sz w:val="17"/>
        </w:rPr>
        <w:t xml:space="preserve"> </w:t>
      </w:r>
      <w:r>
        <w:rPr>
          <w:i/>
          <w:color w:val="231F20"/>
          <w:sz w:val="17"/>
        </w:rPr>
        <w:t>Otago</w:t>
      </w:r>
      <w:r>
        <w:rPr>
          <w:i/>
          <w:color w:val="231F20"/>
          <w:spacing w:val="9"/>
          <w:sz w:val="17"/>
        </w:rPr>
        <w:t xml:space="preserve"> </w:t>
      </w:r>
      <w:r>
        <w:rPr>
          <w:i/>
          <w:color w:val="231F20"/>
          <w:spacing w:val="-2"/>
          <w:sz w:val="17"/>
        </w:rPr>
        <w:t>Daily</w:t>
      </w:r>
    </w:p>
    <w:p w14:paraId="5E407599" w14:textId="77777777" w:rsidR="00AE0598" w:rsidRDefault="0069255A">
      <w:pPr>
        <w:spacing w:before="1"/>
        <w:ind w:left="430"/>
        <w:rPr>
          <w:sz w:val="17"/>
        </w:rPr>
      </w:pPr>
      <w:r>
        <w:rPr>
          <w:i/>
          <w:color w:val="231F20"/>
          <w:w w:val="105"/>
          <w:sz w:val="17"/>
        </w:rPr>
        <w:t>Times</w:t>
      </w:r>
      <w:r>
        <w:rPr>
          <w:color w:val="231F20"/>
          <w:w w:val="105"/>
          <w:sz w:val="17"/>
        </w:rPr>
        <w:t>,</w:t>
      </w:r>
      <w:r>
        <w:rPr>
          <w:color w:val="231F20"/>
          <w:spacing w:val="3"/>
          <w:w w:val="105"/>
          <w:sz w:val="17"/>
        </w:rPr>
        <w:t xml:space="preserve"> </w:t>
      </w:r>
      <w:r>
        <w:rPr>
          <w:color w:val="231F20"/>
          <w:w w:val="105"/>
          <w:sz w:val="17"/>
        </w:rPr>
        <w:t>p.</w:t>
      </w:r>
      <w:r>
        <w:rPr>
          <w:color w:val="231F20"/>
          <w:spacing w:val="4"/>
          <w:w w:val="105"/>
          <w:sz w:val="17"/>
        </w:rPr>
        <w:t xml:space="preserve"> </w:t>
      </w:r>
      <w:r>
        <w:rPr>
          <w:color w:val="231F20"/>
          <w:spacing w:val="-5"/>
          <w:w w:val="105"/>
          <w:sz w:val="17"/>
        </w:rPr>
        <w:t>18.</w:t>
      </w:r>
    </w:p>
    <w:p w14:paraId="69EC5143" w14:textId="77777777" w:rsidR="00AE0598" w:rsidRDefault="0069255A">
      <w:pPr>
        <w:spacing w:before="1"/>
        <w:ind w:left="430" w:right="128" w:hanging="320"/>
        <w:jc w:val="both"/>
        <w:rPr>
          <w:sz w:val="17"/>
        </w:rPr>
      </w:pPr>
      <w:r>
        <w:rPr>
          <w:color w:val="231F20"/>
          <w:w w:val="105"/>
          <w:sz w:val="17"/>
        </w:rPr>
        <w:t>McPherson,</w:t>
      </w:r>
      <w:r>
        <w:rPr>
          <w:color w:val="231F20"/>
          <w:spacing w:val="40"/>
          <w:w w:val="105"/>
          <w:sz w:val="17"/>
        </w:rPr>
        <w:t xml:space="preserve"> </w:t>
      </w:r>
      <w:r>
        <w:rPr>
          <w:color w:val="231F20"/>
          <w:w w:val="105"/>
          <w:sz w:val="17"/>
        </w:rPr>
        <w:t>B.D.,</w:t>
      </w:r>
      <w:r>
        <w:rPr>
          <w:color w:val="231F20"/>
          <w:spacing w:val="40"/>
          <w:w w:val="105"/>
          <w:sz w:val="17"/>
        </w:rPr>
        <w:t xml:space="preserve"> </w:t>
      </w:r>
      <w:r>
        <w:rPr>
          <w:color w:val="231F20"/>
          <w:w w:val="105"/>
          <w:sz w:val="17"/>
        </w:rPr>
        <w:t>Curtis,</w:t>
      </w:r>
      <w:r>
        <w:rPr>
          <w:color w:val="231F20"/>
          <w:spacing w:val="40"/>
          <w:w w:val="105"/>
          <w:sz w:val="17"/>
        </w:rPr>
        <w:t xml:space="preserve"> </w:t>
      </w:r>
      <w:r>
        <w:rPr>
          <w:color w:val="231F20"/>
          <w:w w:val="105"/>
          <w:sz w:val="17"/>
        </w:rPr>
        <w:t>J.E.</w:t>
      </w:r>
      <w:r>
        <w:rPr>
          <w:color w:val="231F20"/>
          <w:spacing w:val="40"/>
          <w:w w:val="105"/>
          <w:sz w:val="17"/>
        </w:rPr>
        <w:t xml:space="preserve"> </w:t>
      </w:r>
      <w:r>
        <w:rPr>
          <w:color w:val="231F20"/>
          <w:w w:val="105"/>
          <w:sz w:val="17"/>
        </w:rPr>
        <w:t>and</w:t>
      </w:r>
      <w:r>
        <w:rPr>
          <w:color w:val="231F20"/>
          <w:spacing w:val="40"/>
          <w:w w:val="105"/>
          <w:sz w:val="17"/>
        </w:rPr>
        <w:t xml:space="preserve"> </w:t>
      </w:r>
      <w:r>
        <w:rPr>
          <w:color w:val="231F20"/>
          <w:w w:val="105"/>
          <w:sz w:val="17"/>
        </w:rPr>
        <w:t>Loy,</w:t>
      </w:r>
      <w:r>
        <w:rPr>
          <w:color w:val="231F20"/>
          <w:spacing w:val="40"/>
          <w:w w:val="105"/>
          <w:sz w:val="17"/>
        </w:rPr>
        <w:t xml:space="preserve"> </w:t>
      </w:r>
      <w:r>
        <w:rPr>
          <w:color w:val="231F20"/>
          <w:w w:val="105"/>
          <w:sz w:val="17"/>
        </w:rPr>
        <w:t>J.W.</w:t>
      </w:r>
      <w:r>
        <w:rPr>
          <w:color w:val="231F20"/>
          <w:spacing w:val="40"/>
          <w:w w:val="105"/>
          <w:sz w:val="17"/>
        </w:rPr>
        <w:t xml:space="preserve"> </w:t>
      </w:r>
      <w:r>
        <w:rPr>
          <w:color w:val="231F20"/>
          <w:w w:val="105"/>
          <w:sz w:val="17"/>
        </w:rPr>
        <w:t>(1989)</w:t>
      </w:r>
      <w:r>
        <w:rPr>
          <w:color w:val="231F20"/>
          <w:spacing w:val="40"/>
          <w:w w:val="105"/>
          <w:sz w:val="17"/>
        </w:rPr>
        <w:t xml:space="preserve"> </w:t>
      </w:r>
      <w:r>
        <w:rPr>
          <w:i/>
          <w:color w:val="231F20"/>
          <w:w w:val="105"/>
          <w:sz w:val="17"/>
        </w:rPr>
        <w:t>The</w:t>
      </w:r>
      <w:r>
        <w:rPr>
          <w:i/>
          <w:color w:val="231F20"/>
          <w:spacing w:val="40"/>
          <w:w w:val="105"/>
          <w:sz w:val="17"/>
        </w:rPr>
        <w:t xml:space="preserve"> </w:t>
      </w:r>
      <w:r>
        <w:rPr>
          <w:i/>
          <w:color w:val="231F20"/>
          <w:w w:val="105"/>
          <w:sz w:val="17"/>
        </w:rPr>
        <w:t>Social</w:t>
      </w:r>
      <w:r>
        <w:rPr>
          <w:i/>
          <w:color w:val="231F20"/>
          <w:spacing w:val="40"/>
          <w:w w:val="105"/>
          <w:sz w:val="17"/>
        </w:rPr>
        <w:t xml:space="preserve"> </w:t>
      </w:r>
      <w:r>
        <w:rPr>
          <w:i/>
          <w:color w:val="231F20"/>
          <w:w w:val="105"/>
          <w:sz w:val="17"/>
        </w:rPr>
        <w:t>Significance</w:t>
      </w:r>
      <w:r>
        <w:rPr>
          <w:i/>
          <w:color w:val="231F20"/>
          <w:spacing w:val="40"/>
          <w:w w:val="105"/>
          <w:sz w:val="17"/>
        </w:rPr>
        <w:t xml:space="preserve"> </w:t>
      </w:r>
      <w:r>
        <w:rPr>
          <w:i/>
          <w:color w:val="231F20"/>
          <w:w w:val="105"/>
          <w:sz w:val="17"/>
        </w:rPr>
        <w:t>of</w:t>
      </w:r>
      <w:r>
        <w:rPr>
          <w:i/>
          <w:color w:val="231F20"/>
          <w:spacing w:val="40"/>
          <w:w w:val="105"/>
          <w:sz w:val="17"/>
        </w:rPr>
        <w:t xml:space="preserve"> </w:t>
      </w:r>
      <w:r>
        <w:rPr>
          <w:i/>
          <w:color w:val="231F20"/>
          <w:w w:val="105"/>
          <w:sz w:val="17"/>
        </w:rPr>
        <w:t>Sport:</w:t>
      </w:r>
      <w:r>
        <w:rPr>
          <w:i/>
          <w:color w:val="231F20"/>
          <w:spacing w:val="40"/>
          <w:w w:val="105"/>
          <w:sz w:val="17"/>
        </w:rPr>
        <w:t xml:space="preserve"> </w:t>
      </w:r>
      <w:r>
        <w:rPr>
          <w:i/>
          <w:color w:val="231F20"/>
          <w:w w:val="105"/>
          <w:sz w:val="17"/>
        </w:rPr>
        <w:t>An</w:t>
      </w:r>
      <w:r>
        <w:rPr>
          <w:i/>
          <w:color w:val="231F20"/>
          <w:spacing w:val="40"/>
          <w:w w:val="105"/>
          <w:sz w:val="17"/>
        </w:rPr>
        <w:t xml:space="preserve"> </w:t>
      </w:r>
      <w:r>
        <w:rPr>
          <w:i/>
          <w:color w:val="231F20"/>
          <w:w w:val="105"/>
          <w:sz w:val="17"/>
        </w:rPr>
        <w:t>Introduction</w:t>
      </w:r>
      <w:r>
        <w:rPr>
          <w:i/>
          <w:color w:val="231F20"/>
          <w:spacing w:val="40"/>
          <w:w w:val="105"/>
          <w:sz w:val="17"/>
        </w:rPr>
        <w:t xml:space="preserve"> </w:t>
      </w:r>
      <w:r>
        <w:rPr>
          <w:i/>
          <w:color w:val="231F20"/>
          <w:w w:val="105"/>
          <w:sz w:val="17"/>
        </w:rPr>
        <w:t>to</w:t>
      </w:r>
      <w:r>
        <w:rPr>
          <w:i/>
          <w:color w:val="231F20"/>
          <w:spacing w:val="40"/>
          <w:w w:val="105"/>
          <w:sz w:val="17"/>
        </w:rPr>
        <w:t xml:space="preserve"> </w:t>
      </w:r>
      <w:r>
        <w:rPr>
          <w:i/>
          <w:color w:val="231F20"/>
          <w:w w:val="105"/>
          <w:sz w:val="17"/>
        </w:rPr>
        <w:t>the</w:t>
      </w:r>
      <w:r>
        <w:rPr>
          <w:i/>
          <w:color w:val="231F20"/>
          <w:spacing w:val="40"/>
          <w:w w:val="105"/>
          <w:sz w:val="17"/>
        </w:rPr>
        <w:t xml:space="preserve"> </w:t>
      </w:r>
      <w:r>
        <w:rPr>
          <w:i/>
          <w:color w:val="231F20"/>
          <w:w w:val="105"/>
          <w:sz w:val="17"/>
        </w:rPr>
        <w:t>Sociology</w:t>
      </w:r>
      <w:r>
        <w:rPr>
          <w:i/>
          <w:color w:val="231F20"/>
          <w:spacing w:val="40"/>
          <w:w w:val="105"/>
          <w:sz w:val="17"/>
        </w:rPr>
        <w:t xml:space="preserve"> </w:t>
      </w:r>
      <w:r>
        <w:rPr>
          <w:i/>
          <w:color w:val="231F20"/>
          <w:w w:val="105"/>
          <w:sz w:val="17"/>
        </w:rPr>
        <w:t>of</w:t>
      </w:r>
      <w:r>
        <w:rPr>
          <w:i/>
          <w:color w:val="231F20"/>
          <w:spacing w:val="40"/>
          <w:w w:val="105"/>
          <w:sz w:val="17"/>
        </w:rPr>
        <w:t xml:space="preserve"> </w:t>
      </w:r>
      <w:r>
        <w:rPr>
          <w:i/>
          <w:color w:val="231F20"/>
          <w:w w:val="105"/>
          <w:sz w:val="17"/>
        </w:rPr>
        <w:t>Sport</w:t>
      </w:r>
      <w:r>
        <w:rPr>
          <w:color w:val="231F20"/>
          <w:w w:val="105"/>
          <w:sz w:val="17"/>
        </w:rPr>
        <w:t>.</w:t>
      </w:r>
      <w:r>
        <w:rPr>
          <w:color w:val="231F20"/>
          <w:spacing w:val="40"/>
          <w:w w:val="105"/>
          <w:sz w:val="17"/>
        </w:rPr>
        <w:t xml:space="preserve"> </w:t>
      </w:r>
      <w:r>
        <w:rPr>
          <w:color w:val="231F20"/>
          <w:w w:val="105"/>
          <w:sz w:val="17"/>
        </w:rPr>
        <w:t>Champaign,</w:t>
      </w:r>
      <w:r>
        <w:rPr>
          <w:color w:val="231F20"/>
          <w:spacing w:val="40"/>
          <w:w w:val="105"/>
          <w:sz w:val="17"/>
        </w:rPr>
        <w:t xml:space="preserve"> </w:t>
      </w:r>
      <w:r>
        <w:rPr>
          <w:color w:val="231F20"/>
          <w:w w:val="105"/>
          <w:sz w:val="17"/>
        </w:rPr>
        <w:t>IL:</w:t>
      </w:r>
      <w:r>
        <w:rPr>
          <w:color w:val="231F20"/>
          <w:spacing w:val="40"/>
          <w:w w:val="105"/>
          <w:sz w:val="17"/>
        </w:rPr>
        <w:t xml:space="preserve"> </w:t>
      </w:r>
      <w:r>
        <w:rPr>
          <w:color w:val="231F20"/>
          <w:w w:val="105"/>
          <w:sz w:val="17"/>
        </w:rPr>
        <w:t>Human</w:t>
      </w:r>
      <w:r>
        <w:rPr>
          <w:color w:val="231F20"/>
          <w:spacing w:val="40"/>
          <w:w w:val="105"/>
          <w:sz w:val="17"/>
        </w:rPr>
        <w:t xml:space="preserve"> </w:t>
      </w:r>
      <w:r>
        <w:rPr>
          <w:color w:val="231F20"/>
          <w:w w:val="105"/>
          <w:sz w:val="17"/>
        </w:rPr>
        <w:t>Kinetics Books.</w:t>
      </w:r>
    </w:p>
    <w:p w14:paraId="29F659A6" w14:textId="77777777" w:rsidR="00AE0598" w:rsidRDefault="0069255A">
      <w:pPr>
        <w:spacing w:before="2"/>
        <w:ind w:left="430" w:right="128" w:hanging="320"/>
        <w:jc w:val="both"/>
        <w:rPr>
          <w:sz w:val="17"/>
        </w:rPr>
      </w:pPr>
      <w:r>
        <w:rPr>
          <w:color w:val="231F20"/>
          <w:sz w:val="17"/>
        </w:rPr>
        <w:t xml:space="preserve">Meinig, D. (1979) The beholding eye. In D. Meinig (ed.) </w:t>
      </w:r>
      <w:r>
        <w:rPr>
          <w:i/>
          <w:color w:val="231F20"/>
          <w:sz w:val="17"/>
        </w:rPr>
        <w:t>The Interpretation of Ordinary</w:t>
      </w:r>
      <w:r>
        <w:rPr>
          <w:i/>
          <w:color w:val="231F20"/>
          <w:spacing w:val="40"/>
          <w:sz w:val="17"/>
        </w:rPr>
        <w:t xml:space="preserve"> </w:t>
      </w:r>
      <w:r>
        <w:rPr>
          <w:i/>
          <w:color w:val="231F20"/>
          <w:sz w:val="17"/>
        </w:rPr>
        <w:t xml:space="preserve">Landscapes </w:t>
      </w:r>
      <w:r>
        <w:rPr>
          <w:color w:val="231F20"/>
          <w:sz w:val="17"/>
        </w:rPr>
        <w:t>(pp. 33–48). New York: Oxford University Press.</w:t>
      </w:r>
    </w:p>
    <w:p w14:paraId="6AD9F4C4" w14:textId="77777777" w:rsidR="00AE0598" w:rsidRDefault="0069255A">
      <w:pPr>
        <w:spacing w:before="1"/>
        <w:ind w:left="430" w:right="128" w:hanging="320"/>
        <w:jc w:val="both"/>
        <w:rPr>
          <w:sz w:val="17"/>
        </w:rPr>
      </w:pPr>
      <w:r>
        <w:rPr>
          <w:color w:val="231F20"/>
          <w:sz w:val="17"/>
        </w:rPr>
        <w:t xml:space="preserve">Melbourne Sports and Aquatic Centre (2002) Facilities. See </w:t>
      </w:r>
      <w:hyperlink r:id="rId56">
        <w:r>
          <w:rPr>
            <w:color w:val="231F20"/>
            <w:spacing w:val="-3"/>
            <w:w w:val="98"/>
            <w:sz w:val="17"/>
          </w:rPr>
          <w:t>h</w:t>
        </w:r>
        <w:r>
          <w:rPr>
            <w:color w:val="231F20"/>
            <w:spacing w:val="2"/>
            <w:w w:val="98"/>
            <w:sz w:val="17"/>
          </w:rPr>
          <w:t>tt</w:t>
        </w:r>
        <w:r>
          <w:rPr>
            <w:color w:val="231F20"/>
            <w:spacing w:val="-3"/>
            <w:w w:val="98"/>
            <w:sz w:val="17"/>
          </w:rPr>
          <w:t>p</w:t>
        </w:r>
        <w:r>
          <w:rPr>
            <w:color w:val="231F20"/>
            <w:spacing w:val="3"/>
            <w:w w:val="105"/>
            <w:sz w:val="17"/>
          </w:rPr>
          <w:t>:</w:t>
        </w:r>
        <w:r>
          <w:rPr>
            <w:color w:val="231F20"/>
            <w:spacing w:val="-5"/>
            <w:w w:val="60"/>
            <w:sz w:val="17"/>
          </w:rPr>
          <w:t>/</w:t>
        </w:r>
        <w:r>
          <w:rPr>
            <w:color w:val="231F20"/>
            <w:spacing w:val="-3"/>
            <w:w w:val="84"/>
            <w:sz w:val="17"/>
          </w:rPr>
          <w:t>/</w:t>
        </w:r>
        <w:r>
          <w:rPr>
            <w:color w:val="231F20"/>
            <w:spacing w:val="2"/>
            <w:w w:val="84"/>
            <w:sz w:val="17"/>
          </w:rPr>
          <w:t>w</w:t>
        </w:r>
        <w:r>
          <w:rPr>
            <w:color w:val="231F20"/>
            <w:spacing w:val="2"/>
            <w:w w:val="99"/>
            <w:sz w:val="17"/>
          </w:rPr>
          <w:t>w</w:t>
        </w:r>
        <w:r>
          <w:rPr>
            <w:color w:val="231F20"/>
            <w:spacing w:val="-10"/>
            <w:w w:val="99"/>
            <w:sz w:val="17"/>
          </w:rPr>
          <w:t>w</w:t>
        </w:r>
        <w:r>
          <w:rPr>
            <w:color w:val="231F20"/>
            <w:spacing w:val="-1"/>
            <w:w w:val="135"/>
            <w:sz w:val="17"/>
          </w:rPr>
          <w:t>.</w:t>
        </w:r>
        <w:r>
          <w:rPr>
            <w:color w:val="231F20"/>
            <w:w w:val="99"/>
            <w:sz w:val="17"/>
          </w:rPr>
          <w:t>m</w:t>
        </w:r>
        <w:r>
          <w:rPr>
            <w:color w:val="231F20"/>
            <w:spacing w:val="-1"/>
            <w:w w:val="90"/>
            <w:sz w:val="17"/>
          </w:rPr>
          <w:t>s</w:t>
        </w:r>
        <w:r>
          <w:rPr>
            <w:color w:val="231F20"/>
            <w:spacing w:val="-3"/>
            <w:w w:val="101"/>
            <w:sz w:val="17"/>
          </w:rPr>
          <w:t>a</w:t>
        </w:r>
        <w:r>
          <w:rPr>
            <w:color w:val="231F20"/>
            <w:w w:val="99"/>
            <w:sz w:val="17"/>
          </w:rPr>
          <w:t>c</w:t>
        </w:r>
        <w:r>
          <w:rPr>
            <w:color w:val="231F20"/>
            <w:spacing w:val="-1"/>
            <w:w w:val="135"/>
            <w:sz w:val="17"/>
          </w:rPr>
          <w:t>.</w:t>
        </w:r>
        <w:r>
          <w:rPr>
            <w:color w:val="231F20"/>
            <w:spacing w:val="-1"/>
            <w:w w:val="99"/>
            <w:sz w:val="17"/>
          </w:rPr>
          <w:t>c</w:t>
        </w:r>
        <w:r>
          <w:rPr>
            <w:color w:val="231F20"/>
            <w:spacing w:val="-3"/>
            <w:w w:val="103"/>
            <w:sz w:val="17"/>
          </w:rPr>
          <w:t>o</w:t>
        </w:r>
        <w:r>
          <w:rPr>
            <w:color w:val="231F20"/>
            <w:w w:val="99"/>
            <w:sz w:val="17"/>
          </w:rPr>
          <w:t>m</w:t>
        </w:r>
        <w:r>
          <w:rPr>
            <w:color w:val="231F20"/>
            <w:spacing w:val="1"/>
            <w:w w:val="135"/>
            <w:sz w:val="17"/>
          </w:rPr>
          <w:t>.</w:t>
        </w:r>
        <w:r>
          <w:rPr>
            <w:color w:val="231F20"/>
            <w:spacing w:val="-4"/>
            <w:w w:val="101"/>
            <w:sz w:val="17"/>
          </w:rPr>
          <w:t>a</w:t>
        </w:r>
        <w:r>
          <w:rPr>
            <w:color w:val="231F20"/>
            <w:spacing w:val="6"/>
            <w:w w:val="99"/>
            <w:sz w:val="17"/>
          </w:rPr>
          <w:t>u</w:t>
        </w:r>
        <w:r>
          <w:rPr>
            <w:color w:val="231F20"/>
            <w:spacing w:val="-2"/>
            <w:w w:val="60"/>
            <w:sz w:val="17"/>
          </w:rPr>
          <w:t>/</w:t>
        </w:r>
      </w:hyperlink>
      <w:r>
        <w:rPr>
          <w:color w:val="231F20"/>
          <w:spacing w:val="40"/>
          <w:sz w:val="17"/>
        </w:rPr>
        <w:t xml:space="preserve"> </w:t>
      </w:r>
      <w:r>
        <w:rPr>
          <w:color w:val="231F20"/>
          <w:sz w:val="17"/>
        </w:rPr>
        <w:t>sports.html (accessed 24 May 2002).</w:t>
      </w:r>
    </w:p>
    <w:p w14:paraId="468FFDA3" w14:textId="77777777" w:rsidR="00AE0598" w:rsidRDefault="0069255A">
      <w:pPr>
        <w:spacing w:before="2"/>
        <w:ind w:left="430" w:right="127" w:hanging="320"/>
        <w:jc w:val="both"/>
        <w:rPr>
          <w:sz w:val="17"/>
        </w:rPr>
      </w:pPr>
      <w:r>
        <w:rPr>
          <w:color w:val="231F20"/>
          <w:sz w:val="17"/>
        </w:rPr>
        <w:t>Melnick, M.J. and Jackson, S.J. (2002) Globalization American-style and reference idol</w:t>
      </w:r>
      <w:r>
        <w:rPr>
          <w:color w:val="231F20"/>
          <w:spacing w:val="40"/>
          <w:sz w:val="17"/>
        </w:rPr>
        <w:t xml:space="preserve"> </w:t>
      </w:r>
      <w:r>
        <w:rPr>
          <w:color w:val="231F20"/>
          <w:sz w:val="17"/>
        </w:rPr>
        <w:t>selection: The importance of athlete celebrity others among New Zealand youth.</w:t>
      </w:r>
      <w:r>
        <w:rPr>
          <w:color w:val="231F20"/>
          <w:spacing w:val="40"/>
          <w:sz w:val="17"/>
        </w:rPr>
        <w:t xml:space="preserve"> </w:t>
      </w:r>
      <w:r>
        <w:rPr>
          <w:i/>
          <w:color w:val="231F20"/>
          <w:sz w:val="17"/>
        </w:rPr>
        <w:t xml:space="preserve">International Review for the Sociology of Sport </w:t>
      </w:r>
      <w:r>
        <w:rPr>
          <w:color w:val="231F20"/>
          <w:sz w:val="17"/>
        </w:rPr>
        <w:t>37 (3–4), 429–448.</w:t>
      </w:r>
    </w:p>
    <w:p w14:paraId="1D022890" w14:textId="77777777" w:rsidR="00AE0598" w:rsidRDefault="0069255A">
      <w:pPr>
        <w:spacing w:before="2"/>
        <w:ind w:left="430" w:right="127" w:hanging="320"/>
        <w:jc w:val="both"/>
        <w:rPr>
          <w:sz w:val="17"/>
        </w:rPr>
      </w:pPr>
      <w:r>
        <w:rPr>
          <w:color w:val="231F20"/>
          <w:sz w:val="17"/>
        </w:rPr>
        <w:t xml:space="preserve">Melnick, M.J. and Loy, </w:t>
      </w:r>
      <w:r>
        <w:rPr>
          <w:color w:val="231F20"/>
          <w:sz w:val="17"/>
        </w:rPr>
        <w:t>J.W. (1996) The effects of formal structure on leadership</w:t>
      </w:r>
      <w:r>
        <w:rPr>
          <w:color w:val="231F20"/>
          <w:spacing w:val="40"/>
          <w:sz w:val="17"/>
        </w:rPr>
        <w:t xml:space="preserve"> </w:t>
      </w:r>
      <w:r>
        <w:rPr>
          <w:color w:val="231F20"/>
          <w:sz w:val="17"/>
        </w:rPr>
        <w:t>recruitment: An analysis of team captaincy among New Zealand provincial rugby</w:t>
      </w:r>
      <w:r>
        <w:rPr>
          <w:color w:val="231F20"/>
          <w:spacing w:val="40"/>
          <w:sz w:val="17"/>
        </w:rPr>
        <w:t xml:space="preserve"> </w:t>
      </w:r>
      <w:r>
        <w:rPr>
          <w:color w:val="231F20"/>
          <w:sz w:val="17"/>
        </w:rPr>
        <w:t xml:space="preserve">teams. </w:t>
      </w:r>
      <w:r>
        <w:rPr>
          <w:i/>
          <w:color w:val="231F20"/>
          <w:sz w:val="17"/>
        </w:rPr>
        <w:t xml:space="preserve">International Review for the Sociology of Sport </w:t>
      </w:r>
      <w:r>
        <w:rPr>
          <w:color w:val="231F20"/>
          <w:sz w:val="17"/>
        </w:rPr>
        <w:t>31 (1), 91–107.</w:t>
      </w:r>
    </w:p>
    <w:p w14:paraId="76DAE7B0" w14:textId="77777777" w:rsidR="00AE0598" w:rsidRDefault="0069255A">
      <w:pPr>
        <w:spacing w:before="2"/>
        <w:ind w:left="430" w:right="128" w:hanging="320"/>
        <w:jc w:val="both"/>
        <w:rPr>
          <w:sz w:val="17"/>
        </w:rPr>
      </w:pPr>
      <w:r>
        <w:rPr>
          <w:color w:val="231F20"/>
          <w:sz w:val="17"/>
        </w:rPr>
        <w:t>Melnick, M.J. and Thomson, R.W. (1996) Segregatio</w:t>
      </w:r>
      <w:r>
        <w:rPr>
          <w:color w:val="231F20"/>
          <w:sz w:val="17"/>
        </w:rPr>
        <w:t>n in New Zealand rugby football: A</w:t>
      </w:r>
      <w:r>
        <w:rPr>
          <w:color w:val="231F20"/>
          <w:spacing w:val="40"/>
          <w:sz w:val="17"/>
        </w:rPr>
        <w:t xml:space="preserve"> </w:t>
      </w:r>
      <w:r>
        <w:rPr>
          <w:color w:val="231F20"/>
          <w:w w:val="95"/>
          <w:sz w:val="17"/>
        </w:rPr>
        <w:t xml:space="preserve">test of the anglocentric hypothesis. </w:t>
      </w:r>
      <w:r>
        <w:rPr>
          <w:i/>
          <w:color w:val="231F20"/>
          <w:w w:val="95"/>
          <w:sz w:val="17"/>
        </w:rPr>
        <w:t xml:space="preserve">International Journal of the History of Sport </w:t>
      </w:r>
      <w:r>
        <w:rPr>
          <w:color w:val="231F20"/>
          <w:w w:val="95"/>
          <w:sz w:val="17"/>
        </w:rPr>
        <w:t>31 (2),</w:t>
      </w:r>
      <w:r>
        <w:rPr>
          <w:color w:val="231F20"/>
          <w:spacing w:val="40"/>
          <w:sz w:val="17"/>
        </w:rPr>
        <w:t xml:space="preserve"> </w:t>
      </w:r>
      <w:r>
        <w:rPr>
          <w:color w:val="231F20"/>
          <w:spacing w:val="-2"/>
          <w:sz w:val="17"/>
        </w:rPr>
        <w:t>139–154.</w:t>
      </w:r>
    </w:p>
    <w:p w14:paraId="46F740CD" w14:textId="77777777" w:rsidR="00AE0598" w:rsidRDefault="0069255A">
      <w:pPr>
        <w:spacing w:before="2"/>
        <w:ind w:left="110"/>
        <w:jc w:val="both"/>
        <w:rPr>
          <w:sz w:val="17"/>
        </w:rPr>
      </w:pPr>
      <w:r>
        <w:rPr>
          <w:color w:val="231F20"/>
          <w:sz w:val="17"/>
        </w:rPr>
        <w:t>Melo,</w:t>
      </w:r>
      <w:r>
        <w:rPr>
          <w:color w:val="231F20"/>
          <w:spacing w:val="2"/>
          <w:sz w:val="17"/>
        </w:rPr>
        <w:t xml:space="preserve"> </w:t>
      </w:r>
      <w:r>
        <w:rPr>
          <w:color w:val="231F20"/>
          <w:sz w:val="17"/>
        </w:rPr>
        <w:t>R.</w:t>
      </w:r>
      <w:r>
        <w:rPr>
          <w:color w:val="231F20"/>
          <w:spacing w:val="2"/>
          <w:sz w:val="17"/>
        </w:rPr>
        <w:t xml:space="preserve"> </w:t>
      </w:r>
      <w:r>
        <w:rPr>
          <w:color w:val="231F20"/>
          <w:sz w:val="17"/>
        </w:rPr>
        <w:t>and</w:t>
      </w:r>
      <w:r>
        <w:rPr>
          <w:color w:val="231F20"/>
          <w:spacing w:val="2"/>
          <w:sz w:val="17"/>
        </w:rPr>
        <w:t xml:space="preserve"> </w:t>
      </w:r>
      <w:r>
        <w:rPr>
          <w:color w:val="231F20"/>
          <w:sz w:val="17"/>
        </w:rPr>
        <w:t>Sobry,</w:t>
      </w:r>
      <w:r>
        <w:rPr>
          <w:color w:val="231F20"/>
          <w:spacing w:val="2"/>
          <w:sz w:val="17"/>
        </w:rPr>
        <w:t xml:space="preserve"> </w:t>
      </w:r>
      <w:r>
        <w:rPr>
          <w:color w:val="231F20"/>
          <w:sz w:val="17"/>
        </w:rPr>
        <w:t>C.</w:t>
      </w:r>
      <w:r>
        <w:rPr>
          <w:color w:val="231F20"/>
          <w:spacing w:val="2"/>
          <w:sz w:val="17"/>
        </w:rPr>
        <w:t xml:space="preserve"> </w:t>
      </w:r>
      <w:r>
        <w:rPr>
          <w:color w:val="231F20"/>
          <w:sz w:val="17"/>
        </w:rPr>
        <w:t>(eds)</w:t>
      </w:r>
      <w:r>
        <w:rPr>
          <w:color w:val="231F20"/>
          <w:spacing w:val="2"/>
          <w:sz w:val="17"/>
        </w:rPr>
        <w:t xml:space="preserve"> </w:t>
      </w:r>
      <w:r>
        <w:rPr>
          <w:color w:val="231F20"/>
          <w:sz w:val="17"/>
        </w:rPr>
        <w:t>(2017)</w:t>
      </w:r>
      <w:r>
        <w:rPr>
          <w:color w:val="231F20"/>
          <w:spacing w:val="3"/>
          <w:sz w:val="17"/>
        </w:rPr>
        <w:t xml:space="preserve"> </w:t>
      </w:r>
      <w:r>
        <w:rPr>
          <w:i/>
          <w:color w:val="231F20"/>
          <w:sz w:val="17"/>
        </w:rPr>
        <w:t>Sport</w:t>
      </w:r>
      <w:r>
        <w:rPr>
          <w:i/>
          <w:color w:val="231F20"/>
          <w:spacing w:val="2"/>
          <w:sz w:val="17"/>
        </w:rPr>
        <w:t xml:space="preserve"> </w:t>
      </w:r>
      <w:r>
        <w:rPr>
          <w:i/>
          <w:color w:val="231F20"/>
          <w:sz w:val="17"/>
        </w:rPr>
        <w:t>Tourism:</w:t>
      </w:r>
      <w:r>
        <w:rPr>
          <w:i/>
          <w:color w:val="231F20"/>
          <w:spacing w:val="2"/>
          <w:sz w:val="17"/>
        </w:rPr>
        <w:t xml:space="preserve"> </w:t>
      </w:r>
      <w:r>
        <w:rPr>
          <w:i/>
          <w:color w:val="231F20"/>
          <w:sz w:val="17"/>
        </w:rPr>
        <w:t>New</w:t>
      </w:r>
      <w:r>
        <w:rPr>
          <w:i/>
          <w:color w:val="231F20"/>
          <w:spacing w:val="2"/>
          <w:sz w:val="17"/>
        </w:rPr>
        <w:t xml:space="preserve"> </w:t>
      </w:r>
      <w:r>
        <w:rPr>
          <w:i/>
          <w:color w:val="231F20"/>
          <w:sz w:val="17"/>
        </w:rPr>
        <w:t>Challenges</w:t>
      </w:r>
      <w:r>
        <w:rPr>
          <w:i/>
          <w:color w:val="231F20"/>
          <w:spacing w:val="2"/>
          <w:sz w:val="17"/>
        </w:rPr>
        <w:t xml:space="preserve"> </w:t>
      </w:r>
      <w:r>
        <w:rPr>
          <w:i/>
          <w:color w:val="231F20"/>
          <w:sz w:val="17"/>
        </w:rPr>
        <w:t>in</w:t>
      </w:r>
      <w:r>
        <w:rPr>
          <w:i/>
          <w:color w:val="231F20"/>
          <w:spacing w:val="2"/>
          <w:sz w:val="17"/>
        </w:rPr>
        <w:t xml:space="preserve"> </w:t>
      </w:r>
      <w:r>
        <w:rPr>
          <w:i/>
          <w:color w:val="231F20"/>
          <w:sz w:val="17"/>
        </w:rPr>
        <w:t>a</w:t>
      </w:r>
      <w:r>
        <w:rPr>
          <w:i/>
          <w:color w:val="231F20"/>
          <w:spacing w:val="2"/>
          <w:sz w:val="17"/>
        </w:rPr>
        <w:t xml:space="preserve"> </w:t>
      </w:r>
      <w:r>
        <w:rPr>
          <w:i/>
          <w:color w:val="231F20"/>
          <w:sz w:val="17"/>
        </w:rPr>
        <w:t>Globalized</w:t>
      </w:r>
      <w:r>
        <w:rPr>
          <w:i/>
          <w:color w:val="231F20"/>
          <w:spacing w:val="2"/>
          <w:sz w:val="17"/>
        </w:rPr>
        <w:t xml:space="preserve"> </w:t>
      </w:r>
      <w:r>
        <w:rPr>
          <w:i/>
          <w:color w:val="231F20"/>
          <w:spacing w:val="-2"/>
          <w:sz w:val="17"/>
        </w:rPr>
        <w:t>World</w:t>
      </w:r>
      <w:r>
        <w:rPr>
          <w:color w:val="231F20"/>
          <w:spacing w:val="-2"/>
          <w:sz w:val="17"/>
        </w:rPr>
        <w:t>.</w:t>
      </w:r>
    </w:p>
    <w:p w14:paraId="167DC7AD" w14:textId="77777777" w:rsidR="00AE0598" w:rsidRDefault="0069255A">
      <w:pPr>
        <w:spacing w:before="1"/>
        <w:ind w:left="430"/>
        <w:jc w:val="both"/>
        <w:rPr>
          <w:sz w:val="17"/>
        </w:rPr>
      </w:pPr>
      <w:r>
        <w:rPr>
          <w:color w:val="231F20"/>
          <w:w w:val="95"/>
          <w:sz w:val="17"/>
        </w:rPr>
        <w:t>Newcastle</w:t>
      </w:r>
      <w:r>
        <w:rPr>
          <w:color w:val="231F20"/>
          <w:spacing w:val="19"/>
          <w:sz w:val="17"/>
        </w:rPr>
        <w:t xml:space="preserve"> </w:t>
      </w:r>
      <w:r>
        <w:rPr>
          <w:color w:val="231F20"/>
          <w:w w:val="95"/>
          <w:sz w:val="17"/>
        </w:rPr>
        <w:t>upon</w:t>
      </w:r>
      <w:r>
        <w:rPr>
          <w:color w:val="231F20"/>
          <w:spacing w:val="20"/>
          <w:sz w:val="17"/>
        </w:rPr>
        <w:t xml:space="preserve"> </w:t>
      </w:r>
      <w:r>
        <w:rPr>
          <w:color w:val="231F20"/>
          <w:w w:val="95"/>
          <w:sz w:val="17"/>
        </w:rPr>
        <w:t>Tyne:</w:t>
      </w:r>
      <w:r>
        <w:rPr>
          <w:color w:val="231F20"/>
          <w:spacing w:val="19"/>
          <w:sz w:val="17"/>
        </w:rPr>
        <w:t xml:space="preserve"> </w:t>
      </w:r>
      <w:r>
        <w:rPr>
          <w:color w:val="231F20"/>
          <w:w w:val="95"/>
          <w:sz w:val="17"/>
        </w:rPr>
        <w:t>Cambridge</w:t>
      </w:r>
      <w:r>
        <w:rPr>
          <w:color w:val="231F20"/>
          <w:spacing w:val="20"/>
          <w:sz w:val="17"/>
        </w:rPr>
        <w:t xml:space="preserve"> </w:t>
      </w:r>
      <w:r>
        <w:rPr>
          <w:color w:val="231F20"/>
          <w:w w:val="95"/>
          <w:sz w:val="17"/>
        </w:rPr>
        <w:t>Scholars</w:t>
      </w:r>
      <w:r>
        <w:rPr>
          <w:color w:val="231F20"/>
          <w:spacing w:val="20"/>
          <w:sz w:val="17"/>
        </w:rPr>
        <w:t xml:space="preserve"> </w:t>
      </w:r>
      <w:r>
        <w:rPr>
          <w:color w:val="231F20"/>
          <w:spacing w:val="-2"/>
          <w:w w:val="95"/>
          <w:sz w:val="17"/>
        </w:rPr>
        <w:t>Publishing.</w:t>
      </w:r>
    </w:p>
    <w:p w14:paraId="7261EB19" w14:textId="77777777" w:rsidR="00AE0598" w:rsidRDefault="0069255A">
      <w:pPr>
        <w:ind w:left="430" w:right="127" w:hanging="320"/>
        <w:jc w:val="both"/>
        <w:rPr>
          <w:sz w:val="17"/>
        </w:rPr>
      </w:pPr>
      <w:r>
        <w:rPr>
          <w:color w:val="231F20"/>
          <w:sz w:val="17"/>
        </w:rPr>
        <w:t>Merkel, U., Lines, G. and McDonald, I. (1998) The production and consumption of sport</w:t>
      </w:r>
      <w:r>
        <w:rPr>
          <w:color w:val="231F20"/>
          <w:spacing w:val="40"/>
          <w:sz w:val="17"/>
        </w:rPr>
        <w:t xml:space="preserve"> </w:t>
      </w:r>
      <w:r>
        <w:rPr>
          <w:color w:val="231F20"/>
          <w:sz w:val="17"/>
        </w:rPr>
        <w:t xml:space="preserve">cultures: Introduction. In U. Merkel, G. Lines and I. McDonald (eds) </w:t>
      </w:r>
      <w:r>
        <w:rPr>
          <w:i/>
          <w:color w:val="231F20"/>
          <w:sz w:val="17"/>
        </w:rPr>
        <w:t>The Production</w:t>
      </w:r>
      <w:r>
        <w:rPr>
          <w:i/>
          <w:color w:val="231F20"/>
          <w:spacing w:val="40"/>
          <w:sz w:val="17"/>
        </w:rPr>
        <w:t xml:space="preserve"> </w:t>
      </w:r>
      <w:r>
        <w:rPr>
          <w:i/>
          <w:color w:val="231F20"/>
          <w:sz w:val="17"/>
        </w:rPr>
        <w:t>and Consumption of Sport Cultures: Leisure, Culture and</w:t>
      </w:r>
      <w:r>
        <w:rPr>
          <w:i/>
          <w:color w:val="231F20"/>
          <w:sz w:val="17"/>
        </w:rPr>
        <w:t xml:space="preserve"> Commerce </w:t>
      </w:r>
      <w:r>
        <w:rPr>
          <w:color w:val="231F20"/>
          <w:sz w:val="17"/>
        </w:rPr>
        <w:t>(Vol. Publication</w:t>
      </w:r>
      <w:r>
        <w:rPr>
          <w:color w:val="231F20"/>
          <w:spacing w:val="40"/>
          <w:sz w:val="17"/>
        </w:rPr>
        <w:t xml:space="preserve"> </w:t>
      </w:r>
      <w:r>
        <w:rPr>
          <w:color w:val="231F20"/>
          <w:sz w:val="17"/>
        </w:rPr>
        <w:t>No. 62; pp. v–xvi). Eastbourne: Leisure Studies Association.</w:t>
      </w:r>
    </w:p>
    <w:p w14:paraId="31850137" w14:textId="77777777" w:rsidR="00AE0598" w:rsidRDefault="0069255A">
      <w:pPr>
        <w:spacing w:before="3"/>
        <w:ind w:left="430" w:right="128" w:hanging="320"/>
        <w:jc w:val="both"/>
        <w:rPr>
          <w:sz w:val="17"/>
        </w:rPr>
      </w:pPr>
      <w:r>
        <w:rPr>
          <w:color w:val="231F20"/>
          <w:sz w:val="17"/>
        </w:rPr>
        <w:t>Metcalfe, A. (1993) The development of sporting facilities: A case study of East</w:t>
      </w:r>
      <w:r>
        <w:rPr>
          <w:color w:val="231F20"/>
          <w:spacing w:val="40"/>
          <w:sz w:val="17"/>
        </w:rPr>
        <w:t xml:space="preserve"> </w:t>
      </w:r>
      <w:r>
        <w:rPr>
          <w:color w:val="231F20"/>
          <w:sz w:val="17"/>
        </w:rPr>
        <w:t xml:space="preserve">Northumberland, England, 1850–1914. </w:t>
      </w:r>
      <w:r>
        <w:rPr>
          <w:i/>
          <w:color w:val="231F20"/>
          <w:sz w:val="17"/>
        </w:rPr>
        <w:t>International Review for the Sociology of</w:t>
      </w:r>
      <w:r>
        <w:rPr>
          <w:i/>
          <w:color w:val="231F20"/>
          <w:spacing w:val="40"/>
          <w:sz w:val="17"/>
        </w:rPr>
        <w:t xml:space="preserve"> </w:t>
      </w:r>
      <w:r>
        <w:rPr>
          <w:i/>
          <w:color w:val="231F20"/>
          <w:sz w:val="17"/>
        </w:rPr>
        <w:t xml:space="preserve">Sport </w:t>
      </w:r>
      <w:r>
        <w:rPr>
          <w:color w:val="231F20"/>
          <w:sz w:val="17"/>
        </w:rPr>
        <w:t>28</w:t>
      </w:r>
      <w:r>
        <w:rPr>
          <w:color w:val="231F20"/>
          <w:sz w:val="17"/>
        </w:rPr>
        <w:t xml:space="preserve"> (2+3), 107–119.</w:t>
      </w:r>
    </w:p>
    <w:p w14:paraId="568C5A72" w14:textId="77777777" w:rsidR="00AE0598" w:rsidRDefault="0069255A">
      <w:pPr>
        <w:spacing w:before="2"/>
        <w:ind w:left="430" w:right="128" w:hanging="320"/>
        <w:jc w:val="both"/>
        <w:rPr>
          <w:sz w:val="17"/>
        </w:rPr>
      </w:pPr>
      <w:r>
        <w:rPr>
          <w:color w:val="231F20"/>
          <w:sz w:val="17"/>
        </w:rPr>
        <w:t>Meulen,</w:t>
      </w:r>
      <w:r>
        <w:rPr>
          <w:color w:val="231F20"/>
          <w:spacing w:val="40"/>
          <w:sz w:val="17"/>
        </w:rPr>
        <w:t xml:space="preserve"> </w:t>
      </w:r>
      <w:r>
        <w:rPr>
          <w:color w:val="231F20"/>
          <w:sz w:val="17"/>
        </w:rPr>
        <w:t>V.D.</w:t>
      </w:r>
      <w:r>
        <w:rPr>
          <w:color w:val="231F20"/>
          <w:spacing w:val="40"/>
          <w:sz w:val="17"/>
        </w:rPr>
        <w:t xml:space="preserve"> </w:t>
      </w:r>
      <w:r>
        <w:rPr>
          <w:color w:val="231F20"/>
          <w:sz w:val="17"/>
        </w:rPr>
        <w:t>and</w:t>
      </w:r>
      <w:r>
        <w:rPr>
          <w:color w:val="231F20"/>
          <w:spacing w:val="40"/>
          <w:sz w:val="17"/>
        </w:rPr>
        <w:t xml:space="preserve"> </w:t>
      </w:r>
      <w:r>
        <w:rPr>
          <w:color w:val="231F20"/>
          <w:sz w:val="17"/>
        </w:rPr>
        <w:t>Salman,</w:t>
      </w:r>
      <w:r>
        <w:rPr>
          <w:color w:val="231F20"/>
          <w:spacing w:val="40"/>
          <w:sz w:val="17"/>
        </w:rPr>
        <w:t xml:space="preserve"> </w:t>
      </w:r>
      <w:r>
        <w:rPr>
          <w:color w:val="231F20"/>
          <w:sz w:val="17"/>
        </w:rPr>
        <w:t>A.H.P.M.</w:t>
      </w:r>
      <w:r>
        <w:rPr>
          <w:color w:val="231F20"/>
          <w:spacing w:val="40"/>
          <w:sz w:val="17"/>
        </w:rPr>
        <w:t xml:space="preserve"> </w:t>
      </w:r>
      <w:r>
        <w:rPr>
          <w:color w:val="231F20"/>
          <w:sz w:val="17"/>
        </w:rPr>
        <w:t>(1996)</w:t>
      </w:r>
      <w:r>
        <w:rPr>
          <w:color w:val="231F20"/>
          <w:spacing w:val="40"/>
          <w:sz w:val="17"/>
        </w:rPr>
        <w:t xml:space="preserve"> </w:t>
      </w:r>
      <w:r>
        <w:rPr>
          <w:i/>
          <w:color w:val="231F20"/>
          <w:sz w:val="17"/>
        </w:rPr>
        <w:t>Management</w:t>
      </w:r>
      <w:r>
        <w:rPr>
          <w:i/>
          <w:color w:val="231F20"/>
          <w:spacing w:val="40"/>
          <w:sz w:val="17"/>
        </w:rPr>
        <w:t xml:space="preserve"> </w:t>
      </w:r>
      <w:r>
        <w:rPr>
          <w:i/>
          <w:color w:val="231F20"/>
          <w:sz w:val="17"/>
        </w:rPr>
        <w:t>of</w:t>
      </w:r>
      <w:r>
        <w:rPr>
          <w:i/>
          <w:color w:val="231F20"/>
          <w:spacing w:val="40"/>
          <w:sz w:val="17"/>
        </w:rPr>
        <w:t xml:space="preserve"> </w:t>
      </w:r>
      <w:r>
        <w:rPr>
          <w:i/>
          <w:color w:val="231F20"/>
          <w:sz w:val="17"/>
        </w:rPr>
        <w:t>Mediterranean</w:t>
      </w:r>
      <w:r>
        <w:rPr>
          <w:i/>
          <w:color w:val="231F20"/>
          <w:spacing w:val="40"/>
          <w:sz w:val="17"/>
        </w:rPr>
        <w:t xml:space="preserve"> </w:t>
      </w:r>
      <w:r>
        <w:rPr>
          <w:i/>
          <w:color w:val="231F20"/>
          <w:sz w:val="17"/>
        </w:rPr>
        <w:t>Coastal</w:t>
      </w:r>
      <w:r>
        <w:rPr>
          <w:i/>
          <w:color w:val="231F20"/>
          <w:spacing w:val="40"/>
          <w:sz w:val="17"/>
        </w:rPr>
        <w:t xml:space="preserve"> </w:t>
      </w:r>
      <w:r>
        <w:rPr>
          <w:i/>
          <w:color w:val="231F20"/>
          <w:sz w:val="17"/>
        </w:rPr>
        <w:t xml:space="preserve">Dunes. </w:t>
      </w:r>
      <w:r>
        <w:rPr>
          <w:color w:val="231F20"/>
          <w:sz w:val="17"/>
        </w:rPr>
        <w:t>Amsterdam: Department of Physical Geography, University of Amsterdam.</w:t>
      </w:r>
    </w:p>
    <w:p w14:paraId="61769B7B" w14:textId="77777777" w:rsidR="00AE0598" w:rsidRDefault="0069255A">
      <w:pPr>
        <w:spacing w:before="2"/>
        <w:ind w:left="430" w:right="128" w:hanging="320"/>
        <w:jc w:val="both"/>
        <w:rPr>
          <w:sz w:val="17"/>
        </w:rPr>
      </w:pPr>
      <w:r>
        <w:rPr>
          <w:color w:val="231F20"/>
          <w:sz w:val="17"/>
        </w:rPr>
        <w:t>Mihalik, B.J. and Simonetta, L. (1999) A midterm assessment of the host population’s</w:t>
      </w:r>
      <w:r>
        <w:rPr>
          <w:color w:val="231F20"/>
          <w:spacing w:val="40"/>
          <w:sz w:val="17"/>
        </w:rPr>
        <w:t xml:space="preserve"> </w:t>
      </w:r>
      <w:r>
        <w:rPr>
          <w:color w:val="231F20"/>
          <w:sz w:val="17"/>
        </w:rPr>
        <w:t>perceptions of the 1996 Summer Olympics: Support, attendance, benefits, and</w:t>
      </w:r>
      <w:r>
        <w:rPr>
          <w:color w:val="231F20"/>
          <w:spacing w:val="40"/>
          <w:sz w:val="17"/>
        </w:rPr>
        <w:t xml:space="preserve"> </w:t>
      </w:r>
      <w:r>
        <w:rPr>
          <w:color w:val="231F20"/>
          <w:sz w:val="17"/>
        </w:rPr>
        <w:t xml:space="preserve">liabilities. </w:t>
      </w:r>
      <w:r>
        <w:rPr>
          <w:i/>
          <w:color w:val="231F20"/>
          <w:sz w:val="17"/>
        </w:rPr>
        <w:t xml:space="preserve">Journal of Travel Research </w:t>
      </w:r>
      <w:r>
        <w:rPr>
          <w:color w:val="231F20"/>
          <w:sz w:val="17"/>
        </w:rPr>
        <w:t>37 (3), 244–248.</w:t>
      </w:r>
    </w:p>
    <w:p w14:paraId="1E37B63F" w14:textId="77777777" w:rsidR="00AE0598" w:rsidRDefault="0069255A">
      <w:pPr>
        <w:spacing w:before="2"/>
        <w:ind w:left="430" w:right="128" w:hanging="320"/>
        <w:jc w:val="both"/>
        <w:rPr>
          <w:sz w:val="17"/>
        </w:rPr>
      </w:pPr>
      <w:r>
        <w:rPr>
          <w:color w:val="231F20"/>
          <w:sz w:val="17"/>
        </w:rPr>
        <w:t xml:space="preserve">Millington, K., Locke, T. and Locke, A. (2001) Adventure travel. </w:t>
      </w:r>
      <w:r>
        <w:rPr>
          <w:i/>
          <w:color w:val="231F20"/>
          <w:sz w:val="17"/>
        </w:rPr>
        <w:t>Travel and Tourism</w:t>
      </w:r>
      <w:r>
        <w:rPr>
          <w:i/>
          <w:color w:val="231F20"/>
          <w:spacing w:val="40"/>
          <w:sz w:val="17"/>
        </w:rPr>
        <w:t xml:space="preserve"> </w:t>
      </w:r>
      <w:r>
        <w:rPr>
          <w:i/>
          <w:color w:val="231F20"/>
          <w:sz w:val="17"/>
        </w:rPr>
        <w:t xml:space="preserve">Analyst </w:t>
      </w:r>
      <w:r>
        <w:rPr>
          <w:color w:val="231F20"/>
          <w:sz w:val="17"/>
        </w:rPr>
        <w:t>4, 65–97.</w:t>
      </w:r>
    </w:p>
    <w:p w14:paraId="5A574C54" w14:textId="77777777" w:rsidR="00AE0598" w:rsidRDefault="0069255A">
      <w:pPr>
        <w:spacing w:before="1"/>
        <w:ind w:left="430" w:right="128" w:hanging="320"/>
        <w:jc w:val="both"/>
        <w:rPr>
          <w:sz w:val="17"/>
        </w:rPr>
      </w:pPr>
      <w:r>
        <w:rPr>
          <w:color w:val="231F20"/>
          <w:w w:val="95"/>
          <w:sz w:val="17"/>
        </w:rPr>
        <w:t>Milne, S. and Ateljevic, I. (2004) Tourism economic development and the global–local nexus.</w:t>
      </w:r>
      <w:r>
        <w:rPr>
          <w:color w:val="231F20"/>
          <w:spacing w:val="40"/>
          <w:sz w:val="17"/>
        </w:rPr>
        <w:t xml:space="preserve"> </w:t>
      </w:r>
      <w:r>
        <w:rPr>
          <w:color w:val="231F20"/>
          <w:sz w:val="17"/>
        </w:rPr>
        <w:t xml:space="preserve">In S. Williams (ed.) </w:t>
      </w:r>
      <w:r>
        <w:rPr>
          <w:i/>
          <w:color w:val="231F20"/>
          <w:sz w:val="17"/>
        </w:rPr>
        <w:t xml:space="preserve">Tourism: Critical Concepts in the Social Sciences </w:t>
      </w:r>
      <w:r>
        <w:rPr>
          <w:color w:val="231F20"/>
          <w:sz w:val="17"/>
        </w:rPr>
        <w:t>(pp. 81–103).</w:t>
      </w:r>
      <w:r>
        <w:rPr>
          <w:color w:val="231F20"/>
          <w:spacing w:val="40"/>
          <w:sz w:val="17"/>
        </w:rPr>
        <w:t xml:space="preserve"> </w:t>
      </w:r>
      <w:r>
        <w:rPr>
          <w:color w:val="231F20"/>
          <w:sz w:val="17"/>
        </w:rPr>
        <w:t>London: Routledge.</w:t>
      </w:r>
    </w:p>
    <w:p w14:paraId="62180A41" w14:textId="77777777" w:rsidR="00AE0598" w:rsidRDefault="00AE0598">
      <w:pPr>
        <w:jc w:val="both"/>
        <w:rPr>
          <w:sz w:val="17"/>
        </w:rPr>
        <w:sectPr w:rsidR="00AE0598">
          <w:pgSz w:w="8850" w:h="13270"/>
          <w:pgMar w:top="720" w:right="1060" w:bottom="280" w:left="1080" w:header="720" w:footer="720" w:gutter="0"/>
          <w:cols w:space="720"/>
        </w:sectPr>
      </w:pPr>
    </w:p>
    <w:p w14:paraId="4F4E545A" w14:textId="77777777" w:rsidR="00AE0598" w:rsidRDefault="0069255A">
      <w:pPr>
        <w:spacing w:before="87"/>
        <w:ind w:left="108"/>
        <w:rPr>
          <w:rFonts w:ascii="Trebuchet MS"/>
          <w:sz w:val="14"/>
        </w:rPr>
      </w:pPr>
      <w:r>
        <w:rPr>
          <w:rFonts w:ascii="Trebuchet MS"/>
          <w:color w:val="231F20"/>
          <w:w w:val="105"/>
          <w:sz w:val="14"/>
        </w:rPr>
        <w:lastRenderedPageBreak/>
        <w:t>264</w:t>
      </w:r>
      <w:r>
        <w:rPr>
          <w:rFonts w:ascii="Trebuchet MS"/>
          <w:color w:val="231F20"/>
          <w:spacing w:val="78"/>
          <w:w w:val="150"/>
          <w:sz w:val="14"/>
        </w:rPr>
        <w:t xml:space="preserve"> </w:t>
      </w:r>
      <w:r>
        <w:rPr>
          <w:rFonts w:ascii="Trebuchet MS"/>
          <w:color w:val="231F20"/>
          <w:spacing w:val="-2"/>
          <w:w w:val="105"/>
          <w:sz w:val="14"/>
        </w:rPr>
        <w:t>References</w:t>
      </w:r>
    </w:p>
    <w:p w14:paraId="0B06DA63" w14:textId="77777777" w:rsidR="00AE0598" w:rsidRDefault="00AE0598">
      <w:pPr>
        <w:pStyle w:val="Corpodetexto"/>
        <w:rPr>
          <w:rFonts w:ascii="Trebuchet MS"/>
          <w:sz w:val="16"/>
        </w:rPr>
      </w:pPr>
    </w:p>
    <w:p w14:paraId="20F4CBB4" w14:textId="77777777" w:rsidR="00AE0598" w:rsidRDefault="0069255A">
      <w:pPr>
        <w:spacing w:before="121"/>
        <w:ind w:left="430" w:right="286" w:hanging="320"/>
        <w:rPr>
          <w:sz w:val="17"/>
        </w:rPr>
      </w:pPr>
      <w:r>
        <w:rPr>
          <w:color w:val="231F20"/>
          <w:sz w:val="17"/>
        </w:rPr>
        <w:t>Minnaert, L., Maitland, R. and Miller, G. (2009) Tourism and social policy: The value of</w:t>
      </w:r>
      <w:r>
        <w:rPr>
          <w:color w:val="231F20"/>
          <w:spacing w:val="40"/>
          <w:sz w:val="17"/>
        </w:rPr>
        <w:t xml:space="preserve"> </w:t>
      </w:r>
      <w:r>
        <w:rPr>
          <w:color w:val="231F20"/>
          <w:sz w:val="17"/>
        </w:rPr>
        <w:t xml:space="preserve">social tourism. </w:t>
      </w:r>
      <w:r>
        <w:rPr>
          <w:i/>
          <w:color w:val="231F20"/>
          <w:sz w:val="17"/>
        </w:rPr>
        <w:t xml:space="preserve">Annals of Tourism Research </w:t>
      </w:r>
      <w:r>
        <w:rPr>
          <w:color w:val="231F20"/>
          <w:sz w:val="17"/>
        </w:rPr>
        <w:t>36 (2), 316–334.</w:t>
      </w:r>
    </w:p>
    <w:p w14:paraId="6A3773A8" w14:textId="77777777" w:rsidR="00AE0598" w:rsidRDefault="0069255A">
      <w:pPr>
        <w:spacing w:before="1"/>
        <w:ind w:left="110"/>
        <w:rPr>
          <w:sz w:val="17"/>
        </w:rPr>
      </w:pPr>
      <w:r>
        <w:rPr>
          <w:color w:val="231F20"/>
          <w:w w:val="95"/>
          <w:sz w:val="17"/>
        </w:rPr>
        <w:t>Miossec,</w:t>
      </w:r>
      <w:r>
        <w:rPr>
          <w:color w:val="231F20"/>
          <w:spacing w:val="14"/>
          <w:sz w:val="17"/>
        </w:rPr>
        <w:t xml:space="preserve"> </w:t>
      </w:r>
      <w:r>
        <w:rPr>
          <w:color w:val="231F20"/>
          <w:w w:val="95"/>
          <w:sz w:val="17"/>
        </w:rPr>
        <w:t>J.M.</w:t>
      </w:r>
      <w:r>
        <w:rPr>
          <w:color w:val="231F20"/>
          <w:spacing w:val="15"/>
          <w:sz w:val="17"/>
        </w:rPr>
        <w:t xml:space="preserve"> </w:t>
      </w:r>
      <w:r>
        <w:rPr>
          <w:color w:val="231F20"/>
          <w:w w:val="95"/>
          <w:sz w:val="17"/>
        </w:rPr>
        <w:t>(1977)</w:t>
      </w:r>
      <w:r>
        <w:rPr>
          <w:color w:val="231F20"/>
          <w:spacing w:val="15"/>
          <w:sz w:val="17"/>
        </w:rPr>
        <w:t xml:space="preserve"> </w:t>
      </w:r>
      <w:r>
        <w:rPr>
          <w:color w:val="231F20"/>
          <w:w w:val="95"/>
          <w:sz w:val="17"/>
        </w:rPr>
        <w:t>L’image</w:t>
      </w:r>
      <w:r>
        <w:rPr>
          <w:color w:val="231F20"/>
          <w:spacing w:val="15"/>
          <w:sz w:val="17"/>
        </w:rPr>
        <w:t xml:space="preserve"> </w:t>
      </w:r>
      <w:r>
        <w:rPr>
          <w:color w:val="231F20"/>
          <w:w w:val="95"/>
          <w:sz w:val="17"/>
        </w:rPr>
        <w:t>touristique</w:t>
      </w:r>
      <w:r>
        <w:rPr>
          <w:color w:val="231F20"/>
          <w:spacing w:val="14"/>
          <w:sz w:val="17"/>
        </w:rPr>
        <w:t xml:space="preserve"> </w:t>
      </w:r>
      <w:r>
        <w:rPr>
          <w:color w:val="231F20"/>
          <w:w w:val="95"/>
          <w:sz w:val="17"/>
        </w:rPr>
        <w:t>comme</w:t>
      </w:r>
      <w:r>
        <w:rPr>
          <w:color w:val="231F20"/>
          <w:spacing w:val="15"/>
          <w:sz w:val="17"/>
        </w:rPr>
        <w:t xml:space="preserve"> </w:t>
      </w:r>
      <w:r>
        <w:rPr>
          <w:color w:val="231F20"/>
          <w:w w:val="95"/>
          <w:sz w:val="17"/>
        </w:rPr>
        <w:t>introduction</w:t>
      </w:r>
      <w:r>
        <w:rPr>
          <w:color w:val="231F20"/>
          <w:spacing w:val="15"/>
          <w:sz w:val="17"/>
        </w:rPr>
        <w:t xml:space="preserve"> </w:t>
      </w:r>
      <w:r>
        <w:rPr>
          <w:color w:val="231F20"/>
          <w:w w:val="95"/>
          <w:sz w:val="17"/>
        </w:rPr>
        <w:t>ý</w:t>
      </w:r>
      <w:r>
        <w:rPr>
          <w:color w:val="231F20"/>
          <w:spacing w:val="15"/>
          <w:sz w:val="17"/>
        </w:rPr>
        <w:t xml:space="preserve"> </w:t>
      </w:r>
      <w:r>
        <w:rPr>
          <w:color w:val="231F20"/>
          <w:w w:val="95"/>
          <w:sz w:val="17"/>
        </w:rPr>
        <w:t>la</w:t>
      </w:r>
      <w:r>
        <w:rPr>
          <w:color w:val="231F20"/>
          <w:spacing w:val="15"/>
          <w:sz w:val="17"/>
        </w:rPr>
        <w:t xml:space="preserve"> </w:t>
      </w:r>
      <w:r>
        <w:rPr>
          <w:color w:val="231F20"/>
          <w:w w:val="95"/>
          <w:sz w:val="17"/>
        </w:rPr>
        <w:t>gÈographie</w:t>
      </w:r>
      <w:r>
        <w:rPr>
          <w:color w:val="231F20"/>
          <w:spacing w:val="14"/>
          <w:sz w:val="17"/>
        </w:rPr>
        <w:t xml:space="preserve"> </w:t>
      </w:r>
      <w:r>
        <w:rPr>
          <w:color w:val="231F20"/>
          <w:w w:val="95"/>
          <w:sz w:val="17"/>
        </w:rPr>
        <w:t>du</w:t>
      </w:r>
      <w:r>
        <w:rPr>
          <w:color w:val="231F20"/>
          <w:spacing w:val="15"/>
          <w:sz w:val="17"/>
        </w:rPr>
        <w:t xml:space="preserve"> </w:t>
      </w:r>
      <w:r>
        <w:rPr>
          <w:color w:val="231F20"/>
          <w:spacing w:val="-2"/>
          <w:w w:val="95"/>
          <w:sz w:val="17"/>
        </w:rPr>
        <w:t>tourisme.</w:t>
      </w:r>
    </w:p>
    <w:p w14:paraId="6C5CE7DE" w14:textId="77777777" w:rsidR="00AE0598" w:rsidRDefault="0069255A">
      <w:pPr>
        <w:spacing w:before="1"/>
        <w:ind w:left="430"/>
        <w:rPr>
          <w:sz w:val="17"/>
        </w:rPr>
      </w:pPr>
      <w:r>
        <w:rPr>
          <w:i/>
          <w:color w:val="231F20"/>
          <w:sz w:val="17"/>
        </w:rPr>
        <w:t>Annales</w:t>
      </w:r>
      <w:r>
        <w:rPr>
          <w:i/>
          <w:color w:val="231F20"/>
          <w:spacing w:val="5"/>
          <w:sz w:val="17"/>
        </w:rPr>
        <w:t xml:space="preserve"> </w:t>
      </w:r>
      <w:r>
        <w:rPr>
          <w:i/>
          <w:color w:val="231F20"/>
          <w:sz w:val="17"/>
        </w:rPr>
        <w:t>de</w:t>
      </w:r>
      <w:r>
        <w:rPr>
          <w:i/>
          <w:color w:val="231F20"/>
          <w:spacing w:val="5"/>
          <w:sz w:val="17"/>
        </w:rPr>
        <w:t xml:space="preserve"> </w:t>
      </w:r>
      <w:r>
        <w:rPr>
          <w:i/>
          <w:color w:val="231F20"/>
          <w:sz w:val="17"/>
        </w:rPr>
        <w:t>gÈographie</w:t>
      </w:r>
      <w:r>
        <w:rPr>
          <w:i/>
          <w:color w:val="231F20"/>
          <w:spacing w:val="5"/>
          <w:sz w:val="17"/>
        </w:rPr>
        <w:t xml:space="preserve"> </w:t>
      </w:r>
      <w:r>
        <w:rPr>
          <w:color w:val="231F20"/>
          <w:sz w:val="17"/>
        </w:rPr>
        <w:t>86,</w:t>
      </w:r>
      <w:r>
        <w:rPr>
          <w:color w:val="231F20"/>
          <w:spacing w:val="5"/>
          <w:sz w:val="17"/>
        </w:rPr>
        <w:t xml:space="preserve"> </w:t>
      </w:r>
      <w:r>
        <w:rPr>
          <w:color w:val="231F20"/>
          <w:spacing w:val="-4"/>
          <w:sz w:val="17"/>
        </w:rPr>
        <w:t>473.</w:t>
      </w:r>
    </w:p>
    <w:p w14:paraId="433828CF" w14:textId="77777777" w:rsidR="00AE0598" w:rsidRDefault="0069255A">
      <w:pPr>
        <w:spacing w:before="1"/>
        <w:ind w:left="430" w:hanging="320"/>
        <w:rPr>
          <w:sz w:val="17"/>
        </w:rPr>
      </w:pPr>
      <w:r>
        <w:rPr>
          <w:color w:val="231F20"/>
          <w:sz w:val="17"/>
        </w:rPr>
        <w:t xml:space="preserve">Miranda-Juan Andueza, </w:t>
      </w:r>
      <w:r>
        <w:rPr>
          <w:color w:val="231F20"/>
          <w:w w:val="105"/>
          <w:sz w:val="17"/>
        </w:rPr>
        <w:t xml:space="preserve">J. </w:t>
      </w:r>
      <w:r>
        <w:rPr>
          <w:color w:val="231F20"/>
          <w:sz w:val="17"/>
        </w:rPr>
        <w:t>(1997) The role of sport in the tourism destinations chosen by</w:t>
      </w:r>
      <w:r>
        <w:rPr>
          <w:color w:val="231F20"/>
          <w:spacing w:val="40"/>
          <w:sz w:val="17"/>
        </w:rPr>
        <w:t xml:space="preserve"> </w:t>
      </w:r>
      <w:r>
        <w:rPr>
          <w:color w:val="231F20"/>
          <w:sz w:val="17"/>
        </w:rPr>
        <w:t xml:space="preserve">tourists visiting Spain. </w:t>
      </w:r>
      <w:r>
        <w:rPr>
          <w:i/>
          <w:color w:val="231F20"/>
          <w:sz w:val="17"/>
        </w:rPr>
        <w:t xml:space="preserve">Journal of Sport Tourism </w:t>
      </w:r>
      <w:r>
        <w:rPr>
          <w:color w:val="231F20"/>
          <w:sz w:val="17"/>
        </w:rPr>
        <w:t>4 (3), 5–25.</w:t>
      </w:r>
    </w:p>
    <w:p w14:paraId="5C825C19" w14:textId="77777777" w:rsidR="00AE0598" w:rsidRDefault="0069255A">
      <w:pPr>
        <w:spacing w:before="1"/>
        <w:ind w:left="430" w:hanging="320"/>
        <w:rPr>
          <w:sz w:val="17"/>
        </w:rPr>
      </w:pPr>
      <w:r>
        <w:rPr>
          <w:color w:val="231F20"/>
          <w:sz w:val="17"/>
        </w:rPr>
        <w:t>Mitchell,</w:t>
      </w:r>
      <w:r>
        <w:rPr>
          <w:color w:val="231F20"/>
          <w:spacing w:val="40"/>
          <w:sz w:val="17"/>
        </w:rPr>
        <w:t xml:space="preserve"> </w:t>
      </w:r>
      <w:r>
        <w:rPr>
          <w:color w:val="231F20"/>
          <w:sz w:val="17"/>
        </w:rPr>
        <w:t>L.S.</w:t>
      </w:r>
      <w:r>
        <w:rPr>
          <w:color w:val="231F20"/>
          <w:spacing w:val="40"/>
          <w:sz w:val="17"/>
        </w:rPr>
        <w:t xml:space="preserve"> </w:t>
      </w:r>
      <w:r>
        <w:rPr>
          <w:color w:val="231F20"/>
          <w:sz w:val="17"/>
        </w:rPr>
        <w:t>and</w:t>
      </w:r>
      <w:r>
        <w:rPr>
          <w:color w:val="231F20"/>
          <w:spacing w:val="40"/>
          <w:sz w:val="17"/>
        </w:rPr>
        <w:t xml:space="preserve"> </w:t>
      </w:r>
      <w:r>
        <w:rPr>
          <w:color w:val="231F20"/>
          <w:sz w:val="17"/>
        </w:rPr>
        <w:t>Murphy,</w:t>
      </w:r>
      <w:r>
        <w:rPr>
          <w:color w:val="231F20"/>
          <w:spacing w:val="40"/>
          <w:sz w:val="17"/>
        </w:rPr>
        <w:t xml:space="preserve"> </w:t>
      </w:r>
      <w:r>
        <w:rPr>
          <w:color w:val="231F20"/>
          <w:sz w:val="17"/>
        </w:rPr>
        <w:t>P.E.</w:t>
      </w:r>
      <w:r>
        <w:rPr>
          <w:color w:val="231F20"/>
          <w:spacing w:val="40"/>
          <w:sz w:val="17"/>
        </w:rPr>
        <w:t xml:space="preserve"> </w:t>
      </w:r>
      <w:r>
        <w:rPr>
          <w:color w:val="231F20"/>
          <w:sz w:val="17"/>
        </w:rPr>
        <w:t>(1991)</w:t>
      </w:r>
      <w:r>
        <w:rPr>
          <w:color w:val="231F20"/>
          <w:spacing w:val="40"/>
          <w:sz w:val="17"/>
        </w:rPr>
        <w:t xml:space="preserve"> </w:t>
      </w:r>
      <w:r>
        <w:rPr>
          <w:color w:val="231F20"/>
          <w:sz w:val="17"/>
        </w:rPr>
        <w:t>Geography</w:t>
      </w:r>
      <w:r>
        <w:rPr>
          <w:color w:val="231F20"/>
          <w:spacing w:val="40"/>
          <w:sz w:val="17"/>
        </w:rPr>
        <w:t xml:space="preserve"> </w:t>
      </w:r>
      <w:r>
        <w:rPr>
          <w:color w:val="231F20"/>
          <w:sz w:val="17"/>
        </w:rPr>
        <w:t>and</w:t>
      </w:r>
      <w:r>
        <w:rPr>
          <w:color w:val="231F20"/>
          <w:spacing w:val="40"/>
          <w:sz w:val="17"/>
        </w:rPr>
        <w:t xml:space="preserve"> </w:t>
      </w:r>
      <w:r>
        <w:rPr>
          <w:color w:val="231F20"/>
          <w:sz w:val="17"/>
        </w:rPr>
        <w:t>tourism.</w:t>
      </w:r>
      <w:r>
        <w:rPr>
          <w:color w:val="231F20"/>
          <w:spacing w:val="40"/>
          <w:sz w:val="17"/>
        </w:rPr>
        <w:t xml:space="preserve"> </w:t>
      </w:r>
      <w:r>
        <w:rPr>
          <w:i/>
          <w:color w:val="231F20"/>
          <w:sz w:val="17"/>
        </w:rPr>
        <w:t>Annals</w:t>
      </w:r>
      <w:r>
        <w:rPr>
          <w:i/>
          <w:color w:val="231F20"/>
          <w:spacing w:val="40"/>
          <w:sz w:val="17"/>
        </w:rPr>
        <w:t xml:space="preserve"> </w:t>
      </w:r>
      <w:r>
        <w:rPr>
          <w:i/>
          <w:color w:val="231F20"/>
          <w:sz w:val="17"/>
        </w:rPr>
        <w:t>of</w:t>
      </w:r>
      <w:r>
        <w:rPr>
          <w:i/>
          <w:color w:val="231F20"/>
          <w:spacing w:val="40"/>
          <w:sz w:val="17"/>
        </w:rPr>
        <w:t xml:space="preserve"> </w:t>
      </w:r>
      <w:r>
        <w:rPr>
          <w:i/>
          <w:color w:val="231F20"/>
          <w:sz w:val="17"/>
        </w:rPr>
        <w:t>Tourism</w:t>
      </w:r>
      <w:r>
        <w:rPr>
          <w:i/>
          <w:color w:val="231F20"/>
          <w:spacing w:val="40"/>
          <w:sz w:val="17"/>
        </w:rPr>
        <w:t xml:space="preserve"> </w:t>
      </w:r>
      <w:r>
        <w:rPr>
          <w:i/>
          <w:color w:val="231F20"/>
          <w:sz w:val="17"/>
        </w:rPr>
        <w:t>Resea</w:t>
      </w:r>
      <w:r>
        <w:rPr>
          <w:i/>
          <w:color w:val="231F20"/>
          <w:sz w:val="17"/>
        </w:rPr>
        <w:t xml:space="preserve">rch </w:t>
      </w:r>
      <w:r>
        <w:rPr>
          <w:color w:val="231F20"/>
          <w:sz w:val="17"/>
        </w:rPr>
        <w:t>18 (1), 57–70.</w:t>
      </w:r>
    </w:p>
    <w:p w14:paraId="10140F31" w14:textId="77777777" w:rsidR="00AE0598" w:rsidRDefault="0069255A">
      <w:pPr>
        <w:spacing w:before="1"/>
        <w:ind w:left="430" w:hanging="320"/>
        <w:rPr>
          <w:sz w:val="17"/>
        </w:rPr>
      </w:pPr>
      <w:r>
        <w:rPr>
          <w:color w:val="231F20"/>
          <w:sz w:val="17"/>
        </w:rPr>
        <w:t>Mitlin, D., Hickey, S. and Bebbington, A. (2007) Reclaiming development? NGOs and the</w:t>
      </w:r>
      <w:r>
        <w:rPr>
          <w:color w:val="231F20"/>
          <w:spacing w:val="40"/>
          <w:sz w:val="17"/>
        </w:rPr>
        <w:t xml:space="preserve"> </w:t>
      </w:r>
      <w:r>
        <w:rPr>
          <w:color w:val="231F20"/>
          <w:sz w:val="17"/>
        </w:rPr>
        <w:t xml:space="preserve">challenge of alternatives. </w:t>
      </w:r>
      <w:r>
        <w:rPr>
          <w:i/>
          <w:color w:val="231F20"/>
          <w:sz w:val="17"/>
        </w:rPr>
        <w:t xml:space="preserve">World Development </w:t>
      </w:r>
      <w:r>
        <w:rPr>
          <w:color w:val="231F20"/>
          <w:sz w:val="17"/>
        </w:rPr>
        <w:t>35 (10), 1699–1720.</w:t>
      </w:r>
    </w:p>
    <w:p w14:paraId="6C9771B0" w14:textId="77777777" w:rsidR="00AE0598" w:rsidRDefault="0069255A">
      <w:pPr>
        <w:spacing w:before="2"/>
        <w:ind w:left="110"/>
        <w:rPr>
          <w:sz w:val="17"/>
        </w:rPr>
      </w:pPr>
      <w:r>
        <w:rPr>
          <w:color w:val="231F20"/>
          <w:sz w:val="17"/>
        </w:rPr>
        <w:t>Moen,</w:t>
      </w:r>
      <w:r>
        <w:rPr>
          <w:color w:val="231F20"/>
          <w:spacing w:val="15"/>
          <w:w w:val="105"/>
          <w:sz w:val="17"/>
        </w:rPr>
        <w:t xml:space="preserve"> </w:t>
      </w:r>
      <w:r>
        <w:rPr>
          <w:color w:val="231F20"/>
          <w:w w:val="105"/>
          <w:sz w:val="17"/>
        </w:rPr>
        <w:t>J.</w:t>
      </w:r>
      <w:r>
        <w:rPr>
          <w:color w:val="231F20"/>
          <w:spacing w:val="16"/>
          <w:w w:val="105"/>
          <w:sz w:val="17"/>
        </w:rPr>
        <w:t xml:space="preserve"> </w:t>
      </w:r>
      <w:r>
        <w:rPr>
          <w:color w:val="231F20"/>
          <w:sz w:val="17"/>
        </w:rPr>
        <w:t>and</w:t>
      </w:r>
      <w:r>
        <w:rPr>
          <w:color w:val="231F20"/>
          <w:spacing w:val="18"/>
          <w:sz w:val="17"/>
        </w:rPr>
        <w:t xml:space="preserve"> </w:t>
      </w:r>
      <w:r>
        <w:rPr>
          <w:color w:val="231F20"/>
          <w:sz w:val="17"/>
        </w:rPr>
        <w:t>Fredman,</w:t>
      </w:r>
      <w:r>
        <w:rPr>
          <w:color w:val="231F20"/>
          <w:spacing w:val="18"/>
          <w:sz w:val="17"/>
        </w:rPr>
        <w:t xml:space="preserve"> </w:t>
      </w:r>
      <w:r>
        <w:rPr>
          <w:color w:val="231F20"/>
          <w:sz w:val="17"/>
        </w:rPr>
        <w:t>P.</w:t>
      </w:r>
      <w:r>
        <w:rPr>
          <w:color w:val="231F20"/>
          <w:spacing w:val="18"/>
          <w:sz w:val="17"/>
        </w:rPr>
        <w:t xml:space="preserve"> </w:t>
      </w:r>
      <w:r>
        <w:rPr>
          <w:color w:val="231F20"/>
          <w:sz w:val="17"/>
        </w:rPr>
        <w:t>(2007)</w:t>
      </w:r>
      <w:r>
        <w:rPr>
          <w:color w:val="231F20"/>
          <w:spacing w:val="18"/>
          <w:sz w:val="17"/>
        </w:rPr>
        <w:t xml:space="preserve"> </w:t>
      </w:r>
      <w:r>
        <w:rPr>
          <w:color w:val="231F20"/>
          <w:sz w:val="17"/>
        </w:rPr>
        <w:t>Effects</w:t>
      </w:r>
      <w:r>
        <w:rPr>
          <w:color w:val="231F20"/>
          <w:spacing w:val="18"/>
          <w:sz w:val="17"/>
        </w:rPr>
        <w:t xml:space="preserve"> </w:t>
      </w:r>
      <w:r>
        <w:rPr>
          <w:color w:val="231F20"/>
          <w:sz w:val="17"/>
        </w:rPr>
        <w:t>of</w:t>
      </w:r>
      <w:r>
        <w:rPr>
          <w:color w:val="231F20"/>
          <w:spacing w:val="18"/>
          <w:sz w:val="17"/>
        </w:rPr>
        <w:t xml:space="preserve"> </w:t>
      </w:r>
      <w:r>
        <w:rPr>
          <w:color w:val="231F20"/>
          <w:sz w:val="17"/>
        </w:rPr>
        <w:t>climate</w:t>
      </w:r>
      <w:r>
        <w:rPr>
          <w:color w:val="231F20"/>
          <w:spacing w:val="17"/>
          <w:sz w:val="17"/>
        </w:rPr>
        <w:t xml:space="preserve"> </w:t>
      </w:r>
      <w:r>
        <w:rPr>
          <w:color w:val="231F20"/>
          <w:sz w:val="17"/>
        </w:rPr>
        <w:t>change</w:t>
      </w:r>
      <w:r>
        <w:rPr>
          <w:color w:val="231F20"/>
          <w:spacing w:val="18"/>
          <w:sz w:val="17"/>
        </w:rPr>
        <w:t xml:space="preserve"> </w:t>
      </w:r>
      <w:r>
        <w:rPr>
          <w:color w:val="231F20"/>
          <w:sz w:val="17"/>
        </w:rPr>
        <w:t>on</w:t>
      </w:r>
      <w:r>
        <w:rPr>
          <w:color w:val="231F20"/>
          <w:spacing w:val="18"/>
          <w:sz w:val="17"/>
        </w:rPr>
        <w:t xml:space="preserve"> </w:t>
      </w:r>
      <w:r>
        <w:rPr>
          <w:color w:val="231F20"/>
          <w:sz w:val="17"/>
        </w:rPr>
        <w:t>Alpine</w:t>
      </w:r>
      <w:r>
        <w:rPr>
          <w:color w:val="231F20"/>
          <w:spacing w:val="18"/>
          <w:sz w:val="17"/>
        </w:rPr>
        <w:t xml:space="preserve"> </w:t>
      </w:r>
      <w:r>
        <w:rPr>
          <w:color w:val="231F20"/>
          <w:sz w:val="17"/>
        </w:rPr>
        <w:t>skiing</w:t>
      </w:r>
      <w:r>
        <w:rPr>
          <w:color w:val="231F20"/>
          <w:spacing w:val="18"/>
          <w:sz w:val="17"/>
        </w:rPr>
        <w:t xml:space="preserve"> </w:t>
      </w:r>
      <w:r>
        <w:rPr>
          <w:color w:val="231F20"/>
          <w:sz w:val="17"/>
        </w:rPr>
        <w:t>in</w:t>
      </w:r>
      <w:r>
        <w:rPr>
          <w:color w:val="231F20"/>
          <w:spacing w:val="18"/>
          <w:sz w:val="17"/>
        </w:rPr>
        <w:t xml:space="preserve"> </w:t>
      </w:r>
      <w:r>
        <w:rPr>
          <w:color w:val="231F20"/>
          <w:spacing w:val="-2"/>
          <w:sz w:val="17"/>
        </w:rPr>
        <w:t>Sweden.</w:t>
      </w:r>
    </w:p>
    <w:p w14:paraId="08F15132" w14:textId="77777777" w:rsidR="00AE0598" w:rsidRDefault="0069255A">
      <w:pPr>
        <w:spacing w:before="1"/>
        <w:ind w:left="430"/>
        <w:rPr>
          <w:sz w:val="17"/>
        </w:rPr>
      </w:pPr>
      <w:r>
        <w:rPr>
          <w:i/>
          <w:color w:val="231F20"/>
          <w:sz w:val="17"/>
        </w:rPr>
        <w:t>Journal</w:t>
      </w:r>
      <w:r>
        <w:rPr>
          <w:i/>
          <w:color w:val="231F20"/>
          <w:spacing w:val="4"/>
          <w:sz w:val="17"/>
        </w:rPr>
        <w:t xml:space="preserve"> </w:t>
      </w:r>
      <w:r>
        <w:rPr>
          <w:i/>
          <w:color w:val="231F20"/>
          <w:sz w:val="17"/>
        </w:rPr>
        <w:t>of</w:t>
      </w:r>
      <w:r>
        <w:rPr>
          <w:i/>
          <w:color w:val="231F20"/>
          <w:spacing w:val="5"/>
          <w:sz w:val="17"/>
        </w:rPr>
        <w:t xml:space="preserve"> </w:t>
      </w:r>
      <w:r>
        <w:rPr>
          <w:i/>
          <w:color w:val="231F20"/>
          <w:sz w:val="17"/>
        </w:rPr>
        <w:t>Sustainable</w:t>
      </w:r>
      <w:r>
        <w:rPr>
          <w:i/>
          <w:color w:val="231F20"/>
          <w:spacing w:val="4"/>
          <w:sz w:val="17"/>
        </w:rPr>
        <w:t xml:space="preserve"> </w:t>
      </w:r>
      <w:r>
        <w:rPr>
          <w:i/>
          <w:color w:val="231F20"/>
          <w:sz w:val="17"/>
        </w:rPr>
        <w:t>Tourism</w:t>
      </w:r>
      <w:r>
        <w:rPr>
          <w:i/>
          <w:color w:val="231F20"/>
          <w:spacing w:val="5"/>
          <w:sz w:val="17"/>
        </w:rPr>
        <w:t xml:space="preserve"> </w:t>
      </w:r>
      <w:r>
        <w:rPr>
          <w:color w:val="231F20"/>
          <w:sz w:val="17"/>
        </w:rPr>
        <w:t>15</w:t>
      </w:r>
      <w:r>
        <w:rPr>
          <w:color w:val="231F20"/>
          <w:spacing w:val="5"/>
          <w:sz w:val="17"/>
        </w:rPr>
        <w:t xml:space="preserve"> </w:t>
      </w:r>
      <w:r>
        <w:rPr>
          <w:color w:val="231F20"/>
          <w:sz w:val="17"/>
        </w:rPr>
        <w:t>(4),</w:t>
      </w:r>
      <w:r>
        <w:rPr>
          <w:color w:val="231F20"/>
          <w:spacing w:val="4"/>
          <w:sz w:val="17"/>
        </w:rPr>
        <w:t xml:space="preserve"> </w:t>
      </w:r>
      <w:r>
        <w:rPr>
          <w:color w:val="231F20"/>
          <w:spacing w:val="-2"/>
          <w:sz w:val="17"/>
        </w:rPr>
        <w:t>418–437.</w:t>
      </w:r>
    </w:p>
    <w:p w14:paraId="2CC4A024" w14:textId="77777777" w:rsidR="00AE0598" w:rsidRDefault="0069255A">
      <w:pPr>
        <w:ind w:left="430" w:right="156" w:hanging="320"/>
        <w:rPr>
          <w:sz w:val="17"/>
        </w:rPr>
      </w:pPr>
      <w:r>
        <w:rPr>
          <w:color w:val="231F20"/>
          <w:sz w:val="17"/>
        </w:rPr>
        <w:t xml:space="preserve">Moore, M.S. (2011) </w:t>
      </w:r>
      <w:r>
        <w:rPr>
          <w:i/>
          <w:color w:val="231F20"/>
          <w:sz w:val="17"/>
        </w:rPr>
        <w:t>Sweetness and Blood: How Surfing Spread from Hawaii and California</w:t>
      </w:r>
      <w:r>
        <w:rPr>
          <w:i/>
          <w:color w:val="231F20"/>
          <w:spacing w:val="40"/>
          <w:sz w:val="17"/>
        </w:rPr>
        <w:t xml:space="preserve"> </w:t>
      </w:r>
      <w:r>
        <w:rPr>
          <w:i/>
          <w:color w:val="231F20"/>
          <w:sz w:val="17"/>
        </w:rPr>
        <w:t>to the Rest of the World, with Some Unexpected Results</w:t>
      </w:r>
      <w:r>
        <w:rPr>
          <w:color w:val="231F20"/>
          <w:sz w:val="17"/>
        </w:rPr>
        <w:t>. New York: Rodale.</w:t>
      </w:r>
    </w:p>
    <w:p w14:paraId="0E4048AB" w14:textId="77777777" w:rsidR="00AE0598" w:rsidRDefault="0069255A">
      <w:pPr>
        <w:spacing w:before="2"/>
        <w:ind w:left="430" w:hanging="320"/>
        <w:rPr>
          <w:sz w:val="17"/>
        </w:rPr>
      </w:pPr>
      <w:r>
        <w:rPr>
          <w:color w:val="231F20"/>
          <w:sz w:val="17"/>
        </w:rPr>
        <w:t>Moore,</w:t>
      </w:r>
      <w:r>
        <w:rPr>
          <w:color w:val="231F20"/>
          <w:spacing w:val="40"/>
          <w:sz w:val="17"/>
        </w:rPr>
        <w:t xml:space="preserve"> </w:t>
      </w:r>
      <w:r>
        <w:rPr>
          <w:color w:val="231F20"/>
          <w:sz w:val="17"/>
        </w:rPr>
        <w:t>N.S.R.</w:t>
      </w:r>
      <w:r>
        <w:rPr>
          <w:color w:val="231F20"/>
          <w:spacing w:val="40"/>
          <w:sz w:val="17"/>
        </w:rPr>
        <w:t xml:space="preserve"> </w:t>
      </w:r>
      <w:r>
        <w:rPr>
          <w:color w:val="231F20"/>
          <w:sz w:val="17"/>
        </w:rPr>
        <w:t>(1995)</w:t>
      </w:r>
      <w:r>
        <w:rPr>
          <w:color w:val="231F20"/>
          <w:spacing w:val="40"/>
          <w:sz w:val="17"/>
        </w:rPr>
        <w:t xml:space="preserve"> </w:t>
      </w:r>
      <w:r>
        <w:rPr>
          <w:color w:val="231F20"/>
          <w:sz w:val="17"/>
        </w:rPr>
        <w:t>National</w:t>
      </w:r>
      <w:r>
        <w:rPr>
          <w:color w:val="231F20"/>
          <w:spacing w:val="40"/>
          <w:sz w:val="17"/>
        </w:rPr>
        <w:t xml:space="preserve"> </w:t>
      </w:r>
      <w:r>
        <w:rPr>
          <w:color w:val="231F20"/>
          <w:sz w:val="17"/>
        </w:rPr>
        <w:t>mutual</w:t>
      </w:r>
      <w:r>
        <w:rPr>
          <w:color w:val="231F20"/>
          <w:spacing w:val="40"/>
          <w:sz w:val="17"/>
        </w:rPr>
        <w:t xml:space="preserve"> </w:t>
      </w:r>
      <w:r>
        <w:rPr>
          <w:color w:val="231F20"/>
          <w:sz w:val="17"/>
        </w:rPr>
        <w:t>mas</w:t>
      </w:r>
      <w:r>
        <w:rPr>
          <w:color w:val="231F20"/>
          <w:sz w:val="17"/>
        </w:rPr>
        <w:t>ters</w:t>
      </w:r>
      <w:r>
        <w:rPr>
          <w:color w:val="231F20"/>
          <w:spacing w:val="40"/>
          <w:sz w:val="17"/>
        </w:rPr>
        <w:t xml:space="preserve"> </w:t>
      </w:r>
      <w:r>
        <w:rPr>
          <w:color w:val="231F20"/>
          <w:sz w:val="17"/>
        </w:rPr>
        <w:t>games,</w:t>
      </w:r>
      <w:r>
        <w:rPr>
          <w:color w:val="231F20"/>
          <w:spacing w:val="40"/>
          <w:sz w:val="17"/>
        </w:rPr>
        <w:t xml:space="preserve"> </w:t>
      </w:r>
      <w:r>
        <w:rPr>
          <w:color w:val="231F20"/>
          <w:sz w:val="17"/>
        </w:rPr>
        <w:t>economic</w:t>
      </w:r>
      <w:r>
        <w:rPr>
          <w:color w:val="231F20"/>
          <w:spacing w:val="40"/>
          <w:sz w:val="17"/>
        </w:rPr>
        <w:t xml:space="preserve"> </w:t>
      </w:r>
      <w:r>
        <w:rPr>
          <w:color w:val="231F20"/>
          <w:sz w:val="17"/>
        </w:rPr>
        <w:t>impact</w:t>
      </w:r>
      <w:r>
        <w:rPr>
          <w:color w:val="231F20"/>
          <w:spacing w:val="40"/>
          <w:sz w:val="17"/>
        </w:rPr>
        <w:t xml:space="preserve"> </w:t>
      </w:r>
      <w:r>
        <w:rPr>
          <w:color w:val="231F20"/>
          <w:sz w:val="17"/>
        </w:rPr>
        <w:t>assessment,</w:t>
      </w:r>
      <w:r>
        <w:rPr>
          <w:color w:val="231F20"/>
          <w:spacing w:val="40"/>
          <w:sz w:val="17"/>
        </w:rPr>
        <w:t xml:space="preserve"> </w:t>
      </w:r>
      <w:r>
        <w:rPr>
          <w:color w:val="231F20"/>
          <w:sz w:val="17"/>
        </w:rPr>
        <w:t>Dunedin, 5–13 February. Unpublished dissertation thesis, University of Otago.</w:t>
      </w:r>
    </w:p>
    <w:p w14:paraId="53307574" w14:textId="77777777" w:rsidR="00AE0598" w:rsidRDefault="0069255A">
      <w:pPr>
        <w:spacing w:before="1"/>
        <w:ind w:left="110"/>
        <w:rPr>
          <w:sz w:val="17"/>
        </w:rPr>
      </w:pPr>
      <w:r>
        <w:rPr>
          <w:color w:val="231F20"/>
          <w:w w:val="105"/>
          <w:sz w:val="17"/>
        </w:rPr>
        <w:t>Moragas</w:t>
      </w:r>
      <w:r>
        <w:rPr>
          <w:color w:val="231F20"/>
          <w:spacing w:val="11"/>
          <w:w w:val="105"/>
          <w:sz w:val="17"/>
        </w:rPr>
        <w:t xml:space="preserve"> </w:t>
      </w:r>
      <w:r>
        <w:rPr>
          <w:color w:val="231F20"/>
          <w:w w:val="105"/>
          <w:sz w:val="17"/>
        </w:rPr>
        <w:t>Spa,</w:t>
      </w:r>
      <w:r>
        <w:rPr>
          <w:color w:val="231F20"/>
          <w:spacing w:val="12"/>
          <w:w w:val="105"/>
          <w:sz w:val="17"/>
        </w:rPr>
        <w:t xml:space="preserve"> </w:t>
      </w:r>
      <w:r>
        <w:rPr>
          <w:color w:val="231F20"/>
          <w:w w:val="105"/>
          <w:sz w:val="17"/>
        </w:rPr>
        <w:t>M.,</w:t>
      </w:r>
      <w:r>
        <w:rPr>
          <w:color w:val="231F20"/>
          <w:spacing w:val="12"/>
          <w:w w:val="105"/>
          <w:sz w:val="17"/>
        </w:rPr>
        <w:t xml:space="preserve"> </w:t>
      </w:r>
      <w:r>
        <w:rPr>
          <w:color w:val="231F20"/>
          <w:w w:val="105"/>
          <w:sz w:val="17"/>
        </w:rPr>
        <w:t>Rivenburg,</w:t>
      </w:r>
      <w:r>
        <w:rPr>
          <w:color w:val="231F20"/>
          <w:spacing w:val="11"/>
          <w:w w:val="105"/>
          <w:sz w:val="17"/>
        </w:rPr>
        <w:t xml:space="preserve"> </w:t>
      </w:r>
      <w:r>
        <w:rPr>
          <w:color w:val="231F20"/>
          <w:w w:val="105"/>
          <w:sz w:val="17"/>
        </w:rPr>
        <w:t>N.K.</w:t>
      </w:r>
      <w:r>
        <w:rPr>
          <w:color w:val="231F20"/>
          <w:spacing w:val="11"/>
          <w:w w:val="105"/>
          <w:sz w:val="17"/>
        </w:rPr>
        <w:t xml:space="preserve"> </w:t>
      </w:r>
      <w:r>
        <w:rPr>
          <w:color w:val="231F20"/>
          <w:w w:val="105"/>
          <w:sz w:val="17"/>
        </w:rPr>
        <w:t>and</w:t>
      </w:r>
      <w:r>
        <w:rPr>
          <w:color w:val="231F20"/>
          <w:spacing w:val="12"/>
          <w:w w:val="105"/>
          <w:sz w:val="17"/>
        </w:rPr>
        <w:t xml:space="preserve"> </w:t>
      </w:r>
      <w:r>
        <w:rPr>
          <w:color w:val="231F20"/>
          <w:w w:val="105"/>
          <w:sz w:val="17"/>
        </w:rPr>
        <w:t>Larson,</w:t>
      </w:r>
      <w:r>
        <w:rPr>
          <w:color w:val="231F20"/>
          <w:spacing w:val="12"/>
          <w:w w:val="105"/>
          <w:sz w:val="17"/>
        </w:rPr>
        <w:t xml:space="preserve"> </w:t>
      </w:r>
      <w:r>
        <w:rPr>
          <w:color w:val="231F20"/>
          <w:w w:val="105"/>
          <w:sz w:val="17"/>
        </w:rPr>
        <w:t>J.F.</w:t>
      </w:r>
      <w:r>
        <w:rPr>
          <w:color w:val="231F20"/>
          <w:spacing w:val="11"/>
          <w:w w:val="105"/>
          <w:sz w:val="17"/>
        </w:rPr>
        <w:t xml:space="preserve"> </w:t>
      </w:r>
      <w:r>
        <w:rPr>
          <w:color w:val="231F20"/>
          <w:w w:val="105"/>
          <w:sz w:val="17"/>
        </w:rPr>
        <w:t>(1995)</w:t>
      </w:r>
      <w:r>
        <w:rPr>
          <w:color w:val="231F20"/>
          <w:spacing w:val="12"/>
          <w:w w:val="105"/>
          <w:sz w:val="17"/>
        </w:rPr>
        <w:t xml:space="preserve"> </w:t>
      </w:r>
      <w:r>
        <w:rPr>
          <w:i/>
          <w:color w:val="231F20"/>
          <w:w w:val="105"/>
          <w:sz w:val="17"/>
        </w:rPr>
        <w:t>Television</w:t>
      </w:r>
      <w:r>
        <w:rPr>
          <w:i/>
          <w:color w:val="231F20"/>
          <w:spacing w:val="11"/>
          <w:w w:val="105"/>
          <w:sz w:val="17"/>
        </w:rPr>
        <w:t xml:space="preserve"> </w:t>
      </w:r>
      <w:r>
        <w:rPr>
          <w:i/>
          <w:color w:val="231F20"/>
          <w:w w:val="105"/>
          <w:sz w:val="17"/>
        </w:rPr>
        <w:t>in</w:t>
      </w:r>
      <w:r>
        <w:rPr>
          <w:i/>
          <w:color w:val="231F20"/>
          <w:spacing w:val="11"/>
          <w:w w:val="105"/>
          <w:sz w:val="17"/>
        </w:rPr>
        <w:t xml:space="preserve"> </w:t>
      </w:r>
      <w:r>
        <w:rPr>
          <w:i/>
          <w:color w:val="231F20"/>
          <w:w w:val="105"/>
          <w:sz w:val="17"/>
        </w:rPr>
        <w:t>the</w:t>
      </w:r>
      <w:r>
        <w:rPr>
          <w:i/>
          <w:color w:val="231F20"/>
          <w:spacing w:val="12"/>
          <w:w w:val="105"/>
          <w:sz w:val="17"/>
        </w:rPr>
        <w:t xml:space="preserve"> </w:t>
      </w:r>
      <w:r>
        <w:rPr>
          <w:i/>
          <w:color w:val="231F20"/>
          <w:spacing w:val="-2"/>
          <w:w w:val="105"/>
          <w:sz w:val="17"/>
        </w:rPr>
        <w:t>Olympics</w:t>
      </w:r>
      <w:r>
        <w:rPr>
          <w:color w:val="231F20"/>
          <w:spacing w:val="-2"/>
          <w:w w:val="105"/>
          <w:sz w:val="17"/>
        </w:rPr>
        <w:t>.</w:t>
      </w:r>
    </w:p>
    <w:p w14:paraId="0516B8DD" w14:textId="77777777" w:rsidR="00AE0598" w:rsidRDefault="0069255A">
      <w:pPr>
        <w:spacing w:before="1"/>
        <w:ind w:left="430"/>
        <w:rPr>
          <w:sz w:val="17"/>
        </w:rPr>
      </w:pPr>
      <w:r>
        <w:rPr>
          <w:color w:val="231F20"/>
          <w:w w:val="105"/>
          <w:sz w:val="17"/>
        </w:rPr>
        <w:t>London:</w:t>
      </w:r>
      <w:r>
        <w:rPr>
          <w:color w:val="231F20"/>
          <w:spacing w:val="-1"/>
          <w:w w:val="105"/>
          <w:sz w:val="17"/>
        </w:rPr>
        <w:t xml:space="preserve"> </w:t>
      </w:r>
      <w:r>
        <w:rPr>
          <w:color w:val="231F20"/>
          <w:w w:val="105"/>
          <w:sz w:val="17"/>
        </w:rPr>
        <w:t xml:space="preserve">J. </w:t>
      </w:r>
      <w:r>
        <w:rPr>
          <w:color w:val="231F20"/>
          <w:spacing w:val="-2"/>
          <w:w w:val="105"/>
          <w:sz w:val="17"/>
        </w:rPr>
        <w:t>Libbey.</w:t>
      </w:r>
    </w:p>
    <w:p w14:paraId="53BEA1F8" w14:textId="77777777" w:rsidR="00AE0598" w:rsidRDefault="0069255A">
      <w:pPr>
        <w:ind w:left="110"/>
        <w:rPr>
          <w:sz w:val="17"/>
        </w:rPr>
      </w:pPr>
      <w:r>
        <w:rPr>
          <w:color w:val="231F20"/>
          <w:w w:val="95"/>
          <w:sz w:val="17"/>
        </w:rPr>
        <w:t>Morgan,</w:t>
      </w:r>
      <w:r>
        <w:rPr>
          <w:color w:val="231F20"/>
          <w:spacing w:val="-1"/>
          <w:sz w:val="17"/>
        </w:rPr>
        <w:t xml:space="preserve"> </w:t>
      </w:r>
      <w:r>
        <w:rPr>
          <w:color w:val="231F20"/>
          <w:w w:val="95"/>
          <w:sz w:val="17"/>
        </w:rPr>
        <w:t>M.</w:t>
      </w:r>
      <w:r>
        <w:rPr>
          <w:color w:val="231F20"/>
          <w:sz w:val="17"/>
        </w:rPr>
        <w:t xml:space="preserve"> </w:t>
      </w:r>
      <w:r>
        <w:rPr>
          <w:color w:val="231F20"/>
          <w:w w:val="95"/>
          <w:sz w:val="17"/>
        </w:rPr>
        <w:t>(2007)</w:t>
      </w:r>
      <w:r>
        <w:rPr>
          <w:color w:val="231F20"/>
          <w:sz w:val="17"/>
        </w:rPr>
        <w:t xml:space="preserve"> </w:t>
      </w:r>
      <w:r>
        <w:rPr>
          <w:color w:val="231F20"/>
          <w:w w:val="95"/>
          <w:sz w:val="17"/>
        </w:rPr>
        <w:t>‘We’re</w:t>
      </w:r>
      <w:r>
        <w:rPr>
          <w:color w:val="231F20"/>
          <w:sz w:val="17"/>
        </w:rPr>
        <w:t xml:space="preserve"> </w:t>
      </w:r>
      <w:r>
        <w:rPr>
          <w:color w:val="231F20"/>
          <w:w w:val="95"/>
          <w:sz w:val="17"/>
        </w:rPr>
        <w:t>not</w:t>
      </w:r>
      <w:r>
        <w:rPr>
          <w:color w:val="231F20"/>
          <w:spacing w:val="-1"/>
          <w:sz w:val="17"/>
        </w:rPr>
        <w:t xml:space="preserve"> </w:t>
      </w:r>
      <w:r>
        <w:rPr>
          <w:color w:val="231F20"/>
          <w:w w:val="95"/>
          <w:sz w:val="17"/>
        </w:rPr>
        <w:t>the</w:t>
      </w:r>
      <w:r>
        <w:rPr>
          <w:color w:val="231F20"/>
          <w:sz w:val="17"/>
        </w:rPr>
        <w:t xml:space="preserve"> </w:t>
      </w:r>
      <w:r>
        <w:rPr>
          <w:color w:val="231F20"/>
          <w:w w:val="95"/>
          <w:sz w:val="17"/>
        </w:rPr>
        <w:t>barmy</w:t>
      </w:r>
      <w:r>
        <w:rPr>
          <w:color w:val="231F20"/>
          <w:sz w:val="17"/>
        </w:rPr>
        <w:t xml:space="preserve"> </w:t>
      </w:r>
      <w:r>
        <w:rPr>
          <w:color w:val="231F20"/>
          <w:w w:val="95"/>
          <w:sz w:val="17"/>
        </w:rPr>
        <w:t>army!’:</w:t>
      </w:r>
      <w:r>
        <w:rPr>
          <w:color w:val="231F20"/>
          <w:sz w:val="17"/>
        </w:rPr>
        <w:t xml:space="preserve"> </w:t>
      </w:r>
      <w:r>
        <w:rPr>
          <w:color w:val="231F20"/>
          <w:w w:val="95"/>
          <w:sz w:val="17"/>
        </w:rPr>
        <w:t>Reflections</w:t>
      </w:r>
      <w:r>
        <w:rPr>
          <w:color w:val="231F20"/>
          <w:sz w:val="17"/>
        </w:rPr>
        <w:t xml:space="preserve"> </w:t>
      </w:r>
      <w:r>
        <w:rPr>
          <w:color w:val="231F20"/>
          <w:w w:val="95"/>
          <w:sz w:val="17"/>
        </w:rPr>
        <w:t>on</w:t>
      </w:r>
      <w:r>
        <w:rPr>
          <w:color w:val="231F20"/>
          <w:spacing w:val="-1"/>
          <w:sz w:val="17"/>
        </w:rPr>
        <w:t xml:space="preserve"> </w:t>
      </w:r>
      <w:r>
        <w:rPr>
          <w:color w:val="231F20"/>
          <w:w w:val="95"/>
          <w:sz w:val="17"/>
        </w:rPr>
        <w:t>the</w:t>
      </w:r>
      <w:r>
        <w:rPr>
          <w:color w:val="231F20"/>
          <w:sz w:val="17"/>
        </w:rPr>
        <w:t xml:space="preserve"> </w:t>
      </w:r>
      <w:r>
        <w:rPr>
          <w:color w:val="231F20"/>
          <w:w w:val="95"/>
          <w:sz w:val="17"/>
        </w:rPr>
        <w:t>sports</w:t>
      </w:r>
      <w:r>
        <w:rPr>
          <w:color w:val="231F20"/>
          <w:sz w:val="17"/>
        </w:rPr>
        <w:t xml:space="preserve"> </w:t>
      </w:r>
      <w:r>
        <w:rPr>
          <w:color w:val="231F20"/>
          <w:w w:val="95"/>
          <w:sz w:val="17"/>
        </w:rPr>
        <w:t>tourist</w:t>
      </w:r>
      <w:r>
        <w:rPr>
          <w:color w:val="231F20"/>
          <w:sz w:val="17"/>
        </w:rPr>
        <w:t xml:space="preserve"> </w:t>
      </w:r>
      <w:r>
        <w:rPr>
          <w:color w:val="231F20"/>
          <w:spacing w:val="-2"/>
          <w:w w:val="95"/>
          <w:sz w:val="17"/>
        </w:rPr>
        <w:t>experience.</w:t>
      </w:r>
    </w:p>
    <w:p w14:paraId="53587CF6" w14:textId="77777777" w:rsidR="00AE0598" w:rsidRDefault="0069255A">
      <w:pPr>
        <w:spacing w:before="1"/>
        <w:ind w:left="430"/>
        <w:rPr>
          <w:sz w:val="17"/>
        </w:rPr>
      </w:pPr>
      <w:r>
        <w:rPr>
          <w:i/>
          <w:color w:val="231F20"/>
          <w:sz w:val="17"/>
        </w:rPr>
        <w:t>International</w:t>
      </w:r>
      <w:r>
        <w:rPr>
          <w:i/>
          <w:color w:val="231F20"/>
          <w:spacing w:val="7"/>
          <w:sz w:val="17"/>
        </w:rPr>
        <w:t xml:space="preserve"> </w:t>
      </w:r>
      <w:r>
        <w:rPr>
          <w:i/>
          <w:color w:val="231F20"/>
          <w:sz w:val="17"/>
        </w:rPr>
        <w:t>Journal</w:t>
      </w:r>
      <w:r>
        <w:rPr>
          <w:i/>
          <w:color w:val="231F20"/>
          <w:spacing w:val="7"/>
          <w:sz w:val="17"/>
        </w:rPr>
        <w:t xml:space="preserve"> </w:t>
      </w:r>
      <w:r>
        <w:rPr>
          <w:i/>
          <w:color w:val="231F20"/>
          <w:sz w:val="17"/>
        </w:rPr>
        <w:t>of</w:t>
      </w:r>
      <w:r>
        <w:rPr>
          <w:i/>
          <w:color w:val="231F20"/>
          <w:spacing w:val="8"/>
          <w:sz w:val="17"/>
        </w:rPr>
        <w:t xml:space="preserve"> </w:t>
      </w:r>
      <w:r>
        <w:rPr>
          <w:i/>
          <w:color w:val="231F20"/>
          <w:sz w:val="17"/>
        </w:rPr>
        <w:t>Tourism</w:t>
      </w:r>
      <w:r>
        <w:rPr>
          <w:i/>
          <w:color w:val="231F20"/>
          <w:spacing w:val="7"/>
          <w:sz w:val="17"/>
        </w:rPr>
        <w:t xml:space="preserve"> </w:t>
      </w:r>
      <w:r>
        <w:rPr>
          <w:i/>
          <w:color w:val="231F20"/>
          <w:sz w:val="17"/>
        </w:rPr>
        <w:t>Research</w:t>
      </w:r>
      <w:r>
        <w:rPr>
          <w:i/>
          <w:color w:val="231F20"/>
          <w:spacing w:val="8"/>
          <w:sz w:val="17"/>
        </w:rPr>
        <w:t xml:space="preserve"> </w:t>
      </w:r>
      <w:r>
        <w:rPr>
          <w:color w:val="231F20"/>
          <w:sz w:val="17"/>
        </w:rPr>
        <w:t>9</w:t>
      </w:r>
      <w:r>
        <w:rPr>
          <w:color w:val="231F20"/>
          <w:spacing w:val="7"/>
          <w:sz w:val="17"/>
        </w:rPr>
        <w:t xml:space="preserve"> </w:t>
      </w:r>
      <w:r>
        <w:rPr>
          <w:color w:val="231F20"/>
          <w:sz w:val="17"/>
        </w:rPr>
        <w:t>(5),</w:t>
      </w:r>
      <w:r>
        <w:rPr>
          <w:color w:val="231F20"/>
          <w:spacing w:val="8"/>
          <w:sz w:val="17"/>
        </w:rPr>
        <w:t xml:space="preserve"> </w:t>
      </w:r>
      <w:r>
        <w:rPr>
          <w:color w:val="231F20"/>
          <w:spacing w:val="-2"/>
          <w:sz w:val="17"/>
        </w:rPr>
        <w:t>361–372.</w:t>
      </w:r>
    </w:p>
    <w:p w14:paraId="04BEC95B" w14:textId="77777777" w:rsidR="00AE0598" w:rsidRDefault="0069255A">
      <w:pPr>
        <w:spacing w:before="1"/>
        <w:ind w:left="110" w:right="127"/>
        <w:jc w:val="right"/>
        <w:rPr>
          <w:sz w:val="17"/>
        </w:rPr>
      </w:pPr>
      <w:r>
        <w:rPr>
          <w:color w:val="231F20"/>
          <w:sz w:val="17"/>
        </w:rPr>
        <w:t>Morgan,</w:t>
      </w:r>
      <w:r>
        <w:rPr>
          <w:color w:val="231F20"/>
          <w:spacing w:val="19"/>
          <w:sz w:val="17"/>
        </w:rPr>
        <w:t xml:space="preserve"> </w:t>
      </w:r>
      <w:r>
        <w:rPr>
          <w:color w:val="231F20"/>
          <w:sz w:val="17"/>
        </w:rPr>
        <w:t>N.</w:t>
      </w:r>
      <w:r>
        <w:rPr>
          <w:color w:val="231F20"/>
          <w:spacing w:val="20"/>
          <w:sz w:val="17"/>
        </w:rPr>
        <w:t xml:space="preserve"> </w:t>
      </w:r>
      <w:r>
        <w:rPr>
          <w:color w:val="231F20"/>
          <w:sz w:val="17"/>
        </w:rPr>
        <w:t>(2014)</w:t>
      </w:r>
      <w:r>
        <w:rPr>
          <w:color w:val="231F20"/>
          <w:spacing w:val="20"/>
          <w:sz w:val="17"/>
        </w:rPr>
        <w:t xml:space="preserve"> </w:t>
      </w:r>
      <w:r>
        <w:rPr>
          <w:color w:val="231F20"/>
          <w:sz w:val="17"/>
        </w:rPr>
        <w:t>Problematizing</w:t>
      </w:r>
      <w:r>
        <w:rPr>
          <w:color w:val="231F20"/>
          <w:spacing w:val="20"/>
          <w:sz w:val="17"/>
        </w:rPr>
        <w:t xml:space="preserve"> </w:t>
      </w:r>
      <w:r>
        <w:rPr>
          <w:color w:val="231F20"/>
          <w:sz w:val="17"/>
        </w:rPr>
        <w:t>place</w:t>
      </w:r>
      <w:r>
        <w:rPr>
          <w:color w:val="231F20"/>
          <w:spacing w:val="20"/>
          <w:sz w:val="17"/>
        </w:rPr>
        <w:t xml:space="preserve"> </w:t>
      </w:r>
      <w:r>
        <w:rPr>
          <w:color w:val="231F20"/>
          <w:sz w:val="17"/>
        </w:rPr>
        <w:t>promotion</w:t>
      </w:r>
      <w:r>
        <w:rPr>
          <w:color w:val="231F20"/>
          <w:spacing w:val="20"/>
          <w:sz w:val="17"/>
        </w:rPr>
        <w:t xml:space="preserve"> </w:t>
      </w:r>
      <w:r>
        <w:rPr>
          <w:color w:val="231F20"/>
          <w:sz w:val="17"/>
        </w:rPr>
        <w:t>and</w:t>
      </w:r>
      <w:r>
        <w:rPr>
          <w:color w:val="231F20"/>
          <w:spacing w:val="20"/>
          <w:sz w:val="17"/>
        </w:rPr>
        <w:t xml:space="preserve"> </w:t>
      </w:r>
      <w:r>
        <w:rPr>
          <w:color w:val="231F20"/>
          <w:sz w:val="17"/>
        </w:rPr>
        <w:t>commodification.</w:t>
      </w:r>
      <w:r>
        <w:rPr>
          <w:color w:val="231F20"/>
          <w:spacing w:val="20"/>
          <w:sz w:val="17"/>
        </w:rPr>
        <w:t xml:space="preserve"> </w:t>
      </w:r>
      <w:r>
        <w:rPr>
          <w:color w:val="231F20"/>
          <w:sz w:val="17"/>
        </w:rPr>
        <w:t>In</w:t>
      </w:r>
      <w:r>
        <w:rPr>
          <w:color w:val="231F20"/>
          <w:spacing w:val="20"/>
          <w:sz w:val="17"/>
        </w:rPr>
        <w:t xml:space="preserve"> </w:t>
      </w:r>
      <w:r>
        <w:rPr>
          <w:color w:val="231F20"/>
          <w:sz w:val="17"/>
        </w:rPr>
        <w:t>A.A.</w:t>
      </w:r>
      <w:r>
        <w:rPr>
          <w:color w:val="231F20"/>
          <w:spacing w:val="19"/>
          <w:sz w:val="17"/>
        </w:rPr>
        <w:t xml:space="preserve"> </w:t>
      </w:r>
      <w:r>
        <w:rPr>
          <w:color w:val="231F20"/>
          <w:spacing w:val="-4"/>
          <w:sz w:val="17"/>
        </w:rPr>
        <w:t>Lew,</w:t>
      </w:r>
    </w:p>
    <w:p w14:paraId="263F4F53" w14:textId="77777777" w:rsidR="00AE0598" w:rsidRDefault="0069255A">
      <w:pPr>
        <w:spacing w:before="1"/>
        <w:ind w:left="110" w:right="127"/>
        <w:jc w:val="right"/>
        <w:rPr>
          <w:i/>
          <w:sz w:val="17"/>
        </w:rPr>
      </w:pPr>
      <w:r>
        <w:rPr>
          <w:color w:val="231F20"/>
          <w:w w:val="105"/>
          <w:sz w:val="17"/>
        </w:rPr>
        <w:t>C.M.</w:t>
      </w:r>
      <w:r>
        <w:rPr>
          <w:color w:val="231F20"/>
          <w:spacing w:val="28"/>
          <w:w w:val="105"/>
          <w:sz w:val="17"/>
        </w:rPr>
        <w:t xml:space="preserve"> </w:t>
      </w:r>
      <w:r>
        <w:rPr>
          <w:color w:val="231F20"/>
          <w:w w:val="105"/>
          <w:sz w:val="17"/>
        </w:rPr>
        <w:t>Hall</w:t>
      </w:r>
      <w:r>
        <w:rPr>
          <w:color w:val="231F20"/>
          <w:spacing w:val="28"/>
          <w:w w:val="105"/>
          <w:sz w:val="17"/>
        </w:rPr>
        <w:t xml:space="preserve"> </w:t>
      </w:r>
      <w:r>
        <w:rPr>
          <w:color w:val="231F20"/>
          <w:w w:val="105"/>
          <w:sz w:val="17"/>
        </w:rPr>
        <w:t>and</w:t>
      </w:r>
      <w:r>
        <w:rPr>
          <w:color w:val="231F20"/>
          <w:spacing w:val="29"/>
          <w:w w:val="105"/>
          <w:sz w:val="17"/>
        </w:rPr>
        <w:t xml:space="preserve"> </w:t>
      </w:r>
      <w:r>
        <w:rPr>
          <w:color w:val="231F20"/>
          <w:w w:val="105"/>
          <w:sz w:val="17"/>
        </w:rPr>
        <w:t>A.M.</w:t>
      </w:r>
      <w:r>
        <w:rPr>
          <w:color w:val="231F20"/>
          <w:spacing w:val="28"/>
          <w:w w:val="105"/>
          <w:sz w:val="17"/>
        </w:rPr>
        <w:t xml:space="preserve"> </w:t>
      </w:r>
      <w:r>
        <w:rPr>
          <w:color w:val="231F20"/>
          <w:w w:val="105"/>
          <w:sz w:val="17"/>
        </w:rPr>
        <w:t>Williams</w:t>
      </w:r>
      <w:r>
        <w:rPr>
          <w:color w:val="231F20"/>
          <w:spacing w:val="29"/>
          <w:w w:val="105"/>
          <w:sz w:val="17"/>
        </w:rPr>
        <w:t xml:space="preserve"> </w:t>
      </w:r>
      <w:r>
        <w:rPr>
          <w:color w:val="231F20"/>
          <w:w w:val="105"/>
          <w:sz w:val="17"/>
        </w:rPr>
        <w:t>(eds)</w:t>
      </w:r>
      <w:r>
        <w:rPr>
          <w:color w:val="231F20"/>
          <w:spacing w:val="28"/>
          <w:w w:val="105"/>
          <w:sz w:val="17"/>
        </w:rPr>
        <w:t xml:space="preserve"> </w:t>
      </w:r>
      <w:r>
        <w:rPr>
          <w:i/>
          <w:color w:val="231F20"/>
          <w:w w:val="105"/>
          <w:sz w:val="17"/>
        </w:rPr>
        <w:t>The</w:t>
      </w:r>
      <w:r>
        <w:rPr>
          <w:i/>
          <w:color w:val="231F20"/>
          <w:spacing w:val="29"/>
          <w:w w:val="105"/>
          <w:sz w:val="17"/>
        </w:rPr>
        <w:t xml:space="preserve"> </w:t>
      </w:r>
      <w:r>
        <w:rPr>
          <w:i/>
          <w:color w:val="231F20"/>
          <w:w w:val="105"/>
          <w:sz w:val="17"/>
        </w:rPr>
        <w:t>Wiley</w:t>
      </w:r>
      <w:r>
        <w:rPr>
          <w:i/>
          <w:color w:val="231F20"/>
          <w:spacing w:val="28"/>
          <w:w w:val="105"/>
          <w:sz w:val="17"/>
        </w:rPr>
        <w:t xml:space="preserve"> </w:t>
      </w:r>
      <w:r>
        <w:rPr>
          <w:i/>
          <w:color w:val="231F20"/>
          <w:w w:val="105"/>
          <w:sz w:val="17"/>
        </w:rPr>
        <w:t>Blackwell</w:t>
      </w:r>
      <w:r>
        <w:rPr>
          <w:i/>
          <w:color w:val="231F20"/>
          <w:spacing w:val="29"/>
          <w:w w:val="105"/>
          <w:sz w:val="17"/>
        </w:rPr>
        <w:t xml:space="preserve"> </w:t>
      </w:r>
      <w:r>
        <w:rPr>
          <w:i/>
          <w:color w:val="231F20"/>
          <w:w w:val="105"/>
          <w:sz w:val="17"/>
        </w:rPr>
        <w:t>Companion</w:t>
      </w:r>
      <w:r>
        <w:rPr>
          <w:i/>
          <w:color w:val="231F20"/>
          <w:spacing w:val="28"/>
          <w:w w:val="105"/>
          <w:sz w:val="17"/>
        </w:rPr>
        <w:t xml:space="preserve"> </w:t>
      </w:r>
      <w:r>
        <w:rPr>
          <w:i/>
          <w:color w:val="231F20"/>
          <w:w w:val="105"/>
          <w:sz w:val="17"/>
        </w:rPr>
        <w:t>to</w:t>
      </w:r>
      <w:r>
        <w:rPr>
          <w:i/>
          <w:color w:val="231F20"/>
          <w:spacing w:val="29"/>
          <w:w w:val="105"/>
          <w:sz w:val="17"/>
        </w:rPr>
        <w:t xml:space="preserve"> </w:t>
      </w:r>
      <w:r>
        <w:rPr>
          <w:i/>
          <w:color w:val="231F20"/>
          <w:spacing w:val="-2"/>
          <w:w w:val="105"/>
          <w:sz w:val="17"/>
        </w:rPr>
        <w:t>Tourism</w:t>
      </w:r>
    </w:p>
    <w:p w14:paraId="65D2DD85" w14:textId="77777777" w:rsidR="00AE0598" w:rsidRDefault="0069255A">
      <w:pPr>
        <w:ind w:left="430"/>
        <w:rPr>
          <w:sz w:val="17"/>
        </w:rPr>
      </w:pPr>
      <w:r>
        <w:rPr>
          <w:color w:val="231F20"/>
          <w:w w:val="95"/>
          <w:sz w:val="17"/>
        </w:rPr>
        <w:t>(pp.</w:t>
      </w:r>
      <w:r>
        <w:rPr>
          <w:color w:val="231F20"/>
          <w:spacing w:val="18"/>
          <w:sz w:val="17"/>
        </w:rPr>
        <w:t xml:space="preserve"> </w:t>
      </w:r>
      <w:r>
        <w:rPr>
          <w:color w:val="231F20"/>
          <w:w w:val="95"/>
          <w:sz w:val="17"/>
        </w:rPr>
        <w:t>210–219).</w:t>
      </w:r>
      <w:r>
        <w:rPr>
          <w:color w:val="231F20"/>
          <w:spacing w:val="19"/>
          <w:sz w:val="17"/>
        </w:rPr>
        <w:t xml:space="preserve"> </w:t>
      </w:r>
      <w:r>
        <w:rPr>
          <w:color w:val="231F20"/>
          <w:w w:val="95"/>
          <w:sz w:val="17"/>
        </w:rPr>
        <w:t>Chichester:</w:t>
      </w:r>
      <w:r>
        <w:rPr>
          <w:color w:val="231F20"/>
          <w:spacing w:val="19"/>
          <w:sz w:val="17"/>
        </w:rPr>
        <w:t xml:space="preserve"> </w:t>
      </w:r>
      <w:r>
        <w:rPr>
          <w:color w:val="231F20"/>
          <w:w w:val="95"/>
          <w:sz w:val="17"/>
        </w:rPr>
        <w:t>John</w:t>
      </w:r>
      <w:r>
        <w:rPr>
          <w:color w:val="231F20"/>
          <w:spacing w:val="18"/>
          <w:sz w:val="17"/>
        </w:rPr>
        <w:t xml:space="preserve"> </w:t>
      </w:r>
      <w:r>
        <w:rPr>
          <w:color w:val="231F20"/>
          <w:w w:val="95"/>
          <w:sz w:val="17"/>
        </w:rPr>
        <w:t>Wiley</w:t>
      </w:r>
      <w:r>
        <w:rPr>
          <w:color w:val="231F20"/>
          <w:spacing w:val="19"/>
          <w:sz w:val="17"/>
        </w:rPr>
        <w:t xml:space="preserve"> </w:t>
      </w:r>
      <w:r>
        <w:rPr>
          <w:color w:val="231F20"/>
          <w:w w:val="95"/>
          <w:sz w:val="17"/>
        </w:rPr>
        <w:t>&amp;</w:t>
      </w:r>
      <w:r>
        <w:rPr>
          <w:color w:val="231F20"/>
          <w:spacing w:val="19"/>
          <w:sz w:val="17"/>
        </w:rPr>
        <w:t xml:space="preserve"> </w:t>
      </w:r>
      <w:r>
        <w:rPr>
          <w:color w:val="231F20"/>
          <w:spacing w:val="-2"/>
          <w:w w:val="95"/>
          <w:sz w:val="17"/>
        </w:rPr>
        <w:t>Sons.</w:t>
      </w:r>
    </w:p>
    <w:p w14:paraId="65892443" w14:textId="77777777" w:rsidR="00AE0598" w:rsidRDefault="0069255A">
      <w:pPr>
        <w:spacing w:before="1"/>
        <w:ind w:left="430" w:right="156" w:hanging="320"/>
        <w:rPr>
          <w:sz w:val="17"/>
        </w:rPr>
      </w:pPr>
      <w:r>
        <w:rPr>
          <w:color w:val="231F20"/>
          <w:sz w:val="17"/>
        </w:rPr>
        <w:t xml:space="preserve">Morley, D. and Robins, K. (1995) </w:t>
      </w:r>
      <w:r>
        <w:rPr>
          <w:i/>
          <w:color w:val="231F20"/>
          <w:sz w:val="17"/>
        </w:rPr>
        <w:t>Spaces of Identity: Global Media, Electronic Landscapes</w:t>
      </w:r>
      <w:r>
        <w:rPr>
          <w:i/>
          <w:color w:val="231F20"/>
          <w:spacing w:val="40"/>
          <w:sz w:val="17"/>
        </w:rPr>
        <w:t xml:space="preserve"> </w:t>
      </w:r>
      <w:r>
        <w:rPr>
          <w:i/>
          <w:color w:val="231F20"/>
          <w:sz w:val="17"/>
        </w:rPr>
        <w:t>and Cultural Boundaries</w:t>
      </w:r>
      <w:r>
        <w:rPr>
          <w:color w:val="231F20"/>
          <w:sz w:val="17"/>
        </w:rPr>
        <w:t>. London: Routledge.</w:t>
      </w:r>
    </w:p>
    <w:p w14:paraId="5940FC39" w14:textId="77777777" w:rsidR="00AE0598" w:rsidRDefault="0069255A">
      <w:pPr>
        <w:spacing w:before="1"/>
        <w:ind w:left="430" w:hanging="320"/>
        <w:rPr>
          <w:sz w:val="17"/>
        </w:rPr>
      </w:pPr>
      <w:r>
        <w:rPr>
          <w:color w:val="231F20"/>
          <w:w w:val="95"/>
          <w:sz w:val="17"/>
        </w:rPr>
        <w:t>Morse, J. (2001) The Sydney 2000 Olympic Games: How the Australian tourist commission</w:t>
      </w:r>
      <w:r>
        <w:rPr>
          <w:color w:val="231F20"/>
          <w:spacing w:val="40"/>
          <w:sz w:val="17"/>
        </w:rPr>
        <w:t xml:space="preserve"> </w:t>
      </w:r>
      <w:r>
        <w:rPr>
          <w:color w:val="231F20"/>
          <w:sz w:val="17"/>
        </w:rPr>
        <w:t xml:space="preserve">leveraged the games for tourism. </w:t>
      </w:r>
      <w:r>
        <w:rPr>
          <w:i/>
          <w:color w:val="231F20"/>
          <w:sz w:val="17"/>
        </w:rPr>
        <w:t xml:space="preserve">Journal of Vacation Marketing </w:t>
      </w:r>
      <w:r>
        <w:rPr>
          <w:color w:val="231F20"/>
          <w:sz w:val="17"/>
        </w:rPr>
        <w:t>7 (2), 101–107.</w:t>
      </w:r>
    </w:p>
    <w:p w14:paraId="2D190767" w14:textId="77777777" w:rsidR="00AE0598" w:rsidRDefault="0069255A">
      <w:pPr>
        <w:spacing w:before="2"/>
        <w:ind w:left="110"/>
        <w:rPr>
          <w:sz w:val="17"/>
        </w:rPr>
      </w:pPr>
      <w:r>
        <w:rPr>
          <w:color w:val="231F20"/>
          <w:sz w:val="17"/>
        </w:rPr>
        <w:t>Moscardo,</w:t>
      </w:r>
      <w:r>
        <w:rPr>
          <w:color w:val="231F20"/>
          <w:spacing w:val="21"/>
          <w:sz w:val="17"/>
        </w:rPr>
        <w:t xml:space="preserve"> </w:t>
      </w:r>
      <w:r>
        <w:rPr>
          <w:color w:val="231F20"/>
          <w:sz w:val="17"/>
        </w:rPr>
        <w:t>G.</w:t>
      </w:r>
      <w:r>
        <w:rPr>
          <w:color w:val="231F20"/>
          <w:spacing w:val="22"/>
          <w:sz w:val="17"/>
        </w:rPr>
        <w:t xml:space="preserve"> </w:t>
      </w:r>
      <w:r>
        <w:rPr>
          <w:color w:val="231F20"/>
          <w:sz w:val="17"/>
        </w:rPr>
        <w:t>(2000)</w:t>
      </w:r>
      <w:r>
        <w:rPr>
          <w:color w:val="231F20"/>
          <w:spacing w:val="21"/>
          <w:sz w:val="17"/>
        </w:rPr>
        <w:t xml:space="preserve"> </w:t>
      </w:r>
      <w:r>
        <w:rPr>
          <w:color w:val="231F20"/>
          <w:sz w:val="17"/>
        </w:rPr>
        <w:t>Cultural</w:t>
      </w:r>
      <w:r>
        <w:rPr>
          <w:color w:val="231F20"/>
          <w:spacing w:val="22"/>
          <w:sz w:val="17"/>
        </w:rPr>
        <w:t xml:space="preserve"> </w:t>
      </w:r>
      <w:r>
        <w:rPr>
          <w:color w:val="231F20"/>
          <w:sz w:val="17"/>
        </w:rPr>
        <w:t>and</w:t>
      </w:r>
      <w:r>
        <w:rPr>
          <w:color w:val="231F20"/>
          <w:spacing w:val="22"/>
          <w:sz w:val="17"/>
        </w:rPr>
        <w:t xml:space="preserve"> </w:t>
      </w:r>
      <w:r>
        <w:rPr>
          <w:color w:val="231F20"/>
          <w:sz w:val="17"/>
        </w:rPr>
        <w:t>heritage</w:t>
      </w:r>
      <w:r>
        <w:rPr>
          <w:color w:val="231F20"/>
          <w:spacing w:val="21"/>
          <w:sz w:val="17"/>
        </w:rPr>
        <w:t xml:space="preserve"> </w:t>
      </w:r>
      <w:r>
        <w:rPr>
          <w:color w:val="231F20"/>
          <w:sz w:val="17"/>
        </w:rPr>
        <w:t>tourism:</w:t>
      </w:r>
      <w:r>
        <w:rPr>
          <w:color w:val="231F20"/>
          <w:spacing w:val="22"/>
          <w:sz w:val="17"/>
        </w:rPr>
        <w:t xml:space="preserve"> </w:t>
      </w:r>
      <w:r>
        <w:rPr>
          <w:color w:val="231F20"/>
          <w:sz w:val="17"/>
        </w:rPr>
        <w:t>The</w:t>
      </w:r>
      <w:r>
        <w:rPr>
          <w:color w:val="231F20"/>
          <w:spacing w:val="21"/>
          <w:sz w:val="17"/>
        </w:rPr>
        <w:t xml:space="preserve"> </w:t>
      </w:r>
      <w:r>
        <w:rPr>
          <w:color w:val="231F20"/>
          <w:sz w:val="17"/>
        </w:rPr>
        <w:t>great</w:t>
      </w:r>
      <w:r>
        <w:rPr>
          <w:color w:val="231F20"/>
          <w:spacing w:val="22"/>
          <w:sz w:val="17"/>
        </w:rPr>
        <w:t xml:space="preserve"> </w:t>
      </w:r>
      <w:r>
        <w:rPr>
          <w:color w:val="231F20"/>
          <w:sz w:val="17"/>
        </w:rPr>
        <w:t>debates.</w:t>
      </w:r>
      <w:r>
        <w:rPr>
          <w:color w:val="231F20"/>
          <w:spacing w:val="21"/>
          <w:sz w:val="17"/>
        </w:rPr>
        <w:t xml:space="preserve"> </w:t>
      </w:r>
      <w:r>
        <w:rPr>
          <w:color w:val="231F20"/>
          <w:sz w:val="17"/>
        </w:rPr>
        <w:t>In</w:t>
      </w:r>
      <w:r>
        <w:rPr>
          <w:color w:val="231F20"/>
          <w:spacing w:val="22"/>
          <w:sz w:val="17"/>
        </w:rPr>
        <w:t xml:space="preserve"> </w:t>
      </w:r>
      <w:r>
        <w:rPr>
          <w:color w:val="231F20"/>
          <w:sz w:val="17"/>
        </w:rPr>
        <w:t>B.</w:t>
      </w:r>
      <w:r>
        <w:rPr>
          <w:color w:val="231F20"/>
          <w:spacing w:val="22"/>
          <w:sz w:val="17"/>
        </w:rPr>
        <w:t xml:space="preserve"> </w:t>
      </w:r>
      <w:r>
        <w:rPr>
          <w:color w:val="231F20"/>
          <w:spacing w:val="-2"/>
          <w:sz w:val="17"/>
        </w:rPr>
        <w:t>Faulkner,</w:t>
      </w:r>
    </w:p>
    <w:p w14:paraId="343DB516" w14:textId="77777777" w:rsidR="00AE0598" w:rsidRDefault="0069255A">
      <w:pPr>
        <w:ind w:left="430"/>
        <w:rPr>
          <w:i/>
          <w:sz w:val="17"/>
        </w:rPr>
      </w:pPr>
      <w:r>
        <w:rPr>
          <w:color w:val="231F20"/>
          <w:sz w:val="17"/>
        </w:rPr>
        <w:t>G.</w:t>
      </w:r>
      <w:r>
        <w:rPr>
          <w:color w:val="231F20"/>
          <w:spacing w:val="2"/>
          <w:sz w:val="17"/>
        </w:rPr>
        <w:t xml:space="preserve"> </w:t>
      </w:r>
      <w:r>
        <w:rPr>
          <w:color w:val="231F20"/>
          <w:sz w:val="17"/>
        </w:rPr>
        <w:t>Mo</w:t>
      </w:r>
      <w:r>
        <w:rPr>
          <w:color w:val="231F20"/>
          <w:sz w:val="17"/>
        </w:rPr>
        <w:t>scardo</w:t>
      </w:r>
      <w:r>
        <w:rPr>
          <w:color w:val="231F20"/>
          <w:spacing w:val="4"/>
          <w:sz w:val="17"/>
        </w:rPr>
        <w:t xml:space="preserve"> </w:t>
      </w:r>
      <w:r>
        <w:rPr>
          <w:color w:val="231F20"/>
          <w:sz w:val="17"/>
        </w:rPr>
        <w:t>and</w:t>
      </w:r>
      <w:r>
        <w:rPr>
          <w:color w:val="231F20"/>
          <w:spacing w:val="4"/>
          <w:sz w:val="17"/>
        </w:rPr>
        <w:t xml:space="preserve"> </w:t>
      </w:r>
      <w:r>
        <w:rPr>
          <w:color w:val="231F20"/>
          <w:sz w:val="17"/>
        </w:rPr>
        <w:t>E.</w:t>
      </w:r>
      <w:r>
        <w:rPr>
          <w:color w:val="231F20"/>
          <w:spacing w:val="2"/>
          <w:sz w:val="17"/>
        </w:rPr>
        <w:t xml:space="preserve"> </w:t>
      </w:r>
      <w:r>
        <w:rPr>
          <w:color w:val="231F20"/>
          <w:sz w:val="17"/>
        </w:rPr>
        <w:t>Laws</w:t>
      </w:r>
      <w:r>
        <w:rPr>
          <w:color w:val="231F20"/>
          <w:spacing w:val="4"/>
          <w:sz w:val="17"/>
        </w:rPr>
        <w:t xml:space="preserve"> </w:t>
      </w:r>
      <w:r>
        <w:rPr>
          <w:color w:val="231F20"/>
          <w:sz w:val="17"/>
        </w:rPr>
        <w:t>(eds)</w:t>
      </w:r>
      <w:r>
        <w:rPr>
          <w:color w:val="231F20"/>
          <w:spacing w:val="3"/>
          <w:sz w:val="17"/>
        </w:rPr>
        <w:t xml:space="preserve"> </w:t>
      </w:r>
      <w:r>
        <w:rPr>
          <w:i/>
          <w:color w:val="231F20"/>
          <w:sz w:val="17"/>
        </w:rPr>
        <w:t>Tourism</w:t>
      </w:r>
      <w:r>
        <w:rPr>
          <w:i/>
          <w:color w:val="231F20"/>
          <w:spacing w:val="3"/>
          <w:sz w:val="17"/>
        </w:rPr>
        <w:t xml:space="preserve"> </w:t>
      </w:r>
      <w:r>
        <w:rPr>
          <w:i/>
          <w:color w:val="231F20"/>
          <w:sz w:val="17"/>
        </w:rPr>
        <w:t>in</w:t>
      </w:r>
      <w:r>
        <w:rPr>
          <w:i/>
          <w:color w:val="231F20"/>
          <w:spacing w:val="3"/>
          <w:sz w:val="17"/>
        </w:rPr>
        <w:t xml:space="preserve"> </w:t>
      </w:r>
      <w:r>
        <w:rPr>
          <w:i/>
          <w:color w:val="231F20"/>
          <w:sz w:val="17"/>
        </w:rPr>
        <w:t>the</w:t>
      </w:r>
      <w:r>
        <w:rPr>
          <w:i/>
          <w:color w:val="231F20"/>
          <w:spacing w:val="2"/>
          <w:sz w:val="17"/>
        </w:rPr>
        <w:t xml:space="preserve"> </w:t>
      </w:r>
      <w:r>
        <w:rPr>
          <w:i/>
          <w:color w:val="231F20"/>
          <w:sz w:val="17"/>
        </w:rPr>
        <w:t>21st</w:t>
      </w:r>
      <w:r>
        <w:rPr>
          <w:i/>
          <w:color w:val="231F20"/>
          <w:spacing w:val="3"/>
          <w:sz w:val="17"/>
        </w:rPr>
        <w:t xml:space="preserve"> </w:t>
      </w:r>
      <w:r>
        <w:rPr>
          <w:i/>
          <w:color w:val="231F20"/>
          <w:sz w:val="17"/>
        </w:rPr>
        <w:t>Century:</w:t>
      </w:r>
      <w:r>
        <w:rPr>
          <w:i/>
          <w:color w:val="231F20"/>
          <w:spacing w:val="2"/>
          <w:sz w:val="17"/>
        </w:rPr>
        <w:t xml:space="preserve"> </w:t>
      </w:r>
      <w:r>
        <w:rPr>
          <w:i/>
          <w:color w:val="231F20"/>
          <w:sz w:val="17"/>
        </w:rPr>
        <w:t>Lessons</w:t>
      </w:r>
      <w:r>
        <w:rPr>
          <w:i/>
          <w:color w:val="231F20"/>
          <w:spacing w:val="3"/>
          <w:sz w:val="17"/>
        </w:rPr>
        <w:t xml:space="preserve"> </w:t>
      </w:r>
      <w:r>
        <w:rPr>
          <w:i/>
          <w:color w:val="231F20"/>
          <w:sz w:val="17"/>
        </w:rPr>
        <w:t>from</w:t>
      </w:r>
      <w:r>
        <w:rPr>
          <w:i/>
          <w:color w:val="231F20"/>
          <w:spacing w:val="3"/>
          <w:sz w:val="17"/>
        </w:rPr>
        <w:t xml:space="preserve"> </w:t>
      </w:r>
      <w:r>
        <w:rPr>
          <w:i/>
          <w:color w:val="231F20"/>
          <w:spacing w:val="-2"/>
          <w:sz w:val="17"/>
        </w:rPr>
        <w:t>Experience</w:t>
      </w:r>
    </w:p>
    <w:p w14:paraId="3E58EF73" w14:textId="77777777" w:rsidR="00AE0598" w:rsidRDefault="0069255A">
      <w:pPr>
        <w:spacing w:before="1"/>
        <w:ind w:left="430"/>
        <w:rPr>
          <w:sz w:val="17"/>
        </w:rPr>
      </w:pPr>
      <w:r>
        <w:rPr>
          <w:color w:val="231F20"/>
          <w:w w:val="95"/>
          <w:sz w:val="17"/>
        </w:rPr>
        <w:t>(pp.</w:t>
      </w:r>
      <w:r>
        <w:rPr>
          <w:color w:val="231F20"/>
          <w:spacing w:val="13"/>
          <w:sz w:val="17"/>
        </w:rPr>
        <w:t xml:space="preserve"> </w:t>
      </w:r>
      <w:r>
        <w:rPr>
          <w:color w:val="231F20"/>
          <w:w w:val="95"/>
          <w:sz w:val="17"/>
        </w:rPr>
        <w:t>3–17).</w:t>
      </w:r>
      <w:r>
        <w:rPr>
          <w:color w:val="231F20"/>
          <w:spacing w:val="13"/>
          <w:sz w:val="17"/>
        </w:rPr>
        <w:t xml:space="preserve"> </w:t>
      </w:r>
      <w:r>
        <w:rPr>
          <w:color w:val="231F20"/>
          <w:w w:val="95"/>
          <w:sz w:val="17"/>
        </w:rPr>
        <w:t>London:</w:t>
      </w:r>
      <w:r>
        <w:rPr>
          <w:color w:val="231F20"/>
          <w:spacing w:val="13"/>
          <w:sz w:val="17"/>
        </w:rPr>
        <w:t xml:space="preserve"> </w:t>
      </w:r>
      <w:r>
        <w:rPr>
          <w:color w:val="231F20"/>
          <w:spacing w:val="-2"/>
          <w:w w:val="95"/>
          <w:sz w:val="17"/>
        </w:rPr>
        <w:t>Continuum.</w:t>
      </w:r>
    </w:p>
    <w:p w14:paraId="74E6DC2D" w14:textId="77777777" w:rsidR="00AE0598" w:rsidRDefault="0069255A">
      <w:pPr>
        <w:spacing w:before="1"/>
        <w:ind w:left="430" w:right="128" w:hanging="320"/>
        <w:jc w:val="both"/>
        <w:rPr>
          <w:sz w:val="17"/>
        </w:rPr>
      </w:pPr>
      <w:r>
        <w:rPr>
          <w:color w:val="231F20"/>
          <w:sz w:val="17"/>
        </w:rPr>
        <w:t xml:space="preserve">Moularde, </w:t>
      </w:r>
      <w:r>
        <w:rPr>
          <w:color w:val="231F20"/>
          <w:w w:val="110"/>
          <w:sz w:val="17"/>
        </w:rPr>
        <w:t xml:space="preserve">J. </w:t>
      </w:r>
      <w:r>
        <w:rPr>
          <w:color w:val="231F20"/>
          <w:sz w:val="17"/>
        </w:rPr>
        <w:t xml:space="preserve">and Weaver, </w:t>
      </w:r>
      <w:r>
        <w:rPr>
          <w:color w:val="231F20"/>
          <w:w w:val="110"/>
          <w:sz w:val="17"/>
        </w:rPr>
        <w:t xml:space="preserve">A. </w:t>
      </w:r>
      <w:r>
        <w:rPr>
          <w:color w:val="231F20"/>
          <w:sz w:val="17"/>
        </w:rPr>
        <w:t>(2016) Serious about leisure, serious about destinations:</w:t>
      </w:r>
      <w:r>
        <w:rPr>
          <w:color w:val="231F20"/>
          <w:spacing w:val="40"/>
          <w:sz w:val="17"/>
        </w:rPr>
        <w:t xml:space="preserve"> </w:t>
      </w:r>
      <w:r>
        <w:rPr>
          <w:color w:val="231F20"/>
          <w:sz w:val="17"/>
        </w:rPr>
        <w:t xml:space="preserve">Mountain bikers and destination attractiveness. </w:t>
      </w:r>
      <w:r>
        <w:rPr>
          <w:i/>
          <w:color w:val="231F20"/>
          <w:sz w:val="17"/>
        </w:rPr>
        <w:t xml:space="preserve">Journal of Sport </w:t>
      </w:r>
      <w:r>
        <w:rPr>
          <w:i/>
          <w:color w:val="231F20"/>
          <w:w w:val="110"/>
          <w:sz w:val="17"/>
        </w:rPr>
        <w:t xml:space="preserve">&amp; </w:t>
      </w:r>
      <w:r>
        <w:rPr>
          <w:i/>
          <w:color w:val="231F20"/>
          <w:sz w:val="17"/>
        </w:rPr>
        <w:t xml:space="preserve">Tourism </w:t>
      </w:r>
      <w:r>
        <w:rPr>
          <w:color w:val="231F20"/>
          <w:sz w:val="17"/>
        </w:rPr>
        <w:t>20 (3,4),</w:t>
      </w:r>
      <w:r>
        <w:rPr>
          <w:color w:val="231F20"/>
          <w:spacing w:val="40"/>
          <w:sz w:val="17"/>
        </w:rPr>
        <w:t xml:space="preserve"> </w:t>
      </w:r>
      <w:r>
        <w:rPr>
          <w:color w:val="231F20"/>
          <w:spacing w:val="-2"/>
          <w:sz w:val="17"/>
        </w:rPr>
        <w:t>285–304.</w:t>
      </w:r>
    </w:p>
    <w:p w14:paraId="57999C8A" w14:textId="77777777" w:rsidR="00AE0598" w:rsidRDefault="0069255A">
      <w:pPr>
        <w:spacing w:before="2"/>
        <w:ind w:left="430" w:right="128" w:hanging="320"/>
        <w:jc w:val="both"/>
        <w:rPr>
          <w:sz w:val="17"/>
        </w:rPr>
      </w:pPr>
      <w:r>
        <w:rPr>
          <w:color w:val="231F20"/>
          <w:sz w:val="17"/>
        </w:rPr>
        <w:t xml:space="preserve">Mounet, </w:t>
      </w:r>
      <w:r>
        <w:rPr>
          <w:color w:val="231F20"/>
          <w:w w:val="105"/>
          <w:sz w:val="17"/>
        </w:rPr>
        <w:t xml:space="preserve">J. </w:t>
      </w:r>
      <w:r>
        <w:rPr>
          <w:color w:val="231F20"/>
          <w:sz w:val="17"/>
        </w:rPr>
        <w:t xml:space="preserve">and Chifflet, P. (1996) Commercial supply for river water sports. </w:t>
      </w:r>
      <w:r>
        <w:rPr>
          <w:i/>
          <w:color w:val="231F20"/>
          <w:sz w:val="17"/>
        </w:rPr>
        <w:t>International</w:t>
      </w:r>
      <w:r>
        <w:rPr>
          <w:i/>
          <w:color w:val="231F20"/>
          <w:spacing w:val="40"/>
          <w:sz w:val="17"/>
        </w:rPr>
        <w:t xml:space="preserve"> </w:t>
      </w:r>
      <w:r>
        <w:rPr>
          <w:i/>
          <w:color w:val="231F20"/>
          <w:sz w:val="17"/>
        </w:rPr>
        <w:t xml:space="preserve">Review for the Sociology of Sport </w:t>
      </w:r>
      <w:r>
        <w:rPr>
          <w:color w:val="231F20"/>
          <w:sz w:val="17"/>
        </w:rPr>
        <w:t>31 (3), 233–256.</w:t>
      </w:r>
    </w:p>
    <w:p w14:paraId="3B172D14" w14:textId="77777777" w:rsidR="00AE0598" w:rsidRDefault="0069255A">
      <w:pPr>
        <w:spacing w:before="1"/>
        <w:ind w:left="430" w:right="127" w:hanging="320"/>
        <w:jc w:val="both"/>
        <w:rPr>
          <w:sz w:val="17"/>
        </w:rPr>
      </w:pPr>
      <w:r>
        <w:rPr>
          <w:color w:val="231F20"/>
          <w:sz w:val="17"/>
        </w:rPr>
        <w:t>Mourdoukoutas, P.G. (1998) Seasonal employment, seasonal unemployment and</w:t>
      </w:r>
      <w:r>
        <w:rPr>
          <w:color w:val="231F20"/>
          <w:spacing w:val="40"/>
          <w:sz w:val="17"/>
        </w:rPr>
        <w:t xml:space="preserve"> </w:t>
      </w:r>
      <w:r>
        <w:rPr>
          <w:color w:val="231F20"/>
          <w:sz w:val="17"/>
        </w:rPr>
        <w:t xml:space="preserve">unemployment compensation. </w:t>
      </w:r>
      <w:r>
        <w:rPr>
          <w:i/>
          <w:color w:val="231F20"/>
          <w:sz w:val="17"/>
        </w:rPr>
        <w:t xml:space="preserve">American Journal of Economics and Sociology </w:t>
      </w:r>
      <w:r>
        <w:rPr>
          <w:color w:val="231F20"/>
          <w:sz w:val="17"/>
        </w:rPr>
        <w:t>47 (3),</w:t>
      </w:r>
      <w:r>
        <w:rPr>
          <w:color w:val="231F20"/>
          <w:spacing w:val="40"/>
          <w:sz w:val="17"/>
        </w:rPr>
        <w:t xml:space="preserve"> </w:t>
      </w:r>
      <w:r>
        <w:rPr>
          <w:color w:val="231F20"/>
          <w:spacing w:val="-2"/>
          <w:sz w:val="17"/>
        </w:rPr>
        <w:t>315–329.</w:t>
      </w:r>
    </w:p>
    <w:p w14:paraId="03293508" w14:textId="77777777" w:rsidR="00AE0598" w:rsidRDefault="0069255A">
      <w:pPr>
        <w:spacing w:before="3"/>
        <w:ind w:left="110"/>
        <w:jc w:val="both"/>
        <w:rPr>
          <w:sz w:val="17"/>
        </w:rPr>
      </w:pPr>
      <w:r>
        <w:rPr>
          <w:color w:val="231F20"/>
          <w:sz w:val="17"/>
        </w:rPr>
        <w:t>Mowforth,</w:t>
      </w:r>
      <w:r>
        <w:rPr>
          <w:color w:val="231F20"/>
          <w:spacing w:val="11"/>
          <w:sz w:val="17"/>
        </w:rPr>
        <w:t xml:space="preserve"> </w:t>
      </w:r>
      <w:r>
        <w:rPr>
          <w:color w:val="231F20"/>
          <w:sz w:val="17"/>
        </w:rPr>
        <w:t>M.</w:t>
      </w:r>
      <w:r>
        <w:rPr>
          <w:color w:val="231F20"/>
          <w:spacing w:val="12"/>
          <w:sz w:val="17"/>
        </w:rPr>
        <w:t xml:space="preserve"> </w:t>
      </w:r>
      <w:r>
        <w:rPr>
          <w:color w:val="231F20"/>
          <w:sz w:val="17"/>
        </w:rPr>
        <w:t>(2002)</w:t>
      </w:r>
      <w:r>
        <w:rPr>
          <w:color w:val="231F20"/>
          <w:spacing w:val="11"/>
          <w:sz w:val="17"/>
        </w:rPr>
        <w:t xml:space="preserve"> </w:t>
      </w:r>
      <w:r>
        <w:rPr>
          <w:i/>
          <w:color w:val="231F20"/>
          <w:sz w:val="17"/>
        </w:rPr>
        <w:t>Tourism</w:t>
      </w:r>
      <w:r>
        <w:rPr>
          <w:i/>
          <w:color w:val="231F20"/>
          <w:spacing w:val="12"/>
          <w:sz w:val="17"/>
        </w:rPr>
        <w:t xml:space="preserve"> </w:t>
      </w:r>
      <w:r>
        <w:rPr>
          <w:i/>
          <w:color w:val="231F20"/>
          <w:sz w:val="17"/>
        </w:rPr>
        <w:t>and</w:t>
      </w:r>
      <w:r>
        <w:rPr>
          <w:i/>
          <w:color w:val="231F20"/>
          <w:spacing w:val="11"/>
          <w:sz w:val="17"/>
        </w:rPr>
        <w:t xml:space="preserve"> </w:t>
      </w:r>
      <w:r>
        <w:rPr>
          <w:i/>
          <w:color w:val="231F20"/>
          <w:sz w:val="17"/>
        </w:rPr>
        <w:t>Sustainability</w:t>
      </w:r>
      <w:r>
        <w:rPr>
          <w:color w:val="231F20"/>
          <w:sz w:val="17"/>
        </w:rPr>
        <w:t>.</w:t>
      </w:r>
      <w:r>
        <w:rPr>
          <w:color w:val="231F20"/>
          <w:spacing w:val="12"/>
          <w:sz w:val="17"/>
        </w:rPr>
        <w:t xml:space="preserve"> </w:t>
      </w:r>
      <w:r>
        <w:rPr>
          <w:color w:val="231F20"/>
          <w:sz w:val="17"/>
        </w:rPr>
        <w:t>London:</w:t>
      </w:r>
      <w:r>
        <w:rPr>
          <w:color w:val="231F20"/>
          <w:spacing w:val="12"/>
          <w:sz w:val="17"/>
        </w:rPr>
        <w:t xml:space="preserve"> </w:t>
      </w:r>
      <w:r>
        <w:rPr>
          <w:color w:val="231F20"/>
          <w:spacing w:val="-2"/>
          <w:sz w:val="17"/>
        </w:rPr>
        <w:t>Routledge.</w:t>
      </w:r>
    </w:p>
    <w:p w14:paraId="5EE4226F" w14:textId="77777777" w:rsidR="00AE0598" w:rsidRDefault="0069255A">
      <w:pPr>
        <w:ind w:left="430" w:right="128" w:hanging="320"/>
        <w:jc w:val="both"/>
        <w:rPr>
          <w:sz w:val="17"/>
        </w:rPr>
      </w:pPr>
      <w:r>
        <w:rPr>
          <w:color w:val="231F20"/>
          <w:sz w:val="17"/>
        </w:rPr>
        <w:t>Mowforth, M. and Munt, I. (</w:t>
      </w:r>
      <w:r>
        <w:rPr>
          <w:color w:val="231F20"/>
          <w:sz w:val="17"/>
        </w:rPr>
        <w:t xml:space="preserve">1998) </w:t>
      </w:r>
      <w:r>
        <w:rPr>
          <w:i/>
          <w:color w:val="231F20"/>
          <w:sz w:val="17"/>
        </w:rPr>
        <w:t>Tourism and Sustainability: New Tourism in the Third</w:t>
      </w:r>
      <w:r>
        <w:rPr>
          <w:i/>
          <w:color w:val="231F20"/>
          <w:spacing w:val="40"/>
          <w:sz w:val="17"/>
        </w:rPr>
        <w:t xml:space="preserve"> </w:t>
      </w:r>
      <w:r>
        <w:rPr>
          <w:i/>
          <w:color w:val="231F20"/>
          <w:sz w:val="17"/>
        </w:rPr>
        <w:t>World</w:t>
      </w:r>
      <w:r>
        <w:rPr>
          <w:color w:val="231F20"/>
          <w:sz w:val="17"/>
        </w:rPr>
        <w:t>. London: Routledge.</w:t>
      </w:r>
    </w:p>
    <w:p w14:paraId="7109F4CF" w14:textId="77777777" w:rsidR="00AE0598" w:rsidRDefault="0069255A">
      <w:pPr>
        <w:spacing w:before="2"/>
        <w:ind w:left="430" w:right="128" w:hanging="320"/>
        <w:jc w:val="both"/>
        <w:rPr>
          <w:sz w:val="17"/>
        </w:rPr>
      </w:pPr>
      <w:r>
        <w:rPr>
          <w:color w:val="231F20"/>
          <w:sz w:val="17"/>
        </w:rPr>
        <w:t xml:space="preserve">Mowforth, M. and Munt, I. (2015) </w:t>
      </w:r>
      <w:r>
        <w:rPr>
          <w:i/>
          <w:color w:val="231F20"/>
          <w:sz w:val="17"/>
        </w:rPr>
        <w:t>Tourism and Sustainability: Development, Globalisation</w:t>
      </w:r>
      <w:r>
        <w:rPr>
          <w:i/>
          <w:color w:val="231F20"/>
          <w:spacing w:val="40"/>
          <w:sz w:val="17"/>
        </w:rPr>
        <w:t xml:space="preserve"> </w:t>
      </w:r>
      <w:r>
        <w:rPr>
          <w:i/>
          <w:color w:val="231F20"/>
          <w:sz w:val="17"/>
        </w:rPr>
        <w:t>and New Tourism in the Third World</w:t>
      </w:r>
      <w:r>
        <w:rPr>
          <w:color w:val="231F20"/>
          <w:sz w:val="17"/>
        </w:rPr>
        <w:t>. London: Routledge.</w:t>
      </w:r>
    </w:p>
    <w:p w14:paraId="26019D0A" w14:textId="77777777" w:rsidR="00AE0598" w:rsidRDefault="0069255A">
      <w:pPr>
        <w:spacing w:before="1"/>
        <w:ind w:left="430" w:right="128" w:hanging="320"/>
        <w:jc w:val="both"/>
        <w:rPr>
          <w:sz w:val="17"/>
        </w:rPr>
      </w:pPr>
      <w:r>
        <w:rPr>
          <w:color w:val="231F20"/>
          <w:sz w:val="17"/>
        </w:rPr>
        <w:t>Moyle, B.D., Kennelly, M. an</w:t>
      </w:r>
      <w:r>
        <w:rPr>
          <w:color w:val="231F20"/>
          <w:sz w:val="17"/>
        </w:rPr>
        <w:t>d Lamont, M. (2014) Risk management in triathlon: Amateur</w:t>
      </w:r>
      <w:r>
        <w:rPr>
          <w:color w:val="231F20"/>
          <w:spacing w:val="40"/>
          <w:sz w:val="17"/>
        </w:rPr>
        <w:t xml:space="preserve"> </w:t>
      </w:r>
      <w:r>
        <w:rPr>
          <w:color w:val="231F20"/>
          <w:sz w:val="17"/>
        </w:rPr>
        <w:t xml:space="preserve">athletes reactions to the cancellation of an event. </w:t>
      </w:r>
      <w:r>
        <w:rPr>
          <w:i/>
          <w:color w:val="231F20"/>
          <w:sz w:val="17"/>
        </w:rPr>
        <w:t>International Journal of Event</w:t>
      </w:r>
      <w:r>
        <w:rPr>
          <w:i/>
          <w:color w:val="231F20"/>
          <w:spacing w:val="40"/>
          <w:sz w:val="17"/>
        </w:rPr>
        <w:t xml:space="preserve"> </w:t>
      </w:r>
      <w:r>
        <w:rPr>
          <w:i/>
          <w:color w:val="231F20"/>
          <w:sz w:val="17"/>
        </w:rPr>
        <w:t xml:space="preserve">Management Research </w:t>
      </w:r>
      <w:r>
        <w:rPr>
          <w:color w:val="231F20"/>
          <w:sz w:val="17"/>
        </w:rPr>
        <w:t>8 (1), 94–106.</w:t>
      </w:r>
    </w:p>
    <w:p w14:paraId="26F25B95" w14:textId="77777777" w:rsidR="00AE0598" w:rsidRDefault="0069255A">
      <w:pPr>
        <w:spacing w:before="2"/>
        <w:ind w:left="110"/>
        <w:jc w:val="both"/>
        <w:rPr>
          <w:i/>
          <w:sz w:val="17"/>
        </w:rPr>
      </w:pPr>
      <w:r>
        <w:rPr>
          <w:color w:val="231F20"/>
          <w:w w:val="95"/>
          <w:sz w:val="17"/>
        </w:rPr>
        <w:t>Mules,</w:t>
      </w:r>
      <w:r>
        <w:rPr>
          <w:color w:val="231F20"/>
          <w:spacing w:val="13"/>
          <w:sz w:val="17"/>
        </w:rPr>
        <w:t xml:space="preserve"> </w:t>
      </w:r>
      <w:r>
        <w:rPr>
          <w:color w:val="231F20"/>
          <w:w w:val="95"/>
          <w:sz w:val="17"/>
        </w:rPr>
        <w:t>T.</w:t>
      </w:r>
      <w:r>
        <w:rPr>
          <w:color w:val="231F20"/>
          <w:spacing w:val="16"/>
          <w:sz w:val="17"/>
        </w:rPr>
        <w:t xml:space="preserve"> </w:t>
      </w:r>
      <w:r>
        <w:rPr>
          <w:color w:val="231F20"/>
          <w:w w:val="95"/>
          <w:sz w:val="17"/>
        </w:rPr>
        <w:t>(1998)</w:t>
      </w:r>
      <w:r>
        <w:rPr>
          <w:color w:val="231F20"/>
          <w:spacing w:val="16"/>
          <w:sz w:val="17"/>
        </w:rPr>
        <w:t xml:space="preserve"> </w:t>
      </w:r>
      <w:r>
        <w:rPr>
          <w:color w:val="231F20"/>
          <w:w w:val="95"/>
          <w:sz w:val="17"/>
        </w:rPr>
        <w:t>Taxpayer</w:t>
      </w:r>
      <w:r>
        <w:rPr>
          <w:color w:val="231F20"/>
          <w:spacing w:val="16"/>
          <w:sz w:val="17"/>
        </w:rPr>
        <w:t xml:space="preserve"> </w:t>
      </w:r>
      <w:r>
        <w:rPr>
          <w:color w:val="231F20"/>
          <w:w w:val="95"/>
          <w:sz w:val="17"/>
        </w:rPr>
        <w:t>subsidies</w:t>
      </w:r>
      <w:r>
        <w:rPr>
          <w:color w:val="231F20"/>
          <w:spacing w:val="15"/>
          <w:sz w:val="17"/>
        </w:rPr>
        <w:t xml:space="preserve"> </w:t>
      </w:r>
      <w:r>
        <w:rPr>
          <w:color w:val="231F20"/>
          <w:w w:val="95"/>
          <w:sz w:val="17"/>
        </w:rPr>
        <w:t>for</w:t>
      </w:r>
      <w:r>
        <w:rPr>
          <w:color w:val="231F20"/>
          <w:spacing w:val="16"/>
          <w:sz w:val="17"/>
        </w:rPr>
        <w:t xml:space="preserve"> </w:t>
      </w:r>
      <w:r>
        <w:rPr>
          <w:color w:val="231F20"/>
          <w:w w:val="95"/>
          <w:sz w:val="17"/>
        </w:rPr>
        <w:t>major</w:t>
      </w:r>
      <w:r>
        <w:rPr>
          <w:color w:val="231F20"/>
          <w:spacing w:val="16"/>
          <w:sz w:val="17"/>
        </w:rPr>
        <w:t xml:space="preserve"> </w:t>
      </w:r>
      <w:r>
        <w:rPr>
          <w:color w:val="231F20"/>
          <w:w w:val="95"/>
          <w:sz w:val="17"/>
        </w:rPr>
        <w:t>sporting</w:t>
      </w:r>
      <w:r>
        <w:rPr>
          <w:color w:val="231F20"/>
          <w:spacing w:val="16"/>
          <w:sz w:val="17"/>
        </w:rPr>
        <w:t xml:space="preserve"> </w:t>
      </w:r>
      <w:r>
        <w:rPr>
          <w:color w:val="231F20"/>
          <w:w w:val="95"/>
          <w:sz w:val="17"/>
        </w:rPr>
        <w:t>events.</w:t>
      </w:r>
      <w:r>
        <w:rPr>
          <w:color w:val="231F20"/>
          <w:spacing w:val="18"/>
          <w:sz w:val="17"/>
        </w:rPr>
        <w:t xml:space="preserve"> </w:t>
      </w:r>
      <w:r>
        <w:rPr>
          <w:i/>
          <w:color w:val="231F20"/>
          <w:w w:val="95"/>
          <w:sz w:val="17"/>
        </w:rPr>
        <w:t>Sport</w:t>
      </w:r>
      <w:r>
        <w:rPr>
          <w:i/>
          <w:color w:val="231F20"/>
          <w:spacing w:val="16"/>
          <w:sz w:val="17"/>
        </w:rPr>
        <w:t xml:space="preserve"> </w:t>
      </w:r>
      <w:r>
        <w:rPr>
          <w:i/>
          <w:color w:val="231F20"/>
          <w:w w:val="95"/>
          <w:sz w:val="17"/>
        </w:rPr>
        <w:t>Management</w:t>
      </w:r>
      <w:r>
        <w:rPr>
          <w:i/>
          <w:color w:val="231F20"/>
          <w:spacing w:val="16"/>
          <w:sz w:val="17"/>
        </w:rPr>
        <w:t xml:space="preserve"> </w:t>
      </w:r>
      <w:r>
        <w:rPr>
          <w:i/>
          <w:color w:val="231F20"/>
          <w:spacing w:val="-2"/>
          <w:w w:val="95"/>
          <w:sz w:val="17"/>
        </w:rPr>
        <w:t>Review</w:t>
      </w:r>
    </w:p>
    <w:p w14:paraId="3AB01987" w14:textId="77777777" w:rsidR="00AE0598" w:rsidRDefault="0069255A">
      <w:pPr>
        <w:spacing w:before="1"/>
        <w:ind w:left="430"/>
        <w:jc w:val="both"/>
        <w:rPr>
          <w:sz w:val="17"/>
        </w:rPr>
      </w:pPr>
      <w:r>
        <w:rPr>
          <w:color w:val="231F20"/>
          <w:spacing w:val="-2"/>
          <w:w w:val="95"/>
          <w:sz w:val="17"/>
        </w:rPr>
        <w:t>1</w:t>
      </w:r>
      <w:r>
        <w:rPr>
          <w:color w:val="231F20"/>
          <w:spacing w:val="-4"/>
          <w:w w:val="95"/>
          <w:sz w:val="17"/>
        </w:rPr>
        <w:t xml:space="preserve"> </w:t>
      </w:r>
      <w:r>
        <w:rPr>
          <w:color w:val="231F20"/>
          <w:spacing w:val="-2"/>
          <w:w w:val="95"/>
          <w:sz w:val="17"/>
        </w:rPr>
        <w:t>(1),</w:t>
      </w:r>
      <w:r>
        <w:rPr>
          <w:color w:val="231F20"/>
          <w:spacing w:val="-4"/>
          <w:w w:val="95"/>
          <w:sz w:val="17"/>
        </w:rPr>
        <w:t xml:space="preserve"> </w:t>
      </w:r>
      <w:r>
        <w:rPr>
          <w:color w:val="231F20"/>
          <w:spacing w:val="-2"/>
          <w:w w:val="95"/>
          <w:sz w:val="17"/>
        </w:rPr>
        <w:t>25–43.</w:t>
      </w:r>
    </w:p>
    <w:p w14:paraId="10D024F1" w14:textId="77777777" w:rsidR="00AE0598" w:rsidRDefault="0069255A">
      <w:pPr>
        <w:spacing w:before="1"/>
        <w:ind w:left="430" w:right="128" w:hanging="320"/>
        <w:jc w:val="both"/>
        <w:rPr>
          <w:sz w:val="17"/>
        </w:rPr>
      </w:pPr>
      <w:r>
        <w:rPr>
          <w:color w:val="231F20"/>
          <w:w w:val="95"/>
          <w:sz w:val="17"/>
        </w:rPr>
        <w:t>Murata, S. (2010) Ekosupotsu ni yoru kankou kaihatsu no seitouka to sono riron: ‘Seikatsu</w:t>
      </w:r>
      <w:r>
        <w:rPr>
          <w:color w:val="231F20"/>
          <w:spacing w:val="80"/>
          <w:w w:val="150"/>
          <w:sz w:val="17"/>
        </w:rPr>
        <w:t xml:space="preserve"> </w:t>
      </w:r>
      <w:r>
        <w:rPr>
          <w:color w:val="231F20"/>
          <w:sz w:val="17"/>
        </w:rPr>
        <w:t>no umi’ no jyuusouteki riyou wo meguru gyomin no taiou [Justification of tourism</w:t>
      </w:r>
      <w:r>
        <w:rPr>
          <w:color w:val="231F20"/>
          <w:spacing w:val="40"/>
          <w:sz w:val="17"/>
        </w:rPr>
        <w:t xml:space="preserve"> </w:t>
      </w:r>
      <w:r>
        <w:rPr>
          <w:color w:val="231F20"/>
          <w:sz w:val="17"/>
        </w:rPr>
        <w:t xml:space="preserve">development by eco-sport, and its logic: Dealings of </w:t>
      </w:r>
      <w:r>
        <w:rPr>
          <w:color w:val="231F20"/>
          <w:sz w:val="17"/>
        </w:rPr>
        <w:t>fishermen against overlapping</w:t>
      </w:r>
      <w:r>
        <w:rPr>
          <w:color w:val="231F20"/>
          <w:spacing w:val="40"/>
          <w:sz w:val="17"/>
        </w:rPr>
        <w:t xml:space="preserve"> </w:t>
      </w:r>
      <w:r>
        <w:rPr>
          <w:color w:val="231F20"/>
          <w:sz w:val="17"/>
        </w:rPr>
        <w:t xml:space="preserve">activities on ‘seikatsu no umi’]. </w:t>
      </w:r>
      <w:r>
        <w:rPr>
          <w:i/>
          <w:color w:val="231F20"/>
          <w:sz w:val="17"/>
        </w:rPr>
        <w:t xml:space="preserve">Soshioroji </w:t>
      </w:r>
      <w:r>
        <w:rPr>
          <w:color w:val="231F20"/>
          <w:sz w:val="17"/>
        </w:rPr>
        <w:t>55 (1), 21–38.</w:t>
      </w:r>
    </w:p>
    <w:p w14:paraId="1C25DD50" w14:textId="77777777" w:rsidR="00AE0598" w:rsidRDefault="0069255A">
      <w:pPr>
        <w:spacing w:before="2"/>
        <w:ind w:left="110"/>
        <w:jc w:val="both"/>
        <w:rPr>
          <w:sz w:val="17"/>
        </w:rPr>
      </w:pPr>
      <w:r>
        <w:rPr>
          <w:color w:val="231F20"/>
          <w:sz w:val="17"/>
        </w:rPr>
        <w:t>Murphy,</w:t>
      </w:r>
      <w:r>
        <w:rPr>
          <w:color w:val="231F20"/>
          <w:spacing w:val="13"/>
          <w:sz w:val="17"/>
        </w:rPr>
        <w:t xml:space="preserve"> </w:t>
      </w:r>
      <w:r>
        <w:rPr>
          <w:color w:val="231F20"/>
          <w:sz w:val="17"/>
        </w:rPr>
        <w:t>P.E.</w:t>
      </w:r>
      <w:r>
        <w:rPr>
          <w:color w:val="231F20"/>
          <w:spacing w:val="14"/>
          <w:sz w:val="17"/>
        </w:rPr>
        <w:t xml:space="preserve"> </w:t>
      </w:r>
      <w:r>
        <w:rPr>
          <w:color w:val="231F20"/>
          <w:sz w:val="17"/>
        </w:rPr>
        <w:t>(1985)</w:t>
      </w:r>
      <w:r>
        <w:rPr>
          <w:color w:val="231F20"/>
          <w:spacing w:val="14"/>
          <w:sz w:val="17"/>
        </w:rPr>
        <w:t xml:space="preserve"> </w:t>
      </w:r>
      <w:r>
        <w:rPr>
          <w:i/>
          <w:color w:val="231F20"/>
          <w:sz w:val="17"/>
        </w:rPr>
        <w:t>Tourism:</w:t>
      </w:r>
      <w:r>
        <w:rPr>
          <w:i/>
          <w:color w:val="231F20"/>
          <w:spacing w:val="13"/>
          <w:sz w:val="17"/>
        </w:rPr>
        <w:t xml:space="preserve"> </w:t>
      </w:r>
      <w:r>
        <w:rPr>
          <w:i/>
          <w:color w:val="231F20"/>
          <w:sz w:val="17"/>
        </w:rPr>
        <w:t>A</w:t>
      </w:r>
      <w:r>
        <w:rPr>
          <w:i/>
          <w:color w:val="231F20"/>
          <w:spacing w:val="14"/>
          <w:sz w:val="17"/>
        </w:rPr>
        <w:t xml:space="preserve"> </w:t>
      </w:r>
      <w:r>
        <w:rPr>
          <w:i/>
          <w:color w:val="231F20"/>
          <w:sz w:val="17"/>
        </w:rPr>
        <w:t>Community</w:t>
      </w:r>
      <w:r>
        <w:rPr>
          <w:i/>
          <w:color w:val="231F20"/>
          <w:spacing w:val="14"/>
          <w:sz w:val="17"/>
        </w:rPr>
        <w:t xml:space="preserve"> </w:t>
      </w:r>
      <w:r>
        <w:rPr>
          <w:i/>
          <w:color w:val="231F20"/>
          <w:sz w:val="17"/>
        </w:rPr>
        <w:t>Approach</w:t>
      </w:r>
      <w:r>
        <w:rPr>
          <w:color w:val="231F20"/>
          <w:sz w:val="17"/>
        </w:rPr>
        <w:t>.</w:t>
      </w:r>
      <w:r>
        <w:rPr>
          <w:color w:val="231F20"/>
          <w:spacing w:val="13"/>
          <w:sz w:val="17"/>
        </w:rPr>
        <w:t xml:space="preserve"> </w:t>
      </w:r>
      <w:r>
        <w:rPr>
          <w:color w:val="231F20"/>
          <w:sz w:val="17"/>
        </w:rPr>
        <w:t>New</w:t>
      </w:r>
      <w:r>
        <w:rPr>
          <w:color w:val="231F20"/>
          <w:spacing w:val="14"/>
          <w:sz w:val="17"/>
        </w:rPr>
        <w:t xml:space="preserve"> </w:t>
      </w:r>
      <w:r>
        <w:rPr>
          <w:color w:val="231F20"/>
          <w:sz w:val="17"/>
        </w:rPr>
        <w:t>York:</w:t>
      </w:r>
      <w:r>
        <w:rPr>
          <w:color w:val="231F20"/>
          <w:spacing w:val="14"/>
          <w:sz w:val="17"/>
        </w:rPr>
        <w:t xml:space="preserve"> </w:t>
      </w:r>
      <w:r>
        <w:rPr>
          <w:color w:val="231F20"/>
          <w:spacing w:val="-2"/>
          <w:sz w:val="17"/>
        </w:rPr>
        <w:t>Methuen.</w:t>
      </w:r>
    </w:p>
    <w:p w14:paraId="73A7FC88" w14:textId="77777777" w:rsidR="00AE0598" w:rsidRDefault="00AE0598">
      <w:pPr>
        <w:jc w:val="both"/>
        <w:rPr>
          <w:sz w:val="17"/>
        </w:rPr>
        <w:sectPr w:rsidR="00AE0598">
          <w:pgSz w:w="8850" w:h="13270"/>
          <w:pgMar w:top="720" w:right="1060" w:bottom="280" w:left="1080" w:header="720" w:footer="720" w:gutter="0"/>
          <w:cols w:space="720"/>
        </w:sectPr>
      </w:pPr>
    </w:p>
    <w:p w14:paraId="0E8FEFA3" w14:textId="77777777" w:rsidR="00AE0598" w:rsidRDefault="0069255A">
      <w:pPr>
        <w:spacing w:before="87"/>
        <w:ind w:left="110" w:right="128"/>
        <w:jc w:val="right"/>
        <w:rPr>
          <w:rFonts w:ascii="Trebuchet MS"/>
          <w:sz w:val="14"/>
        </w:rPr>
      </w:pPr>
      <w:r>
        <w:rPr>
          <w:rFonts w:ascii="Trebuchet MS"/>
          <w:color w:val="231F20"/>
          <w:w w:val="105"/>
          <w:sz w:val="14"/>
        </w:rPr>
        <w:lastRenderedPageBreak/>
        <w:t>References</w:t>
      </w:r>
      <w:r>
        <w:rPr>
          <w:rFonts w:ascii="Trebuchet MS"/>
          <w:color w:val="231F20"/>
          <w:spacing w:val="67"/>
          <w:w w:val="105"/>
          <w:sz w:val="14"/>
        </w:rPr>
        <w:t xml:space="preserve"> </w:t>
      </w:r>
      <w:r>
        <w:rPr>
          <w:rFonts w:ascii="Trebuchet MS"/>
          <w:color w:val="231F20"/>
          <w:spacing w:val="-5"/>
          <w:w w:val="105"/>
          <w:sz w:val="14"/>
        </w:rPr>
        <w:t>265</w:t>
      </w:r>
    </w:p>
    <w:p w14:paraId="42E8E800" w14:textId="77777777" w:rsidR="00AE0598" w:rsidRDefault="00AE0598">
      <w:pPr>
        <w:pStyle w:val="Corpodetexto"/>
        <w:rPr>
          <w:rFonts w:ascii="Trebuchet MS"/>
          <w:sz w:val="16"/>
        </w:rPr>
      </w:pPr>
    </w:p>
    <w:p w14:paraId="7C193325" w14:textId="77777777" w:rsidR="00AE0598" w:rsidRDefault="0069255A">
      <w:pPr>
        <w:spacing w:before="121"/>
        <w:ind w:left="430" w:right="128" w:hanging="320"/>
        <w:jc w:val="both"/>
        <w:rPr>
          <w:sz w:val="17"/>
        </w:rPr>
      </w:pPr>
      <w:r>
        <w:rPr>
          <w:color w:val="231F20"/>
          <w:sz w:val="17"/>
        </w:rPr>
        <w:t>Murray, D. and Dixon, L. (2000) Investigating the growth of ‘instant’ sports: Practical</w:t>
      </w:r>
      <w:r>
        <w:rPr>
          <w:color w:val="231F20"/>
          <w:spacing w:val="40"/>
          <w:sz w:val="17"/>
        </w:rPr>
        <w:t xml:space="preserve"> </w:t>
      </w:r>
      <w:r>
        <w:rPr>
          <w:color w:val="231F20"/>
          <w:sz w:val="17"/>
        </w:rPr>
        <w:t xml:space="preserve">implications for community leisure service providers. </w:t>
      </w:r>
      <w:r>
        <w:rPr>
          <w:i/>
          <w:color w:val="231F20"/>
          <w:sz w:val="17"/>
        </w:rPr>
        <w:t>The ACHPER Healthy Lifestyles</w:t>
      </w:r>
      <w:r>
        <w:rPr>
          <w:i/>
          <w:color w:val="231F20"/>
          <w:spacing w:val="40"/>
          <w:sz w:val="17"/>
        </w:rPr>
        <w:t xml:space="preserve"> </w:t>
      </w:r>
      <w:r>
        <w:rPr>
          <w:i/>
          <w:color w:val="231F20"/>
          <w:sz w:val="17"/>
        </w:rPr>
        <w:t xml:space="preserve">Journal </w:t>
      </w:r>
      <w:r>
        <w:rPr>
          <w:color w:val="231F20"/>
          <w:sz w:val="17"/>
        </w:rPr>
        <w:t>47 (3–4), 27–31.</w:t>
      </w:r>
    </w:p>
    <w:p w14:paraId="6DCC08E7" w14:textId="77777777" w:rsidR="00AE0598" w:rsidRDefault="0069255A">
      <w:pPr>
        <w:spacing w:before="2"/>
        <w:ind w:left="430" w:right="128" w:hanging="320"/>
        <w:jc w:val="both"/>
        <w:rPr>
          <w:sz w:val="17"/>
        </w:rPr>
      </w:pPr>
      <w:r>
        <w:rPr>
          <w:color w:val="231F20"/>
          <w:sz w:val="17"/>
        </w:rPr>
        <w:t xml:space="preserve">Murray, </w:t>
      </w:r>
      <w:r>
        <w:rPr>
          <w:color w:val="231F20"/>
          <w:w w:val="105"/>
          <w:sz w:val="17"/>
        </w:rPr>
        <w:t xml:space="preserve">J. </w:t>
      </w:r>
      <w:r>
        <w:rPr>
          <w:color w:val="231F20"/>
          <w:sz w:val="17"/>
        </w:rPr>
        <w:t>(1996) How seasonality affects the economic viab</w:t>
      </w:r>
      <w:r>
        <w:rPr>
          <w:color w:val="231F20"/>
          <w:sz w:val="17"/>
        </w:rPr>
        <w:t>ility of Canadian tourism</w:t>
      </w:r>
      <w:r>
        <w:rPr>
          <w:color w:val="231F20"/>
          <w:spacing w:val="40"/>
          <w:sz w:val="17"/>
        </w:rPr>
        <w:t xml:space="preserve"> </w:t>
      </w:r>
      <w:r>
        <w:rPr>
          <w:color w:val="231F20"/>
          <w:sz w:val="17"/>
        </w:rPr>
        <w:t xml:space="preserve">businesses. In K. MacKay and K.R. Boyd (eds) </w:t>
      </w:r>
      <w:r>
        <w:rPr>
          <w:i/>
          <w:color w:val="231F20"/>
          <w:sz w:val="17"/>
        </w:rPr>
        <w:t>Tourism for All Seasons: Using</w:t>
      </w:r>
      <w:r>
        <w:rPr>
          <w:i/>
          <w:color w:val="231F20"/>
          <w:spacing w:val="80"/>
          <w:w w:val="150"/>
          <w:sz w:val="17"/>
        </w:rPr>
        <w:t xml:space="preserve"> </w:t>
      </w:r>
      <w:r>
        <w:rPr>
          <w:i/>
          <w:color w:val="231F20"/>
          <w:sz w:val="17"/>
        </w:rPr>
        <w:t xml:space="preserve">Research to Meet the Challenge of Seasonality </w:t>
      </w:r>
      <w:r>
        <w:rPr>
          <w:color w:val="231F20"/>
          <w:sz w:val="17"/>
        </w:rPr>
        <w:t>(pp. 135–146). (Conference</w:t>
      </w:r>
      <w:r>
        <w:rPr>
          <w:color w:val="231F20"/>
          <w:spacing w:val="40"/>
          <w:sz w:val="17"/>
        </w:rPr>
        <w:t xml:space="preserve"> </w:t>
      </w:r>
      <w:r>
        <w:rPr>
          <w:color w:val="231F20"/>
          <w:sz w:val="17"/>
        </w:rPr>
        <w:t>Proceedings</w:t>
      </w:r>
      <w:r>
        <w:rPr>
          <w:color w:val="231F20"/>
          <w:spacing w:val="80"/>
          <w:sz w:val="17"/>
        </w:rPr>
        <w:t xml:space="preserve"> </w:t>
      </w:r>
      <w:r>
        <w:rPr>
          <w:color w:val="231F20"/>
          <w:sz w:val="17"/>
        </w:rPr>
        <w:t>of</w:t>
      </w:r>
      <w:r>
        <w:rPr>
          <w:color w:val="231F20"/>
          <w:spacing w:val="80"/>
          <w:sz w:val="17"/>
        </w:rPr>
        <w:t xml:space="preserve"> </w:t>
      </w:r>
      <w:r>
        <w:rPr>
          <w:color w:val="231F20"/>
          <w:sz w:val="17"/>
        </w:rPr>
        <w:t>the</w:t>
      </w:r>
      <w:r>
        <w:rPr>
          <w:color w:val="231F20"/>
          <w:spacing w:val="80"/>
          <w:sz w:val="17"/>
        </w:rPr>
        <w:t xml:space="preserve"> </w:t>
      </w:r>
      <w:r>
        <w:rPr>
          <w:color w:val="231F20"/>
          <w:sz w:val="17"/>
        </w:rPr>
        <w:t>Travel</w:t>
      </w:r>
      <w:r>
        <w:rPr>
          <w:color w:val="231F20"/>
          <w:spacing w:val="80"/>
          <w:sz w:val="17"/>
        </w:rPr>
        <w:t xml:space="preserve"> </w:t>
      </w:r>
      <w:r>
        <w:rPr>
          <w:color w:val="231F20"/>
          <w:sz w:val="17"/>
        </w:rPr>
        <w:t>and</w:t>
      </w:r>
      <w:r>
        <w:rPr>
          <w:color w:val="231F20"/>
          <w:spacing w:val="80"/>
          <w:sz w:val="17"/>
        </w:rPr>
        <w:t xml:space="preserve"> </w:t>
      </w:r>
      <w:r>
        <w:rPr>
          <w:color w:val="231F20"/>
          <w:sz w:val="17"/>
        </w:rPr>
        <w:t>Tourism</w:t>
      </w:r>
      <w:r>
        <w:rPr>
          <w:color w:val="231F20"/>
          <w:spacing w:val="80"/>
          <w:sz w:val="17"/>
        </w:rPr>
        <w:t xml:space="preserve"> </w:t>
      </w:r>
      <w:r>
        <w:rPr>
          <w:color w:val="231F20"/>
          <w:sz w:val="17"/>
        </w:rPr>
        <w:t>Research</w:t>
      </w:r>
      <w:r>
        <w:rPr>
          <w:color w:val="231F20"/>
          <w:spacing w:val="80"/>
          <w:sz w:val="17"/>
        </w:rPr>
        <w:t xml:space="preserve"> </w:t>
      </w:r>
      <w:r>
        <w:rPr>
          <w:color w:val="231F20"/>
          <w:sz w:val="17"/>
        </w:rPr>
        <w:t>Association.)</w:t>
      </w:r>
      <w:r>
        <w:rPr>
          <w:color w:val="231F20"/>
          <w:spacing w:val="80"/>
          <w:sz w:val="17"/>
        </w:rPr>
        <w:t xml:space="preserve"> </w:t>
      </w:r>
      <w:r>
        <w:rPr>
          <w:color w:val="231F20"/>
          <w:sz w:val="17"/>
        </w:rPr>
        <w:t>Ottawa:</w:t>
      </w:r>
      <w:r>
        <w:rPr>
          <w:color w:val="231F20"/>
          <w:spacing w:val="40"/>
          <w:sz w:val="17"/>
        </w:rPr>
        <w:t xml:space="preserve"> </w:t>
      </w:r>
      <w:r>
        <w:rPr>
          <w:color w:val="231F20"/>
          <w:sz w:val="17"/>
        </w:rPr>
        <w:t>Canada Chapter</w:t>
      </w:r>
    </w:p>
    <w:p w14:paraId="477E6680" w14:textId="77777777" w:rsidR="00AE0598" w:rsidRDefault="0069255A">
      <w:pPr>
        <w:spacing w:before="3"/>
        <w:ind w:left="430" w:right="127" w:hanging="320"/>
        <w:jc w:val="both"/>
        <w:rPr>
          <w:sz w:val="17"/>
        </w:rPr>
      </w:pPr>
      <w:r>
        <w:rPr>
          <w:color w:val="231F20"/>
          <w:sz w:val="17"/>
        </w:rPr>
        <w:t>Mykletun, R.J. and Vedø, K. (2002) BASE jumping in Lysefjord, Norway: A sustainable but</w:t>
      </w:r>
      <w:r>
        <w:rPr>
          <w:color w:val="231F20"/>
          <w:spacing w:val="40"/>
          <w:sz w:val="17"/>
        </w:rPr>
        <w:t xml:space="preserve"> </w:t>
      </w:r>
      <w:r>
        <w:rPr>
          <w:color w:val="231F20"/>
          <w:w w:val="95"/>
          <w:sz w:val="17"/>
        </w:rPr>
        <w:t>controversial type of coastal tourism. Paper presented at the Tourism Research 2002,</w:t>
      </w:r>
      <w:r>
        <w:rPr>
          <w:color w:val="231F20"/>
          <w:spacing w:val="40"/>
          <w:sz w:val="17"/>
        </w:rPr>
        <w:t xml:space="preserve"> </w:t>
      </w:r>
      <w:r>
        <w:rPr>
          <w:color w:val="231F20"/>
          <w:sz w:val="17"/>
        </w:rPr>
        <w:t xml:space="preserve">Cardiff, </w:t>
      </w:r>
      <w:r>
        <w:rPr>
          <w:color w:val="231F20"/>
          <w:w w:val="105"/>
          <w:sz w:val="17"/>
        </w:rPr>
        <w:t xml:space="preserve">UK, </w:t>
      </w:r>
      <w:r>
        <w:rPr>
          <w:color w:val="231F20"/>
          <w:sz w:val="17"/>
        </w:rPr>
        <w:t>4–7 September.</w:t>
      </w:r>
    </w:p>
    <w:p w14:paraId="572F1B95" w14:textId="77777777" w:rsidR="00AE0598" w:rsidRDefault="0069255A">
      <w:pPr>
        <w:spacing w:before="3"/>
        <w:ind w:left="430" w:right="128" w:hanging="320"/>
        <w:jc w:val="both"/>
        <w:rPr>
          <w:sz w:val="17"/>
        </w:rPr>
      </w:pPr>
      <w:r>
        <w:rPr>
          <w:color w:val="231F20"/>
          <w:w w:val="105"/>
          <w:sz w:val="17"/>
        </w:rPr>
        <w:t>Nadel,</w:t>
      </w:r>
      <w:r>
        <w:rPr>
          <w:color w:val="231F20"/>
          <w:spacing w:val="-2"/>
          <w:w w:val="105"/>
          <w:sz w:val="17"/>
        </w:rPr>
        <w:t xml:space="preserve"> </w:t>
      </w:r>
      <w:r>
        <w:rPr>
          <w:color w:val="231F20"/>
          <w:w w:val="105"/>
          <w:sz w:val="17"/>
        </w:rPr>
        <w:t>J.R.,</w:t>
      </w:r>
      <w:r>
        <w:rPr>
          <w:color w:val="231F20"/>
          <w:spacing w:val="-3"/>
          <w:w w:val="105"/>
          <w:sz w:val="17"/>
        </w:rPr>
        <w:t xml:space="preserve"> </w:t>
      </w:r>
      <w:r>
        <w:rPr>
          <w:color w:val="231F20"/>
          <w:w w:val="105"/>
          <w:sz w:val="17"/>
        </w:rPr>
        <w:t>Font,</w:t>
      </w:r>
      <w:r>
        <w:rPr>
          <w:color w:val="231F20"/>
          <w:spacing w:val="-2"/>
          <w:w w:val="105"/>
          <w:sz w:val="17"/>
        </w:rPr>
        <w:t xml:space="preserve"> </w:t>
      </w:r>
      <w:r>
        <w:rPr>
          <w:color w:val="231F20"/>
          <w:w w:val="105"/>
          <w:sz w:val="17"/>
        </w:rPr>
        <w:t>A.R.</w:t>
      </w:r>
      <w:r>
        <w:rPr>
          <w:color w:val="231F20"/>
          <w:spacing w:val="-3"/>
          <w:w w:val="105"/>
          <w:sz w:val="17"/>
        </w:rPr>
        <w:t xml:space="preserve"> </w:t>
      </w:r>
      <w:r>
        <w:rPr>
          <w:color w:val="231F20"/>
          <w:w w:val="105"/>
          <w:sz w:val="17"/>
        </w:rPr>
        <w:t>and</w:t>
      </w:r>
      <w:r>
        <w:rPr>
          <w:color w:val="231F20"/>
          <w:spacing w:val="-2"/>
          <w:w w:val="105"/>
          <w:sz w:val="17"/>
        </w:rPr>
        <w:t xml:space="preserve"> </w:t>
      </w:r>
      <w:r>
        <w:rPr>
          <w:color w:val="231F20"/>
          <w:w w:val="105"/>
          <w:sz w:val="17"/>
        </w:rPr>
        <w:t>Roselló,</w:t>
      </w:r>
      <w:r>
        <w:rPr>
          <w:color w:val="231F20"/>
          <w:spacing w:val="-3"/>
          <w:w w:val="105"/>
          <w:sz w:val="17"/>
        </w:rPr>
        <w:t xml:space="preserve"> </w:t>
      </w:r>
      <w:r>
        <w:rPr>
          <w:color w:val="231F20"/>
          <w:w w:val="105"/>
          <w:sz w:val="17"/>
        </w:rPr>
        <w:t>A.S</w:t>
      </w:r>
      <w:r>
        <w:rPr>
          <w:color w:val="231F20"/>
          <w:w w:val="105"/>
          <w:sz w:val="17"/>
        </w:rPr>
        <w:t>.</w:t>
      </w:r>
      <w:r>
        <w:rPr>
          <w:color w:val="231F20"/>
          <w:spacing w:val="-2"/>
          <w:w w:val="105"/>
          <w:sz w:val="17"/>
        </w:rPr>
        <w:t xml:space="preserve"> </w:t>
      </w:r>
      <w:r>
        <w:rPr>
          <w:color w:val="231F20"/>
          <w:w w:val="105"/>
          <w:sz w:val="17"/>
        </w:rPr>
        <w:t>(2004)</w:t>
      </w:r>
      <w:r>
        <w:rPr>
          <w:color w:val="231F20"/>
          <w:spacing w:val="-3"/>
          <w:w w:val="105"/>
          <w:sz w:val="17"/>
        </w:rPr>
        <w:t xml:space="preserve"> </w:t>
      </w:r>
      <w:r>
        <w:rPr>
          <w:color w:val="231F20"/>
          <w:w w:val="105"/>
          <w:sz w:val="17"/>
        </w:rPr>
        <w:t>The</w:t>
      </w:r>
      <w:r>
        <w:rPr>
          <w:color w:val="231F20"/>
          <w:spacing w:val="-2"/>
          <w:w w:val="105"/>
          <w:sz w:val="17"/>
        </w:rPr>
        <w:t xml:space="preserve"> </w:t>
      </w:r>
      <w:r>
        <w:rPr>
          <w:color w:val="231F20"/>
          <w:w w:val="105"/>
          <w:sz w:val="17"/>
        </w:rPr>
        <w:t>economic</w:t>
      </w:r>
      <w:r>
        <w:rPr>
          <w:color w:val="231F20"/>
          <w:spacing w:val="-3"/>
          <w:w w:val="105"/>
          <w:sz w:val="17"/>
        </w:rPr>
        <w:t xml:space="preserve"> </w:t>
      </w:r>
      <w:r>
        <w:rPr>
          <w:color w:val="231F20"/>
          <w:w w:val="105"/>
          <w:sz w:val="17"/>
        </w:rPr>
        <w:t>determinants</w:t>
      </w:r>
      <w:r>
        <w:rPr>
          <w:color w:val="231F20"/>
          <w:spacing w:val="-2"/>
          <w:w w:val="105"/>
          <w:sz w:val="17"/>
        </w:rPr>
        <w:t xml:space="preserve"> </w:t>
      </w:r>
      <w:r>
        <w:rPr>
          <w:color w:val="231F20"/>
          <w:w w:val="105"/>
          <w:sz w:val="17"/>
        </w:rPr>
        <w:t>of</w:t>
      </w:r>
      <w:r>
        <w:rPr>
          <w:color w:val="231F20"/>
          <w:spacing w:val="-3"/>
          <w:w w:val="105"/>
          <w:sz w:val="17"/>
        </w:rPr>
        <w:t xml:space="preserve"> </w:t>
      </w:r>
      <w:r>
        <w:rPr>
          <w:color w:val="231F20"/>
          <w:w w:val="105"/>
          <w:sz w:val="17"/>
        </w:rPr>
        <w:t>seasonal</w:t>
      </w:r>
      <w:r>
        <w:rPr>
          <w:color w:val="231F20"/>
          <w:spacing w:val="40"/>
          <w:w w:val="105"/>
          <w:sz w:val="17"/>
        </w:rPr>
        <w:t xml:space="preserve"> </w:t>
      </w:r>
      <w:r>
        <w:rPr>
          <w:color w:val="231F20"/>
          <w:sz w:val="17"/>
        </w:rPr>
        <w:t xml:space="preserve">patterns. </w:t>
      </w:r>
      <w:r>
        <w:rPr>
          <w:i/>
          <w:color w:val="231F20"/>
          <w:sz w:val="17"/>
        </w:rPr>
        <w:t xml:space="preserve">Annals of Tourism Research </w:t>
      </w:r>
      <w:r>
        <w:rPr>
          <w:color w:val="231F20"/>
          <w:sz w:val="17"/>
        </w:rPr>
        <w:t>31 (3), 679–711.</w:t>
      </w:r>
    </w:p>
    <w:p w14:paraId="45421039" w14:textId="77777777" w:rsidR="00AE0598" w:rsidRDefault="0069255A">
      <w:pPr>
        <w:spacing w:before="1"/>
        <w:ind w:left="430" w:right="127" w:hanging="320"/>
        <w:jc w:val="both"/>
        <w:rPr>
          <w:sz w:val="17"/>
        </w:rPr>
      </w:pPr>
      <w:r>
        <w:rPr>
          <w:color w:val="231F20"/>
          <w:w w:val="95"/>
          <w:sz w:val="17"/>
        </w:rPr>
        <w:t>Nahrstedt, W. (2004) Wellness: A new perspective for leisure centres, health tourism, and</w:t>
      </w:r>
      <w:r>
        <w:rPr>
          <w:color w:val="231F20"/>
          <w:spacing w:val="40"/>
          <w:sz w:val="17"/>
        </w:rPr>
        <w:t xml:space="preserve"> </w:t>
      </w:r>
      <w:r>
        <w:rPr>
          <w:color w:val="231F20"/>
          <w:sz w:val="17"/>
        </w:rPr>
        <w:t>Spas</w:t>
      </w:r>
      <w:r>
        <w:rPr>
          <w:color w:val="231F20"/>
          <w:spacing w:val="-3"/>
          <w:sz w:val="17"/>
        </w:rPr>
        <w:t xml:space="preserve"> </w:t>
      </w:r>
      <w:r>
        <w:rPr>
          <w:color w:val="231F20"/>
          <w:sz w:val="17"/>
        </w:rPr>
        <w:t>in</w:t>
      </w:r>
      <w:r>
        <w:rPr>
          <w:color w:val="231F20"/>
          <w:spacing w:val="-3"/>
          <w:sz w:val="17"/>
        </w:rPr>
        <w:t xml:space="preserve"> </w:t>
      </w:r>
      <w:r>
        <w:rPr>
          <w:color w:val="231F20"/>
          <w:sz w:val="17"/>
        </w:rPr>
        <w:t>Europe</w:t>
      </w:r>
      <w:r>
        <w:rPr>
          <w:color w:val="231F20"/>
          <w:spacing w:val="-3"/>
          <w:sz w:val="17"/>
        </w:rPr>
        <w:t xml:space="preserve"> </w:t>
      </w:r>
      <w:r>
        <w:rPr>
          <w:color w:val="231F20"/>
          <w:sz w:val="17"/>
        </w:rPr>
        <w:t>on</w:t>
      </w:r>
      <w:r>
        <w:rPr>
          <w:color w:val="231F20"/>
          <w:spacing w:val="-3"/>
          <w:sz w:val="17"/>
        </w:rPr>
        <w:t xml:space="preserve"> </w:t>
      </w:r>
      <w:r>
        <w:rPr>
          <w:color w:val="231F20"/>
          <w:sz w:val="17"/>
        </w:rPr>
        <w:t>the</w:t>
      </w:r>
      <w:r>
        <w:rPr>
          <w:color w:val="231F20"/>
          <w:spacing w:val="-3"/>
          <w:sz w:val="17"/>
        </w:rPr>
        <w:t xml:space="preserve"> </w:t>
      </w:r>
      <w:r>
        <w:rPr>
          <w:color w:val="231F20"/>
          <w:sz w:val="17"/>
        </w:rPr>
        <w:t>global</w:t>
      </w:r>
      <w:r>
        <w:rPr>
          <w:color w:val="231F20"/>
          <w:spacing w:val="-3"/>
          <w:sz w:val="17"/>
        </w:rPr>
        <w:t xml:space="preserve"> </w:t>
      </w:r>
      <w:r>
        <w:rPr>
          <w:color w:val="231F20"/>
          <w:sz w:val="17"/>
        </w:rPr>
        <w:t>health</w:t>
      </w:r>
      <w:r>
        <w:rPr>
          <w:color w:val="231F20"/>
          <w:spacing w:val="-3"/>
          <w:sz w:val="17"/>
        </w:rPr>
        <w:t xml:space="preserve"> </w:t>
      </w:r>
      <w:r>
        <w:rPr>
          <w:color w:val="231F20"/>
          <w:sz w:val="17"/>
        </w:rPr>
        <w:t>market.</w:t>
      </w:r>
      <w:r>
        <w:rPr>
          <w:color w:val="231F20"/>
          <w:spacing w:val="-3"/>
          <w:sz w:val="17"/>
        </w:rPr>
        <w:t xml:space="preserve"> </w:t>
      </w:r>
      <w:r>
        <w:rPr>
          <w:color w:val="231F20"/>
          <w:sz w:val="17"/>
        </w:rPr>
        <w:t>In</w:t>
      </w:r>
      <w:r>
        <w:rPr>
          <w:color w:val="231F20"/>
          <w:spacing w:val="-3"/>
          <w:sz w:val="17"/>
        </w:rPr>
        <w:t xml:space="preserve"> </w:t>
      </w:r>
      <w:r>
        <w:rPr>
          <w:color w:val="231F20"/>
          <w:sz w:val="17"/>
        </w:rPr>
        <w:t>K.</w:t>
      </w:r>
      <w:r>
        <w:rPr>
          <w:color w:val="231F20"/>
          <w:spacing w:val="-3"/>
          <w:sz w:val="17"/>
        </w:rPr>
        <w:t xml:space="preserve"> </w:t>
      </w:r>
      <w:r>
        <w:rPr>
          <w:color w:val="231F20"/>
          <w:sz w:val="17"/>
        </w:rPr>
        <w:t>Weiermair</w:t>
      </w:r>
      <w:r>
        <w:rPr>
          <w:color w:val="231F20"/>
          <w:spacing w:val="-3"/>
          <w:sz w:val="17"/>
        </w:rPr>
        <w:t xml:space="preserve"> </w:t>
      </w:r>
      <w:r>
        <w:rPr>
          <w:color w:val="231F20"/>
          <w:sz w:val="17"/>
        </w:rPr>
        <w:t>and</w:t>
      </w:r>
      <w:r>
        <w:rPr>
          <w:color w:val="231F20"/>
          <w:spacing w:val="-3"/>
          <w:sz w:val="17"/>
        </w:rPr>
        <w:t xml:space="preserve"> </w:t>
      </w:r>
      <w:r>
        <w:rPr>
          <w:color w:val="231F20"/>
          <w:sz w:val="17"/>
        </w:rPr>
        <w:t>C.</w:t>
      </w:r>
      <w:r>
        <w:rPr>
          <w:color w:val="231F20"/>
          <w:spacing w:val="-3"/>
          <w:sz w:val="17"/>
        </w:rPr>
        <w:t xml:space="preserve"> </w:t>
      </w:r>
      <w:r>
        <w:rPr>
          <w:color w:val="231F20"/>
          <w:sz w:val="17"/>
        </w:rPr>
        <w:t>Mathies</w:t>
      </w:r>
      <w:r>
        <w:rPr>
          <w:color w:val="231F20"/>
          <w:spacing w:val="-3"/>
          <w:sz w:val="17"/>
        </w:rPr>
        <w:t xml:space="preserve"> </w:t>
      </w:r>
      <w:r>
        <w:rPr>
          <w:color w:val="231F20"/>
          <w:sz w:val="17"/>
        </w:rPr>
        <w:t>(eds)</w:t>
      </w:r>
      <w:r>
        <w:rPr>
          <w:color w:val="231F20"/>
          <w:spacing w:val="-3"/>
          <w:sz w:val="17"/>
        </w:rPr>
        <w:t xml:space="preserve"> </w:t>
      </w:r>
      <w:r>
        <w:rPr>
          <w:i/>
          <w:color w:val="231F20"/>
          <w:sz w:val="17"/>
        </w:rPr>
        <w:t>The</w:t>
      </w:r>
      <w:r>
        <w:rPr>
          <w:i/>
          <w:color w:val="231F20"/>
          <w:spacing w:val="40"/>
          <w:sz w:val="17"/>
        </w:rPr>
        <w:t xml:space="preserve"> </w:t>
      </w:r>
      <w:r>
        <w:rPr>
          <w:i/>
          <w:color w:val="231F20"/>
          <w:sz w:val="17"/>
        </w:rPr>
        <w:t xml:space="preserve">Tourism and Leisure Industry: Shaping the Future </w:t>
      </w:r>
      <w:r>
        <w:rPr>
          <w:color w:val="231F20"/>
          <w:sz w:val="17"/>
        </w:rPr>
        <w:t>(pp. 181–198). Binghampton, NY:</w:t>
      </w:r>
      <w:r>
        <w:rPr>
          <w:color w:val="231F20"/>
          <w:spacing w:val="40"/>
          <w:sz w:val="17"/>
        </w:rPr>
        <w:t xml:space="preserve"> </w:t>
      </w:r>
      <w:r>
        <w:rPr>
          <w:color w:val="231F20"/>
          <w:sz w:val="17"/>
        </w:rPr>
        <w:t>The Haworth Press.</w:t>
      </w:r>
    </w:p>
    <w:p w14:paraId="12754688" w14:textId="77777777" w:rsidR="00AE0598" w:rsidRDefault="0069255A">
      <w:pPr>
        <w:spacing w:before="3"/>
        <w:ind w:left="430" w:right="127" w:hanging="320"/>
        <w:jc w:val="both"/>
        <w:rPr>
          <w:sz w:val="17"/>
        </w:rPr>
      </w:pPr>
      <w:r>
        <w:rPr>
          <w:color w:val="231F20"/>
          <w:sz w:val="17"/>
        </w:rPr>
        <w:t>Nash, R. and Johnston, S. (1998) The case of Euro96: Where did the party go? Paper</w:t>
      </w:r>
      <w:r>
        <w:rPr>
          <w:color w:val="231F20"/>
          <w:spacing w:val="40"/>
          <w:sz w:val="17"/>
        </w:rPr>
        <w:t xml:space="preserve"> </w:t>
      </w:r>
      <w:r>
        <w:rPr>
          <w:color w:val="231F20"/>
          <w:sz w:val="17"/>
        </w:rPr>
        <w:t>presented at the Sport in the City Conference, Sheffield, UK, 2–4 July.</w:t>
      </w:r>
    </w:p>
    <w:p w14:paraId="381F917E" w14:textId="77777777" w:rsidR="00AE0598" w:rsidRDefault="0069255A">
      <w:pPr>
        <w:spacing w:before="1"/>
        <w:ind w:left="430" w:right="128" w:hanging="320"/>
        <w:jc w:val="both"/>
        <w:rPr>
          <w:sz w:val="17"/>
        </w:rPr>
      </w:pPr>
      <w:r>
        <w:rPr>
          <w:color w:val="231F20"/>
          <w:sz w:val="17"/>
        </w:rPr>
        <w:t xml:space="preserve">National Association of Sports Commissions (2017) Economic Impact. See </w:t>
      </w:r>
      <w:hyperlink r:id="rId57">
        <w:r>
          <w:rPr>
            <w:color w:val="231F20"/>
            <w:sz w:val="17"/>
          </w:rPr>
          <w:t>www.</w:t>
        </w:r>
      </w:hyperlink>
      <w:r>
        <w:rPr>
          <w:color w:val="231F20"/>
          <w:spacing w:val="40"/>
          <w:sz w:val="17"/>
        </w:rPr>
        <w:t xml:space="preserve"> </w:t>
      </w:r>
      <w:r>
        <w:rPr>
          <w:color w:val="231F20"/>
          <w:spacing w:val="-2"/>
          <w:w w:val="88"/>
          <w:sz w:val="17"/>
        </w:rPr>
        <w:t>s</w:t>
      </w:r>
      <w:r>
        <w:rPr>
          <w:color w:val="231F20"/>
          <w:w w:val="96"/>
          <w:sz w:val="17"/>
        </w:rPr>
        <w:t>p</w:t>
      </w:r>
      <w:r>
        <w:rPr>
          <w:color w:val="231F20"/>
          <w:spacing w:val="-3"/>
          <w:w w:val="96"/>
          <w:sz w:val="17"/>
        </w:rPr>
        <w:t>o</w:t>
      </w:r>
      <w:r>
        <w:rPr>
          <w:color w:val="231F20"/>
          <w:spacing w:val="3"/>
          <w:w w:val="96"/>
          <w:sz w:val="17"/>
        </w:rPr>
        <w:t>r</w:t>
      </w:r>
      <w:r>
        <w:rPr>
          <w:color w:val="231F20"/>
          <w:w w:val="96"/>
          <w:sz w:val="17"/>
        </w:rPr>
        <w:t>t</w:t>
      </w:r>
      <w:r>
        <w:rPr>
          <w:color w:val="231F20"/>
          <w:w w:val="88"/>
          <w:sz w:val="17"/>
        </w:rPr>
        <w:t>s</w:t>
      </w:r>
      <w:r>
        <w:rPr>
          <w:color w:val="231F20"/>
          <w:spacing w:val="-1"/>
          <w:w w:val="97"/>
          <w:sz w:val="17"/>
        </w:rPr>
        <w:t>c</w:t>
      </w:r>
      <w:r>
        <w:rPr>
          <w:color w:val="231F20"/>
          <w:spacing w:val="-3"/>
          <w:w w:val="101"/>
          <w:sz w:val="17"/>
        </w:rPr>
        <w:t>o</w:t>
      </w:r>
      <w:r>
        <w:rPr>
          <w:color w:val="231F20"/>
          <w:spacing w:val="1"/>
          <w:w w:val="97"/>
          <w:sz w:val="17"/>
        </w:rPr>
        <w:t>m</w:t>
      </w:r>
      <w:r>
        <w:rPr>
          <w:color w:val="231F20"/>
          <w:spacing w:val="2"/>
          <w:w w:val="97"/>
          <w:sz w:val="17"/>
        </w:rPr>
        <w:t>m</w:t>
      </w:r>
      <w:r>
        <w:rPr>
          <w:color w:val="231F20"/>
          <w:spacing w:val="-1"/>
          <w:w w:val="98"/>
          <w:sz w:val="17"/>
        </w:rPr>
        <w:t>i</w:t>
      </w:r>
      <w:r>
        <w:rPr>
          <w:color w:val="231F20"/>
          <w:w w:val="88"/>
          <w:sz w:val="17"/>
        </w:rPr>
        <w:t>s</w:t>
      </w:r>
      <w:r>
        <w:rPr>
          <w:color w:val="231F20"/>
          <w:spacing w:val="-3"/>
          <w:w w:val="96"/>
          <w:sz w:val="17"/>
        </w:rPr>
        <w:t>sio</w:t>
      </w:r>
      <w:r>
        <w:rPr>
          <w:color w:val="231F20"/>
          <w:w w:val="96"/>
          <w:sz w:val="17"/>
        </w:rPr>
        <w:t>n</w:t>
      </w:r>
      <w:r>
        <w:rPr>
          <w:color w:val="231F20"/>
          <w:spacing w:val="1"/>
          <w:w w:val="88"/>
          <w:sz w:val="17"/>
        </w:rPr>
        <w:t>s</w:t>
      </w:r>
      <w:r>
        <w:rPr>
          <w:color w:val="231F20"/>
          <w:spacing w:val="-2"/>
          <w:w w:val="133"/>
          <w:sz w:val="17"/>
        </w:rPr>
        <w:t>.</w:t>
      </w:r>
      <w:r>
        <w:rPr>
          <w:color w:val="231F20"/>
          <w:spacing w:val="-3"/>
          <w:w w:val="96"/>
          <w:sz w:val="17"/>
        </w:rPr>
        <w:t>o</w:t>
      </w:r>
      <w:r>
        <w:rPr>
          <w:color w:val="231F20"/>
          <w:spacing w:val="-1"/>
          <w:w w:val="96"/>
          <w:sz w:val="17"/>
        </w:rPr>
        <w:t>r</w:t>
      </w:r>
      <w:r>
        <w:rPr>
          <w:color w:val="231F20"/>
          <w:spacing w:val="8"/>
          <w:w w:val="97"/>
          <w:sz w:val="17"/>
        </w:rPr>
        <w:t>g</w:t>
      </w:r>
      <w:r>
        <w:rPr>
          <w:color w:val="231F20"/>
          <w:spacing w:val="4"/>
          <w:w w:val="58"/>
          <w:sz w:val="17"/>
        </w:rPr>
        <w:t>/</w:t>
      </w:r>
      <w:r>
        <w:rPr>
          <w:color w:val="231F20"/>
          <w:spacing w:val="-3"/>
          <w:w w:val="99"/>
          <w:sz w:val="17"/>
        </w:rPr>
        <w:t>bl</w:t>
      </w:r>
      <w:r>
        <w:rPr>
          <w:color w:val="231F20"/>
          <w:spacing w:val="-1"/>
          <w:w w:val="99"/>
          <w:sz w:val="17"/>
        </w:rPr>
        <w:t>o</w:t>
      </w:r>
      <w:r>
        <w:rPr>
          <w:color w:val="231F20"/>
          <w:spacing w:val="8"/>
          <w:w w:val="97"/>
          <w:sz w:val="17"/>
        </w:rPr>
        <w:t>g</w:t>
      </w:r>
      <w:r>
        <w:rPr>
          <w:color w:val="231F20"/>
          <w:spacing w:val="-6"/>
          <w:w w:val="58"/>
          <w:sz w:val="17"/>
        </w:rPr>
        <w:t>/</w:t>
      </w:r>
      <w:r>
        <w:rPr>
          <w:color w:val="231F20"/>
          <w:w w:val="88"/>
          <w:sz w:val="17"/>
        </w:rPr>
        <w:t>e</w:t>
      </w:r>
      <w:r>
        <w:rPr>
          <w:color w:val="231F20"/>
          <w:spacing w:val="-1"/>
          <w:w w:val="97"/>
          <w:sz w:val="17"/>
        </w:rPr>
        <w:t>c</w:t>
      </w:r>
      <w:r>
        <w:rPr>
          <w:color w:val="231F20"/>
          <w:spacing w:val="-2"/>
          <w:w w:val="101"/>
          <w:sz w:val="17"/>
        </w:rPr>
        <w:t>o</w:t>
      </w:r>
      <w:r>
        <w:rPr>
          <w:color w:val="231F20"/>
          <w:spacing w:val="-3"/>
          <w:w w:val="98"/>
          <w:sz w:val="17"/>
        </w:rPr>
        <w:t>no</w:t>
      </w:r>
      <w:r>
        <w:rPr>
          <w:color w:val="231F20"/>
          <w:spacing w:val="2"/>
          <w:w w:val="98"/>
          <w:sz w:val="17"/>
        </w:rPr>
        <w:t>m</w:t>
      </w:r>
      <w:r>
        <w:rPr>
          <w:color w:val="231F20"/>
          <w:spacing w:val="-3"/>
          <w:w w:val="98"/>
          <w:sz w:val="17"/>
        </w:rPr>
        <w:t>i</w:t>
      </w:r>
      <w:r>
        <w:rPr>
          <w:color w:val="231F20"/>
          <w:w w:val="97"/>
          <w:sz w:val="17"/>
        </w:rPr>
        <w:t>c</w:t>
      </w:r>
      <w:r>
        <w:rPr>
          <w:color w:val="231F20"/>
          <w:spacing w:val="-1"/>
          <w:w w:val="98"/>
          <w:sz w:val="17"/>
        </w:rPr>
        <w:t>-</w:t>
      </w:r>
      <w:r>
        <w:rPr>
          <w:color w:val="231F20"/>
          <w:w w:val="95"/>
          <w:sz w:val="17"/>
        </w:rPr>
        <w:t>impact (accessed 6 January 2018).</w:t>
      </w:r>
    </w:p>
    <w:p w14:paraId="2E1D708E" w14:textId="77777777" w:rsidR="00AE0598" w:rsidRDefault="0069255A">
      <w:pPr>
        <w:spacing w:before="2"/>
        <w:ind w:left="430" w:right="128" w:hanging="320"/>
        <w:jc w:val="both"/>
        <w:rPr>
          <w:sz w:val="17"/>
        </w:rPr>
      </w:pPr>
      <w:r>
        <w:rPr>
          <w:color w:val="231F20"/>
          <w:sz w:val="17"/>
        </w:rPr>
        <w:t xml:space="preserve">Nauright, </w:t>
      </w:r>
      <w:r>
        <w:rPr>
          <w:color w:val="231F20"/>
          <w:w w:val="105"/>
          <w:sz w:val="17"/>
        </w:rPr>
        <w:t xml:space="preserve">J. </w:t>
      </w:r>
      <w:r>
        <w:rPr>
          <w:color w:val="231F20"/>
          <w:sz w:val="17"/>
        </w:rPr>
        <w:t xml:space="preserve">(1995) Introduction. In </w:t>
      </w:r>
      <w:r>
        <w:rPr>
          <w:color w:val="231F20"/>
          <w:w w:val="105"/>
          <w:sz w:val="17"/>
        </w:rPr>
        <w:t xml:space="preserve">J. </w:t>
      </w:r>
      <w:r>
        <w:rPr>
          <w:color w:val="231F20"/>
          <w:sz w:val="17"/>
        </w:rPr>
        <w:t xml:space="preserve">Nauright (ed.) </w:t>
      </w:r>
      <w:r>
        <w:rPr>
          <w:i/>
          <w:color w:val="231F20"/>
          <w:sz w:val="17"/>
        </w:rPr>
        <w:t>Sport, Power and Society in New</w:t>
      </w:r>
      <w:r>
        <w:rPr>
          <w:i/>
          <w:color w:val="231F20"/>
          <w:spacing w:val="40"/>
          <w:sz w:val="17"/>
        </w:rPr>
        <w:t xml:space="preserve"> </w:t>
      </w:r>
      <w:r>
        <w:rPr>
          <w:i/>
          <w:color w:val="231F20"/>
          <w:sz w:val="17"/>
        </w:rPr>
        <w:t xml:space="preserve">Zealand: Historical and Contemporary Perspectives </w:t>
      </w:r>
      <w:r>
        <w:rPr>
          <w:color w:val="231F20"/>
          <w:sz w:val="17"/>
        </w:rPr>
        <w:t>(pp. 1–4). Sydney: University of</w:t>
      </w:r>
      <w:r>
        <w:rPr>
          <w:color w:val="231F20"/>
          <w:spacing w:val="40"/>
          <w:sz w:val="17"/>
        </w:rPr>
        <w:t xml:space="preserve"> </w:t>
      </w:r>
      <w:r>
        <w:rPr>
          <w:color w:val="231F20"/>
          <w:sz w:val="17"/>
        </w:rPr>
        <w:t>New South Wales Printery.</w:t>
      </w:r>
    </w:p>
    <w:p w14:paraId="3A73D300" w14:textId="77777777" w:rsidR="00AE0598" w:rsidRDefault="0069255A">
      <w:pPr>
        <w:spacing w:before="2"/>
        <w:ind w:left="430" w:right="127" w:hanging="320"/>
        <w:jc w:val="both"/>
        <w:rPr>
          <w:sz w:val="17"/>
        </w:rPr>
      </w:pPr>
      <w:r>
        <w:rPr>
          <w:color w:val="231F20"/>
          <w:sz w:val="17"/>
        </w:rPr>
        <w:t xml:space="preserve">Nauright, </w:t>
      </w:r>
      <w:r>
        <w:rPr>
          <w:color w:val="231F20"/>
          <w:w w:val="105"/>
          <w:sz w:val="17"/>
        </w:rPr>
        <w:t xml:space="preserve">J. </w:t>
      </w:r>
      <w:r>
        <w:rPr>
          <w:color w:val="231F20"/>
          <w:sz w:val="17"/>
        </w:rPr>
        <w:t>(1996) ‘A besieged tribe’?: Nostalgia, white cultural identity and the role of</w:t>
      </w:r>
      <w:r>
        <w:rPr>
          <w:color w:val="231F20"/>
          <w:spacing w:val="40"/>
          <w:sz w:val="17"/>
        </w:rPr>
        <w:t xml:space="preserve"> </w:t>
      </w:r>
      <w:r>
        <w:rPr>
          <w:color w:val="231F20"/>
          <w:sz w:val="17"/>
        </w:rPr>
        <w:t>rugby</w:t>
      </w:r>
      <w:r>
        <w:rPr>
          <w:color w:val="231F20"/>
          <w:spacing w:val="32"/>
          <w:sz w:val="17"/>
        </w:rPr>
        <w:t xml:space="preserve"> </w:t>
      </w:r>
      <w:r>
        <w:rPr>
          <w:color w:val="231F20"/>
          <w:sz w:val="17"/>
        </w:rPr>
        <w:t>in</w:t>
      </w:r>
      <w:r>
        <w:rPr>
          <w:color w:val="231F20"/>
          <w:spacing w:val="32"/>
          <w:sz w:val="17"/>
        </w:rPr>
        <w:t xml:space="preserve"> </w:t>
      </w:r>
      <w:r>
        <w:rPr>
          <w:color w:val="231F20"/>
          <w:sz w:val="17"/>
        </w:rPr>
        <w:t>a</w:t>
      </w:r>
      <w:r>
        <w:rPr>
          <w:color w:val="231F20"/>
          <w:spacing w:val="32"/>
          <w:sz w:val="17"/>
        </w:rPr>
        <w:t xml:space="preserve"> </w:t>
      </w:r>
      <w:r>
        <w:rPr>
          <w:color w:val="231F20"/>
          <w:sz w:val="17"/>
        </w:rPr>
        <w:t>changing</w:t>
      </w:r>
      <w:r>
        <w:rPr>
          <w:color w:val="231F20"/>
          <w:spacing w:val="32"/>
          <w:sz w:val="17"/>
        </w:rPr>
        <w:t xml:space="preserve"> </w:t>
      </w:r>
      <w:r>
        <w:rPr>
          <w:color w:val="231F20"/>
          <w:sz w:val="17"/>
        </w:rPr>
        <w:t>South</w:t>
      </w:r>
      <w:r>
        <w:rPr>
          <w:color w:val="231F20"/>
          <w:spacing w:val="32"/>
          <w:sz w:val="17"/>
        </w:rPr>
        <w:t xml:space="preserve"> </w:t>
      </w:r>
      <w:r>
        <w:rPr>
          <w:color w:val="231F20"/>
          <w:sz w:val="17"/>
        </w:rPr>
        <w:t>Africa.</w:t>
      </w:r>
      <w:r>
        <w:rPr>
          <w:color w:val="231F20"/>
          <w:spacing w:val="32"/>
          <w:sz w:val="17"/>
        </w:rPr>
        <w:t xml:space="preserve"> </w:t>
      </w:r>
      <w:r>
        <w:rPr>
          <w:i/>
          <w:color w:val="231F20"/>
          <w:sz w:val="17"/>
        </w:rPr>
        <w:t>International</w:t>
      </w:r>
      <w:r>
        <w:rPr>
          <w:i/>
          <w:color w:val="231F20"/>
          <w:spacing w:val="32"/>
          <w:sz w:val="17"/>
        </w:rPr>
        <w:t xml:space="preserve"> </w:t>
      </w:r>
      <w:r>
        <w:rPr>
          <w:i/>
          <w:color w:val="231F20"/>
          <w:sz w:val="17"/>
        </w:rPr>
        <w:t>Review</w:t>
      </w:r>
      <w:r>
        <w:rPr>
          <w:i/>
          <w:color w:val="231F20"/>
          <w:spacing w:val="32"/>
          <w:sz w:val="17"/>
        </w:rPr>
        <w:t xml:space="preserve"> </w:t>
      </w:r>
      <w:r>
        <w:rPr>
          <w:i/>
          <w:color w:val="231F20"/>
          <w:sz w:val="17"/>
        </w:rPr>
        <w:t>for</w:t>
      </w:r>
      <w:r>
        <w:rPr>
          <w:i/>
          <w:color w:val="231F20"/>
          <w:spacing w:val="32"/>
          <w:sz w:val="17"/>
        </w:rPr>
        <w:t xml:space="preserve"> </w:t>
      </w:r>
      <w:r>
        <w:rPr>
          <w:i/>
          <w:color w:val="231F20"/>
          <w:sz w:val="17"/>
        </w:rPr>
        <w:t>the</w:t>
      </w:r>
      <w:r>
        <w:rPr>
          <w:i/>
          <w:color w:val="231F20"/>
          <w:spacing w:val="32"/>
          <w:sz w:val="17"/>
        </w:rPr>
        <w:t xml:space="preserve"> </w:t>
      </w:r>
      <w:r>
        <w:rPr>
          <w:i/>
          <w:color w:val="231F20"/>
          <w:sz w:val="17"/>
        </w:rPr>
        <w:t>Sociology</w:t>
      </w:r>
      <w:r>
        <w:rPr>
          <w:i/>
          <w:color w:val="231F20"/>
          <w:spacing w:val="32"/>
          <w:sz w:val="17"/>
        </w:rPr>
        <w:t xml:space="preserve"> </w:t>
      </w:r>
      <w:r>
        <w:rPr>
          <w:i/>
          <w:color w:val="231F20"/>
          <w:sz w:val="17"/>
        </w:rPr>
        <w:t>of</w:t>
      </w:r>
      <w:r>
        <w:rPr>
          <w:i/>
          <w:color w:val="231F20"/>
          <w:spacing w:val="32"/>
          <w:sz w:val="17"/>
        </w:rPr>
        <w:t xml:space="preserve"> </w:t>
      </w:r>
      <w:r>
        <w:rPr>
          <w:i/>
          <w:color w:val="231F20"/>
          <w:sz w:val="17"/>
        </w:rPr>
        <w:t>Sport</w:t>
      </w:r>
      <w:r>
        <w:rPr>
          <w:i/>
          <w:color w:val="231F20"/>
          <w:spacing w:val="40"/>
          <w:sz w:val="17"/>
        </w:rPr>
        <w:t xml:space="preserve"> </w:t>
      </w:r>
      <w:r>
        <w:rPr>
          <w:color w:val="231F20"/>
          <w:sz w:val="17"/>
        </w:rPr>
        <w:t>31 (1), 69–89.</w:t>
      </w:r>
    </w:p>
    <w:p w14:paraId="0872718F" w14:textId="77777777" w:rsidR="00AE0598" w:rsidRDefault="0069255A">
      <w:pPr>
        <w:spacing w:before="2"/>
        <w:ind w:left="430" w:right="128" w:hanging="320"/>
        <w:jc w:val="both"/>
        <w:rPr>
          <w:sz w:val="17"/>
        </w:rPr>
      </w:pPr>
      <w:r>
        <w:rPr>
          <w:color w:val="231F20"/>
          <w:sz w:val="17"/>
        </w:rPr>
        <w:t xml:space="preserve">Nauright, </w:t>
      </w:r>
      <w:r>
        <w:rPr>
          <w:color w:val="231F20"/>
          <w:w w:val="105"/>
          <w:sz w:val="17"/>
        </w:rPr>
        <w:t xml:space="preserve">J. </w:t>
      </w:r>
      <w:r>
        <w:rPr>
          <w:color w:val="231F20"/>
          <w:sz w:val="17"/>
        </w:rPr>
        <w:t xml:space="preserve">(1997a) </w:t>
      </w:r>
      <w:r>
        <w:rPr>
          <w:i/>
          <w:color w:val="231F20"/>
          <w:sz w:val="17"/>
        </w:rPr>
        <w:t>Sport, Culture and Identities in South Africa</w:t>
      </w:r>
      <w:r>
        <w:rPr>
          <w:color w:val="231F20"/>
          <w:sz w:val="17"/>
        </w:rPr>
        <w:t>. London: Leicester</w:t>
      </w:r>
      <w:r>
        <w:rPr>
          <w:color w:val="231F20"/>
          <w:spacing w:val="40"/>
          <w:sz w:val="17"/>
        </w:rPr>
        <w:t xml:space="preserve"> </w:t>
      </w:r>
      <w:r>
        <w:rPr>
          <w:color w:val="231F20"/>
          <w:sz w:val="17"/>
        </w:rPr>
        <w:t>University Press.</w:t>
      </w:r>
    </w:p>
    <w:p w14:paraId="297B2429" w14:textId="77777777" w:rsidR="00AE0598" w:rsidRDefault="0069255A">
      <w:pPr>
        <w:spacing w:before="1"/>
        <w:ind w:left="430" w:right="128" w:hanging="320"/>
        <w:jc w:val="both"/>
        <w:rPr>
          <w:sz w:val="17"/>
        </w:rPr>
      </w:pPr>
      <w:r>
        <w:rPr>
          <w:color w:val="231F20"/>
          <w:sz w:val="17"/>
        </w:rPr>
        <w:t xml:space="preserve">Nauright, </w:t>
      </w:r>
      <w:r>
        <w:rPr>
          <w:color w:val="231F20"/>
          <w:w w:val="105"/>
          <w:sz w:val="17"/>
        </w:rPr>
        <w:t xml:space="preserve">J. </w:t>
      </w:r>
      <w:r>
        <w:rPr>
          <w:color w:val="231F20"/>
          <w:sz w:val="17"/>
        </w:rPr>
        <w:t>(1997b) Masculinity, muscular Islam and popular culture: ‘Coloured’ rugby’s</w:t>
      </w:r>
      <w:r>
        <w:rPr>
          <w:color w:val="231F20"/>
          <w:spacing w:val="40"/>
          <w:sz w:val="17"/>
        </w:rPr>
        <w:t xml:space="preserve"> </w:t>
      </w:r>
      <w:r>
        <w:rPr>
          <w:color w:val="231F20"/>
          <w:sz w:val="17"/>
        </w:rPr>
        <w:t xml:space="preserve">cultural symbolism in working-class Cape Town c.1930–70. </w:t>
      </w:r>
      <w:r>
        <w:rPr>
          <w:i/>
          <w:color w:val="231F20"/>
          <w:sz w:val="17"/>
        </w:rPr>
        <w:t>International Journal of</w:t>
      </w:r>
      <w:r>
        <w:rPr>
          <w:i/>
          <w:color w:val="231F20"/>
          <w:spacing w:val="40"/>
          <w:sz w:val="17"/>
        </w:rPr>
        <w:t xml:space="preserve"> </w:t>
      </w:r>
      <w:r>
        <w:rPr>
          <w:i/>
          <w:color w:val="231F20"/>
          <w:sz w:val="17"/>
        </w:rPr>
        <w:t xml:space="preserve">the History of Sport </w:t>
      </w:r>
      <w:r>
        <w:rPr>
          <w:color w:val="231F20"/>
          <w:sz w:val="17"/>
        </w:rPr>
        <w:t>14 (1), 184–190.</w:t>
      </w:r>
    </w:p>
    <w:p w14:paraId="74270EFC" w14:textId="77777777" w:rsidR="00AE0598" w:rsidRDefault="0069255A">
      <w:pPr>
        <w:spacing w:before="2"/>
        <w:ind w:left="110"/>
        <w:jc w:val="both"/>
        <w:rPr>
          <w:sz w:val="17"/>
        </w:rPr>
      </w:pPr>
      <w:r>
        <w:rPr>
          <w:color w:val="231F20"/>
          <w:sz w:val="17"/>
        </w:rPr>
        <w:t>Nettlefold,</w:t>
      </w:r>
      <w:r>
        <w:rPr>
          <w:color w:val="231F20"/>
          <w:spacing w:val="7"/>
          <w:sz w:val="17"/>
        </w:rPr>
        <w:t xml:space="preserve"> </w:t>
      </w:r>
      <w:r>
        <w:rPr>
          <w:color w:val="231F20"/>
          <w:sz w:val="17"/>
        </w:rPr>
        <w:t>P.A.</w:t>
      </w:r>
      <w:r>
        <w:rPr>
          <w:color w:val="231F20"/>
          <w:spacing w:val="8"/>
          <w:sz w:val="17"/>
        </w:rPr>
        <w:t xml:space="preserve"> </w:t>
      </w:r>
      <w:r>
        <w:rPr>
          <w:color w:val="231F20"/>
          <w:sz w:val="17"/>
        </w:rPr>
        <w:t>and</w:t>
      </w:r>
      <w:r>
        <w:rPr>
          <w:color w:val="231F20"/>
          <w:spacing w:val="7"/>
          <w:sz w:val="17"/>
        </w:rPr>
        <w:t xml:space="preserve"> </w:t>
      </w:r>
      <w:r>
        <w:rPr>
          <w:color w:val="231F20"/>
          <w:sz w:val="17"/>
        </w:rPr>
        <w:t>Stratford,</w:t>
      </w:r>
      <w:r>
        <w:rPr>
          <w:color w:val="231F20"/>
          <w:spacing w:val="8"/>
          <w:sz w:val="17"/>
        </w:rPr>
        <w:t xml:space="preserve"> </w:t>
      </w:r>
      <w:r>
        <w:rPr>
          <w:color w:val="231F20"/>
          <w:sz w:val="17"/>
        </w:rPr>
        <w:t>E.</w:t>
      </w:r>
      <w:r>
        <w:rPr>
          <w:color w:val="231F20"/>
          <w:spacing w:val="7"/>
          <w:sz w:val="17"/>
        </w:rPr>
        <w:t xml:space="preserve"> </w:t>
      </w:r>
      <w:r>
        <w:rPr>
          <w:color w:val="231F20"/>
          <w:sz w:val="17"/>
        </w:rPr>
        <w:t>(1999)</w:t>
      </w:r>
      <w:r>
        <w:rPr>
          <w:color w:val="231F20"/>
          <w:spacing w:val="8"/>
          <w:sz w:val="17"/>
        </w:rPr>
        <w:t xml:space="preserve"> </w:t>
      </w:r>
      <w:r>
        <w:rPr>
          <w:color w:val="231F20"/>
          <w:sz w:val="17"/>
        </w:rPr>
        <w:t>The</w:t>
      </w:r>
      <w:r>
        <w:rPr>
          <w:color w:val="231F20"/>
          <w:spacing w:val="7"/>
          <w:sz w:val="17"/>
        </w:rPr>
        <w:t xml:space="preserve"> </w:t>
      </w:r>
      <w:r>
        <w:rPr>
          <w:color w:val="231F20"/>
          <w:sz w:val="17"/>
        </w:rPr>
        <w:t>production</w:t>
      </w:r>
      <w:r>
        <w:rPr>
          <w:color w:val="231F20"/>
          <w:spacing w:val="8"/>
          <w:sz w:val="17"/>
        </w:rPr>
        <w:t xml:space="preserve"> </w:t>
      </w:r>
      <w:r>
        <w:rPr>
          <w:color w:val="231F20"/>
          <w:sz w:val="17"/>
        </w:rPr>
        <w:t>of</w:t>
      </w:r>
      <w:r>
        <w:rPr>
          <w:color w:val="231F20"/>
          <w:spacing w:val="7"/>
          <w:sz w:val="17"/>
        </w:rPr>
        <w:t xml:space="preserve"> </w:t>
      </w:r>
      <w:r>
        <w:rPr>
          <w:color w:val="231F20"/>
          <w:sz w:val="17"/>
        </w:rPr>
        <w:t>climbing</w:t>
      </w:r>
      <w:r>
        <w:rPr>
          <w:color w:val="231F20"/>
          <w:spacing w:val="8"/>
          <w:sz w:val="17"/>
        </w:rPr>
        <w:t xml:space="preserve"> </w:t>
      </w:r>
      <w:r>
        <w:rPr>
          <w:color w:val="231F20"/>
          <w:sz w:val="17"/>
        </w:rPr>
        <w:t>landscapes-as-</w:t>
      </w:r>
      <w:r>
        <w:rPr>
          <w:color w:val="231F20"/>
          <w:spacing w:val="-2"/>
          <w:sz w:val="17"/>
        </w:rPr>
        <w:t>texts.</w:t>
      </w:r>
    </w:p>
    <w:p w14:paraId="1976CE70" w14:textId="77777777" w:rsidR="00AE0598" w:rsidRDefault="0069255A">
      <w:pPr>
        <w:spacing w:before="1"/>
        <w:ind w:left="430"/>
        <w:jc w:val="both"/>
        <w:rPr>
          <w:sz w:val="17"/>
        </w:rPr>
      </w:pPr>
      <w:r>
        <w:rPr>
          <w:i/>
          <w:color w:val="231F20"/>
          <w:w w:val="95"/>
          <w:sz w:val="17"/>
        </w:rPr>
        <w:t>Australian</w:t>
      </w:r>
      <w:r>
        <w:rPr>
          <w:i/>
          <w:color w:val="231F20"/>
          <w:spacing w:val="29"/>
          <w:sz w:val="17"/>
        </w:rPr>
        <w:t xml:space="preserve"> </w:t>
      </w:r>
      <w:r>
        <w:rPr>
          <w:i/>
          <w:color w:val="231F20"/>
          <w:w w:val="95"/>
          <w:sz w:val="17"/>
        </w:rPr>
        <w:t>Geographical</w:t>
      </w:r>
      <w:r>
        <w:rPr>
          <w:i/>
          <w:color w:val="231F20"/>
          <w:spacing w:val="30"/>
          <w:sz w:val="17"/>
        </w:rPr>
        <w:t xml:space="preserve"> </w:t>
      </w:r>
      <w:r>
        <w:rPr>
          <w:i/>
          <w:color w:val="231F20"/>
          <w:w w:val="95"/>
          <w:sz w:val="17"/>
        </w:rPr>
        <w:t>Studies</w:t>
      </w:r>
      <w:r>
        <w:rPr>
          <w:color w:val="231F20"/>
          <w:w w:val="95"/>
          <w:sz w:val="17"/>
        </w:rPr>
        <w:t>,</w:t>
      </w:r>
      <w:r>
        <w:rPr>
          <w:color w:val="231F20"/>
          <w:spacing w:val="30"/>
          <w:sz w:val="17"/>
        </w:rPr>
        <w:t xml:space="preserve"> </w:t>
      </w:r>
      <w:r>
        <w:rPr>
          <w:color w:val="231F20"/>
          <w:w w:val="95"/>
          <w:sz w:val="17"/>
        </w:rPr>
        <w:t>37</w:t>
      </w:r>
      <w:r>
        <w:rPr>
          <w:color w:val="231F20"/>
          <w:spacing w:val="30"/>
          <w:sz w:val="17"/>
        </w:rPr>
        <w:t xml:space="preserve"> </w:t>
      </w:r>
      <w:r>
        <w:rPr>
          <w:color w:val="231F20"/>
          <w:w w:val="95"/>
          <w:sz w:val="17"/>
        </w:rPr>
        <w:t>(2),</w:t>
      </w:r>
      <w:r>
        <w:rPr>
          <w:color w:val="231F20"/>
          <w:spacing w:val="30"/>
          <w:sz w:val="17"/>
        </w:rPr>
        <w:t xml:space="preserve"> </w:t>
      </w:r>
      <w:r>
        <w:rPr>
          <w:color w:val="231F20"/>
          <w:spacing w:val="-2"/>
          <w:w w:val="95"/>
          <w:sz w:val="17"/>
        </w:rPr>
        <w:t>130–141.</w:t>
      </w:r>
    </w:p>
    <w:p w14:paraId="7DDA5FF2" w14:textId="77777777" w:rsidR="00AE0598" w:rsidRDefault="0069255A">
      <w:pPr>
        <w:spacing w:before="1"/>
        <w:ind w:left="110"/>
        <w:rPr>
          <w:sz w:val="17"/>
        </w:rPr>
      </w:pPr>
      <w:r>
        <w:rPr>
          <w:color w:val="231F20"/>
          <w:sz w:val="17"/>
        </w:rPr>
        <w:t>Netto,</w:t>
      </w:r>
      <w:r>
        <w:rPr>
          <w:color w:val="231F20"/>
          <w:spacing w:val="30"/>
          <w:sz w:val="17"/>
        </w:rPr>
        <w:t xml:space="preserve"> </w:t>
      </w:r>
      <w:r>
        <w:rPr>
          <w:color w:val="231F20"/>
          <w:sz w:val="17"/>
        </w:rPr>
        <w:t>A.P.</w:t>
      </w:r>
      <w:r>
        <w:rPr>
          <w:color w:val="231F20"/>
          <w:spacing w:val="30"/>
          <w:sz w:val="17"/>
        </w:rPr>
        <w:t xml:space="preserve"> </w:t>
      </w:r>
      <w:r>
        <w:rPr>
          <w:color w:val="231F20"/>
          <w:sz w:val="17"/>
        </w:rPr>
        <w:t>(2009)</w:t>
      </w:r>
      <w:r>
        <w:rPr>
          <w:color w:val="231F20"/>
          <w:spacing w:val="30"/>
          <w:sz w:val="17"/>
        </w:rPr>
        <w:t xml:space="preserve"> </w:t>
      </w:r>
      <w:r>
        <w:rPr>
          <w:color w:val="231F20"/>
          <w:sz w:val="17"/>
        </w:rPr>
        <w:t>What</w:t>
      </w:r>
      <w:r>
        <w:rPr>
          <w:color w:val="231F20"/>
          <w:spacing w:val="30"/>
          <w:sz w:val="17"/>
        </w:rPr>
        <w:t xml:space="preserve"> </w:t>
      </w:r>
      <w:r>
        <w:rPr>
          <w:color w:val="231F20"/>
          <w:sz w:val="17"/>
        </w:rPr>
        <w:t>is</w:t>
      </w:r>
      <w:r>
        <w:rPr>
          <w:color w:val="231F20"/>
          <w:spacing w:val="31"/>
          <w:sz w:val="17"/>
        </w:rPr>
        <w:t xml:space="preserve"> </w:t>
      </w:r>
      <w:r>
        <w:rPr>
          <w:color w:val="231F20"/>
          <w:sz w:val="17"/>
        </w:rPr>
        <w:t>tourism?</w:t>
      </w:r>
      <w:r>
        <w:rPr>
          <w:color w:val="231F20"/>
          <w:spacing w:val="30"/>
          <w:sz w:val="17"/>
        </w:rPr>
        <w:t xml:space="preserve"> </w:t>
      </w:r>
      <w:r>
        <w:rPr>
          <w:color w:val="231F20"/>
          <w:sz w:val="17"/>
        </w:rPr>
        <w:t>Definitions,</w:t>
      </w:r>
      <w:r>
        <w:rPr>
          <w:color w:val="231F20"/>
          <w:spacing w:val="30"/>
          <w:sz w:val="17"/>
        </w:rPr>
        <w:t xml:space="preserve"> </w:t>
      </w:r>
      <w:r>
        <w:rPr>
          <w:color w:val="231F20"/>
          <w:sz w:val="17"/>
        </w:rPr>
        <w:t>theoretical</w:t>
      </w:r>
      <w:r>
        <w:rPr>
          <w:color w:val="231F20"/>
          <w:spacing w:val="30"/>
          <w:sz w:val="17"/>
        </w:rPr>
        <w:t xml:space="preserve"> </w:t>
      </w:r>
      <w:r>
        <w:rPr>
          <w:color w:val="231F20"/>
          <w:sz w:val="17"/>
        </w:rPr>
        <w:t>phases</w:t>
      </w:r>
      <w:r>
        <w:rPr>
          <w:color w:val="231F20"/>
          <w:spacing w:val="31"/>
          <w:sz w:val="17"/>
        </w:rPr>
        <w:t xml:space="preserve"> </w:t>
      </w:r>
      <w:r>
        <w:rPr>
          <w:color w:val="231F20"/>
          <w:sz w:val="17"/>
        </w:rPr>
        <w:t>and</w:t>
      </w:r>
      <w:r>
        <w:rPr>
          <w:color w:val="231F20"/>
          <w:spacing w:val="30"/>
          <w:sz w:val="17"/>
        </w:rPr>
        <w:t xml:space="preserve"> </w:t>
      </w:r>
      <w:r>
        <w:rPr>
          <w:color w:val="231F20"/>
          <w:sz w:val="17"/>
        </w:rPr>
        <w:t>principles.</w:t>
      </w:r>
      <w:r>
        <w:rPr>
          <w:color w:val="231F20"/>
          <w:spacing w:val="30"/>
          <w:sz w:val="17"/>
        </w:rPr>
        <w:t xml:space="preserve"> </w:t>
      </w:r>
      <w:r>
        <w:rPr>
          <w:color w:val="231F20"/>
          <w:spacing w:val="-5"/>
          <w:sz w:val="17"/>
        </w:rPr>
        <w:t>In</w:t>
      </w:r>
    </w:p>
    <w:p w14:paraId="3D9FCF22" w14:textId="77777777" w:rsidR="00AE0598" w:rsidRDefault="0069255A">
      <w:pPr>
        <w:ind w:left="430"/>
        <w:rPr>
          <w:sz w:val="17"/>
        </w:rPr>
      </w:pPr>
      <w:r>
        <w:rPr>
          <w:color w:val="231F20"/>
          <w:spacing w:val="-2"/>
          <w:w w:val="105"/>
          <w:sz w:val="17"/>
        </w:rPr>
        <w:t>J.</w:t>
      </w:r>
      <w:r>
        <w:rPr>
          <w:color w:val="231F20"/>
          <w:spacing w:val="27"/>
          <w:w w:val="105"/>
          <w:sz w:val="17"/>
        </w:rPr>
        <w:t xml:space="preserve"> </w:t>
      </w:r>
      <w:r>
        <w:rPr>
          <w:color w:val="231F20"/>
          <w:spacing w:val="-2"/>
          <w:w w:val="105"/>
          <w:sz w:val="17"/>
        </w:rPr>
        <w:t>Tribe</w:t>
      </w:r>
      <w:r>
        <w:rPr>
          <w:color w:val="231F20"/>
          <w:spacing w:val="27"/>
          <w:w w:val="105"/>
          <w:sz w:val="17"/>
        </w:rPr>
        <w:t xml:space="preserve"> </w:t>
      </w:r>
      <w:r>
        <w:rPr>
          <w:color w:val="231F20"/>
          <w:spacing w:val="-2"/>
          <w:w w:val="105"/>
          <w:sz w:val="17"/>
        </w:rPr>
        <w:t>(ed.)</w:t>
      </w:r>
      <w:r>
        <w:rPr>
          <w:color w:val="231F20"/>
          <w:spacing w:val="27"/>
          <w:w w:val="105"/>
          <w:sz w:val="17"/>
        </w:rPr>
        <w:t xml:space="preserve"> </w:t>
      </w:r>
      <w:r>
        <w:rPr>
          <w:i/>
          <w:color w:val="231F20"/>
          <w:spacing w:val="-2"/>
          <w:w w:val="105"/>
          <w:sz w:val="17"/>
        </w:rPr>
        <w:t>Philosophical</w:t>
      </w:r>
      <w:r>
        <w:rPr>
          <w:i/>
          <w:color w:val="231F20"/>
          <w:spacing w:val="27"/>
          <w:w w:val="105"/>
          <w:sz w:val="17"/>
        </w:rPr>
        <w:t xml:space="preserve"> </w:t>
      </w:r>
      <w:r>
        <w:rPr>
          <w:i/>
          <w:color w:val="231F20"/>
          <w:spacing w:val="-2"/>
          <w:w w:val="105"/>
          <w:sz w:val="17"/>
        </w:rPr>
        <w:t>Issues</w:t>
      </w:r>
      <w:r>
        <w:rPr>
          <w:i/>
          <w:color w:val="231F20"/>
          <w:spacing w:val="27"/>
          <w:w w:val="105"/>
          <w:sz w:val="17"/>
        </w:rPr>
        <w:t xml:space="preserve"> </w:t>
      </w:r>
      <w:r>
        <w:rPr>
          <w:i/>
          <w:color w:val="231F20"/>
          <w:spacing w:val="-2"/>
          <w:w w:val="105"/>
          <w:sz w:val="17"/>
        </w:rPr>
        <w:t>in</w:t>
      </w:r>
      <w:r>
        <w:rPr>
          <w:i/>
          <w:color w:val="231F20"/>
          <w:spacing w:val="27"/>
          <w:w w:val="105"/>
          <w:sz w:val="17"/>
        </w:rPr>
        <w:t xml:space="preserve"> </w:t>
      </w:r>
      <w:r>
        <w:rPr>
          <w:i/>
          <w:color w:val="231F20"/>
          <w:spacing w:val="-2"/>
          <w:w w:val="105"/>
          <w:sz w:val="17"/>
        </w:rPr>
        <w:t>Tourism</w:t>
      </w:r>
      <w:r>
        <w:rPr>
          <w:i/>
          <w:color w:val="231F20"/>
          <w:spacing w:val="27"/>
          <w:w w:val="105"/>
          <w:sz w:val="17"/>
        </w:rPr>
        <w:t xml:space="preserve"> </w:t>
      </w:r>
      <w:r>
        <w:rPr>
          <w:color w:val="231F20"/>
          <w:spacing w:val="-2"/>
          <w:w w:val="105"/>
          <w:sz w:val="17"/>
        </w:rPr>
        <w:t>(pp.</w:t>
      </w:r>
      <w:r>
        <w:rPr>
          <w:color w:val="231F20"/>
          <w:spacing w:val="27"/>
          <w:w w:val="105"/>
          <w:sz w:val="17"/>
        </w:rPr>
        <w:t xml:space="preserve"> </w:t>
      </w:r>
      <w:r>
        <w:rPr>
          <w:color w:val="231F20"/>
          <w:spacing w:val="-2"/>
          <w:w w:val="105"/>
          <w:sz w:val="17"/>
        </w:rPr>
        <w:t>43–61).</w:t>
      </w:r>
      <w:r>
        <w:rPr>
          <w:color w:val="231F20"/>
          <w:spacing w:val="27"/>
          <w:w w:val="105"/>
          <w:sz w:val="17"/>
        </w:rPr>
        <w:t xml:space="preserve"> </w:t>
      </w:r>
      <w:r>
        <w:rPr>
          <w:color w:val="231F20"/>
          <w:spacing w:val="-2"/>
          <w:w w:val="105"/>
          <w:sz w:val="17"/>
        </w:rPr>
        <w:t>Bristol:</w:t>
      </w:r>
      <w:r>
        <w:rPr>
          <w:color w:val="231F20"/>
          <w:spacing w:val="27"/>
          <w:w w:val="105"/>
          <w:sz w:val="17"/>
        </w:rPr>
        <w:t xml:space="preserve"> </w:t>
      </w:r>
      <w:r>
        <w:rPr>
          <w:color w:val="231F20"/>
          <w:spacing w:val="-2"/>
          <w:w w:val="105"/>
          <w:sz w:val="17"/>
        </w:rPr>
        <w:t>Channel</w:t>
      </w:r>
      <w:r>
        <w:rPr>
          <w:color w:val="231F20"/>
          <w:spacing w:val="27"/>
          <w:w w:val="105"/>
          <w:sz w:val="17"/>
        </w:rPr>
        <w:t xml:space="preserve"> </w:t>
      </w:r>
      <w:r>
        <w:rPr>
          <w:color w:val="231F20"/>
          <w:spacing w:val="-2"/>
          <w:w w:val="105"/>
          <w:sz w:val="17"/>
        </w:rPr>
        <w:t>View</w:t>
      </w:r>
      <w:r>
        <w:rPr>
          <w:color w:val="231F20"/>
          <w:spacing w:val="40"/>
          <w:w w:val="105"/>
          <w:sz w:val="17"/>
        </w:rPr>
        <w:t xml:space="preserve"> </w:t>
      </w:r>
      <w:r>
        <w:rPr>
          <w:color w:val="231F20"/>
          <w:spacing w:val="-2"/>
          <w:w w:val="105"/>
          <w:sz w:val="17"/>
        </w:rPr>
        <w:t>Publications.</w:t>
      </w:r>
    </w:p>
    <w:p w14:paraId="36DA2DE2" w14:textId="77777777" w:rsidR="00AE0598" w:rsidRDefault="0069255A">
      <w:pPr>
        <w:spacing w:before="2"/>
        <w:ind w:left="110"/>
        <w:rPr>
          <w:i/>
          <w:sz w:val="17"/>
        </w:rPr>
      </w:pPr>
      <w:r>
        <w:rPr>
          <w:color w:val="231F20"/>
          <w:sz w:val="17"/>
        </w:rPr>
        <w:t>Nevo, I.</w:t>
      </w:r>
      <w:r>
        <w:rPr>
          <w:color w:val="231F20"/>
          <w:spacing w:val="1"/>
          <w:sz w:val="17"/>
        </w:rPr>
        <w:t xml:space="preserve"> </w:t>
      </w:r>
      <w:r>
        <w:rPr>
          <w:color w:val="231F20"/>
          <w:sz w:val="17"/>
        </w:rPr>
        <w:t>(2000)</w:t>
      </w:r>
      <w:r>
        <w:rPr>
          <w:color w:val="231F20"/>
          <w:spacing w:val="1"/>
          <w:sz w:val="17"/>
        </w:rPr>
        <w:t xml:space="preserve"> </w:t>
      </w:r>
      <w:r>
        <w:rPr>
          <w:color w:val="231F20"/>
          <w:sz w:val="17"/>
        </w:rPr>
        <w:t>Sport</w:t>
      </w:r>
      <w:r>
        <w:rPr>
          <w:color w:val="231F20"/>
          <w:spacing w:val="1"/>
          <w:sz w:val="17"/>
        </w:rPr>
        <w:t xml:space="preserve"> </w:t>
      </w:r>
      <w:r>
        <w:rPr>
          <w:color w:val="231F20"/>
          <w:sz w:val="17"/>
        </w:rPr>
        <w:t>institutions</w:t>
      </w:r>
      <w:r>
        <w:rPr>
          <w:color w:val="231F20"/>
          <w:spacing w:val="1"/>
          <w:sz w:val="17"/>
        </w:rPr>
        <w:t xml:space="preserve"> </w:t>
      </w:r>
      <w:r>
        <w:rPr>
          <w:color w:val="231F20"/>
          <w:sz w:val="17"/>
        </w:rPr>
        <w:t>and</w:t>
      </w:r>
      <w:r>
        <w:rPr>
          <w:color w:val="231F20"/>
          <w:spacing w:val="1"/>
          <w:sz w:val="17"/>
        </w:rPr>
        <w:t xml:space="preserve"> </w:t>
      </w:r>
      <w:r>
        <w:rPr>
          <w:color w:val="231F20"/>
          <w:sz w:val="17"/>
        </w:rPr>
        <w:t>ideology</w:t>
      </w:r>
      <w:r>
        <w:rPr>
          <w:color w:val="231F20"/>
          <w:spacing w:val="1"/>
          <w:sz w:val="17"/>
        </w:rPr>
        <w:t xml:space="preserve"> </w:t>
      </w:r>
      <w:r>
        <w:rPr>
          <w:color w:val="231F20"/>
          <w:sz w:val="17"/>
        </w:rPr>
        <w:t>in</w:t>
      </w:r>
      <w:r>
        <w:rPr>
          <w:color w:val="231F20"/>
          <w:spacing w:val="1"/>
          <w:sz w:val="17"/>
        </w:rPr>
        <w:t xml:space="preserve"> </w:t>
      </w:r>
      <w:r>
        <w:rPr>
          <w:color w:val="231F20"/>
          <w:sz w:val="17"/>
        </w:rPr>
        <w:t xml:space="preserve">Israel. </w:t>
      </w:r>
      <w:r>
        <w:rPr>
          <w:i/>
          <w:color w:val="231F20"/>
          <w:sz w:val="17"/>
        </w:rPr>
        <w:t>Journal</w:t>
      </w:r>
      <w:r>
        <w:rPr>
          <w:i/>
          <w:color w:val="231F20"/>
          <w:spacing w:val="1"/>
          <w:sz w:val="17"/>
        </w:rPr>
        <w:t xml:space="preserve"> </w:t>
      </w:r>
      <w:r>
        <w:rPr>
          <w:i/>
          <w:color w:val="231F20"/>
          <w:sz w:val="17"/>
        </w:rPr>
        <w:t>of</w:t>
      </w:r>
      <w:r>
        <w:rPr>
          <w:i/>
          <w:color w:val="231F20"/>
          <w:spacing w:val="1"/>
          <w:sz w:val="17"/>
        </w:rPr>
        <w:t xml:space="preserve"> </w:t>
      </w:r>
      <w:r>
        <w:rPr>
          <w:i/>
          <w:color w:val="231F20"/>
          <w:sz w:val="17"/>
        </w:rPr>
        <w:t>Sport</w:t>
      </w:r>
      <w:r>
        <w:rPr>
          <w:i/>
          <w:color w:val="231F20"/>
          <w:spacing w:val="1"/>
          <w:sz w:val="17"/>
        </w:rPr>
        <w:t xml:space="preserve"> </w:t>
      </w:r>
      <w:r>
        <w:rPr>
          <w:i/>
          <w:color w:val="231F20"/>
          <w:sz w:val="17"/>
        </w:rPr>
        <w:t>and</w:t>
      </w:r>
      <w:r>
        <w:rPr>
          <w:i/>
          <w:color w:val="231F20"/>
          <w:spacing w:val="1"/>
          <w:sz w:val="17"/>
        </w:rPr>
        <w:t xml:space="preserve"> </w:t>
      </w:r>
      <w:r>
        <w:rPr>
          <w:i/>
          <w:color w:val="231F20"/>
          <w:sz w:val="17"/>
        </w:rPr>
        <w:t>Social</w:t>
      </w:r>
      <w:r>
        <w:rPr>
          <w:i/>
          <w:color w:val="231F20"/>
          <w:spacing w:val="1"/>
          <w:sz w:val="17"/>
        </w:rPr>
        <w:t xml:space="preserve"> </w:t>
      </w:r>
      <w:r>
        <w:rPr>
          <w:i/>
          <w:color w:val="231F20"/>
          <w:spacing w:val="-2"/>
          <w:sz w:val="17"/>
        </w:rPr>
        <w:t>Issues</w:t>
      </w:r>
    </w:p>
    <w:p w14:paraId="6B1F0B78" w14:textId="77777777" w:rsidR="00AE0598" w:rsidRDefault="0069255A">
      <w:pPr>
        <w:spacing w:before="1"/>
        <w:ind w:left="430"/>
        <w:rPr>
          <w:sz w:val="17"/>
        </w:rPr>
      </w:pPr>
      <w:r>
        <w:rPr>
          <w:color w:val="231F20"/>
          <w:w w:val="90"/>
          <w:sz w:val="17"/>
        </w:rPr>
        <w:t>24</w:t>
      </w:r>
      <w:r>
        <w:rPr>
          <w:color w:val="231F20"/>
          <w:spacing w:val="-1"/>
          <w:sz w:val="17"/>
        </w:rPr>
        <w:t xml:space="preserve"> </w:t>
      </w:r>
      <w:r>
        <w:rPr>
          <w:color w:val="231F20"/>
          <w:w w:val="90"/>
          <w:sz w:val="17"/>
        </w:rPr>
        <w:t>(4),</w:t>
      </w:r>
      <w:r>
        <w:rPr>
          <w:color w:val="231F20"/>
          <w:sz w:val="17"/>
        </w:rPr>
        <w:t xml:space="preserve"> </w:t>
      </w:r>
      <w:r>
        <w:rPr>
          <w:color w:val="231F20"/>
          <w:spacing w:val="-2"/>
          <w:w w:val="90"/>
          <w:sz w:val="17"/>
        </w:rPr>
        <w:t>334–343.</w:t>
      </w:r>
    </w:p>
    <w:p w14:paraId="2107E8AA" w14:textId="77777777" w:rsidR="00AE0598" w:rsidRDefault="0069255A">
      <w:pPr>
        <w:ind w:left="110"/>
        <w:rPr>
          <w:sz w:val="17"/>
        </w:rPr>
      </w:pPr>
      <w:r>
        <w:rPr>
          <w:color w:val="231F20"/>
          <w:w w:val="95"/>
          <w:sz w:val="17"/>
        </w:rPr>
        <w:t>New</w:t>
      </w:r>
      <w:r>
        <w:rPr>
          <w:color w:val="231F20"/>
          <w:spacing w:val="25"/>
          <w:sz w:val="17"/>
        </w:rPr>
        <w:t xml:space="preserve"> </w:t>
      </w:r>
      <w:r>
        <w:rPr>
          <w:color w:val="231F20"/>
          <w:w w:val="95"/>
          <w:sz w:val="17"/>
        </w:rPr>
        <w:t>Zealand</w:t>
      </w:r>
      <w:r>
        <w:rPr>
          <w:color w:val="231F20"/>
          <w:spacing w:val="25"/>
          <w:sz w:val="17"/>
        </w:rPr>
        <w:t xml:space="preserve"> </w:t>
      </w:r>
      <w:r>
        <w:rPr>
          <w:color w:val="231F20"/>
          <w:w w:val="95"/>
          <w:sz w:val="17"/>
        </w:rPr>
        <w:t>Rugby</w:t>
      </w:r>
      <w:r>
        <w:rPr>
          <w:color w:val="231F20"/>
          <w:spacing w:val="26"/>
          <w:sz w:val="17"/>
        </w:rPr>
        <w:t xml:space="preserve"> </w:t>
      </w:r>
      <w:r>
        <w:rPr>
          <w:color w:val="231F20"/>
          <w:w w:val="95"/>
          <w:sz w:val="17"/>
        </w:rPr>
        <w:t>Almanac</w:t>
      </w:r>
      <w:r>
        <w:rPr>
          <w:color w:val="231F20"/>
          <w:spacing w:val="25"/>
          <w:sz w:val="17"/>
        </w:rPr>
        <w:t xml:space="preserve"> </w:t>
      </w:r>
      <w:r>
        <w:rPr>
          <w:color w:val="231F20"/>
          <w:w w:val="95"/>
          <w:sz w:val="17"/>
        </w:rPr>
        <w:t>(1936–2017).</w:t>
      </w:r>
      <w:r>
        <w:rPr>
          <w:color w:val="231F20"/>
          <w:spacing w:val="26"/>
          <w:sz w:val="17"/>
        </w:rPr>
        <w:t xml:space="preserve"> </w:t>
      </w:r>
      <w:r>
        <w:rPr>
          <w:color w:val="231F20"/>
          <w:w w:val="95"/>
          <w:sz w:val="17"/>
        </w:rPr>
        <w:t>Auckland:</w:t>
      </w:r>
      <w:r>
        <w:rPr>
          <w:color w:val="231F20"/>
          <w:spacing w:val="25"/>
          <w:sz w:val="17"/>
        </w:rPr>
        <w:t xml:space="preserve"> </w:t>
      </w:r>
      <w:r>
        <w:rPr>
          <w:color w:val="231F20"/>
          <w:w w:val="95"/>
          <w:sz w:val="17"/>
        </w:rPr>
        <w:t>Upstart</w:t>
      </w:r>
      <w:r>
        <w:rPr>
          <w:color w:val="231F20"/>
          <w:spacing w:val="26"/>
          <w:sz w:val="17"/>
        </w:rPr>
        <w:t xml:space="preserve"> </w:t>
      </w:r>
      <w:r>
        <w:rPr>
          <w:color w:val="231F20"/>
          <w:spacing w:val="-2"/>
          <w:w w:val="95"/>
          <w:sz w:val="17"/>
        </w:rPr>
        <w:t>Press.</w:t>
      </w:r>
    </w:p>
    <w:p w14:paraId="47759527" w14:textId="77777777" w:rsidR="00AE0598" w:rsidRDefault="0069255A">
      <w:pPr>
        <w:spacing w:before="1"/>
        <w:ind w:left="430" w:hanging="320"/>
        <w:rPr>
          <w:sz w:val="17"/>
        </w:rPr>
      </w:pPr>
      <w:r>
        <w:rPr>
          <w:color w:val="231F20"/>
          <w:sz w:val="17"/>
        </w:rPr>
        <w:t>New Zealand Tourism Board (1998) All Blacks join forces with McCully, NZTB in South</w:t>
      </w:r>
      <w:r>
        <w:rPr>
          <w:color w:val="231F20"/>
          <w:spacing w:val="40"/>
          <w:sz w:val="17"/>
        </w:rPr>
        <w:t xml:space="preserve"> </w:t>
      </w:r>
      <w:r>
        <w:rPr>
          <w:color w:val="231F20"/>
          <w:sz w:val="17"/>
        </w:rPr>
        <w:t xml:space="preserve">Africa, </w:t>
      </w:r>
      <w:r>
        <w:rPr>
          <w:i/>
          <w:color w:val="231F20"/>
          <w:sz w:val="17"/>
        </w:rPr>
        <w:t>Tourism News</w:t>
      </w:r>
      <w:r>
        <w:rPr>
          <w:color w:val="231F20"/>
          <w:sz w:val="17"/>
        </w:rPr>
        <w:t>, August, Wellington.</w:t>
      </w:r>
    </w:p>
    <w:p w14:paraId="04E7D961" w14:textId="77777777" w:rsidR="00AE0598" w:rsidRDefault="0069255A">
      <w:pPr>
        <w:spacing w:before="1"/>
        <w:ind w:left="430" w:right="128" w:hanging="320"/>
        <w:jc w:val="both"/>
        <w:rPr>
          <w:sz w:val="17"/>
        </w:rPr>
      </w:pPr>
      <w:r>
        <w:rPr>
          <w:color w:val="231F20"/>
          <w:sz w:val="17"/>
        </w:rPr>
        <w:t xml:space="preserve">Nicholls, </w:t>
      </w:r>
      <w:r>
        <w:rPr>
          <w:color w:val="231F20"/>
          <w:w w:val="105"/>
          <w:sz w:val="17"/>
        </w:rPr>
        <w:t xml:space="preserve">J. </w:t>
      </w:r>
      <w:r>
        <w:rPr>
          <w:color w:val="231F20"/>
          <w:sz w:val="17"/>
        </w:rPr>
        <w:t xml:space="preserve">(1989) </w:t>
      </w:r>
      <w:r>
        <w:rPr>
          <w:i/>
          <w:color w:val="231F20"/>
          <w:sz w:val="17"/>
        </w:rPr>
        <w:t>The Competitive Ethos and Democratic Education</w:t>
      </w:r>
      <w:r>
        <w:rPr>
          <w:color w:val="231F20"/>
          <w:sz w:val="17"/>
        </w:rPr>
        <w:t>. Cambridge, MA:</w:t>
      </w:r>
      <w:r>
        <w:rPr>
          <w:color w:val="231F20"/>
          <w:spacing w:val="40"/>
          <w:sz w:val="17"/>
        </w:rPr>
        <w:t xml:space="preserve"> </w:t>
      </w:r>
      <w:r>
        <w:rPr>
          <w:color w:val="231F20"/>
          <w:sz w:val="17"/>
        </w:rPr>
        <w:t>Harvard University Press.</w:t>
      </w:r>
    </w:p>
    <w:p w14:paraId="4D8B1A68" w14:textId="77777777" w:rsidR="00AE0598" w:rsidRDefault="0069255A">
      <w:pPr>
        <w:spacing w:before="2"/>
        <w:ind w:left="430" w:right="126" w:hanging="320"/>
        <w:jc w:val="both"/>
        <w:rPr>
          <w:sz w:val="17"/>
        </w:rPr>
      </w:pPr>
      <w:r>
        <w:rPr>
          <w:color w:val="231F20"/>
          <w:sz w:val="17"/>
        </w:rPr>
        <w:t>Nogawa, H., Yamaguchi, Y. and Hagi, Y. (1996) An empirical research study on Japanese</w:t>
      </w:r>
      <w:r>
        <w:rPr>
          <w:color w:val="231F20"/>
          <w:spacing w:val="40"/>
          <w:sz w:val="17"/>
        </w:rPr>
        <w:t xml:space="preserve"> </w:t>
      </w:r>
      <w:r>
        <w:rPr>
          <w:color w:val="231F20"/>
          <w:w w:val="95"/>
          <w:sz w:val="17"/>
        </w:rPr>
        <w:t>sport tourism in sport-for-all events: Case studies of a single-night event and a multiple-</w:t>
      </w:r>
      <w:r>
        <w:rPr>
          <w:color w:val="231F20"/>
          <w:spacing w:val="40"/>
          <w:sz w:val="17"/>
        </w:rPr>
        <w:t xml:space="preserve"> </w:t>
      </w:r>
      <w:r>
        <w:rPr>
          <w:color w:val="231F20"/>
          <w:sz w:val="17"/>
        </w:rPr>
        <w:t xml:space="preserve">night event. </w:t>
      </w:r>
      <w:r>
        <w:rPr>
          <w:i/>
          <w:color w:val="231F20"/>
          <w:sz w:val="17"/>
        </w:rPr>
        <w:t xml:space="preserve">Journal of Travel Research </w:t>
      </w:r>
      <w:r>
        <w:rPr>
          <w:color w:val="231F20"/>
          <w:sz w:val="17"/>
        </w:rPr>
        <w:t>35 (2), 46–5</w:t>
      </w:r>
      <w:r>
        <w:rPr>
          <w:color w:val="231F20"/>
          <w:sz w:val="17"/>
        </w:rPr>
        <w:t>4.</w:t>
      </w:r>
    </w:p>
    <w:p w14:paraId="6C80DC26" w14:textId="77777777" w:rsidR="00AE0598" w:rsidRDefault="0069255A">
      <w:pPr>
        <w:spacing w:before="2"/>
        <w:ind w:left="430" w:right="128" w:hanging="320"/>
        <w:jc w:val="both"/>
        <w:rPr>
          <w:sz w:val="17"/>
        </w:rPr>
      </w:pPr>
      <w:r>
        <w:rPr>
          <w:color w:val="231F20"/>
          <w:w w:val="105"/>
          <w:sz w:val="17"/>
        </w:rPr>
        <w:t>Nowak, J., Petit, S. and Sahli, M. (2009) Tourism and globalization: The international</w:t>
      </w:r>
      <w:r>
        <w:rPr>
          <w:color w:val="231F20"/>
          <w:spacing w:val="40"/>
          <w:w w:val="105"/>
          <w:sz w:val="17"/>
        </w:rPr>
        <w:t xml:space="preserve"> </w:t>
      </w:r>
      <w:r>
        <w:rPr>
          <w:color w:val="231F20"/>
          <w:sz w:val="17"/>
        </w:rPr>
        <w:t xml:space="preserve">division of tourism production. </w:t>
      </w:r>
      <w:r>
        <w:rPr>
          <w:i/>
          <w:color w:val="231F20"/>
          <w:sz w:val="17"/>
        </w:rPr>
        <w:t xml:space="preserve">Journal of Travel Research </w:t>
      </w:r>
      <w:r>
        <w:rPr>
          <w:color w:val="231F20"/>
          <w:sz w:val="17"/>
        </w:rPr>
        <w:t>47, 1–19.</w:t>
      </w:r>
    </w:p>
    <w:p w14:paraId="268A8BE0" w14:textId="77777777" w:rsidR="00AE0598" w:rsidRDefault="0069255A">
      <w:pPr>
        <w:spacing w:before="1"/>
        <w:ind w:left="430" w:right="128" w:hanging="320"/>
        <w:jc w:val="both"/>
        <w:rPr>
          <w:sz w:val="17"/>
        </w:rPr>
      </w:pPr>
      <w:r>
        <w:rPr>
          <w:color w:val="231F20"/>
          <w:sz w:val="17"/>
        </w:rPr>
        <w:t>Nusca, A. (2010) The future of air transport: Airbus unveils concept airplane for 2030.</w:t>
      </w:r>
      <w:r>
        <w:rPr>
          <w:color w:val="231F20"/>
          <w:spacing w:val="40"/>
          <w:sz w:val="17"/>
        </w:rPr>
        <w:t xml:space="preserve"> </w:t>
      </w:r>
      <w:r>
        <w:rPr>
          <w:color w:val="231F20"/>
          <w:w w:val="95"/>
          <w:sz w:val="17"/>
        </w:rPr>
        <w:t xml:space="preserve">See </w:t>
      </w:r>
      <w:hyperlink r:id="rId58">
        <w:r>
          <w:rPr>
            <w:color w:val="231F20"/>
            <w:w w:val="95"/>
            <w:sz w:val="17"/>
          </w:rPr>
          <w:t>http://www.zdnet.com/article/the-future-of-air-transport-airbus-unveils-concept-</w:t>
        </w:r>
      </w:hyperlink>
      <w:r>
        <w:rPr>
          <w:color w:val="231F20"/>
          <w:spacing w:val="40"/>
          <w:sz w:val="17"/>
        </w:rPr>
        <w:t xml:space="preserve"> </w:t>
      </w:r>
      <w:r>
        <w:rPr>
          <w:color w:val="231F20"/>
          <w:spacing w:val="-2"/>
          <w:sz w:val="17"/>
        </w:rPr>
        <w:t>airplane-for-2030/</w:t>
      </w:r>
      <w:r>
        <w:rPr>
          <w:color w:val="231F20"/>
          <w:spacing w:val="-4"/>
          <w:sz w:val="17"/>
        </w:rPr>
        <w:t xml:space="preserve"> </w:t>
      </w:r>
      <w:r>
        <w:rPr>
          <w:color w:val="231F20"/>
          <w:spacing w:val="-2"/>
          <w:sz w:val="17"/>
        </w:rPr>
        <w:t>(accessed</w:t>
      </w:r>
      <w:r>
        <w:rPr>
          <w:color w:val="231F20"/>
          <w:spacing w:val="-4"/>
          <w:sz w:val="17"/>
        </w:rPr>
        <w:t xml:space="preserve"> </w:t>
      </w:r>
      <w:r>
        <w:rPr>
          <w:color w:val="231F20"/>
          <w:spacing w:val="-2"/>
          <w:sz w:val="17"/>
        </w:rPr>
        <w:t>19</w:t>
      </w:r>
      <w:r>
        <w:rPr>
          <w:color w:val="231F20"/>
          <w:spacing w:val="-4"/>
          <w:sz w:val="17"/>
        </w:rPr>
        <w:t xml:space="preserve"> </w:t>
      </w:r>
      <w:r>
        <w:rPr>
          <w:color w:val="231F20"/>
          <w:spacing w:val="-2"/>
          <w:sz w:val="17"/>
        </w:rPr>
        <w:t>July</w:t>
      </w:r>
      <w:r>
        <w:rPr>
          <w:color w:val="231F20"/>
          <w:spacing w:val="-4"/>
          <w:sz w:val="17"/>
        </w:rPr>
        <w:t xml:space="preserve"> </w:t>
      </w:r>
      <w:r>
        <w:rPr>
          <w:color w:val="231F20"/>
          <w:spacing w:val="-2"/>
          <w:sz w:val="17"/>
        </w:rPr>
        <w:t>2017).</w:t>
      </w:r>
    </w:p>
    <w:p w14:paraId="2C24E3C6" w14:textId="77777777" w:rsidR="00AE0598" w:rsidRDefault="00AE0598">
      <w:pPr>
        <w:jc w:val="both"/>
        <w:rPr>
          <w:sz w:val="17"/>
        </w:rPr>
        <w:sectPr w:rsidR="00AE0598">
          <w:pgSz w:w="8850" w:h="13270"/>
          <w:pgMar w:top="720" w:right="1060" w:bottom="280" w:left="1080" w:header="720" w:footer="720" w:gutter="0"/>
          <w:cols w:space="720"/>
        </w:sectPr>
      </w:pPr>
    </w:p>
    <w:p w14:paraId="1E42DCC7" w14:textId="77777777" w:rsidR="00AE0598" w:rsidRDefault="0069255A">
      <w:pPr>
        <w:spacing w:before="87"/>
        <w:ind w:left="108"/>
        <w:rPr>
          <w:rFonts w:ascii="Trebuchet MS"/>
          <w:sz w:val="14"/>
        </w:rPr>
      </w:pPr>
      <w:r>
        <w:rPr>
          <w:rFonts w:ascii="Trebuchet MS"/>
          <w:color w:val="231F20"/>
          <w:w w:val="105"/>
          <w:sz w:val="14"/>
        </w:rPr>
        <w:lastRenderedPageBreak/>
        <w:t>266</w:t>
      </w:r>
      <w:r>
        <w:rPr>
          <w:rFonts w:ascii="Trebuchet MS"/>
          <w:color w:val="231F20"/>
          <w:spacing w:val="78"/>
          <w:w w:val="150"/>
          <w:sz w:val="14"/>
        </w:rPr>
        <w:t xml:space="preserve"> </w:t>
      </w:r>
      <w:r>
        <w:rPr>
          <w:rFonts w:ascii="Trebuchet MS"/>
          <w:color w:val="231F20"/>
          <w:spacing w:val="-2"/>
          <w:w w:val="105"/>
          <w:sz w:val="14"/>
        </w:rPr>
        <w:t>References</w:t>
      </w:r>
    </w:p>
    <w:p w14:paraId="061C7A77" w14:textId="77777777" w:rsidR="00AE0598" w:rsidRDefault="00AE0598">
      <w:pPr>
        <w:pStyle w:val="Corpodetexto"/>
        <w:rPr>
          <w:rFonts w:ascii="Trebuchet MS"/>
          <w:sz w:val="16"/>
        </w:rPr>
      </w:pPr>
    </w:p>
    <w:p w14:paraId="0D92D53D" w14:textId="77777777" w:rsidR="00AE0598" w:rsidRDefault="0069255A">
      <w:pPr>
        <w:spacing w:before="121"/>
        <w:ind w:left="110"/>
        <w:jc w:val="both"/>
        <w:rPr>
          <w:i/>
          <w:sz w:val="17"/>
        </w:rPr>
      </w:pPr>
      <w:r>
        <w:rPr>
          <w:color w:val="231F20"/>
          <w:w w:val="95"/>
          <w:sz w:val="17"/>
        </w:rPr>
        <w:t>O’Brien,</w:t>
      </w:r>
      <w:r>
        <w:rPr>
          <w:color w:val="231F20"/>
          <w:spacing w:val="27"/>
          <w:sz w:val="17"/>
        </w:rPr>
        <w:t xml:space="preserve"> </w:t>
      </w:r>
      <w:r>
        <w:rPr>
          <w:color w:val="231F20"/>
          <w:w w:val="95"/>
          <w:sz w:val="17"/>
        </w:rPr>
        <w:t>D.</w:t>
      </w:r>
      <w:r>
        <w:rPr>
          <w:color w:val="231F20"/>
          <w:spacing w:val="27"/>
          <w:sz w:val="17"/>
        </w:rPr>
        <w:t xml:space="preserve"> </w:t>
      </w:r>
      <w:r>
        <w:rPr>
          <w:color w:val="231F20"/>
          <w:w w:val="95"/>
          <w:sz w:val="17"/>
        </w:rPr>
        <w:t>(2006)</w:t>
      </w:r>
      <w:r>
        <w:rPr>
          <w:color w:val="231F20"/>
          <w:spacing w:val="27"/>
          <w:sz w:val="17"/>
        </w:rPr>
        <w:t xml:space="preserve"> </w:t>
      </w:r>
      <w:r>
        <w:rPr>
          <w:color w:val="231F20"/>
          <w:w w:val="95"/>
          <w:sz w:val="17"/>
        </w:rPr>
        <w:t>Event</w:t>
      </w:r>
      <w:r>
        <w:rPr>
          <w:color w:val="231F20"/>
          <w:spacing w:val="27"/>
          <w:sz w:val="17"/>
        </w:rPr>
        <w:t xml:space="preserve"> </w:t>
      </w:r>
      <w:r>
        <w:rPr>
          <w:color w:val="231F20"/>
          <w:w w:val="95"/>
          <w:sz w:val="17"/>
        </w:rPr>
        <w:t>business</w:t>
      </w:r>
      <w:r>
        <w:rPr>
          <w:color w:val="231F20"/>
          <w:spacing w:val="28"/>
          <w:sz w:val="17"/>
        </w:rPr>
        <w:t xml:space="preserve"> </w:t>
      </w:r>
      <w:r>
        <w:rPr>
          <w:color w:val="231F20"/>
          <w:w w:val="95"/>
          <w:sz w:val="17"/>
        </w:rPr>
        <w:t>leveraging</w:t>
      </w:r>
      <w:r>
        <w:rPr>
          <w:color w:val="231F20"/>
          <w:spacing w:val="27"/>
          <w:sz w:val="17"/>
        </w:rPr>
        <w:t xml:space="preserve"> </w:t>
      </w:r>
      <w:r>
        <w:rPr>
          <w:color w:val="231F20"/>
          <w:w w:val="95"/>
          <w:sz w:val="17"/>
        </w:rPr>
        <w:t>the</w:t>
      </w:r>
      <w:r>
        <w:rPr>
          <w:color w:val="231F20"/>
          <w:spacing w:val="27"/>
          <w:sz w:val="17"/>
        </w:rPr>
        <w:t xml:space="preserve"> </w:t>
      </w:r>
      <w:r>
        <w:rPr>
          <w:color w:val="231F20"/>
          <w:w w:val="95"/>
          <w:sz w:val="17"/>
        </w:rPr>
        <w:t>Sydney</w:t>
      </w:r>
      <w:r>
        <w:rPr>
          <w:color w:val="231F20"/>
          <w:spacing w:val="27"/>
          <w:sz w:val="17"/>
        </w:rPr>
        <w:t xml:space="preserve"> </w:t>
      </w:r>
      <w:r>
        <w:rPr>
          <w:color w:val="231F20"/>
          <w:w w:val="95"/>
          <w:sz w:val="17"/>
        </w:rPr>
        <w:t>2000</w:t>
      </w:r>
      <w:r>
        <w:rPr>
          <w:color w:val="231F20"/>
          <w:spacing w:val="27"/>
          <w:sz w:val="17"/>
        </w:rPr>
        <w:t xml:space="preserve"> </w:t>
      </w:r>
      <w:r>
        <w:rPr>
          <w:color w:val="231F20"/>
          <w:w w:val="95"/>
          <w:sz w:val="17"/>
        </w:rPr>
        <w:t>Olympic</w:t>
      </w:r>
      <w:r>
        <w:rPr>
          <w:color w:val="231F20"/>
          <w:spacing w:val="28"/>
          <w:sz w:val="17"/>
        </w:rPr>
        <w:t xml:space="preserve"> </w:t>
      </w:r>
      <w:r>
        <w:rPr>
          <w:color w:val="231F20"/>
          <w:w w:val="95"/>
          <w:sz w:val="17"/>
        </w:rPr>
        <w:t>games.</w:t>
      </w:r>
      <w:r>
        <w:rPr>
          <w:color w:val="231F20"/>
          <w:spacing w:val="27"/>
          <w:sz w:val="17"/>
        </w:rPr>
        <w:t xml:space="preserve"> </w:t>
      </w:r>
      <w:r>
        <w:rPr>
          <w:i/>
          <w:color w:val="231F20"/>
          <w:w w:val="95"/>
          <w:sz w:val="17"/>
        </w:rPr>
        <w:t>Annals</w:t>
      </w:r>
      <w:r>
        <w:rPr>
          <w:i/>
          <w:color w:val="231F20"/>
          <w:spacing w:val="27"/>
          <w:sz w:val="17"/>
        </w:rPr>
        <w:t xml:space="preserve"> </w:t>
      </w:r>
      <w:r>
        <w:rPr>
          <w:i/>
          <w:color w:val="231F20"/>
          <w:spacing w:val="-5"/>
          <w:w w:val="95"/>
          <w:sz w:val="17"/>
        </w:rPr>
        <w:t>of</w:t>
      </w:r>
    </w:p>
    <w:p w14:paraId="550B4CDE" w14:textId="77777777" w:rsidR="00AE0598" w:rsidRDefault="0069255A">
      <w:pPr>
        <w:ind w:left="430"/>
        <w:jc w:val="both"/>
        <w:rPr>
          <w:sz w:val="17"/>
        </w:rPr>
      </w:pPr>
      <w:r>
        <w:rPr>
          <w:i/>
          <w:color w:val="231F20"/>
          <w:sz w:val="17"/>
        </w:rPr>
        <w:t>Tourism</w:t>
      </w:r>
      <w:r>
        <w:rPr>
          <w:i/>
          <w:color w:val="231F20"/>
          <w:spacing w:val="-6"/>
          <w:sz w:val="17"/>
        </w:rPr>
        <w:t xml:space="preserve"> </w:t>
      </w:r>
      <w:r>
        <w:rPr>
          <w:i/>
          <w:color w:val="231F20"/>
          <w:sz w:val="17"/>
        </w:rPr>
        <w:t>Research</w:t>
      </w:r>
      <w:r>
        <w:rPr>
          <w:i/>
          <w:color w:val="231F20"/>
          <w:spacing w:val="-6"/>
          <w:sz w:val="17"/>
        </w:rPr>
        <w:t xml:space="preserve"> </w:t>
      </w:r>
      <w:r>
        <w:rPr>
          <w:color w:val="231F20"/>
          <w:sz w:val="17"/>
        </w:rPr>
        <w:t>33</w:t>
      </w:r>
      <w:r>
        <w:rPr>
          <w:color w:val="231F20"/>
          <w:spacing w:val="-5"/>
          <w:sz w:val="17"/>
        </w:rPr>
        <w:t xml:space="preserve"> </w:t>
      </w:r>
      <w:r>
        <w:rPr>
          <w:color w:val="231F20"/>
          <w:sz w:val="17"/>
        </w:rPr>
        <w:t>(1),</w:t>
      </w:r>
      <w:r>
        <w:rPr>
          <w:color w:val="231F20"/>
          <w:spacing w:val="-6"/>
          <w:sz w:val="17"/>
        </w:rPr>
        <w:t xml:space="preserve"> </w:t>
      </w:r>
      <w:r>
        <w:rPr>
          <w:color w:val="231F20"/>
          <w:spacing w:val="-2"/>
          <w:sz w:val="17"/>
        </w:rPr>
        <w:t>240–261.</w:t>
      </w:r>
    </w:p>
    <w:p w14:paraId="2D90B3F8" w14:textId="77777777" w:rsidR="00AE0598" w:rsidRDefault="0069255A">
      <w:pPr>
        <w:spacing w:before="1"/>
        <w:ind w:left="430" w:right="127" w:hanging="320"/>
        <w:jc w:val="both"/>
        <w:rPr>
          <w:sz w:val="17"/>
        </w:rPr>
      </w:pPr>
      <w:r>
        <w:rPr>
          <w:color w:val="231F20"/>
          <w:w w:val="95"/>
          <w:sz w:val="17"/>
        </w:rPr>
        <w:t>O’Brien, D. (2007) Points of leverage: Maximizing host community benefit from a regional</w:t>
      </w:r>
      <w:r>
        <w:rPr>
          <w:color w:val="231F20"/>
          <w:spacing w:val="40"/>
          <w:sz w:val="17"/>
        </w:rPr>
        <w:t xml:space="preserve"> </w:t>
      </w:r>
      <w:r>
        <w:rPr>
          <w:color w:val="231F20"/>
          <w:sz w:val="17"/>
        </w:rPr>
        <w:t xml:space="preserve">surfing festival. </w:t>
      </w:r>
      <w:r>
        <w:rPr>
          <w:i/>
          <w:color w:val="231F20"/>
          <w:sz w:val="17"/>
        </w:rPr>
        <w:t>European Sport Management Qua</w:t>
      </w:r>
      <w:r>
        <w:rPr>
          <w:i/>
          <w:color w:val="231F20"/>
          <w:sz w:val="17"/>
        </w:rPr>
        <w:t xml:space="preserve">rterly </w:t>
      </w:r>
      <w:r>
        <w:rPr>
          <w:color w:val="231F20"/>
          <w:sz w:val="17"/>
        </w:rPr>
        <w:t>7 (2), 141–165.</w:t>
      </w:r>
    </w:p>
    <w:p w14:paraId="23550A56" w14:textId="77777777" w:rsidR="00AE0598" w:rsidRDefault="0069255A">
      <w:pPr>
        <w:spacing w:before="2"/>
        <w:ind w:left="430" w:right="128" w:hanging="320"/>
        <w:jc w:val="both"/>
        <w:rPr>
          <w:sz w:val="17"/>
        </w:rPr>
      </w:pPr>
      <w:r>
        <w:rPr>
          <w:color w:val="231F20"/>
          <w:sz w:val="17"/>
        </w:rPr>
        <w:t>O’Brien, D. and Chalip, L. (2007) Sport events and strategic leveraging: Pushing towards</w:t>
      </w:r>
      <w:r>
        <w:rPr>
          <w:color w:val="231F20"/>
          <w:spacing w:val="40"/>
          <w:sz w:val="17"/>
        </w:rPr>
        <w:t xml:space="preserve"> </w:t>
      </w:r>
      <w:r>
        <w:rPr>
          <w:color w:val="231F20"/>
          <w:sz w:val="17"/>
        </w:rPr>
        <w:t xml:space="preserve">the triple bottom line. In A. Woodside and D. Martin (eds) </w:t>
      </w:r>
      <w:r>
        <w:rPr>
          <w:i/>
          <w:color w:val="231F20"/>
          <w:sz w:val="17"/>
        </w:rPr>
        <w:t>Tourism Management:</w:t>
      </w:r>
      <w:r>
        <w:rPr>
          <w:i/>
          <w:color w:val="231F20"/>
          <w:spacing w:val="40"/>
          <w:sz w:val="17"/>
        </w:rPr>
        <w:t xml:space="preserve"> </w:t>
      </w:r>
      <w:r>
        <w:rPr>
          <w:i/>
          <w:color w:val="231F20"/>
          <w:sz w:val="17"/>
        </w:rPr>
        <w:t xml:space="preserve">Analysis, Behaviour, and Strategy </w:t>
      </w:r>
      <w:r>
        <w:rPr>
          <w:color w:val="231F20"/>
          <w:sz w:val="17"/>
        </w:rPr>
        <w:t>(pp. 318–338). Wallingford: CABI.</w:t>
      </w:r>
    </w:p>
    <w:p w14:paraId="107A4589" w14:textId="77777777" w:rsidR="00AE0598" w:rsidRDefault="0069255A">
      <w:pPr>
        <w:spacing w:before="2"/>
        <w:ind w:left="430" w:right="128" w:hanging="320"/>
        <w:jc w:val="both"/>
        <w:rPr>
          <w:sz w:val="17"/>
        </w:rPr>
      </w:pPr>
      <w:r>
        <w:rPr>
          <w:color w:val="231F20"/>
          <w:w w:val="105"/>
          <w:sz w:val="17"/>
        </w:rPr>
        <w:t>O’Reilly,</w:t>
      </w:r>
      <w:r>
        <w:rPr>
          <w:color w:val="231F20"/>
          <w:spacing w:val="-2"/>
          <w:w w:val="105"/>
          <w:sz w:val="17"/>
        </w:rPr>
        <w:t xml:space="preserve"> </w:t>
      </w:r>
      <w:r>
        <w:rPr>
          <w:color w:val="231F20"/>
          <w:w w:val="105"/>
          <w:sz w:val="17"/>
        </w:rPr>
        <w:t>N.,</w:t>
      </w:r>
      <w:r>
        <w:rPr>
          <w:color w:val="231F20"/>
          <w:spacing w:val="-2"/>
          <w:w w:val="105"/>
          <w:sz w:val="17"/>
        </w:rPr>
        <w:t xml:space="preserve"> </w:t>
      </w:r>
      <w:r>
        <w:rPr>
          <w:color w:val="231F20"/>
          <w:w w:val="105"/>
          <w:sz w:val="17"/>
        </w:rPr>
        <w:t>Lyberger,</w:t>
      </w:r>
      <w:r>
        <w:rPr>
          <w:color w:val="231F20"/>
          <w:spacing w:val="-2"/>
          <w:w w:val="105"/>
          <w:sz w:val="17"/>
        </w:rPr>
        <w:t xml:space="preserve"> </w:t>
      </w:r>
      <w:r>
        <w:rPr>
          <w:color w:val="231F20"/>
          <w:w w:val="105"/>
          <w:sz w:val="17"/>
        </w:rPr>
        <w:t>M.,</w:t>
      </w:r>
      <w:r>
        <w:rPr>
          <w:color w:val="231F20"/>
          <w:spacing w:val="-2"/>
          <w:w w:val="105"/>
          <w:sz w:val="17"/>
        </w:rPr>
        <w:t xml:space="preserve"> </w:t>
      </w:r>
      <w:r>
        <w:rPr>
          <w:color w:val="231F20"/>
          <w:w w:val="105"/>
          <w:sz w:val="17"/>
        </w:rPr>
        <w:t>McCarthy,</w:t>
      </w:r>
      <w:r>
        <w:rPr>
          <w:color w:val="231F20"/>
          <w:spacing w:val="-2"/>
          <w:w w:val="105"/>
          <w:sz w:val="17"/>
        </w:rPr>
        <w:t xml:space="preserve"> </w:t>
      </w:r>
      <w:r>
        <w:rPr>
          <w:color w:val="231F20"/>
          <w:w w:val="105"/>
          <w:sz w:val="17"/>
        </w:rPr>
        <w:t>L.,</w:t>
      </w:r>
      <w:r>
        <w:rPr>
          <w:color w:val="231F20"/>
          <w:spacing w:val="-2"/>
          <w:w w:val="105"/>
          <w:sz w:val="17"/>
        </w:rPr>
        <w:t xml:space="preserve"> </w:t>
      </w:r>
      <w:r>
        <w:rPr>
          <w:color w:val="231F20"/>
          <w:w w:val="105"/>
          <w:sz w:val="17"/>
        </w:rPr>
        <w:t>Séguin,</w:t>
      </w:r>
      <w:r>
        <w:rPr>
          <w:color w:val="231F20"/>
          <w:spacing w:val="-2"/>
          <w:w w:val="105"/>
          <w:sz w:val="17"/>
        </w:rPr>
        <w:t xml:space="preserve"> </w:t>
      </w:r>
      <w:r>
        <w:rPr>
          <w:color w:val="231F20"/>
          <w:w w:val="105"/>
          <w:sz w:val="17"/>
        </w:rPr>
        <w:t>B.</w:t>
      </w:r>
      <w:r>
        <w:rPr>
          <w:color w:val="231F20"/>
          <w:spacing w:val="-2"/>
          <w:w w:val="105"/>
          <w:sz w:val="17"/>
        </w:rPr>
        <w:t xml:space="preserve"> </w:t>
      </w:r>
      <w:r>
        <w:rPr>
          <w:color w:val="231F20"/>
          <w:w w:val="105"/>
          <w:sz w:val="17"/>
        </w:rPr>
        <w:t>and</w:t>
      </w:r>
      <w:r>
        <w:rPr>
          <w:color w:val="231F20"/>
          <w:spacing w:val="-2"/>
          <w:w w:val="105"/>
          <w:sz w:val="17"/>
        </w:rPr>
        <w:t xml:space="preserve"> </w:t>
      </w:r>
      <w:r>
        <w:rPr>
          <w:color w:val="231F20"/>
          <w:w w:val="105"/>
          <w:sz w:val="17"/>
        </w:rPr>
        <w:t>Nadeau,</w:t>
      </w:r>
      <w:r>
        <w:rPr>
          <w:color w:val="231F20"/>
          <w:spacing w:val="-2"/>
          <w:w w:val="105"/>
          <w:sz w:val="17"/>
        </w:rPr>
        <w:t xml:space="preserve"> </w:t>
      </w:r>
      <w:r>
        <w:rPr>
          <w:color w:val="231F20"/>
          <w:w w:val="105"/>
          <w:sz w:val="17"/>
        </w:rPr>
        <w:t>J.</w:t>
      </w:r>
      <w:r>
        <w:rPr>
          <w:color w:val="231F20"/>
          <w:spacing w:val="-2"/>
          <w:w w:val="105"/>
          <w:sz w:val="17"/>
        </w:rPr>
        <w:t xml:space="preserve"> </w:t>
      </w:r>
      <w:r>
        <w:rPr>
          <w:color w:val="231F20"/>
          <w:w w:val="105"/>
          <w:sz w:val="17"/>
        </w:rPr>
        <w:t>(2008)</w:t>
      </w:r>
      <w:r>
        <w:rPr>
          <w:color w:val="231F20"/>
          <w:spacing w:val="-2"/>
          <w:w w:val="105"/>
          <w:sz w:val="17"/>
        </w:rPr>
        <w:t xml:space="preserve"> </w:t>
      </w:r>
      <w:r>
        <w:rPr>
          <w:color w:val="231F20"/>
          <w:w w:val="105"/>
          <w:sz w:val="17"/>
        </w:rPr>
        <w:t>Mega-special-</w:t>
      </w:r>
      <w:r>
        <w:rPr>
          <w:color w:val="231F20"/>
          <w:spacing w:val="40"/>
          <w:w w:val="105"/>
          <w:sz w:val="17"/>
        </w:rPr>
        <w:t xml:space="preserve"> </w:t>
      </w:r>
      <w:r>
        <w:rPr>
          <w:color w:val="231F20"/>
          <w:sz w:val="17"/>
        </w:rPr>
        <w:t>event promotions and intent to purchase: A longitudinal analysis of the Super Bowl.</w:t>
      </w:r>
      <w:r>
        <w:rPr>
          <w:color w:val="231F20"/>
          <w:spacing w:val="40"/>
          <w:w w:val="105"/>
          <w:sz w:val="17"/>
        </w:rPr>
        <w:t xml:space="preserve"> </w:t>
      </w:r>
      <w:r>
        <w:rPr>
          <w:i/>
          <w:color w:val="231F20"/>
          <w:w w:val="105"/>
          <w:sz w:val="17"/>
        </w:rPr>
        <w:t>Journal of Spor</w:t>
      </w:r>
      <w:r>
        <w:rPr>
          <w:i/>
          <w:color w:val="231F20"/>
          <w:w w:val="105"/>
          <w:sz w:val="17"/>
        </w:rPr>
        <w:t xml:space="preserve">t Management </w:t>
      </w:r>
      <w:r>
        <w:rPr>
          <w:color w:val="231F20"/>
          <w:w w:val="105"/>
          <w:sz w:val="17"/>
        </w:rPr>
        <w:t>22 (4), 392–409.</w:t>
      </w:r>
    </w:p>
    <w:p w14:paraId="3DCA4667" w14:textId="77777777" w:rsidR="00AE0598" w:rsidRDefault="0069255A">
      <w:pPr>
        <w:spacing w:before="2"/>
        <w:ind w:left="430" w:right="128" w:hanging="320"/>
        <w:jc w:val="both"/>
        <w:rPr>
          <w:sz w:val="17"/>
        </w:rPr>
      </w:pPr>
      <w:r>
        <w:rPr>
          <w:color w:val="231F20"/>
          <w:sz w:val="17"/>
        </w:rPr>
        <w:t>Oberti Resort Design (2016) Valemount Glacier Destination Master Plan. Valemount</w:t>
      </w:r>
      <w:r>
        <w:rPr>
          <w:color w:val="231F20"/>
          <w:spacing w:val="40"/>
          <w:sz w:val="17"/>
        </w:rPr>
        <w:t xml:space="preserve"> </w:t>
      </w:r>
      <w:r>
        <w:rPr>
          <w:color w:val="231F20"/>
          <w:sz w:val="17"/>
        </w:rPr>
        <w:t>Glacier Destinations Ltd., Vancouver, BC.</w:t>
      </w:r>
    </w:p>
    <w:p w14:paraId="13FBA8A6" w14:textId="77777777" w:rsidR="00AE0598" w:rsidRDefault="0069255A">
      <w:pPr>
        <w:spacing w:before="1"/>
        <w:ind w:left="110"/>
        <w:jc w:val="both"/>
        <w:rPr>
          <w:sz w:val="17"/>
        </w:rPr>
      </w:pPr>
      <w:r>
        <w:rPr>
          <w:color w:val="231F20"/>
          <w:sz w:val="17"/>
        </w:rPr>
        <w:t>Olds,</w:t>
      </w:r>
      <w:r>
        <w:rPr>
          <w:color w:val="231F20"/>
          <w:spacing w:val="27"/>
          <w:sz w:val="17"/>
        </w:rPr>
        <w:t xml:space="preserve"> </w:t>
      </w:r>
      <w:r>
        <w:rPr>
          <w:color w:val="231F20"/>
          <w:sz w:val="17"/>
        </w:rPr>
        <w:t>K.</w:t>
      </w:r>
      <w:r>
        <w:rPr>
          <w:color w:val="231F20"/>
          <w:spacing w:val="27"/>
          <w:sz w:val="17"/>
        </w:rPr>
        <w:t xml:space="preserve"> </w:t>
      </w:r>
      <w:r>
        <w:rPr>
          <w:color w:val="231F20"/>
          <w:sz w:val="17"/>
        </w:rPr>
        <w:t>(1998)</w:t>
      </w:r>
      <w:r>
        <w:rPr>
          <w:color w:val="231F20"/>
          <w:spacing w:val="27"/>
          <w:sz w:val="17"/>
        </w:rPr>
        <w:t xml:space="preserve"> </w:t>
      </w:r>
      <w:r>
        <w:rPr>
          <w:color w:val="231F20"/>
          <w:sz w:val="17"/>
        </w:rPr>
        <w:t>Urban</w:t>
      </w:r>
      <w:r>
        <w:rPr>
          <w:color w:val="231F20"/>
          <w:spacing w:val="27"/>
          <w:sz w:val="17"/>
        </w:rPr>
        <w:t xml:space="preserve"> </w:t>
      </w:r>
      <w:r>
        <w:rPr>
          <w:color w:val="231F20"/>
          <w:sz w:val="17"/>
        </w:rPr>
        <w:t>mega-events,</w:t>
      </w:r>
      <w:r>
        <w:rPr>
          <w:color w:val="231F20"/>
          <w:spacing w:val="28"/>
          <w:sz w:val="17"/>
        </w:rPr>
        <w:t xml:space="preserve"> </w:t>
      </w:r>
      <w:r>
        <w:rPr>
          <w:color w:val="231F20"/>
          <w:sz w:val="17"/>
        </w:rPr>
        <w:t>evictions</w:t>
      </w:r>
      <w:r>
        <w:rPr>
          <w:color w:val="231F20"/>
          <w:spacing w:val="27"/>
          <w:sz w:val="17"/>
        </w:rPr>
        <w:t xml:space="preserve"> </w:t>
      </w:r>
      <w:r>
        <w:rPr>
          <w:color w:val="231F20"/>
          <w:sz w:val="17"/>
        </w:rPr>
        <w:t>and</w:t>
      </w:r>
      <w:r>
        <w:rPr>
          <w:color w:val="231F20"/>
          <w:spacing w:val="27"/>
          <w:sz w:val="17"/>
        </w:rPr>
        <w:t xml:space="preserve"> </w:t>
      </w:r>
      <w:r>
        <w:rPr>
          <w:color w:val="231F20"/>
          <w:sz w:val="17"/>
        </w:rPr>
        <w:t>housing</w:t>
      </w:r>
      <w:r>
        <w:rPr>
          <w:color w:val="231F20"/>
          <w:spacing w:val="27"/>
          <w:sz w:val="17"/>
        </w:rPr>
        <w:t xml:space="preserve"> </w:t>
      </w:r>
      <w:r>
        <w:rPr>
          <w:color w:val="231F20"/>
          <w:sz w:val="17"/>
        </w:rPr>
        <w:t>rights:</w:t>
      </w:r>
      <w:r>
        <w:rPr>
          <w:color w:val="231F20"/>
          <w:spacing w:val="27"/>
          <w:sz w:val="17"/>
        </w:rPr>
        <w:t xml:space="preserve"> </w:t>
      </w:r>
      <w:r>
        <w:rPr>
          <w:color w:val="231F20"/>
          <w:sz w:val="17"/>
        </w:rPr>
        <w:t>The</w:t>
      </w:r>
      <w:r>
        <w:rPr>
          <w:color w:val="231F20"/>
          <w:spacing w:val="28"/>
          <w:sz w:val="17"/>
        </w:rPr>
        <w:t xml:space="preserve"> </w:t>
      </w:r>
      <w:r>
        <w:rPr>
          <w:color w:val="231F20"/>
          <w:sz w:val="17"/>
        </w:rPr>
        <w:t>Canadian</w:t>
      </w:r>
      <w:r>
        <w:rPr>
          <w:color w:val="231F20"/>
          <w:spacing w:val="27"/>
          <w:sz w:val="17"/>
        </w:rPr>
        <w:t xml:space="preserve"> </w:t>
      </w:r>
      <w:r>
        <w:rPr>
          <w:color w:val="231F20"/>
          <w:spacing w:val="-2"/>
          <w:sz w:val="17"/>
        </w:rPr>
        <w:t>case.</w:t>
      </w:r>
    </w:p>
    <w:p w14:paraId="3881A9DE" w14:textId="77777777" w:rsidR="00AE0598" w:rsidRDefault="0069255A">
      <w:pPr>
        <w:spacing w:before="1"/>
        <w:ind w:left="430"/>
        <w:jc w:val="both"/>
        <w:rPr>
          <w:sz w:val="17"/>
        </w:rPr>
      </w:pPr>
      <w:r>
        <w:rPr>
          <w:i/>
          <w:color w:val="231F20"/>
          <w:sz w:val="17"/>
        </w:rPr>
        <w:t>Current</w:t>
      </w:r>
      <w:r>
        <w:rPr>
          <w:i/>
          <w:color w:val="231F20"/>
          <w:spacing w:val="2"/>
          <w:sz w:val="17"/>
        </w:rPr>
        <w:t xml:space="preserve"> </w:t>
      </w:r>
      <w:r>
        <w:rPr>
          <w:i/>
          <w:color w:val="231F20"/>
          <w:sz w:val="17"/>
        </w:rPr>
        <w:t>Issues</w:t>
      </w:r>
      <w:r>
        <w:rPr>
          <w:i/>
          <w:color w:val="231F20"/>
          <w:spacing w:val="3"/>
          <w:sz w:val="17"/>
        </w:rPr>
        <w:t xml:space="preserve"> </w:t>
      </w:r>
      <w:r>
        <w:rPr>
          <w:i/>
          <w:color w:val="231F20"/>
          <w:sz w:val="17"/>
        </w:rPr>
        <w:t>in</w:t>
      </w:r>
      <w:r>
        <w:rPr>
          <w:i/>
          <w:color w:val="231F20"/>
          <w:spacing w:val="2"/>
          <w:sz w:val="17"/>
        </w:rPr>
        <w:t xml:space="preserve"> </w:t>
      </w:r>
      <w:r>
        <w:rPr>
          <w:i/>
          <w:color w:val="231F20"/>
          <w:sz w:val="17"/>
        </w:rPr>
        <w:t>Tourism</w:t>
      </w:r>
      <w:r>
        <w:rPr>
          <w:i/>
          <w:color w:val="231F20"/>
          <w:spacing w:val="3"/>
          <w:sz w:val="17"/>
        </w:rPr>
        <w:t xml:space="preserve"> </w:t>
      </w:r>
      <w:r>
        <w:rPr>
          <w:color w:val="231F20"/>
          <w:sz w:val="17"/>
        </w:rPr>
        <w:t>1</w:t>
      </w:r>
      <w:r>
        <w:rPr>
          <w:color w:val="231F20"/>
          <w:spacing w:val="2"/>
          <w:sz w:val="17"/>
        </w:rPr>
        <w:t xml:space="preserve"> </w:t>
      </w:r>
      <w:r>
        <w:rPr>
          <w:color w:val="231F20"/>
          <w:sz w:val="17"/>
        </w:rPr>
        <w:t>(1),</w:t>
      </w:r>
      <w:r>
        <w:rPr>
          <w:color w:val="231F20"/>
          <w:spacing w:val="3"/>
          <w:sz w:val="17"/>
        </w:rPr>
        <w:t xml:space="preserve"> </w:t>
      </w:r>
      <w:r>
        <w:rPr>
          <w:color w:val="231F20"/>
          <w:spacing w:val="-2"/>
          <w:sz w:val="17"/>
        </w:rPr>
        <w:t>2–46.</w:t>
      </w:r>
    </w:p>
    <w:p w14:paraId="615E8103" w14:textId="77777777" w:rsidR="00AE0598" w:rsidRDefault="0069255A">
      <w:pPr>
        <w:spacing w:before="1"/>
        <w:ind w:left="430" w:right="128" w:hanging="320"/>
        <w:jc w:val="both"/>
        <w:rPr>
          <w:sz w:val="17"/>
        </w:rPr>
      </w:pPr>
      <w:r>
        <w:rPr>
          <w:color w:val="231F20"/>
          <w:sz w:val="17"/>
        </w:rPr>
        <w:t xml:space="preserve">Olympic Co-ordination Authority (1997a) </w:t>
      </w:r>
      <w:r>
        <w:rPr>
          <w:i/>
          <w:color w:val="231F20"/>
          <w:sz w:val="17"/>
        </w:rPr>
        <w:t>Environment: Committed to Conservation</w:t>
      </w:r>
      <w:r>
        <w:rPr>
          <w:color w:val="231F20"/>
          <w:sz w:val="17"/>
        </w:rPr>
        <w:t>.</w:t>
      </w:r>
      <w:r>
        <w:rPr>
          <w:color w:val="231F20"/>
          <w:spacing w:val="40"/>
          <w:sz w:val="17"/>
        </w:rPr>
        <w:t xml:space="preserve"> </w:t>
      </w:r>
      <w:r>
        <w:rPr>
          <w:color w:val="231F20"/>
          <w:sz w:val="17"/>
        </w:rPr>
        <w:t>Homebush Bay, Sydney: Olympic Co-ordination Authority, New South Wales</w:t>
      </w:r>
      <w:r>
        <w:rPr>
          <w:color w:val="231F20"/>
          <w:spacing w:val="40"/>
          <w:sz w:val="17"/>
        </w:rPr>
        <w:t xml:space="preserve"> </w:t>
      </w:r>
      <w:r>
        <w:rPr>
          <w:color w:val="231F20"/>
          <w:spacing w:val="-2"/>
          <w:sz w:val="17"/>
        </w:rPr>
        <w:t>Government.</w:t>
      </w:r>
    </w:p>
    <w:p w14:paraId="0188485B" w14:textId="77777777" w:rsidR="00AE0598" w:rsidRDefault="0069255A">
      <w:pPr>
        <w:spacing w:before="2"/>
        <w:ind w:left="430" w:right="128" w:hanging="320"/>
        <w:jc w:val="both"/>
        <w:rPr>
          <w:sz w:val="17"/>
        </w:rPr>
      </w:pPr>
      <w:r>
        <w:rPr>
          <w:color w:val="231F20"/>
          <w:sz w:val="17"/>
        </w:rPr>
        <w:t xml:space="preserve">Olympic Co-Ordination Authority (1997b) </w:t>
      </w:r>
      <w:r>
        <w:rPr>
          <w:i/>
          <w:color w:val="231F20"/>
          <w:sz w:val="17"/>
        </w:rPr>
        <w:t>Environment: Protectin</w:t>
      </w:r>
      <w:r>
        <w:rPr>
          <w:i/>
          <w:color w:val="231F20"/>
          <w:sz w:val="17"/>
        </w:rPr>
        <w:t>g Nature’s Gift</w:t>
      </w:r>
      <w:r>
        <w:rPr>
          <w:color w:val="231F20"/>
          <w:sz w:val="17"/>
        </w:rPr>
        <w:t>.</w:t>
      </w:r>
      <w:r>
        <w:rPr>
          <w:color w:val="231F20"/>
          <w:spacing w:val="40"/>
          <w:sz w:val="17"/>
        </w:rPr>
        <w:t xml:space="preserve"> </w:t>
      </w:r>
      <w:r>
        <w:rPr>
          <w:color w:val="231F20"/>
          <w:sz w:val="17"/>
        </w:rPr>
        <w:t>Homebush Bay, Sydney: Olympic Co-Ordination Authority, New South Wales</w:t>
      </w:r>
      <w:r>
        <w:rPr>
          <w:color w:val="231F20"/>
          <w:spacing w:val="40"/>
          <w:sz w:val="17"/>
        </w:rPr>
        <w:t xml:space="preserve"> </w:t>
      </w:r>
      <w:r>
        <w:rPr>
          <w:color w:val="231F20"/>
          <w:spacing w:val="-2"/>
          <w:sz w:val="17"/>
        </w:rPr>
        <w:t>Government.</w:t>
      </w:r>
    </w:p>
    <w:p w14:paraId="644C6CA0" w14:textId="77777777" w:rsidR="00AE0598" w:rsidRDefault="0069255A">
      <w:pPr>
        <w:spacing w:before="2"/>
        <w:ind w:left="430" w:right="128" w:hanging="320"/>
        <w:jc w:val="both"/>
        <w:rPr>
          <w:sz w:val="17"/>
        </w:rPr>
      </w:pPr>
      <w:r>
        <w:rPr>
          <w:color w:val="231F20"/>
          <w:w w:val="95"/>
          <w:sz w:val="17"/>
        </w:rPr>
        <w:t xml:space="preserve">Olympic Co-Ordination Authority (1997c) </w:t>
      </w:r>
      <w:r>
        <w:rPr>
          <w:i/>
          <w:color w:val="231F20"/>
          <w:w w:val="95"/>
          <w:sz w:val="17"/>
        </w:rPr>
        <w:t>State of Play: A Report on Sydney 2000 Olympics</w:t>
      </w:r>
      <w:r>
        <w:rPr>
          <w:i/>
          <w:color w:val="231F20"/>
          <w:spacing w:val="40"/>
          <w:sz w:val="17"/>
        </w:rPr>
        <w:t xml:space="preserve"> </w:t>
      </w:r>
      <w:r>
        <w:rPr>
          <w:i/>
          <w:color w:val="231F20"/>
          <w:sz w:val="17"/>
        </w:rPr>
        <w:t>Planning and Construction</w:t>
      </w:r>
      <w:r>
        <w:rPr>
          <w:color w:val="231F20"/>
          <w:sz w:val="17"/>
        </w:rPr>
        <w:t>. Homebush Bay, Sydney: Olympic Co-Ordinati</w:t>
      </w:r>
      <w:r>
        <w:rPr>
          <w:color w:val="231F20"/>
          <w:sz w:val="17"/>
        </w:rPr>
        <w:t>on</w:t>
      </w:r>
      <w:r>
        <w:rPr>
          <w:color w:val="231F20"/>
          <w:spacing w:val="40"/>
          <w:sz w:val="17"/>
        </w:rPr>
        <w:t xml:space="preserve"> </w:t>
      </w:r>
      <w:r>
        <w:rPr>
          <w:color w:val="231F20"/>
          <w:sz w:val="17"/>
        </w:rPr>
        <w:t>Authority, New South Wales Government.</w:t>
      </w:r>
    </w:p>
    <w:p w14:paraId="62F01E5A" w14:textId="77777777" w:rsidR="00AE0598" w:rsidRDefault="0069255A">
      <w:pPr>
        <w:spacing w:before="2"/>
        <w:ind w:left="430" w:right="128" w:hanging="320"/>
        <w:jc w:val="both"/>
        <w:rPr>
          <w:sz w:val="17"/>
        </w:rPr>
      </w:pPr>
      <w:r>
        <w:rPr>
          <w:color w:val="231F20"/>
          <w:sz w:val="17"/>
        </w:rPr>
        <w:t>Onkvisit,</w:t>
      </w:r>
      <w:r>
        <w:rPr>
          <w:color w:val="231F20"/>
          <w:spacing w:val="36"/>
          <w:sz w:val="17"/>
        </w:rPr>
        <w:t xml:space="preserve"> </w:t>
      </w:r>
      <w:r>
        <w:rPr>
          <w:color w:val="231F20"/>
          <w:sz w:val="17"/>
        </w:rPr>
        <w:t>S.</w:t>
      </w:r>
      <w:r>
        <w:rPr>
          <w:color w:val="231F20"/>
          <w:spacing w:val="36"/>
          <w:sz w:val="17"/>
        </w:rPr>
        <w:t xml:space="preserve"> </w:t>
      </w:r>
      <w:r>
        <w:rPr>
          <w:color w:val="231F20"/>
          <w:sz w:val="17"/>
        </w:rPr>
        <w:t>and</w:t>
      </w:r>
      <w:r>
        <w:rPr>
          <w:color w:val="231F20"/>
          <w:spacing w:val="36"/>
          <w:sz w:val="17"/>
        </w:rPr>
        <w:t xml:space="preserve"> </w:t>
      </w:r>
      <w:r>
        <w:rPr>
          <w:color w:val="231F20"/>
          <w:sz w:val="17"/>
        </w:rPr>
        <w:t>Shaw,</w:t>
      </w:r>
      <w:r>
        <w:rPr>
          <w:color w:val="231F20"/>
          <w:w w:val="110"/>
          <w:sz w:val="17"/>
        </w:rPr>
        <w:t xml:space="preserve"> J.J. </w:t>
      </w:r>
      <w:r>
        <w:rPr>
          <w:color w:val="231F20"/>
          <w:sz w:val="17"/>
        </w:rPr>
        <w:t>(1989)</w:t>
      </w:r>
      <w:r>
        <w:rPr>
          <w:color w:val="231F20"/>
          <w:spacing w:val="36"/>
          <w:sz w:val="17"/>
        </w:rPr>
        <w:t xml:space="preserve"> </w:t>
      </w:r>
      <w:r>
        <w:rPr>
          <w:i/>
          <w:color w:val="231F20"/>
          <w:sz w:val="17"/>
        </w:rPr>
        <w:t>Product</w:t>
      </w:r>
      <w:r>
        <w:rPr>
          <w:i/>
          <w:color w:val="231F20"/>
          <w:spacing w:val="36"/>
          <w:sz w:val="17"/>
        </w:rPr>
        <w:t xml:space="preserve"> </w:t>
      </w:r>
      <w:r>
        <w:rPr>
          <w:i/>
          <w:color w:val="231F20"/>
          <w:sz w:val="17"/>
        </w:rPr>
        <w:t>Life</w:t>
      </w:r>
      <w:r>
        <w:rPr>
          <w:i/>
          <w:color w:val="231F20"/>
          <w:spacing w:val="36"/>
          <w:sz w:val="17"/>
        </w:rPr>
        <w:t xml:space="preserve"> </w:t>
      </w:r>
      <w:r>
        <w:rPr>
          <w:i/>
          <w:color w:val="231F20"/>
          <w:sz w:val="17"/>
        </w:rPr>
        <w:t>Cycles</w:t>
      </w:r>
      <w:r>
        <w:rPr>
          <w:i/>
          <w:color w:val="231F20"/>
          <w:spacing w:val="36"/>
          <w:sz w:val="17"/>
        </w:rPr>
        <w:t xml:space="preserve"> </w:t>
      </w:r>
      <w:r>
        <w:rPr>
          <w:i/>
          <w:color w:val="231F20"/>
          <w:sz w:val="17"/>
        </w:rPr>
        <w:t>and</w:t>
      </w:r>
      <w:r>
        <w:rPr>
          <w:i/>
          <w:color w:val="231F20"/>
          <w:spacing w:val="36"/>
          <w:sz w:val="17"/>
        </w:rPr>
        <w:t xml:space="preserve"> </w:t>
      </w:r>
      <w:r>
        <w:rPr>
          <w:i/>
          <w:color w:val="231F20"/>
          <w:sz w:val="17"/>
        </w:rPr>
        <w:t>Product</w:t>
      </w:r>
      <w:r>
        <w:rPr>
          <w:i/>
          <w:color w:val="231F20"/>
          <w:spacing w:val="36"/>
          <w:sz w:val="17"/>
        </w:rPr>
        <w:t xml:space="preserve"> </w:t>
      </w:r>
      <w:r>
        <w:rPr>
          <w:i/>
          <w:color w:val="231F20"/>
          <w:sz w:val="17"/>
        </w:rPr>
        <w:t>Management</w:t>
      </w:r>
      <w:r>
        <w:rPr>
          <w:color w:val="231F20"/>
          <w:sz w:val="17"/>
        </w:rPr>
        <w:t>.</w:t>
      </w:r>
      <w:r>
        <w:rPr>
          <w:color w:val="231F20"/>
          <w:spacing w:val="36"/>
          <w:sz w:val="17"/>
        </w:rPr>
        <w:t xml:space="preserve"> </w:t>
      </w:r>
      <w:r>
        <w:rPr>
          <w:color w:val="231F20"/>
          <w:sz w:val="17"/>
        </w:rPr>
        <w:t>New</w:t>
      </w:r>
      <w:r>
        <w:rPr>
          <w:color w:val="231F20"/>
          <w:spacing w:val="40"/>
          <w:sz w:val="17"/>
        </w:rPr>
        <w:t xml:space="preserve"> </w:t>
      </w:r>
      <w:r>
        <w:rPr>
          <w:color w:val="231F20"/>
          <w:sz w:val="17"/>
        </w:rPr>
        <w:t>York: Quorum Books.</w:t>
      </w:r>
    </w:p>
    <w:p w14:paraId="30C93B09" w14:textId="77777777" w:rsidR="00AE0598" w:rsidRDefault="0069255A">
      <w:pPr>
        <w:spacing w:before="1"/>
        <w:ind w:left="430" w:right="128" w:hanging="320"/>
        <w:jc w:val="both"/>
        <w:rPr>
          <w:sz w:val="17"/>
        </w:rPr>
      </w:pPr>
      <w:r>
        <w:rPr>
          <w:color w:val="231F20"/>
          <w:sz w:val="17"/>
        </w:rPr>
        <w:t xml:space="preserve">Orams, M. (1999) </w:t>
      </w:r>
      <w:r>
        <w:rPr>
          <w:i/>
          <w:color w:val="231F20"/>
          <w:sz w:val="17"/>
        </w:rPr>
        <w:t>Marine Tourism: Development, Impacts and Management</w:t>
      </w:r>
      <w:r>
        <w:rPr>
          <w:color w:val="231F20"/>
          <w:sz w:val="17"/>
        </w:rPr>
        <w:t>. London:</w:t>
      </w:r>
      <w:r>
        <w:rPr>
          <w:color w:val="231F20"/>
          <w:spacing w:val="40"/>
          <w:sz w:val="17"/>
        </w:rPr>
        <w:t xml:space="preserve"> </w:t>
      </w:r>
      <w:r>
        <w:rPr>
          <w:color w:val="231F20"/>
          <w:spacing w:val="-2"/>
          <w:sz w:val="17"/>
        </w:rPr>
        <w:t>Routledge.</w:t>
      </w:r>
    </w:p>
    <w:p w14:paraId="32EAA807" w14:textId="77777777" w:rsidR="00AE0598" w:rsidRDefault="0069255A">
      <w:pPr>
        <w:spacing w:before="2"/>
        <w:ind w:left="430" w:right="127" w:hanging="320"/>
        <w:jc w:val="both"/>
        <w:rPr>
          <w:sz w:val="17"/>
        </w:rPr>
      </w:pPr>
      <w:r>
        <w:rPr>
          <w:color w:val="231F20"/>
          <w:sz w:val="17"/>
        </w:rPr>
        <w:t>Orams, M. and Brons, A. (1999) Potential impacts of a major sport/tourism event: The</w:t>
      </w:r>
      <w:r>
        <w:rPr>
          <w:color w:val="231F20"/>
          <w:spacing w:val="40"/>
          <w:sz w:val="17"/>
        </w:rPr>
        <w:t xml:space="preserve"> </w:t>
      </w:r>
      <w:r>
        <w:rPr>
          <w:color w:val="231F20"/>
          <w:sz w:val="17"/>
        </w:rPr>
        <w:t xml:space="preserve">America’s Cup 2000. </w:t>
      </w:r>
      <w:r>
        <w:rPr>
          <w:i/>
          <w:color w:val="231F20"/>
          <w:sz w:val="17"/>
        </w:rPr>
        <w:t xml:space="preserve">Visions in Leisure and Business </w:t>
      </w:r>
      <w:r>
        <w:rPr>
          <w:color w:val="231F20"/>
          <w:sz w:val="17"/>
        </w:rPr>
        <w:t>18 (1), 14–28.</w:t>
      </w:r>
    </w:p>
    <w:p w14:paraId="6F3CF3A0" w14:textId="77777777" w:rsidR="00AE0598" w:rsidRDefault="0069255A">
      <w:pPr>
        <w:spacing w:before="1"/>
        <w:ind w:left="430" w:right="127" w:hanging="320"/>
        <w:jc w:val="both"/>
        <w:rPr>
          <w:sz w:val="17"/>
        </w:rPr>
      </w:pPr>
      <w:r>
        <w:rPr>
          <w:color w:val="231F20"/>
          <w:w w:val="105"/>
          <w:sz w:val="17"/>
        </w:rPr>
        <w:t>Orsman, B. and Bingham, E. (2000</w:t>
      </w:r>
      <w:r>
        <w:rPr>
          <w:color w:val="231F20"/>
          <w:w w:val="105"/>
          <w:sz w:val="17"/>
        </w:rPr>
        <w:t>, 27 October) America’s Cup $640m boost to NZ</w:t>
      </w:r>
      <w:r>
        <w:rPr>
          <w:color w:val="231F20"/>
          <w:spacing w:val="40"/>
          <w:w w:val="105"/>
          <w:sz w:val="17"/>
        </w:rPr>
        <w:t xml:space="preserve"> </w:t>
      </w:r>
      <w:r>
        <w:rPr>
          <w:color w:val="231F20"/>
          <w:w w:val="105"/>
          <w:sz w:val="17"/>
        </w:rPr>
        <w:t xml:space="preserve">economy. </w:t>
      </w:r>
      <w:r>
        <w:rPr>
          <w:i/>
          <w:color w:val="231F20"/>
          <w:w w:val="105"/>
          <w:sz w:val="17"/>
        </w:rPr>
        <w:t>New Zealand Herald</w:t>
      </w:r>
      <w:r>
        <w:rPr>
          <w:color w:val="231F20"/>
          <w:w w:val="105"/>
          <w:sz w:val="17"/>
        </w:rPr>
        <w:t>, p. 1.</w:t>
      </w:r>
    </w:p>
    <w:p w14:paraId="105B2E39" w14:textId="77777777" w:rsidR="00AE0598" w:rsidRDefault="0069255A">
      <w:pPr>
        <w:spacing w:before="2"/>
        <w:ind w:left="430" w:right="128" w:hanging="320"/>
        <w:jc w:val="both"/>
        <w:rPr>
          <w:sz w:val="17"/>
        </w:rPr>
      </w:pPr>
      <w:r>
        <w:rPr>
          <w:color w:val="231F20"/>
          <w:w w:val="95"/>
          <w:sz w:val="17"/>
        </w:rPr>
        <w:t>Osborn, G. (2000) Football’s legal legacy: Recreation, protest and disorder. In S. Greenfield</w:t>
      </w:r>
      <w:r>
        <w:rPr>
          <w:color w:val="231F20"/>
          <w:spacing w:val="40"/>
          <w:sz w:val="17"/>
        </w:rPr>
        <w:t xml:space="preserve"> </w:t>
      </w:r>
      <w:r>
        <w:rPr>
          <w:color w:val="231F20"/>
          <w:sz w:val="17"/>
        </w:rPr>
        <w:t>and</w:t>
      </w:r>
      <w:r>
        <w:rPr>
          <w:color w:val="231F20"/>
          <w:spacing w:val="22"/>
          <w:sz w:val="17"/>
        </w:rPr>
        <w:t xml:space="preserve"> </w:t>
      </w:r>
      <w:r>
        <w:rPr>
          <w:color w:val="231F20"/>
          <w:sz w:val="17"/>
        </w:rPr>
        <w:t>G.</w:t>
      </w:r>
      <w:r>
        <w:rPr>
          <w:color w:val="231F20"/>
          <w:spacing w:val="22"/>
          <w:sz w:val="17"/>
        </w:rPr>
        <w:t xml:space="preserve"> </w:t>
      </w:r>
      <w:r>
        <w:rPr>
          <w:color w:val="231F20"/>
          <w:sz w:val="17"/>
        </w:rPr>
        <w:t>Osborn</w:t>
      </w:r>
      <w:r>
        <w:rPr>
          <w:color w:val="231F20"/>
          <w:spacing w:val="22"/>
          <w:sz w:val="17"/>
        </w:rPr>
        <w:t xml:space="preserve"> </w:t>
      </w:r>
      <w:r>
        <w:rPr>
          <w:color w:val="231F20"/>
          <w:sz w:val="17"/>
        </w:rPr>
        <w:t>(eds)</w:t>
      </w:r>
      <w:r>
        <w:rPr>
          <w:color w:val="231F20"/>
          <w:spacing w:val="22"/>
          <w:sz w:val="17"/>
        </w:rPr>
        <w:t xml:space="preserve"> </w:t>
      </w:r>
      <w:r>
        <w:rPr>
          <w:i/>
          <w:color w:val="231F20"/>
          <w:sz w:val="17"/>
        </w:rPr>
        <w:t>Law</w:t>
      </w:r>
      <w:r>
        <w:rPr>
          <w:i/>
          <w:color w:val="231F20"/>
          <w:spacing w:val="22"/>
          <w:sz w:val="17"/>
        </w:rPr>
        <w:t xml:space="preserve"> </w:t>
      </w:r>
      <w:r>
        <w:rPr>
          <w:i/>
          <w:color w:val="231F20"/>
          <w:sz w:val="17"/>
        </w:rPr>
        <w:t>and</w:t>
      </w:r>
      <w:r>
        <w:rPr>
          <w:i/>
          <w:color w:val="231F20"/>
          <w:spacing w:val="22"/>
          <w:sz w:val="17"/>
        </w:rPr>
        <w:t xml:space="preserve"> </w:t>
      </w:r>
      <w:r>
        <w:rPr>
          <w:i/>
          <w:color w:val="231F20"/>
          <w:sz w:val="17"/>
        </w:rPr>
        <w:t>Sport</w:t>
      </w:r>
      <w:r>
        <w:rPr>
          <w:i/>
          <w:color w:val="231F20"/>
          <w:spacing w:val="22"/>
          <w:sz w:val="17"/>
        </w:rPr>
        <w:t xml:space="preserve"> </w:t>
      </w:r>
      <w:r>
        <w:rPr>
          <w:i/>
          <w:color w:val="231F20"/>
          <w:sz w:val="17"/>
        </w:rPr>
        <w:t>in</w:t>
      </w:r>
      <w:r>
        <w:rPr>
          <w:i/>
          <w:color w:val="231F20"/>
          <w:spacing w:val="22"/>
          <w:sz w:val="17"/>
        </w:rPr>
        <w:t xml:space="preserve"> </w:t>
      </w:r>
      <w:r>
        <w:rPr>
          <w:i/>
          <w:color w:val="231F20"/>
          <w:sz w:val="17"/>
        </w:rPr>
        <w:t>Contemporary</w:t>
      </w:r>
      <w:r>
        <w:rPr>
          <w:i/>
          <w:color w:val="231F20"/>
          <w:spacing w:val="22"/>
          <w:sz w:val="17"/>
        </w:rPr>
        <w:t xml:space="preserve"> </w:t>
      </w:r>
      <w:r>
        <w:rPr>
          <w:i/>
          <w:color w:val="231F20"/>
          <w:sz w:val="17"/>
        </w:rPr>
        <w:t>Society</w:t>
      </w:r>
      <w:r>
        <w:rPr>
          <w:i/>
          <w:color w:val="231F20"/>
          <w:spacing w:val="22"/>
          <w:sz w:val="17"/>
        </w:rPr>
        <w:t xml:space="preserve"> </w:t>
      </w:r>
      <w:r>
        <w:rPr>
          <w:color w:val="231F20"/>
          <w:sz w:val="17"/>
        </w:rPr>
        <w:t>(pp.</w:t>
      </w:r>
      <w:r>
        <w:rPr>
          <w:color w:val="231F20"/>
          <w:spacing w:val="22"/>
          <w:sz w:val="17"/>
        </w:rPr>
        <w:t xml:space="preserve"> </w:t>
      </w:r>
      <w:r>
        <w:rPr>
          <w:color w:val="231F20"/>
          <w:sz w:val="17"/>
        </w:rPr>
        <w:t>51–68).</w:t>
      </w:r>
      <w:r>
        <w:rPr>
          <w:color w:val="231F20"/>
          <w:spacing w:val="22"/>
          <w:sz w:val="17"/>
        </w:rPr>
        <w:t xml:space="preserve"> </w:t>
      </w:r>
      <w:r>
        <w:rPr>
          <w:color w:val="231F20"/>
          <w:sz w:val="17"/>
        </w:rPr>
        <w:t>London:</w:t>
      </w:r>
    </w:p>
    <w:p w14:paraId="1509062B" w14:textId="77777777" w:rsidR="00AE0598" w:rsidRDefault="0069255A">
      <w:pPr>
        <w:spacing w:before="1"/>
        <w:ind w:left="430"/>
        <w:jc w:val="both"/>
        <w:rPr>
          <w:sz w:val="17"/>
        </w:rPr>
      </w:pPr>
      <w:r>
        <w:rPr>
          <w:color w:val="231F20"/>
          <w:sz w:val="17"/>
        </w:rPr>
        <w:t>F.</w:t>
      </w:r>
      <w:r>
        <w:rPr>
          <w:color w:val="231F20"/>
          <w:spacing w:val="8"/>
          <w:sz w:val="17"/>
        </w:rPr>
        <w:t xml:space="preserve"> </w:t>
      </w:r>
      <w:r>
        <w:rPr>
          <w:color w:val="231F20"/>
          <w:sz w:val="17"/>
        </w:rPr>
        <w:t>Cass</w:t>
      </w:r>
      <w:r>
        <w:rPr>
          <w:color w:val="231F20"/>
          <w:spacing w:val="9"/>
          <w:sz w:val="17"/>
        </w:rPr>
        <w:t xml:space="preserve"> </w:t>
      </w:r>
      <w:r>
        <w:rPr>
          <w:color w:val="231F20"/>
          <w:spacing w:val="-2"/>
          <w:sz w:val="17"/>
        </w:rPr>
        <w:t>Publishers.</w:t>
      </w:r>
    </w:p>
    <w:p w14:paraId="163E61B6" w14:textId="77777777" w:rsidR="00AE0598" w:rsidRDefault="0069255A">
      <w:pPr>
        <w:spacing w:before="1"/>
        <w:ind w:left="430" w:right="129" w:hanging="320"/>
        <w:jc w:val="both"/>
        <w:rPr>
          <w:sz w:val="17"/>
        </w:rPr>
      </w:pPr>
      <w:r>
        <w:rPr>
          <w:color w:val="231F20"/>
          <w:sz w:val="17"/>
        </w:rPr>
        <w:t>Osborne, A.C. and Coombs, D.S. (2013) Performative sport fandom: An approach to</w:t>
      </w:r>
      <w:r>
        <w:rPr>
          <w:color w:val="231F20"/>
          <w:spacing w:val="40"/>
          <w:sz w:val="17"/>
        </w:rPr>
        <w:t xml:space="preserve"> </w:t>
      </w:r>
      <w:r>
        <w:rPr>
          <w:color w:val="231F20"/>
          <w:sz w:val="17"/>
        </w:rPr>
        <w:t xml:space="preserve">retheorizing sport fans. </w:t>
      </w:r>
      <w:r>
        <w:rPr>
          <w:i/>
          <w:color w:val="231F20"/>
          <w:sz w:val="17"/>
        </w:rPr>
        <w:t xml:space="preserve">Sport in Society </w:t>
      </w:r>
      <w:r>
        <w:rPr>
          <w:color w:val="231F20"/>
          <w:sz w:val="17"/>
        </w:rPr>
        <w:t>16 (5), 672–681.</w:t>
      </w:r>
    </w:p>
    <w:p w14:paraId="72373E88" w14:textId="77777777" w:rsidR="00AE0598" w:rsidRDefault="0069255A">
      <w:pPr>
        <w:spacing w:before="1"/>
        <w:ind w:left="430" w:right="129" w:hanging="320"/>
        <w:jc w:val="both"/>
        <w:rPr>
          <w:sz w:val="17"/>
        </w:rPr>
      </w:pPr>
      <w:r>
        <w:rPr>
          <w:color w:val="231F20"/>
          <w:sz w:val="17"/>
        </w:rPr>
        <w:t>Otto,</w:t>
      </w:r>
      <w:r>
        <w:rPr>
          <w:color w:val="231F20"/>
          <w:spacing w:val="80"/>
          <w:sz w:val="17"/>
        </w:rPr>
        <w:t xml:space="preserve"> </w:t>
      </w:r>
      <w:r>
        <w:rPr>
          <w:color w:val="231F20"/>
          <w:sz w:val="17"/>
        </w:rPr>
        <w:t>I.</w:t>
      </w:r>
      <w:r>
        <w:rPr>
          <w:color w:val="231F20"/>
          <w:spacing w:val="80"/>
          <w:sz w:val="17"/>
        </w:rPr>
        <w:t xml:space="preserve"> </w:t>
      </w:r>
      <w:r>
        <w:rPr>
          <w:color w:val="231F20"/>
          <w:sz w:val="17"/>
        </w:rPr>
        <w:t>and</w:t>
      </w:r>
      <w:r>
        <w:rPr>
          <w:color w:val="231F20"/>
          <w:spacing w:val="80"/>
          <w:sz w:val="17"/>
        </w:rPr>
        <w:t xml:space="preserve"> </w:t>
      </w:r>
      <w:r>
        <w:rPr>
          <w:color w:val="231F20"/>
          <w:sz w:val="17"/>
        </w:rPr>
        <w:t>Heath</w:t>
      </w:r>
      <w:r>
        <w:rPr>
          <w:color w:val="231F20"/>
          <w:spacing w:val="80"/>
          <w:sz w:val="17"/>
        </w:rPr>
        <w:t xml:space="preserve"> </w:t>
      </w:r>
      <w:r>
        <w:rPr>
          <w:color w:val="231F20"/>
          <w:sz w:val="17"/>
        </w:rPr>
        <w:t>E.T.</w:t>
      </w:r>
      <w:r>
        <w:rPr>
          <w:color w:val="231F20"/>
          <w:spacing w:val="80"/>
          <w:sz w:val="17"/>
        </w:rPr>
        <w:t xml:space="preserve"> </w:t>
      </w:r>
      <w:r>
        <w:rPr>
          <w:color w:val="231F20"/>
          <w:sz w:val="17"/>
        </w:rPr>
        <w:t>(2009)</w:t>
      </w:r>
      <w:r>
        <w:rPr>
          <w:color w:val="231F20"/>
          <w:spacing w:val="80"/>
          <w:sz w:val="17"/>
        </w:rPr>
        <w:t xml:space="preserve"> </w:t>
      </w:r>
      <w:r>
        <w:rPr>
          <w:color w:val="231F20"/>
          <w:sz w:val="17"/>
        </w:rPr>
        <w:t>The</w:t>
      </w:r>
      <w:r>
        <w:rPr>
          <w:color w:val="231F20"/>
          <w:spacing w:val="80"/>
          <w:sz w:val="17"/>
        </w:rPr>
        <w:t xml:space="preserve"> </w:t>
      </w:r>
      <w:r>
        <w:rPr>
          <w:color w:val="231F20"/>
          <w:sz w:val="17"/>
        </w:rPr>
        <w:t>potential</w:t>
      </w:r>
      <w:r>
        <w:rPr>
          <w:color w:val="231F20"/>
          <w:spacing w:val="80"/>
          <w:sz w:val="17"/>
        </w:rPr>
        <w:t xml:space="preserve"> </w:t>
      </w:r>
      <w:r>
        <w:rPr>
          <w:color w:val="231F20"/>
          <w:sz w:val="17"/>
        </w:rPr>
        <w:t>contribution</w:t>
      </w:r>
      <w:r>
        <w:rPr>
          <w:color w:val="231F20"/>
          <w:spacing w:val="80"/>
          <w:sz w:val="17"/>
        </w:rPr>
        <w:t xml:space="preserve"> </w:t>
      </w:r>
      <w:r>
        <w:rPr>
          <w:color w:val="231F20"/>
          <w:sz w:val="17"/>
        </w:rPr>
        <w:t>of</w:t>
      </w:r>
      <w:r>
        <w:rPr>
          <w:color w:val="231F20"/>
          <w:spacing w:val="80"/>
          <w:sz w:val="17"/>
        </w:rPr>
        <w:t xml:space="preserve"> </w:t>
      </w:r>
      <w:r>
        <w:rPr>
          <w:color w:val="231F20"/>
          <w:sz w:val="17"/>
        </w:rPr>
        <w:t>the</w:t>
      </w:r>
      <w:r>
        <w:rPr>
          <w:color w:val="231F20"/>
          <w:spacing w:val="80"/>
          <w:sz w:val="17"/>
        </w:rPr>
        <w:t xml:space="preserve"> </w:t>
      </w:r>
      <w:r>
        <w:rPr>
          <w:color w:val="231F20"/>
          <w:sz w:val="17"/>
        </w:rPr>
        <w:t>2010</w:t>
      </w:r>
      <w:r>
        <w:rPr>
          <w:color w:val="231F20"/>
          <w:spacing w:val="80"/>
          <w:sz w:val="17"/>
        </w:rPr>
        <w:t xml:space="preserve"> </w:t>
      </w:r>
      <w:r>
        <w:rPr>
          <w:color w:val="231F20"/>
          <w:sz w:val="17"/>
        </w:rPr>
        <w:t>Soccer</w:t>
      </w:r>
      <w:r>
        <w:rPr>
          <w:color w:val="231F20"/>
          <w:spacing w:val="40"/>
          <w:sz w:val="17"/>
        </w:rPr>
        <w:t xml:space="preserve"> </w:t>
      </w:r>
      <w:r>
        <w:rPr>
          <w:color w:val="231F20"/>
          <w:sz w:val="17"/>
        </w:rPr>
        <w:t>World Cup to</w:t>
      </w:r>
      <w:r>
        <w:rPr>
          <w:color w:val="231F20"/>
          <w:sz w:val="17"/>
        </w:rPr>
        <w:t xml:space="preserve"> climate change: An exploratory study among tourism industry</w:t>
      </w:r>
      <w:r>
        <w:rPr>
          <w:color w:val="231F20"/>
          <w:spacing w:val="40"/>
          <w:sz w:val="17"/>
        </w:rPr>
        <w:t xml:space="preserve"> </w:t>
      </w:r>
      <w:r>
        <w:rPr>
          <w:color w:val="231F20"/>
          <w:sz w:val="17"/>
        </w:rPr>
        <w:t>stakeholders</w:t>
      </w:r>
      <w:r>
        <w:rPr>
          <w:color w:val="231F20"/>
          <w:spacing w:val="27"/>
          <w:sz w:val="17"/>
        </w:rPr>
        <w:t xml:space="preserve"> </w:t>
      </w:r>
      <w:r>
        <w:rPr>
          <w:color w:val="231F20"/>
          <w:sz w:val="17"/>
        </w:rPr>
        <w:t>in</w:t>
      </w:r>
      <w:r>
        <w:rPr>
          <w:color w:val="231F20"/>
          <w:spacing w:val="27"/>
          <w:sz w:val="17"/>
        </w:rPr>
        <w:t xml:space="preserve"> </w:t>
      </w:r>
      <w:r>
        <w:rPr>
          <w:color w:val="231F20"/>
          <w:sz w:val="17"/>
        </w:rPr>
        <w:t>the</w:t>
      </w:r>
      <w:r>
        <w:rPr>
          <w:color w:val="231F20"/>
          <w:spacing w:val="28"/>
          <w:sz w:val="17"/>
        </w:rPr>
        <w:t xml:space="preserve"> </w:t>
      </w:r>
      <w:r>
        <w:rPr>
          <w:color w:val="231F20"/>
          <w:sz w:val="17"/>
        </w:rPr>
        <w:t>Tshwane</w:t>
      </w:r>
      <w:r>
        <w:rPr>
          <w:color w:val="231F20"/>
          <w:spacing w:val="28"/>
          <w:sz w:val="17"/>
        </w:rPr>
        <w:t xml:space="preserve"> </w:t>
      </w:r>
      <w:r>
        <w:rPr>
          <w:color w:val="231F20"/>
          <w:sz w:val="17"/>
        </w:rPr>
        <w:t>Metropole</w:t>
      </w:r>
      <w:r>
        <w:rPr>
          <w:color w:val="231F20"/>
          <w:spacing w:val="28"/>
          <w:sz w:val="17"/>
        </w:rPr>
        <w:t xml:space="preserve"> </w:t>
      </w:r>
      <w:r>
        <w:rPr>
          <w:color w:val="231F20"/>
          <w:sz w:val="17"/>
        </w:rPr>
        <w:t>of</w:t>
      </w:r>
      <w:r>
        <w:rPr>
          <w:color w:val="231F20"/>
          <w:spacing w:val="28"/>
          <w:sz w:val="17"/>
        </w:rPr>
        <w:t xml:space="preserve"> </w:t>
      </w:r>
      <w:r>
        <w:rPr>
          <w:color w:val="231F20"/>
          <w:sz w:val="17"/>
        </w:rPr>
        <w:t>South</w:t>
      </w:r>
      <w:r>
        <w:rPr>
          <w:color w:val="231F20"/>
          <w:spacing w:val="28"/>
          <w:sz w:val="17"/>
        </w:rPr>
        <w:t xml:space="preserve"> </w:t>
      </w:r>
      <w:r>
        <w:rPr>
          <w:color w:val="231F20"/>
          <w:sz w:val="17"/>
        </w:rPr>
        <w:t>Africa.</w:t>
      </w:r>
      <w:r>
        <w:rPr>
          <w:color w:val="231F20"/>
          <w:spacing w:val="27"/>
          <w:sz w:val="17"/>
        </w:rPr>
        <w:t xml:space="preserve"> </w:t>
      </w:r>
      <w:r>
        <w:rPr>
          <w:i/>
          <w:color w:val="231F20"/>
          <w:sz w:val="17"/>
        </w:rPr>
        <w:t>Journal</w:t>
      </w:r>
      <w:r>
        <w:rPr>
          <w:i/>
          <w:color w:val="231F20"/>
          <w:spacing w:val="27"/>
          <w:sz w:val="17"/>
        </w:rPr>
        <w:t xml:space="preserve"> </w:t>
      </w:r>
      <w:r>
        <w:rPr>
          <w:i/>
          <w:color w:val="231F20"/>
          <w:sz w:val="17"/>
        </w:rPr>
        <w:t>of</w:t>
      </w:r>
      <w:r>
        <w:rPr>
          <w:i/>
          <w:color w:val="231F20"/>
          <w:spacing w:val="27"/>
          <w:sz w:val="17"/>
        </w:rPr>
        <w:t xml:space="preserve"> </w:t>
      </w:r>
      <w:r>
        <w:rPr>
          <w:i/>
          <w:color w:val="231F20"/>
          <w:sz w:val="17"/>
        </w:rPr>
        <w:t>Sport</w:t>
      </w:r>
      <w:r>
        <w:rPr>
          <w:i/>
          <w:color w:val="231F20"/>
          <w:spacing w:val="27"/>
          <w:sz w:val="17"/>
        </w:rPr>
        <w:t xml:space="preserve"> </w:t>
      </w:r>
      <w:r>
        <w:rPr>
          <w:i/>
          <w:color w:val="231F20"/>
          <w:sz w:val="17"/>
        </w:rPr>
        <w:t>Tourism</w:t>
      </w:r>
      <w:r>
        <w:rPr>
          <w:i/>
          <w:color w:val="231F20"/>
          <w:spacing w:val="40"/>
          <w:sz w:val="17"/>
        </w:rPr>
        <w:t xml:space="preserve"> </w:t>
      </w:r>
      <w:r>
        <w:rPr>
          <w:color w:val="231F20"/>
          <w:sz w:val="17"/>
        </w:rPr>
        <w:t>14 (2/3), 169–191.</w:t>
      </w:r>
    </w:p>
    <w:p w14:paraId="4C66E92E" w14:textId="77777777" w:rsidR="00AE0598" w:rsidRDefault="0069255A">
      <w:pPr>
        <w:spacing w:before="3"/>
        <w:ind w:left="430" w:right="126" w:hanging="320"/>
        <w:jc w:val="both"/>
        <w:rPr>
          <w:sz w:val="17"/>
        </w:rPr>
      </w:pPr>
      <w:r>
        <w:rPr>
          <w:color w:val="231F20"/>
          <w:w w:val="95"/>
          <w:sz w:val="17"/>
        </w:rPr>
        <w:t xml:space="preserve">Oxford English Dictionary (2017) See </w:t>
      </w:r>
      <w:r>
        <w:rPr>
          <w:color w:val="231F20"/>
          <w:spacing w:val="-2"/>
          <w:w w:val="96"/>
          <w:sz w:val="17"/>
        </w:rPr>
        <w:t>h</w:t>
      </w:r>
      <w:r>
        <w:rPr>
          <w:color w:val="231F20"/>
          <w:spacing w:val="2"/>
          <w:w w:val="96"/>
          <w:sz w:val="17"/>
        </w:rPr>
        <w:t>tt</w:t>
      </w:r>
      <w:r>
        <w:rPr>
          <w:color w:val="231F20"/>
          <w:spacing w:val="-1"/>
          <w:w w:val="96"/>
          <w:sz w:val="17"/>
        </w:rPr>
        <w:t>p</w:t>
      </w:r>
      <w:r>
        <w:rPr>
          <w:color w:val="231F20"/>
          <w:spacing w:val="-2"/>
          <w:w w:val="94"/>
          <w:sz w:val="17"/>
        </w:rPr>
        <w:t>s</w:t>
      </w:r>
      <w:r>
        <w:rPr>
          <w:color w:val="231F20"/>
          <w:spacing w:val="3"/>
          <w:w w:val="94"/>
          <w:sz w:val="17"/>
        </w:rPr>
        <w:t>:</w:t>
      </w:r>
      <w:r>
        <w:rPr>
          <w:color w:val="231F20"/>
          <w:spacing w:val="-5"/>
          <w:w w:val="58"/>
          <w:sz w:val="17"/>
        </w:rPr>
        <w:t>/</w:t>
      </w:r>
      <w:r>
        <w:rPr>
          <w:color w:val="231F20"/>
          <w:spacing w:val="-6"/>
          <w:w w:val="58"/>
          <w:sz w:val="17"/>
        </w:rPr>
        <w:t>/</w:t>
      </w:r>
      <w:r>
        <w:rPr>
          <w:color w:val="231F20"/>
          <w:w w:val="88"/>
          <w:sz w:val="17"/>
        </w:rPr>
        <w:t>e</w:t>
      </w:r>
      <w:r>
        <w:rPr>
          <w:color w:val="231F20"/>
          <w:w w:val="96"/>
          <w:sz w:val="17"/>
        </w:rPr>
        <w:t>n</w:t>
      </w:r>
      <w:r>
        <w:rPr>
          <w:color w:val="231F20"/>
          <w:spacing w:val="-2"/>
          <w:w w:val="109"/>
          <w:sz w:val="17"/>
        </w:rPr>
        <w:t>.</w:t>
      </w:r>
      <w:r>
        <w:rPr>
          <w:color w:val="231F20"/>
          <w:spacing w:val="-5"/>
          <w:w w:val="109"/>
          <w:sz w:val="17"/>
        </w:rPr>
        <w:t>o</w:t>
      </w:r>
      <w:r>
        <w:rPr>
          <w:color w:val="231F20"/>
          <w:spacing w:val="2"/>
          <w:w w:val="110"/>
          <w:sz w:val="17"/>
        </w:rPr>
        <w:t>x</w:t>
      </w:r>
      <w:r>
        <w:rPr>
          <w:color w:val="231F20"/>
          <w:spacing w:val="-2"/>
          <w:w w:val="107"/>
          <w:sz w:val="17"/>
        </w:rPr>
        <w:t>f</w:t>
      </w:r>
      <w:r>
        <w:rPr>
          <w:color w:val="231F20"/>
          <w:spacing w:val="-2"/>
          <w:w w:val="96"/>
          <w:sz w:val="17"/>
        </w:rPr>
        <w:t>ord</w:t>
      </w:r>
      <w:r>
        <w:rPr>
          <w:color w:val="231F20"/>
          <w:spacing w:val="2"/>
          <w:w w:val="96"/>
          <w:sz w:val="17"/>
        </w:rPr>
        <w:t>d</w:t>
      </w:r>
      <w:r>
        <w:rPr>
          <w:color w:val="231F20"/>
          <w:spacing w:val="-2"/>
          <w:w w:val="98"/>
          <w:sz w:val="17"/>
        </w:rPr>
        <w:t>i</w:t>
      </w:r>
      <w:r>
        <w:rPr>
          <w:color w:val="231F20"/>
          <w:spacing w:val="2"/>
          <w:w w:val="98"/>
          <w:sz w:val="17"/>
        </w:rPr>
        <w:t>c</w:t>
      </w:r>
      <w:r>
        <w:rPr>
          <w:color w:val="231F20"/>
          <w:spacing w:val="1"/>
          <w:w w:val="96"/>
          <w:sz w:val="17"/>
        </w:rPr>
        <w:t>t</w:t>
      </w:r>
      <w:r>
        <w:rPr>
          <w:color w:val="231F20"/>
          <w:spacing w:val="-3"/>
          <w:w w:val="98"/>
          <w:sz w:val="17"/>
        </w:rPr>
        <w:t>i</w:t>
      </w:r>
      <w:r>
        <w:rPr>
          <w:color w:val="231F20"/>
          <w:spacing w:val="-2"/>
          <w:w w:val="98"/>
          <w:sz w:val="17"/>
        </w:rPr>
        <w:t>o</w:t>
      </w:r>
      <w:r>
        <w:rPr>
          <w:color w:val="231F20"/>
          <w:w w:val="98"/>
          <w:sz w:val="17"/>
        </w:rPr>
        <w:t>n</w:t>
      </w:r>
      <w:r>
        <w:rPr>
          <w:color w:val="231F20"/>
          <w:spacing w:val="1"/>
          <w:w w:val="99"/>
          <w:sz w:val="17"/>
        </w:rPr>
        <w:t>a</w:t>
      </w:r>
      <w:r>
        <w:rPr>
          <w:color w:val="231F20"/>
          <w:spacing w:val="1"/>
          <w:w w:val="91"/>
          <w:sz w:val="17"/>
        </w:rPr>
        <w:t>r</w:t>
      </w:r>
      <w:r>
        <w:rPr>
          <w:color w:val="231F20"/>
          <w:spacing w:val="-2"/>
          <w:w w:val="92"/>
          <w:sz w:val="17"/>
        </w:rPr>
        <w:t>i</w:t>
      </w:r>
      <w:r>
        <w:rPr>
          <w:color w:val="231F20"/>
          <w:spacing w:val="1"/>
          <w:w w:val="92"/>
          <w:sz w:val="17"/>
        </w:rPr>
        <w:t>e</w:t>
      </w:r>
      <w:r>
        <w:rPr>
          <w:color w:val="231F20"/>
          <w:spacing w:val="1"/>
          <w:w w:val="88"/>
          <w:sz w:val="17"/>
        </w:rPr>
        <w:t>s</w:t>
      </w:r>
      <w:r>
        <w:rPr>
          <w:color w:val="231F20"/>
          <w:spacing w:val="-1"/>
          <w:w w:val="133"/>
          <w:sz w:val="17"/>
        </w:rPr>
        <w:t>.</w:t>
      </w:r>
      <w:r>
        <w:rPr>
          <w:color w:val="231F20"/>
          <w:spacing w:val="-1"/>
          <w:w w:val="97"/>
          <w:sz w:val="17"/>
        </w:rPr>
        <w:t>c</w:t>
      </w:r>
      <w:r>
        <w:rPr>
          <w:color w:val="231F20"/>
          <w:spacing w:val="-3"/>
          <w:w w:val="101"/>
          <w:sz w:val="17"/>
        </w:rPr>
        <w:t>o</w:t>
      </w:r>
      <w:r>
        <w:rPr>
          <w:color w:val="231F20"/>
          <w:spacing w:val="6"/>
          <w:w w:val="97"/>
          <w:sz w:val="17"/>
        </w:rPr>
        <w:t>m</w:t>
      </w:r>
      <w:r>
        <w:rPr>
          <w:color w:val="231F20"/>
          <w:spacing w:val="-7"/>
          <w:w w:val="58"/>
          <w:sz w:val="17"/>
        </w:rPr>
        <w:t>/</w:t>
      </w:r>
      <w:r>
        <w:rPr>
          <w:color w:val="231F20"/>
          <w:spacing w:val="-1"/>
          <w:w w:val="96"/>
          <w:sz w:val="17"/>
        </w:rPr>
        <w:t>d</w:t>
      </w:r>
      <w:r>
        <w:rPr>
          <w:color w:val="231F20"/>
          <w:w w:val="88"/>
          <w:sz w:val="17"/>
        </w:rPr>
        <w:t>e</w:t>
      </w:r>
      <w:r>
        <w:rPr>
          <w:color w:val="231F20"/>
          <w:spacing w:val="-2"/>
          <w:w w:val="92"/>
          <w:sz w:val="17"/>
        </w:rPr>
        <w:t>f</w:t>
      </w:r>
      <w:r>
        <w:rPr>
          <w:color w:val="231F20"/>
          <w:spacing w:val="4"/>
          <w:w w:val="92"/>
          <w:sz w:val="17"/>
        </w:rPr>
        <w:t>i</w:t>
      </w:r>
      <w:r>
        <w:rPr>
          <w:color w:val="231F20"/>
          <w:spacing w:val="1"/>
          <w:w w:val="96"/>
          <w:sz w:val="17"/>
        </w:rPr>
        <w:t>n</w:t>
      </w:r>
      <w:r>
        <w:rPr>
          <w:color w:val="231F20"/>
          <w:spacing w:val="-3"/>
          <w:w w:val="98"/>
          <w:sz w:val="17"/>
        </w:rPr>
        <w:t>i</w:t>
      </w:r>
      <w:r>
        <w:rPr>
          <w:color w:val="231F20"/>
          <w:spacing w:val="1"/>
          <w:w w:val="96"/>
          <w:sz w:val="17"/>
        </w:rPr>
        <w:t>t</w:t>
      </w:r>
      <w:r>
        <w:rPr>
          <w:color w:val="231F20"/>
          <w:spacing w:val="-3"/>
          <w:w w:val="98"/>
          <w:sz w:val="17"/>
        </w:rPr>
        <w:t>i</w:t>
      </w:r>
      <w:r>
        <w:rPr>
          <w:color w:val="231F20"/>
          <w:spacing w:val="-2"/>
          <w:w w:val="98"/>
          <w:sz w:val="17"/>
        </w:rPr>
        <w:t>o</w:t>
      </w:r>
      <w:r>
        <w:rPr>
          <w:color w:val="231F20"/>
          <w:spacing w:val="6"/>
          <w:w w:val="98"/>
          <w:sz w:val="17"/>
        </w:rPr>
        <w:t>n</w:t>
      </w:r>
      <w:r>
        <w:rPr>
          <w:color w:val="231F20"/>
          <w:spacing w:val="-6"/>
          <w:w w:val="58"/>
          <w:sz w:val="17"/>
        </w:rPr>
        <w:t>/</w:t>
      </w:r>
      <w:r>
        <w:rPr>
          <w:color w:val="231F20"/>
          <w:spacing w:val="-2"/>
          <w:w w:val="88"/>
          <w:sz w:val="17"/>
        </w:rPr>
        <w:t>s</w:t>
      </w:r>
      <w:r>
        <w:rPr>
          <w:color w:val="231F20"/>
          <w:w w:val="96"/>
          <w:sz w:val="17"/>
        </w:rPr>
        <w:t>p</w:t>
      </w:r>
      <w:r>
        <w:rPr>
          <w:color w:val="231F20"/>
          <w:spacing w:val="-3"/>
          <w:w w:val="101"/>
          <w:sz w:val="17"/>
        </w:rPr>
        <w:t>o</w:t>
      </w:r>
      <w:r>
        <w:rPr>
          <w:color w:val="231F20"/>
          <w:spacing w:val="3"/>
          <w:w w:val="91"/>
          <w:sz w:val="17"/>
        </w:rPr>
        <w:t>r</w:t>
      </w:r>
      <w:r>
        <w:rPr>
          <w:color w:val="231F20"/>
          <w:spacing w:val="-2"/>
          <w:w w:val="96"/>
          <w:sz w:val="17"/>
        </w:rPr>
        <w:t>t</w:t>
      </w:r>
      <w:r>
        <w:rPr>
          <w:color w:val="231F20"/>
          <w:spacing w:val="40"/>
          <w:sz w:val="17"/>
        </w:rPr>
        <w:t xml:space="preserve"> </w:t>
      </w:r>
      <w:r>
        <w:rPr>
          <w:color w:val="231F20"/>
          <w:sz w:val="17"/>
        </w:rPr>
        <w:t>(accessed on 28 August 2017).</w:t>
      </w:r>
    </w:p>
    <w:p w14:paraId="230C7AA1" w14:textId="77777777" w:rsidR="00AE0598" w:rsidRDefault="0069255A">
      <w:pPr>
        <w:spacing w:before="1"/>
        <w:ind w:left="110"/>
        <w:jc w:val="both"/>
        <w:rPr>
          <w:sz w:val="17"/>
        </w:rPr>
      </w:pPr>
      <w:r>
        <w:rPr>
          <w:color w:val="231F20"/>
          <w:w w:val="105"/>
          <w:sz w:val="17"/>
        </w:rPr>
        <w:t>Page,</w:t>
      </w:r>
      <w:r>
        <w:rPr>
          <w:color w:val="231F20"/>
          <w:spacing w:val="28"/>
          <w:w w:val="105"/>
          <w:sz w:val="17"/>
        </w:rPr>
        <w:t xml:space="preserve"> </w:t>
      </w:r>
      <w:r>
        <w:rPr>
          <w:color w:val="231F20"/>
          <w:w w:val="105"/>
          <w:sz w:val="17"/>
        </w:rPr>
        <w:t>S.J.,</w:t>
      </w:r>
      <w:r>
        <w:rPr>
          <w:color w:val="231F20"/>
          <w:spacing w:val="28"/>
          <w:w w:val="105"/>
          <w:sz w:val="17"/>
        </w:rPr>
        <w:t xml:space="preserve"> </w:t>
      </w:r>
      <w:r>
        <w:rPr>
          <w:color w:val="231F20"/>
          <w:w w:val="105"/>
          <w:sz w:val="17"/>
        </w:rPr>
        <w:t>Brunt,</w:t>
      </w:r>
      <w:r>
        <w:rPr>
          <w:color w:val="231F20"/>
          <w:spacing w:val="28"/>
          <w:w w:val="105"/>
          <w:sz w:val="17"/>
        </w:rPr>
        <w:t xml:space="preserve"> </w:t>
      </w:r>
      <w:r>
        <w:rPr>
          <w:color w:val="231F20"/>
          <w:w w:val="105"/>
          <w:sz w:val="17"/>
        </w:rPr>
        <w:t>P.,</w:t>
      </w:r>
      <w:r>
        <w:rPr>
          <w:color w:val="231F20"/>
          <w:spacing w:val="28"/>
          <w:w w:val="105"/>
          <w:sz w:val="17"/>
        </w:rPr>
        <w:t xml:space="preserve"> </w:t>
      </w:r>
      <w:r>
        <w:rPr>
          <w:color w:val="231F20"/>
          <w:w w:val="105"/>
          <w:sz w:val="17"/>
        </w:rPr>
        <w:t>Busby,</w:t>
      </w:r>
      <w:r>
        <w:rPr>
          <w:color w:val="231F20"/>
          <w:spacing w:val="28"/>
          <w:w w:val="105"/>
          <w:sz w:val="17"/>
        </w:rPr>
        <w:t xml:space="preserve"> </w:t>
      </w:r>
      <w:r>
        <w:rPr>
          <w:color w:val="231F20"/>
          <w:w w:val="105"/>
          <w:sz w:val="17"/>
        </w:rPr>
        <w:t>G.</w:t>
      </w:r>
      <w:r>
        <w:rPr>
          <w:color w:val="231F20"/>
          <w:spacing w:val="28"/>
          <w:w w:val="105"/>
          <w:sz w:val="17"/>
        </w:rPr>
        <w:t xml:space="preserve"> </w:t>
      </w:r>
      <w:r>
        <w:rPr>
          <w:color w:val="231F20"/>
          <w:w w:val="105"/>
          <w:sz w:val="17"/>
        </w:rPr>
        <w:t>and</w:t>
      </w:r>
      <w:r>
        <w:rPr>
          <w:color w:val="231F20"/>
          <w:spacing w:val="28"/>
          <w:w w:val="105"/>
          <w:sz w:val="17"/>
        </w:rPr>
        <w:t xml:space="preserve"> </w:t>
      </w:r>
      <w:r>
        <w:rPr>
          <w:color w:val="231F20"/>
          <w:w w:val="105"/>
          <w:sz w:val="17"/>
        </w:rPr>
        <w:t>Connell,</w:t>
      </w:r>
      <w:r>
        <w:rPr>
          <w:color w:val="231F20"/>
          <w:spacing w:val="28"/>
          <w:w w:val="105"/>
          <w:sz w:val="17"/>
        </w:rPr>
        <w:t xml:space="preserve"> </w:t>
      </w:r>
      <w:r>
        <w:rPr>
          <w:color w:val="231F20"/>
          <w:w w:val="105"/>
          <w:sz w:val="17"/>
        </w:rPr>
        <w:t>J.</w:t>
      </w:r>
      <w:r>
        <w:rPr>
          <w:color w:val="231F20"/>
          <w:spacing w:val="28"/>
          <w:w w:val="105"/>
          <w:sz w:val="17"/>
        </w:rPr>
        <w:t xml:space="preserve"> </w:t>
      </w:r>
      <w:r>
        <w:rPr>
          <w:color w:val="231F20"/>
          <w:w w:val="105"/>
          <w:sz w:val="17"/>
        </w:rPr>
        <w:t>(2001)</w:t>
      </w:r>
      <w:r>
        <w:rPr>
          <w:color w:val="231F20"/>
          <w:spacing w:val="28"/>
          <w:w w:val="105"/>
          <w:sz w:val="17"/>
        </w:rPr>
        <w:t xml:space="preserve"> </w:t>
      </w:r>
      <w:r>
        <w:rPr>
          <w:i/>
          <w:color w:val="231F20"/>
          <w:w w:val="105"/>
          <w:sz w:val="17"/>
        </w:rPr>
        <w:t>Tourism:</w:t>
      </w:r>
      <w:r>
        <w:rPr>
          <w:i/>
          <w:color w:val="231F20"/>
          <w:spacing w:val="28"/>
          <w:w w:val="105"/>
          <w:sz w:val="17"/>
        </w:rPr>
        <w:t xml:space="preserve"> </w:t>
      </w:r>
      <w:r>
        <w:rPr>
          <w:i/>
          <w:color w:val="231F20"/>
          <w:w w:val="105"/>
          <w:sz w:val="17"/>
        </w:rPr>
        <w:t>A</w:t>
      </w:r>
      <w:r>
        <w:rPr>
          <w:i/>
          <w:color w:val="231F20"/>
          <w:spacing w:val="28"/>
          <w:w w:val="105"/>
          <w:sz w:val="17"/>
        </w:rPr>
        <w:t xml:space="preserve"> </w:t>
      </w:r>
      <w:r>
        <w:rPr>
          <w:i/>
          <w:color w:val="231F20"/>
          <w:w w:val="105"/>
          <w:sz w:val="17"/>
        </w:rPr>
        <w:t>Modern</w:t>
      </w:r>
      <w:r>
        <w:rPr>
          <w:i/>
          <w:color w:val="231F20"/>
          <w:spacing w:val="28"/>
          <w:w w:val="105"/>
          <w:sz w:val="17"/>
        </w:rPr>
        <w:t xml:space="preserve"> </w:t>
      </w:r>
      <w:r>
        <w:rPr>
          <w:i/>
          <w:color w:val="231F20"/>
          <w:spacing w:val="-2"/>
          <w:w w:val="105"/>
          <w:sz w:val="17"/>
        </w:rPr>
        <w:t>Synthesis</w:t>
      </w:r>
      <w:r>
        <w:rPr>
          <w:color w:val="231F20"/>
          <w:spacing w:val="-2"/>
          <w:w w:val="105"/>
          <w:sz w:val="17"/>
        </w:rPr>
        <w:t>.</w:t>
      </w:r>
    </w:p>
    <w:p w14:paraId="30C94210" w14:textId="77777777" w:rsidR="00AE0598" w:rsidRDefault="0069255A">
      <w:pPr>
        <w:spacing w:before="1"/>
        <w:ind w:left="430"/>
        <w:jc w:val="both"/>
        <w:rPr>
          <w:sz w:val="17"/>
        </w:rPr>
      </w:pPr>
      <w:r>
        <w:rPr>
          <w:color w:val="231F20"/>
          <w:sz w:val="17"/>
        </w:rPr>
        <w:t>London:</w:t>
      </w:r>
      <w:r>
        <w:rPr>
          <w:color w:val="231F20"/>
          <w:spacing w:val="3"/>
          <w:sz w:val="17"/>
        </w:rPr>
        <w:t xml:space="preserve"> </w:t>
      </w:r>
      <w:r>
        <w:rPr>
          <w:color w:val="231F20"/>
          <w:sz w:val="17"/>
        </w:rPr>
        <w:t>Thomson</w:t>
      </w:r>
      <w:r>
        <w:rPr>
          <w:color w:val="231F20"/>
          <w:spacing w:val="3"/>
          <w:sz w:val="17"/>
        </w:rPr>
        <w:t xml:space="preserve"> </w:t>
      </w:r>
      <w:r>
        <w:rPr>
          <w:color w:val="231F20"/>
          <w:spacing w:val="-2"/>
          <w:sz w:val="17"/>
        </w:rPr>
        <w:t>Learning.</w:t>
      </w:r>
    </w:p>
    <w:p w14:paraId="33F835E8" w14:textId="77777777" w:rsidR="00AE0598" w:rsidRDefault="0069255A">
      <w:pPr>
        <w:spacing w:before="1"/>
        <w:ind w:left="110" w:right="128"/>
        <w:jc w:val="both"/>
        <w:rPr>
          <w:i/>
          <w:sz w:val="17"/>
        </w:rPr>
      </w:pPr>
      <w:r>
        <w:rPr>
          <w:color w:val="231F20"/>
          <w:sz w:val="17"/>
        </w:rPr>
        <w:t xml:space="preserve">Page, S.J. and Hall, C.M. (2003) </w:t>
      </w:r>
      <w:r>
        <w:rPr>
          <w:i/>
          <w:color w:val="231F20"/>
          <w:sz w:val="17"/>
        </w:rPr>
        <w:t>Managing Urban Tourism</w:t>
      </w:r>
      <w:r>
        <w:rPr>
          <w:color w:val="231F20"/>
          <w:sz w:val="17"/>
        </w:rPr>
        <w:t>. Harlow: Pearson Education Ltd.</w:t>
      </w:r>
      <w:r>
        <w:rPr>
          <w:color w:val="231F20"/>
          <w:spacing w:val="40"/>
          <w:sz w:val="17"/>
        </w:rPr>
        <w:t xml:space="preserve"> </w:t>
      </w:r>
      <w:r>
        <w:rPr>
          <w:color w:val="231F20"/>
          <w:sz w:val="17"/>
        </w:rPr>
        <w:t xml:space="preserve">Panchal, J. (2014) </w:t>
      </w:r>
      <w:r>
        <w:rPr>
          <w:i/>
          <w:color w:val="231F20"/>
          <w:sz w:val="17"/>
        </w:rPr>
        <w:t>Tourism, Wellness and Feeling Good: Reviewing and Studying Asian Spa</w:t>
      </w:r>
    </w:p>
    <w:p w14:paraId="5438D3CE" w14:textId="77777777" w:rsidR="00AE0598" w:rsidRDefault="0069255A">
      <w:pPr>
        <w:spacing w:before="1"/>
        <w:ind w:left="430"/>
        <w:jc w:val="both"/>
        <w:rPr>
          <w:sz w:val="17"/>
        </w:rPr>
      </w:pPr>
      <w:r>
        <w:rPr>
          <w:i/>
          <w:color w:val="231F20"/>
          <w:sz w:val="17"/>
        </w:rPr>
        <w:t>Experiences</w:t>
      </w:r>
      <w:r>
        <w:rPr>
          <w:color w:val="231F20"/>
          <w:sz w:val="17"/>
        </w:rPr>
        <w:t>.</w:t>
      </w:r>
      <w:r>
        <w:rPr>
          <w:color w:val="231F20"/>
          <w:spacing w:val="21"/>
          <w:sz w:val="17"/>
        </w:rPr>
        <w:t xml:space="preserve"> </w:t>
      </w:r>
      <w:r>
        <w:rPr>
          <w:color w:val="231F20"/>
          <w:sz w:val="17"/>
        </w:rPr>
        <w:t>Abingdon:</w:t>
      </w:r>
      <w:r>
        <w:rPr>
          <w:color w:val="231F20"/>
          <w:spacing w:val="21"/>
          <w:sz w:val="17"/>
        </w:rPr>
        <w:t xml:space="preserve"> </w:t>
      </w:r>
      <w:r>
        <w:rPr>
          <w:color w:val="231F20"/>
          <w:spacing w:val="-2"/>
          <w:sz w:val="17"/>
        </w:rPr>
        <w:t>Routledge.</w:t>
      </w:r>
    </w:p>
    <w:p w14:paraId="23226D77" w14:textId="77777777" w:rsidR="00AE0598" w:rsidRDefault="0069255A">
      <w:pPr>
        <w:spacing w:before="1"/>
        <w:ind w:left="430" w:right="128" w:hanging="320"/>
        <w:jc w:val="both"/>
        <w:rPr>
          <w:sz w:val="17"/>
        </w:rPr>
      </w:pPr>
      <w:r>
        <w:rPr>
          <w:color w:val="231F20"/>
          <w:w w:val="105"/>
          <w:sz w:val="17"/>
        </w:rPr>
        <w:t>Paramio, J.L., Buraimo, B. and Campos, C. (2008) From modern to postmodern: The</w:t>
      </w:r>
      <w:r>
        <w:rPr>
          <w:color w:val="231F20"/>
          <w:spacing w:val="40"/>
          <w:w w:val="105"/>
          <w:sz w:val="17"/>
        </w:rPr>
        <w:t xml:space="preserve"> </w:t>
      </w:r>
      <w:r>
        <w:rPr>
          <w:color w:val="231F20"/>
          <w:sz w:val="17"/>
        </w:rPr>
        <w:t xml:space="preserve">development of football stadia in Europe. </w:t>
      </w:r>
      <w:r>
        <w:rPr>
          <w:i/>
          <w:color w:val="231F20"/>
          <w:sz w:val="17"/>
        </w:rPr>
        <w:t xml:space="preserve">Sport in Society </w:t>
      </w:r>
      <w:r>
        <w:rPr>
          <w:color w:val="231F20"/>
          <w:sz w:val="17"/>
        </w:rPr>
        <w:t>11 (5), 517–534.</w:t>
      </w:r>
    </w:p>
    <w:p w14:paraId="7ACE29B8" w14:textId="77777777" w:rsidR="00AE0598" w:rsidRDefault="0069255A">
      <w:pPr>
        <w:spacing w:before="1"/>
        <w:ind w:left="430" w:right="128" w:hanging="320"/>
        <w:jc w:val="both"/>
        <w:rPr>
          <w:sz w:val="17"/>
        </w:rPr>
      </w:pPr>
      <w:r>
        <w:rPr>
          <w:color w:val="231F20"/>
          <w:sz w:val="17"/>
        </w:rPr>
        <w:t>Parrilla, J.C., Font, A.R. and Nadal, J.R. (2007) Accommodation determinants of seasonal</w:t>
      </w:r>
      <w:r>
        <w:rPr>
          <w:color w:val="231F20"/>
          <w:spacing w:val="40"/>
          <w:sz w:val="17"/>
        </w:rPr>
        <w:t xml:space="preserve"> </w:t>
      </w:r>
      <w:r>
        <w:rPr>
          <w:color w:val="231F20"/>
          <w:sz w:val="17"/>
        </w:rPr>
        <w:t xml:space="preserve">patterns. </w:t>
      </w:r>
      <w:r>
        <w:rPr>
          <w:i/>
          <w:color w:val="231F20"/>
          <w:sz w:val="17"/>
        </w:rPr>
        <w:t xml:space="preserve">Annals of Tourism Research </w:t>
      </w:r>
      <w:r>
        <w:rPr>
          <w:color w:val="231F20"/>
          <w:sz w:val="17"/>
        </w:rPr>
        <w:t>34 (2), 422–436.</w:t>
      </w:r>
    </w:p>
    <w:p w14:paraId="52238096" w14:textId="77777777" w:rsidR="00AE0598" w:rsidRDefault="00AE0598">
      <w:pPr>
        <w:jc w:val="both"/>
        <w:rPr>
          <w:sz w:val="17"/>
        </w:rPr>
        <w:sectPr w:rsidR="00AE0598">
          <w:pgSz w:w="8850" w:h="13270"/>
          <w:pgMar w:top="720" w:right="1060" w:bottom="280" w:left="1080" w:header="720" w:footer="720" w:gutter="0"/>
          <w:cols w:space="720"/>
        </w:sectPr>
      </w:pPr>
    </w:p>
    <w:p w14:paraId="3708E75D" w14:textId="77777777" w:rsidR="00AE0598" w:rsidRDefault="0069255A">
      <w:pPr>
        <w:spacing w:before="87"/>
        <w:ind w:left="110" w:right="128"/>
        <w:jc w:val="right"/>
        <w:rPr>
          <w:rFonts w:ascii="Trebuchet MS"/>
          <w:sz w:val="14"/>
        </w:rPr>
      </w:pPr>
      <w:r>
        <w:rPr>
          <w:rFonts w:ascii="Trebuchet MS"/>
          <w:color w:val="231F20"/>
          <w:w w:val="105"/>
          <w:sz w:val="14"/>
        </w:rPr>
        <w:lastRenderedPageBreak/>
        <w:t>References</w:t>
      </w:r>
      <w:r>
        <w:rPr>
          <w:rFonts w:ascii="Trebuchet MS"/>
          <w:color w:val="231F20"/>
          <w:spacing w:val="67"/>
          <w:w w:val="105"/>
          <w:sz w:val="14"/>
        </w:rPr>
        <w:t xml:space="preserve"> </w:t>
      </w:r>
      <w:r>
        <w:rPr>
          <w:rFonts w:ascii="Trebuchet MS"/>
          <w:color w:val="231F20"/>
          <w:spacing w:val="-5"/>
          <w:w w:val="105"/>
          <w:sz w:val="14"/>
        </w:rPr>
        <w:t>267</w:t>
      </w:r>
    </w:p>
    <w:p w14:paraId="6BA0B1B3" w14:textId="77777777" w:rsidR="00AE0598" w:rsidRDefault="00AE0598">
      <w:pPr>
        <w:pStyle w:val="Corpodetexto"/>
        <w:rPr>
          <w:rFonts w:ascii="Trebuchet MS"/>
          <w:sz w:val="16"/>
        </w:rPr>
      </w:pPr>
    </w:p>
    <w:p w14:paraId="0ECE14D8" w14:textId="77777777" w:rsidR="00AE0598" w:rsidRDefault="0069255A">
      <w:pPr>
        <w:spacing w:before="121"/>
        <w:ind w:left="430" w:hanging="320"/>
        <w:rPr>
          <w:sz w:val="17"/>
        </w:rPr>
      </w:pPr>
      <w:r>
        <w:rPr>
          <w:color w:val="231F20"/>
          <w:sz w:val="17"/>
        </w:rPr>
        <w:t>Pavlovi</w:t>
      </w:r>
      <w:r>
        <w:rPr>
          <w:color w:val="231F20"/>
          <w:sz w:val="17"/>
        </w:rPr>
        <w:t>ch, K. (2003) The evolution and transformation of a tourism destination network:</w:t>
      </w:r>
      <w:r>
        <w:rPr>
          <w:color w:val="231F20"/>
          <w:spacing w:val="40"/>
          <w:sz w:val="17"/>
        </w:rPr>
        <w:t xml:space="preserve"> </w:t>
      </w:r>
      <w:r>
        <w:rPr>
          <w:color w:val="231F20"/>
          <w:sz w:val="17"/>
        </w:rPr>
        <w:t xml:space="preserve">The Waitomo Caves, New Zealand. </w:t>
      </w:r>
      <w:r>
        <w:rPr>
          <w:i/>
          <w:color w:val="231F20"/>
          <w:sz w:val="17"/>
        </w:rPr>
        <w:t xml:space="preserve">Tourism Management </w:t>
      </w:r>
      <w:r>
        <w:rPr>
          <w:color w:val="231F20"/>
          <w:sz w:val="17"/>
        </w:rPr>
        <w:t>24 (2), 203–216.</w:t>
      </w:r>
    </w:p>
    <w:p w14:paraId="13025CD7" w14:textId="77777777" w:rsidR="00AE0598" w:rsidRDefault="0069255A">
      <w:pPr>
        <w:spacing w:before="1"/>
        <w:ind w:left="110"/>
        <w:rPr>
          <w:sz w:val="17"/>
        </w:rPr>
      </w:pPr>
      <w:r>
        <w:rPr>
          <w:color w:val="231F20"/>
          <w:sz w:val="17"/>
        </w:rPr>
        <w:t>Pawłowski,</w:t>
      </w:r>
      <w:r>
        <w:rPr>
          <w:color w:val="231F20"/>
          <w:spacing w:val="56"/>
          <w:sz w:val="17"/>
        </w:rPr>
        <w:t xml:space="preserve"> </w:t>
      </w:r>
      <w:r>
        <w:rPr>
          <w:color w:val="231F20"/>
          <w:sz w:val="17"/>
        </w:rPr>
        <w:t>A.</w:t>
      </w:r>
      <w:r>
        <w:rPr>
          <w:color w:val="231F20"/>
          <w:spacing w:val="56"/>
          <w:sz w:val="17"/>
        </w:rPr>
        <w:t xml:space="preserve"> </w:t>
      </w:r>
      <w:r>
        <w:rPr>
          <w:color w:val="231F20"/>
          <w:sz w:val="17"/>
        </w:rPr>
        <w:t>(2008)</w:t>
      </w:r>
      <w:r>
        <w:rPr>
          <w:color w:val="231F20"/>
          <w:spacing w:val="56"/>
          <w:sz w:val="17"/>
        </w:rPr>
        <w:t xml:space="preserve"> </w:t>
      </w:r>
      <w:r>
        <w:rPr>
          <w:color w:val="231F20"/>
          <w:sz w:val="17"/>
        </w:rPr>
        <w:t>How</w:t>
      </w:r>
      <w:r>
        <w:rPr>
          <w:color w:val="231F20"/>
          <w:spacing w:val="56"/>
          <w:sz w:val="17"/>
        </w:rPr>
        <w:t xml:space="preserve"> </w:t>
      </w:r>
      <w:r>
        <w:rPr>
          <w:color w:val="231F20"/>
          <w:sz w:val="17"/>
        </w:rPr>
        <w:t>many</w:t>
      </w:r>
      <w:r>
        <w:rPr>
          <w:color w:val="231F20"/>
          <w:spacing w:val="56"/>
          <w:sz w:val="17"/>
        </w:rPr>
        <w:t xml:space="preserve"> </w:t>
      </w:r>
      <w:r>
        <w:rPr>
          <w:color w:val="231F20"/>
          <w:sz w:val="17"/>
        </w:rPr>
        <w:t>dimensions</w:t>
      </w:r>
      <w:r>
        <w:rPr>
          <w:color w:val="231F20"/>
          <w:spacing w:val="56"/>
          <w:sz w:val="17"/>
        </w:rPr>
        <w:t xml:space="preserve"> </w:t>
      </w:r>
      <w:r>
        <w:rPr>
          <w:color w:val="231F20"/>
          <w:sz w:val="17"/>
        </w:rPr>
        <w:t>does</w:t>
      </w:r>
      <w:r>
        <w:rPr>
          <w:color w:val="231F20"/>
          <w:spacing w:val="56"/>
          <w:sz w:val="17"/>
        </w:rPr>
        <w:t xml:space="preserve"> </w:t>
      </w:r>
      <w:r>
        <w:rPr>
          <w:color w:val="231F20"/>
          <w:sz w:val="17"/>
        </w:rPr>
        <w:t>sustainable</w:t>
      </w:r>
      <w:r>
        <w:rPr>
          <w:color w:val="231F20"/>
          <w:spacing w:val="56"/>
          <w:sz w:val="17"/>
        </w:rPr>
        <w:t xml:space="preserve"> </w:t>
      </w:r>
      <w:r>
        <w:rPr>
          <w:color w:val="231F20"/>
          <w:sz w:val="17"/>
        </w:rPr>
        <w:t>development</w:t>
      </w:r>
      <w:r>
        <w:rPr>
          <w:color w:val="231F20"/>
          <w:spacing w:val="56"/>
          <w:sz w:val="17"/>
        </w:rPr>
        <w:t xml:space="preserve"> </w:t>
      </w:r>
      <w:r>
        <w:rPr>
          <w:color w:val="231F20"/>
          <w:spacing w:val="-2"/>
          <w:sz w:val="17"/>
        </w:rPr>
        <w:t>have?</w:t>
      </w:r>
    </w:p>
    <w:p w14:paraId="5CB06AB0" w14:textId="77777777" w:rsidR="00AE0598" w:rsidRDefault="0069255A">
      <w:pPr>
        <w:spacing w:before="1"/>
        <w:ind w:left="430"/>
        <w:rPr>
          <w:sz w:val="17"/>
        </w:rPr>
      </w:pPr>
      <w:r>
        <w:rPr>
          <w:i/>
          <w:color w:val="231F20"/>
          <w:w w:val="95"/>
          <w:sz w:val="17"/>
        </w:rPr>
        <w:t>Sustainable</w:t>
      </w:r>
      <w:r>
        <w:rPr>
          <w:i/>
          <w:color w:val="231F20"/>
          <w:spacing w:val="45"/>
          <w:sz w:val="17"/>
        </w:rPr>
        <w:t xml:space="preserve"> </w:t>
      </w:r>
      <w:r>
        <w:rPr>
          <w:i/>
          <w:color w:val="231F20"/>
          <w:w w:val="95"/>
          <w:sz w:val="17"/>
        </w:rPr>
        <w:t>Development</w:t>
      </w:r>
      <w:r>
        <w:rPr>
          <w:i/>
          <w:color w:val="231F20"/>
          <w:spacing w:val="46"/>
          <w:sz w:val="17"/>
        </w:rPr>
        <w:t xml:space="preserve"> </w:t>
      </w:r>
      <w:r>
        <w:rPr>
          <w:color w:val="231F20"/>
          <w:w w:val="95"/>
          <w:sz w:val="17"/>
        </w:rPr>
        <w:t>16,</w:t>
      </w:r>
      <w:r>
        <w:rPr>
          <w:color w:val="231F20"/>
          <w:spacing w:val="45"/>
          <w:sz w:val="17"/>
        </w:rPr>
        <w:t xml:space="preserve"> </w:t>
      </w:r>
      <w:r>
        <w:rPr>
          <w:color w:val="231F20"/>
          <w:spacing w:val="-2"/>
          <w:w w:val="95"/>
          <w:sz w:val="17"/>
        </w:rPr>
        <w:t>81–90.</w:t>
      </w:r>
    </w:p>
    <w:p w14:paraId="76F9BFD2" w14:textId="77777777" w:rsidR="00AE0598" w:rsidRDefault="0069255A">
      <w:pPr>
        <w:spacing w:before="1"/>
        <w:ind w:left="110"/>
        <w:rPr>
          <w:sz w:val="17"/>
        </w:rPr>
      </w:pPr>
      <w:r>
        <w:rPr>
          <w:color w:val="231F20"/>
          <w:sz w:val="17"/>
        </w:rPr>
        <w:t>Pealo,</w:t>
      </w:r>
      <w:r>
        <w:rPr>
          <w:color w:val="231F20"/>
          <w:spacing w:val="35"/>
          <w:sz w:val="17"/>
        </w:rPr>
        <w:t xml:space="preserve"> </w:t>
      </w:r>
      <w:r>
        <w:rPr>
          <w:color w:val="231F20"/>
          <w:sz w:val="17"/>
        </w:rPr>
        <w:t>W.</w:t>
      </w:r>
      <w:r>
        <w:rPr>
          <w:color w:val="231F20"/>
          <w:spacing w:val="35"/>
          <w:sz w:val="17"/>
        </w:rPr>
        <w:t xml:space="preserve"> </w:t>
      </w:r>
      <w:r>
        <w:rPr>
          <w:color w:val="231F20"/>
          <w:sz w:val="17"/>
        </w:rPr>
        <w:t>and</w:t>
      </w:r>
      <w:r>
        <w:rPr>
          <w:color w:val="231F20"/>
          <w:spacing w:val="35"/>
          <w:sz w:val="17"/>
        </w:rPr>
        <w:t xml:space="preserve"> </w:t>
      </w:r>
      <w:r>
        <w:rPr>
          <w:color w:val="231F20"/>
          <w:sz w:val="17"/>
        </w:rPr>
        <w:t>Redmond,</w:t>
      </w:r>
      <w:r>
        <w:rPr>
          <w:color w:val="231F20"/>
          <w:spacing w:val="36"/>
          <w:sz w:val="17"/>
        </w:rPr>
        <w:t xml:space="preserve"> </w:t>
      </w:r>
      <w:r>
        <w:rPr>
          <w:color w:val="231F20"/>
          <w:sz w:val="17"/>
        </w:rPr>
        <w:t>G.</w:t>
      </w:r>
      <w:r>
        <w:rPr>
          <w:color w:val="231F20"/>
          <w:spacing w:val="35"/>
          <w:sz w:val="17"/>
        </w:rPr>
        <w:t xml:space="preserve"> </w:t>
      </w:r>
      <w:r>
        <w:rPr>
          <w:color w:val="231F20"/>
          <w:sz w:val="17"/>
        </w:rPr>
        <w:t>(1999)</w:t>
      </w:r>
      <w:r>
        <w:rPr>
          <w:color w:val="231F20"/>
          <w:spacing w:val="35"/>
          <w:sz w:val="17"/>
        </w:rPr>
        <w:t xml:space="preserve"> </w:t>
      </w:r>
      <w:r>
        <w:rPr>
          <w:color w:val="231F20"/>
          <w:sz w:val="17"/>
        </w:rPr>
        <w:t>Sport</w:t>
      </w:r>
      <w:r>
        <w:rPr>
          <w:color w:val="231F20"/>
          <w:spacing w:val="36"/>
          <w:sz w:val="17"/>
        </w:rPr>
        <w:t xml:space="preserve"> </w:t>
      </w:r>
      <w:r>
        <w:rPr>
          <w:color w:val="231F20"/>
          <w:sz w:val="17"/>
        </w:rPr>
        <w:t>tourism:</w:t>
      </w:r>
      <w:r>
        <w:rPr>
          <w:color w:val="231F20"/>
          <w:spacing w:val="35"/>
          <w:sz w:val="17"/>
        </w:rPr>
        <w:t xml:space="preserve"> </w:t>
      </w:r>
      <w:r>
        <w:rPr>
          <w:color w:val="231F20"/>
          <w:sz w:val="17"/>
        </w:rPr>
        <w:t>Moving</w:t>
      </w:r>
      <w:r>
        <w:rPr>
          <w:color w:val="231F20"/>
          <w:spacing w:val="35"/>
          <w:sz w:val="17"/>
        </w:rPr>
        <w:t xml:space="preserve"> </w:t>
      </w:r>
      <w:r>
        <w:rPr>
          <w:color w:val="231F20"/>
          <w:sz w:val="17"/>
        </w:rPr>
        <w:t>into</w:t>
      </w:r>
      <w:r>
        <w:rPr>
          <w:color w:val="231F20"/>
          <w:spacing w:val="35"/>
          <w:sz w:val="17"/>
        </w:rPr>
        <w:t xml:space="preserve"> </w:t>
      </w:r>
      <w:r>
        <w:rPr>
          <w:color w:val="231F20"/>
          <w:sz w:val="17"/>
        </w:rPr>
        <w:t>the</w:t>
      </w:r>
      <w:r>
        <w:rPr>
          <w:color w:val="231F20"/>
          <w:spacing w:val="36"/>
          <w:sz w:val="17"/>
        </w:rPr>
        <w:t xml:space="preserve"> </w:t>
      </w:r>
      <w:r>
        <w:rPr>
          <w:color w:val="231F20"/>
          <w:sz w:val="17"/>
        </w:rPr>
        <w:t>new</w:t>
      </w:r>
      <w:r>
        <w:rPr>
          <w:color w:val="231F20"/>
          <w:spacing w:val="35"/>
          <w:sz w:val="17"/>
        </w:rPr>
        <w:t xml:space="preserve"> </w:t>
      </w:r>
      <w:r>
        <w:rPr>
          <w:color w:val="231F20"/>
          <w:spacing w:val="-2"/>
          <w:sz w:val="17"/>
        </w:rPr>
        <w:t>millennium.</w:t>
      </w:r>
    </w:p>
    <w:p w14:paraId="6640CBFB" w14:textId="77777777" w:rsidR="00AE0598" w:rsidRDefault="0069255A">
      <w:pPr>
        <w:ind w:left="430"/>
        <w:rPr>
          <w:sz w:val="17"/>
        </w:rPr>
      </w:pPr>
      <w:r>
        <w:rPr>
          <w:i/>
          <w:color w:val="231F20"/>
          <w:sz w:val="17"/>
        </w:rPr>
        <w:t>Recreation</w:t>
      </w:r>
      <w:r>
        <w:rPr>
          <w:i/>
          <w:color w:val="231F20"/>
          <w:spacing w:val="7"/>
          <w:sz w:val="17"/>
        </w:rPr>
        <w:t xml:space="preserve"> </w:t>
      </w:r>
      <w:r>
        <w:rPr>
          <w:i/>
          <w:color w:val="231F20"/>
          <w:sz w:val="17"/>
        </w:rPr>
        <w:t>and</w:t>
      </w:r>
      <w:r>
        <w:rPr>
          <w:i/>
          <w:color w:val="231F20"/>
          <w:spacing w:val="7"/>
          <w:sz w:val="17"/>
        </w:rPr>
        <w:t xml:space="preserve"> </w:t>
      </w:r>
      <w:r>
        <w:rPr>
          <w:i/>
          <w:color w:val="231F20"/>
          <w:sz w:val="17"/>
        </w:rPr>
        <w:t>Parks</w:t>
      </w:r>
      <w:r>
        <w:rPr>
          <w:i/>
          <w:color w:val="231F20"/>
          <w:spacing w:val="8"/>
          <w:sz w:val="17"/>
        </w:rPr>
        <w:t xml:space="preserve"> </w:t>
      </w:r>
      <w:r>
        <w:rPr>
          <w:i/>
          <w:color w:val="231F20"/>
          <w:sz w:val="17"/>
        </w:rPr>
        <w:t>BC</w:t>
      </w:r>
      <w:r>
        <w:rPr>
          <w:i/>
          <w:color w:val="231F20"/>
          <w:spacing w:val="7"/>
          <w:sz w:val="17"/>
        </w:rPr>
        <w:t xml:space="preserve"> </w:t>
      </w:r>
      <w:r>
        <w:rPr>
          <w:color w:val="231F20"/>
          <w:sz w:val="17"/>
        </w:rPr>
        <w:t>Spring,</w:t>
      </w:r>
      <w:r>
        <w:rPr>
          <w:color w:val="231F20"/>
          <w:spacing w:val="7"/>
          <w:sz w:val="17"/>
        </w:rPr>
        <w:t xml:space="preserve"> </w:t>
      </w:r>
      <w:r>
        <w:rPr>
          <w:color w:val="231F20"/>
          <w:spacing w:val="-2"/>
          <w:sz w:val="17"/>
        </w:rPr>
        <w:t>22–24.</w:t>
      </w:r>
    </w:p>
    <w:p w14:paraId="5EDE3D37" w14:textId="77777777" w:rsidR="00AE0598" w:rsidRDefault="0069255A">
      <w:pPr>
        <w:spacing w:before="1"/>
        <w:ind w:left="430" w:hanging="320"/>
        <w:rPr>
          <w:sz w:val="17"/>
        </w:rPr>
      </w:pPr>
      <w:r>
        <w:rPr>
          <w:color w:val="231F20"/>
          <w:sz w:val="17"/>
        </w:rPr>
        <w:t xml:space="preserve">Pearce, D.G. (1987) </w:t>
      </w:r>
      <w:r>
        <w:rPr>
          <w:i/>
          <w:color w:val="231F20"/>
          <w:sz w:val="17"/>
        </w:rPr>
        <w:t>Tourism Today: A Geographical Analysis</w:t>
      </w:r>
      <w:r>
        <w:rPr>
          <w:color w:val="231F20"/>
          <w:sz w:val="17"/>
        </w:rPr>
        <w:t>. Harlow: Longman Scientific</w:t>
      </w:r>
      <w:r>
        <w:rPr>
          <w:color w:val="231F20"/>
          <w:spacing w:val="40"/>
          <w:sz w:val="17"/>
        </w:rPr>
        <w:t xml:space="preserve"> </w:t>
      </w:r>
      <w:r>
        <w:rPr>
          <w:color w:val="231F20"/>
          <w:sz w:val="17"/>
        </w:rPr>
        <w:t>and Technical.</w:t>
      </w:r>
    </w:p>
    <w:p w14:paraId="0EDF4971" w14:textId="77777777" w:rsidR="00AE0598" w:rsidRDefault="0069255A">
      <w:pPr>
        <w:spacing w:before="1"/>
        <w:ind w:left="430" w:hanging="320"/>
        <w:rPr>
          <w:sz w:val="17"/>
        </w:rPr>
      </w:pPr>
      <w:r>
        <w:rPr>
          <w:color w:val="231F20"/>
          <w:sz w:val="17"/>
        </w:rPr>
        <w:t>Pearce,</w:t>
      </w:r>
      <w:r>
        <w:rPr>
          <w:color w:val="231F20"/>
          <w:spacing w:val="29"/>
          <w:sz w:val="17"/>
        </w:rPr>
        <w:t xml:space="preserve"> </w:t>
      </w:r>
      <w:r>
        <w:rPr>
          <w:color w:val="231F20"/>
          <w:sz w:val="17"/>
        </w:rPr>
        <w:t>D.G.</w:t>
      </w:r>
      <w:r>
        <w:rPr>
          <w:color w:val="231F20"/>
          <w:spacing w:val="29"/>
          <w:sz w:val="17"/>
        </w:rPr>
        <w:t xml:space="preserve"> </w:t>
      </w:r>
      <w:r>
        <w:rPr>
          <w:color w:val="231F20"/>
          <w:sz w:val="17"/>
        </w:rPr>
        <w:t>(1989)</w:t>
      </w:r>
      <w:r>
        <w:rPr>
          <w:color w:val="231F20"/>
          <w:spacing w:val="29"/>
          <w:sz w:val="17"/>
        </w:rPr>
        <w:t xml:space="preserve"> </w:t>
      </w:r>
      <w:r>
        <w:rPr>
          <w:i/>
          <w:color w:val="231F20"/>
          <w:sz w:val="17"/>
        </w:rPr>
        <w:t>Tourism</w:t>
      </w:r>
      <w:r>
        <w:rPr>
          <w:i/>
          <w:color w:val="231F20"/>
          <w:spacing w:val="30"/>
          <w:sz w:val="17"/>
        </w:rPr>
        <w:t xml:space="preserve"> </w:t>
      </w:r>
      <w:r>
        <w:rPr>
          <w:i/>
          <w:color w:val="231F20"/>
          <w:sz w:val="17"/>
        </w:rPr>
        <w:t>Development</w:t>
      </w:r>
      <w:r>
        <w:rPr>
          <w:i/>
          <w:color w:val="231F20"/>
          <w:spacing w:val="29"/>
          <w:sz w:val="17"/>
        </w:rPr>
        <w:t xml:space="preserve"> </w:t>
      </w:r>
      <w:r>
        <w:rPr>
          <w:color w:val="231F20"/>
          <w:sz w:val="17"/>
        </w:rPr>
        <w:t>(2nd</w:t>
      </w:r>
      <w:r>
        <w:rPr>
          <w:color w:val="231F20"/>
          <w:spacing w:val="29"/>
          <w:sz w:val="17"/>
        </w:rPr>
        <w:t xml:space="preserve"> </w:t>
      </w:r>
      <w:r>
        <w:rPr>
          <w:color w:val="231F20"/>
          <w:sz w:val="17"/>
        </w:rPr>
        <w:t>edn).</w:t>
      </w:r>
      <w:r>
        <w:rPr>
          <w:color w:val="231F20"/>
          <w:spacing w:val="30"/>
          <w:sz w:val="17"/>
        </w:rPr>
        <w:t xml:space="preserve"> </w:t>
      </w:r>
      <w:r>
        <w:rPr>
          <w:color w:val="231F20"/>
          <w:sz w:val="17"/>
        </w:rPr>
        <w:t>Harlow:</w:t>
      </w:r>
      <w:r>
        <w:rPr>
          <w:color w:val="231F20"/>
          <w:spacing w:val="30"/>
          <w:sz w:val="17"/>
        </w:rPr>
        <w:t xml:space="preserve"> </w:t>
      </w:r>
      <w:r>
        <w:rPr>
          <w:color w:val="231F20"/>
          <w:sz w:val="17"/>
        </w:rPr>
        <w:t>Longman</w:t>
      </w:r>
      <w:r>
        <w:rPr>
          <w:color w:val="231F20"/>
          <w:spacing w:val="30"/>
          <w:sz w:val="17"/>
        </w:rPr>
        <w:t xml:space="preserve"> </w:t>
      </w:r>
      <w:r>
        <w:rPr>
          <w:color w:val="231F20"/>
          <w:sz w:val="17"/>
        </w:rPr>
        <w:t>Scientific</w:t>
      </w:r>
      <w:r>
        <w:rPr>
          <w:color w:val="231F20"/>
          <w:spacing w:val="29"/>
          <w:sz w:val="17"/>
        </w:rPr>
        <w:t xml:space="preserve"> </w:t>
      </w:r>
      <w:r>
        <w:rPr>
          <w:color w:val="231F20"/>
          <w:sz w:val="17"/>
        </w:rPr>
        <w:t>and</w:t>
      </w:r>
      <w:r>
        <w:rPr>
          <w:color w:val="231F20"/>
          <w:spacing w:val="40"/>
          <w:sz w:val="17"/>
        </w:rPr>
        <w:t xml:space="preserve"> </w:t>
      </w:r>
      <w:r>
        <w:rPr>
          <w:color w:val="231F20"/>
          <w:spacing w:val="-2"/>
          <w:sz w:val="17"/>
        </w:rPr>
        <w:t>Technical.</w:t>
      </w:r>
    </w:p>
    <w:p w14:paraId="27111B17" w14:textId="77777777" w:rsidR="00AE0598" w:rsidRDefault="0069255A">
      <w:pPr>
        <w:spacing w:before="2"/>
        <w:ind w:left="110"/>
        <w:rPr>
          <w:sz w:val="17"/>
        </w:rPr>
      </w:pPr>
      <w:r>
        <w:rPr>
          <w:color w:val="231F20"/>
          <w:sz w:val="17"/>
        </w:rPr>
        <w:t>Pearce,</w:t>
      </w:r>
      <w:r>
        <w:rPr>
          <w:color w:val="231F20"/>
          <w:spacing w:val="2"/>
          <w:sz w:val="17"/>
        </w:rPr>
        <w:t xml:space="preserve"> </w:t>
      </w:r>
      <w:r>
        <w:rPr>
          <w:color w:val="231F20"/>
          <w:sz w:val="17"/>
        </w:rPr>
        <w:t>D.G.</w:t>
      </w:r>
      <w:r>
        <w:rPr>
          <w:color w:val="231F20"/>
          <w:spacing w:val="2"/>
          <w:sz w:val="17"/>
        </w:rPr>
        <w:t xml:space="preserve"> </w:t>
      </w:r>
      <w:r>
        <w:rPr>
          <w:color w:val="231F20"/>
          <w:sz w:val="17"/>
        </w:rPr>
        <w:t>and</w:t>
      </w:r>
      <w:r>
        <w:rPr>
          <w:color w:val="231F20"/>
          <w:spacing w:val="1"/>
          <w:sz w:val="17"/>
        </w:rPr>
        <w:t xml:space="preserve"> </w:t>
      </w:r>
      <w:r>
        <w:rPr>
          <w:color w:val="231F20"/>
          <w:sz w:val="17"/>
        </w:rPr>
        <w:t>Butler,</w:t>
      </w:r>
      <w:r>
        <w:rPr>
          <w:color w:val="231F20"/>
          <w:spacing w:val="2"/>
          <w:sz w:val="17"/>
        </w:rPr>
        <w:t xml:space="preserve"> </w:t>
      </w:r>
      <w:r>
        <w:rPr>
          <w:color w:val="231F20"/>
          <w:sz w:val="17"/>
        </w:rPr>
        <w:t>R.W.</w:t>
      </w:r>
      <w:r>
        <w:rPr>
          <w:color w:val="231F20"/>
          <w:spacing w:val="2"/>
          <w:sz w:val="17"/>
        </w:rPr>
        <w:t xml:space="preserve"> </w:t>
      </w:r>
      <w:r>
        <w:rPr>
          <w:color w:val="231F20"/>
          <w:sz w:val="17"/>
        </w:rPr>
        <w:t>(eds)</w:t>
      </w:r>
      <w:r>
        <w:rPr>
          <w:color w:val="231F20"/>
          <w:spacing w:val="2"/>
          <w:sz w:val="17"/>
        </w:rPr>
        <w:t xml:space="preserve"> </w:t>
      </w:r>
      <w:r>
        <w:rPr>
          <w:color w:val="231F20"/>
          <w:sz w:val="17"/>
        </w:rPr>
        <w:t>(1999)</w:t>
      </w:r>
      <w:r>
        <w:rPr>
          <w:color w:val="231F20"/>
          <w:spacing w:val="2"/>
          <w:sz w:val="17"/>
        </w:rPr>
        <w:t xml:space="preserve"> </w:t>
      </w:r>
      <w:r>
        <w:rPr>
          <w:i/>
          <w:color w:val="231F20"/>
          <w:sz w:val="17"/>
        </w:rPr>
        <w:t>Contemporary</w:t>
      </w:r>
      <w:r>
        <w:rPr>
          <w:i/>
          <w:color w:val="231F20"/>
          <w:spacing w:val="2"/>
          <w:sz w:val="17"/>
        </w:rPr>
        <w:t xml:space="preserve"> </w:t>
      </w:r>
      <w:r>
        <w:rPr>
          <w:i/>
          <w:color w:val="231F20"/>
          <w:sz w:val="17"/>
        </w:rPr>
        <w:t>Issues</w:t>
      </w:r>
      <w:r>
        <w:rPr>
          <w:i/>
          <w:color w:val="231F20"/>
          <w:spacing w:val="2"/>
          <w:sz w:val="17"/>
        </w:rPr>
        <w:t xml:space="preserve"> </w:t>
      </w:r>
      <w:r>
        <w:rPr>
          <w:i/>
          <w:color w:val="231F20"/>
          <w:sz w:val="17"/>
        </w:rPr>
        <w:t>in</w:t>
      </w:r>
      <w:r>
        <w:rPr>
          <w:i/>
          <w:color w:val="231F20"/>
          <w:spacing w:val="2"/>
          <w:sz w:val="17"/>
        </w:rPr>
        <w:t xml:space="preserve"> </w:t>
      </w:r>
      <w:r>
        <w:rPr>
          <w:i/>
          <w:color w:val="231F20"/>
          <w:sz w:val="17"/>
        </w:rPr>
        <w:t>Tourism</w:t>
      </w:r>
      <w:r>
        <w:rPr>
          <w:i/>
          <w:color w:val="231F20"/>
          <w:spacing w:val="2"/>
          <w:sz w:val="17"/>
        </w:rPr>
        <w:t xml:space="preserve"> </w:t>
      </w:r>
      <w:r>
        <w:rPr>
          <w:i/>
          <w:color w:val="231F20"/>
          <w:spacing w:val="-2"/>
          <w:sz w:val="17"/>
        </w:rPr>
        <w:t>Development</w:t>
      </w:r>
      <w:r>
        <w:rPr>
          <w:color w:val="231F20"/>
          <w:spacing w:val="-2"/>
          <w:sz w:val="17"/>
        </w:rPr>
        <w:t>.</w:t>
      </w:r>
    </w:p>
    <w:p w14:paraId="56490D2F" w14:textId="77777777" w:rsidR="00AE0598" w:rsidRDefault="0069255A">
      <w:pPr>
        <w:spacing w:before="1"/>
        <w:ind w:left="430"/>
        <w:rPr>
          <w:sz w:val="17"/>
        </w:rPr>
      </w:pPr>
      <w:r>
        <w:rPr>
          <w:color w:val="231F20"/>
          <w:sz w:val="17"/>
        </w:rPr>
        <w:t>London:</w:t>
      </w:r>
      <w:r>
        <w:rPr>
          <w:color w:val="231F20"/>
          <w:spacing w:val="3"/>
          <w:sz w:val="17"/>
        </w:rPr>
        <w:t xml:space="preserve"> </w:t>
      </w:r>
      <w:r>
        <w:rPr>
          <w:color w:val="231F20"/>
          <w:spacing w:val="-2"/>
          <w:sz w:val="17"/>
        </w:rPr>
        <w:t>Routledge.</w:t>
      </w:r>
    </w:p>
    <w:p w14:paraId="4B8B9705" w14:textId="77777777" w:rsidR="00AE0598" w:rsidRDefault="0069255A">
      <w:pPr>
        <w:ind w:left="110"/>
        <w:rPr>
          <w:sz w:val="17"/>
        </w:rPr>
      </w:pPr>
      <w:r>
        <w:rPr>
          <w:color w:val="231F20"/>
          <w:sz w:val="17"/>
        </w:rPr>
        <w:t xml:space="preserve">Pearce, P. (1982) </w:t>
      </w:r>
      <w:r>
        <w:rPr>
          <w:i/>
          <w:color w:val="231F20"/>
          <w:sz w:val="17"/>
        </w:rPr>
        <w:t>The Social Psychology of Tourist Behaviour</w:t>
      </w:r>
      <w:r>
        <w:rPr>
          <w:color w:val="231F20"/>
          <w:sz w:val="17"/>
        </w:rPr>
        <w:t>. Oxford: Pergamom Press.</w:t>
      </w:r>
      <w:r>
        <w:rPr>
          <w:color w:val="231F20"/>
          <w:spacing w:val="40"/>
          <w:sz w:val="17"/>
        </w:rPr>
        <w:t xml:space="preserve"> </w:t>
      </w:r>
      <w:r>
        <w:rPr>
          <w:color w:val="231F20"/>
          <w:sz w:val="17"/>
        </w:rPr>
        <w:t>Pearce,</w:t>
      </w:r>
      <w:r>
        <w:rPr>
          <w:color w:val="231F20"/>
          <w:spacing w:val="21"/>
          <w:sz w:val="17"/>
        </w:rPr>
        <w:t xml:space="preserve"> </w:t>
      </w:r>
      <w:r>
        <w:rPr>
          <w:color w:val="231F20"/>
          <w:sz w:val="17"/>
        </w:rPr>
        <w:t>P.</w:t>
      </w:r>
      <w:r>
        <w:rPr>
          <w:color w:val="231F20"/>
          <w:spacing w:val="21"/>
          <w:sz w:val="17"/>
        </w:rPr>
        <w:t xml:space="preserve"> </w:t>
      </w:r>
      <w:r>
        <w:rPr>
          <w:color w:val="231F20"/>
          <w:sz w:val="17"/>
        </w:rPr>
        <w:t>(1988)</w:t>
      </w:r>
      <w:r>
        <w:rPr>
          <w:color w:val="231F20"/>
          <w:spacing w:val="21"/>
          <w:sz w:val="17"/>
        </w:rPr>
        <w:t xml:space="preserve"> </w:t>
      </w:r>
      <w:r>
        <w:rPr>
          <w:i/>
          <w:color w:val="231F20"/>
          <w:sz w:val="17"/>
        </w:rPr>
        <w:t>The</w:t>
      </w:r>
      <w:r>
        <w:rPr>
          <w:i/>
          <w:color w:val="231F20"/>
          <w:spacing w:val="21"/>
          <w:sz w:val="17"/>
        </w:rPr>
        <w:t xml:space="preserve"> </w:t>
      </w:r>
      <w:r>
        <w:rPr>
          <w:i/>
          <w:color w:val="231F20"/>
          <w:sz w:val="17"/>
        </w:rPr>
        <w:t>Ulysses</w:t>
      </w:r>
      <w:r>
        <w:rPr>
          <w:i/>
          <w:color w:val="231F20"/>
          <w:spacing w:val="21"/>
          <w:sz w:val="17"/>
        </w:rPr>
        <w:t xml:space="preserve"> </w:t>
      </w:r>
      <w:r>
        <w:rPr>
          <w:i/>
          <w:color w:val="231F20"/>
          <w:sz w:val="17"/>
        </w:rPr>
        <w:t>Factor:</w:t>
      </w:r>
      <w:r>
        <w:rPr>
          <w:i/>
          <w:color w:val="231F20"/>
          <w:spacing w:val="21"/>
          <w:sz w:val="17"/>
        </w:rPr>
        <w:t xml:space="preserve"> </w:t>
      </w:r>
      <w:r>
        <w:rPr>
          <w:i/>
          <w:color w:val="231F20"/>
          <w:sz w:val="17"/>
        </w:rPr>
        <w:t>Evaluating</w:t>
      </w:r>
      <w:r>
        <w:rPr>
          <w:i/>
          <w:color w:val="231F20"/>
          <w:spacing w:val="21"/>
          <w:sz w:val="17"/>
        </w:rPr>
        <w:t xml:space="preserve"> </w:t>
      </w:r>
      <w:r>
        <w:rPr>
          <w:i/>
          <w:color w:val="231F20"/>
          <w:sz w:val="17"/>
        </w:rPr>
        <w:t>Visitors</w:t>
      </w:r>
      <w:r>
        <w:rPr>
          <w:i/>
          <w:color w:val="231F20"/>
          <w:spacing w:val="21"/>
          <w:sz w:val="17"/>
        </w:rPr>
        <w:t xml:space="preserve"> </w:t>
      </w:r>
      <w:r>
        <w:rPr>
          <w:i/>
          <w:color w:val="231F20"/>
          <w:sz w:val="17"/>
        </w:rPr>
        <w:t>in</w:t>
      </w:r>
      <w:r>
        <w:rPr>
          <w:i/>
          <w:color w:val="231F20"/>
          <w:spacing w:val="21"/>
          <w:sz w:val="17"/>
        </w:rPr>
        <w:t xml:space="preserve"> </w:t>
      </w:r>
      <w:r>
        <w:rPr>
          <w:i/>
          <w:color w:val="231F20"/>
          <w:sz w:val="17"/>
        </w:rPr>
        <w:t>Tourist</w:t>
      </w:r>
      <w:r>
        <w:rPr>
          <w:i/>
          <w:color w:val="231F20"/>
          <w:spacing w:val="21"/>
          <w:sz w:val="17"/>
        </w:rPr>
        <w:t xml:space="preserve"> </w:t>
      </w:r>
      <w:r>
        <w:rPr>
          <w:i/>
          <w:color w:val="231F20"/>
          <w:sz w:val="17"/>
        </w:rPr>
        <w:t>Settings</w:t>
      </w:r>
      <w:r>
        <w:rPr>
          <w:color w:val="231F20"/>
          <w:sz w:val="17"/>
        </w:rPr>
        <w:t>.</w:t>
      </w:r>
      <w:r>
        <w:rPr>
          <w:color w:val="231F20"/>
          <w:spacing w:val="21"/>
          <w:sz w:val="17"/>
        </w:rPr>
        <w:t xml:space="preserve"> </w:t>
      </w:r>
      <w:r>
        <w:rPr>
          <w:color w:val="231F20"/>
          <w:sz w:val="17"/>
        </w:rPr>
        <w:t>New</w:t>
      </w:r>
      <w:r>
        <w:rPr>
          <w:color w:val="231F20"/>
          <w:spacing w:val="21"/>
          <w:sz w:val="17"/>
        </w:rPr>
        <w:t xml:space="preserve"> </w:t>
      </w:r>
      <w:r>
        <w:rPr>
          <w:color w:val="231F20"/>
          <w:sz w:val="17"/>
        </w:rPr>
        <w:t>York:</w:t>
      </w:r>
    </w:p>
    <w:p w14:paraId="452D7794" w14:textId="77777777" w:rsidR="00AE0598" w:rsidRDefault="0069255A">
      <w:pPr>
        <w:spacing w:before="2"/>
        <w:ind w:left="430"/>
        <w:rPr>
          <w:sz w:val="17"/>
        </w:rPr>
      </w:pPr>
      <w:r>
        <w:rPr>
          <w:color w:val="231F20"/>
          <w:w w:val="90"/>
          <w:sz w:val="17"/>
        </w:rPr>
        <w:t>Springer-</w:t>
      </w:r>
      <w:r>
        <w:rPr>
          <w:color w:val="231F20"/>
          <w:spacing w:val="-2"/>
          <w:w w:val="95"/>
          <w:sz w:val="17"/>
        </w:rPr>
        <w:t>Verlag.</w:t>
      </w:r>
    </w:p>
    <w:p w14:paraId="7C513DA8" w14:textId="77777777" w:rsidR="00AE0598" w:rsidRDefault="0069255A">
      <w:pPr>
        <w:ind w:left="110"/>
        <w:rPr>
          <w:i/>
          <w:sz w:val="17"/>
        </w:rPr>
      </w:pPr>
      <w:r>
        <w:rPr>
          <w:color w:val="231F20"/>
          <w:sz w:val="17"/>
        </w:rPr>
        <w:t>Persson,</w:t>
      </w:r>
      <w:r>
        <w:rPr>
          <w:color w:val="231F20"/>
          <w:spacing w:val="-1"/>
          <w:sz w:val="17"/>
        </w:rPr>
        <w:t xml:space="preserve"> </w:t>
      </w:r>
      <w:r>
        <w:rPr>
          <w:color w:val="231F20"/>
          <w:sz w:val="17"/>
        </w:rPr>
        <w:t>C.</w:t>
      </w:r>
      <w:r>
        <w:rPr>
          <w:color w:val="231F20"/>
          <w:spacing w:val="-1"/>
          <w:sz w:val="17"/>
        </w:rPr>
        <w:t xml:space="preserve"> </w:t>
      </w:r>
      <w:r>
        <w:rPr>
          <w:color w:val="231F20"/>
          <w:sz w:val="17"/>
        </w:rPr>
        <w:t>(2002)</w:t>
      </w:r>
      <w:r>
        <w:rPr>
          <w:color w:val="231F20"/>
          <w:spacing w:val="-1"/>
          <w:sz w:val="17"/>
        </w:rPr>
        <w:t xml:space="preserve"> </w:t>
      </w:r>
      <w:r>
        <w:rPr>
          <w:color w:val="231F20"/>
          <w:sz w:val="17"/>
        </w:rPr>
        <w:t>The</w:t>
      </w:r>
      <w:r>
        <w:rPr>
          <w:color w:val="231F20"/>
          <w:spacing w:val="-1"/>
          <w:sz w:val="17"/>
        </w:rPr>
        <w:t xml:space="preserve"> </w:t>
      </w:r>
      <w:r>
        <w:rPr>
          <w:color w:val="231F20"/>
          <w:sz w:val="17"/>
        </w:rPr>
        <w:t>Olympic</w:t>
      </w:r>
      <w:r>
        <w:rPr>
          <w:color w:val="231F20"/>
          <w:spacing w:val="-1"/>
          <w:sz w:val="17"/>
        </w:rPr>
        <w:t xml:space="preserve"> </w:t>
      </w:r>
      <w:r>
        <w:rPr>
          <w:color w:val="231F20"/>
          <w:sz w:val="17"/>
        </w:rPr>
        <w:t>Games</w:t>
      </w:r>
      <w:r>
        <w:rPr>
          <w:color w:val="231F20"/>
          <w:spacing w:val="-1"/>
          <w:sz w:val="17"/>
        </w:rPr>
        <w:t xml:space="preserve"> </w:t>
      </w:r>
      <w:r>
        <w:rPr>
          <w:color w:val="231F20"/>
          <w:sz w:val="17"/>
        </w:rPr>
        <w:t>site</w:t>
      </w:r>
      <w:r>
        <w:rPr>
          <w:color w:val="231F20"/>
          <w:spacing w:val="-1"/>
          <w:sz w:val="17"/>
        </w:rPr>
        <w:t xml:space="preserve"> </w:t>
      </w:r>
      <w:r>
        <w:rPr>
          <w:color w:val="231F20"/>
          <w:sz w:val="17"/>
        </w:rPr>
        <w:t>decision.</w:t>
      </w:r>
      <w:r>
        <w:rPr>
          <w:color w:val="231F20"/>
          <w:spacing w:val="-1"/>
          <w:sz w:val="17"/>
        </w:rPr>
        <w:t xml:space="preserve"> </w:t>
      </w:r>
      <w:r>
        <w:rPr>
          <w:i/>
          <w:color w:val="231F20"/>
          <w:sz w:val="17"/>
        </w:rPr>
        <w:t>Tourism</w:t>
      </w:r>
      <w:r>
        <w:rPr>
          <w:i/>
          <w:color w:val="231F20"/>
          <w:spacing w:val="-1"/>
          <w:sz w:val="17"/>
        </w:rPr>
        <w:t xml:space="preserve"> </w:t>
      </w:r>
      <w:r>
        <w:rPr>
          <w:i/>
          <w:color w:val="231F20"/>
          <w:sz w:val="17"/>
        </w:rPr>
        <w:t>Management</w:t>
      </w:r>
      <w:r>
        <w:rPr>
          <w:i/>
          <w:color w:val="231F20"/>
          <w:spacing w:val="-1"/>
          <w:sz w:val="17"/>
        </w:rPr>
        <w:t xml:space="preserve"> </w:t>
      </w:r>
      <w:r>
        <w:rPr>
          <w:color w:val="231F20"/>
          <w:sz w:val="17"/>
        </w:rPr>
        <w:t>23</w:t>
      </w:r>
      <w:r>
        <w:rPr>
          <w:color w:val="231F20"/>
          <w:spacing w:val="-1"/>
          <w:sz w:val="17"/>
        </w:rPr>
        <w:t xml:space="preserve"> </w:t>
      </w:r>
      <w:r>
        <w:rPr>
          <w:color w:val="231F20"/>
          <w:sz w:val="17"/>
        </w:rPr>
        <w:t>(1),</w:t>
      </w:r>
      <w:r>
        <w:rPr>
          <w:color w:val="231F20"/>
          <w:spacing w:val="-1"/>
          <w:sz w:val="17"/>
        </w:rPr>
        <w:t xml:space="preserve"> </w:t>
      </w:r>
      <w:r>
        <w:rPr>
          <w:color w:val="231F20"/>
          <w:sz w:val="17"/>
        </w:rPr>
        <w:t>27–36.</w:t>
      </w:r>
      <w:r>
        <w:rPr>
          <w:color w:val="231F20"/>
          <w:spacing w:val="40"/>
          <w:sz w:val="17"/>
        </w:rPr>
        <w:t xml:space="preserve"> </w:t>
      </w:r>
      <w:r>
        <w:rPr>
          <w:color w:val="231F20"/>
          <w:w w:val="95"/>
          <w:sz w:val="17"/>
        </w:rPr>
        <w:t>Pesqueux,</w:t>
      </w:r>
      <w:r>
        <w:rPr>
          <w:color w:val="231F20"/>
          <w:spacing w:val="9"/>
          <w:sz w:val="17"/>
        </w:rPr>
        <w:t xml:space="preserve"> </w:t>
      </w:r>
      <w:r>
        <w:rPr>
          <w:color w:val="231F20"/>
          <w:w w:val="95"/>
          <w:sz w:val="17"/>
        </w:rPr>
        <w:t>Y.</w:t>
      </w:r>
      <w:r>
        <w:rPr>
          <w:color w:val="231F20"/>
          <w:spacing w:val="9"/>
          <w:sz w:val="17"/>
        </w:rPr>
        <w:t xml:space="preserve"> </w:t>
      </w:r>
      <w:r>
        <w:rPr>
          <w:color w:val="231F20"/>
          <w:w w:val="95"/>
          <w:sz w:val="17"/>
        </w:rPr>
        <w:t>(2009)</w:t>
      </w:r>
      <w:r>
        <w:rPr>
          <w:color w:val="231F20"/>
          <w:spacing w:val="9"/>
          <w:sz w:val="17"/>
        </w:rPr>
        <w:t xml:space="preserve"> </w:t>
      </w:r>
      <w:r>
        <w:rPr>
          <w:color w:val="231F20"/>
          <w:w w:val="95"/>
          <w:sz w:val="17"/>
        </w:rPr>
        <w:t>Sustainable</w:t>
      </w:r>
      <w:r>
        <w:rPr>
          <w:color w:val="231F20"/>
          <w:spacing w:val="9"/>
          <w:sz w:val="17"/>
        </w:rPr>
        <w:t xml:space="preserve"> </w:t>
      </w:r>
      <w:r>
        <w:rPr>
          <w:color w:val="231F20"/>
          <w:w w:val="95"/>
          <w:sz w:val="17"/>
        </w:rPr>
        <w:t>development:</w:t>
      </w:r>
      <w:r>
        <w:rPr>
          <w:color w:val="231F20"/>
          <w:spacing w:val="9"/>
          <w:sz w:val="17"/>
        </w:rPr>
        <w:t xml:space="preserve"> </w:t>
      </w:r>
      <w:r>
        <w:rPr>
          <w:color w:val="231F20"/>
          <w:w w:val="95"/>
          <w:sz w:val="17"/>
        </w:rPr>
        <w:t>A</w:t>
      </w:r>
      <w:r>
        <w:rPr>
          <w:color w:val="231F20"/>
          <w:spacing w:val="9"/>
          <w:sz w:val="17"/>
        </w:rPr>
        <w:t xml:space="preserve"> </w:t>
      </w:r>
      <w:r>
        <w:rPr>
          <w:color w:val="231F20"/>
          <w:w w:val="95"/>
          <w:sz w:val="17"/>
        </w:rPr>
        <w:t>vague</w:t>
      </w:r>
      <w:r>
        <w:rPr>
          <w:color w:val="231F20"/>
          <w:spacing w:val="9"/>
          <w:sz w:val="17"/>
        </w:rPr>
        <w:t xml:space="preserve"> </w:t>
      </w:r>
      <w:r>
        <w:rPr>
          <w:color w:val="231F20"/>
          <w:w w:val="95"/>
          <w:sz w:val="17"/>
        </w:rPr>
        <w:t>and</w:t>
      </w:r>
      <w:r>
        <w:rPr>
          <w:color w:val="231F20"/>
          <w:spacing w:val="9"/>
          <w:sz w:val="17"/>
        </w:rPr>
        <w:t xml:space="preserve"> </w:t>
      </w:r>
      <w:r>
        <w:rPr>
          <w:color w:val="231F20"/>
          <w:w w:val="95"/>
          <w:sz w:val="17"/>
        </w:rPr>
        <w:t>ambiguous</w:t>
      </w:r>
      <w:r>
        <w:rPr>
          <w:color w:val="231F20"/>
          <w:spacing w:val="9"/>
          <w:sz w:val="17"/>
        </w:rPr>
        <w:t xml:space="preserve"> </w:t>
      </w:r>
      <w:r>
        <w:rPr>
          <w:color w:val="231F20"/>
          <w:w w:val="95"/>
          <w:sz w:val="17"/>
        </w:rPr>
        <w:t>‘theory’.</w:t>
      </w:r>
      <w:r>
        <w:rPr>
          <w:color w:val="231F20"/>
          <w:spacing w:val="10"/>
          <w:sz w:val="17"/>
        </w:rPr>
        <w:t xml:space="preserve"> </w:t>
      </w:r>
      <w:r>
        <w:rPr>
          <w:i/>
          <w:color w:val="231F20"/>
          <w:w w:val="95"/>
          <w:sz w:val="17"/>
        </w:rPr>
        <w:t>Society</w:t>
      </w:r>
      <w:r>
        <w:rPr>
          <w:i/>
          <w:color w:val="231F20"/>
          <w:spacing w:val="9"/>
          <w:sz w:val="17"/>
        </w:rPr>
        <w:t xml:space="preserve"> </w:t>
      </w:r>
      <w:r>
        <w:rPr>
          <w:i/>
          <w:color w:val="231F20"/>
          <w:spacing w:val="-5"/>
          <w:w w:val="95"/>
          <w:sz w:val="17"/>
        </w:rPr>
        <w:t>and</w:t>
      </w:r>
    </w:p>
    <w:p w14:paraId="53B74E84" w14:textId="77777777" w:rsidR="00AE0598" w:rsidRDefault="0069255A">
      <w:pPr>
        <w:spacing w:before="2"/>
        <w:ind w:left="430"/>
        <w:rPr>
          <w:sz w:val="17"/>
        </w:rPr>
      </w:pPr>
      <w:r>
        <w:rPr>
          <w:i/>
          <w:color w:val="231F20"/>
          <w:sz w:val="17"/>
        </w:rPr>
        <w:t>Business</w:t>
      </w:r>
      <w:r>
        <w:rPr>
          <w:i/>
          <w:color w:val="231F20"/>
          <w:spacing w:val="18"/>
          <w:sz w:val="17"/>
        </w:rPr>
        <w:t xml:space="preserve"> </w:t>
      </w:r>
      <w:r>
        <w:rPr>
          <w:i/>
          <w:color w:val="231F20"/>
          <w:sz w:val="17"/>
        </w:rPr>
        <w:t>Review</w:t>
      </w:r>
      <w:r>
        <w:rPr>
          <w:i/>
          <w:color w:val="231F20"/>
          <w:spacing w:val="19"/>
          <w:sz w:val="17"/>
        </w:rPr>
        <w:t xml:space="preserve"> </w:t>
      </w:r>
      <w:r>
        <w:rPr>
          <w:color w:val="231F20"/>
          <w:sz w:val="17"/>
        </w:rPr>
        <w:t>4,</w:t>
      </w:r>
      <w:r>
        <w:rPr>
          <w:color w:val="231F20"/>
          <w:spacing w:val="19"/>
          <w:sz w:val="17"/>
        </w:rPr>
        <w:t xml:space="preserve"> </w:t>
      </w:r>
      <w:r>
        <w:rPr>
          <w:color w:val="231F20"/>
          <w:spacing w:val="-2"/>
          <w:sz w:val="17"/>
        </w:rPr>
        <w:t>231–245.</w:t>
      </w:r>
    </w:p>
    <w:p w14:paraId="3A4BFACA" w14:textId="77777777" w:rsidR="00AE0598" w:rsidRDefault="0069255A">
      <w:pPr>
        <w:ind w:left="110"/>
        <w:jc w:val="both"/>
        <w:rPr>
          <w:sz w:val="17"/>
        </w:rPr>
      </w:pPr>
      <w:r>
        <w:rPr>
          <w:color w:val="231F20"/>
          <w:w w:val="95"/>
          <w:sz w:val="17"/>
        </w:rPr>
        <w:t>Pett,</w:t>
      </w:r>
      <w:r>
        <w:rPr>
          <w:color w:val="231F20"/>
          <w:spacing w:val="13"/>
          <w:sz w:val="17"/>
        </w:rPr>
        <w:t xml:space="preserve"> </w:t>
      </w:r>
      <w:r>
        <w:rPr>
          <w:color w:val="231F20"/>
          <w:w w:val="95"/>
          <w:sz w:val="17"/>
        </w:rPr>
        <w:t>R.</w:t>
      </w:r>
      <w:r>
        <w:rPr>
          <w:color w:val="231F20"/>
          <w:spacing w:val="13"/>
          <w:sz w:val="17"/>
        </w:rPr>
        <w:t xml:space="preserve"> </w:t>
      </w:r>
      <w:r>
        <w:rPr>
          <w:color w:val="231F20"/>
          <w:w w:val="95"/>
          <w:sz w:val="17"/>
        </w:rPr>
        <w:t>(2000)</w:t>
      </w:r>
      <w:r>
        <w:rPr>
          <w:color w:val="231F20"/>
          <w:spacing w:val="13"/>
          <w:sz w:val="17"/>
        </w:rPr>
        <w:t xml:space="preserve"> </w:t>
      </w:r>
      <w:r>
        <w:rPr>
          <w:color w:val="231F20"/>
          <w:w w:val="95"/>
          <w:sz w:val="17"/>
        </w:rPr>
        <w:t>The</w:t>
      </w:r>
      <w:r>
        <w:rPr>
          <w:color w:val="231F20"/>
          <w:spacing w:val="14"/>
          <w:sz w:val="17"/>
        </w:rPr>
        <w:t xml:space="preserve"> </w:t>
      </w:r>
      <w:r>
        <w:rPr>
          <w:color w:val="231F20"/>
          <w:w w:val="95"/>
          <w:sz w:val="17"/>
        </w:rPr>
        <w:t>end</w:t>
      </w:r>
      <w:r>
        <w:rPr>
          <w:color w:val="231F20"/>
          <w:spacing w:val="13"/>
          <w:sz w:val="17"/>
        </w:rPr>
        <w:t xml:space="preserve"> </w:t>
      </w:r>
      <w:r>
        <w:rPr>
          <w:color w:val="231F20"/>
          <w:w w:val="95"/>
          <w:sz w:val="17"/>
        </w:rPr>
        <w:t>of</w:t>
      </w:r>
      <w:r>
        <w:rPr>
          <w:color w:val="231F20"/>
          <w:spacing w:val="13"/>
          <w:sz w:val="17"/>
        </w:rPr>
        <w:t xml:space="preserve"> </w:t>
      </w:r>
      <w:r>
        <w:rPr>
          <w:color w:val="231F20"/>
          <w:w w:val="95"/>
          <w:sz w:val="17"/>
        </w:rPr>
        <w:t>the</w:t>
      </w:r>
      <w:r>
        <w:rPr>
          <w:color w:val="231F20"/>
          <w:spacing w:val="14"/>
          <w:sz w:val="17"/>
        </w:rPr>
        <w:t xml:space="preserve"> </w:t>
      </w:r>
      <w:r>
        <w:rPr>
          <w:color w:val="231F20"/>
          <w:w w:val="95"/>
          <w:sz w:val="17"/>
        </w:rPr>
        <w:t>golden</w:t>
      </w:r>
      <w:r>
        <w:rPr>
          <w:color w:val="231F20"/>
          <w:spacing w:val="13"/>
          <w:sz w:val="17"/>
        </w:rPr>
        <w:t xml:space="preserve"> </w:t>
      </w:r>
      <w:r>
        <w:rPr>
          <w:color w:val="231F20"/>
          <w:w w:val="95"/>
          <w:sz w:val="17"/>
        </w:rPr>
        <w:t>weather.</w:t>
      </w:r>
      <w:r>
        <w:rPr>
          <w:color w:val="231F20"/>
          <w:spacing w:val="13"/>
          <w:sz w:val="17"/>
        </w:rPr>
        <w:t xml:space="preserve"> </w:t>
      </w:r>
      <w:r>
        <w:rPr>
          <w:color w:val="231F20"/>
          <w:w w:val="95"/>
          <w:sz w:val="17"/>
        </w:rPr>
        <w:t>Auckland</w:t>
      </w:r>
      <w:r>
        <w:rPr>
          <w:color w:val="231F20"/>
          <w:spacing w:val="13"/>
          <w:sz w:val="17"/>
        </w:rPr>
        <w:t xml:space="preserve"> </w:t>
      </w:r>
      <w:r>
        <w:rPr>
          <w:color w:val="231F20"/>
          <w:w w:val="95"/>
          <w:sz w:val="17"/>
        </w:rPr>
        <w:t>Today,</w:t>
      </w:r>
      <w:r>
        <w:rPr>
          <w:color w:val="231F20"/>
          <w:spacing w:val="14"/>
          <w:sz w:val="17"/>
        </w:rPr>
        <w:t xml:space="preserve"> </w:t>
      </w:r>
      <w:r>
        <w:rPr>
          <w:color w:val="231F20"/>
          <w:w w:val="95"/>
          <w:sz w:val="17"/>
        </w:rPr>
        <w:t>September,</w:t>
      </w:r>
      <w:r>
        <w:rPr>
          <w:color w:val="231F20"/>
          <w:spacing w:val="13"/>
          <w:sz w:val="17"/>
        </w:rPr>
        <w:t xml:space="preserve"> </w:t>
      </w:r>
      <w:r>
        <w:rPr>
          <w:color w:val="231F20"/>
          <w:spacing w:val="-5"/>
          <w:w w:val="95"/>
          <w:sz w:val="17"/>
        </w:rPr>
        <w:t>7.</w:t>
      </w:r>
    </w:p>
    <w:p w14:paraId="0FE0F340" w14:textId="77777777" w:rsidR="00AE0598" w:rsidRDefault="0069255A">
      <w:pPr>
        <w:spacing w:before="1"/>
        <w:ind w:left="430" w:right="128" w:hanging="320"/>
        <w:jc w:val="both"/>
        <w:rPr>
          <w:sz w:val="17"/>
        </w:rPr>
      </w:pPr>
      <w:r>
        <w:rPr>
          <w:color w:val="231F20"/>
          <w:sz w:val="17"/>
        </w:rPr>
        <w:t>Pettersson,</w:t>
      </w:r>
      <w:r>
        <w:rPr>
          <w:color w:val="231F20"/>
          <w:spacing w:val="-4"/>
          <w:sz w:val="17"/>
        </w:rPr>
        <w:t xml:space="preserve"> </w:t>
      </w:r>
      <w:r>
        <w:rPr>
          <w:color w:val="231F20"/>
          <w:sz w:val="17"/>
        </w:rPr>
        <w:t>R.</w:t>
      </w:r>
      <w:r>
        <w:rPr>
          <w:color w:val="231F20"/>
          <w:spacing w:val="-4"/>
          <w:sz w:val="17"/>
        </w:rPr>
        <w:t xml:space="preserve"> </w:t>
      </w:r>
      <w:r>
        <w:rPr>
          <w:color w:val="231F20"/>
          <w:sz w:val="17"/>
        </w:rPr>
        <w:t>and</w:t>
      </w:r>
      <w:r>
        <w:rPr>
          <w:color w:val="231F20"/>
          <w:spacing w:val="-4"/>
          <w:sz w:val="17"/>
        </w:rPr>
        <w:t xml:space="preserve"> </w:t>
      </w:r>
      <w:r>
        <w:rPr>
          <w:color w:val="231F20"/>
          <w:sz w:val="17"/>
        </w:rPr>
        <w:t>Getz,</w:t>
      </w:r>
      <w:r>
        <w:rPr>
          <w:color w:val="231F20"/>
          <w:spacing w:val="-4"/>
          <w:sz w:val="17"/>
        </w:rPr>
        <w:t xml:space="preserve"> </w:t>
      </w:r>
      <w:r>
        <w:rPr>
          <w:color w:val="231F20"/>
          <w:sz w:val="17"/>
        </w:rPr>
        <w:t>D.</w:t>
      </w:r>
      <w:r>
        <w:rPr>
          <w:color w:val="231F20"/>
          <w:spacing w:val="-4"/>
          <w:sz w:val="17"/>
        </w:rPr>
        <w:t xml:space="preserve"> </w:t>
      </w:r>
      <w:r>
        <w:rPr>
          <w:color w:val="231F20"/>
          <w:sz w:val="17"/>
        </w:rPr>
        <w:t>(2009)</w:t>
      </w:r>
      <w:r>
        <w:rPr>
          <w:color w:val="231F20"/>
          <w:spacing w:val="-4"/>
          <w:sz w:val="17"/>
        </w:rPr>
        <w:t xml:space="preserve"> </w:t>
      </w:r>
      <w:r>
        <w:rPr>
          <w:color w:val="231F20"/>
          <w:sz w:val="17"/>
        </w:rPr>
        <w:t>Event</w:t>
      </w:r>
      <w:r>
        <w:rPr>
          <w:color w:val="231F20"/>
          <w:spacing w:val="-4"/>
          <w:sz w:val="17"/>
        </w:rPr>
        <w:t xml:space="preserve"> </w:t>
      </w:r>
      <w:r>
        <w:rPr>
          <w:color w:val="231F20"/>
          <w:sz w:val="17"/>
        </w:rPr>
        <w:t>experiences</w:t>
      </w:r>
      <w:r>
        <w:rPr>
          <w:color w:val="231F20"/>
          <w:spacing w:val="-4"/>
          <w:sz w:val="17"/>
        </w:rPr>
        <w:t xml:space="preserve"> </w:t>
      </w:r>
      <w:r>
        <w:rPr>
          <w:color w:val="231F20"/>
          <w:sz w:val="17"/>
        </w:rPr>
        <w:t>in</w:t>
      </w:r>
      <w:r>
        <w:rPr>
          <w:color w:val="231F20"/>
          <w:spacing w:val="-4"/>
          <w:sz w:val="17"/>
        </w:rPr>
        <w:t xml:space="preserve"> </w:t>
      </w:r>
      <w:r>
        <w:rPr>
          <w:color w:val="231F20"/>
          <w:sz w:val="17"/>
        </w:rPr>
        <w:t>time</w:t>
      </w:r>
      <w:r>
        <w:rPr>
          <w:color w:val="231F20"/>
          <w:spacing w:val="-4"/>
          <w:sz w:val="17"/>
        </w:rPr>
        <w:t xml:space="preserve"> </w:t>
      </w:r>
      <w:r>
        <w:rPr>
          <w:color w:val="231F20"/>
          <w:sz w:val="17"/>
        </w:rPr>
        <w:t>and</w:t>
      </w:r>
      <w:r>
        <w:rPr>
          <w:color w:val="231F20"/>
          <w:spacing w:val="-4"/>
          <w:sz w:val="17"/>
        </w:rPr>
        <w:t xml:space="preserve"> </w:t>
      </w:r>
      <w:r>
        <w:rPr>
          <w:color w:val="231F20"/>
          <w:sz w:val="17"/>
        </w:rPr>
        <w:t>space:</w:t>
      </w:r>
      <w:r>
        <w:rPr>
          <w:color w:val="231F20"/>
          <w:spacing w:val="-4"/>
          <w:sz w:val="17"/>
        </w:rPr>
        <w:t xml:space="preserve"> </w:t>
      </w:r>
      <w:r>
        <w:rPr>
          <w:color w:val="231F20"/>
          <w:sz w:val="17"/>
        </w:rPr>
        <w:t>A</w:t>
      </w:r>
      <w:r>
        <w:rPr>
          <w:color w:val="231F20"/>
          <w:spacing w:val="-4"/>
          <w:sz w:val="17"/>
        </w:rPr>
        <w:t xml:space="preserve"> </w:t>
      </w:r>
      <w:r>
        <w:rPr>
          <w:color w:val="231F20"/>
          <w:sz w:val="17"/>
        </w:rPr>
        <w:t>study</w:t>
      </w:r>
      <w:r>
        <w:rPr>
          <w:color w:val="231F20"/>
          <w:spacing w:val="-4"/>
          <w:sz w:val="17"/>
        </w:rPr>
        <w:t xml:space="preserve"> </w:t>
      </w:r>
      <w:r>
        <w:rPr>
          <w:color w:val="231F20"/>
          <w:sz w:val="17"/>
        </w:rPr>
        <w:t>of</w:t>
      </w:r>
      <w:r>
        <w:rPr>
          <w:color w:val="231F20"/>
          <w:spacing w:val="-4"/>
          <w:sz w:val="17"/>
        </w:rPr>
        <w:t xml:space="preserve"> </w:t>
      </w:r>
      <w:r>
        <w:rPr>
          <w:color w:val="231F20"/>
          <w:sz w:val="17"/>
        </w:rPr>
        <w:t>visitors</w:t>
      </w:r>
      <w:r>
        <w:rPr>
          <w:color w:val="231F20"/>
          <w:spacing w:val="40"/>
          <w:sz w:val="17"/>
        </w:rPr>
        <w:t xml:space="preserve"> </w:t>
      </w:r>
      <w:r>
        <w:rPr>
          <w:color w:val="231F20"/>
          <w:sz w:val="17"/>
        </w:rPr>
        <w:t>to</w:t>
      </w:r>
      <w:r>
        <w:rPr>
          <w:color w:val="231F20"/>
          <w:spacing w:val="-3"/>
          <w:sz w:val="17"/>
        </w:rPr>
        <w:t xml:space="preserve"> </w:t>
      </w:r>
      <w:r>
        <w:rPr>
          <w:color w:val="231F20"/>
          <w:sz w:val="17"/>
        </w:rPr>
        <w:t>the</w:t>
      </w:r>
      <w:r>
        <w:rPr>
          <w:color w:val="231F20"/>
          <w:spacing w:val="-3"/>
          <w:sz w:val="17"/>
        </w:rPr>
        <w:t xml:space="preserve"> </w:t>
      </w:r>
      <w:r>
        <w:rPr>
          <w:color w:val="231F20"/>
          <w:sz w:val="17"/>
        </w:rPr>
        <w:t>2007</w:t>
      </w:r>
      <w:r>
        <w:rPr>
          <w:color w:val="231F20"/>
          <w:spacing w:val="-3"/>
          <w:sz w:val="17"/>
        </w:rPr>
        <w:t xml:space="preserve"> </w:t>
      </w:r>
      <w:r>
        <w:rPr>
          <w:color w:val="231F20"/>
          <w:sz w:val="17"/>
        </w:rPr>
        <w:t>World</w:t>
      </w:r>
      <w:r>
        <w:rPr>
          <w:color w:val="231F20"/>
          <w:spacing w:val="-3"/>
          <w:sz w:val="17"/>
        </w:rPr>
        <w:t xml:space="preserve"> </w:t>
      </w:r>
      <w:r>
        <w:rPr>
          <w:color w:val="231F20"/>
          <w:sz w:val="17"/>
        </w:rPr>
        <w:t>Alpine</w:t>
      </w:r>
      <w:r>
        <w:rPr>
          <w:color w:val="231F20"/>
          <w:spacing w:val="-3"/>
          <w:sz w:val="17"/>
        </w:rPr>
        <w:t xml:space="preserve"> </w:t>
      </w:r>
      <w:r>
        <w:rPr>
          <w:color w:val="231F20"/>
          <w:sz w:val="17"/>
        </w:rPr>
        <w:t>Ski</w:t>
      </w:r>
      <w:r>
        <w:rPr>
          <w:color w:val="231F20"/>
          <w:spacing w:val="-3"/>
          <w:sz w:val="17"/>
        </w:rPr>
        <w:t xml:space="preserve"> </w:t>
      </w:r>
      <w:r>
        <w:rPr>
          <w:color w:val="231F20"/>
          <w:sz w:val="17"/>
        </w:rPr>
        <w:t>Championships</w:t>
      </w:r>
      <w:r>
        <w:rPr>
          <w:color w:val="231F20"/>
          <w:spacing w:val="-3"/>
          <w:sz w:val="17"/>
        </w:rPr>
        <w:t xml:space="preserve"> </w:t>
      </w:r>
      <w:r>
        <w:rPr>
          <w:color w:val="231F20"/>
          <w:sz w:val="17"/>
        </w:rPr>
        <w:t>in</w:t>
      </w:r>
      <w:r>
        <w:rPr>
          <w:color w:val="231F20"/>
          <w:spacing w:val="-3"/>
          <w:sz w:val="17"/>
        </w:rPr>
        <w:t xml:space="preserve"> </w:t>
      </w:r>
      <w:r>
        <w:rPr>
          <w:color w:val="231F20"/>
          <w:sz w:val="17"/>
        </w:rPr>
        <w:t>Åre,</w:t>
      </w:r>
      <w:r>
        <w:rPr>
          <w:color w:val="231F20"/>
          <w:spacing w:val="-3"/>
          <w:sz w:val="17"/>
        </w:rPr>
        <w:t xml:space="preserve"> </w:t>
      </w:r>
      <w:r>
        <w:rPr>
          <w:color w:val="231F20"/>
          <w:sz w:val="17"/>
        </w:rPr>
        <w:t>Sweden.</w:t>
      </w:r>
      <w:r>
        <w:rPr>
          <w:color w:val="231F20"/>
          <w:spacing w:val="-3"/>
          <w:sz w:val="17"/>
        </w:rPr>
        <w:t xml:space="preserve"> </w:t>
      </w:r>
      <w:r>
        <w:rPr>
          <w:i/>
          <w:color w:val="231F20"/>
          <w:sz w:val="17"/>
        </w:rPr>
        <w:t>Scandinavian</w:t>
      </w:r>
      <w:r>
        <w:rPr>
          <w:i/>
          <w:color w:val="231F20"/>
          <w:spacing w:val="-3"/>
          <w:sz w:val="17"/>
        </w:rPr>
        <w:t xml:space="preserve"> </w:t>
      </w:r>
      <w:r>
        <w:rPr>
          <w:i/>
          <w:color w:val="231F20"/>
          <w:sz w:val="17"/>
        </w:rPr>
        <w:t>Journal</w:t>
      </w:r>
      <w:r>
        <w:rPr>
          <w:i/>
          <w:color w:val="231F20"/>
          <w:spacing w:val="-3"/>
          <w:sz w:val="17"/>
        </w:rPr>
        <w:t xml:space="preserve"> </w:t>
      </w:r>
      <w:r>
        <w:rPr>
          <w:i/>
          <w:color w:val="231F20"/>
          <w:sz w:val="17"/>
        </w:rPr>
        <w:t>of</w:t>
      </w:r>
      <w:r>
        <w:rPr>
          <w:i/>
          <w:color w:val="231F20"/>
          <w:spacing w:val="40"/>
          <w:sz w:val="17"/>
        </w:rPr>
        <w:t xml:space="preserve"> </w:t>
      </w:r>
      <w:r>
        <w:rPr>
          <w:i/>
          <w:color w:val="231F20"/>
          <w:sz w:val="17"/>
        </w:rPr>
        <w:t xml:space="preserve">Hospitality and Tourism </w:t>
      </w:r>
      <w:r>
        <w:rPr>
          <w:color w:val="231F20"/>
          <w:sz w:val="17"/>
        </w:rPr>
        <w:t>9 (2–3), 308–326.</w:t>
      </w:r>
    </w:p>
    <w:p w14:paraId="43E085E3" w14:textId="77777777" w:rsidR="00AE0598" w:rsidRDefault="0069255A">
      <w:pPr>
        <w:spacing w:before="2"/>
        <w:ind w:left="430" w:right="128" w:hanging="320"/>
        <w:jc w:val="both"/>
        <w:rPr>
          <w:sz w:val="17"/>
        </w:rPr>
      </w:pPr>
      <w:r>
        <w:rPr>
          <w:color w:val="231F20"/>
          <w:sz w:val="17"/>
        </w:rPr>
        <w:t xml:space="preserve">Picard, D. and Robinson, M. (eds) (2006) </w:t>
      </w:r>
      <w:r>
        <w:rPr>
          <w:i/>
          <w:color w:val="231F20"/>
          <w:sz w:val="17"/>
        </w:rPr>
        <w:t>Festivals, Tourism and Social Change: Remaking</w:t>
      </w:r>
      <w:r>
        <w:rPr>
          <w:i/>
          <w:color w:val="231F20"/>
          <w:spacing w:val="40"/>
          <w:sz w:val="17"/>
        </w:rPr>
        <w:t xml:space="preserve"> </w:t>
      </w:r>
      <w:r>
        <w:rPr>
          <w:i/>
          <w:color w:val="231F20"/>
          <w:sz w:val="17"/>
        </w:rPr>
        <w:t>Worlds</w:t>
      </w:r>
      <w:r>
        <w:rPr>
          <w:color w:val="231F20"/>
          <w:sz w:val="17"/>
        </w:rPr>
        <w:t>. Clevedon: Channel View Publications.</w:t>
      </w:r>
    </w:p>
    <w:p w14:paraId="177D32AE" w14:textId="77777777" w:rsidR="00AE0598" w:rsidRDefault="0069255A">
      <w:pPr>
        <w:spacing w:before="2"/>
        <w:ind w:left="430" w:right="128" w:hanging="320"/>
        <w:jc w:val="both"/>
        <w:rPr>
          <w:sz w:val="17"/>
        </w:rPr>
      </w:pPr>
      <w:r>
        <w:rPr>
          <w:color w:val="231F20"/>
          <w:sz w:val="17"/>
        </w:rPr>
        <w:t>Pickel-Chevalier, S., Violier, P. and Sari, N.P.S. (2016) Tourism and globalisation: Vectors</w:t>
      </w:r>
      <w:r>
        <w:rPr>
          <w:color w:val="231F20"/>
          <w:spacing w:val="40"/>
          <w:sz w:val="17"/>
        </w:rPr>
        <w:t xml:space="preserve"> </w:t>
      </w:r>
      <w:r>
        <w:rPr>
          <w:color w:val="231F20"/>
          <w:sz w:val="17"/>
        </w:rPr>
        <w:t>of cultural homogenisation? (t</w:t>
      </w:r>
      <w:r>
        <w:rPr>
          <w:color w:val="231F20"/>
          <w:sz w:val="17"/>
        </w:rPr>
        <w:t xml:space="preserve">he case study of Bali). </w:t>
      </w:r>
      <w:r>
        <w:rPr>
          <w:i/>
          <w:color w:val="231F20"/>
          <w:sz w:val="17"/>
        </w:rPr>
        <w:t>Advances in Economics Business</w:t>
      </w:r>
      <w:r>
        <w:rPr>
          <w:i/>
          <w:color w:val="231F20"/>
          <w:spacing w:val="40"/>
          <w:sz w:val="17"/>
        </w:rPr>
        <w:t xml:space="preserve"> </w:t>
      </w:r>
      <w:r>
        <w:rPr>
          <w:i/>
          <w:color w:val="231F20"/>
          <w:sz w:val="17"/>
        </w:rPr>
        <w:t xml:space="preserve">and Management Research </w:t>
      </w:r>
      <w:r>
        <w:rPr>
          <w:color w:val="231F20"/>
          <w:sz w:val="17"/>
        </w:rPr>
        <w:t>19, 452–457.</w:t>
      </w:r>
    </w:p>
    <w:p w14:paraId="390DEF30" w14:textId="77777777" w:rsidR="00AE0598" w:rsidRDefault="0069255A">
      <w:pPr>
        <w:spacing w:before="2"/>
        <w:ind w:left="430" w:right="128" w:hanging="320"/>
        <w:jc w:val="both"/>
        <w:rPr>
          <w:sz w:val="17"/>
        </w:rPr>
      </w:pPr>
      <w:r>
        <w:rPr>
          <w:color w:val="231F20"/>
          <w:w w:val="95"/>
          <w:sz w:val="17"/>
        </w:rPr>
        <w:t>Pickering,</w:t>
      </w:r>
      <w:r>
        <w:rPr>
          <w:color w:val="231F20"/>
          <w:spacing w:val="14"/>
          <w:sz w:val="17"/>
        </w:rPr>
        <w:t xml:space="preserve"> </w:t>
      </w:r>
      <w:r>
        <w:rPr>
          <w:color w:val="231F20"/>
          <w:w w:val="95"/>
          <w:sz w:val="17"/>
        </w:rPr>
        <w:t>C.,</w:t>
      </w:r>
      <w:r>
        <w:rPr>
          <w:color w:val="231F20"/>
          <w:spacing w:val="14"/>
          <w:sz w:val="17"/>
        </w:rPr>
        <w:t xml:space="preserve"> </w:t>
      </w:r>
      <w:r>
        <w:rPr>
          <w:color w:val="231F20"/>
          <w:w w:val="95"/>
          <w:sz w:val="17"/>
        </w:rPr>
        <w:t>Castley,</w:t>
      </w:r>
      <w:r>
        <w:rPr>
          <w:color w:val="231F20"/>
          <w:spacing w:val="14"/>
          <w:sz w:val="17"/>
        </w:rPr>
        <w:t xml:space="preserve"> </w:t>
      </w:r>
      <w:r>
        <w:rPr>
          <w:color w:val="231F20"/>
          <w:w w:val="95"/>
          <w:sz w:val="17"/>
        </w:rPr>
        <w:t>J.</w:t>
      </w:r>
      <w:r>
        <w:rPr>
          <w:color w:val="231F20"/>
          <w:spacing w:val="14"/>
          <w:sz w:val="17"/>
        </w:rPr>
        <w:t xml:space="preserve"> </w:t>
      </w:r>
      <w:r>
        <w:rPr>
          <w:color w:val="231F20"/>
          <w:w w:val="95"/>
          <w:sz w:val="17"/>
        </w:rPr>
        <w:t>and</w:t>
      </w:r>
      <w:r>
        <w:rPr>
          <w:color w:val="231F20"/>
          <w:spacing w:val="14"/>
          <w:sz w:val="17"/>
        </w:rPr>
        <w:t xml:space="preserve"> </w:t>
      </w:r>
      <w:r>
        <w:rPr>
          <w:color w:val="231F20"/>
          <w:w w:val="95"/>
          <w:sz w:val="17"/>
        </w:rPr>
        <w:t>Burtt,</w:t>
      </w:r>
      <w:r>
        <w:rPr>
          <w:color w:val="231F20"/>
          <w:spacing w:val="14"/>
          <w:sz w:val="17"/>
        </w:rPr>
        <w:t xml:space="preserve"> </w:t>
      </w:r>
      <w:r>
        <w:rPr>
          <w:color w:val="231F20"/>
          <w:w w:val="95"/>
          <w:sz w:val="17"/>
        </w:rPr>
        <w:t>M.</w:t>
      </w:r>
      <w:r>
        <w:rPr>
          <w:color w:val="231F20"/>
          <w:spacing w:val="14"/>
          <w:sz w:val="17"/>
        </w:rPr>
        <w:t xml:space="preserve"> </w:t>
      </w:r>
      <w:r>
        <w:rPr>
          <w:color w:val="231F20"/>
          <w:w w:val="95"/>
          <w:sz w:val="17"/>
        </w:rPr>
        <w:t>(2010)</w:t>
      </w:r>
      <w:r>
        <w:rPr>
          <w:color w:val="231F20"/>
          <w:spacing w:val="14"/>
          <w:sz w:val="17"/>
        </w:rPr>
        <w:t xml:space="preserve"> </w:t>
      </w:r>
      <w:r>
        <w:rPr>
          <w:color w:val="231F20"/>
          <w:w w:val="95"/>
          <w:sz w:val="17"/>
        </w:rPr>
        <w:t>Skiing</w:t>
      </w:r>
      <w:r>
        <w:rPr>
          <w:color w:val="231F20"/>
          <w:spacing w:val="14"/>
          <w:sz w:val="17"/>
        </w:rPr>
        <w:t xml:space="preserve"> </w:t>
      </w:r>
      <w:r>
        <w:rPr>
          <w:color w:val="231F20"/>
          <w:w w:val="95"/>
          <w:sz w:val="17"/>
        </w:rPr>
        <w:t>less</w:t>
      </w:r>
      <w:r>
        <w:rPr>
          <w:color w:val="231F20"/>
          <w:spacing w:val="14"/>
          <w:sz w:val="17"/>
        </w:rPr>
        <w:t xml:space="preserve"> </w:t>
      </w:r>
      <w:r>
        <w:rPr>
          <w:color w:val="231F20"/>
          <w:w w:val="95"/>
          <w:sz w:val="17"/>
        </w:rPr>
        <w:t>often</w:t>
      </w:r>
      <w:r>
        <w:rPr>
          <w:color w:val="231F20"/>
          <w:spacing w:val="14"/>
          <w:sz w:val="17"/>
        </w:rPr>
        <w:t xml:space="preserve"> </w:t>
      </w:r>
      <w:r>
        <w:rPr>
          <w:color w:val="231F20"/>
          <w:w w:val="95"/>
          <w:sz w:val="17"/>
        </w:rPr>
        <w:t>in</w:t>
      </w:r>
      <w:r>
        <w:rPr>
          <w:color w:val="231F20"/>
          <w:spacing w:val="14"/>
          <w:sz w:val="17"/>
        </w:rPr>
        <w:t xml:space="preserve"> </w:t>
      </w:r>
      <w:r>
        <w:rPr>
          <w:color w:val="231F20"/>
          <w:w w:val="95"/>
          <w:sz w:val="17"/>
        </w:rPr>
        <w:t>a</w:t>
      </w:r>
      <w:r>
        <w:rPr>
          <w:color w:val="231F20"/>
          <w:spacing w:val="14"/>
          <w:sz w:val="17"/>
        </w:rPr>
        <w:t xml:space="preserve"> </w:t>
      </w:r>
      <w:r>
        <w:rPr>
          <w:color w:val="231F20"/>
          <w:w w:val="95"/>
          <w:sz w:val="17"/>
        </w:rPr>
        <w:t>warmer</w:t>
      </w:r>
      <w:r>
        <w:rPr>
          <w:color w:val="231F20"/>
          <w:spacing w:val="14"/>
          <w:sz w:val="17"/>
        </w:rPr>
        <w:t xml:space="preserve"> </w:t>
      </w:r>
      <w:r>
        <w:rPr>
          <w:color w:val="231F20"/>
          <w:w w:val="95"/>
          <w:sz w:val="17"/>
        </w:rPr>
        <w:t>world:</w:t>
      </w:r>
      <w:r>
        <w:rPr>
          <w:color w:val="231F20"/>
          <w:spacing w:val="14"/>
          <w:sz w:val="17"/>
        </w:rPr>
        <w:t xml:space="preserve"> </w:t>
      </w:r>
      <w:r>
        <w:rPr>
          <w:color w:val="231F20"/>
          <w:w w:val="95"/>
          <w:sz w:val="17"/>
        </w:rPr>
        <w:t>Attitudes</w:t>
      </w:r>
      <w:r>
        <w:rPr>
          <w:color w:val="231F20"/>
          <w:spacing w:val="40"/>
          <w:sz w:val="17"/>
        </w:rPr>
        <w:t xml:space="preserve"> </w:t>
      </w:r>
      <w:r>
        <w:rPr>
          <w:color w:val="231F20"/>
          <w:w w:val="95"/>
          <w:sz w:val="17"/>
        </w:rPr>
        <w:t xml:space="preserve">of tourists to climate change in an Australian ski resort. </w:t>
      </w:r>
      <w:r>
        <w:rPr>
          <w:i/>
          <w:color w:val="231F20"/>
          <w:w w:val="95"/>
          <w:sz w:val="17"/>
        </w:rPr>
        <w:t xml:space="preserve">Geographical Research </w:t>
      </w:r>
      <w:r>
        <w:rPr>
          <w:color w:val="231F20"/>
          <w:w w:val="95"/>
          <w:sz w:val="17"/>
        </w:rPr>
        <w:t>48 (2),</w:t>
      </w:r>
      <w:r>
        <w:rPr>
          <w:color w:val="231F20"/>
          <w:spacing w:val="40"/>
          <w:sz w:val="17"/>
        </w:rPr>
        <w:t xml:space="preserve"> </w:t>
      </w:r>
      <w:r>
        <w:rPr>
          <w:color w:val="231F20"/>
          <w:spacing w:val="-2"/>
          <w:sz w:val="17"/>
        </w:rPr>
        <w:t>137–147.</w:t>
      </w:r>
    </w:p>
    <w:p w14:paraId="669DE432" w14:textId="77777777" w:rsidR="00AE0598" w:rsidRDefault="0069255A">
      <w:pPr>
        <w:spacing w:before="2"/>
        <w:ind w:left="430" w:right="128" w:hanging="320"/>
        <w:jc w:val="both"/>
        <w:rPr>
          <w:sz w:val="17"/>
        </w:rPr>
      </w:pPr>
      <w:r>
        <w:rPr>
          <w:color w:val="231F20"/>
          <w:sz w:val="17"/>
        </w:rPr>
        <w:t>Pickmere,</w:t>
      </w:r>
      <w:r>
        <w:rPr>
          <w:color w:val="231F20"/>
          <w:spacing w:val="12"/>
          <w:sz w:val="17"/>
        </w:rPr>
        <w:t xml:space="preserve"> </w:t>
      </w:r>
      <w:r>
        <w:rPr>
          <w:color w:val="231F20"/>
          <w:sz w:val="17"/>
        </w:rPr>
        <w:t>A.</w:t>
      </w:r>
      <w:r>
        <w:rPr>
          <w:color w:val="231F20"/>
          <w:spacing w:val="13"/>
          <w:sz w:val="17"/>
        </w:rPr>
        <w:t xml:space="preserve"> </w:t>
      </w:r>
      <w:r>
        <w:rPr>
          <w:color w:val="231F20"/>
          <w:sz w:val="17"/>
        </w:rPr>
        <w:t>(2000,</w:t>
      </w:r>
      <w:r>
        <w:rPr>
          <w:color w:val="231F20"/>
          <w:spacing w:val="12"/>
          <w:sz w:val="17"/>
        </w:rPr>
        <w:t xml:space="preserve"> </w:t>
      </w:r>
      <w:r>
        <w:rPr>
          <w:color w:val="231F20"/>
          <w:sz w:val="17"/>
        </w:rPr>
        <w:t>27</w:t>
      </w:r>
      <w:r>
        <w:rPr>
          <w:color w:val="231F20"/>
          <w:spacing w:val="13"/>
          <w:sz w:val="17"/>
        </w:rPr>
        <w:t xml:space="preserve"> </w:t>
      </w:r>
      <w:r>
        <w:rPr>
          <w:color w:val="231F20"/>
          <w:sz w:val="17"/>
        </w:rPr>
        <w:t>October)</w:t>
      </w:r>
      <w:r>
        <w:rPr>
          <w:color w:val="231F20"/>
          <w:spacing w:val="13"/>
          <w:sz w:val="17"/>
        </w:rPr>
        <w:t xml:space="preserve"> </w:t>
      </w:r>
      <w:r>
        <w:rPr>
          <w:color w:val="231F20"/>
          <w:sz w:val="17"/>
        </w:rPr>
        <w:t>A</w:t>
      </w:r>
      <w:r>
        <w:rPr>
          <w:color w:val="231F20"/>
          <w:spacing w:val="12"/>
          <w:sz w:val="17"/>
        </w:rPr>
        <w:t xml:space="preserve"> </w:t>
      </w:r>
      <w:r>
        <w:rPr>
          <w:color w:val="231F20"/>
          <w:sz w:val="17"/>
        </w:rPr>
        <w:t>lot</w:t>
      </w:r>
      <w:r>
        <w:rPr>
          <w:color w:val="231F20"/>
          <w:spacing w:val="12"/>
          <w:sz w:val="17"/>
        </w:rPr>
        <w:t xml:space="preserve"> </w:t>
      </w:r>
      <w:r>
        <w:rPr>
          <w:color w:val="231F20"/>
          <w:sz w:val="17"/>
        </w:rPr>
        <w:t>more</w:t>
      </w:r>
      <w:r>
        <w:rPr>
          <w:color w:val="231F20"/>
          <w:spacing w:val="13"/>
          <w:sz w:val="17"/>
        </w:rPr>
        <w:t xml:space="preserve"> </w:t>
      </w:r>
      <w:r>
        <w:rPr>
          <w:color w:val="231F20"/>
          <w:sz w:val="17"/>
        </w:rPr>
        <w:t>than</w:t>
      </w:r>
      <w:r>
        <w:rPr>
          <w:color w:val="231F20"/>
          <w:spacing w:val="13"/>
          <w:sz w:val="17"/>
        </w:rPr>
        <w:t xml:space="preserve"> </w:t>
      </w:r>
      <w:r>
        <w:rPr>
          <w:color w:val="231F20"/>
          <w:sz w:val="17"/>
        </w:rPr>
        <w:t>just</w:t>
      </w:r>
      <w:r>
        <w:rPr>
          <w:color w:val="231F20"/>
          <w:spacing w:val="13"/>
          <w:sz w:val="17"/>
        </w:rPr>
        <w:t xml:space="preserve"> </w:t>
      </w:r>
      <w:r>
        <w:rPr>
          <w:color w:val="231F20"/>
          <w:sz w:val="17"/>
        </w:rPr>
        <w:t>a</w:t>
      </w:r>
      <w:r>
        <w:rPr>
          <w:color w:val="231F20"/>
          <w:spacing w:val="12"/>
          <w:sz w:val="17"/>
        </w:rPr>
        <w:t xml:space="preserve"> </w:t>
      </w:r>
      <w:r>
        <w:rPr>
          <w:color w:val="231F20"/>
          <w:sz w:val="17"/>
        </w:rPr>
        <w:t>yacht</w:t>
      </w:r>
      <w:r>
        <w:rPr>
          <w:color w:val="231F20"/>
          <w:spacing w:val="12"/>
          <w:sz w:val="17"/>
        </w:rPr>
        <w:t xml:space="preserve"> </w:t>
      </w:r>
      <w:r>
        <w:rPr>
          <w:color w:val="231F20"/>
          <w:sz w:val="17"/>
        </w:rPr>
        <w:t>race.</w:t>
      </w:r>
      <w:r>
        <w:rPr>
          <w:color w:val="231F20"/>
          <w:spacing w:val="13"/>
          <w:sz w:val="17"/>
        </w:rPr>
        <w:t xml:space="preserve"> </w:t>
      </w:r>
      <w:r>
        <w:rPr>
          <w:i/>
          <w:color w:val="231F20"/>
          <w:sz w:val="17"/>
        </w:rPr>
        <w:t>New</w:t>
      </w:r>
      <w:r>
        <w:rPr>
          <w:i/>
          <w:color w:val="231F20"/>
          <w:spacing w:val="12"/>
          <w:sz w:val="17"/>
        </w:rPr>
        <w:t xml:space="preserve"> </w:t>
      </w:r>
      <w:r>
        <w:rPr>
          <w:i/>
          <w:color w:val="231F20"/>
          <w:sz w:val="17"/>
        </w:rPr>
        <w:t>Zealand</w:t>
      </w:r>
      <w:r>
        <w:rPr>
          <w:i/>
          <w:color w:val="231F20"/>
          <w:spacing w:val="12"/>
          <w:sz w:val="17"/>
        </w:rPr>
        <w:t xml:space="preserve"> </w:t>
      </w:r>
      <w:r>
        <w:rPr>
          <w:i/>
          <w:color w:val="231F20"/>
          <w:sz w:val="17"/>
        </w:rPr>
        <w:t>Herald</w:t>
      </w:r>
      <w:r>
        <w:rPr>
          <w:color w:val="231F20"/>
          <w:sz w:val="17"/>
        </w:rPr>
        <w:t>,</w:t>
      </w:r>
      <w:r>
        <w:rPr>
          <w:color w:val="231F20"/>
          <w:spacing w:val="40"/>
          <w:sz w:val="17"/>
        </w:rPr>
        <w:t xml:space="preserve"> </w:t>
      </w:r>
      <w:r>
        <w:rPr>
          <w:color w:val="231F20"/>
          <w:sz w:val="17"/>
        </w:rPr>
        <w:t>p. 13.</w:t>
      </w:r>
    </w:p>
    <w:p w14:paraId="5248313F" w14:textId="77777777" w:rsidR="00AE0598" w:rsidRDefault="0069255A">
      <w:pPr>
        <w:spacing w:before="1"/>
        <w:ind w:left="430" w:right="127" w:hanging="320"/>
        <w:jc w:val="both"/>
        <w:rPr>
          <w:sz w:val="17"/>
        </w:rPr>
      </w:pPr>
      <w:r>
        <w:rPr>
          <w:color w:val="231F20"/>
          <w:sz w:val="17"/>
        </w:rPr>
        <w:t>Pigeassou, C. (1997) Sport and tourism: The emergence of sport into the offer of tourism.</w:t>
      </w:r>
      <w:r>
        <w:rPr>
          <w:color w:val="231F20"/>
          <w:spacing w:val="40"/>
          <w:sz w:val="17"/>
        </w:rPr>
        <w:t xml:space="preserve"> </w:t>
      </w:r>
      <w:r>
        <w:rPr>
          <w:color w:val="231F20"/>
          <w:sz w:val="17"/>
        </w:rPr>
        <w:t>Between passion and reason. An ov</w:t>
      </w:r>
      <w:r>
        <w:rPr>
          <w:color w:val="231F20"/>
          <w:sz w:val="17"/>
        </w:rPr>
        <w:t>erview of the French situation and perspectives.</w:t>
      </w:r>
      <w:r>
        <w:rPr>
          <w:color w:val="231F20"/>
          <w:spacing w:val="40"/>
          <w:sz w:val="17"/>
        </w:rPr>
        <w:t xml:space="preserve"> </w:t>
      </w:r>
      <w:r>
        <w:rPr>
          <w:i/>
          <w:color w:val="231F20"/>
          <w:sz w:val="17"/>
        </w:rPr>
        <w:t xml:space="preserve">Journal of Sport Tourism </w:t>
      </w:r>
      <w:r>
        <w:rPr>
          <w:color w:val="231F20"/>
          <w:sz w:val="17"/>
        </w:rPr>
        <w:t>4 (2), 20–38.</w:t>
      </w:r>
    </w:p>
    <w:p w14:paraId="36962AFC" w14:textId="77777777" w:rsidR="00AE0598" w:rsidRDefault="0069255A">
      <w:pPr>
        <w:spacing w:before="2"/>
        <w:ind w:left="110"/>
        <w:jc w:val="both"/>
        <w:rPr>
          <w:sz w:val="17"/>
        </w:rPr>
      </w:pPr>
      <w:r>
        <w:rPr>
          <w:color w:val="231F20"/>
          <w:sz w:val="17"/>
        </w:rPr>
        <w:t>Pigeassou,</w:t>
      </w:r>
      <w:r>
        <w:rPr>
          <w:color w:val="231F20"/>
          <w:spacing w:val="41"/>
          <w:sz w:val="17"/>
        </w:rPr>
        <w:t xml:space="preserve"> </w:t>
      </w:r>
      <w:r>
        <w:rPr>
          <w:color w:val="231F20"/>
          <w:sz w:val="17"/>
        </w:rPr>
        <w:t>C.</w:t>
      </w:r>
      <w:r>
        <w:rPr>
          <w:color w:val="231F20"/>
          <w:spacing w:val="42"/>
          <w:sz w:val="17"/>
        </w:rPr>
        <w:t xml:space="preserve"> </w:t>
      </w:r>
      <w:r>
        <w:rPr>
          <w:color w:val="231F20"/>
          <w:sz w:val="17"/>
        </w:rPr>
        <w:t>(2002)</w:t>
      </w:r>
      <w:r>
        <w:rPr>
          <w:color w:val="231F20"/>
          <w:spacing w:val="42"/>
          <w:sz w:val="17"/>
        </w:rPr>
        <w:t xml:space="preserve"> </w:t>
      </w:r>
      <w:r>
        <w:rPr>
          <w:color w:val="231F20"/>
          <w:sz w:val="17"/>
        </w:rPr>
        <w:t>Sport</w:t>
      </w:r>
      <w:r>
        <w:rPr>
          <w:color w:val="231F20"/>
          <w:spacing w:val="42"/>
          <w:sz w:val="17"/>
        </w:rPr>
        <w:t xml:space="preserve"> </w:t>
      </w:r>
      <w:r>
        <w:rPr>
          <w:color w:val="231F20"/>
          <w:sz w:val="17"/>
        </w:rPr>
        <w:t>tourism</w:t>
      </w:r>
      <w:r>
        <w:rPr>
          <w:color w:val="231F20"/>
          <w:spacing w:val="42"/>
          <w:sz w:val="17"/>
        </w:rPr>
        <w:t xml:space="preserve"> </w:t>
      </w:r>
      <w:r>
        <w:rPr>
          <w:color w:val="231F20"/>
          <w:sz w:val="17"/>
        </w:rPr>
        <w:t>as</w:t>
      </w:r>
      <w:r>
        <w:rPr>
          <w:color w:val="231F20"/>
          <w:spacing w:val="42"/>
          <w:sz w:val="17"/>
        </w:rPr>
        <w:t xml:space="preserve"> </w:t>
      </w:r>
      <w:r>
        <w:rPr>
          <w:color w:val="231F20"/>
          <w:sz w:val="17"/>
        </w:rPr>
        <w:t>a</w:t>
      </w:r>
      <w:r>
        <w:rPr>
          <w:color w:val="231F20"/>
          <w:spacing w:val="42"/>
          <w:sz w:val="17"/>
        </w:rPr>
        <w:t xml:space="preserve"> </w:t>
      </w:r>
      <w:r>
        <w:rPr>
          <w:color w:val="231F20"/>
          <w:sz w:val="17"/>
        </w:rPr>
        <w:t>growth</w:t>
      </w:r>
      <w:r>
        <w:rPr>
          <w:color w:val="231F20"/>
          <w:spacing w:val="42"/>
          <w:sz w:val="17"/>
        </w:rPr>
        <w:t xml:space="preserve"> </w:t>
      </w:r>
      <w:r>
        <w:rPr>
          <w:color w:val="231F20"/>
          <w:sz w:val="17"/>
        </w:rPr>
        <w:t>sector:</w:t>
      </w:r>
      <w:r>
        <w:rPr>
          <w:color w:val="231F20"/>
          <w:spacing w:val="41"/>
          <w:sz w:val="17"/>
        </w:rPr>
        <w:t xml:space="preserve"> </w:t>
      </w:r>
      <w:r>
        <w:rPr>
          <w:color w:val="231F20"/>
          <w:sz w:val="17"/>
        </w:rPr>
        <w:t>The</w:t>
      </w:r>
      <w:r>
        <w:rPr>
          <w:color w:val="231F20"/>
          <w:spacing w:val="42"/>
          <w:sz w:val="17"/>
        </w:rPr>
        <w:t xml:space="preserve"> </w:t>
      </w:r>
      <w:r>
        <w:rPr>
          <w:color w:val="231F20"/>
          <w:sz w:val="17"/>
        </w:rPr>
        <w:t>French</w:t>
      </w:r>
      <w:r>
        <w:rPr>
          <w:color w:val="231F20"/>
          <w:spacing w:val="42"/>
          <w:sz w:val="17"/>
        </w:rPr>
        <w:t xml:space="preserve"> </w:t>
      </w:r>
      <w:r>
        <w:rPr>
          <w:color w:val="231F20"/>
          <w:sz w:val="17"/>
        </w:rPr>
        <w:t>perspective.</w:t>
      </w:r>
      <w:r>
        <w:rPr>
          <w:color w:val="231F20"/>
          <w:spacing w:val="42"/>
          <w:sz w:val="17"/>
        </w:rPr>
        <w:t xml:space="preserve"> </w:t>
      </w:r>
      <w:r>
        <w:rPr>
          <w:color w:val="231F20"/>
          <w:spacing w:val="-5"/>
          <w:sz w:val="17"/>
        </w:rPr>
        <w:t>In</w:t>
      </w:r>
    </w:p>
    <w:p w14:paraId="39FBCB02" w14:textId="77777777" w:rsidR="00AE0598" w:rsidRDefault="0069255A">
      <w:pPr>
        <w:spacing w:before="1"/>
        <w:ind w:left="430" w:right="127"/>
        <w:jc w:val="both"/>
        <w:rPr>
          <w:sz w:val="17"/>
        </w:rPr>
      </w:pPr>
      <w:r>
        <w:rPr>
          <w:color w:val="231F20"/>
          <w:sz w:val="17"/>
        </w:rPr>
        <w:t>S.</w:t>
      </w:r>
      <w:r>
        <w:rPr>
          <w:color w:val="231F20"/>
          <w:spacing w:val="23"/>
          <w:sz w:val="17"/>
        </w:rPr>
        <w:t xml:space="preserve"> </w:t>
      </w:r>
      <w:r>
        <w:rPr>
          <w:color w:val="231F20"/>
          <w:sz w:val="17"/>
        </w:rPr>
        <w:t>Gammon</w:t>
      </w:r>
      <w:r>
        <w:rPr>
          <w:color w:val="231F20"/>
          <w:spacing w:val="23"/>
          <w:sz w:val="17"/>
        </w:rPr>
        <w:t xml:space="preserve"> </w:t>
      </w:r>
      <w:r>
        <w:rPr>
          <w:color w:val="231F20"/>
          <w:sz w:val="17"/>
        </w:rPr>
        <w:t>and</w:t>
      </w:r>
      <w:r>
        <w:rPr>
          <w:color w:val="231F20"/>
          <w:w w:val="105"/>
          <w:sz w:val="17"/>
        </w:rPr>
        <w:t xml:space="preserve"> J. </w:t>
      </w:r>
      <w:r>
        <w:rPr>
          <w:color w:val="231F20"/>
          <w:sz w:val="17"/>
        </w:rPr>
        <w:t>Kurtzman</w:t>
      </w:r>
      <w:r>
        <w:rPr>
          <w:color w:val="231F20"/>
          <w:spacing w:val="23"/>
          <w:sz w:val="17"/>
        </w:rPr>
        <w:t xml:space="preserve"> </w:t>
      </w:r>
      <w:r>
        <w:rPr>
          <w:color w:val="231F20"/>
          <w:sz w:val="17"/>
        </w:rPr>
        <w:t>(eds)</w:t>
      </w:r>
      <w:r>
        <w:rPr>
          <w:color w:val="231F20"/>
          <w:spacing w:val="23"/>
          <w:sz w:val="17"/>
        </w:rPr>
        <w:t xml:space="preserve"> </w:t>
      </w:r>
      <w:r>
        <w:rPr>
          <w:i/>
          <w:color w:val="231F20"/>
          <w:sz w:val="17"/>
        </w:rPr>
        <w:t>Sport</w:t>
      </w:r>
      <w:r>
        <w:rPr>
          <w:i/>
          <w:color w:val="231F20"/>
          <w:spacing w:val="23"/>
          <w:sz w:val="17"/>
        </w:rPr>
        <w:t xml:space="preserve"> </w:t>
      </w:r>
      <w:r>
        <w:rPr>
          <w:i/>
          <w:color w:val="231F20"/>
          <w:sz w:val="17"/>
        </w:rPr>
        <w:t>Tourism:</w:t>
      </w:r>
      <w:r>
        <w:rPr>
          <w:i/>
          <w:color w:val="231F20"/>
          <w:spacing w:val="23"/>
          <w:sz w:val="17"/>
        </w:rPr>
        <w:t xml:space="preserve"> </w:t>
      </w:r>
      <w:r>
        <w:rPr>
          <w:i/>
          <w:color w:val="231F20"/>
          <w:sz w:val="17"/>
        </w:rPr>
        <w:t>Principles</w:t>
      </w:r>
      <w:r>
        <w:rPr>
          <w:i/>
          <w:color w:val="231F20"/>
          <w:spacing w:val="23"/>
          <w:sz w:val="17"/>
        </w:rPr>
        <w:t xml:space="preserve"> </w:t>
      </w:r>
      <w:r>
        <w:rPr>
          <w:i/>
          <w:color w:val="231F20"/>
          <w:sz w:val="17"/>
        </w:rPr>
        <w:t>and</w:t>
      </w:r>
      <w:r>
        <w:rPr>
          <w:i/>
          <w:color w:val="231F20"/>
          <w:spacing w:val="23"/>
          <w:sz w:val="17"/>
        </w:rPr>
        <w:t xml:space="preserve"> </w:t>
      </w:r>
      <w:r>
        <w:rPr>
          <w:i/>
          <w:color w:val="231F20"/>
          <w:sz w:val="17"/>
        </w:rPr>
        <w:t>Practice</w:t>
      </w:r>
      <w:r>
        <w:rPr>
          <w:i/>
          <w:color w:val="231F20"/>
          <w:spacing w:val="23"/>
          <w:sz w:val="17"/>
        </w:rPr>
        <w:t xml:space="preserve"> </w:t>
      </w:r>
      <w:r>
        <w:rPr>
          <w:color w:val="231F20"/>
          <w:sz w:val="17"/>
        </w:rPr>
        <w:t>(Vol.</w:t>
      </w:r>
      <w:r>
        <w:rPr>
          <w:color w:val="231F20"/>
          <w:spacing w:val="23"/>
          <w:sz w:val="17"/>
        </w:rPr>
        <w:t xml:space="preserve"> </w:t>
      </w:r>
      <w:r>
        <w:rPr>
          <w:color w:val="231F20"/>
          <w:sz w:val="17"/>
        </w:rPr>
        <w:t>76;</w:t>
      </w:r>
      <w:r>
        <w:rPr>
          <w:color w:val="231F20"/>
          <w:spacing w:val="40"/>
          <w:sz w:val="17"/>
        </w:rPr>
        <w:t xml:space="preserve"> </w:t>
      </w:r>
      <w:r>
        <w:rPr>
          <w:color w:val="231F20"/>
          <w:sz w:val="17"/>
        </w:rPr>
        <w:t>pp. 129–140). Eastbourne: Leisure Studies Association.</w:t>
      </w:r>
    </w:p>
    <w:p w14:paraId="0BA7CDD1" w14:textId="77777777" w:rsidR="00AE0598" w:rsidRDefault="0069255A">
      <w:pPr>
        <w:spacing w:before="2"/>
        <w:ind w:left="430" w:right="127" w:hanging="320"/>
        <w:jc w:val="both"/>
        <w:rPr>
          <w:sz w:val="17"/>
        </w:rPr>
      </w:pPr>
      <w:r>
        <w:rPr>
          <w:color w:val="231F20"/>
          <w:sz w:val="17"/>
        </w:rPr>
        <w:t xml:space="preserve">Pigram, </w:t>
      </w:r>
      <w:r>
        <w:rPr>
          <w:color w:val="231F20"/>
          <w:w w:val="110"/>
          <w:sz w:val="17"/>
        </w:rPr>
        <w:t xml:space="preserve">J.J. </w:t>
      </w:r>
      <w:r>
        <w:rPr>
          <w:color w:val="231F20"/>
          <w:sz w:val="17"/>
        </w:rPr>
        <w:t>and Wahab, S. (1997) Sustainable tourism in a changing world. In S. Wahab</w:t>
      </w:r>
      <w:r>
        <w:rPr>
          <w:color w:val="231F20"/>
          <w:spacing w:val="40"/>
          <w:sz w:val="17"/>
        </w:rPr>
        <w:t xml:space="preserve"> </w:t>
      </w:r>
      <w:r>
        <w:rPr>
          <w:color w:val="231F20"/>
          <w:sz w:val="17"/>
        </w:rPr>
        <w:t xml:space="preserve">and </w:t>
      </w:r>
      <w:r>
        <w:rPr>
          <w:color w:val="231F20"/>
          <w:w w:val="110"/>
          <w:sz w:val="17"/>
        </w:rPr>
        <w:t xml:space="preserve">J.J. </w:t>
      </w:r>
      <w:r>
        <w:rPr>
          <w:color w:val="231F20"/>
          <w:sz w:val="17"/>
        </w:rPr>
        <w:t xml:space="preserve">Pigram (eds) </w:t>
      </w:r>
      <w:r>
        <w:rPr>
          <w:i/>
          <w:color w:val="231F20"/>
          <w:sz w:val="17"/>
        </w:rPr>
        <w:t xml:space="preserve">Tourism, Development and Growth </w:t>
      </w:r>
      <w:r>
        <w:rPr>
          <w:color w:val="231F20"/>
          <w:sz w:val="17"/>
        </w:rPr>
        <w:t>(pp. 17–32). London:</w:t>
      </w:r>
      <w:r>
        <w:rPr>
          <w:color w:val="231F20"/>
          <w:spacing w:val="40"/>
          <w:sz w:val="17"/>
        </w:rPr>
        <w:t xml:space="preserve"> </w:t>
      </w:r>
      <w:r>
        <w:rPr>
          <w:color w:val="231F20"/>
          <w:spacing w:val="-2"/>
          <w:sz w:val="17"/>
        </w:rPr>
        <w:t>Routledge.</w:t>
      </w:r>
    </w:p>
    <w:p w14:paraId="3F8F8658" w14:textId="77777777" w:rsidR="00AE0598" w:rsidRDefault="0069255A">
      <w:pPr>
        <w:spacing w:before="2"/>
        <w:ind w:left="430" w:right="128" w:hanging="320"/>
        <w:jc w:val="both"/>
        <w:rPr>
          <w:sz w:val="17"/>
        </w:rPr>
      </w:pPr>
      <w:r>
        <w:rPr>
          <w:color w:val="231F20"/>
          <w:sz w:val="17"/>
        </w:rPr>
        <w:t>Pillay,</w:t>
      </w:r>
      <w:r>
        <w:rPr>
          <w:color w:val="231F20"/>
          <w:spacing w:val="68"/>
          <w:sz w:val="17"/>
        </w:rPr>
        <w:t xml:space="preserve"> </w:t>
      </w:r>
      <w:r>
        <w:rPr>
          <w:color w:val="231F20"/>
          <w:sz w:val="17"/>
        </w:rPr>
        <w:t>U.</w:t>
      </w:r>
      <w:r>
        <w:rPr>
          <w:color w:val="231F20"/>
          <w:spacing w:val="68"/>
          <w:sz w:val="17"/>
        </w:rPr>
        <w:t xml:space="preserve"> </w:t>
      </w:r>
      <w:r>
        <w:rPr>
          <w:color w:val="231F20"/>
          <w:sz w:val="17"/>
        </w:rPr>
        <w:t>and</w:t>
      </w:r>
      <w:r>
        <w:rPr>
          <w:color w:val="231F20"/>
          <w:spacing w:val="68"/>
          <w:sz w:val="17"/>
        </w:rPr>
        <w:t xml:space="preserve"> </w:t>
      </w:r>
      <w:r>
        <w:rPr>
          <w:color w:val="231F20"/>
          <w:sz w:val="17"/>
        </w:rPr>
        <w:t>Bass,</w:t>
      </w:r>
      <w:r>
        <w:rPr>
          <w:color w:val="231F20"/>
          <w:spacing w:val="68"/>
          <w:sz w:val="17"/>
        </w:rPr>
        <w:t xml:space="preserve"> </w:t>
      </w:r>
      <w:r>
        <w:rPr>
          <w:color w:val="231F20"/>
          <w:sz w:val="17"/>
        </w:rPr>
        <w:t>O.</w:t>
      </w:r>
      <w:r>
        <w:rPr>
          <w:color w:val="231F20"/>
          <w:spacing w:val="68"/>
          <w:sz w:val="17"/>
        </w:rPr>
        <w:t xml:space="preserve"> </w:t>
      </w:r>
      <w:r>
        <w:rPr>
          <w:color w:val="231F20"/>
          <w:sz w:val="17"/>
        </w:rPr>
        <w:t>(2008)</w:t>
      </w:r>
      <w:r>
        <w:rPr>
          <w:color w:val="231F20"/>
          <w:spacing w:val="68"/>
          <w:sz w:val="17"/>
        </w:rPr>
        <w:t xml:space="preserve"> </w:t>
      </w:r>
      <w:r>
        <w:rPr>
          <w:color w:val="231F20"/>
          <w:sz w:val="17"/>
        </w:rPr>
        <w:t>Mega-events</w:t>
      </w:r>
      <w:r>
        <w:rPr>
          <w:color w:val="231F20"/>
          <w:spacing w:val="68"/>
          <w:sz w:val="17"/>
        </w:rPr>
        <w:t xml:space="preserve"> </w:t>
      </w:r>
      <w:r>
        <w:rPr>
          <w:color w:val="231F20"/>
          <w:sz w:val="17"/>
        </w:rPr>
        <w:t>as</w:t>
      </w:r>
      <w:r>
        <w:rPr>
          <w:color w:val="231F20"/>
          <w:spacing w:val="68"/>
          <w:sz w:val="17"/>
        </w:rPr>
        <w:t xml:space="preserve"> </w:t>
      </w:r>
      <w:r>
        <w:rPr>
          <w:color w:val="231F20"/>
          <w:sz w:val="17"/>
        </w:rPr>
        <w:t>a</w:t>
      </w:r>
      <w:r>
        <w:rPr>
          <w:color w:val="231F20"/>
          <w:spacing w:val="68"/>
          <w:sz w:val="17"/>
        </w:rPr>
        <w:t xml:space="preserve"> </w:t>
      </w:r>
      <w:r>
        <w:rPr>
          <w:color w:val="231F20"/>
          <w:sz w:val="17"/>
        </w:rPr>
        <w:t>response</w:t>
      </w:r>
      <w:r>
        <w:rPr>
          <w:color w:val="231F20"/>
          <w:spacing w:val="68"/>
          <w:sz w:val="17"/>
        </w:rPr>
        <w:t xml:space="preserve"> </w:t>
      </w:r>
      <w:r>
        <w:rPr>
          <w:color w:val="231F20"/>
          <w:sz w:val="17"/>
        </w:rPr>
        <w:t>to</w:t>
      </w:r>
      <w:r>
        <w:rPr>
          <w:color w:val="231F20"/>
          <w:spacing w:val="68"/>
          <w:sz w:val="17"/>
        </w:rPr>
        <w:t xml:space="preserve"> </w:t>
      </w:r>
      <w:r>
        <w:rPr>
          <w:color w:val="231F20"/>
          <w:sz w:val="17"/>
        </w:rPr>
        <w:t>poverty</w:t>
      </w:r>
      <w:r>
        <w:rPr>
          <w:color w:val="231F20"/>
          <w:spacing w:val="68"/>
          <w:sz w:val="17"/>
        </w:rPr>
        <w:t xml:space="preserve"> </w:t>
      </w:r>
      <w:r>
        <w:rPr>
          <w:color w:val="231F20"/>
          <w:sz w:val="17"/>
        </w:rPr>
        <w:t>reduction:</w:t>
      </w:r>
      <w:r>
        <w:rPr>
          <w:color w:val="231F20"/>
          <w:spacing w:val="40"/>
          <w:sz w:val="17"/>
        </w:rPr>
        <w:t xml:space="preserve"> </w:t>
      </w:r>
      <w:r>
        <w:rPr>
          <w:color w:val="231F20"/>
          <w:sz w:val="17"/>
        </w:rPr>
        <w:t>The</w:t>
      </w:r>
      <w:r>
        <w:rPr>
          <w:color w:val="231F20"/>
          <w:spacing w:val="24"/>
          <w:sz w:val="17"/>
        </w:rPr>
        <w:t xml:space="preserve"> </w:t>
      </w:r>
      <w:r>
        <w:rPr>
          <w:color w:val="231F20"/>
          <w:sz w:val="17"/>
        </w:rPr>
        <w:t>2010</w:t>
      </w:r>
      <w:r>
        <w:rPr>
          <w:color w:val="231F20"/>
          <w:spacing w:val="24"/>
          <w:sz w:val="17"/>
        </w:rPr>
        <w:t xml:space="preserve"> </w:t>
      </w:r>
      <w:r>
        <w:rPr>
          <w:color w:val="231F20"/>
          <w:sz w:val="17"/>
        </w:rPr>
        <w:t>FIFA</w:t>
      </w:r>
      <w:r>
        <w:rPr>
          <w:color w:val="231F20"/>
          <w:spacing w:val="24"/>
          <w:sz w:val="17"/>
        </w:rPr>
        <w:t xml:space="preserve"> </w:t>
      </w:r>
      <w:r>
        <w:rPr>
          <w:color w:val="231F20"/>
          <w:sz w:val="17"/>
        </w:rPr>
        <w:t>World</w:t>
      </w:r>
      <w:r>
        <w:rPr>
          <w:color w:val="231F20"/>
          <w:spacing w:val="24"/>
          <w:sz w:val="17"/>
        </w:rPr>
        <w:t xml:space="preserve"> </w:t>
      </w:r>
      <w:r>
        <w:rPr>
          <w:color w:val="231F20"/>
          <w:sz w:val="17"/>
        </w:rPr>
        <w:t>Cup</w:t>
      </w:r>
      <w:r>
        <w:rPr>
          <w:color w:val="231F20"/>
          <w:spacing w:val="24"/>
          <w:sz w:val="17"/>
        </w:rPr>
        <w:t xml:space="preserve"> </w:t>
      </w:r>
      <w:r>
        <w:rPr>
          <w:color w:val="231F20"/>
          <w:sz w:val="17"/>
        </w:rPr>
        <w:t>and</w:t>
      </w:r>
      <w:r>
        <w:rPr>
          <w:color w:val="231F20"/>
          <w:spacing w:val="24"/>
          <w:sz w:val="17"/>
        </w:rPr>
        <w:t xml:space="preserve"> </w:t>
      </w:r>
      <w:r>
        <w:rPr>
          <w:color w:val="231F20"/>
          <w:sz w:val="17"/>
        </w:rPr>
        <w:t>its</w:t>
      </w:r>
      <w:r>
        <w:rPr>
          <w:color w:val="231F20"/>
          <w:spacing w:val="24"/>
          <w:sz w:val="17"/>
        </w:rPr>
        <w:t xml:space="preserve"> </w:t>
      </w:r>
      <w:r>
        <w:rPr>
          <w:color w:val="231F20"/>
          <w:sz w:val="17"/>
        </w:rPr>
        <w:t>urban</w:t>
      </w:r>
      <w:r>
        <w:rPr>
          <w:color w:val="231F20"/>
          <w:spacing w:val="24"/>
          <w:sz w:val="17"/>
        </w:rPr>
        <w:t xml:space="preserve"> </w:t>
      </w:r>
      <w:r>
        <w:rPr>
          <w:color w:val="231F20"/>
          <w:sz w:val="17"/>
        </w:rPr>
        <w:t>development</w:t>
      </w:r>
      <w:r>
        <w:rPr>
          <w:color w:val="231F20"/>
          <w:spacing w:val="24"/>
          <w:sz w:val="17"/>
        </w:rPr>
        <w:t xml:space="preserve"> </w:t>
      </w:r>
      <w:r>
        <w:rPr>
          <w:color w:val="231F20"/>
          <w:sz w:val="17"/>
        </w:rPr>
        <w:t>implications.</w:t>
      </w:r>
      <w:r>
        <w:rPr>
          <w:color w:val="231F20"/>
          <w:spacing w:val="24"/>
          <w:sz w:val="17"/>
        </w:rPr>
        <w:t xml:space="preserve"> </w:t>
      </w:r>
      <w:r>
        <w:rPr>
          <w:i/>
          <w:color w:val="231F20"/>
          <w:sz w:val="17"/>
        </w:rPr>
        <w:t>Urban</w:t>
      </w:r>
      <w:r>
        <w:rPr>
          <w:i/>
          <w:color w:val="231F20"/>
          <w:spacing w:val="24"/>
          <w:sz w:val="17"/>
        </w:rPr>
        <w:t xml:space="preserve"> </w:t>
      </w:r>
      <w:r>
        <w:rPr>
          <w:i/>
          <w:color w:val="231F20"/>
          <w:sz w:val="17"/>
        </w:rPr>
        <w:t>Forum</w:t>
      </w:r>
      <w:r>
        <w:rPr>
          <w:i/>
          <w:color w:val="231F20"/>
          <w:spacing w:val="40"/>
          <w:sz w:val="17"/>
        </w:rPr>
        <w:t xml:space="preserve"> </w:t>
      </w:r>
      <w:r>
        <w:rPr>
          <w:color w:val="231F20"/>
          <w:sz w:val="17"/>
        </w:rPr>
        <w:t>19 (3), 329.</w:t>
      </w:r>
    </w:p>
    <w:p w14:paraId="0021B963" w14:textId="77777777" w:rsidR="00AE0598" w:rsidRDefault="0069255A">
      <w:pPr>
        <w:spacing w:before="2"/>
        <w:ind w:left="430" w:right="128" w:hanging="320"/>
        <w:jc w:val="both"/>
        <w:rPr>
          <w:sz w:val="17"/>
        </w:rPr>
      </w:pPr>
      <w:r>
        <w:rPr>
          <w:color w:val="231F20"/>
          <w:sz w:val="17"/>
        </w:rPr>
        <w:t>Pitts, B.G. (1997) Sports tourism and niche markets: Identification and analysis of the</w:t>
      </w:r>
      <w:r>
        <w:rPr>
          <w:color w:val="231F20"/>
          <w:spacing w:val="40"/>
          <w:sz w:val="17"/>
        </w:rPr>
        <w:t xml:space="preserve"> </w:t>
      </w:r>
      <w:r>
        <w:rPr>
          <w:color w:val="231F20"/>
          <w:sz w:val="17"/>
        </w:rPr>
        <w:t>growing</w:t>
      </w:r>
      <w:r>
        <w:rPr>
          <w:color w:val="231F20"/>
          <w:spacing w:val="-5"/>
          <w:sz w:val="17"/>
        </w:rPr>
        <w:t xml:space="preserve"> </w:t>
      </w:r>
      <w:r>
        <w:rPr>
          <w:color w:val="231F20"/>
          <w:sz w:val="17"/>
        </w:rPr>
        <w:t>lesbian</w:t>
      </w:r>
      <w:r>
        <w:rPr>
          <w:color w:val="231F20"/>
          <w:spacing w:val="-5"/>
          <w:sz w:val="17"/>
        </w:rPr>
        <w:t xml:space="preserve"> </w:t>
      </w:r>
      <w:r>
        <w:rPr>
          <w:color w:val="231F20"/>
          <w:sz w:val="17"/>
        </w:rPr>
        <w:t>and</w:t>
      </w:r>
      <w:r>
        <w:rPr>
          <w:color w:val="231F20"/>
          <w:spacing w:val="-5"/>
          <w:sz w:val="17"/>
        </w:rPr>
        <w:t xml:space="preserve"> </w:t>
      </w:r>
      <w:r>
        <w:rPr>
          <w:color w:val="231F20"/>
          <w:sz w:val="17"/>
        </w:rPr>
        <w:t>gay</w:t>
      </w:r>
      <w:r>
        <w:rPr>
          <w:color w:val="231F20"/>
          <w:spacing w:val="-5"/>
          <w:sz w:val="17"/>
        </w:rPr>
        <w:t xml:space="preserve"> </w:t>
      </w:r>
      <w:r>
        <w:rPr>
          <w:color w:val="231F20"/>
          <w:sz w:val="17"/>
        </w:rPr>
        <w:t>sports</w:t>
      </w:r>
      <w:r>
        <w:rPr>
          <w:color w:val="231F20"/>
          <w:spacing w:val="-5"/>
          <w:sz w:val="17"/>
        </w:rPr>
        <w:t xml:space="preserve"> </w:t>
      </w:r>
      <w:r>
        <w:rPr>
          <w:color w:val="231F20"/>
          <w:sz w:val="17"/>
        </w:rPr>
        <w:t>tourism</w:t>
      </w:r>
      <w:r>
        <w:rPr>
          <w:color w:val="231F20"/>
          <w:spacing w:val="-5"/>
          <w:sz w:val="17"/>
        </w:rPr>
        <w:t xml:space="preserve"> </w:t>
      </w:r>
      <w:r>
        <w:rPr>
          <w:color w:val="231F20"/>
          <w:sz w:val="17"/>
        </w:rPr>
        <w:t>industry.</w:t>
      </w:r>
      <w:r>
        <w:rPr>
          <w:color w:val="231F20"/>
          <w:spacing w:val="-5"/>
          <w:sz w:val="17"/>
        </w:rPr>
        <w:t xml:space="preserve"> </w:t>
      </w:r>
      <w:r>
        <w:rPr>
          <w:i/>
          <w:color w:val="231F20"/>
          <w:sz w:val="17"/>
        </w:rPr>
        <w:t>Journal</w:t>
      </w:r>
      <w:r>
        <w:rPr>
          <w:i/>
          <w:color w:val="231F20"/>
          <w:spacing w:val="-5"/>
          <w:sz w:val="17"/>
        </w:rPr>
        <w:t xml:space="preserve"> </w:t>
      </w:r>
      <w:r>
        <w:rPr>
          <w:i/>
          <w:color w:val="231F20"/>
          <w:sz w:val="17"/>
        </w:rPr>
        <w:t>of</w:t>
      </w:r>
      <w:r>
        <w:rPr>
          <w:i/>
          <w:color w:val="231F20"/>
          <w:spacing w:val="-5"/>
          <w:sz w:val="17"/>
        </w:rPr>
        <w:t xml:space="preserve"> </w:t>
      </w:r>
      <w:r>
        <w:rPr>
          <w:i/>
          <w:color w:val="231F20"/>
          <w:sz w:val="17"/>
        </w:rPr>
        <w:t>Vacation</w:t>
      </w:r>
      <w:r>
        <w:rPr>
          <w:i/>
          <w:color w:val="231F20"/>
          <w:spacing w:val="-5"/>
          <w:sz w:val="17"/>
        </w:rPr>
        <w:t xml:space="preserve"> </w:t>
      </w:r>
      <w:r>
        <w:rPr>
          <w:i/>
          <w:color w:val="231F20"/>
          <w:sz w:val="17"/>
        </w:rPr>
        <w:t>Marketing</w:t>
      </w:r>
      <w:r>
        <w:rPr>
          <w:i/>
          <w:color w:val="231F20"/>
          <w:spacing w:val="-5"/>
          <w:sz w:val="17"/>
        </w:rPr>
        <w:t xml:space="preserve"> </w:t>
      </w:r>
      <w:r>
        <w:rPr>
          <w:color w:val="231F20"/>
          <w:sz w:val="17"/>
        </w:rPr>
        <w:t>5</w:t>
      </w:r>
      <w:r>
        <w:rPr>
          <w:color w:val="231F20"/>
          <w:spacing w:val="-5"/>
          <w:sz w:val="17"/>
        </w:rPr>
        <w:t xml:space="preserve"> </w:t>
      </w:r>
      <w:r>
        <w:rPr>
          <w:color w:val="231F20"/>
          <w:sz w:val="17"/>
        </w:rPr>
        <w:t>(1),</w:t>
      </w:r>
      <w:r>
        <w:rPr>
          <w:color w:val="231F20"/>
          <w:spacing w:val="40"/>
          <w:sz w:val="17"/>
        </w:rPr>
        <w:t xml:space="preserve"> </w:t>
      </w:r>
      <w:r>
        <w:rPr>
          <w:color w:val="231F20"/>
          <w:spacing w:val="-2"/>
          <w:sz w:val="17"/>
        </w:rPr>
        <w:t>31–50.</w:t>
      </w:r>
    </w:p>
    <w:p w14:paraId="28D1AF28" w14:textId="77777777" w:rsidR="00AE0598" w:rsidRDefault="0069255A">
      <w:pPr>
        <w:spacing w:before="2"/>
        <w:ind w:left="430" w:right="128" w:hanging="320"/>
        <w:jc w:val="both"/>
        <w:rPr>
          <w:sz w:val="17"/>
        </w:rPr>
      </w:pPr>
      <w:r>
        <w:rPr>
          <w:color w:val="231F20"/>
          <w:sz w:val="17"/>
        </w:rPr>
        <w:t>Plog, S. (1972) Why destination areas rise and fall in popularity. Paper presented at the</w:t>
      </w:r>
      <w:r>
        <w:rPr>
          <w:color w:val="231F20"/>
          <w:spacing w:val="40"/>
          <w:sz w:val="17"/>
        </w:rPr>
        <w:t xml:space="preserve"> </w:t>
      </w:r>
      <w:r>
        <w:rPr>
          <w:color w:val="231F20"/>
          <w:sz w:val="17"/>
        </w:rPr>
        <w:t>Southern</w:t>
      </w:r>
      <w:r>
        <w:rPr>
          <w:color w:val="231F20"/>
          <w:spacing w:val="25"/>
          <w:sz w:val="17"/>
        </w:rPr>
        <w:t xml:space="preserve"> </w:t>
      </w:r>
      <w:r>
        <w:rPr>
          <w:color w:val="231F20"/>
          <w:sz w:val="17"/>
        </w:rPr>
        <w:t>California</w:t>
      </w:r>
      <w:r>
        <w:rPr>
          <w:color w:val="231F20"/>
          <w:spacing w:val="25"/>
          <w:sz w:val="17"/>
        </w:rPr>
        <w:t xml:space="preserve"> </w:t>
      </w:r>
      <w:r>
        <w:rPr>
          <w:color w:val="231F20"/>
          <w:sz w:val="17"/>
        </w:rPr>
        <w:t>Chapter</w:t>
      </w:r>
      <w:r>
        <w:rPr>
          <w:color w:val="231F20"/>
          <w:spacing w:val="25"/>
          <w:sz w:val="17"/>
        </w:rPr>
        <w:t xml:space="preserve"> </w:t>
      </w:r>
      <w:r>
        <w:rPr>
          <w:color w:val="231F20"/>
          <w:sz w:val="17"/>
        </w:rPr>
        <w:t>of</w:t>
      </w:r>
      <w:r>
        <w:rPr>
          <w:color w:val="231F20"/>
          <w:spacing w:val="25"/>
          <w:sz w:val="17"/>
        </w:rPr>
        <w:t xml:space="preserve"> </w:t>
      </w:r>
      <w:r>
        <w:rPr>
          <w:color w:val="231F20"/>
          <w:sz w:val="17"/>
        </w:rPr>
        <w:t>the</w:t>
      </w:r>
      <w:r>
        <w:rPr>
          <w:color w:val="231F20"/>
          <w:spacing w:val="25"/>
          <w:sz w:val="17"/>
        </w:rPr>
        <w:t xml:space="preserve"> </w:t>
      </w:r>
      <w:r>
        <w:rPr>
          <w:color w:val="231F20"/>
          <w:sz w:val="17"/>
        </w:rPr>
        <w:t>Travel</w:t>
      </w:r>
      <w:r>
        <w:rPr>
          <w:color w:val="231F20"/>
          <w:spacing w:val="25"/>
          <w:sz w:val="17"/>
        </w:rPr>
        <w:t xml:space="preserve"> </w:t>
      </w:r>
      <w:r>
        <w:rPr>
          <w:color w:val="231F20"/>
          <w:sz w:val="17"/>
        </w:rPr>
        <w:t>Research</w:t>
      </w:r>
      <w:r>
        <w:rPr>
          <w:color w:val="231F20"/>
          <w:spacing w:val="25"/>
          <w:sz w:val="17"/>
        </w:rPr>
        <w:t xml:space="preserve"> </w:t>
      </w:r>
      <w:r>
        <w:rPr>
          <w:color w:val="231F20"/>
          <w:sz w:val="17"/>
        </w:rPr>
        <w:t>Bureau,</w:t>
      </w:r>
      <w:r>
        <w:rPr>
          <w:color w:val="231F20"/>
          <w:spacing w:val="25"/>
          <w:sz w:val="17"/>
        </w:rPr>
        <w:t xml:space="preserve"> </w:t>
      </w:r>
      <w:r>
        <w:rPr>
          <w:color w:val="231F20"/>
          <w:sz w:val="17"/>
        </w:rPr>
        <w:t>San</w:t>
      </w:r>
      <w:r>
        <w:rPr>
          <w:color w:val="231F20"/>
          <w:spacing w:val="25"/>
          <w:sz w:val="17"/>
        </w:rPr>
        <w:t xml:space="preserve"> </w:t>
      </w:r>
      <w:r>
        <w:rPr>
          <w:color w:val="231F20"/>
          <w:sz w:val="17"/>
        </w:rPr>
        <w:t>Diego,</w:t>
      </w:r>
      <w:r>
        <w:rPr>
          <w:color w:val="231F20"/>
          <w:spacing w:val="25"/>
          <w:sz w:val="17"/>
        </w:rPr>
        <w:t xml:space="preserve"> </w:t>
      </w:r>
      <w:r>
        <w:rPr>
          <w:color w:val="231F20"/>
          <w:sz w:val="17"/>
        </w:rPr>
        <w:t>California,</w:t>
      </w:r>
      <w:r>
        <w:rPr>
          <w:color w:val="231F20"/>
          <w:spacing w:val="40"/>
          <w:sz w:val="17"/>
        </w:rPr>
        <w:t xml:space="preserve"> </w:t>
      </w:r>
      <w:r>
        <w:rPr>
          <w:color w:val="231F20"/>
          <w:sz w:val="17"/>
        </w:rPr>
        <w:t>10 October.</w:t>
      </w:r>
    </w:p>
    <w:p w14:paraId="0F39611C" w14:textId="77777777" w:rsidR="00AE0598" w:rsidRDefault="0069255A">
      <w:pPr>
        <w:spacing w:before="2"/>
        <w:ind w:left="110"/>
        <w:jc w:val="both"/>
        <w:rPr>
          <w:sz w:val="17"/>
        </w:rPr>
      </w:pPr>
      <w:r>
        <w:rPr>
          <w:color w:val="231F20"/>
          <w:sz w:val="17"/>
        </w:rPr>
        <w:t>Poon,</w:t>
      </w:r>
      <w:r>
        <w:rPr>
          <w:color w:val="231F20"/>
          <w:spacing w:val="-1"/>
          <w:sz w:val="17"/>
        </w:rPr>
        <w:t xml:space="preserve"> </w:t>
      </w:r>
      <w:r>
        <w:rPr>
          <w:color w:val="231F20"/>
          <w:sz w:val="17"/>
        </w:rPr>
        <w:t>A.</w:t>
      </w:r>
      <w:r>
        <w:rPr>
          <w:color w:val="231F20"/>
          <w:spacing w:val="-1"/>
          <w:sz w:val="17"/>
        </w:rPr>
        <w:t xml:space="preserve"> </w:t>
      </w:r>
      <w:r>
        <w:rPr>
          <w:color w:val="231F20"/>
          <w:sz w:val="17"/>
        </w:rPr>
        <w:t>(1993) All-inclusive</w:t>
      </w:r>
      <w:r>
        <w:rPr>
          <w:color w:val="231F20"/>
          <w:spacing w:val="-1"/>
          <w:sz w:val="17"/>
        </w:rPr>
        <w:t xml:space="preserve"> </w:t>
      </w:r>
      <w:r>
        <w:rPr>
          <w:color w:val="231F20"/>
          <w:sz w:val="17"/>
        </w:rPr>
        <w:t>resorts.</w:t>
      </w:r>
      <w:r>
        <w:rPr>
          <w:color w:val="231F20"/>
          <w:spacing w:val="-1"/>
          <w:sz w:val="17"/>
        </w:rPr>
        <w:t xml:space="preserve"> </w:t>
      </w:r>
      <w:r>
        <w:rPr>
          <w:i/>
          <w:color w:val="231F20"/>
          <w:sz w:val="17"/>
        </w:rPr>
        <w:t>Travel and</w:t>
      </w:r>
      <w:r>
        <w:rPr>
          <w:i/>
          <w:color w:val="231F20"/>
          <w:spacing w:val="-1"/>
          <w:sz w:val="17"/>
        </w:rPr>
        <w:t xml:space="preserve"> </w:t>
      </w:r>
      <w:r>
        <w:rPr>
          <w:i/>
          <w:color w:val="231F20"/>
          <w:sz w:val="17"/>
        </w:rPr>
        <w:t>Tourism Analyst</w:t>
      </w:r>
      <w:r>
        <w:rPr>
          <w:i/>
          <w:color w:val="231F20"/>
          <w:spacing w:val="-1"/>
          <w:sz w:val="17"/>
        </w:rPr>
        <w:t xml:space="preserve"> </w:t>
      </w:r>
      <w:r>
        <w:rPr>
          <w:color w:val="231F20"/>
          <w:sz w:val="17"/>
        </w:rPr>
        <w:t>2,</w:t>
      </w:r>
      <w:r>
        <w:rPr>
          <w:color w:val="231F20"/>
          <w:spacing w:val="-1"/>
          <w:sz w:val="17"/>
        </w:rPr>
        <w:t xml:space="preserve"> </w:t>
      </w:r>
      <w:r>
        <w:rPr>
          <w:color w:val="231F20"/>
          <w:spacing w:val="-2"/>
          <w:sz w:val="17"/>
        </w:rPr>
        <w:t>54–68.</w:t>
      </w:r>
    </w:p>
    <w:p w14:paraId="274F2D4A" w14:textId="77777777" w:rsidR="00AE0598" w:rsidRDefault="00AE0598">
      <w:pPr>
        <w:jc w:val="both"/>
        <w:rPr>
          <w:sz w:val="17"/>
        </w:rPr>
        <w:sectPr w:rsidR="00AE0598">
          <w:pgSz w:w="8850" w:h="13270"/>
          <w:pgMar w:top="720" w:right="1060" w:bottom="280" w:left="1080" w:header="720" w:footer="720" w:gutter="0"/>
          <w:cols w:space="720"/>
        </w:sectPr>
      </w:pPr>
    </w:p>
    <w:p w14:paraId="2389399D" w14:textId="77777777" w:rsidR="00AE0598" w:rsidRDefault="0069255A">
      <w:pPr>
        <w:spacing w:before="87"/>
        <w:ind w:left="108"/>
        <w:rPr>
          <w:rFonts w:ascii="Trebuchet MS"/>
          <w:sz w:val="14"/>
        </w:rPr>
      </w:pPr>
      <w:r>
        <w:rPr>
          <w:rFonts w:ascii="Trebuchet MS"/>
          <w:color w:val="231F20"/>
          <w:w w:val="105"/>
          <w:sz w:val="14"/>
        </w:rPr>
        <w:lastRenderedPageBreak/>
        <w:t>268</w:t>
      </w:r>
      <w:r>
        <w:rPr>
          <w:rFonts w:ascii="Trebuchet MS"/>
          <w:color w:val="231F20"/>
          <w:spacing w:val="78"/>
          <w:w w:val="150"/>
          <w:sz w:val="14"/>
        </w:rPr>
        <w:t xml:space="preserve"> </w:t>
      </w:r>
      <w:r>
        <w:rPr>
          <w:rFonts w:ascii="Trebuchet MS"/>
          <w:color w:val="231F20"/>
          <w:spacing w:val="-2"/>
          <w:w w:val="105"/>
          <w:sz w:val="14"/>
        </w:rPr>
        <w:t>References</w:t>
      </w:r>
    </w:p>
    <w:p w14:paraId="62740BAF" w14:textId="77777777" w:rsidR="00AE0598" w:rsidRDefault="00AE0598">
      <w:pPr>
        <w:pStyle w:val="Corpodetexto"/>
        <w:rPr>
          <w:rFonts w:ascii="Trebuchet MS"/>
          <w:sz w:val="16"/>
        </w:rPr>
      </w:pPr>
    </w:p>
    <w:p w14:paraId="18F115A3" w14:textId="77777777" w:rsidR="00AE0598" w:rsidRDefault="0069255A">
      <w:pPr>
        <w:spacing w:before="121"/>
        <w:ind w:left="110" w:right="127"/>
        <w:jc w:val="right"/>
        <w:rPr>
          <w:sz w:val="17"/>
        </w:rPr>
      </w:pPr>
      <w:r>
        <w:rPr>
          <w:color w:val="231F20"/>
          <w:sz w:val="17"/>
        </w:rPr>
        <w:t>Pope,</w:t>
      </w:r>
      <w:r>
        <w:rPr>
          <w:color w:val="231F20"/>
          <w:spacing w:val="23"/>
          <w:sz w:val="17"/>
        </w:rPr>
        <w:t xml:space="preserve"> </w:t>
      </w:r>
      <w:r>
        <w:rPr>
          <w:color w:val="231F20"/>
          <w:sz w:val="17"/>
        </w:rPr>
        <w:t>S.W.</w:t>
      </w:r>
      <w:r>
        <w:rPr>
          <w:color w:val="231F20"/>
          <w:spacing w:val="24"/>
          <w:sz w:val="17"/>
        </w:rPr>
        <w:t xml:space="preserve"> </w:t>
      </w:r>
      <w:r>
        <w:rPr>
          <w:color w:val="231F20"/>
          <w:sz w:val="17"/>
        </w:rPr>
        <w:t>(1997)</w:t>
      </w:r>
      <w:r>
        <w:rPr>
          <w:color w:val="231F20"/>
          <w:spacing w:val="23"/>
          <w:sz w:val="17"/>
        </w:rPr>
        <w:t xml:space="preserve"> </w:t>
      </w:r>
      <w:r>
        <w:rPr>
          <w:color w:val="231F20"/>
          <w:sz w:val="17"/>
        </w:rPr>
        <w:t>Introduction:</w:t>
      </w:r>
      <w:r>
        <w:rPr>
          <w:color w:val="231F20"/>
          <w:spacing w:val="24"/>
          <w:sz w:val="17"/>
        </w:rPr>
        <w:t xml:space="preserve"> </w:t>
      </w:r>
      <w:r>
        <w:rPr>
          <w:color w:val="231F20"/>
          <w:sz w:val="17"/>
        </w:rPr>
        <w:t>American</w:t>
      </w:r>
      <w:r>
        <w:rPr>
          <w:color w:val="231F20"/>
          <w:spacing w:val="23"/>
          <w:sz w:val="17"/>
        </w:rPr>
        <w:t xml:space="preserve"> </w:t>
      </w:r>
      <w:r>
        <w:rPr>
          <w:color w:val="231F20"/>
          <w:sz w:val="17"/>
        </w:rPr>
        <w:t>sport</w:t>
      </w:r>
      <w:r>
        <w:rPr>
          <w:color w:val="231F20"/>
          <w:spacing w:val="24"/>
          <w:sz w:val="17"/>
        </w:rPr>
        <w:t xml:space="preserve"> </w:t>
      </w:r>
      <w:r>
        <w:rPr>
          <w:color w:val="231F20"/>
          <w:sz w:val="17"/>
        </w:rPr>
        <w:t>history</w:t>
      </w:r>
      <w:r>
        <w:rPr>
          <w:color w:val="231F20"/>
          <w:spacing w:val="23"/>
          <w:sz w:val="17"/>
        </w:rPr>
        <w:t xml:space="preserve"> </w:t>
      </w:r>
      <w:r>
        <w:rPr>
          <w:color w:val="231F20"/>
          <w:sz w:val="17"/>
        </w:rPr>
        <w:t>–</w:t>
      </w:r>
      <w:r>
        <w:rPr>
          <w:color w:val="231F20"/>
          <w:spacing w:val="24"/>
          <w:sz w:val="17"/>
        </w:rPr>
        <w:t xml:space="preserve"> </w:t>
      </w:r>
      <w:r>
        <w:rPr>
          <w:color w:val="231F20"/>
          <w:sz w:val="17"/>
        </w:rPr>
        <w:t>toward</w:t>
      </w:r>
      <w:r>
        <w:rPr>
          <w:color w:val="231F20"/>
          <w:spacing w:val="23"/>
          <w:sz w:val="17"/>
        </w:rPr>
        <w:t xml:space="preserve"> </w:t>
      </w:r>
      <w:r>
        <w:rPr>
          <w:color w:val="231F20"/>
          <w:sz w:val="17"/>
        </w:rPr>
        <w:t>a</w:t>
      </w:r>
      <w:r>
        <w:rPr>
          <w:color w:val="231F20"/>
          <w:spacing w:val="24"/>
          <w:sz w:val="17"/>
        </w:rPr>
        <w:t xml:space="preserve"> </w:t>
      </w:r>
      <w:r>
        <w:rPr>
          <w:color w:val="231F20"/>
          <w:sz w:val="17"/>
        </w:rPr>
        <w:t>new</w:t>
      </w:r>
      <w:r>
        <w:rPr>
          <w:color w:val="231F20"/>
          <w:spacing w:val="23"/>
          <w:sz w:val="17"/>
        </w:rPr>
        <w:t xml:space="preserve"> </w:t>
      </w:r>
      <w:r>
        <w:rPr>
          <w:color w:val="231F20"/>
          <w:sz w:val="17"/>
        </w:rPr>
        <w:t>paradigm.</w:t>
      </w:r>
      <w:r>
        <w:rPr>
          <w:color w:val="231F20"/>
          <w:spacing w:val="24"/>
          <w:sz w:val="17"/>
        </w:rPr>
        <w:t xml:space="preserve"> </w:t>
      </w:r>
      <w:r>
        <w:rPr>
          <w:color w:val="231F20"/>
          <w:spacing w:val="-5"/>
          <w:sz w:val="17"/>
        </w:rPr>
        <w:t>In</w:t>
      </w:r>
    </w:p>
    <w:p w14:paraId="73D7D89E" w14:textId="77777777" w:rsidR="00AE0598" w:rsidRDefault="0069255A">
      <w:pPr>
        <w:ind w:left="110" w:right="127"/>
        <w:jc w:val="right"/>
        <w:rPr>
          <w:i/>
          <w:sz w:val="17"/>
        </w:rPr>
      </w:pPr>
      <w:r>
        <w:rPr>
          <w:color w:val="231F20"/>
          <w:sz w:val="17"/>
        </w:rPr>
        <w:t>S.W. Pope</w:t>
      </w:r>
      <w:r>
        <w:rPr>
          <w:color w:val="231F20"/>
          <w:spacing w:val="1"/>
          <w:sz w:val="17"/>
        </w:rPr>
        <w:t xml:space="preserve"> </w:t>
      </w:r>
      <w:r>
        <w:rPr>
          <w:color w:val="231F20"/>
          <w:sz w:val="17"/>
        </w:rPr>
        <w:t xml:space="preserve">(ed.) </w:t>
      </w:r>
      <w:r>
        <w:rPr>
          <w:i/>
          <w:color w:val="231F20"/>
          <w:sz w:val="17"/>
        </w:rPr>
        <w:t>The</w:t>
      </w:r>
      <w:r>
        <w:rPr>
          <w:i/>
          <w:color w:val="231F20"/>
          <w:spacing w:val="1"/>
          <w:sz w:val="17"/>
        </w:rPr>
        <w:t xml:space="preserve"> </w:t>
      </w:r>
      <w:r>
        <w:rPr>
          <w:i/>
          <w:color w:val="231F20"/>
          <w:sz w:val="17"/>
        </w:rPr>
        <w:t>New American</w:t>
      </w:r>
      <w:r>
        <w:rPr>
          <w:i/>
          <w:color w:val="231F20"/>
          <w:spacing w:val="1"/>
          <w:sz w:val="17"/>
        </w:rPr>
        <w:t xml:space="preserve"> </w:t>
      </w:r>
      <w:r>
        <w:rPr>
          <w:i/>
          <w:color w:val="231F20"/>
          <w:sz w:val="17"/>
        </w:rPr>
        <w:t>Sport History:</w:t>
      </w:r>
      <w:r>
        <w:rPr>
          <w:i/>
          <w:color w:val="231F20"/>
          <w:spacing w:val="1"/>
          <w:sz w:val="17"/>
        </w:rPr>
        <w:t xml:space="preserve"> </w:t>
      </w:r>
      <w:r>
        <w:rPr>
          <w:i/>
          <w:color w:val="231F20"/>
          <w:sz w:val="17"/>
        </w:rPr>
        <w:t>Recent</w:t>
      </w:r>
      <w:r>
        <w:rPr>
          <w:i/>
          <w:color w:val="231F20"/>
          <w:spacing w:val="1"/>
          <w:sz w:val="17"/>
        </w:rPr>
        <w:t xml:space="preserve"> </w:t>
      </w:r>
      <w:r>
        <w:rPr>
          <w:i/>
          <w:color w:val="231F20"/>
          <w:sz w:val="17"/>
        </w:rPr>
        <w:t>Approaches and</w:t>
      </w:r>
      <w:r>
        <w:rPr>
          <w:i/>
          <w:color w:val="231F20"/>
          <w:spacing w:val="1"/>
          <w:sz w:val="17"/>
        </w:rPr>
        <w:t xml:space="preserve"> </w:t>
      </w:r>
      <w:r>
        <w:rPr>
          <w:i/>
          <w:color w:val="231F20"/>
          <w:spacing w:val="-2"/>
          <w:sz w:val="17"/>
        </w:rPr>
        <w:t>Perspectives</w:t>
      </w:r>
    </w:p>
    <w:p w14:paraId="3A9E0D66" w14:textId="77777777" w:rsidR="00AE0598" w:rsidRDefault="0069255A">
      <w:pPr>
        <w:spacing w:before="1"/>
        <w:ind w:left="430"/>
        <w:jc w:val="both"/>
        <w:rPr>
          <w:sz w:val="17"/>
        </w:rPr>
      </w:pPr>
      <w:r>
        <w:rPr>
          <w:color w:val="231F20"/>
          <w:w w:val="95"/>
          <w:sz w:val="17"/>
        </w:rPr>
        <w:t>(pp.</w:t>
      </w:r>
      <w:r>
        <w:rPr>
          <w:color w:val="231F20"/>
          <w:spacing w:val="15"/>
          <w:sz w:val="17"/>
        </w:rPr>
        <w:t xml:space="preserve"> </w:t>
      </w:r>
      <w:r>
        <w:rPr>
          <w:color w:val="231F20"/>
          <w:w w:val="95"/>
          <w:sz w:val="17"/>
        </w:rPr>
        <w:t>1–30).</w:t>
      </w:r>
      <w:r>
        <w:rPr>
          <w:color w:val="231F20"/>
          <w:spacing w:val="16"/>
          <w:sz w:val="17"/>
        </w:rPr>
        <w:t xml:space="preserve"> </w:t>
      </w:r>
      <w:r>
        <w:rPr>
          <w:color w:val="231F20"/>
          <w:w w:val="95"/>
          <w:sz w:val="17"/>
        </w:rPr>
        <w:t>Urbana,</w:t>
      </w:r>
      <w:r>
        <w:rPr>
          <w:color w:val="231F20"/>
          <w:spacing w:val="16"/>
          <w:sz w:val="17"/>
        </w:rPr>
        <w:t xml:space="preserve"> </w:t>
      </w:r>
      <w:r>
        <w:rPr>
          <w:color w:val="231F20"/>
          <w:w w:val="95"/>
          <w:sz w:val="17"/>
        </w:rPr>
        <w:t>IL:</w:t>
      </w:r>
      <w:r>
        <w:rPr>
          <w:color w:val="231F20"/>
          <w:spacing w:val="16"/>
          <w:sz w:val="17"/>
        </w:rPr>
        <w:t xml:space="preserve"> </w:t>
      </w:r>
      <w:r>
        <w:rPr>
          <w:color w:val="231F20"/>
          <w:w w:val="95"/>
          <w:sz w:val="17"/>
        </w:rPr>
        <w:t>University</w:t>
      </w:r>
      <w:r>
        <w:rPr>
          <w:color w:val="231F20"/>
          <w:spacing w:val="15"/>
          <w:sz w:val="17"/>
        </w:rPr>
        <w:t xml:space="preserve"> </w:t>
      </w:r>
      <w:r>
        <w:rPr>
          <w:color w:val="231F20"/>
          <w:w w:val="95"/>
          <w:sz w:val="17"/>
        </w:rPr>
        <w:t>of</w:t>
      </w:r>
      <w:r>
        <w:rPr>
          <w:color w:val="231F20"/>
          <w:spacing w:val="16"/>
          <w:sz w:val="17"/>
        </w:rPr>
        <w:t xml:space="preserve"> </w:t>
      </w:r>
      <w:r>
        <w:rPr>
          <w:color w:val="231F20"/>
          <w:spacing w:val="-2"/>
          <w:w w:val="95"/>
          <w:sz w:val="17"/>
        </w:rPr>
        <w:t>Chicago.</w:t>
      </w:r>
    </w:p>
    <w:p w14:paraId="5C74E063" w14:textId="77777777" w:rsidR="00AE0598" w:rsidRDefault="0069255A">
      <w:pPr>
        <w:spacing w:before="1"/>
        <w:ind w:left="110"/>
        <w:jc w:val="both"/>
        <w:rPr>
          <w:sz w:val="17"/>
        </w:rPr>
      </w:pPr>
      <w:r>
        <w:rPr>
          <w:color w:val="231F20"/>
          <w:w w:val="95"/>
          <w:sz w:val="17"/>
        </w:rPr>
        <w:t>Porteous,</w:t>
      </w:r>
      <w:r>
        <w:rPr>
          <w:color w:val="231F20"/>
          <w:spacing w:val="11"/>
          <w:sz w:val="17"/>
        </w:rPr>
        <w:t xml:space="preserve"> </w:t>
      </w:r>
      <w:r>
        <w:rPr>
          <w:color w:val="231F20"/>
          <w:w w:val="95"/>
          <w:sz w:val="17"/>
        </w:rPr>
        <w:t>B.</w:t>
      </w:r>
      <w:r>
        <w:rPr>
          <w:color w:val="231F20"/>
          <w:spacing w:val="11"/>
          <w:sz w:val="17"/>
        </w:rPr>
        <w:t xml:space="preserve"> </w:t>
      </w:r>
      <w:r>
        <w:rPr>
          <w:color w:val="231F20"/>
          <w:w w:val="95"/>
          <w:sz w:val="17"/>
        </w:rPr>
        <w:t>(2000)</w:t>
      </w:r>
      <w:r>
        <w:rPr>
          <w:color w:val="231F20"/>
          <w:spacing w:val="11"/>
          <w:sz w:val="17"/>
        </w:rPr>
        <w:t xml:space="preserve"> </w:t>
      </w:r>
      <w:r>
        <w:rPr>
          <w:color w:val="231F20"/>
          <w:w w:val="95"/>
          <w:sz w:val="17"/>
        </w:rPr>
        <w:t>Sports</w:t>
      </w:r>
      <w:r>
        <w:rPr>
          <w:color w:val="231F20"/>
          <w:spacing w:val="11"/>
          <w:sz w:val="17"/>
        </w:rPr>
        <w:t xml:space="preserve"> </w:t>
      </w:r>
      <w:r>
        <w:rPr>
          <w:color w:val="231F20"/>
          <w:w w:val="95"/>
          <w:sz w:val="17"/>
        </w:rPr>
        <w:t>development:</w:t>
      </w:r>
      <w:r>
        <w:rPr>
          <w:color w:val="231F20"/>
          <w:spacing w:val="11"/>
          <w:sz w:val="17"/>
        </w:rPr>
        <w:t xml:space="preserve"> </w:t>
      </w:r>
      <w:r>
        <w:rPr>
          <w:color w:val="231F20"/>
          <w:w w:val="95"/>
          <w:sz w:val="17"/>
        </w:rPr>
        <w:t>Glasgow.</w:t>
      </w:r>
      <w:r>
        <w:rPr>
          <w:color w:val="231F20"/>
          <w:spacing w:val="11"/>
          <w:sz w:val="17"/>
        </w:rPr>
        <w:t xml:space="preserve"> </w:t>
      </w:r>
      <w:r>
        <w:rPr>
          <w:i/>
          <w:color w:val="231F20"/>
          <w:w w:val="95"/>
          <w:sz w:val="17"/>
        </w:rPr>
        <w:t>Leisure</w:t>
      </w:r>
      <w:r>
        <w:rPr>
          <w:i/>
          <w:color w:val="231F20"/>
          <w:spacing w:val="11"/>
          <w:sz w:val="17"/>
        </w:rPr>
        <w:t xml:space="preserve"> </w:t>
      </w:r>
      <w:r>
        <w:rPr>
          <w:i/>
          <w:color w:val="231F20"/>
          <w:w w:val="95"/>
          <w:sz w:val="17"/>
        </w:rPr>
        <w:t>Manager</w:t>
      </w:r>
      <w:r>
        <w:rPr>
          <w:i/>
          <w:color w:val="231F20"/>
          <w:spacing w:val="11"/>
          <w:sz w:val="17"/>
        </w:rPr>
        <w:t xml:space="preserve"> </w:t>
      </w:r>
      <w:r>
        <w:rPr>
          <w:color w:val="231F20"/>
          <w:w w:val="95"/>
          <w:sz w:val="17"/>
        </w:rPr>
        <w:t>18</w:t>
      </w:r>
      <w:r>
        <w:rPr>
          <w:color w:val="231F20"/>
          <w:spacing w:val="12"/>
          <w:sz w:val="17"/>
        </w:rPr>
        <w:t xml:space="preserve"> </w:t>
      </w:r>
      <w:r>
        <w:rPr>
          <w:color w:val="231F20"/>
          <w:w w:val="95"/>
          <w:sz w:val="17"/>
        </w:rPr>
        <w:t>(11),</w:t>
      </w:r>
      <w:r>
        <w:rPr>
          <w:color w:val="231F20"/>
          <w:spacing w:val="11"/>
          <w:sz w:val="17"/>
        </w:rPr>
        <w:t xml:space="preserve"> </w:t>
      </w:r>
      <w:r>
        <w:rPr>
          <w:color w:val="231F20"/>
          <w:spacing w:val="-2"/>
          <w:w w:val="95"/>
          <w:sz w:val="17"/>
        </w:rPr>
        <w:t>18–21.</w:t>
      </w:r>
    </w:p>
    <w:p w14:paraId="0AD12A1B" w14:textId="77777777" w:rsidR="00AE0598" w:rsidRDefault="0069255A">
      <w:pPr>
        <w:spacing w:before="1"/>
        <w:ind w:left="110"/>
        <w:jc w:val="both"/>
        <w:rPr>
          <w:sz w:val="17"/>
        </w:rPr>
      </w:pPr>
      <w:r>
        <w:rPr>
          <w:color w:val="231F20"/>
          <w:sz w:val="17"/>
        </w:rPr>
        <w:t>Porter,</w:t>
      </w:r>
      <w:r>
        <w:rPr>
          <w:color w:val="231F20"/>
          <w:spacing w:val="7"/>
          <w:sz w:val="17"/>
        </w:rPr>
        <w:t xml:space="preserve"> </w:t>
      </w:r>
      <w:r>
        <w:rPr>
          <w:color w:val="231F20"/>
          <w:sz w:val="17"/>
        </w:rPr>
        <w:t>D.</w:t>
      </w:r>
      <w:r>
        <w:rPr>
          <w:color w:val="231F20"/>
          <w:spacing w:val="8"/>
          <w:sz w:val="17"/>
        </w:rPr>
        <w:t xml:space="preserve"> </w:t>
      </w:r>
      <w:r>
        <w:rPr>
          <w:color w:val="231F20"/>
          <w:sz w:val="17"/>
        </w:rPr>
        <w:t>and</w:t>
      </w:r>
      <w:r>
        <w:rPr>
          <w:color w:val="231F20"/>
          <w:spacing w:val="7"/>
          <w:sz w:val="17"/>
        </w:rPr>
        <w:t xml:space="preserve"> </w:t>
      </w:r>
      <w:r>
        <w:rPr>
          <w:color w:val="231F20"/>
          <w:sz w:val="17"/>
        </w:rPr>
        <w:t>Smith,</w:t>
      </w:r>
      <w:r>
        <w:rPr>
          <w:color w:val="231F20"/>
          <w:spacing w:val="8"/>
          <w:sz w:val="17"/>
        </w:rPr>
        <w:t xml:space="preserve"> </w:t>
      </w:r>
      <w:r>
        <w:rPr>
          <w:color w:val="231F20"/>
          <w:sz w:val="17"/>
        </w:rPr>
        <w:t>A.</w:t>
      </w:r>
      <w:r>
        <w:rPr>
          <w:color w:val="231F20"/>
          <w:spacing w:val="7"/>
          <w:sz w:val="17"/>
        </w:rPr>
        <w:t xml:space="preserve"> </w:t>
      </w:r>
      <w:r>
        <w:rPr>
          <w:color w:val="231F20"/>
          <w:sz w:val="17"/>
        </w:rPr>
        <w:t>(eds)</w:t>
      </w:r>
      <w:r>
        <w:rPr>
          <w:color w:val="231F20"/>
          <w:spacing w:val="8"/>
          <w:sz w:val="17"/>
        </w:rPr>
        <w:t xml:space="preserve"> </w:t>
      </w:r>
      <w:r>
        <w:rPr>
          <w:color w:val="231F20"/>
          <w:sz w:val="17"/>
        </w:rPr>
        <w:t>(2013)</w:t>
      </w:r>
      <w:r>
        <w:rPr>
          <w:color w:val="231F20"/>
          <w:spacing w:val="7"/>
          <w:sz w:val="17"/>
        </w:rPr>
        <w:t xml:space="preserve"> </w:t>
      </w:r>
      <w:r>
        <w:rPr>
          <w:i/>
          <w:color w:val="231F20"/>
          <w:sz w:val="17"/>
        </w:rPr>
        <w:t>Sport</w:t>
      </w:r>
      <w:r>
        <w:rPr>
          <w:i/>
          <w:color w:val="231F20"/>
          <w:spacing w:val="8"/>
          <w:sz w:val="17"/>
        </w:rPr>
        <w:t xml:space="preserve"> </w:t>
      </w:r>
      <w:r>
        <w:rPr>
          <w:i/>
          <w:color w:val="231F20"/>
          <w:sz w:val="17"/>
        </w:rPr>
        <w:t>and</w:t>
      </w:r>
      <w:r>
        <w:rPr>
          <w:i/>
          <w:color w:val="231F20"/>
          <w:spacing w:val="7"/>
          <w:sz w:val="17"/>
        </w:rPr>
        <w:t xml:space="preserve"> </w:t>
      </w:r>
      <w:r>
        <w:rPr>
          <w:i/>
          <w:color w:val="231F20"/>
          <w:sz w:val="17"/>
        </w:rPr>
        <w:t>National</w:t>
      </w:r>
      <w:r>
        <w:rPr>
          <w:i/>
          <w:color w:val="231F20"/>
          <w:spacing w:val="8"/>
          <w:sz w:val="17"/>
        </w:rPr>
        <w:t xml:space="preserve"> </w:t>
      </w:r>
      <w:r>
        <w:rPr>
          <w:i/>
          <w:color w:val="231F20"/>
          <w:sz w:val="17"/>
        </w:rPr>
        <w:t>Identity</w:t>
      </w:r>
      <w:r>
        <w:rPr>
          <w:i/>
          <w:color w:val="231F20"/>
          <w:spacing w:val="7"/>
          <w:sz w:val="17"/>
        </w:rPr>
        <w:t xml:space="preserve"> </w:t>
      </w:r>
      <w:r>
        <w:rPr>
          <w:i/>
          <w:color w:val="231F20"/>
          <w:sz w:val="17"/>
        </w:rPr>
        <w:t>in</w:t>
      </w:r>
      <w:r>
        <w:rPr>
          <w:i/>
          <w:color w:val="231F20"/>
          <w:spacing w:val="8"/>
          <w:sz w:val="17"/>
        </w:rPr>
        <w:t xml:space="preserve"> </w:t>
      </w:r>
      <w:r>
        <w:rPr>
          <w:i/>
          <w:color w:val="231F20"/>
          <w:sz w:val="17"/>
        </w:rPr>
        <w:t>the</w:t>
      </w:r>
      <w:r>
        <w:rPr>
          <w:i/>
          <w:color w:val="231F20"/>
          <w:spacing w:val="7"/>
          <w:sz w:val="17"/>
        </w:rPr>
        <w:t xml:space="preserve"> </w:t>
      </w:r>
      <w:r>
        <w:rPr>
          <w:i/>
          <w:color w:val="231F20"/>
          <w:sz w:val="17"/>
        </w:rPr>
        <w:t>Post-War</w:t>
      </w:r>
      <w:r>
        <w:rPr>
          <w:i/>
          <w:color w:val="231F20"/>
          <w:spacing w:val="8"/>
          <w:sz w:val="17"/>
        </w:rPr>
        <w:t xml:space="preserve"> </w:t>
      </w:r>
      <w:r>
        <w:rPr>
          <w:i/>
          <w:color w:val="231F20"/>
          <w:spacing w:val="-2"/>
          <w:sz w:val="17"/>
        </w:rPr>
        <w:t>World</w:t>
      </w:r>
      <w:r>
        <w:rPr>
          <w:color w:val="231F20"/>
          <w:spacing w:val="-2"/>
          <w:sz w:val="17"/>
        </w:rPr>
        <w:t>.</w:t>
      </w:r>
    </w:p>
    <w:p w14:paraId="1549161E" w14:textId="77777777" w:rsidR="00AE0598" w:rsidRDefault="0069255A">
      <w:pPr>
        <w:ind w:left="430"/>
        <w:jc w:val="both"/>
        <w:rPr>
          <w:sz w:val="17"/>
        </w:rPr>
      </w:pPr>
      <w:r>
        <w:rPr>
          <w:color w:val="231F20"/>
          <w:sz w:val="17"/>
        </w:rPr>
        <w:t>London:</w:t>
      </w:r>
      <w:r>
        <w:rPr>
          <w:color w:val="231F20"/>
          <w:spacing w:val="3"/>
          <w:sz w:val="17"/>
        </w:rPr>
        <w:t xml:space="preserve"> </w:t>
      </w:r>
      <w:r>
        <w:rPr>
          <w:color w:val="231F20"/>
          <w:spacing w:val="-2"/>
          <w:sz w:val="17"/>
        </w:rPr>
        <w:t>Routledge.</w:t>
      </w:r>
    </w:p>
    <w:p w14:paraId="2FE23B3D" w14:textId="77777777" w:rsidR="00AE0598" w:rsidRDefault="0069255A">
      <w:pPr>
        <w:spacing w:before="1"/>
        <w:ind w:left="430" w:right="128" w:hanging="320"/>
        <w:jc w:val="both"/>
        <w:rPr>
          <w:sz w:val="17"/>
        </w:rPr>
      </w:pPr>
      <w:r>
        <w:rPr>
          <w:color w:val="231F20"/>
          <w:sz w:val="17"/>
        </w:rPr>
        <w:t xml:space="preserve">Preuss, H. (2005) The economic impact of visitors at major multi-sport events. </w:t>
      </w:r>
      <w:r>
        <w:rPr>
          <w:i/>
          <w:color w:val="231F20"/>
          <w:sz w:val="17"/>
        </w:rPr>
        <w:t>European</w:t>
      </w:r>
      <w:r>
        <w:rPr>
          <w:i/>
          <w:color w:val="231F20"/>
          <w:spacing w:val="40"/>
          <w:sz w:val="17"/>
        </w:rPr>
        <w:t xml:space="preserve"> </w:t>
      </w:r>
      <w:r>
        <w:rPr>
          <w:i/>
          <w:color w:val="231F20"/>
          <w:sz w:val="17"/>
        </w:rPr>
        <w:t xml:space="preserve">Sport Management Quarterly </w:t>
      </w:r>
      <w:r>
        <w:rPr>
          <w:color w:val="231F20"/>
          <w:sz w:val="17"/>
        </w:rPr>
        <w:t>5 (3), 281–301.</w:t>
      </w:r>
    </w:p>
    <w:p w14:paraId="150771CC" w14:textId="77777777" w:rsidR="00AE0598" w:rsidRDefault="0069255A">
      <w:pPr>
        <w:spacing w:before="1"/>
        <w:ind w:left="110"/>
        <w:jc w:val="both"/>
        <w:rPr>
          <w:sz w:val="17"/>
        </w:rPr>
      </w:pPr>
      <w:r>
        <w:rPr>
          <w:color w:val="231F20"/>
          <w:w w:val="95"/>
          <w:sz w:val="17"/>
        </w:rPr>
        <w:t>Preuss,</w:t>
      </w:r>
      <w:r>
        <w:rPr>
          <w:color w:val="231F20"/>
          <w:spacing w:val="28"/>
          <w:sz w:val="17"/>
        </w:rPr>
        <w:t xml:space="preserve"> </w:t>
      </w:r>
      <w:r>
        <w:rPr>
          <w:color w:val="231F20"/>
          <w:w w:val="95"/>
          <w:sz w:val="17"/>
        </w:rPr>
        <w:t>H.</w:t>
      </w:r>
      <w:r>
        <w:rPr>
          <w:color w:val="231F20"/>
          <w:spacing w:val="29"/>
          <w:sz w:val="17"/>
        </w:rPr>
        <w:t xml:space="preserve"> </w:t>
      </w:r>
      <w:r>
        <w:rPr>
          <w:color w:val="231F20"/>
          <w:w w:val="95"/>
          <w:sz w:val="17"/>
        </w:rPr>
        <w:t>(2007)</w:t>
      </w:r>
      <w:r>
        <w:rPr>
          <w:color w:val="231F20"/>
          <w:spacing w:val="29"/>
          <w:sz w:val="17"/>
        </w:rPr>
        <w:t xml:space="preserve"> </w:t>
      </w:r>
      <w:r>
        <w:rPr>
          <w:color w:val="231F20"/>
          <w:w w:val="95"/>
          <w:sz w:val="17"/>
        </w:rPr>
        <w:t>The</w:t>
      </w:r>
      <w:r>
        <w:rPr>
          <w:color w:val="231F20"/>
          <w:spacing w:val="29"/>
          <w:sz w:val="17"/>
        </w:rPr>
        <w:t xml:space="preserve"> </w:t>
      </w:r>
      <w:r>
        <w:rPr>
          <w:color w:val="231F20"/>
          <w:w w:val="95"/>
          <w:sz w:val="17"/>
        </w:rPr>
        <w:t>conceptualisation</w:t>
      </w:r>
      <w:r>
        <w:rPr>
          <w:color w:val="231F20"/>
          <w:spacing w:val="29"/>
          <w:sz w:val="17"/>
        </w:rPr>
        <w:t xml:space="preserve"> </w:t>
      </w:r>
      <w:r>
        <w:rPr>
          <w:color w:val="231F20"/>
          <w:w w:val="95"/>
          <w:sz w:val="17"/>
        </w:rPr>
        <w:t>and</w:t>
      </w:r>
      <w:r>
        <w:rPr>
          <w:color w:val="231F20"/>
          <w:spacing w:val="29"/>
          <w:sz w:val="17"/>
        </w:rPr>
        <w:t xml:space="preserve"> </w:t>
      </w:r>
      <w:r>
        <w:rPr>
          <w:color w:val="231F20"/>
          <w:w w:val="95"/>
          <w:sz w:val="17"/>
        </w:rPr>
        <w:t>measurement</w:t>
      </w:r>
      <w:r>
        <w:rPr>
          <w:color w:val="231F20"/>
          <w:spacing w:val="28"/>
          <w:sz w:val="17"/>
        </w:rPr>
        <w:t xml:space="preserve"> </w:t>
      </w:r>
      <w:r>
        <w:rPr>
          <w:color w:val="231F20"/>
          <w:w w:val="95"/>
          <w:sz w:val="17"/>
        </w:rPr>
        <w:t>of</w:t>
      </w:r>
      <w:r>
        <w:rPr>
          <w:color w:val="231F20"/>
          <w:spacing w:val="29"/>
          <w:sz w:val="17"/>
        </w:rPr>
        <w:t xml:space="preserve"> </w:t>
      </w:r>
      <w:r>
        <w:rPr>
          <w:color w:val="231F20"/>
          <w:w w:val="95"/>
          <w:sz w:val="17"/>
        </w:rPr>
        <w:t>mega</w:t>
      </w:r>
      <w:r>
        <w:rPr>
          <w:color w:val="231F20"/>
          <w:spacing w:val="29"/>
          <w:sz w:val="17"/>
        </w:rPr>
        <w:t xml:space="preserve"> </w:t>
      </w:r>
      <w:r>
        <w:rPr>
          <w:color w:val="231F20"/>
          <w:w w:val="95"/>
          <w:sz w:val="17"/>
        </w:rPr>
        <w:t>sport</w:t>
      </w:r>
      <w:r>
        <w:rPr>
          <w:color w:val="231F20"/>
          <w:spacing w:val="29"/>
          <w:sz w:val="17"/>
        </w:rPr>
        <w:t xml:space="preserve"> </w:t>
      </w:r>
      <w:r>
        <w:rPr>
          <w:color w:val="231F20"/>
          <w:w w:val="95"/>
          <w:sz w:val="17"/>
        </w:rPr>
        <w:t>event</w:t>
      </w:r>
      <w:r>
        <w:rPr>
          <w:color w:val="231F20"/>
          <w:spacing w:val="29"/>
          <w:sz w:val="17"/>
        </w:rPr>
        <w:t xml:space="preserve"> </w:t>
      </w:r>
      <w:r>
        <w:rPr>
          <w:color w:val="231F20"/>
          <w:spacing w:val="-2"/>
          <w:w w:val="95"/>
          <w:sz w:val="17"/>
        </w:rPr>
        <w:t>legacies.</w:t>
      </w:r>
    </w:p>
    <w:p w14:paraId="59A56265" w14:textId="77777777" w:rsidR="00AE0598" w:rsidRDefault="0069255A">
      <w:pPr>
        <w:spacing w:before="1"/>
        <w:ind w:left="430"/>
        <w:jc w:val="both"/>
        <w:rPr>
          <w:sz w:val="17"/>
        </w:rPr>
      </w:pPr>
      <w:r>
        <w:rPr>
          <w:i/>
          <w:color w:val="231F20"/>
          <w:sz w:val="17"/>
        </w:rPr>
        <w:t>Jour</w:t>
      </w:r>
      <w:r>
        <w:rPr>
          <w:i/>
          <w:color w:val="231F20"/>
          <w:sz w:val="17"/>
        </w:rPr>
        <w:t>nal</w:t>
      </w:r>
      <w:r>
        <w:rPr>
          <w:i/>
          <w:color w:val="231F20"/>
          <w:spacing w:val="11"/>
          <w:sz w:val="17"/>
        </w:rPr>
        <w:t xml:space="preserve"> </w:t>
      </w:r>
      <w:r>
        <w:rPr>
          <w:i/>
          <w:color w:val="231F20"/>
          <w:sz w:val="17"/>
        </w:rPr>
        <w:t>of</w:t>
      </w:r>
      <w:r>
        <w:rPr>
          <w:i/>
          <w:color w:val="231F20"/>
          <w:spacing w:val="12"/>
          <w:sz w:val="17"/>
        </w:rPr>
        <w:t xml:space="preserve"> </w:t>
      </w:r>
      <w:r>
        <w:rPr>
          <w:i/>
          <w:color w:val="231F20"/>
          <w:sz w:val="17"/>
        </w:rPr>
        <w:t>Sport</w:t>
      </w:r>
      <w:r>
        <w:rPr>
          <w:i/>
          <w:color w:val="231F20"/>
          <w:spacing w:val="12"/>
          <w:sz w:val="17"/>
        </w:rPr>
        <w:t xml:space="preserve"> </w:t>
      </w:r>
      <w:r>
        <w:rPr>
          <w:i/>
          <w:color w:val="231F20"/>
          <w:sz w:val="17"/>
        </w:rPr>
        <w:t>&amp;</w:t>
      </w:r>
      <w:r>
        <w:rPr>
          <w:i/>
          <w:color w:val="231F20"/>
          <w:spacing w:val="11"/>
          <w:sz w:val="17"/>
        </w:rPr>
        <w:t xml:space="preserve"> </w:t>
      </w:r>
      <w:r>
        <w:rPr>
          <w:i/>
          <w:color w:val="231F20"/>
          <w:sz w:val="17"/>
        </w:rPr>
        <w:t>Tourism</w:t>
      </w:r>
      <w:r>
        <w:rPr>
          <w:i/>
          <w:color w:val="231F20"/>
          <w:spacing w:val="12"/>
          <w:sz w:val="17"/>
        </w:rPr>
        <w:t xml:space="preserve"> </w:t>
      </w:r>
      <w:r>
        <w:rPr>
          <w:color w:val="231F20"/>
          <w:sz w:val="17"/>
        </w:rPr>
        <w:t>12</w:t>
      </w:r>
      <w:r>
        <w:rPr>
          <w:color w:val="231F20"/>
          <w:spacing w:val="12"/>
          <w:sz w:val="17"/>
        </w:rPr>
        <w:t xml:space="preserve"> </w:t>
      </w:r>
      <w:r>
        <w:rPr>
          <w:color w:val="231F20"/>
          <w:sz w:val="17"/>
        </w:rPr>
        <w:t>(3–4),</w:t>
      </w:r>
      <w:r>
        <w:rPr>
          <w:color w:val="231F20"/>
          <w:spacing w:val="12"/>
          <w:sz w:val="17"/>
        </w:rPr>
        <w:t xml:space="preserve"> </w:t>
      </w:r>
      <w:r>
        <w:rPr>
          <w:color w:val="231F20"/>
          <w:spacing w:val="-2"/>
          <w:sz w:val="17"/>
        </w:rPr>
        <w:t>207–228.</w:t>
      </w:r>
    </w:p>
    <w:p w14:paraId="38BC9AE1" w14:textId="77777777" w:rsidR="00AE0598" w:rsidRDefault="0069255A">
      <w:pPr>
        <w:spacing w:before="1"/>
        <w:ind w:left="430" w:right="128" w:hanging="320"/>
        <w:jc w:val="both"/>
        <w:rPr>
          <w:sz w:val="17"/>
        </w:rPr>
      </w:pPr>
      <w:r>
        <w:rPr>
          <w:color w:val="231F20"/>
          <w:sz w:val="17"/>
        </w:rPr>
        <w:t xml:space="preserve">Preuss, H. (2015) A framework for identifying the legacies of a mega sport event. </w:t>
      </w:r>
      <w:r>
        <w:rPr>
          <w:i/>
          <w:color w:val="231F20"/>
          <w:sz w:val="17"/>
        </w:rPr>
        <w:t>Leisure</w:t>
      </w:r>
      <w:r>
        <w:rPr>
          <w:i/>
          <w:color w:val="231F20"/>
          <w:spacing w:val="40"/>
          <w:sz w:val="17"/>
        </w:rPr>
        <w:t xml:space="preserve"> </w:t>
      </w:r>
      <w:r>
        <w:rPr>
          <w:i/>
          <w:color w:val="231F20"/>
          <w:sz w:val="17"/>
        </w:rPr>
        <w:t xml:space="preserve">Studies </w:t>
      </w:r>
      <w:r>
        <w:rPr>
          <w:color w:val="231F20"/>
          <w:sz w:val="17"/>
        </w:rPr>
        <w:t>34 (6), 643–664.</w:t>
      </w:r>
    </w:p>
    <w:p w14:paraId="368E6994" w14:textId="77777777" w:rsidR="00AE0598" w:rsidRDefault="0069255A">
      <w:pPr>
        <w:spacing w:before="1"/>
        <w:ind w:left="110"/>
        <w:jc w:val="both"/>
        <w:rPr>
          <w:sz w:val="17"/>
        </w:rPr>
      </w:pPr>
      <w:r>
        <w:rPr>
          <w:color w:val="231F20"/>
          <w:sz w:val="17"/>
        </w:rPr>
        <w:t>Priestley,</w:t>
      </w:r>
      <w:r>
        <w:rPr>
          <w:color w:val="231F20"/>
          <w:spacing w:val="75"/>
          <w:w w:val="110"/>
          <w:sz w:val="17"/>
        </w:rPr>
        <w:t xml:space="preserve"> </w:t>
      </w:r>
      <w:r>
        <w:rPr>
          <w:color w:val="231F20"/>
          <w:w w:val="110"/>
          <w:sz w:val="17"/>
        </w:rPr>
        <w:t>G.K.</w:t>
      </w:r>
      <w:r>
        <w:rPr>
          <w:color w:val="231F20"/>
          <w:spacing w:val="75"/>
          <w:w w:val="110"/>
          <w:sz w:val="17"/>
        </w:rPr>
        <w:t xml:space="preserve"> </w:t>
      </w:r>
      <w:r>
        <w:rPr>
          <w:color w:val="231F20"/>
          <w:sz w:val="17"/>
        </w:rPr>
        <w:t>(1995)</w:t>
      </w:r>
      <w:r>
        <w:rPr>
          <w:color w:val="231F20"/>
          <w:spacing w:val="79"/>
          <w:sz w:val="17"/>
        </w:rPr>
        <w:t xml:space="preserve"> </w:t>
      </w:r>
      <w:r>
        <w:rPr>
          <w:color w:val="231F20"/>
          <w:sz w:val="17"/>
        </w:rPr>
        <w:t>Sports</w:t>
      </w:r>
      <w:r>
        <w:rPr>
          <w:color w:val="231F20"/>
          <w:spacing w:val="79"/>
          <w:sz w:val="17"/>
        </w:rPr>
        <w:t xml:space="preserve"> </w:t>
      </w:r>
      <w:r>
        <w:rPr>
          <w:color w:val="231F20"/>
          <w:sz w:val="17"/>
        </w:rPr>
        <w:t>tourism:</w:t>
      </w:r>
      <w:r>
        <w:rPr>
          <w:color w:val="231F20"/>
          <w:spacing w:val="79"/>
          <w:sz w:val="17"/>
        </w:rPr>
        <w:t xml:space="preserve"> </w:t>
      </w:r>
      <w:r>
        <w:rPr>
          <w:color w:val="231F20"/>
          <w:sz w:val="17"/>
        </w:rPr>
        <w:t>The</w:t>
      </w:r>
      <w:r>
        <w:rPr>
          <w:color w:val="231F20"/>
          <w:spacing w:val="79"/>
          <w:sz w:val="17"/>
        </w:rPr>
        <w:t xml:space="preserve"> </w:t>
      </w:r>
      <w:r>
        <w:rPr>
          <w:color w:val="231F20"/>
          <w:sz w:val="17"/>
        </w:rPr>
        <w:t>case</w:t>
      </w:r>
      <w:r>
        <w:rPr>
          <w:color w:val="231F20"/>
          <w:spacing w:val="78"/>
          <w:sz w:val="17"/>
        </w:rPr>
        <w:t xml:space="preserve"> </w:t>
      </w:r>
      <w:r>
        <w:rPr>
          <w:color w:val="231F20"/>
          <w:sz w:val="17"/>
        </w:rPr>
        <w:t>of</w:t>
      </w:r>
      <w:r>
        <w:rPr>
          <w:color w:val="231F20"/>
          <w:spacing w:val="79"/>
          <w:sz w:val="17"/>
        </w:rPr>
        <w:t xml:space="preserve"> </w:t>
      </w:r>
      <w:r>
        <w:rPr>
          <w:color w:val="231F20"/>
          <w:sz w:val="17"/>
        </w:rPr>
        <w:t>golf.</w:t>
      </w:r>
      <w:r>
        <w:rPr>
          <w:color w:val="231F20"/>
          <w:spacing w:val="79"/>
          <w:sz w:val="17"/>
        </w:rPr>
        <w:t xml:space="preserve"> </w:t>
      </w:r>
      <w:r>
        <w:rPr>
          <w:color w:val="231F20"/>
          <w:sz w:val="17"/>
        </w:rPr>
        <w:t>In</w:t>
      </w:r>
      <w:r>
        <w:rPr>
          <w:color w:val="231F20"/>
          <w:spacing w:val="76"/>
          <w:w w:val="110"/>
          <w:sz w:val="17"/>
        </w:rPr>
        <w:t xml:space="preserve"> </w:t>
      </w:r>
      <w:r>
        <w:rPr>
          <w:color w:val="231F20"/>
          <w:w w:val="110"/>
          <w:sz w:val="17"/>
        </w:rPr>
        <w:t>G.J.</w:t>
      </w:r>
      <w:r>
        <w:rPr>
          <w:color w:val="231F20"/>
          <w:spacing w:val="75"/>
          <w:w w:val="110"/>
          <w:sz w:val="17"/>
        </w:rPr>
        <w:t xml:space="preserve"> </w:t>
      </w:r>
      <w:r>
        <w:rPr>
          <w:color w:val="231F20"/>
          <w:sz w:val="17"/>
        </w:rPr>
        <w:t>Ashworth</w:t>
      </w:r>
      <w:r>
        <w:rPr>
          <w:color w:val="231F20"/>
          <w:spacing w:val="79"/>
          <w:sz w:val="17"/>
        </w:rPr>
        <w:t xml:space="preserve"> </w:t>
      </w:r>
      <w:r>
        <w:rPr>
          <w:color w:val="231F20"/>
          <w:spacing w:val="-5"/>
          <w:sz w:val="17"/>
        </w:rPr>
        <w:t>and</w:t>
      </w:r>
    </w:p>
    <w:p w14:paraId="10752351" w14:textId="77777777" w:rsidR="00AE0598" w:rsidRDefault="0069255A">
      <w:pPr>
        <w:spacing w:before="1"/>
        <w:ind w:left="430" w:right="127"/>
        <w:jc w:val="both"/>
        <w:rPr>
          <w:sz w:val="17"/>
        </w:rPr>
      </w:pPr>
      <w:r>
        <w:rPr>
          <w:color w:val="231F20"/>
          <w:sz w:val="17"/>
        </w:rPr>
        <w:t xml:space="preserve">A.G.J. Dietvorst (eds) </w:t>
      </w:r>
      <w:r>
        <w:rPr>
          <w:i/>
          <w:color w:val="231F20"/>
          <w:sz w:val="17"/>
        </w:rPr>
        <w:t>Tourism and Spatial Transformations: Implications for Policy</w:t>
      </w:r>
      <w:r>
        <w:rPr>
          <w:i/>
          <w:color w:val="231F20"/>
          <w:spacing w:val="40"/>
          <w:sz w:val="17"/>
        </w:rPr>
        <w:t xml:space="preserve"> </w:t>
      </w:r>
      <w:r>
        <w:rPr>
          <w:i/>
          <w:color w:val="231F20"/>
          <w:sz w:val="17"/>
        </w:rPr>
        <w:t xml:space="preserve">and Planning </w:t>
      </w:r>
      <w:r>
        <w:rPr>
          <w:color w:val="231F20"/>
          <w:sz w:val="17"/>
        </w:rPr>
        <w:t>(pp. 205–223). Wallingford: CABI.</w:t>
      </w:r>
    </w:p>
    <w:p w14:paraId="78D89804" w14:textId="77777777" w:rsidR="00AE0598" w:rsidRDefault="0069255A">
      <w:pPr>
        <w:spacing w:before="1"/>
        <w:ind w:left="430" w:right="128" w:hanging="320"/>
        <w:jc w:val="both"/>
        <w:rPr>
          <w:sz w:val="17"/>
        </w:rPr>
      </w:pPr>
      <w:r>
        <w:rPr>
          <w:color w:val="231F20"/>
          <w:sz w:val="17"/>
        </w:rPr>
        <w:t xml:space="preserve">Priestley, G.K. (2006) Planning implications of golf tourism. </w:t>
      </w:r>
      <w:r>
        <w:rPr>
          <w:i/>
          <w:color w:val="231F20"/>
          <w:sz w:val="17"/>
        </w:rPr>
        <w:t>Tourism and Hospitality</w:t>
      </w:r>
      <w:r>
        <w:rPr>
          <w:i/>
          <w:color w:val="231F20"/>
          <w:spacing w:val="40"/>
          <w:sz w:val="17"/>
        </w:rPr>
        <w:t xml:space="preserve"> </w:t>
      </w:r>
      <w:r>
        <w:rPr>
          <w:i/>
          <w:color w:val="231F20"/>
          <w:sz w:val="17"/>
        </w:rPr>
        <w:t xml:space="preserve">Research </w:t>
      </w:r>
      <w:r>
        <w:rPr>
          <w:color w:val="231F20"/>
          <w:sz w:val="17"/>
        </w:rPr>
        <w:t>6 (3), 170–178.</w:t>
      </w:r>
    </w:p>
    <w:p w14:paraId="284CB722" w14:textId="77777777" w:rsidR="00AE0598" w:rsidRDefault="0069255A">
      <w:pPr>
        <w:spacing w:before="2"/>
        <w:ind w:left="110"/>
        <w:jc w:val="both"/>
        <w:rPr>
          <w:sz w:val="17"/>
        </w:rPr>
      </w:pPr>
      <w:r>
        <w:rPr>
          <w:color w:val="231F20"/>
          <w:w w:val="95"/>
          <w:sz w:val="17"/>
        </w:rPr>
        <w:t>Pujik,</w:t>
      </w:r>
      <w:r>
        <w:rPr>
          <w:color w:val="231F20"/>
          <w:spacing w:val="10"/>
          <w:sz w:val="17"/>
        </w:rPr>
        <w:t xml:space="preserve"> </w:t>
      </w:r>
      <w:r>
        <w:rPr>
          <w:color w:val="231F20"/>
          <w:w w:val="95"/>
          <w:sz w:val="17"/>
        </w:rPr>
        <w:t>R.</w:t>
      </w:r>
      <w:r>
        <w:rPr>
          <w:color w:val="231F20"/>
          <w:spacing w:val="11"/>
          <w:sz w:val="17"/>
        </w:rPr>
        <w:t xml:space="preserve"> </w:t>
      </w:r>
      <w:r>
        <w:rPr>
          <w:color w:val="231F20"/>
          <w:w w:val="95"/>
          <w:sz w:val="17"/>
        </w:rPr>
        <w:t>(2000)</w:t>
      </w:r>
      <w:r>
        <w:rPr>
          <w:color w:val="231F20"/>
          <w:spacing w:val="10"/>
          <w:sz w:val="17"/>
        </w:rPr>
        <w:t xml:space="preserve"> </w:t>
      </w:r>
      <w:r>
        <w:rPr>
          <w:color w:val="231F20"/>
          <w:w w:val="95"/>
          <w:sz w:val="17"/>
        </w:rPr>
        <w:t>A</w:t>
      </w:r>
      <w:r>
        <w:rPr>
          <w:color w:val="231F20"/>
          <w:spacing w:val="11"/>
          <w:sz w:val="17"/>
        </w:rPr>
        <w:t xml:space="preserve"> </w:t>
      </w:r>
      <w:r>
        <w:rPr>
          <w:color w:val="231F20"/>
          <w:w w:val="95"/>
          <w:sz w:val="17"/>
        </w:rPr>
        <w:t>global</w:t>
      </w:r>
      <w:r>
        <w:rPr>
          <w:color w:val="231F20"/>
          <w:spacing w:val="10"/>
          <w:sz w:val="17"/>
        </w:rPr>
        <w:t xml:space="preserve"> </w:t>
      </w:r>
      <w:r>
        <w:rPr>
          <w:color w:val="231F20"/>
          <w:w w:val="95"/>
          <w:sz w:val="17"/>
        </w:rPr>
        <w:t>media</w:t>
      </w:r>
      <w:r>
        <w:rPr>
          <w:color w:val="231F20"/>
          <w:spacing w:val="10"/>
          <w:sz w:val="17"/>
        </w:rPr>
        <w:t xml:space="preserve"> </w:t>
      </w:r>
      <w:r>
        <w:rPr>
          <w:color w:val="231F20"/>
          <w:w w:val="95"/>
          <w:sz w:val="17"/>
        </w:rPr>
        <w:t>event?:</w:t>
      </w:r>
      <w:r>
        <w:rPr>
          <w:color w:val="231F20"/>
          <w:spacing w:val="11"/>
          <w:sz w:val="17"/>
        </w:rPr>
        <w:t xml:space="preserve"> </w:t>
      </w:r>
      <w:r>
        <w:rPr>
          <w:color w:val="231F20"/>
          <w:w w:val="95"/>
          <w:sz w:val="17"/>
        </w:rPr>
        <w:t>Coverage</w:t>
      </w:r>
      <w:r>
        <w:rPr>
          <w:color w:val="231F20"/>
          <w:spacing w:val="10"/>
          <w:sz w:val="17"/>
        </w:rPr>
        <w:t xml:space="preserve"> </w:t>
      </w:r>
      <w:r>
        <w:rPr>
          <w:color w:val="231F20"/>
          <w:w w:val="95"/>
          <w:sz w:val="17"/>
        </w:rPr>
        <w:t>of</w:t>
      </w:r>
      <w:r>
        <w:rPr>
          <w:color w:val="231F20"/>
          <w:spacing w:val="11"/>
          <w:sz w:val="17"/>
        </w:rPr>
        <w:t xml:space="preserve"> </w:t>
      </w:r>
      <w:r>
        <w:rPr>
          <w:color w:val="231F20"/>
          <w:w w:val="95"/>
          <w:sz w:val="17"/>
        </w:rPr>
        <w:t>the</w:t>
      </w:r>
      <w:r>
        <w:rPr>
          <w:color w:val="231F20"/>
          <w:spacing w:val="10"/>
          <w:sz w:val="17"/>
        </w:rPr>
        <w:t xml:space="preserve"> </w:t>
      </w:r>
      <w:r>
        <w:rPr>
          <w:color w:val="231F20"/>
          <w:w w:val="95"/>
          <w:sz w:val="17"/>
        </w:rPr>
        <w:t>1994</w:t>
      </w:r>
      <w:r>
        <w:rPr>
          <w:color w:val="231F20"/>
          <w:spacing w:val="11"/>
          <w:sz w:val="17"/>
        </w:rPr>
        <w:t xml:space="preserve"> </w:t>
      </w:r>
      <w:r>
        <w:rPr>
          <w:color w:val="231F20"/>
          <w:w w:val="95"/>
          <w:sz w:val="17"/>
        </w:rPr>
        <w:t>Lillehammer</w:t>
      </w:r>
      <w:r>
        <w:rPr>
          <w:color w:val="231F20"/>
          <w:spacing w:val="10"/>
          <w:sz w:val="17"/>
        </w:rPr>
        <w:t xml:space="preserve"> </w:t>
      </w:r>
      <w:r>
        <w:rPr>
          <w:color w:val="231F20"/>
          <w:w w:val="95"/>
          <w:sz w:val="17"/>
        </w:rPr>
        <w:t>Olympic</w:t>
      </w:r>
      <w:r>
        <w:rPr>
          <w:color w:val="231F20"/>
          <w:spacing w:val="11"/>
          <w:sz w:val="17"/>
        </w:rPr>
        <w:t xml:space="preserve"> </w:t>
      </w:r>
      <w:r>
        <w:rPr>
          <w:color w:val="231F20"/>
          <w:spacing w:val="-2"/>
          <w:w w:val="95"/>
          <w:sz w:val="17"/>
        </w:rPr>
        <w:t>Games.</w:t>
      </w:r>
    </w:p>
    <w:p w14:paraId="221A5990" w14:textId="77777777" w:rsidR="00AE0598" w:rsidRDefault="0069255A">
      <w:pPr>
        <w:ind w:left="430"/>
        <w:jc w:val="both"/>
        <w:rPr>
          <w:sz w:val="17"/>
        </w:rPr>
      </w:pPr>
      <w:r>
        <w:rPr>
          <w:i/>
          <w:color w:val="231F20"/>
          <w:sz w:val="17"/>
        </w:rPr>
        <w:t>International</w:t>
      </w:r>
      <w:r>
        <w:rPr>
          <w:i/>
          <w:color w:val="231F20"/>
          <w:spacing w:val="5"/>
          <w:sz w:val="17"/>
        </w:rPr>
        <w:t xml:space="preserve"> </w:t>
      </w:r>
      <w:r>
        <w:rPr>
          <w:i/>
          <w:color w:val="231F20"/>
          <w:sz w:val="17"/>
        </w:rPr>
        <w:t>Review</w:t>
      </w:r>
      <w:r>
        <w:rPr>
          <w:i/>
          <w:color w:val="231F20"/>
          <w:spacing w:val="6"/>
          <w:sz w:val="17"/>
        </w:rPr>
        <w:t xml:space="preserve"> </w:t>
      </w:r>
      <w:r>
        <w:rPr>
          <w:i/>
          <w:color w:val="231F20"/>
          <w:sz w:val="17"/>
        </w:rPr>
        <w:t>for</w:t>
      </w:r>
      <w:r>
        <w:rPr>
          <w:i/>
          <w:color w:val="231F20"/>
          <w:spacing w:val="6"/>
          <w:sz w:val="17"/>
        </w:rPr>
        <w:t xml:space="preserve"> </w:t>
      </w:r>
      <w:r>
        <w:rPr>
          <w:i/>
          <w:color w:val="231F20"/>
          <w:sz w:val="17"/>
        </w:rPr>
        <w:t>the</w:t>
      </w:r>
      <w:r>
        <w:rPr>
          <w:i/>
          <w:color w:val="231F20"/>
          <w:spacing w:val="6"/>
          <w:sz w:val="17"/>
        </w:rPr>
        <w:t xml:space="preserve"> </w:t>
      </w:r>
      <w:r>
        <w:rPr>
          <w:i/>
          <w:color w:val="231F20"/>
          <w:sz w:val="17"/>
        </w:rPr>
        <w:t>Sociology</w:t>
      </w:r>
      <w:r>
        <w:rPr>
          <w:i/>
          <w:color w:val="231F20"/>
          <w:spacing w:val="6"/>
          <w:sz w:val="17"/>
        </w:rPr>
        <w:t xml:space="preserve"> </w:t>
      </w:r>
      <w:r>
        <w:rPr>
          <w:i/>
          <w:color w:val="231F20"/>
          <w:sz w:val="17"/>
        </w:rPr>
        <w:t>of</w:t>
      </w:r>
      <w:r>
        <w:rPr>
          <w:i/>
          <w:color w:val="231F20"/>
          <w:spacing w:val="6"/>
          <w:sz w:val="17"/>
        </w:rPr>
        <w:t xml:space="preserve"> </w:t>
      </w:r>
      <w:r>
        <w:rPr>
          <w:i/>
          <w:color w:val="231F20"/>
          <w:sz w:val="17"/>
        </w:rPr>
        <w:t>Sport</w:t>
      </w:r>
      <w:r>
        <w:rPr>
          <w:i/>
          <w:color w:val="231F20"/>
          <w:spacing w:val="6"/>
          <w:sz w:val="17"/>
        </w:rPr>
        <w:t xml:space="preserve"> </w:t>
      </w:r>
      <w:r>
        <w:rPr>
          <w:color w:val="231F20"/>
          <w:sz w:val="17"/>
        </w:rPr>
        <w:t>35</w:t>
      </w:r>
      <w:r>
        <w:rPr>
          <w:color w:val="231F20"/>
          <w:spacing w:val="5"/>
          <w:sz w:val="17"/>
        </w:rPr>
        <w:t xml:space="preserve"> </w:t>
      </w:r>
      <w:r>
        <w:rPr>
          <w:color w:val="231F20"/>
          <w:sz w:val="17"/>
        </w:rPr>
        <w:t>(3),</w:t>
      </w:r>
      <w:r>
        <w:rPr>
          <w:color w:val="231F20"/>
          <w:spacing w:val="6"/>
          <w:sz w:val="17"/>
        </w:rPr>
        <w:t xml:space="preserve"> </w:t>
      </w:r>
      <w:r>
        <w:rPr>
          <w:color w:val="231F20"/>
          <w:spacing w:val="-2"/>
          <w:sz w:val="17"/>
        </w:rPr>
        <w:t>309–330.</w:t>
      </w:r>
    </w:p>
    <w:p w14:paraId="67EAA45B" w14:textId="77777777" w:rsidR="00AE0598" w:rsidRDefault="0069255A">
      <w:pPr>
        <w:spacing w:before="1"/>
        <w:ind w:left="430" w:right="128" w:hanging="320"/>
        <w:jc w:val="both"/>
        <w:rPr>
          <w:sz w:val="17"/>
        </w:rPr>
      </w:pPr>
      <w:r>
        <w:rPr>
          <w:color w:val="231F20"/>
          <w:sz w:val="17"/>
        </w:rPr>
        <w:t xml:space="preserve">Pyo, S., Uysal, M. and Howell, R. (1988) Seoul Olympics visitor preferences. </w:t>
      </w:r>
      <w:r>
        <w:rPr>
          <w:i/>
          <w:color w:val="231F20"/>
          <w:sz w:val="17"/>
        </w:rPr>
        <w:t>Tourism</w:t>
      </w:r>
      <w:r>
        <w:rPr>
          <w:i/>
          <w:color w:val="231F20"/>
          <w:spacing w:val="40"/>
          <w:sz w:val="17"/>
        </w:rPr>
        <w:t xml:space="preserve"> </w:t>
      </w:r>
      <w:r>
        <w:rPr>
          <w:i/>
          <w:color w:val="231F20"/>
          <w:sz w:val="17"/>
        </w:rPr>
        <w:t xml:space="preserve">Management </w:t>
      </w:r>
      <w:r>
        <w:rPr>
          <w:color w:val="231F20"/>
          <w:sz w:val="17"/>
        </w:rPr>
        <w:t>9 (1), 68–72.</w:t>
      </w:r>
    </w:p>
    <w:p w14:paraId="2FB015FE" w14:textId="77777777" w:rsidR="00AE0598" w:rsidRDefault="0069255A">
      <w:pPr>
        <w:spacing w:before="2"/>
        <w:ind w:left="430" w:right="127" w:hanging="320"/>
        <w:jc w:val="both"/>
        <w:rPr>
          <w:sz w:val="17"/>
        </w:rPr>
      </w:pPr>
      <w:r>
        <w:rPr>
          <w:color w:val="231F20"/>
          <w:sz w:val="17"/>
        </w:rPr>
        <w:t>Pyo, S., Cook, R. and Howell, R.L. (1991) Summer Olympic tourist market. In S. Medlik</w:t>
      </w:r>
      <w:r>
        <w:rPr>
          <w:color w:val="231F20"/>
          <w:spacing w:val="40"/>
          <w:sz w:val="17"/>
        </w:rPr>
        <w:t xml:space="preserve"> </w:t>
      </w:r>
      <w:r>
        <w:rPr>
          <w:color w:val="231F20"/>
          <w:sz w:val="17"/>
        </w:rPr>
        <w:t xml:space="preserve">(ed.) </w:t>
      </w:r>
      <w:r>
        <w:rPr>
          <w:i/>
          <w:color w:val="231F20"/>
          <w:sz w:val="17"/>
        </w:rPr>
        <w:t xml:space="preserve">Managing Tourism </w:t>
      </w:r>
      <w:r>
        <w:rPr>
          <w:color w:val="231F20"/>
          <w:sz w:val="17"/>
        </w:rPr>
        <w:t>(pp. 191–198). Oxford: Butterworth-He</w:t>
      </w:r>
      <w:r>
        <w:rPr>
          <w:color w:val="231F20"/>
          <w:sz w:val="17"/>
        </w:rPr>
        <w:t>inemann.</w:t>
      </w:r>
    </w:p>
    <w:p w14:paraId="1148906F" w14:textId="77777777" w:rsidR="00AE0598" w:rsidRDefault="0069255A">
      <w:pPr>
        <w:spacing w:before="1"/>
        <w:ind w:left="430" w:right="128" w:hanging="320"/>
        <w:jc w:val="both"/>
        <w:rPr>
          <w:sz w:val="17"/>
        </w:rPr>
      </w:pPr>
      <w:r>
        <w:rPr>
          <w:color w:val="231F20"/>
          <w:sz w:val="17"/>
        </w:rPr>
        <w:t>Ramshaw,</w:t>
      </w:r>
      <w:r>
        <w:rPr>
          <w:color w:val="231F20"/>
          <w:spacing w:val="-5"/>
          <w:sz w:val="17"/>
        </w:rPr>
        <w:t xml:space="preserve"> </w:t>
      </w:r>
      <w:r>
        <w:rPr>
          <w:color w:val="231F20"/>
          <w:sz w:val="17"/>
        </w:rPr>
        <w:t>G.</w:t>
      </w:r>
      <w:r>
        <w:rPr>
          <w:color w:val="231F20"/>
          <w:spacing w:val="-5"/>
          <w:sz w:val="17"/>
        </w:rPr>
        <w:t xml:space="preserve"> </w:t>
      </w:r>
      <w:r>
        <w:rPr>
          <w:color w:val="231F20"/>
          <w:sz w:val="17"/>
        </w:rPr>
        <w:t>(2010a)</w:t>
      </w:r>
      <w:r>
        <w:rPr>
          <w:color w:val="231F20"/>
          <w:spacing w:val="-5"/>
          <w:sz w:val="17"/>
        </w:rPr>
        <w:t xml:space="preserve"> </w:t>
      </w:r>
      <w:r>
        <w:rPr>
          <w:color w:val="231F20"/>
          <w:sz w:val="17"/>
        </w:rPr>
        <w:t>Remembering</w:t>
      </w:r>
      <w:r>
        <w:rPr>
          <w:color w:val="231F20"/>
          <w:spacing w:val="-5"/>
          <w:sz w:val="17"/>
        </w:rPr>
        <w:t xml:space="preserve"> </w:t>
      </w:r>
      <w:r>
        <w:rPr>
          <w:color w:val="231F20"/>
          <w:sz w:val="17"/>
        </w:rPr>
        <w:t>the</w:t>
      </w:r>
      <w:r>
        <w:rPr>
          <w:color w:val="231F20"/>
          <w:spacing w:val="-5"/>
          <w:sz w:val="17"/>
        </w:rPr>
        <w:t xml:space="preserve"> </w:t>
      </w:r>
      <w:r>
        <w:rPr>
          <w:color w:val="231F20"/>
          <w:sz w:val="17"/>
        </w:rPr>
        <w:t>rink:</w:t>
      </w:r>
      <w:r>
        <w:rPr>
          <w:color w:val="231F20"/>
          <w:spacing w:val="-5"/>
          <w:sz w:val="17"/>
        </w:rPr>
        <w:t xml:space="preserve"> </w:t>
      </w:r>
      <w:r>
        <w:rPr>
          <w:color w:val="231F20"/>
          <w:sz w:val="17"/>
        </w:rPr>
        <w:t>Hockey,</w:t>
      </w:r>
      <w:r>
        <w:rPr>
          <w:color w:val="231F20"/>
          <w:spacing w:val="-5"/>
          <w:sz w:val="17"/>
        </w:rPr>
        <w:t xml:space="preserve"> </w:t>
      </w:r>
      <w:r>
        <w:rPr>
          <w:color w:val="231F20"/>
          <w:sz w:val="17"/>
        </w:rPr>
        <w:t>figure</w:t>
      </w:r>
      <w:r>
        <w:rPr>
          <w:color w:val="231F20"/>
          <w:spacing w:val="-5"/>
          <w:sz w:val="17"/>
        </w:rPr>
        <w:t xml:space="preserve"> </w:t>
      </w:r>
      <w:r>
        <w:rPr>
          <w:color w:val="231F20"/>
          <w:sz w:val="17"/>
        </w:rPr>
        <w:t>skating</w:t>
      </w:r>
      <w:r>
        <w:rPr>
          <w:color w:val="231F20"/>
          <w:spacing w:val="-6"/>
          <w:sz w:val="17"/>
        </w:rPr>
        <w:t xml:space="preserve"> </w:t>
      </w:r>
      <w:r>
        <w:rPr>
          <w:color w:val="231F20"/>
          <w:sz w:val="17"/>
        </w:rPr>
        <w:t>and</w:t>
      </w:r>
      <w:r>
        <w:rPr>
          <w:color w:val="231F20"/>
          <w:spacing w:val="-6"/>
          <w:sz w:val="17"/>
        </w:rPr>
        <w:t xml:space="preserve"> </w:t>
      </w:r>
      <w:r>
        <w:rPr>
          <w:color w:val="231F20"/>
          <w:sz w:val="17"/>
        </w:rPr>
        <w:t>the</w:t>
      </w:r>
      <w:r>
        <w:rPr>
          <w:color w:val="231F20"/>
          <w:spacing w:val="-6"/>
          <w:sz w:val="17"/>
        </w:rPr>
        <w:t xml:space="preserve"> </w:t>
      </w:r>
      <w:r>
        <w:rPr>
          <w:color w:val="231F20"/>
          <w:sz w:val="17"/>
        </w:rPr>
        <w:t>development</w:t>
      </w:r>
      <w:r>
        <w:rPr>
          <w:color w:val="231F20"/>
          <w:spacing w:val="40"/>
          <w:sz w:val="17"/>
        </w:rPr>
        <w:t xml:space="preserve"> </w:t>
      </w:r>
      <w:r>
        <w:rPr>
          <w:color w:val="231F20"/>
          <w:sz w:val="17"/>
        </w:rPr>
        <w:t xml:space="preserve">of community league recreation in Edmonton. </w:t>
      </w:r>
      <w:r>
        <w:rPr>
          <w:i/>
          <w:color w:val="231F20"/>
          <w:sz w:val="17"/>
        </w:rPr>
        <w:t xml:space="preserve">Prairie Forum </w:t>
      </w:r>
      <w:r>
        <w:rPr>
          <w:color w:val="231F20"/>
          <w:sz w:val="17"/>
        </w:rPr>
        <w:t>35 (2), 27–42.</w:t>
      </w:r>
    </w:p>
    <w:p w14:paraId="27D9C007" w14:textId="77777777" w:rsidR="00AE0598" w:rsidRDefault="0069255A">
      <w:pPr>
        <w:spacing w:before="1"/>
        <w:ind w:left="430" w:right="128" w:hanging="320"/>
        <w:jc w:val="both"/>
        <w:rPr>
          <w:sz w:val="17"/>
        </w:rPr>
      </w:pPr>
      <w:r>
        <w:rPr>
          <w:color w:val="231F20"/>
          <w:sz w:val="17"/>
        </w:rPr>
        <w:t xml:space="preserve">Ramshaw, </w:t>
      </w:r>
      <w:r>
        <w:rPr>
          <w:color w:val="231F20"/>
          <w:w w:val="110"/>
          <w:sz w:val="17"/>
        </w:rPr>
        <w:t xml:space="preserve">G. </w:t>
      </w:r>
      <w:r>
        <w:rPr>
          <w:color w:val="231F20"/>
          <w:sz w:val="17"/>
        </w:rPr>
        <w:t>(2010b) Living heritage and the sports museum: Athletes, legacy and the</w:t>
      </w:r>
      <w:r>
        <w:rPr>
          <w:color w:val="231F20"/>
          <w:spacing w:val="40"/>
          <w:sz w:val="17"/>
        </w:rPr>
        <w:t xml:space="preserve"> </w:t>
      </w:r>
      <w:r>
        <w:rPr>
          <w:color w:val="231F20"/>
          <w:sz w:val="17"/>
        </w:rPr>
        <w:t>Olymp</w:t>
      </w:r>
      <w:r>
        <w:rPr>
          <w:color w:val="231F20"/>
          <w:sz w:val="17"/>
        </w:rPr>
        <w:t xml:space="preserve">ic Hall of Fame and Museum, Canada Olympic Park. </w:t>
      </w:r>
      <w:r>
        <w:rPr>
          <w:i/>
          <w:color w:val="231F20"/>
          <w:sz w:val="17"/>
        </w:rPr>
        <w:t xml:space="preserve">Journal of Sport </w:t>
      </w:r>
      <w:r>
        <w:rPr>
          <w:i/>
          <w:color w:val="231F20"/>
          <w:w w:val="110"/>
          <w:sz w:val="17"/>
        </w:rPr>
        <w:t>&amp;</w:t>
      </w:r>
      <w:r>
        <w:rPr>
          <w:i/>
          <w:color w:val="231F20"/>
          <w:spacing w:val="80"/>
          <w:w w:val="110"/>
          <w:sz w:val="17"/>
        </w:rPr>
        <w:t xml:space="preserve"> </w:t>
      </w:r>
      <w:r>
        <w:rPr>
          <w:i/>
          <w:color w:val="231F20"/>
          <w:sz w:val="17"/>
        </w:rPr>
        <w:t xml:space="preserve">Tourism </w:t>
      </w:r>
      <w:r>
        <w:rPr>
          <w:color w:val="231F20"/>
          <w:sz w:val="17"/>
        </w:rPr>
        <w:t>15 (1), 45–70.</w:t>
      </w:r>
    </w:p>
    <w:p w14:paraId="67A88DE1" w14:textId="77777777" w:rsidR="00AE0598" w:rsidRDefault="0069255A">
      <w:pPr>
        <w:spacing w:before="2"/>
        <w:ind w:left="430" w:right="128" w:hanging="320"/>
        <w:jc w:val="both"/>
        <w:rPr>
          <w:sz w:val="17"/>
        </w:rPr>
      </w:pPr>
      <w:r>
        <w:rPr>
          <w:color w:val="231F20"/>
          <w:sz w:val="17"/>
        </w:rPr>
        <w:t xml:space="preserve">Ramshaw, G. (2011) The construction of sport heritage attractions. </w:t>
      </w:r>
      <w:r>
        <w:rPr>
          <w:i/>
          <w:color w:val="231F20"/>
          <w:sz w:val="17"/>
        </w:rPr>
        <w:t>Journal of Tourism</w:t>
      </w:r>
      <w:r>
        <w:rPr>
          <w:i/>
          <w:color w:val="231F20"/>
          <w:spacing w:val="40"/>
          <w:sz w:val="17"/>
        </w:rPr>
        <w:t xml:space="preserve"> </w:t>
      </w:r>
      <w:r>
        <w:rPr>
          <w:i/>
          <w:color w:val="231F20"/>
          <w:sz w:val="17"/>
        </w:rPr>
        <w:t xml:space="preserve">Consumption and Practice </w:t>
      </w:r>
      <w:r>
        <w:rPr>
          <w:color w:val="231F20"/>
          <w:sz w:val="17"/>
        </w:rPr>
        <w:t>3 (1), 1–25.</w:t>
      </w:r>
    </w:p>
    <w:p w14:paraId="4857D990" w14:textId="77777777" w:rsidR="00AE0598" w:rsidRDefault="0069255A">
      <w:pPr>
        <w:spacing w:before="2"/>
        <w:ind w:left="430" w:right="128" w:hanging="320"/>
        <w:jc w:val="both"/>
        <w:rPr>
          <w:sz w:val="17"/>
        </w:rPr>
      </w:pPr>
      <w:r>
        <w:rPr>
          <w:color w:val="231F20"/>
          <w:sz w:val="17"/>
        </w:rPr>
        <w:t xml:space="preserve">Ramshaw, G. (2014a) Sport, heritage, and tourism. </w:t>
      </w:r>
      <w:r>
        <w:rPr>
          <w:i/>
          <w:color w:val="231F20"/>
          <w:sz w:val="17"/>
        </w:rPr>
        <w:t xml:space="preserve">Journal of Heritage Tourism </w:t>
      </w:r>
      <w:r>
        <w:rPr>
          <w:color w:val="231F20"/>
          <w:sz w:val="17"/>
        </w:rPr>
        <w:t>9 (3),</w:t>
      </w:r>
      <w:r>
        <w:rPr>
          <w:color w:val="231F20"/>
          <w:spacing w:val="40"/>
          <w:sz w:val="17"/>
        </w:rPr>
        <w:t xml:space="preserve"> </w:t>
      </w:r>
      <w:r>
        <w:rPr>
          <w:color w:val="231F20"/>
          <w:spacing w:val="-2"/>
          <w:sz w:val="17"/>
        </w:rPr>
        <w:t>191–196.</w:t>
      </w:r>
    </w:p>
    <w:p w14:paraId="6D424792" w14:textId="77777777" w:rsidR="00AE0598" w:rsidRDefault="0069255A">
      <w:pPr>
        <w:spacing w:before="1"/>
        <w:ind w:left="430" w:right="128" w:hanging="320"/>
        <w:jc w:val="both"/>
        <w:rPr>
          <w:sz w:val="17"/>
        </w:rPr>
      </w:pPr>
      <w:r>
        <w:rPr>
          <w:color w:val="231F20"/>
          <w:w w:val="95"/>
          <w:sz w:val="17"/>
        </w:rPr>
        <w:t>Ramshaw, G. (2014b) Too much nostalgia? A decennial reflection on the heritage classic ice</w:t>
      </w:r>
      <w:r>
        <w:rPr>
          <w:color w:val="231F20"/>
          <w:spacing w:val="40"/>
          <w:sz w:val="17"/>
        </w:rPr>
        <w:t xml:space="preserve"> </w:t>
      </w:r>
      <w:r>
        <w:rPr>
          <w:color w:val="231F20"/>
          <w:sz w:val="17"/>
        </w:rPr>
        <w:t xml:space="preserve">hockey event. </w:t>
      </w:r>
      <w:r>
        <w:rPr>
          <w:i/>
          <w:color w:val="231F20"/>
          <w:sz w:val="17"/>
        </w:rPr>
        <w:t xml:space="preserve">Event Management </w:t>
      </w:r>
      <w:r>
        <w:rPr>
          <w:color w:val="231F20"/>
          <w:sz w:val="17"/>
        </w:rPr>
        <w:t>18 (4), 473–478.</w:t>
      </w:r>
    </w:p>
    <w:p w14:paraId="22C09936" w14:textId="77777777" w:rsidR="00AE0598" w:rsidRDefault="0069255A">
      <w:pPr>
        <w:spacing w:before="2"/>
        <w:ind w:left="430" w:right="127" w:hanging="320"/>
        <w:jc w:val="both"/>
        <w:rPr>
          <w:sz w:val="17"/>
        </w:rPr>
      </w:pPr>
      <w:r>
        <w:rPr>
          <w:color w:val="231F20"/>
          <w:sz w:val="17"/>
        </w:rPr>
        <w:t>Ramshaw, G. and Gammon, S. (2007) ‘More than just nostalgia? Exploring the heritage/</w:t>
      </w:r>
      <w:r>
        <w:rPr>
          <w:color w:val="231F20"/>
          <w:spacing w:val="40"/>
          <w:sz w:val="17"/>
        </w:rPr>
        <w:t xml:space="preserve"> </w:t>
      </w:r>
      <w:r>
        <w:rPr>
          <w:color w:val="231F20"/>
          <w:sz w:val="17"/>
        </w:rPr>
        <w:t>sport tourism nexus’. In S. Gamm</w:t>
      </w:r>
      <w:r>
        <w:rPr>
          <w:color w:val="231F20"/>
          <w:sz w:val="17"/>
        </w:rPr>
        <w:t xml:space="preserve">on and G. Ramshaw (eds) </w:t>
      </w:r>
      <w:r>
        <w:rPr>
          <w:i/>
          <w:color w:val="231F20"/>
          <w:sz w:val="17"/>
        </w:rPr>
        <w:t>Heritage, Sport and</w:t>
      </w:r>
      <w:r>
        <w:rPr>
          <w:i/>
          <w:color w:val="231F20"/>
          <w:spacing w:val="40"/>
          <w:sz w:val="17"/>
        </w:rPr>
        <w:t xml:space="preserve"> </w:t>
      </w:r>
      <w:r>
        <w:rPr>
          <w:i/>
          <w:color w:val="231F20"/>
          <w:sz w:val="17"/>
        </w:rPr>
        <w:t xml:space="preserve">Tourism: Sporting Pasts – Tourist Futures </w:t>
      </w:r>
      <w:r>
        <w:rPr>
          <w:color w:val="231F20"/>
          <w:sz w:val="17"/>
        </w:rPr>
        <w:t>(pp. 9–22). London: Routledge.</w:t>
      </w:r>
    </w:p>
    <w:p w14:paraId="51C2791E" w14:textId="77777777" w:rsidR="00AE0598" w:rsidRDefault="0069255A">
      <w:pPr>
        <w:spacing w:before="2"/>
        <w:ind w:left="430" w:right="127" w:hanging="320"/>
        <w:jc w:val="both"/>
        <w:rPr>
          <w:sz w:val="17"/>
        </w:rPr>
      </w:pPr>
      <w:r>
        <w:rPr>
          <w:color w:val="231F20"/>
          <w:sz w:val="17"/>
        </w:rPr>
        <w:t>Ramshaw, G. and Gammon, S. (2010) On home ground? Twickenham stadium tours and</w:t>
      </w:r>
      <w:r>
        <w:rPr>
          <w:color w:val="231F20"/>
          <w:spacing w:val="40"/>
          <w:sz w:val="17"/>
        </w:rPr>
        <w:t xml:space="preserve"> </w:t>
      </w:r>
      <w:r>
        <w:rPr>
          <w:color w:val="231F20"/>
          <w:sz w:val="17"/>
        </w:rPr>
        <w:t xml:space="preserve">the construction of sport heritage. </w:t>
      </w:r>
      <w:r>
        <w:rPr>
          <w:i/>
          <w:color w:val="231F20"/>
          <w:sz w:val="17"/>
        </w:rPr>
        <w:t>Journal of Heritage Tour</w:t>
      </w:r>
      <w:r>
        <w:rPr>
          <w:i/>
          <w:color w:val="231F20"/>
          <w:sz w:val="17"/>
        </w:rPr>
        <w:t xml:space="preserve">ism </w:t>
      </w:r>
      <w:r>
        <w:rPr>
          <w:color w:val="231F20"/>
          <w:sz w:val="17"/>
        </w:rPr>
        <w:t>5 (2), 87–102.</w:t>
      </w:r>
    </w:p>
    <w:p w14:paraId="2CAD5F32" w14:textId="77777777" w:rsidR="00AE0598" w:rsidRDefault="0069255A">
      <w:pPr>
        <w:spacing w:before="1"/>
        <w:ind w:left="110" w:right="127"/>
        <w:jc w:val="right"/>
        <w:rPr>
          <w:sz w:val="17"/>
        </w:rPr>
      </w:pPr>
      <w:r>
        <w:rPr>
          <w:color w:val="231F20"/>
          <w:sz w:val="17"/>
        </w:rPr>
        <w:t xml:space="preserve">Ramshaw, G. and Gammon, S. (2015) Heritage and sport. In </w:t>
      </w:r>
      <w:r>
        <w:rPr>
          <w:i/>
          <w:color w:val="231F20"/>
          <w:sz w:val="17"/>
        </w:rPr>
        <w:t>The Palgrave Handbook of</w:t>
      </w:r>
      <w:r>
        <w:rPr>
          <w:i/>
          <w:color w:val="231F20"/>
          <w:spacing w:val="40"/>
          <w:sz w:val="17"/>
        </w:rPr>
        <w:t xml:space="preserve"> </w:t>
      </w:r>
      <w:r>
        <w:rPr>
          <w:i/>
          <w:color w:val="231F20"/>
          <w:sz w:val="17"/>
        </w:rPr>
        <w:t xml:space="preserve">Contemporary Heritage Research </w:t>
      </w:r>
      <w:r>
        <w:rPr>
          <w:color w:val="231F20"/>
          <w:sz w:val="17"/>
        </w:rPr>
        <w:t>(pp. 248–260). Basingstoke: Palgrave Macmillan UK.</w:t>
      </w:r>
    </w:p>
    <w:p w14:paraId="1229DF34" w14:textId="77777777" w:rsidR="00AE0598" w:rsidRDefault="0069255A">
      <w:pPr>
        <w:spacing w:before="2"/>
        <w:ind w:left="430" w:right="128" w:hanging="320"/>
        <w:jc w:val="both"/>
        <w:rPr>
          <w:sz w:val="17"/>
        </w:rPr>
      </w:pPr>
      <w:r>
        <w:rPr>
          <w:color w:val="231F20"/>
          <w:sz w:val="17"/>
        </w:rPr>
        <w:t>Ramshaw,</w:t>
      </w:r>
      <w:r>
        <w:rPr>
          <w:color w:val="231F20"/>
          <w:spacing w:val="-1"/>
          <w:sz w:val="17"/>
        </w:rPr>
        <w:t xml:space="preserve"> </w:t>
      </w:r>
      <w:r>
        <w:rPr>
          <w:color w:val="231F20"/>
          <w:w w:val="115"/>
          <w:sz w:val="17"/>
        </w:rPr>
        <w:t>G.</w:t>
      </w:r>
      <w:r>
        <w:rPr>
          <w:color w:val="231F20"/>
          <w:spacing w:val="-6"/>
          <w:w w:val="115"/>
          <w:sz w:val="17"/>
        </w:rPr>
        <w:t xml:space="preserve"> </w:t>
      </w:r>
      <w:r>
        <w:rPr>
          <w:color w:val="231F20"/>
          <w:sz w:val="17"/>
        </w:rPr>
        <w:t>and</w:t>
      </w:r>
      <w:r>
        <w:rPr>
          <w:color w:val="231F20"/>
          <w:spacing w:val="-1"/>
          <w:sz w:val="17"/>
        </w:rPr>
        <w:t xml:space="preserve"> </w:t>
      </w:r>
      <w:r>
        <w:rPr>
          <w:color w:val="231F20"/>
          <w:sz w:val="17"/>
        </w:rPr>
        <w:t>Gammon,</w:t>
      </w:r>
      <w:r>
        <w:rPr>
          <w:color w:val="231F20"/>
          <w:spacing w:val="-1"/>
          <w:sz w:val="17"/>
        </w:rPr>
        <w:t xml:space="preserve"> </w:t>
      </w:r>
      <w:r>
        <w:rPr>
          <w:color w:val="231F20"/>
          <w:w w:val="115"/>
          <w:sz w:val="17"/>
        </w:rPr>
        <w:t>S.J.</w:t>
      </w:r>
      <w:r>
        <w:rPr>
          <w:color w:val="231F20"/>
          <w:spacing w:val="-7"/>
          <w:w w:val="115"/>
          <w:sz w:val="17"/>
        </w:rPr>
        <w:t xml:space="preserve"> </w:t>
      </w:r>
      <w:r>
        <w:rPr>
          <w:color w:val="231F20"/>
          <w:sz w:val="17"/>
        </w:rPr>
        <w:t>(2016)</w:t>
      </w:r>
      <w:r>
        <w:rPr>
          <w:color w:val="231F20"/>
          <w:spacing w:val="-1"/>
          <w:sz w:val="17"/>
        </w:rPr>
        <w:t xml:space="preserve"> </w:t>
      </w:r>
      <w:r>
        <w:rPr>
          <w:color w:val="231F20"/>
          <w:sz w:val="17"/>
        </w:rPr>
        <w:t>Towards</w:t>
      </w:r>
      <w:r>
        <w:rPr>
          <w:color w:val="231F20"/>
          <w:spacing w:val="-1"/>
          <w:sz w:val="17"/>
        </w:rPr>
        <w:t xml:space="preserve"> </w:t>
      </w:r>
      <w:r>
        <w:rPr>
          <w:color w:val="231F20"/>
          <w:sz w:val="17"/>
        </w:rPr>
        <w:t>a</w:t>
      </w:r>
      <w:r>
        <w:rPr>
          <w:color w:val="231F20"/>
          <w:spacing w:val="-1"/>
          <w:sz w:val="17"/>
        </w:rPr>
        <w:t xml:space="preserve"> </w:t>
      </w:r>
      <w:r>
        <w:rPr>
          <w:color w:val="231F20"/>
          <w:sz w:val="17"/>
        </w:rPr>
        <w:t>critical</w:t>
      </w:r>
      <w:r>
        <w:rPr>
          <w:color w:val="231F20"/>
          <w:spacing w:val="-1"/>
          <w:sz w:val="17"/>
        </w:rPr>
        <w:t xml:space="preserve"> </w:t>
      </w:r>
      <w:r>
        <w:rPr>
          <w:color w:val="231F20"/>
          <w:sz w:val="17"/>
        </w:rPr>
        <w:t>sport</w:t>
      </w:r>
      <w:r>
        <w:rPr>
          <w:color w:val="231F20"/>
          <w:spacing w:val="-1"/>
          <w:sz w:val="17"/>
        </w:rPr>
        <w:t xml:space="preserve"> </w:t>
      </w:r>
      <w:r>
        <w:rPr>
          <w:color w:val="231F20"/>
          <w:sz w:val="17"/>
        </w:rPr>
        <w:t>heritage:</w:t>
      </w:r>
      <w:r>
        <w:rPr>
          <w:color w:val="231F20"/>
          <w:spacing w:val="-1"/>
          <w:sz w:val="17"/>
        </w:rPr>
        <w:t xml:space="preserve"> </w:t>
      </w:r>
      <w:r>
        <w:rPr>
          <w:color w:val="231F20"/>
          <w:sz w:val="17"/>
        </w:rPr>
        <w:t>Im</w:t>
      </w:r>
      <w:r>
        <w:rPr>
          <w:color w:val="231F20"/>
          <w:sz w:val="17"/>
        </w:rPr>
        <w:t>plications</w:t>
      </w:r>
      <w:r>
        <w:rPr>
          <w:color w:val="231F20"/>
          <w:spacing w:val="-1"/>
          <w:sz w:val="17"/>
        </w:rPr>
        <w:t xml:space="preserve"> </w:t>
      </w:r>
      <w:r>
        <w:rPr>
          <w:color w:val="231F20"/>
          <w:sz w:val="17"/>
        </w:rPr>
        <w:t>for</w:t>
      </w:r>
      <w:r>
        <w:rPr>
          <w:color w:val="231F20"/>
          <w:spacing w:val="40"/>
          <w:sz w:val="17"/>
        </w:rPr>
        <w:t xml:space="preserve"> </w:t>
      </w:r>
      <w:r>
        <w:rPr>
          <w:color w:val="231F20"/>
          <w:sz w:val="17"/>
        </w:rPr>
        <w:t xml:space="preserve">sport tourism. </w:t>
      </w:r>
      <w:r>
        <w:rPr>
          <w:i/>
          <w:color w:val="231F20"/>
          <w:sz w:val="17"/>
        </w:rPr>
        <w:t xml:space="preserve">Journal of Sport </w:t>
      </w:r>
      <w:r>
        <w:rPr>
          <w:i/>
          <w:color w:val="231F20"/>
          <w:w w:val="115"/>
          <w:sz w:val="17"/>
        </w:rPr>
        <w:t xml:space="preserve">&amp; </w:t>
      </w:r>
      <w:r>
        <w:rPr>
          <w:i/>
          <w:color w:val="231F20"/>
          <w:sz w:val="17"/>
        </w:rPr>
        <w:t xml:space="preserve">Tourism </w:t>
      </w:r>
      <w:r>
        <w:rPr>
          <w:color w:val="231F20"/>
          <w:sz w:val="17"/>
        </w:rPr>
        <w:t>21 (2), 115–131.</w:t>
      </w:r>
    </w:p>
    <w:p w14:paraId="6B647FCA" w14:textId="77777777" w:rsidR="00AE0598" w:rsidRDefault="0069255A">
      <w:pPr>
        <w:spacing w:before="1"/>
        <w:ind w:left="430" w:right="127" w:hanging="320"/>
        <w:jc w:val="both"/>
        <w:rPr>
          <w:sz w:val="17"/>
        </w:rPr>
      </w:pPr>
      <w:r>
        <w:rPr>
          <w:color w:val="231F20"/>
          <w:w w:val="95"/>
          <w:sz w:val="17"/>
        </w:rPr>
        <w:t>Ramshaw, G. and Hinch, T. (2006) Place identity and sport tourism: The case of the heritage</w:t>
      </w:r>
      <w:r>
        <w:rPr>
          <w:color w:val="231F20"/>
          <w:spacing w:val="40"/>
          <w:sz w:val="17"/>
        </w:rPr>
        <w:t xml:space="preserve"> </w:t>
      </w:r>
      <w:r>
        <w:rPr>
          <w:color w:val="231F20"/>
          <w:sz w:val="17"/>
        </w:rPr>
        <w:t xml:space="preserve">classic ice hockey event. </w:t>
      </w:r>
      <w:r>
        <w:rPr>
          <w:i/>
          <w:color w:val="231F20"/>
          <w:sz w:val="17"/>
        </w:rPr>
        <w:t xml:space="preserve">Current Issues in Tourism </w:t>
      </w:r>
      <w:r>
        <w:rPr>
          <w:color w:val="231F20"/>
          <w:sz w:val="17"/>
        </w:rPr>
        <w:t>9 (4&amp;5), 399–418.</w:t>
      </w:r>
    </w:p>
    <w:p w14:paraId="0987678A" w14:textId="77777777" w:rsidR="00AE0598" w:rsidRDefault="0069255A">
      <w:pPr>
        <w:spacing w:before="1"/>
        <w:ind w:left="430" w:right="127" w:hanging="320"/>
        <w:jc w:val="both"/>
        <w:rPr>
          <w:sz w:val="17"/>
        </w:rPr>
      </w:pPr>
      <w:r>
        <w:rPr>
          <w:color w:val="231F20"/>
          <w:sz w:val="17"/>
        </w:rPr>
        <w:t>Redmond,</w:t>
      </w:r>
      <w:r>
        <w:rPr>
          <w:color w:val="231F20"/>
          <w:spacing w:val="-3"/>
          <w:sz w:val="17"/>
        </w:rPr>
        <w:t xml:space="preserve"> </w:t>
      </w:r>
      <w:r>
        <w:rPr>
          <w:color w:val="231F20"/>
          <w:sz w:val="17"/>
        </w:rPr>
        <w:t>G.</w:t>
      </w:r>
      <w:r>
        <w:rPr>
          <w:color w:val="231F20"/>
          <w:spacing w:val="-3"/>
          <w:sz w:val="17"/>
        </w:rPr>
        <w:t xml:space="preserve"> </w:t>
      </w:r>
      <w:r>
        <w:rPr>
          <w:color w:val="231F20"/>
          <w:sz w:val="17"/>
        </w:rPr>
        <w:t>(1990)</w:t>
      </w:r>
      <w:r>
        <w:rPr>
          <w:color w:val="231F20"/>
          <w:spacing w:val="-3"/>
          <w:sz w:val="17"/>
        </w:rPr>
        <w:t xml:space="preserve"> </w:t>
      </w:r>
      <w:r>
        <w:rPr>
          <w:color w:val="231F20"/>
          <w:sz w:val="17"/>
        </w:rPr>
        <w:t>Points</w:t>
      </w:r>
      <w:r>
        <w:rPr>
          <w:color w:val="231F20"/>
          <w:spacing w:val="-3"/>
          <w:sz w:val="17"/>
        </w:rPr>
        <w:t xml:space="preserve"> </w:t>
      </w:r>
      <w:r>
        <w:rPr>
          <w:color w:val="231F20"/>
          <w:sz w:val="17"/>
        </w:rPr>
        <w:t>of</w:t>
      </w:r>
      <w:r>
        <w:rPr>
          <w:color w:val="231F20"/>
          <w:spacing w:val="-3"/>
          <w:sz w:val="17"/>
        </w:rPr>
        <w:t xml:space="preserve"> </w:t>
      </w:r>
      <w:r>
        <w:rPr>
          <w:color w:val="231F20"/>
          <w:sz w:val="17"/>
        </w:rPr>
        <w:t>increasing</w:t>
      </w:r>
      <w:r>
        <w:rPr>
          <w:color w:val="231F20"/>
          <w:spacing w:val="-3"/>
          <w:sz w:val="17"/>
        </w:rPr>
        <w:t xml:space="preserve"> </w:t>
      </w:r>
      <w:r>
        <w:rPr>
          <w:color w:val="231F20"/>
          <w:sz w:val="17"/>
        </w:rPr>
        <w:t>contact:</w:t>
      </w:r>
      <w:r>
        <w:rPr>
          <w:color w:val="231F20"/>
          <w:spacing w:val="-3"/>
          <w:sz w:val="17"/>
        </w:rPr>
        <w:t xml:space="preserve"> </w:t>
      </w:r>
      <w:r>
        <w:rPr>
          <w:color w:val="231F20"/>
          <w:sz w:val="17"/>
        </w:rPr>
        <w:t>Sport</w:t>
      </w:r>
      <w:r>
        <w:rPr>
          <w:color w:val="231F20"/>
          <w:spacing w:val="-3"/>
          <w:sz w:val="17"/>
        </w:rPr>
        <w:t xml:space="preserve"> </w:t>
      </w:r>
      <w:r>
        <w:rPr>
          <w:color w:val="231F20"/>
          <w:sz w:val="17"/>
        </w:rPr>
        <w:t>and</w:t>
      </w:r>
      <w:r>
        <w:rPr>
          <w:color w:val="231F20"/>
          <w:spacing w:val="-3"/>
          <w:sz w:val="17"/>
        </w:rPr>
        <w:t xml:space="preserve"> </w:t>
      </w:r>
      <w:r>
        <w:rPr>
          <w:color w:val="231F20"/>
          <w:sz w:val="17"/>
        </w:rPr>
        <w:t>tourism</w:t>
      </w:r>
      <w:r>
        <w:rPr>
          <w:color w:val="231F20"/>
          <w:spacing w:val="-3"/>
          <w:sz w:val="17"/>
        </w:rPr>
        <w:t xml:space="preserve"> </w:t>
      </w:r>
      <w:r>
        <w:rPr>
          <w:color w:val="231F20"/>
          <w:sz w:val="17"/>
        </w:rPr>
        <w:t>in</w:t>
      </w:r>
      <w:r>
        <w:rPr>
          <w:color w:val="231F20"/>
          <w:spacing w:val="-3"/>
          <w:sz w:val="17"/>
        </w:rPr>
        <w:t xml:space="preserve"> </w:t>
      </w:r>
      <w:r>
        <w:rPr>
          <w:color w:val="231F20"/>
          <w:sz w:val="17"/>
        </w:rPr>
        <w:t>the</w:t>
      </w:r>
      <w:r>
        <w:rPr>
          <w:color w:val="231F20"/>
          <w:spacing w:val="-3"/>
          <w:sz w:val="17"/>
        </w:rPr>
        <w:t xml:space="preserve"> </w:t>
      </w:r>
      <w:r>
        <w:rPr>
          <w:color w:val="231F20"/>
          <w:sz w:val="17"/>
        </w:rPr>
        <w:t>modern</w:t>
      </w:r>
      <w:r>
        <w:rPr>
          <w:color w:val="231F20"/>
          <w:spacing w:val="-3"/>
          <w:sz w:val="17"/>
        </w:rPr>
        <w:t xml:space="preserve"> </w:t>
      </w:r>
      <w:r>
        <w:rPr>
          <w:color w:val="231F20"/>
          <w:sz w:val="17"/>
        </w:rPr>
        <w:t>world.</w:t>
      </w:r>
      <w:r>
        <w:rPr>
          <w:color w:val="231F20"/>
          <w:spacing w:val="40"/>
          <w:sz w:val="17"/>
        </w:rPr>
        <w:t xml:space="preserve"> </w:t>
      </w:r>
      <w:r>
        <w:rPr>
          <w:color w:val="231F20"/>
          <w:sz w:val="17"/>
        </w:rPr>
        <w:t xml:space="preserve">In A. Tomlinson (ed.) </w:t>
      </w:r>
      <w:r>
        <w:rPr>
          <w:i/>
          <w:color w:val="231F20"/>
          <w:sz w:val="17"/>
        </w:rPr>
        <w:t xml:space="preserve">Sport in Society: Policy, Politics and Culture </w:t>
      </w:r>
      <w:r>
        <w:rPr>
          <w:color w:val="231F20"/>
          <w:sz w:val="17"/>
        </w:rPr>
        <w:t>(pp. 158–167).</w:t>
      </w:r>
      <w:r>
        <w:rPr>
          <w:color w:val="231F20"/>
          <w:spacing w:val="40"/>
          <w:sz w:val="17"/>
        </w:rPr>
        <w:t xml:space="preserve"> </w:t>
      </w:r>
      <w:r>
        <w:rPr>
          <w:color w:val="231F20"/>
          <w:sz w:val="17"/>
        </w:rPr>
        <w:t>Eastbourne: Leisure Studies Association.</w:t>
      </w:r>
    </w:p>
    <w:p w14:paraId="2A9BD60D" w14:textId="77777777" w:rsidR="00AE0598" w:rsidRDefault="0069255A">
      <w:pPr>
        <w:spacing w:before="3"/>
        <w:ind w:left="430" w:right="127" w:hanging="320"/>
        <w:jc w:val="both"/>
        <w:rPr>
          <w:sz w:val="17"/>
        </w:rPr>
      </w:pPr>
      <w:r>
        <w:rPr>
          <w:color w:val="231F20"/>
          <w:w w:val="95"/>
          <w:sz w:val="17"/>
        </w:rPr>
        <w:t>Redmond, G. (1991) Changing styles of sports tourism: I</w:t>
      </w:r>
      <w:r>
        <w:rPr>
          <w:color w:val="231F20"/>
          <w:w w:val="95"/>
          <w:sz w:val="17"/>
        </w:rPr>
        <w:t>ndustry/consumer interactions in</w:t>
      </w:r>
      <w:r>
        <w:rPr>
          <w:color w:val="231F20"/>
          <w:spacing w:val="40"/>
          <w:sz w:val="17"/>
        </w:rPr>
        <w:t xml:space="preserve"> </w:t>
      </w:r>
      <w:r>
        <w:rPr>
          <w:color w:val="231F20"/>
          <w:sz w:val="17"/>
        </w:rPr>
        <w:t xml:space="preserve">Canada, the USA and Europe. In M.T. Sinclair and M.J. Stabler (eds) </w:t>
      </w:r>
      <w:r>
        <w:rPr>
          <w:i/>
          <w:color w:val="231F20"/>
          <w:sz w:val="17"/>
        </w:rPr>
        <w:t>The Tourism</w:t>
      </w:r>
      <w:r>
        <w:rPr>
          <w:i/>
          <w:color w:val="231F20"/>
          <w:spacing w:val="40"/>
          <w:sz w:val="17"/>
        </w:rPr>
        <w:t xml:space="preserve"> </w:t>
      </w:r>
      <w:r>
        <w:rPr>
          <w:i/>
          <w:color w:val="231F20"/>
          <w:sz w:val="17"/>
        </w:rPr>
        <w:t xml:space="preserve">Industry: An International Analysis </w:t>
      </w:r>
      <w:r>
        <w:rPr>
          <w:color w:val="231F20"/>
          <w:sz w:val="17"/>
        </w:rPr>
        <w:t>(pp. 107–120). Wallingford: CABI.</w:t>
      </w:r>
    </w:p>
    <w:p w14:paraId="376F7E0D" w14:textId="77777777" w:rsidR="00AE0598" w:rsidRDefault="0069255A">
      <w:pPr>
        <w:spacing w:before="2"/>
        <w:ind w:left="110"/>
        <w:jc w:val="both"/>
        <w:rPr>
          <w:sz w:val="17"/>
        </w:rPr>
      </w:pPr>
      <w:r>
        <w:rPr>
          <w:color w:val="231F20"/>
          <w:w w:val="95"/>
          <w:sz w:val="17"/>
        </w:rPr>
        <w:t>Reeves,</w:t>
      </w:r>
      <w:r>
        <w:rPr>
          <w:color w:val="231F20"/>
          <w:spacing w:val="38"/>
          <w:sz w:val="17"/>
        </w:rPr>
        <w:t xml:space="preserve"> </w:t>
      </w:r>
      <w:r>
        <w:rPr>
          <w:color w:val="231F20"/>
          <w:w w:val="95"/>
          <w:sz w:val="17"/>
        </w:rPr>
        <w:t>M.R.</w:t>
      </w:r>
      <w:r>
        <w:rPr>
          <w:color w:val="231F20"/>
          <w:spacing w:val="39"/>
          <w:sz w:val="17"/>
        </w:rPr>
        <w:t xml:space="preserve"> </w:t>
      </w:r>
      <w:r>
        <w:rPr>
          <w:color w:val="231F20"/>
          <w:w w:val="95"/>
          <w:sz w:val="17"/>
        </w:rPr>
        <w:t>(2000)</w:t>
      </w:r>
      <w:r>
        <w:rPr>
          <w:color w:val="231F20"/>
          <w:spacing w:val="39"/>
          <w:sz w:val="17"/>
        </w:rPr>
        <w:t xml:space="preserve"> </w:t>
      </w:r>
      <w:r>
        <w:rPr>
          <w:color w:val="231F20"/>
          <w:w w:val="95"/>
          <w:sz w:val="17"/>
        </w:rPr>
        <w:t>Evidencing</w:t>
      </w:r>
      <w:r>
        <w:rPr>
          <w:color w:val="231F20"/>
          <w:spacing w:val="38"/>
          <w:sz w:val="17"/>
        </w:rPr>
        <w:t xml:space="preserve"> </w:t>
      </w:r>
      <w:r>
        <w:rPr>
          <w:color w:val="231F20"/>
          <w:w w:val="95"/>
          <w:sz w:val="17"/>
        </w:rPr>
        <w:t>the</w:t>
      </w:r>
      <w:r>
        <w:rPr>
          <w:color w:val="231F20"/>
          <w:spacing w:val="39"/>
          <w:sz w:val="17"/>
        </w:rPr>
        <w:t xml:space="preserve"> </w:t>
      </w:r>
      <w:r>
        <w:rPr>
          <w:color w:val="231F20"/>
          <w:w w:val="95"/>
          <w:sz w:val="17"/>
        </w:rPr>
        <w:t>sport–tourism</w:t>
      </w:r>
      <w:r>
        <w:rPr>
          <w:color w:val="231F20"/>
          <w:spacing w:val="39"/>
          <w:sz w:val="17"/>
        </w:rPr>
        <w:t xml:space="preserve"> </w:t>
      </w:r>
      <w:r>
        <w:rPr>
          <w:color w:val="231F20"/>
          <w:w w:val="95"/>
          <w:sz w:val="17"/>
        </w:rPr>
        <w:t>relationship:</w:t>
      </w:r>
      <w:r>
        <w:rPr>
          <w:color w:val="231F20"/>
          <w:spacing w:val="38"/>
          <w:sz w:val="17"/>
        </w:rPr>
        <w:t xml:space="preserve"> </w:t>
      </w:r>
      <w:r>
        <w:rPr>
          <w:color w:val="231F20"/>
          <w:w w:val="95"/>
          <w:sz w:val="17"/>
        </w:rPr>
        <w:t>A</w:t>
      </w:r>
      <w:r>
        <w:rPr>
          <w:color w:val="231F20"/>
          <w:spacing w:val="39"/>
          <w:sz w:val="17"/>
        </w:rPr>
        <w:t xml:space="preserve"> </w:t>
      </w:r>
      <w:r>
        <w:rPr>
          <w:color w:val="231F20"/>
          <w:w w:val="95"/>
          <w:sz w:val="17"/>
        </w:rPr>
        <w:t>case</w:t>
      </w:r>
      <w:r>
        <w:rPr>
          <w:color w:val="231F20"/>
          <w:spacing w:val="38"/>
          <w:sz w:val="17"/>
        </w:rPr>
        <w:t xml:space="preserve"> </w:t>
      </w:r>
      <w:r>
        <w:rPr>
          <w:color w:val="231F20"/>
          <w:w w:val="95"/>
          <w:sz w:val="17"/>
        </w:rPr>
        <w:t>study</w:t>
      </w:r>
      <w:r>
        <w:rPr>
          <w:color w:val="231F20"/>
          <w:spacing w:val="39"/>
          <w:sz w:val="17"/>
        </w:rPr>
        <w:t xml:space="preserve"> </w:t>
      </w:r>
      <w:r>
        <w:rPr>
          <w:color w:val="231F20"/>
          <w:spacing w:val="-2"/>
          <w:w w:val="95"/>
          <w:sz w:val="17"/>
        </w:rPr>
        <w:t>approach.</w:t>
      </w:r>
    </w:p>
    <w:p w14:paraId="4B437D95" w14:textId="77777777" w:rsidR="00AE0598" w:rsidRDefault="0069255A">
      <w:pPr>
        <w:ind w:left="430"/>
        <w:jc w:val="both"/>
        <w:rPr>
          <w:sz w:val="17"/>
        </w:rPr>
      </w:pPr>
      <w:r>
        <w:rPr>
          <w:color w:val="231F20"/>
          <w:w w:val="95"/>
          <w:sz w:val="17"/>
        </w:rPr>
        <w:t>Unpublished</w:t>
      </w:r>
      <w:r>
        <w:rPr>
          <w:color w:val="231F20"/>
          <w:spacing w:val="26"/>
          <w:sz w:val="17"/>
        </w:rPr>
        <w:t xml:space="preserve"> </w:t>
      </w:r>
      <w:r>
        <w:rPr>
          <w:color w:val="231F20"/>
          <w:w w:val="95"/>
          <w:sz w:val="17"/>
        </w:rPr>
        <w:t>PhD</w:t>
      </w:r>
      <w:r>
        <w:rPr>
          <w:color w:val="231F20"/>
          <w:spacing w:val="27"/>
          <w:sz w:val="17"/>
        </w:rPr>
        <w:t xml:space="preserve"> </w:t>
      </w:r>
      <w:r>
        <w:rPr>
          <w:color w:val="231F20"/>
          <w:w w:val="95"/>
          <w:sz w:val="17"/>
        </w:rPr>
        <w:t>thesis,</w:t>
      </w:r>
      <w:r>
        <w:rPr>
          <w:color w:val="231F20"/>
          <w:spacing w:val="27"/>
          <w:sz w:val="17"/>
        </w:rPr>
        <w:t xml:space="preserve"> </w:t>
      </w:r>
      <w:r>
        <w:rPr>
          <w:color w:val="231F20"/>
          <w:w w:val="95"/>
          <w:sz w:val="17"/>
        </w:rPr>
        <w:t>Loughborough</w:t>
      </w:r>
      <w:r>
        <w:rPr>
          <w:color w:val="231F20"/>
          <w:spacing w:val="27"/>
          <w:sz w:val="17"/>
        </w:rPr>
        <w:t xml:space="preserve"> </w:t>
      </w:r>
      <w:r>
        <w:rPr>
          <w:color w:val="231F20"/>
          <w:spacing w:val="-2"/>
          <w:w w:val="95"/>
          <w:sz w:val="17"/>
        </w:rPr>
        <w:t>University.</w:t>
      </w:r>
    </w:p>
    <w:p w14:paraId="77359431" w14:textId="77777777" w:rsidR="00AE0598" w:rsidRDefault="00AE0598">
      <w:pPr>
        <w:jc w:val="both"/>
        <w:rPr>
          <w:sz w:val="17"/>
        </w:rPr>
        <w:sectPr w:rsidR="00AE0598">
          <w:pgSz w:w="8850" w:h="13270"/>
          <w:pgMar w:top="720" w:right="1060" w:bottom="280" w:left="1080" w:header="720" w:footer="720" w:gutter="0"/>
          <w:cols w:space="720"/>
        </w:sectPr>
      </w:pPr>
    </w:p>
    <w:p w14:paraId="5D831E8D" w14:textId="77777777" w:rsidR="00AE0598" w:rsidRDefault="0069255A">
      <w:pPr>
        <w:spacing w:before="87"/>
        <w:ind w:left="110" w:right="128"/>
        <w:jc w:val="right"/>
        <w:rPr>
          <w:rFonts w:ascii="Trebuchet MS"/>
          <w:sz w:val="14"/>
        </w:rPr>
      </w:pPr>
      <w:r>
        <w:rPr>
          <w:rFonts w:ascii="Trebuchet MS"/>
          <w:color w:val="231F20"/>
          <w:w w:val="105"/>
          <w:sz w:val="14"/>
        </w:rPr>
        <w:lastRenderedPageBreak/>
        <w:t>References</w:t>
      </w:r>
      <w:r>
        <w:rPr>
          <w:rFonts w:ascii="Trebuchet MS"/>
          <w:color w:val="231F20"/>
          <w:spacing w:val="67"/>
          <w:w w:val="105"/>
          <w:sz w:val="14"/>
        </w:rPr>
        <w:t xml:space="preserve"> </w:t>
      </w:r>
      <w:r>
        <w:rPr>
          <w:rFonts w:ascii="Trebuchet MS"/>
          <w:color w:val="231F20"/>
          <w:spacing w:val="-5"/>
          <w:w w:val="105"/>
          <w:sz w:val="14"/>
        </w:rPr>
        <w:t>269</w:t>
      </w:r>
    </w:p>
    <w:p w14:paraId="0A37DFB7" w14:textId="77777777" w:rsidR="00AE0598" w:rsidRDefault="00AE0598">
      <w:pPr>
        <w:pStyle w:val="Corpodetexto"/>
        <w:rPr>
          <w:rFonts w:ascii="Trebuchet MS"/>
          <w:sz w:val="16"/>
        </w:rPr>
      </w:pPr>
    </w:p>
    <w:p w14:paraId="1C8E36D1" w14:textId="77777777" w:rsidR="00AE0598" w:rsidRDefault="0069255A">
      <w:pPr>
        <w:spacing w:before="121"/>
        <w:ind w:left="430" w:right="128" w:hanging="320"/>
        <w:jc w:val="both"/>
        <w:rPr>
          <w:sz w:val="17"/>
        </w:rPr>
      </w:pPr>
      <w:r>
        <w:rPr>
          <w:color w:val="231F20"/>
          <w:w w:val="105"/>
          <w:sz w:val="17"/>
        </w:rPr>
        <w:t>Reis, A.C., Sousa Mast, F.R. and Vieira, M.C. (2013) Public policies and sports in</w:t>
      </w:r>
      <w:r>
        <w:rPr>
          <w:color w:val="231F20"/>
          <w:spacing w:val="40"/>
          <w:w w:val="105"/>
          <w:sz w:val="17"/>
        </w:rPr>
        <w:t xml:space="preserve"> </w:t>
      </w:r>
      <w:r>
        <w:rPr>
          <w:color w:val="231F20"/>
          <w:sz w:val="17"/>
        </w:rPr>
        <w:t xml:space="preserve">marginalised communities: The case of Cidade de Deus, Rio de Janeiro, Brazil. </w:t>
      </w:r>
      <w:r>
        <w:rPr>
          <w:i/>
          <w:color w:val="231F20"/>
          <w:sz w:val="17"/>
        </w:rPr>
        <w:t>World</w:t>
      </w:r>
      <w:r>
        <w:rPr>
          <w:i/>
          <w:color w:val="231F20"/>
          <w:spacing w:val="40"/>
          <w:w w:val="105"/>
          <w:sz w:val="17"/>
        </w:rPr>
        <w:t xml:space="preserve"> </w:t>
      </w:r>
      <w:r>
        <w:rPr>
          <w:i/>
          <w:color w:val="231F20"/>
          <w:w w:val="105"/>
          <w:sz w:val="17"/>
        </w:rPr>
        <w:t xml:space="preserve">Leisure Journal </w:t>
      </w:r>
      <w:r>
        <w:rPr>
          <w:color w:val="231F20"/>
          <w:w w:val="105"/>
          <w:sz w:val="17"/>
        </w:rPr>
        <w:t>55 (3), 229–251.</w:t>
      </w:r>
    </w:p>
    <w:p w14:paraId="16D9A068" w14:textId="77777777" w:rsidR="00AE0598" w:rsidRDefault="0069255A">
      <w:pPr>
        <w:spacing w:before="2"/>
        <w:ind w:left="430" w:right="128" w:hanging="320"/>
        <w:jc w:val="both"/>
        <w:rPr>
          <w:sz w:val="17"/>
        </w:rPr>
      </w:pPr>
      <w:r>
        <w:rPr>
          <w:color w:val="231F20"/>
          <w:sz w:val="17"/>
        </w:rPr>
        <w:t>Reis, A.C., Sousa Mast, F.R. and Gurgel, L.A. (2014) Rio 2016 and the sport participation</w:t>
      </w:r>
      <w:r>
        <w:rPr>
          <w:color w:val="231F20"/>
          <w:spacing w:val="40"/>
          <w:sz w:val="17"/>
        </w:rPr>
        <w:t xml:space="preserve"> </w:t>
      </w:r>
      <w:r>
        <w:rPr>
          <w:color w:val="231F20"/>
          <w:sz w:val="17"/>
        </w:rPr>
        <w:t xml:space="preserve">legacies. </w:t>
      </w:r>
      <w:r>
        <w:rPr>
          <w:i/>
          <w:color w:val="231F20"/>
          <w:sz w:val="17"/>
        </w:rPr>
        <w:t xml:space="preserve">Leisure Studies </w:t>
      </w:r>
      <w:r>
        <w:rPr>
          <w:color w:val="231F20"/>
          <w:sz w:val="17"/>
        </w:rPr>
        <w:t>33 (5), 437–453.</w:t>
      </w:r>
    </w:p>
    <w:p w14:paraId="35EB7D44" w14:textId="77777777" w:rsidR="00AE0598" w:rsidRDefault="0069255A">
      <w:pPr>
        <w:spacing w:before="1"/>
        <w:ind w:left="430" w:right="128" w:hanging="320"/>
        <w:jc w:val="both"/>
        <w:rPr>
          <w:sz w:val="17"/>
        </w:rPr>
      </w:pPr>
      <w:r>
        <w:rPr>
          <w:color w:val="231F20"/>
          <w:sz w:val="17"/>
        </w:rPr>
        <w:t>Reis, A.C., Vieira, M.C. and Sousa Mast, F.R. (2016) ‘Sport for development’ in developing</w:t>
      </w:r>
      <w:r>
        <w:rPr>
          <w:color w:val="231F20"/>
          <w:spacing w:val="40"/>
          <w:sz w:val="17"/>
        </w:rPr>
        <w:t xml:space="preserve"> </w:t>
      </w:r>
      <w:r>
        <w:rPr>
          <w:color w:val="231F20"/>
          <w:sz w:val="17"/>
        </w:rPr>
        <w:t>countries:</w:t>
      </w:r>
      <w:r>
        <w:rPr>
          <w:color w:val="231F20"/>
          <w:spacing w:val="-2"/>
          <w:sz w:val="17"/>
        </w:rPr>
        <w:t xml:space="preserve"> </w:t>
      </w:r>
      <w:r>
        <w:rPr>
          <w:color w:val="231F20"/>
          <w:sz w:val="17"/>
        </w:rPr>
        <w:t>The</w:t>
      </w:r>
      <w:r>
        <w:rPr>
          <w:color w:val="231F20"/>
          <w:spacing w:val="-2"/>
          <w:sz w:val="17"/>
        </w:rPr>
        <w:t xml:space="preserve"> </w:t>
      </w:r>
      <w:r>
        <w:rPr>
          <w:color w:val="231F20"/>
          <w:sz w:val="17"/>
        </w:rPr>
        <w:t>case</w:t>
      </w:r>
      <w:r>
        <w:rPr>
          <w:color w:val="231F20"/>
          <w:spacing w:val="-3"/>
          <w:sz w:val="17"/>
        </w:rPr>
        <w:t xml:space="preserve"> </w:t>
      </w:r>
      <w:r>
        <w:rPr>
          <w:color w:val="231F20"/>
          <w:sz w:val="17"/>
        </w:rPr>
        <w:t>of</w:t>
      </w:r>
      <w:r>
        <w:rPr>
          <w:color w:val="231F20"/>
          <w:spacing w:val="-2"/>
          <w:sz w:val="17"/>
        </w:rPr>
        <w:t xml:space="preserve"> </w:t>
      </w:r>
      <w:r>
        <w:rPr>
          <w:color w:val="231F20"/>
          <w:sz w:val="17"/>
        </w:rPr>
        <w:t>de</w:t>
      </w:r>
      <w:r>
        <w:rPr>
          <w:color w:val="231F20"/>
          <w:spacing w:val="-3"/>
          <w:sz w:val="17"/>
        </w:rPr>
        <w:t xml:space="preserve"> </w:t>
      </w:r>
      <w:r>
        <w:rPr>
          <w:color w:val="231F20"/>
          <w:sz w:val="17"/>
        </w:rPr>
        <w:t>Vilas</w:t>
      </w:r>
      <w:r>
        <w:rPr>
          <w:color w:val="231F20"/>
          <w:spacing w:val="-2"/>
          <w:sz w:val="17"/>
        </w:rPr>
        <w:t xml:space="preserve"> </w:t>
      </w:r>
      <w:r>
        <w:rPr>
          <w:color w:val="231F20"/>
          <w:sz w:val="17"/>
        </w:rPr>
        <w:t>Olímpicas</w:t>
      </w:r>
      <w:r>
        <w:rPr>
          <w:color w:val="231F20"/>
          <w:spacing w:val="-2"/>
          <w:sz w:val="17"/>
        </w:rPr>
        <w:t xml:space="preserve"> </w:t>
      </w:r>
      <w:r>
        <w:rPr>
          <w:color w:val="231F20"/>
          <w:sz w:val="17"/>
        </w:rPr>
        <w:t>do</w:t>
      </w:r>
      <w:r>
        <w:rPr>
          <w:color w:val="231F20"/>
          <w:spacing w:val="-2"/>
          <w:sz w:val="17"/>
        </w:rPr>
        <w:t xml:space="preserve"> </w:t>
      </w:r>
      <w:r>
        <w:rPr>
          <w:color w:val="231F20"/>
          <w:sz w:val="17"/>
        </w:rPr>
        <w:t>Rio</w:t>
      </w:r>
      <w:r>
        <w:rPr>
          <w:color w:val="231F20"/>
          <w:spacing w:val="-2"/>
          <w:sz w:val="17"/>
        </w:rPr>
        <w:t xml:space="preserve"> </w:t>
      </w:r>
      <w:r>
        <w:rPr>
          <w:color w:val="231F20"/>
          <w:sz w:val="17"/>
        </w:rPr>
        <w:t>de</w:t>
      </w:r>
      <w:r>
        <w:rPr>
          <w:color w:val="231F20"/>
          <w:spacing w:val="-3"/>
          <w:sz w:val="17"/>
        </w:rPr>
        <w:t xml:space="preserve"> </w:t>
      </w:r>
      <w:r>
        <w:rPr>
          <w:color w:val="231F20"/>
          <w:sz w:val="17"/>
        </w:rPr>
        <w:t>Janeiro,</w:t>
      </w:r>
      <w:r>
        <w:rPr>
          <w:color w:val="231F20"/>
          <w:spacing w:val="-2"/>
          <w:sz w:val="17"/>
        </w:rPr>
        <w:t xml:space="preserve"> </w:t>
      </w:r>
      <w:r>
        <w:rPr>
          <w:color w:val="231F20"/>
          <w:sz w:val="17"/>
        </w:rPr>
        <w:t>Brazil.</w:t>
      </w:r>
      <w:r>
        <w:rPr>
          <w:color w:val="231F20"/>
          <w:spacing w:val="-3"/>
          <w:sz w:val="17"/>
        </w:rPr>
        <w:t xml:space="preserve"> </w:t>
      </w:r>
      <w:r>
        <w:rPr>
          <w:i/>
          <w:color w:val="231F20"/>
          <w:sz w:val="17"/>
        </w:rPr>
        <w:t>Sport</w:t>
      </w:r>
      <w:r>
        <w:rPr>
          <w:i/>
          <w:color w:val="231F20"/>
          <w:spacing w:val="-2"/>
          <w:sz w:val="17"/>
        </w:rPr>
        <w:t xml:space="preserve"> </w:t>
      </w:r>
      <w:r>
        <w:rPr>
          <w:i/>
          <w:color w:val="231F20"/>
          <w:sz w:val="17"/>
        </w:rPr>
        <w:t>Management</w:t>
      </w:r>
      <w:r>
        <w:rPr>
          <w:i/>
          <w:color w:val="231F20"/>
          <w:spacing w:val="40"/>
          <w:w w:val="105"/>
          <w:sz w:val="17"/>
        </w:rPr>
        <w:t xml:space="preserve"> </w:t>
      </w:r>
      <w:r>
        <w:rPr>
          <w:i/>
          <w:color w:val="231F20"/>
          <w:w w:val="105"/>
          <w:sz w:val="17"/>
        </w:rPr>
        <w:t xml:space="preserve">Review </w:t>
      </w:r>
      <w:r>
        <w:rPr>
          <w:color w:val="231F20"/>
          <w:w w:val="105"/>
          <w:sz w:val="17"/>
        </w:rPr>
        <w:t>19, 107–119.</w:t>
      </w:r>
    </w:p>
    <w:p w14:paraId="2631581F" w14:textId="77777777" w:rsidR="00AE0598" w:rsidRDefault="0069255A">
      <w:pPr>
        <w:spacing w:before="2"/>
        <w:ind w:left="430" w:right="128" w:hanging="320"/>
        <w:jc w:val="both"/>
        <w:rPr>
          <w:sz w:val="17"/>
        </w:rPr>
      </w:pPr>
      <w:r>
        <w:rPr>
          <w:color w:val="231F20"/>
          <w:sz w:val="17"/>
        </w:rPr>
        <w:t xml:space="preserve">Reisinger, </w:t>
      </w:r>
      <w:r>
        <w:rPr>
          <w:color w:val="231F20"/>
          <w:w w:val="105"/>
          <w:sz w:val="17"/>
        </w:rPr>
        <w:t xml:space="preserve">Y. </w:t>
      </w:r>
      <w:r>
        <w:rPr>
          <w:color w:val="231F20"/>
          <w:sz w:val="17"/>
        </w:rPr>
        <w:t xml:space="preserve">and Steiner, </w:t>
      </w:r>
      <w:r>
        <w:rPr>
          <w:color w:val="231F20"/>
          <w:w w:val="105"/>
          <w:sz w:val="17"/>
        </w:rPr>
        <w:t xml:space="preserve">C.J. </w:t>
      </w:r>
      <w:r>
        <w:rPr>
          <w:color w:val="231F20"/>
          <w:sz w:val="17"/>
        </w:rPr>
        <w:t>(2005) Rec</w:t>
      </w:r>
      <w:r>
        <w:rPr>
          <w:color w:val="231F20"/>
          <w:sz w:val="17"/>
        </w:rPr>
        <w:t xml:space="preserve">onceptualising object authenticity. </w:t>
      </w:r>
      <w:r>
        <w:rPr>
          <w:i/>
          <w:color w:val="231F20"/>
          <w:sz w:val="17"/>
        </w:rPr>
        <w:t>Annals of</w:t>
      </w:r>
      <w:r>
        <w:rPr>
          <w:i/>
          <w:color w:val="231F20"/>
          <w:spacing w:val="40"/>
          <w:sz w:val="17"/>
        </w:rPr>
        <w:t xml:space="preserve"> </w:t>
      </w:r>
      <w:r>
        <w:rPr>
          <w:i/>
          <w:color w:val="231F20"/>
          <w:sz w:val="17"/>
        </w:rPr>
        <w:t xml:space="preserve">Tourism Research </w:t>
      </w:r>
      <w:r>
        <w:rPr>
          <w:color w:val="231F20"/>
          <w:sz w:val="17"/>
        </w:rPr>
        <w:t>33, 65–86.</w:t>
      </w:r>
    </w:p>
    <w:p w14:paraId="4E0E5C80" w14:textId="77777777" w:rsidR="00AE0598" w:rsidRDefault="0069255A">
      <w:pPr>
        <w:spacing w:before="2"/>
        <w:ind w:left="110"/>
        <w:jc w:val="both"/>
        <w:rPr>
          <w:sz w:val="17"/>
        </w:rPr>
      </w:pPr>
      <w:r>
        <w:rPr>
          <w:color w:val="231F20"/>
          <w:w w:val="95"/>
          <w:sz w:val="17"/>
        </w:rPr>
        <w:t>Relph,</w:t>
      </w:r>
      <w:r>
        <w:rPr>
          <w:color w:val="231F20"/>
          <w:spacing w:val="20"/>
          <w:sz w:val="17"/>
        </w:rPr>
        <w:t xml:space="preserve"> </w:t>
      </w:r>
      <w:r>
        <w:rPr>
          <w:color w:val="231F20"/>
          <w:w w:val="95"/>
          <w:sz w:val="17"/>
        </w:rPr>
        <w:t>E.</w:t>
      </w:r>
      <w:r>
        <w:rPr>
          <w:color w:val="231F20"/>
          <w:spacing w:val="20"/>
          <w:sz w:val="17"/>
        </w:rPr>
        <w:t xml:space="preserve"> </w:t>
      </w:r>
      <w:r>
        <w:rPr>
          <w:color w:val="231F20"/>
          <w:w w:val="95"/>
          <w:sz w:val="17"/>
        </w:rPr>
        <w:t>(1976)</w:t>
      </w:r>
      <w:r>
        <w:rPr>
          <w:color w:val="231F20"/>
          <w:spacing w:val="20"/>
          <w:sz w:val="17"/>
        </w:rPr>
        <w:t xml:space="preserve"> </w:t>
      </w:r>
      <w:r>
        <w:rPr>
          <w:i/>
          <w:color w:val="231F20"/>
          <w:w w:val="95"/>
          <w:sz w:val="17"/>
        </w:rPr>
        <w:t>Place</w:t>
      </w:r>
      <w:r>
        <w:rPr>
          <w:i/>
          <w:color w:val="231F20"/>
          <w:spacing w:val="20"/>
          <w:sz w:val="17"/>
        </w:rPr>
        <w:t xml:space="preserve"> </w:t>
      </w:r>
      <w:r>
        <w:rPr>
          <w:i/>
          <w:color w:val="231F20"/>
          <w:w w:val="95"/>
          <w:sz w:val="17"/>
        </w:rPr>
        <w:t>and</w:t>
      </w:r>
      <w:r>
        <w:rPr>
          <w:i/>
          <w:color w:val="231F20"/>
          <w:spacing w:val="20"/>
          <w:sz w:val="17"/>
        </w:rPr>
        <w:t xml:space="preserve"> </w:t>
      </w:r>
      <w:r>
        <w:rPr>
          <w:i/>
          <w:color w:val="231F20"/>
          <w:w w:val="95"/>
          <w:sz w:val="17"/>
        </w:rPr>
        <w:t>Placelessness</w:t>
      </w:r>
      <w:r>
        <w:rPr>
          <w:color w:val="231F20"/>
          <w:w w:val="95"/>
          <w:sz w:val="17"/>
        </w:rPr>
        <w:t>.</w:t>
      </w:r>
      <w:r>
        <w:rPr>
          <w:color w:val="231F20"/>
          <w:spacing w:val="20"/>
          <w:sz w:val="17"/>
        </w:rPr>
        <w:t xml:space="preserve"> </w:t>
      </w:r>
      <w:r>
        <w:rPr>
          <w:color w:val="231F20"/>
          <w:w w:val="95"/>
          <w:sz w:val="17"/>
        </w:rPr>
        <w:t>London:</w:t>
      </w:r>
      <w:r>
        <w:rPr>
          <w:color w:val="231F20"/>
          <w:spacing w:val="20"/>
          <w:sz w:val="17"/>
        </w:rPr>
        <w:t xml:space="preserve"> </w:t>
      </w:r>
      <w:r>
        <w:rPr>
          <w:color w:val="231F20"/>
          <w:w w:val="95"/>
          <w:sz w:val="17"/>
        </w:rPr>
        <w:t>Pion</w:t>
      </w:r>
      <w:r>
        <w:rPr>
          <w:color w:val="231F20"/>
          <w:spacing w:val="20"/>
          <w:sz w:val="17"/>
        </w:rPr>
        <w:t xml:space="preserve"> </w:t>
      </w:r>
      <w:r>
        <w:rPr>
          <w:color w:val="231F20"/>
          <w:spacing w:val="-2"/>
          <w:w w:val="95"/>
          <w:sz w:val="17"/>
        </w:rPr>
        <w:t>Limited.</w:t>
      </w:r>
    </w:p>
    <w:p w14:paraId="17FF8008" w14:textId="77777777" w:rsidR="00AE0598" w:rsidRDefault="0069255A">
      <w:pPr>
        <w:spacing w:before="1"/>
        <w:ind w:left="430" w:right="127" w:hanging="320"/>
        <w:jc w:val="both"/>
        <w:rPr>
          <w:sz w:val="17"/>
        </w:rPr>
      </w:pPr>
      <w:r>
        <w:rPr>
          <w:color w:val="231F20"/>
          <w:w w:val="95"/>
          <w:sz w:val="17"/>
        </w:rPr>
        <w:t>Relph, E. (1985) Geographical experiences and being-in-the-world: The phenomenological</w:t>
      </w:r>
      <w:r>
        <w:rPr>
          <w:color w:val="231F20"/>
          <w:spacing w:val="40"/>
          <w:sz w:val="17"/>
        </w:rPr>
        <w:t xml:space="preserve"> </w:t>
      </w:r>
      <w:r>
        <w:rPr>
          <w:color w:val="231F20"/>
          <w:sz w:val="17"/>
        </w:rPr>
        <w:t xml:space="preserve">origins of geography. In D. Seamon and R. Mugerauer (eds) </w:t>
      </w:r>
      <w:r>
        <w:rPr>
          <w:i/>
          <w:color w:val="231F20"/>
          <w:sz w:val="17"/>
        </w:rPr>
        <w:t>Dwelling, Place and</w:t>
      </w:r>
      <w:r>
        <w:rPr>
          <w:i/>
          <w:color w:val="231F20"/>
          <w:spacing w:val="40"/>
          <w:sz w:val="17"/>
        </w:rPr>
        <w:t xml:space="preserve"> </w:t>
      </w:r>
      <w:r>
        <w:rPr>
          <w:i/>
          <w:color w:val="231F20"/>
          <w:sz w:val="17"/>
        </w:rPr>
        <w:t xml:space="preserve">Environment </w:t>
      </w:r>
      <w:r>
        <w:rPr>
          <w:color w:val="231F20"/>
          <w:sz w:val="17"/>
        </w:rPr>
        <w:t>(pp. 15–38). Dordrecht: Nijhoff.</w:t>
      </w:r>
    </w:p>
    <w:p w14:paraId="3FDF6B1A" w14:textId="77777777" w:rsidR="00AE0598" w:rsidRDefault="0069255A">
      <w:pPr>
        <w:spacing w:before="2"/>
        <w:ind w:left="430" w:right="127" w:hanging="320"/>
        <w:jc w:val="both"/>
        <w:rPr>
          <w:sz w:val="17"/>
        </w:rPr>
      </w:pPr>
      <w:r>
        <w:rPr>
          <w:color w:val="231F20"/>
          <w:sz w:val="17"/>
        </w:rPr>
        <w:t>Richards, G. (1996) Skilled consumption and UK</w:t>
      </w:r>
      <w:r>
        <w:rPr>
          <w:color w:val="231F20"/>
          <w:sz w:val="17"/>
        </w:rPr>
        <w:t xml:space="preserve"> ski holidays. </w:t>
      </w:r>
      <w:r>
        <w:rPr>
          <w:i/>
          <w:color w:val="231F20"/>
          <w:sz w:val="17"/>
        </w:rPr>
        <w:t xml:space="preserve">Tourism Management </w:t>
      </w:r>
      <w:r>
        <w:rPr>
          <w:color w:val="231F20"/>
          <w:sz w:val="17"/>
        </w:rPr>
        <w:t>17,</w:t>
      </w:r>
      <w:r>
        <w:rPr>
          <w:color w:val="231F20"/>
          <w:spacing w:val="40"/>
          <w:sz w:val="17"/>
        </w:rPr>
        <w:t xml:space="preserve"> </w:t>
      </w:r>
      <w:r>
        <w:rPr>
          <w:color w:val="231F20"/>
          <w:spacing w:val="-2"/>
          <w:sz w:val="17"/>
        </w:rPr>
        <w:t>25–34.</w:t>
      </w:r>
    </w:p>
    <w:p w14:paraId="791CA71F" w14:textId="77777777" w:rsidR="00AE0598" w:rsidRDefault="0069255A">
      <w:pPr>
        <w:spacing w:before="1"/>
        <w:ind w:left="430" w:right="128" w:hanging="320"/>
        <w:jc w:val="both"/>
        <w:rPr>
          <w:sz w:val="17"/>
        </w:rPr>
      </w:pPr>
      <w:r>
        <w:rPr>
          <w:color w:val="231F20"/>
          <w:sz w:val="17"/>
        </w:rPr>
        <w:t>Ritchie, B.W., Shipway, R. and Cleeve, B. (2009) Resident perceptions of mega-sporting</w:t>
      </w:r>
      <w:r>
        <w:rPr>
          <w:color w:val="231F20"/>
          <w:spacing w:val="40"/>
          <w:sz w:val="17"/>
        </w:rPr>
        <w:t xml:space="preserve"> </w:t>
      </w:r>
      <w:r>
        <w:rPr>
          <w:color w:val="231F20"/>
          <w:sz w:val="17"/>
        </w:rPr>
        <w:t xml:space="preserve">events: A non-host city perspective of the 2012 London Olympic Games. </w:t>
      </w:r>
      <w:r>
        <w:rPr>
          <w:i/>
          <w:color w:val="231F20"/>
          <w:sz w:val="17"/>
        </w:rPr>
        <w:t>Journal of</w:t>
      </w:r>
      <w:r>
        <w:rPr>
          <w:i/>
          <w:color w:val="231F20"/>
          <w:spacing w:val="40"/>
          <w:sz w:val="17"/>
        </w:rPr>
        <w:t xml:space="preserve"> </w:t>
      </w:r>
      <w:r>
        <w:rPr>
          <w:i/>
          <w:color w:val="231F20"/>
          <w:sz w:val="17"/>
        </w:rPr>
        <w:t xml:space="preserve">Sport </w:t>
      </w:r>
      <w:r>
        <w:rPr>
          <w:i/>
          <w:color w:val="231F20"/>
          <w:w w:val="110"/>
          <w:sz w:val="17"/>
        </w:rPr>
        <w:t xml:space="preserve">&amp; </w:t>
      </w:r>
      <w:r>
        <w:rPr>
          <w:i/>
          <w:color w:val="231F20"/>
          <w:sz w:val="17"/>
        </w:rPr>
        <w:t xml:space="preserve">Tourism </w:t>
      </w:r>
      <w:r>
        <w:rPr>
          <w:color w:val="231F20"/>
          <w:sz w:val="17"/>
        </w:rPr>
        <w:t>14, 143–167.</w:t>
      </w:r>
    </w:p>
    <w:p w14:paraId="5B4458EE" w14:textId="77777777" w:rsidR="00AE0598" w:rsidRDefault="0069255A">
      <w:pPr>
        <w:spacing w:before="2"/>
        <w:ind w:left="430" w:right="127" w:hanging="320"/>
        <w:jc w:val="both"/>
        <w:rPr>
          <w:sz w:val="17"/>
        </w:rPr>
      </w:pPr>
      <w:r>
        <w:rPr>
          <w:color w:val="231F20"/>
          <w:sz w:val="17"/>
        </w:rPr>
        <w:t>Ritchie, J.B.R</w:t>
      </w:r>
      <w:r>
        <w:rPr>
          <w:color w:val="231F20"/>
          <w:sz w:val="17"/>
        </w:rPr>
        <w:t>. (1984) Assessing the impact of hallmark events: Conceptual and research</w:t>
      </w:r>
      <w:r>
        <w:rPr>
          <w:color w:val="231F20"/>
          <w:spacing w:val="40"/>
          <w:w w:val="105"/>
          <w:sz w:val="17"/>
        </w:rPr>
        <w:t xml:space="preserve"> </w:t>
      </w:r>
      <w:r>
        <w:rPr>
          <w:color w:val="231F20"/>
          <w:w w:val="105"/>
          <w:sz w:val="17"/>
        </w:rPr>
        <w:t>issues.</w:t>
      </w:r>
      <w:r>
        <w:rPr>
          <w:color w:val="231F20"/>
          <w:spacing w:val="-7"/>
          <w:w w:val="105"/>
          <w:sz w:val="17"/>
        </w:rPr>
        <w:t xml:space="preserve"> </w:t>
      </w:r>
      <w:r>
        <w:rPr>
          <w:i/>
          <w:color w:val="231F20"/>
          <w:w w:val="105"/>
          <w:sz w:val="17"/>
        </w:rPr>
        <w:t>Journal</w:t>
      </w:r>
      <w:r>
        <w:rPr>
          <w:i/>
          <w:color w:val="231F20"/>
          <w:spacing w:val="-7"/>
          <w:w w:val="105"/>
          <w:sz w:val="17"/>
        </w:rPr>
        <w:t xml:space="preserve"> </w:t>
      </w:r>
      <w:r>
        <w:rPr>
          <w:i/>
          <w:color w:val="231F20"/>
          <w:w w:val="105"/>
          <w:sz w:val="17"/>
        </w:rPr>
        <w:t>of</w:t>
      </w:r>
      <w:r>
        <w:rPr>
          <w:i/>
          <w:color w:val="231F20"/>
          <w:spacing w:val="-7"/>
          <w:w w:val="105"/>
          <w:sz w:val="17"/>
        </w:rPr>
        <w:t xml:space="preserve"> </w:t>
      </w:r>
      <w:r>
        <w:rPr>
          <w:i/>
          <w:color w:val="231F20"/>
          <w:w w:val="105"/>
          <w:sz w:val="17"/>
        </w:rPr>
        <w:t>Travel</w:t>
      </w:r>
      <w:r>
        <w:rPr>
          <w:i/>
          <w:color w:val="231F20"/>
          <w:spacing w:val="-7"/>
          <w:w w:val="105"/>
          <w:sz w:val="17"/>
        </w:rPr>
        <w:t xml:space="preserve"> </w:t>
      </w:r>
      <w:r>
        <w:rPr>
          <w:i/>
          <w:color w:val="231F20"/>
          <w:w w:val="105"/>
          <w:sz w:val="17"/>
        </w:rPr>
        <w:t>Research</w:t>
      </w:r>
      <w:r>
        <w:rPr>
          <w:i/>
          <w:color w:val="231F20"/>
          <w:spacing w:val="-7"/>
          <w:w w:val="105"/>
          <w:sz w:val="17"/>
        </w:rPr>
        <w:t xml:space="preserve"> </w:t>
      </w:r>
      <w:r>
        <w:rPr>
          <w:color w:val="231F20"/>
          <w:w w:val="105"/>
          <w:sz w:val="17"/>
        </w:rPr>
        <w:t>13</w:t>
      </w:r>
      <w:r>
        <w:rPr>
          <w:color w:val="231F20"/>
          <w:spacing w:val="-7"/>
          <w:w w:val="105"/>
          <w:sz w:val="17"/>
        </w:rPr>
        <w:t xml:space="preserve"> </w:t>
      </w:r>
      <w:r>
        <w:rPr>
          <w:color w:val="231F20"/>
          <w:w w:val="105"/>
          <w:sz w:val="17"/>
        </w:rPr>
        <w:t>(1),</w:t>
      </w:r>
      <w:r>
        <w:rPr>
          <w:color w:val="231F20"/>
          <w:spacing w:val="-7"/>
          <w:w w:val="105"/>
          <w:sz w:val="17"/>
        </w:rPr>
        <w:t xml:space="preserve"> </w:t>
      </w:r>
      <w:r>
        <w:rPr>
          <w:color w:val="231F20"/>
          <w:w w:val="105"/>
          <w:sz w:val="17"/>
        </w:rPr>
        <w:t>2–11.</w:t>
      </w:r>
    </w:p>
    <w:p w14:paraId="68148849" w14:textId="77777777" w:rsidR="00AE0598" w:rsidRDefault="0069255A">
      <w:pPr>
        <w:spacing w:before="2"/>
        <w:ind w:left="430" w:right="127" w:hanging="320"/>
        <w:jc w:val="both"/>
        <w:rPr>
          <w:sz w:val="17"/>
        </w:rPr>
      </w:pPr>
      <w:r>
        <w:rPr>
          <w:color w:val="231F20"/>
          <w:w w:val="95"/>
          <w:sz w:val="17"/>
        </w:rPr>
        <w:t>Ritchie, J.B.R. (1999) Policy formulation at the tourism/environment interface: Insights and</w:t>
      </w:r>
      <w:r>
        <w:rPr>
          <w:color w:val="231F20"/>
          <w:spacing w:val="40"/>
          <w:sz w:val="17"/>
        </w:rPr>
        <w:t xml:space="preserve"> </w:t>
      </w:r>
      <w:r>
        <w:rPr>
          <w:color w:val="231F20"/>
          <w:sz w:val="17"/>
        </w:rPr>
        <w:t>recommendations</w:t>
      </w:r>
      <w:r>
        <w:rPr>
          <w:color w:val="231F20"/>
          <w:spacing w:val="-6"/>
          <w:sz w:val="17"/>
        </w:rPr>
        <w:t xml:space="preserve"> </w:t>
      </w:r>
      <w:r>
        <w:rPr>
          <w:color w:val="231F20"/>
          <w:sz w:val="17"/>
        </w:rPr>
        <w:t>from</w:t>
      </w:r>
      <w:r>
        <w:rPr>
          <w:color w:val="231F20"/>
          <w:spacing w:val="-6"/>
          <w:sz w:val="17"/>
        </w:rPr>
        <w:t xml:space="preserve"> </w:t>
      </w:r>
      <w:r>
        <w:rPr>
          <w:color w:val="231F20"/>
          <w:sz w:val="17"/>
        </w:rPr>
        <w:t>the</w:t>
      </w:r>
      <w:r>
        <w:rPr>
          <w:color w:val="231F20"/>
          <w:spacing w:val="-6"/>
          <w:sz w:val="17"/>
        </w:rPr>
        <w:t xml:space="preserve"> </w:t>
      </w:r>
      <w:r>
        <w:rPr>
          <w:color w:val="231F20"/>
          <w:sz w:val="17"/>
        </w:rPr>
        <w:t>Banff-Bow</w:t>
      </w:r>
      <w:r>
        <w:rPr>
          <w:color w:val="231F20"/>
          <w:spacing w:val="-6"/>
          <w:sz w:val="17"/>
        </w:rPr>
        <w:t xml:space="preserve"> </w:t>
      </w:r>
      <w:r>
        <w:rPr>
          <w:color w:val="231F20"/>
          <w:sz w:val="17"/>
        </w:rPr>
        <w:t>Valley</w:t>
      </w:r>
      <w:r>
        <w:rPr>
          <w:color w:val="231F20"/>
          <w:spacing w:val="-6"/>
          <w:sz w:val="17"/>
        </w:rPr>
        <w:t xml:space="preserve"> </w:t>
      </w:r>
      <w:r>
        <w:rPr>
          <w:color w:val="231F20"/>
          <w:sz w:val="17"/>
        </w:rPr>
        <w:t>study.</w:t>
      </w:r>
      <w:r>
        <w:rPr>
          <w:color w:val="231F20"/>
          <w:spacing w:val="-6"/>
          <w:sz w:val="17"/>
        </w:rPr>
        <w:t xml:space="preserve"> </w:t>
      </w:r>
      <w:r>
        <w:rPr>
          <w:i/>
          <w:color w:val="231F20"/>
          <w:sz w:val="17"/>
        </w:rPr>
        <w:t>Journal</w:t>
      </w:r>
      <w:r>
        <w:rPr>
          <w:i/>
          <w:color w:val="231F20"/>
          <w:spacing w:val="-6"/>
          <w:sz w:val="17"/>
        </w:rPr>
        <w:t xml:space="preserve"> </w:t>
      </w:r>
      <w:r>
        <w:rPr>
          <w:i/>
          <w:color w:val="231F20"/>
          <w:sz w:val="17"/>
        </w:rPr>
        <w:t>of</w:t>
      </w:r>
      <w:r>
        <w:rPr>
          <w:i/>
          <w:color w:val="231F20"/>
          <w:spacing w:val="-6"/>
          <w:sz w:val="17"/>
        </w:rPr>
        <w:t xml:space="preserve"> </w:t>
      </w:r>
      <w:r>
        <w:rPr>
          <w:i/>
          <w:color w:val="231F20"/>
          <w:sz w:val="17"/>
        </w:rPr>
        <w:t>Travel</w:t>
      </w:r>
      <w:r>
        <w:rPr>
          <w:i/>
          <w:color w:val="231F20"/>
          <w:spacing w:val="-6"/>
          <w:sz w:val="17"/>
        </w:rPr>
        <w:t xml:space="preserve"> </w:t>
      </w:r>
      <w:r>
        <w:rPr>
          <w:i/>
          <w:color w:val="231F20"/>
          <w:sz w:val="17"/>
        </w:rPr>
        <w:t>Research</w:t>
      </w:r>
      <w:r>
        <w:rPr>
          <w:i/>
          <w:color w:val="231F20"/>
          <w:spacing w:val="-6"/>
          <w:sz w:val="17"/>
        </w:rPr>
        <w:t xml:space="preserve"> </w:t>
      </w:r>
      <w:r>
        <w:rPr>
          <w:color w:val="231F20"/>
          <w:sz w:val="17"/>
        </w:rPr>
        <w:t>38</w:t>
      </w:r>
      <w:r>
        <w:rPr>
          <w:color w:val="231F20"/>
          <w:spacing w:val="-6"/>
          <w:sz w:val="17"/>
        </w:rPr>
        <w:t xml:space="preserve"> </w:t>
      </w:r>
      <w:r>
        <w:rPr>
          <w:color w:val="231F20"/>
          <w:sz w:val="17"/>
        </w:rPr>
        <w:t>(2),</w:t>
      </w:r>
      <w:r>
        <w:rPr>
          <w:color w:val="231F20"/>
          <w:spacing w:val="40"/>
          <w:sz w:val="17"/>
        </w:rPr>
        <w:t xml:space="preserve"> </w:t>
      </w:r>
      <w:r>
        <w:rPr>
          <w:color w:val="231F20"/>
          <w:spacing w:val="-2"/>
          <w:sz w:val="17"/>
        </w:rPr>
        <w:t>100–110.</w:t>
      </w:r>
    </w:p>
    <w:p w14:paraId="76BD52F3" w14:textId="77777777" w:rsidR="00AE0598" w:rsidRDefault="0069255A">
      <w:pPr>
        <w:spacing w:before="2"/>
        <w:ind w:left="430" w:right="125" w:hanging="320"/>
        <w:jc w:val="both"/>
        <w:rPr>
          <w:sz w:val="17"/>
        </w:rPr>
      </w:pPr>
      <w:r>
        <w:rPr>
          <w:color w:val="231F20"/>
          <w:sz w:val="17"/>
        </w:rPr>
        <w:t xml:space="preserve">Ritchie, </w:t>
      </w:r>
      <w:r>
        <w:rPr>
          <w:color w:val="231F20"/>
          <w:w w:val="105"/>
          <w:sz w:val="17"/>
        </w:rPr>
        <w:t xml:space="preserve">J.R.B. </w:t>
      </w:r>
      <w:r>
        <w:rPr>
          <w:color w:val="231F20"/>
          <w:sz w:val="17"/>
        </w:rPr>
        <w:t xml:space="preserve">and Lyons, </w:t>
      </w:r>
      <w:r>
        <w:rPr>
          <w:color w:val="231F20"/>
          <w:w w:val="105"/>
          <w:sz w:val="17"/>
        </w:rPr>
        <w:t xml:space="preserve">M. </w:t>
      </w:r>
      <w:r>
        <w:rPr>
          <w:color w:val="231F20"/>
          <w:sz w:val="17"/>
        </w:rPr>
        <w:t xml:space="preserve">(1990) Olympulse VI: </w:t>
      </w:r>
      <w:r>
        <w:rPr>
          <w:color w:val="231F20"/>
          <w:w w:val="105"/>
          <w:sz w:val="17"/>
        </w:rPr>
        <w:t xml:space="preserve">A </w:t>
      </w:r>
      <w:r>
        <w:rPr>
          <w:color w:val="231F20"/>
          <w:sz w:val="17"/>
        </w:rPr>
        <w:t>post event assess</w:t>
      </w:r>
      <w:r>
        <w:rPr>
          <w:color w:val="231F20"/>
          <w:sz w:val="17"/>
        </w:rPr>
        <w:t>ment of resident</w:t>
      </w:r>
      <w:r>
        <w:rPr>
          <w:color w:val="231F20"/>
          <w:spacing w:val="40"/>
          <w:sz w:val="17"/>
        </w:rPr>
        <w:t xml:space="preserve"> </w:t>
      </w:r>
      <w:r>
        <w:rPr>
          <w:color w:val="231F20"/>
          <w:sz w:val="17"/>
        </w:rPr>
        <w:t>reaction</w:t>
      </w:r>
      <w:r>
        <w:rPr>
          <w:color w:val="231F20"/>
          <w:spacing w:val="40"/>
          <w:sz w:val="17"/>
        </w:rPr>
        <w:t xml:space="preserve"> </w:t>
      </w:r>
      <w:r>
        <w:rPr>
          <w:color w:val="231F20"/>
          <w:sz w:val="17"/>
        </w:rPr>
        <w:t>to</w:t>
      </w:r>
      <w:r>
        <w:rPr>
          <w:color w:val="231F20"/>
          <w:spacing w:val="40"/>
          <w:sz w:val="17"/>
        </w:rPr>
        <w:t xml:space="preserve"> </w:t>
      </w:r>
      <w:r>
        <w:rPr>
          <w:color w:val="231F20"/>
          <w:sz w:val="17"/>
        </w:rPr>
        <w:t>te</w:t>
      </w:r>
      <w:r>
        <w:rPr>
          <w:color w:val="231F20"/>
          <w:spacing w:val="40"/>
          <w:w w:val="105"/>
          <w:sz w:val="17"/>
        </w:rPr>
        <w:t xml:space="preserve"> </w:t>
      </w:r>
      <w:r>
        <w:rPr>
          <w:color w:val="231F20"/>
          <w:w w:val="105"/>
          <w:sz w:val="17"/>
        </w:rPr>
        <w:t>XV</w:t>
      </w:r>
      <w:r>
        <w:rPr>
          <w:color w:val="231F20"/>
          <w:spacing w:val="40"/>
          <w:w w:val="105"/>
          <w:sz w:val="17"/>
        </w:rPr>
        <w:t xml:space="preserve"> </w:t>
      </w:r>
      <w:r>
        <w:rPr>
          <w:color w:val="231F20"/>
          <w:sz w:val="17"/>
        </w:rPr>
        <w:t>Olympic</w:t>
      </w:r>
      <w:r>
        <w:rPr>
          <w:color w:val="231F20"/>
          <w:spacing w:val="40"/>
          <w:sz w:val="17"/>
        </w:rPr>
        <w:t xml:space="preserve"> </w:t>
      </w:r>
      <w:r>
        <w:rPr>
          <w:color w:val="231F20"/>
          <w:sz w:val="17"/>
        </w:rPr>
        <w:t>Winter</w:t>
      </w:r>
      <w:r>
        <w:rPr>
          <w:color w:val="231F20"/>
          <w:spacing w:val="40"/>
          <w:sz w:val="17"/>
        </w:rPr>
        <w:t xml:space="preserve"> </w:t>
      </w:r>
      <w:r>
        <w:rPr>
          <w:color w:val="231F20"/>
          <w:sz w:val="17"/>
        </w:rPr>
        <w:t>Games.</w:t>
      </w:r>
      <w:r>
        <w:rPr>
          <w:color w:val="231F20"/>
          <w:spacing w:val="40"/>
          <w:sz w:val="17"/>
        </w:rPr>
        <w:t xml:space="preserve"> </w:t>
      </w:r>
      <w:r>
        <w:rPr>
          <w:i/>
          <w:color w:val="231F20"/>
          <w:sz w:val="17"/>
        </w:rPr>
        <w:t>Journal</w:t>
      </w:r>
      <w:r>
        <w:rPr>
          <w:i/>
          <w:color w:val="231F20"/>
          <w:spacing w:val="40"/>
          <w:sz w:val="17"/>
        </w:rPr>
        <w:t xml:space="preserve"> </w:t>
      </w:r>
      <w:r>
        <w:rPr>
          <w:i/>
          <w:color w:val="231F20"/>
          <w:sz w:val="17"/>
        </w:rPr>
        <w:t>of</w:t>
      </w:r>
      <w:r>
        <w:rPr>
          <w:i/>
          <w:color w:val="231F20"/>
          <w:spacing w:val="40"/>
          <w:sz w:val="17"/>
        </w:rPr>
        <w:t xml:space="preserve"> </w:t>
      </w:r>
      <w:r>
        <w:rPr>
          <w:i/>
          <w:color w:val="231F20"/>
          <w:sz w:val="17"/>
        </w:rPr>
        <w:t>Travel</w:t>
      </w:r>
      <w:r>
        <w:rPr>
          <w:i/>
          <w:color w:val="231F20"/>
          <w:spacing w:val="40"/>
          <w:sz w:val="17"/>
        </w:rPr>
        <w:t xml:space="preserve"> </w:t>
      </w:r>
      <w:r>
        <w:rPr>
          <w:i/>
          <w:color w:val="231F20"/>
          <w:sz w:val="17"/>
        </w:rPr>
        <w:t>Research</w:t>
      </w:r>
      <w:r>
        <w:rPr>
          <w:i/>
          <w:color w:val="231F20"/>
          <w:spacing w:val="40"/>
          <w:sz w:val="17"/>
        </w:rPr>
        <w:t xml:space="preserve"> </w:t>
      </w:r>
      <w:r>
        <w:rPr>
          <w:color w:val="231F20"/>
          <w:sz w:val="17"/>
        </w:rPr>
        <w:t>Winter,</w:t>
      </w:r>
      <w:r>
        <w:rPr>
          <w:color w:val="231F20"/>
          <w:spacing w:val="40"/>
          <w:sz w:val="17"/>
        </w:rPr>
        <w:t xml:space="preserve"> </w:t>
      </w:r>
      <w:r>
        <w:rPr>
          <w:color w:val="231F20"/>
          <w:spacing w:val="-2"/>
          <w:sz w:val="17"/>
        </w:rPr>
        <w:t>14–23.</w:t>
      </w:r>
    </w:p>
    <w:p w14:paraId="58242CD6" w14:textId="77777777" w:rsidR="00AE0598" w:rsidRDefault="0069255A">
      <w:pPr>
        <w:spacing w:before="2"/>
        <w:ind w:left="110"/>
        <w:jc w:val="both"/>
        <w:rPr>
          <w:sz w:val="17"/>
        </w:rPr>
      </w:pPr>
      <w:r>
        <w:rPr>
          <w:color w:val="231F20"/>
          <w:sz w:val="17"/>
        </w:rPr>
        <w:t>Roberts,</w:t>
      </w:r>
      <w:r>
        <w:rPr>
          <w:color w:val="231F20"/>
          <w:spacing w:val="10"/>
          <w:sz w:val="17"/>
        </w:rPr>
        <w:t xml:space="preserve"> </w:t>
      </w:r>
      <w:r>
        <w:rPr>
          <w:color w:val="231F20"/>
          <w:sz w:val="17"/>
        </w:rPr>
        <w:t>R.</w:t>
      </w:r>
      <w:r>
        <w:rPr>
          <w:color w:val="231F20"/>
          <w:spacing w:val="10"/>
          <w:sz w:val="17"/>
        </w:rPr>
        <w:t xml:space="preserve"> </w:t>
      </w:r>
      <w:r>
        <w:rPr>
          <w:color w:val="231F20"/>
          <w:sz w:val="17"/>
        </w:rPr>
        <w:t>and</w:t>
      </w:r>
      <w:r>
        <w:rPr>
          <w:color w:val="231F20"/>
          <w:spacing w:val="10"/>
          <w:sz w:val="17"/>
        </w:rPr>
        <w:t xml:space="preserve"> </w:t>
      </w:r>
      <w:r>
        <w:rPr>
          <w:color w:val="231F20"/>
          <w:sz w:val="17"/>
        </w:rPr>
        <w:t>Olson,</w:t>
      </w:r>
      <w:r>
        <w:rPr>
          <w:color w:val="231F20"/>
          <w:spacing w:val="11"/>
          <w:sz w:val="17"/>
        </w:rPr>
        <w:t xml:space="preserve"> </w:t>
      </w:r>
      <w:r>
        <w:rPr>
          <w:color w:val="231F20"/>
          <w:sz w:val="17"/>
        </w:rPr>
        <w:t>J.</w:t>
      </w:r>
      <w:r>
        <w:rPr>
          <w:color w:val="231F20"/>
          <w:spacing w:val="10"/>
          <w:sz w:val="17"/>
        </w:rPr>
        <w:t xml:space="preserve"> </w:t>
      </w:r>
      <w:r>
        <w:rPr>
          <w:color w:val="231F20"/>
          <w:sz w:val="17"/>
        </w:rPr>
        <w:t>(1989)</w:t>
      </w:r>
      <w:r>
        <w:rPr>
          <w:color w:val="231F20"/>
          <w:spacing w:val="10"/>
          <w:sz w:val="17"/>
        </w:rPr>
        <w:t xml:space="preserve"> </w:t>
      </w:r>
      <w:r>
        <w:rPr>
          <w:i/>
          <w:color w:val="231F20"/>
          <w:sz w:val="17"/>
        </w:rPr>
        <w:t>Winning</w:t>
      </w:r>
      <w:r>
        <w:rPr>
          <w:i/>
          <w:color w:val="231F20"/>
          <w:spacing w:val="11"/>
          <w:sz w:val="17"/>
        </w:rPr>
        <w:t xml:space="preserve"> </w:t>
      </w:r>
      <w:r>
        <w:rPr>
          <w:i/>
          <w:color w:val="231F20"/>
          <w:sz w:val="17"/>
        </w:rPr>
        <w:t>is</w:t>
      </w:r>
      <w:r>
        <w:rPr>
          <w:i/>
          <w:color w:val="231F20"/>
          <w:spacing w:val="10"/>
          <w:sz w:val="17"/>
        </w:rPr>
        <w:t xml:space="preserve"> </w:t>
      </w:r>
      <w:r>
        <w:rPr>
          <w:i/>
          <w:color w:val="231F20"/>
          <w:sz w:val="17"/>
        </w:rPr>
        <w:t>the</w:t>
      </w:r>
      <w:r>
        <w:rPr>
          <w:i/>
          <w:color w:val="231F20"/>
          <w:spacing w:val="10"/>
          <w:sz w:val="17"/>
        </w:rPr>
        <w:t xml:space="preserve"> </w:t>
      </w:r>
      <w:r>
        <w:rPr>
          <w:i/>
          <w:color w:val="231F20"/>
          <w:sz w:val="17"/>
        </w:rPr>
        <w:t>Only</w:t>
      </w:r>
      <w:r>
        <w:rPr>
          <w:i/>
          <w:color w:val="231F20"/>
          <w:spacing w:val="11"/>
          <w:sz w:val="17"/>
        </w:rPr>
        <w:t xml:space="preserve"> </w:t>
      </w:r>
      <w:r>
        <w:rPr>
          <w:i/>
          <w:color w:val="231F20"/>
          <w:sz w:val="17"/>
        </w:rPr>
        <w:t>Thing:</w:t>
      </w:r>
      <w:r>
        <w:rPr>
          <w:i/>
          <w:color w:val="231F20"/>
          <w:spacing w:val="10"/>
          <w:sz w:val="17"/>
        </w:rPr>
        <w:t xml:space="preserve"> </w:t>
      </w:r>
      <w:r>
        <w:rPr>
          <w:i/>
          <w:color w:val="231F20"/>
          <w:sz w:val="17"/>
        </w:rPr>
        <w:t>Sports</w:t>
      </w:r>
      <w:r>
        <w:rPr>
          <w:i/>
          <w:color w:val="231F20"/>
          <w:spacing w:val="10"/>
          <w:sz w:val="17"/>
        </w:rPr>
        <w:t xml:space="preserve"> </w:t>
      </w:r>
      <w:r>
        <w:rPr>
          <w:i/>
          <w:color w:val="231F20"/>
          <w:sz w:val="17"/>
        </w:rPr>
        <w:t>in</w:t>
      </w:r>
      <w:r>
        <w:rPr>
          <w:i/>
          <w:color w:val="231F20"/>
          <w:spacing w:val="10"/>
          <w:sz w:val="17"/>
        </w:rPr>
        <w:t xml:space="preserve"> </w:t>
      </w:r>
      <w:r>
        <w:rPr>
          <w:i/>
          <w:color w:val="231F20"/>
          <w:sz w:val="17"/>
        </w:rPr>
        <w:t>America</w:t>
      </w:r>
      <w:r>
        <w:rPr>
          <w:i/>
          <w:color w:val="231F20"/>
          <w:spacing w:val="11"/>
          <w:sz w:val="17"/>
        </w:rPr>
        <w:t xml:space="preserve"> </w:t>
      </w:r>
      <w:r>
        <w:rPr>
          <w:i/>
          <w:color w:val="231F20"/>
          <w:sz w:val="17"/>
        </w:rPr>
        <w:t>since</w:t>
      </w:r>
      <w:r>
        <w:rPr>
          <w:i/>
          <w:color w:val="231F20"/>
          <w:spacing w:val="10"/>
          <w:sz w:val="17"/>
        </w:rPr>
        <w:t xml:space="preserve"> </w:t>
      </w:r>
      <w:r>
        <w:rPr>
          <w:i/>
          <w:color w:val="231F20"/>
          <w:spacing w:val="-2"/>
          <w:sz w:val="17"/>
        </w:rPr>
        <w:t>1945</w:t>
      </w:r>
      <w:r>
        <w:rPr>
          <w:color w:val="231F20"/>
          <w:spacing w:val="-2"/>
          <w:sz w:val="17"/>
        </w:rPr>
        <w:t>.</w:t>
      </w:r>
    </w:p>
    <w:p w14:paraId="7ED8F19E" w14:textId="77777777" w:rsidR="00AE0598" w:rsidRDefault="0069255A">
      <w:pPr>
        <w:ind w:left="430"/>
        <w:jc w:val="both"/>
        <w:rPr>
          <w:sz w:val="17"/>
        </w:rPr>
      </w:pPr>
      <w:r>
        <w:rPr>
          <w:color w:val="231F20"/>
          <w:sz w:val="17"/>
        </w:rPr>
        <w:t>Baltimore,</w:t>
      </w:r>
      <w:r>
        <w:rPr>
          <w:color w:val="231F20"/>
          <w:spacing w:val="8"/>
          <w:sz w:val="17"/>
        </w:rPr>
        <w:t xml:space="preserve"> </w:t>
      </w:r>
      <w:r>
        <w:rPr>
          <w:color w:val="231F20"/>
          <w:sz w:val="17"/>
        </w:rPr>
        <w:t>MD:</w:t>
      </w:r>
      <w:r>
        <w:rPr>
          <w:color w:val="231F20"/>
          <w:spacing w:val="9"/>
          <w:sz w:val="17"/>
        </w:rPr>
        <w:t xml:space="preserve"> </w:t>
      </w:r>
      <w:r>
        <w:rPr>
          <w:color w:val="231F20"/>
          <w:sz w:val="17"/>
        </w:rPr>
        <w:t>The</w:t>
      </w:r>
      <w:r>
        <w:rPr>
          <w:color w:val="231F20"/>
          <w:spacing w:val="8"/>
          <w:sz w:val="17"/>
        </w:rPr>
        <w:t xml:space="preserve"> </w:t>
      </w:r>
      <w:r>
        <w:rPr>
          <w:color w:val="231F20"/>
          <w:sz w:val="17"/>
        </w:rPr>
        <w:t>John</w:t>
      </w:r>
      <w:r>
        <w:rPr>
          <w:color w:val="231F20"/>
          <w:spacing w:val="9"/>
          <w:sz w:val="17"/>
        </w:rPr>
        <w:t xml:space="preserve"> </w:t>
      </w:r>
      <w:r>
        <w:rPr>
          <w:color w:val="231F20"/>
          <w:sz w:val="17"/>
        </w:rPr>
        <w:t>Hopkins</w:t>
      </w:r>
      <w:r>
        <w:rPr>
          <w:color w:val="231F20"/>
          <w:spacing w:val="8"/>
          <w:sz w:val="17"/>
        </w:rPr>
        <w:t xml:space="preserve"> </w:t>
      </w:r>
      <w:r>
        <w:rPr>
          <w:color w:val="231F20"/>
          <w:sz w:val="17"/>
        </w:rPr>
        <w:t>University</w:t>
      </w:r>
      <w:r>
        <w:rPr>
          <w:color w:val="231F20"/>
          <w:spacing w:val="9"/>
          <w:sz w:val="17"/>
        </w:rPr>
        <w:t xml:space="preserve"> </w:t>
      </w:r>
      <w:r>
        <w:rPr>
          <w:color w:val="231F20"/>
          <w:spacing w:val="-2"/>
          <w:sz w:val="17"/>
        </w:rPr>
        <w:t>Press.</w:t>
      </w:r>
    </w:p>
    <w:p w14:paraId="63BA3F78" w14:textId="77777777" w:rsidR="00AE0598" w:rsidRDefault="0069255A">
      <w:pPr>
        <w:spacing w:before="1"/>
        <w:ind w:left="430" w:right="128" w:hanging="320"/>
        <w:jc w:val="both"/>
        <w:rPr>
          <w:sz w:val="17"/>
        </w:rPr>
      </w:pPr>
      <w:r>
        <w:rPr>
          <w:color w:val="231F20"/>
          <w:sz w:val="17"/>
        </w:rPr>
        <w:t>Robins,</w:t>
      </w:r>
      <w:r>
        <w:rPr>
          <w:color w:val="231F20"/>
          <w:spacing w:val="58"/>
          <w:sz w:val="17"/>
        </w:rPr>
        <w:t xml:space="preserve"> </w:t>
      </w:r>
      <w:r>
        <w:rPr>
          <w:color w:val="231F20"/>
          <w:sz w:val="17"/>
        </w:rPr>
        <w:t>K.</w:t>
      </w:r>
      <w:r>
        <w:rPr>
          <w:color w:val="231F20"/>
          <w:spacing w:val="58"/>
          <w:sz w:val="17"/>
        </w:rPr>
        <w:t xml:space="preserve"> </w:t>
      </w:r>
      <w:r>
        <w:rPr>
          <w:color w:val="231F20"/>
          <w:sz w:val="17"/>
        </w:rPr>
        <w:t>(1991)</w:t>
      </w:r>
      <w:r>
        <w:rPr>
          <w:color w:val="231F20"/>
          <w:spacing w:val="58"/>
          <w:sz w:val="17"/>
        </w:rPr>
        <w:t xml:space="preserve"> </w:t>
      </w:r>
      <w:r>
        <w:rPr>
          <w:color w:val="231F20"/>
          <w:sz w:val="17"/>
        </w:rPr>
        <w:t>Tradition</w:t>
      </w:r>
      <w:r>
        <w:rPr>
          <w:color w:val="231F20"/>
          <w:spacing w:val="58"/>
          <w:sz w:val="17"/>
        </w:rPr>
        <w:t xml:space="preserve"> </w:t>
      </w:r>
      <w:r>
        <w:rPr>
          <w:color w:val="231F20"/>
          <w:sz w:val="17"/>
        </w:rPr>
        <w:t>and</w:t>
      </w:r>
      <w:r>
        <w:rPr>
          <w:color w:val="231F20"/>
          <w:spacing w:val="58"/>
          <w:sz w:val="17"/>
        </w:rPr>
        <w:t xml:space="preserve"> </w:t>
      </w:r>
      <w:r>
        <w:rPr>
          <w:color w:val="231F20"/>
          <w:sz w:val="17"/>
        </w:rPr>
        <w:t>transition:</w:t>
      </w:r>
      <w:r>
        <w:rPr>
          <w:color w:val="231F20"/>
          <w:spacing w:val="58"/>
          <w:sz w:val="17"/>
        </w:rPr>
        <w:t xml:space="preserve"> </w:t>
      </w:r>
      <w:r>
        <w:rPr>
          <w:color w:val="231F20"/>
          <w:sz w:val="17"/>
        </w:rPr>
        <w:t>National</w:t>
      </w:r>
      <w:r>
        <w:rPr>
          <w:color w:val="231F20"/>
          <w:spacing w:val="58"/>
          <w:sz w:val="17"/>
        </w:rPr>
        <w:t xml:space="preserve"> </w:t>
      </w:r>
      <w:r>
        <w:rPr>
          <w:color w:val="231F20"/>
          <w:sz w:val="17"/>
        </w:rPr>
        <w:t>culture</w:t>
      </w:r>
      <w:r>
        <w:rPr>
          <w:color w:val="231F20"/>
          <w:spacing w:val="58"/>
          <w:sz w:val="17"/>
        </w:rPr>
        <w:t xml:space="preserve"> </w:t>
      </w:r>
      <w:r>
        <w:rPr>
          <w:color w:val="231F20"/>
          <w:sz w:val="17"/>
        </w:rPr>
        <w:t>in</w:t>
      </w:r>
      <w:r>
        <w:rPr>
          <w:color w:val="231F20"/>
          <w:spacing w:val="58"/>
          <w:sz w:val="17"/>
        </w:rPr>
        <w:t xml:space="preserve"> </w:t>
      </w:r>
      <w:r>
        <w:rPr>
          <w:color w:val="231F20"/>
          <w:sz w:val="17"/>
        </w:rPr>
        <w:t>its</w:t>
      </w:r>
      <w:r>
        <w:rPr>
          <w:color w:val="231F20"/>
          <w:spacing w:val="58"/>
          <w:sz w:val="17"/>
        </w:rPr>
        <w:t xml:space="preserve"> </w:t>
      </w:r>
      <w:r>
        <w:rPr>
          <w:color w:val="231F20"/>
          <w:sz w:val="17"/>
        </w:rPr>
        <w:t>global</w:t>
      </w:r>
      <w:r>
        <w:rPr>
          <w:color w:val="231F20"/>
          <w:spacing w:val="58"/>
          <w:sz w:val="17"/>
        </w:rPr>
        <w:t xml:space="preserve"> </w:t>
      </w:r>
      <w:r>
        <w:rPr>
          <w:color w:val="231F20"/>
          <w:sz w:val="17"/>
        </w:rPr>
        <w:t>context.</w:t>
      </w:r>
      <w:r>
        <w:rPr>
          <w:color w:val="231F20"/>
          <w:spacing w:val="40"/>
          <w:sz w:val="17"/>
        </w:rPr>
        <w:t xml:space="preserve"> </w:t>
      </w:r>
      <w:r>
        <w:rPr>
          <w:color w:val="231F20"/>
          <w:sz w:val="17"/>
        </w:rPr>
        <w:t xml:space="preserve">In </w:t>
      </w:r>
      <w:r>
        <w:rPr>
          <w:color w:val="231F20"/>
          <w:w w:val="105"/>
          <w:sz w:val="17"/>
        </w:rPr>
        <w:t xml:space="preserve">J. </w:t>
      </w:r>
      <w:r>
        <w:rPr>
          <w:color w:val="231F20"/>
          <w:sz w:val="17"/>
        </w:rPr>
        <w:t xml:space="preserve">Corner and S. Harvey (eds) </w:t>
      </w:r>
      <w:r>
        <w:rPr>
          <w:i/>
          <w:color w:val="231F20"/>
          <w:sz w:val="17"/>
        </w:rPr>
        <w:t xml:space="preserve">Enterprise and Heritage </w:t>
      </w:r>
      <w:r>
        <w:rPr>
          <w:color w:val="231F20"/>
          <w:sz w:val="17"/>
        </w:rPr>
        <w:t>(pp. 21–44). London:</w:t>
      </w:r>
      <w:r>
        <w:rPr>
          <w:color w:val="231F20"/>
          <w:spacing w:val="40"/>
          <w:sz w:val="17"/>
        </w:rPr>
        <w:t xml:space="preserve"> </w:t>
      </w:r>
      <w:r>
        <w:rPr>
          <w:color w:val="231F20"/>
          <w:spacing w:val="-2"/>
          <w:sz w:val="17"/>
        </w:rPr>
        <w:t>Routledge.</w:t>
      </w:r>
    </w:p>
    <w:p w14:paraId="7B21CF35" w14:textId="77777777" w:rsidR="00AE0598" w:rsidRDefault="0069255A">
      <w:pPr>
        <w:spacing w:before="2"/>
        <w:ind w:left="430" w:right="128" w:hanging="320"/>
        <w:jc w:val="both"/>
        <w:rPr>
          <w:sz w:val="17"/>
        </w:rPr>
      </w:pPr>
      <w:r>
        <w:rPr>
          <w:color w:val="231F20"/>
          <w:sz w:val="17"/>
        </w:rPr>
        <w:t>Robins, K. (1997) What in the world is going on? In P. Du Gay (ed.)</w:t>
      </w:r>
      <w:r>
        <w:rPr>
          <w:color w:val="231F20"/>
          <w:spacing w:val="-1"/>
          <w:sz w:val="17"/>
        </w:rPr>
        <w:t xml:space="preserve"> </w:t>
      </w:r>
      <w:r>
        <w:rPr>
          <w:i/>
          <w:color w:val="231F20"/>
          <w:sz w:val="17"/>
        </w:rPr>
        <w:t xml:space="preserve">Production of </w:t>
      </w:r>
      <w:r>
        <w:rPr>
          <w:i/>
          <w:color w:val="231F20"/>
          <w:spacing w:val="-1"/>
          <w:w w:val="133"/>
          <w:sz w:val="17"/>
        </w:rPr>
        <w:t>C</w:t>
      </w:r>
      <w:r>
        <w:rPr>
          <w:i/>
          <w:color w:val="231F20"/>
          <w:spacing w:val="1"/>
          <w:w w:val="103"/>
          <w:sz w:val="17"/>
        </w:rPr>
        <w:t>u</w:t>
      </w:r>
      <w:r>
        <w:rPr>
          <w:i/>
          <w:color w:val="231F20"/>
          <w:spacing w:val="-1"/>
          <w:w w:val="105"/>
          <w:sz w:val="17"/>
        </w:rPr>
        <w:t>l</w:t>
      </w:r>
      <w:r>
        <w:rPr>
          <w:i/>
          <w:color w:val="231F20"/>
          <w:spacing w:val="-1"/>
          <w:w w:val="97"/>
          <w:sz w:val="17"/>
        </w:rPr>
        <w:t>t</w:t>
      </w:r>
      <w:r>
        <w:rPr>
          <w:i/>
          <w:color w:val="231F20"/>
          <w:w w:val="103"/>
          <w:sz w:val="17"/>
        </w:rPr>
        <w:t>u</w:t>
      </w:r>
      <w:r>
        <w:rPr>
          <w:i/>
          <w:color w:val="231F20"/>
          <w:spacing w:val="-4"/>
          <w:w w:val="96"/>
          <w:sz w:val="17"/>
        </w:rPr>
        <w:t>r</w:t>
      </w:r>
      <w:r>
        <w:rPr>
          <w:i/>
          <w:color w:val="231F20"/>
          <w:spacing w:val="2"/>
          <w:w w:val="97"/>
          <w:sz w:val="17"/>
        </w:rPr>
        <w:t>e</w:t>
      </w:r>
      <w:r>
        <w:rPr>
          <w:i/>
          <w:color w:val="231F20"/>
          <w:spacing w:val="-3"/>
          <w:w w:val="64"/>
          <w:sz w:val="17"/>
        </w:rPr>
        <w:t>/</w:t>
      </w:r>
      <w:r>
        <w:rPr>
          <w:i/>
          <w:color w:val="231F20"/>
          <w:spacing w:val="40"/>
          <w:sz w:val="17"/>
        </w:rPr>
        <w:t xml:space="preserve"> </w:t>
      </w:r>
      <w:r>
        <w:rPr>
          <w:i/>
          <w:color w:val="231F20"/>
          <w:sz w:val="17"/>
        </w:rPr>
        <w:t xml:space="preserve">Cultures of Production </w:t>
      </w:r>
      <w:r>
        <w:rPr>
          <w:color w:val="231F20"/>
          <w:sz w:val="17"/>
        </w:rPr>
        <w:t>(pp. 11–67). London: Sage Publications.</w:t>
      </w:r>
    </w:p>
    <w:p w14:paraId="5B1724AE" w14:textId="77777777" w:rsidR="00AE0598" w:rsidRDefault="0069255A">
      <w:pPr>
        <w:spacing w:before="2"/>
        <w:ind w:left="110" w:right="128"/>
        <w:jc w:val="both"/>
        <w:rPr>
          <w:i/>
          <w:sz w:val="17"/>
        </w:rPr>
      </w:pPr>
      <w:r>
        <w:rPr>
          <w:color w:val="231F20"/>
          <w:sz w:val="17"/>
        </w:rPr>
        <w:t>Robinson,</w:t>
      </w:r>
      <w:r>
        <w:rPr>
          <w:color w:val="231F20"/>
          <w:spacing w:val="39"/>
          <w:sz w:val="17"/>
        </w:rPr>
        <w:t xml:space="preserve"> </w:t>
      </w:r>
      <w:r>
        <w:rPr>
          <w:color w:val="231F20"/>
          <w:sz w:val="17"/>
        </w:rPr>
        <w:t>H.</w:t>
      </w:r>
      <w:r>
        <w:rPr>
          <w:color w:val="231F20"/>
          <w:spacing w:val="39"/>
          <w:sz w:val="17"/>
        </w:rPr>
        <w:t xml:space="preserve"> </w:t>
      </w:r>
      <w:r>
        <w:rPr>
          <w:color w:val="231F20"/>
          <w:sz w:val="17"/>
        </w:rPr>
        <w:t>(1979)</w:t>
      </w:r>
      <w:r>
        <w:rPr>
          <w:color w:val="231F20"/>
          <w:spacing w:val="39"/>
          <w:sz w:val="17"/>
        </w:rPr>
        <w:t xml:space="preserve"> </w:t>
      </w:r>
      <w:r>
        <w:rPr>
          <w:i/>
          <w:color w:val="231F20"/>
          <w:sz w:val="17"/>
        </w:rPr>
        <w:t>A</w:t>
      </w:r>
      <w:r>
        <w:rPr>
          <w:i/>
          <w:color w:val="231F20"/>
          <w:spacing w:val="39"/>
          <w:sz w:val="17"/>
        </w:rPr>
        <w:t xml:space="preserve"> </w:t>
      </w:r>
      <w:r>
        <w:rPr>
          <w:i/>
          <w:color w:val="231F20"/>
          <w:sz w:val="17"/>
        </w:rPr>
        <w:t>Geography</w:t>
      </w:r>
      <w:r>
        <w:rPr>
          <w:i/>
          <w:color w:val="231F20"/>
          <w:spacing w:val="39"/>
          <w:sz w:val="17"/>
        </w:rPr>
        <w:t xml:space="preserve"> </w:t>
      </w:r>
      <w:r>
        <w:rPr>
          <w:i/>
          <w:color w:val="231F20"/>
          <w:sz w:val="17"/>
        </w:rPr>
        <w:t>of</w:t>
      </w:r>
      <w:r>
        <w:rPr>
          <w:i/>
          <w:color w:val="231F20"/>
          <w:spacing w:val="39"/>
          <w:sz w:val="17"/>
        </w:rPr>
        <w:t xml:space="preserve"> </w:t>
      </w:r>
      <w:r>
        <w:rPr>
          <w:i/>
          <w:color w:val="231F20"/>
          <w:sz w:val="17"/>
        </w:rPr>
        <w:t>Tourism</w:t>
      </w:r>
      <w:r>
        <w:rPr>
          <w:color w:val="231F20"/>
          <w:sz w:val="17"/>
        </w:rPr>
        <w:t>.</w:t>
      </w:r>
      <w:r>
        <w:rPr>
          <w:color w:val="231F20"/>
          <w:spacing w:val="39"/>
          <w:sz w:val="17"/>
        </w:rPr>
        <w:t xml:space="preserve"> </w:t>
      </w:r>
      <w:r>
        <w:rPr>
          <w:color w:val="231F20"/>
          <w:sz w:val="17"/>
        </w:rPr>
        <w:t>London:</w:t>
      </w:r>
      <w:r>
        <w:rPr>
          <w:color w:val="231F20"/>
          <w:spacing w:val="39"/>
          <w:sz w:val="17"/>
        </w:rPr>
        <w:t xml:space="preserve"> </w:t>
      </w:r>
      <w:r>
        <w:rPr>
          <w:color w:val="231F20"/>
          <w:sz w:val="17"/>
        </w:rPr>
        <w:t>MacDonald</w:t>
      </w:r>
      <w:r>
        <w:rPr>
          <w:color w:val="231F20"/>
          <w:spacing w:val="39"/>
          <w:sz w:val="17"/>
        </w:rPr>
        <w:t xml:space="preserve"> </w:t>
      </w:r>
      <w:r>
        <w:rPr>
          <w:color w:val="231F20"/>
          <w:sz w:val="17"/>
        </w:rPr>
        <w:t>and</w:t>
      </w:r>
      <w:r>
        <w:rPr>
          <w:color w:val="231F20"/>
          <w:spacing w:val="39"/>
          <w:sz w:val="17"/>
        </w:rPr>
        <w:t xml:space="preserve"> </w:t>
      </w:r>
      <w:r>
        <w:rPr>
          <w:color w:val="231F20"/>
          <w:sz w:val="17"/>
        </w:rPr>
        <w:t>Evans.</w:t>
      </w:r>
      <w:r>
        <w:rPr>
          <w:color w:val="231F20"/>
          <w:spacing w:val="40"/>
          <w:sz w:val="17"/>
        </w:rPr>
        <w:t xml:space="preserve"> </w:t>
      </w:r>
      <w:r>
        <w:rPr>
          <w:color w:val="231F20"/>
          <w:sz w:val="17"/>
        </w:rPr>
        <w:t>Robinson,</w:t>
      </w:r>
      <w:r>
        <w:rPr>
          <w:color w:val="231F20"/>
          <w:spacing w:val="3"/>
          <w:sz w:val="17"/>
        </w:rPr>
        <w:t xml:space="preserve"> </w:t>
      </w:r>
      <w:r>
        <w:rPr>
          <w:color w:val="231F20"/>
          <w:sz w:val="17"/>
        </w:rPr>
        <w:t>J.S.</w:t>
      </w:r>
      <w:r>
        <w:rPr>
          <w:color w:val="231F20"/>
          <w:spacing w:val="3"/>
          <w:sz w:val="17"/>
        </w:rPr>
        <w:t xml:space="preserve"> </w:t>
      </w:r>
      <w:r>
        <w:rPr>
          <w:color w:val="231F20"/>
          <w:sz w:val="17"/>
        </w:rPr>
        <w:t>(2010)</w:t>
      </w:r>
      <w:r>
        <w:rPr>
          <w:color w:val="231F20"/>
          <w:spacing w:val="4"/>
          <w:sz w:val="17"/>
        </w:rPr>
        <w:t xml:space="preserve"> </w:t>
      </w:r>
      <w:r>
        <w:rPr>
          <w:color w:val="231F20"/>
          <w:sz w:val="17"/>
        </w:rPr>
        <w:t>The</w:t>
      </w:r>
      <w:r>
        <w:rPr>
          <w:color w:val="231F20"/>
          <w:spacing w:val="3"/>
          <w:sz w:val="17"/>
        </w:rPr>
        <w:t xml:space="preserve"> </w:t>
      </w:r>
      <w:r>
        <w:rPr>
          <w:color w:val="231F20"/>
          <w:sz w:val="17"/>
        </w:rPr>
        <w:t>place</w:t>
      </w:r>
      <w:r>
        <w:rPr>
          <w:color w:val="231F20"/>
          <w:spacing w:val="3"/>
          <w:sz w:val="17"/>
        </w:rPr>
        <w:t xml:space="preserve"> </w:t>
      </w:r>
      <w:r>
        <w:rPr>
          <w:color w:val="231F20"/>
          <w:sz w:val="17"/>
        </w:rPr>
        <w:t>of</w:t>
      </w:r>
      <w:r>
        <w:rPr>
          <w:color w:val="231F20"/>
          <w:spacing w:val="4"/>
          <w:sz w:val="17"/>
        </w:rPr>
        <w:t xml:space="preserve"> </w:t>
      </w:r>
      <w:r>
        <w:rPr>
          <w:color w:val="231F20"/>
          <w:sz w:val="17"/>
        </w:rPr>
        <w:t>the</w:t>
      </w:r>
      <w:r>
        <w:rPr>
          <w:color w:val="231F20"/>
          <w:spacing w:val="3"/>
          <w:sz w:val="17"/>
        </w:rPr>
        <w:t xml:space="preserve"> </w:t>
      </w:r>
      <w:r>
        <w:rPr>
          <w:color w:val="231F20"/>
          <w:sz w:val="17"/>
        </w:rPr>
        <w:t>stadium:</w:t>
      </w:r>
      <w:r>
        <w:rPr>
          <w:color w:val="231F20"/>
          <w:spacing w:val="3"/>
          <w:sz w:val="17"/>
        </w:rPr>
        <w:t xml:space="preserve"> </w:t>
      </w:r>
      <w:r>
        <w:rPr>
          <w:color w:val="231F20"/>
          <w:sz w:val="17"/>
        </w:rPr>
        <w:t>English</w:t>
      </w:r>
      <w:r>
        <w:rPr>
          <w:color w:val="231F20"/>
          <w:spacing w:val="3"/>
          <w:sz w:val="17"/>
        </w:rPr>
        <w:t xml:space="preserve"> </w:t>
      </w:r>
      <w:r>
        <w:rPr>
          <w:color w:val="231F20"/>
          <w:sz w:val="17"/>
        </w:rPr>
        <w:t>football</w:t>
      </w:r>
      <w:r>
        <w:rPr>
          <w:color w:val="231F20"/>
          <w:spacing w:val="4"/>
          <w:sz w:val="17"/>
        </w:rPr>
        <w:t xml:space="preserve"> </w:t>
      </w:r>
      <w:r>
        <w:rPr>
          <w:color w:val="231F20"/>
          <w:sz w:val="17"/>
        </w:rPr>
        <w:t>beyond</w:t>
      </w:r>
      <w:r>
        <w:rPr>
          <w:color w:val="231F20"/>
          <w:spacing w:val="3"/>
          <w:sz w:val="17"/>
        </w:rPr>
        <w:t xml:space="preserve"> </w:t>
      </w:r>
      <w:r>
        <w:rPr>
          <w:color w:val="231F20"/>
          <w:sz w:val="17"/>
        </w:rPr>
        <w:t>the</w:t>
      </w:r>
      <w:r>
        <w:rPr>
          <w:color w:val="231F20"/>
          <w:spacing w:val="3"/>
          <w:sz w:val="17"/>
        </w:rPr>
        <w:t xml:space="preserve"> </w:t>
      </w:r>
      <w:r>
        <w:rPr>
          <w:color w:val="231F20"/>
          <w:sz w:val="17"/>
        </w:rPr>
        <w:t>fans.</w:t>
      </w:r>
      <w:r>
        <w:rPr>
          <w:color w:val="231F20"/>
          <w:spacing w:val="4"/>
          <w:sz w:val="17"/>
        </w:rPr>
        <w:t xml:space="preserve"> </w:t>
      </w:r>
      <w:r>
        <w:rPr>
          <w:i/>
          <w:color w:val="231F20"/>
          <w:sz w:val="17"/>
        </w:rPr>
        <w:t>Sport</w:t>
      </w:r>
      <w:r>
        <w:rPr>
          <w:i/>
          <w:color w:val="231F20"/>
          <w:spacing w:val="3"/>
          <w:sz w:val="17"/>
        </w:rPr>
        <w:t xml:space="preserve"> </w:t>
      </w:r>
      <w:r>
        <w:rPr>
          <w:i/>
          <w:color w:val="231F20"/>
          <w:spacing w:val="-5"/>
          <w:sz w:val="17"/>
        </w:rPr>
        <w:t>in</w:t>
      </w:r>
    </w:p>
    <w:p w14:paraId="21E70DF1" w14:textId="77777777" w:rsidR="00AE0598" w:rsidRDefault="0069255A">
      <w:pPr>
        <w:spacing w:before="1"/>
        <w:ind w:left="430"/>
        <w:jc w:val="both"/>
        <w:rPr>
          <w:sz w:val="17"/>
        </w:rPr>
      </w:pPr>
      <w:r>
        <w:rPr>
          <w:i/>
          <w:color w:val="231F20"/>
          <w:w w:val="95"/>
          <w:sz w:val="17"/>
        </w:rPr>
        <w:t>Society</w:t>
      </w:r>
      <w:r>
        <w:rPr>
          <w:i/>
          <w:color w:val="231F20"/>
          <w:spacing w:val="9"/>
          <w:sz w:val="17"/>
        </w:rPr>
        <w:t xml:space="preserve"> </w:t>
      </w:r>
      <w:r>
        <w:rPr>
          <w:color w:val="231F20"/>
          <w:w w:val="95"/>
          <w:sz w:val="17"/>
        </w:rPr>
        <w:t>13</w:t>
      </w:r>
      <w:r>
        <w:rPr>
          <w:color w:val="231F20"/>
          <w:spacing w:val="10"/>
          <w:sz w:val="17"/>
        </w:rPr>
        <w:t xml:space="preserve"> </w:t>
      </w:r>
      <w:r>
        <w:rPr>
          <w:color w:val="231F20"/>
          <w:w w:val="95"/>
          <w:sz w:val="17"/>
        </w:rPr>
        <w:t>(6),</w:t>
      </w:r>
      <w:r>
        <w:rPr>
          <w:color w:val="231F20"/>
          <w:spacing w:val="9"/>
          <w:sz w:val="17"/>
        </w:rPr>
        <w:t xml:space="preserve"> </w:t>
      </w:r>
      <w:r>
        <w:rPr>
          <w:color w:val="231F20"/>
          <w:spacing w:val="-2"/>
          <w:w w:val="95"/>
          <w:sz w:val="17"/>
        </w:rPr>
        <w:t>1012–1026.</w:t>
      </w:r>
    </w:p>
    <w:p w14:paraId="380E8B27" w14:textId="77777777" w:rsidR="00AE0598" w:rsidRDefault="0069255A">
      <w:pPr>
        <w:spacing w:before="1"/>
        <w:ind w:left="110" w:right="128"/>
        <w:jc w:val="both"/>
        <w:rPr>
          <w:i/>
          <w:sz w:val="17"/>
        </w:rPr>
      </w:pPr>
      <w:r>
        <w:rPr>
          <w:color w:val="231F20"/>
          <w:sz w:val="17"/>
        </w:rPr>
        <w:t xml:space="preserve">Roche, M. (1994) Mega-events and urban policy. </w:t>
      </w:r>
      <w:r>
        <w:rPr>
          <w:i/>
          <w:color w:val="231F20"/>
          <w:sz w:val="17"/>
        </w:rPr>
        <w:t xml:space="preserve">Annals of Tourism Research </w:t>
      </w:r>
      <w:r>
        <w:rPr>
          <w:color w:val="231F20"/>
          <w:sz w:val="17"/>
        </w:rPr>
        <w:t>21, 1–19.</w:t>
      </w:r>
      <w:r>
        <w:rPr>
          <w:color w:val="231F20"/>
          <w:spacing w:val="40"/>
          <w:sz w:val="17"/>
        </w:rPr>
        <w:t xml:space="preserve"> </w:t>
      </w:r>
      <w:r>
        <w:rPr>
          <w:color w:val="231F20"/>
          <w:sz w:val="17"/>
        </w:rPr>
        <w:t>Roche,</w:t>
      </w:r>
      <w:r>
        <w:rPr>
          <w:color w:val="231F20"/>
          <w:spacing w:val="40"/>
          <w:sz w:val="17"/>
        </w:rPr>
        <w:t xml:space="preserve"> </w:t>
      </w:r>
      <w:r>
        <w:rPr>
          <w:color w:val="231F20"/>
          <w:sz w:val="17"/>
        </w:rPr>
        <w:t>M.</w:t>
      </w:r>
      <w:r>
        <w:rPr>
          <w:color w:val="231F20"/>
          <w:spacing w:val="40"/>
          <w:sz w:val="17"/>
        </w:rPr>
        <w:t xml:space="preserve"> </w:t>
      </w:r>
      <w:r>
        <w:rPr>
          <w:color w:val="231F20"/>
          <w:sz w:val="17"/>
        </w:rPr>
        <w:t>(2000)</w:t>
      </w:r>
      <w:r>
        <w:rPr>
          <w:color w:val="231F20"/>
          <w:spacing w:val="40"/>
          <w:sz w:val="17"/>
        </w:rPr>
        <w:t xml:space="preserve"> </w:t>
      </w:r>
      <w:r>
        <w:rPr>
          <w:i/>
          <w:color w:val="231F20"/>
          <w:sz w:val="17"/>
        </w:rPr>
        <w:t>Mega-Events</w:t>
      </w:r>
      <w:r>
        <w:rPr>
          <w:i/>
          <w:color w:val="231F20"/>
          <w:spacing w:val="40"/>
          <w:sz w:val="17"/>
        </w:rPr>
        <w:t xml:space="preserve"> </w:t>
      </w:r>
      <w:r>
        <w:rPr>
          <w:i/>
          <w:color w:val="231F20"/>
          <w:sz w:val="17"/>
        </w:rPr>
        <w:t>and</w:t>
      </w:r>
      <w:r>
        <w:rPr>
          <w:i/>
          <w:color w:val="231F20"/>
          <w:spacing w:val="40"/>
          <w:sz w:val="17"/>
        </w:rPr>
        <w:t xml:space="preserve"> </w:t>
      </w:r>
      <w:r>
        <w:rPr>
          <w:i/>
          <w:color w:val="231F20"/>
          <w:sz w:val="17"/>
        </w:rPr>
        <w:t>Modernity:</w:t>
      </w:r>
      <w:r>
        <w:rPr>
          <w:i/>
          <w:color w:val="231F20"/>
          <w:spacing w:val="40"/>
          <w:sz w:val="17"/>
        </w:rPr>
        <w:t xml:space="preserve"> </w:t>
      </w:r>
      <w:r>
        <w:rPr>
          <w:i/>
          <w:color w:val="231F20"/>
          <w:sz w:val="17"/>
        </w:rPr>
        <w:t>Olympics</w:t>
      </w:r>
      <w:r>
        <w:rPr>
          <w:i/>
          <w:color w:val="231F20"/>
          <w:spacing w:val="40"/>
          <w:sz w:val="17"/>
        </w:rPr>
        <w:t xml:space="preserve"> </w:t>
      </w:r>
      <w:r>
        <w:rPr>
          <w:i/>
          <w:color w:val="231F20"/>
          <w:sz w:val="17"/>
        </w:rPr>
        <w:t>and</w:t>
      </w:r>
      <w:r>
        <w:rPr>
          <w:i/>
          <w:color w:val="231F20"/>
          <w:spacing w:val="40"/>
          <w:sz w:val="17"/>
        </w:rPr>
        <w:t xml:space="preserve"> </w:t>
      </w:r>
      <w:r>
        <w:rPr>
          <w:i/>
          <w:color w:val="231F20"/>
          <w:sz w:val="17"/>
        </w:rPr>
        <w:t>Expos</w:t>
      </w:r>
      <w:r>
        <w:rPr>
          <w:i/>
          <w:color w:val="231F20"/>
          <w:spacing w:val="40"/>
          <w:sz w:val="17"/>
        </w:rPr>
        <w:t xml:space="preserve"> </w:t>
      </w:r>
      <w:r>
        <w:rPr>
          <w:i/>
          <w:color w:val="231F20"/>
          <w:sz w:val="17"/>
        </w:rPr>
        <w:t>in</w:t>
      </w:r>
      <w:r>
        <w:rPr>
          <w:i/>
          <w:color w:val="231F20"/>
          <w:spacing w:val="40"/>
          <w:sz w:val="17"/>
        </w:rPr>
        <w:t xml:space="preserve"> </w:t>
      </w:r>
      <w:r>
        <w:rPr>
          <w:i/>
          <w:color w:val="231F20"/>
          <w:sz w:val="17"/>
        </w:rPr>
        <w:t>the</w:t>
      </w:r>
      <w:r>
        <w:rPr>
          <w:i/>
          <w:color w:val="231F20"/>
          <w:spacing w:val="40"/>
          <w:sz w:val="17"/>
        </w:rPr>
        <w:t xml:space="preserve"> </w:t>
      </w:r>
      <w:r>
        <w:rPr>
          <w:i/>
          <w:color w:val="231F20"/>
          <w:sz w:val="17"/>
        </w:rPr>
        <w:t>Growth</w:t>
      </w:r>
      <w:r>
        <w:rPr>
          <w:i/>
          <w:color w:val="231F20"/>
          <w:spacing w:val="40"/>
          <w:sz w:val="17"/>
        </w:rPr>
        <w:t xml:space="preserve"> </w:t>
      </w:r>
      <w:r>
        <w:rPr>
          <w:i/>
          <w:color w:val="231F20"/>
          <w:spacing w:val="-5"/>
          <w:sz w:val="17"/>
        </w:rPr>
        <w:t>of</w:t>
      </w:r>
    </w:p>
    <w:p w14:paraId="20FD1E47" w14:textId="77777777" w:rsidR="00AE0598" w:rsidRDefault="0069255A">
      <w:pPr>
        <w:spacing w:before="1"/>
        <w:ind w:left="430"/>
        <w:jc w:val="both"/>
        <w:rPr>
          <w:sz w:val="17"/>
        </w:rPr>
      </w:pPr>
      <w:r>
        <w:rPr>
          <w:i/>
          <w:color w:val="231F20"/>
          <w:sz w:val="17"/>
        </w:rPr>
        <w:t>Global</w:t>
      </w:r>
      <w:r>
        <w:rPr>
          <w:i/>
          <w:color w:val="231F20"/>
          <w:spacing w:val="25"/>
          <w:sz w:val="17"/>
        </w:rPr>
        <w:t xml:space="preserve"> </w:t>
      </w:r>
      <w:r>
        <w:rPr>
          <w:i/>
          <w:color w:val="231F20"/>
          <w:sz w:val="17"/>
        </w:rPr>
        <w:t>Culture</w:t>
      </w:r>
      <w:r>
        <w:rPr>
          <w:color w:val="231F20"/>
          <w:sz w:val="17"/>
        </w:rPr>
        <w:t>.</w:t>
      </w:r>
      <w:r>
        <w:rPr>
          <w:color w:val="231F20"/>
          <w:spacing w:val="25"/>
          <w:sz w:val="17"/>
        </w:rPr>
        <w:t xml:space="preserve"> </w:t>
      </w:r>
      <w:r>
        <w:rPr>
          <w:color w:val="231F20"/>
          <w:sz w:val="17"/>
        </w:rPr>
        <w:t>London:</w:t>
      </w:r>
      <w:r>
        <w:rPr>
          <w:color w:val="231F20"/>
          <w:spacing w:val="25"/>
          <w:sz w:val="17"/>
        </w:rPr>
        <w:t xml:space="preserve"> </w:t>
      </w:r>
      <w:r>
        <w:rPr>
          <w:color w:val="231F20"/>
          <w:spacing w:val="-2"/>
          <w:sz w:val="17"/>
        </w:rPr>
        <w:t>Routledge.</w:t>
      </w:r>
    </w:p>
    <w:p w14:paraId="297F4BBB" w14:textId="77777777" w:rsidR="00AE0598" w:rsidRDefault="0069255A">
      <w:pPr>
        <w:spacing w:before="1"/>
        <w:ind w:left="430" w:hanging="320"/>
        <w:rPr>
          <w:sz w:val="17"/>
        </w:rPr>
      </w:pPr>
      <w:r>
        <w:rPr>
          <w:color w:val="231F20"/>
          <w:sz w:val="17"/>
        </w:rPr>
        <w:t>Rodriguez-Diaz, J.A., Knox, J.W. and Weatherhead, E.K. (2007) Competing demands for</w:t>
      </w:r>
      <w:r>
        <w:rPr>
          <w:color w:val="231F20"/>
          <w:spacing w:val="40"/>
          <w:sz w:val="17"/>
        </w:rPr>
        <w:t xml:space="preserve"> </w:t>
      </w:r>
      <w:r>
        <w:rPr>
          <w:color w:val="231F20"/>
          <w:sz w:val="17"/>
        </w:rPr>
        <w:t xml:space="preserve">irrigation water: Golf and agriculture in Spain. </w:t>
      </w:r>
      <w:r>
        <w:rPr>
          <w:i/>
          <w:color w:val="231F20"/>
          <w:sz w:val="17"/>
        </w:rPr>
        <w:t xml:space="preserve">Irrigation and Drainage </w:t>
      </w:r>
      <w:r>
        <w:rPr>
          <w:color w:val="231F20"/>
          <w:sz w:val="17"/>
        </w:rPr>
        <w:t>56, 541–549.</w:t>
      </w:r>
    </w:p>
    <w:p w14:paraId="138918C8" w14:textId="77777777" w:rsidR="00AE0598" w:rsidRDefault="0069255A">
      <w:pPr>
        <w:spacing w:before="1"/>
        <w:ind w:left="430" w:hanging="320"/>
        <w:rPr>
          <w:sz w:val="17"/>
        </w:rPr>
      </w:pPr>
      <w:r>
        <w:rPr>
          <w:color w:val="231F20"/>
          <w:sz w:val="17"/>
        </w:rPr>
        <w:t>Roehl,</w:t>
      </w:r>
      <w:r>
        <w:rPr>
          <w:color w:val="231F20"/>
          <w:spacing w:val="-1"/>
          <w:sz w:val="17"/>
        </w:rPr>
        <w:t xml:space="preserve"> </w:t>
      </w:r>
      <w:r>
        <w:rPr>
          <w:color w:val="231F20"/>
          <w:sz w:val="17"/>
        </w:rPr>
        <w:t>W.,</w:t>
      </w:r>
      <w:r>
        <w:rPr>
          <w:color w:val="231F20"/>
          <w:spacing w:val="-1"/>
          <w:sz w:val="17"/>
        </w:rPr>
        <w:t xml:space="preserve"> </w:t>
      </w:r>
      <w:r>
        <w:rPr>
          <w:color w:val="231F20"/>
          <w:sz w:val="17"/>
        </w:rPr>
        <w:t>Ditton,</w:t>
      </w:r>
      <w:r>
        <w:rPr>
          <w:color w:val="231F20"/>
          <w:spacing w:val="-1"/>
          <w:sz w:val="17"/>
        </w:rPr>
        <w:t xml:space="preserve"> </w:t>
      </w:r>
      <w:r>
        <w:rPr>
          <w:color w:val="231F20"/>
          <w:sz w:val="17"/>
        </w:rPr>
        <w:t>R.,</w:t>
      </w:r>
      <w:r>
        <w:rPr>
          <w:color w:val="231F20"/>
          <w:spacing w:val="-1"/>
          <w:sz w:val="17"/>
        </w:rPr>
        <w:t xml:space="preserve"> </w:t>
      </w:r>
      <w:r>
        <w:rPr>
          <w:color w:val="231F20"/>
          <w:sz w:val="17"/>
        </w:rPr>
        <w:t>Holland,</w:t>
      </w:r>
      <w:r>
        <w:rPr>
          <w:color w:val="231F20"/>
          <w:spacing w:val="-1"/>
          <w:sz w:val="17"/>
        </w:rPr>
        <w:t xml:space="preserve"> </w:t>
      </w:r>
      <w:r>
        <w:rPr>
          <w:color w:val="231F20"/>
          <w:sz w:val="17"/>
        </w:rPr>
        <w:t>S.</w:t>
      </w:r>
      <w:r>
        <w:rPr>
          <w:color w:val="231F20"/>
          <w:spacing w:val="-1"/>
          <w:sz w:val="17"/>
        </w:rPr>
        <w:t xml:space="preserve"> </w:t>
      </w:r>
      <w:r>
        <w:rPr>
          <w:color w:val="231F20"/>
          <w:sz w:val="17"/>
        </w:rPr>
        <w:t>and</w:t>
      </w:r>
      <w:r>
        <w:rPr>
          <w:color w:val="231F20"/>
          <w:spacing w:val="-1"/>
          <w:sz w:val="17"/>
        </w:rPr>
        <w:t xml:space="preserve"> </w:t>
      </w:r>
      <w:r>
        <w:rPr>
          <w:color w:val="231F20"/>
          <w:sz w:val="17"/>
        </w:rPr>
        <w:t>Perdue,</w:t>
      </w:r>
      <w:r>
        <w:rPr>
          <w:color w:val="231F20"/>
          <w:spacing w:val="-1"/>
          <w:sz w:val="17"/>
        </w:rPr>
        <w:t xml:space="preserve"> </w:t>
      </w:r>
      <w:r>
        <w:rPr>
          <w:color w:val="231F20"/>
          <w:sz w:val="17"/>
        </w:rPr>
        <w:t>R.</w:t>
      </w:r>
      <w:r>
        <w:rPr>
          <w:color w:val="231F20"/>
          <w:spacing w:val="-1"/>
          <w:sz w:val="17"/>
        </w:rPr>
        <w:t xml:space="preserve"> </w:t>
      </w:r>
      <w:r>
        <w:rPr>
          <w:color w:val="231F20"/>
          <w:sz w:val="17"/>
        </w:rPr>
        <w:t>(1993)</w:t>
      </w:r>
      <w:r>
        <w:rPr>
          <w:color w:val="231F20"/>
          <w:spacing w:val="-1"/>
          <w:sz w:val="17"/>
        </w:rPr>
        <w:t xml:space="preserve"> </w:t>
      </w:r>
      <w:r>
        <w:rPr>
          <w:color w:val="231F20"/>
          <w:sz w:val="17"/>
        </w:rPr>
        <w:t>Developing</w:t>
      </w:r>
      <w:r>
        <w:rPr>
          <w:color w:val="231F20"/>
          <w:spacing w:val="-1"/>
          <w:sz w:val="17"/>
        </w:rPr>
        <w:t xml:space="preserve"> </w:t>
      </w:r>
      <w:r>
        <w:rPr>
          <w:color w:val="231F20"/>
          <w:sz w:val="17"/>
        </w:rPr>
        <w:t>new</w:t>
      </w:r>
      <w:r>
        <w:rPr>
          <w:color w:val="231F20"/>
          <w:spacing w:val="-1"/>
          <w:sz w:val="17"/>
        </w:rPr>
        <w:t xml:space="preserve"> </w:t>
      </w:r>
      <w:r>
        <w:rPr>
          <w:color w:val="231F20"/>
          <w:sz w:val="17"/>
        </w:rPr>
        <w:t>tourism</w:t>
      </w:r>
      <w:r>
        <w:rPr>
          <w:color w:val="231F20"/>
          <w:spacing w:val="-1"/>
          <w:sz w:val="17"/>
        </w:rPr>
        <w:t xml:space="preserve"> </w:t>
      </w:r>
      <w:r>
        <w:rPr>
          <w:color w:val="231F20"/>
          <w:sz w:val="17"/>
        </w:rPr>
        <w:t>produc</w:t>
      </w:r>
      <w:r>
        <w:rPr>
          <w:color w:val="231F20"/>
          <w:sz w:val="17"/>
        </w:rPr>
        <w:t>ts:</w:t>
      </w:r>
      <w:r>
        <w:rPr>
          <w:color w:val="231F20"/>
          <w:spacing w:val="40"/>
          <w:sz w:val="17"/>
        </w:rPr>
        <w:t xml:space="preserve"> </w:t>
      </w:r>
      <w:r>
        <w:rPr>
          <w:color w:val="231F20"/>
          <w:sz w:val="17"/>
        </w:rPr>
        <w:t xml:space="preserve">Sport fishing in the south-east United States. </w:t>
      </w:r>
      <w:r>
        <w:rPr>
          <w:i/>
          <w:color w:val="231F20"/>
          <w:sz w:val="17"/>
        </w:rPr>
        <w:t xml:space="preserve">Tourism Management </w:t>
      </w:r>
      <w:r>
        <w:rPr>
          <w:color w:val="231F20"/>
          <w:sz w:val="17"/>
        </w:rPr>
        <w:t>14, 279–288.</w:t>
      </w:r>
    </w:p>
    <w:p w14:paraId="0D886DF3" w14:textId="77777777" w:rsidR="00AE0598" w:rsidRDefault="0069255A">
      <w:pPr>
        <w:spacing w:before="2"/>
        <w:ind w:left="110"/>
        <w:rPr>
          <w:sz w:val="17"/>
        </w:rPr>
      </w:pPr>
      <w:r>
        <w:rPr>
          <w:color w:val="231F20"/>
          <w:sz w:val="17"/>
        </w:rPr>
        <w:t>Rogerson,</w:t>
      </w:r>
      <w:r>
        <w:rPr>
          <w:color w:val="231F20"/>
          <w:spacing w:val="42"/>
          <w:sz w:val="17"/>
        </w:rPr>
        <w:t xml:space="preserve"> </w:t>
      </w:r>
      <w:r>
        <w:rPr>
          <w:color w:val="231F20"/>
          <w:sz w:val="17"/>
        </w:rPr>
        <w:t>C.M.</w:t>
      </w:r>
      <w:r>
        <w:rPr>
          <w:color w:val="231F20"/>
          <w:spacing w:val="43"/>
          <w:sz w:val="17"/>
        </w:rPr>
        <w:t xml:space="preserve"> </w:t>
      </w:r>
      <w:r>
        <w:rPr>
          <w:color w:val="231F20"/>
          <w:sz w:val="17"/>
        </w:rPr>
        <w:t>(2014)</w:t>
      </w:r>
      <w:r>
        <w:rPr>
          <w:color w:val="231F20"/>
          <w:spacing w:val="42"/>
          <w:sz w:val="17"/>
        </w:rPr>
        <w:t xml:space="preserve"> </w:t>
      </w:r>
      <w:r>
        <w:rPr>
          <w:color w:val="231F20"/>
          <w:sz w:val="17"/>
        </w:rPr>
        <w:t>Partnerships,</w:t>
      </w:r>
      <w:r>
        <w:rPr>
          <w:color w:val="231F20"/>
          <w:spacing w:val="43"/>
          <w:sz w:val="17"/>
        </w:rPr>
        <w:t xml:space="preserve"> </w:t>
      </w:r>
      <w:r>
        <w:rPr>
          <w:color w:val="231F20"/>
          <w:sz w:val="17"/>
        </w:rPr>
        <w:t>tourism,</w:t>
      </w:r>
      <w:r>
        <w:rPr>
          <w:color w:val="231F20"/>
          <w:spacing w:val="43"/>
          <w:sz w:val="17"/>
        </w:rPr>
        <w:t xml:space="preserve"> </w:t>
      </w:r>
      <w:r>
        <w:rPr>
          <w:color w:val="231F20"/>
          <w:sz w:val="17"/>
        </w:rPr>
        <w:t>and</w:t>
      </w:r>
      <w:r>
        <w:rPr>
          <w:color w:val="231F20"/>
          <w:spacing w:val="42"/>
          <w:sz w:val="17"/>
        </w:rPr>
        <w:t xml:space="preserve"> </w:t>
      </w:r>
      <w:r>
        <w:rPr>
          <w:color w:val="231F20"/>
          <w:sz w:val="17"/>
        </w:rPr>
        <w:t>community</w:t>
      </w:r>
      <w:r>
        <w:rPr>
          <w:color w:val="231F20"/>
          <w:spacing w:val="43"/>
          <w:sz w:val="17"/>
        </w:rPr>
        <w:t xml:space="preserve"> </w:t>
      </w:r>
      <w:r>
        <w:rPr>
          <w:color w:val="231F20"/>
          <w:sz w:val="17"/>
        </w:rPr>
        <w:t>impacts.</w:t>
      </w:r>
      <w:r>
        <w:rPr>
          <w:color w:val="231F20"/>
          <w:spacing w:val="43"/>
          <w:sz w:val="17"/>
        </w:rPr>
        <w:t xml:space="preserve"> </w:t>
      </w:r>
      <w:r>
        <w:rPr>
          <w:color w:val="231F20"/>
          <w:sz w:val="17"/>
        </w:rPr>
        <w:t>In</w:t>
      </w:r>
      <w:r>
        <w:rPr>
          <w:color w:val="231F20"/>
          <w:spacing w:val="42"/>
          <w:sz w:val="17"/>
        </w:rPr>
        <w:t xml:space="preserve"> </w:t>
      </w:r>
      <w:r>
        <w:rPr>
          <w:color w:val="231F20"/>
          <w:sz w:val="17"/>
        </w:rPr>
        <w:t>A.A.</w:t>
      </w:r>
      <w:r>
        <w:rPr>
          <w:color w:val="231F20"/>
          <w:spacing w:val="43"/>
          <w:sz w:val="17"/>
        </w:rPr>
        <w:t xml:space="preserve"> </w:t>
      </w:r>
      <w:r>
        <w:rPr>
          <w:color w:val="231F20"/>
          <w:spacing w:val="-4"/>
          <w:sz w:val="17"/>
        </w:rPr>
        <w:t>Lew,</w:t>
      </w:r>
    </w:p>
    <w:p w14:paraId="45EECD15" w14:textId="77777777" w:rsidR="00AE0598" w:rsidRDefault="0069255A">
      <w:pPr>
        <w:ind w:left="430"/>
        <w:rPr>
          <w:i/>
          <w:sz w:val="17"/>
        </w:rPr>
      </w:pPr>
      <w:r>
        <w:rPr>
          <w:color w:val="231F20"/>
          <w:w w:val="105"/>
          <w:sz w:val="17"/>
        </w:rPr>
        <w:t>C.M.</w:t>
      </w:r>
      <w:r>
        <w:rPr>
          <w:color w:val="231F20"/>
          <w:spacing w:val="28"/>
          <w:w w:val="105"/>
          <w:sz w:val="17"/>
        </w:rPr>
        <w:t xml:space="preserve"> </w:t>
      </w:r>
      <w:r>
        <w:rPr>
          <w:color w:val="231F20"/>
          <w:w w:val="105"/>
          <w:sz w:val="17"/>
        </w:rPr>
        <w:t>Hall</w:t>
      </w:r>
      <w:r>
        <w:rPr>
          <w:color w:val="231F20"/>
          <w:spacing w:val="28"/>
          <w:w w:val="105"/>
          <w:sz w:val="17"/>
        </w:rPr>
        <w:t xml:space="preserve"> </w:t>
      </w:r>
      <w:r>
        <w:rPr>
          <w:color w:val="231F20"/>
          <w:w w:val="105"/>
          <w:sz w:val="17"/>
        </w:rPr>
        <w:t>and</w:t>
      </w:r>
      <w:r>
        <w:rPr>
          <w:color w:val="231F20"/>
          <w:spacing w:val="29"/>
          <w:w w:val="105"/>
          <w:sz w:val="17"/>
        </w:rPr>
        <w:t xml:space="preserve"> </w:t>
      </w:r>
      <w:r>
        <w:rPr>
          <w:color w:val="231F20"/>
          <w:w w:val="105"/>
          <w:sz w:val="17"/>
        </w:rPr>
        <w:t>A.M.</w:t>
      </w:r>
      <w:r>
        <w:rPr>
          <w:color w:val="231F20"/>
          <w:spacing w:val="28"/>
          <w:w w:val="105"/>
          <w:sz w:val="17"/>
        </w:rPr>
        <w:t xml:space="preserve"> </w:t>
      </w:r>
      <w:r>
        <w:rPr>
          <w:color w:val="231F20"/>
          <w:w w:val="105"/>
          <w:sz w:val="17"/>
        </w:rPr>
        <w:t>Williams</w:t>
      </w:r>
      <w:r>
        <w:rPr>
          <w:color w:val="231F20"/>
          <w:spacing w:val="29"/>
          <w:w w:val="105"/>
          <w:sz w:val="17"/>
        </w:rPr>
        <w:t xml:space="preserve"> </w:t>
      </w:r>
      <w:r>
        <w:rPr>
          <w:color w:val="231F20"/>
          <w:w w:val="105"/>
          <w:sz w:val="17"/>
        </w:rPr>
        <w:t>(eds)</w:t>
      </w:r>
      <w:r>
        <w:rPr>
          <w:color w:val="231F20"/>
          <w:spacing w:val="28"/>
          <w:w w:val="105"/>
          <w:sz w:val="17"/>
        </w:rPr>
        <w:t xml:space="preserve"> </w:t>
      </w:r>
      <w:r>
        <w:rPr>
          <w:i/>
          <w:color w:val="231F20"/>
          <w:w w:val="105"/>
          <w:sz w:val="17"/>
        </w:rPr>
        <w:t>The</w:t>
      </w:r>
      <w:r>
        <w:rPr>
          <w:i/>
          <w:color w:val="231F20"/>
          <w:spacing w:val="29"/>
          <w:w w:val="105"/>
          <w:sz w:val="17"/>
        </w:rPr>
        <w:t xml:space="preserve"> </w:t>
      </w:r>
      <w:r>
        <w:rPr>
          <w:i/>
          <w:color w:val="231F20"/>
          <w:w w:val="105"/>
          <w:sz w:val="17"/>
        </w:rPr>
        <w:t>Wiley</w:t>
      </w:r>
      <w:r>
        <w:rPr>
          <w:i/>
          <w:color w:val="231F20"/>
          <w:spacing w:val="28"/>
          <w:w w:val="105"/>
          <w:sz w:val="17"/>
        </w:rPr>
        <w:t xml:space="preserve"> </w:t>
      </w:r>
      <w:r>
        <w:rPr>
          <w:i/>
          <w:color w:val="231F20"/>
          <w:w w:val="105"/>
          <w:sz w:val="17"/>
        </w:rPr>
        <w:t>Blackwell</w:t>
      </w:r>
      <w:r>
        <w:rPr>
          <w:i/>
          <w:color w:val="231F20"/>
          <w:spacing w:val="29"/>
          <w:w w:val="105"/>
          <w:sz w:val="17"/>
        </w:rPr>
        <w:t xml:space="preserve"> </w:t>
      </w:r>
      <w:r>
        <w:rPr>
          <w:i/>
          <w:color w:val="231F20"/>
          <w:w w:val="105"/>
          <w:sz w:val="17"/>
        </w:rPr>
        <w:t>Companion</w:t>
      </w:r>
      <w:r>
        <w:rPr>
          <w:i/>
          <w:color w:val="231F20"/>
          <w:spacing w:val="28"/>
          <w:w w:val="105"/>
          <w:sz w:val="17"/>
        </w:rPr>
        <w:t xml:space="preserve"> </w:t>
      </w:r>
      <w:r>
        <w:rPr>
          <w:i/>
          <w:color w:val="231F20"/>
          <w:w w:val="105"/>
          <w:sz w:val="17"/>
        </w:rPr>
        <w:t>to</w:t>
      </w:r>
      <w:r>
        <w:rPr>
          <w:i/>
          <w:color w:val="231F20"/>
          <w:spacing w:val="29"/>
          <w:w w:val="105"/>
          <w:sz w:val="17"/>
        </w:rPr>
        <w:t xml:space="preserve"> </w:t>
      </w:r>
      <w:r>
        <w:rPr>
          <w:i/>
          <w:color w:val="231F20"/>
          <w:spacing w:val="-2"/>
          <w:w w:val="105"/>
          <w:sz w:val="17"/>
        </w:rPr>
        <w:t>Tourism</w:t>
      </w:r>
    </w:p>
    <w:p w14:paraId="753E753E" w14:textId="77777777" w:rsidR="00AE0598" w:rsidRDefault="0069255A">
      <w:pPr>
        <w:spacing w:before="1"/>
        <w:ind w:left="430"/>
        <w:rPr>
          <w:sz w:val="17"/>
        </w:rPr>
      </w:pPr>
      <w:r>
        <w:rPr>
          <w:color w:val="231F20"/>
          <w:w w:val="95"/>
          <w:sz w:val="17"/>
        </w:rPr>
        <w:t>(pp.</w:t>
      </w:r>
      <w:r>
        <w:rPr>
          <w:color w:val="231F20"/>
          <w:spacing w:val="22"/>
          <w:sz w:val="17"/>
        </w:rPr>
        <w:t xml:space="preserve"> </w:t>
      </w:r>
      <w:r>
        <w:rPr>
          <w:color w:val="231F20"/>
          <w:w w:val="95"/>
          <w:sz w:val="17"/>
        </w:rPr>
        <w:t>600–610).</w:t>
      </w:r>
      <w:r>
        <w:rPr>
          <w:color w:val="231F20"/>
          <w:spacing w:val="22"/>
          <w:sz w:val="17"/>
        </w:rPr>
        <w:t xml:space="preserve"> </w:t>
      </w:r>
      <w:r>
        <w:rPr>
          <w:color w:val="231F20"/>
          <w:w w:val="95"/>
          <w:sz w:val="17"/>
        </w:rPr>
        <w:t>Chichester:</w:t>
      </w:r>
      <w:r>
        <w:rPr>
          <w:color w:val="231F20"/>
          <w:spacing w:val="23"/>
          <w:sz w:val="17"/>
        </w:rPr>
        <w:t xml:space="preserve"> </w:t>
      </w:r>
      <w:r>
        <w:rPr>
          <w:color w:val="231F20"/>
          <w:w w:val="95"/>
          <w:sz w:val="17"/>
        </w:rPr>
        <w:t>John</w:t>
      </w:r>
      <w:r>
        <w:rPr>
          <w:color w:val="231F20"/>
          <w:spacing w:val="22"/>
          <w:sz w:val="17"/>
        </w:rPr>
        <w:t xml:space="preserve"> </w:t>
      </w:r>
      <w:r>
        <w:rPr>
          <w:color w:val="231F20"/>
          <w:w w:val="95"/>
          <w:sz w:val="17"/>
        </w:rPr>
        <w:t>Wiley</w:t>
      </w:r>
      <w:r>
        <w:rPr>
          <w:color w:val="231F20"/>
          <w:spacing w:val="22"/>
          <w:sz w:val="17"/>
        </w:rPr>
        <w:t xml:space="preserve"> </w:t>
      </w:r>
      <w:r>
        <w:rPr>
          <w:color w:val="231F20"/>
          <w:w w:val="95"/>
          <w:sz w:val="17"/>
        </w:rPr>
        <w:t>&amp;</w:t>
      </w:r>
      <w:r>
        <w:rPr>
          <w:color w:val="231F20"/>
          <w:spacing w:val="23"/>
          <w:sz w:val="17"/>
        </w:rPr>
        <w:t xml:space="preserve"> </w:t>
      </w:r>
      <w:r>
        <w:rPr>
          <w:color w:val="231F20"/>
          <w:spacing w:val="-2"/>
          <w:w w:val="95"/>
          <w:sz w:val="17"/>
        </w:rPr>
        <w:t>Sons.</w:t>
      </w:r>
    </w:p>
    <w:p w14:paraId="7824CAD3" w14:textId="77777777" w:rsidR="00AE0598" w:rsidRDefault="0069255A">
      <w:pPr>
        <w:spacing w:before="1"/>
        <w:ind w:left="430" w:right="128" w:hanging="320"/>
        <w:jc w:val="both"/>
        <w:rPr>
          <w:sz w:val="17"/>
        </w:rPr>
      </w:pPr>
      <w:r>
        <w:rPr>
          <w:color w:val="231F20"/>
          <w:w w:val="95"/>
          <w:sz w:val="17"/>
        </w:rPr>
        <w:t>Rooney, J.F. (1988) Mega sports events as tourist attractions: A geographical analysis. Paper</w:t>
      </w:r>
      <w:r>
        <w:rPr>
          <w:color w:val="231F20"/>
          <w:spacing w:val="40"/>
          <w:sz w:val="17"/>
        </w:rPr>
        <w:t xml:space="preserve"> </w:t>
      </w:r>
      <w:r>
        <w:rPr>
          <w:color w:val="231F20"/>
          <w:sz w:val="17"/>
        </w:rPr>
        <w:t>presented at the Tourism Research: Expanding the Boundaries. Travel and Tourism</w:t>
      </w:r>
      <w:r>
        <w:rPr>
          <w:color w:val="231F20"/>
          <w:spacing w:val="40"/>
          <w:sz w:val="17"/>
        </w:rPr>
        <w:t xml:space="preserve"> </w:t>
      </w:r>
      <w:r>
        <w:rPr>
          <w:color w:val="231F20"/>
          <w:sz w:val="17"/>
        </w:rPr>
        <w:t>Research Association, Nineteenth Annual C</w:t>
      </w:r>
      <w:r>
        <w:rPr>
          <w:color w:val="231F20"/>
          <w:sz w:val="17"/>
        </w:rPr>
        <w:t>onference, Montreal, Quebec.</w:t>
      </w:r>
    </w:p>
    <w:p w14:paraId="3685F1DF" w14:textId="77777777" w:rsidR="00AE0598" w:rsidRDefault="0069255A">
      <w:pPr>
        <w:spacing w:before="2"/>
        <w:ind w:left="110" w:right="128"/>
        <w:jc w:val="both"/>
        <w:rPr>
          <w:i/>
          <w:sz w:val="17"/>
        </w:rPr>
      </w:pPr>
      <w:r>
        <w:rPr>
          <w:color w:val="231F20"/>
          <w:sz w:val="17"/>
        </w:rPr>
        <w:t>Rooney,</w:t>
      </w:r>
      <w:r>
        <w:rPr>
          <w:color w:val="231F20"/>
          <w:spacing w:val="39"/>
          <w:sz w:val="17"/>
        </w:rPr>
        <w:t xml:space="preserve"> </w:t>
      </w:r>
      <w:r>
        <w:rPr>
          <w:color w:val="231F20"/>
          <w:sz w:val="17"/>
        </w:rPr>
        <w:t>J.F.</w:t>
      </w:r>
      <w:r>
        <w:rPr>
          <w:color w:val="231F20"/>
          <w:spacing w:val="39"/>
          <w:sz w:val="17"/>
        </w:rPr>
        <w:t xml:space="preserve"> </w:t>
      </w:r>
      <w:r>
        <w:rPr>
          <w:color w:val="231F20"/>
          <w:sz w:val="17"/>
        </w:rPr>
        <w:t>(1992)</w:t>
      </w:r>
      <w:r>
        <w:rPr>
          <w:color w:val="231F20"/>
          <w:spacing w:val="39"/>
          <w:sz w:val="17"/>
        </w:rPr>
        <w:t xml:space="preserve"> </w:t>
      </w:r>
      <w:r>
        <w:rPr>
          <w:i/>
          <w:color w:val="231F20"/>
          <w:sz w:val="17"/>
        </w:rPr>
        <w:t>Atlas</w:t>
      </w:r>
      <w:r>
        <w:rPr>
          <w:i/>
          <w:color w:val="231F20"/>
          <w:spacing w:val="39"/>
          <w:sz w:val="17"/>
        </w:rPr>
        <w:t xml:space="preserve"> </w:t>
      </w:r>
      <w:r>
        <w:rPr>
          <w:i/>
          <w:color w:val="231F20"/>
          <w:sz w:val="17"/>
        </w:rPr>
        <w:t>of</w:t>
      </w:r>
      <w:r>
        <w:rPr>
          <w:i/>
          <w:color w:val="231F20"/>
          <w:spacing w:val="39"/>
          <w:sz w:val="17"/>
        </w:rPr>
        <w:t xml:space="preserve"> </w:t>
      </w:r>
      <w:r>
        <w:rPr>
          <w:i/>
          <w:color w:val="231F20"/>
          <w:sz w:val="17"/>
        </w:rPr>
        <w:t>American</w:t>
      </w:r>
      <w:r>
        <w:rPr>
          <w:i/>
          <w:color w:val="231F20"/>
          <w:spacing w:val="39"/>
          <w:sz w:val="17"/>
        </w:rPr>
        <w:t xml:space="preserve"> </w:t>
      </w:r>
      <w:r>
        <w:rPr>
          <w:i/>
          <w:color w:val="231F20"/>
          <w:sz w:val="17"/>
        </w:rPr>
        <w:t>Sport.</w:t>
      </w:r>
      <w:r>
        <w:rPr>
          <w:i/>
          <w:color w:val="231F20"/>
          <w:spacing w:val="39"/>
          <w:sz w:val="17"/>
        </w:rPr>
        <w:t xml:space="preserve"> </w:t>
      </w:r>
      <w:r>
        <w:rPr>
          <w:color w:val="231F20"/>
          <w:sz w:val="17"/>
        </w:rPr>
        <w:t>New</w:t>
      </w:r>
      <w:r>
        <w:rPr>
          <w:color w:val="231F20"/>
          <w:spacing w:val="39"/>
          <w:sz w:val="17"/>
        </w:rPr>
        <w:t xml:space="preserve"> </w:t>
      </w:r>
      <w:r>
        <w:rPr>
          <w:color w:val="231F20"/>
          <w:sz w:val="17"/>
        </w:rPr>
        <w:t>York:</w:t>
      </w:r>
      <w:r>
        <w:rPr>
          <w:color w:val="231F20"/>
          <w:spacing w:val="39"/>
          <w:sz w:val="17"/>
        </w:rPr>
        <w:t xml:space="preserve"> </w:t>
      </w:r>
      <w:r>
        <w:rPr>
          <w:color w:val="231F20"/>
          <w:sz w:val="17"/>
        </w:rPr>
        <w:t>Macmillan</w:t>
      </w:r>
      <w:r>
        <w:rPr>
          <w:color w:val="231F20"/>
          <w:spacing w:val="39"/>
          <w:sz w:val="17"/>
        </w:rPr>
        <w:t xml:space="preserve"> </w:t>
      </w:r>
      <w:r>
        <w:rPr>
          <w:color w:val="231F20"/>
          <w:sz w:val="17"/>
        </w:rPr>
        <w:t>Publishing</w:t>
      </w:r>
      <w:r>
        <w:rPr>
          <w:color w:val="231F20"/>
          <w:spacing w:val="39"/>
          <w:sz w:val="17"/>
        </w:rPr>
        <w:t xml:space="preserve"> </w:t>
      </w:r>
      <w:r>
        <w:rPr>
          <w:color w:val="231F20"/>
          <w:sz w:val="17"/>
        </w:rPr>
        <w:t>Co.</w:t>
      </w:r>
      <w:r>
        <w:rPr>
          <w:color w:val="231F20"/>
          <w:spacing w:val="40"/>
          <w:sz w:val="17"/>
        </w:rPr>
        <w:t xml:space="preserve"> </w:t>
      </w:r>
      <w:r>
        <w:rPr>
          <w:color w:val="231F20"/>
          <w:sz w:val="17"/>
        </w:rPr>
        <w:t>Rooney,</w:t>
      </w:r>
      <w:r>
        <w:rPr>
          <w:color w:val="231F20"/>
          <w:spacing w:val="7"/>
          <w:sz w:val="17"/>
        </w:rPr>
        <w:t xml:space="preserve"> </w:t>
      </w:r>
      <w:r>
        <w:rPr>
          <w:color w:val="231F20"/>
          <w:sz w:val="17"/>
        </w:rPr>
        <w:t>J.F.</w:t>
      </w:r>
      <w:r>
        <w:rPr>
          <w:color w:val="231F20"/>
          <w:spacing w:val="7"/>
          <w:sz w:val="17"/>
        </w:rPr>
        <w:t xml:space="preserve"> </w:t>
      </w:r>
      <w:r>
        <w:rPr>
          <w:color w:val="231F20"/>
          <w:sz w:val="17"/>
        </w:rPr>
        <w:t>and</w:t>
      </w:r>
      <w:r>
        <w:rPr>
          <w:color w:val="231F20"/>
          <w:spacing w:val="7"/>
          <w:sz w:val="17"/>
        </w:rPr>
        <w:t xml:space="preserve"> </w:t>
      </w:r>
      <w:r>
        <w:rPr>
          <w:color w:val="231F20"/>
          <w:sz w:val="17"/>
        </w:rPr>
        <w:t>Pillsbury,</w:t>
      </w:r>
      <w:r>
        <w:rPr>
          <w:color w:val="231F20"/>
          <w:spacing w:val="7"/>
          <w:sz w:val="17"/>
        </w:rPr>
        <w:t xml:space="preserve"> </w:t>
      </w:r>
      <w:r>
        <w:rPr>
          <w:color w:val="231F20"/>
          <w:sz w:val="17"/>
        </w:rPr>
        <w:t>R.</w:t>
      </w:r>
      <w:r>
        <w:rPr>
          <w:color w:val="231F20"/>
          <w:spacing w:val="7"/>
          <w:sz w:val="17"/>
        </w:rPr>
        <w:t xml:space="preserve"> </w:t>
      </w:r>
      <w:r>
        <w:rPr>
          <w:color w:val="231F20"/>
          <w:sz w:val="17"/>
        </w:rPr>
        <w:t>(1992)</w:t>
      </w:r>
      <w:r>
        <w:rPr>
          <w:color w:val="231F20"/>
          <w:spacing w:val="7"/>
          <w:sz w:val="17"/>
        </w:rPr>
        <w:t xml:space="preserve"> </w:t>
      </w:r>
      <w:r>
        <w:rPr>
          <w:color w:val="231F20"/>
          <w:sz w:val="17"/>
        </w:rPr>
        <w:t>Sports</w:t>
      </w:r>
      <w:r>
        <w:rPr>
          <w:color w:val="231F20"/>
          <w:spacing w:val="7"/>
          <w:sz w:val="17"/>
        </w:rPr>
        <w:t xml:space="preserve"> </w:t>
      </w:r>
      <w:r>
        <w:rPr>
          <w:color w:val="231F20"/>
          <w:sz w:val="17"/>
        </w:rPr>
        <w:t>regions</w:t>
      </w:r>
      <w:r>
        <w:rPr>
          <w:color w:val="231F20"/>
          <w:spacing w:val="7"/>
          <w:sz w:val="17"/>
        </w:rPr>
        <w:t xml:space="preserve"> </w:t>
      </w:r>
      <w:r>
        <w:rPr>
          <w:color w:val="231F20"/>
          <w:sz w:val="17"/>
        </w:rPr>
        <w:t>of</w:t>
      </w:r>
      <w:r>
        <w:rPr>
          <w:color w:val="231F20"/>
          <w:spacing w:val="7"/>
          <w:sz w:val="17"/>
        </w:rPr>
        <w:t xml:space="preserve"> </w:t>
      </w:r>
      <w:r>
        <w:rPr>
          <w:color w:val="231F20"/>
          <w:sz w:val="17"/>
        </w:rPr>
        <w:t>America.</w:t>
      </w:r>
      <w:r>
        <w:rPr>
          <w:color w:val="231F20"/>
          <w:spacing w:val="7"/>
          <w:sz w:val="17"/>
        </w:rPr>
        <w:t xml:space="preserve"> </w:t>
      </w:r>
      <w:r>
        <w:rPr>
          <w:i/>
          <w:color w:val="231F20"/>
          <w:sz w:val="17"/>
        </w:rPr>
        <w:t>American</w:t>
      </w:r>
      <w:r>
        <w:rPr>
          <w:i/>
          <w:color w:val="231F20"/>
          <w:spacing w:val="7"/>
          <w:sz w:val="17"/>
        </w:rPr>
        <w:t xml:space="preserve"> </w:t>
      </w:r>
      <w:r>
        <w:rPr>
          <w:i/>
          <w:color w:val="231F20"/>
          <w:spacing w:val="-2"/>
          <w:sz w:val="17"/>
        </w:rPr>
        <w:t>Demographics</w:t>
      </w:r>
    </w:p>
    <w:p w14:paraId="4B9CBD2C" w14:textId="77777777" w:rsidR="00AE0598" w:rsidRDefault="0069255A">
      <w:pPr>
        <w:spacing w:before="1"/>
        <w:ind w:left="430"/>
        <w:jc w:val="both"/>
        <w:rPr>
          <w:sz w:val="17"/>
        </w:rPr>
      </w:pPr>
      <w:r>
        <w:rPr>
          <w:color w:val="231F20"/>
          <w:w w:val="90"/>
          <w:sz w:val="17"/>
        </w:rPr>
        <w:t>14</w:t>
      </w:r>
      <w:r>
        <w:rPr>
          <w:color w:val="231F20"/>
          <w:spacing w:val="-1"/>
          <w:w w:val="90"/>
          <w:sz w:val="17"/>
        </w:rPr>
        <w:t xml:space="preserve"> </w:t>
      </w:r>
      <w:r>
        <w:rPr>
          <w:color w:val="231F20"/>
          <w:w w:val="90"/>
          <w:sz w:val="17"/>
        </w:rPr>
        <w:t>(10),</w:t>
      </w:r>
      <w:r>
        <w:rPr>
          <w:color w:val="231F20"/>
          <w:spacing w:val="-1"/>
          <w:w w:val="90"/>
          <w:sz w:val="17"/>
        </w:rPr>
        <w:t xml:space="preserve"> </w:t>
      </w:r>
      <w:r>
        <w:rPr>
          <w:color w:val="231F20"/>
          <w:spacing w:val="-2"/>
          <w:w w:val="90"/>
          <w:sz w:val="17"/>
        </w:rPr>
        <w:t>1–10.</w:t>
      </w:r>
    </w:p>
    <w:p w14:paraId="57120D8F" w14:textId="77777777" w:rsidR="00AE0598" w:rsidRDefault="00AE0598">
      <w:pPr>
        <w:jc w:val="both"/>
        <w:rPr>
          <w:sz w:val="17"/>
        </w:rPr>
        <w:sectPr w:rsidR="00AE0598">
          <w:pgSz w:w="8850" w:h="13270"/>
          <w:pgMar w:top="720" w:right="1060" w:bottom="280" w:left="1080" w:header="720" w:footer="720" w:gutter="0"/>
          <w:cols w:space="720"/>
        </w:sectPr>
      </w:pPr>
    </w:p>
    <w:p w14:paraId="6A9F1936" w14:textId="77777777" w:rsidR="00AE0598" w:rsidRDefault="0069255A">
      <w:pPr>
        <w:spacing w:before="87"/>
        <w:ind w:left="108"/>
        <w:rPr>
          <w:rFonts w:ascii="Trebuchet MS"/>
          <w:sz w:val="14"/>
        </w:rPr>
      </w:pPr>
      <w:r>
        <w:rPr>
          <w:rFonts w:ascii="Trebuchet MS"/>
          <w:color w:val="231F20"/>
          <w:w w:val="105"/>
          <w:sz w:val="14"/>
        </w:rPr>
        <w:lastRenderedPageBreak/>
        <w:t>270</w:t>
      </w:r>
      <w:r>
        <w:rPr>
          <w:rFonts w:ascii="Trebuchet MS"/>
          <w:color w:val="231F20"/>
          <w:spacing w:val="78"/>
          <w:w w:val="150"/>
          <w:sz w:val="14"/>
        </w:rPr>
        <w:t xml:space="preserve"> </w:t>
      </w:r>
      <w:r>
        <w:rPr>
          <w:rFonts w:ascii="Trebuchet MS"/>
          <w:color w:val="231F20"/>
          <w:spacing w:val="-2"/>
          <w:w w:val="105"/>
          <w:sz w:val="14"/>
        </w:rPr>
        <w:t>References</w:t>
      </w:r>
    </w:p>
    <w:p w14:paraId="74972CE4" w14:textId="77777777" w:rsidR="00AE0598" w:rsidRDefault="00AE0598">
      <w:pPr>
        <w:pStyle w:val="Corpodetexto"/>
        <w:rPr>
          <w:rFonts w:ascii="Trebuchet MS"/>
          <w:sz w:val="16"/>
        </w:rPr>
      </w:pPr>
    </w:p>
    <w:p w14:paraId="66A225D4" w14:textId="77777777" w:rsidR="00AE0598" w:rsidRDefault="0069255A">
      <w:pPr>
        <w:spacing w:before="121"/>
        <w:ind w:left="430" w:right="128" w:hanging="320"/>
        <w:jc w:val="both"/>
        <w:rPr>
          <w:sz w:val="17"/>
        </w:rPr>
      </w:pPr>
      <w:r>
        <w:rPr>
          <w:color w:val="231F20"/>
          <w:sz w:val="17"/>
        </w:rPr>
        <w:t xml:space="preserve">Ross, </w:t>
      </w:r>
      <w:r>
        <w:rPr>
          <w:color w:val="231F20"/>
          <w:w w:val="115"/>
          <w:sz w:val="17"/>
        </w:rPr>
        <w:t>C.M.</w:t>
      </w:r>
      <w:r>
        <w:rPr>
          <w:color w:val="231F20"/>
          <w:spacing w:val="-1"/>
          <w:w w:val="115"/>
          <w:sz w:val="17"/>
        </w:rPr>
        <w:t xml:space="preserve"> </w:t>
      </w:r>
      <w:r>
        <w:rPr>
          <w:color w:val="231F20"/>
          <w:sz w:val="17"/>
        </w:rPr>
        <w:t xml:space="preserve">and Sharpless, </w:t>
      </w:r>
      <w:r>
        <w:rPr>
          <w:color w:val="231F20"/>
          <w:w w:val="115"/>
          <w:sz w:val="17"/>
        </w:rPr>
        <w:t>D.R.</w:t>
      </w:r>
      <w:r>
        <w:rPr>
          <w:color w:val="231F20"/>
          <w:spacing w:val="-1"/>
          <w:w w:val="115"/>
          <w:sz w:val="17"/>
        </w:rPr>
        <w:t xml:space="preserve"> </w:t>
      </w:r>
      <w:r>
        <w:rPr>
          <w:color w:val="231F20"/>
          <w:sz w:val="17"/>
        </w:rPr>
        <w:t>(1999) Innovative information technology and its impact</w:t>
      </w:r>
      <w:r>
        <w:rPr>
          <w:color w:val="231F20"/>
          <w:spacing w:val="40"/>
          <w:sz w:val="17"/>
        </w:rPr>
        <w:t xml:space="preserve"> </w:t>
      </w:r>
      <w:r>
        <w:rPr>
          <w:color w:val="231F20"/>
          <w:sz w:val="17"/>
        </w:rPr>
        <w:t xml:space="preserve">on recreation and sport programming. </w:t>
      </w:r>
      <w:r>
        <w:rPr>
          <w:i/>
          <w:color w:val="231F20"/>
          <w:sz w:val="17"/>
        </w:rPr>
        <w:t xml:space="preserve">Journal of Physical Education, Recreation </w:t>
      </w:r>
      <w:r>
        <w:rPr>
          <w:i/>
          <w:color w:val="231F20"/>
          <w:w w:val="115"/>
          <w:sz w:val="17"/>
        </w:rPr>
        <w:t xml:space="preserve">&amp; </w:t>
      </w:r>
      <w:r>
        <w:rPr>
          <w:i/>
          <w:color w:val="231F20"/>
          <w:sz w:val="17"/>
        </w:rPr>
        <w:t xml:space="preserve">Dance </w:t>
      </w:r>
      <w:r>
        <w:rPr>
          <w:color w:val="231F20"/>
          <w:sz w:val="17"/>
        </w:rPr>
        <w:t>70 (9), 26–30.</w:t>
      </w:r>
    </w:p>
    <w:p w14:paraId="759231B8" w14:textId="77777777" w:rsidR="00AE0598" w:rsidRDefault="0069255A">
      <w:pPr>
        <w:spacing w:before="2"/>
        <w:ind w:left="110"/>
        <w:jc w:val="both"/>
        <w:rPr>
          <w:sz w:val="17"/>
        </w:rPr>
      </w:pPr>
      <w:r>
        <w:rPr>
          <w:color w:val="231F20"/>
          <w:sz w:val="17"/>
        </w:rPr>
        <w:t>Ross,</w:t>
      </w:r>
      <w:r>
        <w:rPr>
          <w:color w:val="231F20"/>
          <w:spacing w:val="8"/>
          <w:sz w:val="17"/>
        </w:rPr>
        <w:t xml:space="preserve"> </w:t>
      </w:r>
      <w:r>
        <w:rPr>
          <w:color w:val="231F20"/>
          <w:sz w:val="17"/>
        </w:rPr>
        <w:t>G.F.</w:t>
      </w:r>
      <w:r>
        <w:rPr>
          <w:color w:val="231F20"/>
          <w:spacing w:val="9"/>
          <w:sz w:val="17"/>
        </w:rPr>
        <w:t xml:space="preserve"> </w:t>
      </w:r>
      <w:r>
        <w:rPr>
          <w:color w:val="231F20"/>
          <w:sz w:val="17"/>
        </w:rPr>
        <w:t>(1998)</w:t>
      </w:r>
      <w:r>
        <w:rPr>
          <w:color w:val="231F20"/>
          <w:spacing w:val="9"/>
          <w:sz w:val="17"/>
        </w:rPr>
        <w:t xml:space="preserve"> </w:t>
      </w:r>
      <w:r>
        <w:rPr>
          <w:i/>
          <w:color w:val="231F20"/>
          <w:sz w:val="17"/>
        </w:rPr>
        <w:t>The</w:t>
      </w:r>
      <w:r>
        <w:rPr>
          <w:i/>
          <w:color w:val="231F20"/>
          <w:spacing w:val="9"/>
          <w:sz w:val="17"/>
        </w:rPr>
        <w:t xml:space="preserve"> </w:t>
      </w:r>
      <w:r>
        <w:rPr>
          <w:i/>
          <w:color w:val="231F20"/>
          <w:sz w:val="17"/>
        </w:rPr>
        <w:t>Psychology</w:t>
      </w:r>
      <w:r>
        <w:rPr>
          <w:i/>
          <w:color w:val="231F20"/>
          <w:spacing w:val="9"/>
          <w:sz w:val="17"/>
        </w:rPr>
        <w:t xml:space="preserve"> </w:t>
      </w:r>
      <w:r>
        <w:rPr>
          <w:i/>
          <w:color w:val="231F20"/>
          <w:sz w:val="17"/>
        </w:rPr>
        <w:t>of</w:t>
      </w:r>
      <w:r>
        <w:rPr>
          <w:i/>
          <w:color w:val="231F20"/>
          <w:spacing w:val="8"/>
          <w:sz w:val="17"/>
        </w:rPr>
        <w:t xml:space="preserve"> </w:t>
      </w:r>
      <w:r>
        <w:rPr>
          <w:i/>
          <w:color w:val="231F20"/>
          <w:sz w:val="17"/>
        </w:rPr>
        <w:t>Tourism</w:t>
      </w:r>
      <w:r>
        <w:rPr>
          <w:color w:val="231F20"/>
          <w:sz w:val="17"/>
        </w:rPr>
        <w:t>.</w:t>
      </w:r>
      <w:r>
        <w:rPr>
          <w:color w:val="231F20"/>
          <w:spacing w:val="9"/>
          <w:sz w:val="17"/>
        </w:rPr>
        <w:t xml:space="preserve"> </w:t>
      </w:r>
      <w:r>
        <w:rPr>
          <w:color w:val="231F20"/>
          <w:sz w:val="17"/>
        </w:rPr>
        <w:t>Melbourne:</w:t>
      </w:r>
      <w:r>
        <w:rPr>
          <w:color w:val="231F20"/>
          <w:spacing w:val="9"/>
          <w:sz w:val="17"/>
        </w:rPr>
        <w:t xml:space="preserve"> </w:t>
      </w:r>
      <w:r>
        <w:rPr>
          <w:color w:val="231F20"/>
          <w:sz w:val="17"/>
        </w:rPr>
        <w:t>Hospitality</w:t>
      </w:r>
      <w:r>
        <w:rPr>
          <w:color w:val="231F20"/>
          <w:spacing w:val="9"/>
          <w:sz w:val="17"/>
        </w:rPr>
        <w:t xml:space="preserve"> </w:t>
      </w:r>
      <w:r>
        <w:rPr>
          <w:color w:val="231F20"/>
          <w:spacing w:val="-2"/>
          <w:sz w:val="17"/>
        </w:rPr>
        <w:t>Press.</w:t>
      </w:r>
    </w:p>
    <w:p w14:paraId="048A5BC7" w14:textId="77777777" w:rsidR="00AE0598" w:rsidRDefault="0069255A">
      <w:pPr>
        <w:spacing w:before="1"/>
        <w:ind w:left="430" w:right="128" w:hanging="320"/>
        <w:jc w:val="both"/>
        <w:rPr>
          <w:sz w:val="17"/>
        </w:rPr>
      </w:pPr>
      <w:r>
        <w:rPr>
          <w:color w:val="231F20"/>
          <w:w w:val="95"/>
          <w:sz w:val="17"/>
        </w:rPr>
        <w:t xml:space="preserve">Ross, S.D. (2007) Segmenting sport fans using brand associations: A cluster analysis. </w:t>
      </w:r>
      <w:r>
        <w:rPr>
          <w:i/>
          <w:color w:val="231F20"/>
          <w:w w:val="95"/>
          <w:sz w:val="17"/>
        </w:rPr>
        <w:t>Sport</w:t>
      </w:r>
      <w:r>
        <w:rPr>
          <w:i/>
          <w:color w:val="231F20"/>
          <w:spacing w:val="40"/>
          <w:sz w:val="17"/>
        </w:rPr>
        <w:t xml:space="preserve"> </w:t>
      </w:r>
      <w:r>
        <w:rPr>
          <w:i/>
          <w:color w:val="231F20"/>
          <w:sz w:val="17"/>
        </w:rPr>
        <w:t xml:space="preserve">Marketing Quarterly </w:t>
      </w:r>
      <w:r>
        <w:rPr>
          <w:color w:val="231F20"/>
          <w:sz w:val="17"/>
        </w:rPr>
        <w:t>16 (1), 15.</w:t>
      </w:r>
    </w:p>
    <w:p w14:paraId="4AEFA58D" w14:textId="77777777" w:rsidR="00AE0598" w:rsidRDefault="0069255A">
      <w:pPr>
        <w:spacing w:before="1"/>
        <w:ind w:left="110"/>
        <w:jc w:val="both"/>
        <w:rPr>
          <w:i/>
          <w:sz w:val="17"/>
        </w:rPr>
      </w:pPr>
      <w:r>
        <w:rPr>
          <w:color w:val="231F20"/>
          <w:sz w:val="17"/>
        </w:rPr>
        <w:t>Rowe,</w:t>
      </w:r>
      <w:r>
        <w:rPr>
          <w:color w:val="231F20"/>
          <w:spacing w:val="19"/>
          <w:sz w:val="17"/>
        </w:rPr>
        <w:t xml:space="preserve"> </w:t>
      </w:r>
      <w:r>
        <w:rPr>
          <w:color w:val="231F20"/>
          <w:sz w:val="17"/>
        </w:rPr>
        <w:t>D.</w:t>
      </w:r>
      <w:r>
        <w:rPr>
          <w:color w:val="231F20"/>
          <w:spacing w:val="20"/>
          <w:sz w:val="17"/>
        </w:rPr>
        <w:t xml:space="preserve"> </w:t>
      </w:r>
      <w:r>
        <w:rPr>
          <w:color w:val="231F20"/>
          <w:sz w:val="17"/>
        </w:rPr>
        <w:t>(1996)</w:t>
      </w:r>
      <w:r>
        <w:rPr>
          <w:color w:val="231F20"/>
          <w:spacing w:val="20"/>
          <w:sz w:val="17"/>
        </w:rPr>
        <w:t xml:space="preserve"> </w:t>
      </w:r>
      <w:r>
        <w:rPr>
          <w:color w:val="231F20"/>
          <w:sz w:val="17"/>
        </w:rPr>
        <w:t>The</w:t>
      </w:r>
      <w:r>
        <w:rPr>
          <w:color w:val="231F20"/>
          <w:spacing w:val="20"/>
          <w:sz w:val="17"/>
        </w:rPr>
        <w:t xml:space="preserve"> </w:t>
      </w:r>
      <w:r>
        <w:rPr>
          <w:color w:val="231F20"/>
          <w:sz w:val="17"/>
        </w:rPr>
        <w:t>global</w:t>
      </w:r>
      <w:r>
        <w:rPr>
          <w:color w:val="231F20"/>
          <w:spacing w:val="20"/>
          <w:sz w:val="17"/>
        </w:rPr>
        <w:t xml:space="preserve"> </w:t>
      </w:r>
      <w:r>
        <w:rPr>
          <w:color w:val="231F20"/>
          <w:sz w:val="17"/>
        </w:rPr>
        <w:t>love-match:</w:t>
      </w:r>
      <w:r>
        <w:rPr>
          <w:color w:val="231F20"/>
          <w:spacing w:val="20"/>
          <w:sz w:val="17"/>
        </w:rPr>
        <w:t xml:space="preserve"> </w:t>
      </w:r>
      <w:r>
        <w:rPr>
          <w:color w:val="231F20"/>
          <w:sz w:val="17"/>
        </w:rPr>
        <w:t>Sport</w:t>
      </w:r>
      <w:r>
        <w:rPr>
          <w:color w:val="231F20"/>
          <w:spacing w:val="20"/>
          <w:sz w:val="17"/>
        </w:rPr>
        <w:t xml:space="preserve"> </w:t>
      </w:r>
      <w:r>
        <w:rPr>
          <w:color w:val="231F20"/>
          <w:sz w:val="17"/>
        </w:rPr>
        <w:t>and</w:t>
      </w:r>
      <w:r>
        <w:rPr>
          <w:color w:val="231F20"/>
          <w:spacing w:val="20"/>
          <w:sz w:val="17"/>
        </w:rPr>
        <w:t xml:space="preserve"> </w:t>
      </w:r>
      <w:r>
        <w:rPr>
          <w:color w:val="231F20"/>
          <w:sz w:val="17"/>
        </w:rPr>
        <w:t>television.</w:t>
      </w:r>
      <w:r>
        <w:rPr>
          <w:color w:val="231F20"/>
          <w:spacing w:val="20"/>
          <w:sz w:val="17"/>
        </w:rPr>
        <w:t xml:space="preserve"> </w:t>
      </w:r>
      <w:r>
        <w:rPr>
          <w:i/>
          <w:color w:val="231F20"/>
          <w:sz w:val="17"/>
        </w:rPr>
        <w:t>Media,</w:t>
      </w:r>
      <w:r>
        <w:rPr>
          <w:i/>
          <w:color w:val="231F20"/>
          <w:spacing w:val="20"/>
          <w:sz w:val="17"/>
        </w:rPr>
        <w:t xml:space="preserve"> </w:t>
      </w:r>
      <w:r>
        <w:rPr>
          <w:i/>
          <w:color w:val="231F20"/>
          <w:sz w:val="17"/>
        </w:rPr>
        <w:t>Culture</w:t>
      </w:r>
      <w:r>
        <w:rPr>
          <w:i/>
          <w:color w:val="231F20"/>
          <w:spacing w:val="19"/>
          <w:sz w:val="17"/>
        </w:rPr>
        <w:t xml:space="preserve"> </w:t>
      </w:r>
      <w:r>
        <w:rPr>
          <w:i/>
          <w:color w:val="231F20"/>
          <w:sz w:val="17"/>
        </w:rPr>
        <w:t>&amp;</w:t>
      </w:r>
      <w:r>
        <w:rPr>
          <w:i/>
          <w:color w:val="231F20"/>
          <w:spacing w:val="20"/>
          <w:sz w:val="17"/>
        </w:rPr>
        <w:t xml:space="preserve"> </w:t>
      </w:r>
      <w:r>
        <w:rPr>
          <w:i/>
          <w:color w:val="231F20"/>
          <w:spacing w:val="-2"/>
          <w:sz w:val="17"/>
        </w:rPr>
        <w:t>Society</w:t>
      </w:r>
    </w:p>
    <w:p w14:paraId="66AEFE44" w14:textId="77777777" w:rsidR="00AE0598" w:rsidRDefault="0069255A">
      <w:pPr>
        <w:spacing w:before="1"/>
        <w:ind w:left="430"/>
        <w:jc w:val="both"/>
        <w:rPr>
          <w:sz w:val="17"/>
        </w:rPr>
      </w:pPr>
      <w:r>
        <w:rPr>
          <w:color w:val="231F20"/>
          <w:w w:val="95"/>
          <w:sz w:val="17"/>
        </w:rPr>
        <w:t>18,</w:t>
      </w:r>
      <w:r>
        <w:rPr>
          <w:color w:val="231F20"/>
          <w:spacing w:val="1"/>
          <w:sz w:val="17"/>
        </w:rPr>
        <w:t xml:space="preserve"> </w:t>
      </w:r>
      <w:r>
        <w:rPr>
          <w:color w:val="231F20"/>
          <w:spacing w:val="-2"/>
          <w:sz w:val="17"/>
        </w:rPr>
        <w:t>565–582.</w:t>
      </w:r>
    </w:p>
    <w:p w14:paraId="625D740E" w14:textId="77777777" w:rsidR="00AE0598" w:rsidRDefault="0069255A">
      <w:pPr>
        <w:ind w:left="430" w:right="127" w:hanging="320"/>
        <w:jc w:val="both"/>
        <w:rPr>
          <w:sz w:val="17"/>
        </w:rPr>
      </w:pPr>
      <w:r>
        <w:rPr>
          <w:color w:val="231F20"/>
          <w:sz w:val="17"/>
        </w:rPr>
        <w:t>Rowe, D. and Lawrence, G. (1996) Beyond national sport: Sociology, history and</w:t>
      </w:r>
      <w:r>
        <w:rPr>
          <w:color w:val="231F20"/>
          <w:spacing w:val="40"/>
          <w:sz w:val="17"/>
        </w:rPr>
        <w:t xml:space="preserve"> </w:t>
      </w:r>
      <w:r>
        <w:rPr>
          <w:color w:val="231F20"/>
          <w:sz w:val="17"/>
        </w:rPr>
        <w:t xml:space="preserve">postmodernity. </w:t>
      </w:r>
      <w:r>
        <w:rPr>
          <w:i/>
          <w:color w:val="231F20"/>
          <w:sz w:val="17"/>
        </w:rPr>
        <w:t xml:space="preserve">Sporting Traditions </w:t>
      </w:r>
      <w:r>
        <w:rPr>
          <w:color w:val="231F20"/>
          <w:sz w:val="17"/>
        </w:rPr>
        <w:t>12 (2), 3–16.</w:t>
      </w:r>
    </w:p>
    <w:p w14:paraId="363A38DE" w14:textId="77777777" w:rsidR="00AE0598" w:rsidRDefault="0069255A">
      <w:pPr>
        <w:spacing w:before="2"/>
        <w:ind w:left="430" w:right="128" w:hanging="320"/>
        <w:jc w:val="both"/>
        <w:rPr>
          <w:sz w:val="17"/>
        </w:rPr>
      </w:pPr>
      <w:r>
        <w:rPr>
          <w:color w:val="231F20"/>
          <w:w w:val="105"/>
          <w:sz w:val="17"/>
        </w:rPr>
        <w:t>Rowe,</w:t>
      </w:r>
      <w:r>
        <w:rPr>
          <w:color w:val="231F20"/>
          <w:spacing w:val="-6"/>
          <w:w w:val="105"/>
          <w:sz w:val="17"/>
        </w:rPr>
        <w:t xml:space="preserve"> </w:t>
      </w:r>
      <w:r>
        <w:rPr>
          <w:color w:val="231F20"/>
          <w:w w:val="110"/>
          <w:sz w:val="17"/>
        </w:rPr>
        <w:t>D.,</w:t>
      </w:r>
      <w:r>
        <w:rPr>
          <w:color w:val="231F20"/>
          <w:spacing w:val="-8"/>
          <w:w w:val="110"/>
          <w:sz w:val="17"/>
        </w:rPr>
        <w:t xml:space="preserve"> </w:t>
      </w:r>
      <w:r>
        <w:rPr>
          <w:color w:val="231F20"/>
          <w:w w:val="105"/>
          <w:sz w:val="17"/>
        </w:rPr>
        <w:t>Lawrence,</w:t>
      </w:r>
      <w:r>
        <w:rPr>
          <w:color w:val="231F20"/>
          <w:spacing w:val="-6"/>
          <w:w w:val="105"/>
          <w:sz w:val="17"/>
        </w:rPr>
        <w:t xml:space="preserve"> </w:t>
      </w:r>
      <w:r>
        <w:rPr>
          <w:color w:val="231F20"/>
          <w:w w:val="110"/>
          <w:sz w:val="17"/>
        </w:rPr>
        <w:t>G.,</w:t>
      </w:r>
      <w:r>
        <w:rPr>
          <w:color w:val="231F20"/>
          <w:spacing w:val="-8"/>
          <w:w w:val="110"/>
          <w:sz w:val="17"/>
        </w:rPr>
        <w:t xml:space="preserve"> </w:t>
      </w:r>
      <w:r>
        <w:rPr>
          <w:color w:val="231F20"/>
          <w:w w:val="105"/>
          <w:sz w:val="17"/>
        </w:rPr>
        <w:t>Miller,</w:t>
      </w:r>
      <w:r>
        <w:rPr>
          <w:color w:val="231F20"/>
          <w:spacing w:val="-6"/>
          <w:w w:val="105"/>
          <w:sz w:val="17"/>
        </w:rPr>
        <w:t xml:space="preserve"> </w:t>
      </w:r>
      <w:r>
        <w:rPr>
          <w:color w:val="231F20"/>
          <w:w w:val="110"/>
          <w:sz w:val="17"/>
        </w:rPr>
        <w:t>T.</w:t>
      </w:r>
      <w:r>
        <w:rPr>
          <w:color w:val="231F20"/>
          <w:spacing w:val="-8"/>
          <w:w w:val="110"/>
          <w:sz w:val="17"/>
        </w:rPr>
        <w:t xml:space="preserve"> </w:t>
      </w:r>
      <w:r>
        <w:rPr>
          <w:color w:val="231F20"/>
          <w:w w:val="105"/>
          <w:sz w:val="17"/>
        </w:rPr>
        <w:t>and</w:t>
      </w:r>
      <w:r>
        <w:rPr>
          <w:color w:val="231F20"/>
          <w:spacing w:val="-6"/>
          <w:w w:val="105"/>
          <w:sz w:val="17"/>
        </w:rPr>
        <w:t xml:space="preserve"> </w:t>
      </w:r>
      <w:r>
        <w:rPr>
          <w:color w:val="231F20"/>
          <w:w w:val="105"/>
          <w:sz w:val="17"/>
        </w:rPr>
        <w:t>McKay,</w:t>
      </w:r>
      <w:r>
        <w:rPr>
          <w:color w:val="231F20"/>
          <w:spacing w:val="-6"/>
          <w:w w:val="105"/>
          <w:sz w:val="17"/>
        </w:rPr>
        <w:t xml:space="preserve"> </w:t>
      </w:r>
      <w:r>
        <w:rPr>
          <w:color w:val="231F20"/>
          <w:w w:val="110"/>
          <w:sz w:val="17"/>
        </w:rPr>
        <w:t>J.</w:t>
      </w:r>
      <w:r>
        <w:rPr>
          <w:color w:val="231F20"/>
          <w:spacing w:val="-8"/>
          <w:w w:val="110"/>
          <w:sz w:val="17"/>
        </w:rPr>
        <w:t xml:space="preserve"> </w:t>
      </w:r>
      <w:r>
        <w:rPr>
          <w:color w:val="231F20"/>
          <w:w w:val="105"/>
          <w:sz w:val="17"/>
        </w:rPr>
        <w:t>(1994)</w:t>
      </w:r>
      <w:r>
        <w:rPr>
          <w:color w:val="231F20"/>
          <w:spacing w:val="-6"/>
          <w:w w:val="105"/>
          <w:sz w:val="17"/>
        </w:rPr>
        <w:t xml:space="preserve"> </w:t>
      </w:r>
      <w:r>
        <w:rPr>
          <w:color w:val="231F20"/>
          <w:w w:val="105"/>
          <w:sz w:val="17"/>
        </w:rPr>
        <w:t>Global</w:t>
      </w:r>
      <w:r>
        <w:rPr>
          <w:color w:val="231F20"/>
          <w:spacing w:val="-6"/>
          <w:w w:val="105"/>
          <w:sz w:val="17"/>
        </w:rPr>
        <w:t xml:space="preserve"> </w:t>
      </w:r>
      <w:r>
        <w:rPr>
          <w:color w:val="231F20"/>
          <w:w w:val="105"/>
          <w:sz w:val="17"/>
        </w:rPr>
        <w:t>sport?</w:t>
      </w:r>
      <w:r>
        <w:rPr>
          <w:color w:val="231F20"/>
          <w:spacing w:val="-6"/>
          <w:w w:val="105"/>
          <w:sz w:val="17"/>
        </w:rPr>
        <w:t xml:space="preserve"> </w:t>
      </w:r>
      <w:r>
        <w:rPr>
          <w:color w:val="231F20"/>
          <w:w w:val="105"/>
          <w:sz w:val="17"/>
        </w:rPr>
        <w:t>Core</w:t>
      </w:r>
      <w:r>
        <w:rPr>
          <w:color w:val="231F20"/>
          <w:spacing w:val="-6"/>
          <w:w w:val="105"/>
          <w:sz w:val="17"/>
        </w:rPr>
        <w:t xml:space="preserve"> </w:t>
      </w:r>
      <w:r>
        <w:rPr>
          <w:color w:val="231F20"/>
          <w:w w:val="105"/>
          <w:sz w:val="17"/>
        </w:rPr>
        <w:t>concern</w:t>
      </w:r>
      <w:r>
        <w:rPr>
          <w:color w:val="231F20"/>
          <w:spacing w:val="-6"/>
          <w:w w:val="105"/>
          <w:sz w:val="17"/>
        </w:rPr>
        <w:t xml:space="preserve"> </w:t>
      </w:r>
      <w:r>
        <w:rPr>
          <w:color w:val="231F20"/>
          <w:w w:val="105"/>
          <w:sz w:val="17"/>
        </w:rPr>
        <w:t>and</w:t>
      </w:r>
      <w:r>
        <w:rPr>
          <w:color w:val="231F20"/>
          <w:spacing w:val="40"/>
          <w:w w:val="105"/>
          <w:sz w:val="17"/>
        </w:rPr>
        <w:t xml:space="preserve"> </w:t>
      </w:r>
      <w:r>
        <w:rPr>
          <w:color w:val="231F20"/>
          <w:sz w:val="17"/>
        </w:rPr>
        <w:t xml:space="preserve">peripheral vision. </w:t>
      </w:r>
      <w:r>
        <w:rPr>
          <w:i/>
          <w:color w:val="231F20"/>
          <w:sz w:val="17"/>
        </w:rPr>
        <w:t xml:space="preserve">Media, Culture and Society </w:t>
      </w:r>
      <w:r>
        <w:rPr>
          <w:color w:val="231F20"/>
          <w:sz w:val="17"/>
        </w:rPr>
        <w:t>16, 661–675.</w:t>
      </w:r>
    </w:p>
    <w:p w14:paraId="72A4792F" w14:textId="77777777" w:rsidR="00AE0598" w:rsidRDefault="0069255A">
      <w:pPr>
        <w:spacing w:before="1"/>
        <w:ind w:left="430" w:right="128" w:hanging="320"/>
        <w:jc w:val="both"/>
        <w:rPr>
          <w:sz w:val="17"/>
        </w:rPr>
      </w:pPr>
      <w:r>
        <w:rPr>
          <w:color w:val="231F20"/>
          <w:w w:val="105"/>
          <w:sz w:val="17"/>
        </w:rPr>
        <w:t xml:space="preserve">Rowe, </w:t>
      </w:r>
      <w:r>
        <w:rPr>
          <w:color w:val="231F20"/>
          <w:w w:val="110"/>
          <w:sz w:val="17"/>
        </w:rPr>
        <w:t xml:space="preserve">D., </w:t>
      </w:r>
      <w:r>
        <w:rPr>
          <w:color w:val="231F20"/>
          <w:w w:val="105"/>
          <w:sz w:val="17"/>
        </w:rPr>
        <w:t xml:space="preserve">McKay, </w:t>
      </w:r>
      <w:r>
        <w:rPr>
          <w:color w:val="231F20"/>
          <w:w w:val="110"/>
          <w:sz w:val="17"/>
        </w:rPr>
        <w:t xml:space="preserve">J. </w:t>
      </w:r>
      <w:r>
        <w:rPr>
          <w:color w:val="231F20"/>
          <w:w w:val="105"/>
          <w:sz w:val="17"/>
        </w:rPr>
        <w:t xml:space="preserve">and Miller, </w:t>
      </w:r>
      <w:r>
        <w:rPr>
          <w:color w:val="231F20"/>
          <w:w w:val="110"/>
          <w:sz w:val="17"/>
        </w:rPr>
        <w:t xml:space="preserve">T. </w:t>
      </w:r>
      <w:r>
        <w:rPr>
          <w:color w:val="231F20"/>
          <w:w w:val="105"/>
          <w:sz w:val="17"/>
        </w:rPr>
        <w:t>(1998) Come together: Sport, nationalism, and the</w:t>
      </w:r>
      <w:r>
        <w:rPr>
          <w:color w:val="231F20"/>
          <w:spacing w:val="40"/>
          <w:w w:val="105"/>
          <w:sz w:val="17"/>
        </w:rPr>
        <w:t xml:space="preserve"> </w:t>
      </w:r>
      <w:r>
        <w:rPr>
          <w:color w:val="231F20"/>
          <w:sz w:val="17"/>
        </w:rPr>
        <w:t xml:space="preserve">media image. In L. Wenner (ed.) </w:t>
      </w:r>
      <w:r>
        <w:rPr>
          <w:i/>
          <w:color w:val="231F20"/>
          <w:sz w:val="17"/>
        </w:rPr>
        <w:t xml:space="preserve">Mediasport </w:t>
      </w:r>
      <w:r>
        <w:rPr>
          <w:color w:val="231F20"/>
          <w:sz w:val="17"/>
        </w:rPr>
        <w:t>(pp. 119–133). London: Routledge.</w:t>
      </w:r>
    </w:p>
    <w:p w14:paraId="2AC9E66E" w14:textId="77777777" w:rsidR="00AE0598" w:rsidRDefault="0069255A">
      <w:pPr>
        <w:spacing w:before="2"/>
        <w:ind w:left="430" w:right="120" w:hanging="320"/>
        <w:jc w:val="both"/>
        <w:rPr>
          <w:sz w:val="17"/>
        </w:rPr>
      </w:pPr>
      <w:r>
        <w:rPr>
          <w:color w:val="231F20"/>
          <w:sz w:val="17"/>
        </w:rPr>
        <w:t>Royal and Ancient Golf Club of St. Andrews (R&amp;A) (2010) Using water efficiently. See</w:t>
      </w:r>
      <w:r>
        <w:rPr>
          <w:color w:val="231F20"/>
          <w:spacing w:val="40"/>
          <w:sz w:val="17"/>
        </w:rPr>
        <w:t xml:space="preserve"> </w:t>
      </w:r>
      <w:hyperlink r:id="rId59">
        <w:r>
          <w:rPr>
            <w:color w:val="231F20"/>
            <w:spacing w:val="-2"/>
            <w:w w:val="90"/>
            <w:sz w:val="17"/>
          </w:rPr>
          <w:t>http://golfcoursemanagement.randa.org/en/Environmental-Impact/Using-water-</w:t>
        </w:r>
      </w:hyperlink>
      <w:r>
        <w:rPr>
          <w:color w:val="231F20"/>
          <w:spacing w:val="40"/>
          <w:sz w:val="17"/>
        </w:rPr>
        <w:t xml:space="preserve"> </w:t>
      </w:r>
      <w:r>
        <w:rPr>
          <w:color w:val="231F20"/>
          <w:sz w:val="17"/>
        </w:rPr>
        <w:t>ef</w:t>
      </w:r>
      <w:r>
        <w:rPr>
          <w:color w:val="231F20"/>
          <w:sz w:val="17"/>
        </w:rPr>
        <w:t>ficiently.aspx (accessed 10 May 2017).</w:t>
      </w:r>
    </w:p>
    <w:p w14:paraId="1E99C23C" w14:textId="77777777" w:rsidR="00AE0598" w:rsidRDefault="0069255A">
      <w:pPr>
        <w:spacing w:before="2"/>
        <w:ind w:left="430" w:right="127" w:hanging="320"/>
        <w:jc w:val="both"/>
        <w:rPr>
          <w:sz w:val="17"/>
        </w:rPr>
      </w:pPr>
      <w:r>
        <w:rPr>
          <w:color w:val="231F20"/>
          <w:w w:val="95"/>
          <w:sz w:val="17"/>
        </w:rPr>
        <w:t>Ruskin, H. (1987) Selected views of socio-economic aspects of outdoor recreation, outdoor</w:t>
      </w:r>
      <w:r>
        <w:rPr>
          <w:color w:val="231F20"/>
          <w:spacing w:val="40"/>
          <w:sz w:val="17"/>
        </w:rPr>
        <w:t xml:space="preserve"> </w:t>
      </w:r>
      <w:r>
        <w:rPr>
          <w:color w:val="231F20"/>
          <w:sz w:val="17"/>
        </w:rPr>
        <w:t xml:space="preserve">education and sport tourism. In M. Garmise (ed.) </w:t>
      </w:r>
      <w:r>
        <w:rPr>
          <w:i/>
          <w:color w:val="231F20"/>
          <w:sz w:val="17"/>
        </w:rPr>
        <w:t>Proceedings of the International</w:t>
      </w:r>
      <w:r>
        <w:rPr>
          <w:i/>
          <w:color w:val="231F20"/>
          <w:spacing w:val="40"/>
          <w:sz w:val="17"/>
        </w:rPr>
        <w:t xml:space="preserve"> </w:t>
      </w:r>
      <w:r>
        <w:rPr>
          <w:i/>
          <w:color w:val="231F20"/>
          <w:sz w:val="17"/>
        </w:rPr>
        <w:t>Seminar</w:t>
      </w:r>
      <w:r>
        <w:rPr>
          <w:i/>
          <w:color w:val="231F20"/>
          <w:spacing w:val="40"/>
          <w:sz w:val="17"/>
        </w:rPr>
        <w:t xml:space="preserve"> </w:t>
      </w:r>
      <w:r>
        <w:rPr>
          <w:i/>
          <w:color w:val="231F20"/>
          <w:sz w:val="17"/>
        </w:rPr>
        <w:t>and</w:t>
      </w:r>
      <w:r>
        <w:rPr>
          <w:i/>
          <w:color w:val="231F20"/>
          <w:spacing w:val="40"/>
          <w:sz w:val="17"/>
        </w:rPr>
        <w:t xml:space="preserve"> </w:t>
      </w:r>
      <w:r>
        <w:rPr>
          <w:i/>
          <w:color w:val="231F20"/>
          <w:sz w:val="17"/>
        </w:rPr>
        <w:t>Workshop</w:t>
      </w:r>
      <w:r>
        <w:rPr>
          <w:i/>
          <w:color w:val="231F20"/>
          <w:spacing w:val="40"/>
          <w:sz w:val="17"/>
        </w:rPr>
        <w:t xml:space="preserve"> </w:t>
      </w:r>
      <w:r>
        <w:rPr>
          <w:i/>
          <w:color w:val="231F20"/>
          <w:sz w:val="17"/>
        </w:rPr>
        <w:t>on</w:t>
      </w:r>
      <w:r>
        <w:rPr>
          <w:i/>
          <w:color w:val="231F20"/>
          <w:spacing w:val="40"/>
          <w:sz w:val="17"/>
        </w:rPr>
        <w:t xml:space="preserve"> </w:t>
      </w:r>
      <w:r>
        <w:rPr>
          <w:i/>
          <w:color w:val="231F20"/>
          <w:sz w:val="17"/>
        </w:rPr>
        <w:t>Outdoor</w:t>
      </w:r>
      <w:r>
        <w:rPr>
          <w:i/>
          <w:color w:val="231F20"/>
          <w:spacing w:val="40"/>
          <w:sz w:val="17"/>
        </w:rPr>
        <w:t xml:space="preserve"> </w:t>
      </w:r>
      <w:r>
        <w:rPr>
          <w:i/>
          <w:color w:val="231F20"/>
          <w:sz w:val="17"/>
        </w:rPr>
        <w:t>Education,</w:t>
      </w:r>
      <w:r>
        <w:rPr>
          <w:i/>
          <w:color w:val="231F20"/>
          <w:spacing w:val="40"/>
          <w:sz w:val="17"/>
        </w:rPr>
        <w:t xml:space="preserve"> </w:t>
      </w:r>
      <w:r>
        <w:rPr>
          <w:i/>
          <w:color w:val="231F20"/>
          <w:sz w:val="17"/>
        </w:rPr>
        <w:t>Re</w:t>
      </w:r>
      <w:r>
        <w:rPr>
          <w:i/>
          <w:color w:val="231F20"/>
          <w:sz w:val="17"/>
        </w:rPr>
        <w:t>creation</w:t>
      </w:r>
      <w:r>
        <w:rPr>
          <w:i/>
          <w:color w:val="231F20"/>
          <w:spacing w:val="40"/>
          <w:sz w:val="17"/>
        </w:rPr>
        <w:t xml:space="preserve"> </w:t>
      </w:r>
      <w:r>
        <w:rPr>
          <w:i/>
          <w:color w:val="231F20"/>
          <w:sz w:val="17"/>
        </w:rPr>
        <w:t>and</w:t>
      </w:r>
      <w:r>
        <w:rPr>
          <w:i/>
          <w:color w:val="231F20"/>
          <w:spacing w:val="40"/>
          <w:sz w:val="17"/>
        </w:rPr>
        <w:t xml:space="preserve"> </w:t>
      </w:r>
      <w:r>
        <w:rPr>
          <w:i/>
          <w:color w:val="231F20"/>
          <w:sz w:val="17"/>
        </w:rPr>
        <w:t>Sport</w:t>
      </w:r>
      <w:r>
        <w:rPr>
          <w:i/>
          <w:color w:val="231F20"/>
          <w:spacing w:val="40"/>
          <w:sz w:val="17"/>
        </w:rPr>
        <w:t xml:space="preserve"> </w:t>
      </w:r>
      <w:r>
        <w:rPr>
          <w:i/>
          <w:color w:val="231F20"/>
          <w:sz w:val="17"/>
        </w:rPr>
        <w:t>Tourism</w:t>
      </w:r>
      <w:r>
        <w:rPr>
          <w:i/>
          <w:color w:val="231F20"/>
          <w:spacing w:val="80"/>
          <w:sz w:val="17"/>
        </w:rPr>
        <w:t xml:space="preserve"> </w:t>
      </w:r>
      <w:r>
        <w:rPr>
          <w:color w:val="231F20"/>
          <w:sz w:val="17"/>
        </w:rPr>
        <w:t>(pp. 18–37). Natanya: Emmanuel Gill Publishing.</w:t>
      </w:r>
    </w:p>
    <w:p w14:paraId="0BBD3B16" w14:textId="77777777" w:rsidR="00AE0598" w:rsidRDefault="0069255A">
      <w:pPr>
        <w:spacing w:before="3"/>
        <w:ind w:left="430" w:right="127" w:hanging="320"/>
        <w:jc w:val="both"/>
        <w:rPr>
          <w:sz w:val="17"/>
        </w:rPr>
      </w:pPr>
      <w:r>
        <w:rPr>
          <w:color w:val="231F20"/>
          <w:w w:val="105"/>
          <w:sz w:val="17"/>
        </w:rPr>
        <w:t>Rutty, M., Matthews, L., Scott, D. and Del Matto, T. (2014) Using vehicle monitoring</w:t>
      </w:r>
      <w:r>
        <w:rPr>
          <w:color w:val="231F20"/>
          <w:spacing w:val="40"/>
          <w:w w:val="105"/>
          <w:sz w:val="17"/>
        </w:rPr>
        <w:t xml:space="preserve"> </w:t>
      </w:r>
      <w:r>
        <w:rPr>
          <w:color w:val="231F20"/>
          <w:sz w:val="17"/>
        </w:rPr>
        <w:t>technology</w:t>
      </w:r>
      <w:r>
        <w:rPr>
          <w:color w:val="231F20"/>
          <w:spacing w:val="-2"/>
          <w:sz w:val="17"/>
        </w:rPr>
        <w:t xml:space="preserve"> </w:t>
      </w:r>
      <w:r>
        <w:rPr>
          <w:color w:val="231F20"/>
          <w:sz w:val="17"/>
        </w:rPr>
        <w:t>and</w:t>
      </w:r>
      <w:r>
        <w:rPr>
          <w:color w:val="231F20"/>
          <w:spacing w:val="-2"/>
          <w:sz w:val="17"/>
        </w:rPr>
        <w:t xml:space="preserve"> </w:t>
      </w:r>
      <w:r>
        <w:rPr>
          <w:color w:val="231F20"/>
          <w:sz w:val="17"/>
        </w:rPr>
        <w:t>eco-driver</w:t>
      </w:r>
      <w:r>
        <w:rPr>
          <w:color w:val="231F20"/>
          <w:spacing w:val="-2"/>
          <w:sz w:val="17"/>
        </w:rPr>
        <w:t xml:space="preserve"> </w:t>
      </w:r>
      <w:r>
        <w:rPr>
          <w:color w:val="231F20"/>
          <w:sz w:val="17"/>
        </w:rPr>
        <w:t>training</w:t>
      </w:r>
      <w:r>
        <w:rPr>
          <w:color w:val="231F20"/>
          <w:spacing w:val="-2"/>
          <w:sz w:val="17"/>
        </w:rPr>
        <w:t xml:space="preserve"> </w:t>
      </w:r>
      <w:r>
        <w:rPr>
          <w:color w:val="231F20"/>
          <w:sz w:val="17"/>
        </w:rPr>
        <w:t>to</w:t>
      </w:r>
      <w:r>
        <w:rPr>
          <w:color w:val="231F20"/>
          <w:spacing w:val="-2"/>
          <w:sz w:val="17"/>
        </w:rPr>
        <w:t xml:space="preserve"> </w:t>
      </w:r>
      <w:r>
        <w:rPr>
          <w:color w:val="231F20"/>
          <w:sz w:val="17"/>
        </w:rPr>
        <w:t>reduce</w:t>
      </w:r>
      <w:r>
        <w:rPr>
          <w:color w:val="231F20"/>
          <w:spacing w:val="-2"/>
          <w:sz w:val="17"/>
        </w:rPr>
        <w:t xml:space="preserve"> </w:t>
      </w:r>
      <w:r>
        <w:rPr>
          <w:color w:val="231F20"/>
          <w:sz w:val="17"/>
        </w:rPr>
        <w:t>fuel</w:t>
      </w:r>
      <w:r>
        <w:rPr>
          <w:color w:val="231F20"/>
          <w:spacing w:val="-2"/>
          <w:sz w:val="17"/>
        </w:rPr>
        <w:t xml:space="preserve"> </w:t>
      </w:r>
      <w:r>
        <w:rPr>
          <w:color w:val="231F20"/>
          <w:sz w:val="17"/>
        </w:rPr>
        <w:t>use</w:t>
      </w:r>
      <w:r>
        <w:rPr>
          <w:color w:val="231F20"/>
          <w:spacing w:val="-2"/>
          <w:sz w:val="17"/>
        </w:rPr>
        <w:t xml:space="preserve"> </w:t>
      </w:r>
      <w:r>
        <w:rPr>
          <w:color w:val="231F20"/>
          <w:sz w:val="17"/>
        </w:rPr>
        <w:t>and</w:t>
      </w:r>
      <w:r>
        <w:rPr>
          <w:color w:val="231F20"/>
          <w:spacing w:val="-2"/>
          <w:sz w:val="17"/>
        </w:rPr>
        <w:t xml:space="preserve"> </w:t>
      </w:r>
      <w:r>
        <w:rPr>
          <w:color w:val="231F20"/>
          <w:sz w:val="17"/>
        </w:rPr>
        <w:t>emissions</w:t>
      </w:r>
      <w:r>
        <w:rPr>
          <w:color w:val="231F20"/>
          <w:spacing w:val="-2"/>
          <w:sz w:val="17"/>
        </w:rPr>
        <w:t xml:space="preserve"> </w:t>
      </w:r>
      <w:r>
        <w:rPr>
          <w:color w:val="231F20"/>
          <w:sz w:val="17"/>
        </w:rPr>
        <w:t>in</w:t>
      </w:r>
      <w:r>
        <w:rPr>
          <w:color w:val="231F20"/>
          <w:spacing w:val="-2"/>
          <w:sz w:val="17"/>
        </w:rPr>
        <w:t xml:space="preserve"> </w:t>
      </w:r>
      <w:r>
        <w:rPr>
          <w:color w:val="231F20"/>
          <w:sz w:val="17"/>
        </w:rPr>
        <w:t>tourism:</w:t>
      </w:r>
      <w:r>
        <w:rPr>
          <w:color w:val="231F20"/>
          <w:spacing w:val="-2"/>
          <w:sz w:val="17"/>
        </w:rPr>
        <w:t xml:space="preserve"> </w:t>
      </w:r>
      <w:r>
        <w:rPr>
          <w:color w:val="231F20"/>
          <w:sz w:val="17"/>
        </w:rPr>
        <w:t>A</w:t>
      </w:r>
      <w:r>
        <w:rPr>
          <w:color w:val="231F20"/>
          <w:spacing w:val="-2"/>
          <w:sz w:val="17"/>
        </w:rPr>
        <w:t xml:space="preserve"> </w:t>
      </w:r>
      <w:r>
        <w:rPr>
          <w:color w:val="231F20"/>
          <w:sz w:val="17"/>
        </w:rPr>
        <w:t>ski</w:t>
      </w:r>
      <w:r>
        <w:rPr>
          <w:color w:val="231F20"/>
          <w:spacing w:val="40"/>
          <w:sz w:val="17"/>
        </w:rPr>
        <w:t xml:space="preserve"> </w:t>
      </w:r>
      <w:r>
        <w:rPr>
          <w:color w:val="231F20"/>
          <w:sz w:val="17"/>
        </w:rPr>
        <w:t xml:space="preserve">resort case study. </w:t>
      </w:r>
      <w:r>
        <w:rPr>
          <w:i/>
          <w:color w:val="231F20"/>
          <w:sz w:val="17"/>
        </w:rPr>
        <w:t xml:space="preserve">Journal of Sustainable Tourism </w:t>
      </w:r>
      <w:r>
        <w:rPr>
          <w:color w:val="231F20"/>
          <w:sz w:val="17"/>
        </w:rPr>
        <w:t>22 (5), 787–800.</w:t>
      </w:r>
    </w:p>
    <w:p w14:paraId="759072D0" w14:textId="77777777" w:rsidR="00AE0598" w:rsidRDefault="0069255A">
      <w:pPr>
        <w:spacing w:before="2"/>
        <w:ind w:left="430" w:right="129" w:hanging="320"/>
        <w:jc w:val="both"/>
        <w:rPr>
          <w:sz w:val="17"/>
        </w:rPr>
      </w:pPr>
      <w:r>
        <w:rPr>
          <w:color w:val="231F20"/>
          <w:sz w:val="17"/>
        </w:rPr>
        <w:t>Rutty,</w:t>
      </w:r>
      <w:r>
        <w:rPr>
          <w:color w:val="231F20"/>
          <w:spacing w:val="80"/>
          <w:sz w:val="17"/>
        </w:rPr>
        <w:t xml:space="preserve"> </w:t>
      </w:r>
      <w:r>
        <w:rPr>
          <w:color w:val="231F20"/>
          <w:sz w:val="17"/>
        </w:rPr>
        <w:t>M.,</w:t>
      </w:r>
      <w:r>
        <w:rPr>
          <w:color w:val="231F20"/>
          <w:spacing w:val="80"/>
          <w:sz w:val="17"/>
        </w:rPr>
        <w:t xml:space="preserve"> </w:t>
      </w:r>
      <w:r>
        <w:rPr>
          <w:color w:val="231F20"/>
          <w:sz w:val="17"/>
        </w:rPr>
        <w:t>Scott,</w:t>
      </w:r>
      <w:r>
        <w:rPr>
          <w:color w:val="231F20"/>
          <w:spacing w:val="80"/>
          <w:sz w:val="17"/>
        </w:rPr>
        <w:t xml:space="preserve"> </w:t>
      </w:r>
      <w:r>
        <w:rPr>
          <w:color w:val="231F20"/>
          <w:sz w:val="17"/>
        </w:rPr>
        <w:t>D.,</w:t>
      </w:r>
      <w:r>
        <w:rPr>
          <w:color w:val="231F20"/>
          <w:spacing w:val="80"/>
          <w:sz w:val="17"/>
        </w:rPr>
        <w:t xml:space="preserve"> </w:t>
      </w:r>
      <w:r>
        <w:rPr>
          <w:color w:val="231F20"/>
          <w:sz w:val="17"/>
        </w:rPr>
        <w:t>Steiger,</w:t>
      </w:r>
      <w:r>
        <w:rPr>
          <w:color w:val="231F20"/>
          <w:spacing w:val="80"/>
          <w:sz w:val="17"/>
        </w:rPr>
        <w:t xml:space="preserve"> </w:t>
      </w:r>
      <w:r>
        <w:rPr>
          <w:color w:val="231F20"/>
          <w:sz w:val="17"/>
        </w:rPr>
        <w:t>R.</w:t>
      </w:r>
      <w:r>
        <w:rPr>
          <w:color w:val="231F20"/>
          <w:spacing w:val="80"/>
          <w:sz w:val="17"/>
        </w:rPr>
        <w:t xml:space="preserve"> </w:t>
      </w:r>
      <w:r>
        <w:rPr>
          <w:color w:val="231F20"/>
          <w:sz w:val="17"/>
        </w:rPr>
        <w:t>and</w:t>
      </w:r>
      <w:r>
        <w:rPr>
          <w:color w:val="231F20"/>
          <w:spacing w:val="80"/>
          <w:sz w:val="17"/>
        </w:rPr>
        <w:t xml:space="preserve"> </w:t>
      </w:r>
      <w:r>
        <w:rPr>
          <w:color w:val="231F20"/>
          <w:sz w:val="17"/>
        </w:rPr>
        <w:t>Johnson,</w:t>
      </w:r>
      <w:r>
        <w:rPr>
          <w:color w:val="231F20"/>
          <w:spacing w:val="80"/>
          <w:sz w:val="17"/>
        </w:rPr>
        <w:t xml:space="preserve"> </w:t>
      </w:r>
      <w:r>
        <w:rPr>
          <w:color w:val="231F20"/>
          <w:sz w:val="17"/>
        </w:rPr>
        <w:t>P.</w:t>
      </w:r>
      <w:r>
        <w:rPr>
          <w:color w:val="231F20"/>
          <w:spacing w:val="80"/>
          <w:sz w:val="17"/>
        </w:rPr>
        <w:t xml:space="preserve"> </w:t>
      </w:r>
      <w:r>
        <w:rPr>
          <w:color w:val="231F20"/>
          <w:sz w:val="17"/>
        </w:rPr>
        <w:t>(2014)</w:t>
      </w:r>
      <w:r>
        <w:rPr>
          <w:color w:val="231F20"/>
          <w:spacing w:val="80"/>
          <w:sz w:val="17"/>
        </w:rPr>
        <w:t xml:space="preserve"> </w:t>
      </w:r>
      <w:r>
        <w:rPr>
          <w:color w:val="231F20"/>
          <w:sz w:val="17"/>
        </w:rPr>
        <w:t>Weather</w:t>
      </w:r>
      <w:r>
        <w:rPr>
          <w:color w:val="231F20"/>
          <w:spacing w:val="80"/>
          <w:sz w:val="17"/>
        </w:rPr>
        <w:t xml:space="preserve"> </w:t>
      </w:r>
      <w:r>
        <w:rPr>
          <w:color w:val="231F20"/>
          <w:sz w:val="17"/>
        </w:rPr>
        <w:t>risk</w:t>
      </w:r>
      <w:r>
        <w:rPr>
          <w:color w:val="231F20"/>
          <w:spacing w:val="40"/>
          <w:sz w:val="17"/>
        </w:rPr>
        <w:t xml:space="preserve"> </w:t>
      </w:r>
      <w:r>
        <w:rPr>
          <w:color w:val="231F20"/>
          <w:sz w:val="17"/>
        </w:rPr>
        <w:t>management</w:t>
      </w:r>
      <w:r>
        <w:rPr>
          <w:color w:val="231F20"/>
          <w:spacing w:val="40"/>
          <w:sz w:val="17"/>
        </w:rPr>
        <w:t xml:space="preserve"> </w:t>
      </w:r>
      <w:r>
        <w:rPr>
          <w:color w:val="231F20"/>
          <w:sz w:val="17"/>
        </w:rPr>
        <w:t>at</w:t>
      </w:r>
      <w:r>
        <w:rPr>
          <w:color w:val="231F20"/>
          <w:spacing w:val="40"/>
          <w:sz w:val="17"/>
        </w:rPr>
        <w:t xml:space="preserve"> </w:t>
      </w:r>
      <w:r>
        <w:rPr>
          <w:color w:val="231F20"/>
          <w:sz w:val="17"/>
        </w:rPr>
        <w:t>the</w:t>
      </w:r>
      <w:r>
        <w:rPr>
          <w:color w:val="231F20"/>
          <w:spacing w:val="40"/>
          <w:sz w:val="17"/>
        </w:rPr>
        <w:t xml:space="preserve"> </w:t>
      </w:r>
      <w:r>
        <w:rPr>
          <w:color w:val="231F20"/>
          <w:sz w:val="17"/>
        </w:rPr>
        <w:t>Olympic</w:t>
      </w:r>
      <w:r>
        <w:rPr>
          <w:color w:val="231F20"/>
          <w:spacing w:val="40"/>
          <w:sz w:val="17"/>
        </w:rPr>
        <w:t xml:space="preserve"> </w:t>
      </w:r>
      <w:r>
        <w:rPr>
          <w:color w:val="231F20"/>
          <w:sz w:val="17"/>
        </w:rPr>
        <w:t>Winter</w:t>
      </w:r>
      <w:r>
        <w:rPr>
          <w:color w:val="231F20"/>
          <w:spacing w:val="40"/>
          <w:sz w:val="17"/>
        </w:rPr>
        <w:t xml:space="preserve"> </w:t>
      </w:r>
      <w:r>
        <w:rPr>
          <w:color w:val="231F20"/>
          <w:sz w:val="17"/>
        </w:rPr>
        <w:t>Games.</w:t>
      </w:r>
      <w:r>
        <w:rPr>
          <w:color w:val="231F20"/>
          <w:spacing w:val="40"/>
          <w:sz w:val="17"/>
        </w:rPr>
        <w:t xml:space="preserve"> </w:t>
      </w:r>
      <w:r>
        <w:rPr>
          <w:i/>
          <w:color w:val="231F20"/>
          <w:sz w:val="17"/>
        </w:rPr>
        <w:t>Current</w:t>
      </w:r>
      <w:r>
        <w:rPr>
          <w:i/>
          <w:color w:val="231F20"/>
          <w:spacing w:val="40"/>
          <w:sz w:val="17"/>
        </w:rPr>
        <w:t xml:space="preserve"> </w:t>
      </w:r>
      <w:r>
        <w:rPr>
          <w:i/>
          <w:color w:val="231F20"/>
          <w:sz w:val="17"/>
        </w:rPr>
        <w:t>Issues</w:t>
      </w:r>
      <w:r>
        <w:rPr>
          <w:i/>
          <w:color w:val="231F20"/>
          <w:spacing w:val="40"/>
          <w:sz w:val="17"/>
        </w:rPr>
        <w:t xml:space="preserve"> </w:t>
      </w:r>
      <w:r>
        <w:rPr>
          <w:i/>
          <w:color w:val="231F20"/>
          <w:sz w:val="17"/>
        </w:rPr>
        <w:t>in</w:t>
      </w:r>
      <w:r>
        <w:rPr>
          <w:i/>
          <w:color w:val="231F20"/>
          <w:spacing w:val="40"/>
          <w:sz w:val="17"/>
        </w:rPr>
        <w:t xml:space="preserve"> </w:t>
      </w:r>
      <w:r>
        <w:rPr>
          <w:i/>
          <w:color w:val="231F20"/>
          <w:sz w:val="17"/>
        </w:rPr>
        <w:t>Tourism</w:t>
      </w:r>
      <w:r>
        <w:rPr>
          <w:i/>
          <w:color w:val="231F20"/>
          <w:spacing w:val="40"/>
          <w:sz w:val="17"/>
        </w:rPr>
        <w:t xml:space="preserve"> </w:t>
      </w:r>
      <w:r>
        <w:rPr>
          <w:color w:val="231F20"/>
          <w:sz w:val="17"/>
        </w:rPr>
        <w:t>1–16.</w:t>
      </w:r>
      <w:r>
        <w:rPr>
          <w:color w:val="231F20"/>
          <w:spacing w:val="80"/>
          <w:sz w:val="17"/>
        </w:rPr>
        <w:t xml:space="preserve"> </w:t>
      </w:r>
      <w:r>
        <w:rPr>
          <w:color w:val="231F20"/>
          <w:sz w:val="17"/>
        </w:rPr>
        <w:t xml:space="preserve">doi: </w:t>
      </w:r>
      <w:r>
        <w:rPr>
          <w:color w:val="231F20"/>
          <w:spacing w:val="-3"/>
          <w:w w:val="94"/>
          <w:sz w:val="17"/>
        </w:rPr>
        <w:t>1</w:t>
      </w:r>
      <w:r>
        <w:rPr>
          <w:color w:val="231F20"/>
          <w:w w:val="94"/>
          <w:sz w:val="17"/>
        </w:rPr>
        <w:t>0</w:t>
      </w:r>
      <w:r>
        <w:rPr>
          <w:color w:val="231F20"/>
          <w:spacing w:val="-6"/>
          <w:w w:val="140"/>
          <w:sz w:val="17"/>
        </w:rPr>
        <w:t>.</w:t>
      </w:r>
      <w:r>
        <w:rPr>
          <w:color w:val="231F20"/>
          <w:spacing w:val="-3"/>
          <w:w w:val="94"/>
          <w:sz w:val="17"/>
        </w:rPr>
        <w:t>1</w:t>
      </w:r>
      <w:r>
        <w:rPr>
          <w:color w:val="231F20"/>
          <w:spacing w:val="3"/>
          <w:w w:val="94"/>
          <w:sz w:val="17"/>
        </w:rPr>
        <w:t>08</w:t>
      </w:r>
      <w:r>
        <w:rPr>
          <w:color w:val="231F20"/>
          <w:spacing w:val="2"/>
          <w:w w:val="94"/>
          <w:sz w:val="17"/>
        </w:rPr>
        <w:t>0</w:t>
      </w:r>
      <w:r>
        <w:rPr>
          <w:color w:val="231F20"/>
          <w:spacing w:val="-2"/>
          <w:w w:val="65"/>
          <w:sz w:val="17"/>
        </w:rPr>
        <w:t>/</w:t>
      </w:r>
      <w:r>
        <w:rPr>
          <w:color w:val="231F20"/>
          <w:w w:val="94"/>
          <w:sz w:val="17"/>
        </w:rPr>
        <w:t>1</w:t>
      </w:r>
      <w:r>
        <w:rPr>
          <w:color w:val="231F20"/>
          <w:spacing w:val="1"/>
          <w:w w:val="94"/>
          <w:sz w:val="17"/>
        </w:rPr>
        <w:t>3</w:t>
      </w:r>
      <w:r>
        <w:rPr>
          <w:color w:val="231F20"/>
          <w:w w:val="94"/>
          <w:sz w:val="17"/>
        </w:rPr>
        <w:t>6</w:t>
      </w:r>
      <w:r>
        <w:rPr>
          <w:color w:val="231F20"/>
          <w:spacing w:val="1"/>
          <w:w w:val="94"/>
          <w:sz w:val="17"/>
        </w:rPr>
        <w:t>8</w:t>
      </w:r>
      <w:r>
        <w:rPr>
          <w:color w:val="231F20"/>
          <w:spacing w:val="-1"/>
          <w:w w:val="94"/>
          <w:sz w:val="17"/>
        </w:rPr>
        <w:t>3</w:t>
      </w:r>
      <w:r>
        <w:rPr>
          <w:color w:val="231F20"/>
          <w:spacing w:val="1"/>
          <w:w w:val="94"/>
          <w:sz w:val="17"/>
        </w:rPr>
        <w:t>5</w:t>
      </w:r>
      <w:r>
        <w:rPr>
          <w:color w:val="231F20"/>
          <w:spacing w:val="7"/>
          <w:w w:val="94"/>
          <w:sz w:val="17"/>
        </w:rPr>
        <w:t>0</w:t>
      </w:r>
      <w:r>
        <w:rPr>
          <w:color w:val="231F20"/>
          <w:w w:val="94"/>
          <w:sz w:val="17"/>
        </w:rPr>
        <w:t>0</w:t>
      </w:r>
      <w:r>
        <w:rPr>
          <w:color w:val="231F20"/>
          <w:spacing w:val="4"/>
          <w:w w:val="140"/>
          <w:sz w:val="17"/>
        </w:rPr>
        <w:t>.</w:t>
      </w:r>
      <w:r>
        <w:rPr>
          <w:color w:val="231F20"/>
          <w:spacing w:val="3"/>
          <w:w w:val="94"/>
          <w:sz w:val="17"/>
        </w:rPr>
        <w:t>2</w:t>
      </w:r>
      <w:r>
        <w:rPr>
          <w:color w:val="231F20"/>
          <w:spacing w:val="-2"/>
          <w:w w:val="94"/>
          <w:sz w:val="17"/>
        </w:rPr>
        <w:t>0</w:t>
      </w:r>
      <w:r>
        <w:rPr>
          <w:color w:val="231F20"/>
          <w:spacing w:val="-7"/>
          <w:w w:val="94"/>
          <w:sz w:val="17"/>
        </w:rPr>
        <w:t>1</w:t>
      </w:r>
      <w:r>
        <w:rPr>
          <w:color w:val="231F20"/>
          <w:w w:val="94"/>
          <w:sz w:val="17"/>
        </w:rPr>
        <w:t>4</w:t>
      </w:r>
      <w:r>
        <w:rPr>
          <w:color w:val="231F20"/>
          <w:spacing w:val="2"/>
          <w:w w:val="140"/>
          <w:sz w:val="17"/>
        </w:rPr>
        <w:t>.</w:t>
      </w:r>
      <w:r>
        <w:rPr>
          <w:color w:val="231F20"/>
          <w:spacing w:val="2"/>
          <w:w w:val="94"/>
          <w:sz w:val="17"/>
        </w:rPr>
        <w:t>8</w:t>
      </w:r>
      <w:r>
        <w:rPr>
          <w:color w:val="231F20"/>
          <w:spacing w:val="3"/>
          <w:w w:val="94"/>
          <w:sz w:val="17"/>
        </w:rPr>
        <w:t>8</w:t>
      </w:r>
      <w:r>
        <w:rPr>
          <w:color w:val="231F20"/>
          <w:spacing w:val="-6"/>
          <w:w w:val="94"/>
          <w:sz w:val="17"/>
        </w:rPr>
        <w:t>7</w:t>
      </w:r>
      <w:r>
        <w:rPr>
          <w:color w:val="231F20"/>
          <w:spacing w:val="2"/>
          <w:w w:val="94"/>
          <w:sz w:val="17"/>
        </w:rPr>
        <w:t>6</w:t>
      </w:r>
      <w:r>
        <w:rPr>
          <w:color w:val="231F20"/>
          <w:spacing w:val="1"/>
          <w:w w:val="94"/>
          <w:sz w:val="17"/>
        </w:rPr>
        <w:t>6</w:t>
      </w:r>
      <w:r>
        <w:rPr>
          <w:color w:val="231F20"/>
          <w:spacing w:val="-3"/>
          <w:w w:val="94"/>
          <w:sz w:val="17"/>
        </w:rPr>
        <w:t>5</w:t>
      </w:r>
      <w:r>
        <w:rPr>
          <w:color w:val="231F20"/>
          <w:spacing w:val="-4"/>
          <w:w w:val="140"/>
          <w:sz w:val="17"/>
        </w:rPr>
        <w:t>.</w:t>
      </w:r>
    </w:p>
    <w:p w14:paraId="41917BC4" w14:textId="77777777" w:rsidR="00AE0598" w:rsidRDefault="0069255A">
      <w:pPr>
        <w:spacing w:before="2"/>
        <w:ind w:left="430" w:right="128" w:hanging="320"/>
        <w:jc w:val="both"/>
        <w:rPr>
          <w:sz w:val="17"/>
        </w:rPr>
      </w:pPr>
      <w:r>
        <w:rPr>
          <w:color w:val="231F20"/>
          <w:w w:val="105"/>
          <w:sz w:val="17"/>
        </w:rPr>
        <w:t>Rutty,</w:t>
      </w:r>
      <w:r>
        <w:rPr>
          <w:color w:val="231F20"/>
          <w:w w:val="105"/>
          <w:sz w:val="17"/>
        </w:rPr>
        <w:t xml:space="preserve"> M., Scott, D., Johnson, P., Pons, M., Steiger, R. and Vilella, M. (2017) Using ski</w:t>
      </w:r>
      <w:r>
        <w:rPr>
          <w:color w:val="231F20"/>
          <w:spacing w:val="40"/>
          <w:w w:val="105"/>
          <w:sz w:val="17"/>
        </w:rPr>
        <w:t xml:space="preserve"> </w:t>
      </w:r>
      <w:r>
        <w:rPr>
          <w:color w:val="231F20"/>
          <w:sz w:val="17"/>
        </w:rPr>
        <w:t>industry response to climatic variability to assess climate change risk: An analogue</w:t>
      </w:r>
      <w:r>
        <w:rPr>
          <w:color w:val="231F20"/>
          <w:spacing w:val="40"/>
          <w:sz w:val="17"/>
        </w:rPr>
        <w:t xml:space="preserve"> </w:t>
      </w:r>
      <w:r>
        <w:rPr>
          <w:color w:val="231F20"/>
          <w:sz w:val="17"/>
        </w:rPr>
        <w:t xml:space="preserve">study in Eastern Canada. </w:t>
      </w:r>
      <w:r>
        <w:rPr>
          <w:i/>
          <w:color w:val="231F20"/>
          <w:sz w:val="17"/>
        </w:rPr>
        <w:t xml:space="preserve">Tourism Management </w:t>
      </w:r>
      <w:r>
        <w:rPr>
          <w:color w:val="231F20"/>
          <w:sz w:val="17"/>
        </w:rPr>
        <w:t>58, 196–204.</w:t>
      </w:r>
    </w:p>
    <w:p w14:paraId="0545DEC1" w14:textId="77777777" w:rsidR="00AE0598" w:rsidRDefault="0069255A">
      <w:pPr>
        <w:spacing w:before="2"/>
        <w:ind w:left="430" w:right="128" w:hanging="320"/>
        <w:jc w:val="both"/>
        <w:rPr>
          <w:sz w:val="17"/>
        </w:rPr>
      </w:pPr>
      <w:r>
        <w:rPr>
          <w:color w:val="231F20"/>
          <w:w w:val="105"/>
          <w:sz w:val="17"/>
        </w:rPr>
        <w:t xml:space="preserve">Ryan, C. (1995) </w:t>
      </w:r>
      <w:r>
        <w:rPr>
          <w:i/>
          <w:color w:val="231F20"/>
          <w:w w:val="105"/>
          <w:sz w:val="17"/>
        </w:rPr>
        <w:t>Researching To</w:t>
      </w:r>
      <w:r>
        <w:rPr>
          <w:i/>
          <w:color w:val="231F20"/>
          <w:w w:val="105"/>
          <w:sz w:val="17"/>
        </w:rPr>
        <w:t>urist Satisfaction: Issues, Concepts, Problems</w:t>
      </w:r>
      <w:r>
        <w:rPr>
          <w:color w:val="231F20"/>
          <w:w w:val="105"/>
          <w:sz w:val="17"/>
        </w:rPr>
        <w:t>. London:</w:t>
      </w:r>
      <w:r>
        <w:rPr>
          <w:color w:val="231F20"/>
          <w:spacing w:val="40"/>
          <w:w w:val="105"/>
          <w:sz w:val="17"/>
        </w:rPr>
        <w:t xml:space="preserve"> </w:t>
      </w:r>
      <w:r>
        <w:rPr>
          <w:color w:val="231F20"/>
          <w:spacing w:val="-2"/>
          <w:w w:val="105"/>
          <w:sz w:val="17"/>
        </w:rPr>
        <w:t>Routledge.</w:t>
      </w:r>
    </w:p>
    <w:p w14:paraId="647F4FB4" w14:textId="77777777" w:rsidR="00AE0598" w:rsidRDefault="0069255A">
      <w:pPr>
        <w:spacing w:before="1"/>
        <w:ind w:left="430" w:right="128" w:hanging="320"/>
        <w:jc w:val="both"/>
        <w:rPr>
          <w:sz w:val="17"/>
        </w:rPr>
      </w:pPr>
      <w:r>
        <w:rPr>
          <w:color w:val="231F20"/>
          <w:sz w:val="17"/>
        </w:rPr>
        <w:t>Ryan,</w:t>
      </w:r>
      <w:r>
        <w:rPr>
          <w:color w:val="231F20"/>
          <w:spacing w:val="-3"/>
          <w:sz w:val="17"/>
        </w:rPr>
        <w:t xml:space="preserve"> </w:t>
      </w:r>
      <w:r>
        <w:rPr>
          <w:color w:val="231F20"/>
          <w:sz w:val="17"/>
        </w:rPr>
        <w:t>C.</w:t>
      </w:r>
      <w:r>
        <w:rPr>
          <w:color w:val="231F20"/>
          <w:spacing w:val="-3"/>
          <w:sz w:val="17"/>
        </w:rPr>
        <w:t xml:space="preserve"> </w:t>
      </w:r>
      <w:r>
        <w:rPr>
          <w:color w:val="231F20"/>
          <w:sz w:val="17"/>
        </w:rPr>
        <w:t>and</w:t>
      </w:r>
      <w:r>
        <w:rPr>
          <w:color w:val="231F20"/>
          <w:spacing w:val="-3"/>
          <w:sz w:val="17"/>
        </w:rPr>
        <w:t xml:space="preserve"> </w:t>
      </w:r>
      <w:r>
        <w:rPr>
          <w:color w:val="231F20"/>
          <w:sz w:val="17"/>
        </w:rPr>
        <w:t>Lockyer,</w:t>
      </w:r>
      <w:r>
        <w:rPr>
          <w:color w:val="231F20"/>
          <w:spacing w:val="-3"/>
          <w:sz w:val="17"/>
        </w:rPr>
        <w:t xml:space="preserve"> </w:t>
      </w:r>
      <w:r>
        <w:rPr>
          <w:color w:val="231F20"/>
          <w:sz w:val="17"/>
        </w:rPr>
        <w:t>T.</w:t>
      </w:r>
      <w:r>
        <w:rPr>
          <w:color w:val="231F20"/>
          <w:spacing w:val="-3"/>
          <w:sz w:val="17"/>
        </w:rPr>
        <w:t xml:space="preserve"> </w:t>
      </w:r>
      <w:r>
        <w:rPr>
          <w:color w:val="231F20"/>
          <w:sz w:val="17"/>
        </w:rPr>
        <w:t>(2002)</w:t>
      </w:r>
      <w:r>
        <w:rPr>
          <w:color w:val="231F20"/>
          <w:spacing w:val="-3"/>
          <w:sz w:val="17"/>
        </w:rPr>
        <w:t xml:space="preserve"> </w:t>
      </w:r>
      <w:r>
        <w:rPr>
          <w:color w:val="231F20"/>
          <w:sz w:val="17"/>
        </w:rPr>
        <w:t>Masters’</w:t>
      </w:r>
      <w:r>
        <w:rPr>
          <w:color w:val="231F20"/>
          <w:spacing w:val="-3"/>
          <w:sz w:val="17"/>
        </w:rPr>
        <w:t xml:space="preserve"> </w:t>
      </w:r>
      <w:r>
        <w:rPr>
          <w:color w:val="231F20"/>
          <w:sz w:val="17"/>
        </w:rPr>
        <w:t>games—The</w:t>
      </w:r>
      <w:r>
        <w:rPr>
          <w:color w:val="231F20"/>
          <w:spacing w:val="-3"/>
          <w:sz w:val="17"/>
        </w:rPr>
        <w:t xml:space="preserve"> </w:t>
      </w:r>
      <w:r>
        <w:rPr>
          <w:color w:val="231F20"/>
          <w:sz w:val="17"/>
        </w:rPr>
        <w:t>nature</w:t>
      </w:r>
      <w:r>
        <w:rPr>
          <w:color w:val="231F20"/>
          <w:spacing w:val="-3"/>
          <w:sz w:val="17"/>
        </w:rPr>
        <w:t xml:space="preserve"> </w:t>
      </w:r>
      <w:r>
        <w:rPr>
          <w:color w:val="231F20"/>
          <w:sz w:val="17"/>
        </w:rPr>
        <w:t>of</w:t>
      </w:r>
      <w:r>
        <w:rPr>
          <w:color w:val="231F20"/>
          <w:spacing w:val="-3"/>
          <w:sz w:val="17"/>
        </w:rPr>
        <w:t xml:space="preserve"> </w:t>
      </w:r>
      <w:r>
        <w:rPr>
          <w:color w:val="231F20"/>
          <w:sz w:val="17"/>
        </w:rPr>
        <w:t>competitors’</w:t>
      </w:r>
      <w:r>
        <w:rPr>
          <w:color w:val="231F20"/>
          <w:spacing w:val="-3"/>
          <w:sz w:val="17"/>
        </w:rPr>
        <w:t xml:space="preserve"> </w:t>
      </w:r>
      <w:r>
        <w:rPr>
          <w:color w:val="231F20"/>
          <w:sz w:val="17"/>
        </w:rPr>
        <w:t>involvement</w:t>
      </w:r>
      <w:r>
        <w:rPr>
          <w:color w:val="231F20"/>
          <w:spacing w:val="40"/>
          <w:sz w:val="17"/>
        </w:rPr>
        <w:t xml:space="preserve"> </w:t>
      </w:r>
      <w:r>
        <w:rPr>
          <w:color w:val="231F20"/>
          <w:sz w:val="17"/>
        </w:rPr>
        <w:t xml:space="preserve">and requirements. </w:t>
      </w:r>
      <w:r>
        <w:rPr>
          <w:i/>
          <w:color w:val="231F20"/>
          <w:sz w:val="17"/>
        </w:rPr>
        <w:t xml:space="preserve">Event Management </w:t>
      </w:r>
      <w:r>
        <w:rPr>
          <w:color w:val="231F20"/>
          <w:sz w:val="17"/>
        </w:rPr>
        <w:t>7 (4), 259–270.</w:t>
      </w:r>
    </w:p>
    <w:p w14:paraId="03219213" w14:textId="77777777" w:rsidR="00AE0598" w:rsidRDefault="0069255A">
      <w:pPr>
        <w:spacing w:before="2"/>
        <w:ind w:left="430" w:right="127" w:hanging="320"/>
        <w:jc w:val="both"/>
        <w:rPr>
          <w:sz w:val="17"/>
        </w:rPr>
      </w:pPr>
      <w:r>
        <w:rPr>
          <w:color w:val="231F20"/>
          <w:sz w:val="17"/>
        </w:rPr>
        <w:t>Ryan, C., Smee, A. and Murphy, S. (1996) Creating a database of events in New Zealand:</w:t>
      </w:r>
      <w:r>
        <w:rPr>
          <w:color w:val="231F20"/>
          <w:spacing w:val="40"/>
          <w:sz w:val="17"/>
        </w:rPr>
        <w:t xml:space="preserve"> </w:t>
      </w:r>
      <w:r>
        <w:rPr>
          <w:color w:val="231F20"/>
          <w:sz w:val="17"/>
        </w:rPr>
        <w:t xml:space="preserve">Early results. </w:t>
      </w:r>
      <w:r>
        <w:rPr>
          <w:i/>
          <w:color w:val="231F20"/>
          <w:sz w:val="17"/>
        </w:rPr>
        <w:t xml:space="preserve">Festival Management and Event Tourism </w:t>
      </w:r>
      <w:r>
        <w:rPr>
          <w:color w:val="231F20"/>
          <w:sz w:val="17"/>
        </w:rPr>
        <w:t xml:space="preserve">4 </w:t>
      </w:r>
      <w:r>
        <w:rPr>
          <w:color w:val="231F20"/>
          <w:w w:val="96"/>
          <w:sz w:val="17"/>
        </w:rPr>
        <w:t>(</w:t>
      </w:r>
      <w:r>
        <w:rPr>
          <w:color w:val="231F20"/>
          <w:spacing w:val="3"/>
          <w:w w:val="96"/>
          <w:sz w:val="17"/>
        </w:rPr>
        <w:t>3</w:t>
      </w:r>
      <w:r>
        <w:rPr>
          <w:color w:val="231F20"/>
          <w:spacing w:val="-2"/>
          <w:w w:val="68"/>
          <w:sz w:val="17"/>
        </w:rPr>
        <w:t>/</w:t>
      </w:r>
      <w:r>
        <w:rPr>
          <w:color w:val="231F20"/>
          <w:spacing w:val="1"/>
          <w:w w:val="97"/>
          <w:sz w:val="17"/>
        </w:rPr>
        <w:t>4</w:t>
      </w:r>
      <w:r>
        <w:rPr>
          <w:color w:val="231F20"/>
          <w:spacing w:val="-4"/>
          <w:w w:val="95"/>
          <w:sz w:val="17"/>
        </w:rPr>
        <w:t>)</w:t>
      </w:r>
      <w:r>
        <w:rPr>
          <w:color w:val="231F20"/>
          <w:w w:val="143"/>
          <w:sz w:val="17"/>
        </w:rPr>
        <w:t>,</w:t>
      </w:r>
      <w:r>
        <w:rPr>
          <w:color w:val="231F20"/>
          <w:spacing w:val="-1"/>
          <w:w w:val="99"/>
          <w:sz w:val="17"/>
        </w:rPr>
        <w:t xml:space="preserve"> </w:t>
      </w:r>
      <w:r>
        <w:rPr>
          <w:color w:val="231F20"/>
          <w:sz w:val="17"/>
        </w:rPr>
        <w:t>151–156.</w:t>
      </w:r>
    </w:p>
    <w:p w14:paraId="39ED82AC" w14:textId="77777777" w:rsidR="00AE0598" w:rsidRDefault="0069255A">
      <w:pPr>
        <w:spacing w:before="1"/>
        <w:ind w:left="430" w:right="127" w:hanging="320"/>
        <w:jc w:val="both"/>
        <w:rPr>
          <w:sz w:val="17"/>
        </w:rPr>
      </w:pPr>
      <w:r>
        <w:rPr>
          <w:color w:val="231F20"/>
          <w:w w:val="95"/>
          <w:sz w:val="17"/>
        </w:rPr>
        <w:t>Ryan,</w:t>
      </w:r>
      <w:r>
        <w:rPr>
          <w:color w:val="231F20"/>
          <w:spacing w:val="14"/>
          <w:sz w:val="17"/>
        </w:rPr>
        <w:t xml:space="preserve"> </w:t>
      </w:r>
      <w:r>
        <w:rPr>
          <w:color w:val="231F20"/>
          <w:w w:val="95"/>
          <w:sz w:val="17"/>
        </w:rPr>
        <w:t>C.</w:t>
      </w:r>
      <w:r>
        <w:rPr>
          <w:color w:val="231F20"/>
          <w:spacing w:val="14"/>
          <w:sz w:val="17"/>
        </w:rPr>
        <w:t xml:space="preserve"> </w:t>
      </w:r>
      <w:r>
        <w:rPr>
          <w:color w:val="231F20"/>
          <w:w w:val="95"/>
          <w:sz w:val="17"/>
        </w:rPr>
        <w:t>and</w:t>
      </w:r>
      <w:r>
        <w:rPr>
          <w:color w:val="231F20"/>
          <w:spacing w:val="14"/>
          <w:sz w:val="17"/>
        </w:rPr>
        <w:t xml:space="preserve"> </w:t>
      </w:r>
      <w:r>
        <w:rPr>
          <w:color w:val="231F20"/>
          <w:w w:val="95"/>
          <w:sz w:val="17"/>
        </w:rPr>
        <w:t>Trauer,</w:t>
      </w:r>
      <w:r>
        <w:rPr>
          <w:color w:val="231F20"/>
          <w:spacing w:val="14"/>
          <w:sz w:val="17"/>
        </w:rPr>
        <w:t xml:space="preserve"> </w:t>
      </w:r>
      <w:r>
        <w:rPr>
          <w:color w:val="231F20"/>
          <w:w w:val="95"/>
          <w:sz w:val="17"/>
        </w:rPr>
        <w:t>B.</w:t>
      </w:r>
      <w:r>
        <w:rPr>
          <w:color w:val="231F20"/>
          <w:spacing w:val="14"/>
          <w:sz w:val="17"/>
        </w:rPr>
        <w:t xml:space="preserve"> </w:t>
      </w:r>
      <w:r>
        <w:rPr>
          <w:color w:val="231F20"/>
          <w:w w:val="95"/>
          <w:sz w:val="17"/>
        </w:rPr>
        <w:t>(2005)</w:t>
      </w:r>
      <w:r>
        <w:rPr>
          <w:color w:val="231F20"/>
          <w:spacing w:val="14"/>
          <w:sz w:val="17"/>
        </w:rPr>
        <w:t xml:space="preserve"> </w:t>
      </w:r>
      <w:r>
        <w:rPr>
          <w:color w:val="231F20"/>
          <w:w w:val="95"/>
          <w:sz w:val="17"/>
        </w:rPr>
        <w:t>Sport</w:t>
      </w:r>
      <w:r>
        <w:rPr>
          <w:color w:val="231F20"/>
          <w:spacing w:val="14"/>
          <w:sz w:val="17"/>
        </w:rPr>
        <w:t xml:space="preserve"> </w:t>
      </w:r>
      <w:r>
        <w:rPr>
          <w:color w:val="231F20"/>
          <w:w w:val="95"/>
          <w:sz w:val="17"/>
        </w:rPr>
        <w:t>tourist</w:t>
      </w:r>
      <w:r>
        <w:rPr>
          <w:color w:val="231F20"/>
          <w:spacing w:val="14"/>
          <w:sz w:val="17"/>
        </w:rPr>
        <w:t xml:space="preserve"> </w:t>
      </w:r>
      <w:r>
        <w:rPr>
          <w:color w:val="231F20"/>
          <w:w w:val="95"/>
          <w:sz w:val="17"/>
        </w:rPr>
        <w:t>behaviour:</w:t>
      </w:r>
      <w:r>
        <w:rPr>
          <w:color w:val="231F20"/>
          <w:spacing w:val="14"/>
          <w:sz w:val="17"/>
        </w:rPr>
        <w:t xml:space="preserve"> </w:t>
      </w:r>
      <w:r>
        <w:rPr>
          <w:color w:val="231F20"/>
          <w:w w:val="95"/>
          <w:sz w:val="17"/>
        </w:rPr>
        <w:t>The</w:t>
      </w:r>
      <w:r>
        <w:rPr>
          <w:color w:val="231F20"/>
          <w:spacing w:val="14"/>
          <w:sz w:val="17"/>
        </w:rPr>
        <w:t xml:space="preserve"> </w:t>
      </w:r>
      <w:r>
        <w:rPr>
          <w:color w:val="231F20"/>
          <w:w w:val="95"/>
          <w:sz w:val="17"/>
        </w:rPr>
        <w:t>example</w:t>
      </w:r>
      <w:r>
        <w:rPr>
          <w:color w:val="231F20"/>
          <w:spacing w:val="14"/>
          <w:sz w:val="17"/>
        </w:rPr>
        <w:t xml:space="preserve"> </w:t>
      </w:r>
      <w:r>
        <w:rPr>
          <w:color w:val="231F20"/>
          <w:w w:val="95"/>
          <w:sz w:val="17"/>
        </w:rPr>
        <w:t>of</w:t>
      </w:r>
      <w:r>
        <w:rPr>
          <w:color w:val="231F20"/>
          <w:spacing w:val="14"/>
          <w:sz w:val="17"/>
        </w:rPr>
        <w:t xml:space="preserve"> </w:t>
      </w:r>
      <w:r>
        <w:rPr>
          <w:color w:val="231F20"/>
          <w:w w:val="95"/>
          <w:sz w:val="17"/>
        </w:rPr>
        <w:t>the</w:t>
      </w:r>
      <w:r>
        <w:rPr>
          <w:color w:val="231F20"/>
          <w:spacing w:val="14"/>
          <w:sz w:val="17"/>
        </w:rPr>
        <w:t xml:space="preserve"> </w:t>
      </w:r>
      <w:r>
        <w:rPr>
          <w:color w:val="231F20"/>
          <w:w w:val="95"/>
          <w:sz w:val="17"/>
        </w:rPr>
        <w:t>Masters</w:t>
      </w:r>
      <w:r>
        <w:rPr>
          <w:color w:val="231F20"/>
          <w:spacing w:val="14"/>
          <w:sz w:val="17"/>
        </w:rPr>
        <w:t xml:space="preserve"> </w:t>
      </w:r>
      <w:r>
        <w:rPr>
          <w:color w:val="231F20"/>
          <w:w w:val="95"/>
          <w:sz w:val="17"/>
        </w:rPr>
        <w:t>games.</w:t>
      </w:r>
      <w:r>
        <w:rPr>
          <w:color w:val="231F20"/>
          <w:spacing w:val="40"/>
          <w:sz w:val="17"/>
        </w:rPr>
        <w:t xml:space="preserve"> </w:t>
      </w:r>
      <w:r>
        <w:rPr>
          <w:color w:val="231F20"/>
          <w:sz w:val="17"/>
        </w:rPr>
        <w:t xml:space="preserve">In J.E.S. Higham (ed.) </w:t>
      </w:r>
      <w:r>
        <w:rPr>
          <w:i/>
          <w:color w:val="231F20"/>
          <w:sz w:val="17"/>
        </w:rPr>
        <w:t>Sport Tourism Destinations: Issues, Opportunities and Analysis</w:t>
      </w:r>
      <w:r>
        <w:rPr>
          <w:i/>
          <w:color w:val="231F20"/>
          <w:spacing w:val="40"/>
          <w:sz w:val="17"/>
        </w:rPr>
        <w:t xml:space="preserve"> </w:t>
      </w:r>
      <w:r>
        <w:rPr>
          <w:color w:val="231F20"/>
          <w:sz w:val="17"/>
        </w:rPr>
        <w:t>(pp. 177–187). Oxford: Elsevier Butterworth Heinemann.</w:t>
      </w:r>
    </w:p>
    <w:p w14:paraId="67BADAEC" w14:textId="77777777" w:rsidR="00AE0598" w:rsidRDefault="0069255A">
      <w:pPr>
        <w:spacing w:before="2"/>
        <w:ind w:left="430" w:right="127" w:hanging="320"/>
        <w:jc w:val="both"/>
        <w:rPr>
          <w:sz w:val="17"/>
        </w:rPr>
      </w:pPr>
      <w:r>
        <w:rPr>
          <w:color w:val="231F20"/>
          <w:sz w:val="17"/>
        </w:rPr>
        <w:t xml:space="preserve">Saarinen, </w:t>
      </w:r>
      <w:r>
        <w:rPr>
          <w:color w:val="231F20"/>
          <w:w w:val="105"/>
          <w:sz w:val="17"/>
        </w:rPr>
        <w:t xml:space="preserve">J. </w:t>
      </w:r>
      <w:r>
        <w:rPr>
          <w:color w:val="231F20"/>
          <w:sz w:val="17"/>
        </w:rPr>
        <w:t xml:space="preserve">(2006) Traditions of sustainability in tourism studies. </w:t>
      </w:r>
      <w:r>
        <w:rPr>
          <w:i/>
          <w:color w:val="231F20"/>
          <w:sz w:val="17"/>
        </w:rPr>
        <w:t>Annals of Tourism</w:t>
      </w:r>
      <w:r>
        <w:rPr>
          <w:i/>
          <w:color w:val="231F20"/>
          <w:spacing w:val="40"/>
          <w:sz w:val="17"/>
        </w:rPr>
        <w:t xml:space="preserve"> </w:t>
      </w:r>
      <w:r>
        <w:rPr>
          <w:i/>
          <w:color w:val="231F20"/>
          <w:sz w:val="17"/>
        </w:rPr>
        <w:t xml:space="preserve">Research </w:t>
      </w:r>
      <w:r>
        <w:rPr>
          <w:color w:val="231F20"/>
          <w:sz w:val="17"/>
        </w:rPr>
        <w:t>33, 1121–1140.</w:t>
      </w:r>
    </w:p>
    <w:p w14:paraId="066D89CC" w14:textId="77777777" w:rsidR="00AE0598" w:rsidRDefault="0069255A">
      <w:pPr>
        <w:spacing w:before="2"/>
        <w:ind w:left="430" w:right="127" w:hanging="320"/>
        <w:jc w:val="both"/>
        <w:rPr>
          <w:sz w:val="17"/>
        </w:rPr>
      </w:pPr>
      <w:r>
        <w:rPr>
          <w:color w:val="231F20"/>
          <w:sz w:val="17"/>
        </w:rPr>
        <w:t>Sage</w:t>
      </w:r>
      <w:r>
        <w:rPr>
          <w:color w:val="231F20"/>
          <w:sz w:val="17"/>
        </w:rPr>
        <w:t>,</w:t>
      </w:r>
      <w:r>
        <w:rPr>
          <w:color w:val="231F20"/>
          <w:spacing w:val="40"/>
          <w:sz w:val="17"/>
        </w:rPr>
        <w:t xml:space="preserve"> </w:t>
      </w:r>
      <w:r>
        <w:rPr>
          <w:color w:val="231F20"/>
          <w:sz w:val="17"/>
        </w:rPr>
        <w:t>G.</w:t>
      </w:r>
      <w:r>
        <w:rPr>
          <w:color w:val="231F20"/>
          <w:spacing w:val="40"/>
          <w:sz w:val="17"/>
        </w:rPr>
        <w:t xml:space="preserve"> </w:t>
      </w:r>
      <w:r>
        <w:rPr>
          <w:color w:val="231F20"/>
          <w:sz w:val="17"/>
        </w:rPr>
        <w:t>H.</w:t>
      </w:r>
      <w:r>
        <w:rPr>
          <w:color w:val="231F20"/>
          <w:spacing w:val="40"/>
          <w:sz w:val="17"/>
        </w:rPr>
        <w:t xml:space="preserve"> </w:t>
      </w:r>
      <w:r>
        <w:rPr>
          <w:color w:val="231F20"/>
          <w:sz w:val="17"/>
        </w:rPr>
        <w:t>(2016)</w:t>
      </w:r>
      <w:r>
        <w:rPr>
          <w:color w:val="231F20"/>
          <w:spacing w:val="40"/>
          <w:sz w:val="17"/>
        </w:rPr>
        <w:t xml:space="preserve"> </w:t>
      </w:r>
      <w:r>
        <w:rPr>
          <w:i/>
          <w:color w:val="231F20"/>
          <w:sz w:val="17"/>
        </w:rPr>
        <w:t>Globalizing</w:t>
      </w:r>
      <w:r>
        <w:rPr>
          <w:i/>
          <w:color w:val="231F20"/>
          <w:spacing w:val="40"/>
          <w:sz w:val="17"/>
        </w:rPr>
        <w:t xml:space="preserve"> </w:t>
      </w:r>
      <w:r>
        <w:rPr>
          <w:i/>
          <w:color w:val="231F20"/>
          <w:sz w:val="17"/>
        </w:rPr>
        <w:t>Sport:</w:t>
      </w:r>
      <w:r>
        <w:rPr>
          <w:i/>
          <w:color w:val="231F20"/>
          <w:spacing w:val="40"/>
          <w:sz w:val="17"/>
        </w:rPr>
        <w:t xml:space="preserve"> </w:t>
      </w:r>
      <w:r>
        <w:rPr>
          <w:i/>
          <w:color w:val="231F20"/>
          <w:sz w:val="17"/>
        </w:rPr>
        <w:t>How</w:t>
      </w:r>
      <w:r>
        <w:rPr>
          <w:i/>
          <w:color w:val="231F20"/>
          <w:spacing w:val="40"/>
          <w:sz w:val="17"/>
        </w:rPr>
        <w:t xml:space="preserve"> </w:t>
      </w:r>
      <w:r>
        <w:rPr>
          <w:i/>
          <w:color w:val="231F20"/>
          <w:sz w:val="17"/>
        </w:rPr>
        <w:t>Organizations,</w:t>
      </w:r>
      <w:r>
        <w:rPr>
          <w:i/>
          <w:color w:val="231F20"/>
          <w:spacing w:val="40"/>
          <w:sz w:val="17"/>
        </w:rPr>
        <w:t xml:space="preserve"> </w:t>
      </w:r>
      <w:r>
        <w:rPr>
          <w:i/>
          <w:color w:val="231F20"/>
          <w:sz w:val="17"/>
        </w:rPr>
        <w:t>Corporations,</w:t>
      </w:r>
      <w:r>
        <w:rPr>
          <w:i/>
          <w:color w:val="231F20"/>
          <w:spacing w:val="40"/>
          <w:sz w:val="17"/>
        </w:rPr>
        <w:t xml:space="preserve"> </w:t>
      </w:r>
      <w:r>
        <w:rPr>
          <w:i/>
          <w:color w:val="231F20"/>
          <w:sz w:val="17"/>
        </w:rPr>
        <w:t>Media,</w:t>
      </w:r>
      <w:r>
        <w:rPr>
          <w:i/>
          <w:color w:val="231F20"/>
          <w:spacing w:val="40"/>
          <w:sz w:val="17"/>
        </w:rPr>
        <w:t xml:space="preserve"> </w:t>
      </w:r>
      <w:r>
        <w:rPr>
          <w:i/>
          <w:color w:val="231F20"/>
          <w:sz w:val="17"/>
        </w:rPr>
        <w:t>and</w:t>
      </w:r>
      <w:r>
        <w:rPr>
          <w:i/>
          <w:color w:val="231F20"/>
          <w:spacing w:val="40"/>
          <w:sz w:val="17"/>
        </w:rPr>
        <w:t xml:space="preserve"> </w:t>
      </w:r>
      <w:r>
        <w:rPr>
          <w:i/>
          <w:color w:val="231F20"/>
          <w:sz w:val="17"/>
        </w:rPr>
        <w:t xml:space="preserve">Politics are Changing Sport. </w:t>
      </w:r>
      <w:r>
        <w:rPr>
          <w:color w:val="231F20"/>
          <w:sz w:val="17"/>
        </w:rPr>
        <w:t>New York: Routledge.</w:t>
      </w:r>
    </w:p>
    <w:p w14:paraId="334C0677" w14:textId="77777777" w:rsidR="00AE0598" w:rsidRDefault="0069255A">
      <w:pPr>
        <w:spacing w:before="1"/>
        <w:ind w:left="430" w:right="124" w:hanging="320"/>
        <w:jc w:val="both"/>
        <w:rPr>
          <w:sz w:val="17"/>
        </w:rPr>
      </w:pPr>
      <w:r>
        <w:rPr>
          <w:color w:val="231F20"/>
          <w:sz w:val="17"/>
        </w:rPr>
        <w:t xml:space="preserve">Salazar, N. (2005) Tourism and glocalization: ‘Local’ tour guiding. </w:t>
      </w:r>
      <w:r>
        <w:rPr>
          <w:i/>
          <w:color w:val="231F20"/>
          <w:sz w:val="17"/>
        </w:rPr>
        <w:t>Annals of Tourism</w:t>
      </w:r>
      <w:r>
        <w:rPr>
          <w:i/>
          <w:color w:val="231F20"/>
          <w:spacing w:val="40"/>
          <w:sz w:val="17"/>
        </w:rPr>
        <w:t xml:space="preserve"> </w:t>
      </w:r>
      <w:r>
        <w:rPr>
          <w:i/>
          <w:color w:val="231F20"/>
          <w:sz w:val="17"/>
        </w:rPr>
        <w:t xml:space="preserve">Research </w:t>
      </w:r>
      <w:r>
        <w:rPr>
          <w:color w:val="231F20"/>
          <w:sz w:val="17"/>
        </w:rPr>
        <w:t>32 (3), 628–646.</w:t>
      </w:r>
    </w:p>
    <w:p w14:paraId="06A0D548" w14:textId="77777777" w:rsidR="00AE0598" w:rsidRDefault="0069255A">
      <w:pPr>
        <w:spacing w:before="1"/>
        <w:ind w:left="430" w:right="127" w:hanging="320"/>
        <w:jc w:val="both"/>
        <w:rPr>
          <w:sz w:val="17"/>
        </w:rPr>
      </w:pPr>
      <w:r>
        <w:rPr>
          <w:color w:val="231F20"/>
          <w:w w:val="105"/>
          <w:sz w:val="17"/>
        </w:rPr>
        <w:t>Sallis, J.F., Cervero, R.B., Ascher, W., Henderson, K.A., Kraft, M.K. and Kerr, J. (2006)</w:t>
      </w:r>
      <w:r>
        <w:rPr>
          <w:color w:val="231F20"/>
          <w:spacing w:val="80"/>
          <w:w w:val="105"/>
          <w:sz w:val="17"/>
        </w:rPr>
        <w:t xml:space="preserve"> </w:t>
      </w:r>
      <w:r>
        <w:rPr>
          <w:color w:val="231F20"/>
          <w:w w:val="95"/>
          <w:sz w:val="17"/>
        </w:rPr>
        <w:t>An ecological approach to creating active living commu</w:t>
      </w:r>
      <w:r>
        <w:rPr>
          <w:color w:val="231F20"/>
          <w:w w:val="95"/>
          <w:sz w:val="17"/>
        </w:rPr>
        <w:t xml:space="preserve">nities. </w:t>
      </w:r>
      <w:r>
        <w:rPr>
          <w:i/>
          <w:color w:val="231F20"/>
          <w:w w:val="95"/>
          <w:sz w:val="17"/>
        </w:rPr>
        <w:t>Annual Review of Public</w:t>
      </w:r>
      <w:r>
        <w:rPr>
          <w:i/>
          <w:color w:val="231F20"/>
          <w:spacing w:val="40"/>
          <w:w w:val="105"/>
          <w:sz w:val="17"/>
        </w:rPr>
        <w:t xml:space="preserve"> </w:t>
      </w:r>
      <w:r>
        <w:rPr>
          <w:i/>
          <w:color w:val="231F20"/>
          <w:w w:val="105"/>
          <w:sz w:val="17"/>
        </w:rPr>
        <w:t xml:space="preserve">Health </w:t>
      </w:r>
      <w:r>
        <w:rPr>
          <w:color w:val="231F20"/>
          <w:w w:val="105"/>
          <w:sz w:val="17"/>
        </w:rPr>
        <w:t>27, 297–322.</w:t>
      </w:r>
    </w:p>
    <w:p w14:paraId="6322DAA9" w14:textId="77777777" w:rsidR="00AE0598" w:rsidRDefault="0069255A">
      <w:pPr>
        <w:spacing w:before="3"/>
        <w:ind w:left="430" w:right="127" w:hanging="320"/>
        <w:jc w:val="both"/>
        <w:rPr>
          <w:sz w:val="17"/>
        </w:rPr>
      </w:pPr>
      <w:r>
        <w:rPr>
          <w:color w:val="231F20"/>
          <w:w w:val="105"/>
          <w:sz w:val="17"/>
        </w:rPr>
        <w:t>Sampson, K.A. and Goodrich, C.G. (2009) Making place: Identity construction and</w:t>
      </w:r>
      <w:r>
        <w:rPr>
          <w:color w:val="231F20"/>
          <w:spacing w:val="40"/>
          <w:w w:val="105"/>
          <w:sz w:val="17"/>
        </w:rPr>
        <w:t xml:space="preserve"> </w:t>
      </w:r>
      <w:r>
        <w:rPr>
          <w:color w:val="231F20"/>
          <w:sz w:val="17"/>
        </w:rPr>
        <w:t xml:space="preserve">community formation through ‘sense of place’ in Westland, New Zealand. </w:t>
      </w:r>
      <w:r>
        <w:rPr>
          <w:i/>
          <w:color w:val="231F20"/>
          <w:sz w:val="17"/>
        </w:rPr>
        <w:t>Society &amp;</w:t>
      </w:r>
      <w:r>
        <w:rPr>
          <w:i/>
          <w:color w:val="231F20"/>
          <w:spacing w:val="40"/>
          <w:sz w:val="17"/>
        </w:rPr>
        <w:t xml:space="preserve"> </w:t>
      </w:r>
      <w:r>
        <w:rPr>
          <w:i/>
          <w:color w:val="231F20"/>
          <w:sz w:val="17"/>
        </w:rPr>
        <w:t xml:space="preserve">Natural Resources </w:t>
      </w:r>
      <w:r>
        <w:rPr>
          <w:color w:val="231F20"/>
          <w:sz w:val="17"/>
        </w:rPr>
        <w:t>22 (10), 901–915.</w:t>
      </w:r>
    </w:p>
    <w:p w14:paraId="4B2B6561" w14:textId="77777777" w:rsidR="00AE0598" w:rsidRDefault="0069255A">
      <w:pPr>
        <w:spacing w:before="2"/>
        <w:ind w:left="430" w:right="127" w:hanging="320"/>
        <w:jc w:val="both"/>
        <w:rPr>
          <w:sz w:val="17"/>
        </w:rPr>
      </w:pPr>
      <w:r>
        <w:rPr>
          <w:color w:val="231F20"/>
          <w:w w:val="95"/>
          <w:sz w:val="17"/>
        </w:rPr>
        <w:t>Sant, S.L. and Mason, D.S. (2015) Framing event legacy in a prospective host city: Managing</w:t>
      </w:r>
      <w:r>
        <w:rPr>
          <w:color w:val="231F20"/>
          <w:spacing w:val="40"/>
          <w:sz w:val="17"/>
        </w:rPr>
        <w:t xml:space="preserve"> </w:t>
      </w:r>
      <w:r>
        <w:rPr>
          <w:color w:val="231F20"/>
          <w:sz w:val="17"/>
        </w:rPr>
        <w:t xml:space="preserve">Vancouver’s Olympic bid. </w:t>
      </w:r>
      <w:r>
        <w:rPr>
          <w:i/>
          <w:color w:val="231F20"/>
          <w:sz w:val="17"/>
        </w:rPr>
        <w:t>Journal of Sport Manag</w:t>
      </w:r>
      <w:r>
        <w:rPr>
          <w:i/>
          <w:color w:val="231F20"/>
          <w:sz w:val="17"/>
        </w:rPr>
        <w:t xml:space="preserve">ement </w:t>
      </w:r>
      <w:r>
        <w:rPr>
          <w:color w:val="231F20"/>
          <w:sz w:val="17"/>
        </w:rPr>
        <w:t>29 (1), 42–56.</w:t>
      </w:r>
    </w:p>
    <w:p w14:paraId="5ADD07DD" w14:textId="77777777" w:rsidR="00AE0598" w:rsidRDefault="00AE0598">
      <w:pPr>
        <w:jc w:val="both"/>
        <w:rPr>
          <w:sz w:val="17"/>
        </w:rPr>
        <w:sectPr w:rsidR="00AE0598">
          <w:pgSz w:w="8850" w:h="13270"/>
          <w:pgMar w:top="720" w:right="1060" w:bottom="280" w:left="1080" w:header="720" w:footer="720" w:gutter="0"/>
          <w:cols w:space="720"/>
        </w:sectPr>
      </w:pPr>
    </w:p>
    <w:p w14:paraId="6C838A04" w14:textId="77777777" w:rsidR="00AE0598" w:rsidRDefault="0069255A">
      <w:pPr>
        <w:spacing w:before="87"/>
        <w:ind w:left="110" w:right="128"/>
        <w:jc w:val="right"/>
        <w:rPr>
          <w:rFonts w:ascii="Trebuchet MS"/>
          <w:sz w:val="14"/>
        </w:rPr>
      </w:pPr>
      <w:r>
        <w:rPr>
          <w:rFonts w:ascii="Trebuchet MS"/>
          <w:color w:val="231F20"/>
          <w:w w:val="105"/>
          <w:sz w:val="14"/>
        </w:rPr>
        <w:lastRenderedPageBreak/>
        <w:t>References</w:t>
      </w:r>
      <w:r>
        <w:rPr>
          <w:rFonts w:ascii="Trebuchet MS"/>
          <w:color w:val="231F20"/>
          <w:spacing w:val="67"/>
          <w:w w:val="105"/>
          <w:sz w:val="14"/>
        </w:rPr>
        <w:t xml:space="preserve"> </w:t>
      </w:r>
      <w:r>
        <w:rPr>
          <w:rFonts w:ascii="Trebuchet MS"/>
          <w:color w:val="231F20"/>
          <w:spacing w:val="-5"/>
          <w:w w:val="105"/>
          <w:sz w:val="14"/>
        </w:rPr>
        <w:t>271</w:t>
      </w:r>
    </w:p>
    <w:p w14:paraId="0D52A867" w14:textId="77777777" w:rsidR="00AE0598" w:rsidRDefault="00AE0598">
      <w:pPr>
        <w:pStyle w:val="Corpodetexto"/>
        <w:rPr>
          <w:rFonts w:ascii="Trebuchet MS"/>
          <w:sz w:val="16"/>
        </w:rPr>
      </w:pPr>
    </w:p>
    <w:p w14:paraId="37132F17" w14:textId="77777777" w:rsidR="00AE0598" w:rsidRDefault="0069255A">
      <w:pPr>
        <w:spacing w:before="121"/>
        <w:ind w:left="430" w:right="128" w:hanging="320"/>
        <w:jc w:val="both"/>
        <w:rPr>
          <w:sz w:val="17"/>
        </w:rPr>
      </w:pPr>
      <w:r>
        <w:rPr>
          <w:color w:val="231F20"/>
          <w:sz w:val="17"/>
        </w:rPr>
        <w:t>Santana,</w:t>
      </w:r>
      <w:r>
        <w:rPr>
          <w:color w:val="231F20"/>
          <w:spacing w:val="-1"/>
          <w:sz w:val="17"/>
        </w:rPr>
        <w:t xml:space="preserve"> </w:t>
      </w:r>
      <w:r>
        <w:rPr>
          <w:color w:val="231F20"/>
          <w:sz w:val="17"/>
        </w:rPr>
        <w:t>G.</w:t>
      </w:r>
      <w:r>
        <w:rPr>
          <w:color w:val="231F20"/>
          <w:spacing w:val="-1"/>
          <w:sz w:val="17"/>
        </w:rPr>
        <w:t xml:space="preserve"> </w:t>
      </w:r>
      <w:r>
        <w:rPr>
          <w:color w:val="231F20"/>
          <w:sz w:val="17"/>
        </w:rPr>
        <w:t>(1998)</w:t>
      </w:r>
      <w:r>
        <w:rPr>
          <w:color w:val="231F20"/>
          <w:spacing w:val="-1"/>
          <w:sz w:val="17"/>
        </w:rPr>
        <w:t xml:space="preserve"> </w:t>
      </w:r>
      <w:r>
        <w:rPr>
          <w:color w:val="231F20"/>
          <w:sz w:val="17"/>
        </w:rPr>
        <w:t>Sports</w:t>
      </w:r>
      <w:r>
        <w:rPr>
          <w:color w:val="231F20"/>
          <w:spacing w:val="-1"/>
          <w:sz w:val="17"/>
        </w:rPr>
        <w:t xml:space="preserve"> </w:t>
      </w:r>
      <w:r>
        <w:rPr>
          <w:color w:val="231F20"/>
          <w:sz w:val="17"/>
        </w:rPr>
        <w:t>tourism</w:t>
      </w:r>
      <w:r>
        <w:rPr>
          <w:color w:val="231F20"/>
          <w:spacing w:val="-1"/>
          <w:sz w:val="17"/>
        </w:rPr>
        <w:t xml:space="preserve"> </w:t>
      </w:r>
      <w:r>
        <w:rPr>
          <w:color w:val="231F20"/>
          <w:sz w:val="17"/>
        </w:rPr>
        <w:t>and</w:t>
      </w:r>
      <w:r>
        <w:rPr>
          <w:color w:val="231F20"/>
          <w:spacing w:val="-1"/>
          <w:sz w:val="17"/>
        </w:rPr>
        <w:t xml:space="preserve"> </w:t>
      </w:r>
      <w:r>
        <w:rPr>
          <w:color w:val="231F20"/>
          <w:sz w:val="17"/>
        </w:rPr>
        <w:t>crisis</w:t>
      </w:r>
      <w:r>
        <w:rPr>
          <w:color w:val="231F20"/>
          <w:spacing w:val="-1"/>
          <w:sz w:val="17"/>
        </w:rPr>
        <w:t xml:space="preserve"> </w:t>
      </w:r>
      <w:r>
        <w:rPr>
          <w:color w:val="231F20"/>
          <w:sz w:val="17"/>
        </w:rPr>
        <w:t>management.</w:t>
      </w:r>
      <w:r>
        <w:rPr>
          <w:color w:val="231F20"/>
          <w:spacing w:val="-1"/>
          <w:sz w:val="17"/>
        </w:rPr>
        <w:t xml:space="preserve"> </w:t>
      </w:r>
      <w:r>
        <w:rPr>
          <w:i/>
          <w:color w:val="231F20"/>
          <w:sz w:val="17"/>
        </w:rPr>
        <w:t>Journal</w:t>
      </w:r>
      <w:r>
        <w:rPr>
          <w:i/>
          <w:color w:val="231F20"/>
          <w:spacing w:val="-1"/>
          <w:sz w:val="17"/>
        </w:rPr>
        <w:t xml:space="preserve"> </w:t>
      </w:r>
      <w:r>
        <w:rPr>
          <w:i/>
          <w:color w:val="231F20"/>
          <w:sz w:val="17"/>
        </w:rPr>
        <w:t>of</w:t>
      </w:r>
      <w:r>
        <w:rPr>
          <w:i/>
          <w:color w:val="231F20"/>
          <w:spacing w:val="15"/>
          <w:sz w:val="17"/>
        </w:rPr>
        <w:t xml:space="preserve"> </w:t>
      </w:r>
      <w:r>
        <w:rPr>
          <w:i/>
          <w:color w:val="231F20"/>
          <w:sz w:val="17"/>
        </w:rPr>
        <w:t>Sport</w:t>
      </w:r>
      <w:r>
        <w:rPr>
          <w:i/>
          <w:color w:val="231F20"/>
          <w:spacing w:val="-1"/>
          <w:sz w:val="17"/>
        </w:rPr>
        <w:t xml:space="preserve"> </w:t>
      </w:r>
      <w:r>
        <w:rPr>
          <w:i/>
          <w:color w:val="231F20"/>
          <w:sz w:val="17"/>
        </w:rPr>
        <w:t>Tourism</w:t>
      </w:r>
      <w:r>
        <w:rPr>
          <w:i/>
          <w:color w:val="231F20"/>
          <w:spacing w:val="-1"/>
          <w:sz w:val="17"/>
        </w:rPr>
        <w:t xml:space="preserve"> </w:t>
      </w:r>
      <w:r>
        <w:rPr>
          <w:color w:val="231F20"/>
          <w:sz w:val="17"/>
        </w:rPr>
        <w:t>4</w:t>
      </w:r>
      <w:r>
        <w:rPr>
          <w:color w:val="231F20"/>
          <w:spacing w:val="-1"/>
          <w:sz w:val="17"/>
        </w:rPr>
        <w:t xml:space="preserve"> </w:t>
      </w:r>
      <w:r>
        <w:rPr>
          <w:color w:val="231F20"/>
          <w:sz w:val="17"/>
        </w:rPr>
        <w:t>(4),</w:t>
      </w:r>
      <w:r>
        <w:rPr>
          <w:color w:val="231F20"/>
          <w:spacing w:val="40"/>
          <w:sz w:val="17"/>
        </w:rPr>
        <w:t xml:space="preserve"> </w:t>
      </w:r>
      <w:r>
        <w:rPr>
          <w:color w:val="231F20"/>
          <w:spacing w:val="-2"/>
          <w:sz w:val="17"/>
        </w:rPr>
        <w:t>9–22.</w:t>
      </w:r>
    </w:p>
    <w:p w14:paraId="76025D9E" w14:textId="77777777" w:rsidR="00AE0598" w:rsidRDefault="0069255A">
      <w:pPr>
        <w:spacing w:before="1"/>
        <w:ind w:left="430" w:right="128" w:hanging="320"/>
        <w:jc w:val="both"/>
        <w:rPr>
          <w:sz w:val="17"/>
        </w:rPr>
      </w:pPr>
      <w:r>
        <w:rPr>
          <w:color w:val="231F20"/>
          <w:sz w:val="17"/>
        </w:rPr>
        <w:t>Saveriades, A. (2000) Establishing the social tourism carrying capacity for the tourist</w:t>
      </w:r>
      <w:r>
        <w:rPr>
          <w:color w:val="231F20"/>
          <w:spacing w:val="40"/>
          <w:sz w:val="17"/>
        </w:rPr>
        <w:t xml:space="preserve"> </w:t>
      </w:r>
      <w:r>
        <w:rPr>
          <w:color w:val="231F20"/>
          <w:sz w:val="17"/>
        </w:rPr>
        <w:t xml:space="preserve">resorts of the east coast of the Republic of Cyprus. </w:t>
      </w:r>
      <w:r>
        <w:rPr>
          <w:i/>
          <w:color w:val="231F20"/>
          <w:sz w:val="17"/>
        </w:rPr>
        <w:t xml:space="preserve">Tourism Management </w:t>
      </w:r>
      <w:r>
        <w:rPr>
          <w:color w:val="231F20"/>
          <w:sz w:val="17"/>
        </w:rPr>
        <w:t>21 (2),</w:t>
      </w:r>
      <w:r>
        <w:rPr>
          <w:color w:val="231F20"/>
          <w:spacing w:val="40"/>
          <w:sz w:val="17"/>
        </w:rPr>
        <w:t xml:space="preserve"> </w:t>
      </w:r>
      <w:r>
        <w:rPr>
          <w:color w:val="231F20"/>
          <w:spacing w:val="-2"/>
          <w:sz w:val="17"/>
        </w:rPr>
        <w:t>147–156.</w:t>
      </w:r>
    </w:p>
    <w:p w14:paraId="53CE758D" w14:textId="77777777" w:rsidR="00AE0598" w:rsidRDefault="0069255A">
      <w:pPr>
        <w:spacing w:before="2"/>
        <w:ind w:left="430" w:right="128" w:hanging="320"/>
        <w:jc w:val="both"/>
        <w:rPr>
          <w:sz w:val="17"/>
        </w:rPr>
      </w:pPr>
      <w:r>
        <w:rPr>
          <w:color w:val="231F20"/>
          <w:sz w:val="17"/>
        </w:rPr>
        <w:t>Scannell, L. and Gifford, R. (2010) Defining place attachment: A tripartite org</w:t>
      </w:r>
      <w:r>
        <w:rPr>
          <w:color w:val="231F20"/>
          <w:sz w:val="17"/>
        </w:rPr>
        <w:t>anizing</w:t>
      </w:r>
      <w:r>
        <w:rPr>
          <w:color w:val="231F20"/>
          <w:spacing w:val="40"/>
          <w:sz w:val="17"/>
        </w:rPr>
        <w:t xml:space="preserve"> </w:t>
      </w:r>
      <w:r>
        <w:rPr>
          <w:color w:val="231F20"/>
          <w:sz w:val="17"/>
        </w:rPr>
        <w:t xml:space="preserve">framework. </w:t>
      </w:r>
      <w:r>
        <w:rPr>
          <w:i/>
          <w:color w:val="231F20"/>
          <w:sz w:val="17"/>
        </w:rPr>
        <w:t xml:space="preserve">Journal of Environmental Psychology </w:t>
      </w:r>
      <w:r>
        <w:rPr>
          <w:color w:val="231F20"/>
          <w:sz w:val="17"/>
        </w:rPr>
        <w:t>30 (1), 1–10.</w:t>
      </w:r>
    </w:p>
    <w:p w14:paraId="32808581" w14:textId="77777777" w:rsidR="00AE0598" w:rsidRDefault="0069255A">
      <w:pPr>
        <w:spacing w:before="2"/>
        <w:ind w:left="110"/>
        <w:jc w:val="both"/>
        <w:rPr>
          <w:i/>
          <w:sz w:val="17"/>
        </w:rPr>
      </w:pPr>
      <w:r>
        <w:rPr>
          <w:color w:val="231F20"/>
          <w:sz w:val="17"/>
        </w:rPr>
        <w:t>Schaffer,</w:t>
      </w:r>
      <w:r>
        <w:rPr>
          <w:color w:val="231F20"/>
          <w:spacing w:val="20"/>
          <w:sz w:val="17"/>
        </w:rPr>
        <w:t xml:space="preserve"> </w:t>
      </w:r>
      <w:r>
        <w:rPr>
          <w:color w:val="231F20"/>
          <w:sz w:val="17"/>
        </w:rPr>
        <w:t>W.</w:t>
      </w:r>
      <w:r>
        <w:rPr>
          <w:color w:val="231F20"/>
          <w:spacing w:val="20"/>
          <w:sz w:val="17"/>
        </w:rPr>
        <w:t xml:space="preserve"> </w:t>
      </w:r>
      <w:r>
        <w:rPr>
          <w:color w:val="231F20"/>
          <w:sz w:val="17"/>
        </w:rPr>
        <w:t>and</w:t>
      </w:r>
      <w:r>
        <w:rPr>
          <w:color w:val="231F20"/>
          <w:spacing w:val="21"/>
          <w:sz w:val="17"/>
        </w:rPr>
        <w:t xml:space="preserve"> </w:t>
      </w:r>
      <w:r>
        <w:rPr>
          <w:color w:val="231F20"/>
          <w:sz w:val="17"/>
        </w:rPr>
        <w:t>Davidson,</w:t>
      </w:r>
      <w:r>
        <w:rPr>
          <w:color w:val="231F20"/>
          <w:spacing w:val="21"/>
          <w:sz w:val="17"/>
        </w:rPr>
        <w:t xml:space="preserve"> </w:t>
      </w:r>
      <w:r>
        <w:rPr>
          <w:color w:val="231F20"/>
          <w:sz w:val="17"/>
        </w:rPr>
        <w:t>L.</w:t>
      </w:r>
      <w:r>
        <w:rPr>
          <w:color w:val="231F20"/>
          <w:spacing w:val="19"/>
          <w:sz w:val="17"/>
        </w:rPr>
        <w:t xml:space="preserve"> </w:t>
      </w:r>
      <w:r>
        <w:rPr>
          <w:color w:val="231F20"/>
          <w:sz w:val="17"/>
        </w:rPr>
        <w:t>(1985)</w:t>
      </w:r>
      <w:r>
        <w:rPr>
          <w:color w:val="231F20"/>
          <w:spacing w:val="20"/>
          <w:sz w:val="17"/>
        </w:rPr>
        <w:t xml:space="preserve"> </w:t>
      </w:r>
      <w:r>
        <w:rPr>
          <w:i/>
          <w:color w:val="231F20"/>
          <w:sz w:val="17"/>
        </w:rPr>
        <w:t>Economic</w:t>
      </w:r>
      <w:r>
        <w:rPr>
          <w:i/>
          <w:color w:val="231F20"/>
          <w:spacing w:val="20"/>
          <w:sz w:val="17"/>
        </w:rPr>
        <w:t xml:space="preserve"> </w:t>
      </w:r>
      <w:r>
        <w:rPr>
          <w:i/>
          <w:color w:val="231F20"/>
          <w:sz w:val="17"/>
        </w:rPr>
        <w:t>Impact</w:t>
      </w:r>
      <w:r>
        <w:rPr>
          <w:i/>
          <w:color w:val="231F20"/>
          <w:spacing w:val="20"/>
          <w:sz w:val="17"/>
        </w:rPr>
        <w:t xml:space="preserve"> </w:t>
      </w:r>
      <w:r>
        <w:rPr>
          <w:i/>
          <w:color w:val="231F20"/>
          <w:sz w:val="17"/>
        </w:rPr>
        <w:t>of</w:t>
      </w:r>
      <w:r>
        <w:rPr>
          <w:i/>
          <w:color w:val="231F20"/>
          <w:spacing w:val="20"/>
          <w:sz w:val="17"/>
        </w:rPr>
        <w:t xml:space="preserve"> </w:t>
      </w:r>
      <w:r>
        <w:rPr>
          <w:i/>
          <w:color w:val="231F20"/>
          <w:sz w:val="17"/>
        </w:rPr>
        <w:t>the</w:t>
      </w:r>
      <w:r>
        <w:rPr>
          <w:i/>
          <w:color w:val="231F20"/>
          <w:spacing w:val="19"/>
          <w:sz w:val="17"/>
        </w:rPr>
        <w:t xml:space="preserve"> </w:t>
      </w:r>
      <w:r>
        <w:rPr>
          <w:i/>
          <w:color w:val="231F20"/>
          <w:sz w:val="17"/>
        </w:rPr>
        <w:t>Falcons</w:t>
      </w:r>
      <w:r>
        <w:rPr>
          <w:i/>
          <w:color w:val="231F20"/>
          <w:spacing w:val="20"/>
          <w:sz w:val="17"/>
        </w:rPr>
        <w:t xml:space="preserve"> </w:t>
      </w:r>
      <w:r>
        <w:rPr>
          <w:i/>
          <w:color w:val="231F20"/>
          <w:sz w:val="17"/>
        </w:rPr>
        <w:t>on</w:t>
      </w:r>
      <w:r>
        <w:rPr>
          <w:i/>
          <w:color w:val="231F20"/>
          <w:spacing w:val="20"/>
          <w:sz w:val="17"/>
        </w:rPr>
        <w:t xml:space="preserve"> </w:t>
      </w:r>
      <w:r>
        <w:rPr>
          <w:i/>
          <w:color w:val="231F20"/>
          <w:sz w:val="17"/>
        </w:rPr>
        <w:t>Atlanta:</w:t>
      </w:r>
      <w:r>
        <w:rPr>
          <w:i/>
          <w:color w:val="231F20"/>
          <w:spacing w:val="20"/>
          <w:sz w:val="17"/>
        </w:rPr>
        <w:t xml:space="preserve"> </w:t>
      </w:r>
      <w:r>
        <w:rPr>
          <w:i/>
          <w:color w:val="231F20"/>
          <w:spacing w:val="-2"/>
          <w:sz w:val="17"/>
        </w:rPr>
        <w:t>1984.</w:t>
      </w:r>
    </w:p>
    <w:p w14:paraId="078E7331" w14:textId="77777777" w:rsidR="00AE0598" w:rsidRDefault="0069255A">
      <w:pPr>
        <w:ind w:left="430"/>
        <w:jc w:val="both"/>
        <w:rPr>
          <w:sz w:val="17"/>
        </w:rPr>
      </w:pPr>
      <w:r>
        <w:rPr>
          <w:color w:val="231F20"/>
          <w:sz w:val="17"/>
        </w:rPr>
        <w:t>Suwanee,</w:t>
      </w:r>
      <w:r>
        <w:rPr>
          <w:color w:val="231F20"/>
          <w:spacing w:val="12"/>
          <w:sz w:val="17"/>
        </w:rPr>
        <w:t xml:space="preserve"> </w:t>
      </w:r>
      <w:r>
        <w:rPr>
          <w:color w:val="231F20"/>
          <w:sz w:val="17"/>
        </w:rPr>
        <w:t>GA:</w:t>
      </w:r>
      <w:r>
        <w:rPr>
          <w:color w:val="231F20"/>
          <w:spacing w:val="13"/>
          <w:sz w:val="17"/>
        </w:rPr>
        <w:t xml:space="preserve"> </w:t>
      </w:r>
      <w:r>
        <w:rPr>
          <w:color w:val="231F20"/>
          <w:sz w:val="17"/>
        </w:rPr>
        <w:t>The</w:t>
      </w:r>
      <w:r>
        <w:rPr>
          <w:color w:val="231F20"/>
          <w:spacing w:val="12"/>
          <w:sz w:val="17"/>
        </w:rPr>
        <w:t xml:space="preserve"> </w:t>
      </w:r>
      <w:r>
        <w:rPr>
          <w:color w:val="231F20"/>
          <w:sz w:val="17"/>
        </w:rPr>
        <w:t>Atlanta</w:t>
      </w:r>
      <w:r>
        <w:rPr>
          <w:color w:val="231F20"/>
          <w:spacing w:val="13"/>
          <w:sz w:val="17"/>
        </w:rPr>
        <w:t xml:space="preserve"> </w:t>
      </w:r>
      <w:r>
        <w:rPr>
          <w:color w:val="231F20"/>
          <w:spacing w:val="-2"/>
          <w:sz w:val="17"/>
        </w:rPr>
        <w:t>Falcons.</w:t>
      </w:r>
    </w:p>
    <w:p w14:paraId="7EE5E3A8" w14:textId="77777777" w:rsidR="00AE0598" w:rsidRDefault="0069255A">
      <w:pPr>
        <w:spacing w:before="1"/>
        <w:ind w:left="110"/>
        <w:jc w:val="both"/>
        <w:rPr>
          <w:sz w:val="17"/>
        </w:rPr>
      </w:pPr>
      <w:r>
        <w:rPr>
          <w:color w:val="231F20"/>
          <w:sz w:val="17"/>
        </w:rPr>
        <w:t>Schlossberg,</w:t>
      </w:r>
      <w:r>
        <w:rPr>
          <w:color w:val="231F20"/>
          <w:spacing w:val="6"/>
          <w:sz w:val="17"/>
        </w:rPr>
        <w:t xml:space="preserve"> </w:t>
      </w:r>
      <w:r>
        <w:rPr>
          <w:color w:val="231F20"/>
          <w:sz w:val="17"/>
        </w:rPr>
        <w:t>H.</w:t>
      </w:r>
      <w:r>
        <w:rPr>
          <w:color w:val="231F20"/>
          <w:spacing w:val="7"/>
          <w:sz w:val="17"/>
        </w:rPr>
        <w:t xml:space="preserve"> </w:t>
      </w:r>
      <w:r>
        <w:rPr>
          <w:color w:val="231F20"/>
          <w:sz w:val="17"/>
        </w:rPr>
        <w:t>(1996)</w:t>
      </w:r>
      <w:r>
        <w:rPr>
          <w:color w:val="231F20"/>
          <w:spacing w:val="7"/>
          <w:sz w:val="17"/>
        </w:rPr>
        <w:t xml:space="preserve"> </w:t>
      </w:r>
      <w:r>
        <w:rPr>
          <w:i/>
          <w:color w:val="231F20"/>
          <w:sz w:val="17"/>
        </w:rPr>
        <w:t>Sports</w:t>
      </w:r>
      <w:r>
        <w:rPr>
          <w:i/>
          <w:color w:val="231F20"/>
          <w:spacing w:val="7"/>
          <w:sz w:val="17"/>
        </w:rPr>
        <w:t xml:space="preserve"> </w:t>
      </w:r>
      <w:r>
        <w:rPr>
          <w:i/>
          <w:color w:val="231F20"/>
          <w:sz w:val="17"/>
        </w:rPr>
        <w:t>Marketing</w:t>
      </w:r>
      <w:r>
        <w:rPr>
          <w:color w:val="231F20"/>
          <w:sz w:val="17"/>
        </w:rPr>
        <w:t>.</w:t>
      </w:r>
      <w:r>
        <w:rPr>
          <w:color w:val="231F20"/>
          <w:spacing w:val="6"/>
          <w:sz w:val="17"/>
        </w:rPr>
        <w:t xml:space="preserve"> </w:t>
      </w:r>
      <w:r>
        <w:rPr>
          <w:color w:val="231F20"/>
          <w:sz w:val="17"/>
        </w:rPr>
        <w:t>Oxford:</w:t>
      </w:r>
      <w:r>
        <w:rPr>
          <w:color w:val="231F20"/>
          <w:spacing w:val="7"/>
          <w:sz w:val="17"/>
        </w:rPr>
        <w:t xml:space="preserve"> </w:t>
      </w:r>
      <w:r>
        <w:rPr>
          <w:color w:val="231F20"/>
          <w:spacing w:val="-2"/>
          <w:sz w:val="17"/>
        </w:rPr>
        <w:t>Blakewell.</w:t>
      </w:r>
    </w:p>
    <w:p w14:paraId="545BA176" w14:textId="77777777" w:rsidR="00AE0598" w:rsidRDefault="0069255A">
      <w:pPr>
        <w:spacing w:before="1"/>
        <w:ind w:left="430" w:right="128" w:hanging="320"/>
        <w:jc w:val="both"/>
        <w:rPr>
          <w:sz w:val="17"/>
        </w:rPr>
      </w:pPr>
      <w:r>
        <w:rPr>
          <w:color w:val="231F20"/>
          <w:sz w:val="17"/>
        </w:rPr>
        <w:t>Schollmann, A., Perkins, H.C. and Moore, K. (2001) Rhetoric, claims making and conflict</w:t>
      </w:r>
      <w:r>
        <w:rPr>
          <w:color w:val="231F20"/>
          <w:spacing w:val="80"/>
          <w:sz w:val="17"/>
        </w:rPr>
        <w:t xml:space="preserve"> </w:t>
      </w:r>
      <w:r>
        <w:rPr>
          <w:color w:val="231F20"/>
          <w:sz w:val="17"/>
        </w:rPr>
        <w:t>in</w:t>
      </w:r>
      <w:r>
        <w:rPr>
          <w:color w:val="231F20"/>
          <w:spacing w:val="-1"/>
          <w:sz w:val="17"/>
        </w:rPr>
        <w:t xml:space="preserve"> </w:t>
      </w:r>
      <w:r>
        <w:rPr>
          <w:color w:val="231F20"/>
          <w:sz w:val="17"/>
        </w:rPr>
        <w:t>touristic</w:t>
      </w:r>
      <w:r>
        <w:rPr>
          <w:color w:val="231F20"/>
          <w:spacing w:val="-1"/>
          <w:sz w:val="17"/>
        </w:rPr>
        <w:t xml:space="preserve"> </w:t>
      </w:r>
      <w:r>
        <w:rPr>
          <w:color w:val="231F20"/>
          <w:sz w:val="17"/>
        </w:rPr>
        <w:t>place</w:t>
      </w:r>
      <w:r>
        <w:rPr>
          <w:color w:val="231F20"/>
          <w:spacing w:val="-1"/>
          <w:sz w:val="17"/>
        </w:rPr>
        <w:t xml:space="preserve"> </w:t>
      </w:r>
      <w:r>
        <w:rPr>
          <w:color w:val="231F20"/>
          <w:sz w:val="17"/>
        </w:rPr>
        <w:t>promotion:</w:t>
      </w:r>
      <w:r>
        <w:rPr>
          <w:color w:val="231F20"/>
          <w:spacing w:val="-1"/>
          <w:sz w:val="17"/>
        </w:rPr>
        <w:t xml:space="preserve"> </w:t>
      </w:r>
      <w:r>
        <w:rPr>
          <w:color w:val="231F20"/>
          <w:sz w:val="17"/>
        </w:rPr>
        <w:t>The</w:t>
      </w:r>
      <w:r>
        <w:rPr>
          <w:color w:val="231F20"/>
          <w:spacing w:val="-1"/>
          <w:sz w:val="17"/>
        </w:rPr>
        <w:t xml:space="preserve"> </w:t>
      </w:r>
      <w:r>
        <w:rPr>
          <w:color w:val="231F20"/>
          <w:sz w:val="17"/>
        </w:rPr>
        <w:t>case</w:t>
      </w:r>
      <w:r>
        <w:rPr>
          <w:color w:val="231F20"/>
          <w:spacing w:val="-1"/>
          <w:sz w:val="17"/>
        </w:rPr>
        <w:t xml:space="preserve"> </w:t>
      </w:r>
      <w:r>
        <w:rPr>
          <w:color w:val="231F20"/>
          <w:sz w:val="17"/>
        </w:rPr>
        <w:t>of</w:t>
      </w:r>
      <w:r>
        <w:rPr>
          <w:color w:val="231F20"/>
          <w:spacing w:val="-1"/>
          <w:sz w:val="17"/>
        </w:rPr>
        <w:t xml:space="preserve"> </w:t>
      </w:r>
      <w:r>
        <w:rPr>
          <w:color w:val="231F20"/>
          <w:sz w:val="17"/>
        </w:rPr>
        <w:t>central</w:t>
      </w:r>
      <w:r>
        <w:rPr>
          <w:color w:val="231F20"/>
          <w:spacing w:val="-1"/>
          <w:sz w:val="17"/>
        </w:rPr>
        <w:t xml:space="preserve"> </w:t>
      </w:r>
      <w:r>
        <w:rPr>
          <w:color w:val="231F20"/>
          <w:sz w:val="17"/>
        </w:rPr>
        <w:t>Christchurch,</w:t>
      </w:r>
      <w:r>
        <w:rPr>
          <w:color w:val="231F20"/>
          <w:spacing w:val="-1"/>
          <w:sz w:val="17"/>
        </w:rPr>
        <w:t xml:space="preserve"> </w:t>
      </w:r>
      <w:r>
        <w:rPr>
          <w:color w:val="231F20"/>
          <w:sz w:val="17"/>
        </w:rPr>
        <w:t>New</w:t>
      </w:r>
      <w:r>
        <w:rPr>
          <w:color w:val="231F20"/>
          <w:spacing w:val="-1"/>
          <w:sz w:val="17"/>
        </w:rPr>
        <w:t xml:space="preserve"> </w:t>
      </w:r>
      <w:r>
        <w:rPr>
          <w:color w:val="231F20"/>
          <w:sz w:val="17"/>
        </w:rPr>
        <w:t>Zealand.</w:t>
      </w:r>
      <w:r>
        <w:rPr>
          <w:color w:val="231F20"/>
          <w:spacing w:val="-2"/>
          <w:sz w:val="17"/>
        </w:rPr>
        <w:t xml:space="preserve"> </w:t>
      </w:r>
      <w:r>
        <w:rPr>
          <w:i/>
          <w:color w:val="231F20"/>
          <w:sz w:val="17"/>
        </w:rPr>
        <w:t>Tourism</w:t>
      </w:r>
      <w:r>
        <w:rPr>
          <w:i/>
          <w:color w:val="231F20"/>
          <w:spacing w:val="40"/>
          <w:sz w:val="17"/>
        </w:rPr>
        <w:t xml:space="preserve"> </w:t>
      </w:r>
      <w:r>
        <w:rPr>
          <w:i/>
          <w:color w:val="231F20"/>
          <w:sz w:val="17"/>
        </w:rPr>
        <w:t xml:space="preserve">Geographies </w:t>
      </w:r>
      <w:r>
        <w:rPr>
          <w:color w:val="231F20"/>
          <w:sz w:val="17"/>
        </w:rPr>
        <w:t>3 (3), 300–325.</w:t>
      </w:r>
    </w:p>
    <w:p w14:paraId="5A4E0867" w14:textId="77777777" w:rsidR="00AE0598" w:rsidRDefault="0069255A">
      <w:pPr>
        <w:spacing w:before="2"/>
        <w:ind w:left="430" w:right="128" w:hanging="320"/>
        <w:jc w:val="both"/>
        <w:rPr>
          <w:sz w:val="17"/>
        </w:rPr>
      </w:pPr>
      <w:r>
        <w:rPr>
          <w:color w:val="231F20"/>
          <w:sz w:val="17"/>
        </w:rPr>
        <w:t>Schreyer, R. and Lime, D.W. (1984) A novice isn’t necessarily a novice: The influence of</w:t>
      </w:r>
      <w:r>
        <w:rPr>
          <w:color w:val="231F20"/>
          <w:spacing w:val="40"/>
          <w:sz w:val="17"/>
        </w:rPr>
        <w:t xml:space="preserve"> </w:t>
      </w:r>
      <w:r>
        <w:rPr>
          <w:color w:val="231F20"/>
          <w:sz w:val="17"/>
        </w:rPr>
        <w:t xml:space="preserve">experience use history on subjective perceptions of recreation participation. </w:t>
      </w:r>
      <w:r>
        <w:rPr>
          <w:i/>
          <w:color w:val="231F20"/>
          <w:sz w:val="17"/>
        </w:rPr>
        <w:t>Leisure</w:t>
      </w:r>
      <w:r>
        <w:rPr>
          <w:i/>
          <w:color w:val="231F20"/>
          <w:spacing w:val="40"/>
          <w:sz w:val="17"/>
        </w:rPr>
        <w:t xml:space="preserve"> </w:t>
      </w:r>
      <w:r>
        <w:rPr>
          <w:i/>
          <w:color w:val="231F20"/>
          <w:sz w:val="17"/>
        </w:rPr>
        <w:t xml:space="preserve">Sciences </w:t>
      </w:r>
      <w:r>
        <w:rPr>
          <w:color w:val="231F20"/>
          <w:sz w:val="17"/>
        </w:rPr>
        <w:t>6 (2), 131–149.</w:t>
      </w:r>
    </w:p>
    <w:p w14:paraId="7EA53DC4" w14:textId="77777777" w:rsidR="00AE0598" w:rsidRDefault="0069255A">
      <w:pPr>
        <w:spacing w:before="2"/>
        <w:ind w:left="430" w:right="127" w:hanging="320"/>
        <w:jc w:val="both"/>
        <w:rPr>
          <w:sz w:val="17"/>
        </w:rPr>
      </w:pPr>
      <w:r>
        <w:rPr>
          <w:color w:val="231F20"/>
          <w:sz w:val="17"/>
        </w:rPr>
        <w:t>Schreyer, R., Lime, D.W. and Williams, D.R. (1984) Chara</w:t>
      </w:r>
      <w:r>
        <w:rPr>
          <w:color w:val="231F20"/>
          <w:sz w:val="17"/>
        </w:rPr>
        <w:t>cterizing the influence of past</w:t>
      </w:r>
      <w:r>
        <w:rPr>
          <w:color w:val="231F20"/>
          <w:spacing w:val="40"/>
          <w:sz w:val="17"/>
        </w:rPr>
        <w:t xml:space="preserve"> </w:t>
      </w:r>
      <w:r>
        <w:rPr>
          <w:color w:val="231F20"/>
          <w:sz w:val="17"/>
        </w:rPr>
        <w:t xml:space="preserve">experience on recreation behaviour. </w:t>
      </w:r>
      <w:r>
        <w:rPr>
          <w:i/>
          <w:color w:val="231F20"/>
          <w:sz w:val="17"/>
        </w:rPr>
        <w:t xml:space="preserve">Journal of Leisure Research </w:t>
      </w:r>
      <w:r>
        <w:rPr>
          <w:color w:val="231F20"/>
          <w:sz w:val="17"/>
        </w:rPr>
        <w:t>16 (1), 34–50.</w:t>
      </w:r>
    </w:p>
    <w:p w14:paraId="243F8D0E" w14:textId="77777777" w:rsidR="00AE0598" w:rsidRDefault="0069255A">
      <w:pPr>
        <w:spacing w:before="1"/>
        <w:ind w:left="430" w:right="128" w:hanging="320"/>
        <w:jc w:val="both"/>
        <w:rPr>
          <w:sz w:val="17"/>
        </w:rPr>
      </w:pPr>
      <w:r>
        <w:rPr>
          <w:color w:val="231F20"/>
          <w:w w:val="95"/>
          <w:sz w:val="17"/>
        </w:rPr>
        <w:t>Schulenkorf, N. (2009) An ex ante framework for the strategic study of social utility of sport</w:t>
      </w:r>
      <w:r>
        <w:rPr>
          <w:color w:val="231F20"/>
          <w:spacing w:val="40"/>
          <w:sz w:val="17"/>
        </w:rPr>
        <w:t xml:space="preserve"> </w:t>
      </w:r>
      <w:r>
        <w:rPr>
          <w:color w:val="231F20"/>
          <w:sz w:val="17"/>
        </w:rPr>
        <w:t xml:space="preserve">events. </w:t>
      </w:r>
      <w:r>
        <w:rPr>
          <w:i/>
          <w:color w:val="231F20"/>
          <w:sz w:val="17"/>
        </w:rPr>
        <w:t xml:space="preserve">Tourism and Hospitality Research </w:t>
      </w:r>
      <w:r>
        <w:rPr>
          <w:color w:val="231F20"/>
          <w:sz w:val="17"/>
        </w:rPr>
        <w:t>9 (2), 12</w:t>
      </w:r>
      <w:r>
        <w:rPr>
          <w:color w:val="231F20"/>
          <w:sz w:val="17"/>
        </w:rPr>
        <w:t>0–131.</w:t>
      </w:r>
    </w:p>
    <w:p w14:paraId="35130783" w14:textId="77777777" w:rsidR="00AE0598" w:rsidRDefault="0069255A">
      <w:pPr>
        <w:spacing w:before="2"/>
        <w:ind w:left="430" w:right="128" w:hanging="320"/>
        <w:jc w:val="both"/>
        <w:rPr>
          <w:sz w:val="17"/>
        </w:rPr>
      </w:pPr>
      <w:r>
        <w:rPr>
          <w:color w:val="231F20"/>
          <w:sz w:val="17"/>
        </w:rPr>
        <w:t>Schumacher, D.G. (2015) Report on the Sports Tourism Industry. National Association of</w:t>
      </w:r>
      <w:r>
        <w:rPr>
          <w:color w:val="231F20"/>
          <w:spacing w:val="40"/>
          <w:sz w:val="17"/>
        </w:rPr>
        <w:t xml:space="preserve"> </w:t>
      </w:r>
      <w:r>
        <w:rPr>
          <w:color w:val="231F20"/>
          <w:sz w:val="17"/>
        </w:rPr>
        <w:t>Sports Commissions US.</w:t>
      </w:r>
    </w:p>
    <w:p w14:paraId="3613F39F" w14:textId="77777777" w:rsidR="00AE0598" w:rsidRDefault="0069255A">
      <w:pPr>
        <w:spacing w:before="1"/>
        <w:ind w:left="430" w:right="124" w:hanging="320"/>
        <w:jc w:val="both"/>
        <w:rPr>
          <w:sz w:val="17"/>
        </w:rPr>
      </w:pPr>
      <w:r>
        <w:rPr>
          <w:color w:val="231F20"/>
          <w:w w:val="105"/>
          <w:sz w:val="17"/>
        </w:rPr>
        <w:t>Schuster, R.M., Thompson, J.G. and Hammitt, W.E. (2001) Rock climbers’ attitudes</w:t>
      </w:r>
      <w:r>
        <w:rPr>
          <w:color w:val="231F20"/>
          <w:spacing w:val="40"/>
          <w:w w:val="105"/>
          <w:sz w:val="17"/>
        </w:rPr>
        <w:t xml:space="preserve"> </w:t>
      </w:r>
      <w:r>
        <w:rPr>
          <w:color w:val="231F20"/>
          <w:sz w:val="17"/>
        </w:rPr>
        <w:t xml:space="preserve">toward management of climbing and the use of bolts. </w:t>
      </w:r>
      <w:r>
        <w:rPr>
          <w:i/>
          <w:color w:val="231F20"/>
          <w:sz w:val="17"/>
        </w:rPr>
        <w:t>Enviro</w:t>
      </w:r>
      <w:r>
        <w:rPr>
          <w:i/>
          <w:color w:val="231F20"/>
          <w:sz w:val="17"/>
        </w:rPr>
        <w:t>nmental Management</w:t>
      </w:r>
      <w:r>
        <w:rPr>
          <w:i/>
          <w:color w:val="231F20"/>
          <w:spacing w:val="80"/>
          <w:w w:val="105"/>
          <w:sz w:val="17"/>
        </w:rPr>
        <w:t xml:space="preserve"> </w:t>
      </w:r>
      <w:r>
        <w:rPr>
          <w:color w:val="231F20"/>
          <w:w w:val="105"/>
          <w:sz w:val="17"/>
        </w:rPr>
        <w:t>28 (3), 403–412.</w:t>
      </w:r>
    </w:p>
    <w:p w14:paraId="3675FC18" w14:textId="77777777" w:rsidR="00AE0598" w:rsidRDefault="0069255A">
      <w:pPr>
        <w:spacing w:before="2"/>
        <w:ind w:left="110"/>
        <w:jc w:val="both"/>
        <w:rPr>
          <w:sz w:val="17"/>
        </w:rPr>
      </w:pPr>
      <w:r>
        <w:rPr>
          <w:color w:val="231F20"/>
          <w:sz w:val="17"/>
        </w:rPr>
        <w:t>Scott,</w:t>
      </w:r>
      <w:r>
        <w:rPr>
          <w:color w:val="231F20"/>
          <w:spacing w:val="3"/>
          <w:sz w:val="17"/>
        </w:rPr>
        <w:t xml:space="preserve"> </w:t>
      </w:r>
      <w:r>
        <w:rPr>
          <w:color w:val="231F20"/>
          <w:sz w:val="17"/>
        </w:rPr>
        <w:t>D.</w:t>
      </w:r>
      <w:r>
        <w:rPr>
          <w:color w:val="231F20"/>
          <w:spacing w:val="3"/>
          <w:sz w:val="17"/>
        </w:rPr>
        <w:t xml:space="preserve"> </w:t>
      </w:r>
      <w:r>
        <w:rPr>
          <w:color w:val="231F20"/>
          <w:sz w:val="17"/>
        </w:rPr>
        <w:t>(2006a)</w:t>
      </w:r>
      <w:r>
        <w:rPr>
          <w:color w:val="231F20"/>
          <w:spacing w:val="3"/>
          <w:sz w:val="17"/>
        </w:rPr>
        <w:t xml:space="preserve"> </w:t>
      </w:r>
      <w:r>
        <w:rPr>
          <w:color w:val="231F20"/>
          <w:sz w:val="17"/>
        </w:rPr>
        <w:t>Global</w:t>
      </w:r>
      <w:r>
        <w:rPr>
          <w:color w:val="231F20"/>
          <w:spacing w:val="3"/>
          <w:sz w:val="17"/>
        </w:rPr>
        <w:t xml:space="preserve"> </w:t>
      </w:r>
      <w:r>
        <w:rPr>
          <w:color w:val="231F20"/>
          <w:sz w:val="17"/>
        </w:rPr>
        <w:t>environmental</w:t>
      </w:r>
      <w:r>
        <w:rPr>
          <w:color w:val="231F20"/>
          <w:spacing w:val="2"/>
          <w:sz w:val="17"/>
        </w:rPr>
        <w:t xml:space="preserve"> </w:t>
      </w:r>
      <w:r>
        <w:rPr>
          <w:color w:val="231F20"/>
          <w:sz w:val="17"/>
        </w:rPr>
        <w:t>change</w:t>
      </w:r>
      <w:r>
        <w:rPr>
          <w:color w:val="231F20"/>
          <w:spacing w:val="3"/>
          <w:sz w:val="17"/>
        </w:rPr>
        <w:t xml:space="preserve"> </w:t>
      </w:r>
      <w:r>
        <w:rPr>
          <w:color w:val="231F20"/>
          <w:sz w:val="17"/>
        </w:rPr>
        <w:t>and</w:t>
      </w:r>
      <w:r>
        <w:rPr>
          <w:color w:val="231F20"/>
          <w:spacing w:val="3"/>
          <w:sz w:val="17"/>
        </w:rPr>
        <w:t xml:space="preserve"> </w:t>
      </w:r>
      <w:r>
        <w:rPr>
          <w:color w:val="231F20"/>
          <w:sz w:val="17"/>
        </w:rPr>
        <w:t>mountain</w:t>
      </w:r>
      <w:r>
        <w:rPr>
          <w:color w:val="231F20"/>
          <w:spacing w:val="3"/>
          <w:sz w:val="17"/>
        </w:rPr>
        <w:t xml:space="preserve"> </w:t>
      </w:r>
      <w:r>
        <w:rPr>
          <w:color w:val="231F20"/>
          <w:sz w:val="17"/>
        </w:rPr>
        <w:t>tourism.</w:t>
      </w:r>
      <w:r>
        <w:rPr>
          <w:color w:val="231F20"/>
          <w:spacing w:val="3"/>
          <w:sz w:val="17"/>
        </w:rPr>
        <w:t xml:space="preserve"> </w:t>
      </w:r>
      <w:r>
        <w:rPr>
          <w:color w:val="231F20"/>
          <w:sz w:val="17"/>
        </w:rPr>
        <w:t>In</w:t>
      </w:r>
      <w:r>
        <w:rPr>
          <w:color w:val="231F20"/>
          <w:spacing w:val="3"/>
          <w:sz w:val="17"/>
        </w:rPr>
        <w:t xml:space="preserve"> </w:t>
      </w:r>
      <w:r>
        <w:rPr>
          <w:color w:val="231F20"/>
          <w:sz w:val="17"/>
        </w:rPr>
        <w:t>S.</w:t>
      </w:r>
      <w:r>
        <w:rPr>
          <w:color w:val="231F20"/>
          <w:spacing w:val="3"/>
          <w:sz w:val="17"/>
        </w:rPr>
        <w:t xml:space="preserve"> </w:t>
      </w:r>
      <w:r>
        <w:rPr>
          <w:color w:val="231F20"/>
          <w:sz w:val="17"/>
        </w:rPr>
        <w:t>Gössling</w:t>
      </w:r>
      <w:r>
        <w:rPr>
          <w:color w:val="231F20"/>
          <w:spacing w:val="3"/>
          <w:sz w:val="17"/>
        </w:rPr>
        <w:t xml:space="preserve"> </w:t>
      </w:r>
      <w:r>
        <w:rPr>
          <w:color w:val="231F20"/>
          <w:spacing w:val="-5"/>
          <w:sz w:val="17"/>
        </w:rPr>
        <w:t>and</w:t>
      </w:r>
    </w:p>
    <w:p w14:paraId="6754FCAF" w14:textId="77777777" w:rsidR="00AE0598" w:rsidRDefault="0069255A">
      <w:pPr>
        <w:spacing w:before="1"/>
        <w:ind w:left="430" w:right="128"/>
        <w:jc w:val="both"/>
        <w:rPr>
          <w:sz w:val="17"/>
        </w:rPr>
      </w:pPr>
      <w:r>
        <w:rPr>
          <w:color w:val="231F20"/>
          <w:sz w:val="17"/>
        </w:rPr>
        <w:t xml:space="preserve">C.M. Hall (eds) </w:t>
      </w:r>
      <w:r>
        <w:rPr>
          <w:i/>
          <w:color w:val="231F20"/>
          <w:sz w:val="17"/>
        </w:rPr>
        <w:t>Tourism</w:t>
      </w:r>
      <w:r>
        <w:rPr>
          <w:i/>
          <w:color w:val="231F20"/>
          <w:spacing w:val="38"/>
          <w:sz w:val="17"/>
        </w:rPr>
        <w:t xml:space="preserve"> </w:t>
      </w:r>
      <w:r>
        <w:rPr>
          <w:i/>
          <w:color w:val="231F20"/>
          <w:sz w:val="17"/>
        </w:rPr>
        <w:t>and</w:t>
      </w:r>
      <w:r>
        <w:rPr>
          <w:i/>
          <w:color w:val="231F20"/>
          <w:spacing w:val="38"/>
          <w:sz w:val="17"/>
        </w:rPr>
        <w:t xml:space="preserve"> </w:t>
      </w:r>
      <w:r>
        <w:rPr>
          <w:i/>
          <w:color w:val="231F20"/>
          <w:sz w:val="17"/>
        </w:rPr>
        <w:t>Global Environmental</w:t>
      </w:r>
      <w:r>
        <w:rPr>
          <w:i/>
          <w:color w:val="231F20"/>
          <w:spacing w:val="38"/>
          <w:sz w:val="17"/>
        </w:rPr>
        <w:t xml:space="preserve"> </w:t>
      </w:r>
      <w:r>
        <w:rPr>
          <w:i/>
          <w:color w:val="231F20"/>
          <w:sz w:val="17"/>
        </w:rPr>
        <w:t xml:space="preserve">Change </w:t>
      </w:r>
      <w:r>
        <w:rPr>
          <w:color w:val="231F20"/>
          <w:sz w:val="17"/>
        </w:rPr>
        <w:t>(pp. 54–75). London/</w:t>
      </w:r>
      <w:r>
        <w:rPr>
          <w:color w:val="231F20"/>
          <w:spacing w:val="40"/>
          <w:sz w:val="17"/>
        </w:rPr>
        <w:t xml:space="preserve"> </w:t>
      </w:r>
      <w:r>
        <w:rPr>
          <w:color w:val="231F20"/>
          <w:sz w:val="17"/>
        </w:rPr>
        <w:t>New York: Routledge.</w:t>
      </w:r>
    </w:p>
    <w:p w14:paraId="426EA8DB" w14:textId="77777777" w:rsidR="00AE0598" w:rsidRDefault="0069255A">
      <w:pPr>
        <w:spacing w:before="1"/>
        <w:ind w:left="430" w:right="127" w:hanging="320"/>
        <w:jc w:val="both"/>
        <w:rPr>
          <w:sz w:val="17"/>
        </w:rPr>
      </w:pPr>
      <w:r>
        <w:rPr>
          <w:color w:val="231F20"/>
          <w:sz w:val="17"/>
        </w:rPr>
        <w:t>Scott, D. (2006b) US ski industry adaptation to climate change: Hard, soft and policy</w:t>
      </w:r>
      <w:r>
        <w:rPr>
          <w:color w:val="231F20"/>
          <w:spacing w:val="40"/>
          <w:sz w:val="17"/>
        </w:rPr>
        <w:t xml:space="preserve"> </w:t>
      </w:r>
      <w:r>
        <w:rPr>
          <w:color w:val="231F20"/>
          <w:sz w:val="17"/>
        </w:rPr>
        <w:t xml:space="preserve">strategies. In S. Gössling and C.M. Hall (eds) </w:t>
      </w:r>
      <w:r>
        <w:rPr>
          <w:i/>
          <w:color w:val="231F20"/>
          <w:sz w:val="17"/>
        </w:rPr>
        <w:t>Tourism and Global Environmental</w:t>
      </w:r>
      <w:r>
        <w:rPr>
          <w:i/>
          <w:color w:val="231F20"/>
          <w:spacing w:val="40"/>
          <w:sz w:val="17"/>
        </w:rPr>
        <w:t xml:space="preserve"> </w:t>
      </w:r>
      <w:r>
        <w:rPr>
          <w:i/>
          <w:color w:val="231F20"/>
          <w:sz w:val="17"/>
        </w:rPr>
        <w:t>Change</w:t>
      </w:r>
      <w:r>
        <w:rPr>
          <w:color w:val="231F20"/>
          <w:sz w:val="17"/>
        </w:rPr>
        <w:t xml:space="preserve">: </w:t>
      </w:r>
      <w:r>
        <w:rPr>
          <w:i/>
          <w:color w:val="231F20"/>
          <w:sz w:val="17"/>
        </w:rPr>
        <w:t xml:space="preserve">Ecological, Social Economic and Political Interrelationships </w:t>
      </w:r>
      <w:r>
        <w:rPr>
          <w:color w:val="231F20"/>
          <w:sz w:val="17"/>
        </w:rPr>
        <w:t>(Chapter 15).</w:t>
      </w:r>
      <w:r>
        <w:rPr>
          <w:color w:val="231F20"/>
          <w:spacing w:val="40"/>
          <w:sz w:val="17"/>
        </w:rPr>
        <w:t xml:space="preserve"> </w:t>
      </w:r>
      <w:r>
        <w:rPr>
          <w:color w:val="231F20"/>
          <w:sz w:val="17"/>
        </w:rPr>
        <w:t>Abingdo</w:t>
      </w:r>
      <w:r>
        <w:rPr>
          <w:color w:val="231F20"/>
          <w:sz w:val="17"/>
        </w:rPr>
        <w:t>n: Routledge.</w:t>
      </w:r>
    </w:p>
    <w:p w14:paraId="2A50A6E3" w14:textId="77777777" w:rsidR="00AE0598" w:rsidRDefault="0069255A">
      <w:pPr>
        <w:spacing w:before="3"/>
        <w:ind w:left="430" w:right="128" w:hanging="320"/>
        <w:jc w:val="both"/>
        <w:rPr>
          <w:sz w:val="17"/>
        </w:rPr>
      </w:pPr>
      <w:r>
        <w:rPr>
          <w:color w:val="231F20"/>
          <w:sz w:val="17"/>
        </w:rPr>
        <w:t>Scott, D., Hall, C.M. and Gössling, S. (2016a) A review of the IPCC Fifth Assessment and</w:t>
      </w:r>
      <w:r>
        <w:rPr>
          <w:color w:val="231F20"/>
          <w:spacing w:val="40"/>
          <w:sz w:val="17"/>
        </w:rPr>
        <w:t xml:space="preserve"> </w:t>
      </w:r>
      <w:r>
        <w:rPr>
          <w:color w:val="231F20"/>
          <w:sz w:val="17"/>
        </w:rPr>
        <w:t xml:space="preserve">implications for tourism sector climate resilience and decarbonization. </w:t>
      </w:r>
      <w:r>
        <w:rPr>
          <w:i/>
          <w:color w:val="231F20"/>
          <w:sz w:val="17"/>
        </w:rPr>
        <w:t>Journal of</w:t>
      </w:r>
      <w:r>
        <w:rPr>
          <w:i/>
          <w:color w:val="231F20"/>
          <w:spacing w:val="40"/>
          <w:sz w:val="17"/>
        </w:rPr>
        <w:t xml:space="preserve"> </w:t>
      </w:r>
      <w:r>
        <w:rPr>
          <w:i/>
          <w:color w:val="231F20"/>
          <w:sz w:val="17"/>
        </w:rPr>
        <w:t xml:space="preserve">Sustainable Tourism </w:t>
      </w:r>
      <w:r>
        <w:rPr>
          <w:color w:val="231F20"/>
          <w:sz w:val="17"/>
        </w:rPr>
        <w:t>24 (1), 8–30.</w:t>
      </w:r>
    </w:p>
    <w:p w14:paraId="731F1752" w14:textId="77777777" w:rsidR="00AE0598" w:rsidRDefault="0069255A">
      <w:pPr>
        <w:spacing w:before="2"/>
        <w:ind w:left="430" w:right="129" w:hanging="320"/>
        <w:jc w:val="both"/>
        <w:rPr>
          <w:sz w:val="17"/>
        </w:rPr>
      </w:pPr>
      <w:r>
        <w:rPr>
          <w:color w:val="231F20"/>
          <w:w w:val="105"/>
          <w:sz w:val="17"/>
        </w:rPr>
        <w:t>Scott, D., Hall, C.M. and</w:t>
      </w:r>
      <w:r>
        <w:rPr>
          <w:color w:val="231F20"/>
          <w:w w:val="105"/>
          <w:sz w:val="17"/>
        </w:rPr>
        <w:t xml:space="preserve"> Gössling, S. (2016b) A report on the Paris Climate Change</w:t>
      </w:r>
      <w:r>
        <w:rPr>
          <w:color w:val="231F20"/>
          <w:spacing w:val="40"/>
          <w:w w:val="105"/>
          <w:sz w:val="17"/>
        </w:rPr>
        <w:t xml:space="preserve"> </w:t>
      </w:r>
      <w:r>
        <w:rPr>
          <w:color w:val="231F20"/>
          <w:sz w:val="17"/>
        </w:rPr>
        <w:t>Agreement</w:t>
      </w:r>
      <w:r>
        <w:rPr>
          <w:color w:val="231F20"/>
          <w:spacing w:val="-8"/>
          <w:sz w:val="17"/>
        </w:rPr>
        <w:t xml:space="preserve"> </w:t>
      </w:r>
      <w:r>
        <w:rPr>
          <w:color w:val="231F20"/>
          <w:sz w:val="17"/>
        </w:rPr>
        <w:t>and</w:t>
      </w:r>
      <w:r>
        <w:rPr>
          <w:color w:val="231F20"/>
          <w:spacing w:val="-8"/>
          <w:sz w:val="17"/>
        </w:rPr>
        <w:t xml:space="preserve"> </w:t>
      </w:r>
      <w:r>
        <w:rPr>
          <w:color w:val="231F20"/>
          <w:sz w:val="17"/>
        </w:rPr>
        <w:t>its</w:t>
      </w:r>
      <w:r>
        <w:rPr>
          <w:color w:val="231F20"/>
          <w:spacing w:val="-8"/>
          <w:sz w:val="17"/>
        </w:rPr>
        <w:t xml:space="preserve"> </w:t>
      </w:r>
      <w:r>
        <w:rPr>
          <w:color w:val="231F20"/>
          <w:sz w:val="17"/>
        </w:rPr>
        <w:t>implications</w:t>
      </w:r>
      <w:r>
        <w:rPr>
          <w:color w:val="231F20"/>
          <w:spacing w:val="-8"/>
          <w:sz w:val="17"/>
        </w:rPr>
        <w:t xml:space="preserve"> </w:t>
      </w:r>
      <w:r>
        <w:rPr>
          <w:color w:val="231F20"/>
          <w:sz w:val="17"/>
        </w:rPr>
        <w:t>for</w:t>
      </w:r>
      <w:r>
        <w:rPr>
          <w:color w:val="231F20"/>
          <w:spacing w:val="-8"/>
          <w:sz w:val="17"/>
        </w:rPr>
        <w:t xml:space="preserve"> </w:t>
      </w:r>
      <w:r>
        <w:rPr>
          <w:color w:val="231F20"/>
          <w:sz w:val="17"/>
        </w:rPr>
        <w:t>tourism:</w:t>
      </w:r>
      <w:r>
        <w:rPr>
          <w:color w:val="231F20"/>
          <w:spacing w:val="-8"/>
          <w:sz w:val="17"/>
        </w:rPr>
        <w:t xml:space="preserve"> </w:t>
      </w:r>
      <w:r>
        <w:rPr>
          <w:color w:val="231F20"/>
          <w:sz w:val="17"/>
        </w:rPr>
        <w:t>Why</w:t>
      </w:r>
      <w:r>
        <w:rPr>
          <w:color w:val="231F20"/>
          <w:spacing w:val="-8"/>
          <w:sz w:val="17"/>
        </w:rPr>
        <w:t xml:space="preserve"> </w:t>
      </w:r>
      <w:r>
        <w:rPr>
          <w:color w:val="231F20"/>
          <w:sz w:val="17"/>
        </w:rPr>
        <w:t>we</w:t>
      </w:r>
      <w:r>
        <w:rPr>
          <w:color w:val="231F20"/>
          <w:spacing w:val="-8"/>
          <w:sz w:val="17"/>
        </w:rPr>
        <w:t xml:space="preserve"> </w:t>
      </w:r>
      <w:r>
        <w:rPr>
          <w:color w:val="231F20"/>
          <w:sz w:val="17"/>
        </w:rPr>
        <w:t>will</w:t>
      </w:r>
      <w:r>
        <w:rPr>
          <w:color w:val="231F20"/>
          <w:spacing w:val="-8"/>
          <w:sz w:val="17"/>
        </w:rPr>
        <w:t xml:space="preserve"> </w:t>
      </w:r>
      <w:r>
        <w:rPr>
          <w:color w:val="231F20"/>
          <w:sz w:val="17"/>
        </w:rPr>
        <w:t>always</w:t>
      </w:r>
      <w:r>
        <w:rPr>
          <w:color w:val="231F20"/>
          <w:spacing w:val="-8"/>
          <w:sz w:val="17"/>
        </w:rPr>
        <w:t xml:space="preserve"> </w:t>
      </w:r>
      <w:r>
        <w:rPr>
          <w:color w:val="231F20"/>
          <w:sz w:val="17"/>
        </w:rPr>
        <w:t>have</w:t>
      </w:r>
      <w:r>
        <w:rPr>
          <w:color w:val="231F20"/>
          <w:spacing w:val="-8"/>
          <w:sz w:val="17"/>
        </w:rPr>
        <w:t xml:space="preserve"> </w:t>
      </w:r>
      <w:r>
        <w:rPr>
          <w:color w:val="231F20"/>
          <w:sz w:val="17"/>
        </w:rPr>
        <w:t>Paris.</w:t>
      </w:r>
      <w:r>
        <w:rPr>
          <w:color w:val="231F20"/>
          <w:spacing w:val="-6"/>
          <w:sz w:val="17"/>
        </w:rPr>
        <w:t xml:space="preserve"> </w:t>
      </w:r>
      <w:r>
        <w:rPr>
          <w:i/>
          <w:color w:val="231F20"/>
          <w:sz w:val="17"/>
        </w:rPr>
        <w:t>Journal</w:t>
      </w:r>
      <w:r>
        <w:rPr>
          <w:i/>
          <w:color w:val="231F20"/>
          <w:spacing w:val="-8"/>
          <w:sz w:val="17"/>
        </w:rPr>
        <w:t xml:space="preserve"> </w:t>
      </w:r>
      <w:r>
        <w:rPr>
          <w:i/>
          <w:color w:val="231F20"/>
          <w:sz w:val="17"/>
        </w:rPr>
        <w:t>of</w:t>
      </w:r>
      <w:r>
        <w:rPr>
          <w:i/>
          <w:color w:val="231F20"/>
          <w:spacing w:val="40"/>
          <w:sz w:val="17"/>
        </w:rPr>
        <w:t xml:space="preserve"> </w:t>
      </w:r>
      <w:r>
        <w:rPr>
          <w:i/>
          <w:color w:val="231F20"/>
          <w:sz w:val="17"/>
        </w:rPr>
        <w:t xml:space="preserve">Sustainable Tourism </w:t>
      </w:r>
      <w:r>
        <w:rPr>
          <w:color w:val="231F20"/>
          <w:sz w:val="17"/>
        </w:rPr>
        <w:t>24 (7), 933–994.</w:t>
      </w:r>
    </w:p>
    <w:p w14:paraId="0ACEA239" w14:textId="77777777" w:rsidR="00AE0598" w:rsidRDefault="0069255A">
      <w:pPr>
        <w:spacing w:before="3"/>
        <w:ind w:left="430" w:right="129" w:hanging="320"/>
        <w:jc w:val="both"/>
        <w:rPr>
          <w:sz w:val="17"/>
        </w:rPr>
      </w:pPr>
      <w:r>
        <w:rPr>
          <w:color w:val="231F20"/>
          <w:w w:val="105"/>
          <w:sz w:val="17"/>
        </w:rPr>
        <w:t>Scott, D., Jones, B. and Konopek, J. (2007) Implications of</w:t>
      </w:r>
      <w:r>
        <w:rPr>
          <w:color w:val="231F20"/>
          <w:w w:val="105"/>
          <w:sz w:val="17"/>
        </w:rPr>
        <w:t xml:space="preserve"> climate and environmental</w:t>
      </w:r>
      <w:r>
        <w:rPr>
          <w:color w:val="231F20"/>
          <w:spacing w:val="40"/>
          <w:w w:val="105"/>
          <w:sz w:val="17"/>
        </w:rPr>
        <w:t xml:space="preserve"> </w:t>
      </w:r>
      <w:r>
        <w:rPr>
          <w:color w:val="231F20"/>
          <w:sz w:val="17"/>
        </w:rPr>
        <w:t>change for nature-based tourism in the Canadian Rocky Mountains: A case study of</w:t>
      </w:r>
      <w:r>
        <w:rPr>
          <w:color w:val="231F20"/>
          <w:spacing w:val="40"/>
          <w:sz w:val="17"/>
        </w:rPr>
        <w:t xml:space="preserve"> </w:t>
      </w:r>
      <w:r>
        <w:rPr>
          <w:color w:val="231F20"/>
          <w:sz w:val="17"/>
        </w:rPr>
        <w:t xml:space="preserve">Wateron Lakes National Park. </w:t>
      </w:r>
      <w:r>
        <w:rPr>
          <w:i/>
          <w:color w:val="231F20"/>
          <w:sz w:val="17"/>
        </w:rPr>
        <w:t xml:space="preserve">Tourism Management </w:t>
      </w:r>
      <w:r>
        <w:rPr>
          <w:color w:val="231F20"/>
          <w:sz w:val="17"/>
        </w:rPr>
        <w:t>28, 570–579.</w:t>
      </w:r>
    </w:p>
    <w:p w14:paraId="34321AE2" w14:textId="77777777" w:rsidR="00AE0598" w:rsidRDefault="0069255A">
      <w:pPr>
        <w:spacing w:before="2"/>
        <w:ind w:left="430" w:right="127" w:hanging="320"/>
        <w:jc w:val="both"/>
        <w:rPr>
          <w:sz w:val="17"/>
        </w:rPr>
      </w:pPr>
      <w:r>
        <w:rPr>
          <w:color w:val="231F20"/>
          <w:w w:val="105"/>
          <w:sz w:val="17"/>
        </w:rPr>
        <w:t>Scott, D., Jones, B., Lemieux, C., McBoyle, G., Mills, B., Svenson, S. and Wall, G. (20</w:t>
      </w:r>
      <w:r>
        <w:rPr>
          <w:color w:val="231F20"/>
          <w:w w:val="105"/>
          <w:sz w:val="17"/>
        </w:rPr>
        <w:t>02)</w:t>
      </w:r>
      <w:r>
        <w:rPr>
          <w:color w:val="231F20"/>
          <w:spacing w:val="40"/>
          <w:w w:val="105"/>
          <w:sz w:val="17"/>
        </w:rPr>
        <w:t xml:space="preserve"> </w:t>
      </w:r>
      <w:r>
        <w:rPr>
          <w:color w:val="231F20"/>
          <w:w w:val="105"/>
          <w:sz w:val="17"/>
        </w:rPr>
        <w:t>The</w:t>
      </w:r>
      <w:r>
        <w:rPr>
          <w:color w:val="231F20"/>
          <w:spacing w:val="-5"/>
          <w:w w:val="105"/>
          <w:sz w:val="17"/>
        </w:rPr>
        <w:t xml:space="preserve"> </w:t>
      </w:r>
      <w:r>
        <w:rPr>
          <w:color w:val="231F20"/>
          <w:w w:val="105"/>
          <w:sz w:val="17"/>
        </w:rPr>
        <w:t>Vulnerability</w:t>
      </w:r>
      <w:r>
        <w:rPr>
          <w:color w:val="231F20"/>
          <w:spacing w:val="-5"/>
          <w:w w:val="105"/>
          <w:sz w:val="17"/>
        </w:rPr>
        <w:t xml:space="preserve"> </w:t>
      </w:r>
      <w:r>
        <w:rPr>
          <w:color w:val="231F20"/>
          <w:w w:val="105"/>
          <w:sz w:val="17"/>
        </w:rPr>
        <w:t>of</w:t>
      </w:r>
      <w:r>
        <w:rPr>
          <w:color w:val="231F20"/>
          <w:spacing w:val="-5"/>
          <w:w w:val="105"/>
          <w:sz w:val="17"/>
        </w:rPr>
        <w:t xml:space="preserve"> </w:t>
      </w:r>
      <w:r>
        <w:rPr>
          <w:color w:val="231F20"/>
          <w:w w:val="105"/>
          <w:sz w:val="17"/>
        </w:rPr>
        <w:t>Winter</w:t>
      </w:r>
      <w:r>
        <w:rPr>
          <w:color w:val="231F20"/>
          <w:spacing w:val="-5"/>
          <w:w w:val="105"/>
          <w:sz w:val="17"/>
        </w:rPr>
        <w:t xml:space="preserve"> </w:t>
      </w:r>
      <w:r>
        <w:rPr>
          <w:color w:val="231F20"/>
          <w:w w:val="105"/>
          <w:sz w:val="17"/>
        </w:rPr>
        <w:t>Recreation</w:t>
      </w:r>
      <w:r>
        <w:rPr>
          <w:color w:val="231F20"/>
          <w:spacing w:val="-5"/>
          <w:w w:val="105"/>
          <w:sz w:val="17"/>
        </w:rPr>
        <w:t xml:space="preserve"> </w:t>
      </w:r>
      <w:r>
        <w:rPr>
          <w:color w:val="231F20"/>
          <w:w w:val="105"/>
          <w:sz w:val="17"/>
        </w:rPr>
        <w:t>to</w:t>
      </w:r>
      <w:r>
        <w:rPr>
          <w:color w:val="231F20"/>
          <w:spacing w:val="-5"/>
          <w:w w:val="105"/>
          <w:sz w:val="17"/>
        </w:rPr>
        <w:t xml:space="preserve"> </w:t>
      </w:r>
      <w:r>
        <w:rPr>
          <w:color w:val="231F20"/>
          <w:w w:val="105"/>
          <w:sz w:val="17"/>
        </w:rPr>
        <w:t>Climatic</w:t>
      </w:r>
      <w:r>
        <w:rPr>
          <w:color w:val="231F20"/>
          <w:spacing w:val="-5"/>
          <w:w w:val="105"/>
          <w:sz w:val="17"/>
        </w:rPr>
        <w:t xml:space="preserve"> </w:t>
      </w:r>
      <w:r>
        <w:rPr>
          <w:color w:val="231F20"/>
          <w:w w:val="105"/>
          <w:sz w:val="17"/>
        </w:rPr>
        <w:t>Change</w:t>
      </w:r>
      <w:r>
        <w:rPr>
          <w:color w:val="231F20"/>
          <w:spacing w:val="-5"/>
          <w:w w:val="105"/>
          <w:sz w:val="17"/>
        </w:rPr>
        <w:t xml:space="preserve"> </w:t>
      </w:r>
      <w:r>
        <w:rPr>
          <w:color w:val="231F20"/>
          <w:w w:val="105"/>
          <w:sz w:val="17"/>
        </w:rPr>
        <w:t>in</w:t>
      </w:r>
      <w:r>
        <w:rPr>
          <w:color w:val="231F20"/>
          <w:spacing w:val="-5"/>
          <w:w w:val="105"/>
          <w:sz w:val="17"/>
        </w:rPr>
        <w:t xml:space="preserve"> </w:t>
      </w:r>
      <w:r>
        <w:rPr>
          <w:color w:val="231F20"/>
          <w:w w:val="105"/>
          <w:sz w:val="17"/>
        </w:rPr>
        <w:t>Ontario’s</w:t>
      </w:r>
      <w:r>
        <w:rPr>
          <w:color w:val="231F20"/>
          <w:spacing w:val="-5"/>
          <w:w w:val="105"/>
          <w:sz w:val="17"/>
        </w:rPr>
        <w:t xml:space="preserve"> </w:t>
      </w:r>
      <w:r>
        <w:rPr>
          <w:color w:val="231F20"/>
          <w:w w:val="105"/>
          <w:sz w:val="17"/>
        </w:rPr>
        <w:t>Lakelands</w:t>
      </w:r>
      <w:r>
        <w:rPr>
          <w:color w:val="231F20"/>
          <w:spacing w:val="40"/>
          <w:w w:val="105"/>
          <w:sz w:val="17"/>
        </w:rPr>
        <w:t xml:space="preserve"> </w:t>
      </w:r>
      <w:r>
        <w:rPr>
          <w:color w:val="231F20"/>
          <w:sz w:val="17"/>
        </w:rPr>
        <w:t>Tourism Region. (Occasional Paper Number 18.) Waterloo, Ontario: Department of</w:t>
      </w:r>
      <w:r>
        <w:rPr>
          <w:color w:val="231F20"/>
          <w:spacing w:val="40"/>
          <w:sz w:val="17"/>
        </w:rPr>
        <w:t xml:space="preserve"> </w:t>
      </w:r>
      <w:r>
        <w:rPr>
          <w:color w:val="231F20"/>
          <w:sz w:val="17"/>
        </w:rPr>
        <w:t>Geography Publication Series, University of Waterloo.</w:t>
      </w:r>
    </w:p>
    <w:p w14:paraId="013E1018" w14:textId="77777777" w:rsidR="00AE0598" w:rsidRDefault="0069255A">
      <w:pPr>
        <w:spacing w:before="2"/>
        <w:ind w:left="430" w:right="128" w:hanging="320"/>
        <w:jc w:val="both"/>
        <w:rPr>
          <w:sz w:val="17"/>
        </w:rPr>
      </w:pPr>
      <w:r>
        <w:rPr>
          <w:color w:val="231F20"/>
          <w:sz w:val="17"/>
        </w:rPr>
        <w:t>Scott,</w:t>
      </w:r>
      <w:r>
        <w:rPr>
          <w:color w:val="231F20"/>
          <w:spacing w:val="-1"/>
          <w:sz w:val="17"/>
        </w:rPr>
        <w:t xml:space="preserve"> </w:t>
      </w:r>
      <w:r>
        <w:rPr>
          <w:color w:val="231F20"/>
          <w:sz w:val="17"/>
        </w:rPr>
        <w:t>D.</w:t>
      </w:r>
      <w:r>
        <w:rPr>
          <w:color w:val="231F20"/>
          <w:spacing w:val="-1"/>
          <w:sz w:val="17"/>
        </w:rPr>
        <w:t xml:space="preserve"> </w:t>
      </w:r>
      <w:r>
        <w:rPr>
          <w:color w:val="231F20"/>
          <w:sz w:val="17"/>
        </w:rPr>
        <w:t>and</w:t>
      </w:r>
      <w:r>
        <w:rPr>
          <w:color w:val="231F20"/>
          <w:spacing w:val="-1"/>
          <w:sz w:val="17"/>
        </w:rPr>
        <w:t xml:space="preserve"> </w:t>
      </w:r>
      <w:r>
        <w:rPr>
          <w:color w:val="231F20"/>
          <w:sz w:val="17"/>
        </w:rPr>
        <w:t>McBoyle,</w:t>
      </w:r>
      <w:r>
        <w:rPr>
          <w:color w:val="231F20"/>
          <w:spacing w:val="-1"/>
          <w:sz w:val="17"/>
        </w:rPr>
        <w:t xml:space="preserve"> </w:t>
      </w:r>
      <w:r>
        <w:rPr>
          <w:color w:val="231F20"/>
          <w:sz w:val="17"/>
        </w:rPr>
        <w:t>G.</w:t>
      </w:r>
      <w:r>
        <w:rPr>
          <w:color w:val="231F20"/>
          <w:spacing w:val="-1"/>
          <w:sz w:val="17"/>
        </w:rPr>
        <w:t xml:space="preserve"> </w:t>
      </w:r>
      <w:r>
        <w:rPr>
          <w:color w:val="231F20"/>
          <w:sz w:val="17"/>
        </w:rPr>
        <w:t>(2007)</w:t>
      </w:r>
      <w:r>
        <w:rPr>
          <w:color w:val="231F20"/>
          <w:spacing w:val="-1"/>
          <w:sz w:val="17"/>
        </w:rPr>
        <w:t xml:space="preserve"> </w:t>
      </w:r>
      <w:r>
        <w:rPr>
          <w:color w:val="231F20"/>
          <w:sz w:val="17"/>
        </w:rPr>
        <w:t>Climate</w:t>
      </w:r>
      <w:r>
        <w:rPr>
          <w:color w:val="231F20"/>
          <w:spacing w:val="-1"/>
          <w:sz w:val="17"/>
        </w:rPr>
        <w:t xml:space="preserve"> </w:t>
      </w:r>
      <w:r>
        <w:rPr>
          <w:color w:val="231F20"/>
          <w:sz w:val="17"/>
        </w:rPr>
        <w:t>change</w:t>
      </w:r>
      <w:r>
        <w:rPr>
          <w:color w:val="231F20"/>
          <w:spacing w:val="-1"/>
          <w:sz w:val="17"/>
        </w:rPr>
        <w:t xml:space="preserve"> </w:t>
      </w:r>
      <w:r>
        <w:rPr>
          <w:color w:val="231F20"/>
          <w:sz w:val="17"/>
        </w:rPr>
        <w:t>adaptation</w:t>
      </w:r>
      <w:r>
        <w:rPr>
          <w:color w:val="231F20"/>
          <w:spacing w:val="-1"/>
          <w:sz w:val="17"/>
        </w:rPr>
        <w:t xml:space="preserve"> </w:t>
      </w:r>
      <w:r>
        <w:rPr>
          <w:color w:val="231F20"/>
          <w:sz w:val="17"/>
        </w:rPr>
        <w:t>in</w:t>
      </w:r>
      <w:r>
        <w:rPr>
          <w:color w:val="231F20"/>
          <w:spacing w:val="-1"/>
          <w:sz w:val="17"/>
        </w:rPr>
        <w:t xml:space="preserve"> </w:t>
      </w:r>
      <w:r>
        <w:rPr>
          <w:color w:val="231F20"/>
          <w:sz w:val="17"/>
        </w:rPr>
        <w:t>the</w:t>
      </w:r>
      <w:r>
        <w:rPr>
          <w:color w:val="231F20"/>
          <w:spacing w:val="-1"/>
          <w:sz w:val="17"/>
        </w:rPr>
        <w:t xml:space="preserve"> </w:t>
      </w:r>
      <w:r>
        <w:rPr>
          <w:color w:val="231F20"/>
          <w:sz w:val="17"/>
        </w:rPr>
        <w:t>ski</w:t>
      </w:r>
      <w:r>
        <w:rPr>
          <w:color w:val="231F20"/>
          <w:spacing w:val="-1"/>
          <w:sz w:val="17"/>
        </w:rPr>
        <w:t xml:space="preserve"> </w:t>
      </w:r>
      <w:r>
        <w:rPr>
          <w:color w:val="231F20"/>
          <w:sz w:val="17"/>
        </w:rPr>
        <w:t>industry.</w:t>
      </w:r>
      <w:r>
        <w:rPr>
          <w:color w:val="231F20"/>
          <w:spacing w:val="-1"/>
          <w:sz w:val="17"/>
        </w:rPr>
        <w:t xml:space="preserve"> </w:t>
      </w:r>
      <w:r>
        <w:rPr>
          <w:i/>
          <w:color w:val="231F20"/>
          <w:sz w:val="17"/>
        </w:rPr>
        <w:t>Mitigation</w:t>
      </w:r>
      <w:r>
        <w:rPr>
          <w:i/>
          <w:color w:val="231F20"/>
          <w:spacing w:val="40"/>
          <w:sz w:val="17"/>
        </w:rPr>
        <w:t xml:space="preserve"> </w:t>
      </w:r>
      <w:r>
        <w:rPr>
          <w:i/>
          <w:color w:val="231F20"/>
          <w:sz w:val="17"/>
        </w:rPr>
        <w:t xml:space="preserve">and Adaptation Strategies for Global Change </w:t>
      </w:r>
      <w:r>
        <w:rPr>
          <w:color w:val="231F20"/>
          <w:sz w:val="17"/>
        </w:rPr>
        <w:t>12 (8), 1411.</w:t>
      </w:r>
    </w:p>
    <w:p w14:paraId="44FC20D7" w14:textId="77777777" w:rsidR="00AE0598" w:rsidRDefault="0069255A">
      <w:pPr>
        <w:spacing w:before="2"/>
        <w:ind w:left="110"/>
        <w:jc w:val="both"/>
        <w:rPr>
          <w:sz w:val="17"/>
        </w:rPr>
      </w:pPr>
      <w:r>
        <w:rPr>
          <w:color w:val="231F20"/>
          <w:sz w:val="17"/>
        </w:rPr>
        <w:t>Scott,</w:t>
      </w:r>
      <w:r>
        <w:rPr>
          <w:color w:val="231F20"/>
          <w:spacing w:val="9"/>
          <w:sz w:val="17"/>
        </w:rPr>
        <w:t xml:space="preserve"> </w:t>
      </w:r>
      <w:r>
        <w:rPr>
          <w:color w:val="231F20"/>
          <w:sz w:val="17"/>
        </w:rPr>
        <w:t>D.,</w:t>
      </w:r>
      <w:r>
        <w:rPr>
          <w:color w:val="231F20"/>
          <w:spacing w:val="10"/>
          <w:sz w:val="17"/>
        </w:rPr>
        <w:t xml:space="preserve"> </w:t>
      </w:r>
      <w:r>
        <w:rPr>
          <w:color w:val="231F20"/>
          <w:sz w:val="17"/>
        </w:rPr>
        <w:t>McBoyle,</w:t>
      </w:r>
      <w:r>
        <w:rPr>
          <w:color w:val="231F20"/>
          <w:spacing w:val="9"/>
          <w:sz w:val="17"/>
        </w:rPr>
        <w:t xml:space="preserve"> </w:t>
      </w:r>
      <w:r>
        <w:rPr>
          <w:color w:val="231F20"/>
          <w:sz w:val="17"/>
        </w:rPr>
        <w:t>G.</w:t>
      </w:r>
      <w:r>
        <w:rPr>
          <w:color w:val="231F20"/>
          <w:spacing w:val="9"/>
          <w:sz w:val="17"/>
        </w:rPr>
        <w:t xml:space="preserve"> </w:t>
      </w:r>
      <w:r>
        <w:rPr>
          <w:color w:val="231F20"/>
          <w:sz w:val="17"/>
        </w:rPr>
        <w:t>and</w:t>
      </w:r>
      <w:r>
        <w:rPr>
          <w:color w:val="231F20"/>
          <w:spacing w:val="10"/>
          <w:sz w:val="17"/>
        </w:rPr>
        <w:t xml:space="preserve"> </w:t>
      </w:r>
      <w:r>
        <w:rPr>
          <w:color w:val="231F20"/>
          <w:sz w:val="17"/>
        </w:rPr>
        <w:t>Minogue,</w:t>
      </w:r>
      <w:r>
        <w:rPr>
          <w:color w:val="231F20"/>
          <w:spacing w:val="9"/>
          <w:sz w:val="17"/>
        </w:rPr>
        <w:t xml:space="preserve"> </w:t>
      </w:r>
      <w:r>
        <w:rPr>
          <w:color w:val="231F20"/>
          <w:sz w:val="17"/>
        </w:rPr>
        <w:t>A.</w:t>
      </w:r>
      <w:r>
        <w:rPr>
          <w:color w:val="231F20"/>
          <w:spacing w:val="9"/>
          <w:sz w:val="17"/>
        </w:rPr>
        <w:t xml:space="preserve"> </w:t>
      </w:r>
      <w:r>
        <w:rPr>
          <w:color w:val="231F20"/>
          <w:sz w:val="17"/>
        </w:rPr>
        <w:t>(2007)</w:t>
      </w:r>
      <w:r>
        <w:rPr>
          <w:color w:val="231F20"/>
          <w:spacing w:val="9"/>
          <w:sz w:val="17"/>
        </w:rPr>
        <w:t xml:space="preserve"> </w:t>
      </w:r>
      <w:r>
        <w:rPr>
          <w:color w:val="231F20"/>
          <w:sz w:val="17"/>
        </w:rPr>
        <w:t>Climate</w:t>
      </w:r>
      <w:r>
        <w:rPr>
          <w:color w:val="231F20"/>
          <w:spacing w:val="9"/>
          <w:sz w:val="17"/>
        </w:rPr>
        <w:t xml:space="preserve"> </w:t>
      </w:r>
      <w:r>
        <w:rPr>
          <w:color w:val="231F20"/>
          <w:sz w:val="17"/>
        </w:rPr>
        <w:t>change</w:t>
      </w:r>
      <w:r>
        <w:rPr>
          <w:color w:val="231F20"/>
          <w:spacing w:val="9"/>
          <w:sz w:val="17"/>
        </w:rPr>
        <w:t xml:space="preserve"> </w:t>
      </w:r>
      <w:r>
        <w:rPr>
          <w:color w:val="231F20"/>
          <w:sz w:val="17"/>
        </w:rPr>
        <w:t>and</w:t>
      </w:r>
      <w:r>
        <w:rPr>
          <w:color w:val="231F20"/>
          <w:spacing w:val="10"/>
          <w:sz w:val="17"/>
        </w:rPr>
        <w:t xml:space="preserve"> </w:t>
      </w:r>
      <w:r>
        <w:rPr>
          <w:color w:val="231F20"/>
          <w:sz w:val="17"/>
        </w:rPr>
        <w:t>Quebec’s</w:t>
      </w:r>
      <w:r>
        <w:rPr>
          <w:color w:val="231F20"/>
          <w:spacing w:val="9"/>
          <w:sz w:val="17"/>
        </w:rPr>
        <w:t xml:space="preserve"> </w:t>
      </w:r>
      <w:r>
        <w:rPr>
          <w:color w:val="231F20"/>
          <w:sz w:val="17"/>
        </w:rPr>
        <w:t>ski</w:t>
      </w:r>
      <w:r>
        <w:rPr>
          <w:color w:val="231F20"/>
          <w:spacing w:val="10"/>
          <w:sz w:val="17"/>
        </w:rPr>
        <w:t xml:space="preserve"> </w:t>
      </w:r>
      <w:r>
        <w:rPr>
          <w:color w:val="231F20"/>
          <w:spacing w:val="-2"/>
          <w:sz w:val="17"/>
        </w:rPr>
        <w:t>industry.</w:t>
      </w:r>
    </w:p>
    <w:p w14:paraId="1784B3D2" w14:textId="77777777" w:rsidR="00AE0598" w:rsidRDefault="0069255A">
      <w:pPr>
        <w:spacing w:before="1"/>
        <w:ind w:left="430"/>
        <w:jc w:val="both"/>
        <w:rPr>
          <w:sz w:val="17"/>
        </w:rPr>
      </w:pPr>
      <w:r>
        <w:rPr>
          <w:i/>
          <w:color w:val="231F20"/>
          <w:sz w:val="17"/>
        </w:rPr>
        <w:t>Global</w:t>
      </w:r>
      <w:r>
        <w:rPr>
          <w:i/>
          <w:color w:val="231F20"/>
          <w:spacing w:val="6"/>
          <w:sz w:val="17"/>
        </w:rPr>
        <w:t xml:space="preserve"> </w:t>
      </w:r>
      <w:r>
        <w:rPr>
          <w:i/>
          <w:color w:val="231F20"/>
          <w:sz w:val="17"/>
        </w:rPr>
        <w:t>Environmental</w:t>
      </w:r>
      <w:r>
        <w:rPr>
          <w:i/>
          <w:color w:val="231F20"/>
          <w:spacing w:val="7"/>
          <w:sz w:val="17"/>
        </w:rPr>
        <w:t xml:space="preserve"> </w:t>
      </w:r>
      <w:r>
        <w:rPr>
          <w:i/>
          <w:color w:val="231F20"/>
          <w:sz w:val="17"/>
        </w:rPr>
        <w:t>Change</w:t>
      </w:r>
      <w:r>
        <w:rPr>
          <w:i/>
          <w:color w:val="231F20"/>
          <w:spacing w:val="8"/>
          <w:sz w:val="17"/>
        </w:rPr>
        <w:t xml:space="preserve"> </w:t>
      </w:r>
      <w:r>
        <w:rPr>
          <w:color w:val="231F20"/>
          <w:sz w:val="17"/>
        </w:rPr>
        <w:t>17</w:t>
      </w:r>
      <w:r>
        <w:rPr>
          <w:color w:val="231F20"/>
          <w:spacing w:val="7"/>
          <w:sz w:val="17"/>
        </w:rPr>
        <w:t xml:space="preserve"> </w:t>
      </w:r>
      <w:r>
        <w:rPr>
          <w:color w:val="231F20"/>
          <w:sz w:val="17"/>
        </w:rPr>
        <w:t>(2),</w:t>
      </w:r>
      <w:r>
        <w:rPr>
          <w:color w:val="231F20"/>
          <w:spacing w:val="7"/>
          <w:sz w:val="17"/>
        </w:rPr>
        <w:t xml:space="preserve"> </w:t>
      </w:r>
      <w:r>
        <w:rPr>
          <w:color w:val="231F20"/>
          <w:spacing w:val="-2"/>
          <w:sz w:val="17"/>
        </w:rPr>
        <w:t>181–190.</w:t>
      </w:r>
    </w:p>
    <w:p w14:paraId="58F34AD1" w14:textId="77777777" w:rsidR="00AE0598" w:rsidRDefault="0069255A">
      <w:pPr>
        <w:ind w:left="430" w:right="127" w:hanging="320"/>
        <w:jc w:val="both"/>
        <w:rPr>
          <w:sz w:val="17"/>
        </w:rPr>
      </w:pPr>
      <w:r>
        <w:rPr>
          <w:color w:val="231F20"/>
          <w:sz w:val="17"/>
        </w:rPr>
        <w:t>Scott, D., Steiger, R., Rutty, M. and Johnson, P. (2014) The future of the Olympic Winter</w:t>
      </w:r>
      <w:r>
        <w:rPr>
          <w:color w:val="231F20"/>
          <w:spacing w:val="40"/>
          <w:sz w:val="17"/>
        </w:rPr>
        <w:t xml:space="preserve"> </w:t>
      </w:r>
      <w:r>
        <w:rPr>
          <w:color w:val="231F20"/>
          <w:sz w:val="17"/>
        </w:rPr>
        <w:t xml:space="preserve">Games in an era of climate change. </w:t>
      </w:r>
      <w:r>
        <w:rPr>
          <w:i/>
          <w:color w:val="231F20"/>
          <w:sz w:val="17"/>
        </w:rPr>
        <w:t xml:space="preserve">Current Issues in Tourism </w:t>
      </w:r>
      <w:r>
        <w:rPr>
          <w:color w:val="231F20"/>
          <w:sz w:val="17"/>
        </w:rPr>
        <w:t>18 (10), 913–930. doi:</w:t>
      </w:r>
      <w:r>
        <w:rPr>
          <w:color w:val="231F20"/>
          <w:spacing w:val="40"/>
          <w:sz w:val="17"/>
        </w:rPr>
        <w:t xml:space="preserve"> </w:t>
      </w:r>
      <w:r>
        <w:rPr>
          <w:color w:val="231F20"/>
          <w:spacing w:val="-6"/>
          <w:w w:val="94"/>
          <w:sz w:val="17"/>
        </w:rPr>
        <w:t>1</w:t>
      </w:r>
      <w:r>
        <w:rPr>
          <w:color w:val="231F20"/>
          <w:spacing w:val="-3"/>
          <w:w w:val="94"/>
          <w:sz w:val="17"/>
        </w:rPr>
        <w:t>0</w:t>
      </w:r>
      <w:r>
        <w:rPr>
          <w:color w:val="231F20"/>
          <w:spacing w:val="-9"/>
          <w:w w:val="140"/>
          <w:sz w:val="17"/>
        </w:rPr>
        <w:t>.</w:t>
      </w:r>
      <w:r>
        <w:rPr>
          <w:color w:val="231F20"/>
          <w:spacing w:val="-6"/>
          <w:w w:val="94"/>
          <w:sz w:val="17"/>
        </w:rPr>
        <w:t>1</w:t>
      </w:r>
      <w:r>
        <w:rPr>
          <w:color w:val="231F20"/>
          <w:w w:val="94"/>
          <w:sz w:val="17"/>
        </w:rPr>
        <w:t>0</w:t>
      </w:r>
      <w:r>
        <w:rPr>
          <w:color w:val="231F20"/>
          <w:spacing w:val="1"/>
          <w:w w:val="94"/>
          <w:sz w:val="17"/>
        </w:rPr>
        <w:t>8</w:t>
      </w:r>
      <w:r>
        <w:rPr>
          <w:color w:val="231F20"/>
          <w:w w:val="94"/>
          <w:sz w:val="17"/>
        </w:rPr>
        <w:t>0</w:t>
      </w:r>
      <w:r>
        <w:rPr>
          <w:color w:val="231F20"/>
          <w:spacing w:val="-5"/>
          <w:w w:val="65"/>
          <w:sz w:val="17"/>
        </w:rPr>
        <w:t>/</w:t>
      </w:r>
      <w:r>
        <w:rPr>
          <w:color w:val="231F20"/>
          <w:spacing w:val="-2"/>
          <w:w w:val="94"/>
          <w:sz w:val="17"/>
        </w:rPr>
        <w:t>136</w:t>
      </w:r>
      <w:r>
        <w:rPr>
          <w:color w:val="231F20"/>
          <w:spacing w:val="-1"/>
          <w:w w:val="94"/>
          <w:sz w:val="17"/>
        </w:rPr>
        <w:t>8</w:t>
      </w:r>
      <w:r>
        <w:rPr>
          <w:color w:val="231F20"/>
          <w:spacing w:val="-4"/>
          <w:w w:val="94"/>
          <w:sz w:val="17"/>
        </w:rPr>
        <w:t>3</w:t>
      </w:r>
      <w:r>
        <w:rPr>
          <w:color w:val="231F20"/>
          <w:spacing w:val="-2"/>
          <w:w w:val="94"/>
          <w:sz w:val="17"/>
        </w:rPr>
        <w:t>5</w:t>
      </w:r>
      <w:r>
        <w:rPr>
          <w:color w:val="231F20"/>
          <w:spacing w:val="4"/>
          <w:w w:val="94"/>
          <w:sz w:val="17"/>
        </w:rPr>
        <w:t>0</w:t>
      </w:r>
      <w:r>
        <w:rPr>
          <w:color w:val="231F20"/>
          <w:spacing w:val="-3"/>
          <w:w w:val="94"/>
          <w:sz w:val="17"/>
        </w:rPr>
        <w:t>0</w:t>
      </w:r>
      <w:r>
        <w:rPr>
          <w:color w:val="231F20"/>
          <w:spacing w:val="1"/>
          <w:w w:val="140"/>
          <w:sz w:val="17"/>
        </w:rPr>
        <w:t>.</w:t>
      </w:r>
      <w:r>
        <w:rPr>
          <w:color w:val="231F20"/>
          <w:spacing w:val="1"/>
          <w:w w:val="94"/>
          <w:sz w:val="17"/>
        </w:rPr>
        <w:t>2</w:t>
      </w:r>
      <w:r>
        <w:rPr>
          <w:color w:val="231F20"/>
          <w:spacing w:val="-5"/>
          <w:w w:val="94"/>
          <w:sz w:val="17"/>
        </w:rPr>
        <w:t>0</w:t>
      </w:r>
      <w:r>
        <w:rPr>
          <w:color w:val="231F20"/>
          <w:spacing w:val="-10"/>
          <w:w w:val="94"/>
          <w:sz w:val="17"/>
        </w:rPr>
        <w:t>1</w:t>
      </w:r>
      <w:r>
        <w:rPr>
          <w:color w:val="231F20"/>
          <w:spacing w:val="-3"/>
          <w:w w:val="94"/>
          <w:sz w:val="17"/>
        </w:rPr>
        <w:t>4</w:t>
      </w:r>
      <w:r>
        <w:rPr>
          <w:color w:val="231F20"/>
          <w:spacing w:val="-1"/>
          <w:w w:val="140"/>
          <w:sz w:val="17"/>
        </w:rPr>
        <w:t>.</w:t>
      </w:r>
      <w:r>
        <w:rPr>
          <w:color w:val="231F20"/>
          <w:spacing w:val="-1"/>
          <w:w w:val="94"/>
          <w:sz w:val="17"/>
        </w:rPr>
        <w:t>8</w:t>
      </w:r>
      <w:r>
        <w:rPr>
          <w:color w:val="231F20"/>
          <w:w w:val="94"/>
          <w:sz w:val="17"/>
        </w:rPr>
        <w:t>8</w:t>
      </w:r>
      <w:r>
        <w:rPr>
          <w:color w:val="231F20"/>
          <w:spacing w:val="-9"/>
          <w:w w:val="94"/>
          <w:sz w:val="17"/>
        </w:rPr>
        <w:t>7</w:t>
      </w:r>
      <w:r>
        <w:rPr>
          <w:color w:val="231F20"/>
          <w:w w:val="94"/>
          <w:sz w:val="17"/>
        </w:rPr>
        <w:t>6</w:t>
      </w:r>
      <w:r>
        <w:rPr>
          <w:color w:val="231F20"/>
          <w:spacing w:val="1"/>
          <w:w w:val="94"/>
          <w:sz w:val="17"/>
        </w:rPr>
        <w:t>6</w:t>
      </w:r>
      <w:r>
        <w:rPr>
          <w:color w:val="231F20"/>
          <w:spacing w:val="-3"/>
          <w:w w:val="94"/>
          <w:sz w:val="17"/>
        </w:rPr>
        <w:t>4</w:t>
      </w:r>
      <w:r>
        <w:rPr>
          <w:color w:val="231F20"/>
          <w:spacing w:val="-6"/>
          <w:w w:val="140"/>
          <w:sz w:val="17"/>
        </w:rPr>
        <w:t>.</w:t>
      </w:r>
    </w:p>
    <w:p w14:paraId="088A115D" w14:textId="77777777" w:rsidR="00AE0598" w:rsidRDefault="00AE0598">
      <w:pPr>
        <w:jc w:val="both"/>
        <w:rPr>
          <w:sz w:val="17"/>
        </w:rPr>
        <w:sectPr w:rsidR="00AE0598">
          <w:pgSz w:w="8850" w:h="13270"/>
          <w:pgMar w:top="720" w:right="1060" w:bottom="280" w:left="1080" w:header="720" w:footer="720" w:gutter="0"/>
          <w:cols w:space="720"/>
        </w:sectPr>
      </w:pPr>
    </w:p>
    <w:p w14:paraId="33C8E3AB" w14:textId="77777777" w:rsidR="00AE0598" w:rsidRDefault="0069255A">
      <w:pPr>
        <w:spacing w:before="87"/>
        <w:ind w:left="108"/>
        <w:rPr>
          <w:rFonts w:ascii="Trebuchet MS"/>
          <w:sz w:val="14"/>
        </w:rPr>
      </w:pPr>
      <w:r>
        <w:rPr>
          <w:rFonts w:ascii="Trebuchet MS"/>
          <w:color w:val="231F20"/>
          <w:w w:val="105"/>
          <w:sz w:val="14"/>
        </w:rPr>
        <w:lastRenderedPageBreak/>
        <w:t>272</w:t>
      </w:r>
      <w:r>
        <w:rPr>
          <w:rFonts w:ascii="Trebuchet MS"/>
          <w:color w:val="231F20"/>
          <w:spacing w:val="78"/>
          <w:w w:val="150"/>
          <w:sz w:val="14"/>
        </w:rPr>
        <w:t xml:space="preserve"> </w:t>
      </w:r>
      <w:r>
        <w:rPr>
          <w:rFonts w:ascii="Trebuchet MS"/>
          <w:color w:val="231F20"/>
          <w:spacing w:val="-2"/>
          <w:w w:val="105"/>
          <w:sz w:val="14"/>
        </w:rPr>
        <w:t>References</w:t>
      </w:r>
    </w:p>
    <w:p w14:paraId="3CD2EA84" w14:textId="77777777" w:rsidR="00AE0598" w:rsidRDefault="00AE0598">
      <w:pPr>
        <w:pStyle w:val="Corpodetexto"/>
        <w:rPr>
          <w:rFonts w:ascii="Trebuchet MS"/>
          <w:sz w:val="16"/>
        </w:rPr>
      </w:pPr>
    </w:p>
    <w:p w14:paraId="027BAA2A" w14:textId="77777777" w:rsidR="00AE0598" w:rsidRDefault="0069255A">
      <w:pPr>
        <w:spacing w:before="121"/>
        <w:ind w:left="110"/>
        <w:jc w:val="both"/>
        <w:rPr>
          <w:sz w:val="17"/>
        </w:rPr>
      </w:pPr>
      <w:r>
        <w:rPr>
          <w:color w:val="231F20"/>
          <w:sz w:val="17"/>
        </w:rPr>
        <w:t>Selin,</w:t>
      </w:r>
      <w:r>
        <w:rPr>
          <w:color w:val="231F20"/>
          <w:spacing w:val="14"/>
          <w:sz w:val="17"/>
        </w:rPr>
        <w:t xml:space="preserve"> </w:t>
      </w:r>
      <w:r>
        <w:rPr>
          <w:color w:val="231F20"/>
          <w:sz w:val="17"/>
        </w:rPr>
        <w:t>S.</w:t>
      </w:r>
      <w:r>
        <w:rPr>
          <w:color w:val="231F20"/>
          <w:spacing w:val="15"/>
          <w:sz w:val="17"/>
        </w:rPr>
        <w:t xml:space="preserve"> </w:t>
      </w:r>
      <w:r>
        <w:rPr>
          <w:color w:val="231F20"/>
          <w:sz w:val="17"/>
        </w:rPr>
        <w:t>and</w:t>
      </w:r>
      <w:r>
        <w:rPr>
          <w:color w:val="231F20"/>
          <w:spacing w:val="14"/>
          <w:sz w:val="17"/>
        </w:rPr>
        <w:t xml:space="preserve"> </w:t>
      </w:r>
      <w:r>
        <w:rPr>
          <w:color w:val="231F20"/>
          <w:sz w:val="17"/>
        </w:rPr>
        <w:t>Chavez,</w:t>
      </w:r>
      <w:r>
        <w:rPr>
          <w:color w:val="231F20"/>
          <w:spacing w:val="15"/>
          <w:sz w:val="17"/>
        </w:rPr>
        <w:t xml:space="preserve"> </w:t>
      </w:r>
      <w:r>
        <w:rPr>
          <w:color w:val="231F20"/>
          <w:sz w:val="17"/>
        </w:rPr>
        <w:t>D.</w:t>
      </w:r>
      <w:r>
        <w:rPr>
          <w:color w:val="231F20"/>
          <w:spacing w:val="15"/>
          <w:sz w:val="17"/>
        </w:rPr>
        <w:t xml:space="preserve"> </w:t>
      </w:r>
      <w:r>
        <w:rPr>
          <w:color w:val="231F20"/>
          <w:sz w:val="17"/>
        </w:rPr>
        <w:t>(1995)</w:t>
      </w:r>
      <w:r>
        <w:rPr>
          <w:color w:val="231F20"/>
          <w:spacing w:val="14"/>
          <w:sz w:val="17"/>
        </w:rPr>
        <w:t xml:space="preserve"> </w:t>
      </w:r>
      <w:r>
        <w:rPr>
          <w:color w:val="231F20"/>
          <w:sz w:val="17"/>
        </w:rPr>
        <w:t>Developing</w:t>
      </w:r>
      <w:r>
        <w:rPr>
          <w:color w:val="231F20"/>
          <w:spacing w:val="15"/>
          <w:sz w:val="17"/>
        </w:rPr>
        <w:t xml:space="preserve"> </w:t>
      </w:r>
      <w:r>
        <w:rPr>
          <w:color w:val="231F20"/>
          <w:sz w:val="17"/>
        </w:rPr>
        <w:t>an</w:t>
      </w:r>
      <w:r>
        <w:rPr>
          <w:color w:val="231F20"/>
          <w:spacing w:val="14"/>
          <w:sz w:val="17"/>
        </w:rPr>
        <w:t xml:space="preserve"> </w:t>
      </w:r>
      <w:r>
        <w:rPr>
          <w:color w:val="231F20"/>
          <w:sz w:val="17"/>
        </w:rPr>
        <w:t>evolutionary</w:t>
      </w:r>
      <w:r>
        <w:rPr>
          <w:color w:val="231F20"/>
          <w:spacing w:val="15"/>
          <w:sz w:val="17"/>
        </w:rPr>
        <w:t xml:space="preserve"> </w:t>
      </w:r>
      <w:r>
        <w:rPr>
          <w:color w:val="231F20"/>
          <w:sz w:val="17"/>
        </w:rPr>
        <w:t>tourism</w:t>
      </w:r>
      <w:r>
        <w:rPr>
          <w:color w:val="231F20"/>
          <w:spacing w:val="15"/>
          <w:sz w:val="17"/>
        </w:rPr>
        <w:t xml:space="preserve"> </w:t>
      </w:r>
      <w:r>
        <w:rPr>
          <w:color w:val="231F20"/>
          <w:sz w:val="17"/>
        </w:rPr>
        <w:t>partnership</w:t>
      </w:r>
      <w:r>
        <w:rPr>
          <w:color w:val="231F20"/>
          <w:spacing w:val="14"/>
          <w:sz w:val="17"/>
        </w:rPr>
        <w:t xml:space="preserve"> </w:t>
      </w:r>
      <w:r>
        <w:rPr>
          <w:color w:val="231F20"/>
          <w:spacing w:val="-2"/>
          <w:sz w:val="17"/>
        </w:rPr>
        <w:t>model.</w:t>
      </w:r>
    </w:p>
    <w:p w14:paraId="5D3BC96C" w14:textId="77777777" w:rsidR="00AE0598" w:rsidRDefault="0069255A">
      <w:pPr>
        <w:ind w:left="430"/>
        <w:jc w:val="both"/>
        <w:rPr>
          <w:sz w:val="17"/>
        </w:rPr>
      </w:pPr>
      <w:r>
        <w:rPr>
          <w:i/>
          <w:color w:val="231F20"/>
          <w:sz w:val="17"/>
        </w:rPr>
        <w:t>Annals</w:t>
      </w:r>
      <w:r>
        <w:rPr>
          <w:i/>
          <w:color w:val="231F20"/>
          <w:spacing w:val="4"/>
          <w:sz w:val="17"/>
        </w:rPr>
        <w:t xml:space="preserve"> </w:t>
      </w:r>
      <w:r>
        <w:rPr>
          <w:i/>
          <w:color w:val="231F20"/>
          <w:sz w:val="17"/>
        </w:rPr>
        <w:t>of</w:t>
      </w:r>
      <w:r>
        <w:rPr>
          <w:i/>
          <w:color w:val="231F20"/>
          <w:spacing w:val="5"/>
          <w:sz w:val="17"/>
        </w:rPr>
        <w:t xml:space="preserve"> </w:t>
      </w:r>
      <w:r>
        <w:rPr>
          <w:i/>
          <w:color w:val="231F20"/>
          <w:sz w:val="17"/>
        </w:rPr>
        <w:t>Tourism</w:t>
      </w:r>
      <w:r>
        <w:rPr>
          <w:i/>
          <w:color w:val="231F20"/>
          <w:spacing w:val="5"/>
          <w:sz w:val="17"/>
        </w:rPr>
        <w:t xml:space="preserve"> </w:t>
      </w:r>
      <w:r>
        <w:rPr>
          <w:i/>
          <w:color w:val="231F20"/>
          <w:sz w:val="17"/>
        </w:rPr>
        <w:t>Research</w:t>
      </w:r>
      <w:r>
        <w:rPr>
          <w:i/>
          <w:color w:val="231F20"/>
          <w:spacing w:val="5"/>
          <w:sz w:val="17"/>
        </w:rPr>
        <w:t xml:space="preserve"> </w:t>
      </w:r>
      <w:r>
        <w:rPr>
          <w:color w:val="231F20"/>
          <w:sz w:val="17"/>
        </w:rPr>
        <w:t>22</w:t>
      </w:r>
      <w:r>
        <w:rPr>
          <w:color w:val="231F20"/>
          <w:spacing w:val="5"/>
          <w:sz w:val="17"/>
        </w:rPr>
        <w:t xml:space="preserve"> </w:t>
      </w:r>
      <w:r>
        <w:rPr>
          <w:color w:val="231F20"/>
          <w:sz w:val="17"/>
        </w:rPr>
        <w:t>(4),</w:t>
      </w:r>
      <w:r>
        <w:rPr>
          <w:color w:val="231F20"/>
          <w:spacing w:val="5"/>
          <w:sz w:val="17"/>
        </w:rPr>
        <w:t xml:space="preserve"> </w:t>
      </w:r>
      <w:r>
        <w:rPr>
          <w:color w:val="231F20"/>
          <w:spacing w:val="-2"/>
          <w:sz w:val="17"/>
        </w:rPr>
        <w:t>844–856.</w:t>
      </w:r>
    </w:p>
    <w:p w14:paraId="59AB2EF8" w14:textId="77777777" w:rsidR="00AE0598" w:rsidRDefault="0069255A">
      <w:pPr>
        <w:spacing w:before="1"/>
        <w:ind w:left="430" w:right="128" w:hanging="320"/>
        <w:jc w:val="both"/>
        <w:rPr>
          <w:sz w:val="17"/>
        </w:rPr>
      </w:pPr>
      <w:r>
        <w:rPr>
          <w:color w:val="231F20"/>
          <w:sz w:val="17"/>
        </w:rPr>
        <w:t>Sell, B. (2000, 4 April) Sport in sport-mad New Zealand under severe strain.</w:t>
      </w:r>
      <w:r>
        <w:rPr>
          <w:color w:val="231F20"/>
          <w:spacing w:val="-2"/>
          <w:sz w:val="17"/>
        </w:rPr>
        <w:t xml:space="preserve"> </w:t>
      </w:r>
      <w:r>
        <w:rPr>
          <w:i/>
          <w:color w:val="231F20"/>
          <w:sz w:val="17"/>
        </w:rPr>
        <w:t>New Zealand</w:t>
      </w:r>
      <w:r>
        <w:rPr>
          <w:i/>
          <w:color w:val="231F20"/>
          <w:spacing w:val="40"/>
          <w:sz w:val="17"/>
        </w:rPr>
        <w:t xml:space="preserve"> </w:t>
      </w:r>
      <w:r>
        <w:rPr>
          <w:i/>
          <w:color w:val="231F20"/>
          <w:sz w:val="17"/>
        </w:rPr>
        <w:t>Herald</w:t>
      </w:r>
      <w:r>
        <w:rPr>
          <w:color w:val="231F20"/>
          <w:sz w:val="17"/>
        </w:rPr>
        <w:t>, p. A:3.</w:t>
      </w:r>
    </w:p>
    <w:p w14:paraId="1735BECE" w14:textId="77777777" w:rsidR="00AE0598" w:rsidRDefault="0069255A">
      <w:pPr>
        <w:spacing w:before="2"/>
        <w:ind w:left="110"/>
        <w:jc w:val="both"/>
        <w:rPr>
          <w:sz w:val="17"/>
        </w:rPr>
      </w:pPr>
      <w:r>
        <w:rPr>
          <w:color w:val="231F20"/>
          <w:sz w:val="17"/>
        </w:rPr>
        <w:t>Sennet,</w:t>
      </w:r>
      <w:r>
        <w:rPr>
          <w:color w:val="231F20"/>
          <w:spacing w:val="30"/>
          <w:sz w:val="17"/>
        </w:rPr>
        <w:t xml:space="preserve"> </w:t>
      </w:r>
      <w:r>
        <w:rPr>
          <w:color w:val="231F20"/>
          <w:sz w:val="17"/>
        </w:rPr>
        <w:t>R.</w:t>
      </w:r>
      <w:r>
        <w:rPr>
          <w:color w:val="231F20"/>
          <w:spacing w:val="31"/>
          <w:sz w:val="17"/>
        </w:rPr>
        <w:t xml:space="preserve"> </w:t>
      </w:r>
      <w:r>
        <w:rPr>
          <w:color w:val="231F20"/>
          <w:sz w:val="17"/>
        </w:rPr>
        <w:t>(1999)</w:t>
      </w:r>
      <w:r>
        <w:rPr>
          <w:color w:val="231F20"/>
          <w:spacing w:val="30"/>
          <w:sz w:val="17"/>
        </w:rPr>
        <w:t xml:space="preserve"> </w:t>
      </w:r>
      <w:r>
        <w:rPr>
          <w:color w:val="231F20"/>
          <w:sz w:val="17"/>
        </w:rPr>
        <w:t>Growth</w:t>
      </w:r>
      <w:r>
        <w:rPr>
          <w:color w:val="231F20"/>
          <w:spacing w:val="31"/>
          <w:sz w:val="17"/>
        </w:rPr>
        <w:t xml:space="preserve"> </w:t>
      </w:r>
      <w:r>
        <w:rPr>
          <w:color w:val="231F20"/>
          <w:sz w:val="17"/>
        </w:rPr>
        <w:t>and</w:t>
      </w:r>
      <w:r>
        <w:rPr>
          <w:color w:val="231F20"/>
          <w:spacing w:val="30"/>
          <w:sz w:val="17"/>
        </w:rPr>
        <w:t xml:space="preserve"> </w:t>
      </w:r>
      <w:r>
        <w:rPr>
          <w:color w:val="231F20"/>
          <w:sz w:val="17"/>
        </w:rPr>
        <w:t>failure:</w:t>
      </w:r>
      <w:r>
        <w:rPr>
          <w:color w:val="231F20"/>
          <w:spacing w:val="31"/>
          <w:sz w:val="17"/>
        </w:rPr>
        <w:t xml:space="preserve"> </w:t>
      </w:r>
      <w:r>
        <w:rPr>
          <w:color w:val="231F20"/>
          <w:sz w:val="17"/>
        </w:rPr>
        <w:t>The</w:t>
      </w:r>
      <w:r>
        <w:rPr>
          <w:color w:val="231F20"/>
          <w:spacing w:val="30"/>
          <w:sz w:val="17"/>
        </w:rPr>
        <w:t xml:space="preserve"> </w:t>
      </w:r>
      <w:r>
        <w:rPr>
          <w:color w:val="231F20"/>
          <w:sz w:val="17"/>
        </w:rPr>
        <w:t>new</w:t>
      </w:r>
      <w:r>
        <w:rPr>
          <w:color w:val="231F20"/>
          <w:spacing w:val="31"/>
          <w:sz w:val="17"/>
        </w:rPr>
        <w:t xml:space="preserve"> </w:t>
      </w:r>
      <w:r>
        <w:rPr>
          <w:color w:val="231F20"/>
          <w:sz w:val="17"/>
        </w:rPr>
        <w:t>political</w:t>
      </w:r>
      <w:r>
        <w:rPr>
          <w:color w:val="231F20"/>
          <w:spacing w:val="30"/>
          <w:sz w:val="17"/>
        </w:rPr>
        <w:t xml:space="preserve"> </w:t>
      </w:r>
      <w:r>
        <w:rPr>
          <w:color w:val="231F20"/>
          <w:sz w:val="17"/>
        </w:rPr>
        <w:t>economy</w:t>
      </w:r>
      <w:r>
        <w:rPr>
          <w:color w:val="231F20"/>
          <w:spacing w:val="31"/>
          <w:sz w:val="17"/>
        </w:rPr>
        <w:t xml:space="preserve"> </w:t>
      </w:r>
      <w:r>
        <w:rPr>
          <w:color w:val="231F20"/>
          <w:sz w:val="17"/>
        </w:rPr>
        <w:t>and</w:t>
      </w:r>
      <w:r>
        <w:rPr>
          <w:color w:val="231F20"/>
          <w:spacing w:val="30"/>
          <w:sz w:val="17"/>
        </w:rPr>
        <w:t xml:space="preserve"> </w:t>
      </w:r>
      <w:r>
        <w:rPr>
          <w:color w:val="231F20"/>
          <w:sz w:val="17"/>
        </w:rPr>
        <w:t>its</w:t>
      </w:r>
      <w:r>
        <w:rPr>
          <w:color w:val="231F20"/>
          <w:spacing w:val="31"/>
          <w:sz w:val="17"/>
        </w:rPr>
        <w:t xml:space="preserve"> </w:t>
      </w:r>
      <w:r>
        <w:rPr>
          <w:color w:val="231F20"/>
          <w:sz w:val="17"/>
        </w:rPr>
        <w:t>culture.</w:t>
      </w:r>
      <w:r>
        <w:rPr>
          <w:color w:val="231F20"/>
          <w:spacing w:val="30"/>
          <w:sz w:val="17"/>
        </w:rPr>
        <w:t xml:space="preserve"> </w:t>
      </w:r>
      <w:r>
        <w:rPr>
          <w:color w:val="231F20"/>
          <w:spacing w:val="-5"/>
          <w:sz w:val="17"/>
        </w:rPr>
        <w:t>In</w:t>
      </w:r>
    </w:p>
    <w:p w14:paraId="03E5AF18" w14:textId="77777777" w:rsidR="00AE0598" w:rsidRDefault="0069255A">
      <w:pPr>
        <w:ind w:left="430" w:right="128"/>
        <w:jc w:val="both"/>
        <w:rPr>
          <w:sz w:val="17"/>
        </w:rPr>
      </w:pPr>
      <w:r>
        <w:rPr>
          <w:color w:val="231F20"/>
          <w:sz w:val="17"/>
        </w:rPr>
        <w:t xml:space="preserve">M. Featherstone and S. Lash (eds) </w:t>
      </w:r>
      <w:r>
        <w:rPr>
          <w:i/>
          <w:color w:val="231F20"/>
          <w:sz w:val="17"/>
        </w:rPr>
        <w:t xml:space="preserve">Spaces of Culture: City–Nation–World </w:t>
      </w:r>
      <w:r>
        <w:rPr>
          <w:color w:val="231F20"/>
          <w:sz w:val="17"/>
        </w:rPr>
        <w:t>(pp. 14–26).</w:t>
      </w:r>
      <w:r>
        <w:rPr>
          <w:color w:val="231F20"/>
          <w:spacing w:val="40"/>
          <w:sz w:val="17"/>
        </w:rPr>
        <w:t xml:space="preserve"> </w:t>
      </w:r>
      <w:r>
        <w:rPr>
          <w:color w:val="231F20"/>
          <w:sz w:val="17"/>
        </w:rPr>
        <w:t>London: Sage.</w:t>
      </w:r>
    </w:p>
    <w:p w14:paraId="1D7ADF6C" w14:textId="77777777" w:rsidR="00AE0598" w:rsidRDefault="0069255A">
      <w:pPr>
        <w:spacing w:before="2"/>
        <w:ind w:left="430" w:right="128" w:hanging="320"/>
        <w:jc w:val="both"/>
        <w:rPr>
          <w:sz w:val="17"/>
        </w:rPr>
      </w:pPr>
      <w:r>
        <w:rPr>
          <w:color w:val="231F20"/>
          <w:sz w:val="17"/>
        </w:rPr>
        <w:t xml:space="preserve">Shank, M.D. and Lyberger, M.R. (2014) </w:t>
      </w:r>
      <w:r>
        <w:rPr>
          <w:i/>
          <w:color w:val="231F20"/>
          <w:sz w:val="17"/>
        </w:rPr>
        <w:t>Sports Marketing: A Strategic Perspective</w:t>
      </w:r>
      <w:r>
        <w:rPr>
          <w:color w:val="231F20"/>
          <w:sz w:val="17"/>
        </w:rPr>
        <w:t>. New</w:t>
      </w:r>
      <w:r>
        <w:rPr>
          <w:color w:val="231F20"/>
          <w:spacing w:val="40"/>
          <w:sz w:val="17"/>
        </w:rPr>
        <w:t xml:space="preserve"> </w:t>
      </w:r>
      <w:r>
        <w:rPr>
          <w:color w:val="231F20"/>
          <w:sz w:val="17"/>
        </w:rPr>
        <w:t>York: Routledge.</w:t>
      </w:r>
    </w:p>
    <w:p w14:paraId="0DD9F274" w14:textId="77777777" w:rsidR="00AE0598" w:rsidRDefault="0069255A">
      <w:pPr>
        <w:spacing w:before="1"/>
        <w:ind w:left="430" w:right="128" w:hanging="320"/>
        <w:jc w:val="both"/>
        <w:rPr>
          <w:sz w:val="17"/>
        </w:rPr>
      </w:pPr>
      <w:r>
        <w:rPr>
          <w:color w:val="231F20"/>
          <w:sz w:val="17"/>
        </w:rPr>
        <w:t>Shapcott, M. (1998) Commentary on ‘Urban Mega-Events, Ev</w:t>
      </w:r>
      <w:r>
        <w:rPr>
          <w:color w:val="231F20"/>
          <w:sz w:val="17"/>
        </w:rPr>
        <w:t>ictions and Housing Rights:</w:t>
      </w:r>
      <w:r>
        <w:rPr>
          <w:color w:val="231F20"/>
          <w:spacing w:val="40"/>
          <w:sz w:val="17"/>
        </w:rPr>
        <w:t xml:space="preserve"> </w:t>
      </w:r>
      <w:r>
        <w:rPr>
          <w:color w:val="231F20"/>
          <w:sz w:val="17"/>
        </w:rPr>
        <w:t xml:space="preserve">The Canadian Case’ by Chris Olds. </w:t>
      </w:r>
      <w:r>
        <w:rPr>
          <w:i/>
          <w:color w:val="231F20"/>
          <w:sz w:val="17"/>
        </w:rPr>
        <w:t xml:space="preserve">Current Issues in Tourism </w:t>
      </w:r>
      <w:r>
        <w:rPr>
          <w:color w:val="231F20"/>
          <w:sz w:val="17"/>
        </w:rPr>
        <w:t>1 (2), 195–196.</w:t>
      </w:r>
    </w:p>
    <w:p w14:paraId="7D36F2CD" w14:textId="77777777" w:rsidR="00AE0598" w:rsidRDefault="0069255A">
      <w:pPr>
        <w:spacing w:before="2"/>
        <w:ind w:left="430" w:right="129" w:hanging="320"/>
        <w:jc w:val="both"/>
        <w:rPr>
          <w:sz w:val="17"/>
        </w:rPr>
      </w:pPr>
      <w:r>
        <w:rPr>
          <w:color w:val="231F20"/>
          <w:w w:val="95"/>
          <w:sz w:val="17"/>
        </w:rPr>
        <w:t>Sharpley, R. (2014) Tourism: A vehicle for development. In R. Sharpley and D.J. Telfer (eds)</w:t>
      </w:r>
      <w:r>
        <w:rPr>
          <w:color w:val="231F20"/>
          <w:spacing w:val="40"/>
          <w:sz w:val="17"/>
        </w:rPr>
        <w:t xml:space="preserve"> </w:t>
      </w:r>
      <w:r>
        <w:rPr>
          <w:i/>
          <w:color w:val="231F20"/>
          <w:sz w:val="17"/>
        </w:rPr>
        <w:t xml:space="preserve">Tourism and Development: Concepts and Issues </w:t>
      </w:r>
      <w:r>
        <w:rPr>
          <w:color w:val="231F20"/>
          <w:sz w:val="17"/>
        </w:rPr>
        <w:t xml:space="preserve">(2nd edn, pp. </w:t>
      </w:r>
      <w:r>
        <w:rPr>
          <w:color w:val="231F20"/>
          <w:sz w:val="17"/>
        </w:rPr>
        <w:t>3–30). Bristol: Channel</w:t>
      </w:r>
      <w:r>
        <w:rPr>
          <w:color w:val="231F20"/>
          <w:spacing w:val="40"/>
          <w:sz w:val="17"/>
        </w:rPr>
        <w:t xml:space="preserve"> </w:t>
      </w:r>
      <w:r>
        <w:rPr>
          <w:color w:val="231F20"/>
          <w:sz w:val="17"/>
        </w:rPr>
        <w:t>View Publications.</w:t>
      </w:r>
    </w:p>
    <w:p w14:paraId="400D982F" w14:textId="77777777" w:rsidR="00AE0598" w:rsidRDefault="0069255A">
      <w:pPr>
        <w:spacing w:before="2"/>
        <w:ind w:left="110"/>
        <w:jc w:val="both"/>
        <w:rPr>
          <w:sz w:val="17"/>
        </w:rPr>
      </w:pPr>
      <w:r>
        <w:rPr>
          <w:color w:val="231F20"/>
          <w:w w:val="95"/>
          <w:sz w:val="17"/>
        </w:rPr>
        <w:t>Sheard,</w:t>
      </w:r>
      <w:r>
        <w:rPr>
          <w:color w:val="231F20"/>
          <w:spacing w:val="8"/>
          <w:sz w:val="17"/>
        </w:rPr>
        <w:t xml:space="preserve"> </w:t>
      </w:r>
      <w:r>
        <w:rPr>
          <w:color w:val="231F20"/>
          <w:w w:val="95"/>
          <w:sz w:val="17"/>
        </w:rPr>
        <w:t>K.</w:t>
      </w:r>
      <w:r>
        <w:rPr>
          <w:color w:val="231F20"/>
          <w:spacing w:val="9"/>
          <w:sz w:val="17"/>
        </w:rPr>
        <w:t xml:space="preserve"> </w:t>
      </w:r>
      <w:r>
        <w:rPr>
          <w:color w:val="231F20"/>
          <w:w w:val="95"/>
          <w:sz w:val="17"/>
        </w:rPr>
        <w:t>(1999)</w:t>
      </w:r>
      <w:r>
        <w:rPr>
          <w:color w:val="231F20"/>
          <w:spacing w:val="9"/>
          <w:sz w:val="17"/>
        </w:rPr>
        <w:t xml:space="preserve"> </w:t>
      </w:r>
      <w:r>
        <w:rPr>
          <w:color w:val="231F20"/>
          <w:w w:val="95"/>
          <w:sz w:val="17"/>
        </w:rPr>
        <w:t>A</w:t>
      </w:r>
      <w:r>
        <w:rPr>
          <w:color w:val="231F20"/>
          <w:spacing w:val="9"/>
          <w:sz w:val="17"/>
        </w:rPr>
        <w:t xml:space="preserve"> </w:t>
      </w:r>
      <w:r>
        <w:rPr>
          <w:color w:val="231F20"/>
          <w:w w:val="95"/>
          <w:sz w:val="17"/>
        </w:rPr>
        <w:t>twitch</w:t>
      </w:r>
      <w:r>
        <w:rPr>
          <w:color w:val="231F20"/>
          <w:spacing w:val="8"/>
          <w:sz w:val="17"/>
        </w:rPr>
        <w:t xml:space="preserve"> </w:t>
      </w:r>
      <w:r>
        <w:rPr>
          <w:color w:val="231F20"/>
          <w:w w:val="95"/>
          <w:sz w:val="17"/>
        </w:rPr>
        <w:t>in</w:t>
      </w:r>
      <w:r>
        <w:rPr>
          <w:color w:val="231F20"/>
          <w:spacing w:val="9"/>
          <w:sz w:val="17"/>
        </w:rPr>
        <w:t xml:space="preserve"> </w:t>
      </w:r>
      <w:r>
        <w:rPr>
          <w:color w:val="231F20"/>
          <w:w w:val="95"/>
          <w:sz w:val="17"/>
        </w:rPr>
        <w:t>time</w:t>
      </w:r>
      <w:r>
        <w:rPr>
          <w:color w:val="231F20"/>
          <w:spacing w:val="9"/>
          <w:sz w:val="17"/>
        </w:rPr>
        <w:t xml:space="preserve"> </w:t>
      </w:r>
      <w:r>
        <w:rPr>
          <w:color w:val="231F20"/>
          <w:w w:val="95"/>
          <w:sz w:val="17"/>
        </w:rPr>
        <w:t>saves</w:t>
      </w:r>
      <w:r>
        <w:rPr>
          <w:color w:val="231F20"/>
          <w:spacing w:val="9"/>
          <w:sz w:val="17"/>
        </w:rPr>
        <w:t xml:space="preserve"> </w:t>
      </w:r>
      <w:r>
        <w:rPr>
          <w:color w:val="231F20"/>
          <w:w w:val="95"/>
          <w:sz w:val="17"/>
        </w:rPr>
        <w:t>nine:</w:t>
      </w:r>
      <w:r>
        <w:rPr>
          <w:color w:val="231F20"/>
          <w:spacing w:val="9"/>
          <w:sz w:val="17"/>
        </w:rPr>
        <w:t xml:space="preserve"> </w:t>
      </w:r>
      <w:r>
        <w:rPr>
          <w:color w:val="231F20"/>
          <w:w w:val="95"/>
          <w:sz w:val="17"/>
        </w:rPr>
        <w:t>Birdwatching,</w:t>
      </w:r>
      <w:r>
        <w:rPr>
          <w:color w:val="231F20"/>
          <w:spacing w:val="8"/>
          <w:sz w:val="17"/>
        </w:rPr>
        <w:t xml:space="preserve"> </w:t>
      </w:r>
      <w:r>
        <w:rPr>
          <w:color w:val="231F20"/>
          <w:w w:val="95"/>
          <w:sz w:val="17"/>
        </w:rPr>
        <w:t>sport,</w:t>
      </w:r>
      <w:r>
        <w:rPr>
          <w:color w:val="231F20"/>
          <w:spacing w:val="9"/>
          <w:sz w:val="17"/>
        </w:rPr>
        <w:t xml:space="preserve"> </w:t>
      </w:r>
      <w:r>
        <w:rPr>
          <w:color w:val="231F20"/>
          <w:w w:val="95"/>
          <w:sz w:val="17"/>
        </w:rPr>
        <w:t>and</w:t>
      </w:r>
      <w:r>
        <w:rPr>
          <w:color w:val="231F20"/>
          <w:spacing w:val="9"/>
          <w:sz w:val="17"/>
        </w:rPr>
        <w:t xml:space="preserve"> </w:t>
      </w:r>
      <w:r>
        <w:rPr>
          <w:color w:val="231F20"/>
          <w:w w:val="95"/>
          <w:sz w:val="17"/>
        </w:rPr>
        <w:t>civilising</w:t>
      </w:r>
      <w:r>
        <w:rPr>
          <w:color w:val="231F20"/>
          <w:spacing w:val="9"/>
          <w:sz w:val="17"/>
        </w:rPr>
        <w:t xml:space="preserve"> </w:t>
      </w:r>
      <w:r>
        <w:rPr>
          <w:color w:val="231F20"/>
          <w:spacing w:val="-2"/>
          <w:w w:val="95"/>
          <w:sz w:val="17"/>
        </w:rPr>
        <w:t>processes.</w:t>
      </w:r>
    </w:p>
    <w:p w14:paraId="64942AB3" w14:textId="77777777" w:rsidR="00AE0598" w:rsidRDefault="0069255A">
      <w:pPr>
        <w:ind w:left="430"/>
        <w:jc w:val="both"/>
        <w:rPr>
          <w:sz w:val="17"/>
        </w:rPr>
      </w:pPr>
      <w:r>
        <w:rPr>
          <w:i/>
          <w:color w:val="231F20"/>
          <w:sz w:val="17"/>
        </w:rPr>
        <w:t>Sociology</w:t>
      </w:r>
      <w:r>
        <w:rPr>
          <w:i/>
          <w:color w:val="231F20"/>
          <w:spacing w:val="4"/>
          <w:sz w:val="17"/>
        </w:rPr>
        <w:t xml:space="preserve"> </w:t>
      </w:r>
      <w:r>
        <w:rPr>
          <w:i/>
          <w:color w:val="231F20"/>
          <w:sz w:val="17"/>
        </w:rPr>
        <w:t>of</w:t>
      </w:r>
      <w:r>
        <w:rPr>
          <w:i/>
          <w:color w:val="231F20"/>
          <w:spacing w:val="5"/>
          <w:sz w:val="17"/>
        </w:rPr>
        <w:t xml:space="preserve"> </w:t>
      </w:r>
      <w:r>
        <w:rPr>
          <w:i/>
          <w:color w:val="231F20"/>
          <w:sz w:val="17"/>
        </w:rPr>
        <w:t>Sport</w:t>
      </w:r>
      <w:r>
        <w:rPr>
          <w:i/>
          <w:color w:val="231F20"/>
          <w:spacing w:val="4"/>
          <w:sz w:val="17"/>
        </w:rPr>
        <w:t xml:space="preserve"> </w:t>
      </w:r>
      <w:r>
        <w:rPr>
          <w:i/>
          <w:color w:val="231F20"/>
          <w:sz w:val="17"/>
        </w:rPr>
        <w:t>Journal</w:t>
      </w:r>
      <w:r>
        <w:rPr>
          <w:i/>
          <w:color w:val="231F20"/>
          <w:spacing w:val="5"/>
          <w:sz w:val="17"/>
        </w:rPr>
        <w:t xml:space="preserve"> </w:t>
      </w:r>
      <w:r>
        <w:rPr>
          <w:color w:val="231F20"/>
          <w:sz w:val="17"/>
        </w:rPr>
        <w:t>16</w:t>
      </w:r>
      <w:r>
        <w:rPr>
          <w:color w:val="231F20"/>
          <w:spacing w:val="5"/>
          <w:sz w:val="17"/>
        </w:rPr>
        <w:t xml:space="preserve"> </w:t>
      </w:r>
      <w:r>
        <w:rPr>
          <w:color w:val="231F20"/>
          <w:sz w:val="17"/>
        </w:rPr>
        <w:t>(3),</w:t>
      </w:r>
      <w:r>
        <w:rPr>
          <w:color w:val="231F20"/>
          <w:spacing w:val="4"/>
          <w:sz w:val="17"/>
        </w:rPr>
        <w:t xml:space="preserve"> </w:t>
      </w:r>
      <w:r>
        <w:rPr>
          <w:color w:val="231F20"/>
          <w:spacing w:val="-2"/>
          <w:sz w:val="17"/>
        </w:rPr>
        <w:t>181–205.</w:t>
      </w:r>
    </w:p>
    <w:p w14:paraId="2336F6E3" w14:textId="77777777" w:rsidR="00AE0598" w:rsidRDefault="0069255A">
      <w:pPr>
        <w:spacing w:before="1"/>
        <w:ind w:left="110"/>
        <w:jc w:val="both"/>
        <w:rPr>
          <w:sz w:val="17"/>
        </w:rPr>
      </w:pPr>
      <w:r>
        <w:rPr>
          <w:color w:val="231F20"/>
          <w:sz w:val="17"/>
        </w:rPr>
        <w:t>Sheard,</w:t>
      </w:r>
      <w:r>
        <w:rPr>
          <w:color w:val="231F20"/>
          <w:spacing w:val="6"/>
          <w:sz w:val="17"/>
        </w:rPr>
        <w:t xml:space="preserve"> </w:t>
      </w:r>
      <w:r>
        <w:rPr>
          <w:color w:val="231F20"/>
          <w:sz w:val="17"/>
        </w:rPr>
        <w:t>R.</w:t>
      </w:r>
      <w:r>
        <w:rPr>
          <w:color w:val="231F20"/>
          <w:spacing w:val="6"/>
          <w:sz w:val="17"/>
        </w:rPr>
        <w:t xml:space="preserve"> </w:t>
      </w:r>
      <w:r>
        <w:rPr>
          <w:color w:val="231F20"/>
          <w:sz w:val="17"/>
        </w:rPr>
        <w:t>(2014)</w:t>
      </w:r>
      <w:r>
        <w:rPr>
          <w:color w:val="231F20"/>
          <w:spacing w:val="6"/>
          <w:sz w:val="17"/>
        </w:rPr>
        <w:t xml:space="preserve"> </w:t>
      </w:r>
      <w:r>
        <w:rPr>
          <w:i/>
          <w:color w:val="231F20"/>
          <w:sz w:val="17"/>
        </w:rPr>
        <w:t>Sports</w:t>
      </w:r>
      <w:r>
        <w:rPr>
          <w:i/>
          <w:color w:val="231F20"/>
          <w:spacing w:val="7"/>
          <w:sz w:val="17"/>
        </w:rPr>
        <w:t xml:space="preserve"> </w:t>
      </w:r>
      <w:r>
        <w:rPr>
          <w:i/>
          <w:color w:val="231F20"/>
          <w:sz w:val="17"/>
        </w:rPr>
        <w:t>Architecture</w:t>
      </w:r>
      <w:r>
        <w:rPr>
          <w:color w:val="231F20"/>
          <w:sz w:val="17"/>
        </w:rPr>
        <w:t>.</w:t>
      </w:r>
      <w:r>
        <w:rPr>
          <w:color w:val="231F20"/>
          <w:spacing w:val="6"/>
          <w:sz w:val="17"/>
        </w:rPr>
        <w:t xml:space="preserve"> </w:t>
      </w:r>
      <w:r>
        <w:rPr>
          <w:color w:val="231F20"/>
          <w:sz w:val="17"/>
        </w:rPr>
        <w:t>Oxford:</w:t>
      </w:r>
      <w:r>
        <w:rPr>
          <w:color w:val="231F20"/>
          <w:spacing w:val="6"/>
          <w:sz w:val="17"/>
        </w:rPr>
        <w:t xml:space="preserve"> </w:t>
      </w:r>
      <w:r>
        <w:rPr>
          <w:color w:val="231F20"/>
          <w:sz w:val="17"/>
        </w:rPr>
        <w:t>Taylor</w:t>
      </w:r>
      <w:r>
        <w:rPr>
          <w:color w:val="231F20"/>
          <w:spacing w:val="7"/>
          <w:sz w:val="17"/>
        </w:rPr>
        <w:t xml:space="preserve"> </w:t>
      </w:r>
      <w:r>
        <w:rPr>
          <w:color w:val="231F20"/>
          <w:sz w:val="17"/>
        </w:rPr>
        <w:t>&amp;</w:t>
      </w:r>
      <w:r>
        <w:rPr>
          <w:color w:val="231F20"/>
          <w:spacing w:val="6"/>
          <w:sz w:val="17"/>
        </w:rPr>
        <w:t xml:space="preserve"> </w:t>
      </w:r>
      <w:r>
        <w:rPr>
          <w:color w:val="231F20"/>
          <w:spacing w:val="-2"/>
          <w:sz w:val="17"/>
        </w:rPr>
        <w:t>Francis.</w:t>
      </w:r>
    </w:p>
    <w:p w14:paraId="0EAA1E7C" w14:textId="77777777" w:rsidR="00AE0598" w:rsidRDefault="0069255A">
      <w:pPr>
        <w:spacing w:before="1"/>
        <w:ind w:left="110" w:right="128"/>
        <w:jc w:val="right"/>
        <w:rPr>
          <w:sz w:val="17"/>
        </w:rPr>
      </w:pPr>
      <w:r>
        <w:rPr>
          <w:color w:val="231F20"/>
          <w:w w:val="95"/>
          <w:sz w:val="17"/>
        </w:rPr>
        <w:t xml:space="preserve">Sherlock, K. (2001) Revisiting the concept of hosts and guests. </w:t>
      </w:r>
      <w:r>
        <w:rPr>
          <w:i/>
          <w:color w:val="231F20"/>
          <w:w w:val="95"/>
          <w:sz w:val="17"/>
        </w:rPr>
        <w:t xml:space="preserve">Tourist Studies </w:t>
      </w:r>
      <w:r>
        <w:rPr>
          <w:color w:val="231F20"/>
          <w:w w:val="95"/>
          <w:sz w:val="17"/>
        </w:rPr>
        <w:t>1 (3), 271–295.</w:t>
      </w:r>
      <w:r>
        <w:rPr>
          <w:color w:val="231F20"/>
          <w:spacing w:val="40"/>
          <w:sz w:val="17"/>
        </w:rPr>
        <w:t xml:space="preserve"> </w:t>
      </w:r>
      <w:r>
        <w:rPr>
          <w:color w:val="231F20"/>
          <w:sz w:val="17"/>
        </w:rPr>
        <w:t>Shibli, S. (1998) The economic impact of two major sporting events in two of the United</w:t>
      </w:r>
      <w:r>
        <w:rPr>
          <w:color w:val="231F20"/>
          <w:spacing w:val="40"/>
          <w:sz w:val="17"/>
        </w:rPr>
        <w:t xml:space="preserve"> </w:t>
      </w:r>
      <w:r>
        <w:rPr>
          <w:color w:val="231F20"/>
          <w:sz w:val="17"/>
        </w:rPr>
        <w:t>Kingdom’s</w:t>
      </w:r>
      <w:r>
        <w:rPr>
          <w:color w:val="231F20"/>
          <w:spacing w:val="40"/>
          <w:sz w:val="17"/>
        </w:rPr>
        <w:t xml:space="preserve"> </w:t>
      </w:r>
      <w:r>
        <w:rPr>
          <w:color w:val="231F20"/>
          <w:sz w:val="17"/>
        </w:rPr>
        <w:t>‘National</w:t>
      </w:r>
      <w:r>
        <w:rPr>
          <w:color w:val="231F20"/>
          <w:spacing w:val="40"/>
          <w:sz w:val="17"/>
        </w:rPr>
        <w:t xml:space="preserve"> </w:t>
      </w:r>
      <w:r>
        <w:rPr>
          <w:color w:val="231F20"/>
          <w:sz w:val="17"/>
        </w:rPr>
        <w:t>Cities</w:t>
      </w:r>
      <w:r>
        <w:rPr>
          <w:color w:val="231F20"/>
          <w:spacing w:val="40"/>
          <w:sz w:val="17"/>
        </w:rPr>
        <w:t xml:space="preserve"> </w:t>
      </w:r>
      <w:r>
        <w:rPr>
          <w:color w:val="231F20"/>
          <w:sz w:val="17"/>
        </w:rPr>
        <w:t>of</w:t>
      </w:r>
      <w:r>
        <w:rPr>
          <w:color w:val="231F20"/>
          <w:spacing w:val="40"/>
          <w:sz w:val="17"/>
        </w:rPr>
        <w:t xml:space="preserve"> </w:t>
      </w:r>
      <w:r>
        <w:rPr>
          <w:color w:val="231F20"/>
          <w:sz w:val="17"/>
        </w:rPr>
        <w:t>Sport’.</w:t>
      </w:r>
      <w:r>
        <w:rPr>
          <w:color w:val="231F20"/>
          <w:spacing w:val="40"/>
          <w:sz w:val="17"/>
        </w:rPr>
        <w:t xml:space="preserve"> </w:t>
      </w:r>
      <w:r>
        <w:rPr>
          <w:color w:val="231F20"/>
          <w:sz w:val="17"/>
        </w:rPr>
        <w:t>Paper</w:t>
      </w:r>
      <w:r>
        <w:rPr>
          <w:color w:val="231F20"/>
          <w:spacing w:val="40"/>
          <w:sz w:val="17"/>
        </w:rPr>
        <w:t xml:space="preserve"> </w:t>
      </w:r>
      <w:r>
        <w:rPr>
          <w:color w:val="231F20"/>
          <w:sz w:val="17"/>
        </w:rPr>
        <w:t>presented</w:t>
      </w:r>
      <w:r>
        <w:rPr>
          <w:color w:val="231F20"/>
          <w:spacing w:val="40"/>
          <w:sz w:val="17"/>
        </w:rPr>
        <w:t xml:space="preserve"> </w:t>
      </w:r>
      <w:r>
        <w:rPr>
          <w:color w:val="231F20"/>
          <w:sz w:val="17"/>
        </w:rPr>
        <w:t>at</w:t>
      </w:r>
      <w:r>
        <w:rPr>
          <w:color w:val="231F20"/>
          <w:spacing w:val="40"/>
          <w:sz w:val="17"/>
        </w:rPr>
        <w:t xml:space="preserve"> </w:t>
      </w:r>
      <w:r>
        <w:rPr>
          <w:color w:val="231F20"/>
          <w:sz w:val="17"/>
        </w:rPr>
        <w:t>the</w:t>
      </w:r>
      <w:r>
        <w:rPr>
          <w:color w:val="231F20"/>
          <w:spacing w:val="40"/>
          <w:sz w:val="17"/>
        </w:rPr>
        <w:t xml:space="preserve"> </w:t>
      </w:r>
      <w:r>
        <w:rPr>
          <w:color w:val="231F20"/>
          <w:sz w:val="17"/>
        </w:rPr>
        <w:t>Sport</w:t>
      </w:r>
      <w:r>
        <w:rPr>
          <w:color w:val="231F20"/>
          <w:spacing w:val="40"/>
          <w:sz w:val="17"/>
        </w:rPr>
        <w:t xml:space="preserve"> </w:t>
      </w:r>
      <w:r>
        <w:rPr>
          <w:color w:val="231F20"/>
          <w:sz w:val="17"/>
        </w:rPr>
        <w:t>in</w:t>
      </w:r>
      <w:r>
        <w:rPr>
          <w:color w:val="231F20"/>
          <w:spacing w:val="40"/>
          <w:sz w:val="17"/>
        </w:rPr>
        <w:t xml:space="preserve"> </w:t>
      </w:r>
      <w:r>
        <w:rPr>
          <w:color w:val="231F20"/>
          <w:sz w:val="17"/>
        </w:rPr>
        <w:t>the</w:t>
      </w:r>
      <w:r>
        <w:rPr>
          <w:color w:val="231F20"/>
          <w:spacing w:val="40"/>
          <w:sz w:val="17"/>
        </w:rPr>
        <w:t xml:space="preserve"> </w:t>
      </w:r>
      <w:r>
        <w:rPr>
          <w:color w:val="231F20"/>
          <w:sz w:val="17"/>
        </w:rPr>
        <w:t>City</w:t>
      </w:r>
    </w:p>
    <w:p w14:paraId="2F60417B" w14:textId="77777777" w:rsidR="00AE0598" w:rsidRDefault="0069255A">
      <w:pPr>
        <w:spacing w:before="2"/>
        <w:ind w:left="430"/>
        <w:jc w:val="both"/>
        <w:rPr>
          <w:sz w:val="17"/>
        </w:rPr>
      </w:pPr>
      <w:r>
        <w:rPr>
          <w:color w:val="231F20"/>
          <w:sz w:val="17"/>
        </w:rPr>
        <w:t>Conference,</w:t>
      </w:r>
      <w:r>
        <w:rPr>
          <w:color w:val="231F20"/>
          <w:spacing w:val="6"/>
          <w:sz w:val="17"/>
        </w:rPr>
        <w:t xml:space="preserve"> </w:t>
      </w:r>
      <w:r>
        <w:rPr>
          <w:color w:val="231F20"/>
          <w:sz w:val="17"/>
        </w:rPr>
        <w:t>Sheffield,</w:t>
      </w:r>
      <w:r>
        <w:rPr>
          <w:color w:val="231F20"/>
          <w:spacing w:val="6"/>
          <w:sz w:val="17"/>
        </w:rPr>
        <w:t xml:space="preserve"> </w:t>
      </w:r>
      <w:r>
        <w:rPr>
          <w:color w:val="231F20"/>
          <w:sz w:val="17"/>
        </w:rPr>
        <w:t>UK,</w:t>
      </w:r>
      <w:r>
        <w:rPr>
          <w:color w:val="231F20"/>
          <w:spacing w:val="6"/>
          <w:sz w:val="17"/>
        </w:rPr>
        <w:t xml:space="preserve"> </w:t>
      </w:r>
      <w:r>
        <w:rPr>
          <w:color w:val="231F20"/>
          <w:sz w:val="17"/>
        </w:rPr>
        <w:t>4–2</w:t>
      </w:r>
      <w:r>
        <w:rPr>
          <w:color w:val="231F20"/>
          <w:spacing w:val="7"/>
          <w:sz w:val="17"/>
        </w:rPr>
        <w:t xml:space="preserve"> </w:t>
      </w:r>
      <w:r>
        <w:rPr>
          <w:color w:val="231F20"/>
          <w:spacing w:val="-4"/>
          <w:sz w:val="17"/>
        </w:rPr>
        <w:t>July.</w:t>
      </w:r>
    </w:p>
    <w:p w14:paraId="1ABCDBA2" w14:textId="77777777" w:rsidR="00AE0598" w:rsidRDefault="0069255A">
      <w:pPr>
        <w:spacing w:before="1"/>
        <w:ind w:left="110"/>
        <w:jc w:val="both"/>
        <w:rPr>
          <w:sz w:val="17"/>
        </w:rPr>
      </w:pPr>
      <w:r>
        <w:rPr>
          <w:color w:val="231F20"/>
          <w:w w:val="95"/>
          <w:sz w:val="17"/>
        </w:rPr>
        <w:t>Shimizu,</w:t>
      </w:r>
      <w:r>
        <w:rPr>
          <w:color w:val="231F20"/>
          <w:spacing w:val="21"/>
          <w:sz w:val="17"/>
        </w:rPr>
        <w:t xml:space="preserve"> </w:t>
      </w:r>
      <w:r>
        <w:rPr>
          <w:color w:val="231F20"/>
          <w:w w:val="95"/>
          <w:sz w:val="17"/>
        </w:rPr>
        <w:t>S.</w:t>
      </w:r>
      <w:r>
        <w:rPr>
          <w:color w:val="231F20"/>
          <w:spacing w:val="21"/>
          <w:sz w:val="17"/>
        </w:rPr>
        <w:t xml:space="preserve"> </w:t>
      </w:r>
      <w:r>
        <w:rPr>
          <w:color w:val="231F20"/>
          <w:w w:val="95"/>
          <w:sz w:val="17"/>
        </w:rPr>
        <w:t>(2014)</w:t>
      </w:r>
      <w:r>
        <w:rPr>
          <w:color w:val="231F20"/>
          <w:spacing w:val="21"/>
          <w:sz w:val="17"/>
        </w:rPr>
        <w:t xml:space="preserve"> </w:t>
      </w:r>
      <w:r>
        <w:rPr>
          <w:color w:val="231F20"/>
          <w:w w:val="95"/>
          <w:sz w:val="17"/>
        </w:rPr>
        <w:t>Tokyo:</w:t>
      </w:r>
      <w:r>
        <w:rPr>
          <w:color w:val="231F20"/>
          <w:spacing w:val="21"/>
          <w:sz w:val="17"/>
        </w:rPr>
        <w:t xml:space="preserve"> </w:t>
      </w:r>
      <w:r>
        <w:rPr>
          <w:color w:val="231F20"/>
          <w:w w:val="95"/>
          <w:sz w:val="17"/>
        </w:rPr>
        <w:t>Bidding</w:t>
      </w:r>
      <w:r>
        <w:rPr>
          <w:color w:val="231F20"/>
          <w:spacing w:val="21"/>
          <w:sz w:val="17"/>
        </w:rPr>
        <w:t xml:space="preserve"> </w:t>
      </w:r>
      <w:r>
        <w:rPr>
          <w:color w:val="231F20"/>
          <w:w w:val="95"/>
          <w:sz w:val="17"/>
        </w:rPr>
        <w:t>for</w:t>
      </w:r>
      <w:r>
        <w:rPr>
          <w:color w:val="231F20"/>
          <w:spacing w:val="22"/>
          <w:sz w:val="17"/>
        </w:rPr>
        <w:t xml:space="preserve"> </w:t>
      </w:r>
      <w:r>
        <w:rPr>
          <w:color w:val="231F20"/>
          <w:w w:val="95"/>
          <w:sz w:val="17"/>
        </w:rPr>
        <w:t>the</w:t>
      </w:r>
      <w:r>
        <w:rPr>
          <w:color w:val="231F20"/>
          <w:spacing w:val="21"/>
          <w:sz w:val="17"/>
        </w:rPr>
        <w:t xml:space="preserve"> </w:t>
      </w:r>
      <w:r>
        <w:rPr>
          <w:color w:val="231F20"/>
          <w:w w:val="95"/>
          <w:sz w:val="17"/>
        </w:rPr>
        <w:t>Olympics</w:t>
      </w:r>
      <w:r>
        <w:rPr>
          <w:color w:val="231F20"/>
          <w:spacing w:val="21"/>
          <w:sz w:val="17"/>
        </w:rPr>
        <w:t xml:space="preserve"> </w:t>
      </w:r>
      <w:r>
        <w:rPr>
          <w:color w:val="231F20"/>
          <w:w w:val="95"/>
          <w:sz w:val="17"/>
        </w:rPr>
        <w:t>and</w:t>
      </w:r>
      <w:r>
        <w:rPr>
          <w:color w:val="231F20"/>
          <w:spacing w:val="21"/>
          <w:sz w:val="17"/>
        </w:rPr>
        <w:t xml:space="preserve"> </w:t>
      </w:r>
      <w:r>
        <w:rPr>
          <w:color w:val="231F20"/>
          <w:w w:val="95"/>
          <w:sz w:val="17"/>
        </w:rPr>
        <w:t>the</w:t>
      </w:r>
      <w:r>
        <w:rPr>
          <w:color w:val="231F20"/>
          <w:spacing w:val="21"/>
          <w:sz w:val="17"/>
        </w:rPr>
        <w:t xml:space="preserve"> </w:t>
      </w:r>
      <w:r>
        <w:rPr>
          <w:color w:val="231F20"/>
          <w:w w:val="95"/>
          <w:sz w:val="17"/>
        </w:rPr>
        <w:t>discrepancies</w:t>
      </w:r>
      <w:r>
        <w:rPr>
          <w:color w:val="231F20"/>
          <w:spacing w:val="22"/>
          <w:sz w:val="17"/>
        </w:rPr>
        <w:t xml:space="preserve"> </w:t>
      </w:r>
      <w:r>
        <w:rPr>
          <w:color w:val="231F20"/>
          <w:w w:val="95"/>
          <w:sz w:val="17"/>
        </w:rPr>
        <w:t>of</w:t>
      </w:r>
      <w:r>
        <w:rPr>
          <w:color w:val="231F20"/>
          <w:spacing w:val="21"/>
          <w:sz w:val="17"/>
        </w:rPr>
        <w:t xml:space="preserve"> </w:t>
      </w:r>
      <w:r>
        <w:rPr>
          <w:color w:val="231F20"/>
          <w:spacing w:val="-2"/>
          <w:w w:val="95"/>
          <w:sz w:val="17"/>
        </w:rPr>
        <w:t>nationalism.</w:t>
      </w:r>
    </w:p>
    <w:p w14:paraId="5A42A86C" w14:textId="77777777" w:rsidR="00AE0598" w:rsidRDefault="0069255A">
      <w:pPr>
        <w:ind w:left="430"/>
        <w:jc w:val="both"/>
        <w:rPr>
          <w:sz w:val="17"/>
        </w:rPr>
      </w:pPr>
      <w:r>
        <w:rPr>
          <w:i/>
          <w:color w:val="231F20"/>
          <w:sz w:val="17"/>
        </w:rPr>
        <w:t>International</w:t>
      </w:r>
      <w:r>
        <w:rPr>
          <w:i/>
          <w:color w:val="231F20"/>
          <w:spacing w:val="7"/>
          <w:sz w:val="17"/>
        </w:rPr>
        <w:t xml:space="preserve"> </w:t>
      </w:r>
      <w:r>
        <w:rPr>
          <w:i/>
          <w:color w:val="231F20"/>
          <w:sz w:val="17"/>
        </w:rPr>
        <w:t>Journal</w:t>
      </w:r>
      <w:r>
        <w:rPr>
          <w:i/>
          <w:color w:val="231F20"/>
          <w:spacing w:val="7"/>
          <w:sz w:val="17"/>
        </w:rPr>
        <w:t xml:space="preserve"> </w:t>
      </w:r>
      <w:r>
        <w:rPr>
          <w:i/>
          <w:color w:val="231F20"/>
          <w:sz w:val="17"/>
        </w:rPr>
        <w:t>of</w:t>
      </w:r>
      <w:r>
        <w:rPr>
          <w:i/>
          <w:color w:val="231F20"/>
          <w:spacing w:val="7"/>
          <w:sz w:val="17"/>
        </w:rPr>
        <w:t xml:space="preserve"> </w:t>
      </w:r>
      <w:r>
        <w:rPr>
          <w:i/>
          <w:color w:val="231F20"/>
          <w:sz w:val="17"/>
        </w:rPr>
        <w:t>the</w:t>
      </w:r>
      <w:r>
        <w:rPr>
          <w:i/>
          <w:color w:val="231F20"/>
          <w:spacing w:val="8"/>
          <w:sz w:val="17"/>
        </w:rPr>
        <w:t xml:space="preserve"> </w:t>
      </w:r>
      <w:r>
        <w:rPr>
          <w:i/>
          <w:color w:val="231F20"/>
          <w:sz w:val="17"/>
        </w:rPr>
        <w:t>History</w:t>
      </w:r>
      <w:r>
        <w:rPr>
          <w:i/>
          <w:color w:val="231F20"/>
          <w:spacing w:val="7"/>
          <w:sz w:val="17"/>
        </w:rPr>
        <w:t xml:space="preserve"> </w:t>
      </w:r>
      <w:r>
        <w:rPr>
          <w:i/>
          <w:color w:val="231F20"/>
          <w:sz w:val="17"/>
        </w:rPr>
        <w:t>of</w:t>
      </w:r>
      <w:r>
        <w:rPr>
          <w:i/>
          <w:color w:val="231F20"/>
          <w:spacing w:val="7"/>
          <w:sz w:val="17"/>
        </w:rPr>
        <w:t xml:space="preserve"> </w:t>
      </w:r>
      <w:r>
        <w:rPr>
          <w:i/>
          <w:color w:val="231F20"/>
          <w:sz w:val="17"/>
        </w:rPr>
        <w:t>Sport</w:t>
      </w:r>
      <w:r>
        <w:rPr>
          <w:i/>
          <w:color w:val="231F20"/>
          <w:spacing w:val="7"/>
          <w:sz w:val="17"/>
        </w:rPr>
        <w:t xml:space="preserve"> </w:t>
      </w:r>
      <w:r>
        <w:rPr>
          <w:color w:val="231F20"/>
          <w:sz w:val="17"/>
        </w:rPr>
        <w:t>31</w:t>
      </w:r>
      <w:r>
        <w:rPr>
          <w:color w:val="231F20"/>
          <w:spacing w:val="8"/>
          <w:sz w:val="17"/>
        </w:rPr>
        <w:t xml:space="preserve"> </w:t>
      </w:r>
      <w:r>
        <w:rPr>
          <w:color w:val="231F20"/>
          <w:sz w:val="17"/>
        </w:rPr>
        <w:t>(6),</w:t>
      </w:r>
      <w:r>
        <w:rPr>
          <w:color w:val="231F20"/>
          <w:spacing w:val="7"/>
          <w:sz w:val="17"/>
        </w:rPr>
        <w:t xml:space="preserve"> </w:t>
      </w:r>
      <w:r>
        <w:rPr>
          <w:color w:val="231F20"/>
          <w:spacing w:val="-2"/>
          <w:sz w:val="17"/>
        </w:rPr>
        <w:t>593–609.</w:t>
      </w:r>
    </w:p>
    <w:p w14:paraId="4A441784" w14:textId="77777777" w:rsidR="00AE0598" w:rsidRDefault="0069255A">
      <w:pPr>
        <w:spacing w:before="1"/>
        <w:ind w:left="430" w:right="124" w:hanging="320"/>
        <w:jc w:val="both"/>
        <w:rPr>
          <w:sz w:val="17"/>
        </w:rPr>
      </w:pPr>
      <w:r>
        <w:rPr>
          <w:color w:val="231F20"/>
          <w:sz w:val="17"/>
        </w:rPr>
        <w:t>Shipway, R. (2008) Road trip: Understanding the social world of the distance runner as</w:t>
      </w:r>
      <w:r>
        <w:rPr>
          <w:color w:val="231F20"/>
          <w:spacing w:val="40"/>
          <w:sz w:val="17"/>
        </w:rPr>
        <w:t xml:space="preserve"> </w:t>
      </w:r>
      <w:r>
        <w:rPr>
          <w:color w:val="231F20"/>
          <w:sz w:val="17"/>
        </w:rPr>
        <w:t>sport tourist. In Proceedings of CAUTHE 2008 Annual Conference: Tourism and</w:t>
      </w:r>
      <w:r>
        <w:rPr>
          <w:color w:val="231F20"/>
          <w:spacing w:val="40"/>
          <w:sz w:val="17"/>
        </w:rPr>
        <w:t xml:space="preserve"> </w:t>
      </w:r>
      <w:r>
        <w:rPr>
          <w:color w:val="231F20"/>
          <w:w w:val="95"/>
          <w:sz w:val="17"/>
        </w:rPr>
        <w:t>Hospitality Research, Training and Practice: ‘Where the “bloody hell” are we?’, Griffith</w:t>
      </w:r>
      <w:r>
        <w:rPr>
          <w:color w:val="231F20"/>
          <w:spacing w:val="40"/>
          <w:sz w:val="17"/>
        </w:rPr>
        <w:t xml:space="preserve"> </w:t>
      </w:r>
      <w:r>
        <w:rPr>
          <w:color w:val="231F20"/>
          <w:sz w:val="17"/>
        </w:rPr>
        <w:t>Univ</w:t>
      </w:r>
      <w:r>
        <w:rPr>
          <w:color w:val="231F20"/>
          <w:sz w:val="17"/>
        </w:rPr>
        <w:t>ersity, Gold Coast, Australia, 11–14 February.</w:t>
      </w:r>
    </w:p>
    <w:p w14:paraId="31470C74" w14:textId="77777777" w:rsidR="00AE0598" w:rsidRDefault="0069255A">
      <w:pPr>
        <w:spacing w:before="3"/>
        <w:ind w:left="430" w:right="127" w:hanging="320"/>
        <w:jc w:val="both"/>
        <w:rPr>
          <w:sz w:val="17"/>
        </w:rPr>
      </w:pPr>
      <w:r>
        <w:rPr>
          <w:color w:val="231F20"/>
          <w:sz w:val="17"/>
        </w:rPr>
        <w:t>Shipway, R., Holloway, I. and Jones, I. (2012) Organisations, practices, actors and events:</w:t>
      </w:r>
      <w:r>
        <w:rPr>
          <w:color w:val="231F20"/>
          <w:spacing w:val="40"/>
          <w:sz w:val="17"/>
        </w:rPr>
        <w:t xml:space="preserve"> </w:t>
      </w:r>
      <w:r>
        <w:rPr>
          <w:color w:val="231F20"/>
          <w:sz w:val="17"/>
        </w:rPr>
        <w:t xml:space="preserve">Exploring inside the distance running social world. </w:t>
      </w:r>
      <w:r>
        <w:rPr>
          <w:i/>
          <w:color w:val="231F20"/>
          <w:sz w:val="17"/>
        </w:rPr>
        <w:t>International Review for the</w:t>
      </w:r>
      <w:r>
        <w:rPr>
          <w:i/>
          <w:color w:val="231F20"/>
          <w:spacing w:val="40"/>
          <w:sz w:val="17"/>
        </w:rPr>
        <w:t xml:space="preserve"> </w:t>
      </w:r>
      <w:r>
        <w:rPr>
          <w:i/>
          <w:color w:val="231F20"/>
          <w:sz w:val="17"/>
        </w:rPr>
        <w:t xml:space="preserve">Sociology of Sport </w:t>
      </w:r>
      <w:r>
        <w:rPr>
          <w:color w:val="231F20"/>
          <w:sz w:val="17"/>
        </w:rPr>
        <w:t>48 (3), 259–276</w:t>
      </w:r>
    </w:p>
    <w:p w14:paraId="0DB58E64" w14:textId="77777777" w:rsidR="00AE0598" w:rsidRDefault="0069255A">
      <w:pPr>
        <w:spacing w:before="2"/>
        <w:ind w:left="430" w:right="127" w:hanging="320"/>
        <w:jc w:val="both"/>
        <w:rPr>
          <w:sz w:val="17"/>
        </w:rPr>
      </w:pPr>
      <w:r>
        <w:rPr>
          <w:color w:val="231F20"/>
          <w:sz w:val="17"/>
        </w:rPr>
        <w:t>S</w:t>
      </w:r>
      <w:r>
        <w:rPr>
          <w:color w:val="231F20"/>
          <w:sz w:val="17"/>
        </w:rPr>
        <w:t>hipway, R. and Jones, I. (2007) Running away from home: Understanding visitor</w:t>
      </w:r>
      <w:r>
        <w:rPr>
          <w:color w:val="231F20"/>
          <w:spacing w:val="40"/>
          <w:sz w:val="17"/>
        </w:rPr>
        <w:t xml:space="preserve"> </w:t>
      </w:r>
      <w:r>
        <w:rPr>
          <w:color w:val="231F20"/>
          <w:sz w:val="17"/>
        </w:rPr>
        <w:t xml:space="preserve">experiences and behaviour at sport tourism events. </w:t>
      </w:r>
      <w:r>
        <w:rPr>
          <w:i/>
          <w:color w:val="231F20"/>
          <w:sz w:val="17"/>
        </w:rPr>
        <w:t>International Journal of Tourism</w:t>
      </w:r>
      <w:r>
        <w:rPr>
          <w:i/>
          <w:color w:val="231F20"/>
          <w:spacing w:val="40"/>
          <w:sz w:val="17"/>
        </w:rPr>
        <w:t xml:space="preserve"> </w:t>
      </w:r>
      <w:r>
        <w:rPr>
          <w:i/>
          <w:color w:val="231F20"/>
          <w:sz w:val="17"/>
        </w:rPr>
        <w:t xml:space="preserve">Research </w:t>
      </w:r>
      <w:r>
        <w:rPr>
          <w:color w:val="231F20"/>
          <w:sz w:val="17"/>
        </w:rPr>
        <w:t>9 (5), 373–383.</w:t>
      </w:r>
    </w:p>
    <w:p w14:paraId="09245A6A" w14:textId="77777777" w:rsidR="00AE0598" w:rsidRDefault="0069255A">
      <w:pPr>
        <w:spacing w:before="2"/>
        <w:ind w:left="430" w:right="127" w:hanging="320"/>
        <w:jc w:val="both"/>
        <w:rPr>
          <w:sz w:val="17"/>
        </w:rPr>
      </w:pPr>
      <w:r>
        <w:rPr>
          <w:color w:val="231F20"/>
          <w:w w:val="105"/>
          <w:sz w:val="17"/>
        </w:rPr>
        <w:t>Shipway, R., King, K., Lee, I.S. and Brown, G. (2016) Understanding c</w:t>
      </w:r>
      <w:r>
        <w:rPr>
          <w:color w:val="231F20"/>
          <w:w w:val="105"/>
          <w:sz w:val="17"/>
        </w:rPr>
        <w:t>ycle tourism</w:t>
      </w:r>
      <w:r>
        <w:rPr>
          <w:color w:val="231F20"/>
          <w:spacing w:val="40"/>
          <w:w w:val="105"/>
          <w:sz w:val="17"/>
        </w:rPr>
        <w:t xml:space="preserve"> </w:t>
      </w:r>
      <w:r>
        <w:rPr>
          <w:color w:val="231F20"/>
          <w:sz w:val="17"/>
        </w:rPr>
        <w:t xml:space="preserve">experiences at the Tour Down Under. </w:t>
      </w:r>
      <w:r>
        <w:rPr>
          <w:i/>
          <w:color w:val="231F20"/>
          <w:sz w:val="17"/>
        </w:rPr>
        <w:t xml:space="preserve">Journal of Sport &amp; Tourism </w:t>
      </w:r>
      <w:r>
        <w:rPr>
          <w:color w:val="231F20"/>
          <w:sz w:val="17"/>
        </w:rPr>
        <w:t>20 (1), 21–39.</w:t>
      </w:r>
    </w:p>
    <w:p w14:paraId="52AD3DF1" w14:textId="77777777" w:rsidR="00AE0598" w:rsidRDefault="0069255A">
      <w:pPr>
        <w:spacing w:before="1"/>
        <w:ind w:left="430" w:right="128" w:hanging="320"/>
        <w:jc w:val="both"/>
        <w:rPr>
          <w:sz w:val="17"/>
        </w:rPr>
      </w:pPr>
      <w:r>
        <w:rPr>
          <w:color w:val="231F20"/>
          <w:sz w:val="17"/>
        </w:rPr>
        <w:t xml:space="preserve">Shore, B. (1994) Marginal play: Sport at the borderlands of time and space. </w:t>
      </w:r>
      <w:r>
        <w:rPr>
          <w:i/>
          <w:color w:val="231F20"/>
          <w:sz w:val="17"/>
        </w:rPr>
        <w:t>International</w:t>
      </w:r>
      <w:r>
        <w:rPr>
          <w:i/>
          <w:color w:val="231F20"/>
          <w:spacing w:val="40"/>
          <w:sz w:val="17"/>
        </w:rPr>
        <w:t xml:space="preserve"> </w:t>
      </w:r>
      <w:r>
        <w:rPr>
          <w:i/>
          <w:color w:val="231F20"/>
          <w:sz w:val="17"/>
        </w:rPr>
        <w:t xml:space="preserve">Review for the Sociology of Sport </w:t>
      </w:r>
      <w:r>
        <w:rPr>
          <w:color w:val="231F20"/>
          <w:sz w:val="17"/>
        </w:rPr>
        <w:t>29 (4), 349–374.</w:t>
      </w:r>
    </w:p>
    <w:p w14:paraId="5B2E318C" w14:textId="77777777" w:rsidR="00AE0598" w:rsidRDefault="0069255A">
      <w:pPr>
        <w:spacing w:before="2"/>
        <w:ind w:left="430" w:right="128" w:hanging="320"/>
        <w:jc w:val="both"/>
        <w:rPr>
          <w:sz w:val="17"/>
        </w:rPr>
      </w:pPr>
      <w:r>
        <w:rPr>
          <w:color w:val="231F20"/>
          <w:sz w:val="17"/>
        </w:rPr>
        <w:t xml:space="preserve">Shultis, </w:t>
      </w:r>
      <w:r>
        <w:rPr>
          <w:color w:val="231F20"/>
          <w:w w:val="105"/>
          <w:sz w:val="17"/>
        </w:rPr>
        <w:t xml:space="preserve">J. </w:t>
      </w:r>
      <w:r>
        <w:rPr>
          <w:color w:val="231F20"/>
          <w:sz w:val="17"/>
        </w:rPr>
        <w:t>(2000) Gearh</w:t>
      </w:r>
      <w:r>
        <w:rPr>
          <w:color w:val="231F20"/>
          <w:sz w:val="17"/>
        </w:rPr>
        <w:t>eads and golems: Technology and wilderness recreation in the</w:t>
      </w:r>
      <w:r>
        <w:rPr>
          <w:color w:val="231F20"/>
          <w:spacing w:val="40"/>
          <w:sz w:val="17"/>
        </w:rPr>
        <w:t xml:space="preserve"> </w:t>
      </w:r>
      <w:r>
        <w:rPr>
          <w:color w:val="231F20"/>
          <w:sz w:val="17"/>
        </w:rPr>
        <w:t xml:space="preserve">twentieth century. </w:t>
      </w:r>
      <w:r>
        <w:rPr>
          <w:i/>
          <w:color w:val="231F20"/>
          <w:sz w:val="17"/>
        </w:rPr>
        <w:t xml:space="preserve">International Journal of Wilderness </w:t>
      </w:r>
      <w:r>
        <w:rPr>
          <w:color w:val="231F20"/>
          <w:sz w:val="17"/>
        </w:rPr>
        <w:t>6 (2), 17–18.</w:t>
      </w:r>
    </w:p>
    <w:p w14:paraId="162FB063" w14:textId="77777777" w:rsidR="00AE0598" w:rsidRDefault="0069255A">
      <w:pPr>
        <w:spacing w:before="1"/>
        <w:ind w:left="430" w:right="128" w:hanging="320"/>
        <w:jc w:val="both"/>
        <w:rPr>
          <w:sz w:val="17"/>
        </w:rPr>
      </w:pPr>
      <w:r>
        <w:rPr>
          <w:color w:val="231F20"/>
          <w:sz w:val="17"/>
        </w:rPr>
        <w:t xml:space="preserve">Silk, </w:t>
      </w:r>
      <w:r>
        <w:rPr>
          <w:color w:val="231F20"/>
          <w:w w:val="110"/>
          <w:sz w:val="17"/>
        </w:rPr>
        <w:t>M.</w:t>
      </w:r>
      <w:r>
        <w:rPr>
          <w:color w:val="231F20"/>
          <w:spacing w:val="-1"/>
          <w:w w:val="110"/>
          <w:sz w:val="17"/>
        </w:rPr>
        <w:t xml:space="preserve"> </w:t>
      </w:r>
      <w:r>
        <w:rPr>
          <w:color w:val="231F20"/>
          <w:sz w:val="17"/>
        </w:rPr>
        <w:t xml:space="preserve">(2002) ‘Bangsa Malaysia’: Global sport, the city </w:t>
      </w:r>
      <w:r>
        <w:rPr>
          <w:color w:val="231F20"/>
          <w:w w:val="110"/>
          <w:sz w:val="17"/>
        </w:rPr>
        <w:t>&amp;</w:t>
      </w:r>
      <w:r>
        <w:rPr>
          <w:color w:val="231F20"/>
          <w:spacing w:val="-1"/>
          <w:w w:val="110"/>
          <w:sz w:val="17"/>
        </w:rPr>
        <w:t xml:space="preserve"> </w:t>
      </w:r>
      <w:r>
        <w:rPr>
          <w:color w:val="231F20"/>
          <w:sz w:val="17"/>
        </w:rPr>
        <w:t>the mediated refurbishment of</w:t>
      </w:r>
      <w:r>
        <w:rPr>
          <w:color w:val="231F20"/>
          <w:spacing w:val="40"/>
          <w:sz w:val="17"/>
        </w:rPr>
        <w:t xml:space="preserve"> </w:t>
      </w:r>
      <w:r>
        <w:rPr>
          <w:color w:val="231F20"/>
          <w:sz w:val="17"/>
        </w:rPr>
        <w:t xml:space="preserve">local identities. </w:t>
      </w:r>
      <w:r>
        <w:rPr>
          <w:i/>
          <w:color w:val="231F20"/>
          <w:sz w:val="17"/>
        </w:rPr>
        <w:t xml:space="preserve">Media, Culture </w:t>
      </w:r>
      <w:r>
        <w:rPr>
          <w:i/>
          <w:color w:val="231F20"/>
          <w:w w:val="110"/>
          <w:sz w:val="17"/>
        </w:rPr>
        <w:t xml:space="preserve">&amp; </w:t>
      </w:r>
      <w:r>
        <w:rPr>
          <w:i/>
          <w:color w:val="231F20"/>
          <w:sz w:val="17"/>
        </w:rPr>
        <w:t xml:space="preserve">Society </w:t>
      </w:r>
      <w:r>
        <w:rPr>
          <w:color w:val="231F20"/>
          <w:sz w:val="17"/>
        </w:rPr>
        <w:t>25 (4), 775–794.</w:t>
      </w:r>
    </w:p>
    <w:p w14:paraId="3E8E885A" w14:textId="77777777" w:rsidR="00AE0598" w:rsidRDefault="0069255A">
      <w:pPr>
        <w:spacing w:before="2"/>
        <w:ind w:left="110" w:right="127"/>
        <w:jc w:val="right"/>
        <w:rPr>
          <w:sz w:val="17"/>
        </w:rPr>
      </w:pPr>
      <w:r>
        <w:rPr>
          <w:color w:val="231F20"/>
          <w:sz w:val="17"/>
        </w:rPr>
        <w:t>Silk, M. and Andrews, D.L. (2001) Beyond a boundary? Sport, transnational adverstising,</w:t>
      </w:r>
      <w:r>
        <w:rPr>
          <w:color w:val="231F20"/>
          <w:spacing w:val="40"/>
          <w:sz w:val="17"/>
        </w:rPr>
        <w:t xml:space="preserve"> </w:t>
      </w:r>
      <w:r>
        <w:rPr>
          <w:color w:val="231F20"/>
          <w:w w:val="95"/>
          <w:sz w:val="17"/>
        </w:rPr>
        <w:t>and</w:t>
      </w:r>
      <w:r>
        <w:rPr>
          <w:color w:val="231F20"/>
          <w:spacing w:val="12"/>
          <w:sz w:val="17"/>
        </w:rPr>
        <w:t xml:space="preserve"> </w:t>
      </w:r>
      <w:r>
        <w:rPr>
          <w:color w:val="231F20"/>
          <w:w w:val="95"/>
          <w:sz w:val="17"/>
        </w:rPr>
        <w:t>the</w:t>
      </w:r>
      <w:r>
        <w:rPr>
          <w:color w:val="231F20"/>
          <w:spacing w:val="12"/>
          <w:sz w:val="17"/>
        </w:rPr>
        <w:t xml:space="preserve"> </w:t>
      </w:r>
      <w:r>
        <w:rPr>
          <w:color w:val="231F20"/>
          <w:w w:val="95"/>
          <w:sz w:val="17"/>
        </w:rPr>
        <w:t>reimaging</w:t>
      </w:r>
      <w:r>
        <w:rPr>
          <w:color w:val="231F20"/>
          <w:spacing w:val="12"/>
          <w:sz w:val="17"/>
        </w:rPr>
        <w:t xml:space="preserve"> </w:t>
      </w:r>
      <w:r>
        <w:rPr>
          <w:color w:val="231F20"/>
          <w:w w:val="95"/>
          <w:sz w:val="17"/>
        </w:rPr>
        <w:t>of</w:t>
      </w:r>
      <w:r>
        <w:rPr>
          <w:color w:val="231F20"/>
          <w:spacing w:val="12"/>
          <w:sz w:val="17"/>
        </w:rPr>
        <w:t xml:space="preserve"> </w:t>
      </w:r>
      <w:r>
        <w:rPr>
          <w:color w:val="231F20"/>
          <w:w w:val="95"/>
          <w:sz w:val="17"/>
        </w:rPr>
        <w:t>national</w:t>
      </w:r>
      <w:r>
        <w:rPr>
          <w:color w:val="231F20"/>
          <w:spacing w:val="12"/>
          <w:sz w:val="17"/>
        </w:rPr>
        <w:t xml:space="preserve"> </w:t>
      </w:r>
      <w:r>
        <w:rPr>
          <w:color w:val="231F20"/>
          <w:w w:val="95"/>
          <w:sz w:val="17"/>
        </w:rPr>
        <w:t>culture.</w:t>
      </w:r>
      <w:r>
        <w:rPr>
          <w:color w:val="231F20"/>
          <w:spacing w:val="12"/>
          <w:sz w:val="17"/>
        </w:rPr>
        <w:t xml:space="preserve"> </w:t>
      </w:r>
      <w:r>
        <w:rPr>
          <w:i/>
          <w:color w:val="231F20"/>
          <w:w w:val="95"/>
          <w:sz w:val="17"/>
        </w:rPr>
        <w:t>Journal</w:t>
      </w:r>
      <w:r>
        <w:rPr>
          <w:i/>
          <w:color w:val="231F20"/>
          <w:spacing w:val="12"/>
          <w:sz w:val="17"/>
        </w:rPr>
        <w:t xml:space="preserve"> </w:t>
      </w:r>
      <w:r>
        <w:rPr>
          <w:i/>
          <w:color w:val="231F20"/>
          <w:w w:val="95"/>
          <w:sz w:val="17"/>
        </w:rPr>
        <w:t>of</w:t>
      </w:r>
      <w:r>
        <w:rPr>
          <w:i/>
          <w:color w:val="231F20"/>
          <w:spacing w:val="12"/>
          <w:sz w:val="17"/>
        </w:rPr>
        <w:t xml:space="preserve"> </w:t>
      </w:r>
      <w:r>
        <w:rPr>
          <w:i/>
          <w:color w:val="231F20"/>
          <w:w w:val="95"/>
          <w:sz w:val="17"/>
        </w:rPr>
        <w:t>Sport</w:t>
      </w:r>
      <w:r>
        <w:rPr>
          <w:i/>
          <w:color w:val="231F20"/>
          <w:spacing w:val="12"/>
          <w:sz w:val="17"/>
        </w:rPr>
        <w:t xml:space="preserve"> </w:t>
      </w:r>
      <w:r>
        <w:rPr>
          <w:i/>
          <w:color w:val="231F20"/>
          <w:w w:val="95"/>
          <w:sz w:val="17"/>
        </w:rPr>
        <w:t>and</w:t>
      </w:r>
      <w:r>
        <w:rPr>
          <w:i/>
          <w:color w:val="231F20"/>
          <w:spacing w:val="12"/>
          <w:sz w:val="17"/>
        </w:rPr>
        <w:t xml:space="preserve"> </w:t>
      </w:r>
      <w:r>
        <w:rPr>
          <w:i/>
          <w:color w:val="231F20"/>
          <w:w w:val="95"/>
          <w:sz w:val="17"/>
        </w:rPr>
        <w:t>Social</w:t>
      </w:r>
      <w:r>
        <w:rPr>
          <w:i/>
          <w:color w:val="231F20"/>
          <w:spacing w:val="12"/>
          <w:sz w:val="17"/>
        </w:rPr>
        <w:t xml:space="preserve"> </w:t>
      </w:r>
      <w:r>
        <w:rPr>
          <w:i/>
          <w:color w:val="231F20"/>
          <w:w w:val="95"/>
          <w:sz w:val="17"/>
        </w:rPr>
        <w:t>Issues</w:t>
      </w:r>
      <w:r>
        <w:rPr>
          <w:i/>
          <w:color w:val="231F20"/>
          <w:spacing w:val="14"/>
          <w:sz w:val="17"/>
        </w:rPr>
        <w:t xml:space="preserve"> </w:t>
      </w:r>
      <w:r>
        <w:rPr>
          <w:color w:val="231F20"/>
          <w:w w:val="95"/>
          <w:sz w:val="17"/>
        </w:rPr>
        <w:t>25</w:t>
      </w:r>
      <w:r>
        <w:rPr>
          <w:color w:val="231F20"/>
          <w:spacing w:val="12"/>
          <w:sz w:val="17"/>
        </w:rPr>
        <w:t xml:space="preserve"> </w:t>
      </w:r>
      <w:r>
        <w:rPr>
          <w:color w:val="231F20"/>
          <w:w w:val="95"/>
          <w:sz w:val="17"/>
        </w:rPr>
        <w:t>(2),</w:t>
      </w:r>
      <w:r>
        <w:rPr>
          <w:color w:val="231F20"/>
          <w:spacing w:val="12"/>
          <w:sz w:val="17"/>
        </w:rPr>
        <w:t xml:space="preserve"> </w:t>
      </w:r>
      <w:r>
        <w:rPr>
          <w:color w:val="231F20"/>
          <w:w w:val="95"/>
          <w:sz w:val="17"/>
        </w:rPr>
        <w:t>180–201.</w:t>
      </w:r>
      <w:r>
        <w:rPr>
          <w:color w:val="231F20"/>
          <w:spacing w:val="40"/>
          <w:sz w:val="17"/>
        </w:rPr>
        <w:t xml:space="preserve"> </w:t>
      </w:r>
      <w:r>
        <w:rPr>
          <w:color w:val="231F20"/>
          <w:sz w:val="17"/>
        </w:rPr>
        <w:t>Silk,</w:t>
      </w:r>
      <w:r>
        <w:rPr>
          <w:color w:val="231F20"/>
          <w:spacing w:val="68"/>
          <w:w w:val="150"/>
          <w:sz w:val="17"/>
        </w:rPr>
        <w:t xml:space="preserve"> </w:t>
      </w:r>
      <w:r>
        <w:rPr>
          <w:color w:val="231F20"/>
          <w:sz w:val="17"/>
        </w:rPr>
        <w:t>M.</w:t>
      </w:r>
      <w:r>
        <w:rPr>
          <w:color w:val="231F20"/>
          <w:spacing w:val="68"/>
          <w:w w:val="150"/>
          <w:sz w:val="17"/>
        </w:rPr>
        <w:t xml:space="preserve"> </w:t>
      </w:r>
      <w:r>
        <w:rPr>
          <w:color w:val="231F20"/>
          <w:sz w:val="17"/>
        </w:rPr>
        <w:t>and</w:t>
      </w:r>
      <w:r>
        <w:rPr>
          <w:color w:val="231F20"/>
          <w:spacing w:val="69"/>
          <w:w w:val="150"/>
          <w:sz w:val="17"/>
        </w:rPr>
        <w:t xml:space="preserve"> </w:t>
      </w:r>
      <w:r>
        <w:rPr>
          <w:color w:val="231F20"/>
          <w:sz w:val="17"/>
        </w:rPr>
        <w:t>Jackson,</w:t>
      </w:r>
      <w:r>
        <w:rPr>
          <w:color w:val="231F20"/>
          <w:spacing w:val="68"/>
          <w:w w:val="150"/>
          <w:sz w:val="17"/>
        </w:rPr>
        <w:t xml:space="preserve"> </w:t>
      </w:r>
      <w:r>
        <w:rPr>
          <w:color w:val="231F20"/>
          <w:sz w:val="17"/>
        </w:rPr>
        <w:t>S.J.</w:t>
      </w:r>
      <w:r>
        <w:rPr>
          <w:color w:val="231F20"/>
          <w:spacing w:val="68"/>
          <w:w w:val="150"/>
          <w:sz w:val="17"/>
        </w:rPr>
        <w:t xml:space="preserve"> </w:t>
      </w:r>
      <w:r>
        <w:rPr>
          <w:color w:val="231F20"/>
          <w:sz w:val="17"/>
        </w:rPr>
        <w:t>(2000)</w:t>
      </w:r>
      <w:r>
        <w:rPr>
          <w:color w:val="231F20"/>
          <w:spacing w:val="69"/>
          <w:w w:val="150"/>
          <w:sz w:val="17"/>
        </w:rPr>
        <w:t xml:space="preserve"> </w:t>
      </w:r>
      <w:r>
        <w:rPr>
          <w:color w:val="231F20"/>
          <w:sz w:val="17"/>
        </w:rPr>
        <w:t>Globalisation</w:t>
      </w:r>
      <w:r>
        <w:rPr>
          <w:color w:val="231F20"/>
          <w:spacing w:val="68"/>
          <w:w w:val="150"/>
          <w:sz w:val="17"/>
        </w:rPr>
        <w:t xml:space="preserve"> </w:t>
      </w:r>
      <w:r>
        <w:rPr>
          <w:color w:val="231F20"/>
          <w:sz w:val="17"/>
        </w:rPr>
        <w:t>and</w:t>
      </w:r>
      <w:r>
        <w:rPr>
          <w:color w:val="231F20"/>
          <w:spacing w:val="68"/>
          <w:w w:val="150"/>
          <w:sz w:val="17"/>
        </w:rPr>
        <w:t xml:space="preserve"> </w:t>
      </w:r>
      <w:r>
        <w:rPr>
          <w:color w:val="231F20"/>
          <w:sz w:val="17"/>
        </w:rPr>
        <w:t>sport</w:t>
      </w:r>
      <w:r>
        <w:rPr>
          <w:color w:val="231F20"/>
          <w:spacing w:val="69"/>
          <w:w w:val="150"/>
          <w:sz w:val="17"/>
        </w:rPr>
        <w:t xml:space="preserve"> </w:t>
      </w:r>
      <w:r>
        <w:rPr>
          <w:color w:val="231F20"/>
          <w:sz w:val="17"/>
        </w:rPr>
        <w:t>in</w:t>
      </w:r>
      <w:r>
        <w:rPr>
          <w:color w:val="231F20"/>
          <w:spacing w:val="68"/>
          <w:w w:val="150"/>
          <w:sz w:val="17"/>
        </w:rPr>
        <w:t xml:space="preserve"> </w:t>
      </w:r>
      <w:r>
        <w:rPr>
          <w:color w:val="231F20"/>
          <w:sz w:val="17"/>
        </w:rPr>
        <w:t>New</w:t>
      </w:r>
      <w:r>
        <w:rPr>
          <w:color w:val="231F20"/>
          <w:spacing w:val="68"/>
          <w:w w:val="150"/>
          <w:sz w:val="17"/>
        </w:rPr>
        <w:t xml:space="preserve"> </w:t>
      </w:r>
      <w:r>
        <w:rPr>
          <w:color w:val="231F20"/>
          <w:sz w:val="17"/>
        </w:rPr>
        <w:t>Zealand.</w:t>
      </w:r>
      <w:r>
        <w:rPr>
          <w:color w:val="231F20"/>
          <w:spacing w:val="69"/>
          <w:w w:val="150"/>
          <w:sz w:val="17"/>
        </w:rPr>
        <w:t xml:space="preserve"> </w:t>
      </w:r>
      <w:r>
        <w:rPr>
          <w:color w:val="231F20"/>
          <w:spacing w:val="-5"/>
          <w:sz w:val="17"/>
        </w:rPr>
        <w:t>In</w:t>
      </w:r>
    </w:p>
    <w:p w14:paraId="7D11BBFC" w14:textId="77777777" w:rsidR="00AE0598" w:rsidRDefault="0069255A">
      <w:pPr>
        <w:spacing w:before="2"/>
        <w:ind w:left="430"/>
        <w:rPr>
          <w:sz w:val="17"/>
        </w:rPr>
      </w:pPr>
      <w:r>
        <w:rPr>
          <w:color w:val="231F20"/>
          <w:sz w:val="17"/>
        </w:rPr>
        <w:t xml:space="preserve">C. Collins (ed.) </w:t>
      </w:r>
      <w:r>
        <w:rPr>
          <w:i/>
          <w:color w:val="231F20"/>
          <w:sz w:val="17"/>
        </w:rPr>
        <w:t xml:space="preserve">Sport in New Zealand Society </w:t>
      </w:r>
      <w:r>
        <w:rPr>
          <w:color w:val="231F20"/>
          <w:sz w:val="17"/>
        </w:rPr>
        <w:t>(pp. 99–113). Palmerston North, New</w:t>
      </w:r>
      <w:r>
        <w:rPr>
          <w:color w:val="231F20"/>
          <w:spacing w:val="40"/>
          <w:sz w:val="17"/>
        </w:rPr>
        <w:t xml:space="preserve"> </w:t>
      </w:r>
      <w:r>
        <w:rPr>
          <w:color w:val="231F20"/>
          <w:sz w:val="17"/>
        </w:rPr>
        <w:t>Zealand: Dunmore Press.</w:t>
      </w:r>
    </w:p>
    <w:p w14:paraId="2C65A3D7" w14:textId="77777777" w:rsidR="00AE0598" w:rsidRDefault="0069255A">
      <w:pPr>
        <w:spacing w:before="1"/>
        <w:ind w:left="430" w:hanging="320"/>
        <w:rPr>
          <w:sz w:val="17"/>
        </w:rPr>
      </w:pPr>
      <w:r>
        <w:rPr>
          <w:color w:val="231F20"/>
          <w:sz w:val="17"/>
        </w:rPr>
        <w:t>Silvestre, G. and Oliveira, N.G. (2012) The revanchist logic of mega-events: Community</w:t>
      </w:r>
      <w:r>
        <w:rPr>
          <w:color w:val="231F20"/>
          <w:spacing w:val="40"/>
          <w:sz w:val="17"/>
        </w:rPr>
        <w:t xml:space="preserve"> </w:t>
      </w:r>
      <w:r>
        <w:rPr>
          <w:color w:val="231F20"/>
          <w:sz w:val="17"/>
        </w:rPr>
        <w:t xml:space="preserve">displacement </w:t>
      </w:r>
      <w:r>
        <w:rPr>
          <w:color w:val="231F20"/>
          <w:sz w:val="17"/>
        </w:rPr>
        <w:t xml:space="preserve">in Rio de Janeiro’s West End. </w:t>
      </w:r>
      <w:r>
        <w:rPr>
          <w:i/>
          <w:color w:val="231F20"/>
          <w:sz w:val="17"/>
        </w:rPr>
        <w:t xml:space="preserve">Visual Studies </w:t>
      </w:r>
      <w:r>
        <w:rPr>
          <w:color w:val="231F20"/>
          <w:sz w:val="17"/>
        </w:rPr>
        <w:t>27 (2), 204–210.</w:t>
      </w:r>
    </w:p>
    <w:p w14:paraId="524B3B28" w14:textId="77777777" w:rsidR="00AE0598" w:rsidRDefault="0069255A">
      <w:pPr>
        <w:spacing w:before="2"/>
        <w:ind w:left="430" w:hanging="320"/>
        <w:rPr>
          <w:sz w:val="17"/>
        </w:rPr>
      </w:pPr>
      <w:r>
        <w:rPr>
          <w:color w:val="231F20"/>
          <w:w w:val="95"/>
          <w:sz w:val="17"/>
        </w:rPr>
        <w:t>Simmons, D. and Urquhart, L. (1994) Measuring economic events: An example of endurance</w:t>
      </w:r>
      <w:r>
        <w:rPr>
          <w:color w:val="231F20"/>
          <w:spacing w:val="40"/>
          <w:sz w:val="17"/>
        </w:rPr>
        <w:t xml:space="preserve"> </w:t>
      </w:r>
      <w:r>
        <w:rPr>
          <w:color w:val="231F20"/>
          <w:sz w:val="17"/>
        </w:rPr>
        <w:t xml:space="preserve">sports events. </w:t>
      </w:r>
      <w:r>
        <w:rPr>
          <w:i/>
          <w:color w:val="231F20"/>
          <w:sz w:val="17"/>
        </w:rPr>
        <w:t xml:space="preserve">Festival Management and Event Tourism </w:t>
      </w:r>
      <w:r>
        <w:rPr>
          <w:color w:val="231F20"/>
          <w:sz w:val="17"/>
        </w:rPr>
        <w:t>2 (1), 25–32.</w:t>
      </w:r>
    </w:p>
    <w:p w14:paraId="2B295562" w14:textId="77777777" w:rsidR="00AE0598" w:rsidRDefault="0069255A">
      <w:pPr>
        <w:spacing w:before="1"/>
        <w:ind w:left="430" w:hanging="320"/>
        <w:rPr>
          <w:sz w:val="17"/>
        </w:rPr>
      </w:pPr>
      <w:r>
        <w:rPr>
          <w:color w:val="231F20"/>
          <w:sz w:val="17"/>
        </w:rPr>
        <w:t>Simpson,</w:t>
      </w:r>
      <w:r>
        <w:rPr>
          <w:color w:val="231F20"/>
          <w:spacing w:val="25"/>
          <w:sz w:val="17"/>
        </w:rPr>
        <w:t xml:space="preserve"> </w:t>
      </w:r>
      <w:r>
        <w:rPr>
          <w:color w:val="231F20"/>
          <w:sz w:val="17"/>
        </w:rPr>
        <w:t>J.A.</w:t>
      </w:r>
      <w:r>
        <w:rPr>
          <w:color w:val="231F20"/>
          <w:spacing w:val="25"/>
          <w:sz w:val="17"/>
        </w:rPr>
        <w:t xml:space="preserve"> </w:t>
      </w:r>
      <w:r>
        <w:rPr>
          <w:color w:val="231F20"/>
          <w:sz w:val="17"/>
        </w:rPr>
        <w:t>and</w:t>
      </w:r>
      <w:r>
        <w:rPr>
          <w:color w:val="231F20"/>
          <w:spacing w:val="25"/>
          <w:sz w:val="17"/>
        </w:rPr>
        <w:t xml:space="preserve"> </w:t>
      </w:r>
      <w:r>
        <w:rPr>
          <w:color w:val="231F20"/>
          <w:sz w:val="17"/>
        </w:rPr>
        <w:t>Weiner,</w:t>
      </w:r>
      <w:r>
        <w:rPr>
          <w:color w:val="231F20"/>
          <w:spacing w:val="25"/>
          <w:sz w:val="17"/>
        </w:rPr>
        <w:t xml:space="preserve"> </w:t>
      </w:r>
      <w:r>
        <w:rPr>
          <w:color w:val="231F20"/>
          <w:sz w:val="17"/>
        </w:rPr>
        <w:t>E.S.C.</w:t>
      </w:r>
      <w:r>
        <w:rPr>
          <w:color w:val="231F20"/>
          <w:spacing w:val="25"/>
          <w:sz w:val="17"/>
        </w:rPr>
        <w:t xml:space="preserve"> </w:t>
      </w:r>
      <w:r>
        <w:rPr>
          <w:color w:val="231F20"/>
          <w:sz w:val="17"/>
        </w:rPr>
        <w:t>(eds)</w:t>
      </w:r>
      <w:r>
        <w:rPr>
          <w:color w:val="231F20"/>
          <w:spacing w:val="25"/>
          <w:sz w:val="17"/>
        </w:rPr>
        <w:t xml:space="preserve"> </w:t>
      </w:r>
      <w:r>
        <w:rPr>
          <w:color w:val="231F20"/>
          <w:sz w:val="17"/>
        </w:rPr>
        <w:t>(1989)</w:t>
      </w:r>
      <w:r>
        <w:rPr>
          <w:color w:val="231F20"/>
          <w:spacing w:val="25"/>
          <w:sz w:val="17"/>
        </w:rPr>
        <w:t xml:space="preserve"> </w:t>
      </w:r>
      <w:r>
        <w:rPr>
          <w:i/>
          <w:color w:val="231F20"/>
          <w:sz w:val="17"/>
        </w:rPr>
        <w:t>The</w:t>
      </w:r>
      <w:r>
        <w:rPr>
          <w:i/>
          <w:color w:val="231F20"/>
          <w:spacing w:val="25"/>
          <w:sz w:val="17"/>
        </w:rPr>
        <w:t xml:space="preserve"> </w:t>
      </w:r>
      <w:r>
        <w:rPr>
          <w:i/>
          <w:color w:val="231F20"/>
          <w:sz w:val="17"/>
        </w:rPr>
        <w:t>Oxford</w:t>
      </w:r>
      <w:r>
        <w:rPr>
          <w:i/>
          <w:color w:val="231F20"/>
          <w:spacing w:val="25"/>
          <w:sz w:val="17"/>
        </w:rPr>
        <w:t xml:space="preserve"> </w:t>
      </w:r>
      <w:r>
        <w:rPr>
          <w:i/>
          <w:color w:val="231F20"/>
          <w:sz w:val="17"/>
        </w:rPr>
        <w:t>English</w:t>
      </w:r>
      <w:r>
        <w:rPr>
          <w:i/>
          <w:color w:val="231F20"/>
          <w:spacing w:val="25"/>
          <w:sz w:val="17"/>
        </w:rPr>
        <w:t xml:space="preserve"> </w:t>
      </w:r>
      <w:r>
        <w:rPr>
          <w:i/>
          <w:color w:val="231F20"/>
          <w:sz w:val="17"/>
        </w:rPr>
        <w:t>Dictionary</w:t>
      </w:r>
      <w:r>
        <w:rPr>
          <w:i/>
          <w:color w:val="231F20"/>
          <w:spacing w:val="25"/>
          <w:sz w:val="17"/>
        </w:rPr>
        <w:t xml:space="preserve"> </w:t>
      </w:r>
      <w:r>
        <w:rPr>
          <w:color w:val="231F20"/>
          <w:sz w:val="17"/>
        </w:rPr>
        <w:t>(2nd</w:t>
      </w:r>
      <w:r>
        <w:rPr>
          <w:color w:val="231F20"/>
          <w:spacing w:val="25"/>
          <w:sz w:val="17"/>
        </w:rPr>
        <w:t xml:space="preserve"> </w:t>
      </w:r>
      <w:r>
        <w:rPr>
          <w:color w:val="231F20"/>
          <w:sz w:val="17"/>
        </w:rPr>
        <w:t>edn;</w:t>
      </w:r>
      <w:r>
        <w:rPr>
          <w:color w:val="231F20"/>
          <w:spacing w:val="40"/>
          <w:w w:val="105"/>
          <w:sz w:val="17"/>
        </w:rPr>
        <w:t xml:space="preserve"> </w:t>
      </w:r>
      <w:r>
        <w:rPr>
          <w:color w:val="231F20"/>
          <w:w w:val="105"/>
          <w:sz w:val="17"/>
        </w:rPr>
        <w:t>Vol. XVII). Oxford: Clarendon Press.</w:t>
      </w:r>
    </w:p>
    <w:p w14:paraId="6BBD60FF" w14:textId="77777777" w:rsidR="00AE0598" w:rsidRDefault="00AE0598">
      <w:pPr>
        <w:rPr>
          <w:sz w:val="17"/>
        </w:rPr>
        <w:sectPr w:rsidR="00AE0598">
          <w:pgSz w:w="8850" w:h="13270"/>
          <w:pgMar w:top="720" w:right="1060" w:bottom="280" w:left="1080" w:header="720" w:footer="720" w:gutter="0"/>
          <w:cols w:space="720"/>
        </w:sectPr>
      </w:pPr>
    </w:p>
    <w:p w14:paraId="5B3F1304" w14:textId="77777777" w:rsidR="00AE0598" w:rsidRDefault="0069255A">
      <w:pPr>
        <w:spacing w:before="87"/>
        <w:ind w:left="110" w:right="128"/>
        <w:jc w:val="right"/>
        <w:rPr>
          <w:rFonts w:ascii="Trebuchet MS"/>
          <w:sz w:val="14"/>
        </w:rPr>
      </w:pPr>
      <w:r>
        <w:rPr>
          <w:rFonts w:ascii="Trebuchet MS"/>
          <w:color w:val="231F20"/>
          <w:w w:val="105"/>
          <w:sz w:val="14"/>
        </w:rPr>
        <w:lastRenderedPageBreak/>
        <w:t>References</w:t>
      </w:r>
      <w:r>
        <w:rPr>
          <w:rFonts w:ascii="Trebuchet MS"/>
          <w:color w:val="231F20"/>
          <w:spacing w:val="67"/>
          <w:w w:val="105"/>
          <w:sz w:val="14"/>
        </w:rPr>
        <w:t xml:space="preserve"> </w:t>
      </w:r>
      <w:r>
        <w:rPr>
          <w:rFonts w:ascii="Trebuchet MS"/>
          <w:color w:val="231F20"/>
          <w:spacing w:val="-5"/>
          <w:w w:val="105"/>
          <w:sz w:val="14"/>
        </w:rPr>
        <w:t>273</w:t>
      </w:r>
    </w:p>
    <w:p w14:paraId="1DC96E60" w14:textId="77777777" w:rsidR="00AE0598" w:rsidRDefault="00AE0598">
      <w:pPr>
        <w:pStyle w:val="Corpodetexto"/>
        <w:rPr>
          <w:rFonts w:ascii="Trebuchet MS"/>
          <w:sz w:val="16"/>
        </w:rPr>
      </w:pPr>
    </w:p>
    <w:p w14:paraId="539C1E42" w14:textId="77777777" w:rsidR="00AE0598" w:rsidRDefault="0069255A">
      <w:pPr>
        <w:spacing w:before="121"/>
        <w:ind w:left="430" w:right="127" w:hanging="320"/>
        <w:jc w:val="both"/>
        <w:rPr>
          <w:sz w:val="17"/>
        </w:rPr>
      </w:pPr>
      <w:r>
        <w:rPr>
          <w:color w:val="231F20"/>
          <w:w w:val="105"/>
          <w:sz w:val="17"/>
        </w:rPr>
        <w:t>Sims R., Schaeffer, R., Creutzig, F., Cruz-Núñez, X., D’Agosto, M., Dimitriu, D., Figueroa</w:t>
      </w:r>
      <w:r>
        <w:rPr>
          <w:color w:val="231F20"/>
          <w:spacing w:val="40"/>
          <w:w w:val="105"/>
          <w:sz w:val="17"/>
        </w:rPr>
        <w:t xml:space="preserve"> </w:t>
      </w:r>
      <w:r>
        <w:rPr>
          <w:color w:val="231F20"/>
          <w:w w:val="105"/>
          <w:sz w:val="17"/>
        </w:rPr>
        <w:t>Meza, M.J., Fulton, L., Kobayashi, S., Lah, O., McKinnon, A., Newman, P., Ouyang,</w:t>
      </w:r>
      <w:r>
        <w:rPr>
          <w:color w:val="231F20"/>
          <w:spacing w:val="40"/>
          <w:w w:val="105"/>
          <w:sz w:val="17"/>
        </w:rPr>
        <w:t xml:space="preserve"> </w:t>
      </w:r>
      <w:r>
        <w:rPr>
          <w:color w:val="231F20"/>
          <w:w w:val="105"/>
          <w:sz w:val="17"/>
        </w:rPr>
        <w:t>M.,</w:t>
      </w:r>
      <w:r>
        <w:rPr>
          <w:color w:val="231F20"/>
          <w:spacing w:val="24"/>
          <w:w w:val="105"/>
          <w:sz w:val="17"/>
        </w:rPr>
        <w:t xml:space="preserve"> </w:t>
      </w:r>
      <w:r>
        <w:rPr>
          <w:color w:val="231F20"/>
          <w:w w:val="105"/>
          <w:sz w:val="17"/>
        </w:rPr>
        <w:t>Schauer,</w:t>
      </w:r>
      <w:r>
        <w:rPr>
          <w:color w:val="231F20"/>
          <w:spacing w:val="25"/>
          <w:w w:val="105"/>
          <w:sz w:val="17"/>
        </w:rPr>
        <w:t xml:space="preserve"> </w:t>
      </w:r>
      <w:r>
        <w:rPr>
          <w:color w:val="231F20"/>
          <w:w w:val="105"/>
          <w:sz w:val="17"/>
        </w:rPr>
        <w:t>J.J.,</w:t>
      </w:r>
      <w:r>
        <w:rPr>
          <w:color w:val="231F20"/>
          <w:spacing w:val="25"/>
          <w:w w:val="105"/>
          <w:sz w:val="17"/>
        </w:rPr>
        <w:t xml:space="preserve"> </w:t>
      </w:r>
      <w:r>
        <w:rPr>
          <w:color w:val="231F20"/>
          <w:w w:val="105"/>
          <w:sz w:val="17"/>
        </w:rPr>
        <w:t>Sperling,</w:t>
      </w:r>
      <w:r>
        <w:rPr>
          <w:color w:val="231F20"/>
          <w:spacing w:val="25"/>
          <w:w w:val="105"/>
          <w:sz w:val="17"/>
        </w:rPr>
        <w:t xml:space="preserve"> </w:t>
      </w:r>
      <w:r>
        <w:rPr>
          <w:color w:val="231F20"/>
          <w:w w:val="105"/>
          <w:sz w:val="17"/>
        </w:rPr>
        <w:t>D.</w:t>
      </w:r>
      <w:r>
        <w:rPr>
          <w:color w:val="231F20"/>
          <w:spacing w:val="25"/>
          <w:w w:val="105"/>
          <w:sz w:val="17"/>
        </w:rPr>
        <w:t xml:space="preserve"> </w:t>
      </w:r>
      <w:r>
        <w:rPr>
          <w:color w:val="231F20"/>
          <w:w w:val="105"/>
          <w:sz w:val="17"/>
        </w:rPr>
        <w:t>and</w:t>
      </w:r>
      <w:r>
        <w:rPr>
          <w:color w:val="231F20"/>
          <w:spacing w:val="25"/>
          <w:w w:val="105"/>
          <w:sz w:val="17"/>
        </w:rPr>
        <w:t xml:space="preserve"> </w:t>
      </w:r>
      <w:r>
        <w:rPr>
          <w:color w:val="231F20"/>
          <w:w w:val="105"/>
          <w:sz w:val="17"/>
        </w:rPr>
        <w:t>Tiwari,</w:t>
      </w:r>
      <w:r>
        <w:rPr>
          <w:color w:val="231F20"/>
          <w:spacing w:val="25"/>
          <w:w w:val="105"/>
          <w:sz w:val="17"/>
        </w:rPr>
        <w:t xml:space="preserve"> </w:t>
      </w:r>
      <w:r>
        <w:rPr>
          <w:color w:val="231F20"/>
          <w:w w:val="105"/>
          <w:sz w:val="17"/>
        </w:rPr>
        <w:t>G.</w:t>
      </w:r>
      <w:r>
        <w:rPr>
          <w:color w:val="231F20"/>
          <w:spacing w:val="25"/>
          <w:w w:val="105"/>
          <w:sz w:val="17"/>
        </w:rPr>
        <w:t xml:space="preserve"> </w:t>
      </w:r>
      <w:r>
        <w:rPr>
          <w:color w:val="231F20"/>
          <w:w w:val="105"/>
          <w:sz w:val="17"/>
        </w:rPr>
        <w:t>(2014)</w:t>
      </w:r>
      <w:r>
        <w:rPr>
          <w:color w:val="231F20"/>
          <w:spacing w:val="25"/>
          <w:w w:val="105"/>
          <w:sz w:val="17"/>
        </w:rPr>
        <w:t xml:space="preserve"> </w:t>
      </w:r>
      <w:r>
        <w:rPr>
          <w:color w:val="231F20"/>
          <w:w w:val="105"/>
          <w:sz w:val="17"/>
        </w:rPr>
        <w:t>Transport.</w:t>
      </w:r>
      <w:r>
        <w:rPr>
          <w:color w:val="231F20"/>
          <w:spacing w:val="25"/>
          <w:w w:val="105"/>
          <w:sz w:val="17"/>
        </w:rPr>
        <w:t xml:space="preserve"> </w:t>
      </w:r>
      <w:r>
        <w:rPr>
          <w:color w:val="231F20"/>
          <w:w w:val="105"/>
          <w:sz w:val="17"/>
        </w:rPr>
        <w:t>In</w:t>
      </w:r>
      <w:r>
        <w:rPr>
          <w:color w:val="231F20"/>
          <w:spacing w:val="25"/>
          <w:w w:val="105"/>
          <w:sz w:val="17"/>
        </w:rPr>
        <w:t xml:space="preserve"> </w:t>
      </w:r>
      <w:r>
        <w:rPr>
          <w:color w:val="231F20"/>
          <w:w w:val="105"/>
          <w:sz w:val="17"/>
        </w:rPr>
        <w:t>O.</w:t>
      </w:r>
      <w:r>
        <w:rPr>
          <w:color w:val="231F20"/>
          <w:spacing w:val="25"/>
          <w:w w:val="105"/>
          <w:sz w:val="17"/>
        </w:rPr>
        <w:t xml:space="preserve"> </w:t>
      </w:r>
      <w:r>
        <w:rPr>
          <w:color w:val="231F20"/>
          <w:spacing w:val="-2"/>
          <w:w w:val="105"/>
          <w:sz w:val="17"/>
        </w:rPr>
        <w:t>Edenhofer,</w:t>
      </w:r>
    </w:p>
    <w:p w14:paraId="2741AB76" w14:textId="77777777" w:rsidR="00AE0598" w:rsidRDefault="0069255A">
      <w:pPr>
        <w:pStyle w:val="PargrafodaLista"/>
        <w:numPr>
          <w:ilvl w:val="0"/>
          <w:numId w:val="2"/>
        </w:numPr>
        <w:tabs>
          <w:tab w:val="left" w:pos="643"/>
        </w:tabs>
        <w:spacing w:before="2"/>
        <w:jc w:val="both"/>
        <w:rPr>
          <w:rFonts w:ascii="Cambria"/>
          <w:sz w:val="17"/>
        </w:rPr>
      </w:pPr>
      <w:r>
        <w:rPr>
          <w:rFonts w:ascii="Cambria"/>
          <w:color w:val="231F20"/>
          <w:sz w:val="17"/>
        </w:rPr>
        <w:t>Pichs-Madruga,</w:t>
      </w:r>
      <w:r>
        <w:rPr>
          <w:rFonts w:ascii="Cambria"/>
          <w:color w:val="231F20"/>
          <w:spacing w:val="17"/>
          <w:sz w:val="17"/>
        </w:rPr>
        <w:t xml:space="preserve"> </w:t>
      </w:r>
      <w:r>
        <w:rPr>
          <w:rFonts w:ascii="Cambria"/>
          <w:color w:val="231F20"/>
          <w:sz w:val="17"/>
        </w:rPr>
        <w:t>Y.</w:t>
      </w:r>
      <w:r>
        <w:rPr>
          <w:rFonts w:ascii="Cambria"/>
          <w:color w:val="231F20"/>
          <w:spacing w:val="18"/>
          <w:sz w:val="17"/>
        </w:rPr>
        <w:t xml:space="preserve"> </w:t>
      </w:r>
      <w:r>
        <w:rPr>
          <w:rFonts w:ascii="Cambria"/>
          <w:color w:val="231F20"/>
          <w:sz w:val="17"/>
        </w:rPr>
        <w:t>Sokona,</w:t>
      </w:r>
      <w:r>
        <w:rPr>
          <w:rFonts w:ascii="Cambria"/>
          <w:color w:val="231F20"/>
          <w:spacing w:val="18"/>
          <w:sz w:val="17"/>
        </w:rPr>
        <w:t xml:space="preserve"> </w:t>
      </w:r>
      <w:r>
        <w:rPr>
          <w:rFonts w:ascii="Cambria"/>
          <w:color w:val="231F20"/>
          <w:sz w:val="17"/>
        </w:rPr>
        <w:t>E.</w:t>
      </w:r>
      <w:r>
        <w:rPr>
          <w:rFonts w:ascii="Cambria"/>
          <w:color w:val="231F20"/>
          <w:spacing w:val="18"/>
          <w:sz w:val="17"/>
        </w:rPr>
        <w:t xml:space="preserve"> </w:t>
      </w:r>
      <w:r>
        <w:rPr>
          <w:rFonts w:ascii="Cambria"/>
          <w:color w:val="231F20"/>
          <w:sz w:val="17"/>
        </w:rPr>
        <w:t>Farahani,</w:t>
      </w:r>
      <w:r>
        <w:rPr>
          <w:rFonts w:ascii="Cambria"/>
          <w:color w:val="231F20"/>
          <w:spacing w:val="17"/>
          <w:sz w:val="17"/>
        </w:rPr>
        <w:t xml:space="preserve"> </w:t>
      </w:r>
      <w:r>
        <w:rPr>
          <w:rFonts w:ascii="Cambria"/>
          <w:color w:val="231F20"/>
          <w:sz w:val="17"/>
        </w:rPr>
        <w:t>S.</w:t>
      </w:r>
      <w:r>
        <w:rPr>
          <w:rFonts w:ascii="Cambria"/>
          <w:color w:val="231F20"/>
          <w:spacing w:val="18"/>
          <w:sz w:val="17"/>
        </w:rPr>
        <w:t xml:space="preserve"> </w:t>
      </w:r>
      <w:r>
        <w:rPr>
          <w:rFonts w:ascii="Cambria"/>
          <w:color w:val="231F20"/>
          <w:sz w:val="17"/>
        </w:rPr>
        <w:t>Kadner,</w:t>
      </w:r>
      <w:r>
        <w:rPr>
          <w:rFonts w:ascii="Cambria"/>
          <w:color w:val="231F20"/>
          <w:spacing w:val="18"/>
          <w:sz w:val="17"/>
        </w:rPr>
        <w:t xml:space="preserve"> </w:t>
      </w:r>
      <w:r>
        <w:rPr>
          <w:rFonts w:ascii="Cambria"/>
          <w:color w:val="231F20"/>
          <w:sz w:val="17"/>
        </w:rPr>
        <w:t>K.</w:t>
      </w:r>
      <w:r>
        <w:rPr>
          <w:rFonts w:ascii="Cambria"/>
          <w:color w:val="231F20"/>
          <w:spacing w:val="18"/>
          <w:sz w:val="17"/>
        </w:rPr>
        <w:t xml:space="preserve"> </w:t>
      </w:r>
      <w:r>
        <w:rPr>
          <w:rFonts w:ascii="Cambria"/>
          <w:color w:val="231F20"/>
          <w:sz w:val="17"/>
        </w:rPr>
        <w:t>Seyboth,</w:t>
      </w:r>
      <w:r>
        <w:rPr>
          <w:rFonts w:ascii="Cambria"/>
          <w:color w:val="231F20"/>
          <w:spacing w:val="17"/>
          <w:sz w:val="17"/>
        </w:rPr>
        <w:t xml:space="preserve"> </w:t>
      </w:r>
      <w:r>
        <w:rPr>
          <w:rFonts w:ascii="Cambria"/>
          <w:color w:val="231F20"/>
          <w:sz w:val="17"/>
        </w:rPr>
        <w:t>A.</w:t>
      </w:r>
      <w:r>
        <w:rPr>
          <w:rFonts w:ascii="Cambria"/>
          <w:color w:val="231F20"/>
          <w:spacing w:val="18"/>
          <w:sz w:val="17"/>
        </w:rPr>
        <w:t xml:space="preserve"> </w:t>
      </w:r>
      <w:r>
        <w:rPr>
          <w:rFonts w:ascii="Cambria"/>
          <w:color w:val="231F20"/>
          <w:sz w:val="17"/>
        </w:rPr>
        <w:t>Adler,</w:t>
      </w:r>
      <w:r>
        <w:rPr>
          <w:rFonts w:ascii="Cambria"/>
          <w:color w:val="231F20"/>
          <w:spacing w:val="18"/>
          <w:sz w:val="17"/>
        </w:rPr>
        <w:t xml:space="preserve"> </w:t>
      </w:r>
      <w:r>
        <w:rPr>
          <w:rFonts w:ascii="Cambria"/>
          <w:color w:val="231F20"/>
          <w:sz w:val="17"/>
        </w:rPr>
        <w:t>I.</w:t>
      </w:r>
      <w:r>
        <w:rPr>
          <w:rFonts w:ascii="Cambria"/>
          <w:color w:val="231F20"/>
          <w:spacing w:val="19"/>
          <w:sz w:val="17"/>
        </w:rPr>
        <w:t xml:space="preserve"> </w:t>
      </w:r>
      <w:r>
        <w:rPr>
          <w:rFonts w:ascii="Cambria"/>
          <w:color w:val="231F20"/>
          <w:spacing w:val="-2"/>
          <w:sz w:val="17"/>
        </w:rPr>
        <w:t>Baum,</w:t>
      </w:r>
    </w:p>
    <w:p w14:paraId="1D5B8D69" w14:textId="77777777" w:rsidR="00AE0598" w:rsidRDefault="0069255A">
      <w:pPr>
        <w:pStyle w:val="PargrafodaLista"/>
        <w:numPr>
          <w:ilvl w:val="0"/>
          <w:numId w:val="2"/>
        </w:numPr>
        <w:tabs>
          <w:tab w:val="left" w:pos="619"/>
        </w:tabs>
        <w:spacing w:before="1"/>
        <w:ind w:left="618" w:hanging="189"/>
        <w:jc w:val="both"/>
        <w:rPr>
          <w:rFonts w:ascii="Cambria" w:hAnsi="Cambria"/>
          <w:sz w:val="17"/>
        </w:rPr>
      </w:pPr>
      <w:r>
        <w:rPr>
          <w:rFonts w:ascii="Cambria" w:hAnsi="Cambria"/>
          <w:color w:val="231F20"/>
          <w:sz w:val="17"/>
        </w:rPr>
        <w:t>Brunner,</w:t>
      </w:r>
      <w:r>
        <w:rPr>
          <w:rFonts w:ascii="Cambria" w:hAnsi="Cambria"/>
          <w:color w:val="231F20"/>
          <w:spacing w:val="16"/>
          <w:sz w:val="17"/>
        </w:rPr>
        <w:t xml:space="preserve"> </w:t>
      </w:r>
      <w:r>
        <w:rPr>
          <w:rFonts w:ascii="Cambria" w:hAnsi="Cambria"/>
          <w:color w:val="231F20"/>
          <w:sz w:val="17"/>
        </w:rPr>
        <w:t>P.</w:t>
      </w:r>
      <w:r>
        <w:rPr>
          <w:rFonts w:ascii="Cambria" w:hAnsi="Cambria"/>
          <w:color w:val="231F20"/>
          <w:spacing w:val="17"/>
          <w:sz w:val="17"/>
        </w:rPr>
        <w:t xml:space="preserve"> </w:t>
      </w:r>
      <w:r>
        <w:rPr>
          <w:rFonts w:ascii="Cambria" w:hAnsi="Cambria"/>
          <w:color w:val="231F20"/>
          <w:sz w:val="17"/>
        </w:rPr>
        <w:t>Eickemeier,</w:t>
      </w:r>
      <w:r>
        <w:rPr>
          <w:rFonts w:ascii="Cambria" w:hAnsi="Cambria"/>
          <w:color w:val="231F20"/>
          <w:spacing w:val="17"/>
          <w:sz w:val="17"/>
        </w:rPr>
        <w:t xml:space="preserve"> </w:t>
      </w:r>
      <w:r>
        <w:rPr>
          <w:rFonts w:ascii="Cambria" w:hAnsi="Cambria"/>
          <w:color w:val="231F20"/>
          <w:sz w:val="17"/>
        </w:rPr>
        <w:t>B.</w:t>
      </w:r>
      <w:r>
        <w:rPr>
          <w:rFonts w:ascii="Cambria" w:hAnsi="Cambria"/>
          <w:color w:val="231F20"/>
          <w:spacing w:val="17"/>
          <w:sz w:val="17"/>
        </w:rPr>
        <w:t xml:space="preserve"> </w:t>
      </w:r>
      <w:r>
        <w:rPr>
          <w:rFonts w:ascii="Cambria" w:hAnsi="Cambria"/>
          <w:color w:val="231F20"/>
          <w:sz w:val="17"/>
        </w:rPr>
        <w:t>Kriemann,</w:t>
      </w:r>
      <w:r>
        <w:rPr>
          <w:rFonts w:ascii="Cambria" w:hAnsi="Cambria"/>
          <w:color w:val="231F20"/>
          <w:spacing w:val="17"/>
          <w:sz w:val="17"/>
        </w:rPr>
        <w:t xml:space="preserve"> </w:t>
      </w:r>
      <w:r>
        <w:rPr>
          <w:rFonts w:ascii="Cambria" w:hAnsi="Cambria"/>
          <w:color w:val="231F20"/>
          <w:sz w:val="17"/>
        </w:rPr>
        <w:t>J.</w:t>
      </w:r>
      <w:r>
        <w:rPr>
          <w:rFonts w:ascii="Cambria" w:hAnsi="Cambria"/>
          <w:color w:val="231F20"/>
          <w:spacing w:val="17"/>
          <w:sz w:val="17"/>
        </w:rPr>
        <w:t xml:space="preserve"> </w:t>
      </w:r>
      <w:r>
        <w:rPr>
          <w:rFonts w:ascii="Cambria" w:hAnsi="Cambria"/>
          <w:color w:val="231F20"/>
          <w:sz w:val="17"/>
        </w:rPr>
        <w:t>Savolainen,</w:t>
      </w:r>
      <w:r>
        <w:rPr>
          <w:rFonts w:ascii="Cambria" w:hAnsi="Cambria"/>
          <w:color w:val="231F20"/>
          <w:spacing w:val="17"/>
          <w:sz w:val="17"/>
        </w:rPr>
        <w:t xml:space="preserve"> </w:t>
      </w:r>
      <w:r>
        <w:rPr>
          <w:rFonts w:ascii="Cambria" w:hAnsi="Cambria"/>
          <w:color w:val="231F20"/>
          <w:sz w:val="17"/>
        </w:rPr>
        <w:t>S.</w:t>
      </w:r>
      <w:r>
        <w:rPr>
          <w:rFonts w:ascii="Cambria" w:hAnsi="Cambria"/>
          <w:color w:val="231F20"/>
          <w:spacing w:val="17"/>
          <w:sz w:val="17"/>
        </w:rPr>
        <w:t xml:space="preserve"> </w:t>
      </w:r>
      <w:r>
        <w:rPr>
          <w:rFonts w:ascii="Cambria" w:hAnsi="Cambria"/>
          <w:color w:val="231F20"/>
          <w:sz w:val="17"/>
        </w:rPr>
        <w:t>Schlömer,</w:t>
      </w:r>
      <w:r>
        <w:rPr>
          <w:rFonts w:ascii="Cambria" w:hAnsi="Cambria"/>
          <w:color w:val="231F20"/>
          <w:spacing w:val="17"/>
          <w:sz w:val="17"/>
        </w:rPr>
        <w:t xml:space="preserve"> </w:t>
      </w:r>
      <w:r>
        <w:rPr>
          <w:rFonts w:ascii="Cambria" w:hAnsi="Cambria"/>
          <w:color w:val="231F20"/>
          <w:sz w:val="17"/>
        </w:rPr>
        <w:t>C.</w:t>
      </w:r>
      <w:r>
        <w:rPr>
          <w:rFonts w:ascii="Cambria" w:hAnsi="Cambria"/>
          <w:color w:val="231F20"/>
          <w:spacing w:val="17"/>
          <w:sz w:val="17"/>
        </w:rPr>
        <w:t xml:space="preserve"> </w:t>
      </w:r>
      <w:r>
        <w:rPr>
          <w:rFonts w:ascii="Cambria" w:hAnsi="Cambria"/>
          <w:color w:val="231F20"/>
          <w:sz w:val="17"/>
        </w:rPr>
        <w:t>von</w:t>
      </w:r>
      <w:r>
        <w:rPr>
          <w:rFonts w:ascii="Cambria" w:hAnsi="Cambria"/>
          <w:color w:val="231F20"/>
          <w:spacing w:val="17"/>
          <w:sz w:val="17"/>
        </w:rPr>
        <w:t xml:space="preserve"> </w:t>
      </w:r>
      <w:r>
        <w:rPr>
          <w:rFonts w:ascii="Cambria" w:hAnsi="Cambria"/>
          <w:color w:val="231F20"/>
          <w:spacing w:val="-2"/>
          <w:sz w:val="17"/>
        </w:rPr>
        <w:t>Stechow,</w:t>
      </w:r>
    </w:p>
    <w:p w14:paraId="5C4CA9D1" w14:textId="77777777" w:rsidR="00AE0598" w:rsidRDefault="0069255A">
      <w:pPr>
        <w:pStyle w:val="PargrafodaLista"/>
        <w:numPr>
          <w:ilvl w:val="0"/>
          <w:numId w:val="2"/>
        </w:numPr>
        <w:tabs>
          <w:tab w:val="left" w:pos="687"/>
        </w:tabs>
        <w:ind w:left="430" w:right="129" w:firstLine="0"/>
        <w:jc w:val="both"/>
        <w:rPr>
          <w:rFonts w:ascii="Cambria"/>
          <w:sz w:val="17"/>
        </w:rPr>
      </w:pPr>
      <w:r>
        <w:rPr>
          <w:rFonts w:ascii="Cambria"/>
          <w:color w:val="231F20"/>
          <w:sz w:val="17"/>
        </w:rPr>
        <w:t>Zwickel</w:t>
      </w:r>
      <w:r>
        <w:rPr>
          <w:rFonts w:ascii="Cambria"/>
          <w:color w:val="231F20"/>
          <w:spacing w:val="40"/>
          <w:sz w:val="17"/>
        </w:rPr>
        <w:t xml:space="preserve"> </w:t>
      </w:r>
      <w:r>
        <w:rPr>
          <w:rFonts w:ascii="Cambria"/>
          <w:color w:val="231F20"/>
          <w:sz w:val="17"/>
        </w:rPr>
        <w:t>and</w:t>
      </w:r>
      <w:r>
        <w:rPr>
          <w:rFonts w:ascii="Cambria"/>
          <w:color w:val="231F20"/>
          <w:spacing w:val="40"/>
          <w:w w:val="105"/>
          <w:sz w:val="17"/>
        </w:rPr>
        <w:t xml:space="preserve"> </w:t>
      </w:r>
      <w:r>
        <w:rPr>
          <w:rFonts w:ascii="Cambria"/>
          <w:color w:val="231F20"/>
          <w:w w:val="105"/>
          <w:sz w:val="17"/>
        </w:rPr>
        <w:t>J.C.</w:t>
      </w:r>
      <w:r>
        <w:rPr>
          <w:rFonts w:ascii="Cambria"/>
          <w:color w:val="231F20"/>
          <w:spacing w:val="40"/>
          <w:w w:val="105"/>
          <w:sz w:val="17"/>
        </w:rPr>
        <w:t xml:space="preserve"> </w:t>
      </w:r>
      <w:r>
        <w:rPr>
          <w:rFonts w:ascii="Cambria"/>
          <w:color w:val="231F20"/>
          <w:sz w:val="17"/>
        </w:rPr>
        <w:t>Minx</w:t>
      </w:r>
      <w:r>
        <w:rPr>
          <w:rFonts w:ascii="Cambria"/>
          <w:color w:val="231F20"/>
          <w:spacing w:val="40"/>
          <w:sz w:val="17"/>
        </w:rPr>
        <w:t xml:space="preserve"> </w:t>
      </w:r>
      <w:r>
        <w:rPr>
          <w:rFonts w:ascii="Cambria"/>
          <w:color w:val="231F20"/>
          <w:sz w:val="17"/>
        </w:rPr>
        <w:t>(eds)</w:t>
      </w:r>
      <w:r>
        <w:rPr>
          <w:rFonts w:ascii="Cambria"/>
          <w:color w:val="231F20"/>
          <w:spacing w:val="40"/>
          <w:sz w:val="17"/>
        </w:rPr>
        <w:t xml:space="preserve"> </w:t>
      </w:r>
      <w:r>
        <w:rPr>
          <w:rFonts w:ascii="Cambria"/>
          <w:color w:val="231F20"/>
          <w:sz w:val="17"/>
        </w:rPr>
        <w:t>C</w:t>
      </w:r>
      <w:r>
        <w:rPr>
          <w:rFonts w:ascii="Cambria"/>
          <w:i/>
          <w:color w:val="231F20"/>
          <w:sz w:val="17"/>
        </w:rPr>
        <w:t>limate</w:t>
      </w:r>
      <w:r>
        <w:rPr>
          <w:rFonts w:ascii="Cambria"/>
          <w:i/>
          <w:color w:val="231F20"/>
          <w:spacing w:val="40"/>
          <w:sz w:val="17"/>
        </w:rPr>
        <w:t xml:space="preserve"> </w:t>
      </w:r>
      <w:r>
        <w:rPr>
          <w:rFonts w:ascii="Cambria"/>
          <w:i/>
          <w:color w:val="231F20"/>
          <w:sz w:val="17"/>
        </w:rPr>
        <w:t>Change</w:t>
      </w:r>
      <w:r>
        <w:rPr>
          <w:rFonts w:ascii="Cambria"/>
          <w:i/>
          <w:color w:val="231F20"/>
          <w:spacing w:val="40"/>
          <w:sz w:val="17"/>
        </w:rPr>
        <w:t xml:space="preserve"> </w:t>
      </w:r>
      <w:r>
        <w:rPr>
          <w:rFonts w:ascii="Cambria"/>
          <w:i/>
          <w:color w:val="231F20"/>
          <w:sz w:val="17"/>
        </w:rPr>
        <w:t>2014:</w:t>
      </w:r>
      <w:r>
        <w:rPr>
          <w:rFonts w:ascii="Cambria"/>
          <w:i/>
          <w:color w:val="231F20"/>
          <w:spacing w:val="40"/>
          <w:sz w:val="17"/>
        </w:rPr>
        <w:t xml:space="preserve"> </w:t>
      </w:r>
      <w:r>
        <w:rPr>
          <w:rFonts w:ascii="Cambria"/>
          <w:i/>
          <w:color w:val="231F20"/>
          <w:sz w:val="17"/>
        </w:rPr>
        <w:t>Mitigation</w:t>
      </w:r>
      <w:r>
        <w:rPr>
          <w:rFonts w:ascii="Cambria"/>
          <w:i/>
          <w:color w:val="231F20"/>
          <w:spacing w:val="40"/>
          <w:sz w:val="17"/>
        </w:rPr>
        <w:t xml:space="preserve"> </w:t>
      </w:r>
      <w:r>
        <w:rPr>
          <w:rFonts w:ascii="Cambria"/>
          <w:i/>
          <w:color w:val="231F20"/>
          <w:sz w:val="17"/>
        </w:rPr>
        <w:t>of</w:t>
      </w:r>
      <w:r>
        <w:rPr>
          <w:rFonts w:ascii="Cambria"/>
          <w:i/>
          <w:color w:val="231F20"/>
          <w:spacing w:val="40"/>
          <w:sz w:val="17"/>
        </w:rPr>
        <w:t xml:space="preserve"> </w:t>
      </w:r>
      <w:r>
        <w:rPr>
          <w:rFonts w:ascii="Cambria"/>
          <w:i/>
          <w:color w:val="231F20"/>
          <w:sz w:val="17"/>
        </w:rPr>
        <w:t>Climate</w:t>
      </w:r>
      <w:r>
        <w:rPr>
          <w:rFonts w:ascii="Cambria"/>
          <w:i/>
          <w:color w:val="231F20"/>
          <w:spacing w:val="40"/>
          <w:sz w:val="17"/>
        </w:rPr>
        <w:t xml:space="preserve"> </w:t>
      </w:r>
      <w:r>
        <w:rPr>
          <w:rFonts w:ascii="Cambria"/>
          <w:i/>
          <w:color w:val="231F20"/>
          <w:sz w:val="17"/>
        </w:rPr>
        <w:t>Change. Contribution of Working Group III to the Fifth Assessment Report of the</w:t>
      </w:r>
      <w:r>
        <w:rPr>
          <w:rFonts w:ascii="Cambria"/>
          <w:i/>
          <w:color w:val="231F20"/>
          <w:spacing w:val="40"/>
          <w:sz w:val="17"/>
        </w:rPr>
        <w:t xml:space="preserve"> </w:t>
      </w:r>
      <w:r>
        <w:rPr>
          <w:rFonts w:ascii="Cambria"/>
          <w:i/>
          <w:color w:val="231F20"/>
          <w:sz w:val="17"/>
        </w:rPr>
        <w:t>Intergovernmental Panel on Climate Change</w:t>
      </w:r>
      <w:r>
        <w:rPr>
          <w:rFonts w:ascii="Cambria"/>
          <w:color w:val="231F20"/>
          <w:sz w:val="17"/>
        </w:rPr>
        <w:t xml:space="preserve">. Cambridge, </w:t>
      </w:r>
      <w:r>
        <w:rPr>
          <w:rFonts w:ascii="Cambria"/>
          <w:color w:val="231F20"/>
          <w:w w:val="111"/>
          <w:sz w:val="17"/>
        </w:rPr>
        <w:t>U</w:t>
      </w:r>
      <w:r>
        <w:rPr>
          <w:rFonts w:ascii="Cambria"/>
          <w:color w:val="231F20"/>
          <w:w w:val="114"/>
          <w:sz w:val="17"/>
        </w:rPr>
        <w:t>K</w:t>
      </w:r>
      <w:r>
        <w:rPr>
          <w:rFonts w:ascii="Cambria"/>
          <w:color w:val="231F20"/>
          <w:w w:val="61"/>
          <w:sz w:val="17"/>
        </w:rPr>
        <w:t>/</w:t>
      </w:r>
      <w:r>
        <w:rPr>
          <w:rFonts w:ascii="Cambria"/>
          <w:color w:val="231F20"/>
          <w:w w:val="121"/>
          <w:sz w:val="17"/>
        </w:rPr>
        <w:t>N</w:t>
      </w:r>
      <w:r>
        <w:rPr>
          <w:rFonts w:ascii="Cambria"/>
          <w:color w:val="231F20"/>
          <w:w w:val="91"/>
          <w:sz w:val="17"/>
        </w:rPr>
        <w:t>e</w:t>
      </w:r>
      <w:r>
        <w:rPr>
          <w:rFonts w:ascii="Cambria"/>
          <w:color w:val="231F20"/>
          <w:sz w:val="17"/>
        </w:rPr>
        <w:t>w</w:t>
      </w:r>
      <w:r>
        <w:rPr>
          <w:rFonts w:ascii="Cambria"/>
          <w:color w:val="231F20"/>
          <w:w w:val="99"/>
          <w:sz w:val="17"/>
        </w:rPr>
        <w:t xml:space="preserve"> </w:t>
      </w:r>
      <w:r>
        <w:rPr>
          <w:rFonts w:ascii="Cambria"/>
          <w:color w:val="231F20"/>
          <w:sz w:val="17"/>
        </w:rPr>
        <w:t>York: Cambridge</w:t>
      </w:r>
      <w:r>
        <w:rPr>
          <w:rFonts w:ascii="Cambria"/>
          <w:color w:val="231F20"/>
          <w:spacing w:val="40"/>
          <w:sz w:val="17"/>
        </w:rPr>
        <w:t xml:space="preserve"> </w:t>
      </w:r>
      <w:r>
        <w:rPr>
          <w:rFonts w:ascii="Cambria"/>
          <w:color w:val="231F20"/>
          <w:sz w:val="17"/>
        </w:rPr>
        <w:t>University Press.</w:t>
      </w:r>
    </w:p>
    <w:p w14:paraId="041BAB5E" w14:textId="77777777" w:rsidR="00AE0598" w:rsidRDefault="0069255A">
      <w:pPr>
        <w:spacing w:before="3"/>
        <w:ind w:left="430" w:right="127" w:hanging="320"/>
        <w:jc w:val="both"/>
        <w:rPr>
          <w:sz w:val="17"/>
        </w:rPr>
      </w:pPr>
      <w:r>
        <w:rPr>
          <w:color w:val="231F20"/>
          <w:sz w:val="17"/>
        </w:rPr>
        <w:t>Slowikowski, S.S. and Loy, J.W. (1993) Ancient athletic motifs and the modern Oly</w:t>
      </w:r>
      <w:r>
        <w:rPr>
          <w:color w:val="231F20"/>
          <w:sz w:val="17"/>
        </w:rPr>
        <w:t>mpic</w:t>
      </w:r>
      <w:r>
        <w:rPr>
          <w:color w:val="231F20"/>
          <w:spacing w:val="40"/>
          <w:sz w:val="17"/>
        </w:rPr>
        <w:t xml:space="preserve"> </w:t>
      </w:r>
      <w:r>
        <w:rPr>
          <w:color w:val="231F20"/>
          <w:sz w:val="17"/>
        </w:rPr>
        <w:t>games: An analysis of rituals and representations. In A.G. Ingham and J.W. Loy (eds)</w:t>
      </w:r>
      <w:r>
        <w:rPr>
          <w:color w:val="231F20"/>
          <w:spacing w:val="40"/>
          <w:sz w:val="17"/>
        </w:rPr>
        <w:t xml:space="preserve"> </w:t>
      </w:r>
      <w:r>
        <w:rPr>
          <w:i/>
          <w:color w:val="231F20"/>
          <w:sz w:val="17"/>
        </w:rPr>
        <w:t xml:space="preserve">Sport in Social Development </w:t>
      </w:r>
      <w:r>
        <w:rPr>
          <w:color w:val="231F20"/>
          <w:sz w:val="17"/>
        </w:rPr>
        <w:t>(pp. 21–49). Champaign, IL: Human Kinetics.</w:t>
      </w:r>
    </w:p>
    <w:p w14:paraId="3489F2F7" w14:textId="77777777" w:rsidR="00AE0598" w:rsidRDefault="0069255A">
      <w:pPr>
        <w:spacing w:before="2"/>
        <w:ind w:left="430" w:right="127" w:hanging="320"/>
        <w:jc w:val="both"/>
        <w:rPr>
          <w:sz w:val="17"/>
        </w:rPr>
      </w:pPr>
      <w:r>
        <w:rPr>
          <w:color w:val="231F20"/>
          <w:w w:val="95"/>
          <w:sz w:val="17"/>
        </w:rPr>
        <w:t>Smith, A. (2000) Civil war in England: The clubs, the RFU, and the impact of professionalism</w:t>
      </w:r>
      <w:r>
        <w:rPr>
          <w:color w:val="231F20"/>
          <w:spacing w:val="40"/>
          <w:sz w:val="17"/>
        </w:rPr>
        <w:t xml:space="preserve"> </w:t>
      </w:r>
      <w:r>
        <w:rPr>
          <w:color w:val="231F20"/>
          <w:sz w:val="17"/>
        </w:rPr>
        <w:t xml:space="preserve">on rugby union, 1995–99. In A. Smith and D. Porter (eds) </w:t>
      </w:r>
      <w:r>
        <w:rPr>
          <w:i/>
          <w:color w:val="231F20"/>
          <w:sz w:val="17"/>
        </w:rPr>
        <w:t>Amateurs and Professionals</w:t>
      </w:r>
      <w:r>
        <w:rPr>
          <w:i/>
          <w:color w:val="231F20"/>
          <w:spacing w:val="40"/>
          <w:sz w:val="17"/>
        </w:rPr>
        <w:t xml:space="preserve"> </w:t>
      </w:r>
      <w:r>
        <w:rPr>
          <w:i/>
          <w:color w:val="231F20"/>
          <w:sz w:val="17"/>
        </w:rPr>
        <w:t xml:space="preserve">in Post-War British Sport </w:t>
      </w:r>
      <w:r>
        <w:rPr>
          <w:color w:val="231F20"/>
          <w:sz w:val="17"/>
        </w:rPr>
        <w:t>(pp. 146–188). London: Frank Cass Publishers.</w:t>
      </w:r>
    </w:p>
    <w:p w14:paraId="2B3AC1F4" w14:textId="77777777" w:rsidR="00AE0598" w:rsidRDefault="0069255A">
      <w:pPr>
        <w:spacing w:before="2"/>
        <w:ind w:left="430" w:right="124" w:hanging="320"/>
        <w:jc w:val="both"/>
        <w:rPr>
          <w:sz w:val="17"/>
        </w:rPr>
      </w:pPr>
      <w:r>
        <w:rPr>
          <w:color w:val="231F20"/>
          <w:sz w:val="17"/>
        </w:rPr>
        <w:t xml:space="preserve">Smith, </w:t>
      </w:r>
      <w:r>
        <w:rPr>
          <w:color w:val="231F20"/>
          <w:sz w:val="17"/>
        </w:rPr>
        <w:t xml:space="preserve">A. (2005) Reimaging the city: The value of sport initiatives. </w:t>
      </w:r>
      <w:r>
        <w:rPr>
          <w:i/>
          <w:color w:val="231F20"/>
          <w:sz w:val="17"/>
        </w:rPr>
        <w:t>Annals of Tourism</w:t>
      </w:r>
      <w:r>
        <w:rPr>
          <w:i/>
          <w:color w:val="231F20"/>
          <w:spacing w:val="40"/>
          <w:sz w:val="17"/>
        </w:rPr>
        <w:t xml:space="preserve"> </w:t>
      </w:r>
      <w:r>
        <w:rPr>
          <w:i/>
          <w:color w:val="231F20"/>
          <w:sz w:val="17"/>
        </w:rPr>
        <w:t xml:space="preserve">Research </w:t>
      </w:r>
      <w:r>
        <w:rPr>
          <w:color w:val="231F20"/>
          <w:sz w:val="17"/>
        </w:rPr>
        <w:t>32 (1), 217–236.</w:t>
      </w:r>
    </w:p>
    <w:p w14:paraId="082F676A" w14:textId="77777777" w:rsidR="00AE0598" w:rsidRDefault="0069255A">
      <w:pPr>
        <w:spacing w:before="2"/>
        <w:ind w:left="430" w:right="128" w:hanging="320"/>
        <w:jc w:val="both"/>
        <w:rPr>
          <w:sz w:val="17"/>
        </w:rPr>
      </w:pPr>
      <w:r>
        <w:rPr>
          <w:color w:val="231F20"/>
          <w:w w:val="95"/>
          <w:sz w:val="17"/>
        </w:rPr>
        <w:t>Smith, A. (2010) The development of ‘sports-city’ zones and their potential value as tourism</w:t>
      </w:r>
      <w:r>
        <w:rPr>
          <w:color w:val="231F20"/>
          <w:spacing w:val="40"/>
          <w:sz w:val="17"/>
        </w:rPr>
        <w:t xml:space="preserve"> </w:t>
      </w:r>
      <w:r>
        <w:rPr>
          <w:color w:val="231F20"/>
          <w:sz w:val="17"/>
        </w:rPr>
        <w:t xml:space="preserve">resources for urban areas. </w:t>
      </w:r>
      <w:r>
        <w:rPr>
          <w:i/>
          <w:color w:val="231F20"/>
          <w:sz w:val="17"/>
        </w:rPr>
        <w:t xml:space="preserve">European Planning Studies </w:t>
      </w:r>
      <w:r>
        <w:rPr>
          <w:color w:val="231F20"/>
          <w:sz w:val="17"/>
        </w:rPr>
        <w:t>18 (</w:t>
      </w:r>
      <w:r>
        <w:rPr>
          <w:color w:val="231F20"/>
          <w:sz w:val="17"/>
        </w:rPr>
        <w:t>3), 385–410.</w:t>
      </w:r>
    </w:p>
    <w:p w14:paraId="1D9F02B6" w14:textId="77777777" w:rsidR="00AE0598" w:rsidRDefault="0069255A">
      <w:pPr>
        <w:spacing w:before="1"/>
        <w:ind w:left="110"/>
        <w:jc w:val="both"/>
        <w:rPr>
          <w:sz w:val="17"/>
        </w:rPr>
      </w:pPr>
      <w:r>
        <w:rPr>
          <w:color w:val="231F20"/>
          <w:sz w:val="17"/>
        </w:rPr>
        <w:t>Smith,</w:t>
      </w:r>
      <w:r>
        <w:rPr>
          <w:color w:val="231F20"/>
          <w:spacing w:val="11"/>
          <w:sz w:val="17"/>
        </w:rPr>
        <w:t xml:space="preserve"> </w:t>
      </w:r>
      <w:r>
        <w:rPr>
          <w:color w:val="231F20"/>
          <w:sz w:val="17"/>
        </w:rPr>
        <w:t>S.L.J.</w:t>
      </w:r>
      <w:r>
        <w:rPr>
          <w:color w:val="231F20"/>
          <w:spacing w:val="11"/>
          <w:sz w:val="17"/>
        </w:rPr>
        <w:t xml:space="preserve"> </w:t>
      </w:r>
      <w:r>
        <w:rPr>
          <w:color w:val="231F20"/>
          <w:sz w:val="17"/>
        </w:rPr>
        <w:t>(1983)</w:t>
      </w:r>
      <w:r>
        <w:rPr>
          <w:color w:val="231F20"/>
          <w:spacing w:val="11"/>
          <w:sz w:val="17"/>
        </w:rPr>
        <w:t xml:space="preserve"> </w:t>
      </w:r>
      <w:r>
        <w:rPr>
          <w:i/>
          <w:color w:val="231F20"/>
          <w:sz w:val="17"/>
        </w:rPr>
        <w:t>Recreation</w:t>
      </w:r>
      <w:r>
        <w:rPr>
          <w:i/>
          <w:color w:val="231F20"/>
          <w:spacing w:val="11"/>
          <w:sz w:val="17"/>
        </w:rPr>
        <w:t xml:space="preserve"> </w:t>
      </w:r>
      <w:r>
        <w:rPr>
          <w:i/>
          <w:color w:val="231F20"/>
          <w:sz w:val="17"/>
        </w:rPr>
        <w:t>Geography</w:t>
      </w:r>
      <w:r>
        <w:rPr>
          <w:color w:val="231F20"/>
          <w:sz w:val="17"/>
        </w:rPr>
        <w:t>.</w:t>
      </w:r>
      <w:r>
        <w:rPr>
          <w:color w:val="231F20"/>
          <w:spacing w:val="11"/>
          <w:sz w:val="17"/>
        </w:rPr>
        <w:t xml:space="preserve"> </w:t>
      </w:r>
      <w:r>
        <w:rPr>
          <w:color w:val="231F20"/>
          <w:sz w:val="17"/>
        </w:rPr>
        <w:t>London:</w:t>
      </w:r>
      <w:r>
        <w:rPr>
          <w:color w:val="231F20"/>
          <w:spacing w:val="12"/>
          <w:sz w:val="17"/>
        </w:rPr>
        <w:t xml:space="preserve"> </w:t>
      </w:r>
      <w:r>
        <w:rPr>
          <w:color w:val="231F20"/>
          <w:spacing w:val="-2"/>
          <w:sz w:val="17"/>
        </w:rPr>
        <w:t>Longman.</w:t>
      </w:r>
    </w:p>
    <w:p w14:paraId="7837B23E" w14:textId="77777777" w:rsidR="00AE0598" w:rsidRDefault="0069255A">
      <w:pPr>
        <w:spacing w:before="1"/>
        <w:ind w:left="430" w:right="128" w:hanging="320"/>
        <w:jc w:val="both"/>
        <w:rPr>
          <w:sz w:val="17"/>
        </w:rPr>
      </w:pPr>
      <w:r>
        <w:rPr>
          <w:color w:val="231F20"/>
          <w:sz w:val="17"/>
        </w:rPr>
        <w:t xml:space="preserve">Snepenger, D., Houser, B. and Snepenger, M. (1990) Seasonality of demand. </w:t>
      </w:r>
      <w:r>
        <w:rPr>
          <w:i/>
          <w:color w:val="231F20"/>
          <w:sz w:val="17"/>
        </w:rPr>
        <w:t>Annals of</w:t>
      </w:r>
      <w:r>
        <w:rPr>
          <w:i/>
          <w:color w:val="231F20"/>
          <w:spacing w:val="40"/>
          <w:sz w:val="17"/>
        </w:rPr>
        <w:t xml:space="preserve"> </w:t>
      </w:r>
      <w:r>
        <w:rPr>
          <w:i/>
          <w:color w:val="231F20"/>
          <w:sz w:val="17"/>
        </w:rPr>
        <w:t xml:space="preserve">Tourism Research </w:t>
      </w:r>
      <w:r>
        <w:rPr>
          <w:color w:val="231F20"/>
          <w:sz w:val="17"/>
        </w:rPr>
        <w:t>17, 628–630.</w:t>
      </w:r>
    </w:p>
    <w:p w14:paraId="0BBDE239" w14:textId="77777777" w:rsidR="00AE0598" w:rsidRDefault="0069255A">
      <w:pPr>
        <w:spacing w:before="1"/>
        <w:ind w:left="430" w:right="127" w:hanging="320"/>
        <w:jc w:val="both"/>
        <w:rPr>
          <w:sz w:val="17"/>
        </w:rPr>
      </w:pPr>
      <w:r>
        <w:rPr>
          <w:color w:val="231F20"/>
          <w:w w:val="95"/>
          <w:sz w:val="17"/>
        </w:rPr>
        <w:t>Snyder,</w:t>
      </w:r>
      <w:r>
        <w:rPr>
          <w:color w:val="231F20"/>
          <w:spacing w:val="17"/>
          <w:sz w:val="17"/>
        </w:rPr>
        <w:t xml:space="preserve"> </w:t>
      </w:r>
      <w:r>
        <w:rPr>
          <w:color w:val="231F20"/>
          <w:w w:val="95"/>
          <w:sz w:val="17"/>
        </w:rPr>
        <w:t>E.</w:t>
      </w:r>
      <w:r>
        <w:rPr>
          <w:color w:val="231F20"/>
          <w:spacing w:val="17"/>
          <w:sz w:val="17"/>
        </w:rPr>
        <w:t xml:space="preserve"> </w:t>
      </w:r>
      <w:r>
        <w:rPr>
          <w:color w:val="231F20"/>
          <w:w w:val="95"/>
          <w:sz w:val="17"/>
        </w:rPr>
        <w:t>(1991)</w:t>
      </w:r>
      <w:r>
        <w:rPr>
          <w:color w:val="231F20"/>
          <w:spacing w:val="17"/>
          <w:sz w:val="17"/>
        </w:rPr>
        <w:t xml:space="preserve"> </w:t>
      </w:r>
      <w:r>
        <w:rPr>
          <w:color w:val="231F20"/>
          <w:w w:val="95"/>
          <w:sz w:val="17"/>
        </w:rPr>
        <w:t>Sociology</w:t>
      </w:r>
      <w:r>
        <w:rPr>
          <w:color w:val="231F20"/>
          <w:spacing w:val="17"/>
          <w:sz w:val="17"/>
        </w:rPr>
        <w:t xml:space="preserve"> </w:t>
      </w:r>
      <w:r>
        <w:rPr>
          <w:color w:val="231F20"/>
          <w:w w:val="95"/>
          <w:sz w:val="17"/>
        </w:rPr>
        <w:t>of</w:t>
      </w:r>
      <w:r>
        <w:rPr>
          <w:color w:val="231F20"/>
          <w:spacing w:val="17"/>
          <w:sz w:val="17"/>
        </w:rPr>
        <w:t xml:space="preserve"> </w:t>
      </w:r>
      <w:r>
        <w:rPr>
          <w:color w:val="231F20"/>
          <w:w w:val="95"/>
          <w:sz w:val="17"/>
        </w:rPr>
        <w:t>nostalgia:</w:t>
      </w:r>
      <w:r>
        <w:rPr>
          <w:color w:val="231F20"/>
          <w:spacing w:val="17"/>
          <w:sz w:val="17"/>
        </w:rPr>
        <w:t xml:space="preserve"> </w:t>
      </w:r>
      <w:r>
        <w:rPr>
          <w:color w:val="231F20"/>
          <w:w w:val="95"/>
          <w:sz w:val="17"/>
        </w:rPr>
        <w:t>Halls</w:t>
      </w:r>
      <w:r>
        <w:rPr>
          <w:color w:val="231F20"/>
          <w:spacing w:val="17"/>
          <w:sz w:val="17"/>
        </w:rPr>
        <w:t xml:space="preserve"> </w:t>
      </w:r>
      <w:r>
        <w:rPr>
          <w:color w:val="231F20"/>
          <w:w w:val="95"/>
          <w:sz w:val="17"/>
        </w:rPr>
        <w:t>of</w:t>
      </w:r>
      <w:r>
        <w:rPr>
          <w:color w:val="231F20"/>
          <w:spacing w:val="17"/>
          <w:sz w:val="17"/>
        </w:rPr>
        <w:t xml:space="preserve"> </w:t>
      </w:r>
      <w:r>
        <w:rPr>
          <w:color w:val="231F20"/>
          <w:w w:val="95"/>
          <w:sz w:val="17"/>
        </w:rPr>
        <w:t>fame</w:t>
      </w:r>
      <w:r>
        <w:rPr>
          <w:color w:val="231F20"/>
          <w:spacing w:val="17"/>
          <w:sz w:val="17"/>
        </w:rPr>
        <w:t xml:space="preserve"> </w:t>
      </w:r>
      <w:r>
        <w:rPr>
          <w:color w:val="231F20"/>
          <w:w w:val="95"/>
          <w:sz w:val="17"/>
        </w:rPr>
        <w:t>and</w:t>
      </w:r>
      <w:r>
        <w:rPr>
          <w:color w:val="231F20"/>
          <w:spacing w:val="17"/>
          <w:sz w:val="17"/>
        </w:rPr>
        <w:t xml:space="preserve"> </w:t>
      </w:r>
      <w:r>
        <w:rPr>
          <w:color w:val="231F20"/>
          <w:w w:val="95"/>
          <w:sz w:val="17"/>
        </w:rPr>
        <w:t>museums</w:t>
      </w:r>
      <w:r>
        <w:rPr>
          <w:color w:val="231F20"/>
          <w:spacing w:val="17"/>
          <w:sz w:val="17"/>
        </w:rPr>
        <w:t xml:space="preserve"> </w:t>
      </w:r>
      <w:r>
        <w:rPr>
          <w:color w:val="231F20"/>
          <w:w w:val="95"/>
          <w:sz w:val="17"/>
        </w:rPr>
        <w:t>in</w:t>
      </w:r>
      <w:r>
        <w:rPr>
          <w:color w:val="231F20"/>
          <w:spacing w:val="17"/>
          <w:sz w:val="17"/>
        </w:rPr>
        <w:t xml:space="preserve"> </w:t>
      </w:r>
      <w:r>
        <w:rPr>
          <w:color w:val="231F20"/>
          <w:w w:val="95"/>
          <w:sz w:val="17"/>
        </w:rPr>
        <w:t>America.</w:t>
      </w:r>
      <w:r>
        <w:rPr>
          <w:color w:val="231F20"/>
          <w:spacing w:val="16"/>
          <w:sz w:val="17"/>
        </w:rPr>
        <w:t xml:space="preserve"> </w:t>
      </w:r>
      <w:r>
        <w:rPr>
          <w:i/>
          <w:color w:val="231F20"/>
          <w:w w:val="95"/>
          <w:sz w:val="17"/>
        </w:rPr>
        <w:t>Sociology</w:t>
      </w:r>
      <w:r>
        <w:rPr>
          <w:i/>
          <w:color w:val="231F20"/>
          <w:spacing w:val="40"/>
          <w:sz w:val="17"/>
        </w:rPr>
        <w:t xml:space="preserve"> </w:t>
      </w:r>
      <w:r>
        <w:rPr>
          <w:i/>
          <w:color w:val="231F20"/>
          <w:sz w:val="17"/>
        </w:rPr>
        <w:t xml:space="preserve">of Sport Journal </w:t>
      </w:r>
      <w:r>
        <w:rPr>
          <w:color w:val="231F20"/>
          <w:sz w:val="17"/>
        </w:rPr>
        <w:t>8, 228–238.</w:t>
      </w:r>
    </w:p>
    <w:p w14:paraId="0E9C5530" w14:textId="77777777" w:rsidR="00AE0598" w:rsidRDefault="0069255A">
      <w:pPr>
        <w:spacing w:before="2"/>
        <w:ind w:left="430" w:right="127" w:hanging="320"/>
        <w:jc w:val="both"/>
        <w:rPr>
          <w:sz w:val="17"/>
        </w:rPr>
      </w:pPr>
      <w:r>
        <w:rPr>
          <w:color w:val="231F20"/>
          <w:w w:val="105"/>
          <w:sz w:val="17"/>
        </w:rPr>
        <w:t>Sonmez,</w:t>
      </w:r>
      <w:r>
        <w:rPr>
          <w:color w:val="231F20"/>
          <w:spacing w:val="-8"/>
          <w:w w:val="105"/>
          <w:sz w:val="17"/>
        </w:rPr>
        <w:t xml:space="preserve"> </w:t>
      </w:r>
      <w:r>
        <w:rPr>
          <w:color w:val="231F20"/>
          <w:w w:val="105"/>
          <w:sz w:val="17"/>
        </w:rPr>
        <w:t>S.F.,</w:t>
      </w:r>
      <w:r>
        <w:rPr>
          <w:color w:val="231F20"/>
          <w:spacing w:val="-8"/>
          <w:w w:val="105"/>
          <w:sz w:val="17"/>
        </w:rPr>
        <w:t xml:space="preserve"> </w:t>
      </w:r>
      <w:r>
        <w:rPr>
          <w:color w:val="231F20"/>
          <w:w w:val="105"/>
          <w:sz w:val="17"/>
        </w:rPr>
        <w:t>Apolstolopoulos,</w:t>
      </w:r>
      <w:r>
        <w:rPr>
          <w:color w:val="231F20"/>
          <w:spacing w:val="-8"/>
          <w:w w:val="105"/>
          <w:sz w:val="17"/>
        </w:rPr>
        <w:t xml:space="preserve"> </w:t>
      </w:r>
      <w:r>
        <w:rPr>
          <w:color w:val="231F20"/>
          <w:w w:val="105"/>
          <w:sz w:val="17"/>
        </w:rPr>
        <w:t>Y.</w:t>
      </w:r>
      <w:r>
        <w:rPr>
          <w:color w:val="231F20"/>
          <w:spacing w:val="-8"/>
          <w:w w:val="105"/>
          <w:sz w:val="17"/>
        </w:rPr>
        <w:t xml:space="preserve"> </w:t>
      </w:r>
      <w:r>
        <w:rPr>
          <w:color w:val="231F20"/>
          <w:w w:val="105"/>
          <w:sz w:val="17"/>
        </w:rPr>
        <w:t>and</w:t>
      </w:r>
      <w:r>
        <w:rPr>
          <w:color w:val="231F20"/>
          <w:spacing w:val="-8"/>
          <w:w w:val="105"/>
          <w:sz w:val="17"/>
        </w:rPr>
        <w:t xml:space="preserve"> </w:t>
      </w:r>
      <w:r>
        <w:rPr>
          <w:color w:val="231F20"/>
          <w:w w:val="105"/>
          <w:sz w:val="17"/>
        </w:rPr>
        <w:t>Talow,</w:t>
      </w:r>
      <w:r>
        <w:rPr>
          <w:color w:val="231F20"/>
          <w:spacing w:val="-8"/>
          <w:w w:val="105"/>
          <w:sz w:val="17"/>
        </w:rPr>
        <w:t xml:space="preserve"> </w:t>
      </w:r>
      <w:r>
        <w:rPr>
          <w:color w:val="231F20"/>
          <w:w w:val="105"/>
          <w:sz w:val="17"/>
        </w:rPr>
        <w:t>P.</w:t>
      </w:r>
      <w:r>
        <w:rPr>
          <w:color w:val="231F20"/>
          <w:spacing w:val="-8"/>
          <w:w w:val="105"/>
          <w:sz w:val="17"/>
        </w:rPr>
        <w:t xml:space="preserve"> </w:t>
      </w:r>
      <w:r>
        <w:rPr>
          <w:color w:val="231F20"/>
          <w:w w:val="105"/>
          <w:sz w:val="17"/>
        </w:rPr>
        <w:t>(1999)</w:t>
      </w:r>
      <w:r>
        <w:rPr>
          <w:color w:val="231F20"/>
          <w:spacing w:val="-8"/>
          <w:w w:val="105"/>
          <w:sz w:val="17"/>
        </w:rPr>
        <w:t xml:space="preserve"> </w:t>
      </w:r>
      <w:r>
        <w:rPr>
          <w:color w:val="231F20"/>
          <w:w w:val="105"/>
          <w:sz w:val="17"/>
        </w:rPr>
        <w:t>Tourism</w:t>
      </w:r>
      <w:r>
        <w:rPr>
          <w:color w:val="231F20"/>
          <w:spacing w:val="-8"/>
          <w:w w:val="105"/>
          <w:sz w:val="17"/>
        </w:rPr>
        <w:t xml:space="preserve"> </w:t>
      </w:r>
      <w:r>
        <w:rPr>
          <w:color w:val="231F20"/>
          <w:w w:val="105"/>
          <w:sz w:val="17"/>
        </w:rPr>
        <w:t>in</w:t>
      </w:r>
      <w:r>
        <w:rPr>
          <w:color w:val="231F20"/>
          <w:spacing w:val="-8"/>
          <w:w w:val="105"/>
          <w:sz w:val="17"/>
        </w:rPr>
        <w:t xml:space="preserve"> </w:t>
      </w:r>
      <w:r>
        <w:rPr>
          <w:color w:val="231F20"/>
          <w:w w:val="105"/>
          <w:sz w:val="17"/>
        </w:rPr>
        <w:t>crisis:</w:t>
      </w:r>
      <w:r>
        <w:rPr>
          <w:color w:val="231F20"/>
          <w:spacing w:val="-8"/>
          <w:w w:val="105"/>
          <w:sz w:val="17"/>
        </w:rPr>
        <w:t xml:space="preserve"> </w:t>
      </w:r>
      <w:r>
        <w:rPr>
          <w:color w:val="231F20"/>
          <w:w w:val="105"/>
          <w:sz w:val="17"/>
        </w:rPr>
        <w:t>Managing</w:t>
      </w:r>
      <w:r>
        <w:rPr>
          <w:color w:val="231F20"/>
          <w:spacing w:val="-8"/>
          <w:w w:val="105"/>
          <w:sz w:val="17"/>
        </w:rPr>
        <w:t xml:space="preserve"> </w:t>
      </w:r>
      <w:r>
        <w:rPr>
          <w:color w:val="231F20"/>
          <w:w w:val="105"/>
          <w:sz w:val="17"/>
        </w:rPr>
        <w:t>the</w:t>
      </w:r>
      <w:r>
        <w:rPr>
          <w:color w:val="231F20"/>
          <w:spacing w:val="40"/>
          <w:w w:val="105"/>
          <w:sz w:val="17"/>
        </w:rPr>
        <w:t xml:space="preserve"> </w:t>
      </w:r>
      <w:r>
        <w:rPr>
          <w:color w:val="231F20"/>
          <w:sz w:val="17"/>
        </w:rPr>
        <w:t xml:space="preserve">effects of terrorism. </w:t>
      </w:r>
      <w:r>
        <w:rPr>
          <w:i/>
          <w:color w:val="231F20"/>
          <w:sz w:val="17"/>
        </w:rPr>
        <w:t xml:space="preserve">Journal of Travel Research </w:t>
      </w:r>
      <w:r>
        <w:rPr>
          <w:color w:val="231F20"/>
          <w:sz w:val="17"/>
        </w:rPr>
        <w:t>38, 13–18.</w:t>
      </w:r>
    </w:p>
    <w:p w14:paraId="1E7CD9EC" w14:textId="77777777" w:rsidR="00AE0598" w:rsidRDefault="0069255A">
      <w:pPr>
        <w:spacing w:before="1"/>
        <w:ind w:left="430" w:right="127" w:hanging="320"/>
        <w:jc w:val="both"/>
        <w:rPr>
          <w:sz w:val="17"/>
        </w:rPr>
      </w:pPr>
      <w:r>
        <w:rPr>
          <w:color w:val="231F20"/>
          <w:w w:val="105"/>
          <w:sz w:val="17"/>
        </w:rPr>
        <w:t>Sousa Mast, F.R., Reis, A.C., Gurgel, L.A. and Dua</w:t>
      </w:r>
      <w:r>
        <w:rPr>
          <w:color w:val="231F20"/>
          <w:w w:val="105"/>
          <w:sz w:val="17"/>
        </w:rPr>
        <w:t>rte, A.F.P.L.A. (2013) Are cariocas</w:t>
      </w:r>
      <w:r>
        <w:rPr>
          <w:color w:val="231F20"/>
          <w:spacing w:val="40"/>
          <w:w w:val="105"/>
          <w:sz w:val="17"/>
        </w:rPr>
        <w:t xml:space="preserve"> </w:t>
      </w:r>
      <w:r>
        <w:rPr>
          <w:color w:val="231F20"/>
          <w:sz w:val="17"/>
        </w:rPr>
        <w:t>getting</w:t>
      </w:r>
      <w:r>
        <w:rPr>
          <w:color w:val="231F20"/>
          <w:spacing w:val="-4"/>
          <w:sz w:val="17"/>
        </w:rPr>
        <w:t xml:space="preserve"> </w:t>
      </w:r>
      <w:r>
        <w:rPr>
          <w:color w:val="231F20"/>
          <w:sz w:val="17"/>
        </w:rPr>
        <w:t>ready</w:t>
      </w:r>
      <w:r>
        <w:rPr>
          <w:color w:val="231F20"/>
          <w:spacing w:val="-4"/>
          <w:sz w:val="17"/>
        </w:rPr>
        <w:t xml:space="preserve"> </w:t>
      </w:r>
      <w:r>
        <w:rPr>
          <w:color w:val="231F20"/>
          <w:sz w:val="17"/>
        </w:rPr>
        <w:t>for</w:t>
      </w:r>
      <w:r>
        <w:rPr>
          <w:color w:val="231F20"/>
          <w:spacing w:val="-4"/>
          <w:sz w:val="17"/>
        </w:rPr>
        <w:t xml:space="preserve"> </w:t>
      </w:r>
      <w:r>
        <w:rPr>
          <w:color w:val="231F20"/>
          <w:sz w:val="17"/>
        </w:rPr>
        <w:t>the</w:t>
      </w:r>
      <w:r>
        <w:rPr>
          <w:color w:val="231F20"/>
          <w:spacing w:val="-4"/>
          <w:sz w:val="17"/>
        </w:rPr>
        <w:t xml:space="preserve"> </w:t>
      </w:r>
      <w:r>
        <w:rPr>
          <w:color w:val="231F20"/>
          <w:sz w:val="17"/>
        </w:rPr>
        <w:t>games?</w:t>
      </w:r>
      <w:r>
        <w:rPr>
          <w:color w:val="231F20"/>
          <w:spacing w:val="-4"/>
          <w:sz w:val="17"/>
        </w:rPr>
        <w:t xml:space="preserve"> </w:t>
      </w:r>
      <w:r>
        <w:rPr>
          <w:color w:val="231F20"/>
          <w:sz w:val="17"/>
        </w:rPr>
        <w:t>Sport</w:t>
      </w:r>
      <w:r>
        <w:rPr>
          <w:color w:val="231F20"/>
          <w:spacing w:val="-4"/>
          <w:sz w:val="17"/>
        </w:rPr>
        <w:t xml:space="preserve"> </w:t>
      </w:r>
      <w:r>
        <w:rPr>
          <w:color w:val="231F20"/>
          <w:sz w:val="17"/>
        </w:rPr>
        <w:t>participation</w:t>
      </w:r>
      <w:r>
        <w:rPr>
          <w:color w:val="231F20"/>
          <w:spacing w:val="-4"/>
          <w:sz w:val="17"/>
        </w:rPr>
        <w:t xml:space="preserve"> </w:t>
      </w:r>
      <w:r>
        <w:rPr>
          <w:color w:val="231F20"/>
          <w:sz w:val="17"/>
        </w:rPr>
        <w:t>and</w:t>
      </w:r>
      <w:r>
        <w:rPr>
          <w:color w:val="231F20"/>
          <w:spacing w:val="-4"/>
          <w:sz w:val="17"/>
        </w:rPr>
        <w:t xml:space="preserve"> </w:t>
      </w:r>
      <w:r>
        <w:rPr>
          <w:color w:val="231F20"/>
          <w:sz w:val="17"/>
        </w:rPr>
        <w:t>the</w:t>
      </w:r>
      <w:r>
        <w:rPr>
          <w:color w:val="231F20"/>
          <w:spacing w:val="-4"/>
          <w:sz w:val="17"/>
        </w:rPr>
        <w:t xml:space="preserve"> </w:t>
      </w:r>
      <w:r>
        <w:rPr>
          <w:color w:val="231F20"/>
          <w:sz w:val="17"/>
        </w:rPr>
        <w:t>Rio</w:t>
      </w:r>
      <w:r>
        <w:rPr>
          <w:color w:val="231F20"/>
          <w:spacing w:val="-4"/>
          <w:sz w:val="17"/>
        </w:rPr>
        <w:t xml:space="preserve"> </w:t>
      </w:r>
      <w:r>
        <w:rPr>
          <w:color w:val="231F20"/>
          <w:sz w:val="17"/>
        </w:rPr>
        <w:t>de</w:t>
      </w:r>
      <w:r>
        <w:rPr>
          <w:color w:val="231F20"/>
          <w:spacing w:val="-4"/>
          <w:sz w:val="17"/>
        </w:rPr>
        <w:t xml:space="preserve"> </w:t>
      </w:r>
      <w:r>
        <w:rPr>
          <w:color w:val="231F20"/>
          <w:sz w:val="17"/>
        </w:rPr>
        <w:t>Janeiro</w:t>
      </w:r>
      <w:r>
        <w:rPr>
          <w:color w:val="231F20"/>
          <w:spacing w:val="-4"/>
          <w:sz w:val="17"/>
        </w:rPr>
        <w:t xml:space="preserve"> </w:t>
      </w:r>
      <w:r>
        <w:rPr>
          <w:color w:val="231F20"/>
          <w:sz w:val="17"/>
        </w:rPr>
        <w:t>2016</w:t>
      </w:r>
      <w:r>
        <w:rPr>
          <w:color w:val="231F20"/>
          <w:spacing w:val="-4"/>
          <w:sz w:val="17"/>
        </w:rPr>
        <w:t xml:space="preserve"> </w:t>
      </w:r>
      <w:r>
        <w:rPr>
          <w:color w:val="231F20"/>
          <w:sz w:val="17"/>
        </w:rPr>
        <w:t>Olympic</w:t>
      </w:r>
      <w:r>
        <w:rPr>
          <w:color w:val="231F20"/>
          <w:spacing w:val="40"/>
          <w:sz w:val="17"/>
        </w:rPr>
        <w:t xml:space="preserve"> </w:t>
      </w:r>
      <w:r>
        <w:rPr>
          <w:color w:val="231F20"/>
          <w:sz w:val="17"/>
        </w:rPr>
        <w:t xml:space="preserve">Games. </w:t>
      </w:r>
      <w:r>
        <w:rPr>
          <w:i/>
          <w:color w:val="231F20"/>
          <w:sz w:val="17"/>
        </w:rPr>
        <w:t xml:space="preserve">Managing Leisure </w:t>
      </w:r>
      <w:r>
        <w:rPr>
          <w:color w:val="231F20"/>
          <w:sz w:val="17"/>
        </w:rPr>
        <w:t>18 (4), 331–335.</w:t>
      </w:r>
    </w:p>
    <w:p w14:paraId="36C0F127" w14:textId="77777777" w:rsidR="00AE0598" w:rsidRDefault="0069255A">
      <w:pPr>
        <w:spacing w:before="2"/>
        <w:ind w:left="430" w:right="128" w:hanging="320"/>
        <w:jc w:val="both"/>
        <w:rPr>
          <w:sz w:val="17"/>
        </w:rPr>
      </w:pPr>
      <w:r>
        <w:rPr>
          <w:color w:val="231F20"/>
          <w:sz w:val="17"/>
        </w:rPr>
        <w:t xml:space="preserve">Sousa Mast, </w:t>
      </w:r>
      <w:r>
        <w:rPr>
          <w:color w:val="231F20"/>
          <w:w w:val="105"/>
          <w:sz w:val="17"/>
        </w:rPr>
        <w:t xml:space="preserve">F.R., </w:t>
      </w:r>
      <w:r>
        <w:rPr>
          <w:color w:val="231F20"/>
          <w:sz w:val="17"/>
        </w:rPr>
        <w:t xml:space="preserve">Reis, </w:t>
      </w:r>
      <w:r>
        <w:rPr>
          <w:color w:val="231F20"/>
          <w:w w:val="105"/>
          <w:sz w:val="17"/>
        </w:rPr>
        <w:t xml:space="preserve">A.C., </w:t>
      </w:r>
      <w:r>
        <w:rPr>
          <w:color w:val="231F20"/>
          <w:sz w:val="17"/>
        </w:rPr>
        <w:t xml:space="preserve">Sperandei, </w:t>
      </w:r>
      <w:r>
        <w:rPr>
          <w:color w:val="231F20"/>
          <w:w w:val="105"/>
          <w:sz w:val="17"/>
        </w:rPr>
        <w:t xml:space="preserve">S., </w:t>
      </w:r>
      <w:r>
        <w:rPr>
          <w:color w:val="231F20"/>
          <w:sz w:val="17"/>
        </w:rPr>
        <w:t xml:space="preserve">Gurgel, </w:t>
      </w:r>
      <w:r>
        <w:rPr>
          <w:color w:val="231F20"/>
          <w:w w:val="105"/>
          <w:sz w:val="17"/>
        </w:rPr>
        <w:t xml:space="preserve">L., </w:t>
      </w:r>
      <w:r>
        <w:rPr>
          <w:color w:val="231F20"/>
          <w:sz w:val="17"/>
        </w:rPr>
        <w:t xml:space="preserve">Vieira, </w:t>
      </w:r>
      <w:r>
        <w:rPr>
          <w:color w:val="231F20"/>
          <w:w w:val="105"/>
          <w:sz w:val="17"/>
        </w:rPr>
        <w:t xml:space="preserve">M.C. </w:t>
      </w:r>
      <w:r>
        <w:rPr>
          <w:color w:val="231F20"/>
          <w:sz w:val="17"/>
        </w:rPr>
        <w:t xml:space="preserve">and Pühse, </w:t>
      </w:r>
      <w:r>
        <w:rPr>
          <w:color w:val="231F20"/>
          <w:w w:val="105"/>
          <w:sz w:val="17"/>
        </w:rPr>
        <w:t xml:space="preserve">U. </w:t>
      </w:r>
      <w:r>
        <w:rPr>
          <w:color w:val="231F20"/>
          <w:sz w:val="17"/>
        </w:rPr>
        <w:t>(2016)</w:t>
      </w:r>
      <w:r>
        <w:rPr>
          <w:color w:val="231F20"/>
          <w:spacing w:val="40"/>
          <w:sz w:val="17"/>
        </w:rPr>
        <w:t xml:space="preserve"> </w:t>
      </w:r>
      <w:r>
        <w:rPr>
          <w:color w:val="231F20"/>
          <w:w w:val="95"/>
          <w:sz w:val="17"/>
        </w:rPr>
        <w:t>Physical activity levels of economically disadvantaged women living in the Olympic city</w:t>
      </w:r>
      <w:r>
        <w:rPr>
          <w:color w:val="231F20"/>
          <w:spacing w:val="40"/>
          <w:sz w:val="17"/>
        </w:rPr>
        <w:t xml:space="preserve"> </w:t>
      </w:r>
      <w:r>
        <w:rPr>
          <w:color w:val="231F20"/>
          <w:sz w:val="17"/>
        </w:rPr>
        <w:t xml:space="preserve">of Rio de Janeiro. </w:t>
      </w:r>
      <w:r>
        <w:rPr>
          <w:i/>
          <w:color w:val="231F20"/>
          <w:sz w:val="17"/>
        </w:rPr>
        <w:t xml:space="preserve">Women </w:t>
      </w:r>
      <w:r>
        <w:rPr>
          <w:i/>
          <w:color w:val="231F20"/>
          <w:w w:val="105"/>
          <w:sz w:val="17"/>
        </w:rPr>
        <w:t xml:space="preserve">&amp; </w:t>
      </w:r>
      <w:r>
        <w:rPr>
          <w:i/>
          <w:color w:val="231F20"/>
          <w:sz w:val="17"/>
        </w:rPr>
        <w:t>Health</w:t>
      </w:r>
      <w:r>
        <w:rPr>
          <w:color w:val="231F20"/>
          <w:sz w:val="17"/>
        </w:rPr>
        <w:t xml:space="preserve">. doi: </w:t>
      </w:r>
      <w:r>
        <w:rPr>
          <w:color w:val="231F20"/>
          <w:spacing w:val="-3"/>
          <w:w w:val="96"/>
          <w:sz w:val="17"/>
        </w:rPr>
        <w:t>1</w:t>
      </w:r>
      <w:r>
        <w:rPr>
          <w:color w:val="231F20"/>
          <w:w w:val="96"/>
          <w:sz w:val="17"/>
        </w:rPr>
        <w:t>0</w:t>
      </w:r>
      <w:r>
        <w:rPr>
          <w:color w:val="231F20"/>
          <w:spacing w:val="-6"/>
          <w:w w:val="142"/>
          <w:sz w:val="17"/>
        </w:rPr>
        <w:t>.</w:t>
      </w:r>
      <w:r>
        <w:rPr>
          <w:color w:val="231F20"/>
          <w:spacing w:val="-3"/>
          <w:w w:val="96"/>
          <w:sz w:val="17"/>
        </w:rPr>
        <w:t>1</w:t>
      </w:r>
      <w:r>
        <w:rPr>
          <w:color w:val="231F20"/>
          <w:spacing w:val="3"/>
          <w:w w:val="96"/>
          <w:sz w:val="17"/>
        </w:rPr>
        <w:t>0</w:t>
      </w:r>
      <w:r>
        <w:rPr>
          <w:color w:val="231F20"/>
          <w:spacing w:val="4"/>
          <w:w w:val="96"/>
          <w:sz w:val="17"/>
        </w:rPr>
        <w:t>8</w:t>
      </w:r>
      <w:r>
        <w:rPr>
          <w:color w:val="231F20"/>
          <w:spacing w:val="3"/>
          <w:w w:val="96"/>
          <w:sz w:val="17"/>
        </w:rPr>
        <w:t>0</w:t>
      </w:r>
      <w:r>
        <w:rPr>
          <w:color w:val="231F20"/>
          <w:spacing w:val="1"/>
          <w:w w:val="67"/>
          <w:sz w:val="17"/>
        </w:rPr>
        <w:t>/</w:t>
      </w:r>
      <w:r>
        <w:rPr>
          <w:color w:val="231F20"/>
          <w:w w:val="96"/>
          <w:sz w:val="17"/>
        </w:rPr>
        <w:t>0</w:t>
      </w:r>
      <w:r>
        <w:rPr>
          <w:color w:val="231F20"/>
          <w:spacing w:val="1"/>
          <w:w w:val="96"/>
          <w:sz w:val="17"/>
        </w:rPr>
        <w:t>3</w:t>
      </w:r>
      <w:r>
        <w:rPr>
          <w:color w:val="231F20"/>
          <w:spacing w:val="2"/>
          <w:w w:val="96"/>
          <w:sz w:val="17"/>
        </w:rPr>
        <w:t>6</w:t>
      </w:r>
      <w:r>
        <w:rPr>
          <w:color w:val="231F20"/>
          <w:spacing w:val="3"/>
          <w:w w:val="96"/>
          <w:sz w:val="17"/>
        </w:rPr>
        <w:t>3</w:t>
      </w:r>
      <w:r>
        <w:rPr>
          <w:color w:val="231F20"/>
          <w:spacing w:val="1"/>
          <w:w w:val="96"/>
          <w:sz w:val="17"/>
        </w:rPr>
        <w:t>02</w:t>
      </w:r>
      <w:r>
        <w:rPr>
          <w:color w:val="231F20"/>
          <w:spacing w:val="-2"/>
          <w:w w:val="96"/>
          <w:sz w:val="17"/>
        </w:rPr>
        <w:t>4</w:t>
      </w:r>
      <w:r>
        <w:rPr>
          <w:color w:val="231F20"/>
          <w:spacing w:val="6"/>
          <w:w w:val="96"/>
          <w:sz w:val="17"/>
        </w:rPr>
        <w:t>2</w:t>
      </w:r>
      <w:r>
        <w:rPr>
          <w:color w:val="231F20"/>
          <w:spacing w:val="4"/>
          <w:w w:val="142"/>
          <w:sz w:val="17"/>
        </w:rPr>
        <w:t>.</w:t>
      </w:r>
      <w:r>
        <w:rPr>
          <w:color w:val="231F20"/>
          <w:spacing w:val="4"/>
          <w:w w:val="96"/>
          <w:sz w:val="17"/>
        </w:rPr>
        <w:t>2</w:t>
      </w:r>
      <w:r>
        <w:rPr>
          <w:color w:val="231F20"/>
          <w:spacing w:val="-2"/>
          <w:w w:val="96"/>
          <w:sz w:val="17"/>
        </w:rPr>
        <w:t>0</w:t>
      </w:r>
      <w:r>
        <w:rPr>
          <w:color w:val="231F20"/>
          <w:spacing w:val="1"/>
          <w:w w:val="96"/>
          <w:sz w:val="17"/>
        </w:rPr>
        <w:t>1</w:t>
      </w:r>
      <w:r>
        <w:rPr>
          <w:color w:val="231F20"/>
          <w:spacing w:val="-2"/>
          <w:w w:val="108"/>
          <w:sz w:val="17"/>
        </w:rPr>
        <w:t>5</w:t>
      </w:r>
      <w:r>
        <w:rPr>
          <w:color w:val="231F20"/>
          <w:spacing w:val="-6"/>
          <w:w w:val="108"/>
          <w:sz w:val="17"/>
        </w:rPr>
        <w:t>.</w:t>
      </w:r>
      <w:r>
        <w:rPr>
          <w:color w:val="231F20"/>
          <w:spacing w:val="-5"/>
          <w:w w:val="96"/>
          <w:sz w:val="17"/>
        </w:rPr>
        <w:t>1</w:t>
      </w:r>
      <w:r>
        <w:rPr>
          <w:color w:val="231F20"/>
          <w:spacing w:val="-3"/>
          <w:w w:val="96"/>
          <w:sz w:val="17"/>
        </w:rPr>
        <w:t>1</w:t>
      </w:r>
      <w:r>
        <w:rPr>
          <w:color w:val="231F20"/>
          <w:spacing w:val="-2"/>
          <w:w w:val="96"/>
          <w:sz w:val="17"/>
        </w:rPr>
        <w:t>0</w:t>
      </w:r>
      <w:r>
        <w:rPr>
          <w:color w:val="231F20"/>
          <w:spacing w:val="-4"/>
          <w:w w:val="96"/>
          <w:sz w:val="17"/>
        </w:rPr>
        <w:t>1</w:t>
      </w:r>
      <w:r>
        <w:rPr>
          <w:color w:val="231F20"/>
          <w:spacing w:val="-9"/>
          <w:w w:val="96"/>
          <w:sz w:val="17"/>
        </w:rPr>
        <w:t>7</w:t>
      </w:r>
      <w:r>
        <w:rPr>
          <w:color w:val="231F20"/>
          <w:spacing w:val="-2"/>
          <w:w w:val="96"/>
          <w:sz w:val="17"/>
        </w:rPr>
        <w:t>4</w:t>
      </w:r>
      <w:r>
        <w:rPr>
          <w:color w:val="231F20"/>
          <w:spacing w:val="-2"/>
          <w:w w:val="108"/>
          <w:sz w:val="17"/>
        </w:rPr>
        <w:t>5.</w:t>
      </w:r>
    </w:p>
    <w:p w14:paraId="22F02469" w14:textId="77777777" w:rsidR="00AE0598" w:rsidRDefault="0069255A">
      <w:pPr>
        <w:spacing w:before="2"/>
        <w:ind w:left="110"/>
        <w:jc w:val="both"/>
        <w:rPr>
          <w:sz w:val="17"/>
        </w:rPr>
      </w:pPr>
      <w:r>
        <w:rPr>
          <w:color w:val="231F20"/>
          <w:w w:val="95"/>
          <w:sz w:val="17"/>
        </w:rPr>
        <w:t>Spinney,</w:t>
      </w:r>
      <w:r>
        <w:rPr>
          <w:color w:val="231F20"/>
          <w:spacing w:val="3"/>
          <w:sz w:val="17"/>
        </w:rPr>
        <w:t xml:space="preserve"> </w:t>
      </w:r>
      <w:r>
        <w:rPr>
          <w:color w:val="231F20"/>
          <w:w w:val="95"/>
          <w:sz w:val="17"/>
        </w:rPr>
        <w:t>J.</w:t>
      </w:r>
      <w:r>
        <w:rPr>
          <w:color w:val="231F20"/>
          <w:spacing w:val="3"/>
          <w:sz w:val="17"/>
        </w:rPr>
        <w:t xml:space="preserve"> </w:t>
      </w:r>
      <w:r>
        <w:rPr>
          <w:color w:val="231F20"/>
          <w:w w:val="95"/>
          <w:sz w:val="17"/>
        </w:rPr>
        <w:t>(2006)</w:t>
      </w:r>
      <w:r>
        <w:rPr>
          <w:color w:val="231F20"/>
          <w:spacing w:val="3"/>
          <w:sz w:val="17"/>
        </w:rPr>
        <w:t xml:space="preserve"> </w:t>
      </w:r>
      <w:r>
        <w:rPr>
          <w:color w:val="231F20"/>
          <w:w w:val="95"/>
          <w:sz w:val="17"/>
        </w:rPr>
        <w:t>A</w:t>
      </w:r>
      <w:r>
        <w:rPr>
          <w:color w:val="231F20"/>
          <w:spacing w:val="3"/>
          <w:sz w:val="17"/>
        </w:rPr>
        <w:t xml:space="preserve"> </w:t>
      </w:r>
      <w:r>
        <w:rPr>
          <w:color w:val="231F20"/>
          <w:w w:val="95"/>
          <w:sz w:val="17"/>
        </w:rPr>
        <w:t>place</w:t>
      </w:r>
      <w:r>
        <w:rPr>
          <w:color w:val="231F20"/>
          <w:spacing w:val="3"/>
          <w:sz w:val="17"/>
        </w:rPr>
        <w:t xml:space="preserve"> </w:t>
      </w:r>
      <w:r>
        <w:rPr>
          <w:color w:val="231F20"/>
          <w:w w:val="95"/>
          <w:sz w:val="17"/>
        </w:rPr>
        <w:t>of</w:t>
      </w:r>
      <w:r>
        <w:rPr>
          <w:color w:val="231F20"/>
          <w:spacing w:val="3"/>
          <w:sz w:val="17"/>
        </w:rPr>
        <w:t xml:space="preserve"> </w:t>
      </w:r>
      <w:r>
        <w:rPr>
          <w:color w:val="231F20"/>
          <w:w w:val="95"/>
          <w:sz w:val="17"/>
        </w:rPr>
        <w:t>sense:</w:t>
      </w:r>
      <w:r>
        <w:rPr>
          <w:color w:val="231F20"/>
          <w:spacing w:val="3"/>
          <w:sz w:val="17"/>
        </w:rPr>
        <w:t xml:space="preserve"> </w:t>
      </w:r>
      <w:r>
        <w:rPr>
          <w:color w:val="231F20"/>
          <w:w w:val="95"/>
          <w:sz w:val="17"/>
        </w:rPr>
        <w:t>A</w:t>
      </w:r>
      <w:r>
        <w:rPr>
          <w:color w:val="231F20"/>
          <w:spacing w:val="4"/>
          <w:sz w:val="17"/>
        </w:rPr>
        <w:t xml:space="preserve"> </w:t>
      </w:r>
      <w:r>
        <w:rPr>
          <w:color w:val="231F20"/>
          <w:w w:val="95"/>
          <w:sz w:val="17"/>
        </w:rPr>
        <w:t>kinaesthetic</w:t>
      </w:r>
      <w:r>
        <w:rPr>
          <w:color w:val="231F20"/>
          <w:spacing w:val="3"/>
          <w:sz w:val="17"/>
        </w:rPr>
        <w:t xml:space="preserve"> </w:t>
      </w:r>
      <w:r>
        <w:rPr>
          <w:color w:val="231F20"/>
          <w:w w:val="95"/>
          <w:sz w:val="17"/>
        </w:rPr>
        <w:t>ethnography</w:t>
      </w:r>
      <w:r>
        <w:rPr>
          <w:color w:val="231F20"/>
          <w:spacing w:val="3"/>
          <w:sz w:val="17"/>
        </w:rPr>
        <w:t xml:space="preserve"> </w:t>
      </w:r>
      <w:r>
        <w:rPr>
          <w:color w:val="231F20"/>
          <w:w w:val="95"/>
          <w:sz w:val="17"/>
        </w:rPr>
        <w:t>of</w:t>
      </w:r>
      <w:r>
        <w:rPr>
          <w:color w:val="231F20"/>
          <w:spacing w:val="3"/>
          <w:sz w:val="17"/>
        </w:rPr>
        <w:t xml:space="preserve"> </w:t>
      </w:r>
      <w:r>
        <w:rPr>
          <w:color w:val="231F20"/>
          <w:w w:val="95"/>
          <w:sz w:val="17"/>
        </w:rPr>
        <w:t>cyclists</w:t>
      </w:r>
      <w:r>
        <w:rPr>
          <w:color w:val="231F20"/>
          <w:spacing w:val="3"/>
          <w:sz w:val="17"/>
        </w:rPr>
        <w:t xml:space="preserve"> </w:t>
      </w:r>
      <w:r>
        <w:rPr>
          <w:color w:val="231F20"/>
          <w:w w:val="95"/>
          <w:sz w:val="17"/>
        </w:rPr>
        <w:t>on</w:t>
      </w:r>
      <w:r>
        <w:rPr>
          <w:color w:val="231F20"/>
          <w:spacing w:val="3"/>
          <w:sz w:val="17"/>
        </w:rPr>
        <w:t xml:space="preserve"> </w:t>
      </w:r>
      <w:r>
        <w:rPr>
          <w:color w:val="231F20"/>
          <w:w w:val="95"/>
          <w:sz w:val="17"/>
        </w:rPr>
        <w:t>Mont</w:t>
      </w:r>
      <w:r>
        <w:rPr>
          <w:color w:val="231F20"/>
          <w:spacing w:val="3"/>
          <w:sz w:val="17"/>
        </w:rPr>
        <w:t xml:space="preserve"> </w:t>
      </w:r>
      <w:r>
        <w:rPr>
          <w:color w:val="231F20"/>
          <w:spacing w:val="-2"/>
          <w:w w:val="95"/>
          <w:sz w:val="17"/>
        </w:rPr>
        <w:t>Ventoux.</w:t>
      </w:r>
    </w:p>
    <w:p w14:paraId="71B18F4E" w14:textId="77777777" w:rsidR="00AE0598" w:rsidRDefault="0069255A">
      <w:pPr>
        <w:spacing w:before="1"/>
        <w:ind w:left="430"/>
        <w:jc w:val="both"/>
        <w:rPr>
          <w:sz w:val="17"/>
        </w:rPr>
      </w:pPr>
      <w:r>
        <w:rPr>
          <w:i/>
          <w:color w:val="231F20"/>
          <w:sz w:val="17"/>
        </w:rPr>
        <w:t>Environment</w:t>
      </w:r>
      <w:r>
        <w:rPr>
          <w:i/>
          <w:color w:val="231F20"/>
          <w:spacing w:val="2"/>
          <w:sz w:val="17"/>
        </w:rPr>
        <w:t xml:space="preserve"> </w:t>
      </w:r>
      <w:r>
        <w:rPr>
          <w:i/>
          <w:color w:val="231F20"/>
          <w:sz w:val="17"/>
        </w:rPr>
        <w:t>and</w:t>
      </w:r>
      <w:r>
        <w:rPr>
          <w:i/>
          <w:color w:val="231F20"/>
          <w:spacing w:val="3"/>
          <w:sz w:val="17"/>
        </w:rPr>
        <w:t xml:space="preserve"> </w:t>
      </w:r>
      <w:r>
        <w:rPr>
          <w:i/>
          <w:color w:val="231F20"/>
          <w:sz w:val="17"/>
        </w:rPr>
        <w:t>Planning</w:t>
      </w:r>
      <w:r>
        <w:rPr>
          <w:i/>
          <w:color w:val="231F20"/>
          <w:spacing w:val="3"/>
          <w:sz w:val="17"/>
        </w:rPr>
        <w:t xml:space="preserve"> </w:t>
      </w:r>
      <w:r>
        <w:rPr>
          <w:i/>
          <w:color w:val="231F20"/>
          <w:sz w:val="17"/>
        </w:rPr>
        <w:t>D:</w:t>
      </w:r>
      <w:r>
        <w:rPr>
          <w:i/>
          <w:color w:val="231F20"/>
          <w:spacing w:val="3"/>
          <w:sz w:val="17"/>
        </w:rPr>
        <w:t xml:space="preserve"> </w:t>
      </w:r>
      <w:r>
        <w:rPr>
          <w:i/>
          <w:color w:val="231F20"/>
          <w:sz w:val="17"/>
        </w:rPr>
        <w:t>Society</w:t>
      </w:r>
      <w:r>
        <w:rPr>
          <w:i/>
          <w:color w:val="231F20"/>
          <w:spacing w:val="3"/>
          <w:sz w:val="17"/>
        </w:rPr>
        <w:t xml:space="preserve"> </w:t>
      </w:r>
      <w:r>
        <w:rPr>
          <w:i/>
          <w:color w:val="231F20"/>
          <w:sz w:val="17"/>
        </w:rPr>
        <w:t>and</w:t>
      </w:r>
      <w:r>
        <w:rPr>
          <w:i/>
          <w:color w:val="231F20"/>
          <w:spacing w:val="3"/>
          <w:sz w:val="17"/>
        </w:rPr>
        <w:t xml:space="preserve"> </w:t>
      </w:r>
      <w:r>
        <w:rPr>
          <w:i/>
          <w:color w:val="231F20"/>
          <w:sz w:val="17"/>
        </w:rPr>
        <w:t>Space</w:t>
      </w:r>
      <w:r>
        <w:rPr>
          <w:i/>
          <w:color w:val="231F20"/>
          <w:spacing w:val="2"/>
          <w:sz w:val="17"/>
        </w:rPr>
        <w:t xml:space="preserve"> </w:t>
      </w:r>
      <w:r>
        <w:rPr>
          <w:color w:val="231F20"/>
          <w:sz w:val="17"/>
        </w:rPr>
        <w:t>24</w:t>
      </w:r>
      <w:r>
        <w:rPr>
          <w:color w:val="231F20"/>
          <w:spacing w:val="3"/>
          <w:sz w:val="17"/>
        </w:rPr>
        <w:t xml:space="preserve"> </w:t>
      </w:r>
      <w:r>
        <w:rPr>
          <w:color w:val="231F20"/>
          <w:sz w:val="17"/>
        </w:rPr>
        <w:t>(5),</w:t>
      </w:r>
      <w:r>
        <w:rPr>
          <w:color w:val="231F20"/>
          <w:spacing w:val="3"/>
          <w:sz w:val="17"/>
        </w:rPr>
        <w:t xml:space="preserve"> </w:t>
      </w:r>
      <w:r>
        <w:rPr>
          <w:color w:val="231F20"/>
          <w:spacing w:val="-2"/>
          <w:sz w:val="17"/>
        </w:rPr>
        <w:t>707–732.</w:t>
      </w:r>
    </w:p>
    <w:p w14:paraId="43D3A842" w14:textId="77777777" w:rsidR="00AE0598" w:rsidRDefault="0069255A">
      <w:pPr>
        <w:spacing w:before="1"/>
        <w:ind w:left="430" w:hanging="320"/>
        <w:rPr>
          <w:sz w:val="17"/>
        </w:rPr>
      </w:pPr>
      <w:r>
        <w:rPr>
          <w:color w:val="231F20"/>
          <w:sz w:val="17"/>
        </w:rPr>
        <w:t>Spivack, S.E. (1998) Health spa</w:t>
      </w:r>
      <w:r>
        <w:rPr>
          <w:color w:val="231F20"/>
          <w:spacing w:val="-1"/>
          <w:sz w:val="17"/>
        </w:rPr>
        <w:t xml:space="preserve"> </w:t>
      </w:r>
      <w:r>
        <w:rPr>
          <w:color w:val="231F20"/>
          <w:sz w:val="17"/>
        </w:rPr>
        <w:t>development</w:t>
      </w:r>
      <w:r>
        <w:rPr>
          <w:color w:val="231F20"/>
          <w:spacing w:val="-1"/>
          <w:sz w:val="17"/>
        </w:rPr>
        <w:t xml:space="preserve"> </w:t>
      </w:r>
      <w:r>
        <w:rPr>
          <w:color w:val="231F20"/>
          <w:sz w:val="17"/>
        </w:rPr>
        <w:t>in the</w:t>
      </w:r>
      <w:r>
        <w:rPr>
          <w:color w:val="231F20"/>
          <w:spacing w:val="-1"/>
          <w:sz w:val="17"/>
        </w:rPr>
        <w:t xml:space="preserve"> </w:t>
      </w:r>
      <w:r>
        <w:rPr>
          <w:color w:val="231F20"/>
          <w:sz w:val="17"/>
        </w:rPr>
        <w:t>US:</w:t>
      </w:r>
      <w:r>
        <w:rPr>
          <w:color w:val="231F20"/>
          <w:spacing w:val="-1"/>
          <w:sz w:val="17"/>
        </w:rPr>
        <w:t xml:space="preserve"> </w:t>
      </w:r>
      <w:r>
        <w:rPr>
          <w:color w:val="231F20"/>
          <w:sz w:val="17"/>
        </w:rPr>
        <w:t>A</w:t>
      </w:r>
      <w:r>
        <w:rPr>
          <w:color w:val="231F20"/>
          <w:spacing w:val="-1"/>
          <w:sz w:val="17"/>
        </w:rPr>
        <w:t xml:space="preserve"> </w:t>
      </w:r>
      <w:r>
        <w:rPr>
          <w:color w:val="231F20"/>
          <w:sz w:val="17"/>
        </w:rPr>
        <w:t>burgeoning</w:t>
      </w:r>
      <w:r>
        <w:rPr>
          <w:color w:val="231F20"/>
          <w:spacing w:val="-1"/>
          <w:sz w:val="17"/>
        </w:rPr>
        <w:t xml:space="preserve"> </w:t>
      </w:r>
      <w:r>
        <w:rPr>
          <w:color w:val="231F20"/>
          <w:sz w:val="17"/>
        </w:rPr>
        <w:t>component</w:t>
      </w:r>
      <w:r>
        <w:rPr>
          <w:color w:val="231F20"/>
          <w:spacing w:val="-1"/>
          <w:sz w:val="17"/>
        </w:rPr>
        <w:t xml:space="preserve"> </w:t>
      </w:r>
      <w:r>
        <w:rPr>
          <w:color w:val="231F20"/>
          <w:sz w:val="17"/>
        </w:rPr>
        <w:t>of</w:t>
      </w:r>
      <w:r>
        <w:rPr>
          <w:color w:val="231F20"/>
          <w:spacing w:val="-1"/>
          <w:sz w:val="17"/>
        </w:rPr>
        <w:t xml:space="preserve"> </w:t>
      </w:r>
      <w:r>
        <w:rPr>
          <w:color w:val="231F20"/>
          <w:sz w:val="17"/>
        </w:rPr>
        <w:t>sport</w:t>
      </w:r>
      <w:r>
        <w:rPr>
          <w:color w:val="231F20"/>
          <w:spacing w:val="40"/>
          <w:sz w:val="17"/>
        </w:rPr>
        <w:t xml:space="preserve"> </w:t>
      </w:r>
      <w:r>
        <w:rPr>
          <w:color w:val="231F20"/>
          <w:sz w:val="17"/>
        </w:rPr>
        <w:t xml:space="preserve">tourism. </w:t>
      </w:r>
      <w:r>
        <w:rPr>
          <w:i/>
          <w:color w:val="231F20"/>
          <w:sz w:val="17"/>
        </w:rPr>
        <w:t xml:space="preserve">Journal of Vacation Marketing </w:t>
      </w:r>
      <w:r>
        <w:rPr>
          <w:color w:val="231F20"/>
          <w:sz w:val="17"/>
        </w:rPr>
        <w:t>4, 65–77.</w:t>
      </w:r>
    </w:p>
    <w:p w14:paraId="29EACECF" w14:textId="77777777" w:rsidR="00AE0598" w:rsidRDefault="0069255A">
      <w:pPr>
        <w:spacing w:before="1"/>
        <w:ind w:left="430" w:right="286" w:hanging="320"/>
        <w:rPr>
          <w:sz w:val="17"/>
        </w:rPr>
      </w:pPr>
      <w:r>
        <w:rPr>
          <w:color w:val="231F20"/>
          <w:w w:val="95"/>
          <w:sz w:val="17"/>
        </w:rPr>
        <w:t>Sport</w:t>
      </w:r>
      <w:r>
        <w:rPr>
          <w:color w:val="231F20"/>
          <w:sz w:val="17"/>
        </w:rPr>
        <w:t xml:space="preserve"> </w:t>
      </w:r>
      <w:r>
        <w:rPr>
          <w:color w:val="231F20"/>
          <w:w w:val="95"/>
          <w:sz w:val="17"/>
        </w:rPr>
        <w:t>Tourism</w:t>
      </w:r>
      <w:r>
        <w:rPr>
          <w:color w:val="231F20"/>
          <w:sz w:val="17"/>
        </w:rPr>
        <w:t xml:space="preserve"> </w:t>
      </w:r>
      <w:r>
        <w:rPr>
          <w:color w:val="231F20"/>
          <w:w w:val="95"/>
          <w:sz w:val="17"/>
        </w:rPr>
        <w:t>International</w:t>
      </w:r>
      <w:r>
        <w:rPr>
          <w:color w:val="231F20"/>
          <w:sz w:val="17"/>
        </w:rPr>
        <w:t xml:space="preserve"> </w:t>
      </w:r>
      <w:r>
        <w:rPr>
          <w:color w:val="231F20"/>
          <w:w w:val="95"/>
          <w:sz w:val="17"/>
        </w:rPr>
        <w:t>Council</w:t>
      </w:r>
      <w:r>
        <w:rPr>
          <w:color w:val="231F20"/>
          <w:sz w:val="17"/>
        </w:rPr>
        <w:t xml:space="preserve"> </w:t>
      </w:r>
      <w:r>
        <w:rPr>
          <w:color w:val="231F20"/>
          <w:w w:val="95"/>
          <w:sz w:val="17"/>
        </w:rPr>
        <w:t>(1995)</w:t>
      </w:r>
      <w:r>
        <w:rPr>
          <w:color w:val="231F20"/>
          <w:sz w:val="17"/>
        </w:rPr>
        <w:t xml:space="preserve"> </w:t>
      </w:r>
      <w:r>
        <w:rPr>
          <w:color w:val="231F20"/>
          <w:w w:val="95"/>
          <w:sz w:val="17"/>
        </w:rPr>
        <w:t>Sport</w:t>
      </w:r>
      <w:r>
        <w:rPr>
          <w:color w:val="231F20"/>
          <w:sz w:val="17"/>
        </w:rPr>
        <w:t xml:space="preserve"> </w:t>
      </w:r>
      <w:r>
        <w:rPr>
          <w:color w:val="231F20"/>
          <w:w w:val="95"/>
          <w:sz w:val="17"/>
        </w:rPr>
        <w:t>tourism</w:t>
      </w:r>
      <w:r>
        <w:rPr>
          <w:color w:val="231F20"/>
          <w:sz w:val="17"/>
        </w:rPr>
        <w:t xml:space="preserve"> </w:t>
      </w:r>
      <w:r>
        <w:rPr>
          <w:color w:val="231F20"/>
          <w:w w:val="95"/>
          <w:sz w:val="17"/>
        </w:rPr>
        <w:t>categories</w:t>
      </w:r>
      <w:r>
        <w:rPr>
          <w:color w:val="231F20"/>
          <w:sz w:val="17"/>
        </w:rPr>
        <w:t xml:space="preserve"> </w:t>
      </w:r>
      <w:r>
        <w:rPr>
          <w:color w:val="231F20"/>
          <w:w w:val="95"/>
          <w:sz w:val="17"/>
        </w:rPr>
        <w:t>revisited.</w:t>
      </w:r>
      <w:r>
        <w:rPr>
          <w:color w:val="231F20"/>
          <w:sz w:val="17"/>
        </w:rPr>
        <w:t xml:space="preserve"> </w:t>
      </w:r>
      <w:r>
        <w:rPr>
          <w:i/>
          <w:color w:val="231F20"/>
          <w:w w:val="95"/>
          <w:sz w:val="17"/>
        </w:rPr>
        <w:t>Journal</w:t>
      </w:r>
      <w:r>
        <w:rPr>
          <w:i/>
          <w:color w:val="231F20"/>
          <w:sz w:val="17"/>
        </w:rPr>
        <w:t xml:space="preserve"> </w:t>
      </w:r>
      <w:r>
        <w:rPr>
          <w:i/>
          <w:color w:val="231F20"/>
          <w:w w:val="95"/>
          <w:sz w:val="17"/>
        </w:rPr>
        <w:t>of</w:t>
      </w:r>
      <w:r>
        <w:rPr>
          <w:i/>
          <w:color w:val="231F20"/>
          <w:spacing w:val="80"/>
          <w:w w:val="150"/>
          <w:sz w:val="17"/>
        </w:rPr>
        <w:t xml:space="preserve"> </w:t>
      </w:r>
      <w:r>
        <w:rPr>
          <w:i/>
          <w:color w:val="231F20"/>
          <w:sz w:val="17"/>
        </w:rPr>
        <w:t xml:space="preserve">Sport Tourism </w:t>
      </w:r>
      <w:r>
        <w:rPr>
          <w:color w:val="231F20"/>
          <w:sz w:val="17"/>
        </w:rPr>
        <w:t>2 (3), 1–4.</w:t>
      </w:r>
    </w:p>
    <w:p w14:paraId="300CA514" w14:textId="77777777" w:rsidR="00AE0598" w:rsidRDefault="0069255A">
      <w:pPr>
        <w:spacing w:before="2"/>
        <w:ind w:left="430" w:hanging="320"/>
        <w:rPr>
          <w:sz w:val="17"/>
        </w:rPr>
      </w:pPr>
      <w:r>
        <w:rPr>
          <w:color w:val="231F20"/>
          <w:sz w:val="17"/>
        </w:rPr>
        <w:t>Sport</w:t>
      </w:r>
      <w:r>
        <w:rPr>
          <w:color w:val="231F20"/>
          <w:spacing w:val="12"/>
          <w:sz w:val="17"/>
        </w:rPr>
        <w:t xml:space="preserve"> </w:t>
      </w:r>
      <w:r>
        <w:rPr>
          <w:color w:val="231F20"/>
          <w:sz w:val="17"/>
        </w:rPr>
        <w:t>Tourism</w:t>
      </w:r>
      <w:r>
        <w:rPr>
          <w:color w:val="231F20"/>
          <w:spacing w:val="12"/>
          <w:sz w:val="17"/>
        </w:rPr>
        <w:t xml:space="preserve"> </w:t>
      </w:r>
      <w:r>
        <w:rPr>
          <w:color w:val="231F20"/>
          <w:sz w:val="17"/>
        </w:rPr>
        <w:t>International</w:t>
      </w:r>
      <w:r>
        <w:rPr>
          <w:color w:val="231F20"/>
          <w:spacing w:val="12"/>
          <w:sz w:val="17"/>
        </w:rPr>
        <w:t xml:space="preserve"> </w:t>
      </w:r>
      <w:r>
        <w:rPr>
          <w:color w:val="231F20"/>
          <w:sz w:val="17"/>
        </w:rPr>
        <w:t>Council</w:t>
      </w:r>
      <w:r>
        <w:rPr>
          <w:color w:val="231F20"/>
          <w:spacing w:val="12"/>
          <w:sz w:val="17"/>
        </w:rPr>
        <w:t xml:space="preserve"> </w:t>
      </w:r>
      <w:r>
        <w:rPr>
          <w:color w:val="231F20"/>
          <w:sz w:val="17"/>
        </w:rPr>
        <w:t>(1998)</w:t>
      </w:r>
      <w:r>
        <w:rPr>
          <w:color w:val="231F20"/>
          <w:spacing w:val="12"/>
          <w:sz w:val="17"/>
        </w:rPr>
        <w:t xml:space="preserve"> </w:t>
      </w:r>
      <w:r>
        <w:rPr>
          <w:color w:val="231F20"/>
          <w:sz w:val="17"/>
        </w:rPr>
        <w:t>Case</w:t>
      </w:r>
      <w:r>
        <w:rPr>
          <w:color w:val="231F20"/>
          <w:spacing w:val="12"/>
          <w:sz w:val="17"/>
        </w:rPr>
        <w:t xml:space="preserve"> </w:t>
      </w:r>
      <w:r>
        <w:rPr>
          <w:color w:val="231F20"/>
          <w:sz w:val="17"/>
        </w:rPr>
        <w:t>study</w:t>
      </w:r>
      <w:r>
        <w:rPr>
          <w:color w:val="231F20"/>
          <w:spacing w:val="12"/>
          <w:sz w:val="17"/>
        </w:rPr>
        <w:t xml:space="preserve"> </w:t>
      </w:r>
      <w:r>
        <w:rPr>
          <w:color w:val="231F20"/>
          <w:sz w:val="17"/>
        </w:rPr>
        <w:t>of</w:t>
      </w:r>
      <w:r>
        <w:rPr>
          <w:color w:val="231F20"/>
          <w:spacing w:val="12"/>
          <w:sz w:val="17"/>
        </w:rPr>
        <w:t xml:space="preserve"> </w:t>
      </w:r>
      <w:r>
        <w:rPr>
          <w:color w:val="231F20"/>
          <w:sz w:val="17"/>
        </w:rPr>
        <w:t>a</w:t>
      </w:r>
      <w:r>
        <w:rPr>
          <w:color w:val="231F20"/>
          <w:spacing w:val="12"/>
          <w:sz w:val="17"/>
        </w:rPr>
        <w:t xml:space="preserve"> </w:t>
      </w:r>
      <w:r>
        <w:rPr>
          <w:color w:val="231F20"/>
          <w:sz w:val="17"/>
        </w:rPr>
        <w:t>sports</w:t>
      </w:r>
      <w:r>
        <w:rPr>
          <w:color w:val="231F20"/>
          <w:spacing w:val="12"/>
          <w:sz w:val="17"/>
        </w:rPr>
        <w:t xml:space="preserve"> </w:t>
      </w:r>
      <w:r>
        <w:rPr>
          <w:color w:val="231F20"/>
          <w:sz w:val="17"/>
        </w:rPr>
        <w:t>tourism</w:t>
      </w:r>
      <w:r>
        <w:rPr>
          <w:color w:val="231F20"/>
          <w:spacing w:val="12"/>
          <w:sz w:val="17"/>
        </w:rPr>
        <w:t xml:space="preserve"> </w:t>
      </w:r>
      <w:r>
        <w:rPr>
          <w:color w:val="231F20"/>
          <w:sz w:val="17"/>
        </w:rPr>
        <w:t>destination:</w:t>
      </w:r>
      <w:r>
        <w:rPr>
          <w:color w:val="231F20"/>
          <w:spacing w:val="40"/>
          <w:sz w:val="17"/>
        </w:rPr>
        <w:t xml:space="preserve"> </w:t>
      </w:r>
      <w:r>
        <w:rPr>
          <w:color w:val="231F20"/>
          <w:sz w:val="17"/>
        </w:rPr>
        <w:t xml:space="preserve">Lake Placid and region. </w:t>
      </w:r>
      <w:r>
        <w:rPr>
          <w:i/>
          <w:color w:val="231F20"/>
          <w:sz w:val="17"/>
        </w:rPr>
        <w:t xml:space="preserve">Journal of Sport Tourism </w:t>
      </w:r>
      <w:r>
        <w:rPr>
          <w:color w:val="231F20"/>
          <w:sz w:val="17"/>
        </w:rPr>
        <w:t>4 (4), 36–38.</w:t>
      </w:r>
    </w:p>
    <w:p w14:paraId="7025CDD9" w14:textId="77777777" w:rsidR="00AE0598" w:rsidRDefault="0069255A">
      <w:pPr>
        <w:spacing w:before="1"/>
        <w:ind w:left="110"/>
        <w:rPr>
          <w:sz w:val="17"/>
        </w:rPr>
      </w:pPr>
      <w:r>
        <w:rPr>
          <w:color w:val="231F20"/>
          <w:w w:val="95"/>
          <w:sz w:val="17"/>
        </w:rPr>
        <w:t>Spracklen,</w:t>
      </w:r>
      <w:r>
        <w:rPr>
          <w:color w:val="231F20"/>
          <w:spacing w:val="24"/>
          <w:sz w:val="17"/>
        </w:rPr>
        <w:t xml:space="preserve"> </w:t>
      </w:r>
      <w:r>
        <w:rPr>
          <w:color w:val="231F20"/>
          <w:w w:val="95"/>
          <w:sz w:val="17"/>
        </w:rPr>
        <w:t>K.</w:t>
      </w:r>
      <w:r>
        <w:rPr>
          <w:color w:val="231F20"/>
          <w:spacing w:val="25"/>
          <w:sz w:val="17"/>
        </w:rPr>
        <w:t xml:space="preserve"> </w:t>
      </w:r>
      <w:r>
        <w:rPr>
          <w:color w:val="231F20"/>
          <w:w w:val="95"/>
          <w:sz w:val="17"/>
        </w:rPr>
        <w:t>(2013)</w:t>
      </w:r>
      <w:r>
        <w:rPr>
          <w:color w:val="231F20"/>
          <w:spacing w:val="25"/>
          <w:sz w:val="17"/>
        </w:rPr>
        <w:t xml:space="preserve"> </w:t>
      </w:r>
      <w:r>
        <w:rPr>
          <w:i/>
          <w:color w:val="231F20"/>
          <w:w w:val="95"/>
          <w:sz w:val="17"/>
        </w:rPr>
        <w:t>Leisure,</w:t>
      </w:r>
      <w:r>
        <w:rPr>
          <w:i/>
          <w:color w:val="231F20"/>
          <w:spacing w:val="25"/>
          <w:sz w:val="17"/>
        </w:rPr>
        <w:t xml:space="preserve"> </w:t>
      </w:r>
      <w:r>
        <w:rPr>
          <w:i/>
          <w:color w:val="231F20"/>
          <w:w w:val="95"/>
          <w:sz w:val="17"/>
        </w:rPr>
        <w:t>Sports</w:t>
      </w:r>
      <w:r>
        <w:rPr>
          <w:i/>
          <w:color w:val="231F20"/>
          <w:spacing w:val="25"/>
          <w:sz w:val="17"/>
        </w:rPr>
        <w:t xml:space="preserve"> </w:t>
      </w:r>
      <w:r>
        <w:rPr>
          <w:i/>
          <w:color w:val="231F20"/>
          <w:w w:val="95"/>
          <w:sz w:val="17"/>
        </w:rPr>
        <w:t>&amp;</w:t>
      </w:r>
      <w:r>
        <w:rPr>
          <w:i/>
          <w:color w:val="231F20"/>
          <w:spacing w:val="25"/>
          <w:sz w:val="17"/>
        </w:rPr>
        <w:t xml:space="preserve"> </w:t>
      </w:r>
      <w:r>
        <w:rPr>
          <w:i/>
          <w:color w:val="231F20"/>
          <w:w w:val="95"/>
          <w:sz w:val="17"/>
        </w:rPr>
        <w:t>Society</w:t>
      </w:r>
      <w:r>
        <w:rPr>
          <w:color w:val="231F20"/>
          <w:w w:val="95"/>
          <w:sz w:val="17"/>
        </w:rPr>
        <w:t>.</w:t>
      </w:r>
      <w:r>
        <w:rPr>
          <w:color w:val="231F20"/>
          <w:spacing w:val="25"/>
          <w:sz w:val="17"/>
        </w:rPr>
        <w:t xml:space="preserve"> </w:t>
      </w:r>
      <w:r>
        <w:rPr>
          <w:color w:val="231F20"/>
          <w:w w:val="95"/>
          <w:sz w:val="17"/>
        </w:rPr>
        <w:t>Basingstoke:</w:t>
      </w:r>
      <w:r>
        <w:rPr>
          <w:color w:val="231F20"/>
          <w:spacing w:val="25"/>
          <w:sz w:val="17"/>
        </w:rPr>
        <w:t xml:space="preserve"> </w:t>
      </w:r>
      <w:r>
        <w:rPr>
          <w:color w:val="231F20"/>
          <w:w w:val="95"/>
          <w:sz w:val="17"/>
        </w:rPr>
        <w:t>Palgrave</w:t>
      </w:r>
      <w:r>
        <w:rPr>
          <w:color w:val="231F20"/>
          <w:spacing w:val="25"/>
          <w:sz w:val="17"/>
        </w:rPr>
        <w:t xml:space="preserve"> </w:t>
      </w:r>
      <w:r>
        <w:rPr>
          <w:color w:val="231F20"/>
          <w:spacing w:val="-2"/>
          <w:w w:val="95"/>
          <w:sz w:val="17"/>
        </w:rPr>
        <w:t>Macmillan.</w:t>
      </w:r>
    </w:p>
    <w:p w14:paraId="7556F903" w14:textId="77777777" w:rsidR="00AE0598" w:rsidRDefault="0069255A">
      <w:pPr>
        <w:spacing w:before="1"/>
        <w:ind w:left="430" w:hanging="320"/>
        <w:rPr>
          <w:sz w:val="17"/>
        </w:rPr>
      </w:pPr>
      <w:r>
        <w:rPr>
          <w:color w:val="231F20"/>
          <w:sz w:val="17"/>
        </w:rPr>
        <w:t xml:space="preserve">Spurr, R. (1999) Tourism. In R. Cashman and A. Hughes (eds) </w:t>
      </w:r>
      <w:r>
        <w:rPr>
          <w:i/>
          <w:color w:val="231F20"/>
          <w:sz w:val="17"/>
        </w:rPr>
        <w:t>Staging the Olympics: The</w:t>
      </w:r>
      <w:r>
        <w:rPr>
          <w:i/>
          <w:color w:val="231F20"/>
          <w:spacing w:val="40"/>
          <w:sz w:val="17"/>
        </w:rPr>
        <w:t xml:space="preserve"> </w:t>
      </w:r>
      <w:r>
        <w:rPr>
          <w:i/>
          <w:color w:val="231F20"/>
          <w:sz w:val="17"/>
        </w:rPr>
        <w:t xml:space="preserve">Event and its Impact </w:t>
      </w:r>
      <w:r>
        <w:rPr>
          <w:color w:val="231F20"/>
          <w:sz w:val="17"/>
        </w:rPr>
        <w:t>(pp. 148–156). Sydney: UNSW Press.</w:t>
      </w:r>
    </w:p>
    <w:p w14:paraId="249BD99C" w14:textId="77777777" w:rsidR="00AE0598" w:rsidRDefault="0069255A">
      <w:pPr>
        <w:spacing w:before="1"/>
        <w:ind w:left="110"/>
        <w:rPr>
          <w:sz w:val="17"/>
        </w:rPr>
      </w:pPr>
      <w:r>
        <w:rPr>
          <w:color w:val="231F20"/>
          <w:sz w:val="17"/>
        </w:rPr>
        <w:t xml:space="preserve">Standeven, </w:t>
      </w:r>
      <w:r>
        <w:rPr>
          <w:color w:val="231F20"/>
          <w:w w:val="110"/>
          <w:sz w:val="17"/>
        </w:rPr>
        <w:t xml:space="preserve">J. </w:t>
      </w:r>
      <w:r>
        <w:rPr>
          <w:color w:val="231F20"/>
          <w:sz w:val="17"/>
        </w:rPr>
        <w:t xml:space="preserve">and De Knop, P. (1999) </w:t>
      </w:r>
      <w:r>
        <w:rPr>
          <w:i/>
          <w:color w:val="231F20"/>
          <w:sz w:val="17"/>
        </w:rPr>
        <w:t>Sport Tourism</w:t>
      </w:r>
      <w:r>
        <w:rPr>
          <w:color w:val="231F20"/>
          <w:sz w:val="17"/>
        </w:rPr>
        <w:t>. Ch</w:t>
      </w:r>
      <w:r>
        <w:rPr>
          <w:color w:val="231F20"/>
          <w:sz w:val="17"/>
        </w:rPr>
        <w:t>ampaign, IL: Human Kinetics.</w:t>
      </w:r>
      <w:r>
        <w:rPr>
          <w:color w:val="231F20"/>
          <w:spacing w:val="40"/>
          <w:sz w:val="17"/>
        </w:rPr>
        <w:t xml:space="preserve"> </w:t>
      </w:r>
      <w:r>
        <w:rPr>
          <w:color w:val="231F20"/>
          <w:sz w:val="17"/>
        </w:rPr>
        <w:t>Stanley,</w:t>
      </w:r>
      <w:r>
        <w:rPr>
          <w:color w:val="231F20"/>
          <w:spacing w:val="9"/>
          <w:w w:val="110"/>
          <w:sz w:val="17"/>
        </w:rPr>
        <w:t xml:space="preserve"> </w:t>
      </w:r>
      <w:r>
        <w:rPr>
          <w:color w:val="231F20"/>
          <w:w w:val="110"/>
          <w:sz w:val="17"/>
        </w:rPr>
        <w:t>D.</w:t>
      </w:r>
      <w:r>
        <w:rPr>
          <w:color w:val="231F20"/>
          <w:spacing w:val="10"/>
          <w:w w:val="110"/>
          <w:sz w:val="17"/>
        </w:rPr>
        <w:t xml:space="preserve"> </w:t>
      </w:r>
      <w:r>
        <w:rPr>
          <w:color w:val="231F20"/>
          <w:sz w:val="17"/>
        </w:rPr>
        <w:t>and</w:t>
      </w:r>
      <w:r>
        <w:rPr>
          <w:color w:val="231F20"/>
          <w:spacing w:val="14"/>
          <w:sz w:val="17"/>
        </w:rPr>
        <w:t xml:space="preserve"> </w:t>
      </w:r>
      <w:r>
        <w:rPr>
          <w:color w:val="231F20"/>
          <w:sz w:val="17"/>
        </w:rPr>
        <w:t>Moore,</w:t>
      </w:r>
      <w:r>
        <w:rPr>
          <w:color w:val="231F20"/>
          <w:spacing w:val="14"/>
          <w:sz w:val="17"/>
        </w:rPr>
        <w:t xml:space="preserve"> </w:t>
      </w:r>
      <w:r>
        <w:rPr>
          <w:color w:val="231F20"/>
          <w:sz w:val="17"/>
        </w:rPr>
        <w:t>S.</w:t>
      </w:r>
      <w:r>
        <w:rPr>
          <w:color w:val="231F20"/>
          <w:spacing w:val="13"/>
          <w:sz w:val="17"/>
        </w:rPr>
        <w:t xml:space="preserve"> </w:t>
      </w:r>
      <w:r>
        <w:rPr>
          <w:color w:val="231F20"/>
          <w:sz w:val="17"/>
        </w:rPr>
        <w:t>(1997)</w:t>
      </w:r>
      <w:r>
        <w:rPr>
          <w:color w:val="231F20"/>
          <w:spacing w:val="14"/>
          <w:sz w:val="17"/>
        </w:rPr>
        <w:t xml:space="preserve"> </w:t>
      </w:r>
      <w:r>
        <w:rPr>
          <w:color w:val="231F20"/>
          <w:sz w:val="17"/>
        </w:rPr>
        <w:t>Counting</w:t>
      </w:r>
      <w:r>
        <w:rPr>
          <w:color w:val="231F20"/>
          <w:spacing w:val="14"/>
          <w:sz w:val="17"/>
        </w:rPr>
        <w:t xml:space="preserve"> </w:t>
      </w:r>
      <w:r>
        <w:rPr>
          <w:color w:val="231F20"/>
          <w:sz w:val="17"/>
        </w:rPr>
        <w:t>the</w:t>
      </w:r>
      <w:r>
        <w:rPr>
          <w:color w:val="231F20"/>
          <w:spacing w:val="13"/>
          <w:sz w:val="17"/>
        </w:rPr>
        <w:t xml:space="preserve"> </w:t>
      </w:r>
      <w:r>
        <w:rPr>
          <w:color w:val="231F20"/>
          <w:sz w:val="17"/>
        </w:rPr>
        <w:t>leaves:</w:t>
      </w:r>
      <w:r>
        <w:rPr>
          <w:color w:val="231F20"/>
          <w:spacing w:val="14"/>
          <w:sz w:val="17"/>
        </w:rPr>
        <w:t xml:space="preserve"> </w:t>
      </w:r>
      <w:r>
        <w:rPr>
          <w:color w:val="231F20"/>
          <w:sz w:val="17"/>
        </w:rPr>
        <w:t>The</w:t>
      </w:r>
      <w:r>
        <w:rPr>
          <w:color w:val="231F20"/>
          <w:spacing w:val="14"/>
          <w:sz w:val="17"/>
        </w:rPr>
        <w:t xml:space="preserve"> </w:t>
      </w:r>
      <w:r>
        <w:rPr>
          <w:color w:val="231F20"/>
          <w:sz w:val="17"/>
        </w:rPr>
        <w:t>dimensions</w:t>
      </w:r>
      <w:r>
        <w:rPr>
          <w:color w:val="231F20"/>
          <w:spacing w:val="13"/>
          <w:sz w:val="17"/>
        </w:rPr>
        <w:t xml:space="preserve"> </w:t>
      </w:r>
      <w:r>
        <w:rPr>
          <w:color w:val="231F20"/>
          <w:sz w:val="17"/>
        </w:rPr>
        <w:t>of</w:t>
      </w:r>
      <w:r>
        <w:rPr>
          <w:color w:val="231F20"/>
          <w:spacing w:val="14"/>
          <w:sz w:val="17"/>
        </w:rPr>
        <w:t xml:space="preserve"> </w:t>
      </w:r>
      <w:r>
        <w:rPr>
          <w:color w:val="231F20"/>
          <w:sz w:val="17"/>
        </w:rPr>
        <w:t>seasonality</w:t>
      </w:r>
      <w:r>
        <w:rPr>
          <w:color w:val="231F20"/>
          <w:spacing w:val="14"/>
          <w:sz w:val="17"/>
        </w:rPr>
        <w:t xml:space="preserve"> </w:t>
      </w:r>
      <w:r>
        <w:rPr>
          <w:color w:val="231F20"/>
          <w:spacing w:val="-5"/>
          <w:sz w:val="17"/>
        </w:rPr>
        <w:t>in</w:t>
      </w:r>
    </w:p>
    <w:p w14:paraId="09F7F058" w14:textId="77777777" w:rsidR="00AE0598" w:rsidRDefault="0069255A">
      <w:pPr>
        <w:spacing w:before="1"/>
        <w:ind w:left="430"/>
        <w:rPr>
          <w:sz w:val="17"/>
        </w:rPr>
      </w:pPr>
      <w:r>
        <w:rPr>
          <w:color w:val="231F20"/>
          <w:sz w:val="17"/>
        </w:rPr>
        <w:t>Canadian</w:t>
      </w:r>
      <w:r>
        <w:rPr>
          <w:color w:val="231F20"/>
          <w:spacing w:val="23"/>
          <w:sz w:val="17"/>
        </w:rPr>
        <w:t xml:space="preserve"> </w:t>
      </w:r>
      <w:r>
        <w:rPr>
          <w:color w:val="231F20"/>
          <w:sz w:val="17"/>
        </w:rPr>
        <w:t>tourism.</w:t>
      </w:r>
      <w:r>
        <w:rPr>
          <w:color w:val="231F20"/>
          <w:spacing w:val="23"/>
          <w:sz w:val="17"/>
        </w:rPr>
        <w:t xml:space="preserve"> </w:t>
      </w:r>
      <w:r>
        <w:rPr>
          <w:color w:val="231F20"/>
          <w:sz w:val="17"/>
        </w:rPr>
        <w:t>Paper</w:t>
      </w:r>
      <w:r>
        <w:rPr>
          <w:color w:val="231F20"/>
          <w:spacing w:val="23"/>
          <w:sz w:val="17"/>
        </w:rPr>
        <w:t xml:space="preserve"> </w:t>
      </w:r>
      <w:r>
        <w:rPr>
          <w:color w:val="231F20"/>
          <w:sz w:val="17"/>
        </w:rPr>
        <w:t>presented</w:t>
      </w:r>
      <w:r>
        <w:rPr>
          <w:color w:val="231F20"/>
          <w:spacing w:val="23"/>
          <w:sz w:val="17"/>
        </w:rPr>
        <w:t xml:space="preserve"> </w:t>
      </w:r>
      <w:r>
        <w:rPr>
          <w:color w:val="231F20"/>
          <w:sz w:val="17"/>
        </w:rPr>
        <w:t>at</w:t>
      </w:r>
      <w:r>
        <w:rPr>
          <w:color w:val="231F20"/>
          <w:spacing w:val="23"/>
          <w:sz w:val="17"/>
        </w:rPr>
        <w:t xml:space="preserve"> </w:t>
      </w:r>
      <w:r>
        <w:rPr>
          <w:color w:val="231F20"/>
          <w:sz w:val="17"/>
        </w:rPr>
        <w:t>the</w:t>
      </w:r>
      <w:r>
        <w:rPr>
          <w:color w:val="231F20"/>
          <w:spacing w:val="23"/>
          <w:sz w:val="17"/>
        </w:rPr>
        <w:t xml:space="preserve"> </w:t>
      </w:r>
      <w:r>
        <w:rPr>
          <w:color w:val="231F20"/>
          <w:sz w:val="17"/>
        </w:rPr>
        <w:t>Proceedings</w:t>
      </w:r>
      <w:r>
        <w:rPr>
          <w:color w:val="231F20"/>
          <w:spacing w:val="23"/>
          <w:sz w:val="17"/>
        </w:rPr>
        <w:t xml:space="preserve"> </w:t>
      </w:r>
      <w:r>
        <w:rPr>
          <w:color w:val="231F20"/>
          <w:sz w:val="17"/>
        </w:rPr>
        <w:t>of</w:t>
      </w:r>
      <w:r>
        <w:rPr>
          <w:color w:val="231F20"/>
          <w:spacing w:val="23"/>
          <w:sz w:val="17"/>
        </w:rPr>
        <w:t xml:space="preserve"> </w:t>
      </w:r>
      <w:r>
        <w:rPr>
          <w:color w:val="231F20"/>
          <w:sz w:val="17"/>
        </w:rPr>
        <w:t>the</w:t>
      </w:r>
      <w:r>
        <w:rPr>
          <w:color w:val="231F20"/>
          <w:spacing w:val="23"/>
          <w:sz w:val="17"/>
        </w:rPr>
        <w:t xml:space="preserve"> </w:t>
      </w:r>
      <w:r>
        <w:rPr>
          <w:color w:val="231F20"/>
          <w:sz w:val="17"/>
        </w:rPr>
        <w:t>Travel</w:t>
      </w:r>
      <w:r>
        <w:rPr>
          <w:color w:val="231F20"/>
          <w:spacing w:val="23"/>
          <w:sz w:val="17"/>
        </w:rPr>
        <w:t xml:space="preserve"> </w:t>
      </w:r>
      <w:r>
        <w:rPr>
          <w:color w:val="231F20"/>
          <w:sz w:val="17"/>
        </w:rPr>
        <w:t>and</w:t>
      </w:r>
      <w:r>
        <w:rPr>
          <w:color w:val="231F20"/>
          <w:spacing w:val="23"/>
          <w:sz w:val="17"/>
        </w:rPr>
        <w:t xml:space="preserve"> </w:t>
      </w:r>
      <w:r>
        <w:rPr>
          <w:color w:val="231F20"/>
          <w:sz w:val="17"/>
        </w:rPr>
        <w:t>Tourism</w:t>
      </w:r>
      <w:r>
        <w:rPr>
          <w:color w:val="231F20"/>
          <w:spacing w:val="40"/>
          <w:sz w:val="17"/>
        </w:rPr>
        <w:t xml:space="preserve"> </w:t>
      </w:r>
      <w:r>
        <w:rPr>
          <w:color w:val="231F20"/>
          <w:sz w:val="17"/>
        </w:rPr>
        <w:t>Research Association, Canadian Chapter, University of Manitoba, Winnipeg.</w:t>
      </w:r>
    </w:p>
    <w:p w14:paraId="07CC1C11" w14:textId="77777777" w:rsidR="00AE0598" w:rsidRDefault="0069255A">
      <w:pPr>
        <w:spacing w:before="2"/>
        <w:ind w:left="110"/>
        <w:rPr>
          <w:i/>
          <w:sz w:val="17"/>
        </w:rPr>
      </w:pPr>
      <w:r>
        <w:rPr>
          <w:color w:val="231F20"/>
          <w:w w:val="95"/>
          <w:sz w:val="17"/>
        </w:rPr>
        <w:t>Stansfield,</w:t>
      </w:r>
      <w:r>
        <w:rPr>
          <w:color w:val="231F20"/>
          <w:spacing w:val="26"/>
          <w:sz w:val="17"/>
        </w:rPr>
        <w:t xml:space="preserve"> </w:t>
      </w:r>
      <w:r>
        <w:rPr>
          <w:color w:val="231F20"/>
          <w:w w:val="95"/>
          <w:sz w:val="17"/>
        </w:rPr>
        <w:t>C.J.</w:t>
      </w:r>
      <w:r>
        <w:rPr>
          <w:color w:val="231F20"/>
          <w:spacing w:val="26"/>
          <w:sz w:val="17"/>
        </w:rPr>
        <w:t xml:space="preserve"> </w:t>
      </w:r>
      <w:r>
        <w:rPr>
          <w:color w:val="231F20"/>
          <w:w w:val="95"/>
          <w:sz w:val="17"/>
        </w:rPr>
        <w:t>(1978)</w:t>
      </w:r>
      <w:r>
        <w:rPr>
          <w:color w:val="231F20"/>
          <w:spacing w:val="26"/>
          <w:sz w:val="17"/>
        </w:rPr>
        <w:t xml:space="preserve"> </w:t>
      </w:r>
      <w:r>
        <w:rPr>
          <w:color w:val="231F20"/>
          <w:w w:val="95"/>
          <w:sz w:val="17"/>
        </w:rPr>
        <w:t>The</w:t>
      </w:r>
      <w:r>
        <w:rPr>
          <w:color w:val="231F20"/>
          <w:spacing w:val="26"/>
          <w:sz w:val="17"/>
        </w:rPr>
        <w:t xml:space="preserve"> </w:t>
      </w:r>
      <w:r>
        <w:rPr>
          <w:color w:val="231F20"/>
          <w:w w:val="95"/>
          <w:sz w:val="17"/>
        </w:rPr>
        <w:t>development</w:t>
      </w:r>
      <w:r>
        <w:rPr>
          <w:color w:val="231F20"/>
          <w:spacing w:val="26"/>
          <w:sz w:val="17"/>
        </w:rPr>
        <w:t xml:space="preserve"> </w:t>
      </w:r>
      <w:r>
        <w:rPr>
          <w:color w:val="231F20"/>
          <w:w w:val="95"/>
          <w:sz w:val="17"/>
        </w:rPr>
        <w:t>of</w:t>
      </w:r>
      <w:r>
        <w:rPr>
          <w:color w:val="231F20"/>
          <w:spacing w:val="26"/>
          <w:sz w:val="17"/>
        </w:rPr>
        <w:t xml:space="preserve"> </w:t>
      </w:r>
      <w:r>
        <w:rPr>
          <w:color w:val="231F20"/>
          <w:w w:val="95"/>
          <w:sz w:val="17"/>
        </w:rPr>
        <w:t>modern</w:t>
      </w:r>
      <w:r>
        <w:rPr>
          <w:color w:val="231F20"/>
          <w:spacing w:val="26"/>
          <w:sz w:val="17"/>
        </w:rPr>
        <w:t xml:space="preserve"> </w:t>
      </w:r>
      <w:r>
        <w:rPr>
          <w:color w:val="231F20"/>
          <w:w w:val="95"/>
          <w:sz w:val="17"/>
        </w:rPr>
        <w:t>seaside</w:t>
      </w:r>
      <w:r>
        <w:rPr>
          <w:color w:val="231F20"/>
          <w:spacing w:val="26"/>
          <w:sz w:val="17"/>
        </w:rPr>
        <w:t xml:space="preserve"> </w:t>
      </w:r>
      <w:r>
        <w:rPr>
          <w:color w:val="231F20"/>
          <w:w w:val="95"/>
          <w:sz w:val="17"/>
        </w:rPr>
        <w:t>resorts.</w:t>
      </w:r>
      <w:r>
        <w:rPr>
          <w:color w:val="231F20"/>
          <w:spacing w:val="27"/>
          <w:sz w:val="17"/>
        </w:rPr>
        <w:t xml:space="preserve"> </w:t>
      </w:r>
      <w:r>
        <w:rPr>
          <w:i/>
          <w:color w:val="231F20"/>
          <w:w w:val="95"/>
          <w:sz w:val="17"/>
        </w:rPr>
        <w:t>Parks</w:t>
      </w:r>
      <w:r>
        <w:rPr>
          <w:i/>
          <w:color w:val="231F20"/>
          <w:spacing w:val="26"/>
          <w:sz w:val="17"/>
        </w:rPr>
        <w:t xml:space="preserve"> </w:t>
      </w:r>
      <w:r>
        <w:rPr>
          <w:i/>
          <w:color w:val="231F20"/>
          <w:w w:val="95"/>
          <w:sz w:val="17"/>
        </w:rPr>
        <w:t>and</w:t>
      </w:r>
      <w:r>
        <w:rPr>
          <w:i/>
          <w:color w:val="231F20"/>
          <w:spacing w:val="26"/>
          <w:sz w:val="17"/>
        </w:rPr>
        <w:t xml:space="preserve"> </w:t>
      </w:r>
      <w:r>
        <w:rPr>
          <w:i/>
          <w:color w:val="231F20"/>
          <w:spacing w:val="-2"/>
          <w:w w:val="95"/>
          <w:sz w:val="17"/>
        </w:rPr>
        <w:t>Recreation</w:t>
      </w:r>
    </w:p>
    <w:p w14:paraId="3C5D5F37" w14:textId="77777777" w:rsidR="00AE0598" w:rsidRDefault="0069255A">
      <w:pPr>
        <w:spacing w:before="1"/>
        <w:ind w:left="430"/>
        <w:rPr>
          <w:sz w:val="17"/>
        </w:rPr>
      </w:pPr>
      <w:r>
        <w:rPr>
          <w:color w:val="231F20"/>
          <w:w w:val="90"/>
          <w:sz w:val="17"/>
        </w:rPr>
        <w:t>5</w:t>
      </w:r>
      <w:r>
        <w:rPr>
          <w:color w:val="231F20"/>
          <w:spacing w:val="-1"/>
          <w:sz w:val="17"/>
        </w:rPr>
        <w:t xml:space="preserve"> </w:t>
      </w:r>
      <w:r>
        <w:rPr>
          <w:color w:val="231F20"/>
          <w:w w:val="90"/>
          <w:sz w:val="17"/>
        </w:rPr>
        <w:t>(10),</w:t>
      </w:r>
      <w:r>
        <w:rPr>
          <w:color w:val="231F20"/>
          <w:spacing w:val="-1"/>
          <w:sz w:val="17"/>
        </w:rPr>
        <w:t xml:space="preserve"> </w:t>
      </w:r>
      <w:r>
        <w:rPr>
          <w:color w:val="231F20"/>
          <w:spacing w:val="-2"/>
          <w:w w:val="90"/>
          <w:sz w:val="17"/>
        </w:rPr>
        <w:t>14–46.</w:t>
      </w:r>
    </w:p>
    <w:p w14:paraId="651A8CCE" w14:textId="77777777" w:rsidR="00AE0598" w:rsidRDefault="0069255A">
      <w:pPr>
        <w:ind w:left="430" w:hanging="320"/>
        <w:rPr>
          <w:sz w:val="17"/>
        </w:rPr>
      </w:pPr>
      <w:r>
        <w:rPr>
          <w:color w:val="231F20"/>
          <w:sz w:val="17"/>
        </w:rPr>
        <w:t>Stebbins,</w:t>
      </w:r>
      <w:r>
        <w:rPr>
          <w:color w:val="231F20"/>
          <w:spacing w:val="40"/>
          <w:sz w:val="17"/>
        </w:rPr>
        <w:t xml:space="preserve"> </w:t>
      </w:r>
      <w:r>
        <w:rPr>
          <w:color w:val="231F20"/>
          <w:sz w:val="17"/>
        </w:rPr>
        <w:t>R.A.</w:t>
      </w:r>
      <w:r>
        <w:rPr>
          <w:color w:val="231F20"/>
          <w:spacing w:val="40"/>
          <w:sz w:val="17"/>
        </w:rPr>
        <w:t xml:space="preserve"> </w:t>
      </w:r>
      <w:r>
        <w:rPr>
          <w:color w:val="231F20"/>
          <w:sz w:val="17"/>
        </w:rPr>
        <w:t>(2007)</w:t>
      </w:r>
      <w:r>
        <w:rPr>
          <w:color w:val="231F20"/>
          <w:spacing w:val="40"/>
          <w:sz w:val="17"/>
        </w:rPr>
        <w:t xml:space="preserve"> </w:t>
      </w:r>
      <w:r>
        <w:rPr>
          <w:i/>
          <w:color w:val="231F20"/>
          <w:sz w:val="17"/>
        </w:rPr>
        <w:t>Serious</w:t>
      </w:r>
      <w:r>
        <w:rPr>
          <w:i/>
          <w:color w:val="231F20"/>
          <w:spacing w:val="40"/>
          <w:sz w:val="17"/>
        </w:rPr>
        <w:t xml:space="preserve"> </w:t>
      </w:r>
      <w:r>
        <w:rPr>
          <w:i/>
          <w:color w:val="231F20"/>
          <w:sz w:val="17"/>
        </w:rPr>
        <w:t>Leisure:</w:t>
      </w:r>
      <w:r>
        <w:rPr>
          <w:i/>
          <w:color w:val="231F20"/>
          <w:spacing w:val="40"/>
          <w:sz w:val="17"/>
        </w:rPr>
        <w:t xml:space="preserve"> </w:t>
      </w:r>
      <w:r>
        <w:rPr>
          <w:i/>
          <w:color w:val="231F20"/>
          <w:sz w:val="17"/>
        </w:rPr>
        <w:t>A</w:t>
      </w:r>
      <w:r>
        <w:rPr>
          <w:i/>
          <w:color w:val="231F20"/>
          <w:spacing w:val="40"/>
          <w:sz w:val="17"/>
        </w:rPr>
        <w:t xml:space="preserve"> </w:t>
      </w:r>
      <w:r>
        <w:rPr>
          <w:i/>
          <w:color w:val="231F20"/>
          <w:sz w:val="17"/>
        </w:rPr>
        <w:t>Perspective</w:t>
      </w:r>
      <w:r>
        <w:rPr>
          <w:i/>
          <w:color w:val="231F20"/>
          <w:spacing w:val="40"/>
          <w:sz w:val="17"/>
        </w:rPr>
        <w:t xml:space="preserve"> </w:t>
      </w:r>
      <w:r>
        <w:rPr>
          <w:i/>
          <w:color w:val="231F20"/>
          <w:sz w:val="17"/>
        </w:rPr>
        <w:t>for</w:t>
      </w:r>
      <w:r>
        <w:rPr>
          <w:i/>
          <w:color w:val="231F20"/>
          <w:spacing w:val="40"/>
          <w:sz w:val="17"/>
        </w:rPr>
        <w:t xml:space="preserve"> </w:t>
      </w:r>
      <w:r>
        <w:rPr>
          <w:i/>
          <w:color w:val="231F20"/>
          <w:sz w:val="17"/>
        </w:rPr>
        <w:t>Our</w:t>
      </w:r>
      <w:r>
        <w:rPr>
          <w:i/>
          <w:color w:val="231F20"/>
          <w:spacing w:val="40"/>
          <w:sz w:val="17"/>
        </w:rPr>
        <w:t xml:space="preserve"> </w:t>
      </w:r>
      <w:r>
        <w:rPr>
          <w:i/>
          <w:color w:val="231F20"/>
          <w:sz w:val="17"/>
        </w:rPr>
        <w:t>Time</w:t>
      </w:r>
      <w:r>
        <w:rPr>
          <w:i/>
          <w:color w:val="231F20"/>
          <w:spacing w:val="40"/>
          <w:sz w:val="17"/>
        </w:rPr>
        <w:t xml:space="preserve"> </w:t>
      </w:r>
      <w:r>
        <w:rPr>
          <w:color w:val="231F20"/>
          <w:sz w:val="17"/>
        </w:rPr>
        <w:t>(Vol.</w:t>
      </w:r>
      <w:r>
        <w:rPr>
          <w:color w:val="231F20"/>
          <w:spacing w:val="40"/>
          <w:sz w:val="17"/>
        </w:rPr>
        <w:t xml:space="preserve"> </w:t>
      </w:r>
      <w:r>
        <w:rPr>
          <w:color w:val="231F20"/>
          <w:sz w:val="17"/>
        </w:rPr>
        <w:t>95).</w:t>
      </w:r>
      <w:r>
        <w:rPr>
          <w:color w:val="231F20"/>
          <w:spacing w:val="40"/>
          <w:sz w:val="17"/>
        </w:rPr>
        <w:t xml:space="preserve"> </w:t>
      </w:r>
      <w:r>
        <w:rPr>
          <w:color w:val="231F20"/>
          <w:sz w:val="17"/>
        </w:rPr>
        <w:t>New</w:t>
      </w:r>
      <w:r>
        <w:rPr>
          <w:color w:val="231F20"/>
          <w:spacing w:val="80"/>
          <w:w w:val="150"/>
          <w:sz w:val="17"/>
        </w:rPr>
        <w:t xml:space="preserve"> </w:t>
      </w:r>
      <w:r>
        <w:rPr>
          <w:color w:val="231F20"/>
          <w:sz w:val="17"/>
        </w:rPr>
        <w:t>Brunswick, NJ: Transaction Publishers.</w:t>
      </w:r>
    </w:p>
    <w:p w14:paraId="4698B425" w14:textId="77777777" w:rsidR="00AE0598" w:rsidRDefault="0069255A">
      <w:pPr>
        <w:spacing w:before="2"/>
        <w:ind w:left="430" w:right="156" w:hanging="320"/>
        <w:rPr>
          <w:sz w:val="17"/>
        </w:rPr>
      </w:pPr>
      <w:r>
        <w:rPr>
          <w:color w:val="231F20"/>
          <w:w w:val="95"/>
          <w:sz w:val="17"/>
        </w:rPr>
        <w:t>Steele, W. (2006) Engaging rock climbers: Creating opportunities for collaborative planning</w:t>
      </w:r>
      <w:r>
        <w:rPr>
          <w:color w:val="231F20"/>
          <w:spacing w:val="40"/>
          <w:sz w:val="17"/>
        </w:rPr>
        <w:t xml:space="preserve"> </w:t>
      </w:r>
      <w:r>
        <w:rPr>
          <w:color w:val="231F20"/>
          <w:sz w:val="17"/>
        </w:rPr>
        <w:t xml:space="preserve">and management in protected areas. </w:t>
      </w:r>
      <w:r>
        <w:rPr>
          <w:i/>
          <w:color w:val="231F20"/>
          <w:sz w:val="17"/>
        </w:rPr>
        <w:t xml:space="preserve">Australasian Parks and Leisure </w:t>
      </w:r>
      <w:r>
        <w:rPr>
          <w:color w:val="231F20"/>
          <w:sz w:val="17"/>
        </w:rPr>
        <w:t>9 (2), 42–48.</w:t>
      </w:r>
    </w:p>
    <w:p w14:paraId="6B43CC33" w14:textId="77777777" w:rsidR="00AE0598" w:rsidRDefault="00AE0598">
      <w:pPr>
        <w:rPr>
          <w:sz w:val="17"/>
        </w:rPr>
        <w:sectPr w:rsidR="00AE0598">
          <w:pgSz w:w="8850" w:h="13270"/>
          <w:pgMar w:top="720" w:right="1060" w:bottom="280" w:left="1080" w:header="720" w:footer="720" w:gutter="0"/>
          <w:cols w:space="720"/>
        </w:sectPr>
      </w:pPr>
    </w:p>
    <w:p w14:paraId="22FDBBC9" w14:textId="77777777" w:rsidR="00AE0598" w:rsidRDefault="0069255A">
      <w:pPr>
        <w:spacing w:before="87"/>
        <w:ind w:left="108"/>
        <w:rPr>
          <w:rFonts w:ascii="Trebuchet MS"/>
          <w:sz w:val="14"/>
        </w:rPr>
      </w:pPr>
      <w:r>
        <w:rPr>
          <w:rFonts w:ascii="Trebuchet MS"/>
          <w:color w:val="231F20"/>
          <w:w w:val="105"/>
          <w:sz w:val="14"/>
        </w:rPr>
        <w:lastRenderedPageBreak/>
        <w:t>274</w:t>
      </w:r>
      <w:r>
        <w:rPr>
          <w:rFonts w:ascii="Trebuchet MS"/>
          <w:color w:val="231F20"/>
          <w:spacing w:val="78"/>
          <w:w w:val="150"/>
          <w:sz w:val="14"/>
        </w:rPr>
        <w:t xml:space="preserve"> </w:t>
      </w:r>
      <w:r>
        <w:rPr>
          <w:rFonts w:ascii="Trebuchet MS"/>
          <w:color w:val="231F20"/>
          <w:spacing w:val="-2"/>
          <w:w w:val="105"/>
          <w:sz w:val="14"/>
        </w:rPr>
        <w:t>References</w:t>
      </w:r>
    </w:p>
    <w:p w14:paraId="7B19E036" w14:textId="77777777" w:rsidR="00AE0598" w:rsidRDefault="00AE0598">
      <w:pPr>
        <w:pStyle w:val="Corpodetexto"/>
        <w:rPr>
          <w:rFonts w:ascii="Trebuchet MS"/>
          <w:sz w:val="16"/>
        </w:rPr>
      </w:pPr>
    </w:p>
    <w:p w14:paraId="2ABB81C9" w14:textId="77777777" w:rsidR="00AE0598" w:rsidRDefault="0069255A">
      <w:pPr>
        <w:spacing w:before="121"/>
        <w:ind w:left="430" w:right="128" w:hanging="320"/>
        <w:jc w:val="both"/>
        <w:rPr>
          <w:sz w:val="17"/>
        </w:rPr>
      </w:pPr>
      <w:r>
        <w:rPr>
          <w:color w:val="231F20"/>
          <w:sz w:val="17"/>
        </w:rPr>
        <w:t>Steenveld,</w:t>
      </w:r>
      <w:r>
        <w:rPr>
          <w:color w:val="231F20"/>
          <w:spacing w:val="-2"/>
          <w:sz w:val="17"/>
        </w:rPr>
        <w:t xml:space="preserve"> </w:t>
      </w:r>
      <w:r>
        <w:rPr>
          <w:color w:val="231F20"/>
          <w:sz w:val="17"/>
        </w:rPr>
        <w:t>L.</w:t>
      </w:r>
      <w:r>
        <w:rPr>
          <w:color w:val="231F20"/>
          <w:spacing w:val="-2"/>
          <w:sz w:val="17"/>
        </w:rPr>
        <w:t xml:space="preserve"> </w:t>
      </w:r>
      <w:r>
        <w:rPr>
          <w:color w:val="231F20"/>
          <w:sz w:val="17"/>
        </w:rPr>
        <w:t>and</w:t>
      </w:r>
      <w:r>
        <w:rPr>
          <w:color w:val="231F20"/>
          <w:spacing w:val="-2"/>
          <w:sz w:val="17"/>
        </w:rPr>
        <w:t xml:space="preserve"> </w:t>
      </w:r>
      <w:r>
        <w:rPr>
          <w:color w:val="231F20"/>
          <w:sz w:val="17"/>
        </w:rPr>
        <w:t>Strelitz,</w:t>
      </w:r>
      <w:r>
        <w:rPr>
          <w:color w:val="231F20"/>
          <w:spacing w:val="-2"/>
          <w:sz w:val="17"/>
        </w:rPr>
        <w:t xml:space="preserve"> </w:t>
      </w:r>
      <w:r>
        <w:rPr>
          <w:color w:val="231F20"/>
          <w:sz w:val="17"/>
        </w:rPr>
        <w:t>L.</w:t>
      </w:r>
      <w:r>
        <w:rPr>
          <w:color w:val="231F20"/>
          <w:spacing w:val="-2"/>
          <w:sz w:val="17"/>
        </w:rPr>
        <w:t xml:space="preserve"> </w:t>
      </w:r>
      <w:r>
        <w:rPr>
          <w:color w:val="231F20"/>
          <w:sz w:val="17"/>
        </w:rPr>
        <w:t>(1998)</w:t>
      </w:r>
      <w:r>
        <w:rPr>
          <w:color w:val="231F20"/>
          <w:spacing w:val="-2"/>
          <w:sz w:val="17"/>
        </w:rPr>
        <w:t xml:space="preserve"> </w:t>
      </w:r>
      <w:r>
        <w:rPr>
          <w:color w:val="231F20"/>
          <w:sz w:val="17"/>
        </w:rPr>
        <w:t>The</w:t>
      </w:r>
      <w:r>
        <w:rPr>
          <w:color w:val="231F20"/>
          <w:spacing w:val="-2"/>
          <w:sz w:val="17"/>
        </w:rPr>
        <w:t xml:space="preserve"> </w:t>
      </w:r>
      <w:r>
        <w:rPr>
          <w:color w:val="231F20"/>
          <w:sz w:val="17"/>
        </w:rPr>
        <w:t>1995</w:t>
      </w:r>
      <w:r>
        <w:rPr>
          <w:color w:val="231F20"/>
          <w:spacing w:val="-2"/>
          <w:sz w:val="17"/>
        </w:rPr>
        <w:t xml:space="preserve"> </w:t>
      </w:r>
      <w:r>
        <w:rPr>
          <w:color w:val="231F20"/>
          <w:sz w:val="17"/>
        </w:rPr>
        <w:t>Rugby</w:t>
      </w:r>
      <w:r>
        <w:rPr>
          <w:color w:val="231F20"/>
          <w:spacing w:val="-2"/>
          <w:sz w:val="17"/>
        </w:rPr>
        <w:t xml:space="preserve"> </w:t>
      </w:r>
      <w:r>
        <w:rPr>
          <w:color w:val="231F20"/>
          <w:sz w:val="17"/>
        </w:rPr>
        <w:t>World</w:t>
      </w:r>
      <w:r>
        <w:rPr>
          <w:color w:val="231F20"/>
          <w:spacing w:val="-2"/>
          <w:sz w:val="17"/>
        </w:rPr>
        <w:t xml:space="preserve"> </w:t>
      </w:r>
      <w:r>
        <w:rPr>
          <w:color w:val="231F20"/>
          <w:sz w:val="17"/>
        </w:rPr>
        <w:t>Cup</w:t>
      </w:r>
      <w:r>
        <w:rPr>
          <w:color w:val="231F20"/>
          <w:spacing w:val="-2"/>
          <w:sz w:val="17"/>
        </w:rPr>
        <w:t xml:space="preserve"> </w:t>
      </w:r>
      <w:r>
        <w:rPr>
          <w:color w:val="231F20"/>
          <w:sz w:val="17"/>
        </w:rPr>
        <w:t>and</w:t>
      </w:r>
      <w:r>
        <w:rPr>
          <w:color w:val="231F20"/>
          <w:spacing w:val="-2"/>
          <w:sz w:val="17"/>
        </w:rPr>
        <w:t xml:space="preserve"> </w:t>
      </w:r>
      <w:r>
        <w:rPr>
          <w:color w:val="231F20"/>
          <w:sz w:val="17"/>
        </w:rPr>
        <w:t>the</w:t>
      </w:r>
      <w:r>
        <w:rPr>
          <w:color w:val="231F20"/>
          <w:spacing w:val="-2"/>
          <w:sz w:val="17"/>
        </w:rPr>
        <w:t xml:space="preserve"> </w:t>
      </w:r>
      <w:r>
        <w:rPr>
          <w:color w:val="231F20"/>
          <w:sz w:val="17"/>
        </w:rPr>
        <w:t>politics</w:t>
      </w:r>
      <w:r>
        <w:rPr>
          <w:color w:val="231F20"/>
          <w:spacing w:val="-2"/>
          <w:sz w:val="17"/>
        </w:rPr>
        <w:t xml:space="preserve"> </w:t>
      </w:r>
      <w:r>
        <w:rPr>
          <w:color w:val="231F20"/>
          <w:sz w:val="17"/>
        </w:rPr>
        <w:t>of</w:t>
      </w:r>
      <w:r>
        <w:rPr>
          <w:color w:val="231F20"/>
          <w:spacing w:val="-2"/>
          <w:sz w:val="17"/>
        </w:rPr>
        <w:t xml:space="preserve"> </w:t>
      </w:r>
      <w:r>
        <w:rPr>
          <w:color w:val="231F20"/>
          <w:sz w:val="17"/>
        </w:rPr>
        <w:t>nation-</w:t>
      </w:r>
      <w:r>
        <w:rPr>
          <w:color w:val="231F20"/>
          <w:spacing w:val="40"/>
          <w:sz w:val="17"/>
        </w:rPr>
        <w:t xml:space="preserve"> </w:t>
      </w:r>
      <w:r>
        <w:rPr>
          <w:color w:val="231F20"/>
          <w:sz w:val="17"/>
        </w:rPr>
        <w:t xml:space="preserve">building in South Africa. </w:t>
      </w:r>
      <w:r>
        <w:rPr>
          <w:i/>
          <w:color w:val="231F20"/>
          <w:sz w:val="17"/>
        </w:rPr>
        <w:t xml:space="preserve">Media, Culture </w:t>
      </w:r>
      <w:r>
        <w:rPr>
          <w:i/>
          <w:color w:val="231F20"/>
          <w:w w:val="110"/>
          <w:sz w:val="17"/>
        </w:rPr>
        <w:t xml:space="preserve">&amp; </w:t>
      </w:r>
      <w:r>
        <w:rPr>
          <w:i/>
          <w:color w:val="231F20"/>
          <w:sz w:val="17"/>
        </w:rPr>
        <w:t xml:space="preserve">Society </w:t>
      </w:r>
      <w:r>
        <w:rPr>
          <w:color w:val="231F20"/>
          <w:sz w:val="17"/>
        </w:rPr>
        <w:t>20 (4), 609–629.</w:t>
      </w:r>
    </w:p>
    <w:p w14:paraId="766ED3C2" w14:textId="77777777" w:rsidR="00AE0598" w:rsidRDefault="0069255A">
      <w:pPr>
        <w:spacing w:before="1"/>
        <w:ind w:left="430" w:right="127" w:hanging="320"/>
        <w:jc w:val="both"/>
        <w:rPr>
          <w:sz w:val="17"/>
        </w:rPr>
      </w:pPr>
      <w:r>
        <w:rPr>
          <w:color w:val="231F20"/>
          <w:sz w:val="17"/>
        </w:rPr>
        <w:t>Steiger, R. (2010) The impact of climate change on ski season length and snowmaking</w:t>
      </w:r>
      <w:r>
        <w:rPr>
          <w:color w:val="231F20"/>
          <w:spacing w:val="40"/>
          <w:sz w:val="17"/>
        </w:rPr>
        <w:t xml:space="preserve"> </w:t>
      </w:r>
      <w:r>
        <w:rPr>
          <w:color w:val="231F20"/>
          <w:sz w:val="17"/>
        </w:rPr>
        <w:t xml:space="preserve">requirements n Tyrol, Austria. </w:t>
      </w:r>
      <w:r>
        <w:rPr>
          <w:i/>
          <w:color w:val="231F20"/>
          <w:sz w:val="17"/>
        </w:rPr>
        <w:t xml:space="preserve">Climate Research </w:t>
      </w:r>
      <w:r>
        <w:rPr>
          <w:color w:val="231F20"/>
          <w:sz w:val="17"/>
        </w:rPr>
        <w:t>43 (3), 251–262.</w:t>
      </w:r>
    </w:p>
    <w:p w14:paraId="14BEAE38" w14:textId="77777777" w:rsidR="00AE0598" w:rsidRDefault="0069255A">
      <w:pPr>
        <w:spacing w:before="2"/>
        <w:ind w:left="430" w:right="127" w:hanging="320"/>
        <w:jc w:val="both"/>
        <w:rPr>
          <w:sz w:val="17"/>
        </w:rPr>
      </w:pPr>
      <w:r>
        <w:rPr>
          <w:color w:val="231F20"/>
          <w:w w:val="95"/>
          <w:sz w:val="17"/>
        </w:rPr>
        <w:t>Steiger, R. (2011a) The impact of climate change on ski touristic demand using an analogue</w:t>
      </w:r>
      <w:r>
        <w:rPr>
          <w:color w:val="231F20"/>
          <w:spacing w:val="40"/>
          <w:sz w:val="17"/>
        </w:rPr>
        <w:t xml:space="preserve"> </w:t>
      </w:r>
      <w:r>
        <w:rPr>
          <w:color w:val="231F20"/>
          <w:sz w:val="17"/>
        </w:rPr>
        <w:t xml:space="preserve">approach. In K. </w:t>
      </w:r>
      <w:r>
        <w:rPr>
          <w:color w:val="231F20"/>
          <w:sz w:val="17"/>
        </w:rPr>
        <w:t>Weiermair, H. Pechlahner, A. Strobl, M. Elmi and M. Schuckert (eds)</w:t>
      </w:r>
      <w:r>
        <w:rPr>
          <w:color w:val="231F20"/>
          <w:spacing w:val="40"/>
          <w:sz w:val="17"/>
        </w:rPr>
        <w:t xml:space="preserve"> </w:t>
      </w:r>
      <w:r>
        <w:rPr>
          <w:i/>
          <w:color w:val="231F20"/>
          <w:sz w:val="17"/>
        </w:rPr>
        <w:t>Coping with Global Climate Change. Strategies, Policies and Measures for the Tourism</w:t>
      </w:r>
      <w:r>
        <w:rPr>
          <w:i/>
          <w:color w:val="231F20"/>
          <w:spacing w:val="40"/>
          <w:sz w:val="17"/>
        </w:rPr>
        <w:t xml:space="preserve"> </w:t>
      </w:r>
      <w:r>
        <w:rPr>
          <w:i/>
          <w:color w:val="231F20"/>
          <w:sz w:val="17"/>
        </w:rPr>
        <w:t xml:space="preserve">Industry </w:t>
      </w:r>
      <w:r>
        <w:rPr>
          <w:color w:val="231F20"/>
          <w:sz w:val="17"/>
        </w:rPr>
        <w:t>(pp. 247–256). Innsbruck: Innsbruck University Press.</w:t>
      </w:r>
    </w:p>
    <w:p w14:paraId="722E4DD1" w14:textId="77777777" w:rsidR="00AE0598" w:rsidRDefault="0069255A">
      <w:pPr>
        <w:spacing w:before="2"/>
        <w:ind w:left="430" w:right="127" w:hanging="320"/>
        <w:jc w:val="both"/>
        <w:rPr>
          <w:sz w:val="17"/>
        </w:rPr>
      </w:pPr>
      <w:r>
        <w:rPr>
          <w:color w:val="231F20"/>
          <w:sz w:val="17"/>
        </w:rPr>
        <w:t>Steiger, R. (2011b) The impact of snow scarcity on ski tourism. An analysis of the record</w:t>
      </w:r>
      <w:r>
        <w:rPr>
          <w:color w:val="231F20"/>
          <w:spacing w:val="40"/>
          <w:sz w:val="17"/>
        </w:rPr>
        <w:t xml:space="preserve"> </w:t>
      </w:r>
      <w:r>
        <w:rPr>
          <w:color w:val="231F20"/>
          <w:sz w:val="17"/>
        </w:rPr>
        <w:t xml:space="preserve">warm season 2006/07 in Tyrol (Austria). </w:t>
      </w:r>
      <w:r>
        <w:rPr>
          <w:i/>
          <w:color w:val="231F20"/>
          <w:sz w:val="17"/>
        </w:rPr>
        <w:t xml:space="preserve">Tourism Review </w:t>
      </w:r>
      <w:r>
        <w:rPr>
          <w:color w:val="231F20"/>
          <w:sz w:val="17"/>
        </w:rPr>
        <w:t>66 (3), 4–15.</w:t>
      </w:r>
    </w:p>
    <w:p w14:paraId="756C42F5" w14:textId="77777777" w:rsidR="00AE0598" w:rsidRDefault="0069255A">
      <w:pPr>
        <w:spacing w:before="2"/>
        <w:ind w:left="430" w:right="129" w:hanging="320"/>
        <w:jc w:val="both"/>
        <w:rPr>
          <w:sz w:val="17"/>
        </w:rPr>
      </w:pPr>
      <w:r>
        <w:rPr>
          <w:color w:val="231F20"/>
          <w:sz w:val="17"/>
        </w:rPr>
        <w:t>Steiger, R. and Abegg, B. (2018) Ski areas’</w:t>
      </w:r>
      <w:r>
        <w:rPr>
          <w:color w:val="231F20"/>
          <w:sz w:val="17"/>
        </w:rPr>
        <w:t xml:space="preserve"> competitiveness in the light of climate change:</w:t>
      </w:r>
      <w:r>
        <w:rPr>
          <w:color w:val="231F20"/>
          <w:spacing w:val="40"/>
          <w:sz w:val="17"/>
        </w:rPr>
        <w:t xml:space="preserve"> </w:t>
      </w:r>
      <w:r>
        <w:rPr>
          <w:color w:val="231F20"/>
          <w:sz w:val="17"/>
        </w:rPr>
        <w:t>Comparative analysis in the Eastern Alps. In D.K. Müller and M. Wi</w:t>
      </w:r>
      <w:r>
        <w:rPr>
          <w:rFonts w:ascii="Times New Roman" w:hAnsi="Times New Roman"/>
          <w:color w:val="231F20"/>
          <w:sz w:val="17"/>
        </w:rPr>
        <w:t>ę</w:t>
      </w:r>
      <w:r>
        <w:rPr>
          <w:color w:val="231F20"/>
          <w:sz w:val="17"/>
        </w:rPr>
        <w:t>ckowski (eds)</w:t>
      </w:r>
      <w:r>
        <w:rPr>
          <w:color w:val="231F20"/>
          <w:spacing w:val="40"/>
          <w:sz w:val="17"/>
        </w:rPr>
        <w:t xml:space="preserve"> </w:t>
      </w:r>
      <w:r>
        <w:rPr>
          <w:i/>
          <w:color w:val="231F20"/>
          <w:sz w:val="17"/>
        </w:rPr>
        <w:t xml:space="preserve">Tourism in Transitions: Recovering Decline, Managing Change </w:t>
      </w:r>
      <w:r>
        <w:rPr>
          <w:color w:val="231F20"/>
          <w:sz w:val="17"/>
        </w:rPr>
        <w:t>(pp. 187–199). Cham:</w:t>
      </w:r>
      <w:r>
        <w:rPr>
          <w:color w:val="231F20"/>
          <w:spacing w:val="40"/>
          <w:sz w:val="17"/>
        </w:rPr>
        <w:t xml:space="preserve"> </w:t>
      </w:r>
      <w:r>
        <w:rPr>
          <w:color w:val="231F20"/>
          <w:spacing w:val="-2"/>
          <w:sz w:val="17"/>
        </w:rPr>
        <w:t>Springer.</w:t>
      </w:r>
    </w:p>
    <w:p w14:paraId="5551B0E8" w14:textId="77777777" w:rsidR="00AE0598" w:rsidRDefault="0069255A">
      <w:pPr>
        <w:spacing w:before="3"/>
        <w:ind w:left="110"/>
        <w:jc w:val="both"/>
        <w:rPr>
          <w:sz w:val="17"/>
        </w:rPr>
      </w:pPr>
      <w:r>
        <w:rPr>
          <w:color w:val="231F20"/>
          <w:w w:val="95"/>
          <w:sz w:val="17"/>
        </w:rPr>
        <w:t>Steiger,</w:t>
      </w:r>
      <w:r>
        <w:rPr>
          <w:color w:val="231F20"/>
          <w:spacing w:val="13"/>
          <w:sz w:val="17"/>
        </w:rPr>
        <w:t xml:space="preserve"> </w:t>
      </w:r>
      <w:r>
        <w:rPr>
          <w:color w:val="231F20"/>
          <w:w w:val="95"/>
          <w:sz w:val="17"/>
        </w:rPr>
        <w:t>R.</w:t>
      </w:r>
      <w:r>
        <w:rPr>
          <w:color w:val="231F20"/>
          <w:spacing w:val="13"/>
          <w:sz w:val="17"/>
        </w:rPr>
        <w:t xml:space="preserve"> </w:t>
      </w:r>
      <w:r>
        <w:rPr>
          <w:color w:val="231F20"/>
          <w:w w:val="95"/>
          <w:sz w:val="17"/>
        </w:rPr>
        <w:t>and</w:t>
      </w:r>
      <w:r>
        <w:rPr>
          <w:color w:val="231F20"/>
          <w:spacing w:val="13"/>
          <w:sz w:val="17"/>
        </w:rPr>
        <w:t xml:space="preserve"> </w:t>
      </w:r>
      <w:r>
        <w:rPr>
          <w:color w:val="231F20"/>
          <w:w w:val="95"/>
          <w:sz w:val="17"/>
        </w:rPr>
        <w:t>Stötter,</w:t>
      </w:r>
      <w:r>
        <w:rPr>
          <w:color w:val="231F20"/>
          <w:spacing w:val="13"/>
          <w:sz w:val="17"/>
        </w:rPr>
        <w:t xml:space="preserve"> </w:t>
      </w:r>
      <w:r>
        <w:rPr>
          <w:color w:val="231F20"/>
          <w:w w:val="95"/>
          <w:sz w:val="17"/>
        </w:rPr>
        <w:t>J.</w:t>
      </w:r>
      <w:r>
        <w:rPr>
          <w:color w:val="231F20"/>
          <w:spacing w:val="13"/>
          <w:sz w:val="17"/>
        </w:rPr>
        <w:t xml:space="preserve"> </w:t>
      </w:r>
      <w:r>
        <w:rPr>
          <w:color w:val="231F20"/>
          <w:w w:val="95"/>
          <w:sz w:val="17"/>
        </w:rPr>
        <w:t>(2014)</w:t>
      </w:r>
      <w:r>
        <w:rPr>
          <w:color w:val="231F20"/>
          <w:spacing w:val="13"/>
          <w:sz w:val="17"/>
        </w:rPr>
        <w:t xml:space="preserve"> </w:t>
      </w:r>
      <w:r>
        <w:rPr>
          <w:color w:val="231F20"/>
          <w:w w:val="95"/>
          <w:sz w:val="17"/>
        </w:rPr>
        <w:t>Climate</w:t>
      </w:r>
      <w:r>
        <w:rPr>
          <w:color w:val="231F20"/>
          <w:spacing w:val="13"/>
          <w:sz w:val="17"/>
        </w:rPr>
        <w:t xml:space="preserve"> </w:t>
      </w:r>
      <w:r>
        <w:rPr>
          <w:color w:val="231F20"/>
          <w:w w:val="95"/>
          <w:sz w:val="17"/>
        </w:rPr>
        <w:t>change</w:t>
      </w:r>
      <w:r>
        <w:rPr>
          <w:color w:val="231F20"/>
          <w:spacing w:val="13"/>
          <w:sz w:val="17"/>
        </w:rPr>
        <w:t xml:space="preserve"> </w:t>
      </w:r>
      <w:r>
        <w:rPr>
          <w:color w:val="231F20"/>
          <w:w w:val="95"/>
          <w:sz w:val="17"/>
        </w:rPr>
        <w:t>impact</w:t>
      </w:r>
      <w:r>
        <w:rPr>
          <w:color w:val="231F20"/>
          <w:spacing w:val="13"/>
          <w:sz w:val="17"/>
        </w:rPr>
        <w:t xml:space="preserve"> </w:t>
      </w:r>
      <w:r>
        <w:rPr>
          <w:color w:val="231F20"/>
          <w:w w:val="95"/>
          <w:sz w:val="17"/>
        </w:rPr>
        <w:t>assessment</w:t>
      </w:r>
      <w:r>
        <w:rPr>
          <w:color w:val="231F20"/>
          <w:spacing w:val="13"/>
          <w:sz w:val="17"/>
        </w:rPr>
        <w:t xml:space="preserve"> </w:t>
      </w:r>
      <w:r>
        <w:rPr>
          <w:color w:val="231F20"/>
          <w:w w:val="95"/>
          <w:sz w:val="17"/>
        </w:rPr>
        <w:t>of</w:t>
      </w:r>
      <w:r>
        <w:rPr>
          <w:color w:val="231F20"/>
          <w:spacing w:val="13"/>
          <w:sz w:val="17"/>
        </w:rPr>
        <w:t xml:space="preserve"> </w:t>
      </w:r>
      <w:r>
        <w:rPr>
          <w:color w:val="231F20"/>
          <w:w w:val="95"/>
          <w:sz w:val="17"/>
        </w:rPr>
        <w:t>ski</w:t>
      </w:r>
      <w:r>
        <w:rPr>
          <w:color w:val="231F20"/>
          <w:spacing w:val="13"/>
          <w:sz w:val="17"/>
        </w:rPr>
        <w:t xml:space="preserve"> </w:t>
      </w:r>
      <w:r>
        <w:rPr>
          <w:color w:val="231F20"/>
          <w:w w:val="95"/>
          <w:sz w:val="17"/>
        </w:rPr>
        <w:t>tourism</w:t>
      </w:r>
      <w:r>
        <w:rPr>
          <w:color w:val="231F20"/>
          <w:spacing w:val="13"/>
          <w:sz w:val="17"/>
        </w:rPr>
        <w:t xml:space="preserve"> </w:t>
      </w:r>
      <w:r>
        <w:rPr>
          <w:color w:val="231F20"/>
          <w:w w:val="95"/>
          <w:sz w:val="17"/>
        </w:rPr>
        <w:t>in</w:t>
      </w:r>
      <w:r>
        <w:rPr>
          <w:color w:val="231F20"/>
          <w:spacing w:val="13"/>
          <w:sz w:val="17"/>
        </w:rPr>
        <w:t xml:space="preserve"> </w:t>
      </w:r>
      <w:r>
        <w:rPr>
          <w:color w:val="231F20"/>
          <w:spacing w:val="-2"/>
          <w:w w:val="95"/>
          <w:sz w:val="17"/>
        </w:rPr>
        <w:t>Tyrol.</w:t>
      </w:r>
    </w:p>
    <w:p w14:paraId="39FC9085" w14:textId="77777777" w:rsidR="00AE0598" w:rsidRDefault="0069255A">
      <w:pPr>
        <w:ind w:left="430"/>
        <w:jc w:val="both"/>
        <w:rPr>
          <w:sz w:val="17"/>
        </w:rPr>
      </w:pPr>
      <w:r>
        <w:rPr>
          <w:i/>
          <w:color w:val="231F20"/>
          <w:sz w:val="17"/>
        </w:rPr>
        <w:t>Tourism</w:t>
      </w:r>
      <w:r>
        <w:rPr>
          <w:i/>
          <w:color w:val="231F20"/>
          <w:spacing w:val="-2"/>
          <w:sz w:val="17"/>
        </w:rPr>
        <w:t xml:space="preserve"> </w:t>
      </w:r>
      <w:r>
        <w:rPr>
          <w:i/>
          <w:color w:val="231F20"/>
          <w:sz w:val="17"/>
        </w:rPr>
        <w:t>Geographies</w:t>
      </w:r>
      <w:r>
        <w:rPr>
          <w:i/>
          <w:color w:val="231F20"/>
          <w:spacing w:val="-1"/>
          <w:sz w:val="17"/>
        </w:rPr>
        <w:t xml:space="preserve"> </w:t>
      </w:r>
      <w:r>
        <w:rPr>
          <w:color w:val="231F20"/>
          <w:sz w:val="17"/>
        </w:rPr>
        <w:t>15</w:t>
      </w:r>
      <w:r>
        <w:rPr>
          <w:color w:val="231F20"/>
          <w:spacing w:val="-1"/>
          <w:sz w:val="17"/>
        </w:rPr>
        <w:t xml:space="preserve"> </w:t>
      </w:r>
      <w:r>
        <w:rPr>
          <w:color w:val="231F20"/>
          <w:sz w:val="17"/>
        </w:rPr>
        <w:t>(4),</w:t>
      </w:r>
      <w:r>
        <w:rPr>
          <w:color w:val="231F20"/>
          <w:spacing w:val="-1"/>
          <w:sz w:val="17"/>
        </w:rPr>
        <w:t xml:space="preserve"> </w:t>
      </w:r>
      <w:r>
        <w:rPr>
          <w:color w:val="231F20"/>
          <w:spacing w:val="-2"/>
          <w:sz w:val="17"/>
        </w:rPr>
        <w:t>577–600.</w:t>
      </w:r>
    </w:p>
    <w:p w14:paraId="294108CC" w14:textId="77777777" w:rsidR="00AE0598" w:rsidRDefault="0069255A">
      <w:pPr>
        <w:spacing w:before="1"/>
        <w:ind w:left="430" w:right="123" w:hanging="320"/>
        <w:jc w:val="both"/>
        <w:rPr>
          <w:sz w:val="17"/>
        </w:rPr>
      </w:pPr>
      <w:r>
        <w:rPr>
          <w:color w:val="231F20"/>
          <w:sz w:val="17"/>
        </w:rPr>
        <w:t>Stepchenkova, S. and Zhan, F. (2013) Visual destination images of Peru: Comparative</w:t>
      </w:r>
      <w:r>
        <w:rPr>
          <w:color w:val="231F20"/>
          <w:spacing w:val="40"/>
          <w:sz w:val="17"/>
        </w:rPr>
        <w:t xml:space="preserve"> </w:t>
      </w:r>
      <w:r>
        <w:rPr>
          <w:color w:val="231F20"/>
          <w:sz w:val="17"/>
        </w:rPr>
        <w:t xml:space="preserve">content analysis of DMO and user-generated photography. </w:t>
      </w:r>
      <w:r>
        <w:rPr>
          <w:i/>
          <w:color w:val="231F20"/>
          <w:sz w:val="17"/>
        </w:rPr>
        <w:t xml:space="preserve">Tourism Management </w:t>
      </w:r>
      <w:r>
        <w:rPr>
          <w:color w:val="231F20"/>
          <w:sz w:val="17"/>
        </w:rPr>
        <w:t>36,</w:t>
      </w:r>
      <w:r>
        <w:rPr>
          <w:color w:val="231F20"/>
          <w:spacing w:val="40"/>
          <w:sz w:val="17"/>
        </w:rPr>
        <w:t xml:space="preserve"> </w:t>
      </w:r>
      <w:r>
        <w:rPr>
          <w:color w:val="231F20"/>
          <w:spacing w:val="-2"/>
          <w:sz w:val="17"/>
        </w:rPr>
        <w:t>590–601</w:t>
      </w:r>
    </w:p>
    <w:p w14:paraId="3EFB42B7" w14:textId="77777777" w:rsidR="00AE0598" w:rsidRDefault="0069255A">
      <w:pPr>
        <w:spacing w:before="2"/>
        <w:ind w:left="430" w:right="127" w:hanging="320"/>
        <w:jc w:val="both"/>
        <w:rPr>
          <w:sz w:val="17"/>
        </w:rPr>
      </w:pPr>
      <w:r>
        <w:rPr>
          <w:color w:val="231F20"/>
          <w:sz w:val="17"/>
        </w:rPr>
        <w:t xml:space="preserve">Stevens, T. (1998) Capitalising on sport: Cardiff’s future strategy. Paper presented </w:t>
      </w:r>
      <w:r>
        <w:rPr>
          <w:color w:val="231F20"/>
          <w:sz w:val="17"/>
        </w:rPr>
        <w:t>at the</w:t>
      </w:r>
      <w:r>
        <w:rPr>
          <w:color w:val="231F20"/>
          <w:spacing w:val="40"/>
          <w:sz w:val="17"/>
        </w:rPr>
        <w:t xml:space="preserve"> </w:t>
      </w:r>
      <w:r>
        <w:rPr>
          <w:color w:val="231F20"/>
          <w:sz w:val="17"/>
        </w:rPr>
        <w:t>Sport in the City Conference. Sheffield, UK, 2–4 July 1998.</w:t>
      </w:r>
    </w:p>
    <w:p w14:paraId="483B40B2" w14:textId="77777777" w:rsidR="00AE0598" w:rsidRDefault="0069255A">
      <w:pPr>
        <w:spacing w:before="2"/>
        <w:ind w:left="110"/>
        <w:jc w:val="both"/>
        <w:rPr>
          <w:sz w:val="17"/>
        </w:rPr>
      </w:pPr>
      <w:r>
        <w:rPr>
          <w:color w:val="231F20"/>
          <w:w w:val="95"/>
          <w:sz w:val="17"/>
        </w:rPr>
        <w:t>Stevens,</w:t>
      </w:r>
      <w:r>
        <w:rPr>
          <w:color w:val="231F20"/>
          <w:spacing w:val="-3"/>
          <w:w w:val="95"/>
          <w:sz w:val="17"/>
        </w:rPr>
        <w:t xml:space="preserve"> </w:t>
      </w:r>
      <w:r>
        <w:rPr>
          <w:color w:val="231F20"/>
          <w:w w:val="95"/>
          <w:sz w:val="17"/>
        </w:rPr>
        <w:t>T.</w:t>
      </w:r>
      <w:r>
        <w:rPr>
          <w:color w:val="231F20"/>
          <w:spacing w:val="-2"/>
          <w:w w:val="95"/>
          <w:sz w:val="17"/>
        </w:rPr>
        <w:t xml:space="preserve"> </w:t>
      </w:r>
      <w:r>
        <w:rPr>
          <w:color w:val="231F20"/>
          <w:w w:val="95"/>
          <w:sz w:val="17"/>
        </w:rPr>
        <w:t>(2001)</w:t>
      </w:r>
      <w:r>
        <w:rPr>
          <w:color w:val="231F20"/>
          <w:spacing w:val="-3"/>
          <w:w w:val="95"/>
          <w:sz w:val="17"/>
        </w:rPr>
        <w:t xml:space="preserve"> </w:t>
      </w:r>
      <w:r>
        <w:rPr>
          <w:color w:val="231F20"/>
          <w:w w:val="95"/>
          <w:sz w:val="17"/>
        </w:rPr>
        <w:t>Stadia</w:t>
      </w:r>
      <w:r>
        <w:rPr>
          <w:color w:val="231F20"/>
          <w:spacing w:val="-2"/>
          <w:w w:val="95"/>
          <w:sz w:val="17"/>
        </w:rPr>
        <w:t xml:space="preserve"> </w:t>
      </w:r>
      <w:r>
        <w:rPr>
          <w:color w:val="231F20"/>
          <w:w w:val="95"/>
          <w:sz w:val="17"/>
        </w:rPr>
        <w:t>and</w:t>
      </w:r>
      <w:r>
        <w:rPr>
          <w:color w:val="231F20"/>
          <w:spacing w:val="-3"/>
          <w:w w:val="95"/>
          <w:sz w:val="17"/>
        </w:rPr>
        <w:t xml:space="preserve"> </w:t>
      </w:r>
      <w:r>
        <w:rPr>
          <w:color w:val="231F20"/>
          <w:w w:val="95"/>
          <w:sz w:val="17"/>
        </w:rPr>
        <w:t>tourism-related</w:t>
      </w:r>
      <w:r>
        <w:rPr>
          <w:color w:val="231F20"/>
          <w:spacing w:val="-2"/>
          <w:w w:val="95"/>
          <w:sz w:val="17"/>
        </w:rPr>
        <w:t xml:space="preserve"> </w:t>
      </w:r>
      <w:r>
        <w:rPr>
          <w:color w:val="231F20"/>
          <w:w w:val="95"/>
          <w:sz w:val="17"/>
        </w:rPr>
        <w:t>facilities.</w:t>
      </w:r>
      <w:r>
        <w:rPr>
          <w:color w:val="231F20"/>
          <w:spacing w:val="-2"/>
          <w:w w:val="95"/>
          <w:sz w:val="17"/>
        </w:rPr>
        <w:t xml:space="preserve"> </w:t>
      </w:r>
      <w:r>
        <w:rPr>
          <w:i/>
          <w:color w:val="231F20"/>
          <w:w w:val="95"/>
          <w:sz w:val="17"/>
        </w:rPr>
        <w:t>Travel</w:t>
      </w:r>
      <w:r>
        <w:rPr>
          <w:i/>
          <w:color w:val="231F20"/>
          <w:spacing w:val="-3"/>
          <w:w w:val="95"/>
          <w:sz w:val="17"/>
        </w:rPr>
        <w:t xml:space="preserve"> </w:t>
      </w:r>
      <w:r>
        <w:rPr>
          <w:i/>
          <w:color w:val="231F20"/>
          <w:w w:val="95"/>
          <w:sz w:val="17"/>
        </w:rPr>
        <w:t>and</w:t>
      </w:r>
      <w:r>
        <w:rPr>
          <w:i/>
          <w:color w:val="231F20"/>
          <w:spacing w:val="-2"/>
          <w:w w:val="95"/>
          <w:sz w:val="17"/>
        </w:rPr>
        <w:t xml:space="preserve"> </w:t>
      </w:r>
      <w:r>
        <w:rPr>
          <w:i/>
          <w:color w:val="231F20"/>
          <w:w w:val="95"/>
          <w:sz w:val="17"/>
        </w:rPr>
        <w:t>Tourism</w:t>
      </w:r>
      <w:r>
        <w:rPr>
          <w:i/>
          <w:color w:val="231F20"/>
          <w:spacing w:val="-3"/>
          <w:w w:val="95"/>
          <w:sz w:val="17"/>
        </w:rPr>
        <w:t xml:space="preserve"> </w:t>
      </w:r>
      <w:r>
        <w:rPr>
          <w:i/>
          <w:color w:val="231F20"/>
          <w:w w:val="95"/>
          <w:sz w:val="17"/>
        </w:rPr>
        <w:t>Analyst</w:t>
      </w:r>
      <w:r>
        <w:rPr>
          <w:i/>
          <w:color w:val="231F20"/>
          <w:spacing w:val="-2"/>
          <w:w w:val="95"/>
          <w:sz w:val="17"/>
        </w:rPr>
        <w:t xml:space="preserve"> </w:t>
      </w:r>
      <w:r>
        <w:rPr>
          <w:color w:val="231F20"/>
          <w:w w:val="95"/>
          <w:sz w:val="17"/>
        </w:rPr>
        <w:t>(2),</w:t>
      </w:r>
      <w:r>
        <w:rPr>
          <w:color w:val="231F20"/>
          <w:spacing w:val="-3"/>
          <w:w w:val="95"/>
          <w:sz w:val="17"/>
        </w:rPr>
        <w:t xml:space="preserve"> </w:t>
      </w:r>
      <w:r>
        <w:rPr>
          <w:color w:val="231F20"/>
          <w:spacing w:val="-2"/>
          <w:w w:val="95"/>
          <w:sz w:val="17"/>
        </w:rPr>
        <w:t>59–73.</w:t>
      </w:r>
    </w:p>
    <w:p w14:paraId="242DBAD1" w14:textId="77777777" w:rsidR="00AE0598" w:rsidRDefault="0069255A">
      <w:pPr>
        <w:ind w:left="430" w:right="127" w:hanging="320"/>
        <w:jc w:val="both"/>
        <w:rPr>
          <w:sz w:val="17"/>
        </w:rPr>
      </w:pPr>
      <w:r>
        <w:rPr>
          <w:color w:val="231F20"/>
          <w:w w:val="95"/>
          <w:sz w:val="17"/>
        </w:rPr>
        <w:t>Stevens, T. and van den Broek, M. (1997) Sport and tourism: Natural partners in strategies</w:t>
      </w:r>
      <w:r>
        <w:rPr>
          <w:color w:val="231F20"/>
          <w:spacing w:val="80"/>
          <w:sz w:val="17"/>
        </w:rPr>
        <w:t xml:space="preserve"> </w:t>
      </w:r>
      <w:r>
        <w:rPr>
          <w:color w:val="231F20"/>
          <w:sz w:val="17"/>
        </w:rPr>
        <w:t>f</w:t>
      </w:r>
      <w:r>
        <w:rPr>
          <w:color w:val="231F20"/>
          <w:sz w:val="17"/>
        </w:rPr>
        <w:t xml:space="preserve">or tourism development. </w:t>
      </w:r>
      <w:r>
        <w:rPr>
          <w:i/>
          <w:color w:val="231F20"/>
          <w:sz w:val="17"/>
        </w:rPr>
        <w:t xml:space="preserve">Tourism Recreation Research </w:t>
      </w:r>
      <w:r>
        <w:rPr>
          <w:color w:val="231F20"/>
          <w:sz w:val="17"/>
        </w:rPr>
        <w:t>22 (2), 1–3.</w:t>
      </w:r>
    </w:p>
    <w:p w14:paraId="0964A8B7" w14:textId="77777777" w:rsidR="00AE0598" w:rsidRDefault="0069255A">
      <w:pPr>
        <w:spacing w:before="2"/>
        <w:ind w:left="110"/>
        <w:jc w:val="both"/>
        <w:rPr>
          <w:sz w:val="17"/>
        </w:rPr>
      </w:pPr>
      <w:r>
        <w:rPr>
          <w:color w:val="231F20"/>
          <w:sz w:val="17"/>
        </w:rPr>
        <w:t>Stevens,</w:t>
      </w:r>
      <w:r>
        <w:rPr>
          <w:color w:val="231F20"/>
          <w:spacing w:val="6"/>
          <w:sz w:val="17"/>
        </w:rPr>
        <w:t xml:space="preserve"> </w:t>
      </w:r>
      <w:r>
        <w:rPr>
          <w:color w:val="231F20"/>
          <w:sz w:val="17"/>
        </w:rPr>
        <w:t>T.</w:t>
      </w:r>
      <w:r>
        <w:rPr>
          <w:color w:val="231F20"/>
          <w:spacing w:val="5"/>
          <w:sz w:val="17"/>
        </w:rPr>
        <w:t xml:space="preserve"> </w:t>
      </w:r>
      <w:r>
        <w:rPr>
          <w:color w:val="231F20"/>
          <w:sz w:val="17"/>
        </w:rPr>
        <w:t>and</w:t>
      </w:r>
      <w:r>
        <w:rPr>
          <w:color w:val="231F20"/>
          <w:spacing w:val="6"/>
          <w:sz w:val="17"/>
        </w:rPr>
        <w:t xml:space="preserve"> </w:t>
      </w:r>
      <w:r>
        <w:rPr>
          <w:color w:val="231F20"/>
          <w:sz w:val="17"/>
        </w:rPr>
        <w:t>Wooton,</w:t>
      </w:r>
      <w:r>
        <w:rPr>
          <w:color w:val="231F20"/>
          <w:spacing w:val="7"/>
          <w:sz w:val="17"/>
        </w:rPr>
        <w:t xml:space="preserve"> </w:t>
      </w:r>
      <w:r>
        <w:rPr>
          <w:color w:val="231F20"/>
          <w:sz w:val="17"/>
        </w:rPr>
        <w:t>G.</w:t>
      </w:r>
      <w:r>
        <w:rPr>
          <w:color w:val="231F20"/>
          <w:spacing w:val="5"/>
          <w:sz w:val="17"/>
        </w:rPr>
        <w:t xml:space="preserve"> </w:t>
      </w:r>
      <w:r>
        <w:rPr>
          <w:color w:val="231F20"/>
          <w:sz w:val="17"/>
        </w:rPr>
        <w:t>(1997)</w:t>
      </w:r>
      <w:r>
        <w:rPr>
          <w:color w:val="231F20"/>
          <w:spacing w:val="5"/>
          <w:sz w:val="17"/>
        </w:rPr>
        <w:t xml:space="preserve"> </w:t>
      </w:r>
      <w:r>
        <w:rPr>
          <w:color w:val="231F20"/>
          <w:sz w:val="17"/>
        </w:rPr>
        <w:t>Sports</w:t>
      </w:r>
      <w:r>
        <w:rPr>
          <w:color w:val="231F20"/>
          <w:spacing w:val="6"/>
          <w:sz w:val="17"/>
        </w:rPr>
        <w:t xml:space="preserve"> </w:t>
      </w:r>
      <w:r>
        <w:rPr>
          <w:color w:val="231F20"/>
          <w:sz w:val="17"/>
        </w:rPr>
        <w:t>stadia</w:t>
      </w:r>
      <w:r>
        <w:rPr>
          <w:color w:val="231F20"/>
          <w:spacing w:val="5"/>
          <w:sz w:val="17"/>
        </w:rPr>
        <w:t xml:space="preserve"> </w:t>
      </w:r>
      <w:r>
        <w:rPr>
          <w:color w:val="231F20"/>
          <w:sz w:val="17"/>
        </w:rPr>
        <w:t>and</w:t>
      </w:r>
      <w:r>
        <w:rPr>
          <w:color w:val="231F20"/>
          <w:spacing w:val="6"/>
          <w:sz w:val="17"/>
        </w:rPr>
        <w:t xml:space="preserve"> </w:t>
      </w:r>
      <w:r>
        <w:rPr>
          <w:color w:val="231F20"/>
          <w:sz w:val="17"/>
        </w:rPr>
        <w:t>arena:</w:t>
      </w:r>
      <w:r>
        <w:rPr>
          <w:color w:val="231F20"/>
          <w:spacing w:val="6"/>
          <w:sz w:val="17"/>
        </w:rPr>
        <w:t xml:space="preserve"> </w:t>
      </w:r>
      <w:r>
        <w:rPr>
          <w:color w:val="231F20"/>
          <w:sz w:val="17"/>
        </w:rPr>
        <w:t>Realising</w:t>
      </w:r>
      <w:r>
        <w:rPr>
          <w:color w:val="231F20"/>
          <w:spacing w:val="6"/>
          <w:sz w:val="17"/>
        </w:rPr>
        <w:t xml:space="preserve"> </w:t>
      </w:r>
      <w:r>
        <w:rPr>
          <w:color w:val="231F20"/>
          <w:sz w:val="17"/>
        </w:rPr>
        <w:t>their</w:t>
      </w:r>
      <w:r>
        <w:rPr>
          <w:color w:val="231F20"/>
          <w:spacing w:val="6"/>
          <w:sz w:val="17"/>
        </w:rPr>
        <w:t xml:space="preserve"> </w:t>
      </w:r>
      <w:r>
        <w:rPr>
          <w:color w:val="231F20"/>
          <w:sz w:val="17"/>
        </w:rPr>
        <w:t>full</w:t>
      </w:r>
      <w:r>
        <w:rPr>
          <w:color w:val="231F20"/>
          <w:spacing w:val="6"/>
          <w:sz w:val="17"/>
        </w:rPr>
        <w:t xml:space="preserve"> </w:t>
      </w:r>
      <w:r>
        <w:rPr>
          <w:color w:val="231F20"/>
          <w:spacing w:val="-2"/>
          <w:sz w:val="17"/>
        </w:rPr>
        <w:t>potential.</w:t>
      </w:r>
    </w:p>
    <w:p w14:paraId="75A91E36" w14:textId="77777777" w:rsidR="00AE0598" w:rsidRDefault="0069255A">
      <w:pPr>
        <w:ind w:left="430"/>
        <w:jc w:val="both"/>
        <w:rPr>
          <w:sz w:val="17"/>
        </w:rPr>
      </w:pPr>
      <w:r>
        <w:rPr>
          <w:i/>
          <w:color w:val="231F20"/>
          <w:sz w:val="17"/>
        </w:rPr>
        <w:t>Tourism Recreation</w:t>
      </w:r>
      <w:r>
        <w:rPr>
          <w:i/>
          <w:color w:val="231F20"/>
          <w:spacing w:val="1"/>
          <w:sz w:val="17"/>
        </w:rPr>
        <w:t xml:space="preserve"> </w:t>
      </w:r>
      <w:r>
        <w:rPr>
          <w:i/>
          <w:color w:val="231F20"/>
          <w:sz w:val="17"/>
        </w:rPr>
        <w:t xml:space="preserve">Research </w:t>
      </w:r>
      <w:r>
        <w:rPr>
          <w:color w:val="231F20"/>
          <w:sz w:val="17"/>
        </w:rPr>
        <w:t>22</w:t>
      </w:r>
      <w:r>
        <w:rPr>
          <w:color w:val="231F20"/>
          <w:spacing w:val="1"/>
          <w:sz w:val="17"/>
        </w:rPr>
        <w:t xml:space="preserve"> </w:t>
      </w:r>
      <w:r>
        <w:rPr>
          <w:color w:val="231F20"/>
          <w:sz w:val="17"/>
        </w:rPr>
        <w:t>(2),</w:t>
      </w:r>
      <w:r>
        <w:rPr>
          <w:color w:val="231F20"/>
          <w:spacing w:val="1"/>
          <w:sz w:val="17"/>
        </w:rPr>
        <w:t xml:space="preserve"> </w:t>
      </w:r>
      <w:r>
        <w:rPr>
          <w:color w:val="231F20"/>
          <w:spacing w:val="-2"/>
          <w:sz w:val="17"/>
        </w:rPr>
        <w:t>49–56.</w:t>
      </w:r>
    </w:p>
    <w:p w14:paraId="73F9047C" w14:textId="77777777" w:rsidR="00AE0598" w:rsidRDefault="0069255A">
      <w:pPr>
        <w:spacing w:before="1"/>
        <w:ind w:left="430" w:right="128" w:hanging="320"/>
        <w:jc w:val="both"/>
        <w:rPr>
          <w:sz w:val="17"/>
        </w:rPr>
      </w:pPr>
      <w:r>
        <w:rPr>
          <w:color w:val="231F20"/>
          <w:w w:val="95"/>
          <w:sz w:val="17"/>
        </w:rPr>
        <w:t xml:space="preserve">Stevenson, D. (1997) Olympic Arts: Sydney 2000 and the Cultural Olympiad. </w:t>
      </w:r>
      <w:r>
        <w:rPr>
          <w:i/>
          <w:color w:val="231F20"/>
          <w:w w:val="95"/>
          <w:sz w:val="17"/>
        </w:rPr>
        <w:t>International</w:t>
      </w:r>
      <w:r>
        <w:rPr>
          <w:i/>
          <w:color w:val="231F20"/>
          <w:spacing w:val="40"/>
          <w:sz w:val="17"/>
        </w:rPr>
        <w:t xml:space="preserve"> </w:t>
      </w:r>
      <w:r>
        <w:rPr>
          <w:i/>
          <w:color w:val="231F20"/>
          <w:sz w:val="17"/>
        </w:rPr>
        <w:t xml:space="preserve">Review for the Sociology of Sport </w:t>
      </w:r>
      <w:r>
        <w:rPr>
          <w:color w:val="231F20"/>
          <w:sz w:val="17"/>
        </w:rPr>
        <w:t>32 (3), 227–238.</w:t>
      </w:r>
    </w:p>
    <w:p w14:paraId="332E0774" w14:textId="77777777" w:rsidR="00AE0598" w:rsidRDefault="0069255A">
      <w:pPr>
        <w:spacing w:before="1"/>
        <w:ind w:left="110" w:right="128" w:hanging="1"/>
        <w:jc w:val="both"/>
        <w:rPr>
          <w:i/>
          <w:sz w:val="17"/>
        </w:rPr>
      </w:pPr>
      <w:r>
        <w:rPr>
          <w:color w:val="231F20"/>
          <w:sz w:val="17"/>
        </w:rPr>
        <w:t xml:space="preserve">Stewart, B. (2001) Fab club. </w:t>
      </w:r>
      <w:r>
        <w:rPr>
          <w:i/>
          <w:color w:val="231F20"/>
          <w:sz w:val="17"/>
        </w:rPr>
        <w:t xml:space="preserve">Australian Leisure Management </w:t>
      </w:r>
      <w:r>
        <w:rPr>
          <w:color w:val="231F20"/>
          <w:spacing w:val="1"/>
          <w:w w:val="125"/>
          <w:sz w:val="17"/>
        </w:rPr>
        <w:t>O</w:t>
      </w:r>
      <w:r>
        <w:rPr>
          <w:color w:val="231F20"/>
          <w:spacing w:val="3"/>
          <w:w w:val="99"/>
          <w:sz w:val="17"/>
        </w:rPr>
        <w:t>c</w:t>
      </w:r>
      <w:r>
        <w:rPr>
          <w:color w:val="231F20"/>
          <w:spacing w:val="-1"/>
          <w:sz w:val="17"/>
        </w:rPr>
        <w:t>to</w:t>
      </w:r>
      <w:r>
        <w:rPr>
          <w:color w:val="231F20"/>
          <w:spacing w:val="1"/>
          <w:sz w:val="17"/>
        </w:rPr>
        <w:t>b</w:t>
      </w:r>
      <w:r>
        <w:rPr>
          <w:color w:val="231F20"/>
          <w:w w:val="90"/>
          <w:sz w:val="17"/>
        </w:rPr>
        <w:t>e</w:t>
      </w:r>
      <w:r>
        <w:rPr>
          <w:color w:val="231F20"/>
          <w:spacing w:val="1"/>
          <w:w w:val="93"/>
          <w:sz w:val="17"/>
        </w:rPr>
        <w:t>r</w:t>
      </w:r>
      <w:r>
        <w:rPr>
          <w:color w:val="231F20"/>
          <w:spacing w:val="7"/>
          <w:w w:val="60"/>
          <w:sz w:val="17"/>
        </w:rPr>
        <w:t>/</w:t>
      </w:r>
      <w:r>
        <w:rPr>
          <w:color w:val="231F20"/>
          <w:spacing w:val="-1"/>
          <w:w w:val="113"/>
          <w:sz w:val="17"/>
        </w:rPr>
        <w:t>N</w:t>
      </w:r>
      <w:r>
        <w:rPr>
          <w:color w:val="231F20"/>
          <w:spacing w:val="-4"/>
          <w:w w:val="113"/>
          <w:sz w:val="17"/>
        </w:rPr>
        <w:t>o</w:t>
      </w:r>
      <w:r>
        <w:rPr>
          <w:color w:val="231F20"/>
          <w:spacing w:val="-3"/>
          <w:w w:val="98"/>
          <w:sz w:val="17"/>
        </w:rPr>
        <w:t>v</w:t>
      </w:r>
      <w:r>
        <w:rPr>
          <w:color w:val="231F20"/>
          <w:w w:val="90"/>
          <w:sz w:val="17"/>
        </w:rPr>
        <w:t>e</w:t>
      </w:r>
      <w:r>
        <w:rPr>
          <w:color w:val="231F20"/>
          <w:spacing w:val="-1"/>
          <w:w w:val="99"/>
          <w:sz w:val="17"/>
        </w:rPr>
        <w:t>m</w:t>
      </w:r>
      <w:r>
        <w:rPr>
          <w:color w:val="231F20"/>
          <w:spacing w:val="1"/>
          <w:w w:val="99"/>
          <w:sz w:val="17"/>
        </w:rPr>
        <w:t>b</w:t>
      </w:r>
      <w:r>
        <w:rPr>
          <w:color w:val="231F20"/>
          <w:w w:val="90"/>
          <w:sz w:val="17"/>
        </w:rPr>
        <w:t>e</w:t>
      </w:r>
      <w:r>
        <w:rPr>
          <w:color w:val="231F20"/>
          <w:spacing w:val="-5"/>
          <w:w w:val="93"/>
          <w:sz w:val="17"/>
        </w:rPr>
        <w:t>r</w:t>
      </w:r>
      <w:r>
        <w:rPr>
          <w:color w:val="231F20"/>
          <w:spacing w:val="-1"/>
          <w:w w:val="135"/>
          <w:sz w:val="17"/>
        </w:rPr>
        <w:t>,</w:t>
      </w:r>
      <w:r>
        <w:rPr>
          <w:color w:val="231F20"/>
          <w:spacing w:val="-1"/>
          <w:w w:val="99"/>
          <w:sz w:val="17"/>
        </w:rPr>
        <w:t xml:space="preserve"> </w:t>
      </w:r>
      <w:r>
        <w:rPr>
          <w:color w:val="231F20"/>
          <w:sz w:val="17"/>
        </w:rPr>
        <w:t>16–19.</w:t>
      </w:r>
      <w:r>
        <w:rPr>
          <w:color w:val="231F20"/>
          <w:spacing w:val="40"/>
          <w:sz w:val="17"/>
        </w:rPr>
        <w:t xml:space="preserve"> </w:t>
      </w:r>
      <w:r>
        <w:rPr>
          <w:color w:val="231F20"/>
          <w:sz w:val="17"/>
        </w:rPr>
        <w:t>Stewart,</w:t>
      </w:r>
      <w:r>
        <w:rPr>
          <w:color w:val="231F20"/>
          <w:spacing w:val="31"/>
          <w:sz w:val="17"/>
        </w:rPr>
        <w:t xml:space="preserve"> </w:t>
      </w:r>
      <w:r>
        <w:rPr>
          <w:color w:val="231F20"/>
          <w:sz w:val="17"/>
        </w:rPr>
        <w:t>B.</w:t>
      </w:r>
      <w:r>
        <w:rPr>
          <w:color w:val="231F20"/>
          <w:spacing w:val="31"/>
          <w:sz w:val="17"/>
        </w:rPr>
        <w:t xml:space="preserve"> </w:t>
      </w:r>
      <w:r>
        <w:rPr>
          <w:color w:val="231F20"/>
          <w:sz w:val="17"/>
        </w:rPr>
        <w:t>and</w:t>
      </w:r>
      <w:r>
        <w:rPr>
          <w:color w:val="231F20"/>
          <w:spacing w:val="31"/>
          <w:sz w:val="17"/>
        </w:rPr>
        <w:t xml:space="preserve"> </w:t>
      </w:r>
      <w:r>
        <w:rPr>
          <w:color w:val="231F20"/>
          <w:sz w:val="17"/>
        </w:rPr>
        <w:t>Smith,</w:t>
      </w:r>
      <w:r>
        <w:rPr>
          <w:color w:val="231F20"/>
          <w:spacing w:val="31"/>
          <w:sz w:val="17"/>
        </w:rPr>
        <w:t xml:space="preserve"> </w:t>
      </w:r>
      <w:r>
        <w:rPr>
          <w:color w:val="231F20"/>
          <w:sz w:val="17"/>
        </w:rPr>
        <w:t>A.</w:t>
      </w:r>
      <w:r>
        <w:rPr>
          <w:color w:val="231F20"/>
          <w:spacing w:val="31"/>
          <w:sz w:val="17"/>
        </w:rPr>
        <w:t xml:space="preserve"> </w:t>
      </w:r>
      <w:r>
        <w:rPr>
          <w:color w:val="231F20"/>
          <w:sz w:val="17"/>
        </w:rPr>
        <w:t>(2000)</w:t>
      </w:r>
      <w:r>
        <w:rPr>
          <w:color w:val="231F20"/>
          <w:spacing w:val="31"/>
          <w:sz w:val="17"/>
        </w:rPr>
        <w:t xml:space="preserve"> </w:t>
      </w:r>
      <w:r>
        <w:rPr>
          <w:color w:val="231F20"/>
          <w:sz w:val="17"/>
        </w:rPr>
        <w:t>Australian</w:t>
      </w:r>
      <w:r>
        <w:rPr>
          <w:color w:val="231F20"/>
          <w:spacing w:val="31"/>
          <w:sz w:val="17"/>
        </w:rPr>
        <w:t xml:space="preserve"> </w:t>
      </w:r>
      <w:r>
        <w:rPr>
          <w:color w:val="231F20"/>
          <w:sz w:val="17"/>
        </w:rPr>
        <w:t>sport</w:t>
      </w:r>
      <w:r>
        <w:rPr>
          <w:color w:val="231F20"/>
          <w:spacing w:val="31"/>
          <w:sz w:val="17"/>
        </w:rPr>
        <w:t xml:space="preserve"> </w:t>
      </w:r>
      <w:r>
        <w:rPr>
          <w:color w:val="231F20"/>
          <w:sz w:val="17"/>
        </w:rPr>
        <w:t>in</w:t>
      </w:r>
      <w:r>
        <w:rPr>
          <w:color w:val="231F20"/>
          <w:spacing w:val="31"/>
          <w:sz w:val="17"/>
        </w:rPr>
        <w:t xml:space="preserve"> </w:t>
      </w:r>
      <w:r>
        <w:rPr>
          <w:color w:val="231F20"/>
          <w:sz w:val="17"/>
        </w:rPr>
        <w:t>a</w:t>
      </w:r>
      <w:r>
        <w:rPr>
          <w:color w:val="231F20"/>
          <w:spacing w:val="31"/>
          <w:sz w:val="17"/>
        </w:rPr>
        <w:t xml:space="preserve"> </w:t>
      </w:r>
      <w:r>
        <w:rPr>
          <w:color w:val="231F20"/>
          <w:sz w:val="17"/>
        </w:rPr>
        <w:t>postmodern</w:t>
      </w:r>
      <w:r>
        <w:rPr>
          <w:color w:val="231F20"/>
          <w:spacing w:val="31"/>
          <w:sz w:val="17"/>
        </w:rPr>
        <w:t xml:space="preserve"> </w:t>
      </w:r>
      <w:r>
        <w:rPr>
          <w:color w:val="231F20"/>
          <w:sz w:val="17"/>
        </w:rPr>
        <w:t>age.</w:t>
      </w:r>
      <w:r>
        <w:rPr>
          <w:color w:val="231F20"/>
          <w:spacing w:val="31"/>
          <w:sz w:val="17"/>
        </w:rPr>
        <w:t xml:space="preserve"> </w:t>
      </w:r>
      <w:r>
        <w:rPr>
          <w:i/>
          <w:color w:val="231F20"/>
          <w:sz w:val="17"/>
        </w:rPr>
        <w:t>International</w:t>
      </w:r>
    </w:p>
    <w:p w14:paraId="07E0B11B" w14:textId="77777777" w:rsidR="00AE0598" w:rsidRDefault="0069255A">
      <w:pPr>
        <w:spacing w:before="2"/>
        <w:ind w:left="430"/>
        <w:jc w:val="both"/>
        <w:rPr>
          <w:sz w:val="17"/>
        </w:rPr>
      </w:pPr>
      <w:r>
        <w:rPr>
          <w:i/>
          <w:color w:val="231F20"/>
          <w:sz w:val="17"/>
        </w:rPr>
        <w:t>Journal</w:t>
      </w:r>
      <w:r>
        <w:rPr>
          <w:i/>
          <w:color w:val="231F20"/>
          <w:spacing w:val="5"/>
          <w:sz w:val="17"/>
        </w:rPr>
        <w:t xml:space="preserve"> </w:t>
      </w:r>
      <w:r>
        <w:rPr>
          <w:i/>
          <w:color w:val="231F20"/>
          <w:sz w:val="17"/>
        </w:rPr>
        <w:t>of</w:t>
      </w:r>
      <w:r>
        <w:rPr>
          <w:i/>
          <w:color w:val="231F20"/>
          <w:spacing w:val="5"/>
          <w:sz w:val="17"/>
        </w:rPr>
        <w:t xml:space="preserve"> </w:t>
      </w:r>
      <w:r>
        <w:rPr>
          <w:i/>
          <w:color w:val="231F20"/>
          <w:sz w:val="17"/>
        </w:rPr>
        <w:t>the</w:t>
      </w:r>
      <w:r>
        <w:rPr>
          <w:i/>
          <w:color w:val="231F20"/>
          <w:spacing w:val="5"/>
          <w:sz w:val="17"/>
        </w:rPr>
        <w:t xml:space="preserve"> </w:t>
      </w:r>
      <w:r>
        <w:rPr>
          <w:i/>
          <w:color w:val="231F20"/>
          <w:sz w:val="17"/>
        </w:rPr>
        <w:t>History</w:t>
      </w:r>
      <w:r>
        <w:rPr>
          <w:i/>
          <w:color w:val="231F20"/>
          <w:spacing w:val="5"/>
          <w:sz w:val="17"/>
        </w:rPr>
        <w:t xml:space="preserve"> </w:t>
      </w:r>
      <w:r>
        <w:rPr>
          <w:i/>
          <w:color w:val="231F20"/>
          <w:sz w:val="17"/>
        </w:rPr>
        <w:t>of</w:t>
      </w:r>
      <w:r>
        <w:rPr>
          <w:i/>
          <w:color w:val="231F20"/>
          <w:spacing w:val="5"/>
          <w:sz w:val="17"/>
        </w:rPr>
        <w:t xml:space="preserve"> </w:t>
      </w:r>
      <w:r>
        <w:rPr>
          <w:i/>
          <w:color w:val="231F20"/>
          <w:sz w:val="17"/>
        </w:rPr>
        <w:t>Sport</w:t>
      </w:r>
      <w:r>
        <w:rPr>
          <w:i/>
          <w:color w:val="231F20"/>
          <w:spacing w:val="5"/>
          <w:sz w:val="17"/>
        </w:rPr>
        <w:t xml:space="preserve"> </w:t>
      </w:r>
      <w:r>
        <w:rPr>
          <w:color w:val="231F20"/>
          <w:sz w:val="17"/>
        </w:rPr>
        <w:t>17</w:t>
      </w:r>
      <w:r>
        <w:rPr>
          <w:color w:val="231F20"/>
          <w:spacing w:val="5"/>
          <w:sz w:val="17"/>
        </w:rPr>
        <w:t xml:space="preserve"> </w:t>
      </w:r>
      <w:r>
        <w:rPr>
          <w:color w:val="231F20"/>
          <w:spacing w:val="-1"/>
          <w:w w:val="95"/>
          <w:sz w:val="17"/>
        </w:rPr>
        <w:t>(</w:t>
      </w:r>
      <w:r>
        <w:rPr>
          <w:color w:val="231F20"/>
          <w:spacing w:val="7"/>
          <w:w w:val="97"/>
          <w:sz w:val="17"/>
        </w:rPr>
        <w:t>2</w:t>
      </w:r>
      <w:r>
        <w:rPr>
          <w:color w:val="231F20"/>
          <w:w w:val="68"/>
          <w:sz w:val="17"/>
        </w:rPr>
        <w:t>/</w:t>
      </w:r>
      <w:r>
        <w:rPr>
          <w:color w:val="231F20"/>
          <w:spacing w:val="-3"/>
          <w:w w:val="97"/>
          <w:sz w:val="17"/>
        </w:rPr>
        <w:t>3</w:t>
      </w:r>
      <w:r>
        <w:rPr>
          <w:color w:val="231F20"/>
          <w:spacing w:val="-6"/>
          <w:w w:val="95"/>
          <w:sz w:val="17"/>
        </w:rPr>
        <w:t>)</w:t>
      </w:r>
      <w:r>
        <w:rPr>
          <w:color w:val="231F20"/>
          <w:spacing w:val="-2"/>
          <w:w w:val="143"/>
          <w:sz w:val="17"/>
        </w:rPr>
        <w:t>,</w:t>
      </w:r>
      <w:r>
        <w:rPr>
          <w:color w:val="231F20"/>
          <w:spacing w:val="5"/>
          <w:sz w:val="17"/>
        </w:rPr>
        <w:t xml:space="preserve"> </w:t>
      </w:r>
      <w:r>
        <w:rPr>
          <w:color w:val="231F20"/>
          <w:spacing w:val="-2"/>
          <w:sz w:val="17"/>
        </w:rPr>
        <w:t>278–304.</w:t>
      </w:r>
    </w:p>
    <w:p w14:paraId="51F7029E" w14:textId="77777777" w:rsidR="00AE0598" w:rsidRDefault="0069255A">
      <w:pPr>
        <w:spacing w:before="1"/>
        <w:ind w:left="430" w:hanging="320"/>
        <w:rPr>
          <w:sz w:val="17"/>
        </w:rPr>
      </w:pPr>
      <w:r>
        <w:rPr>
          <w:color w:val="231F20"/>
          <w:sz w:val="17"/>
        </w:rPr>
        <w:t>Stewart,</w:t>
      </w:r>
      <w:r>
        <w:rPr>
          <w:color w:val="231F20"/>
          <w:spacing w:val="31"/>
          <w:sz w:val="17"/>
        </w:rPr>
        <w:t xml:space="preserve"> </w:t>
      </w:r>
      <w:r>
        <w:rPr>
          <w:color w:val="231F20"/>
          <w:sz w:val="17"/>
        </w:rPr>
        <w:t>B.,</w:t>
      </w:r>
      <w:r>
        <w:rPr>
          <w:color w:val="231F20"/>
          <w:spacing w:val="30"/>
          <w:sz w:val="17"/>
        </w:rPr>
        <w:t xml:space="preserve"> </w:t>
      </w:r>
      <w:r>
        <w:rPr>
          <w:color w:val="231F20"/>
          <w:sz w:val="17"/>
        </w:rPr>
        <w:t>Smith,</w:t>
      </w:r>
      <w:r>
        <w:rPr>
          <w:color w:val="231F20"/>
          <w:spacing w:val="31"/>
          <w:sz w:val="17"/>
        </w:rPr>
        <w:t xml:space="preserve"> </w:t>
      </w:r>
      <w:r>
        <w:rPr>
          <w:color w:val="231F20"/>
          <w:sz w:val="17"/>
        </w:rPr>
        <w:t>A.</w:t>
      </w:r>
      <w:r>
        <w:rPr>
          <w:color w:val="231F20"/>
          <w:spacing w:val="31"/>
          <w:sz w:val="17"/>
        </w:rPr>
        <w:t xml:space="preserve"> </w:t>
      </w:r>
      <w:r>
        <w:rPr>
          <w:color w:val="231F20"/>
          <w:sz w:val="17"/>
        </w:rPr>
        <w:t>and</w:t>
      </w:r>
      <w:r>
        <w:rPr>
          <w:color w:val="231F20"/>
          <w:spacing w:val="30"/>
          <w:sz w:val="17"/>
        </w:rPr>
        <w:t xml:space="preserve"> </w:t>
      </w:r>
      <w:r>
        <w:rPr>
          <w:color w:val="231F20"/>
          <w:sz w:val="17"/>
        </w:rPr>
        <w:t>Nicholson,</w:t>
      </w:r>
      <w:r>
        <w:rPr>
          <w:color w:val="231F20"/>
          <w:spacing w:val="31"/>
          <w:sz w:val="17"/>
        </w:rPr>
        <w:t xml:space="preserve"> </w:t>
      </w:r>
      <w:r>
        <w:rPr>
          <w:color w:val="231F20"/>
          <w:sz w:val="17"/>
        </w:rPr>
        <w:t>M.</w:t>
      </w:r>
      <w:r>
        <w:rPr>
          <w:color w:val="231F20"/>
          <w:spacing w:val="31"/>
          <w:sz w:val="17"/>
        </w:rPr>
        <w:t xml:space="preserve"> </w:t>
      </w:r>
      <w:r>
        <w:rPr>
          <w:color w:val="231F20"/>
          <w:sz w:val="17"/>
        </w:rPr>
        <w:t>(2003)</w:t>
      </w:r>
      <w:r>
        <w:rPr>
          <w:color w:val="231F20"/>
          <w:spacing w:val="30"/>
          <w:sz w:val="17"/>
        </w:rPr>
        <w:t xml:space="preserve"> </w:t>
      </w:r>
      <w:r>
        <w:rPr>
          <w:color w:val="231F20"/>
          <w:sz w:val="17"/>
        </w:rPr>
        <w:t>Sport</w:t>
      </w:r>
      <w:r>
        <w:rPr>
          <w:color w:val="231F20"/>
          <w:spacing w:val="30"/>
          <w:sz w:val="17"/>
        </w:rPr>
        <w:t xml:space="preserve"> </w:t>
      </w:r>
      <w:r>
        <w:rPr>
          <w:color w:val="231F20"/>
          <w:sz w:val="17"/>
        </w:rPr>
        <w:t>consumer</w:t>
      </w:r>
      <w:r>
        <w:rPr>
          <w:color w:val="231F20"/>
          <w:spacing w:val="31"/>
          <w:sz w:val="17"/>
        </w:rPr>
        <w:t xml:space="preserve"> </w:t>
      </w:r>
      <w:r>
        <w:rPr>
          <w:color w:val="231F20"/>
          <w:sz w:val="17"/>
        </w:rPr>
        <w:t>typologies:</w:t>
      </w:r>
      <w:r>
        <w:rPr>
          <w:color w:val="231F20"/>
          <w:spacing w:val="30"/>
          <w:sz w:val="17"/>
        </w:rPr>
        <w:t xml:space="preserve"> </w:t>
      </w:r>
      <w:r>
        <w:rPr>
          <w:color w:val="231F20"/>
          <w:sz w:val="17"/>
        </w:rPr>
        <w:t>A</w:t>
      </w:r>
      <w:r>
        <w:rPr>
          <w:color w:val="231F20"/>
          <w:spacing w:val="30"/>
          <w:sz w:val="17"/>
        </w:rPr>
        <w:t xml:space="preserve"> </w:t>
      </w:r>
      <w:r>
        <w:rPr>
          <w:color w:val="231F20"/>
          <w:sz w:val="17"/>
        </w:rPr>
        <w:t>critical</w:t>
      </w:r>
      <w:r>
        <w:rPr>
          <w:color w:val="231F20"/>
          <w:spacing w:val="40"/>
          <w:sz w:val="17"/>
        </w:rPr>
        <w:t xml:space="preserve"> </w:t>
      </w:r>
      <w:r>
        <w:rPr>
          <w:color w:val="231F20"/>
          <w:sz w:val="17"/>
        </w:rPr>
        <w:t xml:space="preserve">review. </w:t>
      </w:r>
      <w:r>
        <w:rPr>
          <w:i/>
          <w:color w:val="231F20"/>
          <w:sz w:val="17"/>
        </w:rPr>
        <w:t xml:space="preserve">Sport Marketing Quarterly </w:t>
      </w:r>
      <w:r>
        <w:rPr>
          <w:color w:val="231F20"/>
          <w:sz w:val="17"/>
        </w:rPr>
        <w:t>12 (4), 206–216.</w:t>
      </w:r>
    </w:p>
    <w:p w14:paraId="0C2C4EE1" w14:textId="77777777" w:rsidR="00AE0598" w:rsidRDefault="0069255A">
      <w:pPr>
        <w:spacing w:before="1"/>
        <w:ind w:left="430" w:right="156" w:hanging="320"/>
        <w:rPr>
          <w:sz w:val="17"/>
        </w:rPr>
      </w:pPr>
      <w:r>
        <w:rPr>
          <w:color w:val="231F20"/>
          <w:sz w:val="17"/>
        </w:rPr>
        <w:t xml:space="preserve">Stewart, </w:t>
      </w:r>
      <w:r>
        <w:rPr>
          <w:color w:val="231F20"/>
          <w:w w:val="110"/>
          <w:sz w:val="17"/>
        </w:rPr>
        <w:t xml:space="preserve">J.J. </w:t>
      </w:r>
      <w:r>
        <w:rPr>
          <w:color w:val="231F20"/>
          <w:sz w:val="17"/>
        </w:rPr>
        <w:t xml:space="preserve">(1987) The commodification of sport. </w:t>
      </w:r>
      <w:r>
        <w:rPr>
          <w:i/>
          <w:color w:val="231F20"/>
          <w:sz w:val="17"/>
        </w:rPr>
        <w:t>International Review for the Sociology</w:t>
      </w:r>
      <w:r>
        <w:rPr>
          <w:i/>
          <w:color w:val="231F20"/>
          <w:spacing w:val="40"/>
          <w:sz w:val="17"/>
        </w:rPr>
        <w:t xml:space="preserve"> </w:t>
      </w:r>
      <w:r>
        <w:rPr>
          <w:i/>
          <w:color w:val="231F20"/>
          <w:sz w:val="17"/>
        </w:rPr>
        <w:t xml:space="preserve">of Sport </w:t>
      </w:r>
      <w:r>
        <w:rPr>
          <w:color w:val="231F20"/>
          <w:sz w:val="17"/>
        </w:rPr>
        <w:t>22, 170–190.</w:t>
      </w:r>
    </w:p>
    <w:p w14:paraId="1ADABB4C" w14:textId="77777777" w:rsidR="00AE0598" w:rsidRDefault="0069255A">
      <w:pPr>
        <w:spacing w:before="1"/>
        <w:ind w:left="430" w:right="156" w:hanging="320"/>
        <w:rPr>
          <w:sz w:val="17"/>
        </w:rPr>
      </w:pPr>
      <w:r>
        <w:rPr>
          <w:color w:val="231F20"/>
          <w:w w:val="95"/>
          <w:sz w:val="17"/>
        </w:rPr>
        <w:t xml:space="preserve">Stranger, M. (2010) Surface and substructure: Beneath surfing’s commodified surface. </w:t>
      </w:r>
      <w:r>
        <w:rPr>
          <w:i/>
          <w:color w:val="231F20"/>
          <w:w w:val="95"/>
          <w:sz w:val="17"/>
        </w:rPr>
        <w:t>Sport</w:t>
      </w:r>
      <w:r>
        <w:rPr>
          <w:i/>
          <w:color w:val="231F20"/>
          <w:spacing w:val="40"/>
          <w:sz w:val="17"/>
        </w:rPr>
        <w:t xml:space="preserve"> </w:t>
      </w:r>
      <w:r>
        <w:rPr>
          <w:i/>
          <w:color w:val="231F20"/>
          <w:sz w:val="17"/>
        </w:rPr>
        <w:t xml:space="preserve">in Society </w:t>
      </w:r>
      <w:r>
        <w:rPr>
          <w:color w:val="231F20"/>
          <w:sz w:val="17"/>
        </w:rPr>
        <w:t>13 (7–8), 1117–1134.</w:t>
      </w:r>
    </w:p>
    <w:p w14:paraId="545016DE" w14:textId="77777777" w:rsidR="00AE0598" w:rsidRDefault="0069255A">
      <w:pPr>
        <w:spacing w:before="2"/>
        <w:ind w:left="110" w:right="127"/>
        <w:jc w:val="right"/>
        <w:rPr>
          <w:sz w:val="17"/>
        </w:rPr>
      </w:pPr>
      <w:r>
        <w:rPr>
          <w:color w:val="231F20"/>
          <w:sz w:val="17"/>
        </w:rPr>
        <w:t>Su,</w:t>
      </w:r>
      <w:r>
        <w:rPr>
          <w:color w:val="231F20"/>
          <w:spacing w:val="13"/>
          <w:sz w:val="17"/>
        </w:rPr>
        <w:t xml:space="preserve"> </w:t>
      </w:r>
      <w:r>
        <w:rPr>
          <w:color w:val="231F20"/>
          <w:sz w:val="17"/>
        </w:rPr>
        <w:t>C.</w:t>
      </w:r>
      <w:r>
        <w:rPr>
          <w:color w:val="231F20"/>
          <w:spacing w:val="13"/>
          <w:sz w:val="17"/>
        </w:rPr>
        <w:t xml:space="preserve"> </w:t>
      </w:r>
      <w:r>
        <w:rPr>
          <w:color w:val="231F20"/>
          <w:sz w:val="17"/>
        </w:rPr>
        <w:t>(2014)</w:t>
      </w:r>
      <w:r>
        <w:rPr>
          <w:color w:val="231F20"/>
          <w:spacing w:val="13"/>
          <w:sz w:val="17"/>
        </w:rPr>
        <w:t xml:space="preserve"> </w:t>
      </w:r>
      <w:r>
        <w:rPr>
          <w:color w:val="231F20"/>
          <w:sz w:val="17"/>
        </w:rPr>
        <w:t>From</w:t>
      </w:r>
      <w:r>
        <w:rPr>
          <w:color w:val="231F20"/>
          <w:spacing w:val="13"/>
          <w:sz w:val="17"/>
        </w:rPr>
        <w:t xml:space="preserve"> </w:t>
      </w:r>
      <w:r>
        <w:rPr>
          <w:color w:val="231F20"/>
          <w:sz w:val="17"/>
        </w:rPr>
        <w:t>perpetual</w:t>
      </w:r>
      <w:r>
        <w:rPr>
          <w:color w:val="231F20"/>
          <w:spacing w:val="13"/>
          <w:sz w:val="17"/>
        </w:rPr>
        <w:t xml:space="preserve"> </w:t>
      </w:r>
      <w:r>
        <w:rPr>
          <w:color w:val="231F20"/>
          <w:sz w:val="17"/>
        </w:rPr>
        <w:t>foreigner</w:t>
      </w:r>
      <w:r>
        <w:rPr>
          <w:color w:val="231F20"/>
          <w:spacing w:val="13"/>
          <w:sz w:val="17"/>
        </w:rPr>
        <w:t xml:space="preserve"> </w:t>
      </w:r>
      <w:r>
        <w:rPr>
          <w:color w:val="231F20"/>
          <w:sz w:val="17"/>
        </w:rPr>
        <w:t>to</w:t>
      </w:r>
      <w:r>
        <w:rPr>
          <w:color w:val="231F20"/>
          <w:spacing w:val="13"/>
          <w:sz w:val="17"/>
        </w:rPr>
        <w:t xml:space="preserve"> </w:t>
      </w:r>
      <w:r>
        <w:rPr>
          <w:color w:val="231F20"/>
          <w:sz w:val="17"/>
        </w:rPr>
        <w:t>national</w:t>
      </w:r>
      <w:r>
        <w:rPr>
          <w:color w:val="231F20"/>
          <w:spacing w:val="13"/>
          <w:sz w:val="17"/>
        </w:rPr>
        <w:t xml:space="preserve"> </w:t>
      </w:r>
      <w:r>
        <w:rPr>
          <w:color w:val="231F20"/>
          <w:sz w:val="17"/>
        </w:rPr>
        <w:t>hero:</w:t>
      </w:r>
      <w:r>
        <w:rPr>
          <w:color w:val="231F20"/>
          <w:spacing w:val="13"/>
          <w:sz w:val="17"/>
        </w:rPr>
        <w:t xml:space="preserve"> </w:t>
      </w:r>
      <w:r>
        <w:rPr>
          <w:color w:val="231F20"/>
          <w:sz w:val="17"/>
        </w:rPr>
        <w:t>A</w:t>
      </w:r>
      <w:r>
        <w:rPr>
          <w:color w:val="231F20"/>
          <w:spacing w:val="13"/>
          <w:sz w:val="17"/>
        </w:rPr>
        <w:t xml:space="preserve"> </w:t>
      </w:r>
      <w:r>
        <w:rPr>
          <w:color w:val="231F20"/>
          <w:sz w:val="17"/>
        </w:rPr>
        <w:t>narrative</w:t>
      </w:r>
      <w:r>
        <w:rPr>
          <w:color w:val="231F20"/>
          <w:spacing w:val="13"/>
          <w:sz w:val="17"/>
        </w:rPr>
        <w:t xml:space="preserve"> </w:t>
      </w:r>
      <w:r>
        <w:rPr>
          <w:color w:val="231F20"/>
          <w:sz w:val="17"/>
        </w:rPr>
        <w:t>analysis</w:t>
      </w:r>
      <w:r>
        <w:rPr>
          <w:color w:val="231F20"/>
          <w:spacing w:val="13"/>
          <w:sz w:val="17"/>
        </w:rPr>
        <w:t xml:space="preserve"> </w:t>
      </w:r>
      <w:r>
        <w:rPr>
          <w:color w:val="231F20"/>
          <w:sz w:val="17"/>
        </w:rPr>
        <w:t>of</w:t>
      </w:r>
      <w:r>
        <w:rPr>
          <w:color w:val="231F20"/>
          <w:spacing w:val="13"/>
          <w:sz w:val="17"/>
        </w:rPr>
        <w:t xml:space="preserve"> </w:t>
      </w:r>
      <w:r>
        <w:rPr>
          <w:color w:val="231F20"/>
          <w:sz w:val="17"/>
        </w:rPr>
        <w:t>US</w:t>
      </w:r>
      <w:r>
        <w:rPr>
          <w:color w:val="231F20"/>
          <w:spacing w:val="13"/>
          <w:sz w:val="17"/>
        </w:rPr>
        <w:t xml:space="preserve"> </w:t>
      </w:r>
      <w:r>
        <w:rPr>
          <w:color w:val="231F20"/>
          <w:sz w:val="17"/>
        </w:rPr>
        <w:t>and</w:t>
      </w:r>
      <w:r>
        <w:rPr>
          <w:color w:val="231F20"/>
          <w:spacing w:val="40"/>
          <w:sz w:val="17"/>
        </w:rPr>
        <w:t xml:space="preserve"> </w:t>
      </w:r>
      <w:r>
        <w:rPr>
          <w:color w:val="231F20"/>
          <w:sz w:val="17"/>
        </w:rPr>
        <w:t>Taiwanese</w:t>
      </w:r>
      <w:r>
        <w:rPr>
          <w:color w:val="231F20"/>
          <w:spacing w:val="-7"/>
          <w:sz w:val="17"/>
        </w:rPr>
        <w:t xml:space="preserve"> </w:t>
      </w:r>
      <w:r>
        <w:rPr>
          <w:color w:val="231F20"/>
          <w:sz w:val="17"/>
        </w:rPr>
        <w:t>news</w:t>
      </w:r>
      <w:r>
        <w:rPr>
          <w:color w:val="231F20"/>
          <w:spacing w:val="-7"/>
          <w:sz w:val="17"/>
        </w:rPr>
        <w:t xml:space="preserve"> </w:t>
      </w:r>
      <w:r>
        <w:rPr>
          <w:color w:val="231F20"/>
          <w:sz w:val="17"/>
        </w:rPr>
        <w:t>coverage</w:t>
      </w:r>
      <w:r>
        <w:rPr>
          <w:color w:val="231F20"/>
          <w:spacing w:val="-7"/>
          <w:sz w:val="17"/>
        </w:rPr>
        <w:t xml:space="preserve"> </w:t>
      </w:r>
      <w:r>
        <w:rPr>
          <w:color w:val="231F20"/>
          <w:sz w:val="17"/>
        </w:rPr>
        <w:t>of</w:t>
      </w:r>
      <w:r>
        <w:rPr>
          <w:color w:val="231F20"/>
          <w:spacing w:val="-7"/>
          <w:sz w:val="17"/>
        </w:rPr>
        <w:t xml:space="preserve"> </w:t>
      </w:r>
      <w:r>
        <w:rPr>
          <w:color w:val="231F20"/>
          <w:sz w:val="17"/>
        </w:rPr>
        <w:t>linsanity.</w:t>
      </w:r>
      <w:r>
        <w:rPr>
          <w:color w:val="231F20"/>
          <w:spacing w:val="-7"/>
          <w:sz w:val="17"/>
        </w:rPr>
        <w:t xml:space="preserve"> </w:t>
      </w:r>
      <w:r>
        <w:rPr>
          <w:i/>
          <w:color w:val="231F20"/>
          <w:sz w:val="17"/>
        </w:rPr>
        <w:t>Asian</w:t>
      </w:r>
      <w:r>
        <w:rPr>
          <w:i/>
          <w:color w:val="231F20"/>
          <w:spacing w:val="-7"/>
          <w:sz w:val="17"/>
        </w:rPr>
        <w:t xml:space="preserve"> </w:t>
      </w:r>
      <w:r>
        <w:rPr>
          <w:i/>
          <w:color w:val="231F20"/>
          <w:sz w:val="17"/>
        </w:rPr>
        <w:t>Journal</w:t>
      </w:r>
      <w:r>
        <w:rPr>
          <w:i/>
          <w:color w:val="231F20"/>
          <w:spacing w:val="-7"/>
          <w:sz w:val="17"/>
        </w:rPr>
        <w:t xml:space="preserve"> </w:t>
      </w:r>
      <w:r>
        <w:rPr>
          <w:i/>
          <w:color w:val="231F20"/>
          <w:sz w:val="17"/>
        </w:rPr>
        <w:t>of</w:t>
      </w:r>
      <w:r>
        <w:rPr>
          <w:i/>
          <w:color w:val="231F20"/>
          <w:spacing w:val="-7"/>
          <w:sz w:val="17"/>
        </w:rPr>
        <w:t xml:space="preserve"> </w:t>
      </w:r>
      <w:r>
        <w:rPr>
          <w:i/>
          <w:color w:val="231F20"/>
          <w:sz w:val="17"/>
        </w:rPr>
        <w:t>Communication</w:t>
      </w:r>
      <w:r>
        <w:rPr>
          <w:i/>
          <w:color w:val="231F20"/>
          <w:spacing w:val="-7"/>
          <w:sz w:val="17"/>
        </w:rPr>
        <w:t xml:space="preserve"> </w:t>
      </w:r>
      <w:r>
        <w:rPr>
          <w:color w:val="231F20"/>
          <w:sz w:val="17"/>
        </w:rPr>
        <w:t>24</w:t>
      </w:r>
      <w:r>
        <w:rPr>
          <w:color w:val="231F20"/>
          <w:spacing w:val="-7"/>
          <w:sz w:val="17"/>
        </w:rPr>
        <w:t xml:space="preserve"> </w:t>
      </w:r>
      <w:r>
        <w:rPr>
          <w:color w:val="231F20"/>
          <w:sz w:val="17"/>
        </w:rPr>
        <w:t>(5),</w:t>
      </w:r>
      <w:r>
        <w:rPr>
          <w:color w:val="231F20"/>
          <w:spacing w:val="-7"/>
          <w:sz w:val="17"/>
        </w:rPr>
        <w:t xml:space="preserve"> </w:t>
      </w:r>
      <w:r>
        <w:rPr>
          <w:color w:val="231F20"/>
          <w:sz w:val="17"/>
        </w:rPr>
        <w:t>474–489.</w:t>
      </w:r>
    </w:p>
    <w:p w14:paraId="1F8A2EB3" w14:textId="77777777" w:rsidR="00AE0598" w:rsidRDefault="0069255A">
      <w:pPr>
        <w:spacing w:before="1"/>
        <w:ind w:left="430" w:right="127" w:hanging="320"/>
        <w:jc w:val="both"/>
        <w:rPr>
          <w:sz w:val="17"/>
        </w:rPr>
      </w:pPr>
      <w:r>
        <w:rPr>
          <w:color w:val="231F20"/>
          <w:w w:val="95"/>
          <w:sz w:val="17"/>
        </w:rPr>
        <w:t>Sugden, J. and Tomlinson, A. (1996) What’s left when the circus leaves town? An evaluation</w:t>
      </w:r>
      <w:r>
        <w:rPr>
          <w:color w:val="231F20"/>
          <w:spacing w:val="80"/>
          <w:sz w:val="17"/>
        </w:rPr>
        <w:t xml:space="preserve"> </w:t>
      </w:r>
      <w:r>
        <w:rPr>
          <w:color w:val="231F20"/>
          <w:sz w:val="17"/>
        </w:rPr>
        <w:t xml:space="preserve">of World Cup USA 1994. </w:t>
      </w:r>
      <w:r>
        <w:rPr>
          <w:i/>
          <w:color w:val="231F20"/>
          <w:sz w:val="17"/>
        </w:rPr>
        <w:t xml:space="preserve">Sociology of Sport Journal </w:t>
      </w:r>
      <w:r>
        <w:rPr>
          <w:color w:val="231F20"/>
          <w:sz w:val="17"/>
        </w:rPr>
        <w:t>13 (3), 238–258.</w:t>
      </w:r>
    </w:p>
    <w:p w14:paraId="132E39A9" w14:textId="77777777" w:rsidR="00AE0598" w:rsidRDefault="0069255A">
      <w:pPr>
        <w:spacing w:before="2"/>
        <w:ind w:left="430" w:right="127" w:hanging="320"/>
        <w:jc w:val="both"/>
        <w:rPr>
          <w:sz w:val="17"/>
        </w:rPr>
      </w:pPr>
      <w:r>
        <w:rPr>
          <w:color w:val="231F20"/>
          <w:sz w:val="17"/>
        </w:rPr>
        <w:t>SUKOM (1996, April) ‘Let’s Make it Great’ (Issue No. 3, Restricted Circulation). Report to</w:t>
      </w:r>
      <w:r>
        <w:rPr>
          <w:color w:val="231F20"/>
          <w:spacing w:val="40"/>
          <w:sz w:val="17"/>
        </w:rPr>
        <w:t xml:space="preserve"> </w:t>
      </w:r>
      <w:r>
        <w:rPr>
          <w:color w:val="231F20"/>
          <w:sz w:val="17"/>
        </w:rPr>
        <w:t>the Gen</w:t>
      </w:r>
      <w:r>
        <w:rPr>
          <w:color w:val="231F20"/>
          <w:sz w:val="17"/>
        </w:rPr>
        <w:t>eral Assembly of the Commonwealth Games Federation. SUKOM 98 Berhad,</w:t>
      </w:r>
      <w:r>
        <w:rPr>
          <w:color w:val="231F20"/>
          <w:spacing w:val="40"/>
          <w:sz w:val="17"/>
        </w:rPr>
        <w:t xml:space="preserve"> </w:t>
      </w:r>
      <w:r>
        <w:rPr>
          <w:color w:val="231F20"/>
          <w:sz w:val="17"/>
        </w:rPr>
        <w:t>Kuala Lumpur.</w:t>
      </w:r>
    </w:p>
    <w:p w14:paraId="6F66B772" w14:textId="77777777" w:rsidR="00AE0598" w:rsidRDefault="0069255A">
      <w:pPr>
        <w:spacing w:before="2"/>
        <w:ind w:left="430" w:right="128" w:hanging="320"/>
        <w:jc w:val="both"/>
        <w:rPr>
          <w:sz w:val="17"/>
        </w:rPr>
      </w:pPr>
      <w:r>
        <w:rPr>
          <w:color w:val="231F20"/>
          <w:w w:val="95"/>
          <w:sz w:val="17"/>
        </w:rPr>
        <w:t>SUKOM (1998) Walkabout: Special edition for Kuala Lumpur 98. Kuala Lumpur: Malaysia-</w:t>
      </w:r>
      <w:r>
        <w:rPr>
          <w:color w:val="231F20"/>
          <w:spacing w:val="40"/>
          <w:sz w:val="17"/>
        </w:rPr>
        <w:t xml:space="preserve"> </w:t>
      </w:r>
      <w:r>
        <w:rPr>
          <w:color w:val="231F20"/>
          <w:sz w:val="17"/>
        </w:rPr>
        <w:t xml:space="preserve">On-Call Sdn. </w:t>
      </w:r>
      <w:r>
        <w:rPr>
          <w:color w:val="231F20"/>
          <w:spacing w:val="1"/>
          <w:w w:val="92"/>
          <w:sz w:val="17"/>
        </w:rPr>
        <w:t>B</w:t>
      </w:r>
      <w:r>
        <w:rPr>
          <w:color w:val="231F20"/>
          <w:spacing w:val="-2"/>
          <w:w w:val="93"/>
          <w:sz w:val="17"/>
        </w:rPr>
        <w:t>h</w:t>
      </w:r>
      <w:r>
        <w:rPr>
          <w:color w:val="231F20"/>
          <w:w w:val="92"/>
          <w:sz w:val="17"/>
        </w:rPr>
        <w:t>d</w:t>
      </w:r>
      <w:r>
        <w:rPr>
          <w:color w:val="231F20"/>
          <w:spacing w:val="4"/>
          <w:w w:val="129"/>
          <w:sz w:val="17"/>
        </w:rPr>
        <w:t>.</w:t>
      </w:r>
      <w:r>
        <w:rPr>
          <w:color w:val="231F20"/>
          <w:w w:val="54"/>
          <w:sz w:val="17"/>
        </w:rPr>
        <w:t>/</w:t>
      </w:r>
      <w:r>
        <w:rPr>
          <w:color w:val="231F20"/>
          <w:spacing w:val="1"/>
          <w:w w:val="93"/>
          <w:sz w:val="17"/>
        </w:rPr>
        <w:t>S</w:t>
      </w:r>
      <w:r>
        <w:rPr>
          <w:color w:val="231F20"/>
          <w:spacing w:val="4"/>
          <w:w w:val="104"/>
          <w:sz w:val="17"/>
        </w:rPr>
        <w:t>U</w:t>
      </w:r>
      <w:r>
        <w:rPr>
          <w:color w:val="231F20"/>
          <w:spacing w:val="-8"/>
          <w:w w:val="107"/>
          <w:sz w:val="17"/>
        </w:rPr>
        <w:t>K</w:t>
      </w:r>
      <w:r>
        <w:rPr>
          <w:color w:val="231F20"/>
          <w:spacing w:val="-4"/>
          <w:w w:val="119"/>
          <w:sz w:val="17"/>
        </w:rPr>
        <w:t>O</w:t>
      </w:r>
      <w:r>
        <w:rPr>
          <w:color w:val="231F20"/>
          <w:spacing w:val="-2"/>
          <w:w w:val="114"/>
          <w:sz w:val="17"/>
        </w:rPr>
        <w:t>M</w:t>
      </w:r>
      <w:r>
        <w:rPr>
          <w:color w:val="231F20"/>
          <w:spacing w:val="-1"/>
          <w:w w:val="99"/>
          <w:sz w:val="17"/>
        </w:rPr>
        <w:t xml:space="preserve"> </w:t>
      </w:r>
      <w:r>
        <w:rPr>
          <w:color w:val="231F20"/>
          <w:sz w:val="17"/>
        </w:rPr>
        <w:t>98 Berhad.</w:t>
      </w:r>
    </w:p>
    <w:p w14:paraId="52989350" w14:textId="77777777" w:rsidR="00AE0598" w:rsidRDefault="0069255A">
      <w:pPr>
        <w:spacing w:before="1"/>
        <w:ind w:left="430" w:right="127" w:hanging="320"/>
        <w:jc w:val="both"/>
        <w:rPr>
          <w:sz w:val="17"/>
        </w:rPr>
      </w:pPr>
      <w:r>
        <w:rPr>
          <w:color w:val="231F20"/>
          <w:sz w:val="17"/>
        </w:rPr>
        <w:t xml:space="preserve">Swarbrooke, </w:t>
      </w:r>
      <w:r>
        <w:rPr>
          <w:color w:val="231F20"/>
          <w:w w:val="105"/>
          <w:sz w:val="17"/>
        </w:rPr>
        <w:t xml:space="preserve">J. </w:t>
      </w:r>
      <w:r>
        <w:rPr>
          <w:color w:val="231F20"/>
          <w:sz w:val="17"/>
        </w:rPr>
        <w:t xml:space="preserve">and Horner, S. (1999) </w:t>
      </w:r>
      <w:r>
        <w:rPr>
          <w:i/>
          <w:color w:val="231F20"/>
          <w:sz w:val="17"/>
        </w:rPr>
        <w:t>Consumer Behaviour in Tourism</w:t>
      </w:r>
      <w:r>
        <w:rPr>
          <w:color w:val="231F20"/>
          <w:sz w:val="17"/>
        </w:rPr>
        <w:t>. Oxford:</w:t>
      </w:r>
      <w:r>
        <w:rPr>
          <w:color w:val="231F20"/>
          <w:spacing w:val="40"/>
          <w:sz w:val="17"/>
        </w:rPr>
        <w:t xml:space="preserve"> </w:t>
      </w:r>
      <w:r>
        <w:rPr>
          <w:color w:val="231F20"/>
          <w:sz w:val="17"/>
        </w:rPr>
        <w:t>Butterworth Heinemann.</w:t>
      </w:r>
    </w:p>
    <w:p w14:paraId="42584A7D" w14:textId="77777777" w:rsidR="00AE0598" w:rsidRDefault="0069255A">
      <w:pPr>
        <w:spacing w:before="2"/>
        <w:ind w:left="430" w:right="127" w:hanging="320"/>
        <w:jc w:val="both"/>
        <w:rPr>
          <w:sz w:val="17"/>
        </w:rPr>
      </w:pPr>
      <w:r>
        <w:rPr>
          <w:color w:val="231F20"/>
          <w:sz w:val="17"/>
        </w:rPr>
        <w:t>Swart, K. (2000) An assessment of sport tourism curricular offerings at academic</w:t>
      </w:r>
      <w:r>
        <w:rPr>
          <w:color w:val="231F20"/>
          <w:spacing w:val="40"/>
          <w:sz w:val="17"/>
        </w:rPr>
        <w:t xml:space="preserve"> </w:t>
      </w:r>
      <w:r>
        <w:rPr>
          <w:color w:val="231F20"/>
          <w:sz w:val="17"/>
        </w:rPr>
        <w:t xml:space="preserve">institutions. </w:t>
      </w:r>
      <w:r>
        <w:rPr>
          <w:i/>
          <w:color w:val="231F20"/>
          <w:sz w:val="17"/>
        </w:rPr>
        <w:t xml:space="preserve">Journal of Sport Tourism </w:t>
      </w:r>
      <w:r>
        <w:rPr>
          <w:color w:val="231F20"/>
          <w:sz w:val="17"/>
        </w:rPr>
        <w:t>6 (1), 11–18.</w:t>
      </w:r>
    </w:p>
    <w:p w14:paraId="502E82DD" w14:textId="77777777" w:rsidR="00AE0598" w:rsidRDefault="0069255A">
      <w:pPr>
        <w:spacing w:before="1"/>
        <w:ind w:left="430" w:right="127" w:hanging="320"/>
        <w:jc w:val="both"/>
        <w:rPr>
          <w:sz w:val="17"/>
        </w:rPr>
      </w:pPr>
      <w:r>
        <w:rPr>
          <w:color w:val="231F20"/>
          <w:w w:val="95"/>
          <w:sz w:val="17"/>
        </w:rPr>
        <w:t>Sylvester, C. (1999) The western idea of work and leisure: Traditions, transformations, and</w:t>
      </w:r>
      <w:r>
        <w:rPr>
          <w:color w:val="231F20"/>
          <w:spacing w:val="40"/>
          <w:w w:val="105"/>
          <w:sz w:val="17"/>
        </w:rPr>
        <w:t xml:space="preserve"> </w:t>
      </w:r>
      <w:r>
        <w:rPr>
          <w:color w:val="231F20"/>
          <w:w w:val="105"/>
          <w:sz w:val="17"/>
        </w:rPr>
        <w:t xml:space="preserve">the future. In E.L. Jackson and T.L. Burton (eds) </w:t>
      </w:r>
      <w:r>
        <w:rPr>
          <w:i/>
          <w:color w:val="231F20"/>
          <w:w w:val="105"/>
          <w:sz w:val="17"/>
        </w:rPr>
        <w:t>Leisure Studies: Prospects for the</w:t>
      </w:r>
      <w:r>
        <w:rPr>
          <w:i/>
          <w:color w:val="231F20"/>
          <w:spacing w:val="40"/>
          <w:w w:val="105"/>
          <w:sz w:val="17"/>
        </w:rPr>
        <w:t xml:space="preserve"> </w:t>
      </w:r>
      <w:r>
        <w:rPr>
          <w:i/>
          <w:color w:val="231F20"/>
          <w:sz w:val="17"/>
        </w:rPr>
        <w:t xml:space="preserve">Twenty-First Century </w:t>
      </w:r>
      <w:r>
        <w:rPr>
          <w:color w:val="231F20"/>
          <w:sz w:val="17"/>
        </w:rPr>
        <w:t>(pp. 17–33). State College, PA: Venture Publishing, Inc.</w:t>
      </w:r>
    </w:p>
    <w:p w14:paraId="235F2FE1" w14:textId="77777777" w:rsidR="00AE0598" w:rsidRDefault="00AE0598">
      <w:pPr>
        <w:jc w:val="both"/>
        <w:rPr>
          <w:sz w:val="17"/>
        </w:rPr>
        <w:sectPr w:rsidR="00AE0598">
          <w:pgSz w:w="8850" w:h="13270"/>
          <w:pgMar w:top="720" w:right="1060" w:bottom="280" w:left="1080" w:header="720" w:footer="720" w:gutter="0"/>
          <w:cols w:space="720"/>
        </w:sectPr>
      </w:pPr>
    </w:p>
    <w:p w14:paraId="15BC8B2E" w14:textId="77777777" w:rsidR="00AE0598" w:rsidRDefault="0069255A">
      <w:pPr>
        <w:spacing w:before="87"/>
        <w:ind w:left="110" w:right="128"/>
        <w:jc w:val="right"/>
        <w:rPr>
          <w:rFonts w:ascii="Trebuchet MS"/>
          <w:sz w:val="14"/>
        </w:rPr>
      </w:pPr>
      <w:r>
        <w:rPr>
          <w:rFonts w:ascii="Trebuchet MS"/>
          <w:color w:val="231F20"/>
          <w:w w:val="105"/>
          <w:sz w:val="14"/>
        </w:rPr>
        <w:lastRenderedPageBreak/>
        <w:t>References</w:t>
      </w:r>
      <w:r>
        <w:rPr>
          <w:rFonts w:ascii="Trebuchet MS"/>
          <w:color w:val="231F20"/>
          <w:spacing w:val="67"/>
          <w:w w:val="105"/>
          <w:sz w:val="14"/>
        </w:rPr>
        <w:t xml:space="preserve"> </w:t>
      </w:r>
      <w:r>
        <w:rPr>
          <w:rFonts w:ascii="Trebuchet MS"/>
          <w:color w:val="231F20"/>
          <w:spacing w:val="-5"/>
          <w:w w:val="105"/>
          <w:sz w:val="14"/>
        </w:rPr>
        <w:t>275</w:t>
      </w:r>
    </w:p>
    <w:p w14:paraId="7D341F47" w14:textId="77777777" w:rsidR="00AE0598" w:rsidRDefault="00AE0598">
      <w:pPr>
        <w:pStyle w:val="Corpodetexto"/>
        <w:rPr>
          <w:rFonts w:ascii="Trebuchet MS"/>
          <w:sz w:val="16"/>
        </w:rPr>
      </w:pPr>
    </w:p>
    <w:p w14:paraId="53A0D024" w14:textId="77777777" w:rsidR="00AE0598" w:rsidRDefault="0069255A">
      <w:pPr>
        <w:spacing w:before="121"/>
        <w:ind w:left="430" w:right="128" w:hanging="320"/>
        <w:jc w:val="both"/>
        <w:rPr>
          <w:sz w:val="17"/>
        </w:rPr>
      </w:pPr>
      <w:r>
        <w:rPr>
          <w:color w:val="231F20"/>
          <w:sz w:val="17"/>
        </w:rPr>
        <w:t xml:space="preserve">Tabata, R. (1992) Scuba diving holidays. In B. Weiler and C.M. Hall (eds) </w:t>
      </w:r>
      <w:r>
        <w:rPr>
          <w:i/>
          <w:color w:val="231F20"/>
          <w:sz w:val="17"/>
        </w:rPr>
        <w:t>Special Interest</w:t>
      </w:r>
      <w:r>
        <w:rPr>
          <w:i/>
          <w:color w:val="231F20"/>
          <w:spacing w:val="40"/>
          <w:sz w:val="17"/>
        </w:rPr>
        <w:t xml:space="preserve"> </w:t>
      </w:r>
      <w:r>
        <w:rPr>
          <w:i/>
          <w:color w:val="231F20"/>
          <w:sz w:val="17"/>
        </w:rPr>
        <w:t xml:space="preserve">Tourism </w:t>
      </w:r>
      <w:r>
        <w:rPr>
          <w:color w:val="231F20"/>
          <w:sz w:val="17"/>
        </w:rPr>
        <w:t>(pp. 171–184). London: Belhaven Press.</w:t>
      </w:r>
    </w:p>
    <w:p w14:paraId="5B5DDDE7" w14:textId="77777777" w:rsidR="00AE0598" w:rsidRDefault="0069255A">
      <w:pPr>
        <w:spacing w:before="1"/>
        <w:ind w:left="430" w:right="128" w:hanging="320"/>
        <w:jc w:val="both"/>
        <w:rPr>
          <w:sz w:val="17"/>
        </w:rPr>
      </w:pPr>
      <w:r>
        <w:rPr>
          <w:color w:val="231F20"/>
          <w:w w:val="95"/>
          <w:sz w:val="17"/>
        </w:rPr>
        <w:t xml:space="preserve">Taks, M. (2013) Social sustainability of non-mega sport events in a global world. </w:t>
      </w:r>
      <w:r>
        <w:rPr>
          <w:i/>
          <w:color w:val="231F20"/>
          <w:w w:val="95"/>
          <w:sz w:val="17"/>
        </w:rPr>
        <w:t>European</w:t>
      </w:r>
      <w:r>
        <w:rPr>
          <w:i/>
          <w:color w:val="231F20"/>
          <w:spacing w:val="40"/>
          <w:sz w:val="17"/>
        </w:rPr>
        <w:t xml:space="preserve"> </w:t>
      </w:r>
      <w:r>
        <w:rPr>
          <w:i/>
          <w:color w:val="231F20"/>
          <w:sz w:val="17"/>
        </w:rPr>
        <w:t xml:space="preserve">Journal for Sport and Society </w:t>
      </w:r>
      <w:r>
        <w:rPr>
          <w:color w:val="231F20"/>
          <w:sz w:val="17"/>
        </w:rPr>
        <w:t>10 (2), 121–141.</w:t>
      </w:r>
    </w:p>
    <w:p w14:paraId="3B16C52E" w14:textId="77777777" w:rsidR="00AE0598" w:rsidRDefault="0069255A">
      <w:pPr>
        <w:spacing w:before="2"/>
        <w:ind w:left="430" w:right="127" w:hanging="320"/>
        <w:jc w:val="both"/>
        <w:rPr>
          <w:sz w:val="17"/>
        </w:rPr>
      </w:pPr>
      <w:r>
        <w:rPr>
          <w:color w:val="231F20"/>
          <w:w w:val="105"/>
          <w:sz w:val="17"/>
        </w:rPr>
        <w:t>Taks, M., Chalip, L. and Green, B.C. (2015) Impacts and strategic outcomes from non-</w:t>
      </w:r>
      <w:r>
        <w:rPr>
          <w:color w:val="231F20"/>
          <w:spacing w:val="40"/>
          <w:w w:val="105"/>
          <w:sz w:val="17"/>
        </w:rPr>
        <w:t xml:space="preserve"> </w:t>
      </w:r>
      <w:r>
        <w:rPr>
          <w:color w:val="231F20"/>
          <w:w w:val="105"/>
          <w:sz w:val="17"/>
        </w:rPr>
        <w:t>mega sport events for local commu</w:t>
      </w:r>
      <w:r>
        <w:rPr>
          <w:color w:val="231F20"/>
          <w:w w:val="105"/>
          <w:sz w:val="17"/>
        </w:rPr>
        <w:t xml:space="preserve">nities. </w:t>
      </w:r>
      <w:r>
        <w:rPr>
          <w:i/>
          <w:color w:val="231F20"/>
          <w:w w:val="105"/>
          <w:sz w:val="17"/>
        </w:rPr>
        <w:t>European Sport Management Quarterly</w:t>
      </w:r>
      <w:r>
        <w:rPr>
          <w:i/>
          <w:color w:val="231F20"/>
          <w:spacing w:val="40"/>
          <w:w w:val="105"/>
          <w:sz w:val="17"/>
        </w:rPr>
        <w:t xml:space="preserve"> </w:t>
      </w:r>
      <w:r>
        <w:rPr>
          <w:color w:val="231F20"/>
          <w:w w:val="105"/>
          <w:sz w:val="17"/>
        </w:rPr>
        <w:t>15 (1), 1–6.</w:t>
      </w:r>
    </w:p>
    <w:p w14:paraId="73973C84" w14:textId="77777777" w:rsidR="00AE0598" w:rsidRDefault="0069255A">
      <w:pPr>
        <w:spacing w:before="2"/>
        <w:ind w:left="430" w:right="127" w:hanging="320"/>
        <w:jc w:val="both"/>
        <w:rPr>
          <w:sz w:val="17"/>
        </w:rPr>
      </w:pPr>
      <w:r>
        <w:rPr>
          <w:color w:val="231F20"/>
          <w:w w:val="105"/>
          <w:sz w:val="17"/>
        </w:rPr>
        <w:t xml:space="preserve">Taks, M., Chalip, L., Green, </w:t>
      </w:r>
      <w:r>
        <w:rPr>
          <w:color w:val="231F20"/>
          <w:w w:val="110"/>
          <w:sz w:val="17"/>
        </w:rPr>
        <w:t xml:space="preserve">B.C., </w:t>
      </w:r>
      <w:r>
        <w:rPr>
          <w:color w:val="231F20"/>
          <w:w w:val="105"/>
          <w:sz w:val="17"/>
        </w:rPr>
        <w:t>Kesenne, S. and Martyn, S. (2009) Factors affecting</w:t>
      </w:r>
      <w:r>
        <w:rPr>
          <w:color w:val="231F20"/>
          <w:spacing w:val="40"/>
          <w:w w:val="105"/>
          <w:sz w:val="17"/>
        </w:rPr>
        <w:t xml:space="preserve"> </w:t>
      </w:r>
      <w:r>
        <w:rPr>
          <w:color w:val="231F20"/>
          <w:w w:val="95"/>
          <w:sz w:val="17"/>
        </w:rPr>
        <w:t xml:space="preserve">repeat visitation and flow-on tourism as sources of event strategy sustainability. </w:t>
      </w:r>
      <w:r>
        <w:rPr>
          <w:i/>
          <w:color w:val="231F20"/>
          <w:w w:val="95"/>
          <w:sz w:val="17"/>
        </w:rPr>
        <w:t>Journal</w:t>
      </w:r>
      <w:r>
        <w:rPr>
          <w:i/>
          <w:color w:val="231F20"/>
          <w:spacing w:val="40"/>
          <w:w w:val="105"/>
          <w:sz w:val="17"/>
        </w:rPr>
        <w:t xml:space="preserve"> </w:t>
      </w:r>
      <w:r>
        <w:rPr>
          <w:i/>
          <w:color w:val="231F20"/>
          <w:w w:val="105"/>
          <w:sz w:val="17"/>
        </w:rPr>
        <w:t>of</w:t>
      </w:r>
      <w:r>
        <w:rPr>
          <w:i/>
          <w:color w:val="231F20"/>
          <w:spacing w:val="-1"/>
          <w:w w:val="105"/>
          <w:sz w:val="17"/>
        </w:rPr>
        <w:t xml:space="preserve"> </w:t>
      </w:r>
      <w:r>
        <w:rPr>
          <w:i/>
          <w:color w:val="231F20"/>
          <w:w w:val="105"/>
          <w:sz w:val="17"/>
        </w:rPr>
        <w:t>Sport</w:t>
      </w:r>
      <w:r>
        <w:rPr>
          <w:i/>
          <w:color w:val="231F20"/>
          <w:spacing w:val="-1"/>
          <w:w w:val="105"/>
          <w:sz w:val="17"/>
        </w:rPr>
        <w:t xml:space="preserve"> </w:t>
      </w:r>
      <w:r>
        <w:rPr>
          <w:i/>
          <w:color w:val="231F20"/>
          <w:w w:val="110"/>
          <w:sz w:val="17"/>
        </w:rPr>
        <w:t>&amp;</w:t>
      </w:r>
      <w:r>
        <w:rPr>
          <w:i/>
          <w:color w:val="231F20"/>
          <w:spacing w:val="-3"/>
          <w:w w:val="110"/>
          <w:sz w:val="17"/>
        </w:rPr>
        <w:t xml:space="preserve"> </w:t>
      </w:r>
      <w:r>
        <w:rPr>
          <w:i/>
          <w:color w:val="231F20"/>
          <w:w w:val="105"/>
          <w:sz w:val="17"/>
        </w:rPr>
        <w:t>Tourism</w:t>
      </w:r>
      <w:r>
        <w:rPr>
          <w:i/>
          <w:color w:val="231F20"/>
          <w:spacing w:val="-1"/>
          <w:w w:val="105"/>
          <w:sz w:val="17"/>
        </w:rPr>
        <w:t xml:space="preserve"> </w:t>
      </w:r>
      <w:r>
        <w:rPr>
          <w:color w:val="231F20"/>
          <w:w w:val="105"/>
          <w:sz w:val="17"/>
        </w:rPr>
        <w:t>14</w:t>
      </w:r>
      <w:r>
        <w:rPr>
          <w:color w:val="231F20"/>
          <w:spacing w:val="-1"/>
          <w:w w:val="105"/>
          <w:sz w:val="17"/>
        </w:rPr>
        <w:t xml:space="preserve"> </w:t>
      </w:r>
      <w:r>
        <w:rPr>
          <w:color w:val="231F20"/>
          <w:w w:val="105"/>
          <w:sz w:val="17"/>
        </w:rPr>
        <w:t>(2–3),</w:t>
      </w:r>
      <w:r>
        <w:rPr>
          <w:color w:val="231F20"/>
          <w:spacing w:val="-1"/>
          <w:w w:val="105"/>
          <w:sz w:val="17"/>
        </w:rPr>
        <w:t xml:space="preserve"> </w:t>
      </w:r>
      <w:r>
        <w:rPr>
          <w:color w:val="231F20"/>
          <w:w w:val="105"/>
          <w:sz w:val="17"/>
        </w:rPr>
        <w:t>121–142.</w:t>
      </w:r>
    </w:p>
    <w:p w14:paraId="0BF986BF" w14:textId="77777777" w:rsidR="00AE0598" w:rsidRDefault="0069255A">
      <w:pPr>
        <w:spacing w:before="2"/>
        <w:ind w:left="430" w:right="128" w:hanging="320"/>
        <w:jc w:val="both"/>
        <w:rPr>
          <w:sz w:val="17"/>
        </w:rPr>
      </w:pPr>
      <w:r>
        <w:rPr>
          <w:color w:val="231F20"/>
          <w:w w:val="95"/>
          <w:sz w:val="17"/>
        </w:rPr>
        <w:t>Taks, M. and Scheerder, J. (2006) Youth sports participation styles and market segmentation</w:t>
      </w:r>
      <w:r>
        <w:rPr>
          <w:color w:val="231F20"/>
          <w:spacing w:val="40"/>
          <w:sz w:val="17"/>
        </w:rPr>
        <w:t xml:space="preserve"> </w:t>
      </w:r>
      <w:r>
        <w:rPr>
          <w:color w:val="231F20"/>
          <w:sz w:val="17"/>
        </w:rPr>
        <w:t xml:space="preserve">profiles: Evidence and applications. </w:t>
      </w:r>
      <w:r>
        <w:rPr>
          <w:i/>
          <w:color w:val="231F20"/>
          <w:sz w:val="17"/>
        </w:rPr>
        <w:t xml:space="preserve">European Sport Management Quarterly </w:t>
      </w:r>
      <w:r>
        <w:rPr>
          <w:color w:val="231F20"/>
          <w:sz w:val="17"/>
        </w:rPr>
        <w:t>6 (2),</w:t>
      </w:r>
      <w:r>
        <w:rPr>
          <w:color w:val="231F20"/>
          <w:spacing w:val="40"/>
          <w:sz w:val="17"/>
        </w:rPr>
        <w:t xml:space="preserve"> </w:t>
      </w:r>
      <w:r>
        <w:rPr>
          <w:color w:val="231F20"/>
          <w:spacing w:val="-2"/>
          <w:sz w:val="17"/>
        </w:rPr>
        <w:t>85–121.</w:t>
      </w:r>
    </w:p>
    <w:p w14:paraId="7EB30B59" w14:textId="77777777" w:rsidR="00AE0598" w:rsidRDefault="0069255A">
      <w:pPr>
        <w:spacing w:before="2"/>
        <w:ind w:left="430" w:right="128" w:hanging="320"/>
        <w:jc w:val="both"/>
        <w:rPr>
          <w:sz w:val="17"/>
        </w:rPr>
      </w:pPr>
      <w:r>
        <w:rPr>
          <w:color w:val="231F20"/>
          <w:w w:val="95"/>
          <w:sz w:val="17"/>
        </w:rPr>
        <w:t>Tam, A. (1998) Critical success factors in sports tourism development: Their applicability to</w:t>
      </w:r>
      <w:r>
        <w:rPr>
          <w:color w:val="231F20"/>
          <w:spacing w:val="40"/>
          <w:sz w:val="17"/>
        </w:rPr>
        <w:t xml:space="preserve"> </w:t>
      </w:r>
      <w:r>
        <w:rPr>
          <w:color w:val="231F20"/>
          <w:sz w:val="17"/>
        </w:rPr>
        <w:t xml:space="preserve">Singapore. </w:t>
      </w:r>
      <w:r>
        <w:rPr>
          <w:i/>
          <w:color w:val="231F20"/>
          <w:sz w:val="17"/>
        </w:rPr>
        <w:t xml:space="preserve">Journal of Sport Tourism </w:t>
      </w:r>
      <w:r>
        <w:rPr>
          <w:color w:val="231F20"/>
          <w:sz w:val="17"/>
        </w:rPr>
        <w:t>5 (1), 16–26.</w:t>
      </w:r>
    </w:p>
    <w:p w14:paraId="35C75DDA" w14:textId="77777777" w:rsidR="00AE0598" w:rsidRDefault="0069255A">
      <w:pPr>
        <w:spacing w:before="1"/>
        <w:ind w:left="430" w:right="127" w:hanging="320"/>
        <w:jc w:val="both"/>
        <w:rPr>
          <w:sz w:val="17"/>
        </w:rPr>
      </w:pPr>
      <w:r>
        <w:rPr>
          <w:color w:val="231F20"/>
          <w:sz w:val="17"/>
        </w:rPr>
        <w:t>Tassiopoulos, D. and Haydam, N. (2008) Golf tourists in South Africa: A demand-side</w:t>
      </w:r>
      <w:r>
        <w:rPr>
          <w:color w:val="231F20"/>
          <w:spacing w:val="40"/>
          <w:sz w:val="17"/>
        </w:rPr>
        <w:t xml:space="preserve"> </w:t>
      </w:r>
      <w:r>
        <w:rPr>
          <w:color w:val="231F20"/>
          <w:sz w:val="17"/>
        </w:rPr>
        <w:t>study of a niche market in s</w:t>
      </w:r>
      <w:r>
        <w:rPr>
          <w:color w:val="231F20"/>
          <w:sz w:val="17"/>
        </w:rPr>
        <w:t xml:space="preserve">ports tourism. </w:t>
      </w:r>
      <w:r>
        <w:rPr>
          <w:i/>
          <w:color w:val="231F20"/>
          <w:sz w:val="17"/>
        </w:rPr>
        <w:t xml:space="preserve">Tourism Management </w:t>
      </w:r>
      <w:r>
        <w:rPr>
          <w:color w:val="231F20"/>
          <w:sz w:val="17"/>
        </w:rPr>
        <w:t>29 (5), 870–882.</w:t>
      </w:r>
    </w:p>
    <w:p w14:paraId="3C684C3D" w14:textId="77777777" w:rsidR="00AE0598" w:rsidRDefault="0069255A">
      <w:pPr>
        <w:spacing w:before="2"/>
        <w:ind w:left="110" w:right="128" w:hanging="1"/>
        <w:jc w:val="right"/>
        <w:rPr>
          <w:sz w:val="17"/>
        </w:rPr>
      </w:pPr>
      <w:r>
        <w:rPr>
          <w:color w:val="231F20"/>
          <w:sz w:val="17"/>
        </w:rPr>
        <w:t xml:space="preserve">Teigland, </w:t>
      </w:r>
      <w:r>
        <w:rPr>
          <w:color w:val="231F20"/>
          <w:w w:val="105"/>
          <w:sz w:val="17"/>
        </w:rPr>
        <w:t xml:space="preserve">J. </w:t>
      </w:r>
      <w:r>
        <w:rPr>
          <w:color w:val="231F20"/>
          <w:sz w:val="17"/>
        </w:rPr>
        <w:t>(1999) Mega-events and impacts on tourism: The predictions and realities of</w:t>
      </w:r>
      <w:r>
        <w:rPr>
          <w:color w:val="231F20"/>
          <w:spacing w:val="40"/>
          <w:sz w:val="17"/>
        </w:rPr>
        <w:t xml:space="preserve"> </w:t>
      </w:r>
      <w:r>
        <w:rPr>
          <w:color w:val="231F20"/>
          <w:sz w:val="17"/>
        </w:rPr>
        <w:t xml:space="preserve">the Lillehammer Olympics. </w:t>
      </w:r>
      <w:r>
        <w:rPr>
          <w:i/>
          <w:color w:val="231F20"/>
          <w:sz w:val="17"/>
        </w:rPr>
        <w:t xml:space="preserve">Impact Assessment and Project Appraisal </w:t>
      </w:r>
      <w:r>
        <w:rPr>
          <w:color w:val="231F20"/>
          <w:sz w:val="17"/>
        </w:rPr>
        <w:t>17 (4), 305–317.</w:t>
      </w:r>
      <w:r>
        <w:rPr>
          <w:color w:val="231F20"/>
          <w:spacing w:val="40"/>
          <w:sz w:val="17"/>
        </w:rPr>
        <w:t xml:space="preserve"> </w:t>
      </w:r>
      <w:r>
        <w:rPr>
          <w:color w:val="231F20"/>
          <w:w w:val="95"/>
          <w:sz w:val="17"/>
        </w:rPr>
        <w:t>Thamnopoulos,</w:t>
      </w:r>
      <w:r>
        <w:rPr>
          <w:color w:val="231F20"/>
          <w:spacing w:val="18"/>
          <w:sz w:val="17"/>
        </w:rPr>
        <w:t xml:space="preserve"> </w:t>
      </w:r>
      <w:r>
        <w:rPr>
          <w:color w:val="231F20"/>
          <w:w w:val="95"/>
          <w:sz w:val="17"/>
        </w:rPr>
        <w:t>Y.</w:t>
      </w:r>
      <w:r>
        <w:rPr>
          <w:color w:val="231F20"/>
          <w:spacing w:val="18"/>
          <w:sz w:val="17"/>
        </w:rPr>
        <w:t xml:space="preserve"> </w:t>
      </w:r>
      <w:r>
        <w:rPr>
          <w:color w:val="231F20"/>
          <w:w w:val="95"/>
          <w:sz w:val="17"/>
        </w:rPr>
        <w:t>and</w:t>
      </w:r>
      <w:r>
        <w:rPr>
          <w:color w:val="231F20"/>
          <w:spacing w:val="18"/>
          <w:sz w:val="17"/>
        </w:rPr>
        <w:t xml:space="preserve"> </w:t>
      </w:r>
      <w:r>
        <w:rPr>
          <w:color w:val="231F20"/>
          <w:w w:val="95"/>
          <w:sz w:val="17"/>
        </w:rPr>
        <w:t>Gargalianos,</w:t>
      </w:r>
      <w:r>
        <w:rPr>
          <w:color w:val="231F20"/>
          <w:spacing w:val="18"/>
          <w:sz w:val="17"/>
        </w:rPr>
        <w:t xml:space="preserve"> </w:t>
      </w:r>
      <w:r>
        <w:rPr>
          <w:color w:val="231F20"/>
          <w:w w:val="95"/>
          <w:sz w:val="17"/>
        </w:rPr>
        <w:t>D.</w:t>
      </w:r>
      <w:r>
        <w:rPr>
          <w:color w:val="231F20"/>
          <w:spacing w:val="19"/>
          <w:sz w:val="17"/>
        </w:rPr>
        <w:t xml:space="preserve"> </w:t>
      </w:r>
      <w:r>
        <w:rPr>
          <w:color w:val="231F20"/>
          <w:w w:val="95"/>
          <w:sz w:val="17"/>
        </w:rPr>
        <w:t>(2002)</w:t>
      </w:r>
      <w:r>
        <w:rPr>
          <w:color w:val="231F20"/>
          <w:spacing w:val="18"/>
          <w:sz w:val="17"/>
        </w:rPr>
        <w:t xml:space="preserve"> </w:t>
      </w:r>
      <w:r>
        <w:rPr>
          <w:color w:val="231F20"/>
          <w:w w:val="95"/>
          <w:sz w:val="17"/>
        </w:rPr>
        <w:t>Ticketing</w:t>
      </w:r>
      <w:r>
        <w:rPr>
          <w:color w:val="231F20"/>
          <w:spacing w:val="18"/>
          <w:sz w:val="17"/>
        </w:rPr>
        <w:t xml:space="preserve"> </w:t>
      </w:r>
      <w:r>
        <w:rPr>
          <w:color w:val="231F20"/>
          <w:w w:val="95"/>
          <w:sz w:val="17"/>
        </w:rPr>
        <w:t>the</w:t>
      </w:r>
      <w:r>
        <w:rPr>
          <w:color w:val="231F20"/>
          <w:spacing w:val="18"/>
          <w:sz w:val="17"/>
        </w:rPr>
        <w:t xml:space="preserve"> </w:t>
      </w:r>
      <w:r>
        <w:rPr>
          <w:color w:val="231F20"/>
          <w:w w:val="95"/>
          <w:sz w:val="17"/>
        </w:rPr>
        <w:t>large</w:t>
      </w:r>
      <w:r>
        <w:rPr>
          <w:color w:val="231F20"/>
          <w:spacing w:val="18"/>
          <w:sz w:val="17"/>
        </w:rPr>
        <w:t xml:space="preserve"> </w:t>
      </w:r>
      <w:r>
        <w:rPr>
          <w:color w:val="231F20"/>
          <w:w w:val="95"/>
          <w:sz w:val="17"/>
        </w:rPr>
        <w:t>scale</w:t>
      </w:r>
      <w:r>
        <w:rPr>
          <w:color w:val="231F20"/>
          <w:spacing w:val="19"/>
          <w:sz w:val="17"/>
        </w:rPr>
        <w:t xml:space="preserve"> </w:t>
      </w:r>
      <w:r>
        <w:rPr>
          <w:color w:val="231F20"/>
          <w:w w:val="95"/>
          <w:sz w:val="17"/>
        </w:rPr>
        <w:t>events:</w:t>
      </w:r>
      <w:r>
        <w:rPr>
          <w:color w:val="231F20"/>
          <w:spacing w:val="18"/>
          <w:sz w:val="17"/>
        </w:rPr>
        <w:t xml:space="preserve"> </w:t>
      </w:r>
      <w:r>
        <w:rPr>
          <w:color w:val="231F20"/>
          <w:w w:val="95"/>
          <w:sz w:val="17"/>
        </w:rPr>
        <w:t>The</w:t>
      </w:r>
      <w:r>
        <w:rPr>
          <w:color w:val="231F20"/>
          <w:spacing w:val="18"/>
          <w:sz w:val="17"/>
        </w:rPr>
        <w:t xml:space="preserve"> </w:t>
      </w:r>
      <w:r>
        <w:rPr>
          <w:color w:val="231F20"/>
          <w:w w:val="95"/>
          <w:sz w:val="17"/>
        </w:rPr>
        <w:t>case</w:t>
      </w:r>
      <w:r>
        <w:rPr>
          <w:color w:val="231F20"/>
          <w:spacing w:val="18"/>
          <w:sz w:val="17"/>
        </w:rPr>
        <w:t xml:space="preserve"> </w:t>
      </w:r>
      <w:r>
        <w:rPr>
          <w:color w:val="231F20"/>
          <w:spacing w:val="-5"/>
          <w:w w:val="95"/>
          <w:sz w:val="17"/>
        </w:rPr>
        <w:t>of</w:t>
      </w:r>
    </w:p>
    <w:p w14:paraId="0841840D" w14:textId="77777777" w:rsidR="00AE0598" w:rsidRDefault="0069255A">
      <w:pPr>
        <w:spacing w:before="2"/>
        <w:ind w:left="430"/>
        <w:jc w:val="both"/>
        <w:rPr>
          <w:sz w:val="17"/>
        </w:rPr>
      </w:pPr>
      <w:r>
        <w:rPr>
          <w:color w:val="231F20"/>
          <w:w w:val="95"/>
          <w:sz w:val="17"/>
        </w:rPr>
        <w:t>Sydney</w:t>
      </w:r>
      <w:r>
        <w:rPr>
          <w:color w:val="231F20"/>
          <w:spacing w:val="12"/>
          <w:sz w:val="17"/>
        </w:rPr>
        <w:t xml:space="preserve"> </w:t>
      </w:r>
      <w:r>
        <w:rPr>
          <w:color w:val="231F20"/>
          <w:w w:val="95"/>
          <w:sz w:val="17"/>
        </w:rPr>
        <w:t>2000</w:t>
      </w:r>
      <w:r>
        <w:rPr>
          <w:color w:val="231F20"/>
          <w:spacing w:val="12"/>
          <w:sz w:val="17"/>
        </w:rPr>
        <w:t xml:space="preserve"> </w:t>
      </w:r>
      <w:r>
        <w:rPr>
          <w:color w:val="231F20"/>
          <w:w w:val="95"/>
          <w:sz w:val="17"/>
        </w:rPr>
        <w:t>Olympic</w:t>
      </w:r>
      <w:r>
        <w:rPr>
          <w:color w:val="231F20"/>
          <w:spacing w:val="12"/>
          <w:sz w:val="17"/>
        </w:rPr>
        <w:t xml:space="preserve"> </w:t>
      </w:r>
      <w:r>
        <w:rPr>
          <w:color w:val="231F20"/>
          <w:w w:val="95"/>
          <w:sz w:val="17"/>
        </w:rPr>
        <w:t>Games.</w:t>
      </w:r>
      <w:r>
        <w:rPr>
          <w:color w:val="231F20"/>
          <w:spacing w:val="13"/>
          <w:sz w:val="17"/>
        </w:rPr>
        <w:t xml:space="preserve"> </w:t>
      </w:r>
      <w:r>
        <w:rPr>
          <w:i/>
          <w:color w:val="231F20"/>
          <w:w w:val="95"/>
          <w:sz w:val="17"/>
        </w:rPr>
        <w:t>Facilities</w:t>
      </w:r>
      <w:r>
        <w:rPr>
          <w:i/>
          <w:color w:val="231F20"/>
          <w:spacing w:val="12"/>
          <w:sz w:val="17"/>
        </w:rPr>
        <w:t xml:space="preserve"> </w:t>
      </w:r>
      <w:r>
        <w:rPr>
          <w:color w:val="231F20"/>
          <w:w w:val="95"/>
          <w:sz w:val="17"/>
        </w:rPr>
        <w:t>20</w:t>
      </w:r>
      <w:r>
        <w:rPr>
          <w:color w:val="231F20"/>
          <w:spacing w:val="12"/>
          <w:sz w:val="17"/>
        </w:rPr>
        <w:t xml:space="preserve"> </w:t>
      </w:r>
      <w:r>
        <w:rPr>
          <w:color w:val="231F20"/>
          <w:spacing w:val="-3"/>
          <w:w w:val="90"/>
          <w:sz w:val="17"/>
        </w:rPr>
        <w:t>(</w:t>
      </w:r>
      <w:r>
        <w:rPr>
          <w:color w:val="231F20"/>
          <w:spacing w:val="5"/>
          <w:w w:val="92"/>
          <w:sz w:val="17"/>
        </w:rPr>
        <w:t>1</w:t>
      </w:r>
      <w:r>
        <w:rPr>
          <w:color w:val="231F20"/>
          <w:spacing w:val="3"/>
          <w:w w:val="63"/>
          <w:sz w:val="17"/>
        </w:rPr>
        <w:t>/</w:t>
      </w:r>
      <w:r>
        <w:rPr>
          <w:color w:val="231F20"/>
          <w:w w:val="92"/>
          <w:sz w:val="17"/>
        </w:rPr>
        <w:t>2</w:t>
      </w:r>
      <w:r>
        <w:rPr>
          <w:color w:val="231F20"/>
          <w:spacing w:val="-5"/>
          <w:w w:val="90"/>
          <w:sz w:val="17"/>
        </w:rPr>
        <w:t>)</w:t>
      </w:r>
      <w:r>
        <w:rPr>
          <w:color w:val="231F20"/>
          <w:spacing w:val="-1"/>
          <w:w w:val="138"/>
          <w:sz w:val="17"/>
        </w:rPr>
        <w:t>,</w:t>
      </w:r>
      <w:r>
        <w:rPr>
          <w:color w:val="231F20"/>
          <w:spacing w:val="12"/>
          <w:sz w:val="17"/>
        </w:rPr>
        <w:t xml:space="preserve"> </w:t>
      </w:r>
      <w:r>
        <w:rPr>
          <w:color w:val="231F20"/>
          <w:spacing w:val="-2"/>
          <w:w w:val="95"/>
          <w:sz w:val="17"/>
        </w:rPr>
        <w:t>22–33.</w:t>
      </w:r>
    </w:p>
    <w:p w14:paraId="54738990" w14:textId="77777777" w:rsidR="00AE0598" w:rsidRDefault="0069255A">
      <w:pPr>
        <w:spacing w:before="1"/>
        <w:ind w:left="430" w:right="127" w:hanging="320"/>
        <w:jc w:val="both"/>
        <w:rPr>
          <w:sz w:val="17"/>
        </w:rPr>
      </w:pPr>
      <w:r>
        <w:rPr>
          <w:i/>
          <w:color w:val="231F20"/>
          <w:sz w:val="17"/>
        </w:rPr>
        <w:t xml:space="preserve">The Japan </w:t>
      </w:r>
      <w:r>
        <w:rPr>
          <w:i/>
          <w:color w:val="231F20"/>
          <w:spacing w:val="-3"/>
          <w:w w:val="119"/>
          <w:sz w:val="17"/>
        </w:rPr>
        <w:t>N</w:t>
      </w:r>
      <w:r>
        <w:rPr>
          <w:i/>
          <w:color w:val="231F20"/>
          <w:spacing w:val="3"/>
          <w:w w:val="93"/>
          <w:sz w:val="17"/>
        </w:rPr>
        <w:t>e</w:t>
      </w:r>
      <w:r>
        <w:rPr>
          <w:i/>
          <w:color w:val="231F20"/>
          <w:spacing w:val="-1"/>
          <w:w w:val="101"/>
          <w:sz w:val="17"/>
        </w:rPr>
        <w:t>w</w:t>
      </w:r>
      <w:r>
        <w:rPr>
          <w:i/>
          <w:color w:val="231F20"/>
          <w:spacing w:val="2"/>
          <w:w w:val="101"/>
          <w:sz w:val="17"/>
        </w:rPr>
        <w:t>s</w:t>
      </w:r>
      <w:r>
        <w:rPr>
          <w:i/>
          <w:color w:val="231F20"/>
          <w:spacing w:val="1"/>
          <w:w w:val="60"/>
          <w:sz w:val="17"/>
        </w:rPr>
        <w:t>/</w:t>
      </w:r>
      <w:r>
        <w:rPr>
          <w:i/>
          <w:color w:val="231F20"/>
          <w:spacing w:val="-13"/>
          <w:w w:val="127"/>
          <w:sz w:val="17"/>
        </w:rPr>
        <w:t>Y</w:t>
      </w:r>
      <w:r>
        <w:rPr>
          <w:i/>
          <w:color w:val="231F20"/>
          <w:spacing w:val="1"/>
          <w:w w:val="104"/>
          <w:sz w:val="17"/>
        </w:rPr>
        <w:t>o</w:t>
      </w:r>
      <w:r>
        <w:rPr>
          <w:i/>
          <w:color w:val="231F20"/>
          <w:spacing w:val="2"/>
          <w:sz w:val="17"/>
        </w:rPr>
        <w:t>mi</w:t>
      </w:r>
      <w:r>
        <w:rPr>
          <w:i/>
          <w:color w:val="231F20"/>
          <w:spacing w:val="2"/>
          <w:w w:val="99"/>
          <w:sz w:val="17"/>
        </w:rPr>
        <w:t>u</w:t>
      </w:r>
      <w:r>
        <w:rPr>
          <w:i/>
          <w:color w:val="231F20"/>
          <w:spacing w:val="3"/>
          <w:w w:val="92"/>
          <w:sz w:val="17"/>
        </w:rPr>
        <w:t>r</w:t>
      </w:r>
      <w:r>
        <w:rPr>
          <w:i/>
          <w:color w:val="231F20"/>
          <w:spacing w:val="-1"/>
          <w:sz w:val="17"/>
        </w:rPr>
        <w:t>i</w:t>
      </w:r>
      <w:r>
        <w:rPr>
          <w:i/>
          <w:color w:val="231F20"/>
          <w:spacing w:val="-1"/>
          <w:w w:val="99"/>
          <w:sz w:val="17"/>
        </w:rPr>
        <w:t xml:space="preserve"> </w:t>
      </w:r>
      <w:r>
        <w:rPr>
          <w:color w:val="231F20"/>
          <w:sz w:val="17"/>
        </w:rPr>
        <w:t>(2017, April 3) Japan to shoulder part of the security costs for</w:t>
      </w:r>
      <w:r>
        <w:rPr>
          <w:color w:val="231F20"/>
          <w:spacing w:val="40"/>
          <w:sz w:val="17"/>
        </w:rPr>
        <w:t xml:space="preserve"> </w:t>
      </w:r>
      <w:r>
        <w:rPr>
          <w:color w:val="231F20"/>
          <w:sz w:val="17"/>
        </w:rPr>
        <w:t xml:space="preserve">Tokyo Olympic Games. See </w:t>
      </w:r>
      <w:hyperlink r:id="rId60">
        <w:r>
          <w:rPr>
            <w:color w:val="231F20"/>
            <w:spacing w:val="-3"/>
            <w:w w:val="104"/>
            <w:sz w:val="17"/>
          </w:rPr>
          <w:t>h</w:t>
        </w:r>
        <w:r>
          <w:rPr>
            <w:color w:val="231F20"/>
            <w:spacing w:val="2"/>
            <w:w w:val="104"/>
            <w:sz w:val="17"/>
          </w:rPr>
          <w:t>tt</w:t>
        </w:r>
        <w:r>
          <w:rPr>
            <w:color w:val="231F20"/>
            <w:spacing w:val="-3"/>
            <w:w w:val="104"/>
            <w:sz w:val="17"/>
          </w:rPr>
          <w:t>p</w:t>
        </w:r>
        <w:r>
          <w:rPr>
            <w:color w:val="231F20"/>
            <w:spacing w:val="3"/>
            <w:w w:val="111"/>
            <w:sz w:val="17"/>
          </w:rPr>
          <w:t>:</w:t>
        </w:r>
        <w:r>
          <w:rPr>
            <w:color w:val="231F20"/>
            <w:spacing w:val="-5"/>
            <w:w w:val="66"/>
            <w:sz w:val="17"/>
          </w:rPr>
          <w:t>/</w:t>
        </w:r>
        <w:r>
          <w:rPr>
            <w:color w:val="231F20"/>
            <w:spacing w:val="-3"/>
            <w:w w:val="90"/>
            <w:sz w:val="17"/>
          </w:rPr>
          <w:t>/</w:t>
        </w:r>
        <w:r>
          <w:rPr>
            <w:color w:val="231F20"/>
            <w:spacing w:val="2"/>
            <w:w w:val="90"/>
            <w:sz w:val="17"/>
          </w:rPr>
          <w:t>w</w:t>
        </w:r>
        <w:r>
          <w:rPr>
            <w:color w:val="231F20"/>
            <w:spacing w:val="2"/>
            <w:w w:val="105"/>
            <w:sz w:val="17"/>
          </w:rPr>
          <w:t>w</w:t>
        </w:r>
        <w:r>
          <w:rPr>
            <w:color w:val="231F20"/>
            <w:spacing w:val="-10"/>
            <w:w w:val="105"/>
            <w:sz w:val="17"/>
          </w:rPr>
          <w:t>w</w:t>
        </w:r>
        <w:r>
          <w:rPr>
            <w:color w:val="231F20"/>
            <w:spacing w:val="1"/>
            <w:w w:val="141"/>
            <w:sz w:val="17"/>
          </w:rPr>
          <w:t>.</w:t>
        </w:r>
        <w:r>
          <w:rPr>
            <w:color w:val="231F20"/>
            <w:spacing w:val="-1"/>
            <w:w w:val="96"/>
            <w:sz w:val="17"/>
          </w:rPr>
          <w:t>s</w:t>
        </w:r>
        <w:r>
          <w:rPr>
            <w:color w:val="231F20"/>
            <w:w w:val="104"/>
            <w:sz w:val="17"/>
          </w:rPr>
          <w:t>t</w:t>
        </w:r>
        <w:r>
          <w:rPr>
            <w:color w:val="231F20"/>
            <w:spacing w:val="1"/>
            <w:w w:val="107"/>
            <w:sz w:val="17"/>
          </w:rPr>
          <w:t>a</w:t>
        </w:r>
        <w:r>
          <w:rPr>
            <w:color w:val="231F20"/>
            <w:spacing w:val="-1"/>
            <w:w w:val="104"/>
            <w:sz w:val="17"/>
          </w:rPr>
          <w:t>n</w:t>
        </w:r>
        <w:r>
          <w:rPr>
            <w:color w:val="231F20"/>
            <w:w w:val="104"/>
            <w:sz w:val="17"/>
          </w:rPr>
          <w:t>d</w:t>
        </w:r>
        <w:r>
          <w:rPr>
            <w:color w:val="231F20"/>
            <w:spacing w:val="1"/>
            <w:w w:val="107"/>
            <w:sz w:val="17"/>
          </w:rPr>
          <w:t>a</w:t>
        </w:r>
        <w:r>
          <w:rPr>
            <w:color w:val="231F20"/>
            <w:spacing w:val="-3"/>
            <w:w w:val="99"/>
            <w:sz w:val="17"/>
          </w:rPr>
          <w:t>r</w:t>
        </w:r>
        <w:r>
          <w:rPr>
            <w:color w:val="231F20"/>
            <w:w w:val="104"/>
            <w:sz w:val="17"/>
          </w:rPr>
          <w:t>d</w:t>
        </w:r>
        <w:r>
          <w:rPr>
            <w:color w:val="231F20"/>
            <w:w w:val="141"/>
            <w:sz w:val="17"/>
          </w:rPr>
          <w:t>.</w:t>
        </w:r>
        <w:r>
          <w:rPr>
            <w:color w:val="231F20"/>
            <w:spacing w:val="-1"/>
            <w:w w:val="104"/>
            <w:sz w:val="17"/>
          </w:rPr>
          <w:t>n</w:t>
        </w:r>
        <w:r>
          <w:rPr>
            <w:color w:val="231F20"/>
            <w:w w:val="96"/>
            <w:sz w:val="17"/>
          </w:rPr>
          <w:t>e</w:t>
        </w:r>
        <w:r>
          <w:rPr>
            <w:color w:val="231F20"/>
            <w:spacing w:val="5"/>
            <w:w w:val="104"/>
            <w:sz w:val="17"/>
          </w:rPr>
          <w:t>t</w:t>
        </w:r>
        <w:r>
          <w:rPr>
            <w:color w:val="231F20"/>
            <w:spacing w:val="7"/>
            <w:w w:val="66"/>
            <w:sz w:val="17"/>
          </w:rPr>
          <w:t>/</w:t>
        </w:r>
        <w:r>
          <w:rPr>
            <w:color w:val="231F20"/>
            <w:spacing w:val="-9"/>
            <w:w w:val="112"/>
            <w:sz w:val="17"/>
          </w:rPr>
          <w:t>W</w:t>
        </w:r>
        <w:r>
          <w:rPr>
            <w:color w:val="231F20"/>
            <w:spacing w:val="-3"/>
            <w:w w:val="109"/>
            <w:sz w:val="17"/>
          </w:rPr>
          <w:t>o</w:t>
        </w:r>
        <w:r>
          <w:rPr>
            <w:color w:val="231F20"/>
            <w:spacing w:val="-3"/>
            <w:w w:val="103"/>
            <w:sz w:val="17"/>
          </w:rPr>
          <w:t>rl</w:t>
        </w:r>
        <w:r>
          <w:rPr>
            <w:color w:val="231F20"/>
            <w:spacing w:val="6"/>
            <w:w w:val="103"/>
            <w:sz w:val="17"/>
          </w:rPr>
          <w:t>d</w:t>
        </w:r>
        <w:r>
          <w:rPr>
            <w:color w:val="231F20"/>
            <w:spacing w:val="2"/>
            <w:w w:val="66"/>
            <w:sz w:val="17"/>
          </w:rPr>
          <w:t>/</w:t>
        </w:r>
        <w:r>
          <w:rPr>
            <w:color w:val="231F20"/>
            <w:spacing w:val="5"/>
            <w:w w:val="95"/>
            <w:sz w:val="17"/>
          </w:rPr>
          <w:t>2</w:t>
        </w:r>
        <w:r>
          <w:rPr>
            <w:color w:val="231F20"/>
            <w:spacing w:val="-1"/>
            <w:w w:val="95"/>
            <w:sz w:val="17"/>
          </w:rPr>
          <w:t>0</w:t>
        </w:r>
        <w:r>
          <w:rPr>
            <w:color w:val="231F20"/>
            <w:spacing w:val="-3"/>
            <w:w w:val="95"/>
            <w:sz w:val="17"/>
          </w:rPr>
          <w:t>1</w:t>
        </w:r>
        <w:r>
          <w:rPr>
            <w:color w:val="231F20"/>
            <w:spacing w:val="-5"/>
            <w:w w:val="95"/>
            <w:sz w:val="17"/>
          </w:rPr>
          <w:t>7</w:t>
        </w:r>
        <w:r>
          <w:rPr>
            <w:color w:val="231F20"/>
            <w:spacing w:val="2"/>
            <w:w w:val="66"/>
            <w:sz w:val="17"/>
          </w:rPr>
          <w:t>/</w:t>
        </w:r>
        <w:r>
          <w:rPr>
            <w:color w:val="231F20"/>
            <w:spacing w:val="6"/>
            <w:w w:val="95"/>
            <w:sz w:val="17"/>
          </w:rPr>
          <w:t>0</w:t>
        </w:r>
        <w:r>
          <w:rPr>
            <w:color w:val="231F20"/>
            <w:spacing w:val="3"/>
            <w:w w:val="95"/>
            <w:sz w:val="17"/>
          </w:rPr>
          <w:t>4</w:t>
        </w:r>
        <w:r>
          <w:rPr>
            <w:color w:val="231F20"/>
            <w:spacing w:val="2"/>
            <w:w w:val="66"/>
            <w:sz w:val="17"/>
          </w:rPr>
          <w:t>/</w:t>
        </w:r>
        <w:r>
          <w:rPr>
            <w:color w:val="231F20"/>
            <w:spacing w:val="1"/>
            <w:w w:val="95"/>
            <w:sz w:val="17"/>
          </w:rPr>
          <w:t>03</w:t>
        </w:r>
        <w:r>
          <w:rPr>
            <w:color w:val="231F20"/>
            <w:spacing w:val="1"/>
            <w:w w:val="66"/>
            <w:sz w:val="17"/>
          </w:rPr>
          <w:t>/</w:t>
        </w:r>
        <w:r>
          <w:rPr>
            <w:color w:val="231F20"/>
            <w:spacing w:val="-5"/>
            <w:w w:val="148"/>
            <w:sz w:val="17"/>
          </w:rPr>
          <w:t>J</w:t>
        </w:r>
        <w:r>
          <w:rPr>
            <w:color w:val="231F20"/>
            <w:spacing w:val="-3"/>
            <w:w w:val="106"/>
            <w:sz w:val="17"/>
          </w:rPr>
          <w:t>ap</w:t>
        </w:r>
        <w:r>
          <w:rPr>
            <w:color w:val="231F20"/>
            <w:spacing w:val="1"/>
            <w:w w:val="106"/>
            <w:sz w:val="17"/>
          </w:rPr>
          <w:t>a</w:t>
        </w:r>
        <w:r>
          <w:rPr>
            <w:color w:val="231F20"/>
            <w:spacing w:val="1"/>
            <w:w w:val="104"/>
            <w:sz w:val="17"/>
          </w:rPr>
          <w:t>n</w:t>
        </w:r>
        <w:r>
          <w:rPr>
            <w:color w:val="231F20"/>
            <w:spacing w:val="1"/>
            <w:w w:val="106"/>
            <w:sz w:val="17"/>
          </w:rPr>
          <w:t>-</w:t>
        </w:r>
        <w:r>
          <w:rPr>
            <w:color w:val="231F20"/>
            <w:sz w:val="17"/>
          </w:rPr>
          <w:t>to-</w:t>
        </w:r>
      </w:hyperlink>
      <w:r>
        <w:rPr>
          <w:color w:val="231F20"/>
          <w:spacing w:val="40"/>
          <w:sz w:val="17"/>
        </w:rPr>
        <w:t xml:space="preserve"> </w:t>
      </w:r>
      <w:r>
        <w:rPr>
          <w:color w:val="231F20"/>
          <w:sz w:val="17"/>
        </w:rPr>
        <w:t>shoulder-part-of-security-costs-for-Tokyo-Olympic-Games (accessed 20 July 2017).</w:t>
      </w:r>
    </w:p>
    <w:p w14:paraId="6F7144E8" w14:textId="77777777" w:rsidR="00AE0598" w:rsidRDefault="0069255A">
      <w:pPr>
        <w:spacing w:before="2"/>
        <w:ind w:left="430" w:right="128" w:hanging="320"/>
        <w:jc w:val="both"/>
        <w:rPr>
          <w:sz w:val="17"/>
        </w:rPr>
      </w:pPr>
      <w:r>
        <w:rPr>
          <w:color w:val="231F20"/>
          <w:sz w:val="17"/>
        </w:rPr>
        <w:t xml:space="preserve">Thibault, L. (2009) Globalization of sport: An inconvenient truth. </w:t>
      </w:r>
      <w:r>
        <w:rPr>
          <w:i/>
          <w:color w:val="231F20"/>
          <w:sz w:val="17"/>
        </w:rPr>
        <w:t>Journal of Sport</w:t>
      </w:r>
      <w:r>
        <w:rPr>
          <w:i/>
          <w:color w:val="231F20"/>
          <w:spacing w:val="40"/>
          <w:sz w:val="17"/>
        </w:rPr>
        <w:t xml:space="preserve"> </w:t>
      </w:r>
      <w:r>
        <w:rPr>
          <w:i/>
          <w:color w:val="231F20"/>
          <w:sz w:val="17"/>
        </w:rPr>
        <w:t xml:space="preserve">Management </w:t>
      </w:r>
      <w:r>
        <w:rPr>
          <w:color w:val="231F20"/>
          <w:sz w:val="17"/>
        </w:rPr>
        <w:t>2, 1–20.</w:t>
      </w:r>
    </w:p>
    <w:p w14:paraId="676D7230" w14:textId="77777777" w:rsidR="00AE0598" w:rsidRDefault="0069255A">
      <w:pPr>
        <w:spacing w:before="1"/>
        <w:ind w:left="110"/>
        <w:jc w:val="both"/>
        <w:rPr>
          <w:sz w:val="17"/>
        </w:rPr>
      </w:pPr>
      <w:r>
        <w:rPr>
          <w:color w:val="231F20"/>
          <w:sz w:val="17"/>
        </w:rPr>
        <w:t>Thompson,</w:t>
      </w:r>
      <w:r>
        <w:rPr>
          <w:color w:val="231F20"/>
          <w:spacing w:val="15"/>
          <w:sz w:val="17"/>
        </w:rPr>
        <w:t xml:space="preserve"> </w:t>
      </w:r>
      <w:r>
        <w:rPr>
          <w:color w:val="231F20"/>
          <w:sz w:val="17"/>
        </w:rPr>
        <w:t>S.M.</w:t>
      </w:r>
      <w:r>
        <w:rPr>
          <w:color w:val="231F20"/>
          <w:spacing w:val="16"/>
          <w:sz w:val="17"/>
        </w:rPr>
        <w:t xml:space="preserve"> </w:t>
      </w:r>
      <w:r>
        <w:rPr>
          <w:color w:val="231F20"/>
          <w:sz w:val="17"/>
        </w:rPr>
        <w:t>(1985)</w:t>
      </w:r>
      <w:r>
        <w:rPr>
          <w:color w:val="231F20"/>
          <w:spacing w:val="15"/>
          <w:sz w:val="17"/>
        </w:rPr>
        <w:t xml:space="preserve"> </w:t>
      </w:r>
      <w:r>
        <w:rPr>
          <w:color w:val="231F20"/>
          <w:sz w:val="17"/>
        </w:rPr>
        <w:t>Women</w:t>
      </w:r>
      <w:r>
        <w:rPr>
          <w:color w:val="231F20"/>
          <w:spacing w:val="16"/>
          <w:sz w:val="17"/>
        </w:rPr>
        <w:t xml:space="preserve"> </w:t>
      </w:r>
      <w:r>
        <w:rPr>
          <w:color w:val="231F20"/>
          <w:sz w:val="17"/>
        </w:rPr>
        <w:t>in</w:t>
      </w:r>
      <w:r>
        <w:rPr>
          <w:color w:val="231F20"/>
          <w:spacing w:val="15"/>
          <w:sz w:val="17"/>
        </w:rPr>
        <w:t xml:space="preserve"> </w:t>
      </w:r>
      <w:r>
        <w:rPr>
          <w:color w:val="231F20"/>
          <w:sz w:val="17"/>
        </w:rPr>
        <w:t>sport:</w:t>
      </w:r>
      <w:r>
        <w:rPr>
          <w:color w:val="231F20"/>
          <w:spacing w:val="16"/>
          <w:sz w:val="17"/>
        </w:rPr>
        <w:t xml:space="preserve"> </w:t>
      </w:r>
      <w:r>
        <w:rPr>
          <w:color w:val="231F20"/>
          <w:sz w:val="17"/>
        </w:rPr>
        <w:t>Some</w:t>
      </w:r>
      <w:r>
        <w:rPr>
          <w:color w:val="231F20"/>
          <w:spacing w:val="15"/>
          <w:sz w:val="17"/>
        </w:rPr>
        <w:t xml:space="preserve"> </w:t>
      </w:r>
      <w:r>
        <w:rPr>
          <w:color w:val="231F20"/>
          <w:sz w:val="17"/>
        </w:rPr>
        <w:t>participation</w:t>
      </w:r>
      <w:r>
        <w:rPr>
          <w:color w:val="231F20"/>
          <w:spacing w:val="16"/>
          <w:sz w:val="17"/>
        </w:rPr>
        <w:t xml:space="preserve"> </w:t>
      </w:r>
      <w:r>
        <w:rPr>
          <w:color w:val="231F20"/>
          <w:sz w:val="17"/>
        </w:rPr>
        <w:t>patterns</w:t>
      </w:r>
      <w:r>
        <w:rPr>
          <w:color w:val="231F20"/>
          <w:spacing w:val="15"/>
          <w:sz w:val="17"/>
        </w:rPr>
        <w:t xml:space="preserve"> </w:t>
      </w:r>
      <w:r>
        <w:rPr>
          <w:color w:val="231F20"/>
          <w:sz w:val="17"/>
        </w:rPr>
        <w:t>in</w:t>
      </w:r>
      <w:r>
        <w:rPr>
          <w:color w:val="231F20"/>
          <w:spacing w:val="16"/>
          <w:sz w:val="17"/>
        </w:rPr>
        <w:t xml:space="preserve"> </w:t>
      </w:r>
      <w:r>
        <w:rPr>
          <w:color w:val="231F20"/>
          <w:sz w:val="17"/>
        </w:rPr>
        <w:t>New</w:t>
      </w:r>
      <w:r>
        <w:rPr>
          <w:color w:val="231F20"/>
          <w:spacing w:val="15"/>
          <w:sz w:val="17"/>
        </w:rPr>
        <w:t xml:space="preserve"> </w:t>
      </w:r>
      <w:r>
        <w:rPr>
          <w:color w:val="231F20"/>
          <w:spacing w:val="-2"/>
          <w:sz w:val="17"/>
        </w:rPr>
        <w:t>Zealand.</w:t>
      </w:r>
    </w:p>
    <w:p w14:paraId="6CC289A8" w14:textId="77777777" w:rsidR="00AE0598" w:rsidRDefault="0069255A">
      <w:pPr>
        <w:spacing w:before="1"/>
        <w:ind w:left="430"/>
        <w:jc w:val="both"/>
        <w:rPr>
          <w:sz w:val="17"/>
        </w:rPr>
      </w:pPr>
      <w:r>
        <w:rPr>
          <w:i/>
          <w:color w:val="231F20"/>
          <w:w w:val="95"/>
          <w:sz w:val="17"/>
        </w:rPr>
        <w:t>Leisure</w:t>
      </w:r>
      <w:r>
        <w:rPr>
          <w:i/>
          <w:color w:val="231F20"/>
          <w:spacing w:val="14"/>
          <w:sz w:val="17"/>
        </w:rPr>
        <w:t xml:space="preserve"> </w:t>
      </w:r>
      <w:r>
        <w:rPr>
          <w:i/>
          <w:color w:val="231F20"/>
          <w:w w:val="95"/>
          <w:sz w:val="17"/>
        </w:rPr>
        <w:t>Studies</w:t>
      </w:r>
      <w:r>
        <w:rPr>
          <w:i/>
          <w:color w:val="231F20"/>
          <w:spacing w:val="14"/>
          <w:sz w:val="17"/>
        </w:rPr>
        <w:t xml:space="preserve"> </w:t>
      </w:r>
      <w:r>
        <w:rPr>
          <w:color w:val="231F20"/>
          <w:w w:val="95"/>
          <w:sz w:val="17"/>
        </w:rPr>
        <w:t>4</w:t>
      </w:r>
      <w:r>
        <w:rPr>
          <w:color w:val="231F20"/>
          <w:spacing w:val="15"/>
          <w:sz w:val="17"/>
        </w:rPr>
        <w:t xml:space="preserve"> </w:t>
      </w:r>
      <w:r>
        <w:rPr>
          <w:color w:val="231F20"/>
          <w:w w:val="95"/>
          <w:sz w:val="17"/>
        </w:rPr>
        <w:t>(3),</w:t>
      </w:r>
      <w:r>
        <w:rPr>
          <w:color w:val="231F20"/>
          <w:spacing w:val="14"/>
          <w:sz w:val="17"/>
        </w:rPr>
        <w:t xml:space="preserve"> </w:t>
      </w:r>
      <w:r>
        <w:rPr>
          <w:color w:val="231F20"/>
          <w:spacing w:val="-2"/>
          <w:w w:val="95"/>
          <w:sz w:val="17"/>
        </w:rPr>
        <w:t>321–331.</w:t>
      </w:r>
    </w:p>
    <w:p w14:paraId="7E27D349" w14:textId="77777777" w:rsidR="00AE0598" w:rsidRDefault="0069255A">
      <w:pPr>
        <w:ind w:left="430" w:right="127" w:hanging="320"/>
        <w:jc w:val="both"/>
        <w:rPr>
          <w:sz w:val="17"/>
        </w:rPr>
      </w:pPr>
      <w:r>
        <w:rPr>
          <w:color w:val="231F20"/>
          <w:sz w:val="17"/>
        </w:rPr>
        <w:t>Thompson, S.M. (1988) Challenging the hegemony: New Zealand women’s opposition to</w:t>
      </w:r>
      <w:r>
        <w:rPr>
          <w:color w:val="231F20"/>
          <w:spacing w:val="40"/>
          <w:sz w:val="17"/>
        </w:rPr>
        <w:t xml:space="preserve"> </w:t>
      </w:r>
      <w:r>
        <w:rPr>
          <w:color w:val="231F20"/>
          <w:sz w:val="17"/>
        </w:rPr>
        <w:t xml:space="preserve">rugby and the reproduction of a capitalist patriarchy. </w:t>
      </w:r>
      <w:r>
        <w:rPr>
          <w:i/>
          <w:color w:val="231F20"/>
          <w:sz w:val="17"/>
        </w:rPr>
        <w:t>International Review for the</w:t>
      </w:r>
      <w:r>
        <w:rPr>
          <w:i/>
          <w:color w:val="231F20"/>
          <w:spacing w:val="40"/>
          <w:sz w:val="17"/>
        </w:rPr>
        <w:t xml:space="preserve"> </w:t>
      </w:r>
      <w:r>
        <w:rPr>
          <w:i/>
          <w:color w:val="231F20"/>
          <w:sz w:val="17"/>
        </w:rPr>
        <w:t xml:space="preserve">Sociology of Sport </w:t>
      </w:r>
      <w:r>
        <w:rPr>
          <w:color w:val="231F20"/>
          <w:sz w:val="17"/>
        </w:rPr>
        <w:t>23, 205–211.</w:t>
      </w:r>
    </w:p>
    <w:p w14:paraId="58E18F07" w14:textId="77777777" w:rsidR="00AE0598" w:rsidRDefault="0069255A">
      <w:pPr>
        <w:spacing w:before="3"/>
        <w:ind w:left="430" w:right="129" w:hanging="320"/>
        <w:jc w:val="both"/>
        <w:rPr>
          <w:sz w:val="17"/>
        </w:rPr>
      </w:pPr>
      <w:r>
        <w:rPr>
          <w:color w:val="231F20"/>
          <w:sz w:val="17"/>
        </w:rPr>
        <w:t>T</w:t>
      </w:r>
      <w:r>
        <w:rPr>
          <w:color w:val="231F20"/>
          <w:sz w:val="17"/>
        </w:rPr>
        <w:t>hompson, S.M. (1990) Thank the ladies for the plates. The incorporation of women into</w:t>
      </w:r>
      <w:r>
        <w:rPr>
          <w:color w:val="231F20"/>
          <w:spacing w:val="40"/>
          <w:sz w:val="17"/>
        </w:rPr>
        <w:t xml:space="preserve"> </w:t>
      </w:r>
      <w:r>
        <w:rPr>
          <w:color w:val="231F20"/>
          <w:sz w:val="17"/>
        </w:rPr>
        <w:t xml:space="preserve">sport. </w:t>
      </w:r>
      <w:r>
        <w:rPr>
          <w:i/>
          <w:color w:val="231F20"/>
          <w:sz w:val="17"/>
        </w:rPr>
        <w:t xml:space="preserve">Leisure Studies </w:t>
      </w:r>
      <w:r>
        <w:rPr>
          <w:color w:val="231F20"/>
          <w:sz w:val="17"/>
        </w:rPr>
        <w:t>9, 135–143.</w:t>
      </w:r>
    </w:p>
    <w:p w14:paraId="6038F4F4" w14:textId="77777777" w:rsidR="00AE0598" w:rsidRDefault="0069255A">
      <w:pPr>
        <w:spacing w:before="1"/>
        <w:ind w:left="430" w:right="129" w:hanging="320"/>
        <w:jc w:val="both"/>
        <w:rPr>
          <w:sz w:val="17"/>
        </w:rPr>
      </w:pPr>
      <w:r>
        <w:rPr>
          <w:color w:val="231F20"/>
          <w:sz w:val="17"/>
        </w:rPr>
        <w:t>Thomson, R. (2000) Physical activity through sport and leisure: Traditional versus non-</w:t>
      </w:r>
      <w:r>
        <w:rPr>
          <w:color w:val="231F20"/>
          <w:spacing w:val="40"/>
          <w:sz w:val="17"/>
        </w:rPr>
        <w:t xml:space="preserve"> </w:t>
      </w:r>
      <w:r>
        <w:rPr>
          <w:color w:val="231F20"/>
          <w:sz w:val="17"/>
        </w:rPr>
        <w:t xml:space="preserve">competitive activities. </w:t>
      </w:r>
      <w:r>
        <w:rPr>
          <w:i/>
          <w:color w:val="231F20"/>
          <w:sz w:val="17"/>
        </w:rPr>
        <w:t>Journal of Physical Edu</w:t>
      </w:r>
      <w:r>
        <w:rPr>
          <w:i/>
          <w:color w:val="231F20"/>
          <w:sz w:val="17"/>
        </w:rPr>
        <w:t xml:space="preserve">cation New Zealand </w:t>
      </w:r>
      <w:r>
        <w:rPr>
          <w:color w:val="231F20"/>
          <w:sz w:val="17"/>
        </w:rPr>
        <w:t>33 (1), 34–39.</w:t>
      </w:r>
    </w:p>
    <w:p w14:paraId="041A26AF" w14:textId="77777777" w:rsidR="00AE0598" w:rsidRDefault="0069255A">
      <w:pPr>
        <w:spacing w:before="1"/>
        <w:ind w:left="110"/>
        <w:jc w:val="both"/>
        <w:rPr>
          <w:i/>
          <w:sz w:val="17"/>
        </w:rPr>
      </w:pPr>
      <w:r>
        <w:rPr>
          <w:color w:val="231F20"/>
          <w:sz w:val="17"/>
        </w:rPr>
        <w:t>Thornley,</w:t>
      </w:r>
      <w:r>
        <w:rPr>
          <w:color w:val="231F20"/>
          <w:spacing w:val="23"/>
          <w:sz w:val="17"/>
        </w:rPr>
        <w:t xml:space="preserve"> </w:t>
      </w:r>
      <w:r>
        <w:rPr>
          <w:color w:val="231F20"/>
          <w:sz w:val="17"/>
        </w:rPr>
        <w:t>A.</w:t>
      </w:r>
      <w:r>
        <w:rPr>
          <w:color w:val="231F20"/>
          <w:spacing w:val="24"/>
          <w:sz w:val="17"/>
        </w:rPr>
        <w:t xml:space="preserve"> </w:t>
      </w:r>
      <w:r>
        <w:rPr>
          <w:color w:val="231F20"/>
          <w:sz w:val="17"/>
        </w:rPr>
        <w:t>(2002)</w:t>
      </w:r>
      <w:r>
        <w:rPr>
          <w:color w:val="231F20"/>
          <w:spacing w:val="24"/>
          <w:sz w:val="17"/>
        </w:rPr>
        <w:t xml:space="preserve"> </w:t>
      </w:r>
      <w:r>
        <w:rPr>
          <w:color w:val="231F20"/>
          <w:sz w:val="17"/>
        </w:rPr>
        <w:t>Urban</w:t>
      </w:r>
      <w:r>
        <w:rPr>
          <w:color w:val="231F20"/>
          <w:spacing w:val="23"/>
          <w:sz w:val="17"/>
        </w:rPr>
        <w:t xml:space="preserve"> </w:t>
      </w:r>
      <w:r>
        <w:rPr>
          <w:color w:val="231F20"/>
          <w:sz w:val="17"/>
        </w:rPr>
        <w:t>regeneration</w:t>
      </w:r>
      <w:r>
        <w:rPr>
          <w:color w:val="231F20"/>
          <w:spacing w:val="24"/>
          <w:sz w:val="17"/>
        </w:rPr>
        <w:t xml:space="preserve"> </w:t>
      </w:r>
      <w:r>
        <w:rPr>
          <w:color w:val="231F20"/>
          <w:sz w:val="17"/>
        </w:rPr>
        <w:t>and</w:t>
      </w:r>
      <w:r>
        <w:rPr>
          <w:color w:val="231F20"/>
          <w:spacing w:val="24"/>
          <w:sz w:val="17"/>
        </w:rPr>
        <w:t xml:space="preserve"> </w:t>
      </w:r>
      <w:r>
        <w:rPr>
          <w:color w:val="231F20"/>
          <w:sz w:val="17"/>
        </w:rPr>
        <w:t>sports</w:t>
      </w:r>
      <w:r>
        <w:rPr>
          <w:color w:val="231F20"/>
          <w:spacing w:val="23"/>
          <w:sz w:val="17"/>
        </w:rPr>
        <w:t xml:space="preserve"> </w:t>
      </w:r>
      <w:r>
        <w:rPr>
          <w:color w:val="231F20"/>
          <w:sz w:val="17"/>
        </w:rPr>
        <w:t>stadia.</w:t>
      </w:r>
      <w:r>
        <w:rPr>
          <w:color w:val="231F20"/>
          <w:spacing w:val="24"/>
          <w:sz w:val="17"/>
        </w:rPr>
        <w:t xml:space="preserve"> </w:t>
      </w:r>
      <w:r>
        <w:rPr>
          <w:i/>
          <w:color w:val="231F20"/>
          <w:sz w:val="17"/>
        </w:rPr>
        <w:t>European</w:t>
      </w:r>
      <w:r>
        <w:rPr>
          <w:i/>
          <w:color w:val="231F20"/>
          <w:spacing w:val="24"/>
          <w:sz w:val="17"/>
        </w:rPr>
        <w:t xml:space="preserve"> </w:t>
      </w:r>
      <w:r>
        <w:rPr>
          <w:i/>
          <w:color w:val="231F20"/>
          <w:sz w:val="17"/>
        </w:rPr>
        <w:t>Planning</w:t>
      </w:r>
      <w:r>
        <w:rPr>
          <w:i/>
          <w:color w:val="231F20"/>
          <w:spacing w:val="24"/>
          <w:sz w:val="17"/>
        </w:rPr>
        <w:t xml:space="preserve"> </w:t>
      </w:r>
      <w:r>
        <w:rPr>
          <w:i/>
          <w:color w:val="231F20"/>
          <w:spacing w:val="-2"/>
          <w:sz w:val="17"/>
        </w:rPr>
        <w:t>Studies</w:t>
      </w:r>
    </w:p>
    <w:p w14:paraId="7A4ACC94" w14:textId="77777777" w:rsidR="00AE0598" w:rsidRDefault="0069255A">
      <w:pPr>
        <w:spacing w:before="1"/>
        <w:ind w:left="430"/>
        <w:jc w:val="both"/>
        <w:rPr>
          <w:sz w:val="17"/>
        </w:rPr>
      </w:pPr>
      <w:r>
        <w:rPr>
          <w:color w:val="231F20"/>
          <w:w w:val="90"/>
          <w:sz w:val="17"/>
        </w:rPr>
        <w:t>10</w:t>
      </w:r>
      <w:r>
        <w:rPr>
          <w:color w:val="231F20"/>
          <w:spacing w:val="5"/>
          <w:sz w:val="17"/>
        </w:rPr>
        <w:t xml:space="preserve"> </w:t>
      </w:r>
      <w:r>
        <w:rPr>
          <w:color w:val="231F20"/>
          <w:w w:val="90"/>
          <w:sz w:val="17"/>
        </w:rPr>
        <w:t>(7),</w:t>
      </w:r>
      <w:r>
        <w:rPr>
          <w:color w:val="231F20"/>
          <w:spacing w:val="6"/>
          <w:sz w:val="17"/>
        </w:rPr>
        <w:t xml:space="preserve"> </w:t>
      </w:r>
      <w:r>
        <w:rPr>
          <w:color w:val="231F20"/>
          <w:spacing w:val="-2"/>
          <w:w w:val="90"/>
          <w:sz w:val="17"/>
        </w:rPr>
        <w:t>813–818.</w:t>
      </w:r>
    </w:p>
    <w:p w14:paraId="22975522" w14:textId="77777777" w:rsidR="00AE0598" w:rsidRDefault="0069255A">
      <w:pPr>
        <w:spacing w:before="1"/>
        <w:ind w:left="430" w:right="127" w:hanging="320"/>
        <w:jc w:val="both"/>
        <w:rPr>
          <w:sz w:val="17"/>
        </w:rPr>
      </w:pPr>
      <w:r>
        <w:rPr>
          <w:color w:val="231F20"/>
          <w:sz w:val="17"/>
        </w:rPr>
        <w:t xml:space="preserve">Thorpe, H. (2011) </w:t>
      </w:r>
      <w:r>
        <w:rPr>
          <w:i/>
          <w:color w:val="231F20"/>
          <w:sz w:val="17"/>
        </w:rPr>
        <w:t>Snowboarding Bodies in Theory and Practice</w:t>
      </w:r>
      <w:r>
        <w:rPr>
          <w:color w:val="231F20"/>
          <w:sz w:val="17"/>
        </w:rPr>
        <w:t>. Basingstoke: Palgrave</w:t>
      </w:r>
      <w:r>
        <w:rPr>
          <w:color w:val="231F20"/>
          <w:spacing w:val="40"/>
          <w:sz w:val="17"/>
        </w:rPr>
        <w:t xml:space="preserve"> </w:t>
      </w:r>
      <w:r>
        <w:rPr>
          <w:color w:val="231F20"/>
          <w:spacing w:val="-2"/>
          <w:sz w:val="17"/>
        </w:rPr>
        <w:t>Macmillan.</w:t>
      </w:r>
    </w:p>
    <w:p w14:paraId="22A9CD80" w14:textId="77777777" w:rsidR="00AE0598" w:rsidRDefault="0069255A">
      <w:pPr>
        <w:spacing w:before="1"/>
        <w:ind w:left="430" w:right="127" w:hanging="320"/>
        <w:jc w:val="both"/>
        <w:rPr>
          <w:sz w:val="17"/>
        </w:rPr>
      </w:pPr>
      <w:r>
        <w:rPr>
          <w:color w:val="231F20"/>
          <w:sz w:val="17"/>
        </w:rPr>
        <w:t>Throssell, C., Lyman, G., Johnson, M., Stacey, G. and Brown, C. (2009) Golf course</w:t>
      </w:r>
      <w:r>
        <w:rPr>
          <w:color w:val="231F20"/>
          <w:spacing w:val="40"/>
          <w:sz w:val="17"/>
        </w:rPr>
        <w:t xml:space="preserve"> </w:t>
      </w:r>
      <w:r>
        <w:rPr>
          <w:color w:val="231F20"/>
          <w:w w:val="95"/>
          <w:sz w:val="17"/>
        </w:rPr>
        <w:t>environmental profile measures water use, source, cost, quality, and management and</w:t>
      </w:r>
      <w:r>
        <w:rPr>
          <w:color w:val="231F20"/>
          <w:spacing w:val="40"/>
          <w:sz w:val="17"/>
        </w:rPr>
        <w:t xml:space="preserve"> </w:t>
      </w:r>
      <w:r>
        <w:rPr>
          <w:color w:val="231F20"/>
          <w:w w:val="95"/>
          <w:sz w:val="17"/>
        </w:rPr>
        <w:t>conservation</w:t>
      </w:r>
      <w:r>
        <w:rPr>
          <w:color w:val="231F20"/>
          <w:spacing w:val="-11"/>
          <w:w w:val="95"/>
          <w:sz w:val="17"/>
        </w:rPr>
        <w:t xml:space="preserve"> </w:t>
      </w:r>
      <w:r>
        <w:rPr>
          <w:color w:val="231F20"/>
          <w:w w:val="95"/>
          <w:sz w:val="17"/>
        </w:rPr>
        <w:t>strategies.</w:t>
      </w:r>
      <w:r>
        <w:rPr>
          <w:color w:val="231F20"/>
          <w:spacing w:val="-11"/>
          <w:w w:val="95"/>
          <w:sz w:val="17"/>
        </w:rPr>
        <w:t xml:space="preserve"> </w:t>
      </w:r>
      <w:r>
        <w:rPr>
          <w:i/>
          <w:color w:val="231F20"/>
          <w:w w:val="95"/>
          <w:sz w:val="17"/>
        </w:rPr>
        <w:t>Applied</w:t>
      </w:r>
      <w:r>
        <w:rPr>
          <w:i/>
          <w:color w:val="231F20"/>
          <w:spacing w:val="-11"/>
          <w:w w:val="95"/>
          <w:sz w:val="17"/>
        </w:rPr>
        <w:t xml:space="preserve"> </w:t>
      </w:r>
      <w:r>
        <w:rPr>
          <w:i/>
          <w:color w:val="231F20"/>
          <w:w w:val="95"/>
          <w:sz w:val="17"/>
        </w:rPr>
        <w:t>Turfgrass</w:t>
      </w:r>
      <w:r>
        <w:rPr>
          <w:i/>
          <w:color w:val="231F20"/>
          <w:spacing w:val="-11"/>
          <w:w w:val="95"/>
          <w:sz w:val="17"/>
        </w:rPr>
        <w:t xml:space="preserve"> </w:t>
      </w:r>
      <w:r>
        <w:rPr>
          <w:i/>
          <w:color w:val="231F20"/>
          <w:w w:val="95"/>
          <w:sz w:val="17"/>
        </w:rPr>
        <w:t>Science</w:t>
      </w:r>
      <w:r>
        <w:rPr>
          <w:color w:val="231F20"/>
          <w:w w:val="95"/>
          <w:sz w:val="17"/>
        </w:rPr>
        <w:t>.</w:t>
      </w:r>
      <w:r>
        <w:rPr>
          <w:color w:val="231F20"/>
          <w:spacing w:val="-11"/>
          <w:w w:val="95"/>
          <w:sz w:val="17"/>
        </w:rPr>
        <w:t xml:space="preserve"> </w:t>
      </w:r>
      <w:r>
        <w:rPr>
          <w:color w:val="231F20"/>
          <w:w w:val="95"/>
          <w:sz w:val="17"/>
        </w:rPr>
        <w:t>doi:</w:t>
      </w:r>
      <w:r>
        <w:rPr>
          <w:color w:val="231F20"/>
          <w:spacing w:val="-11"/>
          <w:w w:val="95"/>
          <w:sz w:val="17"/>
        </w:rPr>
        <w:t xml:space="preserve"> </w:t>
      </w:r>
      <w:r>
        <w:rPr>
          <w:color w:val="231F20"/>
          <w:spacing w:val="-2"/>
          <w:w w:val="87"/>
          <w:sz w:val="17"/>
        </w:rPr>
        <w:t>1</w:t>
      </w:r>
      <w:r>
        <w:rPr>
          <w:color w:val="231F20"/>
          <w:spacing w:val="1"/>
          <w:w w:val="87"/>
          <w:sz w:val="17"/>
        </w:rPr>
        <w:t>0</w:t>
      </w:r>
      <w:r>
        <w:rPr>
          <w:color w:val="231F20"/>
          <w:spacing w:val="-5"/>
          <w:w w:val="133"/>
          <w:sz w:val="17"/>
        </w:rPr>
        <w:t>.</w:t>
      </w:r>
      <w:r>
        <w:rPr>
          <w:color w:val="231F20"/>
          <w:spacing w:val="-2"/>
          <w:w w:val="87"/>
          <w:sz w:val="17"/>
        </w:rPr>
        <w:t>1</w:t>
      </w:r>
      <w:r>
        <w:rPr>
          <w:color w:val="231F20"/>
          <w:spacing w:val="4"/>
          <w:w w:val="87"/>
          <w:sz w:val="17"/>
        </w:rPr>
        <w:t>0</w:t>
      </w:r>
      <w:r>
        <w:rPr>
          <w:color w:val="231F20"/>
          <w:spacing w:val="3"/>
          <w:w w:val="87"/>
          <w:sz w:val="17"/>
        </w:rPr>
        <w:t>94</w:t>
      </w:r>
      <w:r>
        <w:rPr>
          <w:color w:val="231F20"/>
          <w:spacing w:val="-10"/>
          <w:w w:val="58"/>
          <w:sz w:val="17"/>
        </w:rPr>
        <w:t>/</w:t>
      </w:r>
      <w:r>
        <w:rPr>
          <w:color w:val="231F20"/>
          <w:spacing w:val="-9"/>
          <w:w w:val="113"/>
          <w:sz w:val="17"/>
        </w:rPr>
        <w:t>A</w:t>
      </w:r>
      <w:r>
        <w:rPr>
          <w:color w:val="231F20"/>
          <w:spacing w:val="2"/>
          <w:w w:val="118"/>
          <w:sz w:val="17"/>
        </w:rPr>
        <w:t>T</w:t>
      </w:r>
      <w:r>
        <w:rPr>
          <w:color w:val="231F20"/>
          <w:spacing w:val="7"/>
          <w:w w:val="97"/>
          <w:sz w:val="17"/>
        </w:rPr>
        <w:t>S</w:t>
      </w:r>
      <w:r>
        <w:rPr>
          <w:color w:val="231F20"/>
          <w:spacing w:val="-3"/>
          <w:w w:val="98"/>
          <w:sz w:val="17"/>
        </w:rPr>
        <w:t>-</w:t>
      </w:r>
      <w:r>
        <w:rPr>
          <w:color w:val="231F20"/>
          <w:w w:val="95"/>
          <w:sz w:val="17"/>
        </w:rPr>
        <w:t>2009-</w:t>
      </w:r>
      <w:r>
        <w:rPr>
          <w:color w:val="231F20"/>
          <w:spacing w:val="-11"/>
          <w:w w:val="95"/>
          <w:sz w:val="17"/>
        </w:rPr>
        <w:t xml:space="preserve"> </w:t>
      </w:r>
      <w:r>
        <w:rPr>
          <w:color w:val="231F20"/>
          <w:w w:val="95"/>
          <w:sz w:val="17"/>
        </w:rPr>
        <w:t>0129-01-RS.</w:t>
      </w:r>
    </w:p>
    <w:p w14:paraId="673D5A4D" w14:textId="77777777" w:rsidR="00AE0598" w:rsidRDefault="0069255A">
      <w:pPr>
        <w:spacing w:before="2"/>
        <w:ind w:left="110"/>
        <w:jc w:val="both"/>
        <w:rPr>
          <w:sz w:val="17"/>
        </w:rPr>
      </w:pPr>
      <w:r>
        <w:rPr>
          <w:color w:val="231F20"/>
          <w:sz w:val="17"/>
        </w:rPr>
        <w:t>Timothy,</w:t>
      </w:r>
      <w:r>
        <w:rPr>
          <w:color w:val="231F20"/>
          <w:spacing w:val="-1"/>
          <w:sz w:val="17"/>
        </w:rPr>
        <w:t xml:space="preserve"> </w:t>
      </w:r>
      <w:r>
        <w:rPr>
          <w:color w:val="231F20"/>
          <w:sz w:val="17"/>
        </w:rPr>
        <w:t>D.</w:t>
      </w:r>
      <w:r>
        <w:rPr>
          <w:color w:val="231F20"/>
          <w:spacing w:val="-1"/>
          <w:sz w:val="17"/>
        </w:rPr>
        <w:t xml:space="preserve"> </w:t>
      </w:r>
      <w:r>
        <w:rPr>
          <w:color w:val="231F20"/>
          <w:sz w:val="17"/>
        </w:rPr>
        <w:t>and Boyd,</w:t>
      </w:r>
      <w:r>
        <w:rPr>
          <w:color w:val="231F20"/>
          <w:spacing w:val="-1"/>
          <w:sz w:val="17"/>
        </w:rPr>
        <w:t xml:space="preserve"> </w:t>
      </w:r>
      <w:r>
        <w:rPr>
          <w:color w:val="231F20"/>
          <w:sz w:val="17"/>
        </w:rPr>
        <w:t>S.W. (2002)</w:t>
      </w:r>
      <w:r>
        <w:rPr>
          <w:color w:val="231F20"/>
          <w:spacing w:val="-1"/>
          <w:sz w:val="17"/>
        </w:rPr>
        <w:t xml:space="preserve"> </w:t>
      </w:r>
      <w:r>
        <w:rPr>
          <w:i/>
          <w:color w:val="231F20"/>
          <w:sz w:val="17"/>
        </w:rPr>
        <w:t>Heritage Tourism</w:t>
      </w:r>
      <w:r>
        <w:rPr>
          <w:color w:val="231F20"/>
          <w:sz w:val="17"/>
        </w:rPr>
        <w:t>.</w:t>
      </w:r>
      <w:r>
        <w:rPr>
          <w:color w:val="231F20"/>
          <w:spacing w:val="-1"/>
          <w:sz w:val="17"/>
        </w:rPr>
        <w:t xml:space="preserve"> </w:t>
      </w:r>
      <w:r>
        <w:rPr>
          <w:color w:val="231F20"/>
          <w:sz w:val="17"/>
        </w:rPr>
        <w:t>London: Prentice</w:t>
      </w:r>
      <w:r>
        <w:rPr>
          <w:color w:val="231F20"/>
          <w:spacing w:val="-1"/>
          <w:sz w:val="17"/>
        </w:rPr>
        <w:t xml:space="preserve"> </w:t>
      </w:r>
      <w:r>
        <w:rPr>
          <w:color w:val="231F20"/>
          <w:spacing w:val="-2"/>
          <w:sz w:val="17"/>
        </w:rPr>
        <w:t>Hall.</w:t>
      </w:r>
    </w:p>
    <w:p w14:paraId="37BE1BA8" w14:textId="77777777" w:rsidR="00AE0598" w:rsidRDefault="0069255A">
      <w:pPr>
        <w:spacing w:before="1"/>
        <w:ind w:left="430" w:right="127" w:hanging="320"/>
        <w:jc w:val="both"/>
        <w:rPr>
          <w:sz w:val="17"/>
        </w:rPr>
      </w:pPr>
      <w:r>
        <w:rPr>
          <w:color w:val="231F20"/>
          <w:sz w:val="17"/>
        </w:rPr>
        <w:t>Todorova, V. (2015, February 28) Special report: Saving water in the UAE. The National</w:t>
      </w:r>
      <w:r>
        <w:rPr>
          <w:color w:val="231F20"/>
          <w:spacing w:val="40"/>
          <w:sz w:val="17"/>
        </w:rPr>
        <w:t xml:space="preserve"> </w:t>
      </w:r>
      <w:r>
        <w:rPr>
          <w:color w:val="231F20"/>
          <w:w w:val="95"/>
          <w:sz w:val="17"/>
        </w:rPr>
        <w:t xml:space="preserve">UAE. See </w:t>
      </w:r>
      <w:hyperlink r:id="rId61">
        <w:r>
          <w:rPr>
            <w:color w:val="231F20"/>
            <w:spacing w:val="-3"/>
            <w:w w:val="98"/>
            <w:sz w:val="17"/>
          </w:rPr>
          <w:t>h</w:t>
        </w:r>
        <w:r>
          <w:rPr>
            <w:color w:val="231F20"/>
            <w:spacing w:val="2"/>
            <w:w w:val="97"/>
            <w:sz w:val="17"/>
          </w:rPr>
          <w:t>tt</w:t>
        </w:r>
        <w:r>
          <w:rPr>
            <w:color w:val="231F20"/>
            <w:spacing w:val="-3"/>
            <w:w w:val="97"/>
            <w:sz w:val="17"/>
          </w:rPr>
          <w:t>p</w:t>
        </w:r>
        <w:r>
          <w:rPr>
            <w:color w:val="231F20"/>
            <w:spacing w:val="3"/>
            <w:w w:val="104"/>
            <w:sz w:val="17"/>
          </w:rPr>
          <w:t>:</w:t>
        </w:r>
        <w:r>
          <w:rPr>
            <w:color w:val="231F20"/>
            <w:spacing w:val="-5"/>
            <w:w w:val="59"/>
            <w:sz w:val="17"/>
          </w:rPr>
          <w:t>/</w:t>
        </w:r>
        <w:r>
          <w:rPr>
            <w:color w:val="231F20"/>
            <w:spacing w:val="-2"/>
            <w:w w:val="59"/>
            <w:sz w:val="17"/>
          </w:rPr>
          <w:t>/</w:t>
        </w:r>
        <w:r>
          <w:rPr>
            <w:color w:val="231F20"/>
            <w:spacing w:val="2"/>
            <w:w w:val="98"/>
            <w:sz w:val="17"/>
          </w:rPr>
          <w:t>ww</w:t>
        </w:r>
        <w:r>
          <w:rPr>
            <w:color w:val="231F20"/>
            <w:spacing w:val="-10"/>
            <w:w w:val="98"/>
            <w:sz w:val="17"/>
          </w:rPr>
          <w:t>w</w:t>
        </w:r>
        <w:r>
          <w:rPr>
            <w:color w:val="231F20"/>
            <w:spacing w:val="-2"/>
            <w:w w:val="134"/>
            <w:sz w:val="17"/>
          </w:rPr>
          <w:t>.</w:t>
        </w:r>
        <w:r>
          <w:rPr>
            <w:color w:val="231F20"/>
            <w:spacing w:val="1"/>
            <w:w w:val="97"/>
            <w:sz w:val="17"/>
          </w:rPr>
          <w:t>t</w:t>
        </w:r>
        <w:r>
          <w:rPr>
            <w:color w:val="231F20"/>
            <w:spacing w:val="-1"/>
            <w:w w:val="98"/>
            <w:sz w:val="17"/>
          </w:rPr>
          <w:t>h</w:t>
        </w:r>
        <w:r>
          <w:rPr>
            <w:color w:val="231F20"/>
            <w:w w:val="89"/>
            <w:sz w:val="17"/>
          </w:rPr>
          <w:t>e</w:t>
        </w:r>
        <w:r>
          <w:rPr>
            <w:color w:val="231F20"/>
            <w:w w:val="97"/>
            <w:sz w:val="17"/>
          </w:rPr>
          <w:t>n</w:t>
        </w:r>
        <w:r>
          <w:rPr>
            <w:color w:val="231F20"/>
            <w:spacing w:val="-3"/>
            <w:sz w:val="17"/>
          </w:rPr>
          <w:t>a</w:t>
        </w:r>
        <w:r>
          <w:rPr>
            <w:color w:val="231F20"/>
            <w:spacing w:val="1"/>
            <w:w w:val="97"/>
            <w:sz w:val="17"/>
          </w:rPr>
          <w:t>t</w:t>
        </w:r>
        <w:r>
          <w:rPr>
            <w:color w:val="231F20"/>
            <w:spacing w:val="-3"/>
            <w:w w:val="99"/>
            <w:sz w:val="17"/>
          </w:rPr>
          <w:t>i</w:t>
        </w:r>
        <w:r>
          <w:rPr>
            <w:color w:val="231F20"/>
            <w:spacing w:val="-2"/>
            <w:w w:val="102"/>
            <w:sz w:val="17"/>
          </w:rPr>
          <w:t>o</w:t>
        </w:r>
        <w:r>
          <w:rPr>
            <w:color w:val="231F20"/>
            <w:w w:val="97"/>
            <w:sz w:val="17"/>
          </w:rPr>
          <w:t>n</w:t>
        </w:r>
        <w:r>
          <w:rPr>
            <w:color w:val="231F20"/>
            <w:spacing w:val="1"/>
            <w:sz w:val="17"/>
          </w:rPr>
          <w:t>a</w:t>
        </w:r>
        <w:r>
          <w:rPr>
            <w:color w:val="231F20"/>
            <w:spacing w:val="-1"/>
            <w:w w:val="101"/>
            <w:sz w:val="17"/>
          </w:rPr>
          <w:t>l</w:t>
        </w:r>
        <w:r>
          <w:rPr>
            <w:color w:val="231F20"/>
            <w:spacing w:val="1"/>
            <w:w w:val="134"/>
            <w:sz w:val="17"/>
          </w:rPr>
          <w:t>.</w:t>
        </w:r>
        <w:r>
          <w:rPr>
            <w:color w:val="231F20"/>
            <w:spacing w:val="-2"/>
            <w:sz w:val="17"/>
          </w:rPr>
          <w:t>a</w:t>
        </w:r>
        <w:r>
          <w:rPr>
            <w:color w:val="231F20"/>
            <w:spacing w:val="4"/>
            <w:w w:val="74"/>
            <w:sz w:val="17"/>
          </w:rPr>
          <w:t>e</w:t>
        </w:r>
        <w:r>
          <w:rPr>
            <w:color w:val="231F20"/>
            <w:spacing w:val="-3"/>
            <w:w w:val="74"/>
            <w:sz w:val="17"/>
          </w:rPr>
          <w:t>/</w:t>
        </w:r>
        <w:r>
          <w:rPr>
            <w:color w:val="231F20"/>
            <w:w w:val="98"/>
            <w:sz w:val="17"/>
          </w:rPr>
          <w:t>u</w:t>
        </w:r>
        <w:r>
          <w:rPr>
            <w:color w:val="231F20"/>
            <w:spacing w:val="-2"/>
            <w:sz w:val="17"/>
          </w:rPr>
          <w:t>a</w:t>
        </w:r>
        <w:r>
          <w:rPr>
            <w:color w:val="231F20"/>
            <w:spacing w:val="4"/>
            <w:w w:val="74"/>
            <w:sz w:val="17"/>
          </w:rPr>
          <w:t>e</w:t>
        </w:r>
        <w:r>
          <w:rPr>
            <w:color w:val="231F20"/>
            <w:spacing w:val="-6"/>
            <w:w w:val="74"/>
            <w:sz w:val="17"/>
          </w:rPr>
          <w:t>/</w:t>
        </w:r>
        <w:r>
          <w:rPr>
            <w:color w:val="231F20"/>
            <w:w w:val="89"/>
            <w:sz w:val="17"/>
          </w:rPr>
          <w:t>e</w:t>
        </w:r>
        <w:r>
          <w:rPr>
            <w:color w:val="231F20"/>
            <w:spacing w:val="-3"/>
            <w:w w:val="97"/>
            <w:sz w:val="17"/>
          </w:rPr>
          <w:t>n</w:t>
        </w:r>
        <w:r>
          <w:rPr>
            <w:color w:val="231F20"/>
            <w:spacing w:val="1"/>
            <w:w w:val="97"/>
            <w:sz w:val="17"/>
          </w:rPr>
          <w:t>v</w:t>
        </w:r>
        <w:r>
          <w:rPr>
            <w:color w:val="231F20"/>
            <w:w w:val="99"/>
            <w:sz w:val="17"/>
          </w:rPr>
          <w:t>i</w:t>
        </w:r>
        <w:r>
          <w:rPr>
            <w:color w:val="231F20"/>
            <w:spacing w:val="-2"/>
            <w:w w:val="92"/>
            <w:sz w:val="17"/>
          </w:rPr>
          <w:t>r</w:t>
        </w:r>
        <w:r>
          <w:rPr>
            <w:color w:val="231F20"/>
            <w:spacing w:val="-2"/>
            <w:w w:val="102"/>
            <w:sz w:val="17"/>
          </w:rPr>
          <w:t>o</w:t>
        </w:r>
        <w:r>
          <w:rPr>
            <w:color w:val="231F20"/>
            <w:w w:val="97"/>
            <w:sz w:val="17"/>
          </w:rPr>
          <w:t>n</w:t>
        </w:r>
        <w:r>
          <w:rPr>
            <w:color w:val="231F20"/>
            <w:spacing w:val="-1"/>
            <w:w w:val="98"/>
            <w:sz w:val="17"/>
          </w:rPr>
          <w:t>m</w:t>
        </w:r>
        <w:r>
          <w:rPr>
            <w:color w:val="231F20"/>
            <w:w w:val="89"/>
            <w:sz w:val="17"/>
          </w:rPr>
          <w:t>e</w:t>
        </w:r>
        <w:r>
          <w:rPr>
            <w:color w:val="231F20"/>
            <w:spacing w:val="-2"/>
            <w:w w:val="97"/>
            <w:sz w:val="17"/>
          </w:rPr>
          <w:t>n</w:t>
        </w:r>
        <w:r>
          <w:rPr>
            <w:color w:val="231F20"/>
            <w:spacing w:val="5"/>
            <w:w w:val="97"/>
            <w:sz w:val="17"/>
          </w:rPr>
          <w:t>t</w:t>
        </w:r>
        <w:r>
          <w:rPr>
            <w:color w:val="231F20"/>
            <w:spacing w:val="-6"/>
            <w:w w:val="59"/>
            <w:sz w:val="17"/>
          </w:rPr>
          <w:t>/</w:t>
        </w:r>
        <w:r>
          <w:rPr>
            <w:color w:val="231F20"/>
            <w:spacing w:val="-2"/>
            <w:w w:val="89"/>
            <w:sz w:val="17"/>
          </w:rPr>
          <w:t>s</w:t>
        </w:r>
        <w:r>
          <w:rPr>
            <w:color w:val="231F20"/>
            <w:w w:val="97"/>
            <w:sz w:val="17"/>
          </w:rPr>
          <w:t>p</w:t>
        </w:r>
        <w:r>
          <w:rPr>
            <w:color w:val="231F20"/>
            <w:w w:val="89"/>
            <w:sz w:val="17"/>
          </w:rPr>
          <w:t>e</w:t>
        </w:r>
        <w:r>
          <w:rPr>
            <w:color w:val="231F20"/>
            <w:w w:val="98"/>
            <w:sz w:val="17"/>
          </w:rPr>
          <w:t>c</w:t>
        </w:r>
        <w:r>
          <w:rPr>
            <w:color w:val="231F20"/>
            <w:spacing w:val="-1"/>
            <w:w w:val="99"/>
            <w:sz w:val="17"/>
          </w:rPr>
          <w:t>i</w:t>
        </w:r>
        <w:r>
          <w:rPr>
            <w:color w:val="231F20"/>
            <w:spacing w:val="1"/>
            <w:sz w:val="17"/>
          </w:rPr>
          <w:t>a</w:t>
        </w:r>
        <w:r>
          <w:rPr>
            <w:color w:val="231F20"/>
            <w:w w:val="101"/>
            <w:sz w:val="17"/>
          </w:rPr>
          <w:t>l</w:t>
        </w:r>
        <w:r>
          <w:rPr>
            <w:color w:val="231F20"/>
            <w:spacing w:val="-1"/>
            <w:w w:val="99"/>
            <w:sz w:val="17"/>
          </w:rPr>
          <w:t>-</w:t>
        </w:r>
        <w:r>
          <w:rPr>
            <w:color w:val="231F20"/>
            <w:w w:val="95"/>
            <w:sz w:val="17"/>
          </w:rPr>
          <w:t>report-saving-water-in-</w:t>
        </w:r>
      </w:hyperlink>
      <w:r>
        <w:rPr>
          <w:color w:val="231F20"/>
          <w:spacing w:val="40"/>
          <w:sz w:val="17"/>
        </w:rPr>
        <w:t xml:space="preserve"> </w:t>
      </w:r>
      <w:r>
        <w:rPr>
          <w:color w:val="231F20"/>
          <w:sz w:val="17"/>
        </w:rPr>
        <w:t>the-uae (accessed 24 June 2017).</w:t>
      </w:r>
    </w:p>
    <w:p w14:paraId="1337D426" w14:textId="77777777" w:rsidR="00AE0598" w:rsidRDefault="0069255A">
      <w:pPr>
        <w:spacing w:before="2"/>
        <w:ind w:left="430" w:right="127" w:hanging="320"/>
        <w:jc w:val="both"/>
        <w:rPr>
          <w:sz w:val="17"/>
        </w:rPr>
      </w:pPr>
      <w:r>
        <w:rPr>
          <w:color w:val="231F20"/>
          <w:sz w:val="17"/>
        </w:rPr>
        <w:t>Tokarski,</w:t>
      </w:r>
      <w:r>
        <w:rPr>
          <w:color w:val="231F20"/>
          <w:spacing w:val="-4"/>
          <w:sz w:val="17"/>
        </w:rPr>
        <w:t xml:space="preserve"> </w:t>
      </w:r>
      <w:r>
        <w:rPr>
          <w:color w:val="231F20"/>
          <w:sz w:val="17"/>
        </w:rPr>
        <w:t>W.</w:t>
      </w:r>
      <w:r>
        <w:rPr>
          <w:color w:val="231F20"/>
          <w:spacing w:val="-4"/>
          <w:sz w:val="17"/>
        </w:rPr>
        <w:t xml:space="preserve"> </w:t>
      </w:r>
      <w:r>
        <w:rPr>
          <w:color w:val="231F20"/>
          <w:sz w:val="17"/>
        </w:rPr>
        <w:t>(1993)</w:t>
      </w:r>
      <w:r>
        <w:rPr>
          <w:color w:val="231F20"/>
          <w:spacing w:val="-4"/>
          <w:sz w:val="17"/>
        </w:rPr>
        <w:t xml:space="preserve"> </w:t>
      </w:r>
      <w:r>
        <w:rPr>
          <w:color w:val="231F20"/>
          <w:sz w:val="17"/>
        </w:rPr>
        <w:t>Leisure,</w:t>
      </w:r>
      <w:r>
        <w:rPr>
          <w:color w:val="231F20"/>
          <w:spacing w:val="-4"/>
          <w:sz w:val="17"/>
        </w:rPr>
        <w:t xml:space="preserve"> </w:t>
      </w:r>
      <w:r>
        <w:rPr>
          <w:color w:val="231F20"/>
          <w:sz w:val="17"/>
        </w:rPr>
        <w:t>sports</w:t>
      </w:r>
      <w:r>
        <w:rPr>
          <w:color w:val="231F20"/>
          <w:spacing w:val="-4"/>
          <w:sz w:val="17"/>
        </w:rPr>
        <w:t xml:space="preserve"> </w:t>
      </w:r>
      <w:r>
        <w:rPr>
          <w:color w:val="231F20"/>
          <w:sz w:val="17"/>
        </w:rPr>
        <w:t>and</w:t>
      </w:r>
      <w:r>
        <w:rPr>
          <w:color w:val="231F20"/>
          <w:spacing w:val="-4"/>
          <w:sz w:val="17"/>
        </w:rPr>
        <w:t xml:space="preserve"> </w:t>
      </w:r>
      <w:r>
        <w:rPr>
          <w:color w:val="231F20"/>
          <w:sz w:val="17"/>
        </w:rPr>
        <w:t>tourism:</w:t>
      </w:r>
      <w:r>
        <w:rPr>
          <w:color w:val="231F20"/>
          <w:spacing w:val="-4"/>
          <w:sz w:val="17"/>
        </w:rPr>
        <w:t xml:space="preserve"> </w:t>
      </w:r>
      <w:r>
        <w:rPr>
          <w:color w:val="231F20"/>
          <w:sz w:val="17"/>
        </w:rPr>
        <w:t>The</w:t>
      </w:r>
      <w:r>
        <w:rPr>
          <w:color w:val="231F20"/>
          <w:spacing w:val="-4"/>
          <w:sz w:val="17"/>
        </w:rPr>
        <w:t xml:space="preserve"> </w:t>
      </w:r>
      <w:r>
        <w:rPr>
          <w:color w:val="231F20"/>
          <w:sz w:val="17"/>
        </w:rPr>
        <w:t>role</w:t>
      </w:r>
      <w:r>
        <w:rPr>
          <w:color w:val="231F20"/>
          <w:spacing w:val="-4"/>
          <w:sz w:val="17"/>
        </w:rPr>
        <w:t xml:space="preserve"> </w:t>
      </w:r>
      <w:r>
        <w:rPr>
          <w:color w:val="231F20"/>
          <w:sz w:val="17"/>
        </w:rPr>
        <w:t>of</w:t>
      </w:r>
      <w:r>
        <w:rPr>
          <w:color w:val="231F20"/>
          <w:spacing w:val="-4"/>
          <w:sz w:val="17"/>
        </w:rPr>
        <w:t xml:space="preserve"> </w:t>
      </w:r>
      <w:r>
        <w:rPr>
          <w:color w:val="231F20"/>
          <w:sz w:val="17"/>
        </w:rPr>
        <w:t>sports</w:t>
      </w:r>
      <w:r>
        <w:rPr>
          <w:color w:val="231F20"/>
          <w:spacing w:val="-4"/>
          <w:sz w:val="17"/>
        </w:rPr>
        <w:t xml:space="preserve"> </w:t>
      </w:r>
      <w:r>
        <w:rPr>
          <w:color w:val="231F20"/>
          <w:sz w:val="17"/>
        </w:rPr>
        <w:t>in</w:t>
      </w:r>
      <w:r>
        <w:rPr>
          <w:color w:val="231F20"/>
          <w:spacing w:val="-4"/>
          <w:sz w:val="17"/>
        </w:rPr>
        <w:t xml:space="preserve"> </w:t>
      </w:r>
      <w:r>
        <w:rPr>
          <w:color w:val="231F20"/>
          <w:sz w:val="17"/>
        </w:rPr>
        <w:t>and</w:t>
      </w:r>
      <w:r>
        <w:rPr>
          <w:color w:val="231F20"/>
          <w:spacing w:val="-4"/>
          <w:sz w:val="17"/>
        </w:rPr>
        <w:t xml:space="preserve"> </w:t>
      </w:r>
      <w:r>
        <w:rPr>
          <w:color w:val="231F20"/>
          <w:sz w:val="17"/>
        </w:rPr>
        <w:t>outside</w:t>
      </w:r>
      <w:r>
        <w:rPr>
          <w:color w:val="231F20"/>
          <w:spacing w:val="-4"/>
          <w:sz w:val="17"/>
        </w:rPr>
        <w:t xml:space="preserve"> </w:t>
      </w:r>
      <w:r>
        <w:rPr>
          <w:color w:val="231F20"/>
          <w:sz w:val="17"/>
        </w:rPr>
        <w:t>holiday</w:t>
      </w:r>
      <w:r>
        <w:rPr>
          <w:color w:val="231F20"/>
          <w:spacing w:val="40"/>
          <w:sz w:val="17"/>
        </w:rPr>
        <w:t xml:space="preserve"> </w:t>
      </w:r>
      <w:r>
        <w:rPr>
          <w:color w:val="231F20"/>
          <w:sz w:val="17"/>
        </w:rPr>
        <w:t>clubs.</w:t>
      </w:r>
      <w:r>
        <w:rPr>
          <w:color w:val="231F20"/>
          <w:spacing w:val="40"/>
          <w:sz w:val="17"/>
        </w:rPr>
        <w:t xml:space="preserve"> </w:t>
      </w:r>
      <w:r>
        <w:rPr>
          <w:color w:val="231F20"/>
          <w:sz w:val="17"/>
        </w:rPr>
        <w:t>In</w:t>
      </w:r>
      <w:r>
        <w:rPr>
          <w:color w:val="231F20"/>
          <w:spacing w:val="40"/>
          <w:sz w:val="17"/>
        </w:rPr>
        <w:t xml:space="preserve"> </w:t>
      </w:r>
      <w:r>
        <w:rPr>
          <w:color w:val="231F20"/>
          <w:sz w:val="17"/>
        </w:rPr>
        <w:t>A.J.</w:t>
      </w:r>
      <w:r>
        <w:rPr>
          <w:color w:val="231F20"/>
          <w:spacing w:val="40"/>
          <w:sz w:val="17"/>
        </w:rPr>
        <w:t xml:space="preserve"> </w:t>
      </w:r>
      <w:r>
        <w:rPr>
          <w:color w:val="231F20"/>
          <w:sz w:val="17"/>
        </w:rPr>
        <w:t>Veal,</w:t>
      </w:r>
      <w:r>
        <w:rPr>
          <w:color w:val="231F20"/>
          <w:spacing w:val="40"/>
          <w:sz w:val="17"/>
        </w:rPr>
        <w:t xml:space="preserve"> </w:t>
      </w:r>
      <w:r>
        <w:rPr>
          <w:color w:val="231F20"/>
          <w:sz w:val="17"/>
        </w:rPr>
        <w:t>P.</w:t>
      </w:r>
      <w:r>
        <w:rPr>
          <w:color w:val="231F20"/>
          <w:spacing w:val="40"/>
          <w:sz w:val="17"/>
        </w:rPr>
        <w:t xml:space="preserve"> </w:t>
      </w:r>
      <w:r>
        <w:rPr>
          <w:color w:val="231F20"/>
          <w:sz w:val="17"/>
        </w:rPr>
        <w:t>Jonson</w:t>
      </w:r>
      <w:r>
        <w:rPr>
          <w:color w:val="231F20"/>
          <w:spacing w:val="40"/>
          <w:sz w:val="17"/>
        </w:rPr>
        <w:t xml:space="preserve"> </w:t>
      </w:r>
      <w:r>
        <w:rPr>
          <w:color w:val="231F20"/>
          <w:sz w:val="17"/>
        </w:rPr>
        <w:t>and</w:t>
      </w:r>
      <w:r>
        <w:rPr>
          <w:color w:val="231F20"/>
          <w:spacing w:val="40"/>
          <w:sz w:val="17"/>
        </w:rPr>
        <w:t xml:space="preserve"> </w:t>
      </w:r>
      <w:r>
        <w:rPr>
          <w:color w:val="231F20"/>
          <w:sz w:val="17"/>
        </w:rPr>
        <w:t>G.</w:t>
      </w:r>
      <w:r>
        <w:rPr>
          <w:color w:val="231F20"/>
          <w:spacing w:val="40"/>
          <w:sz w:val="17"/>
        </w:rPr>
        <w:t xml:space="preserve"> </w:t>
      </w:r>
      <w:r>
        <w:rPr>
          <w:color w:val="231F20"/>
          <w:sz w:val="17"/>
        </w:rPr>
        <w:t>Cushman</w:t>
      </w:r>
      <w:r>
        <w:rPr>
          <w:color w:val="231F20"/>
          <w:spacing w:val="40"/>
          <w:sz w:val="17"/>
        </w:rPr>
        <w:t xml:space="preserve"> </w:t>
      </w:r>
      <w:r>
        <w:rPr>
          <w:color w:val="231F20"/>
          <w:sz w:val="17"/>
        </w:rPr>
        <w:t>(eds)</w:t>
      </w:r>
      <w:r>
        <w:rPr>
          <w:color w:val="231F20"/>
          <w:spacing w:val="40"/>
          <w:sz w:val="17"/>
        </w:rPr>
        <w:t xml:space="preserve"> </w:t>
      </w:r>
      <w:r>
        <w:rPr>
          <w:i/>
          <w:color w:val="231F20"/>
          <w:sz w:val="17"/>
        </w:rPr>
        <w:t>Leisure</w:t>
      </w:r>
      <w:r>
        <w:rPr>
          <w:i/>
          <w:color w:val="231F20"/>
          <w:spacing w:val="40"/>
          <w:sz w:val="17"/>
        </w:rPr>
        <w:t xml:space="preserve"> </w:t>
      </w:r>
      <w:r>
        <w:rPr>
          <w:i/>
          <w:color w:val="231F20"/>
          <w:sz w:val="17"/>
        </w:rPr>
        <w:t>and</w:t>
      </w:r>
      <w:r>
        <w:rPr>
          <w:i/>
          <w:color w:val="231F20"/>
          <w:spacing w:val="40"/>
          <w:sz w:val="17"/>
        </w:rPr>
        <w:t xml:space="preserve"> </w:t>
      </w:r>
      <w:r>
        <w:rPr>
          <w:i/>
          <w:color w:val="231F20"/>
          <w:sz w:val="17"/>
        </w:rPr>
        <w:t>Tourism.</w:t>
      </w:r>
      <w:r>
        <w:rPr>
          <w:i/>
          <w:color w:val="231F20"/>
          <w:spacing w:val="40"/>
          <w:sz w:val="17"/>
        </w:rPr>
        <w:t xml:space="preserve"> </w:t>
      </w:r>
      <w:r>
        <w:rPr>
          <w:i/>
          <w:color w:val="231F20"/>
          <w:sz w:val="17"/>
        </w:rPr>
        <w:t>Social</w:t>
      </w:r>
      <w:r>
        <w:rPr>
          <w:i/>
          <w:color w:val="231F20"/>
          <w:spacing w:val="40"/>
          <w:sz w:val="17"/>
        </w:rPr>
        <w:t xml:space="preserve"> </w:t>
      </w:r>
      <w:r>
        <w:rPr>
          <w:i/>
          <w:color w:val="231F20"/>
          <w:sz w:val="17"/>
        </w:rPr>
        <w:t xml:space="preserve">and Environmental Change </w:t>
      </w:r>
      <w:r>
        <w:rPr>
          <w:color w:val="231F20"/>
          <w:sz w:val="17"/>
        </w:rPr>
        <w:t>(pp. 684–686). University of Technology, Sydney: World</w:t>
      </w:r>
      <w:r>
        <w:rPr>
          <w:color w:val="231F20"/>
          <w:spacing w:val="40"/>
          <w:sz w:val="17"/>
        </w:rPr>
        <w:t xml:space="preserve"> </w:t>
      </w:r>
      <w:r>
        <w:rPr>
          <w:color w:val="231F20"/>
          <w:sz w:val="17"/>
        </w:rPr>
        <w:t>Leisure and Recreation Association.</w:t>
      </w:r>
    </w:p>
    <w:p w14:paraId="5FD280A8" w14:textId="77777777" w:rsidR="00AE0598" w:rsidRDefault="0069255A">
      <w:pPr>
        <w:spacing w:before="3"/>
        <w:ind w:left="430" w:right="127" w:hanging="320"/>
        <w:jc w:val="both"/>
        <w:rPr>
          <w:sz w:val="17"/>
        </w:rPr>
      </w:pPr>
      <w:r>
        <w:rPr>
          <w:color w:val="231F20"/>
          <w:sz w:val="17"/>
        </w:rPr>
        <w:t>Tolkach, D., Chon, K.K. and Xiao, H. (2016) Asia Pacific tourism trends: Is the future ours</w:t>
      </w:r>
      <w:r>
        <w:rPr>
          <w:color w:val="231F20"/>
          <w:spacing w:val="40"/>
          <w:sz w:val="17"/>
        </w:rPr>
        <w:t xml:space="preserve"> </w:t>
      </w:r>
      <w:r>
        <w:rPr>
          <w:color w:val="231F20"/>
          <w:sz w:val="17"/>
        </w:rPr>
        <w:t xml:space="preserve">to see? </w:t>
      </w:r>
      <w:r>
        <w:rPr>
          <w:i/>
          <w:color w:val="231F20"/>
          <w:sz w:val="17"/>
        </w:rPr>
        <w:t>Asia Pacific Journal of Tourism Research</w:t>
      </w:r>
      <w:r>
        <w:rPr>
          <w:i/>
          <w:color w:val="231F20"/>
          <w:sz w:val="17"/>
        </w:rPr>
        <w:t xml:space="preserve"> </w:t>
      </w:r>
      <w:r>
        <w:rPr>
          <w:color w:val="231F20"/>
          <w:sz w:val="17"/>
        </w:rPr>
        <w:t>21 (10), 1071–1084.</w:t>
      </w:r>
    </w:p>
    <w:p w14:paraId="299E987B" w14:textId="77777777" w:rsidR="00AE0598" w:rsidRDefault="00AE0598">
      <w:pPr>
        <w:jc w:val="both"/>
        <w:rPr>
          <w:sz w:val="17"/>
        </w:rPr>
        <w:sectPr w:rsidR="00AE0598">
          <w:pgSz w:w="8850" w:h="13270"/>
          <w:pgMar w:top="720" w:right="1060" w:bottom="280" w:left="1080" w:header="720" w:footer="720" w:gutter="0"/>
          <w:cols w:space="720"/>
        </w:sectPr>
      </w:pPr>
    </w:p>
    <w:p w14:paraId="444C6C4B" w14:textId="77777777" w:rsidR="00AE0598" w:rsidRDefault="0069255A">
      <w:pPr>
        <w:spacing w:before="87"/>
        <w:ind w:left="108"/>
        <w:rPr>
          <w:rFonts w:ascii="Trebuchet MS"/>
          <w:sz w:val="14"/>
        </w:rPr>
      </w:pPr>
      <w:r>
        <w:rPr>
          <w:rFonts w:ascii="Trebuchet MS"/>
          <w:color w:val="231F20"/>
          <w:w w:val="105"/>
          <w:sz w:val="14"/>
        </w:rPr>
        <w:lastRenderedPageBreak/>
        <w:t>276</w:t>
      </w:r>
      <w:r>
        <w:rPr>
          <w:rFonts w:ascii="Trebuchet MS"/>
          <w:color w:val="231F20"/>
          <w:spacing w:val="78"/>
          <w:w w:val="150"/>
          <w:sz w:val="14"/>
        </w:rPr>
        <w:t xml:space="preserve"> </w:t>
      </w:r>
      <w:r>
        <w:rPr>
          <w:rFonts w:ascii="Trebuchet MS"/>
          <w:color w:val="231F20"/>
          <w:spacing w:val="-2"/>
          <w:w w:val="105"/>
          <w:sz w:val="14"/>
        </w:rPr>
        <w:t>References</w:t>
      </w:r>
    </w:p>
    <w:p w14:paraId="42E34945" w14:textId="77777777" w:rsidR="00AE0598" w:rsidRDefault="00AE0598">
      <w:pPr>
        <w:pStyle w:val="Corpodetexto"/>
        <w:rPr>
          <w:rFonts w:ascii="Trebuchet MS"/>
          <w:sz w:val="16"/>
        </w:rPr>
      </w:pPr>
    </w:p>
    <w:p w14:paraId="247EB59C" w14:textId="77777777" w:rsidR="00AE0598" w:rsidRDefault="0069255A">
      <w:pPr>
        <w:spacing w:before="121"/>
        <w:ind w:left="430" w:right="128" w:hanging="320"/>
        <w:jc w:val="both"/>
        <w:rPr>
          <w:sz w:val="17"/>
        </w:rPr>
      </w:pPr>
      <w:r>
        <w:rPr>
          <w:color w:val="231F20"/>
          <w:sz w:val="17"/>
        </w:rPr>
        <w:t xml:space="preserve">Tomlinson, </w:t>
      </w:r>
      <w:r>
        <w:rPr>
          <w:color w:val="231F20"/>
          <w:w w:val="110"/>
          <w:sz w:val="17"/>
        </w:rPr>
        <w:t xml:space="preserve">A. </w:t>
      </w:r>
      <w:r>
        <w:rPr>
          <w:color w:val="231F20"/>
          <w:sz w:val="17"/>
        </w:rPr>
        <w:t>(1996) Olympic spectacle: Opening ceremonies and some paradoxes of</w:t>
      </w:r>
      <w:r>
        <w:rPr>
          <w:color w:val="231F20"/>
          <w:spacing w:val="40"/>
          <w:sz w:val="17"/>
        </w:rPr>
        <w:t xml:space="preserve"> </w:t>
      </w:r>
      <w:r>
        <w:rPr>
          <w:color w:val="231F20"/>
          <w:sz w:val="17"/>
        </w:rPr>
        <w:t xml:space="preserve">globalization. </w:t>
      </w:r>
      <w:r>
        <w:rPr>
          <w:i/>
          <w:color w:val="231F20"/>
          <w:sz w:val="17"/>
        </w:rPr>
        <w:t xml:space="preserve">Media, Culture </w:t>
      </w:r>
      <w:r>
        <w:rPr>
          <w:i/>
          <w:color w:val="231F20"/>
          <w:w w:val="110"/>
          <w:sz w:val="17"/>
        </w:rPr>
        <w:t xml:space="preserve">&amp; </w:t>
      </w:r>
      <w:r>
        <w:rPr>
          <w:i/>
          <w:color w:val="231F20"/>
          <w:sz w:val="17"/>
        </w:rPr>
        <w:t xml:space="preserve">Society </w:t>
      </w:r>
      <w:r>
        <w:rPr>
          <w:color w:val="231F20"/>
          <w:sz w:val="17"/>
        </w:rPr>
        <w:t>18 (4), 583–602.</w:t>
      </w:r>
    </w:p>
    <w:p w14:paraId="2C09D779" w14:textId="77777777" w:rsidR="00AE0598" w:rsidRDefault="0069255A">
      <w:pPr>
        <w:spacing w:before="1"/>
        <w:ind w:left="430" w:right="128" w:hanging="320"/>
        <w:jc w:val="both"/>
        <w:rPr>
          <w:sz w:val="17"/>
        </w:rPr>
      </w:pPr>
      <w:r>
        <w:rPr>
          <w:color w:val="231F20"/>
          <w:sz w:val="17"/>
        </w:rPr>
        <w:t xml:space="preserve">Tomlinson, A. (1999) </w:t>
      </w:r>
      <w:r>
        <w:rPr>
          <w:i/>
          <w:color w:val="231F20"/>
          <w:sz w:val="17"/>
        </w:rPr>
        <w:t>The Game’s Up: Essays in the Cultural Analysis of Sport, Leisure and</w:t>
      </w:r>
      <w:r>
        <w:rPr>
          <w:i/>
          <w:color w:val="231F20"/>
          <w:spacing w:val="40"/>
          <w:sz w:val="17"/>
        </w:rPr>
        <w:t xml:space="preserve"> </w:t>
      </w:r>
      <w:r>
        <w:rPr>
          <w:i/>
          <w:color w:val="231F20"/>
          <w:sz w:val="17"/>
        </w:rPr>
        <w:t>Popular Culture</w:t>
      </w:r>
      <w:r>
        <w:rPr>
          <w:color w:val="231F20"/>
          <w:sz w:val="17"/>
        </w:rPr>
        <w:t>. Aldershot: Ashgate Publishing Ltd.</w:t>
      </w:r>
    </w:p>
    <w:p w14:paraId="109C0078" w14:textId="77777777" w:rsidR="00AE0598" w:rsidRDefault="0069255A">
      <w:pPr>
        <w:spacing w:before="2"/>
        <w:ind w:left="430" w:right="127" w:hanging="320"/>
        <w:jc w:val="both"/>
        <w:rPr>
          <w:sz w:val="17"/>
        </w:rPr>
      </w:pPr>
      <w:r>
        <w:rPr>
          <w:color w:val="231F20"/>
          <w:sz w:val="17"/>
        </w:rPr>
        <w:t>Tomlinson, R., Bass, O. and Bassett, T. (2011) Before and after the vuvuzela: Identity,</w:t>
      </w:r>
      <w:r>
        <w:rPr>
          <w:color w:val="231F20"/>
          <w:spacing w:val="40"/>
          <w:sz w:val="17"/>
        </w:rPr>
        <w:t xml:space="preserve"> </w:t>
      </w:r>
      <w:r>
        <w:rPr>
          <w:color w:val="231F20"/>
          <w:sz w:val="17"/>
        </w:rPr>
        <w:t>image and mega-events in South Africa, China an</w:t>
      </w:r>
      <w:r>
        <w:rPr>
          <w:color w:val="231F20"/>
          <w:sz w:val="17"/>
        </w:rPr>
        <w:t xml:space="preserve">d Brazil. </w:t>
      </w:r>
      <w:r>
        <w:rPr>
          <w:i/>
          <w:color w:val="231F20"/>
          <w:sz w:val="17"/>
        </w:rPr>
        <w:t>South African Geographical</w:t>
      </w:r>
      <w:r>
        <w:rPr>
          <w:i/>
          <w:color w:val="231F20"/>
          <w:spacing w:val="40"/>
          <w:sz w:val="17"/>
        </w:rPr>
        <w:t xml:space="preserve"> </w:t>
      </w:r>
      <w:r>
        <w:rPr>
          <w:i/>
          <w:color w:val="231F20"/>
          <w:sz w:val="17"/>
        </w:rPr>
        <w:t xml:space="preserve">Journal </w:t>
      </w:r>
      <w:r>
        <w:rPr>
          <w:color w:val="231F20"/>
          <w:sz w:val="17"/>
        </w:rPr>
        <w:t>93 (1), 38–48.</w:t>
      </w:r>
    </w:p>
    <w:p w14:paraId="4BCAC852" w14:textId="77777777" w:rsidR="00AE0598" w:rsidRDefault="0069255A">
      <w:pPr>
        <w:spacing w:before="2"/>
        <w:ind w:left="430" w:right="128" w:hanging="320"/>
        <w:jc w:val="both"/>
        <w:rPr>
          <w:sz w:val="17"/>
        </w:rPr>
      </w:pPr>
      <w:r>
        <w:rPr>
          <w:color w:val="231F20"/>
          <w:w w:val="95"/>
          <w:sz w:val="17"/>
        </w:rPr>
        <w:t xml:space="preserve">Tourist Authorities of Göteborg (2002) Gothia Cup. See </w:t>
      </w:r>
      <w:hyperlink r:id="rId62">
        <w:r>
          <w:rPr>
            <w:color w:val="231F20"/>
            <w:spacing w:val="-2"/>
            <w:w w:val="94"/>
            <w:sz w:val="17"/>
          </w:rPr>
          <w:t>h</w:t>
        </w:r>
        <w:r>
          <w:rPr>
            <w:color w:val="231F20"/>
            <w:spacing w:val="2"/>
            <w:w w:val="94"/>
            <w:sz w:val="17"/>
          </w:rPr>
          <w:t>tt</w:t>
        </w:r>
        <w:r>
          <w:rPr>
            <w:color w:val="231F20"/>
            <w:spacing w:val="-3"/>
            <w:w w:val="94"/>
            <w:sz w:val="17"/>
          </w:rPr>
          <w:t>p</w:t>
        </w:r>
        <w:r>
          <w:rPr>
            <w:color w:val="231F20"/>
            <w:spacing w:val="3"/>
            <w:w w:val="101"/>
            <w:sz w:val="17"/>
          </w:rPr>
          <w:t>:</w:t>
        </w:r>
        <w:r>
          <w:rPr>
            <w:color w:val="231F20"/>
            <w:spacing w:val="-5"/>
            <w:w w:val="56"/>
            <w:sz w:val="17"/>
          </w:rPr>
          <w:t>/</w:t>
        </w:r>
        <w:r>
          <w:rPr>
            <w:color w:val="231F20"/>
            <w:spacing w:val="-2"/>
            <w:w w:val="80"/>
            <w:sz w:val="17"/>
          </w:rPr>
          <w:t>/</w:t>
        </w:r>
        <w:r>
          <w:rPr>
            <w:color w:val="231F20"/>
            <w:spacing w:val="2"/>
            <w:w w:val="80"/>
            <w:sz w:val="17"/>
          </w:rPr>
          <w:t>w</w:t>
        </w:r>
        <w:r>
          <w:rPr>
            <w:color w:val="231F20"/>
            <w:spacing w:val="2"/>
            <w:w w:val="95"/>
            <w:sz w:val="17"/>
          </w:rPr>
          <w:t>w</w:t>
        </w:r>
        <w:r>
          <w:rPr>
            <w:color w:val="231F20"/>
            <w:spacing w:val="-10"/>
            <w:w w:val="95"/>
            <w:sz w:val="17"/>
          </w:rPr>
          <w:t>w</w:t>
        </w:r>
        <w:r>
          <w:rPr>
            <w:color w:val="231F20"/>
            <w:spacing w:val="-1"/>
            <w:w w:val="131"/>
            <w:sz w:val="17"/>
          </w:rPr>
          <w:t>.</w:t>
        </w:r>
        <w:r>
          <w:rPr>
            <w:color w:val="231F20"/>
            <w:spacing w:val="-1"/>
            <w:w w:val="95"/>
            <w:sz w:val="17"/>
          </w:rPr>
          <w:t>g</w:t>
        </w:r>
        <w:r>
          <w:rPr>
            <w:color w:val="231F20"/>
            <w:spacing w:val="-2"/>
            <w:w w:val="97"/>
            <w:sz w:val="17"/>
          </w:rPr>
          <w:t>o</w:t>
        </w:r>
        <w:r>
          <w:rPr>
            <w:color w:val="231F20"/>
            <w:spacing w:val="1"/>
            <w:w w:val="97"/>
            <w:sz w:val="17"/>
          </w:rPr>
          <w:t>t</w:t>
        </w:r>
        <w:r>
          <w:rPr>
            <w:color w:val="231F20"/>
            <w:spacing w:val="2"/>
            <w:w w:val="95"/>
            <w:sz w:val="17"/>
          </w:rPr>
          <w:t>h</w:t>
        </w:r>
        <w:r>
          <w:rPr>
            <w:color w:val="231F20"/>
            <w:spacing w:val="-1"/>
            <w:w w:val="96"/>
            <w:sz w:val="17"/>
          </w:rPr>
          <w:t>i</w:t>
        </w:r>
        <w:r>
          <w:rPr>
            <w:color w:val="231F20"/>
            <w:spacing w:val="-2"/>
            <w:w w:val="96"/>
            <w:sz w:val="17"/>
          </w:rPr>
          <w:t>a</w:t>
        </w:r>
        <w:r>
          <w:rPr>
            <w:color w:val="231F20"/>
            <w:spacing w:val="1"/>
            <w:w w:val="96"/>
            <w:sz w:val="17"/>
          </w:rPr>
          <w:t>c</w:t>
        </w:r>
        <w:r>
          <w:rPr>
            <w:color w:val="231F20"/>
            <w:spacing w:val="-2"/>
            <w:w w:val="94"/>
            <w:sz w:val="17"/>
          </w:rPr>
          <w:t>u</w:t>
        </w:r>
        <w:r>
          <w:rPr>
            <w:color w:val="231F20"/>
            <w:spacing w:val="-4"/>
            <w:w w:val="94"/>
            <w:sz w:val="17"/>
          </w:rPr>
          <w:t>p</w:t>
        </w:r>
        <w:r>
          <w:rPr>
            <w:color w:val="231F20"/>
            <w:spacing w:val="1"/>
            <w:w w:val="131"/>
            <w:sz w:val="17"/>
          </w:rPr>
          <w:t>.</w:t>
        </w:r>
        <w:r>
          <w:rPr>
            <w:color w:val="231F20"/>
            <w:w w:val="86"/>
            <w:sz w:val="17"/>
          </w:rPr>
          <w:t>s</w:t>
        </w:r>
        <w:r>
          <w:rPr>
            <w:color w:val="231F20"/>
            <w:spacing w:val="-2"/>
            <w:w w:val="86"/>
            <w:sz w:val="17"/>
          </w:rPr>
          <w:t>e</w:t>
        </w:r>
        <w:r>
          <w:rPr>
            <w:color w:val="231F20"/>
            <w:w w:val="94"/>
            <w:sz w:val="17"/>
          </w:rPr>
          <w:t xml:space="preserve"> </w:t>
        </w:r>
      </w:hyperlink>
      <w:r>
        <w:rPr>
          <w:color w:val="231F20"/>
          <w:w w:val="95"/>
          <w:sz w:val="17"/>
        </w:rPr>
        <w:t>(accessed</w:t>
      </w:r>
      <w:r>
        <w:rPr>
          <w:color w:val="231F20"/>
          <w:spacing w:val="80"/>
          <w:sz w:val="17"/>
        </w:rPr>
        <w:t xml:space="preserve"> </w:t>
      </w:r>
      <w:r>
        <w:rPr>
          <w:color w:val="231F20"/>
          <w:sz w:val="17"/>
        </w:rPr>
        <w:t>24 October 2002).</w:t>
      </w:r>
    </w:p>
    <w:p w14:paraId="3D73CBA1" w14:textId="77777777" w:rsidR="00AE0598" w:rsidRDefault="0069255A">
      <w:pPr>
        <w:spacing w:before="1"/>
        <w:ind w:left="110"/>
        <w:jc w:val="both"/>
        <w:rPr>
          <w:sz w:val="17"/>
        </w:rPr>
      </w:pPr>
      <w:r>
        <w:rPr>
          <w:color w:val="231F20"/>
          <w:sz w:val="17"/>
        </w:rPr>
        <w:t>Tow,</w:t>
      </w:r>
      <w:r>
        <w:rPr>
          <w:color w:val="231F20"/>
          <w:spacing w:val="-5"/>
          <w:sz w:val="17"/>
        </w:rPr>
        <w:t xml:space="preserve"> </w:t>
      </w:r>
      <w:r>
        <w:rPr>
          <w:color w:val="231F20"/>
          <w:sz w:val="17"/>
        </w:rPr>
        <w:t>S.</w:t>
      </w:r>
      <w:r>
        <w:rPr>
          <w:color w:val="231F20"/>
          <w:spacing w:val="-4"/>
          <w:sz w:val="17"/>
        </w:rPr>
        <w:t xml:space="preserve"> </w:t>
      </w:r>
      <w:r>
        <w:rPr>
          <w:color w:val="231F20"/>
          <w:sz w:val="17"/>
        </w:rPr>
        <w:t>(1994)</w:t>
      </w:r>
      <w:r>
        <w:rPr>
          <w:color w:val="231F20"/>
          <w:spacing w:val="-4"/>
          <w:sz w:val="17"/>
        </w:rPr>
        <w:t xml:space="preserve"> </w:t>
      </w:r>
      <w:r>
        <w:rPr>
          <w:color w:val="231F20"/>
          <w:sz w:val="17"/>
        </w:rPr>
        <w:t>Sports</w:t>
      </w:r>
      <w:r>
        <w:rPr>
          <w:color w:val="231F20"/>
          <w:spacing w:val="-5"/>
          <w:sz w:val="17"/>
        </w:rPr>
        <w:t xml:space="preserve"> </w:t>
      </w:r>
      <w:r>
        <w:rPr>
          <w:color w:val="231F20"/>
          <w:sz w:val="17"/>
        </w:rPr>
        <w:t>tourism:</w:t>
      </w:r>
      <w:r>
        <w:rPr>
          <w:color w:val="231F20"/>
          <w:spacing w:val="-4"/>
          <w:sz w:val="17"/>
        </w:rPr>
        <w:t xml:space="preserve"> </w:t>
      </w:r>
      <w:r>
        <w:rPr>
          <w:color w:val="231F20"/>
          <w:sz w:val="17"/>
        </w:rPr>
        <w:t>The</w:t>
      </w:r>
      <w:r>
        <w:rPr>
          <w:color w:val="231F20"/>
          <w:spacing w:val="-4"/>
          <w:sz w:val="17"/>
        </w:rPr>
        <w:t xml:space="preserve"> </w:t>
      </w:r>
      <w:r>
        <w:rPr>
          <w:color w:val="231F20"/>
          <w:sz w:val="17"/>
        </w:rPr>
        <w:t>benefits.</w:t>
      </w:r>
      <w:r>
        <w:rPr>
          <w:color w:val="231F20"/>
          <w:spacing w:val="-5"/>
          <w:sz w:val="17"/>
        </w:rPr>
        <w:t xml:space="preserve"> </w:t>
      </w:r>
      <w:r>
        <w:rPr>
          <w:i/>
          <w:color w:val="231F20"/>
          <w:sz w:val="17"/>
        </w:rPr>
        <w:t>Journal</w:t>
      </w:r>
      <w:r>
        <w:rPr>
          <w:i/>
          <w:color w:val="231F20"/>
          <w:spacing w:val="-4"/>
          <w:sz w:val="17"/>
        </w:rPr>
        <w:t xml:space="preserve"> </w:t>
      </w:r>
      <w:r>
        <w:rPr>
          <w:i/>
          <w:color w:val="231F20"/>
          <w:sz w:val="17"/>
        </w:rPr>
        <w:t>of</w:t>
      </w:r>
      <w:r>
        <w:rPr>
          <w:i/>
          <w:color w:val="231F20"/>
          <w:spacing w:val="-4"/>
          <w:sz w:val="17"/>
        </w:rPr>
        <w:t xml:space="preserve"> </w:t>
      </w:r>
      <w:r>
        <w:rPr>
          <w:i/>
          <w:color w:val="231F20"/>
          <w:sz w:val="17"/>
        </w:rPr>
        <w:t>Sport</w:t>
      </w:r>
      <w:r>
        <w:rPr>
          <w:i/>
          <w:color w:val="231F20"/>
          <w:spacing w:val="-5"/>
          <w:sz w:val="17"/>
        </w:rPr>
        <w:t xml:space="preserve"> </w:t>
      </w:r>
      <w:r>
        <w:rPr>
          <w:i/>
          <w:color w:val="231F20"/>
          <w:sz w:val="17"/>
        </w:rPr>
        <w:t>Tourism</w:t>
      </w:r>
      <w:r>
        <w:rPr>
          <w:i/>
          <w:color w:val="231F20"/>
          <w:spacing w:val="-4"/>
          <w:sz w:val="17"/>
        </w:rPr>
        <w:t xml:space="preserve"> </w:t>
      </w:r>
      <w:r>
        <w:rPr>
          <w:color w:val="231F20"/>
          <w:sz w:val="17"/>
        </w:rPr>
        <w:t>2</w:t>
      </w:r>
      <w:r>
        <w:rPr>
          <w:color w:val="231F20"/>
          <w:spacing w:val="-4"/>
          <w:sz w:val="17"/>
        </w:rPr>
        <w:t xml:space="preserve"> </w:t>
      </w:r>
      <w:r>
        <w:rPr>
          <w:color w:val="231F20"/>
          <w:sz w:val="17"/>
        </w:rPr>
        <w:t>(1),</w:t>
      </w:r>
      <w:r>
        <w:rPr>
          <w:color w:val="231F20"/>
          <w:spacing w:val="-4"/>
          <w:sz w:val="17"/>
        </w:rPr>
        <w:t xml:space="preserve"> 1–7.</w:t>
      </w:r>
    </w:p>
    <w:p w14:paraId="1E57B12A" w14:textId="77777777" w:rsidR="00AE0598" w:rsidRDefault="0069255A">
      <w:pPr>
        <w:spacing w:before="1"/>
        <w:ind w:left="430" w:right="128" w:hanging="320"/>
        <w:jc w:val="both"/>
        <w:rPr>
          <w:sz w:val="17"/>
        </w:rPr>
      </w:pPr>
      <w:r>
        <w:rPr>
          <w:color w:val="231F20"/>
          <w:sz w:val="17"/>
        </w:rPr>
        <w:t>Traer,</w:t>
      </w:r>
      <w:r>
        <w:rPr>
          <w:color w:val="231F20"/>
          <w:spacing w:val="61"/>
          <w:sz w:val="17"/>
        </w:rPr>
        <w:t xml:space="preserve"> </w:t>
      </w:r>
      <w:r>
        <w:rPr>
          <w:color w:val="231F20"/>
          <w:sz w:val="17"/>
        </w:rPr>
        <w:t>R.</w:t>
      </w:r>
      <w:r>
        <w:rPr>
          <w:color w:val="231F20"/>
          <w:spacing w:val="61"/>
          <w:sz w:val="17"/>
        </w:rPr>
        <w:t xml:space="preserve"> </w:t>
      </w:r>
      <w:r>
        <w:rPr>
          <w:color w:val="231F20"/>
          <w:sz w:val="17"/>
        </w:rPr>
        <w:t>(2002)</w:t>
      </w:r>
      <w:r>
        <w:rPr>
          <w:color w:val="231F20"/>
          <w:spacing w:val="61"/>
          <w:sz w:val="17"/>
        </w:rPr>
        <w:t xml:space="preserve"> </w:t>
      </w:r>
      <w:r>
        <w:rPr>
          <w:color w:val="231F20"/>
          <w:sz w:val="17"/>
        </w:rPr>
        <w:t>CEO:</w:t>
      </w:r>
      <w:r>
        <w:rPr>
          <w:color w:val="231F20"/>
          <w:spacing w:val="61"/>
          <w:sz w:val="17"/>
        </w:rPr>
        <w:t xml:space="preserve"> </w:t>
      </w:r>
      <w:r>
        <w:rPr>
          <w:color w:val="231F20"/>
          <w:sz w:val="17"/>
        </w:rPr>
        <w:t>Canadian</w:t>
      </w:r>
      <w:r>
        <w:rPr>
          <w:color w:val="231F20"/>
          <w:spacing w:val="61"/>
          <w:sz w:val="17"/>
        </w:rPr>
        <w:t xml:space="preserve"> </w:t>
      </w:r>
      <w:r>
        <w:rPr>
          <w:color w:val="231F20"/>
          <w:sz w:val="17"/>
        </w:rPr>
        <w:t>Sport</w:t>
      </w:r>
      <w:r>
        <w:rPr>
          <w:color w:val="231F20"/>
          <w:spacing w:val="60"/>
          <w:sz w:val="17"/>
        </w:rPr>
        <w:t xml:space="preserve"> </w:t>
      </w:r>
      <w:r>
        <w:rPr>
          <w:color w:val="231F20"/>
          <w:sz w:val="17"/>
        </w:rPr>
        <w:t>Tourism</w:t>
      </w:r>
      <w:r>
        <w:rPr>
          <w:color w:val="231F20"/>
          <w:spacing w:val="60"/>
          <w:sz w:val="17"/>
        </w:rPr>
        <w:t xml:space="preserve"> </w:t>
      </w:r>
      <w:r>
        <w:rPr>
          <w:color w:val="231F20"/>
          <w:sz w:val="17"/>
        </w:rPr>
        <w:t>Alliance.</w:t>
      </w:r>
      <w:r>
        <w:rPr>
          <w:color w:val="231F20"/>
          <w:spacing w:val="60"/>
          <w:sz w:val="17"/>
        </w:rPr>
        <w:t xml:space="preserve"> </w:t>
      </w:r>
      <w:r>
        <w:rPr>
          <w:color w:val="231F20"/>
          <w:sz w:val="17"/>
        </w:rPr>
        <w:t>Personal</w:t>
      </w:r>
      <w:r>
        <w:rPr>
          <w:color w:val="231F20"/>
          <w:spacing w:val="61"/>
          <w:sz w:val="17"/>
        </w:rPr>
        <w:t xml:space="preserve"> </w:t>
      </w:r>
      <w:r>
        <w:rPr>
          <w:color w:val="231F20"/>
          <w:sz w:val="17"/>
        </w:rPr>
        <w:t>communication,</w:t>
      </w:r>
      <w:r>
        <w:rPr>
          <w:color w:val="231F20"/>
          <w:spacing w:val="40"/>
          <w:sz w:val="17"/>
        </w:rPr>
        <w:t xml:space="preserve"> </w:t>
      </w:r>
      <w:r>
        <w:rPr>
          <w:color w:val="231F20"/>
          <w:sz w:val="17"/>
        </w:rPr>
        <w:t>1 November.</w:t>
      </w:r>
    </w:p>
    <w:p w14:paraId="25344B49" w14:textId="77777777" w:rsidR="00AE0598" w:rsidRDefault="0069255A">
      <w:pPr>
        <w:spacing w:before="1"/>
        <w:ind w:left="430" w:right="127" w:hanging="320"/>
        <w:jc w:val="both"/>
        <w:rPr>
          <w:sz w:val="17"/>
        </w:rPr>
      </w:pPr>
      <w:r>
        <w:rPr>
          <w:color w:val="231F20"/>
          <w:w w:val="105"/>
          <w:sz w:val="17"/>
        </w:rPr>
        <w:t>Trauer, B. and Ryan, C. (2005) Destination image, romance and place experience: An</w:t>
      </w:r>
      <w:r>
        <w:rPr>
          <w:color w:val="231F20"/>
          <w:spacing w:val="40"/>
          <w:w w:val="105"/>
          <w:sz w:val="17"/>
        </w:rPr>
        <w:t xml:space="preserve"> </w:t>
      </w:r>
      <w:r>
        <w:rPr>
          <w:color w:val="231F20"/>
          <w:sz w:val="17"/>
        </w:rPr>
        <w:t xml:space="preserve">application of intimacy theory in tourism. </w:t>
      </w:r>
      <w:r>
        <w:rPr>
          <w:i/>
          <w:color w:val="231F20"/>
          <w:sz w:val="17"/>
        </w:rPr>
        <w:t xml:space="preserve">Tourism Management </w:t>
      </w:r>
      <w:r>
        <w:rPr>
          <w:color w:val="231F20"/>
          <w:sz w:val="17"/>
        </w:rPr>
        <w:t>26 (4), 481–491.</w:t>
      </w:r>
    </w:p>
    <w:p w14:paraId="6238FDBE" w14:textId="77777777" w:rsidR="00AE0598" w:rsidRDefault="0069255A">
      <w:pPr>
        <w:spacing w:before="2"/>
        <w:ind w:left="430" w:right="120" w:hanging="320"/>
        <w:jc w:val="both"/>
        <w:rPr>
          <w:sz w:val="17"/>
        </w:rPr>
      </w:pPr>
      <w:r>
        <w:rPr>
          <w:color w:val="231F20"/>
          <w:sz w:val="17"/>
        </w:rPr>
        <w:t>Travel News (2010, 15 July) Sport tourism – Britain’s great cash cow. See</w:t>
      </w:r>
      <w:r>
        <w:rPr>
          <w:color w:val="231F20"/>
          <w:spacing w:val="40"/>
          <w:sz w:val="17"/>
        </w:rPr>
        <w:t xml:space="preserve"> </w:t>
      </w:r>
      <w:hyperlink r:id="rId63">
        <w:r>
          <w:rPr>
            <w:color w:val="231F20"/>
            <w:spacing w:val="-2"/>
            <w:w w:val="90"/>
            <w:sz w:val="17"/>
          </w:rPr>
          <w:t>http://www.breakingtravelnews.com/news/article/sport-tourists-flock-to-britain/</w:t>
        </w:r>
      </w:hyperlink>
      <w:r>
        <w:rPr>
          <w:color w:val="231F20"/>
          <w:spacing w:val="80"/>
          <w:sz w:val="17"/>
        </w:rPr>
        <w:t xml:space="preserve">  </w:t>
      </w:r>
      <w:r>
        <w:rPr>
          <w:color w:val="231F20"/>
          <w:sz w:val="17"/>
        </w:rPr>
        <w:t>(accessed 22 March 2017).</w:t>
      </w:r>
    </w:p>
    <w:p w14:paraId="3F6B5424" w14:textId="77777777" w:rsidR="00AE0598" w:rsidRDefault="0069255A">
      <w:pPr>
        <w:spacing w:before="2"/>
        <w:ind w:left="430" w:right="127" w:hanging="320"/>
        <w:jc w:val="both"/>
        <w:rPr>
          <w:sz w:val="17"/>
        </w:rPr>
      </w:pPr>
      <w:r>
        <w:rPr>
          <w:color w:val="231F20"/>
          <w:w w:val="95"/>
          <w:sz w:val="17"/>
        </w:rPr>
        <w:t xml:space="preserve">Tresidder, R. (1999) Tourism and sacred landscapes. </w:t>
      </w:r>
      <w:r>
        <w:rPr>
          <w:color w:val="231F20"/>
          <w:w w:val="95"/>
          <w:sz w:val="17"/>
        </w:rPr>
        <w:t xml:space="preserve">In D. Crouch (ed.) </w:t>
      </w:r>
      <w:r>
        <w:rPr>
          <w:i/>
          <w:color w:val="231F20"/>
          <w:w w:val="95"/>
          <w:sz w:val="17"/>
        </w:rPr>
        <w:t>Leisure and Tourism</w:t>
      </w:r>
      <w:r>
        <w:rPr>
          <w:i/>
          <w:color w:val="231F20"/>
          <w:spacing w:val="40"/>
          <w:sz w:val="17"/>
        </w:rPr>
        <w:t xml:space="preserve"> </w:t>
      </w:r>
      <w:r>
        <w:rPr>
          <w:i/>
          <w:color w:val="231F20"/>
          <w:sz w:val="17"/>
        </w:rPr>
        <w:t xml:space="preserve">Geographies </w:t>
      </w:r>
      <w:r>
        <w:rPr>
          <w:color w:val="231F20"/>
          <w:sz w:val="17"/>
        </w:rPr>
        <w:t>(pp. 137–152). London: Routledge.</w:t>
      </w:r>
    </w:p>
    <w:p w14:paraId="1387B50F" w14:textId="77777777" w:rsidR="00AE0598" w:rsidRDefault="0069255A">
      <w:pPr>
        <w:spacing w:before="1"/>
        <w:ind w:left="430" w:right="127" w:hanging="320"/>
        <w:jc w:val="both"/>
        <w:rPr>
          <w:sz w:val="17"/>
        </w:rPr>
      </w:pPr>
      <w:r>
        <w:rPr>
          <w:color w:val="231F20"/>
          <w:w w:val="95"/>
          <w:sz w:val="17"/>
        </w:rPr>
        <w:t xml:space="preserve">Tsai, J.L. (2007) Ideal affect: Cultural causes and behavioral consequences. </w:t>
      </w:r>
      <w:r>
        <w:rPr>
          <w:i/>
          <w:color w:val="231F20"/>
          <w:w w:val="95"/>
          <w:sz w:val="17"/>
        </w:rPr>
        <w:t>Perspectives on</w:t>
      </w:r>
      <w:r>
        <w:rPr>
          <w:i/>
          <w:color w:val="231F20"/>
          <w:spacing w:val="40"/>
          <w:sz w:val="17"/>
        </w:rPr>
        <w:t xml:space="preserve"> </w:t>
      </w:r>
      <w:r>
        <w:rPr>
          <w:i/>
          <w:color w:val="231F20"/>
          <w:sz w:val="17"/>
        </w:rPr>
        <w:t xml:space="preserve">Psychological Science </w:t>
      </w:r>
      <w:r>
        <w:rPr>
          <w:color w:val="231F20"/>
          <w:sz w:val="17"/>
        </w:rPr>
        <w:t>2 (3), 242–259.</w:t>
      </w:r>
    </w:p>
    <w:p w14:paraId="5839BAF8" w14:textId="77777777" w:rsidR="00AE0598" w:rsidRDefault="0069255A">
      <w:pPr>
        <w:spacing w:before="2"/>
        <w:ind w:left="110"/>
        <w:jc w:val="both"/>
        <w:rPr>
          <w:sz w:val="17"/>
        </w:rPr>
      </w:pPr>
      <w:r>
        <w:rPr>
          <w:color w:val="231F20"/>
          <w:w w:val="105"/>
          <w:sz w:val="17"/>
        </w:rPr>
        <w:t>Tsai,</w:t>
      </w:r>
      <w:r>
        <w:rPr>
          <w:color w:val="231F20"/>
          <w:spacing w:val="28"/>
          <w:w w:val="105"/>
          <w:sz w:val="17"/>
        </w:rPr>
        <w:t xml:space="preserve"> </w:t>
      </w:r>
      <w:r>
        <w:rPr>
          <w:color w:val="231F20"/>
          <w:w w:val="105"/>
          <w:sz w:val="17"/>
        </w:rPr>
        <w:t>J.L.,</w:t>
      </w:r>
      <w:r>
        <w:rPr>
          <w:color w:val="231F20"/>
          <w:spacing w:val="28"/>
          <w:w w:val="105"/>
          <w:sz w:val="17"/>
        </w:rPr>
        <w:t xml:space="preserve"> </w:t>
      </w:r>
      <w:r>
        <w:rPr>
          <w:color w:val="231F20"/>
          <w:w w:val="105"/>
          <w:sz w:val="17"/>
        </w:rPr>
        <w:t>Knutson,</w:t>
      </w:r>
      <w:r>
        <w:rPr>
          <w:color w:val="231F20"/>
          <w:spacing w:val="28"/>
          <w:w w:val="105"/>
          <w:sz w:val="17"/>
        </w:rPr>
        <w:t xml:space="preserve"> </w:t>
      </w:r>
      <w:r>
        <w:rPr>
          <w:color w:val="231F20"/>
          <w:w w:val="105"/>
          <w:sz w:val="17"/>
        </w:rPr>
        <w:t>B.</w:t>
      </w:r>
      <w:r>
        <w:rPr>
          <w:color w:val="231F20"/>
          <w:spacing w:val="28"/>
          <w:w w:val="105"/>
          <w:sz w:val="17"/>
        </w:rPr>
        <w:t xml:space="preserve"> </w:t>
      </w:r>
      <w:r>
        <w:rPr>
          <w:color w:val="231F20"/>
          <w:w w:val="105"/>
          <w:sz w:val="17"/>
        </w:rPr>
        <w:t>and</w:t>
      </w:r>
      <w:r>
        <w:rPr>
          <w:color w:val="231F20"/>
          <w:spacing w:val="29"/>
          <w:w w:val="105"/>
          <w:sz w:val="17"/>
        </w:rPr>
        <w:t xml:space="preserve"> </w:t>
      </w:r>
      <w:r>
        <w:rPr>
          <w:color w:val="231F20"/>
          <w:w w:val="105"/>
          <w:sz w:val="17"/>
        </w:rPr>
        <w:t>Fung,</w:t>
      </w:r>
      <w:r>
        <w:rPr>
          <w:color w:val="231F20"/>
          <w:spacing w:val="28"/>
          <w:w w:val="105"/>
          <w:sz w:val="17"/>
        </w:rPr>
        <w:t xml:space="preserve"> </w:t>
      </w:r>
      <w:r>
        <w:rPr>
          <w:color w:val="231F20"/>
          <w:w w:val="105"/>
          <w:sz w:val="17"/>
        </w:rPr>
        <w:t>H.H.</w:t>
      </w:r>
      <w:r>
        <w:rPr>
          <w:color w:val="231F20"/>
          <w:spacing w:val="28"/>
          <w:w w:val="105"/>
          <w:sz w:val="17"/>
        </w:rPr>
        <w:t xml:space="preserve"> </w:t>
      </w:r>
      <w:r>
        <w:rPr>
          <w:color w:val="231F20"/>
          <w:w w:val="105"/>
          <w:sz w:val="17"/>
        </w:rPr>
        <w:t>(2006)</w:t>
      </w:r>
      <w:r>
        <w:rPr>
          <w:color w:val="231F20"/>
          <w:spacing w:val="28"/>
          <w:w w:val="105"/>
          <w:sz w:val="17"/>
        </w:rPr>
        <w:t xml:space="preserve"> </w:t>
      </w:r>
      <w:r>
        <w:rPr>
          <w:color w:val="231F20"/>
          <w:w w:val="105"/>
          <w:sz w:val="17"/>
        </w:rPr>
        <w:t>Cultural</w:t>
      </w:r>
      <w:r>
        <w:rPr>
          <w:color w:val="231F20"/>
          <w:spacing w:val="28"/>
          <w:w w:val="105"/>
          <w:sz w:val="17"/>
        </w:rPr>
        <w:t xml:space="preserve"> </w:t>
      </w:r>
      <w:r>
        <w:rPr>
          <w:color w:val="231F20"/>
          <w:w w:val="105"/>
          <w:sz w:val="17"/>
        </w:rPr>
        <w:t>variation</w:t>
      </w:r>
      <w:r>
        <w:rPr>
          <w:color w:val="231F20"/>
          <w:spacing w:val="28"/>
          <w:w w:val="105"/>
          <w:sz w:val="17"/>
        </w:rPr>
        <w:t xml:space="preserve"> </w:t>
      </w:r>
      <w:r>
        <w:rPr>
          <w:color w:val="231F20"/>
          <w:w w:val="105"/>
          <w:sz w:val="17"/>
        </w:rPr>
        <w:t>in</w:t>
      </w:r>
      <w:r>
        <w:rPr>
          <w:color w:val="231F20"/>
          <w:spacing w:val="29"/>
          <w:w w:val="105"/>
          <w:sz w:val="17"/>
        </w:rPr>
        <w:t xml:space="preserve"> </w:t>
      </w:r>
      <w:r>
        <w:rPr>
          <w:color w:val="231F20"/>
          <w:w w:val="105"/>
          <w:sz w:val="17"/>
        </w:rPr>
        <w:t>affect</w:t>
      </w:r>
      <w:r>
        <w:rPr>
          <w:color w:val="231F20"/>
          <w:spacing w:val="28"/>
          <w:w w:val="105"/>
          <w:sz w:val="17"/>
        </w:rPr>
        <w:t xml:space="preserve"> </w:t>
      </w:r>
      <w:r>
        <w:rPr>
          <w:color w:val="231F20"/>
          <w:spacing w:val="-2"/>
          <w:w w:val="105"/>
          <w:sz w:val="17"/>
        </w:rPr>
        <w:t>valuation.</w:t>
      </w:r>
    </w:p>
    <w:p w14:paraId="39C6909D" w14:textId="77777777" w:rsidR="00AE0598" w:rsidRDefault="0069255A">
      <w:pPr>
        <w:ind w:left="430"/>
        <w:jc w:val="both"/>
        <w:rPr>
          <w:sz w:val="17"/>
        </w:rPr>
      </w:pPr>
      <w:r>
        <w:rPr>
          <w:i/>
          <w:color w:val="231F20"/>
          <w:sz w:val="17"/>
        </w:rPr>
        <w:t>Journal</w:t>
      </w:r>
      <w:r>
        <w:rPr>
          <w:i/>
          <w:color w:val="231F20"/>
          <w:spacing w:val="10"/>
          <w:sz w:val="17"/>
        </w:rPr>
        <w:t xml:space="preserve"> </w:t>
      </w:r>
      <w:r>
        <w:rPr>
          <w:i/>
          <w:color w:val="231F20"/>
          <w:sz w:val="17"/>
        </w:rPr>
        <w:t>of</w:t>
      </w:r>
      <w:r>
        <w:rPr>
          <w:i/>
          <w:color w:val="231F20"/>
          <w:spacing w:val="10"/>
          <w:sz w:val="17"/>
        </w:rPr>
        <w:t xml:space="preserve"> </w:t>
      </w:r>
      <w:r>
        <w:rPr>
          <w:i/>
          <w:color w:val="231F20"/>
          <w:sz w:val="17"/>
        </w:rPr>
        <w:t>Personality</w:t>
      </w:r>
      <w:r>
        <w:rPr>
          <w:i/>
          <w:color w:val="231F20"/>
          <w:spacing w:val="10"/>
          <w:sz w:val="17"/>
        </w:rPr>
        <w:t xml:space="preserve"> </w:t>
      </w:r>
      <w:r>
        <w:rPr>
          <w:i/>
          <w:color w:val="231F20"/>
          <w:sz w:val="17"/>
        </w:rPr>
        <w:t>and</w:t>
      </w:r>
      <w:r>
        <w:rPr>
          <w:i/>
          <w:color w:val="231F20"/>
          <w:spacing w:val="10"/>
          <w:sz w:val="17"/>
        </w:rPr>
        <w:t xml:space="preserve"> </w:t>
      </w:r>
      <w:r>
        <w:rPr>
          <w:i/>
          <w:color w:val="231F20"/>
          <w:sz w:val="17"/>
        </w:rPr>
        <w:t>Social</w:t>
      </w:r>
      <w:r>
        <w:rPr>
          <w:i/>
          <w:color w:val="231F20"/>
          <w:spacing w:val="10"/>
          <w:sz w:val="17"/>
        </w:rPr>
        <w:t xml:space="preserve"> </w:t>
      </w:r>
      <w:r>
        <w:rPr>
          <w:i/>
          <w:color w:val="231F20"/>
          <w:sz w:val="17"/>
        </w:rPr>
        <w:t>Psychology</w:t>
      </w:r>
      <w:r>
        <w:rPr>
          <w:i/>
          <w:color w:val="231F20"/>
          <w:spacing w:val="11"/>
          <w:sz w:val="17"/>
        </w:rPr>
        <w:t xml:space="preserve"> </w:t>
      </w:r>
      <w:r>
        <w:rPr>
          <w:color w:val="231F20"/>
          <w:sz w:val="17"/>
        </w:rPr>
        <w:t>90,</w:t>
      </w:r>
      <w:r>
        <w:rPr>
          <w:color w:val="231F20"/>
          <w:spacing w:val="10"/>
          <w:sz w:val="17"/>
        </w:rPr>
        <w:t xml:space="preserve"> </w:t>
      </w:r>
      <w:r>
        <w:rPr>
          <w:color w:val="231F20"/>
          <w:spacing w:val="-2"/>
          <w:sz w:val="17"/>
        </w:rPr>
        <w:t>288–307.</w:t>
      </w:r>
    </w:p>
    <w:p w14:paraId="11A6ACAE" w14:textId="77777777" w:rsidR="00AE0598" w:rsidRDefault="0069255A">
      <w:pPr>
        <w:spacing w:before="1"/>
        <w:ind w:left="110"/>
        <w:jc w:val="both"/>
        <w:rPr>
          <w:sz w:val="17"/>
        </w:rPr>
      </w:pPr>
      <w:r>
        <w:rPr>
          <w:color w:val="231F20"/>
          <w:sz w:val="17"/>
        </w:rPr>
        <w:t>Tuan,</w:t>
      </w:r>
      <w:r>
        <w:rPr>
          <w:color w:val="231F20"/>
          <w:spacing w:val="16"/>
          <w:sz w:val="17"/>
        </w:rPr>
        <w:t xml:space="preserve"> </w:t>
      </w:r>
      <w:r>
        <w:rPr>
          <w:color w:val="231F20"/>
          <w:sz w:val="17"/>
        </w:rPr>
        <w:t>Y.</w:t>
      </w:r>
      <w:r>
        <w:rPr>
          <w:color w:val="231F20"/>
          <w:spacing w:val="16"/>
          <w:sz w:val="17"/>
        </w:rPr>
        <w:t xml:space="preserve"> </w:t>
      </w:r>
      <w:r>
        <w:rPr>
          <w:color w:val="231F20"/>
          <w:sz w:val="17"/>
        </w:rPr>
        <w:t>(1974)</w:t>
      </w:r>
      <w:r>
        <w:rPr>
          <w:color w:val="231F20"/>
          <w:spacing w:val="17"/>
          <w:sz w:val="17"/>
        </w:rPr>
        <w:t xml:space="preserve"> </w:t>
      </w:r>
      <w:r>
        <w:rPr>
          <w:i/>
          <w:color w:val="231F20"/>
          <w:sz w:val="17"/>
        </w:rPr>
        <w:t>Topophilia:</w:t>
      </w:r>
      <w:r>
        <w:rPr>
          <w:i/>
          <w:color w:val="231F20"/>
          <w:spacing w:val="16"/>
          <w:sz w:val="17"/>
        </w:rPr>
        <w:t xml:space="preserve"> </w:t>
      </w:r>
      <w:r>
        <w:rPr>
          <w:i/>
          <w:color w:val="231F20"/>
          <w:sz w:val="17"/>
        </w:rPr>
        <w:t>A</w:t>
      </w:r>
      <w:r>
        <w:rPr>
          <w:i/>
          <w:color w:val="231F20"/>
          <w:spacing w:val="16"/>
          <w:sz w:val="17"/>
        </w:rPr>
        <w:t xml:space="preserve"> </w:t>
      </w:r>
      <w:r>
        <w:rPr>
          <w:i/>
          <w:color w:val="231F20"/>
          <w:sz w:val="17"/>
        </w:rPr>
        <w:t>Study</w:t>
      </w:r>
      <w:r>
        <w:rPr>
          <w:i/>
          <w:color w:val="231F20"/>
          <w:spacing w:val="17"/>
          <w:sz w:val="17"/>
        </w:rPr>
        <w:t xml:space="preserve"> </w:t>
      </w:r>
      <w:r>
        <w:rPr>
          <w:i/>
          <w:color w:val="231F20"/>
          <w:sz w:val="17"/>
        </w:rPr>
        <w:t>of</w:t>
      </w:r>
      <w:r>
        <w:rPr>
          <w:i/>
          <w:color w:val="231F20"/>
          <w:spacing w:val="16"/>
          <w:sz w:val="17"/>
        </w:rPr>
        <w:t xml:space="preserve"> </w:t>
      </w:r>
      <w:r>
        <w:rPr>
          <w:i/>
          <w:color w:val="231F20"/>
          <w:sz w:val="17"/>
        </w:rPr>
        <w:t>Environmental</w:t>
      </w:r>
      <w:r>
        <w:rPr>
          <w:i/>
          <w:color w:val="231F20"/>
          <w:spacing w:val="17"/>
          <w:sz w:val="17"/>
        </w:rPr>
        <w:t xml:space="preserve"> </w:t>
      </w:r>
      <w:r>
        <w:rPr>
          <w:i/>
          <w:color w:val="231F20"/>
          <w:sz w:val="17"/>
        </w:rPr>
        <w:t>Perception,</w:t>
      </w:r>
      <w:r>
        <w:rPr>
          <w:i/>
          <w:color w:val="231F20"/>
          <w:spacing w:val="16"/>
          <w:sz w:val="17"/>
        </w:rPr>
        <w:t xml:space="preserve"> </w:t>
      </w:r>
      <w:r>
        <w:rPr>
          <w:i/>
          <w:color w:val="231F20"/>
          <w:sz w:val="17"/>
        </w:rPr>
        <w:t>Attitudes,</w:t>
      </w:r>
      <w:r>
        <w:rPr>
          <w:i/>
          <w:color w:val="231F20"/>
          <w:spacing w:val="16"/>
          <w:sz w:val="17"/>
        </w:rPr>
        <w:t xml:space="preserve"> </w:t>
      </w:r>
      <w:r>
        <w:rPr>
          <w:i/>
          <w:color w:val="231F20"/>
          <w:sz w:val="17"/>
        </w:rPr>
        <w:t>and</w:t>
      </w:r>
      <w:r>
        <w:rPr>
          <w:i/>
          <w:color w:val="231F20"/>
          <w:spacing w:val="17"/>
          <w:sz w:val="17"/>
        </w:rPr>
        <w:t xml:space="preserve"> </w:t>
      </w:r>
      <w:r>
        <w:rPr>
          <w:i/>
          <w:color w:val="231F20"/>
          <w:spacing w:val="-2"/>
          <w:sz w:val="17"/>
        </w:rPr>
        <w:t>Values</w:t>
      </w:r>
      <w:r>
        <w:rPr>
          <w:color w:val="231F20"/>
          <w:spacing w:val="-2"/>
          <w:sz w:val="17"/>
        </w:rPr>
        <w:t>.</w:t>
      </w:r>
    </w:p>
    <w:p w14:paraId="423B5A4A" w14:textId="77777777" w:rsidR="00AE0598" w:rsidRDefault="0069255A">
      <w:pPr>
        <w:spacing w:before="1"/>
        <w:ind w:left="430"/>
        <w:jc w:val="both"/>
        <w:rPr>
          <w:sz w:val="17"/>
        </w:rPr>
      </w:pPr>
      <w:r>
        <w:rPr>
          <w:color w:val="231F20"/>
          <w:sz w:val="17"/>
        </w:rPr>
        <w:t>Englewood</w:t>
      </w:r>
      <w:r>
        <w:rPr>
          <w:color w:val="231F20"/>
          <w:spacing w:val="10"/>
          <w:sz w:val="17"/>
        </w:rPr>
        <w:t xml:space="preserve"> </w:t>
      </w:r>
      <w:r>
        <w:rPr>
          <w:color w:val="231F20"/>
          <w:sz w:val="17"/>
        </w:rPr>
        <w:t>Cliffs,</w:t>
      </w:r>
      <w:r>
        <w:rPr>
          <w:color w:val="231F20"/>
          <w:spacing w:val="11"/>
          <w:sz w:val="17"/>
        </w:rPr>
        <w:t xml:space="preserve"> </w:t>
      </w:r>
      <w:r>
        <w:rPr>
          <w:color w:val="231F20"/>
          <w:sz w:val="17"/>
        </w:rPr>
        <w:t>NJ:</w:t>
      </w:r>
      <w:r>
        <w:rPr>
          <w:color w:val="231F20"/>
          <w:spacing w:val="10"/>
          <w:sz w:val="17"/>
        </w:rPr>
        <w:t xml:space="preserve"> </w:t>
      </w:r>
      <w:r>
        <w:rPr>
          <w:color w:val="231F20"/>
          <w:sz w:val="17"/>
        </w:rPr>
        <w:t>Prentice</w:t>
      </w:r>
      <w:r>
        <w:rPr>
          <w:color w:val="231F20"/>
          <w:spacing w:val="11"/>
          <w:sz w:val="17"/>
        </w:rPr>
        <w:t xml:space="preserve"> </w:t>
      </w:r>
      <w:r>
        <w:rPr>
          <w:color w:val="231F20"/>
          <w:spacing w:val="-4"/>
          <w:sz w:val="17"/>
        </w:rPr>
        <w:t>Hall.</w:t>
      </w:r>
    </w:p>
    <w:p w14:paraId="7A03A2DE" w14:textId="77777777" w:rsidR="00AE0598" w:rsidRDefault="0069255A">
      <w:pPr>
        <w:ind w:left="110" w:right="128"/>
        <w:jc w:val="both"/>
        <w:rPr>
          <w:sz w:val="17"/>
        </w:rPr>
      </w:pPr>
      <w:r>
        <w:rPr>
          <w:color w:val="231F20"/>
          <w:w w:val="95"/>
          <w:sz w:val="17"/>
        </w:rPr>
        <w:t xml:space="preserve">Tuan, Y.F. (1975) Place: An experiential perspective. </w:t>
      </w:r>
      <w:r>
        <w:rPr>
          <w:i/>
          <w:color w:val="231F20"/>
          <w:w w:val="95"/>
          <w:sz w:val="17"/>
        </w:rPr>
        <w:t xml:space="preserve">Geographical Review </w:t>
      </w:r>
      <w:r>
        <w:rPr>
          <w:color w:val="231F20"/>
          <w:w w:val="95"/>
          <w:sz w:val="17"/>
        </w:rPr>
        <w:t>65 (2), 151–165.</w:t>
      </w:r>
      <w:r>
        <w:rPr>
          <w:color w:val="231F20"/>
          <w:spacing w:val="40"/>
          <w:sz w:val="17"/>
        </w:rPr>
        <w:t xml:space="preserve"> </w:t>
      </w:r>
      <w:r>
        <w:rPr>
          <w:color w:val="231F20"/>
          <w:sz w:val="17"/>
        </w:rPr>
        <w:t>Tuan,</w:t>
      </w:r>
      <w:r>
        <w:rPr>
          <w:color w:val="231F20"/>
          <w:spacing w:val="38"/>
          <w:sz w:val="17"/>
        </w:rPr>
        <w:t xml:space="preserve"> </w:t>
      </w:r>
      <w:r>
        <w:rPr>
          <w:color w:val="231F20"/>
          <w:sz w:val="17"/>
        </w:rPr>
        <w:t>Y.F.</w:t>
      </w:r>
      <w:r>
        <w:rPr>
          <w:color w:val="231F20"/>
          <w:spacing w:val="38"/>
          <w:sz w:val="17"/>
        </w:rPr>
        <w:t xml:space="preserve"> </w:t>
      </w:r>
      <w:r>
        <w:rPr>
          <w:color w:val="231F20"/>
          <w:sz w:val="17"/>
        </w:rPr>
        <w:t>(1977)</w:t>
      </w:r>
      <w:r>
        <w:rPr>
          <w:color w:val="231F20"/>
          <w:spacing w:val="38"/>
          <w:sz w:val="17"/>
        </w:rPr>
        <w:t xml:space="preserve"> </w:t>
      </w:r>
      <w:r>
        <w:rPr>
          <w:i/>
          <w:color w:val="231F20"/>
          <w:sz w:val="17"/>
        </w:rPr>
        <w:t>Space</w:t>
      </w:r>
      <w:r>
        <w:rPr>
          <w:i/>
          <w:color w:val="231F20"/>
          <w:spacing w:val="38"/>
          <w:sz w:val="17"/>
        </w:rPr>
        <w:t xml:space="preserve"> </w:t>
      </w:r>
      <w:r>
        <w:rPr>
          <w:i/>
          <w:color w:val="231F20"/>
          <w:sz w:val="17"/>
        </w:rPr>
        <w:t>and</w:t>
      </w:r>
      <w:r>
        <w:rPr>
          <w:i/>
          <w:color w:val="231F20"/>
          <w:spacing w:val="38"/>
          <w:sz w:val="17"/>
        </w:rPr>
        <w:t xml:space="preserve"> </w:t>
      </w:r>
      <w:r>
        <w:rPr>
          <w:i/>
          <w:color w:val="231F20"/>
          <w:sz w:val="17"/>
        </w:rPr>
        <w:t>Place:</w:t>
      </w:r>
      <w:r>
        <w:rPr>
          <w:i/>
          <w:color w:val="231F20"/>
          <w:spacing w:val="39"/>
          <w:sz w:val="17"/>
        </w:rPr>
        <w:t xml:space="preserve"> </w:t>
      </w:r>
      <w:r>
        <w:rPr>
          <w:i/>
          <w:color w:val="231F20"/>
          <w:sz w:val="17"/>
        </w:rPr>
        <w:t>The</w:t>
      </w:r>
      <w:r>
        <w:rPr>
          <w:i/>
          <w:color w:val="231F20"/>
          <w:spacing w:val="38"/>
          <w:sz w:val="17"/>
        </w:rPr>
        <w:t xml:space="preserve"> </w:t>
      </w:r>
      <w:r>
        <w:rPr>
          <w:i/>
          <w:color w:val="231F20"/>
          <w:sz w:val="17"/>
        </w:rPr>
        <w:t>Perspective</w:t>
      </w:r>
      <w:r>
        <w:rPr>
          <w:i/>
          <w:color w:val="231F20"/>
          <w:spacing w:val="38"/>
          <w:sz w:val="17"/>
        </w:rPr>
        <w:t xml:space="preserve"> </w:t>
      </w:r>
      <w:r>
        <w:rPr>
          <w:i/>
          <w:color w:val="231F20"/>
          <w:sz w:val="17"/>
        </w:rPr>
        <w:t>of</w:t>
      </w:r>
      <w:r>
        <w:rPr>
          <w:i/>
          <w:color w:val="231F20"/>
          <w:spacing w:val="38"/>
          <w:sz w:val="17"/>
        </w:rPr>
        <w:t xml:space="preserve"> </w:t>
      </w:r>
      <w:r>
        <w:rPr>
          <w:i/>
          <w:color w:val="231F20"/>
          <w:sz w:val="17"/>
        </w:rPr>
        <w:t>Experience</w:t>
      </w:r>
      <w:r>
        <w:rPr>
          <w:color w:val="231F20"/>
          <w:sz w:val="17"/>
        </w:rPr>
        <w:t>.</w:t>
      </w:r>
      <w:r>
        <w:rPr>
          <w:color w:val="231F20"/>
          <w:spacing w:val="38"/>
          <w:sz w:val="17"/>
        </w:rPr>
        <w:t xml:space="preserve"> </w:t>
      </w:r>
      <w:r>
        <w:rPr>
          <w:color w:val="231F20"/>
          <w:sz w:val="17"/>
        </w:rPr>
        <w:t>Minneapolis,</w:t>
      </w:r>
      <w:r>
        <w:rPr>
          <w:color w:val="231F20"/>
          <w:spacing w:val="38"/>
          <w:sz w:val="17"/>
        </w:rPr>
        <w:t xml:space="preserve"> </w:t>
      </w:r>
      <w:r>
        <w:rPr>
          <w:color w:val="231F20"/>
          <w:spacing w:val="-5"/>
          <w:sz w:val="17"/>
        </w:rPr>
        <w:t>MN:</w:t>
      </w:r>
    </w:p>
    <w:p w14:paraId="788C249E" w14:textId="77777777" w:rsidR="00AE0598" w:rsidRDefault="0069255A">
      <w:pPr>
        <w:spacing w:before="2"/>
        <w:ind w:left="430"/>
        <w:jc w:val="both"/>
        <w:rPr>
          <w:sz w:val="17"/>
        </w:rPr>
      </w:pPr>
      <w:r>
        <w:rPr>
          <w:color w:val="231F20"/>
          <w:w w:val="95"/>
          <w:sz w:val="17"/>
        </w:rPr>
        <w:t>University</w:t>
      </w:r>
      <w:r>
        <w:rPr>
          <w:color w:val="231F20"/>
          <w:spacing w:val="23"/>
          <w:sz w:val="17"/>
        </w:rPr>
        <w:t xml:space="preserve"> </w:t>
      </w:r>
      <w:r>
        <w:rPr>
          <w:color w:val="231F20"/>
          <w:w w:val="95"/>
          <w:sz w:val="17"/>
        </w:rPr>
        <w:t>of</w:t>
      </w:r>
      <w:r>
        <w:rPr>
          <w:color w:val="231F20"/>
          <w:spacing w:val="23"/>
          <w:sz w:val="17"/>
        </w:rPr>
        <w:t xml:space="preserve"> </w:t>
      </w:r>
      <w:r>
        <w:rPr>
          <w:color w:val="231F20"/>
          <w:w w:val="95"/>
          <w:sz w:val="17"/>
        </w:rPr>
        <w:t>Minnesota</w:t>
      </w:r>
      <w:r>
        <w:rPr>
          <w:color w:val="231F20"/>
          <w:spacing w:val="24"/>
          <w:sz w:val="17"/>
        </w:rPr>
        <w:t xml:space="preserve"> </w:t>
      </w:r>
      <w:r>
        <w:rPr>
          <w:color w:val="231F20"/>
          <w:spacing w:val="-2"/>
          <w:w w:val="95"/>
          <w:sz w:val="17"/>
        </w:rPr>
        <w:t>Press.</w:t>
      </w:r>
    </w:p>
    <w:p w14:paraId="3365B8E9" w14:textId="77777777" w:rsidR="00AE0598" w:rsidRDefault="0069255A">
      <w:pPr>
        <w:ind w:left="430" w:right="127" w:hanging="320"/>
        <w:jc w:val="both"/>
        <w:rPr>
          <w:sz w:val="17"/>
        </w:rPr>
      </w:pPr>
      <w:r>
        <w:rPr>
          <w:color w:val="231F20"/>
          <w:sz w:val="17"/>
        </w:rPr>
        <w:t xml:space="preserve">Tuck, </w:t>
      </w:r>
      <w:r>
        <w:rPr>
          <w:color w:val="231F20"/>
          <w:w w:val="105"/>
          <w:sz w:val="17"/>
        </w:rPr>
        <w:t xml:space="preserve">J. </w:t>
      </w:r>
      <w:r>
        <w:rPr>
          <w:color w:val="231F20"/>
          <w:sz w:val="17"/>
        </w:rPr>
        <w:t>(2003) Making sense of emerald commotion: Rugby union, national identity and</w:t>
      </w:r>
      <w:r>
        <w:rPr>
          <w:color w:val="231F20"/>
          <w:spacing w:val="40"/>
          <w:sz w:val="17"/>
        </w:rPr>
        <w:t xml:space="preserve"> </w:t>
      </w:r>
      <w:r>
        <w:rPr>
          <w:color w:val="231F20"/>
          <w:sz w:val="17"/>
        </w:rPr>
        <w:t xml:space="preserve">Ireland. </w:t>
      </w:r>
      <w:r>
        <w:rPr>
          <w:i/>
          <w:color w:val="231F20"/>
          <w:sz w:val="17"/>
        </w:rPr>
        <w:t xml:space="preserve">Identities: Global Studies in Culture and Power </w:t>
      </w:r>
      <w:r>
        <w:rPr>
          <w:color w:val="231F20"/>
          <w:sz w:val="17"/>
        </w:rPr>
        <w:t>10 (4), 495–515.</w:t>
      </w:r>
    </w:p>
    <w:p w14:paraId="607391B1" w14:textId="77777777" w:rsidR="00AE0598" w:rsidRDefault="0069255A">
      <w:pPr>
        <w:spacing w:before="2"/>
        <w:ind w:left="430" w:right="127" w:hanging="320"/>
        <w:jc w:val="both"/>
        <w:rPr>
          <w:sz w:val="17"/>
        </w:rPr>
      </w:pPr>
      <w:r>
        <w:rPr>
          <w:color w:val="231F20"/>
          <w:w w:val="95"/>
          <w:sz w:val="17"/>
        </w:rPr>
        <w:t>Tuppen, J. (2000) The restructuring of winter sports resorts in the French Alps: Problems,</w:t>
      </w:r>
      <w:r>
        <w:rPr>
          <w:color w:val="231F20"/>
          <w:spacing w:val="40"/>
          <w:sz w:val="17"/>
        </w:rPr>
        <w:t xml:space="preserve"> </w:t>
      </w:r>
      <w:r>
        <w:rPr>
          <w:color w:val="231F20"/>
          <w:sz w:val="17"/>
        </w:rPr>
        <w:t xml:space="preserve">processes and </w:t>
      </w:r>
      <w:r>
        <w:rPr>
          <w:color w:val="231F20"/>
          <w:sz w:val="17"/>
        </w:rPr>
        <w:t xml:space="preserve">policies. </w:t>
      </w:r>
      <w:r>
        <w:rPr>
          <w:i/>
          <w:color w:val="231F20"/>
          <w:sz w:val="17"/>
        </w:rPr>
        <w:t xml:space="preserve">International Journal of Tourism Research </w:t>
      </w:r>
      <w:r>
        <w:rPr>
          <w:color w:val="231F20"/>
          <w:sz w:val="17"/>
        </w:rPr>
        <w:t>2 (5), 227–344.</w:t>
      </w:r>
    </w:p>
    <w:p w14:paraId="4CA92557" w14:textId="77777777" w:rsidR="00AE0598" w:rsidRDefault="0069255A">
      <w:pPr>
        <w:spacing w:before="1"/>
        <w:ind w:left="430" w:right="128" w:hanging="320"/>
        <w:jc w:val="both"/>
        <w:rPr>
          <w:sz w:val="17"/>
        </w:rPr>
      </w:pPr>
      <w:r>
        <w:rPr>
          <w:color w:val="231F20"/>
          <w:sz w:val="17"/>
        </w:rPr>
        <w:t>Turco, D.M. (1999) Travelling and turnovers. Measuring the economic impacts of a street</w:t>
      </w:r>
      <w:r>
        <w:rPr>
          <w:color w:val="231F20"/>
          <w:spacing w:val="40"/>
          <w:sz w:val="17"/>
        </w:rPr>
        <w:t xml:space="preserve"> </w:t>
      </w:r>
      <w:r>
        <w:rPr>
          <w:color w:val="231F20"/>
          <w:sz w:val="17"/>
        </w:rPr>
        <w:t xml:space="preserve">basketball tournament. </w:t>
      </w:r>
      <w:r>
        <w:rPr>
          <w:i/>
          <w:color w:val="231F20"/>
          <w:sz w:val="17"/>
        </w:rPr>
        <w:t xml:space="preserve">Journal of Sport Tourism </w:t>
      </w:r>
      <w:r>
        <w:rPr>
          <w:color w:val="231F20"/>
          <w:sz w:val="17"/>
        </w:rPr>
        <w:t>5 (1), 6–11.</w:t>
      </w:r>
    </w:p>
    <w:p w14:paraId="100A65FB" w14:textId="77777777" w:rsidR="00AE0598" w:rsidRDefault="0069255A">
      <w:pPr>
        <w:spacing w:before="2"/>
        <w:ind w:left="430" w:right="127" w:hanging="320"/>
        <w:jc w:val="both"/>
        <w:rPr>
          <w:sz w:val="17"/>
        </w:rPr>
      </w:pPr>
      <w:r>
        <w:rPr>
          <w:color w:val="231F20"/>
          <w:w w:val="105"/>
          <w:sz w:val="17"/>
        </w:rPr>
        <w:t>Turco, D.M., Riley, R. and</w:t>
      </w:r>
      <w:r>
        <w:rPr>
          <w:color w:val="231F20"/>
          <w:w w:val="105"/>
          <w:sz w:val="17"/>
        </w:rPr>
        <w:t xml:space="preserve"> Swart, K. (2002) </w:t>
      </w:r>
      <w:r>
        <w:rPr>
          <w:i/>
          <w:color w:val="231F20"/>
          <w:w w:val="105"/>
          <w:sz w:val="17"/>
        </w:rPr>
        <w:t>Sport Tourism</w:t>
      </w:r>
      <w:r>
        <w:rPr>
          <w:color w:val="231F20"/>
          <w:w w:val="105"/>
          <w:sz w:val="17"/>
        </w:rPr>
        <w:t>. Morgantown, WV: Fitness</w:t>
      </w:r>
      <w:r>
        <w:rPr>
          <w:color w:val="231F20"/>
          <w:spacing w:val="40"/>
          <w:w w:val="105"/>
          <w:sz w:val="17"/>
        </w:rPr>
        <w:t xml:space="preserve"> </w:t>
      </w:r>
      <w:r>
        <w:rPr>
          <w:color w:val="231F20"/>
          <w:w w:val="105"/>
          <w:sz w:val="17"/>
        </w:rPr>
        <w:t>Information Technology.</w:t>
      </w:r>
    </w:p>
    <w:p w14:paraId="79F70CD2" w14:textId="77777777" w:rsidR="00AE0598" w:rsidRDefault="0069255A">
      <w:pPr>
        <w:spacing w:before="1"/>
        <w:ind w:left="430" w:right="128" w:hanging="320"/>
        <w:jc w:val="both"/>
        <w:rPr>
          <w:sz w:val="17"/>
        </w:rPr>
      </w:pPr>
      <w:r>
        <w:rPr>
          <w:color w:val="231F20"/>
          <w:sz w:val="17"/>
        </w:rPr>
        <w:t xml:space="preserve">UNFCCC (2015) Adoption of the Paris Agreement. See </w:t>
      </w:r>
      <w:r>
        <w:rPr>
          <w:color w:val="231F20"/>
          <w:spacing w:val="-2"/>
          <w:w w:val="104"/>
          <w:sz w:val="17"/>
        </w:rPr>
        <w:t>h</w:t>
      </w:r>
      <w:r>
        <w:rPr>
          <w:color w:val="231F20"/>
          <w:spacing w:val="2"/>
          <w:w w:val="104"/>
          <w:sz w:val="17"/>
        </w:rPr>
        <w:t>tt</w:t>
      </w:r>
      <w:r>
        <w:rPr>
          <w:color w:val="231F20"/>
          <w:spacing w:val="-1"/>
          <w:w w:val="104"/>
          <w:sz w:val="17"/>
        </w:rPr>
        <w:t>p</w:t>
      </w:r>
      <w:r>
        <w:rPr>
          <w:color w:val="231F20"/>
          <w:spacing w:val="-2"/>
          <w:w w:val="102"/>
          <w:sz w:val="17"/>
        </w:rPr>
        <w:t>s</w:t>
      </w:r>
      <w:r>
        <w:rPr>
          <w:color w:val="231F20"/>
          <w:spacing w:val="3"/>
          <w:w w:val="102"/>
          <w:sz w:val="17"/>
        </w:rPr>
        <w:t>:</w:t>
      </w:r>
      <w:r>
        <w:rPr>
          <w:color w:val="231F20"/>
          <w:spacing w:val="-5"/>
          <w:w w:val="66"/>
          <w:sz w:val="17"/>
        </w:rPr>
        <w:t>/</w:t>
      </w:r>
      <w:r>
        <w:rPr>
          <w:color w:val="231F20"/>
          <w:spacing w:val="-3"/>
          <w:w w:val="66"/>
          <w:sz w:val="17"/>
        </w:rPr>
        <w:t>/</w:t>
      </w:r>
      <w:r>
        <w:rPr>
          <w:color w:val="231F20"/>
          <w:spacing w:val="2"/>
          <w:w w:val="105"/>
          <w:sz w:val="17"/>
        </w:rPr>
        <w:t>u</w:t>
      </w:r>
      <w:r>
        <w:rPr>
          <w:color w:val="231F20"/>
          <w:spacing w:val="2"/>
          <w:w w:val="104"/>
          <w:sz w:val="17"/>
        </w:rPr>
        <w:t>n</w:t>
      </w:r>
      <w:r>
        <w:rPr>
          <w:color w:val="231F20"/>
          <w:spacing w:val="-2"/>
          <w:w w:val="109"/>
          <w:sz w:val="17"/>
        </w:rPr>
        <w:t>f</w:t>
      </w:r>
      <w:r>
        <w:rPr>
          <w:color w:val="231F20"/>
          <w:w w:val="109"/>
          <w:sz w:val="17"/>
        </w:rPr>
        <w:t>c</w:t>
      </w:r>
      <w:r>
        <w:rPr>
          <w:color w:val="231F20"/>
          <w:w w:val="105"/>
          <w:sz w:val="17"/>
        </w:rPr>
        <w:t>cc</w:t>
      </w:r>
      <w:r>
        <w:rPr>
          <w:color w:val="231F20"/>
          <w:spacing w:val="-1"/>
          <w:w w:val="141"/>
          <w:sz w:val="17"/>
        </w:rPr>
        <w:t>.</w:t>
      </w:r>
      <w:r>
        <w:rPr>
          <w:color w:val="231F20"/>
          <w:spacing w:val="1"/>
          <w:w w:val="106"/>
          <w:sz w:val="17"/>
        </w:rPr>
        <w:t>i</w:t>
      </w:r>
      <w:r>
        <w:rPr>
          <w:color w:val="231F20"/>
          <w:spacing w:val="-2"/>
          <w:w w:val="104"/>
          <w:sz w:val="17"/>
        </w:rPr>
        <w:t>n</w:t>
      </w:r>
      <w:r>
        <w:rPr>
          <w:color w:val="231F20"/>
          <w:spacing w:val="5"/>
          <w:w w:val="104"/>
          <w:sz w:val="17"/>
        </w:rPr>
        <w:t>t</w:t>
      </w:r>
      <w:r>
        <w:rPr>
          <w:color w:val="231F20"/>
          <w:spacing w:val="-5"/>
          <w:w w:val="66"/>
          <w:sz w:val="17"/>
        </w:rPr>
        <w:t>/</w:t>
      </w:r>
      <w:r>
        <w:rPr>
          <w:color w:val="231F20"/>
          <w:spacing w:val="-2"/>
          <w:w w:val="99"/>
          <w:sz w:val="17"/>
        </w:rPr>
        <w:t>r</w:t>
      </w:r>
      <w:r>
        <w:rPr>
          <w:color w:val="231F20"/>
          <w:spacing w:val="1"/>
          <w:w w:val="96"/>
          <w:sz w:val="17"/>
        </w:rPr>
        <w:t>e</w:t>
      </w:r>
      <w:r>
        <w:rPr>
          <w:color w:val="231F20"/>
          <w:spacing w:val="-1"/>
          <w:w w:val="96"/>
          <w:sz w:val="17"/>
        </w:rPr>
        <w:t>s</w:t>
      </w:r>
      <w:r>
        <w:rPr>
          <w:color w:val="231F20"/>
          <w:spacing w:val="-2"/>
          <w:w w:val="107"/>
          <w:sz w:val="17"/>
        </w:rPr>
        <w:t>o</w:t>
      </w:r>
      <w:r>
        <w:rPr>
          <w:color w:val="231F20"/>
          <w:spacing w:val="1"/>
          <w:w w:val="107"/>
          <w:sz w:val="17"/>
        </w:rPr>
        <w:t>u</w:t>
      </w:r>
      <w:r>
        <w:rPr>
          <w:color w:val="231F20"/>
          <w:spacing w:val="-2"/>
          <w:w w:val="102"/>
          <w:sz w:val="17"/>
        </w:rPr>
        <w:t>r</w:t>
      </w:r>
      <w:r>
        <w:rPr>
          <w:color w:val="231F20"/>
          <w:w w:val="102"/>
          <w:sz w:val="17"/>
        </w:rPr>
        <w:t>c</w:t>
      </w:r>
      <w:r>
        <w:rPr>
          <w:color w:val="231F20"/>
          <w:spacing w:val="4"/>
          <w:w w:val="96"/>
          <w:sz w:val="17"/>
        </w:rPr>
        <w:t>e</w:t>
      </w:r>
      <w:r>
        <w:rPr>
          <w:color w:val="231F20"/>
          <w:spacing w:val="-2"/>
          <w:w w:val="66"/>
          <w:sz w:val="17"/>
        </w:rPr>
        <w:t>/</w:t>
      </w:r>
      <w:r>
        <w:rPr>
          <w:color w:val="231F20"/>
          <w:spacing w:val="40"/>
          <w:sz w:val="17"/>
        </w:rPr>
        <w:t xml:space="preserve"> </w:t>
      </w:r>
      <w:r>
        <w:rPr>
          <w:color w:val="231F20"/>
          <w:w w:val="95"/>
          <w:sz w:val="17"/>
        </w:rPr>
        <w:t>docs/2015/cop21/eng/l09r01.pdf (accessed 31 May 2016).</w:t>
      </w:r>
    </w:p>
    <w:p w14:paraId="15B3CECD" w14:textId="77777777" w:rsidR="00AE0598" w:rsidRDefault="0069255A">
      <w:pPr>
        <w:spacing w:before="2"/>
        <w:ind w:left="430" w:right="128" w:hanging="320"/>
        <w:jc w:val="both"/>
        <w:rPr>
          <w:sz w:val="17"/>
        </w:rPr>
      </w:pPr>
      <w:r>
        <w:rPr>
          <w:color w:val="231F20"/>
          <w:sz w:val="17"/>
        </w:rPr>
        <w:t>United Nations (2008) International Recommendations for Tourism Statistics 2008.</w:t>
      </w:r>
      <w:r>
        <w:rPr>
          <w:color w:val="231F20"/>
          <w:spacing w:val="40"/>
          <w:sz w:val="17"/>
        </w:rPr>
        <w:t xml:space="preserve"> </w:t>
      </w:r>
      <w:r>
        <w:rPr>
          <w:color w:val="231F20"/>
          <w:sz w:val="17"/>
        </w:rPr>
        <w:t>Statistics</w:t>
      </w:r>
      <w:r>
        <w:rPr>
          <w:color w:val="231F20"/>
          <w:spacing w:val="-4"/>
          <w:sz w:val="17"/>
        </w:rPr>
        <w:t xml:space="preserve"> </w:t>
      </w:r>
      <w:r>
        <w:rPr>
          <w:color w:val="231F20"/>
          <w:sz w:val="17"/>
        </w:rPr>
        <w:t>Division</w:t>
      </w:r>
      <w:r>
        <w:rPr>
          <w:color w:val="231F20"/>
          <w:spacing w:val="-4"/>
          <w:sz w:val="17"/>
        </w:rPr>
        <w:t xml:space="preserve"> </w:t>
      </w:r>
      <w:r>
        <w:rPr>
          <w:color w:val="231F20"/>
          <w:sz w:val="17"/>
        </w:rPr>
        <w:t>Series</w:t>
      </w:r>
      <w:r>
        <w:rPr>
          <w:color w:val="231F20"/>
          <w:spacing w:val="-4"/>
          <w:sz w:val="17"/>
        </w:rPr>
        <w:t xml:space="preserve"> </w:t>
      </w:r>
      <w:r>
        <w:rPr>
          <w:color w:val="231F20"/>
          <w:sz w:val="17"/>
        </w:rPr>
        <w:t>M</w:t>
      </w:r>
      <w:r>
        <w:rPr>
          <w:color w:val="231F20"/>
          <w:spacing w:val="-4"/>
          <w:sz w:val="17"/>
        </w:rPr>
        <w:t xml:space="preserve"> </w:t>
      </w:r>
      <w:r>
        <w:rPr>
          <w:color w:val="231F20"/>
          <w:sz w:val="17"/>
        </w:rPr>
        <w:t>No.</w:t>
      </w:r>
      <w:r>
        <w:rPr>
          <w:color w:val="231F20"/>
          <w:spacing w:val="-4"/>
          <w:sz w:val="17"/>
        </w:rPr>
        <w:t xml:space="preserve"> </w:t>
      </w:r>
      <w:r>
        <w:rPr>
          <w:color w:val="231F20"/>
          <w:spacing w:val="3"/>
          <w:w w:val="92"/>
          <w:sz w:val="17"/>
        </w:rPr>
        <w:t>8</w:t>
      </w:r>
      <w:r>
        <w:rPr>
          <w:color w:val="231F20"/>
          <w:spacing w:val="1"/>
          <w:w w:val="92"/>
          <w:sz w:val="17"/>
        </w:rPr>
        <w:t>3</w:t>
      </w:r>
      <w:r>
        <w:rPr>
          <w:color w:val="231F20"/>
          <w:spacing w:val="5"/>
          <w:w w:val="63"/>
          <w:sz w:val="17"/>
        </w:rPr>
        <w:t>/</w:t>
      </w:r>
      <w:r>
        <w:rPr>
          <w:color w:val="231F20"/>
          <w:spacing w:val="-1"/>
          <w:w w:val="118"/>
          <w:sz w:val="17"/>
        </w:rPr>
        <w:t>R</w:t>
      </w:r>
      <w:r>
        <w:rPr>
          <w:color w:val="231F20"/>
          <w:spacing w:val="-1"/>
          <w:w w:val="93"/>
          <w:sz w:val="17"/>
        </w:rPr>
        <w:t>e</w:t>
      </w:r>
      <w:r>
        <w:rPr>
          <w:color w:val="231F20"/>
          <w:spacing w:val="-11"/>
          <w:w w:val="101"/>
          <w:sz w:val="17"/>
        </w:rPr>
        <w:t>v</w:t>
      </w:r>
      <w:r>
        <w:rPr>
          <w:color w:val="231F20"/>
          <w:spacing w:val="-2"/>
          <w:w w:val="138"/>
          <w:sz w:val="17"/>
        </w:rPr>
        <w:t>.</w:t>
      </w:r>
      <w:r>
        <w:rPr>
          <w:color w:val="231F20"/>
          <w:spacing w:val="-4"/>
          <w:w w:val="99"/>
          <w:sz w:val="17"/>
        </w:rPr>
        <w:t xml:space="preserve"> </w:t>
      </w:r>
      <w:r>
        <w:rPr>
          <w:color w:val="231F20"/>
          <w:sz w:val="17"/>
        </w:rPr>
        <w:t>1,</w:t>
      </w:r>
      <w:r>
        <w:rPr>
          <w:color w:val="231F20"/>
          <w:spacing w:val="-4"/>
          <w:sz w:val="17"/>
        </w:rPr>
        <w:t xml:space="preserve"> </w:t>
      </w:r>
      <w:r>
        <w:rPr>
          <w:color w:val="231F20"/>
          <w:sz w:val="17"/>
        </w:rPr>
        <w:t>Department</w:t>
      </w:r>
      <w:r>
        <w:rPr>
          <w:color w:val="231F20"/>
          <w:spacing w:val="-4"/>
          <w:sz w:val="17"/>
        </w:rPr>
        <w:t xml:space="preserve"> </w:t>
      </w:r>
      <w:r>
        <w:rPr>
          <w:color w:val="231F20"/>
          <w:sz w:val="17"/>
        </w:rPr>
        <w:t>of</w:t>
      </w:r>
      <w:r>
        <w:rPr>
          <w:color w:val="231F20"/>
          <w:spacing w:val="-4"/>
          <w:sz w:val="17"/>
        </w:rPr>
        <w:t xml:space="preserve"> </w:t>
      </w:r>
      <w:r>
        <w:rPr>
          <w:color w:val="231F20"/>
          <w:sz w:val="17"/>
        </w:rPr>
        <w:t>Economic</w:t>
      </w:r>
      <w:r>
        <w:rPr>
          <w:color w:val="231F20"/>
          <w:spacing w:val="-4"/>
          <w:sz w:val="17"/>
        </w:rPr>
        <w:t xml:space="preserve"> </w:t>
      </w:r>
      <w:r>
        <w:rPr>
          <w:color w:val="231F20"/>
          <w:sz w:val="17"/>
        </w:rPr>
        <w:t>and</w:t>
      </w:r>
      <w:r>
        <w:rPr>
          <w:color w:val="231F20"/>
          <w:spacing w:val="-4"/>
          <w:sz w:val="17"/>
        </w:rPr>
        <w:t xml:space="preserve"> </w:t>
      </w:r>
      <w:r>
        <w:rPr>
          <w:color w:val="231F20"/>
          <w:sz w:val="17"/>
        </w:rPr>
        <w:t>Social</w:t>
      </w:r>
      <w:r>
        <w:rPr>
          <w:color w:val="231F20"/>
          <w:spacing w:val="-4"/>
          <w:sz w:val="17"/>
        </w:rPr>
        <w:t xml:space="preserve"> </w:t>
      </w:r>
      <w:r>
        <w:rPr>
          <w:color w:val="231F20"/>
          <w:sz w:val="17"/>
        </w:rPr>
        <w:t>Affairs,</w:t>
      </w:r>
      <w:r>
        <w:rPr>
          <w:color w:val="231F20"/>
          <w:spacing w:val="40"/>
          <w:sz w:val="17"/>
        </w:rPr>
        <w:t xml:space="preserve"> </w:t>
      </w:r>
      <w:r>
        <w:rPr>
          <w:color w:val="231F20"/>
          <w:sz w:val="17"/>
        </w:rPr>
        <w:t>New York.</w:t>
      </w:r>
    </w:p>
    <w:p w14:paraId="2E11415A" w14:textId="77777777" w:rsidR="00AE0598" w:rsidRDefault="0069255A">
      <w:pPr>
        <w:spacing w:before="2"/>
        <w:ind w:left="430" w:right="126" w:hanging="320"/>
        <w:jc w:val="both"/>
        <w:rPr>
          <w:sz w:val="17"/>
        </w:rPr>
      </w:pPr>
      <w:r>
        <w:rPr>
          <w:color w:val="231F20"/>
          <w:spacing w:val="-2"/>
          <w:w w:val="95"/>
          <w:sz w:val="17"/>
        </w:rPr>
        <w:t>United</w:t>
      </w:r>
      <w:r>
        <w:rPr>
          <w:color w:val="231F20"/>
          <w:spacing w:val="-4"/>
          <w:w w:val="95"/>
          <w:sz w:val="17"/>
        </w:rPr>
        <w:t xml:space="preserve"> </w:t>
      </w:r>
      <w:r>
        <w:rPr>
          <w:color w:val="231F20"/>
          <w:spacing w:val="-2"/>
          <w:w w:val="95"/>
          <w:sz w:val="17"/>
        </w:rPr>
        <w:t>Nations</w:t>
      </w:r>
      <w:r>
        <w:rPr>
          <w:color w:val="231F20"/>
          <w:spacing w:val="-4"/>
          <w:w w:val="95"/>
          <w:sz w:val="17"/>
        </w:rPr>
        <w:t xml:space="preserve"> </w:t>
      </w:r>
      <w:r>
        <w:rPr>
          <w:color w:val="231F20"/>
          <w:spacing w:val="-2"/>
          <w:w w:val="95"/>
          <w:sz w:val="17"/>
        </w:rPr>
        <w:t>(2015)</w:t>
      </w:r>
      <w:r>
        <w:rPr>
          <w:color w:val="231F20"/>
          <w:spacing w:val="-4"/>
          <w:w w:val="95"/>
          <w:sz w:val="17"/>
        </w:rPr>
        <w:t xml:space="preserve"> </w:t>
      </w:r>
      <w:r>
        <w:rPr>
          <w:color w:val="231F20"/>
          <w:spacing w:val="-2"/>
          <w:w w:val="95"/>
          <w:sz w:val="17"/>
        </w:rPr>
        <w:t>Transforming</w:t>
      </w:r>
      <w:r>
        <w:rPr>
          <w:color w:val="231F20"/>
          <w:spacing w:val="-4"/>
          <w:w w:val="95"/>
          <w:sz w:val="17"/>
        </w:rPr>
        <w:t xml:space="preserve"> </w:t>
      </w:r>
      <w:r>
        <w:rPr>
          <w:color w:val="231F20"/>
          <w:spacing w:val="-2"/>
          <w:w w:val="95"/>
          <w:sz w:val="17"/>
        </w:rPr>
        <w:t>our</w:t>
      </w:r>
      <w:r>
        <w:rPr>
          <w:color w:val="231F20"/>
          <w:spacing w:val="-4"/>
          <w:w w:val="95"/>
          <w:sz w:val="17"/>
        </w:rPr>
        <w:t xml:space="preserve"> </w:t>
      </w:r>
      <w:r>
        <w:rPr>
          <w:color w:val="231F20"/>
          <w:spacing w:val="-2"/>
          <w:w w:val="95"/>
          <w:sz w:val="17"/>
        </w:rPr>
        <w:t>World:</w:t>
      </w:r>
      <w:r>
        <w:rPr>
          <w:color w:val="231F20"/>
          <w:spacing w:val="-4"/>
          <w:w w:val="95"/>
          <w:sz w:val="17"/>
        </w:rPr>
        <w:t xml:space="preserve"> </w:t>
      </w:r>
      <w:r>
        <w:rPr>
          <w:color w:val="231F20"/>
          <w:spacing w:val="-2"/>
          <w:w w:val="95"/>
          <w:sz w:val="17"/>
        </w:rPr>
        <w:t>The</w:t>
      </w:r>
      <w:r>
        <w:rPr>
          <w:color w:val="231F20"/>
          <w:spacing w:val="-4"/>
          <w:w w:val="95"/>
          <w:sz w:val="17"/>
        </w:rPr>
        <w:t xml:space="preserve"> </w:t>
      </w:r>
      <w:r>
        <w:rPr>
          <w:color w:val="231F20"/>
          <w:spacing w:val="-2"/>
          <w:w w:val="95"/>
          <w:sz w:val="17"/>
        </w:rPr>
        <w:t>2030</w:t>
      </w:r>
      <w:r>
        <w:rPr>
          <w:color w:val="231F20"/>
          <w:spacing w:val="-4"/>
          <w:w w:val="95"/>
          <w:sz w:val="17"/>
        </w:rPr>
        <w:t xml:space="preserve"> </w:t>
      </w:r>
      <w:r>
        <w:rPr>
          <w:color w:val="231F20"/>
          <w:spacing w:val="-2"/>
          <w:w w:val="95"/>
          <w:sz w:val="17"/>
        </w:rPr>
        <w:t>Agenda</w:t>
      </w:r>
      <w:r>
        <w:rPr>
          <w:color w:val="231F20"/>
          <w:spacing w:val="-4"/>
          <w:w w:val="95"/>
          <w:sz w:val="17"/>
        </w:rPr>
        <w:t xml:space="preserve"> </w:t>
      </w:r>
      <w:r>
        <w:rPr>
          <w:color w:val="231F20"/>
          <w:spacing w:val="-2"/>
          <w:w w:val="95"/>
          <w:sz w:val="17"/>
        </w:rPr>
        <w:t>for</w:t>
      </w:r>
      <w:r>
        <w:rPr>
          <w:color w:val="231F20"/>
          <w:spacing w:val="-4"/>
          <w:w w:val="95"/>
          <w:sz w:val="17"/>
        </w:rPr>
        <w:t xml:space="preserve"> </w:t>
      </w:r>
      <w:r>
        <w:rPr>
          <w:color w:val="231F20"/>
          <w:spacing w:val="-2"/>
          <w:w w:val="95"/>
          <w:sz w:val="17"/>
        </w:rPr>
        <w:t>Sustainable</w:t>
      </w:r>
      <w:r>
        <w:rPr>
          <w:color w:val="231F20"/>
          <w:spacing w:val="-4"/>
          <w:w w:val="95"/>
          <w:sz w:val="17"/>
        </w:rPr>
        <w:t xml:space="preserve"> </w:t>
      </w:r>
      <w:r>
        <w:rPr>
          <w:color w:val="231F20"/>
          <w:spacing w:val="-2"/>
          <w:w w:val="95"/>
          <w:sz w:val="17"/>
        </w:rPr>
        <w:t>Development.</w:t>
      </w:r>
      <w:r>
        <w:rPr>
          <w:color w:val="231F20"/>
          <w:spacing w:val="40"/>
          <w:sz w:val="17"/>
        </w:rPr>
        <w:t xml:space="preserve"> </w:t>
      </w:r>
      <w:r>
        <w:rPr>
          <w:color w:val="231F20"/>
          <w:w w:val="95"/>
          <w:sz w:val="17"/>
        </w:rPr>
        <w:t>See https://sustainabledevelopment.un.org/post2015/transformingourworld (accessed</w:t>
      </w:r>
      <w:r>
        <w:rPr>
          <w:color w:val="231F20"/>
          <w:spacing w:val="40"/>
          <w:sz w:val="17"/>
        </w:rPr>
        <w:t xml:space="preserve"> </w:t>
      </w:r>
      <w:r>
        <w:rPr>
          <w:color w:val="231F20"/>
          <w:sz w:val="17"/>
        </w:rPr>
        <w:t>10 September 2011).</w:t>
      </w:r>
    </w:p>
    <w:p w14:paraId="6704D9FB" w14:textId="77777777" w:rsidR="00AE0598" w:rsidRDefault="0069255A">
      <w:pPr>
        <w:spacing w:before="2"/>
        <w:ind w:left="430" w:right="128" w:hanging="320"/>
        <w:jc w:val="both"/>
        <w:rPr>
          <w:sz w:val="17"/>
        </w:rPr>
      </w:pPr>
      <w:r>
        <w:rPr>
          <w:color w:val="231F20"/>
          <w:sz w:val="17"/>
        </w:rPr>
        <w:t xml:space="preserve">United Nations (2017) Sports and Human Rights. See </w:t>
      </w:r>
      <w:hyperlink r:id="rId64">
        <w:r>
          <w:rPr>
            <w:color w:val="231F20"/>
            <w:w w:val="102"/>
            <w:sz w:val="17"/>
          </w:rPr>
          <w:t>http</w:t>
        </w:r>
        <w:r>
          <w:rPr>
            <w:color w:val="231F20"/>
            <w:w w:val="109"/>
            <w:sz w:val="17"/>
          </w:rPr>
          <w:t>:</w:t>
        </w:r>
        <w:r>
          <w:rPr>
            <w:color w:val="231F20"/>
            <w:w w:val="64"/>
            <w:sz w:val="17"/>
          </w:rPr>
          <w:t>/</w:t>
        </w:r>
        <w:r>
          <w:rPr>
            <w:color w:val="231F20"/>
            <w:w w:val="88"/>
            <w:sz w:val="17"/>
          </w:rPr>
          <w:t>/w</w:t>
        </w:r>
        <w:r>
          <w:rPr>
            <w:color w:val="231F20"/>
            <w:w w:val="103"/>
            <w:sz w:val="17"/>
          </w:rPr>
          <w:t>ww</w:t>
        </w:r>
        <w:r>
          <w:rPr>
            <w:color w:val="231F20"/>
            <w:w w:val="108"/>
            <w:sz w:val="17"/>
          </w:rPr>
          <w:t>.ohc</w:t>
        </w:r>
        <w:r>
          <w:rPr>
            <w:color w:val="231F20"/>
            <w:w w:val="103"/>
            <w:sz w:val="17"/>
          </w:rPr>
          <w:t>h</w:t>
        </w:r>
        <w:r>
          <w:rPr>
            <w:color w:val="231F20"/>
            <w:w w:val="97"/>
            <w:sz w:val="17"/>
          </w:rPr>
          <w:t>r</w:t>
        </w:r>
        <w:r>
          <w:rPr>
            <w:color w:val="231F20"/>
            <w:w w:val="109"/>
            <w:sz w:val="17"/>
          </w:rPr>
          <w:t>.or</w:t>
        </w:r>
        <w:r>
          <w:rPr>
            <w:color w:val="231F20"/>
            <w:w w:val="103"/>
            <w:sz w:val="17"/>
          </w:rPr>
          <w:t>g</w:t>
        </w:r>
        <w:r>
          <w:rPr>
            <w:color w:val="231F20"/>
            <w:w w:val="64"/>
            <w:sz w:val="17"/>
          </w:rPr>
          <w:t>/</w:t>
        </w:r>
        <w:r>
          <w:rPr>
            <w:color w:val="231F20"/>
            <w:w w:val="108"/>
            <w:sz w:val="17"/>
          </w:rPr>
          <w:t>E</w:t>
        </w:r>
        <w:r>
          <w:rPr>
            <w:color w:val="231F20"/>
            <w:w w:val="124"/>
            <w:sz w:val="17"/>
          </w:rPr>
          <w:t>N</w:t>
        </w:r>
        <w:r>
          <w:rPr>
            <w:color w:val="231F20"/>
            <w:w w:val="64"/>
            <w:sz w:val="17"/>
          </w:rPr>
          <w:t>/</w:t>
        </w:r>
      </w:hyperlink>
      <w:r>
        <w:rPr>
          <w:color w:val="231F20"/>
          <w:spacing w:val="40"/>
          <w:sz w:val="17"/>
        </w:rPr>
        <w:t xml:space="preserve"> </w:t>
      </w:r>
      <w:r>
        <w:rPr>
          <w:color w:val="231F20"/>
          <w:spacing w:val="-1"/>
          <w:w w:val="117"/>
          <w:sz w:val="17"/>
        </w:rPr>
        <w:t>N</w:t>
      </w:r>
      <w:r>
        <w:rPr>
          <w:color w:val="231F20"/>
          <w:spacing w:val="-1"/>
          <w:w w:val="87"/>
          <w:sz w:val="17"/>
        </w:rPr>
        <w:t>e</w:t>
      </w:r>
      <w:r>
        <w:rPr>
          <w:color w:val="231F20"/>
          <w:spacing w:val="-2"/>
          <w:w w:val="93"/>
          <w:sz w:val="17"/>
        </w:rPr>
        <w:t>w</w:t>
      </w:r>
      <w:r>
        <w:rPr>
          <w:color w:val="231F20"/>
          <w:spacing w:val="1"/>
          <w:w w:val="93"/>
          <w:sz w:val="17"/>
        </w:rPr>
        <w:t>s</w:t>
      </w:r>
      <w:r>
        <w:rPr>
          <w:color w:val="231F20"/>
          <w:spacing w:val="-5"/>
          <w:w w:val="101"/>
          <w:sz w:val="17"/>
        </w:rPr>
        <w:t>E</w:t>
      </w:r>
      <w:r>
        <w:rPr>
          <w:color w:val="231F20"/>
          <w:spacing w:val="-4"/>
          <w:w w:val="95"/>
          <w:sz w:val="17"/>
        </w:rPr>
        <w:t>v</w:t>
      </w:r>
      <w:r>
        <w:rPr>
          <w:color w:val="231F20"/>
          <w:w w:val="87"/>
          <w:sz w:val="17"/>
        </w:rPr>
        <w:t>e</w:t>
      </w:r>
      <w:r>
        <w:rPr>
          <w:color w:val="231F20"/>
          <w:spacing w:val="-2"/>
          <w:w w:val="95"/>
          <w:sz w:val="17"/>
        </w:rPr>
        <w:t>n</w:t>
      </w:r>
      <w:r>
        <w:rPr>
          <w:color w:val="231F20"/>
          <w:w w:val="95"/>
          <w:sz w:val="17"/>
        </w:rPr>
        <w:t>t</w:t>
      </w:r>
      <w:r>
        <w:rPr>
          <w:color w:val="231F20"/>
          <w:spacing w:val="3"/>
          <w:w w:val="87"/>
          <w:sz w:val="17"/>
        </w:rPr>
        <w:t>s</w:t>
      </w:r>
      <w:r>
        <w:rPr>
          <w:color w:val="231F20"/>
          <w:spacing w:val="6"/>
          <w:w w:val="57"/>
          <w:sz w:val="17"/>
        </w:rPr>
        <w:t>/</w:t>
      </w:r>
      <w:r>
        <w:rPr>
          <w:color w:val="231F20"/>
          <w:spacing w:val="-4"/>
          <w:w w:val="93"/>
          <w:sz w:val="17"/>
        </w:rPr>
        <w:t>P</w:t>
      </w:r>
      <w:r>
        <w:rPr>
          <w:color w:val="231F20"/>
          <w:spacing w:val="-2"/>
          <w:w w:val="97"/>
          <w:sz w:val="17"/>
        </w:rPr>
        <w:t>a</w:t>
      </w:r>
      <w:r>
        <w:rPr>
          <w:color w:val="231F20"/>
          <w:w w:val="97"/>
          <w:sz w:val="17"/>
        </w:rPr>
        <w:t>g</w:t>
      </w:r>
      <w:r>
        <w:rPr>
          <w:color w:val="231F20"/>
          <w:spacing w:val="1"/>
          <w:w w:val="87"/>
          <w:sz w:val="17"/>
        </w:rPr>
        <w:t>e</w:t>
      </w:r>
      <w:r>
        <w:rPr>
          <w:color w:val="231F20"/>
          <w:spacing w:val="3"/>
          <w:w w:val="87"/>
          <w:sz w:val="17"/>
        </w:rPr>
        <w:t>s</w:t>
      </w:r>
      <w:r>
        <w:rPr>
          <w:color w:val="231F20"/>
          <w:w w:val="57"/>
          <w:sz w:val="17"/>
        </w:rPr>
        <w:t>/</w:t>
      </w:r>
      <w:r>
        <w:rPr>
          <w:color w:val="231F20"/>
          <w:w w:val="96"/>
          <w:sz w:val="17"/>
        </w:rPr>
        <w:t>S</w:t>
      </w:r>
      <w:r>
        <w:rPr>
          <w:color w:val="231F20"/>
          <w:w w:val="95"/>
          <w:sz w:val="17"/>
        </w:rPr>
        <w:t>p</w:t>
      </w:r>
      <w:r>
        <w:rPr>
          <w:color w:val="231F20"/>
          <w:spacing w:val="-3"/>
          <w:sz w:val="17"/>
        </w:rPr>
        <w:t>o</w:t>
      </w:r>
      <w:r>
        <w:rPr>
          <w:color w:val="231F20"/>
          <w:spacing w:val="3"/>
          <w:w w:val="90"/>
          <w:sz w:val="17"/>
        </w:rPr>
        <w:t>r</w:t>
      </w:r>
      <w:r>
        <w:rPr>
          <w:color w:val="231F20"/>
          <w:w w:val="95"/>
          <w:sz w:val="17"/>
        </w:rPr>
        <w:t>t</w:t>
      </w:r>
      <w:r>
        <w:rPr>
          <w:color w:val="231F20"/>
          <w:spacing w:val="-1"/>
          <w:w w:val="87"/>
          <w:sz w:val="17"/>
        </w:rPr>
        <w:t>s</w:t>
      </w:r>
      <w:r>
        <w:rPr>
          <w:color w:val="231F20"/>
          <w:spacing w:val="1"/>
          <w:w w:val="98"/>
          <w:sz w:val="17"/>
        </w:rPr>
        <w:t>a</w:t>
      </w:r>
      <w:r>
        <w:rPr>
          <w:color w:val="231F20"/>
          <w:spacing w:val="-1"/>
          <w:w w:val="95"/>
          <w:sz w:val="17"/>
        </w:rPr>
        <w:t>n</w:t>
      </w:r>
      <w:r>
        <w:rPr>
          <w:color w:val="231F20"/>
          <w:spacing w:val="4"/>
          <w:w w:val="95"/>
          <w:sz w:val="17"/>
        </w:rPr>
        <w:t>d</w:t>
      </w:r>
      <w:r>
        <w:rPr>
          <w:color w:val="231F20"/>
          <w:spacing w:val="-1"/>
          <w:w w:val="116"/>
          <w:sz w:val="17"/>
        </w:rPr>
        <w:t>H</w:t>
      </w:r>
      <w:r>
        <w:rPr>
          <w:color w:val="231F20"/>
          <w:spacing w:val="1"/>
          <w:w w:val="96"/>
          <w:sz w:val="17"/>
        </w:rPr>
        <w:t>u</w:t>
      </w:r>
      <w:r>
        <w:rPr>
          <w:color w:val="231F20"/>
          <w:w w:val="96"/>
          <w:sz w:val="17"/>
        </w:rPr>
        <w:t>m</w:t>
      </w:r>
      <w:r>
        <w:rPr>
          <w:color w:val="231F20"/>
          <w:spacing w:val="1"/>
          <w:w w:val="98"/>
          <w:sz w:val="17"/>
        </w:rPr>
        <w:t>a</w:t>
      </w:r>
      <w:r>
        <w:rPr>
          <w:color w:val="231F20"/>
          <w:spacing w:val="3"/>
          <w:w w:val="95"/>
          <w:sz w:val="17"/>
        </w:rPr>
        <w:t>n</w:t>
      </w:r>
      <w:r>
        <w:rPr>
          <w:color w:val="231F20"/>
          <w:spacing w:val="3"/>
          <w:w w:val="112"/>
          <w:sz w:val="17"/>
        </w:rPr>
        <w:t>R</w:t>
      </w:r>
      <w:r>
        <w:rPr>
          <w:color w:val="231F20"/>
          <w:spacing w:val="-2"/>
          <w:w w:val="97"/>
          <w:sz w:val="17"/>
        </w:rPr>
        <w:t>i</w:t>
      </w:r>
      <w:r>
        <w:rPr>
          <w:color w:val="231F20"/>
          <w:spacing w:val="4"/>
          <w:w w:val="97"/>
          <w:sz w:val="17"/>
        </w:rPr>
        <w:t>g</w:t>
      </w:r>
      <w:r>
        <w:rPr>
          <w:color w:val="231F20"/>
          <w:spacing w:val="-2"/>
          <w:w w:val="95"/>
          <w:sz w:val="17"/>
        </w:rPr>
        <w:t>h</w:t>
      </w:r>
      <w:r>
        <w:rPr>
          <w:color w:val="231F20"/>
          <w:w w:val="95"/>
          <w:sz w:val="17"/>
        </w:rPr>
        <w:t>t</w:t>
      </w:r>
      <w:r>
        <w:rPr>
          <w:color w:val="231F20"/>
          <w:spacing w:val="1"/>
          <w:w w:val="87"/>
          <w:sz w:val="17"/>
        </w:rPr>
        <w:t>s</w:t>
      </w:r>
      <w:r>
        <w:rPr>
          <w:color w:val="231F20"/>
          <w:spacing w:val="1"/>
          <w:w w:val="132"/>
          <w:sz w:val="17"/>
        </w:rPr>
        <w:t>.</w:t>
      </w:r>
      <w:r>
        <w:rPr>
          <w:color w:val="231F20"/>
          <w:w w:val="98"/>
          <w:sz w:val="17"/>
        </w:rPr>
        <w:t>a</w:t>
      </w:r>
      <w:r>
        <w:rPr>
          <w:color w:val="231F20"/>
          <w:spacing w:val="-2"/>
          <w:w w:val="87"/>
          <w:sz w:val="17"/>
        </w:rPr>
        <w:t>s</w:t>
      </w:r>
      <w:r>
        <w:rPr>
          <w:color w:val="231F20"/>
          <w:spacing w:val="-5"/>
          <w:w w:val="95"/>
          <w:sz w:val="17"/>
        </w:rPr>
        <w:t>p</w:t>
      </w:r>
      <w:r>
        <w:rPr>
          <w:color w:val="231F20"/>
          <w:spacing w:val="-2"/>
          <w:w w:val="109"/>
          <w:sz w:val="17"/>
        </w:rPr>
        <w:t>x</w:t>
      </w:r>
      <w:r>
        <w:rPr>
          <w:color w:val="231F20"/>
          <w:spacing w:val="-1"/>
          <w:w w:val="94"/>
          <w:sz w:val="17"/>
        </w:rPr>
        <w:t xml:space="preserve"> </w:t>
      </w:r>
      <w:r>
        <w:rPr>
          <w:color w:val="231F20"/>
          <w:w w:val="95"/>
          <w:sz w:val="17"/>
        </w:rPr>
        <w:t>(accessed 9 September 2017).</w:t>
      </w:r>
    </w:p>
    <w:p w14:paraId="402B6C8B" w14:textId="77777777" w:rsidR="00AE0598" w:rsidRDefault="0069255A">
      <w:pPr>
        <w:spacing w:before="1"/>
        <w:ind w:left="430" w:right="128" w:hanging="320"/>
        <w:jc w:val="both"/>
        <w:rPr>
          <w:sz w:val="17"/>
        </w:rPr>
      </w:pPr>
      <w:r>
        <w:rPr>
          <w:color w:val="231F20"/>
          <w:sz w:val="17"/>
        </w:rPr>
        <w:t>United States Golf Association (USGA) (2014) Is your course environmentally and</w:t>
      </w:r>
      <w:r>
        <w:rPr>
          <w:color w:val="231F20"/>
          <w:spacing w:val="40"/>
          <w:sz w:val="17"/>
        </w:rPr>
        <w:t xml:space="preserve"> </w:t>
      </w:r>
      <w:r>
        <w:rPr>
          <w:color w:val="231F20"/>
          <w:w w:val="95"/>
          <w:sz w:val="17"/>
        </w:rPr>
        <w:t xml:space="preserve">economically sound? See </w:t>
      </w:r>
      <w:hyperlink r:id="rId65">
        <w:r>
          <w:rPr>
            <w:color w:val="231F20"/>
            <w:spacing w:val="-3"/>
            <w:w w:val="96"/>
            <w:sz w:val="17"/>
          </w:rPr>
          <w:t>h</w:t>
        </w:r>
        <w:r>
          <w:rPr>
            <w:color w:val="231F20"/>
            <w:spacing w:val="2"/>
            <w:w w:val="96"/>
            <w:sz w:val="17"/>
          </w:rPr>
          <w:t>tt</w:t>
        </w:r>
        <w:r>
          <w:rPr>
            <w:color w:val="231F20"/>
            <w:spacing w:val="-3"/>
            <w:w w:val="96"/>
            <w:sz w:val="17"/>
          </w:rPr>
          <w:t>p</w:t>
        </w:r>
        <w:r>
          <w:rPr>
            <w:color w:val="231F20"/>
            <w:spacing w:val="3"/>
            <w:w w:val="103"/>
            <w:sz w:val="17"/>
          </w:rPr>
          <w:t>:</w:t>
        </w:r>
        <w:r>
          <w:rPr>
            <w:color w:val="231F20"/>
            <w:spacing w:val="-5"/>
            <w:w w:val="58"/>
            <w:sz w:val="17"/>
          </w:rPr>
          <w:t>/</w:t>
        </w:r>
        <w:r>
          <w:rPr>
            <w:color w:val="231F20"/>
            <w:spacing w:val="-3"/>
            <w:w w:val="82"/>
            <w:sz w:val="17"/>
          </w:rPr>
          <w:t>/</w:t>
        </w:r>
        <w:r>
          <w:rPr>
            <w:color w:val="231F20"/>
            <w:spacing w:val="2"/>
            <w:w w:val="82"/>
            <w:sz w:val="17"/>
          </w:rPr>
          <w:t>w</w:t>
        </w:r>
        <w:r>
          <w:rPr>
            <w:color w:val="231F20"/>
            <w:spacing w:val="2"/>
            <w:w w:val="97"/>
            <w:sz w:val="17"/>
          </w:rPr>
          <w:t>w</w:t>
        </w:r>
        <w:r>
          <w:rPr>
            <w:color w:val="231F20"/>
            <w:spacing w:val="-10"/>
            <w:w w:val="97"/>
            <w:sz w:val="17"/>
          </w:rPr>
          <w:t>w</w:t>
        </w:r>
        <w:r>
          <w:rPr>
            <w:color w:val="231F20"/>
            <w:spacing w:val="-3"/>
            <w:w w:val="106"/>
            <w:sz w:val="17"/>
          </w:rPr>
          <w:t>.</w:t>
        </w:r>
        <w:r>
          <w:rPr>
            <w:color w:val="231F20"/>
            <w:w w:val="106"/>
            <w:sz w:val="17"/>
          </w:rPr>
          <w:t>u</w:t>
        </w:r>
        <w:r>
          <w:rPr>
            <w:color w:val="231F20"/>
            <w:spacing w:val="-2"/>
            <w:w w:val="88"/>
            <w:sz w:val="17"/>
          </w:rPr>
          <w:t>s</w:t>
        </w:r>
        <w:r>
          <w:rPr>
            <w:color w:val="231F20"/>
            <w:w w:val="97"/>
            <w:sz w:val="17"/>
          </w:rPr>
          <w:t>g</w:t>
        </w:r>
        <w:r>
          <w:rPr>
            <w:color w:val="231F20"/>
            <w:w w:val="99"/>
            <w:sz w:val="17"/>
          </w:rPr>
          <w:t>a</w:t>
        </w:r>
        <w:r>
          <w:rPr>
            <w:color w:val="231F20"/>
            <w:spacing w:val="-2"/>
            <w:w w:val="133"/>
            <w:sz w:val="17"/>
          </w:rPr>
          <w:t>.</w:t>
        </w:r>
        <w:r>
          <w:rPr>
            <w:color w:val="231F20"/>
            <w:spacing w:val="-3"/>
            <w:w w:val="96"/>
            <w:sz w:val="17"/>
          </w:rPr>
          <w:t>o</w:t>
        </w:r>
        <w:r>
          <w:rPr>
            <w:color w:val="231F20"/>
            <w:spacing w:val="-1"/>
            <w:w w:val="96"/>
            <w:sz w:val="17"/>
          </w:rPr>
          <w:t>r</w:t>
        </w:r>
        <w:r>
          <w:rPr>
            <w:color w:val="231F20"/>
            <w:spacing w:val="8"/>
            <w:w w:val="97"/>
            <w:sz w:val="17"/>
          </w:rPr>
          <w:t>g</w:t>
        </w:r>
        <w:r>
          <w:rPr>
            <w:color w:val="231F20"/>
            <w:spacing w:val="-7"/>
            <w:w w:val="58"/>
            <w:sz w:val="17"/>
          </w:rPr>
          <w:t>/</w:t>
        </w:r>
        <w:r>
          <w:rPr>
            <w:color w:val="231F20"/>
            <w:spacing w:val="-1"/>
            <w:w w:val="97"/>
            <w:sz w:val="17"/>
          </w:rPr>
          <w:t>c</w:t>
        </w:r>
        <w:r>
          <w:rPr>
            <w:color w:val="231F20"/>
            <w:spacing w:val="-2"/>
            <w:w w:val="101"/>
            <w:sz w:val="17"/>
          </w:rPr>
          <w:t>o</w:t>
        </w:r>
        <w:r>
          <w:rPr>
            <w:color w:val="231F20"/>
            <w:spacing w:val="1"/>
            <w:w w:val="97"/>
            <w:sz w:val="17"/>
          </w:rPr>
          <w:t>u</w:t>
        </w:r>
        <w:r>
          <w:rPr>
            <w:color w:val="231F20"/>
            <w:w w:val="91"/>
            <w:sz w:val="17"/>
          </w:rPr>
          <w:t>r</w:t>
        </w:r>
        <w:r>
          <w:rPr>
            <w:color w:val="231F20"/>
            <w:w w:val="88"/>
            <w:sz w:val="17"/>
          </w:rPr>
          <w:t>s</w:t>
        </w:r>
        <w:r>
          <w:rPr>
            <w:color w:val="231F20"/>
            <w:spacing w:val="3"/>
            <w:w w:val="88"/>
            <w:sz w:val="17"/>
          </w:rPr>
          <w:t>e</w:t>
        </w:r>
        <w:r>
          <w:rPr>
            <w:color w:val="231F20"/>
            <w:spacing w:val="3"/>
            <w:w w:val="98"/>
            <w:sz w:val="17"/>
          </w:rPr>
          <w:t>-</w:t>
        </w:r>
        <w:r>
          <w:rPr>
            <w:color w:val="231F20"/>
            <w:w w:val="95"/>
            <w:sz w:val="17"/>
          </w:rPr>
          <w:t>care/usga-sustainability.html</w:t>
        </w:r>
      </w:hyperlink>
      <w:r>
        <w:rPr>
          <w:color w:val="231F20"/>
          <w:spacing w:val="40"/>
          <w:sz w:val="17"/>
        </w:rPr>
        <w:t xml:space="preserve"> </w:t>
      </w:r>
      <w:r>
        <w:rPr>
          <w:color w:val="231F20"/>
          <w:sz w:val="17"/>
        </w:rPr>
        <w:t>(accessed 23 February 2017).</w:t>
      </w:r>
    </w:p>
    <w:p w14:paraId="5CEFDBB9" w14:textId="77777777" w:rsidR="00AE0598" w:rsidRDefault="0069255A">
      <w:pPr>
        <w:spacing w:before="2"/>
        <w:ind w:left="110"/>
        <w:jc w:val="both"/>
        <w:rPr>
          <w:sz w:val="17"/>
        </w:rPr>
      </w:pPr>
      <w:r>
        <w:rPr>
          <w:color w:val="231F20"/>
          <w:sz w:val="17"/>
        </w:rPr>
        <w:t>Unruh,</w:t>
      </w:r>
      <w:r>
        <w:rPr>
          <w:color w:val="231F20"/>
          <w:spacing w:val="1"/>
          <w:sz w:val="17"/>
        </w:rPr>
        <w:t xml:space="preserve"> </w:t>
      </w:r>
      <w:r>
        <w:rPr>
          <w:color w:val="231F20"/>
          <w:sz w:val="17"/>
        </w:rPr>
        <w:t>D.</w:t>
      </w:r>
      <w:r>
        <w:rPr>
          <w:color w:val="231F20"/>
          <w:spacing w:val="1"/>
          <w:sz w:val="17"/>
        </w:rPr>
        <w:t xml:space="preserve"> </w:t>
      </w:r>
      <w:r>
        <w:rPr>
          <w:color w:val="231F20"/>
          <w:sz w:val="17"/>
        </w:rPr>
        <w:t>(1980)</w:t>
      </w:r>
      <w:r>
        <w:rPr>
          <w:color w:val="231F20"/>
          <w:spacing w:val="1"/>
          <w:sz w:val="17"/>
        </w:rPr>
        <w:t xml:space="preserve"> </w:t>
      </w:r>
      <w:r>
        <w:rPr>
          <w:color w:val="231F20"/>
          <w:sz w:val="17"/>
        </w:rPr>
        <w:t>The</w:t>
      </w:r>
      <w:r>
        <w:rPr>
          <w:color w:val="231F20"/>
          <w:spacing w:val="1"/>
          <w:sz w:val="17"/>
        </w:rPr>
        <w:t xml:space="preserve"> </w:t>
      </w:r>
      <w:r>
        <w:rPr>
          <w:color w:val="231F20"/>
          <w:sz w:val="17"/>
        </w:rPr>
        <w:t>nature</w:t>
      </w:r>
      <w:r>
        <w:rPr>
          <w:color w:val="231F20"/>
          <w:spacing w:val="1"/>
          <w:sz w:val="17"/>
        </w:rPr>
        <w:t xml:space="preserve"> </w:t>
      </w:r>
      <w:r>
        <w:rPr>
          <w:color w:val="231F20"/>
          <w:sz w:val="17"/>
        </w:rPr>
        <w:t>of</w:t>
      </w:r>
      <w:r>
        <w:rPr>
          <w:color w:val="231F20"/>
          <w:spacing w:val="1"/>
          <w:sz w:val="17"/>
        </w:rPr>
        <w:t xml:space="preserve"> </w:t>
      </w:r>
      <w:r>
        <w:rPr>
          <w:color w:val="231F20"/>
          <w:sz w:val="17"/>
        </w:rPr>
        <w:t>social</w:t>
      </w:r>
      <w:r>
        <w:rPr>
          <w:color w:val="231F20"/>
          <w:spacing w:val="1"/>
          <w:sz w:val="17"/>
        </w:rPr>
        <w:t xml:space="preserve"> </w:t>
      </w:r>
      <w:r>
        <w:rPr>
          <w:color w:val="231F20"/>
          <w:sz w:val="17"/>
        </w:rPr>
        <w:t>worlds.</w:t>
      </w:r>
      <w:r>
        <w:rPr>
          <w:color w:val="231F20"/>
          <w:spacing w:val="1"/>
          <w:sz w:val="17"/>
        </w:rPr>
        <w:t xml:space="preserve"> </w:t>
      </w:r>
      <w:r>
        <w:rPr>
          <w:i/>
          <w:color w:val="231F20"/>
          <w:sz w:val="17"/>
        </w:rPr>
        <w:t>Pacific</w:t>
      </w:r>
      <w:r>
        <w:rPr>
          <w:i/>
          <w:color w:val="231F20"/>
          <w:spacing w:val="1"/>
          <w:sz w:val="17"/>
        </w:rPr>
        <w:t xml:space="preserve"> </w:t>
      </w:r>
      <w:r>
        <w:rPr>
          <w:i/>
          <w:color w:val="231F20"/>
          <w:sz w:val="17"/>
        </w:rPr>
        <w:t>Sociological</w:t>
      </w:r>
      <w:r>
        <w:rPr>
          <w:i/>
          <w:color w:val="231F20"/>
          <w:spacing w:val="1"/>
          <w:sz w:val="17"/>
        </w:rPr>
        <w:t xml:space="preserve"> </w:t>
      </w:r>
      <w:r>
        <w:rPr>
          <w:i/>
          <w:color w:val="231F20"/>
          <w:sz w:val="17"/>
        </w:rPr>
        <w:t>Review</w:t>
      </w:r>
      <w:r>
        <w:rPr>
          <w:i/>
          <w:color w:val="231F20"/>
          <w:spacing w:val="1"/>
          <w:sz w:val="17"/>
        </w:rPr>
        <w:t xml:space="preserve"> </w:t>
      </w:r>
      <w:r>
        <w:rPr>
          <w:color w:val="231F20"/>
          <w:sz w:val="17"/>
        </w:rPr>
        <w:t>23,</w:t>
      </w:r>
      <w:r>
        <w:rPr>
          <w:color w:val="231F20"/>
          <w:spacing w:val="1"/>
          <w:sz w:val="17"/>
        </w:rPr>
        <w:t xml:space="preserve"> </w:t>
      </w:r>
      <w:r>
        <w:rPr>
          <w:color w:val="231F20"/>
          <w:spacing w:val="-2"/>
          <w:sz w:val="17"/>
        </w:rPr>
        <w:t>271–296.</w:t>
      </w:r>
    </w:p>
    <w:p w14:paraId="78CD3021" w14:textId="77777777" w:rsidR="00AE0598" w:rsidRDefault="0069255A">
      <w:pPr>
        <w:spacing w:before="1"/>
        <w:ind w:left="430" w:right="127" w:hanging="320"/>
        <w:jc w:val="both"/>
        <w:rPr>
          <w:sz w:val="17"/>
        </w:rPr>
      </w:pPr>
      <w:r>
        <w:rPr>
          <w:color w:val="231F20"/>
          <w:sz w:val="17"/>
        </w:rPr>
        <w:t>Upneja, A., Schafer, E.L., Seo, W. and Yoon, J. (2001) Economic benefit of sport fishing and</w:t>
      </w:r>
      <w:r>
        <w:rPr>
          <w:color w:val="231F20"/>
          <w:spacing w:val="40"/>
          <w:sz w:val="17"/>
        </w:rPr>
        <w:t xml:space="preserve"> </w:t>
      </w:r>
      <w:r>
        <w:rPr>
          <w:color w:val="231F20"/>
          <w:sz w:val="17"/>
        </w:rPr>
        <w:t>angler wildlife w</w:t>
      </w:r>
      <w:r>
        <w:rPr>
          <w:color w:val="231F20"/>
          <w:sz w:val="17"/>
        </w:rPr>
        <w:t xml:space="preserve">atching in Pennysylvania. </w:t>
      </w:r>
      <w:r>
        <w:rPr>
          <w:i/>
          <w:color w:val="231F20"/>
          <w:sz w:val="17"/>
        </w:rPr>
        <w:t xml:space="preserve">Journal of Travel Research </w:t>
      </w:r>
      <w:r>
        <w:rPr>
          <w:color w:val="231F20"/>
          <w:sz w:val="17"/>
        </w:rPr>
        <w:t>40 (1), 68–78.</w:t>
      </w:r>
    </w:p>
    <w:p w14:paraId="72BC5FB7" w14:textId="77777777" w:rsidR="00AE0598" w:rsidRDefault="00AE0598">
      <w:pPr>
        <w:jc w:val="both"/>
        <w:rPr>
          <w:sz w:val="17"/>
        </w:rPr>
        <w:sectPr w:rsidR="00AE0598">
          <w:pgSz w:w="8850" w:h="13270"/>
          <w:pgMar w:top="720" w:right="1060" w:bottom="280" w:left="1080" w:header="720" w:footer="720" w:gutter="0"/>
          <w:cols w:space="720"/>
        </w:sectPr>
      </w:pPr>
    </w:p>
    <w:p w14:paraId="3FB0E7E4" w14:textId="77777777" w:rsidR="00AE0598" w:rsidRDefault="0069255A">
      <w:pPr>
        <w:spacing w:before="87"/>
        <w:ind w:left="110" w:right="128"/>
        <w:jc w:val="right"/>
        <w:rPr>
          <w:rFonts w:ascii="Trebuchet MS"/>
          <w:sz w:val="14"/>
        </w:rPr>
      </w:pPr>
      <w:r>
        <w:rPr>
          <w:rFonts w:ascii="Trebuchet MS"/>
          <w:color w:val="231F20"/>
          <w:w w:val="105"/>
          <w:sz w:val="14"/>
        </w:rPr>
        <w:lastRenderedPageBreak/>
        <w:t>References</w:t>
      </w:r>
      <w:r>
        <w:rPr>
          <w:rFonts w:ascii="Trebuchet MS"/>
          <w:color w:val="231F20"/>
          <w:spacing w:val="67"/>
          <w:w w:val="105"/>
          <w:sz w:val="14"/>
        </w:rPr>
        <w:t xml:space="preserve"> </w:t>
      </w:r>
      <w:r>
        <w:rPr>
          <w:rFonts w:ascii="Trebuchet MS"/>
          <w:color w:val="231F20"/>
          <w:spacing w:val="-5"/>
          <w:w w:val="105"/>
          <w:sz w:val="14"/>
        </w:rPr>
        <w:t>277</w:t>
      </w:r>
    </w:p>
    <w:p w14:paraId="00BCEBC6" w14:textId="77777777" w:rsidR="00AE0598" w:rsidRDefault="00AE0598">
      <w:pPr>
        <w:pStyle w:val="Corpodetexto"/>
        <w:rPr>
          <w:rFonts w:ascii="Trebuchet MS"/>
          <w:sz w:val="16"/>
        </w:rPr>
      </w:pPr>
    </w:p>
    <w:p w14:paraId="6AADCB84" w14:textId="77777777" w:rsidR="00AE0598" w:rsidRDefault="0069255A">
      <w:pPr>
        <w:spacing w:before="121"/>
        <w:ind w:left="110"/>
        <w:jc w:val="both"/>
        <w:rPr>
          <w:i/>
          <w:sz w:val="17"/>
        </w:rPr>
      </w:pPr>
      <w:r>
        <w:rPr>
          <w:color w:val="231F20"/>
          <w:w w:val="95"/>
          <w:sz w:val="17"/>
        </w:rPr>
        <w:t>Uriely,</w:t>
      </w:r>
      <w:r>
        <w:rPr>
          <w:color w:val="231F20"/>
          <w:spacing w:val="8"/>
          <w:sz w:val="17"/>
        </w:rPr>
        <w:t xml:space="preserve"> </w:t>
      </w:r>
      <w:r>
        <w:rPr>
          <w:color w:val="231F20"/>
          <w:w w:val="95"/>
          <w:sz w:val="17"/>
        </w:rPr>
        <w:t>N.</w:t>
      </w:r>
      <w:r>
        <w:rPr>
          <w:color w:val="231F20"/>
          <w:spacing w:val="9"/>
          <w:sz w:val="17"/>
        </w:rPr>
        <w:t xml:space="preserve"> </w:t>
      </w:r>
      <w:r>
        <w:rPr>
          <w:color w:val="231F20"/>
          <w:w w:val="95"/>
          <w:sz w:val="17"/>
        </w:rPr>
        <w:t>(1997)</w:t>
      </w:r>
      <w:r>
        <w:rPr>
          <w:color w:val="231F20"/>
          <w:spacing w:val="9"/>
          <w:sz w:val="17"/>
        </w:rPr>
        <w:t xml:space="preserve"> </w:t>
      </w:r>
      <w:r>
        <w:rPr>
          <w:color w:val="231F20"/>
          <w:w w:val="95"/>
          <w:sz w:val="17"/>
        </w:rPr>
        <w:t>Theories</w:t>
      </w:r>
      <w:r>
        <w:rPr>
          <w:color w:val="231F20"/>
          <w:spacing w:val="9"/>
          <w:sz w:val="17"/>
        </w:rPr>
        <w:t xml:space="preserve"> </w:t>
      </w:r>
      <w:r>
        <w:rPr>
          <w:color w:val="231F20"/>
          <w:w w:val="95"/>
          <w:sz w:val="17"/>
        </w:rPr>
        <w:t>of</w:t>
      </w:r>
      <w:r>
        <w:rPr>
          <w:color w:val="231F20"/>
          <w:spacing w:val="9"/>
          <w:sz w:val="17"/>
        </w:rPr>
        <w:t xml:space="preserve"> </w:t>
      </w:r>
      <w:r>
        <w:rPr>
          <w:color w:val="231F20"/>
          <w:w w:val="95"/>
          <w:sz w:val="17"/>
        </w:rPr>
        <w:t>modern</w:t>
      </w:r>
      <w:r>
        <w:rPr>
          <w:color w:val="231F20"/>
          <w:spacing w:val="9"/>
          <w:sz w:val="17"/>
        </w:rPr>
        <w:t xml:space="preserve"> </w:t>
      </w:r>
      <w:r>
        <w:rPr>
          <w:color w:val="231F20"/>
          <w:w w:val="95"/>
          <w:sz w:val="17"/>
        </w:rPr>
        <w:t>and</w:t>
      </w:r>
      <w:r>
        <w:rPr>
          <w:color w:val="231F20"/>
          <w:spacing w:val="9"/>
          <w:sz w:val="17"/>
        </w:rPr>
        <w:t xml:space="preserve"> </w:t>
      </w:r>
      <w:r>
        <w:rPr>
          <w:color w:val="231F20"/>
          <w:w w:val="95"/>
          <w:sz w:val="17"/>
        </w:rPr>
        <w:t>postmodern</w:t>
      </w:r>
      <w:r>
        <w:rPr>
          <w:color w:val="231F20"/>
          <w:spacing w:val="9"/>
          <w:sz w:val="17"/>
        </w:rPr>
        <w:t xml:space="preserve"> </w:t>
      </w:r>
      <w:r>
        <w:rPr>
          <w:color w:val="231F20"/>
          <w:w w:val="95"/>
          <w:sz w:val="17"/>
        </w:rPr>
        <w:t>tourism.</w:t>
      </w:r>
      <w:r>
        <w:rPr>
          <w:color w:val="231F20"/>
          <w:spacing w:val="9"/>
          <w:sz w:val="17"/>
        </w:rPr>
        <w:t xml:space="preserve"> </w:t>
      </w:r>
      <w:r>
        <w:rPr>
          <w:i/>
          <w:color w:val="231F20"/>
          <w:w w:val="95"/>
          <w:sz w:val="17"/>
        </w:rPr>
        <w:t>Annals</w:t>
      </w:r>
      <w:r>
        <w:rPr>
          <w:i/>
          <w:color w:val="231F20"/>
          <w:spacing w:val="9"/>
          <w:sz w:val="17"/>
        </w:rPr>
        <w:t xml:space="preserve"> </w:t>
      </w:r>
      <w:r>
        <w:rPr>
          <w:i/>
          <w:color w:val="231F20"/>
          <w:w w:val="95"/>
          <w:sz w:val="17"/>
        </w:rPr>
        <w:t>of</w:t>
      </w:r>
      <w:r>
        <w:rPr>
          <w:i/>
          <w:color w:val="231F20"/>
          <w:spacing w:val="9"/>
          <w:sz w:val="17"/>
        </w:rPr>
        <w:t xml:space="preserve"> </w:t>
      </w:r>
      <w:r>
        <w:rPr>
          <w:i/>
          <w:color w:val="231F20"/>
          <w:w w:val="95"/>
          <w:sz w:val="17"/>
        </w:rPr>
        <w:t>Tourism</w:t>
      </w:r>
      <w:r>
        <w:rPr>
          <w:i/>
          <w:color w:val="231F20"/>
          <w:spacing w:val="9"/>
          <w:sz w:val="17"/>
        </w:rPr>
        <w:t xml:space="preserve"> </w:t>
      </w:r>
      <w:r>
        <w:rPr>
          <w:i/>
          <w:color w:val="231F20"/>
          <w:spacing w:val="-2"/>
          <w:w w:val="95"/>
          <w:sz w:val="17"/>
        </w:rPr>
        <w:t>Research</w:t>
      </w:r>
    </w:p>
    <w:p w14:paraId="286576D3" w14:textId="77777777" w:rsidR="00AE0598" w:rsidRDefault="0069255A">
      <w:pPr>
        <w:ind w:left="430"/>
        <w:jc w:val="both"/>
        <w:rPr>
          <w:sz w:val="17"/>
        </w:rPr>
      </w:pPr>
      <w:r>
        <w:rPr>
          <w:color w:val="231F20"/>
          <w:w w:val="90"/>
          <w:sz w:val="17"/>
        </w:rPr>
        <w:t>24</w:t>
      </w:r>
      <w:r>
        <w:rPr>
          <w:color w:val="231F20"/>
          <w:spacing w:val="-1"/>
          <w:sz w:val="17"/>
        </w:rPr>
        <w:t xml:space="preserve"> </w:t>
      </w:r>
      <w:r>
        <w:rPr>
          <w:color w:val="231F20"/>
          <w:w w:val="90"/>
          <w:sz w:val="17"/>
        </w:rPr>
        <w:t>(4),</w:t>
      </w:r>
      <w:r>
        <w:rPr>
          <w:color w:val="231F20"/>
          <w:sz w:val="17"/>
        </w:rPr>
        <w:t xml:space="preserve"> </w:t>
      </w:r>
      <w:r>
        <w:rPr>
          <w:color w:val="231F20"/>
          <w:spacing w:val="-2"/>
          <w:w w:val="90"/>
          <w:sz w:val="17"/>
        </w:rPr>
        <w:t>982–985.</w:t>
      </w:r>
    </w:p>
    <w:p w14:paraId="578C42DC" w14:textId="77777777" w:rsidR="00AE0598" w:rsidRDefault="0069255A">
      <w:pPr>
        <w:spacing w:before="1"/>
        <w:ind w:left="430" w:right="128" w:hanging="320"/>
        <w:jc w:val="both"/>
        <w:rPr>
          <w:sz w:val="17"/>
        </w:rPr>
      </w:pPr>
      <w:r>
        <w:rPr>
          <w:color w:val="231F20"/>
          <w:sz w:val="17"/>
        </w:rPr>
        <w:t xml:space="preserve">Urry, </w:t>
      </w:r>
      <w:r>
        <w:rPr>
          <w:color w:val="231F20"/>
          <w:w w:val="105"/>
          <w:sz w:val="17"/>
        </w:rPr>
        <w:t xml:space="preserve">J. </w:t>
      </w:r>
      <w:r>
        <w:rPr>
          <w:color w:val="231F20"/>
          <w:sz w:val="17"/>
        </w:rPr>
        <w:t xml:space="preserve">(1990) </w:t>
      </w:r>
      <w:r>
        <w:rPr>
          <w:i/>
          <w:color w:val="231F20"/>
          <w:sz w:val="17"/>
        </w:rPr>
        <w:t>The Tourist Gaze: Leisure and Travel in Contemporary Societies</w:t>
      </w:r>
      <w:r>
        <w:rPr>
          <w:color w:val="231F20"/>
          <w:sz w:val="17"/>
        </w:rPr>
        <w:t>. London:</w:t>
      </w:r>
      <w:r>
        <w:rPr>
          <w:color w:val="231F20"/>
          <w:spacing w:val="40"/>
          <w:sz w:val="17"/>
        </w:rPr>
        <w:t xml:space="preserve"> </w:t>
      </w:r>
      <w:r>
        <w:rPr>
          <w:color w:val="231F20"/>
          <w:spacing w:val="-2"/>
          <w:sz w:val="17"/>
        </w:rPr>
        <w:t>Sage.</w:t>
      </w:r>
    </w:p>
    <w:p w14:paraId="3AEDD354" w14:textId="77777777" w:rsidR="00AE0598" w:rsidRDefault="0069255A">
      <w:pPr>
        <w:spacing w:before="2"/>
        <w:ind w:left="430" w:right="127" w:hanging="320"/>
        <w:jc w:val="both"/>
        <w:rPr>
          <w:sz w:val="17"/>
        </w:rPr>
      </w:pPr>
      <w:r>
        <w:rPr>
          <w:color w:val="231F20"/>
          <w:sz w:val="17"/>
        </w:rPr>
        <w:t>Usher, L.E. and Gomez, E. (2016) Surf localism in Costa Rica: Exploring territoriality</w:t>
      </w:r>
      <w:r>
        <w:rPr>
          <w:color w:val="231F20"/>
          <w:spacing w:val="40"/>
          <w:sz w:val="17"/>
        </w:rPr>
        <w:t xml:space="preserve"> </w:t>
      </w:r>
      <w:r>
        <w:rPr>
          <w:color w:val="231F20"/>
          <w:sz w:val="17"/>
        </w:rPr>
        <w:t xml:space="preserve">among Costa Rican and foreign resident surfers. </w:t>
      </w:r>
      <w:r>
        <w:rPr>
          <w:i/>
          <w:color w:val="231F20"/>
          <w:sz w:val="17"/>
        </w:rPr>
        <w:t xml:space="preserve">Journal of Sport </w:t>
      </w:r>
      <w:r>
        <w:rPr>
          <w:i/>
          <w:color w:val="231F20"/>
          <w:w w:val="110"/>
          <w:sz w:val="17"/>
        </w:rPr>
        <w:t>&amp;</w:t>
      </w:r>
      <w:r>
        <w:rPr>
          <w:i/>
          <w:color w:val="231F20"/>
          <w:spacing w:val="-1"/>
          <w:w w:val="110"/>
          <w:sz w:val="17"/>
        </w:rPr>
        <w:t xml:space="preserve"> </w:t>
      </w:r>
      <w:r>
        <w:rPr>
          <w:i/>
          <w:color w:val="231F20"/>
          <w:sz w:val="17"/>
        </w:rPr>
        <w:t xml:space="preserve">Tourism </w:t>
      </w:r>
      <w:r>
        <w:rPr>
          <w:color w:val="231F20"/>
          <w:sz w:val="17"/>
        </w:rPr>
        <w:t>20 (3,4),</w:t>
      </w:r>
      <w:r>
        <w:rPr>
          <w:color w:val="231F20"/>
          <w:spacing w:val="40"/>
          <w:sz w:val="17"/>
        </w:rPr>
        <w:t xml:space="preserve"> </w:t>
      </w:r>
      <w:r>
        <w:rPr>
          <w:color w:val="231F20"/>
          <w:spacing w:val="-2"/>
          <w:sz w:val="17"/>
        </w:rPr>
        <w:t>195–216.</w:t>
      </w:r>
    </w:p>
    <w:p w14:paraId="50D11C73" w14:textId="77777777" w:rsidR="00AE0598" w:rsidRDefault="0069255A">
      <w:pPr>
        <w:spacing w:before="2"/>
        <w:ind w:left="430" w:right="128" w:hanging="320"/>
        <w:jc w:val="both"/>
        <w:rPr>
          <w:sz w:val="17"/>
        </w:rPr>
      </w:pPr>
      <w:r>
        <w:rPr>
          <w:color w:val="231F20"/>
          <w:sz w:val="17"/>
        </w:rPr>
        <w:t xml:space="preserve">Van Wynsberghe, R. and Ritchie, I. (1998) </w:t>
      </w:r>
      <w:r>
        <w:rPr>
          <w:i/>
          <w:color w:val="231F20"/>
          <w:sz w:val="17"/>
        </w:rPr>
        <w:t>(Ir)Relevant Ring: The Symbolic Consumption</w:t>
      </w:r>
      <w:r>
        <w:rPr>
          <w:i/>
          <w:color w:val="231F20"/>
          <w:spacing w:val="80"/>
          <w:sz w:val="17"/>
        </w:rPr>
        <w:t xml:space="preserve"> </w:t>
      </w:r>
      <w:r>
        <w:rPr>
          <w:i/>
          <w:color w:val="231F20"/>
          <w:sz w:val="17"/>
        </w:rPr>
        <w:t>of the Olympic Logo in Postmodern Media Culture</w:t>
      </w:r>
      <w:r>
        <w:rPr>
          <w:color w:val="231F20"/>
          <w:sz w:val="17"/>
        </w:rPr>
        <w:t>. Albany, NY: State University of</w:t>
      </w:r>
      <w:r>
        <w:rPr>
          <w:color w:val="231F20"/>
          <w:spacing w:val="40"/>
          <w:sz w:val="17"/>
        </w:rPr>
        <w:t xml:space="preserve"> </w:t>
      </w:r>
      <w:r>
        <w:rPr>
          <w:color w:val="231F20"/>
          <w:sz w:val="17"/>
        </w:rPr>
        <w:t>New York Press.</w:t>
      </w:r>
    </w:p>
    <w:p w14:paraId="013D46F1" w14:textId="77777777" w:rsidR="00AE0598" w:rsidRDefault="0069255A">
      <w:pPr>
        <w:spacing w:before="2"/>
        <w:ind w:left="430" w:right="128" w:hanging="320"/>
        <w:jc w:val="both"/>
        <w:rPr>
          <w:sz w:val="17"/>
        </w:rPr>
      </w:pPr>
      <w:r>
        <w:rPr>
          <w:color w:val="231F20"/>
          <w:sz w:val="17"/>
        </w:rPr>
        <w:t>Videira, N., Correia, A., Alves, I., Ramires, C., Subt</w:t>
      </w:r>
      <w:r>
        <w:rPr>
          <w:color w:val="231F20"/>
          <w:sz w:val="17"/>
        </w:rPr>
        <w:t>il, R. and Martins, V. (2006)</w:t>
      </w:r>
      <w:r>
        <w:rPr>
          <w:color w:val="231F20"/>
          <w:spacing w:val="40"/>
          <w:sz w:val="17"/>
        </w:rPr>
        <w:t xml:space="preserve"> </w:t>
      </w:r>
      <w:r>
        <w:rPr>
          <w:color w:val="231F20"/>
          <w:sz w:val="17"/>
        </w:rPr>
        <w:t>Environmental and economic tools to support sustainable golf tourism: The Algarve</w:t>
      </w:r>
      <w:r>
        <w:rPr>
          <w:color w:val="231F20"/>
          <w:spacing w:val="40"/>
          <w:sz w:val="17"/>
        </w:rPr>
        <w:t xml:space="preserve"> </w:t>
      </w:r>
      <w:r>
        <w:rPr>
          <w:color w:val="231F20"/>
          <w:sz w:val="17"/>
        </w:rPr>
        <w:t xml:space="preserve">experience, Portugal. </w:t>
      </w:r>
      <w:r>
        <w:rPr>
          <w:i/>
          <w:color w:val="231F20"/>
          <w:sz w:val="17"/>
        </w:rPr>
        <w:t xml:space="preserve">Tourism and Hospitality Research </w:t>
      </w:r>
      <w:r>
        <w:rPr>
          <w:color w:val="231F20"/>
          <w:sz w:val="17"/>
        </w:rPr>
        <w:t>6 (3), 204–217.</w:t>
      </w:r>
    </w:p>
    <w:p w14:paraId="26D732E4" w14:textId="77777777" w:rsidR="00AE0598" w:rsidRDefault="0069255A">
      <w:pPr>
        <w:spacing w:before="2"/>
        <w:ind w:left="430" w:right="128" w:hanging="320"/>
        <w:jc w:val="both"/>
        <w:rPr>
          <w:sz w:val="17"/>
        </w:rPr>
      </w:pPr>
      <w:r>
        <w:rPr>
          <w:color w:val="231F20"/>
          <w:sz w:val="17"/>
        </w:rPr>
        <w:t>Vieira, M.C., Sperandei, S., Reis, A.C. and Silva, C.G.T. (2013) An analy</w:t>
      </w:r>
      <w:r>
        <w:rPr>
          <w:color w:val="231F20"/>
          <w:sz w:val="17"/>
        </w:rPr>
        <w:t>sis of the suitability</w:t>
      </w:r>
      <w:r>
        <w:rPr>
          <w:color w:val="231F20"/>
          <w:spacing w:val="40"/>
          <w:w w:val="105"/>
          <w:sz w:val="17"/>
        </w:rPr>
        <w:t xml:space="preserve"> </w:t>
      </w:r>
      <w:r>
        <w:rPr>
          <w:color w:val="231F20"/>
          <w:w w:val="105"/>
          <w:sz w:val="17"/>
        </w:rPr>
        <w:t>of</w:t>
      </w:r>
      <w:r>
        <w:rPr>
          <w:color w:val="231F20"/>
          <w:spacing w:val="-7"/>
          <w:w w:val="105"/>
          <w:sz w:val="17"/>
        </w:rPr>
        <w:t xml:space="preserve"> </w:t>
      </w:r>
      <w:r>
        <w:rPr>
          <w:color w:val="231F20"/>
          <w:w w:val="105"/>
          <w:sz w:val="17"/>
        </w:rPr>
        <w:t>public</w:t>
      </w:r>
      <w:r>
        <w:rPr>
          <w:color w:val="231F20"/>
          <w:spacing w:val="-7"/>
          <w:w w:val="105"/>
          <w:sz w:val="17"/>
        </w:rPr>
        <w:t xml:space="preserve"> </w:t>
      </w:r>
      <w:r>
        <w:rPr>
          <w:color w:val="231F20"/>
          <w:w w:val="105"/>
          <w:sz w:val="17"/>
        </w:rPr>
        <w:t>spaces</w:t>
      </w:r>
      <w:r>
        <w:rPr>
          <w:color w:val="231F20"/>
          <w:spacing w:val="-7"/>
          <w:w w:val="105"/>
          <w:sz w:val="17"/>
        </w:rPr>
        <w:t xml:space="preserve"> </w:t>
      </w:r>
      <w:r>
        <w:rPr>
          <w:color w:val="231F20"/>
          <w:w w:val="105"/>
          <w:sz w:val="17"/>
        </w:rPr>
        <w:t>to</w:t>
      </w:r>
      <w:r>
        <w:rPr>
          <w:color w:val="231F20"/>
          <w:spacing w:val="-7"/>
          <w:w w:val="105"/>
          <w:sz w:val="17"/>
        </w:rPr>
        <w:t xml:space="preserve"> </w:t>
      </w:r>
      <w:r>
        <w:rPr>
          <w:color w:val="231F20"/>
          <w:w w:val="105"/>
          <w:sz w:val="17"/>
        </w:rPr>
        <w:t>physical</w:t>
      </w:r>
      <w:r>
        <w:rPr>
          <w:color w:val="231F20"/>
          <w:spacing w:val="-7"/>
          <w:w w:val="105"/>
          <w:sz w:val="17"/>
        </w:rPr>
        <w:t xml:space="preserve"> </w:t>
      </w:r>
      <w:r>
        <w:rPr>
          <w:color w:val="231F20"/>
          <w:w w:val="105"/>
          <w:sz w:val="17"/>
        </w:rPr>
        <w:t>activity</w:t>
      </w:r>
      <w:r>
        <w:rPr>
          <w:color w:val="231F20"/>
          <w:spacing w:val="-7"/>
          <w:w w:val="105"/>
          <w:sz w:val="17"/>
        </w:rPr>
        <w:t xml:space="preserve"> </w:t>
      </w:r>
      <w:r>
        <w:rPr>
          <w:color w:val="231F20"/>
          <w:w w:val="105"/>
          <w:sz w:val="17"/>
        </w:rPr>
        <w:t>practice</w:t>
      </w:r>
      <w:r>
        <w:rPr>
          <w:color w:val="231F20"/>
          <w:spacing w:val="-7"/>
          <w:w w:val="105"/>
          <w:sz w:val="17"/>
        </w:rPr>
        <w:t xml:space="preserve"> </w:t>
      </w:r>
      <w:r>
        <w:rPr>
          <w:color w:val="231F20"/>
          <w:w w:val="105"/>
          <w:sz w:val="17"/>
        </w:rPr>
        <w:t>in</w:t>
      </w:r>
      <w:r>
        <w:rPr>
          <w:color w:val="231F20"/>
          <w:spacing w:val="-7"/>
          <w:w w:val="105"/>
          <w:sz w:val="17"/>
        </w:rPr>
        <w:t xml:space="preserve"> </w:t>
      </w:r>
      <w:r>
        <w:rPr>
          <w:color w:val="231F20"/>
          <w:w w:val="105"/>
          <w:sz w:val="17"/>
        </w:rPr>
        <w:t>Rio</w:t>
      </w:r>
      <w:r>
        <w:rPr>
          <w:color w:val="231F20"/>
          <w:spacing w:val="-7"/>
          <w:w w:val="105"/>
          <w:sz w:val="17"/>
        </w:rPr>
        <w:t xml:space="preserve"> </w:t>
      </w:r>
      <w:r>
        <w:rPr>
          <w:color w:val="231F20"/>
          <w:w w:val="105"/>
          <w:sz w:val="17"/>
        </w:rPr>
        <w:t>de</w:t>
      </w:r>
      <w:r>
        <w:rPr>
          <w:color w:val="231F20"/>
          <w:spacing w:val="-7"/>
          <w:w w:val="105"/>
          <w:sz w:val="17"/>
        </w:rPr>
        <w:t xml:space="preserve"> </w:t>
      </w:r>
      <w:r>
        <w:rPr>
          <w:color w:val="231F20"/>
          <w:w w:val="105"/>
          <w:sz w:val="17"/>
        </w:rPr>
        <w:t>Janeiro.</w:t>
      </w:r>
      <w:r>
        <w:rPr>
          <w:color w:val="231F20"/>
          <w:spacing w:val="-7"/>
          <w:w w:val="105"/>
          <w:sz w:val="17"/>
        </w:rPr>
        <w:t xml:space="preserve"> </w:t>
      </w:r>
      <w:r>
        <w:rPr>
          <w:i/>
          <w:color w:val="231F20"/>
          <w:w w:val="105"/>
          <w:sz w:val="17"/>
        </w:rPr>
        <w:t>Preventive</w:t>
      </w:r>
      <w:r>
        <w:rPr>
          <w:i/>
          <w:color w:val="231F20"/>
          <w:spacing w:val="-7"/>
          <w:w w:val="105"/>
          <w:sz w:val="17"/>
        </w:rPr>
        <w:t xml:space="preserve"> </w:t>
      </w:r>
      <w:r>
        <w:rPr>
          <w:i/>
          <w:color w:val="231F20"/>
          <w:w w:val="105"/>
          <w:sz w:val="17"/>
        </w:rPr>
        <w:t>Medicine</w:t>
      </w:r>
      <w:r>
        <w:rPr>
          <w:i/>
          <w:color w:val="231F20"/>
          <w:spacing w:val="40"/>
          <w:w w:val="105"/>
          <w:sz w:val="17"/>
        </w:rPr>
        <w:t xml:space="preserve"> </w:t>
      </w:r>
      <w:r>
        <w:rPr>
          <w:color w:val="231F20"/>
          <w:w w:val="105"/>
          <w:sz w:val="17"/>
        </w:rPr>
        <w:t>57 (3), 198–200.</w:t>
      </w:r>
    </w:p>
    <w:p w14:paraId="28C8162B" w14:textId="77777777" w:rsidR="00AE0598" w:rsidRDefault="0069255A">
      <w:pPr>
        <w:spacing w:before="2"/>
        <w:ind w:left="110" w:right="127" w:hanging="1"/>
        <w:jc w:val="right"/>
        <w:rPr>
          <w:sz w:val="17"/>
        </w:rPr>
      </w:pPr>
      <w:r>
        <w:rPr>
          <w:color w:val="231F20"/>
          <w:w w:val="105"/>
          <w:sz w:val="17"/>
        </w:rPr>
        <w:t>Vincent,</w:t>
      </w:r>
      <w:r>
        <w:rPr>
          <w:color w:val="231F20"/>
          <w:spacing w:val="20"/>
          <w:w w:val="105"/>
          <w:sz w:val="17"/>
        </w:rPr>
        <w:t xml:space="preserve"> </w:t>
      </w:r>
      <w:r>
        <w:rPr>
          <w:color w:val="231F20"/>
          <w:w w:val="105"/>
          <w:sz w:val="17"/>
        </w:rPr>
        <w:t>J.,</w:t>
      </w:r>
      <w:r>
        <w:rPr>
          <w:color w:val="231F20"/>
          <w:spacing w:val="20"/>
          <w:w w:val="105"/>
          <w:sz w:val="17"/>
        </w:rPr>
        <w:t xml:space="preserve"> </w:t>
      </w:r>
      <w:r>
        <w:rPr>
          <w:color w:val="231F20"/>
          <w:w w:val="105"/>
          <w:sz w:val="17"/>
        </w:rPr>
        <w:t>Hill,</w:t>
      </w:r>
      <w:r>
        <w:rPr>
          <w:color w:val="231F20"/>
          <w:spacing w:val="20"/>
          <w:w w:val="105"/>
          <w:sz w:val="17"/>
        </w:rPr>
        <w:t xml:space="preserve"> </w:t>
      </w:r>
      <w:r>
        <w:rPr>
          <w:color w:val="231F20"/>
          <w:w w:val="105"/>
          <w:sz w:val="17"/>
        </w:rPr>
        <w:t>J.S.</w:t>
      </w:r>
      <w:r>
        <w:rPr>
          <w:color w:val="231F20"/>
          <w:spacing w:val="20"/>
          <w:w w:val="105"/>
          <w:sz w:val="17"/>
        </w:rPr>
        <w:t xml:space="preserve"> </w:t>
      </w:r>
      <w:r>
        <w:rPr>
          <w:color w:val="231F20"/>
          <w:w w:val="105"/>
          <w:sz w:val="17"/>
        </w:rPr>
        <w:t>and</w:t>
      </w:r>
      <w:r>
        <w:rPr>
          <w:color w:val="231F20"/>
          <w:spacing w:val="20"/>
          <w:w w:val="105"/>
          <w:sz w:val="17"/>
        </w:rPr>
        <w:t xml:space="preserve"> </w:t>
      </w:r>
      <w:r>
        <w:rPr>
          <w:color w:val="231F20"/>
          <w:w w:val="105"/>
          <w:sz w:val="17"/>
        </w:rPr>
        <w:t>Lee,</w:t>
      </w:r>
      <w:r>
        <w:rPr>
          <w:color w:val="231F20"/>
          <w:spacing w:val="20"/>
          <w:w w:val="105"/>
          <w:sz w:val="17"/>
        </w:rPr>
        <w:t xml:space="preserve"> </w:t>
      </w:r>
      <w:r>
        <w:rPr>
          <w:color w:val="231F20"/>
          <w:w w:val="105"/>
          <w:sz w:val="17"/>
        </w:rPr>
        <w:t>J.W.</w:t>
      </w:r>
      <w:r>
        <w:rPr>
          <w:color w:val="231F20"/>
          <w:spacing w:val="20"/>
          <w:w w:val="105"/>
          <w:sz w:val="17"/>
        </w:rPr>
        <w:t xml:space="preserve"> </w:t>
      </w:r>
      <w:r>
        <w:rPr>
          <w:color w:val="231F20"/>
          <w:w w:val="105"/>
          <w:sz w:val="17"/>
        </w:rPr>
        <w:t>(2009)</w:t>
      </w:r>
      <w:r>
        <w:rPr>
          <w:color w:val="231F20"/>
          <w:spacing w:val="20"/>
          <w:w w:val="105"/>
          <w:sz w:val="17"/>
        </w:rPr>
        <w:t xml:space="preserve"> </w:t>
      </w:r>
      <w:r>
        <w:rPr>
          <w:color w:val="231F20"/>
          <w:w w:val="105"/>
          <w:sz w:val="17"/>
        </w:rPr>
        <w:t>The</w:t>
      </w:r>
      <w:r>
        <w:rPr>
          <w:color w:val="231F20"/>
          <w:spacing w:val="20"/>
          <w:w w:val="105"/>
          <w:sz w:val="17"/>
        </w:rPr>
        <w:t xml:space="preserve"> </w:t>
      </w:r>
      <w:r>
        <w:rPr>
          <w:color w:val="231F20"/>
          <w:w w:val="105"/>
          <w:sz w:val="17"/>
        </w:rPr>
        <w:t>multiple</w:t>
      </w:r>
      <w:r>
        <w:rPr>
          <w:color w:val="231F20"/>
          <w:spacing w:val="20"/>
          <w:w w:val="105"/>
          <w:sz w:val="17"/>
        </w:rPr>
        <w:t xml:space="preserve"> </w:t>
      </w:r>
      <w:r>
        <w:rPr>
          <w:color w:val="231F20"/>
          <w:w w:val="105"/>
          <w:sz w:val="17"/>
        </w:rPr>
        <w:t>brand</w:t>
      </w:r>
      <w:r>
        <w:rPr>
          <w:color w:val="231F20"/>
          <w:spacing w:val="20"/>
          <w:w w:val="105"/>
          <w:sz w:val="17"/>
        </w:rPr>
        <w:t xml:space="preserve"> </w:t>
      </w:r>
      <w:r>
        <w:rPr>
          <w:color w:val="231F20"/>
          <w:w w:val="105"/>
          <w:sz w:val="17"/>
        </w:rPr>
        <w:t>personalities</w:t>
      </w:r>
      <w:r>
        <w:rPr>
          <w:color w:val="231F20"/>
          <w:spacing w:val="20"/>
          <w:w w:val="105"/>
          <w:sz w:val="17"/>
        </w:rPr>
        <w:t xml:space="preserve"> </w:t>
      </w:r>
      <w:r>
        <w:rPr>
          <w:color w:val="231F20"/>
          <w:w w:val="105"/>
          <w:sz w:val="17"/>
        </w:rPr>
        <w:t>of</w:t>
      </w:r>
      <w:r>
        <w:rPr>
          <w:color w:val="231F20"/>
          <w:spacing w:val="20"/>
          <w:w w:val="105"/>
          <w:sz w:val="17"/>
        </w:rPr>
        <w:t xml:space="preserve"> </w:t>
      </w:r>
      <w:r>
        <w:rPr>
          <w:color w:val="231F20"/>
          <w:w w:val="105"/>
          <w:sz w:val="17"/>
        </w:rPr>
        <w:t>David</w:t>
      </w:r>
      <w:r>
        <w:rPr>
          <w:color w:val="231F20"/>
          <w:spacing w:val="40"/>
          <w:w w:val="105"/>
          <w:sz w:val="17"/>
        </w:rPr>
        <w:t xml:space="preserve"> </w:t>
      </w:r>
      <w:r>
        <w:rPr>
          <w:color w:val="231F20"/>
          <w:sz w:val="17"/>
        </w:rPr>
        <w:t xml:space="preserve">Beckham: A case study of the Beckham brand. </w:t>
      </w:r>
      <w:r>
        <w:rPr>
          <w:i/>
          <w:color w:val="231F20"/>
          <w:sz w:val="17"/>
        </w:rPr>
        <w:t xml:space="preserve">Sport Marketing Quarterly </w:t>
      </w:r>
      <w:r>
        <w:rPr>
          <w:color w:val="231F20"/>
          <w:sz w:val="17"/>
        </w:rPr>
        <w:t>18 (3), 173.</w:t>
      </w:r>
      <w:r>
        <w:rPr>
          <w:color w:val="231F20"/>
          <w:spacing w:val="40"/>
          <w:sz w:val="17"/>
        </w:rPr>
        <w:t xml:space="preserve"> </w:t>
      </w:r>
      <w:r>
        <w:rPr>
          <w:color w:val="231F20"/>
          <w:sz w:val="17"/>
        </w:rPr>
        <w:t>Voumard,</w:t>
      </w:r>
      <w:r>
        <w:rPr>
          <w:color w:val="231F20"/>
          <w:spacing w:val="17"/>
          <w:sz w:val="17"/>
        </w:rPr>
        <w:t xml:space="preserve"> </w:t>
      </w:r>
      <w:r>
        <w:rPr>
          <w:color w:val="231F20"/>
          <w:sz w:val="17"/>
        </w:rPr>
        <w:t>S.</w:t>
      </w:r>
      <w:r>
        <w:rPr>
          <w:color w:val="231F20"/>
          <w:spacing w:val="18"/>
          <w:sz w:val="17"/>
        </w:rPr>
        <w:t xml:space="preserve"> </w:t>
      </w:r>
      <w:r>
        <w:rPr>
          <w:color w:val="231F20"/>
          <w:sz w:val="17"/>
        </w:rPr>
        <w:t>(1995,</w:t>
      </w:r>
      <w:r>
        <w:rPr>
          <w:color w:val="231F20"/>
          <w:spacing w:val="17"/>
          <w:sz w:val="17"/>
        </w:rPr>
        <w:t xml:space="preserve"> </w:t>
      </w:r>
      <w:r>
        <w:rPr>
          <w:color w:val="231F20"/>
          <w:sz w:val="17"/>
        </w:rPr>
        <w:t>25</w:t>
      </w:r>
      <w:r>
        <w:rPr>
          <w:color w:val="231F20"/>
          <w:spacing w:val="18"/>
          <w:sz w:val="17"/>
        </w:rPr>
        <w:t xml:space="preserve"> </w:t>
      </w:r>
      <w:r>
        <w:rPr>
          <w:color w:val="231F20"/>
          <w:sz w:val="17"/>
        </w:rPr>
        <w:t>November</w:t>
      </w:r>
      <w:r>
        <w:rPr>
          <w:color w:val="231F20"/>
          <w:spacing w:val="17"/>
          <w:sz w:val="17"/>
        </w:rPr>
        <w:t xml:space="preserve"> </w:t>
      </w:r>
      <w:r>
        <w:rPr>
          <w:color w:val="231F20"/>
          <w:sz w:val="17"/>
        </w:rPr>
        <w:t>1995)</w:t>
      </w:r>
      <w:r>
        <w:rPr>
          <w:color w:val="231F20"/>
          <w:spacing w:val="18"/>
          <w:sz w:val="17"/>
        </w:rPr>
        <w:t xml:space="preserve"> </w:t>
      </w:r>
      <w:r>
        <w:rPr>
          <w:color w:val="231F20"/>
          <w:sz w:val="17"/>
        </w:rPr>
        <w:t>Jonah’s</w:t>
      </w:r>
      <w:r>
        <w:rPr>
          <w:color w:val="231F20"/>
          <w:spacing w:val="17"/>
          <w:sz w:val="17"/>
        </w:rPr>
        <w:t xml:space="preserve"> </w:t>
      </w:r>
      <w:r>
        <w:rPr>
          <w:color w:val="231F20"/>
          <w:sz w:val="17"/>
        </w:rPr>
        <w:t>Big</w:t>
      </w:r>
      <w:r>
        <w:rPr>
          <w:color w:val="231F20"/>
          <w:spacing w:val="18"/>
          <w:sz w:val="17"/>
        </w:rPr>
        <w:t xml:space="preserve"> </w:t>
      </w:r>
      <w:r>
        <w:rPr>
          <w:color w:val="231F20"/>
          <w:sz w:val="17"/>
        </w:rPr>
        <w:t>Date.</w:t>
      </w:r>
      <w:r>
        <w:rPr>
          <w:color w:val="231F20"/>
          <w:spacing w:val="17"/>
          <w:sz w:val="17"/>
        </w:rPr>
        <w:t xml:space="preserve"> </w:t>
      </w:r>
      <w:r>
        <w:rPr>
          <w:i/>
          <w:color w:val="231F20"/>
          <w:sz w:val="17"/>
        </w:rPr>
        <w:t>The</w:t>
      </w:r>
      <w:r>
        <w:rPr>
          <w:i/>
          <w:color w:val="231F20"/>
          <w:spacing w:val="18"/>
          <w:sz w:val="17"/>
        </w:rPr>
        <w:t xml:space="preserve"> </w:t>
      </w:r>
      <w:r>
        <w:rPr>
          <w:i/>
          <w:color w:val="231F20"/>
          <w:sz w:val="17"/>
        </w:rPr>
        <w:t>Sydney</w:t>
      </w:r>
      <w:r>
        <w:rPr>
          <w:i/>
          <w:color w:val="231F20"/>
          <w:spacing w:val="17"/>
          <w:sz w:val="17"/>
        </w:rPr>
        <w:t xml:space="preserve"> </w:t>
      </w:r>
      <w:r>
        <w:rPr>
          <w:i/>
          <w:color w:val="231F20"/>
          <w:sz w:val="17"/>
        </w:rPr>
        <w:t>Morning</w:t>
      </w:r>
      <w:r>
        <w:rPr>
          <w:i/>
          <w:color w:val="231F20"/>
          <w:spacing w:val="18"/>
          <w:sz w:val="17"/>
        </w:rPr>
        <w:t xml:space="preserve"> </w:t>
      </w:r>
      <w:r>
        <w:rPr>
          <w:i/>
          <w:color w:val="231F20"/>
          <w:spacing w:val="-2"/>
          <w:sz w:val="17"/>
        </w:rPr>
        <w:t>Herald</w:t>
      </w:r>
      <w:r>
        <w:rPr>
          <w:color w:val="231F20"/>
          <w:spacing w:val="-2"/>
          <w:sz w:val="17"/>
        </w:rPr>
        <w:t>,</w:t>
      </w:r>
    </w:p>
    <w:p w14:paraId="1F073D96" w14:textId="77777777" w:rsidR="00AE0598" w:rsidRDefault="0069255A">
      <w:pPr>
        <w:spacing w:before="2"/>
        <w:ind w:left="430"/>
        <w:rPr>
          <w:sz w:val="17"/>
        </w:rPr>
      </w:pPr>
      <w:r>
        <w:rPr>
          <w:color w:val="231F20"/>
          <w:w w:val="110"/>
          <w:sz w:val="17"/>
        </w:rPr>
        <w:t>p.</w:t>
      </w:r>
      <w:r>
        <w:rPr>
          <w:color w:val="231F20"/>
          <w:spacing w:val="-10"/>
          <w:w w:val="110"/>
          <w:sz w:val="17"/>
        </w:rPr>
        <w:t xml:space="preserve"> </w:t>
      </w:r>
      <w:r>
        <w:rPr>
          <w:color w:val="231F20"/>
          <w:spacing w:val="-5"/>
          <w:w w:val="110"/>
          <w:sz w:val="17"/>
        </w:rPr>
        <w:t>14.</w:t>
      </w:r>
    </w:p>
    <w:p w14:paraId="73D26A09" w14:textId="77777777" w:rsidR="00AE0598" w:rsidRDefault="0069255A">
      <w:pPr>
        <w:spacing w:before="1"/>
        <w:ind w:left="430" w:right="156" w:hanging="320"/>
        <w:rPr>
          <w:sz w:val="17"/>
        </w:rPr>
      </w:pPr>
      <w:r>
        <w:rPr>
          <w:color w:val="231F20"/>
          <w:sz w:val="17"/>
        </w:rPr>
        <w:t xml:space="preserve">Wahab, S. and Pigram, </w:t>
      </w:r>
      <w:r>
        <w:rPr>
          <w:color w:val="231F20"/>
          <w:w w:val="110"/>
          <w:sz w:val="17"/>
        </w:rPr>
        <w:t xml:space="preserve">J.J. </w:t>
      </w:r>
      <w:r>
        <w:rPr>
          <w:color w:val="231F20"/>
          <w:sz w:val="17"/>
        </w:rPr>
        <w:t xml:space="preserve">(eds) (1997) </w:t>
      </w:r>
      <w:r>
        <w:rPr>
          <w:i/>
          <w:color w:val="231F20"/>
          <w:sz w:val="17"/>
        </w:rPr>
        <w:t>Tourism Development and Growth: The Challenge</w:t>
      </w:r>
      <w:r>
        <w:rPr>
          <w:i/>
          <w:color w:val="231F20"/>
          <w:spacing w:val="40"/>
          <w:sz w:val="17"/>
        </w:rPr>
        <w:t xml:space="preserve"> </w:t>
      </w:r>
      <w:r>
        <w:rPr>
          <w:i/>
          <w:color w:val="231F20"/>
          <w:sz w:val="17"/>
        </w:rPr>
        <w:t>of Sustainability</w:t>
      </w:r>
      <w:r>
        <w:rPr>
          <w:color w:val="231F20"/>
          <w:sz w:val="17"/>
        </w:rPr>
        <w:t>. London: Routledge.</w:t>
      </w:r>
    </w:p>
    <w:p w14:paraId="6A3AC8DA" w14:textId="77777777" w:rsidR="00AE0598" w:rsidRDefault="0069255A">
      <w:pPr>
        <w:spacing w:before="1"/>
        <w:ind w:left="110"/>
        <w:rPr>
          <w:sz w:val="17"/>
        </w:rPr>
      </w:pPr>
      <w:r>
        <w:rPr>
          <w:color w:val="231F20"/>
          <w:sz w:val="17"/>
        </w:rPr>
        <w:t xml:space="preserve">Wahab, S. and Cooper, C. (2001) </w:t>
      </w:r>
      <w:r>
        <w:rPr>
          <w:i/>
          <w:color w:val="231F20"/>
          <w:sz w:val="17"/>
        </w:rPr>
        <w:t>Tourism in the Age of Globalisation</w:t>
      </w:r>
      <w:r>
        <w:rPr>
          <w:color w:val="231F20"/>
          <w:sz w:val="17"/>
        </w:rPr>
        <w:t>. London: Routledge.</w:t>
      </w:r>
      <w:r>
        <w:rPr>
          <w:color w:val="231F20"/>
          <w:spacing w:val="40"/>
          <w:sz w:val="17"/>
        </w:rPr>
        <w:t xml:space="preserve"> </w:t>
      </w:r>
      <w:r>
        <w:rPr>
          <w:color w:val="231F20"/>
          <w:sz w:val="17"/>
        </w:rPr>
        <w:t>Walker,</w:t>
      </w:r>
      <w:r>
        <w:rPr>
          <w:color w:val="231F20"/>
          <w:spacing w:val="3"/>
          <w:sz w:val="17"/>
        </w:rPr>
        <w:t xml:space="preserve"> </w:t>
      </w:r>
      <w:r>
        <w:rPr>
          <w:color w:val="231F20"/>
          <w:sz w:val="17"/>
        </w:rPr>
        <w:t>G.J.</w:t>
      </w:r>
      <w:r>
        <w:rPr>
          <w:color w:val="231F20"/>
          <w:spacing w:val="4"/>
          <w:sz w:val="17"/>
        </w:rPr>
        <w:t xml:space="preserve"> </w:t>
      </w:r>
      <w:r>
        <w:rPr>
          <w:color w:val="231F20"/>
          <w:sz w:val="17"/>
        </w:rPr>
        <w:t>and</w:t>
      </w:r>
      <w:r>
        <w:rPr>
          <w:color w:val="231F20"/>
          <w:spacing w:val="3"/>
          <w:sz w:val="17"/>
        </w:rPr>
        <w:t xml:space="preserve"> </w:t>
      </w:r>
      <w:r>
        <w:rPr>
          <w:color w:val="231F20"/>
          <w:sz w:val="17"/>
        </w:rPr>
        <w:t>Virden,</w:t>
      </w:r>
      <w:r>
        <w:rPr>
          <w:color w:val="231F20"/>
          <w:spacing w:val="4"/>
          <w:sz w:val="17"/>
        </w:rPr>
        <w:t xml:space="preserve"> </w:t>
      </w:r>
      <w:r>
        <w:rPr>
          <w:color w:val="231F20"/>
          <w:sz w:val="17"/>
        </w:rPr>
        <w:t>R.J.</w:t>
      </w:r>
      <w:r>
        <w:rPr>
          <w:color w:val="231F20"/>
          <w:spacing w:val="3"/>
          <w:sz w:val="17"/>
        </w:rPr>
        <w:t xml:space="preserve"> </w:t>
      </w:r>
      <w:r>
        <w:rPr>
          <w:color w:val="231F20"/>
          <w:sz w:val="17"/>
        </w:rPr>
        <w:t>(2005)</w:t>
      </w:r>
      <w:r>
        <w:rPr>
          <w:color w:val="231F20"/>
          <w:spacing w:val="4"/>
          <w:sz w:val="17"/>
        </w:rPr>
        <w:t xml:space="preserve"> </w:t>
      </w:r>
      <w:r>
        <w:rPr>
          <w:color w:val="231F20"/>
          <w:sz w:val="17"/>
        </w:rPr>
        <w:t>Constraints</w:t>
      </w:r>
      <w:r>
        <w:rPr>
          <w:color w:val="231F20"/>
          <w:spacing w:val="3"/>
          <w:sz w:val="17"/>
        </w:rPr>
        <w:t xml:space="preserve"> </w:t>
      </w:r>
      <w:r>
        <w:rPr>
          <w:color w:val="231F20"/>
          <w:sz w:val="17"/>
        </w:rPr>
        <w:t>on</w:t>
      </w:r>
      <w:r>
        <w:rPr>
          <w:color w:val="231F20"/>
          <w:spacing w:val="4"/>
          <w:sz w:val="17"/>
        </w:rPr>
        <w:t xml:space="preserve"> </w:t>
      </w:r>
      <w:r>
        <w:rPr>
          <w:color w:val="231F20"/>
          <w:sz w:val="17"/>
        </w:rPr>
        <w:t>outdoor</w:t>
      </w:r>
      <w:r>
        <w:rPr>
          <w:color w:val="231F20"/>
          <w:spacing w:val="3"/>
          <w:sz w:val="17"/>
        </w:rPr>
        <w:t xml:space="preserve"> </w:t>
      </w:r>
      <w:r>
        <w:rPr>
          <w:color w:val="231F20"/>
          <w:sz w:val="17"/>
        </w:rPr>
        <w:t>recreation.</w:t>
      </w:r>
      <w:r>
        <w:rPr>
          <w:color w:val="231F20"/>
          <w:spacing w:val="4"/>
          <w:sz w:val="17"/>
        </w:rPr>
        <w:t xml:space="preserve"> </w:t>
      </w:r>
      <w:r>
        <w:rPr>
          <w:color w:val="231F20"/>
          <w:sz w:val="17"/>
        </w:rPr>
        <w:t>In</w:t>
      </w:r>
      <w:r>
        <w:rPr>
          <w:color w:val="231F20"/>
          <w:spacing w:val="3"/>
          <w:sz w:val="17"/>
        </w:rPr>
        <w:t xml:space="preserve"> </w:t>
      </w:r>
      <w:r>
        <w:rPr>
          <w:color w:val="231F20"/>
          <w:sz w:val="17"/>
        </w:rPr>
        <w:t>E.</w:t>
      </w:r>
      <w:r>
        <w:rPr>
          <w:color w:val="231F20"/>
          <w:spacing w:val="4"/>
          <w:sz w:val="17"/>
        </w:rPr>
        <w:t xml:space="preserve"> </w:t>
      </w:r>
      <w:r>
        <w:rPr>
          <w:color w:val="231F20"/>
          <w:sz w:val="17"/>
        </w:rPr>
        <w:t>Jackso</w:t>
      </w:r>
      <w:r>
        <w:rPr>
          <w:color w:val="231F20"/>
          <w:sz w:val="17"/>
        </w:rPr>
        <w:t>n</w:t>
      </w:r>
      <w:r>
        <w:rPr>
          <w:color w:val="231F20"/>
          <w:spacing w:val="4"/>
          <w:sz w:val="17"/>
        </w:rPr>
        <w:t xml:space="preserve"> </w:t>
      </w:r>
      <w:r>
        <w:rPr>
          <w:color w:val="231F20"/>
          <w:spacing w:val="-2"/>
          <w:sz w:val="17"/>
        </w:rPr>
        <w:t>(ed.)</w:t>
      </w:r>
    </w:p>
    <w:p w14:paraId="6C3832E0" w14:textId="77777777" w:rsidR="00AE0598" w:rsidRDefault="0069255A">
      <w:pPr>
        <w:spacing w:before="2"/>
        <w:ind w:left="430"/>
        <w:rPr>
          <w:sz w:val="17"/>
        </w:rPr>
      </w:pPr>
      <w:r>
        <w:rPr>
          <w:i/>
          <w:color w:val="231F20"/>
          <w:w w:val="95"/>
          <w:sz w:val="17"/>
        </w:rPr>
        <w:t>Constraints</w:t>
      </w:r>
      <w:r>
        <w:rPr>
          <w:i/>
          <w:color w:val="231F20"/>
          <w:spacing w:val="20"/>
          <w:sz w:val="17"/>
        </w:rPr>
        <w:t xml:space="preserve"> </w:t>
      </w:r>
      <w:r>
        <w:rPr>
          <w:i/>
          <w:color w:val="231F20"/>
          <w:w w:val="95"/>
          <w:sz w:val="17"/>
        </w:rPr>
        <w:t>to</w:t>
      </w:r>
      <w:r>
        <w:rPr>
          <w:i/>
          <w:color w:val="231F20"/>
          <w:spacing w:val="20"/>
          <w:sz w:val="17"/>
        </w:rPr>
        <w:t xml:space="preserve"> </w:t>
      </w:r>
      <w:r>
        <w:rPr>
          <w:i/>
          <w:color w:val="231F20"/>
          <w:w w:val="95"/>
          <w:sz w:val="17"/>
        </w:rPr>
        <w:t>Leisure</w:t>
      </w:r>
      <w:r>
        <w:rPr>
          <w:i/>
          <w:color w:val="231F20"/>
          <w:spacing w:val="21"/>
          <w:sz w:val="17"/>
        </w:rPr>
        <w:t xml:space="preserve"> </w:t>
      </w:r>
      <w:r>
        <w:rPr>
          <w:color w:val="231F20"/>
          <w:w w:val="95"/>
          <w:sz w:val="17"/>
        </w:rPr>
        <w:t>(pp.</w:t>
      </w:r>
      <w:r>
        <w:rPr>
          <w:color w:val="231F20"/>
          <w:spacing w:val="20"/>
          <w:sz w:val="17"/>
        </w:rPr>
        <w:t xml:space="preserve"> </w:t>
      </w:r>
      <w:r>
        <w:rPr>
          <w:color w:val="231F20"/>
          <w:w w:val="95"/>
          <w:sz w:val="17"/>
        </w:rPr>
        <w:t>201–219).</w:t>
      </w:r>
      <w:r>
        <w:rPr>
          <w:color w:val="231F20"/>
          <w:spacing w:val="21"/>
          <w:sz w:val="17"/>
        </w:rPr>
        <w:t xml:space="preserve"> </w:t>
      </w:r>
      <w:r>
        <w:rPr>
          <w:color w:val="231F20"/>
          <w:w w:val="95"/>
          <w:sz w:val="17"/>
        </w:rPr>
        <w:t>State</w:t>
      </w:r>
      <w:r>
        <w:rPr>
          <w:color w:val="231F20"/>
          <w:spacing w:val="20"/>
          <w:sz w:val="17"/>
        </w:rPr>
        <w:t xml:space="preserve"> </w:t>
      </w:r>
      <w:r>
        <w:rPr>
          <w:color w:val="231F20"/>
          <w:w w:val="95"/>
          <w:sz w:val="17"/>
        </w:rPr>
        <w:t>College,</w:t>
      </w:r>
      <w:r>
        <w:rPr>
          <w:color w:val="231F20"/>
          <w:spacing w:val="21"/>
          <w:sz w:val="17"/>
        </w:rPr>
        <w:t xml:space="preserve"> </w:t>
      </w:r>
      <w:r>
        <w:rPr>
          <w:color w:val="231F20"/>
          <w:w w:val="95"/>
          <w:sz w:val="17"/>
        </w:rPr>
        <w:t>PA:</w:t>
      </w:r>
      <w:r>
        <w:rPr>
          <w:color w:val="231F20"/>
          <w:spacing w:val="20"/>
          <w:sz w:val="17"/>
        </w:rPr>
        <w:t xml:space="preserve"> </w:t>
      </w:r>
      <w:r>
        <w:rPr>
          <w:color w:val="231F20"/>
          <w:w w:val="95"/>
          <w:sz w:val="17"/>
        </w:rPr>
        <w:t>Venture</w:t>
      </w:r>
      <w:r>
        <w:rPr>
          <w:color w:val="231F20"/>
          <w:spacing w:val="21"/>
          <w:sz w:val="17"/>
        </w:rPr>
        <w:t xml:space="preserve"> </w:t>
      </w:r>
      <w:r>
        <w:rPr>
          <w:color w:val="231F20"/>
          <w:spacing w:val="-2"/>
          <w:w w:val="95"/>
          <w:sz w:val="17"/>
        </w:rPr>
        <w:t>Publishing.</w:t>
      </w:r>
    </w:p>
    <w:p w14:paraId="4304B9DB" w14:textId="77777777" w:rsidR="00AE0598" w:rsidRDefault="0069255A">
      <w:pPr>
        <w:ind w:left="430" w:hanging="320"/>
        <w:rPr>
          <w:sz w:val="17"/>
        </w:rPr>
      </w:pPr>
      <w:r>
        <w:rPr>
          <w:color w:val="231F20"/>
          <w:sz w:val="17"/>
        </w:rPr>
        <w:t xml:space="preserve">Walker, </w:t>
      </w:r>
      <w:r>
        <w:rPr>
          <w:color w:val="231F20"/>
          <w:w w:val="110"/>
          <w:sz w:val="17"/>
        </w:rPr>
        <w:t xml:space="preserve">G.J., </w:t>
      </w:r>
      <w:r>
        <w:rPr>
          <w:color w:val="231F20"/>
          <w:sz w:val="17"/>
        </w:rPr>
        <w:t xml:space="preserve">Deng, </w:t>
      </w:r>
      <w:r>
        <w:rPr>
          <w:color w:val="231F20"/>
          <w:w w:val="110"/>
          <w:sz w:val="17"/>
        </w:rPr>
        <w:t xml:space="preserve">J. </w:t>
      </w:r>
      <w:r>
        <w:rPr>
          <w:color w:val="231F20"/>
          <w:sz w:val="17"/>
        </w:rPr>
        <w:t>and Dieser, R.B. (2001) Ethnicity, acculturation, self-construal, and</w:t>
      </w:r>
      <w:r>
        <w:rPr>
          <w:color w:val="231F20"/>
          <w:spacing w:val="40"/>
          <w:sz w:val="17"/>
        </w:rPr>
        <w:t xml:space="preserve"> </w:t>
      </w:r>
      <w:r>
        <w:rPr>
          <w:color w:val="231F20"/>
          <w:sz w:val="17"/>
        </w:rPr>
        <w:t xml:space="preserve">motivations for outdoor recreation. </w:t>
      </w:r>
      <w:r>
        <w:rPr>
          <w:i/>
          <w:color w:val="231F20"/>
          <w:sz w:val="17"/>
        </w:rPr>
        <w:t xml:space="preserve">Leisure Sciences </w:t>
      </w:r>
      <w:r>
        <w:rPr>
          <w:color w:val="231F20"/>
          <w:sz w:val="17"/>
        </w:rPr>
        <w:t>23, 263–283.</w:t>
      </w:r>
    </w:p>
    <w:p w14:paraId="275AD16A" w14:textId="77777777" w:rsidR="00AE0598" w:rsidRDefault="0069255A">
      <w:pPr>
        <w:spacing w:before="2"/>
        <w:ind w:left="110" w:right="127"/>
        <w:jc w:val="right"/>
        <w:rPr>
          <w:sz w:val="17"/>
        </w:rPr>
      </w:pPr>
      <w:r>
        <w:rPr>
          <w:color w:val="231F20"/>
          <w:sz w:val="17"/>
        </w:rPr>
        <w:t xml:space="preserve">Walker, </w:t>
      </w:r>
      <w:r>
        <w:rPr>
          <w:color w:val="231F20"/>
          <w:w w:val="110"/>
          <w:sz w:val="17"/>
        </w:rPr>
        <w:t xml:space="preserve">G.J., </w:t>
      </w:r>
      <w:r>
        <w:rPr>
          <w:color w:val="231F20"/>
          <w:sz w:val="17"/>
        </w:rPr>
        <w:t xml:space="preserve">Hinch, T. and Higham, </w:t>
      </w:r>
      <w:r>
        <w:rPr>
          <w:color w:val="231F20"/>
          <w:w w:val="110"/>
          <w:sz w:val="17"/>
        </w:rPr>
        <w:t xml:space="preserve">J. </w:t>
      </w:r>
      <w:r>
        <w:rPr>
          <w:color w:val="231F20"/>
          <w:sz w:val="17"/>
        </w:rPr>
        <w:t>(2010) Athletes as tourists: The roles of mode of</w:t>
      </w:r>
      <w:r>
        <w:rPr>
          <w:color w:val="231F20"/>
          <w:spacing w:val="80"/>
          <w:sz w:val="17"/>
        </w:rPr>
        <w:t xml:space="preserve"> </w:t>
      </w:r>
      <w:r>
        <w:rPr>
          <w:color w:val="231F20"/>
          <w:sz w:val="17"/>
        </w:rPr>
        <w:t xml:space="preserve">experience and achievement orientation. </w:t>
      </w:r>
      <w:r>
        <w:rPr>
          <w:i/>
          <w:color w:val="231F20"/>
          <w:sz w:val="17"/>
        </w:rPr>
        <w:t xml:space="preserve">Journal of Sport </w:t>
      </w:r>
      <w:r>
        <w:rPr>
          <w:i/>
          <w:color w:val="231F20"/>
          <w:w w:val="110"/>
          <w:sz w:val="17"/>
        </w:rPr>
        <w:t xml:space="preserve">&amp; </w:t>
      </w:r>
      <w:r>
        <w:rPr>
          <w:i/>
          <w:color w:val="231F20"/>
          <w:sz w:val="17"/>
        </w:rPr>
        <w:t xml:space="preserve">Tourism </w:t>
      </w:r>
      <w:r>
        <w:rPr>
          <w:color w:val="231F20"/>
          <w:sz w:val="17"/>
        </w:rPr>
        <w:t>15 (4), 287–305.</w:t>
      </w:r>
      <w:r>
        <w:rPr>
          <w:color w:val="231F20"/>
          <w:spacing w:val="40"/>
          <w:sz w:val="17"/>
        </w:rPr>
        <w:t xml:space="preserve"> </w:t>
      </w:r>
      <w:r>
        <w:rPr>
          <w:color w:val="231F20"/>
          <w:w w:val="95"/>
          <w:sz w:val="17"/>
        </w:rPr>
        <w:t>Walker,</w:t>
      </w:r>
      <w:r>
        <w:rPr>
          <w:color w:val="231F20"/>
          <w:spacing w:val="26"/>
          <w:sz w:val="17"/>
        </w:rPr>
        <w:t xml:space="preserve"> </w:t>
      </w:r>
      <w:r>
        <w:rPr>
          <w:color w:val="231F20"/>
          <w:w w:val="95"/>
          <w:sz w:val="17"/>
        </w:rPr>
        <w:t>S.</w:t>
      </w:r>
      <w:r>
        <w:rPr>
          <w:color w:val="231F20"/>
          <w:spacing w:val="27"/>
          <w:sz w:val="17"/>
        </w:rPr>
        <w:t xml:space="preserve"> </w:t>
      </w:r>
      <w:r>
        <w:rPr>
          <w:color w:val="231F20"/>
          <w:w w:val="95"/>
          <w:sz w:val="17"/>
        </w:rPr>
        <w:t>(2001)</w:t>
      </w:r>
      <w:r>
        <w:rPr>
          <w:color w:val="231F20"/>
          <w:spacing w:val="26"/>
          <w:sz w:val="17"/>
        </w:rPr>
        <w:t xml:space="preserve"> </w:t>
      </w:r>
      <w:r>
        <w:rPr>
          <w:color w:val="231F20"/>
          <w:w w:val="95"/>
          <w:sz w:val="17"/>
        </w:rPr>
        <w:t>Sport</w:t>
      </w:r>
      <w:r>
        <w:rPr>
          <w:color w:val="231F20"/>
          <w:spacing w:val="27"/>
          <w:sz w:val="17"/>
        </w:rPr>
        <w:t xml:space="preserve"> </w:t>
      </w:r>
      <w:r>
        <w:rPr>
          <w:color w:val="231F20"/>
          <w:w w:val="95"/>
          <w:sz w:val="17"/>
        </w:rPr>
        <w:t>mad</w:t>
      </w:r>
      <w:r>
        <w:rPr>
          <w:color w:val="231F20"/>
          <w:spacing w:val="27"/>
          <w:sz w:val="17"/>
        </w:rPr>
        <w:t xml:space="preserve"> </w:t>
      </w:r>
      <w:r>
        <w:rPr>
          <w:color w:val="231F20"/>
          <w:w w:val="95"/>
          <w:sz w:val="17"/>
        </w:rPr>
        <w:t>nation?</w:t>
      </w:r>
      <w:r>
        <w:rPr>
          <w:color w:val="231F20"/>
          <w:spacing w:val="26"/>
          <w:sz w:val="17"/>
        </w:rPr>
        <w:t xml:space="preserve"> </w:t>
      </w:r>
      <w:r>
        <w:rPr>
          <w:i/>
          <w:color w:val="231F20"/>
          <w:w w:val="95"/>
          <w:sz w:val="17"/>
        </w:rPr>
        <w:t>Australian</w:t>
      </w:r>
      <w:r>
        <w:rPr>
          <w:i/>
          <w:color w:val="231F20"/>
          <w:spacing w:val="27"/>
          <w:sz w:val="17"/>
        </w:rPr>
        <w:t xml:space="preserve"> </w:t>
      </w:r>
      <w:r>
        <w:rPr>
          <w:i/>
          <w:color w:val="231F20"/>
          <w:w w:val="95"/>
          <w:sz w:val="17"/>
        </w:rPr>
        <w:t>Leisure</w:t>
      </w:r>
      <w:r>
        <w:rPr>
          <w:i/>
          <w:color w:val="231F20"/>
          <w:spacing w:val="27"/>
          <w:sz w:val="17"/>
        </w:rPr>
        <w:t xml:space="preserve"> </w:t>
      </w:r>
      <w:r>
        <w:rPr>
          <w:i/>
          <w:color w:val="231F20"/>
          <w:w w:val="95"/>
          <w:sz w:val="17"/>
        </w:rPr>
        <w:t>Management</w:t>
      </w:r>
      <w:r>
        <w:rPr>
          <w:i/>
          <w:color w:val="231F20"/>
          <w:spacing w:val="26"/>
          <w:sz w:val="17"/>
        </w:rPr>
        <w:t xml:space="preserve"> </w:t>
      </w:r>
      <w:r>
        <w:rPr>
          <w:color w:val="231F20"/>
          <w:spacing w:val="-2"/>
          <w:w w:val="95"/>
          <w:sz w:val="17"/>
        </w:rPr>
        <w:t>October/November,</w:t>
      </w:r>
    </w:p>
    <w:p w14:paraId="62209497" w14:textId="77777777" w:rsidR="00AE0598" w:rsidRDefault="0069255A">
      <w:pPr>
        <w:spacing w:before="2"/>
        <w:ind w:left="430"/>
        <w:rPr>
          <w:sz w:val="17"/>
        </w:rPr>
      </w:pPr>
      <w:r>
        <w:rPr>
          <w:color w:val="231F20"/>
          <w:spacing w:val="-2"/>
          <w:sz w:val="17"/>
        </w:rPr>
        <w:t>32–35.</w:t>
      </w:r>
    </w:p>
    <w:p w14:paraId="16F150D4" w14:textId="77777777" w:rsidR="00AE0598" w:rsidRDefault="0069255A">
      <w:pPr>
        <w:spacing w:before="1"/>
        <w:ind w:left="110" w:right="128"/>
        <w:jc w:val="right"/>
        <w:rPr>
          <w:sz w:val="17"/>
        </w:rPr>
      </w:pPr>
      <w:r>
        <w:rPr>
          <w:color w:val="231F20"/>
          <w:sz w:val="17"/>
        </w:rPr>
        <w:t>Wall,</w:t>
      </w:r>
      <w:r>
        <w:rPr>
          <w:color w:val="231F20"/>
          <w:spacing w:val="49"/>
          <w:sz w:val="17"/>
        </w:rPr>
        <w:t xml:space="preserve"> </w:t>
      </w:r>
      <w:r>
        <w:rPr>
          <w:color w:val="231F20"/>
          <w:sz w:val="17"/>
        </w:rPr>
        <w:t>G.</w:t>
      </w:r>
      <w:r>
        <w:rPr>
          <w:color w:val="231F20"/>
          <w:spacing w:val="50"/>
          <w:sz w:val="17"/>
        </w:rPr>
        <w:t xml:space="preserve"> </w:t>
      </w:r>
      <w:r>
        <w:rPr>
          <w:color w:val="231F20"/>
          <w:sz w:val="17"/>
        </w:rPr>
        <w:t>(1997)</w:t>
      </w:r>
      <w:r>
        <w:rPr>
          <w:color w:val="231F20"/>
          <w:spacing w:val="49"/>
          <w:sz w:val="17"/>
        </w:rPr>
        <w:t xml:space="preserve"> </w:t>
      </w:r>
      <w:r>
        <w:rPr>
          <w:color w:val="231F20"/>
          <w:sz w:val="17"/>
        </w:rPr>
        <w:t>Sustainable</w:t>
      </w:r>
      <w:r>
        <w:rPr>
          <w:color w:val="231F20"/>
          <w:spacing w:val="50"/>
          <w:sz w:val="17"/>
        </w:rPr>
        <w:t xml:space="preserve"> </w:t>
      </w:r>
      <w:r>
        <w:rPr>
          <w:color w:val="231F20"/>
          <w:sz w:val="17"/>
        </w:rPr>
        <w:t>tourism:</w:t>
      </w:r>
      <w:r>
        <w:rPr>
          <w:color w:val="231F20"/>
          <w:spacing w:val="50"/>
          <w:sz w:val="17"/>
        </w:rPr>
        <w:t xml:space="preserve"> </w:t>
      </w:r>
      <w:r>
        <w:rPr>
          <w:color w:val="231F20"/>
          <w:sz w:val="17"/>
        </w:rPr>
        <w:t>Unsustainable</w:t>
      </w:r>
      <w:r>
        <w:rPr>
          <w:color w:val="231F20"/>
          <w:spacing w:val="49"/>
          <w:sz w:val="17"/>
        </w:rPr>
        <w:t xml:space="preserve"> </w:t>
      </w:r>
      <w:r>
        <w:rPr>
          <w:color w:val="231F20"/>
          <w:sz w:val="17"/>
        </w:rPr>
        <w:t>development.</w:t>
      </w:r>
      <w:r>
        <w:rPr>
          <w:color w:val="231F20"/>
          <w:spacing w:val="50"/>
          <w:sz w:val="17"/>
        </w:rPr>
        <w:t xml:space="preserve"> </w:t>
      </w:r>
      <w:r>
        <w:rPr>
          <w:color w:val="231F20"/>
          <w:sz w:val="17"/>
        </w:rPr>
        <w:t>In</w:t>
      </w:r>
      <w:r>
        <w:rPr>
          <w:color w:val="231F20"/>
          <w:spacing w:val="50"/>
          <w:sz w:val="17"/>
        </w:rPr>
        <w:t xml:space="preserve"> </w:t>
      </w:r>
      <w:r>
        <w:rPr>
          <w:color w:val="231F20"/>
          <w:sz w:val="17"/>
        </w:rPr>
        <w:t>S.</w:t>
      </w:r>
      <w:r>
        <w:rPr>
          <w:color w:val="231F20"/>
          <w:spacing w:val="49"/>
          <w:sz w:val="17"/>
        </w:rPr>
        <w:t xml:space="preserve"> </w:t>
      </w:r>
      <w:r>
        <w:rPr>
          <w:color w:val="231F20"/>
          <w:sz w:val="17"/>
        </w:rPr>
        <w:t>Wahab</w:t>
      </w:r>
      <w:r>
        <w:rPr>
          <w:color w:val="231F20"/>
          <w:spacing w:val="50"/>
          <w:sz w:val="17"/>
        </w:rPr>
        <w:t xml:space="preserve"> </w:t>
      </w:r>
      <w:r>
        <w:rPr>
          <w:color w:val="231F20"/>
          <w:spacing w:val="-5"/>
          <w:sz w:val="17"/>
        </w:rPr>
        <w:t>and</w:t>
      </w:r>
    </w:p>
    <w:p w14:paraId="42B6A50A" w14:textId="77777777" w:rsidR="00AE0598" w:rsidRDefault="0069255A">
      <w:pPr>
        <w:ind w:left="110" w:right="127" w:firstLine="320"/>
        <w:jc w:val="right"/>
        <w:rPr>
          <w:sz w:val="17"/>
        </w:rPr>
      </w:pPr>
      <w:r>
        <w:rPr>
          <w:color w:val="231F20"/>
          <w:sz w:val="17"/>
        </w:rPr>
        <w:t xml:space="preserve">J.J. Pigram (eds) </w:t>
      </w:r>
      <w:r>
        <w:rPr>
          <w:i/>
          <w:color w:val="231F20"/>
          <w:sz w:val="17"/>
        </w:rPr>
        <w:t xml:space="preserve">Tourism, Development and Growth </w:t>
      </w:r>
      <w:r>
        <w:rPr>
          <w:color w:val="231F20"/>
          <w:sz w:val="17"/>
        </w:rPr>
        <w:t>(pp. 33–49). London: Routledge.</w:t>
      </w:r>
      <w:r>
        <w:rPr>
          <w:color w:val="231F20"/>
          <w:spacing w:val="40"/>
          <w:sz w:val="17"/>
        </w:rPr>
        <w:t xml:space="preserve"> </w:t>
      </w:r>
      <w:r>
        <w:rPr>
          <w:color w:val="231F20"/>
          <w:sz w:val="17"/>
        </w:rPr>
        <w:t>Wall,</w:t>
      </w:r>
      <w:r>
        <w:rPr>
          <w:color w:val="231F20"/>
          <w:spacing w:val="9"/>
          <w:sz w:val="17"/>
        </w:rPr>
        <w:t xml:space="preserve"> </w:t>
      </w:r>
      <w:r>
        <w:rPr>
          <w:color w:val="231F20"/>
          <w:sz w:val="17"/>
        </w:rPr>
        <w:t>G.</w:t>
      </w:r>
      <w:r>
        <w:rPr>
          <w:color w:val="231F20"/>
          <w:spacing w:val="9"/>
          <w:sz w:val="17"/>
        </w:rPr>
        <w:t xml:space="preserve"> </w:t>
      </w:r>
      <w:r>
        <w:rPr>
          <w:color w:val="231F20"/>
          <w:sz w:val="17"/>
        </w:rPr>
        <w:t>and</w:t>
      </w:r>
      <w:r>
        <w:rPr>
          <w:color w:val="231F20"/>
          <w:spacing w:val="10"/>
          <w:sz w:val="17"/>
        </w:rPr>
        <w:t xml:space="preserve"> </w:t>
      </w:r>
      <w:r>
        <w:rPr>
          <w:color w:val="231F20"/>
          <w:sz w:val="17"/>
        </w:rPr>
        <w:t>Mathieson,</w:t>
      </w:r>
      <w:r>
        <w:rPr>
          <w:color w:val="231F20"/>
          <w:spacing w:val="9"/>
          <w:sz w:val="17"/>
        </w:rPr>
        <w:t xml:space="preserve"> </w:t>
      </w:r>
      <w:r>
        <w:rPr>
          <w:color w:val="231F20"/>
          <w:sz w:val="17"/>
        </w:rPr>
        <w:t>A.</w:t>
      </w:r>
      <w:r>
        <w:rPr>
          <w:color w:val="231F20"/>
          <w:spacing w:val="9"/>
          <w:sz w:val="17"/>
        </w:rPr>
        <w:t xml:space="preserve"> </w:t>
      </w:r>
      <w:r>
        <w:rPr>
          <w:color w:val="231F20"/>
          <w:sz w:val="17"/>
        </w:rPr>
        <w:t>(2006)</w:t>
      </w:r>
      <w:r>
        <w:rPr>
          <w:color w:val="231F20"/>
          <w:spacing w:val="10"/>
          <w:sz w:val="17"/>
        </w:rPr>
        <w:t xml:space="preserve"> </w:t>
      </w:r>
      <w:r>
        <w:rPr>
          <w:i/>
          <w:color w:val="231F20"/>
          <w:sz w:val="17"/>
        </w:rPr>
        <w:t>Tourism:</w:t>
      </w:r>
      <w:r>
        <w:rPr>
          <w:i/>
          <w:color w:val="231F20"/>
          <w:spacing w:val="9"/>
          <w:sz w:val="17"/>
        </w:rPr>
        <w:t xml:space="preserve"> </w:t>
      </w:r>
      <w:r>
        <w:rPr>
          <w:i/>
          <w:color w:val="231F20"/>
          <w:sz w:val="17"/>
        </w:rPr>
        <w:t>Change,</w:t>
      </w:r>
      <w:r>
        <w:rPr>
          <w:i/>
          <w:color w:val="231F20"/>
          <w:spacing w:val="9"/>
          <w:sz w:val="17"/>
        </w:rPr>
        <w:t xml:space="preserve"> </w:t>
      </w:r>
      <w:r>
        <w:rPr>
          <w:i/>
          <w:color w:val="231F20"/>
          <w:sz w:val="17"/>
        </w:rPr>
        <w:t>Impacts,</w:t>
      </w:r>
      <w:r>
        <w:rPr>
          <w:i/>
          <w:color w:val="231F20"/>
          <w:spacing w:val="10"/>
          <w:sz w:val="17"/>
        </w:rPr>
        <w:t xml:space="preserve"> </w:t>
      </w:r>
      <w:r>
        <w:rPr>
          <w:i/>
          <w:color w:val="231F20"/>
          <w:sz w:val="17"/>
        </w:rPr>
        <w:t>and</w:t>
      </w:r>
      <w:r>
        <w:rPr>
          <w:i/>
          <w:color w:val="231F20"/>
          <w:spacing w:val="9"/>
          <w:sz w:val="17"/>
        </w:rPr>
        <w:t xml:space="preserve"> </w:t>
      </w:r>
      <w:r>
        <w:rPr>
          <w:i/>
          <w:color w:val="231F20"/>
          <w:sz w:val="17"/>
        </w:rPr>
        <w:t>Opportunities</w:t>
      </w:r>
      <w:r>
        <w:rPr>
          <w:color w:val="231F20"/>
          <w:sz w:val="17"/>
        </w:rPr>
        <w:t>.</w:t>
      </w:r>
      <w:r>
        <w:rPr>
          <w:color w:val="231F20"/>
          <w:spacing w:val="9"/>
          <w:sz w:val="17"/>
        </w:rPr>
        <w:t xml:space="preserve"> </w:t>
      </w:r>
      <w:r>
        <w:rPr>
          <w:color w:val="231F20"/>
          <w:spacing w:val="-2"/>
          <w:sz w:val="17"/>
        </w:rPr>
        <w:t>Harlow:</w:t>
      </w:r>
    </w:p>
    <w:p w14:paraId="73E64A2B" w14:textId="77777777" w:rsidR="00AE0598" w:rsidRDefault="0069255A">
      <w:pPr>
        <w:spacing w:before="2"/>
        <w:ind w:left="430"/>
        <w:rPr>
          <w:sz w:val="17"/>
        </w:rPr>
      </w:pPr>
      <w:r>
        <w:rPr>
          <w:color w:val="231F20"/>
          <w:w w:val="95"/>
          <w:sz w:val="17"/>
        </w:rPr>
        <w:t>Pearson</w:t>
      </w:r>
      <w:r>
        <w:rPr>
          <w:color w:val="231F20"/>
          <w:spacing w:val="-2"/>
          <w:sz w:val="17"/>
        </w:rPr>
        <w:t xml:space="preserve"> Education.</w:t>
      </w:r>
    </w:p>
    <w:p w14:paraId="64B85625" w14:textId="77777777" w:rsidR="00AE0598" w:rsidRDefault="0069255A">
      <w:pPr>
        <w:ind w:left="430" w:hanging="320"/>
        <w:rPr>
          <w:sz w:val="17"/>
        </w:rPr>
      </w:pPr>
      <w:r>
        <w:rPr>
          <w:color w:val="231F20"/>
          <w:sz w:val="17"/>
        </w:rPr>
        <w:t>Wang,</w:t>
      </w:r>
      <w:r>
        <w:rPr>
          <w:color w:val="231F20"/>
          <w:spacing w:val="40"/>
          <w:sz w:val="17"/>
        </w:rPr>
        <w:t xml:space="preserve"> </w:t>
      </w:r>
      <w:r>
        <w:rPr>
          <w:color w:val="231F20"/>
          <w:sz w:val="17"/>
        </w:rPr>
        <w:t>N.</w:t>
      </w:r>
      <w:r>
        <w:rPr>
          <w:color w:val="231F20"/>
          <w:spacing w:val="40"/>
          <w:sz w:val="17"/>
        </w:rPr>
        <w:t xml:space="preserve"> </w:t>
      </w:r>
      <w:r>
        <w:rPr>
          <w:color w:val="231F20"/>
          <w:sz w:val="17"/>
        </w:rPr>
        <w:t>(1999)</w:t>
      </w:r>
      <w:r>
        <w:rPr>
          <w:color w:val="231F20"/>
          <w:spacing w:val="40"/>
          <w:sz w:val="17"/>
        </w:rPr>
        <w:t xml:space="preserve"> </w:t>
      </w:r>
      <w:r>
        <w:rPr>
          <w:color w:val="231F20"/>
          <w:sz w:val="17"/>
        </w:rPr>
        <w:t>Rethinking</w:t>
      </w:r>
      <w:r>
        <w:rPr>
          <w:color w:val="231F20"/>
          <w:spacing w:val="40"/>
          <w:sz w:val="17"/>
        </w:rPr>
        <w:t xml:space="preserve"> </w:t>
      </w:r>
      <w:r>
        <w:rPr>
          <w:color w:val="231F20"/>
          <w:sz w:val="17"/>
        </w:rPr>
        <w:t>authenticity</w:t>
      </w:r>
      <w:r>
        <w:rPr>
          <w:color w:val="231F20"/>
          <w:spacing w:val="40"/>
          <w:sz w:val="17"/>
        </w:rPr>
        <w:t xml:space="preserve"> </w:t>
      </w:r>
      <w:r>
        <w:rPr>
          <w:color w:val="231F20"/>
          <w:sz w:val="17"/>
        </w:rPr>
        <w:t>in</w:t>
      </w:r>
      <w:r>
        <w:rPr>
          <w:color w:val="231F20"/>
          <w:spacing w:val="40"/>
          <w:sz w:val="17"/>
        </w:rPr>
        <w:t xml:space="preserve"> </w:t>
      </w:r>
      <w:r>
        <w:rPr>
          <w:color w:val="231F20"/>
          <w:sz w:val="17"/>
        </w:rPr>
        <w:t>tourism</w:t>
      </w:r>
      <w:r>
        <w:rPr>
          <w:color w:val="231F20"/>
          <w:spacing w:val="40"/>
          <w:sz w:val="17"/>
        </w:rPr>
        <w:t xml:space="preserve"> </w:t>
      </w:r>
      <w:r>
        <w:rPr>
          <w:color w:val="231F20"/>
          <w:sz w:val="17"/>
        </w:rPr>
        <w:t>experience.</w:t>
      </w:r>
      <w:r>
        <w:rPr>
          <w:color w:val="231F20"/>
          <w:spacing w:val="40"/>
          <w:sz w:val="17"/>
        </w:rPr>
        <w:t xml:space="preserve"> </w:t>
      </w:r>
      <w:r>
        <w:rPr>
          <w:i/>
          <w:color w:val="231F20"/>
          <w:sz w:val="17"/>
        </w:rPr>
        <w:t>Annals</w:t>
      </w:r>
      <w:r>
        <w:rPr>
          <w:i/>
          <w:color w:val="231F20"/>
          <w:spacing w:val="40"/>
          <w:sz w:val="17"/>
        </w:rPr>
        <w:t xml:space="preserve"> </w:t>
      </w:r>
      <w:r>
        <w:rPr>
          <w:i/>
          <w:color w:val="231F20"/>
          <w:sz w:val="17"/>
        </w:rPr>
        <w:t>of</w:t>
      </w:r>
      <w:r>
        <w:rPr>
          <w:i/>
          <w:color w:val="231F20"/>
          <w:spacing w:val="40"/>
          <w:sz w:val="17"/>
        </w:rPr>
        <w:t xml:space="preserve"> </w:t>
      </w:r>
      <w:r>
        <w:rPr>
          <w:i/>
          <w:color w:val="231F20"/>
          <w:sz w:val="17"/>
        </w:rPr>
        <w:t>Tourism</w:t>
      </w:r>
      <w:r>
        <w:rPr>
          <w:i/>
          <w:color w:val="231F20"/>
          <w:spacing w:val="40"/>
          <w:sz w:val="17"/>
        </w:rPr>
        <w:t xml:space="preserve"> </w:t>
      </w:r>
      <w:r>
        <w:rPr>
          <w:i/>
          <w:color w:val="231F20"/>
          <w:sz w:val="17"/>
        </w:rPr>
        <w:t xml:space="preserve">Research </w:t>
      </w:r>
      <w:r>
        <w:rPr>
          <w:color w:val="231F20"/>
          <w:sz w:val="17"/>
        </w:rPr>
        <w:t>26 (2), 349–370.</w:t>
      </w:r>
    </w:p>
    <w:p w14:paraId="0ECDB378" w14:textId="77777777" w:rsidR="00AE0598" w:rsidRDefault="0069255A">
      <w:pPr>
        <w:spacing w:before="2"/>
        <w:ind w:left="110" w:right="286"/>
        <w:rPr>
          <w:sz w:val="17"/>
        </w:rPr>
      </w:pPr>
      <w:r>
        <w:rPr>
          <w:color w:val="231F20"/>
          <w:sz w:val="17"/>
        </w:rPr>
        <w:t xml:space="preserve">Ward, T. (2009) Sport and national identity. </w:t>
      </w:r>
      <w:r>
        <w:rPr>
          <w:i/>
          <w:color w:val="231F20"/>
          <w:sz w:val="17"/>
        </w:rPr>
        <w:t xml:space="preserve">Soccer </w:t>
      </w:r>
      <w:r>
        <w:rPr>
          <w:i/>
          <w:color w:val="231F20"/>
          <w:w w:val="110"/>
          <w:sz w:val="17"/>
        </w:rPr>
        <w:t xml:space="preserve">&amp; </w:t>
      </w:r>
      <w:r>
        <w:rPr>
          <w:i/>
          <w:color w:val="231F20"/>
          <w:sz w:val="17"/>
        </w:rPr>
        <w:t xml:space="preserve">Society </w:t>
      </w:r>
      <w:r>
        <w:rPr>
          <w:color w:val="231F20"/>
          <w:sz w:val="17"/>
        </w:rPr>
        <w:t>10 (5), 518–531.</w:t>
      </w:r>
      <w:r>
        <w:rPr>
          <w:color w:val="231F20"/>
          <w:spacing w:val="40"/>
          <w:sz w:val="17"/>
        </w:rPr>
        <w:t xml:space="preserve"> </w:t>
      </w:r>
      <w:r>
        <w:rPr>
          <w:color w:val="231F20"/>
          <w:sz w:val="17"/>
        </w:rPr>
        <w:t xml:space="preserve">Warshaw, M. (2010) </w:t>
      </w:r>
      <w:r>
        <w:rPr>
          <w:i/>
          <w:color w:val="231F20"/>
          <w:sz w:val="17"/>
        </w:rPr>
        <w:t>The History of Surfing</w:t>
      </w:r>
      <w:r>
        <w:rPr>
          <w:color w:val="231F20"/>
          <w:sz w:val="17"/>
        </w:rPr>
        <w:t>. San Francisco, CA: Chronicle Books.</w:t>
      </w:r>
    </w:p>
    <w:p w14:paraId="046AB6E6" w14:textId="77777777" w:rsidR="00AE0598" w:rsidRDefault="0069255A">
      <w:pPr>
        <w:spacing w:before="1"/>
        <w:ind w:left="430" w:hanging="320"/>
        <w:rPr>
          <w:sz w:val="17"/>
        </w:rPr>
      </w:pPr>
      <w:r>
        <w:rPr>
          <w:color w:val="231F20"/>
          <w:sz w:val="17"/>
        </w:rPr>
        <w:t xml:space="preserve">Washington, R.E. and Karen, D. (2001) Sport and society. </w:t>
      </w:r>
      <w:r>
        <w:rPr>
          <w:i/>
          <w:color w:val="231F20"/>
          <w:sz w:val="17"/>
        </w:rPr>
        <w:t xml:space="preserve">Annual Review of Sociology </w:t>
      </w:r>
      <w:r>
        <w:rPr>
          <w:color w:val="231F20"/>
          <w:sz w:val="17"/>
        </w:rPr>
        <w:t>27,</w:t>
      </w:r>
      <w:r>
        <w:rPr>
          <w:color w:val="231F20"/>
          <w:spacing w:val="40"/>
          <w:sz w:val="17"/>
        </w:rPr>
        <w:t xml:space="preserve"> </w:t>
      </w:r>
      <w:r>
        <w:rPr>
          <w:color w:val="231F20"/>
          <w:spacing w:val="-2"/>
          <w:sz w:val="17"/>
        </w:rPr>
        <w:t>187–212.</w:t>
      </w:r>
    </w:p>
    <w:p w14:paraId="0CF740CB" w14:textId="77777777" w:rsidR="00AE0598" w:rsidRDefault="0069255A">
      <w:pPr>
        <w:spacing w:before="2"/>
        <w:ind w:left="430" w:hanging="320"/>
        <w:rPr>
          <w:sz w:val="17"/>
        </w:rPr>
      </w:pPr>
      <w:r>
        <w:rPr>
          <w:color w:val="231F20"/>
          <w:sz w:val="17"/>
        </w:rPr>
        <w:t>Watson,</w:t>
      </w:r>
      <w:r>
        <w:rPr>
          <w:color w:val="231F20"/>
          <w:spacing w:val="-4"/>
          <w:sz w:val="17"/>
        </w:rPr>
        <w:t xml:space="preserve"> </w:t>
      </w:r>
      <w:r>
        <w:rPr>
          <w:color w:val="231F20"/>
          <w:sz w:val="17"/>
        </w:rPr>
        <w:t>A.E.</w:t>
      </w:r>
      <w:r>
        <w:rPr>
          <w:color w:val="231F20"/>
          <w:spacing w:val="-4"/>
          <w:sz w:val="17"/>
        </w:rPr>
        <w:t xml:space="preserve"> </w:t>
      </w:r>
      <w:r>
        <w:rPr>
          <w:color w:val="231F20"/>
          <w:sz w:val="17"/>
        </w:rPr>
        <w:t>and</w:t>
      </w:r>
      <w:r>
        <w:rPr>
          <w:color w:val="231F20"/>
          <w:spacing w:val="-4"/>
          <w:sz w:val="17"/>
        </w:rPr>
        <w:t xml:space="preserve"> </w:t>
      </w:r>
      <w:r>
        <w:rPr>
          <w:color w:val="231F20"/>
          <w:sz w:val="17"/>
        </w:rPr>
        <w:t>Roggenbuck,</w:t>
      </w:r>
      <w:r>
        <w:rPr>
          <w:color w:val="231F20"/>
          <w:spacing w:val="-4"/>
          <w:sz w:val="17"/>
        </w:rPr>
        <w:t xml:space="preserve"> </w:t>
      </w:r>
      <w:r>
        <w:rPr>
          <w:color w:val="231F20"/>
          <w:sz w:val="17"/>
        </w:rPr>
        <w:t>J.W.</w:t>
      </w:r>
      <w:r>
        <w:rPr>
          <w:color w:val="231F20"/>
          <w:spacing w:val="-4"/>
          <w:sz w:val="17"/>
        </w:rPr>
        <w:t xml:space="preserve"> </w:t>
      </w:r>
      <w:r>
        <w:rPr>
          <w:color w:val="231F20"/>
          <w:sz w:val="17"/>
        </w:rPr>
        <w:t>(1991)</w:t>
      </w:r>
      <w:r>
        <w:rPr>
          <w:color w:val="231F20"/>
          <w:spacing w:val="-4"/>
          <w:sz w:val="17"/>
        </w:rPr>
        <w:t xml:space="preserve"> </w:t>
      </w:r>
      <w:r>
        <w:rPr>
          <w:color w:val="231F20"/>
          <w:sz w:val="17"/>
        </w:rPr>
        <w:t>The</w:t>
      </w:r>
      <w:r>
        <w:rPr>
          <w:color w:val="231F20"/>
          <w:spacing w:val="-4"/>
          <w:sz w:val="17"/>
        </w:rPr>
        <w:t xml:space="preserve"> </w:t>
      </w:r>
      <w:r>
        <w:rPr>
          <w:color w:val="231F20"/>
          <w:sz w:val="17"/>
        </w:rPr>
        <w:t>influence</w:t>
      </w:r>
      <w:r>
        <w:rPr>
          <w:color w:val="231F20"/>
          <w:spacing w:val="-4"/>
          <w:sz w:val="17"/>
        </w:rPr>
        <w:t xml:space="preserve"> </w:t>
      </w:r>
      <w:r>
        <w:rPr>
          <w:color w:val="231F20"/>
          <w:sz w:val="17"/>
        </w:rPr>
        <w:t>of</w:t>
      </w:r>
      <w:r>
        <w:rPr>
          <w:color w:val="231F20"/>
          <w:spacing w:val="-4"/>
          <w:sz w:val="17"/>
        </w:rPr>
        <w:t xml:space="preserve"> </w:t>
      </w:r>
      <w:r>
        <w:rPr>
          <w:color w:val="231F20"/>
          <w:sz w:val="17"/>
        </w:rPr>
        <w:t>past</w:t>
      </w:r>
      <w:r>
        <w:rPr>
          <w:color w:val="231F20"/>
          <w:spacing w:val="-4"/>
          <w:sz w:val="17"/>
        </w:rPr>
        <w:t xml:space="preserve"> </w:t>
      </w:r>
      <w:r>
        <w:rPr>
          <w:color w:val="231F20"/>
          <w:sz w:val="17"/>
        </w:rPr>
        <w:t>experience</w:t>
      </w:r>
      <w:r>
        <w:rPr>
          <w:color w:val="231F20"/>
          <w:spacing w:val="-4"/>
          <w:sz w:val="17"/>
        </w:rPr>
        <w:t xml:space="preserve"> </w:t>
      </w:r>
      <w:r>
        <w:rPr>
          <w:color w:val="231F20"/>
          <w:sz w:val="17"/>
        </w:rPr>
        <w:t>on</w:t>
      </w:r>
      <w:r>
        <w:rPr>
          <w:color w:val="231F20"/>
          <w:spacing w:val="-4"/>
          <w:sz w:val="17"/>
        </w:rPr>
        <w:t xml:space="preserve"> </w:t>
      </w:r>
      <w:r>
        <w:rPr>
          <w:color w:val="231F20"/>
          <w:sz w:val="17"/>
        </w:rPr>
        <w:t>wil</w:t>
      </w:r>
      <w:r>
        <w:rPr>
          <w:color w:val="231F20"/>
          <w:sz w:val="17"/>
        </w:rPr>
        <w:t>derness</w:t>
      </w:r>
      <w:r>
        <w:rPr>
          <w:color w:val="231F20"/>
          <w:spacing w:val="40"/>
          <w:w w:val="105"/>
          <w:sz w:val="17"/>
        </w:rPr>
        <w:t xml:space="preserve"> </w:t>
      </w:r>
      <w:r>
        <w:rPr>
          <w:color w:val="231F20"/>
          <w:w w:val="105"/>
          <w:sz w:val="17"/>
        </w:rPr>
        <w:t>choice.</w:t>
      </w:r>
      <w:r>
        <w:rPr>
          <w:color w:val="231F20"/>
          <w:spacing w:val="-3"/>
          <w:w w:val="105"/>
          <w:sz w:val="17"/>
        </w:rPr>
        <w:t xml:space="preserve"> </w:t>
      </w:r>
      <w:r>
        <w:rPr>
          <w:i/>
          <w:color w:val="231F20"/>
          <w:w w:val="105"/>
          <w:sz w:val="17"/>
        </w:rPr>
        <w:t>Journal</w:t>
      </w:r>
      <w:r>
        <w:rPr>
          <w:i/>
          <w:color w:val="231F20"/>
          <w:spacing w:val="-3"/>
          <w:w w:val="105"/>
          <w:sz w:val="17"/>
        </w:rPr>
        <w:t xml:space="preserve"> </w:t>
      </w:r>
      <w:r>
        <w:rPr>
          <w:i/>
          <w:color w:val="231F20"/>
          <w:w w:val="105"/>
          <w:sz w:val="17"/>
        </w:rPr>
        <w:t>of</w:t>
      </w:r>
      <w:r>
        <w:rPr>
          <w:i/>
          <w:color w:val="231F20"/>
          <w:spacing w:val="-3"/>
          <w:w w:val="105"/>
          <w:sz w:val="17"/>
        </w:rPr>
        <w:t xml:space="preserve"> </w:t>
      </w:r>
      <w:r>
        <w:rPr>
          <w:i/>
          <w:color w:val="231F20"/>
          <w:w w:val="105"/>
          <w:sz w:val="17"/>
        </w:rPr>
        <w:t>Leisure</w:t>
      </w:r>
      <w:r>
        <w:rPr>
          <w:i/>
          <w:color w:val="231F20"/>
          <w:spacing w:val="-3"/>
          <w:w w:val="105"/>
          <w:sz w:val="17"/>
        </w:rPr>
        <w:t xml:space="preserve"> </w:t>
      </w:r>
      <w:r>
        <w:rPr>
          <w:i/>
          <w:color w:val="231F20"/>
          <w:w w:val="105"/>
          <w:sz w:val="17"/>
        </w:rPr>
        <w:t>Research</w:t>
      </w:r>
      <w:r>
        <w:rPr>
          <w:i/>
          <w:color w:val="231F20"/>
          <w:spacing w:val="-3"/>
          <w:w w:val="105"/>
          <w:sz w:val="17"/>
        </w:rPr>
        <w:t xml:space="preserve"> </w:t>
      </w:r>
      <w:r>
        <w:rPr>
          <w:color w:val="231F20"/>
          <w:w w:val="105"/>
          <w:sz w:val="17"/>
        </w:rPr>
        <w:t>23</w:t>
      </w:r>
      <w:r>
        <w:rPr>
          <w:color w:val="231F20"/>
          <w:spacing w:val="-3"/>
          <w:w w:val="105"/>
          <w:sz w:val="17"/>
        </w:rPr>
        <w:t xml:space="preserve"> </w:t>
      </w:r>
      <w:r>
        <w:rPr>
          <w:color w:val="231F20"/>
          <w:w w:val="105"/>
          <w:sz w:val="17"/>
        </w:rPr>
        <w:t>(1),</w:t>
      </w:r>
      <w:r>
        <w:rPr>
          <w:color w:val="231F20"/>
          <w:spacing w:val="-3"/>
          <w:w w:val="105"/>
          <w:sz w:val="17"/>
        </w:rPr>
        <w:t xml:space="preserve"> </w:t>
      </w:r>
      <w:r>
        <w:rPr>
          <w:color w:val="231F20"/>
          <w:w w:val="105"/>
          <w:sz w:val="17"/>
        </w:rPr>
        <w:t>21–36.</w:t>
      </w:r>
    </w:p>
    <w:p w14:paraId="047D57CF" w14:textId="77777777" w:rsidR="00AE0598" w:rsidRDefault="0069255A">
      <w:pPr>
        <w:spacing w:before="1"/>
        <w:ind w:left="110"/>
        <w:rPr>
          <w:sz w:val="17"/>
        </w:rPr>
      </w:pPr>
      <w:r>
        <w:rPr>
          <w:color w:val="231F20"/>
          <w:sz w:val="17"/>
        </w:rPr>
        <w:t>Weaver,</w:t>
      </w:r>
      <w:r>
        <w:rPr>
          <w:color w:val="231F20"/>
          <w:spacing w:val="4"/>
          <w:sz w:val="17"/>
        </w:rPr>
        <w:t xml:space="preserve"> </w:t>
      </w:r>
      <w:r>
        <w:rPr>
          <w:color w:val="231F20"/>
          <w:sz w:val="17"/>
        </w:rPr>
        <w:t>D.</w:t>
      </w:r>
      <w:r>
        <w:rPr>
          <w:color w:val="231F20"/>
          <w:spacing w:val="4"/>
          <w:sz w:val="17"/>
        </w:rPr>
        <w:t xml:space="preserve"> </w:t>
      </w:r>
      <w:r>
        <w:rPr>
          <w:color w:val="231F20"/>
          <w:sz w:val="17"/>
        </w:rPr>
        <w:t>and</w:t>
      </w:r>
      <w:r>
        <w:rPr>
          <w:color w:val="231F20"/>
          <w:spacing w:val="5"/>
          <w:sz w:val="17"/>
        </w:rPr>
        <w:t xml:space="preserve"> </w:t>
      </w:r>
      <w:r>
        <w:rPr>
          <w:color w:val="231F20"/>
          <w:sz w:val="17"/>
        </w:rPr>
        <w:t>Lawton,</w:t>
      </w:r>
      <w:r>
        <w:rPr>
          <w:color w:val="231F20"/>
          <w:spacing w:val="4"/>
          <w:sz w:val="17"/>
        </w:rPr>
        <w:t xml:space="preserve"> </w:t>
      </w:r>
      <w:r>
        <w:rPr>
          <w:color w:val="231F20"/>
          <w:sz w:val="17"/>
        </w:rPr>
        <w:t>L.</w:t>
      </w:r>
      <w:r>
        <w:rPr>
          <w:color w:val="231F20"/>
          <w:spacing w:val="4"/>
          <w:sz w:val="17"/>
        </w:rPr>
        <w:t xml:space="preserve"> </w:t>
      </w:r>
      <w:r>
        <w:rPr>
          <w:color w:val="231F20"/>
          <w:sz w:val="17"/>
        </w:rPr>
        <w:t>(2002)</w:t>
      </w:r>
      <w:r>
        <w:rPr>
          <w:color w:val="231F20"/>
          <w:spacing w:val="5"/>
          <w:sz w:val="17"/>
        </w:rPr>
        <w:t xml:space="preserve"> </w:t>
      </w:r>
      <w:r>
        <w:rPr>
          <w:i/>
          <w:color w:val="231F20"/>
          <w:sz w:val="17"/>
        </w:rPr>
        <w:t>Tourism</w:t>
      </w:r>
      <w:r>
        <w:rPr>
          <w:i/>
          <w:color w:val="231F20"/>
          <w:spacing w:val="4"/>
          <w:sz w:val="17"/>
        </w:rPr>
        <w:t xml:space="preserve"> </w:t>
      </w:r>
      <w:r>
        <w:rPr>
          <w:i/>
          <w:color w:val="231F20"/>
          <w:sz w:val="17"/>
        </w:rPr>
        <w:t>Management</w:t>
      </w:r>
      <w:r>
        <w:rPr>
          <w:color w:val="231F20"/>
          <w:sz w:val="17"/>
        </w:rPr>
        <w:t>.</w:t>
      </w:r>
      <w:r>
        <w:rPr>
          <w:color w:val="231F20"/>
          <w:spacing w:val="4"/>
          <w:sz w:val="17"/>
        </w:rPr>
        <w:t xml:space="preserve"> </w:t>
      </w:r>
      <w:r>
        <w:rPr>
          <w:color w:val="231F20"/>
          <w:sz w:val="17"/>
        </w:rPr>
        <w:t>Brisbane:</w:t>
      </w:r>
      <w:r>
        <w:rPr>
          <w:color w:val="231F20"/>
          <w:spacing w:val="5"/>
          <w:sz w:val="17"/>
        </w:rPr>
        <w:t xml:space="preserve"> </w:t>
      </w:r>
      <w:r>
        <w:rPr>
          <w:color w:val="231F20"/>
          <w:sz w:val="17"/>
        </w:rPr>
        <w:t>Wiley</w:t>
      </w:r>
      <w:r>
        <w:rPr>
          <w:color w:val="231F20"/>
          <w:spacing w:val="4"/>
          <w:sz w:val="17"/>
        </w:rPr>
        <w:t xml:space="preserve"> </w:t>
      </w:r>
      <w:r>
        <w:rPr>
          <w:color w:val="231F20"/>
          <w:sz w:val="17"/>
        </w:rPr>
        <w:t>&amp;</w:t>
      </w:r>
      <w:r>
        <w:rPr>
          <w:color w:val="231F20"/>
          <w:spacing w:val="4"/>
          <w:sz w:val="17"/>
        </w:rPr>
        <w:t xml:space="preserve"> </w:t>
      </w:r>
      <w:r>
        <w:rPr>
          <w:color w:val="231F20"/>
          <w:spacing w:val="-2"/>
          <w:sz w:val="17"/>
        </w:rPr>
        <w:t>Sons.</w:t>
      </w:r>
    </w:p>
    <w:p w14:paraId="579E4C2E" w14:textId="77777777" w:rsidR="00AE0598" w:rsidRDefault="0069255A">
      <w:pPr>
        <w:spacing w:before="1"/>
        <w:ind w:left="430" w:right="128" w:hanging="320"/>
        <w:jc w:val="both"/>
        <w:rPr>
          <w:sz w:val="17"/>
        </w:rPr>
      </w:pPr>
      <w:r>
        <w:rPr>
          <w:color w:val="231F20"/>
          <w:sz w:val="17"/>
        </w:rPr>
        <w:t>Webb, S. and Magnussen, B. (2002) Evaluating major sports events as cultural icons and</w:t>
      </w:r>
      <w:r>
        <w:rPr>
          <w:color w:val="231F20"/>
          <w:spacing w:val="40"/>
          <w:sz w:val="17"/>
        </w:rPr>
        <w:t xml:space="preserve"> </w:t>
      </w:r>
      <w:r>
        <w:rPr>
          <w:color w:val="231F20"/>
          <w:w w:val="95"/>
          <w:sz w:val="17"/>
        </w:rPr>
        <w:t>economic drivers: A case study of Rugby World Cup 1999. Paper presented at Tourism</w:t>
      </w:r>
      <w:r>
        <w:rPr>
          <w:color w:val="231F20"/>
          <w:spacing w:val="40"/>
          <w:sz w:val="17"/>
        </w:rPr>
        <w:t xml:space="preserve"> </w:t>
      </w:r>
      <w:r>
        <w:rPr>
          <w:color w:val="231F20"/>
          <w:sz w:val="17"/>
        </w:rPr>
        <w:t>Research 2002, an international interdisciplinary conference in Cardiff, Wales.</w:t>
      </w:r>
    </w:p>
    <w:p w14:paraId="6EDD7273" w14:textId="77777777" w:rsidR="00AE0598" w:rsidRDefault="0069255A">
      <w:pPr>
        <w:spacing w:before="2"/>
        <w:ind w:left="430" w:right="128" w:hanging="320"/>
        <w:jc w:val="both"/>
        <w:rPr>
          <w:sz w:val="17"/>
        </w:rPr>
      </w:pPr>
      <w:r>
        <w:rPr>
          <w:color w:val="231F20"/>
          <w:sz w:val="17"/>
        </w:rPr>
        <w:t>Wedeme</w:t>
      </w:r>
      <w:r>
        <w:rPr>
          <w:color w:val="231F20"/>
          <w:sz w:val="17"/>
        </w:rPr>
        <w:t>yer,</w:t>
      </w:r>
      <w:r>
        <w:rPr>
          <w:color w:val="231F20"/>
          <w:spacing w:val="73"/>
          <w:sz w:val="17"/>
        </w:rPr>
        <w:t xml:space="preserve"> </w:t>
      </w:r>
      <w:r>
        <w:rPr>
          <w:color w:val="231F20"/>
          <w:sz w:val="17"/>
        </w:rPr>
        <w:t>B.</w:t>
      </w:r>
      <w:r>
        <w:rPr>
          <w:color w:val="231F20"/>
          <w:spacing w:val="73"/>
          <w:sz w:val="17"/>
        </w:rPr>
        <w:t xml:space="preserve"> </w:t>
      </w:r>
      <w:r>
        <w:rPr>
          <w:color w:val="231F20"/>
          <w:sz w:val="17"/>
        </w:rPr>
        <w:t>(1999)</w:t>
      </w:r>
      <w:r>
        <w:rPr>
          <w:color w:val="231F20"/>
          <w:spacing w:val="73"/>
          <w:sz w:val="17"/>
        </w:rPr>
        <w:t xml:space="preserve"> </w:t>
      </w:r>
      <w:r>
        <w:rPr>
          <w:color w:val="231F20"/>
          <w:sz w:val="17"/>
        </w:rPr>
        <w:t>Sport</w:t>
      </w:r>
      <w:r>
        <w:rPr>
          <w:color w:val="231F20"/>
          <w:spacing w:val="73"/>
          <w:sz w:val="17"/>
        </w:rPr>
        <w:t xml:space="preserve"> </w:t>
      </w:r>
      <w:r>
        <w:rPr>
          <w:color w:val="231F20"/>
          <w:sz w:val="17"/>
        </w:rPr>
        <w:t>and</w:t>
      </w:r>
      <w:r>
        <w:rPr>
          <w:color w:val="231F20"/>
          <w:spacing w:val="73"/>
          <w:sz w:val="17"/>
        </w:rPr>
        <w:t xml:space="preserve"> </w:t>
      </w:r>
      <w:r>
        <w:rPr>
          <w:color w:val="231F20"/>
          <w:sz w:val="17"/>
        </w:rPr>
        <w:t>terrorism.</w:t>
      </w:r>
      <w:r>
        <w:rPr>
          <w:color w:val="231F20"/>
          <w:spacing w:val="73"/>
          <w:sz w:val="17"/>
        </w:rPr>
        <w:t xml:space="preserve"> </w:t>
      </w:r>
      <w:r>
        <w:rPr>
          <w:color w:val="231F20"/>
          <w:sz w:val="17"/>
        </w:rPr>
        <w:t>In</w:t>
      </w:r>
      <w:r>
        <w:rPr>
          <w:color w:val="231F20"/>
          <w:spacing w:val="72"/>
          <w:w w:val="105"/>
          <w:sz w:val="17"/>
        </w:rPr>
        <w:t xml:space="preserve"> </w:t>
      </w:r>
      <w:r>
        <w:rPr>
          <w:color w:val="231F20"/>
          <w:w w:val="105"/>
          <w:sz w:val="17"/>
        </w:rPr>
        <w:t>J.</w:t>
      </w:r>
      <w:r>
        <w:rPr>
          <w:color w:val="231F20"/>
          <w:spacing w:val="72"/>
          <w:w w:val="105"/>
          <w:sz w:val="17"/>
        </w:rPr>
        <w:t xml:space="preserve"> </w:t>
      </w:r>
      <w:r>
        <w:rPr>
          <w:color w:val="231F20"/>
          <w:sz w:val="17"/>
        </w:rPr>
        <w:t>Riordan</w:t>
      </w:r>
      <w:r>
        <w:rPr>
          <w:color w:val="231F20"/>
          <w:spacing w:val="73"/>
          <w:sz w:val="17"/>
        </w:rPr>
        <w:t xml:space="preserve"> </w:t>
      </w:r>
      <w:r>
        <w:rPr>
          <w:color w:val="231F20"/>
          <w:sz w:val="17"/>
        </w:rPr>
        <w:t>and</w:t>
      </w:r>
      <w:r>
        <w:rPr>
          <w:color w:val="231F20"/>
          <w:spacing w:val="73"/>
          <w:sz w:val="17"/>
        </w:rPr>
        <w:t xml:space="preserve"> </w:t>
      </w:r>
      <w:r>
        <w:rPr>
          <w:color w:val="231F20"/>
          <w:sz w:val="17"/>
        </w:rPr>
        <w:t>A.</w:t>
      </w:r>
      <w:r>
        <w:rPr>
          <w:color w:val="231F20"/>
          <w:spacing w:val="73"/>
          <w:sz w:val="17"/>
        </w:rPr>
        <w:t xml:space="preserve"> </w:t>
      </w:r>
      <w:r>
        <w:rPr>
          <w:color w:val="231F20"/>
          <w:sz w:val="17"/>
        </w:rPr>
        <w:t>Kruger</w:t>
      </w:r>
      <w:r>
        <w:rPr>
          <w:color w:val="231F20"/>
          <w:spacing w:val="73"/>
          <w:sz w:val="17"/>
        </w:rPr>
        <w:t xml:space="preserve"> </w:t>
      </w:r>
      <w:r>
        <w:rPr>
          <w:color w:val="231F20"/>
          <w:sz w:val="17"/>
        </w:rPr>
        <w:t>(eds)</w:t>
      </w:r>
      <w:r>
        <w:rPr>
          <w:color w:val="231F20"/>
          <w:spacing w:val="40"/>
          <w:sz w:val="17"/>
        </w:rPr>
        <w:t xml:space="preserve"> </w:t>
      </w:r>
      <w:r>
        <w:rPr>
          <w:i/>
          <w:color w:val="231F20"/>
          <w:sz w:val="17"/>
        </w:rPr>
        <w:t>The</w:t>
      </w:r>
      <w:r>
        <w:rPr>
          <w:i/>
          <w:color w:val="231F20"/>
          <w:spacing w:val="40"/>
          <w:sz w:val="17"/>
        </w:rPr>
        <w:t xml:space="preserve"> </w:t>
      </w:r>
      <w:r>
        <w:rPr>
          <w:i/>
          <w:color w:val="231F20"/>
          <w:sz w:val="17"/>
        </w:rPr>
        <w:t>International</w:t>
      </w:r>
      <w:r>
        <w:rPr>
          <w:i/>
          <w:color w:val="231F20"/>
          <w:spacing w:val="40"/>
          <w:sz w:val="17"/>
        </w:rPr>
        <w:t xml:space="preserve"> </w:t>
      </w:r>
      <w:r>
        <w:rPr>
          <w:i/>
          <w:color w:val="231F20"/>
          <w:sz w:val="17"/>
        </w:rPr>
        <w:t>Politics</w:t>
      </w:r>
      <w:r>
        <w:rPr>
          <w:i/>
          <w:color w:val="231F20"/>
          <w:spacing w:val="40"/>
          <w:sz w:val="17"/>
        </w:rPr>
        <w:t xml:space="preserve"> </w:t>
      </w:r>
      <w:r>
        <w:rPr>
          <w:i/>
          <w:color w:val="231F20"/>
          <w:sz w:val="17"/>
        </w:rPr>
        <w:t>of</w:t>
      </w:r>
      <w:r>
        <w:rPr>
          <w:i/>
          <w:color w:val="231F20"/>
          <w:spacing w:val="40"/>
          <w:sz w:val="17"/>
        </w:rPr>
        <w:t xml:space="preserve"> </w:t>
      </w:r>
      <w:r>
        <w:rPr>
          <w:i/>
          <w:color w:val="231F20"/>
          <w:sz w:val="17"/>
        </w:rPr>
        <w:t>Sport</w:t>
      </w:r>
      <w:r>
        <w:rPr>
          <w:i/>
          <w:color w:val="231F20"/>
          <w:spacing w:val="40"/>
          <w:sz w:val="17"/>
        </w:rPr>
        <w:t xml:space="preserve"> </w:t>
      </w:r>
      <w:r>
        <w:rPr>
          <w:i/>
          <w:color w:val="231F20"/>
          <w:sz w:val="17"/>
        </w:rPr>
        <w:t>in</w:t>
      </w:r>
      <w:r>
        <w:rPr>
          <w:i/>
          <w:color w:val="231F20"/>
          <w:spacing w:val="40"/>
          <w:sz w:val="17"/>
        </w:rPr>
        <w:t xml:space="preserve"> </w:t>
      </w:r>
      <w:r>
        <w:rPr>
          <w:i/>
          <w:color w:val="231F20"/>
          <w:sz w:val="17"/>
        </w:rPr>
        <w:t>the</w:t>
      </w:r>
      <w:r>
        <w:rPr>
          <w:i/>
          <w:color w:val="231F20"/>
          <w:spacing w:val="40"/>
          <w:sz w:val="17"/>
        </w:rPr>
        <w:t xml:space="preserve"> </w:t>
      </w:r>
      <w:r>
        <w:rPr>
          <w:i/>
          <w:color w:val="231F20"/>
          <w:sz w:val="17"/>
        </w:rPr>
        <w:t>20th</w:t>
      </w:r>
      <w:r>
        <w:rPr>
          <w:i/>
          <w:color w:val="231F20"/>
          <w:spacing w:val="40"/>
          <w:sz w:val="17"/>
        </w:rPr>
        <w:t xml:space="preserve"> </w:t>
      </w:r>
      <w:r>
        <w:rPr>
          <w:i/>
          <w:color w:val="231F20"/>
          <w:sz w:val="17"/>
        </w:rPr>
        <w:t>Century</w:t>
      </w:r>
      <w:r>
        <w:rPr>
          <w:i/>
          <w:color w:val="231F20"/>
          <w:spacing w:val="40"/>
          <w:sz w:val="17"/>
        </w:rPr>
        <w:t xml:space="preserve"> </w:t>
      </w:r>
      <w:r>
        <w:rPr>
          <w:color w:val="231F20"/>
          <w:sz w:val="17"/>
        </w:rPr>
        <w:t>(pp.</w:t>
      </w:r>
      <w:r>
        <w:rPr>
          <w:color w:val="231F20"/>
          <w:spacing w:val="40"/>
          <w:sz w:val="17"/>
        </w:rPr>
        <w:t xml:space="preserve"> </w:t>
      </w:r>
      <w:r>
        <w:rPr>
          <w:color w:val="231F20"/>
          <w:sz w:val="17"/>
        </w:rPr>
        <w:t>217–233).</w:t>
      </w:r>
      <w:r>
        <w:rPr>
          <w:color w:val="231F20"/>
          <w:spacing w:val="40"/>
          <w:sz w:val="17"/>
        </w:rPr>
        <w:t xml:space="preserve"> </w:t>
      </w:r>
      <w:r>
        <w:rPr>
          <w:color w:val="231F20"/>
          <w:sz w:val="17"/>
        </w:rPr>
        <w:t>London:</w:t>
      </w:r>
      <w:r>
        <w:rPr>
          <w:color w:val="231F20"/>
          <w:spacing w:val="40"/>
          <w:sz w:val="17"/>
        </w:rPr>
        <w:t xml:space="preserve"> </w:t>
      </w:r>
      <w:r>
        <w:rPr>
          <w:color w:val="231F20"/>
          <w:sz w:val="17"/>
        </w:rPr>
        <w:t>E&amp;FN Spon.</w:t>
      </w:r>
    </w:p>
    <w:p w14:paraId="407C9BA4" w14:textId="77777777" w:rsidR="00AE0598" w:rsidRDefault="0069255A">
      <w:pPr>
        <w:spacing w:before="2"/>
        <w:ind w:left="430" w:right="127" w:hanging="320"/>
        <w:rPr>
          <w:i/>
          <w:sz w:val="17"/>
        </w:rPr>
      </w:pPr>
      <w:r>
        <w:rPr>
          <w:color w:val="231F20"/>
          <w:sz w:val="17"/>
        </w:rPr>
        <w:t>Weed,</w:t>
      </w:r>
      <w:r>
        <w:rPr>
          <w:color w:val="231F20"/>
          <w:spacing w:val="17"/>
          <w:sz w:val="17"/>
        </w:rPr>
        <w:t xml:space="preserve"> </w:t>
      </w:r>
      <w:r>
        <w:rPr>
          <w:color w:val="231F20"/>
          <w:sz w:val="17"/>
        </w:rPr>
        <w:t>M.E.</w:t>
      </w:r>
      <w:r>
        <w:rPr>
          <w:color w:val="231F20"/>
          <w:spacing w:val="17"/>
          <w:sz w:val="17"/>
        </w:rPr>
        <w:t xml:space="preserve"> </w:t>
      </w:r>
      <w:r>
        <w:rPr>
          <w:color w:val="231F20"/>
          <w:sz w:val="17"/>
        </w:rPr>
        <w:t>(1999)</w:t>
      </w:r>
      <w:r>
        <w:rPr>
          <w:color w:val="231F20"/>
          <w:spacing w:val="17"/>
          <w:sz w:val="17"/>
        </w:rPr>
        <w:t xml:space="preserve"> </w:t>
      </w:r>
      <w:r>
        <w:rPr>
          <w:color w:val="231F20"/>
          <w:sz w:val="17"/>
        </w:rPr>
        <w:t>‘More</w:t>
      </w:r>
      <w:r>
        <w:rPr>
          <w:color w:val="231F20"/>
          <w:spacing w:val="17"/>
          <w:sz w:val="17"/>
        </w:rPr>
        <w:t xml:space="preserve"> </w:t>
      </w:r>
      <w:r>
        <w:rPr>
          <w:color w:val="231F20"/>
          <w:sz w:val="17"/>
        </w:rPr>
        <w:t>than</w:t>
      </w:r>
      <w:r>
        <w:rPr>
          <w:color w:val="231F20"/>
          <w:spacing w:val="17"/>
          <w:sz w:val="17"/>
        </w:rPr>
        <w:t xml:space="preserve"> </w:t>
      </w:r>
      <w:r>
        <w:rPr>
          <w:color w:val="231F20"/>
          <w:sz w:val="17"/>
        </w:rPr>
        <w:t>sports</w:t>
      </w:r>
      <w:r>
        <w:rPr>
          <w:color w:val="231F20"/>
          <w:spacing w:val="17"/>
          <w:sz w:val="17"/>
        </w:rPr>
        <w:t xml:space="preserve"> </w:t>
      </w:r>
      <w:r>
        <w:rPr>
          <w:color w:val="231F20"/>
          <w:sz w:val="17"/>
        </w:rPr>
        <w:t>holidays’:</w:t>
      </w:r>
      <w:r>
        <w:rPr>
          <w:color w:val="231F20"/>
          <w:spacing w:val="17"/>
          <w:sz w:val="17"/>
        </w:rPr>
        <w:t xml:space="preserve"> </w:t>
      </w:r>
      <w:r>
        <w:rPr>
          <w:color w:val="231F20"/>
          <w:sz w:val="17"/>
        </w:rPr>
        <w:t>An</w:t>
      </w:r>
      <w:r>
        <w:rPr>
          <w:color w:val="231F20"/>
          <w:spacing w:val="17"/>
          <w:sz w:val="17"/>
        </w:rPr>
        <w:t xml:space="preserve"> </w:t>
      </w:r>
      <w:r>
        <w:rPr>
          <w:color w:val="231F20"/>
          <w:sz w:val="17"/>
        </w:rPr>
        <w:t>overview</w:t>
      </w:r>
      <w:r>
        <w:rPr>
          <w:color w:val="231F20"/>
          <w:spacing w:val="17"/>
          <w:sz w:val="17"/>
        </w:rPr>
        <w:t xml:space="preserve"> </w:t>
      </w:r>
      <w:r>
        <w:rPr>
          <w:color w:val="231F20"/>
          <w:sz w:val="17"/>
        </w:rPr>
        <w:t>of</w:t>
      </w:r>
      <w:r>
        <w:rPr>
          <w:color w:val="231F20"/>
          <w:spacing w:val="17"/>
          <w:sz w:val="17"/>
        </w:rPr>
        <w:t xml:space="preserve"> </w:t>
      </w:r>
      <w:r>
        <w:rPr>
          <w:color w:val="231F20"/>
          <w:sz w:val="17"/>
        </w:rPr>
        <w:t>the</w:t>
      </w:r>
      <w:r>
        <w:rPr>
          <w:color w:val="231F20"/>
          <w:spacing w:val="17"/>
          <w:sz w:val="17"/>
        </w:rPr>
        <w:t xml:space="preserve"> </w:t>
      </w:r>
      <w:r>
        <w:rPr>
          <w:color w:val="231F20"/>
          <w:sz w:val="17"/>
        </w:rPr>
        <w:t>sport–tourism</w:t>
      </w:r>
      <w:r>
        <w:rPr>
          <w:color w:val="231F20"/>
          <w:spacing w:val="17"/>
          <w:sz w:val="17"/>
        </w:rPr>
        <w:t xml:space="preserve"> </w:t>
      </w:r>
      <w:r>
        <w:rPr>
          <w:color w:val="231F20"/>
          <w:sz w:val="17"/>
        </w:rPr>
        <w:t>link.</w:t>
      </w:r>
      <w:r>
        <w:rPr>
          <w:color w:val="231F20"/>
          <w:spacing w:val="40"/>
          <w:sz w:val="17"/>
        </w:rPr>
        <w:t xml:space="preserve"> </w:t>
      </w:r>
      <w:r>
        <w:rPr>
          <w:color w:val="231F20"/>
          <w:sz w:val="17"/>
        </w:rPr>
        <w:t>In</w:t>
      </w:r>
      <w:r>
        <w:rPr>
          <w:color w:val="231F20"/>
          <w:spacing w:val="15"/>
          <w:sz w:val="17"/>
        </w:rPr>
        <w:t xml:space="preserve"> </w:t>
      </w:r>
      <w:r>
        <w:rPr>
          <w:color w:val="231F20"/>
          <w:sz w:val="17"/>
        </w:rPr>
        <w:t>M.</w:t>
      </w:r>
      <w:r>
        <w:rPr>
          <w:color w:val="231F20"/>
          <w:spacing w:val="16"/>
          <w:sz w:val="17"/>
        </w:rPr>
        <w:t xml:space="preserve"> </w:t>
      </w:r>
      <w:r>
        <w:rPr>
          <w:color w:val="231F20"/>
          <w:sz w:val="17"/>
        </w:rPr>
        <w:t>Scarrott</w:t>
      </w:r>
      <w:r>
        <w:rPr>
          <w:color w:val="231F20"/>
          <w:spacing w:val="16"/>
          <w:sz w:val="17"/>
        </w:rPr>
        <w:t xml:space="preserve"> </w:t>
      </w:r>
      <w:r>
        <w:rPr>
          <w:color w:val="231F20"/>
          <w:sz w:val="17"/>
        </w:rPr>
        <w:t>(ed.)</w:t>
      </w:r>
      <w:r>
        <w:rPr>
          <w:color w:val="231F20"/>
          <w:spacing w:val="16"/>
          <w:sz w:val="17"/>
        </w:rPr>
        <w:t xml:space="preserve"> </w:t>
      </w:r>
      <w:r>
        <w:rPr>
          <w:i/>
          <w:color w:val="231F20"/>
          <w:sz w:val="17"/>
        </w:rPr>
        <w:t>Exploring</w:t>
      </w:r>
      <w:r>
        <w:rPr>
          <w:i/>
          <w:color w:val="231F20"/>
          <w:spacing w:val="18"/>
          <w:sz w:val="17"/>
        </w:rPr>
        <w:t xml:space="preserve"> </w:t>
      </w:r>
      <w:r>
        <w:rPr>
          <w:i/>
          <w:color w:val="231F20"/>
          <w:sz w:val="17"/>
        </w:rPr>
        <w:t>Sports</w:t>
      </w:r>
      <w:r>
        <w:rPr>
          <w:i/>
          <w:color w:val="231F20"/>
          <w:spacing w:val="16"/>
          <w:sz w:val="17"/>
        </w:rPr>
        <w:t xml:space="preserve"> </w:t>
      </w:r>
      <w:r>
        <w:rPr>
          <w:i/>
          <w:color w:val="231F20"/>
          <w:sz w:val="17"/>
        </w:rPr>
        <w:t>Tourism:</w:t>
      </w:r>
      <w:r>
        <w:rPr>
          <w:i/>
          <w:color w:val="231F20"/>
          <w:spacing w:val="16"/>
          <w:sz w:val="17"/>
        </w:rPr>
        <w:t xml:space="preserve"> </w:t>
      </w:r>
      <w:r>
        <w:rPr>
          <w:i/>
          <w:color w:val="231F20"/>
          <w:sz w:val="17"/>
        </w:rPr>
        <w:t>Proceedings</w:t>
      </w:r>
      <w:r>
        <w:rPr>
          <w:i/>
          <w:color w:val="231F20"/>
          <w:spacing w:val="17"/>
          <w:sz w:val="17"/>
        </w:rPr>
        <w:t xml:space="preserve"> </w:t>
      </w:r>
      <w:r>
        <w:rPr>
          <w:i/>
          <w:color w:val="231F20"/>
          <w:sz w:val="17"/>
        </w:rPr>
        <w:t>of</w:t>
      </w:r>
      <w:r>
        <w:rPr>
          <w:i/>
          <w:color w:val="231F20"/>
          <w:spacing w:val="17"/>
          <w:sz w:val="17"/>
        </w:rPr>
        <w:t xml:space="preserve"> </w:t>
      </w:r>
      <w:r>
        <w:rPr>
          <w:i/>
          <w:color w:val="231F20"/>
          <w:sz w:val="17"/>
        </w:rPr>
        <w:t>a</w:t>
      </w:r>
      <w:r>
        <w:rPr>
          <w:i/>
          <w:color w:val="231F20"/>
          <w:spacing w:val="17"/>
          <w:sz w:val="17"/>
        </w:rPr>
        <w:t xml:space="preserve"> </w:t>
      </w:r>
      <w:r>
        <w:rPr>
          <w:i/>
          <w:color w:val="231F20"/>
          <w:sz w:val="17"/>
        </w:rPr>
        <w:t>SPRIG</w:t>
      </w:r>
      <w:r>
        <w:rPr>
          <w:i/>
          <w:color w:val="231F20"/>
          <w:spacing w:val="17"/>
          <w:sz w:val="17"/>
        </w:rPr>
        <w:t xml:space="preserve"> </w:t>
      </w:r>
      <w:r>
        <w:rPr>
          <w:i/>
          <w:color w:val="231F20"/>
          <w:sz w:val="17"/>
        </w:rPr>
        <w:t>Seminar</w:t>
      </w:r>
      <w:r>
        <w:rPr>
          <w:i/>
          <w:color w:val="231F20"/>
          <w:spacing w:val="17"/>
          <w:sz w:val="17"/>
        </w:rPr>
        <w:t xml:space="preserve"> </w:t>
      </w:r>
      <w:r>
        <w:rPr>
          <w:i/>
          <w:color w:val="231F20"/>
          <w:spacing w:val="-4"/>
          <w:sz w:val="17"/>
        </w:rPr>
        <w:t>held</w:t>
      </w:r>
    </w:p>
    <w:p w14:paraId="076BB1C8" w14:textId="77777777" w:rsidR="00AE0598" w:rsidRDefault="00AE0598">
      <w:pPr>
        <w:rPr>
          <w:sz w:val="17"/>
        </w:rPr>
        <w:sectPr w:rsidR="00AE0598">
          <w:pgSz w:w="8850" w:h="13270"/>
          <w:pgMar w:top="720" w:right="1060" w:bottom="280" w:left="1080" w:header="720" w:footer="720" w:gutter="0"/>
          <w:cols w:space="720"/>
        </w:sectPr>
      </w:pPr>
    </w:p>
    <w:p w14:paraId="498FF8E8" w14:textId="77777777" w:rsidR="00AE0598" w:rsidRDefault="0069255A">
      <w:pPr>
        <w:spacing w:before="87"/>
        <w:ind w:left="108"/>
        <w:rPr>
          <w:rFonts w:ascii="Trebuchet MS"/>
          <w:sz w:val="14"/>
        </w:rPr>
      </w:pPr>
      <w:r>
        <w:rPr>
          <w:rFonts w:ascii="Trebuchet MS"/>
          <w:color w:val="231F20"/>
          <w:w w:val="105"/>
          <w:sz w:val="14"/>
        </w:rPr>
        <w:lastRenderedPageBreak/>
        <w:t>278</w:t>
      </w:r>
      <w:r>
        <w:rPr>
          <w:rFonts w:ascii="Trebuchet MS"/>
          <w:color w:val="231F20"/>
          <w:spacing w:val="78"/>
          <w:w w:val="150"/>
          <w:sz w:val="14"/>
        </w:rPr>
        <w:t xml:space="preserve"> </w:t>
      </w:r>
      <w:r>
        <w:rPr>
          <w:rFonts w:ascii="Trebuchet MS"/>
          <w:color w:val="231F20"/>
          <w:spacing w:val="-2"/>
          <w:w w:val="105"/>
          <w:sz w:val="14"/>
        </w:rPr>
        <w:t>References</w:t>
      </w:r>
    </w:p>
    <w:p w14:paraId="334CBF6A" w14:textId="77777777" w:rsidR="00AE0598" w:rsidRDefault="00AE0598">
      <w:pPr>
        <w:pStyle w:val="Corpodetexto"/>
        <w:rPr>
          <w:rFonts w:ascii="Trebuchet MS"/>
          <w:sz w:val="16"/>
        </w:rPr>
      </w:pPr>
    </w:p>
    <w:p w14:paraId="225804E6" w14:textId="77777777" w:rsidR="00AE0598" w:rsidRDefault="0069255A">
      <w:pPr>
        <w:spacing w:before="121"/>
        <w:ind w:left="430" w:right="128"/>
        <w:jc w:val="both"/>
        <w:rPr>
          <w:sz w:val="17"/>
        </w:rPr>
      </w:pPr>
      <w:r>
        <w:rPr>
          <w:i/>
          <w:color w:val="231F20"/>
          <w:sz w:val="17"/>
        </w:rPr>
        <w:t xml:space="preserve">at the University of Sheffield on 15 April 1999 </w:t>
      </w:r>
      <w:r>
        <w:rPr>
          <w:color w:val="231F20"/>
          <w:sz w:val="17"/>
        </w:rPr>
        <w:t>(pp. 6–28). Sheffield: Sheffield Hallam</w:t>
      </w:r>
      <w:r>
        <w:rPr>
          <w:color w:val="231F20"/>
          <w:spacing w:val="40"/>
          <w:sz w:val="17"/>
        </w:rPr>
        <w:t xml:space="preserve"> </w:t>
      </w:r>
      <w:r>
        <w:rPr>
          <w:color w:val="231F20"/>
          <w:spacing w:val="-2"/>
          <w:sz w:val="17"/>
        </w:rPr>
        <w:t>University.</w:t>
      </w:r>
    </w:p>
    <w:p w14:paraId="25C0B8A8" w14:textId="77777777" w:rsidR="00AE0598" w:rsidRDefault="0069255A">
      <w:pPr>
        <w:spacing w:before="1"/>
        <w:ind w:left="430" w:right="128" w:hanging="320"/>
        <w:jc w:val="both"/>
        <w:rPr>
          <w:sz w:val="17"/>
        </w:rPr>
      </w:pPr>
      <w:r>
        <w:rPr>
          <w:color w:val="231F20"/>
          <w:w w:val="95"/>
          <w:sz w:val="17"/>
        </w:rPr>
        <w:t>Weed, M.E. (2002) Football hooligans as undesirable sports tourists: Some meta-analytical</w:t>
      </w:r>
      <w:r>
        <w:rPr>
          <w:color w:val="231F20"/>
          <w:spacing w:val="40"/>
          <w:sz w:val="17"/>
        </w:rPr>
        <w:t xml:space="preserve"> </w:t>
      </w:r>
      <w:r>
        <w:rPr>
          <w:color w:val="231F20"/>
          <w:sz w:val="17"/>
        </w:rPr>
        <w:t xml:space="preserve">speculations. In S. Gammon and </w:t>
      </w:r>
      <w:r>
        <w:rPr>
          <w:color w:val="231F20"/>
          <w:w w:val="105"/>
          <w:sz w:val="17"/>
        </w:rPr>
        <w:t xml:space="preserve">J. </w:t>
      </w:r>
      <w:r>
        <w:rPr>
          <w:color w:val="231F20"/>
          <w:sz w:val="17"/>
        </w:rPr>
        <w:t xml:space="preserve">Kurtzman (eds) </w:t>
      </w:r>
      <w:r>
        <w:rPr>
          <w:i/>
          <w:color w:val="231F20"/>
          <w:sz w:val="17"/>
        </w:rPr>
        <w:t>Sport Tourism: Principles and</w:t>
      </w:r>
      <w:r>
        <w:rPr>
          <w:i/>
          <w:color w:val="231F20"/>
          <w:spacing w:val="40"/>
          <w:sz w:val="17"/>
        </w:rPr>
        <w:t xml:space="preserve"> </w:t>
      </w:r>
      <w:r>
        <w:rPr>
          <w:i/>
          <w:color w:val="231F20"/>
          <w:sz w:val="17"/>
        </w:rPr>
        <w:t xml:space="preserve">Practice </w:t>
      </w:r>
      <w:r>
        <w:rPr>
          <w:color w:val="231F20"/>
          <w:sz w:val="17"/>
        </w:rPr>
        <w:t>(pp. 35–52). Eastbourne: Leisure Studies Association.</w:t>
      </w:r>
    </w:p>
    <w:p w14:paraId="6D78DB59" w14:textId="77777777" w:rsidR="00AE0598" w:rsidRDefault="0069255A">
      <w:pPr>
        <w:spacing w:before="2"/>
        <w:ind w:left="430" w:right="128" w:hanging="320"/>
        <w:jc w:val="both"/>
        <w:rPr>
          <w:sz w:val="17"/>
        </w:rPr>
      </w:pPr>
      <w:r>
        <w:rPr>
          <w:color w:val="231F20"/>
          <w:sz w:val="17"/>
        </w:rPr>
        <w:t>Weed,</w:t>
      </w:r>
      <w:r>
        <w:rPr>
          <w:color w:val="231F20"/>
          <w:spacing w:val="-3"/>
          <w:sz w:val="17"/>
        </w:rPr>
        <w:t xml:space="preserve"> </w:t>
      </w:r>
      <w:r>
        <w:rPr>
          <w:color w:val="231F20"/>
          <w:sz w:val="17"/>
        </w:rPr>
        <w:t>M.E.</w:t>
      </w:r>
      <w:r>
        <w:rPr>
          <w:color w:val="231F20"/>
          <w:spacing w:val="-3"/>
          <w:sz w:val="17"/>
        </w:rPr>
        <w:t xml:space="preserve"> </w:t>
      </w:r>
      <w:r>
        <w:rPr>
          <w:color w:val="231F20"/>
          <w:sz w:val="17"/>
        </w:rPr>
        <w:t>(2003)</w:t>
      </w:r>
      <w:r>
        <w:rPr>
          <w:color w:val="231F20"/>
          <w:spacing w:val="-3"/>
          <w:sz w:val="17"/>
        </w:rPr>
        <w:t xml:space="preserve"> </w:t>
      </w:r>
      <w:r>
        <w:rPr>
          <w:color w:val="231F20"/>
          <w:sz w:val="17"/>
        </w:rPr>
        <w:t>Why</w:t>
      </w:r>
      <w:r>
        <w:rPr>
          <w:color w:val="231F20"/>
          <w:spacing w:val="-3"/>
          <w:sz w:val="17"/>
        </w:rPr>
        <w:t xml:space="preserve"> </w:t>
      </w:r>
      <w:r>
        <w:rPr>
          <w:color w:val="231F20"/>
          <w:sz w:val="17"/>
        </w:rPr>
        <w:t>th</w:t>
      </w:r>
      <w:r>
        <w:rPr>
          <w:color w:val="231F20"/>
          <w:sz w:val="17"/>
        </w:rPr>
        <w:t>e</w:t>
      </w:r>
      <w:r>
        <w:rPr>
          <w:color w:val="231F20"/>
          <w:spacing w:val="-3"/>
          <w:sz w:val="17"/>
        </w:rPr>
        <w:t xml:space="preserve"> </w:t>
      </w:r>
      <w:r>
        <w:rPr>
          <w:color w:val="231F20"/>
          <w:sz w:val="17"/>
        </w:rPr>
        <w:t>two</w:t>
      </w:r>
      <w:r>
        <w:rPr>
          <w:color w:val="231F20"/>
          <w:spacing w:val="-3"/>
          <w:sz w:val="17"/>
        </w:rPr>
        <w:t xml:space="preserve"> </w:t>
      </w:r>
      <w:r>
        <w:rPr>
          <w:color w:val="231F20"/>
          <w:sz w:val="17"/>
        </w:rPr>
        <w:t>won’t</w:t>
      </w:r>
      <w:r>
        <w:rPr>
          <w:color w:val="231F20"/>
          <w:spacing w:val="-3"/>
          <w:sz w:val="17"/>
        </w:rPr>
        <w:t xml:space="preserve"> </w:t>
      </w:r>
      <w:r>
        <w:rPr>
          <w:color w:val="231F20"/>
          <w:sz w:val="17"/>
        </w:rPr>
        <w:t>tango!</w:t>
      </w:r>
      <w:r>
        <w:rPr>
          <w:color w:val="231F20"/>
          <w:spacing w:val="-3"/>
          <w:sz w:val="17"/>
        </w:rPr>
        <w:t xml:space="preserve"> </w:t>
      </w:r>
      <w:r>
        <w:rPr>
          <w:color w:val="231F20"/>
          <w:sz w:val="17"/>
        </w:rPr>
        <w:t>Explaining</w:t>
      </w:r>
      <w:r>
        <w:rPr>
          <w:color w:val="231F20"/>
          <w:spacing w:val="-3"/>
          <w:sz w:val="17"/>
        </w:rPr>
        <w:t xml:space="preserve"> </w:t>
      </w:r>
      <w:r>
        <w:rPr>
          <w:color w:val="231F20"/>
          <w:sz w:val="17"/>
        </w:rPr>
        <w:t>the</w:t>
      </w:r>
      <w:r>
        <w:rPr>
          <w:color w:val="231F20"/>
          <w:spacing w:val="-3"/>
          <w:sz w:val="17"/>
        </w:rPr>
        <w:t xml:space="preserve"> </w:t>
      </w:r>
      <w:r>
        <w:rPr>
          <w:color w:val="231F20"/>
          <w:sz w:val="17"/>
        </w:rPr>
        <w:t>lack</w:t>
      </w:r>
      <w:r>
        <w:rPr>
          <w:color w:val="231F20"/>
          <w:spacing w:val="-3"/>
          <w:sz w:val="17"/>
        </w:rPr>
        <w:t xml:space="preserve"> </w:t>
      </w:r>
      <w:r>
        <w:rPr>
          <w:color w:val="231F20"/>
          <w:sz w:val="17"/>
        </w:rPr>
        <w:t>of</w:t>
      </w:r>
      <w:r>
        <w:rPr>
          <w:color w:val="231F20"/>
          <w:spacing w:val="-3"/>
          <w:sz w:val="17"/>
        </w:rPr>
        <w:t xml:space="preserve"> </w:t>
      </w:r>
      <w:r>
        <w:rPr>
          <w:color w:val="231F20"/>
          <w:sz w:val="17"/>
        </w:rPr>
        <w:t>integrated</w:t>
      </w:r>
      <w:r>
        <w:rPr>
          <w:color w:val="231F20"/>
          <w:spacing w:val="-3"/>
          <w:sz w:val="17"/>
        </w:rPr>
        <w:t xml:space="preserve"> </w:t>
      </w:r>
      <w:r>
        <w:rPr>
          <w:color w:val="231F20"/>
          <w:sz w:val="17"/>
        </w:rPr>
        <w:t>policies</w:t>
      </w:r>
      <w:r>
        <w:rPr>
          <w:color w:val="231F20"/>
          <w:spacing w:val="-3"/>
          <w:sz w:val="17"/>
        </w:rPr>
        <w:t xml:space="preserve"> </w:t>
      </w:r>
      <w:r>
        <w:rPr>
          <w:color w:val="231F20"/>
          <w:sz w:val="17"/>
        </w:rPr>
        <w:t>for</w:t>
      </w:r>
      <w:r>
        <w:rPr>
          <w:color w:val="231F20"/>
          <w:spacing w:val="40"/>
          <w:sz w:val="17"/>
        </w:rPr>
        <w:t xml:space="preserve"> </w:t>
      </w:r>
      <w:r>
        <w:rPr>
          <w:color w:val="231F20"/>
          <w:sz w:val="17"/>
        </w:rPr>
        <w:t xml:space="preserve">sport and tourism in the UK. </w:t>
      </w:r>
      <w:r>
        <w:rPr>
          <w:i/>
          <w:color w:val="231F20"/>
          <w:sz w:val="17"/>
        </w:rPr>
        <w:t xml:space="preserve">Journal of Sport Management </w:t>
      </w:r>
      <w:r>
        <w:rPr>
          <w:color w:val="231F20"/>
          <w:sz w:val="17"/>
        </w:rPr>
        <w:t>17 (3), 258–283.</w:t>
      </w:r>
    </w:p>
    <w:p w14:paraId="5083C8C3" w14:textId="77777777" w:rsidR="00AE0598" w:rsidRDefault="0069255A">
      <w:pPr>
        <w:spacing w:before="2"/>
        <w:ind w:left="430" w:right="128" w:hanging="320"/>
        <w:jc w:val="both"/>
        <w:rPr>
          <w:sz w:val="17"/>
        </w:rPr>
      </w:pPr>
      <w:r>
        <w:rPr>
          <w:color w:val="231F20"/>
          <w:sz w:val="17"/>
        </w:rPr>
        <w:t>Weed, M.E. (2005) Research synthesis in sport management: Dealing with ‘chaos in the</w:t>
      </w:r>
      <w:r>
        <w:rPr>
          <w:color w:val="231F20"/>
          <w:spacing w:val="40"/>
          <w:sz w:val="17"/>
        </w:rPr>
        <w:t xml:space="preserve"> </w:t>
      </w:r>
      <w:r>
        <w:rPr>
          <w:color w:val="231F20"/>
          <w:sz w:val="17"/>
        </w:rPr>
        <w:t xml:space="preserve">brickyard’. </w:t>
      </w:r>
      <w:r>
        <w:rPr>
          <w:i/>
          <w:color w:val="231F20"/>
          <w:sz w:val="17"/>
        </w:rPr>
        <w:t>European Sport Mana</w:t>
      </w:r>
      <w:r>
        <w:rPr>
          <w:i/>
          <w:color w:val="231F20"/>
          <w:sz w:val="17"/>
        </w:rPr>
        <w:t xml:space="preserve">gement Quarterly </w:t>
      </w:r>
      <w:r>
        <w:rPr>
          <w:color w:val="231F20"/>
          <w:sz w:val="17"/>
        </w:rPr>
        <w:t>5 (1), 77–90.</w:t>
      </w:r>
    </w:p>
    <w:p w14:paraId="6AB9BC2D" w14:textId="77777777" w:rsidR="00AE0598" w:rsidRDefault="0069255A">
      <w:pPr>
        <w:spacing w:before="1"/>
        <w:ind w:left="430" w:right="126" w:hanging="320"/>
        <w:jc w:val="both"/>
        <w:rPr>
          <w:sz w:val="17"/>
        </w:rPr>
      </w:pPr>
      <w:r>
        <w:rPr>
          <w:color w:val="231F20"/>
          <w:w w:val="95"/>
          <w:sz w:val="17"/>
        </w:rPr>
        <w:t>Weed, M.E. (2006) Sports tourism research 2000–2004: A systematic review of knowledge</w:t>
      </w:r>
      <w:r>
        <w:rPr>
          <w:color w:val="231F20"/>
          <w:spacing w:val="40"/>
          <w:sz w:val="17"/>
        </w:rPr>
        <w:t xml:space="preserve"> </w:t>
      </w:r>
      <w:r>
        <w:rPr>
          <w:color w:val="231F20"/>
          <w:sz w:val="17"/>
        </w:rPr>
        <w:t xml:space="preserve">and a meta-evaluation of method. </w:t>
      </w:r>
      <w:r>
        <w:rPr>
          <w:i/>
          <w:color w:val="231F20"/>
          <w:sz w:val="17"/>
        </w:rPr>
        <w:t xml:space="preserve">Journal of Sport </w:t>
      </w:r>
      <w:r>
        <w:rPr>
          <w:i/>
          <w:color w:val="231F20"/>
          <w:w w:val="110"/>
          <w:sz w:val="17"/>
        </w:rPr>
        <w:t xml:space="preserve">&amp; </w:t>
      </w:r>
      <w:r>
        <w:rPr>
          <w:i/>
          <w:color w:val="231F20"/>
          <w:sz w:val="17"/>
        </w:rPr>
        <w:t xml:space="preserve">Tourism </w:t>
      </w:r>
      <w:r>
        <w:rPr>
          <w:color w:val="231F20"/>
          <w:sz w:val="17"/>
        </w:rPr>
        <w:t>11, 5–30.</w:t>
      </w:r>
    </w:p>
    <w:p w14:paraId="7274F44B" w14:textId="77777777" w:rsidR="00AE0598" w:rsidRDefault="0069255A">
      <w:pPr>
        <w:spacing w:before="2"/>
        <w:ind w:left="110"/>
        <w:jc w:val="both"/>
        <w:rPr>
          <w:sz w:val="17"/>
        </w:rPr>
      </w:pPr>
      <w:r>
        <w:rPr>
          <w:color w:val="231F20"/>
          <w:sz w:val="17"/>
        </w:rPr>
        <w:t>Weed,</w:t>
      </w:r>
      <w:r>
        <w:rPr>
          <w:color w:val="231F20"/>
          <w:spacing w:val="18"/>
          <w:sz w:val="17"/>
        </w:rPr>
        <w:t xml:space="preserve"> </w:t>
      </w:r>
      <w:r>
        <w:rPr>
          <w:color w:val="231F20"/>
          <w:sz w:val="17"/>
        </w:rPr>
        <w:t>M.E.</w:t>
      </w:r>
      <w:r>
        <w:rPr>
          <w:color w:val="231F20"/>
          <w:spacing w:val="19"/>
          <w:sz w:val="17"/>
        </w:rPr>
        <w:t xml:space="preserve"> </w:t>
      </w:r>
      <w:r>
        <w:rPr>
          <w:color w:val="231F20"/>
          <w:sz w:val="17"/>
        </w:rPr>
        <w:t>(2007)</w:t>
      </w:r>
      <w:r>
        <w:rPr>
          <w:color w:val="231F20"/>
          <w:spacing w:val="19"/>
          <w:sz w:val="17"/>
        </w:rPr>
        <w:t xml:space="preserve"> </w:t>
      </w:r>
      <w:r>
        <w:rPr>
          <w:i/>
          <w:color w:val="231F20"/>
          <w:sz w:val="17"/>
        </w:rPr>
        <w:t>Olympic</w:t>
      </w:r>
      <w:r>
        <w:rPr>
          <w:i/>
          <w:color w:val="231F20"/>
          <w:spacing w:val="18"/>
          <w:sz w:val="17"/>
        </w:rPr>
        <w:t xml:space="preserve"> </w:t>
      </w:r>
      <w:r>
        <w:rPr>
          <w:i/>
          <w:color w:val="231F20"/>
          <w:sz w:val="17"/>
        </w:rPr>
        <w:t>Tourism</w:t>
      </w:r>
      <w:r>
        <w:rPr>
          <w:color w:val="231F20"/>
          <w:sz w:val="17"/>
        </w:rPr>
        <w:t>.</w:t>
      </w:r>
      <w:r>
        <w:rPr>
          <w:color w:val="231F20"/>
          <w:spacing w:val="19"/>
          <w:sz w:val="17"/>
        </w:rPr>
        <w:t xml:space="preserve"> </w:t>
      </w:r>
      <w:r>
        <w:rPr>
          <w:color w:val="231F20"/>
          <w:sz w:val="17"/>
        </w:rPr>
        <w:t>London:</w:t>
      </w:r>
      <w:r>
        <w:rPr>
          <w:color w:val="231F20"/>
          <w:spacing w:val="19"/>
          <w:sz w:val="17"/>
        </w:rPr>
        <w:t xml:space="preserve"> </w:t>
      </w:r>
      <w:r>
        <w:rPr>
          <w:color w:val="231F20"/>
          <w:spacing w:val="-2"/>
          <w:sz w:val="17"/>
        </w:rPr>
        <w:t>Routledge.</w:t>
      </w:r>
    </w:p>
    <w:p w14:paraId="0BCCDB4F" w14:textId="77777777" w:rsidR="00AE0598" w:rsidRDefault="0069255A">
      <w:pPr>
        <w:ind w:left="430" w:right="127" w:hanging="320"/>
        <w:jc w:val="both"/>
        <w:rPr>
          <w:sz w:val="17"/>
        </w:rPr>
      </w:pPr>
      <w:r>
        <w:rPr>
          <w:color w:val="231F20"/>
          <w:w w:val="95"/>
          <w:sz w:val="17"/>
        </w:rPr>
        <w:t>Weed, M.E. (2009) Progress in sports tourism research? A meta-review and exploration of</w:t>
      </w:r>
      <w:r>
        <w:rPr>
          <w:color w:val="231F20"/>
          <w:spacing w:val="40"/>
          <w:sz w:val="17"/>
        </w:rPr>
        <w:t xml:space="preserve"> </w:t>
      </w:r>
      <w:r>
        <w:rPr>
          <w:color w:val="231F20"/>
          <w:sz w:val="17"/>
        </w:rPr>
        <w:t xml:space="preserve">futures. </w:t>
      </w:r>
      <w:r>
        <w:rPr>
          <w:i/>
          <w:color w:val="231F20"/>
          <w:sz w:val="17"/>
        </w:rPr>
        <w:t xml:space="preserve">Tourism Management </w:t>
      </w:r>
      <w:r>
        <w:rPr>
          <w:color w:val="231F20"/>
          <w:sz w:val="17"/>
        </w:rPr>
        <w:t>30 (5), 615–628.</w:t>
      </w:r>
    </w:p>
    <w:p w14:paraId="4D061521" w14:textId="77777777" w:rsidR="00AE0598" w:rsidRDefault="0069255A">
      <w:pPr>
        <w:spacing w:before="2"/>
        <w:ind w:left="430" w:right="128" w:hanging="320"/>
        <w:jc w:val="both"/>
        <w:rPr>
          <w:sz w:val="17"/>
        </w:rPr>
      </w:pPr>
      <w:r>
        <w:rPr>
          <w:color w:val="231F20"/>
          <w:w w:val="95"/>
          <w:sz w:val="17"/>
        </w:rPr>
        <w:t>Weed,</w:t>
      </w:r>
      <w:r>
        <w:rPr>
          <w:color w:val="231F20"/>
          <w:spacing w:val="13"/>
          <w:sz w:val="17"/>
        </w:rPr>
        <w:t xml:space="preserve"> </w:t>
      </w:r>
      <w:r>
        <w:rPr>
          <w:color w:val="231F20"/>
          <w:w w:val="95"/>
          <w:sz w:val="17"/>
        </w:rPr>
        <w:t>M.E.</w:t>
      </w:r>
      <w:r>
        <w:rPr>
          <w:color w:val="231F20"/>
          <w:spacing w:val="13"/>
          <w:sz w:val="17"/>
        </w:rPr>
        <w:t xml:space="preserve"> </w:t>
      </w:r>
      <w:r>
        <w:rPr>
          <w:color w:val="231F20"/>
          <w:w w:val="95"/>
          <w:sz w:val="17"/>
        </w:rPr>
        <w:t>(2010)</w:t>
      </w:r>
      <w:r>
        <w:rPr>
          <w:color w:val="231F20"/>
          <w:spacing w:val="13"/>
          <w:sz w:val="17"/>
        </w:rPr>
        <w:t xml:space="preserve"> </w:t>
      </w:r>
      <w:r>
        <w:rPr>
          <w:color w:val="231F20"/>
          <w:w w:val="95"/>
          <w:sz w:val="17"/>
        </w:rPr>
        <w:t>Sport</w:t>
      </w:r>
      <w:r>
        <w:rPr>
          <w:color w:val="231F20"/>
          <w:spacing w:val="13"/>
          <w:sz w:val="17"/>
        </w:rPr>
        <w:t xml:space="preserve"> </w:t>
      </w:r>
      <w:r>
        <w:rPr>
          <w:color w:val="231F20"/>
          <w:w w:val="95"/>
          <w:sz w:val="17"/>
        </w:rPr>
        <w:t>fans</w:t>
      </w:r>
      <w:r>
        <w:rPr>
          <w:color w:val="231F20"/>
          <w:spacing w:val="13"/>
          <w:sz w:val="17"/>
        </w:rPr>
        <w:t xml:space="preserve"> </w:t>
      </w:r>
      <w:r>
        <w:rPr>
          <w:color w:val="231F20"/>
          <w:w w:val="95"/>
          <w:sz w:val="17"/>
        </w:rPr>
        <w:t>and</w:t>
      </w:r>
      <w:r>
        <w:rPr>
          <w:color w:val="231F20"/>
          <w:spacing w:val="13"/>
          <w:sz w:val="17"/>
        </w:rPr>
        <w:t xml:space="preserve"> </w:t>
      </w:r>
      <w:r>
        <w:rPr>
          <w:color w:val="231F20"/>
          <w:w w:val="95"/>
          <w:sz w:val="17"/>
        </w:rPr>
        <w:t>travel:</w:t>
      </w:r>
      <w:r>
        <w:rPr>
          <w:color w:val="231F20"/>
          <w:spacing w:val="13"/>
          <w:sz w:val="17"/>
        </w:rPr>
        <w:t xml:space="preserve"> </w:t>
      </w:r>
      <w:r>
        <w:rPr>
          <w:color w:val="231F20"/>
          <w:w w:val="95"/>
          <w:sz w:val="17"/>
        </w:rPr>
        <w:t>Is</w:t>
      </w:r>
      <w:r>
        <w:rPr>
          <w:color w:val="231F20"/>
          <w:spacing w:val="13"/>
          <w:sz w:val="17"/>
        </w:rPr>
        <w:t xml:space="preserve"> </w:t>
      </w:r>
      <w:r>
        <w:rPr>
          <w:color w:val="231F20"/>
          <w:w w:val="95"/>
          <w:sz w:val="17"/>
        </w:rPr>
        <w:t>‘being</w:t>
      </w:r>
      <w:r>
        <w:rPr>
          <w:color w:val="231F20"/>
          <w:spacing w:val="13"/>
          <w:sz w:val="17"/>
        </w:rPr>
        <w:t xml:space="preserve"> </w:t>
      </w:r>
      <w:r>
        <w:rPr>
          <w:color w:val="231F20"/>
          <w:w w:val="95"/>
          <w:sz w:val="17"/>
        </w:rPr>
        <w:t>there’</w:t>
      </w:r>
      <w:r>
        <w:rPr>
          <w:color w:val="231F20"/>
          <w:spacing w:val="13"/>
          <w:sz w:val="17"/>
        </w:rPr>
        <w:t xml:space="preserve"> </w:t>
      </w:r>
      <w:r>
        <w:rPr>
          <w:color w:val="231F20"/>
          <w:w w:val="95"/>
          <w:sz w:val="17"/>
        </w:rPr>
        <w:t>always</w:t>
      </w:r>
      <w:r>
        <w:rPr>
          <w:color w:val="231F20"/>
          <w:spacing w:val="13"/>
          <w:sz w:val="17"/>
        </w:rPr>
        <w:t xml:space="preserve"> </w:t>
      </w:r>
      <w:r>
        <w:rPr>
          <w:color w:val="231F20"/>
          <w:w w:val="95"/>
          <w:sz w:val="17"/>
        </w:rPr>
        <w:t>important.</w:t>
      </w:r>
      <w:r>
        <w:rPr>
          <w:color w:val="231F20"/>
          <w:spacing w:val="13"/>
          <w:sz w:val="17"/>
        </w:rPr>
        <w:t xml:space="preserve"> </w:t>
      </w:r>
      <w:r>
        <w:rPr>
          <w:i/>
          <w:color w:val="231F20"/>
          <w:w w:val="95"/>
          <w:sz w:val="17"/>
        </w:rPr>
        <w:t>Journal</w:t>
      </w:r>
      <w:r>
        <w:rPr>
          <w:i/>
          <w:color w:val="231F20"/>
          <w:spacing w:val="13"/>
          <w:sz w:val="17"/>
        </w:rPr>
        <w:t xml:space="preserve"> </w:t>
      </w:r>
      <w:r>
        <w:rPr>
          <w:i/>
          <w:color w:val="231F20"/>
          <w:w w:val="95"/>
          <w:sz w:val="17"/>
        </w:rPr>
        <w:t>of</w:t>
      </w:r>
      <w:r>
        <w:rPr>
          <w:i/>
          <w:color w:val="231F20"/>
          <w:spacing w:val="13"/>
          <w:sz w:val="17"/>
        </w:rPr>
        <w:t xml:space="preserve"> </w:t>
      </w:r>
      <w:r>
        <w:rPr>
          <w:i/>
          <w:color w:val="231F20"/>
          <w:w w:val="95"/>
          <w:sz w:val="17"/>
        </w:rPr>
        <w:t>Sport</w:t>
      </w:r>
      <w:r>
        <w:rPr>
          <w:i/>
          <w:color w:val="231F20"/>
          <w:w w:val="110"/>
          <w:sz w:val="17"/>
        </w:rPr>
        <w:t xml:space="preserve"> &amp; </w:t>
      </w:r>
      <w:r>
        <w:rPr>
          <w:i/>
          <w:color w:val="231F20"/>
          <w:sz w:val="17"/>
        </w:rPr>
        <w:t xml:space="preserve">Tourism </w:t>
      </w:r>
      <w:r>
        <w:rPr>
          <w:color w:val="231F20"/>
          <w:sz w:val="17"/>
        </w:rPr>
        <w:t>15, 103–109.</w:t>
      </w:r>
    </w:p>
    <w:p w14:paraId="7D656C00" w14:textId="77777777" w:rsidR="00AE0598" w:rsidRDefault="0069255A">
      <w:pPr>
        <w:spacing w:before="1"/>
        <w:ind w:left="430" w:right="127" w:hanging="320"/>
        <w:jc w:val="both"/>
        <w:rPr>
          <w:sz w:val="17"/>
        </w:rPr>
      </w:pPr>
      <w:r>
        <w:rPr>
          <w:color w:val="231F20"/>
          <w:sz w:val="17"/>
        </w:rPr>
        <w:t>Weed, M</w:t>
      </w:r>
      <w:r>
        <w:rPr>
          <w:color w:val="231F20"/>
          <w:sz w:val="17"/>
        </w:rPr>
        <w:t xml:space="preserve">.E. (2011) </w:t>
      </w:r>
      <w:r>
        <w:rPr>
          <w:i/>
          <w:color w:val="231F20"/>
          <w:sz w:val="17"/>
        </w:rPr>
        <w:t xml:space="preserve">The Journal of Sport </w:t>
      </w:r>
      <w:r>
        <w:rPr>
          <w:i/>
          <w:color w:val="231F20"/>
          <w:w w:val="110"/>
          <w:sz w:val="17"/>
        </w:rPr>
        <w:t xml:space="preserve">&amp; </w:t>
      </w:r>
      <w:r>
        <w:rPr>
          <w:i/>
          <w:color w:val="231F20"/>
          <w:sz w:val="17"/>
        </w:rPr>
        <w:t>Tourism</w:t>
      </w:r>
      <w:r>
        <w:rPr>
          <w:color w:val="231F20"/>
          <w:sz w:val="17"/>
        </w:rPr>
        <w:t>: A maturing literature. In T.D. Hinch</w:t>
      </w:r>
      <w:r>
        <w:rPr>
          <w:color w:val="231F20"/>
          <w:spacing w:val="40"/>
          <w:sz w:val="17"/>
        </w:rPr>
        <w:t xml:space="preserve"> </w:t>
      </w:r>
      <w:r>
        <w:rPr>
          <w:color w:val="231F20"/>
          <w:sz w:val="17"/>
        </w:rPr>
        <w:t xml:space="preserve">and J.E.S. Higham (eds) </w:t>
      </w:r>
      <w:r>
        <w:rPr>
          <w:i/>
          <w:color w:val="231F20"/>
          <w:sz w:val="17"/>
        </w:rPr>
        <w:t xml:space="preserve">Sport Tourism Development </w:t>
      </w:r>
      <w:r>
        <w:rPr>
          <w:color w:val="231F20"/>
          <w:sz w:val="17"/>
        </w:rPr>
        <w:t>(2nd edn; pp. 447–450). Bristol:</w:t>
      </w:r>
      <w:r>
        <w:rPr>
          <w:color w:val="231F20"/>
          <w:spacing w:val="40"/>
          <w:sz w:val="17"/>
        </w:rPr>
        <w:t xml:space="preserve"> </w:t>
      </w:r>
      <w:r>
        <w:rPr>
          <w:color w:val="231F20"/>
          <w:sz w:val="17"/>
        </w:rPr>
        <w:t>Channel View Publications.</w:t>
      </w:r>
    </w:p>
    <w:p w14:paraId="36ED341C" w14:textId="77777777" w:rsidR="00AE0598" w:rsidRDefault="0069255A">
      <w:pPr>
        <w:spacing w:before="2"/>
        <w:ind w:left="430" w:right="127" w:hanging="320"/>
        <w:jc w:val="both"/>
        <w:rPr>
          <w:sz w:val="17"/>
        </w:rPr>
      </w:pPr>
      <w:r>
        <w:rPr>
          <w:color w:val="231F20"/>
          <w:w w:val="105"/>
          <w:sz w:val="17"/>
        </w:rPr>
        <w:t>Weed,</w:t>
      </w:r>
      <w:r>
        <w:rPr>
          <w:color w:val="231F20"/>
          <w:spacing w:val="-5"/>
          <w:w w:val="105"/>
          <w:sz w:val="17"/>
        </w:rPr>
        <w:t xml:space="preserve"> </w:t>
      </w:r>
      <w:r>
        <w:rPr>
          <w:color w:val="231F20"/>
          <w:w w:val="105"/>
          <w:sz w:val="17"/>
        </w:rPr>
        <w:t>M.E.</w:t>
      </w:r>
      <w:r>
        <w:rPr>
          <w:color w:val="231F20"/>
          <w:spacing w:val="-5"/>
          <w:w w:val="105"/>
          <w:sz w:val="17"/>
        </w:rPr>
        <w:t xml:space="preserve"> </w:t>
      </w:r>
      <w:r>
        <w:rPr>
          <w:color w:val="231F20"/>
          <w:w w:val="105"/>
          <w:sz w:val="17"/>
        </w:rPr>
        <w:t>and</w:t>
      </w:r>
      <w:r>
        <w:rPr>
          <w:color w:val="231F20"/>
          <w:spacing w:val="-5"/>
          <w:w w:val="105"/>
          <w:sz w:val="17"/>
        </w:rPr>
        <w:t xml:space="preserve"> </w:t>
      </w:r>
      <w:r>
        <w:rPr>
          <w:color w:val="231F20"/>
          <w:w w:val="105"/>
          <w:sz w:val="17"/>
        </w:rPr>
        <w:t>Bull,</w:t>
      </w:r>
      <w:r>
        <w:rPr>
          <w:color w:val="231F20"/>
          <w:spacing w:val="-5"/>
          <w:w w:val="105"/>
          <w:sz w:val="17"/>
        </w:rPr>
        <w:t xml:space="preserve"> </w:t>
      </w:r>
      <w:r>
        <w:rPr>
          <w:color w:val="231F20"/>
          <w:w w:val="105"/>
          <w:sz w:val="17"/>
        </w:rPr>
        <w:t>C.</w:t>
      </w:r>
      <w:r>
        <w:rPr>
          <w:color w:val="231F20"/>
          <w:spacing w:val="-5"/>
          <w:w w:val="105"/>
          <w:sz w:val="17"/>
        </w:rPr>
        <w:t xml:space="preserve"> </w:t>
      </w:r>
      <w:r>
        <w:rPr>
          <w:color w:val="231F20"/>
          <w:w w:val="105"/>
          <w:sz w:val="17"/>
        </w:rPr>
        <w:t>(1997a)</w:t>
      </w:r>
      <w:r>
        <w:rPr>
          <w:color w:val="231F20"/>
          <w:spacing w:val="-5"/>
          <w:w w:val="105"/>
          <w:sz w:val="17"/>
        </w:rPr>
        <w:t xml:space="preserve"> </w:t>
      </w:r>
      <w:r>
        <w:rPr>
          <w:color w:val="231F20"/>
          <w:w w:val="105"/>
          <w:sz w:val="17"/>
        </w:rPr>
        <w:t>Integrating</w:t>
      </w:r>
      <w:r>
        <w:rPr>
          <w:color w:val="231F20"/>
          <w:spacing w:val="-5"/>
          <w:w w:val="105"/>
          <w:sz w:val="17"/>
        </w:rPr>
        <w:t xml:space="preserve"> </w:t>
      </w:r>
      <w:r>
        <w:rPr>
          <w:color w:val="231F20"/>
          <w:w w:val="105"/>
          <w:sz w:val="17"/>
        </w:rPr>
        <w:t>sport</w:t>
      </w:r>
      <w:r>
        <w:rPr>
          <w:color w:val="231F20"/>
          <w:spacing w:val="-5"/>
          <w:w w:val="105"/>
          <w:sz w:val="17"/>
        </w:rPr>
        <w:t xml:space="preserve"> </w:t>
      </w:r>
      <w:r>
        <w:rPr>
          <w:color w:val="231F20"/>
          <w:w w:val="105"/>
          <w:sz w:val="17"/>
        </w:rPr>
        <w:t>and</w:t>
      </w:r>
      <w:r>
        <w:rPr>
          <w:color w:val="231F20"/>
          <w:spacing w:val="-5"/>
          <w:w w:val="105"/>
          <w:sz w:val="17"/>
        </w:rPr>
        <w:t xml:space="preserve"> </w:t>
      </w:r>
      <w:r>
        <w:rPr>
          <w:color w:val="231F20"/>
          <w:w w:val="105"/>
          <w:sz w:val="17"/>
        </w:rPr>
        <w:t>tourism:</w:t>
      </w:r>
      <w:r>
        <w:rPr>
          <w:color w:val="231F20"/>
          <w:spacing w:val="-5"/>
          <w:w w:val="105"/>
          <w:sz w:val="17"/>
        </w:rPr>
        <w:t xml:space="preserve"> </w:t>
      </w:r>
      <w:r>
        <w:rPr>
          <w:color w:val="231F20"/>
          <w:w w:val="105"/>
          <w:sz w:val="17"/>
        </w:rPr>
        <w:t>A</w:t>
      </w:r>
      <w:r>
        <w:rPr>
          <w:color w:val="231F20"/>
          <w:spacing w:val="-5"/>
          <w:w w:val="105"/>
          <w:sz w:val="17"/>
        </w:rPr>
        <w:t xml:space="preserve"> </w:t>
      </w:r>
      <w:r>
        <w:rPr>
          <w:color w:val="231F20"/>
          <w:w w:val="105"/>
          <w:sz w:val="17"/>
        </w:rPr>
        <w:t>reviFpew</w:t>
      </w:r>
      <w:r>
        <w:rPr>
          <w:color w:val="231F20"/>
          <w:spacing w:val="-5"/>
          <w:w w:val="105"/>
          <w:sz w:val="17"/>
        </w:rPr>
        <w:t xml:space="preserve"> </w:t>
      </w:r>
      <w:r>
        <w:rPr>
          <w:color w:val="231F20"/>
          <w:w w:val="105"/>
          <w:sz w:val="17"/>
        </w:rPr>
        <w:t>of</w:t>
      </w:r>
      <w:r>
        <w:rPr>
          <w:color w:val="231F20"/>
          <w:spacing w:val="-5"/>
          <w:w w:val="105"/>
          <w:sz w:val="17"/>
        </w:rPr>
        <w:t xml:space="preserve"> </w:t>
      </w:r>
      <w:r>
        <w:rPr>
          <w:color w:val="231F20"/>
          <w:w w:val="105"/>
          <w:sz w:val="17"/>
        </w:rPr>
        <w:t>regional</w:t>
      </w:r>
      <w:r>
        <w:rPr>
          <w:color w:val="231F20"/>
          <w:spacing w:val="40"/>
          <w:w w:val="105"/>
          <w:sz w:val="17"/>
        </w:rPr>
        <w:t xml:space="preserve"> </w:t>
      </w:r>
      <w:r>
        <w:rPr>
          <w:color w:val="231F20"/>
          <w:sz w:val="17"/>
        </w:rPr>
        <w:t xml:space="preserve">policies in England. </w:t>
      </w:r>
      <w:r>
        <w:rPr>
          <w:i/>
          <w:color w:val="231F20"/>
          <w:sz w:val="17"/>
        </w:rPr>
        <w:t xml:space="preserve">Progress in Tourism and Hospitality Research </w:t>
      </w:r>
      <w:r>
        <w:rPr>
          <w:color w:val="231F20"/>
          <w:sz w:val="17"/>
        </w:rPr>
        <w:t>3 (2), 129–148.</w:t>
      </w:r>
    </w:p>
    <w:p w14:paraId="44F4F69B" w14:textId="77777777" w:rsidR="00AE0598" w:rsidRDefault="0069255A">
      <w:pPr>
        <w:spacing w:before="2"/>
        <w:ind w:left="430" w:right="128" w:hanging="320"/>
        <w:jc w:val="both"/>
        <w:rPr>
          <w:sz w:val="17"/>
        </w:rPr>
      </w:pPr>
      <w:r>
        <w:rPr>
          <w:color w:val="231F20"/>
          <w:sz w:val="17"/>
        </w:rPr>
        <w:t xml:space="preserve">Weed, </w:t>
      </w:r>
      <w:r>
        <w:rPr>
          <w:color w:val="231F20"/>
          <w:w w:val="105"/>
          <w:sz w:val="17"/>
        </w:rPr>
        <w:t xml:space="preserve">M.E. </w:t>
      </w:r>
      <w:r>
        <w:rPr>
          <w:color w:val="231F20"/>
          <w:sz w:val="17"/>
        </w:rPr>
        <w:t>and Bull, C. (1997b) Influences on sport tourism relations in Britain: The</w:t>
      </w:r>
      <w:r>
        <w:rPr>
          <w:color w:val="231F20"/>
          <w:spacing w:val="40"/>
          <w:sz w:val="17"/>
        </w:rPr>
        <w:t xml:space="preserve"> </w:t>
      </w:r>
      <w:r>
        <w:rPr>
          <w:color w:val="231F20"/>
          <w:sz w:val="17"/>
        </w:rPr>
        <w:t xml:space="preserve">effects of government policy. </w:t>
      </w:r>
      <w:r>
        <w:rPr>
          <w:i/>
          <w:color w:val="231F20"/>
          <w:sz w:val="17"/>
        </w:rPr>
        <w:t>Tourism Recreation Researc</w:t>
      </w:r>
      <w:r>
        <w:rPr>
          <w:i/>
          <w:color w:val="231F20"/>
          <w:sz w:val="17"/>
        </w:rPr>
        <w:t xml:space="preserve">h </w:t>
      </w:r>
      <w:r>
        <w:rPr>
          <w:color w:val="231F20"/>
          <w:sz w:val="17"/>
        </w:rPr>
        <w:t>22 (2), 5–12.</w:t>
      </w:r>
    </w:p>
    <w:p w14:paraId="04A56963" w14:textId="77777777" w:rsidR="00AE0598" w:rsidRDefault="0069255A">
      <w:pPr>
        <w:spacing w:before="1"/>
        <w:ind w:left="430" w:right="127" w:hanging="320"/>
        <w:jc w:val="both"/>
        <w:rPr>
          <w:sz w:val="17"/>
        </w:rPr>
      </w:pPr>
      <w:r>
        <w:rPr>
          <w:color w:val="231F20"/>
          <w:sz w:val="17"/>
        </w:rPr>
        <w:t>Weed,</w:t>
      </w:r>
      <w:r>
        <w:rPr>
          <w:color w:val="231F20"/>
          <w:spacing w:val="-2"/>
          <w:sz w:val="17"/>
        </w:rPr>
        <w:t xml:space="preserve"> </w:t>
      </w:r>
      <w:r>
        <w:rPr>
          <w:color w:val="231F20"/>
          <w:sz w:val="17"/>
        </w:rPr>
        <w:t>M.E.</w:t>
      </w:r>
      <w:r>
        <w:rPr>
          <w:color w:val="231F20"/>
          <w:spacing w:val="-2"/>
          <w:sz w:val="17"/>
        </w:rPr>
        <w:t xml:space="preserve"> </w:t>
      </w:r>
      <w:r>
        <w:rPr>
          <w:color w:val="231F20"/>
          <w:sz w:val="17"/>
        </w:rPr>
        <w:t>and</w:t>
      </w:r>
      <w:r>
        <w:rPr>
          <w:color w:val="231F20"/>
          <w:spacing w:val="-2"/>
          <w:sz w:val="17"/>
        </w:rPr>
        <w:t xml:space="preserve"> </w:t>
      </w:r>
      <w:r>
        <w:rPr>
          <w:color w:val="231F20"/>
          <w:sz w:val="17"/>
        </w:rPr>
        <w:t>Bull,</w:t>
      </w:r>
      <w:r>
        <w:rPr>
          <w:color w:val="231F20"/>
          <w:spacing w:val="-2"/>
          <w:sz w:val="17"/>
        </w:rPr>
        <w:t xml:space="preserve"> </w:t>
      </w:r>
      <w:r>
        <w:rPr>
          <w:color w:val="231F20"/>
          <w:sz w:val="17"/>
        </w:rPr>
        <w:t>C.</w:t>
      </w:r>
      <w:r>
        <w:rPr>
          <w:color w:val="231F20"/>
          <w:spacing w:val="-2"/>
          <w:sz w:val="17"/>
        </w:rPr>
        <w:t xml:space="preserve"> </w:t>
      </w:r>
      <w:r>
        <w:rPr>
          <w:color w:val="231F20"/>
          <w:sz w:val="17"/>
        </w:rPr>
        <w:t>(1998)</w:t>
      </w:r>
      <w:r>
        <w:rPr>
          <w:color w:val="231F20"/>
          <w:spacing w:val="-2"/>
          <w:sz w:val="17"/>
        </w:rPr>
        <w:t xml:space="preserve"> </w:t>
      </w:r>
      <w:r>
        <w:rPr>
          <w:color w:val="231F20"/>
          <w:sz w:val="17"/>
        </w:rPr>
        <w:t>The</w:t>
      </w:r>
      <w:r>
        <w:rPr>
          <w:color w:val="231F20"/>
          <w:spacing w:val="-2"/>
          <w:sz w:val="17"/>
        </w:rPr>
        <w:t xml:space="preserve"> </w:t>
      </w:r>
      <w:r>
        <w:rPr>
          <w:color w:val="231F20"/>
          <w:sz w:val="17"/>
        </w:rPr>
        <w:t>search</w:t>
      </w:r>
      <w:r>
        <w:rPr>
          <w:color w:val="231F20"/>
          <w:spacing w:val="-2"/>
          <w:sz w:val="17"/>
        </w:rPr>
        <w:t xml:space="preserve"> </w:t>
      </w:r>
      <w:r>
        <w:rPr>
          <w:color w:val="231F20"/>
          <w:sz w:val="17"/>
        </w:rPr>
        <w:t>for</w:t>
      </w:r>
      <w:r>
        <w:rPr>
          <w:color w:val="231F20"/>
          <w:spacing w:val="-2"/>
          <w:sz w:val="17"/>
        </w:rPr>
        <w:t xml:space="preserve"> </w:t>
      </w:r>
      <w:r>
        <w:rPr>
          <w:color w:val="231F20"/>
          <w:sz w:val="17"/>
        </w:rPr>
        <w:t>a</w:t>
      </w:r>
      <w:r>
        <w:rPr>
          <w:color w:val="231F20"/>
          <w:spacing w:val="-2"/>
          <w:sz w:val="17"/>
        </w:rPr>
        <w:t xml:space="preserve"> </w:t>
      </w:r>
      <w:r>
        <w:rPr>
          <w:color w:val="231F20"/>
          <w:sz w:val="17"/>
        </w:rPr>
        <w:t>sport</w:t>
      </w:r>
      <w:r>
        <w:rPr>
          <w:color w:val="231F20"/>
          <w:spacing w:val="-2"/>
          <w:sz w:val="17"/>
        </w:rPr>
        <w:t xml:space="preserve"> </w:t>
      </w:r>
      <w:r>
        <w:rPr>
          <w:color w:val="231F20"/>
          <w:sz w:val="17"/>
        </w:rPr>
        <w:t>tourism</w:t>
      </w:r>
      <w:r>
        <w:rPr>
          <w:color w:val="231F20"/>
          <w:spacing w:val="-2"/>
          <w:sz w:val="17"/>
        </w:rPr>
        <w:t xml:space="preserve"> </w:t>
      </w:r>
      <w:r>
        <w:rPr>
          <w:color w:val="231F20"/>
          <w:sz w:val="17"/>
        </w:rPr>
        <w:t>policy</w:t>
      </w:r>
      <w:r>
        <w:rPr>
          <w:color w:val="231F20"/>
          <w:spacing w:val="-2"/>
          <w:sz w:val="17"/>
        </w:rPr>
        <w:t xml:space="preserve"> </w:t>
      </w:r>
      <w:r>
        <w:rPr>
          <w:color w:val="231F20"/>
          <w:sz w:val="17"/>
        </w:rPr>
        <w:t>network.</w:t>
      </w:r>
      <w:r>
        <w:rPr>
          <w:color w:val="231F20"/>
          <w:spacing w:val="-2"/>
          <w:sz w:val="17"/>
        </w:rPr>
        <w:t xml:space="preserve"> </w:t>
      </w:r>
      <w:r>
        <w:rPr>
          <w:color w:val="231F20"/>
          <w:sz w:val="17"/>
        </w:rPr>
        <w:t>In</w:t>
      </w:r>
      <w:r>
        <w:rPr>
          <w:color w:val="231F20"/>
          <w:spacing w:val="-2"/>
          <w:sz w:val="17"/>
        </w:rPr>
        <w:t xml:space="preserve"> </w:t>
      </w:r>
      <w:r>
        <w:rPr>
          <w:color w:val="231F20"/>
          <w:sz w:val="17"/>
        </w:rPr>
        <w:t>I.</w:t>
      </w:r>
      <w:r>
        <w:rPr>
          <w:color w:val="231F20"/>
          <w:spacing w:val="-2"/>
          <w:sz w:val="17"/>
        </w:rPr>
        <w:t xml:space="preserve"> </w:t>
      </w:r>
      <w:r>
        <w:rPr>
          <w:color w:val="231F20"/>
          <w:sz w:val="17"/>
        </w:rPr>
        <w:t>Cooper</w:t>
      </w:r>
      <w:r>
        <w:rPr>
          <w:color w:val="231F20"/>
          <w:spacing w:val="40"/>
          <w:sz w:val="17"/>
        </w:rPr>
        <w:t xml:space="preserve"> </w:t>
      </w:r>
      <w:r>
        <w:rPr>
          <w:color w:val="231F20"/>
          <w:sz w:val="17"/>
        </w:rPr>
        <w:t xml:space="preserve">and M.F. Collins (eds) </w:t>
      </w:r>
      <w:r>
        <w:rPr>
          <w:i/>
          <w:color w:val="231F20"/>
          <w:sz w:val="17"/>
        </w:rPr>
        <w:t xml:space="preserve">Leisure Management: Issues and Applications </w:t>
      </w:r>
      <w:r>
        <w:rPr>
          <w:color w:val="231F20"/>
          <w:sz w:val="17"/>
        </w:rPr>
        <w:t>(pp. 277–298).</w:t>
      </w:r>
      <w:r>
        <w:rPr>
          <w:color w:val="231F20"/>
          <w:spacing w:val="40"/>
          <w:sz w:val="17"/>
        </w:rPr>
        <w:t xml:space="preserve"> </w:t>
      </w:r>
      <w:r>
        <w:rPr>
          <w:color w:val="231F20"/>
          <w:sz w:val="17"/>
        </w:rPr>
        <w:t>Wallingford: CABI.</w:t>
      </w:r>
    </w:p>
    <w:p w14:paraId="58C89C9B" w14:textId="77777777" w:rsidR="00AE0598" w:rsidRDefault="0069255A">
      <w:pPr>
        <w:spacing w:before="2"/>
        <w:ind w:left="110"/>
        <w:jc w:val="both"/>
        <w:rPr>
          <w:sz w:val="17"/>
        </w:rPr>
      </w:pPr>
      <w:r>
        <w:rPr>
          <w:color w:val="231F20"/>
          <w:w w:val="105"/>
          <w:sz w:val="17"/>
        </w:rPr>
        <w:t>Weed,</w:t>
      </w:r>
      <w:r>
        <w:rPr>
          <w:color w:val="231F20"/>
          <w:spacing w:val="24"/>
          <w:w w:val="110"/>
          <w:sz w:val="17"/>
        </w:rPr>
        <w:t xml:space="preserve"> </w:t>
      </w:r>
      <w:r>
        <w:rPr>
          <w:color w:val="231F20"/>
          <w:w w:val="110"/>
          <w:sz w:val="17"/>
        </w:rPr>
        <w:t>M.E.</w:t>
      </w:r>
      <w:r>
        <w:rPr>
          <w:color w:val="231F20"/>
          <w:spacing w:val="24"/>
          <w:w w:val="110"/>
          <w:sz w:val="17"/>
        </w:rPr>
        <w:t xml:space="preserve"> </w:t>
      </w:r>
      <w:r>
        <w:rPr>
          <w:color w:val="231F20"/>
          <w:w w:val="105"/>
          <w:sz w:val="17"/>
        </w:rPr>
        <w:t>and</w:t>
      </w:r>
      <w:r>
        <w:rPr>
          <w:color w:val="231F20"/>
          <w:spacing w:val="25"/>
          <w:w w:val="105"/>
          <w:sz w:val="17"/>
        </w:rPr>
        <w:t xml:space="preserve"> </w:t>
      </w:r>
      <w:r>
        <w:rPr>
          <w:color w:val="231F20"/>
          <w:w w:val="105"/>
          <w:sz w:val="17"/>
        </w:rPr>
        <w:t>Bull,</w:t>
      </w:r>
      <w:r>
        <w:rPr>
          <w:color w:val="231F20"/>
          <w:spacing w:val="24"/>
          <w:w w:val="110"/>
          <w:sz w:val="17"/>
        </w:rPr>
        <w:t xml:space="preserve"> </w:t>
      </w:r>
      <w:r>
        <w:rPr>
          <w:color w:val="231F20"/>
          <w:w w:val="110"/>
          <w:sz w:val="17"/>
        </w:rPr>
        <w:t>C.J.</w:t>
      </w:r>
      <w:r>
        <w:rPr>
          <w:color w:val="231F20"/>
          <w:spacing w:val="24"/>
          <w:w w:val="110"/>
          <w:sz w:val="17"/>
        </w:rPr>
        <w:t xml:space="preserve"> </w:t>
      </w:r>
      <w:r>
        <w:rPr>
          <w:color w:val="231F20"/>
          <w:w w:val="105"/>
          <w:sz w:val="17"/>
        </w:rPr>
        <w:t>(2004)</w:t>
      </w:r>
      <w:r>
        <w:rPr>
          <w:color w:val="231F20"/>
          <w:spacing w:val="26"/>
          <w:w w:val="105"/>
          <w:sz w:val="17"/>
        </w:rPr>
        <w:t xml:space="preserve"> </w:t>
      </w:r>
      <w:r>
        <w:rPr>
          <w:i/>
          <w:color w:val="231F20"/>
          <w:w w:val="105"/>
          <w:sz w:val="17"/>
        </w:rPr>
        <w:t>Sport</w:t>
      </w:r>
      <w:r>
        <w:rPr>
          <w:i/>
          <w:color w:val="231F20"/>
          <w:spacing w:val="26"/>
          <w:w w:val="105"/>
          <w:sz w:val="17"/>
        </w:rPr>
        <w:t xml:space="preserve"> </w:t>
      </w:r>
      <w:r>
        <w:rPr>
          <w:i/>
          <w:color w:val="231F20"/>
          <w:w w:val="105"/>
          <w:sz w:val="17"/>
        </w:rPr>
        <w:t>Tourism:</w:t>
      </w:r>
      <w:r>
        <w:rPr>
          <w:i/>
          <w:color w:val="231F20"/>
          <w:spacing w:val="26"/>
          <w:w w:val="105"/>
          <w:sz w:val="17"/>
        </w:rPr>
        <w:t xml:space="preserve"> </w:t>
      </w:r>
      <w:r>
        <w:rPr>
          <w:i/>
          <w:color w:val="231F20"/>
          <w:w w:val="105"/>
          <w:sz w:val="17"/>
        </w:rPr>
        <w:t>Participants,</w:t>
      </w:r>
      <w:r>
        <w:rPr>
          <w:i/>
          <w:color w:val="231F20"/>
          <w:spacing w:val="26"/>
          <w:w w:val="105"/>
          <w:sz w:val="17"/>
        </w:rPr>
        <w:t xml:space="preserve"> </w:t>
      </w:r>
      <w:r>
        <w:rPr>
          <w:i/>
          <w:color w:val="231F20"/>
          <w:w w:val="105"/>
          <w:sz w:val="17"/>
        </w:rPr>
        <w:t>Policy</w:t>
      </w:r>
      <w:r>
        <w:rPr>
          <w:i/>
          <w:color w:val="231F20"/>
          <w:spacing w:val="26"/>
          <w:w w:val="105"/>
          <w:sz w:val="17"/>
        </w:rPr>
        <w:t xml:space="preserve"> </w:t>
      </w:r>
      <w:r>
        <w:rPr>
          <w:i/>
          <w:color w:val="231F20"/>
          <w:w w:val="105"/>
          <w:sz w:val="17"/>
        </w:rPr>
        <w:t>and</w:t>
      </w:r>
      <w:r>
        <w:rPr>
          <w:i/>
          <w:color w:val="231F20"/>
          <w:spacing w:val="26"/>
          <w:w w:val="105"/>
          <w:sz w:val="17"/>
        </w:rPr>
        <w:t xml:space="preserve"> </w:t>
      </w:r>
      <w:r>
        <w:rPr>
          <w:i/>
          <w:color w:val="231F20"/>
          <w:spacing w:val="-2"/>
          <w:w w:val="105"/>
          <w:sz w:val="17"/>
        </w:rPr>
        <w:t>Providers</w:t>
      </w:r>
      <w:r>
        <w:rPr>
          <w:color w:val="231F20"/>
          <w:spacing w:val="-2"/>
          <w:w w:val="105"/>
          <w:sz w:val="17"/>
        </w:rPr>
        <w:t>.</w:t>
      </w:r>
    </w:p>
    <w:p w14:paraId="232CD581" w14:textId="77777777" w:rsidR="00AE0598" w:rsidRDefault="0069255A">
      <w:pPr>
        <w:spacing w:before="1"/>
        <w:ind w:left="430"/>
        <w:jc w:val="both"/>
        <w:rPr>
          <w:sz w:val="17"/>
        </w:rPr>
      </w:pPr>
      <w:r>
        <w:rPr>
          <w:color w:val="231F20"/>
          <w:w w:val="95"/>
          <w:sz w:val="17"/>
        </w:rPr>
        <w:t>Oxford:</w:t>
      </w:r>
      <w:r>
        <w:rPr>
          <w:color w:val="231F20"/>
          <w:spacing w:val="35"/>
          <w:sz w:val="17"/>
        </w:rPr>
        <w:t xml:space="preserve"> </w:t>
      </w:r>
      <w:r>
        <w:rPr>
          <w:color w:val="231F20"/>
          <w:w w:val="95"/>
          <w:sz w:val="17"/>
        </w:rPr>
        <w:t>Butterworth</w:t>
      </w:r>
      <w:r>
        <w:rPr>
          <w:color w:val="231F20"/>
          <w:spacing w:val="35"/>
          <w:sz w:val="17"/>
        </w:rPr>
        <w:t xml:space="preserve"> </w:t>
      </w:r>
      <w:r>
        <w:rPr>
          <w:color w:val="231F20"/>
          <w:spacing w:val="-2"/>
          <w:w w:val="95"/>
          <w:sz w:val="17"/>
        </w:rPr>
        <w:t>Heinemann.</w:t>
      </w:r>
    </w:p>
    <w:p w14:paraId="0A077E9F" w14:textId="77777777" w:rsidR="00AE0598" w:rsidRDefault="0069255A">
      <w:pPr>
        <w:ind w:left="110"/>
        <w:jc w:val="both"/>
        <w:rPr>
          <w:i/>
          <w:sz w:val="17"/>
        </w:rPr>
      </w:pPr>
      <w:r>
        <w:rPr>
          <w:color w:val="231F20"/>
          <w:w w:val="105"/>
          <w:sz w:val="17"/>
        </w:rPr>
        <w:t>Weed,</w:t>
      </w:r>
      <w:r>
        <w:rPr>
          <w:color w:val="231F20"/>
          <w:spacing w:val="34"/>
          <w:w w:val="105"/>
          <w:sz w:val="17"/>
        </w:rPr>
        <w:t xml:space="preserve"> </w:t>
      </w:r>
      <w:r>
        <w:rPr>
          <w:color w:val="231F20"/>
          <w:w w:val="105"/>
          <w:sz w:val="17"/>
        </w:rPr>
        <w:t>M.E.</w:t>
      </w:r>
      <w:r>
        <w:rPr>
          <w:color w:val="231F20"/>
          <w:spacing w:val="35"/>
          <w:w w:val="105"/>
          <w:sz w:val="17"/>
        </w:rPr>
        <w:t xml:space="preserve"> </w:t>
      </w:r>
      <w:r>
        <w:rPr>
          <w:color w:val="231F20"/>
          <w:w w:val="105"/>
          <w:sz w:val="17"/>
        </w:rPr>
        <w:t>and</w:t>
      </w:r>
      <w:r>
        <w:rPr>
          <w:color w:val="231F20"/>
          <w:spacing w:val="35"/>
          <w:w w:val="105"/>
          <w:sz w:val="17"/>
        </w:rPr>
        <w:t xml:space="preserve"> </w:t>
      </w:r>
      <w:r>
        <w:rPr>
          <w:color w:val="231F20"/>
          <w:w w:val="105"/>
          <w:sz w:val="17"/>
        </w:rPr>
        <w:t>Bull,</w:t>
      </w:r>
      <w:r>
        <w:rPr>
          <w:color w:val="231F20"/>
          <w:spacing w:val="35"/>
          <w:w w:val="105"/>
          <w:sz w:val="17"/>
        </w:rPr>
        <w:t xml:space="preserve"> </w:t>
      </w:r>
      <w:r>
        <w:rPr>
          <w:color w:val="231F20"/>
          <w:w w:val="105"/>
          <w:sz w:val="17"/>
        </w:rPr>
        <w:t>C.</w:t>
      </w:r>
      <w:r>
        <w:rPr>
          <w:color w:val="231F20"/>
          <w:spacing w:val="34"/>
          <w:w w:val="105"/>
          <w:sz w:val="17"/>
        </w:rPr>
        <w:t xml:space="preserve"> </w:t>
      </w:r>
      <w:r>
        <w:rPr>
          <w:color w:val="231F20"/>
          <w:w w:val="105"/>
          <w:sz w:val="17"/>
        </w:rPr>
        <w:t>(2009)</w:t>
      </w:r>
      <w:r>
        <w:rPr>
          <w:color w:val="231F20"/>
          <w:spacing w:val="35"/>
          <w:w w:val="105"/>
          <w:sz w:val="17"/>
        </w:rPr>
        <w:t xml:space="preserve"> </w:t>
      </w:r>
      <w:r>
        <w:rPr>
          <w:i/>
          <w:color w:val="231F20"/>
          <w:w w:val="105"/>
          <w:sz w:val="17"/>
        </w:rPr>
        <w:t>Sports</w:t>
      </w:r>
      <w:r>
        <w:rPr>
          <w:i/>
          <w:color w:val="231F20"/>
          <w:spacing w:val="35"/>
          <w:w w:val="105"/>
          <w:sz w:val="17"/>
        </w:rPr>
        <w:t xml:space="preserve"> </w:t>
      </w:r>
      <w:r>
        <w:rPr>
          <w:i/>
          <w:color w:val="231F20"/>
          <w:w w:val="105"/>
          <w:sz w:val="17"/>
        </w:rPr>
        <w:t>Tourism:</w:t>
      </w:r>
      <w:r>
        <w:rPr>
          <w:i/>
          <w:color w:val="231F20"/>
          <w:spacing w:val="34"/>
          <w:w w:val="105"/>
          <w:sz w:val="17"/>
        </w:rPr>
        <w:t xml:space="preserve"> </w:t>
      </w:r>
      <w:r>
        <w:rPr>
          <w:i/>
          <w:color w:val="231F20"/>
          <w:w w:val="105"/>
          <w:sz w:val="17"/>
        </w:rPr>
        <w:t>Participants,</w:t>
      </w:r>
      <w:r>
        <w:rPr>
          <w:i/>
          <w:color w:val="231F20"/>
          <w:spacing w:val="35"/>
          <w:w w:val="105"/>
          <w:sz w:val="17"/>
        </w:rPr>
        <w:t xml:space="preserve"> </w:t>
      </w:r>
      <w:r>
        <w:rPr>
          <w:i/>
          <w:color w:val="231F20"/>
          <w:w w:val="105"/>
          <w:sz w:val="17"/>
        </w:rPr>
        <w:t>Policy</w:t>
      </w:r>
      <w:r>
        <w:rPr>
          <w:i/>
          <w:color w:val="231F20"/>
          <w:spacing w:val="35"/>
          <w:w w:val="105"/>
          <w:sz w:val="17"/>
        </w:rPr>
        <w:t xml:space="preserve"> </w:t>
      </w:r>
      <w:r>
        <w:rPr>
          <w:i/>
          <w:color w:val="231F20"/>
          <w:w w:val="105"/>
          <w:sz w:val="17"/>
        </w:rPr>
        <w:t>and</w:t>
      </w:r>
      <w:r>
        <w:rPr>
          <w:i/>
          <w:color w:val="231F20"/>
          <w:spacing w:val="35"/>
          <w:w w:val="105"/>
          <w:sz w:val="17"/>
        </w:rPr>
        <w:t xml:space="preserve"> </w:t>
      </w:r>
      <w:r>
        <w:rPr>
          <w:i/>
          <w:color w:val="231F20"/>
          <w:spacing w:val="-2"/>
          <w:w w:val="105"/>
          <w:sz w:val="17"/>
        </w:rPr>
        <w:t>Providers</w:t>
      </w:r>
    </w:p>
    <w:p w14:paraId="5C915B8C" w14:textId="77777777" w:rsidR="00AE0598" w:rsidRDefault="0069255A">
      <w:pPr>
        <w:spacing w:before="1"/>
        <w:ind w:left="430"/>
        <w:jc w:val="both"/>
        <w:rPr>
          <w:sz w:val="17"/>
        </w:rPr>
      </w:pPr>
      <w:r>
        <w:rPr>
          <w:color w:val="231F20"/>
          <w:w w:val="95"/>
          <w:sz w:val="17"/>
        </w:rPr>
        <w:t>(2nd</w:t>
      </w:r>
      <w:r>
        <w:rPr>
          <w:color w:val="231F20"/>
          <w:spacing w:val="24"/>
          <w:sz w:val="17"/>
        </w:rPr>
        <w:t xml:space="preserve"> </w:t>
      </w:r>
      <w:r>
        <w:rPr>
          <w:color w:val="231F20"/>
          <w:w w:val="95"/>
          <w:sz w:val="17"/>
        </w:rPr>
        <w:t>edn).</w:t>
      </w:r>
      <w:r>
        <w:rPr>
          <w:color w:val="231F20"/>
          <w:spacing w:val="24"/>
          <w:sz w:val="17"/>
        </w:rPr>
        <w:t xml:space="preserve"> </w:t>
      </w:r>
      <w:r>
        <w:rPr>
          <w:color w:val="231F20"/>
          <w:w w:val="95"/>
          <w:sz w:val="17"/>
        </w:rPr>
        <w:t>Oxford:</w:t>
      </w:r>
      <w:r>
        <w:rPr>
          <w:color w:val="231F20"/>
          <w:spacing w:val="25"/>
          <w:sz w:val="17"/>
        </w:rPr>
        <w:t xml:space="preserve"> </w:t>
      </w:r>
      <w:r>
        <w:rPr>
          <w:color w:val="231F20"/>
          <w:w w:val="95"/>
          <w:sz w:val="17"/>
        </w:rPr>
        <w:t>Butterworth-</w:t>
      </w:r>
      <w:r>
        <w:rPr>
          <w:color w:val="231F20"/>
          <w:spacing w:val="-2"/>
          <w:w w:val="95"/>
          <w:sz w:val="17"/>
        </w:rPr>
        <w:t>Heinemann.</w:t>
      </w:r>
    </w:p>
    <w:p w14:paraId="4F71F621" w14:textId="77777777" w:rsidR="00AE0598" w:rsidRDefault="0069255A">
      <w:pPr>
        <w:spacing w:before="1"/>
        <w:ind w:left="110"/>
        <w:jc w:val="both"/>
        <w:rPr>
          <w:i/>
          <w:sz w:val="17"/>
        </w:rPr>
      </w:pPr>
      <w:r>
        <w:rPr>
          <w:color w:val="231F20"/>
          <w:w w:val="105"/>
          <w:sz w:val="17"/>
        </w:rPr>
        <w:t>Weed,</w:t>
      </w:r>
      <w:r>
        <w:rPr>
          <w:color w:val="231F20"/>
          <w:spacing w:val="34"/>
          <w:w w:val="105"/>
          <w:sz w:val="17"/>
        </w:rPr>
        <w:t xml:space="preserve"> </w:t>
      </w:r>
      <w:r>
        <w:rPr>
          <w:color w:val="231F20"/>
          <w:w w:val="105"/>
          <w:sz w:val="17"/>
        </w:rPr>
        <w:t>M.E.</w:t>
      </w:r>
      <w:r>
        <w:rPr>
          <w:color w:val="231F20"/>
          <w:spacing w:val="35"/>
          <w:w w:val="105"/>
          <w:sz w:val="17"/>
        </w:rPr>
        <w:t xml:space="preserve"> </w:t>
      </w:r>
      <w:r>
        <w:rPr>
          <w:color w:val="231F20"/>
          <w:w w:val="105"/>
          <w:sz w:val="17"/>
        </w:rPr>
        <w:t>and</w:t>
      </w:r>
      <w:r>
        <w:rPr>
          <w:color w:val="231F20"/>
          <w:spacing w:val="35"/>
          <w:w w:val="105"/>
          <w:sz w:val="17"/>
        </w:rPr>
        <w:t xml:space="preserve"> </w:t>
      </w:r>
      <w:r>
        <w:rPr>
          <w:color w:val="231F20"/>
          <w:w w:val="105"/>
          <w:sz w:val="17"/>
        </w:rPr>
        <w:t>Bull,</w:t>
      </w:r>
      <w:r>
        <w:rPr>
          <w:color w:val="231F20"/>
          <w:spacing w:val="35"/>
          <w:w w:val="105"/>
          <w:sz w:val="17"/>
        </w:rPr>
        <w:t xml:space="preserve"> </w:t>
      </w:r>
      <w:r>
        <w:rPr>
          <w:color w:val="231F20"/>
          <w:w w:val="105"/>
          <w:sz w:val="17"/>
        </w:rPr>
        <w:t>C.</w:t>
      </w:r>
      <w:r>
        <w:rPr>
          <w:color w:val="231F20"/>
          <w:spacing w:val="35"/>
          <w:w w:val="105"/>
          <w:sz w:val="17"/>
        </w:rPr>
        <w:t xml:space="preserve"> </w:t>
      </w:r>
      <w:r>
        <w:rPr>
          <w:color w:val="231F20"/>
          <w:w w:val="105"/>
          <w:sz w:val="17"/>
        </w:rPr>
        <w:t>(2012)</w:t>
      </w:r>
      <w:r>
        <w:rPr>
          <w:color w:val="231F20"/>
          <w:spacing w:val="35"/>
          <w:w w:val="105"/>
          <w:sz w:val="17"/>
        </w:rPr>
        <w:t xml:space="preserve"> </w:t>
      </w:r>
      <w:r>
        <w:rPr>
          <w:i/>
          <w:color w:val="231F20"/>
          <w:w w:val="105"/>
          <w:sz w:val="17"/>
        </w:rPr>
        <w:t>Sports</w:t>
      </w:r>
      <w:r>
        <w:rPr>
          <w:i/>
          <w:color w:val="231F20"/>
          <w:spacing w:val="34"/>
          <w:w w:val="105"/>
          <w:sz w:val="17"/>
        </w:rPr>
        <w:t xml:space="preserve"> </w:t>
      </w:r>
      <w:r>
        <w:rPr>
          <w:i/>
          <w:color w:val="231F20"/>
          <w:w w:val="105"/>
          <w:sz w:val="17"/>
        </w:rPr>
        <w:t>Tourism:</w:t>
      </w:r>
      <w:r>
        <w:rPr>
          <w:i/>
          <w:color w:val="231F20"/>
          <w:spacing w:val="35"/>
          <w:w w:val="105"/>
          <w:sz w:val="17"/>
        </w:rPr>
        <w:t xml:space="preserve"> </w:t>
      </w:r>
      <w:r>
        <w:rPr>
          <w:i/>
          <w:color w:val="231F20"/>
          <w:w w:val="105"/>
          <w:sz w:val="17"/>
        </w:rPr>
        <w:t>Participants,</w:t>
      </w:r>
      <w:r>
        <w:rPr>
          <w:i/>
          <w:color w:val="231F20"/>
          <w:spacing w:val="35"/>
          <w:w w:val="105"/>
          <w:sz w:val="17"/>
        </w:rPr>
        <w:t xml:space="preserve"> </w:t>
      </w:r>
      <w:r>
        <w:rPr>
          <w:i/>
          <w:color w:val="231F20"/>
          <w:w w:val="105"/>
          <w:sz w:val="17"/>
        </w:rPr>
        <w:t>Policy</w:t>
      </w:r>
      <w:r>
        <w:rPr>
          <w:i/>
          <w:color w:val="231F20"/>
          <w:spacing w:val="35"/>
          <w:w w:val="105"/>
          <w:sz w:val="17"/>
        </w:rPr>
        <w:t xml:space="preserve"> </w:t>
      </w:r>
      <w:r>
        <w:rPr>
          <w:i/>
          <w:color w:val="231F20"/>
          <w:w w:val="105"/>
          <w:sz w:val="17"/>
        </w:rPr>
        <w:t>and</w:t>
      </w:r>
      <w:r>
        <w:rPr>
          <w:i/>
          <w:color w:val="231F20"/>
          <w:spacing w:val="35"/>
          <w:w w:val="105"/>
          <w:sz w:val="17"/>
        </w:rPr>
        <w:t xml:space="preserve"> </w:t>
      </w:r>
      <w:r>
        <w:rPr>
          <w:i/>
          <w:color w:val="231F20"/>
          <w:spacing w:val="-2"/>
          <w:w w:val="105"/>
          <w:sz w:val="17"/>
        </w:rPr>
        <w:t>Providers</w:t>
      </w:r>
    </w:p>
    <w:p w14:paraId="61FC3BE2" w14:textId="77777777" w:rsidR="00AE0598" w:rsidRDefault="0069255A">
      <w:pPr>
        <w:spacing w:before="1"/>
        <w:ind w:left="430"/>
        <w:jc w:val="both"/>
        <w:rPr>
          <w:sz w:val="17"/>
        </w:rPr>
      </w:pPr>
      <w:r>
        <w:rPr>
          <w:color w:val="231F20"/>
          <w:w w:val="95"/>
          <w:sz w:val="17"/>
        </w:rPr>
        <w:t>(2nd</w:t>
      </w:r>
      <w:r>
        <w:rPr>
          <w:color w:val="231F20"/>
          <w:spacing w:val="10"/>
          <w:sz w:val="17"/>
        </w:rPr>
        <w:t xml:space="preserve"> </w:t>
      </w:r>
      <w:r>
        <w:rPr>
          <w:color w:val="231F20"/>
          <w:w w:val="95"/>
          <w:sz w:val="17"/>
        </w:rPr>
        <w:t>edn).</w:t>
      </w:r>
      <w:r>
        <w:rPr>
          <w:color w:val="231F20"/>
          <w:spacing w:val="10"/>
          <w:sz w:val="17"/>
        </w:rPr>
        <w:t xml:space="preserve"> </w:t>
      </w:r>
      <w:r>
        <w:rPr>
          <w:color w:val="231F20"/>
          <w:w w:val="95"/>
          <w:sz w:val="17"/>
        </w:rPr>
        <w:t>London:</w:t>
      </w:r>
      <w:r>
        <w:rPr>
          <w:color w:val="231F20"/>
          <w:spacing w:val="10"/>
          <w:sz w:val="17"/>
        </w:rPr>
        <w:t xml:space="preserve"> </w:t>
      </w:r>
      <w:r>
        <w:rPr>
          <w:color w:val="231F20"/>
          <w:spacing w:val="-2"/>
          <w:w w:val="95"/>
          <w:sz w:val="17"/>
        </w:rPr>
        <w:t>Routledge.</w:t>
      </w:r>
    </w:p>
    <w:p w14:paraId="24923C86" w14:textId="77777777" w:rsidR="00AE0598" w:rsidRDefault="0069255A">
      <w:pPr>
        <w:ind w:left="430" w:right="128" w:hanging="320"/>
        <w:jc w:val="both"/>
        <w:rPr>
          <w:sz w:val="17"/>
        </w:rPr>
      </w:pPr>
      <w:r>
        <w:rPr>
          <w:color w:val="231F20"/>
          <w:sz w:val="17"/>
        </w:rPr>
        <w:t>Weed,</w:t>
      </w:r>
      <w:r>
        <w:rPr>
          <w:color w:val="231F20"/>
          <w:spacing w:val="40"/>
          <w:sz w:val="17"/>
        </w:rPr>
        <w:t xml:space="preserve"> </w:t>
      </w:r>
      <w:r>
        <w:rPr>
          <w:color w:val="231F20"/>
          <w:sz w:val="17"/>
        </w:rPr>
        <w:t>M.E.,</w:t>
      </w:r>
      <w:r>
        <w:rPr>
          <w:color w:val="231F20"/>
          <w:spacing w:val="40"/>
          <w:sz w:val="17"/>
        </w:rPr>
        <w:t xml:space="preserve"> </w:t>
      </w:r>
      <w:r>
        <w:rPr>
          <w:color w:val="231F20"/>
          <w:sz w:val="17"/>
        </w:rPr>
        <w:t>Bull,</w:t>
      </w:r>
      <w:r>
        <w:rPr>
          <w:color w:val="231F20"/>
          <w:spacing w:val="40"/>
          <w:w w:val="105"/>
          <w:sz w:val="17"/>
        </w:rPr>
        <w:t xml:space="preserve"> </w:t>
      </w:r>
      <w:r>
        <w:rPr>
          <w:color w:val="231F20"/>
          <w:w w:val="105"/>
          <w:sz w:val="17"/>
        </w:rPr>
        <w:t>C.,</w:t>
      </w:r>
      <w:r>
        <w:rPr>
          <w:color w:val="231F20"/>
          <w:spacing w:val="40"/>
          <w:w w:val="105"/>
          <w:sz w:val="17"/>
        </w:rPr>
        <w:t xml:space="preserve"> </w:t>
      </w:r>
      <w:r>
        <w:rPr>
          <w:color w:val="231F20"/>
          <w:sz w:val="17"/>
        </w:rPr>
        <w:t>Brown,</w:t>
      </w:r>
      <w:r>
        <w:rPr>
          <w:color w:val="231F20"/>
          <w:spacing w:val="40"/>
          <w:w w:val="105"/>
          <w:sz w:val="17"/>
        </w:rPr>
        <w:t xml:space="preserve"> </w:t>
      </w:r>
      <w:r>
        <w:rPr>
          <w:color w:val="231F20"/>
          <w:w w:val="105"/>
          <w:sz w:val="17"/>
        </w:rPr>
        <w:t>M.,</w:t>
      </w:r>
      <w:r>
        <w:rPr>
          <w:color w:val="231F20"/>
          <w:spacing w:val="40"/>
          <w:w w:val="105"/>
          <w:sz w:val="17"/>
        </w:rPr>
        <w:t xml:space="preserve"> </w:t>
      </w:r>
      <w:r>
        <w:rPr>
          <w:color w:val="231F20"/>
          <w:sz w:val="17"/>
        </w:rPr>
        <w:t>Dowse,</w:t>
      </w:r>
      <w:r>
        <w:rPr>
          <w:color w:val="231F20"/>
          <w:spacing w:val="40"/>
          <w:sz w:val="17"/>
        </w:rPr>
        <w:t xml:space="preserve"> </w:t>
      </w:r>
      <w:r>
        <w:rPr>
          <w:color w:val="231F20"/>
          <w:sz w:val="17"/>
        </w:rPr>
        <w:t>S.,</w:t>
      </w:r>
      <w:r>
        <w:rPr>
          <w:color w:val="231F20"/>
          <w:spacing w:val="40"/>
          <w:sz w:val="17"/>
        </w:rPr>
        <w:t xml:space="preserve"> </w:t>
      </w:r>
      <w:r>
        <w:rPr>
          <w:color w:val="231F20"/>
          <w:sz w:val="17"/>
        </w:rPr>
        <w:t>Lovell,</w:t>
      </w:r>
      <w:r>
        <w:rPr>
          <w:color w:val="231F20"/>
          <w:spacing w:val="40"/>
          <w:w w:val="105"/>
          <w:sz w:val="17"/>
        </w:rPr>
        <w:t xml:space="preserve"> </w:t>
      </w:r>
      <w:r>
        <w:rPr>
          <w:color w:val="231F20"/>
          <w:w w:val="105"/>
          <w:sz w:val="17"/>
        </w:rPr>
        <w:t>J.,</w:t>
      </w:r>
      <w:r>
        <w:rPr>
          <w:color w:val="231F20"/>
          <w:spacing w:val="40"/>
          <w:w w:val="105"/>
          <w:sz w:val="17"/>
        </w:rPr>
        <w:t xml:space="preserve"> </w:t>
      </w:r>
      <w:r>
        <w:rPr>
          <w:color w:val="231F20"/>
          <w:sz w:val="17"/>
        </w:rPr>
        <w:t>Mansfield,</w:t>
      </w:r>
      <w:r>
        <w:rPr>
          <w:color w:val="231F20"/>
          <w:spacing w:val="40"/>
          <w:sz w:val="17"/>
        </w:rPr>
        <w:t xml:space="preserve"> </w:t>
      </w:r>
      <w:r>
        <w:rPr>
          <w:color w:val="231F20"/>
          <w:sz w:val="17"/>
        </w:rPr>
        <w:t>L.</w:t>
      </w:r>
      <w:r>
        <w:rPr>
          <w:color w:val="231F20"/>
          <w:spacing w:val="40"/>
          <w:sz w:val="17"/>
        </w:rPr>
        <w:t xml:space="preserve"> </w:t>
      </w:r>
      <w:r>
        <w:rPr>
          <w:color w:val="231F20"/>
          <w:sz w:val="17"/>
        </w:rPr>
        <w:t>and</w:t>
      </w:r>
      <w:r>
        <w:rPr>
          <w:color w:val="231F20"/>
          <w:spacing w:val="40"/>
          <w:sz w:val="17"/>
        </w:rPr>
        <w:t xml:space="preserve"> </w:t>
      </w:r>
      <w:r>
        <w:rPr>
          <w:color w:val="231F20"/>
          <w:sz w:val="17"/>
        </w:rPr>
        <w:t>Wellard,</w:t>
      </w:r>
      <w:r>
        <w:rPr>
          <w:color w:val="231F20"/>
          <w:spacing w:val="40"/>
          <w:sz w:val="17"/>
        </w:rPr>
        <w:t xml:space="preserve"> </w:t>
      </w:r>
      <w:r>
        <w:rPr>
          <w:color w:val="231F20"/>
          <w:sz w:val="17"/>
        </w:rPr>
        <w:t>I.</w:t>
      </w:r>
      <w:r>
        <w:rPr>
          <w:color w:val="231F20"/>
          <w:spacing w:val="40"/>
          <w:sz w:val="17"/>
        </w:rPr>
        <w:t xml:space="preserve"> </w:t>
      </w:r>
      <w:r>
        <w:rPr>
          <w:color w:val="231F20"/>
          <w:w w:val="95"/>
          <w:sz w:val="17"/>
        </w:rPr>
        <w:t>(2014)</w:t>
      </w:r>
      <w:r>
        <w:rPr>
          <w:color w:val="231F20"/>
          <w:spacing w:val="19"/>
          <w:sz w:val="17"/>
        </w:rPr>
        <w:t xml:space="preserve"> </w:t>
      </w:r>
      <w:r>
        <w:rPr>
          <w:color w:val="231F20"/>
          <w:w w:val="95"/>
          <w:sz w:val="17"/>
        </w:rPr>
        <w:t>A</w:t>
      </w:r>
      <w:r>
        <w:rPr>
          <w:color w:val="231F20"/>
          <w:spacing w:val="19"/>
          <w:sz w:val="17"/>
        </w:rPr>
        <w:t xml:space="preserve"> </w:t>
      </w:r>
      <w:r>
        <w:rPr>
          <w:color w:val="231F20"/>
          <w:w w:val="95"/>
          <w:sz w:val="17"/>
        </w:rPr>
        <w:t>systematic</w:t>
      </w:r>
      <w:r>
        <w:rPr>
          <w:color w:val="231F20"/>
          <w:spacing w:val="19"/>
          <w:sz w:val="17"/>
        </w:rPr>
        <w:t xml:space="preserve"> </w:t>
      </w:r>
      <w:r>
        <w:rPr>
          <w:color w:val="231F20"/>
          <w:w w:val="95"/>
          <w:sz w:val="17"/>
        </w:rPr>
        <w:t>review</w:t>
      </w:r>
      <w:r>
        <w:rPr>
          <w:color w:val="231F20"/>
          <w:spacing w:val="19"/>
          <w:sz w:val="17"/>
        </w:rPr>
        <w:t xml:space="preserve"> </w:t>
      </w:r>
      <w:r>
        <w:rPr>
          <w:color w:val="231F20"/>
          <w:w w:val="95"/>
          <w:sz w:val="17"/>
        </w:rPr>
        <w:t>and</w:t>
      </w:r>
      <w:r>
        <w:rPr>
          <w:color w:val="231F20"/>
          <w:spacing w:val="19"/>
          <w:sz w:val="17"/>
        </w:rPr>
        <w:t xml:space="preserve"> </w:t>
      </w:r>
      <w:r>
        <w:rPr>
          <w:color w:val="231F20"/>
          <w:w w:val="95"/>
          <w:sz w:val="17"/>
        </w:rPr>
        <w:t>meta-analyses</w:t>
      </w:r>
      <w:r>
        <w:rPr>
          <w:color w:val="231F20"/>
          <w:spacing w:val="19"/>
          <w:sz w:val="17"/>
        </w:rPr>
        <w:t xml:space="preserve"> </w:t>
      </w:r>
      <w:r>
        <w:rPr>
          <w:color w:val="231F20"/>
          <w:w w:val="95"/>
          <w:sz w:val="17"/>
        </w:rPr>
        <w:t>of</w:t>
      </w:r>
      <w:r>
        <w:rPr>
          <w:color w:val="231F20"/>
          <w:spacing w:val="19"/>
          <w:sz w:val="17"/>
        </w:rPr>
        <w:t xml:space="preserve"> </w:t>
      </w:r>
      <w:r>
        <w:rPr>
          <w:color w:val="231F20"/>
          <w:w w:val="95"/>
          <w:sz w:val="17"/>
        </w:rPr>
        <w:t>the</w:t>
      </w:r>
      <w:r>
        <w:rPr>
          <w:color w:val="231F20"/>
          <w:spacing w:val="19"/>
          <w:sz w:val="17"/>
        </w:rPr>
        <w:t xml:space="preserve"> </w:t>
      </w:r>
      <w:r>
        <w:rPr>
          <w:color w:val="231F20"/>
          <w:w w:val="95"/>
          <w:sz w:val="17"/>
        </w:rPr>
        <w:t>potential</w:t>
      </w:r>
      <w:r>
        <w:rPr>
          <w:color w:val="231F20"/>
          <w:spacing w:val="19"/>
          <w:sz w:val="17"/>
        </w:rPr>
        <w:t xml:space="preserve"> </w:t>
      </w:r>
      <w:r>
        <w:rPr>
          <w:color w:val="231F20"/>
          <w:w w:val="95"/>
          <w:sz w:val="17"/>
        </w:rPr>
        <w:t>local</w:t>
      </w:r>
      <w:r>
        <w:rPr>
          <w:color w:val="231F20"/>
          <w:spacing w:val="19"/>
          <w:sz w:val="17"/>
        </w:rPr>
        <w:t xml:space="preserve"> </w:t>
      </w:r>
      <w:r>
        <w:rPr>
          <w:color w:val="231F20"/>
          <w:w w:val="95"/>
          <w:sz w:val="17"/>
        </w:rPr>
        <w:t>economic</w:t>
      </w:r>
      <w:r>
        <w:rPr>
          <w:color w:val="231F20"/>
          <w:spacing w:val="19"/>
          <w:sz w:val="17"/>
        </w:rPr>
        <w:t xml:space="preserve"> </w:t>
      </w:r>
      <w:r>
        <w:rPr>
          <w:color w:val="231F20"/>
          <w:w w:val="95"/>
          <w:sz w:val="17"/>
        </w:rPr>
        <w:t>impact</w:t>
      </w:r>
      <w:r>
        <w:rPr>
          <w:color w:val="231F20"/>
          <w:spacing w:val="40"/>
          <w:sz w:val="17"/>
        </w:rPr>
        <w:t xml:space="preserve"> </w:t>
      </w:r>
      <w:r>
        <w:rPr>
          <w:color w:val="231F20"/>
          <w:sz w:val="17"/>
        </w:rPr>
        <w:t>of tourism and leisure cycling and the development of an evidence-based market</w:t>
      </w:r>
      <w:r>
        <w:rPr>
          <w:color w:val="231F20"/>
          <w:spacing w:val="40"/>
          <w:sz w:val="17"/>
        </w:rPr>
        <w:t xml:space="preserve"> </w:t>
      </w:r>
      <w:r>
        <w:rPr>
          <w:color w:val="231F20"/>
          <w:sz w:val="17"/>
        </w:rPr>
        <w:t xml:space="preserve">segmentation. </w:t>
      </w:r>
      <w:r>
        <w:rPr>
          <w:i/>
          <w:color w:val="231F20"/>
          <w:sz w:val="17"/>
        </w:rPr>
        <w:t xml:space="preserve">Tourism Review International </w:t>
      </w:r>
      <w:r>
        <w:rPr>
          <w:color w:val="231F20"/>
          <w:sz w:val="17"/>
        </w:rPr>
        <w:t>18 (1), 37–55.</w:t>
      </w:r>
    </w:p>
    <w:p w14:paraId="192897FB" w14:textId="77777777" w:rsidR="00AE0598" w:rsidRDefault="0069255A">
      <w:pPr>
        <w:spacing w:before="3"/>
        <w:ind w:left="430" w:right="128" w:hanging="320"/>
        <w:jc w:val="both"/>
        <w:rPr>
          <w:sz w:val="17"/>
        </w:rPr>
      </w:pPr>
      <w:r>
        <w:rPr>
          <w:color w:val="231F20"/>
          <w:sz w:val="17"/>
        </w:rPr>
        <w:t>Weighill, A.J. (2002) Canadian Domestic Sport Travel in 2001. Report prepared for</w:t>
      </w:r>
      <w:r>
        <w:rPr>
          <w:color w:val="231F20"/>
          <w:spacing w:val="40"/>
          <w:sz w:val="17"/>
        </w:rPr>
        <w:t xml:space="preserve"> </w:t>
      </w:r>
      <w:r>
        <w:rPr>
          <w:color w:val="231F20"/>
          <w:sz w:val="17"/>
        </w:rPr>
        <w:t>Statistics Canada and the Canadian To</w:t>
      </w:r>
      <w:r>
        <w:rPr>
          <w:color w:val="231F20"/>
          <w:sz w:val="17"/>
        </w:rPr>
        <w:t>urism Commission, Ottawa, Canada.</w:t>
      </w:r>
    </w:p>
    <w:p w14:paraId="455B2D9C" w14:textId="77777777" w:rsidR="00AE0598" w:rsidRDefault="0069255A">
      <w:pPr>
        <w:spacing w:before="2"/>
        <w:ind w:left="430" w:right="128" w:hanging="320"/>
        <w:jc w:val="both"/>
        <w:rPr>
          <w:sz w:val="17"/>
        </w:rPr>
      </w:pPr>
      <w:r>
        <w:rPr>
          <w:color w:val="231F20"/>
          <w:sz w:val="17"/>
        </w:rPr>
        <w:t>Weiss,</w:t>
      </w:r>
      <w:r>
        <w:rPr>
          <w:color w:val="231F20"/>
          <w:spacing w:val="-4"/>
          <w:sz w:val="17"/>
        </w:rPr>
        <w:t xml:space="preserve"> </w:t>
      </w:r>
      <w:r>
        <w:rPr>
          <w:color w:val="231F20"/>
          <w:sz w:val="17"/>
        </w:rPr>
        <w:t>O.,</w:t>
      </w:r>
      <w:r>
        <w:rPr>
          <w:color w:val="231F20"/>
          <w:spacing w:val="-5"/>
          <w:sz w:val="17"/>
        </w:rPr>
        <w:t xml:space="preserve"> </w:t>
      </w:r>
      <w:r>
        <w:rPr>
          <w:color w:val="231F20"/>
          <w:sz w:val="17"/>
        </w:rPr>
        <w:t>Norden,</w:t>
      </w:r>
      <w:r>
        <w:rPr>
          <w:color w:val="231F20"/>
          <w:spacing w:val="-4"/>
          <w:sz w:val="17"/>
        </w:rPr>
        <w:t xml:space="preserve"> </w:t>
      </w:r>
      <w:r>
        <w:rPr>
          <w:color w:val="231F20"/>
          <w:sz w:val="17"/>
        </w:rPr>
        <w:t>G.,</w:t>
      </w:r>
      <w:r>
        <w:rPr>
          <w:color w:val="231F20"/>
          <w:spacing w:val="-5"/>
          <w:sz w:val="17"/>
        </w:rPr>
        <w:t xml:space="preserve"> </w:t>
      </w:r>
      <w:r>
        <w:rPr>
          <w:color w:val="231F20"/>
          <w:sz w:val="17"/>
        </w:rPr>
        <w:t>Hilscher,</w:t>
      </w:r>
      <w:r>
        <w:rPr>
          <w:color w:val="231F20"/>
          <w:spacing w:val="-4"/>
          <w:sz w:val="17"/>
        </w:rPr>
        <w:t xml:space="preserve"> </w:t>
      </w:r>
      <w:r>
        <w:rPr>
          <w:color w:val="231F20"/>
          <w:sz w:val="17"/>
        </w:rPr>
        <w:t>P.</w:t>
      </w:r>
      <w:r>
        <w:rPr>
          <w:color w:val="231F20"/>
          <w:spacing w:val="-5"/>
          <w:sz w:val="17"/>
        </w:rPr>
        <w:t xml:space="preserve"> </w:t>
      </w:r>
      <w:r>
        <w:rPr>
          <w:color w:val="231F20"/>
          <w:sz w:val="17"/>
        </w:rPr>
        <w:t>and</w:t>
      </w:r>
      <w:r>
        <w:rPr>
          <w:color w:val="231F20"/>
          <w:spacing w:val="-4"/>
          <w:sz w:val="17"/>
        </w:rPr>
        <w:t xml:space="preserve"> </w:t>
      </w:r>
      <w:r>
        <w:rPr>
          <w:color w:val="231F20"/>
          <w:sz w:val="17"/>
        </w:rPr>
        <w:t>Vanreusel,</w:t>
      </w:r>
      <w:r>
        <w:rPr>
          <w:color w:val="231F20"/>
          <w:spacing w:val="-5"/>
          <w:sz w:val="17"/>
        </w:rPr>
        <w:t xml:space="preserve"> </w:t>
      </w:r>
      <w:r>
        <w:rPr>
          <w:color w:val="231F20"/>
          <w:sz w:val="17"/>
        </w:rPr>
        <w:t>B.</w:t>
      </w:r>
      <w:r>
        <w:rPr>
          <w:color w:val="231F20"/>
          <w:spacing w:val="-4"/>
          <w:sz w:val="17"/>
        </w:rPr>
        <w:t xml:space="preserve"> </w:t>
      </w:r>
      <w:r>
        <w:rPr>
          <w:color w:val="231F20"/>
          <w:sz w:val="17"/>
        </w:rPr>
        <w:t>(1998)</w:t>
      </w:r>
      <w:r>
        <w:rPr>
          <w:color w:val="231F20"/>
          <w:spacing w:val="-5"/>
          <w:sz w:val="17"/>
        </w:rPr>
        <w:t xml:space="preserve"> </w:t>
      </w:r>
      <w:r>
        <w:rPr>
          <w:color w:val="231F20"/>
          <w:sz w:val="17"/>
        </w:rPr>
        <w:t>Ski</w:t>
      </w:r>
      <w:r>
        <w:rPr>
          <w:color w:val="231F20"/>
          <w:spacing w:val="-4"/>
          <w:sz w:val="17"/>
        </w:rPr>
        <w:t xml:space="preserve"> </w:t>
      </w:r>
      <w:r>
        <w:rPr>
          <w:color w:val="231F20"/>
          <w:sz w:val="17"/>
        </w:rPr>
        <w:t>tourism</w:t>
      </w:r>
      <w:r>
        <w:rPr>
          <w:color w:val="231F20"/>
          <w:spacing w:val="-5"/>
          <w:sz w:val="17"/>
        </w:rPr>
        <w:t xml:space="preserve"> </w:t>
      </w:r>
      <w:r>
        <w:rPr>
          <w:color w:val="231F20"/>
          <w:sz w:val="17"/>
        </w:rPr>
        <w:t>and</w:t>
      </w:r>
      <w:r>
        <w:rPr>
          <w:color w:val="231F20"/>
          <w:spacing w:val="-4"/>
          <w:sz w:val="17"/>
        </w:rPr>
        <w:t xml:space="preserve"> </w:t>
      </w:r>
      <w:r>
        <w:rPr>
          <w:color w:val="231F20"/>
          <w:sz w:val="17"/>
        </w:rPr>
        <w:t>environmental</w:t>
      </w:r>
      <w:r>
        <w:rPr>
          <w:color w:val="231F20"/>
          <w:spacing w:val="40"/>
          <w:sz w:val="17"/>
        </w:rPr>
        <w:t xml:space="preserve"> </w:t>
      </w:r>
      <w:r>
        <w:rPr>
          <w:color w:val="231F20"/>
          <w:w w:val="95"/>
          <w:sz w:val="17"/>
        </w:rPr>
        <w:t xml:space="preserve">problems: Ecological awareness among different groups. </w:t>
      </w:r>
      <w:r>
        <w:rPr>
          <w:i/>
          <w:color w:val="231F20"/>
          <w:w w:val="95"/>
          <w:sz w:val="17"/>
        </w:rPr>
        <w:t>International Review for the</w:t>
      </w:r>
      <w:r>
        <w:rPr>
          <w:i/>
          <w:color w:val="231F20"/>
          <w:spacing w:val="40"/>
          <w:sz w:val="17"/>
        </w:rPr>
        <w:t xml:space="preserve"> </w:t>
      </w:r>
      <w:r>
        <w:rPr>
          <w:i/>
          <w:color w:val="231F20"/>
          <w:sz w:val="17"/>
        </w:rPr>
        <w:t xml:space="preserve">Sociology of Sport </w:t>
      </w:r>
      <w:r>
        <w:rPr>
          <w:color w:val="231F20"/>
          <w:sz w:val="17"/>
        </w:rPr>
        <w:t>33 (4), 367–380.</w:t>
      </w:r>
    </w:p>
    <w:p w14:paraId="55F180B4" w14:textId="77777777" w:rsidR="00AE0598" w:rsidRDefault="0069255A">
      <w:pPr>
        <w:spacing w:before="2"/>
        <w:ind w:left="430" w:right="128" w:hanging="320"/>
        <w:jc w:val="both"/>
        <w:rPr>
          <w:sz w:val="17"/>
        </w:rPr>
      </w:pPr>
      <w:r>
        <w:rPr>
          <w:color w:val="231F20"/>
          <w:sz w:val="17"/>
        </w:rPr>
        <w:t xml:space="preserve">Wellard, I. (2016) </w:t>
      </w:r>
      <w:r>
        <w:rPr>
          <w:i/>
          <w:color w:val="231F20"/>
          <w:sz w:val="17"/>
        </w:rPr>
        <w:t>Researching Embodied Sport: Exploring Movement Cultures</w:t>
      </w:r>
      <w:r>
        <w:rPr>
          <w:color w:val="231F20"/>
          <w:sz w:val="17"/>
        </w:rPr>
        <w:t>. London:</w:t>
      </w:r>
      <w:r>
        <w:rPr>
          <w:color w:val="231F20"/>
          <w:spacing w:val="40"/>
          <w:sz w:val="17"/>
        </w:rPr>
        <w:t xml:space="preserve"> </w:t>
      </w:r>
      <w:r>
        <w:rPr>
          <w:color w:val="231F20"/>
          <w:spacing w:val="-2"/>
          <w:sz w:val="17"/>
        </w:rPr>
        <w:t>Routledge.</w:t>
      </w:r>
    </w:p>
    <w:p w14:paraId="2CE35AB9" w14:textId="77777777" w:rsidR="00AE0598" w:rsidRDefault="0069255A">
      <w:pPr>
        <w:spacing w:before="1"/>
        <w:ind w:left="430" w:right="128" w:hanging="320"/>
        <w:jc w:val="both"/>
        <w:rPr>
          <w:sz w:val="17"/>
        </w:rPr>
      </w:pPr>
      <w:r>
        <w:rPr>
          <w:color w:val="231F20"/>
          <w:w w:val="95"/>
          <w:sz w:val="17"/>
        </w:rPr>
        <w:t>Wheaton, B. (2000) ‘Just do it?’: Consumption, commitment, and identity in the windsurfing</w:t>
      </w:r>
      <w:r>
        <w:rPr>
          <w:color w:val="231F20"/>
          <w:spacing w:val="40"/>
          <w:sz w:val="17"/>
        </w:rPr>
        <w:t xml:space="preserve"> </w:t>
      </w:r>
      <w:r>
        <w:rPr>
          <w:color w:val="231F20"/>
          <w:sz w:val="17"/>
        </w:rPr>
        <w:t xml:space="preserve">subculture. </w:t>
      </w:r>
      <w:r>
        <w:rPr>
          <w:i/>
          <w:color w:val="231F20"/>
          <w:sz w:val="17"/>
        </w:rPr>
        <w:t xml:space="preserve">Sociology of Sport Journal </w:t>
      </w:r>
      <w:r>
        <w:rPr>
          <w:color w:val="231F20"/>
          <w:sz w:val="17"/>
        </w:rPr>
        <w:t>17 (3), 254–274.</w:t>
      </w:r>
    </w:p>
    <w:p w14:paraId="291C432D" w14:textId="77777777" w:rsidR="00AE0598" w:rsidRDefault="0069255A">
      <w:pPr>
        <w:spacing w:before="1"/>
        <w:ind w:left="430" w:right="128" w:hanging="320"/>
        <w:jc w:val="both"/>
        <w:rPr>
          <w:sz w:val="17"/>
        </w:rPr>
      </w:pPr>
      <w:r>
        <w:rPr>
          <w:color w:val="231F20"/>
          <w:sz w:val="17"/>
        </w:rPr>
        <w:t xml:space="preserve">Wheaton, B. (ed.) (2004) </w:t>
      </w:r>
      <w:r>
        <w:rPr>
          <w:i/>
          <w:color w:val="231F20"/>
          <w:sz w:val="17"/>
        </w:rPr>
        <w:t>Understanding Lifestyle Sport: Consumption, Identity and</w:t>
      </w:r>
      <w:r>
        <w:rPr>
          <w:i/>
          <w:color w:val="231F20"/>
          <w:spacing w:val="40"/>
          <w:sz w:val="17"/>
        </w:rPr>
        <w:t xml:space="preserve"> </w:t>
      </w:r>
      <w:r>
        <w:rPr>
          <w:i/>
          <w:color w:val="231F20"/>
          <w:sz w:val="17"/>
        </w:rPr>
        <w:t>Difference</w:t>
      </w:r>
      <w:r>
        <w:rPr>
          <w:color w:val="231F20"/>
          <w:sz w:val="17"/>
        </w:rPr>
        <w:t>. London: Routled</w:t>
      </w:r>
      <w:r>
        <w:rPr>
          <w:color w:val="231F20"/>
          <w:sz w:val="17"/>
        </w:rPr>
        <w:t>ge.</w:t>
      </w:r>
    </w:p>
    <w:p w14:paraId="3C49D244" w14:textId="77777777" w:rsidR="00AE0598" w:rsidRDefault="0069255A">
      <w:pPr>
        <w:spacing w:before="2"/>
        <w:ind w:left="110"/>
        <w:jc w:val="both"/>
        <w:rPr>
          <w:sz w:val="17"/>
        </w:rPr>
      </w:pPr>
      <w:r>
        <w:rPr>
          <w:color w:val="231F20"/>
          <w:w w:val="95"/>
          <w:sz w:val="17"/>
        </w:rPr>
        <w:t>Wheaton,</w:t>
      </w:r>
      <w:r>
        <w:rPr>
          <w:color w:val="231F20"/>
          <w:spacing w:val="47"/>
          <w:sz w:val="17"/>
        </w:rPr>
        <w:t xml:space="preserve"> </w:t>
      </w:r>
      <w:r>
        <w:rPr>
          <w:color w:val="231F20"/>
          <w:w w:val="95"/>
          <w:sz w:val="17"/>
        </w:rPr>
        <w:t>B.</w:t>
      </w:r>
      <w:r>
        <w:rPr>
          <w:color w:val="231F20"/>
          <w:spacing w:val="48"/>
          <w:sz w:val="17"/>
        </w:rPr>
        <w:t xml:space="preserve"> </w:t>
      </w:r>
      <w:r>
        <w:rPr>
          <w:color w:val="231F20"/>
          <w:w w:val="95"/>
          <w:sz w:val="17"/>
        </w:rPr>
        <w:t>(2007)</w:t>
      </w:r>
      <w:r>
        <w:rPr>
          <w:color w:val="231F20"/>
          <w:spacing w:val="47"/>
          <w:sz w:val="17"/>
        </w:rPr>
        <w:t xml:space="preserve"> </w:t>
      </w:r>
      <w:r>
        <w:rPr>
          <w:color w:val="231F20"/>
          <w:w w:val="95"/>
          <w:sz w:val="17"/>
        </w:rPr>
        <w:t>After</w:t>
      </w:r>
      <w:r>
        <w:rPr>
          <w:color w:val="231F20"/>
          <w:spacing w:val="48"/>
          <w:sz w:val="17"/>
        </w:rPr>
        <w:t xml:space="preserve"> </w:t>
      </w:r>
      <w:r>
        <w:rPr>
          <w:color w:val="231F20"/>
          <w:w w:val="95"/>
          <w:sz w:val="17"/>
        </w:rPr>
        <w:t>sport</w:t>
      </w:r>
      <w:r>
        <w:rPr>
          <w:color w:val="231F20"/>
          <w:spacing w:val="47"/>
          <w:sz w:val="17"/>
        </w:rPr>
        <w:t xml:space="preserve"> </w:t>
      </w:r>
      <w:r>
        <w:rPr>
          <w:color w:val="231F20"/>
          <w:w w:val="95"/>
          <w:sz w:val="17"/>
        </w:rPr>
        <w:t>culture:</w:t>
      </w:r>
      <w:r>
        <w:rPr>
          <w:color w:val="231F20"/>
          <w:spacing w:val="48"/>
          <w:sz w:val="17"/>
        </w:rPr>
        <w:t xml:space="preserve"> </w:t>
      </w:r>
      <w:r>
        <w:rPr>
          <w:color w:val="231F20"/>
          <w:w w:val="95"/>
          <w:sz w:val="17"/>
        </w:rPr>
        <w:t>Rethinking</w:t>
      </w:r>
      <w:r>
        <w:rPr>
          <w:color w:val="231F20"/>
          <w:spacing w:val="47"/>
          <w:sz w:val="17"/>
        </w:rPr>
        <w:t xml:space="preserve"> </w:t>
      </w:r>
      <w:r>
        <w:rPr>
          <w:color w:val="231F20"/>
          <w:w w:val="95"/>
          <w:sz w:val="17"/>
        </w:rPr>
        <w:t>sport</w:t>
      </w:r>
      <w:r>
        <w:rPr>
          <w:color w:val="231F20"/>
          <w:spacing w:val="48"/>
          <w:sz w:val="17"/>
        </w:rPr>
        <w:t xml:space="preserve"> </w:t>
      </w:r>
      <w:r>
        <w:rPr>
          <w:color w:val="231F20"/>
          <w:w w:val="95"/>
          <w:sz w:val="17"/>
        </w:rPr>
        <w:t>and</w:t>
      </w:r>
      <w:r>
        <w:rPr>
          <w:color w:val="231F20"/>
          <w:spacing w:val="48"/>
          <w:sz w:val="17"/>
        </w:rPr>
        <w:t xml:space="preserve"> </w:t>
      </w:r>
      <w:r>
        <w:rPr>
          <w:color w:val="231F20"/>
          <w:w w:val="95"/>
          <w:sz w:val="17"/>
        </w:rPr>
        <w:t>post-subcultural</w:t>
      </w:r>
      <w:r>
        <w:rPr>
          <w:color w:val="231F20"/>
          <w:spacing w:val="47"/>
          <w:sz w:val="17"/>
        </w:rPr>
        <w:t xml:space="preserve"> </w:t>
      </w:r>
      <w:r>
        <w:rPr>
          <w:color w:val="231F20"/>
          <w:spacing w:val="-2"/>
          <w:w w:val="95"/>
          <w:sz w:val="17"/>
        </w:rPr>
        <w:t>theory.</w:t>
      </w:r>
    </w:p>
    <w:p w14:paraId="77144807" w14:textId="77777777" w:rsidR="00AE0598" w:rsidRDefault="0069255A">
      <w:pPr>
        <w:spacing w:before="1"/>
        <w:ind w:left="430"/>
        <w:jc w:val="both"/>
        <w:rPr>
          <w:sz w:val="17"/>
        </w:rPr>
      </w:pPr>
      <w:r>
        <w:rPr>
          <w:i/>
          <w:color w:val="231F20"/>
          <w:sz w:val="17"/>
        </w:rPr>
        <w:t>Journal</w:t>
      </w:r>
      <w:r>
        <w:rPr>
          <w:i/>
          <w:color w:val="231F20"/>
          <w:spacing w:val="8"/>
          <w:sz w:val="17"/>
        </w:rPr>
        <w:t xml:space="preserve"> </w:t>
      </w:r>
      <w:r>
        <w:rPr>
          <w:i/>
          <w:color w:val="231F20"/>
          <w:sz w:val="17"/>
        </w:rPr>
        <w:t>of</w:t>
      </w:r>
      <w:r>
        <w:rPr>
          <w:i/>
          <w:color w:val="231F20"/>
          <w:spacing w:val="8"/>
          <w:sz w:val="17"/>
        </w:rPr>
        <w:t xml:space="preserve"> </w:t>
      </w:r>
      <w:r>
        <w:rPr>
          <w:i/>
          <w:color w:val="231F20"/>
          <w:sz w:val="17"/>
        </w:rPr>
        <w:t>Sport</w:t>
      </w:r>
      <w:r>
        <w:rPr>
          <w:i/>
          <w:color w:val="231F20"/>
          <w:spacing w:val="8"/>
          <w:sz w:val="17"/>
        </w:rPr>
        <w:t xml:space="preserve"> </w:t>
      </w:r>
      <w:r>
        <w:rPr>
          <w:i/>
          <w:color w:val="231F20"/>
          <w:sz w:val="17"/>
        </w:rPr>
        <w:t>and</w:t>
      </w:r>
      <w:r>
        <w:rPr>
          <w:i/>
          <w:color w:val="231F20"/>
          <w:spacing w:val="8"/>
          <w:sz w:val="17"/>
        </w:rPr>
        <w:t xml:space="preserve"> </w:t>
      </w:r>
      <w:r>
        <w:rPr>
          <w:i/>
          <w:color w:val="231F20"/>
          <w:sz w:val="17"/>
        </w:rPr>
        <w:t>Social</w:t>
      </w:r>
      <w:r>
        <w:rPr>
          <w:i/>
          <w:color w:val="231F20"/>
          <w:spacing w:val="8"/>
          <w:sz w:val="17"/>
        </w:rPr>
        <w:t xml:space="preserve"> </w:t>
      </w:r>
      <w:r>
        <w:rPr>
          <w:i/>
          <w:color w:val="231F20"/>
          <w:sz w:val="17"/>
        </w:rPr>
        <w:t>Issues</w:t>
      </w:r>
      <w:r>
        <w:rPr>
          <w:i/>
          <w:color w:val="231F20"/>
          <w:spacing w:val="8"/>
          <w:sz w:val="17"/>
        </w:rPr>
        <w:t xml:space="preserve"> </w:t>
      </w:r>
      <w:r>
        <w:rPr>
          <w:color w:val="231F20"/>
          <w:sz w:val="17"/>
        </w:rPr>
        <w:t>31,</w:t>
      </w:r>
      <w:r>
        <w:rPr>
          <w:color w:val="231F20"/>
          <w:spacing w:val="8"/>
          <w:sz w:val="17"/>
        </w:rPr>
        <w:t xml:space="preserve"> </w:t>
      </w:r>
      <w:r>
        <w:rPr>
          <w:color w:val="231F20"/>
          <w:spacing w:val="-2"/>
          <w:sz w:val="17"/>
        </w:rPr>
        <w:t>283–307.</w:t>
      </w:r>
    </w:p>
    <w:p w14:paraId="601C1FC4" w14:textId="77777777" w:rsidR="00AE0598" w:rsidRDefault="0069255A">
      <w:pPr>
        <w:ind w:left="110" w:right="128"/>
        <w:jc w:val="both"/>
        <w:rPr>
          <w:sz w:val="17"/>
        </w:rPr>
      </w:pPr>
      <w:r>
        <w:rPr>
          <w:color w:val="231F20"/>
          <w:sz w:val="17"/>
        </w:rPr>
        <w:t>Wheaton,</w:t>
      </w:r>
      <w:r>
        <w:rPr>
          <w:color w:val="231F20"/>
          <w:spacing w:val="39"/>
          <w:sz w:val="17"/>
        </w:rPr>
        <w:t xml:space="preserve"> </w:t>
      </w:r>
      <w:r>
        <w:rPr>
          <w:color w:val="231F20"/>
          <w:sz w:val="17"/>
        </w:rPr>
        <w:t>B.</w:t>
      </w:r>
      <w:r>
        <w:rPr>
          <w:color w:val="231F20"/>
          <w:spacing w:val="39"/>
          <w:sz w:val="17"/>
        </w:rPr>
        <w:t xml:space="preserve"> </w:t>
      </w:r>
      <w:r>
        <w:rPr>
          <w:color w:val="231F20"/>
          <w:sz w:val="17"/>
        </w:rPr>
        <w:t>(2013)</w:t>
      </w:r>
      <w:r>
        <w:rPr>
          <w:color w:val="231F20"/>
          <w:spacing w:val="39"/>
          <w:sz w:val="17"/>
        </w:rPr>
        <w:t xml:space="preserve"> </w:t>
      </w:r>
      <w:r>
        <w:rPr>
          <w:i/>
          <w:color w:val="231F20"/>
          <w:sz w:val="17"/>
        </w:rPr>
        <w:t>The</w:t>
      </w:r>
      <w:r>
        <w:rPr>
          <w:i/>
          <w:color w:val="231F20"/>
          <w:spacing w:val="39"/>
          <w:sz w:val="17"/>
        </w:rPr>
        <w:t xml:space="preserve"> </w:t>
      </w:r>
      <w:r>
        <w:rPr>
          <w:i/>
          <w:color w:val="231F20"/>
          <w:sz w:val="17"/>
        </w:rPr>
        <w:t>Cultural</w:t>
      </w:r>
      <w:r>
        <w:rPr>
          <w:i/>
          <w:color w:val="231F20"/>
          <w:spacing w:val="39"/>
          <w:sz w:val="17"/>
        </w:rPr>
        <w:t xml:space="preserve"> </w:t>
      </w:r>
      <w:r>
        <w:rPr>
          <w:i/>
          <w:color w:val="231F20"/>
          <w:sz w:val="17"/>
        </w:rPr>
        <w:t>Politics</w:t>
      </w:r>
      <w:r>
        <w:rPr>
          <w:i/>
          <w:color w:val="231F20"/>
          <w:spacing w:val="39"/>
          <w:sz w:val="17"/>
        </w:rPr>
        <w:t xml:space="preserve"> </w:t>
      </w:r>
      <w:r>
        <w:rPr>
          <w:i/>
          <w:color w:val="231F20"/>
          <w:sz w:val="17"/>
        </w:rPr>
        <w:t>of</w:t>
      </w:r>
      <w:r>
        <w:rPr>
          <w:i/>
          <w:color w:val="231F20"/>
          <w:spacing w:val="39"/>
          <w:sz w:val="17"/>
        </w:rPr>
        <w:t xml:space="preserve"> </w:t>
      </w:r>
      <w:r>
        <w:rPr>
          <w:i/>
          <w:color w:val="231F20"/>
          <w:sz w:val="17"/>
        </w:rPr>
        <w:t>Lifestyle</w:t>
      </w:r>
      <w:r>
        <w:rPr>
          <w:i/>
          <w:color w:val="231F20"/>
          <w:spacing w:val="39"/>
          <w:sz w:val="17"/>
        </w:rPr>
        <w:t xml:space="preserve"> </w:t>
      </w:r>
      <w:r>
        <w:rPr>
          <w:i/>
          <w:color w:val="231F20"/>
          <w:sz w:val="17"/>
        </w:rPr>
        <w:t>Sports</w:t>
      </w:r>
      <w:r>
        <w:rPr>
          <w:color w:val="231F20"/>
          <w:sz w:val="17"/>
        </w:rPr>
        <w:t>.</w:t>
      </w:r>
      <w:r>
        <w:rPr>
          <w:color w:val="231F20"/>
          <w:spacing w:val="39"/>
          <w:sz w:val="17"/>
        </w:rPr>
        <w:t xml:space="preserve"> </w:t>
      </w:r>
      <w:r>
        <w:rPr>
          <w:color w:val="231F20"/>
          <w:sz w:val="17"/>
        </w:rPr>
        <w:t>London:</w:t>
      </w:r>
      <w:r>
        <w:rPr>
          <w:color w:val="231F20"/>
          <w:spacing w:val="39"/>
          <w:sz w:val="17"/>
        </w:rPr>
        <w:t xml:space="preserve"> </w:t>
      </w:r>
      <w:r>
        <w:rPr>
          <w:color w:val="231F20"/>
          <w:sz w:val="17"/>
        </w:rPr>
        <w:t>Routledge.</w:t>
      </w:r>
      <w:r>
        <w:rPr>
          <w:color w:val="231F20"/>
          <w:spacing w:val="40"/>
          <w:sz w:val="17"/>
        </w:rPr>
        <w:t xml:space="preserve"> </w:t>
      </w:r>
      <w:r>
        <w:rPr>
          <w:color w:val="231F20"/>
          <w:sz w:val="17"/>
        </w:rPr>
        <w:t>Wheeller,</w:t>
      </w:r>
      <w:r>
        <w:rPr>
          <w:color w:val="231F20"/>
          <w:spacing w:val="23"/>
          <w:sz w:val="17"/>
        </w:rPr>
        <w:t xml:space="preserve"> </w:t>
      </w:r>
      <w:r>
        <w:rPr>
          <w:color w:val="231F20"/>
          <w:sz w:val="17"/>
        </w:rPr>
        <w:t>B.</w:t>
      </w:r>
      <w:r>
        <w:rPr>
          <w:color w:val="231F20"/>
          <w:spacing w:val="22"/>
          <w:sz w:val="17"/>
        </w:rPr>
        <w:t xml:space="preserve"> </w:t>
      </w:r>
      <w:r>
        <w:rPr>
          <w:color w:val="231F20"/>
          <w:sz w:val="17"/>
        </w:rPr>
        <w:t>(1991)</w:t>
      </w:r>
      <w:r>
        <w:rPr>
          <w:color w:val="231F20"/>
          <w:spacing w:val="22"/>
          <w:sz w:val="17"/>
        </w:rPr>
        <w:t xml:space="preserve"> </w:t>
      </w:r>
      <w:r>
        <w:rPr>
          <w:color w:val="231F20"/>
          <w:sz w:val="17"/>
        </w:rPr>
        <w:t>Tourism’s</w:t>
      </w:r>
      <w:r>
        <w:rPr>
          <w:color w:val="231F20"/>
          <w:spacing w:val="24"/>
          <w:sz w:val="17"/>
        </w:rPr>
        <w:t xml:space="preserve"> </w:t>
      </w:r>
      <w:r>
        <w:rPr>
          <w:color w:val="231F20"/>
          <w:sz w:val="17"/>
        </w:rPr>
        <w:t>troubled</w:t>
      </w:r>
      <w:r>
        <w:rPr>
          <w:color w:val="231F20"/>
          <w:spacing w:val="22"/>
          <w:sz w:val="17"/>
        </w:rPr>
        <w:t xml:space="preserve"> </w:t>
      </w:r>
      <w:r>
        <w:rPr>
          <w:color w:val="231F20"/>
          <w:sz w:val="17"/>
        </w:rPr>
        <w:t>times:</w:t>
      </w:r>
      <w:r>
        <w:rPr>
          <w:color w:val="231F20"/>
          <w:spacing w:val="23"/>
          <w:sz w:val="17"/>
        </w:rPr>
        <w:t xml:space="preserve"> </w:t>
      </w:r>
      <w:r>
        <w:rPr>
          <w:color w:val="231F20"/>
          <w:sz w:val="17"/>
        </w:rPr>
        <w:t>Responsible</w:t>
      </w:r>
      <w:r>
        <w:rPr>
          <w:color w:val="231F20"/>
          <w:spacing w:val="23"/>
          <w:sz w:val="17"/>
        </w:rPr>
        <w:t xml:space="preserve"> </w:t>
      </w:r>
      <w:r>
        <w:rPr>
          <w:color w:val="231F20"/>
          <w:sz w:val="17"/>
        </w:rPr>
        <w:t>tourism</w:t>
      </w:r>
      <w:r>
        <w:rPr>
          <w:color w:val="231F20"/>
          <w:spacing w:val="23"/>
          <w:sz w:val="17"/>
        </w:rPr>
        <w:t xml:space="preserve"> </w:t>
      </w:r>
      <w:r>
        <w:rPr>
          <w:color w:val="231F20"/>
          <w:sz w:val="17"/>
        </w:rPr>
        <w:t>is</w:t>
      </w:r>
      <w:r>
        <w:rPr>
          <w:color w:val="231F20"/>
          <w:spacing w:val="23"/>
          <w:sz w:val="17"/>
        </w:rPr>
        <w:t xml:space="preserve"> </w:t>
      </w:r>
      <w:r>
        <w:rPr>
          <w:color w:val="231F20"/>
          <w:sz w:val="17"/>
        </w:rPr>
        <w:t>not</w:t>
      </w:r>
      <w:r>
        <w:rPr>
          <w:color w:val="231F20"/>
          <w:spacing w:val="23"/>
          <w:sz w:val="17"/>
        </w:rPr>
        <w:t xml:space="preserve"> </w:t>
      </w:r>
      <w:r>
        <w:rPr>
          <w:color w:val="231F20"/>
          <w:sz w:val="17"/>
        </w:rPr>
        <w:t>the</w:t>
      </w:r>
      <w:r>
        <w:rPr>
          <w:color w:val="231F20"/>
          <w:spacing w:val="23"/>
          <w:sz w:val="17"/>
        </w:rPr>
        <w:t xml:space="preserve"> </w:t>
      </w:r>
      <w:r>
        <w:rPr>
          <w:color w:val="231F20"/>
          <w:spacing w:val="-2"/>
          <w:sz w:val="17"/>
        </w:rPr>
        <w:t>answer.</w:t>
      </w:r>
    </w:p>
    <w:p w14:paraId="31FB7959" w14:textId="77777777" w:rsidR="00AE0598" w:rsidRDefault="0069255A">
      <w:pPr>
        <w:spacing w:before="2"/>
        <w:ind w:left="430"/>
        <w:jc w:val="both"/>
        <w:rPr>
          <w:sz w:val="17"/>
        </w:rPr>
      </w:pPr>
      <w:r>
        <w:rPr>
          <w:i/>
          <w:color w:val="231F20"/>
          <w:sz w:val="17"/>
        </w:rPr>
        <w:t>Tourism</w:t>
      </w:r>
      <w:r>
        <w:rPr>
          <w:i/>
          <w:color w:val="231F20"/>
          <w:spacing w:val="19"/>
          <w:sz w:val="17"/>
        </w:rPr>
        <w:t xml:space="preserve"> </w:t>
      </w:r>
      <w:r>
        <w:rPr>
          <w:i/>
          <w:color w:val="231F20"/>
          <w:sz w:val="17"/>
        </w:rPr>
        <w:t>Management</w:t>
      </w:r>
      <w:r>
        <w:rPr>
          <w:i/>
          <w:color w:val="231F20"/>
          <w:spacing w:val="20"/>
          <w:sz w:val="17"/>
        </w:rPr>
        <w:t xml:space="preserve"> </w:t>
      </w:r>
      <w:r>
        <w:rPr>
          <w:color w:val="231F20"/>
          <w:sz w:val="17"/>
        </w:rPr>
        <w:t>June,</w:t>
      </w:r>
      <w:r>
        <w:rPr>
          <w:color w:val="231F20"/>
          <w:spacing w:val="20"/>
          <w:sz w:val="17"/>
        </w:rPr>
        <w:t xml:space="preserve"> </w:t>
      </w:r>
      <w:r>
        <w:rPr>
          <w:color w:val="231F20"/>
          <w:spacing w:val="-2"/>
          <w:sz w:val="17"/>
        </w:rPr>
        <w:t>91–96.</w:t>
      </w:r>
    </w:p>
    <w:p w14:paraId="176B0854" w14:textId="77777777" w:rsidR="00AE0598" w:rsidRDefault="00AE0598">
      <w:pPr>
        <w:jc w:val="both"/>
        <w:rPr>
          <w:sz w:val="17"/>
        </w:rPr>
        <w:sectPr w:rsidR="00AE0598">
          <w:pgSz w:w="8850" w:h="13270"/>
          <w:pgMar w:top="720" w:right="1060" w:bottom="280" w:left="1080" w:header="720" w:footer="720" w:gutter="0"/>
          <w:cols w:space="720"/>
        </w:sectPr>
      </w:pPr>
    </w:p>
    <w:p w14:paraId="002B2C73" w14:textId="77777777" w:rsidR="00AE0598" w:rsidRDefault="0069255A">
      <w:pPr>
        <w:spacing w:before="87"/>
        <w:ind w:left="110" w:right="128"/>
        <w:jc w:val="right"/>
        <w:rPr>
          <w:rFonts w:ascii="Trebuchet MS"/>
          <w:sz w:val="14"/>
        </w:rPr>
      </w:pPr>
      <w:r>
        <w:rPr>
          <w:rFonts w:ascii="Trebuchet MS"/>
          <w:color w:val="231F20"/>
          <w:w w:val="105"/>
          <w:sz w:val="14"/>
        </w:rPr>
        <w:lastRenderedPageBreak/>
        <w:t>References</w:t>
      </w:r>
      <w:r>
        <w:rPr>
          <w:rFonts w:ascii="Trebuchet MS"/>
          <w:color w:val="231F20"/>
          <w:spacing w:val="67"/>
          <w:w w:val="105"/>
          <w:sz w:val="14"/>
        </w:rPr>
        <w:t xml:space="preserve"> </w:t>
      </w:r>
      <w:r>
        <w:rPr>
          <w:rFonts w:ascii="Trebuchet MS"/>
          <w:color w:val="231F20"/>
          <w:spacing w:val="-5"/>
          <w:w w:val="105"/>
          <w:sz w:val="14"/>
        </w:rPr>
        <w:t>279</w:t>
      </w:r>
    </w:p>
    <w:p w14:paraId="1354F885" w14:textId="77777777" w:rsidR="00AE0598" w:rsidRDefault="00AE0598">
      <w:pPr>
        <w:pStyle w:val="Corpodetexto"/>
        <w:rPr>
          <w:rFonts w:ascii="Trebuchet MS"/>
          <w:sz w:val="16"/>
        </w:rPr>
      </w:pPr>
    </w:p>
    <w:p w14:paraId="3DCEB765" w14:textId="77777777" w:rsidR="00AE0598" w:rsidRDefault="0069255A">
      <w:pPr>
        <w:spacing w:before="121"/>
        <w:ind w:left="430" w:right="128" w:hanging="320"/>
        <w:jc w:val="both"/>
        <w:rPr>
          <w:sz w:val="17"/>
        </w:rPr>
      </w:pPr>
      <w:r>
        <w:rPr>
          <w:color w:val="231F20"/>
          <w:sz w:val="17"/>
        </w:rPr>
        <w:t xml:space="preserve">Wheeler, K. and Nauright, </w:t>
      </w:r>
      <w:r>
        <w:rPr>
          <w:color w:val="231F20"/>
          <w:w w:val="105"/>
          <w:sz w:val="17"/>
        </w:rPr>
        <w:t xml:space="preserve">J. </w:t>
      </w:r>
      <w:r>
        <w:rPr>
          <w:color w:val="231F20"/>
          <w:sz w:val="17"/>
        </w:rPr>
        <w:t>(2006) A global perspective on the environmental impact of</w:t>
      </w:r>
      <w:r>
        <w:rPr>
          <w:color w:val="231F20"/>
          <w:spacing w:val="40"/>
          <w:sz w:val="17"/>
        </w:rPr>
        <w:t xml:space="preserve"> </w:t>
      </w:r>
      <w:r>
        <w:rPr>
          <w:color w:val="231F20"/>
          <w:sz w:val="17"/>
        </w:rPr>
        <w:t xml:space="preserve">golf. </w:t>
      </w:r>
      <w:r>
        <w:rPr>
          <w:i/>
          <w:color w:val="231F20"/>
          <w:sz w:val="17"/>
        </w:rPr>
        <w:t xml:space="preserve">Sport in Society </w:t>
      </w:r>
      <w:r>
        <w:rPr>
          <w:color w:val="231F20"/>
          <w:sz w:val="17"/>
        </w:rPr>
        <w:t>9 (3), 427–443.</w:t>
      </w:r>
    </w:p>
    <w:p w14:paraId="3E5E84ED" w14:textId="77777777" w:rsidR="00AE0598" w:rsidRDefault="0069255A">
      <w:pPr>
        <w:spacing w:before="1"/>
        <w:ind w:left="430" w:right="127" w:hanging="320"/>
        <w:jc w:val="both"/>
        <w:rPr>
          <w:sz w:val="17"/>
        </w:rPr>
      </w:pPr>
      <w:r>
        <w:rPr>
          <w:color w:val="231F20"/>
          <w:w w:val="90"/>
          <w:sz w:val="17"/>
        </w:rPr>
        <w:t xml:space="preserve">Whistler Blackcomb (2017) See </w:t>
      </w:r>
      <w:r>
        <w:rPr>
          <w:color w:val="231F20"/>
          <w:spacing w:val="-1"/>
          <w:w w:val="91"/>
          <w:sz w:val="17"/>
        </w:rPr>
        <w:t>h</w:t>
      </w:r>
      <w:r>
        <w:rPr>
          <w:color w:val="231F20"/>
          <w:spacing w:val="3"/>
          <w:w w:val="91"/>
          <w:sz w:val="17"/>
        </w:rPr>
        <w:t>tt</w:t>
      </w:r>
      <w:r>
        <w:rPr>
          <w:color w:val="231F20"/>
          <w:w w:val="91"/>
          <w:sz w:val="17"/>
        </w:rPr>
        <w:t>p</w:t>
      </w:r>
      <w:r>
        <w:rPr>
          <w:color w:val="231F20"/>
          <w:spacing w:val="-1"/>
          <w:w w:val="89"/>
          <w:sz w:val="17"/>
        </w:rPr>
        <w:t>s</w:t>
      </w:r>
      <w:r>
        <w:rPr>
          <w:color w:val="231F20"/>
          <w:spacing w:val="4"/>
          <w:w w:val="89"/>
          <w:sz w:val="17"/>
        </w:rPr>
        <w:t>:</w:t>
      </w:r>
      <w:r>
        <w:rPr>
          <w:color w:val="231F20"/>
          <w:spacing w:val="-4"/>
          <w:w w:val="53"/>
          <w:sz w:val="17"/>
        </w:rPr>
        <w:t>/</w:t>
      </w:r>
      <w:r>
        <w:rPr>
          <w:color w:val="231F20"/>
          <w:spacing w:val="-1"/>
          <w:w w:val="53"/>
          <w:sz w:val="17"/>
        </w:rPr>
        <w:t>/</w:t>
      </w:r>
      <w:hyperlink r:id="rId66">
        <w:r>
          <w:rPr>
            <w:color w:val="231F20"/>
            <w:spacing w:val="3"/>
            <w:w w:val="92"/>
            <w:sz w:val="17"/>
          </w:rPr>
          <w:t>ww</w:t>
        </w:r>
        <w:r>
          <w:rPr>
            <w:color w:val="231F20"/>
            <w:spacing w:val="-9"/>
            <w:w w:val="92"/>
            <w:sz w:val="17"/>
          </w:rPr>
          <w:t>w</w:t>
        </w:r>
        <w:r>
          <w:rPr>
            <w:color w:val="231F20"/>
            <w:spacing w:val="-9"/>
            <w:w w:val="128"/>
            <w:sz w:val="17"/>
          </w:rPr>
          <w:t>.</w:t>
        </w:r>
        <w:r>
          <w:rPr>
            <w:color w:val="231F20"/>
            <w:spacing w:val="-2"/>
            <w:w w:val="92"/>
            <w:sz w:val="17"/>
          </w:rPr>
          <w:t>w</w:t>
        </w:r>
        <w:r>
          <w:rPr>
            <w:color w:val="231F20"/>
            <w:spacing w:val="3"/>
            <w:w w:val="92"/>
            <w:sz w:val="17"/>
          </w:rPr>
          <w:t>h</w:t>
        </w:r>
        <w:r>
          <w:rPr>
            <w:color w:val="231F20"/>
            <w:w w:val="93"/>
            <w:sz w:val="17"/>
          </w:rPr>
          <w:t>i</w:t>
        </w:r>
        <w:r>
          <w:rPr>
            <w:color w:val="231F20"/>
            <w:w w:val="83"/>
            <w:sz w:val="17"/>
          </w:rPr>
          <w:t>s</w:t>
        </w:r>
        <w:r>
          <w:rPr>
            <w:color w:val="231F20"/>
            <w:spacing w:val="2"/>
            <w:w w:val="91"/>
            <w:sz w:val="17"/>
          </w:rPr>
          <w:t>t</w:t>
        </w:r>
        <w:r>
          <w:rPr>
            <w:color w:val="231F20"/>
            <w:spacing w:val="-1"/>
            <w:w w:val="87"/>
            <w:sz w:val="17"/>
          </w:rPr>
          <w:t>l</w:t>
        </w:r>
        <w:r>
          <w:rPr>
            <w:color w:val="231F20"/>
            <w:w w:val="87"/>
            <w:sz w:val="17"/>
          </w:rPr>
          <w:t>e</w:t>
        </w:r>
        <w:r>
          <w:rPr>
            <w:color w:val="231F20"/>
            <w:spacing w:val="-1"/>
            <w:w w:val="91"/>
            <w:sz w:val="17"/>
          </w:rPr>
          <w:t>rb</w:t>
        </w:r>
        <w:r>
          <w:rPr>
            <w:color w:val="231F20"/>
            <w:w w:val="91"/>
            <w:sz w:val="17"/>
          </w:rPr>
          <w:t>l</w:t>
        </w:r>
        <w:r>
          <w:rPr>
            <w:color w:val="231F20"/>
            <w:spacing w:val="-2"/>
            <w:w w:val="94"/>
            <w:sz w:val="17"/>
          </w:rPr>
          <w:t>a</w:t>
        </w:r>
        <w:r>
          <w:rPr>
            <w:color w:val="231F20"/>
            <w:spacing w:val="1"/>
            <w:w w:val="92"/>
            <w:sz w:val="17"/>
          </w:rPr>
          <w:t>c</w:t>
        </w:r>
        <w:r>
          <w:rPr>
            <w:color w:val="231F20"/>
            <w:spacing w:val="-3"/>
            <w:w w:val="97"/>
            <w:sz w:val="17"/>
          </w:rPr>
          <w:t>k</w:t>
        </w:r>
        <w:r>
          <w:rPr>
            <w:color w:val="231F20"/>
            <w:w w:val="92"/>
            <w:sz w:val="17"/>
          </w:rPr>
          <w:t>c</w:t>
        </w:r>
        <w:r>
          <w:rPr>
            <w:color w:val="231F20"/>
            <w:spacing w:val="-2"/>
            <w:w w:val="96"/>
            <w:sz w:val="17"/>
          </w:rPr>
          <w:t>o</w:t>
        </w:r>
        <w:r>
          <w:rPr>
            <w:color w:val="231F20"/>
            <w:spacing w:val="-1"/>
            <w:w w:val="97"/>
            <w:sz w:val="17"/>
          </w:rPr>
          <w:t>mb</w:t>
        </w:r>
        <w:r>
          <w:rPr>
            <w:color w:val="231F20"/>
            <w:w w:val="97"/>
            <w:sz w:val="17"/>
          </w:rPr>
          <w:t>.</w:t>
        </w:r>
        <w:r>
          <w:rPr>
            <w:color w:val="231F20"/>
            <w:w w:val="92"/>
            <w:sz w:val="17"/>
          </w:rPr>
          <w:t>c</w:t>
        </w:r>
        <w:r>
          <w:rPr>
            <w:color w:val="231F20"/>
            <w:spacing w:val="-1"/>
            <w:w w:val="93"/>
            <w:sz w:val="17"/>
          </w:rPr>
          <w:t>o</w:t>
        </w:r>
        <w:r>
          <w:rPr>
            <w:color w:val="231F20"/>
            <w:spacing w:val="7"/>
            <w:w w:val="93"/>
            <w:sz w:val="17"/>
          </w:rPr>
          <w:t>m</w:t>
        </w:r>
        <w:r>
          <w:rPr>
            <w:color w:val="231F20"/>
            <w:spacing w:val="-1"/>
            <w:w w:val="53"/>
            <w:sz w:val="17"/>
          </w:rPr>
          <w:t>/</w:t>
        </w:r>
        <w:r>
          <w:rPr>
            <w:color w:val="231F20"/>
            <w:spacing w:val="-1"/>
            <w:w w:val="89"/>
            <w:sz w:val="17"/>
          </w:rPr>
          <w:t xml:space="preserve"> </w:t>
        </w:r>
      </w:hyperlink>
      <w:r>
        <w:rPr>
          <w:color w:val="231F20"/>
          <w:w w:val="90"/>
          <w:sz w:val="17"/>
        </w:rPr>
        <w:t>(accessed 2 September</w:t>
      </w:r>
      <w:r>
        <w:rPr>
          <w:color w:val="231F20"/>
          <w:spacing w:val="40"/>
          <w:sz w:val="17"/>
        </w:rPr>
        <w:t xml:space="preserve"> </w:t>
      </w:r>
      <w:r>
        <w:rPr>
          <w:color w:val="231F20"/>
          <w:spacing w:val="-2"/>
          <w:sz w:val="17"/>
        </w:rPr>
        <w:t>2017).</w:t>
      </w:r>
    </w:p>
    <w:p w14:paraId="4B1E3EFB" w14:textId="77777777" w:rsidR="00AE0598" w:rsidRDefault="0069255A">
      <w:pPr>
        <w:spacing w:before="2"/>
        <w:ind w:left="430" w:right="128" w:hanging="320"/>
        <w:jc w:val="both"/>
        <w:rPr>
          <w:sz w:val="17"/>
        </w:rPr>
      </w:pPr>
      <w:r>
        <w:rPr>
          <w:color w:val="231F20"/>
          <w:sz w:val="17"/>
        </w:rPr>
        <w:t>White, P. and Wilson, B. (1999) Distinctions in the stands. An investigation of Bourdieu’s</w:t>
      </w:r>
      <w:r>
        <w:rPr>
          <w:color w:val="231F20"/>
          <w:spacing w:val="40"/>
          <w:sz w:val="17"/>
        </w:rPr>
        <w:t xml:space="preserve"> </w:t>
      </w:r>
      <w:r>
        <w:rPr>
          <w:color w:val="231F20"/>
          <w:sz w:val="17"/>
        </w:rPr>
        <w:t xml:space="preserve">‘habitus’, socioeconomic status and sport spectatorship in Canada. </w:t>
      </w:r>
      <w:r>
        <w:rPr>
          <w:i/>
          <w:color w:val="231F20"/>
          <w:sz w:val="17"/>
        </w:rPr>
        <w:t>International</w:t>
      </w:r>
      <w:r>
        <w:rPr>
          <w:i/>
          <w:color w:val="231F20"/>
          <w:spacing w:val="40"/>
          <w:sz w:val="17"/>
        </w:rPr>
        <w:t xml:space="preserve"> </w:t>
      </w:r>
      <w:r>
        <w:rPr>
          <w:i/>
          <w:color w:val="231F20"/>
          <w:sz w:val="17"/>
        </w:rPr>
        <w:t xml:space="preserve">Review for the Sociology of Sport </w:t>
      </w:r>
      <w:r>
        <w:rPr>
          <w:color w:val="231F20"/>
          <w:sz w:val="17"/>
        </w:rPr>
        <w:t>34 (3), 245–264.</w:t>
      </w:r>
    </w:p>
    <w:p w14:paraId="6262F694" w14:textId="77777777" w:rsidR="00AE0598" w:rsidRDefault="0069255A">
      <w:pPr>
        <w:spacing w:before="2"/>
        <w:ind w:left="430" w:right="128" w:hanging="320"/>
        <w:jc w:val="both"/>
        <w:rPr>
          <w:sz w:val="17"/>
        </w:rPr>
      </w:pPr>
      <w:r>
        <w:rPr>
          <w:color w:val="231F20"/>
          <w:sz w:val="17"/>
        </w:rPr>
        <w:t xml:space="preserve">Whitson, D. (2004) Bringing the world to Canada: ‘The periphery of the centre’. </w:t>
      </w:r>
      <w:r>
        <w:rPr>
          <w:i/>
          <w:color w:val="231F20"/>
          <w:sz w:val="17"/>
        </w:rPr>
        <w:t>Third</w:t>
      </w:r>
      <w:r>
        <w:rPr>
          <w:i/>
          <w:color w:val="231F20"/>
          <w:spacing w:val="40"/>
          <w:sz w:val="17"/>
        </w:rPr>
        <w:t xml:space="preserve"> </w:t>
      </w:r>
      <w:r>
        <w:rPr>
          <w:i/>
          <w:color w:val="231F20"/>
          <w:sz w:val="17"/>
        </w:rPr>
        <w:t xml:space="preserve">World Quarterly </w:t>
      </w:r>
      <w:r>
        <w:rPr>
          <w:color w:val="231F20"/>
          <w:sz w:val="17"/>
        </w:rPr>
        <w:t>25 (7), 1215–1232.</w:t>
      </w:r>
    </w:p>
    <w:p w14:paraId="099A6BFA" w14:textId="77777777" w:rsidR="00AE0598" w:rsidRDefault="0069255A">
      <w:pPr>
        <w:spacing w:before="1"/>
        <w:ind w:left="430" w:right="128" w:hanging="320"/>
        <w:jc w:val="both"/>
        <w:rPr>
          <w:sz w:val="17"/>
        </w:rPr>
      </w:pPr>
      <w:r>
        <w:rPr>
          <w:color w:val="231F20"/>
          <w:sz w:val="17"/>
        </w:rPr>
        <w:t>Whitson, D. and Macintosh, D. (1996) The global circus: International sport, tourism and</w:t>
      </w:r>
      <w:r>
        <w:rPr>
          <w:color w:val="231F20"/>
          <w:spacing w:val="40"/>
          <w:sz w:val="17"/>
        </w:rPr>
        <w:t xml:space="preserve"> </w:t>
      </w:r>
      <w:r>
        <w:rPr>
          <w:color w:val="231F20"/>
          <w:sz w:val="17"/>
        </w:rPr>
        <w:t xml:space="preserve">the marketing of cities. </w:t>
      </w:r>
      <w:r>
        <w:rPr>
          <w:i/>
          <w:color w:val="231F20"/>
          <w:sz w:val="17"/>
        </w:rPr>
        <w:t xml:space="preserve">Journal of Sport and </w:t>
      </w:r>
      <w:r>
        <w:rPr>
          <w:i/>
          <w:color w:val="231F20"/>
          <w:sz w:val="17"/>
        </w:rPr>
        <w:t xml:space="preserve">Social Issues </w:t>
      </w:r>
      <w:r>
        <w:rPr>
          <w:color w:val="231F20"/>
          <w:sz w:val="17"/>
        </w:rPr>
        <w:t>23, 278–295.</w:t>
      </w:r>
    </w:p>
    <w:p w14:paraId="042D11FE" w14:textId="77777777" w:rsidR="00AE0598" w:rsidRDefault="0069255A">
      <w:pPr>
        <w:spacing w:before="2"/>
        <w:ind w:left="430" w:right="127" w:hanging="320"/>
        <w:jc w:val="both"/>
        <w:rPr>
          <w:sz w:val="17"/>
        </w:rPr>
      </w:pPr>
      <w:r>
        <w:rPr>
          <w:color w:val="231F20"/>
          <w:w w:val="95"/>
          <w:sz w:val="17"/>
        </w:rPr>
        <w:t>Wicker, P., Hallmann, K. and Breuer, C. (2013) Analyzing the impact of sport infrastructure</w:t>
      </w:r>
      <w:r>
        <w:rPr>
          <w:color w:val="231F20"/>
          <w:spacing w:val="80"/>
          <w:sz w:val="17"/>
        </w:rPr>
        <w:t xml:space="preserve"> </w:t>
      </w:r>
      <w:r>
        <w:rPr>
          <w:color w:val="231F20"/>
          <w:sz w:val="17"/>
        </w:rPr>
        <w:t>on</w:t>
      </w:r>
      <w:r>
        <w:rPr>
          <w:color w:val="231F20"/>
          <w:spacing w:val="-3"/>
          <w:sz w:val="17"/>
        </w:rPr>
        <w:t xml:space="preserve"> </w:t>
      </w:r>
      <w:r>
        <w:rPr>
          <w:color w:val="231F20"/>
          <w:sz w:val="17"/>
        </w:rPr>
        <w:t>sport</w:t>
      </w:r>
      <w:r>
        <w:rPr>
          <w:color w:val="231F20"/>
          <w:spacing w:val="-3"/>
          <w:sz w:val="17"/>
        </w:rPr>
        <w:t xml:space="preserve"> </w:t>
      </w:r>
      <w:r>
        <w:rPr>
          <w:color w:val="231F20"/>
          <w:sz w:val="17"/>
        </w:rPr>
        <w:t>participation</w:t>
      </w:r>
      <w:r>
        <w:rPr>
          <w:color w:val="231F20"/>
          <w:spacing w:val="-3"/>
          <w:sz w:val="17"/>
        </w:rPr>
        <w:t xml:space="preserve"> </w:t>
      </w:r>
      <w:r>
        <w:rPr>
          <w:color w:val="231F20"/>
          <w:sz w:val="17"/>
        </w:rPr>
        <w:t>using</w:t>
      </w:r>
      <w:r>
        <w:rPr>
          <w:color w:val="231F20"/>
          <w:spacing w:val="-3"/>
          <w:sz w:val="17"/>
        </w:rPr>
        <w:t xml:space="preserve"> </w:t>
      </w:r>
      <w:r>
        <w:rPr>
          <w:color w:val="231F20"/>
          <w:sz w:val="17"/>
        </w:rPr>
        <w:t>geo-coded</w:t>
      </w:r>
      <w:r>
        <w:rPr>
          <w:color w:val="231F20"/>
          <w:spacing w:val="-3"/>
          <w:sz w:val="17"/>
        </w:rPr>
        <w:t xml:space="preserve"> </w:t>
      </w:r>
      <w:r>
        <w:rPr>
          <w:color w:val="231F20"/>
          <w:sz w:val="17"/>
        </w:rPr>
        <w:t>data:</w:t>
      </w:r>
      <w:r>
        <w:rPr>
          <w:color w:val="231F20"/>
          <w:spacing w:val="-3"/>
          <w:sz w:val="17"/>
        </w:rPr>
        <w:t xml:space="preserve"> </w:t>
      </w:r>
      <w:r>
        <w:rPr>
          <w:color w:val="231F20"/>
          <w:sz w:val="17"/>
        </w:rPr>
        <w:t>Evidence</w:t>
      </w:r>
      <w:r>
        <w:rPr>
          <w:color w:val="231F20"/>
          <w:spacing w:val="-3"/>
          <w:sz w:val="17"/>
        </w:rPr>
        <w:t xml:space="preserve"> </w:t>
      </w:r>
      <w:r>
        <w:rPr>
          <w:color w:val="231F20"/>
          <w:sz w:val="17"/>
        </w:rPr>
        <w:t>from</w:t>
      </w:r>
      <w:r>
        <w:rPr>
          <w:color w:val="231F20"/>
          <w:spacing w:val="-3"/>
          <w:sz w:val="17"/>
        </w:rPr>
        <w:t xml:space="preserve"> </w:t>
      </w:r>
      <w:r>
        <w:rPr>
          <w:color w:val="231F20"/>
          <w:sz w:val="17"/>
        </w:rPr>
        <w:t>multi-level</w:t>
      </w:r>
      <w:r>
        <w:rPr>
          <w:color w:val="231F20"/>
          <w:spacing w:val="-3"/>
          <w:sz w:val="17"/>
        </w:rPr>
        <w:t xml:space="preserve"> </w:t>
      </w:r>
      <w:r>
        <w:rPr>
          <w:color w:val="231F20"/>
          <w:sz w:val="17"/>
        </w:rPr>
        <w:t>models.</w:t>
      </w:r>
      <w:r>
        <w:rPr>
          <w:color w:val="231F20"/>
          <w:spacing w:val="-4"/>
          <w:sz w:val="17"/>
        </w:rPr>
        <w:t xml:space="preserve"> </w:t>
      </w:r>
      <w:r>
        <w:rPr>
          <w:i/>
          <w:color w:val="231F20"/>
          <w:sz w:val="17"/>
        </w:rPr>
        <w:t>Sport</w:t>
      </w:r>
      <w:r>
        <w:rPr>
          <w:i/>
          <w:color w:val="231F20"/>
          <w:spacing w:val="40"/>
          <w:sz w:val="17"/>
        </w:rPr>
        <w:t xml:space="preserve"> </w:t>
      </w:r>
      <w:r>
        <w:rPr>
          <w:i/>
          <w:color w:val="231F20"/>
          <w:sz w:val="17"/>
        </w:rPr>
        <w:t xml:space="preserve">Management Review </w:t>
      </w:r>
      <w:r>
        <w:rPr>
          <w:color w:val="231F20"/>
          <w:sz w:val="17"/>
        </w:rPr>
        <w:t>16 (1), 54–67.</w:t>
      </w:r>
    </w:p>
    <w:p w14:paraId="5017EB47" w14:textId="77777777" w:rsidR="00AE0598" w:rsidRDefault="0069255A">
      <w:pPr>
        <w:spacing w:before="2"/>
        <w:ind w:left="430" w:right="128" w:hanging="320"/>
        <w:jc w:val="both"/>
        <w:rPr>
          <w:sz w:val="17"/>
        </w:rPr>
      </w:pPr>
      <w:r>
        <w:rPr>
          <w:color w:val="231F20"/>
          <w:sz w:val="17"/>
        </w:rPr>
        <w:t xml:space="preserve">Wiley, C.E., Shaw, </w:t>
      </w:r>
      <w:r>
        <w:rPr>
          <w:color w:val="231F20"/>
          <w:sz w:val="17"/>
        </w:rPr>
        <w:t>S.M. and Havitz, M.E. (2000) Men’s and women’s involvement in</w:t>
      </w:r>
      <w:r>
        <w:rPr>
          <w:color w:val="231F20"/>
          <w:spacing w:val="80"/>
          <w:sz w:val="17"/>
        </w:rPr>
        <w:t xml:space="preserve"> </w:t>
      </w:r>
      <w:r>
        <w:rPr>
          <w:color w:val="231F20"/>
          <w:sz w:val="17"/>
        </w:rPr>
        <w:t xml:space="preserve">sports: An examination of the gendered aspects of leisure involvement. </w:t>
      </w:r>
      <w:r>
        <w:rPr>
          <w:i/>
          <w:color w:val="231F20"/>
          <w:sz w:val="17"/>
        </w:rPr>
        <w:t>Leisure</w:t>
      </w:r>
      <w:r>
        <w:rPr>
          <w:i/>
          <w:color w:val="231F20"/>
          <w:spacing w:val="40"/>
          <w:sz w:val="17"/>
        </w:rPr>
        <w:t xml:space="preserve"> </w:t>
      </w:r>
      <w:r>
        <w:rPr>
          <w:i/>
          <w:color w:val="231F20"/>
          <w:sz w:val="17"/>
        </w:rPr>
        <w:t xml:space="preserve">Sciences </w:t>
      </w:r>
      <w:r>
        <w:rPr>
          <w:color w:val="231F20"/>
          <w:sz w:val="17"/>
        </w:rPr>
        <w:t>22 (1), 19–31.</w:t>
      </w:r>
    </w:p>
    <w:p w14:paraId="40A9F0DD" w14:textId="77777777" w:rsidR="00AE0598" w:rsidRDefault="0069255A">
      <w:pPr>
        <w:spacing w:before="2"/>
        <w:ind w:left="430" w:right="128" w:hanging="320"/>
        <w:jc w:val="both"/>
        <w:rPr>
          <w:sz w:val="17"/>
        </w:rPr>
      </w:pPr>
      <w:r>
        <w:rPr>
          <w:color w:val="231F20"/>
          <w:sz w:val="17"/>
        </w:rPr>
        <w:t xml:space="preserve">Williams, </w:t>
      </w:r>
      <w:r>
        <w:rPr>
          <w:color w:val="231F20"/>
          <w:w w:val="105"/>
          <w:sz w:val="17"/>
        </w:rPr>
        <w:t xml:space="preserve">J. </w:t>
      </w:r>
      <w:r>
        <w:rPr>
          <w:color w:val="231F20"/>
          <w:sz w:val="17"/>
        </w:rPr>
        <w:t>(1994) The local and the global in English soccer and the rise of satellite</w:t>
      </w:r>
      <w:r>
        <w:rPr>
          <w:color w:val="231F20"/>
          <w:spacing w:val="40"/>
          <w:sz w:val="17"/>
        </w:rPr>
        <w:t xml:space="preserve"> </w:t>
      </w:r>
      <w:r>
        <w:rPr>
          <w:color w:val="231F20"/>
          <w:sz w:val="17"/>
        </w:rPr>
        <w:t>te</w:t>
      </w:r>
      <w:r>
        <w:rPr>
          <w:color w:val="231F20"/>
          <w:sz w:val="17"/>
        </w:rPr>
        <w:t xml:space="preserve">levision. </w:t>
      </w:r>
      <w:r>
        <w:rPr>
          <w:i/>
          <w:color w:val="231F20"/>
          <w:sz w:val="17"/>
        </w:rPr>
        <w:t xml:space="preserve">Sociology of Sport Journal </w:t>
      </w:r>
      <w:r>
        <w:rPr>
          <w:color w:val="231F20"/>
          <w:sz w:val="17"/>
        </w:rPr>
        <w:t>11 (4), 376–397.</w:t>
      </w:r>
    </w:p>
    <w:p w14:paraId="528A219B" w14:textId="77777777" w:rsidR="00AE0598" w:rsidRDefault="0069255A">
      <w:pPr>
        <w:spacing w:before="1"/>
        <w:ind w:left="430" w:right="127" w:hanging="320"/>
        <w:jc w:val="both"/>
        <w:rPr>
          <w:sz w:val="17"/>
        </w:rPr>
      </w:pPr>
      <w:r>
        <w:rPr>
          <w:color w:val="231F20"/>
          <w:sz w:val="17"/>
        </w:rPr>
        <w:t xml:space="preserve">Williams, D.R. and Champ, </w:t>
      </w:r>
      <w:r>
        <w:rPr>
          <w:color w:val="231F20"/>
          <w:w w:val="105"/>
          <w:sz w:val="17"/>
        </w:rPr>
        <w:t xml:space="preserve">J.G. </w:t>
      </w:r>
      <w:r>
        <w:rPr>
          <w:color w:val="231F20"/>
          <w:sz w:val="17"/>
        </w:rPr>
        <w:t>(2015) Performing leisure, making place: Wilderness</w:t>
      </w:r>
      <w:r>
        <w:rPr>
          <w:color w:val="231F20"/>
          <w:spacing w:val="40"/>
          <w:sz w:val="17"/>
        </w:rPr>
        <w:t xml:space="preserve"> </w:t>
      </w:r>
      <w:r>
        <w:rPr>
          <w:color w:val="231F20"/>
          <w:sz w:val="17"/>
        </w:rPr>
        <w:t>identity and representation in online trip reports. In S. Gammon and S. Elkington</w:t>
      </w:r>
      <w:r>
        <w:rPr>
          <w:color w:val="231F20"/>
          <w:spacing w:val="40"/>
          <w:sz w:val="17"/>
        </w:rPr>
        <w:t xml:space="preserve"> </w:t>
      </w:r>
      <w:r>
        <w:rPr>
          <w:color w:val="231F20"/>
          <w:sz w:val="17"/>
        </w:rPr>
        <w:t xml:space="preserve">(eds) </w:t>
      </w:r>
      <w:r>
        <w:rPr>
          <w:i/>
          <w:color w:val="231F20"/>
          <w:sz w:val="17"/>
        </w:rPr>
        <w:t xml:space="preserve">Landscapes of Leisure: Space, Place and Identities </w:t>
      </w:r>
      <w:r>
        <w:rPr>
          <w:color w:val="231F20"/>
          <w:sz w:val="17"/>
        </w:rPr>
        <w:t>(pp. 220–232). Basingstoke:</w:t>
      </w:r>
      <w:r>
        <w:rPr>
          <w:color w:val="231F20"/>
          <w:spacing w:val="40"/>
          <w:sz w:val="17"/>
        </w:rPr>
        <w:t xml:space="preserve"> </w:t>
      </w:r>
      <w:r>
        <w:rPr>
          <w:color w:val="231F20"/>
          <w:sz w:val="17"/>
        </w:rPr>
        <w:t>Palgrave Macmillan.</w:t>
      </w:r>
    </w:p>
    <w:p w14:paraId="1838108D" w14:textId="77777777" w:rsidR="00AE0598" w:rsidRDefault="0069255A">
      <w:pPr>
        <w:spacing w:before="3"/>
        <w:ind w:left="430" w:right="127" w:hanging="320"/>
        <w:jc w:val="both"/>
        <w:rPr>
          <w:sz w:val="17"/>
        </w:rPr>
      </w:pPr>
      <w:r>
        <w:rPr>
          <w:color w:val="231F20"/>
          <w:sz w:val="17"/>
        </w:rPr>
        <w:t>Williams, D.R. and Kaltenborn, P. (1999) Leisure places and modernity: The use and</w:t>
      </w:r>
      <w:r>
        <w:rPr>
          <w:color w:val="231F20"/>
          <w:spacing w:val="40"/>
          <w:sz w:val="17"/>
        </w:rPr>
        <w:t xml:space="preserve"> </w:t>
      </w:r>
      <w:r>
        <w:rPr>
          <w:color w:val="231F20"/>
          <w:sz w:val="17"/>
        </w:rPr>
        <w:t>meaning of recreational cottages in Norway and the USA. In D. Crouch (ed.)</w:t>
      </w:r>
      <w:r>
        <w:rPr>
          <w:color w:val="231F20"/>
          <w:sz w:val="17"/>
        </w:rPr>
        <w:t xml:space="preserve"> </w:t>
      </w:r>
      <w:r>
        <w:rPr>
          <w:i/>
          <w:color w:val="231F20"/>
          <w:sz w:val="17"/>
        </w:rPr>
        <w:t>Leisure/</w:t>
      </w:r>
      <w:r>
        <w:rPr>
          <w:i/>
          <w:color w:val="231F20"/>
          <w:spacing w:val="40"/>
          <w:sz w:val="17"/>
        </w:rPr>
        <w:t xml:space="preserve"> </w:t>
      </w:r>
      <w:r>
        <w:rPr>
          <w:i/>
          <w:color w:val="231F20"/>
          <w:sz w:val="17"/>
        </w:rPr>
        <w:t xml:space="preserve">Tourism Geographies: Practices and Geographical Knowledge </w:t>
      </w:r>
      <w:r>
        <w:rPr>
          <w:color w:val="231F20"/>
          <w:sz w:val="17"/>
        </w:rPr>
        <w:t>(pp. 214–230). London:</w:t>
      </w:r>
      <w:r>
        <w:rPr>
          <w:color w:val="231F20"/>
          <w:spacing w:val="40"/>
          <w:sz w:val="17"/>
        </w:rPr>
        <w:t xml:space="preserve"> </w:t>
      </w:r>
      <w:r>
        <w:rPr>
          <w:color w:val="231F20"/>
          <w:spacing w:val="-2"/>
          <w:sz w:val="17"/>
        </w:rPr>
        <w:t>Routledge.</w:t>
      </w:r>
    </w:p>
    <w:p w14:paraId="39DFB183" w14:textId="77777777" w:rsidR="00AE0598" w:rsidRDefault="0069255A">
      <w:pPr>
        <w:spacing w:before="3"/>
        <w:ind w:left="430" w:right="128" w:hanging="320"/>
        <w:jc w:val="both"/>
        <w:rPr>
          <w:sz w:val="17"/>
        </w:rPr>
      </w:pPr>
      <w:r>
        <w:rPr>
          <w:color w:val="231F20"/>
          <w:sz w:val="17"/>
        </w:rPr>
        <w:t xml:space="preserve">Williams, </w:t>
      </w:r>
      <w:r>
        <w:rPr>
          <w:color w:val="231F20"/>
          <w:w w:val="110"/>
          <w:sz w:val="17"/>
        </w:rPr>
        <w:t xml:space="preserve">D.R., </w:t>
      </w:r>
      <w:r>
        <w:rPr>
          <w:color w:val="231F20"/>
          <w:sz w:val="17"/>
        </w:rPr>
        <w:t xml:space="preserve">Patterson, </w:t>
      </w:r>
      <w:r>
        <w:rPr>
          <w:color w:val="231F20"/>
          <w:w w:val="110"/>
          <w:sz w:val="17"/>
        </w:rPr>
        <w:t xml:space="preserve">M., </w:t>
      </w:r>
      <w:r>
        <w:rPr>
          <w:color w:val="231F20"/>
          <w:sz w:val="17"/>
        </w:rPr>
        <w:t xml:space="preserve">Roggenbuck, </w:t>
      </w:r>
      <w:r>
        <w:rPr>
          <w:color w:val="231F20"/>
          <w:w w:val="110"/>
          <w:sz w:val="17"/>
        </w:rPr>
        <w:t xml:space="preserve">J. </w:t>
      </w:r>
      <w:r>
        <w:rPr>
          <w:color w:val="231F20"/>
          <w:sz w:val="17"/>
        </w:rPr>
        <w:t xml:space="preserve">and Watson, </w:t>
      </w:r>
      <w:r>
        <w:rPr>
          <w:color w:val="231F20"/>
          <w:w w:val="110"/>
          <w:sz w:val="17"/>
        </w:rPr>
        <w:t xml:space="preserve">A. </w:t>
      </w:r>
      <w:r>
        <w:rPr>
          <w:color w:val="231F20"/>
          <w:sz w:val="17"/>
        </w:rPr>
        <w:t>(1992) Beyond the</w:t>
      </w:r>
      <w:r>
        <w:rPr>
          <w:color w:val="231F20"/>
          <w:spacing w:val="40"/>
          <w:sz w:val="17"/>
        </w:rPr>
        <w:t xml:space="preserve"> </w:t>
      </w:r>
      <w:r>
        <w:rPr>
          <w:color w:val="231F20"/>
          <w:sz w:val="17"/>
        </w:rPr>
        <w:t>commodity metaphor: Examining emotional and symbolic attachment to place.</w:t>
      </w:r>
      <w:r>
        <w:rPr>
          <w:color w:val="231F20"/>
          <w:spacing w:val="40"/>
          <w:sz w:val="17"/>
        </w:rPr>
        <w:t xml:space="preserve"> </w:t>
      </w:r>
      <w:r>
        <w:rPr>
          <w:i/>
          <w:color w:val="231F20"/>
          <w:sz w:val="17"/>
        </w:rPr>
        <w:t>L</w:t>
      </w:r>
      <w:r>
        <w:rPr>
          <w:i/>
          <w:color w:val="231F20"/>
          <w:sz w:val="17"/>
        </w:rPr>
        <w:t xml:space="preserve">eisure Sciences </w:t>
      </w:r>
      <w:r>
        <w:rPr>
          <w:color w:val="231F20"/>
          <w:sz w:val="17"/>
        </w:rPr>
        <w:t>14, 29–46.</w:t>
      </w:r>
    </w:p>
    <w:p w14:paraId="55A9C295" w14:textId="77777777" w:rsidR="00AE0598" w:rsidRDefault="0069255A">
      <w:pPr>
        <w:spacing w:before="2"/>
        <w:ind w:left="430" w:right="128" w:hanging="320"/>
        <w:jc w:val="both"/>
        <w:rPr>
          <w:sz w:val="17"/>
        </w:rPr>
      </w:pPr>
      <w:r>
        <w:rPr>
          <w:color w:val="231F20"/>
          <w:sz w:val="17"/>
        </w:rPr>
        <w:t xml:space="preserve">Williams, A.M. and Shaw, G. (eds) (1988) </w:t>
      </w:r>
      <w:r>
        <w:rPr>
          <w:i/>
          <w:color w:val="231F20"/>
          <w:sz w:val="17"/>
        </w:rPr>
        <w:t>Tourism and Economic Development: Western</w:t>
      </w:r>
      <w:r>
        <w:rPr>
          <w:i/>
          <w:color w:val="231F20"/>
          <w:spacing w:val="40"/>
          <w:w w:val="105"/>
          <w:sz w:val="17"/>
        </w:rPr>
        <w:t xml:space="preserve"> </w:t>
      </w:r>
      <w:r>
        <w:rPr>
          <w:i/>
          <w:color w:val="231F20"/>
          <w:w w:val="105"/>
          <w:sz w:val="17"/>
        </w:rPr>
        <w:t>European Experiences</w:t>
      </w:r>
      <w:r>
        <w:rPr>
          <w:color w:val="231F20"/>
          <w:w w:val="105"/>
          <w:sz w:val="17"/>
        </w:rPr>
        <w:t>. London: Belhaven.</w:t>
      </w:r>
    </w:p>
    <w:p w14:paraId="6C9ABFB8" w14:textId="77777777" w:rsidR="00AE0598" w:rsidRDefault="0069255A">
      <w:pPr>
        <w:spacing w:before="1"/>
        <w:ind w:left="430" w:right="128" w:hanging="320"/>
        <w:jc w:val="both"/>
        <w:rPr>
          <w:sz w:val="17"/>
        </w:rPr>
      </w:pPr>
      <w:r>
        <w:rPr>
          <w:color w:val="231F20"/>
          <w:sz w:val="17"/>
        </w:rPr>
        <w:t xml:space="preserve">Wilson, </w:t>
      </w:r>
      <w:r>
        <w:rPr>
          <w:color w:val="231F20"/>
          <w:w w:val="115"/>
          <w:sz w:val="17"/>
        </w:rPr>
        <w:t xml:space="preserve">H. </w:t>
      </w:r>
      <w:r>
        <w:rPr>
          <w:color w:val="231F20"/>
          <w:sz w:val="17"/>
        </w:rPr>
        <w:t xml:space="preserve">(1996) What is an Olympic city? Visions of Sydney 2000. </w:t>
      </w:r>
      <w:r>
        <w:rPr>
          <w:i/>
          <w:color w:val="231F20"/>
          <w:sz w:val="17"/>
        </w:rPr>
        <w:t xml:space="preserve">Media, Culture </w:t>
      </w:r>
      <w:r>
        <w:rPr>
          <w:i/>
          <w:color w:val="231F20"/>
          <w:w w:val="115"/>
          <w:sz w:val="17"/>
        </w:rPr>
        <w:t xml:space="preserve">&amp; </w:t>
      </w:r>
      <w:r>
        <w:rPr>
          <w:i/>
          <w:color w:val="231F20"/>
          <w:sz w:val="17"/>
        </w:rPr>
        <w:t xml:space="preserve">Society </w:t>
      </w:r>
      <w:r>
        <w:rPr>
          <w:color w:val="231F20"/>
          <w:sz w:val="17"/>
        </w:rPr>
        <w:t>18 (4), 603–61</w:t>
      </w:r>
      <w:r>
        <w:rPr>
          <w:color w:val="231F20"/>
          <w:sz w:val="17"/>
        </w:rPr>
        <w:t>8.</w:t>
      </w:r>
    </w:p>
    <w:p w14:paraId="07B9DDC6" w14:textId="77777777" w:rsidR="00AE0598" w:rsidRDefault="0069255A">
      <w:pPr>
        <w:spacing w:before="2"/>
        <w:ind w:left="110"/>
        <w:jc w:val="both"/>
        <w:rPr>
          <w:sz w:val="17"/>
        </w:rPr>
      </w:pPr>
      <w:r>
        <w:rPr>
          <w:color w:val="231F20"/>
          <w:sz w:val="17"/>
        </w:rPr>
        <w:t>Wilson,</w:t>
      </w:r>
      <w:r>
        <w:rPr>
          <w:color w:val="231F20"/>
          <w:spacing w:val="7"/>
          <w:sz w:val="17"/>
        </w:rPr>
        <w:t xml:space="preserve"> </w:t>
      </w:r>
      <w:r>
        <w:rPr>
          <w:color w:val="231F20"/>
          <w:sz w:val="17"/>
        </w:rPr>
        <w:t>H.</w:t>
      </w:r>
      <w:r>
        <w:rPr>
          <w:color w:val="231F20"/>
          <w:spacing w:val="8"/>
          <w:sz w:val="17"/>
        </w:rPr>
        <w:t xml:space="preserve"> </w:t>
      </w:r>
      <w:r>
        <w:rPr>
          <w:color w:val="231F20"/>
          <w:sz w:val="17"/>
        </w:rPr>
        <w:t>(1998)</w:t>
      </w:r>
      <w:r>
        <w:rPr>
          <w:color w:val="231F20"/>
          <w:spacing w:val="8"/>
          <w:sz w:val="17"/>
        </w:rPr>
        <w:t xml:space="preserve"> </w:t>
      </w:r>
      <w:r>
        <w:rPr>
          <w:color w:val="231F20"/>
          <w:sz w:val="17"/>
        </w:rPr>
        <w:t>Television’s</w:t>
      </w:r>
      <w:r>
        <w:rPr>
          <w:color w:val="231F20"/>
          <w:spacing w:val="8"/>
          <w:sz w:val="17"/>
        </w:rPr>
        <w:t xml:space="preserve"> </w:t>
      </w:r>
      <w:r>
        <w:rPr>
          <w:color w:val="231F20"/>
          <w:sz w:val="17"/>
        </w:rPr>
        <w:t>tour</w:t>
      </w:r>
      <w:r>
        <w:rPr>
          <w:color w:val="231F20"/>
          <w:spacing w:val="8"/>
          <w:sz w:val="17"/>
        </w:rPr>
        <w:t xml:space="preserve"> </w:t>
      </w:r>
      <w:r>
        <w:rPr>
          <w:color w:val="231F20"/>
          <w:sz w:val="17"/>
        </w:rPr>
        <w:t>de</w:t>
      </w:r>
      <w:r>
        <w:rPr>
          <w:color w:val="231F20"/>
          <w:spacing w:val="8"/>
          <w:sz w:val="17"/>
        </w:rPr>
        <w:t xml:space="preserve"> </w:t>
      </w:r>
      <w:r>
        <w:rPr>
          <w:color w:val="231F20"/>
          <w:sz w:val="17"/>
        </w:rPr>
        <w:t>force:</w:t>
      </w:r>
      <w:r>
        <w:rPr>
          <w:color w:val="231F20"/>
          <w:spacing w:val="8"/>
          <w:sz w:val="17"/>
        </w:rPr>
        <w:t xml:space="preserve"> </w:t>
      </w:r>
      <w:r>
        <w:rPr>
          <w:color w:val="231F20"/>
          <w:sz w:val="17"/>
        </w:rPr>
        <w:t>The</w:t>
      </w:r>
      <w:r>
        <w:rPr>
          <w:color w:val="231F20"/>
          <w:spacing w:val="8"/>
          <w:sz w:val="17"/>
        </w:rPr>
        <w:t xml:space="preserve"> </w:t>
      </w:r>
      <w:r>
        <w:rPr>
          <w:color w:val="231F20"/>
          <w:sz w:val="17"/>
        </w:rPr>
        <w:t>nation</w:t>
      </w:r>
      <w:r>
        <w:rPr>
          <w:color w:val="231F20"/>
          <w:spacing w:val="8"/>
          <w:sz w:val="17"/>
        </w:rPr>
        <w:t xml:space="preserve"> </w:t>
      </w:r>
      <w:r>
        <w:rPr>
          <w:color w:val="231F20"/>
          <w:sz w:val="17"/>
        </w:rPr>
        <w:t>watches</w:t>
      </w:r>
      <w:r>
        <w:rPr>
          <w:color w:val="231F20"/>
          <w:spacing w:val="8"/>
          <w:sz w:val="17"/>
        </w:rPr>
        <w:t xml:space="preserve"> </w:t>
      </w:r>
      <w:r>
        <w:rPr>
          <w:color w:val="231F20"/>
          <w:sz w:val="17"/>
        </w:rPr>
        <w:t>the</w:t>
      </w:r>
      <w:r>
        <w:rPr>
          <w:color w:val="231F20"/>
          <w:spacing w:val="8"/>
          <w:sz w:val="17"/>
        </w:rPr>
        <w:t xml:space="preserve"> </w:t>
      </w:r>
      <w:r>
        <w:rPr>
          <w:color w:val="231F20"/>
          <w:sz w:val="17"/>
        </w:rPr>
        <w:t>Olympic</w:t>
      </w:r>
      <w:r>
        <w:rPr>
          <w:color w:val="231F20"/>
          <w:spacing w:val="8"/>
          <w:sz w:val="17"/>
        </w:rPr>
        <w:t xml:space="preserve"> </w:t>
      </w:r>
      <w:r>
        <w:rPr>
          <w:color w:val="231F20"/>
          <w:sz w:val="17"/>
        </w:rPr>
        <w:t>Games.</w:t>
      </w:r>
      <w:r>
        <w:rPr>
          <w:color w:val="231F20"/>
          <w:spacing w:val="8"/>
          <w:sz w:val="17"/>
        </w:rPr>
        <w:t xml:space="preserve"> </w:t>
      </w:r>
      <w:r>
        <w:rPr>
          <w:color w:val="231F20"/>
          <w:spacing w:val="-5"/>
          <w:sz w:val="17"/>
        </w:rPr>
        <w:t>In</w:t>
      </w:r>
    </w:p>
    <w:p w14:paraId="007DA603" w14:textId="77777777" w:rsidR="00AE0598" w:rsidRDefault="0069255A">
      <w:pPr>
        <w:ind w:left="430"/>
        <w:jc w:val="both"/>
        <w:rPr>
          <w:i/>
          <w:sz w:val="17"/>
        </w:rPr>
      </w:pPr>
      <w:r>
        <w:rPr>
          <w:color w:val="231F20"/>
          <w:sz w:val="17"/>
        </w:rPr>
        <w:t>D.</w:t>
      </w:r>
      <w:r>
        <w:rPr>
          <w:color w:val="231F20"/>
          <w:spacing w:val="35"/>
          <w:sz w:val="17"/>
        </w:rPr>
        <w:t xml:space="preserve"> </w:t>
      </w:r>
      <w:r>
        <w:rPr>
          <w:color w:val="231F20"/>
          <w:sz w:val="17"/>
        </w:rPr>
        <w:t>Rowe</w:t>
      </w:r>
      <w:r>
        <w:rPr>
          <w:color w:val="231F20"/>
          <w:spacing w:val="36"/>
          <w:sz w:val="17"/>
        </w:rPr>
        <w:t xml:space="preserve"> </w:t>
      </w:r>
      <w:r>
        <w:rPr>
          <w:color w:val="231F20"/>
          <w:sz w:val="17"/>
        </w:rPr>
        <w:t>and</w:t>
      </w:r>
      <w:r>
        <w:rPr>
          <w:color w:val="231F20"/>
          <w:spacing w:val="36"/>
          <w:sz w:val="17"/>
        </w:rPr>
        <w:t xml:space="preserve"> </w:t>
      </w:r>
      <w:r>
        <w:rPr>
          <w:color w:val="231F20"/>
          <w:sz w:val="17"/>
        </w:rPr>
        <w:t>G.</w:t>
      </w:r>
      <w:r>
        <w:rPr>
          <w:color w:val="231F20"/>
          <w:spacing w:val="36"/>
          <w:sz w:val="17"/>
        </w:rPr>
        <w:t xml:space="preserve"> </w:t>
      </w:r>
      <w:r>
        <w:rPr>
          <w:color w:val="231F20"/>
          <w:sz w:val="17"/>
        </w:rPr>
        <w:t>Lawrence</w:t>
      </w:r>
      <w:r>
        <w:rPr>
          <w:color w:val="231F20"/>
          <w:spacing w:val="36"/>
          <w:sz w:val="17"/>
        </w:rPr>
        <w:t xml:space="preserve"> </w:t>
      </w:r>
      <w:r>
        <w:rPr>
          <w:color w:val="231F20"/>
          <w:sz w:val="17"/>
        </w:rPr>
        <w:t>(eds)</w:t>
      </w:r>
      <w:r>
        <w:rPr>
          <w:color w:val="231F20"/>
          <w:spacing w:val="36"/>
          <w:sz w:val="17"/>
        </w:rPr>
        <w:t xml:space="preserve"> </w:t>
      </w:r>
      <w:r>
        <w:rPr>
          <w:i/>
          <w:color w:val="231F20"/>
          <w:sz w:val="17"/>
        </w:rPr>
        <w:t>Tourism,</w:t>
      </w:r>
      <w:r>
        <w:rPr>
          <w:i/>
          <w:color w:val="231F20"/>
          <w:spacing w:val="35"/>
          <w:sz w:val="17"/>
        </w:rPr>
        <w:t xml:space="preserve"> </w:t>
      </w:r>
      <w:r>
        <w:rPr>
          <w:i/>
          <w:color w:val="231F20"/>
          <w:sz w:val="17"/>
        </w:rPr>
        <w:t>Leisure</w:t>
      </w:r>
      <w:r>
        <w:rPr>
          <w:i/>
          <w:color w:val="231F20"/>
          <w:spacing w:val="36"/>
          <w:sz w:val="17"/>
        </w:rPr>
        <w:t xml:space="preserve"> </w:t>
      </w:r>
      <w:r>
        <w:rPr>
          <w:i/>
          <w:color w:val="231F20"/>
          <w:sz w:val="17"/>
        </w:rPr>
        <w:t>and</w:t>
      </w:r>
      <w:r>
        <w:rPr>
          <w:i/>
          <w:color w:val="231F20"/>
          <w:spacing w:val="36"/>
          <w:sz w:val="17"/>
        </w:rPr>
        <w:t xml:space="preserve"> </w:t>
      </w:r>
      <w:r>
        <w:rPr>
          <w:i/>
          <w:color w:val="231F20"/>
          <w:sz w:val="17"/>
        </w:rPr>
        <w:t>Sport:</w:t>
      </w:r>
      <w:r>
        <w:rPr>
          <w:i/>
          <w:color w:val="231F20"/>
          <w:spacing w:val="36"/>
          <w:sz w:val="17"/>
        </w:rPr>
        <w:t xml:space="preserve"> </w:t>
      </w:r>
      <w:r>
        <w:rPr>
          <w:i/>
          <w:color w:val="231F20"/>
          <w:sz w:val="17"/>
        </w:rPr>
        <w:t>Critical</w:t>
      </w:r>
      <w:r>
        <w:rPr>
          <w:i/>
          <w:color w:val="231F20"/>
          <w:spacing w:val="36"/>
          <w:sz w:val="17"/>
        </w:rPr>
        <w:t xml:space="preserve"> </w:t>
      </w:r>
      <w:r>
        <w:rPr>
          <w:i/>
          <w:color w:val="231F20"/>
          <w:spacing w:val="-2"/>
          <w:sz w:val="17"/>
        </w:rPr>
        <w:t>Perspectives</w:t>
      </w:r>
    </w:p>
    <w:p w14:paraId="6F567397" w14:textId="77777777" w:rsidR="00AE0598" w:rsidRDefault="0069255A">
      <w:pPr>
        <w:spacing w:before="1"/>
        <w:ind w:left="430"/>
        <w:jc w:val="both"/>
        <w:rPr>
          <w:sz w:val="17"/>
        </w:rPr>
      </w:pPr>
      <w:r>
        <w:rPr>
          <w:color w:val="231F20"/>
          <w:w w:val="95"/>
          <w:sz w:val="17"/>
        </w:rPr>
        <w:t>(pp.</w:t>
      </w:r>
      <w:r>
        <w:rPr>
          <w:color w:val="231F20"/>
          <w:spacing w:val="2"/>
          <w:sz w:val="17"/>
        </w:rPr>
        <w:t xml:space="preserve"> </w:t>
      </w:r>
      <w:r>
        <w:rPr>
          <w:color w:val="231F20"/>
          <w:w w:val="95"/>
          <w:sz w:val="17"/>
        </w:rPr>
        <w:t>135–145).</w:t>
      </w:r>
      <w:r>
        <w:rPr>
          <w:color w:val="231F20"/>
          <w:spacing w:val="3"/>
          <w:sz w:val="17"/>
        </w:rPr>
        <w:t xml:space="preserve"> </w:t>
      </w:r>
      <w:r>
        <w:rPr>
          <w:color w:val="231F20"/>
          <w:w w:val="95"/>
          <w:sz w:val="17"/>
        </w:rPr>
        <w:t>Sydney:</w:t>
      </w:r>
      <w:r>
        <w:rPr>
          <w:color w:val="231F20"/>
          <w:spacing w:val="3"/>
          <w:sz w:val="17"/>
        </w:rPr>
        <w:t xml:space="preserve"> </w:t>
      </w:r>
      <w:r>
        <w:rPr>
          <w:color w:val="231F20"/>
          <w:w w:val="95"/>
          <w:sz w:val="17"/>
        </w:rPr>
        <w:t>Hodder</w:t>
      </w:r>
      <w:r>
        <w:rPr>
          <w:color w:val="231F20"/>
          <w:spacing w:val="3"/>
          <w:sz w:val="17"/>
        </w:rPr>
        <w:t xml:space="preserve"> </w:t>
      </w:r>
      <w:r>
        <w:rPr>
          <w:color w:val="231F20"/>
          <w:spacing w:val="-2"/>
          <w:w w:val="95"/>
          <w:sz w:val="17"/>
        </w:rPr>
        <w:t>Headline.</w:t>
      </w:r>
    </w:p>
    <w:p w14:paraId="629D5207" w14:textId="77777777" w:rsidR="00AE0598" w:rsidRDefault="0069255A">
      <w:pPr>
        <w:spacing w:before="1"/>
        <w:ind w:left="110"/>
        <w:jc w:val="both"/>
        <w:rPr>
          <w:sz w:val="17"/>
        </w:rPr>
      </w:pPr>
      <w:r>
        <w:rPr>
          <w:color w:val="231F20"/>
          <w:sz w:val="17"/>
        </w:rPr>
        <w:t>Wolbier,</w:t>
      </w:r>
      <w:r>
        <w:rPr>
          <w:color w:val="231F20"/>
          <w:spacing w:val="-3"/>
          <w:sz w:val="17"/>
        </w:rPr>
        <w:t xml:space="preserve"> </w:t>
      </w:r>
      <w:r>
        <w:rPr>
          <w:color w:val="231F20"/>
          <w:w w:val="105"/>
          <w:sz w:val="17"/>
        </w:rPr>
        <w:t>J.</w:t>
      </w:r>
      <w:r>
        <w:rPr>
          <w:color w:val="231F20"/>
          <w:spacing w:val="-4"/>
          <w:w w:val="105"/>
          <w:sz w:val="17"/>
        </w:rPr>
        <w:t xml:space="preserve"> </w:t>
      </w:r>
      <w:r>
        <w:rPr>
          <w:color w:val="231F20"/>
          <w:sz w:val="17"/>
        </w:rPr>
        <w:t>(2004)</w:t>
      </w:r>
      <w:r>
        <w:rPr>
          <w:color w:val="231F20"/>
          <w:spacing w:val="-3"/>
          <w:sz w:val="17"/>
        </w:rPr>
        <w:t xml:space="preserve"> </w:t>
      </w:r>
      <w:r>
        <w:rPr>
          <w:color w:val="231F20"/>
          <w:sz w:val="17"/>
        </w:rPr>
        <w:t>Matters</w:t>
      </w:r>
      <w:r>
        <w:rPr>
          <w:color w:val="231F20"/>
          <w:spacing w:val="-2"/>
          <w:sz w:val="17"/>
        </w:rPr>
        <w:t xml:space="preserve"> </w:t>
      </w:r>
      <w:r>
        <w:rPr>
          <w:color w:val="231F20"/>
          <w:sz w:val="17"/>
        </w:rPr>
        <w:t>of</w:t>
      </w:r>
      <w:r>
        <w:rPr>
          <w:color w:val="231F20"/>
          <w:spacing w:val="-2"/>
          <w:sz w:val="17"/>
        </w:rPr>
        <w:t xml:space="preserve"> </w:t>
      </w:r>
      <w:r>
        <w:rPr>
          <w:color w:val="231F20"/>
          <w:sz w:val="17"/>
        </w:rPr>
        <w:t>scale:</w:t>
      </w:r>
      <w:r>
        <w:rPr>
          <w:color w:val="231F20"/>
          <w:spacing w:val="-3"/>
          <w:sz w:val="17"/>
        </w:rPr>
        <w:t xml:space="preserve"> </w:t>
      </w:r>
      <w:r>
        <w:rPr>
          <w:color w:val="231F20"/>
          <w:sz w:val="17"/>
        </w:rPr>
        <w:t>Planet</w:t>
      </w:r>
      <w:r>
        <w:rPr>
          <w:color w:val="231F20"/>
          <w:spacing w:val="-2"/>
          <w:sz w:val="17"/>
        </w:rPr>
        <w:t xml:space="preserve"> </w:t>
      </w:r>
      <w:r>
        <w:rPr>
          <w:color w:val="231F20"/>
          <w:sz w:val="17"/>
        </w:rPr>
        <w:t>golf.</w:t>
      </w:r>
      <w:r>
        <w:rPr>
          <w:color w:val="231F20"/>
          <w:spacing w:val="-2"/>
          <w:sz w:val="17"/>
        </w:rPr>
        <w:t xml:space="preserve"> </w:t>
      </w:r>
      <w:r>
        <w:rPr>
          <w:i/>
          <w:color w:val="231F20"/>
          <w:sz w:val="17"/>
        </w:rPr>
        <w:t>World</w:t>
      </w:r>
      <w:r>
        <w:rPr>
          <w:i/>
          <w:color w:val="231F20"/>
          <w:spacing w:val="-3"/>
          <w:sz w:val="17"/>
        </w:rPr>
        <w:t xml:space="preserve"> </w:t>
      </w:r>
      <w:r>
        <w:rPr>
          <w:i/>
          <w:color w:val="231F20"/>
          <w:sz w:val="17"/>
        </w:rPr>
        <w:t>Watch</w:t>
      </w:r>
      <w:r>
        <w:rPr>
          <w:i/>
          <w:color w:val="231F20"/>
          <w:spacing w:val="-2"/>
          <w:sz w:val="17"/>
        </w:rPr>
        <w:t xml:space="preserve"> </w:t>
      </w:r>
      <w:r>
        <w:rPr>
          <w:i/>
          <w:color w:val="231F20"/>
          <w:sz w:val="17"/>
        </w:rPr>
        <w:t>Magazine</w:t>
      </w:r>
      <w:r>
        <w:rPr>
          <w:color w:val="231F20"/>
          <w:sz w:val="17"/>
        </w:rPr>
        <w:t>,</w:t>
      </w:r>
      <w:r>
        <w:rPr>
          <w:color w:val="231F20"/>
          <w:spacing w:val="-3"/>
          <w:sz w:val="17"/>
        </w:rPr>
        <w:t xml:space="preserve"> </w:t>
      </w:r>
      <w:r>
        <w:rPr>
          <w:color w:val="231F20"/>
          <w:sz w:val="17"/>
        </w:rPr>
        <w:t>17,</w:t>
      </w:r>
      <w:r>
        <w:rPr>
          <w:color w:val="231F20"/>
          <w:spacing w:val="-2"/>
          <w:sz w:val="17"/>
        </w:rPr>
        <w:t xml:space="preserve"> </w:t>
      </w:r>
      <w:r>
        <w:rPr>
          <w:color w:val="231F20"/>
          <w:spacing w:val="-5"/>
          <w:sz w:val="17"/>
        </w:rPr>
        <w:t>np.</w:t>
      </w:r>
    </w:p>
    <w:p w14:paraId="4860CAC2" w14:textId="77777777" w:rsidR="00AE0598" w:rsidRDefault="0069255A">
      <w:pPr>
        <w:spacing w:before="1"/>
        <w:ind w:left="430" w:right="127" w:hanging="320"/>
        <w:jc w:val="both"/>
        <w:rPr>
          <w:sz w:val="17"/>
        </w:rPr>
      </w:pPr>
      <w:r>
        <w:rPr>
          <w:color w:val="231F20"/>
          <w:sz w:val="17"/>
        </w:rPr>
        <w:t>Wood, I. (1998, 2–4 July) Hong Kong: The event capital of Asia. Case studies on the</w:t>
      </w:r>
      <w:r>
        <w:rPr>
          <w:color w:val="231F20"/>
          <w:spacing w:val="40"/>
          <w:sz w:val="17"/>
        </w:rPr>
        <w:t xml:space="preserve"> </w:t>
      </w:r>
      <w:r>
        <w:rPr>
          <w:color w:val="231F20"/>
          <w:sz w:val="17"/>
        </w:rPr>
        <w:t>International Dragon Boat Championships and Hong Kong Rugby Sevens. Paper</w:t>
      </w:r>
      <w:r>
        <w:rPr>
          <w:color w:val="231F20"/>
          <w:spacing w:val="40"/>
          <w:sz w:val="17"/>
        </w:rPr>
        <w:t xml:space="preserve"> </w:t>
      </w:r>
      <w:r>
        <w:rPr>
          <w:color w:val="231F20"/>
          <w:sz w:val="17"/>
        </w:rPr>
        <w:t>presented at the Sport in the City, Sheffield, UK.</w:t>
      </w:r>
    </w:p>
    <w:p w14:paraId="444F43C0" w14:textId="77777777" w:rsidR="00AE0598" w:rsidRDefault="0069255A">
      <w:pPr>
        <w:spacing w:before="2"/>
        <w:ind w:left="110"/>
        <w:jc w:val="both"/>
        <w:rPr>
          <w:sz w:val="17"/>
        </w:rPr>
      </w:pPr>
      <w:r>
        <w:rPr>
          <w:color w:val="231F20"/>
          <w:sz w:val="17"/>
        </w:rPr>
        <w:t>Wood</w:t>
      </w:r>
      <w:r>
        <w:rPr>
          <w:color w:val="231F20"/>
          <w:sz w:val="17"/>
        </w:rPr>
        <w:t>s,</w:t>
      </w:r>
      <w:r>
        <w:rPr>
          <w:color w:val="231F20"/>
          <w:spacing w:val="8"/>
          <w:sz w:val="17"/>
        </w:rPr>
        <w:t xml:space="preserve"> </w:t>
      </w:r>
      <w:r>
        <w:rPr>
          <w:color w:val="231F20"/>
          <w:sz w:val="17"/>
        </w:rPr>
        <w:t>R.</w:t>
      </w:r>
      <w:r>
        <w:rPr>
          <w:color w:val="231F20"/>
          <w:spacing w:val="8"/>
          <w:sz w:val="17"/>
        </w:rPr>
        <w:t xml:space="preserve"> </w:t>
      </w:r>
      <w:r>
        <w:rPr>
          <w:color w:val="231F20"/>
          <w:sz w:val="17"/>
        </w:rPr>
        <w:t>(2016)</w:t>
      </w:r>
      <w:r>
        <w:rPr>
          <w:color w:val="231F20"/>
          <w:spacing w:val="9"/>
          <w:sz w:val="17"/>
        </w:rPr>
        <w:t xml:space="preserve"> </w:t>
      </w:r>
      <w:r>
        <w:rPr>
          <w:i/>
          <w:color w:val="231F20"/>
          <w:sz w:val="17"/>
        </w:rPr>
        <w:t>Social</w:t>
      </w:r>
      <w:r>
        <w:rPr>
          <w:i/>
          <w:color w:val="231F20"/>
          <w:spacing w:val="8"/>
          <w:sz w:val="17"/>
        </w:rPr>
        <w:t xml:space="preserve"> </w:t>
      </w:r>
      <w:r>
        <w:rPr>
          <w:i/>
          <w:color w:val="231F20"/>
          <w:sz w:val="17"/>
        </w:rPr>
        <w:t>Issues</w:t>
      </w:r>
      <w:r>
        <w:rPr>
          <w:i/>
          <w:color w:val="231F20"/>
          <w:spacing w:val="9"/>
          <w:sz w:val="17"/>
        </w:rPr>
        <w:t xml:space="preserve"> </w:t>
      </w:r>
      <w:r>
        <w:rPr>
          <w:i/>
          <w:color w:val="231F20"/>
          <w:sz w:val="17"/>
        </w:rPr>
        <w:t>in</w:t>
      </w:r>
      <w:r>
        <w:rPr>
          <w:i/>
          <w:color w:val="231F20"/>
          <w:spacing w:val="8"/>
          <w:sz w:val="17"/>
        </w:rPr>
        <w:t xml:space="preserve"> </w:t>
      </w:r>
      <w:r>
        <w:rPr>
          <w:i/>
          <w:color w:val="231F20"/>
          <w:sz w:val="17"/>
        </w:rPr>
        <w:t>Sport</w:t>
      </w:r>
      <w:r>
        <w:rPr>
          <w:color w:val="231F20"/>
          <w:sz w:val="17"/>
        </w:rPr>
        <w:t>.</w:t>
      </w:r>
      <w:r>
        <w:rPr>
          <w:color w:val="231F20"/>
          <w:spacing w:val="9"/>
          <w:sz w:val="17"/>
        </w:rPr>
        <w:t xml:space="preserve"> </w:t>
      </w:r>
      <w:r>
        <w:rPr>
          <w:color w:val="231F20"/>
          <w:sz w:val="17"/>
        </w:rPr>
        <w:t>Champaign,</w:t>
      </w:r>
      <w:r>
        <w:rPr>
          <w:color w:val="231F20"/>
          <w:spacing w:val="8"/>
          <w:sz w:val="17"/>
        </w:rPr>
        <w:t xml:space="preserve"> </w:t>
      </w:r>
      <w:r>
        <w:rPr>
          <w:color w:val="231F20"/>
          <w:sz w:val="17"/>
        </w:rPr>
        <w:t>IL:</w:t>
      </w:r>
      <w:r>
        <w:rPr>
          <w:color w:val="231F20"/>
          <w:spacing w:val="8"/>
          <w:sz w:val="17"/>
        </w:rPr>
        <w:t xml:space="preserve"> </w:t>
      </w:r>
      <w:r>
        <w:rPr>
          <w:color w:val="231F20"/>
          <w:sz w:val="17"/>
        </w:rPr>
        <w:t>Human</w:t>
      </w:r>
      <w:r>
        <w:rPr>
          <w:color w:val="231F20"/>
          <w:spacing w:val="9"/>
          <w:sz w:val="17"/>
        </w:rPr>
        <w:t xml:space="preserve"> </w:t>
      </w:r>
      <w:r>
        <w:rPr>
          <w:color w:val="231F20"/>
          <w:spacing w:val="-2"/>
          <w:sz w:val="17"/>
        </w:rPr>
        <w:t>Kinetics.</w:t>
      </w:r>
    </w:p>
    <w:p w14:paraId="2FE6FD55" w14:textId="77777777" w:rsidR="00AE0598" w:rsidRDefault="0069255A">
      <w:pPr>
        <w:ind w:left="110"/>
        <w:jc w:val="both"/>
        <w:rPr>
          <w:sz w:val="17"/>
        </w:rPr>
      </w:pPr>
      <w:r>
        <w:rPr>
          <w:color w:val="231F20"/>
          <w:sz w:val="17"/>
        </w:rPr>
        <w:t>Woodman,</w:t>
      </w:r>
      <w:r>
        <w:rPr>
          <w:color w:val="231F20"/>
          <w:spacing w:val="17"/>
          <w:sz w:val="17"/>
        </w:rPr>
        <w:t xml:space="preserve"> </w:t>
      </w:r>
      <w:r>
        <w:rPr>
          <w:color w:val="231F20"/>
          <w:sz w:val="17"/>
        </w:rPr>
        <w:t>T.</w:t>
      </w:r>
      <w:r>
        <w:rPr>
          <w:color w:val="231F20"/>
          <w:spacing w:val="18"/>
          <w:sz w:val="17"/>
        </w:rPr>
        <w:t xml:space="preserve"> </w:t>
      </w:r>
      <w:r>
        <w:rPr>
          <w:color w:val="231F20"/>
          <w:sz w:val="17"/>
        </w:rPr>
        <w:t>and</w:t>
      </w:r>
      <w:r>
        <w:rPr>
          <w:color w:val="231F20"/>
          <w:spacing w:val="18"/>
          <w:sz w:val="17"/>
        </w:rPr>
        <w:t xml:space="preserve"> </w:t>
      </w:r>
      <w:r>
        <w:rPr>
          <w:color w:val="231F20"/>
          <w:sz w:val="17"/>
        </w:rPr>
        <w:t>Hardy,</w:t>
      </w:r>
      <w:r>
        <w:rPr>
          <w:color w:val="231F20"/>
          <w:spacing w:val="18"/>
          <w:sz w:val="17"/>
        </w:rPr>
        <w:t xml:space="preserve"> </w:t>
      </w:r>
      <w:r>
        <w:rPr>
          <w:color w:val="231F20"/>
          <w:sz w:val="17"/>
        </w:rPr>
        <w:t>L.</w:t>
      </w:r>
      <w:r>
        <w:rPr>
          <w:color w:val="231F20"/>
          <w:spacing w:val="18"/>
          <w:sz w:val="17"/>
        </w:rPr>
        <w:t xml:space="preserve"> </w:t>
      </w:r>
      <w:r>
        <w:rPr>
          <w:color w:val="231F20"/>
          <w:sz w:val="17"/>
        </w:rPr>
        <w:t>(2001)</w:t>
      </w:r>
      <w:r>
        <w:rPr>
          <w:color w:val="231F20"/>
          <w:spacing w:val="18"/>
          <w:sz w:val="17"/>
        </w:rPr>
        <w:t xml:space="preserve"> </w:t>
      </w:r>
      <w:r>
        <w:rPr>
          <w:color w:val="231F20"/>
          <w:sz w:val="17"/>
        </w:rPr>
        <w:t>A</w:t>
      </w:r>
      <w:r>
        <w:rPr>
          <w:color w:val="231F20"/>
          <w:spacing w:val="18"/>
          <w:sz w:val="17"/>
        </w:rPr>
        <w:t xml:space="preserve"> </w:t>
      </w:r>
      <w:r>
        <w:rPr>
          <w:color w:val="231F20"/>
          <w:sz w:val="17"/>
        </w:rPr>
        <w:t>case</w:t>
      </w:r>
      <w:r>
        <w:rPr>
          <w:color w:val="231F20"/>
          <w:spacing w:val="17"/>
          <w:sz w:val="17"/>
        </w:rPr>
        <w:t xml:space="preserve"> </w:t>
      </w:r>
      <w:r>
        <w:rPr>
          <w:color w:val="231F20"/>
          <w:sz w:val="17"/>
        </w:rPr>
        <w:t>study</w:t>
      </w:r>
      <w:r>
        <w:rPr>
          <w:color w:val="231F20"/>
          <w:spacing w:val="18"/>
          <w:sz w:val="17"/>
        </w:rPr>
        <w:t xml:space="preserve"> </w:t>
      </w:r>
      <w:r>
        <w:rPr>
          <w:color w:val="231F20"/>
          <w:sz w:val="17"/>
        </w:rPr>
        <w:t>of</w:t>
      </w:r>
      <w:r>
        <w:rPr>
          <w:color w:val="231F20"/>
          <w:spacing w:val="18"/>
          <w:sz w:val="17"/>
        </w:rPr>
        <w:t xml:space="preserve"> </w:t>
      </w:r>
      <w:r>
        <w:rPr>
          <w:color w:val="231F20"/>
          <w:sz w:val="17"/>
        </w:rPr>
        <w:t>organizational</w:t>
      </w:r>
      <w:r>
        <w:rPr>
          <w:color w:val="231F20"/>
          <w:spacing w:val="18"/>
          <w:sz w:val="17"/>
        </w:rPr>
        <w:t xml:space="preserve"> </w:t>
      </w:r>
      <w:r>
        <w:rPr>
          <w:color w:val="231F20"/>
          <w:sz w:val="17"/>
        </w:rPr>
        <w:t>stress</w:t>
      </w:r>
      <w:r>
        <w:rPr>
          <w:color w:val="231F20"/>
          <w:spacing w:val="18"/>
          <w:sz w:val="17"/>
        </w:rPr>
        <w:t xml:space="preserve"> </w:t>
      </w:r>
      <w:r>
        <w:rPr>
          <w:color w:val="231F20"/>
          <w:sz w:val="17"/>
        </w:rPr>
        <w:t>in</w:t>
      </w:r>
      <w:r>
        <w:rPr>
          <w:color w:val="231F20"/>
          <w:spacing w:val="18"/>
          <w:sz w:val="17"/>
        </w:rPr>
        <w:t xml:space="preserve"> </w:t>
      </w:r>
      <w:r>
        <w:rPr>
          <w:color w:val="231F20"/>
          <w:sz w:val="17"/>
        </w:rPr>
        <w:t>elite</w:t>
      </w:r>
      <w:r>
        <w:rPr>
          <w:color w:val="231F20"/>
          <w:spacing w:val="18"/>
          <w:sz w:val="17"/>
        </w:rPr>
        <w:t xml:space="preserve"> </w:t>
      </w:r>
      <w:r>
        <w:rPr>
          <w:color w:val="231F20"/>
          <w:spacing w:val="-2"/>
          <w:sz w:val="17"/>
        </w:rPr>
        <w:t>sport.</w:t>
      </w:r>
    </w:p>
    <w:p w14:paraId="4B9184E3" w14:textId="77777777" w:rsidR="00AE0598" w:rsidRDefault="0069255A">
      <w:pPr>
        <w:spacing w:before="1"/>
        <w:ind w:left="430"/>
        <w:jc w:val="both"/>
        <w:rPr>
          <w:sz w:val="17"/>
        </w:rPr>
      </w:pPr>
      <w:r>
        <w:rPr>
          <w:i/>
          <w:color w:val="231F20"/>
          <w:sz w:val="17"/>
        </w:rPr>
        <w:t>Journal</w:t>
      </w:r>
      <w:r>
        <w:rPr>
          <w:i/>
          <w:color w:val="231F20"/>
          <w:spacing w:val="8"/>
          <w:sz w:val="17"/>
        </w:rPr>
        <w:t xml:space="preserve"> </w:t>
      </w:r>
      <w:r>
        <w:rPr>
          <w:i/>
          <w:color w:val="231F20"/>
          <w:sz w:val="17"/>
        </w:rPr>
        <w:t>of</w:t>
      </w:r>
      <w:r>
        <w:rPr>
          <w:i/>
          <w:color w:val="231F20"/>
          <w:spacing w:val="8"/>
          <w:sz w:val="17"/>
        </w:rPr>
        <w:t xml:space="preserve"> </w:t>
      </w:r>
      <w:r>
        <w:rPr>
          <w:i/>
          <w:color w:val="231F20"/>
          <w:sz w:val="17"/>
        </w:rPr>
        <w:t>Applied</w:t>
      </w:r>
      <w:r>
        <w:rPr>
          <w:i/>
          <w:color w:val="231F20"/>
          <w:spacing w:val="9"/>
          <w:sz w:val="17"/>
        </w:rPr>
        <w:t xml:space="preserve"> </w:t>
      </w:r>
      <w:r>
        <w:rPr>
          <w:i/>
          <w:color w:val="231F20"/>
          <w:sz w:val="17"/>
        </w:rPr>
        <w:t>Sport</w:t>
      </w:r>
      <w:r>
        <w:rPr>
          <w:i/>
          <w:color w:val="231F20"/>
          <w:spacing w:val="8"/>
          <w:sz w:val="17"/>
        </w:rPr>
        <w:t xml:space="preserve"> </w:t>
      </w:r>
      <w:r>
        <w:rPr>
          <w:i/>
          <w:color w:val="231F20"/>
          <w:sz w:val="17"/>
        </w:rPr>
        <w:t>Psychology</w:t>
      </w:r>
      <w:r>
        <w:rPr>
          <w:i/>
          <w:color w:val="231F20"/>
          <w:spacing w:val="8"/>
          <w:sz w:val="17"/>
        </w:rPr>
        <w:t xml:space="preserve"> </w:t>
      </w:r>
      <w:r>
        <w:rPr>
          <w:color w:val="231F20"/>
          <w:sz w:val="17"/>
        </w:rPr>
        <w:t>13</w:t>
      </w:r>
      <w:r>
        <w:rPr>
          <w:color w:val="231F20"/>
          <w:spacing w:val="9"/>
          <w:sz w:val="17"/>
        </w:rPr>
        <w:t xml:space="preserve"> </w:t>
      </w:r>
      <w:r>
        <w:rPr>
          <w:color w:val="231F20"/>
          <w:sz w:val="17"/>
        </w:rPr>
        <w:t>(2),</w:t>
      </w:r>
      <w:r>
        <w:rPr>
          <w:color w:val="231F20"/>
          <w:spacing w:val="8"/>
          <w:sz w:val="17"/>
        </w:rPr>
        <w:t xml:space="preserve"> </w:t>
      </w:r>
      <w:r>
        <w:rPr>
          <w:color w:val="231F20"/>
          <w:spacing w:val="-2"/>
          <w:sz w:val="17"/>
        </w:rPr>
        <w:t>207–238.</w:t>
      </w:r>
    </w:p>
    <w:p w14:paraId="28A3DE98" w14:textId="77777777" w:rsidR="00AE0598" w:rsidRDefault="0069255A">
      <w:pPr>
        <w:spacing w:before="1"/>
        <w:ind w:left="430" w:right="128" w:hanging="320"/>
        <w:jc w:val="both"/>
        <w:rPr>
          <w:sz w:val="17"/>
        </w:rPr>
      </w:pPr>
      <w:r>
        <w:rPr>
          <w:color w:val="231F20"/>
          <w:sz w:val="17"/>
        </w:rPr>
        <w:t>Woolley-Fisher, P. and Chambers, E.J. (1990) The Edmonton Eskimos: An economic</w:t>
      </w:r>
      <w:r>
        <w:rPr>
          <w:color w:val="231F20"/>
          <w:spacing w:val="40"/>
          <w:sz w:val="17"/>
        </w:rPr>
        <w:t xml:space="preserve"> </w:t>
      </w:r>
      <w:r>
        <w:rPr>
          <w:color w:val="231F20"/>
          <w:w w:val="95"/>
          <w:sz w:val="17"/>
        </w:rPr>
        <w:t>impact study (unpublished report). Western Centre for Economic Research, Edmonton,</w:t>
      </w:r>
      <w:r>
        <w:rPr>
          <w:color w:val="231F20"/>
          <w:spacing w:val="40"/>
          <w:sz w:val="17"/>
        </w:rPr>
        <w:t xml:space="preserve"> </w:t>
      </w:r>
      <w:r>
        <w:rPr>
          <w:color w:val="231F20"/>
          <w:spacing w:val="-2"/>
          <w:sz w:val="17"/>
        </w:rPr>
        <w:t>Canada.</w:t>
      </w:r>
    </w:p>
    <w:p w14:paraId="319F36CD" w14:textId="77777777" w:rsidR="00AE0598" w:rsidRDefault="0069255A">
      <w:pPr>
        <w:spacing w:before="2"/>
        <w:ind w:left="430" w:right="128" w:hanging="320"/>
        <w:jc w:val="both"/>
        <w:rPr>
          <w:sz w:val="17"/>
        </w:rPr>
      </w:pPr>
      <w:r>
        <w:rPr>
          <w:color w:val="231F20"/>
          <w:sz w:val="17"/>
        </w:rPr>
        <w:t xml:space="preserve">World Commission on Environment and Development (WCED) (1987) </w:t>
      </w:r>
      <w:r>
        <w:rPr>
          <w:i/>
          <w:color w:val="231F20"/>
          <w:sz w:val="17"/>
        </w:rPr>
        <w:t>Our Common</w:t>
      </w:r>
      <w:r>
        <w:rPr>
          <w:i/>
          <w:color w:val="231F20"/>
          <w:spacing w:val="40"/>
          <w:sz w:val="17"/>
        </w:rPr>
        <w:t xml:space="preserve"> </w:t>
      </w:r>
      <w:r>
        <w:rPr>
          <w:i/>
          <w:color w:val="231F20"/>
          <w:sz w:val="17"/>
        </w:rPr>
        <w:t>Future (The Bruntland Report)</w:t>
      </w:r>
      <w:r>
        <w:rPr>
          <w:color w:val="231F20"/>
          <w:sz w:val="17"/>
        </w:rPr>
        <w:t>. London: Oxford University Press.</w:t>
      </w:r>
    </w:p>
    <w:p w14:paraId="4406182F" w14:textId="77777777" w:rsidR="00AE0598" w:rsidRDefault="0069255A">
      <w:pPr>
        <w:spacing w:before="1"/>
        <w:ind w:left="430" w:right="127" w:hanging="320"/>
        <w:jc w:val="both"/>
        <w:rPr>
          <w:sz w:val="17"/>
        </w:rPr>
      </w:pPr>
      <w:r>
        <w:rPr>
          <w:color w:val="231F20"/>
          <w:sz w:val="17"/>
        </w:rPr>
        <w:t xml:space="preserve">World Tourism Organisation (1981) </w:t>
      </w:r>
      <w:r>
        <w:rPr>
          <w:i/>
          <w:color w:val="231F20"/>
          <w:sz w:val="17"/>
        </w:rPr>
        <w:t>Technical Handbook on the Collection and</w:t>
      </w:r>
      <w:r>
        <w:rPr>
          <w:i/>
          <w:color w:val="231F20"/>
          <w:spacing w:val="40"/>
          <w:sz w:val="17"/>
        </w:rPr>
        <w:t xml:space="preserve"> </w:t>
      </w:r>
      <w:r>
        <w:rPr>
          <w:i/>
          <w:color w:val="231F20"/>
          <w:sz w:val="17"/>
        </w:rPr>
        <w:t>Presentation of Domestic and International T</w:t>
      </w:r>
      <w:r>
        <w:rPr>
          <w:i/>
          <w:color w:val="231F20"/>
          <w:sz w:val="17"/>
        </w:rPr>
        <w:t>ourism Statistics</w:t>
      </w:r>
      <w:r>
        <w:rPr>
          <w:color w:val="231F20"/>
          <w:sz w:val="17"/>
        </w:rPr>
        <w:t>. Madrid: World</w:t>
      </w:r>
      <w:r>
        <w:rPr>
          <w:color w:val="231F20"/>
          <w:spacing w:val="40"/>
          <w:sz w:val="17"/>
        </w:rPr>
        <w:t xml:space="preserve"> </w:t>
      </w:r>
      <w:r>
        <w:rPr>
          <w:color w:val="231F20"/>
          <w:sz w:val="17"/>
        </w:rPr>
        <w:t>Tourism Organization.</w:t>
      </w:r>
    </w:p>
    <w:p w14:paraId="38DAA861" w14:textId="77777777" w:rsidR="00AE0598" w:rsidRDefault="00AE0598">
      <w:pPr>
        <w:jc w:val="both"/>
        <w:rPr>
          <w:sz w:val="17"/>
        </w:rPr>
        <w:sectPr w:rsidR="00AE0598">
          <w:pgSz w:w="8850" w:h="13270"/>
          <w:pgMar w:top="720" w:right="1060" w:bottom="280" w:left="1080" w:header="720" w:footer="720" w:gutter="0"/>
          <w:cols w:space="720"/>
        </w:sectPr>
      </w:pPr>
    </w:p>
    <w:p w14:paraId="377A5AE5" w14:textId="77777777" w:rsidR="00AE0598" w:rsidRDefault="0069255A">
      <w:pPr>
        <w:spacing w:before="87"/>
        <w:ind w:left="108"/>
        <w:rPr>
          <w:rFonts w:ascii="Trebuchet MS"/>
          <w:sz w:val="14"/>
        </w:rPr>
      </w:pPr>
      <w:r>
        <w:rPr>
          <w:rFonts w:ascii="Trebuchet MS"/>
          <w:color w:val="231F20"/>
          <w:w w:val="105"/>
          <w:sz w:val="14"/>
        </w:rPr>
        <w:lastRenderedPageBreak/>
        <w:t>280</w:t>
      </w:r>
      <w:r>
        <w:rPr>
          <w:rFonts w:ascii="Trebuchet MS"/>
          <w:color w:val="231F20"/>
          <w:spacing w:val="78"/>
          <w:w w:val="150"/>
          <w:sz w:val="14"/>
        </w:rPr>
        <w:t xml:space="preserve"> </w:t>
      </w:r>
      <w:r>
        <w:rPr>
          <w:rFonts w:ascii="Trebuchet MS"/>
          <w:color w:val="231F20"/>
          <w:spacing w:val="-2"/>
          <w:w w:val="105"/>
          <w:sz w:val="14"/>
        </w:rPr>
        <w:t>References</w:t>
      </w:r>
    </w:p>
    <w:p w14:paraId="6BFDCBDF" w14:textId="77777777" w:rsidR="00AE0598" w:rsidRDefault="00AE0598">
      <w:pPr>
        <w:pStyle w:val="Corpodetexto"/>
        <w:rPr>
          <w:rFonts w:ascii="Trebuchet MS"/>
          <w:sz w:val="16"/>
        </w:rPr>
      </w:pPr>
    </w:p>
    <w:p w14:paraId="02830B33" w14:textId="77777777" w:rsidR="00AE0598" w:rsidRDefault="0069255A">
      <w:pPr>
        <w:spacing w:before="121"/>
        <w:ind w:left="430" w:right="128" w:hanging="320"/>
        <w:jc w:val="both"/>
        <w:rPr>
          <w:sz w:val="17"/>
        </w:rPr>
      </w:pPr>
      <w:r>
        <w:rPr>
          <w:color w:val="231F20"/>
          <w:sz w:val="17"/>
        </w:rPr>
        <w:t xml:space="preserve">World Tourism Organisation (1994) </w:t>
      </w:r>
      <w:r>
        <w:rPr>
          <w:i/>
          <w:color w:val="231F20"/>
          <w:sz w:val="17"/>
        </w:rPr>
        <w:t>National and Regional Tourism Planning:</w:t>
      </w:r>
      <w:r>
        <w:rPr>
          <w:i/>
          <w:color w:val="231F20"/>
          <w:spacing w:val="40"/>
          <w:sz w:val="17"/>
        </w:rPr>
        <w:t xml:space="preserve"> </w:t>
      </w:r>
      <w:r>
        <w:rPr>
          <w:i/>
          <w:color w:val="231F20"/>
          <w:sz w:val="17"/>
        </w:rPr>
        <w:t>Methodologies and Case Studies</w:t>
      </w:r>
      <w:r>
        <w:rPr>
          <w:color w:val="231F20"/>
          <w:sz w:val="17"/>
        </w:rPr>
        <w:t>. London: Routledge.</w:t>
      </w:r>
    </w:p>
    <w:p w14:paraId="78514744" w14:textId="77777777" w:rsidR="00AE0598" w:rsidRDefault="0069255A">
      <w:pPr>
        <w:spacing w:before="1"/>
        <w:ind w:left="430" w:right="129" w:hanging="320"/>
        <w:jc w:val="both"/>
        <w:rPr>
          <w:sz w:val="17"/>
        </w:rPr>
      </w:pPr>
      <w:r>
        <w:rPr>
          <w:color w:val="231F20"/>
          <w:sz w:val="17"/>
        </w:rPr>
        <w:t>World</w:t>
      </w:r>
      <w:r>
        <w:rPr>
          <w:color w:val="231F20"/>
          <w:spacing w:val="-2"/>
          <w:sz w:val="17"/>
        </w:rPr>
        <w:t xml:space="preserve"> </w:t>
      </w:r>
      <w:r>
        <w:rPr>
          <w:color w:val="231F20"/>
          <w:sz w:val="17"/>
        </w:rPr>
        <w:t>Tourism</w:t>
      </w:r>
      <w:r>
        <w:rPr>
          <w:color w:val="231F20"/>
          <w:spacing w:val="-2"/>
          <w:sz w:val="17"/>
        </w:rPr>
        <w:t xml:space="preserve"> </w:t>
      </w:r>
      <w:r>
        <w:rPr>
          <w:color w:val="231F20"/>
          <w:sz w:val="17"/>
        </w:rPr>
        <w:t>Organisation</w:t>
      </w:r>
      <w:r>
        <w:rPr>
          <w:color w:val="231F20"/>
          <w:spacing w:val="-2"/>
          <w:sz w:val="17"/>
        </w:rPr>
        <w:t xml:space="preserve"> </w:t>
      </w:r>
      <w:r>
        <w:rPr>
          <w:color w:val="231F20"/>
          <w:sz w:val="17"/>
        </w:rPr>
        <w:t>(2001)</w:t>
      </w:r>
      <w:r>
        <w:rPr>
          <w:color w:val="231F20"/>
          <w:spacing w:val="-2"/>
          <w:sz w:val="17"/>
        </w:rPr>
        <w:t xml:space="preserve"> </w:t>
      </w:r>
      <w:r>
        <w:rPr>
          <w:i/>
          <w:color w:val="231F20"/>
          <w:sz w:val="17"/>
        </w:rPr>
        <w:t>Tourism</w:t>
      </w:r>
      <w:r>
        <w:rPr>
          <w:i/>
          <w:color w:val="231F20"/>
          <w:spacing w:val="-2"/>
          <w:sz w:val="17"/>
        </w:rPr>
        <w:t xml:space="preserve"> </w:t>
      </w:r>
      <w:r>
        <w:rPr>
          <w:i/>
          <w:color w:val="231F20"/>
          <w:sz w:val="17"/>
        </w:rPr>
        <w:t>after</w:t>
      </w:r>
      <w:r>
        <w:rPr>
          <w:i/>
          <w:color w:val="231F20"/>
          <w:spacing w:val="-2"/>
          <w:sz w:val="17"/>
        </w:rPr>
        <w:t xml:space="preserve"> </w:t>
      </w:r>
      <w:r>
        <w:rPr>
          <w:i/>
          <w:color w:val="231F20"/>
          <w:sz w:val="17"/>
        </w:rPr>
        <w:t>11</w:t>
      </w:r>
      <w:r>
        <w:rPr>
          <w:i/>
          <w:color w:val="231F20"/>
          <w:spacing w:val="-2"/>
          <w:sz w:val="17"/>
        </w:rPr>
        <w:t xml:space="preserve"> </w:t>
      </w:r>
      <w:r>
        <w:rPr>
          <w:i/>
          <w:color w:val="231F20"/>
          <w:sz w:val="17"/>
        </w:rPr>
        <w:t>September</w:t>
      </w:r>
      <w:r>
        <w:rPr>
          <w:i/>
          <w:color w:val="231F20"/>
          <w:spacing w:val="-2"/>
          <w:sz w:val="17"/>
        </w:rPr>
        <w:t xml:space="preserve"> </w:t>
      </w:r>
      <w:r>
        <w:rPr>
          <w:i/>
          <w:color w:val="231F20"/>
          <w:sz w:val="17"/>
        </w:rPr>
        <w:t>2001:</w:t>
      </w:r>
      <w:r>
        <w:rPr>
          <w:i/>
          <w:color w:val="231F20"/>
          <w:spacing w:val="-2"/>
          <w:sz w:val="17"/>
        </w:rPr>
        <w:t xml:space="preserve"> </w:t>
      </w:r>
      <w:r>
        <w:rPr>
          <w:i/>
          <w:color w:val="231F20"/>
          <w:sz w:val="17"/>
        </w:rPr>
        <w:t>Analysis,</w:t>
      </w:r>
      <w:r>
        <w:rPr>
          <w:i/>
          <w:color w:val="231F20"/>
          <w:spacing w:val="-2"/>
          <w:sz w:val="17"/>
        </w:rPr>
        <w:t xml:space="preserve"> </w:t>
      </w:r>
      <w:r>
        <w:rPr>
          <w:i/>
          <w:color w:val="231F20"/>
          <w:sz w:val="17"/>
        </w:rPr>
        <w:t>Remedial</w:t>
      </w:r>
      <w:r>
        <w:rPr>
          <w:i/>
          <w:color w:val="231F20"/>
          <w:spacing w:val="40"/>
          <w:sz w:val="17"/>
        </w:rPr>
        <w:t xml:space="preserve"> </w:t>
      </w:r>
      <w:r>
        <w:rPr>
          <w:i/>
          <w:color w:val="231F20"/>
          <w:sz w:val="17"/>
        </w:rPr>
        <w:t xml:space="preserve">Actions and Prospects </w:t>
      </w:r>
      <w:r>
        <w:rPr>
          <w:color w:val="231F20"/>
          <w:sz w:val="17"/>
        </w:rPr>
        <w:t>(Special Report, Number 18, Market Intelligence Section).</w:t>
      </w:r>
      <w:r>
        <w:rPr>
          <w:color w:val="231F20"/>
          <w:spacing w:val="40"/>
          <w:sz w:val="17"/>
        </w:rPr>
        <w:t xml:space="preserve"> </w:t>
      </w:r>
      <w:r>
        <w:rPr>
          <w:color w:val="231F20"/>
          <w:sz w:val="17"/>
        </w:rPr>
        <w:t>Madrid: World Tourism Organisation.</w:t>
      </w:r>
    </w:p>
    <w:p w14:paraId="6127EE32" w14:textId="77777777" w:rsidR="00AE0598" w:rsidRDefault="0069255A">
      <w:pPr>
        <w:spacing w:before="2"/>
        <w:ind w:left="430" w:right="127" w:hanging="320"/>
        <w:jc w:val="both"/>
        <w:rPr>
          <w:sz w:val="17"/>
        </w:rPr>
      </w:pPr>
      <w:r>
        <w:rPr>
          <w:color w:val="231F20"/>
          <w:sz w:val="17"/>
        </w:rPr>
        <w:t xml:space="preserve">World Tourism Organisation (2002) </w:t>
      </w:r>
      <w:r>
        <w:rPr>
          <w:i/>
          <w:color w:val="231F20"/>
          <w:sz w:val="17"/>
        </w:rPr>
        <w:t>Tourism Recovery Already Underway</w:t>
      </w:r>
      <w:r>
        <w:rPr>
          <w:color w:val="231F20"/>
          <w:sz w:val="17"/>
        </w:rPr>
        <w:t>. Madrid: World</w:t>
      </w:r>
      <w:r>
        <w:rPr>
          <w:color w:val="231F20"/>
          <w:spacing w:val="40"/>
          <w:sz w:val="17"/>
        </w:rPr>
        <w:t xml:space="preserve"> </w:t>
      </w:r>
      <w:r>
        <w:rPr>
          <w:color w:val="231F20"/>
          <w:sz w:val="17"/>
        </w:rPr>
        <w:t>Tourism Organisation.</w:t>
      </w:r>
    </w:p>
    <w:p w14:paraId="53E9D3B2" w14:textId="77777777" w:rsidR="00AE0598" w:rsidRDefault="0069255A">
      <w:pPr>
        <w:spacing w:before="2"/>
        <w:ind w:left="430" w:right="128" w:hanging="320"/>
        <w:jc w:val="both"/>
        <w:rPr>
          <w:sz w:val="17"/>
        </w:rPr>
      </w:pPr>
      <w:r>
        <w:rPr>
          <w:color w:val="231F20"/>
          <w:w w:val="95"/>
          <w:sz w:val="17"/>
        </w:rPr>
        <w:t>World Tourism Organisation (2016) UNWTO tourism highlights, 2016 edition. See http://</w:t>
      </w:r>
      <w:r>
        <w:rPr>
          <w:color w:val="231F20"/>
          <w:spacing w:val="40"/>
          <w:sz w:val="17"/>
        </w:rPr>
        <w:t xml:space="preserve"> </w:t>
      </w:r>
      <w:hyperlink r:id="rId67">
        <w:r>
          <w:rPr>
            <w:color w:val="231F20"/>
            <w:w w:val="95"/>
            <w:sz w:val="17"/>
          </w:rPr>
          <w:t>www.e-</w:t>
        </w:r>
        <w:r>
          <w:rPr>
            <w:color w:val="231F20"/>
            <w:spacing w:val="2"/>
            <w:w w:val="102"/>
            <w:sz w:val="17"/>
          </w:rPr>
          <w:t>u</w:t>
        </w:r>
        <w:r>
          <w:rPr>
            <w:color w:val="231F20"/>
            <w:spacing w:val="-4"/>
            <w:w w:val="101"/>
            <w:sz w:val="17"/>
          </w:rPr>
          <w:t>n</w:t>
        </w:r>
        <w:r>
          <w:rPr>
            <w:color w:val="231F20"/>
            <w:spacing w:val="2"/>
            <w:w w:val="102"/>
            <w:sz w:val="17"/>
          </w:rPr>
          <w:t>w</w:t>
        </w:r>
        <w:r>
          <w:rPr>
            <w:color w:val="231F20"/>
            <w:spacing w:val="-3"/>
            <w:w w:val="106"/>
            <w:sz w:val="17"/>
          </w:rPr>
          <w:t>to.o</w:t>
        </w:r>
        <w:r>
          <w:rPr>
            <w:color w:val="231F20"/>
            <w:spacing w:val="-1"/>
            <w:w w:val="106"/>
            <w:sz w:val="17"/>
          </w:rPr>
          <w:t>r</w:t>
        </w:r>
        <w:r>
          <w:rPr>
            <w:color w:val="231F20"/>
            <w:spacing w:val="8"/>
            <w:w w:val="102"/>
            <w:sz w:val="17"/>
          </w:rPr>
          <w:t>g</w:t>
        </w:r>
        <w:r>
          <w:rPr>
            <w:color w:val="231F20"/>
            <w:spacing w:val="-7"/>
            <w:w w:val="63"/>
            <w:sz w:val="17"/>
          </w:rPr>
          <w:t>/</w:t>
        </w:r>
        <w:r>
          <w:rPr>
            <w:color w:val="231F20"/>
            <w:spacing w:val="-2"/>
            <w:w w:val="101"/>
            <w:sz w:val="17"/>
          </w:rPr>
          <w:t>d</w:t>
        </w:r>
        <w:r>
          <w:rPr>
            <w:color w:val="231F20"/>
            <w:spacing w:val="-3"/>
            <w:w w:val="105"/>
            <w:sz w:val="17"/>
          </w:rPr>
          <w:t>o</w:t>
        </w:r>
        <w:r>
          <w:rPr>
            <w:color w:val="231F20"/>
            <w:spacing w:val="5"/>
            <w:w w:val="105"/>
            <w:sz w:val="17"/>
          </w:rPr>
          <w:t>i</w:t>
        </w:r>
        <w:r>
          <w:rPr>
            <w:color w:val="231F20"/>
            <w:spacing w:val="-3"/>
            <w:w w:val="63"/>
            <w:sz w:val="17"/>
          </w:rPr>
          <w:t>/</w:t>
        </w:r>
        <w:r>
          <w:rPr>
            <w:color w:val="231F20"/>
            <w:w w:val="101"/>
            <w:sz w:val="17"/>
          </w:rPr>
          <w:t>p</w:t>
        </w:r>
        <w:r>
          <w:rPr>
            <w:color w:val="231F20"/>
            <w:spacing w:val="2"/>
            <w:w w:val="101"/>
            <w:sz w:val="17"/>
          </w:rPr>
          <w:t>d</w:t>
        </w:r>
        <w:r>
          <w:rPr>
            <w:color w:val="231F20"/>
            <w:spacing w:val="4"/>
            <w:w w:val="112"/>
            <w:sz w:val="17"/>
          </w:rPr>
          <w:t>f</w:t>
        </w:r>
        <w:r>
          <w:rPr>
            <w:color w:val="231F20"/>
            <w:spacing w:val="-1"/>
            <w:w w:val="63"/>
            <w:sz w:val="17"/>
          </w:rPr>
          <w:t>/</w:t>
        </w:r>
        <w:r>
          <w:rPr>
            <w:color w:val="231F20"/>
            <w:spacing w:val="-2"/>
            <w:w w:val="92"/>
            <w:sz w:val="17"/>
          </w:rPr>
          <w:t>1</w:t>
        </w:r>
        <w:r>
          <w:rPr>
            <w:color w:val="231F20"/>
            <w:spacing w:val="1"/>
            <w:w w:val="92"/>
            <w:sz w:val="17"/>
          </w:rPr>
          <w:t>0</w:t>
        </w:r>
        <w:r>
          <w:rPr>
            <w:color w:val="231F20"/>
            <w:spacing w:val="-5"/>
            <w:w w:val="138"/>
            <w:sz w:val="17"/>
          </w:rPr>
          <w:t>.</w:t>
        </w:r>
        <w:r>
          <w:rPr>
            <w:color w:val="231F20"/>
            <w:spacing w:val="-4"/>
            <w:w w:val="92"/>
            <w:sz w:val="17"/>
          </w:rPr>
          <w:t>1</w:t>
        </w:r>
        <w:r>
          <w:rPr>
            <w:color w:val="231F20"/>
            <w:spacing w:val="-1"/>
            <w:w w:val="92"/>
            <w:sz w:val="17"/>
          </w:rPr>
          <w:t>8</w:t>
        </w:r>
        <w:r>
          <w:rPr>
            <w:color w:val="231F20"/>
            <w:spacing w:val="-4"/>
            <w:w w:val="92"/>
            <w:sz w:val="17"/>
          </w:rPr>
          <w:t>11</w:t>
        </w:r>
        <w:r>
          <w:rPr>
            <w:color w:val="231F20"/>
            <w:spacing w:val="4"/>
            <w:w w:val="92"/>
            <w:sz w:val="17"/>
          </w:rPr>
          <w:t>1</w:t>
        </w:r>
        <w:r>
          <w:rPr>
            <w:color w:val="231F20"/>
            <w:w w:val="63"/>
            <w:sz w:val="17"/>
          </w:rPr>
          <w:t>/</w:t>
        </w:r>
        <w:r>
          <w:rPr>
            <w:color w:val="231F20"/>
            <w:spacing w:val="5"/>
            <w:w w:val="92"/>
            <w:sz w:val="17"/>
          </w:rPr>
          <w:t>9</w:t>
        </w:r>
        <w:r>
          <w:rPr>
            <w:color w:val="231F20"/>
            <w:spacing w:val="-1"/>
            <w:w w:val="92"/>
            <w:sz w:val="17"/>
          </w:rPr>
          <w:t>7</w:t>
        </w:r>
        <w:r>
          <w:rPr>
            <w:color w:val="231F20"/>
            <w:spacing w:val="1"/>
            <w:w w:val="92"/>
            <w:sz w:val="17"/>
          </w:rPr>
          <w:t>8</w:t>
        </w:r>
        <w:r>
          <w:rPr>
            <w:color w:val="231F20"/>
            <w:spacing w:val="3"/>
            <w:w w:val="92"/>
            <w:sz w:val="17"/>
          </w:rPr>
          <w:t>9</w:t>
        </w:r>
        <w:r>
          <w:rPr>
            <w:color w:val="231F20"/>
            <w:spacing w:val="4"/>
            <w:w w:val="92"/>
            <w:sz w:val="17"/>
          </w:rPr>
          <w:t>28</w:t>
        </w:r>
        <w:r>
          <w:rPr>
            <w:color w:val="231F20"/>
            <w:spacing w:val="7"/>
            <w:w w:val="92"/>
            <w:sz w:val="17"/>
          </w:rPr>
          <w:t>4</w:t>
        </w:r>
        <w:r>
          <w:rPr>
            <w:color w:val="231F20"/>
            <w:spacing w:val="-4"/>
            <w:w w:val="92"/>
            <w:sz w:val="17"/>
          </w:rPr>
          <w:t>41</w:t>
        </w:r>
        <w:r>
          <w:rPr>
            <w:color w:val="231F20"/>
            <w:spacing w:val="-1"/>
            <w:w w:val="92"/>
            <w:sz w:val="17"/>
          </w:rPr>
          <w:t>8</w:t>
        </w:r>
        <w:r>
          <w:rPr>
            <w:color w:val="231F20"/>
            <w:spacing w:val="-6"/>
            <w:w w:val="92"/>
            <w:sz w:val="17"/>
          </w:rPr>
          <w:t>1</w:t>
        </w:r>
        <w:r>
          <w:rPr>
            <w:color w:val="231F20"/>
            <w:spacing w:val="-1"/>
            <w:w w:val="92"/>
            <w:sz w:val="17"/>
          </w:rPr>
          <w:t>4</w:t>
        </w:r>
        <w:r>
          <w:rPr>
            <w:color w:val="231F20"/>
            <w:spacing w:val="-2"/>
            <w:w w:val="92"/>
            <w:sz w:val="17"/>
          </w:rPr>
          <w:t>5</w:t>
        </w:r>
        <w:r>
          <w:rPr>
            <w:color w:val="231F20"/>
            <w:spacing w:val="-1"/>
            <w:w w:val="94"/>
            <w:sz w:val="17"/>
          </w:rPr>
          <w:t xml:space="preserve"> </w:t>
        </w:r>
      </w:hyperlink>
      <w:r>
        <w:rPr>
          <w:color w:val="231F20"/>
          <w:w w:val="95"/>
          <w:sz w:val="17"/>
        </w:rPr>
        <w:t>(accessed 25 January 2017).</w:t>
      </w:r>
    </w:p>
    <w:p w14:paraId="4C6B4435" w14:textId="77777777" w:rsidR="00AE0598" w:rsidRDefault="0069255A">
      <w:pPr>
        <w:spacing w:before="1"/>
        <w:ind w:left="430" w:right="128" w:hanging="320"/>
        <w:jc w:val="both"/>
        <w:rPr>
          <w:sz w:val="17"/>
        </w:rPr>
      </w:pPr>
      <w:r>
        <w:rPr>
          <w:color w:val="231F20"/>
          <w:sz w:val="17"/>
        </w:rPr>
        <w:t>World Tourism Organisation and International Olympic Committee (2001) Sport and</w:t>
      </w:r>
      <w:r>
        <w:rPr>
          <w:color w:val="231F20"/>
          <w:spacing w:val="40"/>
          <w:sz w:val="17"/>
        </w:rPr>
        <w:t xml:space="preserve"> </w:t>
      </w:r>
      <w:r>
        <w:rPr>
          <w:color w:val="231F20"/>
          <w:sz w:val="17"/>
        </w:rPr>
        <w:t>Tourism: Sport Activities During the Outbound Holidays of the Germans, the Dutch</w:t>
      </w:r>
      <w:r>
        <w:rPr>
          <w:color w:val="231F20"/>
          <w:spacing w:val="40"/>
          <w:sz w:val="17"/>
        </w:rPr>
        <w:t xml:space="preserve"> </w:t>
      </w:r>
      <w:r>
        <w:rPr>
          <w:color w:val="231F20"/>
          <w:w w:val="95"/>
          <w:sz w:val="17"/>
        </w:rPr>
        <w:t>and the French. Report published by the World Tourism Organisation and International</w:t>
      </w:r>
      <w:r>
        <w:rPr>
          <w:color w:val="231F20"/>
          <w:spacing w:val="40"/>
          <w:sz w:val="17"/>
        </w:rPr>
        <w:t xml:space="preserve"> </w:t>
      </w:r>
      <w:r>
        <w:rPr>
          <w:color w:val="231F20"/>
          <w:sz w:val="17"/>
        </w:rPr>
        <w:t>Olympic Committee, Madrid.</w:t>
      </w:r>
    </w:p>
    <w:p w14:paraId="4A247859" w14:textId="77777777" w:rsidR="00AE0598" w:rsidRDefault="0069255A">
      <w:pPr>
        <w:spacing w:before="3"/>
        <w:ind w:left="430" w:right="128" w:hanging="320"/>
        <w:jc w:val="both"/>
        <w:rPr>
          <w:sz w:val="17"/>
        </w:rPr>
      </w:pPr>
      <w:r>
        <w:rPr>
          <w:color w:val="231F20"/>
          <w:w w:val="105"/>
          <w:sz w:val="17"/>
        </w:rPr>
        <w:t>Wright, J. and Clarke, G. (1999) Sport, the media and the construction of compulsory</w:t>
      </w:r>
      <w:r>
        <w:rPr>
          <w:color w:val="231F20"/>
          <w:spacing w:val="40"/>
          <w:w w:val="105"/>
          <w:sz w:val="17"/>
        </w:rPr>
        <w:t xml:space="preserve"> </w:t>
      </w:r>
      <w:r>
        <w:rPr>
          <w:color w:val="231F20"/>
          <w:sz w:val="17"/>
        </w:rPr>
        <w:t xml:space="preserve">heterosexuality: A case study of women’s rugby union. </w:t>
      </w:r>
      <w:r>
        <w:rPr>
          <w:i/>
          <w:color w:val="231F20"/>
          <w:sz w:val="17"/>
        </w:rPr>
        <w:t>Inter</w:t>
      </w:r>
      <w:r>
        <w:rPr>
          <w:i/>
          <w:color w:val="231F20"/>
          <w:sz w:val="17"/>
        </w:rPr>
        <w:t>national Review for the</w:t>
      </w:r>
      <w:r>
        <w:rPr>
          <w:i/>
          <w:color w:val="231F20"/>
          <w:spacing w:val="40"/>
          <w:w w:val="105"/>
          <w:sz w:val="17"/>
        </w:rPr>
        <w:t xml:space="preserve"> </w:t>
      </w:r>
      <w:r>
        <w:rPr>
          <w:i/>
          <w:color w:val="231F20"/>
          <w:w w:val="105"/>
          <w:sz w:val="17"/>
        </w:rPr>
        <w:t>Sociology</w:t>
      </w:r>
      <w:r>
        <w:rPr>
          <w:i/>
          <w:color w:val="231F20"/>
          <w:spacing w:val="-1"/>
          <w:w w:val="105"/>
          <w:sz w:val="17"/>
        </w:rPr>
        <w:t xml:space="preserve"> </w:t>
      </w:r>
      <w:r>
        <w:rPr>
          <w:i/>
          <w:color w:val="231F20"/>
          <w:w w:val="105"/>
          <w:sz w:val="17"/>
        </w:rPr>
        <w:t>of</w:t>
      </w:r>
      <w:r>
        <w:rPr>
          <w:i/>
          <w:color w:val="231F20"/>
          <w:spacing w:val="-1"/>
          <w:w w:val="105"/>
          <w:sz w:val="17"/>
        </w:rPr>
        <w:t xml:space="preserve"> </w:t>
      </w:r>
      <w:r>
        <w:rPr>
          <w:i/>
          <w:color w:val="231F20"/>
          <w:w w:val="105"/>
          <w:sz w:val="17"/>
        </w:rPr>
        <w:t>Sport</w:t>
      </w:r>
      <w:r>
        <w:rPr>
          <w:i/>
          <w:color w:val="231F20"/>
          <w:spacing w:val="-1"/>
          <w:w w:val="105"/>
          <w:sz w:val="17"/>
        </w:rPr>
        <w:t xml:space="preserve"> </w:t>
      </w:r>
      <w:r>
        <w:rPr>
          <w:color w:val="231F20"/>
          <w:w w:val="105"/>
          <w:sz w:val="17"/>
        </w:rPr>
        <w:t>34</w:t>
      </w:r>
      <w:r>
        <w:rPr>
          <w:color w:val="231F20"/>
          <w:spacing w:val="-1"/>
          <w:w w:val="105"/>
          <w:sz w:val="17"/>
        </w:rPr>
        <w:t xml:space="preserve"> </w:t>
      </w:r>
      <w:r>
        <w:rPr>
          <w:color w:val="231F20"/>
          <w:w w:val="105"/>
          <w:sz w:val="17"/>
        </w:rPr>
        <w:t>(3),</w:t>
      </w:r>
      <w:r>
        <w:rPr>
          <w:color w:val="231F20"/>
          <w:spacing w:val="-1"/>
          <w:w w:val="105"/>
          <w:sz w:val="17"/>
        </w:rPr>
        <w:t xml:space="preserve"> </w:t>
      </w:r>
      <w:r>
        <w:rPr>
          <w:color w:val="231F20"/>
          <w:w w:val="105"/>
          <w:sz w:val="17"/>
        </w:rPr>
        <w:t>227–243.</w:t>
      </w:r>
    </w:p>
    <w:p w14:paraId="7429D907" w14:textId="77777777" w:rsidR="00AE0598" w:rsidRDefault="0069255A">
      <w:pPr>
        <w:spacing w:before="2"/>
        <w:ind w:left="430" w:right="127" w:hanging="320"/>
        <w:jc w:val="both"/>
        <w:rPr>
          <w:sz w:val="17"/>
        </w:rPr>
      </w:pPr>
      <w:r>
        <w:rPr>
          <w:color w:val="231F20"/>
          <w:sz w:val="17"/>
        </w:rPr>
        <w:t>Wynveen,</w:t>
      </w:r>
      <w:r>
        <w:rPr>
          <w:color w:val="231F20"/>
          <w:spacing w:val="-2"/>
          <w:sz w:val="17"/>
        </w:rPr>
        <w:t xml:space="preserve"> </w:t>
      </w:r>
      <w:r>
        <w:rPr>
          <w:color w:val="231F20"/>
          <w:w w:val="110"/>
          <w:sz w:val="17"/>
        </w:rPr>
        <w:t>C.J.,</w:t>
      </w:r>
      <w:r>
        <w:rPr>
          <w:color w:val="231F20"/>
          <w:spacing w:val="-6"/>
          <w:w w:val="110"/>
          <w:sz w:val="17"/>
        </w:rPr>
        <w:t xml:space="preserve"> </w:t>
      </w:r>
      <w:r>
        <w:rPr>
          <w:color w:val="231F20"/>
          <w:sz w:val="17"/>
        </w:rPr>
        <w:t>Kyle,</w:t>
      </w:r>
      <w:r>
        <w:rPr>
          <w:color w:val="231F20"/>
          <w:spacing w:val="-2"/>
          <w:sz w:val="17"/>
        </w:rPr>
        <w:t xml:space="preserve"> </w:t>
      </w:r>
      <w:r>
        <w:rPr>
          <w:color w:val="231F20"/>
          <w:w w:val="110"/>
          <w:sz w:val="17"/>
        </w:rPr>
        <w:t>G.T.</w:t>
      </w:r>
      <w:r>
        <w:rPr>
          <w:color w:val="231F20"/>
          <w:spacing w:val="-6"/>
          <w:w w:val="110"/>
          <w:sz w:val="17"/>
        </w:rPr>
        <w:t xml:space="preserve"> </w:t>
      </w:r>
      <w:r>
        <w:rPr>
          <w:color w:val="231F20"/>
          <w:sz w:val="17"/>
        </w:rPr>
        <w:t>and</w:t>
      </w:r>
      <w:r>
        <w:rPr>
          <w:color w:val="231F20"/>
          <w:spacing w:val="-2"/>
          <w:sz w:val="17"/>
        </w:rPr>
        <w:t xml:space="preserve"> </w:t>
      </w:r>
      <w:r>
        <w:rPr>
          <w:color w:val="231F20"/>
          <w:sz w:val="17"/>
        </w:rPr>
        <w:t>Sutton,</w:t>
      </w:r>
      <w:r>
        <w:rPr>
          <w:color w:val="231F20"/>
          <w:spacing w:val="-2"/>
          <w:sz w:val="17"/>
        </w:rPr>
        <w:t xml:space="preserve"> </w:t>
      </w:r>
      <w:r>
        <w:rPr>
          <w:color w:val="231F20"/>
          <w:w w:val="110"/>
          <w:sz w:val="17"/>
        </w:rPr>
        <w:t>S.G.</w:t>
      </w:r>
      <w:r>
        <w:rPr>
          <w:color w:val="231F20"/>
          <w:spacing w:val="-6"/>
          <w:w w:val="110"/>
          <w:sz w:val="17"/>
        </w:rPr>
        <w:t xml:space="preserve"> </w:t>
      </w:r>
      <w:r>
        <w:rPr>
          <w:color w:val="231F20"/>
          <w:sz w:val="17"/>
        </w:rPr>
        <w:t>(2012)</w:t>
      </w:r>
      <w:r>
        <w:rPr>
          <w:color w:val="231F20"/>
          <w:spacing w:val="-2"/>
          <w:sz w:val="17"/>
        </w:rPr>
        <w:t xml:space="preserve"> </w:t>
      </w:r>
      <w:r>
        <w:rPr>
          <w:color w:val="231F20"/>
          <w:sz w:val="17"/>
        </w:rPr>
        <w:t>Natural</w:t>
      </w:r>
      <w:r>
        <w:rPr>
          <w:color w:val="231F20"/>
          <w:spacing w:val="-2"/>
          <w:sz w:val="17"/>
        </w:rPr>
        <w:t xml:space="preserve"> </w:t>
      </w:r>
      <w:r>
        <w:rPr>
          <w:color w:val="231F20"/>
          <w:sz w:val="17"/>
        </w:rPr>
        <w:t>area</w:t>
      </w:r>
      <w:r>
        <w:rPr>
          <w:color w:val="231F20"/>
          <w:spacing w:val="-2"/>
          <w:sz w:val="17"/>
        </w:rPr>
        <w:t xml:space="preserve"> </w:t>
      </w:r>
      <w:r>
        <w:rPr>
          <w:color w:val="231F20"/>
          <w:sz w:val="17"/>
        </w:rPr>
        <w:t>visitors’</w:t>
      </w:r>
      <w:r>
        <w:rPr>
          <w:color w:val="231F20"/>
          <w:spacing w:val="-2"/>
          <w:sz w:val="17"/>
        </w:rPr>
        <w:t xml:space="preserve"> </w:t>
      </w:r>
      <w:r>
        <w:rPr>
          <w:color w:val="231F20"/>
          <w:sz w:val="17"/>
        </w:rPr>
        <w:t>place</w:t>
      </w:r>
      <w:r>
        <w:rPr>
          <w:color w:val="231F20"/>
          <w:spacing w:val="-2"/>
          <w:sz w:val="17"/>
        </w:rPr>
        <w:t xml:space="preserve"> </w:t>
      </w:r>
      <w:r>
        <w:rPr>
          <w:color w:val="231F20"/>
          <w:sz w:val="17"/>
        </w:rPr>
        <w:t>meaning</w:t>
      </w:r>
      <w:r>
        <w:rPr>
          <w:color w:val="231F20"/>
          <w:spacing w:val="-2"/>
          <w:sz w:val="17"/>
        </w:rPr>
        <w:t xml:space="preserve"> </w:t>
      </w:r>
      <w:r>
        <w:rPr>
          <w:color w:val="231F20"/>
          <w:sz w:val="17"/>
        </w:rPr>
        <w:t>and</w:t>
      </w:r>
      <w:r>
        <w:rPr>
          <w:color w:val="231F20"/>
          <w:spacing w:val="40"/>
          <w:sz w:val="17"/>
        </w:rPr>
        <w:t xml:space="preserve"> </w:t>
      </w:r>
      <w:r>
        <w:rPr>
          <w:color w:val="231F20"/>
          <w:sz w:val="17"/>
        </w:rPr>
        <w:t xml:space="preserve">place attachment ascribed to a marine setting. </w:t>
      </w:r>
      <w:r>
        <w:rPr>
          <w:i/>
          <w:color w:val="231F20"/>
          <w:sz w:val="17"/>
        </w:rPr>
        <w:t>Journal of Environmental Psychology</w:t>
      </w:r>
      <w:r>
        <w:rPr>
          <w:i/>
          <w:color w:val="231F20"/>
          <w:spacing w:val="40"/>
          <w:sz w:val="17"/>
        </w:rPr>
        <w:t xml:space="preserve"> </w:t>
      </w:r>
      <w:r>
        <w:rPr>
          <w:color w:val="231F20"/>
          <w:sz w:val="17"/>
        </w:rPr>
        <w:t>32 (4), 287–296.</w:t>
      </w:r>
    </w:p>
    <w:p w14:paraId="0477D490" w14:textId="77777777" w:rsidR="00AE0598" w:rsidRDefault="0069255A">
      <w:pPr>
        <w:spacing w:before="2"/>
        <w:ind w:left="110"/>
        <w:jc w:val="both"/>
        <w:rPr>
          <w:sz w:val="17"/>
        </w:rPr>
      </w:pPr>
      <w:r>
        <w:rPr>
          <w:color w:val="231F20"/>
          <w:sz w:val="17"/>
        </w:rPr>
        <w:t>Xiang,</w:t>
      </w:r>
      <w:r>
        <w:rPr>
          <w:color w:val="231F20"/>
          <w:spacing w:val="7"/>
          <w:sz w:val="17"/>
        </w:rPr>
        <w:t xml:space="preserve"> </w:t>
      </w:r>
      <w:r>
        <w:rPr>
          <w:color w:val="231F20"/>
          <w:sz w:val="17"/>
        </w:rPr>
        <w:t>Z.</w:t>
      </w:r>
      <w:r>
        <w:rPr>
          <w:color w:val="231F20"/>
          <w:spacing w:val="8"/>
          <w:sz w:val="17"/>
        </w:rPr>
        <w:t xml:space="preserve"> </w:t>
      </w:r>
      <w:r>
        <w:rPr>
          <w:color w:val="231F20"/>
          <w:sz w:val="17"/>
        </w:rPr>
        <w:t>and</w:t>
      </w:r>
      <w:r>
        <w:rPr>
          <w:color w:val="231F20"/>
          <w:spacing w:val="7"/>
          <w:sz w:val="17"/>
        </w:rPr>
        <w:t xml:space="preserve"> </w:t>
      </w:r>
      <w:r>
        <w:rPr>
          <w:color w:val="231F20"/>
          <w:sz w:val="17"/>
        </w:rPr>
        <w:t>Gretzel,</w:t>
      </w:r>
      <w:r>
        <w:rPr>
          <w:color w:val="231F20"/>
          <w:spacing w:val="8"/>
          <w:sz w:val="17"/>
        </w:rPr>
        <w:t xml:space="preserve"> </w:t>
      </w:r>
      <w:r>
        <w:rPr>
          <w:color w:val="231F20"/>
          <w:sz w:val="17"/>
        </w:rPr>
        <w:t>U.</w:t>
      </w:r>
      <w:r>
        <w:rPr>
          <w:color w:val="231F20"/>
          <w:spacing w:val="7"/>
          <w:sz w:val="17"/>
        </w:rPr>
        <w:t xml:space="preserve"> </w:t>
      </w:r>
      <w:r>
        <w:rPr>
          <w:color w:val="231F20"/>
          <w:sz w:val="17"/>
        </w:rPr>
        <w:t>(2010)</w:t>
      </w:r>
      <w:r>
        <w:rPr>
          <w:color w:val="231F20"/>
          <w:spacing w:val="8"/>
          <w:sz w:val="17"/>
        </w:rPr>
        <w:t xml:space="preserve"> </w:t>
      </w:r>
      <w:r>
        <w:rPr>
          <w:color w:val="231F20"/>
          <w:sz w:val="17"/>
        </w:rPr>
        <w:t>Role</w:t>
      </w:r>
      <w:r>
        <w:rPr>
          <w:color w:val="231F20"/>
          <w:spacing w:val="7"/>
          <w:sz w:val="17"/>
        </w:rPr>
        <w:t xml:space="preserve"> </w:t>
      </w:r>
      <w:r>
        <w:rPr>
          <w:color w:val="231F20"/>
          <w:sz w:val="17"/>
        </w:rPr>
        <w:t>of</w:t>
      </w:r>
      <w:r>
        <w:rPr>
          <w:color w:val="231F20"/>
          <w:spacing w:val="8"/>
          <w:sz w:val="17"/>
        </w:rPr>
        <w:t xml:space="preserve"> </w:t>
      </w:r>
      <w:r>
        <w:rPr>
          <w:color w:val="231F20"/>
          <w:sz w:val="17"/>
        </w:rPr>
        <w:t>social</w:t>
      </w:r>
      <w:r>
        <w:rPr>
          <w:color w:val="231F20"/>
          <w:spacing w:val="7"/>
          <w:sz w:val="17"/>
        </w:rPr>
        <w:t xml:space="preserve"> </w:t>
      </w:r>
      <w:r>
        <w:rPr>
          <w:color w:val="231F20"/>
          <w:sz w:val="17"/>
        </w:rPr>
        <w:t>media</w:t>
      </w:r>
      <w:r>
        <w:rPr>
          <w:color w:val="231F20"/>
          <w:spacing w:val="8"/>
          <w:sz w:val="17"/>
        </w:rPr>
        <w:t xml:space="preserve"> </w:t>
      </w:r>
      <w:r>
        <w:rPr>
          <w:color w:val="231F20"/>
          <w:sz w:val="17"/>
        </w:rPr>
        <w:t>in</w:t>
      </w:r>
      <w:r>
        <w:rPr>
          <w:color w:val="231F20"/>
          <w:spacing w:val="7"/>
          <w:sz w:val="17"/>
        </w:rPr>
        <w:t xml:space="preserve"> </w:t>
      </w:r>
      <w:r>
        <w:rPr>
          <w:color w:val="231F20"/>
          <w:sz w:val="17"/>
        </w:rPr>
        <w:t>online</w:t>
      </w:r>
      <w:r>
        <w:rPr>
          <w:color w:val="231F20"/>
          <w:spacing w:val="8"/>
          <w:sz w:val="17"/>
        </w:rPr>
        <w:t xml:space="preserve"> </w:t>
      </w:r>
      <w:r>
        <w:rPr>
          <w:color w:val="231F20"/>
          <w:sz w:val="17"/>
        </w:rPr>
        <w:t>travel</w:t>
      </w:r>
      <w:r>
        <w:rPr>
          <w:color w:val="231F20"/>
          <w:spacing w:val="7"/>
          <w:sz w:val="17"/>
        </w:rPr>
        <w:t xml:space="preserve"> </w:t>
      </w:r>
      <w:r>
        <w:rPr>
          <w:color w:val="231F20"/>
          <w:sz w:val="17"/>
        </w:rPr>
        <w:t>information</w:t>
      </w:r>
      <w:r>
        <w:rPr>
          <w:color w:val="231F20"/>
          <w:spacing w:val="8"/>
          <w:sz w:val="17"/>
        </w:rPr>
        <w:t xml:space="preserve"> </w:t>
      </w:r>
      <w:r>
        <w:rPr>
          <w:color w:val="231F20"/>
          <w:spacing w:val="-2"/>
          <w:sz w:val="17"/>
        </w:rPr>
        <w:t>search.</w:t>
      </w:r>
    </w:p>
    <w:p w14:paraId="042244E6" w14:textId="77777777" w:rsidR="00AE0598" w:rsidRDefault="0069255A">
      <w:pPr>
        <w:spacing w:before="1"/>
        <w:ind w:left="430"/>
        <w:jc w:val="both"/>
        <w:rPr>
          <w:sz w:val="17"/>
        </w:rPr>
      </w:pPr>
      <w:r>
        <w:rPr>
          <w:i/>
          <w:color w:val="231F20"/>
          <w:sz w:val="17"/>
        </w:rPr>
        <w:t>Tourism</w:t>
      </w:r>
      <w:r>
        <w:rPr>
          <w:i/>
          <w:color w:val="231F20"/>
          <w:spacing w:val="-2"/>
          <w:sz w:val="17"/>
        </w:rPr>
        <w:t xml:space="preserve"> </w:t>
      </w:r>
      <w:r>
        <w:rPr>
          <w:i/>
          <w:color w:val="231F20"/>
          <w:sz w:val="17"/>
        </w:rPr>
        <w:t>Management</w:t>
      </w:r>
      <w:r>
        <w:rPr>
          <w:i/>
          <w:color w:val="231F20"/>
          <w:spacing w:val="-2"/>
          <w:sz w:val="17"/>
        </w:rPr>
        <w:t xml:space="preserve"> </w:t>
      </w:r>
      <w:r>
        <w:rPr>
          <w:color w:val="231F20"/>
          <w:sz w:val="17"/>
        </w:rPr>
        <w:t>31</w:t>
      </w:r>
      <w:r>
        <w:rPr>
          <w:color w:val="231F20"/>
          <w:spacing w:val="-2"/>
          <w:sz w:val="17"/>
        </w:rPr>
        <w:t xml:space="preserve"> </w:t>
      </w:r>
      <w:r>
        <w:rPr>
          <w:color w:val="231F20"/>
          <w:sz w:val="17"/>
        </w:rPr>
        <w:t>(2),</w:t>
      </w:r>
      <w:r>
        <w:rPr>
          <w:color w:val="231F20"/>
          <w:spacing w:val="-2"/>
          <w:sz w:val="17"/>
        </w:rPr>
        <w:t xml:space="preserve"> 179–188.</w:t>
      </w:r>
    </w:p>
    <w:p w14:paraId="31B9E1F4" w14:textId="77777777" w:rsidR="00AE0598" w:rsidRDefault="0069255A">
      <w:pPr>
        <w:spacing w:before="1"/>
        <w:ind w:left="430" w:right="129" w:hanging="320"/>
        <w:jc w:val="both"/>
        <w:rPr>
          <w:sz w:val="17"/>
        </w:rPr>
      </w:pPr>
      <w:r>
        <w:rPr>
          <w:color w:val="231F20"/>
          <w:sz w:val="17"/>
        </w:rPr>
        <w:t>Yamaguchi, S., Akiyoshi, R., Yamaguchi, Y. and Nogawa, H. (2015) Assessing t</w:t>
      </w:r>
      <w:r>
        <w:rPr>
          <w:color w:val="231F20"/>
          <w:sz w:val="17"/>
        </w:rPr>
        <w:t>he effects of</w:t>
      </w:r>
      <w:r>
        <w:rPr>
          <w:color w:val="231F20"/>
          <w:spacing w:val="40"/>
          <w:sz w:val="17"/>
        </w:rPr>
        <w:t xml:space="preserve"> </w:t>
      </w:r>
      <w:r>
        <w:rPr>
          <w:color w:val="231F20"/>
          <w:w w:val="95"/>
          <w:sz w:val="17"/>
        </w:rPr>
        <w:t>service quality, past experience, and destination image on behavioral intentions in the</w:t>
      </w:r>
      <w:r>
        <w:rPr>
          <w:color w:val="231F20"/>
          <w:spacing w:val="40"/>
          <w:sz w:val="17"/>
        </w:rPr>
        <w:t xml:space="preserve"> </w:t>
      </w:r>
      <w:r>
        <w:rPr>
          <w:color w:val="231F20"/>
          <w:sz w:val="17"/>
        </w:rPr>
        <w:t xml:space="preserve">spring training camp of a Japanese professional baseball team. </w:t>
      </w:r>
      <w:r>
        <w:rPr>
          <w:i/>
          <w:color w:val="231F20"/>
          <w:sz w:val="17"/>
        </w:rPr>
        <w:t>Journal of Convention</w:t>
      </w:r>
      <w:r>
        <w:rPr>
          <w:i/>
          <w:color w:val="231F20"/>
          <w:w w:val="110"/>
          <w:sz w:val="17"/>
        </w:rPr>
        <w:t xml:space="preserve"> &amp; </w:t>
      </w:r>
      <w:r>
        <w:rPr>
          <w:i/>
          <w:color w:val="231F20"/>
          <w:w w:val="105"/>
          <w:sz w:val="17"/>
        </w:rPr>
        <w:t xml:space="preserve">Event Tourism </w:t>
      </w:r>
      <w:r>
        <w:rPr>
          <w:color w:val="231F20"/>
          <w:w w:val="105"/>
          <w:sz w:val="17"/>
        </w:rPr>
        <w:t>16 (3), 228–252.</w:t>
      </w:r>
    </w:p>
    <w:p w14:paraId="431E2289" w14:textId="77777777" w:rsidR="00AE0598" w:rsidRDefault="0069255A">
      <w:pPr>
        <w:spacing w:before="2"/>
        <w:ind w:left="430" w:right="128" w:hanging="320"/>
        <w:jc w:val="both"/>
        <w:rPr>
          <w:sz w:val="17"/>
        </w:rPr>
      </w:pPr>
      <w:r>
        <w:rPr>
          <w:color w:val="231F20"/>
          <w:sz w:val="17"/>
        </w:rPr>
        <w:t xml:space="preserve">Yang, L. and Wall, G. (2009) Ethnic tourism: A framework and an application. </w:t>
      </w:r>
      <w:r>
        <w:rPr>
          <w:i/>
          <w:color w:val="231F20"/>
          <w:sz w:val="17"/>
        </w:rPr>
        <w:t>Tourism</w:t>
      </w:r>
      <w:r>
        <w:rPr>
          <w:i/>
          <w:color w:val="231F20"/>
          <w:spacing w:val="40"/>
          <w:sz w:val="17"/>
        </w:rPr>
        <w:t xml:space="preserve"> </w:t>
      </w:r>
      <w:r>
        <w:rPr>
          <w:i/>
          <w:color w:val="231F20"/>
          <w:sz w:val="17"/>
        </w:rPr>
        <w:t xml:space="preserve">Management </w:t>
      </w:r>
      <w:r>
        <w:rPr>
          <w:color w:val="231F20"/>
          <w:sz w:val="17"/>
        </w:rPr>
        <w:t>30, 559–570.</w:t>
      </w:r>
    </w:p>
    <w:p w14:paraId="761FB3E3" w14:textId="77777777" w:rsidR="00AE0598" w:rsidRDefault="0069255A">
      <w:pPr>
        <w:spacing w:before="2"/>
        <w:ind w:left="430" w:right="128" w:hanging="320"/>
        <w:jc w:val="both"/>
        <w:rPr>
          <w:sz w:val="17"/>
        </w:rPr>
      </w:pPr>
      <w:r>
        <w:rPr>
          <w:color w:val="231F20"/>
          <w:sz w:val="17"/>
        </w:rPr>
        <w:t>Yeoman, I., Brass, D. and McMahon-Beattie, U. (2007) Current issue in tourism: The</w:t>
      </w:r>
      <w:r>
        <w:rPr>
          <w:color w:val="231F20"/>
          <w:spacing w:val="40"/>
          <w:sz w:val="17"/>
        </w:rPr>
        <w:t xml:space="preserve"> </w:t>
      </w:r>
      <w:r>
        <w:rPr>
          <w:color w:val="231F20"/>
          <w:sz w:val="17"/>
        </w:rPr>
        <w:t xml:space="preserve">authentic tourist. </w:t>
      </w:r>
      <w:r>
        <w:rPr>
          <w:i/>
          <w:color w:val="231F20"/>
          <w:sz w:val="17"/>
        </w:rPr>
        <w:t xml:space="preserve">Tourism Management </w:t>
      </w:r>
      <w:r>
        <w:rPr>
          <w:color w:val="231F20"/>
          <w:sz w:val="17"/>
        </w:rPr>
        <w:t>28, 1128–1138.</w:t>
      </w:r>
    </w:p>
    <w:p w14:paraId="39450EAA" w14:textId="77777777" w:rsidR="00AE0598" w:rsidRDefault="0069255A">
      <w:pPr>
        <w:spacing w:before="1"/>
        <w:ind w:left="110" w:right="128"/>
        <w:jc w:val="both"/>
        <w:rPr>
          <w:i/>
          <w:sz w:val="17"/>
        </w:rPr>
      </w:pPr>
      <w:r>
        <w:rPr>
          <w:color w:val="231F20"/>
          <w:sz w:val="17"/>
        </w:rPr>
        <w:t xml:space="preserve">Yiannakis, </w:t>
      </w:r>
      <w:r>
        <w:rPr>
          <w:color w:val="231F20"/>
          <w:sz w:val="17"/>
        </w:rPr>
        <w:t xml:space="preserve">A. (1975) A theory of sport stratification. </w:t>
      </w:r>
      <w:r>
        <w:rPr>
          <w:i/>
          <w:color w:val="231F20"/>
          <w:sz w:val="17"/>
        </w:rPr>
        <w:t xml:space="preserve">Sport Sociology Bulletin </w:t>
      </w:r>
      <w:r>
        <w:rPr>
          <w:color w:val="231F20"/>
          <w:sz w:val="17"/>
        </w:rPr>
        <w:t>4, 22–32.</w:t>
      </w:r>
      <w:r>
        <w:rPr>
          <w:color w:val="231F20"/>
          <w:spacing w:val="40"/>
          <w:sz w:val="17"/>
        </w:rPr>
        <w:t xml:space="preserve"> </w:t>
      </w:r>
      <w:r>
        <w:rPr>
          <w:color w:val="231F20"/>
          <w:sz w:val="17"/>
        </w:rPr>
        <w:t>Yiannakis,</w:t>
      </w:r>
      <w:r>
        <w:rPr>
          <w:color w:val="231F20"/>
          <w:spacing w:val="39"/>
          <w:sz w:val="17"/>
        </w:rPr>
        <w:t xml:space="preserve"> </w:t>
      </w:r>
      <w:r>
        <w:rPr>
          <w:color w:val="231F20"/>
          <w:sz w:val="17"/>
        </w:rPr>
        <w:t>A.</w:t>
      </w:r>
      <w:r>
        <w:rPr>
          <w:color w:val="231F20"/>
          <w:spacing w:val="39"/>
          <w:sz w:val="17"/>
        </w:rPr>
        <w:t xml:space="preserve"> </w:t>
      </w:r>
      <w:r>
        <w:rPr>
          <w:color w:val="231F20"/>
          <w:sz w:val="17"/>
        </w:rPr>
        <w:t>and</w:t>
      </w:r>
      <w:r>
        <w:rPr>
          <w:color w:val="231F20"/>
          <w:spacing w:val="39"/>
          <w:sz w:val="17"/>
        </w:rPr>
        <w:t xml:space="preserve"> </w:t>
      </w:r>
      <w:r>
        <w:rPr>
          <w:color w:val="231F20"/>
          <w:sz w:val="17"/>
        </w:rPr>
        <w:t>Gibson,</w:t>
      </w:r>
      <w:r>
        <w:rPr>
          <w:color w:val="231F20"/>
          <w:spacing w:val="39"/>
          <w:sz w:val="17"/>
        </w:rPr>
        <w:t xml:space="preserve"> </w:t>
      </w:r>
      <w:r>
        <w:rPr>
          <w:color w:val="231F20"/>
          <w:sz w:val="17"/>
        </w:rPr>
        <w:t>H.</w:t>
      </w:r>
      <w:r>
        <w:rPr>
          <w:color w:val="231F20"/>
          <w:spacing w:val="39"/>
          <w:sz w:val="17"/>
        </w:rPr>
        <w:t xml:space="preserve"> </w:t>
      </w:r>
      <w:r>
        <w:rPr>
          <w:color w:val="231F20"/>
          <w:sz w:val="17"/>
        </w:rPr>
        <w:t>(1992)</w:t>
      </w:r>
      <w:r>
        <w:rPr>
          <w:color w:val="231F20"/>
          <w:spacing w:val="39"/>
          <w:sz w:val="17"/>
        </w:rPr>
        <w:t xml:space="preserve"> </w:t>
      </w:r>
      <w:r>
        <w:rPr>
          <w:color w:val="231F20"/>
          <w:sz w:val="17"/>
        </w:rPr>
        <w:t>Roles</w:t>
      </w:r>
      <w:r>
        <w:rPr>
          <w:color w:val="231F20"/>
          <w:spacing w:val="39"/>
          <w:sz w:val="17"/>
        </w:rPr>
        <w:t xml:space="preserve"> </w:t>
      </w:r>
      <w:r>
        <w:rPr>
          <w:color w:val="231F20"/>
          <w:sz w:val="17"/>
        </w:rPr>
        <w:t>tourists</w:t>
      </w:r>
      <w:r>
        <w:rPr>
          <w:color w:val="231F20"/>
          <w:spacing w:val="39"/>
          <w:sz w:val="17"/>
        </w:rPr>
        <w:t xml:space="preserve"> </w:t>
      </w:r>
      <w:r>
        <w:rPr>
          <w:color w:val="231F20"/>
          <w:sz w:val="17"/>
        </w:rPr>
        <w:t>play.</w:t>
      </w:r>
      <w:r>
        <w:rPr>
          <w:color w:val="231F20"/>
          <w:spacing w:val="39"/>
          <w:sz w:val="17"/>
        </w:rPr>
        <w:t xml:space="preserve"> </w:t>
      </w:r>
      <w:r>
        <w:rPr>
          <w:i/>
          <w:color w:val="231F20"/>
          <w:sz w:val="17"/>
        </w:rPr>
        <w:t>Annals</w:t>
      </w:r>
      <w:r>
        <w:rPr>
          <w:i/>
          <w:color w:val="231F20"/>
          <w:spacing w:val="39"/>
          <w:sz w:val="17"/>
        </w:rPr>
        <w:t xml:space="preserve"> </w:t>
      </w:r>
      <w:r>
        <w:rPr>
          <w:i/>
          <w:color w:val="231F20"/>
          <w:sz w:val="17"/>
        </w:rPr>
        <w:t>of</w:t>
      </w:r>
      <w:r>
        <w:rPr>
          <w:i/>
          <w:color w:val="231F20"/>
          <w:spacing w:val="39"/>
          <w:sz w:val="17"/>
        </w:rPr>
        <w:t xml:space="preserve"> </w:t>
      </w:r>
      <w:r>
        <w:rPr>
          <w:i/>
          <w:color w:val="231F20"/>
          <w:sz w:val="17"/>
        </w:rPr>
        <w:t>Tourism</w:t>
      </w:r>
      <w:r>
        <w:rPr>
          <w:i/>
          <w:color w:val="231F20"/>
          <w:spacing w:val="39"/>
          <w:sz w:val="17"/>
        </w:rPr>
        <w:t xml:space="preserve"> </w:t>
      </w:r>
      <w:r>
        <w:rPr>
          <w:i/>
          <w:color w:val="231F20"/>
          <w:sz w:val="17"/>
        </w:rPr>
        <w:t>Research</w:t>
      </w:r>
    </w:p>
    <w:p w14:paraId="29506BB2" w14:textId="77777777" w:rsidR="00AE0598" w:rsidRDefault="0069255A">
      <w:pPr>
        <w:spacing w:before="2"/>
        <w:ind w:left="430"/>
        <w:jc w:val="both"/>
        <w:rPr>
          <w:sz w:val="17"/>
        </w:rPr>
      </w:pPr>
      <w:r>
        <w:rPr>
          <w:color w:val="231F20"/>
          <w:w w:val="90"/>
          <w:sz w:val="17"/>
        </w:rPr>
        <w:t>19</w:t>
      </w:r>
      <w:r>
        <w:rPr>
          <w:color w:val="231F20"/>
          <w:spacing w:val="1"/>
          <w:sz w:val="17"/>
        </w:rPr>
        <w:t xml:space="preserve"> </w:t>
      </w:r>
      <w:r>
        <w:rPr>
          <w:color w:val="231F20"/>
          <w:w w:val="90"/>
          <w:sz w:val="17"/>
        </w:rPr>
        <w:t>(2),</w:t>
      </w:r>
      <w:r>
        <w:rPr>
          <w:color w:val="231F20"/>
          <w:spacing w:val="2"/>
          <w:sz w:val="17"/>
        </w:rPr>
        <w:t xml:space="preserve"> </w:t>
      </w:r>
      <w:r>
        <w:rPr>
          <w:color w:val="231F20"/>
          <w:spacing w:val="-2"/>
          <w:w w:val="90"/>
          <w:sz w:val="17"/>
        </w:rPr>
        <w:t>287–303.</w:t>
      </w:r>
    </w:p>
    <w:p w14:paraId="0D4060A3" w14:textId="77777777" w:rsidR="00AE0598" w:rsidRDefault="0069255A">
      <w:pPr>
        <w:ind w:left="110"/>
        <w:jc w:val="both"/>
        <w:rPr>
          <w:sz w:val="17"/>
        </w:rPr>
      </w:pPr>
      <w:r>
        <w:rPr>
          <w:color w:val="231F20"/>
          <w:w w:val="95"/>
          <w:sz w:val="17"/>
        </w:rPr>
        <w:t>Young,</w:t>
      </w:r>
      <w:r>
        <w:rPr>
          <w:color w:val="231F20"/>
          <w:spacing w:val="9"/>
          <w:sz w:val="17"/>
        </w:rPr>
        <w:t xml:space="preserve"> </w:t>
      </w:r>
      <w:r>
        <w:rPr>
          <w:color w:val="231F20"/>
          <w:w w:val="95"/>
          <w:sz w:val="17"/>
        </w:rPr>
        <w:t>K.</w:t>
      </w:r>
      <w:r>
        <w:rPr>
          <w:color w:val="231F20"/>
          <w:spacing w:val="9"/>
          <w:sz w:val="17"/>
        </w:rPr>
        <w:t xml:space="preserve"> </w:t>
      </w:r>
      <w:r>
        <w:rPr>
          <w:color w:val="231F20"/>
          <w:w w:val="95"/>
          <w:sz w:val="17"/>
        </w:rPr>
        <w:t>and</w:t>
      </w:r>
      <w:r>
        <w:rPr>
          <w:color w:val="231F20"/>
          <w:spacing w:val="10"/>
          <w:sz w:val="17"/>
        </w:rPr>
        <w:t xml:space="preserve"> </w:t>
      </w:r>
      <w:r>
        <w:rPr>
          <w:color w:val="231F20"/>
          <w:w w:val="95"/>
          <w:sz w:val="17"/>
        </w:rPr>
        <w:t>Smith,</w:t>
      </w:r>
      <w:r>
        <w:rPr>
          <w:color w:val="231F20"/>
          <w:spacing w:val="9"/>
          <w:sz w:val="17"/>
        </w:rPr>
        <w:t xml:space="preserve"> </w:t>
      </w:r>
      <w:r>
        <w:rPr>
          <w:color w:val="231F20"/>
          <w:w w:val="95"/>
          <w:sz w:val="17"/>
        </w:rPr>
        <w:t>M.D.</w:t>
      </w:r>
      <w:r>
        <w:rPr>
          <w:color w:val="231F20"/>
          <w:spacing w:val="10"/>
          <w:sz w:val="17"/>
        </w:rPr>
        <w:t xml:space="preserve"> </w:t>
      </w:r>
      <w:r>
        <w:rPr>
          <w:color w:val="231F20"/>
          <w:w w:val="95"/>
          <w:sz w:val="17"/>
        </w:rPr>
        <w:t>(1988)</w:t>
      </w:r>
      <w:r>
        <w:rPr>
          <w:color w:val="231F20"/>
          <w:spacing w:val="9"/>
          <w:sz w:val="17"/>
        </w:rPr>
        <w:t xml:space="preserve"> </w:t>
      </w:r>
      <w:r>
        <w:rPr>
          <w:color w:val="231F20"/>
          <w:w w:val="95"/>
          <w:sz w:val="17"/>
        </w:rPr>
        <w:t>Mass</w:t>
      </w:r>
      <w:r>
        <w:rPr>
          <w:color w:val="231F20"/>
          <w:spacing w:val="10"/>
          <w:sz w:val="17"/>
        </w:rPr>
        <w:t xml:space="preserve"> </w:t>
      </w:r>
      <w:r>
        <w:rPr>
          <w:color w:val="231F20"/>
          <w:w w:val="95"/>
          <w:sz w:val="17"/>
        </w:rPr>
        <w:t>media</w:t>
      </w:r>
      <w:r>
        <w:rPr>
          <w:color w:val="231F20"/>
          <w:spacing w:val="9"/>
          <w:sz w:val="17"/>
        </w:rPr>
        <w:t xml:space="preserve"> </w:t>
      </w:r>
      <w:r>
        <w:rPr>
          <w:color w:val="231F20"/>
          <w:w w:val="95"/>
          <w:sz w:val="17"/>
        </w:rPr>
        <w:t>treatment</w:t>
      </w:r>
      <w:r>
        <w:rPr>
          <w:color w:val="231F20"/>
          <w:spacing w:val="10"/>
          <w:sz w:val="17"/>
        </w:rPr>
        <w:t xml:space="preserve"> </w:t>
      </w:r>
      <w:r>
        <w:rPr>
          <w:color w:val="231F20"/>
          <w:w w:val="95"/>
          <w:sz w:val="17"/>
        </w:rPr>
        <w:t>of</w:t>
      </w:r>
      <w:r>
        <w:rPr>
          <w:color w:val="231F20"/>
          <w:spacing w:val="9"/>
          <w:sz w:val="17"/>
        </w:rPr>
        <w:t xml:space="preserve"> </w:t>
      </w:r>
      <w:r>
        <w:rPr>
          <w:color w:val="231F20"/>
          <w:w w:val="95"/>
          <w:sz w:val="17"/>
        </w:rPr>
        <w:t>violence</w:t>
      </w:r>
      <w:r>
        <w:rPr>
          <w:color w:val="231F20"/>
          <w:spacing w:val="9"/>
          <w:sz w:val="17"/>
        </w:rPr>
        <w:t xml:space="preserve"> </w:t>
      </w:r>
      <w:r>
        <w:rPr>
          <w:color w:val="231F20"/>
          <w:w w:val="95"/>
          <w:sz w:val="17"/>
        </w:rPr>
        <w:t>in</w:t>
      </w:r>
      <w:r>
        <w:rPr>
          <w:color w:val="231F20"/>
          <w:spacing w:val="10"/>
          <w:sz w:val="17"/>
        </w:rPr>
        <w:t xml:space="preserve"> </w:t>
      </w:r>
      <w:r>
        <w:rPr>
          <w:color w:val="231F20"/>
          <w:w w:val="95"/>
          <w:sz w:val="17"/>
        </w:rPr>
        <w:t>sport</w:t>
      </w:r>
      <w:r>
        <w:rPr>
          <w:color w:val="231F20"/>
          <w:spacing w:val="9"/>
          <w:sz w:val="17"/>
        </w:rPr>
        <w:t xml:space="preserve"> </w:t>
      </w:r>
      <w:r>
        <w:rPr>
          <w:color w:val="231F20"/>
          <w:w w:val="95"/>
          <w:sz w:val="17"/>
        </w:rPr>
        <w:t>and</w:t>
      </w:r>
      <w:r>
        <w:rPr>
          <w:color w:val="231F20"/>
          <w:spacing w:val="10"/>
          <w:sz w:val="17"/>
        </w:rPr>
        <w:t xml:space="preserve"> </w:t>
      </w:r>
      <w:r>
        <w:rPr>
          <w:color w:val="231F20"/>
          <w:w w:val="95"/>
          <w:sz w:val="17"/>
        </w:rPr>
        <w:t>its</w:t>
      </w:r>
      <w:r>
        <w:rPr>
          <w:color w:val="231F20"/>
          <w:spacing w:val="9"/>
          <w:sz w:val="17"/>
        </w:rPr>
        <w:t xml:space="preserve"> </w:t>
      </w:r>
      <w:r>
        <w:rPr>
          <w:color w:val="231F20"/>
          <w:spacing w:val="-2"/>
          <w:w w:val="95"/>
          <w:sz w:val="17"/>
        </w:rPr>
        <w:t>effects.</w:t>
      </w:r>
    </w:p>
    <w:p w14:paraId="79C7FFF0" w14:textId="77777777" w:rsidR="00AE0598" w:rsidRDefault="0069255A">
      <w:pPr>
        <w:spacing w:before="1"/>
        <w:ind w:left="430"/>
        <w:jc w:val="both"/>
        <w:rPr>
          <w:sz w:val="17"/>
        </w:rPr>
      </w:pPr>
      <w:r>
        <w:rPr>
          <w:i/>
          <w:color w:val="231F20"/>
          <w:sz w:val="17"/>
        </w:rPr>
        <w:t>Current</w:t>
      </w:r>
      <w:r>
        <w:rPr>
          <w:i/>
          <w:color w:val="231F20"/>
          <w:spacing w:val="11"/>
          <w:sz w:val="17"/>
        </w:rPr>
        <w:t xml:space="preserve"> </w:t>
      </w:r>
      <w:r>
        <w:rPr>
          <w:i/>
          <w:color w:val="231F20"/>
          <w:sz w:val="17"/>
        </w:rPr>
        <w:t>Psychology:</w:t>
      </w:r>
      <w:r>
        <w:rPr>
          <w:i/>
          <w:color w:val="231F20"/>
          <w:spacing w:val="11"/>
          <w:sz w:val="17"/>
        </w:rPr>
        <w:t xml:space="preserve"> </w:t>
      </w:r>
      <w:r>
        <w:rPr>
          <w:i/>
          <w:color w:val="231F20"/>
          <w:sz w:val="17"/>
        </w:rPr>
        <w:t>Research</w:t>
      </w:r>
      <w:r>
        <w:rPr>
          <w:i/>
          <w:color w:val="231F20"/>
          <w:spacing w:val="7"/>
          <w:w w:val="110"/>
          <w:sz w:val="17"/>
        </w:rPr>
        <w:t xml:space="preserve"> </w:t>
      </w:r>
      <w:r>
        <w:rPr>
          <w:i/>
          <w:color w:val="231F20"/>
          <w:w w:val="110"/>
          <w:sz w:val="17"/>
        </w:rPr>
        <w:t>&amp;</w:t>
      </w:r>
      <w:r>
        <w:rPr>
          <w:i/>
          <w:color w:val="231F20"/>
          <w:spacing w:val="7"/>
          <w:w w:val="110"/>
          <w:sz w:val="17"/>
        </w:rPr>
        <w:t xml:space="preserve"> </w:t>
      </w:r>
      <w:r>
        <w:rPr>
          <w:i/>
          <w:color w:val="231F20"/>
          <w:sz w:val="17"/>
        </w:rPr>
        <w:t>Reviews</w:t>
      </w:r>
      <w:r>
        <w:rPr>
          <w:i/>
          <w:color w:val="231F20"/>
          <w:spacing w:val="12"/>
          <w:sz w:val="17"/>
        </w:rPr>
        <w:t xml:space="preserve"> </w:t>
      </w:r>
      <w:r>
        <w:rPr>
          <w:color w:val="231F20"/>
          <w:sz w:val="17"/>
        </w:rPr>
        <w:t>7</w:t>
      </w:r>
      <w:r>
        <w:rPr>
          <w:color w:val="231F20"/>
          <w:spacing w:val="11"/>
          <w:sz w:val="17"/>
        </w:rPr>
        <w:t xml:space="preserve"> </w:t>
      </w:r>
      <w:r>
        <w:rPr>
          <w:color w:val="231F20"/>
          <w:sz w:val="17"/>
        </w:rPr>
        <w:t>(4),</w:t>
      </w:r>
      <w:r>
        <w:rPr>
          <w:color w:val="231F20"/>
          <w:spacing w:val="11"/>
          <w:sz w:val="17"/>
        </w:rPr>
        <w:t xml:space="preserve"> </w:t>
      </w:r>
      <w:r>
        <w:rPr>
          <w:color w:val="231F20"/>
          <w:spacing w:val="-2"/>
          <w:sz w:val="17"/>
        </w:rPr>
        <w:t>298–311.</w:t>
      </w:r>
    </w:p>
    <w:p w14:paraId="08B29945" w14:textId="77777777" w:rsidR="00AE0598" w:rsidRDefault="0069255A">
      <w:pPr>
        <w:spacing w:before="1"/>
        <w:ind w:left="430" w:right="128" w:hanging="320"/>
        <w:jc w:val="both"/>
        <w:rPr>
          <w:sz w:val="17"/>
        </w:rPr>
      </w:pPr>
      <w:r>
        <w:rPr>
          <w:color w:val="231F20"/>
          <w:sz w:val="17"/>
        </w:rPr>
        <w:t xml:space="preserve">Yusof, </w:t>
      </w:r>
      <w:r>
        <w:rPr>
          <w:color w:val="231F20"/>
          <w:w w:val="110"/>
          <w:sz w:val="17"/>
        </w:rPr>
        <w:t xml:space="preserve">A. </w:t>
      </w:r>
      <w:r>
        <w:rPr>
          <w:color w:val="231F20"/>
          <w:sz w:val="17"/>
        </w:rPr>
        <w:t xml:space="preserve">and Douvis, </w:t>
      </w:r>
      <w:r>
        <w:rPr>
          <w:color w:val="231F20"/>
          <w:w w:val="110"/>
          <w:sz w:val="17"/>
        </w:rPr>
        <w:t xml:space="preserve">J. </w:t>
      </w:r>
      <w:r>
        <w:rPr>
          <w:color w:val="231F20"/>
          <w:sz w:val="17"/>
        </w:rPr>
        <w:t xml:space="preserve">( 2001) An examination of sport tourist profiles. </w:t>
      </w:r>
      <w:r>
        <w:rPr>
          <w:i/>
          <w:color w:val="231F20"/>
          <w:sz w:val="17"/>
        </w:rPr>
        <w:t>Journal of Sport</w:t>
      </w:r>
      <w:r>
        <w:rPr>
          <w:i/>
          <w:color w:val="231F20"/>
          <w:spacing w:val="40"/>
          <w:sz w:val="17"/>
        </w:rPr>
        <w:t xml:space="preserve"> </w:t>
      </w:r>
      <w:r>
        <w:rPr>
          <w:i/>
          <w:color w:val="231F20"/>
          <w:sz w:val="17"/>
        </w:rPr>
        <w:t xml:space="preserve">Tourism </w:t>
      </w:r>
      <w:r>
        <w:rPr>
          <w:color w:val="231F20"/>
          <w:sz w:val="17"/>
        </w:rPr>
        <w:t>6 (3), 1–10.</w:t>
      </w:r>
    </w:p>
    <w:p w14:paraId="46AEA1F1" w14:textId="77777777" w:rsidR="00AE0598" w:rsidRDefault="0069255A">
      <w:pPr>
        <w:spacing w:before="1"/>
        <w:ind w:left="110"/>
        <w:jc w:val="both"/>
        <w:rPr>
          <w:sz w:val="17"/>
        </w:rPr>
      </w:pPr>
      <w:r>
        <w:rPr>
          <w:color w:val="231F20"/>
          <w:sz w:val="17"/>
        </w:rPr>
        <w:t>Zapata</w:t>
      </w:r>
      <w:r>
        <w:rPr>
          <w:color w:val="231F20"/>
          <w:spacing w:val="5"/>
          <w:sz w:val="17"/>
        </w:rPr>
        <w:t xml:space="preserve"> </w:t>
      </w:r>
      <w:r>
        <w:rPr>
          <w:color w:val="231F20"/>
          <w:sz w:val="17"/>
        </w:rPr>
        <w:t>Campos,</w:t>
      </w:r>
      <w:r>
        <w:rPr>
          <w:color w:val="231F20"/>
          <w:spacing w:val="5"/>
          <w:sz w:val="17"/>
        </w:rPr>
        <w:t xml:space="preserve"> </w:t>
      </w:r>
      <w:r>
        <w:rPr>
          <w:color w:val="231F20"/>
          <w:sz w:val="17"/>
        </w:rPr>
        <w:t>M.J.</w:t>
      </w:r>
      <w:r>
        <w:rPr>
          <w:color w:val="231F20"/>
          <w:spacing w:val="5"/>
          <w:sz w:val="17"/>
        </w:rPr>
        <w:t xml:space="preserve"> </w:t>
      </w:r>
      <w:r>
        <w:rPr>
          <w:color w:val="231F20"/>
          <w:sz w:val="17"/>
        </w:rPr>
        <w:t>(2014)</w:t>
      </w:r>
      <w:r>
        <w:rPr>
          <w:color w:val="231F20"/>
          <w:spacing w:val="5"/>
          <w:sz w:val="17"/>
        </w:rPr>
        <w:t xml:space="preserve"> </w:t>
      </w:r>
      <w:r>
        <w:rPr>
          <w:color w:val="231F20"/>
          <w:sz w:val="17"/>
        </w:rPr>
        <w:t>Partnerships,</w:t>
      </w:r>
      <w:r>
        <w:rPr>
          <w:color w:val="231F20"/>
          <w:spacing w:val="6"/>
          <w:sz w:val="17"/>
        </w:rPr>
        <w:t xml:space="preserve"> </w:t>
      </w:r>
      <w:r>
        <w:rPr>
          <w:color w:val="231F20"/>
          <w:sz w:val="17"/>
        </w:rPr>
        <w:t>tourism,</w:t>
      </w:r>
      <w:r>
        <w:rPr>
          <w:color w:val="231F20"/>
          <w:spacing w:val="5"/>
          <w:sz w:val="17"/>
        </w:rPr>
        <w:t xml:space="preserve"> </w:t>
      </w:r>
      <w:r>
        <w:rPr>
          <w:color w:val="231F20"/>
          <w:sz w:val="17"/>
        </w:rPr>
        <w:t>and</w:t>
      </w:r>
      <w:r>
        <w:rPr>
          <w:color w:val="231F20"/>
          <w:spacing w:val="5"/>
          <w:sz w:val="17"/>
        </w:rPr>
        <w:t xml:space="preserve"> </w:t>
      </w:r>
      <w:r>
        <w:rPr>
          <w:color w:val="231F20"/>
          <w:sz w:val="17"/>
        </w:rPr>
        <w:t>community</w:t>
      </w:r>
      <w:r>
        <w:rPr>
          <w:color w:val="231F20"/>
          <w:spacing w:val="5"/>
          <w:sz w:val="17"/>
        </w:rPr>
        <w:t xml:space="preserve"> </w:t>
      </w:r>
      <w:r>
        <w:rPr>
          <w:color w:val="231F20"/>
          <w:sz w:val="17"/>
        </w:rPr>
        <w:t>impacts.</w:t>
      </w:r>
      <w:r>
        <w:rPr>
          <w:color w:val="231F20"/>
          <w:spacing w:val="5"/>
          <w:sz w:val="17"/>
        </w:rPr>
        <w:t xml:space="preserve"> </w:t>
      </w:r>
      <w:r>
        <w:rPr>
          <w:color w:val="231F20"/>
          <w:sz w:val="17"/>
        </w:rPr>
        <w:t>In</w:t>
      </w:r>
      <w:r>
        <w:rPr>
          <w:color w:val="231F20"/>
          <w:spacing w:val="5"/>
          <w:sz w:val="17"/>
        </w:rPr>
        <w:t xml:space="preserve"> </w:t>
      </w:r>
      <w:r>
        <w:rPr>
          <w:color w:val="231F20"/>
          <w:sz w:val="17"/>
        </w:rPr>
        <w:t>A.A.</w:t>
      </w:r>
      <w:r>
        <w:rPr>
          <w:color w:val="231F20"/>
          <w:spacing w:val="6"/>
          <w:sz w:val="17"/>
        </w:rPr>
        <w:t xml:space="preserve"> </w:t>
      </w:r>
      <w:r>
        <w:rPr>
          <w:color w:val="231F20"/>
          <w:spacing w:val="-4"/>
          <w:sz w:val="17"/>
        </w:rPr>
        <w:t>Lew,</w:t>
      </w:r>
    </w:p>
    <w:p w14:paraId="34876508" w14:textId="77777777" w:rsidR="00AE0598" w:rsidRDefault="0069255A">
      <w:pPr>
        <w:spacing w:before="1"/>
        <w:ind w:left="430"/>
        <w:jc w:val="both"/>
        <w:rPr>
          <w:i/>
          <w:sz w:val="17"/>
        </w:rPr>
      </w:pPr>
      <w:r>
        <w:rPr>
          <w:color w:val="231F20"/>
          <w:w w:val="105"/>
          <w:sz w:val="17"/>
        </w:rPr>
        <w:t>C.M.</w:t>
      </w:r>
      <w:r>
        <w:rPr>
          <w:color w:val="231F20"/>
          <w:spacing w:val="28"/>
          <w:w w:val="105"/>
          <w:sz w:val="17"/>
        </w:rPr>
        <w:t xml:space="preserve"> </w:t>
      </w:r>
      <w:r>
        <w:rPr>
          <w:color w:val="231F20"/>
          <w:w w:val="105"/>
          <w:sz w:val="17"/>
        </w:rPr>
        <w:t>Hall</w:t>
      </w:r>
      <w:r>
        <w:rPr>
          <w:color w:val="231F20"/>
          <w:spacing w:val="28"/>
          <w:w w:val="105"/>
          <w:sz w:val="17"/>
        </w:rPr>
        <w:t xml:space="preserve"> </w:t>
      </w:r>
      <w:r>
        <w:rPr>
          <w:color w:val="231F20"/>
          <w:w w:val="105"/>
          <w:sz w:val="17"/>
        </w:rPr>
        <w:t>and</w:t>
      </w:r>
      <w:r>
        <w:rPr>
          <w:color w:val="231F20"/>
          <w:spacing w:val="29"/>
          <w:w w:val="105"/>
          <w:sz w:val="17"/>
        </w:rPr>
        <w:t xml:space="preserve"> </w:t>
      </w:r>
      <w:r>
        <w:rPr>
          <w:color w:val="231F20"/>
          <w:w w:val="105"/>
          <w:sz w:val="17"/>
        </w:rPr>
        <w:t>A.M.</w:t>
      </w:r>
      <w:r>
        <w:rPr>
          <w:color w:val="231F20"/>
          <w:spacing w:val="28"/>
          <w:w w:val="105"/>
          <w:sz w:val="17"/>
        </w:rPr>
        <w:t xml:space="preserve"> </w:t>
      </w:r>
      <w:r>
        <w:rPr>
          <w:color w:val="231F20"/>
          <w:w w:val="105"/>
          <w:sz w:val="17"/>
        </w:rPr>
        <w:t>Williams</w:t>
      </w:r>
      <w:r>
        <w:rPr>
          <w:color w:val="231F20"/>
          <w:spacing w:val="29"/>
          <w:w w:val="105"/>
          <w:sz w:val="17"/>
        </w:rPr>
        <w:t xml:space="preserve"> </w:t>
      </w:r>
      <w:r>
        <w:rPr>
          <w:color w:val="231F20"/>
          <w:w w:val="105"/>
          <w:sz w:val="17"/>
        </w:rPr>
        <w:t>(eds)</w:t>
      </w:r>
      <w:r>
        <w:rPr>
          <w:color w:val="231F20"/>
          <w:spacing w:val="28"/>
          <w:w w:val="105"/>
          <w:sz w:val="17"/>
        </w:rPr>
        <w:t xml:space="preserve"> </w:t>
      </w:r>
      <w:r>
        <w:rPr>
          <w:i/>
          <w:color w:val="231F20"/>
          <w:w w:val="105"/>
          <w:sz w:val="17"/>
        </w:rPr>
        <w:t>The</w:t>
      </w:r>
      <w:r>
        <w:rPr>
          <w:i/>
          <w:color w:val="231F20"/>
          <w:spacing w:val="29"/>
          <w:w w:val="105"/>
          <w:sz w:val="17"/>
        </w:rPr>
        <w:t xml:space="preserve"> </w:t>
      </w:r>
      <w:r>
        <w:rPr>
          <w:i/>
          <w:color w:val="231F20"/>
          <w:w w:val="105"/>
          <w:sz w:val="17"/>
        </w:rPr>
        <w:t>Wiley</w:t>
      </w:r>
      <w:r>
        <w:rPr>
          <w:i/>
          <w:color w:val="231F20"/>
          <w:spacing w:val="28"/>
          <w:w w:val="105"/>
          <w:sz w:val="17"/>
        </w:rPr>
        <w:t xml:space="preserve"> </w:t>
      </w:r>
      <w:r>
        <w:rPr>
          <w:i/>
          <w:color w:val="231F20"/>
          <w:w w:val="105"/>
          <w:sz w:val="17"/>
        </w:rPr>
        <w:t>Blackwell</w:t>
      </w:r>
      <w:r>
        <w:rPr>
          <w:i/>
          <w:color w:val="231F20"/>
          <w:spacing w:val="29"/>
          <w:w w:val="105"/>
          <w:sz w:val="17"/>
        </w:rPr>
        <w:t xml:space="preserve"> </w:t>
      </w:r>
      <w:r>
        <w:rPr>
          <w:i/>
          <w:color w:val="231F20"/>
          <w:w w:val="105"/>
          <w:sz w:val="17"/>
        </w:rPr>
        <w:t>Companion</w:t>
      </w:r>
      <w:r>
        <w:rPr>
          <w:i/>
          <w:color w:val="231F20"/>
          <w:spacing w:val="28"/>
          <w:w w:val="105"/>
          <w:sz w:val="17"/>
        </w:rPr>
        <w:t xml:space="preserve"> </w:t>
      </w:r>
      <w:r>
        <w:rPr>
          <w:i/>
          <w:color w:val="231F20"/>
          <w:w w:val="105"/>
          <w:sz w:val="17"/>
        </w:rPr>
        <w:t>to</w:t>
      </w:r>
      <w:r>
        <w:rPr>
          <w:i/>
          <w:color w:val="231F20"/>
          <w:spacing w:val="29"/>
          <w:w w:val="105"/>
          <w:sz w:val="17"/>
        </w:rPr>
        <w:t xml:space="preserve"> </w:t>
      </w:r>
      <w:r>
        <w:rPr>
          <w:i/>
          <w:color w:val="231F20"/>
          <w:spacing w:val="-2"/>
          <w:w w:val="105"/>
          <w:sz w:val="17"/>
        </w:rPr>
        <w:t>Tourism</w:t>
      </w:r>
    </w:p>
    <w:p w14:paraId="493BAC83" w14:textId="77777777" w:rsidR="00AE0598" w:rsidRDefault="0069255A">
      <w:pPr>
        <w:spacing w:before="1"/>
        <w:ind w:left="430"/>
        <w:jc w:val="both"/>
        <w:rPr>
          <w:sz w:val="17"/>
        </w:rPr>
      </w:pPr>
      <w:r>
        <w:rPr>
          <w:color w:val="231F20"/>
          <w:w w:val="95"/>
          <w:sz w:val="17"/>
        </w:rPr>
        <w:t>(pp.</w:t>
      </w:r>
      <w:r>
        <w:rPr>
          <w:color w:val="231F20"/>
          <w:spacing w:val="20"/>
          <w:sz w:val="17"/>
        </w:rPr>
        <w:t xml:space="preserve"> </w:t>
      </w:r>
      <w:r>
        <w:rPr>
          <w:color w:val="231F20"/>
          <w:w w:val="95"/>
          <w:sz w:val="17"/>
        </w:rPr>
        <w:t>567–577).</w:t>
      </w:r>
      <w:r>
        <w:rPr>
          <w:color w:val="231F20"/>
          <w:spacing w:val="20"/>
          <w:sz w:val="17"/>
        </w:rPr>
        <w:t xml:space="preserve"> </w:t>
      </w:r>
      <w:r>
        <w:rPr>
          <w:color w:val="231F20"/>
          <w:w w:val="95"/>
          <w:sz w:val="17"/>
        </w:rPr>
        <w:t>Chichester:</w:t>
      </w:r>
      <w:r>
        <w:rPr>
          <w:color w:val="231F20"/>
          <w:spacing w:val="21"/>
          <w:sz w:val="17"/>
        </w:rPr>
        <w:t xml:space="preserve"> </w:t>
      </w:r>
      <w:r>
        <w:rPr>
          <w:color w:val="231F20"/>
          <w:w w:val="95"/>
          <w:sz w:val="17"/>
        </w:rPr>
        <w:t>John</w:t>
      </w:r>
      <w:r>
        <w:rPr>
          <w:color w:val="231F20"/>
          <w:spacing w:val="20"/>
          <w:sz w:val="17"/>
        </w:rPr>
        <w:t xml:space="preserve"> </w:t>
      </w:r>
      <w:r>
        <w:rPr>
          <w:color w:val="231F20"/>
          <w:w w:val="95"/>
          <w:sz w:val="17"/>
        </w:rPr>
        <w:t>Wiley</w:t>
      </w:r>
      <w:r>
        <w:rPr>
          <w:color w:val="231F20"/>
          <w:spacing w:val="20"/>
          <w:sz w:val="17"/>
        </w:rPr>
        <w:t xml:space="preserve"> </w:t>
      </w:r>
      <w:r>
        <w:rPr>
          <w:color w:val="231F20"/>
          <w:w w:val="95"/>
          <w:sz w:val="17"/>
        </w:rPr>
        <w:t>&amp;</w:t>
      </w:r>
      <w:r>
        <w:rPr>
          <w:color w:val="231F20"/>
          <w:spacing w:val="21"/>
          <w:sz w:val="17"/>
        </w:rPr>
        <w:t xml:space="preserve"> </w:t>
      </w:r>
      <w:r>
        <w:rPr>
          <w:color w:val="231F20"/>
          <w:spacing w:val="-2"/>
          <w:w w:val="95"/>
          <w:sz w:val="17"/>
        </w:rPr>
        <w:t>Sons.</w:t>
      </w:r>
    </w:p>
    <w:p w14:paraId="1155F7CF" w14:textId="77777777" w:rsidR="00AE0598" w:rsidRDefault="0069255A">
      <w:pPr>
        <w:ind w:left="430" w:right="127" w:hanging="320"/>
        <w:jc w:val="both"/>
        <w:rPr>
          <w:sz w:val="17"/>
        </w:rPr>
      </w:pPr>
      <w:r>
        <w:rPr>
          <w:color w:val="231F20"/>
          <w:w w:val="95"/>
          <w:sz w:val="17"/>
        </w:rPr>
        <w:t>Zhu,</w:t>
      </w:r>
      <w:r>
        <w:rPr>
          <w:color w:val="231F20"/>
          <w:sz w:val="17"/>
        </w:rPr>
        <w:t xml:space="preserve"> </w:t>
      </w:r>
      <w:r>
        <w:rPr>
          <w:color w:val="231F20"/>
          <w:w w:val="95"/>
          <w:sz w:val="17"/>
        </w:rPr>
        <w:t>P.</w:t>
      </w:r>
      <w:r>
        <w:rPr>
          <w:color w:val="231F20"/>
          <w:sz w:val="17"/>
        </w:rPr>
        <w:t xml:space="preserve"> </w:t>
      </w:r>
      <w:r>
        <w:rPr>
          <w:color w:val="231F20"/>
          <w:w w:val="95"/>
          <w:sz w:val="17"/>
        </w:rPr>
        <w:t>(2009)</w:t>
      </w:r>
      <w:r>
        <w:rPr>
          <w:color w:val="231F20"/>
          <w:sz w:val="17"/>
        </w:rPr>
        <w:t xml:space="preserve"> </w:t>
      </w:r>
      <w:r>
        <w:rPr>
          <w:color w:val="231F20"/>
          <w:w w:val="95"/>
          <w:sz w:val="17"/>
        </w:rPr>
        <w:t>Studies</w:t>
      </w:r>
      <w:r>
        <w:rPr>
          <w:color w:val="231F20"/>
          <w:sz w:val="17"/>
        </w:rPr>
        <w:t xml:space="preserve"> </w:t>
      </w:r>
      <w:r>
        <w:rPr>
          <w:color w:val="231F20"/>
          <w:w w:val="95"/>
          <w:sz w:val="17"/>
        </w:rPr>
        <w:t>on</w:t>
      </w:r>
      <w:r>
        <w:rPr>
          <w:color w:val="231F20"/>
          <w:sz w:val="17"/>
        </w:rPr>
        <w:t xml:space="preserve"> </w:t>
      </w:r>
      <w:r>
        <w:rPr>
          <w:color w:val="231F20"/>
          <w:w w:val="95"/>
          <w:sz w:val="17"/>
        </w:rPr>
        <w:t>sustainable</w:t>
      </w:r>
      <w:r>
        <w:rPr>
          <w:color w:val="231F20"/>
          <w:sz w:val="17"/>
        </w:rPr>
        <w:t xml:space="preserve"> </w:t>
      </w:r>
      <w:r>
        <w:rPr>
          <w:color w:val="231F20"/>
          <w:w w:val="95"/>
          <w:sz w:val="17"/>
        </w:rPr>
        <w:t>development</w:t>
      </w:r>
      <w:r>
        <w:rPr>
          <w:color w:val="231F20"/>
          <w:sz w:val="17"/>
        </w:rPr>
        <w:t xml:space="preserve"> </w:t>
      </w:r>
      <w:r>
        <w:rPr>
          <w:color w:val="231F20"/>
          <w:w w:val="95"/>
          <w:sz w:val="17"/>
        </w:rPr>
        <w:t>of</w:t>
      </w:r>
      <w:r>
        <w:rPr>
          <w:color w:val="231F20"/>
          <w:sz w:val="17"/>
        </w:rPr>
        <w:t xml:space="preserve"> </w:t>
      </w:r>
      <w:r>
        <w:rPr>
          <w:color w:val="231F20"/>
          <w:w w:val="95"/>
          <w:sz w:val="17"/>
        </w:rPr>
        <w:t>ecological</w:t>
      </w:r>
      <w:r>
        <w:rPr>
          <w:color w:val="231F20"/>
          <w:sz w:val="17"/>
        </w:rPr>
        <w:t xml:space="preserve"> </w:t>
      </w:r>
      <w:r>
        <w:rPr>
          <w:color w:val="231F20"/>
          <w:w w:val="95"/>
          <w:sz w:val="17"/>
        </w:rPr>
        <w:t>sports</w:t>
      </w:r>
      <w:r>
        <w:rPr>
          <w:color w:val="231F20"/>
          <w:sz w:val="17"/>
        </w:rPr>
        <w:t xml:space="preserve"> </w:t>
      </w:r>
      <w:r>
        <w:rPr>
          <w:color w:val="231F20"/>
          <w:w w:val="95"/>
          <w:sz w:val="17"/>
        </w:rPr>
        <w:t>tour</w:t>
      </w:r>
      <w:r>
        <w:rPr>
          <w:color w:val="231F20"/>
          <w:sz w:val="17"/>
        </w:rPr>
        <w:t xml:space="preserve"> </w:t>
      </w:r>
      <w:r>
        <w:rPr>
          <w:color w:val="231F20"/>
          <w:w w:val="95"/>
          <w:sz w:val="17"/>
        </w:rPr>
        <w:t>resources</w:t>
      </w:r>
      <w:r>
        <w:rPr>
          <w:color w:val="231F20"/>
          <w:sz w:val="17"/>
        </w:rPr>
        <w:t xml:space="preserve"> </w:t>
      </w:r>
      <w:r>
        <w:rPr>
          <w:color w:val="231F20"/>
          <w:w w:val="95"/>
          <w:sz w:val="17"/>
        </w:rPr>
        <w:t>and</w:t>
      </w:r>
      <w:r>
        <w:rPr>
          <w:color w:val="231F20"/>
          <w:spacing w:val="80"/>
          <w:w w:val="150"/>
          <w:sz w:val="17"/>
        </w:rPr>
        <w:t xml:space="preserve"> </w:t>
      </w:r>
      <w:r>
        <w:rPr>
          <w:color w:val="231F20"/>
          <w:sz w:val="17"/>
        </w:rPr>
        <w:t xml:space="preserve">its industry. </w:t>
      </w:r>
      <w:r>
        <w:rPr>
          <w:i/>
          <w:color w:val="231F20"/>
          <w:sz w:val="17"/>
        </w:rPr>
        <w:t xml:space="preserve">Journal of Sustainable Development </w:t>
      </w:r>
      <w:r>
        <w:rPr>
          <w:color w:val="231F20"/>
          <w:sz w:val="17"/>
        </w:rPr>
        <w:t>2, 80–83.</w:t>
      </w:r>
    </w:p>
    <w:p w14:paraId="2A1067FD" w14:textId="77777777" w:rsidR="00AE0598" w:rsidRDefault="00AE0598">
      <w:pPr>
        <w:jc w:val="both"/>
        <w:rPr>
          <w:sz w:val="17"/>
        </w:rPr>
        <w:sectPr w:rsidR="00AE0598">
          <w:pgSz w:w="8850" w:h="13270"/>
          <w:pgMar w:top="720" w:right="1060" w:bottom="280" w:left="1080" w:header="720" w:footer="720" w:gutter="0"/>
          <w:cols w:space="720"/>
        </w:sectPr>
      </w:pPr>
    </w:p>
    <w:p w14:paraId="527219B2" w14:textId="77777777" w:rsidR="00AE0598" w:rsidRDefault="0069255A">
      <w:pPr>
        <w:pStyle w:val="Ttulo1"/>
      </w:pPr>
      <w:bookmarkStart w:id="23" w:name="_TOC_250000"/>
      <w:bookmarkEnd w:id="23"/>
      <w:r>
        <w:rPr>
          <w:color w:val="231F20"/>
          <w:spacing w:val="-2"/>
          <w:w w:val="105"/>
        </w:rPr>
        <w:lastRenderedPageBreak/>
        <w:t>Index</w:t>
      </w:r>
    </w:p>
    <w:p w14:paraId="7E5091C2" w14:textId="77777777" w:rsidR="00AE0598" w:rsidRDefault="00AE0598">
      <w:pPr>
        <w:pStyle w:val="Corpodetexto"/>
        <w:rPr>
          <w:rFonts w:ascii="Trebuchet MS"/>
          <w:sz w:val="20"/>
        </w:rPr>
      </w:pPr>
    </w:p>
    <w:p w14:paraId="73F4C658" w14:textId="77777777" w:rsidR="00AE0598" w:rsidRDefault="00AE0598">
      <w:pPr>
        <w:pStyle w:val="Corpodetexto"/>
        <w:rPr>
          <w:rFonts w:ascii="Trebuchet MS"/>
          <w:sz w:val="20"/>
        </w:rPr>
      </w:pPr>
    </w:p>
    <w:p w14:paraId="106A1C60" w14:textId="77777777" w:rsidR="00AE0598" w:rsidRDefault="00AE0598">
      <w:pPr>
        <w:pStyle w:val="Corpodetexto"/>
        <w:rPr>
          <w:rFonts w:ascii="Trebuchet MS"/>
          <w:sz w:val="20"/>
        </w:rPr>
      </w:pPr>
    </w:p>
    <w:p w14:paraId="51CF52D6" w14:textId="77777777" w:rsidR="00AE0598" w:rsidRDefault="00AE0598">
      <w:pPr>
        <w:pStyle w:val="Corpodetexto"/>
        <w:rPr>
          <w:rFonts w:ascii="Trebuchet MS"/>
          <w:sz w:val="20"/>
        </w:rPr>
      </w:pPr>
    </w:p>
    <w:p w14:paraId="19A9ABEB" w14:textId="77777777" w:rsidR="00AE0598" w:rsidRDefault="00AE0598">
      <w:pPr>
        <w:rPr>
          <w:rFonts w:ascii="Trebuchet MS"/>
          <w:sz w:val="20"/>
        </w:rPr>
        <w:sectPr w:rsidR="00AE0598">
          <w:pgSz w:w="8850" w:h="13270"/>
          <w:pgMar w:top="1020" w:right="1060" w:bottom="280" w:left="1080" w:header="720" w:footer="720" w:gutter="0"/>
          <w:cols w:space="720"/>
        </w:sectPr>
      </w:pPr>
    </w:p>
    <w:p w14:paraId="1D35177C" w14:textId="77777777" w:rsidR="00AE0598" w:rsidRDefault="00AE0598">
      <w:pPr>
        <w:pStyle w:val="Corpodetexto"/>
        <w:spacing w:before="4"/>
        <w:rPr>
          <w:rFonts w:ascii="Trebuchet MS"/>
        </w:rPr>
      </w:pPr>
    </w:p>
    <w:p w14:paraId="18D2C3F8" w14:textId="77777777" w:rsidR="00AE0598" w:rsidRDefault="0069255A">
      <w:pPr>
        <w:ind w:left="110"/>
        <w:rPr>
          <w:sz w:val="17"/>
        </w:rPr>
      </w:pPr>
      <w:r>
        <w:rPr>
          <w:color w:val="231F20"/>
          <w:w w:val="95"/>
          <w:sz w:val="17"/>
        </w:rPr>
        <w:t>accessibility</w:t>
      </w:r>
      <w:r>
        <w:rPr>
          <w:color w:val="231F20"/>
          <w:spacing w:val="-1"/>
          <w:sz w:val="17"/>
        </w:rPr>
        <w:t xml:space="preserve"> </w:t>
      </w:r>
      <w:r>
        <w:rPr>
          <w:color w:val="231F20"/>
          <w:w w:val="95"/>
          <w:sz w:val="17"/>
        </w:rPr>
        <w:t>40,</w:t>
      </w:r>
      <w:r>
        <w:rPr>
          <w:color w:val="231F20"/>
          <w:sz w:val="17"/>
        </w:rPr>
        <w:t xml:space="preserve"> </w:t>
      </w:r>
      <w:r>
        <w:rPr>
          <w:color w:val="231F20"/>
          <w:w w:val="95"/>
          <w:sz w:val="17"/>
        </w:rPr>
        <w:t>53,</w:t>
      </w:r>
      <w:r>
        <w:rPr>
          <w:color w:val="231F20"/>
          <w:sz w:val="17"/>
        </w:rPr>
        <w:t xml:space="preserve"> </w:t>
      </w:r>
      <w:r>
        <w:rPr>
          <w:color w:val="231F20"/>
          <w:w w:val="95"/>
          <w:sz w:val="17"/>
        </w:rPr>
        <w:t>91,</w:t>
      </w:r>
      <w:r>
        <w:rPr>
          <w:color w:val="231F20"/>
          <w:sz w:val="17"/>
        </w:rPr>
        <w:t xml:space="preserve"> </w:t>
      </w:r>
      <w:r>
        <w:rPr>
          <w:color w:val="231F20"/>
          <w:w w:val="95"/>
          <w:sz w:val="17"/>
        </w:rPr>
        <w:t>107,</w:t>
      </w:r>
      <w:r>
        <w:rPr>
          <w:color w:val="231F20"/>
          <w:sz w:val="17"/>
        </w:rPr>
        <w:t xml:space="preserve"> </w:t>
      </w:r>
      <w:r>
        <w:rPr>
          <w:color w:val="231F20"/>
          <w:w w:val="95"/>
          <w:sz w:val="17"/>
        </w:rPr>
        <w:t>109,</w:t>
      </w:r>
      <w:r>
        <w:rPr>
          <w:color w:val="231F20"/>
          <w:sz w:val="17"/>
        </w:rPr>
        <w:t xml:space="preserve"> </w:t>
      </w:r>
      <w:r>
        <w:rPr>
          <w:color w:val="231F20"/>
          <w:spacing w:val="-5"/>
          <w:w w:val="95"/>
          <w:sz w:val="17"/>
        </w:rPr>
        <w:t>176</w:t>
      </w:r>
    </w:p>
    <w:p w14:paraId="68B4C55A" w14:textId="77777777" w:rsidR="00AE0598" w:rsidRDefault="0069255A">
      <w:pPr>
        <w:ind w:left="110"/>
        <w:rPr>
          <w:sz w:val="17"/>
        </w:rPr>
      </w:pPr>
      <w:r>
        <w:rPr>
          <w:color w:val="231F20"/>
          <w:w w:val="95"/>
          <w:sz w:val="17"/>
        </w:rPr>
        <w:t>active</w:t>
      </w:r>
      <w:r>
        <w:rPr>
          <w:color w:val="231F20"/>
          <w:spacing w:val="4"/>
          <w:sz w:val="17"/>
        </w:rPr>
        <w:t xml:space="preserve"> </w:t>
      </w:r>
      <w:r>
        <w:rPr>
          <w:color w:val="231F20"/>
          <w:w w:val="95"/>
          <w:sz w:val="17"/>
        </w:rPr>
        <w:t>engagement</w:t>
      </w:r>
      <w:r>
        <w:rPr>
          <w:color w:val="231F20"/>
          <w:spacing w:val="5"/>
          <w:sz w:val="17"/>
        </w:rPr>
        <w:t xml:space="preserve"> </w:t>
      </w:r>
      <w:r>
        <w:rPr>
          <w:color w:val="231F20"/>
          <w:w w:val="95"/>
          <w:sz w:val="17"/>
        </w:rPr>
        <w:t>6,</w:t>
      </w:r>
      <w:r>
        <w:rPr>
          <w:color w:val="231F20"/>
          <w:spacing w:val="5"/>
          <w:sz w:val="17"/>
        </w:rPr>
        <w:t xml:space="preserve"> </w:t>
      </w:r>
      <w:r>
        <w:rPr>
          <w:color w:val="231F20"/>
          <w:w w:val="95"/>
          <w:sz w:val="17"/>
        </w:rPr>
        <w:t>44,</w:t>
      </w:r>
      <w:r>
        <w:rPr>
          <w:color w:val="231F20"/>
          <w:spacing w:val="5"/>
          <w:sz w:val="17"/>
        </w:rPr>
        <w:t xml:space="preserve"> </w:t>
      </w:r>
      <w:r>
        <w:rPr>
          <w:color w:val="231F20"/>
          <w:w w:val="95"/>
          <w:sz w:val="17"/>
        </w:rPr>
        <w:t>45,</w:t>
      </w:r>
      <w:r>
        <w:rPr>
          <w:color w:val="231F20"/>
          <w:spacing w:val="4"/>
          <w:sz w:val="17"/>
        </w:rPr>
        <w:t xml:space="preserve"> </w:t>
      </w:r>
      <w:r>
        <w:rPr>
          <w:color w:val="231F20"/>
          <w:w w:val="95"/>
          <w:sz w:val="17"/>
        </w:rPr>
        <w:t>50,</w:t>
      </w:r>
      <w:r>
        <w:rPr>
          <w:color w:val="231F20"/>
          <w:spacing w:val="5"/>
          <w:sz w:val="17"/>
        </w:rPr>
        <w:t xml:space="preserve"> </w:t>
      </w:r>
      <w:r>
        <w:rPr>
          <w:color w:val="231F20"/>
          <w:w w:val="95"/>
          <w:sz w:val="17"/>
        </w:rPr>
        <w:t>55,</w:t>
      </w:r>
      <w:r>
        <w:rPr>
          <w:color w:val="231F20"/>
          <w:spacing w:val="5"/>
          <w:sz w:val="17"/>
        </w:rPr>
        <w:t xml:space="preserve"> </w:t>
      </w:r>
      <w:r>
        <w:rPr>
          <w:color w:val="231F20"/>
          <w:spacing w:val="-5"/>
          <w:w w:val="95"/>
          <w:sz w:val="17"/>
        </w:rPr>
        <w:t>60,</w:t>
      </w:r>
    </w:p>
    <w:p w14:paraId="7A03F9BD" w14:textId="77777777" w:rsidR="00AE0598" w:rsidRDefault="0069255A">
      <w:pPr>
        <w:spacing w:before="1"/>
        <w:ind w:left="470"/>
        <w:rPr>
          <w:sz w:val="17"/>
        </w:rPr>
      </w:pPr>
      <w:r>
        <w:rPr>
          <w:color w:val="231F20"/>
          <w:w w:val="90"/>
          <w:sz w:val="17"/>
        </w:rPr>
        <w:t>62,</w:t>
      </w:r>
      <w:r>
        <w:rPr>
          <w:color w:val="231F20"/>
          <w:spacing w:val="10"/>
          <w:sz w:val="17"/>
        </w:rPr>
        <w:t xml:space="preserve"> </w:t>
      </w:r>
      <w:r>
        <w:rPr>
          <w:color w:val="231F20"/>
          <w:w w:val="90"/>
          <w:sz w:val="17"/>
        </w:rPr>
        <w:t>118,</w:t>
      </w:r>
      <w:r>
        <w:rPr>
          <w:color w:val="231F20"/>
          <w:spacing w:val="11"/>
          <w:sz w:val="17"/>
        </w:rPr>
        <w:t xml:space="preserve"> </w:t>
      </w:r>
      <w:r>
        <w:rPr>
          <w:color w:val="231F20"/>
          <w:w w:val="90"/>
          <w:sz w:val="17"/>
        </w:rPr>
        <w:t>155,</w:t>
      </w:r>
      <w:r>
        <w:rPr>
          <w:color w:val="231F20"/>
          <w:spacing w:val="11"/>
          <w:sz w:val="17"/>
        </w:rPr>
        <w:t xml:space="preserve"> </w:t>
      </w:r>
      <w:r>
        <w:rPr>
          <w:color w:val="231F20"/>
          <w:w w:val="90"/>
          <w:sz w:val="17"/>
        </w:rPr>
        <w:t>171–172,</w:t>
      </w:r>
      <w:r>
        <w:rPr>
          <w:color w:val="231F20"/>
          <w:spacing w:val="11"/>
          <w:sz w:val="17"/>
        </w:rPr>
        <w:t xml:space="preserve"> </w:t>
      </w:r>
      <w:r>
        <w:rPr>
          <w:color w:val="231F20"/>
          <w:w w:val="90"/>
          <w:sz w:val="17"/>
        </w:rPr>
        <w:t>176,</w:t>
      </w:r>
      <w:r>
        <w:rPr>
          <w:color w:val="231F20"/>
          <w:spacing w:val="11"/>
          <w:sz w:val="17"/>
        </w:rPr>
        <w:t xml:space="preserve"> </w:t>
      </w:r>
      <w:r>
        <w:rPr>
          <w:color w:val="231F20"/>
          <w:w w:val="90"/>
          <w:sz w:val="17"/>
        </w:rPr>
        <w:t>178,</w:t>
      </w:r>
      <w:r>
        <w:rPr>
          <w:color w:val="231F20"/>
          <w:spacing w:val="11"/>
          <w:sz w:val="17"/>
        </w:rPr>
        <w:t xml:space="preserve"> </w:t>
      </w:r>
      <w:r>
        <w:rPr>
          <w:color w:val="231F20"/>
          <w:spacing w:val="-4"/>
          <w:w w:val="90"/>
          <w:sz w:val="17"/>
        </w:rPr>
        <w:t>214,</w:t>
      </w:r>
    </w:p>
    <w:p w14:paraId="0590C505" w14:textId="77777777" w:rsidR="00AE0598" w:rsidRDefault="0069255A">
      <w:pPr>
        <w:spacing w:before="1"/>
        <w:ind w:left="470"/>
        <w:rPr>
          <w:sz w:val="17"/>
        </w:rPr>
      </w:pPr>
      <w:r>
        <w:rPr>
          <w:color w:val="231F20"/>
          <w:spacing w:val="-2"/>
          <w:sz w:val="17"/>
        </w:rPr>
        <w:t>230–236</w:t>
      </w:r>
    </w:p>
    <w:p w14:paraId="1DE2FFF3" w14:textId="77777777" w:rsidR="00AE0598" w:rsidRDefault="0069255A">
      <w:pPr>
        <w:spacing w:before="1"/>
        <w:ind w:left="110"/>
        <w:rPr>
          <w:sz w:val="17"/>
        </w:rPr>
      </w:pPr>
      <w:r>
        <w:rPr>
          <w:color w:val="231F20"/>
          <w:w w:val="95"/>
          <w:sz w:val="17"/>
        </w:rPr>
        <w:t>active</w:t>
      </w:r>
      <w:r>
        <w:rPr>
          <w:color w:val="231F20"/>
          <w:spacing w:val="4"/>
          <w:sz w:val="17"/>
        </w:rPr>
        <w:t xml:space="preserve"> </w:t>
      </w:r>
      <w:r>
        <w:rPr>
          <w:color w:val="231F20"/>
          <w:w w:val="95"/>
          <w:sz w:val="17"/>
        </w:rPr>
        <w:t>sport</w:t>
      </w:r>
      <w:r>
        <w:rPr>
          <w:color w:val="231F20"/>
          <w:spacing w:val="5"/>
          <w:sz w:val="17"/>
        </w:rPr>
        <w:t xml:space="preserve"> </w:t>
      </w:r>
      <w:r>
        <w:rPr>
          <w:color w:val="231F20"/>
          <w:w w:val="95"/>
          <w:sz w:val="17"/>
        </w:rPr>
        <w:t>participants</w:t>
      </w:r>
      <w:r>
        <w:rPr>
          <w:color w:val="231F20"/>
          <w:spacing w:val="4"/>
          <w:sz w:val="17"/>
        </w:rPr>
        <w:t xml:space="preserve"> </w:t>
      </w:r>
      <w:r>
        <w:rPr>
          <w:color w:val="231F20"/>
          <w:w w:val="95"/>
          <w:sz w:val="17"/>
        </w:rPr>
        <w:t>58,</w:t>
      </w:r>
      <w:r>
        <w:rPr>
          <w:color w:val="231F20"/>
          <w:spacing w:val="5"/>
          <w:sz w:val="17"/>
        </w:rPr>
        <w:t xml:space="preserve"> </w:t>
      </w:r>
      <w:r>
        <w:rPr>
          <w:color w:val="231F20"/>
          <w:w w:val="95"/>
          <w:sz w:val="17"/>
        </w:rPr>
        <w:t>168,</w:t>
      </w:r>
      <w:r>
        <w:rPr>
          <w:color w:val="231F20"/>
          <w:spacing w:val="5"/>
          <w:sz w:val="17"/>
        </w:rPr>
        <w:t xml:space="preserve"> </w:t>
      </w:r>
      <w:r>
        <w:rPr>
          <w:color w:val="231F20"/>
          <w:spacing w:val="-5"/>
          <w:w w:val="95"/>
          <w:sz w:val="17"/>
        </w:rPr>
        <w:t>176</w:t>
      </w:r>
    </w:p>
    <w:p w14:paraId="2881CA6C" w14:textId="77777777" w:rsidR="00AE0598" w:rsidRDefault="0069255A">
      <w:pPr>
        <w:ind w:left="110"/>
        <w:rPr>
          <w:sz w:val="17"/>
        </w:rPr>
      </w:pPr>
      <w:r>
        <w:rPr>
          <w:color w:val="231F20"/>
          <w:w w:val="95"/>
          <w:sz w:val="17"/>
        </w:rPr>
        <w:t>active</w:t>
      </w:r>
      <w:r>
        <w:rPr>
          <w:color w:val="231F20"/>
          <w:spacing w:val="4"/>
          <w:sz w:val="17"/>
        </w:rPr>
        <w:t xml:space="preserve"> </w:t>
      </w:r>
      <w:r>
        <w:rPr>
          <w:color w:val="231F20"/>
          <w:w w:val="95"/>
          <w:sz w:val="17"/>
        </w:rPr>
        <w:t>sport</w:t>
      </w:r>
      <w:r>
        <w:rPr>
          <w:color w:val="231F20"/>
          <w:spacing w:val="5"/>
          <w:sz w:val="17"/>
        </w:rPr>
        <w:t xml:space="preserve"> </w:t>
      </w:r>
      <w:r>
        <w:rPr>
          <w:color w:val="231F20"/>
          <w:w w:val="95"/>
          <w:sz w:val="17"/>
        </w:rPr>
        <w:t>tourism</w:t>
      </w:r>
      <w:r>
        <w:rPr>
          <w:color w:val="231F20"/>
          <w:spacing w:val="5"/>
          <w:sz w:val="17"/>
        </w:rPr>
        <w:t xml:space="preserve"> </w:t>
      </w:r>
      <w:r>
        <w:rPr>
          <w:color w:val="231F20"/>
          <w:w w:val="95"/>
          <w:sz w:val="17"/>
        </w:rPr>
        <w:t>25,</w:t>
      </w:r>
      <w:r>
        <w:rPr>
          <w:color w:val="231F20"/>
          <w:spacing w:val="5"/>
          <w:sz w:val="17"/>
        </w:rPr>
        <w:t xml:space="preserve"> </w:t>
      </w:r>
      <w:r>
        <w:rPr>
          <w:color w:val="231F20"/>
          <w:w w:val="95"/>
          <w:sz w:val="17"/>
        </w:rPr>
        <w:t>29,</w:t>
      </w:r>
      <w:r>
        <w:rPr>
          <w:color w:val="231F20"/>
          <w:spacing w:val="4"/>
          <w:sz w:val="17"/>
        </w:rPr>
        <w:t xml:space="preserve"> </w:t>
      </w:r>
      <w:r>
        <w:rPr>
          <w:color w:val="231F20"/>
          <w:w w:val="95"/>
          <w:sz w:val="17"/>
        </w:rPr>
        <w:t>32,</w:t>
      </w:r>
      <w:r>
        <w:rPr>
          <w:color w:val="231F20"/>
          <w:spacing w:val="5"/>
          <w:sz w:val="17"/>
        </w:rPr>
        <w:t xml:space="preserve"> </w:t>
      </w:r>
      <w:r>
        <w:rPr>
          <w:color w:val="231F20"/>
          <w:w w:val="95"/>
          <w:sz w:val="17"/>
        </w:rPr>
        <w:t>35,</w:t>
      </w:r>
      <w:r>
        <w:rPr>
          <w:color w:val="231F20"/>
          <w:spacing w:val="5"/>
          <w:sz w:val="17"/>
        </w:rPr>
        <w:t xml:space="preserve"> </w:t>
      </w:r>
      <w:r>
        <w:rPr>
          <w:color w:val="231F20"/>
          <w:spacing w:val="-2"/>
          <w:w w:val="95"/>
          <w:sz w:val="17"/>
        </w:rPr>
        <w:t>50–54,</w:t>
      </w:r>
    </w:p>
    <w:p w14:paraId="163F4D1B" w14:textId="77777777" w:rsidR="00AE0598" w:rsidRDefault="0069255A">
      <w:pPr>
        <w:spacing w:before="1"/>
        <w:ind w:left="470"/>
        <w:rPr>
          <w:sz w:val="17"/>
        </w:rPr>
      </w:pPr>
      <w:r>
        <w:rPr>
          <w:color w:val="231F20"/>
          <w:w w:val="95"/>
          <w:sz w:val="17"/>
        </w:rPr>
        <w:t>57,</w:t>
      </w:r>
      <w:r>
        <w:rPr>
          <w:color w:val="231F20"/>
          <w:spacing w:val="-3"/>
          <w:w w:val="95"/>
          <w:sz w:val="17"/>
        </w:rPr>
        <w:t xml:space="preserve"> </w:t>
      </w:r>
      <w:r>
        <w:rPr>
          <w:color w:val="231F20"/>
          <w:w w:val="95"/>
          <w:sz w:val="17"/>
        </w:rPr>
        <w:t>69,</w:t>
      </w:r>
      <w:r>
        <w:rPr>
          <w:color w:val="231F20"/>
          <w:spacing w:val="-3"/>
          <w:w w:val="95"/>
          <w:sz w:val="17"/>
        </w:rPr>
        <w:t xml:space="preserve"> </w:t>
      </w:r>
      <w:r>
        <w:rPr>
          <w:color w:val="231F20"/>
          <w:w w:val="95"/>
          <w:sz w:val="17"/>
        </w:rPr>
        <w:t>73,</w:t>
      </w:r>
      <w:r>
        <w:rPr>
          <w:color w:val="231F20"/>
          <w:spacing w:val="-3"/>
          <w:w w:val="95"/>
          <w:sz w:val="17"/>
        </w:rPr>
        <w:t xml:space="preserve"> </w:t>
      </w:r>
      <w:r>
        <w:rPr>
          <w:color w:val="231F20"/>
          <w:w w:val="95"/>
          <w:sz w:val="17"/>
        </w:rPr>
        <w:t>89,</w:t>
      </w:r>
      <w:r>
        <w:rPr>
          <w:color w:val="231F20"/>
          <w:spacing w:val="-3"/>
          <w:w w:val="95"/>
          <w:sz w:val="17"/>
        </w:rPr>
        <w:t xml:space="preserve"> </w:t>
      </w:r>
      <w:r>
        <w:rPr>
          <w:color w:val="231F20"/>
          <w:w w:val="95"/>
          <w:sz w:val="17"/>
        </w:rPr>
        <w:t>175,</w:t>
      </w:r>
      <w:r>
        <w:rPr>
          <w:color w:val="231F20"/>
          <w:spacing w:val="-3"/>
          <w:w w:val="95"/>
          <w:sz w:val="17"/>
        </w:rPr>
        <w:t xml:space="preserve"> </w:t>
      </w:r>
      <w:r>
        <w:rPr>
          <w:color w:val="231F20"/>
          <w:w w:val="95"/>
          <w:sz w:val="17"/>
        </w:rPr>
        <w:t>192,</w:t>
      </w:r>
      <w:r>
        <w:rPr>
          <w:color w:val="231F20"/>
          <w:spacing w:val="-3"/>
          <w:w w:val="95"/>
          <w:sz w:val="17"/>
        </w:rPr>
        <w:t xml:space="preserve"> </w:t>
      </w:r>
      <w:r>
        <w:rPr>
          <w:color w:val="231F20"/>
          <w:w w:val="95"/>
          <w:sz w:val="17"/>
        </w:rPr>
        <w:t>197,</w:t>
      </w:r>
      <w:r>
        <w:rPr>
          <w:color w:val="231F20"/>
          <w:spacing w:val="-3"/>
          <w:w w:val="95"/>
          <w:sz w:val="17"/>
        </w:rPr>
        <w:t xml:space="preserve"> </w:t>
      </w:r>
      <w:r>
        <w:rPr>
          <w:color w:val="231F20"/>
          <w:w w:val="95"/>
          <w:sz w:val="17"/>
        </w:rPr>
        <w:t>214,</w:t>
      </w:r>
      <w:r>
        <w:rPr>
          <w:color w:val="231F20"/>
          <w:spacing w:val="-3"/>
          <w:w w:val="95"/>
          <w:sz w:val="17"/>
        </w:rPr>
        <w:t xml:space="preserve"> </w:t>
      </w:r>
      <w:r>
        <w:rPr>
          <w:color w:val="231F20"/>
          <w:spacing w:val="-5"/>
          <w:w w:val="95"/>
          <w:sz w:val="17"/>
        </w:rPr>
        <w:t>233</w:t>
      </w:r>
    </w:p>
    <w:p w14:paraId="157DBD4F" w14:textId="77777777" w:rsidR="00AE0598" w:rsidRDefault="0069255A">
      <w:pPr>
        <w:spacing w:before="1"/>
        <w:ind w:left="110"/>
        <w:rPr>
          <w:sz w:val="17"/>
        </w:rPr>
      </w:pPr>
      <w:r>
        <w:rPr>
          <w:color w:val="231F20"/>
          <w:w w:val="95"/>
          <w:sz w:val="17"/>
        </w:rPr>
        <w:t>adventure</w:t>
      </w:r>
      <w:r>
        <w:rPr>
          <w:color w:val="231F20"/>
          <w:spacing w:val="3"/>
          <w:sz w:val="17"/>
        </w:rPr>
        <w:t xml:space="preserve"> </w:t>
      </w:r>
      <w:r>
        <w:rPr>
          <w:color w:val="231F20"/>
          <w:w w:val="95"/>
          <w:sz w:val="17"/>
        </w:rPr>
        <w:t>22,</w:t>
      </w:r>
      <w:r>
        <w:rPr>
          <w:color w:val="231F20"/>
          <w:spacing w:val="3"/>
          <w:sz w:val="17"/>
        </w:rPr>
        <w:t xml:space="preserve"> </w:t>
      </w:r>
      <w:r>
        <w:rPr>
          <w:color w:val="231F20"/>
          <w:w w:val="95"/>
          <w:sz w:val="17"/>
        </w:rPr>
        <w:t>27,</w:t>
      </w:r>
      <w:r>
        <w:rPr>
          <w:color w:val="231F20"/>
          <w:spacing w:val="3"/>
          <w:sz w:val="17"/>
        </w:rPr>
        <w:t xml:space="preserve"> </w:t>
      </w:r>
      <w:r>
        <w:rPr>
          <w:color w:val="231F20"/>
          <w:w w:val="95"/>
          <w:sz w:val="17"/>
        </w:rPr>
        <w:t>30,</w:t>
      </w:r>
      <w:r>
        <w:rPr>
          <w:color w:val="231F20"/>
          <w:spacing w:val="3"/>
          <w:sz w:val="17"/>
        </w:rPr>
        <w:t xml:space="preserve"> </w:t>
      </w:r>
      <w:r>
        <w:rPr>
          <w:color w:val="231F20"/>
          <w:w w:val="95"/>
          <w:sz w:val="17"/>
        </w:rPr>
        <w:t>34–35,</w:t>
      </w:r>
      <w:r>
        <w:rPr>
          <w:color w:val="231F20"/>
          <w:spacing w:val="4"/>
          <w:sz w:val="17"/>
        </w:rPr>
        <w:t xml:space="preserve"> </w:t>
      </w:r>
      <w:r>
        <w:rPr>
          <w:color w:val="231F20"/>
          <w:w w:val="95"/>
          <w:sz w:val="17"/>
        </w:rPr>
        <w:t>43,</w:t>
      </w:r>
      <w:r>
        <w:rPr>
          <w:color w:val="231F20"/>
          <w:spacing w:val="3"/>
          <w:sz w:val="17"/>
        </w:rPr>
        <w:t xml:space="preserve"> </w:t>
      </w:r>
      <w:r>
        <w:rPr>
          <w:color w:val="231F20"/>
          <w:w w:val="95"/>
          <w:sz w:val="17"/>
        </w:rPr>
        <w:t>55,</w:t>
      </w:r>
      <w:r>
        <w:rPr>
          <w:color w:val="231F20"/>
          <w:spacing w:val="3"/>
          <w:sz w:val="17"/>
        </w:rPr>
        <w:t xml:space="preserve"> </w:t>
      </w:r>
      <w:r>
        <w:rPr>
          <w:color w:val="231F20"/>
          <w:w w:val="95"/>
          <w:sz w:val="17"/>
        </w:rPr>
        <w:t>58,</w:t>
      </w:r>
      <w:r>
        <w:rPr>
          <w:color w:val="231F20"/>
          <w:spacing w:val="3"/>
          <w:sz w:val="17"/>
        </w:rPr>
        <w:t xml:space="preserve"> </w:t>
      </w:r>
      <w:r>
        <w:rPr>
          <w:color w:val="231F20"/>
          <w:spacing w:val="-4"/>
          <w:w w:val="95"/>
          <w:sz w:val="17"/>
        </w:rPr>
        <w:t>126,</w:t>
      </w:r>
    </w:p>
    <w:p w14:paraId="13D43188" w14:textId="77777777" w:rsidR="00AE0598" w:rsidRDefault="0069255A">
      <w:pPr>
        <w:ind w:left="470"/>
        <w:rPr>
          <w:sz w:val="17"/>
        </w:rPr>
      </w:pPr>
      <w:r>
        <w:rPr>
          <w:color w:val="231F20"/>
          <w:w w:val="90"/>
          <w:sz w:val="17"/>
        </w:rPr>
        <w:t>181,</w:t>
      </w:r>
      <w:r>
        <w:rPr>
          <w:color w:val="231F20"/>
          <w:spacing w:val="9"/>
          <w:sz w:val="17"/>
        </w:rPr>
        <w:t xml:space="preserve"> </w:t>
      </w:r>
      <w:r>
        <w:rPr>
          <w:color w:val="231F20"/>
          <w:w w:val="90"/>
          <w:sz w:val="17"/>
        </w:rPr>
        <w:t>193,</w:t>
      </w:r>
      <w:r>
        <w:rPr>
          <w:color w:val="231F20"/>
          <w:spacing w:val="9"/>
          <w:sz w:val="17"/>
        </w:rPr>
        <w:t xml:space="preserve"> </w:t>
      </w:r>
      <w:r>
        <w:rPr>
          <w:color w:val="231F20"/>
          <w:w w:val="90"/>
          <w:sz w:val="17"/>
        </w:rPr>
        <w:t>213,</w:t>
      </w:r>
      <w:r>
        <w:rPr>
          <w:color w:val="231F20"/>
          <w:spacing w:val="9"/>
          <w:sz w:val="17"/>
        </w:rPr>
        <w:t xml:space="preserve"> </w:t>
      </w:r>
      <w:r>
        <w:rPr>
          <w:color w:val="231F20"/>
          <w:w w:val="90"/>
          <w:sz w:val="17"/>
        </w:rPr>
        <w:t>219,</w:t>
      </w:r>
      <w:r>
        <w:rPr>
          <w:color w:val="231F20"/>
          <w:spacing w:val="9"/>
          <w:sz w:val="17"/>
        </w:rPr>
        <w:t xml:space="preserve"> </w:t>
      </w:r>
      <w:r>
        <w:rPr>
          <w:color w:val="231F20"/>
          <w:spacing w:val="-5"/>
          <w:w w:val="90"/>
          <w:sz w:val="17"/>
        </w:rPr>
        <w:t>222</w:t>
      </w:r>
    </w:p>
    <w:p w14:paraId="4E7CD9DD" w14:textId="77777777" w:rsidR="00AE0598" w:rsidRDefault="0069255A">
      <w:pPr>
        <w:spacing w:before="1"/>
        <w:ind w:left="110"/>
        <w:rPr>
          <w:sz w:val="17"/>
        </w:rPr>
      </w:pPr>
      <w:r>
        <w:rPr>
          <w:color w:val="231F20"/>
          <w:w w:val="95"/>
          <w:sz w:val="17"/>
        </w:rPr>
        <w:t>adventure</w:t>
      </w:r>
      <w:r>
        <w:rPr>
          <w:color w:val="231F20"/>
          <w:spacing w:val="2"/>
          <w:sz w:val="17"/>
        </w:rPr>
        <w:t xml:space="preserve"> </w:t>
      </w:r>
      <w:r>
        <w:rPr>
          <w:color w:val="231F20"/>
          <w:w w:val="95"/>
          <w:sz w:val="17"/>
        </w:rPr>
        <w:t>activities</w:t>
      </w:r>
      <w:r>
        <w:rPr>
          <w:color w:val="231F20"/>
          <w:spacing w:val="3"/>
          <w:sz w:val="17"/>
        </w:rPr>
        <w:t xml:space="preserve"> </w:t>
      </w:r>
      <w:r>
        <w:rPr>
          <w:color w:val="231F20"/>
          <w:w w:val="95"/>
          <w:sz w:val="17"/>
        </w:rPr>
        <w:t>43,</w:t>
      </w:r>
      <w:r>
        <w:rPr>
          <w:color w:val="231F20"/>
          <w:spacing w:val="3"/>
          <w:sz w:val="17"/>
        </w:rPr>
        <w:t xml:space="preserve"> </w:t>
      </w:r>
      <w:r>
        <w:rPr>
          <w:color w:val="231F20"/>
          <w:w w:val="95"/>
          <w:sz w:val="17"/>
        </w:rPr>
        <w:t>58,</w:t>
      </w:r>
      <w:r>
        <w:rPr>
          <w:color w:val="231F20"/>
          <w:spacing w:val="3"/>
          <w:sz w:val="17"/>
        </w:rPr>
        <w:t xml:space="preserve"> </w:t>
      </w:r>
      <w:r>
        <w:rPr>
          <w:color w:val="231F20"/>
          <w:spacing w:val="-5"/>
          <w:w w:val="95"/>
          <w:sz w:val="17"/>
        </w:rPr>
        <w:t>219</w:t>
      </w:r>
    </w:p>
    <w:p w14:paraId="26BEDA9D" w14:textId="77777777" w:rsidR="00AE0598" w:rsidRDefault="0069255A">
      <w:pPr>
        <w:spacing w:before="1"/>
        <w:ind w:left="110"/>
        <w:rPr>
          <w:sz w:val="17"/>
        </w:rPr>
      </w:pPr>
      <w:r>
        <w:rPr>
          <w:color w:val="231F20"/>
          <w:w w:val="90"/>
          <w:sz w:val="17"/>
        </w:rPr>
        <w:t>aesthetics</w:t>
      </w:r>
      <w:r>
        <w:rPr>
          <w:color w:val="231F20"/>
          <w:spacing w:val="14"/>
          <w:sz w:val="17"/>
        </w:rPr>
        <w:t xml:space="preserve"> </w:t>
      </w:r>
      <w:r>
        <w:rPr>
          <w:color w:val="231F20"/>
          <w:w w:val="90"/>
          <w:sz w:val="17"/>
        </w:rPr>
        <w:t>103,</w:t>
      </w:r>
      <w:r>
        <w:rPr>
          <w:color w:val="231F20"/>
          <w:spacing w:val="15"/>
          <w:sz w:val="17"/>
        </w:rPr>
        <w:t xml:space="preserve"> </w:t>
      </w:r>
      <w:r>
        <w:rPr>
          <w:color w:val="231F20"/>
          <w:w w:val="90"/>
          <w:sz w:val="17"/>
        </w:rPr>
        <w:t>115,</w:t>
      </w:r>
      <w:r>
        <w:rPr>
          <w:color w:val="231F20"/>
          <w:spacing w:val="15"/>
          <w:sz w:val="17"/>
        </w:rPr>
        <w:t xml:space="preserve"> </w:t>
      </w:r>
      <w:r>
        <w:rPr>
          <w:color w:val="231F20"/>
          <w:w w:val="90"/>
          <w:sz w:val="17"/>
        </w:rPr>
        <w:t>117–118,</w:t>
      </w:r>
      <w:r>
        <w:rPr>
          <w:color w:val="231F20"/>
          <w:spacing w:val="15"/>
          <w:sz w:val="17"/>
        </w:rPr>
        <w:t xml:space="preserve"> </w:t>
      </w:r>
      <w:r>
        <w:rPr>
          <w:color w:val="231F20"/>
          <w:w w:val="90"/>
          <w:sz w:val="17"/>
        </w:rPr>
        <w:t>134,</w:t>
      </w:r>
      <w:r>
        <w:rPr>
          <w:color w:val="231F20"/>
          <w:spacing w:val="14"/>
          <w:sz w:val="17"/>
        </w:rPr>
        <w:t xml:space="preserve"> </w:t>
      </w:r>
      <w:r>
        <w:rPr>
          <w:color w:val="231F20"/>
          <w:w w:val="90"/>
          <w:sz w:val="17"/>
        </w:rPr>
        <w:t>136,</w:t>
      </w:r>
      <w:r>
        <w:rPr>
          <w:color w:val="231F20"/>
          <w:spacing w:val="15"/>
          <w:sz w:val="17"/>
        </w:rPr>
        <w:t xml:space="preserve"> </w:t>
      </w:r>
      <w:r>
        <w:rPr>
          <w:color w:val="231F20"/>
          <w:spacing w:val="-5"/>
          <w:w w:val="90"/>
          <w:sz w:val="17"/>
        </w:rPr>
        <w:t>227</w:t>
      </w:r>
    </w:p>
    <w:p w14:paraId="02D57F06" w14:textId="77777777" w:rsidR="00AE0598" w:rsidRDefault="0069255A">
      <w:pPr>
        <w:ind w:left="110" w:right="748"/>
        <w:rPr>
          <w:sz w:val="17"/>
        </w:rPr>
      </w:pPr>
      <w:r>
        <w:rPr>
          <w:color w:val="231F20"/>
          <w:w w:val="95"/>
          <w:sz w:val="17"/>
        </w:rPr>
        <w:t>affect valuation theory 56–57</w:t>
      </w:r>
      <w:r>
        <w:rPr>
          <w:color w:val="231F20"/>
          <w:spacing w:val="40"/>
          <w:sz w:val="17"/>
        </w:rPr>
        <w:t xml:space="preserve"> </w:t>
      </w:r>
      <w:r>
        <w:rPr>
          <w:color w:val="231F20"/>
          <w:sz w:val="17"/>
        </w:rPr>
        <w:t>aging population 218–219</w:t>
      </w:r>
    </w:p>
    <w:p w14:paraId="5376AF51" w14:textId="77777777" w:rsidR="00AE0598" w:rsidRDefault="0069255A">
      <w:pPr>
        <w:spacing w:before="2"/>
        <w:ind w:left="110"/>
        <w:rPr>
          <w:sz w:val="17"/>
        </w:rPr>
      </w:pPr>
      <w:r>
        <w:rPr>
          <w:color w:val="231F20"/>
          <w:w w:val="95"/>
          <w:sz w:val="17"/>
        </w:rPr>
        <w:t>air</w:t>
      </w:r>
      <w:r>
        <w:rPr>
          <w:color w:val="231F20"/>
          <w:spacing w:val="4"/>
          <w:sz w:val="17"/>
        </w:rPr>
        <w:t xml:space="preserve"> </w:t>
      </w:r>
      <w:r>
        <w:rPr>
          <w:color w:val="231F20"/>
          <w:w w:val="95"/>
          <w:sz w:val="17"/>
        </w:rPr>
        <w:t>transport</w:t>
      </w:r>
      <w:r>
        <w:rPr>
          <w:color w:val="231F20"/>
          <w:spacing w:val="5"/>
          <w:sz w:val="17"/>
        </w:rPr>
        <w:t xml:space="preserve"> </w:t>
      </w:r>
      <w:r>
        <w:rPr>
          <w:color w:val="231F20"/>
          <w:w w:val="95"/>
          <w:sz w:val="17"/>
        </w:rPr>
        <w:t>105,</w:t>
      </w:r>
      <w:r>
        <w:rPr>
          <w:color w:val="231F20"/>
          <w:spacing w:val="4"/>
          <w:sz w:val="17"/>
        </w:rPr>
        <w:t xml:space="preserve"> </w:t>
      </w:r>
      <w:r>
        <w:rPr>
          <w:color w:val="231F20"/>
          <w:spacing w:val="-5"/>
          <w:w w:val="95"/>
          <w:sz w:val="17"/>
        </w:rPr>
        <w:t>221</w:t>
      </w:r>
    </w:p>
    <w:p w14:paraId="0B30A1BB" w14:textId="77777777" w:rsidR="00AE0598" w:rsidRDefault="0069255A">
      <w:pPr>
        <w:spacing w:before="1"/>
        <w:ind w:left="110"/>
        <w:rPr>
          <w:sz w:val="17"/>
        </w:rPr>
      </w:pPr>
      <w:r>
        <w:rPr>
          <w:color w:val="231F20"/>
          <w:w w:val="95"/>
          <w:sz w:val="17"/>
        </w:rPr>
        <w:t>Alexander</w:t>
      </w:r>
      <w:r>
        <w:rPr>
          <w:color w:val="231F20"/>
          <w:spacing w:val="12"/>
          <w:sz w:val="17"/>
        </w:rPr>
        <w:t xml:space="preserve"> </w:t>
      </w:r>
      <w:r>
        <w:rPr>
          <w:color w:val="231F20"/>
          <w:w w:val="95"/>
          <w:sz w:val="17"/>
        </w:rPr>
        <w:t>the</w:t>
      </w:r>
      <w:r>
        <w:rPr>
          <w:color w:val="231F20"/>
          <w:spacing w:val="12"/>
          <w:sz w:val="17"/>
        </w:rPr>
        <w:t xml:space="preserve"> </w:t>
      </w:r>
      <w:r>
        <w:rPr>
          <w:color w:val="231F20"/>
          <w:w w:val="95"/>
          <w:sz w:val="17"/>
        </w:rPr>
        <w:t>Great</w:t>
      </w:r>
      <w:r>
        <w:rPr>
          <w:color w:val="231F20"/>
          <w:spacing w:val="13"/>
          <w:sz w:val="17"/>
        </w:rPr>
        <w:t xml:space="preserve"> </w:t>
      </w:r>
      <w:r>
        <w:rPr>
          <w:color w:val="231F20"/>
          <w:w w:val="95"/>
          <w:sz w:val="17"/>
        </w:rPr>
        <w:t>3,</w:t>
      </w:r>
      <w:r>
        <w:rPr>
          <w:color w:val="231F20"/>
          <w:spacing w:val="12"/>
          <w:sz w:val="17"/>
        </w:rPr>
        <w:t xml:space="preserve"> </w:t>
      </w:r>
      <w:r>
        <w:rPr>
          <w:color w:val="231F20"/>
          <w:w w:val="95"/>
          <w:sz w:val="17"/>
        </w:rPr>
        <w:t>227,</w:t>
      </w:r>
      <w:r>
        <w:rPr>
          <w:color w:val="231F20"/>
          <w:spacing w:val="12"/>
          <w:sz w:val="17"/>
        </w:rPr>
        <w:t xml:space="preserve"> </w:t>
      </w:r>
      <w:r>
        <w:rPr>
          <w:color w:val="231F20"/>
          <w:spacing w:val="-5"/>
          <w:w w:val="95"/>
          <w:sz w:val="17"/>
        </w:rPr>
        <w:t>236</w:t>
      </w:r>
    </w:p>
    <w:p w14:paraId="63B92B3E" w14:textId="77777777" w:rsidR="00AE0598" w:rsidRDefault="0069255A">
      <w:pPr>
        <w:ind w:left="110"/>
        <w:rPr>
          <w:sz w:val="17"/>
        </w:rPr>
      </w:pPr>
      <w:r>
        <w:rPr>
          <w:color w:val="231F20"/>
          <w:sz w:val="17"/>
        </w:rPr>
        <w:t>All</w:t>
      </w:r>
      <w:r>
        <w:rPr>
          <w:color w:val="231F20"/>
          <w:spacing w:val="-1"/>
          <w:sz w:val="17"/>
        </w:rPr>
        <w:t xml:space="preserve"> </w:t>
      </w:r>
      <w:r>
        <w:rPr>
          <w:color w:val="231F20"/>
          <w:sz w:val="17"/>
        </w:rPr>
        <w:t>Blacks 11,</w:t>
      </w:r>
      <w:r>
        <w:rPr>
          <w:color w:val="231F20"/>
          <w:spacing w:val="-1"/>
          <w:sz w:val="17"/>
        </w:rPr>
        <w:t xml:space="preserve"> </w:t>
      </w:r>
      <w:r>
        <w:rPr>
          <w:color w:val="231F20"/>
          <w:spacing w:val="-5"/>
          <w:sz w:val="17"/>
        </w:rPr>
        <w:t>139</w:t>
      </w:r>
    </w:p>
    <w:p w14:paraId="51BCDF16" w14:textId="77777777" w:rsidR="00AE0598" w:rsidRDefault="0069255A">
      <w:pPr>
        <w:spacing w:before="1"/>
        <w:ind w:left="110" w:right="31"/>
        <w:rPr>
          <w:sz w:val="17"/>
        </w:rPr>
      </w:pPr>
      <w:r>
        <w:rPr>
          <w:color w:val="231F20"/>
          <w:spacing w:val="-2"/>
          <w:w w:val="95"/>
          <w:sz w:val="17"/>
        </w:rPr>
        <w:t>alternative</w:t>
      </w:r>
      <w:r>
        <w:rPr>
          <w:color w:val="231F20"/>
          <w:spacing w:val="-6"/>
          <w:w w:val="95"/>
          <w:sz w:val="17"/>
        </w:rPr>
        <w:t xml:space="preserve"> </w:t>
      </w:r>
      <w:r>
        <w:rPr>
          <w:color w:val="231F20"/>
          <w:spacing w:val="-2"/>
          <w:w w:val="95"/>
          <w:sz w:val="17"/>
        </w:rPr>
        <w:t>consumer</w:t>
      </w:r>
      <w:r>
        <w:rPr>
          <w:color w:val="231F20"/>
          <w:spacing w:val="-5"/>
          <w:w w:val="95"/>
          <w:sz w:val="17"/>
        </w:rPr>
        <w:t xml:space="preserve"> </w:t>
      </w:r>
      <w:r>
        <w:rPr>
          <w:color w:val="231F20"/>
          <w:spacing w:val="-2"/>
          <w:w w:val="95"/>
          <w:sz w:val="17"/>
        </w:rPr>
        <w:t>behaviour</w:t>
      </w:r>
      <w:r>
        <w:rPr>
          <w:color w:val="231F20"/>
          <w:spacing w:val="-6"/>
          <w:w w:val="95"/>
          <w:sz w:val="17"/>
        </w:rPr>
        <w:t xml:space="preserve"> </w:t>
      </w:r>
      <w:r>
        <w:rPr>
          <w:color w:val="231F20"/>
          <w:spacing w:val="-2"/>
          <w:w w:val="95"/>
          <w:sz w:val="17"/>
        </w:rPr>
        <w:t>approach</w:t>
      </w:r>
      <w:r>
        <w:rPr>
          <w:color w:val="231F20"/>
          <w:spacing w:val="-5"/>
          <w:w w:val="95"/>
          <w:sz w:val="17"/>
        </w:rPr>
        <w:t xml:space="preserve"> </w:t>
      </w:r>
      <w:r>
        <w:rPr>
          <w:color w:val="231F20"/>
          <w:spacing w:val="-2"/>
          <w:w w:val="95"/>
          <w:sz w:val="17"/>
        </w:rPr>
        <w:t>233</w:t>
      </w:r>
      <w:r>
        <w:rPr>
          <w:color w:val="231F20"/>
          <w:spacing w:val="40"/>
          <w:sz w:val="17"/>
        </w:rPr>
        <w:t xml:space="preserve"> </w:t>
      </w:r>
      <w:r>
        <w:rPr>
          <w:color w:val="231F20"/>
          <w:sz w:val="17"/>
        </w:rPr>
        <w:t>amateur athlete 39, 166, 168–170, 233</w:t>
      </w:r>
    </w:p>
    <w:p w14:paraId="55C7289B" w14:textId="77777777" w:rsidR="00AE0598" w:rsidRDefault="0069255A">
      <w:pPr>
        <w:spacing w:before="1"/>
        <w:ind w:left="110"/>
        <w:rPr>
          <w:sz w:val="17"/>
        </w:rPr>
      </w:pPr>
      <w:r>
        <w:rPr>
          <w:color w:val="231F20"/>
          <w:w w:val="95"/>
          <w:sz w:val="17"/>
        </w:rPr>
        <w:t>amateur</w:t>
      </w:r>
      <w:r>
        <w:rPr>
          <w:color w:val="231F20"/>
          <w:spacing w:val="6"/>
          <w:sz w:val="17"/>
        </w:rPr>
        <w:t xml:space="preserve"> </w:t>
      </w:r>
      <w:r>
        <w:rPr>
          <w:color w:val="231F20"/>
          <w:w w:val="95"/>
          <w:sz w:val="17"/>
        </w:rPr>
        <w:t>sports</w:t>
      </w:r>
      <w:r>
        <w:rPr>
          <w:color w:val="231F20"/>
          <w:spacing w:val="6"/>
          <w:sz w:val="17"/>
        </w:rPr>
        <w:t xml:space="preserve"> </w:t>
      </w:r>
      <w:r>
        <w:rPr>
          <w:color w:val="231F20"/>
          <w:w w:val="95"/>
          <w:sz w:val="17"/>
        </w:rPr>
        <w:t>6,</w:t>
      </w:r>
      <w:r>
        <w:rPr>
          <w:color w:val="231F20"/>
          <w:spacing w:val="7"/>
          <w:sz w:val="17"/>
        </w:rPr>
        <w:t xml:space="preserve"> </w:t>
      </w:r>
      <w:r>
        <w:rPr>
          <w:color w:val="231F20"/>
          <w:spacing w:val="-5"/>
          <w:w w:val="95"/>
          <w:sz w:val="17"/>
        </w:rPr>
        <w:t>27</w:t>
      </w:r>
    </w:p>
    <w:p w14:paraId="546DA570" w14:textId="77777777" w:rsidR="00AE0598" w:rsidRDefault="0069255A">
      <w:pPr>
        <w:spacing w:before="1"/>
        <w:ind w:left="110"/>
        <w:rPr>
          <w:sz w:val="17"/>
        </w:rPr>
      </w:pPr>
      <w:r>
        <w:rPr>
          <w:color w:val="231F20"/>
          <w:sz w:val="17"/>
        </w:rPr>
        <w:t>Aotearoa</w:t>
      </w:r>
      <w:r>
        <w:rPr>
          <w:color w:val="231F20"/>
          <w:spacing w:val="-3"/>
          <w:sz w:val="17"/>
        </w:rPr>
        <w:t xml:space="preserve"> </w:t>
      </w:r>
      <w:r>
        <w:rPr>
          <w:color w:val="231F20"/>
          <w:spacing w:val="-5"/>
          <w:sz w:val="17"/>
        </w:rPr>
        <w:t>11</w:t>
      </w:r>
    </w:p>
    <w:p w14:paraId="0D709F72" w14:textId="77777777" w:rsidR="00AE0598" w:rsidRDefault="0069255A">
      <w:pPr>
        <w:spacing w:before="1"/>
        <w:ind w:left="110"/>
        <w:rPr>
          <w:sz w:val="17"/>
        </w:rPr>
      </w:pPr>
      <w:r>
        <w:rPr>
          <w:color w:val="231F20"/>
          <w:w w:val="95"/>
          <w:sz w:val="17"/>
        </w:rPr>
        <w:t>Arsenal</w:t>
      </w:r>
      <w:r>
        <w:rPr>
          <w:color w:val="231F20"/>
          <w:spacing w:val="25"/>
          <w:sz w:val="17"/>
        </w:rPr>
        <w:t xml:space="preserve"> </w:t>
      </w:r>
      <w:r>
        <w:rPr>
          <w:color w:val="231F20"/>
          <w:spacing w:val="-5"/>
          <w:sz w:val="17"/>
        </w:rPr>
        <w:t>106</w:t>
      </w:r>
    </w:p>
    <w:p w14:paraId="34A17F27" w14:textId="77777777" w:rsidR="00AE0598" w:rsidRDefault="0069255A">
      <w:pPr>
        <w:ind w:left="110"/>
        <w:rPr>
          <w:sz w:val="17"/>
        </w:rPr>
      </w:pPr>
      <w:r>
        <w:rPr>
          <w:color w:val="231F20"/>
          <w:w w:val="95"/>
          <w:sz w:val="17"/>
        </w:rPr>
        <w:t>Athens</w:t>
      </w:r>
      <w:r>
        <w:rPr>
          <w:color w:val="231F20"/>
          <w:spacing w:val="16"/>
          <w:sz w:val="17"/>
        </w:rPr>
        <w:t xml:space="preserve"> </w:t>
      </w:r>
      <w:r>
        <w:rPr>
          <w:color w:val="231F20"/>
          <w:spacing w:val="-7"/>
          <w:sz w:val="17"/>
        </w:rPr>
        <w:t>60</w:t>
      </w:r>
    </w:p>
    <w:p w14:paraId="3297D17D" w14:textId="77777777" w:rsidR="00AE0598" w:rsidRDefault="0069255A">
      <w:pPr>
        <w:spacing w:before="1"/>
        <w:ind w:left="110"/>
        <w:rPr>
          <w:sz w:val="17"/>
        </w:rPr>
      </w:pPr>
      <w:r>
        <w:rPr>
          <w:color w:val="231F20"/>
          <w:sz w:val="17"/>
        </w:rPr>
        <w:t>Auckland</w:t>
      </w:r>
      <w:r>
        <w:rPr>
          <w:color w:val="231F20"/>
          <w:spacing w:val="6"/>
          <w:sz w:val="17"/>
        </w:rPr>
        <w:t xml:space="preserve"> </w:t>
      </w:r>
      <w:r>
        <w:rPr>
          <w:color w:val="231F20"/>
          <w:sz w:val="17"/>
        </w:rPr>
        <w:t>Nines</w:t>
      </w:r>
      <w:r>
        <w:rPr>
          <w:color w:val="231F20"/>
          <w:spacing w:val="7"/>
          <w:sz w:val="17"/>
        </w:rPr>
        <w:t xml:space="preserve"> </w:t>
      </w:r>
      <w:r>
        <w:rPr>
          <w:color w:val="231F20"/>
          <w:spacing w:val="-5"/>
          <w:sz w:val="17"/>
        </w:rPr>
        <w:t>97</w:t>
      </w:r>
    </w:p>
    <w:p w14:paraId="054C657B" w14:textId="77777777" w:rsidR="00AE0598" w:rsidRDefault="0069255A">
      <w:pPr>
        <w:spacing w:before="1"/>
        <w:ind w:left="110"/>
        <w:rPr>
          <w:sz w:val="17"/>
        </w:rPr>
      </w:pPr>
      <w:r>
        <w:rPr>
          <w:color w:val="231F20"/>
          <w:w w:val="90"/>
          <w:sz w:val="17"/>
        </w:rPr>
        <w:t>audience</w:t>
      </w:r>
      <w:r>
        <w:rPr>
          <w:color w:val="231F20"/>
          <w:spacing w:val="13"/>
          <w:sz w:val="17"/>
        </w:rPr>
        <w:t xml:space="preserve"> </w:t>
      </w:r>
      <w:r>
        <w:rPr>
          <w:color w:val="231F20"/>
          <w:w w:val="90"/>
          <w:sz w:val="17"/>
        </w:rPr>
        <w:t>77,</w:t>
      </w:r>
      <w:r>
        <w:rPr>
          <w:color w:val="231F20"/>
          <w:spacing w:val="13"/>
          <w:sz w:val="17"/>
        </w:rPr>
        <w:t xml:space="preserve"> </w:t>
      </w:r>
      <w:r>
        <w:rPr>
          <w:color w:val="231F20"/>
          <w:w w:val="90"/>
          <w:sz w:val="17"/>
        </w:rPr>
        <w:t>98,</w:t>
      </w:r>
      <w:r>
        <w:rPr>
          <w:color w:val="231F20"/>
          <w:spacing w:val="13"/>
          <w:sz w:val="17"/>
        </w:rPr>
        <w:t xml:space="preserve"> </w:t>
      </w:r>
      <w:r>
        <w:rPr>
          <w:color w:val="231F20"/>
          <w:w w:val="90"/>
          <w:sz w:val="17"/>
        </w:rPr>
        <w:t>115–117,</w:t>
      </w:r>
      <w:r>
        <w:rPr>
          <w:color w:val="231F20"/>
          <w:spacing w:val="13"/>
          <w:sz w:val="17"/>
        </w:rPr>
        <w:t xml:space="preserve"> </w:t>
      </w:r>
      <w:r>
        <w:rPr>
          <w:color w:val="231F20"/>
          <w:w w:val="90"/>
          <w:sz w:val="17"/>
        </w:rPr>
        <w:t>129,</w:t>
      </w:r>
      <w:r>
        <w:rPr>
          <w:color w:val="231F20"/>
          <w:spacing w:val="13"/>
          <w:sz w:val="17"/>
        </w:rPr>
        <w:t xml:space="preserve"> </w:t>
      </w:r>
      <w:r>
        <w:rPr>
          <w:color w:val="231F20"/>
          <w:w w:val="90"/>
          <w:sz w:val="17"/>
        </w:rPr>
        <w:t>148,</w:t>
      </w:r>
      <w:r>
        <w:rPr>
          <w:color w:val="231F20"/>
          <w:spacing w:val="14"/>
          <w:sz w:val="17"/>
        </w:rPr>
        <w:t xml:space="preserve"> </w:t>
      </w:r>
      <w:r>
        <w:rPr>
          <w:color w:val="231F20"/>
          <w:spacing w:val="-4"/>
          <w:w w:val="90"/>
          <w:sz w:val="17"/>
        </w:rPr>
        <w:t>165,</w:t>
      </w:r>
    </w:p>
    <w:p w14:paraId="5EDDD495" w14:textId="77777777" w:rsidR="00AE0598" w:rsidRDefault="0069255A">
      <w:pPr>
        <w:spacing w:before="1"/>
        <w:ind w:left="470"/>
        <w:rPr>
          <w:sz w:val="17"/>
        </w:rPr>
      </w:pPr>
      <w:r>
        <w:rPr>
          <w:color w:val="231F20"/>
          <w:w w:val="90"/>
          <w:sz w:val="17"/>
        </w:rPr>
        <w:t>215,</w:t>
      </w:r>
      <w:r>
        <w:rPr>
          <w:color w:val="231F20"/>
          <w:spacing w:val="9"/>
          <w:sz w:val="17"/>
        </w:rPr>
        <w:t xml:space="preserve"> </w:t>
      </w:r>
      <w:r>
        <w:rPr>
          <w:color w:val="231F20"/>
          <w:w w:val="90"/>
          <w:sz w:val="17"/>
        </w:rPr>
        <w:t>219,</w:t>
      </w:r>
      <w:r>
        <w:rPr>
          <w:color w:val="231F20"/>
          <w:spacing w:val="10"/>
          <w:sz w:val="17"/>
        </w:rPr>
        <w:t xml:space="preserve"> </w:t>
      </w:r>
      <w:r>
        <w:rPr>
          <w:color w:val="231F20"/>
          <w:spacing w:val="-5"/>
          <w:w w:val="90"/>
          <w:sz w:val="17"/>
        </w:rPr>
        <w:t>228</w:t>
      </w:r>
    </w:p>
    <w:p w14:paraId="7F313B1B" w14:textId="77777777" w:rsidR="00AE0598" w:rsidRDefault="0069255A">
      <w:pPr>
        <w:ind w:left="110"/>
        <w:rPr>
          <w:sz w:val="17"/>
        </w:rPr>
      </w:pPr>
      <w:r>
        <w:rPr>
          <w:color w:val="231F20"/>
          <w:w w:val="95"/>
          <w:sz w:val="17"/>
        </w:rPr>
        <w:t>Australia</w:t>
      </w:r>
      <w:r>
        <w:rPr>
          <w:color w:val="231F20"/>
          <w:spacing w:val="5"/>
          <w:sz w:val="17"/>
        </w:rPr>
        <w:t xml:space="preserve"> </w:t>
      </w:r>
      <w:r>
        <w:rPr>
          <w:color w:val="231F20"/>
          <w:w w:val="95"/>
          <w:sz w:val="17"/>
        </w:rPr>
        <w:t>13,</w:t>
      </w:r>
      <w:r>
        <w:rPr>
          <w:color w:val="231F20"/>
          <w:spacing w:val="6"/>
          <w:sz w:val="17"/>
        </w:rPr>
        <w:t xml:space="preserve"> </w:t>
      </w:r>
      <w:r>
        <w:rPr>
          <w:color w:val="231F20"/>
          <w:w w:val="95"/>
          <w:sz w:val="17"/>
        </w:rPr>
        <w:t>32,</w:t>
      </w:r>
      <w:r>
        <w:rPr>
          <w:color w:val="231F20"/>
          <w:spacing w:val="5"/>
          <w:sz w:val="17"/>
        </w:rPr>
        <w:t xml:space="preserve"> </w:t>
      </w:r>
      <w:r>
        <w:rPr>
          <w:color w:val="231F20"/>
          <w:w w:val="95"/>
          <w:sz w:val="17"/>
        </w:rPr>
        <w:t>47,</w:t>
      </w:r>
      <w:r>
        <w:rPr>
          <w:color w:val="231F20"/>
          <w:spacing w:val="6"/>
          <w:sz w:val="17"/>
        </w:rPr>
        <w:t xml:space="preserve"> </w:t>
      </w:r>
      <w:r>
        <w:rPr>
          <w:color w:val="231F20"/>
          <w:w w:val="95"/>
          <w:sz w:val="17"/>
        </w:rPr>
        <w:t>52,</w:t>
      </w:r>
      <w:r>
        <w:rPr>
          <w:color w:val="231F20"/>
          <w:spacing w:val="5"/>
          <w:sz w:val="17"/>
        </w:rPr>
        <w:t xml:space="preserve"> </w:t>
      </w:r>
      <w:r>
        <w:rPr>
          <w:color w:val="231F20"/>
          <w:w w:val="95"/>
          <w:sz w:val="17"/>
        </w:rPr>
        <w:t>81–84,</w:t>
      </w:r>
      <w:r>
        <w:rPr>
          <w:color w:val="231F20"/>
          <w:spacing w:val="6"/>
          <w:sz w:val="17"/>
        </w:rPr>
        <w:t xml:space="preserve"> </w:t>
      </w:r>
      <w:r>
        <w:rPr>
          <w:color w:val="231F20"/>
          <w:w w:val="95"/>
          <w:sz w:val="17"/>
        </w:rPr>
        <w:t>101,</w:t>
      </w:r>
      <w:r>
        <w:rPr>
          <w:color w:val="231F20"/>
          <w:spacing w:val="5"/>
          <w:sz w:val="17"/>
        </w:rPr>
        <w:t xml:space="preserve"> </w:t>
      </w:r>
      <w:r>
        <w:rPr>
          <w:color w:val="231F20"/>
          <w:spacing w:val="-4"/>
          <w:w w:val="95"/>
          <w:sz w:val="17"/>
        </w:rPr>
        <w:t>110,</w:t>
      </w:r>
    </w:p>
    <w:p w14:paraId="1EB578FD" w14:textId="77777777" w:rsidR="00AE0598" w:rsidRDefault="0069255A">
      <w:pPr>
        <w:spacing w:before="1"/>
        <w:ind w:left="470"/>
        <w:rPr>
          <w:sz w:val="17"/>
        </w:rPr>
      </w:pPr>
      <w:r>
        <w:rPr>
          <w:color w:val="231F20"/>
          <w:w w:val="90"/>
          <w:sz w:val="17"/>
        </w:rPr>
        <w:t>139,</w:t>
      </w:r>
      <w:r>
        <w:rPr>
          <w:color w:val="231F20"/>
          <w:spacing w:val="10"/>
          <w:sz w:val="17"/>
        </w:rPr>
        <w:t xml:space="preserve"> </w:t>
      </w:r>
      <w:r>
        <w:rPr>
          <w:color w:val="231F20"/>
          <w:w w:val="90"/>
          <w:sz w:val="17"/>
        </w:rPr>
        <w:t>163,</w:t>
      </w:r>
      <w:r>
        <w:rPr>
          <w:color w:val="231F20"/>
          <w:spacing w:val="11"/>
          <w:sz w:val="17"/>
        </w:rPr>
        <w:t xml:space="preserve"> </w:t>
      </w:r>
      <w:r>
        <w:rPr>
          <w:color w:val="231F20"/>
          <w:w w:val="90"/>
          <w:sz w:val="17"/>
        </w:rPr>
        <w:t>183,</w:t>
      </w:r>
      <w:r>
        <w:rPr>
          <w:color w:val="231F20"/>
          <w:spacing w:val="11"/>
          <w:sz w:val="17"/>
        </w:rPr>
        <w:t xml:space="preserve"> </w:t>
      </w:r>
      <w:r>
        <w:rPr>
          <w:color w:val="231F20"/>
          <w:w w:val="90"/>
          <w:sz w:val="17"/>
        </w:rPr>
        <w:t>201,</w:t>
      </w:r>
      <w:r>
        <w:rPr>
          <w:color w:val="231F20"/>
          <w:spacing w:val="11"/>
          <w:sz w:val="17"/>
        </w:rPr>
        <w:t xml:space="preserve"> </w:t>
      </w:r>
      <w:r>
        <w:rPr>
          <w:color w:val="231F20"/>
          <w:spacing w:val="-5"/>
          <w:w w:val="90"/>
          <w:sz w:val="17"/>
        </w:rPr>
        <w:t>202</w:t>
      </w:r>
    </w:p>
    <w:p w14:paraId="32EF5741" w14:textId="77777777" w:rsidR="00AE0598" w:rsidRDefault="0069255A">
      <w:pPr>
        <w:spacing w:before="1"/>
        <w:ind w:left="110"/>
        <w:rPr>
          <w:sz w:val="17"/>
        </w:rPr>
      </w:pPr>
      <w:r>
        <w:rPr>
          <w:color w:val="231F20"/>
          <w:w w:val="95"/>
          <w:sz w:val="17"/>
        </w:rPr>
        <w:t>Australian</w:t>
      </w:r>
      <w:r>
        <w:rPr>
          <w:color w:val="231F20"/>
          <w:spacing w:val="17"/>
          <w:sz w:val="17"/>
        </w:rPr>
        <w:t xml:space="preserve"> </w:t>
      </w:r>
      <w:r>
        <w:rPr>
          <w:color w:val="231F20"/>
          <w:w w:val="95"/>
          <w:sz w:val="17"/>
        </w:rPr>
        <w:t>Rules</w:t>
      </w:r>
      <w:r>
        <w:rPr>
          <w:color w:val="231F20"/>
          <w:spacing w:val="17"/>
          <w:sz w:val="17"/>
        </w:rPr>
        <w:t xml:space="preserve"> </w:t>
      </w:r>
      <w:r>
        <w:rPr>
          <w:color w:val="231F20"/>
          <w:w w:val="95"/>
          <w:sz w:val="17"/>
        </w:rPr>
        <w:t>Football</w:t>
      </w:r>
      <w:r>
        <w:rPr>
          <w:color w:val="231F20"/>
          <w:spacing w:val="18"/>
          <w:sz w:val="17"/>
        </w:rPr>
        <w:t xml:space="preserve"> </w:t>
      </w:r>
      <w:r>
        <w:rPr>
          <w:color w:val="231F20"/>
          <w:w w:val="95"/>
          <w:sz w:val="17"/>
        </w:rPr>
        <w:t>11,</w:t>
      </w:r>
      <w:r>
        <w:rPr>
          <w:color w:val="231F20"/>
          <w:spacing w:val="17"/>
          <w:sz w:val="17"/>
        </w:rPr>
        <w:t xml:space="preserve"> </w:t>
      </w:r>
      <w:r>
        <w:rPr>
          <w:color w:val="231F20"/>
          <w:w w:val="95"/>
          <w:sz w:val="17"/>
        </w:rPr>
        <w:t>52,</w:t>
      </w:r>
      <w:r>
        <w:rPr>
          <w:color w:val="231F20"/>
          <w:spacing w:val="18"/>
          <w:sz w:val="17"/>
        </w:rPr>
        <w:t xml:space="preserve"> </w:t>
      </w:r>
      <w:r>
        <w:rPr>
          <w:color w:val="231F20"/>
          <w:spacing w:val="-5"/>
          <w:w w:val="95"/>
          <w:sz w:val="17"/>
        </w:rPr>
        <w:t>81</w:t>
      </w:r>
    </w:p>
    <w:p w14:paraId="22F32E2F" w14:textId="77777777" w:rsidR="00AE0598" w:rsidRDefault="0069255A">
      <w:pPr>
        <w:ind w:left="110"/>
        <w:rPr>
          <w:sz w:val="17"/>
        </w:rPr>
      </w:pPr>
      <w:r>
        <w:rPr>
          <w:color w:val="231F20"/>
          <w:w w:val="95"/>
          <w:sz w:val="17"/>
        </w:rPr>
        <w:t>Austria</w:t>
      </w:r>
      <w:r>
        <w:rPr>
          <w:color w:val="231F20"/>
          <w:spacing w:val="9"/>
          <w:sz w:val="17"/>
        </w:rPr>
        <w:t xml:space="preserve"> </w:t>
      </w:r>
      <w:r>
        <w:rPr>
          <w:color w:val="231F20"/>
          <w:w w:val="95"/>
          <w:sz w:val="17"/>
        </w:rPr>
        <w:t>105,</w:t>
      </w:r>
      <w:r>
        <w:rPr>
          <w:color w:val="231F20"/>
          <w:spacing w:val="10"/>
          <w:sz w:val="17"/>
        </w:rPr>
        <w:t xml:space="preserve"> </w:t>
      </w:r>
      <w:r>
        <w:rPr>
          <w:color w:val="231F20"/>
          <w:spacing w:val="-2"/>
          <w:w w:val="95"/>
          <w:sz w:val="17"/>
        </w:rPr>
        <w:t>189–191</w:t>
      </w:r>
    </w:p>
    <w:p w14:paraId="663F852F" w14:textId="77777777" w:rsidR="00AE0598" w:rsidRDefault="0069255A">
      <w:pPr>
        <w:spacing w:before="1"/>
        <w:ind w:left="110"/>
        <w:rPr>
          <w:sz w:val="17"/>
        </w:rPr>
      </w:pPr>
      <w:r>
        <w:rPr>
          <w:color w:val="231F20"/>
          <w:w w:val="95"/>
          <w:sz w:val="17"/>
        </w:rPr>
        <w:t>authentication</w:t>
      </w:r>
      <w:r>
        <w:rPr>
          <w:color w:val="231F20"/>
          <w:spacing w:val="11"/>
          <w:sz w:val="17"/>
        </w:rPr>
        <w:t xml:space="preserve"> </w:t>
      </w:r>
      <w:r>
        <w:rPr>
          <w:color w:val="231F20"/>
          <w:w w:val="95"/>
          <w:sz w:val="17"/>
        </w:rPr>
        <w:t>70,</w:t>
      </w:r>
      <w:r>
        <w:rPr>
          <w:color w:val="231F20"/>
          <w:spacing w:val="11"/>
          <w:sz w:val="17"/>
        </w:rPr>
        <w:t xml:space="preserve"> </w:t>
      </w:r>
      <w:r>
        <w:rPr>
          <w:color w:val="231F20"/>
          <w:spacing w:val="-7"/>
          <w:w w:val="95"/>
          <w:sz w:val="17"/>
        </w:rPr>
        <w:t>74</w:t>
      </w:r>
    </w:p>
    <w:p w14:paraId="2DE53A30" w14:textId="77777777" w:rsidR="00AE0598" w:rsidRDefault="0069255A">
      <w:pPr>
        <w:spacing w:before="1"/>
        <w:ind w:left="110"/>
        <w:rPr>
          <w:sz w:val="17"/>
        </w:rPr>
      </w:pPr>
      <w:r>
        <w:rPr>
          <w:color w:val="231F20"/>
          <w:w w:val="95"/>
          <w:sz w:val="17"/>
        </w:rPr>
        <w:t>authenticity</w:t>
      </w:r>
      <w:r>
        <w:rPr>
          <w:color w:val="231F20"/>
          <w:spacing w:val="3"/>
          <w:sz w:val="17"/>
        </w:rPr>
        <w:t xml:space="preserve"> </w:t>
      </w:r>
      <w:r>
        <w:rPr>
          <w:color w:val="231F20"/>
          <w:w w:val="95"/>
          <w:sz w:val="17"/>
        </w:rPr>
        <w:t>8,</w:t>
      </w:r>
      <w:r>
        <w:rPr>
          <w:color w:val="231F20"/>
          <w:spacing w:val="3"/>
          <w:sz w:val="17"/>
        </w:rPr>
        <w:t xml:space="preserve"> </w:t>
      </w:r>
      <w:r>
        <w:rPr>
          <w:color w:val="231F20"/>
          <w:w w:val="95"/>
          <w:sz w:val="17"/>
        </w:rPr>
        <w:t>21,</w:t>
      </w:r>
      <w:r>
        <w:rPr>
          <w:color w:val="231F20"/>
          <w:spacing w:val="3"/>
          <w:sz w:val="17"/>
        </w:rPr>
        <w:t xml:space="preserve"> </w:t>
      </w:r>
      <w:r>
        <w:rPr>
          <w:color w:val="231F20"/>
          <w:w w:val="95"/>
          <w:sz w:val="17"/>
        </w:rPr>
        <w:t>60,</w:t>
      </w:r>
      <w:r>
        <w:rPr>
          <w:color w:val="231F20"/>
          <w:spacing w:val="3"/>
          <w:sz w:val="17"/>
        </w:rPr>
        <w:t xml:space="preserve"> </w:t>
      </w:r>
      <w:r>
        <w:rPr>
          <w:color w:val="231F20"/>
          <w:w w:val="95"/>
          <w:sz w:val="17"/>
        </w:rPr>
        <w:t>61,</w:t>
      </w:r>
      <w:r>
        <w:rPr>
          <w:color w:val="231F20"/>
          <w:spacing w:val="3"/>
          <w:sz w:val="17"/>
        </w:rPr>
        <w:t xml:space="preserve"> </w:t>
      </w:r>
      <w:r>
        <w:rPr>
          <w:color w:val="231F20"/>
          <w:w w:val="95"/>
          <w:sz w:val="17"/>
        </w:rPr>
        <w:t>63,</w:t>
      </w:r>
      <w:r>
        <w:rPr>
          <w:color w:val="231F20"/>
          <w:spacing w:val="3"/>
          <w:sz w:val="17"/>
        </w:rPr>
        <w:t xml:space="preserve"> </w:t>
      </w:r>
      <w:r>
        <w:rPr>
          <w:color w:val="231F20"/>
          <w:w w:val="95"/>
          <w:sz w:val="17"/>
        </w:rPr>
        <w:t>70–74,</w:t>
      </w:r>
      <w:r>
        <w:rPr>
          <w:color w:val="231F20"/>
          <w:spacing w:val="3"/>
          <w:sz w:val="17"/>
        </w:rPr>
        <w:t xml:space="preserve"> </w:t>
      </w:r>
      <w:r>
        <w:rPr>
          <w:color w:val="231F20"/>
          <w:w w:val="95"/>
          <w:sz w:val="17"/>
        </w:rPr>
        <w:t>77,</w:t>
      </w:r>
      <w:r>
        <w:rPr>
          <w:color w:val="231F20"/>
          <w:spacing w:val="3"/>
          <w:sz w:val="17"/>
        </w:rPr>
        <w:t xml:space="preserve"> </w:t>
      </w:r>
      <w:r>
        <w:rPr>
          <w:color w:val="231F20"/>
          <w:spacing w:val="-5"/>
          <w:w w:val="95"/>
          <w:sz w:val="17"/>
        </w:rPr>
        <w:t>84,</w:t>
      </w:r>
    </w:p>
    <w:p w14:paraId="4DF5FC4F" w14:textId="77777777" w:rsidR="00AE0598" w:rsidRDefault="0069255A">
      <w:pPr>
        <w:spacing w:before="1"/>
        <w:ind w:left="470"/>
        <w:rPr>
          <w:sz w:val="17"/>
        </w:rPr>
      </w:pPr>
      <w:r>
        <w:rPr>
          <w:color w:val="231F20"/>
          <w:w w:val="95"/>
          <w:sz w:val="17"/>
        </w:rPr>
        <w:t>95,</w:t>
      </w:r>
      <w:r>
        <w:rPr>
          <w:color w:val="231F20"/>
          <w:spacing w:val="-2"/>
          <w:sz w:val="17"/>
        </w:rPr>
        <w:t xml:space="preserve"> </w:t>
      </w:r>
      <w:r>
        <w:rPr>
          <w:color w:val="231F20"/>
          <w:w w:val="95"/>
          <w:sz w:val="17"/>
        </w:rPr>
        <w:t>205,</w:t>
      </w:r>
      <w:r>
        <w:rPr>
          <w:color w:val="231F20"/>
          <w:spacing w:val="-1"/>
          <w:sz w:val="17"/>
        </w:rPr>
        <w:t xml:space="preserve"> </w:t>
      </w:r>
      <w:r>
        <w:rPr>
          <w:color w:val="231F20"/>
          <w:w w:val="95"/>
          <w:sz w:val="17"/>
        </w:rPr>
        <w:t>215,</w:t>
      </w:r>
      <w:r>
        <w:rPr>
          <w:color w:val="231F20"/>
          <w:spacing w:val="-1"/>
          <w:sz w:val="17"/>
        </w:rPr>
        <w:t xml:space="preserve"> </w:t>
      </w:r>
      <w:r>
        <w:rPr>
          <w:color w:val="231F20"/>
          <w:spacing w:val="-5"/>
          <w:w w:val="95"/>
          <w:sz w:val="17"/>
        </w:rPr>
        <w:t>231</w:t>
      </w:r>
    </w:p>
    <w:p w14:paraId="70DD375E" w14:textId="77777777" w:rsidR="00AE0598" w:rsidRDefault="00AE0598">
      <w:pPr>
        <w:pStyle w:val="Corpodetexto"/>
        <w:spacing w:before="2"/>
        <w:rPr>
          <w:sz w:val="16"/>
        </w:rPr>
      </w:pPr>
    </w:p>
    <w:p w14:paraId="71A1F4BA" w14:textId="77777777" w:rsidR="00AE0598" w:rsidRDefault="0069255A">
      <w:pPr>
        <w:spacing w:before="1"/>
        <w:ind w:left="110"/>
        <w:rPr>
          <w:sz w:val="17"/>
        </w:rPr>
      </w:pPr>
      <w:r>
        <w:rPr>
          <w:color w:val="231F20"/>
          <w:w w:val="95"/>
          <w:sz w:val="17"/>
        </w:rPr>
        <w:t>Barcelona</w:t>
      </w:r>
      <w:r>
        <w:rPr>
          <w:color w:val="231F20"/>
          <w:spacing w:val="5"/>
          <w:sz w:val="17"/>
        </w:rPr>
        <w:t xml:space="preserve"> </w:t>
      </w:r>
      <w:r>
        <w:rPr>
          <w:color w:val="231F20"/>
          <w:w w:val="95"/>
          <w:sz w:val="17"/>
        </w:rPr>
        <w:t>78,</w:t>
      </w:r>
      <w:r>
        <w:rPr>
          <w:color w:val="231F20"/>
          <w:spacing w:val="5"/>
          <w:sz w:val="17"/>
        </w:rPr>
        <w:t xml:space="preserve"> </w:t>
      </w:r>
      <w:r>
        <w:rPr>
          <w:color w:val="231F20"/>
          <w:w w:val="95"/>
          <w:sz w:val="17"/>
        </w:rPr>
        <w:t>81,</w:t>
      </w:r>
      <w:r>
        <w:rPr>
          <w:color w:val="231F20"/>
          <w:spacing w:val="6"/>
          <w:sz w:val="17"/>
        </w:rPr>
        <w:t xml:space="preserve"> </w:t>
      </w:r>
      <w:r>
        <w:rPr>
          <w:color w:val="231F20"/>
          <w:w w:val="95"/>
          <w:sz w:val="17"/>
        </w:rPr>
        <w:t>98,</w:t>
      </w:r>
      <w:r>
        <w:rPr>
          <w:color w:val="231F20"/>
          <w:spacing w:val="5"/>
          <w:sz w:val="17"/>
        </w:rPr>
        <w:t xml:space="preserve"> </w:t>
      </w:r>
      <w:r>
        <w:rPr>
          <w:color w:val="231F20"/>
          <w:w w:val="95"/>
          <w:sz w:val="17"/>
        </w:rPr>
        <w:t>146,</w:t>
      </w:r>
      <w:r>
        <w:rPr>
          <w:color w:val="231F20"/>
          <w:spacing w:val="6"/>
          <w:sz w:val="17"/>
        </w:rPr>
        <w:t xml:space="preserve"> </w:t>
      </w:r>
      <w:r>
        <w:rPr>
          <w:color w:val="231F20"/>
          <w:spacing w:val="-5"/>
          <w:w w:val="95"/>
          <w:sz w:val="17"/>
        </w:rPr>
        <w:t>212</w:t>
      </w:r>
    </w:p>
    <w:p w14:paraId="6D366CD8" w14:textId="77777777" w:rsidR="00AE0598" w:rsidRDefault="0069255A">
      <w:pPr>
        <w:ind w:left="110"/>
        <w:rPr>
          <w:sz w:val="17"/>
        </w:rPr>
      </w:pPr>
      <w:r>
        <w:rPr>
          <w:color w:val="231F20"/>
          <w:w w:val="95"/>
          <w:sz w:val="17"/>
        </w:rPr>
        <w:t>Barmy</w:t>
      </w:r>
      <w:r>
        <w:rPr>
          <w:color w:val="231F20"/>
          <w:spacing w:val="17"/>
          <w:sz w:val="17"/>
        </w:rPr>
        <w:t xml:space="preserve"> </w:t>
      </w:r>
      <w:r>
        <w:rPr>
          <w:color w:val="231F20"/>
          <w:w w:val="95"/>
          <w:sz w:val="17"/>
        </w:rPr>
        <w:t>Army</w:t>
      </w:r>
      <w:r>
        <w:rPr>
          <w:color w:val="231F20"/>
          <w:spacing w:val="18"/>
          <w:sz w:val="17"/>
        </w:rPr>
        <w:t xml:space="preserve"> </w:t>
      </w:r>
      <w:r>
        <w:rPr>
          <w:color w:val="231F20"/>
          <w:spacing w:val="-5"/>
          <w:w w:val="95"/>
          <w:sz w:val="17"/>
        </w:rPr>
        <w:t>47</w:t>
      </w:r>
    </w:p>
    <w:p w14:paraId="5BFA7C40" w14:textId="77777777" w:rsidR="00AE0598" w:rsidRDefault="0069255A">
      <w:pPr>
        <w:spacing w:before="1"/>
        <w:ind w:left="110"/>
        <w:rPr>
          <w:sz w:val="17"/>
        </w:rPr>
      </w:pPr>
      <w:r>
        <w:rPr>
          <w:color w:val="231F20"/>
          <w:w w:val="95"/>
          <w:sz w:val="17"/>
        </w:rPr>
        <w:t>base</w:t>
      </w:r>
      <w:r>
        <w:rPr>
          <w:color w:val="231F20"/>
          <w:spacing w:val="-1"/>
          <w:sz w:val="17"/>
        </w:rPr>
        <w:t xml:space="preserve"> </w:t>
      </w:r>
      <w:r>
        <w:rPr>
          <w:color w:val="231F20"/>
          <w:w w:val="95"/>
          <w:sz w:val="17"/>
        </w:rPr>
        <w:t>jumping</w:t>
      </w:r>
      <w:r>
        <w:rPr>
          <w:color w:val="231F20"/>
          <w:spacing w:val="-1"/>
          <w:sz w:val="17"/>
        </w:rPr>
        <w:t xml:space="preserve"> </w:t>
      </w:r>
      <w:r>
        <w:rPr>
          <w:color w:val="231F20"/>
          <w:w w:val="95"/>
          <w:sz w:val="17"/>
        </w:rPr>
        <w:t>149,</w:t>
      </w:r>
      <w:r>
        <w:rPr>
          <w:color w:val="231F20"/>
          <w:spacing w:val="-1"/>
          <w:sz w:val="17"/>
        </w:rPr>
        <w:t xml:space="preserve"> </w:t>
      </w:r>
      <w:r>
        <w:rPr>
          <w:color w:val="231F20"/>
          <w:spacing w:val="-5"/>
          <w:w w:val="95"/>
          <w:sz w:val="17"/>
        </w:rPr>
        <w:t>204</w:t>
      </w:r>
    </w:p>
    <w:p w14:paraId="337D7EBD" w14:textId="77777777" w:rsidR="00AE0598" w:rsidRDefault="0069255A">
      <w:pPr>
        <w:spacing w:before="1"/>
        <w:ind w:left="110"/>
        <w:rPr>
          <w:sz w:val="17"/>
        </w:rPr>
      </w:pPr>
      <w:r>
        <w:rPr>
          <w:color w:val="231F20"/>
          <w:w w:val="95"/>
          <w:sz w:val="17"/>
        </w:rPr>
        <w:t>baseball</w:t>
      </w:r>
      <w:r>
        <w:rPr>
          <w:color w:val="231F20"/>
          <w:spacing w:val="1"/>
          <w:sz w:val="17"/>
        </w:rPr>
        <w:t xml:space="preserve"> </w:t>
      </w:r>
      <w:r>
        <w:rPr>
          <w:color w:val="231F20"/>
          <w:w w:val="95"/>
          <w:sz w:val="17"/>
        </w:rPr>
        <w:t>52–53,</w:t>
      </w:r>
      <w:r>
        <w:rPr>
          <w:color w:val="231F20"/>
          <w:spacing w:val="1"/>
          <w:sz w:val="17"/>
        </w:rPr>
        <w:t xml:space="preserve"> </w:t>
      </w:r>
      <w:r>
        <w:rPr>
          <w:color w:val="231F20"/>
          <w:w w:val="95"/>
          <w:sz w:val="17"/>
        </w:rPr>
        <w:t>57,</w:t>
      </w:r>
      <w:r>
        <w:rPr>
          <w:color w:val="231F20"/>
          <w:spacing w:val="2"/>
          <w:sz w:val="17"/>
        </w:rPr>
        <w:t xml:space="preserve"> </w:t>
      </w:r>
      <w:r>
        <w:rPr>
          <w:color w:val="231F20"/>
          <w:w w:val="95"/>
          <w:sz w:val="17"/>
        </w:rPr>
        <w:t>98,</w:t>
      </w:r>
      <w:r>
        <w:rPr>
          <w:color w:val="231F20"/>
          <w:spacing w:val="1"/>
          <w:sz w:val="17"/>
        </w:rPr>
        <w:t xml:space="preserve"> </w:t>
      </w:r>
      <w:r>
        <w:rPr>
          <w:color w:val="231F20"/>
          <w:w w:val="95"/>
          <w:sz w:val="17"/>
        </w:rPr>
        <w:t>105,</w:t>
      </w:r>
      <w:r>
        <w:rPr>
          <w:color w:val="231F20"/>
          <w:spacing w:val="2"/>
          <w:sz w:val="17"/>
        </w:rPr>
        <w:t xml:space="preserve"> </w:t>
      </w:r>
      <w:r>
        <w:rPr>
          <w:color w:val="231F20"/>
          <w:w w:val="95"/>
          <w:sz w:val="17"/>
        </w:rPr>
        <w:t>136,</w:t>
      </w:r>
      <w:r>
        <w:rPr>
          <w:color w:val="231F20"/>
          <w:spacing w:val="1"/>
          <w:sz w:val="17"/>
        </w:rPr>
        <w:t xml:space="preserve"> </w:t>
      </w:r>
      <w:r>
        <w:rPr>
          <w:color w:val="231F20"/>
          <w:spacing w:val="-2"/>
          <w:w w:val="95"/>
          <w:sz w:val="17"/>
        </w:rPr>
        <w:t>210–211</w:t>
      </w:r>
    </w:p>
    <w:p w14:paraId="7073EA2E" w14:textId="77777777" w:rsidR="00AE0598" w:rsidRDefault="0069255A">
      <w:pPr>
        <w:ind w:left="110"/>
        <w:rPr>
          <w:sz w:val="17"/>
        </w:rPr>
      </w:pPr>
      <w:r>
        <w:rPr>
          <w:color w:val="231F20"/>
          <w:w w:val="95"/>
          <w:sz w:val="17"/>
        </w:rPr>
        <w:t>basketball</w:t>
      </w:r>
      <w:r>
        <w:rPr>
          <w:color w:val="231F20"/>
          <w:spacing w:val="4"/>
          <w:sz w:val="17"/>
        </w:rPr>
        <w:t xml:space="preserve"> </w:t>
      </w:r>
      <w:r>
        <w:rPr>
          <w:color w:val="231F20"/>
          <w:w w:val="95"/>
          <w:sz w:val="17"/>
        </w:rPr>
        <w:t>52–55,</w:t>
      </w:r>
      <w:r>
        <w:rPr>
          <w:color w:val="231F20"/>
          <w:spacing w:val="4"/>
          <w:sz w:val="17"/>
        </w:rPr>
        <w:t xml:space="preserve"> </w:t>
      </w:r>
      <w:r>
        <w:rPr>
          <w:color w:val="231F20"/>
          <w:w w:val="95"/>
          <w:sz w:val="17"/>
        </w:rPr>
        <w:t>79–81,</w:t>
      </w:r>
      <w:r>
        <w:rPr>
          <w:color w:val="231F20"/>
          <w:spacing w:val="4"/>
          <w:sz w:val="17"/>
        </w:rPr>
        <w:t xml:space="preserve"> </w:t>
      </w:r>
      <w:r>
        <w:rPr>
          <w:color w:val="231F20"/>
          <w:w w:val="95"/>
          <w:sz w:val="17"/>
        </w:rPr>
        <w:t>90,</w:t>
      </w:r>
      <w:r>
        <w:rPr>
          <w:color w:val="231F20"/>
          <w:spacing w:val="4"/>
          <w:sz w:val="17"/>
        </w:rPr>
        <w:t xml:space="preserve"> </w:t>
      </w:r>
      <w:r>
        <w:rPr>
          <w:color w:val="231F20"/>
          <w:w w:val="95"/>
          <w:sz w:val="17"/>
        </w:rPr>
        <w:t>124,</w:t>
      </w:r>
      <w:r>
        <w:rPr>
          <w:color w:val="231F20"/>
          <w:spacing w:val="4"/>
          <w:sz w:val="17"/>
        </w:rPr>
        <w:t xml:space="preserve"> </w:t>
      </w:r>
      <w:r>
        <w:rPr>
          <w:color w:val="231F20"/>
          <w:w w:val="95"/>
          <w:sz w:val="17"/>
        </w:rPr>
        <w:t>144,</w:t>
      </w:r>
      <w:r>
        <w:rPr>
          <w:color w:val="231F20"/>
          <w:spacing w:val="4"/>
          <w:sz w:val="17"/>
        </w:rPr>
        <w:t xml:space="preserve"> </w:t>
      </w:r>
      <w:r>
        <w:rPr>
          <w:color w:val="231F20"/>
          <w:spacing w:val="-4"/>
          <w:w w:val="95"/>
          <w:sz w:val="17"/>
        </w:rPr>
        <w:t>185,</w:t>
      </w:r>
    </w:p>
    <w:p w14:paraId="29EBD887" w14:textId="77777777" w:rsidR="00AE0598" w:rsidRDefault="0069255A">
      <w:pPr>
        <w:spacing w:before="1"/>
        <w:ind w:left="470"/>
        <w:rPr>
          <w:sz w:val="17"/>
        </w:rPr>
      </w:pPr>
      <w:r>
        <w:rPr>
          <w:color w:val="231F20"/>
          <w:w w:val="90"/>
          <w:sz w:val="17"/>
        </w:rPr>
        <w:t>204,</w:t>
      </w:r>
      <w:r>
        <w:rPr>
          <w:color w:val="231F20"/>
          <w:spacing w:val="24"/>
          <w:sz w:val="17"/>
        </w:rPr>
        <w:t xml:space="preserve"> </w:t>
      </w:r>
      <w:r>
        <w:rPr>
          <w:color w:val="231F20"/>
          <w:spacing w:val="-5"/>
          <w:sz w:val="17"/>
        </w:rPr>
        <w:t>221</w:t>
      </w:r>
    </w:p>
    <w:p w14:paraId="57DE8996" w14:textId="77777777" w:rsidR="00AE0598" w:rsidRDefault="0069255A">
      <w:pPr>
        <w:spacing w:before="1"/>
        <w:ind w:left="110"/>
        <w:rPr>
          <w:sz w:val="17"/>
        </w:rPr>
      </w:pPr>
      <w:r>
        <w:rPr>
          <w:color w:val="231F20"/>
          <w:w w:val="95"/>
          <w:sz w:val="17"/>
        </w:rPr>
        <w:t>behavioural</w:t>
      </w:r>
      <w:r>
        <w:rPr>
          <w:color w:val="231F20"/>
          <w:sz w:val="17"/>
        </w:rPr>
        <w:t xml:space="preserve"> </w:t>
      </w:r>
      <w:r>
        <w:rPr>
          <w:color w:val="231F20"/>
          <w:w w:val="95"/>
          <w:sz w:val="17"/>
        </w:rPr>
        <w:t>31,</w:t>
      </w:r>
      <w:r>
        <w:rPr>
          <w:color w:val="231F20"/>
          <w:sz w:val="17"/>
        </w:rPr>
        <w:t xml:space="preserve"> </w:t>
      </w:r>
      <w:r>
        <w:rPr>
          <w:color w:val="231F20"/>
          <w:w w:val="95"/>
          <w:sz w:val="17"/>
        </w:rPr>
        <w:t>58–59,</w:t>
      </w:r>
      <w:r>
        <w:rPr>
          <w:color w:val="231F20"/>
          <w:sz w:val="17"/>
        </w:rPr>
        <w:t xml:space="preserve"> </w:t>
      </w:r>
      <w:r>
        <w:rPr>
          <w:color w:val="231F20"/>
          <w:w w:val="95"/>
          <w:sz w:val="17"/>
        </w:rPr>
        <w:t>142,</w:t>
      </w:r>
      <w:r>
        <w:rPr>
          <w:color w:val="231F20"/>
          <w:spacing w:val="1"/>
          <w:sz w:val="17"/>
        </w:rPr>
        <w:t xml:space="preserve"> </w:t>
      </w:r>
      <w:r>
        <w:rPr>
          <w:color w:val="231F20"/>
          <w:w w:val="95"/>
          <w:sz w:val="17"/>
        </w:rPr>
        <w:t>144,</w:t>
      </w:r>
      <w:r>
        <w:rPr>
          <w:color w:val="231F20"/>
          <w:sz w:val="17"/>
        </w:rPr>
        <w:t xml:space="preserve"> </w:t>
      </w:r>
      <w:r>
        <w:rPr>
          <w:color w:val="231F20"/>
          <w:spacing w:val="-5"/>
          <w:w w:val="95"/>
          <w:sz w:val="17"/>
        </w:rPr>
        <w:t>169</w:t>
      </w:r>
    </w:p>
    <w:p w14:paraId="0F511178" w14:textId="77777777" w:rsidR="00AE0598" w:rsidRDefault="0069255A">
      <w:pPr>
        <w:spacing w:before="1"/>
        <w:ind w:left="110"/>
        <w:rPr>
          <w:sz w:val="17"/>
        </w:rPr>
      </w:pPr>
      <w:r>
        <w:rPr>
          <w:color w:val="231F20"/>
          <w:w w:val="95"/>
          <w:sz w:val="17"/>
        </w:rPr>
        <w:t>behavioural</w:t>
      </w:r>
      <w:r>
        <w:rPr>
          <w:color w:val="231F20"/>
          <w:spacing w:val="9"/>
          <w:sz w:val="17"/>
        </w:rPr>
        <w:t xml:space="preserve"> </w:t>
      </w:r>
      <w:r>
        <w:rPr>
          <w:color w:val="231F20"/>
          <w:w w:val="95"/>
          <w:sz w:val="17"/>
        </w:rPr>
        <w:t>profile</w:t>
      </w:r>
      <w:r>
        <w:rPr>
          <w:color w:val="231F20"/>
          <w:spacing w:val="10"/>
          <w:sz w:val="17"/>
        </w:rPr>
        <w:t xml:space="preserve"> </w:t>
      </w:r>
      <w:r>
        <w:rPr>
          <w:color w:val="231F20"/>
          <w:spacing w:val="-4"/>
          <w:w w:val="95"/>
          <w:sz w:val="17"/>
        </w:rPr>
        <w:t>58–59</w:t>
      </w:r>
    </w:p>
    <w:p w14:paraId="3417D122" w14:textId="77777777" w:rsidR="00AE0598" w:rsidRDefault="0069255A">
      <w:pPr>
        <w:ind w:left="110"/>
        <w:rPr>
          <w:sz w:val="17"/>
        </w:rPr>
      </w:pPr>
      <w:r>
        <w:rPr>
          <w:color w:val="231F20"/>
          <w:w w:val="95"/>
          <w:sz w:val="17"/>
        </w:rPr>
        <w:t>Beijing</w:t>
      </w:r>
      <w:r>
        <w:rPr>
          <w:color w:val="231F20"/>
          <w:spacing w:val="8"/>
          <w:sz w:val="17"/>
        </w:rPr>
        <w:t xml:space="preserve"> </w:t>
      </w:r>
      <w:r>
        <w:rPr>
          <w:color w:val="231F20"/>
          <w:w w:val="95"/>
          <w:sz w:val="17"/>
        </w:rPr>
        <w:t>32,</w:t>
      </w:r>
      <w:r>
        <w:rPr>
          <w:color w:val="231F20"/>
          <w:spacing w:val="8"/>
          <w:sz w:val="17"/>
        </w:rPr>
        <w:t xml:space="preserve"> </w:t>
      </w:r>
      <w:r>
        <w:rPr>
          <w:color w:val="231F20"/>
          <w:spacing w:val="-5"/>
          <w:w w:val="95"/>
          <w:sz w:val="17"/>
        </w:rPr>
        <w:t>95</w:t>
      </w:r>
    </w:p>
    <w:p w14:paraId="10BEC318" w14:textId="77777777" w:rsidR="00AE0598" w:rsidRDefault="0069255A">
      <w:pPr>
        <w:spacing w:before="1"/>
        <w:ind w:left="110"/>
        <w:rPr>
          <w:sz w:val="17"/>
        </w:rPr>
      </w:pPr>
      <w:r>
        <w:rPr>
          <w:color w:val="231F20"/>
          <w:w w:val="95"/>
          <w:sz w:val="17"/>
        </w:rPr>
        <w:t>benchmark</w:t>
      </w:r>
      <w:r>
        <w:rPr>
          <w:color w:val="231F20"/>
          <w:spacing w:val="6"/>
          <w:sz w:val="17"/>
        </w:rPr>
        <w:t xml:space="preserve"> </w:t>
      </w:r>
      <w:r>
        <w:rPr>
          <w:color w:val="231F20"/>
          <w:w w:val="95"/>
          <w:sz w:val="17"/>
        </w:rPr>
        <w:t>151,</w:t>
      </w:r>
      <w:r>
        <w:rPr>
          <w:color w:val="231F20"/>
          <w:spacing w:val="7"/>
          <w:sz w:val="17"/>
        </w:rPr>
        <w:t xml:space="preserve"> </w:t>
      </w:r>
      <w:r>
        <w:rPr>
          <w:color w:val="231F20"/>
          <w:w w:val="95"/>
          <w:sz w:val="17"/>
        </w:rPr>
        <w:t>206,</w:t>
      </w:r>
      <w:r>
        <w:rPr>
          <w:color w:val="231F20"/>
          <w:spacing w:val="7"/>
          <w:sz w:val="17"/>
        </w:rPr>
        <w:t xml:space="preserve"> </w:t>
      </w:r>
      <w:r>
        <w:rPr>
          <w:color w:val="231F20"/>
          <w:spacing w:val="-5"/>
          <w:w w:val="95"/>
          <w:sz w:val="17"/>
        </w:rPr>
        <w:t>209</w:t>
      </w:r>
    </w:p>
    <w:p w14:paraId="014F3CF9" w14:textId="77777777" w:rsidR="00AE0598" w:rsidRDefault="0069255A">
      <w:pPr>
        <w:spacing w:before="1"/>
        <w:ind w:left="110"/>
        <w:rPr>
          <w:sz w:val="17"/>
        </w:rPr>
      </w:pPr>
      <w:r>
        <w:rPr>
          <w:color w:val="231F20"/>
          <w:w w:val="95"/>
          <w:sz w:val="17"/>
        </w:rPr>
        <w:t>Berlin</w:t>
      </w:r>
      <w:r>
        <w:rPr>
          <w:color w:val="231F20"/>
          <w:spacing w:val="6"/>
          <w:sz w:val="17"/>
        </w:rPr>
        <w:t xml:space="preserve"> </w:t>
      </w:r>
      <w:r>
        <w:rPr>
          <w:color w:val="231F20"/>
          <w:spacing w:val="-5"/>
          <w:sz w:val="17"/>
        </w:rPr>
        <w:t>60</w:t>
      </w:r>
    </w:p>
    <w:p w14:paraId="57E2DA59" w14:textId="77777777" w:rsidR="00AE0598" w:rsidRDefault="0069255A">
      <w:pPr>
        <w:ind w:left="110"/>
        <w:rPr>
          <w:sz w:val="17"/>
        </w:rPr>
      </w:pPr>
      <w:r>
        <w:rPr>
          <w:color w:val="231F20"/>
          <w:w w:val="95"/>
          <w:sz w:val="17"/>
        </w:rPr>
        <w:t>body</w:t>
      </w:r>
      <w:r>
        <w:rPr>
          <w:color w:val="231F20"/>
          <w:spacing w:val="7"/>
          <w:sz w:val="17"/>
        </w:rPr>
        <w:t xml:space="preserve"> </w:t>
      </w:r>
      <w:r>
        <w:rPr>
          <w:color w:val="231F20"/>
          <w:w w:val="95"/>
          <w:sz w:val="17"/>
        </w:rPr>
        <w:t>culture</w:t>
      </w:r>
      <w:r>
        <w:rPr>
          <w:color w:val="231F20"/>
          <w:spacing w:val="7"/>
          <w:sz w:val="17"/>
        </w:rPr>
        <w:t xml:space="preserve"> </w:t>
      </w:r>
      <w:r>
        <w:rPr>
          <w:color w:val="231F20"/>
          <w:w w:val="95"/>
          <w:sz w:val="17"/>
        </w:rPr>
        <w:t>133,</w:t>
      </w:r>
      <w:r>
        <w:rPr>
          <w:color w:val="231F20"/>
          <w:spacing w:val="7"/>
          <w:sz w:val="17"/>
        </w:rPr>
        <w:t xml:space="preserve"> </w:t>
      </w:r>
      <w:r>
        <w:rPr>
          <w:color w:val="231F20"/>
          <w:spacing w:val="-5"/>
          <w:w w:val="95"/>
          <w:sz w:val="17"/>
        </w:rPr>
        <w:t>206</w:t>
      </w:r>
    </w:p>
    <w:p w14:paraId="34DF6386" w14:textId="77777777" w:rsidR="00AE0598" w:rsidRDefault="0069255A">
      <w:pPr>
        <w:spacing w:before="1"/>
        <w:rPr>
          <w:sz w:val="21"/>
        </w:rPr>
      </w:pPr>
      <w:r>
        <w:br w:type="column"/>
      </w:r>
    </w:p>
    <w:p w14:paraId="78F9CCCA" w14:textId="77777777" w:rsidR="00AE0598" w:rsidRDefault="0069255A">
      <w:pPr>
        <w:spacing w:before="1"/>
        <w:ind w:left="110"/>
        <w:rPr>
          <w:sz w:val="17"/>
        </w:rPr>
      </w:pPr>
      <w:r>
        <w:rPr>
          <w:color w:val="231F20"/>
          <w:w w:val="95"/>
          <w:sz w:val="17"/>
        </w:rPr>
        <w:t>Boston</w:t>
      </w:r>
      <w:r>
        <w:rPr>
          <w:color w:val="231F20"/>
          <w:spacing w:val="14"/>
          <w:sz w:val="17"/>
        </w:rPr>
        <w:t xml:space="preserve"> </w:t>
      </w:r>
      <w:r>
        <w:rPr>
          <w:color w:val="231F20"/>
          <w:w w:val="95"/>
          <w:sz w:val="17"/>
        </w:rPr>
        <w:t>marathon</w:t>
      </w:r>
      <w:r>
        <w:rPr>
          <w:color w:val="231F20"/>
          <w:spacing w:val="14"/>
          <w:sz w:val="17"/>
        </w:rPr>
        <w:t xml:space="preserve"> </w:t>
      </w:r>
      <w:r>
        <w:rPr>
          <w:color w:val="231F20"/>
          <w:spacing w:val="-7"/>
          <w:w w:val="95"/>
          <w:sz w:val="17"/>
        </w:rPr>
        <w:t>48</w:t>
      </w:r>
    </w:p>
    <w:p w14:paraId="22325BAB" w14:textId="77777777" w:rsidR="00AE0598" w:rsidRDefault="0069255A">
      <w:pPr>
        <w:ind w:left="110" w:right="896"/>
        <w:rPr>
          <w:sz w:val="17"/>
        </w:rPr>
      </w:pPr>
      <w:r>
        <w:rPr>
          <w:color w:val="231F20"/>
          <w:w w:val="95"/>
          <w:sz w:val="17"/>
        </w:rPr>
        <w:t>Bournemouth 19, 33–36, 78, 230</w:t>
      </w:r>
      <w:r>
        <w:rPr>
          <w:color w:val="231F20"/>
          <w:spacing w:val="40"/>
          <w:sz w:val="17"/>
        </w:rPr>
        <w:t xml:space="preserve"> </w:t>
      </w:r>
      <w:r>
        <w:rPr>
          <w:color w:val="231F20"/>
          <w:sz w:val="17"/>
        </w:rPr>
        <w:t>Bournemouth Surf Reef 34</w:t>
      </w:r>
      <w:r>
        <w:rPr>
          <w:color w:val="231F20"/>
          <w:spacing w:val="40"/>
          <w:sz w:val="17"/>
        </w:rPr>
        <w:t xml:space="preserve"> </w:t>
      </w:r>
      <w:r>
        <w:rPr>
          <w:color w:val="231F20"/>
          <w:sz w:val="17"/>
        </w:rPr>
        <w:t>brand development 76, 78</w:t>
      </w:r>
    </w:p>
    <w:p w14:paraId="00F37363" w14:textId="77777777" w:rsidR="00AE0598" w:rsidRDefault="0069255A">
      <w:pPr>
        <w:spacing w:before="2"/>
        <w:ind w:left="110"/>
        <w:rPr>
          <w:sz w:val="17"/>
        </w:rPr>
      </w:pPr>
      <w:r>
        <w:rPr>
          <w:color w:val="231F20"/>
          <w:w w:val="95"/>
          <w:sz w:val="17"/>
        </w:rPr>
        <w:t>branding</w:t>
      </w:r>
      <w:r>
        <w:rPr>
          <w:color w:val="231F20"/>
          <w:spacing w:val="5"/>
          <w:sz w:val="17"/>
        </w:rPr>
        <w:t xml:space="preserve"> </w:t>
      </w:r>
      <w:r>
        <w:rPr>
          <w:color w:val="231F20"/>
          <w:w w:val="95"/>
          <w:sz w:val="17"/>
        </w:rPr>
        <w:t>6,</w:t>
      </w:r>
      <w:r>
        <w:rPr>
          <w:color w:val="231F20"/>
          <w:spacing w:val="5"/>
          <w:sz w:val="17"/>
        </w:rPr>
        <w:t xml:space="preserve"> </w:t>
      </w:r>
      <w:r>
        <w:rPr>
          <w:color w:val="231F20"/>
          <w:w w:val="95"/>
          <w:sz w:val="17"/>
        </w:rPr>
        <w:t>9,</w:t>
      </w:r>
      <w:r>
        <w:rPr>
          <w:color w:val="231F20"/>
          <w:spacing w:val="5"/>
          <w:sz w:val="17"/>
        </w:rPr>
        <w:t xml:space="preserve"> </w:t>
      </w:r>
      <w:r>
        <w:rPr>
          <w:color w:val="231F20"/>
          <w:w w:val="95"/>
          <w:sz w:val="17"/>
        </w:rPr>
        <w:t>76–78,</w:t>
      </w:r>
      <w:r>
        <w:rPr>
          <w:color w:val="231F20"/>
          <w:spacing w:val="5"/>
          <w:sz w:val="17"/>
        </w:rPr>
        <w:t xml:space="preserve"> </w:t>
      </w:r>
      <w:r>
        <w:rPr>
          <w:color w:val="231F20"/>
          <w:w w:val="95"/>
          <w:sz w:val="17"/>
        </w:rPr>
        <w:t>92,</w:t>
      </w:r>
      <w:r>
        <w:rPr>
          <w:color w:val="231F20"/>
          <w:spacing w:val="5"/>
          <w:sz w:val="17"/>
        </w:rPr>
        <w:t xml:space="preserve"> </w:t>
      </w:r>
      <w:r>
        <w:rPr>
          <w:color w:val="231F20"/>
          <w:w w:val="95"/>
          <w:sz w:val="17"/>
        </w:rPr>
        <w:t>128–129,</w:t>
      </w:r>
      <w:r>
        <w:rPr>
          <w:color w:val="231F20"/>
          <w:spacing w:val="5"/>
          <w:sz w:val="17"/>
        </w:rPr>
        <w:t xml:space="preserve"> </w:t>
      </w:r>
      <w:r>
        <w:rPr>
          <w:color w:val="231F20"/>
          <w:spacing w:val="-5"/>
          <w:w w:val="95"/>
          <w:sz w:val="17"/>
        </w:rPr>
        <w:t>161</w:t>
      </w:r>
    </w:p>
    <w:p w14:paraId="169E3C4A" w14:textId="77777777" w:rsidR="00AE0598" w:rsidRDefault="0069255A">
      <w:pPr>
        <w:spacing w:before="1"/>
        <w:ind w:left="110"/>
        <w:rPr>
          <w:sz w:val="17"/>
        </w:rPr>
      </w:pPr>
      <w:r>
        <w:rPr>
          <w:color w:val="231F20"/>
          <w:w w:val="95"/>
          <w:sz w:val="17"/>
        </w:rPr>
        <w:t>Brazil</w:t>
      </w:r>
      <w:r>
        <w:rPr>
          <w:color w:val="231F20"/>
          <w:spacing w:val="4"/>
          <w:sz w:val="17"/>
        </w:rPr>
        <w:t xml:space="preserve"> </w:t>
      </w:r>
      <w:r>
        <w:rPr>
          <w:color w:val="231F20"/>
          <w:w w:val="95"/>
          <w:sz w:val="17"/>
        </w:rPr>
        <w:t>5,</w:t>
      </w:r>
      <w:r>
        <w:rPr>
          <w:color w:val="231F20"/>
          <w:spacing w:val="4"/>
          <w:sz w:val="17"/>
        </w:rPr>
        <w:t xml:space="preserve"> </w:t>
      </w:r>
      <w:r>
        <w:rPr>
          <w:color w:val="231F20"/>
          <w:w w:val="95"/>
          <w:sz w:val="17"/>
        </w:rPr>
        <w:t>11,</w:t>
      </w:r>
      <w:r>
        <w:rPr>
          <w:color w:val="231F20"/>
          <w:spacing w:val="5"/>
          <w:sz w:val="17"/>
        </w:rPr>
        <w:t xml:space="preserve"> </w:t>
      </w:r>
      <w:r>
        <w:rPr>
          <w:color w:val="231F20"/>
          <w:w w:val="95"/>
          <w:sz w:val="17"/>
        </w:rPr>
        <w:t>32,</w:t>
      </w:r>
      <w:r>
        <w:rPr>
          <w:color w:val="231F20"/>
          <w:spacing w:val="4"/>
          <w:sz w:val="17"/>
        </w:rPr>
        <w:t xml:space="preserve"> </w:t>
      </w:r>
      <w:r>
        <w:rPr>
          <w:color w:val="231F20"/>
          <w:w w:val="95"/>
          <w:sz w:val="17"/>
        </w:rPr>
        <w:t>52,</w:t>
      </w:r>
      <w:r>
        <w:rPr>
          <w:color w:val="231F20"/>
          <w:spacing w:val="4"/>
          <w:sz w:val="17"/>
        </w:rPr>
        <w:t xml:space="preserve"> </w:t>
      </w:r>
      <w:r>
        <w:rPr>
          <w:color w:val="231F20"/>
          <w:w w:val="95"/>
          <w:sz w:val="17"/>
        </w:rPr>
        <w:t>129,</w:t>
      </w:r>
      <w:r>
        <w:rPr>
          <w:color w:val="231F20"/>
          <w:spacing w:val="5"/>
          <w:sz w:val="17"/>
        </w:rPr>
        <w:t xml:space="preserve"> </w:t>
      </w:r>
      <w:r>
        <w:rPr>
          <w:color w:val="231F20"/>
          <w:w w:val="95"/>
          <w:sz w:val="17"/>
        </w:rPr>
        <w:t>165,</w:t>
      </w:r>
      <w:r>
        <w:rPr>
          <w:color w:val="231F20"/>
          <w:spacing w:val="4"/>
          <w:sz w:val="17"/>
        </w:rPr>
        <w:t xml:space="preserve"> </w:t>
      </w:r>
      <w:r>
        <w:rPr>
          <w:color w:val="231F20"/>
          <w:spacing w:val="-5"/>
          <w:w w:val="95"/>
          <w:sz w:val="17"/>
        </w:rPr>
        <w:t>232</w:t>
      </w:r>
    </w:p>
    <w:p w14:paraId="4F7B9383" w14:textId="77777777" w:rsidR="00AE0598" w:rsidRDefault="0069255A">
      <w:pPr>
        <w:spacing w:before="1"/>
        <w:ind w:left="110"/>
        <w:rPr>
          <w:sz w:val="17"/>
        </w:rPr>
      </w:pPr>
      <w:r>
        <w:rPr>
          <w:color w:val="231F20"/>
          <w:w w:val="95"/>
          <w:sz w:val="17"/>
        </w:rPr>
        <w:t>Brexit</w:t>
      </w:r>
      <w:r>
        <w:rPr>
          <w:color w:val="231F20"/>
          <w:spacing w:val="2"/>
          <w:sz w:val="17"/>
        </w:rPr>
        <w:t xml:space="preserve"> </w:t>
      </w:r>
      <w:r>
        <w:rPr>
          <w:color w:val="231F20"/>
          <w:w w:val="95"/>
          <w:sz w:val="17"/>
        </w:rPr>
        <w:t>7,</w:t>
      </w:r>
      <w:r>
        <w:rPr>
          <w:color w:val="231F20"/>
          <w:spacing w:val="3"/>
          <w:sz w:val="17"/>
        </w:rPr>
        <w:t xml:space="preserve"> </w:t>
      </w:r>
      <w:r>
        <w:rPr>
          <w:color w:val="231F20"/>
          <w:spacing w:val="-5"/>
          <w:w w:val="95"/>
          <w:sz w:val="17"/>
        </w:rPr>
        <w:t>99</w:t>
      </w:r>
    </w:p>
    <w:p w14:paraId="52D6E982" w14:textId="77777777" w:rsidR="00AE0598" w:rsidRDefault="0069255A">
      <w:pPr>
        <w:ind w:left="110" w:right="591"/>
        <w:rPr>
          <w:sz w:val="17"/>
        </w:rPr>
      </w:pPr>
      <w:r>
        <w:rPr>
          <w:color w:val="231F20"/>
          <w:w w:val="95"/>
          <w:sz w:val="17"/>
        </w:rPr>
        <w:t>British Beach Polo Championship 34</w:t>
      </w:r>
      <w:r>
        <w:rPr>
          <w:color w:val="231F20"/>
          <w:spacing w:val="40"/>
          <w:sz w:val="17"/>
        </w:rPr>
        <w:t xml:space="preserve"> </w:t>
      </w:r>
      <w:r>
        <w:rPr>
          <w:color w:val="231F20"/>
          <w:sz w:val="17"/>
        </w:rPr>
        <w:t>British Tourist Authority 11</w:t>
      </w:r>
      <w:r>
        <w:rPr>
          <w:color w:val="231F20"/>
          <w:spacing w:val="40"/>
          <w:sz w:val="17"/>
        </w:rPr>
        <w:t xml:space="preserve"> </w:t>
      </w:r>
      <w:r>
        <w:rPr>
          <w:color w:val="231F20"/>
          <w:sz w:val="17"/>
        </w:rPr>
        <w:t>bundling 6, 92</w:t>
      </w:r>
    </w:p>
    <w:p w14:paraId="19C90B60" w14:textId="77777777" w:rsidR="00AE0598" w:rsidRDefault="0069255A">
      <w:pPr>
        <w:spacing w:before="3"/>
        <w:ind w:left="110"/>
        <w:rPr>
          <w:sz w:val="17"/>
        </w:rPr>
      </w:pPr>
      <w:r>
        <w:rPr>
          <w:color w:val="231F20"/>
          <w:w w:val="95"/>
          <w:sz w:val="17"/>
        </w:rPr>
        <w:t>bungee</w:t>
      </w:r>
      <w:r>
        <w:rPr>
          <w:color w:val="231F20"/>
          <w:spacing w:val="7"/>
          <w:sz w:val="17"/>
        </w:rPr>
        <w:t xml:space="preserve"> </w:t>
      </w:r>
      <w:r>
        <w:rPr>
          <w:color w:val="231F20"/>
          <w:w w:val="95"/>
          <w:sz w:val="17"/>
        </w:rPr>
        <w:t>jumping/bungy</w:t>
      </w:r>
      <w:r>
        <w:rPr>
          <w:color w:val="231F20"/>
          <w:spacing w:val="7"/>
          <w:sz w:val="17"/>
        </w:rPr>
        <w:t xml:space="preserve"> </w:t>
      </w:r>
      <w:r>
        <w:rPr>
          <w:color w:val="231F20"/>
          <w:w w:val="95"/>
          <w:sz w:val="17"/>
        </w:rPr>
        <w:t>jumping</w:t>
      </w:r>
      <w:r>
        <w:rPr>
          <w:color w:val="231F20"/>
          <w:spacing w:val="7"/>
          <w:sz w:val="17"/>
        </w:rPr>
        <w:t xml:space="preserve"> </w:t>
      </w:r>
      <w:r>
        <w:rPr>
          <w:color w:val="231F20"/>
          <w:w w:val="95"/>
          <w:sz w:val="17"/>
        </w:rPr>
        <w:t>43,</w:t>
      </w:r>
      <w:r>
        <w:rPr>
          <w:color w:val="231F20"/>
          <w:spacing w:val="7"/>
          <w:sz w:val="17"/>
        </w:rPr>
        <w:t xml:space="preserve"> </w:t>
      </w:r>
      <w:r>
        <w:rPr>
          <w:color w:val="231F20"/>
          <w:spacing w:val="-5"/>
          <w:w w:val="95"/>
          <w:sz w:val="17"/>
        </w:rPr>
        <w:t>149</w:t>
      </w:r>
    </w:p>
    <w:p w14:paraId="50C631F9" w14:textId="77777777" w:rsidR="00AE0598" w:rsidRDefault="00AE0598">
      <w:pPr>
        <w:pStyle w:val="Corpodetexto"/>
        <w:spacing w:before="3"/>
        <w:rPr>
          <w:sz w:val="16"/>
        </w:rPr>
      </w:pPr>
    </w:p>
    <w:p w14:paraId="5E77FDF7" w14:textId="77777777" w:rsidR="00AE0598" w:rsidRDefault="0069255A">
      <w:pPr>
        <w:ind w:left="110"/>
        <w:rPr>
          <w:sz w:val="17"/>
        </w:rPr>
      </w:pPr>
      <w:r>
        <w:rPr>
          <w:color w:val="231F20"/>
          <w:sz w:val="17"/>
        </w:rPr>
        <w:t>Camp</w:t>
      </w:r>
      <w:r>
        <w:rPr>
          <w:color w:val="231F20"/>
          <w:spacing w:val="18"/>
          <w:sz w:val="17"/>
        </w:rPr>
        <w:t xml:space="preserve"> </w:t>
      </w:r>
      <w:r>
        <w:rPr>
          <w:color w:val="231F20"/>
          <w:sz w:val="17"/>
        </w:rPr>
        <w:t>Nou</w:t>
      </w:r>
      <w:r>
        <w:rPr>
          <w:color w:val="231F20"/>
          <w:spacing w:val="19"/>
          <w:sz w:val="17"/>
        </w:rPr>
        <w:t xml:space="preserve"> </w:t>
      </w:r>
      <w:r>
        <w:rPr>
          <w:color w:val="231F20"/>
          <w:spacing w:val="-5"/>
          <w:sz w:val="17"/>
        </w:rPr>
        <w:t>212</w:t>
      </w:r>
    </w:p>
    <w:p w14:paraId="3C56C4C6" w14:textId="77777777" w:rsidR="00AE0598" w:rsidRDefault="0069255A">
      <w:pPr>
        <w:ind w:left="110"/>
        <w:rPr>
          <w:sz w:val="17"/>
        </w:rPr>
      </w:pPr>
      <w:r>
        <w:rPr>
          <w:color w:val="231F20"/>
          <w:w w:val="95"/>
          <w:sz w:val="17"/>
        </w:rPr>
        <w:t>Canada</w:t>
      </w:r>
      <w:r>
        <w:rPr>
          <w:color w:val="231F20"/>
          <w:spacing w:val="8"/>
          <w:sz w:val="17"/>
        </w:rPr>
        <w:t xml:space="preserve"> </w:t>
      </w:r>
      <w:r>
        <w:rPr>
          <w:color w:val="231F20"/>
          <w:w w:val="95"/>
          <w:sz w:val="17"/>
        </w:rPr>
        <w:t>11,</w:t>
      </w:r>
      <w:r>
        <w:rPr>
          <w:color w:val="231F20"/>
          <w:spacing w:val="8"/>
          <w:sz w:val="17"/>
        </w:rPr>
        <w:t xml:space="preserve"> </w:t>
      </w:r>
      <w:r>
        <w:rPr>
          <w:color w:val="231F20"/>
          <w:w w:val="95"/>
          <w:sz w:val="17"/>
        </w:rPr>
        <w:t>29,</w:t>
      </w:r>
      <w:r>
        <w:rPr>
          <w:color w:val="231F20"/>
          <w:spacing w:val="9"/>
          <w:sz w:val="17"/>
        </w:rPr>
        <w:t xml:space="preserve"> </w:t>
      </w:r>
      <w:r>
        <w:rPr>
          <w:color w:val="231F20"/>
          <w:w w:val="95"/>
          <w:sz w:val="17"/>
        </w:rPr>
        <w:t>52,</w:t>
      </w:r>
      <w:r>
        <w:rPr>
          <w:color w:val="231F20"/>
          <w:spacing w:val="8"/>
          <w:sz w:val="17"/>
        </w:rPr>
        <w:t xml:space="preserve"> </w:t>
      </w:r>
      <w:r>
        <w:rPr>
          <w:color w:val="231F20"/>
          <w:w w:val="95"/>
          <w:sz w:val="17"/>
        </w:rPr>
        <w:t>54,</w:t>
      </w:r>
      <w:r>
        <w:rPr>
          <w:color w:val="231F20"/>
          <w:spacing w:val="8"/>
          <w:sz w:val="17"/>
        </w:rPr>
        <w:t xml:space="preserve"> </w:t>
      </w:r>
      <w:r>
        <w:rPr>
          <w:color w:val="231F20"/>
          <w:w w:val="95"/>
          <w:sz w:val="17"/>
        </w:rPr>
        <w:t>67,</w:t>
      </w:r>
      <w:r>
        <w:rPr>
          <w:color w:val="231F20"/>
          <w:spacing w:val="9"/>
          <w:sz w:val="17"/>
        </w:rPr>
        <w:t xml:space="preserve"> </w:t>
      </w:r>
      <w:r>
        <w:rPr>
          <w:color w:val="231F20"/>
          <w:w w:val="95"/>
          <w:sz w:val="17"/>
        </w:rPr>
        <w:t>81–82,</w:t>
      </w:r>
      <w:r>
        <w:rPr>
          <w:color w:val="231F20"/>
          <w:spacing w:val="8"/>
          <w:sz w:val="17"/>
        </w:rPr>
        <w:t xml:space="preserve"> </w:t>
      </w:r>
      <w:r>
        <w:rPr>
          <w:color w:val="231F20"/>
          <w:w w:val="95"/>
          <w:sz w:val="17"/>
        </w:rPr>
        <w:t>106,</w:t>
      </w:r>
      <w:r>
        <w:rPr>
          <w:color w:val="231F20"/>
          <w:spacing w:val="8"/>
          <w:sz w:val="17"/>
        </w:rPr>
        <w:t xml:space="preserve"> </w:t>
      </w:r>
      <w:r>
        <w:rPr>
          <w:color w:val="231F20"/>
          <w:spacing w:val="-4"/>
          <w:w w:val="95"/>
          <w:sz w:val="17"/>
        </w:rPr>
        <w:t>139,</w:t>
      </w:r>
    </w:p>
    <w:p w14:paraId="67C7A3D0" w14:textId="77777777" w:rsidR="00AE0598" w:rsidRDefault="0069255A">
      <w:pPr>
        <w:spacing w:before="1"/>
        <w:ind w:left="470"/>
        <w:rPr>
          <w:sz w:val="17"/>
        </w:rPr>
      </w:pPr>
      <w:r>
        <w:rPr>
          <w:color w:val="231F20"/>
          <w:w w:val="90"/>
          <w:sz w:val="17"/>
        </w:rPr>
        <w:t>142,</w:t>
      </w:r>
      <w:r>
        <w:rPr>
          <w:color w:val="231F20"/>
          <w:spacing w:val="10"/>
          <w:sz w:val="17"/>
        </w:rPr>
        <w:t xml:space="preserve"> </w:t>
      </w:r>
      <w:r>
        <w:rPr>
          <w:color w:val="231F20"/>
          <w:w w:val="90"/>
          <w:sz w:val="17"/>
        </w:rPr>
        <w:t>164,</w:t>
      </w:r>
      <w:r>
        <w:rPr>
          <w:color w:val="231F20"/>
          <w:spacing w:val="11"/>
          <w:sz w:val="17"/>
        </w:rPr>
        <w:t xml:space="preserve"> </w:t>
      </w:r>
      <w:r>
        <w:rPr>
          <w:color w:val="231F20"/>
          <w:w w:val="90"/>
          <w:sz w:val="17"/>
        </w:rPr>
        <w:t>171,</w:t>
      </w:r>
      <w:r>
        <w:rPr>
          <w:color w:val="231F20"/>
          <w:spacing w:val="11"/>
          <w:sz w:val="17"/>
        </w:rPr>
        <w:t xml:space="preserve"> </w:t>
      </w:r>
      <w:r>
        <w:rPr>
          <w:color w:val="231F20"/>
          <w:w w:val="90"/>
          <w:sz w:val="17"/>
        </w:rPr>
        <w:t>186–189,</w:t>
      </w:r>
      <w:r>
        <w:rPr>
          <w:color w:val="231F20"/>
          <w:spacing w:val="11"/>
          <w:sz w:val="17"/>
        </w:rPr>
        <w:t xml:space="preserve"> </w:t>
      </w:r>
      <w:r>
        <w:rPr>
          <w:color w:val="231F20"/>
          <w:spacing w:val="-2"/>
          <w:w w:val="90"/>
          <w:sz w:val="17"/>
        </w:rPr>
        <w:t>192–196,</w:t>
      </w:r>
    </w:p>
    <w:p w14:paraId="70E45221" w14:textId="77777777" w:rsidR="00AE0598" w:rsidRDefault="0069255A">
      <w:pPr>
        <w:spacing w:before="1"/>
        <w:ind w:left="470"/>
        <w:rPr>
          <w:sz w:val="17"/>
        </w:rPr>
      </w:pPr>
      <w:r>
        <w:rPr>
          <w:color w:val="231F20"/>
          <w:w w:val="90"/>
          <w:sz w:val="17"/>
        </w:rPr>
        <w:t>210,</w:t>
      </w:r>
      <w:r>
        <w:rPr>
          <w:color w:val="231F20"/>
          <w:spacing w:val="9"/>
          <w:sz w:val="17"/>
        </w:rPr>
        <w:t xml:space="preserve"> </w:t>
      </w:r>
      <w:r>
        <w:rPr>
          <w:color w:val="231F20"/>
          <w:spacing w:val="-5"/>
          <w:sz w:val="17"/>
        </w:rPr>
        <w:t>218</w:t>
      </w:r>
    </w:p>
    <w:p w14:paraId="022FA797" w14:textId="77777777" w:rsidR="00AE0598" w:rsidRDefault="0069255A">
      <w:pPr>
        <w:spacing w:before="1"/>
        <w:ind w:left="110"/>
        <w:rPr>
          <w:sz w:val="17"/>
        </w:rPr>
      </w:pPr>
      <w:r>
        <w:rPr>
          <w:color w:val="231F20"/>
          <w:sz w:val="17"/>
        </w:rPr>
        <w:t>Canadian</w:t>
      </w:r>
      <w:r>
        <w:rPr>
          <w:color w:val="231F20"/>
          <w:spacing w:val="11"/>
          <w:sz w:val="17"/>
        </w:rPr>
        <w:t xml:space="preserve"> </w:t>
      </w:r>
      <w:r>
        <w:rPr>
          <w:color w:val="231F20"/>
          <w:sz w:val="17"/>
        </w:rPr>
        <w:t>Death</w:t>
      </w:r>
      <w:r>
        <w:rPr>
          <w:color w:val="231F20"/>
          <w:spacing w:val="11"/>
          <w:sz w:val="17"/>
        </w:rPr>
        <w:t xml:space="preserve"> </w:t>
      </w:r>
      <w:r>
        <w:rPr>
          <w:color w:val="231F20"/>
          <w:sz w:val="17"/>
        </w:rPr>
        <w:t>Race</w:t>
      </w:r>
      <w:r>
        <w:rPr>
          <w:color w:val="231F20"/>
          <w:spacing w:val="11"/>
          <w:sz w:val="17"/>
        </w:rPr>
        <w:t xml:space="preserve"> </w:t>
      </w:r>
      <w:r>
        <w:rPr>
          <w:color w:val="231F20"/>
          <w:spacing w:val="-4"/>
          <w:sz w:val="17"/>
        </w:rPr>
        <w:t>67–68</w:t>
      </w:r>
    </w:p>
    <w:p w14:paraId="793CF909" w14:textId="77777777" w:rsidR="00AE0598" w:rsidRDefault="0069255A">
      <w:pPr>
        <w:ind w:left="110"/>
        <w:rPr>
          <w:sz w:val="17"/>
        </w:rPr>
      </w:pPr>
      <w:r>
        <w:rPr>
          <w:color w:val="231F20"/>
          <w:w w:val="95"/>
          <w:sz w:val="17"/>
        </w:rPr>
        <w:t>canoeing</w:t>
      </w:r>
      <w:r>
        <w:rPr>
          <w:color w:val="231F20"/>
          <w:spacing w:val="9"/>
          <w:sz w:val="17"/>
        </w:rPr>
        <w:t xml:space="preserve"> </w:t>
      </w:r>
      <w:r>
        <w:rPr>
          <w:color w:val="231F20"/>
          <w:w w:val="95"/>
          <w:sz w:val="17"/>
        </w:rPr>
        <w:t>29,</w:t>
      </w:r>
      <w:r>
        <w:rPr>
          <w:color w:val="231F20"/>
          <w:spacing w:val="10"/>
          <w:sz w:val="17"/>
        </w:rPr>
        <w:t xml:space="preserve"> </w:t>
      </w:r>
      <w:r>
        <w:rPr>
          <w:color w:val="231F20"/>
          <w:spacing w:val="-5"/>
          <w:w w:val="95"/>
          <w:sz w:val="17"/>
        </w:rPr>
        <w:t>58</w:t>
      </w:r>
    </w:p>
    <w:p w14:paraId="332ABC6B" w14:textId="77777777" w:rsidR="00AE0598" w:rsidRDefault="0069255A">
      <w:pPr>
        <w:spacing w:before="1"/>
        <w:ind w:left="110" w:right="69"/>
        <w:rPr>
          <w:sz w:val="17"/>
        </w:rPr>
      </w:pPr>
      <w:r>
        <w:rPr>
          <w:color w:val="231F20"/>
          <w:sz w:val="17"/>
        </w:rPr>
        <w:t>Canterbury</w:t>
      </w:r>
      <w:r>
        <w:rPr>
          <w:color w:val="231F20"/>
          <w:spacing w:val="-9"/>
          <w:sz w:val="17"/>
        </w:rPr>
        <w:t xml:space="preserve"> </w:t>
      </w:r>
      <w:r>
        <w:rPr>
          <w:color w:val="231F20"/>
          <w:sz w:val="17"/>
        </w:rPr>
        <w:t>Christ</w:t>
      </w:r>
      <w:r>
        <w:rPr>
          <w:color w:val="231F20"/>
          <w:spacing w:val="-9"/>
          <w:sz w:val="17"/>
        </w:rPr>
        <w:t xml:space="preserve"> </w:t>
      </w:r>
      <w:r>
        <w:rPr>
          <w:color w:val="231F20"/>
          <w:sz w:val="17"/>
        </w:rPr>
        <w:t>Church</w:t>
      </w:r>
      <w:r>
        <w:rPr>
          <w:color w:val="231F20"/>
          <w:spacing w:val="-9"/>
          <w:sz w:val="17"/>
        </w:rPr>
        <w:t xml:space="preserve"> </w:t>
      </w:r>
      <w:r>
        <w:rPr>
          <w:color w:val="231F20"/>
          <w:sz w:val="17"/>
        </w:rPr>
        <w:t>University</w:t>
      </w:r>
      <w:r>
        <w:rPr>
          <w:color w:val="231F20"/>
          <w:spacing w:val="-9"/>
          <w:sz w:val="17"/>
        </w:rPr>
        <w:t xml:space="preserve"> </w:t>
      </w:r>
      <w:r>
        <w:rPr>
          <w:color w:val="231F20"/>
          <w:sz w:val="17"/>
        </w:rPr>
        <w:t>29</w:t>
      </w:r>
      <w:r>
        <w:rPr>
          <w:color w:val="231F20"/>
          <w:spacing w:val="40"/>
          <w:sz w:val="17"/>
        </w:rPr>
        <w:t xml:space="preserve"> </w:t>
      </w:r>
      <w:r>
        <w:rPr>
          <w:color w:val="231F20"/>
          <w:sz w:val="17"/>
        </w:rPr>
        <w:t>Cape Town 77</w:t>
      </w:r>
    </w:p>
    <w:p w14:paraId="098B1FE1" w14:textId="77777777" w:rsidR="00AE0598" w:rsidRDefault="0069255A">
      <w:pPr>
        <w:spacing w:before="1"/>
        <w:ind w:left="110" w:right="450"/>
        <w:rPr>
          <w:sz w:val="17"/>
        </w:rPr>
      </w:pPr>
      <w:r>
        <w:rPr>
          <w:color w:val="231F20"/>
          <w:w w:val="95"/>
          <w:sz w:val="17"/>
        </w:rPr>
        <w:t>carbon</w:t>
      </w:r>
      <w:r>
        <w:rPr>
          <w:color w:val="231F20"/>
          <w:spacing w:val="-3"/>
          <w:w w:val="95"/>
          <w:sz w:val="17"/>
        </w:rPr>
        <w:t xml:space="preserve"> </w:t>
      </w:r>
      <w:r>
        <w:rPr>
          <w:color w:val="231F20"/>
          <w:w w:val="95"/>
          <w:sz w:val="17"/>
        </w:rPr>
        <w:t>dioxide</w:t>
      </w:r>
      <w:r>
        <w:rPr>
          <w:color w:val="231F20"/>
          <w:spacing w:val="-3"/>
          <w:w w:val="95"/>
          <w:sz w:val="17"/>
        </w:rPr>
        <w:t xml:space="preserve"> </w:t>
      </w:r>
      <w:r>
        <w:rPr>
          <w:color w:val="231F20"/>
          <w:w w:val="95"/>
          <w:sz w:val="17"/>
        </w:rPr>
        <w:t>emission</w:t>
      </w:r>
      <w:r>
        <w:rPr>
          <w:color w:val="231F20"/>
          <w:spacing w:val="-3"/>
          <w:w w:val="95"/>
          <w:sz w:val="17"/>
        </w:rPr>
        <w:t xml:space="preserve"> </w:t>
      </w:r>
      <w:r>
        <w:rPr>
          <w:color w:val="231F20"/>
          <w:w w:val="95"/>
          <w:sz w:val="17"/>
        </w:rPr>
        <w:t>216–217</w:t>
      </w:r>
      <w:r>
        <w:rPr>
          <w:color w:val="231F20"/>
          <w:spacing w:val="40"/>
          <w:sz w:val="17"/>
        </w:rPr>
        <w:t xml:space="preserve"> </w:t>
      </w:r>
      <w:r>
        <w:rPr>
          <w:color w:val="231F20"/>
          <w:sz w:val="17"/>
        </w:rPr>
        <w:t>Cardiff 13, 94, 183</w:t>
      </w:r>
    </w:p>
    <w:p w14:paraId="3952A765" w14:textId="77777777" w:rsidR="00AE0598" w:rsidRDefault="0069255A">
      <w:pPr>
        <w:spacing w:before="2"/>
        <w:ind w:left="110"/>
        <w:rPr>
          <w:sz w:val="17"/>
        </w:rPr>
      </w:pPr>
      <w:r>
        <w:rPr>
          <w:color w:val="231F20"/>
          <w:w w:val="95"/>
          <w:sz w:val="17"/>
        </w:rPr>
        <w:t>Carisbrook</w:t>
      </w:r>
      <w:r>
        <w:rPr>
          <w:color w:val="231F20"/>
          <w:spacing w:val="33"/>
          <w:sz w:val="17"/>
        </w:rPr>
        <w:t xml:space="preserve"> </w:t>
      </w:r>
      <w:r>
        <w:rPr>
          <w:color w:val="231F20"/>
          <w:w w:val="95"/>
          <w:sz w:val="17"/>
        </w:rPr>
        <w:t>Stadium</w:t>
      </w:r>
      <w:r>
        <w:rPr>
          <w:color w:val="231F20"/>
          <w:spacing w:val="33"/>
          <w:sz w:val="17"/>
        </w:rPr>
        <w:t xml:space="preserve"> </w:t>
      </w:r>
      <w:r>
        <w:rPr>
          <w:color w:val="231F20"/>
          <w:spacing w:val="-5"/>
          <w:w w:val="95"/>
          <w:sz w:val="17"/>
        </w:rPr>
        <w:t>95</w:t>
      </w:r>
    </w:p>
    <w:p w14:paraId="32ECB16C" w14:textId="77777777" w:rsidR="00AE0598" w:rsidRDefault="0069255A">
      <w:pPr>
        <w:ind w:left="110"/>
        <w:rPr>
          <w:sz w:val="17"/>
        </w:rPr>
      </w:pPr>
      <w:r>
        <w:rPr>
          <w:color w:val="231F20"/>
          <w:w w:val="95"/>
          <w:sz w:val="17"/>
        </w:rPr>
        <w:t>central</w:t>
      </w:r>
      <w:r>
        <w:rPr>
          <w:color w:val="231F20"/>
          <w:spacing w:val="5"/>
          <w:sz w:val="17"/>
        </w:rPr>
        <w:t xml:space="preserve"> </w:t>
      </w:r>
      <w:r>
        <w:rPr>
          <w:color w:val="231F20"/>
          <w:w w:val="95"/>
          <w:sz w:val="17"/>
        </w:rPr>
        <w:t>place</w:t>
      </w:r>
      <w:r>
        <w:rPr>
          <w:color w:val="231F20"/>
          <w:spacing w:val="5"/>
          <w:sz w:val="17"/>
        </w:rPr>
        <w:t xml:space="preserve"> </w:t>
      </w:r>
      <w:r>
        <w:rPr>
          <w:color w:val="231F20"/>
          <w:w w:val="95"/>
          <w:sz w:val="17"/>
        </w:rPr>
        <w:t>theory</w:t>
      </w:r>
      <w:r>
        <w:rPr>
          <w:color w:val="231F20"/>
          <w:spacing w:val="5"/>
          <w:sz w:val="17"/>
        </w:rPr>
        <w:t xml:space="preserve"> </w:t>
      </w:r>
      <w:r>
        <w:rPr>
          <w:color w:val="231F20"/>
          <w:w w:val="95"/>
          <w:sz w:val="17"/>
        </w:rPr>
        <w:t>90,</w:t>
      </w:r>
      <w:r>
        <w:rPr>
          <w:color w:val="231F20"/>
          <w:spacing w:val="6"/>
          <w:sz w:val="17"/>
        </w:rPr>
        <w:t xml:space="preserve"> </w:t>
      </w:r>
      <w:r>
        <w:rPr>
          <w:color w:val="231F20"/>
          <w:w w:val="95"/>
          <w:sz w:val="17"/>
        </w:rPr>
        <w:t>93,</w:t>
      </w:r>
      <w:r>
        <w:rPr>
          <w:color w:val="231F20"/>
          <w:spacing w:val="5"/>
          <w:sz w:val="17"/>
        </w:rPr>
        <w:t xml:space="preserve"> </w:t>
      </w:r>
      <w:r>
        <w:rPr>
          <w:color w:val="231F20"/>
          <w:spacing w:val="-5"/>
          <w:w w:val="95"/>
          <w:sz w:val="17"/>
        </w:rPr>
        <w:t>231</w:t>
      </w:r>
    </w:p>
    <w:p w14:paraId="3D5F4D02" w14:textId="77777777" w:rsidR="00AE0598" w:rsidRDefault="0069255A">
      <w:pPr>
        <w:spacing w:before="1"/>
        <w:ind w:left="110"/>
        <w:rPr>
          <w:sz w:val="17"/>
        </w:rPr>
      </w:pPr>
      <w:r>
        <w:rPr>
          <w:color w:val="231F20"/>
          <w:w w:val="95"/>
          <w:sz w:val="17"/>
        </w:rPr>
        <w:t>chaos</w:t>
      </w:r>
      <w:r>
        <w:rPr>
          <w:color w:val="231F20"/>
          <w:spacing w:val="8"/>
          <w:sz w:val="17"/>
        </w:rPr>
        <w:t xml:space="preserve"> </w:t>
      </w:r>
      <w:r>
        <w:rPr>
          <w:color w:val="231F20"/>
          <w:w w:val="95"/>
          <w:sz w:val="17"/>
        </w:rPr>
        <w:t>theory</w:t>
      </w:r>
      <w:r>
        <w:rPr>
          <w:color w:val="231F20"/>
          <w:spacing w:val="8"/>
          <w:sz w:val="17"/>
        </w:rPr>
        <w:t xml:space="preserve"> </w:t>
      </w:r>
      <w:r>
        <w:rPr>
          <w:color w:val="231F20"/>
          <w:spacing w:val="-5"/>
          <w:w w:val="95"/>
          <w:sz w:val="17"/>
        </w:rPr>
        <w:t>207</w:t>
      </w:r>
    </w:p>
    <w:p w14:paraId="0C1A183A" w14:textId="77777777" w:rsidR="00AE0598" w:rsidRDefault="0069255A">
      <w:pPr>
        <w:spacing w:before="1"/>
        <w:ind w:left="110"/>
        <w:rPr>
          <w:sz w:val="17"/>
        </w:rPr>
      </w:pPr>
      <w:r>
        <w:rPr>
          <w:color w:val="231F20"/>
          <w:w w:val="95"/>
          <w:sz w:val="17"/>
        </w:rPr>
        <w:t>Christchurch</w:t>
      </w:r>
      <w:r>
        <w:rPr>
          <w:color w:val="231F20"/>
          <w:spacing w:val="34"/>
          <w:sz w:val="17"/>
        </w:rPr>
        <w:t xml:space="preserve"> </w:t>
      </w:r>
      <w:r>
        <w:rPr>
          <w:color w:val="231F20"/>
          <w:spacing w:val="-5"/>
          <w:sz w:val="17"/>
        </w:rPr>
        <w:t>95</w:t>
      </w:r>
    </w:p>
    <w:p w14:paraId="60201C05" w14:textId="77777777" w:rsidR="00AE0598" w:rsidRDefault="0069255A">
      <w:pPr>
        <w:spacing w:before="1"/>
        <w:ind w:left="110"/>
        <w:rPr>
          <w:sz w:val="17"/>
        </w:rPr>
      </w:pPr>
      <w:r>
        <w:rPr>
          <w:color w:val="231F20"/>
          <w:w w:val="95"/>
          <w:sz w:val="17"/>
        </w:rPr>
        <w:t>classification</w:t>
      </w:r>
      <w:r>
        <w:rPr>
          <w:color w:val="231F20"/>
          <w:spacing w:val="20"/>
          <w:sz w:val="17"/>
        </w:rPr>
        <w:t xml:space="preserve"> </w:t>
      </w:r>
      <w:r>
        <w:rPr>
          <w:color w:val="231F20"/>
          <w:spacing w:val="-5"/>
          <w:w w:val="95"/>
          <w:sz w:val="17"/>
        </w:rPr>
        <w:t>43</w:t>
      </w:r>
    </w:p>
    <w:p w14:paraId="4ADFD970" w14:textId="77777777" w:rsidR="00AE0598" w:rsidRDefault="0069255A">
      <w:pPr>
        <w:ind w:left="110"/>
        <w:rPr>
          <w:sz w:val="17"/>
        </w:rPr>
      </w:pPr>
      <w:r>
        <w:rPr>
          <w:color w:val="231F20"/>
          <w:w w:val="95"/>
          <w:sz w:val="17"/>
        </w:rPr>
        <w:t>climate</w:t>
      </w:r>
      <w:r>
        <w:rPr>
          <w:color w:val="231F20"/>
          <w:spacing w:val="4"/>
          <w:sz w:val="17"/>
        </w:rPr>
        <w:t xml:space="preserve"> </w:t>
      </w:r>
      <w:r>
        <w:rPr>
          <w:color w:val="231F20"/>
          <w:w w:val="95"/>
          <w:sz w:val="17"/>
        </w:rPr>
        <w:t>change</w:t>
      </w:r>
      <w:r>
        <w:rPr>
          <w:color w:val="231F20"/>
          <w:spacing w:val="5"/>
          <w:sz w:val="17"/>
        </w:rPr>
        <w:t xml:space="preserve"> </w:t>
      </w:r>
      <w:r>
        <w:rPr>
          <w:color w:val="231F20"/>
          <w:w w:val="95"/>
          <w:sz w:val="17"/>
        </w:rPr>
        <w:t>12,</w:t>
      </w:r>
      <w:r>
        <w:rPr>
          <w:color w:val="231F20"/>
          <w:spacing w:val="5"/>
          <w:sz w:val="17"/>
        </w:rPr>
        <w:t xml:space="preserve"> </w:t>
      </w:r>
      <w:r>
        <w:rPr>
          <w:color w:val="231F20"/>
          <w:w w:val="95"/>
          <w:sz w:val="17"/>
        </w:rPr>
        <w:t>28,</w:t>
      </w:r>
      <w:r>
        <w:rPr>
          <w:color w:val="231F20"/>
          <w:spacing w:val="5"/>
          <w:sz w:val="17"/>
        </w:rPr>
        <w:t xml:space="preserve"> </w:t>
      </w:r>
      <w:r>
        <w:rPr>
          <w:color w:val="231F20"/>
          <w:w w:val="95"/>
          <w:sz w:val="17"/>
        </w:rPr>
        <w:t>69,</w:t>
      </w:r>
      <w:r>
        <w:rPr>
          <w:color w:val="231F20"/>
          <w:spacing w:val="5"/>
          <w:sz w:val="17"/>
        </w:rPr>
        <w:t xml:space="preserve"> </w:t>
      </w:r>
      <w:r>
        <w:rPr>
          <w:color w:val="231F20"/>
          <w:w w:val="95"/>
          <w:sz w:val="17"/>
        </w:rPr>
        <w:t>110,</w:t>
      </w:r>
      <w:r>
        <w:rPr>
          <w:color w:val="231F20"/>
          <w:spacing w:val="5"/>
          <w:sz w:val="17"/>
        </w:rPr>
        <w:t xml:space="preserve"> </w:t>
      </w:r>
      <w:r>
        <w:rPr>
          <w:color w:val="231F20"/>
          <w:spacing w:val="-2"/>
          <w:w w:val="95"/>
          <w:sz w:val="17"/>
        </w:rPr>
        <w:t>141–144,</w:t>
      </w:r>
    </w:p>
    <w:p w14:paraId="08A56D91" w14:textId="77777777" w:rsidR="00AE0598" w:rsidRDefault="0069255A">
      <w:pPr>
        <w:spacing w:before="1"/>
        <w:ind w:left="470"/>
        <w:rPr>
          <w:sz w:val="17"/>
        </w:rPr>
      </w:pPr>
      <w:r>
        <w:rPr>
          <w:color w:val="231F20"/>
          <w:w w:val="90"/>
          <w:sz w:val="17"/>
        </w:rPr>
        <w:t>187–191,</w:t>
      </w:r>
      <w:r>
        <w:rPr>
          <w:color w:val="231F20"/>
          <w:spacing w:val="13"/>
          <w:sz w:val="17"/>
        </w:rPr>
        <w:t xml:space="preserve"> </w:t>
      </w:r>
      <w:r>
        <w:rPr>
          <w:color w:val="231F20"/>
          <w:w w:val="90"/>
          <w:sz w:val="17"/>
        </w:rPr>
        <w:t>197,</w:t>
      </w:r>
      <w:r>
        <w:rPr>
          <w:color w:val="231F20"/>
          <w:spacing w:val="13"/>
          <w:sz w:val="17"/>
        </w:rPr>
        <w:t xml:space="preserve"> </w:t>
      </w:r>
      <w:r>
        <w:rPr>
          <w:color w:val="231F20"/>
          <w:w w:val="90"/>
          <w:sz w:val="17"/>
        </w:rPr>
        <w:t>216–217,</w:t>
      </w:r>
      <w:r>
        <w:rPr>
          <w:color w:val="231F20"/>
          <w:spacing w:val="13"/>
          <w:sz w:val="17"/>
        </w:rPr>
        <w:t xml:space="preserve"> </w:t>
      </w:r>
      <w:r>
        <w:rPr>
          <w:color w:val="231F20"/>
          <w:w w:val="90"/>
          <w:sz w:val="17"/>
        </w:rPr>
        <w:t>222–223,</w:t>
      </w:r>
      <w:r>
        <w:rPr>
          <w:color w:val="231F20"/>
          <w:spacing w:val="13"/>
          <w:sz w:val="17"/>
        </w:rPr>
        <w:t xml:space="preserve"> </w:t>
      </w:r>
      <w:r>
        <w:rPr>
          <w:color w:val="231F20"/>
          <w:spacing w:val="-5"/>
          <w:w w:val="90"/>
          <w:sz w:val="17"/>
        </w:rPr>
        <w:t>237</w:t>
      </w:r>
    </w:p>
    <w:p w14:paraId="4D68F8EA" w14:textId="77777777" w:rsidR="00AE0598" w:rsidRDefault="0069255A">
      <w:pPr>
        <w:spacing w:before="1"/>
        <w:ind w:left="110"/>
        <w:rPr>
          <w:sz w:val="17"/>
        </w:rPr>
      </w:pPr>
      <w:r>
        <w:rPr>
          <w:color w:val="231F20"/>
          <w:w w:val="95"/>
          <w:sz w:val="17"/>
        </w:rPr>
        <w:t>climatic</w:t>
      </w:r>
      <w:r>
        <w:rPr>
          <w:color w:val="231F20"/>
          <w:spacing w:val="20"/>
          <w:sz w:val="17"/>
        </w:rPr>
        <w:t xml:space="preserve"> </w:t>
      </w:r>
      <w:r>
        <w:rPr>
          <w:color w:val="231F20"/>
          <w:w w:val="95"/>
          <w:sz w:val="17"/>
        </w:rPr>
        <w:t>adaptation</w:t>
      </w:r>
      <w:r>
        <w:rPr>
          <w:color w:val="231F20"/>
          <w:spacing w:val="21"/>
          <w:sz w:val="17"/>
        </w:rPr>
        <w:t xml:space="preserve"> </w:t>
      </w:r>
      <w:r>
        <w:rPr>
          <w:color w:val="231F20"/>
          <w:spacing w:val="-5"/>
          <w:w w:val="95"/>
          <w:sz w:val="17"/>
        </w:rPr>
        <w:t>189</w:t>
      </w:r>
    </w:p>
    <w:p w14:paraId="4F220D69" w14:textId="77777777" w:rsidR="00AE0598" w:rsidRDefault="0069255A">
      <w:pPr>
        <w:ind w:left="110"/>
        <w:rPr>
          <w:sz w:val="17"/>
        </w:rPr>
      </w:pPr>
      <w:r>
        <w:rPr>
          <w:color w:val="231F20"/>
          <w:w w:val="90"/>
          <w:sz w:val="17"/>
        </w:rPr>
        <w:t>climbing</w:t>
      </w:r>
      <w:r>
        <w:rPr>
          <w:color w:val="231F20"/>
          <w:spacing w:val="23"/>
          <w:sz w:val="17"/>
        </w:rPr>
        <w:t xml:space="preserve"> </w:t>
      </w:r>
      <w:r>
        <w:rPr>
          <w:color w:val="231F20"/>
          <w:w w:val="90"/>
          <w:sz w:val="17"/>
        </w:rPr>
        <w:t>34,</w:t>
      </w:r>
      <w:r>
        <w:rPr>
          <w:color w:val="231F20"/>
          <w:spacing w:val="24"/>
          <w:sz w:val="17"/>
        </w:rPr>
        <w:t xml:space="preserve"> </w:t>
      </w:r>
      <w:r>
        <w:rPr>
          <w:color w:val="231F20"/>
          <w:w w:val="90"/>
          <w:sz w:val="17"/>
        </w:rPr>
        <w:t>58,</w:t>
      </w:r>
      <w:r>
        <w:rPr>
          <w:color w:val="231F20"/>
          <w:spacing w:val="23"/>
          <w:sz w:val="17"/>
        </w:rPr>
        <w:t xml:space="preserve"> </w:t>
      </w:r>
      <w:r>
        <w:rPr>
          <w:color w:val="231F20"/>
          <w:w w:val="90"/>
          <w:sz w:val="17"/>
        </w:rPr>
        <w:t>108–109,</w:t>
      </w:r>
      <w:r>
        <w:rPr>
          <w:color w:val="231F20"/>
          <w:spacing w:val="24"/>
          <w:sz w:val="17"/>
        </w:rPr>
        <w:t xml:space="preserve"> </w:t>
      </w:r>
      <w:r>
        <w:rPr>
          <w:color w:val="231F20"/>
          <w:w w:val="90"/>
          <w:sz w:val="17"/>
        </w:rPr>
        <w:t>137–138,</w:t>
      </w:r>
      <w:r>
        <w:rPr>
          <w:color w:val="231F20"/>
          <w:spacing w:val="24"/>
          <w:sz w:val="17"/>
        </w:rPr>
        <w:t xml:space="preserve"> </w:t>
      </w:r>
      <w:r>
        <w:rPr>
          <w:color w:val="231F20"/>
          <w:spacing w:val="-4"/>
          <w:w w:val="90"/>
          <w:sz w:val="17"/>
        </w:rPr>
        <w:t>192,</w:t>
      </w:r>
    </w:p>
    <w:p w14:paraId="68695E44" w14:textId="77777777" w:rsidR="00AE0598" w:rsidRDefault="0069255A">
      <w:pPr>
        <w:spacing w:before="1"/>
        <w:ind w:left="470"/>
        <w:rPr>
          <w:sz w:val="17"/>
        </w:rPr>
      </w:pPr>
      <w:r>
        <w:rPr>
          <w:color w:val="231F20"/>
          <w:spacing w:val="-2"/>
          <w:sz w:val="17"/>
        </w:rPr>
        <w:t>204–205</w:t>
      </w:r>
    </w:p>
    <w:p w14:paraId="2D5250D6" w14:textId="77777777" w:rsidR="00AE0598" w:rsidRDefault="0069255A">
      <w:pPr>
        <w:spacing w:before="1"/>
        <w:ind w:left="110"/>
        <w:rPr>
          <w:sz w:val="17"/>
        </w:rPr>
      </w:pPr>
      <w:r>
        <w:rPr>
          <w:color w:val="231F20"/>
          <w:w w:val="95"/>
          <w:sz w:val="17"/>
        </w:rPr>
        <w:t>climbing,</w:t>
      </w:r>
      <w:r>
        <w:rPr>
          <w:color w:val="231F20"/>
          <w:spacing w:val="16"/>
          <w:sz w:val="17"/>
        </w:rPr>
        <w:t xml:space="preserve"> </w:t>
      </w:r>
      <w:r>
        <w:rPr>
          <w:color w:val="231F20"/>
          <w:w w:val="95"/>
          <w:sz w:val="17"/>
        </w:rPr>
        <w:t>indoor</w:t>
      </w:r>
      <w:r>
        <w:rPr>
          <w:color w:val="231F20"/>
          <w:spacing w:val="17"/>
          <w:sz w:val="17"/>
        </w:rPr>
        <w:t xml:space="preserve"> </w:t>
      </w:r>
      <w:r>
        <w:rPr>
          <w:color w:val="231F20"/>
          <w:w w:val="95"/>
          <w:sz w:val="17"/>
        </w:rPr>
        <w:t>138,</w:t>
      </w:r>
      <w:r>
        <w:rPr>
          <w:color w:val="231F20"/>
          <w:spacing w:val="17"/>
          <w:sz w:val="17"/>
        </w:rPr>
        <w:t xml:space="preserve"> </w:t>
      </w:r>
      <w:r>
        <w:rPr>
          <w:color w:val="231F20"/>
          <w:spacing w:val="-2"/>
          <w:w w:val="95"/>
          <w:sz w:val="17"/>
        </w:rPr>
        <w:t>204–205</w:t>
      </w:r>
    </w:p>
    <w:p w14:paraId="49F3FE6E" w14:textId="77777777" w:rsidR="00AE0598" w:rsidRDefault="0069255A">
      <w:pPr>
        <w:ind w:left="110"/>
        <w:rPr>
          <w:sz w:val="17"/>
        </w:rPr>
      </w:pPr>
      <w:r>
        <w:rPr>
          <w:color w:val="231F20"/>
          <w:w w:val="95"/>
          <w:sz w:val="17"/>
        </w:rPr>
        <w:t>climbing,</w:t>
      </w:r>
      <w:r>
        <w:rPr>
          <w:color w:val="231F20"/>
          <w:spacing w:val="14"/>
          <w:sz w:val="17"/>
        </w:rPr>
        <w:t xml:space="preserve"> </w:t>
      </w:r>
      <w:r>
        <w:rPr>
          <w:color w:val="231F20"/>
          <w:w w:val="95"/>
          <w:sz w:val="17"/>
        </w:rPr>
        <w:t>rock</w:t>
      </w:r>
      <w:r>
        <w:rPr>
          <w:color w:val="231F20"/>
          <w:spacing w:val="14"/>
          <w:sz w:val="17"/>
        </w:rPr>
        <w:t xml:space="preserve"> </w:t>
      </w:r>
      <w:r>
        <w:rPr>
          <w:color w:val="231F20"/>
          <w:w w:val="95"/>
          <w:sz w:val="17"/>
        </w:rPr>
        <w:t>34,</w:t>
      </w:r>
      <w:r>
        <w:rPr>
          <w:color w:val="231F20"/>
          <w:spacing w:val="15"/>
          <w:sz w:val="17"/>
        </w:rPr>
        <w:t xml:space="preserve"> </w:t>
      </w:r>
      <w:r>
        <w:rPr>
          <w:color w:val="231F20"/>
          <w:w w:val="95"/>
          <w:sz w:val="17"/>
        </w:rPr>
        <w:t>138,</w:t>
      </w:r>
      <w:r>
        <w:rPr>
          <w:color w:val="231F20"/>
          <w:spacing w:val="14"/>
          <w:sz w:val="17"/>
        </w:rPr>
        <w:t xml:space="preserve"> </w:t>
      </w:r>
      <w:r>
        <w:rPr>
          <w:color w:val="231F20"/>
          <w:spacing w:val="-5"/>
          <w:w w:val="95"/>
          <w:sz w:val="17"/>
        </w:rPr>
        <w:t>205</w:t>
      </w:r>
    </w:p>
    <w:p w14:paraId="30748FE3" w14:textId="77777777" w:rsidR="00AE0598" w:rsidRDefault="0069255A">
      <w:pPr>
        <w:spacing w:before="1"/>
        <w:ind w:left="110"/>
        <w:rPr>
          <w:sz w:val="17"/>
        </w:rPr>
      </w:pPr>
      <w:r>
        <w:rPr>
          <w:color w:val="231F20"/>
          <w:w w:val="95"/>
          <w:sz w:val="17"/>
        </w:rPr>
        <w:t>club</w:t>
      </w:r>
      <w:r>
        <w:rPr>
          <w:color w:val="231F20"/>
          <w:spacing w:val="7"/>
          <w:sz w:val="17"/>
        </w:rPr>
        <w:t xml:space="preserve"> </w:t>
      </w:r>
      <w:r>
        <w:rPr>
          <w:color w:val="231F20"/>
          <w:w w:val="95"/>
          <w:sz w:val="17"/>
        </w:rPr>
        <w:t>identity</w:t>
      </w:r>
      <w:r>
        <w:rPr>
          <w:color w:val="231F20"/>
          <w:spacing w:val="8"/>
          <w:sz w:val="17"/>
        </w:rPr>
        <w:t xml:space="preserve"> </w:t>
      </w:r>
      <w:r>
        <w:rPr>
          <w:color w:val="231F20"/>
          <w:spacing w:val="-5"/>
          <w:w w:val="95"/>
          <w:sz w:val="17"/>
        </w:rPr>
        <w:t>117</w:t>
      </w:r>
    </w:p>
    <w:p w14:paraId="02C0CDB6" w14:textId="77777777" w:rsidR="00AE0598" w:rsidRDefault="0069255A">
      <w:pPr>
        <w:spacing w:before="1"/>
        <w:ind w:left="110"/>
        <w:rPr>
          <w:sz w:val="17"/>
        </w:rPr>
      </w:pPr>
      <w:r>
        <w:rPr>
          <w:color w:val="231F20"/>
          <w:w w:val="95"/>
          <w:sz w:val="17"/>
        </w:rPr>
        <w:t>co-creation</w:t>
      </w:r>
      <w:r>
        <w:rPr>
          <w:color w:val="231F20"/>
          <w:spacing w:val="-1"/>
          <w:w w:val="95"/>
          <w:sz w:val="17"/>
        </w:rPr>
        <w:t xml:space="preserve"> </w:t>
      </w:r>
      <w:r>
        <w:rPr>
          <w:color w:val="231F20"/>
          <w:w w:val="95"/>
          <w:sz w:val="17"/>
        </w:rPr>
        <w:t>12,</w:t>
      </w:r>
      <w:r>
        <w:rPr>
          <w:color w:val="231F20"/>
          <w:spacing w:val="-2"/>
          <w:sz w:val="17"/>
        </w:rPr>
        <w:t xml:space="preserve"> </w:t>
      </w:r>
      <w:r>
        <w:rPr>
          <w:color w:val="231F20"/>
          <w:w w:val="95"/>
          <w:sz w:val="17"/>
        </w:rPr>
        <w:t>115,</w:t>
      </w:r>
      <w:r>
        <w:rPr>
          <w:color w:val="231F20"/>
          <w:spacing w:val="-2"/>
          <w:sz w:val="17"/>
        </w:rPr>
        <w:t xml:space="preserve"> </w:t>
      </w:r>
      <w:r>
        <w:rPr>
          <w:color w:val="231F20"/>
          <w:w w:val="95"/>
          <w:sz w:val="17"/>
        </w:rPr>
        <w:t>159,</w:t>
      </w:r>
      <w:r>
        <w:rPr>
          <w:color w:val="231F20"/>
          <w:spacing w:val="-2"/>
          <w:sz w:val="17"/>
        </w:rPr>
        <w:t xml:space="preserve"> </w:t>
      </w:r>
      <w:r>
        <w:rPr>
          <w:color w:val="231F20"/>
          <w:w w:val="95"/>
          <w:sz w:val="17"/>
        </w:rPr>
        <w:t>160–161,</w:t>
      </w:r>
      <w:r>
        <w:rPr>
          <w:color w:val="231F20"/>
          <w:spacing w:val="-2"/>
          <w:sz w:val="17"/>
        </w:rPr>
        <w:t xml:space="preserve"> </w:t>
      </w:r>
      <w:r>
        <w:rPr>
          <w:color w:val="231F20"/>
          <w:w w:val="95"/>
          <w:sz w:val="17"/>
        </w:rPr>
        <w:t>176,</w:t>
      </w:r>
      <w:r>
        <w:rPr>
          <w:color w:val="231F20"/>
          <w:spacing w:val="-2"/>
          <w:sz w:val="17"/>
        </w:rPr>
        <w:t xml:space="preserve"> </w:t>
      </w:r>
      <w:r>
        <w:rPr>
          <w:color w:val="231F20"/>
          <w:spacing w:val="-5"/>
          <w:w w:val="95"/>
          <w:sz w:val="17"/>
        </w:rPr>
        <w:t>233</w:t>
      </w:r>
    </w:p>
    <w:p w14:paraId="39A07537" w14:textId="77777777" w:rsidR="00AE0598" w:rsidRDefault="0069255A">
      <w:pPr>
        <w:spacing w:before="1"/>
        <w:ind w:left="110"/>
        <w:rPr>
          <w:sz w:val="17"/>
        </w:rPr>
      </w:pPr>
      <w:r>
        <w:rPr>
          <w:color w:val="231F20"/>
          <w:w w:val="95"/>
          <w:sz w:val="17"/>
        </w:rPr>
        <w:t>collective</w:t>
      </w:r>
      <w:r>
        <w:rPr>
          <w:color w:val="231F20"/>
          <w:spacing w:val="3"/>
          <w:sz w:val="17"/>
        </w:rPr>
        <w:t xml:space="preserve"> </w:t>
      </w:r>
      <w:r>
        <w:rPr>
          <w:color w:val="231F20"/>
          <w:w w:val="95"/>
          <w:sz w:val="17"/>
        </w:rPr>
        <w:t>identity</w:t>
      </w:r>
      <w:r>
        <w:rPr>
          <w:color w:val="231F20"/>
          <w:spacing w:val="4"/>
          <w:sz w:val="17"/>
        </w:rPr>
        <w:t xml:space="preserve"> </w:t>
      </w:r>
      <w:r>
        <w:rPr>
          <w:color w:val="231F20"/>
          <w:w w:val="95"/>
          <w:sz w:val="17"/>
        </w:rPr>
        <w:t>6,</w:t>
      </w:r>
      <w:r>
        <w:rPr>
          <w:color w:val="231F20"/>
          <w:spacing w:val="3"/>
          <w:sz w:val="17"/>
        </w:rPr>
        <w:t xml:space="preserve"> </w:t>
      </w:r>
      <w:r>
        <w:rPr>
          <w:color w:val="231F20"/>
          <w:w w:val="95"/>
          <w:sz w:val="17"/>
        </w:rPr>
        <w:t>7,</w:t>
      </w:r>
      <w:r>
        <w:rPr>
          <w:color w:val="231F20"/>
          <w:spacing w:val="4"/>
          <w:sz w:val="17"/>
        </w:rPr>
        <w:t xml:space="preserve"> </w:t>
      </w:r>
      <w:r>
        <w:rPr>
          <w:color w:val="231F20"/>
          <w:w w:val="95"/>
          <w:sz w:val="17"/>
        </w:rPr>
        <w:t>51,</w:t>
      </w:r>
      <w:r>
        <w:rPr>
          <w:color w:val="231F20"/>
          <w:spacing w:val="3"/>
          <w:sz w:val="17"/>
        </w:rPr>
        <w:t xml:space="preserve"> </w:t>
      </w:r>
      <w:r>
        <w:rPr>
          <w:color w:val="231F20"/>
          <w:w w:val="95"/>
          <w:sz w:val="17"/>
        </w:rPr>
        <w:t>164,</w:t>
      </w:r>
      <w:r>
        <w:rPr>
          <w:color w:val="231F20"/>
          <w:spacing w:val="4"/>
          <w:sz w:val="17"/>
        </w:rPr>
        <w:t xml:space="preserve"> </w:t>
      </w:r>
      <w:r>
        <w:rPr>
          <w:color w:val="231F20"/>
          <w:w w:val="95"/>
          <w:sz w:val="17"/>
        </w:rPr>
        <w:t>212,</w:t>
      </w:r>
      <w:r>
        <w:rPr>
          <w:color w:val="231F20"/>
          <w:spacing w:val="3"/>
          <w:sz w:val="17"/>
        </w:rPr>
        <w:t xml:space="preserve"> </w:t>
      </w:r>
      <w:r>
        <w:rPr>
          <w:color w:val="231F20"/>
          <w:spacing w:val="-5"/>
          <w:w w:val="95"/>
          <w:sz w:val="17"/>
        </w:rPr>
        <w:t>227</w:t>
      </w:r>
    </w:p>
    <w:p w14:paraId="5BBD9E5D" w14:textId="77777777" w:rsidR="00AE0598" w:rsidRDefault="0069255A">
      <w:pPr>
        <w:ind w:left="110"/>
        <w:rPr>
          <w:sz w:val="17"/>
        </w:rPr>
      </w:pPr>
      <w:r>
        <w:rPr>
          <w:color w:val="231F20"/>
          <w:sz w:val="17"/>
        </w:rPr>
        <w:t>Colonial</w:t>
      </w:r>
      <w:r>
        <w:rPr>
          <w:color w:val="231F20"/>
          <w:spacing w:val="6"/>
          <w:sz w:val="17"/>
        </w:rPr>
        <w:t xml:space="preserve"> </w:t>
      </w:r>
      <w:r>
        <w:rPr>
          <w:color w:val="231F20"/>
          <w:sz w:val="17"/>
        </w:rPr>
        <w:t>Stadium</w:t>
      </w:r>
      <w:r>
        <w:rPr>
          <w:color w:val="231F20"/>
          <w:spacing w:val="7"/>
          <w:sz w:val="17"/>
        </w:rPr>
        <w:t xml:space="preserve"> </w:t>
      </w:r>
      <w:r>
        <w:rPr>
          <w:color w:val="231F20"/>
          <w:spacing w:val="-5"/>
          <w:sz w:val="17"/>
        </w:rPr>
        <w:t>13</w:t>
      </w:r>
    </w:p>
    <w:p w14:paraId="14714F66" w14:textId="77777777" w:rsidR="00AE0598" w:rsidRDefault="0069255A">
      <w:pPr>
        <w:spacing w:before="1"/>
        <w:ind w:left="110"/>
        <w:rPr>
          <w:sz w:val="17"/>
        </w:rPr>
      </w:pPr>
      <w:r>
        <w:rPr>
          <w:color w:val="231F20"/>
          <w:w w:val="95"/>
          <w:sz w:val="17"/>
        </w:rPr>
        <w:t>colonisation</w:t>
      </w:r>
      <w:r>
        <w:rPr>
          <w:color w:val="231F20"/>
          <w:spacing w:val="22"/>
          <w:sz w:val="17"/>
        </w:rPr>
        <w:t xml:space="preserve"> </w:t>
      </w:r>
      <w:r>
        <w:rPr>
          <w:color w:val="231F20"/>
          <w:spacing w:val="-5"/>
          <w:sz w:val="17"/>
        </w:rPr>
        <w:t>201</w:t>
      </w:r>
    </w:p>
    <w:p w14:paraId="59FFA7F6" w14:textId="77777777" w:rsidR="00AE0598" w:rsidRDefault="0069255A">
      <w:pPr>
        <w:spacing w:before="1"/>
        <w:ind w:left="110"/>
        <w:rPr>
          <w:sz w:val="17"/>
        </w:rPr>
      </w:pPr>
      <w:r>
        <w:rPr>
          <w:color w:val="231F20"/>
          <w:w w:val="95"/>
          <w:sz w:val="17"/>
        </w:rPr>
        <w:t>commercialisation</w:t>
      </w:r>
      <w:r>
        <w:rPr>
          <w:color w:val="231F20"/>
          <w:sz w:val="17"/>
        </w:rPr>
        <w:t xml:space="preserve"> </w:t>
      </w:r>
      <w:r>
        <w:rPr>
          <w:color w:val="231F20"/>
          <w:w w:val="95"/>
          <w:sz w:val="17"/>
        </w:rPr>
        <w:t>59,</w:t>
      </w:r>
      <w:r>
        <w:rPr>
          <w:color w:val="231F20"/>
          <w:sz w:val="17"/>
        </w:rPr>
        <w:t xml:space="preserve"> </w:t>
      </w:r>
      <w:r>
        <w:rPr>
          <w:color w:val="231F20"/>
          <w:w w:val="95"/>
          <w:sz w:val="17"/>
        </w:rPr>
        <w:t>71,</w:t>
      </w:r>
      <w:r>
        <w:rPr>
          <w:color w:val="231F20"/>
          <w:sz w:val="17"/>
        </w:rPr>
        <w:t xml:space="preserve"> </w:t>
      </w:r>
      <w:r>
        <w:rPr>
          <w:color w:val="231F20"/>
          <w:w w:val="95"/>
          <w:sz w:val="17"/>
        </w:rPr>
        <w:t>115,</w:t>
      </w:r>
      <w:r>
        <w:rPr>
          <w:color w:val="231F20"/>
          <w:sz w:val="17"/>
        </w:rPr>
        <w:t xml:space="preserve"> </w:t>
      </w:r>
      <w:r>
        <w:rPr>
          <w:color w:val="231F20"/>
          <w:w w:val="95"/>
          <w:sz w:val="17"/>
        </w:rPr>
        <w:t>171,</w:t>
      </w:r>
      <w:r>
        <w:rPr>
          <w:color w:val="231F20"/>
          <w:sz w:val="17"/>
        </w:rPr>
        <w:t xml:space="preserve"> </w:t>
      </w:r>
      <w:r>
        <w:rPr>
          <w:color w:val="231F20"/>
          <w:spacing w:val="-4"/>
          <w:w w:val="95"/>
          <w:sz w:val="17"/>
        </w:rPr>
        <w:t>174,</w:t>
      </w:r>
    </w:p>
    <w:p w14:paraId="3FDB7324" w14:textId="77777777" w:rsidR="00AE0598" w:rsidRDefault="0069255A">
      <w:pPr>
        <w:ind w:left="470"/>
        <w:rPr>
          <w:sz w:val="17"/>
        </w:rPr>
      </w:pPr>
      <w:r>
        <w:rPr>
          <w:color w:val="231F20"/>
          <w:w w:val="90"/>
          <w:sz w:val="17"/>
        </w:rPr>
        <w:t>202,</w:t>
      </w:r>
      <w:r>
        <w:rPr>
          <w:color w:val="231F20"/>
          <w:spacing w:val="26"/>
          <w:sz w:val="17"/>
        </w:rPr>
        <w:t xml:space="preserve"> </w:t>
      </w:r>
      <w:r>
        <w:rPr>
          <w:color w:val="231F20"/>
          <w:spacing w:val="-5"/>
          <w:sz w:val="17"/>
        </w:rPr>
        <w:t>219</w:t>
      </w:r>
    </w:p>
    <w:p w14:paraId="60DCFFB2" w14:textId="77777777" w:rsidR="00AE0598" w:rsidRDefault="0069255A">
      <w:pPr>
        <w:spacing w:before="1"/>
        <w:ind w:left="110"/>
        <w:rPr>
          <w:sz w:val="17"/>
        </w:rPr>
      </w:pPr>
      <w:r>
        <w:rPr>
          <w:color w:val="231F20"/>
          <w:w w:val="95"/>
          <w:sz w:val="17"/>
        </w:rPr>
        <w:t>commodification</w:t>
      </w:r>
      <w:r>
        <w:rPr>
          <w:color w:val="231F20"/>
          <w:spacing w:val="15"/>
          <w:sz w:val="17"/>
        </w:rPr>
        <w:t xml:space="preserve"> </w:t>
      </w:r>
      <w:r>
        <w:rPr>
          <w:color w:val="231F20"/>
          <w:w w:val="95"/>
          <w:sz w:val="17"/>
        </w:rPr>
        <w:t>70,</w:t>
      </w:r>
      <w:r>
        <w:rPr>
          <w:color w:val="231F20"/>
          <w:spacing w:val="15"/>
          <w:sz w:val="17"/>
        </w:rPr>
        <w:t xml:space="preserve"> </w:t>
      </w:r>
      <w:r>
        <w:rPr>
          <w:color w:val="231F20"/>
          <w:w w:val="95"/>
          <w:sz w:val="17"/>
        </w:rPr>
        <w:t>130,</w:t>
      </w:r>
      <w:r>
        <w:rPr>
          <w:color w:val="231F20"/>
          <w:spacing w:val="15"/>
          <w:sz w:val="17"/>
        </w:rPr>
        <w:t xml:space="preserve"> </w:t>
      </w:r>
      <w:r>
        <w:rPr>
          <w:color w:val="231F20"/>
          <w:spacing w:val="-5"/>
          <w:w w:val="95"/>
          <w:sz w:val="17"/>
        </w:rPr>
        <w:t>231</w:t>
      </w:r>
    </w:p>
    <w:p w14:paraId="194A44C8" w14:textId="77777777" w:rsidR="00AE0598" w:rsidRDefault="0069255A">
      <w:pPr>
        <w:spacing w:before="1"/>
        <w:ind w:left="110"/>
        <w:rPr>
          <w:sz w:val="17"/>
        </w:rPr>
      </w:pPr>
      <w:r>
        <w:rPr>
          <w:color w:val="231F20"/>
          <w:w w:val="95"/>
          <w:sz w:val="17"/>
        </w:rPr>
        <w:t>Commonwealth</w:t>
      </w:r>
      <w:r>
        <w:rPr>
          <w:color w:val="231F20"/>
          <w:spacing w:val="20"/>
          <w:sz w:val="17"/>
        </w:rPr>
        <w:t xml:space="preserve"> </w:t>
      </w:r>
      <w:r>
        <w:rPr>
          <w:color w:val="231F20"/>
          <w:w w:val="95"/>
          <w:sz w:val="17"/>
        </w:rPr>
        <w:t>83,</w:t>
      </w:r>
      <w:r>
        <w:rPr>
          <w:color w:val="231F20"/>
          <w:spacing w:val="20"/>
          <w:sz w:val="17"/>
        </w:rPr>
        <w:t xml:space="preserve"> </w:t>
      </w:r>
      <w:r>
        <w:rPr>
          <w:color w:val="231F20"/>
          <w:w w:val="95"/>
          <w:sz w:val="17"/>
        </w:rPr>
        <w:t>106,</w:t>
      </w:r>
      <w:r>
        <w:rPr>
          <w:color w:val="231F20"/>
          <w:spacing w:val="20"/>
          <w:sz w:val="17"/>
        </w:rPr>
        <w:t xml:space="preserve"> </w:t>
      </w:r>
      <w:r>
        <w:rPr>
          <w:color w:val="231F20"/>
          <w:spacing w:val="-5"/>
          <w:w w:val="95"/>
          <w:sz w:val="17"/>
        </w:rPr>
        <w:t>217</w:t>
      </w:r>
    </w:p>
    <w:p w14:paraId="513D5C76" w14:textId="77777777" w:rsidR="00AE0598" w:rsidRDefault="0069255A">
      <w:pPr>
        <w:spacing w:before="1"/>
        <w:ind w:left="110"/>
        <w:rPr>
          <w:sz w:val="17"/>
        </w:rPr>
      </w:pPr>
      <w:r>
        <w:rPr>
          <w:color w:val="231F20"/>
          <w:w w:val="95"/>
          <w:sz w:val="17"/>
        </w:rPr>
        <w:t>Commonwealth</w:t>
      </w:r>
      <w:r>
        <w:rPr>
          <w:color w:val="231F20"/>
          <w:spacing w:val="28"/>
          <w:sz w:val="17"/>
        </w:rPr>
        <w:t xml:space="preserve"> </w:t>
      </w:r>
      <w:r>
        <w:rPr>
          <w:color w:val="231F20"/>
          <w:w w:val="95"/>
          <w:sz w:val="17"/>
        </w:rPr>
        <w:t>Games</w:t>
      </w:r>
      <w:r>
        <w:rPr>
          <w:color w:val="231F20"/>
          <w:spacing w:val="29"/>
          <w:sz w:val="17"/>
        </w:rPr>
        <w:t xml:space="preserve"> </w:t>
      </w:r>
      <w:r>
        <w:rPr>
          <w:color w:val="231F20"/>
          <w:w w:val="95"/>
          <w:sz w:val="17"/>
        </w:rPr>
        <w:t>106,</w:t>
      </w:r>
      <w:r>
        <w:rPr>
          <w:color w:val="231F20"/>
          <w:spacing w:val="28"/>
          <w:sz w:val="17"/>
        </w:rPr>
        <w:t xml:space="preserve"> </w:t>
      </w:r>
      <w:r>
        <w:rPr>
          <w:color w:val="231F20"/>
          <w:spacing w:val="-5"/>
          <w:w w:val="95"/>
          <w:sz w:val="17"/>
        </w:rPr>
        <w:t>217</w:t>
      </w:r>
    </w:p>
    <w:p w14:paraId="3A10F05C" w14:textId="77777777" w:rsidR="00AE0598" w:rsidRDefault="0069255A">
      <w:pPr>
        <w:ind w:left="110"/>
        <w:rPr>
          <w:sz w:val="17"/>
        </w:rPr>
      </w:pPr>
      <w:r>
        <w:rPr>
          <w:color w:val="231F20"/>
          <w:w w:val="95"/>
          <w:sz w:val="17"/>
        </w:rPr>
        <w:t>community</w:t>
      </w:r>
      <w:r>
        <w:rPr>
          <w:color w:val="231F20"/>
          <w:spacing w:val="3"/>
          <w:sz w:val="17"/>
        </w:rPr>
        <w:t xml:space="preserve"> </w:t>
      </w:r>
      <w:r>
        <w:rPr>
          <w:color w:val="231F20"/>
          <w:w w:val="95"/>
          <w:sz w:val="17"/>
        </w:rPr>
        <w:t>pride</w:t>
      </w:r>
      <w:r>
        <w:rPr>
          <w:color w:val="231F20"/>
          <w:spacing w:val="4"/>
          <w:sz w:val="17"/>
        </w:rPr>
        <w:t xml:space="preserve"> </w:t>
      </w:r>
      <w:r>
        <w:rPr>
          <w:color w:val="231F20"/>
          <w:w w:val="95"/>
          <w:sz w:val="17"/>
        </w:rPr>
        <w:t>27,</w:t>
      </w:r>
      <w:r>
        <w:rPr>
          <w:color w:val="231F20"/>
          <w:spacing w:val="4"/>
          <w:sz w:val="17"/>
        </w:rPr>
        <w:t xml:space="preserve"> </w:t>
      </w:r>
      <w:r>
        <w:rPr>
          <w:color w:val="231F20"/>
          <w:spacing w:val="-5"/>
          <w:w w:val="95"/>
          <w:sz w:val="17"/>
        </w:rPr>
        <w:t>67</w:t>
      </w:r>
    </w:p>
    <w:p w14:paraId="36E1DCED" w14:textId="77777777" w:rsidR="00AE0598" w:rsidRDefault="00AE0598">
      <w:pPr>
        <w:rPr>
          <w:sz w:val="17"/>
        </w:rPr>
        <w:sectPr w:rsidR="00AE0598">
          <w:type w:val="continuous"/>
          <w:pgSz w:w="8850" w:h="13270"/>
          <w:pgMar w:top="1080" w:right="1060" w:bottom="280" w:left="1080" w:header="720" w:footer="720" w:gutter="0"/>
          <w:cols w:num="2" w:space="720" w:equalWidth="0">
            <w:col w:w="3262" w:space="89"/>
            <w:col w:w="3359"/>
          </w:cols>
        </w:sectPr>
      </w:pPr>
    </w:p>
    <w:p w14:paraId="11E55255" w14:textId="77777777" w:rsidR="00AE0598" w:rsidRDefault="00AE0598">
      <w:pPr>
        <w:pStyle w:val="Corpodetexto"/>
        <w:rPr>
          <w:sz w:val="20"/>
        </w:rPr>
      </w:pPr>
    </w:p>
    <w:p w14:paraId="25943F60" w14:textId="77777777" w:rsidR="00AE0598" w:rsidRDefault="00AE0598">
      <w:pPr>
        <w:pStyle w:val="Corpodetexto"/>
        <w:spacing w:before="7"/>
        <w:rPr>
          <w:sz w:val="20"/>
        </w:rPr>
      </w:pPr>
    </w:p>
    <w:p w14:paraId="43501E11" w14:textId="77777777" w:rsidR="00AE0598" w:rsidRDefault="0069255A">
      <w:pPr>
        <w:ind w:left="384" w:right="409"/>
        <w:jc w:val="center"/>
        <w:rPr>
          <w:rFonts w:ascii="Trebuchet MS"/>
          <w:sz w:val="16"/>
        </w:rPr>
      </w:pPr>
      <w:r>
        <w:rPr>
          <w:rFonts w:ascii="Trebuchet MS"/>
          <w:color w:val="231F20"/>
          <w:spacing w:val="-5"/>
          <w:w w:val="105"/>
          <w:sz w:val="16"/>
        </w:rPr>
        <w:t>281</w:t>
      </w:r>
    </w:p>
    <w:p w14:paraId="739E43FF" w14:textId="77777777" w:rsidR="00AE0598" w:rsidRDefault="00AE0598">
      <w:pPr>
        <w:jc w:val="center"/>
        <w:rPr>
          <w:rFonts w:ascii="Trebuchet MS"/>
          <w:sz w:val="16"/>
        </w:rPr>
        <w:sectPr w:rsidR="00AE0598">
          <w:type w:val="continuous"/>
          <w:pgSz w:w="8850" w:h="13270"/>
          <w:pgMar w:top="1080" w:right="1060" w:bottom="280" w:left="1080" w:header="720" w:footer="720" w:gutter="0"/>
          <w:cols w:space="720"/>
        </w:sectPr>
      </w:pPr>
    </w:p>
    <w:p w14:paraId="19A374F7" w14:textId="77777777" w:rsidR="00AE0598" w:rsidRDefault="0069255A">
      <w:pPr>
        <w:spacing w:before="87"/>
        <w:ind w:left="108"/>
        <w:rPr>
          <w:rFonts w:ascii="Trebuchet MS"/>
          <w:sz w:val="14"/>
        </w:rPr>
      </w:pPr>
      <w:r>
        <w:rPr>
          <w:rFonts w:ascii="Trebuchet MS"/>
          <w:color w:val="231F20"/>
          <w:w w:val="105"/>
          <w:sz w:val="14"/>
        </w:rPr>
        <w:lastRenderedPageBreak/>
        <w:t>282</w:t>
      </w:r>
      <w:r>
        <w:rPr>
          <w:rFonts w:ascii="Trebuchet MS"/>
          <w:color w:val="231F20"/>
          <w:spacing w:val="78"/>
          <w:w w:val="150"/>
          <w:sz w:val="14"/>
        </w:rPr>
        <w:t xml:space="preserve"> </w:t>
      </w:r>
      <w:r>
        <w:rPr>
          <w:rFonts w:ascii="Trebuchet MS"/>
          <w:color w:val="231F20"/>
          <w:spacing w:val="-2"/>
          <w:w w:val="105"/>
          <w:sz w:val="14"/>
        </w:rPr>
        <w:t>Index</w:t>
      </w:r>
    </w:p>
    <w:p w14:paraId="2ECAEDCA" w14:textId="77777777" w:rsidR="00AE0598" w:rsidRDefault="00AE0598">
      <w:pPr>
        <w:pStyle w:val="Corpodetexto"/>
        <w:rPr>
          <w:rFonts w:ascii="Trebuchet MS"/>
          <w:sz w:val="18"/>
        </w:rPr>
      </w:pPr>
    </w:p>
    <w:p w14:paraId="3A1131DB" w14:textId="77777777" w:rsidR="00AE0598" w:rsidRDefault="00AE0598">
      <w:pPr>
        <w:rPr>
          <w:rFonts w:ascii="Trebuchet MS"/>
          <w:sz w:val="18"/>
        </w:rPr>
        <w:sectPr w:rsidR="00AE0598">
          <w:pgSz w:w="8850" w:h="13270"/>
          <w:pgMar w:top="720" w:right="1060" w:bottom="280" w:left="1080" w:header="720" w:footer="720" w:gutter="0"/>
          <w:cols w:space="720"/>
        </w:sectPr>
      </w:pPr>
    </w:p>
    <w:p w14:paraId="40B25F5F" w14:textId="77777777" w:rsidR="00AE0598" w:rsidRDefault="0069255A">
      <w:pPr>
        <w:spacing w:before="98"/>
        <w:ind w:left="110"/>
        <w:rPr>
          <w:sz w:val="17"/>
        </w:rPr>
      </w:pPr>
      <w:r>
        <w:rPr>
          <w:color w:val="231F20"/>
          <w:w w:val="95"/>
          <w:sz w:val="17"/>
        </w:rPr>
        <w:t>compatibility</w:t>
      </w:r>
      <w:r>
        <w:rPr>
          <w:color w:val="231F20"/>
          <w:spacing w:val="-2"/>
          <w:w w:val="95"/>
          <w:sz w:val="17"/>
        </w:rPr>
        <w:t xml:space="preserve"> </w:t>
      </w:r>
      <w:r>
        <w:rPr>
          <w:color w:val="231F20"/>
          <w:w w:val="95"/>
          <w:sz w:val="17"/>
        </w:rPr>
        <w:t>146–147,</w:t>
      </w:r>
      <w:r>
        <w:rPr>
          <w:color w:val="231F20"/>
          <w:spacing w:val="-1"/>
          <w:w w:val="95"/>
          <w:sz w:val="17"/>
        </w:rPr>
        <w:t xml:space="preserve"> </w:t>
      </w:r>
      <w:r>
        <w:rPr>
          <w:color w:val="231F20"/>
          <w:spacing w:val="-2"/>
          <w:w w:val="95"/>
          <w:sz w:val="17"/>
        </w:rPr>
        <w:t>150–151</w:t>
      </w:r>
    </w:p>
    <w:p w14:paraId="16019DED" w14:textId="77777777" w:rsidR="00AE0598" w:rsidRDefault="0069255A">
      <w:pPr>
        <w:ind w:left="110"/>
        <w:rPr>
          <w:sz w:val="17"/>
        </w:rPr>
      </w:pPr>
      <w:r>
        <w:rPr>
          <w:color w:val="231F20"/>
          <w:w w:val="95"/>
          <w:sz w:val="17"/>
        </w:rPr>
        <w:t>competition</w:t>
      </w:r>
      <w:r>
        <w:rPr>
          <w:color w:val="231F20"/>
          <w:sz w:val="17"/>
        </w:rPr>
        <w:t xml:space="preserve"> </w:t>
      </w:r>
      <w:r>
        <w:rPr>
          <w:color w:val="231F20"/>
          <w:w w:val="95"/>
          <w:sz w:val="17"/>
        </w:rPr>
        <w:t>season</w:t>
      </w:r>
      <w:r>
        <w:rPr>
          <w:color w:val="231F20"/>
          <w:sz w:val="17"/>
        </w:rPr>
        <w:t xml:space="preserve"> </w:t>
      </w:r>
      <w:r>
        <w:rPr>
          <w:color w:val="231F20"/>
          <w:w w:val="95"/>
          <w:sz w:val="17"/>
        </w:rPr>
        <w:t>8,</w:t>
      </w:r>
      <w:r>
        <w:rPr>
          <w:color w:val="231F20"/>
          <w:sz w:val="17"/>
        </w:rPr>
        <w:t xml:space="preserve"> </w:t>
      </w:r>
      <w:r>
        <w:rPr>
          <w:color w:val="231F20"/>
          <w:w w:val="95"/>
          <w:sz w:val="17"/>
        </w:rPr>
        <w:t>181–182,</w:t>
      </w:r>
      <w:r>
        <w:rPr>
          <w:color w:val="231F20"/>
          <w:sz w:val="17"/>
        </w:rPr>
        <w:t xml:space="preserve"> </w:t>
      </w:r>
      <w:r>
        <w:rPr>
          <w:color w:val="231F20"/>
          <w:spacing w:val="-5"/>
          <w:w w:val="95"/>
          <w:sz w:val="17"/>
        </w:rPr>
        <w:t>197</w:t>
      </w:r>
    </w:p>
    <w:p w14:paraId="57143B7A" w14:textId="77777777" w:rsidR="00AE0598" w:rsidRDefault="0069255A">
      <w:pPr>
        <w:spacing w:before="1"/>
        <w:ind w:left="110"/>
        <w:rPr>
          <w:sz w:val="17"/>
        </w:rPr>
      </w:pPr>
      <w:r>
        <w:rPr>
          <w:color w:val="231F20"/>
          <w:w w:val="95"/>
          <w:sz w:val="17"/>
        </w:rPr>
        <w:t>competitive</w:t>
      </w:r>
      <w:r>
        <w:rPr>
          <w:color w:val="231F20"/>
          <w:spacing w:val="2"/>
          <w:sz w:val="17"/>
        </w:rPr>
        <w:t xml:space="preserve"> </w:t>
      </w:r>
      <w:r>
        <w:rPr>
          <w:color w:val="231F20"/>
          <w:w w:val="95"/>
          <w:sz w:val="17"/>
        </w:rPr>
        <w:t>hierarchy</w:t>
      </w:r>
      <w:r>
        <w:rPr>
          <w:color w:val="231F20"/>
          <w:spacing w:val="3"/>
          <w:sz w:val="17"/>
        </w:rPr>
        <w:t xml:space="preserve"> </w:t>
      </w:r>
      <w:r>
        <w:rPr>
          <w:color w:val="231F20"/>
          <w:spacing w:val="-5"/>
          <w:w w:val="95"/>
          <w:sz w:val="17"/>
        </w:rPr>
        <w:t>122</w:t>
      </w:r>
    </w:p>
    <w:p w14:paraId="3E3AA1DE" w14:textId="77777777" w:rsidR="00AE0598" w:rsidRDefault="0069255A">
      <w:pPr>
        <w:spacing w:before="1"/>
        <w:ind w:left="110"/>
        <w:rPr>
          <w:sz w:val="17"/>
        </w:rPr>
      </w:pPr>
      <w:r>
        <w:rPr>
          <w:color w:val="231F20"/>
          <w:w w:val="95"/>
          <w:sz w:val="17"/>
        </w:rPr>
        <w:t>competitive</w:t>
      </w:r>
      <w:r>
        <w:rPr>
          <w:color w:val="231F20"/>
          <w:spacing w:val="4"/>
          <w:sz w:val="17"/>
        </w:rPr>
        <w:t xml:space="preserve"> </w:t>
      </w:r>
      <w:r>
        <w:rPr>
          <w:color w:val="231F20"/>
          <w:w w:val="95"/>
          <w:sz w:val="17"/>
        </w:rPr>
        <w:t>sport</w:t>
      </w:r>
      <w:r>
        <w:rPr>
          <w:color w:val="231F20"/>
          <w:spacing w:val="4"/>
          <w:sz w:val="17"/>
        </w:rPr>
        <w:t xml:space="preserve"> </w:t>
      </w:r>
      <w:r>
        <w:rPr>
          <w:color w:val="231F20"/>
          <w:w w:val="95"/>
          <w:sz w:val="17"/>
        </w:rPr>
        <w:t>3,</w:t>
      </w:r>
      <w:r>
        <w:rPr>
          <w:color w:val="231F20"/>
          <w:spacing w:val="4"/>
          <w:sz w:val="17"/>
        </w:rPr>
        <w:t xml:space="preserve"> </w:t>
      </w:r>
      <w:r>
        <w:rPr>
          <w:color w:val="231F20"/>
          <w:w w:val="95"/>
          <w:sz w:val="17"/>
        </w:rPr>
        <w:t>5,</w:t>
      </w:r>
      <w:r>
        <w:rPr>
          <w:color w:val="231F20"/>
          <w:spacing w:val="4"/>
          <w:sz w:val="17"/>
        </w:rPr>
        <w:t xml:space="preserve"> </w:t>
      </w:r>
      <w:r>
        <w:rPr>
          <w:color w:val="231F20"/>
          <w:w w:val="95"/>
          <w:sz w:val="17"/>
        </w:rPr>
        <w:t>9,</w:t>
      </w:r>
      <w:r>
        <w:rPr>
          <w:color w:val="231F20"/>
          <w:spacing w:val="4"/>
          <w:sz w:val="17"/>
        </w:rPr>
        <w:t xml:space="preserve"> </w:t>
      </w:r>
      <w:r>
        <w:rPr>
          <w:color w:val="231F20"/>
          <w:w w:val="95"/>
          <w:sz w:val="17"/>
        </w:rPr>
        <w:t>38–</w:t>
      </w:r>
      <w:r>
        <w:rPr>
          <w:color w:val="231F20"/>
          <w:spacing w:val="4"/>
          <w:sz w:val="17"/>
        </w:rPr>
        <w:t xml:space="preserve"> </w:t>
      </w:r>
      <w:r>
        <w:rPr>
          <w:color w:val="231F20"/>
          <w:w w:val="95"/>
          <w:sz w:val="17"/>
        </w:rPr>
        <w:t>43,</w:t>
      </w:r>
      <w:r>
        <w:rPr>
          <w:color w:val="231F20"/>
          <w:spacing w:val="4"/>
          <w:sz w:val="17"/>
        </w:rPr>
        <w:t xml:space="preserve"> </w:t>
      </w:r>
      <w:r>
        <w:rPr>
          <w:color w:val="231F20"/>
          <w:w w:val="95"/>
          <w:sz w:val="17"/>
        </w:rPr>
        <w:t>49,</w:t>
      </w:r>
      <w:r>
        <w:rPr>
          <w:color w:val="231F20"/>
          <w:spacing w:val="4"/>
          <w:sz w:val="17"/>
        </w:rPr>
        <w:t xml:space="preserve"> </w:t>
      </w:r>
      <w:r>
        <w:rPr>
          <w:color w:val="231F20"/>
          <w:w w:val="95"/>
          <w:sz w:val="17"/>
        </w:rPr>
        <w:t>50,</w:t>
      </w:r>
      <w:r>
        <w:rPr>
          <w:color w:val="231F20"/>
          <w:spacing w:val="4"/>
          <w:sz w:val="17"/>
        </w:rPr>
        <w:t xml:space="preserve"> </w:t>
      </w:r>
      <w:r>
        <w:rPr>
          <w:color w:val="231F20"/>
          <w:spacing w:val="-5"/>
          <w:w w:val="95"/>
          <w:sz w:val="17"/>
        </w:rPr>
        <w:t>92,</w:t>
      </w:r>
    </w:p>
    <w:p w14:paraId="6A60A6B9" w14:textId="77777777" w:rsidR="00AE0598" w:rsidRDefault="0069255A">
      <w:pPr>
        <w:ind w:left="470"/>
        <w:rPr>
          <w:sz w:val="17"/>
        </w:rPr>
      </w:pPr>
      <w:r>
        <w:rPr>
          <w:color w:val="231F20"/>
          <w:w w:val="90"/>
          <w:sz w:val="17"/>
        </w:rPr>
        <w:t>145,</w:t>
      </w:r>
      <w:r>
        <w:rPr>
          <w:color w:val="231F20"/>
          <w:spacing w:val="21"/>
          <w:sz w:val="17"/>
        </w:rPr>
        <w:t xml:space="preserve"> </w:t>
      </w:r>
      <w:r>
        <w:rPr>
          <w:color w:val="231F20"/>
          <w:w w:val="90"/>
          <w:sz w:val="17"/>
        </w:rPr>
        <w:t>202,</w:t>
      </w:r>
      <w:r>
        <w:rPr>
          <w:color w:val="231F20"/>
          <w:spacing w:val="22"/>
          <w:sz w:val="17"/>
        </w:rPr>
        <w:t xml:space="preserve"> </w:t>
      </w:r>
      <w:r>
        <w:rPr>
          <w:color w:val="231F20"/>
          <w:w w:val="90"/>
          <w:sz w:val="17"/>
        </w:rPr>
        <w:t>208,</w:t>
      </w:r>
      <w:r>
        <w:rPr>
          <w:color w:val="231F20"/>
          <w:spacing w:val="21"/>
          <w:sz w:val="17"/>
        </w:rPr>
        <w:t xml:space="preserve"> </w:t>
      </w:r>
      <w:r>
        <w:rPr>
          <w:color w:val="231F20"/>
          <w:w w:val="90"/>
          <w:sz w:val="17"/>
        </w:rPr>
        <w:t>222,</w:t>
      </w:r>
      <w:r>
        <w:rPr>
          <w:color w:val="231F20"/>
          <w:spacing w:val="22"/>
          <w:sz w:val="17"/>
        </w:rPr>
        <w:t xml:space="preserve"> </w:t>
      </w:r>
      <w:r>
        <w:rPr>
          <w:color w:val="231F20"/>
          <w:spacing w:val="-5"/>
          <w:w w:val="90"/>
          <w:sz w:val="17"/>
        </w:rPr>
        <w:t>234</w:t>
      </w:r>
    </w:p>
    <w:p w14:paraId="18E908B0" w14:textId="77777777" w:rsidR="00AE0598" w:rsidRDefault="0069255A">
      <w:pPr>
        <w:spacing w:before="1"/>
        <w:ind w:left="110"/>
        <w:rPr>
          <w:sz w:val="17"/>
        </w:rPr>
      </w:pPr>
      <w:r>
        <w:rPr>
          <w:color w:val="231F20"/>
          <w:sz w:val="17"/>
        </w:rPr>
        <w:t>competitive tourism advantage 231</w:t>
      </w:r>
      <w:r>
        <w:rPr>
          <w:color w:val="231F20"/>
          <w:spacing w:val="40"/>
          <w:sz w:val="17"/>
        </w:rPr>
        <w:t xml:space="preserve"> </w:t>
      </w:r>
      <w:r>
        <w:rPr>
          <w:color w:val="231F20"/>
          <w:w w:val="95"/>
          <w:sz w:val="17"/>
        </w:rPr>
        <w:t>conceptualisation 23, 26, 30, 37, 41–44,</w:t>
      </w:r>
    </w:p>
    <w:p w14:paraId="3EFEF69E" w14:textId="77777777" w:rsidR="00AE0598" w:rsidRDefault="0069255A">
      <w:pPr>
        <w:spacing w:before="1"/>
        <w:ind w:left="470"/>
        <w:rPr>
          <w:sz w:val="17"/>
        </w:rPr>
      </w:pPr>
      <w:r>
        <w:rPr>
          <w:color w:val="231F20"/>
          <w:w w:val="95"/>
          <w:sz w:val="17"/>
        </w:rPr>
        <w:t>49,</w:t>
      </w:r>
      <w:r>
        <w:rPr>
          <w:color w:val="231F20"/>
          <w:spacing w:val="-1"/>
          <w:w w:val="95"/>
          <w:sz w:val="17"/>
        </w:rPr>
        <w:t xml:space="preserve"> </w:t>
      </w:r>
      <w:r>
        <w:rPr>
          <w:color w:val="231F20"/>
          <w:spacing w:val="-5"/>
          <w:w w:val="95"/>
          <w:sz w:val="17"/>
        </w:rPr>
        <w:t>221</w:t>
      </w:r>
    </w:p>
    <w:p w14:paraId="5647EB75" w14:textId="77777777" w:rsidR="00AE0598" w:rsidRDefault="0069255A">
      <w:pPr>
        <w:spacing w:before="1"/>
        <w:ind w:left="110"/>
        <w:rPr>
          <w:sz w:val="17"/>
        </w:rPr>
      </w:pPr>
      <w:r>
        <w:rPr>
          <w:color w:val="231F20"/>
          <w:w w:val="95"/>
          <w:sz w:val="17"/>
        </w:rPr>
        <w:t>conference</w:t>
      </w:r>
      <w:r>
        <w:rPr>
          <w:color w:val="231F20"/>
          <w:spacing w:val="1"/>
          <w:sz w:val="17"/>
        </w:rPr>
        <w:t xml:space="preserve"> </w:t>
      </w:r>
      <w:r>
        <w:rPr>
          <w:color w:val="231F20"/>
          <w:w w:val="95"/>
          <w:sz w:val="17"/>
        </w:rPr>
        <w:t>29,</w:t>
      </w:r>
      <w:r>
        <w:rPr>
          <w:color w:val="231F20"/>
          <w:spacing w:val="1"/>
          <w:sz w:val="17"/>
        </w:rPr>
        <w:t xml:space="preserve"> </w:t>
      </w:r>
      <w:r>
        <w:rPr>
          <w:color w:val="231F20"/>
          <w:w w:val="95"/>
          <w:sz w:val="17"/>
        </w:rPr>
        <w:t>43,</w:t>
      </w:r>
      <w:r>
        <w:rPr>
          <w:color w:val="231F20"/>
          <w:spacing w:val="1"/>
          <w:sz w:val="17"/>
        </w:rPr>
        <w:t xml:space="preserve"> </w:t>
      </w:r>
      <w:r>
        <w:rPr>
          <w:color w:val="231F20"/>
          <w:w w:val="95"/>
          <w:sz w:val="17"/>
        </w:rPr>
        <w:t>106,</w:t>
      </w:r>
      <w:r>
        <w:rPr>
          <w:color w:val="231F20"/>
          <w:spacing w:val="1"/>
          <w:sz w:val="17"/>
        </w:rPr>
        <w:t xml:space="preserve"> </w:t>
      </w:r>
      <w:r>
        <w:rPr>
          <w:color w:val="231F20"/>
          <w:w w:val="95"/>
          <w:sz w:val="17"/>
        </w:rPr>
        <w:t>191,</w:t>
      </w:r>
      <w:r>
        <w:rPr>
          <w:color w:val="231F20"/>
          <w:spacing w:val="1"/>
          <w:sz w:val="17"/>
        </w:rPr>
        <w:t xml:space="preserve"> </w:t>
      </w:r>
      <w:r>
        <w:rPr>
          <w:color w:val="231F20"/>
          <w:spacing w:val="-5"/>
          <w:w w:val="95"/>
          <w:sz w:val="17"/>
        </w:rPr>
        <w:t>194</w:t>
      </w:r>
    </w:p>
    <w:p w14:paraId="2020BC1A" w14:textId="77777777" w:rsidR="00AE0598" w:rsidRDefault="0069255A">
      <w:pPr>
        <w:spacing w:before="1"/>
        <w:ind w:left="110"/>
        <w:rPr>
          <w:sz w:val="17"/>
        </w:rPr>
      </w:pPr>
      <w:r>
        <w:rPr>
          <w:color w:val="231F20"/>
          <w:w w:val="95"/>
          <w:sz w:val="17"/>
        </w:rPr>
        <w:t>consumer</w:t>
      </w:r>
      <w:r>
        <w:rPr>
          <w:color w:val="231F20"/>
          <w:spacing w:val="2"/>
          <w:sz w:val="17"/>
        </w:rPr>
        <w:t xml:space="preserve"> </w:t>
      </w:r>
      <w:r>
        <w:rPr>
          <w:color w:val="231F20"/>
          <w:w w:val="95"/>
          <w:sz w:val="17"/>
        </w:rPr>
        <w:t>behaviour</w:t>
      </w:r>
      <w:r>
        <w:rPr>
          <w:color w:val="231F20"/>
          <w:spacing w:val="2"/>
          <w:sz w:val="17"/>
        </w:rPr>
        <w:t xml:space="preserve"> </w:t>
      </w:r>
      <w:r>
        <w:rPr>
          <w:color w:val="231F20"/>
          <w:w w:val="95"/>
          <w:sz w:val="17"/>
        </w:rPr>
        <w:t>15,</w:t>
      </w:r>
      <w:r>
        <w:rPr>
          <w:color w:val="231F20"/>
          <w:spacing w:val="3"/>
          <w:sz w:val="17"/>
        </w:rPr>
        <w:t xml:space="preserve"> </w:t>
      </w:r>
      <w:r>
        <w:rPr>
          <w:color w:val="231F20"/>
          <w:w w:val="95"/>
          <w:sz w:val="17"/>
        </w:rPr>
        <w:t>159,</w:t>
      </w:r>
      <w:r>
        <w:rPr>
          <w:color w:val="231F20"/>
          <w:spacing w:val="2"/>
          <w:sz w:val="17"/>
        </w:rPr>
        <w:t xml:space="preserve"> </w:t>
      </w:r>
      <w:r>
        <w:rPr>
          <w:color w:val="231F20"/>
          <w:spacing w:val="-5"/>
          <w:w w:val="95"/>
          <w:sz w:val="17"/>
        </w:rPr>
        <w:t>233</w:t>
      </w:r>
    </w:p>
    <w:p w14:paraId="22DCE7B2" w14:textId="77777777" w:rsidR="00AE0598" w:rsidRDefault="0069255A">
      <w:pPr>
        <w:spacing w:before="1"/>
        <w:ind w:left="110"/>
        <w:rPr>
          <w:sz w:val="17"/>
        </w:rPr>
      </w:pPr>
      <w:r>
        <w:rPr>
          <w:color w:val="231F20"/>
          <w:w w:val="95"/>
          <w:sz w:val="17"/>
        </w:rPr>
        <w:t>consumer</w:t>
      </w:r>
      <w:r>
        <w:rPr>
          <w:color w:val="231F20"/>
          <w:spacing w:val="9"/>
          <w:sz w:val="17"/>
        </w:rPr>
        <w:t xml:space="preserve"> </w:t>
      </w:r>
      <w:r>
        <w:rPr>
          <w:color w:val="231F20"/>
          <w:w w:val="95"/>
          <w:sz w:val="17"/>
        </w:rPr>
        <w:t>capitalism</w:t>
      </w:r>
      <w:r>
        <w:rPr>
          <w:color w:val="231F20"/>
          <w:spacing w:val="10"/>
          <w:sz w:val="17"/>
        </w:rPr>
        <w:t xml:space="preserve"> </w:t>
      </w:r>
      <w:r>
        <w:rPr>
          <w:color w:val="231F20"/>
          <w:spacing w:val="-5"/>
          <w:w w:val="95"/>
          <w:sz w:val="17"/>
        </w:rPr>
        <w:t>202</w:t>
      </w:r>
    </w:p>
    <w:p w14:paraId="0FB15EA0" w14:textId="77777777" w:rsidR="00AE0598" w:rsidRDefault="0069255A">
      <w:pPr>
        <w:ind w:left="110"/>
        <w:rPr>
          <w:sz w:val="17"/>
        </w:rPr>
      </w:pPr>
      <w:r>
        <w:rPr>
          <w:color w:val="231F20"/>
          <w:w w:val="95"/>
          <w:sz w:val="17"/>
        </w:rPr>
        <w:t>consumer</w:t>
      </w:r>
      <w:r>
        <w:rPr>
          <w:color w:val="231F20"/>
          <w:spacing w:val="6"/>
          <w:sz w:val="17"/>
        </w:rPr>
        <w:t xml:space="preserve"> </w:t>
      </w:r>
      <w:r>
        <w:rPr>
          <w:color w:val="231F20"/>
          <w:w w:val="95"/>
          <w:sz w:val="17"/>
        </w:rPr>
        <w:t>culture</w:t>
      </w:r>
      <w:r>
        <w:rPr>
          <w:color w:val="231F20"/>
          <w:spacing w:val="7"/>
          <w:sz w:val="17"/>
        </w:rPr>
        <w:t xml:space="preserve"> </w:t>
      </w:r>
      <w:r>
        <w:rPr>
          <w:color w:val="231F20"/>
          <w:spacing w:val="-10"/>
          <w:w w:val="95"/>
          <w:sz w:val="17"/>
        </w:rPr>
        <w:t>6</w:t>
      </w:r>
    </w:p>
    <w:p w14:paraId="2287D421" w14:textId="77777777" w:rsidR="00AE0598" w:rsidRDefault="0069255A">
      <w:pPr>
        <w:spacing w:before="1"/>
        <w:ind w:left="110"/>
        <w:rPr>
          <w:sz w:val="17"/>
        </w:rPr>
      </w:pPr>
      <w:r>
        <w:rPr>
          <w:color w:val="231F20"/>
          <w:w w:val="95"/>
          <w:sz w:val="17"/>
        </w:rPr>
        <w:t>consumer</w:t>
      </w:r>
      <w:r>
        <w:rPr>
          <w:color w:val="231F20"/>
          <w:spacing w:val="2"/>
          <w:sz w:val="17"/>
        </w:rPr>
        <w:t xml:space="preserve"> </w:t>
      </w:r>
      <w:r>
        <w:rPr>
          <w:color w:val="231F20"/>
          <w:w w:val="95"/>
          <w:sz w:val="17"/>
        </w:rPr>
        <w:t>demand</w:t>
      </w:r>
      <w:r>
        <w:rPr>
          <w:color w:val="231F20"/>
          <w:spacing w:val="3"/>
          <w:sz w:val="17"/>
        </w:rPr>
        <w:t xml:space="preserve"> </w:t>
      </w:r>
      <w:r>
        <w:rPr>
          <w:color w:val="231F20"/>
          <w:spacing w:val="-5"/>
          <w:w w:val="95"/>
          <w:sz w:val="17"/>
        </w:rPr>
        <w:t>31</w:t>
      </w:r>
    </w:p>
    <w:p w14:paraId="4FE1ABB6" w14:textId="77777777" w:rsidR="00AE0598" w:rsidRDefault="0069255A">
      <w:pPr>
        <w:spacing w:before="1"/>
        <w:ind w:left="110"/>
        <w:rPr>
          <w:sz w:val="17"/>
        </w:rPr>
      </w:pPr>
      <w:r>
        <w:rPr>
          <w:color w:val="231F20"/>
          <w:w w:val="95"/>
          <w:sz w:val="17"/>
        </w:rPr>
        <w:t>consumer</w:t>
      </w:r>
      <w:r>
        <w:rPr>
          <w:color w:val="231F20"/>
          <w:spacing w:val="3"/>
          <w:sz w:val="17"/>
        </w:rPr>
        <w:t xml:space="preserve"> </w:t>
      </w:r>
      <w:r>
        <w:rPr>
          <w:color w:val="231F20"/>
          <w:w w:val="95"/>
          <w:sz w:val="17"/>
        </w:rPr>
        <w:t>market</w:t>
      </w:r>
      <w:r>
        <w:rPr>
          <w:color w:val="231F20"/>
          <w:spacing w:val="4"/>
          <w:sz w:val="17"/>
        </w:rPr>
        <w:t xml:space="preserve"> </w:t>
      </w:r>
      <w:r>
        <w:rPr>
          <w:color w:val="231F20"/>
          <w:spacing w:val="-5"/>
          <w:w w:val="95"/>
          <w:sz w:val="17"/>
        </w:rPr>
        <w:t>41</w:t>
      </w:r>
    </w:p>
    <w:p w14:paraId="1F854806" w14:textId="77777777" w:rsidR="00AE0598" w:rsidRDefault="0069255A">
      <w:pPr>
        <w:ind w:left="110"/>
        <w:rPr>
          <w:sz w:val="17"/>
        </w:rPr>
      </w:pPr>
      <w:r>
        <w:rPr>
          <w:color w:val="231F20"/>
          <w:w w:val="95"/>
          <w:sz w:val="17"/>
        </w:rPr>
        <w:t>consumption</w:t>
      </w:r>
      <w:r>
        <w:rPr>
          <w:color w:val="231F20"/>
          <w:spacing w:val="2"/>
          <w:sz w:val="17"/>
        </w:rPr>
        <w:t xml:space="preserve"> </w:t>
      </w:r>
      <w:r>
        <w:rPr>
          <w:color w:val="231F20"/>
          <w:w w:val="95"/>
          <w:sz w:val="17"/>
        </w:rPr>
        <w:t>6,</w:t>
      </w:r>
      <w:r>
        <w:rPr>
          <w:color w:val="231F20"/>
          <w:spacing w:val="3"/>
          <w:sz w:val="17"/>
        </w:rPr>
        <w:t xml:space="preserve"> </w:t>
      </w:r>
      <w:r>
        <w:rPr>
          <w:color w:val="231F20"/>
          <w:w w:val="95"/>
          <w:sz w:val="17"/>
        </w:rPr>
        <w:t>42,</w:t>
      </w:r>
      <w:r>
        <w:rPr>
          <w:color w:val="231F20"/>
          <w:spacing w:val="3"/>
          <w:sz w:val="17"/>
        </w:rPr>
        <w:t xml:space="preserve"> </w:t>
      </w:r>
      <w:r>
        <w:rPr>
          <w:color w:val="231F20"/>
          <w:w w:val="95"/>
          <w:sz w:val="17"/>
        </w:rPr>
        <w:t>61,</w:t>
      </w:r>
      <w:r>
        <w:rPr>
          <w:color w:val="231F20"/>
          <w:spacing w:val="3"/>
          <w:sz w:val="17"/>
        </w:rPr>
        <w:t xml:space="preserve"> </w:t>
      </w:r>
      <w:r>
        <w:rPr>
          <w:color w:val="231F20"/>
          <w:w w:val="95"/>
          <w:sz w:val="17"/>
        </w:rPr>
        <w:t>69,</w:t>
      </w:r>
      <w:r>
        <w:rPr>
          <w:color w:val="231F20"/>
          <w:spacing w:val="3"/>
          <w:sz w:val="17"/>
        </w:rPr>
        <w:t xml:space="preserve"> </w:t>
      </w:r>
      <w:r>
        <w:rPr>
          <w:color w:val="231F20"/>
          <w:w w:val="95"/>
          <w:sz w:val="17"/>
        </w:rPr>
        <w:t>79,</w:t>
      </w:r>
      <w:r>
        <w:rPr>
          <w:color w:val="231F20"/>
          <w:spacing w:val="2"/>
          <w:sz w:val="17"/>
        </w:rPr>
        <w:t xml:space="preserve"> </w:t>
      </w:r>
      <w:r>
        <w:rPr>
          <w:color w:val="231F20"/>
          <w:w w:val="95"/>
          <w:sz w:val="17"/>
        </w:rPr>
        <w:t>97,</w:t>
      </w:r>
      <w:r>
        <w:rPr>
          <w:color w:val="231F20"/>
          <w:spacing w:val="3"/>
          <w:sz w:val="17"/>
        </w:rPr>
        <w:t xml:space="preserve"> </w:t>
      </w:r>
      <w:r>
        <w:rPr>
          <w:color w:val="231F20"/>
          <w:spacing w:val="-4"/>
          <w:w w:val="95"/>
          <w:sz w:val="17"/>
        </w:rPr>
        <w:t>101,</w:t>
      </w:r>
    </w:p>
    <w:p w14:paraId="5728DF07" w14:textId="77777777" w:rsidR="00AE0598" w:rsidRDefault="0069255A">
      <w:pPr>
        <w:spacing w:before="1"/>
        <w:ind w:left="470"/>
        <w:rPr>
          <w:sz w:val="17"/>
        </w:rPr>
      </w:pPr>
      <w:r>
        <w:rPr>
          <w:color w:val="231F20"/>
          <w:w w:val="90"/>
          <w:sz w:val="17"/>
        </w:rPr>
        <w:t>116,</w:t>
      </w:r>
      <w:r>
        <w:rPr>
          <w:color w:val="231F20"/>
          <w:spacing w:val="14"/>
          <w:sz w:val="17"/>
        </w:rPr>
        <w:t xml:space="preserve"> </w:t>
      </w:r>
      <w:r>
        <w:rPr>
          <w:color w:val="231F20"/>
          <w:w w:val="90"/>
          <w:sz w:val="17"/>
        </w:rPr>
        <w:t>133–134,</w:t>
      </w:r>
      <w:r>
        <w:rPr>
          <w:color w:val="231F20"/>
          <w:spacing w:val="15"/>
          <w:sz w:val="17"/>
        </w:rPr>
        <w:t xml:space="preserve"> </w:t>
      </w:r>
      <w:r>
        <w:rPr>
          <w:color w:val="231F20"/>
          <w:w w:val="90"/>
          <w:sz w:val="17"/>
        </w:rPr>
        <w:t>155,</w:t>
      </w:r>
      <w:r>
        <w:rPr>
          <w:color w:val="231F20"/>
          <w:spacing w:val="14"/>
          <w:sz w:val="17"/>
        </w:rPr>
        <w:t xml:space="preserve"> </w:t>
      </w:r>
      <w:r>
        <w:rPr>
          <w:color w:val="231F20"/>
          <w:w w:val="90"/>
          <w:sz w:val="17"/>
        </w:rPr>
        <w:t>171–172,</w:t>
      </w:r>
      <w:r>
        <w:rPr>
          <w:color w:val="231F20"/>
          <w:spacing w:val="15"/>
          <w:sz w:val="17"/>
        </w:rPr>
        <w:t xml:space="preserve"> </w:t>
      </w:r>
      <w:r>
        <w:rPr>
          <w:color w:val="231F20"/>
          <w:spacing w:val="-4"/>
          <w:w w:val="90"/>
          <w:sz w:val="17"/>
        </w:rPr>
        <w:t>201,</w:t>
      </w:r>
    </w:p>
    <w:p w14:paraId="5600E902" w14:textId="77777777" w:rsidR="00AE0598" w:rsidRDefault="0069255A">
      <w:pPr>
        <w:spacing w:before="1"/>
        <w:ind w:left="470"/>
        <w:rPr>
          <w:sz w:val="17"/>
        </w:rPr>
      </w:pPr>
      <w:r>
        <w:rPr>
          <w:color w:val="231F20"/>
          <w:w w:val="90"/>
          <w:sz w:val="17"/>
        </w:rPr>
        <w:t>213,</w:t>
      </w:r>
      <w:r>
        <w:rPr>
          <w:color w:val="231F20"/>
          <w:spacing w:val="10"/>
          <w:sz w:val="17"/>
        </w:rPr>
        <w:t xml:space="preserve"> </w:t>
      </w:r>
      <w:r>
        <w:rPr>
          <w:color w:val="231F20"/>
          <w:w w:val="90"/>
          <w:sz w:val="17"/>
        </w:rPr>
        <w:t>218,</w:t>
      </w:r>
      <w:r>
        <w:rPr>
          <w:color w:val="231F20"/>
          <w:spacing w:val="11"/>
          <w:sz w:val="17"/>
        </w:rPr>
        <w:t xml:space="preserve"> </w:t>
      </w:r>
      <w:r>
        <w:rPr>
          <w:color w:val="231F20"/>
          <w:spacing w:val="-5"/>
          <w:w w:val="90"/>
          <w:sz w:val="17"/>
        </w:rPr>
        <w:t>236</w:t>
      </w:r>
    </w:p>
    <w:p w14:paraId="7BF7C6EB" w14:textId="77777777" w:rsidR="00AE0598" w:rsidRDefault="0069255A">
      <w:pPr>
        <w:spacing w:before="1"/>
        <w:ind w:left="110"/>
        <w:rPr>
          <w:sz w:val="17"/>
        </w:rPr>
      </w:pPr>
      <w:r>
        <w:rPr>
          <w:color w:val="231F20"/>
          <w:w w:val="95"/>
          <w:sz w:val="17"/>
        </w:rPr>
        <w:t>consumption</w:t>
      </w:r>
      <w:r>
        <w:rPr>
          <w:color w:val="231F20"/>
          <w:spacing w:val="11"/>
          <w:sz w:val="17"/>
        </w:rPr>
        <w:t xml:space="preserve"> </w:t>
      </w:r>
      <w:r>
        <w:rPr>
          <w:color w:val="231F20"/>
          <w:w w:val="95"/>
          <w:sz w:val="17"/>
        </w:rPr>
        <w:t>pattern</w:t>
      </w:r>
      <w:r>
        <w:rPr>
          <w:color w:val="231F20"/>
          <w:spacing w:val="11"/>
          <w:sz w:val="17"/>
        </w:rPr>
        <w:t xml:space="preserve"> </w:t>
      </w:r>
      <w:r>
        <w:rPr>
          <w:color w:val="231F20"/>
          <w:w w:val="95"/>
          <w:sz w:val="17"/>
        </w:rPr>
        <w:t>6,</w:t>
      </w:r>
      <w:r>
        <w:rPr>
          <w:color w:val="231F20"/>
          <w:spacing w:val="11"/>
          <w:sz w:val="17"/>
        </w:rPr>
        <w:t xml:space="preserve"> </w:t>
      </w:r>
      <w:r>
        <w:rPr>
          <w:color w:val="231F20"/>
          <w:spacing w:val="-5"/>
          <w:w w:val="95"/>
          <w:sz w:val="17"/>
        </w:rPr>
        <w:t>236</w:t>
      </w:r>
    </w:p>
    <w:p w14:paraId="6B97135D" w14:textId="77777777" w:rsidR="00AE0598" w:rsidRDefault="0069255A">
      <w:pPr>
        <w:ind w:left="110"/>
        <w:rPr>
          <w:sz w:val="17"/>
        </w:rPr>
      </w:pPr>
      <w:r>
        <w:rPr>
          <w:color w:val="231F20"/>
          <w:sz w:val="17"/>
        </w:rPr>
        <w:t>Costa</w:t>
      </w:r>
      <w:r>
        <w:rPr>
          <w:color w:val="231F20"/>
          <w:spacing w:val="3"/>
          <w:sz w:val="17"/>
        </w:rPr>
        <w:t xml:space="preserve"> </w:t>
      </w:r>
      <w:r>
        <w:rPr>
          <w:color w:val="231F20"/>
          <w:sz w:val="17"/>
        </w:rPr>
        <w:t>Rica</w:t>
      </w:r>
      <w:r>
        <w:rPr>
          <w:color w:val="231F20"/>
          <w:spacing w:val="3"/>
          <w:sz w:val="17"/>
        </w:rPr>
        <w:t xml:space="preserve"> </w:t>
      </w:r>
      <w:r>
        <w:rPr>
          <w:color w:val="231F20"/>
          <w:sz w:val="17"/>
        </w:rPr>
        <w:t>119,</w:t>
      </w:r>
      <w:r>
        <w:rPr>
          <w:color w:val="231F20"/>
          <w:spacing w:val="3"/>
          <w:sz w:val="17"/>
        </w:rPr>
        <w:t xml:space="preserve"> </w:t>
      </w:r>
      <w:r>
        <w:rPr>
          <w:color w:val="231F20"/>
          <w:spacing w:val="-5"/>
          <w:sz w:val="17"/>
        </w:rPr>
        <w:t>127</w:t>
      </w:r>
    </w:p>
    <w:p w14:paraId="1DCEC981" w14:textId="77777777" w:rsidR="00AE0598" w:rsidRDefault="0069255A">
      <w:pPr>
        <w:spacing w:before="1"/>
        <w:ind w:left="110"/>
        <w:rPr>
          <w:sz w:val="17"/>
        </w:rPr>
      </w:pPr>
      <w:r>
        <w:rPr>
          <w:color w:val="231F20"/>
          <w:w w:val="95"/>
          <w:sz w:val="17"/>
        </w:rPr>
        <w:t>country</w:t>
      </w:r>
      <w:r>
        <w:rPr>
          <w:color w:val="231F20"/>
          <w:spacing w:val="16"/>
          <w:sz w:val="17"/>
        </w:rPr>
        <w:t xml:space="preserve"> </w:t>
      </w:r>
      <w:r>
        <w:rPr>
          <w:color w:val="231F20"/>
          <w:w w:val="95"/>
          <w:sz w:val="17"/>
        </w:rPr>
        <w:t>branding</w:t>
      </w:r>
      <w:r>
        <w:rPr>
          <w:color w:val="231F20"/>
          <w:spacing w:val="17"/>
          <w:sz w:val="17"/>
        </w:rPr>
        <w:t xml:space="preserve"> </w:t>
      </w:r>
      <w:r>
        <w:rPr>
          <w:color w:val="231F20"/>
          <w:spacing w:val="-5"/>
          <w:w w:val="95"/>
          <w:sz w:val="17"/>
        </w:rPr>
        <w:t>76</w:t>
      </w:r>
    </w:p>
    <w:p w14:paraId="211510F0" w14:textId="77777777" w:rsidR="00AE0598" w:rsidRDefault="0069255A">
      <w:pPr>
        <w:spacing w:before="1"/>
        <w:ind w:left="110"/>
        <w:rPr>
          <w:sz w:val="17"/>
        </w:rPr>
      </w:pPr>
      <w:r>
        <w:rPr>
          <w:color w:val="231F20"/>
          <w:w w:val="95"/>
          <w:sz w:val="17"/>
        </w:rPr>
        <w:t>country</w:t>
      </w:r>
      <w:r>
        <w:rPr>
          <w:color w:val="231F20"/>
          <w:spacing w:val="14"/>
          <w:sz w:val="17"/>
        </w:rPr>
        <w:t xml:space="preserve"> </w:t>
      </w:r>
      <w:r>
        <w:rPr>
          <w:color w:val="231F20"/>
          <w:w w:val="95"/>
          <w:sz w:val="17"/>
        </w:rPr>
        <w:t>image</w:t>
      </w:r>
      <w:r>
        <w:rPr>
          <w:color w:val="231F20"/>
          <w:spacing w:val="14"/>
          <w:sz w:val="17"/>
        </w:rPr>
        <w:t xml:space="preserve"> </w:t>
      </w:r>
      <w:r>
        <w:rPr>
          <w:color w:val="231F20"/>
          <w:spacing w:val="-7"/>
          <w:w w:val="95"/>
          <w:sz w:val="17"/>
        </w:rPr>
        <w:t>76</w:t>
      </w:r>
    </w:p>
    <w:p w14:paraId="40378E12" w14:textId="77777777" w:rsidR="00AE0598" w:rsidRDefault="0069255A">
      <w:pPr>
        <w:ind w:left="110"/>
        <w:rPr>
          <w:sz w:val="17"/>
        </w:rPr>
      </w:pPr>
      <w:r>
        <w:rPr>
          <w:color w:val="231F20"/>
          <w:w w:val="95"/>
          <w:sz w:val="17"/>
        </w:rPr>
        <w:t>cricket</w:t>
      </w:r>
      <w:r>
        <w:rPr>
          <w:color w:val="231F20"/>
          <w:spacing w:val="1"/>
          <w:sz w:val="17"/>
        </w:rPr>
        <w:t xml:space="preserve"> </w:t>
      </w:r>
      <w:r>
        <w:rPr>
          <w:color w:val="231F20"/>
          <w:w w:val="95"/>
          <w:sz w:val="17"/>
        </w:rPr>
        <w:t>10,</w:t>
      </w:r>
      <w:r>
        <w:rPr>
          <w:color w:val="231F20"/>
          <w:spacing w:val="2"/>
          <w:sz w:val="17"/>
        </w:rPr>
        <w:t xml:space="preserve"> </w:t>
      </w:r>
      <w:r>
        <w:rPr>
          <w:color w:val="231F20"/>
          <w:w w:val="95"/>
          <w:sz w:val="17"/>
        </w:rPr>
        <w:t>13,</w:t>
      </w:r>
      <w:r>
        <w:rPr>
          <w:color w:val="231F20"/>
          <w:spacing w:val="2"/>
          <w:sz w:val="17"/>
        </w:rPr>
        <w:t xml:space="preserve"> </w:t>
      </w:r>
      <w:r>
        <w:rPr>
          <w:color w:val="231F20"/>
          <w:w w:val="95"/>
          <w:sz w:val="17"/>
        </w:rPr>
        <w:t>34–35,</w:t>
      </w:r>
      <w:r>
        <w:rPr>
          <w:color w:val="231F20"/>
          <w:spacing w:val="2"/>
          <w:sz w:val="17"/>
        </w:rPr>
        <w:t xml:space="preserve"> </w:t>
      </w:r>
      <w:r>
        <w:rPr>
          <w:color w:val="231F20"/>
          <w:w w:val="95"/>
          <w:sz w:val="17"/>
        </w:rPr>
        <w:t>48,</w:t>
      </w:r>
      <w:r>
        <w:rPr>
          <w:color w:val="231F20"/>
          <w:spacing w:val="2"/>
          <w:sz w:val="17"/>
        </w:rPr>
        <w:t xml:space="preserve"> </w:t>
      </w:r>
      <w:r>
        <w:rPr>
          <w:color w:val="231F20"/>
          <w:w w:val="95"/>
          <w:sz w:val="17"/>
        </w:rPr>
        <w:t>52,</w:t>
      </w:r>
      <w:r>
        <w:rPr>
          <w:color w:val="231F20"/>
          <w:spacing w:val="2"/>
          <w:sz w:val="17"/>
        </w:rPr>
        <w:t xml:space="preserve"> </w:t>
      </w:r>
      <w:r>
        <w:rPr>
          <w:color w:val="231F20"/>
          <w:w w:val="95"/>
          <w:sz w:val="17"/>
        </w:rPr>
        <w:t>76,</w:t>
      </w:r>
      <w:r>
        <w:rPr>
          <w:color w:val="231F20"/>
          <w:spacing w:val="2"/>
          <w:sz w:val="17"/>
        </w:rPr>
        <w:t xml:space="preserve"> </w:t>
      </w:r>
      <w:r>
        <w:rPr>
          <w:color w:val="231F20"/>
          <w:w w:val="95"/>
          <w:sz w:val="17"/>
        </w:rPr>
        <w:t>97,</w:t>
      </w:r>
      <w:r>
        <w:rPr>
          <w:color w:val="231F20"/>
          <w:spacing w:val="1"/>
          <w:sz w:val="17"/>
        </w:rPr>
        <w:t xml:space="preserve"> </w:t>
      </w:r>
      <w:r>
        <w:rPr>
          <w:color w:val="231F20"/>
          <w:spacing w:val="-4"/>
          <w:w w:val="95"/>
          <w:sz w:val="17"/>
        </w:rPr>
        <w:t>136,</w:t>
      </w:r>
    </w:p>
    <w:p w14:paraId="2E521BF0" w14:textId="77777777" w:rsidR="00AE0598" w:rsidRDefault="0069255A">
      <w:pPr>
        <w:spacing w:before="1"/>
        <w:ind w:left="470"/>
        <w:rPr>
          <w:sz w:val="17"/>
        </w:rPr>
      </w:pPr>
      <w:r>
        <w:rPr>
          <w:color w:val="231F20"/>
          <w:spacing w:val="-5"/>
          <w:w w:val="95"/>
          <w:sz w:val="17"/>
        </w:rPr>
        <w:t>139</w:t>
      </w:r>
    </w:p>
    <w:p w14:paraId="1F068009" w14:textId="77777777" w:rsidR="00AE0598" w:rsidRDefault="0069255A">
      <w:pPr>
        <w:spacing w:before="1"/>
        <w:ind w:left="110"/>
        <w:rPr>
          <w:sz w:val="17"/>
        </w:rPr>
      </w:pPr>
      <w:r>
        <w:rPr>
          <w:color w:val="231F20"/>
          <w:w w:val="95"/>
          <w:sz w:val="17"/>
        </w:rPr>
        <w:t>cross-cultural</w:t>
      </w:r>
      <w:r>
        <w:rPr>
          <w:color w:val="231F20"/>
          <w:spacing w:val="13"/>
          <w:sz w:val="17"/>
        </w:rPr>
        <w:t xml:space="preserve"> </w:t>
      </w:r>
      <w:r>
        <w:rPr>
          <w:color w:val="231F20"/>
          <w:w w:val="95"/>
          <w:sz w:val="17"/>
        </w:rPr>
        <w:t>55–56,</w:t>
      </w:r>
      <w:r>
        <w:rPr>
          <w:color w:val="231F20"/>
          <w:spacing w:val="13"/>
          <w:sz w:val="17"/>
        </w:rPr>
        <w:t xml:space="preserve"> </w:t>
      </w:r>
      <w:r>
        <w:rPr>
          <w:color w:val="231F20"/>
          <w:spacing w:val="-5"/>
          <w:w w:val="95"/>
          <w:sz w:val="17"/>
        </w:rPr>
        <w:t>122</w:t>
      </w:r>
    </w:p>
    <w:p w14:paraId="576A9570" w14:textId="77777777" w:rsidR="00AE0598" w:rsidRDefault="0069255A">
      <w:pPr>
        <w:ind w:left="110"/>
        <w:rPr>
          <w:sz w:val="17"/>
        </w:rPr>
      </w:pPr>
      <w:r>
        <w:rPr>
          <w:color w:val="231F20"/>
          <w:w w:val="95"/>
          <w:sz w:val="17"/>
        </w:rPr>
        <w:t>cross-cultural</w:t>
      </w:r>
      <w:r>
        <w:rPr>
          <w:color w:val="231F20"/>
          <w:spacing w:val="13"/>
          <w:sz w:val="17"/>
        </w:rPr>
        <w:t xml:space="preserve"> </w:t>
      </w:r>
      <w:r>
        <w:rPr>
          <w:color w:val="231F20"/>
          <w:w w:val="95"/>
          <w:sz w:val="17"/>
        </w:rPr>
        <w:t>studies</w:t>
      </w:r>
      <w:r>
        <w:rPr>
          <w:color w:val="231F20"/>
          <w:spacing w:val="14"/>
          <w:sz w:val="17"/>
        </w:rPr>
        <w:t xml:space="preserve"> </w:t>
      </w:r>
      <w:r>
        <w:rPr>
          <w:color w:val="231F20"/>
          <w:spacing w:val="-5"/>
          <w:w w:val="95"/>
          <w:sz w:val="17"/>
        </w:rPr>
        <w:t>55</w:t>
      </w:r>
    </w:p>
    <w:p w14:paraId="2EF3BE0F" w14:textId="77777777" w:rsidR="00AE0598" w:rsidRDefault="0069255A">
      <w:pPr>
        <w:spacing w:before="1"/>
        <w:ind w:left="110"/>
        <w:rPr>
          <w:sz w:val="17"/>
        </w:rPr>
      </w:pPr>
      <w:r>
        <w:rPr>
          <w:color w:val="231F20"/>
          <w:w w:val="95"/>
          <w:sz w:val="17"/>
        </w:rPr>
        <w:t>cruise</w:t>
      </w:r>
      <w:r>
        <w:rPr>
          <w:color w:val="231F20"/>
          <w:spacing w:val="2"/>
          <w:sz w:val="17"/>
        </w:rPr>
        <w:t xml:space="preserve"> </w:t>
      </w:r>
      <w:r>
        <w:rPr>
          <w:color w:val="231F20"/>
          <w:w w:val="95"/>
          <w:sz w:val="17"/>
        </w:rPr>
        <w:t>ship</w:t>
      </w:r>
      <w:r>
        <w:rPr>
          <w:color w:val="231F20"/>
          <w:spacing w:val="3"/>
          <w:sz w:val="17"/>
        </w:rPr>
        <w:t xml:space="preserve"> </w:t>
      </w:r>
      <w:r>
        <w:rPr>
          <w:color w:val="231F20"/>
          <w:w w:val="95"/>
          <w:sz w:val="17"/>
        </w:rPr>
        <w:t>43,</w:t>
      </w:r>
      <w:r>
        <w:rPr>
          <w:color w:val="231F20"/>
          <w:spacing w:val="3"/>
          <w:sz w:val="17"/>
        </w:rPr>
        <w:t xml:space="preserve"> </w:t>
      </w:r>
      <w:r>
        <w:rPr>
          <w:color w:val="231F20"/>
          <w:spacing w:val="-5"/>
          <w:w w:val="95"/>
          <w:sz w:val="17"/>
        </w:rPr>
        <w:t>60</w:t>
      </w:r>
    </w:p>
    <w:p w14:paraId="57CF0D28" w14:textId="77777777" w:rsidR="00AE0598" w:rsidRDefault="0069255A">
      <w:pPr>
        <w:spacing w:before="1"/>
        <w:ind w:left="110"/>
        <w:rPr>
          <w:sz w:val="17"/>
        </w:rPr>
      </w:pPr>
      <w:r>
        <w:rPr>
          <w:color w:val="231F20"/>
          <w:w w:val="95"/>
          <w:sz w:val="17"/>
        </w:rPr>
        <w:t>cultural</w:t>
      </w:r>
      <w:r>
        <w:rPr>
          <w:color w:val="231F20"/>
          <w:spacing w:val="23"/>
          <w:sz w:val="17"/>
        </w:rPr>
        <w:t xml:space="preserve"> </w:t>
      </w:r>
      <w:r>
        <w:rPr>
          <w:color w:val="231F20"/>
          <w:w w:val="95"/>
          <w:sz w:val="17"/>
        </w:rPr>
        <w:t>attraction</w:t>
      </w:r>
      <w:r>
        <w:rPr>
          <w:color w:val="231F20"/>
          <w:spacing w:val="23"/>
          <w:sz w:val="17"/>
        </w:rPr>
        <w:t xml:space="preserve"> </w:t>
      </w:r>
      <w:r>
        <w:rPr>
          <w:color w:val="231F20"/>
          <w:spacing w:val="-5"/>
          <w:w w:val="95"/>
          <w:sz w:val="17"/>
        </w:rPr>
        <w:t>71</w:t>
      </w:r>
    </w:p>
    <w:p w14:paraId="3D388ADA" w14:textId="77777777" w:rsidR="00AE0598" w:rsidRDefault="0069255A">
      <w:pPr>
        <w:spacing w:before="1"/>
        <w:ind w:left="110"/>
        <w:rPr>
          <w:sz w:val="17"/>
        </w:rPr>
      </w:pPr>
      <w:r>
        <w:rPr>
          <w:color w:val="231F20"/>
          <w:w w:val="95"/>
          <w:sz w:val="17"/>
        </w:rPr>
        <w:t>cultural</w:t>
      </w:r>
      <w:r>
        <w:rPr>
          <w:color w:val="231F20"/>
          <w:spacing w:val="8"/>
          <w:sz w:val="17"/>
        </w:rPr>
        <w:t xml:space="preserve"> </w:t>
      </w:r>
      <w:r>
        <w:rPr>
          <w:color w:val="231F20"/>
          <w:w w:val="95"/>
          <w:sz w:val="17"/>
        </w:rPr>
        <w:t>diversity</w:t>
      </w:r>
      <w:r>
        <w:rPr>
          <w:color w:val="231F20"/>
          <w:spacing w:val="9"/>
          <w:sz w:val="17"/>
        </w:rPr>
        <w:t xml:space="preserve"> </w:t>
      </w:r>
      <w:r>
        <w:rPr>
          <w:color w:val="231F20"/>
          <w:w w:val="95"/>
          <w:sz w:val="17"/>
        </w:rPr>
        <w:t>125,</w:t>
      </w:r>
      <w:r>
        <w:rPr>
          <w:color w:val="231F20"/>
          <w:spacing w:val="9"/>
          <w:sz w:val="17"/>
        </w:rPr>
        <w:t xml:space="preserve"> </w:t>
      </w:r>
      <w:r>
        <w:rPr>
          <w:color w:val="231F20"/>
          <w:spacing w:val="-2"/>
          <w:w w:val="95"/>
          <w:sz w:val="17"/>
        </w:rPr>
        <w:t>162–163</w:t>
      </w:r>
    </w:p>
    <w:p w14:paraId="3D33A66F" w14:textId="77777777" w:rsidR="00AE0598" w:rsidRDefault="0069255A">
      <w:pPr>
        <w:ind w:left="110"/>
        <w:rPr>
          <w:sz w:val="17"/>
        </w:rPr>
      </w:pPr>
      <w:r>
        <w:rPr>
          <w:color w:val="231F20"/>
          <w:w w:val="95"/>
          <w:sz w:val="17"/>
        </w:rPr>
        <w:t>cultural</w:t>
      </w:r>
      <w:r>
        <w:rPr>
          <w:color w:val="231F20"/>
          <w:spacing w:val="7"/>
          <w:sz w:val="17"/>
        </w:rPr>
        <w:t xml:space="preserve"> </w:t>
      </w:r>
      <w:r>
        <w:rPr>
          <w:color w:val="231F20"/>
          <w:w w:val="95"/>
          <w:sz w:val="17"/>
        </w:rPr>
        <w:t>event</w:t>
      </w:r>
      <w:r>
        <w:rPr>
          <w:color w:val="231F20"/>
          <w:spacing w:val="7"/>
          <w:sz w:val="17"/>
        </w:rPr>
        <w:t xml:space="preserve"> </w:t>
      </w:r>
      <w:r>
        <w:rPr>
          <w:color w:val="231F20"/>
          <w:w w:val="95"/>
          <w:sz w:val="17"/>
        </w:rPr>
        <w:t>94,</w:t>
      </w:r>
      <w:r>
        <w:rPr>
          <w:color w:val="231F20"/>
          <w:spacing w:val="8"/>
          <w:sz w:val="17"/>
        </w:rPr>
        <w:t xml:space="preserve"> </w:t>
      </w:r>
      <w:r>
        <w:rPr>
          <w:color w:val="231F20"/>
          <w:spacing w:val="-5"/>
          <w:w w:val="95"/>
          <w:sz w:val="17"/>
        </w:rPr>
        <w:t>116</w:t>
      </w:r>
    </w:p>
    <w:p w14:paraId="0184D6FB" w14:textId="77777777" w:rsidR="00AE0598" w:rsidRDefault="0069255A">
      <w:pPr>
        <w:spacing w:before="1"/>
        <w:ind w:left="110"/>
        <w:rPr>
          <w:sz w:val="17"/>
        </w:rPr>
      </w:pPr>
      <w:r>
        <w:rPr>
          <w:color w:val="231F20"/>
          <w:w w:val="95"/>
          <w:sz w:val="17"/>
        </w:rPr>
        <w:t>cultural</w:t>
      </w:r>
      <w:r>
        <w:rPr>
          <w:color w:val="231F20"/>
          <w:spacing w:val="2"/>
          <w:sz w:val="17"/>
        </w:rPr>
        <w:t xml:space="preserve"> </w:t>
      </w:r>
      <w:r>
        <w:rPr>
          <w:color w:val="231F20"/>
          <w:w w:val="95"/>
          <w:sz w:val="17"/>
        </w:rPr>
        <w:t>experience</w:t>
      </w:r>
      <w:r>
        <w:rPr>
          <w:color w:val="231F20"/>
          <w:spacing w:val="3"/>
          <w:sz w:val="17"/>
        </w:rPr>
        <w:t xml:space="preserve"> </w:t>
      </w:r>
      <w:r>
        <w:rPr>
          <w:color w:val="231F20"/>
          <w:w w:val="95"/>
          <w:sz w:val="17"/>
        </w:rPr>
        <w:t>11,</w:t>
      </w:r>
      <w:r>
        <w:rPr>
          <w:color w:val="231F20"/>
          <w:spacing w:val="2"/>
          <w:sz w:val="17"/>
        </w:rPr>
        <w:t xml:space="preserve"> </w:t>
      </w:r>
      <w:r>
        <w:rPr>
          <w:color w:val="231F20"/>
          <w:w w:val="95"/>
          <w:sz w:val="17"/>
        </w:rPr>
        <w:t>112,</w:t>
      </w:r>
      <w:r>
        <w:rPr>
          <w:color w:val="231F20"/>
          <w:spacing w:val="3"/>
          <w:sz w:val="17"/>
        </w:rPr>
        <w:t xml:space="preserve"> </w:t>
      </w:r>
      <w:r>
        <w:rPr>
          <w:color w:val="231F20"/>
          <w:w w:val="95"/>
          <w:sz w:val="17"/>
        </w:rPr>
        <w:t>114,</w:t>
      </w:r>
      <w:r>
        <w:rPr>
          <w:color w:val="231F20"/>
          <w:spacing w:val="2"/>
          <w:sz w:val="17"/>
        </w:rPr>
        <w:t xml:space="preserve"> </w:t>
      </w:r>
      <w:r>
        <w:rPr>
          <w:color w:val="231F20"/>
          <w:spacing w:val="-5"/>
          <w:w w:val="95"/>
          <w:sz w:val="17"/>
        </w:rPr>
        <w:t>164</w:t>
      </w:r>
    </w:p>
    <w:p w14:paraId="603808D0" w14:textId="77777777" w:rsidR="00AE0598" w:rsidRDefault="0069255A">
      <w:pPr>
        <w:spacing w:before="1"/>
        <w:ind w:left="110"/>
        <w:rPr>
          <w:sz w:val="17"/>
        </w:rPr>
      </w:pPr>
      <w:r>
        <w:rPr>
          <w:color w:val="231F20"/>
          <w:w w:val="90"/>
          <w:sz w:val="17"/>
        </w:rPr>
        <w:t>cyberspace</w:t>
      </w:r>
      <w:r>
        <w:rPr>
          <w:color w:val="231F20"/>
          <w:spacing w:val="35"/>
          <w:sz w:val="17"/>
        </w:rPr>
        <w:t xml:space="preserve"> </w:t>
      </w:r>
      <w:r>
        <w:rPr>
          <w:color w:val="231F20"/>
          <w:spacing w:val="-5"/>
          <w:sz w:val="17"/>
        </w:rPr>
        <w:t>220</w:t>
      </w:r>
    </w:p>
    <w:p w14:paraId="60B70527" w14:textId="77777777" w:rsidR="00AE0598" w:rsidRDefault="0069255A">
      <w:pPr>
        <w:ind w:left="110"/>
        <w:rPr>
          <w:sz w:val="17"/>
        </w:rPr>
      </w:pPr>
      <w:r>
        <w:rPr>
          <w:color w:val="231F20"/>
          <w:w w:val="95"/>
          <w:sz w:val="17"/>
        </w:rPr>
        <w:t>cycling</w:t>
      </w:r>
      <w:r>
        <w:rPr>
          <w:color w:val="231F20"/>
          <w:spacing w:val="6"/>
          <w:sz w:val="17"/>
        </w:rPr>
        <w:t xml:space="preserve"> </w:t>
      </w:r>
      <w:r>
        <w:rPr>
          <w:color w:val="231F20"/>
          <w:w w:val="95"/>
          <w:sz w:val="17"/>
        </w:rPr>
        <w:t>25,</w:t>
      </w:r>
      <w:r>
        <w:rPr>
          <w:color w:val="231F20"/>
          <w:spacing w:val="7"/>
          <w:sz w:val="17"/>
        </w:rPr>
        <w:t xml:space="preserve"> </w:t>
      </w:r>
      <w:r>
        <w:rPr>
          <w:color w:val="231F20"/>
          <w:w w:val="95"/>
          <w:sz w:val="17"/>
        </w:rPr>
        <w:t>34–36,</w:t>
      </w:r>
      <w:r>
        <w:rPr>
          <w:color w:val="231F20"/>
          <w:spacing w:val="6"/>
          <w:sz w:val="17"/>
        </w:rPr>
        <w:t xml:space="preserve"> </w:t>
      </w:r>
      <w:r>
        <w:rPr>
          <w:color w:val="231F20"/>
          <w:w w:val="95"/>
          <w:sz w:val="17"/>
        </w:rPr>
        <w:t>43,</w:t>
      </w:r>
      <w:r>
        <w:rPr>
          <w:color w:val="231F20"/>
          <w:spacing w:val="7"/>
          <w:sz w:val="17"/>
        </w:rPr>
        <w:t xml:space="preserve"> </w:t>
      </w:r>
      <w:r>
        <w:rPr>
          <w:color w:val="231F20"/>
          <w:w w:val="95"/>
          <w:sz w:val="17"/>
        </w:rPr>
        <w:t>58–61,</w:t>
      </w:r>
      <w:r>
        <w:rPr>
          <w:color w:val="231F20"/>
          <w:spacing w:val="7"/>
          <w:sz w:val="17"/>
        </w:rPr>
        <w:t xml:space="preserve"> </w:t>
      </w:r>
      <w:r>
        <w:rPr>
          <w:color w:val="231F20"/>
          <w:w w:val="95"/>
          <w:sz w:val="17"/>
        </w:rPr>
        <w:t>74,</w:t>
      </w:r>
      <w:r>
        <w:rPr>
          <w:color w:val="231F20"/>
          <w:spacing w:val="6"/>
          <w:sz w:val="17"/>
        </w:rPr>
        <w:t xml:space="preserve"> </w:t>
      </w:r>
      <w:r>
        <w:rPr>
          <w:color w:val="231F20"/>
          <w:spacing w:val="-2"/>
          <w:w w:val="95"/>
          <w:sz w:val="17"/>
        </w:rPr>
        <w:t>124–125,</w:t>
      </w:r>
    </w:p>
    <w:p w14:paraId="684D9C8E" w14:textId="77777777" w:rsidR="00AE0598" w:rsidRDefault="0069255A">
      <w:pPr>
        <w:spacing w:before="1"/>
        <w:ind w:left="470"/>
        <w:rPr>
          <w:sz w:val="17"/>
        </w:rPr>
      </w:pPr>
      <w:r>
        <w:rPr>
          <w:color w:val="231F20"/>
          <w:w w:val="90"/>
          <w:sz w:val="17"/>
        </w:rPr>
        <w:t>174–175,</w:t>
      </w:r>
      <w:r>
        <w:rPr>
          <w:color w:val="231F20"/>
          <w:spacing w:val="6"/>
          <w:sz w:val="17"/>
        </w:rPr>
        <w:t xml:space="preserve"> </w:t>
      </w:r>
      <w:r>
        <w:rPr>
          <w:color w:val="231F20"/>
          <w:w w:val="90"/>
          <w:sz w:val="17"/>
        </w:rPr>
        <w:t>193,</w:t>
      </w:r>
      <w:r>
        <w:rPr>
          <w:color w:val="231F20"/>
          <w:spacing w:val="6"/>
          <w:sz w:val="17"/>
        </w:rPr>
        <w:t xml:space="preserve"> </w:t>
      </w:r>
      <w:r>
        <w:rPr>
          <w:color w:val="231F20"/>
          <w:spacing w:val="-5"/>
          <w:w w:val="90"/>
          <w:sz w:val="17"/>
        </w:rPr>
        <w:t>204</w:t>
      </w:r>
    </w:p>
    <w:p w14:paraId="047BE94D" w14:textId="77777777" w:rsidR="00AE0598" w:rsidRDefault="00AE0598">
      <w:pPr>
        <w:pStyle w:val="Corpodetexto"/>
        <w:spacing w:before="3"/>
        <w:rPr>
          <w:sz w:val="16"/>
        </w:rPr>
      </w:pPr>
    </w:p>
    <w:p w14:paraId="20B1F02A" w14:textId="77777777" w:rsidR="00AE0598" w:rsidRDefault="0069255A">
      <w:pPr>
        <w:ind w:left="110"/>
        <w:rPr>
          <w:sz w:val="17"/>
        </w:rPr>
      </w:pPr>
      <w:r>
        <w:rPr>
          <w:color w:val="231F20"/>
          <w:w w:val="95"/>
          <w:sz w:val="17"/>
        </w:rPr>
        <w:t>decision-making</w:t>
      </w:r>
      <w:r>
        <w:rPr>
          <w:color w:val="231F20"/>
          <w:spacing w:val="5"/>
          <w:sz w:val="17"/>
        </w:rPr>
        <w:t xml:space="preserve"> </w:t>
      </w:r>
      <w:r>
        <w:rPr>
          <w:color w:val="231F20"/>
          <w:w w:val="95"/>
          <w:sz w:val="17"/>
        </w:rPr>
        <w:t>41–42,</w:t>
      </w:r>
      <w:r>
        <w:rPr>
          <w:color w:val="231F20"/>
          <w:spacing w:val="6"/>
          <w:sz w:val="17"/>
        </w:rPr>
        <w:t xml:space="preserve"> </w:t>
      </w:r>
      <w:r>
        <w:rPr>
          <w:color w:val="231F20"/>
          <w:w w:val="95"/>
          <w:sz w:val="17"/>
        </w:rPr>
        <w:t>47,</w:t>
      </w:r>
      <w:r>
        <w:rPr>
          <w:color w:val="231F20"/>
          <w:spacing w:val="6"/>
          <w:sz w:val="17"/>
        </w:rPr>
        <w:t xml:space="preserve"> </w:t>
      </w:r>
      <w:r>
        <w:rPr>
          <w:color w:val="231F20"/>
          <w:w w:val="95"/>
          <w:sz w:val="17"/>
        </w:rPr>
        <w:t>53,</w:t>
      </w:r>
      <w:r>
        <w:rPr>
          <w:color w:val="231F20"/>
          <w:spacing w:val="5"/>
          <w:sz w:val="17"/>
        </w:rPr>
        <w:t xml:space="preserve"> </w:t>
      </w:r>
      <w:r>
        <w:rPr>
          <w:color w:val="231F20"/>
          <w:w w:val="95"/>
          <w:sz w:val="17"/>
        </w:rPr>
        <w:t>59,</w:t>
      </w:r>
      <w:r>
        <w:rPr>
          <w:color w:val="231F20"/>
          <w:spacing w:val="6"/>
          <w:sz w:val="17"/>
        </w:rPr>
        <w:t xml:space="preserve"> </w:t>
      </w:r>
      <w:r>
        <w:rPr>
          <w:color w:val="231F20"/>
          <w:spacing w:val="-5"/>
          <w:w w:val="95"/>
          <w:sz w:val="17"/>
        </w:rPr>
        <w:t>94,</w:t>
      </w:r>
    </w:p>
    <w:p w14:paraId="65572FC8" w14:textId="77777777" w:rsidR="00AE0598" w:rsidRDefault="0069255A">
      <w:pPr>
        <w:spacing w:before="1"/>
        <w:ind w:left="470"/>
        <w:rPr>
          <w:sz w:val="17"/>
        </w:rPr>
      </w:pPr>
      <w:r>
        <w:rPr>
          <w:color w:val="231F20"/>
          <w:w w:val="90"/>
          <w:sz w:val="17"/>
        </w:rPr>
        <w:t>155–157,</w:t>
      </w:r>
      <w:r>
        <w:rPr>
          <w:color w:val="231F20"/>
          <w:spacing w:val="9"/>
          <w:sz w:val="17"/>
        </w:rPr>
        <w:t xml:space="preserve"> </w:t>
      </w:r>
      <w:r>
        <w:rPr>
          <w:color w:val="231F20"/>
          <w:w w:val="90"/>
          <w:sz w:val="17"/>
        </w:rPr>
        <w:t>173,</w:t>
      </w:r>
      <w:r>
        <w:rPr>
          <w:color w:val="231F20"/>
          <w:spacing w:val="9"/>
          <w:sz w:val="17"/>
        </w:rPr>
        <w:t xml:space="preserve"> </w:t>
      </w:r>
      <w:r>
        <w:rPr>
          <w:color w:val="231F20"/>
          <w:spacing w:val="-5"/>
          <w:w w:val="90"/>
          <w:sz w:val="17"/>
        </w:rPr>
        <w:t>220</w:t>
      </w:r>
    </w:p>
    <w:p w14:paraId="5CD0F228" w14:textId="77777777" w:rsidR="00AE0598" w:rsidRDefault="0069255A">
      <w:pPr>
        <w:spacing w:before="1"/>
        <w:ind w:left="110"/>
        <w:rPr>
          <w:sz w:val="17"/>
        </w:rPr>
      </w:pPr>
      <w:r>
        <w:rPr>
          <w:color w:val="231F20"/>
          <w:w w:val="95"/>
          <w:sz w:val="17"/>
        </w:rPr>
        <w:t>demand</w:t>
      </w:r>
      <w:r>
        <w:rPr>
          <w:color w:val="231F20"/>
          <w:spacing w:val="4"/>
          <w:sz w:val="17"/>
        </w:rPr>
        <w:t xml:space="preserve"> </w:t>
      </w:r>
      <w:r>
        <w:rPr>
          <w:color w:val="231F20"/>
          <w:w w:val="95"/>
          <w:sz w:val="17"/>
        </w:rPr>
        <w:t>curve</w:t>
      </w:r>
      <w:r>
        <w:rPr>
          <w:color w:val="231F20"/>
          <w:spacing w:val="5"/>
          <w:sz w:val="17"/>
        </w:rPr>
        <w:t xml:space="preserve"> </w:t>
      </w:r>
      <w:r>
        <w:rPr>
          <w:color w:val="231F20"/>
          <w:w w:val="95"/>
          <w:sz w:val="17"/>
        </w:rPr>
        <w:t>93,</w:t>
      </w:r>
      <w:r>
        <w:rPr>
          <w:color w:val="231F20"/>
          <w:spacing w:val="4"/>
          <w:sz w:val="17"/>
        </w:rPr>
        <w:t xml:space="preserve"> </w:t>
      </w:r>
      <w:r>
        <w:rPr>
          <w:color w:val="231F20"/>
          <w:spacing w:val="-5"/>
          <w:w w:val="95"/>
          <w:sz w:val="17"/>
        </w:rPr>
        <w:t>96</w:t>
      </w:r>
    </w:p>
    <w:p w14:paraId="56E6D4F4" w14:textId="77777777" w:rsidR="00AE0598" w:rsidRDefault="0069255A">
      <w:pPr>
        <w:ind w:left="110"/>
        <w:rPr>
          <w:sz w:val="17"/>
        </w:rPr>
      </w:pPr>
      <w:r>
        <w:rPr>
          <w:color w:val="231F20"/>
          <w:w w:val="95"/>
          <w:sz w:val="17"/>
        </w:rPr>
        <w:t>demand</w:t>
      </w:r>
      <w:r>
        <w:rPr>
          <w:color w:val="231F20"/>
          <w:spacing w:val="9"/>
          <w:sz w:val="17"/>
        </w:rPr>
        <w:t xml:space="preserve"> </w:t>
      </w:r>
      <w:r>
        <w:rPr>
          <w:color w:val="231F20"/>
          <w:w w:val="95"/>
          <w:sz w:val="17"/>
        </w:rPr>
        <w:t>group</w:t>
      </w:r>
      <w:r>
        <w:rPr>
          <w:color w:val="231F20"/>
          <w:spacing w:val="10"/>
          <w:sz w:val="17"/>
        </w:rPr>
        <w:t xml:space="preserve"> </w:t>
      </w:r>
      <w:r>
        <w:rPr>
          <w:color w:val="231F20"/>
          <w:spacing w:val="-2"/>
          <w:w w:val="95"/>
          <w:sz w:val="17"/>
        </w:rPr>
        <w:t>39–40</w:t>
      </w:r>
    </w:p>
    <w:p w14:paraId="7084681C" w14:textId="77777777" w:rsidR="00AE0598" w:rsidRDefault="0069255A">
      <w:pPr>
        <w:spacing w:before="1"/>
        <w:ind w:left="110"/>
        <w:rPr>
          <w:sz w:val="17"/>
        </w:rPr>
      </w:pPr>
      <w:r>
        <w:rPr>
          <w:color w:val="231F20"/>
          <w:w w:val="95"/>
          <w:sz w:val="17"/>
        </w:rPr>
        <w:t>democratisation</w:t>
      </w:r>
      <w:r>
        <w:rPr>
          <w:color w:val="231F20"/>
          <w:spacing w:val="14"/>
          <w:sz w:val="17"/>
        </w:rPr>
        <w:t xml:space="preserve"> </w:t>
      </w:r>
      <w:r>
        <w:rPr>
          <w:color w:val="231F20"/>
          <w:w w:val="95"/>
          <w:sz w:val="17"/>
        </w:rPr>
        <w:t>5–6,</w:t>
      </w:r>
      <w:r>
        <w:rPr>
          <w:color w:val="231F20"/>
          <w:spacing w:val="14"/>
          <w:sz w:val="17"/>
        </w:rPr>
        <w:t xml:space="preserve"> </w:t>
      </w:r>
      <w:r>
        <w:rPr>
          <w:color w:val="231F20"/>
          <w:w w:val="95"/>
          <w:sz w:val="17"/>
        </w:rPr>
        <w:t>53,</w:t>
      </w:r>
      <w:r>
        <w:rPr>
          <w:color w:val="231F20"/>
          <w:spacing w:val="14"/>
          <w:sz w:val="17"/>
        </w:rPr>
        <w:t xml:space="preserve"> </w:t>
      </w:r>
      <w:r>
        <w:rPr>
          <w:color w:val="231F20"/>
          <w:spacing w:val="-5"/>
          <w:w w:val="95"/>
          <w:sz w:val="17"/>
        </w:rPr>
        <w:t>104</w:t>
      </w:r>
    </w:p>
    <w:p w14:paraId="229AE15A" w14:textId="77777777" w:rsidR="00AE0598" w:rsidRDefault="0069255A">
      <w:pPr>
        <w:spacing w:before="1"/>
        <w:ind w:left="110"/>
        <w:rPr>
          <w:sz w:val="17"/>
        </w:rPr>
      </w:pPr>
      <w:r>
        <w:rPr>
          <w:color w:val="231F20"/>
          <w:w w:val="95"/>
          <w:sz w:val="17"/>
        </w:rPr>
        <w:t>destination</w:t>
      </w:r>
      <w:r>
        <w:rPr>
          <w:color w:val="231F20"/>
          <w:spacing w:val="8"/>
          <w:sz w:val="17"/>
        </w:rPr>
        <w:t xml:space="preserve"> </w:t>
      </w:r>
      <w:r>
        <w:rPr>
          <w:color w:val="231F20"/>
          <w:w w:val="95"/>
          <w:sz w:val="17"/>
        </w:rPr>
        <w:t>brand</w:t>
      </w:r>
      <w:r>
        <w:rPr>
          <w:color w:val="231F20"/>
          <w:spacing w:val="8"/>
          <w:sz w:val="17"/>
        </w:rPr>
        <w:t xml:space="preserve"> </w:t>
      </w:r>
      <w:r>
        <w:rPr>
          <w:color w:val="231F20"/>
          <w:spacing w:val="-2"/>
          <w:w w:val="95"/>
          <w:sz w:val="17"/>
        </w:rPr>
        <w:t>128–130</w:t>
      </w:r>
    </w:p>
    <w:p w14:paraId="2AC3F1D1" w14:textId="77777777" w:rsidR="00AE0598" w:rsidRDefault="0069255A">
      <w:pPr>
        <w:ind w:left="110"/>
        <w:rPr>
          <w:sz w:val="17"/>
        </w:rPr>
      </w:pPr>
      <w:r>
        <w:rPr>
          <w:color w:val="231F20"/>
          <w:w w:val="95"/>
          <w:sz w:val="17"/>
        </w:rPr>
        <w:t>destination</w:t>
      </w:r>
      <w:r>
        <w:rPr>
          <w:color w:val="231F20"/>
          <w:spacing w:val="5"/>
          <w:sz w:val="17"/>
        </w:rPr>
        <w:t xml:space="preserve"> </w:t>
      </w:r>
      <w:r>
        <w:rPr>
          <w:color w:val="231F20"/>
          <w:w w:val="95"/>
          <w:sz w:val="17"/>
        </w:rPr>
        <w:t>branding</w:t>
      </w:r>
      <w:r>
        <w:rPr>
          <w:color w:val="231F20"/>
          <w:spacing w:val="6"/>
          <w:sz w:val="17"/>
        </w:rPr>
        <w:t xml:space="preserve"> </w:t>
      </w:r>
      <w:r>
        <w:rPr>
          <w:color w:val="231F20"/>
          <w:w w:val="95"/>
          <w:sz w:val="17"/>
        </w:rPr>
        <w:t>9,</w:t>
      </w:r>
      <w:r>
        <w:rPr>
          <w:color w:val="231F20"/>
          <w:spacing w:val="5"/>
          <w:sz w:val="17"/>
        </w:rPr>
        <w:t xml:space="preserve"> </w:t>
      </w:r>
      <w:r>
        <w:rPr>
          <w:color w:val="231F20"/>
          <w:w w:val="95"/>
          <w:sz w:val="17"/>
        </w:rPr>
        <w:t>77,</w:t>
      </w:r>
      <w:r>
        <w:rPr>
          <w:color w:val="231F20"/>
          <w:spacing w:val="6"/>
          <w:sz w:val="17"/>
        </w:rPr>
        <w:t xml:space="preserve"> </w:t>
      </w:r>
      <w:r>
        <w:rPr>
          <w:color w:val="231F20"/>
          <w:spacing w:val="-5"/>
          <w:w w:val="95"/>
          <w:sz w:val="17"/>
        </w:rPr>
        <w:t>129</w:t>
      </w:r>
    </w:p>
    <w:p w14:paraId="3A20BAA4" w14:textId="77777777" w:rsidR="00AE0598" w:rsidRDefault="0069255A">
      <w:pPr>
        <w:spacing w:before="1"/>
        <w:ind w:left="110"/>
        <w:rPr>
          <w:sz w:val="17"/>
        </w:rPr>
      </w:pPr>
      <w:r>
        <w:rPr>
          <w:color w:val="231F20"/>
          <w:sz w:val="17"/>
        </w:rPr>
        <w:t>Destination</w:t>
      </w:r>
      <w:r>
        <w:rPr>
          <w:color w:val="231F20"/>
          <w:spacing w:val="6"/>
          <w:sz w:val="17"/>
        </w:rPr>
        <w:t xml:space="preserve"> </w:t>
      </w:r>
      <w:r>
        <w:rPr>
          <w:color w:val="231F20"/>
          <w:sz w:val="17"/>
        </w:rPr>
        <w:t>Canada</w:t>
      </w:r>
      <w:r>
        <w:rPr>
          <w:color w:val="231F20"/>
          <w:spacing w:val="7"/>
          <w:sz w:val="17"/>
        </w:rPr>
        <w:t xml:space="preserve"> </w:t>
      </w:r>
      <w:r>
        <w:rPr>
          <w:color w:val="231F20"/>
          <w:spacing w:val="-5"/>
          <w:sz w:val="17"/>
        </w:rPr>
        <w:t>82</w:t>
      </w:r>
    </w:p>
    <w:p w14:paraId="14A4E5A5" w14:textId="77777777" w:rsidR="00AE0598" w:rsidRDefault="0069255A">
      <w:pPr>
        <w:spacing w:before="1"/>
        <w:ind w:left="110"/>
        <w:rPr>
          <w:sz w:val="17"/>
        </w:rPr>
      </w:pPr>
      <w:r>
        <w:rPr>
          <w:color w:val="231F20"/>
          <w:w w:val="95"/>
          <w:sz w:val="17"/>
        </w:rPr>
        <w:t>destination</w:t>
      </w:r>
      <w:r>
        <w:rPr>
          <w:color w:val="231F20"/>
          <w:spacing w:val="4"/>
          <w:sz w:val="17"/>
        </w:rPr>
        <w:t xml:space="preserve"> </w:t>
      </w:r>
      <w:r>
        <w:rPr>
          <w:color w:val="231F20"/>
          <w:w w:val="95"/>
          <w:sz w:val="17"/>
        </w:rPr>
        <w:t>choice</w:t>
      </w:r>
      <w:r>
        <w:rPr>
          <w:color w:val="231F20"/>
          <w:spacing w:val="5"/>
          <w:sz w:val="17"/>
        </w:rPr>
        <w:t xml:space="preserve"> </w:t>
      </w:r>
      <w:r>
        <w:rPr>
          <w:color w:val="231F20"/>
          <w:w w:val="95"/>
          <w:sz w:val="17"/>
        </w:rPr>
        <w:t>41,</w:t>
      </w:r>
      <w:r>
        <w:rPr>
          <w:color w:val="231F20"/>
          <w:spacing w:val="5"/>
          <w:sz w:val="17"/>
        </w:rPr>
        <w:t xml:space="preserve"> </w:t>
      </w:r>
      <w:r>
        <w:rPr>
          <w:color w:val="231F20"/>
          <w:spacing w:val="-5"/>
          <w:w w:val="95"/>
          <w:sz w:val="17"/>
        </w:rPr>
        <w:t>168</w:t>
      </w:r>
    </w:p>
    <w:p w14:paraId="150AAA09" w14:textId="77777777" w:rsidR="00AE0598" w:rsidRDefault="0069255A">
      <w:pPr>
        <w:spacing w:before="1"/>
        <w:ind w:left="110"/>
        <w:rPr>
          <w:sz w:val="17"/>
        </w:rPr>
      </w:pPr>
      <w:r>
        <w:rPr>
          <w:color w:val="231F20"/>
          <w:w w:val="95"/>
          <w:sz w:val="17"/>
        </w:rPr>
        <w:t>destination</w:t>
      </w:r>
      <w:r>
        <w:rPr>
          <w:color w:val="231F20"/>
          <w:spacing w:val="7"/>
          <w:sz w:val="17"/>
        </w:rPr>
        <w:t xml:space="preserve"> </w:t>
      </w:r>
      <w:r>
        <w:rPr>
          <w:color w:val="231F20"/>
          <w:w w:val="95"/>
          <w:sz w:val="17"/>
        </w:rPr>
        <w:t>image</w:t>
      </w:r>
      <w:r>
        <w:rPr>
          <w:color w:val="231F20"/>
          <w:spacing w:val="7"/>
          <w:sz w:val="17"/>
        </w:rPr>
        <w:t xml:space="preserve"> </w:t>
      </w:r>
      <w:r>
        <w:rPr>
          <w:color w:val="231F20"/>
          <w:w w:val="95"/>
          <w:sz w:val="17"/>
        </w:rPr>
        <w:t>6,</w:t>
      </w:r>
      <w:r>
        <w:rPr>
          <w:color w:val="231F20"/>
          <w:spacing w:val="7"/>
          <w:sz w:val="17"/>
        </w:rPr>
        <w:t xml:space="preserve"> </w:t>
      </w:r>
      <w:r>
        <w:rPr>
          <w:color w:val="231F20"/>
          <w:w w:val="95"/>
          <w:sz w:val="17"/>
        </w:rPr>
        <w:t>8,</w:t>
      </w:r>
      <w:r>
        <w:rPr>
          <w:color w:val="231F20"/>
          <w:spacing w:val="7"/>
          <w:sz w:val="17"/>
        </w:rPr>
        <w:t xml:space="preserve"> </w:t>
      </w:r>
      <w:r>
        <w:rPr>
          <w:color w:val="231F20"/>
          <w:w w:val="95"/>
          <w:sz w:val="17"/>
        </w:rPr>
        <w:t>85,</w:t>
      </w:r>
      <w:r>
        <w:rPr>
          <w:color w:val="231F20"/>
          <w:spacing w:val="7"/>
          <w:sz w:val="17"/>
        </w:rPr>
        <w:t xml:space="preserve"> </w:t>
      </w:r>
      <w:r>
        <w:rPr>
          <w:color w:val="231F20"/>
          <w:w w:val="95"/>
          <w:sz w:val="17"/>
        </w:rPr>
        <w:t>101,</w:t>
      </w:r>
      <w:r>
        <w:rPr>
          <w:color w:val="231F20"/>
          <w:spacing w:val="7"/>
          <w:sz w:val="17"/>
        </w:rPr>
        <w:t xml:space="preserve"> </w:t>
      </w:r>
      <w:r>
        <w:rPr>
          <w:color w:val="231F20"/>
          <w:w w:val="95"/>
          <w:sz w:val="17"/>
        </w:rPr>
        <w:t>128,</w:t>
      </w:r>
      <w:r>
        <w:rPr>
          <w:color w:val="231F20"/>
          <w:spacing w:val="7"/>
          <w:sz w:val="17"/>
        </w:rPr>
        <w:t xml:space="preserve"> </w:t>
      </w:r>
      <w:r>
        <w:rPr>
          <w:color w:val="231F20"/>
          <w:spacing w:val="-4"/>
          <w:w w:val="95"/>
          <w:sz w:val="17"/>
        </w:rPr>
        <w:t>137,</w:t>
      </w:r>
    </w:p>
    <w:p w14:paraId="5529CC7F" w14:textId="77777777" w:rsidR="00AE0598" w:rsidRDefault="0069255A">
      <w:pPr>
        <w:ind w:left="470"/>
        <w:rPr>
          <w:sz w:val="17"/>
        </w:rPr>
      </w:pPr>
      <w:r>
        <w:rPr>
          <w:color w:val="231F20"/>
          <w:w w:val="90"/>
          <w:sz w:val="17"/>
        </w:rPr>
        <w:t>152,</w:t>
      </w:r>
      <w:r>
        <w:rPr>
          <w:color w:val="231F20"/>
          <w:spacing w:val="18"/>
          <w:sz w:val="17"/>
        </w:rPr>
        <w:t xml:space="preserve"> </w:t>
      </w:r>
      <w:r>
        <w:rPr>
          <w:color w:val="231F20"/>
          <w:w w:val="90"/>
          <w:sz w:val="17"/>
        </w:rPr>
        <w:t>158,</w:t>
      </w:r>
      <w:r>
        <w:rPr>
          <w:color w:val="231F20"/>
          <w:spacing w:val="19"/>
          <w:sz w:val="17"/>
        </w:rPr>
        <w:t xml:space="preserve"> </w:t>
      </w:r>
      <w:r>
        <w:rPr>
          <w:color w:val="231F20"/>
          <w:spacing w:val="-5"/>
          <w:w w:val="90"/>
          <w:sz w:val="17"/>
        </w:rPr>
        <w:t>200</w:t>
      </w:r>
    </w:p>
    <w:p w14:paraId="3F970AF0" w14:textId="77777777" w:rsidR="00AE0598" w:rsidRDefault="0069255A">
      <w:pPr>
        <w:spacing w:before="1"/>
        <w:ind w:left="110"/>
        <w:rPr>
          <w:sz w:val="17"/>
        </w:rPr>
      </w:pPr>
      <w:r>
        <w:rPr>
          <w:color w:val="231F20"/>
          <w:w w:val="95"/>
          <w:sz w:val="17"/>
        </w:rPr>
        <w:t>destination</w:t>
      </w:r>
      <w:r>
        <w:rPr>
          <w:color w:val="231F20"/>
          <w:spacing w:val="9"/>
          <w:sz w:val="17"/>
        </w:rPr>
        <w:t xml:space="preserve"> </w:t>
      </w:r>
      <w:r>
        <w:rPr>
          <w:color w:val="231F20"/>
          <w:w w:val="95"/>
          <w:sz w:val="17"/>
        </w:rPr>
        <w:t>life</w:t>
      </w:r>
      <w:r>
        <w:rPr>
          <w:color w:val="231F20"/>
          <w:spacing w:val="9"/>
          <w:sz w:val="17"/>
        </w:rPr>
        <w:t xml:space="preserve"> </w:t>
      </w:r>
      <w:r>
        <w:rPr>
          <w:color w:val="231F20"/>
          <w:w w:val="95"/>
          <w:sz w:val="17"/>
        </w:rPr>
        <w:t>cycle</w:t>
      </w:r>
      <w:r>
        <w:rPr>
          <w:color w:val="231F20"/>
          <w:spacing w:val="9"/>
          <w:sz w:val="17"/>
        </w:rPr>
        <w:t xml:space="preserve"> </w:t>
      </w:r>
      <w:r>
        <w:rPr>
          <w:color w:val="231F20"/>
          <w:w w:val="95"/>
          <w:sz w:val="17"/>
        </w:rPr>
        <w:t>200,</w:t>
      </w:r>
      <w:r>
        <w:rPr>
          <w:color w:val="231F20"/>
          <w:spacing w:val="9"/>
          <w:sz w:val="17"/>
        </w:rPr>
        <w:t xml:space="preserve"> </w:t>
      </w:r>
      <w:r>
        <w:rPr>
          <w:color w:val="231F20"/>
          <w:w w:val="95"/>
          <w:sz w:val="17"/>
        </w:rPr>
        <w:t>204,</w:t>
      </w:r>
      <w:r>
        <w:rPr>
          <w:color w:val="231F20"/>
          <w:spacing w:val="9"/>
          <w:sz w:val="17"/>
        </w:rPr>
        <w:t xml:space="preserve"> </w:t>
      </w:r>
      <w:r>
        <w:rPr>
          <w:color w:val="231F20"/>
          <w:spacing w:val="-5"/>
          <w:w w:val="95"/>
          <w:sz w:val="17"/>
        </w:rPr>
        <w:t>222</w:t>
      </w:r>
    </w:p>
    <w:p w14:paraId="208B7B1F" w14:textId="77777777" w:rsidR="00AE0598" w:rsidRDefault="0069255A">
      <w:pPr>
        <w:spacing w:before="1"/>
        <w:ind w:left="110" w:right="28"/>
        <w:rPr>
          <w:sz w:val="17"/>
        </w:rPr>
      </w:pPr>
      <w:r>
        <w:rPr>
          <w:color w:val="231F20"/>
          <w:sz w:val="17"/>
        </w:rPr>
        <w:t>destination marketing 6, 31, 97</w:t>
      </w:r>
      <w:r>
        <w:rPr>
          <w:color w:val="231F20"/>
          <w:spacing w:val="40"/>
          <w:sz w:val="17"/>
        </w:rPr>
        <w:t xml:space="preserve"> </w:t>
      </w:r>
      <w:r>
        <w:rPr>
          <w:color w:val="231F20"/>
          <w:sz w:val="17"/>
        </w:rPr>
        <w:t>Destination</w:t>
      </w:r>
      <w:r>
        <w:rPr>
          <w:color w:val="231F20"/>
          <w:spacing w:val="-6"/>
          <w:sz w:val="17"/>
        </w:rPr>
        <w:t xml:space="preserve"> </w:t>
      </w:r>
      <w:r>
        <w:rPr>
          <w:color w:val="231F20"/>
          <w:sz w:val="17"/>
        </w:rPr>
        <w:t>Marketing</w:t>
      </w:r>
      <w:r>
        <w:rPr>
          <w:color w:val="231F20"/>
          <w:spacing w:val="-6"/>
          <w:sz w:val="17"/>
        </w:rPr>
        <w:t xml:space="preserve"> </w:t>
      </w:r>
      <w:r>
        <w:rPr>
          <w:color w:val="231F20"/>
          <w:sz w:val="17"/>
        </w:rPr>
        <w:t>Organisation</w:t>
      </w:r>
    </w:p>
    <w:p w14:paraId="21FF1740" w14:textId="77777777" w:rsidR="00AE0598" w:rsidRDefault="0069255A">
      <w:pPr>
        <w:spacing w:before="1"/>
        <w:ind w:left="470"/>
        <w:rPr>
          <w:sz w:val="17"/>
        </w:rPr>
      </w:pPr>
      <w:r>
        <w:rPr>
          <w:color w:val="231F20"/>
          <w:sz w:val="17"/>
        </w:rPr>
        <w:t>(DMO)</w:t>
      </w:r>
      <w:r>
        <w:rPr>
          <w:color w:val="231F20"/>
          <w:spacing w:val="46"/>
          <w:sz w:val="17"/>
        </w:rPr>
        <w:t xml:space="preserve"> </w:t>
      </w:r>
      <w:r>
        <w:rPr>
          <w:color w:val="231F20"/>
          <w:spacing w:val="-7"/>
          <w:sz w:val="17"/>
        </w:rPr>
        <w:t>26</w:t>
      </w:r>
    </w:p>
    <w:p w14:paraId="522BB490" w14:textId="77777777" w:rsidR="00AE0598" w:rsidRDefault="0069255A">
      <w:pPr>
        <w:spacing w:before="1"/>
        <w:ind w:left="110"/>
        <w:rPr>
          <w:sz w:val="17"/>
        </w:rPr>
      </w:pPr>
      <w:r>
        <w:rPr>
          <w:color w:val="231F20"/>
          <w:w w:val="95"/>
          <w:sz w:val="17"/>
        </w:rPr>
        <w:t>destination</w:t>
      </w:r>
      <w:r>
        <w:rPr>
          <w:color w:val="231F20"/>
          <w:spacing w:val="15"/>
          <w:sz w:val="17"/>
        </w:rPr>
        <w:t xml:space="preserve"> </w:t>
      </w:r>
      <w:r>
        <w:rPr>
          <w:color w:val="231F20"/>
          <w:w w:val="95"/>
          <w:sz w:val="17"/>
        </w:rPr>
        <w:t>planning</w:t>
      </w:r>
      <w:r>
        <w:rPr>
          <w:color w:val="231F20"/>
          <w:spacing w:val="16"/>
          <w:sz w:val="17"/>
        </w:rPr>
        <w:t xml:space="preserve"> </w:t>
      </w:r>
      <w:r>
        <w:rPr>
          <w:color w:val="231F20"/>
          <w:spacing w:val="-5"/>
          <w:w w:val="95"/>
          <w:sz w:val="17"/>
        </w:rPr>
        <w:t>39</w:t>
      </w:r>
    </w:p>
    <w:p w14:paraId="71BAC8A2" w14:textId="77777777" w:rsidR="00AE0598" w:rsidRDefault="0069255A">
      <w:pPr>
        <w:ind w:left="110"/>
        <w:rPr>
          <w:sz w:val="17"/>
        </w:rPr>
      </w:pPr>
      <w:r>
        <w:rPr>
          <w:color w:val="231F20"/>
          <w:w w:val="95"/>
          <w:sz w:val="17"/>
        </w:rPr>
        <w:t>developing</w:t>
      </w:r>
      <w:r>
        <w:rPr>
          <w:color w:val="231F20"/>
          <w:spacing w:val="2"/>
          <w:sz w:val="17"/>
        </w:rPr>
        <w:t xml:space="preserve"> </w:t>
      </w:r>
      <w:r>
        <w:rPr>
          <w:color w:val="231F20"/>
          <w:w w:val="95"/>
          <w:sz w:val="17"/>
        </w:rPr>
        <w:t>countries</w:t>
      </w:r>
      <w:r>
        <w:rPr>
          <w:color w:val="231F20"/>
          <w:spacing w:val="2"/>
          <w:sz w:val="17"/>
        </w:rPr>
        <w:t xml:space="preserve"> </w:t>
      </w:r>
      <w:r>
        <w:rPr>
          <w:color w:val="231F20"/>
          <w:w w:val="95"/>
          <w:sz w:val="17"/>
        </w:rPr>
        <w:t>79,</w:t>
      </w:r>
      <w:r>
        <w:rPr>
          <w:color w:val="231F20"/>
          <w:spacing w:val="2"/>
          <w:sz w:val="17"/>
        </w:rPr>
        <w:t xml:space="preserve"> </w:t>
      </w:r>
      <w:r>
        <w:rPr>
          <w:color w:val="231F20"/>
          <w:spacing w:val="-5"/>
          <w:w w:val="95"/>
          <w:sz w:val="17"/>
        </w:rPr>
        <w:t>217</w:t>
      </w:r>
    </w:p>
    <w:p w14:paraId="25AFE444" w14:textId="77777777" w:rsidR="00AE0598" w:rsidRDefault="0069255A">
      <w:pPr>
        <w:spacing w:before="1"/>
        <w:ind w:left="110"/>
        <w:rPr>
          <w:sz w:val="17"/>
        </w:rPr>
      </w:pPr>
      <w:r>
        <w:rPr>
          <w:color w:val="231F20"/>
          <w:w w:val="95"/>
          <w:sz w:val="17"/>
        </w:rPr>
        <w:t>development</w:t>
      </w:r>
      <w:r>
        <w:rPr>
          <w:color w:val="231F20"/>
          <w:spacing w:val="3"/>
          <w:sz w:val="17"/>
        </w:rPr>
        <w:t xml:space="preserve"> </w:t>
      </w:r>
      <w:r>
        <w:rPr>
          <w:color w:val="231F20"/>
          <w:w w:val="95"/>
          <w:sz w:val="17"/>
        </w:rPr>
        <w:t>process</w:t>
      </w:r>
      <w:r>
        <w:rPr>
          <w:color w:val="231F20"/>
          <w:spacing w:val="4"/>
          <w:sz w:val="17"/>
        </w:rPr>
        <w:t xml:space="preserve"> </w:t>
      </w:r>
      <w:r>
        <w:rPr>
          <w:color w:val="231F20"/>
          <w:w w:val="95"/>
          <w:sz w:val="17"/>
        </w:rPr>
        <w:t>4,</w:t>
      </w:r>
      <w:r>
        <w:rPr>
          <w:color w:val="231F20"/>
          <w:spacing w:val="4"/>
          <w:sz w:val="17"/>
        </w:rPr>
        <w:t xml:space="preserve"> </w:t>
      </w:r>
      <w:r>
        <w:rPr>
          <w:color w:val="231F20"/>
          <w:w w:val="95"/>
          <w:sz w:val="17"/>
        </w:rPr>
        <w:t>6,</w:t>
      </w:r>
      <w:r>
        <w:rPr>
          <w:color w:val="231F20"/>
          <w:spacing w:val="3"/>
          <w:sz w:val="17"/>
        </w:rPr>
        <w:t xml:space="preserve"> </w:t>
      </w:r>
      <w:r>
        <w:rPr>
          <w:color w:val="231F20"/>
          <w:w w:val="95"/>
          <w:sz w:val="17"/>
        </w:rPr>
        <w:t>8,</w:t>
      </w:r>
      <w:r>
        <w:rPr>
          <w:color w:val="231F20"/>
          <w:spacing w:val="4"/>
          <w:sz w:val="17"/>
        </w:rPr>
        <w:t xml:space="preserve"> </w:t>
      </w:r>
      <w:r>
        <w:rPr>
          <w:color w:val="231F20"/>
          <w:w w:val="95"/>
          <w:sz w:val="17"/>
        </w:rPr>
        <w:t>14,</w:t>
      </w:r>
      <w:r>
        <w:rPr>
          <w:color w:val="231F20"/>
          <w:spacing w:val="4"/>
          <w:sz w:val="17"/>
        </w:rPr>
        <w:t xml:space="preserve"> </w:t>
      </w:r>
      <w:r>
        <w:rPr>
          <w:color w:val="231F20"/>
          <w:w w:val="95"/>
          <w:sz w:val="17"/>
        </w:rPr>
        <w:t>28,</w:t>
      </w:r>
      <w:r>
        <w:rPr>
          <w:color w:val="231F20"/>
          <w:spacing w:val="4"/>
          <w:sz w:val="17"/>
        </w:rPr>
        <w:t xml:space="preserve"> </w:t>
      </w:r>
      <w:r>
        <w:rPr>
          <w:color w:val="231F20"/>
          <w:spacing w:val="-5"/>
          <w:w w:val="95"/>
          <w:sz w:val="17"/>
        </w:rPr>
        <w:t>63,</w:t>
      </w:r>
    </w:p>
    <w:p w14:paraId="67D4D074" w14:textId="77777777" w:rsidR="00AE0598" w:rsidRDefault="0069255A">
      <w:pPr>
        <w:spacing w:before="1"/>
        <w:ind w:left="470"/>
        <w:rPr>
          <w:sz w:val="17"/>
        </w:rPr>
      </w:pPr>
      <w:r>
        <w:rPr>
          <w:color w:val="231F20"/>
          <w:w w:val="90"/>
          <w:sz w:val="17"/>
        </w:rPr>
        <w:t>69–70,</w:t>
      </w:r>
      <w:r>
        <w:rPr>
          <w:color w:val="231F20"/>
          <w:spacing w:val="17"/>
          <w:sz w:val="17"/>
        </w:rPr>
        <w:t xml:space="preserve"> </w:t>
      </w:r>
      <w:r>
        <w:rPr>
          <w:color w:val="231F20"/>
          <w:w w:val="90"/>
          <w:sz w:val="17"/>
        </w:rPr>
        <w:t>229,</w:t>
      </w:r>
      <w:r>
        <w:rPr>
          <w:color w:val="231F20"/>
          <w:spacing w:val="17"/>
          <w:sz w:val="17"/>
        </w:rPr>
        <w:t xml:space="preserve"> </w:t>
      </w:r>
      <w:r>
        <w:rPr>
          <w:color w:val="231F20"/>
          <w:w w:val="90"/>
          <w:sz w:val="17"/>
        </w:rPr>
        <w:t>231,</w:t>
      </w:r>
      <w:r>
        <w:rPr>
          <w:color w:val="231F20"/>
          <w:spacing w:val="17"/>
          <w:sz w:val="17"/>
        </w:rPr>
        <w:t xml:space="preserve"> </w:t>
      </w:r>
      <w:r>
        <w:rPr>
          <w:color w:val="231F20"/>
          <w:spacing w:val="-5"/>
          <w:w w:val="90"/>
          <w:sz w:val="17"/>
        </w:rPr>
        <w:t>235</w:t>
      </w:r>
    </w:p>
    <w:p w14:paraId="6A4DE47B" w14:textId="77777777" w:rsidR="00AE0598" w:rsidRDefault="0069255A">
      <w:pPr>
        <w:spacing w:before="98"/>
        <w:ind w:left="110"/>
        <w:rPr>
          <w:sz w:val="17"/>
        </w:rPr>
      </w:pPr>
      <w:r>
        <w:br w:type="column"/>
      </w:r>
      <w:r>
        <w:rPr>
          <w:color w:val="231F20"/>
          <w:w w:val="95"/>
          <w:sz w:val="17"/>
        </w:rPr>
        <w:t>Disney</w:t>
      </w:r>
      <w:r>
        <w:rPr>
          <w:color w:val="231F20"/>
          <w:spacing w:val="7"/>
          <w:sz w:val="17"/>
        </w:rPr>
        <w:t xml:space="preserve"> </w:t>
      </w:r>
      <w:r>
        <w:rPr>
          <w:color w:val="231F20"/>
          <w:w w:val="95"/>
          <w:sz w:val="17"/>
        </w:rPr>
        <w:t>79,</w:t>
      </w:r>
      <w:r>
        <w:rPr>
          <w:color w:val="231F20"/>
          <w:spacing w:val="7"/>
          <w:sz w:val="17"/>
        </w:rPr>
        <w:t xml:space="preserve"> </w:t>
      </w:r>
      <w:r>
        <w:rPr>
          <w:color w:val="231F20"/>
          <w:spacing w:val="-5"/>
          <w:w w:val="95"/>
          <w:sz w:val="17"/>
        </w:rPr>
        <w:t>114</w:t>
      </w:r>
    </w:p>
    <w:p w14:paraId="49432391" w14:textId="77777777" w:rsidR="00AE0598" w:rsidRDefault="0069255A">
      <w:pPr>
        <w:spacing w:before="1"/>
        <w:ind w:left="110"/>
        <w:rPr>
          <w:sz w:val="17"/>
        </w:rPr>
      </w:pPr>
      <w:r>
        <w:rPr>
          <w:color w:val="231F20"/>
          <w:w w:val="95"/>
          <w:sz w:val="17"/>
        </w:rPr>
        <w:t>distance</w:t>
      </w:r>
      <w:r>
        <w:rPr>
          <w:color w:val="231F20"/>
          <w:spacing w:val="5"/>
          <w:sz w:val="17"/>
        </w:rPr>
        <w:t xml:space="preserve"> </w:t>
      </w:r>
      <w:r>
        <w:rPr>
          <w:color w:val="231F20"/>
          <w:w w:val="95"/>
          <w:sz w:val="17"/>
        </w:rPr>
        <w:t>decay</w:t>
      </w:r>
      <w:r>
        <w:rPr>
          <w:color w:val="231F20"/>
          <w:spacing w:val="5"/>
          <w:sz w:val="17"/>
        </w:rPr>
        <w:t xml:space="preserve"> </w:t>
      </w:r>
      <w:r>
        <w:rPr>
          <w:color w:val="231F20"/>
          <w:spacing w:val="-4"/>
          <w:w w:val="95"/>
          <w:sz w:val="17"/>
        </w:rPr>
        <w:t>90–93</w:t>
      </w:r>
    </w:p>
    <w:p w14:paraId="2FB84632" w14:textId="77777777" w:rsidR="00AE0598" w:rsidRDefault="0069255A">
      <w:pPr>
        <w:ind w:left="110"/>
        <w:rPr>
          <w:sz w:val="17"/>
        </w:rPr>
      </w:pPr>
      <w:r>
        <w:rPr>
          <w:color w:val="231F20"/>
          <w:w w:val="95"/>
          <w:sz w:val="17"/>
        </w:rPr>
        <w:t>diversification</w:t>
      </w:r>
      <w:r>
        <w:rPr>
          <w:color w:val="231F20"/>
          <w:spacing w:val="9"/>
          <w:sz w:val="17"/>
        </w:rPr>
        <w:t xml:space="preserve"> </w:t>
      </w:r>
      <w:r>
        <w:rPr>
          <w:color w:val="231F20"/>
          <w:spacing w:val="-5"/>
          <w:sz w:val="17"/>
        </w:rPr>
        <w:t>186</w:t>
      </w:r>
    </w:p>
    <w:p w14:paraId="4B69C1CF" w14:textId="77777777" w:rsidR="00AE0598" w:rsidRDefault="0069255A">
      <w:pPr>
        <w:spacing w:before="1"/>
        <w:ind w:left="110"/>
        <w:rPr>
          <w:sz w:val="17"/>
        </w:rPr>
      </w:pPr>
      <w:r>
        <w:rPr>
          <w:color w:val="231F20"/>
          <w:w w:val="95"/>
          <w:sz w:val="17"/>
        </w:rPr>
        <w:t>diving</w:t>
      </w:r>
      <w:r>
        <w:rPr>
          <w:color w:val="231F20"/>
          <w:spacing w:val="-2"/>
          <w:sz w:val="17"/>
        </w:rPr>
        <w:t xml:space="preserve"> </w:t>
      </w:r>
      <w:r>
        <w:rPr>
          <w:color w:val="231F20"/>
          <w:w w:val="95"/>
          <w:sz w:val="17"/>
        </w:rPr>
        <w:t>33,</w:t>
      </w:r>
      <w:r>
        <w:rPr>
          <w:color w:val="231F20"/>
          <w:spacing w:val="-1"/>
          <w:sz w:val="17"/>
        </w:rPr>
        <w:t xml:space="preserve"> </w:t>
      </w:r>
      <w:r>
        <w:rPr>
          <w:color w:val="231F20"/>
          <w:w w:val="95"/>
          <w:sz w:val="17"/>
        </w:rPr>
        <w:t>59,</w:t>
      </w:r>
      <w:r>
        <w:rPr>
          <w:color w:val="231F20"/>
          <w:spacing w:val="-1"/>
          <w:sz w:val="17"/>
        </w:rPr>
        <w:t xml:space="preserve"> </w:t>
      </w:r>
      <w:r>
        <w:rPr>
          <w:color w:val="231F20"/>
          <w:w w:val="95"/>
          <w:sz w:val="17"/>
        </w:rPr>
        <w:t>132,</w:t>
      </w:r>
      <w:r>
        <w:rPr>
          <w:color w:val="231F20"/>
          <w:spacing w:val="-1"/>
          <w:sz w:val="17"/>
        </w:rPr>
        <w:t xml:space="preserve"> </w:t>
      </w:r>
      <w:r>
        <w:rPr>
          <w:color w:val="231F20"/>
          <w:w w:val="95"/>
          <w:sz w:val="17"/>
        </w:rPr>
        <w:t>139,</w:t>
      </w:r>
      <w:r>
        <w:rPr>
          <w:color w:val="231F20"/>
          <w:spacing w:val="-1"/>
          <w:sz w:val="17"/>
        </w:rPr>
        <w:t xml:space="preserve"> </w:t>
      </w:r>
      <w:r>
        <w:rPr>
          <w:color w:val="231F20"/>
          <w:w w:val="95"/>
          <w:sz w:val="17"/>
        </w:rPr>
        <w:t>149–150,</w:t>
      </w:r>
      <w:r>
        <w:rPr>
          <w:color w:val="231F20"/>
          <w:spacing w:val="-1"/>
          <w:sz w:val="17"/>
        </w:rPr>
        <w:t xml:space="preserve"> </w:t>
      </w:r>
      <w:r>
        <w:rPr>
          <w:color w:val="231F20"/>
          <w:spacing w:val="-5"/>
          <w:w w:val="95"/>
          <w:sz w:val="17"/>
        </w:rPr>
        <w:t>184</w:t>
      </w:r>
    </w:p>
    <w:p w14:paraId="333CED47" w14:textId="77777777" w:rsidR="00AE0598" w:rsidRDefault="0069255A">
      <w:pPr>
        <w:spacing w:before="1"/>
        <w:ind w:left="110"/>
        <w:rPr>
          <w:sz w:val="17"/>
        </w:rPr>
      </w:pPr>
      <w:r>
        <w:rPr>
          <w:color w:val="231F20"/>
          <w:w w:val="95"/>
          <w:sz w:val="17"/>
        </w:rPr>
        <w:t>downhill</w:t>
      </w:r>
      <w:r>
        <w:rPr>
          <w:color w:val="231F20"/>
          <w:spacing w:val="11"/>
          <w:sz w:val="17"/>
        </w:rPr>
        <w:t xml:space="preserve"> </w:t>
      </w:r>
      <w:r>
        <w:rPr>
          <w:color w:val="231F20"/>
          <w:w w:val="95"/>
          <w:sz w:val="17"/>
        </w:rPr>
        <w:t>skiing</w:t>
      </w:r>
      <w:r>
        <w:rPr>
          <w:color w:val="231F20"/>
          <w:spacing w:val="11"/>
          <w:sz w:val="17"/>
        </w:rPr>
        <w:t xml:space="preserve"> </w:t>
      </w:r>
      <w:r>
        <w:rPr>
          <w:color w:val="231F20"/>
          <w:w w:val="95"/>
          <w:sz w:val="17"/>
        </w:rPr>
        <w:t>12,</w:t>
      </w:r>
      <w:r>
        <w:rPr>
          <w:color w:val="231F20"/>
          <w:spacing w:val="11"/>
          <w:sz w:val="17"/>
        </w:rPr>
        <w:t xml:space="preserve"> </w:t>
      </w:r>
      <w:r>
        <w:rPr>
          <w:color w:val="231F20"/>
          <w:w w:val="95"/>
          <w:sz w:val="17"/>
        </w:rPr>
        <w:t>43,</w:t>
      </w:r>
      <w:r>
        <w:rPr>
          <w:color w:val="231F20"/>
          <w:spacing w:val="11"/>
          <w:sz w:val="17"/>
        </w:rPr>
        <w:t xml:space="preserve"> </w:t>
      </w:r>
      <w:r>
        <w:rPr>
          <w:color w:val="231F20"/>
          <w:w w:val="95"/>
          <w:sz w:val="17"/>
        </w:rPr>
        <w:t>54,</w:t>
      </w:r>
      <w:r>
        <w:rPr>
          <w:color w:val="231F20"/>
          <w:spacing w:val="12"/>
          <w:sz w:val="17"/>
        </w:rPr>
        <w:t xml:space="preserve"> </w:t>
      </w:r>
      <w:r>
        <w:rPr>
          <w:color w:val="231F20"/>
          <w:w w:val="95"/>
          <w:sz w:val="17"/>
        </w:rPr>
        <w:t>138,</w:t>
      </w:r>
      <w:r>
        <w:rPr>
          <w:color w:val="231F20"/>
          <w:spacing w:val="11"/>
          <w:sz w:val="17"/>
        </w:rPr>
        <w:t xml:space="preserve"> </w:t>
      </w:r>
      <w:r>
        <w:rPr>
          <w:color w:val="231F20"/>
          <w:spacing w:val="-4"/>
          <w:w w:val="95"/>
          <w:sz w:val="17"/>
        </w:rPr>
        <w:t>150,</w:t>
      </w:r>
    </w:p>
    <w:p w14:paraId="436796C8" w14:textId="77777777" w:rsidR="00AE0598" w:rsidRDefault="0069255A">
      <w:pPr>
        <w:ind w:left="470"/>
        <w:rPr>
          <w:sz w:val="17"/>
        </w:rPr>
      </w:pPr>
      <w:r>
        <w:rPr>
          <w:color w:val="231F20"/>
          <w:w w:val="90"/>
          <w:sz w:val="17"/>
        </w:rPr>
        <w:t>187–188,</w:t>
      </w:r>
      <w:r>
        <w:rPr>
          <w:color w:val="231F20"/>
          <w:spacing w:val="9"/>
          <w:sz w:val="17"/>
        </w:rPr>
        <w:t xml:space="preserve"> </w:t>
      </w:r>
      <w:r>
        <w:rPr>
          <w:color w:val="231F20"/>
          <w:spacing w:val="-5"/>
          <w:sz w:val="17"/>
        </w:rPr>
        <w:t>196</w:t>
      </w:r>
    </w:p>
    <w:p w14:paraId="78105643" w14:textId="77777777" w:rsidR="00AE0598" w:rsidRDefault="0069255A">
      <w:pPr>
        <w:spacing w:before="1"/>
        <w:ind w:left="110"/>
        <w:rPr>
          <w:sz w:val="17"/>
        </w:rPr>
      </w:pPr>
      <w:r>
        <w:rPr>
          <w:color w:val="231F20"/>
          <w:w w:val="95"/>
          <w:sz w:val="17"/>
        </w:rPr>
        <w:t>Dunedin</w:t>
      </w:r>
      <w:r>
        <w:rPr>
          <w:color w:val="231F20"/>
          <w:spacing w:val="35"/>
          <w:sz w:val="17"/>
        </w:rPr>
        <w:t xml:space="preserve"> </w:t>
      </w:r>
      <w:r>
        <w:rPr>
          <w:color w:val="231F20"/>
          <w:spacing w:val="-4"/>
          <w:sz w:val="17"/>
        </w:rPr>
        <w:t>94–95</w:t>
      </w:r>
    </w:p>
    <w:p w14:paraId="25CA3FDA" w14:textId="77777777" w:rsidR="00AE0598" w:rsidRDefault="00AE0598">
      <w:pPr>
        <w:pStyle w:val="Corpodetexto"/>
        <w:spacing w:before="3"/>
        <w:rPr>
          <w:sz w:val="16"/>
        </w:rPr>
      </w:pPr>
    </w:p>
    <w:p w14:paraId="5B005D3E" w14:textId="77777777" w:rsidR="00AE0598" w:rsidRDefault="0069255A">
      <w:pPr>
        <w:ind w:left="110"/>
        <w:rPr>
          <w:sz w:val="17"/>
        </w:rPr>
      </w:pPr>
      <w:r>
        <w:rPr>
          <w:color w:val="231F20"/>
          <w:w w:val="95"/>
          <w:sz w:val="17"/>
        </w:rPr>
        <w:t>eco-friendly</w:t>
      </w:r>
      <w:r>
        <w:rPr>
          <w:color w:val="231F20"/>
          <w:spacing w:val="22"/>
          <w:sz w:val="17"/>
        </w:rPr>
        <w:t xml:space="preserve"> </w:t>
      </w:r>
      <w:r>
        <w:rPr>
          <w:color w:val="231F20"/>
          <w:spacing w:val="-5"/>
          <w:w w:val="95"/>
          <w:sz w:val="17"/>
        </w:rPr>
        <w:t>207</w:t>
      </w:r>
    </w:p>
    <w:p w14:paraId="38060591" w14:textId="77777777" w:rsidR="00AE0598" w:rsidRDefault="0069255A">
      <w:pPr>
        <w:spacing w:before="1"/>
        <w:ind w:left="110"/>
        <w:rPr>
          <w:sz w:val="17"/>
        </w:rPr>
      </w:pPr>
      <w:r>
        <w:rPr>
          <w:color w:val="231F20"/>
          <w:w w:val="95"/>
          <w:sz w:val="17"/>
        </w:rPr>
        <w:t>economic</w:t>
      </w:r>
      <w:r>
        <w:rPr>
          <w:color w:val="231F20"/>
          <w:spacing w:val="10"/>
          <w:sz w:val="17"/>
        </w:rPr>
        <w:t xml:space="preserve"> </w:t>
      </w:r>
      <w:r>
        <w:rPr>
          <w:color w:val="231F20"/>
          <w:w w:val="95"/>
          <w:sz w:val="17"/>
        </w:rPr>
        <w:t>geography</w:t>
      </w:r>
      <w:r>
        <w:rPr>
          <w:color w:val="231F20"/>
          <w:spacing w:val="11"/>
          <w:sz w:val="17"/>
        </w:rPr>
        <w:t xml:space="preserve"> </w:t>
      </w:r>
      <w:r>
        <w:rPr>
          <w:color w:val="231F20"/>
          <w:spacing w:val="-5"/>
          <w:w w:val="95"/>
          <w:sz w:val="17"/>
        </w:rPr>
        <w:t>10</w:t>
      </w:r>
    </w:p>
    <w:p w14:paraId="5A1050AF" w14:textId="77777777" w:rsidR="00AE0598" w:rsidRDefault="0069255A">
      <w:pPr>
        <w:spacing w:before="1"/>
        <w:ind w:left="110"/>
        <w:rPr>
          <w:sz w:val="17"/>
        </w:rPr>
      </w:pPr>
      <w:r>
        <w:rPr>
          <w:color w:val="231F20"/>
          <w:w w:val="95"/>
          <w:sz w:val="17"/>
        </w:rPr>
        <w:t>economic</w:t>
      </w:r>
      <w:r>
        <w:rPr>
          <w:color w:val="231F20"/>
          <w:spacing w:val="8"/>
          <w:sz w:val="17"/>
        </w:rPr>
        <w:t xml:space="preserve"> </w:t>
      </w:r>
      <w:r>
        <w:rPr>
          <w:color w:val="231F20"/>
          <w:w w:val="95"/>
          <w:sz w:val="17"/>
        </w:rPr>
        <w:t>growth</w:t>
      </w:r>
      <w:r>
        <w:rPr>
          <w:color w:val="231F20"/>
          <w:spacing w:val="9"/>
          <w:sz w:val="17"/>
        </w:rPr>
        <w:t xml:space="preserve"> </w:t>
      </w:r>
      <w:r>
        <w:rPr>
          <w:color w:val="231F20"/>
          <w:w w:val="95"/>
          <w:sz w:val="17"/>
        </w:rPr>
        <w:t>64,</w:t>
      </w:r>
      <w:r>
        <w:rPr>
          <w:color w:val="231F20"/>
          <w:spacing w:val="9"/>
          <w:sz w:val="17"/>
        </w:rPr>
        <w:t xml:space="preserve"> </w:t>
      </w:r>
      <w:r>
        <w:rPr>
          <w:color w:val="231F20"/>
          <w:w w:val="95"/>
          <w:sz w:val="17"/>
        </w:rPr>
        <w:t>69,</w:t>
      </w:r>
      <w:r>
        <w:rPr>
          <w:color w:val="231F20"/>
          <w:spacing w:val="8"/>
          <w:sz w:val="17"/>
        </w:rPr>
        <w:t xml:space="preserve"> </w:t>
      </w:r>
      <w:r>
        <w:rPr>
          <w:color w:val="231F20"/>
          <w:spacing w:val="-5"/>
          <w:w w:val="95"/>
          <w:sz w:val="17"/>
        </w:rPr>
        <w:t>230</w:t>
      </w:r>
    </w:p>
    <w:p w14:paraId="3EF42E94" w14:textId="77777777" w:rsidR="00AE0598" w:rsidRDefault="0069255A">
      <w:pPr>
        <w:ind w:left="110"/>
        <w:rPr>
          <w:sz w:val="17"/>
        </w:rPr>
      </w:pPr>
      <w:r>
        <w:rPr>
          <w:color w:val="231F20"/>
          <w:w w:val="95"/>
          <w:sz w:val="17"/>
        </w:rPr>
        <w:t>economic</w:t>
      </w:r>
      <w:r>
        <w:rPr>
          <w:color w:val="231F20"/>
          <w:spacing w:val="8"/>
          <w:sz w:val="17"/>
        </w:rPr>
        <w:t xml:space="preserve"> </w:t>
      </w:r>
      <w:r>
        <w:rPr>
          <w:color w:val="231F20"/>
          <w:w w:val="95"/>
          <w:sz w:val="17"/>
        </w:rPr>
        <w:t>impact</w:t>
      </w:r>
      <w:r>
        <w:rPr>
          <w:color w:val="231F20"/>
          <w:spacing w:val="8"/>
          <w:sz w:val="17"/>
        </w:rPr>
        <w:t xml:space="preserve"> </w:t>
      </w:r>
      <w:r>
        <w:rPr>
          <w:color w:val="231F20"/>
          <w:w w:val="95"/>
          <w:sz w:val="17"/>
        </w:rPr>
        <w:t>31,</w:t>
      </w:r>
      <w:r>
        <w:rPr>
          <w:color w:val="231F20"/>
          <w:spacing w:val="8"/>
          <w:sz w:val="17"/>
        </w:rPr>
        <w:t xml:space="preserve"> </w:t>
      </w:r>
      <w:r>
        <w:rPr>
          <w:color w:val="231F20"/>
          <w:spacing w:val="-5"/>
          <w:w w:val="95"/>
          <w:sz w:val="17"/>
        </w:rPr>
        <w:t>100</w:t>
      </w:r>
    </w:p>
    <w:p w14:paraId="38ABB7E9" w14:textId="77777777" w:rsidR="00AE0598" w:rsidRDefault="0069255A">
      <w:pPr>
        <w:spacing w:before="1"/>
        <w:ind w:left="110"/>
        <w:rPr>
          <w:sz w:val="17"/>
        </w:rPr>
      </w:pPr>
      <w:r>
        <w:rPr>
          <w:color w:val="231F20"/>
          <w:w w:val="90"/>
          <w:sz w:val="17"/>
        </w:rPr>
        <w:t>ecosystem</w:t>
      </w:r>
      <w:r>
        <w:rPr>
          <w:color w:val="231F20"/>
          <w:spacing w:val="29"/>
          <w:sz w:val="17"/>
        </w:rPr>
        <w:t xml:space="preserve"> </w:t>
      </w:r>
      <w:r>
        <w:rPr>
          <w:color w:val="231F20"/>
          <w:w w:val="90"/>
          <w:sz w:val="17"/>
        </w:rPr>
        <w:t>65–66,</w:t>
      </w:r>
      <w:r>
        <w:rPr>
          <w:color w:val="231F20"/>
          <w:spacing w:val="30"/>
          <w:sz w:val="17"/>
        </w:rPr>
        <w:t xml:space="preserve"> </w:t>
      </w:r>
      <w:r>
        <w:rPr>
          <w:color w:val="231F20"/>
          <w:w w:val="90"/>
          <w:sz w:val="17"/>
        </w:rPr>
        <w:t>133,</w:t>
      </w:r>
      <w:r>
        <w:rPr>
          <w:color w:val="231F20"/>
          <w:spacing w:val="30"/>
          <w:sz w:val="17"/>
        </w:rPr>
        <w:t xml:space="preserve"> </w:t>
      </w:r>
      <w:r>
        <w:rPr>
          <w:color w:val="231F20"/>
          <w:spacing w:val="-5"/>
          <w:w w:val="90"/>
          <w:sz w:val="17"/>
        </w:rPr>
        <w:t>191</w:t>
      </w:r>
    </w:p>
    <w:p w14:paraId="2EBB3ED0" w14:textId="77777777" w:rsidR="00AE0598" w:rsidRDefault="0069255A">
      <w:pPr>
        <w:spacing w:before="1"/>
        <w:ind w:left="110"/>
        <w:rPr>
          <w:sz w:val="17"/>
        </w:rPr>
      </w:pPr>
      <w:r>
        <w:rPr>
          <w:color w:val="231F20"/>
          <w:w w:val="95"/>
          <w:sz w:val="17"/>
        </w:rPr>
        <w:t>elite</w:t>
      </w:r>
      <w:r>
        <w:rPr>
          <w:color w:val="231F20"/>
          <w:spacing w:val="3"/>
          <w:sz w:val="17"/>
        </w:rPr>
        <w:t xml:space="preserve"> </w:t>
      </w:r>
      <w:r>
        <w:rPr>
          <w:color w:val="231F20"/>
          <w:w w:val="95"/>
          <w:sz w:val="17"/>
        </w:rPr>
        <w:t>athlete</w:t>
      </w:r>
      <w:r>
        <w:rPr>
          <w:color w:val="231F20"/>
          <w:spacing w:val="4"/>
          <w:sz w:val="17"/>
        </w:rPr>
        <w:t xml:space="preserve"> </w:t>
      </w:r>
      <w:r>
        <w:rPr>
          <w:color w:val="231F20"/>
          <w:w w:val="95"/>
          <w:sz w:val="17"/>
        </w:rPr>
        <w:t>5,</w:t>
      </w:r>
      <w:r>
        <w:rPr>
          <w:color w:val="231F20"/>
          <w:spacing w:val="4"/>
          <w:sz w:val="17"/>
        </w:rPr>
        <w:t xml:space="preserve"> </w:t>
      </w:r>
      <w:r>
        <w:rPr>
          <w:color w:val="231F20"/>
          <w:w w:val="95"/>
          <w:sz w:val="17"/>
        </w:rPr>
        <w:t>24,</w:t>
      </w:r>
      <w:r>
        <w:rPr>
          <w:color w:val="231F20"/>
          <w:spacing w:val="4"/>
          <w:sz w:val="17"/>
        </w:rPr>
        <w:t xml:space="preserve"> </w:t>
      </w:r>
      <w:r>
        <w:rPr>
          <w:color w:val="231F20"/>
          <w:w w:val="95"/>
          <w:sz w:val="17"/>
        </w:rPr>
        <w:t>40,</w:t>
      </w:r>
      <w:r>
        <w:rPr>
          <w:color w:val="231F20"/>
          <w:spacing w:val="4"/>
          <w:sz w:val="17"/>
        </w:rPr>
        <w:t xml:space="preserve"> </w:t>
      </w:r>
      <w:r>
        <w:rPr>
          <w:color w:val="231F20"/>
          <w:w w:val="95"/>
          <w:sz w:val="17"/>
        </w:rPr>
        <w:t>48–49,</w:t>
      </w:r>
      <w:r>
        <w:rPr>
          <w:color w:val="231F20"/>
          <w:spacing w:val="4"/>
          <w:sz w:val="17"/>
        </w:rPr>
        <w:t xml:space="preserve"> </w:t>
      </w:r>
      <w:r>
        <w:rPr>
          <w:color w:val="231F20"/>
          <w:w w:val="95"/>
          <w:sz w:val="17"/>
        </w:rPr>
        <w:t>79,</w:t>
      </w:r>
      <w:r>
        <w:rPr>
          <w:color w:val="231F20"/>
          <w:spacing w:val="4"/>
          <w:sz w:val="17"/>
        </w:rPr>
        <w:t xml:space="preserve"> </w:t>
      </w:r>
      <w:r>
        <w:rPr>
          <w:color w:val="231F20"/>
          <w:spacing w:val="-4"/>
          <w:w w:val="95"/>
          <w:sz w:val="17"/>
        </w:rPr>
        <w:t>140,</w:t>
      </w:r>
    </w:p>
    <w:p w14:paraId="60656AE2" w14:textId="77777777" w:rsidR="00AE0598" w:rsidRDefault="0069255A">
      <w:pPr>
        <w:ind w:left="452" w:right="1939"/>
        <w:jc w:val="center"/>
        <w:rPr>
          <w:sz w:val="17"/>
        </w:rPr>
      </w:pPr>
      <w:r>
        <w:rPr>
          <w:color w:val="231F20"/>
          <w:w w:val="90"/>
          <w:sz w:val="17"/>
        </w:rPr>
        <w:t>166–167,</w:t>
      </w:r>
      <w:r>
        <w:rPr>
          <w:color w:val="231F20"/>
          <w:spacing w:val="6"/>
          <w:sz w:val="17"/>
        </w:rPr>
        <w:t xml:space="preserve"> </w:t>
      </w:r>
      <w:r>
        <w:rPr>
          <w:color w:val="231F20"/>
          <w:spacing w:val="-5"/>
          <w:sz w:val="17"/>
        </w:rPr>
        <w:t>235</w:t>
      </w:r>
    </w:p>
    <w:p w14:paraId="2DC23838" w14:textId="77777777" w:rsidR="00AE0598" w:rsidRDefault="0069255A">
      <w:pPr>
        <w:spacing w:before="1"/>
        <w:ind w:left="104" w:right="1532"/>
        <w:jc w:val="center"/>
        <w:rPr>
          <w:sz w:val="17"/>
        </w:rPr>
      </w:pPr>
      <w:r>
        <w:rPr>
          <w:color w:val="231F20"/>
          <w:w w:val="95"/>
          <w:sz w:val="17"/>
        </w:rPr>
        <w:t>elite</w:t>
      </w:r>
      <w:r>
        <w:rPr>
          <w:color w:val="231F20"/>
          <w:sz w:val="17"/>
        </w:rPr>
        <w:t xml:space="preserve"> </w:t>
      </w:r>
      <w:r>
        <w:rPr>
          <w:color w:val="231F20"/>
          <w:w w:val="95"/>
          <w:sz w:val="17"/>
        </w:rPr>
        <w:t>competitive</w:t>
      </w:r>
      <w:r>
        <w:rPr>
          <w:color w:val="231F20"/>
          <w:sz w:val="17"/>
        </w:rPr>
        <w:t xml:space="preserve"> </w:t>
      </w:r>
      <w:r>
        <w:rPr>
          <w:color w:val="231F20"/>
          <w:w w:val="95"/>
          <w:sz w:val="17"/>
        </w:rPr>
        <w:t>sport</w:t>
      </w:r>
      <w:r>
        <w:rPr>
          <w:color w:val="231F20"/>
          <w:sz w:val="17"/>
        </w:rPr>
        <w:t xml:space="preserve"> </w:t>
      </w:r>
      <w:r>
        <w:rPr>
          <w:color w:val="231F20"/>
          <w:spacing w:val="-10"/>
          <w:w w:val="95"/>
          <w:sz w:val="17"/>
        </w:rPr>
        <w:t>5</w:t>
      </w:r>
    </w:p>
    <w:p w14:paraId="0EF38733" w14:textId="77777777" w:rsidR="00AE0598" w:rsidRDefault="0069255A">
      <w:pPr>
        <w:spacing w:before="1"/>
        <w:ind w:left="110" w:right="892"/>
        <w:rPr>
          <w:sz w:val="17"/>
        </w:rPr>
      </w:pPr>
      <w:r>
        <w:rPr>
          <w:color w:val="231F20"/>
          <w:w w:val="95"/>
          <w:sz w:val="17"/>
        </w:rPr>
        <w:t>elite competitor 22, 25, 46, 48</w:t>
      </w:r>
      <w:r>
        <w:rPr>
          <w:color w:val="231F20"/>
          <w:spacing w:val="40"/>
          <w:sz w:val="17"/>
        </w:rPr>
        <w:t xml:space="preserve"> </w:t>
      </w:r>
      <w:r>
        <w:rPr>
          <w:color w:val="231F20"/>
          <w:sz w:val="17"/>
        </w:rPr>
        <w:t>elite spectator event 49</w:t>
      </w:r>
    </w:p>
    <w:p w14:paraId="2F96749D" w14:textId="77777777" w:rsidR="00AE0598" w:rsidRDefault="0069255A">
      <w:pPr>
        <w:spacing w:before="1"/>
        <w:ind w:left="110"/>
        <w:rPr>
          <w:sz w:val="17"/>
        </w:rPr>
      </w:pPr>
      <w:r>
        <w:rPr>
          <w:color w:val="231F20"/>
          <w:w w:val="95"/>
          <w:sz w:val="17"/>
        </w:rPr>
        <w:t>elite</w:t>
      </w:r>
      <w:r>
        <w:rPr>
          <w:color w:val="231F20"/>
          <w:spacing w:val="2"/>
          <w:sz w:val="17"/>
        </w:rPr>
        <w:t xml:space="preserve"> </w:t>
      </w:r>
      <w:r>
        <w:rPr>
          <w:color w:val="231F20"/>
          <w:w w:val="95"/>
          <w:sz w:val="17"/>
        </w:rPr>
        <w:t>sports</w:t>
      </w:r>
      <w:r>
        <w:rPr>
          <w:color w:val="231F20"/>
          <w:spacing w:val="2"/>
          <w:sz w:val="17"/>
        </w:rPr>
        <w:t xml:space="preserve"> </w:t>
      </w:r>
      <w:r>
        <w:rPr>
          <w:color w:val="231F20"/>
          <w:w w:val="95"/>
          <w:sz w:val="17"/>
        </w:rPr>
        <w:t>46,</w:t>
      </w:r>
      <w:r>
        <w:rPr>
          <w:color w:val="231F20"/>
          <w:spacing w:val="3"/>
          <w:sz w:val="17"/>
        </w:rPr>
        <w:t xml:space="preserve"> </w:t>
      </w:r>
      <w:r>
        <w:rPr>
          <w:color w:val="231F20"/>
          <w:w w:val="95"/>
          <w:sz w:val="17"/>
        </w:rPr>
        <w:t>49–50,</w:t>
      </w:r>
      <w:r>
        <w:rPr>
          <w:color w:val="231F20"/>
          <w:spacing w:val="2"/>
          <w:sz w:val="17"/>
        </w:rPr>
        <w:t xml:space="preserve"> </w:t>
      </w:r>
      <w:r>
        <w:rPr>
          <w:color w:val="231F20"/>
          <w:spacing w:val="-5"/>
          <w:w w:val="95"/>
          <w:sz w:val="17"/>
        </w:rPr>
        <w:t>145</w:t>
      </w:r>
    </w:p>
    <w:p w14:paraId="3A0470A5" w14:textId="77777777" w:rsidR="00AE0598" w:rsidRDefault="0069255A">
      <w:pPr>
        <w:spacing w:before="1"/>
        <w:ind w:left="110"/>
        <w:rPr>
          <w:sz w:val="17"/>
        </w:rPr>
      </w:pPr>
      <w:r>
        <w:rPr>
          <w:color w:val="231F20"/>
          <w:w w:val="95"/>
          <w:sz w:val="17"/>
        </w:rPr>
        <w:t>emerging</w:t>
      </w:r>
      <w:r>
        <w:rPr>
          <w:color w:val="231F20"/>
          <w:spacing w:val="-2"/>
          <w:sz w:val="17"/>
        </w:rPr>
        <w:t xml:space="preserve"> </w:t>
      </w:r>
      <w:r>
        <w:rPr>
          <w:color w:val="231F20"/>
          <w:w w:val="95"/>
          <w:sz w:val="17"/>
        </w:rPr>
        <w:t>sports</w:t>
      </w:r>
      <w:r>
        <w:rPr>
          <w:color w:val="231F20"/>
          <w:spacing w:val="-1"/>
          <w:sz w:val="17"/>
        </w:rPr>
        <w:t xml:space="preserve"> </w:t>
      </w:r>
      <w:r>
        <w:rPr>
          <w:color w:val="231F20"/>
          <w:w w:val="95"/>
          <w:sz w:val="17"/>
        </w:rPr>
        <w:t>68,</w:t>
      </w:r>
      <w:r>
        <w:rPr>
          <w:color w:val="231F20"/>
          <w:spacing w:val="-1"/>
          <w:sz w:val="17"/>
        </w:rPr>
        <w:t xml:space="preserve"> </w:t>
      </w:r>
      <w:r>
        <w:rPr>
          <w:color w:val="231F20"/>
          <w:w w:val="95"/>
          <w:sz w:val="17"/>
        </w:rPr>
        <w:t>149,</w:t>
      </w:r>
      <w:r>
        <w:rPr>
          <w:color w:val="231F20"/>
          <w:spacing w:val="-1"/>
          <w:sz w:val="17"/>
        </w:rPr>
        <w:t xml:space="preserve"> </w:t>
      </w:r>
      <w:r>
        <w:rPr>
          <w:color w:val="231F20"/>
          <w:spacing w:val="-5"/>
          <w:w w:val="95"/>
          <w:sz w:val="17"/>
        </w:rPr>
        <w:t>204</w:t>
      </w:r>
    </w:p>
    <w:p w14:paraId="576239F7" w14:textId="77777777" w:rsidR="00AE0598" w:rsidRDefault="0069255A">
      <w:pPr>
        <w:spacing w:before="1"/>
        <w:ind w:left="110"/>
        <w:rPr>
          <w:sz w:val="17"/>
        </w:rPr>
      </w:pPr>
      <w:r>
        <w:rPr>
          <w:color w:val="231F20"/>
          <w:w w:val="95"/>
          <w:sz w:val="17"/>
        </w:rPr>
        <w:t>English</w:t>
      </w:r>
      <w:r>
        <w:rPr>
          <w:color w:val="231F20"/>
          <w:spacing w:val="10"/>
          <w:sz w:val="17"/>
        </w:rPr>
        <w:t xml:space="preserve"> </w:t>
      </w:r>
      <w:r>
        <w:rPr>
          <w:color w:val="231F20"/>
          <w:w w:val="95"/>
          <w:sz w:val="17"/>
        </w:rPr>
        <w:t>Premier</w:t>
      </w:r>
      <w:r>
        <w:rPr>
          <w:color w:val="231F20"/>
          <w:spacing w:val="11"/>
          <w:sz w:val="17"/>
        </w:rPr>
        <w:t xml:space="preserve"> </w:t>
      </w:r>
      <w:r>
        <w:rPr>
          <w:color w:val="231F20"/>
          <w:w w:val="95"/>
          <w:sz w:val="17"/>
        </w:rPr>
        <w:t>League</w:t>
      </w:r>
      <w:r>
        <w:rPr>
          <w:color w:val="231F20"/>
          <w:spacing w:val="11"/>
          <w:sz w:val="17"/>
        </w:rPr>
        <w:t xml:space="preserve"> </w:t>
      </w:r>
      <w:r>
        <w:rPr>
          <w:color w:val="231F20"/>
          <w:w w:val="95"/>
          <w:sz w:val="17"/>
        </w:rPr>
        <w:t>(EPL)</w:t>
      </w:r>
      <w:r>
        <w:rPr>
          <w:color w:val="231F20"/>
          <w:spacing w:val="11"/>
          <w:sz w:val="17"/>
        </w:rPr>
        <w:t xml:space="preserve"> </w:t>
      </w:r>
      <w:r>
        <w:rPr>
          <w:color w:val="231F20"/>
          <w:w w:val="95"/>
          <w:sz w:val="17"/>
        </w:rPr>
        <w:t>34,</w:t>
      </w:r>
      <w:r>
        <w:rPr>
          <w:color w:val="231F20"/>
          <w:spacing w:val="11"/>
          <w:sz w:val="17"/>
        </w:rPr>
        <w:t xml:space="preserve"> </w:t>
      </w:r>
      <w:r>
        <w:rPr>
          <w:color w:val="231F20"/>
          <w:w w:val="95"/>
          <w:sz w:val="17"/>
        </w:rPr>
        <w:t>96,</w:t>
      </w:r>
      <w:r>
        <w:rPr>
          <w:color w:val="231F20"/>
          <w:spacing w:val="11"/>
          <w:sz w:val="17"/>
        </w:rPr>
        <w:t xml:space="preserve"> </w:t>
      </w:r>
      <w:r>
        <w:rPr>
          <w:color w:val="231F20"/>
          <w:spacing w:val="-4"/>
          <w:w w:val="95"/>
          <w:sz w:val="17"/>
        </w:rPr>
        <w:t>106,</w:t>
      </w:r>
    </w:p>
    <w:p w14:paraId="6E569244" w14:textId="77777777" w:rsidR="00AE0598" w:rsidRDefault="0069255A">
      <w:pPr>
        <w:ind w:left="470"/>
        <w:rPr>
          <w:sz w:val="17"/>
        </w:rPr>
      </w:pPr>
      <w:r>
        <w:rPr>
          <w:color w:val="231F20"/>
          <w:spacing w:val="-5"/>
          <w:w w:val="95"/>
          <w:sz w:val="17"/>
        </w:rPr>
        <w:t>115</w:t>
      </w:r>
    </w:p>
    <w:p w14:paraId="0A363D3B" w14:textId="77777777" w:rsidR="00AE0598" w:rsidRDefault="0069255A">
      <w:pPr>
        <w:spacing w:before="1"/>
        <w:ind w:right="516"/>
        <w:jc w:val="right"/>
        <w:rPr>
          <w:sz w:val="17"/>
        </w:rPr>
      </w:pPr>
      <w:r>
        <w:rPr>
          <w:color w:val="231F20"/>
          <w:w w:val="95"/>
          <w:sz w:val="17"/>
        </w:rPr>
        <w:t>entertainment</w:t>
      </w:r>
      <w:r>
        <w:rPr>
          <w:color w:val="231F20"/>
          <w:spacing w:val="4"/>
          <w:sz w:val="17"/>
        </w:rPr>
        <w:t xml:space="preserve"> </w:t>
      </w:r>
      <w:r>
        <w:rPr>
          <w:color w:val="231F20"/>
          <w:w w:val="95"/>
          <w:sz w:val="17"/>
        </w:rPr>
        <w:t>25,</w:t>
      </w:r>
      <w:r>
        <w:rPr>
          <w:color w:val="231F20"/>
          <w:spacing w:val="4"/>
          <w:sz w:val="17"/>
        </w:rPr>
        <w:t xml:space="preserve"> </w:t>
      </w:r>
      <w:r>
        <w:rPr>
          <w:color w:val="231F20"/>
          <w:w w:val="95"/>
          <w:sz w:val="17"/>
        </w:rPr>
        <w:t>73,</w:t>
      </w:r>
      <w:r>
        <w:rPr>
          <w:color w:val="231F20"/>
          <w:spacing w:val="4"/>
          <w:sz w:val="17"/>
        </w:rPr>
        <w:t xml:space="preserve"> </w:t>
      </w:r>
      <w:r>
        <w:rPr>
          <w:color w:val="231F20"/>
          <w:w w:val="95"/>
          <w:sz w:val="17"/>
        </w:rPr>
        <w:t>84,</w:t>
      </w:r>
      <w:r>
        <w:rPr>
          <w:color w:val="231F20"/>
          <w:spacing w:val="4"/>
          <w:sz w:val="17"/>
        </w:rPr>
        <w:t xml:space="preserve"> </w:t>
      </w:r>
      <w:r>
        <w:rPr>
          <w:color w:val="231F20"/>
          <w:w w:val="95"/>
          <w:sz w:val="17"/>
        </w:rPr>
        <w:t>96,</w:t>
      </w:r>
      <w:r>
        <w:rPr>
          <w:color w:val="231F20"/>
          <w:spacing w:val="4"/>
          <w:sz w:val="17"/>
        </w:rPr>
        <w:t xml:space="preserve"> </w:t>
      </w:r>
      <w:r>
        <w:rPr>
          <w:color w:val="231F20"/>
          <w:w w:val="95"/>
          <w:sz w:val="17"/>
        </w:rPr>
        <w:t>101,</w:t>
      </w:r>
      <w:r>
        <w:rPr>
          <w:color w:val="231F20"/>
          <w:spacing w:val="5"/>
          <w:sz w:val="17"/>
        </w:rPr>
        <w:t xml:space="preserve"> </w:t>
      </w:r>
      <w:r>
        <w:rPr>
          <w:color w:val="231F20"/>
          <w:spacing w:val="-4"/>
          <w:w w:val="95"/>
          <w:sz w:val="17"/>
        </w:rPr>
        <w:t>120,</w:t>
      </w:r>
    </w:p>
    <w:p w14:paraId="5DD7C418" w14:textId="77777777" w:rsidR="00AE0598" w:rsidRDefault="0069255A">
      <w:pPr>
        <w:spacing w:before="1"/>
        <w:ind w:right="569"/>
        <w:jc w:val="right"/>
        <w:rPr>
          <w:sz w:val="17"/>
        </w:rPr>
      </w:pPr>
      <w:r>
        <w:rPr>
          <w:color w:val="231F20"/>
          <w:w w:val="90"/>
          <w:sz w:val="17"/>
        </w:rPr>
        <w:t>127,</w:t>
      </w:r>
      <w:r>
        <w:rPr>
          <w:color w:val="231F20"/>
          <w:spacing w:val="7"/>
          <w:sz w:val="17"/>
        </w:rPr>
        <w:t xml:space="preserve"> </w:t>
      </w:r>
      <w:r>
        <w:rPr>
          <w:color w:val="231F20"/>
          <w:w w:val="90"/>
          <w:sz w:val="17"/>
        </w:rPr>
        <w:t>137,</w:t>
      </w:r>
      <w:r>
        <w:rPr>
          <w:color w:val="231F20"/>
          <w:spacing w:val="7"/>
          <w:sz w:val="17"/>
        </w:rPr>
        <w:t xml:space="preserve"> </w:t>
      </w:r>
      <w:r>
        <w:rPr>
          <w:color w:val="231F20"/>
          <w:w w:val="90"/>
          <w:sz w:val="17"/>
        </w:rPr>
        <w:t>160,</w:t>
      </w:r>
      <w:r>
        <w:rPr>
          <w:color w:val="231F20"/>
          <w:spacing w:val="7"/>
          <w:sz w:val="17"/>
        </w:rPr>
        <w:t xml:space="preserve"> </w:t>
      </w:r>
      <w:r>
        <w:rPr>
          <w:color w:val="231F20"/>
          <w:w w:val="90"/>
          <w:sz w:val="17"/>
        </w:rPr>
        <w:t>163,</w:t>
      </w:r>
      <w:r>
        <w:rPr>
          <w:color w:val="231F20"/>
          <w:spacing w:val="7"/>
          <w:sz w:val="17"/>
        </w:rPr>
        <w:t xml:space="preserve"> </w:t>
      </w:r>
      <w:r>
        <w:rPr>
          <w:color w:val="231F20"/>
          <w:w w:val="90"/>
          <w:sz w:val="17"/>
        </w:rPr>
        <w:t>177,</w:t>
      </w:r>
      <w:r>
        <w:rPr>
          <w:color w:val="231F20"/>
          <w:spacing w:val="7"/>
          <w:sz w:val="17"/>
        </w:rPr>
        <w:t xml:space="preserve"> </w:t>
      </w:r>
      <w:r>
        <w:rPr>
          <w:color w:val="231F20"/>
          <w:w w:val="90"/>
          <w:sz w:val="17"/>
        </w:rPr>
        <w:t>180,</w:t>
      </w:r>
      <w:r>
        <w:rPr>
          <w:color w:val="231F20"/>
          <w:spacing w:val="8"/>
          <w:sz w:val="17"/>
        </w:rPr>
        <w:t xml:space="preserve"> </w:t>
      </w:r>
      <w:r>
        <w:rPr>
          <w:color w:val="231F20"/>
          <w:spacing w:val="-4"/>
          <w:w w:val="90"/>
          <w:sz w:val="17"/>
        </w:rPr>
        <w:t>206,</w:t>
      </w:r>
    </w:p>
    <w:p w14:paraId="398AA762" w14:textId="77777777" w:rsidR="00AE0598" w:rsidRDefault="0069255A">
      <w:pPr>
        <w:ind w:left="470"/>
        <w:rPr>
          <w:sz w:val="17"/>
        </w:rPr>
      </w:pPr>
      <w:r>
        <w:rPr>
          <w:color w:val="231F20"/>
          <w:w w:val="90"/>
          <w:sz w:val="17"/>
        </w:rPr>
        <w:t>214–215,</w:t>
      </w:r>
      <w:r>
        <w:rPr>
          <w:color w:val="231F20"/>
          <w:spacing w:val="15"/>
          <w:sz w:val="17"/>
        </w:rPr>
        <w:t xml:space="preserve"> </w:t>
      </w:r>
      <w:r>
        <w:rPr>
          <w:color w:val="231F20"/>
          <w:spacing w:val="-5"/>
          <w:sz w:val="17"/>
        </w:rPr>
        <w:t>219</w:t>
      </w:r>
    </w:p>
    <w:p w14:paraId="17442C34" w14:textId="77777777" w:rsidR="00AE0598" w:rsidRDefault="0069255A">
      <w:pPr>
        <w:spacing w:before="1"/>
        <w:ind w:left="110"/>
        <w:rPr>
          <w:sz w:val="17"/>
        </w:rPr>
      </w:pPr>
      <w:r>
        <w:rPr>
          <w:color w:val="231F20"/>
          <w:w w:val="95"/>
          <w:sz w:val="17"/>
        </w:rPr>
        <w:t>environmental</w:t>
      </w:r>
      <w:r>
        <w:rPr>
          <w:color w:val="231F20"/>
          <w:spacing w:val="4"/>
          <w:sz w:val="17"/>
        </w:rPr>
        <w:t xml:space="preserve"> </w:t>
      </w:r>
      <w:r>
        <w:rPr>
          <w:color w:val="231F20"/>
          <w:w w:val="95"/>
          <w:sz w:val="17"/>
        </w:rPr>
        <w:t>impacts</w:t>
      </w:r>
      <w:r>
        <w:rPr>
          <w:color w:val="231F20"/>
          <w:spacing w:val="5"/>
          <w:sz w:val="17"/>
        </w:rPr>
        <w:t xml:space="preserve"> </w:t>
      </w:r>
      <w:r>
        <w:rPr>
          <w:color w:val="231F20"/>
          <w:w w:val="95"/>
          <w:sz w:val="17"/>
        </w:rPr>
        <w:t>12,</w:t>
      </w:r>
      <w:r>
        <w:rPr>
          <w:color w:val="231F20"/>
          <w:spacing w:val="5"/>
          <w:sz w:val="17"/>
        </w:rPr>
        <w:t xml:space="preserve"> </w:t>
      </w:r>
      <w:r>
        <w:rPr>
          <w:color w:val="231F20"/>
          <w:w w:val="95"/>
          <w:sz w:val="17"/>
        </w:rPr>
        <w:t>27,</w:t>
      </w:r>
      <w:r>
        <w:rPr>
          <w:color w:val="231F20"/>
          <w:spacing w:val="5"/>
          <w:sz w:val="17"/>
        </w:rPr>
        <w:t xml:space="preserve"> </w:t>
      </w:r>
      <w:r>
        <w:rPr>
          <w:color w:val="231F20"/>
          <w:w w:val="95"/>
          <w:sz w:val="17"/>
        </w:rPr>
        <w:t>33,</w:t>
      </w:r>
      <w:r>
        <w:rPr>
          <w:color w:val="231F20"/>
          <w:spacing w:val="5"/>
          <w:sz w:val="17"/>
        </w:rPr>
        <w:t xml:space="preserve"> </w:t>
      </w:r>
      <w:r>
        <w:rPr>
          <w:color w:val="231F20"/>
          <w:w w:val="95"/>
          <w:sz w:val="17"/>
        </w:rPr>
        <w:t>35,</w:t>
      </w:r>
      <w:r>
        <w:rPr>
          <w:color w:val="231F20"/>
          <w:spacing w:val="5"/>
          <w:sz w:val="17"/>
        </w:rPr>
        <w:t xml:space="preserve"> </w:t>
      </w:r>
      <w:r>
        <w:rPr>
          <w:color w:val="231F20"/>
          <w:spacing w:val="-5"/>
          <w:w w:val="95"/>
          <w:sz w:val="17"/>
        </w:rPr>
        <w:t>79,</w:t>
      </w:r>
    </w:p>
    <w:p w14:paraId="2D6072F3" w14:textId="77777777" w:rsidR="00AE0598" w:rsidRDefault="0069255A">
      <w:pPr>
        <w:spacing w:before="1"/>
        <w:ind w:left="470"/>
        <w:rPr>
          <w:sz w:val="17"/>
        </w:rPr>
      </w:pPr>
      <w:r>
        <w:rPr>
          <w:color w:val="231F20"/>
          <w:w w:val="90"/>
          <w:sz w:val="17"/>
        </w:rPr>
        <w:t>139,</w:t>
      </w:r>
      <w:r>
        <w:rPr>
          <w:color w:val="231F20"/>
          <w:spacing w:val="13"/>
          <w:sz w:val="17"/>
        </w:rPr>
        <w:t xml:space="preserve"> </w:t>
      </w:r>
      <w:r>
        <w:rPr>
          <w:color w:val="231F20"/>
          <w:w w:val="90"/>
          <w:sz w:val="17"/>
        </w:rPr>
        <w:t>140,</w:t>
      </w:r>
      <w:r>
        <w:rPr>
          <w:color w:val="231F20"/>
          <w:spacing w:val="13"/>
          <w:sz w:val="17"/>
        </w:rPr>
        <w:t xml:space="preserve"> </w:t>
      </w:r>
      <w:r>
        <w:rPr>
          <w:color w:val="231F20"/>
          <w:w w:val="90"/>
          <w:sz w:val="17"/>
        </w:rPr>
        <w:t>144,</w:t>
      </w:r>
      <w:r>
        <w:rPr>
          <w:color w:val="231F20"/>
          <w:spacing w:val="13"/>
          <w:sz w:val="17"/>
        </w:rPr>
        <w:t xml:space="preserve"> </w:t>
      </w:r>
      <w:r>
        <w:rPr>
          <w:color w:val="231F20"/>
          <w:w w:val="90"/>
          <w:sz w:val="17"/>
        </w:rPr>
        <w:t>150,</w:t>
      </w:r>
      <w:r>
        <w:rPr>
          <w:color w:val="231F20"/>
          <w:spacing w:val="13"/>
          <w:sz w:val="17"/>
        </w:rPr>
        <w:t xml:space="preserve"> </w:t>
      </w:r>
      <w:r>
        <w:rPr>
          <w:color w:val="231F20"/>
          <w:spacing w:val="-5"/>
          <w:w w:val="90"/>
          <w:sz w:val="17"/>
        </w:rPr>
        <w:t>152</w:t>
      </w:r>
    </w:p>
    <w:p w14:paraId="6826A69F" w14:textId="77777777" w:rsidR="00AE0598" w:rsidRDefault="0069255A">
      <w:pPr>
        <w:spacing w:before="1"/>
        <w:ind w:left="110"/>
        <w:rPr>
          <w:sz w:val="17"/>
        </w:rPr>
      </w:pPr>
      <w:r>
        <w:rPr>
          <w:color w:val="231F20"/>
          <w:w w:val="95"/>
          <w:sz w:val="17"/>
        </w:rPr>
        <w:t>environmental</w:t>
      </w:r>
      <w:r>
        <w:rPr>
          <w:color w:val="231F20"/>
          <w:spacing w:val="10"/>
          <w:sz w:val="17"/>
        </w:rPr>
        <w:t xml:space="preserve"> </w:t>
      </w:r>
      <w:r>
        <w:rPr>
          <w:color w:val="231F20"/>
          <w:w w:val="95"/>
          <w:sz w:val="17"/>
        </w:rPr>
        <w:t>legacy</w:t>
      </w:r>
      <w:r>
        <w:rPr>
          <w:color w:val="231F20"/>
          <w:spacing w:val="11"/>
          <w:sz w:val="17"/>
        </w:rPr>
        <w:t xml:space="preserve"> </w:t>
      </w:r>
      <w:r>
        <w:rPr>
          <w:color w:val="231F20"/>
          <w:spacing w:val="-5"/>
          <w:w w:val="95"/>
          <w:sz w:val="17"/>
        </w:rPr>
        <w:t>152</w:t>
      </w:r>
    </w:p>
    <w:p w14:paraId="2DD31381" w14:textId="77777777" w:rsidR="00AE0598" w:rsidRDefault="0069255A">
      <w:pPr>
        <w:ind w:left="110"/>
        <w:rPr>
          <w:sz w:val="17"/>
        </w:rPr>
      </w:pPr>
      <w:r>
        <w:rPr>
          <w:color w:val="231F20"/>
          <w:w w:val="95"/>
          <w:sz w:val="17"/>
        </w:rPr>
        <w:t>environmental</w:t>
      </w:r>
      <w:r>
        <w:rPr>
          <w:color w:val="231F20"/>
          <w:spacing w:val="4"/>
          <w:sz w:val="17"/>
        </w:rPr>
        <w:t xml:space="preserve"> </w:t>
      </w:r>
      <w:r>
        <w:rPr>
          <w:color w:val="231F20"/>
          <w:w w:val="95"/>
          <w:sz w:val="17"/>
        </w:rPr>
        <w:t>trend</w:t>
      </w:r>
      <w:r>
        <w:rPr>
          <w:color w:val="231F20"/>
          <w:spacing w:val="5"/>
          <w:sz w:val="17"/>
        </w:rPr>
        <w:t xml:space="preserve"> </w:t>
      </w:r>
      <w:r>
        <w:rPr>
          <w:color w:val="231F20"/>
          <w:spacing w:val="-5"/>
          <w:w w:val="95"/>
          <w:sz w:val="17"/>
        </w:rPr>
        <w:t>216</w:t>
      </w:r>
    </w:p>
    <w:p w14:paraId="15A00B5D" w14:textId="77777777" w:rsidR="00AE0598" w:rsidRDefault="0069255A">
      <w:pPr>
        <w:spacing w:before="1"/>
        <w:ind w:left="110"/>
        <w:rPr>
          <w:sz w:val="17"/>
        </w:rPr>
      </w:pPr>
      <w:r>
        <w:rPr>
          <w:color w:val="231F20"/>
          <w:w w:val="95"/>
          <w:sz w:val="17"/>
        </w:rPr>
        <w:t>e-sport</w:t>
      </w:r>
      <w:r>
        <w:rPr>
          <w:color w:val="231F20"/>
          <w:spacing w:val="6"/>
          <w:sz w:val="17"/>
        </w:rPr>
        <w:t xml:space="preserve"> </w:t>
      </w:r>
      <w:r>
        <w:rPr>
          <w:color w:val="231F20"/>
          <w:w w:val="95"/>
          <w:sz w:val="17"/>
        </w:rPr>
        <w:t>10,</w:t>
      </w:r>
      <w:r>
        <w:rPr>
          <w:color w:val="231F20"/>
          <w:spacing w:val="6"/>
          <w:sz w:val="17"/>
        </w:rPr>
        <w:t xml:space="preserve"> </w:t>
      </w:r>
      <w:r>
        <w:rPr>
          <w:color w:val="231F20"/>
          <w:w w:val="95"/>
          <w:sz w:val="17"/>
        </w:rPr>
        <w:t>90,</w:t>
      </w:r>
      <w:r>
        <w:rPr>
          <w:color w:val="231F20"/>
          <w:spacing w:val="6"/>
          <w:sz w:val="17"/>
        </w:rPr>
        <w:t xml:space="preserve"> </w:t>
      </w:r>
      <w:r>
        <w:rPr>
          <w:color w:val="231F20"/>
          <w:spacing w:val="-5"/>
          <w:w w:val="95"/>
          <w:sz w:val="17"/>
        </w:rPr>
        <w:t>221</w:t>
      </w:r>
    </w:p>
    <w:p w14:paraId="37E0BDE9" w14:textId="77777777" w:rsidR="00AE0598" w:rsidRDefault="0069255A">
      <w:pPr>
        <w:spacing w:before="1"/>
        <w:ind w:left="110"/>
        <w:rPr>
          <w:sz w:val="17"/>
        </w:rPr>
      </w:pPr>
      <w:r>
        <w:rPr>
          <w:color w:val="231F20"/>
          <w:w w:val="95"/>
          <w:sz w:val="17"/>
        </w:rPr>
        <w:t>ethnic</w:t>
      </w:r>
      <w:r>
        <w:rPr>
          <w:color w:val="231F20"/>
          <w:spacing w:val="6"/>
          <w:sz w:val="17"/>
        </w:rPr>
        <w:t xml:space="preserve"> </w:t>
      </w:r>
      <w:r>
        <w:rPr>
          <w:color w:val="231F20"/>
          <w:w w:val="95"/>
          <w:sz w:val="17"/>
        </w:rPr>
        <w:t>tourism</w:t>
      </w:r>
      <w:r>
        <w:rPr>
          <w:color w:val="231F20"/>
          <w:spacing w:val="7"/>
          <w:sz w:val="17"/>
        </w:rPr>
        <w:t xml:space="preserve"> </w:t>
      </w:r>
      <w:r>
        <w:rPr>
          <w:color w:val="231F20"/>
          <w:w w:val="95"/>
          <w:sz w:val="17"/>
        </w:rPr>
        <w:t>70,</w:t>
      </w:r>
      <w:r>
        <w:rPr>
          <w:color w:val="231F20"/>
          <w:spacing w:val="6"/>
          <w:sz w:val="17"/>
        </w:rPr>
        <w:t xml:space="preserve"> </w:t>
      </w:r>
      <w:r>
        <w:rPr>
          <w:color w:val="231F20"/>
          <w:spacing w:val="-5"/>
          <w:w w:val="95"/>
          <w:sz w:val="17"/>
        </w:rPr>
        <w:t>181</w:t>
      </w:r>
    </w:p>
    <w:p w14:paraId="43E2664A" w14:textId="77777777" w:rsidR="00AE0598" w:rsidRDefault="0069255A">
      <w:pPr>
        <w:ind w:left="110"/>
        <w:rPr>
          <w:sz w:val="17"/>
        </w:rPr>
      </w:pPr>
      <w:r>
        <w:rPr>
          <w:color w:val="231F20"/>
          <w:w w:val="95"/>
          <w:sz w:val="17"/>
        </w:rPr>
        <w:t>event</w:t>
      </w:r>
      <w:r>
        <w:rPr>
          <w:color w:val="231F20"/>
          <w:spacing w:val="2"/>
          <w:sz w:val="17"/>
        </w:rPr>
        <w:t xml:space="preserve"> </w:t>
      </w:r>
      <w:r>
        <w:rPr>
          <w:color w:val="231F20"/>
          <w:w w:val="95"/>
          <w:sz w:val="17"/>
        </w:rPr>
        <w:t>brand</w:t>
      </w:r>
      <w:r>
        <w:rPr>
          <w:color w:val="231F20"/>
          <w:spacing w:val="3"/>
          <w:sz w:val="17"/>
        </w:rPr>
        <w:t xml:space="preserve"> </w:t>
      </w:r>
      <w:r>
        <w:rPr>
          <w:color w:val="231F20"/>
          <w:w w:val="95"/>
          <w:sz w:val="17"/>
        </w:rPr>
        <w:t>26,</w:t>
      </w:r>
      <w:r>
        <w:rPr>
          <w:color w:val="231F20"/>
          <w:spacing w:val="3"/>
          <w:sz w:val="17"/>
        </w:rPr>
        <w:t xml:space="preserve"> </w:t>
      </w:r>
      <w:r>
        <w:rPr>
          <w:color w:val="231F20"/>
          <w:spacing w:val="-5"/>
          <w:w w:val="95"/>
          <w:sz w:val="17"/>
        </w:rPr>
        <w:t>129</w:t>
      </w:r>
    </w:p>
    <w:p w14:paraId="5F7B0C22" w14:textId="77777777" w:rsidR="00AE0598" w:rsidRDefault="0069255A">
      <w:pPr>
        <w:spacing w:before="1"/>
        <w:ind w:left="110"/>
        <w:rPr>
          <w:sz w:val="17"/>
        </w:rPr>
      </w:pPr>
      <w:r>
        <w:rPr>
          <w:color w:val="231F20"/>
          <w:w w:val="95"/>
          <w:sz w:val="17"/>
        </w:rPr>
        <w:t>event</w:t>
      </w:r>
      <w:r>
        <w:rPr>
          <w:color w:val="231F20"/>
          <w:spacing w:val="-2"/>
          <w:sz w:val="17"/>
        </w:rPr>
        <w:t xml:space="preserve"> </w:t>
      </w:r>
      <w:r>
        <w:rPr>
          <w:color w:val="231F20"/>
          <w:w w:val="95"/>
          <w:sz w:val="17"/>
        </w:rPr>
        <w:t>production</w:t>
      </w:r>
      <w:r>
        <w:rPr>
          <w:color w:val="231F20"/>
          <w:spacing w:val="1"/>
          <w:sz w:val="17"/>
        </w:rPr>
        <w:t xml:space="preserve"> </w:t>
      </w:r>
      <w:r>
        <w:rPr>
          <w:color w:val="231F20"/>
          <w:w w:val="95"/>
          <w:sz w:val="17"/>
        </w:rPr>
        <w:t>13,</w:t>
      </w:r>
      <w:r>
        <w:rPr>
          <w:color w:val="231F20"/>
          <w:sz w:val="17"/>
        </w:rPr>
        <w:t xml:space="preserve"> </w:t>
      </w:r>
      <w:r>
        <w:rPr>
          <w:color w:val="231F20"/>
          <w:w w:val="95"/>
          <w:sz w:val="17"/>
        </w:rPr>
        <w:t>162,</w:t>
      </w:r>
      <w:r>
        <w:rPr>
          <w:color w:val="231F20"/>
          <w:spacing w:val="1"/>
          <w:sz w:val="17"/>
        </w:rPr>
        <w:t xml:space="preserve"> </w:t>
      </w:r>
      <w:r>
        <w:rPr>
          <w:color w:val="231F20"/>
          <w:w w:val="95"/>
          <w:sz w:val="17"/>
        </w:rPr>
        <w:t>176,</w:t>
      </w:r>
      <w:r>
        <w:rPr>
          <w:color w:val="231F20"/>
          <w:spacing w:val="1"/>
          <w:sz w:val="17"/>
        </w:rPr>
        <w:t xml:space="preserve"> </w:t>
      </w:r>
      <w:r>
        <w:rPr>
          <w:color w:val="231F20"/>
          <w:spacing w:val="-5"/>
          <w:w w:val="95"/>
          <w:sz w:val="17"/>
        </w:rPr>
        <w:t>233</w:t>
      </w:r>
    </w:p>
    <w:p w14:paraId="0E8D59BC" w14:textId="77777777" w:rsidR="00AE0598" w:rsidRDefault="0069255A">
      <w:pPr>
        <w:spacing w:before="1"/>
        <w:ind w:left="110"/>
        <w:rPr>
          <w:sz w:val="17"/>
        </w:rPr>
      </w:pPr>
      <w:r>
        <w:rPr>
          <w:color w:val="231F20"/>
          <w:w w:val="95"/>
          <w:sz w:val="17"/>
        </w:rPr>
        <w:t>event</w:t>
      </w:r>
      <w:r>
        <w:rPr>
          <w:color w:val="231F20"/>
          <w:spacing w:val="5"/>
          <w:sz w:val="17"/>
        </w:rPr>
        <w:t xml:space="preserve"> </w:t>
      </w:r>
      <w:r>
        <w:rPr>
          <w:color w:val="231F20"/>
          <w:w w:val="95"/>
          <w:sz w:val="17"/>
        </w:rPr>
        <w:t>satisfaction</w:t>
      </w:r>
      <w:r>
        <w:rPr>
          <w:color w:val="231F20"/>
          <w:spacing w:val="5"/>
          <w:sz w:val="17"/>
        </w:rPr>
        <w:t xml:space="preserve"> </w:t>
      </w:r>
      <w:r>
        <w:rPr>
          <w:color w:val="231F20"/>
          <w:spacing w:val="-5"/>
          <w:w w:val="95"/>
          <w:sz w:val="17"/>
        </w:rPr>
        <w:t>113</w:t>
      </w:r>
    </w:p>
    <w:p w14:paraId="5FB82B8E" w14:textId="77777777" w:rsidR="00AE0598" w:rsidRDefault="0069255A">
      <w:pPr>
        <w:ind w:left="110"/>
        <w:rPr>
          <w:sz w:val="17"/>
        </w:rPr>
      </w:pPr>
      <w:r>
        <w:rPr>
          <w:color w:val="231F20"/>
          <w:w w:val="90"/>
          <w:sz w:val="17"/>
        </w:rPr>
        <w:t>event</w:t>
      </w:r>
      <w:r>
        <w:rPr>
          <w:color w:val="231F20"/>
          <w:spacing w:val="5"/>
          <w:sz w:val="17"/>
        </w:rPr>
        <w:t xml:space="preserve"> </w:t>
      </w:r>
      <w:r>
        <w:rPr>
          <w:color w:val="231F20"/>
          <w:w w:val="90"/>
          <w:sz w:val="17"/>
        </w:rPr>
        <w:t>sport</w:t>
      </w:r>
      <w:r>
        <w:rPr>
          <w:color w:val="231F20"/>
          <w:spacing w:val="6"/>
          <w:sz w:val="17"/>
        </w:rPr>
        <w:t xml:space="preserve"> </w:t>
      </w:r>
      <w:r>
        <w:rPr>
          <w:color w:val="231F20"/>
          <w:w w:val="90"/>
          <w:sz w:val="17"/>
        </w:rPr>
        <w:t>tourism</w:t>
      </w:r>
      <w:r>
        <w:rPr>
          <w:color w:val="231F20"/>
          <w:spacing w:val="6"/>
          <w:sz w:val="17"/>
        </w:rPr>
        <w:t xml:space="preserve"> </w:t>
      </w:r>
      <w:r>
        <w:rPr>
          <w:color w:val="231F20"/>
          <w:w w:val="90"/>
          <w:sz w:val="17"/>
        </w:rPr>
        <w:t>35,</w:t>
      </w:r>
      <w:r>
        <w:rPr>
          <w:color w:val="231F20"/>
          <w:spacing w:val="6"/>
          <w:sz w:val="17"/>
        </w:rPr>
        <w:t xml:space="preserve"> </w:t>
      </w:r>
      <w:r>
        <w:rPr>
          <w:color w:val="231F20"/>
          <w:w w:val="90"/>
          <w:sz w:val="17"/>
        </w:rPr>
        <w:t>46–49,</w:t>
      </w:r>
      <w:r>
        <w:rPr>
          <w:color w:val="231F20"/>
          <w:spacing w:val="6"/>
          <w:sz w:val="17"/>
        </w:rPr>
        <w:t xml:space="preserve"> </w:t>
      </w:r>
      <w:r>
        <w:rPr>
          <w:color w:val="231F20"/>
          <w:w w:val="90"/>
          <w:sz w:val="17"/>
        </w:rPr>
        <w:t>57,</w:t>
      </w:r>
      <w:r>
        <w:rPr>
          <w:color w:val="231F20"/>
          <w:spacing w:val="6"/>
          <w:sz w:val="17"/>
        </w:rPr>
        <w:t xml:space="preserve"> </w:t>
      </w:r>
      <w:r>
        <w:rPr>
          <w:color w:val="231F20"/>
          <w:spacing w:val="-5"/>
          <w:w w:val="90"/>
          <w:sz w:val="17"/>
        </w:rPr>
        <w:t>60,</w:t>
      </w:r>
    </w:p>
    <w:p w14:paraId="376BD182" w14:textId="77777777" w:rsidR="00AE0598" w:rsidRDefault="0069255A">
      <w:pPr>
        <w:spacing w:before="1"/>
        <w:ind w:left="470"/>
        <w:rPr>
          <w:sz w:val="17"/>
        </w:rPr>
      </w:pPr>
      <w:r>
        <w:rPr>
          <w:color w:val="231F20"/>
          <w:w w:val="90"/>
          <w:sz w:val="17"/>
        </w:rPr>
        <w:t>91,</w:t>
      </w:r>
      <w:r>
        <w:rPr>
          <w:color w:val="231F20"/>
          <w:spacing w:val="-4"/>
          <w:sz w:val="17"/>
        </w:rPr>
        <w:t xml:space="preserve"> </w:t>
      </w:r>
      <w:r>
        <w:rPr>
          <w:color w:val="231F20"/>
          <w:w w:val="90"/>
          <w:sz w:val="17"/>
        </w:rPr>
        <w:t>110,</w:t>
      </w:r>
      <w:r>
        <w:rPr>
          <w:color w:val="231F20"/>
          <w:spacing w:val="-3"/>
          <w:sz w:val="17"/>
        </w:rPr>
        <w:t xml:space="preserve"> </w:t>
      </w:r>
      <w:r>
        <w:rPr>
          <w:color w:val="231F20"/>
          <w:w w:val="90"/>
          <w:sz w:val="17"/>
        </w:rPr>
        <w:t>132,</w:t>
      </w:r>
      <w:r>
        <w:rPr>
          <w:color w:val="231F20"/>
          <w:spacing w:val="-4"/>
          <w:sz w:val="17"/>
        </w:rPr>
        <w:t xml:space="preserve"> </w:t>
      </w:r>
      <w:r>
        <w:rPr>
          <w:color w:val="231F20"/>
          <w:w w:val="90"/>
          <w:sz w:val="17"/>
        </w:rPr>
        <w:t>137,</w:t>
      </w:r>
      <w:r>
        <w:rPr>
          <w:color w:val="231F20"/>
          <w:spacing w:val="-3"/>
          <w:sz w:val="17"/>
        </w:rPr>
        <w:t xml:space="preserve"> </w:t>
      </w:r>
      <w:r>
        <w:rPr>
          <w:color w:val="231F20"/>
          <w:w w:val="90"/>
          <w:sz w:val="17"/>
        </w:rPr>
        <w:t>145–146,</w:t>
      </w:r>
      <w:r>
        <w:rPr>
          <w:color w:val="231F20"/>
          <w:spacing w:val="-4"/>
          <w:sz w:val="17"/>
        </w:rPr>
        <w:t xml:space="preserve"> </w:t>
      </w:r>
      <w:r>
        <w:rPr>
          <w:color w:val="231F20"/>
          <w:w w:val="90"/>
          <w:sz w:val="17"/>
        </w:rPr>
        <w:t>151,</w:t>
      </w:r>
      <w:r>
        <w:rPr>
          <w:color w:val="231F20"/>
          <w:spacing w:val="-3"/>
          <w:sz w:val="17"/>
        </w:rPr>
        <w:t xml:space="preserve"> </w:t>
      </w:r>
      <w:r>
        <w:rPr>
          <w:color w:val="231F20"/>
          <w:spacing w:val="-4"/>
          <w:w w:val="90"/>
          <w:sz w:val="17"/>
        </w:rPr>
        <w:t>158,</w:t>
      </w:r>
    </w:p>
    <w:p w14:paraId="3E5149C9" w14:textId="77777777" w:rsidR="00AE0598" w:rsidRDefault="0069255A">
      <w:pPr>
        <w:spacing w:before="1"/>
        <w:ind w:left="470"/>
        <w:rPr>
          <w:sz w:val="17"/>
        </w:rPr>
      </w:pPr>
      <w:r>
        <w:rPr>
          <w:color w:val="231F20"/>
          <w:spacing w:val="-2"/>
          <w:w w:val="90"/>
          <w:sz w:val="17"/>
        </w:rPr>
        <w:t>177,</w:t>
      </w:r>
      <w:r>
        <w:rPr>
          <w:color w:val="231F20"/>
          <w:spacing w:val="-4"/>
          <w:sz w:val="17"/>
        </w:rPr>
        <w:t xml:space="preserve"> </w:t>
      </w:r>
      <w:r>
        <w:rPr>
          <w:color w:val="231F20"/>
          <w:spacing w:val="-5"/>
          <w:w w:val="95"/>
          <w:sz w:val="17"/>
        </w:rPr>
        <w:t>218</w:t>
      </w:r>
    </w:p>
    <w:p w14:paraId="4F886A87" w14:textId="77777777" w:rsidR="00AE0598" w:rsidRDefault="0069255A">
      <w:pPr>
        <w:spacing w:before="1"/>
        <w:ind w:left="110"/>
        <w:rPr>
          <w:sz w:val="17"/>
        </w:rPr>
      </w:pPr>
      <w:r>
        <w:rPr>
          <w:color w:val="231F20"/>
          <w:w w:val="95"/>
          <w:sz w:val="17"/>
        </w:rPr>
        <w:t>exhibition</w:t>
      </w:r>
      <w:r>
        <w:rPr>
          <w:color w:val="231F20"/>
          <w:spacing w:val="-1"/>
          <w:w w:val="95"/>
          <w:sz w:val="17"/>
        </w:rPr>
        <w:t xml:space="preserve"> </w:t>
      </w:r>
      <w:r>
        <w:rPr>
          <w:color w:val="231F20"/>
          <w:w w:val="95"/>
          <w:sz w:val="17"/>
        </w:rPr>
        <w:t>21,</w:t>
      </w:r>
      <w:r>
        <w:rPr>
          <w:color w:val="231F20"/>
          <w:spacing w:val="-2"/>
          <w:sz w:val="17"/>
        </w:rPr>
        <w:t xml:space="preserve"> </w:t>
      </w:r>
      <w:r>
        <w:rPr>
          <w:color w:val="231F20"/>
          <w:w w:val="95"/>
          <w:sz w:val="17"/>
        </w:rPr>
        <w:t>29,</w:t>
      </w:r>
      <w:r>
        <w:rPr>
          <w:color w:val="231F20"/>
          <w:spacing w:val="-2"/>
          <w:sz w:val="17"/>
        </w:rPr>
        <w:t xml:space="preserve"> </w:t>
      </w:r>
      <w:r>
        <w:rPr>
          <w:color w:val="231F20"/>
          <w:w w:val="95"/>
          <w:sz w:val="17"/>
        </w:rPr>
        <w:t>107,</w:t>
      </w:r>
      <w:r>
        <w:rPr>
          <w:color w:val="231F20"/>
          <w:spacing w:val="-1"/>
          <w:sz w:val="17"/>
        </w:rPr>
        <w:t xml:space="preserve"> </w:t>
      </w:r>
      <w:r>
        <w:rPr>
          <w:color w:val="231F20"/>
          <w:w w:val="95"/>
          <w:sz w:val="17"/>
        </w:rPr>
        <w:t>118,</w:t>
      </w:r>
      <w:r>
        <w:rPr>
          <w:color w:val="231F20"/>
          <w:spacing w:val="-1"/>
          <w:w w:val="95"/>
          <w:sz w:val="17"/>
        </w:rPr>
        <w:t xml:space="preserve"> </w:t>
      </w:r>
      <w:r>
        <w:rPr>
          <w:color w:val="231F20"/>
          <w:w w:val="95"/>
          <w:sz w:val="17"/>
        </w:rPr>
        <w:t>140,</w:t>
      </w:r>
      <w:r>
        <w:rPr>
          <w:color w:val="231F20"/>
          <w:spacing w:val="-2"/>
          <w:sz w:val="17"/>
        </w:rPr>
        <w:t xml:space="preserve"> </w:t>
      </w:r>
      <w:r>
        <w:rPr>
          <w:color w:val="231F20"/>
          <w:w w:val="95"/>
          <w:sz w:val="17"/>
        </w:rPr>
        <w:t>177,</w:t>
      </w:r>
      <w:r>
        <w:rPr>
          <w:color w:val="231F20"/>
          <w:spacing w:val="-2"/>
          <w:sz w:val="17"/>
        </w:rPr>
        <w:t xml:space="preserve"> </w:t>
      </w:r>
      <w:r>
        <w:rPr>
          <w:color w:val="231F20"/>
          <w:spacing w:val="-5"/>
          <w:w w:val="95"/>
          <w:sz w:val="17"/>
        </w:rPr>
        <w:t>181</w:t>
      </w:r>
    </w:p>
    <w:p w14:paraId="3F6B93F6" w14:textId="77777777" w:rsidR="00AE0598" w:rsidRDefault="0069255A">
      <w:pPr>
        <w:ind w:left="110"/>
        <w:rPr>
          <w:sz w:val="17"/>
        </w:rPr>
      </w:pPr>
      <w:r>
        <w:rPr>
          <w:color w:val="231F20"/>
          <w:w w:val="95"/>
          <w:sz w:val="17"/>
        </w:rPr>
        <w:t>existential</w:t>
      </w:r>
      <w:r>
        <w:rPr>
          <w:color w:val="231F20"/>
          <w:spacing w:val="14"/>
          <w:sz w:val="17"/>
        </w:rPr>
        <w:t xml:space="preserve"> </w:t>
      </w:r>
      <w:r>
        <w:rPr>
          <w:color w:val="231F20"/>
          <w:w w:val="95"/>
          <w:sz w:val="17"/>
        </w:rPr>
        <w:t>authenticity</w:t>
      </w:r>
      <w:r>
        <w:rPr>
          <w:color w:val="231F20"/>
          <w:spacing w:val="15"/>
          <w:sz w:val="17"/>
        </w:rPr>
        <w:t xml:space="preserve"> </w:t>
      </w:r>
      <w:r>
        <w:rPr>
          <w:color w:val="231F20"/>
          <w:spacing w:val="-5"/>
          <w:w w:val="95"/>
          <w:sz w:val="17"/>
        </w:rPr>
        <w:t>73</w:t>
      </w:r>
    </w:p>
    <w:p w14:paraId="1D1812D2" w14:textId="77777777" w:rsidR="00AE0598" w:rsidRDefault="0069255A">
      <w:pPr>
        <w:spacing w:before="1"/>
        <w:ind w:left="110"/>
        <w:rPr>
          <w:sz w:val="17"/>
        </w:rPr>
      </w:pPr>
      <w:r>
        <w:rPr>
          <w:color w:val="231F20"/>
          <w:w w:val="90"/>
          <w:sz w:val="17"/>
        </w:rPr>
        <w:t>expenditure</w:t>
      </w:r>
      <w:r>
        <w:rPr>
          <w:color w:val="231F20"/>
          <w:spacing w:val="30"/>
          <w:sz w:val="17"/>
        </w:rPr>
        <w:t xml:space="preserve"> </w:t>
      </w:r>
      <w:r>
        <w:rPr>
          <w:color w:val="231F20"/>
          <w:w w:val="90"/>
          <w:sz w:val="17"/>
        </w:rPr>
        <w:t>pattern</w:t>
      </w:r>
      <w:r>
        <w:rPr>
          <w:color w:val="231F20"/>
          <w:spacing w:val="30"/>
          <w:sz w:val="17"/>
        </w:rPr>
        <w:t xml:space="preserve"> </w:t>
      </w:r>
      <w:r>
        <w:rPr>
          <w:color w:val="231F20"/>
          <w:w w:val="90"/>
          <w:sz w:val="17"/>
        </w:rPr>
        <w:t>49,</w:t>
      </w:r>
      <w:r>
        <w:rPr>
          <w:color w:val="231F20"/>
          <w:spacing w:val="30"/>
          <w:sz w:val="17"/>
        </w:rPr>
        <w:t xml:space="preserve"> </w:t>
      </w:r>
      <w:r>
        <w:rPr>
          <w:color w:val="231F20"/>
          <w:w w:val="90"/>
          <w:sz w:val="17"/>
        </w:rPr>
        <w:t>100–101,</w:t>
      </w:r>
      <w:r>
        <w:rPr>
          <w:color w:val="231F20"/>
          <w:spacing w:val="30"/>
          <w:sz w:val="17"/>
        </w:rPr>
        <w:t xml:space="preserve"> </w:t>
      </w:r>
      <w:r>
        <w:rPr>
          <w:color w:val="231F20"/>
          <w:spacing w:val="-5"/>
          <w:w w:val="90"/>
          <w:sz w:val="17"/>
        </w:rPr>
        <w:t>176</w:t>
      </w:r>
    </w:p>
    <w:p w14:paraId="3F96BC95" w14:textId="77777777" w:rsidR="00AE0598" w:rsidRDefault="0069255A">
      <w:pPr>
        <w:spacing w:before="1"/>
        <w:ind w:left="110"/>
        <w:rPr>
          <w:sz w:val="17"/>
        </w:rPr>
      </w:pPr>
      <w:r>
        <w:rPr>
          <w:color w:val="231F20"/>
          <w:w w:val="95"/>
          <w:sz w:val="17"/>
        </w:rPr>
        <w:t>experience</w:t>
      </w:r>
      <w:r>
        <w:rPr>
          <w:color w:val="231F20"/>
          <w:spacing w:val="4"/>
          <w:sz w:val="17"/>
        </w:rPr>
        <w:t xml:space="preserve"> </w:t>
      </w:r>
      <w:r>
        <w:rPr>
          <w:color w:val="231F20"/>
          <w:w w:val="95"/>
          <w:sz w:val="17"/>
        </w:rPr>
        <w:t>economy</w:t>
      </w:r>
      <w:r>
        <w:rPr>
          <w:color w:val="231F20"/>
          <w:spacing w:val="4"/>
          <w:sz w:val="17"/>
        </w:rPr>
        <w:t xml:space="preserve"> </w:t>
      </w:r>
      <w:r>
        <w:rPr>
          <w:color w:val="231F20"/>
          <w:spacing w:val="-5"/>
          <w:w w:val="95"/>
          <w:sz w:val="17"/>
        </w:rPr>
        <w:t>214</w:t>
      </w:r>
    </w:p>
    <w:p w14:paraId="14CD861C" w14:textId="77777777" w:rsidR="00AE0598" w:rsidRDefault="0069255A">
      <w:pPr>
        <w:ind w:left="110"/>
        <w:rPr>
          <w:sz w:val="17"/>
        </w:rPr>
      </w:pPr>
      <w:r>
        <w:rPr>
          <w:color w:val="231F20"/>
          <w:w w:val="95"/>
          <w:sz w:val="17"/>
        </w:rPr>
        <w:t>experience</w:t>
      </w:r>
      <w:r>
        <w:rPr>
          <w:color w:val="231F20"/>
          <w:spacing w:val="-1"/>
          <w:w w:val="95"/>
          <w:sz w:val="17"/>
        </w:rPr>
        <w:t xml:space="preserve"> </w:t>
      </w:r>
      <w:r>
        <w:rPr>
          <w:color w:val="231F20"/>
          <w:w w:val="95"/>
          <w:sz w:val="17"/>
        </w:rPr>
        <w:t>space</w:t>
      </w:r>
      <w:r>
        <w:rPr>
          <w:color w:val="231F20"/>
          <w:spacing w:val="-1"/>
          <w:w w:val="95"/>
          <w:sz w:val="17"/>
        </w:rPr>
        <w:t xml:space="preserve"> </w:t>
      </w:r>
      <w:r>
        <w:rPr>
          <w:color w:val="231F20"/>
          <w:w w:val="95"/>
          <w:sz w:val="17"/>
        </w:rPr>
        <w:t>model</w:t>
      </w:r>
      <w:r>
        <w:rPr>
          <w:color w:val="231F20"/>
          <w:spacing w:val="-2"/>
          <w:sz w:val="17"/>
        </w:rPr>
        <w:t xml:space="preserve"> </w:t>
      </w:r>
      <w:r>
        <w:rPr>
          <w:color w:val="231F20"/>
          <w:w w:val="95"/>
          <w:sz w:val="17"/>
        </w:rPr>
        <w:t>155,</w:t>
      </w:r>
      <w:r>
        <w:rPr>
          <w:color w:val="231F20"/>
          <w:spacing w:val="-1"/>
          <w:w w:val="95"/>
          <w:sz w:val="17"/>
        </w:rPr>
        <w:t xml:space="preserve"> </w:t>
      </w:r>
      <w:r>
        <w:rPr>
          <w:color w:val="231F20"/>
          <w:w w:val="95"/>
          <w:sz w:val="17"/>
        </w:rPr>
        <w:t>159,</w:t>
      </w:r>
      <w:r>
        <w:rPr>
          <w:color w:val="231F20"/>
          <w:spacing w:val="-2"/>
          <w:sz w:val="17"/>
        </w:rPr>
        <w:t xml:space="preserve"> </w:t>
      </w:r>
      <w:r>
        <w:rPr>
          <w:color w:val="231F20"/>
          <w:spacing w:val="-5"/>
          <w:w w:val="95"/>
          <w:sz w:val="17"/>
        </w:rPr>
        <w:t>233</w:t>
      </w:r>
    </w:p>
    <w:p w14:paraId="2B9E9BD1" w14:textId="77777777" w:rsidR="00AE0598" w:rsidRDefault="0069255A">
      <w:pPr>
        <w:spacing w:before="1"/>
        <w:ind w:left="110"/>
        <w:rPr>
          <w:sz w:val="17"/>
        </w:rPr>
      </w:pPr>
      <w:r>
        <w:rPr>
          <w:color w:val="231F20"/>
          <w:w w:val="95"/>
          <w:sz w:val="17"/>
        </w:rPr>
        <w:t>experience-based</w:t>
      </w:r>
      <w:r>
        <w:rPr>
          <w:color w:val="231F20"/>
          <w:spacing w:val="4"/>
          <w:sz w:val="17"/>
        </w:rPr>
        <w:t xml:space="preserve"> </w:t>
      </w:r>
      <w:r>
        <w:rPr>
          <w:color w:val="231F20"/>
          <w:w w:val="95"/>
          <w:sz w:val="17"/>
        </w:rPr>
        <w:t>economy</w:t>
      </w:r>
      <w:r>
        <w:rPr>
          <w:color w:val="231F20"/>
          <w:spacing w:val="4"/>
          <w:sz w:val="17"/>
        </w:rPr>
        <w:t xml:space="preserve"> </w:t>
      </w:r>
      <w:r>
        <w:rPr>
          <w:color w:val="231F20"/>
          <w:w w:val="95"/>
          <w:sz w:val="17"/>
        </w:rPr>
        <w:t>213,</w:t>
      </w:r>
      <w:r>
        <w:rPr>
          <w:color w:val="231F20"/>
          <w:spacing w:val="4"/>
          <w:sz w:val="17"/>
        </w:rPr>
        <w:t xml:space="preserve"> </w:t>
      </w:r>
      <w:r>
        <w:rPr>
          <w:color w:val="231F20"/>
          <w:spacing w:val="-5"/>
          <w:w w:val="95"/>
          <w:sz w:val="17"/>
        </w:rPr>
        <w:t>222</w:t>
      </w:r>
    </w:p>
    <w:p w14:paraId="7ECC6AE0" w14:textId="77777777" w:rsidR="00AE0598" w:rsidRDefault="0069255A">
      <w:pPr>
        <w:spacing w:before="1"/>
        <w:ind w:left="110"/>
        <w:rPr>
          <w:sz w:val="17"/>
        </w:rPr>
      </w:pPr>
      <w:r>
        <w:rPr>
          <w:color w:val="231F20"/>
          <w:w w:val="95"/>
          <w:sz w:val="17"/>
        </w:rPr>
        <w:t>extreme</w:t>
      </w:r>
      <w:r>
        <w:rPr>
          <w:color w:val="231F20"/>
          <w:spacing w:val="-4"/>
          <w:w w:val="95"/>
          <w:sz w:val="17"/>
        </w:rPr>
        <w:t xml:space="preserve"> </w:t>
      </w:r>
      <w:r>
        <w:rPr>
          <w:color w:val="231F20"/>
          <w:w w:val="95"/>
          <w:sz w:val="17"/>
        </w:rPr>
        <w:t>sports</w:t>
      </w:r>
      <w:r>
        <w:rPr>
          <w:color w:val="231F20"/>
          <w:spacing w:val="-3"/>
          <w:w w:val="95"/>
          <w:sz w:val="17"/>
        </w:rPr>
        <w:t xml:space="preserve"> </w:t>
      </w:r>
      <w:r>
        <w:rPr>
          <w:color w:val="231F20"/>
          <w:w w:val="95"/>
          <w:sz w:val="17"/>
        </w:rPr>
        <w:t>9,</w:t>
      </w:r>
      <w:r>
        <w:rPr>
          <w:color w:val="231F20"/>
          <w:spacing w:val="-3"/>
          <w:w w:val="95"/>
          <w:sz w:val="17"/>
        </w:rPr>
        <w:t xml:space="preserve"> </w:t>
      </w:r>
      <w:r>
        <w:rPr>
          <w:color w:val="231F20"/>
          <w:w w:val="95"/>
          <w:sz w:val="17"/>
        </w:rPr>
        <w:t>27,</w:t>
      </w:r>
      <w:r>
        <w:rPr>
          <w:color w:val="231F20"/>
          <w:spacing w:val="-4"/>
          <w:w w:val="95"/>
          <w:sz w:val="17"/>
        </w:rPr>
        <w:t xml:space="preserve"> </w:t>
      </w:r>
      <w:r>
        <w:rPr>
          <w:color w:val="231F20"/>
          <w:w w:val="95"/>
          <w:sz w:val="17"/>
        </w:rPr>
        <w:t>29,</w:t>
      </w:r>
      <w:r>
        <w:rPr>
          <w:color w:val="231F20"/>
          <w:spacing w:val="-3"/>
          <w:w w:val="95"/>
          <w:sz w:val="17"/>
        </w:rPr>
        <w:t xml:space="preserve"> </w:t>
      </w:r>
      <w:r>
        <w:rPr>
          <w:color w:val="231F20"/>
          <w:w w:val="95"/>
          <w:sz w:val="17"/>
        </w:rPr>
        <w:t>149,</w:t>
      </w:r>
      <w:r>
        <w:rPr>
          <w:color w:val="231F20"/>
          <w:spacing w:val="-3"/>
          <w:w w:val="95"/>
          <w:sz w:val="17"/>
        </w:rPr>
        <w:t xml:space="preserve"> </w:t>
      </w:r>
      <w:r>
        <w:rPr>
          <w:color w:val="231F20"/>
          <w:w w:val="95"/>
          <w:sz w:val="17"/>
        </w:rPr>
        <w:t>187,</w:t>
      </w:r>
      <w:r>
        <w:rPr>
          <w:color w:val="231F20"/>
          <w:spacing w:val="-3"/>
          <w:w w:val="95"/>
          <w:sz w:val="17"/>
        </w:rPr>
        <w:t xml:space="preserve"> </w:t>
      </w:r>
      <w:r>
        <w:rPr>
          <w:color w:val="231F20"/>
          <w:spacing w:val="-2"/>
          <w:w w:val="95"/>
          <w:sz w:val="17"/>
        </w:rPr>
        <w:t>204–207</w:t>
      </w:r>
    </w:p>
    <w:p w14:paraId="032D1E4C" w14:textId="77777777" w:rsidR="00AE0598" w:rsidRDefault="00AE0598">
      <w:pPr>
        <w:pStyle w:val="Corpodetexto"/>
        <w:spacing w:before="3"/>
        <w:rPr>
          <w:sz w:val="16"/>
        </w:rPr>
      </w:pPr>
    </w:p>
    <w:p w14:paraId="74EFF417" w14:textId="77777777" w:rsidR="00AE0598" w:rsidRDefault="0069255A">
      <w:pPr>
        <w:ind w:left="110"/>
        <w:rPr>
          <w:sz w:val="17"/>
        </w:rPr>
      </w:pPr>
      <w:r>
        <w:rPr>
          <w:color w:val="231F20"/>
          <w:w w:val="95"/>
          <w:sz w:val="17"/>
        </w:rPr>
        <w:t>facility</w:t>
      </w:r>
      <w:r>
        <w:rPr>
          <w:color w:val="231F20"/>
          <w:spacing w:val="13"/>
          <w:sz w:val="17"/>
        </w:rPr>
        <w:t xml:space="preserve"> </w:t>
      </w:r>
      <w:r>
        <w:rPr>
          <w:color w:val="231F20"/>
          <w:w w:val="95"/>
          <w:sz w:val="17"/>
        </w:rPr>
        <w:t>design</w:t>
      </w:r>
      <w:r>
        <w:rPr>
          <w:color w:val="231F20"/>
          <w:spacing w:val="14"/>
          <w:sz w:val="17"/>
        </w:rPr>
        <w:t xml:space="preserve"> </w:t>
      </w:r>
      <w:r>
        <w:rPr>
          <w:color w:val="231F20"/>
          <w:spacing w:val="-5"/>
          <w:w w:val="95"/>
          <w:sz w:val="17"/>
        </w:rPr>
        <w:t>13</w:t>
      </w:r>
    </w:p>
    <w:p w14:paraId="34741630" w14:textId="77777777" w:rsidR="00AE0598" w:rsidRDefault="0069255A">
      <w:pPr>
        <w:spacing w:before="1"/>
        <w:ind w:left="110"/>
        <w:rPr>
          <w:sz w:val="17"/>
        </w:rPr>
      </w:pPr>
      <w:r>
        <w:rPr>
          <w:color w:val="231F20"/>
          <w:w w:val="95"/>
          <w:sz w:val="17"/>
        </w:rPr>
        <w:t>fan</w:t>
      </w:r>
      <w:r>
        <w:rPr>
          <w:color w:val="231F20"/>
          <w:spacing w:val="16"/>
          <w:sz w:val="17"/>
        </w:rPr>
        <w:t xml:space="preserve"> </w:t>
      </w:r>
      <w:r>
        <w:rPr>
          <w:color w:val="231F20"/>
          <w:w w:val="95"/>
          <w:sz w:val="17"/>
        </w:rPr>
        <w:t>identification</w:t>
      </w:r>
      <w:r>
        <w:rPr>
          <w:color w:val="231F20"/>
          <w:spacing w:val="17"/>
          <w:sz w:val="17"/>
        </w:rPr>
        <w:t xml:space="preserve"> </w:t>
      </w:r>
      <w:r>
        <w:rPr>
          <w:color w:val="231F20"/>
          <w:spacing w:val="-5"/>
          <w:w w:val="95"/>
          <w:sz w:val="17"/>
        </w:rPr>
        <w:t>44</w:t>
      </w:r>
    </w:p>
    <w:p w14:paraId="6483F558" w14:textId="77777777" w:rsidR="00AE0598" w:rsidRDefault="0069255A">
      <w:pPr>
        <w:ind w:left="110"/>
        <w:rPr>
          <w:sz w:val="17"/>
        </w:rPr>
      </w:pPr>
      <w:r>
        <w:rPr>
          <w:color w:val="231F20"/>
          <w:w w:val="95"/>
          <w:sz w:val="17"/>
        </w:rPr>
        <w:t>fandom</w:t>
      </w:r>
      <w:r>
        <w:rPr>
          <w:color w:val="231F20"/>
          <w:spacing w:val="-3"/>
          <w:w w:val="95"/>
          <w:sz w:val="17"/>
        </w:rPr>
        <w:t xml:space="preserve"> </w:t>
      </w:r>
      <w:r>
        <w:rPr>
          <w:color w:val="231F20"/>
          <w:w w:val="95"/>
          <w:sz w:val="17"/>
        </w:rPr>
        <w:t>53,</w:t>
      </w:r>
      <w:r>
        <w:rPr>
          <w:color w:val="231F20"/>
          <w:spacing w:val="-3"/>
          <w:w w:val="95"/>
          <w:sz w:val="17"/>
        </w:rPr>
        <w:t xml:space="preserve"> </w:t>
      </w:r>
      <w:r>
        <w:rPr>
          <w:color w:val="231F20"/>
          <w:w w:val="95"/>
          <w:sz w:val="17"/>
        </w:rPr>
        <w:t>74,</w:t>
      </w:r>
      <w:r>
        <w:rPr>
          <w:color w:val="231F20"/>
          <w:spacing w:val="-2"/>
          <w:w w:val="95"/>
          <w:sz w:val="17"/>
        </w:rPr>
        <w:t xml:space="preserve"> </w:t>
      </w:r>
      <w:r>
        <w:rPr>
          <w:color w:val="231F20"/>
          <w:w w:val="95"/>
          <w:sz w:val="17"/>
        </w:rPr>
        <w:t>116–118,</w:t>
      </w:r>
      <w:r>
        <w:rPr>
          <w:color w:val="231F20"/>
          <w:spacing w:val="-3"/>
          <w:w w:val="95"/>
          <w:sz w:val="17"/>
        </w:rPr>
        <w:t xml:space="preserve"> </w:t>
      </w:r>
      <w:r>
        <w:rPr>
          <w:color w:val="231F20"/>
          <w:w w:val="95"/>
          <w:sz w:val="17"/>
        </w:rPr>
        <w:t>127,</w:t>
      </w:r>
      <w:r>
        <w:rPr>
          <w:color w:val="231F20"/>
          <w:spacing w:val="-3"/>
          <w:w w:val="95"/>
          <w:sz w:val="17"/>
        </w:rPr>
        <w:t xml:space="preserve"> </w:t>
      </w:r>
      <w:r>
        <w:rPr>
          <w:color w:val="231F20"/>
          <w:spacing w:val="-2"/>
          <w:w w:val="95"/>
          <w:sz w:val="17"/>
        </w:rPr>
        <w:t>156–165</w:t>
      </w:r>
    </w:p>
    <w:p w14:paraId="35681CDE" w14:textId="77777777" w:rsidR="00AE0598" w:rsidRDefault="0069255A">
      <w:pPr>
        <w:spacing w:before="1"/>
        <w:ind w:left="110"/>
        <w:rPr>
          <w:sz w:val="17"/>
        </w:rPr>
      </w:pPr>
      <w:r>
        <w:rPr>
          <w:color w:val="231F20"/>
          <w:w w:val="95"/>
          <w:sz w:val="17"/>
        </w:rPr>
        <w:t>fantasy</w:t>
      </w:r>
      <w:r>
        <w:rPr>
          <w:color w:val="231F20"/>
          <w:spacing w:val="6"/>
          <w:sz w:val="17"/>
        </w:rPr>
        <w:t xml:space="preserve"> </w:t>
      </w:r>
      <w:r>
        <w:rPr>
          <w:color w:val="231F20"/>
          <w:w w:val="95"/>
          <w:sz w:val="17"/>
        </w:rPr>
        <w:t>sport</w:t>
      </w:r>
      <w:r>
        <w:rPr>
          <w:color w:val="231F20"/>
          <w:spacing w:val="7"/>
          <w:sz w:val="17"/>
        </w:rPr>
        <w:t xml:space="preserve"> </w:t>
      </w:r>
      <w:r>
        <w:rPr>
          <w:color w:val="231F20"/>
          <w:w w:val="95"/>
          <w:sz w:val="17"/>
        </w:rPr>
        <w:t>72,</w:t>
      </w:r>
      <w:r>
        <w:rPr>
          <w:color w:val="231F20"/>
          <w:spacing w:val="6"/>
          <w:sz w:val="17"/>
        </w:rPr>
        <w:t xml:space="preserve"> </w:t>
      </w:r>
      <w:r>
        <w:rPr>
          <w:color w:val="231F20"/>
          <w:w w:val="95"/>
          <w:sz w:val="17"/>
        </w:rPr>
        <w:t>199,</w:t>
      </w:r>
      <w:r>
        <w:rPr>
          <w:color w:val="231F20"/>
          <w:spacing w:val="7"/>
          <w:sz w:val="17"/>
        </w:rPr>
        <w:t xml:space="preserve"> </w:t>
      </w:r>
      <w:r>
        <w:rPr>
          <w:color w:val="231F20"/>
          <w:w w:val="95"/>
          <w:sz w:val="17"/>
        </w:rPr>
        <w:t>212,</w:t>
      </w:r>
      <w:r>
        <w:rPr>
          <w:color w:val="231F20"/>
          <w:spacing w:val="6"/>
          <w:sz w:val="17"/>
        </w:rPr>
        <w:t xml:space="preserve"> </w:t>
      </w:r>
      <w:r>
        <w:rPr>
          <w:color w:val="231F20"/>
          <w:spacing w:val="-5"/>
          <w:w w:val="95"/>
          <w:sz w:val="17"/>
        </w:rPr>
        <w:t>220</w:t>
      </w:r>
    </w:p>
    <w:p w14:paraId="762839B3" w14:textId="77777777" w:rsidR="00AE0598" w:rsidRDefault="0069255A">
      <w:pPr>
        <w:spacing w:before="1"/>
        <w:ind w:left="110"/>
        <w:rPr>
          <w:sz w:val="17"/>
        </w:rPr>
      </w:pPr>
      <w:r>
        <w:rPr>
          <w:color w:val="231F20"/>
          <w:w w:val="95"/>
          <w:sz w:val="17"/>
        </w:rPr>
        <w:t>festival</w:t>
      </w:r>
      <w:r>
        <w:rPr>
          <w:color w:val="231F20"/>
          <w:spacing w:val="-2"/>
          <w:sz w:val="17"/>
        </w:rPr>
        <w:t xml:space="preserve"> </w:t>
      </w:r>
      <w:r>
        <w:rPr>
          <w:color w:val="231F20"/>
          <w:w w:val="95"/>
          <w:sz w:val="17"/>
        </w:rPr>
        <w:t>3,</w:t>
      </w:r>
      <w:r>
        <w:rPr>
          <w:color w:val="231F20"/>
          <w:spacing w:val="-2"/>
          <w:sz w:val="17"/>
        </w:rPr>
        <w:t xml:space="preserve"> </w:t>
      </w:r>
      <w:r>
        <w:rPr>
          <w:color w:val="231F20"/>
          <w:w w:val="95"/>
          <w:sz w:val="17"/>
        </w:rPr>
        <w:t>29,</w:t>
      </w:r>
      <w:r>
        <w:rPr>
          <w:color w:val="231F20"/>
          <w:spacing w:val="-1"/>
          <w:sz w:val="17"/>
        </w:rPr>
        <w:t xml:space="preserve"> </w:t>
      </w:r>
      <w:r>
        <w:rPr>
          <w:color w:val="231F20"/>
          <w:w w:val="95"/>
          <w:sz w:val="17"/>
        </w:rPr>
        <w:t>45,</w:t>
      </w:r>
      <w:r>
        <w:rPr>
          <w:color w:val="231F20"/>
          <w:spacing w:val="-2"/>
          <w:sz w:val="17"/>
        </w:rPr>
        <w:t xml:space="preserve"> </w:t>
      </w:r>
      <w:r>
        <w:rPr>
          <w:color w:val="231F20"/>
          <w:w w:val="95"/>
          <w:sz w:val="17"/>
        </w:rPr>
        <w:t>49,</w:t>
      </w:r>
      <w:r>
        <w:rPr>
          <w:color w:val="231F20"/>
          <w:spacing w:val="-2"/>
          <w:sz w:val="17"/>
        </w:rPr>
        <w:t xml:space="preserve"> </w:t>
      </w:r>
      <w:r>
        <w:rPr>
          <w:color w:val="231F20"/>
          <w:w w:val="95"/>
          <w:sz w:val="17"/>
        </w:rPr>
        <w:t>97,</w:t>
      </w:r>
      <w:r>
        <w:rPr>
          <w:color w:val="231F20"/>
          <w:spacing w:val="-1"/>
          <w:sz w:val="17"/>
        </w:rPr>
        <w:t xml:space="preserve"> </w:t>
      </w:r>
      <w:r>
        <w:rPr>
          <w:color w:val="231F20"/>
          <w:w w:val="95"/>
          <w:sz w:val="17"/>
        </w:rPr>
        <w:t>140,</w:t>
      </w:r>
      <w:r>
        <w:rPr>
          <w:color w:val="231F20"/>
          <w:spacing w:val="-2"/>
          <w:sz w:val="17"/>
        </w:rPr>
        <w:t xml:space="preserve"> </w:t>
      </w:r>
      <w:r>
        <w:rPr>
          <w:color w:val="231F20"/>
          <w:w w:val="95"/>
          <w:sz w:val="17"/>
        </w:rPr>
        <w:t>147,</w:t>
      </w:r>
      <w:r>
        <w:rPr>
          <w:color w:val="231F20"/>
          <w:spacing w:val="-2"/>
          <w:sz w:val="17"/>
        </w:rPr>
        <w:t xml:space="preserve"> </w:t>
      </w:r>
      <w:r>
        <w:rPr>
          <w:color w:val="231F20"/>
          <w:spacing w:val="-2"/>
          <w:w w:val="95"/>
          <w:sz w:val="17"/>
        </w:rPr>
        <w:t>191–193,</w:t>
      </w:r>
    </w:p>
    <w:p w14:paraId="003A8C0E" w14:textId="77777777" w:rsidR="00AE0598" w:rsidRDefault="0069255A">
      <w:pPr>
        <w:ind w:left="470"/>
        <w:rPr>
          <w:sz w:val="17"/>
        </w:rPr>
      </w:pPr>
      <w:r>
        <w:rPr>
          <w:color w:val="231F20"/>
          <w:spacing w:val="-5"/>
          <w:w w:val="95"/>
          <w:sz w:val="17"/>
        </w:rPr>
        <w:t>230</w:t>
      </w:r>
    </w:p>
    <w:p w14:paraId="611BAAA8" w14:textId="77777777" w:rsidR="00AE0598" w:rsidRDefault="0069255A">
      <w:pPr>
        <w:spacing w:before="1"/>
        <w:ind w:right="265"/>
        <w:jc w:val="right"/>
        <w:rPr>
          <w:sz w:val="17"/>
        </w:rPr>
      </w:pPr>
      <w:r>
        <w:rPr>
          <w:color w:val="231F20"/>
          <w:sz w:val="17"/>
        </w:rPr>
        <w:t>FIFA</w:t>
      </w:r>
      <w:r>
        <w:rPr>
          <w:color w:val="231F20"/>
          <w:spacing w:val="-3"/>
          <w:sz w:val="17"/>
        </w:rPr>
        <w:t xml:space="preserve"> </w:t>
      </w:r>
      <w:r>
        <w:rPr>
          <w:color w:val="231F20"/>
          <w:sz w:val="17"/>
        </w:rPr>
        <w:t>World</w:t>
      </w:r>
      <w:r>
        <w:rPr>
          <w:color w:val="231F20"/>
          <w:spacing w:val="-2"/>
          <w:sz w:val="17"/>
        </w:rPr>
        <w:t xml:space="preserve"> </w:t>
      </w:r>
      <w:r>
        <w:rPr>
          <w:color w:val="231F20"/>
          <w:sz w:val="17"/>
        </w:rPr>
        <w:t>Cup</w:t>
      </w:r>
      <w:r>
        <w:rPr>
          <w:color w:val="231F20"/>
          <w:spacing w:val="-3"/>
          <w:sz w:val="17"/>
        </w:rPr>
        <w:t xml:space="preserve"> </w:t>
      </w:r>
      <w:r>
        <w:rPr>
          <w:color w:val="231F20"/>
          <w:sz w:val="17"/>
        </w:rPr>
        <w:t>11,</w:t>
      </w:r>
      <w:r>
        <w:rPr>
          <w:color w:val="231F20"/>
          <w:spacing w:val="-2"/>
          <w:sz w:val="17"/>
        </w:rPr>
        <w:t xml:space="preserve"> </w:t>
      </w:r>
      <w:r>
        <w:rPr>
          <w:color w:val="231F20"/>
          <w:sz w:val="17"/>
        </w:rPr>
        <w:t>30,</w:t>
      </w:r>
      <w:r>
        <w:rPr>
          <w:color w:val="231F20"/>
          <w:spacing w:val="-2"/>
          <w:sz w:val="17"/>
        </w:rPr>
        <w:t xml:space="preserve"> </w:t>
      </w:r>
      <w:r>
        <w:rPr>
          <w:color w:val="231F20"/>
          <w:sz w:val="17"/>
        </w:rPr>
        <w:t>32,</w:t>
      </w:r>
      <w:r>
        <w:rPr>
          <w:color w:val="231F20"/>
          <w:spacing w:val="-3"/>
          <w:sz w:val="17"/>
        </w:rPr>
        <w:t xml:space="preserve"> </w:t>
      </w:r>
      <w:r>
        <w:rPr>
          <w:color w:val="231F20"/>
          <w:sz w:val="17"/>
        </w:rPr>
        <w:t>46,</w:t>
      </w:r>
      <w:r>
        <w:rPr>
          <w:color w:val="231F20"/>
          <w:spacing w:val="-2"/>
          <w:sz w:val="17"/>
        </w:rPr>
        <w:t xml:space="preserve"> </w:t>
      </w:r>
      <w:r>
        <w:rPr>
          <w:color w:val="231F20"/>
          <w:sz w:val="17"/>
        </w:rPr>
        <w:t>47,</w:t>
      </w:r>
      <w:r>
        <w:rPr>
          <w:color w:val="231F20"/>
          <w:spacing w:val="-2"/>
          <w:sz w:val="17"/>
        </w:rPr>
        <w:t xml:space="preserve"> 76–78,</w:t>
      </w:r>
    </w:p>
    <w:p w14:paraId="7D6EEA5C" w14:textId="77777777" w:rsidR="00AE0598" w:rsidRDefault="0069255A">
      <w:pPr>
        <w:spacing w:before="1"/>
        <w:ind w:right="333"/>
        <w:jc w:val="right"/>
        <w:rPr>
          <w:sz w:val="17"/>
        </w:rPr>
      </w:pPr>
      <w:r>
        <w:rPr>
          <w:color w:val="231F20"/>
          <w:w w:val="95"/>
          <w:sz w:val="17"/>
        </w:rPr>
        <w:t>80,</w:t>
      </w:r>
      <w:r>
        <w:rPr>
          <w:color w:val="231F20"/>
          <w:spacing w:val="-2"/>
          <w:sz w:val="17"/>
        </w:rPr>
        <w:t xml:space="preserve"> </w:t>
      </w:r>
      <w:r>
        <w:rPr>
          <w:color w:val="231F20"/>
          <w:w w:val="95"/>
          <w:sz w:val="17"/>
        </w:rPr>
        <w:t>123,</w:t>
      </w:r>
      <w:r>
        <w:rPr>
          <w:color w:val="231F20"/>
          <w:spacing w:val="-1"/>
          <w:sz w:val="17"/>
        </w:rPr>
        <w:t xml:space="preserve"> </w:t>
      </w:r>
      <w:r>
        <w:rPr>
          <w:color w:val="231F20"/>
          <w:w w:val="95"/>
          <w:sz w:val="17"/>
        </w:rPr>
        <w:t>129,</w:t>
      </w:r>
      <w:r>
        <w:rPr>
          <w:color w:val="231F20"/>
          <w:spacing w:val="-2"/>
          <w:sz w:val="17"/>
        </w:rPr>
        <w:t xml:space="preserve"> </w:t>
      </w:r>
      <w:r>
        <w:rPr>
          <w:color w:val="231F20"/>
          <w:w w:val="95"/>
          <w:sz w:val="17"/>
        </w:rPr>
        <w:t>165,</w:t>
      </w:r>
      <w:r>
        <w:rPr>
          <w:color w:val="231F20"/>
          <w:spacing w:val="-1"/>
          <w:sz w:val="17"/>
        </w:rPr>
        <w:t xml:space="preserve"> </w:t>
      </w:r>
      <w:r>
        <w:rPr>
          <w:color w:val="231F20"/>
          <w:w w:val="95"/>
          <w:sz w:val="17"/>
        </w:rPr>
        <w:t>176,</w:t>
      </w:r>
      <w:r>
        <w:rPr>
          <w:color w:val="231F20"/>
          <w:spacing w:val="-2"/>
          <w:sz w:val="17"/>
        </w:rPr>
        <w:t xml:space="preserve"> </w:t>
      </w:r>
      <w:r>
        <w:rPr>
          <w:color w:val="231F20"/>
          <w:w w:val="95"/>
          <w:sz w:val="17"/>
        </w:rPr>
        <w:t>217,</w:t>
      </w:r>
      <w:r>
        <w:rPr>
          <w:color w:val="231F20"/>
          <w:spacing w:val="-1"/>
          <w:sz w:val="17"/>
        </w:rPr>
        <w:t xml:space="preserve"> </w:t>
      </w:r>
      <w:r>
        <w:rPr>
          <w:color w:val="231F20"/>
          <w:w w:val="95"/>
          <w:sz w:val="17"/>
        </w:rPr>
        <w:t>222,</w:t>
      </w:r>
      <w:r>
        <w:rPr>
          <w:color w:val="231F20"/>
          <w:spacing w:val="-2"/>
          <w:sz w:val="17"/>
        </w:rPr>
        <w:t xml:space="preserve"> </w:t>
      </w:r>
      <w:r>
        <w:rPr>
          <w:color w:val="231F20"/>
          <w:spacing w:val="-5"/>
          <w:w w:val="95"/>
          <w:sz w:val="17"/>
        </w:rPr>
        <w:t>231</w:t>
      </w:r>
    </w:p>
    <w:p w14:paraId="2321D943" w14:textId="77777777" w:rsidR="00AE0598" w:rsidRDefault="00AE0598">
      <w:pPr>
        <w:jc w:val="right"/>
        <w:rPr>
          <w:sz w:val="17"/>
        </w:rPr>
        <w:sectPr w:rsidR="00AE0598">
          <w:type w:val="continuous"/>
          <w:pgSz w:w="8850" w:h="13270"/>
          <w:pgMar w:top="1080" w:right="1060" w:bottom="280" w:left="1080" w:header="720" w:footer="720" w:gutter="0"/>
          <w:cols w:num="2" w:space="720" w:equalWidth="0">
            <w:col w:w="3223" w:space="128"/>
            <w:col w:w="3359"/>
          </w:cols>
        </w:sectPr>
      </w:pPr>
    </w:p>
    <w:p w14:paraId="6498B355" w14:textId="77777777" w:rsidR="00AE0598" w:rsidRDefault="0069255A">
      <w:pPr>
        <w:spacing w:before="87"/>
        <w:ind w:left="110" w:right="128"/>
        <w:jc w:val="right"/>
        <w:rPr>
          <w:rFonts w:ascii="Trebuchet MS"/>
          <w:sz w:val="14"/>
        </w:rPr>
      </w:pPr>
      <w:r>
        <w:rPr>
          <w:rFonts w:ascii="Trebuchet MS"/>
          <w:color w:val="231F20"/>
          <w:w w:val="105"/>
          <w:sz w:val="14"/>
        </w:rPr>
        <w:lastRenderedPageBreak/>
        <w:t>Index</w:t>
      </w:r>
      <w:r>
        <w:rPr>
          <w:rFonts w:ascii="Trebuchet MS"/>
          <w:color w:val="231F20"/>
          <w:spacing w:val="75"/>
          <w:w w:val="150"/>
          <w:sz w:val="14"/>
        </w:rPr>
        <w:t xml:space="preserve"> </w:t>
      </w:r>
      <w:r>
        <w:rPr>
          <w:rFonts w:ascii="Trebuchet MS"/>
          <w:color w:val="231F20"/>
          <w:spacing w:val="-5"/>
          <w:w w:val="105"/>
          <w:sz w:val="14"/>
        </w:rPr>
        <w:t>283</w:t>
      </w:r>
    </w:p>
    <w:p w14:paraId="5124B578" w14:textId="77777777" w:rsidR="00AE0598" w:rsidRDefault="00AE0598">
      <w:pPr>
        <w:pStyle w:val="Corpodetexto"/>
        <w:rPr>
          <w:rFonts w:ascii="Trebuchet MS"/>
          <w:sz w:val="18"/>
        </w:rPr>
      </w:pPr>
    </w:p>
    <w:p w14:paraId="0852A486" w14:textId="77777777" w:rsidR="00AE0598" w:rsidRDefault="00AE0598">
      <w:pPr>
        <w:rPr>
          <w:rFonts w:ascii="Trebuchet MS"/>
          <w:sz w:val="18"/>
        </w:rPr>
        <w:sectPr w:rsidR="00AE0598">
          <w:pgSz w:w="8850" w:h="13270"/>
          <w:pgMar w:top="720" w:right="1060" w:bottom="280" w:left="1080" w:header="720" w:footer="720" w:gutter="0"/>
          <w:cols w:space="720"/>
        </w:sectPr>
      </w:pPr>
    </w:p>
    <w:p w14:paraId="657E59AE" w14:textId="77777777" w:rsidR="00AE0598" w:rsidRDefault="0069255A">
      <w:pPr>
        <w:spacing w:before="98"/>
        <w:ind w:left="110"/>
        <w:rPr>
          <w:sz w:val="17"/>
        </w:rPr>
      </w:pPr>
      <w:r>
        <w:rPr>
          <w:color w:val="231F20"/>
          <w:sz w:val="17"/>
        </w:rPr>
        <w:t>Fiji</w:t>
      </w:r>
      <w:r>
        <w:rPr>
          <w:color w:val="231F20"/>
          <w:spacing w:val="-6"/>
          <w:sz w:val="17"/>
        </w:rPr>
        <w:t xml:space="preserve"> </w:t>
      </w:r>
      <w:r>
        <w:rPr>
          <w:color w:val="231F20"/>
          <w:spacing w:val="-5"/>
          <w:sz w:val="17"/>
        </w:rPr>
        <w:t>11</w:t>
      </w:r>
    </w:p>
    <w:p w14:paraId="3B436079" w14:textId="77777777" w:rsidR="00AE0598" w:rsidRDefault="0069255A">
      <w:pPr>
        <w:ind w:left="110"/>
        <w:rPr>
          <w:sz w:val="17"/>
        </w:rPr>
      </w:pPr>
      <w:r>
        <w:rPr>
          <w:color w:val="231F20"/>
          <w:w w:val="95"/>
          <w:sz w:val="17"/>
        </w:rPr>
        <w:t>football</w:t>
      </w:r>
      <w:r>
        <w:rPr>
          <w:color w:val="231F20"/>
          <w:spacing w:val="5"/>
          <w:sz w:val="17"/>
        </w:rPr>
        <w:t xml:space="preserve"> </w:t>
      </w:r>
      <w:r>
        <w:rPr>
          <w:color w:val="231F20"/>
          <w:w w:val="95"/>
          <w:sz w:val="17"/>
        </w:rPr>
        <w:t>5,</w:t>
      </w:r>
      <w:r>
        <w:rPr>
          <w:color w:val="231F20"/>
          <w:spacing w:val="5"/>
          <w:sz w:val="17"/>
        </w:rPr>
        <w:t xml:space="preserve"> </w:t>
      </w:r>
      <w:r>
        <w:rPr>
          <w:color w:val="231F20"/>
          <w:w w:val="95"/>
          <w:sz w:val="17"/>
        </w:rPr>
        <w:t>11,</w:t>
      </w:r>
      <w:r>
        <w:rPr>
          <w:color w:val="231F20"/>
          <w:spacing w:val="5"/>
          <w:sz w:val="17"/>
        </w:rPr>
        <w:t xml:space="preserve"> </w:t>
      </w:r>
      <w:r>
        <w:rPr>
          <w:color w:val="231F20"/>
          <w:w w:val="95"/>
          <w:sz w:val="17"/>
        </w:rPr>
        <w:t>34,</w:t>
      </w:r>
      <w:r>
        <w:rPr>
          <w:color w:val="231F20"/>
          <w:spacing w:val="5"/>
          <w:sz w:val="17"/>
        </w:rPr>
        <w:t xml:space="preserve"> </w:t>
      </w:r>
      <w:r>
        <w:rPr>
          <w:color w:val="231F20"/>
          <w:w w:val="95"/>
          <w:sz w:val="17"/>
        </w:rPr>
        <w:t>47,</w:t>
      </w:r>
      <w:r>
        <w:rPr>
          <w:color w:val="231F20"/>
          <w:spacing w:val="6"/>
          <w:sz w:val="17"/>
        </w:rPr>
        <w:t xml:space="preserve"> </w:t>
      </w:r>
      <w:r>
        <w:rPr>
          <w:color w:val="231F20"/>
          <w:w w:val="95"/>
          <w:sz w:val="17"/>
        </w:rPr>
        <w:t>52–54,</w:t>
      </w:r>
      <w:r>
        <w:rPr>
          <w:color w:val="231F20"/>
          <w:spacing w:val="5"/>
          <w:sz w:val="17"/>
        </w:rPr>
        <w:t xml:space="preserve"> </w:t>
      </w:r>
      <w:r>
        <w:rPr>
          <w:color w:val="231F20"/>
          <w:w w:val="95"/>
          <w:sz w:val="17"/>
        </w:rPr>
        <w:t>96–100,</w:t>
      </w:r>
      <w:r>
        <w:rPr>
          <w:color w:val="231F20"/>
          <w:spacing w:val="5"/>
          <w:sz w:val="17"/>
        </w:rPr>
        <w:t xml:space="preserve"> </w:t>
      </w:r>
      <w:r>
        <w:rPr>
          <w:color w:val="231F20"/>
          <w:spacing w:val="-4"/>
          <w:w w:val="95"/>
          <w:sz w:val="17"/>
        </w:rPr>
        <w:t>105,</w:t>
      </w:r>
    </w:p>
    <w:p w14:paraId="22D8C9E4" w14:textId="77777777" w:rsidR="00AE0598" w:rsidRDefault="0069255A">
      <w:pPr>
        <w:spacing w:before="1"/>
        <w:ind w:left="470"/>
        <w:rPr>
          <w:sz w:val="17"/>
        </w:rPr>
      </w:pPr>
      <w:r>
        <w:rPr>
          <w:color w:val="231F20"/>
          <w:w w:val="90"/>
          <w:sz w:val="17"/>
        </w:rPr>
        <w:t>112,</w:t>
      </w:r>
      <w:r>
        <w:rPr>
          <w:color w:val="231F20"/>
          <w:spacing w:val="13"/>
          <w:sz w:val="17"/>
        </w:rPr>
        <w:t xml:space="preserve"> </w:t>
      </w:r>
      <w:r>
        <w:rPr>
          <w:color w:val="231F20"/>
          <w:w w:val="90"/>
          <w:sz w:val="17"/>
        </w:rPr>
        <w:t>115–117,</w:t>
      </w:r>
      <w:r>
        <w:rPr>
          <w:color w:val="231F20"/>
          <w:spacing w:val="13"/>
          <w:sz w:val="17"/>
        </w:rPr>
        <w:t xml:space="preserve"> </w:t>
      </w:r>
      <w:r>
        <w:rPr>
          <w:color w:val="231F20"/>
          <w:w w:val="90"/>
          <w:sz w:val="17"/>
        </w:rPr>
        <w:t>122,</w:t>
      </w:r>
      <w:r>
        <w:rPr>
          <w:color w:val="231F20"/>
          <w:spacing w:val="14"/>
          <w:sz w:val="17"/>
        </w:rPr>
        <w:t xml:space="preserve"> </w:t>
      </w:r>
      <w:r>
        <w:rPr>
          <w:color w:val="231F20"/>
          <w:w w:val="90"/>
          <w:sz w:val="17"/>
        </w:rPr>
        <w:t>126–127,</w:t>
      </w:r>
      <w:r>
        <w:rPr>
          <w:color w:val="231F20"/>
          <w:spacing w:val="13"/>
          <w:sz w:val="17"/>
        </w:rPr>
        <w:t xml:space="preserve"> </w:t>
      </w:r>
      <w:r>
        <w:rPr>
          <w:color w:val="231F20"/>
          <w:w w:val="90"/>
          <w:sz w:val="17"/>
        </w:rPr>
        <w:t>165,</w:t>
      </w:r>
      <w:r>
        <w:rPr>
          <w:color w:val="231F20"/>
          <w:spacing w:val="14"/>
          <w:sz w:val="17"/>
        </w:rPr>
        <w:t xml:space="preserve"> </w:t>
      </w:r>
      <w:r>
        <w:rPr>
          <w:color w:val="231F20"/>
          <w:spacing w:val="-4"/>
          <w:w w:val="90"/>
          <w:sz w:val="17"/>
        </w:rPr>
        <w:t>181,</w:t>
      </w:r>
    </w:p>
    <w:p w14:paraId="71C5F1B0" w14:textId="77777777" w:rsidR="00AE0598" w:rsidRDefault="0069255A">
      <w:pPr>
        <w:spacing w:before="1"/>
        <w:ind w:left="470"/>
        <w:rPr>
          <w:sz w:val="17"/>
        </w:rPr>
      </w:pPr>
      <w:r>
        <w:rPr>
          <w:color w:val="231F20"/>
          <w:w w:val="90"/>
          <w:sz w:val="17"/>
        </w:rPr>
        <w:t>210–221,</w:t>
      </w:r>
      <w:r>
        <w:rPr>
          <w:color w:val="231F20"/>
          <w:spacing w:val="23"/>
          <w:sz w:val="17"/>
        </w:rPr>
        <w:t xml:space="preserve"> </w:t>
      </w:r>
      <w:r>
        <w:rPr>
          <w:color w:val="231F20"/>
          <w:spacing w:val="-2"/>
          <w:sz w:val="17"/>
        </w:rPr>
        <w:t>231–232</w:t>
      </w:r>
    </w:p>
    <w:p w14:paraId="51D5E02D" w14:textId="77777777" w:rsidR="00AE0598" w:rsidRDefault="0069255A">
      <w:pPr>
        <w:ind w:left="110"/>
        <w:rPr>
          <w:sz w:val="17"/>
        </w:rPr>
      </w:pPr>
      <w:r>
        <w:rPr>
          <w:color w:val="231F20"/>
          <w:sz w:val="17"/>
        </w:rPr>
        <w:t>Football</w:t>
      </w:r>
      <w:r>
        <w:rPr>
          <w:color w:val="231F20"/>
          <w:spacing w:val="1"/>
          <w:sz w:val="17"/>
        </w:rPr>
        <w:t xml:space="preserve"> </w:t>
      </w:r>
      <w:r>
        <w:rPr>
          <w:color w:val="231F20"/>
          <w:sz w:val="17"/>
        </w:rPr>
        <w:t>World</w:t>
      </w:r>
      <w:r>
        <w:rPr>
          <w:color w:val="231F20"/>
          <w:spacing w:val="2"/>
          <w:sz w:val="17"/>
        </w:rPr>
        <w:t xml:space="preserve"> </w:t>
      </w:r>
      <w:r>
        <w:rPr>
          <w:color w:val="231F20"/>
          <w:sz w:val="17"/>
        </w:rPr>
        <w:t>Cup</w:t>
      </w:r>
      <w:r>
        <w:rPr>
          <w:color w:val="231F20"/>
          <w:spacing w:val="2"/>
          <w:sz w:val="17"/>
        </w:rPr>
        <w:t xml:space="preserve"> </w:t>
      </w:r>
      <w:r>
        <w:rPr>
          <w:color w:val="231F20"/>
          <w:sz w:val="17"/>
        </w:rPr>
        <w:t>5,</w:t>
      </w:r>
      <w:r>
        <w:rPr>
          <w:color w:val="231F20"/>
          <w:spacing w:val="2"/>
          <w:sz w:val="17"/>
        </w:rPr>
        <w:t xml:space="preserve"> </w:t>
      </w:r>
      <w:r>
        <w:rPr>
          <w:color w:val="231F20"/>
          <w:spacing w:val="-5"/>
          <w:sz w:val="17"/>
        </w:rPr>
        <w:t>97</w:t>
      </w:r>
    </w:p>
    <w:p w14:paraId="15060647" w14:textId="77777777" w:rsidR="00AE0598" w:rsidRDefault="0069255A">
      <w:pPr>
        <w:spacing w:before="1"/>
        <w:ind w:left="110" w:right="369"/>
        <w:rPr>
          <w:sz w:val="17"/>
        </w:rPr>
      </w:pPr>
      <w:r>
        <w:rPr>
          <w:color w:val="231F20"/>
          <w:sz w:val="17"/>
        </w:rPr>
        <w:t>Formula</w:t>
      </w:r>
      <w:r>
        <w:rPr>
          <w:color w:val="231F20"/>
          <w:spacing w:val="-4"/>
          <w:sz w:val="17"/>
        </w:rPr>
        <w:t xml:space="preserve"> </w:t>
      </w:r>
      <w:r>
        <w:rPr>
          <w:color w:val="231F20"/>
          <w:sz w:val="17"/>
        </w:rPr>
        <w:t>One</w:t>
      </w:r>
      <w:r>
        <w:rPr>
          <w:color w:val="231F20"/>
          <w:spacing w:val="-4"/>
          <w:sz w:val="17"/>
        </w:rPr>
        <w:t xml:space="preserve"> </w:t>
      </w:r>
      <w:r>
        <w:rPr>
          <w:color w:val="231F20"/>
          <w:sz w:val="17"/>
        </w:rPr>
        <w:t>Grand</w:t>
      </w:r>
      <w:r>
        <w:rPr>
          <w:color w:val="231F20"/>
          <w:spacing w:val="-4"/>
          <w:sz w:val="17"/>
        </w:rPr>
        <w:t xml:space="preserve"> </w:t>
      </w:r>
      <w:r>
        <w:rPr>
          <w:color w:val="231F20"/>
          <w:sz w:val="17"/>
        </w:rPr>
        <w:t>Prix</w:t>
      </w:r>
      <w:r>
        <w:rPr>
          <w:color w:val="231F20"/>
          <w:spacing w:val="-4"/>
          <w:sz w:val="17"/>
        </w:rPr>
        <w:t xml:space="preserve"> </w:t>
      </w:r>
      <w:r>
        <w:rPr>
          <w:color w:val="231F20"/>
          <w:sz w:val="17"/>
        </w:rPr>
        <w:t>46,</w:t>
      </w:r>
      <w:r>
        <w:rPr>
          <w:color w:val="231F20"/>
          <w:spacing w:val="-4"/>
          <w:sz w:val="17"/>
        </w:rPr>
        <w:t xml:space="preserve"> </w:t>
      </w:r>
      <w:r>
        <w:rPr>
          <w:color w:val="231F20"/>
          <w:sz w:val="17"/>
        </w:rPr>
        <w:t>97</w:t>
      </w:r>
      <w:r>
        <w:rPr>
          <w:color w:val="231F20"/>
          <w:spacing w:val="40"/>
          <w:sz w:val="17"/>
        </w:rPr>
        <w:t xml:space="preserve"> </w:t>
      </w:r>
      <w:r>
        <w:rPr>
          <w:color w:val="231F20"/>
          <w:sz w:val="17"/>
        </w:rPr>
        <w:t>Forsyth Barr Stadium 1</w:t>
      </w:r>
    </w:p>
    <w:p w14:paraId="232B82CC" w14:textId="77777777" w:rsidR="00AE0598" w:rsidRDefault="0069255A">
      <w:pPr>
        <w:spacing w:before="1"/>
        <w:ind w:left="110"/>
        <w:rPr>
          <w:sz w:val="17"/>
        </w:rPr>
      </w:pPr>
      <w:r>
        <w:rPr>
          <w:color w:val="231F20"/>
          <w:w w:val="95"/>
          <w:sz w:val="17"/>
        </w:rPr>
        <w:t>fragmentation</w:t>
      </w:r>
      <w:r>
        <w:rPr>
          <w:color w:val="231F20"/>
          <w:spacing w:val="4"/>
          <w:sz w:val="17"/>
        </w:rPr>
        <w:t xml:space="preserve"> </w:t>
      </w:r>
      <w:r>
        <w:rPr>
          <w:color w:val="231F20"/>
          <w:w w:val="95"/>
          <w:sz w:val="17"/>
        </w:rPr>
        <w:t>63,</w:t>
      </w:r>
      <w:r>
        <w:rPr>
          <w:color w:val="231F20"/>
          <w:spacing w:val="4"/>
          <w:sz w:val="17"/>
        </w:rPr>
        <w:t xml:space="preserve"> </w:t>
      </w:r>
      <w:r>
        <w:rPr>
          <w:color w:val="231F20"/>
          <w:w w:val="95"/>
          <w:sz w:val="17"/>
        </w:rPr>
        <w:t>70,</w:t>
      </w:r>
      <w:r>
        <w:rPr>
          <w:color w:val="231F20"/>
          <w:spacing w:val="4"/>
          <w:sz w:val="17"/>
        </w:rPr>
        <w:t xml:space="preserve"> </w:t>
      </w:r>
      <w:r>
        <w:rPr>
          <w:color w:val="231F20"/>
          <w:w w:val="95"/>
          <w:sz w:val="17"/>
        </w:rPr>
        <w:t>79–85,</w:t>
      </w:r>
      <w:r>
        <w:rPr>
          <w:color w:val="231F20"/>
          <w:spacing w:val="4"/>
          <w:sz w:val="17"/>
        </w:rPr>
        <w:t xml:space="preserve"> </w:t>
      </w:r>
      <w:r>
        <w:rPr>
          <w:color w:val="231F20"/>
          <w:w w:val="95"/>
          <w:sz w:val="17"/>
        </w:rPr>
        <w:t>171,</w:t>
      </w:r>
      <w:r>
        <w:rPr>
          <w:color w:val="231F20"/>
          <w:spacing w:val="4"/>
          <w:sz w:val="17"/>
        </w:rPr>
        <w:t xml:space="preserve"> </w:t>
      </w:r>
      <w:r>
        <w:rPr>
          <w:color w:val="231F20"/>
          <w:w w:val="95"/>
          <w:sz w:val="17"/>
        </w:rPr>
        <w:t>219,</w:t>
      </w:r>
      <w:r>
        <w:rPr>
          <w:color w:val="231F20"/>
          <w:spacing w:val="4"/>
          <w:sz w:val="17"/>
        </w:rPr>
        <w:t xml:space="preserve"> </w:t>
      </w:r>
      <w:r>
        <w:rPr>
          <w:color w:val="231F20"/>
          <w:spacing w:val="-5"/>
          <w:w w:val="95"/>
          <w:sz w:val="17"/>
        </w:rPr>
        <w:t>231</w:t>
      </w:r>
    </w:p>
    <w:p w14:paraId="57459E01" w14:textId="77777777" w:rsidR="00AE0598" w:rsidRDefault="0069255A">
      <w:pPr>
        <w:spacing w:before="1"/>
        <w:ind w:left="110"/>
        <w:rPr>
          <w:sz w:val="17"/>
        </w:rPr>
      </w:pPr>
      <w:r>
        <w:rPr>
          <w:color w:val="231F20"/>
          <w:w w:val="95"/>
          <w:sz w:val="17"/>
        </w:rPr>
        <w:t>free</w:t>
      </w:r>
      <w:r>
        <w:rPr>
          <w:color w:val="231F20"/>
          <w:spacing w:val="1"/>
          <w:sz w:val="17"/>
        </w:rPr>
        <w:t xml:space="preserve"> </w:t>
      </w:r>
      <w:r>
        <w:rPr>
          <w:color w:val="231F20"/>
          <w:w w:val="95"/>
          <w:sz w:val="17"/>
        </w:rPr>
        <w:t>time</w:t>
      </w:r>
      <w:r>
        <w:rPr>
          <w:color w:val="231F20"/>
          <w:spacing w:val="1"/>
          <w:sz w:val="17"/>
        </w:rPr>
        <w:t xml:space="preserve"> </w:t>
      </w:r>
      <w:r>
        <w:rPr>
          <w:color w:val="231F20"/>
          <w:spacing w:val="-5"/>
          <w:w w:val="95"/>
          <w:sz w:val="17"/>
        </w:rPr>
        <w:t>208</w:t>
      </w:r>
    </w:p>
    <w:p w14:paraId="24CB7AA9" w14:textId="77777777" w:rsidR="00AE0598" w:rsidRDefault="0069255A">
      <w:pPr>
        <w:spacing w:before="1"/>
        <w:ind w:left="110"/>
        <w:rPr>
          <w:sz w:val="17"/>
        </w:rPr>
      </w:pPr>
      <w:r>
        <w:rPr>
          <w:color w:val="231F20"/>
          <w:w w:val="95"/>
          <w:sz w:val="17"/>
        </w:rPr>
        <w:t>free</w:t>
      </w:r>
      <w:r>
        <w:rPr>
          <w:color w:val="231F20"/>
          <w:spacing w:val="-5"/>
          <w:w w:val="95"/>
          <w:sz w:val="17"/>
        </w:rPr>
        <w:t xml:space="preserve"> </w:t>
      </w:r>
      <w:r>
        <w:rPr>
          <w:color w:val="231F20"/>
          <w:w w:val="95"/>
          <w:sz w:val="17"/>
        </w:rPr>
        <w:t>trade</w:t>
      </w:r>
      <w:r>
        <w:rPr>
          <w:color w:val="231F20"/>
          <w:spacing w:val="-5"/>
          <w:w w:val="95"/>
          <w:sz w:val="17"/>
        </w:rPr>
        <w:t xml:space="preserve"> </w:t>
      </w:r>
      <w:r>
        <w:rPr>
          <w:color w:val="231F20"/>
          <w:w w:val="95"/>
          <w:sz w:val="17"/>
        </w:rPr>
        <w:t>81,</w:t>
      </w:r>
      <w:r>
        <w:rPr>
          <w:color w:val="231F20"/>
          <w:spacing w:val="-5"/>
          <w:w w:val="95"/>
          <w:sz w:val="17"/>
        </w:rPr>
        <w:t xml:space="preserve"> </w:t>
      </w:r>
      <w:r>
        <w:rPr>
          <w:color w:val="231F20"/>
          <w:w w:val="95"/>
          <w:sz w:val="17"/>
        </w:rPr>
        <w:t>217,</w:t>
      </w:r>
      <w:r>
        <w:rPr>
          <w:color w:val="231F20"/>
          <w:spacing w:val="-5"/>
          <w:w w:val="95"/>
          <w:sz w:val="17"/>
        </w:rPr>
        <w:t xml:space="preserve"> 219</w:t>
      </w:r>
    </w:p>
    <w:p w14:paraId="2D2D6742" w14:textId="77777777" w:rsidR="00AE0598" w:rsidRDefault="0069255A">
      <w:pPr>
        <w:spacing w:before="1"/>
        <w:ind w:left="110"/>
        <w:rPr>
          <w:sz w:val="17"/>
        </w:rPr>
      </w:pPr>
      <w:r>
        <w:rPr>
          <w:color w:val="231F20"/>
          <w:w w:val="90"/>
          <w:sz w:val="17"/>
        </w:rPr>
        <w:t>freestyle</w:t>
      </w:r>
      <w:r>
        <w:rPr>
          <w:color w:val="231F20"/>
          <w:spacing w:val="24"/>
          <w:sz w:val="17"/>
        </w:rPr>
        <w:t xml:space="preserve"> </w:t>
      </w:r>
      <w:r>
        <w:rPr>
          <w:color w:val="231F20"/>
          <w:w w:val="90"/>
          <w:sz w:val="17"/>
        </w:rPr>
        <w:t>sport</w:t>
      </w:r>
      <w:r>
        <w:rPr>
          <w:color w:val="231F20"/>
          <w:spacing w:val="24"/>
          <w:sz w:val="17"/>
        </w:rPr>
        <w:t xml:space="preserve"> </w:t>
      </w:r>
      <w:r>
        <w:rPr>
          <w:color w:val="231F20"/>
          <w:spacing w:val="-5"/>
          <w:w w:val="90"/>
          <w:sz w:val="17"/>
        </w:rPr>
        <w:t>227</w:t>
      </w:r>
    </w:p>
    <w:p w14:paraId="41DF1BDA" w14:textId="77777777" w:rsidR="00AE0598" w:rsidRDefault="00AE0598">
      <w:pPr>
        <w:pStyle w:val="Corpodetexto"/>
        <w:spacing w:before="3"/>
        <w:rPr>
          <w:sz w:val="16"/>
        </w:rPr>
      </w:pPr>
    </w:p>
    <w:p w14:paraId="273C61F9" w14:textId="77777777" w:rsidR="00AE0598" w:rsidRDefault="0069255A">
      <w:pPr>
        <w:ind w:left="110"/>
        <w:rPr>
          <w:sz w:val="17"/>
        </w:rPr>
      </w:pPr>
      <w:r>
        <w:rPr>
          <w:color w:val="231F20"/>
          <w:w w:val="95"/>
          <w:sz w:val="17"/>
        </w:rPr>
        <w:t>game</w:t>
      </w:r>
      <w:r>
        <w:rPr>
          <w:color w:val="231F20"/>
          <w:spacing w:val="2"/>
          <w:sz w:val="17"/>
        </w:rPr>
        <w:t xml:space="preserve"> </w:t>
      </w:r>
      <w:r>
        <w:rPr>
          <w:color w:val="231F20"/>
          <w:w w:val="95"/>
          <w:sz w:val="17"/>
        </w:rPr>
        <w:t>strategy</w:t>
      </w:r>
      <w:r>
        <w:rPr>
          <w:color w:val="231F20"/>
          <w:spacing w:val="3"/>
          <w:sz w:val="17"/>
        </w:rPr>
        <w:t xml:space="preserve"> </w:t>
      </w:r>
      <w:r>
        <w:rPr>
          <w:color w:val="231F20"/>
          <w:spacing w:val="-5"/>
          <w:w w:val="95"/>
          <w:sz w:val="17"/>
        </w:rPr>
        <w:t>20</w:t>
      </w:r>
    </w:p>
    <w:p w14:paraId="528756E3" w14:textId="77777777" w:rsidR="00AE0598" w:rsidRDefault="0069255A">
      <w:pPr>
        <w:ind w:left="110"/>
        <w:rPr>
          <w:sz w:val="17"/>
        </w:rPr>
      </w:pPr>
      <w:r>
        <w:rPr>
          <w:color w:val="231F20"/>
          <w:w w:val="95"/>
          <w:sz w:val="17"/>
        </w:rPr>
        <w:t>gaming</w:t>
      </w:r>
      <w:r>
        <w:rPr>
          <w:color w:val="231F20"/>
          <w:spacing w:val="9"/>
          <w:sz w:val="17"/>
        </w:rPr>
        <w:t xml:space="preserve"> </w:t>
      </w:r>
      <w:r>
        <w:rPr>
          <w:color w:val="231F20"/>
          <w:w w:val="95"/>
          <w:sz w:val="17"/>
        </w:rPr>
        <w:t>206,</w:t>
      </w:r>
      <w:r>
        <w:rPr>
          <w:color w:val="231F20"/>
          <w:spacing w:val="10"/>
          <w:sz w:val="17"/>
        </w:rPr>
        <w:t xml:space="preserve"> </w:t>
      </w:r>
      <w:r>
        <w:rPr>
          <w:color w:val="231F20"/>
          <w:w w:val="95"/>
          <w:sz w:val="17"/>
        </w:rPr>
        <w:t>221,</w:t>
      </w:r>
      <w:r>
        <w:rPr>
          <w:color w:val="231F20"/>
          <w:spacing w:val="9"/>
          <w:sz w:val="17"/>
        </w:rPr>
        <w:t xml:space="preserve"> </w:t>
      </w:r>
      <w:r>
        <w:rPr>
          <w:color w:val="231F20"/>
          <w:spacing w:val="-5"/>
          <w:w w:val="95"/>
          <w:sz w:val="17"/>
        </w:rPr>
        <w:t>227</w:t>
      </w:r>
    </w:p>
    <w:p w14:paraId="2D1D1C9B" w14:textId="77777777" w:rsidR="00AE0598" w:rsidRDefault="0069255A">
      <w:pPr>
        <w:spacing w:before="1"/>
        <w:ind w:left="110"/>
        <w:rPr>
          <w:sz w:val="17"/>
        </w:rPr>
      </w:pPr>
      <w:r>
        <w:rPr>
          <w:color w:val="231F20"/>
          <w:w w:val="95"/>
          <w:sz w:val="17"/>
        </w:rPr>
        <w:t>gender</w:t>
      </w:r>
      <w:r>
        <w:rPr>
          <w:color w:val="231F20"/>
          <w:spacing w:val="-1"/>
          <w:w w:val="95"/>
          <w:sz w:val="17"/>
        </w:rPr>
        <w:t xml:space="preserve"> </w:t>
      </w:r>
      <w:r>
        <w:rPr>
          <w:color w:val="231F20"/>
          <w:w w:val="95"/>
          <w:sz w:val="17"/>
        </w:rPr>
        <w:t>52,</w:t>
      </w:r>
      <w:r>
        <w:rPr>
          <w:color w:val="231F20"/>
          <w:spacing w:val="-2"/>
          <w:sz w:val="17"/>
        </w:rPr>
        <w:t xml:space="preserve"> </w:t>
      </w:r>
      <w:r>
        <w:rPr>
          <w:color w:val="231F20"/>
          <w:w w:val="95"/>
          <w:sz w:val="17"/>
        </w:rPr>
        <w:t>54,</w:t>
      </w:r>
      <w:r>
        <w:rPr>
          <w:color w:val="231F20"/>
          <w:spacing w:val="-1"/>
          <w:sz w:val="17"/>
        </w:rPr>
        <w:t xml:space="preserve"> </w:t>
      </w:r>
      <w:r>
        <w:rPr>
          <w:color w:val="231F20"/>
          <w:w w:val="95"/>
          <w:sz w:val="17"/>
        </w:rPr>
        <w:t>69,</w:t>
      </w:r>
      <w:r>
        <w:rPr>
          <w:color w:val="231F20"/>
          <w:spacing w:val="-1"/>
          <w:w w:val="95"/>
          <w:sz w:val="17"/>
        </w:rPr>
        <w:t xml:space="preserve"> </w:t>
      </w:r>
      <w:r>
        <w:rPr>
          <w:color w:val="231F20"/>
          <w:w w:val="95"/>
          <w:sz w:val="17"/>
        </w:rPr>
        <w:t>171,</w:t>
      </w:r>
      <w:r>
        <w:rPr>
          <w:color w:val="231F20"/>
          <w:spacing w:val="-1"/>
          <w:sz w:val="17"/>
        </w:rPr>
        <w:t xml:space="preserve"> </w:t>
      </w:r>
      <w:r>
        <w:rPr>
          <w:color w:val="231F20"/>
          <w:w w:val="95"/>
          <w:sz w:val="17"/>
        </w:rPr>
        <w:t>210,</w:t>
      </w:r>
      <w:r>
        <w:rPr>
          <w:color w:val="231F20"/>
          <w:spacing w:val="-1"/>
          <w:w w:val="95"/>
          <w:sz w:val="17"/>
        </w:rPr>
        <w:t xml:space="preserve"> </w:t>
      </w:r>
      <w:r>
        <w:rPr>
          <w:color w:val="231F20"/>
          <w:spacing w:val="-5"/>
          <w:w w:val="95"/>
          <w:sz w:val="17"/>
        </w:rPr>
        <w:t>236</w:t>
      </w:r>
    </w:p>
    <w:p w14:paraId="50DF2D7D" w14:textId="77777777" w:rsidR="00AE0598" w:rsidRDefault="0069255A">
      <w:pPr>
        <w:spacing w:before="1"/>
        <w:ind w:left="110"/>
        <w:rPr>
          <w:sz w:val="17"/>
        </w:rPr>
      </w:pPr>
      <w:r>
        <w:rPr>
          <w:color w:val="231F20"/>
          <w:w w:val="95"/>
          <w:sz w:val="17"/>
        </w:rPr>
        <w:t>generating</w:t>
      </w:r>
      <w:r>
        <w:rPr>
          <w:color w:val="231F20"/>
          <w:spacing w:val="4"/>
          <w:sz w:val="17"/>
        </w:rPr>
        <w:t xml:space="preserve"> </w:t>
      </w:r>
      <w:r>
        <w:rPr>
          <w:color w:val="231F20"/>
          <w:w w:val="95"/>
          <w:sz w:val="17"/>
        </w:rPr>
        <w:t>region</w:t>
      </w:r>
      <w:r>
        <w:rPr>
          <w:color w:val="231F20"/>
          <w:spacing w:val="5"/>
          <w:sz w:val="17"/>
        </w:rPr>
        <w:t xml:space="preserve"> </w:t>
      </w:r>
      <w:r>
        <w:rPr>
          <w:color w:val="231F20"/>
          <w:w w:val="95"/>
          <w:sz w:val="17"/>
        </w:rPr>
        <w:t>23–24,</w:t>
      </w:r>
      <w:r>
        <w:rPr>
          <w:color w:val="231F20"/>
          <w:spacing w:val="4"/>
          <w:sz w:val="17"/>
        </w:rPr>
        <w:t xml:space="preserve"> </w:t>
      </w:r>
      <w:r>
        <w:rPr>
          <w:color w:val="231F20"/>
          <w:spacing w:val="-5"/>
          <w:w w:val="95"/>
          <w:sz w:val="17"/>
        </w:rPr>
        <w:t>79</w:t>
      </w:r>
    </w:p>
    <w:p w14:paraId="1CE103AE" w14:textId="77777777" w:rsidR="00AE0598" w:rsidRDefault="0069255A">
      <w:pPr>
        <w:spacing w:before="1"/>
        <w:ind w:left="110"/>
        <w:rPr>
          <w:sz w:val="17"/>
        </w:rPr>
      </w:pPr>
      <w:r>
        <w:rPr>
          <w:color w:val="231F20"/>
          <w:w w:val="95"/>
          <w:sz w:val="17"/>
        </w:rPr>
        <w:t>geographical</w:t>
      </w:r>
      <w:r>
        <w:rPr>
          <w:color w:val="231F20"/>
          <w:spacing w:val="16"/>
          <w:sz w:val="17"/>
        </w:rPr>
        <w:t xml:space="preserve"> </w:t>
      </w:r>
      <w:r>
        <w:rPr>
          <w:color w:val="231F20"/>
          <w:w w:val="95"/>
          <w:sz w:val="17"/>
        </w:rPr>
        <w:t>theory</w:t>
      </w:r>
      <w:r>
        <w:rPr>
          <w:color w:val="231F20"/>
          <w:spacing w:val="16"/>
          <w:sz w:val="17"/>
        </w:rPr>
        <w:t xml:space="preserve"> </w:t>
      </w:r>
      <w:r>
        <w:rPr>
          <w:color w:val="231F20"/>
          <w:spacing w:val="-5"/>
          <w:w w:val="95"/>
          <w:sz w:val="17"/>
        </w:rPr>
        <w:t>89</w:t>
      </w:r>
    </w:p>
    <w:p w14:paraId="7F56F9EE" w14:textId="77777777" w:rsidR="00AE0598" w:rsidRDefault="0069255A">
      <w:pPr>
        <w:ind w:left="110"/>
        <w:rPr>
          <w:sz w:val="17"/>
        </w:rPr>
      </w:pPr>
      <w:r>
        <w:rPr>
          <w:color w:val="231F20"/>
          <w:w w:val="95"/>
          <w:sz w:val="17"/>
        </w:rPr>
        <w:t>Germany</w:t>
      </w:r>
      <w:r>
        <w:rPr>
          <w:color w:val="231F20"/>
          <w:spacing w:val="6"/>
          <w:sz w:val="17"/>
        </w:rPr>
        <w:t xml:space="preserve"> </w:t>
      </w:r>
      <w:r>
        <w:rPr>
          <w:color w:val="231F20"/>
          <w:w w:val="95"/>
          <w:sz w:val="17"/>
        </w:rPr>
        <w:t>5,</w:t>
      </w:r>
      <w:r>
        <w:rPr>
          <w:color w:val="231F20"/>
          <w:spacing w:val="6"/>
          <w:sz w:val="17"/>
        </w:rPr>
        <w:t xml:space="preserve"> </w:t>
      </w:r>
      <w:r>
        <w:rPr>
          <w:color w:val="231F20"/>
          <w:w w:val="95"/>
          <w:sz w:val="17"/>
        </w:rPr>
        <w:t>47,</w:t>
      </w:r>
      <w:r>
        <w:rPr>
          <w:color w:val="231F20"/>
          <w:spacing w:val="6"/>
          <w:sz w:val="17"/>
        </w:rPr>
        <w:t xml:space="preserve"> </w:t>
      </w:r>
      <w:r>
        <w:rPr>
          <w:color w:val="231F20"/>
          <w:w w:val="95"/>
          <w:sz w:val="17"/>
        </w:rPr>
        <w:t>176,</w:t>
      </w:r>
      <w:r>
        <w:rPr>
          <w:color w:val="231F20"/>
          <w:spacing w:val="6"/>
          <w:sz w:val="17"/>
        </w:rPr>
        <w:t xml:space="preserve"> </w:t>
      </w:r>
      <w:r>
        <w:rPr>
          <w:color w:val="231F20"/>
          <w:spacing w:val="-5"/>
          <w:w w:val="95"/>
          <w:sz w:val="17"/>
        </w:rPr>
        <w:t>186</w:t>
      </w:r>
    </w:p>
    <w:p w14:paraId="46BF29DA" w14:textId="77777777" w:rsidR="00AE0598" w:rsidRDefault="0069255A">
      <w:pPr>
        <w:spacing w:before="1"/>
        <w:ind w:left="110"/>
        <w:rPr>
          <w:sz w:val="17"/>
        </w:rPr>
      </w:pPr>
      <w:r>
        <w:rPr>
          <w:color w:val="231F20"/>
          <w:w w:val="95"/>
          <w:sz w:val="17"/>
        </w:rPr>
        <w:t>ginga</w:t>
      </w:r>
      <w:r>
        <w:rPr>
          <w:color w:val="231F20"/>
          <w:spacing w:val="18"/>
          <w:sz w:val="17"/>
        </w:rPr>
        <w:t xml:space="preserve"> </w:t>
      </w:r>
      <w:r>
        <w:rPr>
          <w:color w:val="231F20"/>
          <w:spacing w:val="-5"/>
          <w:sz w:val="17"/>
        </w:rPr>
        <w:t>11</w:t>
      </w:r>
    </w:p>
    <w:p w14:paraId="2EB57CEB" w14:textId="77777777" w:rsidR="00AE0598" w:rsidRDefault="0069255A">
      <w:pPr>
        <w:spacing w:before="1"/>
        <w:ind w:left="110"/>
        <w:rPr>
          <w:sz w:val="17"/>
        </w:rPr>
      </w:pPr>
      <w:r>
        <w:rPr>
          <w:color w:val="231F20"/>
          <w:w w:val="95"/>
          <w:sz w:val="17"/>
        </w:rPr>
        <w:t>global</w:t>
      </w:r>
      <w:r>
        <w:rPr>
          <w:color w:val="231F20"/>
          <w:spacing w:val="4"/>
          <w:sz w:val="17"/>
        </w:rPr>
        <w:t xml:space="preserve"> </w:t>
      </w:r>
      <w:r>
        <w:rPr>
          <w:color w:val="231F20"/>
          <w:w w:val="95"/>
          <w:sz w:val="17"/>
        </w:rPr>
        <w:t>trend</w:t>
      </w:r>
      <w:r>
        <w:rPr>
          <w:color w:val="231F20"/>
          <w:spacing w:val="4"/>
          <w:sz w:val="17"/>
        </w:rPr>
        <w:t xml:space="preserve"> </w:t>
      </w:r>
      <w:r>
        <w:rPr>
          <w:color w:val="231F20"/>
          <w:w w:val="95"/>
          <w:sz w:val="17"/>
        </w:rPr>
        <w:t>75,</w:t>
      </w:r>
      <w:r>
        <w:rPr>
          <w:color w:val="231F20"/>
          <w:spacing w:val="4"/>
          <w:sz w:val="17"/>
        </w:rPr>
        <w:t xml:space="preserve"> </w:t>
      </w:r>
      <w:r>
        <w:rPr>
          <w:color w:val="231F20"/>
          <w:w w:val="95"/>
          <w:sz w:val="17"/>
        </w:rPr>
        <w:t>81,</w:t>
      </w:r>
      <w:r>
        <w:rPr>
          <w:color w:val="231F20"/>
          <w:spacing w:val="4"/>
          <w:sz w:val="17"/>
        </w:rPr>
        <w:t xml:space="preserve"> </w:t>
      </w:r>
      <w:r>
        <w:rPr>
          <w:color w:val="231F20"/>
          <w:spacing w:val="-5"/>
          <w:w w:val="95"/>
          <w:sz w:val="17"/>
        </w:rPr>
        <w:t>199</w:t>
      </w:r>
    </w:p>
    <w:p w14:paraId="03860C5B" w14:textId="77777777" w:rsidR="00AE0598" w:rsidRDefault="0069255A">
      <w:pPr>
        <w:ind w:left="110"/>
        <w:rPr>
          <w:sz w:val="17"/>
        </w:rPr>
      </w:pPr>
      <w:r>
        <w:rPr>
          <w:color w:val="231F20"/>
          <w:w w:val="95"/>
          <w:sz w:val="17"/>
        </w:rPr>
        <w:t>globalisation</w:t>
      </w:r>
      <w:r>
        <w:rPr>
          <w:color w:val="231F20"/>
          <w:spacing w:val="6"/>
          <w:sz w:val="17"/>
        </w:rPr>
        <w:t xml:space="preserve"> </w:t>
      </w:r>
      <w:r>
        <w:rPr>
          <w:color w:val="231F20"/>
          <w:w w:val="95"/>
          <w:sz w:val="17"/>
        </w:rPr>
        <w:t>6–7,</w:t>
      </w:r>
      <w:r>
        <w:rPr>
          <w:color w:val="231F20"/>
          <w:spacing w:val="7"/>
          <w:sz w:val="17"/>
        </w:rPr>
        <w:t xml:space="preserve"> </w:t>
      </w:r>
      <w:r>
        <w:rPr>
          <w:color w:val="231F20"/>
          <w:w w:val="95"/>
          <w:sz w:val="17"/>
        </w:rPr>
        <w:t>34,</w:t>
      </w:r>
      <w:r>
        <w:rPr>
          <w:color w:val="231F20"/>
          <w:spacing w:val="6"/>
          <w:sz w:val="17"/>
        </w:rPr>
        <w:t xml:space="preserve"> </w:t>
      </w:r>
      <w:r>
        <w:rPr>
          <w:color w:val="231F20"/>
          <w:w w:val="95"/>
          <w:sz w:val="17"/>
        </w:rPr>
        <w:t>53,</w:t>
      </w:r>
      <w:r>
        <w:rPr>
          <w:color w:val="231F20"/>
          <w:spacing w:val="7"/>
          <w:sz w:val="17"/>
        </w:rPr>
        <w:t xml:space="preserve"> </w:t>
      </w:r>
      <w:r>
        <w:rPr>
          <w:color w:val="231F20"/>
          <w:w w:val="95"/>
          <w:sz w:val="17"/>
        </w:rPr>
        <w:t>63,</w:t>
      </w:r>
      <w:r>
        <w:rPr>
          <w:color w:val="231F20"/>
          <w:spacing w:val="7"/>
          <w:sz w:val="17"/>
        </w:rPr>
        <w:t xml:space="preserve"> </w:t>
      </w:r>
      <w:r>
        <w:rPr>
          <w:color w:val="231F20"/>
          <w:w w:val="95"/>
          <w:sz w:val="17"/>
        </w:rPr>
        <w:t>70,</w:t>
      </w:r>
      <w:r>
        <w:rPr>
          <w:color w:val="231F20"/>
          <w:spacing w:val="6"/>
          <w:sz w:val="17"/>
        </w:rPr>
        <w:t xml:space="preserve"> </w:t>
      </w:r>
      <w:r>
        <w:rPr>
          <w:color w:val="231F20"/>
          <w:w w:val="95"/>
          <w:sz w:val="17"/>
        </w:rPr>
        <w:t>75–85,</w:t>
      </w:r>
      <w:r>
        <w:rPr>
          <w:color w:val="231F20"/>
          <w:spacing w:val="7"/>
          <w:sz w:val="17"/>
        </w:rPr>
        <w:t xml:space="preserve"> </w:t>
      </w:r>
      <w:r>
        <w:rPr>
          <w:color w:val="231F20"/>
          <w:spacing w:val="-5"/>
          <w:w w:val="95"/>
          <w:sz w:val="17"/>
        </w:rPr>
        <w:t>99,</w:t>
      </w:r>
    </w:p>
    <w:p w14:paraId="4894AF63" w14:textId="77777777" w:rsidR="00AE0598" w:rsidRDefault="0069255A">
      <w:pPr>
        <w:spacing w:before="1"/>
        <w:ind w:left="470"/>
        <w:rPr>
          <w:sz w:val="17"/>
        </w:rPr>
      </w:pPr>
      <w:r>
        <w:rPr>
          <w:color w:val="231F20"/>
          <w:w w:val="90"/>
          <w:sz w:val="17"/>
        </w:rPr>
        <w:t>119,</w:t>
      </w:r>
      <w:r>
        <w:rPr>
          <w:color w:val="231F20"/>
          <w:spacing w:val="13"/>
          <w:sz w:val="17"/>
        </w:rPr>
        <w:t xml:space="preserve"> </w:t>
      </w:r>
      <w:r>
        <w:rPr>
          <w:color w:val="231F20"/>
          <w:w w:val="90"/>
          <w:sz w:val="17"/>
        </w:rPr>
        <w:t>123,</w:t>
      </w:r>
      <w:r>
        <w:rPr>
          <w:color w:val="231F20"/>
          <w:spacing w:val="14"/>
          <w:sz w:val="17"/>
        </w:rPr>
        <w:t xml:space="preserve"> </w:t>
      </w:r>
      <w:r>
        <w:rPr>
          <w:color w:val="231F20"/>
          <w:w w:val="90"/>
          <w:sz w:val="17"/>
        </w:rPr>
        <w:t>162,</w:t>
      </w:r>
      <w:r>
        <w:rPr>
          <w:color w:val="231F20"/>
          <w:spacing w:val="13"/>
          <w:sz w:val="17"/>
        </w:rPr>
        <w:t xml:space="preserve"> </w:t>
      </w:r>
      <w:r>
        <w:rPr>
          <w:color w:val="231F20"/>
          <w:w w:val="90"/>
          <w:sz w:val="17"/>
        </w:rPr>
        <w:t>181,</w:t>
      </w:r>
      <w:r>
        <w:rPr>
          <w:color w:val="231F20"/>
          <w:spacing w:val="14"/>
          <w:sz w:val="17"/>
        </w:rPr>
        <w:t xml:space="preserve"> </w:t>
      </w:r>
      <w:r>
        <w:rPr>
          <w:color w:val="231F20"/>
          <w:w w:val="90"/>
          <w:sz w:val="17"/>
        </w:rPr>
        <w:t>202,</w:t>
      </w:r>
      <w:r>
        <w:rPr>
          <w:color w:val="231F20"/>
          <w:spacing w:val="14"/>
          <w:sz w:val="17"/>
        </w:rPr>
        <w:t xml:space="preserve"> </w:t>
      </w:r>
      <w:r>
        <w:rPr>
          <w:color w:val="231F20"/>
          <w:w w:val="90"/>
          <w:sz w:val="17"/>
        </w:rPr>
        <w:t>214–219,</w:t>
      </w:r>
      <w:r>
        <w:rPr>
          <w:color w:val="231F20"/>
          <w:spacing w:val="13"/>
          <w:sz w:val="17"/>
        </w:rPr>
        <w:t xml:space="preserve"> </w:t>
      </w:r>
      <w:r>
        <w:rPr>
          <w:color w:val="231F20"/>
          <w:spacing w:val="-4"/>
          <w:w w:val="90"/>
          <w:sz w:val="17"/>
        </w:rPr>
        <w:t>227,</w:t>
      </w:r>
    </w:p>
    <w:p w14:paraId="0B1948E0" w14:textId="77777777" w:rsidR="00AE0598" w:rsidRDefault="0069255A">
      <w:pPr>
        <w:spacing w:before="1"/>
        <w:ind w:left="470"/>
        <w:rPr>
          <w:sz w:val="17"/>
        </w:rPr>
      </w:pPr>
      <w:r>
        <w:rPr>
          <w:color w:val="231F20"/>
          <w:w w:val="90"/>
          <w:sz w:val="17"/>
        </w:rPr>
        <w:t>231,</w:t>
      </w:r>
      <w:r>
        <w:rPr>
          <w:color w:val="231F20"/>
          <w:spacing w:val="12"/>
          <w:sz w:val="17"/>
        </w:rPr>
        <w:t xml:space="preserve"> </w:t>
      </w:r>
      <w:r>
        <w:rPr>
          <w:color w:val="231F20"/>
          <w:spacing w:val="-5"/>
          <w:w w:val="95"/>
          <w:sz w:val="17"/>
        </w:rPr>
        <w:t>234</w:t>
      </w:r>
    </w:p>
    <w:p w14:paraId="640D8008" w14:textId="77777777" w:rsidR="00AE0598" w:rsidRDefault="0069255A">
      <w:pPr>
        <w:ind w:left="110"/>
        <w:rPr>
          <w:sz w:val="17"/>
        </w:rPr>
      </w:pPr>
      <w:r>
        <w:rPr>
          <w:color w:val="231F20"/>
          <w:w w:val="95"/>
          <w:sz w:val="17"/>
        </w:rPr>
        <w:t>goal-oriented</w:t>
      </w:r>
      <w:r>
        <w:rPr>
          <w:color w:val="231F20"/>
          <w:spacing w:val="10"/>
          <w:sz w:val="17"/>
        </w:rPr>
        <w:t xml:space="preserve"> </w:t>
      </w:r>
      <w:r>
        <w:rPr>
          <w:color w:val="231F20"/>
          <w:w w:val="95"/>
          <w:sz w:val="17"/>
        </w:rPr>
        <w:t>20,</w:t>
      </w:r>
      <w:r>
        <w:rPr>
          <w:color w:val="231F20"/>
          <w:spacing w:val="11"/>
          <w:sz w:val="17"/>
        </w:rPr>
        <w:t xml:space="preserve"> </w:t>
      </w:r>
      <w:r>
        <w:rPr>
          <w:color w:val="231F20"/>
          <w:w w:val="95"/>
          <w:sz w:val="17"/>
        </w:rPr>
        <w:t>70,</w:t>
      </w:r>
      <w:r>
        <w:rPr>
          <w:color w:val="231F20"/>
          <w:spacing w:val="11"/>
          <w:sz w:val="17"/>
        </w:rPr>
        <w:t xml:space="preserve"> </w:t>
      </w:r>
      <w:r>
        <w:rPr>
          <w:color w:val="231F20"/>
          <w:spacing w:val="-5"/>
          <w:w w:val="95"/>
          <w:sz w:val="17"/>
        </w:rPr>
        <w:t>228</w:t>
      </w:r>
    </w:p>
    <w:p w14:paraId="74F597C2" w14:textId="77777777" w:rsidR="00AE0598" w:rsidRDefault="0069255A">
      <w:pPr>
        <w:spacing w:before="1"/>
        <w:ind w:left="110"/>
        <w:rPr>
          <w:sz w:val="17"/>
        </w:rPr>
      </w:pPr>
      <w:r>
        <w:rPr>
          <w:color w:val="231F20"/>
          <w:w w:val="95"/>
          <w:sz w:val="17"/>
        </w:rPr>
        <w:t>golf</w:t>
      </w:r>
      <w:r>
        <w:rPr>
          <w:color w:val="231F20"/>
          <w:spacing w:val="2"/>
          <w:sz w:val="17"/>
        </w:rPr>
        <w:t xml:space="preserve"> </w:t>
      </w:r>
      <w:r>
        <w:rPr>
          <w:color w:val="231F20"/>
          <w:w w:val="95"/>
          <w:sz w:val="17"/>
        </w:rPr>
        <w:t>11,</w:t>
      </w:r>
      <w:r>
        <w:rPr>
          <w:color w:val="231F20"/>
          <w:spacing w:val="2"/>
          <w:sz w:val="17"/>
        </w:rPr>
        <w:t xml:space="preserve"> </w:t>
      </w:r>
      <w:r>
        <w:rPr>
          <w:color w:val="231F20"/>
          <w:w w:val="95"/>
          <w:sz w:val="17"/>
        </w:rPr>
        <w:t>26,</w:t>
      </w:r>
      <w:r>
        <w:rPr>
          <w:color w:val="231F20"/>
          <w:spacing w:val="2"/>
          <w:sz w:val="17"/>
        </w:rPr>
        <w:t xml:space="preserve"> </w:t>
      </w:r>
      <w:r>
        <w:rPr>
          <w:color w:val="231F20"/>
          <w:w w:val="95"/>
          <w:sz w:val="17"/>
        </w:rPr>
        <w:t>31,</w:t>
      </w:r>
      <w:r>
        <w:rPr>
          <w:color w:val="231F20"/>
          <w:spacing w:val="2"/>
          <w:sz w:val="17"/>
        </w:rPr>
        <w:t xml:space="preserve"> </w:t>
      </w:r>
      <w:r>
        <w:rPr>
          <w:color w:val="231F20"/>
          <w:w w:val="95"/>
          <w:sz w:val="17"/>
        </w:rPr>
        <w:t>35,</w:t>
      </w:r>
      <w:r>
        <w:rPr>
          <w:color w:val="231F20"/>
          <w:spacing w:val="2"/>
          <w:sz w:val="17"/>
        </w:rPr>
        <w:t xml:space="preserve"> </w:t>
      </w:r>
      <w:r>
        <w:rPr>
          <w:color w:val="231F20"/>
          <w:w w:val="95"/>
          <w:sz w:val="17"/>
        </w:rPr>
        <w:t>43,</w:t>
      </w:r>
      <w:r>
        <w:rPr>
          <w:color w:val="231F20"/>
          <w:spacing w:val="2"/>
          <w:sz w:val="17"/>
        </w:rPr>
        <w:t xml:space="preserve"> </w:t>
      </w:r>
      <w:r>
        <w:rPr>
          <w:color w:val="231F20"/>
          <w:w w:val="95"/>
          <w:sz w:val="17"/>
        </w:rPr>
        <w:t>52–55,</w:t>
      </w:r>
      <w:r>
        <w:rPr>
          <w:color w:val="231F20"/>
          <w:spacing w:val="2"/>
          <w:sz w:val="17"/>
        </w:rPr>
        <w:t xml:space="preserve"> </w:t>
      </w:r>
      <w:r>
        <w:rPr>
          <w:color w:val="231F20"/>
          <w:w w:val="95"/>
          <w:sz w:val="17"/>
        </w:rPr>
        <w:t>97,</w:t>
      </w:r>
      <w:r>
        <w:rPr>
          <w:color w:val="231F20"/>
          <w:spacing w:val="2"/>
          <w:sz w:val="17"/>
        </w:rPr>
        <w:t xml:space="preserve"> </w:t>
      </w:r>
      <w:r>
        <w:rPr>
          <w:color w:val="231F20"/>
          <w:spacing w:val="-2"/>
          <w:w w:val="95"/>
          <w:sz w:val="17"/>
        </w:rPr>
        <w:t>132–134,</w:t>
      </w:r>
    </w:p>
    <w:p w14:paraId="0CCBDA0D" w14:textId="77777777" w:rsidR="00AE0598" w:rsidRDefault="0069255A">
      <w:pPr>
        <w:spacing w:before="1"/>
        <w:ind w:left="470"/>
        <w:rPr>
          <w:sz w:val="17"/>
        </w:rPr>
      </w:pPr>
      <w:r>
        <w:rPr>
          <w:color w:val="231F20"/>
          <w:w w:val="90"/>
          <w:sz w:val="17"/>
        </w:rPr>
        <w:t>172–173,</w:t>
      </w:r>
      <w:r>
        <w:rPr>
          <w:color w:val="231F20"/>
          <w:spacing w:val="14"/>
          <w:sz w:val="17"/>
        </w:rPr>
        <w:t xml:space="preserve"> </w:t>
      </w:r>
      <w:r>
        <w:rPr>
          <w:color w:val="231F20"/>
          <w:w w:val="90"/>
          <w:sz w:val="17"/>
        </w:rPr>
        <w:t>185,</w:t>
      </w:r>
      <w:r>
        <w:rPr>
          <w:color w:val="231F20"/>
          <w:spacing w:val="14"/>
          <w:sz w:val="17"/>
        </w:rPr>
        <w:t xml:space="preserve"> </w:t>
      </w:r>
      <w:r>
        <w:rPr>
          <w:color w:val="231F20"/>
          <w:w w:val="90"/>
          <w:sz w:val="17"/>
        </w:rPr>
        <w:t>193–194,</w:t>
      </w:r>
      <w:r>
        <w:rPr>
          <w:color w:val="231F20"/>
          <w:spacing w:val="14"/>
          <w:sz w:val="17"/>
        </w:rPr>
        <w:t xml:space="preserve"> </w:t>
      </w:r>
      <w:r>
        <w:rPr>
          <w:color w:val="231F20"/>
          <w:w w:val="90"/>
          <w:sz w:val="17"/>
        </w:rPr>
        <w:t>207,</w:t>
      </w:r>
      <w:r>
        <w:rPr>
          <w:color w:val="231F20"/>
          <w:spacing w:val="14"/>
          <w:sz w:val="17"/>
        </w:rPr>
        <w:t xml:space="preserve"> </w:t>
      </w:r>
      <w:r>
        <w:rPr>
          <w:color w:val="231F20"/>
          <w:spacing w:val="-5"/>
          <w:w w:val="90"/>
          <w:sz w:val="17"/>
        </w:rPr>
        <w:t>232</w:t>
      </w:r>
    </w:p>
    <w:p w14:paraId="0378DFD8" w14:textId="77777777" w:rsidR="00AE0598" w:rsidRDefault="00AE0598">
      <w:pPr>
        <w:pStyle w:val="Corpodetexto"/>
        <w:spacing w:before="3"/>
        <w:rPr>
          <w:sz w:val="16"/>
        </w:rPr>
      </w:pPr>
    </w:p>
    <w:p w14:paraId="4F302102" w14:textId="77777777" w:rsidR="00AE0598" w:rsidRDefault="0069255A">
      <w:pPr>
        <w:ind w:left="102" w:right="32"/>
        <w:jc w:val="center"/>
        <w:rPr>
          <w:sz w:val="17"/>
        </w:rPr>
      </w:pPr>
      <w:r>
        <w:rPr>
          <w:color w:val="231F20"/>
          <w:w w:val="95"/>
          <w:sz w:val="17"/>
        </w:rPr>
        <w:t>hall</w:t>
      </w:r>
      <w:r>
        <w:rPr>
          <w:color w:val="231F20"/>
          <w:spacing w:val="1"/>
          <w:sz w:val="17"/>
        </w:rPr>
        <w:t xml:space="preserve"> </w:t>
      </w:r>
      <w:r>
        <w:rPr>
          <w:color w:val="231F20"/>
          <w:w w:val="95"/>
          <w:sz w:val="17"/>
        </w:rPr>
        <w:t>of</w:t>
      </w:r>
      <w:r>
        <w:rPr>
          <w:color w:val="231F20"/>
          <w:spacing w:val="2"/>
          <w:sz w:val="17"/>
        </w:rPr>
        <w:t xml:space="preserve"> </w:t>
      </w:r>
      <w:r>
        <w:rPr>
          <w:color w:val="231F20"/>
          <w:w w:val="95"/>
          <w:sz w:val="17"/>
        </w:rPr>
        <w:t>fame</w:t>
      </w:r>
      <w:r>
        <w:rPr>
          <w:color w:val="231F20"/>
          <w:spacing w:val="2"/>
          <w:sz w:val="17"/>
        </w:rPr>
        <w:t xml:space="preserve"> </w:t>
      </w:r>
      <w:r>
        <w:rPr>
          <w:color w:val="231F20"/>
          <w:w w:val="95"/>
          <w:sz w:val="17"/>
        </w:rPr>
        <w:t>11,</w:t>
      </w:r>
      <w:r>
        <w:rPr>
          <w:color w:val="231F20"/>
          <w:spacing w:val="2"/>
          <w:sz w:val="17"/>
        </w:rPr>
        <w:t xml:space="preserve"> </w:t>
      </w:r>
      <w:r>
        <w:rPr>
          <w:color w:val="231F20"/>
          <w:w w:val="95"/>
          <w:sz w:val="17"/>
        </w:rPr>
        <w:t>25,</w:t>
      </w:r>
      <w:r>
        <w:rPr>
          <w:color w:val="231F20"/>
          <w:spacing w:val="2"/>
          <w:sz w:val="17"/>
        </w:rPr>
        <w:t xml:space="preserve"> </w:t>
      </w:r>
      <w:r>
        <w:rPr>
          <w:color w:val="231F20"/>
          <w:w w:val="95"/>
          <w:sz w:val="17"/>
        </w:rPr>
        <w:t>43,</w:t>
      </w:r>
      <w:r>
        <w:rPr>
          <w:color w:val="231F20"/>
          <w:spacing w:val="2"/>
          <w:sz w:val="17"/>
        </w:rPr>
        <w:t xml:space="preserve"> </w:t>
      </w:r>
      <w:r>
        <w:rPr>
          <w:color w:val="231F20"/>
          <w:w w:val="95"/>
          <w:sz w:val="17"/>
        </w:rPr>
        <w:t>45,</w:t>
      </w:r>
      <w:r>
        <w:rPr>
          <w:color w:val="231F20"/>
          <w:spacing w:val="2"/>
          <w:sz w:val="17"/>
        </w:rPr>
        <w:t xml:space="preserve"> </w:t>
      </w:r>
      <w:r>
        <w:rPr>
          <w:color w:val="231F20"/>
          <w:w w:val="95"/>
          <w:sz w:val="17"/>
        </w:rPr>
        <w:t>59,</w:t>
      </w:r>
      <w:r>
        <w:rPr>
          <w:color w:val="231F20"/>
          <w:spacing w:val="2"/>
          <w:sz w:val="17"/>
        </w:rPr>
        <w:t xml:space="preserve"> </w:t>
      </w:r>
      <w:r>
        <w:rPr>
          <w:color w:val="231F20"/>
          <w:w w:val="95"/>
          <w:sz w:val="17"/>
        </w:rPr>
        <w:t>107,</w:t>
      </w:r>
      <w:r>
        <w:rPr>
          <w:color w:val="231F20"/>
          <w:spacing w:val="2"/>
          <w:sz w:val="17"/>
        </w:rPr>
        <w:t xml:space="preserve"> </w:t>
      </w:r>
      <w:r>
        <w:rPr>
          <w:color w:val="231F20"/>
          <w:w w:val="95"/>
          <w:sz w:val="17"/>
        </w:rPr>
        <w:t>118,</w:t>
      </w:r>
      <w:r>
        <w:rPr>
          <w:color w:val="231F20"/>
          <w:spacing w:val="2"/>
          <w:sz w:val="17"/>
        </w:rPr>
        <w:t xml:space="preserve"> </w:t>
      </w:r>
      <w:r>
        <w:rPr>
          <w:color w:val="231F20"/>
          <w:spacing w:val="-4"/>
          <w:w w:val="95"/>
          <w:sz w:val="17"/>
        </w:rPr>
        <w:t>137,</w:t>
      </w:r>
    </w:p>
    <w:p w14:paraId="046F24C5" w14:textId="77777777" w:rsidR="00AE0598" w:rsidRDefault="0069255A">
      <w:pPr>
        <w:spacing w:before="1"/>
        <w:ind w:left="30" w:right="32"/>
        <w:jc w:val="center"/>
        <w:rPr>
          <w:sz w:val="17"/>
        </w:rPr>
      </w:pPr>
      <w:r>
        <w:rPr>
          <w:color w:val="231F20"/>
          <w:w w:val="90"/>
          <w:sz w:val="17"/>
        </w:rPr>
        <w:t>174,</w:t>
      </w:r>
      <w:r>
        <w:rPr>
          <w:color w:val="231F20"/>
          <w:spacing w:val="15"/>
          <w:sz w:val="17"/>
        </w:rPr>
        <w:t xml:space="preserve"> </w:t>
      </w:r>
      <w:r>
        <w:rPr>
          <w:color w:val="231F20"/>
          <w:w w:val="90"/>
          <w:sz w:val="17"/>
        </w:rPr>
        <w:t>177,</w:t>
      </w:r>
      <w:r>
        <w:rPr>
          <w:color w:val="231F20"/>
          <w:spacing w:val="16"/>
          <w:sz w:val="17"/>
        </w:rPr>
        <w:t xml:space="preserve"> </w:t>
      </w:r>
      <w:r>
        <w:rPr>
          <w:color w:val="231F20"/>
          <w:w w:val="90"/>
          <w:sz w:val="17"/>
        </w:rPr>
        <w:t>199,</w:t>
      </w:r>
      <w:r>
        <w:rPr>
          <w:color w:val="231F20"/>
          <w:spacing w:val="15"/>
          <w:sz w:val="17"/>
        </w:rPr>
        <w:t xml:space="preserve"> </w:t>
      </w:r>
      <w:r>
        <w:rPr>
          <w:color w:val="231F20"/>
          <w:w w:val="90"/>
          <w:sz w:val="17"/>
        </w:rPr>
        <w:t>209–212,</w:t>
      </w:r>
      <w:r>
        <w:rPr>
          <w:color w:val="231F20"/>
          <w:spacing w:val="16"/>
          <w:sz w:val="17"/>
        </w:rPr>
        <w:t xml:space="preserve"> </w:t>
      </w:r>
      <w:r>
        <w:rPr>
          <w:color w:val="231F20"/>
          <w:w w:val="90"/>
          <w:sz w:val="17"/>
        </w:rPr>
        <w:t>230,</w:t>
      </w:r>
      <w:r>
        <w:rPr>
          <w:color w:val="231F20"/>
          <w:spacing w:val="15"/>
          <w:sz w:val="17"/>
        </w:rPr>
        <w:t xml:space="preserve"> </w:t>
      </w:r>
      <w:r>
        <w:rPr>
          <w:color w:val="231F20"/>
          <w:spacing w:val="-5"/>
          <w:w w:val="90"/>
          <w:sz w:val="17"/>
        </w:rPr>
        <w:t>234</w:t>
      </w:r>
    </w:p>
    <w:p w14:paraId="36E24147" w14:textId="77777777" w:rsidR="00AE0598" w:rsidRDefault="0069255A">
      <w:pPr>
        <w:ind w:left="110" w:right="1123"/>
        <w:rPr>
          <w:sz w:val="17"/>
        </w:rPr>
      </w:pPr>
      <w:r>
        <w:rPr>
          <w:color w:val="231F20"/>
          <w:sz w:val="17"/>
        </w:rPr>
        <w:t>hallmark event 129</w:t>
      </w:r>
      <w:r>
        <w:rPr>
          <w:color w:val="231F20"/>
          <w:spacing w:val="40"/>
          <w:sz w:val="17"/>
        </w:rPr>
        <w:t xml:space="preserve"> </w:t>
      </w:r>
      <w:r>
        <w:rPr>
          <w:color w:val="231F20"/>
          <w:w w:val="95"/>
          <w:sz w:val="17"/>
        </w:rPr>
        <w:t>hallmark</w:t>
      </w:r>
      <w:r>
        <w:rPr>
          <w:color w:val="231F20"/>
          <w:spacing w:val="-2"/>
          <w:w w:val="95"/>
          <w:sz w:val="17"/>
        </w:rPr>
        <w:t xml:space="preserve"> </w:t>
      </w:r>
      <w:r>
        <w:rPr>
          <w:color w:val="231F20"/>
          <w:w w:val="95"/>
          <w:sz w:val="17"/>
        </w:rPr>
        <w:t>sports</w:t>
      </w:r>
      <w:r>
        <w:rPr>
          <w:color w:val="231F20"/>
          <w:spacing w:val="-2"/>
          <w:w w:val="95"/>
          <w:sz w:val="17"/>
        </w:rPr>
        <w:t xml:space="preserve"> </w:t>
      </w:r>
      <w:r>
        <w:rPr>
          <w:color w:val="231F20"/>
          <w:w w:val="95"/>
          <w:sz w:val="17"/>
        </w:rPr>
        <w:t>event</w:t>
      </w:r>
      <w:r>
        <w:rPr>
          <w:color w:val="231F20"/>
          <w:spacing w:val="-2"/>
          <w:w w:val="95"/>
          <w:sz w:val="17"/>
        </w:rPr>
        <w:t xml:space="preserve"> </w:t>
      </w:r>
      <w:r>
        <w:rPr>
          <w:color w:val="231F20"/>
          <w:w w:val="95"/>
          <w:sz w:val="17"/>
        </w:rPr>
        <w:t>46</w:t>
      </w:r>
      <w:r>
        <w:rPr>
          <w:color w:val="231F20"/>
          <w:spacing w:val="40"/>
          <w:sz w:val="17"/>
        </w:rPr>
        <w:t xml:space="preserve"> </w:t>
      </w:r>
      <w:r>
        <w:rPr>
          <w:color w:val="231F20"/>
          <w:sz w:val="17"/>
        </w:rPr>
        <w:t>hallmark team 98</w:t>
      </w:r>
    </w:p>
    <w:p w14:paraId="20EF24F9" w14:textId="77777777" w:rsidR="00AE0598" w:rsidRDefault="0069255A">
      <w:pPr>
        <w:spacing w:before="2"/>
        <w:ind w:left="110"/>
        <w:rPr>
          <w:sz w:val="17"/>
        </w:rPr>
      </w:pPr>
      <w:r>
        <w:rPr>
          <w:color w:val="231F20"/>
          <w:sz w:val="17"/>
        </w:rPr>
        <w:t>Hawai’i</w:t>
      </w:r>
      <w:r>
        <w:rPr>
          <w:color w:val="231F20"/>
          <w:spacing w:val="1"/>
          <w:sz w:val="17"/>
        </w:rPr>
        <w:t xml:space="preserve"> </w:t>
      </w:r>
      <w:r>
        <w:rPr>
          <w:color w:val="231F20"/>
          <w:sz w:val="17"/>
        </w:rPr>
        <w:t>14,</w:t>
      </w:r>
      <w:r>
        <w:rPr>
          <w:color w:val="231F20"/>
          <w:spacing w:val="1"/>
          <w:sz w:val="17"/>
        </w:rPr>
        <w:t xml:space="preserve"> </w:t>
      </w:r>
      <w:r>
        <w:rPr>
          <w:color w:val="231F20"/>
          <w:spacing w:val="-2"/>
          <w:sz w:val="17"/>
        </w:rPr>
        <w:t>200–203</w:t>
      </w:r>
    </w:p>
    <w:p w14:paraId="116A38AE" w14:textId="77777777" w:rsidR="00AE0598" w:rsidRDefault="0069255A">
      <w:pPr>
        <w:spacing w:before="1"/>
        <w:ind w:left="110"/>
        <w:rPr>
          <w:sz w:val="17"/>
        </w:rPr>
      </w:pPr>
      <w:r>
        <w:rPr>
          <w:color w:val="231F20"/>
          <w:w w:val="95"/>
          <w:sz w:val="17"/>
        </w:rPr>
        <w:t>health</w:t>
      </w:r>
      <w:r>
        <w:rPr>
          <w:color w:val="231F20"/>
          <w:spacing w:val="6"/>
          <w:sz w:val="17"/>
        </w:rPr>
        <w:t xml:space="preserve"> </w:t>
      </w:r>
      <w:r>
        <w:rPr>
          <w:color w:val="231F20"/>
          <w:w w:val="95"/>
          <w:sz w:val="17"/>
        </w:rPr>
        <w:t>6,</w:t>
      </w:r>
      <w:r>
        <w:rPr>
          <w:color w:val="231F20"/>
          <w:spacing w:val="6"/>
          <w:sz w:val="17"/>
        </w:rPr>
        <w:t xml:space="preserve"> </w:t>
      </w:r>
      <w:r>
        <w:rPr>
          <w:color w:val="231F20"/>
          <w:w w:val="95"/>
          <w:sz w:val="17"/>
        </w:rPr>
        <w:t>9,</w:t>
      </w:r>
      <w:r>
        <w:rPr>
          <w:color w:val="231F20"/>
          <w:spacing w:val="6"/>
          <w:sz w:val="17"/>
        </w:rPr>
        <w:t xml:space="preserve"> </w:t>
      </w:r>
      <w:r>
        <w:rPr>
          <w:color w:val="231F20"/>
          <w:w w:val="95"/>
          <w:sz w:val="17"/>
        </w:rPr>
        <w:t>29–31,</w:t>
      </w:r>
      <w:r>
        <w:rPr>
          <w:color w:val="231F20"/>
          <w:spacing w:val="7"/>
          <w:sz w:val="17"/>
        </w:rPr>
        <w:t xml:space="preserve"> </w:t>
      </w:r>
      <w:r>
        <w:rPr>
          <w:color w:val="231F20"/>
          <w:w w:val="95"/>
          <w:sz w:val="17"/>
        </w:rPr>
        <w:t>35,</w:t>
      </w:r>
      <w:r>
        <w:rPr>
          <w:color w:val="231F20"/>
          <w:spacing w:val="6"/>
          <w:sz w:val="17"/>
        </w:rPr>
        <w:t xml:space="preserve"> </w:t>
      </w:r>
      <w:r>
        <w:rPr>
          <w:color w:val="231F20"/>
          <w:w w:val="95"/>
          <w:sz w:val="17"/>
        </w:rPr>
        <w:t>40,</w:t>
      </w:r>
      <w:r>
        <w:rPr>
          <w:color w:val="231F20"/>
          <w:spacing w:val="6"/>
          <w:sz w:val="17"/>
        </w:rPr>
        <w:t xml:space="preserve"> </w:t>
      </w:r>
      <w:r>
        <w:rPr>
          <w:color w:val="231F20"/>
          <w:w w:val="95"/>
          <w:sz w:val="17"/>
        </w:rPr>
        <w:t>43,</w:t>
      </w:r>
      <w:r>
        <w:rPr>
          <w:color w:val="231F20"/>
          <w:spacing w:val="7"/>
          <w:sz w:val="17"/>
        </w:rPr>
        <w:t xml:space="preserve"> </w:t>
      </w:r>
      <w:r>
        <w:rPr>
          <w:color w:val="231F20"/>
          <w:w w:val="95"/>
          <w:sz w:val="17"/>
        </w:rPr>
        <w:t>54,</w:t>
      </w:r>
      <w:r>
        <w:rPr>
          <w:color w:val="231F20"/>
          <w:spacing w:val="6"/>
          <w:sz w:val="17"/>
        </w:rPr>
        <w:t xml:space="preserve"> </w:t>
      </w:r>
      <w:r>
        <w:rPr>
          <w:color w:val="231F20"/>
          <w:w w:val="95"/>
          <w:sz w:val="17"/>
        </w:rPr>
        <w:t>64,</w:t>
      </w:r>
      <w:r>
        <w:rPr>
          <w:color w:val="231F20"/>
          <w:spacing w:val="6"/>
          <w:sz w:val="17"/>
        </w:rPr>
        <w:t xml:space="preserve"> </w:t>
      </w:r>
      <w:r>
        <w:rPr>
          <w:color w:val="231F20"/>
          <w:spacing w:val="-5"/>
          <w:w w:val="95"/>
          <w:sz w:val="17"/>
        </w:rPr>
        <w:t>66,</w:t>
      </w:r>
    </w:p>
    <w:p w14:paraId="330D24FB" w14:textId="77777777" w:rsidR="00AE0598" w:rsidRDefault="0069255A">
      <w:pPr>
        <w:spacing w:before="1"/>
        <w:ind w:left="470"/>
        <w:rPr>
          <w:sz w:val="17"/>
        </w:rPr>
      </w:pPr>
      <w:r>
        <w:rPr>
          <w:color w:val="231F20"/>
          <w:w w:val="90"/>
          <w:sz w:val="17"/>
        </w:rPr>
        <w:t>130,</w:t>
      </w:r>
      <w:r>
        <w:rPr>
          <w:color w:val="231F20"/>
          <w:spacing w:val="17"/>
          <w:sz w:val="17"/>
        </w:rPr>
        <w:t xml:space="preserve"> </w:t>
      </w:r>
      <w:r>
        <w:rPr>
          <w:color w:val="231F20"/>
          <w:w w:val="90"/>
          <w:sz w:val="17"/>
        </w:rPr>
        <w:t>206,</w:t>
      </w:r>
      <w:r>
        <w:rPr>
          <w:color w:val="231F20"/>
          <w:spacing w:val="17"/>
          <w:sz w:val="17"/>
        </w:rPr>
        <w:t xml:space="preserve"> </w:t>
      </w:r>
      <w:r>
        <w:rPr>
          <w:color w:val="231F20"/>
          <w:w w:val="90"/>
          <w:sz w:val="17"/>
        </w:rPr>
        <w:t>219,</w:t>
      </w:r>
      <w:r>
        <w:rPr>
          <w:color w:val="231F20"/>
          <w:spacing w:val="17"/>
          <w:sz w:val="17"/>
        </w:rPr>
        <w:t xml:space="preserve"> </w:t>
      </w:r>
      <w:r>
        <w:rPr>
          <w:color w:val="231F20"/>
          <w:spacing w:val="-2"/>
          <w:w w:val="90"/>
          <w:sz w:val="17"/>
        </w:rPr>
        <w:t>236–237</w:t>
      </w:r>
    </w:p>
    <w:p w14:paraId="1A508CC0" w14:textId="77777777" w:rsidR="00AE0598" w:rsidRDefault="0069255A">
      <w:pPr>
        <w:spacing w:before="1"/>
        <w:ind w:left="110"/>
        <w:rPr>
          <w:sz w:val="17"/>
        </w:rPr>
      </w:pPr>
      <w:r>
        <w:rPr>
          <w:color w:val="231F20"/>
          <w:w w:val="95"/>
          <w:sz w:val="17"/>
        </w:rPr>
        <w:t>Hellenism</w:t>
      </w:r>
      <w:r>
        <w:rPr>
          <w:color w:val="231F20"/>
          <w:spacing w:val="26"/>
          <w:sz w:val="17"/>
        </w:rPr>
        <w:t xml:space="preserve"> </w:t>
      </w:r>
      <w:r>
        <w:rPr>
          <w:color w:val="231F20"/>
          <w:spacing w:val="-10"/>
          <w:sz w:val="17"/>
        </w:rPr>
        <w:t>3</w:t>
      </w:r>
    </w:p>
    <w:p w14:paraId="1F3453E1" w14:textId="77777777" w:rsidR="00AE0598" w:rsidRDefault="0069255A">
      <w:pPr>
        <w:ind w:left="110"/>
        <w:rPr>
          <w:sz w:val="17"/>
        </w:rPr>
      </w:pPr>
      <w:r>
        <w:rPr>
          <w:color w:val="231F20"/>
          <w:w w:val="90"/>
          <w:sz w:val="17"/>
        </w:rPr>
        <w:t>heritage</w:t>
      </w:r>
      <w:r>
        <w:rPr>
          <w:color w:val="231F20"/>
          <w:spacing w:val="20"/>
          <w:sz w:val="17"/>
        </w:rPr>
        <w:t xml:space="preserve"> </w:t>
      </w:r>
      <w:r>
        <w:rPr>
          <w:color w:val="231F20"/>
          <w:w w:val="90"/>
          <w:sz w:val="17"/>
        </w:rPr>
        <w:t>event</w:t>
      </w:r>
      <w:r>
        <w:rPr>
          <w:color w:val="231F20"/>
          <w:spacing w:val="20"/>
          <w:sz w:val="17"/>
        </w:rPr>
        <w:t xml:space="preserve"> </w:t>
      </w:r>
      <w:r>
        <w:rPr>
          <w:color w:val="231F20"/>
          <w:spacing w:val="-5"/>
          <w:w w:val="90"/>
          <w:sz w:val="17"/>
        </w:rPr>
        <w:t>59</w:t>
      </w:r>
    </w:p>
    <w:p w14:paraId="3582A612" w14:textId="77777777" w:rsidR="00AE0598" w:rsidRDefault="0069255A">
      <w:pPr>
        <w:spacing w:before="1"/>
        <w:ind w:left="110"/>
        <w:rPr>
          <w:sz w:val="17"/>
        </w:rPr>
      </w:pPr>
      <w:r>
        <w:rPr>
          <w:color w:val="231F20"/>
          <w:w w:val="95"/>
          <w:sz w:val="17"/>
        </w:rPr>
        <w:t>heritage</w:t>
      </w:r>
      <w:r>
        <w:rPr>
          <w:color w:val="231F20"/>
          <w:spacing w:val="-4"/>
          <w:w w:val="95"/>
          <w:sz w:val="17"/>
        </w:rPr>
        <w:t xml:space="preserve"> </w:t>
      </w:r>
      <w:r>
        <w:rPr>
          <w:color w:val="231F20"/>
          <w:w w:val="95"/>
          <w:sz w:val="17"/>
        </w:rPr>
        <w:t>sport</w:t>
      </w:r>
      <w:r>
        <w:rPr>
          <w:color w:val="231F20"/>
          <w:spacing w:val="-4"/>
          <w:w w:val="95"/>
          <w:sz w:val="17"/>
        </w:rPr>
        <w:t xml:space="preserve"> </w:t>
      </w:r>
      <w:r>
        <w:rPr>
          <w:color w:val="231F20"/>
          <w:w w:val="95"/>
          <w:sz w:val="17"/>
        </w:rPr>
        <w:t>14,</w:t>
      </w:r>
      <w:r>
        <w:rPr>
          <w:color w:val="231F20"/>
          <w:spacing w:val="-4"/>
          <w:w w:val="95"/>
          <w:sz w:val="17"/>
        </w:rPr>
        <w:t xml:space="preserve"> </w:t>
      </w:r>
      <w:r>
        <w:rPr>
          <w:color w:val="231F20"/>
          <w:w w:val="95"/>
          <w:sz w:val="17"/>
        </w:rPr>
        <w:t>24,</w:t>
      </w:r>
      <w:r>
        <w:rPr>
          <w:color w:val="231F20"/>
          <w:spacing w:val="-4"/>
          <w:w w:val="95"/>
          <w:sz w:val="17"/>
        </w:rPr>
        <w:t xml:space="preserve"> </w:t>
      </w:r>
      <w:r>
        <w:rPr>
          <w:color w:val="231F20"/>
          <w:w w:val="95"/>
          <w:sz w:val="17"/>
        </w:rPr>
        <w:t>32,</w:t>
      </w:r>
      <w:r>
        <w:rPr>
          <w:color w:val="231F20"/>
          <w:spacing w:val="-4"/>
          <w:w w:val="95"/>
          <w:sz w:val="17"/>
        </w:rPr>
        <w:t xml:space="preserve"> </w:t>
      </w:r>
      <w:r>
        <w:rPr>
          <w:color w:val="231F20"/>
          <w:w w:val="95"/>
          <w:sz w:val="17"/>
        </w:rPr>
        <w:t>155,</w:t>
      </w:r>
      <w:r>
        <w:rPr>
          <w:color w:val="231F20"/>
          <w:spacing w:val="-4"/>
          <w:w w:val="95"/>
          <w:sz w:val="17"/>
        </w:rPr>
        <w:t xml:space="preserve"> </w:t>
      </w:r>
      <w:r>
        <w:rPr>
          <w:color w:val="231F20"/>
          <w:w w:val="95"/>
          <w:sz w:val="17"/>
        </w:rPr>
        <w:t>174,</w:t>
      </w:r>
      <w:r>
        <w:rPr>
          <w:color w:val="231F20"/>
          <w:spacing w:val="-4"/>
          <w:w w:val="95"/>
          <w:sz w:val="17"/>
        </w:rPr>
        <w:t xml:space="preserve"> </w:t>
      </w:r>
      <w:r>
        <w:rPr>
          <w:color w:val="231F20"/>
          <w:w w:val="95"/>
          <w:sz w:val="17"/>
        </w:rPr>
        <w:t>176</w:t>
      </w:r>
      <w:r>
        <w:rPr>
          <w:color w:val="231F20"/>
          <w:spacing w:val="40"/>
          <w:sz w:val="17"/>
        </w:rPr>
        <w:t xml:space="preserve"> </w:t>
      </w:r>
      <w:r>
        <w:rPr>
          <w:color w:val="231F20"/>
          <w:sz w:val="17"/>
        </w:rPr>
        <w:t>heritage sport experience 174</w:t>
      </w:r>
    </w:p>
    <w:p w14:paraId="7029D761" w14:textId="77777777" w:rsidR="00AE0598" w:rsidRDefault="0069255A">
      <w:pPr>
        <w:spacing w:before="1"/>
        <w:ind w:left="110"/>
        <w:rPr>
          <w:sz w:val="17"/>
        </w:rPr>
      </w:pPr>
      <w:r>
        <w:rPr>
          <w:color w:val="231F20"/>
          <w:w w:val="95"/>
          <w:sz w:val="17"/>
        </w:rPr>
        <w:t>heritage</w:t>
      </w:r>
      <w:r>
        <w:rPr>
          <w:color w:val="231F20"/>
          <w:spacing w:val="1"/>
          <w:sz w:val="17"/>
        </w:rPr>
        <w:t xml:space="preserve"> </w:t>
      </w:r>
      <w:r>
        <w:rPr>
          <w:color w:val="231F20"/>
          <w:w w:val="95"/>
          <w:sz w:val="17"/>
        </w:rPr>
        <w:t>sport</w:t>
      </w:r>
      <w:r>
        <w:rPr>
          <w:color w:val="231F20"/>
          <w:spacing w:val="2"/>
          <w:sz w:val="17"/>
        </w:rPr>
        <w:t xml:space="preserve"> </w:t>
      </w:r>
      <w:r>
        <w:rPr>
          <w:color w:val="231F20"/>
          <w:w w:val="95"/>
          <w:sz w:val="17"/>
        </w:rPr>
        <w:t>tourism</w:t>
      </w:r>
      <w:r>
        <w:rPr>
          <w:color w:val="231F20"/>
          <w:spacing w:val="2"/>
          <w:sz w:val="17"/>
        </w:rPr>
        <w:t xml:space="preserve"> </w:t>
      </w:r>
      <w:r>
        <w:rPr>
          <w:color w:val="231F20"/>
          <w:w w:val="95"/>
          <w:sz w:val="17"/>
        </w:rPr>
        <w:t>25,</w:t>
      </w:r>
      <w:r>
        <w:rPr>
          <w:color w:val="231F20"/>
          <w:spacing w:val="2"/>
          <w:sz w:val="17"/>
        </w:rPr>
        <w:t xml:space="preserve"> </w:t>
      </w:r>
      <w:r>
        <w:rPr>
          <w:color w:val="231F20"/>
          <w:w w:val="95"/>
          <w:sz w:val="17"/>
        </w:rPr>
        <w:t>32,</w:t>
      </w:r>
      <w:r>
        <w:rPr>
          <w:color w:val="231F20"/>
          <w:spacing w:val="2"/>
          <w:sz w:val="17"/>
        </w:rPr>
        <w:t xml:space="preserve"> </w:t>
      </w:r>
      <w:r>
        <w:rPr>
          <w:color w:val="231F20"/>
          <w:w w:val="95"/>
          <w:sz w:val="17"/>
        </w:rPr>
        <w:t>57,</w:t>
      </w:r>
      <w:r>
        <w:rPr>
          <w:color w:val="231F20"/>
          <w:spacing w:val="2"/>
          <w:sz w:val="17"/>
        </w:rPr>
        <w:t xml:space="preserve"> </w:t>
      </w:r>
      <w:r>
        <w:rPr>
          <w:color w:val="231F20"/>
          <w:w w:val="95"/>
          <w:sz w:val="17"/>
        </w:rPr>
        <w:t>59,</w:t>
      </w:r>
      <w:r>
        <w:rPr>
          <w:color w:val="231F20"/>
          <w:spacing w:val="2"/>
          <w:sz w:val="17"/>
        </w:rPr>
        <w:t xml:space="preserve"> </w:t>
      </w:r>
      <w:r>
        <w:rPr>
          <w:color w:val="231F20"/>
          <w:spacing w:val="-5"/>
          <w:w w:val="95"/>
          <w:sz w:val="17"/>
        </w:rPr>
        <w:t>72,</w:t>
      </w:r>
    </w:p>
    <w:p w14:paraId="10389216" w14:textId="77777777" w:rsidR="00AE0598" w:rsidRDefault="0069255A">
      <w:pPr>
        <w:spacing w:before="1"/>
        <w:ind w:left="470"/>
        <w:rPr>
          <w:sz w:val="17"/>
        </w:rPr>
      </w:pPr>
      <w:r>
        <w:rPr>
          <w:color w:val="231F20"/>
          <w:w w:val="90"/>
          <w:sz w:val="17"/>
        </w:rPr>
        <w:t>174,</w:t>
      </w:r>
      <w:r>
        <w:rPr>
          <w:color w:val="231F20"/>
          <w:spacing w:val="14"/>
          <w:sz w:val="17"/>
        </w:rPr>
        <w:t xml:space="preserve"> </w:t>
      </w:r>
      <w:r>
        <w:rPr>
          <w:color w:val="231F20"/>
          <w:w w:val="90"/>
          <w:sz w:val="17"/>
        </w:rPr>
        <w:t>199,</w:t>
      </w:r>
      <w:r>
        <w:rPr>
          <w:color w:val="231F20"/>
          <w:spacing w:val="15"/>
          <w:sz w:val="17"/>
        </w:rPr>
        <w:t xml:space="preserve"> </w:t>
      </w:r>
      <w:r>
        <w:rPr>
          <w:color w:val="231F20"/>
          <w:w w:val="90"/>
          <w:sz w:val="17"/>
        </w:rPr>
        <w:t>208,</w:t>
      </w:r>
      <w:r>
        <w:rPr>
          <w:color w:val="231F20"/>
          <w:spacing w:val="15"/>
          <w:sz w:val="17"/>
        </w:rPr>
        <w:t xml:space="preserve"> </w:t>
      </w:r>
      <w:r>
        <w:rPr>
          <w:color w:val="231F20"/>
          <w:w w:val="90"/>
          <w:sz w:val="17"/>
        </w:rPr>
        <w:t>209,</w:t>
      </w:r>
      <w:r>
        <w:rPr>
          <w:color w:val="231F20"/>
          <w:spacing w:val="15"/>
          <w:sz w:val="17"/>
        </w:rPr>
        <w:t xml:space="preserve"> </w:t>
      </w:r>
      <w:r>
        <w:rPr>
          <w:color w:val="231F20"/>
          <w:w w:val="90"/>
          <w:sz w:val="17"/>
        </w:rPr>
        <w:t>212,</w:t>
      </w:r>
      <w:r>
        <w:rPr>
          <w:color w:val="231F20"/>
          <w:spacing w:val="15"/>
          <w:sz w:val="17"/>
        </w:rPr>
        <w:t xml:space="preserve"> </w:t>
      </w:r>
      <w:r>
        <w:rPr>
          <w:color w:val="231F20"/>
          <w:spacing w:val="-5"/>
          <w:w w:val="90"/>
          <w:sz w:val="17"/>
        </w:rPr>
        <w:t>222</w:t>
      </w:r>
    </w:p>
    <w:p w14:paraId="6549148E" w14:textId="77777777" w:rsidR="00AE0598" w:rsidRDefault="0069255A">
      <w:pPr>
        <w:spacing w:before="1"/>
        <w:ind w:left="110"/>
        <w:rPr>
          <w:sz w:val="17"/>
        </w:rPr>
      </w:pPr>
      <w:r>
        <w:rPr>
          <w:color w:val="231F20"/>
          <w:w w:val="95"/>
          <w:sz w:val="17"/>
        </w:rPr>
        <w:t>heritage</w:t>
      </w:r>
      <w:r>
        <w:rPr>
          <w:color w:val="231F20"/>
          <w:spacing w:val="-3"/>
          <w:w w:val="95"/>
          <w:sz w:val="17"/>
        </w:rPr>
        <w:t xml:space="preserve"> </w:t>
      </w:r>
      <w:r>
        <w:rPr>
          <w:color w:val="231F20"/>
          <w:w w:val="95"/>
          <w:sz w:val="17"/>
        </w:rPr>
        <w:t>values</w:t>
      </w:r>
      <w:r>
        <w:rPr>
          <w:color w:val="231F20"/>
          <w:spacing w:val="-2"/>
          <w:w w:val="95"/>
          <w:sz w:val="17"/>
        </w:rPr>
        <w:t xml:space="preserve"> </w:t>
      </w:r>
      <w:r>
        <w:rPr>
          <w:color w:val="231F20"/>
          <w:w w:val="95"/>
          <w:sz w:val="17"/>
        </w:rPr>
        <w:t>40,</w:t>
      </w:r>
      <w:r>
        <w:rPr>
          <w:color w:val="231F20"/>
          <w:spacing w:val="-2"/>
          <w:w w:val="95"/>
          <w:sz w:val="17"/>
        </w:rPr>
        <w:t xml:space="preserve"> </w:t>
      </w:r>
      <w:r>
        <w:rPr>
          <w:color w:val="231F20"/>
          <w:w w:val="95"/>
          <w:sz w:val="17"/>
        </w:rPr>
        <w:t>59,</w:t>
      </w:r>
      <w:r>
        <w:rPr>
          <w:color w:val="231F20"/>
          <w:spacing w:val="-3"/>
          <w:w w:val="95"/>
          <w:sz w:val="17"/>
        </w:rPr>
        <w:t xml:space="preserve"> </w:t>
      </w:r>
      <w:r>
        <w:rPr>
          <w:color w:val="231F20"/>
          <w:w w:val="95"/>
          <w:sz w:val="17"/>
        </w:rPr>
        <w:t>107,</w:t>
      </w:r>
      <w:r>
        <w:rPr>
          <w:color w:val="231F20"/>
          <w:spacing w:val="-2"/>
          <w:w w:val="95"/>
          <w:sz w:val="17"/>
        </w:rPr>
        <w:t xml:space="preserve"> </w:t>
      </w:r>
      <w:r>
        <w:rPr>
          <w:color w:val="231F20"/>
          <w:w w:val="95"/>
          <w:sz w:val="17"/>
        </w:rPr>
        <w:t>174,</w:t>
      </w:r>
      <w:r>
        <w:rPr>
          <w:color w:val="231F20"/>
          <w:spacing w:val="-2"/>
          <w:w w:val="95"/>
          <w:sz w:val="17"/>
        </w:rPr>
        <w:t xml:space="preserve"> </w:t>
      </w:r>
      <w:r>
        <w:rPr>
          <w:color w:val="231F20"/>
          <w:spacing w:val="-5"/>
          <w:w w:val="95"/>
          <w:sz w:val="17"/>
        </w:rPr>
        <w:t>177</w:t>
      </w:r>
    </w:p>
    <w:p w14:paraId="3FA67F20" w14:textId="77777777" w:rsidR="00AE0598" w:rsidRDefault="0069255A">
      <w:pPr>
        <w:spacing w:before="1"/>
        <w:ind w:left="110"/>
        <w:rPr>
          <w:sz w:val="17"/>
        </w:rPr>
      </w:pPr>
      <w:r>
        <w:rPr>
          <w:color w:val="231F20"/>
          <w:w w:val="90"/>
          <w:sz w:val="17"/>
        </w:rPr>
        <w:t>heterogenisation</w:t>
      </w:r>
      <w:r>
        <w:rPr>
          <w:color w:val="231F20"/>
          <w:spacing w:val="66"/>
          <w:sz w:val="17"/>
        </w:rPr>
        <w:t xml:space="preserve"> </w:t>
      </w:r>
      <w:r>
        <w:rPr>
          <w:color w:val="231F20"/>
          <w:spacing w:val="-5"/>
          <w:w w:val="95"/>
          <w:sz w:val="17"/>
        </w:rPr>
        <w:t>80</w:t>
      </w:r>
    </w:p>
    <w:p w14:paraId="7167CBE8" w14:textId="77777777" w:rsidR="00AE0598" w:rsidRDefault="0069255A">
      <w:pPr>
        <w:ind w:left="110" w:right="498"/>
        <w:rPr>
          <w:sz w:val="17"/>
        </w:rPr>
      </w:pPr>
      <w:r>
        <w:rPr>
          <w:color w:val="231F20"/>
          <w:w w:val="95"/>
          <w:sz w:val="17"/>
        </w:rPr>
        <w:t>hierarchy of sport locations 110</w:t>
      </w:r>
      <w:r>
        <w:rPr>
          <w:color w:val="231F20"/>
          <w:spacing w:val="40"/>
          <w:sz w:val="17"/>
        </w:rPr>
        <w:t xml:space="preserve"> </w:t>
      </w:r>
      <w:r>
        <w:rPr>
          <w:color w:val="231F20"/>
          <w:sz w:val="17"/>
        </w:rPr>
        <w:t>hiking 29, 43, 56, 191</w:t>
      </w:r>
    </w:p>
    <w:p w14:paraId="360688F4" w14:textId="77777777" w:rsidR="00AE0598" w:rsidRDefault="0069255A">
      <w:pPr>
        <w:spacing w:before="2"/>
        <w:ind w:left="110"/>
        <w:rPr>
          <w:sz w:val="17"/>
        </w:rPr>
      </w:pPr>
      <w:r>
        <w:rPr>
          <w:color w:val="231F20"/>
          <w:sz w:val="17"/>
        </w:rPr>
        <w:t>Hokkaido</w:t>
      </w:r>
      <w:r>
        <w:rPr>
          <w:color w:val="231F20"/>
          <w:spacing w:val="27"/>
          <w:sz w:val="17"/>
        </w:rPr>
        <w:t xml:space="preserve"> </w:t>
      </w:r>
      <w:r>
        <w:rPr>
          <w:color w:val="231F20"/>
          <w:spacing w:val="-5"/>
          <w:sz w:val="17"/>
        </w:rPr>
        <w:t>13</w:t>
      </w:r>
    </w:p>
    <w:p w14:paraId="33C0D447" w14:textId="77777777" w:rsidR="00AE0598" w:rsidRDefault="0069255A">
      <w:pPr>
        <w:ind w:left="110"/>
        <w:rPr>
          <w:sz w:val="17"/>
        </w:rPr>
      </w:pPr>
      <w:r>
        <w:rPr>
          <w:color w:val="231F20"/>
          <w:w w:val="95"/>
          <w:sz w:val="17"/>
        </w:rPr>
        <w:t>holiday</w:t>
      </w:r>
      <w:r>
        <w:rPr>
          <w:color w:val="231F20"/>
          <w:spacing w:val="10"/>
          <w:sz w:val="17"/>
        </w:rPr>
        <w:t xml:space="preserve"> </w:t>
      </w:r>
      <w:r>
        <w:rPr>
          <w:color w:val="231F20"/>
          <w:w w:val="95"/>
          <w:sz w:val="17"/>
        </w:rPr>
        <w:t>club</w:t>
      </w:r>
      <w:r>
        <w:rPr>
          <w:color w:val="231F20"/>
          <w:spacing w:val="11"/>
          <w:sz w:val="17"/>
        </w:rPr>
        <w:t xml:space="preserve"> </w:t>
      </w:r>
      <w:r>
        <w:rPr>
          <w:color w:val="231F20"/>
          <w:spacing w:val="-5"/>
          <w:w w:val="95"/>
          <w:sz w:val="17"/>
        </w:rPr>
        <w:t>43</w:t>
      </w:r>
    </w:p>
    <w:p w14:paraId="079C8741" w14:textId="77777777" w:rsidR="00AE0598" w:rsidRDefault="0069255A">
      <w:pPr>
        <w:spacing w:before="1"/>
        <w:ind w:left="110"/>
        <w:rPr>
          <w:sz w:val="17"/>
        </w:rPr>
      </w:pPr>
      <w:r>
        <w:rPr>
          <w:color w:val="231F20"/>
          <w:w w:val="95"/>
          <w:sz w:val="17"/>
        </w:rPr>
        <w:t>Holmenkollen</w:t>
      </w:r>
      <w:r>
        <w:rPr>
          <w:color w:val="231F20"/>
          <w:spacing w:val="27"/>
          <w:sz w:val="17"/>
        </w:rPr>
        <w:t xml:space="preserve"> </w:t>
      </w:r>
      <w:r>
        <w:rPr>
          <w:color w:val="231F20"/>
          <w:w w:val="95"/>
          <w:sz w:val="17"/>
        </w:rPr>
        <w:t>60,</w:t>
      </w:r>
      <w:r>
        <w:rPr>
          <w:color w:val="231F20"/>
          <w:spacing w:val="27"/>
          <w:sz w:val="17"/>
        </w:rPr>
        <w:t xml:space="preserve"> </w:t>
      </w:r>
      <w:r>
        <w:rPr>
          <w:color w:val="231F20"/>
          <w:spacing w:val="-5"/>
          <w:w w:val="95"/>
          <w:sz w:val="17"/>
        </w:rPr>
        <w:t>139</w:t>
      </w:r>
    </w:p>
    <w:p w14:paraId="1AFD8BD4" w14:textId="77777777" w:rsidR="00AE0598" w:rsidRDefault="0069255A">
      <w:pPr>
        <w:spacing w:before="1"/>
        <w:ind w:left="110"/>
        <w:rPr>
          <w:sz w:val="17"/>
        </w:rPr>
      </w:pPr>
      <w:r>
        <w:rPr>
          <w:color w:val="231F20"/>
          <w:w w:val="95"/>
          <w:sz w:val="17"/>
        </w:rPr>
        <w:t>homogenisation</w:t>
      </w:r>
      <w:r>
        <w:rPr>
          <w:color w:val="231F20"/>
          <w:spacing w:val="16"/>
          <w:sz w:val="17"/>
        </w:rPr>
        <w:t xml:space="preserve"> </w:t>
      </w:r>
      <w:r>
        <w:rPr>
          <w:color w:val="231F20"/>
          <w:w w:val="95"/>
          <w:sz w:val="17"/>
        </w:rPr>
        <w:t>79–80,</w:t>
      </w:r>
      <w:r>
        <w:rPr>
          <w:color w:val="231F20"/>
          <w:spacing w:val="16"/>
          <w:sz w:val="17"/>
        </w:rPr>
        <w:t xml:space="preserve"> </w:t>
      </w:r>
      <w:r>
        <w:rPr>
          <w:color w:val="231F20"/>
          <w:spacing w:val="-5"/>
          <w:w w:val="95"/>
          <w:sz w:val="17"/>
        </w:rPr>
        <w:t>147</w:t>
      </w:r>
    </w:p>
    <w:p w14:paraId="0BE9F4DF" w14:textId="77777777" w:rsidR="00AE0598" w:rsidRDefault="0069255A">
      <w:pPr>
        <w:ind w:left="110"/>
        <w:rPr>
          <w:sz w:val="17"/>
        </w:rPr>
      </w:pPr>
      <w:r>
        <w:rPr>
          <w:color w:val="231F20"/>
          <w:w w:val="95"/>
          <w:sz w:val="17"/>
        </w:rPr>
        <w:t>honeymoon</w:t>
      </w:r>
      <w:r>
        <w:rPr>
          <w:color w:val="231F20"/>
          <w:spacing w:val="13"/>
          <w:sz w:val="17"/>
        </w:rPr>
        <w:t xml:space="preserve"> </w:t>
      </w:r>
      <w:r>
        <w:rPr>
          <w:color w:val="231F20"/>
          <w:w w:val="95"/>
          <w:sz w:val="17"/>
        </w:rPr>
        <w:t>tourism</w:t>
      </w:r>
      <w:r>
        <w:rPr>
          <w:color w:val="231F20"/>
          <w:spacing w:val="14"/>
          <w:sz w:val="17"/>
        </w:rPr>
        <w:t xml:space="preserve"> </w:t>
      </w:r>
      <w:r>
        <w:rPr>
          <w:color w:val="231F20"/>
          <w:spacing w:val="-5"/>
          <w:w w:val="95"/>
          <w:sz w:val="17"/>
        </w:rPr>
        <w:t>200</w:t>
      </w:r>
    </w:p>
    <w:p w14:paraId="2963D2F9" w14:textId="77777777" w:rsidR="00AE0598" w:rsidRDefault="0069255A">
      <w:pPr>
        <w:spacing w:before="1"/>
        <w:ind w:left="110"/>
        <w:rPr>
          <w:sz w:val="17"/>
        </w:rPr>
      </w:pPr>
      <w:r>
        <w:rPr>
          <w:color w:val="231F20"/>
          <w:w w:val="95"/>
          <w:sz w:val="17"/>
        </w:rPr>
        <w:t>host</w:t>
      </w:r>
      <w:r>
        <w:rPr>
          <w:color w:val="231F20"/>
          <w:spacing w:val="1"/>
          <w:sz w:val="17"/>
        </w:rPr>
        <w:t xml:space="preserve"> </w:t>
      </w:r>
      <w:r>
        <w:rPr>
          <w:color w:val="231F20"/>
          <w:w w:val="95"/>
          <w:sz w:val="17"/>
        </w:rPr>
        <w:t>city</w:t>
      </w:r>
      <w:r>
        <w:rPr>
          <w:color w:val="231F20"/>
          <w:spacing w:val="2"/>
          <w:sz w:val="17"/>
        </w:rPr>
        <w:t xml:space="preserve"> </w:t>
      </w:r>
      <w:r>
        <w:rPr>
          <w:color w:val="231F20"/>
          <w:w w:val="95"/>
          <w:sz w:val="17"/>
        </w:rPr>
        <w:t>26,</w:t>
      </w:r>
      <w:r>
        <w:rPr>
          <w:color w:val="231F20"/>
          <w:spacing w:val="1"/>
          <w:sz w:val="17"/>
        </w:rPr>
        <w:t xml:space="preserve"> </w:t>
      </w:r>
      <w:r>
        <w:rPr>
          <w:color w:val="231F20"/>
          <w:w w:val="95"/>
          <w:sz w:val="17"/>
        </w:rPr>
        <w:t>47,</w:t>
      </w:r>
      <w:r>
        <w:rPr>
          <w:color w:val="231F20"/>
          <w:spacing w:val="2"/>
          <w:sz w:val="17"/>
        </w:rPr>
        <w:t xml:space="preserve"> </w:t>
      </w:r>
      <w:r>
        <w:rPr>
          <w:color w:val="231F20"/>
          <w:w w:val="95"/>
          <w:sz w:val="17"/>
        </w:rPr>
        <w:t>84,</w:t>
      </w:r>
      <w:r>
        <w:rPr>
          <w:color w:val="231F20"/>
          <w:spacing w:val="1"/>
          <w:sz w:val="17"/>
        </w:rPr>
        <w:t xml:space="preserve"> </w:t>
      </w:r>
      <w:r>
        <w:rPr>
          <w:color w:val="231F20"/>
          <w:w w:val="95"/>
          <w:sz w:val="17"/>
        </w:rPr>
        <w:t>96,</w:t>
      </w:r>
      <w:r>
        <w:rPr>
          <w:color w:val="231F20"/>
          <w:spacing w:val="2"/>
          <w:sz w:val="17"/>
        </w:rPr>
        <w:t xml:space="preserve"> </w:t>
      </w:r>
      <w:r>
        <w:rPr>
          <w:color w:val="231F20"/>
          <w:w w:val="95"/>
          <w:sz w:val="17"/>
        </w:rPr>
        <w:t>102,</w:t>
      </w:r>
      <w:r>
        <w:rPr>
          <w:color w:val="231F20"/>
          <w:spacing w:val="1"/>
          <w:sz w:val="17"/>
        </w:rPr>
        <w:t xml:space="preserve"> </w:t>
      </w:r>
      <w:r>
        <w:rPr>
          <w:color w:val="231F20"/>
          <w:w w:val="95"/>
          <w:sz w:val="17"/>
        </w:rPr>
        <w:t>107,</w:t>
      </w:r>
      <w:r>
        <w:rPr>
          <w:color w:val="231F20"/>
          <w:spacing w:val="2"/>
          <w:sz w:val="17"/>
        </w:rPr>
        <w:t xml:space="preserve"> </w:t>
      </w:r>
      <w:r>
        <w:rPr>
          <w:color w:val="231F20"/>
          <w:w w:val="95"/>
          <w:sz w:val="17"/>
        </w:rPr>
        <w:t>113,</w:t>
      </w:r>
      <w:r>
        <w:rPr>
          <w:color w:val="231F20"/>
          <w:spacing w:val="1"/>
          <w:sz w:val="17"/>
        </w:rPr>
        <w:t xml:space="preserve"> </w:t>
      </w:r>
      <w:r>
        <w:rPr>
          <w:color w:val="231F20"/>
          <w:spacing w:val="-4"/>
          <w:w w:val="95"/>
          <w:sz w:val="17"/>
        </w:rPr>
        <w:t>116,</w:t>
      </w:r>
    </w:p>
    <w:p w14:paraId="75A16AA1" w14:textId="77777777" w:rsidR="00AE0598" w:rsidRDefault="0069255A">
      <w:pPr>
        <w:spacing w:before="1"/>
        <w:ind w:left="470"/>
        <w:rPr>
          <w:sz w:val="17"/>
        </w:rPr>
      </w:pPr>
      <w:r>
        <w:rPr>
          <w:color w:val="231F20"/>
          <w:w w:val="90"/>
          <w:sz w:val="17"/>
        </w:rPr>
        <w:t>121,</w:t>
      </w:r>
      <w:r>
        <w:rPr>
          <w:color w:val="231F20"/>
          <w:spacing w:val="7"/>
          <w:sz w:val="17"/>
        </w:rPr>
        <w:t xml:space="preserve"> </w:t>
      </w:r>
      <w:r>
        <w:rPr>
          <w:color w:val="231F20"/>
          <w:w w:val="90"/>
          <w:sz w:val="17"/>
        </w:rPr>
        <w:t>129,</w:t>
      </w:r>
      <w:r>
        <w:rPr>
          <w:color w:val="231F20"/>
          <w:spacing w:val="8"/>
          <w:sz w:val="17"/>
        </w:rPr>
        <w:t xml:space="preserve"> </w:t>
      </w:r>
      <w:r>
        <w:rPr>
          <w:color w:val="231F20"/>
          <w:w w:val="90"/>
          <w:sz w:val="17"/>
        </w:rPr>
        <w:t>145,</w:t>
      </w:r>
      <w:r>
        <w:rPr>
          <w:color w:val="231F20"/>
          <w:spacing w:val="8"/>
          <w:sz w:val="17"/>
        </w:rPr>
        <w:t xml:space="preserve"> </w:t>
      </w:r>
      <w:r>
        <w:rPr>
          <w:color w:val="231F20"/>
          <w:w w:val="90"/>
          <w:sz w:val="17"/>
        </w:rPr>
        <w:t>175,</w:t>
      </w:r>
      <w:r>
        <w:rPr>
          <w:color w:val="231F20"/>
          <w:spacing w:val="8"/>
          <w:sz w:val="17"/>
        </w:rPr>
        <w:t xml:space="preserve"> </w:t>
      </w:r>
      <w:r>
        <w:rPr>
          <w:color w:val="231F20"/>
          <w:spacing w:val="-5"/>
          <w:w w:val="90"/>
          <w:sz w:val="17"/>
        </w:rPr>
        <w:t>189</w:t>
      </w:r>
    </w:p>
    <w:p w14:paraId="4C8489F7" w14:textId="77777777" w:rsidR="00AE0598" w:rsidRDefault="0069255A">
      <w:pPr>
        <w:spacing w:before="98"/>
        <w:ind w:left="110" w:right="181"/>
        <w:rPr>
          <w:sz w:val="17"/>
        </w:rPr>
      </w:pPr>
      <w:r>
        <w:br w:type="column"/>
      </w:r>
      <w:r>
        <w:rPr>
          <w:color w:val="231F20"/>
          <w:w w:val="95"/>
          <w:sz w:val="17"/>
        </w:rPr>
        <w:t>host</w:t>
      </w:r>
      <w:r>
        <w:rPr>
          <w:color w:val="231F20"/>
          <w:spacing w:val="-6"/>
          <w:w w:val="95"/>
          <w:sz w:val="17"/>
        </w:rPr>
        <w:t xml:space="preserve"> </w:t>
      </w:r>
      <w:r>
        <w:rPr>
          <w:color w:val="231F20"/>
          <w:w w:val="95"/>
          <w:sz w:val="17"/>
        </w:rPr>
        <w:t>community</w:t>
      </w:r>
      <w:r>
        <w:rPr>
          <w:color w:val="231F20"/>
          <w:spacing w:val="-6"/>
          <w:w w:val="95"/>
          <w:sz w:val="17"/>
        </w:rPr>
        <w:t xml:space="preserve"> </w:t>
      </w:r>
      <w:r>
        <w:rPr>
          <w:color w:val="231F20"/>
          <w:w w:val="95"/>
          <w:sz w:val="17"/>
        </w:rPr>
        <w:t>78,</w:t>
      </w:r>
      <w:r>
        <w:rPr>
          <w:color w:val="231F20"/>
          <w:spacing w:val="-6"/>
          <w:w w:val="95"/>
          <w:sz w:val="17"/>
        </w:rPr>
        <w:t xml:space="preserve"> </w:t>
      </w:r>
      <w:r>
        <w:rPr>
          <w:color w:val="231F20"/>
          <w:w w:val="95"/>
          <w:sz w:val="17"/>
        </w:rPr>
        <w:t>119,</w:t>
      </w:r>
      <w:r>
        <w:rPr>
          <w:color w:val="231F20"/>
          <w:spacing w:val="-6"/>
          <w:w w:val="95"/>
          <w:sz w:val="17"/>
        </w:rPr>
        <w:t xml:space="preserve"> </w:t>
      </w:r>
      <w:r>
        <w:rPr>
          <w:color w:val="231F20"/>
          <w:w w:val="95"/>
          <w:sz w:val="17"/>
        </w:rPr>
        <w:t>129,</w:t>
      </w:r>
      <w:r>
        <w:rPr>
          <w:color w:val="231F20"/>
          <w:spacing w:val="-6"/>
          <w:w w:val="95"/>
          <w:sz w:val="17"/>
        </w:rPr>
        <w:t xml:space="preserve"> </w:t>
      </w:r>
      <w:r>
        <w:rPr>
          <w:color w:val="231F20"/>
          <w:w w:val="95"/>
          <w:sz w:val="17"/>
        </w:rPr>
        <w:t>145,</w:t>
      </w:r>
      <w:r>
        <w:rPr>
          <w:color w:val="231F20"/>
          <w:spacing w:val="-6"/>
          <w:w w:val="95"/>
          <w:sz w:val="17"/>
        </w:rPr>
        <w:t xml:space="preserve"> </w:t>
      </w:r>
      <w:r>
        <w:rPr>
          <w:color w:val="231F20"/>
          <w:w w:val="95"/>
          <w:sz w:val="17"/>
        </w:rPr>
        <w:t>174–175</w:t>
      </w:r>
      <w:r>
        <w:rPr>
          <w:color w:val="231F20"/>
          <w:spacing w:val="40"/>
          <w:sz w:val="17"/>
        </w:rPr>
        <w:t xml:space="preserve"> </w:t>
      </w:r>
      <w:r>
        <w:rPr>
          <w:color w:val="231F20"/>
          <w:sz w:val="17"/>
        </w:rPr>
        <w:t>HSBC World Seven Series 97</w:t>
      </w:r>
      <w:r>
        <w:rPr>
          <w:color w:val="231F20"/>
          <w:spacing w:val="40"/>
          <w:sz w:val="17"/>
        </w:rPr>
        <w:t xml:space="preserve"> </w:t>
      </w:r>
      <w:r>
        <w:rPr>
          <w:color w:val="231F20"/>
          <w:sz w:val="17"/>
        </w:rPr>
        <w:t>hypermobility 132</w:t>
      </w:r>
    </w:p>
    <w:p w14:paraId="13AD9CBA" w14:textId="77777777" w:rsidR="00AE0598" w:rsidRDefault="00AE0598">
      <w:pPr>
        <w:pStyle w:val="Corpodetexto"/>
        <w:spacing w:before="4"/>
        <w:rPr>
          <w:sz w:val="16"/>
        </w:rPr>
      </w:pPr>
    </w:p>
    <w:p w14:paraId="066256CD" w14:textId="77777777" w:rsidR="00AE0598" w:rsidRDefault="0069255A">
      <w:pPr>
        <w:ind w:left="110"/>
        <w:rPr>
          <w:sz w:val="17"/>
        </w:rPr>
      </w:pPr>
      <w:r>
        <w:rPr>
          <w:color w:val="231F20"/>
          <w:w w:val="105"/>
          <w:sz w:val="17"/>
        </w:rPr>
        <w:t>ICC</w:t>
      </w:r>
      <w:r>
        <w:rPr>
          <w:color w:val="231F20"/>
          <w:spacing w:val="-4"/>
          <w:w w:val="105"/>
          <w:sz w:val="17"/>
        </w:rPr>
        <w:t xml:space="preserve"> </w:t>
      </w:r>
      <w:r>
        <w:rPr>
          <w:color w:val="231F20"/>
          <w:w w:val="105"/>
          <w:sz w:val="17"/>
        </w:rPr>
        <w:t>Cricket</w:t>
      </w:r>
      <w:r>
        <w:rPr>
          <w:color w:val="231F20"/>
          <w:spacing w:val="-4"/>
          <w:w w:val="105"/>
          <w:sz w:val="17"/>
        </w:rPr>
        <w:t xml:space="preserve"> </w:t>
      </w:r>
      <w:r>
        <w:rPr>
          <w:color w:val="231F20"/>
          <w:w w:val="105"/>
          <w:sz w:val="17"/>
        </w:rPr>
        <w:t>World</w:t>
      </w:r>
      <w:r>
        <w:rPr>
          <w:color w:val="231F20"/>
          <w:spacing w:val="-4"/>
          <w:w w:val="105"/>
          <w:sz w:val="17"/>
        </w:rPr>
        <w:t xml:space="preserve"> </w:t>
      </w:r>
      <w:r>
        <w:rPr>
          <w:color w:val="231F20"/>
          <w:w w:val="105"/>
          <w:sz w:val="17"/>
        </w:rPr>
        <w:t>Cup</w:t>
      </w:r>
      <w:r>
        <w:rPr>
          <w:color w:val="231F20"/>
          <w:spacing w:val="-4"/>
          <w:w w:val="105"/>
          <w:sz w:val="17"/>
        </w:rPr>
        <w:t xml:space="preserve"> </w:t>
      </w:r>
      <w:r>
        <w:rPr>
          <w:color w:val="231F20"/>
          <w:spacing w:val="-5"/>
          <w:w w:val="105"/>
          <w:sz w:val="17"/>
        </w:rPr>
        <w:t>76</w:t>
      </w:r>
    </w:p>
    <w:p w14:paraId="05A8B80A" w14:textId="77777777" w:rsidR="00AE0598" w:rsidRDefault="0069255A">
      <w:pPr>
        <w:spacing w:before="1"/>
        <w:ind w:left="110"/>
        <w:rPr>
          <w:sz w:val="17"/>
        </w:rPr>
      </w:pPr>
      <w:r>
        <w:rPr>
          <w:color w:val="231F20"/>
          <w:w w:val="95"/>
          <w:sz w:val="17"/>
        </w:rPr>
        <w:t>ice</w:t>
      </w:r>
      <w:r>
        <w:rPr>
          <w:color w:val="231F20"/>
          <w:spacing w:val="2"/>
          <w:sz w:val="17"/>
        </w:rPr>
        <w:t xml:space="preserve"> </w:t>
      </w:r>
      <w:r>
        <w:rPr>
          <w:color w:val="231F20"/>
          <w:w w:val="95"/>
          <w:sz w:val="17"/>
        </w:rPr>
        <w:t>hockey</w:t>
      </w:r>
      <w:r>
        <w:rPr>
          <w:color w:val="231F20"/>
          <w:spacing w:val="3"/>
          <w:sz w:val="17"/>
        </w:rPr>
        <w:t xml:space="preserve"> </w:t>
      </w:r>
      <w:r>
        <w:rPr>
          <w:color w:val="231F20"/>
          <w:w w:val="95"/>
          <w:sz w:val="17"/>
        </w:rPr>
        <w:t>11,</w:t>
      </w:r>
      <w:r>
        <w:rPr>
          <w:color w:val="231F20"/>
          <w:spacing w:val="2"/>
          <w:sz w:val="17"/>
        </w:rPr>
        <w:t xml:space="preserve"> </w:t>
      </w:r>
      <w:r>
        <w:rPr>
          <w:color w:val="231F20"/>
          <w:w w:val="95"/>
          <w:sz w:val="17"/>
        </w:rPr>
        <w:t>52,</w:t>
      </w:r>
      <w:r>
        <w:rPr>
          <w:color w:val="231F20"/>
          <w:spacing w:val="2"/>
          <w:sz w:val="17"/>
        </w:rPr>
        <w:t xml:space="preserve"> </w:t>
      </w:r>
      <w:r>
        <w:rPr>
          <w:color w:val="231F20"/>
          <w:w w:val="95"/>
          <w:sz w:val="17"/>
        </w:rPr>
        <w:t>54,</w:t>
      </w:r>
      <w:r>
        <w:rPr>
          <w:color w:val="231F20"/>
          <w:spacing w:val="3"/>
          <w:sz w:val="17"/>
        </w:rPr>
        <w:t xml:space="preserve"> </w:t>
      </w:r>
      <w:r>
        <w:rPr>
          <w:color w:val="231F20"/>
          <w:w w:val="95"/>
          <w:sz w:val="17"/>
        </w:rPr>
        <w:t>105–106,</w:t>
      </w:r>
      <w:r>
        <w:rPr>
          <w:color w:val="231F20"/>
          <w:spacing w:val="2"/>
          <w:sz w:val="17"/>
        </w:rPr>
        <w:t xml:space="preserve"> </w:t>
      </w:r>
      <w:r>
        <w:rPr>
          <w:color w:val="231F20"/>
          <w:w w:val="95"/>
          <w:sz w:val="17"/>
        </w:rPr>
        <w:t>138,</w:t>
      </w:r>
      <w:r>
        <w:rPr>
          <w:color w:val="231F20"/>
          <w:spacing w:val="3"/>
          <w:sz w:val="17"/>
        </w:rPr>
        <w:t xml:space="preserve"> </w:t>
      </w:r>
      <w:r>
        <w:rPr>
          <w:color w:val="231F20"/>
          <w:spacing w:val="-4"/>
          <w:w w:val="95"/>
          <w:sz w:val="17"/>
        </w:rPr>
        <w:t>164,</w:t>
      </w:r>
    </w:p>
    <w:p w14:paraId="34A908A3" w14:textId="77777777" w:rsidR="00AE0598" w:rsidRDefault="0069255A">
      <w:pPr>
        <w:spacing w:before="1"/>
        <w:ind w:left="88" w:right="1922"/>
        <w:jc w:val="center"/>
        <w:rPr>
          <w:sz w:val="17"/>
        </w:rPr>
      </w:pPr>
      <w:r>
        <w:rPr>
          <w:color w:val="231F20"/>
          <w:w w:val="90"/>
          <w:sz w:val="17"/>
        </w:rPr>
        <w:t>189,</w:t>
      </w:r>
      <w:r>
        <w:rPr>
          <w:color w:val="231F20"/>
          <w:spacing w:val="3"/>
          <w:sz w:val="17"/>
        </w:rPr>
        <w:t xml:space="preserve"> </w:t>
      </w:r>
      <w:r>
        <w:rPr>
          <w:color w:val="231F20"/>
          <w:spacing w:val="-5"/>
          <w:sz w:val="17"/>
        </w:rPr>
        <w:t>210</w:t>
      </w:r>
    </w:p>
    <w:p w14:paraId="53BD271C" w14:textId="77777777" w:rsidR="00AE0598" w:rsidRDefault="0069255A">
      <w:pPr>
        <w:ind w:left="101" w:right="1922"/>
        <w:jc w:val="center"/>
        <w:rPr>
          <w:sz w:val="17"/>
        </w:rPr>
      </w:pPr>
      <w:r>
        <w:rPr>
          <w:color w:val="231F20"/>
          <w:w w:val="95"/>
          <w:sz w:val="17"/>
        </w:rPr>
        <w:t>imagery</w:t>
      </w:r>
      <w:r>
        <w:rPr>
          <w:color w:val="231F20"/>
          <w:spacing w:val="10"/>
          <w:sz w:val="17"/>
        </w:rPr>
        <w:t xml:space="preserve"> </w:t>
      </w:r>
      <w:r>
        <w:rPr>
          <w:color w:val="231F20"/>
          <w:w w:val="95"/>
          <w:sz w:val="17"/>
        </w:rPr>
        <w:t>8,</w:t>
      </w:r>
      <w:r>
        <w:rPr>
          <w:color w:val="231F20"/>
          <w:spacing w:val="10"/>
          <w:sz w:val="17"/>
        </w:rPr>
        <w:t xml:space="preserve"> </w:t>
      </w:r>
      <w:r>
        <w:rPr>
          <w:color w:val="231F20"/>
          <w:w w:val="95"/>
          <w:sz w:val="17"/>
        </w:rPr>
        <w:t>98,</w:t>
      </w:r>
      <w:r>
        <w:rPr>
          <w:color w:val="231F20"/>
          <w:spacing w:val="10"/>
          <w:sz w:val="17"/>
        </w:rPr>
        <w:t xml:space="preserve"> </w:t>
      </w:r>
      <w:r>
        <w:rPr>
          <w:color w:val="231F20"/>
          <w:spacing w:val="-5"/>
          <w:w w:val="95"/>
          <w:sz w:val="17"/>
        </w:rPr>
        <w:t>227</w:t>
      </w:r>
    </w:p>
    <w:p w14:paraId="1A924B78" w14:textId="77777777" w:rsidR="00AE0598" w:rsidRDefault="0069255A">
      <w:pPr>
        <w:spacing w:before="1"/>
        <w:ind w:left="110"/>
        <w:rPr>
          <w:sz w:val="17"/>
        </w:rPr>
      </w:pPr>
      <w:r>
        <w:rPr>
          <w:color w:val="231F20"/>
          <w:w w:val="95"/>
          <w:sz w:val="17"/>
        </w:rPr>
        <w:t>imperialism</w:t>
      </w:r>
      <w:r>
        <w:rPr>
          <w:color w:val="231F20"/>
          <w:spacing w:val="12"/>
          <w:sz w:val="17"/>
        </w:rPr>
        <w:t xml:space="preserve"> </w:t>
      </w:r>
      <w:r>
        <w:rPr>
          <w:color w:val="231F20"/>
          <w:spacing w:val="-5"/>
          <w:sz w:val="17"/>
        </w:rPr>
        <w:t>75</w:t>
      </w:r>
    </w:p>
    <w:p w14:paraId="7965FC74" w14:textId="77777777" w:rsidR="00AE0598" w:rsidRDefault="0069255A">
      <w:pPr>
        <w:spacing w:before="1"/>
        <w:ind w:left="110"/>
        <w:rPr>
          <w:sz w:val="17"/>
        </w:rPr>
      </w:pPr>
      <w:r>
        <w:rPr>
          <w:color w:val="231F20"/>
          <w:w w:val="95"/>
          <w:sz w:val="17"/>
        </w:rPr>
        <w:t>income</w:t>
      </w:r>
      <w:r>
        <w:rPr>
          <w:color w:val="231F20"/>
          <w:spacing w:val="4"/>
          <w:sz w:val="17"/>
        </w:rPr>
        <w:t xml:space="preserve"> </w:t>
      </w:r>
      <w:r>
        <w:rPr>
          <w:color w:val="231F20"/>
          <w:w w:val="95"/>
          <w:sz w:val="17"/>
        </w:rPr>
        <w:t>52,</w:t>
      </w:r>
      <w:r>
        <w:rPr>
          <w:color w:val="231F20"/>
          <w:spacing w:val="5"/>
          <w:sz w:val="17"/>
        </w:rPr>
        <w:t xml:space="preserve"> </w:t>
      </w:r>
      <w:r>
        <w:rPr>
          <w:color w:val="231F20"/>
          <w:w w:val="95"/>
          <w:sz w:val="17"/>
        </w:rPr>
        <w:t>54,</w:t>
      </w:r>
      <w:r>
        <w:rPr>
          <w:color w:val="231F20"/>
          <w:spacing w:val="4"/>
          <w:sz w:val="17"/>
        </w:rPr>
        <w:t xml:space="preserve"> </w:t>
      </w:r>
      <w:r>
        <w:rPr>
          <w:color w:val="231F20"/>
          <w:w w:val="95"/>
          <w:sz w:val="17"/>
        </w:rPr>
        <w:t>64,</w:t>
      </w:r>
      <w:r>
        <w:rPr>
          <w:color w:val="231F20"/>
          <w:spacing w:val="5"/>
          <w:sz w:val="17"/>
        </w:rPr>
        <w:t xml:space="preserve"> </w:t>
      </w:r>
      <w:r>
        <w:rPr>
          <w:color w:val="231F20"/>
          <w:w w:val="95"/>
          <w:sz w:val="17"/>
        </w:rPr>
        <w:t>100,</w:t>
      </w:r>
      <w:r>
        <w:rPr>
          <w:color w:val="231F20"/>
          <w:spacing w:val="5"/>
          <w:sz w:val="17"/>
        </w:rPr>
        <w:t xml:space="preserve"> </w:t>
      </w:r>
      <w:r>
        <w:rPr>
          <w:color w:val="231F20"/>
          <w:w w:val="95"/>
          <w:sz w:val="17"/>
        </w:rPr>
        <w:t>146,</w:t>
      </w:r>
      <w:r>
        <w:rPr>
          <w:color w:val="231F20"/>
          <w:spacing w:val="4"/>
          <w:sz w:val="17"/>
        </w:rPr>
        <w:t xml:space="preserve"> </w:t>
      </w:r>
      <w:r>
        <w:rPr>
          <w:color w:val="231F20"/>
          <w:w w:val="95"/>
          <w:sz w:val="17"/>
        </w:rPr>
        <w:t>213,</w:t>
      </w:r>
      <w:r>
        <w:rPr>
          <w:color w:val="231F20"/>
          <w:spacing w:val="5"/>
          <w:sz w:val="17"/>
        </w:rPr>
        <w:t xml:space="preserve"> </w:t>
      </w:r>
      <w:r>
        <w:rPr>
          <w:color w:val="231F20"/>
          <w:spacing w:val="-5"/>
          <w:w w:val="95"/>
          <w:sz w:val="17"/>
        </w:rPr>
        <w:t>217</w:t>
      </w:r>
    </w:p>
    <w:p w14:paraId="5892E161" w14:textId="77777777" w:rsidR="00AE0598" w:rsidRDefault="0069255A">
      <w:pPr>
        <w:spacing w:before="1"/>
        <w:ind w:left="110"/>
        <w:rPr>
          <w:sz w:val="17"/>
        </w:rPr>
      </w:pPr>
      <w:r>
        <w:rPr>
          <w:color w:val="231F20"/>
          <w:w w:val="95"/>
          <w:sz w:val="17"/>
        </w:rPr>
        <w:t>India</w:t>
      </w:r>
      <w:r>
        <w:rPr>
          <w:color w:val="231F20"/>
          <w:spacing w:val="6"/>
          <w:sz w:val="17"/>
        </w:rPr>
        <w:t xml:space="preserve"> </w:t>
      </w:r>
      <w:r>
        <w:rPr>
          <w:color w:val="231F20"/>
          <w:w w:val="95"/>
          <w:sz w:val="17"/>
        </w:rPr>
        <w:t>52,</w:t>
      </w:r>
      <w:r>
        <w:rPr>
          <w:color w:val="231F20"/>
          <w:spacing w:val="6"/>
          <w:sz w:val="17"/>
        </w:rPr>
        <w:t xml:space="preserve"> </w:t>
      </w:r>
      <w:r>
        <w:rPr>
          <w:color w:val="231F20"/>
          <w:w w:val="95"/>
          <w:sz w:val="17"/>
        </w:rPr>
        <w:t>214,</w:t>
      </w:r>
      <w:r>
        <w:rPr>
          <w:color w:val="231F20"/>
          <w:spacing w:val="7"/>
          <w:sz w:val="17"/>
        </w:rPr>
        <w:t xml:space="preserve"> </w:t>
      </w:r>
      <w:r>
        <w:rPr>
          <w:color w:val="231F20"/>
          <w:spacing w:val="-5"/>
          <w:w w:val="95"/>
          <w:sz w:val="17"/>
        </w:rPr>
        <w:t>217</w:t>
      </w:r>
    </w:p>
    <w:p w14:paraId="15DD2E2B" w14:textId="77777777" w:rsidR="00AE0598" w:rsidRDefault="0069255A">
      <w:pPr>
        <w:ind w:left="110"/>
        <w:rPr>
          <w:sz w:val="17"/>
        </w:rPr>
      </w:pPr>
      <w:r>
        <w:rPr>
          <w:color w:val="231F20"/>
          <w:w w:val="95"/>
          <w:sz w:val="17"/>
        </w:rPr>
        <w:t>individualism</w:t>
      </w:r>
      <w:r>
        <w:rPr>
          <w:color w:val="231F20"/>
          <w:spacing w:val="17"/>
          <w:sz w:val="17"/>
        </w:rPr>
        <w:t xml:space="preserve"> </w:t>
      </w:r>
      <w:r>
        <w:rPr>
          <w:color w:val="231F20"/>
          <w:w w:val="95"/>
          <w:sz w:val="17"/>
        </w:rPr>
        <w:t>206,</w:t>
      </w:r>
      <w:r>
        <w:rPr>
          <w:color w:val="231F20"/>
          <w:spacing w:val="17"/>
          <w:sz w:val="17"/>
        </w:rPr>
        <w:t xml:space="preserve"> </w:t>
      </w:r>
      <w:r>
        <w:rPr>
          <w:color w:val="231F20"/>
          <w:spacing w:val="-5"/>
          <w:w w:val="95"/>
          <w:sz w:val="17"/>
        </w:rPr>
        <w:t>219</w:t>
      </w:r>
    </w:p>
    <w:p w14:paraId="6140D89F" w14:textId="77777777" w:rsidR="00AE0598" w:rsidRDefault="0069255A">
      <w:pPr>
        <w:spacing w:before="1"/>
        <w:ind w:left="110"/>
        <w:rPr>
          <w:sz w:val="17"/>
        </w:rPr>
      </w:pPr>
      <w:r>
        <w:rPr>
          <w:color w:val="231F20"/>
          <w:w w:val="95"/>
          <w:sz w:val="17"/>
        </w:rPr>
        <w:t>indoor</w:t>
      </w:r>
      <w:r>
        <w:rPr>
          <w:color w:val="231F20"/>
          <w:spacing w:val="12"/>
          <w:sz w:val="17"/>
        </w:rPr>
        <w:t xml:space="preserve"> </w:t>
      </w:r>
      <w:r>
        <w:rPr>
          <w:color w:val="231F20"/>
          <w:w w:val="95"/>
          <w:sz w:val="17"/>
        </w:rPr>
        <w:t>climbing</w:t>
      </w:r>
      <w:r>
        <w:rPr>
          <w:color w:val="231F20"/>
          <w:spacing w:val="13"/>
          <w:sz w:val="17"/>
        </w:rPr>
        <w:t xml:space="preserve"> </w:t>
      </w:r>
      <w:r>
        <w:rPr>
          <w:color w:val="231F20"/>
          <w:w w:val="95"/>
          <w:sz w:val="17"/>
        </w:rPr>
        <w:t>138,</w:t>
      </w:r>
      <w:r>
        <w:rPr>
          <w:color w:val="231F20"/>
          <w:spacing w:val="12"/>
          <w:sz w:val="17"/>
        </w:rPr>
        <w:t xml:space="preserve"> </w:t>
      </w:r>
      <w:r>
        <w:rPr>
          <w:color w:val="231F20"/>
          <w:spacing w:val="-2"/>
          <w:w w:val="95"/>
          <w:sz w:val="17"/>
        </w:rPr>
        <w:t>204–205</w:t>
      </w:r>
    </w:p>
    <w:p w14:paraId="0FC34406" w14:textId="77777777" w:rsidR="00AE0598" w:rsidRDefault="0069255A">
      <w:pPr>
        <w:spacing w:before="1"/>
        <w:ind w:left="110"/>
        <w:rPr>
          <w:sz w:val="17"/>
        </w:rPr>
      </w:pPr>
      <w:r>
        <w:rPr>
          <w:color w:val="231F20"/>
          <w:w w:val="95"/>
          <w:sz w:val="17"/>
        </w:rPr>
        <w:t>innovation</w:t>
      </w:r>
      <w:r>
        <w:rPr>
          <w:color w:val="231F20"/>
          <w:spacing w:val="-2"/>
          <w:w w:val="95"/>
          <w:sz w:val="17"/>
        </w:rPr>
        <w:t xml:space="preserve"> </w:t>
      </w:r>
      <w:r>
        <w:rPr>
          <w:color w:val="231F20"/>
          <w:w w:val="95"/>
          <w:sz w:val="17"/>
        </w:rPr>
        <w:t>7,</w:t>
      </w:r>
      <w:r>
        <w:rPr>
          <w:color w:val="231F20"/>
          <w:spacing w:val="-2"/>
          <w:w w:val="95"/>
          <w:sz w:val="17"/>
        </w:rPr>
        <w:t xml:space="preserve"> </w:t>
      </w:r>
      <w:r>
        <w:rPr>
          <w:color w:val="231F20"/>
          <w:w w:val="95"/>
          <w:sz w:val="17"/>
        </w:rPr>
        <w:t>69,</w:t>
      </w:r>
      <w:r>
        <w:rPr>
          <w:color w:val="231F20"/>
          <w:spacing w:val="-1"/>
          <w:w w:val="95"/>
          <w:sz w:val="17"/>
        </w:rPr>
        <w:t xml:space="preserve"> </w:t>
      </w:r>
      <w:r>
        <w:rPr>
          <w:color w:val="231F20"/>
          <w:w w:val="95"/>
          <w:sz w:val="17"/>
        </w:rPr>
        <w:t>149,</w:t>
      </w:r>
      <w:r>
        <w:rPr>
          <w:color w:val="231F20"/>
          <w:spacing w:val="-2"/>
          <w:w w:val="95"/>
          <w:sz w:val="17"/>
        </w:rPr>
        <w:t xml:space="preserve"> </w:t>
      </w:r>
      <w:r>
        <w:rPr>
          <w:color w:val="231F20"/>
          <w:w w:val="95"/>
          <w:sz w:val="17"/>
        </w:rPr>
        <w:t>181,</w:t>
      </w:r>
      <w:r>
        <w:rPr>
          <w:color w:val="231F20"/>
          <w:spacing w:val="-2"/>
          <w:w w:val="95"/>
          <w:sz w:val="17"/>
        </w:rPr>
        <w:t xml:space="preserve"> </w:t>
      </w:r>
      <w:r>
        <w:rPr>
          <w:color w:val="231F20"/>
          <w:w w:val="95"/>
          <w:sz w:val="17"/>
        </w:rPr>
        <w:t>183,</w:t>
      </w:r>
      <w:r>
        <w:rPr>
          <w:color w:val="231F20"/>
          <w:spacing w:val="-1"/>
          <w:w w:val="95"/>
          <w:sz w:val="17"/>
        </w:rPr>
        <w:t xml:space="preserve"> </w:t>
      </w:r>
      <w:r>
        <w:rPr>
          <w:color w:val="231F20"/>
          <w:w w:val="95"/>
          <w:sz w:val="17"/>
        </w:rPr>
        <w:t>186,</w:t>
      </w:r>
      <w:r>
        <w:rPr>
          <w:color w:val="231F20"/>
          <w:spacing w:val="-2"/>
          <w:w w:val="95"/>
          <w:sz w:val="17"/>
        </w:rPr>
        <w:t xml:space="preserve"> </w:t>
      </w:r>
      <w:r>
        <w:rPr>
          <w:color w:val="231F20"/>
          <w:spacing w:val="-4"/>
          <w:w w:val="95"/>
          <w:sz w:val="17"/>
        </w:rPr>
        <w:t>202,</w:t>
      </w:r>
    </w:p>
    <w:p w14:paraId="5115621C" w14:textId="77777777" w:rsidR="00AE0598" w:rsidRDefault="0069255A">
      <w:pPr>
        <w:ind w:left="470"/>
        <w:rPr>
          <w:sz w:val="17"/>
        </w:rPr>
      </w:pPr>
      <w:r>
        <w:rPr>
          <w:color w:val="231F20"/>
          <w:w w:val="90"/>
          <w:sz w:val="17"/>
        </w:rPr>
        <w:t>207–208,</w:t>
      </w:r>
      <w:r>
        <w:rPr>
          <w:color w:val="231F20"/>
          <w:spacing w:val="29"/>
          <w:sz w:val="17"/>
        </w:rPr>
        <w:t xml:space="preserve"> </w:t>
      </w:r>
      <w:r>
        <w:rPr>
          <w:color w:val="231F20"/>
          <w:spacing w:val="-2"/>
          <w:w w:val="95"/>
          <w:sz w:val="17"/>
        </w:rPr>
        <w:t>219–220</w:t>
      </w:r>
    </w:p>
    <w:p w14:paraId="3C61B466" w14:textId="77777777" w:rsidR="00AE0598" w:rsidRDefault="0069255A">
      <w:pPr>
        <w:spacing w:before="1"/>
        <w:ind w:left="110"/>
        <w:rPr>
          <w:sz w:val="17"/>
        </w:rPr>
      </w:pPr>
      <w:r>
        <w:rPr>
          <w:color w:val="231F20"/>
          <w:w w:val="95"/>
          <w:sz w:val="17"/>
        </w:rPr>
        <w:t>institutionalisation</w:t>
      </w:r>
      <w:r>
        <w:rPr>
          <w:color w:val="231F20"/>
          <w:spacing w:val="20"/>
          <w:sz w:val="17"/>
        </w:rPr>
        <w:t xml:space="preserve"> </w:t>
      </w:r>
      <w:r>
        <w:rPr>
          <w:color w:val="231F20"/>
          <w:w w:val="95"/>
          <w:sz w:val="17"/>
        </w:rPr>
        <w:t>25,</w:t>
      </w:r>
      <w:r>
        <w:rPr>
          <w:color w:val="231F20"/>
          <w:spacing w:val="20"/>
          <w:sz w:val="17"/>
        </w:rPr>
        <w:t xml:space="preserve"> </w:t>
      </w:r>
      <w:r>
        <w:rPr>
          <w:color w:val="231F20"/>
          <w:spacing w:val="-5"/>
          <w:w w:val="95"/>
          <w:sz w:val="17"/>
        </w:rPr>
        <w:t>81</w:t>
      </w:r>
    </w:p>
    <w:p w14:paraId="0B5279EF" w14:textId="77777777" w:rsidR="00AE0598" w:rsidRDefault="0069255A">
      <w:pPr>
        <w:spacing w:before="1"/>
        <w:ind w:left="110"/>
        <w:rPr>
          <w:sz w:val="17"/>
        </w:rPr>
      </w:pPr>
      <w:r>
        <w:rPr>
          <w:color w:val="231F20"/>
          <w:w w:val="95"/>
          <w:sz w:val="17"/>
        </w:rPr>
        <w:t>interactive</w:t>
      </w:r>
      <w:r>
        <w:rPr>
          <w:color w:val="231F20"/>
          <w:spacing w:val="7"/>
          <w:sz w:val="17"/>
        </w:rPr>
        <w:t xml:space="preserve"> </w:t>
      </w:r>
      <w:r>
        <w:rPr>
          <w:color w:val="231F20"/>
          <w:w w:val="95"/>
          <w:sz w:val="17"/>
        </w:rPr>
        <w:t>technology</w:t>
      </w:r>
      <w:r>
        <w:rPr>
          <w:color w:val="231F20"/>
          <w:spacing w:val="8"/>
          <w:sz w:val="17"/>
        </w:rPr>
        <w:t xml:space="preserve"> </w:t>
      </w:r>
      <w:r>
        <w:rPr>
          <w:color w:val="231F20"/>
          <w:spacing w:val="-5"/>
          <w:w w:val="95"/>
          <w:sz w:val="17"/>
        </w:rPr>
        <w:t>215</w:t>
      </w:r>
    </w:p>
    <w:p w14:paraId="761C873C" w14:textId="77777777" w:rsidR="00AE0598" w:rsidRDefault="0069255A">
      <w:pPr>
        <w:ind w:left="110"/>
        <w:rPr>
          <w:sz w:val="17"/>
        </w:rPr>
      </w:pPr>
      <w:r>
        <w:rPr>
          <w:color w:val="231F20"/>
          <w:w w:val="95"/>
          <w:sz w:val="17"/>
        </w:rPr>
        <w:t>International</w:t>
      </w:r>
      <w:r>
        <w:rPr>
          <w:color w:val="231F20"/>
          <w:spacing w:val="23"/>
          <w:sz w:val="17"/>
        </w:rPr>
        <w:t xml:space="preserve"> </w:t>
      </w:r>
      <w:r>
        <w:rPr>
          <w:color w:val="231F20"/>
          <w:w w:val="95"/>
          <w:sz w:val="17"/>
        </w:rPr>
        <w:t>Olympic</w:t>
      </w:r>
      <w:r>
        <w:rPr>
          <w:color w:val="231F20"/>
          <w:spacing w:val="24"/>
          <w:sz w:val="17"/>
        </w:rPr>
        <w:t xml:space="preserve"> </w:t>
      </w:r>
      <w:r>
        <w:rPr>
          <w:color w:val="231F20"/>
          <w:w w:val="95"/>
          <w:sz w:val="17"/>
        </w:rPr>
        <w:t>Committee</w:t>
      </w:r>
      <w:r>
        <w:rPr>
          <w:color w:val="231F20"/>
          <w:spacing w:val="23"/>
          <w:sz w:val="17"/>
        </w:rPr>
        <w:t xml:space="preserve"> </w:t>
      </w:r>
      <w:r>
        <w:rPr>
          <w:color w:val="231F20"/>
          <w:w w:val="95"/>
          <w:sz w:val="17"/>
        </w:rPr>
        <w:t>7,</w:t>
      </w:r>
      <w:r>
        <w:rPr>
          <w:color w:val="231F20"/>
          <w:spacing w:val="24"/>
          <w:sz w:val="17"/>
        </w:rPr>
        <w:t xml:space="preserve"> </w:t>
      </w:r>
      <w:r>
        <w:rPr>
          <w:color w:val="231F20"/>
          <w:spacing w:val="-5"/>
          <w:w w:val="95"/>
          <w:sz w:val="17"/>
        </w:rPr>
        <w:t>39,</w:t>
      </w:r>
    </w:p>
    <w:p w14:paraId="3F7CF897" w14:textId="77777777" w:rsidR="00AE0598" w:rsidRDefault="0069255A">
      <w:pPr>
        <w:spacing w:before="1"/>
        <w:ind w:left="470"/>
        <w:rPr>
          <w:sz w:val="17"/>
        </w:rPr>
      </w:pPr>
      <w:r>
        <w:rPr>
          <w:color w:val="231F20"/>
          <w:w w:val="90"/>
          <w:sz w:val="17"/>
        </w:rPr>
        <w:t>186,</w:t>
      </w:r>
      <w:r>
        <w:rPr>
          <w:color w:val="231F20"/>
          <w:spacing w:val="20"/>
          <w:sz w:val="17"/>
        </w:rPr>
        <w:t xml:space="preserve"> </w:t>
      </w:r>
      <w:r>
        <w:rPr>
          <w:color w:val="231F20"/>
          <w:w w:val="90"/>
          <w:sz w:val="17"/>
        </w:rPr>
        <w:t>200,</w:t>
      </w:r>
      <w:r>
        <w:rPr>
          <w:color w:val="231F20"/>
          <w:spacing w:val="20"/>
          <w:sz w:val="17"/>
        </w:rPr>
        <w:t xml:space="preserve"> </w:t>
      </w:r>
      <w:r>
        <w:rPr>
          <w:color w:val="231F20"/>
          <w:spacing w:val="-5"/>
          <w:w w:val="90"/>
          <w:sz w:val="17"/>
        </w:rPr>
        <w:t>227</w:t>
      </w:r>
    </w:p>
    <w:p w14:paraId="385992FF" w14:textId="77777777" w:rsidR="00AE0598" w:rsidRDefault="0069255A">
      <w:pPr>
        <w:spacing w:before="1"/>
        <w:ind w:left="110"/>
        <w:rPr>
          <w:sz w:val="17"/>
        </w:rPr>
      </w:pPr>
      <w:r>
        <w:rPr>
          <w:color w:val="231F20"/>
          <w:w w:val="95"/>
          <w:sz w:val="17"/>
        </w:rPr>
        <w:t>inter-urban</w:t>
      </w:r>
      <w:r>
        <w:rPr>
          <w:color w:val="231F20"/>
          <w:spacing w:val="2"/>
          <w:sz w:val="17"/>
        </w:rPr>
        <w:t xml:space="preserve"> </w:t>
      </w:r>
      <w:r>
        <w:rPr>
          <w:color w:val="231F20"/>
          <w:w w:val="95"/>
          <w:sz w:val="17"/>
        </w:rPr>
        <w:t>travel</w:t>
      </w:r>
      <w:r>
        <w:rPr>
          <w:color w:val="231F20"/>
          <w:spacing w:val="2"/>
          <w:sz w:val="17"/>
        </w:rPr>
        <w:t xml:space="preserve"> </w:t>
      </w:r>
      <w:r>
        <w:rPr>
          <w:color w:val="231F20"/>
          <w:spacing w:val="-5"/>
          <w:w w:val="95"/>
          <w:sz w:val="17"/>
        </w:rPr>
        <w:t>96</w:t>
      </w:r>
    </w:p>
    <w:p w14:paraId="5F6907D1" w14:textId="77777777" w:rsidR="00AE0598" w:rsidRDefault="0069255A">
      <w:pPr>
        <w:spacing w:before="1"/>
        <w:ind w:left="110"/>
        <w:rPr>
          <w:sz w:val="17"/>
        </w:rPr>
      </w:pPr>
      <w:r>
        <w:rPr>
          <w:color w:val="231F20"/>
          <w:w w:val="95"/>
          <w:sz w:val="17"/>
        </w:rPr>
        <w:t>Ireland</w:t>
      </w:r>
      <w:r>
        <w:rPr>
          <w:color w:val="231F20"/>
          <w:spacing w:val="3"/>
          <w:sz w:val="17"/>
        </w:rPr>
        <w:t xml:space="preserve"> </w:t>
      </w:r>
      <w:r>
        <w:rPr>
          <w:color w:val="231F20"/>
          <w:w w:val="95"/>
          <w:sz w:val="17"/>
        </w:rPr>
        <w:t>43,</w:t>
      </w:r>
      <w:r>
        <w:rPr>
          <w:color w:val="231F20"/>
          <w:spacing w:val="3"/>
          <w:sz w:val="17"/>
        </w:rPr>
        <w:t xml:space="preserve"> </w:t>
      </w:r>
      <w:r>
        <w:rPr>
          <w:color w:val="231F20"/>
          <w:w w:val="95"/>
          <w:sz w:val="17"/>
        </w:rPr>
        <w:t>52,</w:t>
      </w:r>
      <w:r>
        <w:rPr>
          <w:color w:val="231F20"/>
          <w:spacing w:val="3"/>
          <w:sz w:val="17"/>
        </w:rPr>
        <w:t xml:space="preserve"> </w:t>
      </w:r>
      <w:r>
        <w:rPr>
          <w:color w:val="231F20"/>
          <w:w w:val="95"/>
          <w:sz w:val="17"/>
        </w:rPr>
        <w:t>139,</w:t>
      </w:r>
      <w:r>
        <w:rPr>
          <w:color w:val="231F20"/>
          <w:spacing w:val="3"/>
          <w:sz w:val="17"/>
        </w:rPr>
        <w:t xml:space="preserve"> </w:t>
      </w:r>
      <w:r>
        <w:rPr>
          <w:color w:val="231F20"/>
          <w:spacing w:val="-5"/>
          <w:w w:val="95"/>
          <w:sz w:val="17"/>
        </w:rPr>
        <w:t>165</w:t>
      </w:r>
    </w:p>
    <w:p w14:paraId="5B5DCC31" w14:textId="77777777" w:rsidR="00AE0598" w:rsidRDefault="0069255A">
      <w:pPr>
        <w:ind w:left="110"/>
        <w:rPr>
          <w:sz w:val="17"/>
        </w:rPr>
      </w:pPr>
      <w:r>
        <w:rPr>
          <w:color w:val="231F20"/>
          <w:w w:val="95"/>
          <w:sz w:val="17"/>
        </w:rPr>
        <w:t>Ironman</w:t>
      </w:r>
      <w:r>
        <w:rPr>
          <w:color w:val="231F20"/>
          <w:spacing w:val="3"/>
          <w:sz w:val="17"/>
        </w:rPr>
        <w:t xml:space="preserve"> </w:t>
      </w:r>
      <w:r>
        <w:rPr>
          <w:color w:val="231F20"/>
          <w:w w:val="95"/>
          <w:sz w:val="17"/>
        </w:rPr>
        <w:t>50,</w:t>
      </w:r>
      <w:r>
        <w:rPr>
          <w:color w:val="231F20"/>
          <w:spacing w:val="4"/>
          <w:sz w:val="17"/>
        </w:rPr>
        <w:t xml:space="preserve"> </w:t>
      </w:r>
      <w:r>
        <w:rPr>
          <w:color w:val="231F20"/>
          <w:w w:val="95"/>
          <w:sz w:val="17"/>
        </w:rPr>
        <w:t>169,</w:t>
      </w:r>
      <w:r>
        <w:rPr>
          <w:color w:val="231F20"/>
          <w:spacing w:val="3"/>
          <w:sz w:val="17"/>
        </w:rPr>
        <w:t xml:space="preserve"> </w:t>
      </w:r>
      <w:r>
        <w:rPr>
          <w:color w:val="231F20"/>
          <w:spacing w:val="-5"/>
          <w:w w:val="95"/>
          <w:sz w:val="17"/>
        </w:rPr>
        <w:t>200</w:t>
      </w:r>
    </w:p>
    <w:p w14:paraId="386F69E3" w14:textId="77777777" w:rsidR="00AE0598" w:rsidRDefault="00AE0598">
      <w:pPr>
        <w:pStyle w:val="Corpodetexto"/>
        <w:spacing w:before="3"/>
        <w:rPr>
          <w:sz w:val="16"/>
        </w:rPr>
      </w:pPr>
    </w:p>
    <w:p w14:paraId="253E0D7F" w14:textId="77777777" w:rsidR="00AE0598" w:rsidRDefault="0069255A">
      <w:pPr>
        <w:ind w:right="523"/>
        <w:jc w:val="right"/>
        <w:rPr>
          <w:sz w:val="17"/>
        </w:rPr>
      </w:pPr>
      <w:r>
        <w:rPr>
          <w:color w:val="231F20"/>
          <w:w w:val="95"/>
          <w:sz w:val="17"/>
        </w:rPr>
        <w:t>Japan</w:t>
      </w:r>
      <w:r>
        <w:rPr>
          <w:color w:val="231F20"/>
          <w:spacing w:val="4"/>
          <w:sz w:val="17"/>
        </w:rPr>
        <w:t xml:space="preserve"> </w:t>
      </w:r>
      <w:r>
        <w:rPr>
          <w:color w:val="231F20"/>
          <w:w w:val="95"/>
          <w:sz w:val="17"/>
        </w:rPr>
        <w:t>11,</w:t>
      </w:r>
      <w:r>
        <w:rPr>
          <w:color w:val="231F20"/>
          <w:spacing w:val="4"/>
          <w:sz w:val="17"/>
        </w:rPr>
        <w:t xml:space="preserve"> </w:t>
      </w:r>
      <w:r>
        <w:rPr>
          <w:color w:val="231F20"/>
          <w:w w:val="95"/>
          <w:sz w:val="17"/>
        </w:rPr>
        <w:t>13,</w:t>
      </w:r>
      <w:r>
        <w:rPr>
          <w:color w:val="231F20"/>
          <w:spacing w:val="5"/>
          <w:sz w:val="17"/>
        </w:rPr>
        <w:t xml:space="preserve"> </w:t>
      </w:r>
      <w:r>
        <w:rPr>
          <w:color w:val="231F20"/>
          <w:w w:val="95"/>
          <w:sz w:val="17"/>
        </w:rPr>
        <w:t>32–33,</w:t>
      </w:r>
      <w:r>
        <w:rPr>
          <w:color w:val="231F20"/>
          <w:spacing w:val="4"/>
          <w:sz w:val="17"/>
        </w:rPr>
        <w:t xml:space="preserve"> </w:t>
      </w:r>
      <w:r>
        <w:rPr>
          <w:color w:val="231F20"/>
          <w:w w:val="95"/>
          <w:sz w:val="17"/>
        </w:rPr>
        <w:t>49,</w:t>
      </w:r>
      <w:r>
        <w:rPr>
          <w:color w:val="231F20"/>
          <w:spacing w:val="5"/>
          <w:sz w:val="17"/>
        </w:rPr>
        <w:t xml:space="preserve"> </w:t>
      </w:r>
      <w:r>
        <w:rPr>
          <w:color w:val="231F20"/>
          <w:w w:val="95"/>
          <w:sz w:val="17"/>
        </w:rPr>
        <w:t>55–58,</w:t>
      </w:r>
      <w:r>
        <w:rPr>
          <w:color w:val="231F20"/>
          <w:spacing w:val="4"/>
          <w:sz w:val="17"/>
        </w:rPr>
        <w:t xml:space="preserve"> </w:t>
      </w:r>
      <w:r>
        <w:rPr>
          <w:color w:val="231F20"/>
          <w:spacing w:val="-2"/>
          <w:w w:val="95"/>
          <w:sz w:val="17"/>
        </w:rPr>
        <w:t>81–82,</w:t>
      </w:r>
    </w:p>
    <w:p w14:paraId="5898876B" w14:textId="77777777" w:rsidR="00AE0598" w:rsidRDefault="0069255A">
      <w:pPr>
        <w:spacing w:before="1"/>
        <w:ind w:right="520"/>
        <w:jc w:val="right"/>
        <w:rPr>
          <w:sz w:val="17"/>
        </w:rPr>
      </w:pPr>
      <w:r>
        <w:rPr>
          <w:color w:val="231F20"/>
          <w:w w:val="90"/>
          <w:sz w:val="17"/>
        </w:rPr>
        <w:t>122–123,</w:t>
      </w:r>
      <w:r>
        <w:rPr>
          <w:color w:val="231F20"/>
          <w:spacing w:val="15"/>
          <w:sz w:val="17"/>
        </w:rPr>
        <w:t xml:space="preserve"> </w:t>
      </w:r>
      <w:r>
        <w:rPr>
          <w:color w:val="231F20"/>
          <w:w w:val="90"/>
          <w:sz w:val="17"/>
        </w:rPr>
        <w:t>161–163,</w:t>
      </w:r>
      <w:r>
        <w:rPr>
          <w:color w:val="231F20"/>
          <w:spacing w:val="15"/>
          <w:sz w:val="17"/>
        </w:rPr>
        <w:t xml:space="preserve"> </w:t>
      </w:r>
      <w:r>
        <w:rPr>
          <w:color w:val="231F20"/>
          <w:w w:val="90"/>
          <w:sz w:val="17"/>
        </w:rPr>
        <w:t>183,</w:t>
      </w:r>
      <w:r>
        <w:rPr>
          <w:color w:val="231F20"/>
          <w:spacing w:val="15"/>
          <w:sz w:val="17"/>
        </w:rPr>
        <w:t xml:space="preserve"> </w:t>
      </w:r>
      <w:r>
        <w:rPr>
          <w:color w:val="231F20"/>
          <w:spacing w:val="-2"/>
          <w:w w:val="90"/>
          <w:sz w:val="17"/>
        </w:rPr>
        <w:t>200–203,</w:t>
      </w:r>
    </w:p>
    <w:p w14:paraId="6E8FFC3E" w14:textId="77777777" w:rsidR="00AE0598" w:rsidRDefault="0069255A">
      <w:pPr>
        <w:spacing w:before="1"/>
        <w:ind w:left="470"/>
        <w:rPr>
          <w:sz w:val="17"/>
        </w:rPr>
      </w:pPr>
      <w:r>
        <w:rPr>
          <w:color w:val="231F20"/>
          <w:w w:val="90"/>
          <w:sz w:val="17"/>
        </w:rPr>
        <w:t>218,</w:t>
      </w:r>
      <w:r>
        <w:rPr>
          <w:color w:val="231F20"/>
          <w:spacing w:val="9"/>
          <w:sz w:val="17"/>
        </w:rPr>
        <w:t xml:space="preserve"> </w:t>
      </w:r>
      <w:r>
        <w:rPr>
          <w:color w:val="231F20"/>
          <w:spacing w:val="-5"/>
          <w:sz w:val="17"/>
        </w:rPr>
        <w:t>233</w:t>
      </w:r>
    </w:p>
    <w:p w14:paraId="24CCD7B4" w14:textId="77777777" w:rsidR="00AE0598" w:rsidRDefault="0069255A">
      <w:pPr>
        <w:ind w:left="11" w:right="1931"/>
        <w:jc w:val="center"/>
        <w:rPr>
          <w:sz w:val="17"/>
        </w:rPr>
      </w:pPr>
      <w:r>
        <w:rPr>
          <w:color w:val="231F20"/>
          <w:w w:val="95"/>
          <w:sz w:val="17"/>
        </w:rPr>
        <w:t>Johannesburg</w:t>
      </w:r>
      <w:r>
        <w:rPr>
          <w:color w:val="231F20"/>
          <w:spacing w:val="35"/>
          <w:sz w:val="17"/>
        </w:rPr>
        <w:t xml:space="preserve"> </w:t>
      </w:r>
      <w:r>
        <w:rPr>
          <w:color w:val="231F20"/>
          <w:spacing w:val="-5"/>
          <w:w w:val="95"/>
          <w:sz w:val="17"/>
        </w:rPr>
        <w:t>77</w:t>
      </w:r>
    </w:p>
    <w:p w14:paraId="617BCD8F" w14:textId="77777777" w:rsidR="00AE0598" w:rsidRDefault="00AE0598">
      <w:pPr>
        <w:pStyle w:val="Corpodetexto"/>
        <w:spacing w:before="3"/>
        <w:rPr>
          <w:sz w:val="16"/>
        </w:rPr>
      </w:pPr>
    </w:p>
    <w:p w14:paraId="6589D77D" w14:textId="77777777" w:rsidR="00AE0598" w:rsidRDefault="0069255A">
      <w:pPr>
        <w:spacing w:before="1"/>
        <w:ind w:left="70" w:right="1922"/>
        <w:jc w:val="center"/>
        <w:rPr>
          <w:sz w:val="17"/>
        </w:rPr>
      </w:pPr>
      <w:r>
        <w:rPr>
          <w:color w:val="231F20"/>
          <w:w w:val="95"/>
          <w:sz w:val="17"/>
        </w:rPr>
        <w:t>kite</w:t>
      </w:r>
      <w:r>
        <w:rPr>
          <w:color w:val="231F20"/>
          <w:spacing w:val="6"/>
          <w:sz w:val="17"/>
        </w:rPr>
        <w:t xml:space="preserve"> </w:t>
      </w:r>
      <w:r>
        <w:rPr>
          <w:color w:val="231F20"/>
          <w:w w:val="95"/>
          <w:sz w:val="17"/>
        </w:rPr>
        <w:t>surfing</w:t>
      </w:r>
      <w:r>
        <w:rPr>
          <w:color w:val="231F20"/>
          <w:spacing w:val="6"/>
          <w:sz w:val="17"/>
        </w:rPr>
        <w:t xml:space="preserve"> </w:t>
      </w:r>
      <w:r>
        <w:rPr>
          <w:color w:val="231F20"/>
          <w:w w:val="95"/>
          <w:sz w:val="17"/>
        </w:rPr>
        <w:t>20,</w:t>
      </w:r>
      <w:r>
        <w:rPr>
          <w:color w:val="231F20"/>
          <w:spacing w:val="6"/>
          <w:sz w:val="17"/>
        </w:rPr>
        <w:t xml:space="preserve"> </w:t>
      </w:r>
      <w:r>
        <w:rPr>
          <w:color w:val="231F20"/>
          <w:spacing w:val="-7"/>
          <w:w w:val="95"/>
          <w:sz w:val="17"/>
        </w:rPr>
        <w:t>26</w:t>
      </w:r>
    </w:p>
    <w:p w14:paraId="741CCFDE" w14:textId="77777777" w:rsidR="00AE0598" w:rsidRDefault="00AE0598">
      <w:pPr>
        <w:pStyle w:val="Corpodetexto"/>
        <w:spacing w:before="3"/>
        <w:rPr>
          <w:sz w:val="16"/>
        </w:rPr>
      </w:pPr>
    </w:p>
    <w:p w14:paraId="105F6259" w14:textId="77777777" w:rsidR="00AE0598" w:rsidRDefault="0069255A">
      <w:pPr>
        <w:ind w:left="110"/>
        <w:rPr>
          <w:sz w:val="17"/>
        </w:rPr>
      </w:pPr>
      <w:r>
        <w:rPr>
          <w:color w:val="231F20"/>
          <w:w w:val="95"/>
          <w:sz w:val="17"/>
        </w:rPr>
        <w:t>legacy</w:t>
      </w:r>
      <w:r>
        <w:rPr>
          <w:color w:val="231F20"/>
          <w:spacing w:val="2"/>
          <w:sz w:val="17"/>
        </w:rPr>
        <w:t xml:space="preserve"> </w:t>
      </w:r>
      <w:r>
        <w:rPr>
          <w:color w:val="231F20"/>
          <w:w w:val="95"/>
          <w:sz w:val="17"/>
        </w:rPr>
        <w:t>35–36,</w:t>
      </w:r>
      <w:r>
        <w:rPr>
          <w:color w:val="231F20"/>
          <w:spacing w:val="2"/>
          <w:sz w:val="17"/>
        </w:rPr>
        <w:t xml:space="preserve"> </w:t>
      </w:r>
      <w:r>
        <w:rPr>
          <w:color w:val="231F20"/>
          <w:w w:val="95"/>
          <w:sz w:val="17"/>
        </w:rPr>
        <w:t>76–78,</w:t>
      </w:r>
      <w:r>
        <w:rPr>
          <w:color w:val="231F20"/>
          <w:spacing w:val="2"/>
          <w:sz w:val="17"/>
        </w:rPr>
        <w:t xml:space="preserve"> </w:t>
      </w:r>
      <w:r>
        <w:rPr>
          <w:color w:val="231F20"/>
          <w:w w:val="95"/>
          <w:sz w:val="17"/>
        </w:rPr>
        <w:t>97,</w:t>
      </w:r>
      <w:r>
        <w:rPr>
          <w:color w:val="231F20"/>
          <w:spacing w:val="2"/>
          <w:sz w:val="17"/>
        </w:rPr>
        <w:t xml:space="preserve"> </w:t>
      </w:r>
      <w:r>
        <w:rPr>
          <w:color w:val="231F20"/>
          <w:w w:val="95"/>
          <w:sz w:val="17"/>
        </w:rPr>
        <w:t>106,</w:t>
      </w:r>
      <w:r>
        <w:rPr>
          <w:color w:val="231F20"/>
          <w:spacing w:val="2"/>
          <w:sz w:val="17"/>
        </w:rPr>
        <w:t xml:space="preserve"> </w:t>
      </w:r>
      <w:r>
        <w:rPr>
          <w:color w:val="231F20"/>
          <w:w w:val="95"/>
          <w:sz w:val="17"/>
        </w:rPr>
        <w:t>125,</w:t>
      </w:r>
      <w:r>
        <w:rPr>
          <w:color w:val="231F20"/>
          <w:spacing w:val="2"/>
          <w:sz w:val="17"/>
        </w:rPr>
        <w:t xml:space="preserve"> </w:t>
      </w:r>
      <w:r>
        <w:rPr>
          <w:color w:val="231F20"/>
          <w:spacing w:val="-5"/>
          <w:w w:val="95"/>
          <w:sz w:val="17"/>
        </w:rPr>
        <w:t>152</w:t>
      </w:r>
    </w:p>
    <w:p w14:paraId="364CBCFC" w14:textId="77777777" w:rsidR="00AE0598" w:rsidRDefault="0069255A">
      <w:pPr>
        <w:ind w:left="110"/>
        <w:rPr>
          <w:sz w:val="17"/>
        </w:rPr>
      </w:pPr>
      <w:r>
        <w:rPr>
          <w:color w:val="231F20"/>
          <w:w w:val="95"/>
          <w:sz w:val="17"/>
        </w:rPr>
        <w:t>leisure</w:t>
      </w:r>
      <w:r>
        <w:rPr>
          <w:color w:val="231F20"/>
          <w:spacing w:val="1"/>
          <w:sz w:val="17"/>
        </w:rPr>
        <w:t xml:space="preserve"> </w:t>
      </w:r>
      <w:r>
        <w:rPr>
          <w:color w:val="231F20"/>
          <w:w w:val="95"/>
          <w:sz w:val="17"/>
        </w:rPr>
        <w:t>constraints</w:t>
      </w:r>
      <w:r>
        <w:rPr>
          <w:color w:val="231F20"/>
          <w:spacing w:val="2"/>
          <w:sz w:val="17"/>
        </w:rPr>
        <w:t xml:space="preserve"> </w:t>
      </w:r>
      <w:r>
        <w:rPr>
          <w:color w:val="231F20"/>
          <w:w w:val="95"/>
          <w:sz w:val="17"/>
        </w:rPr>
        <w:t>theory</w:t>
      </w:r>
      <w:r>
        <w:rPr>
          <w:color w:val="231F20"/>
          <w:spacing w:val="2"/>
          <w:sz w:val="17"/>
        </w:rPr>
        <w:t xml:space="preserve"> </w:t>
      </w:r>
      <w:r>
        <w:rPr>
          <w:color w:val="231F20"/>
          <w:w w:val="95"/>
          <w:sz w:val="17"/>
        </w:rPr>
        <w:t>13,</w:t>
      </w:r>
      <w:r>
        <w:rPr>
          <w:color w:val="231F20"/>
          <w:spacing w:val="2"/>
          <w:sz w:val="17"/>
        </w:rPr>
        <w:t xml:space="preserve"> </w:t>
      </w:r>
      <w:r>
        <w:rPr>
          <w:color w:val="231F20"/>
          <w:w w:val="95"/>
          <w:sz w:val="17"/>
        </w:rPr>
        <w:t>191,</w:t>
      </w:r>
      <w:r>
        <w:rPr>
          <w:color w:val="231F20"/>
          <w:spacing w:val="2"/>
          <w:sz w:val="17"/>
        </w:rPr>
        <w:t xml:space="preserve"> </w:t>
      </w:r>
      <w:r>
        <w:rPr>
          <w:color w:val="231F20"/>
          <w:spacing w:val="-2"/>
          <w:w w:val="95"/>
          <w:sz w:val="17"/>
        </w:rPr>
        <w:t>195–196</w:t>
      </w:r>
    </w:p>
    <w:p w14:paraId="38FAE26B" w14:textId="77777777" w:rsidR="00AE0598" w:rsidRDefault="0069255A">
      <w:pPr>
        <w:spacing w:before="1"/>
        <w:ind w:left="110"/>
        <w:rPr>
          <w:sz w:val="17"/>
        </w:rPr>
      </w:pPr>
      <w:r>
        <w:rPr>
          <w:color w:val="231F20"/>
          <w:w w:val="90"/>
          <w:sz w:val="17"/>
        </w:rPr>
        <w:t>leisure</w:t>
      </w:r>
      <w:r>
        <w:rPr>
          <w:color w:val="231F20"/>
          <w:spacing w:val="17"/>
          <w:sz w:val="17"/>
        </w:rPr>
        <w:t xml:space="preserve"> </w:t>
      </w:r>
      <w:r>
        <w:rPr>
          <w:color w:val="231F20"/>
          <w:w w:val="90"/>
          <w:sz w:val="17"/>
        </w:rPr>
        <w:t>space</w:t>
      </w:r>
      <w:r>
        <w:rPr>
          <w:color w:val="231F20"/>
          <w:spacing w:val="18"/>
          <w:sz w:val="17"/>
        </w:rPr>
        <w:t xml:space="preserve"> </w:t>
      </w:r>
      <w:r>
        <w:rPr>
          <w:color w:val="231F20"/>
          <w:w w:val="90"/>
          <w:sz w:val="17"/>
        </w:rPr>
        <w:t>102–104,</w:t>
      </w:r>
      <w:r>
        <w:rPr>
          <w:color w:val="231F20"/>
          <w:spacing w:val="18"/>
          <w:sz w:val="17"/>
        </w:rPr>
        <w:t xml:space="preserve"> </w:t>
      </w:r>
      <w:r>
        <w:rPr>
          <w:color w:val="231F20"/>
          <w:spacing w:val="-5"/>
          <w:w w:val="90"/>
          <w:sz w:val="17"/>
        </w:rPr>
        <w:t>151</w:t>
      </w:r>
    </w:p>
    <w:p w14:paraId="0BCCF8AB" w14:textId="77777777" w:rsidR="00AE0598" w:rsidRDefault="0069255A">
      <w:pPr>
        <w:spacing w:before="1"/>
        <w:ind w:left="110"/>
        <w:rPr>
          <w:sz w:val="17"/>
        </w:rPr>
      </w:pPr>
      <w:r>
        <w:rPr>
          <w:color w:val="231F20"/>
          <w:w w:val="95"/>
          <w:sz w:val="17"/>
        </w:rPr>
        <w:t>leisure</w:t>
      </w:r>
      <w:r>
        <w:rPr>
          <w:color w:val="231F20"/>
          <w:spacing w:val="-1"/>
          <w:sz w:val="17"/>
        </w:rPr>
        <w:t xml:space="preserve"> </w:t>
      </w:r>
      <w:r>
        <w:rPr>
          <w:color w:val="231F20"/>
          <w:w w:val="95"/>
          <w:sz w:val="17"/>
        </w:rPr>
        <w:t>sports</w:t>
      </w:r>
      <w:r>
        <w:rPr>
          <w:color w:val="231F20"/>
          <w:spacing w:val="-1"/>
          <w:sz w:val="17"/>
        </w:rPr>
        <w:t xml:space="preserve"> </w:t>
      </w:r>
      <w:r>
        <w:rPr>
          <w:color w:val="231F20"/>
          <w:w w:val="95"/>
          <w:sz w:val="17"/>
        </w:rPr>
        <w:t>20,</w:t>
      </w:r>
      <w:r>
        <w:rPr>
          <w:color w:val="231F20"/>
          <w:spacing w:val="-1"/>
          <w:sz w:val="17"/>
        </w:rPr>
        <w:t xml:space="preserve"> </w:t>
      </w:r>
      <w:r>
        <w:rPr>
          <w:color w:val="231F20"/>
          <w:w w:val="95"/>
          <w:sz w:val="17"/>
        </w:rPr>
        <w:t>55,</w:t>
      </w:r>
      <w:r>
        <w:rPr>
          <w:color w:val="231F20"/>
          <w:spacing w:val="-1"/>
          <w:sz w:val="17"/>
        </w:rPr>
        <w:t xml:space="preserve"> </w:t>
      </w:r>
      <w:r>
        <w:rPr>
          <w:color w:val="231F20"/>
          <w:w w:val="95"/>
          <w:sz w:val="17"/>
        </w:rPr>
        <w:t>184,</w:t>
      </w:r>
      <w:r>
        <w:rPr>
          <w:color w:val="231F20"/>
          <w:spacing w:val="-1"/>
          <w:sz w:val="17"/>
        </w:rPr>
        <w:t xml:space="preserve"> </w:t>
      </w:r>
      <w:r>
        <w:rPr>
          <w:color w:val="231F20"/>
          <w:spacing w:val="-5"/>
          <w:w w:val="95"/>
          <w:sz w:val="17"/>
        </w:rPr>
        <w:t>230</w:t>
      </w:r>
    </w:p>
    <w:p w14:paraId="516C6AC6" w14:textId="77777777" w:rsidR="00AE0598" w:rsidRDefault="0069255A">
      <w:pPr>
        <w:spacing w:before="1"/>
        <w:ind w:left="110"/>
        <w:rPr>
          <w:sz w:val="17"/>
        </w:rPr>
      </w:pPr>
      <w:r>
        <w:rPr>
          <w:color w:val="231F20"/>
          <w:w w:val="95"/>
          <w:sz w:val="17"/>
        </w:rPr>
        <w:t>leveraging</w:t>
      </w:r>
      <w:r>
        <w:rPr>
          <w:color w:val="231F20"/>
          <w:spacing w:val="4"/>
          <w:sz w:val="17"/>
        </w:rPr>
        <w:t xml:space="preserve"> </w:t>
      </w:r>
      <w:r>
        <w:rPr>
          <w:color w:val="231F20"/>
          <w:w w:val="95"/>
          <w:sz w:val="17"/>
        </w:rPr>
        <w:t>6,</w:t>
      </w:r>
      <w:r>
        <w:rPr>
          <w:color w:val="231F20"/>
          <w:spacing w:val="5"/>
          <w:sz w:val="17"/>
        </w:rPr>
        <w:t xml:space="preserve"> </w:t>
      </w:r>
      <w:r>
        <w:rPr>
          <w:color w:val="231F20"/>
          <w:w w:val="95"/>
          <w:sz w:val="17"/>
        </w:rPr>
        <w:t>31,</w:t>
      </w:r>
      <w:r>
        <w:rPr>
          <w:color w:val="231F20"/>
          <w:spacing w:val="5"/>
          <w:sz w:val="17"/>
        </w:rPr>
        <w:t xml:space="preserve"> </w:t>
      </w:r>
      <w:r>
        <w:rPr>
          <w:color w:val="231F20"/>
          <w:w w:val="95"/>
          <w:sz w:val="17"/>
        </w:rPr>
        <w:t>35,</w:t>
      </w:r>
      <w:r>
        <w:rPr>
          <w:color w:val="231F20"/>
          <w:spacing w:val="5"/>
          <w:sz w:val="17"/>
        </w:rPr>
        <w:t xml:space="preserve"> </w:t>
      </w:r>
      <w:r>
        <w:rPr>
          <w:color w:val="231F20"/>
          <w:w w:val="95"/>
          <w:sz w:val="17"/>
        </w:rPr>
        <w:t>46–48,</w:t>
      </w:r>
      <w:r>
        <w:rPr>
          <w:color w:val="231F20"/>
          <w:spacing w:val="5"/>
          <w:sz w:val="17"/>
        </w:rPr>
        <w:t xml:space="preserve"> </w:t>
      </w:r>
      <w:r>
        <w:rPr>
          <w:color w:val="231F20"/>
          <w:w w:val="95"/>
          <w:sz w:val="17"/>
        </w:rPr>
        <w:t>55,</w:t>
      </w:r>
      <w:r>
        <w:rPr>
          <w:color w:val="231F20"/>
          <w:spacing w:val="4"/>
          <w:sz w:val="17"/>
        </w:rPr>
        <w:t xml:space="preserve"> </w:t>
      </w:r>
      <w:r>
        <w:rPr>
          <w:color w:val="231F20"/>
          <w:w w:val="95"/>
          <w:sz w:val="17"/>
        </w:rPr>
        <w:t>76–78,</w:t>
      </w:r>
      <w:r>
        <w:rPr>
          <w:color w:val="231F20"/>
          <w:spacing w:val="5"/>
          <w:sz w:val="17"/>
        </w:rPr>
        <w:t xml:space="preserve"> </w:t>
      </w:r>
      <w:r>
        <w:rPr>
          <w:color w:val="231F20"/>
          <w:spacing w:val="-5"/>
          <w:w w:val="95"/>
          <w:sz w:val="17"/>
        </w:rPr>
        <w:t>92</w:t>
      </w:r>
    </w:p>
    <w:p w14:paraId="4748FFAD" w14:textId="77777777" w:rsidR="00AE0598" w:rsidRDefault="0069255A">
      <w:pPr>
        <w:ind w:left="110"/>
        <w:rPr>
          <w:sz w:val="17"/>
        </w:rPr>
      </w:pPr>
      <w:r>
        <w:rPr>
          <w:color w:val="231F20"/>
          <w:w w:val="90"/>
          <w:sz w:val="17"/>
        </w:rPr>
        <w:t>life</w:t>
      </w:r>
      <w:r>
        <w:rPr>
          <w:color w:val="231F20"/>
          <w:spacing w:val="26"/>
          <w:sz w:val="17"/>
        </w:rPr>
        <w:t xml:space="preserve"> </w:t>
      </w:r>
      <w:r>
        <w:rPr>
          <w:color w:val="231F20"/>
          <w:w w:val="90"/>
          <w:sz w:val="17"/>
        </w:rPr>
        <w:t>cycle</w:t>
      </w:r>
      <w:r>
        <w:rPr>
          <w:color w:val="231F20"/>
          <w:spacing w:val="27"/>
          <w:sz w:val="17"/>
        </w:rPr>
        <w:t xml:space="preserve"> </w:t>
      </w:r>
      <w:r>
        <w:rPr>
          <w:color w:val="231F20"/>
          <w:w w:val="90"/>
          <w:sz w:val="17"/>
        </w:rPr>
        <w:t>14,</w:t>
      </w:r>
      <w:r>
        <w:rPr>
          <w:color w:val="231F20"/>
          <w:spacing w:val="26"/>
          <w:sz w:val="17"/>
        </w:rPr>
        <w:t xml:space="preserve"> </w:t>
      </w:r>
      <w:r>
        <w:rPr>
          <w:color w:val="231F20"/>
          <w:w w:val="90"/>
          <w:sz w:val="17"/>
        </w:rPr>
        <w:t>92,</w:t>
      </w:r>
      <w:r>
        <w:rPr>
          <w:color w:val="231F20"/>
          <w:spacing w:val="27"/>
          <w:sz w:val="17"/>
        </w:rPr>
        <w:t xml:space="preserve"> </w:t>
      </w:r>
      <w:r>
        <w:rPr>
          <w:color w:val="231F20"/>
          <w:w w:val="90"/>
          <w:sz w:val="17"/>
        </w:rPr>
        <w:t>199–200,</w:t>
      </w:r>
      <w:r>
        <w:rPr>
          <w:color w:val="231F20"/>
          <w:spacing w:val="26"/>
          <w:sz w:val="17"/>
        </w:rPr>
        <w:t xml:space="preserve"> </w:t>
      </w:r>
      <w:r>
        <w:rPr>
          <w:color w:val="231F20"/>
          <w:w w:val="90"/>
          <w:sz w:val="17"/>
        </w:rPr>
        <w:t>203–204,</w:t>
      </w:r>
      <w:r>
        <w:rPr>
          <w:color w:val="231F20"/>
          <w:spacing w:val="27"/>
          <w:sz w:val="17"/>
        </w:rPr>
        <w:t xml:space="preserve"> </w:t>
      </w:r>
      <w:r>
        <w:rPr>
          <w:color w:val="231F20"/>
          <w:spacing w:val="-4"/>
          <w:w w:val="90"/>
          <w:sz w:val="17"/>
        </w:rPr>
        <w:t>209,</w:t>
      </w:r>
    </w:p>
    <w:p w14:paraId="56857034" w14:textId="77777777" w:rsidR="00AE0598" w:rsidRDefault="0069255A">
      <w:pPr>
        <w:spacing w:before="1"/>
        <w:ind w:left="470"/>
        <w:rPr>
          <w:sz w:val="17"/>
        </w:rPr>
      </w:pPr>
      <w:r>
        <w:rPr>
          <w:color w:val="231F20"/>
          <w:w w:val="90"/>
          <w:sz w:val="17"/>
        </w:rPr>
        <w:t>222,</w:t>
      </w:r>
      <w:r>
        <w:rPr>
          <w:color w:val="231F20"/>
          <w:spacing w:val="31"/>
          <w:sz w:val="17"/>
        </w:rPr>
        <w:t xml:space="preserve"> </w:t>
      </w:r>
      <w:r>
        <w:rPr>
          <w:color w:val="231F20"/>
          <w:spacing w:val="-5"/>
          <w:sz w:val="17"/>
        </w:rPr>
        <w:t>234</w:t>
      </w:r>
    </w:p>
    <w:p w14:paraId="582E6B5B" w14:textId="77777777" w:rsidR="00AE0598" w:rsidRDefault="0069255A">
      <w:pPr>
        <w:spacing w:before="1"/>
        <w:ind w:left="110"/>
        <w:rPr>
          <w:sz w:val="17"/>
        </w:rPr>
      </w:pPr>
      <w:r>
        <w:rPr>
          <w:color w:val="231F20"/>
          <w:w w:val="95"/>
          <w:sz w:val="17"/>
        </w:rPr>
        <w:t>lifestyle</w:t>
      </w:r>
      <w:r>
        <w:rPr>
          <w:color w:val="231F20"/>
          <w:spacing w:val="5"/>
          <w:sz w:val="17"/>
        </w:rPr>
        <w:t xml:space="preserve"> </w:t>
      </w:r>
      <w:r>
        <w:rPr>
          <w:color w:val="231F20"/>
          <w:w w:val="95"/>
          <w:sz w:val="17"/>
        </w:rPr>
        <w:t>6–7,</w:t>
      </w:r>
      <w:r>
        <w:rPr>
          <w:color w:val="231F20"/>
          <w:spacing w:val="5"/>
          <w:sz w:val="17"/>
        </w:rPr>
        <w:t xml:space="preserve"> </w:t>
      </w:r>
      <w:r>
        <w:rPr>
          <w:color w:val="231F20"/>
          <w:w w:val="95"/>
          <w:sz w:val="17"/>
        </w:rPr>
        <w:t>34–35,</w:t>
      </w:r>
      <w:r>
        <w:rPr>
          <w:color w:val="231F20"/>
          <w:spacing w:val="6"/>
          <w:sz w:val="17"/>
        </w:rPr>
        <w:t xml:space="preserve"> </w:t>
      </w:r>
      <w:r>
        <w:rPr>
          <w:color w:val="231F20"/>
          <w:w w:val="95"/>
          <w:sz w:val="17"/>
        </w:rPr>
        <w:t>41–42,</w:t>
      </w:r>
      <w:r>
        <w:rPr>
          <w:color w:val="231F20"/>
          <w:spacing w:val="5"/>
          <w:sz w:val="17"/>
        </w:rPr>
        <w:t xml:space="preserve"> </w:t>
      </w:r>
      <w:r>
        <w:rPr>
          <w:color w:val="231F20"/>
          <w:w w:val="95"/>
          <w:sz w:val="17"/>
        </w:rPr>
        <w:t>54,</w:t>
      </w:r>
      <w:r>
        <w:rPr>
          <w:color w:val="231F20"/>
          <w:spacing w:val="5"/>
          <w:sz w:val="17"/>
        </w:rPr>
        <w:t xml:space="preserve"> </w:t>
      </w:r>
      <w:r>
        <w:rPr>
          <w:color w:val="231F20"/>
          <w:spacing w:val="-5"/>
          <w:w w:val="95"/>
          <w:sz w:val="17"/>
        </w:rPr>
        <w:t>74,</w:t>
      </w:r>
    </w:p>
    <w:p w14:paraId="07D9748E" w14:textId="77777777" w:rsidR="00AE0598" w:rsidRDefault="0069255A">
      <w:pPr>
        <w:ind w:left="470"/>
        <w:rPr>
          <w:sz w:val="17"/>
        </w:rPr>
      </w:pPr>
      <w:r>
        <w:rPr>
          <w:color w:val="231F20"/>
          <w:w w:val="90"/>
          <w:sz w:val="17"/>
        </w:rPr>
        <w:t>124–126,</w:t>
      </w:r>
      <w:r>
        <w:rPr>
          <w:color w:val="231F20"/>
          <w:spacing w:val="16"/>
          <w:sz w:val="17"/>
        </w:rPr>
        <w:t xml:space="preserve"> </w:t>
      </w:r>
      <w:r>
        <w:rPr>
          <w:color w:val="231F20"/>
          <w:w w:val="90"/>
          <w:sz w:val="17"/>
        </w:rPr>
        <w:t>130,</w:t>
      </w:r>
      <w:r>
        <w:rPr>
          <w:color w:val="231F20"/>
          <w:spacing w:val="17"/>
          <w:sz w:val="17"/>
        </w:rPr>
        <w:t xml:space="preserve"> </w:t>
      </w:r>
      <w:r>
        <w:rPr>
          <w:color w:val="231F20"/>
          <w:w w:val="90"/>
          <w:sz w:val="17"/>
        </w:rPr>
        <w:t>133,</w:t>
      </w:r>
      <w:r>
        <w:rPr>
          <w:color w:val="231F20"/>
          <w:spacing w:val="17"/>
          <w:sz w:val="17"/>
        </w:rPr>
        <w:t xml:space="preserve"> </w:t>
      </w:r>
      <w:r>
        <w:rPr>
          <w:color w:val="231F20"/>
          <w:w w:val="90"/>
          <w:sz w:val="17"/>
        </w:rPr>
        <w:t>151,</w:t>
      </w:r>
      <w:r>
        <w:rPr>
          <w:color w:val="231F20"/>
          <w:spacing w:val="17"/>
          <w:sz w:val="17"/>
        </w:rPr>
        <w:t xml:space="preserve"> </w:t>
      </w:r>
      <w:r>
        <w:rPr>
          <w:color w:val="231F20"/>
          <w:w w:val="90"/>
          <w:sz w:val="17"/>
        </w:rPr>
        <w:t>157,</w:t>
      </w:r>
      <w:r>
        <w:rPr>
          <w:color w:val="231F20"/>
          <w:spacing w:val="16"/>
          <w:sz w:val="17"/>
        </w:rPr>
        <w:t xml:space="preserve"> </w:t>
      </w:r>
      <w:r>
        <w:rPr>
          <w:color w:val="231F20"/>
          <w:w w:val="90"/>
          <w:sz w:val="17"/>
        </w:rPr>
        <w:t>172,</w:t>
      </w:r>
      <w:r>
        <w:rPr>
          <w:color w:val="231F20"/>
          <w:spacing w:val="17"/>
          <w:sz w:val="17"/>
        </w:rPr>
        <w:t xml:space="preserve"> </w:t>
      </w:r>
      <w:r>
        <w:rPr>
          <w:color w:val="231F20"/>
          <w:spacing w:val="-4"/>
          <w:w w:val="90"/>
          <w:sz w:val="17"/>
        </w:rPr>
        <w:t>202,</w:t>
      </w:r>
    </w:p>
    <w:p w14:paraId="3C590DAE" w14:textId="77777777" w:rsidR="00AE0598" w:rsidRDefault="0069255A">
      <w:pPr>
        <w:spacing w:before="1"/>
        <w:ind w:left="470"/>
        <w:rPr>
          <w:sz w:val="17"/>
        </w:rPr>
      </w:pPr>
      <w:r>
        <w:rPr>
          <w:color w:val="231F20"/>
          <w:w w:val="90"/>
          <w:sz w:val="17"/>
        </w:rPr>
        <w:t>206,</w:t>
      </w:r>
      <w:r>
        <w:rPr>
          <w:color w:val="231F20"/>
          <w:spacing w:val="17"/>
          <w:sz w:val="17"/>
        </w:rPr>
        <w:t xml:space="preserve"> </w:t>
      </w:r>
      <w:r>
        <w:rPr>
          <w:color w:val="231F20"/>
          <w:w w:val="90"/>
          <w:sz w:val="17"/>
        </w:rPr>
        <w:t>217,</w:t>
      </w:r>
      <w:r>
        <w:rPr>
          <w:color w:val="231F20"/>
          <w:spacing w:val="17"/>
          <w:sz w:val="17"/>
        </w:rPr>
        <w:t xml:space="preserve"> </w:t>
      </w:r>
      <w:r>
        <w:rPr>
          <w:color w:val="231F20"/>
          <w:w w:val="90"/>
          <w:sz w:val="17"/>
        </w:rPr>
        <w:t>220,</w:t>
      </w:r>
      <w:r>
        <w:rPr>
          <w:color w:val="231F20"/>
          <w:spacing w:val="17"/>
          <w:sz w:val="17"/>
        </w:rPr>
        <w:t xml:space="preserve"> </w:t>
      </w:r>
      <w:r>
        <w:rPr>
          <w:color w:val="231F20"/>
          <w:w w:val="90"/>
          <w:sz w:val="17"/>
        </w:rPr>
        <w:t>222,</w:t>
      </w:r>
      <w:r>
        <w:rPr>
          <w:color w:val="231F20"/>
          <w:spacing w:val="17"/>
          <w:sz w:val="17"/>
        </w:rPr>
        <w:t xml:space="preserve"> </w:t>
      </w:r>
      <w:r>
        <w:rPr>
          <w:color w:val="231F20"/>
          <w:w w:val="90"/>
          <w:sz w:val="17"/>
        </w:rPr>
        <w:t>227,</w:t>
      </w:r>
      <w:r>
        <w:rPr>
          <w:color w:val="231F20"/>
          <w:spacing w:val="17"/>
          <w:sz w:val="17"/>
        </w:rPr>
        <w:t xml:space="preserve"> </w:t>
      </w:r>
      <w:r>
        <w:rPr>
          <w:color w:val="231F20"/>
          <w:w w:val="90"/>
          <w:sz w:val="17"/>
        </w:rPr>
        <w:t>234,</w:t>
      </w:r>
      <w:r>
        <w:rPr>
          <w:color w:val="231F20"/>
          <w:spacing w:val="17"/>
          <w:sz w:val="17"/>
        </w:rPr>
        <w:t xml:space="preserve"> </w:t>
      </w:r>
      <w:r>
        <w:rPr>
          <w:color w:val="231F20"/>
          <w:spacing w:val="-5"/>
          <w:w w:val="90"/>
          <w:sz w:val="17"/>
        </w:rPr>
        <w:t>236</w:t>
      </w:r>
    </w:p>
    <w:p w14:paraId="3F6E987D" w14:textId="77777777" w:rsidR="00AE0598" w:rsidRDefault="0069255A">
      <w:pPr>
        <w:spacing w:before="1"/>
        <w:ind w:left="110"/>
        <w:rPr>
          <w:sz w:val="17"/>
        </w:rPr>
      </w:pPr>
      <w:r>
        <w:rPr>
          <w:color w:val="231F20"/>
          <w:w w:val="95"/>
          <w:sz w:val="17"/>
        </w:rPr>
        <w:t>lifestyle</w:t>
      </w:r>
      <w:r>
        <w:rPr>
          <w:color w:val="231F20"/>
          <w:spacing w:val="1"/>
          <w:sz w:val="17"/>
        </w:rPr>
        <w:t xml:space="preserve"> </w:t>
      </w:r>
      <w:r>
        <w:rPr>
          <w:color w:val="231F20"/>
          <w:w w:val="95"/>
          <w:sz w:val="17"/>
        </w:rPr>
        <w:t>sports</w:t>
      </w:r>
      <w:r>
        <w:rPr>
          <w:color w:val="231F20"/>
          <w:spacing w:val="1"/>
          <w:sz w:val="17"/>
        </w:rPr>
        <w:t xml:space="preserve"> </w:t>
      </w:r>
      <w:r>
        <w:rPr>
          <w:color w:val="231F20"/>
          <w:w w:val="95"/>
          <w:sz w:val="17"/>
        </w:rPr>
        <w:t>6–7,</w:t>
      </w:r>
      <w:r>
        <w:rPr>
          <w:color w:val="231F20"/>
          <w:spacing w:val="1"/>
          <w:sz w:val="17"/>
        </w:rPr>
        <w:t xml:space="preserve"> </w:t>
      </w:r>
      <w:r>
        <w:rPr>
          <w:color w:val="231F20"/>
          <w:w w:val="95"/>
          <w:sz w:val="17"/>
        </w:rPr>
        <w:t>34,</w:t>
      </w:r>
      <w:r>
        <w:rPr>
          <w:color w:val="231F20"/>
          <w:spacing w:val="2"/>
          <w:sz w:val="17"/>
        </w:rPr>
        <w:t xml:space="preserve"> </w:t>
      </w:r>
      <w:r>
        <w:rPr>
          <w:color w:val="231F20"/>
          <w:w w:val="95"/>
          <w:sz w:val="17"/>
        </w:rPr>
        <w:t>73,</w:t>
      </w:r>
      <w:r>
        <w:rPr>
          <w:color w:val="231F20"/>
          <w:spacing w:val="1"/>
          <w:sz w:val="17"/>
        </w:rPr>
        <w:t xml:space="preserve"> </w:t>
      </w:r>
      <w:r>
        <w:rPr>
          <w:color w:val="231F20"/>
          <w:w w:val="95"/>
          <w:sz w:val="17"/>
        </w:rPr>
        <w:t>133,</w:t>
      </w:r>
      <w:r>
        <w:rPr>
          <w:color w:val="231F20"/>
          <w:spacing w:val="1"/>
          <w:sz w:val="17"/>
        </w:rPr>
        <w:t xml:space="preserve"> </w:t>
      </w:r>
      <w:r>
        <w:rPr>
          <w:color w:val="231F20"/>
          <w:w w:val="95"/>
          <w:sz w:val="17"/>
        </w:rPr>
        <w:t>151,</w:t>
      </w:r>
      <w:r>
        <w:rPr>
          <w:color w:val="231F20"/>
          <w:spacing w:val="2"/>
          <w:sz w:val="17"/>
        </w:rPr>
        <w:t xml:space="preserve"> </w:t>
      </w:r>
      <w:r>
        <w:rPr>
          <w:color w:val="231F20"/>
          <w:spacing w:val="-4"/>
          <w:w w:val="95"/>
          <w:sz w:val="17"/>
        </w:rPr>
        <w:t>173,</w:t>
      </w:r>
    </w:p>
    <w:p w14:paraId="10DCC9CE" w14:textId="77777777" w:rsidR="00AE0598" w:rsidRDefault="0069255A">
      <w:pPr>
        <w:ind w:left="470"/>
        <w:rPr>
          <w:sz w:val="17"/>
        </w:rPr>
      </w:pPr>
      <w:r>
        <w:rPr>
          <w:color w:val="231F20"/>
          <w:w w:val="90"/>
          <w:sz w:val="17"/>
        </w:rPr>
        <w:t>206,</w:t>
      </w:r>
      <w:r>
        <w:rPr>
          <w:color w:val="231F20"/>
          <w:spacing w:val="27"/>
          <w:sz w:val="17"/>
        </w:rPr>
        <w:t xml:space="preserve"> </w:t>
      </w:r>
      <w:r>
        <w:rPr>
          <w:color w:val="231F20"/>
          <w:w w:val="90"/>
          <w:sz w:val="17"/>
        </w:rPr>
        <w:t>220,</w:t>
      </w:r>
      <w:r>
        <w:rPr>
          <w:color w:val="231F20"/>
          <w:spacing w:val="27"/>
          <w:sz w:val="17"/>
        </w:rPr>
        <w:t xml:space="preserve"> </w:t>
      </w:r>
      <w:r>
        <w:rPr>
          <w:color w:val="231F20"/>
          <w:w w:val="90"/>
          <w:sz w:val="17"/>
        </w:rPr>
        <w:t>222,</w:t>
      </w:r>
      <w:r>
        <w:rPr>
          <w:color w:val="231F20"/>
          <w:spacing w:val="27"/>
          <w:sz w:val="17"/>
        </w:rPr>
        <w:t xml:space="preserve"> </w:t>
      </w:r>
      <w:r>
        <w:rPr>
          <w:color w:val="231F20"/>
          <w:spacing w:val="-5"/>
          <w:w w:val="90"/>
          <w:sz w:val="17"/>
        </w:rPr>
        <w:t>234</w:t>
      </w:r>
    </w:p>
    <w:p w14:paraId="0136A7E0" w14:textId="77777777" w:rsidR="00AE0598" w:rsidRDefault="0069255A">
      <w:pPr>
        <w:spacing w:before="1"/>
        <w:ind w:left="110"/>
        <w:rPr>
          <w:sz w:val="17"/>
        </w:rPr>
      </w:pPr>
      <w:r>
        <w:rPr>
          <w:color w:val="231F20"/>
          <w:w w:val="95"/>
          <w:sz w:val="17"/>
        </w:rPr>
        <w:t>live</w:t>
      </w:r>
      <w:r>
        <w:rPr>
          <w:color w:val="231F20"/>
          <w:spacing w:val="5"/>
          <w:sz w:val="17"/>
        </w:rPr>
        <w:t xml:space="preserve"> </w:t>
      </w:r>
      <w:r>
        <w:rPr>
          <w:color w:val="231F20"/>
          <w:w w:val="95"/>
          <w:sz w:val="17"/>
        </w:rPr>
        <w:t>sports</w:t>
      </w:r>
      <w:r>
        <w:rPr>
          <w:color w:val="231F20"/>
          <w:spacing w:val="6"/>
          <w:sz w:val="17"/>
        </w:rPr>
        <w:t xml:space="preserve"> </w:t>
      </w:r>
      <w:r>
        <w:rPr>
          <w:color w:val="231F20"/>
          <w:w w:val="95"/>
          <w:sz w:val="17"/>
        </w:rPr>
        <w:t>8,</w:t>
      </w:r>
      <w:r>
        <w:rPr>
          <w:color w:val="231F20"/>
          <w:spacing w:val="6"/>
          <w:sz w:val="17"/>
        </w:rPr>
        <w:t xml:space="preserve"> </w:t>
      </w:r>
      <w:r>
        <w:rPr>
          <w:color w:val="231F20"/>
          <w:w w:val="95"/>
          <w:sz w:val="17"/>
        </w:rPr>
        <w:t>92,</w:t>
      </w:r>
      <w:r>
        <w:rPr>
          <w:color w:val="231F20"/>
          <w:spacing w:val="6"/>
          <w:sz w:val="17"/>
        </w:rPr>
        <w:t xml:space="preserve"> </w:t>
      </w:r>
      <w:r>
        <w:rPr>
          <w:color w:val="231F20"/>
          <w:spacing w:val="-5"/>
          <w:w w:val="95"/>
          <w:sz w:val="17"/>
        </w:rPr>
        <w:t>159</w:t>
      </w:r>
    </w:p>
    <w:p w14:paraId="28D2ED28" w14:textId="77777777" w:rsidR="00AE0598" w:rsidRDefault="0069255A">
      <w:pPr>
        <w:spacing w:before="1"/>
        <w:ind w:left="110"/>
        <w:rPr>
          <w:sz w:val="17"/>
        </w:rPr>
      </w:pPr>
      <w:r>
        <w:rPr>
          <w:color w:val="231F20"/>
          <w:w w:val="95"/>
          <w:sz w:val="17"/>
        </w:rPr>
        <w:t>live</w:t>
      </w:r>
      <w:r>
        <w:rPr>
          <w:color w:val="231F20"/>
          <w:spacing w:val="2"/>
          <w:sz w:val="17"/>
        </w:rPr>
        <w:t xml:space="preserve"> </w:t>
      </w:r>
      <w:r>
        <w:rPr>
          <w:color w:val="231F20"/>
          <w:w w:val="95"/>
          <w:sz w:val="17"/>
        </w:rPr>
        <w:t>streaming</w:t>
      </w:r>
      <w:r>
        <w:rPr>
          <w:color w:val="231F20"/>
          <w:spacing w:val="3"/>
          <w:sz w:val="17"/>
        </w:rPr>
        <w:t xml:space="preserve"> </w:t>
      </w:r>
      <w:r>
        <w:rPr>
          <w:color w:val="231F20"/>
          <w:w w:val="95"/>
          <w:sz w:val="17"/>
        </w:rPr>
        <w:t>6,</w:t>
      </w:r>
      <w:r>
        <w:rPr>
          <w:color w:val="231F20"/>
          <w:spacing w:val="3"/>
          <w:sz w:val="17"/>
        </w:rPr>
        <w:t xml:space="preserve"> </w:t>
      </w:r>
      <w:r>
        <w:rPr>
          <w:color w:val="231F20"/>
          <w:w w:val="95"/>
          <w:sz w:val="17"/>
        </w:rPr>
        <w:t>159,</w:t>
      </w:r>
      <w:r>
        <w:rPr>
          <w:color w:val="231F20"/>
          <w:spacing w:val="3"/>
          <w:sz w:val="17"/>
        </w:rPr>
        <w:t xml:space="preserve"> </w:t>
      </w:r>
      <w:r>
        <w:rPr>
          <w:color w:val="231F20"/>
          <w:spacing w:val="-5"/>
          <w:w w:val="95"/>
          <w:sz w:val="17"/>
        </w:rPr>
        <w:t>219</w:t>
      </w:r>
    </w:p>
    <w:p w14:paraId="3EE0D486" w14:textId="77777777" w:rsidR="00AE0598" w:rsidRDefault="0069255A">
      <w:pPr>
        <w:spacing w:before="1"/>
        <w:ind w:left="110"/>
        <w:rPr>
          <w:sz w:val="17"/>
        </w:rPr>
      </w:pPr>
      <w:r>
        <w:rPr>
          <w:color w:val="231F20"/>
          <w:w w:val="95"/>
          <w:sz w:val="17"/>
        </w:rPr>
        <w:t>Liverpool</w:t>
      </w:r>
      <w:r>
        <w:rPr>
          <w:color w:val="231F20"/>
          <w:spacing w:val="2"/>
          <w:sz w:val="17"/>
        </w:rPr>
        <w:t xml:space="preserve"> </w:t>
      </w:r>
      <w:r>
        <w:rPr>
          <w:color w:val="231F20"/>
          <w:w w:val="95"/>
          <w:sz w:val="17"/>
        </w:rPr>
        <w:t>96,</w:t>
      </w:r>
      <w:r>
        <w:rPr>
          <w:color w:val="231F20"/>
          <w:spacing w:val="3"/>
          <w:sz w:val="17"/>
        </w:rPr>
        <w:t xml:space="preserve"> </w:t>
      </w:r>
      <w:r>
        <w:rPr>
          <w:color w:val="231F20"/>
          <w:w w:val="95"/>
          <w:sz w:val="17"/>
        </w:rPr>
        <w:t>106,</w:t>
      </w:r>
      <w:r>
        <w:rPr>
          <w:color w:val="231F20"/>
          <w:spacing w:val="3"/>
          <w:sz w:val="17"/>
        </w:rPr>
        <w:t xml:space="preserve"> </w:t>
      </w:r>
      <w:r>
        <w:rPr>
          <w:color w:val="231F20"/>
          <w:w w:val="95"/>
          <w:sz w:val="17"/>
        </w:rPr>
        <w:t>112,</w:t>
      </w:r>
      <w:r>
        <w:rPr>
          <w:color w:val="231F20"/>
          <w:spacing w:val="2"/>
          <w:sz w:val="17"/>
        </w:rPr>
        <w:t xml:space="preserve"> </w:t>
      </w:r>
      <w:r>
        <w:rPr>
          <w:color w:val="231F20"/>
          <w:w w:val="95"/>
          <w:sz w:val="17"/>
        </w:rPr>
        <w:t>115–119,</w:t>
      </w:r>
      <w:r>
        <w:rPr>
          <w:color w:val="231F20"/>
          <w:spacing w:val="3"/>
          <w:sz w:val="17"/>
        </w:rPr>
        <w:t xml:space="preserve"> </w:t>
      </w:r>
      <w:r>
        <w:rPr>
          <w:color w:val="231F20"/>
          <w:w w:val="95"/>
          <w:sz w:val="17"/>
        </w:rPr>
        <w:t>130,</w:t>
      </w:r>
      <w:r>
        <w:rPr>
          <w:color w:val="231F20"/>
          <w:spacing w:val="3"/>
          <w:sz w:val="17"/>
        </w:rPr>
        <w:t xml:space="preserve"> </w:t>
      </w:r>
      <w:r>
        <w:rPr>
          <w:color w:val="231F20"/>
          <w:spacing w:val="-4"/>
          <w:w w:val="95"/>
          <w:sz w:val="17"/>
        </w:rPr>
        <w:t>177,</w:t>
      </w:r>
    </w:p>
    <w:p w14:paraId="5245F87A" w14:textId="77777777" w:rsidR="00AE0598" w:rsidRDefault="0069255A">
      <w:pPr>
        <w:ind w:left="470"/>
        <w:rPr>
          <w:sz w:val="17"/>
        </w:rPr>
      </w:pPr>
      <w:r>
        <w:rPr>
          <w:color w:val="231F20"/>
          <w:spacing w:val="-5"/>
          <w:w w:val="95"/>
          <w:sz w:val="17"/>
        </w:rPr>
        <w:t>232</w:t>
      </w:r>
    </w:p>
    <w:p w14:paraId="615A2FBE" w14:textId="77777777" w:rsidR="00AE0598" w:rsidRDefault="0069255A">
      <w:pPr>
        <w:spacing w:before="1"/>
        <w:ind w:left="110"/>
        <w:rPr>
          <w:sz w:val="17"/>
        </w:rPr>
      </w:pPr>
      <w:r>
        <w:rPr>
          <w:color w:val="231F20"/>
          <w:w w:val="95"/>
          <w:sz w:val="17"/>
        </w:rPr>
        <w:t>location</w:t>
      </w:r>
      <w:r>
        <w:rPr>
          <w:color w:val="231F20"/>
          <w:spacing w:val="6"/>
          <w:sz w:val="17"/>
        </w:rPr>
        <w:t xml:space="preserve"> </w:t>
      </w:r>
      <w:r>
        <w:rPr>
          <w:color w:val="231F20"/>
          <w:w w:val="95"/>
          <w:sz w:val="17"/>
        </w:rPr>
        <w:t>hierarchy</w:t>
      </w:r>
      <w:r>
        <w:rPr>
          <w:color w:val="231F20"/>
          <w:spacing w:val="7"/>
          <w:sz w:val="17"/>
        </w:rPr>
        <w:t xml:space="preserve"> </w:t>
      </w:r>
      <w:r>
        <w:rPr>
          <w:color w:val="231F20"/>
          <w:w w:val="95"/>
          <w:sz w:val="17"/>
        </w:rPr>
        <w:t>90–96,</w:t>
      </w:r>
      <w:r>
        <w:rPr>
          <w:color w:val="231F20"/>
          <w:spacing w:val="7"/>
          <w:sz w:val="17"/>
        </w:rPr>
        <w:t xml:space="preserve"> </w:t>
      </w:r>
      <w:r>
        <w:rPr>
          <w:color w:val="231F20"/>
          <w:w w:val="95"/>
          <w:sz w:val="17"/>
        </w:rPr>
        <w:t>108,</w:t>
      </w:r>
      <w:r>
        <w:rPr>
          <w:color w:val="231F20"/>
          <w:spacing w:val="7"/>
          <w:sz w:val="17"/>
        </w:rPr>
        <w:t xml:space="preserve"> </w:t>
      </w:r>
      <w:r>
        <w:rPr>
          <w:color w:val="231F20"/>
          <w:w w:val="95"/>
          <w:sz w:val="17"/>
        </w:rPr>
        <w:t>110,</w:t>
      </w:r>
      <w:r>
        <w:rPr>
          <w:color w:val="231F20"/>
          <w:spacing w:val="6"/>
          <w:sz w:val="17"/>
        </w:rPr>
        <w:t xml:space="preserve"> </w:t>
      </w:r>
      <w:r>
        <w:rPr>
          <w:color w:val="231F20"/>
          <w:spacing w:val="-5"/>
          <w:w w:val="95"/>
          <w:sz w:val="17"/>
        </w:rPr>
        <w:t>232</w:t>
      </w:r>
    </w:p>
    <w:p w14:paraId="5BE67A8B" w14:textId="77777777" w:rsidR="00AE0598" w:rsidRDefault="0069255A">
      <w:pPr>
        <w:spacing w:before="1"/>
        <w:ind w:left="110"/>
        <w:rPr>
          <w:sz w:val="17"/>
        </w:rPr>
      </w:pPr>
      <w:r>
        <w:rPr>
          <w:color w:val="231F20"/>
          <w:w w:val="95"/>
          <w:sz w:val="17"/>
        </w:rPr>
        <w:t>London</w:t>
      </w:r>
      <w:r>
        <w:rPr>
          <w:color w:val="231F20"/>
          <w:spacing w:val="9"/>
          <w:sz w:val="17"/>
        </w:rPr>
        <w:t xml:space="preserve"> </w:t>
      </w:r>
      <w:r>
        <w:rPr>
          <w:color w:val="231F20"/>
          <w:w w:val="95"/>
          <w:sz w:val="17"/>
        </w:rPr>
        <w:t>35–36,</w:t>
      </w:r>
      <w:r>
        <w:rPr>
          <w:color w:val="231F20"/>
          <w:spacing w:val="9"/>
          <w:sz w:val="17"/>
        </w:rPr>
        <w:t xml:space="preserve"> </w:t>
      </w:r>
      <w:r>
        <w:rPr>
          <w:color w:val="231F20"/>
          <w:w w:val="95"/>
          <w:sz w:val="17"/>
        </w:rPr>
        <w:t>43,</w:t>
      </w:r>
      <w:r>
        <w:rPr>
          <w:color w:val="231F20"/>
          <w:spacing w:val="10"/>
          <w:sz w:val="17"/>
        </w:rPr>
        <w:t xml:space="preserve"> </w:t>
      </w:r>
      <w:r>
        <w:rPr>
          <w:color w:val="231F20"/>
          <w:w w:val="95"/>
          <w:sz w:val="17"/>
        </w:rPr>
        <w:t>48,</w:t>
      </w:r>
      <w:r>
        <w:rPr>
          <w:color w:val="231F20"/>
          <w:spacing w:val="9"/>
          <w:sz w:val="17"/>
        </w:rPr>
        <w:t xml:space="preserve"> </w:t>
      </w:r>
      <w:r>
        <w:rPr>
          <w:color w:val="231F20"/>
          <w:w w:val="95"/>
          <w:sz w:val="17"/>
        </w:rPr>
        <w:t>60,</w:t>
      </w:r>
      <w:r>
        <w:rPr>
          <w:color w:val="231F20"/>
          <w:spacing w:val="9"/>
          <w:sz w:val="17"/>
        </w:rPr>
        <w:t xml:space="preserve"> </w:t>
      </w:r>
      <w:r>
        <w:rPr>
          <w:color w:val="231F20"/>
          <w:w w:val="95"/>
          <w:sz w:val="17"/>
        </w:rPr>
        <w:t>98,</w:t>
      </w:r>
      <w:r>
        <w:rPr>
          <w:color w:val="231F20"/>
          <w:spacing w:val="10"/>
          <w:sz w:val="17"/>
        </w:rPr>
        <w:t xml:space="preserve"> </w:t>
      </w:r>
      <w:r>
        <w:rPr>
          <w:color w:val="231F20"/>
          <w:w w:val="95"/>
          <w:sz w:val="17"/>
        </w:rPr>
        <w:t>102,</w:t>
      </w:r>
      <w:r>
        <w:rPr>
          <w:color w:val="231F20"/>
          <w:spacing w:val="9"/>
          <w:sz w:val="17"/>
        </w:rPr>
        <w:t xml:space="preserve"> </w:t>
      </w:r>
      <w:r>
        <w:rPr>
          <w:color w:val="231F20"/>
          <w:spacing w:val="-4"/>
          <w:w w:val="95"/>
          <w:sz w:val="17"/>
        </w:rPr>
        <w:t>106,</w:t>
      </w:r>
    </w:p>
    <w:p w14:paraId="33F7FD44" w14:textId="77777777" w:rsidR="00AE0598" w:rsidRDefault="0069255A">
      <w:pPr>
        <w:ind w:left="470"/>
        <w:rPr>
          <w:sz w:val="17"/>
        </w:rPr>
      </w:pPr>
      <w:r>
        <w:rPr>
          <w:color w:val="231F20"/>
          <w:w w:val="90"/>
          <w:sz w:val="17"/>
        </w:rPr>
        <w:t>113,</w:t>
      </w:r>
      <w:r>
        <w:rPr>
          <w:color w:val="231F20"/>
          <w:spacing w:val="11"/>
          <w:sz w:val="17"/>
        </w:rPr>
        <w:t xml:space="preserve"> </w:t>
      </w:r>
      <w:r>
        <w:rPr>
          <w:color w:val="231F20"/>
          <w:w w:val="90"/>
          <w:sz w:val="17"/>
        </w:rPr>
        <w:t>120,</w:t>
      </w:r>
      <w:r>
        <w:rPr>
          <w:color w:val="231F20"/>
          <w:spacing w:val="12"/>
          <w:sz w:val="17"/>
        </w:rPr>
        <w:t xml:space="preserve"> </w:t>
      </w:r>
      <w:r>
        <w:rPr>
          <w:color w:val="231F20"/>
          <w:w w:val="90"/>
          <w:sz w:val="17"/>
        </w:rPr>
        <w:t>147–148,</w:t>
      </w:r>
      <w:r>
        <w:rPr>
          <w:color w:val="231F20"/>
          <w:spacing w:val="12"/>
          <w:sz w:val="17"/>
        </w:rPr>
        <w:t xml:space="preserve"> </w:t>
      </w:r>
      <w:r>
        <w:rPr>
          <w:color w:val="231F20"/>
          <w:spacing w:val="-2"/>
          <w:w w:val="90"/>
          <w:sz w:val="17"/>
        </w:rPr>
        <w:t>151–152</w:t>
      </w:r>
    </w:p>
    <w:p w14:paraId="4BBBDA37" w14:textId="77777777" w:rsidR="00AE0598" w:rsidRDefault="0069255A">
      <w:pPr>
        <w:spacing w:before="1"/>
        <w:ind w:left="110"/>
        <w:rPr>
          <w:sz w:val="17"/>
        </w:rPr>
      </w:pPr>
      <w:r>
        <w:rPr>
          <w:color w:val="231F20"/>
          <w:w w:val="95"/>
          <w:sz w:val="17"/>
        </w:rPr>
        <w:t>London</w:t>
      </w:r>
      <w:r>
        <w:rPr>
          <w:color w:val="231F20"/>
          <w:spacing w:val="12"/>
          <w:sz w:val="17"/>
        </w:rPr>
        <w:t xml:space="preserve"> </w:t>
      </w:r>
      <w:r>
        <w:rPr>
          <w:color w:val="231F20"/>
          <w:w w:val="95"/>
          <w:sz w:val="17"/>
        </w:rPr>
        <w:t>2012</w:t>
      </w:r>
      <w:r>
        <w:rPr>
          <w:color w:val="231F20"/>
          <w:spacing w:val="12"/>
          <w:sz w:val="17"/>
        </w:rPr>
        <w:t xml:space="preserve"> </w:t>
      </w:r>
      <w:r>
        <w:rPr>
          <w:color w:val="231F20"/>
          <w:w w:val="95"/>
          <w:sz w:val="17"/>
        </w:rPr>
        <w:t>Olympics</w:t>
      </w:r>
      <w:r>
        <w:rPr>
          <w:color w:val="231F20"/>
          <w:spacing w:val="12"/>
          <w:sz w:val="17"/>
        </w:rPr>
        <w:t xml:space="preserve"> </w:t>
      </w:r>
      <w:r>
        <w:rPr>
          <w:color w:val="231F20"/>
          <w:w w:val="95"/>
          <w:sz w:val="17"/>
        </w:rPr>
        <w:t>35–36,</w:t>
      </w:r>
      <w:r>
        <w:rPr>
          <w:color w:val="231F20"/>
          <w:spacing w:val="12"/>
          <w:sz w:val="17"/>
        </w:rPr>
        <w:t xml:space="preserve"> </w:t>
      </w:r>
      <w:r>
        <w:rPr>
          <w:color w:val="231F20"/>
          <w:w w:val="95"/>
          <w:sz w:val="17"/>
        </w:rPr>
        <w:t>98,</w:t>
      </w:r>
      <w:r>
        <w:rPr>
          <w:color w:val="231F20"/>
          <w:spacing w:val="12"/>
          <w:sz w:val="17"/>
        </w:rPr>
        <w:t xml:space="preserve"> </w:t>
      </w:r>
      <w:r>
        <w:rPr>
          <w:color w:val="231F20"/>
          <w:spacing w:val="-4"/>
          <w:w w:val="95"/>
          <w:sz w:val="17"/>
        </w:rPr>
        <w:t>106,</w:t>
      </w:r>
    </w:p>
    <w:p w14:paraId="00AF58E2" w14:textId="77777777" w:rsidR="00AE0598" w:rsidRDefault="0069255A">
      <w:pPr>
        <w:spacing w:before="1"/>
        <w:ind w:left="88" w:right="1233"/>
        <w:jc w:val="center"/>
        <w:rPr>
          <w:sz w:val="17"/>
        </w:rPr>
      </w:pPr>
      <w:r>
        <w:rPr>
          <w:color w:val="231F20"/>
          <w:w w:val="90"/>
          <w:sz w:val="17"/>
        </w:rPr>
        <w:t>113,</w:t>
      </w:r>
      <w:r>
        <w:rPr>
          <w:color w:val="231F20"/>
          <w:spacing w:val="15"/>
          <w:sz w:val="17"/>
        </w:rPr>
        <w:t xml:space="preserve"> </w:t>
      </w:r>
      <w:r>
        <w:rPr>
          <w:color w:val="231F20"/>
          <w:w w:val="90"/>
          <w:sz w:val="17"/>
        </w:rPr>
        <w:t>120,</w:t>
      </w:r>
      <w:r>
        <w:rPr>
          <w:color w:val="231F20"/>
          <w:spacing w:val="16"/>
          <w:sz w:val="17"/>
        </w:rPr>
        <w:t xml:space="preserve"> </w:t>
      </w:r>
      <w:r>
        <w:rPr>
          <w:color w:val="231F20"/>
          <w:spacing w:val="-2"/>
          <w:w w:val="90"/>
          <w:sz w:val="17"/>
        </w:rPr>
        <w:t>151–152</w:t>
      </w:r>
    </w:p>
    <w:p w14:paraId="61F194F7" w14:textId="77777777" w:rsidR="00AE0598" w:rsidRDefault="0069255A">
      <w:pPr>
        <w:ind w:left="101" w:right="1233"/>
        <w:jc w:val="center"/>
        <w:rPr>
          <w:sz w:val="17"/>
        </w:rPr>
      </w:pPr>
      <w:r>
        <w:rPr>
          <w:color w:val="231F20"/>
          <w:w w:val="95"/>
          <w:sz w:val="17"/>
        </w:rPr>
        <w:t>low-cost</w:t>
      </w:r>
      <w:r>
        <w:rPr>
          <w:color w:val="231F20"/>
          <w:spacing w:val="6"/>
          <w:sz w:val="17"/>
        </w:rPr>
        <w:t xml:space="preserve"> </w:t>
      </w:r>
      <w:r>
        <w:rPr>
          <w:color w:val="231F20"/>
          <w:w w:val="95"/>
          <w:sz w:val="17"/>
        </w:rPr>
        <w:t>air</w:t>
      </w:r>
      <w:r>
        <w:rPr>
          <w:color w:val="231F20"/>
          <w:spacing w:val="6"/>
          <w:sz w:val="17"/>
        </w:rPr>
        <w:t xml:space="preserve"> </w:t>
      </w:r>
      <w:r>
        <w:rPr>
          <w:color w:val="231F20"/>
          <w:w w:val="95"/>
          <w:sz w:val="17"/>
        </w:rPr>
        <w:t>services</w:t>
      </w:r>
      <w:r>
        <w:rPr>
          <w:color w:val="231F20"/>
          <w:spacing w:val="7"/>
          <w:sz w:val="17"/>
        </w:rPr>
        <w:t xml:space="preserve"> </w:t>
      </w:r>
      <w:r>
        <w:rPr>
          <w:color w:val="231F20"/>
          <w:w w:val="95"/>
          <w:sz w:val="17"/>
        </w:rPr>
        <w:t>92,</w:t>
      </w:r>
      <w:r>
        <w:rPr>
          <w:color w:val="231F20"/>
          <w:spacing w:val="6"/>
          <w:sz w:val="17"/>
        </w:rPr>
        <w:t xml:space="preserve"> </w:t>
      </w:r>
      <w:r>
        <w:rPr>
          <w:color w:val="231F20"/>
          <w:spacing w:val="-5"/>
          <w:w w:val="95"/>
          <w:sz w:val="17"/>
        </w:rPr>
        <w:t>132</w:t>
      </w:r>
    </w:p>
    <w:p w14:paraId="0BECB0C9" w14:textId="77777777" w:rsidR="00AE0598" w:rsidRDefault="00AE0598">
      <w:pPr>
        <w:jc w:val="center"/>
        <w:rPr>
          <w:sz w:val="17"/>
        </w:rPr>
        <w:sectPr w:rsidR="00AE0598">
          <w:type w:val="continuous"/>
          <w:pgSz w:w="8850" w:h="13270"/>
          <w:pgMar w:top="1080" w:right="1060" w:bottom="280" w:left="1080" w:header="720" w:footer="720" w:gutter="0"/>
          <w:cols w:num="2" w:space="720" w:equalWidth="0">
            <w:col w:w="3248" w:space="104"/>
            <w:col w:w="3358"/>
          </w:cols>
        </w:sectPr>
      </w:pPr>
    </w:p>
    <w:p w14:paraId="1246C0ED" w14:textId="77777777" w:rsidR="00AE0598" w:rsidRDefault="0069255A">
      <w:pPr>
        <w:spacing w:before="87"/>
        <w:ind w:left="108"/>
        <w:rPr>
          <w:rFonts w:ascii="Trebuchet MS"/>
          <w:sz w:val="14"/>
        </w:rPr>
      </w:pPr>
      <w:r>
        <w:rPr>
          <w:rFonts w:ascii="Trebuchet MS"/>
          <w:color w:val="231F20"/>
          <w:w w:val="105"/>
          <w:sz w:val="14"/>
        </w:rPr>
        <w:lastRenderedPageBreak/>
        <w:t>284</w:t>
      </w:r>
      <w:r>
        <w:rPr>
          <w:rFonts w:ascii="Trebuchet MS"/>
          <w:color w:val="231F20"/>
          <w:spacing w:val="78"/>
          <w:w w:val="150"/>
          <w:sz w:val="14"/>
        </w:rPr>
        <w:t xml:space="preserve"> </w:t>
      </w:r>
      <w:r>
        <w:rPr>
          <w:rFonts w:ascii="Trebuchet MS"/>
          <w:color w:val="231F20"/>
          <w:spacing w:val="-2"/>
          <w:w w:val="105"/>
          <w:sz w:val="14"/>
        </w:rPr>
        <w:t>Index</w:t>
      </w:r>
    </w:p>
    <w:p w14:paraId="3F63F686" w14:textId="77777777" w:rsidR="00AE0598" w:rsidRDefault="00AE0598">
      <w:pPr>
        <w:pStyle w:val="Corpodetexto"/>
        <w:spacing w:before="9"/>
        <w:rPr>
          <w:rFonts w:ascii="Trebuchet MS"/>
          <w:sz w:val="17"/>
        </w:rPr>
      </w:pPr>
    </w:p>
    <w:p w14:paraId="78F555E2" w14:textId="77777777" w:rsidR="00AE0598" w:rsidRDefault="00AE0598">
      <w:pPr>
        <w:rPr>
          <w:rFonts w:ascii="Trebuchet MS"/>
          <w:sz w:val="17"/>
        </w:rPr>
        <w:sectPr w:rsidR="00AE0598">
          <w:pgSz w:w="8850" w:h="13270"/>
          <w:pgMar w:top="720" w:right="1060" w:bottom="280" w:left="1080" w:header="720" w:footer="720" w:gutter="0"/>
          <w:cols w:space="720"/>
        </w:sectPr>
      </w:pPr>
    </w:p>
    <w:p w14:paraId="76ECABD2" w14:textId="77777777" w:rsidR="00AE0598" w:rsidRDefault="0069255A">
      <w:pPr>
        <w:spacing w:before="97"/>
        <w:ind w:left="110"/>
        <w:rPr>
          <w:sz w:val="17"/>
        </w:rPr>
      </w:pPr>
      <w:r>
        <w:rPr>
          <w:color w:val="231F20"/>
          <w:w w:val="95"/>
          <w:sz w:val="17"/>
        </w:rPr>
        <w:t>ludus</w:t>
      </w:r>
      <w:r>
        <w:rPr>
          <w:color w:val="231F20"/>
          <w:spacing w:val="-1"/>
          <w:sz w:val="17"/>
        </w:rPr>
        <w:t xml:space="preserve"> </w:t>
      </w:r>
      <w:r>
        <w:rPr>
          <w:color w:val="231F20"/>
          <w:spacing w:val="-7"/>
          <w:w w:val="95"/>
          <w:sz w:val="17"/>
        </w:rPr>
        <w:t>21</w:t>
      </w:r>
    </w:p>
    <w:p w14:paraId="708886B4" w14:textId="77777777" w:rsidR="00AE0598" w:rsidRDefault="0069255A">
      <w:pPr>
        <w:spacing w:before="1"/>
        <w:ind w:left="110"/>
        <w:rPr>
          <w:sz w:val="17"/>
        </w:rPr>
      </w:pPr>
      <w:r>
        <w:rPr>
          <w:color w:val="231F20"/>
          <w:w w:val="95"/>
          <w:sz w:val="17"/>
        </w:rPr>
        <w:t>Lysefjord</w:t>
      </w:r>
      <w:r>
        <w:rPr>
          <w:color w:val="231F20"/>
          <w:spacing w:val="15"/>
          <w:sz w:val="17"/>
        </w:rPr>
        <w:t xml:space="preserve"> </w:t>
      </w:r>
      <w:r>
        <w:rPr>
          <w:color w:val="231F20"/>
          <w:spacing w:val="-5"/>
          <w:sz w:val="17"/>
        </w:rPr>
        <w:t>27</w:t>
      </w:r>
    </w:p>
    <w:p w14:paraId="40A4AB7D" w14:textId="77777777" w:rsidR="00AE0598" w:rsidRDefault="00AE0598">
      <w:pPr>
        <w:pStyle w:val="Corpodetexto"/>
        <w:spacing w:before="3"/>
        <w:rPr>
          <w:sz w:val="16"/>
        </w:rPr>
      </w:pPr>
    </w:p>
    <w:p w14:paraId="0853BD3F" w14:textId="77777777" w:rsidR="00AE0598" w:rsidRDefault="0069255A">
      <w:pPr>
        <w:spacing w:line="191" w:lineRule="exact"/>
        <w:ind w:left="110"/>
        <w:rPr>
          <w:sz w:val="17"/>
        </w:rPr>
      </w:pPr>
      <w:r>
        <w:rPr>
          <w:color w:val="231F20"/>
          <w:w w:val="95"/>
          <w:sz w:val="17"/>
        </w:rPr>
        <w:t>major</w:t>
      </w:r>
      <w:r>
        <w:rPr>
          <w:color w:val="231F20"/>
          <w:spacing w:val="2"/>
          <w:sz w:val="17"/>
        </w:rPr>
        <w:t xml:space="preserve"> </w:t>
      </w:r>
      <w:r>
        <w:rPr>
          <w:color w:val="231F20"/>
          <w:w w:val="95"/>
          <w:sz w:val="17"/>
        </w:rPr>
        <w:t>spectator</w:t>
      </w:r>
      <w:r>
        <w:rPr>
          <w:color w:val="231F20"/>
          <w:spacing w:val="2"/>
          <w:sz w:val="17"/>
        </w:rPr>
        <w:t xml:space="preserve"> </w:t>
      </w:r>
      <w:r>
        <w:rPr>
          <w:color w:val="231F20"/>
          <w:w w:val="95"/>
          <w:sz w:val="17"/>
        </w:rPr>
        <w:t>event</w:t>
      </w:r>
      <w:r>
        <w:rPr>
          <w:color w:val="231F20"/>
          <w:spacing w:val="2"/>
          <w:sz w:val="17"/>
        </w:rPr>
        <w:t xml:space="preserve"> </w:t>
      </w:r>
      <w:r>
        <w:rPr>
          <w:color w:val="231F20"/>
          <w:w w:val="95"/>
          <w:sz w:val="17"/>
        </w:rPr>
        <w:t>25,</w:t>
      </w:r>
      <w:r>
        <w:rPr>
          <w:color w:val="231F20"/>
          <w:spacing w:val="3"/>
          <w:sz w:val="17"/>
        </w:rPr>
        <w:t xml:space="preserve"> </w:t>
      </w:r>
      <w:r>
        <w:rPr>
          <w:color w:val="231F20"/>
          <w:w w:val="95"/>
          <w:sz w:val="17"/>
        </w:rPr>
        <w:t>33,</w:t>
      </w:r>
      <w:r>
        <w:rPr>
          <w:color w:val="231F20"/>
          <w:spacing w:val="2"/>
          <w:sz w:val="17"/>
        </w:rPr>
        <w:t xml:space="preserve"> </w:t>
      </w:r>
      <w:r>
        <w:rPr>
          <w:color w:val="231F20"/>
          <w:spacing w:val="-5"/>
          <w:w w:val="95"/>
          <w:sz w:val="17"/>
        </w:rPr>
        <w:t>38</w:t>
      </w:r>
    </w:p>
    <w:p w14:paraId="0F8FBD68" w14:textId="77777777" w:rsidR="00AE0598" w:rsidRDefault="0069255A">
      <w:pPr>
        <w:spacing w:line="207" w:lineRule="exact"/>
        <w:ind w:left="110"/>
        <w:rPr>
          <w:sz w:val="17"/>
        </w:rPr>
      </w:pPr>
      <w:r>
        <w:rPr>
          <w:color w:val="231F20"/>
          <w:sz w:val="17"/>
        </w:rPr>
        <w:t>M</w:t>
      </w:r>
      <w:r>
        <w:rPr>
          <w:rFonts w:ascii="Palatino Linotype" w:hAnsi="Palatino Linotype"/>
          <w:color w:val="231F20"/>
          <w:sz w:val="17"/>
        </w:rPr>
        <w:t>ā</w:t>
      </w:r>
      <w:r>
        <w:rPr>
          <w:color w:val="231F20"/>
          <w:sz w:val="17"/>
        </w:rPr>
        <w:t>ori</w:t>
      </w:r>
      <w:r>
        <w:rPr>
          <w:color w:val="231F20"/>
          <w:spacing w:val="16"/>
          <w:sz w:val="17"/>
        </w:rPr>
        <w:t xml:space="preserve"> </w:t>
      </w:r>
      <w:r>
        <w:rPr>
          <w:color w:val="231F20"/>
          <w:spacing w:val="-7"/>
          <w:sz w:val="17"/>
        </w:rPr>
        <w:t>11</w:t>
      </w:r>
    </w:p>
    <w:p w14:paraId="1861F602" w14:textId="77777777" w:rsidR="00AE0598" w:rsidRDefault="0069255A">
      <w:pPr>
        <w:spacing w:line="208" w:lineRule="exact"/>
        <w:ind w:left="110"/>
        <w:rPr>
          <w:sz w:val="17"/>
        </w:rPr>
      </w:pPr>
      <w:r>
        <w:rPr>
          <w:color w:val="231F20"/>
          <w:sz w:val="17"/>
        </w:rPr>
        <w:t>M</w:t>
      </w:r>
      <w:r>
        <w:rPr>
          <w:rFonts w:ascii="Palatino Linotype" w:hAnsi="Palatino Linotype"/>
          <w:color w:val="231F20"/>
          <w:sz w:val="17"/>
        </w:rPr>
        <w:t>ā</w:t>
      </w:r>
      <w:r>
        <w:rPr>
          <w:color w:val="231F20"/>
          <w:sz w:val="17"/>
        </w:rPr>
        <w:t>ori</w:t>
      </w:r>
      <w:r>
        <w:rPr>
          <w:color w:val="231F20"/>
          <w:spacing w:val="10"/>
          <w:sz w:val="17"/>
        </w:rPr>
        <w:t xml:space="preserve"> </w:t>
      </w:r>
      <w:r>
        <w:rPr>
          <w:color w:val="231F20"/>
          <w:sz w:val="17"/>
        </w:rPr>
        <w:t>haka</w:t>
      </w:r>
      <w:r>
        <w:rPr>
          <w:color w:val="231F20"/>
          <w:spacing w:val="10"/>
          <w:sz w:val="17"/>
        </w:rPr>
        <w:t xml:space="preserve"> </w:t>
      </w:r>
      <w:r>
        <w:rPr>
          <w:color w:val="231F20"/>
          <w:spacing w:val="-5"/>
          <w:sz w:val="17"/>
        </w:rPr>
        <w:t>11</w:t>
      </w:r>
    </w:p>
    <w:p w14:paraId="01275930" w14:textId="77777777" w:rsidR="00AE0598" w:rsidRDefault="0069255A">
      <w:pPr>
        <w:spacing w:line="193" w:lineRule="exact"/>
        <w:ind w:left="110"/>
        <w:rPr>
          <w:sz w:val="17"/>
        </w:rPr>
      </w:pPr>
      <w:r>
        <w:rPr>
          <w:color w:val="231F20"/>
          <w:w w:val="90"/>
          <w:sz w:val="17"/>
        </w:rPr>
        <w:t>markers</w:t>
      </w:r>
      <w:r>
        <w:rPr>
          <w:color w:val="231F20"/>
          <w:spacing w:val="27"/>
          <w:sz w:val="17"/>
        </w:rPr>
        <w:t xml:space="preserve"> </w:t>
      </w:r>
      <w:r>
        <w:rPr>
          <w:color w:val="231F20"/>
          <w:w w:val="90"/>
          <w:sz w:val="17"/>
        </w:rPr>
        <w:t>23–26,</w:t>
      </w:r>
      <w:r>
        <w:rPr>
          <w:color w:val="231F20"/>
          <w:spacing w:val="27"/>
          <w:sz w:val="17"/>
        </w:rPr>
        <w:t xml:space="preserve"> </w:t>
      </w:r>
      <w:r>
        <w:rPr>
          <w:color w:val="231F20"/>
          <w:w w:val="90"/>
          <w:sz w:val="17"/>
        </w:rPr>
        <w:t>148,</w:t>
      </w:r>
      <w:r>
        <w:rPr>
          <w:color w:val="231F20"/>
          <w:spacing w:val="28"/>
          <w:sz w:val="17"/>
        </w:rPr>
        <w:t xml:space="preserve"> </w:t>
      </w:r>
      <w:r>
        <w:rPr>
          <w:color w:val="231F20"/>
          <w:spacing w:val="-5"/>
          <w:w w:val="90"/>
          <w:sz w:val="17"/>
        </w:rPr>
        <w:t>157</w:t>
      </w:r>
    </w:p>
    <w:p w14:paraId="5D952B3A" w14:textId="77777777" w:rsidR="00AE0598" w:rsidRDefault="0069255A">
      <w:pPr>
        <w:ind w:left="110"/>
        <w:rPr>
          <w:sz w:val="17"/>
        </w:rPr>
      </w:pPr>
      <w:r>
        <w:rPr>
          <w:color w:val="231F20"/>
          <w:w w:val="95"/>
          <w:sz w:val="17"/>
        </w:rPr>
        <w:t>market</w:t>
      </w:r>
      <w:r>
        <w:rPr>
          <w:color w:val="231F20"/>
          <w:spacing w:val="9"/>
          <w:sz w:val="17"/>
        </w:rPr>
        <w:t xml:space="preserve"> </w:t>
      </w:r>
      <w:r>
        <w:rPr>
          <w:color w:val="231F20"/>
          <w:w w:val="95"/>
          <w:sz w:val="17"/>
        </w:rPr>
        <w:t>analysis</w:t>
      </w:r>
      <w:r>
        <w:rPr>
          <w:color w:val="231F20"/>
          <w:spacing w:val="9"/>
          <w:sz w:val="17"/>
        </w:rPr>
        <w:t xml:space="preserve"> </w:t>
      </w:r>
      <w:r>
        <w:rPr>
          <w:color w:val="231F20"/>
          <w:w w:val="95"/>
          <w:sz w:val="17"/>
        </w:rPr>
        <w:t>8,</w:t>
      </w:r>
      <w:r>
        <w:rPr>
          <w:color w:val="231F20"/>
          <w:spacing w:val="9"/>
          <w:sz w:val="17"/>
        </w:rPr>
        <w:t xml:space="preserve"> </w:t>
      </w:r>
      <w:r>
        <w:rPr>
          <w:color w:val="231F20"/>
          <w:spacing w:val="-5"/>
          <w:w w:val="95"/>
          <w:sz w:val="17"/>
        </w:rPr>
        <w:t>39</w:t>
      </w:r>
    </w:p>
    <w:p w14:paraId="3EA83107" w14:textId="77777777" w:rsidR="00AE0598" w:rsidRDefault="0069255A">
      <w:pPr>
        <w:spacing w:before="1"/>
        <w:ind w:left="110"/>
        <w:rPr>
          <w:sz w:val="17"/>
        </w:rPr>
      </w:pPr>
      <w:r>
        <w:rPr>
          <w:color w:val="231F20"/>
          <w:w w:val="95"/>
          <w:sz w:val="17"/>
        </w:rPr>
        <w:t>market</w:t>
      </w:r>
      <w:r>
        <w:rPr>
          <w:color w:val="231F20"/>
          <w:spacing w:val="7"/>
          <w:sz w:val="17"/>
        </w:rPr>
        <w:t xml:space="preserve"> </w:t>
      </w:r>
      <w:r>
        <w:rPr>
          <w:color w:val="231F20"/>
          <w:w w:val="95"/>
          <w:sz w:val="17"/>
        </w:rPr>
        <w:t>diversification</w:t>
      </w:r>
      <w:r>
        <w:rPr>
          <w:color w:val="231F20"/>
          <w:spacing w:val="8"/>
          <w:sz w:val="17"/>
        </w:rPr>
        <w:t xml:space="preserve"> </w:t>
      </w:r>
      <w:r>
        <w:rPr>
          <w:color w:val="231F20"/>
          <w:spacing w:val="-5"/>
          <w:w w:val="95"/>
          <w:sz w:val="17"/>
        </w:rPr>
        <w:t>186</w:t>
      </w:r>
    </w:p>
    <w:p w14:paraId="556DC07E" w14:textId="77777777" w:rsidR="00AE0598" w:rsidRDefault="0069255A">
      <w:pPr>
        <w:spacing w:before="1"/>
        <w:ind w:left="110"/>
        <w:rPr>
          <w:sz w:val="17"/>
        </w:rPr>
      </w:pPr>
      <w:r>
        <w:rPr>
          <w:color w:val="231F20"/>
          <w:w w:val="95"/>
          <w:sz w:val="17"/>
        </w:rPr>
        <w:t>market</w:t>
      </w:r>
      <w:r>
        <w:rPr>
          <w:color w:val="231F20"/>
          <w:spacing w:val="5"/>
          <w:sz w:val="17"/>
        </w:rPr>
        <w:t xml:space="preserve"> </w:t>
      </w:r>
      <w:r>
        <w:rPr>
          <w:color w:val="231F20"/>
          <w:w w:val="95"/>
          <w:sz w:val="17"/>
        </w:rPr>
        <w:t>segmentation</w:t>
      </w:r>
      <w:r>
        <w:rPr>
          <w:color w:val="231F20"/>
          <w:spacing w:val="6"/>
          <w:sz w:val="17"/>
        </w:rPr>
        <w:t xml:space="preserve"> </w:t>
      </w:r>
      <w:r>
        <w:rPr>
          <w:color w:val="231F20"/>
          <w:w w:val="95"/>
          <w:sz w:val="17"/>
        </w:rPr>
        <w:t>8,</w:t>
      </w:r>
      <w:r>
        <w:rPr>
          <w:color w:val="231F20"/>
          <w:spacing w:val="6"/>
          <w:sz w:val="17"/>
        </w:rPr>
        <w:t xml:space="preserve"> </w:t>
      </w:r>
      <w:r>
        <w:rPr>
          <w:color w:val="231F20"/>
          <w:w w:val="95"/>
          <w:sz w:val="17"/>
        </w:rPr>
        <w:t>46,</w:t>
      </w:r>
      <w:r>
        <w:rPr>
          <w:color w:val="231F20"/>
          <w:spacing w:val="6"/>
          <w:sz w:val="17"/>
        </w:rPr>
        <w:t xml:space="preserve"> </w:t>
      </w:r>
      <w:r>
        <w:rPr>
          <w:color w:val="231F20"/>
          <w:w w:val="95"/>
          <w:sz w:val="17"/>
        </w:rPr>
        <w:t>51–54,</w:t>
      </w:r>
      <w:r>
        <w:rPr>
          <w:color w:val="231F20"/>
          <w:spacing w:val="6"/>
          <w:sz w:val="17"/>
        </w:rPr>
        <w:t xml:space="preserve"> </w:t>
      </w:r>
      <w:r>
        <w:rPr>
          <w:color w:val="231F20"/>
          <w:w w:val="95"/>
          <w:sz w:val="17"/>
        </w:rPr>
        <w:t>58,</w:t>
      </w:r>
      <w:r>
        <w:rPr>
          <w:color w:val="231F20"/>
          <w:spacing w:val="6"/>
          <w:sz w:val="17"/>
        </w:rPr>
        <w:t xml:space="preserve"> </w:t>
      </w:r>
      <w:r>
        <w:rPr>
          <w:color w:val="231F20"/>
          <w:spacing w:val="-5"/>
          <w:w w:val="95"/>
          <w:sz w:val="17"/>
        </w:rPr>
        <w:t>194</w:t>
      </w:r>
    </w:p>
    <w:p w14:paraId="6E7E91A4" w14:textId="77777777" w:rsidR="00AE0598" w:rsidRDefault="0069255A">
      <w:pPr>
        <w:spacing w:before="1"/>
        <w:ind w:left="110"/>
        <w:rPr>
          <w:sz w:val="17"/>
        </w:rPr>
      </w:pPr>
      <w:r>
        <w:rPr>
          <w:color w:val="231F20"/>
          <w:w w:val="95"/>
          <w:sz w:val="17"/>
        </w:rPr>
        <w:t>martial</w:t>
      </w:r>
      <w:r>
        <w:rPr>
          <w:color w:val="231F20"/>
          <w:spacing w:val="15"/>
          <w:sz w:val="17"/>
        </w:rPr>
        <w:t xml:space="preserve"> </w:t>
      </w:r>
      <w:r>
        <w:rPr>
          <w:color w:val="231F20"/>
          <w:w w:val="95"/>
          <w:sz w:val="17"/>
        </w:rPr>
        <w:t>arts</w:t>
      </w:r>
      <w:r>
        <w:rPr>
          <w:color w:val="231F20"/>
          <w:spacing w:val="16"/>
          <w:sz w:val="17"/>
        </w:rPr>
        <w:t xml:space="preserve"> </w:t>
      </w:r>
      <w:r>
        <w:rPr>
          <w:color w:val="231F20"/>
          <w:spacing w:val="-5"/>
          <w:w w:val="95"/>
          <w:sz w:val="17"/>
        </w:rPr>
        <w:t>53</w:t>
      </w:r>
    </w:p>
    <w:p w14:paraId="08A621B0" w14:textId="77777777" w:rsidR="00AE0598" w:rsidRDefault="0069255A">
      <w:pPr>
        <w:ind w:left="110"/>
        <w:rPr>
          <w:sz w:val="17"/>
        </w:rPr>
      </w:pPr>
      <w:r>
        <w:rPr>
          <w:color w:val="231F20"/>
          <w:w w:val="95"/>
          <w:sz w:val="17"/>
        </w:rPr>
        <w:t>Masters</w:t>
      </w:r>
      <w:r>
        <w:rPr>
          <w:color w:val="231F20"/>
          <w:spacing w:val="10"/>
          <w:sz w:val="17"/>
        </w:rPr>
        <w:t xml:space="preserve"> </w:t>
      </w:r>
      <w:r>
        <w:rPr>
          <w:color w:val="231F20"/>
          <w:w w:val="95"/>
          <w:sz w:val="17"/>
        </w:rPr>
        <w:t>Games</w:t>
      </w:r>
      <w:r>
        <w:rPr>
          <w:color w:val="231F20"/>
          <w:spacing w:val="11"/>
          <w:sz w:val="17"/>
        </w:rPr>
        <w:t xml:space="preserve"> </w:t>
      </w:r>
      <w:r>
        <w:rPr>
          <w:color w:val="231F20"/>
          <w:w w:val="95"/>
          <w:sz w:val="17"/>
        </w:rPr>
        <w:t>32,</w:t>
      </w:r>
      <w:r>
        <w:rPr>
          <w:color w:val="231F20"/>
          <w:spacing w:val="10"/>
          <w:sz w:val="17"/>
        </w:rPr>
        <w:t xml:space="preserve"> </w:t>
      </w:r>
      <w:r>
        <w:rPr>
          <w:color w:val="231F20"/>
          <w:w w:val="95"/>
          <w:sz w:val="17"/>
        </w:rPr>
        <w:t>58,</w:t>
      </w:r>
      <w:r>
        <w:rPr>
          <w:color w:val="231F20"/>
          <w:spacing w:val="11"/>
          <w:sz w:val="17"/>
        </w:rPr>
        <w:t xml:space="preserve"> </w:t>
      </w:r>
      <w:r>
        <w:rPr>
          <w:color w:val="231F20"/>
          <w:w w:val="95"/>
          <w:sz w:val="17"/>
        </w:rPr>
        <w:t>167,</w:t>
      </w:r>
      <w:r>
        <w:rPr>
          <w:color w:val="231F20"/>
          <w:spacing w:val="11"/>
          <w:sz w:val="17"/>
        </w:rPr>
        <w:t xml:space="preserve"> </w:t>
      </w:r>
      <w:r>
        <w:rPr>
          <w:color w:val="231F20"/>
          <w:spacing w:val="-5"/>
          <w:w w:val="95"/>
          <w:sz w:val="17"/>
        </w:rPr>
        <w:t>176</w:t>
      </w:r>
    </w:p>
    <w:p w14:paraId="68671FFF" w14:textId="77777777" w:rsidR="00AE0598" w:rsidRDefault="0069255A">
      <w:pPr>
        <w:spacing w:before="1"/>
        <w:ind w:left="110"/>
        <w:rPr>
          <w:sz w:val="17"/>
        </w:rPr>
      </w:pPr>
      <w:r>
        <w:rPr>
          <w:color w:val="231F20"/>
          <w:w w:val="95"/>
          <w:sz w:val="17"/>
        </w:rPr>
        <w:t>media</w:t>
      </w:r>
      <w:r>
        <w:rPr>
          <w:color w:val="231F20"/>
          <w:spacing w:val="11"/>
          <w:sz w:val="17"/>
        </w:rPr>
        <w:t xml:space="preserve"> </w:t>
      </w:r>
      <w:r>
        <w:rPr>
          <w:color w:val="231F20"/>
          <w:w w:val="95"/>
          <w:sz w:val="17"/>
        </w:rPr>
        <w:t>corporations</w:t>
      </w:r>
      <w:r>
        <w:rPr>
          <w:color w:val="231F20"/>
          <w:spacing w:val="11"/>
          <w:sz w:val="17"/>
        </w:rPr>
        <w:t xml:space="preserve"> </w:t>
      </w:r>
      <w:r>
        <w:rPr>
          <w:color w:val="231F20"/>
          <w:spacing w:val="-10"/>
          <w:w w:val="95"/>
          <w:sz w:val="17"/>
        </w:rPr>
        <w:t>5</w:t>
      </w:r>
    </w:p>
    <w:p w14:paraId="57436947" w14:textId="77777777" w:rsidR="00AE0598" w:rsidRDefault="0069255A">
      <w:pPr>
        <w:spacing w:before="1"/>
        <w:ind w:left="110"/>
        <w:rPr>
          <w:sz w:val="17"/>
        </w:rPr>
      </w:pPr>
      <w:r>
        <w:rPr>
          <w:color w:val="231F20"/>
          <w:w w:val="95"/>
          <w:sz w:val="17"/>
        </w:rPr>
        <w:t>media</w:t>
      </w:r>
      <w:r>
        <w:rPr>
          <w:color w:val="231F20"/>
          <w:spacing w:val="2"/>
          <w:sz w:val="17"/>
        </w:rPr>
        <w:t xml:space="preserve"> </w:t>
      </w:r>
      <w:r>
        <w:rPr>
          <w:color w:val="231F20"/>
          <w:w w:val="95"/>
          <w:sz w:val="17"/>
        </w:rPr>
        <w:t>coverage</w:t>
      </w:r>
      <w:r>
        <w:rPr>
          <w:color w:val="231F20"/>
          <w:spacing w:val="2"/>
          <w:sz w:val="17"/>
        </w:rPr>
        <w:t xml:space="preserve"> </w:t>
      </w:r>
      <w:r>
        <w:rPr>
          <w:color w:val="231F20"/>
          <w:spacing w:val="-5"/>
          <w:w w:val="95"/>
          <w:sz w:val="17"/>
        </w:rPr>
        <w:t>81</w:t>
      </w:r>
    </w:p>
    <w:p w14:paraId="502ABB5C" w14:textId="77777777" w:rsidR="00AE0598" w:rsidRDefault="0069255A">
      <w:pPr>
        <w:ind w:left="110"/>
        <w:rPr>
          <w:sz w:val="17"/>
        </w:rPr>
      </w:pPr>
      <w:r>
        <w:rPr>
          <w:color w:val="231F20"/>
          <w:w w:val="95"/>
          <w:sz w:val="17"/>
        </w:rPr>
        <w:t>Mediterranean</w:t>
      </w:r>
      <w:r>
        <w:rPr>
          <w:color w:val="231F20"/>
          <w:spacing w:val="14"/>
          <w:sz w:val="17"/>
        </w:rPr>
        <w:t xml:space="preserve"> </w:t>
      </w:r>
      <w:r>
        <w:rPr>
          <w:color w:val="231F20"/>
          <w:w w:val="95"/>
          <w:sz w:val="17"/>
        </w:rPr>
        <w:t>30,</w:t>
      </w:r>
      <w:r>
        <w:rPr>
          <w:color w:val="231F20"/>
          <w:spacing w:val="15"/>
          <w:sz w:val="17"/>
        </w:rPr>
        <w:t xml:space="preserve"> </w:t>
      </w:r>
      <w:r>
        <w:rPr>
          <w:color w:val="231F20"/>
          <w:w w:val="95"/>
          <w:sz w:val="17"/>
        </w:rPr>
        <w:t>134,</w:t>
      </w:r>
      <w:r>
        <w:rPr>
          <w:color w:val="231F20"/>
          <w:spacing w:val="14"/>
          <w:sz w:val="17"/>
        </w:rPr>
        <w:t xml:space="preserve"> </w:t>
      </w:r>
      <w:r>
        <w:rPr>
          <w:color w:val="231F20"/>
          <w:spacing w:val="-5"/>
          <w:w w:val="95"/>
          <w:sz w:val="17"/>
        </w:rPr>
        <w:t>187</w:t>
      </w:r>
    </w:p>
    <w:p w14:paraId="126287D9" w14:textId="77777777" w:rsidR="00AE0598" w:rsidRDefault="0069255A">
      <w:pPr>
        <w:spacing w:before="1"/>
        <w:ind w:left="110"/>
        <w:rPr>
          <w:sz w:val="17"/>
        </w:rPr>
      </w:pPr>
      <w:r>
        <w:rPr>
          <w:color w:val="231F20"/>
          <w:w w:val="90"/>
          <w:sz w:val="17"/>
        </w:rPr>
        <w:t>mega</w:t>
      </w:r>
      <w:r>
        <w:rPr>
          <w:color w:val="231F20"/>
          <w:spacing w:val="18"/>
          <w:sz w:val="17"/>
        </w:rPr>
        <w:t xml:space="preserve"> </w:t>
      </w:r>
      <w:r>
        <w:rPr>
          <w:color w:val="231F20"/>
          <w:w w:val="90"/>
          <w:sz w:val="17"/>
        </w:rPr>
        <w:t>event/mega-event</w:t>
      </w:r>
      <w:r>
        <w:rPr>
          <w:color w:val="231F20"/>
          <w:spacing w:val="18"/>
          <w:sz w:val="17"/>
        </w:rPr>
        <w:t xml:space="preserve"> </w:t>
      </w:r>
      <w:r>
        <w:rPr>
          <w:color w:val="231F20"/>
          <w:w w:val="90"/>
          <w:sz w:val="17"/>
        </w:rPr>
        <w:t>27,</w:t>
      </w:r>
      <w:r>
        <w:rPr>
          <w:color w:val="231F20"/>
          <w:spacing w:val="18"/>
          <w:sz w:val="17"/>
        </w:rPr>
        <w:t xml:space="preserve"> </w:t>
      </w:r>
      <w:r>
        <w:rPr>
          <w:color w:val="231F20"/>
          <w:w w:val="90"/>
          <w:sz w:val="17"/>
        </w:rPr>
        <w:t>46,</w:t>
      </w:r>
      <w:r>
        <w:rPr>
          <w:color w:val="231F20"/>
          <w:spacing w:val="18"/>
          <w:sz w:val="17"/>
        </w:rPr>
        <w:t xml:space="preserve"> </w:t>
      </w:r>
      <w:r>
        <w:rPr>
          <w:color w:val="231F20"/>
          <w:w w:val="90"/>
          <w:sz w:val="17"/>
        </w:rPr>
        <w:t>76,</w:t>
      </w:r>
      <w:r>
        <w:rPr>
          <w:color w:val="231F20"/>
          <w:spacing w:val="19"/>
          <w:sz w:val="17"/>
        </w:rPr>
        <w:t xml:space="preserve"> </w:t>
      </w:r>
      <w:r>
        <w:rPr>
          <w:color w:val="231F20"/>
          <w:spacing w:val="-5"/>
          <w:w w:val="90"/>
          <w:sz w:val="17"/>
        </w:rPr>
        <w:t>78,</w:t>
      </w:r>
    </w:p>
    <w:p w14:paraId="690257FC" w14:textId="77777777" w:rsidR="00AE0598" w:rsidRDefault="0069255A">
      <w:pPr>
        <w:spacing w:before="1"/>
        <w:ind w:right="415"/>
        <w:jc w:val="right"/>
        <w:rPr>
          <w:sz w:val="17"/>
        </w:rPr>
      </w:pPr>
      <w:r>
        <w:rPr>
          <w:color w:val="231F20"/>
          <w:w w:val="90"/>
          <w:sz w:val="17"/>
        </w:rPr>
        <w:t>101–104,</w:t>
      </w:r>
      <w:r>
        <w:rPr>
          <w:color w:val="231F20"/>
          <w:spacing w:val="10"/>
          <w:sz w:val="17"/>
        </w:rPr>
        <w:t xml:space="preserve"> </w:t>
      </w:r>
      <w:r>
        <w:rPr>
          <w:color w:val="231F20"/>
          <w:w w:val="90"/>
          <w:sz w:val="17"/>
        </w:rPr>
        <w:t>129,</w:t>
      </w:r>
      <w:r>
        <w:rPr>
          <w:color w:val="231F20"/>
          <w:spacing w:val="11"/>
          <w:sz w:val="17"/>
        </w:rPr>
        <w:t xml:space="preserve"> </w:t>
      </w:r>
      <w:r>
        <w:rPr>
          <w:color w:val="231F20"/>
          <w:w w:val="90"/>
          <w:sz w:val="17"/>
        </w:rPr>
        <w:t>146,</w:t>
      </w:r>
      <w:r>
        <w:rPr>
          <w:color w:val="231F20"/>
          <w:spacing w:val="11"/>
          <w:sz w:val="17"/>
        </w:rPr>
        <w:t xml:space="preserve"> </w:t>
      </w:r>
      <w:r>
        <w:rPr>
          <w:color w:val="231F20"/>
          <w:w w:val="90"/>
          <w:sz w:val="17"/>
        </w:rPr>
        <w:t>190,</w:t>
      </w:r>
      <w:r>
        <w:rPr>
          <w:color w:val="231F20"/>
          <w:spacing w:val="11"/>
          <w:sz w:val="17"/>
        </w:rPr>
        <w:t xml:space="preserve"> </w:t>
      </w:r>
      <w:r>
        <w:rPr>
          <w:color w:val="231F20"/>
          <w:w w:val="90"/>
          <w:sz w:val="17"/>
        </w:rPr>
        <w:t>217,</w:t>
      </w:r>
      <w:r>
        <w:rPr>
          <w:color w:val="231F20"/>
          <w:spacing w:val="10"/>
          <w:sz w:val="17"/>
        </w:rPr>
        <w:t xml:space="preserve"> </w:t>
      </w:r>
      <w:r>
        <w:rPr>
          <w:color w:val="231F20"/>
          <w:spacing w:val="-5"/>
          <w:w w:val="90"/>
          <w:sz w:val="17"/>
        </w:rPr>
        <w:t>229</w:t>
      </w:r>
    </w:p>
    <w:p w14:paraId="19F65BAE" w14:textId="77777777" w:rsidR="00AE0598" w:rsidRDefault="0069255A">
      <w:pPr>
        <w:ind w:right="388"/>
        <w:jc w:val="right"/>
        <w:rPr>
          <w:sz w:val="17"/>
        </w:rPr>
      </w:pPr>
      <w:r>
        <w:rPr>
          <w:color w:val="231F20"/>
          <w:w w:val="95"/>
          <w:sz w:val="17"/>
        </w:rPr>
        <w:t>mega</w:t>
      </w:r>
      <w:r>
        <w:rPr>
          <w:color w:val="231F20"/>
          <w:spacing w:val="3"/>
          <w:sz w:val="17"/>
        </w:rPr>
        <w:t xml:space="preserve"> </w:t>
      </w:r>
      <w:r>
        <w:rPr>
          <w:color w:val="231F20"/>
          <w:w w:val="95"/>
          <w:sz w:val="17"/>
        </w:rPr>
        <w:t>sports</w:t>
      </w:r>
      <w:r>
        <w:rPr>
          <w:color w:val="231F20"/>
          <w:spacing w:val="3"/>
          <w:sz w:val="17"/>
        </w:rPr>
        <w:t xml:space="preserve"> </w:t>
      </w:r>
      <w:r>
        <w:rPr>
          <w:color w:val="231F20"/>
          <w:w w:val="95"/>
          <w:sz w:val="17"/>
        </w:rPr>
        <w:t>events</w:t>
      </w:r>
      <w:r>
        <w:rPr>
          <w:color w:val="231F20"/>
          <w:spacing w:val="3"/>
          <w:sz w:val="17"/>
        </w:rPr>
        <w:t xml:space="preserve"> </w:t>
      </w:r>
      <w:r>
        <w:rPr>
          <w:color w:val="231F20"/>
          <w:w w:val="95"/>
          <w:sz w:val="17"/>
        </w:rPr>
        <w:t>5,</w:t>
      </w:r>
      <w:r>
        <w:rPr>
          <w:color w:val="231F20"/>
          <w:spacing w:val="4"/>
          <w:sz w:val="17"/>
        </w:rPr>
        <w:t xml:space="preserve"> </w:t>
      </w:r>
      <w:r>
        <w:rPr>
          <w:color w:val="231F20"/>
          <w:w w:val="95"/>
          <w:sz w:val="17"/>
        </w:rPr>
        <w:t>34,</w:t>
      </w:r>
      <w:r>
        <w:rPr>
          <w:color w:val="231F20"/>
          <w:spacing w:val="3"/>
          <w:sz w:val="17"/>
        </w:rPr>
        <w:t xml:space="preserve"> </w:t>
      </w:r>
      <w:r>
        <w:rPr>
          <w:color w:val="231F20"/>
          <w:w w:val="95"/>
          <w:sz w:val="17"/>
        </w:rPr>
        <w:t>40,</w:t>
      </w:r>
      <w:r>
        <w:rPr>
          <w:color w:val="231F20"/>
          <w:spacing w:val="3"/>
          <w:sz w:val="17"/>
        </w:rPr>
        <w:t xml:space="preserve"> </w:t>
      </w:r>
      <w:r>
        <w:rPr>
          <w:color w:val="231F20"/>
          <w:w w:val="95"/>
          <w:sz w:val="17"/>
        </w:rPr>
        <w:t>102,</w:t>
      </w:r>
      <w:r>
        <w:rPr>
          <w:color w:val="231F20"/>
          <w:spacing w:val="4"/>
          <w:sz w:val="17"/>
        </w:rPr>
        <w:t xml:space="preserve"> </w:t>
      </w:r>
      <w:r>
        <w:rPr>
          <w:color w:val="231F20"/>
          <w:spacing w:val="-5"/>
          <w:w w:val="95"/>
          <w:sz w:val="17"/>
        </w:rPr>
        <w:t>104</w:t>
      </w:r>
    </w:p>
    <w:p w14:paraId="1B27E2BA" w14:textId="77777777" w:rsidR="00AE0598" w:rsidRDefault="0069255A">
      <w:pPr>
        <w:spacing w:before="1"/>
        <w:ind w:left="110"/>
        <w:rPr>
          <w:sz w:val="17"/>
        </w:rPr>
      </w:pPr>
      <w:r>
        <w:rPr>
          <w:color w:val="231F20"/>
          <w:w w:val="95"/>
          <w:sz w:val="17"/>
        </w:rPr>
        <w:t>Melbourne</w:t>
      </w:r>
      <w:r>
        <w:rPr>
          <w:color w:val="231F20"/>
          <w:spacing w:val="9"/>
          <w:sz w:val="17"/>
        </w:rPr>
        <w:t xml:space="preserve"> </w:t>
      </w:r>
      <w:r>
        <w:rPr>
          <w:color w:val="231F20"/>
          <w:w w:val="95"/>
          <w:sz w:val="17"/>
        </w:rPr>
        <w:t>13,</w:t>
      </w:r>
      <w:r>
        <w:rPr>
          <w:color w:val="231F20"/>
          <w:spacing w:val="10"/>
          <w:sz w:val="17"/>
        </w:rPr>
        <w:t xml:space="preserve"> </w:t>
      </w:r>
      <w:r>
        <w:rPr>
          <w:color w:val="231F20"/>
          <w:w w:val="95"/>
          <w:sz w:val="17"/>
        </w:rPr>
        <w:t>52,</w:t>
      </w:r>
      <w:r>
        <w:rPr>
          <w:color w:val="231F20"/>
          <w:spacing w:val="9"/>
          <w:sz w:val="17"/>
        </w:rPr>
        <w:t xml:space="preserve"> </w:t>
      </w:r>
      <w:r>
        <w:rPr>
          <w:color w:val="231F20"/>
          <w:w w:val="95"/>
          <w:sz w:val="17"/>
        </w:rPr>
        <w:t>94,</w:t>
      </w:r>
      <w:r>
        <w:rPr>
          <w:color w:val="231F20"/>
          <w:spacing w:val="10"/>
          <w:sz w:val="17"/>
        </w:rPr>
        <w:t xml:space="preserve"> </w:t>
      </w:r>
      <w:r>
        <w:rPr>
          <w:color w:val="231F20"/>
          <w:w w:val="95"/>
          <w:sz w:val="17"/>
        </w:rPr>
        <w:t>101,</w:t>
      </w:r>
      <w:r>
        <w:rPr>
          <w:color w:val="231F20"/>
          <w:spacing w:val="9"/>
          <w:sz w:val="17"/>
        </w:rPr>
        <w:t xml:space="preserve"> </w:t>
      </w:r>
      <w:r>
        <w:rPr>
          <w:color w:val="231F20"/>
          <w:spacing w:val="-2"/>
          <w:w w:val="95"/>
          <w:sz w:val="17"/>
        </w:rPr>
        <w:t>110–111</w:t>
      </w:r>
    </w:p>
    <w:p w14:paraId="6431BC1B" w14:textId="77777777" w:rsidR="00AE0598" w:rsidRDefault="0069255A">
      <w:pPr>
        <w:spacing w:before="1"/>
        <w:ind w:left="110"/>
        <w:rPr>
          <w:sz w:val="17"/>
        </w:rPr>
      </w:pPr>
      <w:r>
        <w:rPr>
          <w:color w:val="231F20"/>
          <w:w w:val="95"/>
          <w:sz w:val="17"/>
        </w:rPr>
        <w:t>Melbourne</w:t>
      </w:r>
      <w:r>
        <w:rPr>
          <w:color w:val="231F20"/>
          <w:spacing w:val="9"/>
          <w:sz w:val="17"/>
        </w:rPr>
        <w:t xml:space="preserve"> </w:t>
      </w:r>
      <w:r>
        <w:rPr>
          <w:color w:val="231F20"/>
          <w:w w:val="95"/>
          <w:sz w:val="17"/>
        </w:rPr>
        <w:t>Park</w:t>
      </w:r>
      <w:r>
        <w:rPr>
          <w:color w:val="231F20"/>
          <w:spacing w:val="9"/>
          <w:sz w:val="17"/>
        </w:rPr>
        <w:t xml:space="preserve"> </w:t>
      </w:r>
      <w:r>
        <w:rPr>
          <w:color w:val="231F20"/>
          <w:w w:val="95"/>
          <w:sz w:val="17"/>
        </w:rPr>
        <w:t>13,</w:t>
      </w:r>
      <w:r>
        <w:rPr>
          <w:color w:val="231F20"/>
          <w:spacing w:val="9"/>
          <w:sz w:val="17"/>
        </w:rPr>
        <w:t xml:space="preserve"> </w:t>
      </w:r>
      <w:r>
        <w:rPr>
          <w:color w:val="231F20"/>
          <w:w w:val="95"/>
          <w:sz w:val="17"/>
        </w:rPr>
        <w:t>101,</w:t>
      </w:r>
      <w:r>
        <w:rPr>
          <w:color w:val="231F20"/>
          <w:spacing w:val="10"/>
          <w:sz w:val="17"/>
        </w:rPr>
        <w:t xml:space="preserve"> </w:t>
      </w:r>
      <w:r>
        <w:rPr>
          <w:color w:val="231F20"/>
          <w:spacing w:val="-5"/>
          <w:w w:val="95"/>
          <w:sz w:val="17"/>
        </w:rPr>
        <w:t>110</w:t>
      </w:r>
    </w:p>
    <w:p w14:paraId="630A3D09" w14:textId="77777777" w:rsidR="00AE0598" w:rsidRDefault="0069255A">
      <w:pPr>
        <w:spacing w:before="1"/>
        <w:ind w:left="110"/>
        <w:rPr>
          <w:sz w:val="17"/>
        </w:rPr>
      </w:pPr>
      <w:r>
        <w:rPr>
          <w:color w:val="231F20"/>
          <w:w w:val="95"/>
          <w:sz w:val="17"/>
        </w:rPr>
        <w:t>memorabilia</w:t>
      </w:r>
      <w:r>
        <w:rPr>
          <w:color w:val="231F20"/>
          <w:spacing w:val="6"/>
          <w:sz w:val="17"/>
        </w:rPr>
        <w:t xml:space="preserve"> </w:t>
      </w:r>
      <w:r>
        <w:rPr>
          <w:color w:val="231F20"/>
          <w:w w:val="95"/>
          <w:sz w:val="17"/>
        </w:rPr>
        <w:t>59,</w:t>
      </w:r>
      <w:r>
        <w:rPr>
          <w:color w:val="231F20"/>
          <w:spacing w:val="7"/>
          <w:sz w:val="17"/>
        </w:rPr>
        <w:t xml:space="preserve"> </w:t>
      </w:r>
      <w:r>
        <w:rPr>
          <w:color w:val="231F20"/>
          <w:spacing w:val="-2"/>
          <w:w w:val="95"/>
          <w:sz w:val="17"/>
        </w:rPr>
        <w:t>209–210</w:t>
      </w:r>
    </w:p>
    <w:p w14:paraId="1AD46B52" w14:textId="77777777" w:rsidR="00AE0598" w:rsidRDefault="0069255A">
      <w:pPr>
        <w:ind w:left="110"/>
        <w:rPr>
          <w:sz w:val="17"/>
        </w:rPr>
      </w:pPr>
      <w:r>
        <w:rPr>
          <w:color w:val="231F20"/>
          <w:w w:val="95"/>
          <w:sz w:val="17"/>
        </w:rPr>
        <w:t>Millennium</w:t>
      </w:r>
      <w:r>
        <w:rPr>
          <w:color w:val="231F20"/>
          <w:spacing w:val="20"/>
          <w:sz w:val="17"/>
        </w:rPr>
        <w:t xml:space="preserve"> </w:t>
      </w:r>
      <w:r>
        <w:rPr>
          <w:color w:val="231F20"/>
          <w:w w:val="95"/>
          <w:sz w:val="17"/>
        </w:rPr>
        <w:t>Stadium</w:t>
      </w:r>
      <w:r>
        <w:rPr>
          <w:color w:val="231F20"/>
          <w:spacing w:val="20"/>
          <w:sz w:val="17"/>
        </w:rPr>
        <w:t xml:space="preserve"> </w:t>
      </w:r>
      <w:r>
        <w:rPr>
          <w:color w:val="231F20"/>
          <w:w w:val="95"/>
          <w:sz w:val="17"/>
        </w:rPr>
        <w:t>13,</w:t>
      </w:r>
      <w:r>
        <w:rPr>
          <w:color w:val="231F20"/>
          <w:spacing w:val="20"/>
          <w:sz w:val="17"/>
        </w:rPr>
        <w:t xml:space="preserve"> </w:t>
      </w:r>
      <w:r>
        <w:rPr>
          <w:color w:val="231F20"/>
          <w:w w:val="95"/>
          <w:sz w:val="17"/>
        </w:rPr>
        <w:t>93,</w:t>
      </w:r>
      <w:r>
        <w:rPr>
          <w:color w:val="231F20"/>
          <w:spacing w:val="20"/>
          <w:sz w:val="17"/>
        </w:rPr>
        <w:t xml:space="preserve"> </w:t>
      </w:r>
      <w:r>
        <w:rPr>
          <w:color w:val="231F20"/>
          <w:spacing w:val="-5"/>
          <w:w w:val="95"/>
          <w:sz w:val="17"/>
        </w:rPr>
        <w:t>183</w:t>
      </w:r>
    </w:p>
    <w:p w14:paraId="6225F597" w14:textId="77777777" w:rsidR="00AE0598" w:rsidRDefault="0069255A">
      <w:pPr>
        <w:spacing w:before="1"/>
        <w:ind w:left="110"/>
        <w:rPr>
          <w:sz w:val="17"/>
        </w:rPr>
      </w:pPr>
      <w:r>
        <w:rPr>
          <w:color w:val="231F20"/>
          <w:w w:val="95"/>
          <w:sz w:val="17"/>
        </w:rPr>
        <w:t>mobility</w:t>
      </w:r>
      <w:r>
        <w:rPr>
          <w:color w:val="231F20"/>
          <w:spacing w:val="4"/>
          <w:sz w:val="17"/>
        </w:rPr>
        <w:t xml:space="preserve"> </w:t>
      </w:r>
      <w:r>
        <w:rPr>
          <w:color w:val="231F20"/>
          <w:w w:val="95"/>
          <w:sz w:val="17"/>
        </w:rPr>
        <w:t>60–61,</w:t>
      </w:r>
      <w:r>
        <w:rPr>
          <w:color w:val="231F20"/>
          <w:spacing w:val="4"/>
          <w:sz w:val="17"/>
        </w:rPr>
        <w:t xml:space="preserve"> </w:t>
      </w:r>
      <w:r>
        <w:rPr>
          <w:color w:val="231F20"/>
          <w:w w:val="95"/>
          <w:sz w:val="17"/>
        </w:rPr>
        <w:t>79,</w:t>
      </w:r>
      <w:r>
        <w:rPr>
          <w:color w:val="231F20"/>
          <w:spacing w:val="4"/>
          <w:sz w:val="17"/>
        </w:rPr>
        <w:t xml:space="preserve"> </w:t>
      </w:r>
      <w:r>
        <w:rPr>
          <w:color w:val="231F20"/>
          <w:w w:val="95"/>
          <w:sz w:val="17"/>
        </w:rPr>
        <w:t>109,</w:t>
      </w:r>
      <w:r>
        <w:rPr>
          <w:color w:val="231F20"/>
          <w:spacing w:val="4"/>
          <w:sz w:val="17"/>
        </w:rPr>
        <w:t xml:space="preserve"> </w:t>
      </w:r>
      <w:r>
        <w:rPr>
          <w:color w:val="231F20"/>
          <w:w w:val="95"/>
          <w:sz w:val="17"/>
        </w:rPr>
        <w:t>114,</w:t>
      </w:r>
      <w:r>
        <w:rPr>
          <w:color w:val="231F20"/>
          <w:spacing w:val="4"/>
          <w:sz w:val="17"/>
        </w:rPr>
        <w:t xml:space="preserve"> </w:t>
      </w:r>
      <w:r>
        <w:rPr>
          <w:color w:val="231F20"/>
          <w:w w:val="95"/>
          <w:sz w:val="17"/>
        </w:rPr>
        <w:t>122,</w:t>
      </w:r>
      <w:r>
        <w:rPr>
          <w:color w:val="231F20"/>
          <w:spacing w:val="4"/>
          <w:sz w:val="17"/>
        </w:rPr>
        <w:t xml:space="preserve"> </w:t>
      </w:r>
      <w:r>
        <w:rPr>
          <w:color w:val="231F20"/>
          <w:spacing w:val="-4"/>
          <w:w w:val="95"/>
          <w:sz w:val="17"/>
        </w:rPr>
        <w:t>132,</w:t>
      </w:r>
    </w:p>
    <w:p w14:paraId="654B82A9" w14:textId="77777777" w:rsidR="00AE0598" w:rsidRDefault="0069255A">
      <w:pPr>
        <w:spacing w:before="1"/>
        <w:ind w:left="470"/>
        <w:rPr>
          <w:sz w:val="17"/>
        </w:rPr>
      </w:pPr>
      <w:r>
        <w:rPr>
          <w:color w:val="231F20"/>
          <w:w w:val="90"/>
          <w:sz w:val="17"/>
        </w:rPr>
        <w:t>140–144,</w:t>
      </w:r>
      <w:r>
        <w:rPr>
          <w:color w:val="231F20"/>
          <w:spacing w:val="19"/>
          <w:sz w:val="17"/>
        </w:rPr>
        <w:t xml:space="preserve"> </w:t>
      </w:r>
      <w:r>
        <w:rPr>
          <w:color w:val="231F20"/>
          <w:w w:val="90"/>
          <w:sz w:val="17"/>
        </w:rPr>
        <w:t>162,</w:t>
      </w:r>
      <w:r>
        <w:rPr>
          <w:color w:val="231F20"/>
          <w:spacing w:val="19"/>
          <w:sz w:val="17"/>
        </w:rPr>
        <w:t xml:space="preserve"> </w:t>
      </w:r>
      <w:r>
        <w:rPr>
          <w:color w:val="231F20"/>
          <w:w w:val="90"/>
          <w:sz w:val="17"/>
        </w:rPr>
        <w:t>213,</w:t>
      </w:r>
      <w:r>
        <w:rPr>
          <w:color w:val="231F20"/>
          <w:spacing w:val="19"/>
          <w:sz w:val="17"/>
        </w:rPr>
        <w:t xml:space="preserve"> </w:t>
      </w:r>
      <w:r>
        <w:rPr>
          <w:color w:val="231F20"/>
          <w:w w:val="90"/>
          <w:sz w:val="17"/>
        </w:rPr>
        <w:t>228,</w:t>
      </w:r>
      <w:r>
        <w:rPr>
          <w:color w:val="231F20"/>
          <w:spacing w:val="19"/>
          <w:sz w:val="17"/>
        </w:rPr>
        <w:t xml:space="preserve"> </w:t>
      </w:r>
      <w:r>
        <w:rPr>
          <w:color w:val="231F20"/>
          <w:spacing w:val="-5"/>
          <w:w w:val="90"/>
          <w:sz w:val="17"/>
        </w:rPr>
        <w:t>236</w:t>
      </w:r>
    </w:p>
    <w:p w14:paraId="1CE08150" w14:textId="77777777" w:rsidR="00AE0598" w:rsidRDefault="0069255A">
      <w:pPr>
        <w:ind w:left="101" w:right="55"/>
        <w:jc w:val="center"/>
        <w:rPr>
          <w:sz w:val="17"/>
        </w:rPr>
      </w:pPr>
      <w:r>
        <w:rPr>
          <w:color w:val="231F20"/>
          <w:w w:val="95"/>
          <w:sz w:val="17"/>
        </w:rPr>
        <w:t>mountain</w:t>
      </w:r>
      <w:r>
        <w:rPr>
          <w:color w:val="231F20"/>
          <w:spacing w:val="10"/>
          <w:sz w:val="17"/>
        </w:rPr>
        <w:t xml:space="preserve"> </w:t>
      </w:r>
      <w:r>
        <w:rPr>
          <w:color w:val="231F20"/>
          <w:w w:val="95"/>
          <w:sz w:val="17"/>
        </w:rPr>
        <w:t>biking</w:t>
      </w:r>
      <w:r>
        <w:rPr>
          <w:color w:val="231F20"/>
          <w:spacing w:val="10"/>
          <w:sz w:val="17"/>
        </w:rPr>
        <w:t xml:space="preserve"> </w:t>
      </w:r>
      <w:r>
        <w:rPr>
          <w:color w:val="231F20"/>
          <w:w w:val="95"/>
          <w:sz w:val="17"/>
        </w:rPr>
        <w:t>34,</w:t>
      </w:r>
      <w:r>
        <w:rPr>
          <w:color w:val="231F20"/>
          <w:spacing w:val="11"/>
          <w:sz w:val="17"/>
        </w:rPr>
        <w:t xml:space="preserve"> </w:t>
      </w:r>
      <w:r>
        <w:rPr>
          <w:color w:val="231F20"/>
          <w:w w:val="95"/>
          <w:sz w:val="17"/>
        </w:rPr>
        <w:t>50,</w:t>
      </w:r>
      <w:r>
        <w:rPr>
          <w:color w:val="231F20"/>
          <w:spacing w:val="10"/>
          <w:sz w:val="17"/>
        </w:rPr>
        <w:t xml:space="preserve"> </w:t>
      </w:r>
      <w:r>
        <w:rPr>
          <w:color w:val="231F20"/>
          <w:w w:val="95"/>
          <w:sz w:val="17"/>
        </w:rPr>
        <w:t>55,</w:t>
      </w:r>
      <w:r>
        <w:rPr>
          <w:color w:val="231F20"/>
          <w:spacing w:val="11"/>
          <w:sz w:val="17"/>
        </w:rPr>
        <w:t xml:space="preserve"> </w:t>
      </w:r>
      <w:r>
        <w:rPr>
          <w:color w:val="231F20"/>
          <w:w w:val="95"/>
          <w:sz w:val="17"/>
        </w:rPr>
        <w:t>126,</w:t>
      </w:r>
      <w:r>
        <w:rPr>
          <w:color w:val="231F20"/>
          <w:spacing w:val="10"/>
          <w:sz w:val="17"/>
        </w:rPr>
        <w:t xml:space="preserve"> </w:t>
      </w:r>
      <w:r>
        <w:rPr>
          <w:color w:val="231F20"/>
          <w:w w:val="95"/>
          <w:sz w:val="17"/>
        </w:rPr>
        <w:t>132,</w:t>
      </w:r>
      <w:r>
        <w:rPr>
          <w:color w:val="231F20"/>
          <w:spacing w:val="10"/>
          <w:sz w:val="17"/>
        </w:rPr>
        <w:t xml:space="preserve"> </w:t>
      </w:r>
      <w:r>
        <w:rPr>
          <w:color w:val="231F20"/>
          <w:spacing w:val="-4"/>
          <w:w w:val="95"/>
          <w:sz w:val="17"/>
        </w:rPr>
        <w:t>142,</w:t>
      </w:r>
    </w:p>
    <w:p w14:paraId="6BCD8D76" w14:textId="77777777" w:rsidR="00AE0598" w:rsidRDefault="0069255A">
      <w:pPr>
        <w:spacing w:before="1"/>
        <w:ind w:left="80" w:right="62"/>
        <w:jc w:val="center"/>
        <w:rPr>
          <w:sz w:val="17"/>
        </w:rPr>
      </w:pPr>
      <w:r>
        <w:rPr>
          <w:color w:val="231F20"/>
          <w:w w:val="90"/>
          <w:sz w:val="17"/>
        </w:rPr>
        <w:t>149,</w:t>
      </w:r>
      <w:r>
        <w:rPr>
          <w:color w:val="231F20"/>
          <w:spacing w:val="5"/>
          <w:sz w:val="17"/>
        </w:rPr>
        <w:t xml:space="preserve"> </w:t>
      </w:r>
      <w:r>
        <w:rPr>
          <w:color w:val="231F20"/>
          <w:w w:val="90"/>
          <w:sz w:val="17"/>
        </w:rPr>
        <w:t>168,</w:t>
      </w:r>
      <w:r>
        <w:rPr>
          <w:color w:val="231F20"/>
          <w:spacing w:val="6"/>
          <w:sz w:val="17"/>
        </w:rPr>
        <w:t xml:space="preserve"> </w:t>
      </w:r>
      <w:r>
        <w:rPr>
          <w:color w:val="231F20"/>
          <w:w w:val="90"/>
          <w:sz w:val="17"/>
        </w:rPr>
        <w:t>171–172,</w:t>
      </w:r>
      <w:r>
        <w:rPr>
          <w:color w:val="231F20"/>
          <w:spacing w:val="6"/>
          <w:sz w:val="17"/>
        </w:rPr>
        <w:t xml:space="preserve"> </w:t>
      </w:r>
      <w:r>
        <w:rPr>
          <w:color w:val="231F20"/>
          <w:w w:val="90"/>
          <w:sz w:val="17"/>
        </w:rPr>
        <w:t>187,</w:t>
      </w:r>
      <w:r>
        <w:rPr>
          <w:color w:val="231F20"/>
          <w:spacing w:val="6"/>
          <w:sz w:val="17"/>
        </w:rPr>
        <w:t xml:space="preserve"> </w:t>
      </w:r>
      <w:r>
        <w:rPr>
          <w:color w:val="231F20"/>
          <w:spacing w:val="-2"/>
          <w:w w:val="90"/>
          <w:sz w:val="17"/>
        </w:rPr>
        <w:t>191–193</w:t>
      </w:r>
    </w:p>
    <w:p w14:paraId="47B8D8EF" w14:textId="77777777" w:rsidR="00AE0598" w:rsidRDefault="0069255A">
      <w:pPr>
        <w:spacing w:before="1"/>
        <w:ind w:left="101" w:right="1275"/>
        <w:jc w:val="center"/>
        <w:rPr>
          <w:sz w:val="17"/>
        </w:rPr>
      </w:pPr>
      <w:r>
        <w:rPr>
          <w:color w:val="231F20"/>
          <w:w w:val="95"/>
          <w:sz w:val="17"/>
        </w:rPr>
        <w:t>mountaineering</w:t>
      </w:r>
      <w:r>
        <w:rPr>
          <w:color w:val="231F20"/>
          <w:spacing w:val="8"/>
          <w:sz w:val="17"/>
        </w:rPr>
        <w:t xml:space="preserve"> </w:t>
      </w:r>
      <w:r>
        <w:rPr>
          <w:color w:val="231F20"/>
          <w:w w:val="95"/>
          <w:sz w:val="17"/>
        </w:rPr>
        <w:t>199,</w:t>
      </w:r>
      <w:r>
        <w:rPr>
          <w:color w:val="231F20"/>
          <w:spacing w:val="8"/>
          <w:sz w:val="17"/>
        </w:rPr>
        <w:t xml:space="preserve"> </w:t>
      </w:r>
      <w:r>
        <w:rPr>
          <w:color w:val="231F20"/>
          <w:spacing w:val="-5"/>
          <w:w w:val="95"/>
          <w:sz w:val="17"/>
        </w:rPr>
        <w:t>204</w:t>
      </w:r>
    </w:p>
    <w:p w14:paraId="1967266A" w14:textId="77777777" w:rsidR="00AE0598" w:rsidRDefault="00AE0598">
      <w:pPr>
        <w:pStyle w:val="Corpodetexto"/>
        <w:spacing w:before="3"/>
        <w:rPr>
          <w:sz w:val="16"/>
        </w:rPr>
      </w:pPr>
    </w:p>
    <w:p w14:paraId="25395EF7" w14:textId="77777777" w:rsidR="00AE0598" w:rsidRDefault="0069255A">
      <w:pPr>
        <w:ind w:left="110"/>
        <w:rPr>
          <w:sz w:val="17"/>
        </w:rPr>
      </w:pPr>
      <w:r>
        <w:rPr>
          <w:color w:val="231F20"/>
          <w:w w:val="95"/>
          <w:sz w:val="17"/>
        </w:rPr>
        <w:t>National Basketball League (NBL) 79, 124</w:t>
      </w:r>
      <w:r>
        <w:rPr>
          <w:color w:val="231F20"/>
          <w:spacing w:val="40"/>
          <w:sz w:val="17"/>
        </w:rPr>
        <w:t xml:space="preserve"> </w:t>
      </w:r>
      <w:r>
        <w:rPr>
          <w:color w:val="231F20"/>
          <w:sz w:val="17"/>
        </w:rPr>
        <w:t>National Hockey League (NHL) 210</w:t>
      </w:r>
      <w:r>
        <w:rPr>
          <w:color w:val="231F20"/>
          <w:spacing w:val="40"/>
          <w:sz w:val="17"/>
        </w:rPr>
        <w:t xml:space="preserve"> </w:t>
      </w:r>
      <w:r>
        <w:rPr>
          <w:color w:val="231F20"/>
          <w:sz w:val="17"/>
        </w:rPr>
        <w:t>national identity 11, 33, 51–52, 120–123,</w:t>
      </w:r>
    </w:p>
    <w:p w14:paraId="24FCF4E3" w14:textId="77777777" w:rsidR="00AE0598" w:rsidRDefault="0069255A">
      <w:pPr>
        <w:spacing w:before="2"/>
        <w:ind w:left="470"/>
        <w:rPr>
          <w:sz w:val="17"/>
        </w:rPr>
      </w:pPr>
      <w:r>
        <w:rPr>
          <w:color w:val="231F20"/>
          <w:w w:val="90"/>
          <w:sz w:val="17"/>
        </w:rPr>
        <w:t>161–163,</w:t>
      </w:r>
      <w:r>
        <w:rPr>
          <w:color w:val="231F20"/>
          <w:spacing w:val="-1"/>
          <w:sz w:val="17"/>
        </w:rPr>
        <w:t xml:space="preserve"> </w:t>
      </w:r>
      <w:r>
        <w:rPr>
          <w:color w:val="231F20"/>
          <w:spacing w:val="-5"/>
          <w:sz w:val="17"/>
        </w:rPr>
        <w:t>176</w:t>
      </w:r>
    </w:p>
    <w:p w14:paraId="174B6310" w14:textId="77777777" w:rsidR="00AE0598" w:rsidRDefault="0069255A">
      <w:pPr>
        <w:spacing w:before="1"/>
        <w:ind w:left="110"/>
        <w:rPr>
          <w:sz w:val="17"/>
        </w:rPr>
      </w:pPr>
      <w:r>
        <w:rPr>
          <w:color w:val="231F20"/>
          <w:w w:val="95"/>
          <w:sz w:val="17"/>
        </w:rPr>
        <w:t>nationalism</w:t>
      </w:r>
      <w:r>
        <w:rPr>
          <w:color w:val="231F20"/>
          <w:spacing w:val="4"/>
          <w:sz w:val="17"/>
        </w:rPr>
        <w:t xml:space="preserve"> </w:t>
      </w:r>
      <w:r>
        <w:rPr>
          <w:color w:val="231F20"/>
          <w:w w:val="95"/>
          <w:sz w:val="17"/>
        </w:rPr>
        <w:t>5,</w:t>
      </w:r>
      <w:r>
        <w:rPr>
          <w:color w:val="231F20"/>
          <w:spacing w:val="5"/>
          <w:sz w:val="17"/>
        </w:rPr>
        <w:t xml:space="preserve"> </w:t>
      </w:r>
      <w:r>
        <w:rPr>
          <w:color w:val="231F20"/>
          <w:w w:val="95"/>
          <w:sz w:val="17"/>
        </w:rPr>
        <w:t>136,</w:t>
      </w:r>
      <w:r>
        <w:rPr>
          <w:color w:val="231F20"/>
          <w:spacing w:val="5"/>
          <w:sz w:val="17"/>
        </w:rPr>
        <w:t xml:space="preserve"> </w:t>
      </w:r>
      <w:r>
        <w:rPr>
          <w:color w:val="231F20"/>
          <w:w w:val="95"/>
          <w:sz w:val="17"/>
        </w:rPr>
        <w:t>161,</w:t>
      </w:r>
      <w:r>
        <w:rPr>
          <w:color w:val="231F20"/>
          <w:spacing w:val="4"/>
          <w:sz w:val="17"/>
        </w:rPr>
        <w:t xml:space="preserve"> </w:t>
      </w:r>
      <w:r>
        <w:rPr>
          <w:color w:val="231F20"/>
          <w:spacing w:val="-5"/>
          <w:w w:val="95"/>
          <w:sz w:val="17"/>
        </w:rPr>
        <w:t>210</w:t>
      </w:r>
    </w:p>
    <w:p w14:paraId="422411F0" w14:textId="77777777" w:rsidR="00AE0598" w:rsidRDefault="0069255A">
      <w:pPr>
        <w:ind w:left="110"/>
        <w:rPr>
          <w:sz w:val="17"/>
        </w:rPr>
      </w:pPr>
      <w:r>
        <w:rPr>
          <w:color w:val="231F20"/>
          <w:w w:val="95"/>
          <w:sz w:val="17"/>
        </w:rPr>
        <w:t>natural</w:t>
      </w:r>
      <w:r>
        <w:rPr>
          <w:color w:val="231F20"/>
          <w:spacing w:val="6"/>
          <w:sz w:val="17"/>
        </w:rPr>
        <w:t xml:space="preserve"> </w:t>
      </w:r>
      <w:r>
        <w:rPr>
          <w:color w:val="231F20"/>
          <w:w w:val="95"/>
          <w:sz w:val="17"/>
        </w:rPr>
        <w:t>disaster</w:t>
      </w:r>
      <w:r>
        <w:rPr>
          <w:color w:val="231F20"/>
          <w:spacing w:val="6"/>
          <w:sz w:val="17"/>
        </w:rPr>
        <w:t xml:space="preserve"> </w:t>
      </w:r>
      <w:r>
        <w:rPr>
          <w:color w:val="231F20"/>
          <w:spacing w:val="-5"/>
          <w:w w:val="95"/>
          <w:sz w:val="17"/>
        </w:rPr>
        <w:t>208</w:t>
      </w:r>
    </w:p>
    <w:p w14:paraId="7CD0F5B5" w14:textId="77777777" w:rsidR="00AE0598" w:rsidRDefault="0069255A">
      <w:pPr>
        <w:spacing w:before="1"/>
        <w:ind w:left="110"/>
        <w:rPr>
          <w:sz w:val="17"/>
        </w:rPr>
      </w:pPr>
      <w:r>
        <w:rPr>
          <w:color w:val="231F20"/>
          <w:w w:val="95"/>
          <w:sz w:val="17"/>
        </w:rPr>
        <w:t>natural</w:t>
      </w:r>
      <w:r>
        <w:rPr>
          <w:color w:val="231F20"/>
          <w:spacing w:val="3"/>
          <w:sz w:val="17"/>
        </w:rPr>
        <w:t xml:space="preserve"> </w:t>
      </w:r>
      <w:r>
        <w:rPr>
          <w:color w:val="231F20"/>
          <w:w w:val="95"/>
          <w:sz w:val="17"/>
        </w:rPr>
        <w:t>resources</w:t>
      </w:r>
      <w:r>
        <w:rPr>
          <w:color w:val="231F20"/>
          <w:spacing w:val="3"/>
          <w:sz w:val="17"/>
        </w:rPr>
        <w:t xml:space="preserve"> </w:t>
      </w:r>
      <w:r>
        <w:rPr>
          <w:color w:val="231F20"/>
          <w:w w:val="95"/>
          <w:sz w:val="17"/>
        </w:rPr>
        <w:t>12,</w:t>
      </w:r>
      <w:r>
        <w:rPr>
          <w:color w:val="231F20"/>
          <w:spacing w:val="3"/>
          <w:sz w:val="17"/>
        </w:rPr>
        <w:t xml:space="preserve"> </w:t>
      </w:r>
      <w:r>
        <w:rPr>
          <w:color w:val="231F20"/>
          <w:w w:val="95"/>
          <w:sz w:val="17"/>
        </w:rPr>
        <w:t>29,</w:t>
      </w:r>
      <w:r>
        <w:rPr>
          <w:color w:val="231F20"/>
          <w:spacing w:val="4"/>
          <w:sz w:val="17"/>
        </w:rPr>
        <w:t xml:space="preserve"> </w:t>
      </w:r>
      <w:r>
        <w:rPr>
          <w:color w:val="231F20"/>
          <w:w w:val="95"/>
          <w:sz w:val="17"/>
        </w:rPr>
        <w:t>33,</w:t>
      </w:r>
      <w:r>
        <w:rPr>
          <w:color w:val="231F20"/>
          <w:spacing w:val="3"/>
          <w:sz w:val="17"/>
        </w:rPr>
        <w:t xml:space="preserve"> </w:t>
      </w:r>
      <w:r>
        <w:rPr>
          <w:color w:val="231F20"/>
          <w:w w:val="95"/>
          <w:sz w:val="17"/>
        </w:rPr>
        <w:t>89,</w:t>
      </w:r>
      <w:r>
        <w:rPr>
          <w:color w:val="231F20"/>
          <w:spacing w:val="3"/>
          <w:sz w:val="17"/>
        </w:rPr>
        <w:t xml:space="preserve"> </w:t>
      </w:r>
      <w:r>
        <w:rPr>
          <w:color w:val="231F20"/>
          <w:w w:val="95"/>
          <w:sz w:val="17"/>
        </w:rPr>
        <w:t>91,</w:t>
      </w:r>
      <w:r>
        <w:rPr>
          <w:color w:val="231F20"/>
          <w:spacing w:val="3"/>
          <w:sz w:val="17"/>
        </w:rPr>
        <w:t xml:space="preserve"> </w:t>
      </w:r>
      <w:r>
        <w:rPr>
          <w:color w:val="231F20"/>
          <w:spacing w:val="-5"/>
          <w:w w:val="95"/>
          <w:sz w:val="17"/>
        </w:rPr>
        <w:t>97,</w:t>
      </w:r>
    </w:p>
    <w:p w14:paraId="776F1291" w14:textId="77777777" w:rsidR="00AE0598" w:rsidRDefault="0069255A">
      <w:pPr>
        <w:spacing w:before="1"/>
        <w:ind w:left="470"/>
        <w:rPr>
          <w:sz w:val="17"/>
        </w:rPr>
      </w:pPr>
      <w:r>
        <w:rPr>
          <w:color w:val="231F20"/>
          <w:w w:val="90"/>
          <w:sz w:val="17"/>
        </w:rPr>
        <w:t>108–110,</w:t>
      </w:r>
      <w:r>
        <w:rPr>
          <w:color w:val="231F20"/>
          <w:spacing w:val="14"/>
          <w:sz w:val="17"/>
        </w:rPr>
        <w:t xml:space="preserve"> </w:t>
      </w:r>
      <w:r>
        <w:rPr>
          <w:color w:val="231F20"/>
          <w:w w:val="90"/>
          <w:sz w:val="17"/>
        </w:rPr>
        <w:t>127,</w:t>
      </w:r>
      <w:r>
        <w:rPr>
          <w:color w:val="231F20"/>
          <w:spacing w:val="14"/>
          <w:sz w:val="17"/>
        </w:rPr>
        <w:t xml:space="preserve"> </w:t>
      </w:r>
      <w:r>
        <w:rPr>
          <w:color w:val="231F20"/>
          <w:w w:val="90"/>
          <w:sz w:val="17"/>
        </w:rPr>
        <w:t>140,</w:t>
      </w:r>
      <w:r>
        <w:rPr>
          <w:color w:val="231F20"/>
          <w:spacing w:val="14"/>
          <w:sz w:val="17"/>
        </w:rPr>
        <w:t xml:space="preserve"> </w:t>
      </w:r>
      <w:r>
        <w:rPr>
          <w:color w:val="231F20"/>
          <w:w w:val="90"/>
          <w:sz w:val="17"/>
        </w:rPr>
        <w:t>143–144,</w:t>
      </w:r>
      <w:r>
        <w:rPr>
          <w:color w:val="231F20"/>
          <w:spacing w:val="14"/>
          <w:sz w:val="17"/>
        </w:rPr>
        <w:t xml:space="preserve"> </w:t>
      </w:r>
      <w:r>
        <w:rPr>
          <w:color w:val="231F20"/>
          <w:w w:val="90"/>
          <w:sz w:val="17"/>
        </w:rPr>
        <w:t>232,</w:t>
      </w:r>
      <w:r>
        <w:rPr>
          <w:color w:val="231F20"/>
          <w:spacing w:val="15"/>
          <w:sz w:val="17"/>
        </w:rPr>
        <w:t xml:space="preserve"> </w:t>
      </w:r>
      <w:r>
        <w:rPr>
          <w:color w:val="231F20"/>
          <w:spacing w:val="-5"/>
          <w:w w:val="90"/>
          <w:sz w:val="17"/>
        </w:rPr>
        <w:t>237</w:t>
      </w:r>
    </w:p>
    <w:p w14:paraId="7B284194" w14:textId="77777777" w:rsidR="00AE0598" w:rsidRDefault="0069255A">
      <w:pPr>
        <w:spacing w:before="1"/>
        <w:ind w:left="110"/>
        <w:rPr>
          <w:sz w:val="17"/>
        </w:rPr>
      </w:pPr>
      <w:r>
        <w:rPr>
          <w:color w:val="231F20"/>
          <w:w w:val="95"/>
          <w:sz w:val="17"/>
        </w:rPr>
        <w:t>netball</w:t>
      </w:r>
      <w:r>
        <w:rPr>
          <w:color w:val="231F20"/>
          <w:spacing w:val="10"/>
          <w:sz w:val="17"/>
        </w:rPr>
        <w:t xml:space="preserve"> </w:t>
      </w:r>
      <w:r>
        <w:rPr>
          <w:color w:val="231F20"/>
          <w:w w:val="95"/>
          <w:sz w:val="17"/>
        </w:rPr>
        <w:t>34,</w:t>
      </w:r>
      <w:r>
        <w:rPr>
          <w:color w:val="231F20"/>
          <w:spacing w:val="11"/>
          <w:sz w:val="17"/>
        </w:rPr>
        <w:t xml:space="preserve"> </w:t>
      </w:r>
      <w:r>
        <w:rPr>
          <w:color w:val="231F20"/>
          <w:spacing w:val="-5"/>
          <w:w w:val="95"/>
          <w:sz w:val="17"/>
        </w:rPr>
        <w:t>90</w:t>
      </w:r>
    </w:p>
    <w:p w14:paraId="5268C32D" w14:textId="77777777" w:rsidR="00AE0598" w:rsidRDefault="0069255A">
      <w:pPr>
        <w:ind w:left="110"/>
        <w:rPr>
          <w:sz w:val="17"/>
        </w:rPr>
      </w:pPr>
      <w:r>
        <w:rPr>
          <w:color w:val="231F20"/>
          <w:w w:val="95"/>
          <w:sz w:val="17"/>
        </w:rPr>
        <w:t>New</w:t>
      </w:r>
      <w:r>
        <w:rPr>
          <w:color w:val="231F20"/>
          <w:spacing w:val="10"/>
          <w:sz w:val="17"/>
        </w:rPr>
        <w:t xml:space="preserve"> </w:t>
      </w:r>
      <w:r>
        <w:rPr>
          <w:color w:val="231F20"/>
          <w:w w:val="95"/>
          <w:sz w:val="17"/>
        </w:rPr>
        <w:t>Forest</w:t>
      </w:r>
      <w:r>
        <w:rPr>
          <w:color w:val="231F20"/>
          <w:spacing w:val="10"/>
          <w:sz w:val="17"/>
        </w:rPr>
        <w:t xml:space="preserve"> </w:t>
      </w:r>
      <w:r>
        <w:rPr>
          <w:color w:val="231F20"/>
          <w:w w:val="95"/>
          <w:sz w:val="17"/>
        </w:rPr>
        <w:t>34,</w:t>
      </w:r>
      <w:r>
        <w:rPr>
          <w:color w:val="231F20"/>
          <w:spacing w:val="10"/>
          <w:sz w:val="17"/>
        </w:rPr>
        <w:t xml:space="preserve"> </w:t>
      </w:r>
      <w:r>
        <w:rPr>
          <w:color w:val="231F20"/>
          <w:spacing w:val="-7"/>
          <w:w w:val="95"/>
          <w:sz w:val="17"/>
        </w:rPr>
        <w:t>35</w:t>
      </w:r>
    </w:p>
    <w:p w14:paraId="18146B4B" w14:textId="77777777" w:rsidR="00AE0598" w:rsidRDefault="0069255A">
      <w:pPr>
        <w:spacing w:before="1"/>
        <w:ind w:left="110"/>
        <w:rPr>
          <w:sz w:val="17"/>
        </w:rPr>
      </w:pPr>
      <w:r>
        <w:rPr>
          <w:color w:val="231F20"/>
          <w:w w:val="95"/>
          <w:sz w:val="17"/>
        </w:rPr>
        <w:t>New</w:t>
      </w:r>
      <w:r>
        <w:rPr>
          <w:color w:val="231F20"/>
          <w:spacing w:val="11"/>
          <w:sz w:val="17"/>
        </w:rPr>
        <w:t xml:space="preserve"> </w:t>
      </w:r>
      <w:r>
        <w:rPr>
          <w:color w:val="231F20"/>
          <w:w w:val="95"/>
          <w:sz w:val="17"/>
        </w:rPr>
        <w:t>Zealand</w:t>
      </w:r>
      <w:r>
        <w:rPr>
          <w:color w:val="231F20"/>
          <w:spacing w:val="12"/>
          <w:sz w:val="17"/>
        </w:rPr>
        <w:t xml:space="preserve"> </w:t>
      </w:r>
      <w:r>
        <w:rPr>
          <w:color w:val="231F20"/>
          <w:w w:val="95"/>
          <w:sz w:val="17"/>
        </w:rPr>
        <w:t>11,</w:t>
      </w:r>
      <w:r>
        <w:rPr>
          <w:color w:val="231F20"/>
          <w:spacing w:val="11"/>
          <w:sz w:val="17"/>
        </w:rPr>
        <w:t xml:space="preserve"> </w:t>
      </w:r>
      <w:r>
        <w:rPr>
          <w:color w:val="231F20"/>
          <w:w w:val="95"/>
          <w:sz w:val="17"/>
        </w:rPr>
        <w:t>52,</w:t>
      </w:r>
      <w:r>
        <w:rPr>
          <w:color w:val="231F20"/>
          <w:spacing w:val="12"/>
          <w:sz w:val="17"/>
        </w:rPr>
        <w:t xml:space="preserve"> </w:t>
      </w:r>
      <w:r>
        <w:rPr>
          <w:color w:val="231F20"/>
          <w:w w:val="95"/>
          <w:sz w:val="17"/>
        </w:rPr>
        <w:t>55,</w:t>
      </w:r>
      <w:r>
        <w:rPr>
          <w:color w:val="231F20"/>
          <w:spacing w:val="11"/>
          <w:sz w:val="17"/>
        </w:rPr>
        <w:t xml:space="preserve"> </w:t>
      </w:r>
      <w:r>
        <w:rPr>
          <w:color w:val="231F20"/>
          <w:w w:val="95"/>
          <w:sz w:val="17"/>
        </w:rPr>
        <w:t>81,</w:t>
      </w:r>
      <w:r>
        <w:rPr>
          <w:color w:val="231F20"/>
          <w:spacing w:val="12"/>
          <w:sz w:val="17"/>
        </w:rPr>
        <w:t xml:space="preserve"> </w:t>
      </w:r>
      <w:r>
        <w:rPr>
          <w:color w:val="231F20"/>
          <w:w w:val="95"/>
          <w:sz w:val="17"/>
        </w:rPr>
        <w:t>94–97,</w:t>
      </w:r>
      <w:r>
        <w:rPr>
          <w:color w:val="231F20"/>
          <w:spacing w:val="11"/>
          <w:sz w:val="17"/>
        </w:rPr>
        <w:t xml:space="preserve"> </w:t>
      </w:r>
      <w:r>
        <w:rPr>
          <w:color w:val="231F20"/>
          <w:spacing w:val="-4"/>
          <w:w w:val="95"/>
          <w:sz w:val="17"/>
        </w:rPr>
        <w:t>110,</w:t>
      </w:r>
    </w:p>
    <w:p w14:paraId="6264DCD5" w14:textId="77777777" w:rsidR="00AE0598" w:rsidRDefault="0069255A">
      <w:pPr>
        <w:spacing w:before="1"/>
        <w:ind w:left="470"/>
        <w:rPr>
          <w:sz w:val="17"/>
        </w:rPr>
      </w:pPr>
      <w:r>
        <w:rPr>
          <w:color w:val="231F20"/>
          <w:w w:val="90"/>
          <w:sz w:val="17"/>
        </w:rPr>
        <w:t>122,</w:t>
      </w:r>
      <w:r>
        <w:rPr>
          <w:color w:val="231F20"/>
          <w:spacing w:val="13"/>
          <w:sz w:val="17"/>
        </w:rPr>
        <w:t xml:space="preserve"> </w:t>
      </w:r>
      <w:r>
        <w:rPr>
          <w:color w:val="231F20"/>
          <w:w w:val="90"/>
          <w:sz w:val="17"/>
        </w:rPr>
        <w:t>132,</w:t>
      </w:r>
      <w:r>
        <w:rPr>
          <w:color w:val="231F20"/>
          <w:spacing w:val="14"/>
          <w:sz w:val="17"/>
        </w:rPr>
        <w:t xml:space="preserve"> </w:t>
      </w:r>
      <w:r>
        <w:rPr>
          <w:color w:val="231F20"/>
          <w:w w:val="90"/>
          <w:sz w:val="17"/>
        </w:rPr>
        <w:t>139,</w:t>
      </w:r>
      <w:r>
        <w:rPr>
          <w:color w:val="231F20"/>
          <w:spacing w:val="14"/>
          <w:sz w:val="17"/>
        </w:rPr>
        <w:t xml:space="preserve"> </w:t>
      </w:r>
      <w:r>
        <w:rPr>
          <w:color w:val="231F20"/>
          <w:w w:val="90"/>
          <w:sz w:val="17"/>
        </w:rPr>
        <w:t>141,</w:t>
      </w:r>
      <w:r>
        <w:rPr>
          <w:color w:val="231F20"/>
          <w:spacing w:val="14"/>
          <w:sz w:val="17"/>
        </w:rPr>
        <w:t xml:space="preserve"> </w:t>
      </w:r>
      <w:r>
        <w:rPr>
          <w:color w:val="231F20"/>
          <w:w w:val="90"/>
          <w:sz w:val="17"/>
        </w:rPr>
        <w:t>162,</w:t>
      </w:r>
      <w:r>
        <w:rPr>
          <w:color w:val="231F20"/>
          <w:spacing w:val="14"/>
          <w:sz w:val="17"/>
        </w:rPr>
        <w:t xml:space="preserve"> </w:t>
      </w:r>
      <w:r>
        <w:rPr>
          <w:color w:val="231F20"/>
          <w:w w:val="90"/>
          <w:sz w:val="17"/>
        </w:rPr>
        <w:t>168,</w:t>
      </w:r>
      <w:r>
        <w:rPr>
          <w:color w:val="231F20"/>
          <w:spacing w:val="14"/>
          <w:sz w:val="17"/>
        </w:rPr>
        <w:t xml:space="preserve"> </w:t>
      </w:r>
      <w:r>
        <w:rPr>
          <w:color w:val="231F20"/>
          <w:spacing w:val="-4"/>
          <w:w w:val="90"/>
          <w:sz w:val="17"/>
        </w:rPr>
        <w:t>171,</w:t>
      </w:r>
    </w:p>
    <w:p w14:paraId="5278C73F" w14:textId="77777777" w:rsidR="00AE0598" w:rsidRDefault="0069255A">
      <w:pPr>
        <w:ind w:left="470"/>
        <w:rPr>
          <w:sz w:val="17"/>
        </w:rPr>
      </w:pPr>
      <w:r>
        <w:rPr>
          <w:color w:val="231F20"/>
          <w:spacing w:val="-2"/>
          <w:sz w:val="17"/>
        </w:rPr>
        <w:t>182–183</w:t>
      </w:r>
    </w:p>
    <w:p w14:paraId="7E809CFE" w14:textId="77777777" w:rsidR="00AE0598" w:rsidRDefault="0069255A">
      <w:pPr>
        <w:spacing w:before="1"/>
        <w:ind w:left="110"/>
        <w:rPr>
          <w:sz w:val="17"/>
        </w:rPr>
      </w:pPr>
      <w:r>
        <w:rPr>
          <w:color w:val="231F20"/>
          <w:w w:val="95"/>
          <w:sz w:val="17"/>
        </w:rPr>
        <w:t>Newcastle</w:t>
      </w:r>
      <w:r>
        <w:rPr>
          <w:color w:val="231F20"/>
          <w:spacing w:val="21"/>
          <w:sz w:val="17"/>
        </w:rPr>
        <w:t xml:space="preserve"> </w:t>
      </w:r>
      <w:r>
        <w:rPr>
          <w:color w:val="231F20"/>
          <w:spacing w:val="-5"/>
          <w:sz w:val="17"/>
        </w:rPr>
        <w:t>96</w:t>
      </w:r>
    </w:p>
    <w:p w14:paraId="2713A5B3" w14:textId="77777777" w:rsidR="00AE0598" w:rsidRDefault="0069255A">
      <w:pPr>
        <w:spacing w:before="1"/>
        <w:ind w:left="110"/>
        <w:rPr>
          <w:sz w:val="17"/>
        </w:rPr>
      </w:pPr>
      <w:r>
        <w:rPr>
          <w:color w:val="231F20"/>
          <w:w w:val="95"/>
          <w:sz w:val="17"/>
        </w:rPr>
        <w:t>niche</w:t>
      </w:r>
      <w:r>
        <w:rPr>
          <w:color w:val="231F20"/>
          <w:spacing w:val="4"/>
          <w:sz w:val="17"/>
        </w:rPr>
        <w:t xml:space="preserve"> </w:t>
      </w:r>
      <w:r>
        <w:rPr>
          <w:color w:val="231F20"/>
          <w:w w:val="95"/>
          <w:sz w:val="17"/>
        </w:rPr>
        <w:t>market</w:t>
      </w:r>
      <w:r>
        <w:rPr>
          <w:color w:val="231F20"/>
          <w:spacing w:val="5"/>
          <w:sz w:val="17"/>
        </w:rPr>
        <w:t xml:space="preserve"> </w:t>
      </w:r>
      <w:r>
        <w:rPr>
          <w:color w:val="231F20"/>
          <w:w w:val="95"/>
          <w:sz w:val="17"/>
        </w:rPr>
        <w:t>8,</w:t>
      </w:r>
      <w:r>
        <w:rPr>
          <w:color w:val="231F20"/>
          <w:spacing w:val="4"/>
          <w:sz w:val="17"/>
        </w:rPr>
        <w:t xml:space="preserve"> </w:t>
      </w:r>
      <w:r>
        <w:rPr>
          <w:color w:val="231F20"/>
          <w:w w:val="95"/>
          <w:sz w:val="17"/>
        </w:rPr>
        <w:t>38–39,</w:t>
      </w:r>
      <w:r>
        <w:rPr>
          <w:color w:val="231F20"/>
          <w:spacing w:val="5"/>
          <w:sz w:val="17"/>
        </w:rPr>
        <w:t xml:space="preserve"> </w:t>
      </w:r>
      <w:r>
        <w:rPr>
          <w:color w:val="231F20"/>
          <w:w w:val="95"/>
          <w:sz w:val="17"/>
        </w:rPr>
        <w:t>49,</w:t>
      </w:r>
      <w:r>
        <w:rPr>
          <w:color w:val="231F20"/>
          <w:spacing w:val="5"/>
          <w:sz w:val="17"/>
        </w:rPr>
        <w:t xml:space="preserve"> </w:t>
      </w:r>
      <w:r>
        <w:rPr>
          <w:color w:val="231F20"/>
          <w:w w:val="95"/>
          <w:sz w:val="17"/>
        </w:rPr>
        <w:t>60,</w:t>
      </w:r>
      <w:r>
        <w:rPr>
          <w:color w:val="231F20"/>
          <w:spacing w:val="4"/>
          <w:sz w:val="17"/>
        </w:rPr>
        <w:t xml:space="preserve"> </w:t>
      </w:r>
      <w:r>
        <w:rPr>
          <w:color w:val="231F20"/>
          <w:w w:val="95"/>
          <w:sz w:val="17"/>
        </w:rPr>
        <w:t>62,</w:t>
      </w:r>
      <w:r>
        <w:rPr>
          <w:color w:val="231F20"/>
          <w:spacing w:val="5"/>
          <w:sz w:val="17"/>
        </w:rPr>
        <w:t xml:space="preserve"> </w:t>
      </w:r>
      <w:r>
        <w:rPr>
          <w:color w:val="231F20"/>
          <w:spacing w:val="-4"/>
          <w:w w:val="95"/>
          <w:sz w:val="17"/>
        </w:rPr>
        <w:t>197,</w:t>
      </w:r>
    </w:p>
    <w:p w14:paraId="37C88D62" w14:textId="77777777" w:rsidR="00AE0598" w:rsidRDefault="0069255A">
      <w:pPr>
        <w:ind w:left="470"/>
        <w:rPr>
          <w:sz w:val="17"/>
        </w:rPr>
      </w:pPr>
      <w:r>
        <w:rPr>
          <w:color w:val="231F20"/>
          <w:w w:val="90"/>
          <w:sz w:val="17"/>
        </w:rPr>
        <w:t>219,</w:t>
      </w:r>
      <w:r>
        <w:rPr>
          <w:color w:val="231F20"/>
          <w:spacing w:val="6"/>
          <w:sz w:val="17"/>
        </w:rPr>
        <w:t xml:space="preserve"> </w:t>
      </w:r>
      <w:r>
        <w:rPr>
          <w:color w:val="231F20"/>
          <w:spacing w:val="-5"/>
          <w:sz w:val="17"/>
        </w:rPr>
        <w:t>230</w:t>
      </w:r>
    </w:p>
    <w:p w14:paraId="23E4BBC6" w14:textId="77777777" w:rsidR="00AE0598" w:rsidRDefault="0069255A">
      <w:pPr>
        <w:spacing w:before="1"/>
        <w:ind w:left="110"/>
        <w:rPr>
          <w:sz w:val="17"/>
        </w:rPr>
      </w:pPr>
      <w:r>
        <w:rPr>
          <w:color w:val="231F20"/>
          <w:sz w:val="17"/>
        </w:rPr>
        <w:t>Nike</w:t>
      </w:r>
      <w:r>
        <w:rPr>
          <w:color w:val="231F20"/>
          <w:spacing w:val="14"/>
          <w:sz w:val="17"/>
        </w:rPr>
        <w:t xml:space="preserve"> </w:t>
      </w:r>
      <w:r>
        <w:rPr>
          <w:color w:val="231F20"/>
          <w:spacing w:val="-5"/>
          <w:sz w:val="17"/>
        </w:rPr>
        <w:t>79</w:t>
      </w:r>
    </w:p>
    <w:p w14:paraId="1904663C" w14:textId="77777777" w:rsidR="00AE0598" w:rsidRDefault="0069255A">
      <w:pPr>
        <w:spacing w:before="1"/>
        <w:ind w:left="110"/>
        <w:rPr>
          <w:sz w:val="17"/>
        </w:rPr>
      </w:pPr>
      <w:r>
        <w:rPr>
          <w:color w:val="231F20"/>
          <w:w w:val="95"/>
          <w:sz w:val="17"/>
        </w:rPr>
        <w:t>Norway</w:t>
      </w:r>
      <w:r>
        <w:rPr>
          <w:color w:val="231F20"/>
          <w:spacing w:val="1"/>
          <w:sz w:val="17"/>
        </w:rPr>
        <w:t xml:space="preserve"> </w:t>
      </w:r>
      <w:r>
        <w:rPr>
          <w:color w:val="231F20"/>
          <w:w w:val="95"/>
          <w:sz w:val="17"/>
        </w:rPr>
        <w:t>27,</w:t>
      </w:r>
      <w:r>
        <w:rPr>
          <w:color w:val="231F20"/>
          <w:spacing w:val="2"/>
          <w:sz w:val="17"/>
        </w:rPr>
        <w:t xml:space="preserve"> </w:t>
      </w:r>
      <w:r>
        <w:rPr>
          <w:color w:val="231F20"/>
          <w:w w:val="95"/>
          <w:sz w:val="17"/>
        </w:rPr>
        <w:t>97,</w:t>
      </w:r>
      <w:r>
        <w:rPr>
          <w:color w:val="231F20"/>
          <w:spacing w:val="2"/>
          <w:sz w:val="17"/>
        </w:rPr>
        <w:t xml:space="preserve"> </w:t>
      </w:r>
      <w:r>
        <w:rPr>
          <w:color w:val="231F20"/>
          <w:w w:val="95"/>
          <w:sz w:val="17"/>
        </w:rPr>
        <w:t>139,</w:t>
      </w:r>
      <w:r>
        <w:rPr>
          <w:color w:val="231F20"/>
          <w:spacing w:val="1"/>
          <w:sz w:val="17"/>
        </w:rPr>
        <w:t xml:space="preserve"> </w:t>
      </w:r>
      <w:r>
        <w:rPr>
          <w:color w:val="231F20"/>
          <w:spacing w:val="-5"/>
          <w:w w:val="95"/>
          <w:sz w:val="17"/>
        </w:rPr>
        <w:t>151</w:t>
      </w:r>
    </w:p>
    <w:p w14:paraId="58D2D454" w14:textId="77777777" w:rsidR="00AE0598" w:rsidRDefault="0069255A">
      <w:pPr>
        <w:spacing w:before="1"/>
        <w:ind w:left="110"/>
        <w:rPr>
          <w:sz w:val="17"/>
        </w:rPr>
      </w:pPr>
      <w:r>
        <w:rPr>
          <w:color w:val="231F20"/>
          <w:w w:val="95"/>
          <w:sz w:val="17"/>
        </w:rPr>
        <w:t>nostalgia</w:t>
      </w:r>
      <w:r>
        <w:rPr>
          <w:color w:val="231F20"/>
          <w:spacing w:val="3"/>
          <w:sz w:val="17"/>
        </w:rPr>
        <w:t xml:space="preserve"> </w:t>
      </w:r>
      <w:r>
        <w:rPr>
          <w:color w:val="231F20"/>
          <w:w w:val="95"/>
          <w:sz w:val="17"/>
        </w:rPr>
        <w:t>sport</w:t>
      </w:r>
      <w:r>
        <w:rPr>
          <w:color w:val="231F20"/>
          <w:spacing w:val="3"/>
          <w:sz w:val="17"/>
        </w:rPr>
        <w:t xml:space="preserve"> </w:t>
      </w:r>
      <w:r>
        <w:rPr>
          <w:color w:val="231F20"/>
          <w:w w:val="95"/>
          <w:sz w:val="17"/>
        </w:rPr>
        <w:t>tourism</w:t>
      </w:r>
      <w:r>
        <w:rPr>
          <w:color w:val="231F20"/>
          <w:spacing w:val="3"/>
          <w:sz w:val="17"/>
        </w:rPr>
        <w:t xml:space="preserve"> </w:t>
      </w:r>
      <w:r>
        <w:rPr>
          <w:color w:val="231F20"/>
          <w:w w:val="95"/>
          <w:sz w:val="17"/>
        </w:rPr>
        <w:t>45,</w:t>
      </w:r>
      <w:r>
        <w:rPr>
          <w:color w:val="231F20"/>
          <w:spacing w:val="4"/>
          <w:sz w:val="17"/>
        </w:rPr>
        <w:t xml:space="preserve"> </w:t>
      </w:r>
      <w:r>
        <w:rPr>
          <w:color w:val="231F20"/>
          <w:w w:val="95"/>
          <w:sz w:val="17"/>
        </w:rPr>
        <w:t>99,</w:t>
      </w:r>
      <w:r>
        <w:rPr>
          <w:color w:val="231F20"/>
          <w:spacing w:val="3"/>
          <w:sz w:val="17"/>
        </w:rPr>
        <w:t xml:space="preserve"> </w:t>
      </w:r>
      <w:r>
        <w:rPr>
          <w:color w:val="231F20"/>
          <w:w w:val="95"/>
          <w:sz w:val="17"/>
        </w:rPr>
        <w:t>107,</w:t>
      </w:r>
      <w:r>
        <w:rPr>
          <w:color w:val="231F20"/>
          <w:spacing w:val="3"/>
          <w:sz w:val="17"/>
        </w:rPr>
        <w:t xml:space="preserve"> </w:t>
      </w:r>
      <w:r>
        <w:rPr>
          <w:color w:val="231F20"/>
          <w:spacing w:val="-4"/>
          <w:w w:val="95"/>
          <w:sz w:val="17"/>
        </w:rPr>
        <w:t>118,</w:t>
      </w:r>
    </w:p>
    <w:p w14:paraId="2B286DC3" w14:textId="77777777" w:rsidR="00AE0598" w:rsidRDefault="0069255A">
      <w:pPr>
        <w:ind w:left="470"/>
        <w:rPr>
          <w:sz w:val="17"/>
        </w:rPr>
      </w:pPr>
      <w:r>
        <w:rPr>
          <w:color w:val="231F20"/>
          <w:w w:val="90"/>
          <w:sz w:val="17"/>
        </w:rPr>
        <w:t>173,</w:t>
      </w:r>
      <w:r>
        <w:rPr>
          <w:color w:val="231F20"/>
          <w:spacing w:val="24"/>
          <w:sz w:val="17"/>
        </w:rPr>
        <w:t xml:space="preserve"> </w:t>
      </w:r>
      <w:r>
        <w:rPr>
          <w:color w:val="231F20"/>
          <w:w w:val="90"/>
          <w:sz w:val="17"/>
        </w:rPr>
        <w:t>209–212,</w:t>
      </w:r>
      <w:r>
        <w:rPr>
          <w:color w:val="231F20"/>
          <w:spacing w:val="24"/>
          <w:sz w:val="17"/>
        </w:rPr>
        <w:t xml:space="preserve"> </w:t>
      </w:r>
      <w:r>
        <w:rPr>
          <w:color w:val="231F20"/>
          <w:spacing w:val="-5"/>
          <w:w w:val="90"/>
          <w:sz w:val="17"/>
        </w:rPr>
        <w:t>233</w:t>
      </w:r>
    </w:p>
    <w:p w14:paraId="4907A41C" w14:textId="77777777" w:rsidR="00AE0598" w:rsidRDefault="00AE0598">
      <w:pPr>
        <w:pStyle w:val="Corpodetexto"/>
        <w:spacing w:before="3"/>
        <w:rPr>
          <w:sz w:val="16"/>
        </w:rPr>
      </w:pPr>
    </w:p>
    <w:p w14:paraId="452FB0F2" w14:textId="77777777" w:rsidR="00AE0598" w:rsidRDefault="0069255A">
      <w:pPr>
        <w:ind w:left="110"/>
        <w:rPr>
          <w:sz w:val="17"/>
        </w:rPr>
      </w:pPr>
      <w:r>
        <w:rPr>
          <w:color w:val="231F20"/>
          <w:sz w:val="17"/>
        </w:rPr>
        <w:t>Olympian</w:t>
      </w:r>
      <w:r>
        <w:rPr>
          <w:color w:val="231F20"/>
          <w:spacing w:val="9"/>
          <w:sz w:val="17"/>
        </w:rPr>
        <w:t xml:space="preserve"> </w:t>
      </w:r>
      <w:r>
        <w:rPr>
          <w:color w:val="231F20"/>
          <w:sz w:val="17"/>
        </w:rPr>
        <w:t>Games</w:t>
      </w:r>
      <w:r>
        <w:rPr>
          <w:color w:val="231F20"/>
          <w:spacing w:val="10"/>
          <w:sz w:val="17"/>
        </w:rPr>
        <w:t xml:space="preserve"> </w:t>
      </w:r>
      <w:r>
        <w:rPr>
          <w:color w:val="231F20"/>
          <w:sz w:val="17"/>
        </w:rPr>
        <w:t>3–4,</w:t>
      </w:r>
      <w:r>
        <w:rPr>
          <w:color w:val="231F20"/>
          <w:spacing w:val="9"/>
          <w:sz w:val="17"/>
        </w:rPr>
        <w:t xml:space="preserve"> </w:t>
      </w:r>
      <w:r>
        <w:rPr>
          <w:color w:val="231F20"/>
          <w:spacing w:val="-5"/>
          <w:sz w:val="17"/>
        </w:rPr>
        <w:t>227</w:t>
      </w:r>
    </w:p>
    <w:p w14:paraId="51A40789" w14:textId="77777777" w:rsidR="00AE0598" w:rsidRDefault="0069255A">
      <w:pPr>
        <w:spacing w:before="1"/>
        <w:ind w:left="110"/>
        <w:rPr>
          <w:sz w:val="17"/>
        </w:rPr>
      </w:pPr>
      <w:r>
        <w:rPr>
          <w:color w:val="231F20"/>
          <w:w w:val="95"/>
          <w:sz w:val="17"/>
        </w:rPr>
        <w:t>Olympic</w:t>
      </w:r>
      <w:r>
        <w:rPr>
          <w:color w:val="231F20"/>
          <w:spacing w:val="23"/>
          <w:sz w:val="17"/>
        </w:rPr>
        <w:t xml:space="preserve"> </w:t>
      </w:r>
      <w:r>
        <w:rPr>
          <w:color w:val="231F20"/>
          <w:w w:val="95"/>
          <w:sz w:val="17"/>
        </w:rPr>
        <w:t>discipline</w:t>
      </w:r>
      <w:r>
        <w:rPr>
          <w:color w:val="231F20"/>
          <w:spacing w:val="23"/>
          <w:sz w:val="17"/>
        </w:rPr>
        <w:t xml:space="preserve"> </w:t>
      </w:r>
      <w:r>
        <w:rPr>
          <w:color w:val="231F20"/>
          <w:spacing w:val="-5"/>
          <w:w w:val="95"/>
          <w:sz w:val="17"/>
        </w:rPr>
        <w:t>207</w:t>
      </w:r>
    </w:p>
    <w:p w14:paraId="1CC1E186" w14:textId="77777777" w:rsidR="00AE0598" w:rsidRDefault="0069255A">
      <w:pPr>
        <w:spacing w:before="1"/>
        <w:ind w:left="110"/>
        <w:rPr>
          <w:sz w:val="17"/>
        </w:rPr>
      </w:pPr>
      <w:r>
        <w:rPr>
          <w:color w:val="231F20"/>
          <w:w w:val="95"/>
          <w:sz w:val="17"/>
        </w:rPr>
        <w:t>Olympic Environmental Charter 151</w:t>
      </w:r>
      <w:r>
        <w:rPr>
          <w:color w:val="231F20"/>
          <w:spacing w:val="40"/>
          <w:sz w:val="17"/>
        </w:rPr>
        <w:t xml:space="preserve"> </w:t>
      </w:r>
      <w:r>
        <w:rPr>
          <w:color w:val="231F20"/>
          <w:sz w:val="17"/>
        </w:rPr>
        <w:t>Olympic Winter Games 189–190</w:t>
      </w:r>
    </w:p>
    <w:p w14:paraId="54F5817C" w14:textId="77777777" w:rsidR="00AE0598" w:rsidRDefault="0069255A">
      <w:pPr>
        <w:spacing w:before="97"/>
        <w:ind w:left="110"/>
        <w:rPr>
          <w:sz w:val="17"/>
        </w:rPr>
      </w:pPr>
      <w:r>
        <w:br w:type="column"/>
      </w:r>
      <w:r>
        <w:rPr>
          <w:color w:val="231F20"/>
          <w:w w:val="95"/>
          <w:sz w:val="17"/>
        </w:rPr>
        <w:t>opportunity</w:t>
      </w:r>
      <w:r>
        <w:rPr>
          <w:color w:val="231F20"/>
          <w:spacing w:val="13"/>
          <w:sz w:val="17"/>
        </w:rPr>
        <w:t xml:space="preserve"> </w:t>
      </w:r>
      <w:r>
        <w:rPr>
          <w:color w:val="231F20"/>
          <w:w w:val="95"/>
          <w:sz w:val="17"/>
        </w:rPr>
        <w:t>cost</w:t>
      </w:r>
      <w:r>
        <w:rPr>
          <w:color w:val="231F20"/>
          <w:spacing w:val="13"/>
          <w:sz w:val="17"/>
        </w:rPr>
        <w:t xml:space="preserve"> </w:t>
      </w:r>
      <w:r>
        <w:rPr>
          <w:color w:val="231F20"/>
          <w:w w:val="95"/>
          <w:sz w:val="17"/>
        </w:rPr>
        <w:t>50,</w:t>
      </w:r>
      <w:r>
        <w:rPr>
          <w:color w:val="231F20"/>
          <w:spacing w:val="13"/>
          <w:sz w:val="17"/>
        </w:rPr>
        <w:t xml:space="preserve"> </w:t>
      </w:r>
      <w:r>
        <w:rPr>
          <w:color w:val="231F20"/>
          <w:spacing w:val="-5"/>
          <w:w w:val="95"/>
          <w:sz w:val="17"/>
        </w:rPr>
        <w:t>169</w:t>
      </w:r>
    </w:p>
    <w:p w14:paraId="6975478A" w14:textId="77777777" w:rsidR="00AE0598" w:rsidRDefault="0069255A">
      <w:pPr>
        <w:spacing w:before="1"/>
        <w:ind w:left="110"/>
        <w:rPr>
          <w:sz w:val="17"/>
        </w:rPr>
      </w:pPr>
      <w:r>
        <w:rPr>
          <w:color w:val="231F20"/>
          <w:w w:val="95"/>
          <w:sz w:val="17"/>
        </w:rPr>
        <w:t>organisational</w:t>
      </w:r>
      <w:r>
        <w:rPr>
          <w:color w:val="231F20"/>
          <w:spacing w:val="20"/>
          <w:sz w:val="17"/>
        </w:rPr>
        <w:t xml:space="preserve"> </w:t>
      </w:r>
      <w:r>
        <w:rPr>
          <w:color w:val="231F20"/>
          <w:w w:val="95"/>
          <w:sz w:val="17"/>
        </w:rPr>
        <w:t>fragmentation</w:t>
      </w:r>
      <w:r>
        <w:rPr>
          <w:color w:val="231F20"/>
          <w:spacing w:val="21"/>
          <w:sz w:val="17"/>
        </w:rPr>
        <w:t xml:space="preserve"> </w:t>
      </w:r>
      <w:r>
        <w:rPr>
          <w:color w:val="231F20"/>
          <w:w w:val="95"/>
          <w:sz w:val="17"/>
        </w:rPr>
        <w:t>63,</w:t>
      </w:r>
      <w:r>
        <w:rPr>
          <w:color w:val="231F20"/>
          <w:spacing w:val="21"/>
          <w:sz w:val="17"/>
        </w:rPr>
        <w:t xml:space="preserve"> </w:t>
      </w:r>
      <w:r>
        <w:rPr>
          <w:color w:val="231F20"/>
          <w:spacing w:val="-5"/>
          <w:w w:val="95"/>
          <w:sz w:val="17"/>
        </w:rPr>
        <w:t>70,</w:t>
      </w:r>
    </w:p>
    <w:p w14:paraId="53465CA3" w14:textId="77777777" w:rsidR="00AE0598" w:rsidRDefault="0069255A">
      <w:pPr>
        <w:spacing w:before="1"/>
        <w:ind w:left="470"/>
        <w:rPr>
          <w:sz w:val="17"/>
        </w:rPr>
      </w:pPr>
      <w:r>
        <w:rPr>
          <w:color w:val="231F20"/>
          <w:w w:val="90"/>
          <w:sz w:val="17"/>
        </w:rPr>
        <w:t>81–84,</w:t>
      </w:r>
      <w:r>
        <w:rPr>
          <w:color w:val="231F20"/>
          <w:spacing w:val="28"/>
          <w:sz w:val="17"/>
        </w:rPr>
        <w:t xml:space="preserve"> </w:t>
      </w:r>
      <w:r>
        <w:rPr>
          <w:color w:val="231F20"/>
          <w:spacing w:val="-5"/>
          <w:sz w:val="17"/>
        </w:rPr>
        <w:t>231</w:t>
      </w:r>
    </w:p>
    <w:p w14:paraId="4D5CBB72" w14:textId="77777777" w:rsidR="00AE0598" w:rsidRDefault="0069255A">
      <w:pPr>
        <w:ind w:left="110"/>
        <w:rPr>
          <w:sz w:val="17"/>
        </w:rPr>
      </w:pPr>
      <w:r>
        <w:rPr>
          <w:color w:val="231F20"/>
          <w:w w:val="95"/>
          <w:sz w:val="17"/>
        </w:rPr>
        <w:t>outdoor</w:t>
      </w:r>
      <w:r>
        <w:rPr>
          <w:color w:val="231F20"/>
          <w:spacing w:val="3"/>
          <w:sz w:val="17"/>
        </w:rPr>
        <w:t xml:space="preserve"> </w:t>
      </w:r>
      <w:r>
        <w:rPr>
          <w:color w:val="231F20"/>
          <w:w w:val="95"/>
          <w:sz w:val="17"/>
        </w:rPr>
        <w:t>recreation</w:t>
      </w:r>
      <w:r>
        <w:rPr>
          <w:color w:val="231F20"/>
          <w:spacing w:val="3"/>
          <w:sz w:val="17"/>
        </w:rPr>
        <w:t xml:space="preserve"> </w:t>
      </w:r>
      <w:r>
        <w:rPr>
          <w:color w:val="231F20"/>
          <w:w w:val="95"/>
          <w:sz w:val="17"/>
        </w:rPr>
        <w:t>29–31,</w:t>
      </w:r>
      <w:r>
        <w:rPr>
          <w:color w:val="231F20"/>
          <w:spacing w:val="3"/>
          <w:sz w:val="17"/>
        </w:rPr>
        <w:t xml:space="preserve"> </w:t>
      </w:r>
      <w:r>
        <w:rPr>
          <w:color w:val="231F20"/>
          <w:w w:val="95"/>
          <w:sz w:val="17"/>
        </w:rPr>
        <w:t>56,</w:t>
      </w:r>
      <w:r>
        <w:rPr>
          <w:color w:val="231F20"/>
          <w:spacing w:val="3"/>
          <w:sz w:val="17"/>
        </w:rPr>
        <w:t xml:space="preserve"> </w:t>
      </w:r>
      <w:r>
        <w:rPr>
          <w:color w:val="231F20"/>
          <w:w w:val="95"/>
          <w:sz w:val="17"/>
        </w:rPr>
        <w:t>168,</w:t>
      </w:r>
      <w:r>
        <w:rPr>
          <w:color w:val="231F20"/>
          <w:spacing w:val="4"/>
          <w:sz w:val="17"/>
        </w:rPr>
        <w:t xml:space="preserve"> </w:t>
      </w:r>
      <w:r>
        <w:rPr>
          <w:color w:val="231F20"/>
          <w:spacing w:val="-5"/>
          <w:w w:val="95"/>
          <w:sz w:val="17"/>
        </w:rPr>
        <w:t>184</w:t>
      </w:r>
    </w:p>
    <w:p w14:paraId="798FE345" w14:textId="77777777" w:rsidR="00AE0598" w:rsidRDefault="00AE0598">
      <w:pPr>
        <w:pStyle w:val="Corpodetexto"/>
        <w:spacing w:before="3"/>
        <w:rPr>
          <w:sz w:val="16"/>
        </w:rPr>
      </w:pPr>
    </w:p>
    <w:p w14:paraId="200ECC9F" w14:textId="77777777" w:rsidR="00AE0598" w:rsidRDefault="0069255A">
      <w:pPr>
        <w:ind w:left="110"/>
        <w:rPr>
          <w:sz w:val="17"/>
        </w:rPr>
      </w:pPr>
      <w:r>
        <w:rPr>
          <w:color w:val="231F20"/>
          <w:w w:val="95"/>
          <w:sz w:val="17"/>
        </w:rPr>
        <w:t>packaging</w:t>
      </w:r>
      <w:r>
        <w:rPr>
          <w:color w:val="231F20"/>
          <w:spacing w:val="16"/>
          <w:sz w:val="17"/>
        </w:rPr>
        <w:t xml:space="preserve"> </w:t>
      </w:r>
      <w:r>
        <w:rPr>
          <w:color w:val="231F20"/>
          <w:w w:val="95"/>
          <w:sz w:val="17"/>
        </w:rPr>
        <w:t>80,</w:t>
      </w:r>
      <w:r>
        <w:rPr>
          <w:color w:val="231F20"/>
          <w:spacing w:val="17"/>
          <w:sz w:val="17"/>
        </w:rPr>
        <w:t xml:space="preserve"> </w:t>
      </w:r>
      <w:r>
        <w:rPr>
          <w:color w:val="231F20"/>
          <w:w w:val="95"/>
          <w:sz w:val="17"/>
        </w:rPr>
        <w:t>92,</w:t>
      </w:r>
      <w:r>
        <w:rPr>
          <w:color w:val="231F20"/>
          <w:spacing w:val="16"/>
          <w:sz w:val="17"/>
        </w:rPr>
        <w:t xml:space="preserve"> </w:t>
      </w:r>
      <w:r>
        <w:rPr>
          <w:color w:val="231F20"/>
          <w:spacing w:val="-5"/>
          <w:w w:val="95"/>
          <w:sz w:val="17"/>
        </w:rPr>
        <w:t>197</w:t>
      </w:r>
    </w:p>
    <w:p w14:paraId="72CCC1A8" w14:textId="77777777" w:rsidR="00AE0598" w:rsidRDefault="0069255A">
      <w:pPr>
        <w:spacing w:before="1"/>
        <w:ind w:left="110" w:right="1437"/>
        <w:rPr>
          <w:sz w:val="17"/>
        </w:rPr>
      </w:pPr>
      <w:r>
        <w:rPr>
          <w:color w:val="231F20"/>
          <w:w w:val="95"/>
          <w:sz w:val="17"/>
        </w:rPr>
        <w:t>Paralympic Games 32, 35</w:t>
      </w:r>
      <w:r>
        <w:rPr>
          <w:color w:val="231F20"/>
          <w:spacing w:val="40"/>
          <w:sz w:val="17"/>
        </w:rPr>
        <w:t xml:space="preserve"> </w:t>
      </w:r>
      <w:r>
        <w:rPr>
          <w:color w:val="231F20"/>
          <w:sz w:val="17"/>
        </w:rPr>
        <w:t>Paris</w:t>
      </w:r>
      <w:r>
        <w:rPr>
          <w:color w:val="231F20"/>
          <w:spacing w:val="-3"/>
          <w:sz w:val="17"/>
        </w:rPr>
        <w:t xml:space="preserve"> </w:t>
      </w:r>
      <w:r>
        <w:rPr>
          <w:color w:val="231F20"/>
          <w:sz w:val="17"/>
        </w:rPr>
        <w:t>Climate</w:t>
      </w:r>
      <w:r>
        <w:rPr>
          <w:color w:val="231F20"/>
          <w:spacing w:val="-2"/>
          <w:sz w:val="17"/>
        </w:rPr>
        <w:t xml:space="preserve"> </w:t>
      </w:r>
      <w:r>
        <w:rPr>
          <w:color w:val="231F20"/>
          <w:sz w:val="17"/>
        </w:rPr>
        <w:t>Accord</w:t>
      </w:r>
      <w:r>
        <w:rPr>
          <w:color w:val="231F20"/>
          <w:spacing w:val="-2"/>
          <w:sz w:val="17"/>
        </w:rPr>
        <w:t xml:space="preserve"> </w:t>
      </w:r>
      <w:r>
        <w:rPr>
          <w:color w:val="231F20"/>
          <w:spacing w:val="-6"/>
          <w:w w:val="95"/>
          <w:sz w:val="17"/>
        </w:rPr>
        <w:t>141</w:t>
      </w:r>
    </w:p>
    <w:p w14:paraId="342E3854" w14:textId="77777777" w:rsidR="00AE0598" w:rsidRDefault="0069255A">
      <w:pPr>
        <w:spacing w:before="1"/>
        <w:ind w:left="110"/>
        <w:rPr>
          <w:sz w:val="17"/>
        </w:rPr>
      </w:pPr>
      <w:r>
        <w:rPr>
          <w:color w:val="231F20"/>
          <w:w w:val="95"/>
          <w:sz w:val="17"/>
        </w:rPr>
        <w:t>participation</w:t>
      </w:r>
      <w:r>
        <w:rPr>
          <w:color w:val="231F20"/>
          <w:spacing w:val="2"/>
          <w:sz w:val="17"/>
        </w:rPr>
        <w:t xml:space="preserve"> </w:t>
      </w:r>
      <w:r>
        <w:rPr>
          <w:color w:val="231F20"/>
          <w:w w:val="95"/>
          <w:sz w:val="17"/>
        </w:rPr>
        <w:t>event</w:t>
      </w:r>
      <w:r>
        <w:rPr>
          <w:color w:val="231F20"/>
          <w:spacing w:val="3"/>
          <w:sz w:val="17"/>
        </w:rPr>
        <w:t xml:space="preserve"> </w:t>
      </w:r>
      <w:r>
        <w:rPr>
          <w:color w:val="231F20"/>
          <w:w w:val="95"/>
          <w:sz w:val="17"/>
        </w:rPr>
        <w:t>25,</w:t>
      </w:r>
      <w:r>
        <w:rPr>
          <w:color w:val="231F20"/>
          <w:spacing w:val="3"/>
          <w:sz w:val="17"/>
        </w:rPr>
        <w:t xml:space="preserve"> </w:t>
      </w:r>
      <w:r>
        <w:rPr>
          <w:color w:val="231F20"/>
          <w:w w:val="95"/>
          <w:sz w:val="17"/>
        </w:rPr>
        <w:t>32,</w:t>
      </w:r>
      <w:r>
        <w:rPr>
          <w:color w:val="231F20"/>
          <w:spacing w:val="3"/>
          <w:sz w:val="17"/>
        </w:rPr>
        <w:t xml:space="preserve"> </w:t>
      </w:r>
      <w:r>
        <w:rPr>
          <w:color w:val="231F20"/>
          <w:w w:val="95"/>
          <w:sz w:val="17"/>
        </w:rPr>
        <w:t>37,</w:t>
      </w:r>
      <w:r>
        <w:rPr>
          <w:color w:val="231F20"/>
          <w:spacing w:val="3"/>
          <w:sz w:val="17"/>
        </w:rPr>
        <w:t xml:space="preserve"> </w:t>
      </w:r>
      <w:r>
        <w:rPr>
          <w:color w:val="231F20"/>
          <w:w w:val="95"/>
          <w:sz w:val="17"/>
        </w:rPr>
        <w:t>45,</w:t>
      </w:r>
      <w:r>
        <w:rPr>
          <w:color w:val="231F20"/>
          <w:spacing w:val="3"/>
          <w:sz w:val="17"/>
        </w:rPr>
        <w:t xml:space="preserve"> </w:t>
      </w:r>
      <w:r>
        <w:rPr>
          <w:color w:val="231F20"/>
          <w:spacing w:val="-2"/>
          <w:w w:val="95"/>
          <w:sz w:val="17"/>
        </w:rPr>
        <w:t>48–49,</w:t>
      </w:r>
    </w:p>
    <w:p w14:paraId="6C33B060" w14:textId="77777777" w:rsidR="00AE0598" w:rsidRDefault="0069255A">
      <w:pPr>
        <w:spacing w:before="1"/>
        <w:ind w:left="470"/>
        <w:rPr>
          <w:sz w:val="17"/>
        </w:rPr>
      </w:pPr>
      <w:r>
        <w:rPr>
          <w:color w:val="231F20"/>
          <w:w w:val="95"/>
          <w:sz w:val="17"/>
        </w:rPr>
        <w:t>60,</w:t>
      </w:r>
      <w:r>
        <w:rPr>
          <w:color w:val="231F20"/>
          <w:spacing w:val="1"/>
          <w:sz w:val="17"/>
        </w:rPr>
        <w:t xml:space="preserve"> </w:t>
      </w:r>
      <w:r>
        <w:rPr>
          <w:color w:val="231F20"/>
          <w:w w:val="95"/>
          <w:sz w:val="17"/>
        </w:rPr>
        <w:t>62,</w:t>
      </w:r>
      <w:r>
        <w:rPr>
          <w:color w:val="231F20"/>
          <w:spacing w:val="1"/>
          <w:sz w:val="17"/>
        </w:rPr>
        <w:t xml:space="preserve"> </w:t>
      </w:r>
      <w:r>
        <w:rPr>
          <w:color w:val="231F20"/>
          <w:w w:val="95"/>
          <w:sz w:val="17"/>
        </w:rPr>
        <w:t>130,</w:t>
      </w:r>
      <w:r>
        <w:rPr>
          <w:color w:val="231F20"/>
          <w:spacing w:val="1"/>
          <w:sz w:val="17"/>
        </w:rPr>
        <w:t xml:space="preserve"> </w:t>
      </w:r>
      <w:r>
        <w:rPr>
          <w:color w:val="231F20"/>
          <w:w w:val="95"/>
          <w:sz w:val="17"/>
        </w:rPr>
        <w:t>155,</w:t>
      </w:r>
      <w:r>
        <w:rPr>
          <w:color w:val="231F20"/>
          <w:spacing w:val="1"/>
          <w:sz w:val="17"/>
        </w:rPr>
        <w:t xml:space="preserve"> </w:t>
      </w:r>
      <w:r>
        <w:rPr>
          <w:color w:val="231F20"/>
          <w:w w:val="95"/>
          <w:sz w:val="17"/>
        </w:rPr>
        <w:t>166,</w:t>
      </w:r>
      <w:r>
        <w:rPr>
          <w:color w:val="231F20"/>
          <w:spacing w:val="1"/>
          <w:sz w:val="17"/>
        </w:rPr>
        <w:t xml:space="preserve"> </w:t>
      </w:r>
      <w:r>
        <w:rPr>
          <w:color w:val="231F20"/>
          <w:w w:val="95"/>
          <w:sz w:val="17"/>
        </w:rPr>
        <w:t>176,</w:t>
      </w:r>
      <w:r>
        <w:rPr>
          <w:color w:val="231F20"/>
          <w:spacing w:val="1"/>
          <w:sz w:val="17"/>
        </w:rPr>
        <w:t xml:space="preserve"> </w:t>
      </w:r>
      <w:r>
        <w:rPr>
          <w:color w:val="231F20"/>
          <w:spacing w:val="-4"/>
          <w:w w:val="95"/>
          <w:sz w:val="17"/>
        </w:rPr>
        <w:t>210,</w:t>
      </w:r>
    </w:p>
    <w:p w14:paraId="1602461E" w14:textId="77777777" w:rsidR="00AE0598" w:rsidRDefault="0069255A">
      <w:pPr>
        <w:spacing w:before="1"/>
        <w:ind w:left="470"/>
        <w:rPr>
          <w:sz w:val="17"/>
        </w:rPr>
      </w:pPr>
      <w:r>
        <w:rPr>
          <w:color w:val="231F20"/>
          <w:w w:val="90"/>
          <w:sz w:val="17"/>
        </w:rPr>
        <w:t>230,</w:t>
      </w:r>
      <w:r>
        <w:rPr>
          <w:color w:val="231F20"/>
          <w:spacing w:val="23"/>
          <w:sz w:val="17"/>
        </w:rPr>
        <w:t xml:space="preserve"> </w:t>
      </w:r>
      <w:r>
        <w:rPr>
          <w:color w:val="231F20"/>
          <w:spacing w:val="-5"/>
          <w:sz w:val="17"/>
        </w:rPr>
        <w:t>233</w:t>
      </w:r>
    </w:p>
    <w:p w14:paraId="7048AE75" w14:textId="77777777" w:rsidR="00AE0598" w:rsidRDefault="0069255A">
      <w:pPr>
        <w:spacing w:before="1"/>
        <w:ind w:left="110"/>
        <w:rPr>
          <w:sz w:val="17"/>
        </w:rPr>
      </w:pPr>
      <w:r>
        <w:rPr>
          <w:color w:val="231F20"/>
          <w:w w:val="95"/>
          <w:sz w:val="17"/>
        </w:rPr>
        <w:t>participation</w:t>
      </w:r>
      <w:r>
        <w:rPr>
          <w:color w:val="231F20"/>
          <w:spacing w:val="12"/>
          <w:sz w:val="17"/>
        </w:rPr>
        <w:t xml:space="preserve"> </w:t>
      </w:r>
      <w:r>
        <w:rPr>
          <w:color w:val="231F20"/>
          <w:w w:val="95"/>
          <w:sz w:val="17"/>
        </w:rPr>
        <w:t>sports</w:t>
      </w:r>
      <w:r>
        <w:rPr>
          <w:color w:val="231F20"/>
          <w:spacing w:val="12"/>
          <w:sz w:val="17"/>
        </w:rPr>
        <w:t xml:space="preserve"> </w:t>
      </w:r>
      <w:r>
        <w:rPr>
          <w:color w:val="231F20"/>
          <w:w w:val="95"/>
          <w:sz w:val="17"/>
        </w:rPr>
        <w:t>event</w:t>
      </w:r>
      <w:r>
        <w:rPr>
          <w:color w:val="231F20"/>
          <w:spacing w:val="13"/>
          <w:sz w:val="17"/>
        </w:rPr>
        <w:t xml:space="preserve"> </w:t>
      </w:r>
      <w:r>
        <w:rPr>
          <w:color w:val="231F20"/>
          <w:w w:val="95"/>
          <w:sz w:val="17"/>
        </w:rPr>
        <w:t>50,</w:t>
      </w:r>
      <w:r>
        <w:rPr>
          <w:color w:val="231F20"/>
          <w:spacing w:val="12"/>
          <w:sz w:val="17"/>
        </w:rPr>
        <w:t xml:space="preserve"> </w:t>
      </w:r>
      <w:r>
        <w:rPr>
          <w:color w:val="231F20"/>
          <w:w w:val="95"/>
          <w:sz w:val="17"/>
        </w:rPr>
        <w:t>174,</w:t>
      </w:r>
      <w:r>
        <w:rPr>
          <w:color w:val="231F20"/>
          <w:spacing w:val="12"/>
          <w:sz w:val="17"/>
        </w:rPr>
        <w:t xml:space="preserve"> </w:t>
      </w:r>
      <w:r>
        <w:rPr>
          <w:color w:val="231F20"/>
          <w:spacing w:val="-4"/>
          <w:w w:val="95"/>
          <w:sz w:val="17"/>
        </w:rPr>
        <w:t>230,</w:t>
      </w:r>
    </w:p>
    <w:p w14:paraId="2F59BC3C" w14:textId="77777777" w:rsidR="00AE0598" w:rsidRDefault="0069255A">
      <w:pPr>
        <w:ind w:left="470"/>
        <w:rPr>
          <w:sz w:val="17"/>
        </w:rPr>
      </w:pPr>
      <w:r>
        <w:rPr>
          <w:color w:val="231F20"/>
          <w:spacing w:val="-5"/>
          <w:w w:val="95"/>
          <w:sz w:val="17"/>
        </w:rPr>
        <w:t>233</w:t>
      </w:r>
    </w:p>
    <w:p w14:paraId="20971BD8" w14:textId="77777777" w:rsidR="00AE0598" w:rsidRDefault="0069255A">
      <w:pPr>
        <w:spacing w:before="1"/>
        <w:ind w:left="110"/>
        <w:rPr>
          <w:sz w:val="17"/>
        </w:rPr>
      </w:pPr>
      <w:r>
        <w:rPr>
          <w:color w:val="231F20"/>
          <w:w w:val="95"/>
          <w:sz w:val="17"/>
        </w:rPr>
        <w:t>partnership</w:t>
      </w:r>
      <w:r>
        <w:rPr>
          <w:color w:val="231F20"/>
          <w:spacing w:val="1"/>
          <w:sz w:val="17"/>
        </w:rPr>
        <w:t xml:space="preserve"> </w:t>
      </w:r>
      <w:r>
        <w:rPr>
          <w:color w:val="231F20"/>
          <w:w w:val="95"/>
          <w:sz w:val="17"/>
        </w:rPr>
        <w:t>8,</w:t>
      </w:r>
      <w:r>
        <w:rPr>
          <w:color w:val="231F20"/>
          <w:spacing w:val="1"/>
          <w:sz w:val="17"/>
        </w:rPr>
        <w:t xml:space="preserve"> </w:t>
      </w:r>
      <w:r>
        <w:rPr>
          <w:color w:val="231F20"/>
          <w:w w:val="95"/>
          <w:sz w:val="17"/>
        </w:rPr>
        <w:t>62,</w:t>
      </w:r>
      <w:r>
        <w:rPr>
          <w:color w:val="231F20"/>
          <w:spacing w:val="1"/>
          <w:sz w:val="17"/>
        </w:rPr>
        <w:t xml:space="preserve"> </w:t>
      </w:r>
      <w:r>
        <w:rPr>
          <w:color w:val="231F20"/>
          <w:w w:val="95"/>
          <w:sz w:val="17"/>
        </w:rPr>
        <w:t>69,</w:t>
      </w:r>
      <w:r>
        <w:rPr>
          <w:color w:val="231F20"/>
          <w:spacing w:val="1"/>
          <w:sz w:val="17"/>
        </w:rPr>
        <w:t xml:space="preserve"> </w:t>
      </w:r>
      <w:r>
        <w:rPr>
          <w:color w:val="231F20"/>
          <w:w w:val="95"/>
          <w:sz w:val="17"/>
        </w:rPr>
        <w:t>81–85,</w:t>
      </w:r>
      <w:r>
        <w:rPr>
          <w:color w:val="231F20"/>
          <w:spacing w:val="1"/>
          <w:sz w:val="17"/>
        </w:rPr>
        <w:t xml:space="preserve"> </w:t>
      </w:r>
      <w:r>
        <w:rPr>
          <w:color w:val="231F20"/>
          <w:w w:val="95"/>
          <w:sz w:val="17"/>
        </w:rPr>
        <w:t>89,</w:t>
      </w:r>
      <w:r>
        <w:rPr>
          <w:color w:val="231F20"/>
          <w:spacing w:val="1"/>
          <w:sz w:val="17"/>
        </w:rPr>
        <w:t xml:space="preserve"> </w:t>
      </w:r>
      <w:r>
        <w:rPr>
          <w:color w:val="231F20"/>
          <w:w w:val="95"/>
          <w:sz w:val="17"/>
        </w:rPr>
        <w:t>181,</w:t>
      </w:r>
      <w:r>
        <w:rPr>
          <w:color w:val="231F20"/>
          <w:spacing w:val="1"/>
          <w:sz w:val="17"/>
        </w:rPr>
        <w:t xml:space="preserve"> </w:t>
      </w:r>
      <w:r>
        <w:rPr>
          <w:color w:val="231F20"/>
          <w:spacing w:val="-5"/>
          <w:w w:val="95"/>
          <w:sz w:val="17"/>
        </w:rPr>
        <w:t>237</w:t>
      </w:r>
    </w:p>
    <w:p w14:paraId="60140356" w14:textId="77777777" w:rsidR="00AE0598" w:rsidRDefault="0069255A">
      <w:pPr>
        <w:spacing w:before="1"/>
        <w:ind w:left="110"/>
        <w:rPr>
          <w:sz w:val="17"/>
        </w:rPr>
      </w:pPr>
      <w:r>
        <w:rPr>
          <w:color w:val="231F20"/>
          <w:w w:val="95"/>
          <w:sz w:val="17"/>
        </w:rPr>
        <w:t>passive</w:t>
      </w:r>
      <w:r>
        <w:rPr>
          <w:color w:val="231F20"/>
          <w:spacing w:val="3"/>
          <w:sz w:val="17"/>
        </w:rPr>
        <w:t xml:space="preserve"> </w:t>
      </w:r>
      <w:r>
        <w:rPr>
          <w:color w:val="231F20"/>
          <w:w w:val="95"/>
          <w:sz w:val="17"/>
        </w:rPr>
        <w:t>sport</w:t>
      </w:r>
      <w:r>
        <w:rPr>
          <w:color w:val="231F20"/>
          <w:spacing w:val="4"/>
          <w:sz w:val="17"/>
        </w:rPr>
        <w:t xml:space="preserve"> </w:t>
      </w:r>
      <w:r>
        <w:rPr>
          <w:color w:val="231F20"/>
          <w:w w:val="95"/>
          <w:sz w:val="17"/>
        </w:rPr>
        <w:t>tourist</w:t>
      </w:r>
      <w:r>
        <w:rPr>
          <w:color w:val="231F20"/>
          <w:spacing w:val="4"/>
          <w:sz w:val="17"/>
        </w:rPr>
        <w:t xml:space="preserve"> </w:t>
      </w:r>
      <w:r>
        <w:rPr>
          <w:color w:val="231F20"/>
          <w:w w:val="95"/>
          <w:sz w:val="17"/>
        </w:rPr>
        <w:t>40–41,</w:t>
      </w:r>
      <w:r>
        <w:rPr>
          <w:color w:val="231F20"/>
          <w:spacing w:val="4"/>
          <w:sz w:val="17"/>
        </w:rPr>
        <w:t xml:space="preserve"> </w:t>
      </w:r>
      <w:r>
        <w:rPr>
          <w:color w:val="231F20"/>
          <w:spacing w:val="-5"/>
          <w:w w:val="95"/>
          <w:sz w:val="17"/>
        </w:rPr>
        <w:t>156</w:t>
      </w:r>
    </w:p>
    <w:p w14:paraId="7AD0DA39" w14:textId="77777777" w:rsidR="00AE0598" w:rsidRDefault="0069255A">
      <w:pPr>
        <w:ind w:left="110"/>
        <w:rPr>
          <w:sz w:val="17"/>
        </w:rPr>
      </w:pPr>
      <w:r>
        <w:rPr>
          <w:color w:val="231F20"/>
          <w:w w:val="90"/>
          <w:sz w:val="17"/>
        </w:rPr>
        <w:t>Pele</w:t>
      </w:r>
      <w:r>
        <w:rPr>
          <w:color w:val="231F20"/>
          <w:spacing w:val="3"/>
          <w:sz w:val="17"/>
        </w:rPr>
        <w:t xml:space="preserve"> </w:t>
      </w:r>
      <w:r>
        <w:rPr>
          <w:color w:val="231F20"/>
          <w:spacing w:val="-5"/>
          <w:sz w:val="17"/>
        </w:rPr>
        <w:t>11</w:t>
      </w:r>
    </w:p>
    <w:p w14:paraId="3950B0B2" w14:textId="77777777" w:rsidR="00AE0598" w:rsidRDefault="0069255A">
      <w:pPr>
        <w:spacing w:before="1"/>
        <w:ind w:left="110"/>
        <w:rPr>
          <w:sz w:val="17"/>
        </w:rPr>
      </w:pPr>
      <w:r>
        <w:rPr>
          <w:color w:val="231F20"/>
          <w:w w:val="95"/>
          <w:sz w:val="17"/>
        </w:rPr>
        <w:t>peripheral</w:t>
      </w:r>
      <w:r>
        <w:rPr>
          <w:color w:val="231F20"/>
          <w:spacing w:val="5"/>
          <w:sz w:val="17"/>
        </w:rPr>
        <w:t xml:space="preserve"> </w:t>
      </w:r>
      <w:r>
        <w:rPr>
          <w:color w:val="231F20"/>
          <w:w w:val="95"/>
          <w:sz w:val="17"/>
        </w:rPr>
        <w:t>location</w:t>
      </w:r>
      <w:r>
        <w:rPr>
          <w:color w:val="231F20"/>
          <w:spacing w:val="6"/>
          <w:sz w:val="17"/>
        </w:rPr>
        <w:t xml:space="preserve"> </w:t>
      </w:r>
      <w:r>
        <w:rPr>
          <w:color w:val="231F20"/>
          <w:w w:val="95"/>
          <w:sz w:val="17"/>
        </w:rPr>
        <w:t>91,</w:t>
      </w:r>
      <w:r>
        <w:rPr>
          <w:color w:val="231F20"/>
          <w:spacing w:val="6"/>
          <w:sz w:val="17"/>
        </w:rPr>
        <w:t xml:space="preserve"> </w:t>
      </w:r>
      <w:r>
        <w:rPr>
          <w:color w:val="231F20"/>
          <w:w w:val="95"/>
          <w:sz w:val="17"/>
        </w:rPr>
        <w:t>108,</w:t>
      </w:r>
      <w:r>
        <w:rPr>
          <w:color w:val="231F20"/>
          <w:spacing w:val="5"/>
          <w:sz w:val="17"/>
        </w:rPr>
        <w:t xml:space="preserve"> </w:t>
      </w:r>
      <w:r>
        <w:rPr>
          <w:color w:val="231F20"/>
          <w:spacing w:val="-5"/>
          <w:w w:val="95"/>
          <w:sz w:val="17"/>
        </w:rPr>
        <w:t>151</w:t>
      </w:r>
    </w:p>
    <w:p w14:paraId="67977D65" w14:textId="77777777" w:rsidR="00AE0598" w:rsidRDefault="0069255A">
      <w:pPr>
        <w:spacing w:before="1"/>
        <w:ind w:left="110"/>
        <w:rPr>
          <w:sz w:val="17"/>
        </w:rPr>
      </w:pPr>
      <w:r>
        <w:rPr>
          <w:color w:val="231F20"/>
          <w:w w:val="95"/>
          <w:sz w:val="17"/>
        </w:rPr>
        <w:t>personal</w:t>
      </w:r>
      <w:r>
        <w:rPr>
          <w:color w:val="231F20"/>
          <w:spacing w:val="7"/>
          <w:sz w:val="17"/>
        </w:rPr>
        <w:t xml:space="preserve"> </w:t>
      </w:r>
      <w:r>
        <w:rPr>
          <w:color w:val="231F20"/>
          <w:w w:val="95"/>
          <w:sz w:val="17"/>
        </w:rPr>
        <w:t>identity</w:t>
      </w:r>
      <w:r>
        <w:rPr>
          <w:color w:val="231F20"/>
          <w:spacing w:val="7"/>
          <w:sz w:val="17"/>
        </w:rPr>
        <w:t xml:space="preserve"> </w:t>
      </w:r>
      <w:r>
        <w:rPr>
          <w:color w:val="231F20"/>
          <w:spacing w:val="-5"/>
          <w:w w:val="95"/>
          <w:sz w:val="17"/>
        </w:rPr>
        <w:t>160</w:t>
      </w:r>
    </w:p>
    <w:p w14:paraId="39B278A3" w14:textId="77777777" w:rsidR="00AE0598" w:rsidRDefault="0069255A">
      <w:pPr>
        <w:ind w:left="110"/>
        <w:rPr>
          <w:sz w:val="17"/>
        </w:rPr>
      </w:pPr>
      <w:r>
        <w:rPr>
          <w:color w:val="231F20"/>
          <w:w w:val="95"/>
          <w:sz w:val="17"/>
        </w:rPr>
        <w:t>physcial</w:t>
      </w:r>
      <w:r>
        <w:rPr>
          <w:color w:val="231F20"/>
          <w:spacing w:val="2"/>
          <w:sz w:val="17"/>
        </w:rPr>
        <w:t xml:space="preserve"> </w:t>
      </w:r>
      <w:r>
        <w:rPr>
          <w:color w:val="231F20"/>
          <w:w w:val="95"/>
          <w:sz w:val="17"/>
        </w:rPr>
        <w:t>prowess</w:t>
      </w:r>
      <w:r>
        <w:rPr>
          <w:color w:val="231F20"/>
          <w:spacing w:val="2"/>
          <w:sz w:val="17"/>
        </w:rPr>
        <w:t xml:space="preserve"> </w:t>
      </w:r>
      <w:r>
        <w:rPr>
          <w:color w:val="231F20"/>
          <w:w w:val="95"/>
          <w:sz w:val="17"/>
        </w:rPr>
        <w:t>20–23,</w:t>
      </w:r>
      <w:r>
        <w:rPr>
          <w:color w:val="231F20"/>
          <w:spacing w:val="2"/>
          <w:sz w:val="17"/>
        </w:rPr>
        <w:t xml:space="preserve"> </w:t>
      </w:r>
      <w:r>
        <w:rPr>
          <w:color w:val="231F20"/>
          <w:w w:val="95"/>
          <w:sz w:val="17"/>
        </w:rPr>
        <w:t>26,</w:t>
      </w:r>
      <w:r>
        <w:rPr>
          <w:color w:val="231F20"/>
          <w:spacing w:val="2"/>
          <w:sz w:val="17"/>
        </w:rPr>
        <w:t xml:space="preserve"> </w:t>
      </w:r>
      <w:r>
        <w:rPr>
          <w:color w:val="231F20"/>
          <w:w w:val="95"/>
          <w:sz w:val="17"/>
        </w:rPr>
        <w:t>37,</w:t>
      </w:r>
      <w:r>
        <w:rPr>
          <w:color w:val="231F20"/>
          <w:spacing w:val="2"/>
          <w:sz w:val="17"/>
        </w:rPr>
        <w:t xml:space="preserve"> </w:t>
      </w:r>
      <w:r>
        <w:rPr>
          <w:color w:val="231F20"/>
          <w:w w:val="95"/>
          <w:sz w:val="17"/>
        </w:rPr>
        <w:t>125,</w:t>
      </w:r>
      <w:r>
        <w:rPr>
          <w:color w:val="231F20"/>
          <w:spacing w:val="3"/>
          <w:sz w:val="17"/>
        </w:rPr>
        <w:t xml:space="preserve"> </w:t>
      </w:r>
      <w:r>
        <w:rPr>
          <w:color w:val="231F20"/>
          <w:spacing w:val="-5"/>
          <w:w w:val="95"/>
          <w:sz w:val="17"/>
        </w:rPr>
        <w:t>129</w:t>
      </w:r>
    </w:p>
    <w:p w14:paraId="0ECAE31A" w14:textId="77777777" w:rsidR="00AE0598" w:rsidRDefault="0069255A">
      <w:pPr>
        <w:spacing w:before="1"/>
        <w:ind w:left="110"/>
        <w:rPr>
          <w:sz w:val="17"/>
        </w:rPr>
      </w:pPr>
      <w:r>
        <w:rPr>
          <w:color w:val="231F20"/>
          <w:w w:val="95"/>
          <w:sz w:val="17"/>
        </w:rPr>
        <w:t>physical</w:t>
      </w:r>
      <w:r>
        <w:rPr>
          <w:color w:val="231F20"/>
          <w:spacing w:val="9"/>
          <w:sz w:val="17"/>
        </w:rPr>
        <w:t xml:space="preserve"> </w:t>
      </w:r>
      <w:r>
        <w:rPr>
          <w:color w:val="231F20"/>
          <w:w w:val="95"/>
          <w:sz w:val="17"/>
        </w:rPr>
        <w:t>activity</w:t>
      </w:r>
      <w:r>
        <w:rPr>
          <w:color w:val="231F20"/>
          <w:spacing w:val="9"/>
          <w:sz w:val="17"/>
        </w:rPr>
        <w:t xml:space="preserve"> </w:t>
      </w:r>
      <w:r>
        <w:rPr>
          <w:color w:val="231F20"/>
          <w:w w:val="95"/>
          <w:sz w:val="17"/>
        </w:rPr>
        <w:t>20,</w:t>
      </w:r>
      <w:r>
        <w:rPr>
          <w:color w:val="231F20"/>
          <w:spacing w:val="9"/>
          <w:sz w:val="17"/>
        </w:rPr>
        <w:t xml:space="preserve"> </w:t>
      </w:r>
      <w:r>
        <w:rPr>
          <w:color w:val="231F20"/>
          <w:w w:val="95"/>
          <w:sz w:val="17"/>
        </w:rPr>
        <w:t>54,</w:t>
      </w:r>
      <w:r>
        <w:rPr>
          <w:color w:val="231F20"/>
          <w:spacing w:val="9"/>
          <w:sz w:val="17"/>
        </w:rPr>
        <w:t xml:space="preserve"> </w:t>
      </w:r>
      <w:r>
        <w:rPr>
          <w:color w:val="231F20"/>
          <w:w w:val="95"/>
          <w:sz w:val="17"/>
        </w:rPr>
        <w:t>90,</w:t>
      </w:r>
      <w:r>
        <w:rPr>
          <w:color w:val="231F20"/>
          <w:spacing w:val="9"/>
          <w:sz w:val="17"/>
        </w:rPr>
        <w:t xml:space="preserve"> </w:t>
      </w:r>
      <w:r>
        <w:rPr>
          <w:color w:val="231F20"/>
          <w:w w:val="95"/>
          <w:sz w:val="17"/>
        </w:rPr>
        <w:t>102,</w:t>
      </w:r>
      <w:r>
        <w:rPr>
          <w:color w:val="231F20"/>
          <w:spacing w:val="9"/>
          <w:sz w:val="17"/>
        </w:rPr>
        <w:t xml:space="preserve"> </w:t>
      </w:r>
      <w:r>
        <w:rPr>
          <w:color w:val="231F20"/>
          <w:spacing w:val="-2"/>
          <w:w w:val="95"/>
          <w:sz w:val="17"/>
        </w:rPr>
        <w:t>112–113,</w:t>
      </w:r>
    </w:p>
    <w:p w14:paraId="187726C7" w14:textId="77777777" w:rsidR="00AE0598" w:rsidRDefault="0069255A">
      <w:pPr>
        <w:spacing w:before="1"/>
        <w:ind w:right="1231"/>
        <w:jc w:val="right"/>
        <w:rPr>
          <w:sz w:val="17"/>
        </w:rPr>
      </w:pPr>
      <w:r>
        <w:rPr>
          <w:color w:val="231F20"/>
          <w:w w:val="90"/>
          <w:sz w:val="17"/>
        </w:rPr>
        <w:t>130,</w:t>
      </w:r>
      <w:r>
        <w:rPr>
          <w:color w:val="231F20"/>
          <w:spacing w:val="21"/>
          <w:sz w:val="17"/>
        </w:rPr>
        <w:t xml:space="preserve"> </w:t>
      </w:r>
      <w:r>
        <w:rPr>
          <w:color w:val="231F20"/>
          <w:w w:val="90"/>
          <w:sz w:val="17"/>
        </w:rPr>
        <w:t>138,</w:t>
      </w:r>
      <w:r>
        <w:rPr>
          <w:color w:val="231F20"/>
          <w:spacing w:val="22"/>
          <w:sz w:val="17"/>
        </w:rPr>
        <w:t xml:space="preserve"> </w:t>
      </w:r>
      <w:r>
        <w:rPr>
          <w:color w:val="231F20"/>
          <w:w w:val="90"/>
          <w:sz w:val="17"/>
        </w:rPr>
        <w:t>220,</w:t>
      </w:r>
      <w:r>
        <w:rPr>
          <w:color w:val="231F20"/>
          <w:spacing w:val="22"/>
          <w:sz w:val="17"/>
        </w:rPr>
        <w:t xml:space="preserve"> </w:t>
      </w:r>
      <w:r>
        <w:rPr>
          <w:color w:val="231F20"/>
          <w:w w:val="90"/>
          <w:sz w:val="17"/>
        </w:rPr>
        <w:t>228,</w:t>
      </w:r>
      <w:r>
        <w:rPr>
          <w:color w:val="231F20"/>
          <w:spacing w:val="22"/>
          <w:sz w:val="17"/>
        </w:rPr>
        <w:t xml:space="preserve"> </w:t>
      </w:r>
      <w:r>
        <w:rPr>
          <w:color w:val="231F20"/>
          <w:spacing w:val="-5"/>
          <w:w w:val="90"/>
          <w:sz w:val="17"/>
        </w:rPr>
        <w:t>236</w:t>
      </w:r>
    </w:p>
    <w:p w14:paraId="2E175AF7" w14:textId="77777777" w:rsidR="00AE0598" w:rsidRDefault="0069255A">
      <w:pPr>
        <w:spacing w:before="1"/>
        <w:ind w:right="1262"/>
        <w:jc w:val="right"/>
        <w:rPr>
          <w:sz w:val="17"/>
        </w:rPr>
      </w:pPr>
      <w:r>
        <w:rPr>
          <w:color w:val="231F20"/>
          <w:w w:val="95"/>
          <w:sz w:val="17"/>
        </w:rPr>
        <w:t>pilgrimage</w:t>
      </w:r>
      <w:r>
        <w:rPr>
          <w:color w:val="231F20"/>
          <w:spacing w:val="-1"/>
          <w:sz w:val="17"/>
        </w:rPr>
        <w:t xml:space="preserve"> </w:t>
      </w:r>
      <w:r>
        <w:rPr>
          <w:color w:val="231F20"/>
          <w:w w:val="95"/>
          <w:sz w:val="17"/>
        </w:rPr>
        <w:t>61,</w:t>
      </w:r>
      <w:r>
        <w:rPr>
          <w:color w:val="231F20"/>
          <w:sz w:val="17"/>
        </w:rPr>
        <w:t xml:space="preserve"> </w:t>
      </w:r>
      <w:r>
        <w:rPr>
          <w:color w:val="231F20"/>
          <w:w w:val="95"/>
          <w:sz w:val="17"/>
        </w:rPr>
        <w:t>116,</w:t>
      </w:r>
      <w:r>
        <w:rPr>
          <w:color w:val="231F20"/>
          <w:spacing w:val="-1"/>
          <w:sz w:val="17"/>
        </w:rPr>
        <w:t xml:space="preserve"> </w:t>
      </w:r>
      <w:r>
        <w:rPr>
          <w:color w:val="231F20"/>
          <w:w w:val="95"/>
          <w:sz w:val="17"/>
        </w:rPr>
        <w:t>173,</w:t>
      </w:r>
      <w:r>
        <w:rPr>
          <w:color w:val="231F20"/>
          <w:sz w:val="17"/>
        </w:rPr>
        <w:t xml:space="preserve"> </w:t>
      </w:r>
      <w:r>
        <w:rPr>
          <w:color w:val="231F20"/>
          <w:spacing w:val="-5"/>
          <w:w w:val="95"/>
          <w:sz w:val="17"/>
        </w:rPr>
        <w:t>232</w:t>
      </w:r>
    </w:p>
    <w:p w14:paraId="510971D2" w14:textId="77777777" w:rsidR="00AE0598" w:rsidRDefault="0069255A">
      <w:pPr>
        <w:ind w:left="110"/>
        <w:rPr>
          <w:sz w:val="17"/>
        </w:rPr>
      </w:pPr>
      <w:r>
        <w:rPr>
          <w:color w:val="231F20"/>
          <w:w w:val="95"/>
          <w:sz w:val="17"/>
        </w:rPr>
        <w:t>place</w:t>
      </w:r>
      <w:r>
        <w:rPr>
          <w:color w:val="231F20"/>
          <w:spacing w:val="-3"/>
          <w:w w:val="95"/>
          <w:sz w:val="17"/>
        </w:rPr>
        <w:t xml:space="preserve"> </w:t>
      </w:r>
      <w:r>
        <w:rPr>
          <w:color w:val="231F20"/>
          <w:w w:val="95"/>
          <w:sz w:val="17"/>
        </w:rPr>
        <w:t>attachment</w:t>
      </w:r>
      <w:r>
        <w:rPr>
          <w:color w:val="231F20"/>
          <w:spacing w:val="-2"/>
          <w:w w:val="95"/>
          <w:sz w:val="17"/>
        </w:rPr>
        <w:t xml:space="preserve"> </w:t>
      </w:r>
      <w:r>
        <w:rPr>
          <w:color w:val="231F20"/>
          <w:w w:val="95"/>
          <w:sz w:val="17"/>
        </w:rPr>
        <w:t>113–114,</w:t>
      </w:r>
      <w:r>
        <w:rPr>
          <w:color w:val="231F20"/>
          <w:spacing w:val="-2"/>
          <w:w w:val="95"/>
          <w:sz w:val="17"/>
        </w:rPr>
        <w:t xml:space="preserve"> </w:t>
      </w:r>
      <w:r>
        <w:rPr>
          <w:color w:val="231F20"/>
          <w:w w:val="95"/>
          <w:sz w:val="17"/>
        </w:rPr>
        <w:t>116,</w:t>
      </w:r>
      <w:r>
        <w:rPr>
          <w:color w:val="231F20"/>
          <w:spacing w:val="-2"/>
          <w:w w:val="95"/>
          <w:sz w:val="17"/>
        </w:rPr>
        <w:t xml:space="preserve"> </w:t>
      </w:r>
      <w:r>
        <w:rPr>
          <w:color w:val="231F20"/>
          <w:spacing w:val="-5"/>
          <w:w w:val="95"/>
          <w:sz w:val="17"/>
        </w:rPr>
        <w:t>119</w:t>
      </w:r>
    </w:p>
    <w:p w14:paraId="7260790D" w14:textId="77777777" w:rsidR="00AE0598" w:rsidRDefault="0069255A">
      <w:pPr>
        <w:spacing w:before="1"/>
        <w:ind w:left="110"/>
        <w:rPr>
          <w:sz w:val="17"/>
        </w:rPr>
      </w:pPr>
      <w:r>
        <w:rPr>
          <w:color w:val="231F20"/>
          <w:w w:val="95"/>
          <w:sz w:val="17"/>
        </w:rPr>
        <w:t>place</w:t>
      </w:r>
      <w:r>
        <w:rPr>
          <w:color w:val="231F20"/>
          <w:spacing w:val="1"/>
          <w:sz w:val="17"/>
        </w:rPr>
        <w:t xml:space="preserve"> </w:t>
      </w:r>
      <w:r>
        <w:rPr>
          <w:color w:val="231F20"/>
          <w:w w:val="95"/>
          <w:sz w:val="17"/>
        </w:rPr>
        <w:t>brand/branding</w:t>
      </w:r>
      <w:r>
        <w:rPr>
          <w:color w:val="231F20"/>
          <w:spacing w:val="1"/>
          <w:sz w:val="17"/>
        </w:rPr>
        <w:t xml:space="preserve"> </w:t>
      </w:r>
      <w:r>
        <w:rPr>
          <w:color w:val="231F20"/>
          <w:w w:val="95"/>
          <w:sz w:val="17"/>
        </w:rPr>
        <w:t>76,</w:t>
      </w:r>
      <w:r>
        <w:rPr>
          <w:color w:val="231F20"/>
          <w:spacing w:val="2"/>
          <w:sz w:val="17"/>
        </w:rPr>
        <w:t xml:space="preserve"> </w:t>
      </w:r>
      <w:r>
        <w:rPr>
          <w:color w:val="231F20"/>
          <w:w w:val="95"/>
          <w:sz w:val="17"/>
        </w:rPr>
        <w:t>128,</w:t>
      </w:r>
      <w:r>
        <w:rPr>
          <w:color w:val="231F20"/>
          <w:spacing w:val="1"/>
          <w:sz w:val="17"/>
        </w:rPr>
        <w:t xml:space="preserve"> </w:t>
      </w:r>
      <w:r>
        <w:rPr>
          <w:color w:val="231F20"/>
          <w:spacing w:val="-5"/>
          <w:w w:val="95"/>
          <w:sz w:val="17"/>
        </w:rPr>
        <w:t>130</w:t>
      </w:r>
    </w:p>
    <w:p w14:paraId="7A10D9E9" w14:textId="77777777" w:rsidR="00AE0598" w:rsidRDefault="0069255A">
      <w:pPr>
        <w:spacing w:before="1"/>
        <w:ind w:left="110"/>
        <w:rPr>
          <w:sz w:val="17"/>
        </w:rPr>
      </w:pPr>
      <w:r>
        <w:rPr>
          <w:color w:val="231F20"/>
          <w:w w:val="90"/>
          <w:sz w:val="17"/>
        </w:rPr>
        <w:t>place</w:t>
      </w:r>
      <w:r>
        <w:rPr>
          <w:color w:val="231F20"/>
          <w:spacing w:val="15"/>
          <w:sz w:val="17"/>
        </w:rPr>
        <w:t xml:space="preserve"> </w:t>
      </w:r>
      <w:r>
        <w:rPr>
          <w:color w:val="231F20"/>
          <w:w w:val="90"/>
          <w:sz w:val="17"/>
        </w:rPr>
        <w:t>dependence</w:t>
      </w:r>
      <w:r>
        <w:rPr>
          <w:color w:val="231F20"/>
          <w:spacing w:val="16"/>
          <w:sz w:val="17"/>
        </w:rPr>
        <w:t xml:space="preserve"> </w:t>
      </w:r>
      <w:r>
        <w:rPr>
          <w:color w:val="231F20"/>
          <w:w w:val="90"/>
          <w:sz w:val="17"/>
        </w:rPr>
        <w:t>113,</w:t>
      </w:r>
      <w:r>
        <w:rPr>
          <w:color w:val="231F20"/>
          <w:spacing w:val="16"/>
          <w:sz w:val="17"/>
        </w:rPr>
        <w:t xml:space="preserve"> </w:t>
      </w:r>
      <w:r>
        <w:rPr>
          <w:color w:val="231F20"/>
          <w:w w:val="90"/>
          <w:sz w:val="17"/>
        </w:rPr>
        <w:t>115,</w:t>
      </w:r>
      <w:r>
        <w:rPr>
          <w:color w:val="231F20"/>
          <w:spacing w:val="16"/>
          <w:sz w:val="17"/>
        </w:rPr>
        <w:t xml:space="preserve"> </w:t>
      </w:r>
      <w:r>
        <w:rPr>
          <w:color w:val="231F20"/>
          <w:w w:val="90"/>
          <w:sz w:val="17"/>
        </w:rPr>
        <w:t>119,</w:t>
      </w:r>
      <w:r>
        <w:rPr>
          <w:color w:val="231F20"/>
          <w:spacing w:val="16"/>
          <w:sz w:val="17"/>
        </w:rPr>
        <w:t xml:space="preserve"> </w:t>
      </w:r>
      <w:r>
        <w:rPr>
          <w:color w:val="231F20"/>
          <w:spacing w:val="-5"/>
          <w:w w:val="90"/>
          <w:sz w:val="17"/>
        </w:rPr>
        <w:t>142</w:t>
      </w:r>
    </w:p>
    <w:p w14:paraId="7384B8F3" w14:textId="77777777" w:rsidR="00AE0598" w:rsidRDefault="0069255A">
      <w:pPr>
        <w:ind w:left="110"/>
        <w:rPr>
          <w:sz w:val="17"/>
        </w:rPr>
      </w:pPr>
      <w:r>
        <w:rPr>
          <w:color w:val="231F20"/>
          <w:w w:val="95"/>
          <w:sz w:val="17"/>
        </w:rPr>
        <w:t>place</w:t>
      </w:r>
      <w:r>
        <w:rPr>
          <w:color w:val="231F20"/>
          <w:spacing w:val="-2"/>
          <w:w w:val="95"/>
          <w:sz w:val="17"/>
        </w:rPr>
        <w:t xml:space="preserve"> </w:t>
      </w:r>
      <w:r>
        <w:rPr>
          <w:color w:val="231F20"/>
          <w:w w:val="95"/>
          <w:sz w:val="17"/>
        </w:rPr>
        <w:t>identity</w:t>
      </w:r>
      <w:r>
        <w:rPr>
          <w:color w:val="231F20"/>
          <w:spacing w:val="-1"/>
          <w:w w:val="95"/>
          <w:sz w:val="17"/>
        </w:rPr>
        <w:t xml:space="preserve"> </w:t>
      </w:r>
      <w:r>
        <w:rPr>
          <w:color w:val="231F20"/>
          <w:w w:val="95"/>
          <w:sz w:val="17"/>
        </w:rPr>
        <w:t>78,</w:t>
      </w:r>
      <w:r>
        <w:rPr>
          <w:color w:val="231F20"/>
          <w:spacing w:val="-2"/>
          <w:w w:val="95"/>
          <w:sz w:val="17"/>
        </w:rPr>
        <w:t xml:space="preserve"> </w:t>
      </w:r>
      <w:r>
        <w:rPr>
          <w:color w:val="231F20"/>
          <w:w w:val="95"/>
          <w:sz w:val="17"/>
        </w:rPr>
        <w:t>112–115,</w:t>
      </w:r>
      <w:r>
        <w:rPr>
          <w:color w:val="231F20"/>
          <w:spacing w:val="-1"/>
          <w:w w:val="95"/>
          <w:sz w:val="17"/>
        </w:rPr>
        <w:t xml:space="preserve"> </w:t>
      </w:r>
      <w:r>
        <w:rPr>
          <w:color w:val="231F20"/>
          <w:w w:val="95"/>
          <w:sz w:val="17"/>
        </w:rPr>
        <w:t>119,</w:t>
      </w:r>
      <w:r>
        <w:rPr>
          <w:color w:val="231F20"/>
          <w:spacing w:val="-2"/>
          <w:w w:val="95"/>
          <w:sz w:val="17"/>
        </w:rPr>
        <w:t xml:space="preserve"> 120–124,</w:t>
      </w:r>
    </w:p>
    <w:p w14:paraId="45B8457A" w14:textId="77777777" w:rsidR="00AE0598" w:rsidRDefault="0069255A">
      <w:pPr>
        <w:spacing w:before="1"/>
        <w:ind w:left="470"/>
        <w:rPr>
          <w:sz w:val="17"/>
        </w:rPr>
      </w:pPr>
      <w:r>
        <w:rPr>
          <w:color w:val="231F20"/>
          <w:w w:val="90"/>
          <w:sz w:val="17"/>
        </w:rPr>
        <w:t>127–128,</w:t>
      </w:r>
      <w:r>
        <w:rPr>
          <w:color w:val="231F20"/>
          <w:spacing w:val="15"/>
          <w:sz w:val="17"/>
        </w:rPr>
        <w:t xml:space="preserve"> </w:t>
      </w:r>
      <w:r>
        <w:rPr>
          <w:color w:val="231F20"/>
          <w:w w:val="90"/>
          <w:sz w:val="17"/>
        </w:rPr>
        <w:t>130,</w:t>
      </w:r>
      <w:r>
        <w:rPr>
          <w:color w:val="231F20"/>
          <w:spacing w:val="15"/>
          <w:sz w:val="17"/>
        </w:rPr>
        <w:t xml:space="preserve"> </w:t>
      </w:r>
      <w:r>
        <w:rPr>
          <w:color w:val="231F20"/>
          <w:w w:val="90"/>
          <w:sz w:val="17"/>
        </w:rPr>
        <w:t>211,</w:t>
      </w:r>
      <w:r>
        <w:rPr>
          <w:color w:val="231F20"/>
          <w:spacing w:val="15"/>
          <w:sz w:val="17"/>
        </w:rPr>
        <w:t xml:space="preserve"> </w:t>
      </w:r>
      <w:r>
        <w:rPr>
          <w:color w:val="231F20"/>
          <w:spacing w:val="-5"/>
          <w:w w:val="90"/>
          <w:sz w:val="17"/>
        </w:rPr>
        <w:t>232</w:t>
      </w:r>
    </w:p>
    <w:p w14:paraId="494E3542" w14:textId="77777777" w:rsidR="00AE0598" w:rsidRDefault="0069255A">
      <w:pPr>
        <w:spacing w:before="1"/>
        <w:ind w:left="110"/>
        <w:rPr>
          <w:sz w:val="17"/>
        </w:rPr>
      </w:pPr>
      <w:r>
        <w:rPr>
          <w:color w:val="231F20"/>
          <w:w w:val="95"/>
          <w:sz w:val="17"/>
        </w:rPr>
        <w:t>place</w:t>
      </w:r>
      <w:r>
        <w:rPr>
          <w:color w:val="231F20"/>
          <w:spacing w:val="2"/>
          <w:sz w:val="17"/>
        </w:rPr>
        <w:t xml:space="preserve"> </w:t>
      </w:r>
      <w:r>
        <w:rPr>
          <w:color w:val="231F20"/>
          <w:w w:val="95"/>
          <w:sz w:val="17"/>
        </w:rPr>
        <w:t>image</w:t>
      </w:r>
      <w:r>
        <w:rPr>
          <w:color w:val="231F20"/>
          <w:spacing w:val="2"/>
          <w:sz w:val="17"/>
        </w:rPr>
        <w:t xml:space="preserve"> </w:t>
      </w:r>
      <w:r>
        <w:rPr>
          <w:color w:val="231F20"/>
          <w:w w:val="95"/>
          <w:sz w:val="17"/>
        </w:rPr>
        <w:t>79,</w:t>
      </w:r>
      <w:r>
        <w:rPr>
          <w:color w:val="231F20"/>
          <w:spacing w:val="2"/>
          <w:sz w:val="17"/>
        </w:rPr>
        <w:t xml:space="preserve"> </w:t>
      </w:r>
      <w:r>
        <w:rPr>
          <w:color w:val="231F20"/>
          <w:spacing w:val="-5"/>
          <w:w w:val="95"/>
          <w:sz w:val="17"/>
        </w:rPr>
        <w:t>128</w:t>
      </w:r>
    </w:p>
    <w:p w14:paraId="585DF9F2" w14:textId="77777777" w:rsidR="00AE0598" w:rsidRDefault="0069255A">
      <w:pPr>
        <w:spacing w:before="1"/>
        <w:ind w:left="110"/>
        <w:rPr>
          <w:sz w:val="17"/>
        </w:rPr>
      </w:pPr>
      <w:r>
        <w:rPr>
          <w:color w:val="231F20"/>
          <w:w w:val="95"/>
          <w:sz w:val="17"/>
        </w:rPr>
        <w:t>place</w:t>
      </w:r>
      <w:r>
        <w:rPr>
          <w:color w:val="231F20"/>
          <w:spacing w:val="7"/>
          <w:sz w:val="17"/>
        </w:rPr>
        <w:t xml:space="preserve"> </w:t>
      </w:r>
      <w:r>
        <w:rPr>
          <w:color w:val="231F20"/>
          <w:w w:val="95"/>
          <w:sz w:val="17"/>
        </w:rPr>
        <w:t>promotion</w:t>
      </w:r>
      <w:r>
        <w:rPr>
          <w:color w:val="231F20"/>
          <w:spacing w:val="7"/>
          <w:sz w:val="17"/>
        </w:rPr>
        <w:t xml:space="preserve"> </w:t>
      </w:r>
      <w:r>
        <w:rPr>
          <w:color w:val="231F20"/>
          <w:w w:val="95"/>
          <w:sz w:val="17"/>
        </w:rPr>
        <w:t>10,</w:t>
      </w:r>
      <w:r>
        <w:rPr>
          <w:color w:val="231F20"/>
          <w:spacing w:val="8"/>
          <w:sz w:val="17"/>
        </w:rPr>
        <w:t xml:space="preserve"> </w:t>
      </w:r>
      <w:r>
        <w:rPr>
          <w:color w:val="231F20"/>
          <w:w w:val="95"/>
          <w:sz w:val="17"/>
        </w:rPr>
        <w:t>98,</w:t>
      </w:r>
      <w:r>
        <w:rPr>
          <w:color w:val="231F20"/>
          <w:spacing w:val="7"/>
          <w:sz w:val="17"/>
        </w:rPr>
        <w:t xml:space="preserve"> </w:t>
      </w:r>
      <w:r>
        <w:rPr>
          <w:color w:val="231F20"/>
          <w:spacing w:val="-5"/>
          <w:w w:val="95"/>
          <w:sz w:val="17"/>
        </w:rPr>
        <w:t>137</w:t>
      </w:r>
    </w:p>
    <w:p w14:paraId="284A9201" w14:textId="77777777" w:rsidR="00AE0598" w:rsidRDefault="0069255A">
      <w:pPr>
        <w:ind w:left="110"/>
        <w:rPr>
          <w:sz w:val="17"/>
        </w:rPr>
      </w:pPr>
      <w:r>
        <w:rPr>
          <w:color w:val="231F20"/>
          <w:w w:val="95"/>
          <w:sz w:val="17"/>
        </w:rPr>
        <w:t>political</w:t>
      </w:r>
      <w:r>
        <w:rPr>
          <w:color w:val="231F20"/>
          <w:spacing w:val="13"/>
          <w:sz w:val="17"/>
        </w:rPr>
        <w:t xml:space="preserve"> </w:t>
      </w:r>
      <w:r>
        <w:rPr>
          <w:color w:val="231F20"/>
          <w:w w:val="95"/>
          <w:sz w:val="17"/>
        </w:rPr>
        <w:t>trend</w:t>
      </w:r>
      <w:r>
        <w:rPr>
          <w:color w:val="231F20"/>
          <w:spacing w:val="13"/>
          <w:sz w:val="17"/>
        </w:rPr>
        <w:t xml:space="preserve"> </w:t>
      </w:r>
      <w:r>
        <w:rPr>
          <w:color w:val="231F20"/>
          <w:spacing w:val="-5"/>
          <w:w w:val="95"/>
          <w:sz w:val="17"/>
        </w:rPr>
        <w:t>217</w:t>
      </w:r>
    </w:p>
    <w:p w14:paraId="4FD00914" w14:textId="77777777" w:rsidR="00AE0598" w:rsidRDefault="0069255A">
      <w:pPr>
        <w:spacing w:before="1"/>
        <w:ind w:left="110"/>
        <w:rPr>
          <w:sz w:val="17"/>
        </w:rPr>
      </w:pPr>
      <w:r>
        <w:rPr>
          <w:color w:val="231F20"/>
          <w:w w:val="95"/>
          <w:sz w:val="17"/>
        </w:rPr>
        <w:t>Poole</w:t>
      </w:r>
      <w:r>
        <w:rPr>
          <w:color w:val="231F20"/>
          <w:spacing w:val="5"/>
          <w:sz w:val="17"/>
        </w:rPr>
        <w:t xml:space="preserve"> </w:t>
      </w:r>
      <w:r>
        <w:rPr>
          <w:color w:val="231F20"/>
          <w:spacing w:val="-2"/>
          <w:w w:val="95"/>
          <w:sz w:val="17"/>
        </w:rPr>
        <w:t>33–36</w:t>
      </w:r>
    </w:p>
    <w:p w14:paraId="7AF92080" w14:textId="77777777" w:rsidR="00AE0598" w:rsidRDefault="0069255A">
      <w:pPr>
        <w:spacing w:before="1"/>
        <w:ind w:left="110"/>
        <w:rPr>
          <w:sz w:val="17"/>
        </w:rPr>
      </w:pPr>
      <w:r>
        <w:rPr>
          <w:color w:val="231F20"/>
          <w:w w:val="95"/>
          <w:sz w:val="17"/>
        </w:rPr>
        <w:t>Portland</w:t>
      </w:r>
      <w:r>
        <w:rPr>
          <w:color w:val="231F20"/>
          <w:spacing w:val="15"/>
          <w:sz w:val="17"/>
        </w:rPr>
        <w:t xml:space="preserve"> </w:t>
      </w:r>
      <w:r>
        <w:rPr>
          <w:color w:val="231F20"/>
          <w:spacing w:val="-5"/>
          <w:sz w:val="17"/>
        </w:rPr>
        <w:t>35</w:t>
      </w:r>
    </w:p>
    <w:p w14:paraId="4260BF58" w14:textId="77777777" w:rsidR="00AE0598" w:rsidRDefault="0069255A">
      <w:pPr>
        <w:ind w:left="110"/>
        <w:rPr>
          <w:sz w:val="17"/>
        </w:rPr>
      </w:pPr>
      <w:r>
        <w:rPr>
          <w:color w:val="231F20"/>
          <w:w w:val="95"/>
          <w:sz w:val="17"/>
        </w:rPr>
        <w:t>positive</w:t>
      </w:r>
      <w:r>
        <w:rPr>
          <w:color w:val="231F20"/>
          <w:spacing w:val="7"/>
          <w:sz w:val="17"/>
        </w:rPr>
        <w:t xml:space="preserve"> </w:t>
      </w:r>
      <w:r>
        <w:rPr>
          <w:color w:val="231F20"/>
          <w:w w:val="95"/>
          <w:sz w:val="17"/>
        </w:rPr>
        <w:t>psychology</w:t>
      </w:r>
      <w:r>
        <w:rPr>
          <w:color w:val="231F20"/>
          <w:spacing w:val="7"/>
          <w:sz w:val="17"/>
        </w:rPr>
        <w:t xml:space="preserve"> </w:t>
      </w:r>
      <w:r>
        <w:rPr>
          <w:color w:val="231F20"/>
          <w:spacing w:val="-5"/>
          <w:w w:val="95"/>
          <w:sz w:val="17"/>
        </w:rPr>
        <w:t>31</w:t>
      </w:r>
    </w:p>
    <w:p w14:paraId="14995BBA" w14:textId="77777777" w:rsidR="00AE0598" w:rsidRDefault="0069255A">
      <w:pPr>
        <w:spacing w:before="1"/>
        <w:ind w:left="110"/>
        <w:rPr>
          <w:sz w:val="17"/>
        </w:rPr>
      </w:pPr>
      <w:r>
        <w:rPr>
          <w:color w:val="231F20"/>
          <w:w w:val="95"/>
          <w:sz w:val="17"/>
        </w:rPr>
        <w:t>post-modern</w:t>
      </w:r>
      <w:r>
        <w:rPr>
          <w:color w:val="231F20"/>
          <w:spacing w:val="8"/>
          <w:sz w:val="17"/>
        </w:rPr>
        <w:t xml:space="preserve"> </w:t>
      </w:r>
      <w:r>
        <w:rPr>
          <w:color w:val="231F20"/>
          <w:w w:val="95"/>
          <w:sz w:val="17"/>
        </w:rPr>
        <w:t>society</w:t>
      </w:r>
      <w:r>
        <w:rPr>
          <w:color w:val="231F20"/>
          <w:spacing w:val="8"/>
          <w:sz w:val="17"/>
        </w:rPr>
        <w:t xml:space="preserve"> </w:t>
      </w:r>
      <w:r>
        <w:rPr>
          <w:color w:val="231F20"/>
          <w:w w:val="95"/>
          <w:sz w:val="17"/>
        </w:rPr>
        <w:t>206,</w:t>
      </w:r>
      <w:r>
        <w:rPr>
          <w:color w:val="231F20"/>
          <w:spacing w:val="8"/>
          <w:sz w:val="17"/>
        </w:rPr>
        <w:t xml:space="preserve"> </w:t>
      </w:r>
      <w:r>
        <w:rPr>
          <w:color w:val="231F20"/>
          <w:spacing w:val="-5"/>
          <w:w w:val="95"/>
          <w:sz w:val="17"/>
        </w:rPr>
        <w:t>219</w:t>
      </w:r>
    </w:p>
    <w:p w14:paraId="5A60B05B" w14:textId="77777777" w:rsidR="00AE0598" w:rsidRDefault="0069255A">
      <w:pPr>
        <w:spacing w:before="1"/>
        <w:ind w:left="110"/>
        <w:rPr>
          <w:sz w:val="17"/>
        </w:rPr>
      </w:pPr>
      <w:r>
        <w:rPr>
          <w:color w:val="231F20"/>
          <w:w w:val="95"/>
          <w:sz w:val="17"/>
        </w:rPr>
        <w:t>post-modern</w:t>
      </w:r>
      <w:r>
        <w:rPr>
          <w:color w:val="231F20"/>
          <w:spacing w:val="3"/>
          <w:sz w:val="17"/>
        </w:rPr>
        <w:t xml:space="preserve"> </w:t>
      </w:r>
      <w:r>
        <w:rPr>
          <w:color w:val="231F20"/>
          <w:w w:val="95"/>
          <w:sz w:val="17"/>
        </w:rPr>
        <w:t>world</w:t>
      </w:r>
      <w:r>
        <w:rPr>
          <w:color w:val="231F20"/>
          <w:spacing w:val="4"/>
          <w:sz w:val="17"/>
        </w:rPr>
        <w:t xml:space="preserve"> </w:t>
      </w:r>
      <w:r>
        <w:rPr>
          <w:color w:val="231F20"/>
          <w:spacing w:val="-5"/>
          <w:w w:val="95"/>
          <w:sz w:val="17"/>
        </w:rPr>
        <w:t>115</w:t>
      </w:r>
    </w:p>
    <w:p w14:paraId="4A5A7F54" w14:textId="77777777" w:rsidR="00AE0598" w:rsidRDefault="0069255A">
      <w:pPr>
        <w:ind w:left="110"/>
        <w:rPr>
          <w:sz w:val="17"/>
        </w:rPr>
      </w:pPr>
      <w:r>
        <w:rPr>
          <w:color w:val="231F20"/>
          <w:w w:val="95"/>
          <w:sz w:val="17"/>
        </w:rPr>
        <w:t>postmodernism</w:t>
      </w:r>
      <w:r>
        <w:rPr>
          <w:color w:val="231F20"/>
          <w:spacing w:val="8"/>
          <w:sz w:val="17"/>
        </w:rPr>
        <w:t xml:space="preserve"> </w:t>
      </w:r>
      <w:r>
        <w:rPr>
          <w:color w:val="231F20"/>
          <w:spacing w:val="-5"/>
          <w:w w:val="95"/>
          <w:sz w:val="17"/>
        </w:rPr>
        <w:t>60</w:t>
      </w:r>
    </w:p>
    <w:p w14:paraId="0CD3A56A" w14:textId="77777777" w:rsidR="00AE0598" w:rsidRDefault="0069255A">
      <w:pPr>
        <w:spacing w:before="1"/>
        <w:ind w:left="110"/>
        <w:rPr>
          <w:sz w:val="17"/>
        </w:rPr>
      </w:pPr>
      <w:r>
        <w:rPr>
          <w:color w:val="231F20"/>
          <w:w w:val="95"/>
          <w:sz w:val="17"/>
        </w:rPr>
        <w:t>pricing</w:t>
      </w:r>
      <w:r>
        <w:rPr>
          <w:color w:val="231F20"/>
          <w:spacing w:val="5"/>
          <w:sz w:val="17"/>
        </w:rPr>
        <w:t xml:space="preserve"> </w:t>
      </w:r>
      <w:r>
        <w:rPr>
          <w:color w:val="231F20"/>
          <w:w w:val="95"/>
          <w:sz w:val="17"/>
        </w:rPr>
        <w:t>13,</w:t>
      </w:r>
      <w:r>
        <w:rPr>
          <w:color w:val="231F20"/>
          <w:spacing w:val="5"/>
          <w:sz w:val="17"/>
        </w:rPr>
        <w:t xml:space="preserve"> </w:t>
      </w:r>
      <w:r>
        <w:rPr>
          <w:color w:val="231F20"/>
          <w:w w:val="95"/>
          <w:sz w:val="17"/>
        </w:rPr>
        <w:t>186,</w:t>
      </w:r>
      <w:r>
        <w:rPr>
          <w:color w:val="231F20"/>
          <w:spacing w:val="6"/>
          <w:sz w:val="17"/>
        </w:rPr>
        <w:t xml:space="preserve"> </w:t>
      </w:r>
      <w:r>
        <w:rPr>
          <w:color w:val="231F20"/>
          <w:w w:val="95"/>
          <w:sz w:val="17"/>
        </w:rPr>
        <w:t>192,</w:t>
      </w:r>
      <w:r>
        <w:rPr>
          <w:color w:val="231F20"/>
          <w:spacing w:val="5"/>
          <w:sz w:val="17"/>
        </w:rPr>
        <w:t xml:space="preserve"> </w:t>
      </w:r>
      <w:r>
        <w:rPr>
          <w:color w:val="231F20"/>
          <w:spacing w:val="-5"/>
          <w:w w:val="95"/>
          <w:sz w:val="17"/>
        </w:rPr>
        <w:t>195</w:t>
      </w:r>
    </w:p>
    <w:p w14:paraId="2E7D9C90" w14:textId="77777777" w:rsidR="00AE0598" w:rsidRDefault="0069255A">
      <w:pPr>
        <w:spacing w:before="1"/>
        <w:ind w:left="110"/>
        <w:rPr>
          <w:sz w:val="17"/>
        </w:rPr>
      </w:pPr>
      <w:r>
        <w:rPr>
          <w:color w:val="231F20"/>
          <w:w w:val="95"/>
          <w:sz w:val="17"/>
        </w:rPr>
        <w:t>primary</w:t>
      </w:r>
      <w:r>
        <w:rPr>
          <w:color w:val="231F20"/>
          <w:spacing w:val="10"/>
          <w:sz w:val="17"/>
        </w:rPr>
        <w:t xml:space="preserve"> </w:t>
      </w:r>
      <w:r>
        <w:rPr>
          <w:color w:val="231F20"/>
          <w:w w:val="95"/>
          <w:sz w:val="17"/>
        </w:rPr>
        <w:t>attraction</w:t>
      </w:r>
      <w:r>
        <w:rPr>
          <w:color w:val="231F20"/>
          <w:spacing w:val="11"/>
          <w:sz w:val="17"/>
        </w:rPr>
        <w:t xml:space="preserve"> </w:t>
      </w:r>
      <w:r>
        <w:rPr>
          <w:color w:val="231F20"/>
          <w:w w:val="95"/>
          <w:sz w:val="17"/>
        </w:rPr>
        <w:t>24–25,</w:t>
      </w:r>
      <w:r>
        <w:rPr>
          <w:color w:val="231F20"/>
          <w:spacing w:val="11"/>
          <w:sz w:val="17"/>
        </w:rPr>
        <w:t xml:space="preserve"> </w:t>
      </w:r>
      <w:r>
        <w:rPr>
          <w:color w:val="231F20"/>
          <w:w w:val="95"/>
          <w:sz w:val="17"/>
        </w:rPr>
        <w:t>46,</w:t>
      </w:r>
      <w:r>
        <w:rPr>
          <w:color w:val="231F20"/>
          <w:spacing w:val="10"/>
          <w:sz w:val="17"/>
        </w:rPr>
        <w:t xml:space="preserve"> </w:t>
      </w:r>
      <w:r>
        <w:rPr>
          <w:color w:val="231F20"/>
          <w:w w:val="95"/>
          <w:sz w:val="17"/>
        </w:rPr>
        <w:t>186,</w:t>
      </w:r>
      <w:r>
        <w:rPr>
          <w:color w:val="231F20"/>
          <w:spacing w:val="11"/>
          <w:sz w:val="17"/>
        </w:rPr>
        <w:t xml:space="preserve"> </w:t>
      </w:r>
      <w:r>
        <w:rPr>
          <w:color w:val="231F20"/>
          <w:spacing w:val="-5"/>
          <w:w w:val="95"/>
          <w:sz w:val="17"/>
        </w:rPr>
        <w:t>196</w:t>
      </w:r>
    </w:p>
    <w:p w14:paraId="23EC1DFA" w14:textId="77777777" w:rsidR="00AE0598" w:rsidRDefault="0069255A">
      <w:pPr>
        <w:spacing w:before="1"/>
        <w:ind w:left="110" w:right="181"/>
        <w:rPr>
          <w:sz w:val="17"/>
        </w:rPr>
      </w:pPr>
      <w:r>
        <w:rPr>
          <w:color w:val="231F20"/>
          <w:sz w:val="17"/>
        </w:rPr>
        <w:t>professional athlete 6, 8, 143, 166</w:t>
      </w:r>
      <w:r>
        <w:rPr>
          <w:color w:val="231F20"/>
          <w:spacing w:val="40"/>
          <w:sz w:val="17"/>
        </w:rPr>
        <w:t xml:space="preserve"> </w:t>
      </w:r>
      <w:r>
        <w:rPr>
          <w:color w:val="231F20"/>
          <w:w w:val="95"/>
          <w:sz w:val="17"/>
        </w:rPr>
        <w:t>professional sports organisation (PSO) 41,</w:t>
      </w:r>
    </w:p>
    <w:p w14:paraId="3446B53F" w14:textId="77777777" w:rsidR="00AE0598" w:rsidRDefault="0069255A">
      <w:pPr>
        <w:spacing w:before="1"/>
        <w:ind w:left="470"/>
        <w:rPr>
          <w:sz w:val="17"/>
        </w:rPr>
      </w:pPr>
      <w:r>
        <w:rPr>
          <w:color w:val="231F20"/>
          <w:spacing w:val="-5"/>
          <w:w w:val="95"/>
          <w:sz w:val="17"/>
        </w:rPr>
        <w:t>157</w:t>
      </w:r>
    </w:p>
    <w:p w14:paraId="17A3F8EC" w14:textId="77777777" w:rsidR="00AE0598" w:rsidRDefault="0069255A">
      <w:pPr>
        <w:spacing w:before="1"/>
        <w:ind w:left="110"/>
        <w:rPr>
          <w:sz w:val="17"/>
        </w:rPr>
      </w:pPr>
      <w:r>
        <w:rPr>
          <w:color w:val="231F20"/>
          <w:w w:val="95"/>
          <w:sz w:val="17"/>
        </w:rPr>
        <w:t>professionalisation</w:t>
      </w:r>
      <w:r>
        <w:rPr>
          <w:color w:val="231F20"/>
          <w:spacing w:val="10"/>
          <w:sz w:val="17"/>
        </w:rPr>
        <w:t xml:space="preserve"> </w:t>
      </w:r>
      <w:r>
        <w:rPr>
          <w:color w:val="231F20"/>
          <w:w w:val="95"/>
          <w:sz w:val="17"/>
        </w:rPr>
        <w:t>6,</w:t>
      </w:r>
      <w:r>
        <w:rPr>
          <w:color w:val="231F20"/>
          <w:spacing w:val="10"/>
          <w:sz w:val="17"/>
        </w:rPr>
        <w:t xml:space="preserve"> </w:t>
      </w:r>
      <w:r>
        <w:rPr>
          <w:color w:val="231F20"/>
          <w:w w:val="95"/>
          <w:sz w:val="17"/>
        </w:rPr>
        <w:t>71,</w:t>
      </w:r>
      <w:r>
        <w:rPr>
          <w:color w:val="231F20"/>
          <w:spacing w:val="10"/>
          <w:sz w:val="17"/>
        </w:rPr>
        <w:t xml:space="preserve"> </w:t>
      </w:r>
      <w:r>
        <w:rPr>
          <w:color w:val="231F20"/>
          <w:w w:val="95"/>
          <w:sz w:val="17"/>
        </w:rPr>
        <w:t>94,</w:t>
      </w:r>
      <w:r>
        <w:rPr>
          <w:color w:val="231F20"/>
          <w:spacing w:val="10"/>
          <w:sz w:val="17"/>
        </w:rPr>
        <w:t xml:space="preserve"> </w:t>
      </w:r>
      <w:r>
        <w:rPr>
          <w:color w:val="231F20"/>
          <w:spacing w:val="-2"/>
          <w:w w:val="95"/>
          <w:sz w:val="17"/>
        </w:rPr>
        <w:t>181–182,</w:t>
      </w:r>
    </w:p>
    <w:p w14:paraId="089130B5" w14:textId="77777777" w:rsidR="00AE0598" w:rsidRDefault="0069255A">
      <w:pPr>
        <w:ind w:left="470"/>
        <w:rPr>
          <w:sz w:val="17"/>
        </w:rPr>
      </w:pPr>
      <w:r>
        <w:rPr>
          <w:color w:val="231F20"/>
          <w:spacing w:val="-2"/>
          <w:sz w:val="17"/>
        </w:rPr>
        <w:t>203–204</w:t>
      </w:r>
    </w:p>
    <w:p w14:paraId="4506415B" w14:textId="77777777" w:rsidR="00AE0598" w:rsidRDefault="0069255A">
      <w:pPr>
        <w:spacing w:before="1"/>
        <w:ind w:left="110"/>
        <w:rPr>
          <w:sz w:val="17"/>
        </w:rPr>
      </w:pPr>
      <w:r>
        <w:rPr>
          <w:color w:val="231F20"/>
          <w:w w:val="95"/>
          <w:sz w:val="17"/>
        </w:rPr>
        <w:t>promoter</w:t>
      </w:r>
      <w:r>
        <w:rPr>
          <w:color w:val="231F20"/>
          <w:spacing w:val="4"/>
          <w:sz w:val="17"/>
        </w:rPr>
        <w:t xml:space="preserve"> </w:t>
      </w:r>
      <w:r>
        <w:rPr>
          <w:color w:val="231F20"/>
          <w:w w:val="95"/>
          <w:sz w:val="17"/>
        </w:rPr>
        <w:t>8,</w:t>
      </w:r>
      <w:r>
        <w:rPr>
          <w:color w:val="231F20"/>
          <w:spacing w:val="5"/>
          <w:sz w:val="17"/>
        </w:rPr>
        <w:t xml:space="preserve"> </w:t>
      </w:r>
      <w:r>
        <w:rPr>
          <w:color w:val="231F20"/>
          <w:w w:val="95"/>
          <w:sz w:val="17"/>
        </w:rPr>
        <w:t>112,</w:t>
      </w:r>
      <w:r>
        <w:rPr>
          <w:color w:val="231F20"/>
          <w:spacing w:val="5"/>
          <w:sz w:val="17"/>
        </w:rPr>
        <w:t xml:space="preserve"> </w:t>
      </w:r>
      <w:r>
        <w:rPr>
          <w:color w:val="231F20"/>
          <w:spacing w:val="-5"/>
          <w:w w:val="95"/>
          <w:sz w:val="17"/>
        </w:rPr>
        <w:t>231</w:t>
      </w:r>
    </w:p>
    <w:p w14:paraId="1C062357" w14:textId="77777777" w:rsidR="00AE0598" w:rsidRDefault="0069255A">
      <w:pPr>
        <w:spacing w:before="1"/>
        <w:ind w:left="110"/>
        <w:rPr>
          <w:sz w:val="17"/>
        </w:rPr>
      </w:pPr>
      <w:r>
        <w:rPr>
          <w:color w:val="231F20"/>
          <w:w w:val="95"/>
          <w:sz w:val="17"/>
        </w:rPr>
        <w:t>public</w:t>
      </w:r>
      <w:r>
        <w:rPr>
          <w:color w:val="231F20"/>
          <w:sz w:val="17"/>
        </w:rPr>
        <w:t xml:space="preserve"> </w:t>
      </w:r>
      <w:r>
        <w:rPr>
          <w:color w:val="231F20"/>
          <w:w w:val="95"/>
          <w:sz w:val="17"/>
        </w:rPr>
        <w:t>sector</w:t>
      </w:r>
      <w:r>
        <w:rPr>
          <w:color w:val="231F20"/>
          <w:spacing w:val="3"/>
          <w:sz w:val="17"/>
        </w:rPr>
        <w:t xml:space="preserve"> </w:t>
      </w:r>
      <w:r>
        <w:rPr>
          <w:color w:val="231F20"/>
          <w:spacing w:val="-5"/>
          <w:w w:val="95"/>
          <w:sz w:val="17"/>
        </w:rPr>
        <w:t>81</w:t>
      </w:r>
    </w:p>
    <w:p w14:paraId="32868DEF" w14:textId="77777777" w:rsidR="00AE0598" w:rsidRDefault="0069255A">
      <w:pPr>
        <w:ind w:left="110"/>
        <w:rPr>
          <w:sz w:val="17"/>
        </w:rPr>
      </w:pPr>
      <w:r>
        <w:rPr>
          <w:color w:val="231F20"/>
          <w:w w:val="95"/>
          <w:sz w:val="17"/>
        </w:rPr>
        <w:t>public-private</w:t>
      </w:r>
      <w:r>
        <w:rPr>
          <w:color w:val="231F20"/>
          <w:spacing w:val="7"/>
          <w:sz w:val="17"/>
        </w:rPr>
        <w:t xml:space="preserve"> </w:t>
      </w:r>
      <w:r>
        <w:rPr>
          <w:color w:val="231F20"/>
          <w:w w:val="95"/>
          <w:sz w:val="17"/>
        </w:rPr>
        <w:t>partnership</w:t>
      </w:r>
      <w:r>
        <w:rPr>
          <w:color w:val="231F20"/>
          <w:spacing w:val="7"/>
          <w:sz w:val="17"/>
        </w:rPr>
        <w:t xml:space="preserve"> </w:t>
      </w:r>
      <w:r>
        <w:rPr>
          <w:color w:val="231F20"/>
          <w:spacing w:val="-10"/>
          <w:w w:val="95"/>
          <w:sz w:val="17"/>
        </w:rPr>
        <w:t>8</w:t>
      </w:r>
    </w:p>
    <w:p w14:paraId="6EFFCEAE" w14:textId="77777777" w:rsidR="00AE0598" w:rsidRDefault="0069255A">
      <w:pPr>
        <w:spacing w:before="1"/>
        <w:ind w:left="110"/>
        <w:rPr>
          <w:sz w:val="17"/>
        </w:rPr>
      </w:pPr>
      <w:r>
        <w:rPr>
          <w:color w:val="231F20"/>
          <w:w w:val="95"/>
          <w:sz w:val="17"/>
        </w:rPr>
        <w:t>Purbeck</w:t>
      </w:r>
      <w:r>
        <w:rPr>
          <w:color w:val="231F20"/>
          <w:spacing w:val="25"/>
          <w:sz w:val="17"/>
        </w:rPr>
        <w:t xml:space="preserve"> </w:t>
      </w:r>
      <w:r>
        <w:rPr>
          <w:color w:val="231F20"/>
          <w:w w:val="95"/>
          <w:sz w:val="17"/>
        </w:rPr>
        <w:t>Hills</w:t>
      </w:r>
      <w:r>
        <w:rPr>
          <w:color w:val="231F20"/>
          <w:spacing w:val="25"/>
          <w:sz w:val="17"/>
        </w:rPr>
        <w:t xml:space="preserve"> </w:t>
      </w:r>
      <w:r>
        <w:rPr>
          <w:color w:val="231F20"/>
          <w:spacing w:val="-5"/>
          <w:w w:val="95"/>
          <w:sz w:val="17"/>
        </w:rPr>
        <w:t>34</w:t>
      </w:r>
    </w:p>
    <w:p w14:paraId="66A8E6A4" w14:textId="77777777" w:rsidR="00AE0598" w:rsidRDefault="00AE0598">
      <w:pPr>
        <w:pStyle w:val="Corpodetexto"/>
        <w:spacing w:before="3"/>
        <w:rPr>
          <w:sz w:val="16"/>
        </w:rPr>
      </w:pPr>
    </w:p>
    <w:p w14:paraId="78A4FE1D" w14:textId="77777777" w:rsidR="00AE0598" w:rsidRDefault="0069255A">
      <w:pPr>
        <w:ind w:left="110"/>
        <w:rPr>
          <w:sz w:val="17"/>
        </w:rPr>
      </w:pPr>
      <w:r>
        <w:rPr>
          <w:color w:val="231F20"/>
          <w:w w:val="95"/>
          <w:sz w:val="17"/>
        </w:rPr>
        <w:t>Queenstown</w:t>
      </w:r>
      <w:r>
        <w:rPr>
          <w:color w:val="231F20"/>
          <w:spacing w:val="31"/>
          <w:sz w:val="17"/>
        </w:rPr>
        <w:t xml:space="preserve"> </w:t>
      </w:r>
      <w:r>
        <w:rPr>
          <w:color w:val="231F20"/>
          <w:spacing w:val="-5"/>
          <w:sz w:val="17"/>
        </w:rPr>
        <w:t>171</w:t>
      </w:r>
    </w:p>
    <w:p w14:paraId="6CB584E3" w14:textId="77777777" w:rsidR="00AE0598" w:rsidRDefault="00AE0598">
      <w:pPr>
        <w:pStyle w:val="Corpodetexto"/>
        <w:spacing w:before="3"/>
        <w:rPr>
          <w:sz w:val="16"/>
        </w:rPr>
      </w:pPr>
    </w:p>
    <w:p w14:paraId="0AB7D71A" w14:textId="77777777" w:rsidR="00AE0598" w:rsidRDefault="0069255A">
      <w:pPr>
        <w:ind w:left="110"/>
        <w:rPr>
          <w:sz w:val="17"/>
        </w:rPr>
      </w:pPr>
      <w:r>
        <w:rPr>
          <w:color w:val="231F20"/>
          <w:w w:val="95"/>
          <w:sz w:val="17"/>
        </w:rPr>
        <w:t>race</w:t>
      </w:r>
      <w:r>
        <w:rPr>
          <w:color w:val="231F20"/>
          <w:spacing w:val="-4"/>
          <w:w w:val="95"/>
          <w:sz w:val="17"/>
        </w:rPr>
        <w:t xml:space="preserve"> </w:t>
      </w:r>
      <w:r>
        <w:rPr>
          <w:color w:val="231F20"/>
          <w:w w:val="95"/>
          <w:sz w:val="17"/>
        </w:rPr>
        <w:t>61,</w:t>
      </w:r>
      <w:r>
        <w:rPr>
          <w:color w:val="231F20"/>
          <w:spacing w:val="-4"/>
          <w:w w:val="95"/>
          <w:sz w:val="17"/>
        </w:rPr>
        <w:t xml:space="preserve"> </w:t>
      </w:r>
      <w:r>
        <w:rPr>
          <w:color w:val="231F20"/>
          <w:w w:val="95"/>
          <w:sz w:val="17"/>
        </w:rPr>
        <w:t>67,</w:t>
      </w:r>
      <w:r>
        <w:rPr>
          <w:color w:val="231F20"/>
          <w:spacing w:val="-3"/>
          <w:w w:val="95"/>
          <w:sz w:val="17"/>
        </w:rPr>
        <w:t xml:space="preserve"> </w:t>
      </w:r>
      <w:r>
        <w:rPr>
          <w:color w:val="231F20"/>
          <w:w w:val="95"/>
          <w:sz w:val="17"/>
        </w:rPr>
        <w:t>74,</w:t>
      </w:r>
      <w:r>
        <w:rPr>
          <w:color w:val="231F20"/>
          <w:spacing w:val="-4"/>
          <w:w w:val="95"/>
          <w:sz w:val="17"/>
        </w:rPr>
        <w:t xml:space="preserve"> </w:t>
      </w:r>
      <w:r>
        <w:rPr>
          <w:color w:val="231F20"/>
          <w:w w:val="95"/>
          <w:sz w:val="17"/>
        </w:rPr>
        <w:t>97,</w:t>
      </w:r>
      <w:r>
        <w:rPr>
          <w:color w:val="231F20"/>
          <w:spacing w:val="-3"/>
          <w:w w:val="95"/>
          <w:sz w:val="17"/>
        </w:rPr>
        <w:t xml:space="preserve"> </w:t>
      </w:r>
      <w:r>
        <w:rPr>
          <w:color w:val="231F20"/>
          <w:w w:val="95"/>
          <w:sz w:val="17"/>
        </w:rPr>
        <w:t>136,</w:t>
      </w:r>
      <w:r>
        <w:rPr>
          <w:color w:val="231F20"/>
          <w:spacing w:val="-4"/>
          <w:w w:val="95"/>
          <w:sz w:val="17"/>
        </w:rPr>
        <w:t xml:space="preserve"> </w:t>
      </w:r>
      <w:r>
        <w:rPr>
          <w:color w:val="231F20"/>
          <w:w w:val="95"/>
          <w:sz w:val="17"/>
        </w:rPr>
        <w:t>140,</w:t>
      </w:r>
      <w:r>
        <w:rPr>
          <w:color w:val="231F20"/>
          <w:spacing w:val="-3"/>
          <w:w w:val="95"/>
          <w:sz w:val="17"/>
        </w:rPr>
        <w:t xml:space="preserve"> </w:t>
      </w:r>
      <w:r>
        <w:rPr>
          <w:color w:val="231F20"/>
          <w:w w:val="95"/>
          <w:sz w:val="17"/>
        </w:rPr>
        <w:t>147,</w:t>
      </w:r>
      <w:r>
        <w:rPr>
          <w:color w:val="231F20"/>
          <w:spacing w:val="-4"/>
          <w:w w:val="95"/>
          <w:sz w:val="17"/>
        </w:rPr>
        <w:t xml:space="preserve"> </w:t>
      </w:r>
      <w:r>
        <w:rPr>
          <w:color w:val="231F20"/>
          <w:w w:val="95"/>
          <w:sz w:val="17"/>
        </w:rPr>
        <w:t>168,</w:t>
      </w:r>
      <w:r>
        <w:rPr>
          <w:color w:val="231F20"/>
          <w:spacing w:val="-4"/>
          <w:w w:val="95"/>
          <w:sz w:val="17"/>
        </w:rPr>
        <w:t xml:space="preserve"> 171,</w:t>
      </w:r>
    </w:p>
    <w:p w14:paraId="49C3C3CE" w14:textId="77777777" w:rsidR="00AE0598" w:rsidRDefault="0069255A">
      <w:pPr>
        <w:spacing w:before="1"/>
        <w:ind w:left="470"/>
        <w:rPr>
          <w:sz w:val="17"/>
        </w:rPr>
      </w:pPr>
      <w:r>
        <w:rPr>
          <w:color w:val="231F20"/>
          <w:w w:val="90"/>
          <w:sz w:val="17"/>
        </w:rPr>
        <w:t>174–175,</w:t>
      </w:r>
      <w:r>
        <w:rPr>
          <w:color w:val="231F20"/>
          <w:spacing w:val="16"/>
          <w:sz w:val="17"/>
        </w:rPr>
        <w:t xml:space="preserve"> </w:t>
      </w:r>
      <w:r>
        <w:rPr>
          <w:color w:val="231F20"/>
          <w:w w:val="90"/>
          <w:sz w:val="17"/>
        </w:rPr>
        <w:t>192–193,</w:t>
      </w:r>
      <w:r>
        <w:rPr>
          <w:color w:val="231F20"/>
          <w:spacing w:val="17"/>
          <w:sz w:val="17"/>
        </w:rPr>
        <w:t xml:space="preserve"> </w:t>
      </w:r>
      <w:r>
        <w:rPr>
          <w:color w:val="231F20"/>
          <w:w w:val="90"/>
          <w:sz w:val="17"/>
        </w:rPr>
        <w:t>200,</w:t>
      </w:r>
      <w:r>
        <w:rPr>
          <w:color w:val="231F20"/>
          <w:spacing w:val="17"/>
          <w:sz w:val="17"/>
        </w:rPr>
        <w:t xml:space="preserve"> </w:t>
      </w:r>
      <w:r>
        <w:rPr>
          <w:color w:val="231F20"/>
          <w:spacing w:val="-5"/>
          <w:w w:val="90"/>
          <w:sz w:val="17"/>
        </w:rPr>
        <w:t>236</w:t>
      </w:r>
    </w:p>
    <w:p w14:paraId="763B9AFC" w14:textId="77777777" w:rsidR="00AE0598" w:rsidRDefault="0069255A">
      <w:pPr>
        <w:spacing w:before="1"/>
        <w:ind w:left="110"/>
        <w:rPr>
          <w:sz w:val="17"/>
        </w:rPr>
      </w:pPr>
      <w:r>
        <w:rPr>
          <w:color w:val="231F20"/>
          <w:w w:val="95"/>
          <w:sz w:val="17"/>
        </w:rPr>
        <w:t>recreational</w:t>
      </w:r>
      <w:r>
        <w:rPr>
          <w:color w:val="231F20"/>
          <w:spacing w:val="4"/>
          <w:sz w:val="17"/>
        </w:rPr>
        <w:t xml:space="preserve"> </w:t>
      </w:r>
      <w:r>
        <w:rPr>
          <w:color w:val="231F20"/>
          <w:w w:val="95"/>
          <w:sz w:val="17"/>
        </w:rPr>
        <w:t>athlete</w:t>
      </w:r>
      <w:r>
        <w:rPr>
          <w:color w:val="231F20"/>
          <w:spacing w:val="5"/>
          <w:sz w:val="17"/>
        </w:rPr>
        <w:t xml:space="preserve"> </w:t>
      </w:r>
      <w:r>
        <w:rPr>
          <w:color w:val="231F20"/>
          <w:spacing w:val="-5"/>
          <w:w w:val="95"/>
          <w:sz w:val="17"/>
        </w:rPr>
        <w:t>24</w:t>
      </w:r>
    </w:p>
    <w:p w14:paraId="67B5BDFD" w14:textId="77777777" w:rsidR="00AE0598" w:rsidRDefault="00AE0598">
      <w:pPr>
        <w:rPr>
          <w:sz w:val="17"/>
        </w:rPr>
        <w:sectPr w:rsidR="00AE0598">
          <w:type w:val="continuous"/>
          <w:pgSz w:w="8850" w:h="13270"/>
          <w:pgMar w:top="1080" w:right="1060" w:bottom="280" w:left="1080" w:header="720" w:footer="720" w:gutter="0"/>
          <w:cols w:num="2" w:space="720" w:equalWidth="0">
            <w:col w:w="3170" w:space="182"/>
            <w:col w:w="3358"/>
          </w:cols>
        </w:sectPr>
      </w:pPr>
    </w:p>
    <w:p w14:paraId="42468A45" w14:textId="77777777" w:rsidR="00AE0598" w:rsidRDefault="0069255A">
      <w:pPr>
        <w:spacing w:before="87"/>
        <w:ind w:left="110" w:right="128"/>
        <w:jc w:val="right"/>
        <w:rPr>
          <w:rFonts w:ascii="Trebuchet MS"/>
          <w:sz w:val="14"/>
        </w:rPr>
      </w:pPr>
      <w:r>
        <w:rPr>
          <w:rFonts w:ascii="Trebuchet MS"/>
          <w:color w:val="231F20"/>
          <w:w w:val="105"/>
          <w:sz w:val="14"/>
        </w:rPr>
        <w:t>Index</w:t>
      </w:r>
      <w:r>
        <w:rPr>
          <w:rFonts w:ascii="Trebuchet MS"/>
          <w:color w:val="231F20"/>
          <w:spacing w:val="75"/>
          <w:w w:val="150"/>
          <w:sz w:val="14"/>
        </w:rPr>
        <w:t xml:space="preserve"> </w:t>
      </w:r>
      <w:r>
        <w:rPr>
          <w:rFonts w:ascii="Trebuchet MS"/>
          <w:color w:val="231F20"/>
          <w:spacing w:val="-5"/>
          <w:w w:val="105"/>
          <w:sz w:val="14"/>
        </w:rPr>
        <w:t>285</w:t>
      </w:r>
    </w:p>
    <w:p w14:paraId="27336078" w14:textId="77777777" w:rsidR="00AE0598" w:rsidRDefault="00AE0598">
      <w:pPr>
        <w:pStyle w:val="Corpodetexto"/>
        <w:rPr>
          <w:rFonts w:ascii="Trebuchet MS"/>
          <w:sz w:val="18"/>
        </w:rPr>
      </w:pPr>
    </w:p>
    <w:p w14:paraId="7908A88B" w14:textId="77777777" w:rsidR="00AE0598" w:rsidRDefault="00AE0598">
      <w:pPr>
        <w:rPr>
          <w:rFonts w:ascii="Trebuchet MS"/>
          <w:sz w:val="18"/>
        </w:rPr>
        <w:sectPr w:rsidR="00AE0598">
          <w:pgSz w:w="8850" w:h="13270"/>
          <w:pgMar w:top="720" w:right="1060" w:bottom="280" w:left="1080" w:header="720" w:footer="720" w:gutter="0"/>
          <w:cols w:space="720"/>
        </w:sectPr>
      </w:pPr>
    </w:p>
    <w:p w14:paraId="5C36CB3D" w14:textId="77777777" w:rsidR="00AE0598" w:rsidRDefault="0069255A">
      <w:pPr>
        <w:spacing w:before="98"/>
        <w:ind w:left="110"/>
        <w:rPr>
          <w:sz w:val="17"/>
        </w:rPr>
      </w:pPr>
      <w:r>
        <w:rPr>
          <w:color w:val="231F20"/>
          <w:w w:val="95"/>
          <w:sz w:val="17"/>
        </w:rPr>
        <w:t>recreational</w:t>
      </w:r>
      <w:r>
        <w:rPr>
          <w:color w:val="231F20"/>
          <w:spacing w:val="5"/>
          <w:sz w:val="17"/>
        </w:rPr>
        <w:t xml:space="preserve"> </w:t>
      </w:r>
      <w:r>
        <w:rPr>
          <w:color w:val="231F20"/>
          <w:w w:val="95"/>
          <w:sz w:val="17"/>
        </w:rPr>
        <w:t>sport</w:t>
      </w:r>
      <w:r>
        <w:rPr>
          <w:color w:val="231F20"/>
          <w:spacing w:val="6"/>
          <w:sz w:val="17"/>
        </w:rPr>
        <w:t xml:space="preserve"> </w:t>
      </w:r>
      <w:r>
        <w:rPr>
          <w:color w:val="231F20"/>
          <w:w w:val="95"/>
          <w:sz w:val="17"/>
        </w:rPr>
        <w:t>7,</w:t>
      </w:r>
      <w:r>
        <w:rPr>
          <w:color w:val="231F20"/>
          <w:spacing w:val="6"/>
          <w:sz w:val="17"/>
        </w:rPr>
        <w:t xml:space="preserve"> </w:t>
      </w:r>
      <w:r>
        <w:rPr>
          <w:color w:val="231F20"/>
          <w:w w:val="95"/>
          <w:sz w:val="17"/>
        </w:rPr>
        <w:t>8,</w:t>
      </w:r>
      <w:r>
        <w:rPr>
          <w:color w:val="231F20"/>
          <w:spacing w:val="6"/>
          <w:sz w:val="17"/>
        </w:rPr>
        <w:t xml:space="preserve"> </w:t>
      </w:r>
      <w:r>
        <w:rPr>
          <w:color w:val="231F20"/>
          <w:w w:val="95"/>
          <w:sz w:val="17"/>
        </w:rPr>
        <w:t>12,</w:t>
      </w:r>
      <w:r>
        <w:rPr>
          <w:color w:val="231F20"/>
          <w:spacing w:val="6"/>
          <w:sz w:val="17"/>
        </w:rPr>
        <w:t xml:space="preserve"> </w:t>
      </w:r>
      <w:r>
        <w:rPr>
          <w:color w:val="231F20"/>
          <w:w w:val="95"/>
          <w:sz w:val="17"/>
        </w:rPr>
        <w:t>20–21,</w:t>
      </w:r>
      <w:r>
        <w:rPr>
          <w:color w:val="231F20"/>
          <w:spacing w:val="6"/>
          <w:sz w:val="17"/>
        </w:rPr>
        <w:t xml:space="preserve"> </w:t>
      </w:r>
      <w:r>
        <w:rPr>
          <w:color w:val="231F20"/>
          <w:spacing w:val="-5"/>
          <w:w w:val="95"/>
          <w:sz w:val="17"/>
        </w:rPr>
        <w:t>43,</w:t>
      </w:r>
    </w:p>
    <w:p w14:paraId="3D1FCEFC" w14:textId="77777777" w:rsidR="00AE0598" w:rsidRDefault="0069255A">
      <w:pPr>
        <w:ind w:left="470"/>
        <w:rPr>
          <w:sz w:val="17"/>
        </w:rPr>
      </w:pPr>
      <w:r>
        <w:rPr>
          <w:color w:val="231F20"/>
          <w:w w:val="90"/>
          <w:sz w:val="17"/>
        </w:rPr>
        <w:t>48–62,</w:t>
      </w:r>
      <w:r>
        <w:rPr>
          <w:color w:val="231F20"/>
          <w:spacing w:val="21"/>
          <w:sz w:val="17"/>
        </w:rPr>
        <w:t xml:space="preserve"> </w:t>
      </w:r>
      <w:r>
        <w:rPr>
          <w:color w:val="231F20"/>
          <w:w w:val="90"/>
          <w:sz w:val="17"/>
        </w:rPr>
        <w:t>155,</w:t>
      </w:r>
      <w:r>
        <w:rPr>
          <w:color w:val="231F20"/>
          <w:spacing w:val="21"/>
          <w:sz w:val="17"/>
        </w:rPr>
        <w:t xml:space="preserve"> </w:t>
      </w:r>
      <w:r>
        <w:rPr>
          <w:color w:val="231F20"/>
          <w:w w:val="90"/>
          <w:sz w:val="17"/>
        </w:rPr>
        <w:t>171–177,</w:t>
      </w:r>
      <w:r>
        <w:rPr>
          <w:color w:val="231F20"/>
          <w:spacing w:val="21"/>
          <w:sz w:val="17"/>
        </w:rPr>
        <w:t xml:space="preserve"> </w:t>
      </w:r>
      <w:r>
        <w:rPr>
          <w:color w:val="231F20"/>
          <w:w w:val="90"/>
          <w:sz w:val="17"/>
        </w:rPr>
        <w:t>207–208,</w:t>
      </w:r>
      <w:r>
        <w:rPr>
          <w:color w:val="231F20"/>
          <w:spacing w:val="21"/>
          <w:sz w:val="17"/>
        </w:rPr>
        <w:t xml:space="preserve"> </w:t>
      </w:r>
      <w:r>
        <w:rPr>
          <w:color w:val="231F20"/>
          <w:spacing w:val="-4"/>
          <w:w w:val="90"/>
          <w:sz w:val="17"/>
        </w:rPr>
        <w:t>230,</w:t>
      </w:r>
    </w:p>
    <w:p w14:paraId="08545BA3" w14:textId="77777777" w:rsidR="00AE0598" w:rsidRDefault="0069255A">
      <w:pPr>
        <w:spacing w:before="1"/>
        <w:ind w:left="470"/>
        <w:rPr>
          <w:sz w:val="17"/>
        </w:rPr>
      </w:pPr>
      <w:r>
        <w:rPr>
          <w:color w:val="231F20"/>
          <w:w w:val="90"/>
          <w:sz w:val="17"/>
        </w:rPr>
        <w:t>233,</w:t>
      </w:r>
      <w:r>
        <w:rPr>
          <w:color w:val="231F20"/>
          <w:spacing w:val="18"/>
          <w:sz w:val="17"/>
        </w:rPr>
        <w:t xml:space="preserve"> </w:t>
      </w:r>
      <w:r>
        <w:rPr>
          <w:color w:val="231F20"/>
          <w:spacing w:val="-5"/>
          <w:sz w:val="17"/>
        </w:rPr>
        <w:t>235</w:t>
      </w:r>
    </w:p>
    <w:p w14:paraId="274C37A3" w14:textId="77777777" w:rsidR="00AE0598" w:rsidRDefault="0069255A">
      <w:pPr>
        <w:spacing w:before="1"/>
        <w:ind w:left="110"/>
        <w:rPr>
          <w:sz w:val="17"/>
        </w:rPr>
      </w:pPr>
      <w:r>
        <w:rPr>
          <w:color w:val="231F20"/>
          <w:sz w:val="17"/>
        </w:rPr>
        <w:t>Red</w:t>
      </w:r>
      <w:r>
        <w:rPr>
          <w:color w:val="231F20"/>
          <w:spacing w:val="3"/>
          <w:sz w:val="17"/>
        </w:rPr>
        <w:t xml:space="preserve"> </w:t>
      </w:r>
      <w:r>
        <w:rPr>
          <w:color w:val="231F20"/>
          <w:sz w:val="17"/>
        </w:rPr>
        <w:t>Bull</w:t>
      </w:r>
      <w:r>
        <w:rPr>
          <w:color w:val="231F20"/>
          <w:spacing w:val="3"/>
          <w:sz w:val="17"/>
        </w:rPr>
        <w:t xml:space="preserve"> </w:t>
      </w:r>
      <w:r>
        <w:rPr>
          <w:color w:val="231F20"/>
          <w:spacing w:val="-5"/>
          <w:sz w:val="17"/>
        </w:rPr>
        <w:t>207</w:t>
      </w:r>
    </w:p>
    <w:p w14:paraId="31FF1D44" w14:textId="77777777" w:rsidR="00AE0598" w:rsidRDefault="0069255A">
      <w:pPr>
        <w:ind w:left="110"/>
        <w:rPr>
          <w:sz w:val="17"/>
        </w:rPr>
      </w:pPr>
      <w:r>
        <w:rPr>
          <w:color w:val="231F20"/>
          <w:w w:val="95"/>
          <w:sz w:val="17"/>
        </w:rPr>
        <w:t>reproducibility</w:t>
      </w:r>
      <w:r>
        <w:rPr>
          <w:color w:val="231F20"/>
          <w:spacing w:val="14"/>
          <w:sz w:val="17"/>
        </w:rPr>
        <w:t xml:space="preserve"> </w:t>
      </w:r>
      <w:r>
        <w:rPr>
          <w:color w:val="231F20"/>
          <w:spacing w:val="-2"/>
          <w:sz w:val="17"/>
        </w:rPr>
        <w:t>138–139</w:t>
      </w:r>
    </w:p>
    <w:p w14:paraId="23128442" w14:textId="77777777" w:rsidR="00AE0598" w:rsidRDefault="0069255A">
      <w:pPr>
        <w:spacing w:before="1"/>
        <w:ind w:left="110"/>
        <w:rPr>
          <w:sz w:val="17"/>
        </w:rPr>
      </w:pPr>
      <w:r>
        <w:rPr>
          <w:color w:val="231F20"/>
          <w:w w:val="90"/>
          <w:sz w:val="17"/>
        </w:rPr>
        <w:t>resource</w:t>
      </w:r>
      <w:r>
        <w:rPr>
          <w:color w:val="231F20"/>
          <w:spacing w:val="17"/>
          <w:sz w:val="17"/>
        </w:rPr>
        <w:t xml:space="preserve"> </w:t>
      </w:r>
      <w:r>
        <w:rPr>
          <w:color w:val="231F20"/>
          <w:w w:val="90"/>
          <w:sz w:val="17"/>
        </w:rPr>
        <w:t>requirement</w:t>
      </w:r>
      <w:r>
        <w:rPr>
          <w:color w:val="231F20"/>
          <w:spacing w:val="19"/>
          <w:sz w:val="17"/>
        </w:rPr>
        <w:t xml:space="preserve"> </w:t>
      </w:r>
      <w:r>
        <w:rPr>
          <w:color w:val="231F20"/>
          <w:w w:val="90"/>
          <w:sz w:val="17"/>
        </w:rPr>
        <w:t>40,</w:t>
      </w:r>
      <w:r>
        <w:rPr>
          <w:color w:val="231F20"/>
          <w:spacing w:val="19"/>
          <w:sz w:val="17"/>
        </w:rPr>
        <w:t xml:space="preserve"> </w:t>
      </w:r>
      <w:r>
        <w:rPr>
          <w:color w:val="231F20"/>
          <w:w w:val="90"/>
          <w:sz w:val="17"/>
        </w:rPr>
        <w:t>89,</w:t>
      </w:r>
      <w:r>
        <w:rPr>
          <w:color w:val="231F20"/>
          <w:spacing w:val="19"/>
          <w:sz w:val="17"/>
        </w:rPr>
        <w:t xml:space="preserve"> </w:t>
      </w:r>
      <w:r>
        <w:rPr>
          <w:color w:val="231F20"/>
          <w:w w:val="90"/>
          <w:sz w:val="17"/>
        </w:rPr>
        <w:t>109,</w:t>
      </w:r>
      <w:r>
        <w:rPr>
          <w:color w:val="231F20"/>
          <w:spacing w:val="19"/>
          <w:sz w:val="17"/>
        </w:rPr>
        <w:t xml:space="preserve"> </w:t>
      </w:r>
      <w:r>
        <w:rPr>
          <w:color w:val="231F20"/>
          <w:w w:val="90"/>
          <w:sz w:val="17"/>
        </w:rPr>
        <w:t>133,</w:t>
      </w:r>
      <w:r>
        <w:rPr>
          <w:color w:val="231F20"/>
          <w:spacing w:val="19"/>
          <w:sz w:val="17"/>
        </w:rPr>
        <w:t xml:space="preserve"> </w:t>
      </w:r>
      <w:r>
        <w:rPr>
          <w:color w:val="231F20"/>
          <w:spacing w:val="-4"/>
          <w:w w:val="90"/>
          <w:sz w:val="17"/>
        </w:rPr>
        <w:t>135,</w:t>
      </w:r>
    </w:p>
    <w:p w14:paraId="1868A78E" w14:textId="77777777" w:rsidR="00AE0598" w:rsidRDefault="0069255A">
      <w:pPr>
        <w:spacing w:before="1"/>
        <w:ind w:left="470"/>
        <w:rPr>
          <w:sz w:val="17"/>
        </w:rPr>
      </w:pPr>
      <w:r>
        <w:rPr>
          <w:color w:val="231F20"/>
          <w:w w:val="90"/>
          <w:sz w:val="17"/>
        </w:rPr>
        <w:t>137,</w:t>
      </w:r>
      <w:r>
        <w:rPr>
          <w:color w:val="231F20"/>
          <w:spacing w:val="-1"/>
          <w:sz w:val="17"/>
        </w:rPr>
        <w:t xml:space="preserve"> </w:t>
      </w:r>
      <w:r>
        <w:rPr>
          <w:color w:val="231F20"/>
          <w:spacing w:val="-5"/>
          <w:sz w:val="17"/>
        </w:rPr>
        <w:t>231</w:t>
      </w:r>
    </w:p>
    <w:p w14:paraId="01F0A252" w14:textId="77777777" w:rsidR="00AE0598" w:rsidRDefault="0069255A">
      <w:pPr>
        <w:ind w:left="110"/>
        <w:rPr>
          <w:sz w:val="17"/>
        </w:rPr>
      </w:pPr>
      <w:r>
        <w:rPr>
          <w:color w:val="231F20"/>
          <w:w w:val="90"/>
          <w:sz w:val="17"/>
        </w:rPr>
        <w:t>revenue</w:t>
      </w:r>
      <w:r>
        <w:rPr>
          <w:color w:val="231F20"/>
          <w:spacing w:val="25"/>
          <w:sz w:val="17"/>
        </w:rPr>
        <w:t xml:space="preserve"> </w:t>
      </w:r>
      <w:r>
        <w:rPr>
          <w:color w:val="231F20"/>
          <w:w w:val="90"/>
          <w:sz w:val="17"/>
        </w:rPr>
        <w:t>generation</w:t>
      </w:r>
      <w:r>
        <w:rPr>
          <w:color w:val="231F20"/>
          <w:spacing w:val="25"/>
          <w:sz w:val="17"/>
        </w:rPr>
        <w:t xml:space="preserve"> </w:t>
      </w:r>
      <w:r>
        <w:rPr>
          <w:color w:val="231F20"/>
          <w:spacing w:val="-5"/>
          <w:w w:val="90"/>
          <w:sz w:val="17"/>
        </w:rPr>
        <w:t>105</w:t>
      </w:r>
    </w:p>
    <w:p w14:paraId="078FCBF4" w14:textId="77777777" w:rsidR="00AE0598" w:rsidRDefault="0069255A">
      <w:pPr>
        <w:spacing w:before="1"/>
        <w:ind w:left="110"/>
        <w:rPr>
          <w:sz w:val="17"/>
        </w:rPr>
      </w:pPr>
      <w:r>
        <w:rPr>
          <w:color w:val="231F20"/>
          <w:w w:val="95"/>
          <w:sz w:val="17"/>
        </w:rPr>
        <w:t>Rio</w:t>
      </w:r>
      <w:r>
        <w:rPr>
          <w:color w:val="231F20"/>
          <w:spacing w:val="10"/>
          <w:sz w:val="17"/>
        </w:rPr>
        <w:t xml:space="preserve"> </w:t>
      </w:r>
      <w:r>
        <w:rPr>
          <w:color w:val="231F20"/>
          <w:w w:val="95"/>
          <w:sz w:val="17"/>
        </w:rPr>
        <w:t>de</w:t>
      </w:r>
      <w:r>
        <w:rPr>
          <w:color w:val="231F20"/>
          <w:spacing w:val="11"/>
          <w:sz w:val="17"/>
        </w:rPr>
        <w:t xml:space="preserve"> </w:t>
      </w:r>
      <w:r>
        <w:rPr>
          <w:color w:val="231F20"/>
          <w:w w:val="95"/>
          <w:sz w:val="17"/>
        </w:rPr>
        <w:t>Janeiro</w:t>
      </w:r>
      <w:r>
        <w:rPr>
          <w:color w:val="231F20"/>
          <w:spacing w:val="10"/>
          <w:sz w:val="17"/>
        </w:rPr>
        <w:t xml:space="preserve"> </w:t>
      </w:r>
      <w:r>
        <w:rPr>
          <w:color w:val="231F20"/>
          <w:w w:val="95"/>
          <w:sz w:val="17"/>
        </w:rPr>
        <w:t>98,</w:t>
      </w:r>
      <w:r>
        <w:rPr>
          <w:color w:val="231F20"/>
          <w:spacing w:val="11"/>
          <w:sz w:val="17"/>
        </w:rPr>
        <w:t xml:space="preserve"> </w:t>
      </w:r>
      <w:r>
        <w:rPr>
          <w:color w:val="231F20"/>
          <w:w w:val="95"/>
          <w:sz w:val="17"/>
        </w:rPr>
        <w:t>103–104,</w:t>
      </w:r>
      <w:r>
        <w:rPr>
          <w:color w:val="231F20"/>
          <w:spacing w:val="10"/>
          <w:sz w:val="17"/>
        </w:rPr>
        <w:t xml:space="preserve"> </w:t>
      </w:r>
      <w:r>
        <w:rPr>
          <w:color w:val="231F20"/>
          <w:spacing w:val="-5"/>
          <w:w w:val="95"/>
          <w:sz w:val="17"/>
        </w:rPr>
        <w:t>232</w:t>
      </w:r>
    </w:p>
    <w:p w14:paraId="329010E8" w14:textId="77777777" w:rsidR="00AE0598" w:rsidRDefault="0069255A">
      <w:pPr>
        <w:spacing w:before="1"/>
        <w:ind w:left="110" w:right="874"/>
        <w:rPr>
          <w:sz w:val="17"/>
        </w:rPr>
      </w:pPr>
      <w:r>
        <w:rPr>
          <w:color w:val="231F20"/>
          <w:sz w:val="17"/>
        </w:rPr>
        <w:t>rock climbing 34, 138, 205</w:t>
      </w:r>
      <w:r>
        <w:rPr>
          <w:color w:val="231F20"/>
          <w:spacing w:val="40"/>
          <w:sz w:val="17"/>
        </w:rPr>
        <w:t xml:space="preserve"> </w:t>
      </w:r>
      <w:r>
        <w:rPr>
          <w:color w:val="231F20"/>
          <w:sz w:val="17"/>
        </w:rPr>
        <w:t>Rock</w:t>
      </w:r>
      <w:r>
        <w:rPr>
          <w:color w:val="231F20"/>
          <w:spacing w:val="-4"/>
          <w:sz w:val="17"/>
        </w:rPr>
        <w:t xml:space="preserve"> </w:t>
      </w:r>
      <w:r>
        <w:rPr>
          <w:color w:val="231F20"/>
          <w:sz w:val="17"/>
        </w:rPr>
        <w:t>Reef</w:t>
      </w:r>
      <w:r>
        <w:rPr>
          <w:color w:val="231F20"/>
          <w:spacing w:val="-4"/>
          <w:sz w:val="17"/>
        </w:rPr>
        <w:t xml:space="preserve"> </w:t>
      </w:r>
      <w:r>
        <w:rPr>
          <w:color w:val="231F20"/>
          <w:sz w:val="17"/>
        </w:rPr>
        <w:t>Activity</w:t>
      </w:r>
      <w:r>
        <w:rPr>
          <w:color w:val="231F20"/>
          <w:spacing w:val="-4"/>
          <w:sz w:val="17"/>
        </w:rPr>
        <w:t xml:space="preserve"> </w:t>
      </w:r>
      <w:r>
        <w:rPr>
          <w:color w:val="231F20"/>
          <w:sz w:val="17"/>
        </w:rPr>
        <w:t>Centre</w:t>
      </w:r>
      <w:r>
        <w:rPr>
          <w:color w:val="231F20"/>
          <w:spacing w:val="-4"/>
          <w:sz w:val="17"/>
        </w:rPr>
        <w:t xml:space="preserve"> </w:t>
      </w:r>
      <w:r>
        <w:rPr>
          <w:color w:val="231F20"/>
          <w:sz w:val="17"/>
        </w:rPr>
        <w:t>34</w:t>
      </w:r>
      <w:r>
        <w:rPr>
          <w:color w:val="231F20"/>
          <w:spacing w:val="40"/>
          <w:sz w:val="17"/>
        </w:rPr>
        <w:t xml:space="preserve"> </w:t>
      </w:r>
      <w:r>
        <w:rPr>
          <w:color w:val="231F20"/>
          <w:sz w:val="17"/>
        </w:rPr>
        <w:t>Royal Ascot 11</w:t>
      </w:r>
    </w:p>
    <w:p w14:paraId="5BE566C4" w14:textId="77777777" w:rsidR="00AE0598" w:rsidRDefault="0069255A">
      <w:pPr>
        <w:spacing w:before="2"/>
        <w:ind w:left="110"/>
        <w:rPr>
          <w:sz w:val="17"/>
        </w:rPr>
      </w:pPr>
      <w:r>
        <w:rPr>
          <w:color w:val="231F20"/>
          <w:w w:val="95"/>
          <w:sz w:val="17"/>
        </w:rPr>
        <w:t>rugby</w:t>
      </w:r>
      <w:r>
        <w:rPr>
          <w:color w:val="231F20"/>
          <w:spacing w:val="3"/>
          <w:sz w:val="17"/>
        </w:rPr>
        <w:t xml:space="preserve"> </w:t>
      </w:r>
      <w:r>
        <w:rPr>
          <w:color w:val="231F20"/>
          <w:w w:val="95"/>
          <w:sz w:val="17"/>
        </w:rPr>
        <w:t>league</w:t>
      </w:r>
      <w:r>
        <w:rPr>
          <w:color w:val="231F20"/>
          <w:spacing w:val="3"/>
          <w:sz w:val="17"/>
        </w:rPr>
        <w:t xml:space="preserve"> </w:t>
      </w:r>
      <w:r>
        <w:rPr>
          <w:color w:val="231F20"/>
          <w:w w:val="95"/>
          <w:sz w:val="17"/>
        </w:rPr>
        <w:t>52,</w:t>
      </w:r>
      <w:r>
        <w:rPr>
          <w:color w:val="231F20"/>
          <w:spacing w:val="3"/>
          <w:sz w:val="17"/>
        </w:rPr>
        <w:t xml:space="preserve"> </w:t>
      </w:r>
      <w:r>
        <w:rPr>
          <w:color w:val="231F20"/>
          <w:w w:val="95"/>
          <w:sz w:val="17"/>
        </w:rPr>
        <w:t>81,</w:t>
      </w:r>
      <w:r>
        <w:rPr>
          <w:color w:val="231F20"/>
          <w:spacing w:val="3"/>
          <w:sz w:val="17"/>
        </w:rPr>
        <w:t xml:space="preserve"> </w:t>
      </w:r>
      <w:r>
        <w:rPr>
          <w:color w:val="231F20"/>
          <w:w w:val="95"/>
          <w:sz w:val="17"/>
        </w:rPr>
        <w:t>97,</w:t>
      </w:r>
      <w:r>
        <w:rPr>
          <w:color w:val="231F20"/>
          <w:spacing w:val="3"/>
          <w:sz w:val="17"/>
        </w:rPr>
        <w:t xml:space="preserve"> </w:t>
      </w:r>
      <w:r>
        <w:rPr>
          <w:color w:val="231F20"/>
          <w:spacing w:val="-5"/>
          <w:w w:val="95"/>
          <w:sz w:val="17"/>
        </w:rPr>
        <w:t>182</w:t>
      </w:r>
    </w:p>
    <w:p w14:paraId="0AA45DA3" w14:textId="77777777" w:rsidR="00AE0598" w:rsidRDefault="0069255A">
      <w:pPr>
        <w:spacing w:before="1"/>
        <w:ind w:left="110"/>
        <w:rPr>
          <w:sz w:val="17"/>
        </w:rPr>
      </w:pPr>
      <w:r>
        <w:rPr>
          <w:color w:val="231F20"/>
          <w:w w:val="95"/>
          <w:sz w:val="17"/>
        </w:rPr>
        <w:t>Rugby</w:t>
      </w:r>
      <w:r>
        <w:rPr>
          <w:color w:val="231F20"/>
          <w:spacing w:val="7"/>
          <w:sz w:val="17"/>
        </w:rPr>
        <w:t xml:space="preserve"> </w:t>
      </w:r>
      <w:r>
        <w:rPr>
          <w:color w:val="231F20"/>
          <w:w w:val="95"/>
          <w:sz w:val="17"/>
        </w:rPr>
        <w:t>Sevens</w:t>
      </w:r>
      <w:r>
        <w:rPr>
          <w:color w:val="231F20"/>
          <w:spacing w:val="8"/>
          <w:sz w:val="17"/>
        </w:rPr>
        <w:t xml:space="preserve"> </w:t>
      </w:r>
      <w:r>
        <w:rPr>
          <w:color w:val="231F20"/>
          <w:spacing w:val="-5"/>
          <w:w w:val="95"/>
          <w:sz w:val="17"/>
        </w:rPr>
        <w:t>11</w:t>
      </w:r>
    </w:p>
    <w:p w14:paraId="5EA8EBB6" w14:textId="77777777" w:rsidR="00AE0598" w:rsidRDefault="0069255A">
      <w:pPr>
        <w:ind w:left="110"/>
        <w:rPr>
          <w:sz w:val="17"/>
        </w:rPr>
      </w:pPr>
      <w:r>
        <w:rPr>
          <w:color w:val="231F20"/>
          <w:w w:val="95"/>
          <w:sz w:val="17"/>
        </w:rPr>
        <w:t>rugby</w:t>
      </w:r>
      <w:r>
        <w:rPr>
          <w:color w:val="231F20"/>
          <w:spacing w:val="7"/>
          <w:sz w:val="17"/>
        </w:rPr>
        <w:t xml:space="preserve"> </w:t>
      </w:r>
      <w:r>
        <w:rPr>
          <w:color w:val="231F20"/>
          <w:w w:val="95"/>
          <w:sz w:val="17"/>
        </w:rPr>
        <w:t>union</w:t>
      </w:r>
      <w:r>
        <w:rPr>
          <w:color w:val="231F20"/>
          <w:spacing w:val="7"/>
          <w:sz w:val="17"/>
        </w:rPr>
        <w:t xml:space="preserve"> </w:t>
      </w:r>
      <w:r>
        <w:rPr>
          <w:color w:val="231F20"/>
          <w:w w:val="95"/>
          <w:sz w:val="17"/>
        </w:rPr>
        <w:t>11,</w:t>
      </w:r>
      <w:r>
        <w:rPr>
          <w:color w:val="231F20"/>
          <w:spacing w:val="7"/>
          <w:sz w:val="17"/>
        </w:rPr>
        <w:t xml:space="preserve"> </w:t>
      </w:r>
      <w:r>
        <w:rPr>
          <w:color w:val="231F20"/>
          <w:w w:val="95"/>
          <w:sz w:val="17"/>
        </w:rPr>
        <w:t>52–54,</w:t>
      </w:r>
      <w:r>
        <w:rPr>
          <w:color w:val="231F20"/>
          <w:spacing w:val="7"/>
          <w:sz w:val="17"/>
        </w:rPr>
        <w:t xml:space="preserve"> </w:t>
      </w:r>
      <w:r>
        <w:rPr>
          <w:color w:val="231F20"/>
          <w:w w:val="95"/>
          <w:sz w:val="17"/>
        </w:rPr>
        <w:t>84,</w:t>
      </w:r>
      <w:r>
        <w:rPr>
          <w:color w:val="231F20"/>
          <w:spacing w:val="7"/>
          <w:sz w:val="17"/>
        </w:rPr>
        <w:t xml:space="preserve"> </w:t>
      </w:r>
      <w:r>
        <w:rPr>
          <w:color w:val="231F20"/>
          <w:w w:val="95"/>
          <w:sz w:val="17"/>
        </w:rPr>
        <w:t>94,</w:t>
      </w:r>
      <w:r>
        <w:rPr>
          <w:color w:val="231F20"/>
          <w:spacing w:val="7"/>
          <w:sz w:val="17"/>
        </w:rPr>
        <w:t xml:space="preserve"> </w:t>
      </w:r>
      <w:r>
        <w:rPr>
          <w:color w:val="231F20"/>
          <w:w w:val="95"/>
          <w:sz w:val="17"/>
        </w:rPr>
        <w:t>122,</w:t>
      </w:r>
      <w:r>
        <w:rPr>
          <w:color w:val="231F20"/>
          <w:spacing w:val="7"/>
          <w:sz w:val="17"/>
        </w:rPr>
        <w:t xml:space="preserve"> </w:t>
      </w:r>
      <w:r>
        <w:rPr>
          <w:color w:val="231F20"/>
          <w:spacing w:val="-5"/>
          <w:w w:val="95"/>
          <w:sz w:val="17"/>
        </w:rPr>
        <w:t>182</w:t>
      </w:r>
    </w:p>
    <w:p w14:paraId="1167997C" w14:textId="77777777" w:rsidR="00AE0598" w:rsidRDefault="0069255A">
      <w:pPr>
        <w:spacing w:before="1"/>
        <w:ind w:left="110"/>
        <w:rPr>
          <w:sz w:val="17"/>
        </w:rPr>
      </w:pPr>
      <w:r>
        <w:rPr>
          <w:color w:val="231F20"/>
          <w:sz w:val="17"/>
        </w:rPr>
        <w:t>Rugby</w:t>
      </w:r>
      <w:r>
        <w:rPr>
          <w:color w:val="231F20"/>
          <w:spacing w:val="-2"/>
          <w:sz w:val="17"/>
        </w:rPr>
        <w:t xml:space="preserve"> </w:t>
      </w:r>
      <w:r>
        <w:rPr>
          <w:color w:val="231F20"/>
          <w:sz w:val="17"/>
        </w:rPr>
        <w:t>World</w:t>
      </w:r>
      <w:r>
        <w:rPr>
          <w:color w:val="231F20"/>
          <w:spacing w:val="-2"/>
          <w:sz w:val="17"/>
        </w:rPr>
        <w:t xml:space="preserve"> </w:t>
      </w:r>
      <w:r>
        <w:rPr>
          <w:color w:val="231F20"/>
          <w:sz w:val="17"/>
        </w:rPr>
        <w:t>Cup</w:t>
      </w:r>
      <w:r>
        <w:rPr>
          <w:color w:val="231F20"/>
          <w:spacing w:val="-2"/>
          <w:sz w:val="17"/>
        </w:rPr>
        <w:t xml:space="preserve"> </w:t>
      </w:r>
      <w:r>
        <w:rPr>
          <w:color w:val="231F20"/>
          <w:sz w:val="17"/>
        </w:rPr>
        <w:t>32,</w:t>
      </w:r>
      <w:r>
        <w:rPr>
          <w:color w:val="231F20"/>
          <w:spacing w:val="-1"/>
          <w:sz w:val="17"/>
        </w:rPr>
        <w:t xml:space="preserve"> </w:t>
      </w:r>
      <w:r>
        <w:rPr>
          <w:color w:val="231F20"/>
          <w:sz w:val="17"/>
        </w:rPr>
        <w:t>46,</w:t>
      </w:r>
      <w:r>
        <w:rPr>
          <w:color w:val="231F20"/>
          <w:spacing w:val="-2"/>
          <w:sz w:val="17"/>
        </w:rPr>
        <w:t xml:space="preserve"> </w:t>
      </w:r>
      <w:r>
        <w:rPr>
          <w:color w:val="231F20"/>
          <w:sz w:val="17"/>
        </w:rPr>
        <w:t>58,</w:t>
      </w:r>
      <w:r>
        <w:rPr>
          <w:color w:val="231F20"/>
          <w:spacing w:val="-2"/>
          <w:sz w:val="17"/>
        </w:rPr>
        <w:t xml:space="preserve"> </w:t>
      </w:r>
      <w:r>
        <w:rPr>
          <w:color w:val="231F20"/>
          <w:sz w:val="17"/>
        </w:rPr>
        <w:t>76,</w:t>
      </w:r>
      <w:r>
        <w:rPr>
          <w:color w:val="231F20"/>
          <w:spacing w:val="-2"/>
          <w:sz w:val="17"/>
        </w:rPr>
        <w:t xml:space="preserve"> </w:t>
      </w:r>
      <w:r>
        <w:rPr>
          <w:color w:val="231F20"/>
          <w:sz w:val="17"/>
        </w:rPr>
        <w:t>94,</w:t>
      </w:r>
      <w:r>
        <w:rPr>
          <w:color w:val="231F20"/>
          <w:spacing w:val="-1"/>
          <w:sz w:val="17"/>
        </w:rPr>
        <w:t xml:space="preserve"> </w:t>
      </w:r>
      <w:r>
        <w:rPr>
          <w:color w:val="231F20"/>
          <w:spacing w:val="-4"/>
          <w:sz w:val="17"/>
        </w:rPr>
        <w:t>123,</w:t>
      </w:r>
    </w:p>
    <w:p w14:paraId="4E77E0E5" w14:textId="77777777" w:rsidR="00AE0598" w:rsidRDefault="0069255A">
      <w:pPr>
        <w:spacing w:before="1"/>
        <w:ind w:left="470"/>
        <w:rPr>
          <w:sz w:val="17"/>
        </w:rPr>
      </w:pPr>
      <w:r>
        <w:rPr>
          <w:color w:val="231F20"/>
          <w:w w:val="90"/>
          <w:sz w:val="17"/>
        </w:rPr>
        <w:t>161,</w:t>
      </w:r>
      <w:r>
        <w:rPr>
          <w:color w:val="231F20"/>
          <w:spacing w:val="7"/>
          <w:sz w:val="17"/>
        </w:rPr>
        <w:t xml:space="preserve"> </w:t>
      </w:r>
      <w:r>
        <w:rPr>
          <w:color w:val="231F20"/>
          <w:w w:val="90"/>
          <w:sz w:val="17"/>
        </w:rPr>
        <w:t>182–183,</w:t>
      </w:r>
      <w:r>
        <w:rPr>
          <w:color w:val="231F20"/>
          <w:spacing w:val="8"/>
          <w:sz w:val="17"/>
        </w:rPr>
        <w:t xml:space="preserve"> </w:t>
      </w:r>
      <w:r>
        <w:rPr>
          <w:color w:val="231F20"/>
          <w:spacing w:val="-5"/>
          <w:w w:val="90"/>
          <w:sz w:val="17"/>
        </w:rPr>
        <w:t>233</w:t>
      </w:r>
    </w:p>
    <w:p w14:paraId="67FB8988" w14:textId="77777777" w:rsidR="00AE0598" w:rsidRDefault="0069255A">
      <w:pPr>
        <w:spacing w:before="1"/>
        <w:ind w:left="110"/>
        <w:rPr>
          <w:sz w:val="17"/>
        </w:rPr>
      </w:pPr>
      <w:r>
        <w:rPr>
          <w:color w:val="231F20"/>
          <w:w w:val="95"/>
          <w:sz w:val="17"/>
        </w:rPr>
        <w:t>rules</w:t>
      </w:r>
      <w:r>
        <w:rPr>
          <w:color w:val="231F20"/>
          <w:sz w:val="17"/>
        </w:rPr>
        <w:t xml:space="preserve"> </w:t>
      </w:r>
      <w:r>
        <w:rPr>
          <w:color w:val="231F20"/>
          <w:w w:val="95"/>
          <w:sz w:val="17"/>
        </w:rPr>
        <w:t>20,</w:t>
      </w:r>
      <w:r>
        <w:rPr>
          <w:color w:val="231F20"/>
          <w:spacing w:val="1"/>
          <w:sz w:val="17"/>
        </w:rPr>
        <w:t xml:space="preserve"> </w:t>
      </w:r>
      <w:r>
        <w:rPr>
          <w:color w:val="231F20"/>
          <w:w w:val="95"/>
          <w:sz w:val="17"/>
        </w:rPr>
        <w:t>44,</w:t>
      </w:r>
      <w:r>
        <w:rPr>
          <w:color w:val="231F20"/>
          <w:spacing w:val="1"/>
          <w:sz w:val="17"/>
        </w:rPr>
        <w:t xml:space="preserve"> </w:t>
      </w:r>
      <w:r>
        <w:rPr>
          <w:color w:val="231F20"/>
          <w:w w:val="95"/>
          <w:sz w:val="17"/>
        </w:rPr>
        <w:t>90,</w:t>
      </w:r>
      <w:r>
        <w:rPr>
          <w:color w:val="231F20"/>
          <w:sz w:val="17"/>
        </w:rPr>
        <w:t xml:space="preserve"> </w:t>
      </w:r>
      <w:r>
        <w:rPr>
          <w:color w:val="231F20"/>
          <w:w w:val="95"/>
          <w:sz w:val="17"/>
        </w:rPr>
        <w:t>126,</w:t>
      </w:r>
      <w:r>
        <w:rPr>
          <w:color w:val="231F20"/>
          <w:spacing w:val="1"/>
          <w:sz w:val="17"/>
        </w:rPr>
        <w:t xml:space="preserve"> </w:t>
      </w:r>
      <w:r>
        <w:rPr>
          <w:color w:val="231F20"/>
          <w:w w:val="95"/>
          <w:sz w:val="17"/>
        </w:rPr>
        <w:t>139,</w:t>
      </w:r>
      <w:r>
        <w:rPr>
          <w:color w:val="231F20"/>
          <w:spacing w:val="1"/>
          <w:sz w:val="17"/>
        </w:rPr>
        <w:t xml:space="preserve"> </w:t>
      </w:r>
      <w:r>
        <w:rPr>
          <w:color w:val="231F20"/>
          <w:w w:val="95"/>
          <w:sz w:val="17"/>
        </w:rPr>
        <w:t>147,</w:t>
      </w:r>
      <w:r>
        <w:rPr>
          <w:color w:val="231F20"/>
          <w:sz w:val="17"/>
        </w:rPr>
        <w:t xml:space="preserve"> </w:t>
      </w:r>
      <w:r>
        <w:rPr>
          <w:color w:val="231F20"/>
          <w:spacing w:val="-4"/>
          <w:w w:val="95"/>
          <w:sz w:val="17"/>
        </w:rPr>
        <w:t>173,</w:t>
      </w:r>
    </w:p>
    <w:p w14:paraId="37D8062A" w14:textId="77777777" w:rsidR="00AE0598" w:rsidRDefault="0069255A">
      <w:pPr>
        <w:ind w:left="470"/>
        <w:rPr>
          <w:sz w:val="17"/>
        </w:rPr>
      </w:pPr>
      <w:r>
        <w:rPr>
          <w:color w:val="231F20"/>
          <w:w w:val="90"/>
          <w:sz w:val="17"/>
        </w:rPr>
        <w:t>205–208,</w:t>
      </w:r>
      <w:r>
        <w:rPr>
          <w:color w:val="231F20"/>
          <w:spacing w:val="18"/>
          <w:sz w:val="17"/>
        </w:rPr>
        <w:t xml:space="preserve"> </w:t>
      </w:r>
      <w:r>
        <w:rPr>
          <w:color w:val="231F20"/>
          <w:w w:val="90"/>
          <w:sz w:val="17"/>
        </w:rPr>
        <w:t>215,</w:t>
      </w:r>
      <w:r>
        <w:rPr>
          <w:color w:val="231F20"/>
          <w:spacing w:val="19"/>
          <w:sz w:val="17"/>
        </w:rPr>
        <w:t xml:space="preserve"> </w:t>
      </w:r>
      <w:r>
        <w:rPr>
          <w:color w:val="231F20"/>
          <w:w w:val="90"/>
          <w:sz w:val="17"/>
        </w:rPr>
        <w:t>219,</w:t>
      </w:r>
      <w:r>
        <w:rPr>
          <w:color w:val="231F20"/>
          <w:spacing w:val="19"/>
          <w:sz w:val="17"/>
        </w:rPr>
        <w:t xml:space="preserve"> </w:t>
      </w:r>
      <w:r>
        <w:rPr>
          <w:color w:val="231F20"/>
          <w:spacing w:val="-5"/>
          <w:w w:val="90"/>
          <w:sz w:val="17"/>
        </w:rPr>
        <w:t>228</w:t>
      </w:r>
    </w:p>
    <w:p w14:paraId="75715857" w14:textId="77777777" w:rsidR="00AE0598" w:rsidRDefault="0069255A">
      <w:pPr>
        <w:spacing w:before="1"/>
        <w:ind w:left="110"/>
        <w:rPr>
          <w:sz w:val="17"/>
        </w:rPr>
      </w:pPr>
      <w:r>
        <w:rPr>
          <w:color w:val="231F20"/>
          <w:w w:val="95"/>
          <w:sz w:val="17"/>
        </w:rPr>
        <w:t>Russia</w:t>
      </w:r>
      <w:r>
        <w:rPr>
          <w:color w:val="231F20"/>
          <w:spacing w:val="8"/>
          <w:sz w:val="17"/>
        </w:rPr>
        <w:t xml:space="preserve"> </w:t>
      </w:r>
      <w:r>
        <w:rPr>
          <w:color w:val="231F20"/>
          <w:w w:val="95"/>
          <w:sz w:val="17"/>
        </w:rPr>
        <w:t>129,</w:t>
      </w:r>
      <w:r>
        <w:rPr>
          <w:color w:val="231F20"/>
          <w:spacing w:val="8"/>
          <w:sz w:val="17"/>
        </w:rPr>
        <w:t xml:space="preserve"> </w:t>
      </w:r>
      <w:r>
        <w:rPr>
          <w:color w:val="231F20"/>
          <w:spacing w:val="-5"/>
          <w:w w:val="95"/>
          <w:sz w:val="17"/>
        </w:rPr>
        <w:t>217</w:t>
      </w:r>
    </w:p>
    <w:p w14:paraId="1856EEB4" w14:textId="77777777" w:rsidR="00AE0598" w:rsidRDefault="00AE0598">
      <w:pPr>
        <w:pStyle w:val="Corpodetexto"/>
        <w:spacing w:before="3"/>
        <w:rPr>
          <w:sz w:val="16"/>
        </w:rPr>
      </w:pPr>
    </w:p>
    <w:p w14:paraId="5A1034D9" w14:textId="77777777" w:rsidR="00AE0598" w:rsidRDefault="0069255A">
      <w:pPr>
        <w:ind w:left="110"/>
        <w:rPr>
          <w:sz w:val="17"/>
        </w:rPr>
      </w:pPr>
      <w:r>
        <w:rPr>
          <w:color w:val="231F20"/>
          <w:w w:val="95"/>
          <w:sz w:val="17"/>
        </w:rPr>
        <w:t>safety</w:t>
      </w:r>
      <w:r>
        <w:rPr>
          <w:color w:val="231F20"/>
          <w:spacing w:val="-6"/>
          <w:w w:val="95"/>
          <w:sz w:val="17"/>
        </w:rPr>
        <w:t xml:space="preserve"> </w:t>
      </w:r>
      <w:r>
        <w:rPr>
          <w:color w:val="231F20"/>
          <w:w w:val="95"/>
          <w:sz w:val="17"/>
        </w:rPr>
        <w:t>27,</w:t>
      </w:r>
      <w:r>
        <w:rPr>
          <w:color w:val="231F20"/>
          <w:spacing w:val="-5"/>
          <w:w w:val="95"/>
          <w:sz w:val="17"/>
        </w:rPr>
        <w:t xml:space="preserve"> </w:t>
      </w:r>
      <w:r>
        <w:rPr>
          <w:color w:val="231F20"/>
          <w:w w:val="95"/>
          <w:sz w:val="17"/>
        </w:rPr>
        <w:t>103,</w:t>
      </w:r>
      <w:r>
        <w:rPr>
          <w:color w:val="231F20"/>
          <w:spacing w:val="-5"/>
          <w:w w:val="95"/>
          <w:sz w:val="17"/>
        </w:rPr>
        <w:t xml:space="preserve"> </w:t>
      </w:r>
      <w:r>
        <w:rPr>
          <w:color w:val="231F20"/>
          <w:w w:val="95"/>
          <w:sz w:val="17"/>
        </w:rPr>
        <w:t>105,</w:t>
      </w:r>
      <w:r>
        <w:rPr>
          <w:color w:val="231F20"/>
          <w:spacing w:val="-5"/>
          <w:w w:val="95"/>
          <w:sz w:val="17"/>
        </w:rPr>
        <w:t xml:space="preserve"> </w:t>
      </w:r>
      <w:r>
        <w:rPr>
          <w:color w:val="231F20"/>
          <w:w w:val="95"/>
          <w:sz w:val="17"/>
        </w:rPr>
        <w:t>118,</w:t>
      </w:r>
      <w:r>
        <w:rPr>
          <w:color w:val="231F20"/>
          <w:spacing w:val="-5"/>
          <w:w w:val="95"/>
          <w:sz w:val="17"/>
        </w:rPr>
        <w:t xml:space="preserve"> </w:t>
      </w:r>
      <w:r>
        <w:rPr>
          <w:color w:val="231F20"/>
          <w:w w:val="95"/>
          <w:sz w:val="17"/>
        </w:rPr>
        <w:t>137,</w:t>
      </w:r>
      <w:r>
        <w:rPr>
          <w:color w:val="231F20"/>
          <w:spacing w:val="-5"/>
          <w:w w:val="95"/>
          <w:sz w:val="17"/>
        </w:rPr>
        <w:t xml:space="preserve"> </w:t>
      </w:r>
      <w:r>
        <w:rPr>
          <w:color w:val="231F20"/>
          <w:w w:val="95"/>
          <w:sz w:val="17"/>
        </w:rPr>
        <w:t>147,</w:t>
      </w:r>
      <w:r>
        <w:rPr>
          <w:color w:val="231F20"/>
          <w:spacing w:val="-5"/>
          <w:w w:val="95"/>
          <w:sz w:val="17"/>
        </w:rPr>
        <w:t xml:space="preserve"> </w:t>
      </w:r>
      <w:r>
        <w:rPr>
          <w:color w:val="231F20"/>
          <w:w w:val="95"/>
          <w:sz w:val="17"/>
        </w:rPr>
        <w:t>158,</w:t>
      </w:r>
      <w:r>
        <w:rPr>
          <w:color w:val="231F20"/>
          <w:spacing w:val="-5"/>
          <w:w w:val="95"/>
          <w:sz w:val="17"/>
        </w:rPr>
        <w:t xml:space="preserve"> </w:t>
      </w:r>
      <w:r>
        <w:rPr>
          <w:color w:val="231F20"/>
          <w:spacing w:val="-4"/>
          <w:w w:val="95"/>
          <w:sz w:val="17"/>
        </w:rPr>
        <w:t>170,</w:t>
      </w:r>
    </w:p>
    <w:p w14:paraId="3AC85148" w14:textId="77777777" w:rsidR="00AE0598" w:rsidRDefault="0069255A">
      <w:pPr>
        <w:spacing w:before="1"/>
        <w:ind w:left="470"/>
        <w:rPr>
          <w:sz w:val="17"/>
        </w:rPr>
      </w:pPr>
      <w:r>
        <w:rPr>
          <w:color w:val="231F20"/>
          <w:spacing w:val="-5"/>
          <w:w w:val="95"/>
          <w:sz w:val="17"/>
        </w:rPr>
        <w:t>206</w:t>
      </w:r>
    </w:p>
    <w:p w14:paraId="31E318F0" w14:textId="77777777" w:rsidR="00AE0598" w:rsidRDefault="0069255A">
      <w:pPr>
        <w:ind w:left="110"/>
        <w:rPr>
          <w:sz w:val="17"/>
        </w:rPr>
      </w:pPr>
      <w:r>
        <w:rPr>
          <w:color w:val="231F20"/>
          <w:w w:val="95"/>
          <w:sz w:val="17"/>
        </w:rPr>
        <w:t>sailing</w:t>
      </w:r>
      <w:r>
        <w:rPr>
          <w:color w:val="231F20"/>
          <w:spacing w:val="4"/>
          <w:sz w:val="17"/>
        </w:rPr>
        <w:t xml:space="preserve"> </w:t>
      </w:r>
      <w:r>
        <w:rPr>
          <w:color w:val="231F20"/>
          <w:w w:val="95"/>
          <w:sz w:val="17"/>
        </w:rPr>
        <w:t>35–36,</w:t>
      </w:r>
      <w:r>
        <w:rPr>
          <w:color w:val="231F20"/>
          <w:spacing w:val="5"/>
          <w:sz w:val="17"/>
        </w:rPr>
        <w:t xml:space="preserve"> </w:t>
      </w:r>
      <w:r>
        <w:rPr>
          <w:color w:val="231F20"/>
          <w:w w:val="95"/>
          <w:sz w:val="17"/>
        </w:rPr>
        <w:t>53,</w:t>
      </w:r>
      <w:r>
        <w:rPr>
          <w:color w:val="231F20"/>
          <w:spacing w:val="5"/>
          <w:sz w:val="17"/>
        </w:rPr>
        <w:t xml:space="preserve"> </w:t>
      </w:r>
      <w:r>
        <w:rPr>
          <w:color w:val="231F20"/>
          <w:w w:val="95"/>
          <w:sz w:val="17"/>
        </w:rPr>
        <w:t>138,</w:t>
      </w:r>
      <w:r>
        <w:rPr>
          <w:color w:val="231F20"/>
          <w:spacing w:val="4"/>
          <w:sz w:val="17"/>
        </w:rPr>
        <w:t xml:space="preserve"> </w:t>
      </w:r>
      <w:r>
        <w:rPr>
          <w:color w:val="231F20"/>
          <w:w w:val="95"/>
          <w:sz w:val="17"/>
        </w:rPr>
        <w:t>183,</w:t>
      </w:r>
      <w:r>
        <w:rPr>
          <w:color w:val="231F20"/>
          <w:spacing w:val="5"/>
          <w:sz w:val="17"/>
        </w:rPr>
        <w:t xml:space="preserve"> </w:t>
      </w:r>
      <w:r>
        <w:rPr>
          <w:color w:val="231F20"/>
          <w:spacing w:val="-5"/>
          <w:w w:val="95"/>
          <w:sz w:val="17"/>
        </w:rPr>
        <w:t>186</w:t>
      </w:r>
    </w:p>
    <w:p w14:paraId="70408A99" w14:textId="77777777" w:rsidR="00AE0598" w:rsidRDefault="0069255A">
      <w:pPr>
        <w:spacing w:before="1"/>
        <w:ind w:left="110"/>
        <w:rPr>
          <w:sz w:val="17"/>
        </w:rPr>
      </w:pPr>
      <w:r>
        <w:rPr>
          <w:color w:val="231F20"/>
          <w:sz w:val="17"/>
        </w:rPr>
        <w:t>Sapporo</w:t>
      </w:r>
      <w:r>
        <w:rPr>
          <w:color w:val="231F20"/>
          <w:spacing w:val="-7"/>
          <w:sz w:val="17"/>
        </w:rPr>
        <w:t xml:space="preserve"> </w:t>
      </w:r>
      <w:r>
        <w:rPr>
          <w:color w:val="231F20"/>
          <w:sz w:val="17"/>
        </w:rPr>
        <w:t>Dome</w:t>
      </w:r>
      <w:r>
        <w:rPr>
          <w:color w:val="231F20"/>
          <w:spacing w:val="-6"/>
          <w:sz w:val="17"/>
        </w:rPr>
        <w:t xml:space="preserve"> </w:t>
      </w:r>
      <w:r>
        <w:rPr>
          <w:color w:val="231F20"/>
          <w:spacing w:val="-7"/>
          <w:sz w:val="17"/>
        </w:rPr>
        <w:t>13</w:t>
      </w:r>
    </w:p>
    <w:p w14:paraId="7712007F" w14:textId="77777777" w:rsidR="00AE0598" w:rsidRDefault="0069255A">
      <w:pPr>
        <w:spacing w:before="1"/>
        <w:ind w:left="110"/>
        <w:rPr>
          <w:sz w:val="17"/>
        </w:rPr>
      </w:pPr>
      <w:r>
        <w:rPr>
          <w:color w:val="231F20"/>
          <w:w w:val="95"/>
          <w:sz w:val="17"/>
        </w:rPr>
        <w:t>Scotland</w:t>
      </w:r>
      <w:r>
        <w:rPr>
          <w:color w:val="231F20"/>
          <w:spacing w:val="26"/>
          <w:sz w:val="17"/>
        </w:rPr>
        <w:t xml:space="preserve"> </w:t>
      </w:r>
      <w:r>
        <w:rPr>
          <w:color w:val="231F20"/>
          <w:spacing w:val="-5"/>
          <w:sz w:val="17"/>
        </w:rPr>
        <w:t>118</w:t>
      </w:r>
    </w:p>
    <w:p w14:paraId="08A9FE27" w14:textId="77777777" w:rsidR="00AE0598" w:rsidRDefault="0069255A">
      <w:pPr>
        <w:spacing w:before="1"/>
        <w:ind w:left="110"/>
        <w:rPr>
          <w:sz w:val="17"/>
        </w:rPr>
      </w:pPr>
      <w:r>
        <w:rPr>
          <w:color w:val="231F20"/>
          <w:w w:val="95"/>
          <w:sz w:val="17"/>
        </w:rPr>
        <w:t>scuba</w:t>
      </w:r>
      <w:r>
        <w:rPr>
          <w:color w:val="231F20"/>
          <w:spacing w:val="-3"/>
          <w:w w:val="95"/>
          <w:sz w:val="17"/>
        </w:rPr>
        <w:t xml:space="preserve"> </w:t>
      </w:r>
      <w:r>
        <w:rPr>
          <w:color w:val="231F20"/>
          <w:w w:val="95"/>
          <w:sz w:val="17"/>
        </w:rPr>
        <w:t>diving</w:t>
      </w:r>
      <w:r>
        <w:rPr>
          <w:color w:val="231F20"/>
          <w:spacing w:val="-3"/>
          <w:w w:val="95"/>
          <w:sz w:val="17"/>
        </w:rPr>
        <w:t xml:space="preserve"> </w:t>
      </w:r>
      <w:r>
        <w:rPr>
          <w:color w:val="231F20"/>
          <w:w w:val="95"/>
          <w:sz w:val="17"/>
        </w:rPr>
        <w:t>33,</w:t>
      </w:r>
      <w:r>
        <w:rPr>
          <w:color w:val="231F20"/>
          <w:spacing w:val="-3"/>
          <w:w w:val="95"/>
          <w:sz w:val="17"/>
        </w:rPr>
        <w:t xml:space="preserve"> </w:t>
      </w:r>
      <w:r>
        <w:rPr>
          <w:color w:val="231F20"/>
          <w:w w:val="95"/>
          <w:sz w:val="17"/>
        </w:rPr>
        <w:t>59,</w:t>
      </w:r>
      <w:r>
        <w:rPr>
          <w:color w:val="231F20"/>
          <w:spacing w:val="-3"/>
          <w:w w:val="95"/>
          <w:sz w:val="17"/>
        </w:rPr>
        <w:t xml:space="preserve"> </w:t>
      </w:r>
      <w:r>
        <w:rPr>
          <w:color w:val="231F20"/>
          <w:w w:val="95"/>
          <w:sz w:val="17"/>
        </w:rPr>
        <w:t>132,</w:t>
      </w:r>
      <w:r>
        <w:rPr>
          <w:color w:val="231F20"/>
          <w:spacing w:val="-3"/>
          <w:w w:val="95"/>
          <w:sz w:val="17"/>
        </w:rPr>
        <w:t xml:space="preserve"> </w:t>
      </w:r>
      <w:r>
        <w:rPr>
          <w:color w:val="231F20"/>
          <w:w w:val="95"/>
          <w:sz w:val="17"/>
        </w:rPr>
        <w:t>139,</w:t>
      </w:r>
      <w:r>
        <w:rPr>
          <w:color w:val="231F20"/>
          <w:spacing w:val="-3"/>
          <w:w w:val="95"/>
          <w:sz w:val="17"/>
        </w:rPr>
        <w:t xml:space="preserve"> </w:t>
      </w:r>
      <w:r>
        <w:rPr>
          <w:color w:val="231F20"/>
          <w:w w:val="95"/>
          <w:sz w:val="17"/>
        </w:rPr>
        <w:t>149–150,</w:t>
      </w:r>
      <w:r>
        <w:rPr>
          <w:color w:val="231F20"/>
          <w:spacing w:val="-3"/>
          <w:w w:val="95"/>
          <w:sz w:val="17"/>
        </w:rPr>
        <w:t xml:space="preserve"> </w:t>
      </w:r>
      <w:r>
        <w:rPr>
          <w:color w:val="231F20"/>
          <w:w w:val="95"/>
          <w:sz w:val="17"/>
        </w:rPr>
        <w:t>184</w:t>
      </w:r>
      <w:r>
        <w:rPr>
          <w:color w:val="231F20"/>
          <w:spacing w:val="40"/>
          <w:sz w:val="17"/>
        </w:rPr>
        <w:t xml:space="preserve"> </w:t>
      </w:r>
      <w:r>
        <w:rPr>
          <w:color w:val="231F20"/>
          <w:sz w:val="17"/>
        </w:rPr>
        <w:t>seasonal visitation pattern 235</w:t>
      </w:r>
    </w:p>
    <w:p w14:paraId="7C87D4F0" w14:textId="77777777" w:rsidR="00AE0598" w:rsidRDefault="0069255A">
      <w:pPr>
        <w:spacing w:before="1"/>
        <w:ind w:left="110"/>
        <w:rPr>
          <w:sz w:val="17"/>
        </w:rPr>
      </w:pPr>
      <w:r>
        <w:rPr>
          <w:color w:val="231F20"/>
          <w:w w:val="95"/>
          <w:sz w:val="17"/>
        </w:rPr>
        <w:t>seasonality</w:t>
      </w:r>
      <w:r>
        <w:rPr>
          <w:color w:val="231F20"/>
          <w:sz w:val="17"/>
        </w:rPr>
        <w:t xml:space="preserve"> </w:t>
      </w:r>
      <w:r>
        <w:rPr>
          <w:color w:val="231F20"/>
          <w:w w:val="95"/>
          <w:sz w:val="17"/>
        </w:rPr>
        <w:t>5,</w:t>
      </w:r>
      <w:r>
        <w:rPr>
          <w:color w:val="231F20"/>
          <w:spacing w:val="1"/>
          <w:sz w:val="17"/>
        </w:rPr>
        <w:t xml:space="preserve"> </w:t>
      </w:r>
      <w:r>
        <w:rPr>
          <w:color w:val="231F20"/>
          <w:w w:val="95"/>
          <w:sz w:val="17"/>
        </w:rPr>
        <w:t>9,</w:t>
      </w:r>
      <w:r>
        <w:rPr>
          <w:color w:val="231F20"/>
          <w:spacing w:val="1"/>
          <w:sz w:val="17"/>
        </w:rPr>
        <w:t xml:space="preserve"> </w:t>
      </w:r>
      <w:r>
        <w:rPr>
          <w:color w:val="231F20"/>
          <w:w w:val="95"/>
          <w:sz w:val="17"/>
        </w:rPr>
        <w:t>13,</w:t>
      </w:r>
      <w:r>
        <w:rPr>
          <w:color w:val="231F20"/>
          <w:sz w:val="17"/>
        </w:rPr>
        <w:t xml:space="preserve"> </w:t>
      </w:r>
      <w:r>
        <w:rPr>
          <w:color w:val="231F20"/>
          <w:w w:val="95"/>
          <w:sz w:val="17"/>
        </w:rPr>
        <w:t>68,</w:t>
      </w:r>
      <w:r>
        <w:rPr>
          <w:color w:val="231F20"/>
          <w:spacing w:val="1"/>
          <w:sz w:val="17"/>
        </w:rPr>
        <w:t xml:space="preserve"> </w:t>
      </w:r>
      <w:r>
        <w:rPr>
          <w:color w:val="231F20"/>
          <w:w w:val="95"/>
          <w:sz w:val="17"/>
        </w:rPr>
        <w:t>147,</w:t>
      </w:r>
      <w:r>
        <w:rPr>
          <w:color w:val="231F20"/>
          <w:spacing w:val="1"/>
          <w:sz w:val="17"/>
        </w:rPr>
        <w:t xml:space="preserve"> </w:t>
      </w:r>
      <w:r>
        <w:rPr>
          <w:color w:val="231F20"/>
          <w:w w:val="95"/>
          <w:sz w:val="17"/>
        </w:rPr>
        <w:t>179–198,</w:t>
      </w:r>
      <w:r>
        <w:rPr>
          <w:color w:val="231F20"/>
          <w:sz w:val="17"/>
        </w:rPr>
        <w:t xml:space="preserve"> </w:t>
      </w:r>
      <w:r>
        <w:rPr>
          <w:color w:val="231F20"/>
          <w:spacing w:val="-4"/>
          <w:w w:val="95"/>
          <w:sz w:val="17"/>
        </w:rPr>
        <w:t>223,</w:t>
      </w:r>
    </w:p>
    <w:p w14:paraId="0200F2ED" w14:textId="77777777" w:rsidR="00AE0598" w:rsidRDefault="0069255A">
      <w:pPr>
        <w:spacing w:before="1"/>
        <w:ind w:left="470"/>
        <w:rPr>
          <w:sz w:val="17"/>
        </w:rPr>
      </w:pPr>
      <w:r>
        <w:rPr>
          <w:color w:val="231F20"/>
          <w:w w:val="90"/>
          <w:sz w:val="17"/>
        </w:rPr>
        <w:t>229,</w:t>
      </w:r>
      <w:r>
        <w:rPr>
          <w:color w:val="231F20"/>
          <w:spacing w:val="17"/>
          <w:sz w:val="17"/>
        </w:rPr>
        <w:t xml:space="preserve"> </w:t>
      </w:r>
      <w:r>
        <w:rPr>
          <w:color w:val="231F20"/>
          <w:spacing w:val="-2"/>
          <w:sz w:val="17"/>
        </w:rPr>
        <w:t>233–234</w:t>
      </w:r>
    </w:p>
    <w:p w14:paraId="79742BC3" w14:textId="77777777" w:rsidR="00AE0598" w:rsidRDefault="0069255A">
      <w:pPr>
        <w:ind w:left="110" w:right="447"/>
        <w:rPr>
          <w:sz w:val="17"/>
        </w:rPr>
      </w:pPr>
      <w:r>
        <w:rPr>
          <w:color w:val="231F20"/>
          <w:sz w:val="17"/>
        </w:rPr>
        <w:t>second tier sports event 49</w:t>
      </w:r>
      <w:r>
        <w:rPr>
          <w:color w:val="231F20"/>
          <w:spacing w:val="40"/>
          <w:sz w:val="17"/>
        </w:rPr>
        <w:t xml:space="preserve"> </w:t>
      </w:r>
      <w:r>
        <w:rPr>
          <w:color w:val="231F20"/>
          <w:sz w:val="17"/>
        </w:rPr>
        <w:t>secondary attraction 24–25</w:t>
      </w:r>
      <w:r>
        <w:rPr>
          <w:color w:val="231F20"/>
          <w:spacing w:val="40"/>
          <w:sz w:val="17"/>
        </w:rPr>
        <w:t xml:space="preserve"> </w:t>
      </w:r>
      <w:r>
        <w:rPr>
          <w:color w:val="231F20"/>
          <w:w w:val="95"/>
          <w:sz w:val="17"/>
        </w:rPr>
        <w:t>secondary tourism motivation 62</w:t>
      </w:r>
      <w:r>
        <w:rPr>
          <w:color w:val="231F20"/>
          <w:spacing w:val="40"/>
          <w:sz w:val="17"/>
        </w:rPr>
        <w:t xml:space="preserve"> </w:t>
      </w:r>
      <w:r>
        <w:rPr>
          <w:color w:val="231F20"/>
          <w:w w:val="95"/>
          <w:sz w:val="17"/>
        </w:rPr>
        <w:t>security</w:t>
      </w:r>
      <w:r>
        <w:rPr>
          <w:color w:val="231F20"/>
          <w:spacing w:val="-7"/>
          <w:w w:val="95"/>
          <w:sz w:val="17"/>
        </w:rPr>
        <w:t xml:space="preserve"> </w:t>
      </w:r>
      <w:r>
        <w:rPr>
          <w:color w:val="231F20"/>
          <w:w w:val="95"/>
          <w:sz w:val="17"/>
        </w:rPr>
        <w:t>47,</w:t>
      </w:r>
      <w:r>
        <w:rPr>
          <w:color w:val="231F20"/>
          <w:spacing w:val="-6"/>
          <w:w w:val="95"/>
          <w:sz w:val="17"/>
        </w:rPr>
        <w:t xml:space="preserve"> </w:t>
      </w:r>
      <w:r>
        <w:rPr>
          <w:color w:val="231F20"/>
          <w:w w:val="95"/>
          <w:sz w:val="17"/>
        </w:rPr>
        <w:t>69,</w:t>
      </w:r>
      <w:r>
        <w:rPr>
          <w:color w:val="231F20"/>
          <w:spacing w:val="-6"/>
          <w:w w:val="95"/>
          <w:sz w:val="17"/>
        </w:rPr>
        <w:t xml:space="preserve"> </w:t>
      </w:r>
      <w:r>
        <w:rPr>
          <w:color w:val="231F20"/>
          <w:w w:val="95"/>
          <w:sz w:val="17"/>
        </w:rPr>
        <w:t>145,</w:t>
      </w:r>
      <w:r>
        <w:rPr>
          <w:color w:val="231F20"/>
          <w:spacing w:val="-6"/>
          <w:w w:val="95"/>
          <w:sz w:val="17"/>
        </w:rPr>
        <w:t xml:space="preserve"> </w:t>
      </w:r>
      <w:r>
        <w:rPr>
          <w:color w:val="231F20"/>
          <w:w w:val="95"/>
          <w:sz w:val="17"/>
        </w:rPr>
        <w:t>147,</w:t>
      </w:r>
      <w:r>
        <w:rPr>
          <w:color w:val="231F20"/>
          <w:spacing w:val="-6"/>
          <w:w w:val="95"/>
          <w:sz w:val="17"/>
        </w:rPr>
        <w:t xml:space="preserve"> </w:t>
      </w:r>
      <w:r>
        <w:rPr>
          <w:color w:val="231F20"/>
          <w:w w:val="95"/>
          <w:sz w:val="17"/>
        </w:rPr>
        <w:t>213,</w:t>
      </w:r>
      <w:r>
        <w:rPr>
          <w:color w:val="231F20"/>
          <w:spacing w:val="-6"/>
          <w:w w:val="95"/>
          <w:sz w:val="17"/>
        </w:rPr>
        <w:t xml:space="preserve"> </w:t>
      </w:r>
      <w:r>
        <w:rPr>
          <w:color w:val="231F20"/>
          <w:spacing w:val="-5"/>
          <w:w w:val="95"/>
          <w:sz w:val="17"/>
        </w:rPr>
        <w:t>218</w:t>
      </w:r>
    </w:p>
    <w:p w14:paraId="78BFC47C" w14:textId="77777777" w:rsidR="00AE0598" w:rsidRDefault="0069255A">
      <w:pPr>
        <w:spacing w:before="3"/>
        <w:ind w:left="110"/>
        <w:rPr>
          <w:sz w:val="17"/>
        </w:rPr>
      </w:pPr>
      <w:r>
        <w:rPr>
          <w:color w:val="231F20"/>
          <w:w w:val="95"/>
          <w:sz w:val="17"/>
        </w:rPr>
        <w:t>self-identity</w:t>
      </w:r>
      <w:r>
        <w:rPr>
          <w:color w:val="231F20"/>
          <w:spacing w:val="1"/>
          <w:sz w:val="17"/>
        </w:rPr>
        <w:t xml:space="preserve"> </w:t>
      </w:r>
      <w:r>
        <w:rPr>
          <w:color w:val="231F20"/>
          <w:w w:val="95"/>
          <w:sz w:val="17"/>
        </w:rPr>
        <w:t>73,</w:t>
      </w:r>
      <w:r>
        <w:rPr>
          <w:color w:val="231F20"/>
          <w:spacing w:val="2"/>
          <w:sz w:val="17"/>
        </w:rPr>
        <w:t xml:space="preserve"> </w:t>
      </w:r>
      <w:r>
        <w:rPr>
          <w:color w:val="231F20"/>
          <w:w w:val="95"/>
          <w:sz w:val="17"/>
        </w:rPr>
        <w:t>113,</w:t>
      </w:r>
      <w:r>
        <w:rPr>
          <w:color w:val="231F20"/>
          <w:spacing w:val="2"/>
          <w:sz w:val="17"/>
        </w:rPr>
        <w:t xml:space="preserve"> </w:t>
      </w:r>
      <w:r>
        <w:rPr>
          <w:color w:val="231F20"/>
          <w:spacing w:val="-5"/>
          <w:w w:val="95"/>
          <w:sz w:val="17"/>
        </w:rPr>
        <w:t>212</w:t>
      </w:r>
    </w:p>
    <w:p w14:paraId="6FE1C87F" w14:textId="77777777" w:rsidR="00AE0598" w:rsidRDefault="0069255A">
      <w:pPr>
        <w:spacing w:before="1"/>
        <w:ind w:left="110"/>
        <w:rPr>
          <w:sz w:val="17"/>
        </w:rPr>
      </w:pPr>
      <w:r>
        <w:rPr>
          <w:color w:val="231F20"/>
          <w:w w:val="95"/>
          <w:sz w:val="17"/>
        </w:rPr>
        <w:t>semi-professional</w:t>
      </w:r>
      <w:r>
        <w:rPr>
          <w:color w:val="231F20"/>
          <w:spacing w:val="5"/>
          <w:sz w:val="17"/>
        </w:rPr>
        <w:t xml:space="preserve"> </w:t>
      </w:r>
      <w:r>
        <w:rPr>
          <w:color w:val="231F20"/>
          <w:w w:val="95"/>
          <w:sz w:val="17"/>
        </w:rPr>
        <w:t>athlete</w:t>
      </w:r>
      <w:r>
        <w:rPr>
          <w:color w:val="231F20"/>
          <w:spacing w:val="5"/>
          <w:sz w:val="17"/>
        </w:rPr>
        <w:t xml:space="preserve"> </w:t>
      </w:r>
      <w:r>
        <w:rPr>
          <w:color w:val="231F20"/>
          <w:spacing w:val="-10"/>
          <w:w w:val="95"/>
          <w:sz w:val="17"/>
        </w:rPr>
        <w:t>6</w:t>
      </w:r>
    </w:p>
    <w:p w14:paraId="43D5AF4A" w14:textId="77777777" w:rsidR="00AE0598" w:rsidRDefault="0069255A">
      <w:pPr>
        <w:spacing w:before="1"/>
        <w:ind w:left="110"/>
        <w:rPr>
          <w:sz w:val="17"/>
        </w:rPr>
      </w:pPr>
      <w:r>
        <w:rPr>
          <w:color w:val="231F20"/>
          <w:w w:val="95"/>
          <w:sz w:val="17"/>
        </w:rPr>
        <w:t>sense</w:t>
      </w:r>
      <w:r>
        <w:rPr>
          <w:color w:val="231F20"/>
          <w:spacing w:val="3"/>
          <w:sz w:val="17"/>
        </w:rPr>
        <w:t xml:space="preserve"> </w:t>
      </w:r>
      <w:r>
        <w:rPr>
          <w:color w:val="231F20"/>
          <w:w w:val="95"/>
          <w:sz w:val="17"/>
        </w:rPr>
        <w:t>of</w:t>
      </w:r>
      <w:r>
        <w:rPr>
          <w:color w:val="231F20"/>
          <w:spacing w:val="4"/>
          <w:sz w:val="17"/>
        </w:rPr>
        <w:t xml:space="preserve"> </w:t>
      </w:r>
      <w:r>
        <w:rPr>
          <w:color w:val="231F20"/>
          <w:w w:val="95"/>
          <w:sz w:val="17"/>
        </w:rPr>
        <w:t>belonging</w:t>
      </w:r>
      <w:r>
        <w:rPr>
          <w:color w:val="231F20"/>
          <w:spacing w:val="4"/>
          <w:sz w:val="17"/>
        </w:rPr>
        <w:t xml:space="preserve"> </w:t>
      </w:r>
      <w:r>
        <w:rPr>
          <w:color w:val="231F20"/>
          <w:w w:val="95"/>
          <w:sz w:val="17"/>
        </w:rPr>
        <w:t>158,</w:t>
      </w:r>
      <w:r>
        <w:rPr>
          <w:color w:val="231F20"/>
          <w:spacing w:val="4"/>
          <w:sz w:val="17"/>
        </w:rPr>
        <w:t xml:space="preserve"> </w:t>
      </w:r>
      <w:r>
        <w:rPr>
          <w:color w:val="231F20"/>
          <w:spacing w:val="-5"/>
          <w:w w:val="95"/>
          <w:sz w:val="17"/>
        </w:rPr>
        <w:t>212</w:t>
      </w:r>
    </w:p>
    <w:p w14:paraId="77B28D29" w14:textId="77777777" w:rsidR="00AE0598" w:rsidRDefault="0069255A">
      <w:pPr>
        <w:ind w:left="110"/>
        <w:rPr>
          <w:sz w:val="17"/>
        </w:rPr>
      </w:pPr>
      <w:r>
        <w:rPr>
          <w:color w:val="231F20"/>
          <w:w w:val="90"/>
          <w:sz w:val="17"/>
        </w:rPr>
        <w:t>sense</w:t>
      </w:r>
      <w:r>
        <w:rPr>
          <w:color w:val="231F20"/>
          <w:spacing w:val="14"/>
          <w:sz w:val="17"/>
        </w:rPr>
        <w:t xml:space="preserve"> </w:t>
      </w:r>
      <w:r>
        <w:rPr>
          <w:color w:val="231F20"/>
          <w:w w:val="90"/>
          <w:sz w:val="17"/>
        </w:rPr>
        <w:t>of</w:t>
      </w:r>
      <w:r>
        <w:rPr>
          <w:color w:val="231F20"/>
          <w:spacing w:val="16"/>
          <w:sz w:val="17"/>
        </w:rPr>
        <w:t xml:space="preserve"> </w:t>
      </w:r>
      <w:r>
        <w:rPr>
          <w:color w:val="231F20"/>
          <w:w w:val="90"/>
          <w:sz w:val="17"/>
        </w:rPr>
        <w:t>place</w:t>
      </w:r>
      <w:r>
        <w:rPr>
          <w:color w:val="231F20"/>
          <w:spacing w:val="17"/>
          <w:sz w:val="17"/>
        </w:rPr>
        <w:t xml:space="preserve"> </w:t>
      </w:r>
      <w:r>
        <w:rPr>
          <w:color w:val="231F20"/>
          <w:w w:val="90"/>
          <w:sz w:val="17"/>
        </w:rPr>
        <w:t>102,</w:t>
      </w:r>
      <w:r>
        <w:rPr>
          <w:color w:val="231F20"/>
          <w:spacing w:val="16"/>
          <w:sz w:val="17"/>
        </w:rPr>
        <w:t xml:space="preserve"> </w:t>
      </w:r>
      <w:r>
        <w:rPr>
          <w:color w:val="231F20"/>
          <w:w w:val="90"/>
          <w:sz w:val="17"/>
        </w:rPr>
        <w:t>113–114,</w:t>
      </w:r>
      <w:r>
        <w:rPr>
          <w:color w:val="231F20"/>
          <w:spacing w:val="17"/>
          <w:sz w:val="17"/>
        </w:rPr>
        <w:t xml:space="preserve"> </w:t>
      </w:r>
      <w:r>
        <w:rPr>
          <w:color w:val="231F20"/>
          <w:w w:val="90"/>
          <w:sz w:val="17"/>
        </w:rPr>
        <w:t>128,</w:t>
      </w:r>
      <w:r>
        <w:rPr>
          <w:color w:val="231F20"/>
          <w:spacing w:val="16"/>
          <w:sz w:val="17"/>
        </w:rPr>
        <w:t xml:space="preserve"> </w:t>
      </w:r>
      <w:r>
        <w:rPr>
          <w:color w:val="231F20"/>
          <w:w w:val="90"/>
          <w:sz w:val="17"/>
        </w:rPr>
        <w:t>136,</w:t>
      </w:r>
      <w:r>
        <w:rPr>
          <w:color w:val="231F20"/>
          <w:spacing w:val="17"/>
          <w:sz w:val="17"/>
        </w:rPr>
        <w:t xml:space="preserve"> </w:t>
      </w:r>
      <w:r>
        <w:rPr>
          <w:color w:val="231F20"/>
          <w:spacing w:val="-5"/>
          <w:w w:val="90"/>
          <w:sz w:val="17"/>
        </w:rPr>
        <w:t>148</w:t>
      </w:r>
    </w:p>
    <w:p w14:paraId="17DE5196" w14:textId="77777777" w:rsidR="00AE0598" w:rsidRDefault="0069255A">
      <w:pPr>
        <w:spacing w:before="1"/>
        <w:ind w:left="110"/>
        <w:rPr>
          <w:sz w:val="17"/>
        </w:rPr>
      </w:pPr>
      <w:r>
        <w:rPr>
          <w:color w:val="231F20"/>
          <w:w w:val="95"/>
          <w:sz w:val="17"/>
        </w:rPr>
        <w:t>serious</w:t>
      </w:r>
      <w:r>
        <w:rPr>
          <w:color w:val="231F20"/>
          <w:spacing w:val="-3"/>
          <w:w w:val="95"/>
          <w:sz w:val="17"/>
        </w:rPr>
        <w:t xml:space="preserve"> </w:t>
      </w:r>
      <w:r>
        <w:rPr>
          <w:color w:val="231F20"/>
          <w:w w:val="95"/>
          <w:sz w:val="17"/>
        </w:rPr>
        <w:t>leisure</w:t>
      </w:r>
      <w:r>
        <w:rPr>
          <w:color w:val="231F20"/>
          <w:spacing w:val="-2"/>
          <w:w w:val="95"/>
          <w:sz w:val="17"/>
        </w:rPr>
        <w:t xml:space="preserve"> </w:t>
      </w:r>
      <w:r>
        <w:rPr>
          <w:color w:val="231F20"/>
          <w:w w:val="95"/>
          <w:sz w:val="17"/>
        </w:rPr>
        <w:t>6,</w:t>
      </w:r>
      <w:r>
        <w:rPr>
          <w:color w:val="231F20"/>
          <w:spacing w:val="-2"/>
          <w:w w:val="95"/>
          <w:sz w:val="17"/>
        </w:rPr>
        <w:t xml:space="preserve"> </w:t>
      </w:r>
      <w:r>
        <w:rPr>
          <w:color w:val="231F20"/>
          <w:w w:val="95"/>
          <w:sz w:val="17"/>
        </w:rPr>
        <w:t>39,</w:t>
      </w:r>
      <w:r>
        <w:rPr>
          <w:color w:val="231F20"/>
          <w:spacing w:val="-2"/>
          <w:w w:val="95"/>
          <w:sz w:val="17"/>
        </w:rPr>
        <w:t xml:space="preserve"> </w:t>
      </w:r>
      <w:r>
        <w:rPr>
          <w:color w:val="231F20"/>
          <w:w w:val="95"/>
          <w:sz w:val="17"/>
        </w:rPr>
        <w:t>114,</w:t>
      </w:r>
      <w:r>
        <w:rPr>
          <w:color w:val="231F20"/>
          <w:spacing w:val="-3"/>
          <w:w w:val="95"/>
          <w:sz w:val="17"/>
        </w:rPr>
        <w:t xml:space="preserve"> </w:t>
      </w:r>
      <w:r>
        <w:rPr>
          <w:color w:val="231F20"/>
          <w:w w:val="95"/>
          <w:sz w:val="17"/>
        </w:rPr>
        <w:t>132,</w:t>
      </w:r>
      <w:r>
        <w:rPr>
          <w:color w:val="231F20"/>
          <w:spacing w:val="-2"/>
          <w:w w:val="95"/>
          <w:sz w:val="17"/>
        </w:rPr>
        <w:t xml:space="preserve"> </w:t>
      </w:r>
      <w:r>
        <w:rPr>
          <w:color w:val="231F20"/>
          <w:w w:val="95"/>
          <w:sz w:val="17"/>
        </w:rPr>
        <w:t>157,</w:t>
      </w:r>
      <w:r>
        <w:rPr>
          <w:color w:val="231F20"/>
          <w:spacing w:val="-2"/>
          <w:w w:val="95"/>
          <w:sz w:val="17"/>
        </w:rPr>
        <w:t xml:space="preserve"> 168–171,</w:t>
      </w:r>
    </w:p>
    <w:p w14:paraId="46ECAC5A" w14:textId="77777777" w:rsidR="00AE0598" w:rsidRDefault="0069255A">
      <w:pPr>
        <w:spacing w:before="1"/>
        <w:ind w:left="470"/>
        <w:rPr>
          <w:sz w:val="17"/>
        </w:rPr>
      </w:pPr>
      <w:r>
        <w:rPr>
          <w:color w:val="231F20"/>
          <w:spacing w:val="-5"/>
          <w:w w:val="95"/>
          <w:sz w:val="17"/>
        </w:rPr>
        <w:t>227</w:t>
      </w:r>
    </w:p>
    <w:p w14:paraId="009CCFC4" w14:textId="77777777" w:rsidR="00AE0598" w:rsidRDefault="0069255A">
      <w:pPr>
        <w:ind w:left="110" w:right="874"/>
        <w:rPr>
          <w:sz w:val="17"/>
        </w:rPr>
      </w:pPr>
      <w:r>
        <w:rPr>
          <w:color w:val="231F20"/>
          <w:w w:val="95"/>
          <w:sz w:val="17"/>
        </w:rPr>
        <w:t>Sevens Rugby Tournament 34</w:t>
      </w:r>
      <w:r>
        <w:rPr>
          <w:color w:val="231F20"/>
          <w:spacing w:val="40"/>
          <w:sz w:val="17"/>
        </w:rPr>
        <w:t xml:space="preserve"> </w:t>
      </w:r>
      <w:r>
        <w:rPr>
          <w:color w:val="231F20"/>
          <w:sz w:val="17"/>
        </w:rPr>
        <w:t>sightseeing 26, 40, 49</w:t>
      </w:r>
    </w:p>
    <w:p w14:paraId="1ADB483B" w14:textId="77777777" w:rsidR="00AE0598" w:rsidRDefault="0069255A">
      <w:pPr>
        <w:spacing w:before="2"/>
        <w:ind w:left="110"/>
        <w:rPr>
          <w:sz w:val="17"/>
        </w:rPr>
      </w:pPr>
      <w:r>
        <w:rPr>
          <w:color w:val="231F20"/>
          <w:w w:val="95"/>
          <w:sz w:val="17"/>
        </w:rPr>
        <w:t>skateboarding</w:t>
      </w:r>
      <w:r>
        <w:rPr>
          <w:color w:val="231F20"/>
          <w:spacing w:val="10"/>
          <w:sz w:val="17"/>
        </w:rPr>
        <w:t xml:space="preserve"> </w:t>
      </w:r>
      <w:r>
        <w:rPr>
          <w:color w:val="231F20"/>
          <w:w w:val="95"/>
          <w:sz w:val="17"/>
        </w:rPr>
        <w:t>20,</w:t>
      </w:r>
      <w:r>
        <w:rPr>
          <w:color w:val="231F20"/>
          <w:spacing w:val="10"/>
          <w:sz w:val="17"/>
        </w:rPr>
        <w:t xml:space="preserve"> </w:t>
      </w:r>
      <w:r>
        <w:rPr>
          <w:color w:val="231F20"/>
          <w:w w:val="95"/>
          <w:sz w:val="17"/>
        </w:rPr>
        <w:t>55,</w:t>
      </w:r>
      <w:r>
        <w:rPr>
          <w:color w:val="231F20"/>
          <w:spacing w:val="10"/>
          <w:sz w:val="17"/>
        </w:rPr>
        <w:t xml:space="preserve"> </w:t>
      </w:r>
      <w:r>
        <w:rPr>
          <w:color w:val="231F20"/>
          <w:spacing w:val="-5"/>
          <w:w w:val="95"/>
          <w:sz w:val="17"/>
        </w:rPr>
        <w:t>144</w:t>
      </w:r>
    </w:p>
    <w:p w14:paraId="696EB17C" w14:textId="77777777" w:rsidR="00AE0598" w:rsidRDefault="0069255A">
      <w:pPr>
        <w:spacing w:before="1"/>
        <w:ind w:left="110"/>
        <w:rPr>
          <w:sz w:val="17"/>
        </w:rPr>
      </w:pPr>
      <w:r>
        <w:rPr>
          <w:color w:val="231F20"/>
          <w:w w:val="95"/>
          <w:sz w:val="17"/>
        </w:rPr>
        <w:t>ski</w:t>
      </w:r>
      <w:r>
        <w:rPr>
          <w:color w:val="231F20"/>
          <w:spacing w:val="-3"/>
          <w:w w:val="95"/>
          <w:sz w:val="17"/>
        </w:rPr>
        <w:t xml:space="preserve"> </w:t>
      </w:r>
      <w:r>
        <w:rPr>
          <w:color w:val="231F20"/>
          <w:w w:val="95"/>
          <w:sz w:val="17"/>
        </w:rPr>
        <w:t>resort</w:t>
      </w:r>
      <w:r>
        <w:rPr>
          <w:color w:val="231F20"/>
          <w:spacing w:val="-3"/>
          <w:w w:val="95"/>
          <w:sz w:val="17"/>
        </w:rPr>
        <w:t xml:space="preserve"> </w:t>
      </w:r>
      <w:r>
        <w:rPr>
          <w:color w:val="231F20"/>
          <w:w w:val="95"/>
          <w:sz w:val="17"/>
        </w:rPr>
        <w:t>51,</w:t>
      </w:r>
      <w:r>
        <w:rPr>
          <w:color w:val="231F20"/>
          <w:spacing w:val="-2"/>
          <w:w w:val="95"/>
          <w:sz w:val="17"/>
        </w:rPr>
        <w:t xml:space="preserve"> </w:t>
      </w:r>
      <w:r>
        <w:rPr>
          <w:color w:val="231F20"/>
          <w:w w:val="95"/>
          <w:sz w:val="17"/>
        </w:rPr>
        <w:t>108,</w:t>
      </w:r>
      <w:r>
        <w:rPr>
          <w:color w:val="231F20"/>
          <w:spacing w:val="-3"/>
          <w:w w:val="95"/>
          <w:sz w:val="17"/>
        </w:rPr>
        <w:t xml:space="preserve"> </w:t>
      </w:r>
      <w:r>
        <w:rPr>
          <w:color w:val="231F20"/>
          <w:w w:val="95"/>
          <w:sz w:val="17"/>
        </w:rPr>
        <w:t>110,</w:t>
      </w:r>
      <w:r>
        <w:rPr>
          <w:color w:val="231F20"/>
          <w:spacing w:val="-3"/>
          <w:w w:val="95"/>
          <w:sz w:val="17"/>
        </w:rPr>
        <w:t xml:space="preserve"> </w:t>
      </w:r>
      <w:r>
        <w:rPr>
          <w:color w:val="231F20"/>
          <w:w w:val="95"/>
          <w:sz w:val="17"/>
        </w:rPr>
        <w:t>114,</w:t>
      </w:r>
      <w:r>
        <w:rPr>
          <w:color w:val="231F20"/>
          <w:spacing w:val="-2"/>
          <w:w w:val="95"/>
          <w:sz w:val="17"/>
        </w:rPr>
        <w:t xml:space="preserve"> </w:t>
      </w:r>
      <w:r>
        <w:rPr>
          <w:color w:val="231F20"/>
          <w:w w:val="95"/>
          <w:sz w:val="17"/>
        </w:rPr>
        <w:t>127,</w:t>
      </w:r>
      <w:r>
        <w:rPr>
          <w:color w:val="231F20"/>
          <w:spacing w:val="-3"/>
          <w:w w:val="95"/>
          <w:sz w:val="17"/>
        </w:rPr>
        <w:t xml:space="preserve"> </w:t>
      </w:r>
      <w:r>
        <w:rPr>
          <w:color w:val="231F20"/>
          <w:spacing w:val="-2"/>
          <w:w w:val="95"/>
          <w:sz w:val="17"/>
        </w:rPr>
        <w:t>192–193,</w:t>
      </w:r>
    </w:p>
    <w:p w14:paraId="569BD446" w14:textId="77777777" w:rsidR="00AE0598" w:rsidRDefault="0069255A">
      <w:pPr>
        <w:ind w:left="470"/>
        <w:rPr>
          <w:sz w:val="17"/>
        </w:rPr>
      </w:pPr>
      <w:r>
        <w:rPr>
          <w:color w:val="231F20"/>
          <w:w w:val="90"/>
          <w:sz w:val="17"/>
        </w:rPr>
        <w:t>216,</w:t>
      </w:r>
      <w:r>
        <w:rPr>
          <w:color w:val="231F20"/>
          <w:spacing w:val="9"/>
          <w:sz w:val="17"/>
        </w:rPr>
        <w:t xml:space="preserve"> </w:t>
      </w:r>
      <w:r>
        <w:rPr>
          <w:color w:val="231F20"/>
          <w:spacing w:val="-5"/>
          <w:sz w:val="17"/>
        </w:rPr>
        <w:t>218</w:t>
      </w:r>
    </w:p>
    <w:p w14:paraId="332B6B14" w14:textId="77777777" w:rsidR="00AE0598" w:rsidRDefault="0069255A">
      <w:pPr>
        <w:spacing w:before="1"/>
        <w:ind w:right="210"/>
        <w:jc w:val="right"/>
        <w:rPr>
          <w:sz w:val="17"/>
        </w:rPr>
      </w:pPr>
      <w:r>
        <w:rPr>
          <w:color w:val="231F20"/>
          <w:w w:val="95"/>
          <w:sz w:val="17"/>
        </w:rPr>
        <w:t>skiing</w:t>
      </w:r>
      <w:r>
        <w:rPr>
          <w:color w:val="231F20"/>
          <w:spacing w:val="6"/>
          <w:sz w:val="17"/>
        </w:rPr>
        <w:t xml:space="preserve"> </w:t>
      </w:r>
      <w:r>
        <w:rPr>
          <w:color w:val="231F20"/>
          <w:w w:val="95"/>
          <w:sz w:val="17"/>
        </w:rPr>
        <w:t>12,</w:t>
      </w:r>
      <w:r>
        <w:rPr>
          <w:color w:val="231F20"/>
          <w:spacing w:val="7"/>
          <w:sz w:val="17"/>
        </w:rPr>
        <w:t xml:space="preserve"> </w:t>
      </w:r>
      <w:r>
        <w:rPr>
          <w:color w:val="231F20"/>
          <w:w w:val="95"/>
          <w:sz w:val="17"/>
        </w:rPr>
        <w:t>26,</w:t>
      </w:r>
      <w:r>
        <w:rPr>
          <w:color w:val="231F20"/>
          <w:spacing w:val="6"/>
          <w:sz w:val="17"/>
        </w:rPr>
        <w:t xml:space="preserve"> </w:t>
      </w:r>
      <w:r>
        <w:rPr>
          <w:color w:val="231F20"/>
          <w:w w:val="95"/>
          <w:sz w:val="17"/>
        </w:rPr>
        <w:t>29,</w:t>
      </w:r>
      <w:r>
        <w:rPr>
          <w:color w:val="231F20"/>
          <w:spacing w:val="7"/>
          <w:sz w:val="17"/>
        </w:rPr>
        <w:t xml:space="preserve"> </w:t>
      </w:r>
      <w:r>
        <w:rPr>
          <w:color w:val="231F20"/>
          <w:w w:val="95"/>
          <w:sz w:val="17"/>
        </w:rPr>
        <w:t>40,</w:t>
      </w:r>
      <w:r>
        <w:rPr>
          <w:color w:val="231F20"/>
          <w:spacing w:val="7"/>
          <w:sz w:val="17"/>
        </w:rPr>
        <w:t xml:space="preserve"> </w:t>
      </w:r>
      <w:r>
        <w:rPr>
          <w:color w:val="231F20"/>
          <w:w w:val="95"/>
          <w:sz w:val="17"/>
        </w:rPr>
        <w:t>43,</w:t>
      </w:r>
      <w:r>
        <w:rPr>
          <w:color w:val="231F20"/>
          <w:spacing w:val="6"/>
          <w:sz w:val="17"/>
        </w:rPr>
        <w:t xml:space="preserve"> </w:t>
      </w:r>
      <w:r>
        <w:rPr>
          <w:color w:val="231F20"/>
          <w:w w:val="95"/>
          <w:sz w:val="17"/>
        </w:rPr>
        <w:t>50–59,</w:t>
      </w:r>
      <w:r>
        <w:rPr>
          <w:color w:val="231F20"/>
          <w:spacing w:val="7"/>
          <w:sz w:val="17"/>
        </w:rPr>
        <w:t xml:space="preserve"> </w:t>
      </w:r>
      <w:r>
        <w:rPr>
          <w:color w:val="231F20"/>
          <w:w w:val="95"/>
          <w:sz w:val="17"/>
        </w:rPr>
        <w:t>108,</w:t>
      </w:r>
      <w:r>
        <w:rPr>
          <w:color w:val="231F20"/>
          <w:spacing w:val="6"/>
          <w:sz w:val="17"/>
        </w:rPr>
        <w:t xml:space="preserve"> </w:t>
      </w:r>
      <w:r>
        <w:rPr>
          <w:color w:val="231F20"/>
          <w:spacing w:val="-4"/>
          <w:w w:val="95"/>
          <w:sz w:val="17"/>
        </w:rPr>
        <w:t>125,</w:t>
      </w:r>
    </w:p>
    <w:p w14:paraId="23B7BC74" w14:textId="77777777" w:rsidR="00AE0598" w:rsidRDefault="0069255A">
      <w:pPr>
        <w:spacing w:before="1"/>
        <w:ind w:right="130"/>
        <w:jc w:val="right"/>
        <w:rPr>
          <w:sz w:val="17"/>
        </w:rPr>
      </w:pPr>
      <w:r>
        <w:rPr>
          <w:color w:val="231F20"/>
          <w:w w:val="90"/>
          <w:sz w:val="17"/>
        </w:rPr>
        <w:t>138–151,</w:t>
      </w:r>
      <w:r>
        <w:rPr>
          <w:color w:val="231F20"/>
          <w:spacing w:val="18"/>
          <w:sz w:val="17"/>
        </w:rPr>
        <w:t xml:space="preserve"> </w:t>
      </w:r>
      <w:r>
        <w:rPr>
          <w:color w:val="231F20"/>
          <w:w w:val="90"/>
          <w:sz w:val="17"/>
        </w:rPr>
        <w:t>183–196,</w:t>
      </w:r>
      <w:r>
        <w:rPr>
          <w:color w:val="231F20"/>
          <w:spacing w:val="18"/>
          <w:sz w:val="17"/>
        </w:rPr>
        <w:t xml:space="preserve"> </w:t>
      </w:r>
      <w:r>
        <w:rPr>
          <w:color w:val="231F20"/>
          <w:w w:val="90"/>
          <w:sz w:val="17"/>
        </w:rPr>
        <w:t>199,</w:t>
      </w:r>
      <w:r>
        <w:rPr>
          <w:color w:val="231F20"/>
          <w:spacing w:val="18"/>
          <w:sz w:val="17"/>
        </w:rPr>
        <w:t xml:space="preserve"> </w:t>
      </w:r>
      <w:r>
        <w:rPr>
          <w:color w:val="231F20"/>
          <w:w w:val="90"/>
          <w:sz w:val="17"/>
        </w:rPr>
        <w:t>206,</w:t>
      </w:r>
      <w:r>
        <w:rPr>
          <w:color w:val="231F20"/>
          <w:spacing w:val="18"/>
          <w:sz w:val="17"/>
        </w:rPr>
        <w:t xml:space="preserve"> </w:t>
      </w:r>
      <w:r>
        <w:rPr>
          <w:color w:val="231F20"/>
          <w:w w:val="90"/>
          <w:sz w:val="17"/>
        </w:rPr>
        <w:t>218,</w:t>
      </w:r>
      <w:r>
        <w:rPr>
          <w:color w:val="231F20"/>
          <w:spacing w:val="18"/>
          <w:sz w:val="17"/>
        </w:rPr>
        <w:t xml:space="preserve"> </w:t>
      </w:r>
      <w:r>
        <w:rPr>
          <w:color w:val="231F20"/>
          <w:spacing w:val="-5"/>
          <w:w w:val="90"/>
          <w:sz w:val="17"/>
        </w:rPr>
        <w:t>234</w:t>
      </w:r>
    </w:p>
    <w:p w14:paraId="5AC56DFA" w14:textId="77777777" w:rsidR="00AE0598" w:rsidRDefault="0069255A">
      <w:pPr>
        <w:ind w:left="110"/>
        <w:rPr>
          <w:sz w:val="17"/>
        </w:rPr>
      </w:pPr>
      <w:r>
        <w:rPr>
          <w:color w:val="231F20"/>
          <w:w w:val="95"/>
          <w:sz w:val="17"/>
        </w:rPr>
        <w:t>skydiving</w:t>
      </w:r>
      <w:r>
        <w:rPr>
          <w:color w:val="231F20"/>
          <w:spacing w:val="5"/>
          <w:sz w:val="17"/>
        </w:rPr>
        <w:t xml:space="preserve"> </w:t>
      </w:r>
      <w:r>
        <w:rPr>
          <w:color w:val="231F20"/>
          <w:w w:val="95"/>
          <w:sz w:val="17"/>
        </w:rPr>
        <w:t>55–56,</w:t>
      </w:r>
      <w:r>
        <w:rPr>
          <w:color w:val="231F20"/>
          <w:spacing w:val="6"/>
          <w:sz w:val="17"/>
        </w:rPr>
        <w:t xml:space="preserve"> </w:t>
      </w:r>
      <w:r>
        <w:rPr>
          <w:color w:val="231F20"/>
          <w:spacing w:val="-5"/>
          <w:w w:val="95"/>
          <w:sz w:val="17"/>
        </w:rPr>
        <w:t>204</w:t>
      </w:r>
    </w:p>
    <w:p w14:paraId="631906BB" w14:textId="77777777" w:rsidR="00AE0598" w:rsidRDefault="0069255A">
      <w:pPr>
        <w:spacing w:before="1"/>
        <w:ind w:left="110"/>
        <w:rPr>
          <w:sz w:val="17"/>
        </w:rPr>
      </w:pPr>
      <w:r>
        <w:rPr>
          <w:color w:val="231F20"/>
          <w:w w:val="95"/>
          <w:sz w:val="17"/>
        </w:rPr>
        <w:t>smartphone</w:t>
      </w:r>
      <w:r>
        <w:rPr>
          <w:color w:val="231F20"/>
          <w:spacing w:val="12"/>
          <w:sz w:val="17"/>
        </w:rPr>
        <w:t xml:space="preserve"> </w:t>
      </w:r>
      <w:r>
        <w:rPr>
          <w:color w:val="231F20"/>
          <w:w w:val="95"/>
          <w:sz w:val="17"/>
        </w:rPr>
        <w:t>application</w:t>
      </w:r>
      <w:r>
        <w:rPr>
          <w:color w:val="231F20"/>
          <w:spacing w:val="13"/>
          <w:sz w:val="17"/>
        </w:rPr>
        <w:t xml:space="preserve"> </w:t>
      </w:r>
      <w:r>
        <w:rPr>
          <w:color w:val="231F20"/>
          <w:spacing w:val="-5"/>
          <w:w w:val="95"/>
          <w:sz w:val="17"/>
        </w:rPr>
        <w:t>220</w:t>
      </w:r>
    </w:p>
    <w:p w14:paraId="522417E3" w14:textId="77777777" w:rsidR="00AE0598" w:rsidRDefault="0069255A">
      <w:pPr>
        <w:spacing w:before="1"/>
        <w:ind w:left="110"/>
        <w:rPr>
          <w:sz w:val="17"/>
        </w:rPr>
      </w:pPr>
      <w:r>
        <w:rPr>
          <w:color w:val="231F20"/>
          <w:w w:val="95"/>
          <w:sz w:val="17"/>
        </w:rPr>
        <w:t>snow</w:t>
      </w:r>
      <w:r>
        <w:rPr>
          <w:color w:val="231F20"/>
          <w:spacing w:val="2"/>
          <w:sz w:val="17"/>
        </w:rPr>
        <w:t xml:space="preserve"> </w:t>
      </w:r>
      <w:r>
        <w:rPr>
          <w:color w:val="231F20"/>
          <w:w w:val="95"/>
          <w:sz w:val="17"/>
        </w:rPr>
        <w:t>sport</w:t>
      </w:r>
      <w:r>
        <w:rPr>
          <w:color w:val="231F20"/>
          <w:spacing w:val="2"/>
          <w:sz w:val="17"/>
        </w:rPr>
        <w:t xml:space="preserve"> </w:t>
      </w:r>
      <w:r>
        <w:rPr>
          <w:color w:val="231F20"/>
          <w:spacing w:val="-2"/>
          <w:w w:val="95"/>
          <w:sz w:val="17"/>
        </w:rPr>
        <w:t>142–144</w:t>
      </w:r>
    </w:p>
    <w:p w14:paraId="4DB54524" w14:textId="77777777" w:rsidR="00AE0598" w:rsidRDefault="0069255A">
      <w:pPr>
        <w:ind w:left="110"/>
        <w:rPr>
          <w:sz w:val="17"/>
        </w:rPr>
      </w:pPr>
      <w:r>
        <w:rPr>
          <w:color w:val="231F20"/>
          <w:w w:val="95"/>
          <w:sz w:val="17"/>
        </w:rPr>
        <w:t>snowboarding</w:t>
      </w:r>
      <w:r>
        <w:rPr>
          <w:color w:val="231F20"/>
          <w:spacing w:val="6"/>
          <w:sz w:val="17"/>
        </w:rPr>
        <w:t xml:space="preserve"> </w:t>
      </w:r>
      <w:r>
        <w:rPr>
          <w:color w:val="231F20"/>
          <w:w w:val="95"/>
          <w:sz w:val="17"/>
        </w:rPr>
        <w:t>12,</w:t>
      </w:r>
      <w:r>
        <w:rPr>
          <w:color w:val="231F20"/>
          <w:spacing w:val="6"/>
          <w:sz w:val="17"/>
        </w:rPr>
        <w:t xml:space="preserve"> </w:t>
      </w:r>
      <w:r>
        <w:rPr>
          <w:color w:val="231F20"/>
          <w:w w:val="95"/>
          <w:sz w:val="17"/>
        </w:rPr>
        <w:t>21,</w:t>
      </w:r>
      <w:r>
        <w:rPr>
          <w:color w:val="231F20"/>
          <w:spacing w:val="6"/>
          <w:sz w:val="17"/>
        </w:rPr>
        <w:t xml:space="preserve"> </w:t>
      </w:r>
      <w:r>
        <w:rPr>
          <w:color w:val="231F20"/>
          <w:w w:val="95"/>
          <w:sz w:val="17"/>
        </w:rPr>
        <w:t>43,</w:t>
      </w:r>
      <w:r>
        <w:rPr>
          <w:color w:val="231F20"/>
          <w:spacing w:val="6"/>
          <w:sz w:val="17"/>
        </w:rPr>
        <w:t xml:space="preserve"> </w:t>
      </w:r>
      <w:r>
        <w:rPr>
          <w:color w:val="231F20"/>
          <w:w w:val="95"/>
          <w:sz w:val="17"/>
        </w:rPr>
        <w:t>50,</w:t>
      </w:r>
      <w:r>
        <w:rPr>
          <w:color w:val="231F20"/>
          <w:spacing w:val="6"/>
          <w:sz w:val="17"/>
        </w:rPr>
        <w:t xml:space="preserve"> </w:t>
      </w:r>
      <w:r>
        <w:rPr>
          <w:color w:val="231F20"/>
          <w:w w:val="95"/>
          <w:sz w:val="17"/>
        </w:rPr>
        <w:t>55,</w:t>
      </w:r>
      <w:r>
        <w:rPr>
          <w:color w:val="231F20"/>
          <w:spacing w:val="7"/>
          <w:sz w:val="17"/>
        </w:rPr>
        <w:t xml:space="preserve"> </w:t>
      </w:r>
      <w:r>
        <w:rPr>
          <w:color w:val="231F20"/>
          <w:spacing w:val="-2"/>
          <w:w w:val="95"/>
          <w:sz w:val="17"/>
        </w:rPr>
        <w:t>126–127,</w:t>
      </w:r>
    </w:p>
    <w:p w14:paraId="3E2A6293" w14:textId="77777777" w:rsidR="00AE0598" w:rsidRDefault="0069255A">
      <w:pPr>
        <w:spacing w:before="1"/>
        <w:ind w:left="470"/>
        <w:rPr>
          <w:sz w:val="17"/>
        </w:rPr>
      </w:pPr>
      <w:r>
        <w:rPr>
          <w:color w:val="231F20"/>
          <w:w w:val="90"/>
          <w:sz w:val="17"/>
        </w:rPr>
        <w:t>139,</w:t>
      </w:r>
      <w:r>
        <w:rPr>
          <w:color w:val="231F20"/>
          <w:spacing w:val="9"/>
          <w:sz w:val="17"/>
        </w:rPr>
        <w:t xml:space="preserve"> </w:t>
      </w:r>
      <w:r>
        <w:rPr>
          <w:color w:val="231F20"/>
          <w:w w:val="90"/>
          <w:sz w:val="17"/>
        </w:rPr>
        <w:t>143,</w:t>
      </w:r>
      <w:r>
        <w:rPr>
          <w:color w:val="231F20"/>
          <w:spacing w:val="10"/>
          <w:sz w:val="17"/>
        </w:rPr>
        <w:t xml:space="preserve"> </w:t>
      </w:r>
      <w:r>
        <w:rPr>
          <w:color w:val="231F20"/>
          <w:w w:val="90"/>
          <w:sz w:val="17"/>
        </w:rPr>
        <w:t>149,</w:t>
      </w:r>
      <w:r>
        <w:rPr>
          <w:color w:val="231F20"/>
          <w:spacing w:val="9"/>
          <w:sz w:val="17"/>
        </w:rPr>
        <w:t xml:space="preserve"> </w:t>
      </w:r>
      <w:r>
        <w:rPr>
          <w:color w:val="231F20"/>
          <w:w w:val="90"/>
          <w:sz w:val="17"/>
        </w:rPr>
        <w:t>185,</w:t>
      </w:r>
      <w:r>
        <w:rPr>
          <w:color w:val="231F20"/>
          <w:spacing w:val="10"/>
          <w:sz w:val="17"/>
        </w:rPr>
        <w:t xml:space="preserve"> </w:t>
      </w:r>
      <w:r>
        <w:rPr>
          <w:color w:val="231F20"/>
          <w:w w:val="90"/>
          <w:sz w:val="17"/>
        </w:rPr>
        <w:t>192–193,</w:t>
      </w:r>
      <w:r>
        <w:rPr>
          <w:color w:val="231F20"/>
          <w:spacing w:val="9"/>
          <w:sz w:val="17"/>
        </w:rPr>
        <w:t xml:space="preserve"> </w:t>
      </w:r>
      <w:r>
        <w:rPr>
          <w:color w:val="231F20"/>
          <w:spacing w:val="-4"/>
          <w:w w:val="90"/>
          <w:sz w:val="17"/>
        </w:rPr>
        <w:t>196,</w:t>
      </w:r>
    </w:p>
    <w:p w14:paraId="7B147BD6" w14:textId="77777777" w:rsidR="00AE0598" w:rsidRDefault="0069255A">
      <w:pPr>
        <w:spacing w:before="1"/>
        <w:ind w:left="470"/>
        <w:rPr>
          <w:sz w:val="17"/>
        </w:rPr>
      </w:pPr>
      <w:r>
        <w:rPr>
          <w:color w:val="231F20"/>
          <w:spacing w:val="-2"/>
          <w:sz w:val="17"/>
        </w:rPr>
        <w:t>204–207</w:t>
      </w:r>
    </w:p>
    <w:p w14:paraId="5BDFCA29" w14:textId="77777777" w:rsidR="00AE0598" w:rsidRDefault="0069255A">
      <w:pPr>
        <w:spacing w:before="98"/>
        <w:ind w:left="110"/>
        <w:rPr>
          <w:sz w:val="17"/>
        </w:rPr>
      </w:pPr>
      <w:r>
        <w:br w:type="column"/>
      </w:r>
      <w:r>
        <w:rPr>
          <w:color w:val="231F20"/>
          <w:w w:val="95"/>
          <w:sz w:val="17"/>
        </w:rPr>
        <w:t>Sochi</w:t>
      </w:r>
      <w:r>
        <w:rPr>
          <w:color w:val="231F20"/>
          <w:spacing w:val="10"/>
          <w:sz w:val="17"/>
        </w:rPr>
        <w:t xml:space="preserve"> </w:t>
      </w:r>
      <w:r>
        <w:rPr>
          <w:color w:val="231F20"/>
          <w:w w:val="95"/>
          <w:sz w:val="17"/>
        </w:rPr>
        <w:t>129,</w:t>
      </w:r>
      <w:r>
        <w:rPr>
          <w:color w:val="231F20"/>
          <w:spacing w:val="10"/>
          <w:sz w:val="17"/>
        </w:rPr>
        <w:t xml:space="preserve"> </w:t>
      </w:r>
      <w:r>
        <w:rPr>
          <w:color w:val="231F20"/>
          <w:spacing w:val="-2"/>
          <w:w w:val="95"/>
          <w:sz w:val="17"/>
        </w:rPr>
        <w:t>189–190</w:t>
      </w:r>
    </w:p>
    <w:p w14:paraId="335B65D4" w14:textId="77777777" w:rsidR="00AE0598" w:rsidRDefault="0069255A">
      <w:pPr>
        <w:spacing w:before="1"/>
        <w:ind w:left="110"/>
        <w:rPr>
          <w:sz w:val="17"/>
        </w:rPr>
      </w:pPr>
      <w:r>
        <w:rPr>
          <w:color w:val="231F20"/>
          <w:w w:val="95"/>
          <w:sz w:val="17"/>
        </w:rPr>
        <w:t>social</w:t>
      </w:r>
      <w:r>
        <w:rPr>
          <w:color w:val="231F20"/>
          <w:spacing w:val="7"/>
          <w:sz w:val="17"/>
        </w:rPr>
        <w:t xml:space="preserve"> </w:t>
      </w:r>
      <w:r>
        <w:rPr>
          <w:color w:val="231F20"/>
          <w:w w:val="95"/>
          <w:sz w:val="17"/>
        </w:rPr>
        <w:t>class</w:t>
      </w:r>
      <w:r>
        <w:rPr>
          <w:color w:val="231F20"/>
          <w:spacing w:val="8"/>
          <w:sz w:val="17"/>
        </w:rPr>
        <w:t xml:space="preserve"> </w:t>
      </w:r>
      <w:r>
        <w:rPr>
          <w:color w:val="231F20"/>
          <w:w w:val="95"/>
          <w:sz w:val="17"/>
        </w:rPr>
        <w:t>5,</w:t>
      </w:r>
      <w:r>
        <w:rPr>
          <w:color w:val="231F20"/>
          <w:spacing w:val="7"/>
          <w:sz w:val="17"/>
        </w:rPr>
        <w:t xml:space="preserve"> </w:t>
      </w:r>
      <w:r>
        <w:rPr>
          <w:color w:val="231F20"/>
          <w:w w:val="95"/>
          <w:sz w:val="17"/>
        </w:rPr>
        <w:t>53,</w:t>
      </w:r>
      <w:r>
        <w:rPr>
          <w:color w:val="231F20"/>
          <w:spacing w:val="8"/>
          <w:sz w:val="17"/>
        </w:rPr>
        <w:t xml:space="preserve"> </w:t>
      </w:r>
      <w:r>
        <w:rPr>
          <w:color w:val="231F20"/>
          <w:spacing w:val="-5"/>
          <w:w w:val="95"/>
          <w:sz w:val="17"/>
        </w:rPr>
        <w:t>236</w:t>
      </w:r>
    </w:p>
    <w:p w14:paraId="545E552C" w14:textId="77777777" w:rsidR="00AE0598" w:rsidRDefault="0069255A">
      <w:pPr>
        <w:ind w:left="110"/>
        <w:rPr>
          <w:sz w:val="17"/>
        </w:rPr>
      </w:pPr>
      <w:r>
        <w:rPr>
          <w:color w:val="231F20"/>
          <w:w w:val="95"/>
          <w:sz w:val="17"/>
        </w:rPr>
        <w:t>social</w:t>
      </w:r>
      <w:r>
        <w:rPr>
          <w:color w:val="231F20"/>
          <w:spacing w:val="1"/>
          <w:sz w:val="17"/>
        </w:rPr>
        <w:t xml:space="preserve"> </w:t>
      </w:r>
      <w:r>
        <w:rPr>
          <w:color w:val="231F20"/>
          <w:w w:val="95"/>
          <w:sz w:val="17"/>
        </w:rPr>
        <w:t>identity</w:t>
      </w:r>
      <w:r>
        <w:rPr>
          <w:color w:val="231F20"/>
          <w:spacing w:val="1"/>
          <w:sz w:val="17"/>
        </w:rPr>
        <w:t xml:space="preserve"> </w:t>
      </w:r>
      <w:r>
        <w:rPr>
          <w:color w:val="231F20"/>
          <w:w w:val="95"/>
          <w:sz w:val="17"/>
        </w:rPr>
        <w:t>160,</w:t>
      </w:r>
      <w:r>
        <w:rPr>
          <w:color w:val="231F20"/>
          <w:spacing w:val="2"/>
          <w:sz w:val="17"/>
        </w:rPr>
        <w:t xml:space="preserve"> </w:t>
      </w:r>
      <w:r>
        <w:rPr>
          <w:color w:val="231F20"/>
          <w:w w:val="95"/>
          <w:sz w:val="17"/>
        </w:rPr>
        <w:t>164,</w:t>
      </w:r>
      <w:r>
        <w:rPr>
          <w:color w:val="231F20"/>
          <w:spacing w:val="1"/>
          <w:sz w:val="17"/>
        </w:rPr>
        <w:t xml:space="preserve"> </w:t>
      </w:r>
      <w:r>
        <w:rPr>
          <w:color w:val="231F20"/>
          <w:w w:val="95"/>
          <w:sz w:val="17"/>
        </w:rPr>
        <w:t>172,</w:t>
      </w:r>
      <w:r>
        <w:rPr>
          <w:color w:val="231F20"/>
          <w:spacing w:val="1"/>
          <w:sz w:val="17"/>
        </w:rPr>
        <w:t xml:space="preserve"> </w:t>
      </w:r>
      <w:r>
        <w:rPr>
          <w:color w:val="231F20"/>
          <w:w w:val="95"/>
          <w:sz w:val="17"/>
        </w:rPr>
        <w:t>174,</w:t>
      </w:r>
      <w:r>
        <w:rPr>
          <w:color w:val="231F20"/>
          <w:spacing w:val="2"/>
          <w:sz w:val="17"/>
        </w:rPr>
        <w:t xml:space="preserve"> </w:t>
      </w:r>
      <w:r>
        <w:rPr>
          <w:color w:val="231F20"/>
          <w:spacing w:val="-5"/>
          <w:w w:val="95"/>
          <w:sz w:val="17"/>
        </w:rPr>
        <w:t>178</w:t>
      </w:r>
    </w:p>
    <w:p w14:paraId="41F66D0C" w14:textId="77777777" w:rsidR="00AE0598" w:rsidRDefault="0069255A">
      <w:pPr>
        <w:spacing w:before="1"/>
        <w:ind w:left="110"/>
        <w:rPr>
          <w:sz w:val="17"/>
        </w:rPr>
      </w:pPr>
      <w:r>
        <w:rPr>
          <w:color w:val="231F20"/>
          <w:w w:val="95"/>
          <w:sz w:val="17"/>
        </w:rPr>
        <w:t>social</w:t>
      </w:r>
      <w:r>
        <w:rPr>
          <w:color w:val="231F20"/>
          <w:spacing w:val="2"/>
          <w:sz w:val="17"/>
        </w:rPr>
        <w:t xml:space="preserve"> </w:t>
      </w:r>
      <w:r>
        <w:rPr>
          <w:color w:val="231F20"/>
          <w:w w:val="95"/>
          <w:sz w:val="17"/>
        </w:rPr>
        <w:t>media</w:t>
      </w:r>
      <w:r>
        <w:rPr>
          <w:color w:val="231F20"/>
          <w:spacing w:val="2"/>
          <w:sz w:val="17"/>
        </w:rPr>
        <w:t xml:space="preserve"> </w:t>
      </w:r>
      <w:r>
        <w:rPr>
          <w:color w:val="231F20"/>
          <w:w w:val="95"/>
          <w:sz w:val="17"/>
        </w:rPr>
        <w:t>4,</w:t>
      </w:r>
      <w:r>
        <w:rPr>
          <w:color w:val="231F20"/>
          <w:spacing w:val="3"/>
          <w:sz w:val="17"/>
        </w:rPr>
        <w:t xml:space="preserve"> </w:t>
      </w:r>
      <w:r>
        <w:rPr>
          <w:color w:val="231F20"/>
          <w:w w:val="95"/>
          <w:sz w:val="17"/>
        </w:rPr>
        <w:t>74,</w:t>
      </w:r>
      <w:r>
        <w:rPr>
          <w:color w:val="231F20"/>
          <w:spacing w:val="2"/>
          <w:sz w:val="17"/>
        </w:rPr>
        <w:t xml:space="preserve"> </w:t>
      </w:r>
      <w:r>
        <w:rPr>
          <w:color w:val="231F20"/>
          <w:w w:val="95"/>
          <w:sz w:val="17"/>
        </w:rPr>
        <w:t>121,</w:t>
      </w:r>
      <w:r>
        <w:rPr>
          <w:color w:val="231F20"/>
          <w:spacing w:val="3"/>
          <w:sz w:val="17"/>
        </w:rPr>
        <w:t xml:space="preserve"> </w:t>
      </w:r>
      <w:r>
        <w:rPr>
          <w:color w:val="231F20"/>
          <w:w w:val="95"/>
          <w:sz w:val="17"/>
        </w:rPr>
        <w:t>129,</w:t>
      </w:r>
      <w:r>
        <w:rPr>
          <w:color w:val="231F20"/>
          <w:spacing w:val="2"/>
          <w:sz w:val="17"/>
        </w:rPr>
        <w:t xml:space="preserve"> </w:t>
      </w:r>
      <w:r>
        <w:rPr>
          <w:color w:val="231F20"/>
          <w:w w:val="95"/>
          <w:sz w:val="17"/>
        </w:rPr>
        <w:t>143,</w:t>
      </w:r>
      <w:r>
        <w:rPr>
          <w:color w:val="231F20"/>
          <w:spacing w:val="3"/>
          <w:sz w:val="17"/>
        </w:rPr>
        <w:t xml:space="preserve"> </w:t>
      </w:r>
      <w:r>
        <w:rPr>
          <w:color w:val="231F20"/>
          <w:spacing w:val="-2"/>
          <w:w w:val="95"/>
          <w:sz w:val="17"/>
        </w:rPr>
        <w:t>208–209,</w:t>
      </w:r>
    </w:p>
    <w:p w14:paraId="25C24D10" w14:textId="77777777" w:rsidR="00AE0598" w:rsidRDefault="0069255A">
      <w:pPr>
        <w:spacing w:before="1"/>
        <w:ind w:left="127" w:right="1939"/>
        <w:jc w:val="center"/>
        <w:rPr>
          <w:sz w:val="17"/>
        </w:rPr>
      </w:pPr>
      <w:r>
        <w:rPr>
          <w:color w:val="231F20"/>
          <w:w w:val="90"/>
          <w:sz w:val="17"/>
        </w:rPr>
        <w:t>215,</w:t>
      </w:r>
      <w:r>
        <w:rPr>
          <w:color w:val="231F20"/>
          <w:spacing w:val="11"/>
          <w:sz w:val="17"/>
        </w:rPr>
        <w:t xml:space="preserve"> </w:t>
      </w:r>
      <w:r>
        <w:rPr>
          <w:color w:val="231F20"/>
          <w:spacing w:val="-5"/>
          <w:sz w:val="17"/>
        </w:rPr>
        <w:t>220</w:t>
      </w:r>
    </w:p>
    <w:p w14:paraId="2A132147" w14:textId="77777777" w:rsidR="00AE0598" w:rsidRDefault="0069255A">
      <w:pPr>
        <w:ind w:left="104" w:right="1884"/>
        <w:jc w:val="center"/>
        <w:rPr>
          <w:sz w:val="17"/>
        </w:rPr>
      </w:pPr>
      <w:r>
        <w:rPr>
          <w:color w:val="231F20"/>
          <w:w w:val="95"/>
          <w:sz w:val="17"/>
        </w:rPr>
        <w:t>social</w:t>
      </w:r>
      <w:r>
        <w:rPr>
          <w:color w:val="231F20"/>
          <w:spacing w:val="11"/>
          <w:sz w:val="17"/>
        </w:rPr>
        <w:t xml:space="preserve"> </w:t>
      </w:r>
      <w:r>
        <w:rPr>
          <w:color w:val="231F20"/>
          <w:w w:val="95"/>
          <w:sz w:val="17"/>
        </w:rPr>
        <w:t>network</w:t>
      </w:r>
      <w:r>
        <w:rPr>
          <w:color w:val="231F20"/>
          <w:spacing w:val="12"/>
          <w:sz w:val="17"/>
        </w:rPr>
        <w:t xml:space="preserve"> </w:t>
      </w:r>
      <w:r>
        <w:rPr>
          <w:color w:val="231F20"/>
          <w:spacing w:val="-5"/>
          <w:w w:val="95"/>
          <w:sz w:val="17"/>
        </w:rPr>
        <w:t>220</w:t>
      </w:r>
    </w:p>
    <w:p w14:paraId="3AF058B1" w14:textId="77777777" w:rsidR="00AE0598" w:rsidRDefault="0069255A">
      <w:pPr>
        <w:spacing w:before="1"/>
        <w:ind w:left="110"/>
        <w:rPr>
          <w:sz w:val="17"/>
        </w:rPr>
      </w:pPr>
      <w:r>
        <w:rPr>
          <w:color w:val="231F20"/>
          <w:w w:val="95"/>
          <w:sz w:val="17"/>
        </w:rPr>
        <w:t>social</w:t>
      </w:r>
      <w:r>
        <w:rPr>
          <w:color w:val="231F20"/>
          <w:spacing w:val="13"/>
          <w:sz w:val="17"/>
        </w:rPr>
        <w:t xml:space="preserve"> </w:t>
      </w:r>
      <w:r>
        <w:rPr>
          <w:color w:val="231F20"/>
          <w:w w:val="95"/>
          <w:sz w:val="17"/>
        </w:rPr>
        <w:t>reality</w:t>
      </w:r>
      <w:r>
        <w:rPr>
          <w:color w:val="231F20"/>
          <w:spacing w:val="14"/>
          <w:sz w:val="17"/>
        </w:rPr>
        <w:t xml:space="preserve"> </w:t>
      </w:r>
      <w:r>
        <w:rPr>
          <w:color w:val="231F20"/>
          <w:spacing w:val="-5"/>
          <w:w w:val="95"/>
          <w:sz w:val="17"/>
        </w:rPr>
        <w:t>77</w:t>
      </w:r>
    </w:p>
    <w:p w14:paraId="3187451C" w14:textId="77777777" w:rsidR="00AE0598" w:rsidRDefault="0069255A">
      <w:pPr>
        <w:spacing w:before="1"/>
        <w:ind w:left="470" w:hanging="360"/>
        <w:rPr>
          <w:sz w:val="17"/>
        </w:rPr>
      </w:pPr>
      <w:r>
        <w:rPr>
          <w:color w:val="231F20"/>
          <w:w w:val="95"/>
          <w:sz w:val="17"/>
        </w:rPr>
        <w:t>socially constructed phenomenon/phenom-</w:t>
      </w:r>
      <w:r>
        <w:rPr>
          <w:color w:val="231F20"/>
          <w:spacing w:val="40"/>
          <w:sz w:val="17"/>
        </w:rPr>
        <w:t xml:space="preserve"> </w:t>
      </w:r>
      <w:r>
        <w:rPr>
          <w:color w:val="231F20"/>
          <w:sz w:val="17"/>
        </w:rPr>
        <w:t>ena 19, 227, 236</w:t>
      </w:r>
    </w:p>
    <w:p w14:paraId="2D730F9A" w14:textId="77777777" w:rsidR="00AE0598" w:rsidRDefault="0069255A">
      <w:pPr>
        <w:spacing w:before="1"/>
        <w:ind w:left="110"/>
        <w:rPr>
          <w:sz w:val="17"/>
        </w:rPr>
      </w:pPr>
      <w:r>
        <w:rPr>
          <w:color w:val="231F20"/>
          <w:w w:val="95"/>
          <w:sz w:val="17"/>
        </w:rPr>
        <w:t>socio-demographic</w:t>
      </w:r>
      <w:r>
        <w:rPr>
          <w:color w:val="231F20"/>
          <w:spacing w:val="4"/>
          <w:sz w:val="17"/>
        </w:rPr>
        <w:t xml:space="preserve"> </w:t>
      </w:r>
      <w:r>
        <w:rPr>
          <w:color w:val="231F20"/>
          <w:w w:val="95"/>
          <w:sz w:val="17"/>
        </w:rPr>
        <w:t>5,</w:t>
      </w:r>
      <w:r>
        <w:rPr>
          <w:color w:val="231F20"/>
          <w:spacing w:val="5"/>
          <w:sz w:val="17"/>
        </w:rPr>
        <w:t xml:space="preserve"> </w:t>
      </w:r>
      <w:r>
        <w:rPr>
          <w:color w:val="231F20"/>
          <w:w w:val="95"/>
          <w:sz w:val="17"/>
        </w:rPr>
        <w:t>218–219,</w:t>
      </w:r>
      <w:r>
        <w:rPr>
          <w:color w:val="231F20"/>
          <w:spacing w:val="5"/>
          <w:sz w:val="17"/>
        </w:rPr>
        <w:t xml:space="preserve"> </w:t>
      </w:r>
      <w:r>
        <w:rPr>
          <w:color w:val="231F20"/>
          <w:spacing w:val="-5"/>
          <w:w w:val="95"/>
          <w:sz w:val="17"/>
        </w:rPr>
        <w:t>235</w:t>
      </w:r>
    </w:p>
    <w:p w14:paraId="322A44EA" w14:textId="77777777" w:rsidR="00AE0598" w:rsidRDefault="0069255A">
      <w:pPr>
        <w:spacing w:before="1"/>
        <w:ind w:left="110"/>
        <w:rPr>
          <w:sz w:val="17"/>
        </w:rPr>
      </w:pPr>
      <w:r>
        <w:rPr>
          <w:color w:val="231F20"/>
          <w:w w:val="95"/>
          <w:sz w:val="17"/>
        </w:rPr>
        <w:t>South</w:t>
      </w:r>
      <w:r>
        <w:rPr>
          <w:color w:val="231F20"/>
          <w:spacing w:val="11"/>
          <w:sz w:val="17"/>
        </w:rPr>
        <w:t xml:space="preserve"> </w:t>
      </w:r>
      <w:r>
        <w:rPr>
          <w:color w:val="231F20"/>
          <w:w w:val="95"/>
          <w:sz w:val="17"/>
        </w:rPr>
        <w:t>Africa</w:t>
      </w:r>
      <w:r>
        <w:rPr>
          <w:color w:val="231F20"/>
          <w:spacing w:val="12"/>
          <w:sz w:val="17"/>
        </w:rPr>
        <w:t xml:space="preserve"> </w:t>
      </w:r>
      <w:r>
        <w:rPr>
          <w:color w:val="231F20"/>
          <w:w w:val="95"/>
          <w:sz w:val="17"/>
        </w:rPr>
        <w:t>5,</w:t>
      </w:r>
      <w:r>
        <w:rPr>
          <w:color w:val="231F20"/>
          <w:spacing w:val="12"/>
          <w:sz w:val="17"/>
        </w:rPr>
        <w:t xml:space="preserve"> </w:t>
      </w:r>
      <w:r>
        <w:rPr>
          <w:color w:val="231F20"/>
          <w:w w:val="95"/>
          <w:sz w:val="17"/>
        </w:rPr>
        <w:t>32,</w:t>
      </w:r>
      <w:r>
        <w:rPr>
          <w:color w:val="231F20"/>
          <w:spacing w:val="12"/>
          <w:sz w:val="17"/>
        </w:rPr>
        <w:t xml:space="preserve"> </w:t>
      </w:r>
      <w:r>
        <w:rPr>
          <w:color w:val="231F20"/>
          <w:w w:val="95"/>
          <w:sz w:val="17"/>
        </w:rPr>
        <w:t>63,</w:t>
      </w:r>
      <w:r>
        <w:rPr>
          <w:color w:val="231F20"/>
          <w:spacing w:val="12"/>
          <w:sz w:val="17"/>
        </w:rPr>
        <w:t xml:space="preserve"> </w:t>
      </w:r>
      <w:r>
        <w:rPr>
          <w:color w:val="231F20"/>
          <w:w w:val="95"/>
          <w:sz w:val="17"/>
        </w:rPr>
        <w:t>76–78,</w:t>
      </w:r>
      <w:r>
        <w:rPr>
          <w:color w:val="231F20"/>
          <w:spacing w:val="12"/>
          <w:sz w:val="17"/>
        </w:rPr>
        <w:t xml:space="preserve"> </w:t>
      </w:r>
      <w:r>
        <w:rPr>
          <w:color w:val="231F20"/>
          <w:w w:val="95"/>
          <w:sz w:val="17"/>
        </w:rPr>
        <w:t>123,</w:t>
      </w:r>
      <w:r>
        <w:rPr>
          <w:color w:val="231F20"/>
          <w:spacing w:val="12"/>
          <w:sz w:val="17"/>
        </w:rPr>
        <w:t xml:space="preserve"> </w:t>
      </w:r>
      <w:r>
        <w:rPr>
          <w:color w:val="231F20"/>
          <w:spacing w:val="-4"/>
          <w:w w:val="95"/>
          <w:sz w:val="17"/>
        </w:rPr>
        <w:t>161,</w:t>
      </w:r>
    </w:p>
    <w:p w14:paraId="1AA280CE" w14:textId="77777777" w:rsidR="00AE0598" w:rsidRDefault="0069255A">
      <w:pPr>
        <w:spacing w:before="1"/>
        <w:ind w:left="470"/>
        <w:rPr>
          <w:sz w:val="17"/>
        </w:rPr>
      </w:pPr>
      <w:r>
        <w:rPr>
          <w:color w:val="231F20"/>
          <w:w w:val="90"/>
          <w:sz w:val="17"/>
        </w:rPr>
        <w:t>165,</w:t>
      </w:r>
      <w:r>
        <w:rPr>
          <w:color w:val="231F20"/>
          <w:spacing w:val="10"/>
          <w:sz w:val="17"/>
        </w:rPr>
        <w:t xml:space="preserve"> </w:t>
      </w:r>
      <w:r>
        <w:rPr>
          <w:color w:val="231F20"/>
          <w:w w:val="90"/>
          <w:sz w:val="17"/>
        </w:rPr>
        <w:t>183,</w:t>
      </w:r>
      <w:r>
        <w:rPr>
          <w:color w:val="231F20"/>
          <w:spacing w:val="10"/>
          <w:sz w:val="17"/>
        </w:rPr>
        <w:t xml:space="preserve"> </w:t>
      </w:r>
      <w:r>
        <w:rPr>
          <w:color w:val="231F20"/>
          <w:spacing w:val="-5"/>
          <w:w w:val="90"/>
          <w:sz w:val="17"/>
        </w:rPr>
        <w:t>231</w:t>
      </w:r>
    </w:p>
    <w:p w14:paraId="6734105D" w14:textId="77777777" w:rsidR="00AE0598" w:rsidRDefault="0069255A">
      <w:pPr>
        <w:ind w:left="110"/>
        <w:rPr>
          <w:sz w:val="17"/>
        </w:rPr>
      </w:pPr>
      <w:r>
        <w:rPr>
          <w:color w:val="231F20"/>
          <w:w w:val="95"/>
          <w:sz w:val="17"/>
        </w:rPr>
        <w:t>South</w:t>
      </w:r>
      <w:r>
        <w:rPr>
          <w:color w:val="231F20"/>
          <w:spacing w:val="9"/>
          <w:sz w:val="17"/>
        </w:rPr>
        <w:t xml:space="preserve"> </w:t>
      </w:r>
      <w:r>
        <w:rPr>
          <w:color w:val="231F20"/>
          <w:w w:val="95"/>
          <w:sz w:val="17"/>
        </w:rPr>
        <w:t>Korea</w:t>
      </w:r>
      <w:r>
        <w:rPr>
          <w:color w:val="231F20"/>
          <w:spacing w:val="10"/>
          <w:sz w:val="17"/>
        </w:rPr>
        <w:t xml:space="preserve"> </w:t>
      </w:r>
      <w:r>
        <w:rPr>
          <w:color w:val="231F20"/>
          <w:w w:val="95"/>
          <w:sz w:val="17"/>
        </w:rPr>
        <w:t>56,</w:t>
      </w:r>
      <w:r>
        <w:rPr>
          <w:color w:val="231F20"/>
          <w:spacing w:val="9"/>
          <w:sz w:val="17"/>
        </w:rPr>
        <w:t xml:space="preserve"> </w:t>
      </w:r>
      <w:r>
        <w:rPr>
          <w:color w:val="231F20"/>
          <w:w w:val="95"/>
          <w:sz w:val="17"/>
        </w:rPr>
        <w:t>129,</w:t>
      </w:r>
      <w:r>
        <w:rPr>
          <w:color w:val="231F20"/>
          <w:spacing w:val="10"/>
          <w:sz w:val="17"/>
        </w:rPr>
        <w:t xml:space="preserve"> </w:t>
      </w:r>
      <w:r>
        <w:rPr>
          <w:color w:val="231F20"/>
          <w:spacing w:val="-5"/>
          <w:w w:val="95"/>
          <w:sz w:val="17"/>
        </w:rPr>
        <w:t>148</w:t>
      </w:r>
    </w:p>
    <w:p w14:paraId="53649C19" w14:textId="77777777" w:rsidR="00AE0598" w:rsidRDefault="0069255A">
      <w:pPr>
        <w:spacing w:before="1"/>
        <w:ind w:left="110"/>
        <w:rPr>
          <w:sz w:val="17"/>
        </w:rPr>
      </w:pPr>
      <w:r>
        <w:rPr>
          <w:color w:val="231F20"/>
          <w:w w:val="95"/>
          <w:sz w:val="17"/>
        </w:rPr>
        <w:t>Southampton</w:t>
      </w:r>
      <w:r>
        <w:rPr>
          <w:color w:val="231F20"/>
          <w:spacing w:val="27"/>
          <w:sz w:val="17"/>
        </w:rPr>
        <w:t xml:space="preserve"> </w:t>
      </w:r>
      <w:r>
        <w:rPr>
          <w:color w:val="231F20"/>
          <w:spacing w:val="-5"/>
          <w:sz w:val="17"/>
        </w:rPr>
        <w:t>34</w:t>
      </w:r>
    </w:p>
    <w:p w14:paraId="55C53C87" w14:textId="77777777" w:rsidR="00AE0598" w:rsidRDefault="0069255A">
      <w:pPr>
        <w:spacing w:before="1"/>
        <w:ind w:left="110"/>
        <w:rPr>
          <w:sz w:val="17"/>
        </w:rPr>
      </w:pPr>
      <w:r>
        <w:rPr>
          <w:color w:val="231F20"/>
          <w:w w:val="95"/>
          <w:sz w:val="17"/>
        </w:rPr>
        <w:t>spatial</w:t>
      </w:r>
      <w:r>
        <w:rPr>
          <w:color w:val="231F20"/>
          <w:spacing w:val="6"/>
          <w:sz w:val="17"/>
        </w:rPr>
        <w:t xml:space="preserve"> </w:t>
      </w:r>
      <w:r>
        <w:rPr>
          <w:color w:val="231F20"/>
          <w:w w:val="95"/>
          <w:sz w:val="17"/>
        </w:rPr>
        <w:t>analysis</w:t>
      </w:r>
      <w:r>
        <w:rPr>
          <w:color w:val="231F20"/>
          <w:spacing w:val="7"/>
          <w:sz w:val="17"/>
        </w:rPr>
        <w:t xml:space="preserve"> </w:t>
      </w:r>
      <w:r>
        <w:rPr>
          <w:color w:val="231F20"/>
          <w:w w:val="95"/>
          <w:sz w:val="17"/>
        </w:rPr>
        <w:t>10,</w:t>
      </w:r>
      <w:r>
        <w:rPr>
          <w:color w:val="231F20"/>
          <w:spacing w:val="7"/>
          <w:sz w:val="17"/>
        </w:rPr>
        <w:t xml:space="preserve"> </w:t>
      </w:r>
      <w:r>
        <w:rPr>
          <w:color w:val="231F20"/>
          <w:w w:val="95"/>
          <w:sz w:val="17"/>
        </w:rPr>
        <w:t>90,</w:t>
      </w:r>
      <w:r>
        <w:rPr>
          <w:color w:val="231F20"/>
          <w:spacing w:val="7"/>
          <w:sz w:val="17"/>
        </w:rPr>
        <w:t xml:space="preserve"> </w:t>
      </w:r>
      <w:r>
        <w:rPr>
          <w:color w:val="231F20"/>
          <w:w w:val="95"/>
          <w:sz w:val="17"/>
        </w:rPr>
        <w:t>96,</w:t>
      </w:r>
      <w:r>
        <w:rPr>
          <w:color w:val="231F20"/>
          <w:spacing w:val="7"/>
          <w:sz w:val="17"/>
        </w:rPr>
        <w:t xml:space="preserve"> </w:t>
      </w:r>
      <w:r>
        <w:rPr>
          <w:color w:val="231F20"/>
          <w:w w:val="95"/>
          <w:sz w:val="17"/>
        </w:rPr>
        <w:t>198,</w:t>
      </w:r>
      <w:r>
        <w:rPr>
          <w:color w:val="231F20"/>
          <w:spacing w:val="7"/>
          <w:sz w:val="17"/>
        </w:rPr>
        <w:t xml:space="preserve"> </w:t>
      </w:r>
      <w:r>
        <w:rPr>
          <w:color w:val="231F20"/>
          <w:spacing w:val="-5"/>
          <w:w w:val="95"/>
          <w:sz w:val="17"/>
        </w:rPr>
        <w:t>231</w:t>
      </w:r>
    </w:p>
    <w:p w14:paraId="0AAFF1E5" w14:textId="77777777" w:rsidR="00AE0598" w:rsidRDefault="0069255A">
      <w:pPr>
        <w:ind w:left="110"/>
        <w:rPr>
          <w:sz w:val="17"/>
        </w:rPr>
      </w:pPr>
      <w:r>
        <w:rPr>
          <w:color w:val="231F20"/>
          <w:w w:val="95"/>
          <w:sz w:val="17"/>
        </w:rPr>
        <w:t>spatial</w:t>
      </w:r>
      <w:r>
        <w:rPr>
          <w:color w:val="231F20"/>
          <w:spacing w:val="6"/>
          <w:sz w:val="17"/>
        </w:rPr>
        <w:t xml:space="preserve"> </w:t>
      </w:r>
      <w:r>
        <w:rPr>
          <w:color w:val="231F20"/>
          <w:w w:val="95"/>
          <w:sz w:val="17"/>
        </w:rPr>
        <w:t>demand</w:t>
      </w:r>
      <w:r>
        <w:rPr>
          <w:color w:val="231F20"/>
          <w:spacing w:val="6"/>
          <w:sz w:val="17"/>
        </w:rPr>
        <w:t xml:space="preserve"> </w:t>
      </w:r>
      <w:r>
        <w:rPr>
          <w:color w:val="231F20"/>
          <w:w w:val="95"/>
          <w:sz w:val="17"/>
        </w:rPr>
        <w:t>curve</w:t>
      </w:r>
      <w:r>
        <w:rPr>
          <w:color w:val="231F20"/>
          <w:spacing w:val="6"/>
          <w:sz w:val="17"/>
        </w:rPr>
        <w:t xml:space="preserve"> </w:t>
      </w:r>
      <w:r>
        <w:rPr>
          <w:color w:val="231F20"/>
          <w:w w:val="95"/>
          <w:sz w:val="17"/>
        </w:rPr>
        <w:t>93,</w:t>
      </w:r>
      <w:r>
        <w:rPr>
          <w:color w:val="231F20"/>
          <w:spacing w:val="7"/>
          <w:sz w:val="17"/>
        </w:rPr>
        <w:t xml:space="preserve"> </w:t>
      </w:r>
      <w:r>
        <w:rPr>
          <w:color w:val="231F20"/>
          <w:spacing w:val="-5"/>
          <w:w w:val="95"/>
          <w:sz w:val="17"/>
        </w:rPr>
        <w:t>96</w:t>
      </w:r>
    </w:p>
    <w:p w14:paraId="1ADF926B" w14:textId="77777777" w:rsidR="00AE0598" w:rsidRDefault="0069255A">
      <w:pPr>
        <w:spacing w:before="1"/>
        <w:ind w:left="110"/>
        <w:rPr>
          <w:sz w:val="17"/>
        </w:rPr>
      </w:pPr>
      <w:r>
        <w:rPr>
          <w:color w:val="231F20"/>
          <w:w w:val="95"/>
          <w:sz w:val="17"/>
        </w:rPr>
        <w:t>spatial</w:t>
      </w:r>
      <w:r>
        <w:rPr>
          <w:color w:val="231F20"/>
          <w:spacing w:val="2"/>
          <w:sz w:val="17"/>
        </w:rPr>
        <w:t xml:space="preserve"> </w:t>
      </w:r>
      <w:r>
        <w:rPr>
          <w:color w:val="231F20"/>
          <w:w w:val="95"/>
          <w:sz w:val="17"/>
        </w:rPr>
        <w:t>dimension</w:t>
      </w:r>
      <w:r>
        <w:rPr>
          <w:color w:val="231F20"/>
          <w:spacing w:val="3"/>
          <w:sz w:val="17"/>
        </w:rPr>
        <w:t xml:space="preserve"> </w:t>
      </w:r>
      <w:r>
        <w:rPr>
          <w:color w:val="231F20"/>
          <w:w w:val="95"/>
          <w:sz w:val="17"/>
        </w:rPr>
        <w:t>110,</w:t>
      </w:r>
      <w:r>
        <w:rPr>
          <w:color w:val="231F20"/>
          <w:spacing w:val="3"/>
          <w:sz w:val="17"/>
        </w:rPr>
        <w:t xml:space="preserve"> </w:t>
      </w:r>
      <w:r>
        <w:rPr>
          <w:color w:val="231F20"/>
          <w:spacing w:val="-5"/>
          <w:w w:val="95"/>
          <w:sz w:val="17"/>
        </w:rPr>
        <w:t>229</w:t>
      </w:r>
    </w:p>
    <w:p w14:paraId="0E00DD81" w14:textId="77777777" w:rsidR="00AE0598" w:rsidRDefault="0069255A">
      <w:pPr>
        <w:spacing w:before="1"/>
        <w:ind w:left="110"/>
        <w:rPr>
          <w:sz w:val="17"/>
        </w:rPr>
      </w:pPr>
      <w:r>
        <w:rPr>
          <w:color w:val="231F20"/>
          <w:w w:val="95"/>
          <w:sz w:val="17"/>
        </w:rPr>
        <w:t>spatial</w:t>
      </w:r>
      <w:r>
        <w:rPr>
          <w:color w:val="231F20"/>
          <w:spacing w:val="15"/>
          <w:sz w:val="17"/>
        </w:rPr>
        <w:t xml:space="preserve"> </w:t>
      </w:r>
      <w:r>
        <w:rPr>
          <w:color w:val="231F20"/>
          <w:w w:val="95"/>
          <w:sz w:val="17"/>
        </w:rPr>
        <w:t>mobility</w:t>
      </w:r>
      <w:r>
        <w:rPr>
          <w:color w:val="231F20"/>
          <w:spacing w:val="16"/>
          <w:sz w:val="17"/>
        </w:rPr>
        <w:t xml:space="preserve"> </w:t>
      </w:r>
      <w:r>
        <w:rPr>
          <w:color w:val="231F20"/>
          <w:spacing w:val="-5"/>
          <w:w w:val="95"/>
          <w:sz w:val="17"/>
        </w:rPr>
        <w:t>228</w:t>
      </w:r>
    </w:p>
    <w:p w14:paraId="523E4E0B" w14:textId="77777777" w:rsidR="00AE0598" w:rsidRDefault="0069255A">
      <w:pPr>
        <w:ind w:left="110"/>
        <w:rPr>
          <w:sz w:val="17"/>
        </w:rPr>
      </w:pPr>
      <w:r>
        <w:rPr>
          <w:color w:val="231F20"/>
          <w:w w:val="95"/>
          <w:sz w:val="17"/>
        </w:rPr>
        <w:t>spatial</w:t>
      </w:r>
      <w:r>
        <w:rPr>
          <w:color w:val="231F20"/>
          <w:spacing w:val="3"/>
          <w:sz w:val="17"/>
        </w:rPr>
        <w:t xml:space="preserve"> </w:t>
      </w:r>
      <w:r>
        <w:rPr>
          <w:color w:val="231F20"/>
          <w:w w:val="95"/>
          <w:sz w:val="17"/>
        </w:rPr>
        <w:t>scale</w:t>
      </w:r>
      <w:r>
        <w:rPr>
          <w:color w:val="231F20"/>
          <w:spacing w:val="3"/>
          <w:sz w:val="17"/>
        </w:rPr>
        <w:t xml:space="preserve"> </w:t>
      </w:r>
      <w:r>
        <w:rPr>
          <w:color w:val="231F20"/>
          <w:w w:val="95"/>
          <w:sz w:val="17"/>
        </w:rPr>
        <w:t>5,</w:t>
      </w:r>
      <w:r>
        <w:rPr>
          <w:color w:val="231F20"/>
          <w:spacing w:val="4"/>
          <w:sz w:val="17"/>
        </w:rPr>
        <w:t xml:space="preserve"> </w:t>
      </w:r>
      <w:r>
        <w:rPr>
          <w:color w:val="231F20"/>
          <w:w w:val="95"/>
          <w:sz w:val="17"/>
        </w:rPr>
        <w:t>38,</w:t>
      </w:r>
      <w:r>
        <w:rPr>
          <w:color w:val="231F20"/>
          <w:spacing w:val="3"/>
          <w:sz w:val="17"/>
        </w:rPr>
        <w:t xml:space="preserve"> </w:t>
      </w:r>
      <w:r>
        <w:rPr>
          <w:color w:val="231F20"/>
          <w:w w:val="95"/>
          <w:sz w:val="17"/>
        </w:rPr>
        <w:t>51,</w:t>
      </w:r>
      <w:r>
        <w:rPr>
          <w:color w:val="231F20"/>
          <w:spacing w:val="4"/>
          <w:sz w:val="17"/>
        </w:rPr>
        <w:t xml:space="preserve"> </w:t>
      </w:r>
      <w:r>
        <w:rPr>
          <w:color w:val="231F20"/>
          <w:w w:val="95"/>
          <w:sz w:val="17"/>
        </w:rPr>
        <w:t>110,</w:t>
      </w:r>
      <w:r>
        <w:rPr>
          <w:color w:val="231F20"/>
          <w:spacing w:val="3"/>
          <w:sz w:val="17"/>
        </w:rPr>
        <w:t xml:space="preserve"> </w:t>
      </w:r>
      <w:r>
        <w:rPr>
          <w:color w:val="231F20"/>
          <w:w w:val="95"/>
          <w:sz w:val="17"/>
        </w:rPr>
        <w:t>152,</w:t>
      </w:r>
      <w:r>
        <w:rPr>
          <w:color w:val="231F20"/>
          <w:spacing w:val="4"/>
          <w:sz w:val="17"/>
        </w:rPr>
        <w:t xml:space="preserve"> </w:t>
      </w:r>
      <w:r>
        <w:rPr>
          <w:color w:val="231F20"/>
          <w:spacing w:val="-5"/>
          <w:w w:val="95"/>
          <w:sz w:val="17"/>
        </w:rPr>
        <w:t>219</w:t>
      </w:r>
    </w:p>
    <w:p w14:paraId="3B44CDF8" w14:textId="77777777" w:rsidR="00AE0598" w:rsidRDefault="0069255A">
      <w:pPr>
        <w:spacing w:before="1"/>
        <w:ind w:left="110"/>
        <w:rPr>
          <w:sz w:val="17"/>
        </w:rPr>
      </w:pPr>
      <w:r>
        <w:rPr>
          <w:color w:val="231F20"/>
          <w:w w:val="95"/>
          <w:sz w:val="17"/>
        </w:rPr>
        <w:t>spatial</w:t>
      </w:r>
      <w:r>
        <w:rPr>
          <w:color w:val="231F20"/>
          <w:spacing w:val="1"/>
          <w:sz w:val="17"/>
        </w:rPr>
        <w:t xml:space="preserve"> </w:t>
      </w:r>
      <w:r>
        <w:rPr>
          <w:color w:val="231F20"/>
          <w:w w:val="95"/>
          <w:sz w:val="17"/>
        </w:rPr>
        <w:t>travel</w:t>
      </w:r>
      <w:r>
        <w:rPr>
          <w:color w:val="231F20"/>
          <w:spacing w:val="1"/>
          <w:sz w:val="17"/>
        </w:rPr>
        <w:t xml:space="preserve"> </w:t>
      </w:r>
      <w:r>
        <w:rPr>
          <w:color w:val="231F20"/>
          <w:w w:val="95"/>
          <w:sz w:val="17"/>
        </w:rPr>
        <w:t>patterns</w:t>
      </w:r>
      <w:r>
        <w:rPr>
          <w:color w:val="231F20"/>
          <w:spacing w:val="1"/>
          <w:sz w:val="17"/>
        </w:rPr>
        <w:t xml:space="preserve"> </w:t>
      </w:r>
      <w:r>
        <w:rPr>
          <w:color w:val="231F20"/>
          <w:w w:val="95"/>
          <w:sz w:val="17"/>
        </w:rPr>
        <w:t>10,</w:t>
      </w:r>
      <w:r>
        <w:rPr>
          <w:color w:val="231F20"/>
          <w:spacing w:val="2"/>
          <w:sz w:val="17"/>
        </w:rPr>
        <w:t xml:space="preserve"> </w:t>
      </w:r>
      <w:r>
        <w:rPr>
          <w:color w:val="231F20"/>
          <w:w w:val="95"/>
          <w:sz w:val="17"/>
        </w:rPr>
        <w:t>89,</w:t>
      </w:r>
      <w:r>
        <w:rPr>
          <w:color w:val="231F20"/>
          <w:spacing w:val="1"/>
          <w:sz w:val="17"/>
        </w:rPr>
        <w:t xml:space="preserve"> </w:t>
      </w:r>
      <w:r>
        <w:rPr>
          <w:color w:val="231F20"/>
          <w:spacing w:val="-5"/>
          <w:w w:val="95"/>
          <w:sz w:val="17"/>
        </w:rPr>
        <w:t>99</w:t>
      </w:r>
    </w:p>
    <w:p w14:paraId="599E71FE" w14:textId="77777777" w:rsidR="00AE0598" w:rsidRDefault="0069255A">
      <w:pPr>
        <w:spacing w:before="1"/>
        <w:ind w:left="110"/>
        <w:rPr>
          <w:sz w:val="17"/>
        </w:rPr>
      </w:pPr>
      <w:r>
        <w:rPr>
          <w:color w:val="231F20"/>
          <w:w w:val="95"/>
          <w:sz w:val="17"/>
        </w:rPr>
        <w:t>spatio-historical</w:t>
      </w:r>
      <w:r>
        <w:rPr>
          <w:color w:val="231F20"/>
          <w:spacing w:val="23"/>
          <w:sz w:val="17"/>
        </w:rPr>
        <w:t xml:space="preserve"> </w:t>
      </w:r>
      <w:r>
        <w:rPr>
          <w:color w:val="231F20"/>
          <w:w w:val="95"/>
          <w:sz w:val="17"/>
        </w:rPr>
        <w:t>context</w:t>
      </w:r>
      <w:r>
        <w:rPr>
          <w:color w:val="231F20"/>
          <w:spacing w:val="24"/>
          <w:sz w:val="17"/>
        </w:rPr>
        <w:t xml:space="preserve"> </w:t>
      </w:r>
      <w:r>
        <w:rPr>
          <w:color w:val="231F20"/>
          <w:spacing w:val="-5"/>
          <w:w w:val="95"/>
          <w:sz w:val="17"/>
        </w:rPr>
        <w:t>227</w:t>
      </w:r>
    </w:p>
    <w:p w14:paraId="2E880161" w14:textId="77777777" w:rsidR="00AE0598" w:rsidRDefault="0069255A">
      <w:pPr>
        <w:spacing w:before="1"/>
        <w:ind w:left="110"/>
        <w:rPr>
          <w:sz w:val="17"/>
        </w:rPr>
      </w:pPr>
      <w:r>
        <w:rPr>
          <w:color w:val="231F20"/>
          <w:w w:val="95"/>
          <w:sz w:val="17"/>
        </w:rPr>
        <w:t>spectator</w:t>
      </w:r>
      <w:r>
        <w:rPr>
          <w:color w:val="231F20"/>
          <w:spacing w:val="8"/>
          <w:sz w:val="17"/>
        </w:rPr>
        <w:t xml:space="preserve"> </w:t>
      </w:r>
      <w:r>
        <w:rPr>
          <w:color w:val="231F20"/>
          <w:w w:val="95"/>
          <w:sz w:val="17"/>
        </w:rPr>
        <w:t>catchment</w:t>
      </w:r>
      <w:r>
        <w:rPr>
          <w:color w:val="231F20"/>
          <w:spacing w:val="9"/>
          <w:sz w:val="17"/>
        </w:rPr>
        <w:t xml:space="preserve"> </w:t>
      </w:r>
      <w:r>
        <w:rPr>
          <w:color w:val="231F20"/>
          <w:w w:val="95"/>
          <w:sz w:val="17"/>
        </w:rPr>
        <w:t>92,</w:t>
      </w:r>
      <w:r>
        <w:rPr>
          <w:color w:val="231F20"/>
          <w:spacing w:val="9"/>
          <w:sz w:val="17"/>
        </w:rPr>
        <w:t xml:space="preserve"> </w:t>
      </w:r>
      <w:r>
        <w:rPr>
          <w:color w:val="231F20"/>
          <w:w w:val="95"/>
          <w:sz w:val="17"/>
        </w:rPr>
        <w:t>96,</w:t>
      </w:r>
      <w:r>
        <w:rPr>
          <w:color w:val="231F20"/>
          <w:spacing w:val="9"/>
          <w:sz w:val="17"/>
        </w:rPr>
        <w:t xml:space="preserve"> </w:t>
      </w:r>
      <w:r>
        <w:rPr>
          <w:color w:val="231F20"/>
          <w:w w:val="95"/>
          <w:sz w:val="17"/>
        </w:rPr>
        <w:t>98,</w:t>
      </w:r>
      <w:r>
        <w:rPr>
          <w:color w:val="231F20"/>
          <w:spacing w:val="9"/>
          <w:sz w:val="17"/>
        </w:rPr>
        <w:t xml:space="preserve"> </w:t>
      </w:r>
      <w:r>
        <w:rPr>
          <w:color w:val="231F20"/>
          <w:spacing w:val="-5"/>
          <w:w w:val="95"/>
          <w:sz w:val="17"/>
        </w:rPr>
        <w:t>100</w:t>
      </w:r>
    </w:p>
    <w:p w14:paraId="32A9B37E" w14:textId="77777777" w:rsidR="00AE0598" w:rsidRDefault="0069255A">
      <w:pPr>
        <w:ind w:left="110"/>
        <w:rPr>
          <w:sz w:val="17"/>
        </w:rPr>
      </w:pPr>
      <w:r>
        <w:rPr>
          <w:color w:val="231F20"/>
          <w:w w:val="95"/>
          <w:sz w:val="17"/>
        </w:rPr>
        <w:t>spectator</w:t>
      </w:r>
      <w:r>
        <w:rPr>
          <w:color w:val="231F20"/>
          <w:spacing w:val="1"/>
          <w:sz w:val="17"/>
        </w:rPr>
        <w:t xml:space="preserve"> </w:t>
      </w:r>
      <w:r>
        <w:rPr>
          <w:color w:val="231F20"/>
          <w:w w:val="95"/>
          <w:sz w:val="17"/>
        </w:rPr>
        <w:t>event</w:t>
      </w:r>
      <w:r>
        <w:rPr>
          <w:color w:val="231F20"/>
          <w:spacing w:val="1"/>
          <w:sz w:val="17"/>
        </w:rPr>
        <w:t xml:space="preserve"> </w:t>
      </w:r>
      <w:r>
        <w:rPr>
          <w:color w:val="231F20"/>
          <w:w w:val="95"/>
          <w:sz w:val="17"/>
        </w:rPr>
        <w:t>12,</w:t>
      </w:r>
      <w:r>
        <w:rPr>
          <w:color w:val="231F20"/>
          <w:spacing w:val="1"/>
          <w:sz w:val="17"/>
        </w:rPr>
        <w:t xml:space="preserve"> </w:t>
      </w:r>
      <w:r>
        <w:rPr>
          <w:color w:val="231F20"/>
          <w:w w:val="95"/>
          <w:sz w:val="17"/>
        </w:rPr>
        <w:t>24–33,</w:t>
      </w:r>
      <w:r>
        <w:rPr>
          <w:color w:val="231F20"/>
          <w:spacing w:val="1"/>
          <w:sz w:val="17"/>
        </w:rPr>
        <w:t xml:space="preserve"> </w:t>
      </w:r>
      <w:r>
        <w:rPr>
          <w:color w:val="231F20"/>
          <w:w w:val="95"/>
          <w:sz w:val="17"/>
        </w:rPr>
        <w:t>37–38,</w:t>
      </w:r>
      <w:r>
        <w:rPr>
          <w:color w:val="231F20"/>
          <w:spacing w:val="1"/>
          <w:sz w:val="17"/>
        </w:rPr>
        <w:t xml:space="preserve"> </w:t>
      </w:r>
      <w:r>
        <w:rPr>
          <w:color w:val="231F20"/>
          <w:spacing w:val="-2"/>
          <w:w w:val="95"/>
          <w:sz w:val="17"/>
        </w:rPr>
        <w:t>45–49,</w:t>
      </w:r>
    </w:p>
    <w:p w14:paraId="3357A6AA" w14:textId="77777777" w:rsidR="00AE0598" w:rsidRDefault="0069255A">
      <w:pPr>
        <w:spacing w:before="1"/>
        <w:ind w:left="470"/>
        <w:rPr>
          <w:sz w:val="17"/>
        </w:rPr>
      </w:pPr>
      <w:r>
        <w:rPr>
          <w:color w:val="231F20"/>
          <w:w w:val="90"/>
          <w:sz w:val="17"/>
        </w:rPr>
        <w:t>57,</w:t>
      </w:r>
      <w:r>
        <w:rPr>
          <w:color w:val="231F20"/>
          <w:spacing w:val="12"/>
          <w:sz w:val="17"/>
        </w:rPr>
        <w:t xml:space="preserve"> </w:t>
      </w:r>
      <w:r>
        <w:rPr>
          <w:color w:val="231F20"/>
          <w:w w:val="90"/>
          <w:sz w:val="17"/>
        </w:rPr>
        <w:t>60,</w:t>
      </w:r>
      <w:r>
        <w:rPr>
          <w:color w:val="231F20"/>
          <w:spacing w:val="13"/>
          <w:sz w:val="17"/>
        </w:rPr>
        <w:t xml:space="preserve"> </w:t>
      </w:r>
      <w:r>
        <w:rPr>
          <w:color w:val="231F20"/>
          <w:w w:val="90"/>
          <w:sz w:val="17"/>
        </w:rPr>
        <w:t>130,</w:t>
      </w:r>
      <w:r>
        <w:rPr>
          <w:color w:val="231F20"/>
          <w:spacing w:val="13"/>
          <w:sz w:val="17"/>
        </w:rPr>
        <w:t xml:space="preserve"> </w:t>
      </w:r>
      <w:r>
        <w:rPr>
          <w:color w:val="231F20"/>
          <w:w w:val="90"/>
          <w:sz w:val="17"/>
        </w:rPr>
        <w:t>155–158,</w:t>
      </w:r>
      <w:r>
        <w:rPr>
          <w:color w:val="231F20"/>
          <w:spacing w:val="12"/>
          <w:sz w:val="17"/>
        </w:rPr>
        <w:t xml:space="preserve"> </w:t>
      </w:r>
      <w:r>
        <w:rPr>
          <w:color w:val="231F20"/>
          <w:w w:val="90"/>
          <w:sz w:val="17"/>
        </w:rPr>
        <w:t>176–177,</w:t>
      </w:r>
      <w:r>
        <w:rPr>
          <w:color w:val="231F20"/>
          <w:spacing w:val="13"/>
          <w:sz w:val="17"/>
        </w:rPr>
        <w:t xml:space="preserve"> </w:t>
      </w:r>
      <w:r>
        <w:rPr>
          <w:color w:val="231F20"/>
          <w:spacing w:val="-4"/>
          <w:w w:val="90"/>
          <w:sz w:val="17"/>
        </w:rPr>
        <w:t>210,</w:t>
      </w:r>
    </w:p>
    <w:p w14:paraId="44A1A2F2" w14:textId="77777777" w:rsidR="00AE0598" w:rsidRDefault="0069255A">
      <w:pPr>
        <w:spacing w:before="1"/>
        <w:ind w:left="470"/>
        <w:rPr>
          <w:sz w:val="17"/>
        </w:rPr>
      </w:pPr>
      <w:r>
        <w:rPr>
          <w:color w:val="231F20"/>
          <w:w w:val="90"/>
          <w:sz w:val="17"/>
        </w:rPr>
        <w:t>229–230,</w:t>
      </w:r>
      <w:r>
        <w:rPr>
          <w:color w:val="231F20"/>
          <w:spacing w:val="42"/>
          <w:sz w:val="17"/>
        </w:rPr>
        <w:t xml:space="preserve"> </w:t>
      </w:r>
      <w:r>
        <w:rPr>
          <w:color w:val="231F20"/>
          <w:spacing w:val="-5"/>
          <w:sz w:val="17"/>
        </w:rPr>
        <w:t>233</w:t>
      </w:r>
    </w:p>
    <w:p w14:paraId="07F4F9EE" w14:textId="77777777" w:rsidR="00AE0598" w:rsidRDefault="0069255A">
      <w:pPr>
        <w:ind w:left="110"/>
        <w:rPr>
          <w:sz w:val="17"/>
        </w:rPr>
      </w:pPr>
      <w:r>
        <w:rPr>
          <w:color w:val="231F20"/>
          <w:w w:val="95"/>
          <w:sz w:val="17"/>
        </w:rPr>
        <w:t>sport</w:t>
      </w:r>
      <w:r>
        <w:rPr>
          <w:color w:val="231F20"/>
          <w:spacing w:val="4"/>
          <w:sz w:val="17"/>
        </w:rPr>
        <w:t xml:space="preserve"> </w:t>
      </w:r>
      <w:r>
        <w:rPr>
          <w:color w:val="231F20"/>
          <w:w w:val="95"/>
          <w:sz w:val="17"/>
        </w:rPr>
        <w:t>and</w:t>
      </w:r>
      <w:r>
        <w:rPr>
          <w:color w:val="231F20"/>
          <w:spacing w:val="4"/>
          <w:sz w:val="17"/>
        </w:rPr>
        <w:t xml:space="preserve"> </w:t>
      </w:r>
      <w:r>
        <w:rPr>
          <w:color w:val="231F20"/>
          <w:w w:val="95"/>
          <w:sz w:val="17"/>
        </w:rPr>
        <w:t>culture</w:t>
      </w:r>
      <w:r>
        <w:rPr>
          <w:color w:val="231F20"/>
          <w:spacing w:val="4"/>
          <w:sz w:val="17"/>
        </w:rPr>
        <w:t xml:space="preserve"> </w:t>
      </w:r>
      <w:r>
        <w:rPr>
          <w:color w:val="231F20"/>
          <w:w w:val="95"/>
          <w:sz w:val="17"/>
        </w:rPr>
        <w:t>10,</w:t>
      </w:r>
      <w:r>
        <w:rPr>
          <w:color w:val="231F20"/>
          <w:spacing w:val="4"/>
          <w:sz w:val="17"/>
        </w:rPr>
        <w:t xml:space="preserve"> </w:t>
      </w:r>
      <w:r>
        <w:rPr>
          <w:color w:val="231F20"/>
          <w:w w:val="95"/>
          <w:sz w:val="17"/>
        </w:rPr>
        <w:t>112,</w:t>
      </w:r>
      <w:r>
        <w:rPr>
          <w:color w:val="231F20"/>
          <w:spacing w:val="4"/>
          <w:sz w:val="17"/>
        </w:rPr>
        <w:t xml:space="preserve"> </w:t>
      </w:r>
      <w:r>
        <w:rPr>
          <w:color w:val="231F20"/>
          <w:w w:val="95"/>
          <w:sz w:val="17"/>
        </w:rPr>
        <w:t>120–121,</w:t>
      </w:r>
      <w:r>
        <w:rPr>
          <w:color w:val="231F20"/>
          <w:spacing w:val="4"/>
          <w:sz w:val="17"/>
        </w:rPr>
        <w:t xml:space="preserve"> </w:t>
      </w:r>
      <w:r>
        <w:rPr>
          <w:color w:val="231F20"/>
          <w:spacing w:val="-4"/>
          <w:w w:val="95"/>
          <w:sz w:val="17"/>
        </w:rPr>
        <w:t>130,</w:t>
      </w:r>
    </w:p>
    <w:p w14:paraId="5C24D509" w14:textId="77777777" w:rsidR="00AE0598" w:rsidRDefault="0069255A">
      <w:pPr>
        <w:spacing w:before="1"/>
        <w:ind w:left="470"/>
        <w:rPr>
          <w:sz w:val="17"/>
        </w:rPr>
      </w:pPr>
      <w:r>
        <w:rPr>
          <w:color w:val="231F20"/>
          <w:spacing w:val="-5"/>
          <w:w w:val="95"/>
          <w:sz w:val="17"/>
        </w:rPr>
        <w:t>229</w:t>
      </w:r>
    </w:p>
    <w:p w14:paraId="0C0D8F3E" w14:textId="77777777" w:rsidR="00AE0598" w:rsidRDefault="0069255A">
      <w:pPr>
        <w:spacing w:before="1"/>
        <w:ind w:left="110"/>
        <w:rPr>
          <w:sz w:val="17"/>
        </w:rPr>
      </w:pPr>
      <w:r>
        <w:rPr>
          <w:color w:val="231F20"/>
          <w:w w:val="95"/>
          <w:sz w:val="17"/>
        </w:rPr>
        <w:t>sport</w:t>
      </w:r>
      <w:r>
        <w:rPr>
          <w:color w:val="231F20"/>
          <w:sz w:val="17"/>
        </w:rPr>
        <w:t xml:space="preserve"> </w:t>
      </w:r>
      <w:r>
        <w:rPr>
          <w:color w:val="231F20"/>
          <w:w w:val="95"/>
          <w:sz w:val="17"/>
        </w:rPr>
        <w:t>as</w:t>
      </w:r>
      <w:r>
        <w:rPr>
          <w:color w:val="231F20"/>
          <w:sz w:val="17"/>
        </w:rPr>
        <w:t xml:space="preserve"> </w:t>
      </w:r>
      <w:r>
        <w:rPr>
          <w:color w:val="231F20"/>
          <w:w w:val="95"/>
          <w:sz w:val="17"/>
        </w:rPr>
        <w:t>culture</w:t>
      </w:r>
      <w:r>
        <w:rPr>
          <w:color w:val="231F20"/>
          <w:sz w:val="17"/>
        </w:rPr>
        <w:t xml:space="preserve"> </w:t>
      </w:r>
      <w:r>
        <w:rPr>
          <w:color w:val="231F20"/>
          <w:w w:val="95"/>
          <w:sz w:val="17"/>
        </w:rPr>
        <w:t>10,</w:t>
      </w:r>
      <w:r>
        <w:rPr>
          <w:color w:val="231F20"/>
          <w:spacing w:val="1"/>
          <w:sz w:val="17"/>
        </w:rPr>
        <w:t xml:space="preserve"> </w:t>
      </w:r>
      <w:r>
        <w:rPr>
          <w:color w:val="231F20"/>
          <w:w w:val="95"/>
          <w:sz w:val="17"/>
        </w:rPr>
        <w:t>121–124,</w:t>
      </w:r>
      <w:r>
        <w:rPr>
          <w:color w:val="231F20"/>
          <w:sz w:val="17"/>
        </w:rPr>
        <w:t xml:space="preserve"> </w:t>
      </w:r>
      <w:r>
        <w:rPr>
          <w:color w:val="231F20"/>
          <w:spacing w:val="-5"/>
          <w:w w:val="95"/>
          <w:sz w:val="17"/>
        </w:rPr>
        <w:t>130</w:t>
      </w:r>
    </w:p>
    <w:p w14:paraId="7F3CF03F" w14:textId="77777777" w:rsidR="00AE0598" w:rsidRDefault="0069255A">
      <w:pPr>
        <w:spacing w:before="1"/>
        <w:ind w:left="110"/>
        <w:rPr>
          <w:sz w:val="17"/>
        </w:rPr>
      </w:pPr>
      <w:r>
        <w:rPr>
          <w:color w:val="231F20"/>
          <w:w w:val="95"/>
          <w:sz w:val="17"/>
        </w:rPr>
        <w:t>sport</w:t>
      </w:r>
      <w:r>
        <w:rPr>
          <w:color w:val="231F20"/>
          <w:spacing w:val="3"/>
          <w:sz w:val="17"/>
        </w:rPr>
        <w:t xml:space="preserve"> </w:t>
      </w:r>
      <w:r>
        <w:rPr>
          <w:color w:val="231F20"/>
          <w:w w:val="95"/>
          <w:sz w:val="17"/>
        </w:rPr>
        <w:t>attraction</w:t>
      </w:r>
      <w:r>
        <w:rPr>
          <w:color w:val="231F20"/>
          <w:spacing w:val="4"/>
          <w:sz w:val="17"/>
        </w:rPr>
        <w:t xml:space="preserve"> </w:t>
      </w:r>
      <w:r>
        <w:rPr>
          <w:color w:val="231F20"/>
          <w:w w:val="95"/>
          <w:sz w:val="17"/>
        </w:rPr>
        <w:t>27,</w:t>
      </w:r>
      <w:r>
        <w:rPr>
          <w:color w:val="231F20"/>
          <w:spacing w:val="3"/>
          <w:sz w:val="17"/>
        </w:rPr>
        <w:t xml:space="preserve"> </w:t>
      </w:r>
      <w:r>
        <w:rPr>
          <w:color w:val="231F20"/>
          <w:w w:val="95"/>
          <w:sz w:val="17"/>
        </w:rPr>
        <w:t>84,</w:t>
      </w:r>
      <w:r>
        <w:rPr>
          <w:color w:val="231F20"/>
          <w:spacing w:val="4"/>
          <w:sz w:val="17"/>
        </w:rPr>
        <w:t xml:space="preserve"> </w:t>
      </w:r>
      <w:r>
        <w:rPr>
          <w:color w:val="231F20"/>
          <w:w w:val="95"/>
          <w:sz w:val="17"/>
        </w:rPr>
        <w:t>90,</w:t>
      </w:r>
      <w:r>
        <w:rPr>
          <w:color w:val="231F20"/>
          <w:spacing w:val="4"/>
          <w:sz w:val="17"/>
        </w:rPr>
        <w:t xml:space="preserve"> </w:t>
      </w:r>
      <w:r>
        <w:rPr>
          <w:color w:val="231F20"/>
          <w:w w:val="95"/>
          <w:sz w:val="17"/>
        </w:rPr>
        <w:t>92,</w:t>
      </w:r>
      <w:r>
        <w:rPr>
          <w:color w:val="231F20"/>
          <w:spacing w:val="3"/>
          <w:sz w:val="17"/>
        </w:rPr>
        <w:t xml:space="preserve"> </w:t>
      </w:r>
      <w:r>
        <w:rPr>
          <w:color w:val="231F20"/>
          <w:w w:val="95"/>
          <w:sz w:val="17"/>
        </w:rPr>
        <w:t>107,</w:t>
      </w:r>
      <w:r>
        <w:rPr>
          <w:color w:val="231F20"/>
          <w:spacing w:val="4"/>
          <w:sz w:val="17"/>
        </w:rPr>
        <w:t xml:space="preserve"> </w:t>
      </w:r>
      <w:r>
        <w:rPr>
          <w:color w:val="231F20"/>
          <w:spacing w:val="-4"/>
          <w:w w:val="95"/>
          <w:sz w:val="17"/>
        </w:rPr>
        <w:t>185,</w:t>
      </w:r>
    </w:p>
    <w:p w14:paraId="5FD99FF7" w14:textId="77777777" w:rsidR="00AE0598" w:rsidRDefault="0069255A">
      <w:pPr>
        <w:ind w:left="470"/>
        <w:rPr>
          <w:sz w:val="17"/>
        </w:rPr>
      </w:pPr>
      <w:r>
        <w:rPr>
          <w:color w:val="231F20"/>
          <w:w w:val="90"/>
          <w:sz w:val="17"/>
        </w:rPr>
        <w:t>212,</w:t>
      </w:r>
      <w:r>
        <w:rPr>
          <w:color w:val="231F20"/>
          <w:spacing w:val="20"/>
          <w:sz w:val="17"/>
        </w:rPr>
        <w:t xml:space="preserve"> </w:t>
      </w:r>
      <w:r>
        <w:rPr>
          <w:color w:val="231F20"/>
          <w:spacing w:val="-5"/>
          <w:sz w:val="17"/>
        </w:rPr>
        <w:t>230</w:t>
      </w:r>
    </w:p>
    <w:p w14:paraId="3ADAA2F8" w14:textId="77777777" w:rsidR="00AE0598" w:rsidRDefault="0069255A">
      <w:pPr>
        <w:spacing w:before="1"/>
        <w:ind w:left="110"/>
        <w:rPr>
          <w:sz w:val="17"/>
        </w:rPr>
      </w:pPr>
      <w:r>
        <w:rPr>
          <w:color w:val="231F20"/>
          <w:w w:val="95"/>
          <w:sz w:val="17"/>
        </w:rPr>
        <w:t>sport</w:t>
      </w:r>
      <w:r>
        <w:rPr>
          <w:color w:val="231F20"/>
          <w:spacing w:val="3"/>
          <w:sz w:val="17"/>
        </w:rPr>
        <w:t xml:space="preserve"> </w:t>
      </w:r>
      <w:r>
        <w:rPr>
          <w:color w:val="231F20"/>
          <w:w w:val="95"/>
          <w:sz w:val="17"/>
        </w:rPr>
        <w:t>culture</w:t>
      </w:r>
      <w:r>
        <w:rPr>
          <w:color w:val="231F20"/>
          <w:spacing w:val="3"/>
          <w:sz w:val="17"/>
        </w:rPr>
        <w:t xml:space="preserve"> </w:t>
      </w:r>
      <w:r>
        <w:rPr>
          <w:color w:val="231F20"/>
          <w:w w:val="95"/>
          <w:sz w:val="17"/>
        </w:rPr>
        <w:t>51,</w:t>
      </w:r>
      <w:r>
        <w:rPr>
          <w:color w:val="231F20"/>
          <w:spacing w:val="3"/>
          <w:sz w:val="17"/>
        </w:rPr>
        <w:t xml:space="preserve"> </w:t>
      </w:r>
      <w:r>
        <w:rPr>
          <w:color w:val="231F20"/>
          <w:w w:val="95"/>
          <w:sz w:val="17"/>
        </w:rPr>
        <w:t>79–81,</w:t>
      </w:r>
      <w:r>
        <w:rPr>
          <w:color w:val="231F20"/>
          <w:spacing w:val="3"/>
          <w:sz w:val="17"/>
        </w:rPr>
        <w:t xml:space="preserve"> </w:t>
      </w:r>
      <w:r>
        <w:rPr>
          <w:color w:val="231F20"/>
          <w:w w:val="95"/>
          <w:sz w:val="17"/>
        </w:rPr>
        <w:t>112,</w:t>
      </w:r>
      <w:r>
        <w:rPr>
          <w:color w:val="231F20"/>
          <w:spacing w:val="4"/>
          <w:sz w:val="17"/>
        </w:rPr>
        <w:t xml:space="preserve"> </w:t>
      </w:r>
      <w:r>
        <w:rPr>
          <w:color w:val="231F20"/>
          <w:w w:val="95"/>
          <w:sz w:val="17"/>
        </w:rPr>
        <w:t>130,</w:t>
      </w:r>
      <w:r>
        <w:rPr>
          <w:color w:val="231F20"/>
          <w:spacing w:val="3"/>
          <w:sz w:val="17"/>
        </w:rPr>
        <w:t xml:space="preserve"> </w:t>
      </w:r>
      <w:r>
        <w:rPr>
          <w:color w:val="231F20"/>
          <w:spacing w:val="-5"/>
          <w:w w:val="95"/>
          <w:sz w:val="17"/>
        </w:rPr>
        <w:t>204</w:t>
      </w:r>
    </w:p>
    <w:p w14:paraId="70AACE92" w14:textId="77777777" w:rsidR="00AE0598" w:rsidRDefault="0069255A">
      <w:pPr>
        <w:spacing w:before="1"/>
        <w:ind w:left="110"/>
        <w:rPr>
          <w:sz w:val="17"/>
        </w:rPr>
      </w:pPr>
      <w:r>
        <w:rPr>
          <w:color w:val="231F20"/>
          <w:w w:val="95"/>
          <w:sz w:val="17"/>
        </w:rPr>
        <w:t>sport</w:t>
      </w:r>
      <w:r>
        <w:rPr>
          <w:color w:val="231F20"/>
          <w:spacing w:val="2"/>
          <w:sz w:val="17"/>
        </w:rPr>
        <w:t xml:space="preserve"> </w:t>
      </w:r>
      <w:r>
        <w:rPr>
          <w:color w:val="231F20"/>
          <w:w w:val="95"/>
          <w:sz w:val="17"/>
        </w:rPr>
        <w:t>experience</w:t>
      </w:r>
      <w:r>
        <w:rPr>
          <w:color w:val="231F20"/>
          <w:spacing w:val="3"/>
          <w:sz w:val="17"/>
        </w:rPr>
        <w:t xml:space="preserve"> </w:t>
      </w:r>
      <w:r>
        <w:rPr>
          <w:color w:val="231F20"/>
          <w:w w:val="95"/>
          <w:sz w:val="17"/>
        </w:rPr>
        <w:t>4,</w:t>
      </w:r>
      <w:r>
        <w:rPr>
          <w:color w:val="231F20"/>
          <w:spacing w:val="3"/>
          <w:sz w:val="17"/>
        </w:rPr>
        <w:t xml:space="preserve"> </w:t>
      </w:r>
      <w:r>
        <w:rPr>
          <w:color w:val="231F20"/>
          <w:w w:val="95"/>
          <w:sz w:val="17"/>
        </w:rPr>
        <w:t>11–12,</w:t>
      </w:r>
      <w:r>
        <w:rPr>
          <w:color w:val="231F20"/>
          <w:spacing w:val="2"/>
          <w:sz w:val="17"/>
        </w:rPr>
        <w:t xml:space="preserve"> </w:t>
      </w:r>
      <w:r>
        <w:rPr>
          <w:color w:val="231F20"/>
          <w:w w:val="95"/>
          <w:sz w:val="17"/>
        </w:rPr>
        <w:t>24–25,</w:t>
      </w:r>
      <w:r>
        <w:rPr>
          <w:color w:val="231F20"/>
          <w:spacing w:val="3"/>
          <w:sz w:val="17"/>
        </w:rPr>
        <w:t xml:space="preserve"> </w:t>
      </w:r>
      <w:r>
        <w:rPr>
          <w:color w:val="231F20"/>
          <w:w w:val="95"/>
          <w:sz w:val="17"/>
        </w:rPr>
        <w:t>59,</w:t>
      </w:r>
      <w:r>
        <w:rPr>
          <w:color w:val="231F20"/>
          <w:spacing w:val="3"/>
          <w:sz w:val="17"/>
        </w:rPr>
        <w:t xml:space="preserve"> </w:t>
      </w:r>
      <w:r>
        <w:rPr>
          <w:color w:val="231F20"/>
          <w:spacing w:val="-5"/>
          <w:w w:val="95"/>
          <w:sz w:val="17"/>
        </w:rPr>
        <w:t>93,</w:t>
      </w:r>
    </w:p>
    <w:p w14:paraId="63C3A602" w14:textId="77777777" w:rsidR="00AE0598" w:rsidRDefault="0069255A">
      <w:pPr>
        <w:ind w:left="470"/>
        <w:rPr>
          <w:sz w:val="17"/>
        </w:rPr>
      </w:pPr>
      <w:r>
        <w:rPr>
          <w:color w:val="231F20"/>
          <w:w w:val="90"/>
          <w:sz w:val="17"/>
        </w:rPr>
        <w:t>139,</w:t>
      </w:r>
      <w:r>
        <w:rPr>
          <w:color w:val="231F20"/>
          <w:spacing w:val="10"/>
          <w:sz w:val="17"/>
        </w:rPr>
        <w:t xml:space="preserve"> </w:t>
      </w:r>
      <w:r>
        <w:rPr>
          <w:color w:val="231F20"/>
          <w:w w:val="90"/>
          <w:sz w:val="17"/>
        </w:rPr>
        <w:t>137,</w:t>
      </w:r>
      <w:r>
        <w:rPr>
          <w:color w:val="231F20"/>
          <w:spacing w:val="11"/>
          <w:sz w:val="17"/>
        </w:rPr>
        <w:t xml:space="preserve"> </w:t>
      </w:r>
      <w:r>
        <w:rPr>
          <w:color w:val="231F20"/>
          <w:w w:val="90"/>
          <w:sz w:val="17"/>
        </w:rPr>
        <w:t>158–159,</w:t>
      </w:r>
      <w:r>
        <w:rPr>
          <w:color w:val="231F20"/>
          <w:spacing w:val="11"/>
          <w:sz w:val="17"/>
        </w:rPr>
        <w:t xml:space="preserve"> </w:t>
      </w:r>
      <w:r>
        <w:rPr>
          <w:color w:val="231F20"/>
          <w:w w:val="90"/>
          <w:sz w:val="17"/>
        </w:rPr>
        <w:t>163–164,</w:t>
      </w:r>
      <w:r>
        <w:rPr>
          <w:color w:val="231F20"/>
          <w:spacing w:val="10"/>
          <w:sz w:val="17"/>
        </w:rPr>
        <w:t xml:space="preserve"> </w:t>
      </w:r>
      <w:r>
        <w:rPr>
          <w:color w:val="231F20"/>
          <w:spacing w:val="-2"/>
          <w:w w:val="90"/>
          <w:sz w:val="17"/>
        </w:rPr>
        <w:t>174–178,</w:t>
      </w:r>
    </w:p>
    <w:p w14:paraId="63C47503" w14:textId="77777777" w:rsidR="00AE0598" w:rsidRDefault="0069255A">
      <w:pPr>
        <w:spacing w:before="1"/>
        <w:ind w:left="470"/>
        <w:rPr>
          <w:sz w:val="17"/>
        </w:rPr>
      </w:pPr>
      <w:r>
        <w:rPr>
          <w:color w:val="231F20"/>
          <w:w w:val="90"/>
          <w:sz w:val="17"/>
        </w:rPr>
        <w:t>211,</w:t>
      </w:r>
      <w:r>
        <w:rPr>
          <w:color w:val="231F20"/>
          <w:spacing w:val="14"/>
          <w:sz w:val="17"/>
        </w:rPr>
        <w:t xml:space="preserve"> </w:t>
      </w:r>
      <w:r>
        <w:rPr>
          <w:color w:val="231F20"/>
          <w:w w:val="90"/>
          <w:sz w:val="17"/>
        </w:rPr>
        <w:t>220,</w:t>
      </w:r>
      <w:r>
        <w:rPr>
          <w:color w:val="231F20"/>
          <w:spacing w:val="14"/>
          <w:sz w:val="17"/>
        </w:rPr>
        <w:t xml:space="preserve"> </w:t>
      </w:r>
      <w:r>
        <w:rPr>
          <w:color w:val="231F20"/>
          <w:spacing w:val="-5"/>
          <w:w w:val="90"/>
          <w:sz w:val="17"/>
        </w:rPr>
        <w:t>233</w:t>
      </w:r>
    </w:p>
    <w:p w14:paraId="02C9EF93" w14:textId="77777777" w:rsidR="00AE0598" w:rsidRDefault="0069255A">
      <w:pPr>
        <w:spacing w:before="1"/>
        <w:ind w:left="110"/>
        <w:rPr>
          <w:sz w:val="17"/>
        </w:rPr>
      </w:pPr>
      <w:r>
        <w:rPr>
          <w:color w:val="231F20"/>
          <w:w w:val="95"/>
          <w:sz w:val="17"/>
        </w:rPr>
        <w:t>sport</w:t>
      </w:r>
      <w:r>
        <w:rPr>
          <w:color w:val="231F20"/>
          <w:spacing w:val="4"/>
          <w:sz w:val="17"/>
        </w:rPr>
        <w:t xml:space="preserve"> </w:t>
      </w:r>
      <w:r>
        <w:rPr>
          <w:color w:val="231F20"/>
          <w:w w:val="95"/>
          <w:sz w:val="17"/>
        </w:rPr>
        <w:t>facility</w:t>
      </w:r>
      <w:r>
        <w:rPr>
          <w:color w:val="231F20"/>
          <w:spacing w:val="4"/>
          <w:sz w:val="17"/>
        </w:rPr>
        <w:t xml:space="preserve"> </w:t>
      </w:r>
      <w:r>
        <w:rPr>
          <w:color w:val="231F20"/>
          <w:w w:val="95"/>
          <w:sz w:val="17"/>
        </w:rPr>
        <w:t>92,</w:t>
      </w:r>
      <w:r>
        <w:rPr>
          <w:color w:val="231F20"/>
          <w:spacing w:val="4"/>
          <w:sz w:val="17"/>
        </w:rPr>
        <w:t xml:space="preserve"> </w:t>
      </w:r>
      <w:r>
        <w:rPr>
          <w:color w:val="231F20"/>
          <w:w w:val="95"/>
          <w:sz w:val="17"/>
        </w:rPr>
        <w:t>106,</w:t>
      </w:r>
      <w:r>
        <w:rPr>
          <w:color w:val="231F20"/>
          <w:spacing w:val="4"/>
          <w:sz w:val="17"/>
        </w:rPr>
        <w:t xml:space="preserve"> </w:t>
      </w:r>
      <w:r>
        <w:rPr>
          <w:color w:val="231F20"/>
          <w:w w:val="95"/>
          <w:sz w:val="17"/>
        </w:rPr>
        <w:t>110,</w:t>
      </w:r>
      <w:r>
        <w:rPr>
          <w:color w:val="231F20"/>
          <w:spacing w:val="4"/>
          <w:sz w:val="17"/>
        </w:rPr>
        <w:t xml:space="preserve"> </w:t>
      </w:r>
      <w:r>
        <w:rPr>
          <w:color w:val="231F20"/>
          <w:w w:val="95"/>
          <w:sz w:val="17"/>
        </w:rPr>
        <w:t>118,</w:t>
      </w:r>
      <w:r>
        <w:rPr>
          <w:color w:val="231F20"/>
          <w:spacing w:val="4"/>
          <w:sz w:val="17"/>
        </w:rPr>
        <w:t xml:space="preserve"> </w:t>
      </w:r>
      <w:r>
        <w:rPr>
          <w:color w:val="231F20"/>
          <w:w w:val="95"/>
          <w:sz w:val="17"/>
        </w:rPr>
        <w:t>129,</w:t>
      </w:r>
      <w:r>
        <w:rPr>
          <w:color w:val="231F20"/>
          <w:spacing w:val="4"/>
          <w:sz w:val="17"/>
        </w:rPr>
        <w:t xml:space="preserve"> </w:t>
      </w:r>
      <w:r>
        <w:rPr>
          <w:color w:val="231F20"/>
          <w:spacing w:val="-4"/>
          <w:w w:val="95"/>
          <w:sz w:val="17"/>
        </w:rPr>
        <w:t>132,</w:t>
      </w:r>
    </w:p>
    <w:p w14:paraId="17F89B11" w14:textId="77777777" w:rsidR="00AE0598" w:rsidRDefault="0069255A">
      <w:pPr>
        <w:ind w:left="452" w:right="569"/>
        <w:jc w:val="center"/>
        <w:rPr>
          <w:sz w:val="17"/>
        </w:rPr>
      </w:pPr>
      <w:r>
        <w:rPr>
          <w:color w:val="231F20"/>
          <w:w w:val="90"/>
          <w:sz w:val="17"/>
        </w:rPr>
        <w:t>147,</w:t>
      </w:r>
      <w:r>
        <w:rPr>
          <w:color w:val="231F20"/>
          <w:spacing w:val="11"/>
          <w:sz w:val="17"/>
        </w:rPr>
        <w:t xml:space="preserve"> </w:t>
      </w:r>
      <w:r>
        <w:rPr>
          <w:color w:val="231F20"/>
          <w:w w:val="90"/>
          <w:sz w:val="17"/>
        </w:rPr>
        <w:t>183,</w:t>
      </w:r>
      <w:r>
        <w:rPr>
          <w:color w:val="231F20"/>
          <w:spacing w:val="11"/>
          <w:sz w:val="17"/>
        </w:rPr>
        <w:t xml:space="preserve"> </w:t>
      </w:r>
      <w:r>
        <w:rPr>
          <w:color w:val="231F20"/>
          <w:w w:val="90"/>
          <w:sz w:val="17"/>
        </w:rPr>
        <w:t>185,</w:t>
      </w:r>
      <w:r>
        <w:rPr>
          <w:color w:val="231F20"/>
          <w:spacing w:val="11"/>
          <w:sz w:val="17"/>
        </w:rPr>
        <w:t xml:space="preserve"> </w:t>
      </w:r>
      <w:r>
        <w:rPr>
          <w:color w:val="231F20"/>
          <w:w w:val="90"/>
          <w:sz w:val="17"/>
        </w:rPr>
        <w:t>192,</w:t>
      </w:r>
      <w:r>
        <w:rPr>
          <w:color w:val="231F20"/>
          <w:spacing w:val="11"/>
          <w:sz w:val="17"/>
        </w:rPr>
        <w:t xml:space="preserve"> </w:t>
      </w:r>
      <w:r>
        <w:rPr>
          <w:color w:val="231F20"/>
          <w:w w:val="90"/>
          <w:sz w:val="17"/>
        </w:rPr>
        <w:t>194,</w:t>
      </w:r>
      <w:r>
        <w:rPr>
          <w:color w:val="231F20"/>
          <w:spacing w:val="11"/>
          <w:sz w:val="17"/>
        </w:rPr>
        <w:t xml:space="preserve"> </w:t>
      </w:r>
      <w:r>
        <w:rPr>
          <w:color w:val="231F20"/>
          <w:spacing w:val="-2"/>
          <w:w w:val="90"/>
          <w:sz w:val="17"/>
        </w:rPr>
        <w:t>232–233</w:t>
      </w:r>
    </w:p>
    <w:p w14:paraId="3761ABA7" w14:textId="77777777" w:rsidR="00AE0598" w:rsidRDefault="0069255A">
      <w:pPr>
        <w:spacing w:before="1"/>
        <w:ind w:left="104" w:right="229"/>
        <w:jc w:val="center"/>
        <w:rPr>
          <w:sz w:val="17"/>
        </w:rPr>
      </w:pPr>
      <w:r>
        <w:rPr>
          <w:color w:val="231F20"/>
          <w:w w:val="95"/>
          <w:sz w:val="17"/>
        </w:rPr>
        <w:t>sport</w:t>
      </w:r>
      <w:r>
        <w:rPr>
          <w:color w:val="231F20"/>
          <w:spacing w:val="-1"/>
          <w:sz w:val="17"/>
        </w:rPr>
        <w:t xml:space="preserve"> </w:t>
      </w:r>
      <w:r>
        <w:rPr>
          <w:color w:val="231F20"/>
          <w:w w:val="95"/>
          <w:sz w:val="17"/>
        </w:rPr>
        <w:t>heritage</w:t>
      </w:r>
      <w:r>
        <w:rPr>
          <w:color w:val="231F20"/>
          <w:spacing w:val="-1"/>
          <w:sz w:val="17"/>
        </w:rPr>
        <w:t xml:space="preserve"> </w:t>
      </w:r>
      <w:r>
        <w:rPr>
          <w:color w:val="231F20"/>
          <w:w w:val="95"/>
          <w:sz w:val="17"/>
        </w:rPr>
        <w:t>25,</w:t>
      </w:r>
      <w:r>
        <w:rPr>
          <w:color w:val="231F20"/>
          <w:spacing w:val="-1"/>
          <w:sz w:val="17"/>
        </w:rPr>
        <w:t xml:space="preserve"> </w:t>
      </w:r>
      <w:r>
        <w:rPr>
          <w:color w:val="231F20"/>
          <w:w w:val="95"/>
          <w:sz w:val="17"/>
        </w:rPr>
        <w:t>37,</w:t>
      </w:r>
      <w:r>
        <w:rPr>
          <w:color w:val="231F20"/>
          <w:spacing w:val="-1"/>
          <w:sz w:val="17"/>
        </w:rPr>
        <w:t xml:space="preserve"> </w:t>
      </w:r>
      <w:r>
        <w:rPr>
          <w:color w:val="231F20"/>
          <w:w w:val="95"/>
          <w:sz w:val="17"/>
        </w:rPr>
        <w:t>57–60,</w:t>
      </w:r>
      <w:r>
        <w:rPr>
          <w:color w:val="231F20"/>
          <w:sz w:val="17"/>
        </w:rPr>
        <w:t xml:space="preserve"> </w:t>
      </w:r>
      <w:r>
        <w:rPr>
          <w:color w:val="231F20"/>
          <w:w w:val="95"/>
          <w:sz w:val="17"/>
        </w:rPr>
        <w:t>115,</w:t>
      </w:r>
      <w:r>
        <w:rPr>
          <w:color w:val="231F20"/>
          <w:spacing w:val="-1"/>
          <w:sz w:val="17"/>
        </w:rPr>
        <w:t xml:space="preserve"> </w:t>
      </w:r>
      <w:r>
        <w:rPr>
          <w:color w:val="231F20"/>
          <w:w w:val="95"/>
          <w:sz w:val="17"/>
        </w:rPr>
        <w:t>118,</w:t>
      </w:r>
      <w:r>
        <w:rPr>
          <w:color w:val="231F20"/>
          <w:spacing w:val="-1"/>
          <w:sz w:val="17"/>
        </w:rPr>
        <w:t xml:space="preserve"> </w:t>
      </w:r>
      <w:r>
        <w:rPr>
          <w:color w:val="231F20"/>
          <w:spacing w:val="-4"/>
          <w:w w:val="95"/>
          <w:sz w:val="17"/>
        </w:rPr>
        <w:t>175,</w:t>
      </w:r>
    </w:p>
    <w:p w14:paraId="3902F34B" w14:textId="77777777" w:rsidR="00AE0598" w:rsidRDefault="0069255A">
      <w:pPr>
        <w:spacing w:before="1"/>
        <w:ind w:left="452" w:right="1219"/>
        <w:jc w:val="center"/>
        <w:rPr>
          <w:sz w:val="17"/>
        </w:rPr>
      </w:pPr>
      <w:r>
        <w:rPr>
          <w:color w:val="231F20"/>
          <w:w w:val="90"/>
          <w:sz w:val="17"/>
        </w:rPr>
        <w:t>199,</w:t>
      </w:r>
      <w:r>
        <w:rPr>
          <w:color w:val="231F20"/>
          <w:spacing w:val="19"/>
          <w:sz w:val="17"/>
        </w:rPr>
        <w:t xml:space="preserve"> </w:t>
      </w:r>
      <w:r>
        <w:rPr>
          <w:color w:val="231F20"/>
          <w:w w:val="90"/>
          <w:sz w:val="17"/>
        </w:rPr>
        <w:t>209,</w:t>
      </w:r>
      <w:r>
        <w:rPr>
          <w:color w:val="231F20"/>
          <w:spacing w:val="20"/>
          <w:sz w:val="17"/>
        </w:rPr>
        <w:t xml:space="preserve"> </w:t>
      </w:r>
      <w:r>
        <w:rPr>
          <w:color w:val="231F20"/>
          <w:w w:val="90"/>
          <w:sz w:val="17"/>
        </w:rPr>
        <w:t>212,</w:t>
      </w:r>
      <w:r>
        <w:rPr>
          <w:color w:val="231F20"/>
          <w:spacing w:val="20"/>
          <w:sz w:val="17"/>
        </w:rPr>
        <w:t xml:space="preserve"> </w:t>
      </w:r>
      <w:r>
        <w:rPr>
          <w:color w:val="231F20"/>
          <w:w w:val="90"/>
          <w:sz w:val="17"/>
        </w:rPr>
        <w:t>222,</w:t>
      </w:r>
      <w:r>
        <w:rPr>
          <w:color w:val="231F20"/>
          <w:spacing w:val="20"/>
          <w:sz w:val="17"/>
        </w:rPr>
        <w:t xml:space="preserve"> </w:t>
      </w:r>
      <w:r>
        <w:rPr>
          <w:color w:val="231F20"/>
          <w:spacing w:val="-5"/>
          <w:w w:val="90"/>
          <w:sz w:val="17"/>
        </w:rPr>
        <w:t>230</w:t>
      </w:r>
    </w:p>
    <w:p w14:paraId="413C64FB" w14:textId="77777777" w:rsidR="00AE0598" w:rsidRDefault="0069255A">
      <w:pPr>
        <w:spacing w:before="1"/>
        <w:ind w:left="110"/>
        <w:rPr>
          <w:sz w:val="17"/>
        </w:rPr>
      </w:pPr>
      <w:r>
        <w:rPr>
          <w:color w:val="231F20"/>
          <w:w w:val="95"/>
          <w:sz w:val="17"/>
        </w:rPr>
        <w:t>sport</w:t>
      </w:r>
      <w:r>
        <w:rPr>
          <w:color w:val="231F20"/>
          <w:spacing w:val="10"/>
          <w:sz w:val="17"/>
        </w:rPr>
        <w:t xml:space="preserve"> </w:t>
      </w:r>
      <w:r>
        <w:rPr>
          <w:color w:val="231F20"/>
          <w:w w:val="95"/>
          <w:sz w:val="17"/>
        </w:rPr>
        <w:t>innovation</w:t>
      </w:r>
      <w:r>
        <w:rPr>
          <w:color w:val="231F20"/>
          <w:spacing w:val="11"/>
          <w:sz w:val="17"/>
        </w:rPr>
        <w:t xml:space="preserve"> </w:t>
      </w:r>
      <w:r>
        <w:rPr>
          <w:color w:val="231F20"/>
          <w:spacing w:val="-5"/>
          <w:w w:val="95"/>
          <w:sz w:val="17"/>
        </w:rPr>
        <w:t>207</w:t>
      </w:r>
    </w:p>
    <w:p w14:paraId="44FAB7C4" w14:textId="77777777" w:rsidR="00AE0598" w:rsidRDefault="0069255A">
      <w:pPr>
        <w:ind w:left="110"/>
        <w:rPr>
          <w:sz w:val="17"/>
        </w:rPr>
      </w:pPr>
      <w:r>
        <w:rPr>
          <w:color w:val="231F20"/>
          <w:w w:val="95"/>
          <w:sz w:val="17"/>
        </w:rPr>
        <w:t>sport</w:t>
      </w:r>
      <w:r>
        <w:rPr>
          <w:color w:val="231F20"/>
          <w:spacing w:val="-1"/>
          <w:w w:val="95"/>
          <w:sz w:val="17"/>
        </w:rPr>
        <w:t xml:space="preserve"> </w:t>
      </w:r>
      <w:r>
        <w:rPr>
          <w:color w:val="231F20"/>
          <w:w w:val="95"/>
          <w:sz w:val="17"/>
        </w:rPr>
        <w:t>landscape</w:t>
      </w:r>
      <w:r>
        <w:rPr>
          <w:color w:val="231F20"/>
          <w:spacing w:val="-2"/>
          <w:sz w:val="17"/>
        </w:rPr>
        <w:t xml:space="preserve"> </w:t>
      </w:r>
      <w:r>
        <w:rPr>
          <w:color w:val="231F20"/>
          <w:w w:val="95"/>
          <w:sz w:val="17"/>
        </w:rPr>
        <w:t>117,</w:t>
      </w:r>
      <w:r>
        <w:rPr>
          <w:color w:val="231F20"/>
          <w:spacing w:val="-2"/>
          <w:sz w:val="17"/>
        </w:rPr>
        <w:t xml:space="preserve"> </w:t>
      </w:r>
      <w:r>
        <w:rPr>
          <w:color w:val="231F20"/>
          <w:w w:val="95"/>
          <w:sz w:val="17"/>
        </w:rPr>
        <w:t>136,</w:t>
      </w:r>
      <w:r>
        <w:rPr>
          <w:color w:val="231F20"/>
          <w:spacing w:val="-2"/>
          <w:sz w:val="17"/>
        </w:rPr>
        <w:t xml:space="preserve"> </w:t>
      </w:r>
      <w:r>
        <w:rPr>
          <w:color w:val="231F20"/>
          <w:spacing w:val="-5"/>
          <w:w w:val="95"/>
          <w:sz w:val="17"/>
        </w:rPr>
        <w:t>221</w:t>
      </w:r>
    </w:p>
    <w:p w14:paraId="6168B816" w14:textId="77777777" w:rsidR="00AE0598" w:rsidRDefault="0069255A">
      <w:pPr>
        <w:spacing w:before="1"/>
        <w:ind w:left="110"/>
        <w:rPr>
          <w:sz w:val="17"/>
        </w:rPr>
      </w:pPr>
      <w:r>
        <w:rPr>
          <w:color w:val="231F20"/>
          <w:w w:val="95"/>
          <w:sz w:val="17"/>
        </w:rPr>
        <w:t>sport</w:t>
      </w:r>
      <w:r>
        <w:rPr>
          <w:color w:val="231F20"/>
          <w:spacing w:val="5"/>
          <w:sz w:val="17"/>
        </w:rPr>
        <w:t xml:space="preserve"> </w:t>
      </w:r>
      <w:r>
        <w:rPr>
          <w:color w:val="231F20"/>
          <w:w w:val="95"/>
          <w:sz w:val="17"/>
        </w:rPr>
        <w:t>life</w:t>
      </w:r>
      <w:r>
        <w:rPr>
          <w:color w:val="231F20"/>
          <w:spacing w:val="5"/>
          <w:sz w:val="17"/>
        </w:rPr>
        <w:t xml:space="preserve"> </w:t>
      </w:r>
      <w:r>
        <w:rPr>
          <w:color w:val="231F20"/>
          <w:w w:val="95"/>
          <w:sz w:val="17"/>
        </w:rPr>
        <w:t>cycle</w:t>
      </w:r>
      <w:r>
        <w:rPr>
          <w:color w:val="231F20"/>
          <w:spacing w:val="6"/>
          <w:sz w:val="17"/>
        </w:rPr>
        <w:t xml:space="preserve"> </w:t>
      </w:r>
      <w:r>
        <w:rPr>
          <w:color w:val="231F20"/>
          <w:w w:val="95"/>
          <w:sz w:val="17"/>
        </w:rPr>
        <w:t>199,</w:t>
      </w:r>
      <w:r>
        <w:rPr>
          <w:color w:val="231F20"/>
          <w:spacing w:val="5"/>
          <w:sz w:val="17"/>
        </w:rPr>
        <w:t xml:space="preserve"> </w:t>
      </w:r>
      <w:r>
        <w:rPr>
          <w:color w:val="231F20"/>
          <w:w w:val="95"/>
          <w:sz w:val="17"/>
        </w:rPr>
        <w:t>204,</w:t>
      </w:r>
      <w:r>
        <w:rPr>
          <w:color w:val="231F20"/>
          <w:spacing w:val="5"/>
          <w:sz w:val="17"/>
        </w:rPr>
        <w:t xml:space="preserve"> </w:t>
      </w:r>
      <w:r>
        <w:rPr>
          <w:color w:val="231F20"/>
          <w:w w:val="95"/>
          <w:sz w:val="17"/>
        </w:rPr>
        <w:t>209,</w:t>
      </w:r>
      <w:r>
        <w:rPr>
          <w:color w:val="231F20"/>
          <w:spacing w:val="6"/>
          <w:sz w:val="17"/>
        </w:rPr>
        <w:t xml:space="preserve"> </w:t>
      </w:r>
      <w:r>
        <w:rPr>
          <w:color w:val="231F20"/>
          <w:w w:val="95"/>
          <w:sz w:val="17"/>
        </w:rPr>
        <w:t>222,</w:t>
      </w:r>
      <w:r>
        <w:rPr>
          <w:color w:val="231F20"/>
          <w:spacing w:val="5"/>
          <w:sz w:val="17"/>
        </w:rPr>
        <w:t xml:space="preserve"> </w:t>
      </w:r>
      <w:r>
        <w:rPr>
          <w:color w:val="231F20"/>
          <w:spacing w:val="-5"/>
          <w:w w:val="95"/>
          <w:sz w:val="17"/>
        </w:rPr>
        <w:t>234</w:t>
      </w:r>
    </w:p>
    <w:p w14:paraId="096B14B0" w14:textId="77777777" w:rsidR="00AE0598" w:rsidRDefault="0069255A">
      <w:pPr>
        <w:spacing w:before="1"/>
        <w:ind w:left="110"/>
        <w:rPr>
          <w:sz w:val="17"/>
        </w:rPr>
      </w:pPr>
      <w:r>
        <w:rPr>
          <w:color w:val="231F20"/>
          <w:w w:val="95"/>
          <w:sz w:val="17"/>
        </w:rPr>
        <w:t>sport</w:t>
      </w:r>
      <w:r>
        <w:rPr>
          <w:color w:val="231F20"/>
          <w:spacing w:val="-3"/>
          <w:w w:val="95"/>
          <w:sz w:val="17"/>
        </w:rPr>
        <w:t xml:space="preserve"> </w:t>
      </w:r>
      <w:r>
        <w:rPr>
          <w:color w:val="231F20"/>
          <w:w w:val="95"/>
          <w:sz w:val="17"/>
        </w:rPr>
        <w:t>museum</w:t>
      </w:r>
      <w:r>
        <w:rPr>
          <w:color w:val="231F20"/>
          <w:spacing w:val="-2"/>
          <w:w w:val="95"/>
          <w:sz w:val="17"/>
        </w:rPr>
        <w:t xml:space="preserve"> </w:t>
      </w:r>
      <w:r>
        <w:rPr>
          <w:color w:val="231F20"/>
          <w:w w:val="95"/>
          <w:sz w:val="17"/>
        </w:rPr>
        <w:t>59,</w:t>
      </w:r>
      <w:r>
        <w:rPr>
          <w:color w:val="231F20"/>
          <w:spacing w:val="-2"/>
          <w:w w:val="95"/>
          <w:sz w:val="17"/>
        </w:rPr>
        <w:t xml:space="preserve"> </w:t>
      </w:r>
      <w:r>
        <w:rPr>
          <w:color w:val="231F20"/>
          <w:w w:val="95"/>
          <w:sz w:val="17"/>
        </w:rPr>
        <w:t>118,</w:t>
      </w:r>
      <w:r>
        <w:rPr>
          <w:color w:val="231F20"/>
          <w:spacing w:val="-2"/>
          <w:w w:val="95"/>
          <w:sz w:val="17"/>
        </w:rPr>
        <w:t xml:space="preserve"> </w:t>
      </w:r>
      <w:r>
        <w:rPr>
          <w:color w:val="231F20"/>
          <w:w w:val="95"/>
          <w:sz w:val="17"/>
        </w:rPr>
        <w:t>174,</w:t>
      </w:r>
      <w:r>
        <w:rPr>
          <w:color w:val="231F20"/>
          <w:spacing w:val="-2"/>
          <w:w w:val="95"/>
          <w:sz w:val="17"/>
        </w:rPr>
        <w:t xml:space="preserve"> 211–212</w:t>
      </w:r>
    </w:p>
    <w:p w14:paraId="6C055E9B" w14:textId="77777777" w:rsidR="00AE0598" w:rsidRDefault="0069255A">
      <w:pPr>
        <w:ind w:left="110"/>
        <w:rPr>
          <w:sz w:val="17"/>
        </w:rPr>
      </w:pPr>
      <w:r>
        <w:rPr>
          <w:color w:val="231F20"/>
          <w:w w:val="95"/>
          <w:sz w:val="17"/>
        </w:rPr>
        <w:t>sport</w:t>
      </w:r>
      <w:r>
        <w:rPr>
          <w:color w:val="231F20"/>
          <w:spacing w:val="1"/>
          <w:sz w:val="17"/>
        </w:rPr>
        <w:t xml:space="preserve"> </w:t>
      </w:r>
      <w:r>
        <w:rPr>
          <w:color w:val="231F20"/>
          <w:w w:val="95"/>
          <w:sz w:val="17"/>
        </w:rPr>
        <w:t>subculture</w:t>
      </w:r>
      <w:r>
        <w:rPr>
          <w:color w:val="231F20"/>
          <w:spacing w:val="1"/>
          <w:sz w:val="17"/>
        </w:rPr>
        <w:t xml:space="preserve"> </w:t>
      </w:r>
      <w:r>
        <w:rPr>
          <w:color w:val="231F20"/>
          <w:w w:val="95"/>
          <w:sz w:val="17"/>
        </w:rPr>
        <w:t>10,</w:t>
      </w:r>
      <w:r>
        <w:rPr>
          <w:color w:val="231F20"/>
          <w:spacing w:val="2"/>
          <w:sz w:val="17"/>
        </w:rPr>
        <w:t xml:space="preserve"> </w:t>
      </w:r>
      <w:r>
        <w:rPr>
          <w:color w:val="231F20"/>
          <w:w w:val="95"/>
          <w:sz w:val="17"/>
        </w:rPr>
        <w:t>51,</w:t>
      </w:r>
      <w:r>
        <w:rPr>
          <w:color w:val="231F20"/>
          <w:spacing w:val="1"/>
          <w:sz w:val="17"/>
        </w:rPr>
        <w:t xml:space="preserve"> </w:t>
      </w:r>
      <w:r>
        <w:rPr>
          <w:color w:val="231F20"/>
          <w:w w:val="95"/>
          <w:sz w:val="17"/>
        </w:rPr>
        <w:t>74,</w:t>
      </w:r>
      <w:r>
        <w:rPr>
          <w:color w:val="231F20"/>
          <w:spacing w:val="2"/>
          <w:sz w:val="17"/>
        </w:rPr>
        <w:t xml:space="preserve"> </w:t>
      </w:r>
      <w:r>
        <w:rPr>
          <w:color w:val="231F20"/>
          <w:w w:val="95"/>
          <w:sz w:val="17"/>
        </w:rPr>
        <w:t>124–128,</w:t>
      </w:r>
      <w:r>
        <w:rPr>
          <w:color w:val="231F20"/>
          <w:spacing w:val="1"/>
          <w:sz w:val="17"/>
        </w:rPr>
        <w:t xml:space="preserve"> </w:t>
      </w:r>
      <w:r>
        <w:rPr>
          <w:color w:val="231F20"/>
          <w:spacing w:val="-4"/>
          <w:w w:val="95"/>
          <w:sz w:val="17"/>
        </w:rPr>
        <w:t>158,</w:t>
      </w:r>
    </w:p>
    <w:p w14:paraId="250B42C4" w14:textId="77777777" w:rsidR="00AE0598" w:rsidRDefault="0069255A">
      <w:pPr>
        <w:spacing w:before="1"/>
        <w:ind w:left="470"/>
        <w:rPr>
          <w:sz w:val="17"/>
        </w:rPr>
      </w:pPr>
      <w:r>
        <w:rPr>
          <w:color w:val="231F20"/>
          <w:w w:val="90"/>
          <w:sz w:val="17"/>
        </w:rPr>
        <w:t>164,</w:t>
      </w:r>
      <w:r>
        <w:rPr>
          <w:color w:val="231F20"/>
          <w:spacing w:val="13"/>
          <w:sz w:val="17"/>
        </w:rPr>
        <w:t xml:space="preserve"> </w:t>
      </w:r>
      <w:r>
        <w:rPr>
          <w:color w:val="231F20"/>
          <w:w w:val="90"/>
          <w:sz w:val="17"/>
        </w:rPr>
        <w:t>173,</w:t>
      </w:r>
      <w:r>
        <w:rPr>
          <w:color w:val="231F20"/>
          <w:spacing w:val="13"/>
          <w:sz w:val="17"/>
        </w:rPr>
        <w:t xml:space="preserve"> </w:t>
      </w:r>
      <w:r>
        <w:rPr>
          <w:color w:val="231F20"/>
          <w:w w:val="90"/>
          <w:sz w:val="17"/>
        </w:rPr>
        <w:t>197,</w:t>
      </w:r>
      <w:r>
        <w:rPr>
          <w:color w:val="231F20"/>
          <w:spacing w:val="13"/>
          <w:sz w:val="17"/>
        </w:rPr>
        <w:t xml:space="preserve"> </w:t>
      </w:r>
      <w:r>
        <w:rPr>
          <w:color w:val="231F20"/>
          <w:w w:val="90"/>
          <w:sz w:val="17"/>
        </w:rPr>
        <w:t>215,</w:t>
      </w:r>
      <w:r>
        <w:rPr>
          <w:color w:val="231F20"/>
          <w:spacing w:val="13"/>
          <w:sz w:val="17"/>
        </w:rPr>
        <w:t xml:space="preserve"> </w:t>
      </w:r>
      <w:r>
        <w:rPr>
          <w:color w:val="231F20"/>
          <w:w w:val="90"/>
          <w:sz w:val="17"/>
        </w:rPr>
        <w:t>228,</w:t>
      </w:r>
      <w:r>
        <w:rPr>
          <w:color w:val="231F20"/>
          <w:spacing w:val="13"/>
          <w:sz w:val="17"/>
        </w:rPr>
        <w:t xml:space="preserve"> </w:t>
      </w:r>
      <w:r>
        <w:rPr>
          <w:color w:val="231F20"/>
          <w:spacing w:val="-5"/>
          <w:w w:val="90"/>
          <w:sz w:val="17"/>
        </w:rPr>
        <w:t>233</w:t>
      </w:r>
    </w:p>
    <w:p w14:paraId="3C0D26C1" w14:textId="77777777" w:rsidR="00AE0598" w:rsidRDefault="0069255A">
      <w:pPr>
        <w:spacing w:before="1"/>
        <w:ind w:left="110"/>
        <w:rPr>
          <w:sz w:val="17"/>
        </w:rPr>
      </w:pPr>
      <w:r>
        <w:rPr>
          <w:color w:val="231F20"/>
          <w:w w:val="95"/>
          <w:sz w:val="17"/>
        </w:rPr>
        <w:t>sport</w:t>
      </w:r>
      <w:r>
        <w:rPr>
          <w:color w:val="231F20"/>
          <w:spacing w:val="6"/>
          <w:sz w:val="17"/>
        </w:rPr>
        <w:t xml:space="preserve"> </w:t>
      </w:r>
      <w:r>
        <w:rPr>
          <w:color w:val="231F20"/>
          <w:w w:val="95"/>
          <w:sz w:val="17"/>
        </w:rPr>
        <w:t>team</w:t>
      </w:r>
      <w:r>
        <w:rPr>
          <w:color w:val="231F20"/>
          <w:spacing w:val="7"/>
          <w:sz w:val="17"/>
        </w:rPr>
        <w:t xml:space="preserve"> </w:t>
      </w:r>
      <w:r>
        <w:rPr>
          <w:color w:val="231F20"/>
          <w:w w:val="95"/>
          <w:sz w:val="17"/>
        </w:rPr>
        <w:t>franchise</w:t>
      </w:r>
      <w:r>
        <w:rPr>
          <w:color w:val="231F20"/>
          <w:spacing w:val="7"/>
          <w:sz w:val="17"/>
        </w:rPr>
        <w:t xml:space="preserve"> </w:t>
      </w:r>
      <w:r>
        <w:rPr>
          <w:color w:val="231F20"/>
          <w:spacing w:val="-5"/>
          <w:w w:val="95"/>
          <w:sz w:val="17"/>
        </w:rPr>
        <w:t>11</w:t>
      </w:r>
    </w:p>
    <w:p w14:paraId="5F9493E0" w14:textId="77777777" w:rsidR="00AE0598" w:rsidRDefault="0069255A">
      <w:pPr>
        <w:ind w:left="110"/>
        <w:rPr>
          <w:sz w:val="17"/>
        </w:rPr>
      </w:pPr>
      <w:r>
        <w:rPr>
          <w:color w:val="231F20"/>
          <w:w w:val="95"/>
          <w:sz w:val="17"/>
        </w:rPr>
        <w:t>sport</w:t>
      </w:r>
      <w:r>
        <w:rPr>
          <w:color w:val="231F20"/>
          <w:spacing w:val="9"/>
          <w:sz w:val="17"/>
        </w:rPr>
        <w:t xml:space="preserve"> </w:t>
      </w:r>
      <w:r>
        <w:rPr>
          <w:color w:val="231F20"/>
          <w:w w:val="95"/>
          <w:sz w:val="17"/>
        </w:rPr>
        <w:t>tourism</w:t>
      </w:r>
      <w:r>
        <w:rPr>
          <w:color w:val="231F20"/>
          <w:spacing w:val="9"/>
          <w:sz w:val="17"/>
        </w:rPr>
        <w:t xml:space="preserve"> </w:t>
      </w:r>
      <w:r>
        <w:rPr>
          <w:color w:val="231F20"/>
          <w:w w:val="95"/>
          <w:sz w:val="17"/>
        </w:rPr>
        <w:t>alliance</w:t>
      </w:r>
      <w:r>
        <w:rPr>
          <w:color w:val="231F20"/>
          <w:spacing w:val="9"/>
          <w:sz w:val="17"/>
        </w:rPr>
        <w:t xml:space="preserve"> </w:t>
      </w:r>
      <w:r>
        <w:rPr>
          <w:color w:val="231F20"/>
          <w:w w:val="95"/>
          <w:sz w:val="17"/>
        </w:rPr>
        <w:t>81–82,</w:t>
      </w:r>
      <w:r>
        <w:rPr>
          <w:color w:val="231F20"/>
          <w:spacing w:val="9"/>
          <w:sz w:val="17"/>
        </w:rPr>
        <w:t xml:space="preserve"> </w:t>
      </w:r>
      <w:r>
        <w:rPr>
          <w:color w:val="231F20"/>
          <w:w w:val="95"/>
          <w:sz w:val="17"/>
        </w:rPr>
        <w:t>84,</w:t>
      </w:r>
      <w:r>
        <w:rPr>
          <w:color w:val="231F20"/>
          <w:spacing w:val="9"/>
          <w:sz w:val="17"/>
        </w:rPr>
        <w:t xml:space="preserve"> </w:t>
      </w:r>
      <w:r>
        <w:rPr>
          <w:color w:val="231F20"/>
          <w:spacing w:val="-5"/>
          <w:w w:val="95"/>
          <w:sz w:val="17"/>
        </w:rPr>
        <w:t>231</w:t>
      </w:r>
    </w:p>
    <w:p w14:paraId="61F9E971" w14:textId="77777777" w:rsidR="00AE0598" w:rsidRDefault="0069255A">
      <w:pPr>
        <w:spacing w:before="1"/>
        <w:ind w:left="110"/>
        <w:rPr>
          <w:sz w:val="17"/>
        </w:rPr>
      </w:pPr>
      <w:r>
        <w:rPr>
          <w:color w:val="231F20"/>
          <w:w w:val="95"/>
          <w:sz w:val="17"/>
        </w:rPr>
        <w:t>sport</w:t>
      </w:r>
      <w:r>
        <w:rPr>
          <w:color w:val="231F20"/>
          <w:spacing w:val="6"/>
          <w:sz w:val="17"/>
        </w:rPr>
        <w:t xml:space="preserve"> </w:t>
      </w:r>
      <w:r>
        <w:rPr>
          <w:color w:val="231F20"/>
          <w:w w:val="95"/>
          <w:sz w:val="17"/>
        </w:rPr>
        <w:t>tourism</w:t>
      </w:r>
      <w:r>
        <w:rPr>
          <w:color w:val="231F20"/>
          <w:spacing w:val="6"/>
          <w:sz w:val="17"/>
        </w:rPr>
        <w:t xml:space="preserve"> </w:t>
      </w:r>
      <w:r>
        <w:rPr>
          <w:color w:val="231F20"/>
          <w:w w:val="95"/>
          <w:sz w:val="17"/>
        </w:rPr>
        <w:t>attraction</w:t>
      </w:r>
      <w:r>
        <w:rPr>
          <w:color w:val="231F20"/>
          <w:spacing w:val="6"/>
          <w:sz w:val="17"/>
        </w:rPr>
        <w:t xml:space="preserve"> </w:t>
      </w:r>
      <w:r>
        <w:rPr>
          <w:color w:val="231F20"/>
          <w:w w:val="95"/>
          <w:sz w:val="17"/>
        </w:rPr>
        <w:t>system</w:t>
      </w:r>
      <w:r>
        <w:rPr>
          <w:color w:val="231F20"/>
          <w:spacing w:val="6"/>
          <w:sz w:val="17"/>
        </w:rPr>
        <w:t xml:space="preserve"> </w:t>
      </w:r>
      <w:r>
        <w:rPr>
          <w:color w:val="231F20"/>
          <w:w w:val="95"/>
          <w:sz w:val="17"/>
        </w:rPr>
        <w:t>24–26,</w:t>
      </w:r>
      <w:r>
        <w:rPr>
          <w:color w:val="231F20"/>
          <w:spacing w:val="6"/>
          <w:sz w:val="17"/>
        </w:rPr>
        <w:t xml:space="preserve"> </w:t>
      </w:r>
      <w:r>
        <w:rPr>
          <w:color w:val="231F20"/>
          <w:spacing w:val="-5"/>
          <w:w w:val="95"/>
          <w:sz w:val="17"/>
        </w:rPr>
        <w:t>37</w:t>
      </w:r>
    </w:p>
    <w:p w14:paraId="4B7D7190" w14:textId="77777777" w:rsidR="00AE0598" w:rsidRDefault="0069255A">
      <w:pPr>
        <w:spacing w:before="1"/>
        <w:ind w:left="110"/>
        <w:rPr>
          <w:sz w:val="17"/>
        </w:rPr>
      </w:pPr>
      <w:r>
        <w:rPr>
          <w:color w:val="231F20"/>
          <w:w w:val="90"/>
          <w:sz w:val="17"/>
        </w:rPr>
        <w:t>sport</w:t>
      </w:r>
      <w:r>
        <w:rPr>
          <w:color w:val="231F20"/>
          <w:spacing w:val="25"/>
          <w:sz w:val="17"/>
        </w:rPr>
        <w:t xml:space="preserve"> </w:t>
      </w:r>
      <w:r>
        <w:rPr>
          <w:color w:val="231F20"/>
          <w:w w:val="90"/>
          <w:sz w:val="17"/>
        </w:rPr>
        <w:t>tourism</w:t>
      </w:r>
      <w:r>
        <w:rPr>
          <w:color w:val="231F20"/>
          <w:spacing w:val="25"/>
          <w:sz w:val="17"/>
        </w:rPr>
        <w:t xml:space="preserve"> </w:t>
      </w:r>
      <w:r>
        <w:rPr>
          <w:color w:val="231F20"/>
          <w:w w:val="90"/>
          <w:sz w:val="17"/>
        </w:rPr>
        <w:t>centre</w:t>
      </w:r>
      <w:r>
        <w:rPr>
          <w:color w:val="231F20"/>
          <w:spacing w:val="25"/>
          <w:sz w:val="17"/>
        </w:rPr>
        <w:t xml:space="preserve"> </w:t>
      </w:r>
      <w:r>
        <w:rPr>
          <w:color w:val="231F20"/>
          <w:w w:val="90"/>
          <w:sz w:val="17"/>
        </w:rPr>
        <w:t>104–105,</w:t>
      </w:r>
      <w:r>
        <w:rPr>
          <w:color w:val="231F20"/>
          <w:spacing w:val="25"/>
          <w:sz w:val="17"/>
        </w:rPr>
        <w:t xml:space="preserve"> </w:t>
      </w:r>
      <w:r>
        <w:rPr>
          <w:color w:val="231F20"/>
          <w:spacing w:val="-5"/>
          <w:w w:val="90"/>
          <w:sz w:val="17"/>
        </w:rPr>
        <w:t>110</w:t>
      </w:r>
    </w:p>
    <w:p w14:paraId="267A6F2A" w14:textId="77777777" w:rsidR="00AE0598" w:rsidRDefault="0069255A">
      <w:pPr>
        <w:spacing w:before="1"/>
        <w:ind w:left="110"/>
        <w:rPr>
          <w:sz w:val="17"/>
        </w:rPr>
      </w:pPr>
      <w:r>
        <w:rPr>
          <w:color w:val="231F20"/>
          <w:w w:val="95"/>
          <w:sz w:val="17"/>
        </w:rPr>
        <w:t>sport</w:t>
      </w:r>
      <w:r>
        <w:rPr>
          <w:color w:val="231F20"/>
          <w:spacing w:val="6"/>
          <w:sz w:val="17"/>
        </w:rPr>
        <w:t xml:space="preserve"> </w:t>
      </w:r>
      <w:r>
        <w:rPr>
          <w:color w:val="231F20"/>
          <w:w w:val="95"/>
          <w:sz w:val="17"/>
        </w:rPr>
        <w:t>tourism</w:t>
      </w:r>
      <w:r>
        <w:rPr>
          <w:color w:val="231F20"/>
          <w:spacing w:val="7"/>
          <w:sz w:val="17"/>
        </w:rPr>
        <w:t xml:space="preserve"> </w:t>
      </w:r>
      <w:r>
        <w:rPr>
          <w:color w:val="231F20"/>
          <w:w w:val="95"/>
          <w:sz w:val="17"/>
        </w:rPr>
        <w:t>demand</w:t>
      </w:r>
      <w:r>
        <w:rPr>
          <w:color w:val="231F20"/>
          <w:spacing w:val="7"/>
          <w:sz w:val="17"/>
        </w:rPr>
        <w:t xml:space="preserve"> </w:t>
      </w:r>
      <w:r>
        <w:rPr>
          <w:color w:val="231F20"/>
          <w:w w:val="95"/>
          <w:sz w:val="17"/>
        </w:rPr>
        <w:t>40,</w:t>
      </w:r>
      <w:r>
        <w:rPr>
          <w:color w:val="231F20"/>
          <w:spacing w:val="7"/>
          <w:sz w:val="17"/>
        </w:rPr>
        <w:t xml:space="preserve"> </w:t>
      </w:r>
      <w:r>
        <w:rPr>
          <w:color w:val="231F20"/>
          <w:spacing w:val="-5"/>
          <w:w w:val="95"/>
          <w:sz w:val="17"/>
        </w:rPr>
        <w:t>48</w:t>
      </w:r>
    </w:p>
    <w:p w14:paraId="42076D88" w14:textId="77777777" w:rsidR="00AE0598" w:rsidRDefault="0069255A">
      <w:pPr>
        <w:ind w:left="110"/>
        <w:rPr>
          <w:sz w:val="17"/>
        </w:rPr>
      </w:pPr>
      <w:r>
        <w:rPr>
          <w:color w:val="231F20"/>
          <w:w w:val="95"/>
          <w:sz w:val="17"/>
        </w:rPr>
        <w:t>sport</w:t>
      </w:r>
      <w:r>
        <w:rPr>
          <w:color w:val="231F20"/>
          <w:spacing w:val="4"/>
          <w:sz w:val="17"/>
        </w:rPr>
        <w:t xml:space="preserve"> </w:t>
      </w:r>
      <w:r>
        <w:rPr>
          <w:color w:val="231F20"/>
          <w:w w:val="95"/>
          <w:sz w:val="17"/>
        </w:rPr>
        <w:t>tourism</w:t>
      </w:r>
      <w:r>
        <w:rPr>
          <w:color w:val="231F20"/>
          <w:spacing w:val="5"/>
          <w:sz w:val="17"/>
        </w:rPr>
        <w:t xml:space="preserve"> </w:t>
      </w:r>
      <w:r>
        <w:rPr>
          <w:color w:val="231F20"/>
          <w:w w:val="95"/>
          <w:sz w:val="17"/>
        </w:rPr>
        <w:t>experience</w:t>
      </w:r>
      <w:r>
        <w:rPr>
          <w:color w:val="231F20"/>
          <w:spacing w:val="5"/>
          <w:sz w:val="17"/>
        </w:rPr>
        <w:t xml:space="preserve"> </w:t>
      </w:r>
      <w:r>
        <w:rPr>
          <w:color w:val="231F20"/>
          <w:w w:val="95"/>
          <w:sz w:val="17"/>
        </w:rPr>
        <w:t>5,</w:t>
      </w:r>
      <w:r>
        <w:rPr>
          <w:color w:val="231F20"/>
          <w:spacing w:val="4"/>
          <w:sz w:val="17"/>
        </w:rPr>
        <w:t xml:space="preserve"> </w:t>
      </w:r>
      <w:r>
        <w:rPr>
          <w:color w:val="231F20"/>
          <w:w w:val="95"/>
          <w:sz w:val="17"/>
        </w:rPr>
        <w:t>60,</w:t>
      </w:r>
      <w:r>
        <w:rPr>
          <w:color w:val="231F20"/>
          <w:spacing w:val="5"/>
          <w:sz w:val="17"/>
        </w:rPr>
        <w:t xml:space="preserve"> </w:t>
      </w:r>
      <w:r>
        <w:rPr>
          <w:color w:val="231F20"/>
          <w:w w:val="95"/>
          <w:sz w:val="17"/>
        </w:rPr>
        <w:t>93,</w:t>
      </w:r>
      <w:r>
        <w:rPr>
          <w:color w:val="231F20"/>
          <w:spacing w:val="5"/>
          <w:sz w:val="17"/>
        </w:rPr>
        <w:t xml:space="preserve"> </w:t>
      </w:r>
      <w:r>
        <w:rPr>
          <w:color w:val="231F20"/>
          <w:spacing w:val="-4"/>
          <w:w w:val="95"/>
          <w:sz w:val="17"/>
        </w:rPr>
        <w:t>148,</w:t>
      </w:r>
    </w:p>
    <w:p w14:paraId="3201DAFD" w14:textId="77777777" w:rsidR="00AE0598" w:rsidRDefault="0069255A">
      <w:pPr>
        <w:spacing w:before="1"/>
        <w:ind w:left="470"/>
        <w:rPr>
          <w:sz w:val="17"/>
        </w:rPr>
      </w:pPr>
      <w:r>
        <w:rPr>
          <w:color w:val="231F20"/>
          <w:w w:val="90"/>
          <w:sz w:val="17"/>
        </w:rPr>
        <w:t>155,</w:t>
      </w:r>
      <w:r>
        <w:rPr>
          <w:color w:val="231F20"/>
          <w:spacing w:val="6"/>
          <w:sz w:val="17"/>
        </w:rPr>
        <w:t xml:space="preserve"> </w:t>
      </w:r>
      <w:r>
        <w:rPr>
          <w:color w:val="231F20"/>
          <w:w w:val="90"/>
          <w:sz w:val="17"/>
        </w:rPr>
        <w:t>157–161,</w:t>
      </w:r>
      <w:r>
        <w:rPr>
          <w:color w:val="231F20"/>
          <w:spacing w:val="6"/>
          <w:sz w:val="17"/>
        </w:rPr>
        <w:t xml:space="preserve"> </w:t>
      </w:r>
      <w:r>
        <w:rPr>
          <w:color w:val="231F20"/>
          <w:w w:val="90"/>
          <w:sz w:val="17"/>
        </w:rPr>
        <w:t>173–174,</w:t>
      </w:r>
      <w:r>
        <w:rPr>
          <w:color w:val="231F20"/>
          <w:spacing w:val="6"/>
          <w:sz w:val="17"/>
        </w:rPr>
        <w:t xml:space="preserve"> </w:t>
      </w:r>
      <w:r>
        <w:rPr>
          <w:color w:val="231F20"/>
          <w:w w:val="90"/>
          <w:sz w:val="17"/>
        </w:rPr>
        <w:t>177,</w:t>
      </w:r>
      <w:r>
        <w:rPr>
          <w:color w:val="231F20"/>
          <w:spacing w:val="6"/>
          <w:sz w:val="17"/>
        </w:rPr>
        <w:t xml:space="preserve"> </w:t>
      </w:r>
      <w:r>
        <w:rPr>
          <w:color w:val="231F20"/>
          <w:spacing w:val="-2"/>
          <w:w w:val="90"/>
          <w:sz w:val="17"/>
        </w:rPr>
        <w:t>222–233</w:t>
      </w:r>
    </w:p>
    <w:p w14:paraId="0C3AFAEC" w14:textId="77777777" w:rsidR="00AE0598" w:rsidRDefault="0069255A">
      <w:pPr>
        <w:spacing w:before="1"/>
        <w:ind w:left="110"/>
        <w:rPr>
          <w:sz w:val="17"/>
        </w:rPr>
      </w:pPr>
      <w:r>
        <w:rPr>
          <w:color w:val="231F20"/>
          <w:w w:val="95"/>
          <w:sz w:val="17"/>
        </w:rPr>
        <w:t>sport</w:t>
      </w:r>
      <w:r>
        <w:rPr>
          <w:color w:val="231F20"/>
          <w:spacing w:val="8"/>
          <w:sz w:val="17"/>
        </w:rPr>
        <w:t xml:space="preserve"> </w:t>
      </w:r>
      <w:r>
        <w:rPr>
          <w:color w:val="231F20"/>
          <w:w w:val="95"/>
          <w:sz w:val="17"/>
        </w:rPr>
        <w:t>tourism</w:t>
      </w:r>
      <w:r>
        <w:rPr>
          <w:color w:val="231F20"/>
          <w:spacing w:val="8"/>
          <w:sz w:val="17"/>
        </w:rPr>
        <w:t xml:space="preserve"> </w:t>
      </w:r>
      <w:r>
        <w:rPr>
          <w:color w:val="231F20"/>
          <w:w w:val="95"/>
          <w:sz w:val="17"/>
        </w:rPr>
        <w:t>laboratory</w:t>
      </w:r>
      <w:r>
        <w:rPr>
          <w:color w:val="231F20"/>
          <w:spacing w:val="8"/>
          <w:sz w:val="17"/>
        </w:rPr>
        <w:t xml:space="preserve"> </w:t>
      </w:r>
      <w:r>
        <w:rPr>
          <w:color w:val="231F20"/>
          <w:spacing w:val="-5"/>
          <w:w w:val="95"/>
          <w:sz w:val="17"/>
        </w:rPr>
        <w:t>36</w:t>
      </w:r>
    </w:p>
    <w:p w14:paraId="4DB8EF7F" w14:textId="77777777" w:rsidR="00AE0598" w:rsidRDefault="0069255A">
      <w:pPr>
        <w:ind w:left="110"/>
        <w:rPr>
          <w:sz w:val="17"/>
        </w:rPr>
      </w:pPr>
      <w:r>
        <w:rPr>
          <w:color w:val="231F20"/>
          <w:w w:val="95"/>
          <w:sz w:val="17"/>
        </w:rPr>
        <w:t>sport</w:t>
      </w:r>
      <w:r>
        <w:rPr>
          <w:color w:val="231F20"/>
          <w:spacing w:val="2"/>
          <w:sz w:val="17"/>
        </w:rPr>
        <w:t xml:space="preserve"> </w:t>
      </w:r>
      <w:r>
        <w:rPr>
          <w:color w:val="231F20"/>
          <w:w w:val="95"/>
          <w:sz w:val="17"/>
        </w:rPr>
        <w:t>tourism</w:t>
      </w:r>
      <w:r>
        <w:rPr>
          <w:color w:val="231F20"/>
          <w:spacing w:val="2"/>
          <w:sz w:val="17"/>
        </w:rPr>
        <w:t xml:space="preserve"> </w:t>
      </w:r>
      <w:r>
        <w:rPr>
          <w:color w:val="231F20"/>
          <w:w w:val="95"/>
          <w:sz w:val="17"/>
        </w:rPr>
        <w:t>manager</w:t>
      </w:r>
      <w:r>
        <w:rPr>
          <w:color w:val="231F20"/>
          <w:spacing w:val="2"/>
          <w:sz w:val="17"/>
        </w:rPr>
        <w:t xml:space="preserve"> </w:t>
      </w:r>
      <w:r>
        <w:rPr>
          <w:color w:val="231F20"/>
          <w:w w:val="95"/>
          <w:sz w:val="17"/>
        </w:rPr>
        <w:t>109,</w:t>
      </w:r>
      <w:r>
        <w:rPr>
          <w:color w:val="231F20"/>
          <w:spacing w:val="2"/>
          <w:sz w:val="17"/>
        </w:rPr>
        <w:t xml:space="preserve"> </w:t>
      </w:r>
      <w:r>
        <w:rPr>
          <w:color w:val="231F20"/>
          <w:w w:val="95"/>
          <w:sz w:val="17"/>
        </w:rPr>
        <w:t>215,</w:t>
      </w:r>
      <w:r>
        <w:rPr>
          <w:color w:val="231F20"/>
          <w:spacing w:val="2"/>
          <w:sz w:val="17"/>
        </w:rPr>
        <w:t xml:space="preserve"> </w:t>
      </w:r>
      <w:r>
        <w:rPr>
          <w:color w:val="231F20"/>
          <w:spacing w:val="-5"/>
          <w:w w:val="95"/>
          <w:sz w:val="17"/>
        </w:rPr>
        <w:t>223</w:t>
      </w:r>
    </w:p>
    <w:p w14:paraId="4AC8CB14" w14:textId="77777777" w:rsidR="00AE0598" w:rsidRDefault="00AE0598">
      <w:pPr>
        <w:rPr>
          <w:sz w:val="17"/>
        </w:rPr>
        <w:sectPr w:rsidR="00AE0598">
          <w:type w:val="continuous"/>
          <w:pgSz w:w="8850" w:h="13270"/>
          <w:pgMar w:top="1080" w:right="1060" w:bottom="280" w:left="1080" w:header="720" w:footer="720" w:gutter="0"/>
          <w:cols w:num="2" w:space="720" w:equalWidth="0">
            <w:col w:w="3251" w:space="100"/>
            <w:col w:w="3359"/>
          </w:cols>
        </w:sectPr>
      </w:pPr>
    </w:p>
    <w:p w14:paraId="1423A658" w14:textId="77777777" w:rsidR="00AE0598" w:rsidRDefault="0069255A">
      <w:pPr>
        <w:spacing w:before="87"/>
        <w:ind w:left="108"/>
        <w:rPr>
          <w:rFonts w:ascii="Trebuchet MS"/>
          <w:sz w:val="14"/>
        </w:rPr>
      </w:pPr>
      <w:r>
        <w:rPr>
          <w:rFonts w:ascii="Trebuchet MS"/>
          <w:color w:val="231F20"/>
          <w:w w:val="105"/>
          <w:sz w:val="14"/>
        </w:rPr>
        <w:t>286</w:t>
      </w:r>
      <w:r>
        <w:rPr>
          <w:rFonts w:ascii="Trebuchet MS"/>
          <w:color w:val="231F20"/>
          <w:spacing w:val="78"/>
          <w:w w:val="150"/>
          <w:sz w:val="14"/>
        </w:rPr>
        <w:t xml:space="preserve"> </w:t>
      </w:r>
      <w:r>
        <w:rPr>
          <w:rFonts w:ascii="Trebuchet MS"/>
          <w:color w:val="231F20"/>
          <w:spacing w:val="-2"/>
          <w:w w:val="105"/>
          <w:sz w:val="14"/>
        </w:rPr>
        <w:t>Index</w:t>
      </w:r>
    </w:p>
    <w:p w14:paraId="36B13CE9" w14:textId="77777777" w:rsidR="00AE0598" w:rsidRDefault="00AE0598">
      <w:pPr>
        <w:pStyle w:val="Corpodetexto"/>
        <w:rPr>
          <w:rFonts w:ascii="Trebuchet MS"/>
          <w:sz w:val="18"/>
        </w:rPr>
      </w:pPr>
    </w:p>
    <w:p w14:paraId="487A804D" w14:textId="77777777" w:rsidR="00AE0598" w:rsidRDefault="00AE0598">
      <w:pPr>
        <w:rPr>
          <w:rFonts w:ascii="Trebuchet MS"/>
          <w:sz w:val="18"/>
        </w:rPr>
        <w:sectPr w:rsidR="00AE0598">
          <w:pgSz w:w="8850" w:h="13270"/>
          <w:pgMar w:top="720" w:right="1060" w:bottom="280" w:left="1080" w:header="720" w:footer="720" w:gutter="0"/>
          <w:cols w:space="720"/>
        </w:sectPr>
      </w:pPr>
    </w:p>
    <w:p w14:paraId="1E98D2A8" w14:textId="77777777" w:rsidR="00AE0598" w:rsidRDefault="0069255A">
      <w:pPr>
        <w:spacing w:before="98"/>
        <w:ind w:left="110"/>
        <w:rPr>
          <w:sz w:val="17"/>
        </w:rPr>
      </w:pPr>
      <w:r>
        <w:rPr>
          <w:color w:val="231F20"/>
          <w:w w:val="95"/>
          <w:sz w:val="17"/>
        </w:rPr>
        <w:t>sport</w:t>
      </w:r>
      <w:r>
        <w:rPr>
          <w:color w:val="231F20"/>
          <w:spacing w:val="6"/>
          <w:sz w:val="17"/>
        </w:rPr>
        <w:t xml:space="preserve"> </w:t>
      </w:r>
      <w:r>
        <w:rPr>
          <w:color w:val="231F20"/>
          <w:w w:val="95"/>
          <w:sz w:val="17"/>
        </w:rPr>
        <w:t>tourism</w:t>
      </w:r>
      <w:r>
        <w:rPr>
          <w:color w:val="231F20"/>
          <w:spacing w:val="8"/>
          <w:sz w:val="17"/>
        </w:rPr>
        <w:t xml:space="preserve"> </w:t>
      </w:r>
      <w:r>
        <w:rPr>
          <w:color w:val="231F20"/>
          <w:w w:val="95"/>
          <w:sz w:val="17"/>
        </w:rPr>
        <w:t>market</w:t>
      </w:r>
      <w:r>
        <w:rPr>
          <w:color w:val="231F20"/>
          <w:spacing w:val="8"/>
          <w:sz w:val="17"/>
        </w:rPr>
        <w:t xml:space="preserve"> </w:t>
      </w:r>
      <w:r>
        <w:rPr>
          <w:color w:val="231F20"/>
          <w:w w:val="95"/>
          <w:sz w:val="17"/>
        </w:rPr>
        <w:t>4–10,</w:t>
      </w:r>
      <w:r>
        <w:rPr>
          <w:color w:val="231F20"/>
          <w:spacing w:val="8"/>
          <w:sz w:val="17"/>
        </w:rPr>
        <w:t xml:space="preserve"> </w:t>
      </w:r>
      <w:r>
        <w:rPr>
          <w:color w:val="231F20"/>
          <w:w w:val="95"/>
          <w:sz w:val="17"/>
        </w:rPr>
        <w:t>35,</w:t>
      </w:r>
      <w:r>
        <w:rPr>
          <w:color w:val="231F20"/>
          <w:spacing w:val="8"/>
          <w:sz w:val="17"/>
        </w:rPr>
        <w:t xml:space="preserve"> </w:t>
      </w:r>
      <w:r>
        <w:rPr>
          <w:color w:val="231F20"/>
          <w:w w:val="95"/>
          <w:sz w:val="17"/>
        </w:rPr>
        <w:t>38–62,</w:t>
      </w:r>
      <w:r>
        <w:rPr>
          <w:color w:val="231F20"/>
          <w:spacing w:val="8"/>
          <w:sz w:val="17"/>
        </w:rPr>
        <w:t xml:space="preserve"> </w:t>
      </w:r>
      <w:r>
        <w:rPr>
          <w:color w:val="231F20"/>
          <w:spacing w:val="-5"/>
          <w:w w:val="95"/>
          <w:sz w:val="17"/>
        </w:rPr>
        <w:t>89,</w:t>
      </w:r>
    </w:p>
    <w:p w14:paraId="67D631D9" w14:textId="77777777" w:rsidR="00AE0598" w:rsidRDefault="0069255A">
      <w:pPr>
        <w:ind w:left="470"/>
        <w:rPr>
          <w:sz w:val="17"/>
        </w:rPr>
      </w:pPr>
      <w:r>
        <w:rPr>
          <w:color w:val="231F20"/>
          <w:w w:val="95"/>
          <w:sz w:val="17"/>
        </w:rPr>
        <w:t>98,</w:t>
      </w:r>
      <w:r>
        <w:rPr>
          <w:color w:val="231F20"/>
          <w:spacing w:val="5"/>
          <w:sz w:val="17"/>
        </w:rPr>
        <w:t xml:space="preserve"> </w:t>
      </w:r>
      <w:r>
        <w:rPr>
          <w:color w:val="231F20"/>
          <w:w w:val="95"/>
          <w:sz w:val="17"/>
        </w:rPr>
        <w:t>108,</w:t>
      </w:r>
      <w:r>
        <w:rPr>
          <w:color w:val="231F20"/>
          <w:spacing w:val="6"/>
          <w:sz w:val="17"/>
        </w:rPr>
        <w:t xml:space="preserve"> </w:t>
      </w:r>
      <w:r>
        <w:rPr>
          <w:color w:val="231F20"/>
          <w:w w:val="95"/>
          <w:sz w:val="17"/>
        </w:rPr>
        <w:t>192,</w:t>
      </w:r>
      <w:r>
        <w:rPr>
          <w:color w:val="231F20"/>
          <w:spacing w:val="6"/>
          <w:sz w:val="17"/>
        </w:rPr>
        <w:t xml:space="preserve"> </w:t>
      </w:r>
      <w:r>
        <w:rPr>
          <w:color w:val="231F20"/>
          <w:spacing w:val="-2"/>
          <w:w w:val="95"/>
          <w:sz w:val="17"/>
        </w:rPr>
        <w:t>229–230</w:t>
      </w:r>
    </w:p>
    <w:p w14:paraId="1F43423A" w14:textId="77777777" w:rsidR="00AE0598" w:rsidRDefault="0069255A">
      <w:pPr>
        <w:spacing w:before="1"/>
        <w:ind w:left="110" w:right="502"/>
        <w:rPr>
          <w:sz w:val="17"/>
        </w:rPr>
      </w:pPr>
      <w:r>
        <w:rPr>
          <w:color w:val="231F20"/>
          <w:sz w:val="17"/>
        </w:rPr>
        <w:t>sport tourism sustainability 68</w:t>
      </w:r>
      <w:r>
        <w:rPr>
          <w:color w:val="231F20"/>
          <w:spacing w:val="40"/>
          <w:sz w:val="17"/>
        </w:rPr>
        <w:t xml:space="preserve"> </w:t>
      </w:r>
      <w:r>
        <w:rPr>
          <w:color w:val="231F20"/>
          <w:w w:val="95"/>
          <w:sz w:val="17"/>
        </w:rPr>
        <w:t>sport tourist motivation 56, 58, 230</w:t>
      </w:r>
      <w:r>
        <w:rPr>
          <w:color w:val="231F20"/>
          <w:spacing w:val="40"/>
          <w:sz w:val="17"/>
        </w:rPr>
        <w:t xml:space="preserve"> </w:t>
      </w:r>
      <w:r>
        <w:rPr>
          <w:color w:val="231F20"/>
          <w:sz w:val="17"/>
        </w:rPr>
        <w:t>sport tourist typology 156</w:t>
      </w:r>
    </w:p>
    <w:p w14:paraId="7250703A" w14:textId="77777777" w:rsidR="00AE0598" w:rsidRDefault="0069255A">
      <w:pPr>
        <w:spacing w:before="2"/>
        <w:ind w:left="110"/>
        <w:rPr>
          <w:sz w:val="17"/>
        </w:rPr>
      </w:pPr>
      <w:r>
        <w:rPr>
          <w:color w:val="231F20"/>
          <w:w w:val="95"/>
          <w:sz w:val="17"/>
        </w:rPr>
        <w:t>Sporting</w:t>
      </w:r>
      <w:r>
        <w:rPr>
          <w:color w:val="231F20"/>
          <w:spacing w:val="31"/>
          <w:sz w:val="17"/>
        </w:rPr>
        <w:t xml:space="preserve"> </w:t>
      </w:r>
      <w:r>
        <w:rPr>
          <w:color w:val="231F20"/>
          <w:w w:val="95"/>
          <w:sz w:val="17"/>
        </w:rPr>
        <w:t>Glastonbury</w:t>
      </w:r>
      <w:r>
        <w:rPr>
          <w:color w:val="231F20"/>
          <w:spacing w:val="32"/>
          <w:sz w:val="17"/>
        </w:rPr>
        <w:t xml:space="preserve"> </w:t>
      </w:r>
      <w:r>
        <w:rPr>
          <w:color w:val="231F20"/>
          <w:spacing w:val="-5"/>
          <w:w w:val="95"/>
          <w:sz w:val="17"/>
        </w:rPr>
        <w:t>34</w:t>
      </w:r>
    </w:p>
    <w:p w14:paraId="12EE5403" w14:textId="77777777" w:rsidR="00AE0598" w:rsidRDefault="0069255A">
      <w:pPr>
        <w:spacing w:before="1"/>
        <w:ind w:left="110"/>
        <w:rPr>
          <w:sz w:val="17"/>
        </w:rPr>
      </w:pPr>
      <w:r>
        <w:rPr>
          <w:color w:val="231F20"/>
          <w:w w:val="95"/>
          <w:sz w:val="17"/>
        </w:rPr>
        <w:t>sporting</w:t>
      </w:r>
      <w:r>
        <w:rPr>
          <w:color w:val="231F20"/>
          <w:spacing w:val="10"/>
          <w:sz w:val="17"/>
        </w:rPr>
        <w:t xml:space="preserve"> </w:t>
      </w:r>
      <w:r>
        <w:rPr>
          <w:color w:val="231F20"/>
          <w:w w:val="95"/>
          <w:sz w:val="17"/>
        </w:rPr>
        <w:t>goods</w:t>
      </w:r>
      <w:r>
        <w:rPr>
          <w:color w:val="231F20"/>
          <w:spacing w:val="10"/>
          <w:sz w:val="17"/>
        </w:rPr>
        <w:t xml:space="preserve"> </w:t>
      </w:r>
      <w:r>
        <w:rPr>
          <w:color w:val="231F20"/>
          <w:w w:val="95"/>
          <w:sz w:val="17"/>
        </w:rPr>
        <w:t>manufacturer</w:t>
      </w:r>
      <w:r>
        <w:rPr>
          <w:color w:val="231F20"/>
          <w:spacing w:val="10"/>
          <w:sz w:val="17"/>
        </w:rPr>
        <w:t xml:space="preserve"> </w:t>
      </w:r>
      <w:r>
        <w:rPr>
          <w:color w:val="231F20"/>
          <w:w w:val="95"/>
          <w:sz w:val="17"/>
        </w:rPr>
        <w:t>79,</w:t>
      </w:r>
      <w:r>
        <w:rPr>
          <w:color w:val="231F20"/>
          <w:spacing w:val="10"/>
          <w:sz w:val="17"/>
        </w:rPr>
        <w:t xml:space="preserve"> </w:t>
      </w:r>
      <w:r>
        <w:rPr>
          <w:color w:val="231F20"/>
          <w:spacing w:val="-5"/>
          <w:w w:val="95"/>
          <w:sz w:val="17"/>
        </w:rPr>
        <w:t>208</w:t>
      </w:r>
    </w:p>
    <w:p w14:paraId="5C19C324" w14:textId="77777777" w:rsidR="00AE0598" w:rsidRDefault="0069255A">
      <w:pPr>
        <w:ind w:left="110" w:right="502"/>
        <w:rPr>
          <w:sz w:val="17"/>
        </w:rPr>
      </w:pPr>
      <w:r>
        <w:rPr>
          <w:color w:val="231F20"/>
          <w:w w:val="95"/>
          <w:sz w:val="17"/>
        </w:rPr>
        <w:t>sporting</w:t>
      </w:r>
      <w:r>
        <w:rPr>
          <w:color w:val="231F20"/>
          <w:spacing w:val="-3"/>
          <w:w w:val="95"/>
          <w:sz w:val="17"/>
        </w:rPr>
        <w:t xml:space="preserve"> </w:t>
      </w:r>
      <w:r>
        <w:rPr>
          <w:color w:val="231F20"/>
          <w:w w:val="95"/>
          <w:sz w:val="17"/>
        </w:rPr>
        <w:t>institution</w:t>
      </w:r>
      <w:r>
        <w:rPr>
          <w:color w:val="231F20"/>
          <w:spacing w:val="-3"/>
          <w:w w:val="95"/>
          <w:sz w:val="17"/>
        </w:rPr>
        <w:t xml:space="preserve"> </w:t>
      </w:r>
      <w:r>
        <w:rPr>
          <w:color w:val="231F20"/>
          <w:w w:val="95"/>
          <w:sz w:val="17"/>
        </w:rPr>
        <w:t>208–209,</w:t>
      </w:r>
      <w:r>
        <w:rPr>
          <w:color w:val="231F20"/>
          <w:spacing w:val="-3"/>
          <w:w w:val="95"/>
          <w:sz w:val="17"/>
        </w:rPr>
        <w:t xml:space="preserve"> </w:t>
      </w:r>
      <w:r>
        <w:rPr>
          <w:color w:val="231F20"/>
          <w:w w:val="95"/>
          <w:sz w:val="17"/>
        </w:rPr>
        <w:t>214</w:t>
      </w:r>
      <w:r>
        <w:rPr>
          <w:color w:val="231F20"/>
          <w:spacing w:val="40"/>
          <w:sz w:val="17"/>
        </w:rPr>
        <w:t xml:space="preserve"> </w:t>
      </w:r>
      <w:r>
        <w:rPr>
          <w:color w:val="231F20"/>
          <w:sz w:val="17"/>
        </w:rPr>
        <w:t>sporting place identity 211</w:t>
      </w:r>
    </w:p>
    <w:p w14:paraId="636023ED" w14:textId="77777777" w:rsidR="00AE0598" w:rsidRDefault="0069255A">
      <w:pPr>
        <w:spacing w:before="2"/>
        <w:ind w:left="110"/>
        <w:rPr>
          <w:sz w:val="17"/>
        </w:rPr>
      </w:pPr>
      <w:r>
        <w:rPr>
          <w:color w:val="231F20"/>
          <w:w w:val="95"/>
          <w:sz w:val="17"/>
        </w:rPr>
        <w:t>sports</w:t>
      </w:r>
      <w:r>
        <w:rPr>
          <w:color w:val="231F20"/>
          <w:spacing w:val="5"/>
          <w:sz w:val="17"/>
        </w:rPr>
        <w:t xml:space="preserve"> </w:t>
      </w:r>
      <w:r>
        <w:rPr>
          <w:color w:val="231F20"/>
          <w:w w:val="95"/>
          <w:sz w:val="17"/>
        </w:rPr>
        <w:t>facility</w:t>
      </w:r>
      <w:r>
        <w:rPr>
          <w:color w:val="231F20"/>
          <w:spacing w:val="6"/>
          <w:sz w:val="17"/>
        </w:rPr>
        <w:t xml:space="preserve"> </w:t>
      </w:r>
      <w:r>
        <w:rPr>
          <w:color w:val="231F20"/>
          <w:w w:val="95"/>
          <w:sz w:val="17"/>
        </w:rPr>
        <w:t>148,</w:t>
      </w:r>
      <w:r>
        <w:rPr>
          <w:color w:val="231F20"/>
          <w:spacing w:val="6"/>
          <w:sz w:val="17"/>
        </w:rPr>
        <w:t xml:space="preserve"> </w:t>
      </w:r>
      <w:r>
        <w:rPr>
          <w:color w:val="231F20"/>
          <w:w w:val="95"/>
          <w:sz w:val="17"/>
        </w:rPr>
        <w:t>194,</w:t>
      </w:r>
      <w:r>
        <w:rPr>
          <w:color w:val="231F20"/>
          <w:spacing w:val="6"/>
          <w:sz w:val="17"/>
        </w:rPr>
        <w:t xml:space="preserve"> </w:t>
      </w:r>
      <w:r>
        <w:rPr>
          <w:color w:val="231F20"/>
          <w:spacing w:val="-5"/>
          <w:w w:val="95"/>
          <w:sz w:val="17"/>
        </w:rPr>
        <w:t>233</w:t>
      </w:r>
    </w:p>
    <w:p w14:paraId="7A4F31DB" w14:textId="77777777" w:rsidR="00AE0598" w:rsidRDefault="0069255A">
      <w:pPr>
        <w:spacing w:before="1"/>
        <w:ind w:left="110" w:right="502"/>
        <w:rPr>
          <w:sz w:val="17"/>
        </w:rPr>
      </w:pPr>
      <w:r>
        <w:rPr>
          <w:color w:val="231F20"/>
          <w:w w:val="95"/>
          <w:sz w:val="17"/>
        </w:rPr>
        <w:t>sports franchise 92, 94, 96, 100–101</w:t>
      </w:r>
      <w:r>
        <w:rPr>
          <w:color w:val="231F20"/>
          <w:spacing w:val="40"/>
          <w:sz w:val="17"/>
        </w:rPr>
        <w:t xml:space="preserve"> </w:t>
      </w:r>
      <w:r>
        <w:rPr>
          <w:color w:val="231F20"/>
          <w:sz w:val="17"/>
        </w:rPr>
        <w:t>sports space theory 109</w:t>
      </w:r>
    </w:p>
    <w:p w14:paraId="4B389AF0" w14:textId="77777777" w:rsidR="00AE0598" w:rsidRDefault="0069255A">
      <w:pPr>
        <w:spacing w:before="1"/>
        <w:ind w:left="110"/>
        <w:rPr>
          <w:sz w:val="17"/>
        </w:rPr>
      </w:pPr>
      <w:r>
        <w:rPr>
          <w:color w:val="231F20"/>
          <w:w w:val="95"/>
          <w:sz w:val="17"/>
        </w:rPr>
        <w:t>sports</w:t>
      </w:r>
      <w:r>
        <w:rPr>
          <w:color w:val="231F20"/>
          <w:spacing w:val="3"/>
          <w:sz w:val="17"/>
        </w:rPr>
        <w:t xml:space="preserve"> </w:t>
      </w:r>
      <w:r>
        <w:rPr>
          <w:color w:val="231F20"/>
          <w:w w:val="95"/>
          <w:sz w:val="17"/>
        </w:rPr>
        <w:t>team</w:t>
      </w:r>
      <w:r>
        <w:rPr>
          <w:color w:val="231F20"/>
          <w:spacing w:val="3"/>
          <w:sz w:val="17"/>
        </w:rPr>
        <w:t xml:space="preserve"> </w:t>
      </w:r>
      <w:r>
        <w:rPr>
          <w:color w:val="231F20"/>
          <w:w w:val="95"/>
          <w:sz w:val="17"/>
        </w:rPr>
        <w:t>11,</w:t>
      </w:r>
      <w:r>
        <w:rPr>
          <w:color w:val="231F20"/>
          <w:spacing w:val="3"/>
          <w:sz w:val="17"/>
        </w:rPr>
        <w:t xml:space="preserve"> </w:t>
      </w:r>
      <w:r>
        <w:rPr>
          <w:color w:val="231F20"/>
          <w:w w:val="95"/>
          <w:sz w:val="17"/>
        </w:rPr>
        <w:t>48,</w:t>
      </w:r>
      <w:r>
        <w:rPr>
          <w:color w:val="231F20"/>
          <w:spacing w:val="4"/>
          <w:sz w:val="17"/>
        </w:rPr>
        <w:t xml:space="preserve"> </w:t>
      </w:r>
      <w:r>
        <w:rPr>
          <w:color w:val="231F20"/>
          <w:w w:val="95"/>
          <w:sz w:val="17"/>
        </w:rPr>
        <w:t>60,</w:t>
      </w:r>
      <w:r>
        <w:rPr>
          <w:color w:val="231F20"/>
          <w:spacing w:val="3"/>
          <w:sz w:val="17"/>
        </w:rPr>
        <w:t xml:space="preserve"> </w:t>
      </w:r>
      <w:r>
        <w:rPr>
          <w:color w:val="231F20"/>
          <w:w w:val="95"/>
          <w:sz w:val="17"/>
        </w:rPr>
        <w:t>93,</w:t>
      </w:r>
      <w:r>
        <w:rPr>
          <w:color w:val="231F20"/>
          <w:spacing w:val="3"/>
          <w:sz w:val="17"/>
        </w:rPr>
        <w:t xml:space="preserve"> </w:t>
      </w:r>
      <w:r>
        <w:rPr>
          <w:color w:val="231F20"/>
          <w:w w:val="95"/>
          <w:sz w:val="17"/>
        </w:rPr>
        <w:t>96–100,</w:t>
      </w:r>
      <w:r>
        <w:rPr>
          <w:color w:val="231F20"/>
          <w:spacing w:val="4"/>
          <w:sz w:val="17"/>
        </w:rPr>
        <w:t xml:space="preserve"> </w:t>
      </w:r>
      <w:r>
        <w:rPr>
          <w:color w:val="231F20"/>
          <w:spacing w:val="-4"/>
          <w:w w:val="95"/>
          <w:sz w:val="17"/>
        </w:rPr>
        <w:t>105–</w:t>
      </w:r>
    </w:p>
    <w:p w14:paraId="559CD71B" w14:textId="77777777" w:rsidR="00AE0598" w:rsidRDefault="0069255A">
      <w:pPr>
        <w:spacing w:before="1"/>
        <w:ind w:right="105"/>
        <w:jc w:val="right"/>
        <w:rPr>
          <w:sz w:val="17"/>
        </w:rPr>
      </w:pPr>
      <w:r>
        <w:rPr>
          <w:color w:val="231F20"/>
          <w:w w:val="90"/>
          <w:sz w:val="17"/>
        </w:rPr>
        <w:t>106,</w:t>
      </w:r>
      <w:r>
        <w:rPr>
          <w:color w:val="231F20"/>
          <w:spacing w:val="13"/>
          <w:sz w:val="17"/>
        </w:rPr>
        <w:t xml:space="preserve"> </w:t>
      </w:r>
      <w:r>
        <w:rPr>
          <w:color w:val="231F20"/>
          <w:w w:val="90"/>
          <w:sz w:val="17"/>
        </w:rPr>
        <w:t>135,</w:t>
      </w:r>
      <w:r>
        <w:rPr>
          <w:color w:val="231F20"/>
          <w:spacing w:val="14"/>
          <w:sz w:val="17"/>
        </w:rPr>
        <w:t xml:space="preserve"> </w:t>
      </w:r>
      <w:r>
        <w:rPr>
          <w:color w:val="231F20"/>
          <w:w w:val="90"/>
          <w:sz w:val="17"/>
        </w:rPr>
        <w:t>157–158,</w:t>
      </w:r>
      <w:r>
        <w:rPr>
          <w:color w:val="231F20"/>
          <w:spacing w:val="14"/>
          <w:sz w:val="17"/>
        </w:rPr>
        <w:t xml:space="preserve"> </w:t>
      </w:r>
      <w:r>
        <w:rPr>
          <w:color w:val="231F20"/>
          <w:w w:val="90"/>
          <w:sz w:val="17"/>
        </w:rPr>
        <w:t>166–167,</w:t>
      </w:r>
      <w:r>
        <w:rPr>
          <w:color w:val="231F20"/>
          <w:spacing w:val="14"/>
          <w:sz w:val="17"/>
        </w:rPr>
        <w:t xml:space="preserve"> </w:t>
      </w:r>
      <w:r>
        <w:rPr>
          <w:color w:val="231F20"/>
          <w:w w:val="90"/>
          <w:sz w:val="17"/>
        </w:rPr>
        <w:t>221,</w:t>
      </w:r>
      <w:r>
        <w:rPr>
          <w:color w:val="231F20"/>
          <w:spacing w:val="14"/>
          <w:sz w:val="17"/>
        </w:rPr>
        <w:t xml:space="preserve"> </w:t>
      </w:r>
      <w:r>
        <w:rPr>
          <w:color w:val="231F20"/>
          <w:spacing w:val="-5"/>
          <w:w w:val="90"/>
          <w:sz w:val="17"/>
        </w:rPr>
        <w:t>235</w:t>
      </w:r>
    </w:p>
    <w:p w14:paraId="7CF5128D" w14:textId="77777777" w:rsidR="00AE0598" w:rsidRDefault="0069255A">
      <w:pPr>
        <w:ind w:right="40"/>
        <w:jc w:val="right"/>
        <w:rPr>
          <w:sz w:val="17"/>
        </w:rPr>
      </w:pPr>
      <w:r>
        <w:rPr>
          <w:color w:val="231F20"/>
          <w:w w:val="90"/>
          <w:sz w:val="17"/>
        </w:rPr>
        <w:t>sportscape</w:t>
      </w:r>
      <w:r>
        <w:rPr>
          <w:color w:val="231F20"/>
          <w:spacing w:val="22"/>
          <w:sz w:val="17"/>
        </w:rPr>
        <w:t xml:space="preserve"> </w:t>
      </w:r>
      <w:r>
        <w:rPr>
          <w:color w:val="231F20"/>
          <w:w w:val="90"/>
          <w:sz w:val="17"/>
        </w:rPr>
        <w:t>80,</w:t>
      </w:r>
      <w:r>
        <w:rPr>
          <w:color w:val="231F20"/>
          <w:spacing w:val="22"/>
          <w:sz w:val="17"/>
        </w:rPr>
        <w:t xml:space="preserve"> </w:t>
      </w:r>
      <w:r>
        <w:rPr>
          <w:color w:val="231F20"/>
          <w:w w:val="90"/>
          <w:sz w:val="17"/>
        </w:rPr>
        <w:t>118–119,</w:t>
      </w:r>
      <w:r>
        <w:rPr>
          <w:color w:val="231F20"/>
          <w:spacing w:val="22"/>
          <w:sz w:val="17"/>
        </w:rPr>
        <w:t xml:space="preserve"> </w:t>
      </w:r>
      <w:r>
        <w:rPr>
          <w:color w:val="231F20"/>
          <w:w w:val="90"/>
          <w:sz w:val="17"/>
        </w:rPr>
        <w:t>130,</w:t>
      </w:r>
      <w:r>
        <w:rPr>
          <w:color w:val="231F20"/>
          <w:spacing w:val="23"/>
          <w:sz w:val="17"/>
        </w:rPr>
        <w:t xml:space="preserve"> </w:t>
      </w:r>
      <w:r>
        <w:rPr>
          <w:color w:val="231F20"/>
          <w:w w:val="90"/>
          <w:sz w:val="17"/>
        </w:rPr>
        <w:t>135–136,</w:t>
      </w:r>
      <w:r>
        <w:rPr>
          <w:color w:val="231F20"/>
          <w:spacing w:val="22"/>
          <w:sz w:val="17"/>
        </w:rPr>
        <w:t xml:space="preserve"> </w:t>
      </w:r>
      <w:r>
        <w:rPr>
          <w:color w:val="231F20"/>
          <w:spacing w:val="-4"/>
          <w:w w:val="90"/>
          <w:sz w:val="17"/>
        </w:rPr>
        <w:t>139,</w:t>
      </w:r>
    </w:p>
    <w:p w14:paraId="60D5B311" w14:textId="77777777" w:rsidR="00AE0598" w:rsidRDefault="0069255A">
      <w:pPr>
        <w:spacing w:before="1"/>
        <w:ind w:left="470"/>
        <w:rPr>
          <w:sz w:val="17"/>
        </w:rPr>
      </w:pPr>
      <w:r>
        <w:rPr>
          <w:color w:val="231F20"/>
          <w:w w:val="90"/>
          <w:sz w:val="17"/>
        </w:rPr>
        <w:t>147–148,</w:t>
      </w:r>
      <w:r>
        <w:rPr>
          <w:color w:val="231F20"/>
          <w:spacing w:val="3"/>
          <w:sz w:val="17"/>
        </w:rPr>
        <w:t xml:space="preserve"> </w:t>
      </w:r>
      <w:r>
        <w:rPr>
          <w:color w:val="231F20"/>
          <w:spacing w:val="-2"/>
          <w:sz w:val="17"/>
        </w:rPr>
        <w:t>232–233</w:t>
      </w:r>
    </w:p>
    <w:p w14:paraId="01437928" w14:textId="77777777" w:rsidR="00AE0598" w:rsidRDefault="0069255A">
      <w:pPr>
        <w:spacing w:before="1"/>
        <w:ind w:left="110"/>
        <w:rPr>
          <w:sz w:val="17"/>
        </w:rPr>
      </w:pPr>
      <w:r>
        <w:rPr>
          <w:color w:val="231F20"/>
          <w:w w:val="95"/>
          <w:sz w:val="17"/>
        </w:rPr>
        <w:t>St</w:t>
      </w:r>
      <w:r>
        <w:rPr>
          <w:color w:val="231F20"/>
          <w:spacing w:val="7"/>
          <w:sz w:val="17"/>
        </w:rPr>
        <w:t xml:space="preserve"> </w:t>
      </w:r>
      <w:r>
        <w:rPr>
          <w:color w:val="231F20"/>
          <w:w w:val="95"/>
          <w:sz w:val="17"/>
        </w:rPr>
        <w:t>Andrews</w:t>
      </w:r>
      <w:r>
        <w:rPr>
          <w:color w:val="231F20"/>
          <w:spacing w:val="7"/>
          <w:sz w:val="17"/>
        </w:rPr>
        <w:t xml:space="preserve"> </w:t>
      </w:r>
      <w:r>
        <w:rPr>
          <w:color w:val="231F20"/>
          <w:w w:val="95"/>
          <w:sz w:val="17"/>
        </w:rPr>
        <w:t>11,</w:t>
      </w:r>
      <w:r>
        <w:rPr>
          <w:color w:val="231F20"/>
          <w:spacing w:val="7"/>
          <w:sz w:val="17"/>
        </w:rPr>
        <w:t xml:space="preserve"> </w:t>
      </w:r>
      <w:r>
        <w:rPr>
          <w:color w:val="231F20"/>
          <w:spacing w:val="-5"/>
          <w:w w:val="95"/>
          <w:sz w:val="17"/>
        </w:rPr>
        <w:t>118</w:t>
      </w:r>
    </w:p>
    <w:p w14:paraId="148BAF2D" w14:textId="77777777" w:rsidR="00AE0598" w:rsidRDefault="0069255A">
      <w:pPr>
        <w:spacing w:before="1"/>
        <w:ind w:left="110"/>
        <w:rPr>
          <w:sz w:val="17"/>
        </w:rPr>
      </w:pPr>
      <w:r>
        <w:rPr>
          <w:color w:val="231F20"/>
          <w:w w:val="95"/>
          <w:sz w:val="17"/>
        </w:rPr>
        <w:t>stadium</w:t>
      </w:r>
      <w:r>
        <w:rPr>
          <w:color w:val="231F20"/>
          <w:spacing w:val="6"/>
          <w:sz w:val="17"/>
        </w:rPr>
        <w:t xml:space="preserve"> </w:t>
      </w:r>
      <w:r>
        <w:rPr>
          <w:color w:val="231F20"/>
          <w:w w:val="95"/>
          <w:sz w:val="17"/>
        </w:rPr>
        <w:t>design</w:t>
      </w:r>
      <w:r>
        <w:rPr>
          <w:color w:val="231F20"/>
          <w:spacing w:val="6"/>
          <w:sz w:val="17"/>
        </w:rPr>
        <w:t xml:space="preserve"> </w:t>
      </w:r>
      <w:r>
        <w:rPr>
          <w:color w:val="231F20"/>
          <w:spacing w:val="-2"/>
          <w:w w:val="95"/>
          <w:sz w:val="17"/>
        </w:rPr>
        <w:t>147–148</w:t>
      </w:r>
    </w:p>
    <w:p w14:paraId="4DCC1B4D" w14:textId="77777777" w:rsidR="00AE0598" w:rsidRDefault="0069255A">
      <w:pPr>
        <w:ind w:left="110"/>
        <w:rPr>
          <w:sz w:val="17"/>
        </w:rPr>
      </w:pPr>
      <w:r>
        <w:rPr>
          <w:color w:val="231F20"/>
          <w:w w:val="95"/>
          <w:sz w:val="17"/>
        </w:rPr>
        <w:t>stadium</w:t>
      </w:r>
      <w:r>
        <w:rPr>
          <w:color w:val="231F20"/>
          <w:spacing w:val="3"/>
          <w:sz w:val="17"/>
        </w:rPr>
        <w:t xml:space="preserve"> </w:t>
      </w:r>
      <w:r>
        <w:rPr>
          <w:color w:val="231F20"/>
          <w:w w:val="95"/>
          <w:sz w:val="17"/>
        </w:rPr>
        <w:t>development</w:t>
      </w:r>
      <w:r>
        <w:rPr>
          <w:color w:val="231F20"/>
          <w:spacing w:val="4"/>
          <w:sz w:val="17"/>
        </w:rPr>
        <w:t xml:space="preserve"> </w:t>
      </w:r>
      <w:r>
        <w:rPr>
          <w:color w:val="231F20"/>
          <w:w w:val="95"/>
          <w:sz w:val="17"/>
        </w:rPr>
        <w:t>94,</w:t>
      </w:r>
      <w:r>
        <w:rPr>
          <w:color w:val="231F20"/>
          <w:spacing w:val="3"/>
          <w:sz w:val="17"/>
        </w:rPr>
        <w:t xml:space="preserve"> </w:t>
      </w:r>
      <w:r>
        <w:rPr>
          <w:color w:val="231F20"/>
          <w:spacing w:val="-5"/>
          <w:w w:val="95"/>
          <w:sz w:val="17"/>
        </w:rPr>
        <w:t>107</w:t>
      </w:r>
    </w:p>
    <w:p w14:paraId="2A404908" w14:textId="77777777" w:rsidR="00AE0598" w:rsidRDefault="0069255A">
      <w:pPr>
        <w:spacing w:before="1"/>
        <w:ind w:left="110"/>
        <w:rPr>
          <w:sz w:val="17"/>
        </w:rPr>
      </w:pPr>
      <w:r>
        <w:rPr>
          <w:color w:val="231F20"/>
          <w:w w:val="95"/>
          <w:sz w:val="17"/>
        </w:rPr>
        <w:t>stadium</w:t>
      </w:r>
      <w:r>
        <w:rPr>
          <w:color w:val="231F20"/>
          <w:spacing w:val="9"/>
          <w:sz w:val="17"/>
        </w:rPr>
        <w:t xml:space="preserve"> </w:t>
      </w:r>
      <w:r>
        <w:rPr>
          <w:color w:val="231F20"/>
          <w:w w:val="95"/>
          <w:sz w:val="17"/>
        </w:rPr>
        <w:t>location</w:t>
      </w:r>
      <w:r>
        <w:rPr>
          <w:color w:val="231F20"/>
          <w:spacing w:val="10"/>
          <w:sz w:val="17"/>
        </w:rPr>
        <w:t xml:space="preserve"> </w:t>
      </w:r>
      <w:r>
        <w:rPr>
          <w:color w:val="231F20"/>
          <w:w w:val="95"/>
          <w:sz w:val="17"/>
        </w:rPr>
        <w:t>hierarchy</w:t>
      </w:r>
      <w:r>
        <w:rPr>
          <w:color w:val="231F20"/>
          <w:spacing w:val="10"/>
          <w:sz w:val="17"/>
        </w:rPr>
        <w:t xml:space="preserve"> </w:t>
      </w:r>
      <w:r>
        <w:rPr>
          <w:color w:val="231F20"/>
          <w:w w:val="95"/>
          <w:sz w:val="17"/>
        </w:rPr>
        <w:t>94–95,</w:t>
      </w:r>
      <w:r>
        <w:rPr>
          <w:color w:val="231F20"/>
          <w:spacing w:val="10"/>
          <w:sz w:val="17"/>
        </w:rPr>
        <w:t xml:space="preserve"> </w:t>
      </w:r>
      <w:r>
        <w:rPr>
          <w:color w:val="231F20"/>
          <w:spacing w:val="-5"/>
          <w:w w:val="95"/>
          <w:sz w:val="17"/>
        </w:rPr>
        <w:t>232</w:t>
      </w:r>
    </w:p>
    <w:p w14:paraId="7F3E70D9" w14:textId="77777777" w:rsidR="00AE0598" w:rsidRDefault="0069255A">
      <w:pPr>
        <w:spacing w:before="1"/>
        <w:ind w:left="110"/>
        <w:rPr>
          <w:sz w:val="17"/>
        </w:rPr>
      </w:pPr>
      <w:r>
        <w:rPr>
          <w:color w:val="231F20"/>
          <w:w w:val="95"/>
          <w:sz w:val="17"/>
        </w:rPr>
        <w:t>stadium</w:t>
      </w:r>
      <w:r>
        <w:rPr>
          <w:color w:val="231F20"/>
          <w:spacing w:val="5"/>
          <w:sz w:val="17"/>
        </w:rPr>
        <w:t xml:space="preserve"> </w:t>
      </w:r>
      <w:r>
        <w:rPr>
          <w:color w:val="231F20"/>
          <w:w w:val="95"/>
          <w:sz w:val="17"/>
        </w:rPr>
        <w:t>tour</w:t>
      </w:r>
      <w:r>
        <w:rPr>
          <w:color w:val="231F20"/>
          <w:spacing w:val="6"/>
          <w:sz w:val="17"/>
        </w:rPr>
        <w:t xml:space="preserve"> </w:t>
      </w:r>
      <w:r>
        <w:rPr>
          <w:color w:val="231F20"/>
          <w:w w:val="95"/>
          <w:sz w:val="17"/>
        </w:rPr>
        <w:t>43,</w:t>
      </w:r>
      <w:r>
        <w:rPr>
          <w:color w:val="231F20"/>
          <w:spacing w:val="6"/>
          <w:sz w:val="17"/>
        </w:rPr>
        <w:t xml:space="preserve"> </w:t>
      </w:r>
      <w:r>
        <w:rPr>
          <w:color w:val="231F20"/>
          <w:spacing w:val="-7"/>
          <w:w w:val="95"/>
          <w:sz w:val="17"/>
        </w:rPr>
        <w:t>59</w:t>
      </w:r>
    </w:p>
    <w:p w14:paraId="197C36D6" w14:textId="77777777" w:rsidR="00AE0598" w:rsidRDefault="0069255A">
      <w:pPr>
        <w:ind w:left="110"/>
        <w:rPr>
          <w:sz w:val="17"/>
        </w:rPr>
      </w:pPr>
      <w:r>
        <w:rPr>
          <w:color w:val="231F20"/>
          <w:w w:val="95"/>
          <w:sz w:val="17"/>
        </w:rPr>
        <w:t>staged</w:t>
      </w:r>
      <w:r>
        <w:rPr>
          <w:color w:val="231F20"/>
          <w:spacing w:val="8"/>
          <w:sz w:val="17"/>
        </w:rPr>
        <w:t xml:space="preserve"> </w:t>
      </w:r>
      <w:r>
        <w:rPr>
          <w:color w:val="231F20"/>
          <w:w w:val="95"/>
          <w:sz w:val="17"/>
        </w:rPr>
        <w:t>authenticity</w:t>
      </w:r>
      <w:r>
        <w:rPr>
          <w:color w:val="231F20"/>
          <w:spacing w:val="9"/>
          <w:sz w:val="17"/>
        </w:rPr>
        <w:t xml:space="preserve"> </w:t>
      </w:r>
      <w:r>
        <w:rPr>
          <w:color w:val="231F20"/>
          <w:spacing w:val="-4"/>
          <w:w w:val="95"/>
          <w:sz w:val="17"/>
        </w:rPr>
        <w:t>71–72</w:t>
      </w:r>
    </w:p>
    <w:p w14:paraId="4D5068E9" w14:textId="77777777" w:rsidR="00AE0598" w:rsidRDefault="0069255A">
      <w:pPr>
        <w:spacing w:before="1"/>
        <w:ind w:left="110"/>
        <w:rPr>
          <w:sz w:val="17"/>
        </w:rPr>
      </w:pPr>
      <w:r>
        <w:rPr>
          <w:color w:val="231F20"/>
          <w:w w:val="90"/>
          <w:sz w:val="17"/>
        </w:rPr>
        <w:t>staged</w:t>
      </w:r>
      <w:r>
        <w:rPr>
          <w:color w:val="231F20"/>
          <w:spacing w:val="40"/>
          <w:sz w:val="17"/>
        </w:rPr>
        <w:t xml:space="preserve"> </w:t>
      </w:r>
      <w:r>
        <w:rPr>
          <w:color w:val="231F20"/>
          <w:w w:val="90"/>
          <w:sz w:val="17"/>
        </w:rPr>
        <w:t>entertainment</w:t>
      </w:r>
      <w:r>
        <w:rPr>
          <w:color w:val="231F20"/>
          <w:spacing w:val="41"/>
          <w:sz w:val="17"/>
        </w:rPr>
        <w:t xml:space="preserve"> </w:t>
      </w:r>
      <w:r>
        <w:rPr>
          <w:color w:val="231F20"/>
          <w:spacing w:val="-5"/>
          <w:w w:val="90"/>
          <w:sz w:val="17"/>
        </w:rPr>
        <w:t>215</w:t>
      </w:r>
    </w:p>
    <w:p w14:paraId="20D5A330" w14:textId="77777777" w:rsidR="00AE0598" w:rsidRDefault="0069255A">
      <w:pPr>
        <w:spacing w:before="1"/>
        <w:ind w:left="110"/>
        <w:rPr>
          <w:sz w:val="17"/>
        </w:rPr>
      </w:pPr>
      <w:r>
        <w:rPr>
          <w:color w:val="231F20"/>
          <w:w w:val="95"/>
          <w:sz w:val="17"/>
        </w:rPr>
        <w:t>standardisation</w:t>
      </w:r>
      <w:r>
        <w:rPr>
          <w:color w:val="231F20"/>
          <w:spacing w:val="2"/>
          <w:sz w:val="17"/>
        </w:rPr>
        <w:t xml:space="preserve"> </w:t>
      </w:r>
      <w:r>
        <w:rPr>
          <w:color w:val="231F20"/>
          <w:w w:val="95"/>
          <w:sz w:val="17"/>
        </w:rPr>
        <w:t>95,</w:t>
      </w:r>
      <w:r>
        <w:rPr>
          <w:color w:val="231F20"/>
          <w:spacing w:val="2"/>
          <w:sz w:val="17"/>
        </w:rPr>
        <w:t xml:space="preserve"> </w:t>
      </w:r>
      <w:r>
        <w:rPr>
          <w:color w:val="231F20"/>
          <w:w w:val="95"/>
          <w:sz w:val="17"/>
        </w:rPr>
        <w:t>99,</w:t>
      </w:r>
      <w:r>
        <w:rPr>
          <w:color w:val="231F20"/>
          <w:spacing w:val="3"/>
          <w:sz w:val="17"/>
        </w:rPr>
        <w:t xml:space="preserve"> </w:t>
      </w:r>
      <w:r>
        <w:rPr>
          <w:color w:val="231F20"/>
          <w:w w:val="95"/>
          <w:sz w:val="17"/>
        </w:rPr>
        <w:t>118,</w:t>
      </w:r>
      <w:r>
        <w:rPr>
          <w:color w:val="231F20"/>
          <w:spacing w:val="2"/>
          <w:sz w:val="17"/>
        </w:rPr>
        <w:t xml:space="preserve"> </w:t>
      </w:r>
      <w:r>
        <w:rPr>
          <w:color w:val="231F20"/>
          <w:spacing w:val="-2"/>
          <w:w w:val="95"/>
          <w:sz w:val="17"/>
        </w:rPr>
        <w:t>147–148</w:t>
      </w:r>
    </w:p>
    <w:p w14:paraId="3EE23B89" w14:textId="77777777" w:rsidR="00AE0598" w:rsidRDefault="0069255A">
      <w:pPr>
        <w:ind w:left="110"/>
        <w:rPr>
          <w:sz w:val="17"/>
        </w:rPr>
      </w:pPr>
      <w:r>
        <w:rPr>
          <w:color w:val="231F20"/>
          <w:w w:val="95"/>
          <w:sz w:val="17"/>
        </w:rPr>
        <w:t>Statistics</w:t>
      </w:r>
      <w:r>
        <w:rPr>
          <w:color w:val="231F20"/>
          <w:spacing w:val="28"/>
          <w:sz w:val="17"/>
        </w:rPr>
        <w:t xml:space="preserve"> </w:t>
      </w:r>
      <w:r>
        <w:rPr>
          <w:color w:val="231F20"/>
          <w:w w:val="95"/>
          <w:sz w:val="17"/>
        </w:rPr>
        <w:t>Canada</w:t>
      </w:r>
      <w:r>
        <w:rPr>
          <w:color w:val="231F20"/>
          <w:spacing w:val="28"/>
          <w:sz w:val="17"/>
        </w:rPr>
        <w:t xml:space="preserve"> </w:t>
      </w:r>
      <w:r>
        <w:rPr>
          <w:color w:val="231F20"/>
          <w:spacing w:val="-7"/>
          <w:w w:val="95"/>
          <w:sz w:val="17"/>
        </w:rPr>
        <w:t>27</w:t>
      </w:r>
    </w:p>
    <w:p w14:paraId="0812BB1C" w14:textId="77777777" w:rsidR="00AE0598" w:rsidRDefault="0069255A">
      <w:pPr>
        <w:spacing w:before="1"/>
        <w:ind w:left="110"/>
        <w:rPr>
          <w:sz w:val="17"/>
        </w:rPr>
      </w:pPr>
      <w:r>
        <w:rPr>
          <w:color w:val="231F20"/>
          <w:w w:val="95"/>
          <w:sz w:val="17"/>
        </w:rPr>
        <w:t>strategic</w:t>
      </w:r>
      <w:r>
        <w:rPr>
          <w:color w:val="231F20"/>
          <w:spacing w:val="10"/>
          <w:sz w:val="17"/>
        </w:rPr>
        <w:t xml:space="preserve"> </w:t>
      </w:r>
      <w:r>
        <w:rPr>
          <w:color w:val="231F20"/>
          <w:w w:val="95"/>
          <w:sz w:val="17"/>
        </w:rPr>
        <w:t>alliance</w:t>
      </w:r>
      <w:r>
        <w:rPr>
          <w:color w:val="231F20"/>
          <w:spacing w:val="10"/>
          <w:sz w:val="17"/>
        </w:rPr>
        <w:t xml:space="preserve"> </w:t>
      </w:r>
      <w:r>
        <w:rPr>
          <w:color w:val="231F20"/>
          <w:spacing w:val="-4"/>
          <w:w w:val="95"/>
          <w:sz w:val="17"/>
        </w:rPr>
        <w:t>81–84</w:t>
      </w:r>
    </w:p>
    <w:p w14:paraId="51A0C776" w14:textId="77777777" w:rsidR="00AE0598" w:rsidRDefault="0069255A">
      <w:pPr>
        <w:spacing w:before="1"/>
        <w:ind w:left="110"/>
        <w:rPr>
          <w:sz w:val="17"/>
        </w:rPr>
      </w:pPr>
      <w:r>
        <w:rPr>
          <w:color w:val="231F20"/>
          <w:w w:val="95"/>
          <w:sz w:val="17"/>
        </w:rPr>
        <w:t>sumo</w:t>
      </w:r>
      <w:r>
        <w:rPr>
          <w:color w:val="231F20"/>
          <w:spacing w:val="6"/>
          <w:sz w:val="17"/>
        </w:rPr>
        <w:t xml:space="preserve"> </w:t>
      </w:r>
      <w:r>
        <w:rPr>
          <w:color w:val="231F20"/>
          <w:w w:val="95"/>
          <w:sz w:val="17"/>
        </w:rPr>
        <w:t>wrestling</w:t>
      </w:r>
      <w:r>
        <w:rPr>
          <w:color w:val="231F20"/>
          <w:spacing w:val="6"/>
          <w:sz w:val="17"/>
        </w:rPr>
        <w:t xml:space="preserve"> </w:t>
      </w:r>
      <w:r>
        <w:rPr>
          <w:color w:val="231F20"/>
          <w:spacing w:val="-7"/>
          <w:w w:val="95"/>
          <w:sz w:val="17"/>
        </w:rPr>
        <w:t>11</w:t>
      </w:r>
    </w:p>
    <w:p w14:paraId="2010CCBD" w14:textId="77777777" w:rsidR="00AE0598" w:rsidRDefault="0069255A">
      <w:pPr>
        <w:spacing w:before="1"/>
        <w:ind w:left="110"/>
        <w:rPr>
          <w:sz w:val="17"/>
        </w:rPr>
      </w:pPr>
      <w:r>
        <w:rPr>
          <w:color w:val="231F20"/>
          <w:w w:val="90"/>
          <w:sz w:val="17"/>
        </w:rPr>
        <w:t>Super</w:t>
      </w:r>
      <w:r>
        <w:rPr>
          <w:color w:val="231F20"/>
          <w:spacing w:val="6"/>
          <w:sz w:val="17"/>
        </w:rPr>
        <w:t xml:space="preserve"> </w:t>
      </w:r>
      <w:r>
        <w:rPr>
          <w:color w:val="231F20"/>
          <w:w w:val="90"/>
          <w:sz w:val="17"/>
        </w:rPr>
        <w:t>18</w:t>
      </w:r>
      <w:r>
        <w:rPr>
          <w:color w:val="231F20"/>
          <w:spacing w:val="7"/>
          <w:sz w:val="17"/>
        </w:rPr>
        <w:t xml:space="preserve"> </w:t>
      </w:r>
      <w:r>
        <w:rPr>
          <w:color w:val="231F20"/>
          <w:spacing w:val="-2"/>
          <w:w w:val="90"/>
          <w:sz w:val="17"/>
        </w:rPr>
        <w:t>182–183</w:t>
      </w:r>
    </w:p>
    <w:p w14:paraId="3F8B4474" w14:textId="77777777" w:rsidR="00AE0598" w:rsidRDefault="0069255A">
      <w:pPr>
        <w:ind w:left="110"/>
        <w:rPr>
          <w:sz w:val="17"/>
        </w:rPr>
      </w:pPr>
      <w:r>
        <w:rPr>
          <w:color w:val="231F20"/>
          <w:w w:val="95"/>
          <w:sz w:val="17"/>
        </w:rPr>
        <w:t>Super</w:t>
      </w:r>
      <w:r>
        <w:rPr>
          <w:color w:val="231F20"/>
          <w:spacing w:val="4"/>
          <w:sz w:val="17"/>
        </w:rPr>
        <w:t xml:space="preserve"> </w:t>
      </w:r>
      <w:r>
        <w:rPr>
          <w:color w:val="231F20"/>
          <w:w w:val="95"/>
          <w:sz w:val="17"/>
        </w:rPr>
        <w:t>Bowl</w:t>
      </w:r>
      <w:r>
        <w:rPr>
          <w:color w:val="231F20"/>
          <w:spacing w:val="5"/>
          <w:sz w:val="17"/>
        </w:rPr>
        <w:t xml:space="preserve"> </w:t>
      </w:r>
      <w:r>
        <w:rPr>
          <w:color w:val="231F20"/>
          <w:spacing w:val="-5"/>
          <w:w w:val="95"/>
          <w:sz w:val="17"/>
        </w:rPr>
        <w:t>46</w:t>
      </w:r>
    </w:p>
    <w:p w14:paraId="5CCDEF27" w14:textId="77777777" w:rsidR="00AE0598" w:rsidRDefault="0069255A">
      <w:pPr>
        <w:spacing w:before="1"/>
        <w:ind w:left="110"/>
        <w:rPr>
          <w:sz w:val="17"/>
        </w:rPr>
      </w:pPr>
      <w:r>
        <w:rPr>
          <w:color w:val="231F20"/>
          <w:w w:val="95"/>
          <w:sz w:val="17"/>
        </w:rPr>
        <w:t>surf</w:t>
      </w:r>
      <w:r>
        <w:rPr>
          <w:color w:val="231F20"/>
          <w:spacing w:val="2"/>
          <w:sz w:val="17"/>
        </w:rPr>
        <w:t xml:space="preserve"> </w:t>
      </w:r>
      <w:r>
        <w:rPr>
          <w:color w:val="231F20"/>
          <w:w w:val="95"/>
          <w:sz w:val="17"/>
        </w:rPr>
        <w:t>tourism</w:t>
      </w:r>
      <w:r>
        <w:rPr>
          <w:color w:val="231F20"/>
          <w:spacing w:val="2"/>
          <w:sz w:val="17"/>
        </w:rPr>
        <w:t xml:space="preserve"> </w:t>
      </w:r>
      <w:r>
        <w:rPr>
          <w:color w:val="231F20"/>
          <w:w w:val="95"/>
          <w:sz w:val="17"/>
        </w:rPr>
        <w:t>57,</w:t>
      </w:r>
      <w:r>
        <w:rPr>
          <w:color w:val="231F20"/>
          <w:spacing w:val="2"/>
          <w:sz w:val="17"/>
        </w:rPr>
        <w:t xml:space="preserve"> </w:t>
      </w:r>
      <w:r>
        <w:rPr>
          <w:color w:val="231F20"/>
          <w:spacing w:val="-2"/>
          <w:w w:val="95"/>
          <w:sz w:val="17"/>
        </w:rPr>
        <w:t>201–203</w:t>
      </w:r>
    </w:p>
    <w:p w14:paraId="635CA347" w14:textId="77777777" w:rsidR="00AE0598" w:rsidRDefault="0069255A">
      <w:pPr>
        <w:spacing w:before="1"/>
        <w:ind w:left="110"/>
        <w:rPr>
          <w:sz w:val="17"/>
        </w:rPr>
      </w:pPr>
      <w:r>
        <w:rPr>
          <w:color w:val="231F20"/>
          <w:w w:val="90"/>
          <w:sz w:val="17"/>
        </w:rPr>
        <w:t>surfing</w:t>
      </w:r>
      <w:r>
        <w:rPr>
          <w:color w:val="231F20"/>
          <w:spacing w:val="29"/>
          <w:sz w:val="17"/>
        </w:rPr>
        <w:t xml:space="preserve"> </w:t>
      </w:r>
      <w:r>
        <w:rPr>
          <w:color w:val="231F20"/>
          <w:spacing w:val="-2"/>
          <w:sz w:val="17"/>
        </w:rPr>
        <w:t>119–120</w:t>
      </w:r>
    </w:p>
    <w:p w14:paraId="73F0BB26" w14:textId="77777777" w:rsidR="00AE0598" w:rsidRDefault="0069255A">
      <w:pPr>
        <w:ind w:left="110"/>
        <w:rPr>
          <w:sz w:val="17"/>
        </w:rPr>
      </w:pPr>
      <w:r>
        <w:rPr>
          <w:color w:val="231F20"/>
          <w:w w:val="95"/>
          <w:sz w:val="17"/>
        </w:rPr>
        <w:t>sustainability</w:t>
      </w:r>
      <w:r>
        <w:rPr>
          <w:color w:val="231F20"/>
          <w:spacing w:val="9"/>
          <w:sz w:val="17"/>
        </w:rPr>
        <w:t xml:space="preserve"> </w:t>
      </w:r>
      <w:r>
        <w:rPr>
          <w:color w:val="231F20"/>
          <w:w w:val="95"/>
          <w:sz w:val="17"/>
        </w:rPr>
        <w:t>8,</w:t>
      </w:r>
      <w:r>
        <w:rPr>
          <w:color w:val="231F20"/>
          <w:spacing w:val="9"/>
          <w:sz w:val="17"/>
        </w:rPr>
        <w:t xml:space="preserve"> </w:t>
      </w:r>
      <w:r>
        <w:rPr>
          <w:color w:val="231F20"/>
          <w:w w:val="95"/>
          <w:sz w:val="17"/>
        </w:rPr>
        <w:t>9,</w:t>
      </w:r>
      <w:r>
        <w:rPr>
          <w:color w:val="231F20"/>
          <w:spacing w:val="10"/>
          <w:sz w:val="17"/>
        </w:rPr>
        <w:t xml:space="preserve"> </w:t>
      </w:r>
      <w:r>
        <w:rPr>
          <w:color w:val="231F20"/>
          <w:w w:val="95"/>
          <w:sz w:val="17"/>
        </w:rPr>
        <w:t>33,</w:t>
      </w:r>
      <w:r>
        <w:rPr>
          <w:color w:val="231F20"/>
          <w:spacing w:val="9"/>
          <w:sz w:val="17"/>
        </w:rPr>
        <w:t xml:space="preserve"> </w:t>
      </w:r>
      <w:r>
        <w:rPr>
          <w:color w:val="231F20"/>
          <w:w w:val="95"/>
          <w:sz w:val="17"/>
        </w:rPr>
        <w:t>52,</w:t>
      </w:r>
      <w:r>
        <w:rPr>
          <w:color w:val="231F20"/>
          <w:spacing w:val="9"/>
          <w:sz w:val="17"/>
        </w:rPr>
        <w:t xml:space="preserve"> </w:t>
      </w:r>
      <w:r>
        <w:rPr>
          <w:color w:val="231F20"/>
          <w:w w:val="95"/>
          <w:sz w:val="17"/>
        </w:rPr>
        <w:t>63–70,</w:t>
      </w:r>
      <w:r>
        <w:rPr>
          <w:color w:val="231F20"/>
          <w:spacing w:val="10"/>
          <w:sz w:val="17"/>
        </w:rPr>
        <w:t xml:space="preserve"> </w:t>
      </w:r>
      <w:r>
        <w:rPr>
          <w:color w:val="231F20"/>
          <w:w w:val="95"/>
          <w:sz w:val="17"/>
        </w:rPr>
        <w:t>84,</w:t>
      </w:r>
      <w:r>
        <w:rPr>
          <w:color w:val="231F20"/>
          <w:spacing w:val="9"/>
          <w:sz w:val="17"/>
        </w:rPr>
        <w:t xml:space="preserve"> </w:t>
      </w:r>
      <w:r>
        <w:rPr>
          <w:color w:val="231F20"/>
          <w:spacing w:val="-4"/>
          <w:w w:val="95"/>
          <w:sz w:val="17"/>
        </w:rPr>
        <w:t>130,</w:t>
      </w:r>
    </w:p>
    <w:p w14:paraId="75489145" w14:textId="77777777" w:rsidR="00AE0598" w:rsidRDefault="0069255A">
      <w:pPr>
        <w:spacing w:before="1"/>
        <w:ind w:left="470"/>
        <w:rPr>
          <w:sz w:val="17"/>
        </w:rPr>
      </w:pPr>
      <w:r>
        <w:rPr>
          <w:color w:val="231F20"/>
          <w:w w:val="90"/>
          <w:sz w:val="17"/>
        </w:rPr>
        <w:t>141–144,</w:t>
      </w:r>
      <w:r>
        <w:rPr>
          <w:color w:val="231F20"/>
          <w:spacing w:val="10"/>
          <w:sz w:val="17"/>
        </w:rPr>
        <w:t xml:space="preserve"> </w:t>
      </w:r>
      <w:r>
        <w:rPr>
          <w:color w:val="231F20"/>
          <w:w w:val="90"/>
          <w:sz w:val="17"/>
        </w:rPr>
        <w:t>198,</w:t>
      </w:r>
      <w:r>
        <w:rPr>
          <w:color w:val="231F20"/>
          <w:spacing w:val="11"/>
          <w:sz w:val="17"/>
        </w:rPr>
        <w:t xml:space="preserve"> </w:t>
      </w:r>
      <w:r>
        <w:rPr>
          <w:color w:val="231F20"/>
          <w:spacing w:val="-5"/>
          <w:w w:val="90"/>
          <w:sz w:val="17"/>
        </w:rPr>
        <w:t>236</w:t>
      </w:r>
    </w:p>
    <w:p w14:paraId="7BF9F6A1" w14:textId="77777777" w:rsidR="00AE0598" w:rsidRDefault="0069255A">
      <w:pPr>
        <w:spacing w:before="1"/>
        <w:ind w:left="110"/>
        <w:rPr>
          <w:sz w:val="17"/>
        </w:rPr>
      </w:pPr>
      <w:r>
        <w:rPr>
          <w:color w:val="231F20"/>
          <w:w w:val="95"/>
          <w:sz w:val="17"/>
        </w:rPr>
        <w:t>sustainable</w:t>
      </w:r>
      <w:r>
        <w:rPr>
          <w:color w:val="231F20"/>
          <w:sz w:val="17"/>
        </w:rPr>
        <w:t xml:space="preserve"> </w:t>
      </w:r>
      <w:r>
        <w:rPr>
          <w:color w:val="231F20"/>
          <w:w w:val="95"/>
          <w:sz w:val="17"/>
        </w:rPr>
        <w:t>development</w:t>
      </w:r>
      <w:r>
        <w:rPr>
          <w:color w:val="231F20"/>
          <w:spacing w:val="1"/>
          <w:sz w:val="17"/>
        </w:rPr>
        <w:t xml:space="preserve"> </w:t>
      </w:r>
      <w:r>
        <w:rPr>
          <w:color w:val="231F20"/>
          <w:w w:val="95"/>
          <w:sz w:val="17"/>
        </w:rPr>
        <w:t>62,</w:t>
      </w:r>
      <w:r>
        <w:rPr>
          <w:color w:val="231F20"/>
          <w:spacing w:val="1"/>
          <w:sz w:val="17"/>
        </w:rPr>
        <w:t xml:space="preserve"> </w:t>
      </w:r>
      <w:r>
        <w:rPr>
          <w:color w:val="231F20"/>
          <w:w w:val="95"/>
          <w:sz w:val="17"/>
        </w:rPr>
        <w:t>65–70,</w:t>
      </w:r>
      <w:r>
        <w:rPr>
          <w:color w:val="231F20"/>
          <w:spacing w:val="1"/>
          <w:sz w:val="17"/>
        </w:rPr>
        <w:t xml:space="preserve"> </w:t>
      </w:r>
      <w:r>
        <w:rPr>
          <w:color w:val="231F20"/>
          <w:spacing w:val="-2"/>
          <w:w w:val="95"/>
          <w:sz w:val="17"/>
        </w:rPr>
        <w:t>76–78,</w:t>
      </w:r>
    </w:p>
    <w:p w14:paraId="3F77745A" w14:textId="77777777" w:rsidR="00AE0598" w:rsidRDefault="0069255A">
      <w:pPr>
        <w:ind w:left="470"/>
        <w:rPr>
          <w:sz w:val="17"/>
        </w:rPr>
      </w:pPr>
      <w:r>
        <w:rPr>
          <w:color w:val="231F20"/>
          <w:w w:val="90"/>
          <w:sz w:val="17"/>
        </w:rPr>
        <w:t>135,</w:t>
      </w:r>
      <w:r>
        <w:rPr>
          <w:color w:val="231F20"/>
          <w:spacing w:val="19"/>
          <w:sz w:val="17"/>
        </w:rPr>
        <w:t xml:space="preserve"> </w:t>
      </w:r>
      <w:r>
        <w:rPr>
          <w:color w:val="231F20"/>
          <w:w w:val="90"/>
          <w:sz w:val="17"/>
        </w:rPr>
        <w:t>139,</w:t>
      </w:r>
      <w:r>
        <w:rPr>
          <w:color w:val="231F20"/>
          <w:spacing w:val="19"/>
          <w:sz w:val="17"/>
        </w:rPr>
        <w:t xml:space="preserve"> </w:t>
      </w:r>
      <w:r>
        <w:rPr>
          <w:color w:val="231F20"/>
          <w:w w:val="90"/>
          <w:sz w:val="17"/>
        </w:rPr>
        <w:t>222–223,</w:t>
      </w:r>
      <w:r>
        <w:rPr>
          <w:color w:val="231F20"/>
          <w:spacing w:val="20"/>
          <w:sz w:val="17"/>
        </w:rPr>
        <w:t xml:space="preserve"> </w:t>
      </w:r>
      <w:r>
        <w:rPr>
          <w:color w:val="231F20"/>
          <w:w w:val="90"/>
          <w:sz w:val="17"/>
        </w:rPr>
        <w:t>231,</w:t>
      </w:r>
      <w:r>
        <w:rPr>
          <w:color w:val="231F20"/>
          <w:spacing w:val="19"/>
          <w:sz w:val="17"/>
        </w:rPr>
        <w:t xml:space="preserve"> </w:t>
      </w:r>
      <w:r>
        <w:rPr>
          <w:color w:val="231F20"/>
          <w:spacing w:val="-5"/>
          <w:w w:val="90"/>
          <w:sz w:val="17"/>
        </w:rPr>
        <w:t>236</w:t>
      </w:r>
    </w:p>
    <w:p w14:paraId="64B76FE5" w14:textId="77777777" w:rsidR="00AE0598" w:rsidRDefault="0069255A">
      <w:pPr>
        <w:spacing w:before="1"/>
        <w:ind w:left="110"/>
        <w:rPr>
          <w:sz w:val="17"/>
        </w:rPr>
      </w:pPr>
      <w:r>
        <w:rPr>
          <w:color w:val="231F20"/>
          <w:w w:val="95"/>
          <w:sz w:val="17"/>
        </w:rPr>
        <w:t>Sustainable Development Goals 67, 69, 236</w:t>
      </w:r>
      <w:r>
        <w:rPr>
          <w:color w:val="231F20"/>
          <w:spacing w:val="40"/>
          <w:sz w:val="17"/>
        </w:rPr>
        <w:t xml:space="preserve"> </w:t>
      </w:r>
      <w:r>
        <w:rPr>
          <w:color w:val="231F20"/>
          <w:w w:val="95"/>
          <w:sz w:val="17"/>
        </w:rPr>
        <w:t>sustainable sport tourism development 65,</w:t>
      </w:r>
    </w:p>
    <w:p w14:paraId="6C4C7DCE" w14:textId="77777777" w:rsidR="00AE0598" w:rsidRDefault="0069255A">
      <w:pPr>
        <w:spacing w:before="2"/>
        <w:ind w:left="470"/>
        <w:rPr>
          <w:sz w:val="17"/>
        </w:rPr>
      </w:pPr>
      <w:r>
        <w:rPr>
          <w:color w:val="231F20"/>
          <w:w w:val="90"/>
          <w:sz w:val="17"/>
        </w:rPr>
        <w:t>149,</w:t>
      </w:r>
      <w:r>
        <w:rPr>
          <w:color w:val="231F20"/>
          <w:sz w:val="17"/>
        </w:rPr>
        <w:t xml:space="preserve"> </w:t>
      </w:r>
      <w:r>
        <w:rPr>
          <w:color w:val="231F20"/>
          <w:spacing w:val="-5"/>
          <w:sz w:val="17"/>
        </w:rPr>
        <w:t>223</w:t>
      </w:r>
    </w:p>
    <w:p w14:paraId="4D832AF7" w14:textId="77777777" w:rsidR="00AE0598" w:rsidRDefault="0069255A">
      <w:pPr>
        <w:ind w:left="110"/>
        <w:rPr>
          <w:sz w:val="17"/>
        </w:rPr>
      </w:pPr>
      <w:r>
        <w:rPr>
          <w:color w:val="231F20"/>
          <w:w w:val="95"/>
          <w:sz w:val="17"/>
        </w:rPr>
        <w:t>sustainable</w:t>
      </w:r>
      <w:r>
        <w:rPr>
          <w:color w:val="231F20"/>
          <w:spacing w:val="2"/>
          <w:sz w:val="17"/>
        </w:rPr>
        <w:t xml:space="preserve"> </w:t>
      </w:r>
      <w:r>
        <w:rPr>
          <w:color w:val="231F20"/>
          <w:w w:val="95"/>
          <w:sz w:val="17"/>
        </w:rPr>
        <w:t>tourism</w:t>
      </w:r>
      <w:r>
        <w:rPr>
          <w:color w:val="231F20"/>
          <w:spacing w:val="2"/>
          <w:sz w:val="17"/>
        </w:rPr>
        <w:t xml:space="preserve"> </w:t>
      </w:r>
      <w:r>
        <w:rPr>
          <w:color w:val="231F20"/>
          <w:w w:val="95"/>
          <w:sz w:val="17"/>
        </w:rPr>
        <w:t>65,</w:t>
      </w:r>
      <w:r>
        <w:rPr>
          <w:color w:val="231F20"/>
          <w:spacing w:val="2"/>
          <w:sz w:val="17"/>
        </w:rPr>
        <w:t xml:space="preserve"> </w:t>
      </w:r>
      <w:r>
        <w:rPr>
          <w:color w:val="231F20"/>
          <w:w w:val="95"/>
          <w:sz w:val="17"/>
        </w:rPr>
        <w:t>67,</w:t>
      </w:r>
      <w:r>
        <w:rPr>
          <w:color w:val="231F20"/>
          <w:spacing w:val="2"/>
          <w:sz w:val="17"/>
        </w:rPr>
        <w:t xml:space="preserve"> </w:t>
      </w:r>
      <w:r>
        <w:rPr>
          <w:color w:val="231F20"/>
          <w:w w:val="95"/>
          <w:sz w:val="17"/>
        </w:rPr>
        <w:t>140,</w:t>
      </w:r>
      <w:r>
        <w:rPr>
          <w:color w:val="231F20"/>
          <w:spacing w:val="3"/>
          <w:sz w:val="17"/>
        </w:rPr>
        <w:t xml:space="preserve"> </w:t>
      </w:r>
      <w:r>
        <w:rPr>
          <w:color w:val="231F20"/>
          <w:spacing w:val="-2"/>
          <w:w w:val="95"/>
          <w:sz w:val="17"/>
        </w:rPr>
        <w:t>149–150</w:t>
      </w:r>
    </w:p>
    <w:p w14:paraId="3C142B8F" w14:textId="77777777" w:rsidR="00AE0598" w:rsidRDefault="0069255A">
      <w:pPr>
        <w:spacing w:before="1"/>
        <w:ind w:left="110"/>
        <w:rPr>
          <w:sz w:val="17"/>
        </w:rPr>
      </w:pPr>
      <w:r>
        <w:rPr>
          <w:color w:val="231F20"/>
          <w:w w:val="95"/>
          <w:sz w:val="17"/>
        </w:rPr>
        <w:t>Sydney</w:t>
      </w:r>
      <w:r>
        <w:rPr>
          <w:color w:val="231F20"/>
          <w:spacing w:val="-1"/>
          <w:sz w:val="17"/>
        </w:rPr>
        <w:t xml:space="preserve"> </w:t>
      </w:r>
      <w:r>
        <w:rPr>
          <w:color w:val="231F20"/>
          <w:w w:val="95"/>
          <w:sz w:val="17"/>
        </w:rPr>
        <w:t>46,</w:t>
      </w:r>
      <w:r>
        <w:rPr>
          <w:color w:val="231F20"/>
          <w:spacing w:val="-1"/>
          <w:sz w:val="17"/>
        </w:rPr>
        <w:t xml:space="preserve"> </w:t>
      </w:r>
      <w:r>
        <w:rPr>
          <w:color w:val="231F20"/>
          <w:w w:val="95"/>
          <w:sz w:val="17"/>
        </w:rPr>
        <w:t>52,</w:t>
      </w:r>
      <w:r>
        <w:rPr>
          <w:color w:val="231F20"/>
          <w:spacing w:val="-1"/>
          <w:sz w:val="17"/>
        </w:rPr>
        <w:t xml:space="preserve"> </w:t>
      </w:r>
      <w:r>
        <w:rPr>
          <w:color w:val="231F20"/>
          <w:w w:val="95"/>
          <w:sz w:val="17"/>
        </w:rPr>
        <w:t>147,</w:t>
      </w:r>
      <w:r>
        <w:rPr>
          <w:color w:val="231F20"/>
          <w:spacing w:val="-1"/>
          <w:sz w:val="17"/>
        </w:rPr>
        <w:t xml:space="preserve"> </w:t>
      </w:r>
      <w:r>
        <w:rPr>
          <w:color w:val="231F20"/>
          <w:spacing w:val="-5"/>
          <w:w w:val="95"/>
          <w:sz w:val="17"/>
        </w:rPr>
        <w:t>151</w:t>
      </w:r>
    </w:p>
    <w:p w14:paraId="6CD7E104" w14:textId="77777777" w:rsidR="00AE0598" w:rsidRDefault="0069255A">
      <w:pPr>
        <w:spacing w:before="1"/>
        <w:ind w:left="110"/>
        <w:rPr>
          <w:sz w:val="17"/>
        </w:rPr>
      </w:pPr>
      <w:r>
        <w:rPr>
          <w:color w:val="231F20"/>
          <w:w w:val="95"/>
          <w:sz w:val="17"/>
        </w:rPr>
        <w:t>Sydney</w:t>
      </w:r>
      <w:r>
        <w:rPr>
          <w:color w:val="231F20"/>
          <w:spacing w:val="10"/>
          <w:sz w:val="17"/>
        </w:rPr>
        <w:t xml:space="preserve"> </w:t>
      </w:r>
      <w:r>
        <w:rPr>
          <w:color w:val="231F20"/>
          <w:w w:val="95"/>
          <w:sz w:val="17"/>
        </w:rPr>
        <w:t>2000</w:t>
      </w:r>
      <w:r>
        <w:rPr>
          <w:color w:val="231F20"/>
          <w:spacing w:val="10"/>
          <w:sz w:val="17"/>
        </w:rPr>
        <w:t xml:space="preserve"> </w:t>
      </w:r>
      <w:r>
        <w:rPr>
          <w:color w:val="231F20"/>
          <w:w w:val="95"/>
          <w:sz w:val="17"/>
        </w:rPr>
        <w:t>Olympic</w:t>
      </w:r>
      <w:r>
        <w:rPr>
          <w:color w:val="231F20"/>
          <w:spacing w:val="10"/>
          <w:sz w:val="17"/>
        </w:rPr>
        <w:t xml:space="preserve"> </w:t>
      </w:r>
      <w:r>
        <w:rPr>
          <w:color w:val="231F20"/>
          <w:w w:val="95"/>
          <w:sz w:val="17"/>
        </w:rPr>
        <w:t>Games</w:t>
      </w:r>
      <w:r>
        <w:rPr>
          <w:color w:val="231F20"/>
          <w:spacing w:val="10"/>
          <w:sz w:val="17"/>
        </w:rPr>
        <w:t xml:space="preserve"> </w:t>
      </w:r>
      <w:r>
        <w:rPr>
          <w:color w:val="231F20"/>
          <w:w w:val="95"/>
          <w:sz w:val="17"/>
        </w:rPr>
        <w:t>47,</w:t>
      </w:r>
      <w:r>
        <w:rPr>
          <w:color w:val="231F20"/>
          <w:spacing w:val="10"/>
          <w:sz w:val="17"/>
        </w:rPr>
        <w:t xml:space="preserve"> </w:t>
      </w:r>
      <w:r>
        <w:rPr>
          <w:color w:val="231F20"/>
          <w:spacing w:val="-5"/>
          <w:w w:val="95"/>
          <w:sz w:val="17"/>
        </w:rPr>
        <w:t>151</w:t>
      </w:r>
    </w:p>
    <w:p w14:paraId="30E04F04" w14:textId="77777777" w:rsidR="00AE0598" w:rsidRDefault="00AE0598">
      <w:pPr>
        <w:pStyle w:val="Corpodetexto"/>
        <w:spacing w:before="3"/>
        <w:rPr>
          <w:sz w:val="16"/>
        </w:rPr>
      </w:pPr>
    </w:p>
    <w:p w14:paraId="284409F9" w14:textId="77777777" w:rsidR="00AE0598" w:rsidRDefault="0069255A">
      <w:pPr>
        <w:ind w:left="110"/>
        <w:rPr>
          <w:sz w:val="17"/>
        </w:rPr>
      </w:pPr>
      <w:r>
        <w:rPr>
          <w:color w:val="231F20"/>
          <w:w w:val="95"/>
          <w:sz w:val="17"/>
        </w:rPr>
        <w:t>team</w:t>
      </w:r>
      <w:r>
        <w:rPr>
          <w:color w:val="231F20"/>
          <w:spacing w:val="7"/>
          <w:sz w:val="17"/>
        </w:rPr>
        <w:t xml:space="preserve"> </w:t>
      </w:r>
      <w:r>
        <w:rPr>
          <w:color w:val="231F20"/>
          <w:w w:val="95"/>
          <w:sz w:val="17"/>
        </w:rPr>
        <w:t>culture</w:t>
      </w:r>
      <w:r>
        <w:rPr>
          <w:color w:val="231F20"/>
          <w:spacing w:val="8"/>
          <w:sz w:val="17"/>
        </w:rPr>
        <w:t xml:space="preserve"> </w:t>
      </w:r>
      <w:r>
        <w:rPr>
          <w:color w:val="231F20"/>
          <w:spacing w:val="-2"/>
          <w:w w:val="95"/>
          <w:sz w:val="17"/>
        </w:rPr>
        <w:t>166–167</w:t>
      </w:r>
    </w:p>
    <w:p w14:paraId="553F4DCD" w14:textId="77777777" w:rsidR="00AE0598" w:rsidRDefault="0069255A">
      <w:pPr>
        <w:spacing w:before="1"/>
        <w:ind w:left="110"/>
        <w:rPr>
          <w:sz w:val="17"/>
        </w:rPr>
      </w:pPr>
      <w:r>
        <w:rPr>
          <w:color w:val="231F20"/>
          <w:w w:val="95"/>
          <w:sz w:val="17"/>
        </w:rPr>
        <w:t>technological</w:t>
      </w:r>
      <w:r>
        <w:rPr>
          <w:color w:val="231F20"/>
          <w:spacing w:val="10"/>
          <w:sz w:val="17"/>
        </w:rPr>
        <w:t xml:space="preserve"> </w:t>
      </w:r>
      <w:r>
        <w:rPr>
          <w:color w:val="231F20"/>
          <w:w w:val="95"/>
          <w:sz w:val="17"/>
        </w:rPr>
        <w:t>development</w:t>
      </w:r>
      <w:r>
        <w:rPr>
          <w:color w:val="231F20"/>
          <w:spacing w:val="10"/>
          <w:sz w:val="17"/>
        </w:rPr>
        <w:t xml:space="preserve"> </w:t>
      </w:r>
      <w:r>
        <w:rPr>
          <w:color w:val="231F20"/>
          <w:spacing w:val="-5"/>
          <w:w w:val="95"/>
          <w:sz w:val="17"/>
        </w:rPr>
        <w:t>147</w:t>
      </w:r>
    </w:p>
    <w:p w14:paraId="7898A216" w14:textId="77777777" w:rsidR="00AE0598" w:rsidRDefault="0069255A">
      <w:pPr>
        <w:ind w:left="110"/>
        <w:rPr>
          <w:sz w:val="17"/>
        </w:rPr>
      </w:pPr>
      <w:r>
        <w:rPr>
          <w:color w:val="231F20"/>
          <w:w w:val="95"/>
          <w:sz w:val="17"/>
        </w:rPr>
        <w:t>technology</w:t>
      </w:r>
      <w:r>
        <w:rPr>
          <w:color w:val="231F20"/>
          <w:spacing w:val="-1"/>
          <w:w w:val="95"/>
          <w:sz w:val="17"/>
        </w:rPr>
        <w:t xml:space="preserve"> </w:t>
      </w:r>
      <w:r>
        <w:rPr>
          <w:color w:val="231F20"/>
          <w:w w:val="95"/>
          <w:sz w:val="17"/>
        </w:rPr>
        <w:t>13,</w:t>
      </w:r>
      <w:r>
        <w:rPr>
          <w:color w:val="231F20"/>
          <w:spacing w:val="-1"/>
          <w:w w:val="95"/>
          <w:sz w:val="17"/>
        </w:rPr>
        <w:t xml:space="preserve"> </w:t>
      </w:r>
      <w:r>
        <w:rPr>
          <w:color w:val="231F20"/>
          <w:w w:val="95"/>
          <w:sz w:val="17"/>
        </w:rPr>
        <w:t>95,</w:t>
      </w:r>
      <w:r>
        <w:rPr>
          <w:color w:val="231F20"/>
          <w:spacing w:val="-1"/>
          <w:w w:val="95"/>
          <w:sz w:val="17"/>
        </w:rPr>
        <w:t xml:space="preserve"> </w:t>
      </w:r>
      <w:r>
        <w:rPr>
          <w:color w:val="231F20"/>
          <w:w w:val="95"/>
          <w:sz w:val="17"/>
        </w:rPr>
        <w:t>109,</w:t>
      </w:r>
      <w:r>
        <w:rPr>
          <w:color w:val="231F20"/>
          <w:spacing w:val="-1"/>
          <w:w w:val="95"/>
          <w:sz w:val="17"/>
        </w:rPr>
        <w:t xml:space="preserve"> </w:t>
      </w:r>
      <w:r>
        <w:rPr>
          <w:color w:val="231F20"/>
          <w:w w:val="95"/>
          <w:sz w:val="17"/>
        </w:rPr>
        <w:t>138–139,</w:t>
      </w:r>
      <w:r>
        <w:rPr>
          <w:color w:val="231F20"/>
          <w:spacing w:val="-1"/>
          <w:w w:val="95"/>
          <w:sz w:val="17"/>
        </w:rPr>
        <w:t xml:space="preserve"> </w:t>
      </w:r>
      <w:r>
        <w:rPr>
          <w:color w:val="231F20"/>
          <w:w w:val="95"/>
          <w:sz w:val="17"/>
        </w:rPr>
        <w:t>187,</w:t>
      </w:r>
      <w:r>
        <w:rPr>
          <w:color w:val="231F20"/>
          <w:spacing w:val="-1"/>
          <w:w w:val="95"/>
          <w:sz w:val="17"/>
        </w:rPr>
        <w:t xml:space="preserve"> </w:t>
      </w:r>
      <w:r>
        <w:rPr>
          <w:color w:val="231F20"/>
          <w:spacing w:val="-4"/>
          <w:w w:val="95"/>
          <w:sz w:val="17"/>
        </w:rPr>
        <w:t>193,</w:t>
      </w:r>
    </w:p>
    <w:p w14:paraId="128F266C" w14:textId="77777777" w:rsidR="00AE0598" w:rsidRDefault="0069255A">
      <w:pPr>
        <w:spacing w:before="1"/>
        <w:ind w:left="96" w:right="735"/>
        <w:jc w:val="center"/>
        <w:rPr>
          <w:sz w:val="17"/>
        </w:rPr>
      </w:pPr>
      <w:r>
        <w:rPr>
          <w:color w:val="231F20"/>
          <w:w w:val="90"/>
          <w:sz w:val="17"/>
        </w:rPr>
        <w:t>207,</w:t>
      </w:r>
      <w:r>
        <w:rPr>
          <w:color w:val="231F20"/>
          <w:spacing w:val="10"/>
          <w:sz w:val="17"/>
        </w:rPr>
        <w:t xml:space="preserve"> </w:t>
      </w:r>
      <w:r>
        <w:rPr>
          <w:color w:val="231F20"/>
          <w:w w:val="90"/>
          <w:sz w:val="17"/>
        </w:rPr>
        <w:t>213,</w:t>
      </w:r>
      <w:r>
        <w:rPr>
          <w:color w:val="231F20"/>
          <w:spacing w:val="10"/>
          <w:sz w:val="17"/>
        </w:rPr>
        <w:t xml:space="preserve"> </w:t>
      </w:r>
      <w:r>
        <w:rPr>
          <w:color w:val="231F20"/>
          <w:w w:val="90"/>
          <w:sz w:val="17"/>
        </w:rPr>
        <w:t>215,</w:t>
      </w:r>
      <w:r>
        <w:rPr>
          <w:color w:val="231F20"/>
          <w:spacing w:val="11"/>
          <w:sz w:val="17"/>
        </w:rPr>
        <w:t xml:space="preserve"> </w:t>
      </w:r>
      <w:r>
        <w:rPr>
          <w:color w:val="231F20"/>
          <w:spacing w:val="-2"/>
          <w:w w:val="90"/>
          <w:sz w:val="17"/>
        </w:rPr>
        <w:t>220–221</w:t>
      </w:r>
    </w:p>
    <w:p w14:paraId="18C1BD9A" w14:textId="77777777" w:rsidR="00AE0598" w:rsidRDefault="0069255A">
      <w:pPr>
        <w:spacing w:before="1"/>
        <w:ind w:left="96" w:right="638"/>
        <w:jc w:val="center"/>
        <w:rPr>
          <w:sz w:val="17"/>
        </w:rPr>
      </w:pPr>
      <w:r>
        <w:rPr>
          <w:color w:val="231F20"/>
          <w:w w:val="95"/>
          <w:sz w:val="17"/>
        </w:rPr>
        <w:t>television</w:t>
      </w:r>
      <w:r>
        <w:rPr>
          <w:color w:val="231F20"/>
          <w:spacing w:val="7"/>
          <w:sz w:val="17"/>
        </w:rPr>
        <w:t xml:space="preserve"> </w:t>
      </w:r>
      <w:r>
        <w:rPr>
          <w:color w:val="231F20"/>
          <w:w w:val="95"/>
          <w:sz w:val="17"/>
        </w:rPr>
        <w:t>broadcasting</w:t>
      </w:r>
      <w:r>
        <w:rPr>
          <w:color w:val="231F20"/>
          <w:spacing w:val="7"/>
          <w:sz w:val="17"/>
        </w:rPr>
        <w:t xml:space="preserve"> </w:t>
      </w:r>
      <w:r>
        <w:rPr>
          <w:color w:val="231F20"/>
          <w:w w:val="95"/>
          <w:sz w:val="17"/>
        </w:rPr>
        <w:t>6,</w:t>
      </w:r>
      <w:r>
        <w:rPr>
          <w:color w:val="231F20"/>
          <w:spacing w:val="7"/>
          <w:sz w:val="17"/>
        </w:rPr>
        <w:t xml:space="preserve"> </w:t>
      </w:r>
      <w:r>
        <w:rPr>
          <w:color w:val="231F20"/>
          <w:w w:val="95"/>
          <w:sz w:val="17"/>
        </w:rPr>
        <w:t>182,</w:t>
      </w:r>
      <w:r>
        <w:rPr>
          <w:color w:val="231F20"/>
          <w:spacing w:val="7"/>
          <w:sz w:val="17"/>
        </w:rPr>
        <w:t xml:space="preserve"> </w:t>
      </w:r>
      <w:r>
        <w:rPr>
          <w:color w:val="231F20"/>
          <w:spacing w:val="-5"/>
          <w:w w:val="95"/>
          <w:sz w:val="17"/>
        </w:rPr>
        <w:t>214</w:t>
      </w:r>
    </w:p>
    <w:p w14:paraId="5B93718B" w14:textId="77777777" w:rsidR="00AE0598" w:rsidRDefault="0069255A">
      <w:pPr>
        <w:ind w:left="96" w:right="215"/>
        <w:jc w:val="center"/>
        <w:rPr>
          <w:sz w:val="17"/>
        </w:rPr>
      </w:pPr>
      <w:r>
        <w:rPr>
          <w:color w:val="231F20"/>
          <w:w w:val="95"/>
          <w:sz w:val="17"/>
        </w:rPr>
        <w:t>temporal</w:t>
      </w:r>
      <w:r>
        <w:rPr>
          <w:color w:val="231F20"/>
          <w:spacing w:val="3"/>
          <w:sz w:val="17"/>
        </w:rPr>
        <w:t xml:space="preserve"> </w:t>
      </w:r>
      <w:r>
        <w:rPr>
          <w:color w:val="231F20"/>
          <w:w w:val="95"/>
          <w:sz w:val="17"/>
        </w:rPr>
        <w:t>dimension</w:t>
      </w:r>
      <w:r>
        <w:rPr>
          <w:color w:val="231F20"/>
          <w:spacing w:val="4"/>
          <w:sz w:val="17"/>
        </w:rPr>
        <w:t xml:space="preserve"> </w:t>
      </w:r>
      <w:r>
        <w:rPr>
          <w:color w:val="231F20"/>
          <w:w w:val="95"/>
          <w:sz w:val="17"/>
        </w:rPr>
        <w:t>22,</w:t>
      </w:r>
      <w:r>
        <w:rPr>
          <w:color w:val="231F20"/>
          <w:spacing w:val="4"/>
          <w:sz w:val="17"/>
        </w:rPr>
        <w:t xml:space="preserve"> </w:t>
      </w:r>
      <w:r>
        <w:rPr>
          <w:color w:val="231F20"/>
          <w:w w:val="95"/>
          <w:sz w:val="17"/>
        </w:rPr>
        <w:t>27,</w:t>
      </w:r>
      <w:r>
        <w:rPr>
          <w:color w:val="231F20"/>
          <w:spacing w:val="4"/>
          <w:sz w:val="17"/>
        </w:rPr>
        <w:t xml:space="preserve"> </w:t>
      </w:r>
      <w:r>
        <w:rPr>
          <w:color w:val="231F20"/>
          <w:w w:val="95"/>
          <w:sz w:val="17"/>
        </w:rPr>
        <w:t>40,</w:t>
      </w:r>
      <w:r>
        <w:rPr>
          <w:color w:val="231F20"/>
          <w:spacing w:val="4"/>
          <w:sz w:val="17"/>
        </w:rPr>
        <w:t xml:space="preserve"> </w:t>
      </w:r>
      <w:r>
        <w:rPr>
          <w:color w:val="231F20"/>
          <w:w w:val="95"/>
          <w:sz w:val="17"/>
        </w:rPr>
        <w:t>155,</w:t>
      </w:r>
      <w:r>
        <w:rPr>
          <w:color w:val="231F20"/>
          <w:spacing w:val="4"/>
          <w:sz w:val="17"/>
        </w:rPr>
        <w:t xml:space="preserve"> </w:t>
      </w:r>
      <w:r>
        <w:rPr>
          <w:color w:val="231F20"/>
          <w:spacing w:val="-4"/>
          <w:w w:val="95"/>
          <w:sz w:val="17"/>
        </w:rPr>
        <w:t>177,</w:t>
      </w:r>
    </w:p>
    <w:p w14:paraId="4277CEF7" w14:textId="77777777" w:rsidR="00AE0598" w:rsidRDefault="0069255A">
      <w:pPr>
        <w:spacing w:before="1"/>
        <w:ind w:right="1425"/>
        <w:jc w:val="right"/>
        <w:rPr>
          <w:sz w:val="17"/>
        </w:rPr>
      </w:pPr>
      <w:r>
        <w:rPr>
          <w:color w:val="231F20"/>
          <w:w w:val="90"/>
          <w:sz w:val="17"/>
        </w:rPr>
        <w:t>212,</w:t>
      </w:r>
      <w:r>
        <w:rPr>
          <w:color w:val="231F20"/>
          <w:spacing w:val="23"/>
          <w:sz w:val="17"/>
        </w:rPr>
        <w:t xml:space="preserve"> </w:t>
      </w:r>
      <w:r>
        <w:rPr>
          <w:color w:val="231F20"/>
          <w:w w:val="90"/>
          <w:sz w:val="17"/>
        </w:rPr>
        <w:t>222,</w:t>
      </w:r>
      <w:r>
        <w:rPr>
          <w:color w:val="231F20"/>
          <w:spacing w:val="23"/>
          <w:sz w:val="17"/>
        </w:rPr>
        <w:t xml:space="preserve"> </w:t>
      </w:r>
      <w:r>
        <w:rPr>
          <w:color w:val="231F20"/>
          <w:w w:val="90"/>
          <w:sz w:val="17"/>
        </w:rPr>
        <w:t>229,</w:t>
      </w:r>
      <w:r>
        <w:rPr>
          <w:color w:val="231F20"/>
          <w:spacing w:val="24"/>
          <w:sz w:val="17"/>
        </w:rPr>
        <w:t xml:space="preserve"> </w:t>
      </w:r>
      <w:r>
        <w:rPr>
          <w:color w:val="231F20"/>
          <w:spacing w:val="-5"/>
          <w:w w:val="90"/>
          <w:sz w:val="17"/>
        </w:rPr>
        <w:t>233</w:t>
      </w:r>
    </w:p>
    <w:p w14:paraId="094BC209" w14:textId="77777777" w:rsidR="00AE0598" w:rsidRDefault="0069255A">
      <w:pPr>
        <w:spacing w:before="1"/>
        <w:ind w:right="1368"/>
        <w:jc w:val="right"/>
        <w:rPr>
          <w:sz w:val="17"/>
        </w:rPr>
      </w:pPr>
      <w:r>
        <w:rPr>
          <w:color w:val="231F20"/>
          <w:w w:val="95"/>
          <w:sz w:val="17"/>
        </w:rPr>
        <w:t>temporal</w:t>
      </w:r>
      <w:r>
        <w:rPr>
          <w:color w:val="231F20"/>
          <w:spacing w:val="2"/>
          <w:sz w:val="17"/>
        </w:rPr>
        <w:t xml:space="preserve"> </w:t>
      </w:r>
      <w:r>
        <w:rPr>
          <w:color w:val="231F20"/>
          <w:w w:val="95"/>
          <w:sz w:val="17"/>
        </w:rPr>
        <w:t>phase</w:t>
      </w:r>
      <w:r>
        <w:rPr>
          <w:color w:val="231F20"/>
          <w:spacing w:val="3"/>
          <w:sz w:val="17"/>
        </w:rPr>
        <w:t xml:space="preserve"> </w:t>
      </w:r>
      <w:r>
        <w:rPr>
          <w:color w:val="231F20"/>
          <w:spacing w:val="-2"/>
          <w:w w:val="95"/>
          <w:sz w:val="17"/>
        </w:rPr>
        <w:t>155–156</w:t>
      </w:r>
    </w:p>
    <w:p w14:paraId="3A5F80C0" w14:textId="77777777" w:rsidR="00AE0598" w:rsidRDefault="0069255A">
      <w:pPr>
        <w:ind w:left="37" w:right="224"/>
        <w:jc w:val="center"/>
        <w:rPr>
          <w:sz w:val="17"/>
        </w:rPr>
      </w:pPr>
      <w:r>
        <w:rPr>
          <w:color w:val="231F20"/>
          <w:w w:val="95"/>
          <w:sz w:val="17"/>
        </w:rPr>
        <w:t>tennis</w:t>
      </w:r>
      <w:r>
        <w:rPr>
          <w:color w:val="231F20"/>
          <w:spacing w:val="2"/>
          <w:sz w:val="17"/>
        </w:rPr>
        <w:t xml:space="preserve"> </w:t>
      </w:r>
      <w:r>
        <w:rPr>
          <w:color w:val="231F20"/>
          <w:w w:val="95"/>
          <w:sz w:val="17"/>
        </w:rPr>
        <w:t>11,</w:t>
      </w:r>
      <w:r>
        <w:rPr>
          <w:color w:val="231F20"/>
          <w:spacing w:val="2"/>
          <w:sz w:val="17"/>
        </w:rPr>
        <w:t xml:space="preserve"> </w:t>
      </w:r>
      <w:r>
        <w:rPr>
          <w:color w:val="231F20"/>
          <w:w w:val="95"/>
          <w:sz w:val="17"/>
        </w:rPr>
        <w:t>25,</w:t>
      </w:r>
      <w:r>
        <w:rPr>
          <w:color w:val="231F20"/>
          <w:spacing w:val="3"/>
          <w:sz w:val="17"/>
        </w:rPr>
        <w:t xml:space="preserve"> </w:t>
      </w:r>
      <w:r>
        <w:rPr>
          <w:color w:val="231F20"/>
          <w:w w:val="95"/>
          <w:sz w:val="17"/>
        </w:rPr>
        <w:t>31,</w:t>
      </w:r>
      <w:r>
        <w:rPr>
          <w:color w:val="231F20"/>
          <w:spacing w:val="2"/>
          <w:sz w:val="17"/>
        </w:rPr>
        <w:t xml:space="preserve"> </w:t>
      </w:r>
      <w:r>
        <w:rPr>
          <w:color w:val="231F20"/>
          <w:w w:val="95"/>
          <w:sz w:val="17"/>
        </w:rPr>
        <w:t>43,</w:t>
      </w:r>
      <w:r>
        <w:rPr>
          <w:color w:val="231F20"/>
          <w:spacing w:val="3"/>
          <w:sz w:val="17"/>
        </w:rPr>
        <w:t xml:space="preserve"> </w:t>
      </w:r>
      <w:r>
        <w:rPr>
          <w:color w:val="231F20"/>
          <w:w w:val="95"/>
          <w:sz w:val="17"/>
        </w:rPr>
        <w:t>46,</w:t>
      </w:r>
      <w:r>
        <w:rPr>
          <w:color w:val="231F20"/>
          <w:spacing w:val="2"/>
          <w:sz w:val="17"/>
        </w:rPr>
        <w:t xml:space="preserve"> </w:t>
      </w:r>
      <w:r>
        <w:rPr>
          <w:color w:val="231F20"/>
          <w:w w:val="95"/>
          <w:sz w:val="17"/>
        </w:rPr>
        <w:t>53,</w:t>
      </w:r>
      <w:r>
        <w:rPr>
          <w:color w:val="231F20"/>
          <w:spacing w:val="3"/>
          <w:sz w:val="17"/>
        </w:rPr>
        <w:t xml:space="preserve"> </w:t>
      </w:r>
      <w:r>
        <w:rPr>
          <w:color w:val="231F20"/>
          <w:w w:val="95"/>
          <w:sz w:val="17"/>
        </w:rPr>
        <w:t>60,</w:t>
      </w:r>
      <w:r>
        <w:rPr>
          <w:color w:val="231F20"/>
          <w:spacing w:val="2"/>
          <w:sz w:val="17"/>
        </w:rPr>
        <w:t xml:space="preserve"> </w:t>
      </w:r>
      <w:r>
        <w:rPr>
          <w:color w:val="231F20"/>
          <w:w w:val="95"/>
          <w:sz w:val="17"/>
        </w:rPr>
        <w:t>97,</w:t>
      </w:r>
      <w:r>
        <w:rPr>
          <w:color w:val="231F20"/>
          <w:spacing w:val="3"/>
          <w:sz w:val="17"/>
        </w:rPr>
        <w:t xml:space="preserve"> </w:t>
      </w:r>
      <w:r>
        <w:rPr>
          <w:color w:val="231F20"/>
          <w:spacing w:val="-4"/>
          <w:w w:val="95"/>
          <w:sz w:val="17"/>
        </w:rPr>
        <w:t>111,</w:t>
      </w:r>
    </w:p>
    <w:p w14:paraId="7CDB2967" w14:textId="77777777" w:rsidR="00AE0598" w:rsidRDefault="0069255A">
      <w:pPr>
        <w:spacing w:before="1"/>
        <w:ind w:left="470"/>
        <w:rPr>
          <w:sz w:val="17"/>
        </w:rPr>
      </w:pPr>
      <w:r>
        <w:rPr>
          <w:color w:val="231F20"/>
          <w:w w:val="90"/>
          <w:sz w:val="17"/>
        </w:rPr>
        <w:t>139,</w:t>
      </w:r>
      <w:r>
        <w:rPr>
          <w:color w:val="231F20"/>
          <w:spacing w:val="7"/>
          <w:sz w:val="17"/>
        </w:rPr>
        <w:t xml:space="preserve"> </w:t>
      </w:r>
      <w:r>
        <w:rPr>
          <w:color w:val="231F20"/>
          <w:spacing w:val="-5"/>
          <w:sz w:val="17"/>
        </w:rPr>
        <w:t>144</w:t>
      </w:r>
    </w:p>
    <w:p w14:paraId="7ED04495" w14:textId="77777777" w:rsidR="00AE0598" w:rsidRDefault="0069255A">
      <w:pPr>
        <w:spacing w:before="98"/>
        <w:ind w:left="110"/>
        <w:rPr>
          <w:sz w:val="17"/>
        </w:rPr>
      </w:pPr>
      <w:r>
        <w:br w:type="column"/>
      </w:r>
      <w:r>
        <w:rPr>
          <w:color w:val="231F20"/>
          <w:w w:val="95"/>
          <w:sz w:val="17"/>
        </w:rPr>
        <w:t>territoriality</w:t>
      </w:r>
      <w:r>
        <w:rPr>
          <w:color w:val="231F20"/>
          <w:spacing w:val="11"/>
          <w:sz w:val="17"/>
        </w:rPr>
        <w:t xml:space="preserve"> </w:t>
      </w:r>
      <w:r>
        <w:rPr>
          <w:color w:val="231F20"/>
          <w:w w:val="95"/>
          <w:sz w:val="17"/>
        </w:rPr>
        <w:t>68,</w:t>
      </w:r>
      <w:r>
        <w:rPr>
          <w:color w:val="231F20"/>
          <w:spacing w:val="12"/>
          <w:sz w:val="17"/>
        </w:rPr>
        <w:t xml:space="preserve"> </w:t>
      </w:r>
      <w:r>
        <w:rPr>
          <w:color w:val="231F20"/>
          <w:spacing w:val="-5"/>
          <w:w w:val="95"/>
          <w:sz w:val="17"/>
        </w:rPr>
        <w:t>119</w:t>
      </w:r>
    </w:p>
    <w:p w14:paraId="16E40530" w14:textId="77777777" w:rsidR="00AE0598" w:rsidRDefault="0069255A">
      <w:pPr>
        <w:spacing w:before="1"/>
        <w:ind w:left="110"/>
        <w:rPr>
          <w:sz w:val="17"/>
        </w:rPr>
      </w:pPr>
      <w:r>
        <w:rPr>
          <w:color w:val="231F20"/>
          <w:w w:val="95"/>
          <w:sz w:val="17"/>
        </w:rPr>
        <w:t>terrorism</w:t>
      </w:r>
      <w:r>
        <w:rPr>
          <w:color w:val="231F20"/>
          <w:sz w:val="17"/>
        </w:rPr>
        <w:t xml:space="preserve"> </w:t>
      </w:r>
      <w:r>
        <w:rPr>
          <w:color w:val="231F20"/>
          <w:w w:val="95"/>
          <w:sz w:val="17"/>
        </w:rPr>
        <w:t>28,</w:t>
      </w:r>
      <w:r>
        <w:rPr>
          <w:color w:val="231F20"/>
          <w:spacing w:val="1"/>
          <w:sz w:val="17"/>
        </w:rPr>
        <w:t xml:space="preserve"> </w:t>
      </w:r>
      <w:r>
        <w:rPr>
          <w:color w:val="231F20"/>
          <w:spacing w:val="-5"/>
          <w:w w:val="95"/>
          <w:sz w:val="17"/>
        </w:rPr>
        <w:t>218</w:t>
      </w:r>
    </w:p>
    <w:p w14:paraId="44A7BC0F" w14:textId="77777777" w:rsidR="00AE0598" w:rsidRDefault="0069255A">
      <w:pPr>
        <w:ind w:left="110"/>
        <w:rPr>
          <w:sz w:val="17"/>
        </w:rPr>
      </w:pPr>
      <w:r>
        <w:rPr>
          <w:color w:val="231F20"/>
          <w:w w:val="95"/>
          <w:sz w:val="17"/>
        </w:rPr>
        <w:t>terrorist</w:t>
      </w:r>
      <w:r>
        <w:rPr>
          <w:color w:val="231F20"/>
          <w:sz w:val="17"/>
        </w:rPr>
        <w:t xml:space="preserve"> </w:t>
      </w:r>
      <w:r>
        <w:rPr>
          <w:color w:val="231F20"/>
          <w:w w:val="95"/>
          <w:sz w:val="17"/>
        </w:rPr>
        <w:t>attack</w:t>
      </w:r>
      <w:r>
        <w:rPr>
          <w:color w:val="231F20"/>
          <w:spacing w:val="1"/>
          <w:sz w:val="17"/>
        </w:rPr>
        <w:t xml:space="preserve"> </w:t>
      </w:r>
      <w:r>
        <w:rPr>
          <w:color w:val="231F20"/>
          <w:w w:val="95"/>
          <w:sz w:val="17"/>
        </w:rPr>
        <w:t>207,</w:t>
      </w:r>
      <w:r>
        <w:rPr>
          <w:color w:val="231F20"/>
          <w:spacing w:val="1"/>
          <w:sz w:val="17"/>
        </w:rPr>
        <w:t xml:space="preserve"> </w:t>
      </w:r>
      <w:r>
        <w:rPr>
          <w:color w:val="231F20"/>
          <w:spacing w:val="-5"/>
          <w:w w:val="95"/>
          <w:sz w:val="17"/>
        </w:rPr>
        <w:t>218</w:t>
      </w:r>
    </w:p>
    <w:p w14:paraId="71E65912" w14:textId="77777777" w:rsidR="00AE0598" w:rsidRDefault="0069255A">
      <w:pPr>
        <w:spacing w:before="1"/>
        <w:ind w:left="110"/>
        <w:rPr>
          <w:sz w:val="17"/>
        </w:rPr>
      </w:pPr>
      <w:r>
        <w:rPr>
          <w:color w:val="231F20"/>
          <w:w w:val="95"/>
          <w:sz w:val="17"/>
        </w:rPr>
        <w:t>tertiary</w:t>
      </w:r>
      <w:r>
        <w:rPr>
          <w:color w:val="231F20"/>
          <w:spacing w:val="11"/>
          <w:sz w:val="17"/>
        </w:rPr>
        <w:t xml:space="preserve"> </w:t>
      </w:r>
      <w:r>
        <w:rPr>
          <w:color w:val="231F20"/>
          <w:w w:val="95"/>
          <w:sz w:val="17"/>
        </w:rPr>
        <w:t>attraction</w:t>
      </w:r>
      <w:r>
        <w:rPr>
          <w:color w:val="231F20"/>
          <w:spacing w:val="11"/>
          <w:sz w:val="17"/>
        </w:rPr>
        <w:t xml:space="preserve"> </w:t>
      </w:r>
      <w:r>
        <w:rPr>
          <w:color w:val="231F20"/>
          <w:w w:val="95"/>
          <w:sz w:val="17"/>
        </w:rPr>
        <w:t>10,</w:t>
      </w:r>
      <w:r>
        <w:rPr>
          <w:color w:val="231F20"/>
          <w:spacing w:val="11"/>
          <w:sz w:val="17"/>
        </w:rPr>
        <w:t xml:space="preserve"> </w:t>
      </w:r>
      <w:r>
        <w:rPr>
          <w:color w:val="231F20"/>
          <w:w w:val="95"/>
          <w:sz w:val="17"/>
        </w:rPr>
        <w:t>24–25,</w:t>
      </w:r>
      <w:r>
        <w:rPr>
          <w:color w:val="231F20"/>
          <w:spacing w:val="11"/>
          <w:sz w:val="17"/>
        </w:rPr>
        <w:t xml:space="preserve"> </w:t>
      </w:r>
      <w:r>
        <w:rPr>
          <w:color w:val="231F20"/>
          <w:spacing w:val="-5"/>
          <w:w w:val="95"/>
          <w:sz w:val="17"/>
        </w:rPr>
        <w:t>186</w:t>
      </w:r>
    </w:p>
    <w:p w14:paraId="2CF40EA3" w14:textId="77777777" w:rsidR="00AE0598" w:rsidRDefault="0069255A">
      <w:pPr>
        <w:spacing w:before="1"/>
        <w:ind w:left="110"/>
        <w:rPr>
          <w:sz w:val="17"/>
        </w:rPr>
      </w:pPr>
      <w:r>
        <w:rPr>
          <w:color w:val="231F20"/>
          <w:sz w:val="17"/>
        </w:rPr>
        <w:t>Thai</w:t>
      </w:r>
      <w:r>
        <w:rPr>
          <w:color w:val="231F20"/>
          <w:spacing w:val="4"/>
          <w:sz w:val="17"/>
        </w:rPr>
        <w:t xml:space="preserve"> </w:t>
      </w:r>
      <w:r>
        <w:rPr>
          <w:color w:val="231F20"/>
          <w:sz w:val="17"/>
        </w:rPr>
        <w:t>boxing</w:t>
      </w:r>
      <w:r>
        <w:rPr>
          <w:color w:val="231F20"/>
          <w:spacing w:val="4"/>
          <w:sz w:val="17"/>
        </w:rPr>
        <w:t xml:space="preserve"> </w:t>
      </w:r>
      <w:r>
        <w:rPr>
          <w:color w:val="231F20"/>
          <w:sz w:val="17"/>
        </w:rPr>
        <w:t>11,</w:t>
      </w:r>
      <w:r>
        <w:rPr>
          <w:color w:val="231F20"/>
          <w:spacing w:val="4"/>
          <w:sz w:val="17"/>
        </w:rPr>
        <w:t xml:space="preserve"> </w:t>
      </w:r>
      <w:r>
        <w:rPr>
          <w:color w:val="231F20"/>
          <w:spacing w:val="-5"/>
          <w:sz w:val="17"/>
        </w:rPr>
        <w:t>43</w:t>
      </w:r>
    </w:p>
    <w:p w14:paraId="29E249E0" w14:textId="77777777" w:rsidR="00AE0598" w:rsidRDefault="0069255A">
      <w:pPr>
        <w:ind w:left="110"/>
        <w:rPr>
          <w:sz w:val="17"/>
        </w:rPr>
      </w:pPr>
      <w:r>
        <w:rPr>
          <w:color w:val="231F20"/>
          <w:sz w:val="17"/>
        </w:rPr>
        <w:t>Thailand</w:t>
      </w:r>
      <w:r>
        <w:rPr>
          <w:color w:val="231F20"/>
          <w:spacing w:val="2"/>
          <w:sz w:val="17"/>
        </w:rPr>
        <w:t xml:space="preserve"> </w:t>
      </w:r>
      <w:r>
        <w:rPr>
          <w:color w:val="231F20"/>
          <w:sz w:val="17"/>
        </w:rPr>
        <w:t>11,</w:t>
      </w:r>
      <w:r>
        <w:rPr>
          <w:color w:val="231F20"/>
          <w:spacing w:val="3"/>
          <w:sz w:val="17"/>
        </w:rPr>
        <w:t xml:space="preserve"> </w:t>
      </w:r>
      <w:r>
        <w:rPr>
          <w:color w:val="231F20"/>
          <w:spacing w:val="-5"/>
          <w:sz w:val="17"/>
        </w:rPr>
        <w:t>43</w:t>
      </w:r>
    </w:p>
    <w:p w14:paraId="6938D4DD" w14:textId="77777777" w:rsidR="00AE0598" w:rsidRDefault="0069255A">
      <w:pPr>
        <w:spacing w:before="1"/>
        <w:ind w:left="110" w:right="1437"/>
        <w:rPr>
          <w:sz w:val="17"/>
        </w:rPr>
      </w:pPr>
      <w:r>
        <w:rPr>
          <w:color w:val="231F20"/>
          <w:w w:val="95"/>
          <w:sz w:val="17"/>
        </w:rPr>
        <w:t>theatre</w:t>
      </w:r>
      <w:r>
        <w:rPr>
          <w:color w:val="231F20"/>
          <w:spacing w:val="-8"/>
          <w:w w:val="95"/>
          <w:sz w:val="17"/>
        </w:rPr>
        <w:t xml:space="preserve"> </w:t>
      </w:r>
      <w:r>
        <w:rPr>
          <w:color w:val="231F20"/>
          <w:w w:val="95"/>
          <w:sz w:val="17"/>
        </w:rPr>
        <w:t>34,</w:t>
      </w:r>
      <w:r>
        <w:rPr>
          <w:color w:val="231F20"/>
          <w:spacing w:val="-7"/>
          <w:w w:val="95"/>
          <w:sz w:val="17"/>
        </w:rPr>
        <w:t xml:space="preserve"> </w:t>
      </w:r>
      <w:r>
        <w:rPr>
          <w:color w:val="231F20"/>
          <w:w w:val="95"/>
          <w:sz w:val="17"/>
        </w:rPr>
        <w:t>101,</w:t>
      </w:r>
      <w:r>
        <w:rPr>
          <w:color w:val="231F20"/>
          <w:spacing w:val="-8"/>
          <w:w w:val="95"/>
          <w:sz w:val="17"/>
        </w:rPr>
        <w:t xml:space="preserve"> </w:t>
      </w:r>
      <w:r>
        <w:rPr>
          <w:color w:val="231F20"/>
          <w:w w:val="95"/>
          <w:sz w:val="17"/>
        </w:rPr>
        <w:t>163,</w:t>
      </w:r>
      <w:r>
        <w:rPr>
          <w:color w:val="231F20"/>
          <w:spacing w:val="-7"/>
          <w:w w:val="95"/>
          <w:sz w:val="17"/>
        </w:rPr>
        <w:t xml:space="preserve"> </w:t>
      </w:r>
      <w:r>
        <w:rPr>
          <w:color w:val="231F20"/>
          <w:w w:val="95"/>
          <w:sz w:val="17"/>
        </w:rPr>
        <w:t>235</w:t>
      </w:r>
      <w:r>
        <w:rPr>
          <w:color w:val="231F20"/>
          <w:spacing w:val="40"/>
          <w:sz w:val="17"/>
        </w:rPr>
        <w:t xml:space="preserve"> </w:t>
      </w:r>
      <w:r>
        <w:rPr>
          <w:color w:val="231F20"/>
          <w:sz w:val="17"/>
        </w:rPr>
        <w:t>theatres of sport 235</w:t>
      </w:r>
      <w:r>
        <w:rPr>
          <w:color w:val="231F20"/>
          <w:spacing w:val="40"/>
          <w:sz w:val="17"/>
        </w:rPr>
        <w:t xml:space="preserve"> </w:t>
      </w:r>
      <w:r>
        <w:rPr>
          <w:color w:val="231F20"/>
          <w:sz w:val="17"/>
        </w:rPr>
        <w:t>ticketing 99, 137</w:t>
      </w:r>
    </w:p>
    <w:p w14:paraId="444B0EDB" w14:textId="77777777" w:rsidR="00AE0598" w:rsidRDefault="0069255A">
      <w:pPr>
        <w:spacing w:before="2"/>
        <w:ind w:left="110"/>
        <w:rPr>
          <w:sz w:val="17"/>
        </w:rPr>
      </w:pPr>
      <w:r>
        <w:rPr>
          <w:color w:val="231F20"/>
          <w:w w:val="95"/>
          <w:sz w:val="17"/>
        </w:rPr>
        <w:t>Tokyo</w:t>
      </w:r>
      <w:r>
        <w:rPr>
          <w:color w:val="231F20"/>
          <w:spacing w:val="3"/>
          <w:sz w:val="17"/>
        </w:rPr>
        <w:t xml:space="preserve"> </w:t>
      </w:r>
      <w:r>
        <w:rPr>
          <w:color w:val="231F20"/>
          <w:w w:val="95"/>
          <w:sz w:val="17"/>
        </w:rPr>
        <w:t>32–33,</w:t>
      </w:r>
      <w:r>
        <w:rPr>
          <w:color w:val="231F20"/>
          <w:spacing w:val="4"/>
          <w:sz w:val="17"/>
        </w:rPr>
        <w:t xml:space="preserve"> </w:t>
      </w:r>
      <w:r>
        <w:rPr>
          <w:color w:val="231F20"/>
          <w:w w:val="95"/>
          <w:sz w:val="17"/>
        </w:rPr>
        <w:t>57–58,</w:t>
      </w:r>
      <w:r>
        <w:rPr>
          <w:color w:val="231F20"/>
          <w:spacing w:val="4"/>
          <w:sz w:val="17"/>
        </w:rPr>
        <w:t xml:space="preserve"> </w:t>
      </w:r>
      <w:r>
        <w:rPr>
          <w:color w:val="231F20"/>
          <w:w w:val="95"/>
          <w:sz w:val="17"/>
        </w:rPr>
        <w:t>139,</w:t>
      </w:r>
      <w:r>
        <w:rPr>
          <w:color w:val="231F20"/>
          <w:spacing w:val="4"/>
          <w:sz w:val="17"/>
        </w:rPr>
        <w:t xml:space="preserve"> </w:t>
      </w:r>
      <w:r>
        <w:rPr>
          <w:color w:val="231F20"/>
          <w:w w:val="95"/>
          <w:sz w:val="17"/>
        </w:rPr>
        <w:t>200,</w:t>
      </w:r>
      <w:r>
        <w:rPr>
          <w:color w:val="231F20"/>
          <w:spacing w:val="3"/>
          <w:sz w:val="17"/>
        </w:rPr>
        <w:t xml:space="preserve"> </w:t>
      </w:r>
      <w:r>
        <w:rPr>
          <w:color w:val="231F20"/>
          <w:w w:val="95"/>
          <w:sz w:val="17"/>
        </w:rPr>
        <w:t>203,</w:t>
      </w:r>
      <w:r>
        <w:rPr>
          <w:color w:val="231F20"/>
          <w:spacing w:val="4"/>
          <w:sz w:val="17"/>
        </w:rPr>
        <w:t xml:space="preserve"> </w:t>
      </w:r>
      <w:r>
        <w:rPr>
          <w:color w:val="231F20"/>
          <w:spacing w:val="-4"/>
          <w:w w:val="95"/>
          <w:sz w:val="17"/>
        </w:rPr>
        <w:t>218,</w:t>
      </w:r>
    </w:p>
    <w:p w14:paraId="0E85C8F8" w14:textId="77777777" w:rsidR="00AE0598" w:rsidRDefault="0069255A">
      <w:pPr>
        <w:spacing w:before="1"/>
        <w:ind w:left="470"/>
        <w:rPr>
          <w:sz w:val="17"/>
        </w:rPr>
      </w:pPr>
      <w:r>
        <w:rPr>
          <w:color w:val="231F20"/>
          <w:spacing w:val="-5"/>
          <w:w w:val="95"/>
          <w:sz w:val="17"/>
        </w:rPr>
        <w:t>234</w:t>
      </w:r>
    </w:p>
    <w:p w14:paraId="3D7B8AAA" w14:textId="77777777" w:rsidR="00AE0598" w:rsidRDefault="0069255A">
      <w:pPr>
        <w:spacing w:before="1"/>
        <w:ind w:left="110"/>
        <w:rPr>
          <w:sz w:val="17"/>
        </w:rPr>
      </w:pPr>
      <w:r>
        <w:rPr>
          <w:color w:val="231F20"/>
          <w:w w:val="95"/>
          <w:sz w:val="17"/>
        </w:rPr>
        <w:t>tour</w:t>
      </w:r>
      <w:r>
        <w:rPr>
          <w:color w:val="231F20"/>
          <w:spacing w:val="10"/>
          <w:sz w:val="17"/>
        </w:rPr>
        <w:t xml:space="preserve"> </w:t>
      </w:r>
      <w:r>
        <w:rPr>
          <w:color w:val="231F20"/>
          <w:w w:val="95"/>
          <w:sz w:val="17"/>
        </w:rPr>
        <w:t>balance</w:t>
      </w:r>
      <w:r>
        <w:rPr>
          <w:color w:val="231F20"/>
          <w:spacing w:val="10"/>
          <w:sz w:val="17"/>
        </w:rPr>
        <w:t xml:space="preserve"> </w:t>
      </w:r>
      <w:r>
        <w:rPr>
          <w:color w:val="231F20"/>
          <w:w w:val="95"/>
          <w:sz w:val="17"/>
        </w:rPr>
        <w:t>40,</w:t>
      </w:r>
      <w:r>
        <w:rPr>
          <w:color w:val="231F20"/>
          <w:spacing w:val="11"/>
          <w:sz w:val="17"/>
        </w:rPr>
        <w:t xml:space="preserve"> </w:t>
      </w:r>
      <w:r>
        <w:rPr>
          <w:color w:val="231F20"/>
          <w:spacing w:val="-5"/>
          <w:w w:val="95"/>
          <w:sz w:val="17"/>
        </w:rPr>
        <w:t>167</w:t>
      </w:r>
    </w:p>
    <w:p w14:paraId="47837AEB" w14:textId="77777777" w:rsidR="00AE0598" w:rsidRDefault="0069255A">
      <w:pPr>
        <w:ind w:left="110"/>
        <w:rPr>
          <w:sz w:val="17"/>
        </w:rPr>
      </w:pPr>
      <w:r>
        <w:rPr>
          <w:color w:val="231F20"/>
          <w:w w:val="95"/>
          <w:sz w:val="17"/>
        </w:rPr>
        <w:t>Tour</w:t>
      </w:r>
      <w:r>
        <w:rPr>
          <w:color w:val="231F20"/>
          <w:spacing w:val="5"/>
          <w:sz w:val="17"/>
        </w:rPr>
        <w:t xml:space="preserve"> </w:t>
      </w:r>
      <w:r>
        <w:rPr>
          <w:color w:val="231F20"/>
          <w:w w:val="95"/>
          <w:sz w:val="17"/>
        </w:rPr>
        <w:t>de</w:t>
      </w:r>
      <w:r>
        <w:rPr>
          <w:color w:val="231F20"/>
          <w:spacing w:val="5"/>
          <w:sz w:val="17"/>
        </w:rPr>
        <w:t xml:space="preserve"> </w:t>
      </w:r>
      <w:r>
        <w:rPr>
          <w:color w:val="231F20"/>
          <w:w w:val="95"/>
          <w:sz w:val="17"/>
        </w:rPr>
        <w:t>France</w:t>
      </w:r>
      <w:r>
        <w:rPr>
          <w:color w:val="231F20"/>
          <w:spacing w:val="5"/>
          <w:sz w:val="17"/>
        </w:rPr>
        <w:t xml:space="preserve"> </w:t>
      </w:r>
      <w:r>
        <w:rPr>
          <w:color w:val="231F20"/>
          <w:w w:val="95"/>
          <w:sz w:val="17"/>
        </w:rPr>
        <w:t>25,</w:t>
      </w:r>
      <w:r>
        <w:rPr>
          <w:color w:val="231F20"/>
          <w:spacing w:val="5"/>
          <w:sz w:val="17"/>
        </w:rPr>
        <w:t xml:space="preserve"> </w:t>
      </w:r>
      <w:r>
        <w:rPr>
          <w:color w:val="231F20"/>
          <w:w w:val="95"/>
          <w:sz w:val="17"/>
        </w:rPr>
        <w:t>60,</w:t>
      </w:r>
      <w:r>
        <w:rPr>
          <w:color w:val="231F20"/>
          <w:spacing w:val="5"/>
          <w:sz w:val="17"/>
        </w:rPr>
        <w:t xml:space="preserve"> </w:t>
      </w:r>
      <w:r>
        <w:rPr>
          <w:color w:val="231F20"/>
          <w:w w:val="95"/>
          <w:sz w:val="17"/>
        </w:rPr>
        <w:t>74,</w:t>
      </w:r>
      <w:r>
        <w:rPr>
          <w:color w:val="231F20"/>
          <w:spacing w:val="5"/>
          <w:sz w:val="17"/>
        </w:rPr>
        <w:t xml:space="preserve"> </w:t>
      </w:r>
      <w:r>
        <w:rPr>
          <w:color w:val="231F20"/>
          <w:w w:val="95"/>
          <w:sz w:val="17"/>
        </w:rPr>
        <w:t>98,</w:t>
      </w:r>
      <w:r>
        <w:rPr>
          <w:color w:val="231F20"/>
          <w:spacing w:val="5"/>
          <w:sz w:val="17"/>
        </w:rPr>
        <w:t xml:space="preserve"> </w:t>
      </w:r>
      <w:r>
        <w:rPr>
          <w:color w:val="231F20"/>
          <w:spacing w:val="-5"/>
          <w:w w:val="95"/>
          <w:sz w:val="17"/>
        </w:rPr>
        <w:t>136</w:t>
      </w:r>
    </w:p>
    <w:p w14:paraId="1A0F5713" w14:textId="77777777" w:rsidR="00AE0598" w:rsidRDefault="0069255A">
      <w:pPr>
        <w:spacing w:before="1"/>
        <w:ind w:left="110" w:right="828"/>
        <w:rPr>
          <w:sz w:val="17"/>
        </w:rPr>
      </w:pPr>
      <w:r>
        <w:rPr>
          <w:color w:val="231F20"/>
          <w:sz w:val="17"/>
        </w:rPr>
        <w:t>Tour of Flanders 174–175</w:t>
      </w:r>
      <w:r>
        <w:rPr>
          <w:color w:val="231F20"/>
          <w:spacing w:val="40"/>
          <w:sz w:val="17"/>
        </w:rPr>
        <w:t xml:space="preserve"> </w:t>
      </w:r>
      <w:r>
        <w:rPr>
          <w:color w:val="231F20"/>
          <w:w w:val="95"/>
          <w:sz w:val="17"/>
        </w:rPr>
        <w:t>tourism attraction hierarchy 41</w:t>
      </w:r>
    </w:p>
    <w:p w14:paraId="598C353D" w14:textId="77777777" w:rsidR="00AE0598" w:rsidRDefault="0069255A">
      <w:pPr>
        <w:spacing w:before="1"/>
        <w:ind w:left="110" w:right="329"/>
        <w:rPr>
          <w:sz w:val="17"/>
        </w:rPr>
      </w:pPr>
      <w:r>
        <w:rPr>
          <w:color w:val="231F20"/>
          <w:sz w:val="17"/>
        </w:rPr>
        <w:t>Tourism Climate Index (TCI) 187</w:t>
      </w:r>
      <w:r>
        <w:rPr>
          <w:color w:val="231F20"/>
          <w:spacing w:val="40"/>
          <w:sz w:val="17"/>
        </w:rPr>
        <w:t xml:space="preserve"> </w:t>
      </w:r>
      <w:r>
        <w:rPr>
          <w:color w:val="231F20"/>
          <w:w w:val="95"/>
          <w:sz w:val="17"/>
        </w:rPr>
        <w:t>tourism destination life cy</w:t>
      </w:r>
      <w:r>
        <w:rPr>
          <w:color w:val="231F20"/>
          <w:w w:val="95"/>
          <w:sz w:val="17"/>
        </w:rPr>
        <w:t>cle 204, 222</w:t>
      </w:r>
    </w:p>
    <w:p w14:paraId="72E34DFB" w14:textId="77777777" w:rsidR="00AE0598" w:rsidRDefault="0069255A">
      <w:pPr>
        <w:spacing w:before="2"/>
        <w:ind w:left="110"/>
        <w:rPr>
          <w:sz w:val="17"/>
        </w:rPr>
      </w:pPr>
      <w:r>
        <w:rPr>
          <w:color w:val="231F20"/>
          <w:w w:val="90"/>
          <w:sz w:val="17"/>
        </w:rPr>
        <w:t>tourism</w:t>
      </w:r>
      <w:r>
        <w:rPr>
          <w:color w:val="231F20"/>
          <w:spacing w:val="22"/>
          <w:sz w:val="17"/>
        </w:rPr>
        <w:t xml:space="preserve"> </w:t>
      </w:r>
      <w:r>
        <w:rPr>
          <w:color w:val="231F20"/>
          <w:w w:val="90"/>
          <w:sz w:val="17"/>
        </w:rPr>
        <w:t>gaze/tourist</w:t>
      </w:r>
      <w:r>
        <w:rPr>
          <w:color w:val="231F20"/>
          <w:spacing w:val="23"/>
          <w:sz w:val="17"/>
        </w:rPr>
        <w:t xml:space="preserve"> </w:t>
      </w:r>
      <w:r>
        <w:rPr>
          <w:color w:val="231F20"/>
          <w:w w:val="90"/>
          <w:sz w:val="17"/>
        </w:rPr>
        <w:t>gaze</w:t>
      </w:r>
      <w:r>
        <w:rPr>
          <w:color w:val="231F20"/>
          <w:spacing w:val="23"/>
          <w:sz w:val="17"/>
        </w:rPr>
        <w:t xml:space="preserve"> </w:t>
      </w:r>
      <w:r>
        <w:rPr>
          <w:color w:val="231F20"/>
          <w:w w:val="90"/>
          <w:sz w:val="17"/>
        </w:rPr>
        <w:t>74,</w:t>
      </w:r>
      <w:r>
        <w:rPr>
          <w:color w:val="231F20"/>
          <w:spacing w:val="23"/>
          <w:sz w:val="17"/>
        </w:rPr>
        <w:t xml:space="preserve"> </w:t>
      </w:r>
      <w:r>
        <w:rPr>
          <w:color w:val="231F20"/>
          <w:spacing w:val="-5"/>
          <w:w w:val="90"/>
          <w:sz w:val="17"/>
        </w:rPr>
        <w:t>128</w:t>
      </w:r>
    </w:p>
    <w:p w14:paraId="15339ACF" w14:textId="77777777" w:rsidR="00AE0598" w:rsidRDefault="0069255A">
      <w:pPr>
        <w:ind w:left="110"/>
        <w:rPr>
          <w:sz w:val="17"/>
        </w:rPr>
      </w:pPr>
      <w:r>
        <w:rPr>
          <w:color w:val="231F20"/>
          <w:w w:val="95"/>
          <w:sz w:val="17"/>
        </w:rPr>
        <w:t>tourism</w:t>
      </w:r>
      <w:r>
        <w:rPr>
          <w:color w:val="231F20"/>
          <w:spacing w:val="9"/>
          <w:sz w:val="17"/>
        </w:rPr>
        <w:t xml:space="preserve"> </w:t>
      </w:r>
      <w:r>
        <w:rPr>
          <w:color w:val="231F20"/>
          <w:w w:val="95"/>
          <w:sz w:val="17"/>
        </w:rPr>
        <w:t>management</w:t>
      </w:r>
      <w:r>
        <w:rPr>
          <w:color w:val="231F20"/>
          <w:spacing w:val="10"/>
          <w:sz w:val="17"/>
        </w:rPr>
        <w:t xml:space="preserve"> </w:t>
      </w:r>
      <w:r>
        <w:rPr>
          <w:color w:val="231F20"/>
          <w:spacing w:val="-5"/>
          <w:w w:val="95"/>
          <w:sz w:val="17"/>
        </w:rPr>
        <w:t>233</w:t>
      </w:r>
    </w:p>
    <w:p w14:paraId="77C6BE27" w14:textId="77777777" w:rsidR="00AE0598" w:rsidRDefault="0069255A">
      <w:pPr>
        <w:spacing w:before="1"/>
        <w:ind w:left="110"/>
        <w:rPr>
          <w:sz w:val="17"/>
        </w:rPr>
      </w:pPr>
      <w:r>
        <w:rPr>
          <w:color w:val="231F20"/>
          <w:w w:val="95"/>
          <w:sz w:val="17"/>
        </w:rPr>
        <w:t>tourism</w:t>
      </w:r>
      <w:r>
        <w:rPr>
          <w:color w:val="231F20"/>
          <w:spacing w:val="2"/>
          <w:sz w:val="17"/>
        </w:rPr>
        <w:t xml:space="preserve"> </w:t>
      </w:r>
      <w:r>
        <w:rPr>
          <w:color w:val="231F20"/>
          <w:w w:val="95"/>
          <w:sz w:val="17"/>
        </w:rPr>
        <w:t>marketing</w:t>
      </w:r>
      <w:r>
        <w:rPr>
          <w:color w:val="231F20"/>
          <w:spacing w:val="2"/>
          <w:sz w:val="17"/>
        </w:rPr>
        <w:t xml:space="preserve"> </w:t>
      </w:r>
      <w:r>
        <w:rPr>
          <w:color w:val="231F20"/>
          <w:w w:val="95"/>
          <w:sz w:val="17"/>
        </w:rPr>
        <w:t>39,</w:t>
      </w:r>
      <w:r>
        <w:rPr>
          <w:color w:val="231F20"/>
          <w:spacing w:val="2"/>
          <w:sz w:val="17"/>
        </w:rPr>
        <w:t xml:space="preserve"> </w:t>
      </w:r>
      <w:r>
        <w:rPr>
          <w:color w:val="231F20"/>
          <w:w w:val="95"/>
          <w:sz w:val="17"/>
        </w:rPr>
        <w:t>57,</w:t>
      </w:r>
      <w:r>
        <w:rPr>
          <w:color w:val="231F20"/>
          <w:spacing w:val="2"/>
          <w:sz w:val="17"/>
        </w:rPr>
        <w:t xml:space="preserve"> </w:t>
      </w:r>
      <w:r>
        <w:rPr>
          <w:color w:val="231F20"/>
          <w:spacing w:val="-5"/>
          <w:w w:val="95"/>
          <w:sz w:val="17"/>
        </w:rPr>
        <w:t>137</w:t>
      </w:r>
    </w:p>
    <w:p w14:paraId="1E79DEE6" w14:textId="77777777" w:rsidR="00AE0598" w:rsidRDefault="0069255A">
      <w:pPr>
        <w:spacing w:before="1"/>
        <w:ind w:left="110"/>
        <w:rPr>
          <w:sz w:val="17"/>
        </w:rPr>
      </w:pPr>
      <w:r>
        <w:rPr>
          <w:color w:val="231F20"/>
          <w:w w:val="95"/>
          <w:sz w:val="17"/>
        </w:rPr>
        <w:t>tourism</w:t>
      </w:r>
      <w:r>
        <w:rPr>
          <w:color w:val="231F20"/>
          <w:spacing w:val="5"/>
          <w:sz w:val="17"/>
        </w:rPr>
        <w:t xml:space="preserve"> </w:t>
      </w:r>
      <w:r>
        <w:rPr>
          <w:color w:val="231F20"/>
          <w:w w:val="95"/>
          <w:sz w:val="17"/>
        </w:rPr>
        <w:t>organisation</w:t>
      </w:r>
      <w:r>
        <w:rPr>
          <w:color w:val="231F20"/>
          <w:spacing w:val="5"/>
          <w:sz w:val="17"/>
        </w:rPr>
        <w:t xml:space="preserve"> </w:t>
      </w:r>
      <w:r>
        <w:rPr>
          <w:color w:val="231F20"/>
          <w:w w:val="95"/>
          <w:sz w:val="17"/>
        </w:rPr>
        <w:t>56,</w:t>
      </w:r>
      <w:r>
        <w:rPr>
          <w:color w:val="231F20"/>
          <w:spacing w:val="5"/>
          <w:sz w:val="17"/>
        </w:rPr>
        <w:t xml:space="preserve"> </w:t>
      </w:r>
      <w:r>
        <w:rPr>
          <w:color w:val="231F20"/>
          <w:w w:val="95"/>
          <w:sz w:val="17"/>
        </w:rPr>
        <w:t>110,</w:t>
      </w:r>
      <w:r>
        <w:rPr>
          <w:color w:val="231F20"/>
          <w:spacing w:val="5"/>
          <w:sz w:val="17"/>
        </w:rPr>
        <w:t xml:space="preserve"> </w:t>
      </w:r>
      <w:r>
        <w:rPr>
          <w:color w:val="231F20"/>
          <w:w w:val="95"/>
          <w:sz w:val="17"/>
        </w:rPr>
        <w:t>136,</w:t>
      </w:r>
      <w:r>
        <w:rPr>
          <w:color w:val="231F20"/>
          <w:spacing w:val="5"/>
          <w:sz w:val="17"/>
        </w:rPr>
        <w:t xml:space="preserve"> </w:t>
      </w:r>
      <w:r>
        <w:rPr>
          <w:color w:val="231F20"/>
          <w:spacing w:val="-5"/>
          <w:w w:val="95"/>
          <w:sz w:val="17"/>
        </w:rPr>
        <w:t>161</w:t>
      </w:r>
    </w:p>
    <w:p w14:paraId="4468D36E" w14:textId="77777777" w:rsidR="00AE0598" w:rsidRDefault="0069255A">
      <w:pPr>
        <w:spacing w:before="1"/>
        <w:ind w:left="110"/>
        <w:rPr>
          <w:sz w:val="17"/>
        </w:rPr>
      </w:pPr>
      <w:r>
        <w:rPr>
          <w:color w:val="231F20"/>
          <w:w w:val="95"/>
          <w:sz w:val="17"/>
        </w:rPr>
        <w:t>tourism</w:t>
      </w:r>
      <w:r>
        <w:rPr>
          <w:color w:val="231F20"/>
          <w:spacing w:val="5"/>
          <w:sz w:val="17"/>
        </w:rPr>
        <w:t xml:space="preserve"> </w:t>
      </w:r>
      <w:r>
        <w:rPr>
          <w:color w:val="231F20"/>
          <w:w w:val="95"/>
          <w:sz w:val="17"/>
        </w:rPr>
        <w:t>sport</w:t>
      </w:r>
      <w:r>
        <w:rPr>
          <w:color w:val="231F20"/>
          <w:spacing w:val="5"/>
          <w:sz w:val="17"/>
        </w:rPr>
        <w:t xml:space="preserve"> </w:t>
      </w:r>
      <w:r>
        <w:rPr>
          <w:color w:val="231F20"/>
          <w:w w:val="95"/>
          <w:sz w:val="17"/>
        </w:rPr>
        <w:t>22,</w:t>
      </w:r>
      <w:r>
        <w:rPr>
          <w:color w:val="231F20"/>
          <w:spacing w:val="6"/>
          <w:sz w:val="17"/>
        </w:rPr>
        <w:t xml:space="preserve"> </w:t>
      </w:r>
      <w:r>
        <w:rPr>
          <w:color w:val="231F20"/>
          <w:w w:val="95"/>
          <w:sz w:val="17"/>
        </w:rPr>
        <w:t>41,</w:t>
      </w:r>
      <w:r>
        <w:rPr>
          <w:color w:val="231F20"/>
          <w:spacing w:val="5"/>
          <w:sz w:val="17"/>
        </w:rPr>
        <w:t xml:space="preserve"> </w:t>
      </w:r>
      <w:r>
        <w:rPr>
          <w:color w:val="231F20"/>
          <w:spacing w:val="-5"/>
          <w:w w:val="95"/>
          <w:sz w:val="17"/>
        </w:rPr>
        <w:t>43</w:t>
      </w:r>
    </w:p>
    <w:p w14:paraId="0483ED72" w14:textId="77777777" w:rsidR="00AE0598" w:rsidRDefault="0069255A">
      <w:pPr>
        <w:ind w:left="110" w:right="181"/>
        <w:rPr>
          <w:sz w:val="17"/>
        </w:rPr>
      </w:pPr>
      <w:r>
        <w:rPr>
          <w:color w:val="231F20"/>
          <w:sz w:val="17"/>
        </w:rPr>
        <w:t>tourist area life cycle theory 92, 199</w:t>
      </w:r>
      <w:r>
        <w:rPr>
          <w:color w:val="231F20"/>
          <w:spacing w:val="40"/>
          <w:sz w:val="17"/>
        </w:rPr>
        <w:t xml:space="preserve"> </w:t>
      </w:r>
      <w:r>
        <w:rPr>
          <w:color w:val="231F20"/>
          <w:w w:val="95"/>
          <w:sz w:val="17"/>
        </w:rPr>
        <w:t>tourist attraction 4, 7, 19, 23–27, 37, 70, 73,</w:t>
      </w:r>
    </w:p>
    <w:p w14:paraId="5438D0A8" w14:textId="77777777" w:rsidR="00AE0598" w:rsidRDefault="0069255A">
      <w:pPr>
        <w:spacing w:before="2"/>
        <w:ind w:left="470"/>
        <w:rPr>
          <w:sz w:val="17"/>
        </w:rPr>
      </w:pPr>
      <w:r>
        <w:rPr>
          <w:color w:val="231F20"/>
          <w:w w:val="95"/>
          <w:sz w:val="17"/>
        </w:rPr>
        <w:t>77,</w:t>
      </w:r>
      <w:r>
        <w:rPr>
          <w:color w:val="231F20"/>
          <w:spacing w:val="-2"/>
          <w:w w:val="95"/>
          <w:sz w:val="17"/>
        </w:rPr>
        <w:t xml:space="preserve"> </w:t>
      </w:r>
      <w:r>
        <w:rPr>
          <w:color w:val="231F20"/>
          <w:w w:val="95"/>
          <w:sz w:val="17"/>
        </w:rPr>
        <w:t>84,</w:t>
      </w:r>
      <w:r>
        <w:rPr>
          <w:color w:val="231F20"/>
          <w:spacing w:val="-2"/>
          <w:w w:val="95"/>
          <w:sz w:val="17"/>
        </w:rPr>
        <w:t xml:space="preserve"> </w:t>
      </w:r>
      <w:r>
        <w:rPr>
          <w:color w:val="231F20"/>
          <w:w w:val="95"/>
          <w:sz w:val="17"/>
        </w:rPr>
        <w:t>98,</w:t>
      </w:r>
      <w:r>
        <w:rPr>
          <w:color w:val="231F20"/>
          <w:spacing w:val="-1"/>
          <w:w w:val="95"/>
          <w:sz w:val="17"/>
        </w:rPr>
        <w:t xml:space="preserve"> </w:t>
      </w:r>
      <w:r>
        <w:rPr>
          <w:color w:val="231F20"/>
          <w:w w:val="95"/>
          <w:sz w:val="17"/>
        </w:rPr>
        <w:t>105–107,</w:t>
      </w:r>
      <w:r>
        <w:rPr>
          <w:color w:val="231F20"/>
          <w:spacing w:val="-2"/>
          <w:w w:val="95"/>
          <w:sz w:val="17"/>
        </w:rPr>
        <w:t xml:space="preserve"> </w:t>
      </w:r>
      <w:r>
        <w:rPr>
          <w:color w:val="231F20"/>
          <w:w w:val="95"/>
          <w:sz w:val="17"/>
        </w:rPr>
        <w:t>130,</w:t>
      </w:r>
      <w:r>
        <w:rPr>
          <w:color w:val="231F20"/>
          <w:spacing w:val="-2"/>
          <w:w w:val="95"/>
          <w:sz w:val="17"/>
        </w:rPr>
        <w:t xml:space="preserve"> </w:t>
      </w:r>
      <w:r>
        <w:rPr>
          <w:color w:val="231F20"/>
          <w:w w:val="95"/>
          <w:sz w:val="17"/>
        </w:rPr>
        <w:t>164,</w:t>
      </w:r>
      <w:r>
        <w:rPr>
          <w:color w:val="231F20"/>
          <w:spacing w:val="-1"/>
          <w:w w:val="95"/>
          <w:sz w:val="17"/>
        </w:rPr>
        <w:t xml:space="preserve"> </w:t>
      </w:r>
      <w:r>
        <w:rPr>
          <w:color w:val="231F20"/>
          <w:w w:val="95"/>
          <w:sz w:val="17"/>
        </w:rPr>
        <w:t>185,</w:t>
      </w:r>
      <w:r>
        <w:rPr>
          <w:color w:val="231F20"/>
          <w:spacing w:val="-2"/>
          <w:w w:val="95"/>
          <w:sz w:val="17"/>
        </w:rPr>
        <w:t xml:space="preserve"> </w:t>
      </w:r>
      <w:r>
        <w:rPr>
          <w:color w:val="231F20"/>
          <w:spacing w:val="-4"/>
          <w:w w:val="95"/>
          <w:sz w:val="17"/>
        </w:rPr>
        <w:t>199,</w:t>
      </w:r>
    </w:p>
    <w:p w14:paraId="22A9973F" w14:textId="77777777" w:rsidR="00AE0598" w:rsidRDefault="0069255A">
      <w:pPr>
        <w:ind w:left="470"/>
        <w:rPr>
          <w:sz w:val="17"/>
        </w:rPr>
      </w:pPr>
      <w:r>
        <w:rPr>
          <w:color w:val="231F20"/>
          <w:w w:val="90"/>
          <w:sz w:val="17"/>
        </w:rPr>
        <w:t>209,</w:t>
      </w:r>
      <w:r>
        <w:rPr>
          <w:color w:val="231F20"/>
          <w:spacing w:val="15"/>
          <w:sz w:val="17"/>
        </w:rPr>
        <w:t xml:space="preserve"> </w:t>
      </w:r>
      <w:r>
        <w:rPr>
          <w:color w:val="231F20"/>
          <w:spacing w:val="-2"/>
          <w:sz w:val="17"/>
        </w:rPr>
        <w:t>230–235</w:t>
      </w:r>
    </w:p>
    <w:p w14:paraId="5F1C1A09" w14:textId="77777777" w:rsidR="00AE0598" w:rsidRDefault="0069255A">
      <w:pPr>
        <w:spacing w:before="1"/>
        <w:ind w:left="110"/>
        <w:rPr>
          <w:sz w:val="17"/>
        </w:rPr>
      </w:pPr>
      <w:r>
        <w:rPr>
          <w:color w:val="231F20"/>
          <w:w w:val="95"/>
          <w:sz w:val="17"/>
        </w:rPr>
        <w:t>tourist</w:t>
      </w:r>
      <w:r>
        <w:rPr>
          <w:color w:val="231F20"/>
          <w:spacing w:val="6"/>
          <w:sz w:val="17"/>
        </w:rPr>
        <w:t xml:space="preserve"> </w:t>
      </w:r>
      <w:r>
        <w:rPr>
          <w:color w:val="231F20"/>
          <w:w w:val="95"/>
          <w:sz w:val="17"/>
        </w:rPr>
        <w:t>attraction</w:t>
      </w:r>
      <w:r>
        <w:rPr>
          <w:color w:val="231F20"/>
          <w:spacing w:val="6"/>
          <w:sz w:val="17"/>
        </w:rPr>
        <w:t xml:space="preserve"> </w:t>
      </w:r>
      <w:r>
        <w:rPr>
          <w:color w:val="231F20"/>
          <w:w w:val="95"/>
          <w:sz w:val="17"/>
        </w:rPr>
        <w:t>system</w:t>
      </w:r>
      <w:r>
        <w:rPr>
          <w:color w:val="231F20"/>
          <w:spacing w:val="6"/>
          <w:sz w:val="17"/>
        </w:rPr>
        <w:t xml:space="preserve"> </w:t>
      </w:r>
      <w:r>
        <w:rPr>
          <w:color w:val="231F20"/>
          <w:w w:val="95"/>
          <w:sz w:val="17"/>
        </w:rPr>
        <w:t>23,</w:t>
      </w:r>
      <w:r>
        <w:rPr>
          <w:color w:val="231F20"/>
          <w:spacing w:val="6"/>
          <w:sz w:val="17"/>
        </w:rPr>
        <w:t xml:space="preserve"> </w:t>
      </w:r>
      <w:r>
        <w:rPr>
          <w:color w:val="231F20"/>
          <w:spacing w:val="-5"/>
          <w:w w:val="95"/>
          <w:sz w:val="17"/>
        </w:rPr>
        <w:t>230</w:t>
      </w:r>
    </w:p>
    <w:p w14:paraId="541FB66B" w14:textId="77777777" w:rsidR="00AE0598" w:rsidRDefault="0069255A">
      <w:pPr>
        <w:spacing w:before="1"/>
        <w:ind w:left="110"/>
        <w:rPr>
          <w:sz w:val="17"/>
        </w:rPr>
      </w:pPr>
      <w:r>
        <w:rPr>
          <w:color w:val="231F20"/>
          <w:w w:val="95"/>
          <w:sz w:val="17"/>
        </w:rPr>
        <w:t>tourist</w:t>
      </w:r>
      <w:r>
        <w:rPr>
          <w:color w:val="231F20"/>
          <w:spacing w:val="9"/>
          <w:sz w:val="17"/>
        </w:rPr>
        <w:t xml:space="preserve"> </w:t>
      </w:r>
      <w:r>
        <w:rPr>
          <w:color w:val="231F20"/>
          <w:w w:val="95"/>
          <w:sz w:val="17"/>
        </w:rPr>
        <w:t>behaviour</w:t>
      </w:r>
      <w:r>
        <w:rPr>
          <w:color w:val="231F20"/>
          <w:spacing w:val="9"/>
          <w:sz w:val="17"/>
        </w:rPr>
        <w:t xml:space="preserve"> </w:t>
      </w:r>
      <w:r>
        <w:rPr>
          <w:color w:val="231F20"/>
          <w:w w:val="95"/>
          <w:sz w:val="17"/>
        </w:rPr>
        <w:t>48,</w:t>
      </w:r>
      <w:r>
        <w:rPr>
          <w:color w:val="231F20"/>
          <w:spacing w:val="9"/>
          <w:sz w:val="17"/>
        </w:rPr>
        <w:t xml:space="preserve"> </w:t>
      </w:r>
      <w:r>
        <w:rPr>
          <w:color w:val="231F20"/>
          <w:spacing w:val="-5"/>
          <w:w w:val="95"/>
          <w:sz w:val="17"/>
        </w:rPr>
        <w:t>159</w:t>
      </w:r>
    </w:p>
    <w:p w14:paraId="5FA5F6F8" w14:textId="77777777" w:rsidR="00AE0598" w:rsidRDefault="0069255A">
      <w:pPr>
        <w:ind w:left="110"/>
        <w:rPr>
          <w:sz w:val="17"/>
        </w:rPr>
      </w:pPr>
      <w:r>
        <w:rPr>
          <w:color w:val="231F20"/>
          <w:w w:val="95"/>
          <w:sz w:val="17"/>
        </w:rPr>
        <w:t>tourist</w:t>
      </w:r>
      <w:r>
        <w:rPr>
          <w:color w:val="231F20"/>
          <w:spacing w:val="5"/>
          <w:sz w:val="17"/>
        </w:rPr>
        <w:t xml:space="preserve"> </w:t>
      </w:r>
      <w:r>
        <w:rPr>
          <w:color w:val="231F20"/>
          <w:w w:val="95"/>
          <w:sz w:val="17"/>
        </w:rPr>
        <w:t>experience</w:t>
      </w:r>
      <w:r>
        <w:rPr>
          <w:color w:val="231F20"/>
          <w:spacing w:val="5"/>
          <w:sz w:val="17"/>
        </w:rPr>
        <w:t xml:space="preserve"> </w:t>
      </w:r>
      <w:r>
        <w:rPr>
          <w:color w:val="231F20"/>
          <w:w w:val="95"/>
          <w:sz w:val="17"/>
        </w:rPr>
        <w:t>8,</w:t>
      </w:r>
      <w:r>
        <w:rPr>
          <w:color w:val="231F20"/>
          <w:spacing w:val="6"/>
          <w:sz w:val="17"/>
        </w:rPr>
        <w:t xml:space="preserve"> </w:t>
      </w:r>
      <w:r>
        <w:rPr>
          <w:color w:val="231F20"/>
          <w:w w:val="95"/>
          <w:sz w:val="17"/>
        </w:rPr>
        <w:t>11–12,</w:t>
      </w:r>
      <w:r>
        <w:rPr>
          <w:color w:val="231F20"/>
          <w:spacing w:val="5"/>
          <w:sz w:val="17"/>
        </w:rPr>
        <w:t xml:space="preserve"> </w:t>
      </w:r>
      <w:r>
        <w:rPr>
          <w:color w:val="231F20"/>
          <w:w w:val="95"/>
          <w:sz w:val="17"/>
        </w:rPr>
        <w:t>37–42,</w:t>
      </w:r>
      <w:r>
        <w:rPr>
          <w:color w:val="231F20"/>
          <w:spacing w:val="6"/>
          <w:sz w:val="17"/>
        </w:rPr>
        <w:t xml:space="preserve"> </w:t>
      </w:r>
      <w:r>
        <w:rPr>
          <w:color w:val="231F20"/>
          <w:w w:val="95"/>
          <w:sz w:val="17"/>
        </w:rPr>
        <w:t>48,</w:t>
      </w:r>
      <w:r>
        <w:rPr>
          <w:color w:val="231F20"/>
          <w:spacing w:val="5"/>
          <w:sz w:val="17"/>
        </w:rPr>
        <w:t xml:space="preserve"> </w:t>
      </w:r>
      <w:r>
        <w:rPr>
          <w:color w:val="231F20"/>
          <w:spacing w:val="-5"/>
          <w:w w:val="95"/>
          <w:sz w:val="17"/>
        </w:rPr>
        <w:t>79,</w:t>
      </w:r>
    </w:p>
    <w:p w14:paraId="7D006899" w14:textId="77777777" w:rsidR="00AE0598" w:rsidRDefault="0069255A">
      <w:pPr>
        <w:spacing w:before="1"/>
        <w:ind w:left="470"/>
        <w:rPr>
          <w:sz w:val="17"/>
        </w:rPr>
      </w:pPr>
      <w:r>
        <w:rPr>
          <w:color w:val="231F20"/>
          <w:w w:val="90"/>
          <w:sz w:val="17"/>
        </w:rPr>
        <w:t>93,</w:t>
      </w:r>
      <w:r>
        <w:rPr>
          <w:color w:val="231F20"/>
          <w:spacing w:val="10"/>
          <w:sz w:val="17"/>
        </w:rPr>
        <w:t xml:space="preserve"> </w:t>
      </w:r>
      <w:r>
        <w:rPr>
          <w:color w:val="231F20"/>
          <w:w w:val="90"/>
          <w:sz w:val="17"/>
        </w:rPr>
        <w:t>101,</w:t>
      </w:r>
      <w:r>
        <w:rPr>
          <w:color w:val="231F20"/>
          <w:spacing w:val="10"/>
          <w:sz w:val="17"/>
        </w:rPr>
        <w:t xml:space="preserve"> </w:t>
      </w:r>
      <w:r>
        <w:rPr>
          <w:color w:val="231F20"/>
          <w:w w:val="90"/>
          <w:sz w:val="17"/>
        </w:rPr>
        <w:t>108,</w:t>
      </w:r>
      <w:r>
        <w:rPr>
          <w:color w:val="231F20"/>
          <w:spacing w:val="11"/>
          <w:sz w:val="17"/>
        </w:rPr>
        <w:t xml:space="preserve"> </w:t>
      </w:r>
      <w:r>
        <w:rPr>
          <w:color w:val="231F20"/>
          <w:w w:val="90"/>
          <w:sz w:val="17"/>
        </w:rPr>
        <w:t>155–178,</w:t>
      </w:r>
      <w:r>
        <w:rPr>
          <w:color w:val="231F20"/>
          <w:spacing w:val="10"/>
          <w:sz w:val="17"/>
        </w:rPr>
        <w:t xml:space="preserve"> </w:t>
      </w:r>
      <w:r>
        <w:rPr>
          <w:color w:val="231F20"/>
          <w:w w:val="90"/>
          <w:sz w:val="17"/>
        </w:rPr>
        <w:t>187,</w:t>
      </w:r>
      <w:r>
        <w:rPr>
          <w:color w:val="231F20"/>
          <w:spacing w:val="11"/>
          <w:sz w:val="17"/>
        </w:rPr>
        <w:t xml:space="preserve"> </w:t>
      </w:r>
      <w:r>
        <w:rPr>
          <w:color w:val="231F20"/>
          <w:spacing w:val="-4"/>
          <w:w w:val="90"/>
          <w:sz w:val="17"/>
        </w:rPr>
        <w:t>229,</w:t>
      </w:r>
    </w:p>
    <w:p w14:paraId="13B9B3FD" w14:textId="77777777" w:rsidR="00AE0598" w:rsidRDefault="0069255A">
      <w:pPr>
        <w:spacing w:before="1"/>
        <w:ind w:left="470"/>
        <w:rPr>
          <w:sz w:val="17"/>
        </w:rPr>
      </w:pPr>
      <w:r>
        <w:rPr>
          <w:color w:val="231F20"/>
          <w:w w:val="90"/>
          <w:sz w:val="17"/>
        </w:rPr>
        <w:t>230,</w:t>
      </w:r>
      <w:r>
        <w:rPr>
          <w:color w:val="231F20"/>
          <w:spacing w:val="23"/>
          <w:sz w:val="17"/>
        </w:rPr>
        <w:t xml:space="preserve"> </w:t>
      </w:r>
      <w:r>
        <w:rPr>
          <w:color w:val="231F20"/>
          <w:spacing w:val="-5"/>
          <w:sz w:val="17"/>
        </w:rPr>
        <w:t>233</w:t>
      </w:r>
    </w:p>
    <w:p w14:paraId="563AB4DE" w14:textId="77777777" w:rsidR="00AE0598" w:rsidRDefault="0069255A">
      <w:pPr>
        <w:spacing w:before="1"/>
        <w:ind w:left="110"/>
        <w:rPr>
          <w:sz w:val="17"/>
        </w:rPr>
      </w:pPr>
      <w:r>
        <w:rPr>
          <w:color w:val="231F20"/>
          <w:w w:val="95"/>
          <w:sz w:val="17"/>
        </w:rPr>
        <w:t>tourist</w:t>
      </w:r>
      <w:r>
        <w:rPr>
          <w:color w:val="231F20"/>
          <w:spacing w:val="3"/>
          <w:sz w:val="17"/>
        </w:rPr>
        <w:t xml:space="preserve"> </w:t>
      </w:r>
      <w:r>
        <w:rPr>
          <w:color w:val="231F20"/>
          <w:w w:val="95"/>
          <w:sz w:val="17"/>
        </w:rPr>
        <w:t>motivation</w:t>
      </w:r>
      <w:r>
        <w:rPr>
          <w:color w:val="231F20"/>
          <w:spacing w:val="4"/>
          <w:sz w:val="17"/>
        </w:rPr>
        <w:t xml:space="preserve"> </w:t>
      </w:r>
      <w:r>
        <w:rPr>
          <w:color w:val="231F20"/>
          <w:w w:val="95"/>
          <w:sz w:val="17"/>
        </w:rPr>
        <w:t>39,</w:t>
      </w:r>
      <w:r>
        <w:rPr>
          <w:color w:val="231F20"/>
          <w:spacing w:val="4"/>
          <w:sz w:val="17"/>
        </w:rPr>
        <w:t xml:space="preserve"> </w:t>
      </w:r>
      <w:r>
        <w:rPr>
          <w:color w:val="231F20"/>
          <w:w w:val="95"/>
          <w:sz w:val="17"/>
        </w:rPr>
        <w:t>41,</w:t>
      </w:r>
      <w:r>
        <w:rPr>
          <w:color w:val="231F20"/>
          <w:spacing w:val="3"/>
          <w:sz w:val="17"/>
        </w:rPr>
        <w:t xml:space="preserve"> </w:t>
      </w:r>
      <w:r>
        <w:rPr>
          <w:color w:val="231F20"/>
          <w:w w:val="95"/>
          <w:sz w:val="17"/>
        </w:rPr>
        <w:t>49,</w:t>
      </w:r>
      <w:r>
        <w:rPr>
          <w:color w:val="231F20"/>
          <w:spacing w:val="4"/>
          <w:sz w:val="17"/>
        </w:rPr>
        <w:t xml:space="preserve"> </w:t>
      </w:r>
      <w:r>
        <w:rPr>
          <w:color w:val="231F20"/>
          <w:w w:val="95"/>
          <w:sz w:val="17"/>
        </w:rPr>
        <w:t>56,</w:t>
      </w:r>
      <w:r>
        <w:rPr>
          <w:color w:val="231F20"/>
          <w:spacing w:val="4"/>
          <w:sz w:val="17"/>
        </w:rPr>
        <w:t xml:space="preserve"> </w:t>
      </w:r>
      <w:r>
        <w:rPr>
          <w:color w:val="231F20"/>
          <w:spacing w:val="-5"/>
          <w:w w:val="95"/>
          <w:sz w:val="17"/>
        </w:rPr>
        <w:t>58,</w:t>
      </w:r>
    </w:p>
    <w:p w14:paraId="25399F30" w14:textId="77777777" w:rsidR="00AE0598" w:rsidRDefault="0069255A">
      <w:pPr>
        <w:ind w:left="470"/>
        <w:rPr>
          <w:sz w:val="17"/>
        </w:rPr>
      </w:pPr>
      <w:r>
        <w:rPr>
          <w:color w:val="231F20"/>
          <w:w w:val="90"/>
          <w:sz w:val="17"/>
        </w:rPr>
        <w:t>157–158,</w:t>
      </w:r>
      <w:r>
        <w:rPr>
          <w:color w:val="231F20"/>
          <w:spacing w:val="9"/>
          <w:sz w:val="17"/>
        </w:rPr>
        <w:t xml:space="preserve"> </w:t>
      </w:r>
      <w:r>
        <w:rPr>
          <w:color w:val="231F20"/>
          <w:w w:val="90"/>
          <w:sz w:val="17"/>
        </w:rPr>
        <w:t>173,</w:t>
      </w:r>
      <w:r>
        <w:rPr>
          <w:color w:val="231F20"/>
          <w:spacing w:val="10"/>
          <w:sz w:val="17"/>
        </w:rPr>
        <w:t xml:space="preserve"> </w:t>
      </w:r>
      <w:r>
        <w:rPr>
          <w:color w:val="231F20"/>
          <w:w w:val="90"/>
          <w:sz w:val="17"/>
        </w:rPr>
        <w:t>177,</w:t>
      </w:r>
      <w:r>
        <w:rPr>
          <w:color w:val="231F20"/>
          <w:spacing w:val="10"/>
          <w:sz w:val="17"/>
        </w:rPr>
        <w:t xml:space="preserve"> </w:t>
      </w:r>
      <w:r>
        <w:rPr>
          <w:color w:val="231F20"/>
          <w:spacing w:val="-5"/>
          <w:w w:val="90"/>
          <w:sz w:val="17"/>
        </w:rPr>
        <w:t>230</w:t>
      </w:r>
    </w:p>
    <w:p w14:paraId="2E9CB58D" w14:textId="77777777" w:rsidR="00AE0598" w:rsidRDefault="0069255A">
      <w:pPr>
        <w:spacing w:before="1"/>
        <w:ind w:left="110"/>
        <w:rPr>
          <w:sz w:val="17"/>
        </w:rPr>
      </w:pPr>
      <w:r>
        <w:rPr>
          <w:color w:val="231F20"/>
          <w:w w:val="95"/>
          <w:sz w:val="17"/>
        </w:rPr>
        <w:t>tradition</w:t>
      </w:r>
      <w:r>
        <w:rPr>
          <w:color w:val="231F20"/>
          <w:spacing w:val="1"/>
          <w:sz w:val="17"/>
        </w:rPr>
        <w:t xml:space="preserve"> </w:t>
      </w:r>
      <w:r>
        <w:rPr>
          <w:color w:val="231F20"/>
          <w:w w:val="95"/>
          <w:sz w:val="17"/>
        </w:rPr>
        <w:t>11,</w:t>
      </w:r>
      <w:r>
        <w:rPr>
          <w:color w:val="231F20"/>
          <w:spacing w:val="2"/>
          <w:sz w:val="17"/>
        </w:rPr>
        <w:t xml:space="preserve"> </w:t>
      </w:r>
      <w:r>
        <w:rPr>
          <w:color w:val="231F20"/>
          <w:w w:val="95"/>
          <w:sz w:val="17"/>
        </w:rPr>
        <w:t>13,</w:t>
      </w:r>
      <w:r>
        <w:rPr>
          <w:color w:val="231F20"/>
          <w:spacing w:val="2"/>
          <w:sz w:val="17"/>
        </w:rPr>
        <w:t xml:space="preserve"> </w:t>
      </w:r>
      <w:r>
        <w:rPr>
          <w:color w:val="231F20"/>
          <w:w w:val="95"/>
          <w:sz w:val="17"/>
        </w:rPr>
        <w:t>184,</w:t>
      </w:r>
      <w:r>
        <w:rPr>
          <w:color w:val="231F20"/>
          <w:spacing w:val="2"/>
          <w:sz w:val="17"/>
        </w:rPr>
        <w:t xml:space="preserve"> </w:t>
      </w:r>
      <w:r>
        <w:rPr>
          <w:color w:val="231F20"/>
          <w:w w:val="95"/>
          <w:sz w:val="17"/>
        </w:rPr>
        <w:t>193,</w:t>
      </w:r>
      <w:r>
        <w:rPr>
          <w:color w:val="231F20"/>
          <w:spacing w:val="2"/>
          <w:sz w:val="17"/>
        </w:rPr>
        <w:t xml:space="preserve"> </w:t>
      </w:r>
      <w:r>
        <w:rPr>
          <w:color w:val="231F20"/>
          <w:spacing w:val="-5"/>
          <w:w w:val="95"/>
          <w:sz w:val="17"/>
        </w:rPr>
        <w:t>201</w:t>
      </w:r>
    </w:p>
    <w:p w14:paraId="4CEDB624" w14:textId="77777777" w:rsidR="00AE0598" w:rsidRDefault="0069255A">
      <w:pPr>
        <w:spacing w:before="1"/>
        <w:ind w:left="110"/>
        <w:rPr>
          <w:sz w:val="17"/>
        </w:rPr>
      </w:pPr>
      <w:r>
        <w:rPr>
          <w:color w:val="231F20"/>
          <w:w w:val="95"/>
          <w:sz w:val="17"/>
        </w:rPr>
        <w:t>transport</w:t>
      </w:r>
      <w:r>
        <w:rPr>
          <w:color w:val="231F20"/>
          <w:spacing w:val="5"/>
          <w:sz w:val="17"/>
        </w:rPr>
        <w:t xml:space="preserve"> </w:t>
      </w:r>
      <w:r>
        <w:rPr>
          <w:color w:val="231F20"/>
          <w:w w:val="95"/>
          <w:sz w:val="17"/>
        </w:rPr>
        <w:t>22,</w:t>
      </w:r>
      <w:r>
        <w:rPr>
          <w:color w:val="231F20"/>
          <w:spacing w:val="6"/>
          <w:sz w:val="17"/>
        </w:rPr>
        <w:t xml:space="preserve"> </w:t>
      </w:r>
      <w:r>
        <w:rPr>
          <w:color w:val="231F20"/>
          <w:w w:val="95"/>
          <w:sz w:val="17"/>
        </w:rPr>
        <w:t>62,</w:t>
      </w:r>
      <w:r>
        <w:rPr>
          <w:color w:val="231F20"/>
          <w:spacing w:val="6"/>
          <w:sz w:val="17"/>
        </w:rPr>
        <w:t xml:space="preserve"> </w:t>
      </w:r>
      <w:r>
        <w:rPr>
          <w:color w:val="231F20"/>
          <w:w w:val="95"/>
          <w:sz w:val="17"/>
        </w:rPr>
        <w:t>78,</w:t>
      </w:r>
      <w:r>
        <w:rPr>
          <w:color w:val="231F20"/>
          <w:spacing w:val="6"/>
          <w:sz w:val="17"/>
        </w:rPr>
        <w:t xml:space="preserve"> </w:t>
      </w:r>
      <w:r>
        <w:rPr>
          <w:color w:val="231F20"/>
          <w:w w:val="95"/>
          <w:sz w:val="17"/>
        </w:rPr>
        <w:t>92,</w:t>
      </w:r>
      <w:r>
        <w:rPr>
          <w:color w:val="231F20"/>
          <w:spacing w:val="5"/>
          <w:sz w:val="17"/>
        </w:rPr>
        <w:t xml:space="preserve"> </w:t>
      </w:r>
      <w:r>
        <w:rPr>
          <w:color w:val="231F20"/>
          <w:w w:val="95"/>
          <w:sz w:val="17"/>
        </w:rPr>
        <w:t>94,</w:t>
      </w:r>
      <w:r>
        <w:rPr>
          <w:color w:val="231F20"/>
          <w:spacing w:val="6"/>
          <w:sz w:val="17"/>
        </w:rPr>
        <w:t xml:space="preserve"> </w:t>
      </w:r>
      <w:r>
        <w:rPr>
          <w:color w:val="231F20"/>
          <w:w w:val="95"/>
          <w:sz w:val="17"/>
        </w:rPr>
        <w:t>101,</w:t>
      </w:r>
      <w:r>
        <w:rPr>
          <w:color w:val="231F20"/>
          <w:spacing w:val="6"/>
          <w:sz w:val="17"/>
        </w:rPr>
        <w:t xml:space="preserve"> </w:t>
      </w:r>
      <w:r>
        <w:rPr>
          <w:color w:val="231F20"/>
          <w:w w:val="95"/>
          <w:sz w:val="17"/>
        </w:rPr>
        <w:t>105,</w:t>
      </w:r>
      <w:r>
        <w:rPr>
          <w:color w:val="231F20"/>
          <w:spacing w:val="6"/>
          <w:sz w:val="17"/>
        </w:rPr>
        <w:t xml:space="preserve"> </w:t>
      </w:r>
      <w:r>
        <w:rPr>
          <w:color w:val="231F20"/>
          <w:spacing w:val="-4"/>
          <w:w w:val="95"/>
          <w:sz w:val="17"/>
        </w:rPr>
        <w:t>135,</w:t>
      </w:r>
    </w:p>
    <w:p w14:paraId="56716DB3" w14:textId="77777777" w:rsidR="00AE0598" w:rsidRDefault="0069255A">
      <w:pPr>
        <w:ind w:left="470"/>
        <w:rPr>
          <w:sz w:val="17"/>
        </w:rPr>
      </w:pPr>
      <w:r>
        <w:rPr>
          <w:color w:val="231F20"/>
          <w:w w:val="90"/>
          <w:sz w:val="17"/>
        </w:rPr>
        <w:t>137–152,</w:t>
      </w:r>
      <w:r>
        <w:rPr>
          <w:color w:val="231F20"/>
          <w:spacing w:val="8"/>
          <w:sz w:val="17"/>
        </w:rPr>
        <w:t xml:space="preserve"> </w:t>
      </w:r>
      <w:r>
        <w:rPr>
          <w:color w:val="231F20"/>
          <w:w w:val="90"/>
          <w:sz w:val="17"/>
        </w:rPr>
        <w:t>177,</w:t>
      </w:r>
      <w:r>
        <w:rPr>
          <w:color w:val="231F20"/>
          <w:spacing w:val="8"/>
          <w:sz w:val="17"/>
        </w:rPr>
        <w:t xml:space="preserve"> </w:t>
      </w:r>
      <w:r>
        <w:rPr>
          <w:color w:val="231F20"/>
          <w:w w:val="90"/>
          <w:sz w:val="17"/>
        </w:rPr>
        <w:t>201,</w:t>
      </w:r>
      <w:r>
        <w:rPr>
          <w:color w:val="231F20"/>
          <w:spacing w:val="9"/>
          <w:sz w:val="17"/>
        </w:rPr>
        <w:t xml:space="preserve"> </w:t>
      </w:r>
      <w:r>
        <w:rPr>
          <w:color w:val="231F20"/>
          <w:w w:val="90"/>
          <w:sz w:val="17"/>
        </w:rPr>
        <w:t>217,</w:t>
      </w:r>
      <w:r>
        <w:rPr>
          <w:color w:val="231F20"/>
          <w:spacing w:val="8"/>
          <w:sz w:val="17"/>
        </w:rPr>
        <w:t xml:space="preserve"> </w:t>
      </w:r>
      <w:r>
        <w:rPr>
          <w:color w:val="231F20"/>
          <w:w w:val="90"/>
          <w:sz w:val="17"/>
        </w:rPr>
        <w:t>221,</w:t>
      </w:r>
      <w:r>
        <w:rPr>
          <w:color w:val="231F20"/>
          <w:spacing w:val="8"/>
          <w:sz w:val="17"/>
        </w:rPr>
        <w:t xml:space="preserve"> </w:t>
      </w:r>
      <w:r>
        <w:rPr>
          <w:color w:val="231F20"/>
          <w:spacing w:val="-5"/>
          <w:w w:val="90"/>
          <w:sz w:val="17"/>
        </w:rPr>
        <w:t>222</w:t>
      </w:r>
    </w:p>
    <w:p w14:paraId="588A5813" w14:textId="77777777" w:rsidR="00AE0598" w:rsidRDefault="0069255A">
      <w:pPr>
        <w:spacing w:before="1"/>
        <w:ind w:left="110"/>
        <w:rPr>
          <w:sz w:val="17"/>
        </w:rPr>
      </w:pPr>
      <w:r>
        <w:rPr>
          <w:color w:val="231F20"/>
          <w:w w:val="90"/>
          <w:sz w:val="17"/>
        </w:rPr>
        <w:t>transportability</w:t>
      </w:r>
      <w:r>
        <w:rPr>
          <w:color w:val="231F20"/>
          <w:spacing w:val="52"/>
          <w:sz w:val="17"/>
        </w:rPr>
        <w:t xml:space="preserve"> </w:t>
      </w:r>
      <w:r>
        <w:rPr>
          <w:color w:val="231F20"/>
          <w:w w:val="90"/>
          <w:sz w:val="17"/>
        </w:rPr>
        <w:t>138–139,</w:t>
      </w:r>
      <w:r>
        <w:rPr>
          <w:color w:val="231F20"/>
          <w:spacing w:val="52"/>
          <w:sz w:val="17"/>
        </w:rPr>
        <w:t xml:space="preserve"> </w:t>
      </w:r>
      <w:r>
        <w:rPr>
          <w:color w:val="231F20"/>
          <w:spacing w:val="-5"/>
          <w:w w:val="90"/>
          <w:sz w:val="17"/>
        </w:rPr>
        <w:t>152</w:t>
      </w:r>
    </w:p>
    <w:p w14:paraId="4E61A7E5" w14:textId="77777777" w:rsidR="00AE0598" w:rsidRDefault="0069255A">
      <w:pPr>
        <w:spacing w:before="1"/>
        <w:ind w:left="110"/>
        <w:rPr>
          <w:sz w:val="17"/>
        </w:rPr>
      </w:pPr>
      <w:r>
        <w:rPr>
          <w:color w:val="231F20"/>
          <w:w w:val="90"/>
          <w:sz w:val="17"/>
        </w:rPr>
        <w:t>transportation</w:t>
      </w:r>
      <w:r>
        <w:rPr>
          <w:color w:val="231F20"/>
          <w:spacing w:val="20"/>
          <w:sz w:val="17"/>
        </w:rPr>
        <w:t xml:space="preserve"> </w:t>
      </w:r>
      <w:r>
        <w:rPr>
          <w:color w:val="231F20"/>
          <w:w w:val="90"/>
          <w:sz w:val="17"/>
        </w:rPr>
        <w:t>77,</w:t>
      </w:r>
      <w:r>
        <w:rPr>
          <w:color w:val="231F20"/>
          <w:spacing w:val="20"/>
          <w:sz w:val="17"/>
        </w:rPr>
        <w:t xml:space="preserve"> </w:t>
      </w:r>
      <w:r>
        <w:rPr>
          <w:color w:val="231F20"/>
          <w:w w:val="90"/>
          <w:sz w:val="17"/>
        </w:rPr>
        <w:t>109,</w:t>
      </w:r>
      <w:r>
        <w:rPr>
          <w:color w:val="231F20"/>
          <w:spacing w:val="20"/>
          <w:sz w:val="17"/>
        </w:rPr>
        <w:t xml:space="preserve"> </w:t>
      </w:r>
      <w:r>
        <w:rPr>
          <w:color w:val="231F20"/>
          <w:w w:val="90"/>
          <w:sz w:val="17"/>
        </w:rPr>
        <w:t>139–141,</w:t>
      </w:r>
      <w:r>
        <w:rPr>
          <w:color w:val="231F20"/>
          <w:spacing w:val="20"/>
          <w:sz w:val="17"/>
        </w:rPr>
        <w:t xml:space="preserve"> </w:t>
      </w:r>
      <w:r>
        <w:rPr>
          <w:color w:val="231F20"/>
          <w:w w:val="90"/>
          <w:sz w:val="17"/>
        </w:rPr>
        <w:t>179,</w:t>
      </w:r>
      <w:r>
        <w:rPr>
          <w:color w:val="231F20"/>
          <w:spacing w:val="20"/>
          <w:sz w:val="17"/>
        </w:rPr>
        <w:t xml:space="preserve"> </w:t>
      </w:r>
      <w:r>
        <w:rPr>
          <w:color w:val="231F20"/>
          <w:spacing w:val="-4"/>
          <w:w w:val="90"/>
          <w:sz w:val="17"/>
        </w:rPr>
        <w:t>184,</w:t>
      </w:r>
    </w:p>
    <w:p w14:paraId="1372D19D" w14:textId="77777777" w:rsidR="00AE0598" w:rsidRDefault="0069255A">
      <w:pPr>
        <w:spacing w:before="1"/>
        <w:ind w:left="101" w:right="1912"/>
        <w:jc w:val="center"/>
        <w:rPr>
          <w:sz w:val="17"/>
        </w:rPr>
      </w:pPr>
      <w:r>
        <w:rPr>
          <w:color w:val="231F20"/>
          <w:w w:val="90"/>
          <w:sz w:val="17"/>
        </w:rPr>
        <w:t>221,</w:t>
      </w:r>
      <w:r>
        <w:rPr>
          <w:color w:val="231F20"/>
          <w:spacing w:val="14"/>
          <w:sz w:val="17"/>
        </w:rPr>
        <w:t xml:space="preserve"> </w:t>
      </w:r>
      <w:r>
        <w:rPr>
          <w:color w:val="231F20"/>
          <w:spacing w:val="-5"/>
          <w:sz w:val="17"/>
        </w:rPr>
        <w:t>236</w:t>
      </w:r>
    </w:p>
    <w:p w14:paraId="36E02A36" w14:textId="77777777" w:rsidR="00AE0598" w:rsidRDefault="0069255A">
      <w:pPr>
        <w:ind w:left="88" w:right="1931"/>
        <w:jc w:val="center"/>
        <w:rPr>
          <w:sz w:val="17"/>
        </w:rPr>
      </w:pPr>
      <w:r>
        <w:rPr>
          <w:color w:val="231F20"/>
          <w:w w:val="95"/>
          <w:sz w:val="17"/>
        </w:rPr>
        <w:t>travel</w:t>
      </w:r>
      <w:r>
        <w:rPr>
          <w:color w:val="231F20"/>
          <w:sz w:val="17"/>
        </w:rPr>
        <w:t xml:space="preserve"> </w:t>
      </w:r>
      <w:r>
        <w:rPr>
          <w:color w:val="231F20"/>
          <w:w w:val="95"/>
          <w:sz w:val="17"/>
        </w:rPr>
        <w:t>flow</w:t>
      </w:r>
      <w:r>
        <w:rPr>
          <w:color w:val="231F20"/>
          <w:sz w:val="17"/>
        </w:rPr>
        <w:t xml:space="preserve"> </w:t>
      </w:r>
      <w:r>
        <w:rPr>
          <w:color w:val="231F20"/>
          <w:spacing w:val="-2"/>
          <w:w w:val="95"/>
          <w:sz w:val="17"/>
        </w:rPr>
        <w:t>89–111</w:t>
      </w:r>
    </w:p>
    <w:p w14:paraId="50C0199B" w14:textId="77777777" w:rsidR="00AE0598" w:rsidRDefault="0069255A">
      <w:pPr>
        <w:spacing w:before="1"/>
        <w:ind w:left="40" w:right="320"/>
        <w:jc w:val="center"/>
        <w:rPr>
          <w:sz w:val="17"/>
        </w:rPr>
      </w:pPr>
      <w:r>
        <w:rPr>
          <w:color w:val="231F20"/>
          <w:w w:val="95"/>
          <w:sz w:val="17"/>
        </w:rPr>
        <w:t>travel</w:t>
      </w:r>
      <w:r>
        <w:rPr>
          <w:color w:val="231F20"/>
          <w:spacing w:val="5"/>
          <w:sz w:val="17"/>
        </w:rPr>
        <w:t xml:space="preserve"> </w:t>
      </w:r>
      <w:r>
        <w:rPr>
          <w:color w:val="231F20"/>
          <w:w w:val="95"/>
          <w:sz w:val="17"/>
        </w:rPr>
        <w:t>motivation</w:t>
      </w:r>
      <w:r>
        <w:rPr>
          <w:color w:val="231F20"/>
          <w:spacing w:val="5"/>
          <w:sz w:val="17"/>
        </w:rPr>
        <w:t xml:space="preserve"> </w:t>
      </w:r>
      <w:r>
        <w:rPr>
          <w:color w:val="231F20"/>
          <w:w w:val="95"/>
          <w:sz w:val="17"/>
        </w:rPr>
        <w:t>41,</w:t>
      </w:r>
      <w:r>
        <w:rPr>
          <w:color w:val="231F20"/>
          <w:spacing w:val="5"/>
          <w:sz w:val="17"/>
        </w:rPr>
        <w:t xml:space="preserve"> </w:t>
      </w:r>
      <w:r>
        <w:rPr>
          <w:color w:val="231F20"/>
          <w:w w:val="95"/>
          <w:sz w:val="17"/>
        </w:rPr>
        <w:t>43,</w:t>
      </w:r>
      <w:r>
        <w:rPr>
          <w:color w:val="231F20"/>
          <w:spacing w:val="6"/>
          <w:sz w:val="17"/>
        </w:rPr>
        <w:t xml:space="preserve"> </w:t>
      </w:r>
      <w:r>
        <w:rPr>
          <w:color w:val="231F20"/>
          <w:w w:val="95"/>
          <w:sz w:val="17"/>
        </w:rPr>
        <w:t>48–49,</w:t>
      </w:r>
      <w:r>
        <w:rPr>
          <w:color w:val="231F20"/>
          <w:spacing w:val="5"/>
          <w:sz w:val="17"/>
        </w:rPr>
        <w:t xml:space="preserve"> </w:t>
      </w:r>
      <w:r>
        <w:rPr>
          <w:color w:val="231F20"/>
          <w:w w:val="95"/>
          <w:sz w:val="17"/>
        </w:rPr>
        <w:t>62,</w:t>
      </w:r>
      <w:r>
        <w:rPr>
          <w:color w:val="231F20"/>
          <w:spacing w:val="5"/>
          <w:sz w:val="17"/>
        </w:rPr>
        <w:t xml:space="preserve"> </w:t>
      </w:r>
      <w:r>
        <w:rPr>
          <w:color w:val="231F20"/>
          <w:spacing w:val="-4"/>
          <w:w w:val="95"/>
          <w:sz w:val="17"/>
        </w:rPr>
        <w:t>156,</w:t>
      </w:r>
    </w:p>
    <w:p w14:paraId="74A32DCA" w14:textId="77777777" w:rsidR="00AE0598" w:rsidRDefault="0069255A">
      <w:pPr>
        <w:spacing w:before="1"/>
        <w:ind w:left="101" w:right="1573"/>
        <w:jc w:val="center"/>
        <w:rPr>
          <w:sz w:val="17"/>
        </w:rPr>
      </w:pPr>
      <w:r>
        <w:rPr>
          <w:color w:val="231F20"/>
          <w:w w:val="90"/>
          <w:sz w:val="17"/>
        </w:rPr>
        <w:t>173,</w:t>
      </w:r>
      <w:r>
        <w:rPr>
          <w:color w:val="231F20"/>
          <w:spacing w:val="12"/>
          <w:sz w:val="17"/>
        </w:rPr>
        <w:t xml:space="preserve"> </w:t>
      </w:r>
      <w:r>
        <w:rPr>
          <w:color w:val="231F20"/>
          <w:w w:val="90"/>
          <w:sz w:val="17"/>
        </w:rPr>
        <w:t>186,</w:t>
      </w:r>
      <w:r>
        <w:rPr>
          <w:color w:val="231F20"/>
          <w:spacing w:val="12"/>
          <w:sz w:val="17"/>
        </w:rPr>
        <w:t xml:space="preserve"> </w:t>
      </w:r>
      <w:r>
        <w:rPr>
          <w:color w:val="231F20"/>
          <w:spacing w:val="-5"/>
          <w:w w:val="90"/>
          <w:sz w:val="17"/>
        </w:rPr>
        <w:t>220</w:t>
      </w:r>
    </w:p>
    <w:p w14:paraId="3320A076" w14:textId="77777777" w:rsidR="00AE0598" w:rsidRDefault="0069255A">
      <w:pPr>
        <w:ind w:left="101" w:right="1657"/>
        <w:jc w:val="center"/>
        <w:rPr>
          <w:sz w:val="17"/>
        </w:rPr>
      </w:pPr>
      <w:r>
        <w:rPr>
          <w:color w:val="231F20"/>
          <w:w w:val="95"/>
          <w:sz w:val="17"/>
        </w:rPr>
        <w:t>travel</w:t>
      </w:r>
      <w:r>
        <w:rPr>
          <w:color w:val="231F20"/>
          <w:spacing w:val="5"/>
          <w:sz w:val="17"/>
        </w:rPr>
        <w:t xml:space="preserve"> </w:t>
      </w:r>
      <w:r>
        <w:rPr>
          <w:color w:val="231F20"/>
          <w:w w:val="95"/>
          <w:sz w:val="17"/>
        </w:rPr>
        <w:t>package</w:t>
      </w:r>
      <w:r>
        <w:rPr>
          <w:color w:val="231F20"/>
          <w:spacing w:val="5"/>
          <w:sz w:val="17"/>
        </w:rPr>
        <w:t xml:space="preserve"> </w:t>
      </w:r>
      <w:r>
        <w:rPr>
          <w:color w:val="231F20"/>
          <w:w w:val="95"/>
          <w:sz w:val="17"/>
        </w:rPr>
        <w:t>60,</w:t>
      </w:r>
      <w:r>
        <w:rPr>
          <w:color w:val="231F20"/>
          <w:spacing w:val="6"/>
          <w:sz w:val="17"/>
        </w:rPr>
        <w:t xml:space="preserve"> </w:t>
      </w:r>
      <w:r>
        <w:rPr>
          <w:color w:val="231F20"/>
          <w:spacing w:val="-5"/>
          <w:w w:val="95"/>
          <w:sz w:val="17"/>
        </w:rPr>
        <w:t>198</w:t>
      </w:r>
    </w:p>
    <w:p w14:paraId="05B88EEF" w14:textId="77777777" w:rsidR="00AE0598" w:rsidRDefault="0069255A">
      <w:pPr>
        <w:spacing w:before="1"/>
        <w:ind w:left="88" w:right="297"/>
        <w:jc w:val="center"/>
        <w:rPr>
          <w:sz w:val="17"/>
        </w:rPr>
      </w:pPr>
      <w:r>
        <w:rPr>
          <w:color w:val="231F20"/>
          <w:w w:val="95"/>
          <w:sz w:val="17"/>
        </w:rPr>
        <w:t>travel</w:t>
      </w:r>
      <w:r>
        <w:rPr>
          <w:color w:val="231F20"/>
          <w:spacing w:val="2"/>
          <w:sz w:val="17"/>
        </w:rPr>
        <w:t xml:space="preserve"> </w:t>
      </w:r>
      <w:r>
        <w:rPr>
          <w:color w:val="231F20"/>
          <w:w w:val="95"/>
          <w:sz w:val="17"/>
        </w:rPr>
        <w:t>pattern</w:t>
      </w:r>
      <w:r>
        <w:rPr>
          <w:color w:val="231F20"/>
          <w:spacing w:val="3"/>
          <w:sz w:val="17"/>
        </w:rPr>
        <w:t xml:space="preserve"> </w:t>
      </w:r>
      <w:r>
        <w:rPr>
          <w:color w:val="231F20"/>
          <w:w w:val="95"/>
          <w:sz w:val="17"/>
        </w:rPr>
        <w:t>10,</w:t>
      </w:r>
      <w:r>
        <w:rPr>
          <w:color w:val="231F20"/>
          <w:spacing w:val="3"/>
          <w:sz w:val="17"/>
        </w:rPr>
        <w:t xml:space="preserve"> </w:t>
      </w:r>
      <w:r>
        <w:rPr>
          <w:color w:val="231F20"/>
          <w:w w:val="95"/>
          <w:sz w:val="17"/>
        </w:rPr>
        <w:t>48,</w:t>
      </w:r>
      <w:r>
        <w:rPr>
          <w:color w:val="231F20"/>
          <w:spacing w:val="3"/>
          <w:sz w:val="17"/>
        </w:rPr>
        <w:t xml:space="preserve"> </w:t>
      </w:r>
      <w:r>
        <w:rPr>
          <w:color w:val="231F20"/>
          <w:w w:val="95"/>
          <w:sz w:val="17"/>
        </w:rPr>
        <w:t>89,</w:t>
      </w:r>
      <w:r>
        <w:rPr>
          <w:color w:val="231F20"/>
          <w:spacing w:val="2"/>
          <w:sz w:val="17"/>
        </w:rPr>
        <w:t xml:space="preserve"> </w:t>
      </w:r>
      <w:r>
        <w:rPr>
          <w:color w:val="231F20"/>
          <w:w w:val="95"/>
          <w:sz w:val="17"/>
        </w:rPr>
        <w:t>92,</w:t>
      </w:r>
      <w:r>
        <w:rPr>
          <w:color w:val="231F20"/>
          <w:spacing w:val="3"/>
          <w:sz w:val="17"/>
        </w:rPr>
        <w:t xml:space="preserve"> </w:t>
      </w:r>
      <w:r>
        <w:rPr>
          <w:color w:val="231F20"/>
          <w:w w:val="95"/>
          <w:sz w:val="17"/>
        </w:rPr>
        <w:t>99,</w:t>
      </w:r>
      <w:r>
        <w:rPr>
          <w:color w:val="231F20"/>
          <w:spacing w:val="3"/>
          <w:sz w:val="17"/>
        </w:rPr>
        <w:t xml:space="preserve"> </w:t>
      </w:r>
      <w:r>
        <w:rPr>
          <w:color w:val="231F20"/>
          <w:w w:val="95"/>
          <w:sz w:val="17"/>
        </w:rPr>
        <w:t>108,</w:t>
      </w:r>
      <w:r>
        <w:rPr>
          <w:color w:val="231F20"/>
          <w:spacing w:val="3"/>
          <w:sz w:val="17"/>
        </w:rPr>
        <w:t xml:space="preserve"> </w:t>
      </w:r>
      <w:r>
        <w:rPr>
          <w:color w:val="231F20"/>
          <w:spacing w:val="-4"/>
          <w:w w:val="95"/>
          <w:sz w:val="17"/>
        </w:rPr>
        <w:t>185,</w:t>
      </w:r>
    </w:p>
    <w:p w14:paraId="145025EB" w14:textId="77777777" w:rsidR="00AE0598" w:rsidRDefault="0069255A">
      <w:pPr>
        <w:spacing w:before="1"/>
        <w:ind w:right="1948"/>
        <w:jc w:val="right"/>
        <w:rPr>
          <w:sz w:val="17"/>
        </w:rPr>
      </w:pPr>
      <w:r>
        <w:rPr>
          <w:color w:val="231F20"/>
          <w:w w:val="90"/>
          <w:sz w:val="17"/>
        </w:rPr>
        <w:t>199,</w:t>
      </w:r>
      <w:r>
        <w:rPr>
          <w:color w:val="231F20"/>
          <w:spacing w:val="12"/>
          <w:sz w:val="17"/>
        </w:rPr>
        <w:t xml:space="preserve"> </w:t>
      </w:r>
      <w:r>
        <w:rPr>
          <w:color w:val="231F20"/>
          <w:w w:val="90"/>
          <w:sz w:val="17"/>
        </w:rPr>
        <w:t>213,</w:t>
      </w:r>
      <w:r>
        <w:rPr>
          <w:color w:val="231F20"/>
          <w:spacing w:val="12"/>
          <w:sz w:val="17"/>
        </w:rPr>
        <w:t xml:space="preserve"> </w:t>
      </w:r>
      <w:r>
        <w:rPr>
          <w:color w:val="231F20"/>
          <w:spacing w:val="-5"/>
          <w:w w:val="90"/>
          <w:sz w:val="17"/>
        </w:rPr>
        <w:t>235</w:t>
      </w:r>
    </w:p>
    <w:p w14:paraId="61CB5999" w14:textId="77777777" w:rsidR="00AE0598" w:rsidRDefault="0069255A">
      <w:pPr>
        <w:ind w:right="1963"/>
        <w:jc w:val="right"/>
        <w:rPr>
          <w:sz w:val="17"/>
        </w:rPr>
      </w:pPr>
      <w:r>
        <w:rPr>
          <w:color w:val="231F20"/>
          <w:w w:val="95"/>
          <w:sz w:val="17"/>
        </w:rPr>
        <w:t>trend</w:t>
      </w:r>
      <w:r>
        <w:rPr>
          <w:color w:val="231F20"/>
          <w:spacing w:val="2"/>
          <w:sz w:val="17"/>
        </w:rPr>
        <w:t xml:space="preserve"> </w:t>
      </w:r>
      <w:r>
        <w:rPr>
          <w:color w:val="231F20"/>
          <w:w w:val="95"/>
          <w:sz w:val="17"/>
        </w:rPr>
        <w:t>analysis</w:t>
      </w:r>
      <w:r>
        <w:rPr>
          <w:color w:val="231F20"/>
          <w:spacing w:val="2"/>
          <w:sz w:val="17"/>
        </w:rPr>
        <w:t xml:space="preserve"> </w:t>
      </w:r>
      <w:r>
        <w:rPr>
          <w:color w:val="231F20"/>
          <w:spacing w:val="-5"/>
          <w:w w:val="95"/>
          <w:sz w:val="17"/>
        </w:rPr>
        <w:t>213</w:t>
      </w:r>
    </w:p>
    <w:p w14:paraId="51392962" w14:textId="77777777" w:rsidR="00AE0598" w:rsidRDefault="0069255A">
      <w:pPr>
        <w:spacing w:before="1"/>
        <w:ind w:left="110"/>
        <w:rPr>
          <w:sz w:val="17"/>
        </w:rPr>
      </w:pPr>
      <w:r>
        <w:rPr>
          <w:color w:val="231F20"/>
          <w:w w:val="95"/>
          <w:sz w:val="17"/>
        </w:rPr>
        <w:t>triathlon</w:t>
      </w:r>
      <w:r>
        <w:rPr>
          <w:color w:val="231F20"/>
          <w:spacing w:val="-1"/>
          <w:w w:val="95"/>
          <w:sz w:val="17"/>
        </w:rPr>
        <w:t xml:space="preserve"> </w:t>
      </w:r>
      <w:r>
        <w:rPr>
          <w:color w:val="231F20"/>
          <w:w w:val="95"/>
          <w:sz w:val="17"/>
        </w:rPr>
        <w:t>25,</w:t>
      </w:r>
      <w:r>
        <w:rPr>
          <w:color w:val="231F20"/>
          <w:spacing w:val="-2"/>
          <w:sz w:val="17"/>
        </w:rPr>
        <w:t xml:space="preserve"> </w:t>
      </w:r>
      <w:r>
        <w:rPr>
          <w:color w:val="231F20"/>
          <w:w w:val="95"/>
          <w:sz w:val="17"/>
        </w:rPr>
        <w:t>50,</w:t>
      </w:r>
      <w:r>
        <w:rPr>
          <w:color w:val="231F20"/>
          <w:spacing w:val="-2"/>
          <w:sz w:val="17"/>
        </w:rPr>
        <w:t xml:space="preserve"> </w:t>
      </w:r>
      <w:r>
        <w:rPr>
          <w:color w:val="231F20"/>
          <w:w w:val="95"/>
          <w:sz w:val="17"/>
        </w:rPr>
        <w:t>140,</w:t>
      </w:r>
      <w:r>
        <w:rPr>
          <w:color w:val="231F20"/>
          <w:spacing w:val="-2"/>
          <w:sz w:val="17"/>
        </w:rPr>
        <w:t xml:space="preserve"> </w:t>
      </w:r>
      <w:r>
        <w:rPr>
          <w:color w:val="231F20"/>
          <w:w w:val="95"/>
          <w:sz w:val="17"/>
        </w:rPr>
        <w:t>149,</w:t>
      </w:r>
      <w:r>
        <w:rPr>
          <w:color w:val="231F20"/>
          <w:spacing w:val="-2"/>
          <w:sz w:val="17"/>
        </w:rPr>
        <w:t xml:space="preserve"> </w:t>
      </w:r>
      <w:r>
        <w:rPr>
          <w:color w:val="231F20"/>
          <w:w w:val="95"/>
          <w:sz w:val="17"/>
        </w:rPr>
        <w:t>168–169,</w:t>
      </w:r>
      <w:r>
        <w:rPr>
          <w:color w:val="231F20"/>
          <w:spacing w:val="-2"/>
          <w:sz w:val="17"/>
        </w:rPr>
        <w:t xml:space="preserve"> </w:t>
      </w:r>
      <w:r>
        <w:rPr>
          <w:color w:val="231F20"/>
          <w:spacing w:val="-5"/>
          <w:w w:val="95"/>
          <w:sz w:val="17"/>
        </w:rPr>
        <w:t>193</w:t>
      </w:r>
    </w:p>
    <w:p w14:paraId="18F57689" w14:textId="77777777" w:rsidR="00AE0598" w:rsidRDefault="0069255A">
      <w:pPr>
        <w:spacing w:before="1"/>
        <w:ind w:left="110"/>
        <w:rPr>
          <w:sz w:val="17"/>
        </w:rPr>
      </w:pPr>
      <w:r>
        <w:rPr>
          <w:color w:val="231F20"/>
          <w:w w:val="95"/>
          <w:sz w:val="17"/>
        </w:rPr>
        <w:t>Tri-Nations</w:t>
      </w:r>
      <w:r>
        <w:rPr>
          <w:color w:val="231F20"/>
          <w:spacing w:val="32"/>
          <w:sz w:val="17"/>
        </w:rPr>
        <w:t xml:space="preserve"> </w:t>
      </w:r>
      <w:r>
        <w:rPr>
          <w:color w:val="231F20"/>
          <w:w w:val="95"/>
          <w:sz w:val="17"/>
        </w:rPr>
        <w:t>competition</w:t>
      </w:r>
      <w:r>
        <w:rPr>
          <w:color w:val="231F20"/>
          <w:spacing w:val="32"/>
          <w:sz w:val="17"/>
        </w:rPr>
        <w:t xml:space="preserve"> </w:t>
      </w:r>
      <w:r>
        <w:rPr>
          <w:color w:val="231F20"/>
          <w:spacing w:val="-5"/>
          <w:w w:val="95"/>
          <w:sz w:val="17"/>
        </w:rPr>
        <w:t>183</w:t>
      </w:r>
    </w:p>
    <w:p w14:paraId="1BD128C2" w14:textId="77777777" w:rsidR="00AE0598" w:rsidRDefault="0069255A">
      <w:pPr>
        <w:spacing w:before="1"/>
        <w:ind w:left="110"/>
        <w:rPr>
          <w:sz w:val="17"/>
        </w:rPr>
      </w:pPr>
      <w:r>
        <w:rPr>
          <w:color w:val="231F20"/>
          <w:w w:val="95"/>
          <w:sz w:val="17"/>
        </w:rPr>
        <w:t>Trollveggen</w:t>
      </w:r>
      <w:r>
        <w:rPr>
          <w:color w:val="231F20"/>
          <w:spacing w:val="17"/>
          <w:sz w:val="17"/>
        </w:rPr>
        <w:t xml:space="preserve"> </w:t>
      </w:r>
      <w:r>
        <w:rPr>
          <w:color w:val="231F20"/>
          <w:spacing w:val="-5"/>
          <w:sz w:val="17"/>
        </w:rPr>
        <w:t>27</w:t>
      </w:r>
    </w:p>
    <w:p w14:paraId="42155CCA" w14:textId="77777777" w:rsidR="00AE0598" w:rsidRDefault="0069255A">
      <w:pPr>
        <w:ind w:left="110"/>
        <w:rPr>
          <w:sz w:val="17"/>
        </w:rPr>
      </w:pPr>
      <w:r>
        <w:rPr>
          <w:color w:val="231F20"/>
          <w:w w:val="95"/>
          <w:sz w:val="17"/>
        </w:rPr>
        <w:t>Twickenham</w:t>
      </w:r>
      <w:r>
        <w:rPr>
          <w:color w:val="231F20"/>
          <w:spacing w:val="26"/>
          <w:sz w:val="17"/>
        </w:rPr>
        <w:t xml:space="preserve"> </w:t>
      </w:r>
      <w:r>
        <w:rPr>
          <w:color w:val="231F20"/>
          <w:spacing w:val="-5"/>
          <w:sz w:val="17"/>
        </w:rPr>
        <w:t>11</w:t>
      </w:r>
    </w:p>
    <w:p w14:paraId="489581B5" w14:textId="77777777" w:rsidR="00AE0598" w:rsidRDefault="0069255A">
      <w:pPr>
        <w:spacing w:before="1"/>
        <w:ind w:left="110"/>
        <w:rPr>
          <w:sz w:val="17"/>
        </w:rPr>
      </w:pPr>
      <w:r>
        <w:rPr>
          <w:color w:val="231F20"/>
          <w:w w:val="95"/>
          <w:sz w:val="17"/>
        </w:rPr>
        <w:t>typology</w:t>
      </w:r>
      <w:r>
        <w:rPr>
          <w:color w:val="231F20"/>
          <w:spacing w:val="2"/>
          <w:sz w:val="17"/>
        </w:rPr>
        <w:t xml:space="preserve"> </w:t>
      </w:r>
      <w:r>
        <w:rPr>
          <w:color w:val="231F20"/>
          <w:w w:val="95"/>
          <w:sz w:val="17"/>
        </w:rPr>
        <w:t>25,</w:t>
      </w:r>
      <w:r>
        <w:rPr>
          <w:color w:val="231F20"/>
          <w:spacing w:val="2"/>
          <w:sz w:val="17"/>
        </w:rPr>
        <w:t xml:space="preserve"> </w:t>
      </w:r>
      <w:r>
        <w:rPr>
          <w:color w:val="231F20"/>
          <w:w w:val="95"/>
          <w:sz w:val="17"/>
        </w:rPr>
        <w:t>37,</w:t>
      </w:r>
      <w:r>
        <w:rPr>
          <w:color w:val="231F20"/>
          <w:spacing w:val="2"/>
          <w:sz w:val="17"/>
        </w:rPr>
        <w:t xml:space="preserve"> </w:t>
      </w:r>
      <w:r>
        <w:rPr>
          <w:color w:val="231F20"/>
          <w:w w:val="95"/>
          <w:sz w:val="17"/>
        </w:rPr>
        <w:t>41,</w:t>
      </w:r>
      <w:r>
        <w:rPr>
          <w:color w:val="231F20"/>
          <w:spacing w:val="3"/>
          <w:sz w:val="17"/>
        </w:rPr>
        <w:t xml:space="preserve"> </w:t>
      </w:r>
      <w:r>
        <w:rPr>
          <w:color w:val="231F20"/>
          <w:w w:val="95"/>
          <w:sz w:val="17"/>
        </w:rPr>
        <w:t>118,</w:t>
      </w:r>
      <w:r>
        <w:rPr>
          <w:color w:val="231F20"/>
          <w:spacing w:val="2"/>
          <w:sz w:val="17"/>
        </w:rPr>
        <w:t xml:space="preserve"> </w:t>
      </w:r>
      <w:r>
        <w:rPr>
          <w:color w:val="231F20"/>
          <w:w w:val="95"/>
          <w:sz w:val="17"/>
        </w:rPr>
        <w:t>126,</w:t>
      </w:r>
      <w:r>
        <w:rPr>
          <w:color w:val="231F20"/>
          <w:spacing w:val="2"/>
          <w:sz w:val="17"/>
        </w:rPr>
        <w:t xml:space="preserve"> </w:t>
      </w:r>
      <w:r>
        <w:rPr>
          <w:color w:val="231F20"/>
          <w:w w:val="95"/>
          <w:sz w:val="17"/>
        </w:rPr>
        <w:t>156,</w:t>
      </w:r>
      <w:r>
        <w:rPr>
          <w:color w:val="231F20"/>
          <w:spacing w:val="3"/>
          <w:sz w:val="17"/>
        </w:rPr>
        <w:t xml:space="preserve"> </w:t>
      </w:r>
      <w:r>
        <w:rPr>
          <w:color w:val="231F20"/>
          <w:w w:val="95"/>
          <w:sz w:val="17"/>
        </w:rPr>
        <w:t>163,</w:t>
      </w:r>
      <w:r>
        <w:rPr>
          <w:color w:val="231F20"/>
          <w:spacing w:val="2"/>
          <w:sz w:val="17"/>
        </w:rPr>
        <w:t xml:space="preserve"> </w:t>
      </w:r>
      <w:r>
        <w:rPr>
          <w:color w:val="231F20"/>
          <w:spacing w:val="-4"/>
          <w:w w:val="95"/>
          <w:sz w:val="17"/>
        </w:rPr>
        <w:t>165,</w:t>
      </w:r>
    </w:p>
    <w:p w14:paraId="2A9DCBCE" w14:textId="77777777" w:rsidR="00AE0598" w:rsidRDefault="0069255A">
      <w:pPr>
        <w:spacing w:before="1"/>
        <w:ind w:left="470"/>
        <w:rPr>
          <w:sz w:val="17"/>
        </w:rPr>
      </w:pPr>
      <w:r>
        <w:rPr>
          <w:color w:val="231F20"/>
          <w:w w:val="90"/>
          <w:sz w:val="17"/>
        </w:rPr>
        <w:t>191,</w:t>
      </w:r>
      <w:r>
        <w:rPr>
          <w:color w:val="231F20"/>
          <w:spacing w:val="12"/>
          <w:sz w:val="17"/>
        </w:rPr>
        <w:t xml:space="preserve"> </w:t>
      </w:r>
      <w:r>
        <w:rPr>
          <w:color w:val="231F20"/>
          <w:spacing w:val="-5"/>
          <w:w w:val="95"/>
          <w:sz w:val="17"/>
        </w:rPr>
        <w:t>230</w:t>
      </w:r>
    </w:p>
    <w:p w14:paraId="02A06985" w14:textId="77777777" w:rsidR="00AE0598" w:rsidRDefault="00AE0598">
      <w:pPr>
        <w:rPr>
          <w:sz w:val="17"/>
        </w:rPr>
        <w:sectPr w:rsidR="00AE0598">
          <w:type w:val="continuous"/>
          <w:pgSz w:w="8850" w:h="13270"/>
          <w:pgMar w:top="1080" w:right="1060" w:bottom="280" w:left="1080" w:header="720" w:footer="720" w:gutter="0"/>
          <w:cols w:num="2" w:space="720" w:equalWidth="0">
            <w:col w:w="3201" w:space="151"/>
            <w:col w:w="3358"/>
          </w:cols>
        </w:sectPr>
      </w:pPr>
    </w:p>
    <w:p w14:paraId="5EFCB1F6" w14:textId="77777777" w:rsidR="00AE0598" w:rsidRDefault="0069255A">
      <w:pPr>
        <w:spacing w:before="87"/>
        <w:ind w:left="110" w:right="128"/>
        <w:jc w:val="right"/>
        <w:rPr>
          <w:rFonts w:ascii="Trebuchet MS"/>
          <w:sz w:val="14"/>
        </w:rPr>
      </w:pPr>
      <w:r>
        <w:rPr>
          <w:rFonts w:ascii="Trebuchet MS"/>
          <w:color w:val="231F20"/>
          <w:w w:val="105"/>
          <w:sz w:val="14"/>
        </w:rPr>
        <w:t>Index</w:t>
      </w:r>
      <w:r>
        <w:rPr>
          <w:rFonts w:ascii="Trebuchet MS"/>
          <w:color w:val="231F20"/>
          <w:spacing w:val="75"/>
          <w:w w:val="150"/>
          <w:sz w:val="14"/>
        </w:rPr>
        <w:t xml:space="preserve"> </w:t>
      </w:r>
      <w:r>
        <w:rPr>
          <w:rFonts w:ascii="Trebuchet MS"/>
          <w:color w:val="231F20"/>
          <w:spacing w:val="-5"/>
          <w:w w:val="105"/>
          <w:sz w:val="14"/>
        </w:rPr>
        <w:t>287</w:t>
      </w:r>
    </w:p>
    <w:p w14:paraId="1F440F60" w14:textId="77777777" w:rsidR="00AE0598" w:rsidRDefault="00AE0598">
      <w:pPr>
        <w:pStyle w:val="Corpodetexto"/>
        <w:rPr>
          <w:rFonts w:ascii="Trebuchet MS"/>
          <w:sz w:val="18"/>
        </w:rPr>
      </w:pPr>
    </w:p>
    <w:p w14:paraId="110E9AAA" w14:textId="77777777" w:rsidR="00AE0598" w:rsidRDefault="00AE0598">
      <w:pPr>
        <w:rPr>
          <w:rFonts w:ascii="Trebuchet MS"/>
          <w:sz w:val="18"/>
        </w:rPr>
        <w:sectPr w:rsidR="00AE0598">
          <w:pgSz w:w="8850" w:h="13270"/>
          <w:pgMar w:top="720" w:right="1060" w:bottom="280" w:left="1080" w:header="720" w:footer="720" w:gutter="0"/>
          <w:cols w:space="720"/>
        </w:sectPr>
      </w:pPr>
    </w:p>
    <w:p w14:paraId="7850157D" w14:textId="77777777" w:rsidR="00AE0598" w:rsidRDefault="0069255A">
      <w:pPr>
        <w:spacing w:before="98"/>
        <w:ind w:left="110"/>
        <w:rPr>
          <w:sz w:val="17"/>
        </w:rPr>
      </w:pPr>
      <w:r>
        <w:rPr>
          <w:color w:val="231F20"/>
          <w:w w:val="95"/>
          <w:sz w:val="17"/>
        </w:rPr>
        <w:t>ultramarathon</w:t>
      </w:r>
      <w:r>
        <w:rPr>
          <w:color w:val="231F20"/>
          <w:sz w:val="17"/>
        </w:rPr>
        <w:t xml:space="preserve"> </w:t>
      </w:r>
      <w:r>
        <w:rPr>
          <w:color w:val="231F20"/>
          <w:w w:val="95"/>
          <w:sz w:val="17"/>
        </w:rPr>
        <w:t>67,</w:t>
      </w:r>
      <w:r>
        <w:rPr>
          <w:color w:val="231F20"/>
          <w:spacing w:val="1"/>
          <w:sz w:val="17"/>
        </w:rPr>
        <w:t xml:space="preserve"> </w:t>
      </w:r>
      <w:r>
        <w:rPr>
          <w:color w:val="231F20"/>
          <w:w w:val="95"/>
          <w:sz w:val="17"/>
        </w:rPr>
        <w:t>113,</w:t>
      </w:r>
      <w:r>
        <w:rPr>
          <w:color w:val="231F20"/>
          <w:spacing w:val="1"/>
          <w:sz w:val="17"/>
        </w:rPr>
        <w:t xml:space="preserve"> </w:t>
      </w:r>
      <w:r>
        <w:rPr>
          <w:color w:val="231F20"/>
          <w:w w:val="95"/>
          <w:sz w:val="17"/>
        </w:rPr>
        <w:t>119,</w:t>
      </w:r>
      <w:r>
        <w:rPr>
          <w:color w:val="231F20"/>
          <w:spacing w:val="1"/>
          <w:sz w:val="17"/>
        </w:rPr>
        <w:t xml:space="preserve"> </w:t>
      </w:r>
      <w:r>
        <w:rPr>
          <w:color w:val="231F20"/>
          <w:spacing w:val="-5"/>
          <w:w w:val="95"/>
          <w:sz w:val="17"/>
        </w:rPr>
        <w:t>127</w:t>
      </w:r>
    </w:p>
    <w:p w14:paraId="33556348" w14:textId="77777777" w:rsidR="00AE0598" w:rsidRDefault="0069255A">
      <w:pPr>
        <w:ind w:left="110"/>
        <w:rPr>
          <w:sz w:val="17"/>
        </w:rPr>
      </w:pPr>
      <w:r>
        <w:rPr>
          <w:color w:val="231F20"/>
          <w:sz w:val="17"/>
        </w:rPr>
        <w:t>UN</w:t>
      </w:r>
      <w:r>
        <w:rPr>
          <w:color w:val="231F20"/>
          <w:spacing w:val="-10"/>
          <w:sz w:val="17"/>
        </w:rPr>
        <w:t xml:space="preserve"> </w:t>
      </w:r>
      <w:r>
        <w:rPr>
          <w:color w:val="231F20"/>
          <w:sz w:val="17"/>
        </w:rPr>
        <w:t>Sustainable</w:t>
      </w:r>
      <w:r>
        <w:rPr>
          <w:color w:val="231F20"/>
          <w:spacing w:val="-9"/>
          <w:sz w:val="17"/>
        </w:rPr>
        <w:t xml:space="preserve"> </w:t>
      </w:r>
      <w:r>
        <w:rPr>
          <w:color w:val="231F20"/>
          <w:sz w:val="17"/>
        </w:rPr>
        <w:t>Development</w:t>
      </w:r>
      <w:r>
        <w:rPr>
          <w:color w:val="231F20"/>
          <w:spacing w:val="-10"/>
          <w:sz w:val="17"/>
        </w:rPr>
        <w:t xml:space="preserve"> </w:t>
      </w:r>
      <w:r>
        <w:rPr>
          <w:color w:val="231F20"/>
          <w:sz w:val="17"/>
        </w:rPr>
        <w:t>Goals</w:t>
      </w:r>
      <w:r>
        <w:rPr>
          <w:color w:val="231F20"/>
          <w:spacing w:val="-9"/>
          <w:sz w:val="17"/>
        </w:rPr>
        <w:t xml:space="preserve"> </w:t>
      </w:r>
      <w:r>
        <w:rPr>
          <w:color w:val="231F20"/>
          <w:sz w:val="17"/>
        </w:rPr>
        <w:t>69</w:t>
      </w:r>
      <w:r>
        <w:rPr>
          <w:color w:val="231F20"/>
          <w:spacing w:val="40"/>
          <w:sz w:val="17"/>
        </w:rPr>
        <w:t xml:space="preserve"> </w:t>
      </w:r>
      <w:r>
        <w:rPr>
          <w:color w:val="231F20"/>
          <w:sz w:val="17"/>
        </w:rPr>
        <w:t>United Nations 22, 67, 227, 236</w:t>
      </w:r>
    </w:p>
    <w:p w14:paraId="6DCE9932" w14:textId="77777777" w:rsidR="00AE0598" w:rsidRDefault="0069255A">
      <w:pPr>
        <w:spacing w:before="2"/>
        <w:ind w:left="470" w:hanging="360"/>
        <w:rPr>
          <w:sz w:val="17"/>
        </w:rPr>
      </w:pPr>
      <w:r>
        <w:rPr>
          <w:color w:val="231F20"/>
          <w:sz w:val="17"/>
        </w:rPr>
        <w:t>United Nations World Tourism</w:t>
      </w:r>
      <w:r>
        <w:rPr>
          <w:color w:val="231F20"/>
          <w:spacing w:val="40"/>
          <w:sz w:val="17"/>
        </w:rPr>
        <w:t xml:space="preserve"> </w:t>
      </w:r>
      <w:r>
        <w:rPr>
          <w:color w:val="231F20"/>
          <w:sz w:val="17"/>
        </w:rPr>
        <w:t>Organisation (UNWTO) 43351</w:t>
      </w:r>
    </w:p>
    <w:p w14:paraId="29D7FD6A" w14:textId="77777777" w:rsidR="00AE0598" w:rsidRDefault="0069255A">
      <w:pPr>
        <w:spacing w:before="1"/>
        <w:ind w:left="110"/>
        <w:rPr>
          <w:sz w:val="17"/>
        </w:rPr>
      </w:pPr>
      <w:r>
        <w:rPr>
          <w:color w:val="231F20"/>
          <w:w w:val="95"/>
          <w:sz w:val="17"/>
        </w:rPr>
        <w:t>United</w:t>
      </w:r>
      <w:r>
        <w:rPr>
          <w:color w:val="231F20"/>
          <w:spacing w:val="1"/>
          <w:sz w:val="17"/>
        </w:rPr>
        <w:t xml:space="preserve"> </w:t>
      </w:r>
      <w:r>
        <w:rPr>
          <w:color w:val="231F20"/>
          <w:w w:val="95"/>
          <w:sz w:val="17"/>
        </w:rPr>
        <w:t>States</w:t>
      </w:r>
      <w:r>
        <w:rPr>
          <w:color w:val="231F20"/>
          <w:spacing w:val="2"/>
          <w:sz w:val="17"/>
        </w:rPr>
        <w:t xml:space="preserve"> </w:t>
      </w:r>
      <w:r>
        <w:rPr>
          <w:color w:val="231F20"/>
          <w:w w:val="95"/>
          <w:sz w:val="17"/>
        </w:rPr>
        <w:t>27,</w:t>
      </w:r>
      <w:r>
        <w:rPr>
          <w:color w:val="231F20"/>
          <w:spacing w:val="1"/>
          <w:sz w:val="17"/>
        </w:rPr>
        <w:t xml:space="preserve"> </w:t>
      </w:r>
      <w:r>
        <w:rPr>
          <w:color w:val="231F20"/>
          <w:w w:val="95"/>
          <w:sz w:val="17"/>
        </w:rPr>
        <w:t>52–53,</w:t>
      </w:r>
      <w:r>
        <w:rPr>
          <w:color w:val="231F20"/>
          <w:spacing w:val="2"/>
          <w:sz w:val="17"/>
        </w:rPr>
        <w:t xml:space="preserve"> </w:t>
      </w:r>
      <w:r>
        <w:rPr>
          <w:color w:val="231F20"/>
          <w:w w:val="95"/>
          <w:sz w:val="17"/>
        </w:rPr>
        <w:t>56,</w:t>
      </w:r>
      <w:r>
        <w:rPr>
          <w:color w:val="231F20"/>
          <w:spacing w:val="2"/>
          <w:sz w:val="17"/>
        </w:rPr>
        <w:t xml:space="preserve"> </w:t>
      </w:r>
      <w:r>
        <w:rPr>
          <w:color w:val="231F20"/>
          <w:w w:val="95"/>
          <w:sz w:val="17"/>
        </w:rPr>
        <w:t>81,</w:t>
      </w:r>
      <w:r>
        <w:rPr>
          <w:color w:val="231F20"/>
          <w:spacing w:val="1"/>
          <w:sz w:val="17"/>
        </w:rPr>
        <w:t xml:space="preserve"> </w:t>
      </w:r>
      <w:r>
        <w:rPr>
          <w:color w:val="231F20"/>
          <w:w w:val="95"/>
          <w:sz w:val="17"/>
        </w:rPr>
        <w:t>106,</w:t>
      </w:r>
      <w:r>
        <w:rPr>
          <w:color w:val="231F20"/>
          <w:spacing w:val="2"/>
          <w:sz w:val="17"/>
        </w:rPr>
        <w:t xml:space="preserve"> </w:t>
      </w:r>
      <w:r>
        <w:rPr>
          <w:color w:val="231F20"/>
          <w:spacing w:val="-4"/>
          <w:w w:val="95"/>
          <w:sz w:val="17"/>
        </w:rPr>
        <w:t>124,</w:t>
      </w:r>
    </w:p>
    <w:p w14:paraId="5E2194DC" w14:textId="77777777" w:rsidR="00AE0598" w:rsidRDefault="0069255A">
      <w:pPr>
        <w:spacing w:before="1"/>
        <w:ind w:left="470"/>
        <w:rPr>
          <w:sz w:val="17"/>
        </w:rPr>
      </w:pPr>
      <w:r>
        <w:rPr>
          <w:color w:val="231F20"/>
          <w:w w:val="90"/>
          <w:sz w:val="17"/>
        </w:rPr>
        <w:t>129,</w:t>
      </w:r>
      <w:r>
        <w:rPr>
          <w:color w:val="231F20"/>
          <w:spacing w:val="12"/>
          <w:sz w:val="17"/>
        </w:rPr>
        <w:t xml:space="preserve"> </w:t>
      </w:r>
      <w:r>
        <w:rPr>
          <w:color w:val="231F20"/>
          <w:w w:val="90"/>
          <w:sz w:val="17"/>
        </w:rPr>
        <w:t>134,</w:t>
      </w:r>
      <w:r>
        <w:rPr>
          <w:color w:val="231F20"/>
          <w:spacing w:val="12"/>
          <w:sz w:val="17"/>
        </w:rPr>
        <w:t xml:space="preserve"> </w:t>
      </w:r>
      <w:r>
        <w:rPr>
          <w:color w:val="231F20"/>
          <w:w w:val="90"/>
          <w:sz w:val="17"/>
        </w:rPr>
        <w:t>143,</w:t>
      </w:r>
      <w:r>
        <w:rPr>
          <w:color w:val="231F20"/>
          <w:spacing w:val="13"/>
          <w:sz w:val="17"/>
        </w:rPr>
        <w:t xml:space="preserve"> </w:t>
      </w:r>
      <w:r>
        <w:rPr>
          <w:color w:val="231F20"/>
          <w:w w:val="90"/>
          <w:sz w:val="17"/>
        </w:rPr>
        <w:t>164,</w:t>
      </w:r>
      <w:r>
        <w:rPr>
          <w:color w:val="231F20"/>
          <w:spacing w:val="12"/>
          <w:sz w:val="17"/>
        </w:rPr>
        <w:t xml:space="preserve"> </w:t>
      </w:r>
      <w:r>
        <w:rPr>
          <w:color w:val="231F20"/>
          <w:w w:val="90"/>
          <w:sz w:val="17"/>
        </w:rPr>
        <w:t>189,</w:t>
      </w:r>
      <w:r>
        <w:rPr>
          <w:color w:val="231F20"/>
          <w:spacing w:val="13"/>
          <w:sz w:val="17"/>
        </w:rPr>
        <w:t xml:space="preserve"> </w:t>
      </w:r>
      <w:r>
        <w:rPr>
          <w:color w:val="231F20"/>
          <w:w w:val="90"/>
          <w:sz w:val="17"/>
        </w:rPr>
        <w:t>210,</w:t>
      </w:r>
      <w:r>
        <w:rPr>
          <w:color w:val="231F20"/>
          <w:spacing w:val="12"/>
          <w:sz w:val="17"/>
        </w:rPr>
        <w:t xml:space="preserve"> </w:t>
      </w:r>
      <w:r>
        <w:rPr>
          <w:color w:val="231F20"/>
          <w:w w:val="90"/>
          <w:sz w:val="17"/>
        </w:rPr>
        <w:t>212,</w:t>
      </w:r>
      <w:r>
        <w:rPr>
          <w:color w:val="231F20"/>
          <w:spacing w:val="13"/>
          <w:sz w:val="17"/>
        </w:rPr>
        <w:t xml:space="preserve"> </w:t>
      </w:r>
      <w:r>
        <w:rPr>
          <w:color w:val="231F20"/>
          <w:spacing w:val="-5"/>
          <w:w w:val="90"/>
          <w:sz w:val="17"/>
        </w:rPr>
        <w:t>217</w:t>
      </w:r>
    </w:p>
    <w:p w14:paraId="4958B575" w14:textId="77777777" w:rsidR="00AE0598" w:rsidRDefault="0069255A">
      <w:pPr>
        <w:ind w:left="110"/>
        <w:rPr>
          <w:sz w:val="17"/>
        </w:rPr>
      </w:pPr>
      <w:r>
        <w:rPr>
          <w:color w:val="231F20"/>
          <w:w w:val="95"/>
          <w:sz w:val="17"/>
        </w:rPr>
        <w:t>urban</w:t>
      </w:r>
      <w:r>
        <w:rPr>
          <w:color w:val="231F20"/>
          <w:spacing w:val="1"/>
          <w:sz w:val="17"/>
        </w:rPr>
        <w:t xml:space="preserve"> </w:t>
      </w:r>
      <w:r>
        <w:rPr>
          <w:color w:val="231F20"/>
          <w:w w:val="95"/>
          <w:sz w:val="17"/>
        </w:rPr>
        <w:t>development</w:t>
      </w:r>
      <w:r>
        <w:rPr>
          <w:color w:val="231F20"/>
          <w:spacing w:val="1"/>
          <w:sz w:val="17"/>
        </w:rPr>
        <w:t xml:space="preserve"> </w:t>
      </w:r>
      <w:r>
        <w:rPr>
          <w:color w:val="231F20"/>
          <w:spacing w:val="-5"/>
          <w:w w:val="95"/>
          <w:sz w:val="17"/>
        </w:rPr>
        <w:t>76</w:t>
      </w:r>
    </w:p>
    <w:p w14:paraId="6B3614CE" w14:textId="77777777" w:rsidR="00AE0598" w:rsidRDefault="0069255A">
      <w:pPr>
        <w:spacing w:before="1"/>
        <w:ind w:left="110"/>
        <w:rPr>
          <w:sz w:val="17"/>
        </w:rPr>
      </w:pPr>
      <w:r>
        <w:rPr>
          <w:color w:val="231F20"/>
          <w:w w:val="95"/>
          <w:sz w:val="17"/>
        </w:rPr>
        <w:t>urban</w:t>
      </w:r>
      <w:r>
        <w:rPr>
          <w:color w:val="231F20"/>
          <w:spacing w:val="1"/>
          <w:sz w:val="17"/>
        </w:rPr>
        <w:t xml:space="preserve"> </w:t>
      </w:r>
      <w:r>
        <w:rPr>
          <w:color w:val="231F20"/>
          <w:w w:val="95"/>
          <w:sz w:val="17"/>
        </w:rPr>
        <w:t>regeneration</w:t>
      </w:r>
      <w:r>
        <w:rPr>
          <w:color w:val="231F20"/>
          <w:spacing w:val="1"/>
          <w:sz w:val="17"/>
        </w:rPr>
        <w:t xml:space="preserve"> </w:t>
      </w:r>
      <w:r>
        <w:rPr>
          <w:color w:val="231F20"/>
          <w:w w:val="95"/>
          <w:sz w:val="17"/>
        </w:rPr>
        <w:t>6,</w:t>
      </w:r>
      <w:r>
        <w:rPr>
          <w:color w:val="231F20"/>
          <w:spacing w:val="1"/>
          <w:sz w:val="17"/>
        </w:rPr>
        <w:t xml:space="preserve"> </w:t>
      </w:r>
      <w:r>
        <w:rPr>
          <w:color w:val="231F20"/>
          <w:w w:val="95"/>
          <w:sz w:val="17"/>
        </w:rPr>
        <w:t>76,</w:t>
      </w:r>
      <w:r>
        <w:rPr>
          <w:color w:val="231F20"/>
          <w:spacing w:val="1"/>
          <w:sz w:val="17"/>
        </w:rPr>
        <w:t xml:space="preserve"> </w:t>
      </w:r>
      <w:r>
        <w:rPr>
          <w:color w:val="231F20"/>
          <w:w w:val="95"/>
          <w:sz w:val="17"/>
        </w:rPr>
        <w:t>101,</w:t>
      </w:r>
      <w:r>
        <w:rPr>
          <w:color w:val="231F20"/>
          <w:spacing w:val="2"/>
          <w:sz w:val="17"/>
        </w:rPr>
        <w:t xml:space="preserve"> </w:t>
      </w:r>
      <w:r>
        <w:rPr>
          <w:color w:val="231F20"/>
          <w:spacing w:val="-5"/>
          <w:w w:val="95"/>
          <w:sz w:val="17"/>
        </w:rPr>
        <w:t>152</w:t>
      </w:r>
    </w:p>
    <w:p w14:paraId="14C911BC" w14:textId="77777777" w:rsidR="00AE0598" w:rsidRDefault="0069255A">
      <w:pPr>
        <w:spacing w:before="1"/>
        <w:ind w:left="110"/>
        <w:rPr>
          <w:sz w:val="17"/>
        </w:rPr>
      </w:pPr>
      <w:r>
        <w:rPr>
          <w:color w:val="231F20"/>
          <w:w w:val="95"/>
          <w:sz w:val="17"/>
        </w:rPr>
        <w:t>urban</w:t>
      </w:r>
      <w:r>
        <w:rPr>
          <w:color w:val="231F20"/>
          <w:spacing w:val="16"/>
          <w:sz w:val="17"/>
        </w:rPr>
        <w:t xml:space="preserve"> </w:t>
      </w:r>
      <w:r>
        <w:rPr>
          <w:color w:val="231F20"/>
          <w:w w:val="95"/>
          <w:sz w:val="17"/>
        </w:rPr>
        <w:t>transformation</w:t>
      </w:r>
      <w:r>
        <w:rPr>
          <w:color w:val="231F20"/>
          <w:spacing w:val="16"/>
          <w:sz w:val="17"/>
        </w:rPr>
        <w:t xml:space="preserve"> </w:t>
      </w:r>
      <w:r>
        <w:rPr>
          <w:color w:val="231F20"/>
          <w:spacing w:val="-2"/>
          <w:w w:val="95"/>
          <w:sz w:val="17"/>
        </w:rPr>
        <w:t>102–104</w:t>
      </w:r>
    </w:p>
    <w:p w14:paraId="00BA062F" w14:textId="77777777" w:rsidR="00AE0598" w:rsidRDefault="00AE0598">
      <w:pPr>
        <w:pStyle w:val="Corpodetexto"/>
        <w:spacing w:before="3"/>
        <w:rPr>
          <w:sz w:val="16"/>
        </w:rPr>
      </w:pPr>
    </w:p>
    <w:p w14:paraId="7B8BE4FB" w14:textId="77777777" w:rsidR="00AE0598" w:rsidRDefault="0069255A">
      <w:pPr>
        <w:ind w:left="110"/>
        <w:rPr>
          <w:sz w:val="17"/>
        </w:rPr>
      </w:pPr>
      <w:r>
        <w:rPr>
          <w:color w:val="231F20"/>
          <w:w w:val="95"/>
          <w:sz w:val="17"/>
        </w:rPr>
        <w:t>values</w:t>
      </w:r>
      <w:r>
        <w:rPr>
          <w:color w:val="231F20"/>
          <w:spacing w:val="2"/>
          <w:sz w:val="17"/>
        </w:rPr>
        <w:t xml:space="preserve"> </w:t>
      </w:r>
      <w:r>
        <w:rPr>
          <w:color w:val="231F20"/>
          <w:w w:val="95"/>
          <w:sz w:val="17"/>
        </w:rPr>
        <w:t>and</w:t>
      </w:r>
      <w:r>
        <w:rPr>
          <w:color w:val="231F20"/>
          <w:spacing w:val="2"/>
          <w:sz w:val="17"/>
        </w:rPr>
        <w:t xml:space="preserve"> </w:t>
      </w:r>
      <w:r>
        <w:rPr>
          <w:color w:val="231F20"/>
          <w:w w:val="95"/>
          <w:sz w:val="17"/>
        </w:rPr>
        <w:t>beliefs</w:t>
      </w:r>
      <w:r>
        <w:rPr>
          <w:color w:val="231F20"/>
          <w:spacing w:val="3"/>
          <w:sz w:val="17"/>
        </w:rPr>
        <w:t xml:space="preserve"> </w:t>
      </w:r>
      <w:r>
        <w:rPr>
          <w:color w:val="231F20"/>
          <w:w w:val="95"/>
          <w:sz w:val="17"/>
        </w:rPr>
        <w:t>164,</w:t>
      </w:r>
      <w:r>
        <w:rPr>
          <w:color w:val="231F20"/>
          <w:spacing w:val="2"/>
          <w:sz w:val="17"/>
        </w:rPr>
        <w:t xml:space="preserve"> </w:t>
      </w:r>
      <w:r>
        <w:rPr>
          <w:color w:val="231F20"/>
          <w:spacing w:val="-5"/>
          <w:w w:val="95"/>
          <w:sz w:val="17"/>
        </w:rPr>
        <w:t>173</w:t>
      </w:r>
    </w:p>
    <w:p w14:paraId="40DC5BF5" w14:textId="77777777" w:rsidR="00AE0598" w:rsidRDefault="0069255A">
      <w:pPr>
        <w:spacing w:before="1"/>
        <w:ind w:left="110"/>
        <w:rPr>
          <w:sz w:val="17"/>
        </w:rPr>
      </w:pPr>
      <w:r>
        <w:rPr>
          <w:color w:val="231F20"/>
          <w:w w:val="95"/>
          <w:sz w:val="17"/>
        </w:rPr>
        <w:t>Vancouver</w:t>
      </w:r>
      <w:r>
        <w:rPr>
          <w:color w:val="231F20"/>
          <w:spacing w:val="-1"/>
          <w:sz w:val="17"/>
        </w:rPr>
        <w:t xml:space="preserve"> </w:t>
      </w:r>
      <w:r>
        <w:rPr>
          <w:color w:val="231F20"/>
          <w:w w:val="95"/>
          <w:sz w:val="17"/>
        </w:rPr>
        <w:t>139,</w:t>
      </w:r>
      <w:r>
        <w:rPr>
          <w:color w:val="231F20"/>
          <w:spacing w:val="-1"/>
          <w:sz w:val="17"/>
        </w:rPr>
        <w:t xml:space="preserve"> </w:t>
      </w:r>
      <w:r>
        <w:rPr>
          <w:color w:val="231F20"/>
          <w:w w:val="95"/>
          <w:sz w:val="17"/>
        </w:rPr>
        <w:t>164–165,</w:t>
      </w:r>
      <w:r>
        <w:rPr>
          <w:color w:val="231F20"/>
          <w:spacing w:val="-1"/>
          <w:sz w:val="17"/>
        </w:rPr>
        <w:t xml:space="preserve"> </w:t>
      </w:r>
      <w:r>
        <w:rPr>
          <w:color w:val="231F20"/>
          <w:w w:val="95"/>
          <w:sz w:val="17"/>
        </w:rPr>
        <w:t>190,</w:t>
      </w:r>
      <w:r>
        <w:rPr>
          <w:color w:val="231F20"/>
          <w:spacing w:val="-1"/>
          <w:sz w:val="17"/>
        </w:rPr>
        <w:t xml:space="preserve"> </w:t>
      </w:r>
      <w:r>
        <w:rPr>
          <w:color w:val="231F20"/>
          <w:spacing w:val="-5"/>
          <w:w w:val="95"/>
          <w:sz w:val="17"/>
        </w:rPr>
        <w:t>193</w:t>
      </w:r>
    </w:p>
    <w:p w14:paraId="60C0A53C" w14:textId="77777777" w:rsidR="00AE0598" w:rsidRDefault="0069255A">
      <w:pPr>
        <w:ind w:left="110"/>
        <w:rPr>
          <w:sz w:val="17"/>
        </w:rPr>
      </w:pPr>
      <w:r>
        <w:rPr>
          <w:color w:val="231F20"/>
          <w:w w:val="95"/>
          <w:sz w:val="17"/>
        </w:rPr>
        <w:t>virtual</w:t>
      </w:r>
      <w:r>
        <w:rPr>
          <w:color w:val="231F20"/>
          <w:spacing w:val="8"/>
          <w:sz w:val="17"/>
        </w:rPr>
        <w:t xml:space="preserve"> </w:t>
      </w:r>
      <w:r>
        <w:rPr>
          <w:color w:val="231F20"/>
          <w:w w:val="95"/>
          <w:sz w:val="17"/>
        </w:rPr>
        <w:t>reality</w:t>
      </w:r>
      <w:r>
        <w:rPr>
          <w:color w:val="231F20"/>
          <w:spacing w:val="8"/>
          <w:sz w:val="17"/>
        </w:rPr>
        <w:t xml:space="preserve"> </w:t>
      </w:r>
      <w:r>
        <w:rPr>
          <w:color w:val="231F20"/>
          <w:w w:val="95"/>
          <w:sz w:val="17"/>
        </w:rPr>
        <w:t>10,</w:t>
      </w:r>
      <w:r>
        <w:rPr>
          <w:color w:val="231F20"/>
          <w:spacing w:val="8"/>
          <w:sz w:val="17"/>
        </w:rPr>
        <w:t xml:space="preserve"> </w:t>
      </w:r>
      <w:r>
        <w:rPr>
          <w:color w:val="231F20"/>
          <w:w w:val="95"/>
          <w:sz w:val="17"/>
        </w:rPr>
        <w:t>90,</w:t>
      </w:r>
      <w:r>
        <w:rPr>
          <w:color w:val="231F20"/>
          <w:spacing w:val="9"/>
          <w:sz w:val="17"/>
        </w:rPr>
        <w:t xml:space="preserve"> </w:t>
      </w:r>
      <w:r>
        <w:rPr>
          <w:color w:val="231F20"/>
          <w:w w:val="95"/>
          <w:sz w:val="17"/>
        </w:rPr>
        <w:t>178,</w:t>
      </w:r>
      <w:r>
        <w:rPr>
          <w:color w:val="231F20"/>
          <w:spacing w:val="8"/>
          <w:sz w:val="17"/>
        </w:rPr>
        <w:t xml:space="preserve"> </w:t>
      </w:r>
      <w:r>
        <w:rPr>
          <w:color w:val="231F20"/>
          <w:spacing w:val="-5"/>
          <w:w w:val="95"/>
          <w:sz w:val="17"/>
        </w:rPr>
        <w:t>220</w:t>
      </w:r>
    </w:p>
    <w:p w14:paraId="598FE9D4" w14:textId="77777777" w:rsidR="00AE0598" w:rsidRDefault="0069255A">
      <w:pPr>
        <w:spacing w:before="1"/>
        <w:ind w:left="110"/>
        <w:rPr>
          <w:sz w:val="17"/>
        </w:rPr>
      </w:pPr>
      <w:r>
        <w:rPr>
          <w:color w:val="231F20"/>
          <w:w w:val="95"/>
          <w:sz w:val="17"/>
        </w:rPr>
        <w:t>visitor</w:t>
      </w:r>
      <w:r>
        <w:rPr>
          <w:color w:val="231F20"/>
          <w:spacing w:val="6"/>
          <w:sz w:val="17"/>
        </w:rPr>
        <w:t xml:space="preserve"> </w:t>
      </w:r>
      <w:r>
        <w:rPr>
          <w:color w:val="231F20"/>
          <w:w w:val="95"/>
          <w:sz w:val="17"/>
        </w:rPr>
        <w:t>demand</w:t>
      </w:r>
      <w:r>
        <w:rPr>
          <w:color w:val="231F20"/>
          <w:spacing w:val="6"/>
          <w:sz w:val="17"/>
        </w:rPr>
        <w:t xml:space="preserve"> </w:t>
      </w:r>
      <w:r>
        <w:rPr>
          <w:color w:val="231F20"/>
          <w:w w:val="95"/>
          <w:sz w:val="17"/>
        </w:rPr>
        <w:t>40,</w:t>
      </w:r>
      <w:r>
        <w:rPr>
          <w:color w:val="231F20"/>
          <w:spacing w:val="6"/>
          <w:sz w:val="17"/>
        </w:rPr>
        <w:t xml:space="preserve"> </w:t>
      </w:r>
      <w:r>
        <w:rPr>
          <w:color w:val="231F20"/>
          <w:spacing w:val="-5"/>
          <w:w w:val="95"/>
          <w:sz w:val="17"/>
        </w:rPr>
        <w:t>132</w:t>
      </w:r>
    </w:p>
    <w:p w14:paraId="010A4D99" w14:textId="77777777" w:rsidR="00AE0598" w:rsidRDefault="0069255A">
      <w:pPr>
        <w:spacing w:before="1"/>
        <w:ind w:left="110"/>
        <w:rPr>
          <w:sz w:val="17"/>
        </w:rPr>
      </w:pPr>
      <w:r>
        <w:rPr>
          <w:color w:val="231F20"/>
          <w:w w:val="90"/>
          <w:sz w:val="17"/>
        </w:rPr>
        <w:t>visitor</w:t>
      </w:r>
      <w:r>
        <w:rPr>
          <w:color w:val="231F20"/>
          <w:spacing w:val="8"/>
          <w:sz w:val="17"/>
        </w:rPr>
        <w:t xml:space="preserve"> </w:t>
      </w:r>
      <w:r>
        <w:rPr>
          <w:color w:val="231F20"/>
          <w:w w:val="90"/>
          <w:sz w:val="17"/>
        </w:rPr>
        <w:t>experience</w:t>
      </w:r>
      <w:r>
        <w:rPr>
          <w:color w:val="231F20"/>
          <w:spacing w:val="9"/>
          <w:sz w:val="17"/>
        </w:rPr>
        <w:t xml:space="preserve"> </w:t>
      </w:r>
      <w:r>
        <w:rPr>
          <w:color w:val="231F20"/>
          <w:w w:val="90"/>
          <w:sz w:val="17"/>
        </w:rPr>
        <w:t>11,</w:t>
      </w:r>
      <w:r>
        <w:rPr>
          <w:color w:val="231F20"/>
          <w:spacing w:val="9"/>
          <w:sz w:val="17"/>
        </w:rPr>
        <w:t xml:space="preserve"> </w:t>
      </w:r>
      <w:r>
        <w:rPr>
          <w:color w:val="231F20"/>
          <w:w w:val="90"/>
          <w:sz w:val="17"/>
        </w:rPr>
        <w:t>12,</w:t>
      </w:r>
      <w:r>
        <w:rPr>
          <w:color w:val="231F20"/>
          <w:spacing w:val="8"/>
          <w:sz w:val="17"/>
        </w:rPr>
        <w:t xml:space="preserve"> </w:t>
      </w:r>
      <w:r>
        <w:rPr>
          <w:color w:val="231F20"/>
          <w:w w:val="90"/>
          <w:sz w:val="17"/>
        </w:rPr>
        <w:t>39,</w:t>
      </w:r>
      <w:r>
        <w:rPr>
          <w:color w:val="231F20"/>
          <w:spacing w:val="9"/>
          <w:sz w:val="17"/>
        </w:rPr>
        <w:t xml:space="preserve"> </w:t>
      </w:r>
      <w:r>
        <w:rPr>
          <w:color w:val="231F20"/>
          <w:w w:val="90"/>
          <w:sz w:val="17"/>
        </w:rPr>
        <w:t>58–59,</w:t>
      </w:r>
      <w:r>
        <w:rPr>
          <w:color w:val="231F20"/>
          <w:spacing w:val="9"/>
          <w:sz w:val="17"/>
        </w:rPr>
        <w:t xml:space="preserve"> </w:t>
      </w:r>
      <w:r>
        <w:rPr>
          <w:color w:val="231F20"/>
          <w:w w:val="90"/>
          <w:sz w:val="17"/>
        </w:rPr>
        <w:t>100,</w:t>
      </w:r>
      <w:r>
        <w:rPr>
          <w:color w:val="231F20"/>
          <w:spacing w:val="8"/>
          <w:sz w:val="17"/>
        </w:rPr>
        <w:t xml:space="preserve"> </w:t>
      </w:r>
      <w:r>
        <w:rPr>
          <w:color w:val="231F20"/>
          <w:spacing w:val="-4"/>
          <w:w w:val="90"/>
          <w:sz w:val="17"/>
        </w:rPr>
        <w:t>145,</w:t>
      </w:r>
    </w:p>
    <w:p w14:paraId="034FA96C" w14:textId="77777777" w:rsidR="00AE0598" w:rsidRDefault="0069255A">
      <w:pPr>
        <w:spacing w:before="1"/>
        <w:ind w:left="470"/>
        <w:rPr>
          <w:sz w:val="17"/>
        </w:rPr>
      </w:pPr>
      <w:r>
        <w:rPr>
          <w:color w:val="231F20"/>
          <w:w w:val="90"/>
          <w:sz w:val="17"/>
        </w:rPr>
        <w:t>150,</w:t>
      </w:r>
      <w:r>
        <w:rPr>
          <w:color w:val="231F20"/>
          <w:sz w:val="17"/>
        </w:rPr>
        <w:t xml:space="preserve"> </w:t>
      </w:r>
      <w:r>
        <w:rPr>
          <w:color w:val="231F20"/>
          <w:w w:val="90"/>
          <w:sz w:val="17"/>
        </w:rPr>
        <w:t>155–159,</w:t>
      </w:r>
      <w:r>
        <w:rPr>
          <w:color w:val="231F20"/>
          <w:sz w:val="17"/>
        </w:rPr>
        <w:t xml:space="preserve"> </w:t>
      </w:r>
      <w:r>
        <w:rPr>
          <w:color w:val="231F20"/>
          <w:w w:val="90"/>
          <w:sz w:val="17"/>
        </w:rPr>
        <w:t>162–163,</w:t>
      </w:r>
      <w:r>
        <w:rPr>
          <w:color w:val="231F20"/>
          <w:sz w:val="17"/>
        </w:rPr>
        <w:t xml:space="preserve"> </w:t>
      </w:r>
      <w:r>
        <w:rPr>
          <w:color w:val="231F20"/>
          <w:w w:val="90"/>
          <w:sz w:val="17"/>
        </w:rPr>
        <w:t>173–178,</w:t>
      </w:r>
      <w:r>
        <w:rPr>
          <w:color w:val="231F20"/>
          <w:sz w:val="17"/>
        </w:rPr>
        <w:t xml:space="preserve"> </w:t>
      </w:r>
      <w:r>
        <w:rPr>
          <w:color w:val="231F20"/>
          <w:spacing w:val="-5"/>
          <w:w w:val="90"/>
          <w:sz w:val="17"/>
        </w:rPr>
        <w:t>235</w:t>
      </w:r>
    </w:p>
    <w:p w14:paraId="2223489D" w14:textId="77777777" w:rsidR="00AE0598" w:rsidRDefault="0069255A">
      <w:pPr>
        <w:ind w:left="110"/>
        <w:rPr>
          <w:sz w:val="17"/>
        </w:rPr>
      </w:pPr>
      <w:r>
        <w:rPr>
          <w:color w:val="231F20"/>
          <w:w w:val="95"/>
          <w:sz w:val="17"/>
        </w:rPr>
        <w:t>visitor</w:t>
      </w:r>
      <w:r>
        <w:rPr>
          <w:color w:val="231F20"/>
          <w:spacing w:val="6"/>
          <w:sz w:val="17"/>
        </w:rPr>
        <w:t xml:space="preserve"> </w:t>
      </w:r>
      <w:r>
        <w:rPr>
          <w:color w:val="231F20"/>
          <w:w w:val="95"/>
          <w:sz w:val="17"/>
        </w:rPr>
        <w:t>market</w:t>
      </w:r>
      <w:r>
        <w:rPr>
          <w:color w:val="231F20"/>
          <w:spacing w:val="7"/>
          <w:sz w:val="17"/>
        </w:rPr>
        <w:t xml:space="preserve"> </w:t>
      </w:r>
      <w:r>
        <w:rPr>
          <w:color w:val="231F20"/>
          <w:w w:val="95"/>
          <w:sz w:val="17"/>
        </w:rPr>
        <w:t>8,</w:t>
      </w:r>
      <w:r>
        <w:rPr>
          <w:color w:val="231F20"/>
          <w:spacing w:val="7"/>
          <w:sz w:val="17"/>
        </w:rPr>
        <w:t xml:space="preserve"> </w:t>
      </w:r>
      <w:r>
        <w:rPr>
          <w:color w:val="231F20"/>
          <w:w w:val="95"/>
          <w:sz w:val="17"/>
        </w:rPr>
        <w:t>38,</w:t>
      </w:r>
      <w:r>
        <w:rPr>
          <w:color w:val="231F20"/>
          <w:spacing w:val="7"/>
          <w:sz w:val="17"/>
        </w:rPr>
        <w:t xml:space="preserve"> </w:t>
      </w:r>
      <w:r>
        <w:rPr>
          <w:color w:val="231F20"/>
          <w:spacing w:val="-5"/>
          <w:w w:val="95"/>
          <w:sz w:val="17"/>
        </w:rPr>
        <w:t>111</w:t>
      </w:r>
    </w:p>
    <w:p w14:paraId="3EA56CBD" w14:textId="77777777" w:rsidR="00AE0598" w:rsidRDefault="0069255A">
      <w:pPr>
        <w:spacing w:before="98"/>
        <w:ind w:left="110"/>
        <w:rPr>
          <w:sz w:val="17"/>
        </w:rPr>
      </w:pPr>
      <w:r>
        <w:br w:type="column"/>
      </w:r>
      <w:r>
        <w:rPr>
          <w:color w:val="231F20"/>
          <w:w w:val="95"/>
          <w:sz w:val="17"/>
        </w:rPr>
        <w:t>Wellington</w:t>
      </w:r>
      <w:r>
        <w:rPr>
          <w:color w:val="231F20"/>
          <w:spacing w:val="14"/>
          <w:sz w:val="17"/>
        </w:rPr>
        <w:t xml:space="preserve"> </w:t>
      </w:r>
      <w:r>
        <w:rPr>
          <w:color w:val="231F20"/>
          <w:w w:val="95"/>
          <w:sz w:val="17"/>
        </w:rPr>
        <w:t>52,</w:t>
      </w:r>
      <w:r>
        <w:rPr>
          <w:color w:val="231F20"/>
          <w:spacing w:val="14"/>
          <w:sz w:val="17"/>
        </w:rPr>
        <w:t xml:space="preserve"> </w:t>
      </w:r>
      <w:r>
        <w:rPr>
          <w:color w:val="231F20"/>
          <w:w w:val="95"/>
          <w:sz w:val="17"/>
        </w:rPr>
        <w:t>94,</w:t>
      </w:r>
      <w:r>
        <w:rPr>
          <w:color w:val="231F20"/>
          <w:spacing w:val="14"/>
          <w:sz w:val="17"/>
        </w:rPr>
        <w:t xml:space="preserve"> </w:t>
      </w:r>
      <w:r>
        <w:rPr>
          <w:color w:val="231F20"/>
          <w:spacing w:val="-5"/>
          <w:w w:val="95"/>
          <w:sz w:val="17"/>
        </w:rPr>
        <w:t>97</w:t>
      </w:r>
    </w:p>
    <w:p w14:paraId="6B49549A" w14:textId="77777777" w:rsidR="00AE0598" w:rsidRDefault="0069255A">
      <w:pPr>
        <w:ind w:left="110"/>
        <w:rPr>
          <w:sz w:val="17"/>
        </w:rPr>
      </w:pPr>
      <w:r>
        <w:rPr>
          <w:color w:val="231F20"/>
          <w:w w:val="95"/>
          <w:sz w:val="17"/>
        </w:rPr>
        <w:t>Wellington</w:t>
      </w:r>
      <w:r>
        <w:rPr>
          <w:color w:val="231F20"/>
          <w:spacing w:val="8"/>
          <w:sz w:val="17"/>
        </w:rPr>
        <w:t xml:space="preserve"> </w:t>
      </w:r>
      <w:r>
        <w:rPr>
          <w:color w:val="231F20"/>
          <w:w w:val="95"/>
          <w:sz w:val="17"/>
        </w:rPr>
        <w:t>Sevens</w:t>
      </w:r>
      <w:r>
        <w:rPr>
          <w:color w:val="231F20"/>
          <w:spacing w:val="9"/>
          <w:sz w:val="17"/>
        </w:rPr>
        <w:t xml:space="preserve"> </w:t>
      </w:r>
      <w:r>
        <w:rPr>
          <w:color w:val="231F20"/>
          <w:w w:val="95"/>
          <w:sz w:val="17"/>
        </w:rPr>
        <w:t>94,</w:t>
      </w:r>
      <w:r>
        <w:rPr>
          <w:color w:val="231F20"/>
          <w:spacing w:val="8"/>
          <w:sz w:val="17"/>
        </w:rPr>
        <w:t xml:space="preserve"> </w:t>
      </w:r>
      <w:r>
        <w:rPr>
          <w:color w:val="231F20"/>
          <w:spacing w:val="-5"/>
          <w:w w:val="95"/>
          <w:sz w:val="17"/>
        </w:rPr>
        <w:t>97</w:t>
      </w:r>
    </w:p>
    <w:p w14:paraId="773F9A78" w14:textId="77777777" w:rsidR="00AE0598" w:rsidRDefault="0069255A">
      <w:pPr>
        <w:spacing w:before="1"/>
        <w:ind w:left="110"/>
        <w:rPr>
          <w:sz w:val="17"/>
        </w:rPr>
      </w:pPr>
      <w:r>
        <w:rPr>
          <w:color w:val="231F20"/>
          <w:w w:val="95"/>
          <w:sz w:val="17"/>
        </w:rPr>
        <w:t>wellness</w:t>
      </w:r>
      <w:r>
        <w:rPr>
          <w:color w:val="231F20"/>
          <w:spacing w:val="-2"/>
          <w:sz w:val="17"/>
        </w:rPr>
        <w:t xml:space="preserve"> </w:t>
      </w:r>
      <w:r>
        <w:rPr>
          <w:color w:val="231F20"/>
          <w:w w:val="95"/>
          <w:sz w:val="17"/>
        </w:rPr>
        <w:t>9,</w:t>
      </w:r>
      <w:r>
        <w:rPr>
          <w:color w:val="231F20"/>
          <w:spacing w:val="-1"/>
          <w:sz w:val="17"/>
        </w:rPr>
        <w:t xml:space="preserve"> </w:t>
      </w:r>
      <w:r>
        <w:rPr>
          <w:color w:val="231F20"/>
          <w:spacing w:val="-5"/>
          <w:w w:val="95"/>
          <w:sz w:val="17"/>
        </w:rPr>
        <w:t>31</w:t>
      </w:r>
    </w:p>
    <w:p w14:paraId="5E15D79E" w14:textId="77777777" w:rsidR="00AE0598" w:rsidRDefault="0069255A">
      <w:pPr>
        <w:spacing w:before="1"/>
        <w:ind w:left="110" w:right="591"/>
        <w:rPr>
          <w:sz w:val="17"/>
        </w:rPr>
      </w:pPr>
      <w:r>
        <w:rPr>
          <w:color w:val="231F20"/>
          <w:w w:val="95"/>
          <w:sz w:val="17"/>
        </w:rPr>
        <w:t>Wembley</w:t>
      </w:r>
      <w:r>
        <w:rPr>
          <w:color w:val="231F20"/>
          <w:spacing w:val="-2"/>
          <w:w w:val="95"/>
          <w:sz w:val="17"/>
        </w:rPr>
        <w:t xml:space="preserve"> </w:t>
      </w:r>
      <w:r>
        <w:rPr>
          <w:color w:val="231F20"/>
          <w:w w:val="95"/>
          <w:sz w:val="17"/>
        </w:rPr>
        <w:t>Stadium</w:t>
      </w:r>
      <w:r>
        <w:rPr>
          <w:color w:val="231F20"/>
          <w:spacing w:val="-2"/>
          <w:w w:val="95"/>
          <w:sz w:val="17"/>
        </w:rPr>
        <w:t xml:space="preserve"> </w:t>
      </w:r>
      <w:r>
        <w:rPr>
          <w:color w:val="231F20"/>
          <w:w w:val="95"/>
          <w:sz w:val="17"/>
        </w:rPr>
        <w:t>59,</w:t>
      </w:r>
      <w:r>
        <w:rPr>
          <w:color w:val="231F20"/>
          <w:spacing w:val="-2"/>
          <w:w w:val="95"/>
          <w:sz w:val="17"/>
        </w:rPr>
        <w:t xml:space="preserve"> </w:t>
      </w:r>
      <w:r>
        <w:rPr>
          <w:color w:val="231F20"/>
          <w:w w:val="95"/>
          <w:sz w:val="17"/>
        </w:rPr>
        <w:t>106,</w:t>
      </w:r>
      <w:r>
        <w:rPr>
          <w:color w:val="231F20"/>
          <w:spacing w:val="-2"/>
          <w:w w:val="95"/>
          <w:sz w:val="17"/>
        </w:rPr>
        <w:t xml:space="preserve"> </w:t>
      </w:r>
      <w:r>
        <w:rPr>
          <w:color w:val="231F20"/>
          <w:w w:val="95"/>
          <w:sz w:val="17"/>
        </w:rPr>
        <w:t>148</w:t>
      </w:r>
      <w:r>
        <w:rPr>
          <w:color w:val="231F20"/>
          <w:spacing w:val="40"/>
          <w:sz w:val="17"/>
        </w:rPr>
        <w:t xml:space="preserve"> </w:t>
      </w:r>
      <w:r>
        <w:rPr>
          <w:color w:val="231F20"/>
          <w:sz w:val="17"/>
        </w:rPr>
        <w:t>Westpac Trust Stadium 94</w:t>
      </w:r>
      <w:r>
        <w:rPr>
          <w:color w:val="231F20"/>
          <w:spacing w:val="40"/>
          <w:sz w:val="17"/>
        </w:rPr>
        <w:t xml:space="preserve"> </w:t>
      </w:r>
      <w:r>
        <w:rPr>
          <w:color w:val="231F20"/>
          <w:sz w:val="17"/>
        </w:rPr>
        <w:t>Weymouth 35</w:t>
      </w:r>
    </w:p>
    <w:p w14:paraId="06FDA324" w14:textId="77777777" w:rsidR="00AE0598" w:rsidRDefault="0069255A">
      <w:pPr>
        <w:spacing w:before="2"/>
        <w:ind w:left="110"/>
        <w:rPr>
          <w:sz w:val="17"/>
        </w:rPr>
      </w:pPr>
      <w:r>
        <w:rPr>
          <w:color w:val="231F20"/>
          <w:w w:val="95"/>
          <w:sz w:val="17"/>
        </w:rPr>
        <w:t>Whistler</w:t>
      </w:r>
      <w:r>
        <w:rPr>
          <w:color w:val="231F20"/>
          <w:spacing w:val="3"/>
          <w:sz w:val="17"/>
        </w:rPr>
        <w:t xml:space="preserve"> </w:t>
      </w:r>
      <w:r>
        <w:rPr>
          <w:color w:val="231F20"/>
          <w:w w:val="95"/>
          <w:sz w:val="17"/>
        </w:rPr>
        <w:t>171,</w:t>
      </w:r>
      <w:r>
        <w:rPr>
          <w:color w:val="231F20"/>
          <w:spacing w:val="4"/>
          <w:sz w:val="17"/>
        </w:rPr>
        <w:t xml:space="preserve"> </w:t>
      </w:r>
      <w:r>
        <w:rPr>
          <w:color w:val="231F20"/>
          <w:spacing w:val="-2"/>
          <w:w w:val="95"/>
          <w:sz w:val="17"/>
        </w:rPr>
        <w:t>192–193</w:t>
      </w:r>
    </w:p>
    <w:p w14:paraId="4B684E48" w14:textId="77777777" w:rsidR="00AE0598" w:rsidRDefault="0069255A">
      <w:pPr>
        <w:spacing w:before="1"/>
        <w:ind w:left="110"/>
        <w:rPr>
          <w:sz w:val="17"/>
        </w:rPr>
      </w:pPr>
      <w:r>
        <w:rPr>
          <w:color w:val="231F20"/>
          <w:w w:val="95"/>
          <w:sz w:val="17"/>
        </w:rPr>
        <w:t>wildlife</w:t>
      </w:r>
      <w:r>
        <w:rPr>
          <w:color w:val="231F20"/>
          <w:spacing w:val="26"/>
          <w:sz w:val="17"/>
        </w:rPr>
        <w:t xml:space="preserve"> </w:t>
      </w:r>
      <w:r>
        <w:rPr>
          <w:color w:val="231F20"/>
          <w:spacing w:val="-5"/>
          <w:sz w:val="17"/>
        </w:rPr>
        <w:t>133</w:t>
      </w:r>
    </w:p>
    <w:p w14:paraId="7B8FEE74" w14:textId="77777777" w:rsidR="00AE0598" w:rsidRDefault="0069255A">
      <w:pPr>
        <w:ind w:left="110"/>
        <w:rPr>
          <w:sz w:val="17"/>
        </w:rPr>
      </w:pPr>
      <w:r>
        <w:rPr>
          <w:color w:val="231F20"/>
          <w:w w:val="95"/>
          <w:sz w:val="17"/>
        </w:rPr>
        <w:t>Wimbledon</w:t>
      </w:r>
      <w:r>
        <w:rPr>
          <w:color w:val="231F20"/>
          <w:spacing w:val="5"/>
          <w:sz w:val="17"/>
        </w:rPr>
        <w:t xml:space="preserve"> </w:t>
      </w:r>
      <w:r>
        <w:rPr>
          <w:color w:val="231F20"/>
          <w:w w:val="95"/>
          <w:sz w:val="17"/>
        </w:rPr>
        <w:t>11,</w:t>
      </w:r>
      <w:r>
        <w:rPr>
          <w:color w:val="231F20"/>
          <w:spacing w:val="6"/>
          <w:sz w:val="17"/>
        </w:rPr>
        <w:t xml:space="preserve"> </w:t>
      </w:r>
      <w:r>
        <w:rPr>
          <w:color w:val="231F20"/>
          <w:w w:val="95"/>
          <w:sz w:val="17"/>
        </w:rPr>
        <w:t>13,</w:t>
      </w:r>
      <w:r>
        <w:rPr>
          <w:color w:val="231F20"/>
          <w:spacing w:val="6"/>
          <w:sz w:val="17"/>
        </w:rPr>
        <w:t xml:space="preserve"> </w:t>
      </w:r>
      <w:r>
        <w:rPr>
          <w:color w:val="231F20"/>
          <w:w w:val="95"/>
          <w:sz w:val="17"/>
        </w:rPr>
        <w:t>43,</w:t>
      </w:r>
      <w:r>
        <w:rPr>
          <w:color w:val="231F20"/>
          <w:spacing w:val="6"/>
          <w:sz w:val="17"/>
        </w:rPr>
        <w:t xml:space="preserve"> </w:t>
      </w:r>
      <w:r>
        <w:rPr>
          <w:color w:val="231F20"/>
          <w:w w:val="95"/>
          <w:sz w:val="17"/>
        </w:rPr>
        <w:t>46,</w:t>
      </w:r>
      <w:r>
        <w:rPr>
          <w:color w:val="231F20"/>
          <w:spacing w:val="6"/>
          <w:sz w:val="17"/>
        </w:rPr>
        <w:t xml:space="preserve"> </w:t>
      </w:r>
      <w:r>
        <w:rPr>
          <w:color w:val="231F20"/>
          <w:w w:val="95"/>
          <w:sz w:val="17"/>
        </w:rPr>
        <w:t>59,</w:t>
      </w:r>
      <w:r>
        <w:rPr>
          <w:color w:val="231F20"/>
          <w:spacing w:val="6"/>
          <w:sz w:val="17"/>
        </w:rPr>
        <w:t xml:space="preserve"> </w:t>
      </w:r>
      <w:r>
        <w:rPr>
          <w:color w:val="231F20"/>
          <w:spacing w:val="-2"/>
          <w:w w:val="95"/>
          <w:sz w:val="17"/>
        </w:rPr>
        <w:t>106–107</w:t>
      </w:r>
    </w:p>
    <w:p w14:paraId="5BBBD139" w14:textId="77777777" w:rsidR="00AE0598" w:rsidRDefault="0069255A">
      <w:pPr>
        <w:spacing w:before="1"/>
        <w:ind w:left="110"/>
        <w:rPr>
          <w:sz w:val="17"/>
        </w:rPr>
      </w:pPr>
      <w:r>
        <w:rPr>
          <w:color w:val="231F20"/>
          <w:w w:val="95"/>
          <w:sz w:val="17"/>
        </w:rPr>
        <w:t>windsurfing</w:t>
      </w:r>
      <w:r>
        <w:rPr>
          <w:color w:val="231F20"/>
          <w:spacing w:val="15"/>
          <w:sz w:val="17"/>
        </w:rPr>
        <w:t xml:space="preserve"> </w:t>
      </w:r>
      <w:r>
        <w:rPr>
          <w:color w:val="231F20"/>
          <w:spacing w:val="-2"/>
          <w:w w:val="95"/>
          <w:sz w:val="17"/>
        </w:rPr>
        <w:t>126–127</w:t>
      </w:r>
    </w:p>
    <w:p w14:paraId="4F5665ED" w14:textId="77777777" w:rsidR="00AE0598" w:rsidRDefault="0069255A">
      <w:pPr>
        <w:spacing w:before="1"/>
        <w:ind w:left="110"/>
        <w:rPr>
          <w:sz w:val="17"/>
        </w:rPr>
      </w:pPr>
      <w:r>
        <w:rPr>
          <w:color w:val="231F20"/>
          <w:w w:val="95"/>
          <w:sz w:val="17"/>
        </w:rPr>
        <w:t>women</w:t>
      </w:r>
      <w:r>
        <w:rPr>
          <w:color w:val="231F20"/>
          <w:spacing w:val="-2"/>
          <w:w w:val="95"/>
          <w:sz w:val="17"/>
        </w:rPr>
        <w:t xml:space="preserve"> </w:t>
      </w:r>
      <w:r>
        <w:rPr>
          <w:color w:val="231F20"/>
          <w:w w:val="95"/>
          <w:sz w:val="17"/>
        </w:rPr>
        <w:t>54,</w:t>
      </w:r>
      <w:r>
        <w:rPr>
          <w:color w:val="231F20"/>
          <w:spacing w:val="-1"/>
          <w:w w:val="95"/>
          <w:sz w:val="17"/>
        </w:rPr>
        <w:t xml:space="preserve"> </w:t>
      </w:r>
      <w:r>
        <w:rPr>
          <w:color w:val="231F20"/>
          <w:w w:val="95"/>
          <w:sz w:val="17"/>
        </w:rPr>
        <w:t>69,</w:t>
      </w:r>
      <w:r>
        <w:rPr>
          <w:color w:val="231F20"/>
          <w:spacing w:val="-1"/>
          <w:w w:val="95"/>
          <w:sz w:val="17"/>
        </w:rPr>
        <w:t xml:space="preserve"> </w:t>
      </w:r>
      <w:r>
        <w:rPr>
          <w:color w:val="231F20"/>
          <w:w w:val="95"/>
          <w:sz w:val="17"/>
        </w:rPr>
        <w:t>126–127,</w:t>
      </w:r>
      <w:r>
        <w:rPr>
          <w:color w:val="231F20"/>
          <w:spacing w:val="-2"/>
          <w:w w:val="95"/>
          <w:sz w:val="17"/>
        </w:rPr>
        <w:t xml:space="preserve"> </w:t>
      </w:r>
      <w:r>
        <w:rPr>
          <w:color w:val="231F20"/>
          <w:w w:val="95"/>
          <w:sz w:val="17"/>
        </w:rPr>
        <w:t>193,</w:t>
      </w:r>
      <w:r>
        <w:rPr>
          <w:color w:val="231F20"/>
          <w:spacing w:val="-1"/>
          <w:w w:val="95"/>
          <w:sz w:val="17"/>
        </w:rPr>
        <w:t xml:space="preserve"> </w:t>
      </w:r>
      <w:r>
        <w:rPr>
          <w:color w:val="231F20"/>
          <w:spacing w:val="-2"/>
          <w:w w:val="95"/>
          <w:sz w:val="17"/>
        </w:rPr>
        <w:t>203–204</w:t>
      </w:r>
    </w:p>
    <w:p w14:paraId="4091165B" w14:textId="77777777" w:rsidR="00AE0598" w:rsidRDefault="0069255A">
      <w:pPr>
        <w:ind w:left="470" w:hanging="360"/>
        <w:rPr>
          <w:sz w:val="17"/>
        </w:rPr>
      </w:pPr>
      <w:r>
        <w:rPr>
          <w:color w:val="231F20"/>
          <w:w w:val="95"/>
          <w:sz w:val="17"/>
        </w:rPr>
        <w:t>World Commission on Environment and</w:t>
      </w:r>
      <w:r>
        <w:rPr>
          <w:color w:val="231F20"/>
          <w:spacing w:val="40"/>
          <w:sz w:val="17"/>
        </w:rPr>
        <w:t xml:space="preserve"> </w:t>
      </w:r>
      <w:r>
        <w:rPr>
          <w:color w:val="231F20"/>
          <w:sz w:val="17"/>
        </w:rPr>
        <w:t>Development (WCED) 65</w:t>
      </w:r>
    </w:p>
    <w:p w14:paraId="1913720F" w14:textId="77777777" w:rsidR="00AE0598" w:rsidRDefault="0069255A">
      <w:pPr>
        <w:spacing w:before="2"/>
        <w:ind w:left="110"/>
        <w:rPr>
          <w:sz w:val="17"/>
        </w:rPr>
      </w:pPr>
      <w:r>
        <w:rPr>
          <w:color w:val="231F20"/>
          <w:w w:val="95"/>
          <w:sz w:val="17"/>
        </w:rPr>
        <w:t>World</w:t>
      </w:r>
      <w:r>
        <w:rPr>
          <w:color w:val="231F20"/>
          <w:spacing w:val="15"/>
          <w:sz w:val="17"/>
        </w:rPr>
        <w:t xml:space="preserve"> </w:t>
      </w:r>
      <w:r>
        <w:rPr>
          <w:color w:val="231F20"/>
          <w:w w:val="95"/>
          <w:sz w:val="17"/>
        </w:rPr>
        <w:t>Masters</w:t>
      </w:r>
      <w:r>
        <w:rPr>
          <w:color w:val="231F20"/>
          <w:spacing w:val="15"/>
          <w:sz w:val="17"/>
        </w:rPr>
        <w:t xml:space="preserve"> </w:t>
      </w:r>
      <w:r>
        <w:rPr>
          <w:color w:val="231F20"/>
          <w:w w:val="95"/>
          <w:sz w:val="17"/>
        </w:rPr>
        <w:t>Games</w:t>
      </w:r>
      <w:r>
        <w:rPr>
          <w:color w:val="231F20"/>
          <w:spacing w:val="16"/>
          <w:sz w:val="17"/>
        </w:rPr>
        <w:t xml:space="preserve"> </w:t>
      </w:r>
      <w:r>
        <w:rPr>
          <w:color w:val="231F20"/>
          <w:w w:val="95"/>
          <w:sz w:val="17"/>
        </w:rPr>
        <w:t>32,</w:t>
      </w:r>
      <w:r>
        <w:rPr>
          <w:color w:val="231F20"/>
          <w:spacing w:val="15"/>
          <w:sz w:val="17"/>
        </w:rPr>
        <w:t xml:space="preserve"> </w:t>
      </w:r>
      <w:r>
        <w:rPr>
          <w:color w:val="231F20"/>
          <w:w w:val="95"/>
          <w:sz w:val="17"/>
        </w:rPr>
        <w:t>58,</w:t>
      </w:r>
      <w:r>
        <w:rPr>
          <w:color w:val="231F20"/>
          <w:spacing w:val="16"/>
          <w:sz w:val="17"/>
        </w:rPr>
        <w:t xml:space="preserve"> </w:t>
      </w:r>
      <w:r>
        <w:rPr>
          <w:color w:val="231F20"/>
          <w:spacing w:val="-5"/>
          <w:w w:val="95"/>
          <w:sz w:val="17"/>
        </w:rPr>
        <w:t>176</w:t>
      </w:r>
    </w:p>
    <w:p w14:paraId="1A0B6A7D" w14:textId="77777777" w:rsidR="00AE0598" w:rsidRDefault="00AE0598">
      <w:pPr>
        <w:pStyle w:val="Corpodetexto"/>
        <w:spacing w:before="3"/>
        <w:rPr>
          <w:sz w:val="16"/>
        </w:rPr>
      </w:pPr>
    </w:p>
    <w:p w14:paraId="43010A5D" w14:textId="77777777" w:rsidR="00AE0598" w:rsidRDefault="0069255A">
      <w:pPr>
        <w:ind w:left="110"/>
        <w:rPr>
          <w:sz w:val="17"/>
        </w:rPr>
      </w:pPr>
      <w:r>
        <w:rPr>
          <w:color w:val="231F20"/>
          <w:w w:val="105"/>
          <w:sz w:val="17"/>
        </w:rPr>
        <w:t>X</w:t>
      </w:r>
      <w:r>
        <w:rPr>
          <w:color w:val="231F20"/>
          <w:spacing w:val="3"/>
          <w:w w:val="105"/>
          <w:sz w:val="17"/>
        </w:rPr>
        <w:t xml:space="preserve"> </w:t>
      </w:r>
      <w:r>
        <w:rPr>
          <w:color w:val="231F20"/>
          <w:w w:val="105"/>
          <w:sz w:val="17"/>
        </w:rPr>
        <w:t>Games</w:t>
      </w:r>
      <w:r>
        <w:rPr>
          <w:color w:val="231F20"/>
          <w:spacing w:val="4"/>
          <w:w w:val="105"/>
          <w:sz w:val="17"/>
        </w:rPr>
        <w:t xml:space="preserve"> </w:t>
      </w:r>
      <w:r>
        <w:rPr>
          <w:color w:val="231F20"/>
          <w:spacing w:val="-5"/>
          <w:w w:val="105"/>
          <w:sz w:val="17"/>
        </w:rPr>
        <w:t>142</w:t>
      </w:r>
    </w:p>
    <w:p w14:paraId="19F75A2B" w14:textId="77777777" w:rsidR="00AE0598" w:rsidRDefault="00AE0598">
      <w:pPr>
        <w:pStyle w:val="Corpodetexto"/>
        <w:spacing w:before="3"/>
        <w:rPr>
          <w:sz w:val="16"/>
        </w:rPr>
      </w:pPr>
    </w:p>
    <w:p w14:paraId="414AE8EE" w14:textId="77777777" w:rsidR="00AE0598" w:rsidRDefault="0069255A">
      <w:pPr>
        <w:ind w:left="110"/>
        <w:rPr>
          <w:sz w:val="17"/>
        </w:rPr>
      </w:pPr>
      <w:r>
        <w:rPr>
          <w:color w:val="231F20"/>
          <w:w w:val="95"/>
          <w:sz w:val="17"/>
        </w:rPr>
        <w:t>youth</w:t>
      </w:r>
      <w:r>
        <w:rPr>
          <w:color w:val="231F20"/>
          <w:spacing w:val="3"/>
          <w:sz w:val="17"/>
        </w:rPr>
        <w:t xml:space="preserve"> </w:t>
      </w:r>
      <w:r>
        <w:rPr>
          <w:color w:val="231F20"/>
          <w:w w:val="95"/>
          <w:sz w:val="17"/>
        </w:rPr>
        <w:t>7,</w:t>
      </w:r>
      <w:r>
        <w:rPr>
          <w:color w:val="231F20"/>
          <w:spacing w:val="3"/>
          <w:sz w:val="17"/>
        </w:rPr>
        <w:t xml:space="preserve"> </w:t>
      </w:r>
      <w:r>
        <w:rPr>
          <w:color w:val="231F20"/>
          <w:w w:val="95"/>
          <w:sz w:val="17"/>
        </w:rPr>
        <w:t>25,</w:t>
      </w:r>
      <w:r>
        <w:rPr>
          <w:color w:val="231F20"/>
          <w:spacing w:val="3"/>
          <w:sz w:val="17"/>
        </w:rPr>
        <w:t xml:space="preserve"> </w:t>
      </w:r>
      <w:r>
        <w:rPr>
          <w:color w:val="231F20"/>
          <w:w w:val="95"/>
          <w:sz w:val="17"/>
        </w:rPr>
        <w:t>52–55,</w:t>
      </w:r>
      <w:r>
        <w:rPr>
          <w:color w:val="231F20"/>
          <w:spacing w:val="3"/>
          <w:sz w:val="17"/>
        </w:rPr>
        <w:t xml:space="preserve"> </w:t>
      </w:r>
      <w:r>
        <w:rPr>
          <w:color w:val="231F20"/>
          <w:w w:val="95"/>
          <w:sz w:val="17"/>
        </w:rPr>
        <w:t>204–212,</w:t>
      </w:r>
      <w:r>
        <w:rPr>
          <w:color w:val="231F20"/>
          <w:spacing w:val="3"/>
          <w:sz w:val="17"/>
        </w:rPr>
        <w:t xml:space="preserve"> </w:t>
      </w:r>
      <w:r>
        <w:rPr>
          <w:color w:val="231F20"/>
          <w:spacing w:val="-5"/>
          <w:w w:val="95"/>
          <w:sz w:val="17"/>
        </w:rPr>
        <w:t>234</w:t>
      </w:r>
    </w:p>
    <w:p w14:paraId="71D6CCF9" w14:textId="77777777" w:rsidR="00AE0598" w:rsidRDefault="00AE0598">
      <w:pPr>
        <w:rPr>
          <w:sz w:val="17"/>
        </w:rPr>
        <w:sectPr w:rsidR="00AE0598">
          <w:type w:val="continuous"/>
          <w:pgSz w:w="8850" w:h="13270"/>
          <w:pgMar w:top="1080" w:right="1060" w:bottom="280" w:left="1080" w:header="720" w:footer="720" w:gutter="0"/>
          <w:cols w:num="2" w:space="720" w:equalWidth="0">
            <w:col w:w="3261" w:space="90"/>
            <w:col w:w="3359"/>
          </w:cols>
        </w:sectPr>
      </w:pPr>
    </w:p>
    <w:p w14:paraId="5882567B" w14:textId="77777777" w:rsidR="00AE0598" w:rsidRDefault="00AE0598">
      <w:pPr>
        <w:pStyle w:val="Corpodetexto"/>
        <w:rPr>
          <w:sz w:val="17"/>
        </w:rPr>
      </w:pPr>
    </w:p>
    <w:sectPr w:rsidR="00AE0598">
      <w:pgSz w:w="8850" w:h="13270"/>
      <w:pgMar w:top="1240" w:right="106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rebuchet MS">
    <w:altName w:val="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Palatino Linotype">
    <w:panose1 w:val="02040502050505030304"/>
    <w:charset w:val="00"/>
    <w:family w:val="roman"/>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D17DB"/>
    <w:multiLevelType w:val="hybridMultilevel"/>
    <w:tmpl w:val="D4461BFC"/>
    <w:lvl w:ilvl="0" w:tplc="D4928DF8">
      <w:start w:val="1"/>
      <w:numFmt w:val="decimal"/>
      <w:lvlText w:val="(%1)"/>
      <w:lvlJc w:val="left"/>
      <w:pPr>
        <w:ind w:left="342" w:hanging="233"/>
        <w:jc w:val="left"/>
      </w:pPr>
      <w:rPr>
        <w:rFonts w:ascii="Trebuchet MS" w:eastAsia="Trebuchet MS" w:hAnsi="Trebuchet MS" w:cs="Trebuchet MS" w:hint="default"/>
        <w:b w:val="0"/>
        <w:bCs w:val="0"/>
        <w:i w:val="0"/>
        <w:iCs w:val="0"/>
        <w:color w:val="231F20"/>
        <w:spacing w:val="-5"/>
        <w:w w:val="90"/>
        <w:sz w:val="14"/>
        <w:szCs w:val="14"/>
        <w:lang w:val="en-US" w:eastAsia="en-US" w:bidi="ar-SA"/>
      </w:rPr>
    </w:lvl>
    <w:lvl w:ilvl="1" w:tplc="D57A4544">
      <w:numFmt w:val="bullet"/>
      <w:lvlText w:val="•"/>
      <w:lvlJc w:val="left"/>
      <w:pPr>
        <w:ind w:left="976" w:hanging="233"/>
      </w:pPr>
      <w:rPr>
        <w:rFonts w:hint="default"/>
        <w:lang w:val="en-US" w:eastAsia="en-US" w:bidi="ar-SA"/>
      </w:rPr>
    </w:lvl>
    <w:lvl w:ilvl="2" w:tplc="BE2410DA">
      <w:numFmt w:val="bullet"/>
      <w:lvlText w:val="•"/>
      <w:lvlJc w:val="left"/>
      <w:pPr>
        <w:ind w:left="1612" w:hanging="233"/>
      </w:pPr>
      <w:rPr>
        <w:rFonts w:hint="default"/>
        <w:lang w:val="en-US" w:eastAsia="en-US" w:bidi="ar-SA"/>
      </w:rPr>
    </w:lvl>
    <w:lvl w:ilvl="3" w:tplc="B830A5A0">
      <w:numFmt w:val="bullet"/>
      <w:lvlText w:val="•"/>
      <w:lvlJc w:val="left"/>
      <w:pPr>
        <w:ind w:left="2248" w:hanging="233"/>
      </w:pPr>
      <w:rPr>
        <w:rFonts w:hint="default"/>
        <w:lang w:val="en-US" w:eastAsia="en-US" w:bidi="ar-SA"/>
      </w:rPr>
    </w:lvl>
    <w:lvl w:ilvl="4" w:tplc="63785244">
      <w:numFmt w:val="bullet"/>
      <w:lvlText w:val="•"/>
      <w:lvlJc w:val="left"/>
      <w:pPr>
        <w:ind w:left="2885" w:hanging="233"/>
      </w:pPr>
      <w:rPr>
        <w:rFonts w:hint="default"/>
        <w:lang w:val="en-US" w:eastAsia="en-US" w:bidi="ar-SA"/>
      </w:rPr>
    </w:lvl>
    <w:lvl w:ilvl="5" w:tplc="5DF05C0C">
      <w:numFmt w:val="bullet"/>
      <w:lvlText w:val="•"/>
      <w:lvlJc w:val="left"/>
      <w:pPr>
        <w:ind w:left="3521" w:hanging="233"/>
      </w:pPr>
      <w:rPr>
        <w:rFonts w:hint="default"/>
        <w:lang w:val="en-US" w:eastAsia="en-US" w:bidi="ar-SA"/>
      </w:rPr>
    </w:lvl>
    <w:lvl w:ilvl="6" w:tplc="9E50E1D6">
      <w:numFmt w:val="bullet"/>
      <w:lvlText w:val="•"/>
      <w:lvlJc w:val="left"/>
      <w:pPr>
        <w:ind w:left="4157" w:hanging="233"/>
      </w:pPr>
      <w:rPr>
        <w:rFonts w:hint="default"/>
        <w:lang w:val="en-US" w:eastAsia="en-US" w:bidi="ar-SA"/>
      </w:rPr>
    </w:lvl>
    <w:lvl w:ilvl="7" w:tplc="6ED69F46">
      <w:numFmt w:val="bullet"/>
      <w:lvlText w:val="•"/>
      <w:lvlJc w:val="left"/>
      <w:pPr>
        <w:ind w:left="4794" w:hanging="233"/>
      </w:pPr>
      <w:rPr>
        <w:rFonts w:hint="default"/>
        <w:lang w:val="en-US" w:eastAsia="en-US" w:bidi="ar-SA"/>
      </w:rPr>
    </w:lvl>
    <w:lvl w:ilvl="8" w:tplc="AD94AEEE">
      <w:numFmt w:val="bullet"/>
      <w:lvlText w:val="•"/>
      <w:lvlJc w:val="left"/>
      <w:pPr>
        <w:ind w:left="5430" w:hanging="233"/>
      </w:pPr>
      <w:rPr>
        <w:rFonts w:hint="default"/>
        <w:lang w:val="en-US" w:eastAsia="en-US" w:bidi="ar-SA"/>
      </w:rPr>
    </w:lvl>
  </w:abstractNum>
  <w:abstractNum w:abstractNumId="1" w15:restartNumberingAfterBreak="0">
    <w:nsid w:val="0B0A34EE"/>
    <w:multiLevelType w:val="hybridMultilevel"/>
    <w:tmpl w:val="95568B2E"/>
    <w:lvl w:ilvl="0" w:tplc="E0781042">
      <w:start w:val="1"/>
      <w:numFmt w:val="decimal"/>
      <w:lvlText w:val="(%1)"/>
      <w:lvlJc w:val="left"/>
      <w:pPr>
        <w:ind w:left="549" w:hanging="440"/>
        <w:jc w:val="left"/>
      </w:pPr>
      <w:rPr>
        <w:rFonts w:ascii="Trebuchet MS" w:eastAsia="Trebuchet MS" w:hAnsi="Trebuchet MS" w:cs="Trebuchet MS" w:hint="default"/>
        <w:b w:val="0"/>
        <w:bCs w:val="0"/>
        <w:i w:val="0"/>
        <w:iCs w:val="0"/>
        <w:color w:val="231F20"/>
        <w:spacing w:val="-5"/>
        <w:w w:val="90"/>
        <w:sz w:val="14"/>
        <w:szCs w:val="14"/>
        <w:lang w:val="en-US" w:eastAsia="en-US" w:bidi="ar-SA"/>
      </w:rPr>
    </w:lvl>
    <w:lvl w:ilvl="1" w:tplc="35F456EC">
      <w:numFmt w:val="bullet"/>
      <w:lvlText w:val="•"/>
      <w:lvlJc w:val="left"/>
      <w:pPr>
        <w:ind w:left="1156" w:hanging="440"/>
      </w:pPr>
      <w:rPr>
        <w:rFonts w:hint="default"/>
        <w:lang w:val="en-US" w:eastAsia="en-US" w:bidi="ar-SA"/>
      </w:rPr>
    </w:lvl>
    <w:lvl w:ilvl="2" w:tplc="08B20776">
      <w:numFmt w:val="bullet"/>
      <w:lvlText w:val="•"/>
      <w:lvlJc w:val="left"/>
      <w:pPr>
        <w:ind w:left="1772" w:hanging="440"/>
      </w:pPr>
      <w:rPr>
        <w:rFonts w:hint="default"/>
        <w:lang w:val="en-US" w:eastAsia="en-US" w:bidi="ar-SA"/>
      </w:rPr>
    </w:lvl>
    <w:lvl w:ilvl="3" w:tplc="ADFAD92C">
      <w:numFmt w:val="bullet"/>
      <w:lvlText w:val="•"/>
      <w:lvlJc w:val="left"/>
      <w:pPr>
        <w:ind w:left="2388" w:hanging="440"/>
      </w:pPr>
      <w:rPr>
        <w:rFonts w:hint="default"/>
        <w:lang w:val="en-US" w:eastAsia="en-US" w:bidi="ar-SA"/>
      </w:rPr>
    </w:lvl>
    <w:lvl w:ilvl="4" w:tplc="2A820562">
      <w:numFmt w:val="bullet"/>
      <w:lvlText w:val="•"/>
      <w:lvlJc w:val="left"/>
      <w:pPr>
        <w:ind w:left="3005" w:hanging="440"/>
      </w:pPr>
      <w:rPr>
        <w:rFonts w:hint="default"/>
        <w:lang w:val="en-US" w:eastAsia="en-US" w:bidi="ar-SA"/>
      </w:rPr>
    </w:lvl>
    <w:lvl w:ilvl="5" w:tplc="F4621F4E">
      <w:numFmt w:val="bullet"/>
      <w:lvlText w:val="•"/>
      <w:lvlJc w:val="left"/>
      <w:pPr>
        <w:ind w:left="3621" w:hanging="440"/>
      </w:pPr>
      <w:rPr>
        <w:rFonts w:hint="default"/>
        <w:lang w:val="en-US" w:eastAsia="en-US" w:bidi="ar-SA"/>
      </w:rPr>
    </w:lvl>
    <w:lvl w:ilvl="6" w:tplc="5A7E048E">
      <w:numFmt w:val="bullet"/>
      <w:lvlText w:val="•"/>
      <w:lvlJc w:val="left"/>
      <w:pPr>
        <w:ind w:left="4237" w:hanging="440"/>
      </w:pPr>
      <w:rPr>
        <w:rFonts w:hint="default"/>
        <w:lang w:val="en-US" w:eastAsia="en-US" w:bidi="ar-SA"/>
      </w:rPr>
    </w:lvl>
    <w:lvl w:ilvl="7" w:tplc="0644ADAA">
      <w:numFmt w:val="bullet"/>
      <w:lvlText w:val="•"/>
      <w:lvlJc w:val="left"/>
      <w:pPr>
        <w:ind w:left="4854" w:hanging="440"/>
      </w:pPr>
      <w:rPr>
        <w:rFonts w:hint="default"/>
        <w:lang w:val="en-US" w:eastAsia="en-US" w:bidi="ar-SA"/>
      </w:rPr>
    </w:lvl>
    <w:lvl w:ilvl="8" w:tplc="D804C86C">
      <w:numFmt w:val="bullet"/>
      <w:lvlText w:val="•"/>
      <w:lvlJc w:val="left"/>
      <w:pPr>
        <w:ind w:left="5470" w:hanging="440"/>
      </w:pPr>
      <w:rPr>
        <w:rFonts w:hint="default"/>
        <w:lang w:val="en-US" w:eastAsia="en-US" w:bidi="ar-SA"/>
      </w:rPr>
    </w:lvl>
  </w:abstractNum>
  <w:abstractNum w:abstractNumId="2" w15:restartNumberingAfterBreak="0">
    <w:nsid w:val="185238C3"/>
    <w:multiLevelType w:val="hybridMultilevel"/>
    <w:tmpl w:val="8B582B24"/>
    <w:lvl w:ilvl="0" w:tplc="5E0A26DA">
      <w:start w:val="1"/>
      <w:numFmt w:val="upperLetter"/>
      <w:lvlText w:val="%1."/>
      <w:lvlJc w:val="left"/>
      <w:pPr>
        <w:ind w:left="110" w:hanging="212"/>
        <w:jc w:val="left"/>
      </w:pPr>
      <w:rPr>
        <w:rFonts w:ascii="Cambria" w:eastAsia="Cambria" w:hAnsi="Cambria" w:cs="Cambria" w:hint="default"/>
        <w:b w:val="0"/>
        <w:bCs w:val="0"/>
        <w:i w:val="0"/>
        <w:iCs w:val="0"/>
        <w:color w:val="231F20"/>
        <w:spacing w:val="0"/>
        <w:w w:val="112"/>
        <w:sz w:val="17"/>
        <w:szCs w:val="17"/>
        <w:lang w:val="en-US" w:eastAsia="en-US" w:bidi="ar-SA"/>
      </w:rPr>
    </w:lvl>
    <w:lvl w:ilvl="1" w:tplc="CA7EC14C">
      <w:numFmt w:val="bullet"/>
      <w:lvlText w:val="•"/>
      <w:lvlJc w:val="left"/>
      <w:pPr>
        <w:ind w:left="778" w:hanging="212"/>
      </w:pPr>
      <w:rPr>
        <w:rFonts w:hint="default"/>
        <w:lang w:val="en-US" w:eastAsia="en-US" w:bidi="ar-SA"/>
      </w:rPr>
    </w:lvl>
    <w:lvl w:ilvl="2" w:tplc="1BB41E78">
      <w:numFmt w:val="bullet"/>
      <w:lvlText w:val="•"/>
      <w:lvlJc w:val="left"/>
      <w:pPr>
        <w:ind w:left="1436" w:hanging="212"/>
      </w:pPr>
      <w:rPr>
        <w:rFonts w:hint="default"/>
        <w:lang w:val="en-US" w:eastAsia="en-US" w:bidi="ar-SA"/>
      </w:rPr>
    </w:lvl>
    <w:lvl w:ilvl="3" w:tplc="27321064">
      <w:numFmt w:val="bullet"/>
      <w:lvlText w:val="•"/>
      <w:lvlJc w:val="left"/>
      <w:pPr>
        <w:ind w:left="2094" w:hanging="212"/>
      </w:pPr>
      <w:rPr>
        <w:rFonts w:hint="default"/>
        <w:lang w:val="en-US" w:eastAsia="en-US" w:bidi="ar-SA"/>
      </w:rPr>
    </w:lvl>
    <w:lvl w:ilvl="4" w:tplc="0CA221D0">
      <w:numFmt w:val="bullet"/>
      <w:lvlText w:val="•"/>
      <w:lvlJc w:val="left"/>
      <w:pPr>
        <w:ind w:left="2753" w:hanging="212"/>
      </w:pPr>
      <w:rPr>
        <w:rFonts w:hint="default"/>
        <w:lang w:val="en-US" w:eastAsia="en-US" w:bidi="ar-SA"/>
      </w:rPr>
    </w:lvl>
    <w:lvl w:ilvl="5" w:tplc="8AB020C4">
      <w:numFmt w:val="bullet"/>
      <w:lvlText w:val="•"/>
      <w:lvlJc w:val="left"/>
      <w:pPr>
        <w:ind w:left="3411" w:hanging="212"/>
      </w:pPr>
      <w:rPr>
        <w:rFonts w:hint="default"/>
        <w:lang w:val="en-US" w:eastAsia="en-US" w:bidi="ar-SA"/>
      </w:rPr>
    </w:lvl>
    <w:lvl w:ilvl="6" w:tplc="70A04E66">
      <w:numFmt w:val="bullet"/>
      <w:lvlText w:val="•"/>
      <w:lvlJc w:val="left"/>
      <w:pPr>
        <w:ind w:left="4069" w:hanging="212"/>
      </w:pPr>
      <w:rPr>
        <w:rFonts w:hint="default"/>
        <w:lang w:val="en-US" w:eastAsia="en-US" w:bidi="ar-SA"/>
      </w:rPr>
    </w:lvl>
    <w:lvl w:ilvl="7" w:tplc="1A5A6D50">
      <w:numFmt w:val="bullet"/>
      <w:lvlText w:val="•"/>
      <w:lvlJc w:val="left"/>
      <w:pPr>
        <w:ind w:left="4728" w:hanging="212"/>
      </w:pPr>
      <w:rPr>
        <w:rFonts w:hint="default"/>
        <w:lang w:val="en-US" w:eastAsia="en-US" w:bidi="ar-SA"/>
      </w:rPr>
    </w:lvl>
    <w:lvl w:ilvl="8" w:tplc="0CB0F98A">
      <w:numFmt w:val="bullet"/>
      <w:lvlText w:val="•"/>
      <w:lvlJc w:val="left"/>
      <w:pPr>
        <w:ind w:left="5386" w:hanging="212"/>
      </w:pPr>
      <w:rPr>
        <w:rFonts w:hint="default"/>
        <w:lang w:val="en-US" w:eastAsia="en-US" w:bidi="ar-SA"/>
      </w:rPr>
    </w:lvl>
  </w:abstractNum>
  <w:abstractNum w:abstractNumId="3" w15:restartNumberingAfterBreak="0">
    <w:nsid w:val="18E701F0"/>
    <w:multiLevelType w:val="hybridMultilevel"/>
    <w:tmpl w:val="24CE36E8"/>
    <w:lvl w:ilvl="0" w:tplc="DC8EED36">
      <w:start w:val="1"/>
      <w:numFmt w:val="decimal"/>
      <w:lvlText w:val="(%1)"/>
      <w:lvlJc w:val="left"/>
      <w:pPr>
        <w:ind w:left="490" w:hanging="380"/>
        <w:jc w:val="left"/>
      </w:pPr>
      <w:rPr>
        <w:rFonts w:ascii="Cambria" w:eastAsia="Cambria" w:hAnsi="Cambria" w:cs="Cambria" w:hint="default"/>
        <w:b w:val="0"/>
        <w:bCs w:val="0"/>
        <w:i w:val="0"/>
        <w:iCs w:val="0"/>
        <w:color w:val="231F20"/>
        <w:spacing w:val="-5"/>
        <w:w w:val="84"/>
        <w:sz w:val="21"/>
        <w:szCs w:val="21"/>
        <w:lang w:val="en-US" w:eastAsia="en-US" w:bidi="ar-SA"/>
      </w:rPr>
    </w:lvl>
    <w:lvl w:ilvl="1" w:tplc="B2F86B5E">
      <w:numFmt w:val="bullet"/>
      <w:lvlText w:val="•"/>
      <w:lvlJc w:val="left"/>
      <w:pPr>
        <w:ind w:left="1120" w:hanging="380"/>
      </w:pPr>
      <w:rPr>
        <w:rFonts w:hint="default"/>
        <w:lang w:val="en-US" w:eastAsia="en-US" w:bidi="ar-SA"/>
      </w:rPr>
    </w:lvl>
    <w:lvl w:ilvl="2" w:tplc="61F0B362">
      <w:numFmt w:val="bullet"/>
      <w:lvlText w:val="•"/>
      <w:lvlJc w:val="left"/>
      <w:pPr>
        <w:ind w:left="1740" w:hanging="380"/>
      </w:pPr>
      <w:rPr>
        <w:rFonts w:hint="default"/>
        <w:lang w:val="en-US" w:eastAsia="en-US" w:bidi="ar-SA"/>
      </w:rPr>
    </w:lvl>
    <w:lvl w:ilvl="3" w:tplc="431CE628">
      <w:numFmt w:val="bullet"/>
      <w:lvlText w:val="•"/>
      <w:lvlJc w:val="left"/>
      <w:pPr>
        <w:ind w:left="2360" w:hanging="380"/>
      </w:pPr>
      <w:rPr>
        <w:rFonts w:hint="default"/>
        <w:lang w:val="en-US" w:eastAsia="en-US" w:bidi="ar-SA"/>
      </w:rPr>
    </w:lvl>
    <w:lvl w:ilvl="4" w:tplc="1766FAEE">
      <w:numFmt w:val="bullet"/>
      <w:lvlText w:val="•"/>
      <w:lvlJc w:val="left"/>
      <w:pPr>
        <w:ind w:left="2981" w:hanging="380"/>
      </w:pPr>
      <w:rPr>
        <w:rFonts w:hint="default"/>
        <w:lang w:val="en-US" w:eastAsia="en-US" w:bidi="ar-SA"/>
      </w:rPr>
    </w:lvl>
    <w:lvl w:ilvl="5" w:tplc="21F2C816">
      <w:numFmt w:val="bullet"/>
      <w:lvlText w:val="•"/>
      <w:lvlJc w:val="left"/>
      <w:pPr>
        <w:ind w:left="3601" w:hanging="380"/>
      </w:pPr>
      <w:rPr>
        <w:rFonts w:hint="default"/>
        <w:lang w:val="en-US" w:eastAsia="en-US" w:bidi="ar-SA"/>
      </w:rPr>
    </w:lvl>
    <w:lvl w:ilvl="6" w:tplc="9572E2FE">
      <w:numFmt w:val="bullet"/>
      <w:lvlText w:val="•"/>
      <w:lvlJc w:val="left"/>
      <w:pPr>
        <w:ind w:left="4221" w:hanging="380"/>
      </w:pPr>
      <w:rPr>
        <w:rFonts w:hint="default"/>
        <w:lang w:val="en-US" w:eastAsia="en-US" w:bidi="ar-SA"/>
      </w:rPr>
    </w:lvl>
    <w:lvl w:ilvl="7" w:tplc="E08E64BC">
      <w:numFmt w:val="bullet"/>
      <w:lvlText w:val="•"/>
      <w:lvlJc w:val="left"/>
      <w:pPr>
        <w:ind w:left="4842" w:hanging="380"/>
      </w:pPr>
      <w:rPr>
        <w:rFonts w:hint="default"/>
        <w:lang w:val="en-US" w:eastAsia="en-US" w:bidi="ar-SA"/>
      </w:rPr>
    </w:lvl>
    <w:lvl w:ilvl="8" w:tplc="E02EF6F2">
      <w:numFmt w:val="bullet"/>
      <w:lvlText w:val="•"/>
      <w:lvlJc w:val="left"/>
      <w:pPr>
        <w:ind w:left="5462" w:hanging="380"/>
      </w:pPr>
      <w:rPr>
        <w:rFonts w:hint="default"/>
        <w:lang w:val="en-US" w:eastAsia="en-US" w:bidi="ar-SA"/>
      </w:rPr>
    </w:lvl>
  </w:abstractNum>
  <w:abstractNum w:abstractNumId="4" w15:restartNumberingAfterBreak="0">
    <w:nsid w:val="19F0472A"/>
    <w:multiLevelType w:val="hybridMultilevel"/>
    <w:tmpl w:val="CFD6F54A"/>
    <w:lvl w:ilvl="0" w:tplc="9FFABC28">
      <w:start w:val="1"/>
      <w:numFmt w:val="decimal"/>
      <w:lvlText w:val="(%1)"/>
      <w:lvlJc w:val="left"/>
      <w:pPr>
        <w:ind w:left="311" w:hanging="202"/>
        <w:jc w:val="left"/>
      </w:pPr>
      <w:rPr>
        <w:rFonts w:ascii="Trebuchet MS" w:eastAsia="Trebuchet MS" w:hAnsi="Trebuchet MS" w:cs="Trebuchet MS" w:hint="default"/>
        <w:b w:val="0"/>
        <w:bCs w:val="0"/>
        <w:i w:val="0"/>
        <w:iCs w:val="0"/>
        <w:color w:val="231F20"/>
        <w:spacing w:val="-5"/>
        <w:w w:val="90"/>
        <w:sz w:val="14"/>
        <w:szCs w:val="14"/>
        <w:lang w:val="en-US" w:eastAsia="en-US" w:bidi="ar-SA"/>
      </w:rPr>
    </w:lvl>
    <w:lvl w:ilvl="1" w:tplc="C9AA1180">
      <w:numFmt w:val="bullet"/>
      <w:lvlText w:val="•"/>
      <w:lvlJc w:val="left"/>
      <w:pPr>
        <w:ind w:left="405" w:hanging="202"/>
      </w:pPr>
      <w:rPr>
        <w:rFonts w:hint="default"/>
        <w:lang w:val="en-US" w:eastAsia="en-US" w:bidi="ar-SA"/>
      </w:rPr>
    </w:lvl>
    <w:lvl w:ilvl="2" w:tplc="E21E2AFE">
      <w:numFmt w:val="bullet"/>
      <w:lvlText w:val="•"/>
      <w:lvlJc w:val="left"/>
      <w:pPr>
        <w:ind w:left="490" w:hanging="202"/>
      </w:pPr>
      <w:rPr>
        <w:rFonts w:hint="default"/>
        <w:lang w:val="en-US" w:eastAsia="en-US" w:bidi="ar-SA"/>
      </w:rPr>
    </w:lvl>
    <w:lvl w:ilvl="3" w:tplc="A03492B2">
      <w:numFmt w:val="bullet"/>
      <w:lvlText w:val="•"/>
      <w:lvlJc w:val="left"/>
      <w:pPr>
        <w:ind w:left="575" w:hanging="202"/>
      </w:pPr>
      <w:rPr>
        <w:rFonts w:hint="default"/>
        <w:lang w:val="en-US" w:eastAsia="en-US" w:bidi="ar-SA"/>
      </w:rPr>
    </w:lvl>
    <w:lvl w:ilvl="4" w:tplc="4E2410C0">
      <w:numFmt w:val="bullet"/>
      <w:lvlText w:val="•"/>
      <w:lvlJc w:val="left"/>
      <w:pPr>
        <w:ind w:left="660" w:hanging="202"/>
      </w:pPr>
      <w:rPr>
        <w:rFonts w:hint="default"/>
        <w:lang w:val="en-US" w:eastAsia="en-US" w:bidi="ar-SA"/>
      </w:rPr>
    </w:lvl>
    <w:lvl w:ilvl="5" w:tplc="E678174E">
      <w:numFmt w:val="bullet"/>
      <w:lvlText w:val="•"/>
      <w:lvlJc w:val="left"/>
      <w:pPr>
        <w:ind w:left="745" w:hanging="202"/>
      </w:pPr>
      <w:rPr>
        <w:rFonts w:hint="default"/>
        <w:lang w:val="en-US" w:eastAsia="en-US" w:bidi="ar-SA"/>
      </w:rPr>
    </w:lvl>
    <w:lvl w:ilvl="6" w:tplc="4EF0B318">
      <w:numFmt w:val="bullet"/>
      <w:lvlText w:val="•"/>
      <w:lvlJc w:val="left"/>
      <w:pPr>
        <w:ind w:left="830" w:hanging="202"/>
      </w:pPr>
      <w:rPr>
        <w:rFonts w:hint="default"/>
        <w:lang w:val="en-US" w:eastAsia="en-US" w:bidi="ar-SA"/>
      </w:rPr>
    </w:lvl>
    <w:lvl w:ilvl="7" w:tplc="4A3C4FB8">
      <w:numFmt w:val="bullet"/>
      <w:lvlText w:val="•"/>
      <w:lvlJc w:val="left"/>
      <w:pPr>
        <w:ind w:left="915" w:hanging="202"/>
      </w:pPr>
      <w:rPr>
        <w:rFonts w:hint="default"/>
        <w:lang w:val="en-US" w:eastAsia="en-US" w:bidi="ar-SA"/>
      </w:rPr>
    </w:lvl>
    <w:lvl w:ilvl="8" w:tplc="A2C04ABA">
      <w:numFmt w:val="bullet"/>
      <w:lvlText w:val="•"/>
      <w:lvlJc w:val="left"/>
      <w:pPr>
        <w:ind w:left="1001" w:hanging="202"/>
      </w:pPr>
      <w:rPr>
        <w:rFonts w:hint="default"/>
        <w:lang w:val="en-US" w:eastAsia="en-US" w:bidi="ar-SA"/>
      </w:rPr>
    </w:lvl>
  </w:abstractNum>
  <w:abstractNum w:abstractNumId="5" w15:restartNumberingAfterBreak="0">
    <w:nsid w:val="1F070F5E"/>
    <w:multiLevelType w:val="hybridMultilevel"/>
    <w:tmpl w:val="5748D56A"/>
    <w:lvl w:ilvl="0" w:tplc="BF4C6EB6">
      <w:start w:val="1"/>
      <w:numFmt w:val="decimal"/>
      <w:lvlText w:val="(%1)"/>
      <w:lvlJc w:val="left"/>
      <w:pPr>
        <w:ind w:left="311" w:hanging="202"/>
        <w:jc w:val="left"/>
      </w:pPr>
      <w:rPr>
        <w:rFonts w:ascii="Trebuchet MS" w:eastAsia="Trebuchet MS" w:hAnsi="Trebuchet MS" w:cs="Trebuchet MS" w:hint="default"/>
        <w:b w:val="0"/>
        <w:bCs w:val="0"/>
        <w:i w:val="0"/>
        <w:iCs w:val="0"/>
        <w:color w:val="231F20"/>
        <w:spacing w:val="-5"/>
        <w:w w:val="90"/>
        <w:sz w:val="14"/>
        <w:szCs w:val="14"/>
        <w:lang w:val="en-US" w:eastAsia="en-US" w:bidi="ar-SA"/>
      </w:rPr>
    </w:lvl>
    <w:lvl w:ilvl="1" w:tplc="9C088422">
      <w:numFmt w:val="bullet"/>
      <w:lvlText w:val="•"/>
      <w:lvlJc w:val="left"/>
      <w:pPr>
        <w:ind w:left="956" w:hanging="202"/>
      </w:pPr>
      <w:rPr>
        <w:rFonts w:hint="default"/>
        <w:lang w:val="en-US" w:eastAsia="en-US" w:bidi="ar-SA"/>
      </w:rPr>
    </w:lvl>
    <w:lvl w:ilvl="2" w:tplc="79007DD4">
      <w:numFmt w:val="bullet"/>
      <w:lvlText w:val="•"/>
      <w:lvlJc w:val="left"/>
      <w:pPr>
        <w:ind w:left="1592" w:hanging="202"/>
      </w:pPr>
      <w:rPr>
        <w:rFonts w:hint="default"/>
        <w:lang w:val="en-US" w:eastAsia="en-US" w:bidi="ar-SA"/>
      </w:rPr>
    </w:lvl>
    <w:lvl w:ilvl="3" w:tplc="9BEE6C62">
      <w:numFmt w:val="bullet"/>
      <w:lvlText w:val="•"/>
      <w:lvlJc w:val="left"/>
      <w:pPr>
        <w:ind w:left="2228" w:hanging="202"/>
      </w:pPr>
      <w:rPr>
        <w:rFonts w:hint="default"/>
        <w:lang w:val="en-US" w:eastAsia="en-US" w:bidi="ar-SA"/>
      </w:rPr>
    </w:lvl>
    <w:lvl w:ilvl="4" w:tplc="89F6303A">
      <w:numFmt w:val="bullet"/>
      <w:lvlText w:val="•"/>
      <w:lvlJc w:val="left"/>
      <w:pPr>
        <w:ind w:left="2865" w:hanging="202"/>
      </w:pPr>
      <w:rPr>
        <w:rFonts w:hint="default"/>
        <w:lang w:val="en-US" w:eastAsia="en-US" w:bidi="ar-SA"/>
      </w:rPr>
    </w:lvl>
    <w:lvl w:ilvl="5" w:tplc="85AC9756">
      <w:numFmt w:val="bullet"/>
      <w:lvlText w:val="•"/>
      <w:lvlJc w:val="left"/>
      <w:pPr>
        <w:ind w:left="3501" w:hanging="202"/>
      </w:pPr>
      <w:rPr>
        <w:rFonts w:hint="default"/>
        <w:lang w:val="en-US" w:eastAsia="en-US" w:bidi="ar-SA"/>
      </w:rPr>
    </w:lvl>
    <w:lvl w:ilvl="6" w:tplc="3D94CBBC">
      <w:numFmt w:val="bullet"/>
      <w:lvlText w:val="•"/>
      <w:lvlJc w:val="left"/>
      <w:pPr>
        <w:ind w:left="4137" w:hanging="202"/>
      </w:pPr>
      <w:rPr>
        <w:rFonts w:hint="default"/>
        <w:lang w:val="en-US" w:eastAsia="en-US" w:bidi="ar-SA"/>
      </w:rPr>
    </w:lvl>
    <w:lvl w:ilvl="7" w:tplc="9BA45468">
      <w:numFmt w:val="bullet"/>
      <w:lvlText w:val="•"/>
      <w:lvlJc w:val="left"/>
      <w:pPr>
        <w:ind w:left="4774" w:hanging="202"/>
      </w:pPr>
      <w:rPr>
        <w:rFonts w:hint="default"/>
        <w:lang w:val="en-US" w:eastAsia="en-US" w:bidi="ar-SA"/>
      </w:rPr>
    </w:lvl>
    <w:lvl w:ilvl="8" w:tplc="AF6E902E">
      <w:numFmt w:val="bullet"/>
      <w:lvlText w:val="•"/>
      <w:lvlJc w:val="left"/>
      <w:pPr>
        <w:ind w:left="5410" w:hanging="202"/>
      </w:pPr>
      <w:rPr>
        <w:rFonts w:hint="default"/>
        <w:lang w:val="en-US" w:eastAsia="en-US" w:bidi="ar-SA"/>
      </w:rPr>
    </w:lvl>
  </w:abstractNum>
  <w:abstractNum w:abstractNumId="6" w15:restartNumberingAfterBreak="0">
    <w:nsid w:val="20D95A11"/>
    <w:multiLevelType w:val="hybridMultilevel"/>
    <w:tmpl w:val="1C425A1C"/>
    <w:lvl w:ilvl="0" w:tplc="413856E0">
      <w:start w:val="1"/>
      <w:numFmt w:val="decimal"/>
      <w:lvlText w:val="(%1)"/>
      <w:lvlJc w:val="left"/>
      <w:pPr>
        <w:ind w:left="342" w:hanging="233"/>
        <w:jc w:val="left"/>
      </w:pPr>
      <w:rPr>
        <w:rFonts w:ascii="Trebuchet MS" w:eastAsia="Trebuchet MS" w:hAnsi="Trebuchet MS" w:cs="Trebuchet MS" w:hint="default"/>
        <w:b w:val="0"/>
        <w:bCs w:val="0"/>
        <w:i w:val="0"/>
        <w:iCs w:val="0"/>
        <w:color w:val="231F20"/>
        <w:spacing w:val="-5"/>
        <w:w w:val="90"/>
        <w:sz w:val="14"/>
        <w:szCs w:val="14"/>
        <w:lang w:val="en-US" w:eastAsia="en-US" w:bidi="ar-SA"/>
      </w:rPr>
    </w:lvl>
    <w:lvl w:ilvl="1" w:tplc="577EFCCC">
      <w:numFmt w:val="bullet"/>
      <w:lvlText w:val="•"/>
      <w:lvlJc w:val="left"/>
      <w:pPr>
        <w:ind w:left="976" w:hanging="233"/>
      </w:pPr>
      <w:rPr>
        <w:rFonts w:hint="default"/>
        <w:lang w:val="en-US" w:eastAsia="en-US" w:bidi="ar-SA"/>
      </w:rPr>
    </w:lvl>
    <w:lvl w:ilvl="2" w:tplc="C3868A94">
      <w:numFmt w:val="bullet"/>
      <w:lvlText w:val="•"/>
      <w:lvlJc w:val="left"/>
      <w:pPr>
        <w:ind w:left="1612" w:hanging="233"/>
      </w:pPr>
      <w:rPr>
        <w:rFonts w:hint="default"/>
        <w:lang w:val="en-US" w:eastAsia="en-US" w:bidi="ar-SA"/>
      </w:rPr>
    </w:lvl>
    <w:lvl w:ilvl="3" w:tplc="D472C9CA">
      <w:numFmt w:val="bullet"/>
      <w:lvlText w:val="•"/>
      <w:lvlJc w:val="left"/>
      <w:pPr>
        <w:ind w:left="2248" w:hanging="233"/>
      </w:pPr>
      <w:rPr>
        <w:rFonts w:hint="default"/>
        <w:lang w:val="en-US" w:eastAsia="en-US" w:bidi="ar-SA"/>
      </w:rPr>
    </w:lvl>
    <w:lvl w:ilvl="4" w:tplc="0116EBEA">
      <w:numFmt w:val="bullet"/>
      <w:lvlText w:val="•"/>
      <w:lvlJc w:val="left"/>
      <w:pPr>
        <w:ind w:left="2885" w:hanging="233"/>
      </w:pPr>
      <w:rPr>
        <w:rFonts w:hint="default"/>
        <w:lang w:val="en-US" w:eastAsia="en-US" w:bidi="ar-SA"/>
      </w:rPr>
    </w:lvl>
    <w:lvl w:ilvl="5" w:tplc="0CF20B0A">
      <w:numFmt w:val="bullet"/>
      <w:lvlText w:val="•"/>
      <w:lvlJc w:val="left"/>
      <w:pPr>
        <w:ind w:left="3521" w:hanging="233"/>
      </w:pPr>
      <w:rPr>
        <w:rFonts w:hint="default"/>
        <w:lang w:val="en-US" w:eastAsia="en-US" w:bidi="ar-SA"/>
      </w:rPr>
    </w:lvl>
    <w:lvl w:ilvl="6" w:tplc="DFFA2796">
      <w:numFmt w:val="bullet"/>
      <w:lvlText w:val="•"/>
      <w:lvlJc w:val="left"/>
      <w:pPr>
        <w:ind w:left="4157" w:hanging="233"/>
      </w:pPr>
      <w:rPr>
        <w:rFonts w:hint="default"/>
        <w:lang w:val="en-US" w:eastAsia="en-US" w:bidi="ar-SA"/>
      </w:rPr>
    </w:lvl>
    <w:lvl w:ilvl="7" w:tplc="FB2ED65E">
      <w:numFmt w:val="bullet"/>
      <w:lvlText w:val="•"/>
      <w:lvlJc w:val="left"/>
      <w:pPr>
        <w:ind w:left="4794" w:hanging="233"/>
      </w:pPr>
      <w:rPr>
        <w:rFonts w:hint="default"/>
        <w:lang w:val="en-US" w:eastAsia="en-US" w:bidi="ar-SA"/>
      </w:rPr>
    </w:lvl>
    <w:lvl w:ilvl="8" w:tplc="90A47FFA">
      <w:numFmt w:val="bullet"/>
      <w:lvlText w:val="•"/>
      <w:lvlJc w:val="left"/>
      <w:pPr>
        <w:ind w:left="5430" w:hanging="233"/>
      </w:pPr>
      <w:rPr>
        <w:rFonts w:hint="default"/>
        <w:lang w:val="en-US" w:eastAsia="en-US" w:bidi="ar-SA"/>
      </w:rPr>
    </w:lvl>
  </w:abstractNum>
  <w:abstractNum w:abstractNumId="7" w15:restartNumberingAfterBreak="0">
    <w:nsid w:val="3B643DEE"/>
    <w:multiLevelType w:val="hybridMultilevel"/>
    <w:tmpl w:val="44F4A2AA"/>
    <w:lvl w:ilvl="0" w:tplc="00B2077A">
      <w:start w:val="1"/>
      <w:numFmt w:val="decimal"/>
      <w:lvlText w:val="(%1)"/>
      <w:lvlJc w:val="left"/>
      <w:pPr>
        <w:ind w:left="490" w:hanging="380"/>
        <w:jc w:val="left"/>
      </w:pPr>
      <w:rPr>
        <w:rFonts w:ascii="Cambria" w:eastAsia="Cambria" w:hAnsi="Cambria" w:cs="Cambria" w:hint="default"/>
        <w:b w:val="0"/>
        <w:bCs w:val="0"/>
        <w:i w:val="0"/>
        <w:iCs w:val="0"/>
        <w:color w:val="231F20"/>
        <w:spacing w:val="-5"/>
        <w:w w:val="84"/>
        <w:sz w:val="21"/>
        <w:szCs w:val="21"/>
        <w:lang w:val="en-US" w:eastAsia="en-US" w:bidi="ar-SA"/>
      </w:rPr>
    </w:lvl>
    <w:lvl w:ilvl="1" w:tplc="16A2C6CA">
      <w:numFmt w:val="bullet"/>
      <w:lvlText w:val="•"/>
      <w:lvlJc w:val="left"/>
      <w:pPr>
        <w:ind w:left="500" w:hanging="380"/>
      </w:pPr>
      <w:rPr>
        <w:rFonts w:hint="default"/>
        <w:lang w:val="en-US" w:eastAsia="en-US" w:bidi="ar-SA"/>
      </w:rPr>
    </w:lvl>
    <w:lvl w:ilvl="2" w:tplc="E0C4443C">
      <w:numFmt w:val="bullet"/>
      <w:lvlText w:val="•"/>
      <w:lvlJc w:val="left"/>
      <w:pPr>
        <w:ind w:left="1189" w:hanging="380"/>
      </w:pPr>
      <w:rPr>
        <w:rFonts w:hint="default"/>
        <w:lang w:val="en-US" w:eastAsia="en-US" w:bidi="ar-SA"/>
      </w:rPr>
    </w:lvl>
    <w:lvl w:ilvl="3" w:tplc="36C691EE">
      <w:numFmt w:val="bullet"/>
      <w:lvlText w:val="•"/>
      <w:lvlJc w:val="left"/>
      <w:pPr>
        <w:ind w:left="1878" w:hanging="380"/>
      </w:pPr>
      <w:rPr>
        <w:rFonts w:hint="default"/>
        <w:lang w:val="en-US" w:eastAsia="en-US" w:bidi="ar-SA"/>
      </w:rPr>
    </w:lvl>
    <w:lvl w:ilvl="4" w:tplc="055A99E0">
      <w:numFmt w:val="bullet"/>
      <w:lvlText w:val="•"/>
      <w:lvlJc w:val="left"/>
      <w:pPr>
        <w:ind w:left="2567" w:hanging="380"/>
      </w:pPr>
      <w:rPr>
        <w:rFonts w:hint="default"/>
        <w:lang w:val="en-US" w:eastAsia="en-US" w:bidi="ar-SA"/>
      </w:rPr>
    </w:lvl>
    <w:lvl w:ilvl="5" w:tplc="B6FEC73E">
      <w:numFmt w:val="bullet"/>
      <w:lvlText w:val="•"/>
      <w:lvlJc w:val="left"/>
      <w:pPr>
        <w:ind w:left="3256" w:hanging="380"/>
      </w:pPr>
      <w:rPr>
        <w:rFonts w:hint="default"/>
        <w:lang w:val="en-US" w:eastAsia="en-US" w:bidi="ar-SA"/>
      </w:rPr>
    </w:lvl>
    <w:lvl w:ilvl="6" w:tplc="4620C6E6">
      <w:numFmt w:val="bullet"/>
      <w:lvlText w:val="•"/>
      <w:lvlJc w:val="left"/>
      <w:pPr>
        <w:ind w:left="3946" w:hanging="380"/>
      </w:pPr>
      <w:rPr>
        <w:rFonts w:hint="default"/>
        <w:lang w:val="en-US" w:eastAsia="en-US" w:bidi="ar-SA"/>
      </w:rPr>
    </w:lvl>
    <w:lvl w:ilvl="7" w:tplc="089CCBF4">
      <w:numFmt w:val="bullet"/>
      <w:lvlText w:val="•"/>
      <w:lvlJc w:val="left"/>
      <w:pPr>
        <w:ind w:left="4635" w:hanging="380"/>
      </w:pPr>
      <w:rPr>
        <w:rFonts w:hint="default"/>
        <w:lang w:val="en-US" w:eastAsia="en-US" w:bidi="ar-SA"/>
      </w:rPr>
    </w:lvl>
    <w:lvl w:ilvl="8" w:tplc="E73C96B8">
      <w:numFmt w:val="bullet"/>
      <w:lvlText w:val="•"/>
      <w:lvlJc w:val="left"/>
      <w:pPr>
        <w:ind w:left="5324" w:hanging="380"/>
      </w:pPr>
      <w:rPr>
        <w:rFonts w:hint="default"/>
        <w:lang w:val="en-US" w:eastAsia="en-US" w:bidi="ar-SA"/>
      </w:rPr>
    </w:lvl>
  </w:abstractNum>
  <w:abstractNum w:abstractNumId="8" w15:restartNumberingAfterBreak="0">
    <w:nsid w:val="3D7D156A"/>
    <w:multiLevelType w:val="hybridMultilevel"/>
    <w:tmpl w:val="792276C8"/>
    <w:lvl w:ilvl="0" w:tplc="32228A50">
      <w:start w:val="1"/>
      <w:numFmt w:val="decimal"/>
      <w:lvlText w:val="(%1)"/>
      <w:lvlJc w:val="left"/>
      <w:pPr>
        <w:ind w:left="490" w:hanging="380"/>
        <w:jc w:val="left"/>
      </w:pPr>
      <w:rPr>
        <w:rFonts w:ascii="Cambria" w:eastAsia="Cambria" w:hAnsi="Cambria" w:cs="Cambria" w:hint="default"/>
        <w:b w:val="0"/>
        <w:bCs w:val="0"/>
        <w:i w:val="0"/>
        <w:iCs w:val="0"/>
        <w:color w:val="231F20"/>
        <w:spacing w:val="-5"/>
        <w:w w:val="84"/>
        <w:sz w:val="21"/>
        <w:szCs w:val="21"/>
        <w:lang w:val="en-US" w:eastAsia="en-US" w:bidi="ar-SA"/>
      </w:rPr>
    </w:lvl>
    <w:lvl w:ilvl="1" w:tplc="9C144C2C">
      <w:numFmt w:val="bullet"/>
      <w:lvlText w:val="•"/>
      <w:lvlJc w:val="left"/>
      <w:pPr>
        <w:ind w:left="1120" w:hanging="380"/>
      </w:pPr>
      <w:rPr>
        <w:rFonts w:hint="default"/>
        <w:lang w:val="en-US" w:eastAsia="en-US" w:bidi="ar-SA"/>
      </w:rPr>
    </w:lvl>
    <w:lvl w:ilvl="2" w:tplc="B4EEBF16">
      <w:numFmt w:val="bullet"/>
      <w:lvlText w:val="•"/>
      <w:lvlJc w:val="left"/>
      <w:pPr>
        <w:ind w:left="1740" w:hanging="380"/>
      </w:pPr>
      <w:rPr>
        <w:rFonts w:hint="default"/>
        <w:lang w:val="en-US" w:eastAsia="en-US" w:bidi="ar-SA"/>
      </w:rPr>
    </w:lvl>
    <w:lvl w:ilvl="3" w:tplc="40E2686A">
      <w:numFmt w:val="bullet"/>
      <w:lvlText w:val="•"/>
      <w:lvlJc w:val="left"/>
      <w:pPr>
        <w:ind w:left="2360" w:hanging="380"/>
      </w:pPr>
      <w:rPr>
        <w:rFonts w:hint="default"/>
        <w:lang w:val="en-US" w:eastAsia="en-US" w:bidi="ar-SA"/>
      </w:rPr>
    </w:lvl>
    <w:lvl w:ilvl="4" w:tplc="0BE498A4">
      <w:numFmt w:val="bullet"/>
      <w:lvlText w:val="•"/>
      <w:lvlJc w:val="left"/>
      <w:pPr>
        <w:ind w:left="2981" w:hanging="380"/>
      </w:pPr>
      <w:rPr>
        <w:rFonts w:hint="default"/>
        <w:lang w:val="en-US" w:eastAsia="en-US" w:bidi="ar-SA"/>
      </w:rPr>
    </w:lvl>
    <w:lvl w:ilvl="5" w:tplc="5D96A36E">
      <w:numFmt w:val="bullet"/>
      <w:lvlText w:val="•"/>
      <w:lvlJc w:val="left"/>
      <w:pPr>
        <w:ind w:left="3601" w:hanging="380"/>
      </w:pPr>
      <w:rPr>
        <w:rFonts w:hint="default"/>
        <w:lang w:val="en-US" w:eastAsia="en-US" w:bidi="ar-SA"/>
      </w:rPr>
    </w:lvl>
    <w:lvl w:ilvl="6" w:tplc="1DD4A83E">
      <w:numFmt w:val="bullet"/>
      <w:lvlText w:val="•"/>
      <w:lvlJc w:val="left"/>
      <w:pPr>
        <w:ind w:left="4221" w:hanging="380"/>
      </w:pPr>
      <w:rPr>
        <w:rFonts w:hint="default"/>
        <w:lang w:val="en-US" w:eastAsia="en-US" w:bidi="ar-SA"/>
      </w:rPr>
    </w:lvl>
    <w:lvl w:ilvl="7" w:tplc="C6347358">
      <w:numFmt w:val="bullet"/>
      <w:lvlText w:val="•"/>
      <w:lvlJc w:val="left"/>
      <w:pPr>
        <w:ind w:left="4842" w:hanging="380"/>
      </w:pPr>
      <w:rPr>
        <w:rFonts w:hint="default"/>
        <w:lang w:val="en-US" w:eastAsia="en-US" w:bidi="ar-SA"/>
      </w:rPr>
    </w:lvl>
    <w:lvl w:ilvl="8" w:tplc="50C63CAC">
      <w:numFmt w:val="bullet"/>
      <w:lvlText w:val="•"/>
      <w:lvlJc w:val="left"/>
      <w:pPr>
        <w:ind w:left="5462" w:hanging="380"/>
      </w:pPr>
      <w:rPr>
        <w:rFonts w:hint="default"/>
        <w:lang w:val="en-US" w:eastAsia="en-US" w:bidi="ar-SA"/>
      </w:rPr>
    </w:lvl>
  </w:abstractNum>
  <w:abstractNum w:abstractNumId="9" w15:restartNumberingAfterBreak="0">
    <w:nsid w:val="40716F2B"/>
    <w:multiLevelType w:val="hybridMultilevel"/>
    <w:tmpl w:val="080E5E20"/>
    <w:lvl w:ilvl="0" w:tplc="764A502E">
      <w:start w:val="1"/>
      <w:numFmt w:val="decimal"/>
      <w:lvlText w:val="(%1)"/>
      <w:lvlJc w:val="left"/>
      <w:pPr>
        <w:ind w:left="490" w:hanging="380"/>
        <w:jc w:val="left"/>
      </w:pPr>
      <w:rPr>
        <w:rFonts w:ascii="Cambria" w:eastAsia="Cambria" w:hAnsi="Cambria" w:cs="Cambria" w:hint="default"/>
        <w:b w:val="0"/>
        <w:bCs w:val="0"/>
        <w:i w:val="0"/>
        <w:iCs w:val="0"/>
        <w:color w:val="231F20"/>
        <w:spacing w:val="-5"/>
        <w:w w:val="84"/>
        <w:sz w:val="21"/>
        <w:szCs w:val="21"/>
        <w:lang w:val="en-US" w:eastAsia="en-US" w:bidi="ar-SA"/>
      </w:rPr>
    </w:lvl>
    <w:lvl w:ilvl="1" w:tplc="67964468">
      <w:numFmt w:val="bullet"/>
      <w:lvlText w:val="•"/>
      <w:lvlJc w:val="left"/>
      <w:pPr>
        <w:ind w:left="1120" w:hanging="380"/>
      </w:pPr>
      <w:rPr>
        <w:rFonts w:hint="default"/>
        <w:lang w:val="en-US" w:eastAsia="en-US" w:bidi="ar-SA"/>
      </w:rPr>
    </w:lvl>
    <w:lvl w:ilvl="2" w:tplc="AA3C6D9C">
      <w:numFmt w:val="bullet"/>
      <w:lvlText w:val="•"/>
      <w:lvlJc w:val="left"/>
      <w:pPr>
        <w:ind w:left="1740" w:hanging="380"/>
      </w:pPr>
      <w:rPr>
        <w:rFonts w:hint="default"/>
        <w:lang w:val="en-US" w:eastAsia="en-US" w:bidi="ar-SA"/>
      </w:rPr>
    </w:lvl>
    <w:lvl w:ilvl="3" w:tplc="9D08BD18">
      <w:numFmt w:val="bullet"/>
      <w:lvlText w:val="•"/>
      <w:lvlJc w:val="left"/>
      <w:pPr>
        <w:ind w:left="2360" w:hanging="380"/>
      </w:pPr>
      <w:rPr>
        <w:rFonts w:hint="default"/>
        <w:lang w:val="en-US" w:eastAsia="en-US" w:bidi="ar-SA"/>
      </w:rPr>
    </w:lvl>
    <w:lvl w:ilvl="4" w:tplc="B1AED166">
      <w:numFmt w:val="bullet"/>
      <w:lvlText w:val="•"/>
      <w:lvlJc w:val="left"/>
      <w:pPr>
        <w:ind w:left="2981" w:hanging="380"/>
      </w:pPr>
      <w:rPr>
        <w:rFonts w:hint="default"/>
        <w:lang w:val="en-US" w:eastAsia="en-US" w:bidi="ar-SA"/>
      </w:rPr>
    </w:lvl>
    <w:lvl w:ilvl="5" w:tplc="C73CFA82">
      <w:numFmt w:val="bullet"/>
      <w:lvlText w:val="•"/>
      <w:lvlJc w:val="left"/>
      <w:pPr>
        <w:ind w:left="3601" w:hanging="380"/>
      </w:pPr>
      <w:rPr>
        <w:rFonts w:hint="default"/>
        <w:lang w:val="en-US" w:eastAsia="en-US" w:bidi="ar-SA"/>
      </w:rPr>
    </w:lvl>
    <w:lvl w:ilvl="6" w:tplc="FA84550E">
      <w:numFmt w:val="bullet"/>
      <w:lvlText w:val="•"/>
      <w:lvlJc w:val="left"/>
      <w:pPr>
        <w:ind w:left="4221" w:hanging="380"/>
      </w:pPr>
      <w:rPr>
        <w:rFonts w:hint="default"/>
        <w:lang w:val="en-US" w:eastAsia="en-US" w:bidi="ar-SA"/>
      </w:rPr>
    </w:lvl>
    <w:lvl w:ilvl="7" w:tplc="79FC1D5A">
      <w:numFmt w:val="bullet"/>
      <w:lvlText w:val="•"/>
      <w:lvlJc w:val="left"/>
      <w:pPr>
        <w:ind w:left="4842" w:hanging="380"/>
      </w:pPr>
      <w:rPr>
        <w:rFonts w:hint="default"/>
        <w:lang w:val="en-US" w:eastAsia="en-US" w:bidi="ar-SA"/>
      </w:rPr>
    </w:lvl>
    <w:lvl w:ilvl="8" w:tplc="539C19FE">
      <w:numFmt w:val="bullet"/>
      <w:lvlText w:val="•"/>
      <w:lvlJc w:val="left"/>
      <w:pPr>
        <w:ind w:left="5462" w:hanging="380"/>
      </w:pPr>
      <w:rPr>
        <w:rFonts w:hint="default"/>
        <w:lang w:val="en-US" w:eastAsia="en-US" w:bidi="ar-SA"/>
      </w:rPr>
    </w:lvl>
  </w:abstractNum>
  <w:abstractNum w:abstractNumId="10" w15:restartNumberingAfterBreak="0">
    <w:nsid w:val="446813A0"/>
    <w:multiLevelType w:val="hybridMultilevel"/>
    <w:tmpl w:val="12E43344"/>
    <w:lvl w:ilvl="0" w:tplc="166CB674">
      <w:start w:val="1"/>
      <w:numFmt w:val="decimal"/>
      <w:lvlText w:val="%1"/>
      <w:lvlJc w:val="left"/>
      <w:pPr>
        <w:ind w:left="526" w:hanging="360"/>
        <w:jc w:val="left"/>
      </w:pPr>
      <w:rPr>
        <w:rFonts w:ascii="Cambria" w:eastAsia="Cambria" w:hAnsi="Cambria" w:cs="Cambria" w:hint="default"/>
        <w:b w:val="0"/>
        <w:bCs w:val="0"/>
        <w:i w:val="0"/>
        <w:iCs w:val="0"/>
        <w:color w:val="231F20"/>
        <w:w w:val="86"/>
        <w:sz w:val="21"/>
        <w:szCs w:val="21"/>
        <w:lang w:val="en-US" w:eastAsia="en-US" w:bidi="ar-SA"/>
      </w:rPr>
    </w:lvl>
    <w:lvl w:ilvl="1" w:tplc="F31AD5F6">
      <w:numFmt w:val="bullet"/>
      <w:lvlText w:val="•"/>
      <w:lvlJc w:val="left"/>
      <w:pPr>
        <w:ind w:left="1136" w:hanging="360"/>
      </w:pPr>
      <w:rPr>
        <w:rFonts w:hint="default"/>
        <w:lang w:val="en-US" w:eastAsia="en-US" w:bidi="ar-SA"/>
      </w:rPr>
    </w:lvl>
    <w:lvl w:ilvl="2" w:tplc="FBB6103A">
      <w:numFmt w:val="bullet"/>
      <w:lvlText w:val="•"/>
      <w:lvlJc w:val="left"/>
      <w:pPr>
        <w:ind w:left="1752" w:hanging="360"/>
      </w:pPr>
      <w:rPr>
        <w:rFonts w:hint="default"/>
        <w:lang w:val="en-US" w:eastAsia="en-US" w:bidi="ar-SA"/>
      </w:rPr>
    </w:lvl>
    <w:lvl w:ilvl="3" w:tplc="E7F42E32">
      <w:numFmt w:val="bullet"/>
      <w:lvlText w:val="•"/>
      <w:lvlJc w:val="left"/>
      <w:pPr>
        <w:ind w:left="2368" w:hanging="360"/>
      </w:pPr>
      <w:rPr>
        <w:rFonts w:hint="default"/>
        <w:lang w:val="en-US" w:eastAsia="en-US" w:bidi="ar-SA"/>
      </w:rPr>
    </w:lvl>
    <w:lvl w:ilvl="4" w:tplc="9FD89EBE">
      <w:numFmt w:val="bullet"/>
      <w:lvlText w:val="•"/>
      <w:lvlJc w:val="left"/>
      <w:pPr>
        <w:ind w:left="2985" w:hanging="360"/>
      </w:pPr>
      <w:rPr>
        <w:rFonts w:hint="default"/>
        <w:lang w:val="en-US" w:eastAsia="en-US" w:bidi="ar-SA"/>
      </w:rPr>
    </w:lvl>
    <w:lvl w:ilvl="5" w:tplc="45E84A88">
      <w:numFmt w:val="bullet"/>
      <w:lvlText w:val="•"/>
      <w:lvlJc w:val="left"/>
      <w:pPr>
        <w:ind w:left="3601" w:hanging="360"/>
      </w:pPr>
      <w:rPr>
        <w:rFonts w:hint="default"/>
        <w:lang w:val="en-US" w:eastAsia="en-US" w:bidi="ar-SA"/>
      </w:rPr>
    </w:lvl>
    <w:lvl w:ilvl="6" w:tplc="92A2BCD6">
      <w:numFmt w:val="bullet"/>
      <w:lvlText w:val="•"/>
      <w:lvlJc w:val="left"/>
      <w:pPr>
        <w:ind w:left="4217" w:hanging="360"/>
      </w:pPr>
      <w:rPr>
        <w:rFonts w:hint="default"/>
        <w:lang w:val="en-US" w:eastAsia="en-US" w:bidi="ar-SA"/>
      </w:rPr>
    </w:lvl>
    <w:lvl w:ilvl="7" w:tplc="0E92432E">
      <w:numFmt w:val="bullet"/>
      <w:lvlText w:val="•"/>
      <w:lvlJc w:val="left"/>
      <w:pPr>
        <w:ind w:left="4834" w:hanging="360"/>
      </w:pPr>
      <w:rPr>
        <w:rFonts w:hint="default"/>
        <w:lang w:val="en-US" w:eastAsia="en-US" w:bidi="ar-SA"/>
      </w:rPr>
    </w:lvl>
    <w:lvl w:ilvl="8" w:tplc="CE60B1EE">
      <w:numFmt w:val="bullet"/>
      <w:lvlText w:val="•"/>
      <w:lvlJc w:val="left"/>
      <w:pPr>
        <w:ind w:left="5450" w:hanging="360"/>
      </w:pPr>
      <w:rPr>
        <w:rFonts w:hint="default"/>
        <w:lang w:val="en-US" w:eastAsia="en-US" w:bidi="ar-SA"/>
      </w:rPr>
    </w:lvl>
  </w:abstractNum>
  <w:abstractNum w:abstractNumId="11" w15:restartNumberingAfterBreak="0">
    <w:nsid w:val="49770C88"/>
    <w:multiLevelType w:val="hybridMultilevel"/>
    <w:tmpl w:val="F984DB08"/>
    <w:lvl w:ilvl="0" w:tplc="7C4A8838">
      <w:start w:val="1"/>
      <w:numFmt w:val="decimal"/>
      <w:lvlText w:val="(%1)"/>
      <w:lvlJc w:val="left"/>
      <w:pPr>
        <w:ind w:left="490" w:hanging="380"/>
        <w:jc w:val="left"/>
      </w:pPr>
      <w:rPr>
        <w:rFonts w:ascii="Cambria" w:eastAsia="Cambria" w:hAnsi="Cambria" w:cs="Cambria" w:hint="default"/>
        <w:b w:val="0"/>
        <w:bCs w:val="0"/>
        <w:i w:val="0"/>
        <w:iCs w:val="0"/>
        <w:color w:val="231F20"/>
        <w:spacing w:val="-5"/>
        <w:w w:val="84"/>
        <w:sz w:val="21"/>
        <w:szCs w:val="21"/>
        <w:lang w:val="en-US" w:eastAsia="en-US" w:bidi="ar-SA"/>
      </w:rPr>
    </w:lvl>
    <w:lvl w:ilvl="1" w:tplc="3BD02D14">
      <w:numFmt w:val="bullet"/>
      <w:lvlText w:val="•"/>
      <w:lvlJc w:val="left"/>
      <w:pPr>
        <w:ind w:left="1120" w:hanging="380"/>
      </w:pPr>
      <w:rPr>
        <w:rFonts w:hint="default"/>
        <w:lang w:val="en-US" w:eastAsia="en-US" w:bidi="ar-SA"/>
      </w:rPr>
    </w:lvl>
    <w:lvl w:ilvl="2" w:tplc="AEFECF3E">
      <w:numFmt w:val="bullet"/>
      <w:lvlText w:val="•"/>
      <w:lvlJc w:val="left"/>
      <w:pPr>
        <w:ind w:left="1740" w:hanging="380"/>
      </w:pPr>
      <w:rPr>
        <w:rFonts w:hint="default"/>
        <w:lang w:val="en-US" w:eastAsia="en-US" w:bidi="ar-SA"/>
      </w:rPr>
    </w:lvl>
    <w:lvl w:ilvl="3" w:tplc="2FB0F11E">
      <w:numFmt w:val="bullet"/>
      <w:lvlText w:val="•"/>
      <w:lvlJc w:val="left"/>
      <w:pPr>
        <w:ind w:left="2360" w:hanging="380"/>
      </w:pPr>
      <w:rPr>
        <w:rFonts w:hint="default"/>
        <w:lang w:val="en-US" w:eastAsia="en-US" w:bidi="ar-SA"/>
      </w:rPr>
    </w:lvl>
    <w:lvl w:ilvl="4" w:tplc="B9BAB50C">
      <w:numFmt w:val="bullet"/>
      <w:lvlText w:val="•"/>
      <w:lvlJc w:val="left"/>
      <w:pPr>
        <w:ind w:left="2981" w:hanging="380"/>
      </w:pPr>
      <w:rPr>
        <w:rFonts w:hint="default"/>
        <w:lang w:val="en-US" w:eastAsia="en-US" w:bidi="ar-SA"/>
      </w:rPr>
    </w:lvl>
    <w:lvl w:ilvl="5" w:tplc="3404FACA">
      <w:numFmt w:val="bullet"/>
      <w:lvlText w:val="•"/>
      <w:lvlJc w:val="left"/>
      <w:pPr>
        <w:ind w:left="3601" w:hanging="380"/>
      </w:pPr>
      <w:rPr>
        <w:rFonts w:hint="default"/>
        <w:lang w:val="en-US" w:eastAsia="en-US" w:bidi="ar-SA"/>
      </w:rPr>
    </w:lvl>
    <w:lvl w:ilvl="6" w:tplc="AB22EA8E">
      <w:numFmt w:val="bullet"/>
      <w:lvlText w:val="•"/>
      <w:lvlJc w:val="left"/>
      <w:pPr>
        <w:ind w:left="4221" w:hanging="380"/>
      </w:pPr>
      <w:rPr>
        <w:rFonts w:hint="default"/>
        <w:lang w:val="en-US" w:eastAsia="en-US" w:bidi="ar-SA"/>
      </w:rPr>
    </w:lvl>
    <w:lvl w:ilvl="7" w:tplc="FF9E161C">
      <w:numFmt w:val="bullet"/>
      <w:lvlText w:val="•"/>
      <w:lvlJc w:val="left"/>
      <w:pPr>
        <w:ind w:left="4842" w:hanging="380"/>
      </w:pPr>
      <w:rPr>
        <w:rFonts w:hint="default"/>
        <w:lang w:val="en-US" w:eastAsia="en-US" w:bidi="ar-SA"/>
      </w:rPr>
    </w:lvl>
    <w:lvl w:ilvl="8" w:tplc="7FF08CE2">
      <w:numFmt w:val="bullet"/>
      <w:lvlText w:val="•"/>
      <w:lvlJc w:val="left"/>
      <w:pPr>
        <w:ind w:left="5462" w:hanging="380"/>
      </w:pPr>
      <w:rPr>
        <w:rFonts w:hint="default"/>
        <w:lang w:val="en-US" w:eastAsia="en-US" w:bidi="ar-SA"/>
      </w:rPr>
    </w:lvl>
  </w:abstractNum>
  <w:abstractNum w:abstractNumId="12" w15:restartNumberingAfterBreak="0">
    <w:nsid w:val="4D8B13E6"/>
    <w:multiLevelType w:val="hybridMultilevel"/>
    <w:tmpl w:val="02025486"/>
    <w:lvl w:ilvl="0" w:tplc="321A5D50">
      <w:start w:val="1"/>
      <w:numFmt w:val="decimal"/>
      <w:lvlText w:val="(%1)"/>
      <w:lvlJc w:val="left"/>
      <w:pPr>
        <w:ind w:left="490" w:hanging="381"/>
        <w:jc w:val="left"/>
      </w:pPr>
      <w:rPr>
        <w:rFonts w:ascii="Cambria" w:eastAsia="Cambria" w:hAnsi="Cambria" w:cs="Cambria" w:hint="default"/>
        <w:b w:val="0"/>
        <w:bCs w:val="0"/>
        <w:i w:val="0"/>
        <w:iCs w:val="0"/>
        <w:color w:val="231F20"/>
        <w:spacing w:val="-5"/>
        <w:w w:val="84"/>
        <w:sz w:val="21"/>
        <w:szCs w:val="21"/>
        <w:lang w:val="en-US" w:eastAsia="en-US" w:bidi="ar-SA"/>
      </w:rPr>
    </w:lvl>
    <w:lvl w:ilvl="1" w:tplc="25F241E8">
      <w:numFmt w:val="bullet"/>
      <w:lvlText w:val="•"/>
      <w:lvlJc w:val="left"/>
      <w:pPr>
        <w:ind w:left="1120" w:hanging="381"/>
      </w:pPr>
      <w:rPr>
        <w:rFonts w:hint="default"/>
        <w:lang w:val="en-US" w:eastAsia="en-US" w:bidi="ar-SA"/>
      </w:rPr>
    </w:lvl>
    <w:lvl w:ilvl="2" w:tplc="D868CF52">
      <w:numFmt w:val="bullet"/>
      <w:lvlText w:val="•"/>
      <w:lvlJc w:val="left"/>
      <w:pPr>
        <w:ind w:left="1740" w:hanging="381"/>
      </w:pPr>
      <w:rPr>
        <w:rFonts w:hint="default"/>
        <w:lang w:val="en-US" w:eastAsia="en-US" w:bidi="ar-SA"/>
      </w:rPr>
    </w:lvl>
    <w:lvl w:ilvl="3" w:tplc="05B67D02">
      <w:numFmt w:val="bullet"/>
      <w:lvlText w:val="•"/>
      <w:lvlJc w:val="left"/>
      <w:pPr>
        <w:ind w:left="2360" w:hanging="381"/>
      </w:pPr>
      <w:rPr>
        <w:rFonts w:hint="default"/>
        <w:lang w:val="en-US" w:eastAsia="en-US" w:bidi="ar-SA"/>
      </w:rPr>
    </w:lvl>
    <w:lvl w:ilvl="4" w:tplc="396C3392">
      <w:numFmt w:val="bullet"/>
      <w:lvlText w:val="•"/>
      <w:lvlJc w:val="left"/>
      <w:pPr>
        <w:ind w:left="2981" w:hanging="381"/>
      </w:pPr>
      <w:rPr>
        <w:rFonts w:hint="default"/>
        <w:lang w:val="en-US" w:eastAsia="en-US" w:bidi="ar-SA"/>
      </w:rPr>
    </w:lvl>
    <w:lvl w:ilvl="5" w:tplc="EEA60624">
      <w:numFmt w:val="bullet"/>
      <w:lvlText w:val="•"/>
      <w:lvlJc w:val="left"/>
      <w:pPr>
        <w:ind w:left="3601" w:hanging="381"/>
      </w:pPr>
      <w:rPr>
        <w:rFonts w:hint="default"/>
        <w:lang w:val="en-US" w:eastAsia="en-US" w:bidi="ar-SA"/>
      </w:rPr>
    </w:lvl>
    <w:lvl w:ilvl="6" w:tplc="0BBEBA26">
      <w:numFmt w:val="bullet"/>
      <w:lvlText w:val="•"/>
      <w:lvlJc w:val="left"/>
      <w:pPr>
        <w:ind w:left="4221" w:hanging="381"/>
      </w:pPr>
      <w:rPr>
        <w:rFonts w:hint="default"/>
        <w:lang w:val="en-US" w:eastAsia="en-US" w:bidi="ar-SA"/>
      </w:rPr>
    </w:lvl>
    <w:lvl w:ilvl="7" w:tplc="BC0CC40E">
      <w:numFmt w:val="bullet"/>
      <w:lvlText w:val="•"/>
      <w:lvlJc w:val="left"/>
      <w:pPr>
        <w:ind w:left="4842" w:hanging="381"/>
      </w:pPr>
      <w:rPr>
        <w:rFonts w:hint="default"/>
        <w:lang w:val="en-US" w:eastAsia="en-US" w:bidi="ar-SA"/>
      </w:rPr>
    </w:lvl>
    <w:lvl w:ilvl="8" w:tplc="061CE1EC">
      <w:numFmt w:val="bullet"/>
      <w:lvlText w:val="•"/>
      <w:lvlJc w:val="left"/>
      <w:pPr>
        <w:ind w:left="5462" w:hanging="381"/>
      </w:pPr>
      <w:rPr>
        <w:rFonts w:hint="default"/>
        <w:lang w:val="en-US" w:eastAsia="en-US" w:bidi="ar-SA"/>
      </w:rPr>
    </w:lvl>
  </w:abstractNum>
  <w:abstractNum w:abstractNumId="13" w15:restartNumberingAfterBreak="0">
    <w:nsid w:val="524D1CBD"/>
    <w:multiLevelType w:val="hybridMultilevel"/>
    <w:tmpl w:val="70F252B8"/>
    <w:lvl w:ilvl="0" w:tplc="F19C90EA">
      <w:start w:val="1"/>
      <w:numFmt w:val="decimal"/>
      <w:lvlText w:val="%1."/>
      <w:lvlJc w:val="left"/>
      <w:pPr>
        <w:ind w:left="490" w:hanging="381"/>
        <w:jc w:val="left"/>
      </w:pPr>
      <w:rPr>
        <w:rFonts w:ascii="Cambria" w:eastAsia="Cambria" w:hAnsi="Cambria" w:cs="Cambria" w:hint="default"/>
        <w:b w:val="0"/>
        <w:bCs w:val="0"/>
        <w:i w:val="0"/>
        <w:iCs w:val="0"/>
        <w:color w:val="231F20"/>
        <w:spacing w:val="0"/>
        <w:w w:val="98"/>
        <w:sz w:val="21"/>
        <w:szCs w:val="21"/>
        <w:lang w:val="en-US" w:eastAsia="en-US" w:bidi="ar-SA"/>
      </w:rPr>
    </w:lvl>
    <w:lvl w:ilvl="1" w:tplc="D25CA97C">
      <w:numFmt w:val="bullet"/>
      <w:lvlText w:val="•"/>
      <w:lvlJc w:val="left"/>
      <w:pPr>
        <w:ind w:left="1120" w:hanging="381"/>
      </w:pPr>
      <w:rPr>
        <w:rFonts w:hint="default"/>
        <w:lang w:val="en-US" w:eastAsia="en-US" w:bidi="ar-SA"/>
      </w:rPr>
    </w:lvl>
    <w:lvl w:ilvl="2" w:tplc="A3A6AC76">
      <w:numFmt w:val="bullet"/>
      <w:lvlText w:val="•"/>
      <w:lvlJc w:val="left"/>
      <w:pPr>
        <w:ind w:left="1740" w:hanging="381"/>
      </w:pPr>
      <w:rPr>
        <w:rFonts w:hint="default"/>
        <w:lang w:val="en-US" w:eastAsia="en-US" w:bidi="ar-SA"/>
      </w:rPr>
    </w:lvl>
    <w:lvl w:ilvl="3" w:tplc="B61A7DA4">
      <w:numFmt w:val="bullet"/>
      <w:lvlText w:val="•"/>
      <w:lvlJc w:val="left"/>
      <w:pPr>
        <w:ind w:left="2360" w:hanging="381"/>
      </w:pPr>
      <w:rPr>
        <w:rFonts w:hint="default"/>
        <w:lang w:val="en-US" w:eastAsia="en-US" w:bidi="ar-SA"/>
      </w:rPr>
    </w:lvl>
    <w:lvl w:ilvl="4" w:tplc="9ED86FE6">
      <w:numFmt w:val="bullet"/>
      <w:lvlText w:val="•"/>
      <w:lvlJc w:val="left"/>
      <w:pPr>
        <w:ind w:left="2981" w:hanging="381"/>
      </w:pPr>
      <w:rPr>
        <w:rFonts w:hint="default"/>
        <w:lang w:val="en-US" w:eastAsia="en-US" w:bidi="ar-SA"/>
      </w:rPr>
    </w:lvl>
    <w:lvl w:ilvl="5" w:tplc="3F6EE7C2">
      <w:numFmt w:val="bullet"/>
      <w:lvlText w:val="•"/>
      <w:lvlJc w:val="left"/>
      <w:pPr>
        <w:ind w:left="3601" w:hanging="381"/>
      </w:pPr>
      <w:rPr>
        <w:rFonts w:hint="default"/>
        <w:lang w:val="en-US" w:eastAsia="en-US" w:bidi="ar-SA"/>
      </w:rPr>
    </w:lvl>
    <w:lvl w:ilvl="6" w:tplc="9D74FCF6">
      <w:numFmt w:val="bullet"/>
      <w:lvlText w:val="•"/>
      <w:lvlJc w:val="left"/>
      <w:pPr>
        <w:ind w:left="4221" w:hanging="381"/>
      </w:pPr>
      <w:rPr>
        <w:rFonts w:hint="default"/>
        <w:lang w:val="en-US" w:eastAsia="en-US" w:bidi="ar-SA"/>
      </w:rPr>
    </w:lvl>
    <w:lvl w:ilvl="7" w:tplc="1B144930">
      <w:numFmt w:val="bullet"/>
      <w:lvlText w:val="•"/>
      <w:lvlJc w:val="left"/>
      <w:pPr>
        <w:ind w:left="4842" w:hanging="381"/>
      </w:pPr>
      <w:rPr>
        <w:rFonts w:hint="default"/>
        <w:lang w:val="en-US" w:eastAsia="en-US" w:bidi="ar-SA"/>
      </w:rPr>
    </w:lvl>
    <w:lvl w:ilvl="8" w:tplc="4BCC6184">
      <w:numFmt w:val="bullet"/>
      <w:lvlText w:val="•"/>
      <w:lvlJc w:val="left"/>
      <w:pPr>
        <w:ind w:left="5462" w:hanging="381"/>
      </w:pPr>
      <w:rPr>
        <w:rFonts w:hint="default"/>
        <w:lang w:val="en-US" w:eastAsia="en-US" w:bidi="ar-SA"/>
      </w:rPr>
    </w:lvl>
  </w:abstractNum>
  <w:abstractNum w:abstractNumId="14" w15:restartNumberingAfterBreak="0">
    <w:nsid w:val="5A886026"/>
    <w:multiLevelType w:val="hybridMultilevel"/>
    <w:tmpl w:val="AA227D2C"/>
    <w:lvl w:ilvl="0" w:tplc="A23427E2">
      <w:numFmt w:val="bullet"/>
      <w:lvlText w:val="◦"/>
      <w:lvlJc w:val="left"/>
      <w:pPr>
        <w:ind w:left="110" w:hanging="144"/>
      </w:pPr>
      <w:rPr>
        <w:rFonts w:ascii="Times New Roman" w:eastAsia="Times New Roman" w:hAnsi="Times New Roman" w:cs="Times New Roman" w:hint="default"/>
        <w:b w:val="0"/>
        <w:bCs w:val="0"/>
        <w:i w:val="0"/>
        <w:iCs w:val="0"/>
        <w:color w:val="231F20"/>
        <w:w w:val="147"/>
        <w:sz w:val="14"/>
        <w:szCs w:val="14"/>
        <w:lang w:val="en-US" w:eastAsia="en-US" w:bidi="ar-SA"/>
      </w:rPr>
    </w:lvl>
    <w:lvl w:ilvl="1" w:tplc="96605C7A">
      <w:numFmt w:val="bullet"/>
      <w:lvlText w:val="•"/>
      <w:lvlJc w:val="left"/>
      <w:pPr>
        <w:ind w:left="778" w:hanging="144"/>
      </w:pPr>
      <w:rPr>
        <w:rFonts w:hint="default"/>
        <w:lang w:val="en-US" w:eastAsia="en-US" w:bidi="ar-SA"/>
      </w:rPr>
    </w:lvl>
    <w:lvl w:ilvl="2" w:tplc="1236FF1A">
      <w:numFmt w:val="bullet"/>
      <w:lvlText w:val="•"/>
      <w:lvlJc w:val="left"/>
      <w:pPr>
        <w:ind w:left="1436" w:hanging="144"/>
      </w:pPr>
      <w:rPr>
        <w:rFonts w:hint="default"/>
        <w:lang w:val="en-US" w:eastAsia="en-US" w:bidi="ar-SA"/>
      </w:rPr>
    </w:lvl>
    <w:lvl w:ilvl="3" w:tplc="13867B56">
      <w:numFmt w:val="bullet"/>
      <w:lvlText w:val="•"/>
      <w:lvlJc w:val="left"/>
      <w:pPr>
        <w:ind w:left="2094" w:hanging="144"/>
      </w:pPr>
      <w:rPr>
        <w:rFonts w:hint="default"/>
        <w:lang w:val="en-US" w:eastAsia="en-US" w:bidi="ar-SA"/>
      </w:rPr>
    </w:lvl>
    <w:lvl w:ilvl="4" w:tplc="0FE63464">
      <w:numFmt w:val="bullet"/>
      <w:lvlText w:val="•"/>
      <w:lvlJc w:val="left"/>
      <w:pPr>
        <w:ind w:left="2753" w:hanging="144"/>
      </w:pPr>
      <w:rPr>
        <w:rFonts w:hint="default"/>
        <w:lang w:val="en-US" w:eastAsia="en-US" w:bidi="ar-SA"/>
      </w:rPr>
    </w:lvl>
    <w:lvl w:ilvl="5" w:tplc="5BB0C6D8">
      <w:numFmt w:val="bullet"/>
      <w:lvlText w:val="•"/>
      <w:lvlJc w:val="left"/>
      <w:pPr>
        <w:ind w:left="3411" w:hanging="144"/>
      </w:pPr>
      <w:rPr>
        <w:rFonts w:hint="default"/>
        <w:lang w:val="en-US" w:eastAsia="en-US" w:bidi="ar-SA"/>
      </w:rPr>
    </w:lvl>
    <w:lvl w:ilvl="6" w:tplc="BE52C9EE">
      <w:numFmt w:val="bullet"/>
      <w:lvlText w:val="•"/>
      <w:lvlJc w:val="left"/>
      <w:pPr>
        <w:ind w:left="4069" w:hanging="144"/>
      </w:pPr>
      <w:rPr>
        <w:rFonts w:hint="default"/>
        <w:lang w:val="en-US" w:eastAsia="en-US" w:bidi="ar-SA"/>
      </w:rPr>
    </w:lvl>
    <w:lvl w:ilvl="7" w:tplc="48EA9074">
      <w:numFmt w:val="bullet"/>
      <w:lvlText w:val="•"/>
      <w:lvlJc w:val="left"/>
      <w:pPr>
        <w:ind w:left="4728" w:hanging="144"/>
      </w:pPr>
      <w:rPr>
        <w:rFonts w:hint="default"/>
        <w:lang w:val="en-US" w:eastAsia="en-US" w:bidi="ar-SA"/>
      </w:rPr>
    </w:lvl>
    <w:lvl w:ilvl="8" w:tplc="2230D594">
      <w:numFmt w:val="bullet"/>
      <w:lvlText w:val="•"/>
      <w:lvlJc w:val="left"/>
      <w:pPr>
        <w:ind w:left="5386" w:hanging="144"/>
      </w:pPr>
      <w:rPr>
        <w:rFonts w:hint="default"/>
        <w:lang w:val="en-US" w:eastAsia="en-US" w:bidi="ar-SA"/>
      </w:rPr>
    </w:lvl>
  </w:abstractNum>
  <w:abstractNum w:abstractNumId="15" w15:restartNumberingAfterBreak="0">
    <w:nsid w:val="5A995F98"/>
    <w:multiLevelType w:val="hybridMultilevel"/>
    <w:tmpl w:val="04CA3732"/>
    <w:lvl w:ilvl="0" w:tplc="DD907F9A">
      <w:start w:val="2"/>
      <w:numFmt w:val="decimal"/>
      <w:lvlText w:val="(%1)"/>
      <w:lvlJc w:val="left"/>
      <w:pPr>
        <w:ind w:left="110" w:hanging="325"/>
        <w:jc w:val="left"/>
      </w:pPr>
      <w:rPr>
        <w:rFonts w:ascii="Cambria" w:eastAsia="Cambria" w:hAnsi="Cambria" w:cs="Cambria" w:hint="default"/>
        <w:b w:val="0"/>
        <w:bCs w:val="0"/>
        <w:i w:val="0"/>
        <w:iCs w:val="0"/>
        <w:color w:val="231F20"/>
        <w:w w:val="85"/>
        <w:sz w:val="21"/>
        <w:szCs w:val="21"/>
        <w:lang w:val="en-US" w:eastAsia="en-US" w:bidi="ar-SA"/>
      </w:rPr>
    </w:lvl>
    <w:lvl w:ilvl="1" w:tplc="D81C6648">
      <w:numFmt w:val="bullet"/>
      <w:lvlText w:val="•"/>
      <w:lvlJc w:val="left"/>
      <w:pPr>
        <w:ind w:left="778" w:hanging="325"/>
      </w:pPr>
      <w:rPr>
        <w:rFonts w:hint="default"/>
        <w:lang w:val="en-US" w:eastAsia="en-US" w:bidi="ar-SA"/>
      </w:rPr>
    </w:lvl>
    <w:lvl w:ilvl="2" w:tplc="391AE5CA">
      <w:numFmt w:val="bullet"/>
      <w:lvlText w:val="•"/>
      <w:lvlJc w:val="left"/>
      <w:pPr>
        <w:ind w:left="1436" w:hanging="325"/>
      </w:pPr>
      <w:rPr>
        <w:rFonts w:hint="default"/>
        <w:lang w:val="en-US" w:eastAsia="en-US" w:bidi="ar-SA"/>
      </w:rPr>
    </w:lvl>
    <w:lvl w:ilvl="3" w:tplc="0E6CA5CA">
      <w:numFmt w:val="bullet"/>
      <w:lvlText w:val="•"/>
      <w:lvlJc w:val="left"/>
      <w:pPr>
        <w:ind w:left="2094" w:hanging="325"/>
      </w:pPr>
      <w:rPr>
        <w:rFonts w:hint="default"/>
        <w:lang w:val="en-US" w:eastAsia="en-US" w:bidi="ar-SA"/>
      </w:rPr>
    </w:lvl>
    <w:lvl w:ilvl="4" w:tplc="AC38593A">
      <w:numFmt w:val="bullet"/>
      <w:lvlText w:val="•"/>
      <w:lvlJc w:val="left"/>
      <w:pPr>
        <w:ind w:left="2753" w:hanging="325"/>
      </w:pPr>
      <w:rPr>
        <w:rFonts w:hint="default"/>
        <w:lang w:val="en-US" w:eastAsia="en-US" w:bidi="ar-SA"/>
      </w:rPr>
    </w:lvl>
    <w:lvl w:ilvl="5" w:tplc="7AC092AC">
      <w:numFmt w:val="bullet"/>
      <w:lvlText w:val="•"/>
      <w:lvlJc w:val="left"/>
      <w:pPr>
        <w:ind w:left="3411" w:hanging="325"/>
      </w:pPr>
      <w:rPr>
        <w:rFonts w:hint="default"/>
        <w:lang w:val="en-US" w:eastAsia="en-US" w:bidi="ar-SA"/>
      </w:rPr>
    </w:lvl>
    <w:lvl w:ilvl="6" w:tplc="50C883E0">
      <w:numFmt w:val="bullet"/>
      <w:lvlText w:val="•"/>
      <w:lvlJc w:val="left"/>
      <w:pPr>
        <w:ind w:left="4069" w:hanging="325"/>
      </w:pPr>
      <w:rPr>
        <w:rFonts w:hint="default"/>
        <w:lang w:val="en-US" w:eastAsia="en-US" w:bidi="ar-SA"/>
      </w:rPr>
    </w:lvl>
    <w:lvl w:ilvl="7" w:tplc="B71E68A2">
      <w:numFmt w:val="bullet"/>
      <w:lvlText w:val="•"/>
      <w:lvlJc w:val="left"/>
      <w:pPr>
        <w:ind w:left="4728" w:hanging="325"/>
      </w:pPr>
      <w:rPr>
        <w:rFonts w:hint="default"/>
        <w:lang w:val="en-US" w:eastAsia="en-US" w:bidi="ar-SA"/>
      </w:rPr>
    </w:lvl>
    <w:lvl w:ilvl="8" w:tplc="83EED414">
      <w:numFmt w:val="bullet"/>
      <w:lvlText w:val="•"/>
      <w:lvlJc w:val="left"/>
      <w:pPr>
        <w:ind w:left="5386" w:hanging="325"/>
      </w:pPr>
      <w:rPr>
        <w:rFonts w:hint="default"/>
        <w:lang w:val="en-US" w:eastAsia="en-US" w:bidi="ar-SA"/>
      </w:rPr>
    </w:lvl>
  </w:abstractNum>
  <w:abstractNum w:abstractNumId="16" w15:restartNumberingAfterBreak="0">
    <w:nsid w:val="5C4B6B35"/>
    <w:multiLevelType w:val="hybridMultilevel"/>
    <w:tmpl w:val="1A14DD80"/>
    <w:lvl w:ilvl="0" w:tplc="266424CC">
      <w:start w:val="1"/>
      <w:numFmt w:val="decimal"/>
      <w:lvlText w:val="(%1)"/>
      <w:lvlJc w:val="left"/>
      <w:pPr>
        <w:ind w:left="490" w:hanging="380"/>
        <w:jc w:val="left"/>
      </w:pPr>
      <w:rPr>
        <w:rFonts w:ascii="Cambria" w:eastAsia="Cambria" w:hAnsi="Cambria" w:cs="Cambria" w:hint="default"/>
        <w:b w:val="0"/>
        <w:bCs w:val="0"/>
        <w:i w:val="0"/>
        <w:iCs w:val="0"/>
        <w:color w:val="231F20"/>
        <w:spacing w:val="-5"/>
        <w:w w:val="84"/>
        <w:sz w:val="21"/>
        <w:szCs w:val="21"/>
        <w:lang w:val="en-US" w:eastAsia="en-US" w:bidi="ar-SA"/>
      </w:rPr>
    </w:lvl>
    <w:lvl w:ilvl="1" w:tplc="1A1A9DD6">
      <w:numFmt w:val="bullet"/>
      <w:lvlText w:val="•"/>
      <w:lvlJc w:val="left"/>
      <w:pPr>
        <w:ind w:left="1120" w:hanging="380"/>
      </w:pPr>
      <w:rPr>
        <w:rFonts w:hint="default"/>
        <w:lang w:val="en-US" w:eastAsia="en-US" w:bidi="ar-SA"/>
      </w:rPr>
    </w:lvl>
    <w:lvl w:ilvl="2" w:tplc="A05A3C34">
      <w:numFmt w:val="bullet"/>
      <w:lvlText w:val="•"/>
      <w:lvlJc w:val="left"/>
      <w:pPr>
        <w:ind w:left="1740" w:hanging="380"/>
      </w:pPr>
      <w:rPr>
        <w:rFonts w:hint="default"/>
        <w:lang w:val="en-US" w:eastAsia="en-US" w:bidi="ar-SA"/>
      </w:rPr>
    </w:lvl>
    <w:lvl w:ilvl="3" w:tplc="FFCCD216">
      <w:numFmt w:val="bullet"/>
      <w:lvlText w:val="•"/>
      <w:lvlJc w:val="left"/>
      <w:pPr>
        <w:ind w:left="2360" w:hanging="380"/>
      </w:pPr>
      <w:rPr>
        <w:rFonts w:hint="default"/>
        <w:lang w:val="en-US" w:eastAsia="en-US" w:bidi="ar-SA"/>
      </w:rPr>
    </w:lvl>
    <w:lvl w:ilvl="4" w:tplc="54580820">
      <w:numFmt w:val="bullet"/>
      <w:lvlText w:val="•"/>
      <w:lvlJc w:val="left"/>
      <w:pPr>
        <w:ind w:left="2981" w:hanging="380"/>
      </w:pPr>
      <w:rPr>
        <w:rFonts w:hint="default"/>
        <w:lang w:val="en-US" w:eastAsia="en-US" w:bidi="ar-SA"/>
      </w:rPr>
    </w:lvl>
    <w:lvl w:ilvl="5" w:tplc="2946F114">
      <w:numFmt w:val="bullet"/>
      <w:lvlText w:val="•"/>
      <w:lvlJc w:val="left"/>
      <w:pPr>
        <w:ind w:left="3601" w:hanging="380"/>
      </w:pPr>
      <w:rPr>
        <w:rFonts w:hint="default"/>
        <w:lang w:val="en-US" w:eastAsia="en-US" w:bidi="ar-SA"/>
      </w:rPr>
    </w:lvl>
    <w:lvl w:ilvl="6" w:tplc="2BDAA196">
      <w:numFmt w:val="bullet"/>
      <w:lvlText w:val="•"/>
      <w:lvlJc w:val="left"/>
      <w:pPr>
        <w:ind w:left="4221" w:hanging="380"/>
      </w:pPr>
      <w:rPr>
        <w:rFonts w:hint="default"/>
        <w:lang w:val="en-US" w:eastAsia="en-US" w:bidi="ar-SA"/>
      </w:rPr>
    </w:lvl>
    <w:lvl w:ilvl="7" w:tplc="8B9A2B66">
      <w:numFmt w:val="bullet"/>
      <w:lvlText w:val="•"/>
      <w:lvlJc w:val="left"/>
      <w:pPr>
        <w:ind w:left="4842" w:hanging="380"/>
      </w:pPr>
      <w:rPr>
        <w:rFonts w:hint="default"/>
        <w:lang w:val="en-US" w:eastAsia="en-US" w:bidi="ar-SA"/>
      </w:rPr>
    </w:lvl>
    <w:lvl w:ilvl="8" w:tplc="3AD42CC8">
      <w:numFmt w:val="bullet"/>
      <w:lvlText w:val="•"/>
      <w:lvlJc w:val="left"/>
      <w:pPr>
        <w:ind w:left="5462" w:hanging="380"/>
      </w:pPr>
      <w:rPr>
        <w:rFonts w:hint="default"/>
        <w:lang w:val="en-US" w:eastAsia="en-US" w:bidi="ar-SA"/>
      </w:rPr>
    </w:lvl>
  </w:abstractNum>
  <w:abstractNum w:abstractNumId="17" w15:restartNumberingAfterBreak="0">
    <w:nsid w:val="6A284D3D"/>
    <w:multiLevelType w:val="hybridMultilevel"/>
    <w:tmpl w:val="A34879B6"/>
    <w:lvl w:ilvl="0" w:tplc="ABC898E0">
      <w:start w:val="1"/>
      <w:numFmt w:val="decimal"/>
      <w:lvlText w:val="(%1)"/>
      <w:lvlJc w:val="left"/>
      <w:pPr>
        <w:ind w:left="311" w:hanging="202"/>
        <w:jc w:val="left"/>
      </w:pPr>
      <w:rPr>
        <w:rFonts w:ascii="Trebuchet MS" w:eastAsia="Trebuchet MS" w:hAnsi="Trebuchet MS" w:cs="Trebuchet MS" w:hint="default"/>
        <w:b w:val="0"/>
        <w:bCs w:val="0"/>
        <w:i w:val="0"/>
        <w:iCs w:val="0"/>
        <w:color w:val="231F20"/>
        <w:spacing w:val="-5"/>
        <w:w w:val="90"/>
        <w:sz w:val="14"/>
        <w:szCs w:val="14"/>
        <w:lang w:val="en-US" w:eastAsia="en-US" w:bidi="ar-SA"/>
      </w:rPr>
    </w:lvl>
    <w:lvl w:ilvl="1" w:tplc="718EF25E">
      <w:numFmt w:val="bullet"/>
      <w:lvlText w:val="•"/>
      <w:lvlJc w:val="left"/>
      <w:pPr>
        <w:ind w:left="956" w:hanging="202"/>
      </w:pPr>
      <w:rPr>
        <w:rFonts w:hint="default"/>
        <w:lang w:val="en-US" w:eastAsia="en-US" w:bidi="ar-SA"/>
      </w:rPr>
    </w:lvl>
    <w:lvl w:ilvl="2" w:tplc="B680F90A">
      <w:numFmt w:val="bullet"/>
      <w:lvlText w:val="•"/>
      <w:lvlJc w:val="left"/>
      <w:pPr>
        <w:ind w:left="1592" w:hanging="202"/>
      </w:pPr>
      <w:rPr>
        <w:rFonts w:hint="default"/>
        <w:lang w:val="en-US" w:eastAsia="en-US" w:bidi="ar-SA"/>
      </w:rPr>
    </w:lvl>
    <w:lvl w:ilvl="3" w:tplc="81CE1D4A">
      <w:numFmt w:val="bullet"/>
      <w:lvlText w:val="•"/>
      <w:lvlJc w:val="left"/>
      <w:pPr>
        <w:ind w:left="2228" w:hanging="202"/>
      </w:pPr>
      <w:rPr>
        <w:rFonts w:hint="default"/>
        <w:lang w:val="en-US" w:eastAsia="en-US" w:bidi="ar-SA"/>
      </w:rPr>
    </w:lvl>
    <w:lvl w:ilvl="4" w:tplc="262E232C">
      <w:numFmt w:val="bullet"/>
      <w:lvlText w:val="•"/>
      <w:lvlJc w:val="left"/>
      <w:pPr>
        <w:ind w:left="2865" w:hanging="202"/>
      </w:pPr>
      <w:rPr>
        <w:rFonts w:hint="default"/>
        <w:lang w:val="en-US" w:eastAsia="en-US" w:bidi="ar-SA"/>
      </w:rPr>
    </w:lvl>
    <w:lvl w:ilvl="5" w:tplc="D82A8420">
      <w:numFmt w:val="bullet"/>
      <w:lvlText w:val="•"/>
      <w:lvlJc w:val="left"/>
      <w:pPr>
        <w:ind w:left="3501" w:hanging="202"/>
      </w:pPr>
      <w:rPr>
        <w:rFonts w:hint="default"/>
        <w:lang w:val="en-US" w:eastAsia="en-US" w:bidi="ar-SA"/>
      </w:rPr>
    </w:lvl>
    <w:lvl w:ilvl="6" w:tplc="4C92DBDA">
      <w:numFmt w:val="bullet"/>
      <w:lvlText w:val="•"/>
      <w:lvlJc w:val="left"/>
      <w:pPr>
        <w:ind w:left="4137" w:hanging="202"/>
      </w:pPr>
      <w:rPr>
        <w:rFonts w:hint="default"/>
        <w:lang w:val="en-US" w:eastAsia="en-US" w:bidi="ar-SA"/>
      </w:rPr>
    </w:lvl>
    <w:lvl w:ilvl="7" w:tplc="BF8CD0D4">
      <w:numFmt w:val="bullet"/>
      <w:lvlText w:val="•"/>
      <w:lvlJc w:val="left"/>
      <w:pPr>
        <w:ind w:left="4774" w:hanging="202"/>
      </w:pPr>
      <w:rPr>
        <w:rFonts w:hint="default"/>
        <w:lang w:val="en-US" w:eastAsia="en-US" w:bidi="ar-SA"/>
      </w:rPr>
    </w:lvl>
    <w:lvl w:ilvl="8" w:tplc="D7A0B790">
      <w:numFmt w:val="bullet"/>
      <w:lvlText w:val="•"/>
      <w:lvlJc w:val="left"/>
      <w:pPr>
        <w:ind w:left="5410" w:hanging="202"/>
      </w:pPr>
      <w:rPr>
        <w:rFonts w:hint="default"/>
        <w:lang w:val="en-US" w:eastAsia="en-US" w:bidi="ar-SA"/>
      </w:rPr>
    </w:lvl>
  </w:abstractNum>
  <w:abstractNum w:abstractNumId="18" w15:restartNumberingAfterBreak="0">
    <w:nsid w:val="6B130FFB"/>
    <w:multiLevelType w:val="hybridMultilevel"/>
    <w:tmpl w:val="A3E27CD2"/>
    <w:lvl w:ilvl="0" w:tplc="0F78F388">
      <w:start w:val="18"/>
      <w:numFmt w:val="upperLetter"/>
      <w:lvlText w:val="%1."/>
      <w:lvlJc w:val="left"/>
      <w:pPr>
        <w:ind w:left="642" w:hanging="213"/>
        <w:jc w:val="left"/>
      </w:pPr>
      <w:rPr>
        <w:rFonts w:ascii="Cambria" w:eastAsia="Cambria" w:hAnsi="Cambria" w:cs="Cambria" w:hint="default"/>
        <w:b w:val="0"/>
        <w:bCs w:val="0"/>
        <w:i w:val="0"/>
        <w:iCs w:val="0"/>
        <w:color w:val="231F20"/>
        <w:spacing w:val="0"/>
        <w:w w:val="117"/>
        <w:sz w:val="17"/>
        <w:szCs w:val="17"/>
        <w:lang w:val="en-US" w:eastAsia="en-US" w:bidi="ar-SA"/>
      </w:rPr>
    </w:lvl>
    <w:lvl w:ilvl="1" w:tplc="2B40A554">
      <w:numFmt w:val="bullet"/>
      <w:lvlText w:val="•"/>
      <w:lvlJc w:val="left"/>
      <w:pPr>
        <w:ind w:left="1246" w:hanging="213"/>
      </w:pPr>
      <w:rPr>
        <w:rFonts w:hint="default"/>
        <w:lang w:val="en-US" w:eastAsia="en-US" w:bidi="ar-SA"/>
      </w:rPr>
    </w:lvl>
    <w:lvl w:ilvl="2" w:tplc="0114D848">
      <w:numFmt w:val="bullet"/>
      <w:lvlText w:val="•"/>
      <w:lvlJc w:val="left"/>
      <w:pPr>
        <w:ind w:left="1852" w:hanging="213"/>
      </w:pPr>
      <w:rPr>
        <w:rFonts w:hint="default"/>
        <w:lang w:val="en-US" w:eastAsia="en-US" w:bidi="ar-SA"/>
      </w:rPr>
    </w:lvl>
    <w:lvl w:ilvl="3" w:tplc="D3F849C2">
      <w:numFmt w:val="bullet"/>
      <w:lvlText w:val="•"/>
      <w:lvlJc w:val="left"/>
      <w:pPr>
        <w:ind w:left="2458" w:hanging="213"/>
      </w:pPr>
      <w:rPr>
        <w:rFonts w:hint="default"/>
        <w:lang w:val="en-US" w:eastAsia="en-US" w:bidi="ar-SA"/>
      </w:rPr>
    </w:lvl>
    <w:lvl w:ilvl="4" w:tplc="F9CCCE0A">
      <w:numFmt w:val="bullet"/>
      <w:lvlText w:val="•"/>
      <w:lvlJc w:val="left"/>
      <w:pPr>
        <w:ind w:left="3065" w:hanging="213"/>
      </w:pPr>
      <w:rPr>
        <w:rFonts w:hint="default"/>
        <w:lang w:val="en-US" w:eastAsia="en-US" w:bidi="ar-SA"/>
      </w:rPr>
    </w:lvl>
    <w:lvl w:ilvl="5" w:tplc="06322406">
      <w:numFmt w:val="bullet"/>
      <w:lvlText w:val="•"/>
      <w:lvlJc w:val="left"/>
      <w:pPr>
        <w:ind w:left="3671" w:hanging="213"/>
      </w:pPr>
      <w:rPr>
        <w:rFonts w:hint="default"/>
        <w:lang w:val="en-US" w:eastAsia="en-US" w:bidi="ar-SA"/>
      </w:rPr>
    </w:lvl>
    <w:lvl w:ilvl="6" w:tplc="3C54ACE2">
      <w:numFmt w:val="bullet"/>
      <w:lvlText w:val="•"/>
      <w:lvlJc w:val="left"/>
      <w:pPr>
        <w:ind w:left="4277" w:hanging="213"/>
      </w:pPr>
      <w:rPr>
        <w:rFonts w:hint="default"/>
        <w:lang w:val="en-US" w:eastAsia="en-US" w:bidi="ar-SA"/>
      </w:rPr>
    </w:lvl>
    <w:lvl w:ilvl="7" w:tplc="04326376">
      <w:numFmt w:val="bullet"/>
      <w:lvlText w:val="•"/>
      <w:lvlJc w:val="left"/>
      <w:pPr>
        <w:ind w:left="4884" w:hanging="213"/>
      </w:pPr>
      <w:rPr>
        <w:rFonts w:hint="default"/>
        <w:lang w:val="en-US" w:eastAsia="en-US" w:bidi="ar-SA"/>
      </w:rPr>
    </w:lvl>
    <w:lvl w:ilvl="8" w:tplc="2CCE44F0">
      <w:numFmt w:val="bullet"/>
      <w:lvlText w:val="•"/>
      <w:lvlJc w:val="left"/>
      <w:pPr>
        <w:ind w:left="5490" w:hanging="213"/>
      </w:pPr>
      <w:rPr>
        <w:rFonts w:hint="default"/>
        <w:lang w:val="en-US" w:eastAsia="en-US" w:bidi="ar-SA"/>
      </w:rPr>
    </w:lvl>
  </w:abstractNum>
  <w:abstractNum w:abstractNumId="19" w15:restartNumberingAfterBreak="0">
    <w:nsid w:val="6DCE4FD5"/>
    <w:multiLevelType w:val="hybridMultilevel"/>
    <w:tmpl w:val="B046E6E0"/>
    <w:lvl w:ilvl="0" w:tplc="CC4867DE">
      <w:start w:val="1"/>
      <w:numFmt w:val="decimal"/>
      <w:lvlText w:val="(%1)"/>
      <w:lvlJc w:val="left"/>
      <w:pPr>
        <w:ind w:left="743" w:hanging="414"/>
        <w:jc w:val="right"/>
      </w:pPr>
      <w:rPr>
        <w:rFonts w:ascii="Cambria" w:eastAsia="Cambria" w:hAnsi="Cambria" w:cs="Cambria" w:hint="default"/>
        <w:b w:val="0"/>
        <w:bCs w:val="0"/>
        <w:i w:val="0"/>
        <w:iCs w:val="0"/>
        <w:color w:val="231F20"/>
        <w:spacing w:val="-5"/>
        <w:w w:val="84"/>
        <w:sz w:val="21"/>
        <w:szCs w:val="21"/>
        <w:lang w:val="en-US" w:eastAsia="en-US" w:bidi="ar-SA"/>
      </w:rPr>
    </w:lvl>
    <w:lvl w:ilvl="1" w:tplc="2EBE8E68">
      <w:numFmt w:val="bullet"/>
      <w:lvlText w:val="•"/>
      <w:lvlJc w:val="left"/>
      <w:pPr>
        <w:ind w:left="1334" w:hanging="414"/>
      </w:pPr>
      <w:rPr>
        <w:rFonts w:hint="default"/>
        <w:lang w:val="en-US" w:eastAsia="en-US" w:bidi="ar-SA"/>
      </w:rPr>
    </w:lvl>
    <w:lvl w:ilvl="2" w:tplc="B51C7C3A">
      <w:numFmt w:val="bullet"/>
      <w:lvlText w:val="•"/>
      <w:lvlJc w:val="left"/>
      <w:pPr>
        <w:ind w:left="1928" w:hanging="414"/>
      </w:pPr>
      <w:rPr>
        <w:rFonts w:hint="default"/>
        <w:lang w:val="en-US" w:eastAsia="en-US" w:bidi="ar-SA"/>
      </w:rPr>
    </w:lvl>
    <w:lvl w:ilvl="3" w:tplc="33E4246E">
      <w:numFmt w:val="bullet"/>
      <w:lvlText w:val="•"/>
      <w:lvlJc w:val="left"/>
      <w:pPr>
        <w:ind w:left="2522" w:hanging="414"/>
      </w:pPr>
      <w:rPr>
        <w:rFonts w:hint="default"/>
        <w:lang w:val="en-US" w:eastAsia="en-US" w:bidi="ar-SA"/>
      </w:rPr>
    </w:lvl>
    <w:lvl w:ilvl="4" w:tplc="115EB778">
      <w:numFmt w:val="bullet"/>
      <w:lvlText w:val="•"/>
      <w:lvlJc w:val="left"/>
      <w:pPr>
        <w:ind w:left="3117" w:hanging="414"/>
      </w:pPr>
      <w:rPr>
        <w:rFonts w:hint="default"/>
        <w:lang w:val="en-US" w:eastAsia="en-US" w:bidi="ar-SA"/>
      </w:rPr>
    </w:lvl>
    <w:lvl w:ilvl="5" w:tplc="F70C4C6C">
      <w:numFmt w:val="bullet"/>
      <w:lvlText w:val="•"/>
      <w:lvlJc w:val="left"/>
      <w:pPr>
        <w:ind w:left="3711" w:hanging="414"/>
      </w:pPr>
      <w:rPr>
        <w:rFonts w:hint="default"/>
        <w:lang w:val="en-US" w:eastAsia="en-US" w:bidi="ar-SA"/>
      </w:rPr>
    </w:lvl>
    <w:lvl w:ilvl="6" w:tplc="25BCEADE">
      <w:numFmt w:val="bullet"/>
      <w:lvlText w:val="•"/>
      <w:lvlJc w:val="left"/>
      <w:pPr>
        <w:ind w:left="4305" w:hanging="414"/>
      </w:pPr>
      <w:rPr>
        <w:rFonts w:hint="default"/>
        <w:lang w:val="en-US" w:eastAsia="en-US" w:bidi="ar-SA"/>
      </w:rPr>
    </w:lvl>
    <w:lvl w:ilvl="7" w:tplc="FD10F506">
      <w:numFmt w:val="bullet"/>
      <w:lvlText w:val="•"/>
      <w:lvlJc w:val="left"/>
      <w:pPr>
        <w:ind w:left="4900" w:hanging="414"/>
      </w:pPr>
      <w:rPr>
        <w:rFonts w:hint="default"/>
        <w:lang w:val="en-US" w:eastAsia="en-US" w:bidi="ar-SA"/>
      </w:rPr>
    </w:lvl>
    <w:lvl w:ilvl="8" w:tplc="7136A300">
      <w:numFmt w:val="bullet"/>
      <w:lvlText w:val="•"/>
      <w:lvlJc w:val="left"/>
      <w:pPr>
        <w:ind w:left="5494" w:hanging="414"/>
      </w:pPr>
      <w:rPr>
        <w:rFonts w:hint="default"/>
        <w:lang w:val="en-US" w:eastAsia="en-US" w:bidi="ar-SA"/>
      </w:rPr>
    </w:lvl>
  </w:abstractNum>
  <w:num w:numId="1">
    <w:abstractNumId w:val="19"/>
  </w:num>
  <w:num w:numId="2">
    <w:abstractNumId w:val="18"/>
  </w:num>
  <w:num w:numId="3">
    <w:abstractNumId w:val="2"/>
  </w:num>
  <w:num w:numId="4">
    <w:abstractNumId w:val="15"/>
  </w:num>
  <w:num w:numId="5">
    <w:abstractNumId w:val="16"/>
  </w:num>
  <w:num w:numId="6">
    <w:abstractNumId w:val="9"/>
  </w:num>
  <w:num w:numId="7">
    <w:abstractNumId w:val="13"/>
  </w:num>
  <w:num w:numId="8">
    <w:abstractNumId w:val="11"/>
  </w:num>
  <w:num w:numId="9">
    <w:abstractNumId w:val="3"/>
  </w:num>
  <w:num w:numId="10">
    <w:abstractNumId w:val="4"/>
  </w:num>
  <w:num w:numId="11">
    <w:abstractNumId w:val="6"/>
  </w:num>
  <w:num w:numId="12">
    <w:abstractNumId w:val="0"/>
  </w:num>
  <w:num w:numId="13">
    <w:abstractNumId w:val="8"/>
  </w:num>
  <w:num w:numId="14">
    <w:abstractNumId w:val="1"/>
  </w:num>
  <w:num w:numId="15">
    <w:abstractNumId w:val="7"/>
  </w:num>
  <w:num w:numId="16">
    <w:abstractNumId w:val="12"/>
  </w:num>
  <w:num w:numId="17">
    <w:abstractNumId w:val="14"/>
  </w:num>
  <w:num w:numId="18">
    <w:abstractNumId w:val="5"/>
  </w:num>
  <w:num w:numId="19">
    <w:abstractNumId w:val="17"/>
  </w:num>
  <w:num w:numId="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0598"/>
    <w:rsid w:val="0069255A"/>
    <w:rsid w:val="00AE059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361A85"/>
  <w15:docId w15:val="{1B63C7D0-D0BB-4A89-9474-4D2076EF0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Ttulo1">
    <w:name w:val="heading 1"/>
    <w:basedOn w:val="Normal"/>
    <w:uiPriority w:val="9"/>
    <w:qFormat/>
    <w:pPr>
      <w:spacing w:before="77"/>
      <w:ind w:left="110"/>
      <w:outlineLvl w:val="0"/>
    </w:pPr>
    <w:rPr>
      <w:rFonts w:ascii="Trebuchet MS" w:eastAsia="Trebuchet MS" w:hAnsi="Trebuchet MS" w:cs="Trebuchet MS"/>
      <w:sz w:val="46"/>
      <w:szCs w:val="4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Sumrio1">
    <w:name w:val="toc 1"/>
    <w:basedOn w:val="Normal"/>
    <w:uiPriority w:val="1"/>
    <w:qFormat/>
    <w:pPr>
      <w:spacing w:before="114"/>
      <w:ind w:left="526" w:hanging="361"/>
    </w:pPr>
    <w:rPr>
      <w:sz w:val="21"/>
      <w:szCs w:val="21"/>
    </w:rPr>
  </w:style>
  <w:style w:type="paragraph" w:styleId="Sumrio2">
    <w:name w:val="toc 2"/>
    <w:basedOn w:val="Normal"/>
    <w:uiPriority w:val="1"/>
    <w:qFormat/>
    <w:pPr>
      <w:spacing w:before="194"/>
      <w:ind w:left="526"/>
    </w:pPr>
    <w:rPr>
      <w:b/>
      <w:bCs/>
      <w:sz w:val="21"/>
      <w:szCs w:val="21"/>
    </w:rPr>
  </w:style>
  <w:style w:type="paragraph" w:styleId="Sumrio3">
    <w:name w:val="toc 3"/>
    <w:basedOn w:val="Normal"/>
    <w:uiPriority w:val="1"/>
    <w:qFormat/>
    <w:pPr>
      <w:spacing w:line="243" w:lineRule="exact"/>
      <w:ind w:left="526"/>
    </w:pPr>
    <w:rPr>
      <w:sz w:val="21"/>
      <w:szCs w:val="21"/>
    </w:rPr>
  </w:style>
  <w:style w:type="paragraph" w:styleId="Corpodetexto">
    <w:name w:val="Body Text"/>
    <w:basedOn w:val="Normal"/>
    <w:uiPriority w:val="1"/>
    <w:qFormat/>
    <w:rPr>
      <w:sz w:val="21"/>
      <w:szCs w:val="21"/>
    </w:rPr>
  </w:style>
  <w:style w:type="paragraph" w:styleId="Ttulo">
    <w:name w:val="Title"/>
    <w:basedOn w:val="Normal"/>
    <w:uiPriority w:val="10"/>
    <w:qFormat/>
    <w:pPr>
      <w:ind w:left="166" w:right="2690"/>
    </w:pPr>
    <w:rPr>
      <w:rFonts w:ascii="Trebuchet MS" w:eastAsia="Trebuchet MS" w:hAnsi="Trebuchet MS" w:cs="Trebuchet MS"/>
      <w:sz w:val="60"/>
      <w:szCs w:val="60"/>
    </w:rPr>
  </w:style>
  <w:style w:type="paragraph" w:styleId="PargrafodaLista">
    <w:name w:val="List Paragraph"/>
    <w:basedOn w:val="Normal"/>
    <w:uiPriority w:val="1"/>
    <w:qFormat/>
    <w:pPr>
      <w:ind w:left="490" w:hanging="380"/>
    </w:pPr>
    <w:rPr>
      <w:rFonts w:ascii="Trebuchet MS" w:eastAsia="Trebuchet MS" w:hAnsi="Trebuchet MS" w:cs="Trebuchet MS"/>
    </w:rPr>
  </w:style>
  <w:style w:type="paragraph" w:customStyle="1" w:styleId="TableParagraph">
    <w:name w:val="Table Paragraph"/>
    <w:basedOn w:val="Normal"/>
    <w:uiPriority w:val="1"/>
    <w:qFormat/>
    <w:rPr>
      <w:rFonts w:ascii="Trebuchet MS" w:eastAsia="Trebuchet MS" w:hAnsi="Trebuchet MS" w:cs="Trebuchet M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hyperlink" Target="http://www/" TargetMode="External"/><Relationship Id="rId21" Type="http://schemas.openxmlformats.org/officeDocument/2006/relationships/hyperlink" Target="mailto:Robert.Steiger@uibk.ac.at" TargetMode="External"/><Relationship Id="rId42" Type="http://schemas.openxmlformats.org/officeDocument/2006/relationships/image" Target="media/image7.png"/><Relationship Id="rId47" Type="http://schemas.openxmlformats.org/officeDocument/2006/relationships/hyperlink" Target="http://www.fcbarcelona.com/club/news/2016-2017/fc-barcelona-museum-preparing-for-30-" TargetMode="External"/><Relationship Id="rId63" Type="http://schemas.openxmlformats.org/officeDocument/2006/relationships/hyperlink" Target="http://www.breakingtravelnews.com/news/article/sport-tourists-flock-to-britain/" TargetMode="External"/><Relationship Id="rId68" Type="http://schemas.openxmlformats.org/officeDocument/2006/relationships/fontTable" Target="fontTable.xml"/><Relationship Id="rId7" Type="http://schemas.openxmlformats.org/officeDocument/2006/relationships/hyperlink" Target="http://www.facebook.com/channelviewpublications" TargetMode="External"/><Relationship Id="rId2" Type="http://schemas.openxmlformats.org/officeDocument/2006/relationships/styles" Target="styles.xml"/><Relationship Id="rId16" Type="http://schemas.openxmlformats.org/officeDocument/2006/relationships/hyperlink" Target="mailto:.lamont@scu.edu.au" TargetMode="External"/><Relationship Id="rId29" Type="http://schemas.openxmlformats.org/officeDocument/2006/relationships/hyperlink" Target="http://www.canadiansporttourism.com/portal_e.aspx" TargetMode="External"/><Relationship Id="rId11" Type="http://schemas.openxmlformats.org/officeDocument/2006/relationships/hyperlink" Target="mailto:eijito@center.wakayama-u.ac.jp" TargetMode="External"/><Relationship Id="rId24" Type="http://schemas.openxmlformats.org/officeDocument/2006/relationships/hyperlink" Target="http://fifaworldcup.yahoo.com/en/da/c/sapporo.html" TargetMode="External"/><Relationship Id="rId32" Type="http://schemas.openxmlformats.org/officeDocument/2006/relationships/hyperlink" Target="http://www.theguardian.com/" TargetMode="External"/><Relationship Id="rId37" Type="http://schemas.openxmlformats.org/officeDocument/2006/relationships/image" Target="media/image2.png"/><Relationship Id="rId40" Type="http://schemas.openxmlformats.org/officeDocument/2006/relationships/image" Target="media/image5.png"/><Relationship Id="rId45" Type="http://schemas.openxmlformats.org/officeDocument/2006/relationships/hyperlink" Target="http://corp.asics.com/en/about_asics/museum" TargetMode="External"/><Relationship Id="rId53" Type="http://schemas.openxmlformats.org/officeDocument/2006/relationships/hyperlink" Target="http://dx.doi.org/10.1080/14775085.2017.1" TargetMode="External"/><Relationship Id="rId58" Type="http://schemas.openxmlformats.org/officeDocument/2006/relationships/hyperlink" Target="http://www.zdnet.com/article/the-future-of-air-transport-airbus-unveils-concept-" TargetMode="External"/><Relationship Id="rId66" Type="http://schemas.openxmlformats.org/officeDocument/2006/relationships/hyperlink" Target="http://www.whistlerblackcomb.com/" TargetMode="External"/><Relationship Id="rId5" Type="http://schemas.openxmlformats.org/officeDocument/2006/relationships/hyperlink" Target="http://www.channelviewpublications.com/" TargetMode="External"/><Relationship Id="rId61" Type="http://schemas.openxmlformats.org/officeDocument/2006/relationships/hyperlink" Target="http://www.thenational.ae/uae/environment/special-report-saving-water-in-" TargetMode="External"/><Relationship Id="rId19" Type="http://schemas.openxmlformats.org/officeDocument/2006/relationships/hyperlink" Target="mailto:gramsha@clemson.edu" TargetMode="External"/><Relationship Id="rId14" Type="http://schemas.openxmlformats.org/officeDocument/2006/relationships/hyperlink" Target="mailto:Cory.Kulczycki@uregina.ca" TargetMode="External"/><Relationship Id="rId22" Type="http://schemas.openxmlformats.org/officeDocument/2006/relationships/hyperlink" Target="http://affiliatemembers.unwto.org/publications" TargetMode="External"/><Relationship Id="rId27" Type="http://schemas.openxmlformats.org/officeDocument/2006/relationships/hyperlink" Target="http://www/" TargetMode="External"/><Relationship Id="rId30" Type="http://schemas.openxmlformats.org/officeDocument/2006/relationships/hyperlink" Target="http://www.theguardian.com/" TargetMode="External"/><Relationship Id="rId35" Type="http://schemas.openxmlformats.org/officeDocument/2006/relationships/hyperlink" Target="http://www.atlantis-press.com/php/pub.php?publication=atf-16" TargetMode="External"/><Relationship Id="rId43" Type="http://schemas.openxmlformats.org/officeDocument/2006/relationships/image" Target="media/image8.png"/><Relationship Id="rId48" Type="http://schemas.openxmlformats.org/officeDocument/2006/relationships/hyperlink" Target="http://ceo.uab.cat/" TargetMode="External"/><Relationship Id="rId56" Type="http://schemas.openxmlformats.org/officeDocument/2006/relationships/hyperlink" Target="http://www.msac.com.au/" TargetMode="External"/><Relationship Id="rId64" Type="http://schemas.openxmlformats.org/officeDocument/2006/relationships/hyperlink" Target="http://www.ohchr.org/EN/" TargetMode="External"/><Relationship Id="rId69" Type="http://schemas.openxmlformats.org/officeDocument/2006/relationships/theme" Target="theme/theme1.xml"/><Relationship Id="rId8" Type="http://schemas.openxmlformats.org/officeDocument/2006/relationships/hyperlink" Target="http://www.facebook.com/channelviewpublications" TargetMode="External"/><Relationship Id="rId51" Type="http://schemas.openxmlformats.org/officeDocument/2006/relationships/hyperlink" Target="http://www/" TargetMode="External"/><Relationship Id="rId3" Type="http://schemas.openxmlformats.org/officeDocument/2006/relationships/settings" Target="settings.xml"/><Relationship Id="rId12" Type="http://schemas.openxmlformats.org/officeDocument/2006/relationships/hyperlink" Target="mailto:devans05@yorku.ca" TargetMode="External"/><Relationship Id="rId17" Type="http://schemas.openxmlformats.org/officeDocument/2006/relationships/hyperlink" Target="mailto:b.moyle@griffith.edu.au" TargetMode="External"/><Relationship Id="rId25" Type="http://schemas.openxmlformats.org/officeDocument/2006/relationships/hyperlink" Target="http://fifaworldcup.yahoo.com/en/da/c/sapporo.html" TargetMode="External"/><Relationship Id="rId33" Type="http://schemas.openxmlformats.org/officeDocument/2006/relationships/hyperlink" Target="http://www.ricoharena.com/about-us/" TargetMode="External"/><Relationship Id="rId38" Type="http://schemas.openxmlformats.org/officeDocument/2006/relationships/image" Target="media/image3.png"/><Relationship Id="rId46" Type="http://schemas.openxmlformats.org/officeDocument/2006/relationships/hyperlink" Target="http://crctourism.com.au/WMS/Upload/Resources/" TargetMode="External"/><Relationship Id="rId59" Type="http://schemas.openxmlformats.org/officeDocument/2006/relationships/hyperlink" Target="http://golfcoursemanagement.randa.org/en/Environmental-Impact/Using-water-" TargetMode="External"/><Relationship Id="rId67" Type="http://schemas.openxmlformats.org/officeDocument/2006/relationships/hyperlink" Target="http://www.e-unwto.org/doi/pdf/10.18111/9789284418145" TargetMode="External"/><Relationship Id="rId20" Type="http://schemas.openxmlformats.org/officeDocument/2006/relationships/hyperlink" Target="mailto:mrutty@anr.msu.edu" TargetMode="External"/><Relationship Id="rId41" Type="http://schemas.openxmlformats.org/officeDocument/2006/relationships/image" Target="media/image6.png"/><Relationship Id="rId54" Type="http://schemas.openxmlformats.org/officeDocument/2006/relationships/hyperlink" Target="http://anale.feaa.uaic.ro/anale/resurse/22_M03_Iordache_sa.pdf" TargetMode="External"/><Relationship Id="rId62" Type="http://schemas.openxmlformats.org/officeDocument/2006/relationships/hyperlink" Target="http://www.gothiacup.se/" TargetMode="External"/><Relationship Id="rId1" Type="http://schemas.openxmlformats.org/officeDocument/2006/relationships/numbering" Target="numbering.xml"/><Relationship Id="rId6" Type="http://schemas.openxmlformats.org/officeDocument/2006/relationships/hyperlink" Target="http://www.channelviewpublications.com/" TargetMode="External"/><Relationship Id="rId15" Type="http://schemas.openxmlformats.org/officeDocument/2006/relationships/hyperlink" Target="mailto:matthew.lamont@scu.edu.au" TargetMode="External"/><Relationship Id="rId23" Type="http://schemas.openxmlformats.org/officeDocument/2006/relationships/hyperlink" Target="http://affiliatemembers.unwto.org/publications" TargetMode="External"/><Relationship Id="rId28" Type="http://schemas.openxmlformats.org/officeDocument/2006/relationships/hyperlink" Target="http://www.un.org/sustainabledevelopment/" TargetMode="External"/><Relationship Id="rId36" Type="http://schemas.openxmlformats.org/officeDocument/2006/relationships/image" Target="media/image1.png"/><Relationship Id="rId49" Type="http://schemas.openxmlformats.org/officeDocument/2006/relationships/hyperlink" Target="http://www.theguardian.com/media/2012/jun/13/premier-league-" TargetMode="External"/><Relationship Id="rId57" Type="http://schemas.openxmlformats.org/officeDocument/2006/relationships/hyperlink" Target="http://www/" TargetMode="External"/><Relationship Id="rId10" Type="http://schemas.openxmlformats.org/officeDocument/2006/relationships/hyperlink" Target="mailto:inge.derom@vub.be" TargetMode="External"/><Relationship Id="rId31" Type="http://schemas.openxmlformats.org/officeDocument/2006/relationships/hyperlink" Target="http://www.ricoharena.com/about-us/" TargetMode="External"/><Relationship Id="rId44" Type="http://schemas.openxmlformats.org/officeDocument/2006/relationships/hyperlink" Target="http://www.scmp.com/news/china/society/article/2104977/big-crowds-" TargetMode="External"/><Relationship Id="rId52" Type="http://schemas.openxmlformats.org/officeDocument/2006/relationships/hyperlink" Target="http://www.nytimes.com/2016/03/07/sports/snowboarding-" TargetMode="External"/><Relationship Id="rId60" Type="http://schemas.openxmlformats.org/officeDocument/2006/relationships/hyperlink" Target="http://www.standard.net/World/2017/04/03/Japan-to-" TargetMode="External"/><Relationship Id="rId65" Type="http://schemas.openxmlformats.org/officeDocument/2006/relationships/hyperlink" Target="http://www.usga.org/course-care/usga-sustainability.html" TargetMode="External"/><Relationship Id="rId4" Type="http://schemas.openxmlformats.org/officeDocument/2006/relationships/webSettings" Target="webSettings.xml"/><Relationship Id="rId9" Type="http://schemas.openxmlformats.org/officeDocument/2006/relationships/hyperlink" Target="http://www.channelviewpublications.wordpress.com/" TargetMode="External"/><Relationship Id="rId13" Type="http://schemas.openxmlformats.org/officeDocument/2006/relationships/hyperlink" Target="mailto:m.kennelly@griffith.edu.au" TargetMode="External"/><Relationship Id="rId18" Type="http://schemas.openxmlformats.org/officeDocument/2006/relationships/hyperlink" Target="mailto:gnorcliff@york.ca" TargetMode="External"/><Relationship Id="rId39" Type="http://schemas.openxmlformats.org/officeDocument/2006/relationships/image" Target="media/image4.png"/><Relationship Id="rId34" Type="http://schemas.openxmlformats.org/officeDocument/2006/relationships/hyperlink" Target="http://www.theguardian.com/" TargetMode="External"/><Relationship Id="rId50" Type="http://schemas.openxmlformats.org/officeDocument/2006/relationships/hyperlink" Target="http://www.golfcanadafoundation.com/" TargetMode="External"/><Relationship Id="rId55" Type="http://schemas.openxmlformats.org/officeDocument/2006/relationships/hyperlink" Target="http://www.liverpool.n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296</Pages>
  <Words>120751</Words>
  <Characters>652057</Characters>
  <Application>Microsoft Office Word</Application>
  <DocSecurity>0</DocSecurity>
  <Lines>5433</Lines>
  <Paragraphs>1542</Paragraphs>
  <ScaleCrop>false</ScaleCrop>
  <Company/>
  <LinksUpToDate>false</LinksUpToDate>
  <CharactersWithSpaces>771266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Quad</dc:creator>
  <cp:lastModifiedBy>Ander Son</cp:lastModifiedBy>
  <cp:revision>2</cp:revision>
  <dcterms:created xsi:type="dcterms:W3CDTF">2026-08-04T16:17:00Z</dcterms:created>
  <dcterms:modified xsi:type="dcterms:W3CDTF">2026-08-04T16:17:00Z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2020-07-05T00:00:00Z</vt:filetime>
  </property>
  <property fmtid="{D5CDD505-2E9C-101B-9397-08002B2CF9AE}" pid="3" name="LastSaved">
    <vt:filetime>2026-08-04T00:00:00Z</vt:filetime>
  </property>
</Properties>
</file>